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The Project Gutenberg Encyclopedia, Volume 1 of 28</w:t></w:r>
</w:p>
<w:p>
<w:pPr><w:jc w:val="center"/><w:spacing w:before="500"/></w:pPr>
<w:r><w:rPr><w:i/><w:sz w:val="28"/></w:rPr><w:t>Project Gutenberg</w:t></w:r>
</w:p>
<w:p><w:r><w:br w:type="page"/></w:r></w:p>
<w:p>
<w:pPr><w:pStyle w:val="Normal"/></w:pPr>
<w:r><w:t xml:space="preserve">﻿The Project Gutenberg eBook of The Project Gutenberg Encyclopedia, Volume 1 of 28</w:t></w:r>
</w:p>
<w:p>
<w:pPr><w:pStyle w:val="Normal"/></w:pPr>
<w:r><w:t xml:space="preserve">This ebook is for the use of anyone anywhere in the United States and</w:t></w:r>
</w:p>
<w:p>
<w:pPr><w:pStyle w:val="Normal"/></w:pPr>
<w:r><w:t xml:space="preserve">most 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 are not located in the United States,</w:t></w:r>
</w:p>
<w:p>
<w:pPr><w:pStyle w:val="Normal"/></w:pPr>
<w:r><w:t xml:space="preserve">you will have to check the laws of the country where you are located</w:t></w:r>
</w:p>
<w:p>
<w:pPr><w:pStyle w:val="Normal"/></w:pPr>
<w:r><w:t xml:space="preserve">before using this eBook.</w:t></w:r>
</w:p>
<w:p>
<w:pPr><w:pStyle w:val="Normal"/></w:pPr>
<w:r><w:t xml:space="preserve">Title: The Project Gutenberg Encyclopedia, Volume 1 of 28</w:t></w:r>
</w:p>
<w:p>
<w:pPr><w:pStyle w:val="Normal"/></w:pPr>
<w:r><w:t xml:space="preserve">Author: Project Gutenberg</w:t></w:r>
</w:p>
<w:p>
<w:pPr><w:pStyle w:val="Normal"/></w:pPr>
<w:r><w:t xml:space="preserve">Release date: January 1, 1995 [eBook #200]</w:t></w:r>
</w:p>
<w:p>
<w:pPr><w:pStyle w:val="Normal"/></w:pPr>
<w:r><w:t xml:space="preserve">Most recently updated: September 7, 2018</w:t></w:r>
</w:p>
<w:p>
<w:pPr><w:pStyle w:val="Normal"/></w:pPr>
<w:r><w:t xml:space="preserve">Language: English</w:t></w:r>
</w:p>
<w:p>
<w:pPr><w:pStyle w:val="Normal"/></w:pPr>
<w:r><w:t xml:space="preserve">*** START OF THE PROJECT GUTENBERG EBOOK THE PROJECT GUTENBERG ENCYCLOPEDIA, VOLUME 1 OF 28 ***</w:t></w:r>
</w:p>
<w:p>
<w:pPr><w:pStyle w:val="Normal"/></w:pPr>
<w:r><w:t xml:space="preserve">The Project Gutenberg Encyclopedia   Volume 1, of 28 plus Index</w:t></w:r>
</w:p>
<w:p>
<w:pPr><w:pStyle w:val="Normal"/></w:pPr>
<w:r><w:t xml:space="preserve">January, 1995 [Etexts #181 through #200 reserved for Volume 1]</w:t></w:r>
</w:p>
<w:p>
<w:pPr><w:pStyle w:val="Normal"/></w:pPr>
<w:r><w:t xml:space="preserve">**Currently referenced only as Project Gutenberg Etext #200**</w:t></w:r>
</w:p>
<w:p>
<w:pPr><w:pStyle w:val="Normal"/></w:pPr>
<w:r><w:t xml:space="preserve">Volume 1   Also having been known as the Encyclopedia Anglicana</w:t></w:r>
</w:p>
<w:p>
<w:pPr><w:pStyle w:val="Normal"/></w:pPr>
<w:r><w:t xml:space="preserve">and part 1 of the Interpedia Project.  ***Disclaimers follow***</w:t></w:r>
</w:p>
<w:p>
<w:pPr><w:pStyle w:val="Normal"/></w:pPr>
<w:r><w:t xml:space="preserve">Please take a look at the important information in this header.</w:t></w:r>
</w:p>
<w:p>
<w:pPr><w:pStyle w:val="Normal"/></w:pPr>
<w:r><w:t xml:space="preserve">We encourage you to keep this file on your own disk, keeping an</w:t></w:r>
</w:p>
<w:p>
<w:pPr><w:pStyle w:val="Normal"/></w:pPr>
<w:r><w:t xml:space="preserve">electronic path open for the next readers.  Do not remove this.</w:t></w:r>
</w:p>
<w:p>
<w:pPr><w:pStyle w:val="Normal"/></w:pPr>
<w:r><w:t xml:space="preserve">*********IMPORTANT NOTICE!  PLEASE READ THIS IN DETAIL********</w:t></w:r>
</w:p>
<w:p>
<w:pPr><w:pStyle w:val="Normal"/></w:pPr>
<w:r><w:t xml:space="preserve">The Project Gutenberg Encyclopedia is a reproduction of a 1911</w:t></w:r>
</w:p>
<w:p>
<w:pPr><w:pStyle w:val="Normal"/></w:pPr>
<w:r><w:t xml:space="preserve">edition of a famous encyclopedia.  The text has not been updated.</w:t></w:r>
</w:p>
<w:p>
<w:pPr><w:pStyle w:val="Normal"/></w:pPr>
<w:r><w:t xml:space="preserve">Although the text is in the public domain in the United States,</w:t></w:r>
</w:p>
<w:p>
<w:pPr><w:pStyle w:val="Normal"/></w:pPr>
<w:r><w:t xml:space="preserve">the original publisher still has a valid trademark in the</w:t></w:r>
</w:p>
<w:p>
<w:pPr><w:pStyle w:val="Normal"/></w:pPr>
<w:r><w:t xml:space="preserve">original title of the encyclopedia.  The original publisher</w:t></w:r>
</w:p>
<w:p>
<w:pPr><w:pStyle w:val="Normal"/></w:pPr>
<w:r><w:t xml:space="preserve">offered Project Gutenberg a license to use the trademark, but</w:t></w:r>
</w:p>
<w:p>
<w:pPr><w:pStyle w:val="Normal"/></w:pPr>
<w:r><w:t xml:space="preserve">the terms of the license were not consistent with the volunteer</w:t></w:r>
</w:p>
<w:p>
<w:pPr><w:pStyle w:val="Normal"/></w:pPr>
<w:r><w:t xml:space="preserve">noncommercial nature of Project Gutenberg or its primary goal of</w:t></w:r>
</w:p>
<w:p>
<w:pPr><w:pStyle w:val="Normal"/></w:pPr>
<w:r><w:t xml:space="preserve">distributing electronic text with the fewest possible restrictions.</w:t></w:r>
</w:p>
<w:p>
<w:pPr><w:pStyle w:val="Normal"/></w:pPr>
<w:r><w:t xml:space="preserve">In order to avoid the possibility of trademark infringement,</w:t></w:r>
</w:p>
<w:p>
<w:pPr><w:pStyle w:val="Normal"/></w:pPr>
<w:r><w:t xml:space="preserve">all references to the original title and the original publisher</w:t></w:r>
</w:p>
<w:p>
<w:pPr><w:pStyle w:val="Normal"/></w:pPr>
<w:r><w:t xml:space="preserve">have been changed or deleted.  Because of numerous references</w:t></w:r>
</w:p>
<w:p>
<w:pPr><w:pStyle w:val="Normal"/></w:pPr>
<w:r><w:t xml:space="preserve">embodying possible trademarks, the entire preface has been omitted.</w:t></w:r>
</w:p>
<w:p>
<w:pPr><w:pStyle w:val="Normal"/></w:pPr>
<w:r><w:t xml:space="preserve">The original publisher of the 1911 print encyclopedia was not and</w:t></w:r>
</w:p>
<w:p>
<w:pPr><w:pStyle w:val="Normal"/></w:pPr>
<w:r><w:t xml:space="preserve">is not involved in any way with the creation, editing or distribution</w:t></w:r>
</w:p>
<w:p>
<w:pPr><w:pStyle w:val="Normal"/></w:pPr>
<w:r><w:t xml:space="preserve">of the Project Gutenberg Encyclopedia.  Any errors which may have occurred</w:t></w:r>
</w:p>
<w:p>
<w:pPr><w:pStyle w:val="Normal"/></w:pPr>
<w:r><w:t xml:space="preserve">in the conversion to electronic form can not be attributed in any way to</w:t></w:r>
</w:p>
<w:p>
<w:pPr><w:pStyle w:val="Normal"/></w:pPr>
<w:r><w:t xml:space="preserve">the original publisher.  In order to avoid possible future trademark</w:t></w:r>
</w:p>
<w:p>
<w:pPr><w:pStyle w:val="Normal"/></w:pPr>
<w:r><w:t xml:space="preserve">infringements or confusion in the minds of the public, this electronic</w:t></w:r>
</w:p>
<w:p>
<w:pPr><w:pStyle w:val="Normal"/></w:pPr>
<w:r><w:t xml:space="preserve">version should be referred to as the Project Gutenberg Encyclopedia.</w:t></w:r>
</w:p>
<w:p>
<w:pPr><w:pStyle w:val="Normal"/></w:pPr>
<w:r><w:t xml:space="preserve">The name of the original print encyclopedia should not be used</w:t></w:r>
</w:p>
<w:p>
<w:pPr><w:pStyle w:val="Normal"/></w:pPr>
<w:r><w:t xml:space="preserve">in any way in connection with this electronic text.</w:t></w:r>
</w:p>
<w:p>
<w:pPr><w:pStyle w:val="Normal"/></w:pPr>
<w:r><w:t xml:space="preserve">The Project Gutenberg Encyclopedia   Volume 1, of 28 plus Index</w:t></w:r>
</w:p>
<w:p>
<w:pPr><w:pStyle w:val="Normal"/></w:pPr>
<w:r><w:t xml:space="preserve">!!!Remember. . .the information contained herein is OLD. . .!!!</w:t></w:r>
</w:p>
<w:p>
<w:pPr><w:pStyle w:val="Normal"/></w:pPr>
<w:r><w:t xml:space="preserve">*!!!It reflects the mindset of the turn of the last century!!!*</w:t></w:r>
</w:p>
<w:p>
<w:pPr><w:pStyle w:val="Normal"/></w:pPr>
<w:r><w:t xml:space="preserve">The Project Gutenberg Encyclopedia</w:t></w:r>
</w:p>
<w:p>
<w:pPr><w:pStyle w:val="Normal"/></w:pPr>
<w:r><w:t xml:space="preserve">A. This letter of ours corresponds to the first symbol in</w:t></w:r>
</w:p>
<w:p>
<w:pPr><w:pStyle w:val="Normal"/></w:pPr>
<w:r><w:t xml:space="preserve">the Phoenician alphabet and in almost all its descendants.  In</w:t></w:r>
</w:p>
<w:p>
<w:pPr><w:pStyle w:val="Normal"/></w:pPr>
<w:r><w:t xml:space="preserve">Phoenician, a, like the symbols for e and for o, did not</w:t></w:r>
</w:p>
<w:p>
<w:pPr><w:pStyle w:val="Normal"/></w:pPr>
<w:r><w:t xml:space="preserve">represent a vowel, but a breathing; the vowels originally were</w:t></w:r>
</w:p>
<w:p>
<w:pPr><w:pStyle w:val="Normal"/></w:pPr>
<w:r><w:t xml:space="preserve">not represented by any symbol.  When the alphabet was adopted by</w:t></w:r>
</w:p>
<w:p>
<w:pPr><w:pStyle w:val="Normal"/></w:pPr>
<w:r><w:t xml:space="preserve">the Greeks it was not very well fitted to represent the sounds</w:t></w:r>
</w:p>
<w:p>
<w:pPr><w:pStyle w:val="Normal"/></w:pPr>
<w:r><w:t xml:space="preserve">of their language.  The breathings which were not required in</w:t></w:r>
</w:p>
<w:p>
<w:pPr><w:pStyle w:val="Normal"/></w:pPr>
<w:r><w:t xml:space="preserve">Greek were accordingly employed to represent some of the vowel</w:t></w:r>
</w:p>
<w:p>
<w:pPr><w:pStyle w:val="Normal"/></w:pPr>
<w:r><w:t xml:space="preserve">sounds, other vowels, like i and u, being represented by</w:t></w:r>
</w:p>
<w:p>
<w:pPr><w:pStyle w:val="Normal"/></w:pPr>
<w:r><w:t xml:space="preserve">an adaptation of the symbols for the semi-vowels y and w.</w:t></w:r>
</w:p>
<w:p>
<w:pPr><w:pStyle w:val="Normal"/></w:pPr>
<w:r><w:t xml:space="preserve">The Phoenician name, which must have corresponded closely to</w:t></w:r>
</w:p>
<w:p>
<w:pPr><w:pStyle w:val="Normal"/></w:pPr>
<w:r><w:t xml:space="preserve">the Hebrew Aleph, was taken over by the Greeks in the form</w:t></w:r>
</w:p>
<w:p>
<w:pPr><w:pStyle w:val="Normal"/></w:pPr>
<w:r><w:t xml:space="preserve">Alpha (alpsa). The earliest authority for this, as for the</w:t></w:r>
</w:p>
<w:p>
<w:pPr><w:pStyle w:val="Normal"/></w:pPr>
<w:r><w:t xml:space="preserve">names of the other Greek letters, is the grammatical drama</w:t></w:r>
</w:p>
<w:p>
<w:pPr><w:pStyle w:val="Normal"/></w:pPr>
<w:r><w:t xml:space="preserve">(grammatike Ieoria) of Callias, an earlier contemporary of</w:t></w:r>
</w:p>
<w:p>
<w:pPr><w:pStyle w:val="Normal"/></w:pPr>
<w:r><w:t xml:space="preserve">Euripides, from whose works four trimeters, containing the names</w:t></w:r>
</w:p>
<w:p>
<w:pPr><w:pStyle w:val="Normal"/></w:pPr>
<w:r><w:t xml:space="preserve">of all the Greek letters, are preserved in Athenaeus x. 453 d.</w:t></w:r>
</w:p>
<w:p>
<w:pPr><w:pStyle w:val="Normal"/></w:pPr>
<w:r><w:t xml:space="preserve">The form of the letter has varied considerably.  In the</w:t></w:r>
</w:p>
<w:p>
<w:pPr><w:pStyle w:val="Normal"/></w:pPr>
<w:r><w:t xml:space="preserve">earliest of the Phoenician, Aramaic and Greek inscriptions</w:t></w:r>
</w:p>
<w:p>
<w:pPr><w:pStyle w:val="Normal"/></w:pPr>
<w:r><w:t xml:space="preserve">(the oldest Phoenician dating about 1000 B.C., the oldest</w:t></w:r>
</w:p>
<w:p>
<w:pPr><w:pStyle w:val="Normal"/></w:pPr>
<w:r><w:t xml:space="preserve">Aramaic from the 8th, and the oldest Greek from the 8th</w:t></w:r>
</w:p>
<w:p>
<w:pPr><w:pStyle w:val="Normal"/></w:pPr>
<w:r><w:t xml:space="preserve">or 7th century B.C.) A rests upon its side thus--@.  In</w:t></w:r>
</w:p>
<w:p>
<w:pPr><w:pStyle w:val="Normal"/></w:pPr>
<w:r><w:t xml:space="preserve">the Greek alphabet of later times it generally resembles</w:t></w:r>
</w:p>
<w:p>
<w:pPr><w:pStyle w:val="Normal"/></w:pPr>
<w:r><w:t xml:space="preserve">the modern capital letter, but many local varieties can be</w:t></w:r>
</w:p>
<w:p>
<w:pPr><w:pStyle w:val="Normal"/></w:pPr>
<w:r><w:t xml:space="preserve">distinguished by the shortening of one leg, or by the angle</w:t></w:r>
</w:p>
<w:p>
<w:pPr><w:pStyle w:val="Normal"/></w:pPr>
<w:r><w:t xml:space="preserve">at which the cross line is set-- @, &amp;c. From the Greeks of</w:t></w:r>
</w:p>
<w:p>
<w:pPr><w:pStyle w:val="Normal"/></w:pPr>
<w:r><w:t xml:space="preserve">the west the alphabet was borrowed by the Romans and from them</w:t></w:r>
</w:p>
<w:p>
<w:pPr><w:pStyle w:val="Normal"/></w:pPr>
<w:r><w:t xml:space="preserve">has passed to the other nations of western Europe.  In the</w:t></w:r>
</w:p>
<w:p>
<w:pPr><w:pStyle w:val="Normal"/></w:pPr>
<w:r><w:t xml:space="preserve">earliest Latin inscriptions, such as the inscription found</w:t></w:r>
</w:p>
<w:p>
<w:pPr><w:pStyle w:val="Normal"/></w:pPr>
<w:r><w:t xml:space="preserve">in the excavation of the Roman Forum in 1899, or that on a</w:t></w:r>
</w:p>
<w:p>
<w:pPr><w:pStyle w:val="Normal"/></w:pPr>
<w:r><w:t xml:space="preserve">golden fibula found at Praeneste in 1886 (see ALPHABET).</w:t></w:r>
</w:p>
<w:p>
<w:pPr><w:pStyle w:val="Normal"/></w:pPr>
<w:r><w:t xml:space="preserve">Fine letters are still identical in form with those of the</w:t></w:r>
</w:p>
<w:p>
<w:pPr><w:pStyle w:val="Normal"/></w:pPr>
<w:r><w:t xml:space="preserve">western Greeks.  Latin develops early various forms, which</w:t></w:r>
</w:p>
<w:p>
<w:pPr><w:pStyle w:val="Normal"/></w:pPr>
<w:r><w:t xml:space="preserve">are comparatively rare in Greek, as @, or unknown, as</w:t></w:r>
</w:p>
<w:p>
<w:pPr><w:pStyle w:val="Normal"/></w:pPr>
<w:r><w:t xml:space="preserve">@.  Except possibly Faliscan, the other dialects of Italy</w:t></w:r>
</w:p>
<w:p>
<w:pPr><w:pStyle w:val="Normal"/></w:pPr>
<w:r><w:t xml:space="preserve">did not borrow their alphabet directly from the western Greeks</w:t></w:r>
</w:p>
<w:p>
<w:pPr><w:pStyle w:val="Normal"/></w:pPr>
<w:r><w:t xml:space="preserve">as the Romans did, but received it at second hand through the</w:t></w:r>
</w:p>
<w:p>
<w:pPr><w:pStyle w:val="Normal"/></w:pPr>
<w:r><w:t xml:space="preserve">Etruscans.  In Oscan, where the writing of early inscriptions</w:t></w:r>
</w:p>
<w:p>
<w:pPr><w:pStyle w:val="Normal"/></w:pPr>
<w:r><w:t xml:space="preserve">is no less careful than in Latin, the A takes the form</w:t></w:r>
</w:p>
<w:p>
<w:pPr><w:pStyle w:val="Normal"/></w:pPr>
<w:r><w:t xml:space="preserve">@, to which the nearest parallels are found in north Greece</w:t></w:r>
</w:p>
<w:p>
<w:pPr><w:pStyle w:val="Normal"/></w:pPr>
<w:r><w:t xml:space="preserve">(Boeotia, Locris and Thessaly, and there only sporadically) .</w:t></w:r>
</w:p>
<w:p>
<w:pPr><w:pStyle w:val="Normal"/></w:pPr>
<w:r><w:t xml:space="preserve">In Greek the symbol was used for both the long and the short</w:t></w:r>
</w:p>
<w:p>
<w:pPr><w:pStyle w:val="Normal"/></w:pPr>
<w:r><w:t xml:space="preserve">sound, as in English father (a) and German Ratte</w:t></w:r>
</w:p>
<w:p>
<w:pPr><w:pStyle w:val="Normal"/></w:pPr>
<w:r><w:t xml:space="preserve">a; English, except in dialects, has no sound corresponding</w:t></w:r>
</w:p>
<w:p>
<w:pPr><w:pStyle w:val="Normal"/></w:pPr>
<w:r><w:t xml:space="preserve">precisely to the Greek short a, which, so far as can be</w:t></w:r>
</w:p>
<w:p>
<w:pPr><w:pStyle w:val="Normal"/></w:pPr>
<w:r><w:t xml:space="preserve">ascertained, was a mid-back-wide sound, according to the</w:t></w:r>
</w:p>
<w:p>
<w:pPr><w:pStyle w:val="Normal"/></w:pPr>
<w:r><w:t xml:space="preserve">terminology of H. Sweet (Primer of Phonetics, p. 107).</w:t></w:r>
</w:p>
<w:p>
<w:pPr><w:pStyle w:val="Normal"/></w:pPr>
<w:r><w:t xml:space="preserve">Throughout the history of Greek the short sound remained practically</w:t></w:r>
</w:p>
<w:p>
<w:pPr><w:pStyle w:val="Normal"/></w:pPr>
<w:r><w:t xml:space="preserve">unchanged.  On the other hand, the long sound of a in the</w:t></w:r>
</w:p>
<w:p>
<w:pPr><w:pStyle w:val="Normal"/></w:pPr>
<w:r><w:t xml:space="preserve">Attic and Ionic dialects passed into an open e-sound, which</w:t></w:r>
</w:p>
<w:p>
<w:pPr><w:pStyle w:val="Normal"/></w:pPr>
<w:r><w:t xml:space="preserve">in the Ionic alphabet was represented by the same symbol as</w:t></w:r>
</w:p>
<w:p>
<w:pPr><w:pStyle w:val="Normal"/></w:pPr>
<w:r><w:t xml:space="preserve">the original e-sound (see ALPHABET: Greek). The vowel</w:t></w:r>
</w:p>
<w:p>
<w:pPr><w:pStyle w:val="Normal"/></w:pPr>
<w:r><w:t xml:space="preserve">sounds vary from language to language, and the a symbol has,</w:t></w:r>
</w:p>
<w:p>
<w:pPr><w:pStyle w:val="Normal"/></w:pPr>
<w:r><w:t xml:space="preserve">in consequence, to represent in many cases sounds which are</w:t></w:r>
</w:p>
<w:p>
<w:pPr><w:pStyle w:val="Normal"/></w:pPr>
<w:r><w:t xml:space="preserve">not identical with the Greek a whether long or short, and</w:t></w:r>
</w:p>
<w:p>
<w:pPr><w:pStyle w:val="Normal"/></w:pPr>
<w:r><w:t xml:space="preserve">also to represent several different vowel sounds in the same</w:t></w:r>
</w:p>
<w:p>
<w:pPr><w:pStyle w:val="Normal"/></w:pPr>
<w:r><w:t xml:space="preserve">language.  Thus the New English Dictionary distinguishes about</w:t></w:r>
</w:p>
<w:p>
<w:pPr><w:pStyle w:val="Normal"/></w:pPr>
<w:r><w:t xml:space="preserve">twelve separate vowel sounds, which are represented by a in</w:t></w:r>
</w:p>
<w:p>
<w:pPr><w:pStyle w:val="Normal"/></w:pPr>
<w:r><w:t xml:space="preserve">English.  In general it may be said that the chief changes</w:t></w:r>
</w:p>
<w:p>
<w:pPr><w:pStyle w:val="Normal"/></w:pPr>
<w:r><w:t xml:space="preserve">which affect the a-sound in different languages arise from</w:t></w:r>
</w:p>
<w:p>
<w:pPr><w:pStyle w:val="Normal"/></w:pPr>
<w:r><w:t xml:space="preserve">(1) rounding, (2) fronting, i.e. changing from a sound</w:t></w:r>
</w:p>
<w:p>
<w:pPr><w:pStyle w:val="Normal"/></w:pPr>
<w:r><w:t xml:space="preserve">produced far back in the mouth to a sound produced farther</w:t></w:r>
</w:p>
<w:p>
<w:pPr><w:pStyle w:val="Normal"/></w:pPr>
<w:r><w:t xml:space="preserve">forward.  The rounding is often produced by combination with</w:t></w:r>
</w:p>
<w:p>
<w:pPr><w:pStyle w:val="Normal"/></w:pPr>
<w:r><w:t xml:space="preserve">rounded consonants (as in English was, wall, &amp;c.), the</w:t></w:r>
</w:p>
<w:p>
<w:pPr><w:pStyle w:val="Normal"/></w:pPr>
<w:r><w:t xml:space="preserve">rounding of the preceding consonant being continued into</w:t></w:r>
</w:p>
<w:p>
<w:pPr><w:pStyle w:val="Normal"/></w:pPr>
<w:r><w:t xml:space="preserve">the formation of the vowel sound.  Rounding has also been</w:t></w:r>
</w:p>
<w:p>
<w:pPr><w:pStyle w:val="Normal"/></w:pPr>
<w:r><w:t xml:space="preserve">produced by a following l-sound, as in the English fall,</w:t></w:r>
</w:p>
<w:p>
<w:pPr><w:pStyle w:val="Normal"/></w:pPr>
<w:r><w:t xml:space="preserve">small, bald, &amp;c. (see Sweet&apos;s History of English Sounds,</w:t></w:r>
</w:p>
<w:p>
<w:pPr><w:pStyle w:val="Normal"/></w:pPr>
<w:r><w:t xml:space="preserve">2nd ed., sec. sec.  906, 784).  The effect of fronting is seen in</w:t></w:r>
</w:p>
<w:p>
<w:pPr><w:pStyle w:val="Normal"/></w:pPr>
<w:r><w:t xml:space="preserve">the Ionic and Attic dialects of Greek, where the original</w:t></w:r>
</w:p>
<w:p>
<w:pPr><w:pStyle w:val="Normal"/></w:pPr>
<w:r><w:t xml:space="preserve">name of the Medes, Madoi, with a in the first syllable</w:t></w:r>
</w:p>
<w:p>
<w:pPr><w:pStyle w:val="Normal"/></w:pPr>
<w:r><w:t xml:space="preserve">(which survives in Cyprian Greek as Madoi), is changed</w:t></w:r>
</w:p>
<w:p>
<w:pPr><w:pStyle w:val="Normal"/></w:pPr>
<w:r><w:t xml:space="preserve">into Medoi (Medoi), with an open e-sound instead</w:t></w:r>
</w:p>
<w:p>
<w:pPr><w:pStyle w:val="Normal"/></w:pPr>
<w:r><w:t xml:space="preserve">of the earlier a.  In the later history of Greek this</w:t></w:r>
</w:p>
<w:p>
<w:pPr><w:pStyle w:val="Normal"/></w:pPr>
<w:r><w:t xml:space="preserve">sound is steadily narrowed till it becomes identical with</w:t></w:r>
</w:p>
<w:p>
<w:pPr><w:pStyle w:val="Normal"/></w:pPr>
<w:r><w:t xml:space="preserve">i (as in English seed). The first part of the process</w:t></w:r>
</w:p>
<w:p>
<w:pPr><w:pStyle w:val="Normal"/></w:pPr>
<w:r><w:t xml:space="preserve">has been almost repeated by literary English, a (ah)</w:t></w:r>
</w:p>
<w:p>
<w:pPr><w:pStyle w:val="Normal"/></w:pPr>
<w:r><w:t xml:space="preserve">passing into e (eh), though in present-day pronunciation</w:t></w:r>
</w:p>
<w:p>
<w:pPr><w:pStyle w:val="Normal"/></w:pPr>
<w:r><w:t xml:space="preserve">the sound has developed further into a diphthongal ei</w:t></w:r>
</w:p>
<w:p>
<w:pPr><w:pStyle w:val="Normal"/></w:pPr>
<w:r><w:t xml:space="preserve">except before r, as in hare (Sweet, op. cit. sec.  783).</w:t></w:r>
</w:p>
<w:p>
<w:pPr><w:pStyle w:val="Normal"/></w:pPr>
<w:r><w:t xml:space="preserve">In English a represents unaccented forms of several</w:t></w:r>
</w:p>
<w:p>
<w:pPr><w:pStyle w:val="Normal"/></w:pPr>
<w:r><w:t xml:space="preserve">words, e.g. an (one), of, have, he, and or various</w:t></w:r>
</w:p>
<w:p>
<w:pPr><w:pStyle w:val="Normal"/></w:pPr>
<w:r><w:t xml:space="preserve">prefixes the history of which is given in detail in the New</w:t></w:r>
</w:p>
<w:p>
<w:pPr><w:pStyle w:val="Normal"/></w:pPr>
<w:r><w:t xml:space="preserve">English Dictionary (Oxford, 1888), vol. i. p. 4. (P. GI.)</w:t></w:r>
</w:p>
<w:p>
<w:pPr><w:pStyle w:val="Normal"/></w:pPr>
<w:r><w:t xml:space="preserve">As a symbol the letter is used in various connexions</w:t></w:r>
</w:p>
<w:p>
<w:pPr><w:pStyle w:val="Normal"/></w:pPr>
<w:r><w:t xml:space="preserve">and for various technical purposes, e.g. for a note in</w:t></w:r>
</w:p>
<w:p>
<w:pPr><w:pStyle w:val="Normal"/></w:pPr>
<w:r><w:t xml:space="preserve">music, for the first of the seven dominical letters (this</w:t></w:r>
</w:p>
<w:p>
<w:pPr><w:pStyle w:val="Normal"/></w:pPr>
<w:r><w:t xml:space="preserve">use is derived from its being the first of the litterae</w:t></w:r>
</w:p>
<w:p>
<w:pPr><w:pStyle w:val="Normal"/></w:pPr>
<w:r><w:t xml:space="preserve">nundinales at Rome), and generally as a sign of priority.</w:t></w:r>
</w:p>
<w:p>
<w:pPr><w:pStyle w:val="Normal"/></w:pPr>
<w:r><w:t xml:space="preserve">In Logic, the letter A is used as a symbol for the universal</w:t></w:r>
</w:p>
<w:p>
<w:pPr><w:pStyle w:val="Normal"/></w:pPr>
<w:r><w:t xml:space="preserve">affirmative proposition in the general form ``all x is y.&apos;&apos;</w:t></w:r>
</w:p>
<w:p>
<w:pPr><w:pStyle w:val="Normal"/></w:pPr>
<w:r><w:t xml:space="preserve">The letters I, E and O are used respectively for the particular</w:t></w:r>
</w:p>
<w:p>
<w:pPr><w:pStyle w:val="Normal"/></w:pPr>
<w:r><w:t xml:space="preserve">affirmative ``some x is y,&apos;&apos; the universal negative ``no x</w:t></w:r>
</w:p>
<w:p>
<w:pPr><w:pStyle w:val="Normal"/></w:pPr>
<w:r><w:t xml:space="preserve">is y,&apos;&apos; and the particular negative ``some x is not y.&apos;&apos;</w:t></w:r>
</w:p>
<w:p>
<w:pPr><w:pStyle w:val="Normal"/></w:pPr>
<w:r><w:t xml:space="preserve">The use of these letters is generally derived from the vowels</w:t></w:r>
</w:p>
<w:p>
<w:pPr><w:pStyle w:val="Normal"/></w:pPr>
<w:r><w:t xml:space="preserve">of the two Latin verbs AffIrmo (or AIo), ``I assert,&apos;&apos; and</w:t></w:r>
</w:p>
<w:p>
<w:pPr><w:pStyle w:val="Normal"/></w:pPr>
<w:r><w:t xml:space="preserve">nEgO, ``I deny.&apos;&apos; The use of the symbols dates from the 13th</w:t></w:r>
</w:p>
<w:p>
<w:pPr><w:pStyle w:val="Normal"/></w:pPr>
<w:r><w:t xml:space="preserve">century, though some authorities trace their origin to the Greek</w:t></w:r>
</w:p>
<w:p>
<w:pPr><w:pStyle w:val="Normal"/></w:pPr>
<w:r><w:t xml:space="preserve">logicians.  A is also used largely in abbreviations (q.v.).</w:t></w:r>
</w:p>
<w:p>
<w:pPr><w:pStyle w:val="Normal"/></w:pPr>
<w:r><w:t xml:space="preserve">In Shipping, A1 is a symbol used to dennote quality of</w:t></w:r>
</w:p>
<w:p>
<w:pPr><w:pStyle w:val="Normal"/></w:pPr>
<w:r><w:t xml:space="preserve">construction and material.  In the various shipping registers</w:t></w:r>
</w:p>
<w:p>
<w:pPr><w:pStyle w:val="Normal"/></w:pPr>
<w:r><w:t xml:space="preserve">ships are classed and given a rating after an official</w:t></w:r>
</w:p>
<w:p>
<w:pPr><w:pStyle w:val="Normal"/></w:pPr>
<w:r><w:t xml:space="preserve">examination, and assigned a classification mark, which</w:t></w:r>
</w:p>
<w:p>
<w:pPr><w:pStyle w:val="Normal"/></w:pPr>
<w:r><w:t xml:space="preserve">appears in addition to other particulars in those registers</w:t></w:r>
</w:p>
<w:p>
<w:pPr><w:pStyle w:val="Normal"/></w:pPr>
<w:r><w:t xml:space="preserve">after the name of the ship.  See SHIPBUILDING. It is</w:t></w:r>
</w:p>
<w:p>
<w:pPr><w:pStyle w:val="Normal"/></w:pPr>
<w:r><w:t xml:space="preserve">popularly used to indicate the highest degree of excellence.</w:t></w:r>
</w:p>
<w:p>
<w:pPr><w:pStyle w:val="Normal"/></w:pPr>
<w:r><w:t xml:space="preserve">AA, the name of a large number of small European rivers.</w:t></w:r>
</w:p>
<w:p>
<w:pPr><w:pStyle w:val="Normal"/></w:pPr>
<w:r><w:t xml:space="preserve">The word is derived from the Old German aha, cognate to</w:t></w:r>
</w:p>
<w:p>
<w:pPr><w:pStyle w:val="Normal"/></w:pPr>
<w:r><w:t xml:space="preserve">the Latin aqua, water (cf. Ger.-ach; Scand. a, aa,</w:t></w:r>
</w:p>
<w:p>
<w:pPr><w:pStyle w:val="Normal"/></w:pPr>
<w:r><w:t xml:space="preserve">pronounced o).  The following are the more important</w:t></w:r>
</w:p>
<w:p>
<w:pPr><w:pStyle w:val="Normal"/></w:pPr>
<w:r><w:t xml:space="preserve">streams of this name:--Two rivers in the west of Russia, both</w:t></w:r>
</w:p>
<w:p>
<w:pPr><w:pStyle w:val="Normal"/></w:pPr>
<w:r><w:t xml:space="preserve">falling into the Gulf of Riga, near Riga, which is situated</w:t></w:r>
</w:p>
<w:p>
<w:pPr><w:pStyle w:val="Normal"/></w:pPr>
<w:r><w:t xml:space="preserve">between them; a river in the north of France, falling into</w:t></w:r>
</w:p>
<w:p>
<w:pPr><w:pStyle w:val="Normal"/></w:pPr>
<w:r><w:t xml:space="preserve">the sea below Gravelines, and navigable as far as St Omer;</w:t></w:r>
</w:p>
<w:p>
<w:pPr><w:pStyle w:val="Normal"/></w:pPr>
<w:r><w:t xml:space="preserve">and a river of Switzerland, in the cantons of Lucerne and</w:t></w:r>
</w:p>
<w:p>
<w:pPr><w:pStyle w:val="Normal"/></w:pPr>
<w:r><w:t xml:space="preserve">Aargau, which carries the waters of Lakes Baldegger and</w:t></w:r>
</w:p>
<w:p>
<w:pPr><w:pStyle w:val="Normal"/></w:pPr>
<w:r><w:t xml:space="preserve">Hallwiler into the Aar. In Germany there are the Westphalian</w:t></w:r>
</w:p>
<w:p>
<w:pPr><w:pStyle w:val="Normal"/></w:pPr>
<w:r><w:t xml:space="preserve">Aa, rising in the Teutoburger Wald, and joining the Werre at</w:t></w:r>
</w:p>
<w:p>
<w:pPr><w:pStyle w:val="Normal"/></w:pPr>
<w:r><w:t xml:space="preserve">Herford, the Munster Aa, a tributary of the Ems, and others.</w:t></w:r>
</w:p>
<w:p>
<w:pPr><w:pStyle w:val="Normal"/></w:pPr>
<w:r><w:t xml:space="preserve">AAGESEN, ANDREW (1826-1879), Danish jurist, was educated</w:t></w:r>
</w:p>
<w:p>
<w:pPr><w:pStyle w:val="Normal"/></w:pPr>
<w:r><w:t xml:space="preserve">for the law at Kristianshavn and Copenhagen, and interrupted</w:t></w:r>
</w:p>
<w:p>
<w:pPr><w:pStyle w:val="Normal"/></w:pPr>
<w:r><w:t xml:space="preserve">his studies in 1848 to take part in the first Schleswig war,</w:t></w:r>
</w:p>
<w:p>
<w:pPr><w:pStyle w:val="Normal"/></w:pPr>
<w:r><w:t xml:space="preserve">in which he served as the leader of a reserve battalion.  In</w:t></w:r>
</w:p>
<w:p>
<w:pPr><w:pStyle w:val="Normal"/></w:pPr>
<w:r><w:t xml:space="preserve">1855 he became professor of jurisprudence at the university of</w:t></w:r>
</w:p>
<w:p>
<w:pPr><w:pStyle w:val="Normal"/></w:pPr>
<w:r><w:t xml:space="preserve">Copenhagen.  In 1870 he was appointed a member of the commission</w:t></w:r>
</w:p>
<w:p>
<w:pPr><w:pStyle w:val="Normal"/></w:pPr>
<w:r><w:t xml:space="preserve">for drawing up a maritime and commercial code, and the navigation</w:t></w:r>
</w:p>
<w:p>
<w:pPr><w:pStyle w:val="Normal"/></w:pPr>
<w:r><w:t xml:space="preserve">law of 1882 is mainly his work.  In 1879 he was elected a member</w:t></w:r>
</w:p>
<w:p>
<w:pPr><w:pStyle w:val="Normal"/></w:pPr>
<w:r><w:t xml:space="preserve">of the Landsthing; but it is as a teacher at the university</w:t></w:r>
</w:p>
<w:p>
<w:pPr><w:pStyle w:val="Normal"/></w:pPr>
<w:r><w:t xml:space="preserve">that he won his reputation.  Among his numerous juridical</w:t></w:r>
</w:p>
<w:p>
<w:pPr><w:pStyle w:val="Normal"/></w:pPr>
<w:r><w:t xml:space="preserve">works may be mentioned: Bidrag til Laeren om Overdragelse</w:t></w:r>
</w:p>
<w:p>
<w:pPr><w:pStyle w:val="Normal"/></w:pPr>
<w:r><w:t xml:space="preserve">af Ejendomsret, Bemaerkinger om Rettigheder over Ting</w:t></w:r>
</w:p>
<w:p>
<w:pPr><w:pStyle w:val="Normal"/></w:pPr>
<w:r><w:t xml:space="preserve">(Copenhagen, 1866, 1871-1872); Fortegnelse over Retssamlinger,</w:t></w:r>
</w:p>
<w:p>
<w:pPr><w:pStyle w:val="Normal"/></w:pPr>
<w:r><w:t xml:space="preserve">Retslitteratur i Danmark, Norge, Sverige (Copenhagen,</w:t></w:r>
</w:p>
<w:p>
<w:pPr><w:pStyle w:val="Normal"/></w:pPr>
<w:r><w:t xml:space="preserve">1876).  Aagesen was Hall&apos;s successor as lecturer on Roman law</w:t></w:r>
</w:p>
<w:p>
<w:pPr><w:pStyle w:val="Normal"/></w:pPr>
<w:r><w:t xml:space="preserve">at the university, and in this department his researches were</w:t></w:r>
</w:p>
<w:p>
<w:pPr><w:pStyle w:val="Normal"/></w:pPr>
<w:r><w:t xml:space="preserve">epoch-making.  All his pupils were profoundly impressed by</w:t></w:r>
</w:p>
<w:p>
<w:pPr><w:pStyle w:val="Normal"/></w:pPr>
<w:r><w:t xml:space="preserve">his exhaustive examination of the sources, his energetic</w:t></w:r>
</w:p>
<w:p>
<w:pPr><w:pStyle w:val="Normal"/></w:pPr>
<w:r><w:t xml:space="preserve">demonstration of his subject and his stringent search after</w:t></w:r>
</w:p>
<w:p>
<w:pPr><w:pStyle w:val="Normal"/></w:pPr>
<w:r><w:t xml:space="preserve">truth.  His noble, imposing, and yet most amiable personality</w:t></w:r>
</w:p>
<w:p>
<w:pPr><w:pStyle w:val="Normal"/></w:pPr>
<w:r><w:t xml:space="preserve">won for him, moreover, universal affection and respect.</w:t></w:r>
</w:p>
<w:p>
<w:pPr><w:pStyle w:val="Normal"/></w:pPr>
<w:r><w:t xml:space="preserve">See C. F. Bricka, Dansk.  Brog.  Lex. vol. i. (Copenhagen, 1887); Szmlade</w:t></w:r>
</w:p>
<w:p>
<w:pPr><w:pStyle w:val="Normal"/></w:pPr>
<w:r><w:t xml:space="preserve">Skrifter, edited by F. C. Bornemann (Copenhagen, 1863). (R. N. B.)</w:t></w:r>
</w:p>
<w:p>
<w:pPr><w:pStyle w:val="Normal"/></w:pPr>
<w:r><w:t xml:space="preserve">AAL, also known as A&apos;L, ACH, or AICH, the Hindustani</w:t></w:r>
</w:p>
<w:p>
<w:pPr><w:pStyle w:val="Normal"/></w:pPr>
<w:r><w:t xml:space="preserve">names for the Morinda tinctoria and Morinda citrifalia,</w:t></w:r>
</w:p>
<w:p>
<w:pPr><w:pStyle w:val="Normal"/></w:pPr>
<w:r><w:t xml:space="preserve">plants extensively cultivated in India on account of the</w:t></w:r>
</w:p>
<w:p>
<w:pPr><w:pStyle w:val="Normal"/></w:pPr>
<w:r><w:t xml:space="preserve">reddish dye-stuff which their roots contain.  The name</w:t></w:r>
</w:p>
<w:p>
<w:pPr><w:pStyle w:val="Normal"/></w:pPr>
<w:r><w:t xml:space="preserve">is also applied to the dye, but the common trade name</w:t></w:r>
</w:p>
<w:p>
<w:pPr><w:pStyle w:val="Normal"/></w:pPr>
<w:r><w:t xml:space="preserve">is Suranji. Its properties are due to the presence</w:t></w:r>
</w:p>
<w:p>
<w:pPr><w:pStyle w:val="Normal"/></w:pPr>
<w:r><w:t xml:space="preserve">of a glucoside known as Morindin, which is compounded</w:t></w:r>
</w:p>
<w:p>
<w:pPr><w:pStyle w:val="Normal"/></w:pPr>
<w:r><w:t xml:space="preserve">from glucose and probably a trioxy-methyl-anthraquinone.</w:t></w:r>
</w:p>
<w:p>
<w:pPr><w:pStyle w:val="Normal"/></w:pPr>
<w:r><w:t xml:space="preserve">AALBORG, a city and seaport of Denmark, the seat of a bishop,</w:t></w:r>
</w:p>
<w:p>
<w:pPr><w:pStyle w:val="Normal"/></w:pPr>
<w:r><w:t xml:space="preserve">and chief town of the amt (county) of its name, on the south</w:t></w:r>
</w:p>
<w:p>
<w:pPr><w:pStyle w:val="Normal"/></w:pPr>
<w:r><w:t xml:space="preserve">bank of the Limfjord, which connects the North Sea and the</w:t></w:r>
</w:p>
<w:p>
<w:pPr><w:pStyle w:val="Normal"/></w:pPr>
<w:r><w:t xml:space="preserve">Cattegat.  Pop. (1901) 31,457.  The situation is typical of</w:t></w:r>
</w:p>
<w:p>
<w:pPr><w:pStyle w:val="Normal"/></w:pPr>
<w:r><w:t xml:space="preserve">the north of Jutland.  To the west the Linifjord broadens</w:t></w:r>
</w:p>
<w:p>
<w:pPr><w:pStyle w:val="Normal"/></w:pPr>
<w:r><w:t xml:space="preserve">into an irregular lake, with low, marshy shores and many</w:t></w:r>
</w:p>
<w:p>
<w:pPr><w:pStyle w:val="Normal"/></w:pPr>
<w:r><w:t xml:space="preserve">islands.  North-west is the Store Vildmose, a swamp where the</w:t></w:r>
</w:p>
<w:p>
<w:pPr><w:pStyle w:val="Normal"/></w:pPr>
<w:r><w:t xml:space="preserve">mirage is seen in summer.  South-east lies the similar Lille</w:t></w:r>
</w:p>
<w:p>
<w:pPr><w:pStyle w:val="Normal"/></w:pPr>
<w:r><w:t xml:space="preserve">Vildmose.  A railway connects Aalborg with Hjorring,</w:t></w:r>
</w:p>
<w:p>
<w:pPr><w:pStyle w:val="Normal"/></w:pPr>
<w:r><w:t xml:space="preserve">Frederikshavn and Skagen to the north, and with Aarhus and</w:t></w:r>
</w:p>
<w:p>
<w:pPr><w:pStyle w:val="Normal"/></w:pPr>
<w:r><w:t xml:space="preserve">the lines from Germany to the south.  The harbour is good</w:t></w:r>
</w:p>
<w:p>
<w:pPr><w:pStyle w:val="Normal"/></w:pPr>
<w:r><w:t xml:space="preserve">and safe, though difficult of access.  Aalborg is a growing</w:t></w:r>
</w:p>
<w:p>
<w:pPr><w:pStyle w:val="Normal"/></w:pPr>
<w:r><w:t xml:space="preserve">industrial and commercial centre, exporting grain and</w:t></w:r>
</w:p>
<w:p>
<w:pPr><w:pStyle w:val="Normal"/></w:pPr>
<w:r><w:t xml:space="preserve">fish.  An old castle and some picturesque houses of the</w:t></w:r>
</w:p>
<w:p>
<w:pPr><w:pStyle w:val="Normal"/></w:pPr>
<w:r><w:t xml:space="preserve">17th century remain.  The Budolphi church dates mostly from</w:t></w:r>
</w:p>
<w:p>
<w:pPr><w:pStyle w:val="Normal"/></w:pPr>
<w:r><w:t xml:space="preserve">the middle of the 18th century, while the Frue church was</w:t></w:r>
</w:p>
<w:p>
<w:pPr><w:pStyle w:val="Normal"/></w:pPr>
<w:r><w:t xml:space="preserve">partially burnt in 1894, but the foundation of both is of</w:t></w:r>
</w:p>
<w:p>
<w:pPr><w:pStyle w:val="Normal"/></w:pPr>
<w:r><w:t xml:space="preserve">the 14th century or earlier.  There are also an ancient</w:t></w:r>
</w:p>
<w:p>
<w:pPr><w:pStyle w:val="Normal"/></w:pPr>
<w:r><w:t xml:space="preserve">hospital and a museum of art and antiquities.  On the north</w:t></w:r>
</w:p>
<w:p>
<w:pPr><w:pStyle w:val="Normal"/></w:pPr>
<w:r><w:t xml:space="preserve">side of the fjord is Norre Sundby, connected with Aalborg</w:t></w:r>
</w:p>
<w:p>
<w:pPr><w:pStyle w:val="Normal"/></w:pPr>
<w:r><w:t xml:space="preserve">by a pontoon and also by an iron railway bridge, one of the</w:t></w:r>
</w:p>
<w:p>
<w:pPr><w:pStyle w:val="Normal"/></w:pPr>
<w:r><w:t xml:space="preserve">finest engineering works in the kingdom.  Aabborgt received</w:t></w:r>
</w:p>
<w:p>
<w:pPr><w:pStyle w:val="Normal"/></w:pPr>
<w:r><w:t xml:space="preserve">town privileges in 1342 and the bishopric dates from 1554.</w:t></w:r>
</w:p>
<w:p>
<w:pPr><w:pStyle w:val="Normal"/></w:pPr>
<w:r><w:t xml:space="preserve">AALEN, a town of Germany, in the kingdom of Wurttemberg,</w:t></w:r>
</w:p>
<w:p>
<w:pPr><w:pStyle w:val="Normal"/></w:pPr>
<w:r><w:t xml:space="preserve">pleasantly situated on the Kocher, at the foot of the Swabian</w:t></w:r>
</w:p>
<w:p>
<w:pPr><w:pStyle w:val="Normal"/></w:pPr>
<w:r><w:t xml:space="preserve">Alps, about 50 m.  E. of Stuttgart, and with direct railway</w:t></w:r>
</w:p>
<w:p>
<w:pPr><w:pStyle w:val="Normal"/></w:pPr>
<w:r><w:t xml:space="preserve">communication with Ulm and Cannstatt.  Pop. 10,000.  Woollen</w:t></w:r>
</w:p>
<w:p>
<w:pPr><w:pStyle w:val="Normal"/></w:pPr>
<w:r><w:t xml:space="preserve">and linen goods are manufactured, and there are ribbon</w:t></w:r>
</w:p>
<w:p>
<w:pPr><w:pStyle w:val="Normal"/></w:pPr>
<w:r><w:t xml:space="preserve">looms and tanneries in the town, and large iron works in the</w:t></w:r>
</w:p>
<w:p>
<w:pPr><w:pStyle w:val="Normal"/></w:pPr>
<w:r><w:t xml:space="preserve">neighbourhood.  There are several schools and churches, and a</w:t></w:r>
</w:p>
<w:p>
<w:pPr><w:pStyle w:val="Normal"/></w:pPr>
<w:r><w:t xml:space="preserve">statue of the poet Christian Schubart.  Aalen was a free imperial</w:t></w:r>
</w:p>
<w:p>
<w:pPr><w:pStyle w:val="Normal"/></w:pPr>
<w:r><w:t xml:space="preserve">city from 1360 to 1802, when it was annexed to Wurttemberg.</w:t></w:r>
</w:p>
<w:p>
<w:pPr><w:pStyle w:val="Normal"/></w:pPr>
<w:r><w:t xml:space="preserve">AALESUND, a seaport of Norway, in Romsdal amt (county), 145</w:t></w:r>
</w:p>
<w:p>
<w:pPr><w:pStyle w:val="Normal"/></w:pPr>
<w:r><w:t xml:space="preserve">m.  N. by E. from Bergen.  Pop. (1900) 11,672.  It occupies</w:t></w:r>
</w:p>
<w:p>
<w:pPr><w:pStyle w:val="Normal"/></w:pPr>
<w:r><w:t xml:space="preserve">two of the outer islands of the west coast, Aspo and</w:t></w:r>
</w:p>
<w:p>
<w:pPr><w:pStyle w:val="Normal"/></w:pPr>
<w:r><w:t xml:space="preserve">Norvo, which enclose the picturesque harbour.  Founded</w:t></w:r>
</w:p>
<w:p>
<w:pPr><w:pStyle w:val="Normal"/></w:pPr>
<w:r><w:t xml:space="preserve">in 1824, it is the principal shipping-place of Sondmore</w:t></w:r>
</w:p>
<w:p>
<w:pPr><w:pStyle w:val="Normal"/></w:pPr>
<w:r><w:t xml:space="preserve">district, and one of the chief stations of the herring</w:t></w:r>
</w:p>
<w:p>
<w:pPr><w:pStyle w:val="Normal"/></w:pPr>
<w:r><w:t xml:space="preserve">fishery.  Aalesund is adjacent to the Jorund and Geiranger</w:t></w:r>
</w:p>
<w:p>
<w:pPr><w:pStyle w:val="Normal"/></w:pPr>
<w:r><w:t xml:space="preserve">fjords, frequented by tourists.  From Oje at the head of</w:t></w:r>
</w:p>
<w:p>
<w:pPr><w:pStyle w:val="Normal"/></w:pPr>
<w:r><w:t xml:space="preserve">Jorund a driving-route strikes south to the Nordfjord, and</w:t></w:r>
</w:p>
<w:p>
<w:pPr><w:pStyle w:val="Normal"/></w:pPr>
<w:r><w:t xml:space="preserve">from Merck on Geiranger another strikes inland to Otta, on</w:t></w:r>
</w:p>
<w:p>
<w:pPr><w:pStyle w:val="Normal"/></w:pPr>
<w:r><w:t xml:space="preserve">the railway to Liilehammer and Christiania.  Aalesund is a</w:t></w:r>
</w:p>
<w:p>
<w:pPr><w:pStyle w:val="Normal"/></w:pPr>
<w:r><w:t xml:space="preserve">port of call for steamers between Bergen, Hull, Newcastle</w:t></w:r>
</w:p>
<w:p>
<w:pPr><w:pStyle w:val="Normal"/></w:pPr>
<w:r><w:t xml:space="preserve">and Hamburg, and Trondhjem.  A little to the south of the</w:t></w:r>
</w:p>
<w:p>
<w:pPr><w:pStyle w:val="Normal"/></w:pPr>
<w:r><w:t xml:space="preserve">town are the ruins of the reputed castle of Rollo, the</w:t></w:r>
</w:p>
<w:p>
<w:pPr><w:pStyle w:val="Normal"/></w:pPr>
<w:r><w:t xml:space="preserve">founder, in the 9th century, of the dynasty of the dukes of</w:t></w:r>
</w:p>
<w:p>
<w:pPr><w:pStyle w:val="Normal"/></w:pPr>
<w:r><w:t xml:space="preserve">Normandy.  On the 23rd of January 1904, Aalesund was the</w:t></w:r>
</w:p>
<w:p>
<w:pPr><w:pStyle w:val="Normal"/></w:pPr>
<w:r><w:t xml:space="preserve">scene of one of the most terrible of the many conflagrations</w:t></w:r>
</w:p>
<w:p>
<w:pPr><w:pStyle w:val="Normal"/></w:pPr>
<w:r><w:t xml:space="preserve">to which Norwegian towns, built largely of wood, have been</w:t></w:r>
</w:p>
<w:p>
<w:pPr><w:pStyle w:val="Normal"/></w:pPr>
<w:r><w:t xml:space="preserve">subject.  Practically the whole town was destroyed, a gale aiding</w:t></w:r>
</w:p>
<w:p>
<w:pPr><w:pStyle w:val="Normal"/></w:pPr>
<w:r><w:t xml:space="preserve">the flames, and the population had to leave the place in the</w:t></w:r>
</w:p>
<w:p>
<w:pPr><w:pStyle w:val="Normal"/></w:pPr>
<w:r><w:t xml:space="preserve">night at the notice of a few minutes.  Hardly any lives were</w:t></w:r>
</w:p>
<w:p>
<w:pPr><w:pStyle w:val="Normal"/></w:pPr>
<w:r><w:t xml:space="preserve">lost, but the sufferings of the people were so terrible that</w:t></w:r>
</w:p>
<w:p>
<w:pPr><w:pStyle w:val="Normal"/></w:pPr>
<w:r><w:t xml:space="preserve">assistance was sent from all parts of the kingdom, and by the</w:t></w:r>
</w:p>
<w:p>
<w:pPr><w:pStyle w:val="Normal"/></w:pPr>
<w:r><w:t xml:space="preserve">German government, while the British government also offered it.</w:t></w:r>
</w:p>
<w:p>
<w:pPr><w:pStyle w:val="Normal"/></w:pPr>
<w:r><w:t xml:space="preserve">AALI, MEHEMET, Pasha (1815-1871), Turkish statesman, was born</w:t></w:r>
</w:p>
<w:p>
<w:pPr><w:pStyle w:val="Normal"/></w:pPr>
<w:r><w:t xml:space="preserve">at Constantinople in 1815, the son of a government official.</w:t></w:r>
</w:p>
<w:p>
<w:pPr><w:pStyle w:val="Normal"/></w:pPr>
<w:r><w:t xml:space="preserve">Entering the diplomatic service of his country soon after reaching</w:t></w:r>
</w:p>
<w:p>
<w:pPr><w:pStyle w:val="Normal"/></w:pPr>
<w:r><w:t xml:space="preserve">manhood, he became successively secretary of the Embassy in</w:t></w:r>
</w:p>
<w:p>
<w:pPr><w:pStyle w:val="Normal"/></w:pPr>
<w:r><w:t xml:space="preserve">Vienna, minister in London, and foreign minister under Reshid</w:t></w:r>
</w:p>
<w:p>
<w:pPr><w:pStyle w:val="Normal"/></w:pPr>
<w:r><w:t xml:space="preserve">Pasha.  In 1852 he was promoted to the post of grand vizier,</w:t></w:r>
</w:p>
<w:p>
<w:pPr><w:pStyle w:val="Normal"/></w:pPr>
<w:r><w:t xml:space="preserve">but after a short time retired into private life.  During the</w:t></w:r>
</w:p>
<w:p>
<w:pPr><w:pStyle w:val="Normal"/></w:pPr>
<w:r><w:t xml:space="preserve">Crimean War he was recalled in order to take the portfolio</w:t></w:r>
</w:p>
<w:p>
<w:pPr><w:pStyle w:val="Normal"/></w:pPr>
<w:r><w:t xml:space="preserve">of foreign affairs for a second time under Reshid Pasha,</w:t></w:r>
</w:p>
<w:p>
<w:pPr><w:pStyle w:val="Normal"/></w:pPr>
<w:r><w:t xml:space="preserve">and in this capacity took part in 1855 in the conference of</w:t></w:r>
</w:p>
<w:p>
<w:pPr><w:pStyle w:val="Normal"/></w:pPr>
<w:r><w:t xml:space="preserve">Vienna.  Again becoming in that year grand vizier, an office</w:t></w:r>
</w:p>
<w:p>
<w:pPr><w:pStyle w:val="Normal"/></w:pPr>
<w:r><w:t xml:space="preserve">he filled no less than five times, he represented Turkey</w:t></w:r>
</w:p>
<w:p>
<w:pPr><w:pStyle w:val="Normal"/></w:pPr>
<w:r><w:t xml:space="preserve">at the congress of Paris in 1856.  In 1867 he was appointed</w:t></w:r>
</w:p>
<w:p>
<w:pPr><w:pStyle w:val="Normal"/></w:pPr>
<w:r><w:t xml:space="preserve">regent of Turkey during the sultan&apos;s visit to the Paris</w:t></w:r>
</w:p>
<w:p>
<w:pPr><w:pStyle w:val="Normal"/></w:pPr>
<w:r><w:t xml:space="preserve">Exhibition.  Aali Pasha was one of the most zealous advocates</w:t></w:r>
</w:p>
<w:p>
<w:pPr><w:pStyle w:val="Normal"/></w:pPr>
<w:r><w:t xml:space="preserve">of the introduction of Western reforms under the sultans Abdul</w:t></w:r>
</w:p>
<w:p>
<w:pPr><w:pStyle w:val="Normal"/></w:pPr>
<w:r><w:t xml:space="preserve">Mejid and Abdul Aziz.  A scholar and a linguist, he was a</w:t></w:r>
</w:p>
<w:p>
<w:pPr><w:pStyle w:val="Normal"/></w:pPr>
<w:r><w:t xml:space="preserve">match for the diplomats of the Christian powers, against whom</w:t></w:r>
</w:p>
<w:p>
<w:pPr><w:pStyle w:val="Normal"/></w:pPr>
<w:r><w:t xml:space="preserve">he successfully defended the interests of his country.  He</w:t></w:r>
</w:p>
<w:p>
<w:pPr><w:pStyle w:val="Normal"/></w:pPr>
<w:r><w:t xml:space="preserve">died at Erenkeni in Asia Minor on the 6th of September 1871.</w:t></w:r>
</w:p>
<w:p>
<w:pPr><w:pStyle w:val="Normal"/></w:pPr>
<w:r><w:t xml:space="preserve">AAR, or AARE, the most considerable river which both</w:t></w:r>
</w:p>
<w:p>
<w:pPr><w:pStyle w:val="Normal"/></w:pPr>
<w:r><w:t xml:space="preserve">rises and ends entirely within Switzerland.  Its total</w:t></w:r>
</w:p>
<w:p>
<w:pPr><w:pStyle w:val="Normal"/></w:pPr>
<w:r><w:t xml:space="preserve">length (including all bends) from its source to its junction</w:t></w:r>
</w:p>
<w:p>
<w:pPr><w:pStyle w:val="Normal"/></w:pPr>
<w:r><w:t xml:space="preserve">with the Rhine is about 181 m., during which distance it</w:t></w:r>
</w:p>
<w:p>
<w:pPr><w:pStyle w:val="Normal"/></w:pPr>
<w:r><w:t xml:space="preserve">descends 5135 ft., while its drainage area is 6804 sq.</w:t></w:r>
</w:p>
<w:p>
<w:pPr><w:pStyle w:val="Normal"/></w:pPr>
<w:r><w:t xml:space="preserve">m.  It rises in the great Aar glaciers, in the canton of</w:t></w:r>
</w:p>
<w:p>
<w:pPr><w:pStyle w:val="Normal"/></w:pPr>
<w:r><w:t xml:space="preserve">Bern, and W. of the Grimsel Pass.  It runs E. to the Grimsel</w:t></w:r>
</w:p>
<w:p>
<w:pPr><w:pStyle w:val="Normal"/></w:pPr>
<w:r><w:t xml:space="preserve">Hospice, and then N.W. through the Hasli valley, forming on the</w:t></w:r>
</w:p>
<w:p>
<w:pPr><w:pStyle w:val="Normal"/></w:pPr>
<w:r><w:t xml:space="preserve">way the magnificent waterfall of the Handegg (151 ft.), past</w:t></w:r>
</w:p>
<w:p>
<w:pPr><w:pStyle w:val="Normal"/></w:pPr>
<w:r><w:t xml:space="preserve">Guttannen, and pierces the limestone barrier of the Kirchet</w:t></w:r>
</w:p>
<w:p>
<w:pPr><w:pStyle w:val="Normal"/></w:pPr>
<w:r><w:t xml:space="preserve">by a grand gorge, before reaching Meiringen, situated in a</w:t></w:r>
</w:p>
<w:p>
<w:pPr><w:pStyle w:val="Normal"/></w:pPr>
<w:r><w:t xml:space="preserve">plain.  A little beyond, near Brienz, the river expands</w:t></w:r>
</w:p>
<w:p>
<w:pPr><w:pStyle w:val="Normal"/></w:pPr>
<w:r><w:t xml:space="preserve">into the lake of Brienz, where it becomes navigable.  Near</w:t></w:r>
</w:p>
<w:p>
<w:pPr><w:pStyle w:val="Normal"/></w:pPr>
<w:r><w:t xml:space="preserve">the west end of that lake it receives its first important</w:t></w:r>
</w:p>
<w:p>
<w:pPr><w:pStyle w:val="Normal"/></w:pPr>
<w:r><w:t xml:space="preserve">affluent, the Lutschine (left), and then runs across the</w:t></w:r>
</w:p>
<w:p>
<w:pPr><w:pStyle w:val="Normal"/></w:pPr>
<w:r><w:t xml:space="preserve">swampy plain of the Bodoli, between Interlaken (left) and</w:t></w:r>
</w:p>
<w:p>
<w:pPr><w:pStyle w:val="Normal"/></w:pPr>
<w:r><w:t xml:space="preserve">Unterseen (right), before again expanding in order to form</w:t></w:r>
</w:p>
<w:p>
<w:pPr><w:pStyle w:val="Normal"/></w:pPr>
<w:r><w:t xml:space="preserve">the Lake of Thun.  Near the west end of that lake it receives</w:t></w:r>
</w:p>
<w:p>
<w:pPr><w:pStyle w:val="Normal"/></w:pPr>
<w:r><w:t xml:space="preserve">on the left the Kander, which has just before been joined</w:t></w:r>
</w:p>
<w:p>
<w:pPr><w:pStyle w:val="Normal"/></w:pPr>
<w:r><w:t xml:space="preserve">by the Simme; on flowing out of the lake it passes Thun, and</w:t></w:r>
</w:p>
<w:p>
<w:pPr><w:pStyle w:val="Normal"/></w:pPr>
<w:r><w:t xml:space="preserve">then circles the lofty bluff on which the town of Bern is</w:t></w:r>
</w:p>
<w:p>
<w:pPr><w:pStyle w:val="Normal"/></w:pPr>
<w:r><w:t xml:space="preserve">built.  It soon changes its north-westerly for a due westerly</w:t></w:r>
</w:p>
<w:p>
<w:pPr><w:pStyle w:val="Normal"/></w:pPr>
<w:r><w:t xml:space="preserve">direction, but after receiving the Saane or Sarine (left)</w:t></w:r>
</w:p>
<w:p>
<w:pPr><w:pStyle w:val="Normal"/></w:pPr>
<w:r><w:t xml:space="preserve">turns N. till near Aarberg its stream is diverted W. by the</w:t></w:r>
</w:p>
<w:p>
<w:pPr><w:pStyle w:val="Normal"/></w:pPr>
<w:r><w:t xml:space="preserve">Hagneck Canal into the Lake of Bienne, from the upper end of</w:t></w:r>
</w:p>
<w:p>
<w:pPr><w:pStyle w:val="Normal"/></w:pPr>
<w:r><w:t xml:space="preserve">which it issues through the Nidau Canal and then runs E. to</w:t></w:r>
</w:p>
<w:p>
<w:pPr><w:pStyle w:val="Normal"/></w:pPr>
<w:r><w:t xml:space="preserve">Buren.  Henceforth its course is N.E. for a long distance,</w:t></w:r>
</w:p>
<w:p>
<w:pPr><w:pStyle w:val="Normal"/></w:pPr>
<w:r><w:t xml:space="preserve">past Soleure (below which the Grosse Emme flows in on the</w:t></w:r>
</w:p>
<w:p>
<w:pPr><w:pStyle w:val="Normal"/></w:pPr>
<w:r><w:t xml:space="preserve">right), Aarburg (where it is joined by the Wigger, right),</w:t></w:r>
</w:p>
<w:p>
<w:pPr><w:pStyle w:val="Normal"/></w:pPr>
<w:r><w:t xml:space="preserve">Olten, Aarau, near which is the junction with the Suhr on the</w:t></w:r>
</w:p>
<w:p>
<w:pPr><w:pStyle w:val="Normal"/></w:pPr>
<w:r><w:t xml:space="preserve">right, and Wildegg, where the Hallwiler Aa falls in on the</w:t></w:r>
</w:p>
<w:p>
<w:pPr><w:pStyle w:val="Normal"/></w:pPr>
<w:r><w:t xml:space="preserve">right.  A short way beyond, below Brugg, it receives first the</w:t></w:r>
</w:p>
<w:p>
<w:pPr><w:pStyle w:val="Normal"/></w:pPr>
<w:r><w:t xml:space="preserve">Reuss (right), and very shortly afterwards the Limmat or Linth</w:t></w:r>
</w:p>
<w:p>
<w:pPr><w:pStyle w:val="Normal"/></w:pPr>
<w:r><w:t xml:space="preserve">(right).  It now turns due N., and soon becomes itself an</w:t></w:r>
</w:p>
<w:p>
<w:pPr><w:pStyle w:val="Normal"/></w:pPr>
<w:r><w:t xml:space="preserve">affluent of the Rhine (left), which it surpasses in volume</w:t></w:r>
</w:p>
<w:p>
<w:pPr><w:pStyle w:val="Normal"/></w:pPr>
<w:r><w:t xml:space="preserve">when they unite at Coblenz, opposite Waldshut. (W. A. B. C.)</w:t></w:r>
</w:p>
<w:p>
<w:pPr><w:pStyle w:val="Normal"/></w:pPr>
<w:r><w:t xml:space="preserve">AARAU, the capital of the Swiss canton of Aargau.  In 1900</w:t></w:r>
</w:p>
<w:p>
<w:pPr><w:pStyle w:val="Normal"/></w:pPr>
<w:r><w:t xml:space="preserve">it had 7831 inhabitants, mostly German-speaking, and mainly</w:t></w:r>
</w:p>
<w:p>
<w:pPr><w:pStyle w:val="Normal"/></w:pPr>
<w:r><w:t xml:space="preserve">Protestants.  It is situated in the valley of the Aar, on the</w:t></w:r>
</w:p>
<w:p>
<w:pPr><w:pStyle w:val="Normal"/></w:pPr>
<w:r><w:t xml:space="preserve">right bank of that river, and at the southern foot of the range</w:t></w:r>
</w:p>
<w:p>
<w:pPr><w:pStyle w:val="Normal"/></w:pPr>
<w:r><w:t xml:space="preserve">of the Jura.  It is about 50 m. by rail N.E. of Bern, and 31</w:t></w:r>
</w:p>
<w:p>
<w:pPr><w:pStyle w:val="Normal"/></w:pPr>
<w:r><w:t xml:space="preserve">m.  N.W. of Zurich.  It is a well-built modern town, with</w:t></w:r>
</w:p>
<w:p>
<w:pPr><w:pStyle w:val="Normal"/></w:pPr>
<w:r><w:t xml:space="preserve">no remarkable features about it.  In the Industrial Museum</w:t></w:r>
</w:p>
<w:p>
<w:pPr><w:pStyle w:val="Normal"/></w:pPr>
<w:r><w:t xml:space="preserve">there is (besides collections of various kinds) some good</w:t></w:r>
</w:p>
<w:p>
<w:pPr><w:pStyle w:val="Normal"/></w:pPr>
<w:r><w:t xml:space="preserve">painted glass of the 16th century, taken from the neighbouring</w:t></w:r>
</w:p>
<w:p>
<w:pPr><w:pStyle w:val="Normal"/></w:pPr>
<w:r><w:t xml:space="preserve">Benedictine monastery of Muri (founded 1027, suppressed</w:t></w:r>
</w:p>
<w:p>
<w:pPr><w:pStyle w:val="Normal"/></w:pPr>
<w:r><w:t xml:space="preserve">1841---the monks are now quartered at Gries, near Botzen, in</w:t></w:r>
</w:p>
<w:p>
<w:pPr><w:pStyle w:val="Normal"/></w:pPr>
<w:r><w:t xml:space="preserve">Tirol).  The cantonal library contains many works relating to</w:t></w:r>
</w:p>
<w:p>
<w:pPr><w:pStyle w:val="Normal"/></w:pPr>
<w:r><w:t xml:space="preserve">Swiss history and many MSS. coming from the suppressed Argovian</w:t></w:r>
</w:p>
<w:p>
<w:pPr><w:pStyle w:val="Normal"/></w:pPr>
<w:r><w:t xml:space="preserve">monasteries.  There are many industries in the town, especially</w:t></w:r>
</w:p>
<w:p>
<w:pPr><w:pStyle w:val="Normal"/></w:pPr>
<w:r><w:t xml:space="preserve">silk-ribbon weaving, foundries, and factories for the manufacture</w:t></w:r>
</w:p>
<w:p>
<w:pPr><w:pStyle w:val="Normal"/></w:pPr>
<w:r><w:t xml:space="preserve">of cutlery and scientific instruments.  The popular novelist</w:t></w:r>
</w:p>
<w:p>
<w:pPr><w:pStyle w:val="Normal"/></w:pPr>
<w:r><w:t xml:space="preserve">and historian, Heinrich Zschokke (1771-1848), spent most of</w:t></w:r>
</w:p>
<w:p>
<w:pPr><w:pStyle w:val="Normal"/></w:pPr>
<w:r><w:t xml:space="preserve">his life here, and a bronze statue has been erected to his</w:t></w:r>
</w:p>
<w:p>
<w:pPr><w:pStyle w:val="Normal"/></w:pPr>
<w:r><w:t xml:space="preserve">memory.  Aarau is an important military centre.  The slopes</w:t></w:r>
</w:p>
<w:p>
<w:pPr><w:pStyle w:val="Normal"/></w:pPr>
<w:r><w:t xml:space="preserve">of the Jura are covered with vineyards.  Aarau, an ancient</w:t></w:r>
</w:p>
<w:p>
<w:pPr><w:pStyle w:val="Normal"/></w:pPr>
<w:r><w:t xml:space="preserve">fortress, was taken by the Bernese in 1415, and in 1798 became</w:t></w:r>
</w:p>
<w:p>
<w:pPr><w:pStyle w:val="Normal"/></w:pPr>
<w:r><w:t xml:space="preserve">for a time the capital of the Helvetic republic.  Eight miles</w:t></w:r>
</w:p>
<w:p>
<w:pPr><w:pStyle w:val="Normal"/></w:pPr>
<w:r><w:t xml:space="preserve">by rail N.E. are the famous sulphur baths of Schinznach,</w:t></w:r>
</w:p>
<w:p>
<w:pPr><w:pStyle w:val="Normal"/></w:pPr>
<w:r><w:t xml:space="preserve">just above which is the ruined castle of Habsburg, the</w:t></w:r>
</w:p>
<w:p>
<w:pPr><w:pStyle w:val="Normal"/></w:pPr>
<w:r><w:t xml:space="preserve">original home of that great historical house. (W. A. B. C.)</w:t></w:r>
</w:p>
<w:p>
<w:pPr><w:pStyle w:val="Normal"/></w:pPr>
<w:r><w:t xml:space="preserve">AARD-VARK (meaning ``earth pig&apos;&apos;), the Dutch name for</w:t></w:r>
</w:p>
<w:p>
<w:pPr><w:pStyle w:val="Normal"/></w:pPr>
<w:r><w:t xml:space="preserve">the mammals of genus Orycteropus, confined to Africa (see</w:t></w:r>
</w:p>
<w:p>
<w:pPr><w:pStyle w:val="Normal"/></w:pPr>
<w:r><w:t xml:space="preserve">EDEN-TATAI. Several species have been named.  Among them</w:t></w:r>
</w:p>
<w:p>
<w:pPr><w:pStyle w:val="Normal"/></w:pPr>
<w:r><w:t xml:space="preserve">is the typical form, O. capensis, or Cape ant-bear from</w:t></w:r>
</w:p>
<w:p>
<w:pPr><w:pStyle w:val="Normal"/></w:pPr>
<w:r><w:t xml:space="preserve">South Africa, and the northern aard-vark (O. aethiopicus)</w:t></w:r>
</w:p>
<w:p>
<w:pPr><w:pStyle w:val="Normal"/></w:pPr>
<w:r><w:t xml:space="preserve">of north-eastern Africa, extending into Egypt.  In form</w:t></w:r>
</w:p>
<w:p>
<w:pPr><w:pStyle w:val="Normal"/></w:pPr>
<w:r><w:t xml:space="preserve">these animals are somewhat pig-like; the body is stout,</w:t></w:r>
</w:p>
<w:p>
<w:pPr><w:pStyle w:val="Normal"/></w:pPr>
<w:r><w:t xml:space="preserve">with arched back; the limbs are short and stout, armed with</w:t></w:r>
</w:p>
<w:p>
<w:pPr><w:pStyle w:val="Normal"/></w:pPr>
<w:r><w:t xml:space="preserve">strong, blunt claws; the ears disproportionately long; and</w:t></w:r>
</w:p>
<w:p>
<w:pPr><w:pStyle w:val="Normal"/></w:pPr>
<w:r><w:t xml:space="preserve">the tail very thick at the base and tapering gradually.  The</w:t></w:r>
</w:p>
<w:p>
<w:pPr><w:pStyle w:val="Normal"/></w:pPr>
<w:r><w:t xml:space="preserve">greatly elongated head is set on a short thick neck, and at</w:t></w:r>
</w:p>
<w:p>
<w:pPr><w:pStyle w:val="Normal"/></w:pPr>
<w:r><w:t xml:space="preserve">the extremity of the snout is a disk in which the nostrils</w:t></w:r>
</w:p>
<w:p>
<w:pPr><w:pStyle w:val="Normal"/></w:pPr>
<w:r><w:t xml:space="preserve">open.  The mouth is small and tubular, furnished with a long</w:t></w:r>
</w:p>
<w:p>
<w:pPr><w:pStyle w:val="Normal"/></w:pPr>
<w:r><w:t xml:space="preserve">extensile tongue.  The measurements of a female taken in the</w:t></w:r>
</w:p>
<w:p>
<w:pPr><w:pStyle w:val="Normal"/></w:pPr>
<w:r><w:t xml:space="preserve">flesh, were head and body 4 ft., tail 17 1/2 in.; but a large</w:t></w:r>
</w:p>
<w:p>
<w:pPr><w:pStyle w:val="Normal"/></w:pPr>
<w:r><w:t xml:space="preserve">individual measured 6 ft. 8 in. over all.  In colour the</w:t></w:r>
</w:p>
<w:p>
<w:pPr><w:pStyle w:val="Normal"/></w:pPr>
<w:r><w:t xml:space="preserve">Cape aard-vark is pale sandy or yellow, the hair being scanty</w:t></w:r>
</w:p>
<w:p>
<w:pPr><w:pStyle w:val="Normal"/></w:pPr>
<w:r><w:t xml:space="preserve">and allowing the skin to show; the northern aard-vark has</w:t></w:r>
</w:p>
<w:p>
<w:pPr><w:pStyle w:val="Normal"/></w:pPr>
<w:r><w:t xml:space="preserve">a still thinner coat, and is further distinguished by the</w:t></w:r>
</w:p>
<w:p>
<w:pPr><w:pStyle w:val="Normal"/></w:pPr>
<w:r><w:t xml:space="preserve">shorter tail and longer head and ears.  These animals are of</w:t></w:r>
</w:p>
<w:p>
<w:pPr><w:pStyle w:val="Normal"/></w:pPr>
<w:r><w:t xml:space="preserve">nocturnal and burrowing habits, and generally to be found near</w:t></w:r>
</w:p>
<w:p>
<w:pPr><w:pStyle w:val="Normal"/></w:pPr>
<w:r><w:t xml:space="preserve">ant-hills.  The strong claws make a hole in the side of the</w:t></w:r>
</w:p>
<w:p>
<w:pPr><w:pStyle w:val="Normal"/></w:pPr>
<w:r><w:t xml:space="preserve">ant-hill, and the insects are collected on the extensile</w:t></w:r>
</w:p>
<w:p>
<w:pPr><w:pStyle w:val="Normal"/></w:pPr>
<w:r><w:t xml:space="preserve">tongue.  Aard-varks are hunted for their skins; but the</w:t></w:r>
</w:p>
<w:p>
<w:pPr><w:pStyle w:val="Normal"/></w:pPr>
<w:r><w:t xml:space="preserve">flesh is valued for food, and often salted and smoked.</w:t></w:r>
</w:p>
<w:p>
<w:pPr><w:pStyle w:val="Normal"/></w:pPr>
<w:r><w:t xml:space="preserve">AARD-WOLF (earth-wolf), a South and East African carnivorous</w:t></w:r>
</w:p>
<w:p>
<w:pPr><w:pStyle w:val="Normal"/></w:pPr>
<w:r><w:t xml:space="preserve">mammal (Proteles cristatus), in general appearance like a</w:t></w:r>
</w:p>
<w:p>
<w:pPr><w:pStyle w:val="Normal"/></w:pPr>
<w:r><w:t xml:space="preserve">small striped hyena, but with a more pointed muzzle, sharpe</w:t></w:r>
</w:p>
<w:p>
<w:pPr><w:pStyle w:val="Normal"/></w:pPr>
<w:r><w:t xml:space="preserve">ears, and a long erectile mane down the middle line of the</w:t></w:r>
</w:p>
<w:p>
<w:pPr><w:pStyle w:val="Normal"/></w:pPr>
<w:r><w:t xml:space="preserve">neck and back.  It is of nocturnal and burrowing habits, and</w:t></w:r>
</w:p>
<w:p>
<w:pPr><w:pStyle w:val="Normal"/></w:pPr>
<w:r><w:t xml:space="preserve">feeds on decomposed animal substances, larvae and termites.</w:t></w:r>
</w:p>
<w:p>
<w:pPr><w:pStyle w:val="Normal"/></w:pPr>
<w:r><w:t xml:space="preserve">AARGAU (Fr. Argovie), one of the more northerly Swiss</w:t></w:r>
</w:p>
<w:p>
<w:pPr><w:pStyle w:val="Normal"/></w:pPr>
<w:r><w:t xml:space="preserve">cantons, comprising the lower course of the river Aar (q.v.),</w:t></w:r>
</w:p>
<w:p>
<w:pPr><w:pStyle w:val="Normal"/></w:pPr>
<w:r><w:t xml:space="preserve">whence its name.  Its total area is 541.9 sq. m., of which</w:t></w:r>
</w:p>
<w:p>
<w:pPr><w:pStyle w:val="Normal"/></w:pPr>
<w:r><w:t xml:space="preserve">517.9 sq. m. are classed as ``productive&apos;&apos; (forests covering</w:t></w:r>
</w:p>
<w:p>
<w:pPr><w:pStyle w:val="Normal"/></w:pPr>
<w:r><w:t xml:space="preserve">172 sq. m. and vineyards 8.2 sq. m.).  It is one of the least</w:t></w:r>
</w:p>
<w:p>
<w:pPr><w:pStyle w:val="Normal"/></w:pPr>
<w:r><w:t xml:space="preserve">mountainous Swiss cantons, forming part of a great table-land,</w:t></w:r>
</w:p>
<w:p>
<w:pPr><w:pStyle w:val="Normal"/></w:pPr>
<w:r><w:t xml:space="preserve">to the north of the Alps and the east of the Jura, above which</w:t></w:r>
</w:p>
<w:p>
<w:pPr><w:pStyle w:val="Normal"/></w:pPr>
<w:r><w:t xml:space="preserve">rise low hills.  The surface of the country is beautifully</w:t></w:r>
</w:p>
<w:p>
<w:pPr><w:pStyle w:val="Normal"/></w:pPr>
<w:r><w:t xml:space="preserve">diversified, undulating tracts and well-wooded hills alternating</w:t></w:r>
</w:p>
<w:p>
<w:pPr><w:pStyle w:val="Normal"/></w:pPr>
<w:r><w:t xml:space="preserve">with fertile valleys watered mainly by the Aar and its</w:t></w:r>
</w:p>
<w:p>
<w:pPr><w:pStyle w:val="Normal"/></w:pPr>
<w:r><w:t xml:space="preserve">tributaries.  It contains the famous hot sulphur springs of</w:t></w:r>
</w:p>
<w:p>
<w:pPr><w:pStyle w:val="Normal"/></w:pPr>
<w:r><w:t xml:space="preserve">Baden (q.v.) and Schinznach, while at Rheinfelden there are</w:t></w:r>
</w:p>
<w:p>
<w:pPr><w:pStyle w:val="Normal"/></w:pPr>
<w:r><w:t xml:space="preserve">very extensive saline springs.  Just below Brugg the Reuss</w:t></w:r>
</w:p>
<w:p>
<w:pPr><w:pStyle w:val="Normal"/></w:pPr>
<w:r><w:t xml:space="preserve">and the Limmat join the Aar, while around Brugg are the ruined</w:t></w:r>
</w:p>
<w:p>
<w:pPr><w:pStyle w:val="Normal"/></w:pPr>
<w:r><w:t xml:space="preserve">castle of Habsburg, the old convent of Konigsfelden (with</w:t></w:r>
</w:p>
<w:p>
<w:pPr><w:pStyle w:val="Normal"/></w:pPr>
<w:r><w:t xml:space="preserve">fine painted medieval glass) and the remains of the Roman</w:t></w:r>
</w:p>
<w:p>
<w:pPr><w:pStyle w:val="Normal"/></w:pPr>
<w:r><w:t xml:space="preserve">settlement of Vindonissa [Windisch].  The total population</w:t></w:r>
</w:p>
<w:p>
<w:pPr><w:pStyle w:val="Normal"/></w:pPr>
<w:r><w:t xml:space="preserve">in 1900 was 206,498, almost exclusively German-speaking, but</w:t></w:r>
</w:p>
<w:p>
<w:pPr><w:pStyle w:val="Normal"/></w:pPr>
<w:r><w:t xml:space="preserve">numbering 114,176 Protestants to 91,039 Romanists and 990</w:t></w:r>
</w:p>
<w:p>
<w:pPr><w:pStyle w:val="Normal"/></w:pPr>
<w:r><w:t xml:space="preserve">Jews.  The capital of the canton is Aarau (q.v.), while</w:t></w:r>
</w:p>
<w:p>
<w:pPr><w:pStyle w:val="Normal"/></w:pPr>
<w:r><w:t xml:space="preserve">other important towns are Baden (q.v.), Zofingen (4591</w:t></w:r>
</w:p>
<w:p>
<w:pPr><w:pStyle w:val="Normal"/></w:pPr>
<w:r><w:t xml:space="preserve">inhabitants), Reinach (3668 inhabitants), Rheinfelden (3349</w:t></w:r>
</w:p>
<w:p>
<w:pPr><w:pStyle w:val="Normal"/></w:pPr>
<w:r><w:t xml:space="preserve">inhabitants), Wohlen (3274 inhabitants), and Lenzburg (2588</w:t></w:r>
</w:p>
<w:p>
<w:pPr><w:pStyle w:val="Normal"/></w:pPr>
<w:r><w:t xml:space="preserve">inhabitants).  Aargau is an industrious and prosperous canton,</w:t></w:r>
</w:p>
<w:p>
<w:pPr><w:pStyle w:val="Normal"/></w:pPr>
<w:r><w:t xml:space="preserve">straw-plaiting, tobacco-growing, silk-ribbon weaving, and</w:t></w:r>
</w:p>
<w:p>
<w:pPr><w:pStyle w:val="Normal"/></w:pPr>
<w:r><w:t xml:space="preserve">salmon-fishing in the Rhine being among the chief industries.</w:t></w:r>
</w:p>
<w:p>
<w:pPr><w:pStyle w:val="Normal"/></w:pPr>
<w:r><w:t xml:space="preserve">As this region was, up to 1415, the centre of the Habsburg</w:t></w:r>
</w:p>
<w:p>
<w:pPr><w:pStyle w:val="Normal"/></w:pPr>
<w:r><w:t xml:space="preserve">power, we find here many historical old castles (e.g.</w:t></w:r>
</w:p>
<w:p>
<w:pPr><w:pStyle w:val="Normal"/></w:pPr>
<w:r><w:t xml:space="preserve">Habsburg, Lenzburg, Wildegg), and former monasteries (e.g.</w:t></w:r>
</w:p>
<w:p>
<w:pPr><w:pStyle w:val="Normal"/></w:pPr>
<w:r><w:t xml:space="preserve">Wettingen, Muri), founded by that family, but suppressed in</w:t></w:r>
</w:p>
<w:p>
<w:pPr><w:pStyle w:val="Normal"/></w:pPr>
<w:r><w:t xml:space="preserve">1841, this act of violence being one of the main causes</w:t></w:r>
</w:p>
<w:p>
<w:pPr><w:pStyle w:val="Normal"/></w:pPr>
<w:r><w:t xml:space="preserve">of the civil war called the ``Sonderbund War,&apos;&apos; in 1847 in</w:t></w:r>
</w:p>
<w:p>
<w:pPr><w:pStyle w:val="Normal"/></w:pPr>
<w:r><w:t xml:space="preserve">Switzerland.  The cantonal constitution dates mainly from</w:t></w:r>
</w:p>
<w:p>
<w:pPr><w:pStyle w:val="Normal"/></w:pPr>
<w:r><w:t xml:space="preserve">1885, but since 1904 the election of the executive council</w:t></w:r>
</w:p>
<w:p>
<w:pPr><w:pStyle w:val="Normal"/></w:pPr>
<w:r><w:t xml:space="preserve">of five members is made by a direct vote of the people.  The</w:t></w:r>
</w:p>
<w:p>
<w:pPr><w:pStyle w:val="Normal"/></w:pPr>
<w:r><w:t xml:space="preserve">legislature consists of members elected in the proportion of</w:t></w:r>
</w:p>
<w:p>
<w:pPr><w:pStyle w:val="Normal"/></w:pPr>
<w:r><w:t xml:space="preserve">one to every 1100 inhabitants.  The ``obligatory referendum&apos;&apos;</w:t></w:r>
</w:p>
<w:p>
<w:pPr><w:pStyle w:val="Normal"/></w:pPr>
<w:r><w:t xml:space="preserve">exists in the case of all laws, while 5000 citizens have the</w:t></w:r>
</w:p>
<w:p>
<w:pPr><w:pStyle w:val="Normal"/></w:pPr>
<w:r><w:t xml:space="preserve">right of ``initiative&apos;&apos; in proposing bills or alterations</w:t></w:r>
</w:p>
<w:p>
<w:pPr><w:pStyle w:val="Normal"/></w:pPr>
<w:r><w:t xml:space="preserve">in the cantonal constitution.  The canton sends 10 members</w:t></w:r>
</w:p>
<w:p>
<w:pPr><w:pStyle w:val="Normal"/></w:pPr>
<w:r><w:t xml:space="preserve">to the federal Nationalrat, being one for every 20,000,</w:t></w:r>
</w:p>
<w:p>
<w:pPr><w:pStyle w:val="Normal"/></w:pPr>
<w:r><w:t xml:space="preserve">while the two Standerate are (since 1904) elected by</w:t></w:r>
</w:p>
<w:p>
<w:pPr><w:pStyle w:val="Normal"/></w:pPr>
<w:r><w:t xml:space="preserve">a direct vote of the people.  The canton is divided into</w:t></w:r>
</w:p>
<w:p>
<w:pPr><w:pStyle w:val="Normal"/></w:pPr>
<w:r><w:t xml:space="preserve">eleven administrative districts, and contains 241 communes.</w:t></w:r>
</w:p>
<w:p>
<w:pPr><w:pStyle w:val="Normal"/></w:pPr>
<w:r><w:t xml:space="preserve">1415 the Aargau region was taken from the Habsburgs by the Swiss</w:t></w:r>
</w:p>
<w:p>
<w:pPr><w:pStyle w:val="Normal"/></w:pPr>
<w:r><w:t xml:space="preserve">Confederates.  Bern kept the south-west portion (Zofingen,</w:t></w:r>
</w:p>
<w:p>
<w:pPr><w:pStyle w:val="Normal"/></w:pPr>
<w:r><w:t xml:space="preserve">Aarburg, Aarau, Lenzburg, and Brugg), but some districts,</w:t></w:r>
</w:p>
<w:p>
<w:pPr><w:pStyle w:val="Normal"/></w:pPr>
<w:r><w:t xml:space="preserve">named the Freie Amter or ``free bailiwicks&apos;&apos; (Mellingen,</w:t></w:r>
</w:p>
<w:p>
<w:pPr><w:pStyle w:val="Normal"/></w:pPr>
<w:r><w:t xml:space="preserve">Muri, Villmergen, and Bremgarten), with the county of Baden,</w:t></w:r>
</w:p>
<w:p>
<w:pPr><w:pStyle w:val="Normal"/></w:pPr>
<w:r><w:t xml:space="preserve">were ruled as ``subject lands&apos;&apos; by all or certain of the</w:t></w:r>
</w:p>
<w:p>
<w:pPr><w:pStyle w:val="Normal"/></w:pPr>
<w:r><w:t xml:space="preserve">Confederates.  In 1798 the Bernese bit became the canton of</w:t></w:r>
</w:p>
<w:p>
<w:pPr><w:pStyle w:val="Normal"/></w:pPr>
<w:r><w:t xml:space="preserve">Aargau of the Helvetic Republic, the remainder forming the</w:t></w:r>
</w:p>
<w:p>
<w:pPr><w:pStyle w:val="Normal"/></w:pPr>
<w:r><w:t xml:space="preserve">canton of Baden.  In 1803, the two halves (plus the Frick</w:t></w:r>
</w:p>
<w:p>
<w:pPr><w:pStyle w:val="Normal"/></w:pPr>
<w:r><w:t xml:space="preserve">glen, ceded in 1802 by Austria to the Helvetic Republic)</w:t></w:r>
</w:p>
<w:p>
<w:pPr><w:pStyle w:val="Normal"/></w:pPr>
<w:r><w:t xml:space="preserve">were united under the name of Kanton Aargau, which was then</w:t></w:r>
</w:p>
<w:p>
<w:pPr><w:pStyle w:val="Normal"/></w:pPr>
<w:r><w:t xml:space="preserve">admitted a full member of the reconstituted Confederation.</w:t></w:r>
</w:p>
<w:p>
<w:pPr><w:pStyle w:val="Normal"/></w:pPr>
<w:r><w:t xml:space="preserve">See also Argovia (published by the Cantonal Historical</w:t></w:r>
</w:p>
<w:p>
<w:pPr><w:pStyle w:val="Normal"/></w:pPr>
<w:r><w:t xml:space="preserve">Society), Aarau, from 1860; F. X. Bronner, Der Kanton Aargau,</w:t></w:r>
</w:p>
<w:p>
<w:pPr><w:pStyle w:val="Normal"/></w:pPr>
<w:r><w:t xml:space="preserve">2 vols., St Gall and Bern, 1844; H. Lehmann, Die argauische</w:t></w:r>
</w:p>
<w:p>
<w:pPr><w:pStyle w:val="Normal"/></w:pPr>
<w:r><w:t xml:space="preserve">Strohindustrie, Aarau, 1896; W. Merz, Die mittelalt.</w:t></w:r>
</w:p>
<w:p>
<w:pPr><w:pStyle w:val="Normal"/></w:pPr>
<w:r><w:t xml:space="preserve">Burganlagen und Wehrbauten d.  Kant.  Argau (fine illustrated</w:t></w:r>
</w:p>
<w:p>
<w:pPr><w:pStyle w:val="Normal"/></w:pPr>
<w:r><w:t xml:space="preserve">work on castles), Aarau, 2 vols., 1904--1906; W. Merz and</w:t></w:r>
</w:p>
<w:p>
<w:pPr><w:pStyle w:val="Normal"/></w:pPr>
<w:r><w:t xml:space="preserve">F. E. Welti, Die Rechtsquellen d.  Kant. Argau, 3 vols.,</w:t></w:r>
</w:p>
<w:p>
<w:pPr><w:pStyle w:val="Normal"/></w:pPr>
<w:r><w:t xml:space="preserve">Aarau, 1898--1905; J. Muller, Der Aargau, 2 vols., Zurich,</w:t></w:r>
</w:p>
<w:p>
<w:pPr><w:pStyle w:val="Normal"/></w:pPr>
<w:r><w:t xml:space="preserve">1870; E. L. Rochholz, Aargauer Weisthumer, Atarau, 1877; E.</w:t></w:r>
</w:p>
<w:p>
<w:pPr><w:pStyle w:val="Normal"/></w:pPr>
<w:r><w:t xml:space="preserve">Zschokke, Geschichte des Aargaus, Aarau, 1903. (W. A. B. C.)</w:t></w:r>
</w:p>
<w:p>
<w:pPr><w:pStyle w:val="Normal"/></w:pPr>
<w:r><w:t xml:space="preserve">AARHUS, a seaport and bishop&apos;s see of Denmark, on the</w:t></w:r>
</w:p>
<w:p>
<w:pPr><w:pStyle w:val="Normal"/></w:pPr>
<w:r><w:t xml:space="preserve">east coast of Jutland, of which it is the principal port;</w:t></w:r>
</w:p>
<w:p>
<w:pPr><w:pStyle w:val="Normal"/></w:pPr>
<w:r><w:t xml:space="preserve">the second largest town in the kingdom, and capital of</w:t></w:r>
</w:p>
<w:p>
<w:pPr><w:pStyle w:val="Normal"/></w:pPr>
<w:r><w:t xml:space="preserve">the amt (county) of Aarhus.  Pop. (1901) 51,814.  The</w:t></w:r>
</w:p>
<w:p>
<w:pPr><w:pStyle w:val="Normal"/></w:pPr>
<w:r><w:t xml:space="preserve">district is low-lying, fertile and well wooded.  The town</w:t></w:r>
</w:p>
<w:p>
<w:pPr><w:pStyle w:val="Normal"/></w:pPr>
<w:r><w:t xml:space="preserve">is the junction of railways from all parts of the country.</w:t></w:r>
</w:p>
<w:p>
<w:pPr><w:pStyle w:val="Normal"/></w:pPr>
<w:r><w:t xml:space="preserve">The harbour is good and safe, and agricultural produce is</w:t></w:r>
</w:p>
<w:p>
<w:pPr><w:pStyle w:val="Normal"/></w:pPr>
<w:r><w:t xml:space="preserve">exported, while coal and iron are among the chief imports.</w:t></w:r>
</w:p>
<w:p>
<w:pPr><w:pStyle w:val="Normal"/></w:pPr>
<w:r><w:t xml:space="preserve">The cathedral of the 13th century (extensively restored) is</w:t></w:r>
</w:p>
<w:p>
<w:pPr><w:pStyle w:val="Normal"/></w:pPr>
<w:r><w:t xml:space="preserve">the largest church in Denmark.  There is a museum of art and</w:t></w:r>
</w:p>
<w:p>
<w:pPr><w:pStyle w:val="Normal"/></w:pPr>
<w:r><w:t xml:space="preserve">antiquities.  To the south-west (13 m. by rail), a picturesque</w:t></w:r>
</w:p>
<w:p>
<w:pPr><w:pStyle w:val="Normal"/></w:pPr>
<w:r><w:t xml:space="preserve">region extends west from the railway junction of Skanderborg,</w:t></w:r>
</w:p>
<w:p>
<w:pPr><w:pStyle w:val="Normal"/></w:pPr>
<w:r><w:t xml:space="preserve">including several lakes, through which flows the Gudenaa,</w:t></w:r>
</w:p>
<w:p>
<w:pPr><w:pStyle w:val="Normal"/></w:pPr>
<w:r><w:t xml:space="preserve">the largest river in Jutland, and rising ground exceeding</w:t></w:r>
</w:p>
<w:p>
<w:pPr><w:pStyle w:val="Normal"/></w:pPr>
<w:r><w:t xml:space="preserve">500 ft. in the Himmelbjerg.  The railway traverses this</w:t></w:r>
</w:p>
<w:p>
<w:pPr><w:pStyle w:val="Normal"/></w:pPr>
<w:r><w:t xml:space="preserve">pleasant district of moorland and wood to Silkeborg, a modern</w:t></w:r>
</w:p>
<w:p>
<w:pPr><w:pStyle w:val="Normal"/></w:pPr>
<w:r><w:t xml:space="preserve">town having one of the most attractive situations in the</w:t></w:r>
</w:p>
<w:p>
<w:pPr><w:pStyle w:val="Normal"/></w:pPr>
<w:r><w:t xml:space="preserve">kingdom.  The bishopric of Aarhus dates at least from 951.</w:t></w:r>
</w:p>
<w:p>
<w:pPr><w:pStyle w:val="Normal"/></w:pPr>
<w:r><w:t xml:space="preserve">AARON, the traditional founder and head of the Jewish</w:t></w:r>
</w:p>
<w:p>
<w:pPr><w:pStyle w:val="Normal"/></w:pPr>
<w:r><w:t xml:space="preserve">priesthood, who, in company with Moses, led the Israelites</w:t></w:r>
</w:p>
<w:p>
<w:pPr><w:pStyle w:val="Normal"/></w:pPr>
<w:r><w:t xml:space="preserve">out of Egypt (see EXODUS; MOSES) . The greater part of</w:t></w:r>
</w:p>
<w:p>
<w:pPr><w:pStyle w:val="Normal"/></w:pPr>
<w:r><w:t xml:space="preserve">his life-history is preserved in late Biblical narratives,</w:t></w:r>
</w:p>
<w:p>
<w:pPr><w:pStyle w:val="Normal"/></w:pPr>
<w:r><w:t xml:space="preserve">which carry back existing conditions and beliefs to the</w:t></w:r>
</w:p>
<w:p>
<w:pPr><w:pStyle w:val="Normal"/></w:pPr>
<w:r><w:t xml:space="preserve">time of the Exodus, and find a precedent for contemporary</w:t></w:r>
</w:p>
<w:p>
<w:pPr><w:pStyle w:val="Normal"/></w:pPr>
<w:r><w:t xml:space="preserve">hierarchical institutions in the events of that period.</w:t></w:r>
</w:p>
<w:p>
<w:pPr><w:pStyle w:val="Normal"/></w:pPr>
<w:r><w:t xml:space="preserve">Although Aaron was said to have been sent by Yahweh (Jehovah)</w:t></w:r>
</w:p>
<w:p>
<w:pPr><w:pStyle w:val="Normal"/></w:pPr>
<w:r><w:t xml:space="preserve">to meet Moses at the ``mount of God&apos;&apos; (Horeb, Ex.iv.27),he</w:t></w:r>
</w:p>
<w:p>
<w:pPr><w:pStyle w:val="Normal"/></w:pPr>
<w:r><w:t xml:space="preserve">plays only a secondary part in the incidents at Pharaoh&apos;s</w:t></w:r>
</w:p>
<w:p>
<w:pPr><w:pStyle w:val="Normal"/></w:pPr>
<w:r><w:t xml:space="preserve">court.  After the ``exodus&apos;&apos; from Egypt a striking account</w:t></w:r>
</w:p>
<w:p>
<w:pPr><w:pStyle w:val="Normal"/></w:pPr>
<w:r><w:t xml:space="preserve">is given of the vision of the God of Israel vouchsafed to</w:t></w:r>
</w:p>
<w:p>
<w:pPr><w:pStyle w:val="Normal"/></w:pPr>
<w:r><w:t xml:space="preserve">him and to his sons Nadab and Abihu on the same holy mount</w:t></w:r>
</w:p>
<w:p>
<w:pPr><w:pStyle w:val="Normal"/></w:pPr>
<w:r><w:t xml:space="preserve">(Ex. xxiv. 1 seq. 9-11), and together with Hur he was at the</w:t></w:r>
</w:p>
<w:p>
<w:pPr><w:pStyle w:val="Normal"/></w:pPr>
<w:r><w:t xml:space="preserve">side of Moses when the latter, by means of his wonder-working</w:t></w:r>
</w:p>
<w:p>
<w:pPr><w:pStyle w:val="Normal"/></w:pPr>
<w:r><w:t xml:space="preserve">rod, enabled Joshua to defeat the Amalekites (xvii. 8-16).</w:t></w:r>
</w:p>
<w:p>
<w:pPr><w:pStyle w:val="Normal"/></w:pPr>
<w:r><w:t xml:space="preserve">Hur and Aaron were left in charge of the Israelites when</w:t></w:r>
</w:p>
<w:p>
<w:pPr><w:pStyle w:val="Normal"/></w:pPr>
<w:r><w:t xml:space="preserve">Moses and Joshua ascended the mount to receive the Tables of</w:t></w:r>
</w:p>
<w:p>
<w:pPr><w:pStyle w:val="Normal"/></w:pPr>
<w:r><w:t xml:space="preserve">the Law (xxiv. 12-15), and when the people, in dismay at the</w:t></w:r>
</w:p>
<w:p>
<w:pPr><w:pStyle w:val="Normal"/></w:pPr>
<w:r><w:t xml:space="preserve">prolonged absence of their leader, demanded a god, it was at</w:t></w:r>
</w:p>
<w:p>
<w:pPr><w:pStyle w:val="Normal"/></w:pPr>
<w:r><w:t xml:space="preserve">the instigation of Aaron that the golden calf was made (see</w:t></w:r>
</w:p>
<w:p>
<w:pPr><w:pStyle w:val="Normal"/></w:pPr>
<w:r><w:t xml:space="preserve">CALF, GOLDEN). This was regarded as an act of apostasy</w:t></w:r>
</w:p>
<w:p>
<w:pPr><w:pStyle w:val="Normal"/></w:pPr>
<w:r><w:t xml:space="preserve">which, according to one tradition, led to the consecration</w:t></w:r>
</w:p>
<w:p>
<w:pPr><w:pStyle w:val="Normal"/></w:pPr>
<w:r><w:t xml:space="preserve">of the Levites, and almost cost Aaron his life (cp. Deut.</w:t></w:r>
</w:p>
<w:p>
<w:pPr><w:pStyle w:val="Normal"/></w:pPr>
<w:r><w:t xml:space="preserve">ix. 20). The incident paves the way for the account of the</w:t></w:r>
</w:p>
<w:p>
<w:pPr><w:pStyle w:val="Normal"/></w:pPr>
<w:r><w:t xml:space="preserve">preparation of the new tables of stone which contain a series</w:t></w:r>
</w:p>
<w:p>
<w:pPr><w:pStyle w:val="Normal"/></w:pPr>
<w:r><w:t xml:space="preserve">of laws quite distinct from the Decalogue (q.v.) (Ex. xxxiii.</w:t></w:r>
</w:p>
<w:p>
<w:pPr><w:pStyle w:val="Normal"/></w:pPr>
<w:r><w:t xml:space="preserve">seq.).  Kadesh, and not Sinai or Horeb, appears to have been</w:t></w:r>
</w:p>
<w:p>
<w:pPr><w:pStyle w:val="Normal"/></w:pPr>
<w:r><w:t xml:space="preserve">originally the scene of these incidents (Deut. xxxiii. 8</w:t></w:r>
</w:p>
<w:p>
<w:pPr><w:pStyle w:val="Normal"/></w:pPr>
<w:r><w:t xml:space="preserve">seq. compared with Ex. xxxii. 26 sqq.), and it was for some</w:t></w:r>
</w:p>
<w:p>
<w:pPr><w:pStyle w:val="Normal"/></w:pPr>
<w:r><w:t xml:space="preserve">obscure offence at this place that both Aaron and Moses were</w:t></w:r>
</w:p>
<w:p>
<w:pPr><w:pStyle w:val="Normal"/></w:pPr>
<w:r><w:t xml:space="preserve">prohibited from entering the Promised Land (Num. xx.).  In</w:t></w:r>
</w:p>
<w:p>
<w:pPr><w:pStyle w:val="Normal"/></w:pPr>
<w:r><w:t xml:space="preserve">what way they had not ``sanctified&apos;&apos; (an allusion in the</w:t></w:r>
</w:p>
<w:p>
<w:pPr><w:pStyle w:val="Normal"/></w:pPr>
<w:r><w:t xml:space="preserve">Hebrew to Kadesh ``holy&apos;&apos;) Yahweh is quite uncertain, and</w:t></w:r>
</w:p>
<w:p>
<w:pPr><w:pStyle w:val="Normal"/></w:pPr>
<w:r><w:t xml:space="preserve">it would appear that it was for a similar offence that the</w:t></w:r>
</w:p>
<w:p>
<w:pPr><w:pStyle w:val="Normal"/></w:pPr>
<w:r><w:t xml:space="preserve">sons of Aaron mentioned above also met their death (Lev. x. 3;</w:t></w:r>
</w:p>
<w:p>
<w:pPr><w:pStyle w:val="Normal"/></w:pPr>
<w:r><w:t xml:space="preserve">cp.  Num. xx. 12, Deut. xxxii. 51). Aaron is said to have</w:t></w:r>
</w:p>
<w:p>
<w:pPr><w:pStyle w:val="Normal"/></w:pPr>
<w:r><w:t xml:space="preserve">died at Moserah (Deut. x. 6), or at Mt. Hor; the latter is</w:t></w:r>
</w:p>
<w:p>
<w:pPr><w:pStyle w:val="Normal"/></w:pPr>
<w:r><w:t xml:space="preserve">an unidentified site on the border of Edom (Num. xx. 23,</w:t></w:r>
</w:p>
<w:p>
<w:pPr><w:pStyle w:val="Normal"/></w:pPr>
<w:r><w:t xml:space="preserve">xxxiii. 37; for Moserah see ib. 30-31), and consequently</w:t></w:r>
</w:p>
<w:p>
<w:pPr><w:pStyle w:val="Normal"/></w:pPr>
<w:r><w:t xml:space="preserve">not in the neighbourhood of Petra, which has been the</w:t></w:r>
</w:p>
<w:p>
<w:pPr><w:pStyle w:val="Normal"/></w:pPr>
<w:r><w:t xml:space="preserve">traditional scene from the time of Josephus (Ant. iv. 4. 7).</w:t></w:r>
</w:p>
<w:p>
<w:pPr><w:pStyle w:val="Normal"/></w:pPr>
<w:r><w:t xml:space="preserve">Several difficulties in the present Biblical text appear to</w:t></w:r>
</w:p>
<w:p>
<w:pPr><w:pStyle w:val="Normal"/></w:pPr>
<w:r><w:t xml:space="preserve">have arisen from the attempt of later tradition to find a</w:t></w:r>
</w:p>
<w:p>
<w:pPr><w:pStyle w:val="Normal"/></w:pPr>
<w:r><w:t xml:space="preserve">place for Aaron in certain incidents.  In the account of the</w:t></w:r>
</w:p>
<w:p>
<w:pPr><w:pStyle w:val="Normal"/></w:pPr>
<w:r><w:t xml:space="preserve">contention between Moses and his sister Miriam (Num. xii.),</w:t></w:r>
</w:p>
<w:p>
<w:pPr><w:pStyle w:val="Normal"/></w:pPr>
<w:r><w:t xml:space="preserve">Aaron occupies only a secondary position, and it is very doubtful</w:t></w:r>
</w:p>
<w:p>
<w:pPr><w:pStyle w:val="Normal"/></w:pPr>
<w:r><w:t xml:space="preserve">whether he was originally mentioned in the older surviving</w:t></w:r>
</w:p>
<w:p>
<w:pPr><w:pStyle w:val="Normal"/></w:pPr>
<w:r><w:t xml:space="preserve">narratives.  It is at least remarkable that he is only thrice</w:t></w:r>
</w:p>
<w:p>
<w:pPr><w:pStyle w:val="Normal"/></w:pPr>
<w:r><w:t xml:space="preserve">mentioned in Deuteronomy (ix. 20, x. 6, xxxii. 50). The</w:t></w:r>
</w:p>
<w:p>
<w:pPr><w:pStyle w:val="Normal"/></w:pPr>
<w:r><w:t xml:space="preserve">post-exilic narratives give him a greater share in the plagues of</w:t></w:r>
</w:p>
<w:p>
<w:pPr><w:pStyle w:val="Normal"/></w:pPr>
<w:r><w:t xml:space="preserve">Egypt, represent him as high-priest, and confirm his position</w:t></w:r>
</w:p>
<w:p>
<w:pPr><w:pStyle w:val="Normal"/></w:pPr>
<w:r><w:t xml:space="preserve">by the miraculous budding of his rod alone of all the rods of</w:t></w:r>
</w:p>
<w:p>
<w:pPr><w:pStyle w:val="Normal"/></w:pPr>
<w:r><w:t xml:space="preserve">the other tribes (Num. xvii.; for parallels see Gray comm.</w:t></w:r>
</w:p>
<w:p>
<w:pPr><w:pStyle w:val="Normal"/></w:pPr>
<w:r><w:t xml:space="preserve">ad loc., p. 217).  The latter story illustrates the growth</w:t></w:r>
</w:p>
<w:p>
<w:pPr><w:pStyle w:val="Normal"/></w:pPr>
<w:r><w:t xml:space="preserve">of the older exodus-tradition along with the development of</w:t></w:r>
</w:p>
<w:p>
<w:pPr><w:pStyle w:val="Normal"/></w:pPr>
<w:r><w:t xml:space="preserve">priestly ritual: the old account of Korah&apos;s revolt against the</w:t></w:r>
</w:p>
<w:p>
<w:pPr><w:pStyle w:val="Normal"/></w:pPr>
<w:r><w:t xml:space="preserve">authority of Moses has been expanded, and now describes (a)</w:t></w:r>
</w:p>
<w:p>
<w:pPr><w:pStyle w:val="Normal"/></w:pPr>
<w:r><w:t xml:space="preserve">the divine prerogatives of the Levites in general, and (b)</w:t></w:r>
</w:p>
<w:p>
<w:pPr><w:pStyle w:val="Normal"/></w:pPr>
<w:r><w:t xml:space="preserve">the confirmation of the superior privileges of the Aaronites</w:t></w:r>
</w:p>
<w:p>
<w:pPr><w:pStyle w:val="Normal"/></w:pPr>
<w:r><w:t xml:space="preserve">against the rest of the Levites, a development which can</w:t></w:r>
</w:p>
<w:p>
<w:pPr><w:pStyle w:val="Normal"/></w:pPr>
<w:r><w:t xml:space="preserve">scarcely be earlier than the time of Ezekiel (xliv. 15 seq.).</w:t></w:r>
</w:p>
<w:p>
<w:pPr><w:pStyle w:val="Normal"/></w:pPr>
<w:r><w:t xml:space="preserve">Aaron&apos;s son Eleazar was buried in an Ephraimite locality</w:t></w:r>
</w:p>
<w:p>
<w:pPr><w:pStyle w:val="Normal"/></w:pPr>
<w:r><w:t xml:space="preserve">known after the grandson as the ``hill of Phinehas&apos;&apos; (Josh.</w:t></w:r>
</w:p>
<w:p>
<w:pPr><w:pStyle w:val="Normal"/></w:pPr>
<w:r><w:t xml:space="preserve">xxiv. 33). Little historical information has been preserved of</w:t></w:r>
</w:p>
<w:p>
<w:pPr><w:pStyle w:val="Normal"/></w:pPr>
<w:r><w:t xml:space="preserve">either.  The name Phinehas (apparently of Egyptian origin)</w:t></w:r>
</w:p>
<w:p>
<w:pPr><w:pStyle w:val="Normal"/></w:pPr>
<w:r><w:t xml:space="preserve">is better known as that of a son of Eli, a member of the</w:t></w:r>
</w:p>
<w:p>
<w:pPr><w:pStyle w:val="Normal"/></w:pPr>
<w:r><w:t xml:space="preserve">priesthood of Shiloh, and Eleazar is only another form of</w:t></w:r>
</w:p>
<w:p>
<w:pPr><w:pStyle w:val="Normal"/></w:pPr>
<w:r><w:t xml:space="preserve">Eliezer the son of Moses, to whose kin Eli is said to have</w:t></w:r>
</w:p>
<w:p>
<w:pPr><w:pStyle w:val="Normal"/></w:pPr>
<w:r><w:t xml:space="preserve">belonged.  The close relation between Aaronite and Levitical</w:t></w:r>
</w:p>
<w:p>
<w:pPr><w:pStyle w:val="Normal"/></w:pPr>
<w:r><w:t xml:space="preserve">names and those of clans related to Moses is very noteworthy,</w:t></w:r>
</w:p>
<w:p>
<w:pPr><w:pStyle w:val="Normal"/></w:pPr>
<w:r><w:t xml:space="preserve">and it is a curious coincidence that the name of Aaron&apos;s</w:t></w:r>
</w:p>
<w:p>
<w:pPr><w:pStyle w:val="Normal"/></w:pPr>
<w:r><w:t xml:space="preserve">sister Miriam appears in a genealogy of Caleb (1 Chron. iv.</w:t></w:r>
</w:p>
<w:p>
<w:pPr><w:pStyle w:val="Normal"/></w:pPr>
<w:r><w:t xml:space="preserve">17) with Jether (cp. JETHRO) and Heber (cp. KENITES). In</w:t></w:r>
</w:p>
<w:p>
<w:pPr><w:pStyle w:val="Normal"/></w:pPr>
<w:r><w:t xml:space="preserve">view of the confusion of the traditions and the difficulty of</w:t></w:r>
</w:p>
<w:p>
<w:pPr><w:pStyle w:val="Normal"/></w:pPr>
<w:r><w:t xml:space="preserve">interpreting the details sketched above, the recovery of the</w:t></w:r>
</w:p>
<w:p>
<w:pPr><w:pStyle w:val="Normal"/></w:pPr>
<w:r><w:t xml:space="preserve">historical Aaron is a work of peculiar intricacy.  He may</w:t></w:r>
</w:p>
<w:p>
<w:pPr><w:pStyle w:val="Normal"/></w:pPr>
<w:r><w:t xml:space="preserve">well have been the traditional head of the priesthood, and</w:t></w:r>
</w:p>
<w:p>
<w:pPr><w:pStyle w:val="Normal"/></w:pPr>
<w:r><w:t xml:space="preserve">R. H. Kennett has argued in favour of the view that he was</w:t></w:r>
</w:p>
<w:p>
<w:pPr><w:pStyle w:val="Normal"/></w:pPr>
<w:r><w:t xml:space="preserve">the founder of the cult at Bethel (Journ. of Theol.  Stud.,</w:t></w:r>
</w:p>
<w:p>
<w:pPr><w:pStyle w:val="Normal"/></w:pPr>
<w:r><w:t xml:space="preserve">1905, pp. 161 sqq.), corresponding to the Mosaite founder</w:t></w:r>
</w:p>
<w:p>
<w:pPr><w:pStyle w:val="Normal"/></w:pPr>
<w:r><w:t xml:space="preserve">of Dan (q.v.). This throws no light upon the name, which</w:t></w:r>
</w:p>
<w:p>
<w:pPr><w:pStyle w:val="Normal"/></w:pPr>
<w:r><w:t xml:space="preserve">still remains quite obscure: and unless Aaron (Aharon) is</w:t></w:r>
</w:p>
<w:p>
<w:pPr><w:pStyle w:val="Normal"/></w:pPr>
<w:r><w:t xml:space="preserve">based upon Aron, ``ark&apos;&apos; (Redslob, R. P. A. Dozy, J. P.</w:t></w:r>
</w:p>
<w:p>
<w:pPr><w:pStyle w:val="Normal"/></w:pPr>
<w:r><w:t xml:space="preserve">N. Land), names associated with Moses and Aaron, which are,</w:t></w:r>
</w:p>
<w:p>
<w:pPr><w:pStyle w:val="Normal"/></w:pPr>
<w:r><w:t xml:space="preserve">apparently, of South Palestinian (or North-Arabian) origin.</w:t></w:r>
</w:p>
<w:p>
<w:pPr><w:pStyle w:val="Normal"/></w:pPr>
<w:r><w:t xml:space="preserve">For the literature and a general account of the Jewish</w:t></w:r>
</w:p>
<w:p>
<w:pPr><w:pStyle w:val="Normal"/></w:pPr>
<w:r><w:t xml:space="preserve">priesthood, see the articles LEVTTES and PRIEST. . (S. A. C.)</w:t></w:r>
</w:p>
<w:p>
<w:pPr><w:pStyle w:val="Normal"/></w:pPr>
<w:r><w:t xml:space="preserve">AARON&apos;S ROD, the popular name given to various tall flowering</w:t></w:r>
</w:p>
<w:p>
<w:pPr><w:pStyle w:val="Normal"/></w:pPr>
<w:r><w:t xml:space="preserve">plants (``hag taper,&apos;, ``golden rod,&apos;&apos; &amp;c.).  In architecture</w:t></w:r>
</w:p>
<w:p>
<w:pPr><w:pStyle w:val="Normal"/></w:pPr>
<w:r><w:t xml:space="preserve">the term is given to an ornamental rod with sprouting leaves,</w:t></w:r>
</w:p>
<w:p>
<w:pPr><w:pStyle w:val="Normal"/></w:pPr>
<w:r><w:t xml:space="preserve">or sometimes with a serpent entwined round it (from the</w:t></w:r>
</w:p>
<w:p>
<w:pPr><w:pStyle w:val="Normal"/></w:pPr>
<w:r><w:t xml:space="preserve">Biblical references in Exodus vii. 10 and Numbers xvii. 8).</w:t></w:r>
</w:p>
<w:p>
<w:pPr><w:pStyle w:val="Normal"/></w:pPr>
<w:r><w:t xml:space="preserve">AARSSENS, or AARSSEN, FRANCIS VAN (1572-1641), a</w:t></w:r>
</w:p>
<w:p>
<w:pPr><w:pStyle w:val="Normal"/></w:pPr>
<w:r><w:t xml:space="preserve">celebrated diplomatist and statesman of the United Provinces.</w:t></w:r>
</w:p>
<w:p>
<w:pPr><w:pStyle w:val="Normal"/></w:pPr>
<w:r><w:t xml:space="preserve">His talents commended him to the notice of Advocate Johan</w:t></w:r>
</w:p>
<w:p>
<w:pPr><w:pStyle w:val="Normal"/></w:pPr>
<w:r><w:t xml:space="preserve">van Oldenbarneveldt, who sent him, at the age of 26 years,</w:t></w:r>
</w:p>
<w:p>
<w:pPr><w:pStyle w:val="Normal"/></w:pPr>
<w:r><w:t xml:space="preserve">as a diplomatic agent of the states-general to the court of</w:t></w:r>
</w:p>
<w:p>
<w:pPr><w:pStyle w:val="Normal"/></w:pPr>
<w:r><w:t xml:space="preserve">France.  He took a considerable part in the negotiations of</w:t></w:r>
</w:p>
<w:p>
<w:pPr><w:pStyle w:val="Normal"/></w:pPr>
<w:r><w:t xml:space="preserve">the twelve years&apos; truce in 1606.  His conduct of affairs having</w:t></w:r>
</w:p>
<w:p>
<w:pPr><w:pStyle w:val="Normal"/></w:pPr>
<w:r><w:t xml:space="preserve">displeased the French king, he was recalled from his post by</w:t></w:r>
</w:p>
<w:p>
<w:pPr><w:pStyle w:val="Normal"/></w:pPr>
<w:r><w:t xml:space="preserve">Oldenbarneveldt in 1616.  Such was the hatred he henceforth</w:t></w:r>
</w:p>
<w:p>
<w:pPr><w:pStyle w:val="Normal"/></w:pPr>
<w:r><w:t xml:space="preserve">conceived against his former benefactor, that he did his</w:t></w:r>
</w:p>
<w:p>
<w:pPr><w:pStyle w:val="Normal"/></w:pPr>
<w:r><w:t xml:space="preserve">very utmost to effect his ruin.  He was one of the packed</w:t></w:r>
</w:p>
<w:p>
<w:pPr><w:pStyle w:val="Normal"/></w:pPr>
<w:r><w:t xml:space="preserve">court of judges who in 1619 condemned the aged statesman to</w:t></w:r>
</w:p>
<w:p>
<w:pPr><w:pStyle w:val="Normal"/></w:pPr>
<w:r><w:t xml:space="preserve">death.  For his share in this judicial murder a deep stain</w:t></w:r>
</w:p>
<w:p>
<w:pPr><w:pStyle w:val="Normal"/></w:pPr>
<w:r><w:t xml:space="preserve">rests on the memory of Aarssens.  He afterwards became the</w:t></w:r>
</w:p>
<w:p>
<w:pPr><w:pStyle w:val="Normal"/></w:pPr>
<w:r><w:t xml:space="preserve">confidential counsellor of Maurice, prince of Orange, and</w:t></w:r>
</w:p>
<w:p>
<w:pPr><w:pStyle w:val="Normal"/></w:pPr>
<w:r><w:t xml:space="preserve">afterwards of Frederick Henry, prince of Orange, in their</w:t></w:r>
</w:p>
<w:p>
<w:pPr><w:pStyle w:val="Normal"/></w:pPr>
<w:r><w:t xml:space="preserve">conduct of the foreign affairs of the republic.  He was sent</w:t></w:r>
</w:p>
<w:p>
<w:pPr><w:pStyle w:val="Normal"/></w:pPr>
<w:r><w:t xml:space="preserve">on special embassies to Venice, Germany and England, and</w:t></w:r>
</w:p>
<w:p>
<w:pPr><w:pStyle w:val="Normal"/></w:pPr>
<w:r><w:t xml:space="preserve">displayed so much diplomatic skill and finesse that Richelieu</w:t></w:r>
</w:p>
<w:p>
<w:pPr><w:pStyle w:val="Normal"/></w:pPr>
<w:r><w:t xml:space="preserve">ranked him among the three greatest politicians of his time.</w:t></w:r>
</w:p>
<w:p>
<w:pPr><w:pStyle w:val="Normal"/></w:pPr>
<w:r><w:t xml:space="preserve">AASEN, IVAR (1813-1896), Norwegian philologist and</w:t></w:r>
</w:p>
<w:p>
<w:pPr><w:pStyle w:val="Normal"/></w:pPr>
<w:r><w:t xml:space="preserve">lexicographer, was born at Aasen i Orsten, in Sondmore,</w:t></w:r>
</w:p>
<w:p>
<w:pPr><w:pStyle w:val="Normal"/></w:pPr>
<w:r><w:t xml:space="preserve">Norway, on the. 5th of August 1813.  His father, a small</w:t></w:r>
</w:p>
<w:p>
<w:pPr><w:pStyle w:val="Normal"/></w:pPr>
<w:r><w:t xml:space="preserve">peasant-farmer named Ivar Jonsson, died in 1826.  He was</w:t></w:r>
</w:p>
<w:p>
<w:pPr><w:pStyle w:val="Normal"/></w:pPr>
<w:r><w:t xml:space="preserve">brought up to farmwork, but he assiduously cultivated all</w:t></w:r>
</w:p>
<w:p>
<w:pPr><w:pStyle w:val="Normal"/></w:pPr>
<w:r><w:t xml:space="preserve">his leisure in reading, and when he was eighteen he opened an</w:t></w:r>
</w:p>
<w:p>
<w:pPr><w:pStyle w:val="Normal"/></w:pPr>
<w:r><w:t xml:space="preserve">elementary school in his native parish.  In 1833 he entered</w:t></w:r>
</w:p>
<w:p>
<w:pPr><w:pStyle w:val="Normal"/></w:pPr>
<w:r><w:t xml:space="preserve">the household of H. C. Thoresen the husband of the eminent</w:t></w:r>
</w:p>
<w:p>
<w:pPr><w:pStyle w:val="Normal"/></w:pPr>
<w:r><w:t xml:space="preserve">writer Magdalene Thoresen, in Hero, and here he picked up</w:t></w:r>
</w:p>
<w:p>
<w:pPr><w:pStyle w:val="Normal"/></w:pPr>
<w:r><w:t xml:space="preserve">the elements of Latin.  Gradually, and by dint of infinite</w:t></w:r>
</w:p>
<w:p>
<w:pPr><w:pStyle w:val="Normal"/></w:pPr>
<w:r><w:t xml:space="preserve">patience and concentration, the young peasant became master</w:t></w:r>
</w:p>
<w:p>
<w:pPr><w:pStyle w:val="Normal"/></w:pPr>
<w:r><w:t xml:space="preserve">of many languages, and began the scientific study of their</w:t></w:r>
</w:p>
<w:p>
<w:pPr><w:pStyle w:val="Normal"/></w:pPr>
<w:r><w:t xml:space="preserve">structure.  About 1841 he had freed himself from all the</w:t></w:r>
</w:p>
<w:p>
<w:pPr><w:pStyle w:val="Normal"/></w:pPr>
<w:r><w:t xml:space="preserve">burden of manual labour, and could occupy his thoughts with</w:t></w:r>
</w:p>
<w:p>
<w:pPr><w:pStyle w:val="Normal"/></w:pPr>
<w:r><w:t xml:space="preserve">the dialect of his native district, the Sondmore; his</w:t></w:r>
</w:p>
<w:p>
<w:pPr><w:pStyle w:val="Normal"/></w:pPr>
<w:r><w:t xml:space="preserve">first publication was a small collection of folk-songs in</w:t></w:r>
</w:p>
<w:p>
<w:pPr><w:pStyle w:val="Normal"/></w:pPr>
<w:r><w:t xml:space="preserve">the Sondmore language (1843) . His remarkable abilities now</w:t></w:r>
</w:p>
<w:p>
<w:pPr><w:pStyle w:val="Normal"/></w:pPr>
<w:r><w:t xml:space="preserve">attracted general attention, and he was helped to continue his</w:t></w:r>
</w:p>
<w:p>
<w:pPr><w:pStyle w:val="Normal"/></w:pPr>
<w:r><w:t xml:space="preserve">studies undisturbed.  His Grammar ofthe Norwegian Dialects</w:t></w:r>
</w:p>
<w:p>
<w:pPr><w:pStyle w:val="Normal"/></w:pPr>
<w:r><w:t xml:space="preserve">(1848) was the result of much labour, and of journeys taken</w:t></w:r>
</w:p>
<w:p>
<w:pPr><w:pStyle w:val="Normal"/></w:pPr>
<w:r><w:t xml:space="preserve">to every part of the country.  Aasen&apos;s famous Dictionary</w:t></w:r>
</w:p>
<w:p>
<w:pPr><w:pStyle w:val="Normal"/></w:pPr>
<w:r><w:t xml:space="preserve">of the Norwegian Dialects appeared in its original form in</w:t></w:r>
</w:p>
<w:p>
<w:pPr><w:pStyle w:val="Normal"/></w:pPr>
<w:r><w:t xml:space="preserve">1850, and from this publication dates all the wide cultivation</w:t></w:r>
</w:p>
<w:p>
<w:pPr><w:pStyle w:val="Normal"/></w:pPr>
<w:r><w:t xml:space="preserve">of the popular language in Norwegian, since Aasen really did</w:t></w:r>
</w:p>
<w:p>
<w:pPr><w:pStyle w:val="Normal"/></w:pPr>
<w:r><w:t xml:space="preserve">no less than construct, out of the different materials at his</w:t></w:r>
</w:p>
<w:p>
<w:pPr><w:pStyle w:val="Normal"/></w:pPr>
<w:r><w:t xml:space="preserve">disposal, a popular language or definite folke-maal for</w:t></w:r>
</w:p>
<w:p>
<w:pPr><w:pStyle w:val="Normal"/></w:pPr>
<w:r><w:t xml:space="preserve">Norway.  With certain modifications, the most important of which</w:t></w:r>
</w:p>
<w:p>
<w:pPr><w:pStyle w:val="Normal"/></w:pPr>
<w:r><w:t xml:space="preserve">were introduced later by Aasen himself, this artificial language</w:t></w:r>
</w:p>
<w:p>
<w:pPr><w:pStyle w:val="Normal"/></w:pPr>
<w:r><w:t xml:space="preserve">is that which has been adopted ever since by those who write in</w:t></w:r>
</w:p>
<w:p>
<w:pPr><w:pStyle w:val="Normal"/></w:pPr>
<w:r><w:t xml:space="preserve">dialect, and which later enthusiasts have once more endeavoured</w:t></w:r>
</w:p>
<w:p>
<w:pPr><w:pStyle w:val="Normal"/></w:pPr>
<w:r><w:t xml:space="preserve">to foist upon Norway as her official language in the place of</w:t></w:r>
</w:p>
<w:p>
<w:pPr><w:pStyle w:val="Normal"/></w:pPr>
<w:r><w:t xml:space="preserve">Dano-Norwegian.  Aasen composed poems and plays in the composite</w:t></w:r>
</w:p>
<w:p>
<w:pPr><w:pStyle w:val="Normal"/></w:pPr>
<w:r><w:t xml:space="preserve">dialect to show how it should be used; one of these dramas,</w:t></w:r>
</w:p>
<w:p>
<w:pPr><w:pStyle w:val="Normal"/></w:pPr>
<w:r><w:t xml:space="preserve">The Heir (1855), was frequently acted, and may be considered</w:t></w:r>
</w:p>
<w:p>
<w:pPr><w:pStyle w:val="Normal"/></w:pPr>
<w:r><w:t xml:space="preserve">as the pioneer of all the abundant dialect-literature of the</w:t></w:r>
</w:p>
<w:p>
<w:pPr><w:pStyle w:val="Normal"/></w:pPr>
<w:r><w:t xml:space="preserve">last half-century, from Vinje down to Garborg.  Aasen continued</w:t></w:r>
</w:p>
<w:p>
<w:pPr><w:pStyle w:val="Normal"/></w:pPr>
<w:r><w:t xml:space="preserve">to enlarge and improve his grammars and his dictionary.  He</w:t></w:r>
</w:p>
<w:p>
<w:pPr><w:pStyle w:val="Normal"/></w:pPr>
<w:r><w:t xml:space="preserve">lived very quietly in lodgings in Christiania, surrounded by</w:t></w:r>
</w:p>
<w:p>
<w:pPr><w:pStyle w:val="Normal"/></w:pPr>
<w:r><w:t xml:space="preserve">his books and shrinking from publicity, but his name grew into</w:t></w:r>
</w:p>
<w:p>
<w:pPr><w:pStyle w:val="Normal"/></w:pPr>
<w:r><w:t xml:space="preserve">wide political favour as his ideas about the language of the</w:t></w:r>
</w:p>
<w:p>
<w:pPr><w:pStyle w:val="Normal"/></w:pPr>
<w:r><w:t xml:space="preserve">peasants became more and more the watch-word of the popular</w:t></w:r>
</w:p>
<w:p>
<w:pPr><w:pStyle w:val="Normal"/></w:pPr>
<w:r><w:t xml:space="preserve">party.  Quite early in his career, 1842, he had begun to</w:t></w:r>
</w:p>
<w:p>
<w:pPr><w:pStyle w:val="Normal"/></w:pPr>
<w:r><w:t xml:space="preserve">receive a stipend to enable him to give his entire attention</w:t></w:r>
</w:p>
<w:p>
<w:pPr><w:pStyle w:val="Normal"/></w:pPr>
<w:r><w:t xml:space="preserve">to his philological investigations; and the Storthing--.</w:t></w:r>
</w:p>
<w:p>
<w:pPr><w:pStyle w:val="Normal"/></w:pPr>
<w:r><w:t xml:space="preserve">conscious of the national importance of his woth---treated hm</w:t></w:r>
</w:p>
<w:p>
<w:pPr><w:pStyle w:val="Normal"/></w:pPr>
<w:r><w:t xml:space="preserve">in this respect with more and more generosity as he advanced in</w:t></w:r>
</w:p>
<w:p>
<w:pPr><w:pStyle w:val="Normal"/></w:pPr>
<w:r><w:t xml:space="preserve">years.  He continued his investigations to the last, but it</w:t></w:r>
</w:p>
<w:p>
<w:pPr><w:pStyle w:val="Normal"/></w:pPr>
<w:r><w:t xml:space="preserve">may be said that, after the 1873 edition of his Dictionary,</w:t></w:r>
</w:p>
<w:p>
<w:pPr><w:pStyle w:val="Normal"/></w:pPr>
<w:r><w:t xml:space="preserve">he added but little to his stores.  Ivar Aasen holds perhaps</w:t></w:r>
</w:p>
<w:p>
<w:pPr><w:pStyle w:val="Normal"/></w:pPr>
<w:r><w:t xml:space="preserve">an isolated place in literary history as the one man who has</w:t></w:r>
</w:p>
<w:p>
<w:pPr><w:pStyle w:val="Normal"/></w:pPr>
<w:r><w:t xml:space="preserve">invented, or at least selected and constructed, a language</w:t></w:r>
</w:p>
<w:p>
<w:pPr><w:pStyle w:val="Normal"/></w:pPr>
<w:r><w:t xml:space="preserve">which has pleased so many thousands of his countrymen that</w:t></w:r>
</w:p>
<w:p>
<w:pPr><w:pStyle w:val="Normal"/></w:pPr>
<w:r><w:t xml:space="preserve">they have accepted it for their schools, their sermons</w:t></w:r>
</w:p>
<w:p>
<w:pPr><w:pStyle w:val="Normal"/></w:pPr>
<w:r><w:t xml:space="preserve">and their songs.  He died in Christiania on the 23rd of</w:t></w:r>
</w:p>
<w:p>
<w:pPr><w:pStyle w:val="Normal"/></w:pPr>
<w:r><w:t xml:space="preserve">September 1896, and was buried with Public honours. (E. G.)</w:t></w:r>
</w:p>
<w:p>
<w:pPr><w:pStyle w:val="Normal"/></w:pPr>
<w:r><w:t xml:space="preserve">AB, the fifth month of the ecclesiastical and the</w:t></w:r>
</w:p>
<w:p>
<w:pPr><w:pStyle w:val="Normal"/></w:pPr>
<w:r><w:t xml:space="preserve">eleventh of the civil year of the Jews.  It approximately</w:t></w:r>
</w:p>
<w:p>
<w:pPr><w:pStyle w:val="Normal"/></w:pPr>
<w:r><w:t xml:space="preserve">Corresponds to the period of the 15th of July to the 15th of</w:t></w:r>
</w:p>
<w:p>
<w:pPr><w:pStyle w:val="Normal"/></w:pPr>
<w:r><w:t xml:space="preserve">August.  The word is of Babylonian origin, adopted by the</w:t></w:r>
</w:p>
<w:p>
<w:pPr><w:pStyle w:val="Normal"/></w:pPr>
<w:r><w:t xml:space="preserve">Jews with other calendar names after the Babylonian exile.</w:t></w:r>
</w:p>
<w:p>
<w:pPr><w:pStyle w:val="Normal"/></w:pPr>
<w:r><w:t xml:space="preserve">Tradition ascribes the death of Aaron to the first day of Ab.</w:t></w:r>
</w:p>
<w:p>
<w:pPr><w:pStyle w:val="Normal"/></w:pPr>
<w:r><w:t xml:space="preserve">On the ninth is kept the Fast of Ab, or the Black Fast, to</w:t></w:r>
</w:p>
<w:p>
<w:pPr><w:pStyle w:val="Normal"/></w:pPr>
<w:r><w:t xml:space="preserve">bewail the destruction of the first temple by Nebuchadrezzar</w:t></w:r>
</w:p>
<w:p>
<w:pPr><w:pStyle w:val="Normal"/></w:pPr>
<w:r><w:t xml:space="preserve">(586 B.C.) and of the second by Titus (A.D. 70).</w:t></w:r>
</w:p>
<w:p>
<w:pPr><w:pStyle w:val="Normal"/></w:pPr>
<w:r><w:t xml:space="preserve">ABA. (1) A form of altazimuth instrument, invented by, and Cabled</w:t></w:r>
</w:p>
<w:p>
<w:pPr><w:pStyle w:val="Normal"/></w:pPr>
<w:r><w:t xml:space="preserve">after, Antoine d&apos;Abbadie; (2) a rough homespun manufactured in</w:t></w:r>
</w:p>
<w:p>
<w:pPr><w:pStyle w:val="Normal"/></w:pPr>
<w:r><w:t xml:space="preserve">Bulgariai (3) a long coarse shirt worn by the Bedouin Arabs.</w:t></w:r>
</w:p>
<w:p>
<w:pPr><w:pStyle w:val="Normal"/></w:pPr>
<w:r><w:t xml:space="preserve">ABABDA (the Gebadei of Pliny, probably the Troglodytes of</w:t></w:r>
</w:p>
<w:p>
<w:pPr><w:pStyle w:val="Normal"/></w:pPr>
<w:r><w:t xml:space="preserve">classical writers), a nomad tribe of African ``Arabs,, of Hamitic</w:t></w:r>
</w:p>
<w:p>
<w:pPr><w:pStyle w:val="Normal"/></w:pPr>
<w:r><w:t xml:space="preserve">origin.  They extend from the Nile at Assuan to the Red Sea,</w:t></w:r>
</w:p>
<w:p>
<w:pPr><w:pStyle w:val="Normal"/></w:pPr>
<w:r><w:t xml:space="preserve">and reach northward to the Kena-Kosseir road, thus occupying</w:t></w:r>
</w:p>
<w:p>
<w:pPr><w:pStyle w:val="Normal"/></w:pPr>
<w:r><w:t xml:space="preserve">the southern border of Egypt east of the Nile.  They call</w:t></w:r>
</w:p>
<w:p>
<w:pPr><w:pStyle w:val="Normal"/></w:pPr>
<w:r><w:t xml:space="preserve">themselves ``sons of the Jinns.&apos;&apos; With some of the clans of</w:t></w:r>
</w:p>
<w:p>
<w:pPr><w:pStyle w:val="Normal"/></w:pPr>
<w:r><w:t xml:space="preserve">the Bisharin (q.v.) and possibly the Hadendoa (q.v.) they</w:t></w:r>
</w:p>
<w:p>
<w:pPr><w:pStyle w:val="Normal"/></w:pPr>
<w:r><w:t xml:space="preserve">represent the Blemmyes of classic geographers, and their location</w:t></w:r>
</w:p>
<w:p>
<w:pPr><w:pStyle w:val="Normal"/></w:pPr>
<w:r><w:t xml:space="preserve">to-day is almost identical with that assigned them in Roman</w:t></w:r>
</w:p>
<w:p>
<w:pPr><w:pStyle w:val="Normal"/></w:pPr>
<w:r><w:t xml:space="preserve">times.  They were constantly at war with the Romans, who at</w:t></w:r>
</w:p>
<w:p>
<w:pPr><w:pStyle w:val="Normal"/></w:pPr>
<w:r><w:t xml:space="preserve">last subsidized them.  In the middle ages they were known as</w:t></w:r>
</w:p>
<w:p>
<w:pPr><w:pStyle w:val="Normal"/></w:pPr>
<w:r><w:t xml:space="preserve">Beja (q.v.), and convoyed pilgrims from the Nile valley to</w:t></w:r>
</w:p>
<w:p>
<w:pPr><w:pStyle w:val="Normal"/></w:pPr>
<w:r><w:t xml:space="preserve">Aidhab, the port of embarkation for Jedda.  From time immemorial</w:t></w:r>
</w:p>
<w:p>
<w:pPr><w:pStyle w:val="Normal"/></w:pPr>
<w:r><w:t xml:space="preserve">they have acted as guides to caravans through the Nubian</w:t></w:r>
</w:p>
<w:p>
<w:pPr><w:pStyle w:val="Normal"/></w:pPr>
<w:r><w:t xml:space="preserve">desert and up the Nile valley as far as Sennar.  To-day many of</w:t></w:r>
</w:p>
<w:p>
<w:pPr><w:pStyle w:val="Normal"/></w:pPr>
<w:r><w:t xml:space="preserve">them are employed in the telegraph service across the Arabian</w:t></w:r>
</w:p>
<w:p>
<w:pPr><w:pStyle w:val="Normal"/></w:pPr>
<w:r><w:t xml:space="preserve">desert.  They intermarried with the Nuba, and settled in small</w:t></w:r>
</w:p>
<w:p>
<w:pPr><w:pStyle w:val="Normal"/></w:pPr>
<w:r><w:t xml:space="preserve">Colonies at Shendi and elsewhere long before the Egyptian</w:t></w:r>
</w:p>
<w:p>
<w:pPr><w:pStyle w:val="Normal"/></w:pPr>
<w:r><w:t xml:space="preserve">invasion (A.D. 1820-1822).  They are still great trade</w:t></w:r>
</w:p>
<w:p>
<w:pPr><w:pStyle w:val="Normal"/></w:pPr>
<w:r><w:t xml:space="preserve">carriers, and visit very distant districts.  The Ababda of</w:t></w:r>
</w:p>
<w:p>
<w:pPr><w:pStyle w:val="Normal"/></w:pPr>
<w:r><w:t xml:space="preserve">Egypt, numbering some 30,000, are governed by an hereditary</w:t></w:r>
</w:p>
<w:p>
<w:pPr><w:pStyle w:val="Normal"/></w:pPr>
<w:r><w:t xml:space="preserve">``chief.&apos;&apos; Although nominally a vassal of the Khedive he pays no</w:t></w:r>
</w:p>
<w:p>
<w:pPr><w:pStyle w:val="Normal"/></w:pPr>
<w:r><w:t xml:space="preserve">tribute.  Indeed he is paid a subsidy, a portion of the</w:t></w:r>
</w:p>
<w:p>
<w:pPr><w:pStyle w:val="Normal"/></w:pPr>
<w:r><w:t xml:space="preserve">road-dues, in return for his safeguarding travellers from Bedouin</w:t></w:r>
</w:p>
<w:p>
<w:pPr><w:pStyle w:val="Normal"/></w:pPr>
<w:r><w:t xml:space="preserve">robbers.  The sub-sheikhs are directly responsible to him.</w:t></w:r>
</w:p>
<w:p>
<w:pPr><w:pStyle w:val="Normal"/></w:pPr>
<w:r><w:t xml:space="preserve">The Ababda of Nubia, reported by Joseph von Russegger, who</w:t></w:r>
</w:p>
<w:p>
<w:pPr><w:pStyle w:val="Normal"/></w:pPr>
<w:r><w:t xml:space="preserve">visited the country in 1836, to number some 40,000, have since</w:t></w:r>
</w:p>
<w:p>
<w:pPr><w:pStyle w:val="Normal"/></w:pPr>
<w:r><w:t xml:space="preserve">diminished, having probably amalgamated with the Bisharin,</w:t></w:r>
</w:p>
<w:p>
<w:pPr><w:pStyle w:val="Normal"/></w:pPr>
<w:r><w:t xml:space="preserve">their hereditary enemies when they were themselves a powerful</w:t></w:r>
</w:p>
<w:p>
<w:pPr><w:pStyle w:val="Normal"/></w:pPr>
<w:r><w:t xml:space="preserve">nation.  The Ababda generally speak Arabic (mingled with</w:t></w:r>
</w:p>
<w:p>
<w:pPr><w:pStyle w:val="Normal"/></w:pPr>
<w:r><w:t xml:space="preserve">Barabra [Nubian] words), the result of their long-continued</w:t></w:r>
</w:p>
<w:p>
<w:pPr><w:pStyle w:val="Normal"/></w:pPr>
<w:r><w:t xml:space="preserve">contact with Egypt; but the southern and south-eastern portion</w:t></w:r>
</w:p>
<w:p>
<w:pPr><w:pStyle w:val="Normal"/></w:pPr>
<w:r><w:t xml:space="preserve">of the tribe in many cases still retain their Beja dialect,</w:t></w:r>
</w:p>
<w:p>
<w:pPr><w:pStyle w:val="Normal"/></w:pPr>
<w:r><w:t xml:space="preserve">ToBedawiet.  Those of Kosseir will not speak this before</w:t></w:r>
</w:p>
<w:p>
<w:pPr><w:pStyle w:val="Normal"/></w:pPr>
<w:r><w:t xml:space="preserve">strangers, as they believe that to reveal the mysterious</w:t></w:r>
</w:p>
<w:p>
<w:pPr><w:pStyle w:val="Normal"/></w:pPr>
<w:r><w:t xml:space="preserve">dialect would bring ruin on them.  Those nearest the Nile</w:t></w:r>
</w:p>
<w:p>
<w:pPr><w:pStyle w:val="Normal"/></w:pPr>
<w:r><w:t xml:space="preserve">have much fellah blood in them.  As a tribe they claim an Arab</w:t></w:r>
</w:p>
<w:p>
<w:pPr><w:pStyle w:val="Normal"/></w:pPr>
<w:r><w:t xml:space="preserve">origin, apparently through their sheikhs.  They have adopted</w:t></w:r>
</w:p>
<w:p>
<w:pPr><w:pStyle w:val="Normal"/></w:pPr>
<w:r><w:t xml:space="preserve">the dress and habits of the fellahin, unlike their kinsmen</w:t></w:r>
</w:p>
<w:p>
<w:pPr><w:pStyle w:val="Normal"/></w:pPr>
<w:r><w:t xml:space="preserve">the Bisharin and Hadendoa, who go practically naked.  They</w:t></w:r>
</w:p>
<w:p>
<w:pPr><w:pStyle w:val="Normal"/></w:pPr>
<w:r><w:t xml:space="preserve">are neither so fierce nor of so fine a physique as these</w:t></w:r>
</w:p>
<w:p>
<w:pPr><w:pStyle w:val="Normal"/></w:pPr>
<w:r><w:t xml:space="preserve">latter.  They are lithe and well built, but small: the average</w:t></w:r>
</w:p>
<w:p>
<w:pPr><w:pStyle w:val="Normal"/></w:pPr>
<w:r><w:t xml:space="preserve">height is little more than 5 ft., except in the sheikh clan,</w:t></w:r>
</w:p>
<w:p>
<w:pPr><w:pStyle w:val="Normal"/></w:pPr>
<w:r><w:t xml:space="preserve">who are obviously of Arab origin.  Their complexion is more</w:t></w:r>
</w:p>
<w:p>
<w:pPr><w:pStyle w:val="Normal"/></w:pPr>
<w:r><w:t xml:space="preserve">red than black, their features angular, noses straight and hair</w:t></w:r>
</w:p>
<w:p>
<w:pPr><w:pStyle w:val="Normal"/></w:pPr>
<w:r><w:t xml:space="preserve">luxuriant.  They bear the character of being treacherous and</w:t></w:r>
</w:p>
<w:p>
<w:pPr><w:pStyle w:val="Normal"/></w:pPr>
<w:r><w:t xml:space="preserve">faithless, being bound by no oath, but they appear to be honest</w:t></w:r>
</w:p>
<w:p>
<w:pPr><w:pStyle w:val="Normal"/></w:pPr>
<w:r><w:t xml:space="preserve">in money matters and hospitable, and, however poor, never</w:t></w:r>
</w:p>
<w:p>
<w:pPr><w:pStyle w:val="Normal"/></w:pPr>
<w:r><w:t xml:space="preserve">beg.  Formerly very poor, the Ababda became wealthy after</w:t></w:r>
</w:p>
<w:p>
<w:pPr><w:pStyle w:val="Normal"/></w:pPr>
<w:r><w:t xml:space="preserve">the British occupation of Egypt.  The chief settlements are in</w:t></w:r>
</w:p>
<w:p>
<w:pPr><w:pStyle w:val="Normal"/></w:pPr>
<w:r><w:t xml:space="preserve">Nubia, where they live in villages and employ themselves in</w:t></w:r>
</w:p>
<w:p>
<w:pPr><w:pStyle w:val="Normal"/></w:pPr>
<w:r><w:t xml:space="preserve">agriculture.  Others of them fish in the Red Sea and then</w:t></w:r>
</w:p>
<w:p>
<w:pPr><w:pStyle w:val="Normal"/></w:pPr>
<w:r><w:t xml:space="preserve">hawk the salt fish in the interior.  Others are pedlars,</w:t></w:r>
</w:p>
<w:p>
<w:pPr><w:pStyle w:val="Normal"/></w:pPr>
<w:r><w:t xml:space="preserve">while charcoal burning, wood-gathering and trading in gums</w:t></w:r>
</w:p>
<w:p>
<w:pPr><w:pStyle w:val="Normal"/></w:pPr>
<w:r><w:t xml:space="preserve">and drugs, especially in senna leaves, occupy many.  Unlike</w:t></w:r>
</w:p>
<w:p>
<w:pPr><w:pStyle w:val="Normal"/></w:pPr>
<w:r><w:t xml:space="preserve">the true Arab, the Ababda do not live in tents, but build</w:t></w:r>
</w:p>
<w:p>
<w:pPr><w:pStyle w:val="Normal"/></w:pPr>
<w:r><w:t xml:space="preserve">huts with hurdles and mats, or live in natural caves, as</w:t></w:r>
</w:p>
<w:p>
<w:pPr><w:pStyle w:val="Normal"/></w:pPr>
<w:r><w:t xml:space="preserve">did their ancestors in classic times.  They have few horses,</w:t></w:r>
</w:p>
<w:p>
<w:pPr><w:pStyle w:val="Normal"/></w:pPr>
<w:r><w:t xml:space="preserve">using the camel as beast of burden or their ``mount&apos;&apos; in</w:t></w:r>
</w:p>
<w:p>
<w:pPr><w:pStyle w:val="Normal"/></w:pPr>
<w:r><w:t xml:space="preserve">war.  They live chiefly on milk and durra, the latter</w:t></w:r>
</w:p>
<w:p>
<w:pPr><w:pStyle w:val="Normal"/></w:pPr>
<w:r><w:t xml:space="preserve">eaten either raw or roasted.  They are very superstitious,</w:t></w:r>
</w:p>
<w:p>
<w:pPr><w:pStyle w:val="Normal"/></w:pPr>
<w:r><w:t xml:space="preserve">believing, for example, that evil would overtake a family</w:t></w:r>
</w:p>
<w:p>
<w:pPr><w:pStyle w:val="Normal"/></w:pPr>
<w:r><w:t xml:space="preserve">if a girl member should, after her marriage, ever set eyes</w:t></w:r>
</w:p>
<w:p>
<w:pPr><w:pStyle w:val="Normal"/></w:pPr>
<w:r><w:t xml:space="preserve">on her mother: hence the Ababda husband has to make his</w:t></w:r>
</w:p>
<w:p>
<w:pPr><w:pStyle w:val="Normal"/></w:pPr>
<w:r><w:t xml:space="preserve">home far from his wife&apos;s village.  In the Mahdist troubles</w:t></w:r>
</w:p>
<w:p>
<w:pPr><w:pStyle w:val="Normal"/></w:pPr>
<w:r><w:t xml:space="preserve">(1882-1898) many ``friendlies&apos;&apos; were recruited from the tribe.</w:t></w:r>
</w:p>
<w:p>
<w:pPr><w:pStyle w:val="Normal"/></w:pPr>
<w:r><w:t xml:space="preserve">For their earlier history see BEJA; see also BISHARIN,</w:t></w:r>
</w:p>
<w:p>
<w:pPr><w:pStyle w:val="Normal"/></w:pPr>
<w:r><w:t xml:space="preserve">HADENDOA, KABBABish; and the following authorities:---Sir</w:t></w:r>
</w:p>
<w:p>
<w:pPr><w:pStyle w:val="Normal"/></w:pPr>
<w:r><w:t xml:space="preserve">F. R. Wingate, Mahdism and the Egyptian Sudan (Lond.</w:t></w:r>
</w:p>
<w:p>
<w:pPr><w:pStyle w:val="Normal"/></w:pPr>
<w:r><w:t xml:space="preserve">1891); Giuseppe Sergi, Africa: Antropologia della Stirpe</w:t></w:r>
</w:p>
<w:p>
<w:pPr><w:pStyle w:val="Normal"/></w:pPr>
<w:r><w:t xml:space="preserve">Camitica (Turin, 1897); A. H. Keane, Ethnology of Egyptian</w:t></w:r>
</w:p>
<w:p>
<w:pPr><w:pStyle w:val="Normal"/></w:pPr>
<w:r><w:t xml:space="preserve">Sudan (Lond. 1884); Anglo-Egyptian Sudan, edited by</w:t></w:r>
</w:p>
<w:p>
<w:pPr><w:pStyle w:val="Normal"/></w:pPr>
<w:r><w:t xml:space="preserve">Count Gleichen (Lond. 1905); Joseph von Russegger, Die</w:t></w:r>
</w:p>
<w:p>
<w:pPr><w:pStyle w:val="Normal"/></w:pPr>
<w:r><w:t xml:space="preserve">Reisen in Afrika (Stuttgart, 1841-1850). (T. A. J.)</w:t></w:r>
</w:p>
<w:p>
<w:pPr><w:pStyle w:val="Normal"/></w:pPr>
<w:r><w:t xml:space="preserve">ABACA, or ABAKA, a native name for the plant Musa textilis,</w:t></w:r>
</w:p>
<w:p>
<w:pPr><w:pStyle w:val="Normal"/></w:pPr>
<w:r><w:t xml:space="preserve">which produces the fibre called Manila Hemp (q.v.). .</w:t></w:r>
</w:p>
<w:p>
<w:pPr><w:pStyle w:val="Normal"/></w:pPr>
<w:r><w:t xml:space="preserve">ABACUS (Gr. abax, a slab Fr. abaque, tailloir), in</w:t></w:r>
</w:p>
<w:p>
<w:pPr><w:pStyle w:val="Normal"/></w:pPr>
<w:r><w:t xml:space="preserve">architecture, the upper member of the capital of a column.</w:t></w:r>
</w:p>
<w:p>
<w:pPr><w:pStyle w:val="Normal"/></w:pPr>
<w:r><w:t xml:space="preserve">Its chief function is to provide a larger supporting surface</w:t></w:r>
</w:p>
<w:p>
<w:pPr><w:pStyle w:val="Normal"/></w:pPr>
<w:r><w:t xml:space="preserve">for the architrave or arch it has to carry.  In the Greek Doric</w:t></w:r>
</w:p>
<w:p>
<w:pPr><w:pStyle w:val="Normal"/></w:pPr>
<w:r><w:t xml:space="preserve">order the abacus is a plain square slab.  In the Roman and</w:t></w:r>
</w:p>
<w:p>
<w:pPr><w:pStyle w:val="Normal"/></w:pPr>
<w:r><w:t xml:space="preserve">Renaissance Doric orders it is crowned by a moulding.  In the</w:t></w:r>
</w:p>
<w:p>
<w:pPr><w:pStyle w:val="Normal"/></w:pPr>
<w:r><w:t xml:space="preserve">Archaic-Greek Ionic order, owing to the greater width of the</w:t></w:r>
</w:p>
<w:p>
<w:pPr><w:pStyle w:val="Normal"/></w:pPr>
<w:r><w:t xml:space="preserve">capital, the abacus is rectangular in plan, and consists of a</w:t></w:r>
</w:p>
<w:p>
<w:pPr><w:pStyle w:val="Normal"/></w:pPr>
<w:r><w:t xml:space="preserve">carved ovolo moulding.  In later examples the abacus is square,</w:t></w:r>
</w:p>
<w:p>
<w:pPr><w:pStyle w:val="Normal"/></w:pPr>
<w:r><w:t xml:space="preserve">except where there are angle volutes, when it is slightly</w:t></w:r>
</w:p>
<w:p>
<w:pPr><w:pStyle w:val="Normal"/></w:pPr>
<w:r><w:t xml:space="preserve">curved over the same.  In the Roman and Renaissance Ionic</w:t></w:r>
</w:p>
<w:p>
<w:pPr><w:pStyle w:val="Normal"/></w:pPr>
<w:r><w:t xml:space="preserve">capital, the abacus is square with a fillet On the top of an</w:t></w:r>
</w:p>
<w:p>
<w:pPr><w:pStyle w:val="Normal"/></w:pPr>
<w:r><w:t xml:space="preserve">ogee moulding, but curved over angle volutes.  In the Greek</w:t></w:r>
</w:p>
<w:p>
<w:pPr><w:pStyle w:val="Normal"/></w:pPr>
<w:r><w:t xml:space="preserve">Corinthian order the abacus is moulded, its sides are concave</w:t></w:r>
</w:p>
<w:p>
<w:pPr><w:pStyle w:val="Normal"/></w:pPr>
<w:r><w:t xml:space="preserve">and its angles canted (except in one or two exceptional Greek</w:t></w:r>
</w:p>
<w:p>
<w:pPr><w:pStyle w:val="Normal"/></w:pPr>
<w:r><w:t xml:space="preserve">capitals, where it is brought to a sharp angle); and the same</w:t></w:r>
</w:p>
<w:p>
<w:pPr><w:pStyle w:val="Normal"/></w:pPr>
<w:r><w:t xml:space="preserve">shape is adopted in the Roman and Renaissance Corinthian and</w:t></w:r>
</w:p>
<w:p>
<w:pPr><w:pStyle w:val="Normal"/></w:pPr>
<w:r><w:t xml:space="preserve">Composite capitals, in some cases with the ovolo moulding</w:t></w:r>
</w:p>
<w:p>
<w:pPr><w:pStyle w:val="Normal"/></w:pPr>
<w:r><w:t xml:space="preserve">carved.  In Romanesque architecture the abacus is square with</w:t></w:r>
</w:p>
<w:p>
<w:pPr><w:pStyle w:val="Normal"/></w:pPr>
<w:r><w:t xml:space="preserve">the lower edge splayed off and moulded or carved, and the</w:t></w:r>
</w:p>
<w:p>
<w:pPr><w:pStyle w:val="Normal"/></w:pPr>
<w:r><w:t xml:space="preserve">same was retained in France during the medieval period; but</w:t></w:r>
</w:p>
<w:p>
<w:pPr><w:pStyle w:val="Normal"/></w:pPr>
<w:r><w:t xml:space="preserve">in England,in Early English work, a circular deeply moulded</w:t></w:r>
</w:p>
<w:p>
<w:pPr><w:pStyle w:val="Normal"/></w:pPr>
<w:r><w:t xml:space="preserve">abacus was introduced, which in the 14th and 15th centuries</w:t></w:r>
</w:p>
<w:p>
<w:pPr><w:pStyle w:val="Normal"/></w:pPr>
<w:r><w:t xml:space="preserve">was transformed into an octagonal one.  The diminutive of</w:t></w:r>
</w:p>
<w:p>
<w:pPr><w:pStyle w:val="Normal"/></w:pPr>
<w:r><w:t xml:space="preserve">Abacus, ABACISCUS, is applied in architecture to the chequers</w:t></w:r>
</w:p>
<w:p>
<w:pPr><w:pStyle w:val="Normal"/></w:pPr>
<w:r><w:t xml:space="preserve">or squares of a tessellated pavement . ``Abacus&apos;&apos; is also the</w:t></w:r>
</w:p>
<w:p>
<w:pPr><w:pStyle w:val="Normal"/></w:pPr>
<w:r><w:t xml:space="preserve">name of an instrument employed by the ancients for arithmetical</w:t></w:r>
</w:p>
<w:p>
<w:pPr><w:pStyle w:val="Normal"/></w:pPr>
<w:r><w:t xml:space="preserve">calculations; pebbles, hits of bone or coins being used as</w:t></w:r>
</w:p>
<w:p>
<w:pPr><w:pStyle w:val="Normal"/></w:pPr>
<w:r><w:t xml:space="preserve">counters.  Fig. 1 shows a Roman abacus taken from an ancient</w:t></w:r>
</w:p>
<w:p>
<w:pPr><w:pStyle w:val="Normal"/></w:pPr>
<w:r><w:t xml:space="preserve">monument.  It contains seven long and seven shorter rods</w:t></w:r>
</w:p>
<w:p>
<w:pPr><w:pStyle w:val="Normal"/></w:pPr>
<w:r><w:t xml:space="preserve">or bars, the former having four perforated beads running</w:t></w:r>
</w:p>
<w:p>
<w:pPr><w:pStyle w:val="Normal"/></w:pPr>
<w:r><w:t xml:space="preserve">on them and the latter one.  The bar marked 1 indicates</w:t></w:r>
</w:p>
<w:p>
<w:pPr><w:pStyle w:val="Normal"/></w:pPr>
<w:r><w:t xml:space="preserve">units, X tens, and so on up to millions.  The beads on the</w:t></w:r>
</w:p>
<w:p>
<w:pPr><w:pStyle w:val="Normal"/></w:pPr>
<w:r><w:t xml:space="preserve">shorter bars denote fives,--five units, five tens, &amp;c. The</w:t></w:r>
</w:p>
<w:p>
<w:pPr><w:pStyle w:val="Normal"/></w:pPr>
<w:r><w:t xml:space="preserve">rod O and corresponding short rod are for marking ounces;</w:t></w:r>
</w:p>
<w:p>
<w:pPr><w:pStyle w:val="Normal"/></w:pPr>
<w:r><w:t xml:space="preserve">and the short quarter rods for fractions of an ounce.</w:t></w:r>
</w:p>
<w:p>
<w:pPr><w:pStyle w:val="Normal"/></w:pPr>
<w:r><w:t xml:space="preserve">The Swan-Pan of the Chinese (fig. 2) closely resembles</w:t></w:r>
</w:p>
<w:p>
<w:pPr><w:pStyle w:val="Normal"/></w:pPr>
<w:r><w:t xml:space="preserve">the Roman abacus in its construction and use.  Computations</w:t></w:r>
</w:p>
<w:p>
<w:pPr><w:pStyle w:val="Normal"/></w:pPr>
<w:r><w:t xml:space="preserve">are made with it by means of balls of bone or ivory running</w:t></w:r>
</w:p>
<w:p>
<w:pPr><w:pStyle w:val="Normal"/></w:pPr>
<w:r><w:t xml:space="preserve">on slender bamboo rods, similar to the simpler board,</w:t></w:r>
</w:p>
<w:p>
<w:pPr><w:pStyle w:val="Normal"/></w:pPr>
<w:r><w:t xml:space="preserve">fitted up with beads strung on wires, which is employed in</w:t></w:r>
</w:p>
<w:p>
<w:pPr><w:pStyle w:val="Normal"/></w:pPr>
<w:r><w:t xml:space="preserve">teaching the rudiments of arithmetic in English schools.</w:t></w:r>
</w:p>
<w:p>
<w:pPr><w:pStyle w:val="Normal"/></w:pPr>
<w:r><w:t xml:space="preserve">FIG. 2.--Chinese Swan-Pan.  The name of ``abacus&apos;&apos; is also</w:t></w:r>
</w:p>
<w:p>
<w:pPr><w:pStyle w:val="Normal"/></w:pPr>
<w:r><w:t xml:space="preserve">given, in logic, to an instrument, often called the ``logical</w:t></w:r>
</w:p>
<w:p>
<w:pPr><w:pStyle w:val="Normal"/></w:pPr>
<w:r><w:t xml:space="preserve">machine,&apos;&apos; analogous to the mathematical abacus.  It is</w:t></w:r>
</w:p>
<w:p>
<w:pPr><w:pStyle w:val="Normal"/></w:pPr>
<w:r><w:t xml:space="preserve">constructed to show all the possible combinations of a set of</w:t></w:r>
</w:p>
<w:p>
<w:pPr><w:pStyle w:val="Normal"/></w:pPr>
<w:r><w:t xml:space="preserve">logical terms with their negatives, and, further, the way in which</w:t></w:r>
</w:p>
<w:p>
<w:pPr><w:pStyle w:val="Normal"/></w:pPr>
<w:r><w:t xml:space="preserve">these combinations are affected by the addition of attributes</w:t></w:r>
</w:p>
<w:p>
<w:pPr><w:pStyle w:val="Normal"/></w:pPr>
<w:r><w:t xml:space="preserve">or other limiting words, i.e. to simplify mechanically the</w:t></w:r>
</w:p>
<w:p>
<w:pPr><w:pStyle w:val="Normal"/></w:pPr>
<w:r><w:t xml:space="preserve">solution of logical problems.  These instruments are all more</w:t></w:r>
</w:p>
<w:p>
<w:pPr><w:pStyle w:val="Normal"/></w:pPr>
<w:r><w:t xml:space="preserve">or less elaborate developments of the ``logical slate,&apos;&apos; on</w:t></w:r>
</w:p>
<w:p>
<w:pPr><w:pStyle w:val="Normal"/></w:pPr>
<w:r><w:t xml:space="preserve">which were written in vertical columns all the combinations</w:t></w:r>
</w:p>
<w:p>
<w:pPr><w:pStyle w:val="Normal"/></w:pPr>
<w:r><w:t xml:space="preserve">of symbols or letters which could be made logically out of a</w:t></w:r>
</w:p>
<w:p>
<w:pPr><w:pStyle w:val="Normal"/></w:pPr>
<w:r><w:t xml:space="preserve">definite number of terms.  These were compared with any given</w:t></w:r>
</w:p>
<w:p>
<w:pPr><w:pStyle w:val="Normal"/></w:pPr>
<w:r><w:t xml:space="preserve">premises, and those which were incompatible were crossed</w:t></w:r>
</w:p>
<w:p>
<w:pPr><w:pStyle w:val="Normal"/></w:pPr>
<w:r><w:t xml:space="preserve">off.  In the abacus the combinations are inscribed each on a</w:t></w:r>
</w:p>
<w:p>
<w:pPr><w:pStyle w:val="Normal"/></w:pPr>
<w:r><w:t xml:space="preserve">single slip of wood or similar substance, which is moved by a</w:t></w:r>
</w:p>
<w:p>
<w:pPr><w:pStyle w:val="Normal"/></w:pPr>
<w:r><w:t xml:space="preserve">key; incompatible combinations can thus be mechanically removed</w:t></w:r>
</w:p>
<w:p>
<w:pPr><w:pStyle w:val="Normal"/></w:pPr>
<w:r><w:t xml:space="preserve">at will, in accordance with any given series of premises.</w:t></w:r>
</w:p>
<w:p>
<w:pPr><w:pStyle w:val="Normal"/></w:pPr>
<w:r><w:t xml:space="preserve">The principal examples of such machines are those of W. S.</w:t></w:r>
</w:p>
<w:p>
<w:pPr><w:pStyle w:val="Normal"/></w:pPr>
<w:r><w:t xml:space="preserve">Jevons (Element.  Lessons in Logic, C. xxiii.), John Venn</w:t></w:r>
</w:p>
<w:p>
<w:pPr><w:pStyle w:val="Normal"/></w:pPr>
<w:r><w:t xml:space="preserve">(see his Symbolic Logic, 2nd ed., 1894, p. 135), and Allan</w:t></w:r>
</w:p>
<w:p>
<w:pPr><w:pStyle w:val="Normal"/></w:pPr>
<w:r><w:t xml:space="preserve">Marquand (see American Academy of Arts and Sciences, 1885, pp.</w:t></w:r>
</w:p>
<w:p>
<w:pPr><w:pStyle w:val="Normal"/></w:pPr>
<w:r><w:t xml:space="preserve">303-7, and Johns Hopkins University Studies in Logic, 1883).</w:t></w:r>
</w:p>
<w:p>
<w:pPr><w:pStyle w:val="Normal"/></w:pPr>
<w:r><w:t xml:space="preserve">ABADDON, a Hebrew word meaning ``destruction.&apos;&apos; In poetry</w:t></w:r>
</w:p>
<w:p>
<w:pPr><w:pStyle w:val="Normal"/></w:pPr>
<w:r><w:t xml:space="preserve">it comes to mean ``place of destruction,&apos;&apos; and so the</w:t></w:r>
</w:p>
<w:p>
<w:pPr><w:pStyle w:val="Normal"/></w:pPr>
<w:r><w:t xml:space="preserve">underworld or Sheol (cf. Job xxvi. 6; Prov. xv. 11). In Rev.</w:t></w:r>
</w:p>
<w:p>
<w:pPr><w:pStyle w:val="Normal"/></w:pPr>
<w:r><w:t xml:space="preserve">ix. 11 Abaddon ((Abaddon) is used of hell personified,</w:t></w:r>
</w:p>
<w:p>
<w:pPr><w:pStyle w:val="Normal"/></w:pPr>
<w:r><w:t xml:space="preserve">the prince of the underworld.  The term is here explained</w:t></w:r>
</w:p>
<w:p>
<w:pPr><w:pStyle w:val="Normal"/></w:pPr>
<w:r><w:t xml:space="preserve">as Apollyon (q.v.), the ``destroyer.&apos;, W. Baudissin</w:t></w:r>
</w:p>
<w:p>
<w:pPr><w:pStyle w:val="Normal"/></w:pPr>
<w:r><w:t xml:space="preserve">(Herzog-Hauck, Realencyklo padie) notes that Hades and</w:t></w:r>
</w:p>
<w:p>
<w:pPr><w:pStyle w:val="Normal"/></w:pPr>
<w:r><w:t xml:space="preserve">Abaddon in Rabbinic writings are employed as personal names,</w:t></w:r>
</w:p>
<w:p>
<w:pPr><w:pStyle w:val="Normal"/></w:pPr>
<w:r><w:t xml:space="preserve">just as shemayya in Dan. iv. 23, shamayim (``heaven&apos;&apos;),</w:t></w:r>
</w:p>
<w:p>
<w:pPr><w:pStyle w:val="Normal"/></w:pPr>
<w:r><w:t xml:space="preserve">and makom (``place&apos;&apos;) among the Rabbins, are used of God.</w:t></w:r>
</w:p>
<w:p>
<w:pPr><w:pStyle w:val="Normal"/></w:pPr>
<w:r><w:t xml:space="preserve">ABADEH, a small walled town of Persia, in the province of</w:t></w:r>
</w:p>
<w:p>
<w:pPr><w:pStyle w:val="Normal"/></w:pPr>
<w:r><w:t xml:space="preserve">Fars, situated at an elevation of 6200 ft. in a fertile</w:t></w:r>
</w:p>
<w:p>
<w:pPr><w:pStyle w:val="Normal"/></w:pPr>
<w:r><w:t xml:space="preserve">plain on the high road between Isfahan and Shiraz, 140 m.</w:t></w:r>
</w:p>
<w:p>
<w:pPr><w:pStyle w:val="Normal"/></w:pPr>
<w:r><w:t xml:space="preserve">from the former and 170 m. from the latter place.  Pop.</w:t></w:r>
</w:p>
<w:p>
<w:pPr><w:pStyle w:val="Normal"/></w:pPr>
<w:r><w:t xml:space="preserve">4000.  It is the chief place of the Abadeh-Iklid district,</w:t></w:r>
</w:p>
<w:p>
<w:pPr><w:pStyle w:val="Normal"/></w:pPr>
<w:r><w:t xml:space="preserve">which has 30 villages; it has telegraph and post offices,</w:t></w:r>
</w:p>
<w:p>
<w:pPr><w:pStyle w:val="Normal"/></w:pPr>
<w:r><w:t xml:space="preserve">and is famed for its carved wood-work, small boxes, trays,</w:t></w:r>
</w:p>
<w:p>
<w:pPr><w:pStyle w:val="Normal"/></w:pPr>
<w:r><w:t xml:space="preserve">sherbet spoons, &amp;c., made of the wood of pear and box trees.</w:t></w:r>
</w:p>
<w:p>
<w:pPr><w:pStyle w:val="Normal"/></w:pPr>
<w:r><w:t xml:space="preserve">ABAE (rabai), a town in the N.E. corner of Phocis, in</w:t></w:r>
</w:p>
<w:p>
<w:pPr><w:pStyle w:val="Normal"/></w:pPr>
<w:r><w:t xml:space="preserve">Greece, famous in early times for its oracle of Apollo,</w:t></w:r>
</w:p>
<w:p>
<w:pPr><w:pStyle w:val="Normal"/></w:pPr>
<w:r><w:t xml:space="preserve">one of those consulted by Croesus (Herod. i. 46). It was</w:t></w:r>
</w:p>
<w:p>
<w:pPr><w:pStyle w:val="Normal"/></w:pPr>
<w:r><w:t xml:space="preserve">rich in treasures (Herod. viii. 33), but was sacked by the</w:t></w:r>
</w:p>
<w:p>
<w:pPr><w:pStyle w:val="Normal"/></w:pPr>
<w:r><w:t xml:space="preserve">Persians, and the temple remained in a ruined state.  The</w:t></w:r>
</w:p>
<w:p>
<w:pPr><w:pStyle w:val="Normal"/></w:pPr>
<w:r><w:t xml:space="preserve">oracle was, however, still consulted, e.g. by the Thebans</w:t></w:r>
</w:p>
<w:p>
<w:pPr><w:pStyle w:val="Normal"/></w:pPr>
<w:r><w:t xml:space="preserve">before Leuctra (Paus. iv. 32. 5). The temple seems to have</w:t></w:r>
</w:p>
<w:p>
<w:pPr><w:pStyle w:val="Normal"/></w:pPr>
<w:r><w:t xml:space="preserve">been burnt again during the Sacred War, and was in a very</w:t></w:r>
</w:p>
<w:p>
<w:pPr><w:pStyle w:val="Normal"/></w:pPr>
<w:r><w:t xml:space="preserve">dilapidated state when seen by Pausanias (x. 35), though</w:t></w:r>
</w:p>
<w:p>
<w:pPr><w:pStyle w:val="Normal"/></w:pPr>
<w:r><w:t xml:space="preserve">some restoration, as well as the building of a new temple,</w:t></w:r>
</w:p>
<w:p>
<w:pPr><w:pStyle w:val="Normal"/></w:pPr>
<w:r><w:t xml:space="preserve">was undertaken by Hadrian.  The sanctity of the shrine</w:t></w:r>
</w:p>
<w:p>
<w:pPr><w:pStyle w:val="Normal"/></w:pPr>
<w:r><w:t xml:space="preserve">ensured certain privileges to the people of Abac (Bull.</w:t></w:r>
</w:p>
<w:p>
<w:pPr><w:pStyle w:val="Normal"/></w:pPr>
<w:r><w:t xml:space="preserve">Corresp.  Hell. vi. 171), and these were confirmed by the</w:t></w:r>
</w:p>
<w:p>
<w:pPr><w:pStyle w:val="Normal"/></w:pPr>
<w:r><w:t xml:space="preserve">Romans.  The polygonal wabs of the acropolis may still be</w:t></w:r>
</w:p>
<w:p>
<w:pPr><w:pStyle w:val="Normal"/></w:pPr>
<w:r><w:t xml:space="preserve">seen in a fair state of preservation on a circular hill</w:t></w:r>
</w:p>
<w:p>
<w:pPr><w:pStyle w:val="Normal"/></w:pPr>
<w:r><w:t xml:space="preserve">standing about 500 ft. above the little plain of Exarcho;</w:t></w:r>
</w:p>
<w:p>
<w:pPr><w:pStyle w:val="Normal"/></w:pPr>
<w:r><w:t xml:space="preserve">one gateway remains, and there are also traces of town walls</w:t></w:r>
</w:p>
<w:p>
<w:pPr><w:pStyle w:val="Normal"/></w:pPr>
<w:r><w:t xml:space="preserve">below.  The temple site was on a low spur of the hill, below the</w:t></w:r>
</w:p>
<w:p>
<w:pPr><w:pStyle w:val="Normal"/></w:pPr>
<w:r><w:t xml:space="preserve">town.  An early terrace wall supports a precinct in which are</w:t></w:r>
</w:p>
<w:p>
<w:pPr><w:pStyle w:val="Normal"/></w:pPr>
<w:r><w:t xml:space="preserve">a stoa and some remains of temples; these were excavated by the</w:t></w:r>
</w:p>
<w:p>
<w:pPr><w:pStyle w:val="Normal"/></w:pPr>
<w:r><w:t xml:space="preserve">British School at Athens in 1894, but very little was found.</w:t></w:r>
</w:p>
<w:p>
<w:pPr><w:pStyle w:val="Normal"/></w:pPr>
<w:r><w:t xml:space="preserve">See also W. M. Leake, Travels in Northern Greece, ii. p. 163i Journal</w:t></w:r>
</w:p>
<w:p>
<w:pPr><w:pStyle w:val="Normal"/></w:pPr>
<w:r><w:t xml:space="preserve">of Hellenic Studies, xvi. pp. 291-312 (V. W. Yorke). . (E. GR.)</w:t></w:r>
</w:p>
<w:p>
<w:pPr><w:pStyle w:val="Normal"/></w:pPr>
<w:r><w:t xml:space="preserve">ABAKANSK, a fortified town of Siberia, in the Russian</w:t></w:r>
</w:p>
<w:p>
<w:pPr><w:pStyle w:val="Normal"/></w:pPr>
<w:r><w:t xml:space="preserve">government of Yeniseisk, on the river Yenisei, 144 m.  S.S.W.</w:t></w:r>
</w:p>
<w:p>
<w:pPr><w:pStyle w:val="Normal"/></w:pPr>
<w:r><w:t xml:space="preserve">of Krasnoyarsk, in lat. 54 deg. 20&apos; N., long. 91 deg. 40&apos; E. This is</w:t></w:r>
</w:p>
<w:p>
<w:pPr><w:pStyle w:val="Normal"/></w:pPr>
<w:r><w:t xml:space="preserve">considered the mildest and most salubrious place in Siberia, and</w:t></w:r>
</w:p>
<w:p>
<w:pPr><w:pStyle w:val="Normal"/></w:pPr>
<w:r><w:t xml:space="preserve">is remarkable for certain tumuli (of the Li Kitai) and statues</w:t></w:r>
</w:p>
<w:p>
<w:pPr><w:pStyle w:val="Normal"/></w:pPr>
<w:r><w:t xml:space="preserve">of men from seven to nine feet high, covered with hieroglyphics.</w:t></w:r>
</w:p>
<w:p>
<w:pPr><w:pStyle w:val="Normal"/></w:pPr>
<w:r><w:t xml:space="preserve">Peter the Great had a fort built here in 1707.  Pop. 2000.</w:t></w:r>
</w:p>
<w:p>
<w:pPr><w:pStyle w:val="Normal"/></w:pPr>
<w:r><w:t xml:space="preserve">ABALONE, the Spanish name used in California for various</w:t></w:r>
</w:p>
<w:p>
<w:pPr><w:pStyle w:val="Normal"/></w:pPr>
<w:r><w:t xml:space="preserve">species of the shell-fish of the Haliotidae family, with a</w:t></w:r>
</w:p>
<w:p>
<w:pPr><w:pStyle w:val="Normal"/></w:pPr>
<w:r><w:t xml:space="preserve">richly coloured shell yielding mother-of-pearl.  This sort</w:t></w:r>
</w:p>
<w:p>
<w:pPr><w:pStyle w:val="Normal"/></w:pPr>
<w:r><w:t xml:space="preserve">of Haliotis is also commonly called ``ear-shell,&apos;&apos; and in</w:t></w:r>
</w:p>
<w:p>
<w:pPr><w:pStyle w:val="Normal"/></w:pPr>
<w:r><w:t xml:space="preserve">Guernsey ``ormer&apos;&apos; (Fr. ormier, for oreille de mer).</w:t></w:r>
</w:p>
<w:p>
<w:pPr><w:pStyle w:val="Normal"/></w:pPr>
<w:r><w:t xml:space="preserve">The abalone shell is found especially at Santa Barbara and</w:t></w:r>
</w:p>
<w:p>
<w:pPr><w:pStyle w:val="Normal"/></w:pPr>
<w:r><w:t xml:space="preserve">other places on the southern Californian coast, and when</w:t></w:r>
</w:p>
<w:p>
<w:pPr><w:pStyle w:val="Normal"/></w:pPr>
<w:r><w:t xml:space="preserve">polished makes a beautiful ornament.  The mollusc itself is</w:t></w:r>
</w:p>
<w:p>
<w:pPr><w:pStyle w:val="Normal"/></w:pPr>
<w:r><w:t xml:space="preserve">often eaten, and dried for consumption in China and Japan.</w:t></w:r>
</w:p>
<w:p>
<w:pPr><w:pStyle w:val="Normal"/></w:pPr>
<w:r><w:t xml:space="preserve">ABANA (or AMANAH, classical Chrysorrhoas) and PHARPAR,</w:t></w:r>
</w:p>
<w:p>
<w:pPr><w:pStyle w:val="Normal"/></w:pPr>
<w:r><w:t xml:space="preserve">the ``rivers of Damascus&apos;&apos; (2 Kings v. 12), now generally</w:t></w:r>
</w:p>
<w:p>
<w:pPr><w:pStyle w:val="Normal"/></w:pPr>
<w:r><w:t xml:space="preserve">identified with the Barada (i.e. ``cold&apos;&apos;) and the A`waj</w:t></w:r>
</w:p>
<w:p>
<w:pPr><w:pStyle w:val="Normal"/></w:pPr>
<w:r><w:t xml:space="preserve">(i.e. ``crooked&apos;&apos;) respectively, though if the reference</w:t></w:r>
</w:p>
<w:p>
<w:pPr><w:pStyle w:val="Normal"/></w:pPr>
<w:r><w:t xml:space="preserve">to Damascus be limited to the city, as in the Arabic</w:t></w:r>
</w:p>
<w:p>
<w:pPr><w:pStyle w:val="Normal"/></w:pPr>
<w:r><w:t xml:space="preserve">version of the Old Testament, Pharpar would be the modern</w:t></w:r>
</w:p>
<w:p>
<w:pPr><w:pStyle w:val="Normal"/></w:pPr>
<w:r><w:t xml:space="preserve">Taura.  Both streams run from west to east across the plain of</w:t></w:r>
</w:p>
<w:p>
<w:pPr><w:pStyle w:val="Normal"/></w:pPr>
<w:r><w:t xml:space="preserve">Damascus, which owes to them much of its fertility, and lose</w:t></w:r>
</w:p>
<w:p>
<w:pPr><w:pStyle w:val="Normal"/></w:pPr>
<w:r><w:t xml:space="preserve">themselves in marshes, or lakes, as they are called, on the</w:t></w:r>
</w:p>
<w:p>
<w:pPr><w:pStyle w:val="Normal"/></w:pPr>
<w:r><w:t xml:space="preserve">borders of the great Arabian desert.  John M&apos;Gregor, who gives</w:t></w:r>
</w:p>
<w:p>
<w:pPr><w:pStyle w:val="Normal"/></w:pPr>
<w:r><w:t xml:space="preserve">an interesting description of them in his Rob Roy on the</w:t></w:r>
</w:p>
<w:p>
<w:pPr><w:pStyle w:val="Normal"/></w:pPr>
<w:r><w:t xml:space="preserve">Jordan, affirmed that as a work of hydraulic engineering,</w:t></w:r>
</w:p>
<w:p>
<w:pPr><w:pStyle w:val="Normal"/></w:pPr>
<w:r><w:t xml:space="preserve">the system and construction of the canals, by which the Abana</w:t></w:r>
</w:p>
<w:p>
<w:pPr><w:pStyle w:val="Normal"/></w:pPr>
<w:r><w:t xml:space="preserve">and Pharpar were used for irrigation, might be considered as</w:t></w:r>
</w:p>
<w:p>
<w:pPr><w:pStyle w:val="Normal"/></w:pPr>
<w:r><w:t xml:space="preserve">one of the most complete and extensive in the world.  As the</w:t></w:r>
</w:p>
<w:p>
<w:pPr><w:pStyle w:val="Normal"/></w:pPr>
<w:r><w:t xml:space="preserve">Barada escapes from the mountains through a narrow gorge,</w:t></w:r>
</w:p>
<w:p>
<w:pPr><w:pStyle w:val="Normal"/></w:pPr>
<w:r><w:t xml:space="preserve">its waters spread out fan-like, in canals or ``rivers&apos;&apos;, the</w:t></w:r>
</w:p>
<w:p>
<w:pPr><w:pStyle w:val="Normal"/></w:pPr>
<w:r><w:t xml:space="preserve">name of one of which, Nahr Banias, retains a trace of Abana.</w:t></w:r>
</w:p>
<w:p>
<w:pPr><w:pStyle w:val="Normal"/></w:pPr>
<w:r><w:t xml:space="preserve">ABANCOURT, CHARLES XAVIER JOSEPH DE FRANQUE VILLE D&apos;,</w:t></w:r>
</w:p>
<w:p>
<w:pPr><w:pStyle w:val="Normal"/></w:pPr>
<w:r><w:t xml:space="preserve">(1758-1792), French statesman, and nephew of Calonne.  He was</w:t></w:r>
</w:p>
<w:p>
<w:pPr><w:pStyle w:val="Normal"/></w:pPr>
<w:r><w:t xml:space="preserve">Louis XVI.&apos;s last minister of war (July 1792), and organized</w:t></w:r>
</w:p>
<w:p>
<w:pPr><w:pStyle w:val="Normal"/></w:pPr>
<w:r><w:t xml:space="preserve">the defence of the Tuileries for the 10th of August.  Commanded</w:t></w:r>
</w:p>
<w:p>
<w:pPr><w:pStyle w:val="Normal"/></w:pPr>
<w:r><w:t xml:space="preserve">by the Legislative Assembly to send away the Swiss guards, he</w:t></w:r>
</w:p>
<w:p>
<w:pPr><w:pStyle w:val="Normal"/></w:pPr>
<w:r><w:t xml:space="preserve">refused, and was arrested for treason to the nation and sent</w:t></w:r>
</w:p>
<w:p>
<w:pPr><w:pStyle w:val="Normal"/></w:pPr>
<w:r><w:t xml:space="preserve">to Orleans to be tried.  At the end of August the Assembly</w:t></w:r>
</w:p>
<w:p>
<w:pPr><w:pStyle w:val="Normal"/></w:pPr>
<w:r><w:t xml:space="preserve">ordered Abancourt and the other prisoners at Orleans to</w:t></w:r>
</w:p>
<w:p>
<w:pPr><w:pStyle w:val="Normal"/></w:pPr>
<w:r><w:t xml:space="preserve">be transferred to Paris with an escort commanded by Claude</w:t></w:r>
</w:p>
<w:p>
<w:pPr><w:pStyle w:val="Normal"/></w:pPr>
<w:r><w:t xml:space="preserve">Fournier, ``the American.&apos;&apos; At Versailles they learned of the</w:t></w:r>
</w:p>
<w:p>
<w:pPr><w:pStyle w:val="Normal"/></w:pPr>
<w:r><w:t xml:space="preserve">massacres at Paris, and Abancourt and his fellow-prisoners</w:t></w:r>
</w:p>
<w:p>
<w:pPr><w:pStyle w:val="Normal"/></w:pPr>
<w:r><w:t xml:space="preserve">were murdered in cold blood on the 8th of September 1792.</w:t></w:r>
</w:p>
<w:p>
<w:pPr><w:pStyle w:val="Normal"/></w:pPr>
<w:r><w:t xml:space="preserve">Fournier was unjustly charged with complicity in the crime.</w:t></w:r>
</w:p>
<w:p>
<w:pPr><w:pStyle w:val="Normal"/></w:pPr>
<w:r><w:t xml:space="preserve">ABANDONMENT (Fr. abandonnement, from abandonner, to</w:t></w:r>
</w:p>
<w:p>
<w:pPr><w:pStyle w:val="Normal"/></w:pPr>
<w:r><w:t xml:space="preserve">abandon, relinquish; abandonner was originally equivalent</w:t></w:r>
</w:p>
<w:p>
<w:pPr><w:pStyle w:val="Normal"/></w:pPr>
<w:r><w:t xml:space="preserve">to mettrea bandon, to leave to the jurisdiction, i.e. of</w:t></w:r>
</w:p>
<w:p>
<w:pPr><w:pStyle w:val="Normal"/></w:pPr>
<w:r><w:t xml:space="preserve">another, bandon being from Low Latin bandum, bannum, order,</w:t></w:r>
</w:p>
<w:p>
<w:pPr><w:pStyle w:val="Normal"/></w:pPr>
<w:r><w:t xml:space="preserve">decree, ``ban&apos;&apos;), in law, the relinquishment of an interest,</w:t></w:r>
</w:p>
<w:p>
<w:pPr><w:pStyle w:val="Normal"/></w:pPr>
<w:r><w:t xml:space="preserve">claim, privilege or possession.  Its signification varies</w:t></w:r>
</w:p>
<w:p>
<w:pPr><w:pStyle w:val="Normal"/></w:pPr>
<w:r><w:t xml:space="preserve">according to the branch of the law in which it is employed,</w:t></w:r>
</w:p>
<w:p>
<w:pPr><w:pStyle w:val="Normal"/></w:pPr>
<w:r><w:t xml:space="preserve">but the more important uses of the word are summarized below.</w:t></w:r>
</w:p>
<w:p>
<w:pPr><w:pStyle w:val="Normal"/></w:pPr>
<w:r><w:t xml:space="preserve">ABANDONMENT OF AN ACTION is the discontinuance of proceedings</w:t></w:r>
</w:p>
<w:p>
<w:pPr><w:pStyle w:val="Normal"/></w:pPr>
<w:r><w:t xml:space="preserve">commenced in the High Court of Justice either because the</w:t></w:r>
</w:p>
<w:p>
<w:pPr><w:pStyle w:val="Normal"/></w:pPr>
<w:r><w:t xml:space="preserve">plaintiff is convinced that he will not succeed in his action</w:t></w:r>
</w:p>
<w:p>
<w:pPr><w:pStyle w:val="Normal"/></w:pPr>
<w:r><w:t xml:space="preserve">or for other reasons.  Previous to the Judicature Act of 1875,</w:t></w:r>
</w:p>
<w:p>
<w:pPr><w:pStyle w:val="Normal"/></w:pPr>
<w:r><w:t xml:space="preserve">considerable latitude was allowed as to the time when a suitor</w:t></w:r>
</w:p>
<w:p>
<w:pPr><w:pStyle w:val="Normal"/></w:pPr>
<w:r><w:t xml:space="preserve">might abandon his action, and yet preserve his right to bring</w:t></w:r>
</w:p>
<w:p>
<w:pPr><w:pStyle w:val="Normal"/></w:pPr>
<w:r><w:t xml:space="preserve">another action on the same suit (see NONSUIT); but since 1875</w:t></w:r>
</w:p>
<w:p>
<w:pPr><w:pStyle w:val="Normal"/></w:pPr>
<w:r><w:t xml:space="preserve">this right has been considerably curtailed, and a plaintiff who</w:t></w:r>
</w:p>
<w:p>
<w:pPr><w:pStyle w:val="Normal"/></w:pPr>
<w:r><w:t xml:space="preserve">has deilvered his reply (see PLEADING), and afterwards wishes</w:t></w:r>
</w:p>
<w:p>
<w:pPr><w:pStyle w:val="Normal"/></w:pPr>
<w:r><w:t xml:space="preserve">to abandon his action, can generally obtain leave so to do only</w:t></w:r>
</w:p>
<w:p>
<w:pPr><w:pStyle w:val="Normal"/></w:pPr>
<w:r><w:t xml:space="preserve">on condition of bringing no further proceedings in the matter.</w:t></w:r>
</w:p>
<w:p>
<w:pPr><w:pStyle w:val="Normal"/></w:pPr>
<w:r><w:t xml:space="preserve">ABANDONMENT IN MARINE INSURANCE is the surrender of the ship</w:t></w:r>
</w:p>
<w:p>
<w:pPr><w:pStyle w:val="Normal"/></w:pPr>
<w:r><w:t xml:space="preserve">or goods insured to the insurers, in the case of a constructive</w:t></w:r>
</w:p>
<w:p>
<w:pPr><w:pStyle w:val="Normal"/></w:pPr>
<w:r><w:t xml:space="preserve">total loss of the thing insured.  For the requisites and</w:t></w:r>
</w:p>
<w:p>
<w:pPr><w:pStyle w:val="Normal"/></w:pPr>
<w:r><w:t xml:space="preserve">effects of abandonment in this sense See INSURANCE, MARINE.</w:t></w:r>
</w:p>
<w:p>
<w:pPr><w:pStyle w:val="Normal"/></w:pPr>
<w:r><w:t xml:space="preserve">ABANDONMENT OF WIFE AND CHILDREN is dealt with under</w:t></w:r>
</w:p>
<w:p>
<w:pPr><w:pStyle w:val="Normal"/></w:pPr>
<w:r><w:t xml:space="preserve">DESERTION, and the abandonment or exposure of a</w:t></w:r>
</w:p>
<w:p>
<w:pPr><w:pStyle w:val="Normal"/></w:pPr>
<w:r><w:t xml:space="preserve">young child under the age of two, which is an indictable</w:t></w:r>
</w:p>
<w:p>
<w:pPr><w:pStyle w:val="Normal"/></w:pPr>
<w:r><w:t xml:space="preserve">misdemeanour, is dealt with under CHILDREN, CRUELTY TO.</w:t></w:r>
</w:p>
<w:p>
<w:pPr><w:pStyle w:val="Normal"/></w:pPr>
<w:r><w:t xml:space="preserve">ABANDONMENT OF DOMICILE is the ceasing to reside permanently</w:t></w:r>
</w:p>
<w:p>
<w:pPr><w:pStyle w:val="Normal"/></w:pPr>
<w:r><w:t xml:space="preserve">in a former domicile coupled with the intention of choosing a new</w:t></w:r>
</w:p>
<w:p>
<w:pPr><w:pStyle w:val="Normal"/></w:pPr>
<w:r><w:t xml:space="preserve">domicile.  The presumptions which will guide the court in deciding</w:t></w:r>
</w:p>
<w:p>
<w:pPr><w:pStyle w:val="Normal"/></w:pPr>
<w:r><w:t xml:space="preserve">whether a former domicile has been abandoned or not must be</w:t></w:r>
</w:p>
<w:p>
<w:pPr><w:pStyle w:val="Normal"/></w:pPr>
<w:r><w:t xml:space="preserve">inferred from the facts of each individual case.  See DOMICILE.</w:t></w:r>
</w:p>
<w:p>
<w:pPr><w:pStyle w:val="Normal"/></w:pPr>
<w:r><w:t xml:space="preserve">ABANDONMENT OF AN EASEMENT is the relinquishment of some</w:t></w:r>
</w:p>
<w:p>
<w:pPr><w:pStyle w:val="Normal"/></w:pPr>
<w:r><w:t xml:space="preserve">accommodation or right in another&apos;s land, such as right of</w:t></w:r>
</w:p>
<w:p>
<w:pPr><w:pStyle w:val="Normal"/></w:pPr>
<w:r><w:t xml:space="preserve">way, free access of light and air, &amp;c. See EASEMENT.</w:t></w:r>
</w:p>
<w:p>
<w:pPr><w:pStyle w:val="Normal"/></w:pPr>
<w:r><w:t xml:space="preserve">ABANDONMENT OF RAILWAYS has a legal signification in England</w:t></w:r>
</w:p>
<w:p>
<w:pPr><w:pStyle w:val="Normal"/></w:pPr>
<w:r><w:t xml:space="preserve">recognized by statute, by authority of which the Board of</w:t></w:r>
</w:p>
<w:p>
<w:pPr><w:pStyle w:val="Normal"/></w:pPr>
<w:r><w:t xml:space="preserve">Trade may, under certain circumstances, grant a warrant to a</w:t></w:r>
</w:p>
<w:p>
<w:pPr><w:pStyle w:val="Normal"/></w:pPr>
<w:r><w:t xml:space="preserve">railway authorizing the abandonment of its line or part of it.</w:t></w:r>
</w:p>
<w:p>
<w:pPr><w:pStyle w:val="Normal"/></w:pPr>
<w:r><w:t xml:space="preserve">ABANO, PIETRO D, (1250-1316), known also as PETRUS DE</w:t></w:r>
</w:p>
<w:p>
<w:pPr><w:pStyle w:val="Normal"/></w:pPr>
<w:r><w:t xml:space="preserve">APONO or APONENSIS, Italian physician and philosopher,</w:t></w:r>
</w:p>
<w:p>
<w:pPr><w:pStyle w:val="Normal"/></w:pPr>
<w:r><w:t xml:space="preserve">was born at the Italian town from which he takes his name</w:t></w:r>
</w:p>
<w:p>
<w:pPr><w:pStyle w:val="Normal"/></w:pPr>
<w:r><w:t xml:space="preserve">in 1250, or, according to others, in 1246.  After studying</w:t></w:r>
</w:p>
<w:p>
<w:pPr><w:pStyle w:val="Normal"/></w:pPr>
<w:r><w:t xml:space="preserve">medicine and philosophy at Paris he settled at Padua, where</w:t></w:r>
</w:p>
<w:p>
<w:pPr><w:pStyle w:val="Normal"/></w:pPr>
<w:r><w:t xml:space="preserve">he speedily gained a great reputation as a physician, and</w:t></w:r>
</w:p>
<w:p>
<w:pPr><w:pStyle w:val="Normal"/></w:pPr>
<w:r><w:t xml:space="preserve">availed himself of it to gratify his avarice by refusing</w:t></w:r>
</w:p>
<w:p>
<w:pPr><w:pStyle w:val="Normal"/></w:pPr>
<w:r><w:t xml:space="preserve">to visit patients except for an exorbitant fee.  Perhaps</w:t></w:r>
</w:p>
<w:p>
<w:pPr><w:pStyle w:val="Normal"/></w:pPr>
<w:r><w:t xml:space="preserve">this, as well as his meddling with astrology, caused him to</w:t></w:r>
</w:p>
<w:p>
<w:pPr><w:pStyle w:val="Normal"/></w:pPr>
<w:r><w:t xml:space="preserve">be charged with practising magic, the particular accusations</w:t></w:r>
</w:p>
<w:p>
<w:pPr><w:pStyle w:val="Normal"/></w:pPr>
<w:r><w:t xml:space="preserve">being that he brought back into his purse, by the aid of the</w:t></w:r>
</w:p>
<w:p>
<w:pPr><w:pStyle w:val="Normal"/></w:pPr>
<w:r><w:t xml:space="preserve">devil, all the money he paid away, and that he possessed the</w:t></w:r>
</w:p>
<w:p>
<w:pPr><w:pStyle w:val="Normal"/></w:pPr>
<w:r><w:t xml:space="preserve">philosopher&apos;s stone.  He was twice brought to trial by the</w:t></w:r>
</w:p>
<w:p>
<w:pPr><w:pStyle w:val="Normal"/></w:pPr>
<w:r><w:t xml:space="preserve">Inquisition; on the first occasion he was acquitted, and he</w:t></w:r>
</w:p>
<w:p>
<w:pPr><w:pStyle w:val="Normal"/></w:pPr>
<w:r><w:t xml:space="preserve">died (1316) before the second trial was completed.  He was</w:t></w:r>
</w:p>
<w:p>
<w:pPr><w:pStyle w:val="Normal"/></w:pPr>
<w:r><w:t xml:space="preserve">found guilty, however, and his body was ordered to be exhumed</w:t></w:r>
</w:p>
<w:p>
<w:pPr><w:pStyle w:val="Normal"/></w:pPr>
<w:r><w:t xml:space="preserve">and burned; but a friend had secretly removed it, and the</w:t></w:r>
</w:p>
<w:p>
<w:pPr><w:pStyle w:val="Normal"/></w:pPr>
<w:r><w:t xml:space="preserve">Inquisition had, therefore, to content itself with the public</w:t></w:r>
</w:p>
<w:p>
<w:pPr><w:pStyle w:val="Normal"/></w:pPr>
<w:r><w:t xml:space="preserve">proclamation of its sentence and the burning of Abano in</w:t></w:r>
</w:p>
<w:p>
<w:pPr><w:pStyle w:val="Normal"/></w:pPr>
<w:r><w:t xml:space="preserve">effigy.  In his writings he expounds and advocates the medical</w:t></w:r>
</w:p>
<w:p>
<w:pPr><w:pStyle w:val="Normal"/></w:pPr>
<w:r><w:t xml:space="preserve">and philosophical systems of Averroes and other Arabian</w:t></w:r>
</w:p>
<w:p>
<w:pPr><w:pStyle w:val="Normal"/></w:pPr>
<w:r><w:t xml:space="preserve">writers.  His best known works are the Conciliator differentiarum</w:t></w:r>
</w:p>
<w:p>
<w:pPr><w:pStyle w:val="Normal"/></w:pPr>
<w:r><w:t xml:space="preserve">quae inter philosophos et medicos versantur (Mantua, 1472;</w:t></w:r>
</w:p>
<w:p>
<w:pPr><w:pStyle w:val="Normal"/></w:pPr>
<w:r><w:t xml:space="preserve">V.enice, 1476), and De venenis eorumque remediis (1472),</w:t></w:r>
</w:p>
<w:p>
<w:pPr><w:pStyle w:val="Normal"/></w:pPr>
<w:r><w:t xml:space="preserve">of which a French translation was published at Lyons in 1593.</w:t></w:r>
</w:p>
<w:p>
<w:pPr><w:pStyle w:val="Normal"/></w:pPr>
<w:r><w:t xml:space="preserve">ABANO BAGNI, a town of Venetia, Italy, in the province of</w:t></w:r>
</w:p>
<w:p>
<w:pPr><w:pStyle w:val="Normal"/></w:pPr>
<w:r><w:t xml:space="preserve">Padua, on the E. slope of the Monti Euganei; it is 6 m.  S.W.</w:t></w:r>
</w:p>
<w:p>
<w:pPr><w:pStyle w:val="Normal"/></w:pPr>
<w:r><w:t xml:space="preserve">by rail from Padua.  Pop. (1901) 4556.  Its hot springs and</w:t></w:r>
</w:p>
<w:p>
<w:pPr><w:pStyle w:val="Normal"/></w:pPr>
<w:r><w:t xml:space="preserve">mud baths are much resorted to, and were known to the Ronlans</w:t></w:r>
</w:p>
<w:p>
<w:pPr><w:pStyle w:val="Normal"/></w:pPr>
<w:r><w:t xml:space="preserve">as Aponi fons or Aquae Patavinae. Some remains of the</w:t></w:r>
</w:p>
<w:p>
<w:pPr><w:pStyle w:val="Normal"/></w:pPr>
<w:r><w:t xml:space="preserve">ancient baths have been discovered (S. Mandruzzato, Trattato</w:t></w:r>
</w:p>
<w:p>
<w:pPr><w:pStyle w:val="Normal"/></w:pPr>
<w:r><w:t xml:space="preserve">dei Bagni d&apos; Abano, Padua, 1789).  An oracle of Geryon lay</w:t></w:r>
</w:p>
<w:p>
<w:pPr><w:pStyle w:val="Normal"/></w:pPr>
<w:r><w:t xml:space="preserve">near, and the so-called sortes Praenestinae (C.I.L. i.,</w:t></w:r>
</w:p>
<w:p>
<w:pPr><w:pStyle w:val="Normal"/></w:pPr>
<w:r><w:t xml:space="preserve">Berlin, 1863; 1438-1454), small bronze cylinders inscribed, and</w:t></w:r>
</w:p>
<w:p>
<w:pPr><w:pStyle w:val="Normal"/></w:pPr>
<w:r><w:t xml:space="preserve">used as oracles, were perhaps found here in the 16th century.</w:t></w:r>
</w:p>
<w:p>
<w:pPr><w:pStyle w:val="Normal"/></w:pPr>
<w:r><w:t xml:space="preserve">ABARIS, a Scythian or Hyperborean, priest and prophet</w:t></w:r>
</w:p>
<w:p>
<w:pPr><w:pStyle w:val="Normal"/></w:pPr>
<w:r><w:t xml:space="preserve">of Apollo, who is said to have visited Greece about 770</w:t></w:r>
</w:p>
<w:p>
<w:pPr><w:pStyle w:val="Normal"/></w:pPr>
<w:r><w:t xml:space="preserve">B.C., or two or three centuries later.  According to</w:t></w:r>
</w:p>
<w:p>
<w:pPr><w:pStyle w:val="Normal"/></w:pPr>
<w:r><w:t xml:space="preserve">the legend, he travelled throughout the country, living</w:t></w:r>
</w:p>
<w:p>
<w:pPr><w:pStyle w:val="Normal"/></w:pPr>
<w:r><w:t xml:space="preserve">without food and riding on a golden arrow, the gift of</w:t></w:r>
</w:p>
<w:p>
<w:pPr><w:pStyle w:val="Normal"/></w:pPr>
<w:r><w:t xml:space="preserve">the god; he healed the sick, foretold the future, worked</w:t></w:r>
</w:p>
<w:p>
<w:pPr><w:pStyle w:val="Normal"/></w:pPr>
<w:r><w:t xml:space="preserve">miracles, and delivered Sparta from a plague (Herod. iv. 36;</w:t></w:r>
</w:p>
<w:p>
<w:pPr><w:pStyle w:val="Normal"/></w:pPr>
<w:r><w:t xml:space="preserve">Iamblichus, De Fit. Pythag. xix. 28). Suidas credits him</w:t></w:r>
</w:p>
<w:p>
<w:pPr><w:pStyle w:val="Normal"/></w:pPr>
<w:r><w:t xml:space="preserve">with several works: Scythian oracles, the visit of Apollo to</w:t></w:r>
</w:p>
<w:p>
<w:pPr><w:pStyle w:val="Normal"/></w:pPr>
<w:r><w:t xml:space="preserve">the Hyperboreans, expiatory formulas and a prose theogony.</w:t></w:r>
</w:p>
<w:p>
<w:pPr><w:pStyle w:val="Normal"/></w:pPr>
<w:r><w:t xml:space="preserve">ABATED, an ancient technical term applied in masonry and</w:t></w:r>
</w:p>
<w:p>
<w:pPr><w:pStyle w:val="Normal"/></w:pPr>
<w:r><w:t xml:space="preserve">metal work to those portions which are sunk beneath the</w:t></w:r>
</w:p>
<w:p>
<w:pPr><w:pStyle w:val="Normal"/></w:pPr>
<w:r><w:t xml:space="preserve">surface, as in inscriptions where the ground is sunk round</w:t></w:r>
</w:p>
<w:p>
<w:pPr><w:pStyle w:val="Normal"/></w:pPr>
<w:r><w:t xml:space="preserve">the letters so as to leave the letters or ornament in relief.</w:t></w:r>
</w:p>
<w:p>
<w:pPr><w:pStyle w:val="Normal"/></w:pPr>
<w:r><w:t xml:space="preserve">ABATEMENT (derived through the French abattre, from the</w:t></w:r>
</w:p>
<w:p>
<w:pPr><w:pStyle w:val="Normal"/></w:pPr>
<w:r><w:t xml:space="preserve">Late Latin battere, to beat), a beating down or diminishing or</w:t></w:r>
</w:p>
<w:p>
<w:pPr><w:pStyle w:val="Normal"/></w:pPr>
<w:r><w:t xml:space="preserve">doing away with; a term used especially in various legal phrases.</w:t></w:r>
</w:p>
<w:p>
<w:pPr><w:pStyle w:val="Normal"/></w:pPr>
<w:r><w:t xml:space="preserve">ABATEMENT OF A NUISANCE is the remedy allowed by law to</w:t></w:r>
</w:p>
<w:p>
<w:pPr><w:pStyle w:val="Normal"/></w:pPr>
<w:r><w:t xml:space="preserve">a person or public authority injured by a public nuisance</w:t></w:r>
</w:p>
<w:p>
<w:pPr><w:pStyle w:val="Normal"/></w:pPr>
<w:r><w:t xml:space="preserve">of destroying or removing it, provided no breach of the</w:t></w:r>
</w:p>
<w:p>
<w:pPr><w:pStyle w:val="Normal"/></w:pPr>
<w:r><w:t xml:space="preserve">peace is committed in doing so.  In the case of private</w:t></w:r>
</w:p>
<w:p>
<w:pPr><w:pStyle w:val="Normal"/></w:pPr>
<w:r><w:t xml:space="preserve">nuisances abatement is also allowed provided there be no</w:t></w:r>
</w:p>
<w:p>
<w:pPr><w:pStyle w:val="Normal"/></w:pPr>
<w:r><w:t xml:space="preserve">breach of the peace, and no damage be occasioned beyond</w:t></w:r>
</w:p>
<w:p>
<w:pPr><w:pStyle w:val="Normal"/></w:pPr>
<w:r><w:t xml:space="preserve">what the removal of the nuisance requires. (See NUISANCE.)</w:t></w:r>
</w:p>
<w:p>
<w:pPr><w:pStyle w:val="Normal"/></w:pPr>
<w:r><w:t xml:space="preserve">ABATEMENT OF FREEHOLD takes place where, after the death of</w:t></w:r>
</w:p>
<w:p>
<w:pPr><w:pStyle w:val="Normal"/></w:pPr>
<w:r><w:t xml:space="preserve">the person last seised, a stranger enters upon lands before</w:t></w:r>
</w:p>
<w:p>
<w:pPr><w:pStyle w:val="Normal"/></w:pPr>
<w:r><w:t xml:space="preserve">the entry of the heir or devisee, and keeps the latter out of</w:t></w:r>
</w:p>
<w:p>
<w:pPr><w:pStyle w:val="Normal"/></w:pPr>
<w:r><w:t xml:space="preserve">possession.  It differs from intrusion, which is a similar</w:t></w:r>
</w:p>
<w:p>
<w:pPr><w:pStyle w:val="Normal"/></w:pPr>
<w:r><w:t xml:space="preserve">entry by a stranger on the death of a tenant for life, to</w:t></w:r>
</w:p>
<w:p>
<w:pPr><w:pStyle w:val="Normal"/></w:pPr>
<w:r><w:t xml:space="preserve">the prejudice of the reversioner, or remainder man; and from</w:t></w:r>
</w:p>
<w:p>
<w:pPr><w:pStyle w:val="Normal"/></w:pPr>
<w:r><w:t xml:space="preserve">disseisin, which is the forcible or fraudulent expulsion</w:t></w:r>
</w:p>
<w:p>
<w:pPr><w:pStyle w:val="Normal"/></w:pPr>
<w:r><w:t xml:space="preserve">of a person seised of the freehold. (See FREEHOLD.)</w:t></w:r>
</w:p>
<w:p>
<w:pPr><w:pStyle w:val="Normal"/></w:pPr>
<w:r><w:t xml:space="preserve">ABATEMENT OE DEBTS AND LEGACIES. When the equitable assets</w:t></w:r>
</w:p>
<w:p>
<w:pPr><w:pStyle w:val="Normal"/></w:pPr>
<w:r><w:t xml:space="preserve">(see ASSETS) of a deceased person are not sufficient to</w:t></w:r>
</w:p>
<w:p>
<w:pPr><w:pStyle w:val="Normal"/></w:pPr>
<w:r><w:t xml:space="preserve">satisfy fully all the creditors, their debts must abate</w:t></w:r>
</w:p>
<w:p>
<w:pPr><w:pStyle w:val="Normal"/></w:pPr>
<w:r><w:t xml:space="preserve">proportionately, and they must accept a dividend.  Also, in</w:t></w:r>
</w:p>
<w:p>
<w:pPr><w:pStyle w:val="Normal"/></w:pPr>
<w:r><w:t xml:space="preserve">the case of legacies when the funds or assets out of which</w:t></w:r>
</w:p>
<w:p>
<w:pPr><w:pStyle w:val="Normal"/></w:pPr>
<w:r><w:t xml:space="preserve">they are payable are not sufficient to pay them in full, the</w:t></w:r>
</w:p>
<w:p>
<w:pPr><w:pStyle w:val="Normal"/></w:pPr>
<w:r><w:t xml:space="preserve">legacies abate in proportion, unless there is a priority given</w:t></w:r>
</w:p>
<w:p>
<w:pPr><w:pStyle w:val="Normal"/></w:pPr>
<w:r><w:t xml:space="preserve">specially to any particular legacy (see LEGACY). Annuities</w:t></w:r>
</w:p>
<w:p>
<w:pPr><w:pStyle w:val="Normal"/></w:pPr>
<w:r><w:t xml:space="preserve">are also subject to the same rule as general legacies.</w:t></w:r>
</w:p>
<w:p>
<w:pPr><w:pStyle w:val="Normal"/></w:pPr>
<w:r><w:t xml:space="preserve">ABATEMENT IN PLEADING, or plea in abatement, was the</w:t></w:r>
</w:p>
<w:p>
<w:pPr><w:pStyle w:val="Normal"/></w:pPr>
<w:r><w:t xml:space="preserve">defeating or quashing of a particular action by some matter of</w:t></w:r>
</w:p>
<w:p>
<w:pPr><w:pStyle w:val="Normal"/></w:pPr>
<w:r><w:t xml:space="preserve">fact, such as a defect in form or the personal incompetency</w:t></w:r>
</w:p>
<w:p>
<w:pPr><w:pStyle w:val="Normal"/></w:pPr>
<w:r><w:t xml:space="preserve">of the parties suing, pleaded by the defendant.  It did not</w:t></w:r>
</w:p>
<w:p>
<w:pPr><w:pStyle w:val="Normal"/></w:pPr>
<w:r><w:t xml:space="preserve">involve the merits of the cause, but left the right of action</w:t></w:r>
</w:p>
<w:p>
<w:pPr><w:pStyle w:val="Normal"/></w:pPr>
<w:r><w:t xml:space="preserve">subsisting.  In criminal proceedings a plea in abatement was at</w:t></w:r>
</w:p>
<w:p>
<w:pPr><w:pStyle w:val="Normal"/></w:pPr>
<w:r><w:t xml:space="preserve">one time a common practice in answer to an indictment, and was</w:t></w:r>
</w:p>
<w:p>
<w:pPr><w:pStyle w:val="Normal"/></w:pPr>
<w:r><w:t xml:space="preserve">set up for the purpose of defeating the indictment as framed,</w:t></w:r>
</w:p>
<w:p>
<w:pPr><w:pStyle w:val="Normal"/></w:pPr>
<w:r><w:t xml:space="preserve">by alleging misnomer or other misdescription of the defendant.</w:t></w:r>
</w:p>
<w:p>
<w:pPr><w:pStyle w:val="Normal"/></w:pPr>
<w:r><w:t xml:space="preserve">Its effect for this purpose was nullified by the Criminal Law</w:t></w:r>
</w:p>
<w:p>
<w:pPr><w:pStyle w:val="Normal"/></w:pPr>
<w:r><w:t xml:space="preserve">Act 1826, which required the court to amend according to the</w:t></w:r>
</w:p>
<w:p>
<w:pPr><w:pStyle w:val="Normal"/></w:pPr>
<w:r><w:t xml:space="preserve">truth, and the Criminal Procedure Act 1851, which rendered</w:t></w:r>
</w:p>
<w:p>
<w:pPr><w:pStyle w:val="Normal"/></w:pPr>
<w:r><w:t xml:space="preserve">description of the defendant unnecessary.  All pleas in abatement</w:t></w:r>
</w:p>
<w:p>
<w:pPr><w:pStyle w:val="Normal"/></w:pPr>
<w:r><w:t xml:space="preserve">are now abolished (R.S.G.  Order 21, r. 20). See PLEADING.</w:t></w:r>
</w:p>
<w:p>
<w:pPr><w:pStyle w:val="Normal"/></w:pPr>
<w:r><w:t xml:space="preserve">ABATEMENT IN LITIGATION. In civil proceedings, no action</w:t></w:r>
</w:p>
<w:p>
<w:pPr><w:pStyle w:val="Normal"/></w:pPr>
<w:r><w:t xml:space="preserve">abates by reason of the marriage, death or bankruptcy of any</w:t></w:r>
</w:p>
<w:p>
<w:pPr><w:pStyle w:val="Normal"/></w:pPr>
<w:r><w:t xml:space="preserve">of the parties, if the cause of action survives or continues,</w:t></w:r>
</w:p>
<w:p>
<w:pPr><w:pStyle w:val="Normal"/></w:pPr>
<w:r><w:t xml:space="preserve">and does not become defective by the assignment, creation or</w:t></w:r>
</w:p>
<w:p>
<w:pPr><w:pStyle w:val="Normal"/></w:pPr>
<w:r><w:t xml:space="preserve">devolution of any estate or title pendente lite (R.S.C. Order</w:t></w:r>
</w:p>
<w:p>
<w:pPr><w:pStyle w:val="Normal"/></w:pPr>
<w:r><w:t xml:space="preserve">17, r. 1). Criminal proceedings do not abate on the death of</w:t></w:r>
</w:p>
<w:p>
<w:pPr><w:pStyle w:val="Normal"/></w:pPr>
<w:r><w:t xml:space="preserve">the prosecutor, being in theory instituted by the crown, but</w:t></w:r>
</w:p>
<w:p>
<w:pPr><w:pStyle w:val="Normal"/></w:pPr>
<w:r><w:t xml:space="preserve">the crown itself may bring about their termination without any</w:t></w:r>
</w:p>
<w:p>
<w:pPr><w:pStyle w:val="Normal"/></w:pPr>
<w:r><w:t xml:space="preserve">decision on the merits and without the assent of the prosecutor.</w:t></w:r>
</w:p>
<w:p>
<w:pPr><w:pStyle w:val="Normal"/></w:pPr>
<w:r><w:t xml:space="preserve">ABATEMENT OF FALSE LIGHTS. By the Merchant Shipping Act</w:t></w:r>
</w:p>
<w:p>
<w:pPr><w:pStyle w:val="Normal"/></w:pPr>
<w:r><w:t xml:space="preserve">1854, the general lighthouse authority (see LIGHTHOUSE) has</w:t></w:r>
</w:p>
<w:p>
<w:pPr><w:pStyle w:val="Normal"/></w:pPr>
<w:r><w:t xml:space="preserve">power to order the extinguishment or screening of any light</w:t></w:r>
</w:p>
<w:p>
<w:pPr><w:pStyle w:val="Normal"/></w:pPr>
<w:r><w:t xml:space="preserve">which may be mistaken for a light proceeding from a lighthouse.</w:t></w:r>
</w:p>
<w:p>
<w:pPr><w:pStyle w:val="Normal"/></w:pPr>
<w:r><w:t xml:space="preserve">ABATEMENT IN COMMERCE is a deduction sometimes made at a</w:t></w:r>
</w:p>
<w:p>
<w:pPr><w:pStyle w:val="Normal"/></w:pPr>
<w:r><w:t xml:space="preserve">custom-house from the fixed duties on certain kinds of goods, on</w:t></w:r>
</w:p>
<w:p>
<w:pPr><w:pStyle w:val="Normal"/></w:pPr>
<w:r><w:t xml:space="preserve">account of damage or loss sustained in warehouses.  The rate and</w:t></w:r>
</w:p>
<w:p>
<w:pPr><w:pStyle w:val="Normal"/></w:pPr>
<w:r><w:t xml:space="preserve">conditions of such deductions are regulated, in England, by the</w:t></w:r>
</w:p>
<w:p>
<w:pPr><w:pStyle w:val="Normal"/></w:pPr>
<w:r><w:t xml:space="preserve">Customs Consolidation Act 1853. (See also DRAWBACK; REBATE.)</w:t></w:r>
</w:p>
<w:p>
<w:pPr><w:pStyle w:val="Normal"/></w:pPr>
<w:r><w:t xml:space="preserve">ABATEMENT IN HERALDRY is a badge in coat-armour, indicating some</w:t></w:r>
</w:p>
<w:p>
<w:pPr><w:pStyle w:val="Normal"/></w:pPr>
<w:r><w:t xml:space="preserve">kind of degradation or dishonour.  It is called also rebatement.</w:t></w:r>
</w:p>
<w:p>
<w:pPr><w:pStyle w:val="Normal"/></w:pPr>
<w:r><w:t xml:space="preserve">ABATI, or DELL&apos; ABBATO, NICCOLO (1512--1571), a celebrated</w:t></w:r>
</w:p>
<w:p>
<w:pPr><w:pStyle w:val="Normal"/></w:pPr>
<w:r><w:t xml:space="preserve">fresco-painter of Modena, whose best works are there and at</w:t></w:r>
</w:p>
<w:p>
<w:pPr><w:pStyle w:val="Normal"/></w:pPr>
<w:r><w:t xml:space="preserve">Bologna.  He accompanied Primaticcio to France, and assisted</w:t></w:r>
</w:p>
<w:p>
<w:pPr><w:pStyle w:val="Normal"/></w:pPr>
<w:r><w:t xml:space="preserve">in decorating the palace at Fontainebleau (1552--1571).  His</w:t></w:r>
</w:p>
<w:p>
<w:pPr><w:pStyle w:val="Normal"/></w:pPr>
<w:r><w:t xml:space="preserve">pictures exhibit a combination of skill in drawing, grace</w:t></w:r>
</w:p>
<w:p>
<w:pPr><w:pStyle w:val="Normal"/></w:pPr>
<w:r><w:t xml:space="preserve">and natural colouring.  Some of his easel pieces in oil are</w:t></w:r>
</w:p>
<w:p>
<w:pPr><w:pStyle w:val="Normal"/></w:pPr>
<w:r><w:t xml:space="preserve">in different collections; one of the finest, in the Dresden</w:t></w:r>
</w:p>
<w:p>
<w:pPr><w:pStyle w:val="Normal"/></w:pPr>
<w:r><w:t xml:space="preserve">Gallery, represents the martyrdom of St Peter and St Paul.</w:t></w:r>
</w:p>
<w:p>
<w:pPr><w:pStyle w:val="Normal"/></w:pPr>
<w:r><w:t xml:space="preserve">ABATIS,ABATTIS or ABBATTIS (a French word meaning</w:t></w:r>
</w:p>
<w:p>
<w:pPr><w:pStyle w:val="Normal"/></w:pPr>
<w:r><w:t xml:space="preserve">a heap of material thrown), a term in field fortification</w:t></w:r>
</w:p>
<w:p>
<w:pPr><w:pStyle w:val="Normal"/></w:pPr>
<w:r><w:t xml:space="preserve">for an obstacle formed of the branches of trees laid</w:t></w:r>
</w:p>
<w:p>
<w:pPr><w:pStyle w:val="Normal"/></w:pPr>
<w:r><w:t xml:space="preserve">in a row, with the tops directed towards the enemy and</w:t></w:r>
</w:p>
<w:p>
<w:pPr><w:pStyle w:val="Normal"/></w:pPr>
<w:r><w:t xml:space="preserve">interlaced or tied with wire.  The abatis is used alone or</w:t></w:r>
</w:p>
<w:p>
<w:pPr><w:pStyle w:val="Normal"/></w:pPr>
<w:r><w:t xml:space="preserve">in combination with wire-entanglements and other obstacles.</w:t></w:r>
</w:p>
<w:p>
<w:pPr><w:pStyle w:val="Normal"/></w:pPr>
<w:r><w:t xml:space="preserve">ABATTOIR (from abattre, to strike down), a French word often</w:t></w:r>
</w:p>
<w:p>
<w:pPr><w:pStyle w:val="Normal"/></w:pPr>
<w:r><w:t xml:space="preserve">employed in English as an equivalent of ``slaughter-house&apos;&apos;</w:t></w:r>
</w:p>
<w:p>
<w:pPr><w:pStyle w:val="Normal"/></w:pPr>
<w:r><w:t xml:space="preserve">(q.v.), the place where animals intended for food are killed.</w:t></w:r>
</w:p>
<w:p>
<w:pPr><w:pStyle w:val="Normal"/></w:pPr>
<w:r><w:t xml:space="preserve">ABAUZIT, FIRMIN (1679-1767), a learned Frenchman, was born of</w:t></w:r>
</w:p>
<w:p>
<w:pPr><w:pStyle w:val="Normal"/></w:pPr>
<w:r><w:t xml:space="preserve">Protestant parents at Uzes, in Languedoc.  His father died when</w:t></w:r>
</w:p>
<w:p>
<w:pPr><w:pStyle w:val="Normal"/></w:pPr>
<w:r><w:t xml:space="preserve">he was but two years of age; and when, on the revocation of the</w:t></w:r>
</w:p>
<w:p>
<w:pPr><w:pStyle w:val="Normal"/></w:pPr>
<w:r><w:t xml:space="preserve">edict of Nantes in 1685, the authorities took steps to have him</w:t></w:r>
</w:p>
<w:p>
<w:pPr><w:pStyle w:val="Normal"/></w:pPr>
<w:r><w:t xml:space="preserve">educated in the Roman Catholic faith, his mother contrived his</w:t></w:r>
</w:p>
<w:p>
<w:pPr><w:pStyle w:val="Normal"/></w:pPr>
<w:r><w:t xml:space="preserve">escape.  For two years his brother and he lived as fugitives in</w:t></w:r>
</w:p>
<w:p>
<w:pPr><w:pStyle w:val="Normal"/></w:pPr>
<w:r><w:t xml:space="preserve">the mountains of the Cevennes, but they at last reached Geneva,</w:t></w:r>
</w:p>
<w:p>
<w:pPr><w:pStyle w:val="Normal"/></w:pPr>
<w:r><w:t xml:space="preserve">where their mother afterwards joined them on escaping from</w:t></w:r>
</w:p>
<w:p>
<w:pPr><w:pStyle w:val="Normal"/></w:pPr>
<w:r><w:t xml:space="preserve">the imprisonment in which she was held from the time of their</w:t></w:r>
</w:p>
<w:p>
<w:pPr><w:pStyle w:val="Normal"/></w:pPr>
<w:r><w:t xml:space="preserve">flight.  Abauzit at an early age acquired great proficiency in</w:t></w:r>
</w:p>
<w:p>
<w:pPr><w:pStyle w:val="Normal"/></w:pPr>
<w:r><w:t xml:space="preserve">languages, physics and theology.  In 1698 he went to Holland,</w:t></w:r>
</w:p>
<w:p>
<w:pPr><w:pStyle w:val="Normal"/></w:pPr>
<w:r><w:t xml:space="preserve">and there became acquainted with Pierre Bayle, P. Jurieu and J.</w:t></w:r>
</w:p>
<w:p>
<w:pPr><w:pStyle w:val="Normal"/></w:pPr>
<w:r><w:t xml:space="preserve">Basnage.  Proceeding to England, he was introduced to Sir Isaac</w:t></w:r>
</w:p>
<w:p>
<w:pPr><w:pStyle w:val="Normal"/></w:pPr>
<w:r><w:t xml:space="preserve">Newton, who found in him one of the earliest defenders of his</w:t></w:r>
</w:p>
<w:p>
<w:pPr><w:pStyle w:val="Normal"/></w:pPr>
<w:r><w:t xml:space="preserve">discoveries.  Sir Isaac corrected in the second edition of</w:t></w:r>
</w:p>
<w:p>
<w:pPr><w:pStyle w:val="Normal"/></w:pPr>
<w:r><w:t xml:space="preserve">his Principia an error pointed out by Abauzit, and, when</w:t></w:r>
</w:p>
<w:p>
<w:pPr><w:pStyle w:val="Normal"/></w:pPr>
<w:r><w:t xml:space="preserve">sending him the Commercium Epistolicum, said, ``You are</w:t></w:r>
</w:p>
<w:p>
<w:pPr><w:pStyle w:val="Normal"/></w:pPr>
<w:r><w:t xml:space="preserve">well worthy to judge between Leibnitz and me.&apos;&apos; The reputation</w:t></w:r>
</w:p>
<w:p>
<w:pPr><w:pStyle w:val="Normal"/></w:pPr>
<w:r><w:t xml:space="preserve">of Abauzit induced William III. to request him to settle in</w:t></w:r>
</w:p>
<w:p>
<w:pPr><w:pStyle w:val="Normal"/></w:pPr>
<w:r><w:t xml:space="preserve">England, but he did not accept the king&apos;s offer, preferring</w:t></w:r>
</w:p>
<w:p>
<w:pPr><w:pStyle w:val="Normal"/></w:pPr>
<w:r><w:t xml:space="preserve">to return to Geneva.  There from 1715 he rendered valuable</w:t></w:r>
</w:p>
<w:p>
<w:pPr><w:pStyle w:val="Normal"/></w:pPr>
<w:r><w:t xml:space="preserve">assistance to a society that had been formed for translating</w:t></w:r>
</w:p>
<w:p>
<w:pPr><w:pStyle w:val="Normal"/></w:pPr>
<w:r><w:t xml:space="preserve">the New Testament into French.  He declined the offer of</w:t></w:r>
</w:p>
<w:p>
<w:pPr><w:pStyle w:val="Normal"/></w:pPr>
<w:r><w:t xml:space="preserve">the chair of philosophy in the university in 1723, but</w:t></w:r>
</w:p>
<w:p>
<w:pPr><w:pStyle w:val="Normal"/></w:pPr>
<w:r><w:t xml:space="preserve">accepted, in 1727, the sinecure office of librarian to the</w:t></w:r>
</w:p>
<w:p>
<w:pPr><w:pStyle w:val="Normal"/></w:pPr>
<w:r><w:t xml:space="preserve">city of his adoption.  Here he died at a good old age, in</w:t></w:r>
</w:p>
<w:p>
<w:pPr><w:pStyle w:val="Normal"/></w:pPr>
<w:r><w:t xml:space="preserve">1767.  Abauzit was a man of great learning and of wonderful</w:t></w:r>
</w:p>
<w:p>
<w:pPr><w:pStyle w:val="Normal"/></w:pPr>
<w:r><w:t xml:space="preserve">versatility.  Whatever chanced to be discussed,it used to be</w:t></w:r>
</w:p>
<w:p>
<w:pPr><w:pStyle w:val="Normal"/></w:pPr>
<w:r><w:t xml:space="preserve">said of Abauzit, as of Professor W. Whewell of more modern</w:t></w:r>
</w:p>
<w:p>
<w:pPr><w:pStyle w:val="Normal"/></w:pPr>
<w:r><w:t xml:space="preserve">times, that he seemed to have made it a subject of particular</w:t></w:r>
</w:p>
<w:p>
<w:pPr><w:pStyle w:val="Normal"/></w:pPr>
<w:r><w:t xml:space="preserve">study.  Rousseau, who was jealously sparing of his praises,</w:t></w:r>
</w:p>
<w:p>
<w:pPr><w:pStyle w:val="Normal"/></w:pPr>
<w:r><w:t xml:space="preserve">addressed to him, in his Nouvelle Heloise, a fine panegyric;</w:t></w:r>
</w:p>
<w:p>
<w:pPr><w:pStyle w:val="Normal"/></w:pPr>
<w:r><w:t xml:space="preserve">and when a stranger flatteringly told Voltaire he had come</w:t></w:r>
</w:p>
<w:p>
<w:pPr><w:pStyle w:val="Normal"/></w:pPr>
<w:r><w:t xml:space="preserve">to see a great man, the philosopher asked him if he had seen</w:t></w:r>
</w:p>
<w:p>
<w:pPr><w:pStyle w:val="Normal"/></w:pPr>
<w:r><w:t xml:space="preserve">Abauzit.  Little remains of the labours of this intellectual</w:t></w:r>
</w:p>
<w:p>
<w:pPr><w:pStyle w:val="Normal"/></w:pPr>
<w:r><w:t xml:space="preserve">giant, his heirs having, it is said, destroyed the papers</w:t></w:r>
</w:p>
<w:p>
<w:pPr><w:pStyle w:val="Normal"/></w:pPr>
<w:r><w:t xml:space="preserve">that came into their possession, because their own religious</w:t></w:r>
</w:p>
<w:p>
<w:pPr><w:pStyle w:val="Normal"/></w:pPr>
<w:r><w:t xml:space="preserve">opinions were different.  A few theological, archaeological</w:t></w:r>
</w:p>
<w:p>
<w:pPr><w:pStyle w:val="Normal"/></w:pPr>
<w:r><w:t xml:space="preserve">abd astronomical articles from his pen appeared in the</w:t></w:r>
</w:p>
<w:p>
<w:pPr><w:pStyle w:val="Normal"/></w:pPr>
<w:r><w:t xml:space="preserve">Journal Helvetique and elsewhere, and he contributed</w:t></w:r>
</w:p>
<w:p>
<w:pPr><w:pStyle w:val="Normal"/></w:pPr>
<w:r><w:t xml:space="preserve">several papers to Rousseau&apos;s Dictionnaire de musique</w:t></w:r>
</w:p>
<w:p>
<w:pPr><w:pStyle w:val="Normal"/></w:pPr>
<w:r><w:t xml:space="preserve">(1767).  He wrote a work throwing doubt on the canonical</w:t></w:r>
</w:p>
<w:p>
<w:pPr><w:pStyle w:val="Normal"/></w:pPr>
<w:r><w:t xml:space="preserve">authority of the Apocalypse, which called forth a reply</w:t></w:r>
</w:p>
<w:p>
<w:pPr><w:pStyle w:val="Normal"/></w:pPr>
<w:r><w:t xml:space="preserve">from Dr Leonard Twells.  He also edited and made valuable</w:t></w:r>
</w:p>
<w:p>
<w:pPr><w:pStyle w:val="Normal"/></w:pPr>
<w:r><w:t xml:space="preserve">additions to J. Spon&apos;s Histoire de la republique de Geneve.</w:t></w:r>
</w:p>
<w:p>
<w:pPr><w:pStyle w:val="Normal"/></w:pPr>
<w:r><w:t xml:space="preserve">A collection of his writings was published at Geneva in</w:t></w:r>
</w:p>
<w:p>
<w:pPr><w:pStyle w:val="Normal"/></w:pPr>
<w:r><w:t xml:space="preserve">1770 (OEuvres de feu M. Abauzit), and another at London</w:t></w:r>
</w:p>
<w:p>
<w:pPr><w:pStyle w:val="Normal"/></w:pPr>
<w:r><w:t xml:space="preserve">in 1773 (OEuvres diverses de M. Abauzit). Some of them</w:t></w:r>
</w:p>
<w:p>
<w:pPr><w:pStyle w:val="Normal"/></w:pPr>
<w:r><w:t xml:space="preserve">were translated into English by Dr Edward Harwood (1774).</w:t></w:r>
</w:p>
<w:p>
<w:pPr><w:pStyle w:val="Normal"/></w:pPr>
<w:r><w:t xml:space="preserve">Information regarding Abauzit will be found in J.</w:t></w:r>
</w:p>
<w:p>
<w:pPr><w:pStyle w:val="Normal"/></w:pPr>
<w:r><w:t xml:space="preserve">Senebier&apos;s HIstoire Litteraire de Geneve, Harwood&apos;s</w:t></w:r>
</w:p>
<w:p>
<w:pPr><w:pStyle w:val="Normal"/></w:pPr>
<w:r><w:t xml:space="preserve">Miscellanies, and W. Orme&apos;s Bibliotheca Biblica (1824).</w:t></w:r>
</w:p>
<w:p>
<w:pPr><w:pStyle w:val="Normal"/></w:pPr>
<w:r><w:t xml:space="preserve">&apos;ABAYE, the name of a Babylonian &apos;amora (q.v.),</w:t></w:r>
</w:p>
<w:p>
<w:pPr><w:pStyle w:val="Normal"/></w:pPr>
<w:r><w:t xml:space="preserve">born in the middle of the 3rd century.  He died in 339.</w:t></w:r>
</w:p>
<w:p>
<w:pPr><w:pStyle w:val="Normal"/></w:pPr>
<w:r><w:t xml:space="preserve">&apos;ABBA &apos;ARIKA, the name of thc Babylonian &apos;amora (q.v.) of</w:t></w:r>
</w:p>
<w:p>
<w:pPr><w:pStyle w:val="Normal"/></w:pPr>
<w:r><w:t xml:space="preserve">the 3rd century, who established at Sura the systematic study</w:t></w:r>
</w:p>
<w:p>
<w:pPr><w:pStyle w:val="Normal"/></w:pPr>
<w:r><w:t xml:space="preserve">of the Rabbinic traditions which, using the Mishnah as text, led</w:t></w:r>
</w:p>
<w:p>
<w:pPr><w:pStyle w:val="Normal"/></w:pPr>
<w:r><w:t xml:space="preserve">to the compilation of the Talmud.  He is commonly known as Rab.</w:t></w:r>
</w:p>
<w:p>
<w:pPr><w:pStyle w:val="Normal"/></w:pPr>
<w:r><w:t xml:space="preserve">ABBADIDES, a Mahommedan dynasty which arose in Spain on the</w:t></w:r>
</w:p>
<w:p>
<w:pPr><w:pStyle w:val="Normal"/></w:pPr>
<w:r><w:t xml:space="preserve">downfall of the western caliphate.  It lasted from about 1023</w:t></w:r>
</w:p>
<w:p>
<w:pPr><w:pStyle w:val="Normal"/></w:pPr>
<w:r><w:t xml:space="preserve">till 1091, but during the short period of its existence was</w:t></w:r>
</w:p>
<w:p>
<w:pPr><w:pStyle w:val="Normal"/></w:pPr>
<w:r><w:t xml:space="preserve">singularly active and typical of its time.  The founder of</w:t></w:r>
</w:p>
<w:p>
<w:pPr><w:pStyle w:val="Normal"/></w:pPr>
<w:r><w:t xml:space="preserve">the house was Abd-ul-Qasim Mahommed, the cadi of Seville in</w:t></w:r>
</w:p>
<w:p>
<w:pPr><w:pStyle w:val="Normal"/></w:pPr>
<w:r><w:t xml:space="preserve">1023.  He was the chief of an Arab family settled in the city</w:t></w:r>
</w:p>
<w:p>
<w:pPr><w:pStyle w:val="Normal"/></w:pPr>
<w:r><w:t xml:space="preserve">from the first days of the conquest.  The Beni-abbad were not</w:t></w:r>
</w:p>
<w:p>
<w:pPr><w:pStyle w:val="Normal"/></w:pPr>
<w:r><w:t xml:space="preserve">of ancient descent, though the poets, whom they paid largely,</w:t></w:r>
</w:p>
<w:p>
<w:pPr><w:pStyle w:val="Normal"/></w:pPr>
<w:r><w:t xml:space="preserve">made an illustrious pedigree for them when they had become</w:t></w:r>
</w:p>
<w:p>
<w:pPr><w:pStyle w:val="Normal"/></w:pPr>
<w:r><w:t xml:space="preserve">powerful.  They were, however, very rich.  Abd-ul-Qasim gained</w:t></w:r>
</w:p>
<w:p>
<w:pPr><w:pStyle w:val="Normal"/></w:pPr>
<w:r><w:t xml:space="preserve">the confidence of the townsmen by organizing a successful</w:t></w:r>
</w:p>
<w:p>
<w:pPr><w:pStyle w:val="Normal"/></w:pPr>
<w:r><w:t xml:space="preserve">resistance to the Berber soldiers of fortune who were grasping</w:t></w:r>
</w:p>
<w:p>
<w:pPr><w:pStyle w:val="Normal"/></w:pPr>
<w:r><w:t xml:space="preserve">at the fragments of the caliphate.  At first he professed to</w:t></w:r>
</w:p>
<w:p>
<w:pPr><w:pStyle w:val="Normal"/></w:pPr>
<w:r><w:t xml:space="preserve">rule only with the advice of a council formed of the nobles,</w:t></w:r>
</w:p>
<w:p>
<w:pPr><w:pStyle w:val="Normal"/></w:pPr>
<w:r><w:t xml:space="preserve">but when his power became established he dispensed with this</w:t></w:r>
</w:p>
<w:p>
<w:pPr><w:pStyle w:val="Normal"/></w:pPr>
<w:r><w:t xml:space="preserve">show of republican government, and then gave himself the</w:t></w:r>
</w:p>
<w:p>
<w:pPr><w:pStyle w:val="Normal"/></w:pPr>
<w:r><w:t xml:space="preserve">appearance of a legitimate title by protecting an impostor</w:t></w:r>
</w:p>
<w:p>
<w:pPr><w:pStyle w:val="Normal"/></w:pPr>
<w:r><w:t xml:space="preserve">who professed to be the caliph Hisham II. When Abd-ul-Qasim</w:t></w:r>
</w:p>
<w:p>
<w:pPr><w:pStyle w:val="Normal"/></w:pPr>
<w:r><w:t xml:space="preserve">died in 1042 he had created a state which, though weak in</w:t></w:r>
</w:p>
<w:p>
<w:pPr><w:pStyle w:val="Normal"/></w:pPr>
<w:r><w:t xml:space="preserve">itself, was strong as compared to the little powers about</w:t></w:r>
</w:p>
<w:p>
<w:pPr><w:pStyle w:val="Normal"/></w:pPr>
<w:r><w:t xml:space="preserve">it.  He had made his family the recognized leaders of the</w:t></w:r>
</w:p>
<w:p>
<w:pPr><w:pStyle w:val="Normal"/></w:pPr>
<w:r><w:t xml:space="preserve">Mahommedans of Arab and native Spanish descent against</w:t></w:r>
</w:p>
<w:p>
<w:pPr><w:pStyle w:val="Normal"/></w:pPr>
<w:r><w:t xml:space="preserve">the Berber element, whose chief was the king of Granada.</w:t></w:r>
</w:p>
<w:p>
<w:pPr><w:pStyle w:val="Normal"/></w:pPr>
<w:r><w:t xml:space="preserve">Abbad, surnamed El Motaddid, his son and successor, is</w:t></w:r>
</w:p>
<w:p>
<w:pPr><w:pStyle w:val="Normal"/></w:pPr>
<w:r><w:t xml:space="preserve">one of the most remarkable figures in Spanish Mahommedan</w:t></w:r>
</w:p>
<w:p>
<w:pPr><w:pStyle w:val="Normal"/></w:pPr>
<w:r><w:t xml:space="preserve">history.  He had a striking resemblance to the Italian princes</w:t></w:r>
</w:p>
<w:p>
<w:pPr><w:pStyle w:val="Normal"/></w:pPr>
<w:r><w:t xml:space="preserve">of the later middle ages and the early renaissance, of the</w:t></w:r>
</w:p>
<w:p>
<w:pPr><w:pStyle w:val="Normal"/></w:pPr>
<w:r><w:t xml:space="preserve">stamp of Fiiipo Maria Visconti.  El Motaddid was a poet and</w:t></w:r>
</w:p>
<w:p>
<w:pPr><w:pStyle w:val="Normal"/></w:pPr>
<w:r><w:t xml:space="preserve">a lover of letters, who was also a poisoner, a drinker of</w:t></w:r>
</w:p>
<w:p>
<w:pPr><w:pStyle w:val="Normal"/></w:pPr>
<w:r><w:t xml:space="preserve">wine, a sceptic and treacherous to the utmost degree.  Though</w:t></w:r>
</w:p>
<w:p>
<w:pPr><w:pStyle w:val="Normal"/></w:pPr>
<w:r><w:t xml:space="preserve">he waged war all through his reign he very rarely appeared in</w:t></w:r>
</w:p>
<w:p>
<w:pPr><w:pStyle w:val="Normal"/></w:pPr>
<w:r><w:t xml:space="preserve">the field, but directed the generals, whom he never trusted,</w:t></w:r>
</w:p>
<w:p>
<w:pPr><w:pStyle w:val="Normal"/></w:pPr>
<w:r><w:t xml:space="preserve">from his ``lair&apos;&apos; in the fortified palace, the Alcazar of</w:t></w:r>
</w:p>
<w:p>
<w:pPr><w:pStyle w:val="Normal"/></w:pPr>
<w:r><w:t xml:space="preserve">Seville.  He killed with his own hand one of his sons who had</w:t></w:r>
</w:p>
<w:p>
<w:pPr><w:pStyle w:val="Normal"/></w:pPr>
<w:r><w:t xml:space="preserve">rebelled against him.  On one occasion he trapped a number</w:t></w:r>
</w:p>
<w:p>
<w:pPr><w:pStyle w:val="Normal"/></w:pPr>
<w:r><w:t xml:space="preserve">of his enemies, the Berber chiefs of the Ronda, into visiting</w:t></w:r>
</w:p>
<w:p>
<w:pPr><w:pStyle w:val="Normal"/></w:pPr>
<w:r><w:t xml:space="preserve">him, and got rid of them by smothering them in the hot room</w:t></w:r>
</w:p>
<w:p>
<w:pPr><w:pStyle w:val="Normal"/></w:pPr>
<w:r><w:t xml:space="preserve">of a bath.  It was his taste to preserve the skulls of the</w:t></w:r>
</w:p>
<w:p>
<w:pPr><w:pStyle w:val="Normal"/></w:pPr>
<w:r><w:t xml:space="preserve">enemies he had killed--those of the meaner men to be used as</w:t></w:r>
</w:p>
<w:p>
<w:pPr><w:pStyle w:val="Normal"/></w:pPr>
<w:r><w:t xml:space="preserve">flower-pots, while those of the princes were kept in special</w:t></w:r>
</w:p>
<w:p>
<w:pPr><w:pStyle w:val="Normal"/></w:pPr>
<w:r><w:t xml:space="preserve">chests.  His reign until his death on the 28th of February</w:t></w:r>
</w:p>
<w:p>
<w:pPr><w:pStyle w:val="Normal"/></w:pPr>
<w:r><w:t xml:space="preserve">1069 was mainly spent in extending his power at the expense</w:t></w:r>
</w:p>
<w:p>
<w:pPr><w:pStyle w:val="Normal"/></w:pPr>
<w:r><w:t xml:space="preserve">of his smaller neighbours, and in conflicts with his chief</w:t></w:r>
</w:p>
<w:p>
<w:pPr><w:pStyle w:val="Normal"/></w:pPr>
<w:r><w:t xml:space="preserve">rival the king of Granada.  These incessant wars weakened the</w:t></w:r>
</w:p>
<w:p>
<w:pPr><w:pStyle w:val="Normal"/></w:pPr>
<w:r><w:t xml:space="preserve">Mahommedans, to the great advantage of the rising power of</w:t></w:r>
</w:p>
<w:p>
<w:pPr><w:pStyle w:val="Normal"/></w:pPr>
<w:r><w:t xml:space="preserve">the Christian kings of Leon and Castile, but they gave the</w:t></w:r>
</w:p>
<w:p>
<w:pPr><w:pStyle w:val="Normal"/></w:pPr>
<w:r><w:t xml:space="preserve">kingdom of Seville a certain superiority over the other little</w:t></w:r>
</w:p>
<w:p>
<w:pPr><w:pStyle w:val="Normal"/></w:pPr>
<w:r><w:t xml:space="preserve">states.  After 1063 he was assailed by Fernando El Magno of</w:t></w:r>
</w:p>
<w:p>
<w:pPr><w:pStyle w:val="Normal"/></w:pPr>
<w:r><w:t xml:space="preserve">Castile and Leon, who marched to the gates of Seville, and</w:t></w:r>
</w:p>
<w:p>
<w:pPr><w:pStyle w:val="Normal"/></w:pPr>
<w:r><w:t xml:space="preserve">forced him to pay tribute.  His son, Mahommed Abd-ul-Qasim</w:t></w:r>
</w:p>
<w:p>
<w:pPr><w:pStyle w:val="Normal"/></w:pPr>
<w:r><w:t xml:space="preserve">Abenebet---who reigned by the title of El Motamid--was the</w:t></w:r>
</w:p>
<w:p>
<w:pPr><w:pStyle w:val="Normal"/></w:pPr>
<w:r><w:t xml:space="preserve">third and last of the Abbadides, He was a no less remarkable</w:t></w:r>
</w:p>
<w:p>
<w:pPr><w:pStyle w:val="Normal"/></w:pPr>
<w:r><w:t xml:space="preserve">person than his father and much more amiable.  Like him he was</w:t></w:r>
</w:p>
<w:p>
<w:pPr><w:pStyle w:val="Normal"/></w:pPr>
<w:r><w:t xml:space="preserve">a poet, and a favourer of poets.  El Motamid went, however,</w:t></w:r>
</w:p>
<w:p>
<w:pPr><w:pStyle w:val="Normal"/></w:pPr>
<w:r><w:t xml:space="preserve">considerably further in patronage of literature than his father,</w:t></w:r>
</w:p>
<w:p>
<w:pPr><w:pStyle w:val="Normal"/></w:pPr>
<w:r><w:t xml:space="preserve">for he chose as his favourite and prime minister the poet Ibn</w:t></w:r>
</w:p>
<w:p>
<w:pPr><w:pStyle w:val="Normal"/></w:pPr>
<w:r><w:t xml:space="preserve">Ammar.  In the end the vanity and featherheadedness of Ibn</w:t></w:r>
</w:p>
<w:p>
<w:pPr><w:pStyle w:val="Normal"/></w:pPr>
<w:r><w:t xml:space="preserve">Ammar drove his master to kill him.  El Motamid was even</w:t></w:r>
</w:p>
<w:p>
<w:pPr><w:pStyle w:val="Normal"/></w:pPr>
<w:r><w:t xml:space="preserve">more influenced by his favourite wife, Romaica, than by his</w:t></w:r>
</w:p>
<w:p>
<w:pPr><w:pStyle w:val="Normal"/></w:pPr>
<w:r><w:t xml:space="preserve">vizir.  He had met her paddling in the Guadalquivir, purchased</w:t></w:r>
</w:p>
<w:p>
<w:pPr><w:pStyle w:val="Normal"/></w:pPr>
<w:r><w:t xml:space="preserve">her from her master, and made her his wife.  The caprices</w:t></w:r>
</w:p>
<w:p>
<w:pPr><w:pStyle w:val="Normal"/></w:pPr>
<w:r><w:t xml:space="preserve">of Romaica, and the lavish extravagance of Motamid in his</w:t></w:r>
</w:p>
<w:p>
<w:pPr><w:pStyle w:val="Normal"/></w:pPr>
<w:r><w:t xml:space="preserve">efforts to please her, form the subject of many stories.</w:t></w:r>
</w:p>
<w:p>
<w:pPr><w:pStyle w:val="Normal"/></w:pPr>
<w:r><w:t xml:space="preserve">In politics he carried on the feuds of his family with the</w:t></w:r>
</w:p>
<w:p>
<w:pPr><w:pStyle w:val="Normal"/></w:pPr>
<w:r><w:t xml:space="preserve">Berbers, and in his efforts to extend his dominions could be</w:t></w:r>
</w:p>
<w:p>
<w:pPr><w:pStyle w:val="Normal"/></w:pPr>
<w:r><w:t xml:space="preserve">as faithless as his father.  His wars and his extravagance</w:t></w:r>
</w:p>
<w:p>
<w:pPr><w:pStyle w:val="Normal"/></w:pPr>
<w:r><w:t xml:space="preserve">exhausted his treasury, and he oppressed his subjects by</w:t></w:r>
</w:p>
<w:p>
<w:pPr><w:pStyle w:val="Normal"/></w:pPr>
<w:r><w:t xml:space="preserve">taxes.  In 1080 he brought down upon himself the vengeance of</w:t></w:r>
</w:p>
<w:p>
<w:pPr><w:pStyle w:val="Normal"/></w:pPr>
<w:r><w:t xml:space="preserve">Alphonso VI. of Castile by a typical piece of flighty oriental</w:t></w:r>
</w:p>
<w:p>
<w:pPr><w:pStyle w:val="Normal"/></w:pPr>
<w:r><w:t xml:space="preserve">barbarity.  He had endeavoured to pay part of his tribute to the</w:t></w:r>
</w:p>
<w:p>
<w:pPr><w:pStyle w:val="Normal"/></w:pPr>
<w:r><w:t xml:space="preserve">Christian king with false money.  The fraud was detected by a</w:t></w:r>
</w:p>
<w:p>
<w:pPr><w:pStyle w:val="Normal"/></w:pPr>
<w:r><w:t xml:space="preserve">Jew, who was one of the envoys of Alphonso.  El Motamid, in</w:t></w:r>
</w:p>
<w:p>
<w:pPr><w:pStyle w:val="Normal"/></w:pPr>
<w:r><w:t xml:space="preserve">a moment of folly and rage, crucified the Jew and imprisoned</w:t></w:r>
</w:p>
<w:p>
<w:pPr><w:pStyle w:val="Normal"/></w:pPr>
<w:r><w:t xml:space="preserve">the Christian members of the mission.  Alphonso retaliated</w:t></w:r>
</w:p>
<w:p>
<w:pPr><w:pStyle w:val="Normal"/></w:pPr>
<w:r><w:t xml:space="preserve">by a destructive raid.  When Alphonso took Toledo in 1085,</w:t></w:r>
</w:p>
<w:p>
<w:pPr><w:pStyle w:val="Normal"/></w:pPr>
<w:r><w:t xml:space="preserve">El Motamid called in Yusef ibn Tashfin, the Almoravide (see</w:t></w:r>
</w:p>
<w:p>
<w:pPr><w:pStyle w:val="Normal"/></w:pPr>
<w:r><w:t xml:space="preserve">SPAIN, History, and ALMORAVIDES). During the six years</w:t></w:r>
</w:p>
<w:p>
<w:pPr><w:pStyle w:val="Normal"/></w:pPr>
<w:r><w:t xml:space="preserve">which preceded his deposition in 1091, El Motamid behaved</w:t></w:r>
</w:p>
<w:p>
<w:pPr><w:pStyle w:val="Normal"/></w:pPr>
<w:r><w:t xml:space="preserve">with valour on the field, but with much meanness and political</w:t></w:r>
</w:p>
<w:p>
<w:pPr><w:pStyle w:val="Normal"/></w:pPr>
<w:r><w:t xml:space="preserve">folly.  He endeavoured to curry favour with Yusef by betraying</w:t></w:r>
</w:p>
<w:p>
<w:pPr><w:pStyle w:val="Normal"/></w:pPr>
<w:r><w:t xml:space="preserve">the other Mahommedan princes to him, and intrigued to secure</w:t></w:r>
</w:p>
<w:p>
<w:pPr><w:pStyle w:val="Normal"/></w:pPr>
<w:r><w:t xml:space="preserve">the alliance of Alphonso against the Almoravide.  It was</w:t></w:r>
</w:p>
<w:p>
<w:pPr><w:pStyle w:val="Normal"/></w:pPr>
<w:r><w:t xml:space="preserve">probably during this period that he surrendered his beautiful</w:t></w:r>
</w:p>
<w:p>
<w:pPr><w:pStyle w:val="Normal"/></w:pPr>
<w:r><w:t xml:space="preserve">daughter Zaida to the Christian king, who made her his</w:t></w:r>
</w:p>
<w:p>
<w:pPr><w:pStyle w:val="Normal"/></w:pPr>
<w:r><w:t xml:space="preserve">concubine, and is said by some authorities to have married</w:t></w:r>
</w:p>
<w:p>
<w:pPr><w:pStyle w:val="Normal"/></w:pPr>
<w:r><w:t xml:space="preserve">her after she bore him a son, Sancho.  The vacillations and</w:t></w:r>
</w:p>
<w:p>
<w:pPr><w:pStyle w:val="Normal"/></w:pPr>
<w:r><w:t xml:space="preserve">submissions of El Motamid did not save him from the fate</w:t></w:r>
</w:p>
<w:p>
<w:pPr><w:pStyle w:val="Normal"/></w:pPr>
<w:r><w:t xml:space="preserve">which overtook his fellow-princes.  Their scepticism and</w:t></w:r>
</w:p>
<w:p>
<w:pPr><w:pStyle w:val="Normal"/></w:pPr>
<w:r><w:t xml:space="preserve">extortion had tired their subjects, and the mullahs gave Yusef</w:t></w:r>
</w:p>
<w:p>
<w:pPr><w:pStyle w:val="Normal"/></w:pPr>
<w:r><w:t xml:space="preserve">a ``fetva&apos;&apos; authorzing him to remove them in the interest of</w:t></w:r>
</w:p>
<w:p>
<w:pPr><w:pStyle w:val="Normal"/></w:pPr>
<w:r><w:t xml:space="preserve">religion.  In 1091 the Almoravides stormed Seville.  El</w:t></w:r>
</w:p>
<w:p>
<w:pPr><w:pStyle w:val="Normal"/></w:pPr>
<w:r><w:t xml:space="preserve">Motamid, who had fought bravely, was weak enough to order his</w:t></w:r>
</w:p>
<w:p>
<w:pPr><w:pStyle w:val="Normal"/></w:pPr>
<w:r><w:t xml:space="preserve">sons to surrender the fortresses they still held, in order</w:t></w:r>
</w:p>
<w:p>
<w:pPr><w:pStyle w:val="Normal"/></w:pPr>
<w:r><w:t xml:space="preserve">to save his own life.  He died in prison in Africa in 1095.</w:t></w:r>
</w:p>
<w:p>
<w:pPr><w:pStyle w:val="Normal"/></w:pPr>
<w:r><w:t xml:space="preserve">AUTHORITIES.--Dozy, Histoire des Musulmans d&apos;Espagne,</w:t></w:r>
</w:p>
<w:p>
<w:pPr><w:pStyle w:val="Normal"/></w:pPr>
<w:r><w:t xml:space="preserve">Leiden, 1861; and Historia Abbadidarum (Scriptorum</w:t></w:r>
</w:p>
<w:p>
<w:pPr><w:pStyle w:val="Normal"/></w:pPr>
<w:r><w:t xml:space="preserve">Arabum loci de Abbadidio), Leiden, 1846. (D. II.)</w:t></w:r>
</w:p>
<w:p>
<w:pPr><w:pStyle w:val="Normal"/></w:pPr>
<w:r><w:t xml:space="preserve">ABBADIE, ANTOINE THOMSON D&apos;, (1810-1897), and ARNAUD MICHEL</w:t></w:r>
</w:p>
<w:p>
<w:pPr><w:pStyle w:val="Normal"/></w:pPr>
<w:r><w:t xml:space="preserve">D&apos;, (1815-1893), two brothers notable for their travels in</w:t></w:r>
</w:p>
<w:p>
<w:pPr><w:pStyle w:val="Normal"/></w:pPr>
<w:r><w:t xml:space="preserve">Abyssinia during the first half of the 19th century.  They</w:t></w:r>
</w:p>
<w:p>
<w:pPr><w:pStyle w:val="Normal"/></w:pPr>
<w:r><w:t xml:space="preserve">were both born in Dublin, of a French father and an Irish</w:t></w:r>
</w:p>
<w:p>
<w:pPr><w:pStyle w:val="Normal"/></w:pPr>
<w:r><w:t xml:space="preserve">mother, Antoine in 1810 and Arnaud in 1815.  The parents</w:t></w:r>
</w:p>
<w:p>
<w:pPr><w:pStyle w:val="Normal"/></w:pPr>
<w:r><w:t xml:space="preserve">removed to France in 1818, and there the brothers received</w:t></w:r>
</w:p>
<w:p>
<w:pPr><w:pStyle w:val="Normal"/></w:pPr>
<w:r><w:t xml:space="preserve">a careful scientific education.  In 1835 the French Academy</w:t></w:r>
</w:p>
<w:p>
<w:pPr><w:pStyle w:val="Normal"/></w:pPr>
<w:r><w:t xml:space="preserve">sent Antoine on a scientific mission to Brazil, the results</w:t></w:r>
</w:p>
<w:p>
<w:pPr><w:pStyle w:val="Normal"/></w:pPr>
<w:r><w:t xml:space="preserve">being published at a later date (1873) under the title of</w:t></w:r>
</w:p>
<w:p>
<w:pPr><w:pStyle w:val="Normal"/></w:pPr>
<w:r><w:t xml:space="preserve">Observations relatives a! la physique du globe faites au</w:t></w:r>
</w:p>
<w:p>
<w:pPr><w:pStyle w:val="Normal"/></w:pPr>
<w:r><w:t xml:space="preserve">Bresil et en Ethiopie. The younger Abbadie spent some</w:t></w:r>
</w:p>
<w:p>
<w:pPr><w:pStyle w:val="Normal"/></w:pPr>
<w:r><w:t xml:space="preserve">time in Algeria before, in 1837, the two brothers started for</w:t></w:r>
</w:p>
<w:p>
<w:pPr><w:pStyle w:val="Normal"/></w:pPr>
<w:r><w:t xml:space="preserve">Abyssinia, landing at Massawa in February 1838.  They visited</w:t></w:r>
</w:p>
<w:p>
<w:pPr><w:pStyle w:val="Normal"/></w:pPr>
<w:r><w:t xml:space="preserve">various parts of Abyssinia, including the then little-known</w:t></w:r>
</w:p>
<w:p>
<w:pPr><w:pStyle w:val="Normal"/></w:pPr>
<w:r><w:t xml:space="preserve">districts of Ennarea and Kaffa, sometimes together and</w:t></w:r>
</w:p>
<w:p>
<w:pPr><w:pStyle w:val="Normal"/></w:pPr>
<w:r><w:t xml:space="preserve">sometimes separately.  They met with many difficulties and</w:t></w:r>
</w:p>
<w:p>
<w:pPr><w:pStyle w:val="Normal"/></w:pPr>
<w:r><w:t xml:space="preserve">many adventures, and became involved in political intrigues,</w:t></w:r>
</w:p>
<w:p>
<w:pPr><w:pStyle w:val="Normal"/></w:pPr>
<w:r><w:t xml:space="preserve">Antoine especially exercising such influence as he possessed</w:t></w:r>
</w:p>
<w:p>
<w:pPr><w:pStyle w:val="Normal"/></w:pPr>
<w:r><w:t xml:space="preserve">in favour of France and the Roman Catholic missionaries.  After</w:t></w:r>
</w:p>
<w:p>
<w:pPr><w:pStyle w:val="Normal"/></w:pPr>
<w:r><w:t xml:space="preserve">collecting much valuable information concerning the geography,</w:t></w:r>
</w:p>
<w:p>
<w:pPr><w:pStyle w:val="Normal"/></w:pPr>
<w:r><w:t xml:space="preserve">geology, archaeology and natural history of Abyssinia, the</w:t></w:r>
</w:p>
<w:p>
<w:pPr><w:pStyle w:val="Normal"/></w:pPr>
<w:r><w:t xml:space="preserve">brothers returned to France in 1848 and began to prepare their</w:t></w:r>
</w:p>
<w:p>
<w:pPr><w:pStyle w:val="Normal"/></w:pPr>
<w:r><w:t xml:space="preserve">materials for publication.  The younger brother, Arnaud, paid</w:t></w:r>
</w:p>
<w:p>
<w:pPr><w:pStyle w:val="Normal"/></w:pPr>
<w:r><w:t xml:space="preserve">another visit to Abyssinia in 1853.  The more distinguished</w:t></w:r>
</w:p>
<w:p>
<w:pPr><w:pStyle w:val="Normal"/></w:pPr>
<w:r><w:t xml:space="preserve">brother, Antoine, became involved in various controversies</w:t></w:r>
</w:p>
<w:p>
<w:pPr><w:pStyle w:val="Normal"/></w:pPr>
<w:r><w:t xml:space="preserve">relating both to his geographical results and his political</w:t></w:r>
</w:p>
<w:p>
<w:pPr><w:pStyle w:val="Normal"/></w:pPr>
<w:r><w:t xml:space="preserve">intrigues.  He was especially attacked by C. T. Beke, who</w:t></w:r>
</w:p>
<w:p>
<w:pPr><w:pStyle w:val="Normal"/></w:pPr>
<w:r><w:t xml:space="preserve">impugned his veracity, especially with reference to the journey to</w:t></w:r>
</w:p>
<w:p>
<w:pPr><w:pStyle w:val="Normal"/></w:pPr>
<w:r><w:t xml:space="preserve">Kana.  But time and the investigations of subsequent explorers</w:t></w:r>
</w:p>
<w:p>
<w:pPr><w:pStyle w:val="Normal"/></w:pPr>
<w:r><w:t xml:space="preserve">have shown that Abbadie was quite trustworthy as to his facts,</w:t></w:r>
</w:p>
<w:p>
<w:pPr><w:pStyle w:val="Normal"/></w:pPr>
<w:r><w:t xml:space="preserve">though wrong in his contention--hotly contested by Beke--that</w:t></w:r>
</w:p>
<w:p>
<w:pPr><w:pStyle w:val="Normal"/></w:pPr>
<w:r><w:t xml:space="preserve">the Blue Nile was the main stream.  The topographical results</w:t></w:r>
</w:p>
<w:p>
<w:pPr><w:pStyle w:val="Normal"/></w:pPr>
<w:r><w:t xml:space="preserve">of his explorations were published in Paris in 1860-1873 in</w:t></w:r>
</w:p>
<w:p>
<w:pPr><w:pStyle w:val="Normal"/></w:pPr>
<w:r><w:t xml:space="preserve">Geodesie d&apos;Ethiopie, full of the most valuable information and</w:t></w:r>
</w:p>
<w:p>
<w:pPr><w:pStyle w:val="Normal"/></w:pPr>
<w:r><w:t xml:space="preserve">illustrated by ten maps.  Of the Geographie de l&apos;Ethiopie</w:t></w:r>
</w:p>
<w:p>
<w:pPr><w:pStyle w:val="Normal"/></w:pPr>
<w:r><w:t xml:space="preserve">(Paris, 1890) only one volume has been published.  In Un</w:t></w:r>
</w:p>
<w:p>
<w:pPr><w:pStyle w:val="Normal"/></w:pPr>
<w:r><w:t xml:space="preserve">Catalogue raisonne de manuscrits ethiopiens (Paris, 1859)</w:t></w:r>
</w:p>
<w:p>
<w:pPr><w:pStyle w:val="Normal"/></w:pPr>
<w:r><w:t xml:space="preserve">is a description of 234 Ethiopian manuscripts collected by</w:t></w:r>
</w:p>
<w:p>
<w:pPr><w:pStyle w:val="Normal"/></w:pPr>
<w:r><w:t xml:space="preserve">Antoine.  He also compiled various vocabularies, including</w:t></w:r>
</w:p>
<w:p>
<w:pPr><w:pStyle w:val="Normal"/></w:pPr>
<w:r><w:t xml:space="preserve">a Dictionnaire de la langue amarinna (Paris, 1881), and</w:t></w:r>
</w:p>
<w:p>
<w:pPr><w:pStyle w:val="Normal"/></w:pPr>
<w:r><w:t xml:space="preserve">prepared an edition of the Shepherd of Hermas, with the</w:t></w:r>
</w:p>
<w:p>
<w:pPr><w:pStyle w:val="Normal"/></w:pPr>
<w:r><w:t xml:space="preserve">Latin version, in 1860.  He published numerous papers dealing</w:t></w:r>
</w:p>
<w:p>
<w:pPr><w:pStyle w:val="Normal"/></w:pPr>
<w:r><w:t xml:space="preserve">with the geography of Abyssinia, Ethiopian coins and ancient</w:t></w:r>
</w:p>
<w:p>
<w:pPr><w:pStyle w:val="Normal"/></w:pPr>
<w:r><w:t xml:space="preserve">inscriptions.  Under the title of Reconnaissances magnetiques</w:t></w:r>
</w:p>
<w:p>
<w:pPr><w:pStyle w:val="Normal"/></w:pPr>
<w:r><w:t xml:space="preserve">he published in 1890 an account of the magnetic observations</w:t></w:r>
</w:p>
<w:p>
<w:pPr><w:pStyle w:val="Normal"/></w:pPr>
<w:r><w:t xml:space="preserve">made by him in the course of several journeys to the Red</w:t></w:r>
</w:p>
<w:p>
<w:pPr><w:pStyle w:val="Normal"/></w:pPr>
<w:r><w:t xml:space="preserve">Sea and the Levant.  The general account of the travels of</w:t></w:r>
</w:p>
<w:p>
<w:pPr><w:pStyle w:val="Normal"/></w:pPr>
<w:r><w:t xml:space="preserve">the two brothers was published by Arnaud in 1868 under the</w:t></w:r>
</w:p>
<w:p>
<w:pPr><w:pStyle w:val="Normal"/></w:pPr>
<w:r><w:t xml:space="preserve">title of Douze ans dans la Haute Ethiopie. Both brothers</w:t></w:r>
</w:p>
<w:p>
<w:pPr><w:pStyle w:val="Normal"/></w:pPr>
<w:r><w:t xml:space="preserve">received the grand medal of the Paris Geographical Society in</w:t></w:r>
</w:p>
<w:p>
<w:pPr><w:pStyle w:val="Normal"/></w:pPr>
<w:r><w:t xml:space="preserve">1850.  Antoine was a knight of the Legion of Honour and a</w:t></w:r>
</w:p>
<w:p>
<w:pPr><w:pStyle w:val="Normal"/></w:pPr>
<w:r><w:t xml:space="preserve">member of the Academy of Sciences.  He died in 1897, and</w:t></w:r>
</w:p>
<w:p>
<w:pPr><w:pStyle w:val="Normal"/></w:pPr>
<w:r><w:t xml:space="preserve">bequeathed an estate in the Pyrenees, yielding 40,000 francs</w:t></w:r>
</w:p>
<w:p>
<w:pPr><w:pStyle w:val="Normal"/></w:pPr>
<w:r><w:t xml:space="preserve">a year, to the Academy of Sciences, on condition of its</w:t></w:r>
</w:p>
<w:p>
<w:pPr><w:pStyle w:val="Normal"/></w:pPr>
<w:r><w:t xml:space="preserve">producing within fifty years a catalogue of half-a-million</w:t></w:r>
</w:p>
<w:p>
<w:pPr><w:pStyle w:val="Normal"/></w:pPr>
<w:r><w:t xml:space="preserve">stars.  His brother Arnaud died in 1893. (J. S. K.)</w:t></w:r>
</w:p>
<w:p>
<w:pPr><w:pStyle w:val="Normal"/></w:pPr>
<w:r><w:t xml:space="preserve">ABBADIE, JAKOB (1654?-1727), Swiss Protestant divine,</w:t></w:r>
</w:p>
<w:p>
<w:pPr><w:pStyle w:val="Normal"/></w:pPr>
<w:r><w:t xml:space="preserve">was born at Nay in Bern.  He studied at Sedan, Saumur and</w:t></w:r>
</w:p>
<w:p>
<w:pPr><w:pStyle w:val="Normal"/></w:pPr>
<w:r><w:t xml:space="preserve">Puylaurens, with such success that he received the degree of</w:t></w:r>
</w:p>
<w:p>
<w:pPr><w:pStyle w:val="Normal"/></w:pPr>
<w:r><w:t xml:space="preserve">doctor in theology at the age of seventeen.  After spending</w:t></w:r>
</w:p>
<w:p>
<w:pPr><w:pStyle w:val="Normal"/></w:pPr>
<w:r><w:t xml:space="preserve">some years in Berlin as minister of a French Protestant church,</w:t></w:r>
</w:p>
<w:p>
<w:pPr><w:pStyle w:val="Normal"/></w:pPr>
<w:r><w:t xml:space="preserve">where he had great success as a preacher, he accompanied</w:t></w:r>
</w:p>
<w:p>
<w:pPr><w:pStyle w:val="Normal"/></w:pPr>
<w:r><w:t xml:space="preserve">Marshal Schomberg, in 1688, to England, and next year became</w:t></w:r>
</w:p>
<w:p>
<w:pPr><w:pStyle w:val="Normal"/></w:pPr>
<w:r><w:t xml:space="preserve">minister of the French church in the Savoy, London.  His</w:t></w:r>
</w:p>
<w:p>
<w:pPr><w:pStyle w:val="Normal"/></w:pPr>
<w:r><w:t xml:space="preserve">strong attachment to the cause of King William appears in</w:t></w:r>
</w:p>
<w:p>
<w:pPr><w:pStyle w:val="Normal"/></w:pPr>
<w:r><w:t xml:space="preserve">his elaborate defence of the Revolution (Defense de la</w:t></w:r>
</w:p>
<w:p>
<w:pPr><w:pStyle w:val="Normal"/></w:pPr>
<w:r><w:t xml:space="preserve">nation britannique, 1692) as well as in his history of the</w:t></w:r>
</w:p>
<w:p>
<w:pPr><w:pStyle w:val="Normal"/></w:pPr>
<w:r><w:t xml:space="preserve">conspiracy of 1696 (Histoire de la grande conspiration</w:t></w:r>
</w:p>
<w:p>
<w:pPr><w:pStyle w:val="Normal"/></w:pPr>
<w:r><w:t xml:space="preserve">d&apos;Angleterre). The king promoted him to the deanery of Killaloe</w:t></w:r>
</w:p>
<w:p>
<w:pPr><w:pStyle w:val="Normal"/></w:pPr>
<w:r><w:t xml:space="preserve">in Ireland.  He died in London in 1727.  Abbadie was a man</w:t></w:r>
</w:p>
<w:p>
<w:pPr><w:pStyle w:val="Normal"/></w:pPr>
<w:r><w:t xml:space="preserve">of great ability and an eloquent preacher, but is best known</w:t></w:r>
</w:p>
<w:p>
<w:pPr><w:pStyle w:val="Normal"/></w:pPr>
<w:r><w:t xml:space="preserve">by his religious treatises, several of which were translated</w:t></w:r>
</w:p>
<w:p>
<w:pPr><w:pStyle w:val="Normal"/></w:pPr>
<w:r><w:t xml:space="preserve">from the original French into other languages and had a wide</w:t></w:r>
</w:p>
<w:p>
<w:pPr><w:pStyle w:val="Normal"/></w:pPr>
<w:r><w:t xml:space="preserve">circulation throughout Europe.  The most important of these are</w:t></w:r>
</w:p>
<w:p>
<w:pPr><w:pStyle w:val="Normal"/></w:pPr>
<w:r><w:t xml:space="preserve">Traite de la verite de la religion chretienne (1684); its</w:t></w:r>
</w:p>
<w:p>
<w:pPr><w:pStyle w:val="Normal"/></w:pPr>
<w:r><w:t xml:space="preserve">continuation, Traite de la divinite de Jesus-Christ</w:t></w:r>
</w:p>
<w:p>
<w:pPr><w:pStyle w:val="Normal"/></w:pPr>
<w:r><w:t xml:space="preserve">(1689); and L&apos;Art de se connaitre soi-meme (1692).</w:t></w:r>
</w:p>
<w:p>
<w:pPr><w:pStyle w:val="Normal"/></w:pPr>
<w:r><w:t xml:space="preserve">&apos;ABBAHU, the name of a Palestinian &apos;amora (q.v.)</w:t></w:r>
</w:p>
<w:p>
<w:pPr><w:pStyle w:val="Normal"/></w:pPr>
<w:r><w:t xml:space="preserve">who flourished c. 279-320. &apos;Abbahu encouraged the</w:t></w:r>
</w:p>
<w:p>
<w:pPr><w:pStyle w:val="Normal"/></w:pPr>
<w:r><w:t xml:space="preserve">study of Greek by Jews.  He was famous as a collector of</w:t></w:r>
</w:p>
<w:p>
<w:pPr><w:pStyle w:val="Normal"/></w:pPr>
<w:r><w:t xml:space="preserve">traditional lore, and is very often cited in the Talmud.</w:t></w:r>
</w:p>
<w:p>
<w:pPr><w:pStyle w:val="Normal"/></w:pPr>
<w:r><w:t xml:space="preserve">ABBA MARI (in full, Abba Mari ben Moses benJoseph), French</w:t></w:r>
</w:p>
<w:p>
<w:pPr><w:pStyle w:val="Normal"/></w:pPr>
<w:r><w:t xml:space="preserve">rabbi, was born at Lunel, near Montpellier, towards the end of</w:t></w:r>
</w:p>
<w:p>
<w:pPr><w:pStyle w:val="Normal"/></w:pPr>
<w:r><w:t xml:space="preserve">the 13th century.  He is also known as Yarhi from his birthplace</w:t></w:r>
</w:p>
<w:p>
<w:pPr><w:pStyle w:val="Normal"/></w:pPr>
<w:r><w:t xml:space="preserve">(Heb.  Yerah, i.e. moon, lune), and he further took the</w:t></w:r>
</w:p>
<w:p>
<w:pPr><w:pStyle w:val="Normal"/></w:pPr>
<w:r><w:t xml:space="preserve">name Astruc, Don Astruc or En Astruc of Lunel.  The descendant</w:t></w:r>
</w:p>
<w:p>
<w:pPr><w:pStyle w:val="Normal"/></w:pPr>
<w:r><w:t xml:space="preserve">of men learned in rabbinic lore, Abba Mari devoted himself</w:t></w:r>
</w:p>
<w:p>
<w:pPr><w:pStyle w:val="Normal"/></w:pPr>
<w:r><w:t xml:space="preserve">to the study of theology and philosophy, and made himself</w:t></w:r>
</w:p>
<w:p>
<w:pPr><w:pStyle w:val="Normal"/></w:pPr>
<w:r><w:t xml:space="preserve">acquainted with the writing of Moses Maimonides and Nachmanides</w:t></w:r>
</w:p>
<w:p>
<w:pPr><w:pStyle w:val="Normal"/></w:pPr>
<w:r><w:t xml:space="preserve">as well as with the Talmud.  In Montpellier, where he lived</w:t></w:r>
</w:p>
<w:p>
<w:pPr><w:pStyle w:val="Normal"/></w:pPr>
<w:r><w:t xml:space="preserve">from 1303 to 1306, he was much distressed by the prevalence</w:t></w:r>
</w:p>
<w:p>
<w:pPr><w:pStyle w:val="Normal"/></w:pPr>
<w:r><w:t xml:space="preserve">of Aristotelian rationalism, which, through the medium of</w:t></w:r>
</w:p>
<w:p>
<w:pPr><w:pStyle w:val="Normal"/></w:pPr>
<w:r><w:t xml:space="preserve">the works of Maimonides, threatened the authority of the Old</w:t></w:r>
</w:p>
<w:p>
<w:pPr><w:pStyle w:val="Normal"/></w:pPr>
<w:r><w:t xml:space="preserve">Testament, obedience to the law, and the belief in miracles and</w:t></w:r>
</w:p>
<w:p>
<w:pPr><w:pStyle w:val="Normal"/></w:pPr>
<w:r><w:t xml:space="preserve">revelation.  He, therefore, in a series of letters (afterwards</w:t></w:r>
</w:p>
<w:p>
<w:pPr><w:pStyle w:val="Normal"/></w:pPr>
<w:r><w:t xml:space="preserve">collected under the title Minhat Kenaot, i.e. ``Jealousy</w:t></w:r>
</w:p>
<w:p>
<w:pPr><w:pStyle w:val="Normal"/></w:pPr>
<w:r><w:t xml:space="preserve">Offering&apos;&apos;) called upon the famous rabbi Solomon ben Adret</w:t></w:r>
</w:p>
<w:p>
<w:pPr><w:pStyle w:val="Normal"/></w:pPr>
<w:r><w:t xml:space="preserve">of Barcelona to come to the aid of orthodoxy.  Ben Adret,</w:t></w:r>
</w:p>
<w:p>
<w:pPr><w:pStyle w:val="Normal"/></w:pPr>
<w:r><w:t xml:space="preserve">with the approval of other prominent Spanish rabbis, sent a</w:t></w:r>
</w:p>
<w:p>
<w:pPr><w:pStyle w:val="Normal"/></w:pPr>
<w:r><w:t xml:space="preserve">letter to the community at Montpellier proposing to forbid the</w:t></w:r>
</w:p>
<w:p>
<w:pPr><w:pStyle w:val="Normal"/></w:pPr>
<w:r><w:t xml:space="preserve">study of philosophy to those who were less than thirty years</w:t></w:r>
</w:p>
<w:p>
<w:pPr><w:pStyle w:val="Normal"/></w:pPr>
<w:r><w:t xml:space="preserve">of age, and, in spite of keen opposition from the liberal</w:t></w:r>
</w:p>
<w:p>
<w:pPr><w:pStyle w:val="Normal"/></w:pPr>
<w:r><w:t xml:space="preserve">section, a decree in this sense was issued by ben Adret in</w:t></w:r>
</w:p>
<w:p>
<w:pPr><w:pStyle w:val="Normal"/></w:pPr>
<w:r><w:t xml:space="preserve">1305.  The result was a great schism among the Jews of Spain</w:t></w:r>
</w:p>
<w:p>
<w:pPr><w:pStyle w:val="Normal"/></w:pPr>
<w:r><w:t xml:space="preserve">and southern France, and a new impulse was given to the study</w:t></w:r>
</w:p>
<w:p>
<w:pPr><w:pStyle w:val="Normal"/></w:pPr>
<w:r><w:t xml:space="preserve">of philosophy by the unauthorized interference of the Spanish</w:t></w:r>
</w:p>
<w:p>
<w:pPr><w:pStyle w:val="Normal"/></w:pPr>
<w:r><w:t xml:space="preserve">rabbis.  On the expulsion of the Jews from France by Philip</w:t></w:r>
</w:p>
<w:p>
<w:pPr><w:pStyle w:val="Heading1"/></w:pPr>
<w:r><w:t>IV. in 1306, Abba Mari settled at Perpignan, where he</w:t></w:r>
</w:p>
<w:p>
<w:pPr><w:pStyle w:val="Normal"/></w:pPr>
<w:r><w:t xml:space="preserve">published the letters connected with the controversy.  His</w:t></w:r>
</w:p>
<w:p>
<w:pPr><w:pStyle w:val="Normal"/></w:pPr>
<w:r><w:t xml:space="preserve">subsequent history is unknown.  Beside the letters, he was</w:t></w:r>
</w:p>
<w:p>
<w:pPr><w:pStyle w:val="Normal"/></w:pPr>
<w:r><w:t xml:space="preserve">the author of liturgical poetry and works on civil law.</w:t></w:r>
</w:p>
<w:p>
<w:pPr><w:pStyle w:val="Normal"/></w:pPr>
<w:r><w:t xml:space="preserve">AUTHORITIES.--Edition of the Minhat Kenaot by M. L.</w:t></w:r>
</w:p>
<w:p>
<w:pPr><w:pStyle w:val="Normal"/></w:pPr>
<w:r><w:t xml:space="preserve">Bislichis (Pressburg, 1838); E. Renan, Les rabbins francais,</w:t></w:r>
</w:p>
<w:p>
<w:pPr><w:pStyle w:val="Normal"/></w:pPr>
<w:r><w:t xml:space="preserve">pp. 647 foll.; Perles, Salomo ben Abrahann ben Adereth,</w:t></w:r>
</w:p>
<w:p>
<w:pPr><w:pStyle w:val="Normal"/></w:pPr>
<w:r><w:t xml:space="preserve">pp. 15-54; Jewish Encyclopaedia, s.v. ``Abba Mari.&apos;&apos;</w:t></w:r>
</w:p>
<w:p>
<w:pPr><w:pStyle w:val="Normal"/></w:pPr>
<w:r><w:t xml:space="preserve">ABBAS I. (1813-1854), pasha of Egypt, was a son of Tusun</w:t></w:r>
</w:p>
<w:p>
<w:pPr><w:pStyle w:val="Normal"/></w:pPr>
<w:r><w:t xml:space="preserve">Pasha and grandson of Mehemet Ali, founder of the reigning</w:t></w:r>
</w:p>
<w:p>
<w:pPr><w:pStyle w:val="Normal"/></w:pPr>
<w:r><w:t xml:space="preserve">dynasty.  As a young man he fought in Syria under Ibrahim Pasha</w:t></w:r>
</w:p>
<w:p>
<w:pPr><w:pStyle w:val="Normal"/></w:pPr>
<w:r><w:t xml:space="preserve">(q.v.), his real or supposed uncle.  The death of Ibrahim</w:t></w:r>
</w:p>
<w:p>
<w:pPr><w:pStyle w:val="Normal"/></w:pPr>
<w:r><w:t xml:space="preserve">in November 1848 made Abbas regent of Egypt, and in August</w:t></w:r>
</w:p>
<w:p>
<w:pPr><w:pStyle w:val="Normal"/></w:pPr>
<w:r><w:t xml:space="preserve">following, on the death of Mehemet Alh--who had been deposed</w:t></w:r>
</w:p>
<w:p>
<w:pPr><w:pStyle w:val="Normal"/></w:pPr>
<w:r><w:t xml:space="preserve">in July 1848 on account of mental weakness,--Abbas succeeded</w:t></w:r>
</w:p>
<w:p>
<w:pPr><w:pStyle w:val="Normal"/></w:pPr>
<w:r><w:t xml:space="preserve">to the pashalik.  He has been generally described as a mere</w:t></w:r>
</w:p>
<w:p>
<w:pPr><w:pStyle w:val="Normal"/></w:pPr>
<w:r><w:t xml:space="preserve">voluptuary, but Nubar Pasha spoke of him as a true Turkish</w:t></w:r>
</w:p>
<w:p>
<w:pPr><w:pStyle w:val="Normal"/></w:pPr>
<w:r><w:t xml:space="preserve">gentleman of the old school.  He was without question a</w:t></w:r>
</w:p>
<w:p>
<w:pPr><w:pStyle w:val="Normal"/></w:pPr>
<w:r><w:t xml:space="preserve">reactionary, morose and taciturn, and spent nearly all his</w:t></w:r>
</w:p>
<w:p>
<w:pPr><w:pStyle w:val="Normal"/></w:pPr>
<w:r><w:t xml:space="preserve">time shut up in his palace.  He undid, as far as lay in his</w:t></w:r>
</w:p>
<w:p>
<w:pPr><w:pStyle w:val="Normal"/></w:pPr>
<w:r><w:t xml:space="preserve">power, the works of his grandfather, good and bad.  Among</w:t></w:r>
</w:p>
<w:p>
<w:pPr><w:pStyle w:val="Normal"/></w:pPr>
<w:r><w:t xml:space="preserve">other things he abolished trade monopolies, closed factories</w:t></w:r>
</w:p>
<w:p>
<w:pPr><w:pStyle w:val="Normal"/></w:pPr>
<w:r><w:t xml:space="preserve">and schools, and reduced the strength of the army to 9000</w:t></w:r>
</w:p>
<w:p>
<w:pPr><w:pStyle w:val="Normal"/></w:pPr>
<w:r><w:t xml:space="preserve">men.  He was inaccessible to adventurers bent on plundering</w:t></w:r>
</w:p>
<w:p>
<w:pPr><w:pStyle w:val="Normal"/></w:pPr>
<w:r><w:t xml:space="preserve">Egypt, but at the instance of the British government</w:t></w:r>
</w:p>
<w:p>
<w:pPr><w:pStyle w:val="Normal"/></w:pPr>
<w:r><w:t xml:space="preserve">allowed the construction of a railway from Alexandria to</w:t></w:r>
</w:p>
<w:p>
<w:pPr><w:pStyle w:val="Normal"/></w:pPr>
<w:r><w:t xml:space="preserve">Cairo.  In July 1854 he was murdered in Benha Palace by two</w:t></w:r>
</w:p>
<w:p>
<w:pPr><w:pStyle w:val="Normal"/></w:pPr>
<w:r><w:t xml:space="preserve">of his slaves, and was succeeded by his uncle, Said Pasha.</w:t></w:r>
</w:p>
<w:p>
<w:pPr><w:pStyle w:val="Normal"/></w:pPr>
<w:r><w:t xml:space="preserve">ABBAS II. (1874-- ), khedive of Egypt.  Abbas Hilmi Pasha,</w:t></w:r>
</w:p>
<w:p>
<w:pPr><w:pStyle w:val="Normal"/></w:pPr>
<w:r><w:t xml:space="preserve">great-great-grandson of Mehemet Ali, born on the 14th of</w:t></w:r>
</w:p>
<w:p>
<w:pPr><w:pStyle w:val="Normal"/></w:pPr>
<w:r><w:t xml:space="preserve">July 1874, succeeded his father, Tewfik Pasha, as khedive</w:t></w:r>
</w:p>
<w:p>
<w:pPr><w:pStyle w:val="Normal"/></w:pPr>
<w:r><w:t xml:space="preserve">of Egypt on the 8th of January 1892.  When a boy he visited</w:t></w:r>
</w:p>
<w:p>
<w:pPr><w:pStyle w:val="Normal"/></w:pPr>
<w:r><w:t xml:space="preserve">England, and he had an English tutor for some time in</w:t></w:r>
</w:p>
<w:p>
<w:pPr><w:pStyle w:val="Normal"/></w:pPr>
<w:r><w:t xml:space="preserve">Cairo.  He then went to school in Lausanne, and from there</w:t></w:r>
</w:p>
<w:p>
<w:pPr><w:pStyle w:val="Normal"/></w:pPr>
<w:r><w:t xml:space="preserve">passed on to the Theresianum in Vienna.  In addition to</w:t></w:r>
</w:p>
<w:p>
<w:pPr><w:pStyle w:val="Normal"/></w:pPr>
<w:r><w:t xml:space="preserve">Turkish, his mother tongue, he acquired fluency in Arabic,</w:t></w:r>
</w:p>
<w:p>
<w:pPr><w:pStyle w:val="Normal"/></w:pPr>
<w:r><w:t xml:space="preserve">and a good conversational knowledge of English, French and</w:t></w:r>
</w:p>
<w:p>
<w:pPr><w:pStyle w:val="Normal"/></w:pPr>
<w:r><w:t xml:space="preserve">German.  He was still at college in Vienna when the sudden</w:t></w:r>
</w:p>
<w:p>
<w:pPr><w:pStyle w:val="Normal"/></w:pPr>
<w:r><w:t xml:space="preserve">death of his father raised him to the Khedivate; and he was</w:t></w:r>
</w:p>
<w:p>
<w:pPr><w:pStyle w:val="Normal"/></w:pPr>
<w:r><w:t xml:space="preserve">barely of age according to Turkish law, which fixes majority</w:t></w:r>
</w:p>
<w:p>
<w:pPr><w:pStyle w:val="Normal"/></w:pPr>
<w:r><w:t xml:space="preserve">at eighteen in cases of succession to the throne.  For</w:t></w:r>
</w:p>
<w:p>
<w:pPr><w:pStyle w:val="Normal"/></w:pPr>
<w:r><w:t xml:space="preserve">some time he did not co-operate very cordially with Great</w:t></w:r>
</w:p>
<w:p>
<w:pPr><w:pStyle w:val="Normal"/></w:pPr>
<w:r><w:t xml:space="preserve">Britain.  He was young and eager to exercise his new</w:t></w:r>
</w:p>
<w:p>
<w:pPr><w:pStyle w:val="Normal"/></w:pPr>
<w:r><w:t xml:space="preserve">power.  His throne and life had not been saved for him by the</w:t></w:r>
</w:p>
<w:p>
<w:pPr><w:pStyle w:val="Normal"/></w:pPr>
<w:r><w:t xml:space="preserve">British, as was the case with his father.  He was surrounded</w:t></w:r>
</w:p>
<w:p>
<w:pPr><w:pStyle w:val="Normal"/></w:pPr>
<w:r><w:t xml:space="preserve">by intriguers who were playing a game of their own, and for</w:t></w:r>
</w:p>
<w:p>
<w:pPr><w:pStyle w:val="Normal"/></w:pPr>
<w:r><w:t xml:space="preserve">some time he appeared almost disposed to be as reactionary</w:t></w:r>
</w:p>
<w:p>
<w:pPr><w:pStyle w:val="Normal"/></w:pPr>
<w:r><w:t xml:space="preserve">as his great-uncle Abbas I. But in process of time he learnt</w:t></w:r>
</w:p>
<w:p>
<w:pPr><w:pStyle w:val="Normal"/></w:pPr>
<w:r><w:t xml:space="preserve">to understand the importance of British counsels.  He paid</w:t></w:r>
</w:p>
<w:p>
<w:pPr><w:pStyle w:val="Normal"/></w:pPr>
<w:r><w:t xml:space="preserve">a second visit to England in 1900, during which he frankly</w:t></w:r>
</w:p>
<w:p>
<w:pPr><w:pStyle w:val="Normal"/></w:pPr>
<w:r><w:t xml:space="preserve">acknowledged the great good the British had done in Egypt,</w:t></w:r>
</w:p>
<w:p>
<w:pPr><w:pStyle w:val="Normal"/></w:pPr>
<w:r><w:t xml:space="preserve">and declared himself ready to follow their advice and to</w:t></w:r>
</w:p>
<w:p>
<w:pPr><w:pStyle w:val="Normal"/></w:pPr>
<w:r><w:t xml:space="preserve">co-operate with the British officials administering Egyptian</w:t></w:r>
</w:p>
<w:p>
<w:pPr><w:pStyle w:val="Normal"/></w:pPr>
<w:r><w:t xml:space="preserve">affairs.  The establishment of a sound system of native</w:t></w:r>
</w:p>
<w:p>
<w:pPr><w:pStyle w:val="Normal"/></w:pPr>
<w:r><w:t xml:space="preserve">justice, the great remission of taxation, the reconquest</w:t></w:r>
</w:p>
<w:p>
<w:pPr><w:pStyle w:val="Normal"/></w:pPr>
<w:r><w:t xml:space="preserve">of the Sudan, the inauguration of the stupendous irrigation</w:t></w:r>
</w:p>
<w:p>
<w:pPr><w:pStyle w:val="Normal"/></w:pPr>
<w:r><w:t xml:space="preserve">works at Assuan, the increase of cheap, sound education,</w:t></w:r>
</w:p>
<w:p>
<w:pPr><w:pStyle w:val="Normal"/></w:pPr>
<w:r><w:t xml:space="preserve">each received his approval and all the assistance he could</w:t></w:r>
</w:p>
<w:p>
<w:pPr><w:pStyle w:val="Normal"/></w:pPr>
<w:r><w:t xml:space="preserve">give.  He displayed more interest in agriculture than in</w:t></w:r>
</w:p>
<w:p>
<w:pPr><w:pStyle w:val="Normal"/></w:pPr>
<w:r><w:t xml:space="preserve">statecraft, and his farm of cattle and horses at Koubah,</w:t></w:r>
</w:p>
<w:p>
<w:pPr><w:pStyle w:val="Normal"/></w:pPr>
<w:r><w:t xml:space="preserve">near Cairo, would have done credit to any agricultural</w:t></w:r>
</w:p>
<w:p>
<w:pPr><w:pStyle w:val="Normal"/></w:pPr>
<w:r><w:t xml:space="preserve">show in England; at Montaza, near Alexandria, he created</w:t></w:r>
</w:p>
<w:p>
<w:pPr><w:pStyle w:val="Normal"/></w:pPr>
<w:r><w:t xml:space="preserve">a similar establishment.  He married the Princess Ikbal</w:t></w:r>
</w:p>
<w:p>
<w:pPr><w:pStyle w:val="Normal"/></w:pPr>
<w:r><w:t xml:space="preserve">Hanem and had several children.  Mahommed Abdul Mouneim,</w:t></w:r>
</w:p>
<w:p>
<w:pPr><w:pStyle w:val="Normal"/></w:pPr>
<w:r><w:t xml:space="preserve">the heir-apparent, was born on the 20th of February 1899.</w:t></w:r>
</w:p>
<w:p>
<w:pPr><w:pStyle w:val="Normal"/></w:pPr>
<w:r><w:t xml:space="preserve">ABBAS I. (e. 1557-1628 or 1629), shah of Persia, called</w:t></w:r>
</w:p>
<w:p>
<w:pPr><w:pStyle w:val="Normal"/></w:pPr>
<w:r><w:t xml:space="preserve">the Great, was the son of shah Mahommed (d. 1586) . In the</w:t></w:r>
</w:p>
<w:p>
<w:pPr><w:pStyle w:val="Normal"/></w:pPr>
<w:r><w:t xml:space="preserve">midst of general anarchy in Persia, he was proclaimed ruler of</w:t></w:r>
</w:p>
<w:p>
<w:pPr><w:pStyle w:val="Normal"/></w:pPr>
<w:r><w:t xml:space="preserve">Khorasan, and obtained possession of the Persian throne in</w:t></w:r>
</w:p>
<w:p>
<w:pPr><w:pStyle w:val="Normal"/></w:pPr>
<w:r><w:t xml:space="preserve">1586.  Determined to raise the fallen fortunes of his country,</w:t></w:r>
</w:p>
<w:p>
<w:pPr><w:pStyle w:val="Normal"/></w:pPr>
<w:r><w:t xml:space="preserve">he first directed his efforts against the predatory Uzbegs,</w:t></w:r>
</w:p>
<w:p>
<w:pPr><w:pStyle w:val="Normal"/></w:pPr>
<w:r><w:t xml:space="preserve">who occupied and harassed Khorasan.  After a long and severe</w:t></w:r>
</w:p>
<w:p>
<w:pPr><w:pStyle w:val="Normal"/></w:pPr>
<w:r><w:t xml:space="preserve">struggle, he regained Meshed, defeated them in a great battle</w:t></w:r>
</w:p>
<w:p>
<w:pPr><w:pStyle w:val="Normal"/></w:pPr>
<w:r><w:t xml:space="preserve">near Herat in 1597, and drove them out of his dominions.  In</w:t></w:r>
</w:p>
<w:p>
<w:pPr><w:pStyle w:val="Normal"/></w:pPr>
<w:r><w:t xml:space="preserve">the wars he carried on with the Turks during nearly the whole</w:t></w:r>
</w:p>
<w:p>
<w:pPr><w:pStyle w:val="Normal"/></w:pPr>
<w:r><w:t xml:space="preserve">of his reign, his successes were numerous, and he acquired,</w:t></w:r>
</w:p>
<w:p>
<w:pPr><w:pStyle w:val="Normal"/></w:pPr>
<w:r><w:t xml:space="preserve">or regained, a large extent of territory.  By the victory he</w:t></w:r>
</w:p>
<w:p>
<w:pPr><w:pStyle w:val="Normal"/></w:pPr>
<w:r><w:t xml:space="preserve">gained at Bassora in 1605 he extended his empire beyond the</w:t></w:r>
</w:p>
<w:p>
<w:pPr><w:pStyle w:val="Normal"/></w:pPr>
<w:r><w:t xml:space="preserve">Euphrates; sultan Ahmed I. was forced to cede Shirvan and</w:t></w:r>
</w:p>
<w:p>
<w:pPr><w:pStyle w:val="Normal"/></w:pPr>
<w:r><w:t xml:space="preserve">Kurdistan in 1611; the united armies of the Turks and Tatars</w:t></w:r>
</w:p>
<w:p>
<w:pPr><w:pStyle w:val="Normal"/></w:pPr>
<w:r><w:t xml:space="preserve">were completely defeated near Sultanieh in 1618, and Abbas</w:t></w:r>
</w:p>
<w:p>
<w:pPr><w:pStyle w:val="Normal"/></w:pPr>
<w:r><w:t xml:space="preserve">made peace on very favourable terms; and on the Turks renewing</w:t></w:r>
</w:p>
<w:p>
<w:pPr><w:pStyle w:val="Normal"/></w:pPr>
<w:r><w:t xml:space="preserve">the war, Bagdad fell into his hands after a year&apos;s siege in</w:t></w:r>
</w:p>
<w:p>
<w:pPr><w:pStyle w:val="Normal"/></w:pPr>
<w:r><w:t xml:space="preserve">1623.  In 1622 he took the island of Ormuz from the Portuguese,</w:t></w:r>
</w:p>
<w:p>
<w:pPr><w:pStyle w:val="Normal"/></w:pPr>
<w:r><w:t xml:space="preserve">by the assistance of the British, and much of its trade was</w:t></w:r>
</w:p>
<w:p>
<w:pPr><w:pStyle w:val="Normal"/></w:pPr>
<w:r><w:t xml:space="preserve">diverted to the town of Bander-Abbasi, which was named after the</w:t></w:r>
</w:p>
<w:p>
<w:pPr><w:pStyle w:val="Normal"/></w:pPr>
<w:r><w:t xml:space="preserve">shah.  When he died, his dominions reached from the Tigris</w:t></w:r>
</w:p>
<w:p>
<w:pPr><w:pStyle w:val="Normal"/></w:pPr>
<w:r><w:t xml:space="preserve">to the Indus.  Abbas distinguished himself, not only by his</w:t></w:r>
</w:p>
<w:p>
<w:pPr><w:pStyle w:val="Normal"/></w:pPr>
<w:r><w:t xml:space="preserve">successes in arms, and by the magnificence of his court and</w:t></w:r>
</w:p>
<w:p>
<w:pPr><w:pStyle w:val="Normal"/></w:pPr>
<w:r><w:t xml:space="preserve">of the buildings which he erected, but also by his reforms in</w:t></w:r>
</w:p>
<w:p>
<w:pPr><w:pStyle w:val="Normal"/></w:pPr>
<w:r><w:t xml:space="preserve">the administration of his kingdom.  He encouraged commerce,</w:t></w:r>
</w:p>
<w:p>
<w:pPr><w:pStyle w:val="Normal"/></w:pPr>
<w:r><w:t xml:space="preserve">and, by constructing highways and building bridges, did much</w:t></w:r>
</w:p>
<w:p>
<w:pPr><w:pStyle w:val="Normal"/></w:pPr>
<w:r><w:t xml:space="preserve">to facilitate it.  To foreigners, especially Christians, he</w:t></w:r>
</w:p>
<w:p>
<w:pPr><w:pStyle w:val="Normal"/></w:pPr>
<w:r><w:t xml:space="preserve">showed a spirit of tolerance; two Englishmen, Sir Anthony</w:t></w:r>
</w:p>
<w:p>
<w:pPr><w:pStyle w:val="Normal"/></w:pPr>
<w:r><w:t xml:space="preserve">and Sir Robert Shirley, or Sherley, were admitted to his</w:t></w:r>
</w:p>
<w:p>
<w:pPr><w:pStyle w:val="Normal"/></w:pPr>
<w:r><w:t xml:space="preserve">confidence.  His fame is tarnished, however, by numerous deeds</w:t></w:r>
</w:p>
<w:p>
<w:pPr><w:pStyle w:val="Normal"/></w:pPr>
<w:r><w:t xml:space="preserve">of tyranny and cruelty.  His own family, especially, suffered</w:t></w:r>
</w:p>
<w:p>
<w:pPr><w:pStyle w:val="Normal"/></w:pPr>
<w:r><w:t xml:space="preserve">from his fits of jealousy; his eldest son was slain, and</w:t></w:r>
</w:p>
<w:p>
<w:pPr><w:pStyle w:val="Normal"/></w:pPr>
<w:r><w:t xml:space="preserve">the eyes of his other children were put out, by his orders.</w:t></w:r>
</w:p>
<w:p>
<w:pPr><w:pStyle w:val="Normal"/></w:pPr>
<w:r><w:t xml:space="preserve">See The Three Brothers, or Travels of Sir Anthony, Sir</w:t></w:r>
</w:p>
<w:p>
<w:pPr><w:pStyle w:val="Normal"/></w:pPr>
<w:r><w:t xml:space="preserve">Robert Sherley, &amp;c. (London, 1823); Sir C. R. Markham,</w:t></w:r>
</w:p>
<w:p>
<w:pPr><w:pStyle w:val="Normal"/></w:pPr>
<w:r><w:t xml:space="preserve">General Sketch of the History of Persia (London, 1874).</w:t></w:r>
</w:p>
<w:p>
<w:pPr><w:pStyle w:val="Normal"/></w:pPr>
<w:r><w:t xml:space="preserve">ABBASIDS, the name generally given to the caliphs of Bagdad,</w:t></w:r>
</w:p>
<w:p>
<w:pPr><w:pStyle w:val="Normal"/></w:pPr>
<w:r><w:t xml:space="preserve">the second of the two great dynasties of the Mahommedan</w:t></w:r>
</w:p>
<w:p>
<w:pPr><w:pStyle w:val="Normal"/></w:pPr>
<w:r><w:t xml:space="preserve">empire.  The Abbasid caliphs officially based their claim</w:t></w:r>
</w:p>
<w:p>
<w:pPr><w:pStyle w:val="Normal"/></w:pPr>
<w:r><w:t xml:space="preserve">to the throne on their descent from Abbas (A.D. 566-652),</w:t></w:r>
</w:p>
<w:p>
<w:pPr><w:pStyle w:val="Normal"/></w:pPr>
<w:r><w:t xml:space="preserve">the eldest uncle of Mahomet, in virtue of which descent they</w:t></w:r>
</w:p>
<w:p>
<w:pPr><w:pStyle w:val="Normal"/></w:pPr>
<w:r><w:t xml:space="preserve">regarded themselves as the rightful heirs of the Prophet as</w:t></w:r>
</w:p>
<w:p>
<w:pPr><w:pStyle w:val="Normal"/></w:pPr>
<w:r><w:t xml:space="preserve">opposed to the Omayyads, the descendants of Omayya.  Throughout</w:t></w:r>
</w:p>
<w:p>
<w:pPr><w:pStyle w:val="Normal"/></w:pPr>
<w:r><w:t xml:space="preserve">the second period of the Omayyads, representatives of this</w:t></w:r>
</w:p>
<w:p>
<w:pPr><w:pStyle w:val="Normal"/></w:pPr>
<w:r><w:t xml:space="preserve">family were among their most dangerous opponents, partly by</w:t></w:r>
</w:p>
<w:p>
<w:pPr><w:pStyle w:val="Normal"/></w:pPr>
<w:r><w:t xml:space="preserve">the skill with which they undermined the reputation of the</w:t></w:r>
</w:p>
<w:p>
<w:pPr><w:pStyle w:val="Normal"/></w:pPr>
<w:r><w:t xml:space="preserve">reigning princes by accusations against their orthodoxy,</w:t></w:r>
</w:p>
<w:p>
<w:pPr><w:pStyle w:val="Normal"/></w:pPr>
<w:r><w:t xml:space="preserve">their moral character and their administration in general,</w:t></w:r>
</w:p>
<w:p>
<w:pPr><w:pStyle w:val="Normal"/></w:pPr>
<w:r><w:t xml:space="preserve">and partly by their cunning manipulation of internecine</w:t></w:r>
</w:p>
<w:p>
<w:pPr><w:pStyle w:val="Normal"/></w:pPr>
<w:r><w:t xml:space="preserve">jealousies among the Arabic and non-Arabic subjects of the</w:t></w:r>
</w:p>
<w:p>
<w:pPr><w:pStyle w:val="Normal"/></w:pPr>
<w:r><w:t xml:space="preserve">empire.  In the reign of Merwan II. this opposition culminated</w:t></w:r>
</w:p>
<w:p>
<w:pPr><w:pStyle w:val="Normal"/></w:pPr>
<w:r><w:t xml:space="preserve">in the rebellion of Ibrahim the Imam, the fourth in descent</w:t></w:r>
</w:p>
<w:p>
<w:pPr><w:pStyle w:val="Normal"/></w:pPr>
<w:r><w:t xml:space="preserve">from Abbas, who, supported hy the province of Khorasan, achieved</w:t></w:r>
</w:p>
<w:p>
<w:pPr><w:pStyle w:val="Normal"/></w:pPr>
<w:r><w:t xml:space="preserve">considerable successes, but was captured (A.D. 747) and died</w:t></w:r>
</w:p>
<w:p>
<w:pPr><w:pStyle w:val="Normal"/></w:pPr>
<w:r><w:t xml:space="preserve">in prison (as some hold, assassinated).  The quarrel was taken</w:t></w:r>
</w:p>
<w:p>
<w:pPr><w:pStyle w:val="Normal"/></w:pPr>
<w:r><w:t xml:space="preserve">up by his brother Abdallah, known by the name of Abu&apos;l-Abbas</w:t></w:r>
</w:p>
<w:p>
<w:pPr><w:pStyle w:val="Normal"/></w:pPr>
<w:r><w:t xml:space="preserve">as-Saffah, who after a decisive victory on the Greater Zab</w:t></w:r>
</w:p>
<w:p>
<w:pPr><w:pStyle w:val="Normal"/></w:pPr>
<w:r><w:t xml:space="preserve">(750) finally crushed the Omayyads and was proclaimed caliph.</w:t></w:r>
</w:p>
<w:p>
<w:pPr><w:pStyle w:val="Normal"/></w:pPr>
<w:r><w:t xml:space="preserve">The history of the new dynasty is marked by perpetual</w:t></w:r>
</w:p>
<w:p>
<w:pPr><w:pStyle w:val="Normal"/></w:pPr>
<w:r><w:t xml:space="preserve">strife and the development of luxury and the liberal arts,</w:t></w:r>
</w:p>
<w:p>
<w:pPr><w:pStyle w:val="Normal"/></w:pPr>
<w:r><w:t xml:space="preserve">in place of the old-fashioned austerity of thought and</w:t></w:r>
</w:p>
<w:p>
<w:pPr><w:pStyle w:val="Normal"/></w:pPr>
<w:r><w:t xml:space="preserve">manners.  Mansur, the second of the house, who transferred</w:t></w:r>
</w:p>
<w:p>
<w:pPr><w:pStyle w:val="Normal"/></w:pPr>
<w:r><w:t xml:space="preserve">the seat of government to Bagdad, fought successfully against</w:t></w:r>
</w:p>
<w:p>
<w:pPr><w:pStyle w:val="Normal"/></w:pPr>
<w:r><w:t xml:space="preserve">the peoples of Asia Minor, and the reigns of Harun al-Rashid</w:t></w:r>
</w:p>
<w:p>
<w:pPr><w:pStyle w:val="Normal"/></w:pPr>
<w:r><w:t xml:space="preserve">(786--809) and Mamun (813-833) were periods of extraordinary</w:t></w:r>
</w:p>
<w:p>
<w:pPr><w:pStyle w:val="Normal"/></w:pPr>
<w:r><w:t xml:space="preserve">splendour.  But the empire as a whole stagnated and then decayed</w:t></w:r>
</w:p>
<w:p>
<w:pPr><w:pStyle w:val="Normal"/></w:pPr>
<w:r><w:t xml:space="preserve">rapidly.  Independent monarchs established themselves in</w:t></w:r>
</w:p>
<w:p>
<w:pPr><w:pStyle w:val="Normal"/></w:pPr>
<w:r><w:t xml:space="preserve">Africa and Khorasan (Spain had remained Omayyad throughout),</w:t></w:r>
</w:p>
<w:p>
<w:pPr><w:pStyle w:val="Normal"/></w:pPr>
<w:r><w:t xml:space="preserve">and in the north-west the Greeks successfully encroached.</w:t></w:r>
</w:p>
<w:p>
<w:pPr><w:pStyle w:val="Normal"/></w:pPr>
<w:r><w:t xml:space="preserve">The ruin of the dynasty came, however, from those Turkish</w:t></w:r>
</w:p>
<w:p>
<w:pPr><w:pStyle w:val="Normal"/></w:pPr>
<w:r><w:t xml:space="preserve">slaves who were constituted as a royal bodyguard by Moqtasim</w:t></w:r>
</w:p>
<w:p>
<w:pPr><w:pStyle w:val="Normal"/></w:pPr>
<w:r><w:t xml:space="preserve">(833-842).  Their power steadily grew until Radi (934-941) was</w:t></w:r>
</w:p>
<w:p>
<w:pPr><w:pStyle w:val="Normal"/></w:pPr>
<w:r><w:t xml:space="preserve">constrained to hand over most of the royal functions to Mahommed</w:t></w:r>
</w:p>
<w:p>
<w:pPr><w:pStyle w:val="Normal"/></w:pPr>
<w:r><w:t xml:space="preserve">b.  Raik.  Province after province renounced the authority</w:t></w:r>
</w:p>
<w:p>
<w:pPr><w:pStyle w:val="Normal"/></w:pPr>
<w:r><w:t xml:space="preserve">of the caliphs, who were merely lay figures, and finally</w:t></w:r>
</w:p>
<w:p>
<w:pPr><w:pStyle w:val="Normal"/></w:pPr>
<w:r><w:t xml:space="preserve">Hulagu, the Mongol chief, burned Bagdad (Feb. 28th, 1258).</w:t></w:r>
</w:p>
<w:p>
<w:pPr><w:pStyle w:val="Normal"/></w:pPr>
<w:r><w:t xml:space="preserve">The Abbasids still maintained a feeble show of authority,</w:t></w:r>
</w:p>
<w:p>
<w:pPr><w:pStyle w:val="Normal"/></w:pPr>
<w:r><w:t xml:space="preserve">confined to religious matters, in Egypt under the Mamelukes,</w:t></w:r>
</w:p>
<w:p>
<w:pPr><w:pStyle w:val="Normal"/></w:pPr>
<w:r><w:t xml:space="preserve">but the dynasty finally disappeared with Motawakkil III., who</w:t></w:r>
</w:p>
<w:p>
<w:pPr><w:pStyle w:val="Normal"/></w:pPr>
<w:r><w:t xml:space="preserve">was carried away as a prisoner to Constantinople by Selim I.</w:t></w:r>
</w:p>
<w:p>
<w:pPr><w:pStyle w:val="Normal"/></w:pPr>
<w:r><w:t xml:space="preserve">See CALIPHATE (Sections B, 14 and C), where a</w:t></w:r>
</w:p>
<w:p>
<w:pPr><w:pStyle w:val="Normal"/></w:pPr>
<w:r><w:t xml:space="preserve">detailed account of the dynasty will be found.</w:t></w:r>
</w:p>
<w:p>
<w:pPr><w:pStyle w:val="Normal"/></w:pPr>
<w:r><w:t xml:space="preserve">ABBAS MIRZA (c. 1783-1833), prince of Persia, was a</w:t></w:r>
</w:p>
<w:p>
<w:pPr><w:pStyle w:val="Normal"/></w:pPr>
<w:r><w:t xml:space="preserve">younger son of the shah, Feth Ali, but on account of his</w:t></w:r>
</w:p>
<w:p>
<w:pPr><w:pStyle w:val="Normal"/></w:pPr>
<w:r><w:t xml:space="preserve">mother&apos;s royal birth was destined by his father to succeed</w:t></w:r>
</w:p>
<w:p>
<w:pPr><w:pStyle w:val="Normal"/></w:pPr>
<w:r><w:t xml:space="preserve">him.  Entrusted with the government of a part of Persia, he</w:t></w:r>
</w:p>
<w:p>
<w:pPr><w:pStyle w:val="Normal"/></w:pPr>
<w:r><w:t xml:space="preserve">sought to rule it in European fashion, and employed officers</w:t></w:r>
</w:p>
<w:p>
<w:pPr><w:pStyle w:val="Normal"/></w:pPr>
<w:r><w:t xml:space="preserve">to reorganize his army.  He was soon at war with Russia, and</w:t></w:r>
</w:p>
<w:p>
<w:pPr><w:pStyle w:val="Normal"/></w:pPr>
<w:r><w:t xml:space="preserve">his aid was eagerly solicited by both England and Napoleon,</w:t></w:r>
</w:p>
<w:p>
<w:pPr><w:pStyle w:val="Normal"/></w:pPr>
<w:r><w:t xml:space="preserve">anxious to checkmate one another in the East.  Preferring</w:t></w:r>
</w:p>
<w:p>
<w:pPr><w:pStyle w:val="Normal"/></w:pPr>
<w:r><w:t xml:space="preserve">the friendship of France, Abbas continued the war against</w:t></w:r>
</w:p>
<w:p>
<w:pPr><w:pStyle w:val="Normal"/></w:pPr>
<w:r><w:t xml:space="preserve">Russia, but his new ally could give him very little assistance,</w:t></w:r>
</w:p>
<w:p>
<w:pPr><w:pStyle w:val="Normal"/></w:pPr>
<w:r><w:t xml:space="preserve">and in 1814 Persia was compelled to make a disadvantageous</w:t></w:r>
</w:p>
<w:p>
<w:pPr><w:pStyle w:val="Normal"/></w:pPr>
<w:r><w:t xml:space="preserve">peace.  He gained some successes during a war between Turkey</w:t></w:r>
</w:p>
<w:p>
<w:pPr><w:pStyle w:val="Normal"/></w:pPr>
<w:r><w:t xml:space="preserve">and Persia which broke out in 1821, but cholera attacked his</w:t></w:r>
</w:p>
<w:p>
<w:pPr><w:pStyle w:val="Normal"/></w:pPr>
<w:r><w:t xml:space="preserve">army, and a treaty was signed in 1823.  His second war with</w:t></w:r>
</w:p>
<w:p>
<w:pPr><w:pStyle w:val="Normal"/></w:pPr>
<w:r><w:t xml:space="preserve">Russia, which began in 1825, was attended with the same want of</w:t></w:r>
</w:p>
<w:p>
<w:pPr><w:pStyle w:val="Normal"/></w:pPr>
<w:r><w:t xml:space="preserve">success as the former one, and Persia was forced to cede some</w:t></w:r>
</w:p>
<w:p>
<w:pPr><w:pStyle w:val="Normal"/></w:pPr>
<w:r><w:t xml:space="preserve">territory.  When peace was made in 1828 Abbas then sought</w:t></w:r>
</w:p>
<w:p>
<w:pPr><w:pStyle w:val="Normal"/></w:pPr>
<w:r><w:t xml:space="preserve">to restore order in the province of Khorasan, which was</w:t></w:r>
</w:p>
<w:p>
<w:pPr><w:pStyle w:val="Normal"/></w:pPr>
<w:r><w:t xml:space="preserve">nominally under Persian supremacy, and while engaged in the</w:t></w:r>
</w:p>
<w:p>
<w:pPr><w:pStyle w:val="Normal"/></w:pPr>
<w:r><w:t xml:space="preserve">task died at Meshed in 1833.  In 1834 his eldest son, Mahommed</w:t></w:r>
</w:p>
<w:p>
<w:pPr><w:pStyle w:val="Normal"/></w:pPr>
<w:r><w:t xml:space="preserve">Mirza, succeeded Feth Ali as shah.  Abbas was an intelligent</w:t></w:r>
</w:p>
<w:p>
<w:pPr><w:pStyle w:val="Normal"/></w:pPr>
<w:r><w:t xml:space="preserve">prince, possessed some literary taste, and it noteworthy</w:t></w:r>
</w:p>
<w:p>
<w:pPr><w:pStyle w:val="Normal"/></w:pPr>
<w:r><w:t xml:space="preserve">on account of the comparative simplicity of his life.</w:t></w:r>
</w:p>
<w:p>
<w:pPr><w:pStyle w:val="Normal"/></w:pPr>
<w:r><w:t xml:space="preserve">ABBAS-TUMAN, a spa in Russian Transcaucasia, government of</w:t></w:r>
</w:p>
<w:p>
<w:pPr><w:pStyle w:val="Normal"/></w:pPr>
<w:r><w:t xml:space="preserve">Tiflis, 50 m.  S.W. of the Borzhom railway station and 65</w:t></w:r>
</w:p>
<w:p>
<w:pPr><w:pStyle w:val="Normal"/></w:pPr>
<w:r><w:t xml:space="preserve">m.  E. of Batum, very picturesquely situated in a cauldron-shaped</w:t></w:r>
</w:p>
<w:p>
<w:pPr><w:pStyle w:val="Normal"/></w:pPr>
<w:r><w:t xml:space="preserve">valley.  It has hot sulphur baths (93 1/2 deg. -118 1/2 deg.</w:t></w:r>
</w:p>
<w:p>
<w:pPr><w:pStyle w:val="Normal"/></w:pPr>
<w:r><w:t xml:space="preserve">Fahr.) and an astronomical observatory (4240 ft.).</w:t></w:r>
</w:p>
<w:p>
<w:pPr><w:pStyle w:val="Normal"/></w:pPr>
<w:r><w:t xml:space="preserve">ABBAZIA, a popular summer and winter resort of Austria, in</w:t></w:r>
</w:p>
<w:p>
<w:pPr><w:pStyle w:val="Normal"/></w:pPr>
<w:r><w:t xml:space="preserve">Istria, 56 m.  S.E. of Trieste by rail.  Pop. (1900) 2343.  It</w:t></w:r>
</w:p>
<w:p>
<w:pPr><w:pStyle w:val="Normal"/></w:pPr>
<w:r><w:t xml:space="preserve">is situated on the Gulf of Quarnero in a sheltered position at</w:t></w:r>
</w:p>
<w:p>
<w:pPr><w:pStyle w:val="Normal"/></w:pPr>
<w:r><w:t xml:space="preserve">the foot of the Monte Maggiore (4580 ft.), and is surrounded</w:t></w:r>
</w:p>
<w:p>
<w:pPr><w:pStyle w:val="Normal"/></w:pPr>
<w:r><w:t xml:space="preserve">by beautiiul woods of laurel.  The average temperature is 50 deg.</w:t></w:r>
</w:p>
<w:p>
<w:pPr><w:pStyle w:val="Normal"/></w:pPr>
<w:r><w:t xml:space="preserve">Fahr. in winter, and 77 deg.  Fahr. in summer.  The old abbey,</w:t></w:r>
</w:p>
<w:p>
<w:pPr><w:pStyle w:val="Normal"/></w:pPr>
<w:r><w:t xml:space="preserve">San Giacomo della Priluca, from which the place derives its</w:t></w:r>
</w:p>
<w:p>
<w:pPr><w:pStyle w:val="Normal"/></w:pPr>
<w:r><w:t xml:space="preserve">name, has been converted into a villa.  Abbazia is frequented</w:t></w:r>
</w:p>
<w:p>
<w:pPr><w:pStyle w:val="Normal"/></w:pPr>
<w:r><w:t xml:space="preserve">annually by about 16,000 visitors.  The whole sea-coast to</w:t></w:r>
</w:p>
<w:p>
<w:pPr><w:pStyle w:val="Normal"/></w:pPr>
<w:r><w:t xml:space="preserve">the north and south of Abbazia is rocky and picturesque,</w:t></w:r>
</w:p>
<w:p>
<w:pPr><w:pStyle w:val="Normal"/></w:pPr>
<w:r><w:t xml:space="preserve">and contains several smaller winter-resorts.  The largest</w:t></w:r>
</w:p>
<w:p>
<w:pPr><w:pStyle w:val="Normal"/></w:pPr>
<w:r><w:t xml:space="preserve">of them is Lovrana (pop. 513), situated 5 m. to the south.</w:t></w:r>
</w:p>
<w:p>
<w:pPr><w:pStyle w:val="Normal"/></w:pPr>
<w:r><w:t xml:space="preserve">ABBESS (Lat. abbatissa, fem. form of abbas, abbot),</w:t></w:r>
</w:p>
<w:p>
<w:pPr><w:pStyle w:val="Normal"/></w:pPr>
<w:r><w:t xml:space="preserve">the female superior of an abbey or convent of nuns.  The</w:t></w:r>
</w:p>
<w:p>
<w:pPr><w:pStyle w:val="Normal"/></w:pPr>
<w:r><w:t xml:space="preserve">mode of election, position, rights and authority of an abbess</w:t></w:r>
</w:p>
<w:p>
<w:pPr><w:pStyle w:val="Normal"/></w:pPr>
<w:r><w:t xml:space="preserve">correspond generally with those of an abbot (q.v.). The</w:t></w:r>
</w:p>
<w:p>
<w:pPr><w:pStyle w:val="Normal"/></w:pPr>
<w:r><w:t xml:space="preserve">office is elective, the choice being by the secret votes of the</w:t></w:r>
</w:p>
<w:p>
<w:pPr><w:pStyle w:val="Normal"/></w:pPr>
<w:r><w:t xml:space="preserve">sisters from their own body.  The abbess is solemnly admitted</w:t></w:r>
</w:p>
<w:p>
<w:pPr><w:pStyle w:val="Normal"/></w:pPr>
<w:r><w:t xml:space="preserve">to her office by episcopal benediction, together with the</w:t></w:r>
</w:p>
<w:p>
<w:pPr><w:pStyle w:val="Normal"/></w:pPr>
<w:r><w:t xml:space="preserve">conferring of a staff and pectoral cross, and holds for life,</w:t></w:r>
</w:p>
<w:p>
<w:pPr><w:pStyle w:val="Normal"/></w:pPr>
<w:r><w:t xml:space="preserve">though liable to be deprived for misconduct.  The council of</w:t></w:r>
</w:p>
<w:p>
<w:pPr><w:pStyle w:val="Normal"/></w:pPr>
<w:r><w:t xml:space="preserve">Trent fixed the qualifying age at forty, with eight years of</w:t></w:r>
</w:p>
<w:p>
<w:pPr><w:pStyle w:val="Normal"/></w:pPr>
<w:r><w:t xml:space="preserve">profession.  Abbesses have a right to demand absolute obedience</w:t></w:r>
</w:p>
<w:p>
<w:pPr><w:pStyle w:val="Normal"/></w:pPr>
<w:r><w:t xml:space="preserve">of their nuns, over whom they exercise discipline, extending</w:t></w:r>
</w:p>
<w:p>
<w:pPr><w:pStyle w:val="Normal"/></w:pPr>
<w:r><w:t xml:space="preserve">even to the power of expulsion, subject, however, to the</w:t></w:r>
</w:p>
<w:p>
<w:pPr><w:pStyle w:val="Normal"/></w:pPr>
<w:r><w:t xml:space="preserve">bishop.  As a female an abbess is incapable of performing the</w:t></w:r>
</w:p>
<w:p>
<w:pPr><w:pStyle w:val="Normal"/></w:pPr>
<w:r><w:t xml:space="preserve">spiritual functions of the priesthood belonging to an abbot.</w:t></w:r>
</w:p>
<w:p>
<w:pPr><w:pStyle w:val="Normal"/></w:pPr>
<w:r><w:t xml:space="preserve">She cannot ordain, confer the veil, nor excommunicate.  In</w:t></w:r>
</w:p>
<w:p>
<w:pPr><w:pStyle w:val="Normal"/></w:pPr>
<w:r><w:t xml:space="preserve">England abbesses attended ecclesiastical councils, e.g. that</w:t></w:r>
</w:p>
<w:p>
<w:pPr><w:pStyle w:val="Normal"/></w:pPr>
<w:r><w:t xml:space="preserve">of Becanfield in 694, where they signed before the presbyters.</w:t></w:r>
</w:p>
<w:p>
<w:pPr><w:pStyle w:val="Normal"/></w:pPr>
<w:r><w:t xml:space="preserve">By Celtic usage abbesses presided over joint-houses of monks and</w:t></w:r>
</w:p>
<w:p>
<w:pPr><w:pStyle w:val="Normal"/></w:pPr>
<w:r><w:t xml:space="preserve">nuns.  This custom accompanied Celtic monastic missions to France</w:t></w:r>
</w:p>
<w:p>
<w:pPr><w:pStyle w:val="Normal"/></w:pPr>
<w:r><w:t xml:space="preserve">and Spain, and even to Rome itself.  At a later period, A.D.</w:t></w:r>
</w:p>
<w:p>
<w:pPr><w:pStyle w:val="Normal"/></w:pPr>
<w:r><w:t xml:space="preserve">1115, Robert, the founder of Fontevraud, committed the government</w:t></w:r>
</w:p>
<w:p>
<w:pPr><w:pStyle w:val="Normal"/></w:pPr>
<w:r><w:t xml:space="preserve">of the whole order, men as well as women, to a female superior.</w:t></w:r>
</w:p>
<w:p>
<w:pPr><w:pStyle w:val="Normal"/></w:pPr>
<w:r><w:t xml:space="preserve">In the German Evangelical church the title of abbess (Aebtissin)</w:t></w:r>
</w:p>
<w:p>
<w:pPr><w:pStyle w:val="Normal"/></w:pPr>
<w:r><w:t xml:space="preserve">has in some cases--e.g. Itzehoe--survived to designate the</w:t></w:r>
</w:p>
<w:p>
<w:pPr><w:pStyle w:val="Normal"/></w:pPr>
<w:r><w:t xml:space="preserve">heads of abbeys which since the Reformation have continued as</w:t></w:r>
</w:p>
<w:p>
<w:pPr><w:pStyle w:val="Normal"/></w:pPr>
<w:r><w:t xml:space="preserve">Stifte, i.e. collegiate foundations, which provide a home</w:t></w:r>
</w:p>
<w:p>
<w:pPr><w:pStyle w:val="Normal"/></w:pPr>
<w:r><w:t xml:space="preserve">and an income for unmarried ladies, generally of noble birth,</w:t></w:r>
</w:p>
<w:p>
<w:pPr><w:pStyle w:val="Normal"/></w:pPr>
<w:r><w:t xml:space="preserve">called canonesses (Kanonissinen) or more usually Stiftsdamen.</w:t></w:r>
</w:p>
<w:p>
<w:pPr><w:pStyle w:val="Normal"/></w:pPr>
<w:r><w:t xml:space="preserve">This office of abbess is of considerable social dignity, and</w:t></w:r>
</w:p>
<w:p>
<w:pPr><w:pStyle w:val="Normal"/></w:pPr>
<w:r><w:t xml:space="preserve">is sometimes filled by princesses of the reigning houses.</w:t></w:r>
</w:p>
<w:p>
<w:pPr><w:pStyle w:val="Normal"/></w:pPr>
<w:r><w:t xml:space="preserve">ABBEVILLE, a town of northern France, capital of an</w:t></w:r>
</w:p>
<w:p>
<w:pPr><w:pStyle w:val="Normal"/></w:pPr>
<w:r><w:t xml:space="preserve">arrondissement in the department of Somme, on the Somme, 12</w:t></w:r>
</w:p>
<w:p>
<w:pPr><w:pStyle w:val="Normal"/></w:pPr>
<w:r><w:t xml:space="preserve">m. from its mouth in the English Channel, and 28 m.  N,W. of</w:t></w:r>
</w:p>
<w:p>
<w:pPr><w:pStyle w:val="Normal"/></w:pPr>
<w:r><w:t xml:space="preserve">Amiens on the Northern railway.  Pop. (1901) 18,519; (1906)</w:t></w:r>
</w:p>
<w:p>
<w:pPr><w:pStyle w:val="Normal"/></w:pPr>
<w:r><w:t xml:space="preserve">18,971.  It lies in a pleasant and fertile valley, and is</w:t></w:r>
</w:p>
<w:p>
<w:pPr><w:pStyle w:val="Normal"/></w:pPr>
<w:r><w:t xml:space="preserve">built partly on an island and partly on both sides of the</w:t></w:r>
</w:p>
<w:p>
<w:pPr><w:pStyle w:val="Normal"/></w:pPr>
<w:r><w:t xml:space="preserve">river, which is canalized from this point to the estuary.  The</w:t></w:r>
</w:p>
<w:p>
<w:pPr><w:pStyle w:val="Normal"/></w:pPr>
<w:r><w:t xml:space="preserve">streets are narrow, and the houses are mostly picturesque old</w:t></w:r>
</w:p>
<w:p>
<w:pPr><w:pStyle w:val="Normal"/></w:pPr>
<w:r><w:t xml:space="preserve">structures, built of wood, with many quaint gables and dark</w:t></w:r>
</w:p>
<w:p>
<w:pPr><w:pStyle w:val="Normal"/></w:pPr>
<w:r><w:t xml:space="preserve">archways.  The most remarkable building is the church of St</w:t></w:r>
</w:p>
<w:p>
<w:pPr><w:pStyle w:val="Normal"/></w:pPr>
<w:r><w:t xml:space="preserve">Vulfran, erected in the 15th, 16th and 17th centuries.  The</w:t></w:r>
</w:p>
<w:p>
<w:pPr><w:pStyle w:val="Normal"/></w:pPr>
<w:r><w:t xml:space="preserve">original design was not completed.  The nave has only two bays</w:t></w:r>
</w:p>
<w:p>
<w:pPr><w:pStyle w:val="Normal"/></w:pPr>
<w:r><w:t xml:space="preserve">and the choir is insignificant.  The facade is a magnificent</w:t></w:r>
</w:p>
<w:p>
<w:pPr><w:pStyle w:val="Normal"/></w:pPr>
<w:r><w:t xml:space="preserve">specimen of the flamboyant Gothic style, flanked by two Gothic</w:t></w:r>
</w:p>
<w:p>
<w:pPr><w:pStyle w:val="Normal"/></w:pPr>
<w:r><w:t xml:space="preserve">towers.  Abbeville has several other old churches and an</w:t></w:r>
</w:p>
<w:p>
<w:pPr><w:pStyle w:val="Normal"/></w:pPr>
<w:r><w:t xml:space="preserve">hotel-de-ville, with a belfry of the 13th century.  Among</w:t></w:r>
</w:p>
<w:p>
<w:pPr><w:pStyle w:val="Normal"/></w:pPr>
<w:r><w:t xml:space="preserve">the numerous old houses, that known as the Maison de Francois</w:t></w:r>
</w:p>
<w:p>
<w:pPr><w:pStyle w:val="Normal"/></w:pPr>
<w:r><w:t xml:space="preserve">Ie, which is the most remarkable, dates from the 16th century.</w:t></w:r>
</w:p>
<w:p>
<w:pPr><w:pStyle w:val="Normal"/></w:pPr>
<w:r><w:t xml:space="preserve">There is a statue of Admiral Courbet (d. 1885) in the chief</w:t></w:r>
</w:p>
<w:p>
<w:pPr><w:pStyle w:val="Normal"/></w:pPr>
<w:r><w:t xml:space="preserve">square.  The public institutions include tribunals of first instance</w:t></w:r>
</w:p>
<w:p>
<w:pPr><w:pStyle w:val="Normal"/></w:pPr>
<w:r><w:t xml:space="preserve">and of commerce, a board of trade-arbitrators, and a communal</w:t></w:r>
</w:p>
<w:p>
<w:pPr><w:pStyle w:val="Normal"/></w:pPr>
<w:r><w:t xml:space="preserve">college.  Abbeville is an important industrial centre; in addition</w:t></w:r>
</w:p>
<w:p>
<w:pPr><w:pStyle w:val="Normal"/></w:pPr>
<w:r><w:t xml:space="preserve">to its old-established manufacture of cloth, hemp-spinning,</w:t></w:r>
</w:p>
<w:p>
<w:pPr><w:pStyle w:val="Normal"/></w:pPr>
<w:r><w:t xml:space="preserve">sugar-making, ship-building and locksmiths&apos; work are carried on;</w:t></w:r>
</w:p>
<w:p>
<w:pPr><w:pStyle w:val="Normal"/></w:pPr>
<w:r><w:t xml:space="preserve">there is active commerce in grain, but the port has little trade.</w:t></w:r>
</w:p>
<w:p>
<w:pPr><w:pStyle w:val="Normal"/></w:pPr>
<w:r><w:t xml:space="preserve">Abbeville, the chief town of the district of Ponthieu, first</w:t></w:r>
</w:p>
<w:p>
<w:pPr><w:pStyle w:val="Normal"/></w:pPr>
<w:r><w:t xml:space="preserve">appears in history during the 9th century.  At that time</w:t></w:r>
</w:p>
<w:p>
<w:pPr><w:pStyle w:val="Normal"/></w:pPr>
<w:r><w:t xml:space="preserve">belonging to the abbey of St Riquier, it was afterwards</w:t></w:r>
</w:p>
<w:p>
<w:pPr><w:pStyle w:val="Normal"/></w:pPr>
<w:r><w:t xml:space="preserve">governed by the counts of Ponthieu.  Together with that county,</w:t></w:r>
</w:p>
<w:p>
<w:pPr><w:pStyle w:val="Normal"/></w:pPr>
<w:r><w:t xml:space="preserve">it came into the possession of the Alencon and other French</w:t></w:r>
</w:p>
<w:p>
<w:pPr><w:pStyle w:val="Normal"/></w:pPr>
<w:r><w:t xml:space="preserve">families, and afterwards into that of the house of Castillo,</w:t></w:r>
</w:p>
<w:p>
<w:pPr><w:pStyle w:val="Normal"/></w:pPr>
<w:r><w:t xml:space="preserve">from whom by marriage it fell in 1272 to Edward I., king of</w:t></w:r>
</w:p>
<w:p>
<w:pPr><w:pStyle w:val="Normal"/></w:pPr>
<w:r><w:t xml:space="preserve">England.  French and English were its masters by turns till</w:t></w:r>
</w:p>
<w:p>
<w:pPr><w:pStyle w:val="Normal"/></w:pPr>
<w:r><w:t xml:space="preserve">1435 when, by the treaty of Arras, it was ceded to the duke of</w:t></w:r>
</w:p>
<w:p>
<w:pPr><w:pStyle w:val="Normal"/></w:pPr>
<w:r><w:t xml:space="preserve">Burgundy.  In 1477 it was annexed by Louis XI., king of France,</w:t></w:r>
</w:p>
<w:p>
<w:pPr><w:pStyle w:val="Normal"/></w:pPr>
<w:r><w:t xml:space="preserve">and was held by two illegitimate branches of the royal family in</w:t></w:r>
</w:p>
<w:p>
<w:pPr><w:pStyle w:val="Normal"/></w:pPr>
<w:r><w:t xml:space="preserve">the 16th and 17th centuries, being in 1696 reunited to the crown.</w:t></w:r>
</w:p>
<w:p>
<w:pPr><w:pStyle w:val="Normal"/></w:pPr>
<w:r><w:t xml:space="preserve">ABBEY, EDWIN AUSTIN (1852- ), American painter, was born at</w:t></w:r>
</w:p>
<w:p>
<w:pPr><w:pStyle w:val="Normal"/></w:pPr>
<w:r><w:t xml:space="preserve">Philadelphia, Pennsylvania, on the 1st of April 1852.  He left</w:t></w:r>
</w:p>
<w:p>
<w:pPr><w:pStyle w:val="Normal"/></w:pPr>
<w:r><w:t xml:space="preserve">the schools of the Pennsylvania Academy of Fine Arts at the</w:t></w:r>
</w:p>
<w:p>
<w:pPr><w:pStyle w:val="Normal"/></w:pPr>
<w:r><w:t xml:space="preserve">age of nineteen to enter the art department of the publishing</w:t></w:r>
</w:p>
<w:p>
<w:pPr><w:pStyle w:val="Normal"/></w:pPr>
<w:r><w:t xml:space="preserve">house of Harper &amp; Brothers in New York, where, in company</w:t></w:r>
</w:p>
<w:p>
<w:pPr><w:pStyle w:val="Normal"/></w:pPr>
<w:r><w:t xml:space="preserve">with such men as Howard Pyle, Charles Stanley Reinhart, Joseph</w:t></w:r>
</w:p>
<w:p>
<w:pPr><w:pStyle w:val="Normal"/></w:pPr>
<w:r><w:t xml:space="preserve">Pennell and Alfred Parsons, he became very successful as an</w:t></w:r>
</w:p>
<w:p>
<w:pPr><w:pStyle w:val="Normal"/></w:pPr>
<w:r><w:t xml:space="preserve">illustrator.  In 1878 he was sent by the Harpers to England</w:t></w:r>
</w:p>
<w:p>
<w:pPr><w:pStyle w:val="Normal"/></w:pPr>
<w:r><w:t xml:space="preserve">to gather material for illustrations of the poems of Robert</w:t></w:r>
</w:p>
<w:p>
<w:pPr><w:pStyle w:val="Normal"/></w:pPr>
<w:r><w:t xml:space="preserve">Herrick.  These, published in 1882, attracted much attention,</w:t></w:r>
</w:p>
<w:p>
<w:pPr><w:pStyle w:val="Normal"/></w:pPr>
<w:r><w:t xml:space="preserve">and were followed by illustrations for Goldsmith&apos;s She</w:t></w:r>
</w:p>
<w:p>
<w:pPr><w:pStyle w:val="Normal"/></w:pPr>
<w:r><w:t xml:space="preserve">Stoops to Conquer (1887), for a volume of Old Songs</w:t></w:r>
</w:p>
<w:p>
<w:pPr><w:pStyle w:val="Normal"/></w:pPr>
<w:r><w:t xml:space="preserve">(1889), and for the comedies (and a few of the tragedies) of</w:t></w:r>
</w:p>
<w:p>
<w:pPr><w:pStyle w:val="Normal"/></w:pPr>
<w:r><w:t xml:space="preserve">Shakespeare.  His water-colours and pastels were no less</w:t></w:r>
</w:p>
<w:p>
<w:pPr><w:pStyle w:val="Normal"/></w:pPr>
<w:r><w:t xml:space="preserve">successful than the earlier illustrations in pen and ink.</w:t></w:r>
</w:p>
<w:p>
<w:pPr><w:pStyle w:val="Normal"/></w:pPr>
<w:r><w:t xml:space="preserve">Abbey now became closely identified with the art life of</w:t></w:r>
</w:p>
<w:p>
<w:pPr><w:pStyle w:val="Normal"/></w:pPr>
<w:r><w:t xml:space="preserve">England, and was elected to the Royal Institute of Painters</w:t></w:r>
</w:p>
<w:p>
<w:pPr><w:pStyle w:val="Normal"/></w:pPr>
<w:r><w:t xml:space="preserve">in Water-Colours in 1883.  Among his water-colours are ``The</w:t></w:r>
</w:p>
<w:p>
<w:pPr><w:pStyle w:val="Normal"/></w:pPr>
<w:r><w:t xml:space="preserve">Evil Eye&apos;&apos; (1877); ``The Rose in October&apos;&apos; (1879); ``An Old</w:t></w:r>
</w:p>
<w:p>
<w:pPr><w:pStyle w:val="Normal"/></w:pPr>
<w:r><w:t xml:space="preserve">Song&apos;&apos; (1886); ``The Visitors&apos;&apos; (1890), and ``The Jongleur&apos;&apos;</w:t></w:r>
</w:p>
<w:p>
<w:pPr><w:pStyle w:val="Normal"/></w:pPr>
<w:r><w:t xml:space="preserve">(1892).  Possibly his best known pastels are ``Beatrice,&apos;&apos;</w:t></w:r>
</w:p>
<w:p>
<w:pPr><w:pStyle w:val="Normal"/></w:pPr>
<w:r><w:t xml:space="preserve">``Phyllis,&apos;&apos; and ``Two Noble Kinsmen.&apos;&apos; In 1890 he made his</w:t></w:r>
</w:p>
<w:p>
<w:pPr><w:pStyle w:val="Normal"/></w:pPr>
<w:r><w:t xml:space="preserve">first appearance with an oil painting, ``A May Day Morn,&apos;&apos; at</w:t></w:r>
</w:p>
<w:p>
<w:pPr><w:pStyle w:val="Normal"/></w:pPr>
<w:r><w:t xml:space="preserve">the Royal Academy in London.  He exhibited ``Richard duke of</w:t></w:r>
</w:p>
<w:p>
<w:pPr><w:pStyle w:val="Normal"/></w:pPr>
<w:r><w:t xml:space="preserve">Gloucester and the Lady Anne&apos;&apos; at the Royal Academy in 1896,</w:t></w:r>
</w:p>
<w:p>
<w:pPr><w:pStyle w:val="Normal"/></w:pPr>
<w:r><w:t xml:space="preserve">and in that year was elected A.R.A., becoming a full R.A. in</w:t></w:r>
</w:p>
<w:p>
<w:pPr><w:pStyle w:val="Normal"/></w:pPr>
<w:r><w:t xml:space="preserve">1898.  Apart from his other paintings, special mention must</w:t></w:r>
</w:p>
<w:p>
<w:pPr><w:pStyle w:val="Normal"/></w:pPr>
<w:r><w:t xml:space="preserve">be made of the large frescoes entitled ``The Quest of the Holy</w:t></w:r>
</w:p>
<w:p>
<w:pPr><w:pStyle w:val="Normal"/></w:pPr>
<w:r><w:t xml:space="preserve">Grail,&apos;&apos; in the Boston Public Library, on which he was occupied</w:t></w:r>
</w:p>
<w:p>
<w:pPr><w:pStyle w:val="Normal"/></w:pPr>
<w:r><w:t xml:space="preserve">for some years; and in 1901 he was commissioned by King Edward</w:t></w:r>
</w:p>
<w:p>
<w:pPr><w:pStyle w:val="Heading1"/></w:pPr>
<w:r><w:t>VII. to paint a picture of the coronation, containing many</w:t></w:r>
</w:p>
<w:p>
<w:pPr><w:pStyle w:val="Normal"/></w:pPr>
<w:r><w:t xml:space="preserve">portraits elaborately grouped.  The dramatic subjects, and the</w:t></w:r>
</w:p>
<w:p>
<w:pPr><w:pStyle w:val="Normal"/></w:pPr>
<w:r><w:t xml:space="preserve">brilliant colouring of his on pictures, gave them pronounced</w:t></w:r>
</w:p>
<w:p>
<w:pPr><w:pStyle w:val="Normal"/></w:pPr>
<w:r><w:t xml:space="preserve">individuality among the works of contemporary painters.</w:t></w:r>
</w:p>
<w:p>
<w:pPr><w:pStyle w:val="Normal"/></w:pPr>
<w:r><w:t xml:space="preserve">Abbey became a member not only of the Royal Academy, but also</w:t></w:r>
</w:p>
<w:p>
<w:pPr><w:pStyle w:val="Normal"/></w:pPr>
<w:r><w:t xml:space="preserve">of the National Academy of Design of New York, and honorary</w:t></w:r>
</w:p>
<w:p>
<w:pPr><w:pStyle w:val="Normal"/></w:pPr>
<w:r><w:t xml:space="preserve">member of the Royal Bavarian Society, the Societe Nationale</w:t></w:r>
</w:p>
<w:p>
<w:pPr><w:pStyle w:val="Normal"/></w:pPr>
<w:r><w:t xml:space="preserve">des Beaux Arts (Paris), the American Water-Colour Society,</w:t></w:r>
</w:p>
<w:p>
<w:pPr><w:pStyle w:val="Normal"/></w:pPr>
<w:r><w:t xml:space="preserve">etc.  He received first class gold medals at the International</w:t></w:r>
</w:p>
<w:p>
<w:pPr><w:pStyle w:val="Normal"/></w:pPr>
<w:r><w:t xml:space="preserve">Art Exhibition of Vienna in 1898, at Philadelphia in 1898,</w:t></w:r>
</w:p>
<w:p>
<w:pPr><w:pStyle w:val="Normal"/></w:pPr>
<w:r><w:t xml:space="preserve">at the Paris Exhibitions of 1889 and 1900, and at Berlin in</w:t></w:r>
</w:p>
<w:p>
<w:pPr><w:pStyle w:val="Normal"/></w:pPr>
<w:r><w:t xml:space="preserve">1903; and was made a chevalier of the French Legion of Honour.</w:t></w:r>
</w:p>
<w:p>
<w:pPr><w:pStyle w:val="Normal"/></w:pPr>
<w:r><w:t xml:space="preserve">ABBEY (Lat. abbatia; from Syr. abba, father), a</w:t></w:r>
</w:p>
<w:p>
<w:pPr><w:pStyle w:val="Normal"/></w:pPr>
<w:r><w:t xml:space="preserve">monastery, or conventual establishment, under the government</w:t></w:r>
</w:p>
<w:p>
<w:pPr><w:pStyle w:val="Normal"/></w:pPr>
<w:r><w:t xml:space="preserve">of an ABBOT or an ABBESS. A priory only differed from</w:t></w:r>
</w:p>
<w:p>
<w:pPr><w:pStyle w:val="Normal"/></w:pPr>
<w:r><w:t xml:space="preserve">an abbey in that the superior bore the name of prior instead</w:t></w:r>
</w:p>
<w:p>
<w:pPr><w:pStyle w:val="Normal"/></w:pPr>
<w:r><w:t xml:space="preserve">of abbot. This was the case in all the English conventual</w:t></w:r>
</w:p>
<w:p>
<w:pPr><w:pStyle w:val="Normal"/></w:pPr>
<w:r><w:t xml:space="preserve">cathedrals, e.g. Canterbury, Ely, Norwich, &amp;c., where the</w:t></w:r>
</w:p>
<w:p>
<w:pPr><w:pStyle w:val="Normal"/></w:pPr>
<w:r><w:t xml:space="preserve">archbishop or bishop occupied the abbot&apos;s place, the superior</w:t></w:r>
</w:p>
<w:p>
<w:pPr><w:pStyle w:val="Normal"/></w:pPr>
<w:r><w:t xml:space="preserve">of the monastery being termed prior.  Other priories were</w:t></w:r>
</w:p>
<w:p>
<w:pPr><w:pStyle w:val="Normal"/></w:pPr>
<w:r><w:t xml:space="preserve">originally offshoots from the larger abbeys, to the abbots</w:t></w:r>
</w:p>
<w:p>
<w:pPr><w:pStyle w:val="Normal"/></w:pPr>
<w:r><w:t xml:space="preserve">of which they continued subordinate; but in later times the</w:t></w:r>
</w:p>
<w:p>
<w:pPr><w:pStyle w:val="Normal"/></w:pPr>
<w:r><w:t xml:space="preserve">actual distinction between abbeys and priories was lost.</w:t></w:r>
</w:p>
<w:p>
<w:pPr><w:pStyle w:val="Normal"/></w:pPr>
<w:r><w:t xml:space="preserve">The earliest Christian monastic communities (see MONASTICISM)</w:t></w:r>
</w:p>
<w:p>
<w:pPr><w:pStyle w:val="Normal"/></w:pPr>
<w:r><w:t xml:space="preserve">with which we are acquainted consisted of groups of cells or</w:t></w:r>
</w:p>
<w:p>
<w:pPr><w:pStyle w:val="Normal"/></w:pPr>
<w:r><w:t xml:space="preserve">huts collected about a common centre, which was usually the abode</w:t></w:r>
</w:p>
<w:p>
<w:pPr><w:pStyle w:val="Normal"/></w:pPr>
<w:r><w:t xml:space="preserve">of some anchorite celebrated for superior holiness or singular</w:t></w:r>
</w:p>
<w:p>
<w:pPr><w:pStyle w:val="Normal"/></w:pPr>
<w:r><w:t xml:space="preserve">asceticism, but without any attempt at orderly arrangement.</w:t></w:r>
</w:p>
<w:p>
<w:pPr><w:pStyle w:val="Normal"/></w:pPr>
<w:r><w:t xml:space="preserve">The formation of such communities in the East does not date</w:t></w:r>
</w:p>
<w:p>
<w:pPr><w:pStyle w:val="Normal"/></w:pPr>
<w:r><w:t xml:space="preserve">from the introduction of Christianity.  The example had been</w:t></w:r>
</w:p>
<w:p>
<w:pPr><w:pStyle w:val="Normal"/></w:pPr>
<w:r><w:t xml:space="preserve">already set by the Essenes in Judea and the Therapeutae in Egypt.</w:t></w:r>
</w:p>
<w:p>
<w:pPr><w:pStyle w:val="Normal"/></w:pPr>
<w:r><w:t xml:space="preserve">In the earliest age of Christian monasticism the ascetics</w:t></w:r>
</w:p>
<w:p>
<w:pPr><w:pStyle w:val="Normal"/></w:pPr>
<w:r><w:t xml:space="preserve">were accustomed to live singly, independent of one another,</w:t></w:r>
</w:p>
<w:p>
<w:pPr><w:pStyle w:val="Normal"/></w:pPr>
<w:r><w:t xml:space="preserve">at no great distance from some village, supporting themselves</w:t></w:r>
</w:p>
<w:p>
<w:pPr><w:pStyle w:val="Normal"/></w:pPr>
<w:r><w:t xml:space="preserve">by the labour of their own hands, and distributing the</w:t></w:r>
</w:p>
<w:p>
<w:pPr><w:pStyle w:val="Normal"/></w:pPr>
<w:r><w:t xml:space="preserve">surplus after the supply of their own scanty wants to the</w:t></w:r>
</w:p>
<w:p>
<w:pPr><w:pStyle w:val="Normal"/></w:pPr>
<w:r><w:t xml:space="preserve">poor.  Increasing religious fervour, aided by persecution,</w:t></w:r>
</w:p>
<w:p>
<w:pPr><w:pStyle w:val="Normal"/></w:pPr>
<w:r><w:t xml:space="preserve">drove them farther and farther away from the abodes of men</w:t></w:r>
</w:p>
<w:p>
<w:pPr><w:pStyle w:val="Normal"/></w:pPr>
<w:r><w:t xml:space="preserve">into mountain solitudes or lonely deserts.  The deserts</w:t></w:r>
</w:p>
<w:p>
<w:pPr><w:pStyle w:val="Normal"/></w:pPr>
<w:r><w:t xml:space="preserve">of Egypt swarmed with the ``cells&apos;&apos; or huts of these</w:t></w:r>
</w:p>
<w:p>
<w:pPr><w:pStyle w:val="Normal"/></w:pPr>
<w:r><w:t xml:space="preserve">anchorites.  Anthony, who had retired to the Egyptian Thebaid</w:t></w:r>
</w:p>
<w:p>
<w:pPr><w:pStyle w:val="Normal"/></w:pPr>
<w:r><w:t xml:space="preserve">during the persecution of Maximin, A.D. 312, was the most</w:t></w:r>
</w:p>
<w:p>
<w:pPr><w:pStyle w:val="Normal"/></w:pPr>
<w:r><w:t xml:space="preserve">celebrated among them for his austerities, his sanctity, and</w:t></w:r>
</w:p>
<w:p>
<w:pPr><w:pStyle w:val="Normal"/></w:pPr>
<w:r><w:t xml:space="preserve">his power as an exorcist.  His fame collected round him a</w:t></w:r>
</w:p>
<w:p>
<w:pPr><w:pStyle w:val="Normal"/></w:pPr>
<w:r><w:t xml:space="preserve">host of followers, emulous of his sanctity.  The deeper he</w:t></w:r>
</w:p>
<w:p>
<w:pPr><w:pStyle w:val="Normal"/></w:pPr>
<w:r><w:t xml:space="preserve">withdrew into the wilderness, the more numerous his disciples</w:t></w:r>
</w:p>
<w:p>
<w:pPr><w:pStyle w:val="Normal"/></w:pPr>
<w:r><w:t xml:space="preserve">became.  They refused to be separated from him, and built</w:t></w:r>
</w:p>
<w:p>
<w:pPr><w:pStyle w:val="Normal"/></w:pPr>
<w:r><w:t xml:space="preserve">their ceils round that of their spiritual father.  Thus arose</w:t></w:r>
</w:p>
<w:p>
<w:pPr><w:pStyle w:val="Normal"/></w:pPr>
<w:r><w:t xml:space="preserve">the first monastic community, consisting of anchorites living</w:t></w:r>
</w:p>
<w:p>
<w:pPr><w:pStyle w:val="Normal"/></w:pPr>
<w:r><w:t xml:space="preserve">each in his own little dwelling, united together under one</w:t></w:r>
</w:p>
<w:p>
<w:pPr><w:pStyle w:val="Normal"/></w:pPr>
<w:r><w:t xml:space="preserve">superior.  Anthony, as Neander remarks (Church History,</w:t></w:r>
</w:p>
<w:p>
<w:pPr><w:pStyle w:val="Normal"/></w:pPr>
<w:r><w:t xml:space="preserve">vol. iii. p. 316, Clark&apos;s trans.), ``without any conscious</w:t></w:r>
</w:p>
<w:p>
<w:pPr><w:pStyle w:val="Normal"/></w:pPr>
<w:r><w:t xml:space="preserve">design of his own, had become the founder of a new mode</w:t></w:r>
</w:p>
<w:p>
<w:pPr><w:pStyle w:val="Normal"/></w:pPr>
<w:r><w:t xml:space="preserve">of living in common, Coenobitism.&apos;&apos; By degrees order was</w:t></w:r>
</w:p>
<w:p>
<w:pPr><w:pStyle w:val="Normal"/></w:pPr>
<w:r><w:t xml:space="preserve">introduced in the groups of huts.  They were arranged in</w:t></w:r>
</w:p>
<w:p>
<w:pPr><w:pStyle w:val="Normal"/></w:pPr>
<w:r><w:t xml:space="preserve">lines like the tents in an encampment, or the houses in a</w:t></w:r>
</w:p>
<w:p>
<w:pPr><w:pStyle w:val="Normal"/></w:pPr>
<w:r><w:t xml:space="preserve">street.  From this arrangement these lines of single cells</w:t></w:r>
</w:p>
<w:p>
<w:pPr><w:pStyle w:val="Normal"/></w:pPr>
<w:r><w:t xml:space="preserve">came to be known as Laurae, Laurai, &quot;streets&quot; or &quot;lanes.&quot;</w:t></w:r>
</w:p>
<w:p>
<w:pPr><w:pStyle w:val="Normal"/></w:pPr>
<w:r><w:t xml:space="preserve">The real founder of coenobian koinos, common, and bios,</w:t></w:r>
</w:p>
<w:p>
<w:pPr><w:pStyle w:val="Normal"/></w:pPr>
<w:r><w:t xml:space="preserve">life) monasteries in the modern sense was Pachomius, an Egyptian</w:t></w:r>
</w:p>
<w:p>
<w:pPr><w:pStyle w:val="Normal"/></w:pPr>
<w:r><w:t xml:space="preserve">of the beginning of the 4th century.  The first community</w:t></w:r>
</w:p>
<w:p>
<w:pPr><w:pStyle w:val="Normal"/></w:pPr>
<w:r><w:t xml:space="preserve">established by him was at Tabennae, an island of the Nile in Upper</w:t></w:r>
</w:p>
<w:p>
<w:pPr><w:pStyle w:val="Normal"/></w:pPr>
<w:r><w:t xml:space="preserve">Egypt.  Eight others were founded in his lifetime, numbering 3000</w:t></w:r>
</w:p>
<w:p>
<w:pPr><w:pStyle w:val="Normal"/></w:pPr>
<w:r><w:t xml:space="preserve">monks.  Within fifty years from his death his societies could</w:t></w:r>
</w:p>
<w:p>
<w:pPr><w:pStyle w:val="Normal"/></w:pPr>
<w:r><w:t xml:space="preserve">reckon 50,000 members.  These coenobia resembled vilIages,</w:t></w:r>
</w:p>
<w:p>
<w:pPr><w:pStyle w:val="Normal"/></w:pPr>
<w:r><w:t xml:space="preserve">peopled by a hard-working religious community, ail of one</w:t></w:r>
</w:p>
<w:p>
<w:pPr><w:pStyle w:val="Normal"/></w:pPr>
<w:r><w:t xml:space="preserve">sex.  The buildings were detached, small and of the humblest</w:t></w:r>
</w:p>
<w:p>
<w:pPr><w:pStyle w:val="Normal"/></w:pPr>
<w:r><w:t xml:space="preserve">character.  Each cell or hut, according to Sozomen (H.R. iii.</w:t></w:r>
</w:p>
<w:p>
<w:pPr><w:pStyle w:val="Normal"/></w:pPr>
<w:r><w:t xml:space="preserve">14), contained three monks.  They took their chief meal in a</w:t></w:r>
</w:p>
<w:p>
<w:pPr><w:pStyle w:val="Normal"/></w:pPr>
<w:r><w:t xml:space="preserve">common refectory at 3 P.M., up to which hour they usually</w:t></w:r>
</w:p>
<w:p>
<w:pPr><w:pStyle w:val="Normal"/></w:pPr>
<w:r><w:t xml:space="preserve">fasted.  They ate in silence, with hoods so drawn over their</w:t></w:r>
</w:p>
<w:p>
<w:pPr><w:pStyle w:val="Normal"/></w:pPr>
<w:r><w:t xml:space="preserve">faces that they could see nothing but what was on the table</w:t></w:r>
</w:p>
<w:p>
<w:pPr><w:pStyle w:val="Normal"/></w:pPr>
<w:r><w:t xml:space="preserve">before them.  The monks spent all the time, not devoted to</w:t></w:r>
</w:p>
<w:p>
<w:pPr><w:pStyle w:val="Normal"/></w:pPr>
<w:r><w:t xml:space="preserve">religious services or study, in manual labour.  Palladius,</w:t></w:r>
</w:p>
<w:p>
<w:pPr><w:pStyle w:val="Normal"/></w:pPr>
<w:r><w:t xml:space="preserve">who visited the Egyptian monasteries about the close of the</w:t></w:r>
</w:p>
<w:p>
<w:pPr><w:pStyle w:val="Normal"/></w:pPr>
<w:r><w:t xml:space="preserve">4th century, found among the 300 members of the coenobium of</w:t></w:r>
</w:p>
<w:p>
<w:pPr><w:pStyle w:val="Normal"/></w:pPr>
<w:r><w:t xml:space="preserve">Panopolis, under the Pachomian rule, 15 tailors, 7 smiths, 4</w:t></w:r>
</w:p>
<w:p>
<w:pPr><w:pStyle w:val="Normal"/></w:pPr>
<w:r><w:t xml:space="preserve">carpenters, 12 cameldrivers and 15 tanners.  Each separate</w:t></w:r>
</w:p>
<w:p>
<w:pPr><w:pStyle w:val="Normal"/></w:pPr>
<w:r><w:t xml:space="preserve">community had its own oeconomus or steward, who was subject</w:t></w:r>
</w:p>
<w:p>
<w:pPr><w:pStyle w:val="Normal"/></w:pPr>
<w:r><w:t xml:space="preserve">to a chief oeconomus stationed at the head establishment.</w:t></w:r>
</w:p>
<w:p>
<w:pPr><w:pStyle w:val="Normal"/></w:pPr>
<w:r><w:t xml:space="preserve">All the produce of the monks&apos; labour was committed to him, and</w:t></w:r>
</w:p>
<w:p>
<w:pPr><w:pStyle w:val="Normal"/></w:pPr>
<w:r><w:t xml:space="preserve">by him shipped to Alexandria.  The money raised by the sale</w:t></w:r>
</w:p>
<w:p>
<w:pPr><w:pStyle w:val="Normal"/></w:pPr>
<w:r><w:t xml:space="preserve">was expended in the purchase of stores for the support of the</w:t></w:r>
</w:p>
<w:p>
<w:pPr><w:pStyle w:val="Normal"/></w:pPr>
<w:r><w:t xml:space="preserve">communities, and what was over was devoted to charity.  Twice</w:t></w:r>
</w:p>
<w:p>
<w:pPr><w:pStyle w:val="Normal"/></w:pPr>
<w:r><w:t xml:space="preserve">in the year the superiors of the several coenobia met at</w:t></w:r>
</w:p>
<w:p>
<w:pPr><w:pStyle w:val="Normal"/></w:pPr>
<w:r><w:t xml:space="preserve">the chief monastery, under the presidency of an archimandrite</w:t></w:r>
</w:p>
<w:p>
<w:pPr><w:pStyle w:val="Normal"/></w:pPr>
<w:r><w:t xml:space="preserve">(``the chief of the fold,&apos;&apos; from miandra, a fold), and at</w:t></w:r>
</w:p>
<w:p>
<w:pPr><w:pStyle w:val="Normal"/></w:pPr>
<w:r><w:t xml:space="preserve">the last meeting gave in reports of their administration for the</w:t></w:r>
</w:p>
<w:p>
<w:pPr><w:pStyle w:val="Normal"/></w:pPr>
<w:r><w:t xml:space="preserve">year.  The coenobia of Syria belonged to the Pachomian</w:t></w:r>
</w:p>
<w:p>
<w:pPr><w:pStyle w:val="Normal"/></w:pPr>
<w:r><w:t xml:space="preserve">institution.  We learn many details concerning those in the</w:t></w:r>
</w:p>
<w:p>
<w:pPr><w:pStyle w:val="Normal"/></w:pPr>
<w:r><w:t xml:space="preserve">vicinity of Antioch from Chrysostom&apos;s writings.  The monks</w:t></w:r>
</w:p>
<w:p>
<w:pPr><w:pStyle w:val="Normal"/></w:pPr>
<w:r><w:t xml:space="preserve">lived in separate huts, kalbbia, forming a religious hamlet</w:t></w:r>
</w:p>
<w:p>
<w:pPr><w:pStyle w:val="Normal"/></w:pPr>
<w:r><w:t xml:space="preserve">on the mountain side.  They were subject to an abbot, and</w:t></w:r>
</w:p>
<w:p>
<w:pPr><w:pStyle w:val="Normal"/></w:pPr>
<w:r><w:t xml:space="preserve">observed a common rule. (They had no refectory, but ate their</w:t></w:r>
</w:p>
<w:p>
<w:pPr><w:pStyle w:val="Normal"/></w:pPr>
<w:r><w:t xml:space="preserve">common meal, of bread and water only, when the day&apos;s labour</w:t></w:r>
</w:p>
<w:p>
<w:pPr><w:pStyle w:val="Normal"/></w:pPr>
<w:r><w:t xml:space="preserve">was over, reclining on strewn grass, sometimes out of doors,)</w:t></w:r>
</w:p>
<w:p>
<w:pPr><w:pStyle w:val="Normal"/></w:pPr>
<w:r><w:t xml:space="preserve">Four times in the day they joined in prayers and psalms.</w:t></w:r>
</w:p>
<w:p>
<w:pPr><w:pStyle w:val="Normal"/></w:pPr>
<w:r><w:t xml:space="preserve">Santa Laura, Mount Athos.</w:t></w:r>
</w:p>
<w:p>
<w:pPr><w:pStyle w:val="Normal"/></w:pPr>
<w:r><w:t xml:space="preserve">The necessity for defence from hostile attacks, economy of</w:t></w:r>
</w:p>
<w:p>
<w:pPr><w:pStyle w:val="Normal"/></w:pPr>
<w:r><w:t xml:space="preserve">space and convenience of access from one part of the community</w:t></w:r>
</w:p>
<w:p>
<w:pPr><w:pStyle w:val="Normal"/></w:pPr>
<w:r><w:t xml:space="preserve">to another, by degrees dictated a more compact and orderly</w:t></w:r>
</w:p>
<w:p>
<w:pPr><w:pStyle w:val="Normal"/></w:pPr>
<w:r><w:t xml:space="preserve">arrangement of the buildings of a monastic coenobium.  Large</w:t></w:r>
</w:p>
<w:p>
<w:pPr><w:pStyle w:val="Normal"/></w:pPr>
<w:r><w:t xml:space="preserve">piles of building were erected, with strong outside walls,</w:t></w:r>
</w:p>
<w:p>
<w:pPr><w:pStyle w:val="Normal"/></w:pPr>
<w:r><w:t xml:space="preserve">capable of resisting the assaults of an enemy, within which</w:t></w:r>
</w:p>
<w:p>
<w:pPr><w:pStyle w:val="Normal"/></w:pPr>
<w:r><w:t xml:space="preserve">all the necessary edifices were ranged round one or more</w:t></w:r>
</w:p>
<w:p>
<w:pPr><w:pStyle w:val="Normal"/></w:pPr>
<w:r><w:t xml:space="preserve">open courts, usually surrounded with cloisters.  The usual</w:t></w:r>
</w:p>
<w:p>
<w:pPr><w:pStyle w:val="Normal"/></w:pPr>
<w:r><w:t xml:space="preserve">Eastern arrangement is exemplified in the plan of the convent</w:t></w:r>
</w:p>
<w:p>
<w:pPr><w:pStyle w:val="Normal"/></w:pPr>
<w:r><w:t xml:space="preserve">of Santa Laura, Mount Athos (Laura, the designation of a</w:t></w:r>
</w:p>
<w:p>
<w:pPr><w:pStyle w:val="Normal"/></w:pPr>
<w:r><w:t xml:space="preserve">monastery generally, being converted into a female saint).</w:t></w:r>
</w:p>
<w:p>
<w:pPr><w:pStyle w:val="Normal"/></w:pPr>
<w:r><w:t xml:space="preserve">This monastery, like the oriental monasteries generally, is</w:t></w:r>
</w:p>
<w:p>
<w:pPr><w:pStyle w:val="Normal"/></w:pPr>
<w:r><w:t xml:space="preserve">surrounded by a strong and lofty blank stone wall, enclosing</w:t></w:r>
</w:p>
<w:p>
<w:pPr><w:pStyle w:val="Normal"/></w:pPr>
<w:r><w:t xml:space="preserve">an area of between 3 and 4 acres.  The longer side extends to</w:t></w:r>
</w:p>
<w:p>
<w:pPr><w:pStyle w:val="Normal"/></w:pPr>
<w:r><w:t xml:space="preserve">a length of about 500 feet.  There is only one main entrance,</w:t></w:r>
</w:p>
<w:p>
<w:pPr><w:pStyle w:val="Normal"/></w:pPr>
<w:r><w:t xml:space="preserve">on the north side (A), defended by three separate iron</w:t></w:r>
</w:p>
<w:p>
<w:pPr><w:pStyle w:val="Normal"/></w:pPr>
<w:r><w:t xml:space="preserve">doors.  Near the entrance is a large tower (M), a constant</w:t></w:r>
</w:p>
<w:p>
<w:pPr><w:pStyle w:val="Normal"/></w:pPr>
<w:r><w:t xml:space="preserve">feature in the monasteries of the Levant.  There is a small</w:t></w:r>
</w:p>
<w:p>
<w:pPr><w:pStyle w:val="Normal"/></w:pPr>
<w:r><w:t xml:space="preserve">postern gate at L. The enceinte comprises two large open</w:t></w:r>
</w:p>
<w:p>
<w:pPr><w:pStyle w:val="Normal"/></w:pPr>
<w:r><w:t xml:space="preserve">courts, surrounded with buildings connected with cloister</w:t></w:r>
</w:p>
<w:p>
<w:pPr><w:pStyle w:val="Normal"/></w:pPr>
<w:r><w:t xml:space="preserve">galleries of wood or stone.  The outer court, which is much the</w:t></w:r>
</w:p>
<w:p>
<w:pPr><w:pStyle w:val="Normal"/></w:pPr>
<w:r><w:t xml:space="preserve">larger, contains the granaries and storehouses (K), and the</w:t></w:r>
</w:p>
<w:p>
<w:pPr><w:pStyle w:val="Normal"/></w:pPr>
<w:r><w:t xml:space="preserve">kitchen (H) and other offices connected with the refectory</w:t></w:r>
</w:p>
<w:p>
<w:pPr><w:pStyle w:val="Normal"/></w:pPr>
<w:r><w:t xml:space="preserve">(G). Immediately adjacent to the gateway is a two-storied</w:t></w:r>
</w:p>
<w:p>
<w:pPr><w:pStyle w:val="Normal"/></w:pPr>
<w:r><w:t xml:space="preserve">guest-house, opening from a cloister (C). The inner court is</w:t></w:r>
</w:p>
<w:p>
<w:pPr><w:pStyle w:val="Normal"/></w:pPr>
<w:r><w:t xml:space="preserve">surrounded by a cloister (EE), from which open the monks&apos; cells</w:t></w:r>
</w:p>
<w:p>
<w:pPr><w:pStyle w:val="Normal"/></w:pPr>
<w:r><w:t xml:space="preserve">(II).  In the centre of this court stands the catholicon</w:t></w:r>
</w:p>
<w:p>
<w:pPr><w:pStyle w:val="Normal"/></w:pPr>
<w:r><w:t xml:space="preserve">or conventual church, a square building with an apse of</w:t></w:r>
</w:p>
<w:p>
<w:pPr><w:pStyle w:val="Normal"/></w:pPr>
<w:r><w:t xml:space="preserve">the cruciform domical Byzantine type, approached by a domed</w:t></w:r>
</w:p>
<w:p>
<w:pPr><w:pStyle w:val="Normal"/></w:pPr>
<w:r><w:t xml:space="preserve">narthex.  In front of the church stands a marble fountain</w:t></w:r>
</w:p>
<w:p>
<w:pPr><w:pStyle w:val="Normal"/></w:pPr>
<w:r><w:t xml:space="preserve">(F), covered by a dome supported on columns.  Opening from</w:t></w:r>
</w:p>
<w:p>
<w:pPr><w:pStyle w:val="Normal"/></w:pPr>
<w:r><w:t xml:space="preserve">the western side of the cloister, but actually standing in</w:t></w:r>
</w:p>
<w:p>
<w:pPr><w:pStyle w:val="Normal"/></w:pPr>
<w:r><w:t xml:space="preserve">the outer court, is the refectory (G), a large cruciform</w:t></w:r>
</w:p>
<w:p>
<w:pPr><w:pStyle w:val="Normal"/></w:pPr>
<w:r><w:t xml:space="preserve">building, about 100 feet each way, decorated within with</w:t></w:r>
</w:p>
<w:p>
<w:pPr><w:pStyle w:val="Normal"/></w:pPr>
<w:r><w:t xml:space="preserve">frescoes of saints.  At the upper end is a semicircular</w:t></w:r>
</w:p>
<w:p>
<w:pPr><w:pStyle w:val="Normal"/></w:pPr>
<w:r><w:t xml:space="preserve">recess, recalling the triclinium of the Lateran Palace</w:t></w:r>
</w:p>
<w:p>
<w:pPr><w:pStyle w:val="Normal"/></w:pPr>
<w:r><w:t xml:space="preserve">A. Gateway.</w:t></w:r>
</w:p>
<w:p>
<w:pPr><w:pStyle w:val="Normal"/></w:pPr>
<w:r><w:t xml:space="preserve">B. Chapels.</w:t></w:r>
</w:p>
<w:p>
<w:pPr><w:pStyle w:val="Heading1"/></w:pPr>
<w:r><w:t>C. Guest-house.</w:t></w:r>
</w:p>
<w:p>
<w:pPr><w:pStyle w:val="Normal"/></w:pPr>
<w:r><w:t xml:space="preserve">D. Church.</w:t></w:r>
</w:p>
<w:p>
<w:pPr><w:pStyle w:val="Normal"/></w:pPr>
<w:r><w:t xml:space="preserve">E. Cloister.</w:t></w:r>
</w:p>
<w:p>
<w:pPr><w:pStyle w:val="Normal"/></w:pPr>
<w:r><w:t xml:space="preserve">F. Fountain.</w:t></w:r>
</w:p>
<w:p>
<w:pPr><w:pStyle w:val="Normal"/></w:pPr>
<w:r><w:t xml:space="preserve">G. Refectory.</w:t></w:r>
</w:p>
<w:p>
<w:pPr><w:pStyle w:val="Normal"/></w:pPr>
<w:r><w:t xml:space="preserve">H. Kitchen.</w:t></w:r>
</w:p>
<w:p>
<w:pPr><w:pStyle w:val="Heading1"/></w:pPr>
<w:r><w:t>I. Cells.</w:t></w:r>
</w:p>
<w:p>
<w:pPr><w:pStyle w:val="Normal"/></w:pPr>
<w:r><w:t xml:space="preserve">K. Storehouses.</w:t></w:r>
</w:p>
<w:p>
<w:pPr><w:pStyle w:val="Heading1"/></w:pPr>
<w:r><w:t>L. Postern gate.</w:t></w:r>
</w:p>
<w:p>
<w:pPr><w:pStyle w:val="Normal"/></w:pPr>
<w:r><w:t xml:space="preserve">M. Tower.</w:t></w:r>
</w:p>
<w:p>
<w:pPr><w:pStyle w:val="Normal"/></w:pPr>
<w:r><w:t xml:space="preserve">FIG. 1.---Monastery of Santa Laura, Mount Athos (Lenoir).</w:t></w:r>
</w:p>
<w:p>
<w:pPr><w:pStyle w:val="Normal"/></w:pPr>
<w:r><w:t xml:space="preserve">at Rome, in which is placed the seat of the hegumenos or</w:t></w:r>
</w:p>
<w:p>
<w:pPr><w:pStyle w:val="Normal"/></w:pPr>
<w:r><w:t xml:space="preserve">abbot.  This apartment is chiefly used as a hall of meeting, the</w:t></w:r>
</w:p>
<w:p>
<w:pPr><w:pStyle w:val="Normal"/></w:pPr>
<w:r><w:t xml:space="preserve">oriental monks usually taking their meals in their separate cells.</w:t></w:r>
</w:p>
<w:p>
<w:pPr><w:pStyle w:val="Normal"/></w:pPr>
<w:r><w:t xml:space="preserve">Vatopede</w:t></w:r>
</w:p>
<w:p>
<w:pPr><w:pStyle w:val="Normal"/></w:pPr>
<w:r><w:t xml:space="preserve">St Laura is exceeded in magnitude by the convent of Vatopede</w:t></w:r>
</w:p>
<w:p>
<w:pPr><w:pStyle w:val="Normal"/></w:pPr>
<w:r><w:t xml:space="preserve">also on Mount Athos.  This enormous establishment covers at</w:t></w:r>
</w:p>
<w:p>
<w:pPr><w:pStyle w:val="Normal"/></w:pPr>
<w:r><w:t xml:space="preserve">least 4 acres of ground, and contains so many separate buildings</w:t></w:r>
</w:p>
<w:p>
<w:pPr><w:pStyle w:val="Normal"/></w:pPr>
<w:r><w:t xml:space="preserve">within its massive walls that it resembles a fortified town.  It</w:t></w:r>
</w:p>
<w:p>
<w:pPr><w:pStyle w:val="Normal"/></w:pPr>
<w:r><w:t xml:space="preserve">lodges above 300 monks, and the establishment of the hegumenos is</w:t></w:r>
</w:p>
<w:p>
<w:pPr><w:pStyle w:val="Normal"/></w:pPr>
<w:r><w:t xml:space="preserve">described as resembling the court of a petty sovereign prince.</w:t></w:r>
</w:p>
<w:p>
<w:pPr><w:pStyle w:val="Normal"/></w:pPr>
<w:r><w:t xml:space="preserve">The immense refectory, of the same cruciform shape as that of</w:t></w:r>
</w:p>
<w:p>
<w:pPr><w:pStyle w:val="Normal"/></w:pPr>
<w:r><w:t xml:space="preserve">St Laura, will accommodate 500 guests at its 24 marble tables.</w:t></w:r>
</w:p>
<w:p>
<w:pPr><w:pStyle w:val="Normal"/></w:pPr>
<w:r><w:t xml:space="preserve">The annexed plan of a Coptic monastery, from Lenoir,</w:t></w:r>
</w:p>
<w:p>
<w:pPr><w:pStyle w:val="Normal"/></w:pPr>
<w:r><w:t xml:space="preserve">shows a church of three aisles, with cellular apses, and</w:t></w:r>
</w:p>
<w:p>
<w:pPr><w:pStyle w:val="Normal"/></w:pPr>
<w:r><w:t xml:space="preserve">two ranges of cells on either side of an oblong gallery.</w:t></w:r>
</w:p>
<w:p>
<w:pPr><w:pStyle w:val="Normal"/></w:pPr>
<w:r><w:t xml:space="preserve">Benedictine.</w:t></w:r>
</w:p>
<w:p>
<w:pPr><w:pStyle w:val="Normal"/></w:pPr>
<w:r><w:t xml:space="preserve">Monasticism in the West owes its extension and development</w:t></w:r>
</w:p>
<w:p>
<w:pPr><w:pStyle w:val="Normal"/></w:pPr>
<w:r><w:t xml:space="preserve">to Benedict of Nursia (born A.D. 480).  His rule was</w:t></w:r>
</w:p>
<w:p>
<w:pPr><w:pStyle w:val="Normal"/></w:pPr>
<w:r><w:t xml:space="preserve">diffused with miraculous rapidity from the parent foundation</w:t></w:r>
</w:p>
<w:p>
<w:pPr><w:pStyle w:val="Normal"/></w:pPr>
<w:r><w:t xml:space="preserve">on Monte Cassino through the whole of western Europe, and</w:t></w:r>
</w:p>
<w:p>
<w:pPr><w:pStyle w:val="Normal"/></w:pPr>
<w:r><w:t xml:space="preserve">every country witnessed the erection of monasteries far</w:t></w:r>
</w:p>
<w:p>
<w:pPr><w:pStyle w:val="Normal"/></w:pPr>
<w:r><w:t xml:space="preserve">exceeding anything that had yet been seen in spaciousness and</w:t></w:r>
</w:p>
<w:p>
<w:pPr><w:pStyle w:val="Normal"/></w:pPr>
<w:r><w:t xml:space="preserve">splendour.  Few great towns in Italy were without their</w:t></w:r>
</w:p>
<w:p>
<w:pPr><w:pStyle w:val="Normal"/></w:pPr>
<w:r><w:t xml:space="preserve">Benedictine convent, and they quickly rose in all the great</w:t></w:r>
</w:p>
<w:p>
<w:pPr><w:pStyle w:val="Normal"/></w:pPr>
<w:r><w:t xml:space="preserve">centres of population in England, France and Spain.  The number</w:t></w:r>
</w:p>
<w:p>
<w:pPr><w:pStyle w:val="Normal"/></w:pPr>
<w:r><w:t xml:space="preserve">of these monasteries founded between A.D. 520 and 700 is</w:t></w:r>
</w:p>
<w:p>
<w:pPr><w:pStyle w:val="Normal"/></w:pPr>
<w:r><w:t xml:space="preserve">amazing.  Before the Council of Constance, A.D. 1415, no</w:t></w:r>
</w:p>
<w:p>
<w:pPr><w:pStyle w:val="Normal"/></w:pPr>
<w:r><w:t xml:space="preserve">fewer than 15,070 abbeys had been established of this order</w:t></w:r>
</w:p>
<w:p>
<w:pPr><w:pStyle w:val="Normal"/></w:pPr>
<w:r><w:t xml:space="preserve">alone.  The buildings of a Benedictine abbey were uniformly</w:t></w:r>
</w:p>
<w:p>
<w:pPr><w:pStyle w:val="Normal"/></w:pPr>
<w:r><w:t xml:space="preserve">arranged ofter one plan, modified where necessary (as at</w:t></w:r>
</w:p>
<w:p>
<w:pPr><w:pStyle w:val="Normal"/></w:pPr>
<w:r><w:t xml:space="preserve">Durham and Worcester, where the monasteries stand close to the</w:t></w:r>
</w:p>
<w:p>
<w:pPr><w:pStyle w:val="Normal"/></w:pPr>
<w:r><w:t xml:space="preserve">steep bank of a river) to accommodate the arrangement to local</w:t></w:r>
</w:p>
<w:p>
<w:pPr><w:pStyle w:val="Normal"/></w:pPr>
<w:r><w:t xml:space="preserve">circumstances.  We have no existing examples of the earlier</w:t></w:r>
</w:p>
<w:p>
<w:pPr><w:pStyle w:val="Normal"/></w:pPr>
<w:r><w:t xml:space="preserve">monasteries of the Benedictine order.  They have all yielded</w:t></w:r>
</w:p>
<w:p>
<w:pPr><w:pStyle w:val="Normal"/></w:pPr>
<w:r><w:t xml:space="preserve">to the ravages of time and the violence of man.  But we</w:t></w:r>
</w:p>
<w:p>
<w:pPr><w:pStyle w:val="Normal"/></w:pPr>
<w:r><w:t xml:space="preserve">have fortunately preserved to us an elaborate plan of the</w:t></w:r>
</w:p>
<w:p>
<w:pPr><w:pStyle w:val="Normal"/></w:pPr>
<w:r><w:t xml:space="preserve">great Swiss monastery of St Gall, erected about A.D. 820,</w:t></w:r>
</w:p>
<w:p>
<w:pPr><w:pStyle w:val="Normal"/></w:pPr>
<w:r><w:t xml:space="preserve">which puts us in possession of the whole arrangements of a</w:t></w:r>
</w:p>
<w:p>
<w:pPr><w:pStyle w:val="Normal"/></w:pPr>
<w:r><w:t xml:space="preserve">monastery of the first class towards the early part of the 9th</w:t></w:r>
</w:p>
<w:p>
<w:pPr><w:pStyle w:val="Normal"/></w:pPr>
<w:r><w:t xml:space="preserve">century.  This curious and interesting plan has been made</w:t></w:r>
</w:p>
<w:p>
<w:pPr><w:pStyle w:val="Normal"/></w:pPr>
<w:r><w:t xml:space="preserve">the subject of a memoir both by Keller (Zurich, 1844) and by</w:t></w:r>
</w:p>
<w:p>
<w:pPr><w:pStyle w:val="Normal"/></w:pPr>
<w:r><w:t xml:space="preserve">Professor Robert Willis (Arch. Journal, 1848, vol. v. pp.</w:t></w:r>
</w:p>
<w:p>
<w:pPr><w:pStyle w:val="Normal"/></w:pPr>
<w:r><w:t xml:space="preserve">86-117.  To the latter we are indebted for the substance of</w:t></w:r>
</w:p>
<w:p>
<w:pPr><w:pStyle w:val="Normal"/></w:pPr>
<w:r><w:t xml:space="preserve">the following description, as well as for the plan, reduced</w:t></w:r>
</w:p>
<w:p>
<w:pPr><w:pStyle w:val="Normal"/></w:pPr>
<w:r><w:t xml:space="preserve">from his elucidated transcript of the original preserved</w:t></w:r>
</w:p>
<w:p>
<w:pPr><w:pStyle w:val="Normal"/></w:pPr>
<w:r><w:t xml:space="preserve">FIG. 2.---Plan of Coptic Monastery.</w:t></w:r>
</w:p>
<w:p>
<w:pPr><w:pStyle w:val="Normal"/></w:pPr>
<w:r><w:t xml:space="preserve">A. Narthex. B. Church.</w:t></w:r>
</w:p>
<w:p>
<w:pPr><w:pStyle w:val="Heading1"/></w:pPr>
<w:r><w:t>C. Corridor, with cells on each side.</w:t></w:r>
</w:p>
<w:p>
<w:pPr><w:pStyle w:val="Normal"/></w:pPr>
<w:r><w:t xml:space="preserve">D. Staircase.</w:t></w:r>
</w:p>
<w:p>
<w:pPr><w:pStyle w:val="Normal"/></w:pPr>
<w:r><w:t xml:space="preserve">in the archives of the convent.  The general apperance</w:t></w:r>
</w:p>
<w:p>
<w:pPr><w:pStyle w:val="Normal"/></w:pPr>
<w:r><w:t xml:space="preserve">of the convent is that of a town of isolated houses with</w:t></w:r>
</w:p>
<w:p>
<w:pPr><w:pStyle w:val="Normal"/></w:pPr>
<w:r><w:t xml:space="preserve">streets running between them.  It is evidently planned in</w:t></w:r>
</w:p>
<w:p>
<w:pPr><w:pStyle w:val="Normal"/></w:pPr>
<w:r><w:t xml:space="preserve">compliance with the Benedictine rule, which enjoined that,</w:t></w:r>
</w:p>
<w:p>
<w:pPr><w:pStyle w:val="Normal"/></w:pPr>
<w:r><w:t xml:space="preserve">if possible, the monastery should contain within itself</w:t></w:r>
</w:p>
<w:p>
<w:pPr><w:pStyle w:val="Normal"/></w:pPr>
<w:r><w:t xml:space="preserve">every necessary of life, as well as the buildings more</w:t></w:r>
</w:p>
<w:p>
<w:pPr><w:pStyle w:val="Normal"/></w:pPr>
<w:r><w:t xml:space="preserve">intimately connected with the religious and social life of its</w:t></w:r>
</w:p>
<w:p>
<w:pPr><w:pStyle w:val="Normal"/></w:pPr>
<w:r><w:t xml:space="preserve">inmates.  It should comprise a mill, a bakehouse, stables</w:t></w:r>
</w:p>
<w:p>
<w:pPr><w:pStyle w:val="Normal"/></w:pPr>
<w:r><w:t xml:space="preserve">and cow-houses, together with accommodation for carrying</w:t></w:r>
</w:p>
<w:p>
<w:pPr><w:pStyle w:val="Normal"/></w:pPr>
<w:r><w:t xml:space="preserve">on all necessary mechanical arts within the walls, so as to</w:t></w:r>
</w:p>
<w:p>
<w:pPr><w:pStyle w:val="Normal"/></w:pPr>
<w:r><w:t xml:space="preserve">obviate the necessity of the monks going outside its limits.</w:t></w:r>
</w:p>
<w:p>
<w:pPr><w:pStyle w:val="Normal"/></w:pPr>
<w:r><w:t xml:space="preserve">The general distribution of the buildings may be thus</w:t></w:r>
</w:p>
<w:p>
<w:pPr><w:pStyle w:val="Normal"/></w:pPr>
<w:r><w:t xml:space="preserve">described:-The church, with its cloister to the south, occupies</w:t></w:r>
</w:p>
<w:p>
<w:pPr><w:pStyle w:val="Normal"/></w:pPr>
<w:r><w:t xml:space="preserve">the centre of a quadrangular area, about 430 feet square.  The</w:t></w:r>
</w:p>
<w:p>
<w:pPr><w:pStyle w:val="Normal"/></w:pPr>
<w:r><w:t xml:space="preserve">buildings, as in all great monasteries, are distributed into</w:t></w:r>
</w:p>
<w:p>
<w:pPr><w:pStyle w:val="Normal"/></w:pPr>
<w:r><w:t xml:space="preserve">groups.  The church forms the nucleus, as the centre of the</w:t></w:r>
</w:p>
<w:p>
<w:pPr><w:pStyle w:val="Normal"/></w:pPr>
<w:r><w:t xml:space="preserve">religious life of the community.  In closest connexion with</w:t></w:r>
</w:p>
<w:p>
<w:pPr><w:pStyle w:val="Normal"/></w:pPr>
<w:r><w:t xml:space="preserve">the church is the group of buildings appropriated to the</w:t></w:r>
</w:p>
<w:p>
<w:pPr><w:pStyle w:val="Normal"/></w:pPr>
<w:r><w:t xml:space="preserve">monastic line and its daily requirements---the refectory for</w:t></w:r>
</w:p>
<w:p>
<w:pPr><w:pStyle w:val="Normal"/></w:pPr>
<w:r><w:t xml:space="preserve">eating, the dormitory for sleeping, the common room for social</w:t></w:r>
</w:p>
<w:p>
<w:pPr><w:pStyle w:val="Normal"/></w:pPr>
<w:r><w:t xml:space="preserve">intercourse, the chapter-house for religious and disciplinary</w:t></w:r>
</w:p>
<w:p>
<w:pPr><w:pStyle w:val="Normal"/></w:pPr>
<w:r><w:t xml:space="preserve">conference.  These essential elements of monastic life</w:t></w:r>
</w:p>
<w:p>
<w:pPr><w:pStyle w:val="Normal"/></w:pPr>
<w:r><w:t xml:space="preserve">are ranged about a cloister court, surrounded by a covered</w:t></w:r>
</w:p>
<w:p>
<w:pPr><w:pStyle w:val="Normal"/></w:pPr>
<w:r><w:t xml:space="preserve">arcade, affording communication sheltered ftom the elements</w:t></w:r>
</w:p>
<w:p>
<w:pPr><w:pStyle w:val="Normal"/></w:pPr>
<w:r><w:t xml:space="preserve">between the various buildings.  The infirmary for sick monks,</w:t></w:r>
</w:p>
<w:p>
<w:pPr><w:pStyle w:val="Normal"/></w:pPr>
<w:r><w:t xml:space="preserve">with the physician&apos;s house and physic garden, lies to the</w:t></w:r>
</w:p>
<w:p>
<w:pPr><w:pStyle w:val="Normal"/></w:pPr>
<w:r><w:t xml:space="preserve">east.  In the same group with the infirmary is the school for</w:t></w:r>
</w:p>
<w:p>
<w:pPr><w:pStyle w:val="Normal"/></w:pPr>
<w:r><w:t xml:space="preserve">the novices.  The outer school, with its headmaster&apos;s house</w:t></w:r>
</w:p>
<w:p>
<w:pPr><w:pStyle w:val="Normal"/></w:pPr>
<w:r><w:t xml:space="preserve">against the opposite wall of the church, stands outside the</w:t></w:r>
</w:p>
<w:p>
<w:pPr><w:pStyle w:val="Normal"/></w:pPr>
<w:r><w:t xml:space="preserve">convent enclosure, in close proximity to the abbot&apos;s house,</w:t></w:r>
</w:p>
<w:p>
<w:pPr><w:pStyle w:val="Normal"/></w:pPr>
<w:r><w:t xml:space="preserve">that he might have a constant eye over them.  The buildings</w:t></w:r>
</w:p>
<w:p>
<w:pPr><w:pStyle w:val="Normal"/></w:pPr>
<w:r><w:t xml:space="preserve">devoted to hospitality are divided into three groups,--one</w:t></w:r>
</w:p>
<w:p>
<w:pPr><w:pStyle w:val="Normal"/></w:pPr>
<w:r><w:t xml:space="preserve">for the reception of distinguished guests, another for monks</w:t></w:r>
</w:p>
<w:p>
<w:pPr><w:pStyle w:val="Normal"/></w:pPr>
<w:r><w:t xml:space="preserve">visiting the monastery, a third for poor travellers and</w:t></w:r>
</w:p>
<w:p>
<w:pPr><w:pStyle w:val="Normal"/></w:pPr>
<w:r><w:t xml:space="preserve">pilgrims.  The first and third are placed to the right and</w:t></w:r>
</w:p>
<w:p>
<w:pPr><w:pStyle w:val="Normal"/></w:pPr>
<w:r><w:t xml:space="preserve">left of the common entrance of the monastery,---the hospitium</w:t></w:r>
</w:p>
<w:p>
<w:pPr><w:pStyle w:val="Normal"/></w:pPr>
<w:r><w:t xml:space="preserve">for distinguished guests being placed on the north side of the</w:t></w:r>
</w:p>
<w:p>
<w:pPr><w:pStyle w:val="Normal"/></w:pPr>
<w:r><w:t xml:space="preserve">church, not far from the abbot&apos;s house; that for the poor</w:t></w:r>
</w:p>
<w:p>
<w:pPr><w:pStyle w:val="Normal"/></w:pPr>
<w:r><w:t xml:space="preserve">on the south side next to the farm buildings.  The monks are</w:t></w:r>
</w:p>
<w:p>
<w:pPr><w:pStyle w:val="Normal"/></w:pPr>
<w:r><w:t xml:space="preserve">lodged in a guest-house built against the north wall of the</w:t></w:r>
</w:p>
<w:p>
<w:pPr><w:pStyle w:val="Normal"/></w:pPr>
<w:r><w:t xml:space="preserve">church.  The group of buildings connected with the material</w:t></w:r>
</w:p>
<w:p>
<w:pPr><w:pStyle w:val="Normal"/></w:pPr>
<w:r><w:t xml:space="preserve">wants of the establishment is placed to the south and west</w:t></w:r>
</w:p>
<w:p>
<w:pPr><w:pStyle w:val="Normal"/></w:pPr>
<w:r><w:t xml:space="preserve">of the church, and is distinctly separated from the monastic</w:t></w:r>
</w:p>
<w:p>
<w:pPr><w:pStyle w:val="Normal"/></w:pPr>
<w:r><w:t xml:space="preserve">buildings.  The kitchen, buttery and offices are reached by a</w:t></w:r>
</w:p>
<w:p>
<w:pPr><w:pStyle w:val="Normal"/></w:pPr>
<w:r><w:t xml:space="preserve">passage from the west end of the refectory, and are connected</w:t></w:r>
</w:p>
<w:p>
<w:pPr><w:pStyle w:val="Normal"/></w:pPr>
<w:r><w:t xml:space="preserve">with the bakehouse and brewhouse, which are placed still farther</w:t></w:r>
</w:p>
<w:p>
<w:pPr><w:pStyle w:val="Normal"/></w:pPr>
<w:r><w:t xml:space="preserve">away.  The whole of the southern and western sides is devoted to</w:t></w:r>
</w:p>
<w:p>
<w:pPr><w:pStyle w:val="Normal"/></w:pPr>
<w:r><w:t xml:space="preserve">workshops, stables and farm-buildings.  The buildings, with some</w:t></w:r>
</w:p>
<w:p>
<w:pPr><w:pStyle w:val="Normal"/></w:pPr>
<w:r><w:t xml:space="preserve">exceptions, seem to have been of one story only, and all but</w:t></w:r>
</w:p>
<w:p>
<w:pPr><w:pStyle w:val="Normal"/></w:pPr>
<w:r><w:t xml:space="preserve">the church were probably erected of wood.  The whole includes</w:t></w:r>
</w:p>
<w:p>
<w:pPr><w:pStyle w:val="Normal"/></w:pPr>
<w:r><w:t xml:space="preserve">thirty-three separate blocks.  The church (D) is cruciform,</w:t></w:r>
</w:p>
<w:p>
<w:pPr><w:pStyle w:val="Normal"/></w:pPr>
<w:r><w:t xml:space="preserve">with a nave of nine bays, and a semicircular apse at either</w:t></w:r>
</w:p>
<w:p>
<w:pPr><w:pStyle w:val="Normal"/></w:pPr>
<w:r><w:t xml:space="preserve">extremity.  That to the west is surrounded by a semicircular</w:t></w:r>
</w:p>
<w:p>
<w:pPr><w:pStyle w:val="Normal"/></w:pPr>
<w:r><w:t xml:space="preserve">colonnade, leaving an open ``paradise&apos;&apos; (E) between it and</w:t></w:r>
</w:p>
<w:p>
<w:pPr><w:pStyle w:val="Normal"/></w:pPr>
<w:r><w:t xml:space="preserve">the wall of the church.  The whole area is divided by screens</w:t></w:r>
</w:p>
<w:p>
<w:pPr><w:pStyle w:val="Normal"/></w:pPr>
<w:r><w:t xml:space="preserve">into various chapels.  The high altar (A) stands immediately</w:t></w:r>
</w:p>
<w:p>
<w:pPr><w:pStyle w:val="Normal"/></w:pPr>
<w:r><w:t xml:space="preserve">to the east of the transept, or ritual choir; the altar</w:t></w:r>
</w:p>
<w:p>
<w:pPr><w:pStyle w:val="Normal"/></w:pPr>
<w:r><w:t xml:space="preserve">of St Paul (B) in the eastern, and that of St Peter (C) in</w:t></w:r>
</w:p>
<w:p>
<w:pPr><w:pStyle w:val="Normal"/></w:pPr>
<w:r><w:t xml:space="preserve">the western apse.  A cylindrical campanile stands detached</w:t></w:r>
</w:p>
<w:p>
<w:pPr><w:pStyle w:val="Normal"/></w:pPr>
<w:r><w:t xml:space="preserve">from the church on either side of the western apse (FF).</w:t></w:r>
</w:p>
<w:p>
<w:pPr><w:pStyle w:val="Normal"/></w:pPr>
<w:r><w:t xml:space="preserve">The ``cloister court&apos;, (G) on the south side of the nave of the</w:t></w:r>
</w:p>
<w:p>
<w:pPr><w:pStyle w:val="Normal"/></w:pPr>
<w:r><w:t xml:space="preserve">FIG. 3.--Ground-plan of St</w:t></w:r>
</w:p>
<w:p>
<w:pPr><w:pStyle w:val="Normal"/></w:pPr>
<w:r><w:t xml:space="preserve">CHURCH.                          U. House for blood-letting.</w:t></w:r>
</w:p>
<w:p>
<w:pPr><w:pStyle w:val="Normal"/></w:pPr>
<w:r><w:t xml:space="preserve">A. High altar.                   V. School.</w:t></w:r>
</w:p>
<w:p>
<w:pPr><w:pStyle w:val="Normal"/></w:pPr>
<w:r><w:t xml:space="preserve">B. Altar of St Paul.             W. Schoolmaster&apos;s lodgings.</w:t></w:r>
</w:p>
<w:p>
<w:pPr><w:pStyle w:val="Heading1"/></w:pPr>
<w:r><w:t>C. Altar of St Peter.            X1X1. Guest-house for those</w:t></w:r>
</w:p>
<w:p>
<w:pPr><w:pStyle w:val="Normal"/></w:pPr>
<w:r><w:t xml:space="preserve">D. Nave.                                  of superior rank</w:t></w:r>
</w:p>
<w:p>
<w:pPr><w:pStyle w:val="Normal"/></w:pPr>
<w:r><w:t xml:space="preserve">E. Paradise.                     X2X2. Guest-house for the poor.</w:t></w:r>
</w:p>
<w:p>
<w:pPr><w:pStyle w:val="Normal"/></w:pPr>
<w:r><w:t xml:space="preserve">FF. Towers.                      Y. Guest-chamber for strange monks.</w:t></w:r>
</w:p>
<w:p>
<w:pPr><w:pStyle w:val="Normal"/></w:pPr>
<w:r><w:t xml:space="preserve">MONASTIC BUILDINGS</w:t></w:r>
</w:p>
<w:p>
<w:pPr><w:pStyle w:val="Normal"/></w:pPr>
<w:r><w:t xml:space="preserve">G. Cloister.                     MENIAL DEPARTMENT.</w:t></w:r>
</w:p>
<w:p>
<w:pPr><w:pStyle w:val="Normal"/></w:pPr>
<w:r><w:t xml:space="preserve">H. Calefactory, with             Z. Factory.</w:t></w:r>
</w:p>
<w:p>
<w:pPr><w:pStyle w:val="Normal"/></w:pPr>
<w:r><w:t xml:space="preserve">dormitory over.               a. Threshing-floor</w:t></w:r>
</w:p>
<w:p>
<w:pPr><w:pStyle w:val="Heading1"/></w:pPr>
<w:r><w:t>I. Necessary.                    b. Workshops.</w:t></w:r>
</w:p>
<w:p>
<w:pPr><w:pStyle w:val="Normal"/></w:pPr>
<w:r><w:t xml:space="preserve">J. Abbot&apos;s house.                c, c. Mills.</w:t></w:r>
</w:p>
<w:p>
<w:pPr><w:pStyle w:val="Normal"/></w:pPr>
<w:r><w:t xml:space="preserve">K. Refectory.                    d. Kiln.</w:t></w:r>
</w:p>
<w:p>
<w:pPr><w:pStyle w:val="Heading1"/></w:pPr>
<w:r><w:t>L. Kitchen.                      e. Stables.</w:t></w:r>
</w:p>
<w:p>
<w:pPr><w:pStyle w:val="Normal"/></w:pPr>
<w:r><w:t xml:space="preserve">M. Bakehouse and brewhouse.      f Cow-sheds.</w:t></w:r>
</w:p>
<w:p>
<w:pPr><w:pStyle w:val="Normal"/></w:pPr>
<w:r><w:t xml:space="preserve">N. Cellar.                       g. Goat-sheds.</w:t></w:r>
</w:p>
<w:p>
<w:pPr><w:pStyle w:val="Normal"/></w:pPr>
<w:r><w:t xml:space="preserve">O. Parlour.               (over. h. Pig-sties. i. Sheep-folds.</w:t></w:r>
</w:p>
<w:p>
<w:pPr><w:pStyle w:val="Normal"/></w:pPr>
<w:r><w:t xml:space="preserve">P1. Scriptorium with library  k, k, k. Servants&apos; and workmen&apos;s</w:t></w:r>
</w:p>
<w:p>
<w:pPr><w:pStyle w:val="Normal"/></w:pPr>
<w:r><w:t xml:space="preserve">P2. Sacristy and vestry.                     sleeping-chambers.</w:t></w:r>
</w:p>
<w:p>
<w:pPr><w:pStyle w:val="Normal"/></w:pPr>
<w:r><w:t xml:space="preserve">Q. House of Novices--1.chapel;   l. Gardener&apos;s house</w:t></w:r>
</w:p>
<w:p>
<w:pPr><w:pStyle w:val="Normal"/></w:pPr>
<w:r><w:t xml:space="preserve">2. refectory; 3. calefactory;  m,m. Hen and duck house.</w:t></w:r>
</w:p>
<w:p>
<w:pPr><w:pStyle w:val="Normal"/></w:pPr>
<w:r><w:t xml:space="preserve">4. dormitory; 5. master&apos;s room n. Poultry-keeper&apos;s house.</w:t></w:r>
</w:p>
<w:p>
<w:pPr><w:pStyle w:val="Normal"/></w:pPr>
<w:r><w:t xml:space="preserve">6. chambers.                   o. Garden.</w:t></w:r>
</w:p>
<w:p>
<w:pPr><w:pStyle w:val="Normal"/></w:pPr>
<w:r><w:t xml:space="preserve">R. Infirmary--1--6 as above in   q. Bakehouse for sacramental</w:t></w:r>
</w:p>
<w:p>
<w:pPr><w:pStyle w:val="Normal"/></w:pPr>
<w:r><w:t xml:space="preserve">the house of novices.</w:t></w:r>
</w:p>
<w:p>
<w:pPr><w:pStyle w:val="Normal"/></w:pPr>
<w:r><w:t xml:space="preserve">S. Doctor&apos;s house.               s, s, s. Kitchens.</w:t></w:r>
</w:p>
<w:p>
<w:pPr><w:pStyle w:val="Normal"/></w:pPr>
<w:r><w:t xml:space="preserve">T. Physic garden.                t, t, t. Baths.</w:t></w:r>
</w:p>
<w:p>
<w:pPr><w:pStyle w:val="Normal"/></w:pPr>
<w:r><w:t xml:space="preserve">church has on its east side the ``pisalis&apos;&apos; or ``calefactory&apos;,</w:t></w:r>
</w:p>
<w:p>
<w:pPr><w:pStyle w:val="Normal"/></w:pPr>
<w:r><w:t xml:space="preserve">(H), the common sitting-room of the brethren, warmed by</w:t></w:r>
</w:p>
<w:p>
<w:pPr><w:pStyle w:val="Normal"/></w:pPr>
<w:r><w:t xml:space="preserve">flues beneath the floor.  On this side in later monasteries</w:t></w:r>
</w:p>
<w:p>
<w:pPr><w:pStyle w:val="Normal"/></w:pPr>
<w:r><w:t xml:space="preserve">we invariably find the chapterhouse, the absence of</w:t></w:r>
</w:p>
<w:p>
<w:pPr><w:pStyle w:val="Normal"/></w:pPr>
<w:r><w:t xml:space="preserve">which in this plan is somewhat surprising.  It appears,</w:t></w:r>
</w:p>
<w:p>
<w:pPr><w:pStyle w:val="Normal"/></w:pPr>
<w:r><w:t xml:space="preserve">however, from the inscriptions on the plan itself, that the</w:t></w:r>
</w:p>
<w:p>
<w:pPr><w:pStyle w:val="Normal"/></w:pPr>
<w:r><w:t xml:space="preserve">north walk of the cloisters served for the purposes of a</w:t></w:r>
</w:p>
<w:p>
<w:pPr><w:pStyle w:val="Heading1"/></w:pPr>
<w:r><w:t>chapter-house, and was fitted up with benches on the long</w:t></w:r>
</w:p>
<w:p>
<w:pPr><w:pStyle w:val="Normal"/></w:pPr>
<w:r><w:t xml:space="preserve">sides.  Above the calefactory is the ``dormitory&apos;&apos; opening</w:t></w:r>
</w:p>
<w:p>
<w:pPr><w:pStyle w:val="Normal"/></w:pPr>
<w:r><w:t xml:space="preserve">into the south transept of the church, to enable the monks</w:t></w:r>
</w:p>
<w:p>
<w:pPr><w:pStyle w:val="Normal"/></w:pPr>
<w:r><w:t xml:space="preserve">to attend the nocturnal services with readiness.  A passage</w:t></w:r>
</w:p>
<w:p>
<w:pPr><w:pStyle w:val="Normal"/></w:pPr>
<w:r><w:t xml:space="preserve">at the other end leads to the ``necessarium&apos;&apos; (I), a portion</w:t></w:r>
</w:p>
<w:p>
<w:pPr><w:pStyle w:val="Normal"/></w:pPr>
<w:r><w:t xml:space="preserve">of the monastic buildings always planned with extreme</w:t></w:r>
</w:p>
<w:p>
<w:pPr><w:pStyle w:val="Normal"/></w:pPr>
<w:r><w:t xml:space="preserve">care.  The southern side is occupied by the ``refectory&apos;&apos;</w:t></w:r>
</w:p>
<w:p>
<w:pPr><w:pStyle w:val="Normal"/></w:pPr>
<w:r><w:t xml:space="preserve">(K), from the west end of which by a vestibule the kitchen</w:t></w:r>
</w:p>
<w:p>
<w:pPr><w:pStyle w:val="Normal"/></w:pPr>
<w:r><w:t xml:space="preserve">(L) is reached.  This is separated from the main buildings</w:t></w:r>
</w:p>
<w:p>
<w:pPr><w:pStyle w:val="Normal"/></w:pPr>
<w:r><w:t xml:space="preserve">of the monastery, and is connected by a long passage with</w:t></w:r>
</w:p>
<w:p>
<w:pPr><w:pStyle w:val="Normal"/></w:pPr>
<w:r><w:t xml:space="preserve">a building containing the bake house and brewhouse (M), and</w:t></w:r>
</w:p>
<w:p>
<w:pPr><w:pStyle w:val="Normal"/></w:pPr>
<w:r><w:t xml:space="preserve">the sleeping-rooms of the servants.  The upper story of the</w:t></w:r>
</w:p>
<w:p>
<w:pPr><w:pStyle w:val="Normal"/></w:pPr>
<w:r><w:t xml:space="preserve">refectory is the ``vestiarium,&apos;&apos; where the ordinary clothes of</w:t></w:r>
</w:p>
<w:p>
<w:pPr><w:pStyle w:val="Normal"/></w:pPr>
<w:r><w:t xml:space="preserve">the brethren were kept.  On the western side of the cloister</w:t></w:r>
</w:p>
<w:p>
<w:pPr><w:pStyle w:val="Normal"/></w:pPr>
<w:r><w:t xml:space="preserve">is another two story building (N). The cellar is below,</w:t></w:r>
</w:p>
<w:p>
<w:pPr><w:pStyle w:val="Normal"/></w:pPr>
<w:r><w:t xml:space="preserve">and the larder and store-room above.  Between this building</w:t></w:r>
</w:p>
<w:p>
<w:pPr><w:pStyle w:val="Normal"/></w:pPr>
<w:r><w:t xml:space="preserve">and the church, opening by one door into the cloisters, and</w:t></w:r>
</w:p>
<w:p>
<w:pPr><w:pStyle w:val="Normal"/></w:pPr>
<w:r><w:t xml:space="preserve">by another to the outer part of the monastery area, is the</w:t></w:r>
</w:p>
<w:p>
<w:pPr><w:pStyle w:val="Normal"/></w:pPr>
<w:r><w:t xml:space="preserve">``parlour&apos;&apos; for interviews with visitors from the external</w:t></w:r>
</w:p>
<w:p>
<w:pPr><w:pStyle w:val="Normal"/></w:pPr>
<w:r><w:t xml:space="preserve">world (O). On the eastern side of the north transept is the</w:t></w:r>
</w:p>
<w:p>
<w:pPr><w:pStyle w:val="Normal"/></w:pPr>
<w:r><w:t xml:space="preserve">``scriptorium&apos;&apos; or writing-room (P1), with the library above.</w:t></w:r>
</w:p>
<w:p>
<w:pPr><w:pStyle w:val="Normal"/></w:pPr>
<w:r><w:t xml:space="preserve">To the east of the church stands a group of buildings comprising</w:t></w:r>
</w:p>
<w:p>
<w:pPr><w:pStyle w:val="Normal"/></w:pPr>
<w:r><w:t xml:space="preserve">two miniature conventual establishments, each complete in</w:t></w:r>
</w:p>
<w:p>
<w:pPr><w:pStyle w:val="Normal"/></w:pPr>
<w:r><w:t xml:space="preserve">itself.  Each has a covered cloister surrounded by the usual</w:t></w:r>
</w:p>
<w:p>
<w:pPr><w:pStyle w:val="Normal"/></w:pPr>
<w:r><w:t xml:space="preserve">buildings, i.e. refectory, dormitory, &amp;c., and a church or</w:t></w:r>
</w:p>
<w:p>
<w:pPr><w:pStyle w:val="Normal"/></w:pPr>
<w:r><w:t xml:space="preserve">chapel on one side, placed back to back.  A detached building</w:t></w:r>
</w:p>
<w:p>
<w:pPr><w:pStyle w:val="Normal"/></w:pPr>
<w:r><w:t xml:space="preserve">belonging to each contains a bath and a kitchen.  One of these</w:t></w:r>
</w:p>
<w:p>
<w:pPr><w:pStyle w:val="Normal"/></w:pPr>
<w:r><w:t xml:space="preserve">diminutive convents is appropriated to the ``oblati&apos;&apos; or novices</w:t></w:r>
</w:p>
<w:p>
<w:pPr><w:pStyle w:val="Normal"/></w:pPr>
<w:r><w:t xml:space="preserve">(Q), the other to the sick monks as an ``imfirmary&apos;&apos; (R).</w:t></w:r>
</w:p>
<w:p>
<w:pPr><w:pStyle w:val="Normal"/></w:pPr>
<w:r><w:t xml:space="preserve">The ``residence of the physicians&apos;&apos; (S) stands contiguous to the</w:t></w:r>
</w:p>
<w:p>
<w:pPr><w:pStyle w:val="Normal"/></w:pPr>
<w:r><w:t xml:space="preserve">infirmary, and the physic garden (T) at the north-east corner of</w:t></w:r>
</w:p>
<w:p>
<w:pPr><w:pStyle w:val="Normal"/></w:pPr>
<w:r><w:t xml:space="preserve">the monastery.  Besides other rooms, it contains a drug store,</w:t></w:r>
</w:p>
<w:p>
<w:pPr><w:pStyle w:val="Normal"/></w:pPr>
<w:r><w:t xml:space="preserve">and a chamber for those who are dangerously ill.  The ``house</w:t></w:r>
</w:p>
<w:p>
<w:pPr><w:pStyle w:val="Normal"/></w:pPr>
<w:r><w:t xml:space="preserve">for bloodletting and purging&apos;&apos; adjoins it on the west (U).</w:t></w:r>
</w:p>
<w:p>
<w:pPr><w:pStyle w:val="Normal"/></w:pPr>
<w:r><w:t xml:space="preserve">The ``outer school,&apos;&apos; to the north of the convent area, contains</w:t></w:r>
</w:p>
<w:p>
<w:pPr><w:pStyle w:val="Normal"/></w:pPr>
<w:r><w:t xml:space="preserve">a large schoolroom divided across the middle by a screen or</w:t></w:r>
</w:p>
<w:p>
<w:pPr><w:pStyle w:val="Normal"/></w:pPr>
<w:r><w:t xml:space="preserve">partition, and surrounded by fourteen little rooms, termed</w:t></w:r>
</w:p>
<w:p>
<w:pPr><w:pStyle w:val="Normal"/></w:pPr>
<w:r><w:t xml:space="preserve">the dwellings of the scholars.  The head-master&apos;s house (W)</w:t></w:r>
</w:p>
<w:p>
<w:pPr><w:pStyle w:val="Normal"/></w:pPr>
<w:r><w:t xml:space="preserve">is opposite, built against the side wall of the church.  The</w:t></w:r>
</w:p>
<w:p>
<w:pPr><w:pStyle w:val="Normal"/></w:pPr>
<w:r><w:t xml:space="preserve">two ``hospitia&apos;&apos; or `&apos; guest-houses&apos;&apos; for the entertainment</w:t></w:r>
</w:p>
<w:p>
<w:pPr><w:pStyle w:val="Normal"/></w:pPr>
<w:r><w:t xml:space="preserve">of strangers of different degrees (X1 X2) comprise a large</w:t></w:r>
</w:p>
<w:p>
<w:pPr><w:pStyle w:val="Normal"/></w:pPr>
<w:r><w:t xml:space="preserve">common chamber or refectory in the centre, surrounded by</w:t></w:r>
</w:p>
<w:p>
<w:pPr><w:pStyle w:val="Normal"/></w:pPr>
<w:r><w:t xml:space="preserve">sleeping-apartments.  Each is provided with its own brewhouse</w:t></w:r>
</w:p>
<w:p>
<w:pPr><w:pStyle w:val="Normal"/></w:pPr>
<w:r><w:t xml:space="preserve">and bakehouse, and that for travellers of a superior order has</w:t></w:r>
</w:p>
<w:p>
<w:pPr><w:pStyle w:val="Normal"/></w:pPr>
<w:r><w:t xml:space="preserve">a kitchen and storeroom, with bedrooms for their servants and</w:t></w:r>
</w:p>
<w:p>
<w:pPr><w:pStyle w:val="Normal"/></w:pPr>
<w:r><w:t xml:space="preserve">stables for their horses.  There is also an ``hospitium&apos;&apos; for</w:t></w:r>
</w:p>
<w:p>
<w:pPr><w:pStyle w:val="Normal"/></w:pPr>
<w:r><w:t xml:space="preserve">strange monks, abutting on the north wall of the church (Y).</w:t></w:r>
</w:p>
<w:p>
<w:pPr><w:pStyle w:val="Normal"/></w:pPr>
<w:r><w:t xml:space="preserve">Beyond the cloister, at the extreme verge of the convent</w:t></w:r>
</w:p>
<w:p>
<w:pPr><w:pStyle w:val="Normal"/></w:pPr>
<w:r><w:t xml:space="preserve">area to the south, stands the `factory&apos;&apos; (Z), containing</w:t></w:r>
</w:p>
<w:p>
<w:pPr><w:pStyle w:val="Normal"/></w:pPr>
<w:r><w:t xml:space="preserve">workshops for shoemakers, saddlers (or shoemakers, sellarii),</w:t></w:r>
</w:p>
<w:p>
<w:pPr><w:pStyle w:val="Normal"/></w:pPr>
<w:r><w:t xml:space="preserve">cutlers and grinders, trencher-makers, tanners, curriers,</w:t></w:r>
</w:p>
<w:p>
<w:pPr><w:pStyle w:val="Normal"/></w:pPr>
<w:r><w:t xml:space="preserve">fullers, smiths and goldsmiths, with their dwellings in the</w:t></w:r>
</w:p>
<w:p>
<w:pPr><w:pStyle w:val="Normal"/></w:pPr>
<w:r><w:t xml:space="preserve">rear.  On this side we also find the farmbuildings, the large</w:t></w:r>
</w:p>
<w:p>
<w:pPr><w:pStyle w:val="Normal"/></w:pPr>
<w:r><w:t xml:space="preserve">granary and threshing-floor (a), mills (c), malthouse</w:t></w:r>
</w:p>
<w:p>
<w:pPr><w:pStyle w:val="Normal"/></w:pPr>
<w:r><w:t xml:space="preserve">(d). Facing the west are the stables (e), ox-sheds</w:t></w:r>
</w:p>
<w:p>
<w:pPr><w:pStyle w:val="Normal"/></w:pPr>
<w:r><w:t xml:space="preserve">(f), goatstables (gl, piggeries (h), sheep-folds (i),</w:t></w:r>
</w:p>
<w:p>
<w:pPr><w:pStyle w:val="Normal"/></w:pPr>
<w:r><w:t xml:space="preserve">together with the servants&apos; and labourers&apos; quarters (k).</w:t></w:r>
</w:p>
<w:p>
<w:pPr><w:pStyle w:val="Normal"/></w:pPr>
<w:r><w:t xml:space="preserve">At the south-east corner we find the hen and duck house, and</w:t></w:r>
</w:p>
<w:p>
<w:pPr><w:pStyle w:val="Normal"/></w:pPr>
<w:r><w:t xml:space="preserve">poultry-yard (m), and the dwelling of the keeper (n).</w:t></w:r>
</w:p>
<w:p>
<w:pPr><w:pStyle w:val="Normal"/></w:pPr>
<w:r><w:t xml:space="preserve">Hard by is the kitchen garden (o), the beds bearing the</w:t></w:r>
</w:p>
<w:p>
<w:pPr><w:pStyle w:val="Normal"/></w:pPr>
<w:r><w:t xml:space="preserve">names of the vegetables growing in them, onions, garlic,</w:t></w:r>
</w:p>
<w:p>
<w:pPr><w:pStyle w:val="Normal"/></w:pPr>
<w:r><w:t xml:space="preserve">celery, lettuces, poppy, carrots, cabbages, &amp;c., eighteen in</w:t></w:r>
</w:p>
<w:p>
<w:pPr><w:pStyle w:val="Normal"/></w:pPr>
<w:r><w:t xml:space="preserve">all.  In the same way the physic garden presents the names</w:t></w:r>
</w:p>
<w:p>
<w:pPr><w:pStyle w:val="Normal"/></w:pPr>
<w:r><w:t xml:space="preserve">of the medicinal herbs, and the cemetery (p) those of</w:t></w:r>
</w:p>
<w:p>
<w:pPr><w:pStyle w:val="Normal"/></w:pPr>
<w:r><w:t xml:space="preserve">the trees, apple, pear, plum, quince, &amp;c., planted there.</w:t></w:r>
</w:p>
<w:p>
<w:pPr><w:pStyle w:val="Normal"/></w:pPr>
<w:r><w:t xml:space="preserve">Canterbury Cathedral.</w:t></w:r>
</w:p>
<w:p>
<w:pPr><w:pStyle w:val="Normal"/></w:pPr>
<w:r><w:t xml:space="preserve">A curious bird&apos;s-eye view of Canterbury Cathedral and its</w:t></w:r>
</w:p>
<w:p>
<w:pPr><w:pStyle w:val="Normal"/></w:pPr>
<w:r><w:t xml:space="preserve">annexed conventual buildings, taken about 1165, is preserved</w:t></w:r>
</w:p>
<w:p>
<w:pPr><w:pStyle w:val="Normal"/></w:pPr>
<w:r><w:t xml:space="preserve">in the Great Psalter in the library of Trinity College,</w:t></w:r>
</w:p>
<w:p>
<w:pPr><w:pStyle w:val="Normal"/></w:pPr>
<w:r><w:t xml:space="preserve">Cambridge.  As elucidated by Professor Willis,1 it exhibits</w:t></w:r>
</w:p>
<w:p>
<w:pPr><w:pStyle w:val="Normal"/></w:pPr>
<w:r><w:t xml:space="preserve">the plan of a great Benedictine monastery in the 12th century,</w:t></w:r>
</w:p>
<w:p>
<w:pPr><w:pStyle w:val="Normal"/></w:pPr>
<w:r><w:t xml:space="preserve">and enables us to compare it with that of the 9th as seen at St</w:t></w:r>
</w:p>
<w:p>
<w:pPr><w:pStyle w:val="Normal"/></w:pPr>
<w:r><w:t xml:space="preserve">Gall.  We see in both the same general principles of arrangement,</w:t></w:r>
</w:p>
<w:p>
<w:pPr><w:pStyle w:val="Normal"/></w:pPr>
<w:r><w:t xml:space="preserve">which indeed belong to all Benedictine monasteries, enabling</w:t></w:r>
</w:p>
<w:p>
<w:pPr><w:pStyle w:val="Normal"/></w:pPr>
<w:r><w:t xml:space="preserve">us to determine with precision the disposition of the various</w:t></w:r>
</w:p>
<w:p>
<w:pPr><w:pStyle w:val="Normal"/></w:pPr>
<w:r><w:t xml:space="preserve">buildings, when little more than fragments of the walls</w:t></w:r>
</w:p>
<w:p>
<w:pPr><w:pStyle w:val="Normal"/></w:pPr>
<w:r><w:t xml:space="preserve">exist.  From some local reasons, however, the cloister and</w:t></w:r>
</w:p>
<w:p>
<w:pPr><w:pStyle w:val="Normal"/></w:pPr>
<w:r><w:t xml:space="preserve">monastic buildings are placed on the north, instead, as is far</w:t></w:r>
</w:p>
<w:p>
<w:pPr><w:pStyle w:val="Normal"/></w:pPr>
<w:r><w:t xml:space="preserve">more commonly the case, on the south of the church.  There is</w:t></w:r>
</w:p>
<w:p>
<w:pPr><w:pStyle w:val="Normal"/></w:pPr>
<w:r><w:t xml:space="preserve">also a separate chapter-house, which is wanting at St Gall.</w:t></w:r>
</w:p>
<w:p>
<w:pPr><w:pStyle w:val="Normal"/></w:pPr>
<w:r><w:t xml:space="preserve">The buildings at Canterbury, as at St Gall, form separate</w:t></w:r>
</w:p>
<w:p>
<w:pPr><w:pStyle w:val="Normal"/></w:pPr>
<w:r><w:t xml:space="preserve">groups.  The church forms the nucleus.  In immediate contact</w:t></w:r>
</w:p>
<w:p>
<w:pPr><w:pStyle w:val="Normal"/></w:pPr>
<w:r><w:t xml:space="preserve">with this, on the north side, lie the cloister and the</w:t></w:r>
</w:p>
<w:p>
<w:pPr><w:pStyle w:val="Normal"/></w:pPr>
<w:r><w:t xml:space="preserve">group of buildings devoted to the monastic life.  Outside of</w:t></w:r>
</w:p>
<w:p>
<w:pPr><w:pStyle w:val="Normal"/></w:pPr>
<w:r><w:t xml:space="preserve">these, to the west and east, are the ``halls and chambers</w:t></w:r>
</w:p>
<w:p>
<w:pPr><w:pStyle w:val="Normal"/></w:pPr>
<w:r><w:t xml:space="preserve">devoted to the exercise of hospitality, with which every</w:t></w:r>
</w:p>
<w:p>
<w:pPr><w:pStyle w:val="Normal"/></w:pPr>
<w:r><w:t xml:space="preserve">monastery was provided, for the purpose of receiving as</w:t></w:r>
</w:p>
<w:p>
<w:pPr><w:pStyle w:val="Normal"/></w:pPr>
<w:r><w:t xml:space="preserve">guests persons who visited it, whether clergy or laity,</w:t></w:r>
</w:p>
<w:p>
<w:pPr><w:pStyle w:val="Normal"/></w:pPr>
<w:r><w:t xml:space="preserve">travellers, pilgrims or paupers.&apos;&apos; To the north a large</w:t></w:r>
</w:p>
<w:p>
<w:pPr><w:pStyle w:val="Normal"/></w:pPr>
<w:r><w:t xml:space="preserve">open court divides the monastic from the menial buildings,</w:t></w:r>
</w:p>
<w:p>
<w:pPr><w:pStyle w:val="Normal"/></w:pPr>
<w:r><w:t xml:space="preserve">intentionally placed as remote as possible from the conventual</w:t></w:r>
</w:p>
<w:p>
<w:pPr><w:pStyle w:val="Normal"/></w:pPr>
<w:r><w:t xml:space="preserve">buildings proper, the stables, granaries, barn, bakehouse,</w:t></w:r>
</w:p>
<w:p>
<w:pPr><w:pStyle w:val="Normal"/></w:pPr>
<w:r><w:t xml:space="preserve">brewhouse, laundries, &amp;c., inhabited by the lay servants of the</w:t></w:r>
</w:p>
<w:p>
<w:pPr><w:pStyle w:val="Normal"/></w:pPr>
<w:r><w:t xml:space="preserve">establishment.  At the greatest possible distance from the</w:t></w:r>
</w:p>
<w:p>
<w:pPr><w:pStyle w:val="Normal"/></w:pPr>
<w:r><w:t xml:space="preserve">church, beyond the precinct of the convent, is the eleemosynary</w:t></w:r>
</w:p>
<w:p>
<w:pPr><w:pStyle w:val="Normal"/></w:pPr>
<w:r><w:t xml:space="preserve">department.  The almonry for the relief of the poor,</w:t></w:r>
</w:p>
<w:p>
<w:pPr><w:pStyle w:val="Normal"/></w:pPr>
<w:r><w:t xml:space="preserve">with a great hall annexed, forms the paupers&apos; hospitium.</w:t></w:r>
</w:p>
<w:p>
<w:pPr><w:pStyle w:val="Normal"/></w:pPr>
<w:r><w:t xml:space="preserve">The most important group of buildings is naturally that devoted</w:t></w:r>
</w:p>
<w:p>
<w:pPr><w:pStyle w:val="Normal"/></w:pPr>
<w:r><w:t xml:space="preserve">to monastic life.  This includes two Cloisters, the great</w:t></w:r>
</w:p>
<w:p>
<w:pPr><w:pStyle w:val="Normal"/></w:pPr>
<w:r><w:t xml:space="preserve">cloister surrounded by the buildings essentially connected with</w:t></w:r>
</w:p>
<w:p>
<w:pPr><w:pStyle w:val="Normal"/></w:pPr>
<w:r><w:t xml:space="preserve">the daily life of the monks,---the church to the south, the</w:t></w:r>
</w:p>
<w:p>
<w:pPr><w:pStyle w:val="Normal"/></w:pPr>
<w:r><w:t xml:space="preserve">refectory or frater-house here as always on the side opposite</w:t></w:r>
</w:p>
<w:p>
<w:pPr><w:pStyle w:val="Normal"/></w:pPr>
<w:r><w:t xml:space="preserve">to the church, and farthest removed from it, that no sound or</w:t></w:r>
</w:p>
<w:p>
<w:pPr><w:pStyle w:val="Normal"/></w:pPr>
<w:r><w:t xml:space="preserve">smell of eating might penetrate its sacred precincts, to the</w:t></w:r>
</w:p>
<w:p>
<w:pPr><w:pStyle w:val="Normal"/></w:pPr>
<w:r><w:t xml:space="preserve">east the dormitory, raised on a vaulted undercroft, and the</w:t></w:r>
</w:p>
<w:p>
<w:pPr><w:pStyle w:val="Heading1"/></w:pPr>
<w:r><w:t>chapter-house adjacent, and the lodgings of the cellarer to the</w:t></w:r>
</w:p>
<w:p>
<w:pPr><w:pStyle w:val="Normal"/></w:pPr>
<w:r><w:t xml:space="preserve">west.  To this officer was committed the provision of the</w:t></w:r>
</w:p>
<w:p>
<w:pPr><w:pStyle w:val="Normal"/></w:pPr>
<w:r><w:t xml:space="preserve">monks&apos; daily food, as well as that of the guests.  He was,</w:t></w:r>
</w:p>
<w:p>
<w:pPr><w:pStyle w:val="Normal"/></w:pPr>
<w:r><w:t xml:space="preserve">therefore, appropriately lodged in the immediate vicinity of</w:t></w:r>
</w:p>
<w:p>
<w:pPr><w:pStyle w:val="Normal"/></w:pPr>
<w:r><w:t xml:space="preserve">the refectory and kitchen, and close to the guest-hall.  A</w:t></w:r>
</w:p>
<w:p>
<w:pPr><w:pStyle w:val="Normal"/></w:pPr>
<w:r><w:t xml:space="preserve">passage under the dormitory leads eastwards to the smaller</w:t></w:r>
</w:p>
<w:p>
<w:pPr><w:pStyle w:val="Normal"/></w:pPr>
<w:r><w:t xml:space="preserve">or infirmary cloister, appropriated to the sick and infirm</w:t></w:r>
</w:p>
<w:p>
<w:pPr><w:pStyle w:val="Normal"/></w:pPr>
<w:r><w:t xml:space="preserve">monks.  Eastward of this cloister extend the hall and chapel of</w:t></w:r>
</w:p>
<w:p>
<w:pPr><w:pStyle w:val="Normal"/></w:pPr>
<w:r><w:t xml:space="preserve">the infirmary, resembling in form and arrangement the nave and</w:t></w:r>
</w:p>
<w:p>
<w:pPr><w:pStyle w:val="Normal"/></w:pPr>
<w:r><w:t xml:space="preserve">chancel of an aisled church.  Beneath the dormitory, looking</w:t></w:r>
</w:p>
<w:p>
<w:pPr><w:pStyle w:val="Normal"/></w:pPr>
<w:r><w:t xml:space="preserve">out into the green court or herbarium, lies the ``pisalis&apos;&apos;</w:t></w:r>
</w:p>
<w:p>
<w:pPr><w:pStyle w:val="Normal"/></w:pPr>
<w:r><w:t xml:space="preserve">or ``calefactory,&apos;&apos; the common room of the monks.  At its</w:t></w:r>
</w:p>
<w:p>
<w:pPr><w:pStyle w:val="Normal"/></w:pPr>
<w:r><w:t xml:space="preserve">north-east corner access was given from the dormitory to the</w:t></w:r>
</w:p>
<w:p>
<w:pPr><w:pStyle w:val="Normal"/></w:pPr>
<w:r><w:t xml:space="preserve">necessarium, a portentous edifice in the form of a Norman</w:t></w:r>
</w:p>
<w:p>
<w:pPr><w:pStyle w:val="Normal"/></w:pPr>
<w:r><w:t xml:space="preserve">hall, 145 ft. long by 25 broad, containing fifty-five seats.  It</w:t></w:r>
</w:p>
<w:p>
<w:pPr><w:pStyle w:val="Normal"/></w:pPr>
<w:r><w:t xml:space="preserve">was, in common with all such offices in ancient monasteries,</w:t></w:r>
</w:p>
<w:p>
<w:pPr><w:pStyle w:val="Normal"/></w:pPr>
<w:r><w:t xml:space="preserve">constructed with the most careful regard to cleanliness and</w:t></w:r>
</w:p>
<w:p>
<w:pPr><w:pStyle w:val="Normal"/></w:pPr>
<w:r><w:t xml:space="preserve">health, a stream of water running through it from end to</w:t></w:r>
</w:p>
<w:p>
<w:pPr><w:pStyle w:val="Normal"/></w:pPr>
<w:r><w:t xml:space="preserve">end.  A second smaller dormitory runs from east to west for</w:t></w:r>
</w:p>
<w:p>
<w:pPr><w:pStyle w:val="Normal"/></w:pPr>
<w:r><w:t xml:space="preserve">the accommodation of the conventual officers, who were bound</w:t></w:r>
</w:p>
<w:p>
<w:pPr><w:pStyle w:val="Normal"/></w:pPr>
<w:r><w:t xml:space="preserve">to sleep in the dormitory.  Close to the refectory, but outside</w:t></w:r>
</w:p>
<w:p>
<w:pPr><w:pStyle w:val="Normal"/></w:pPr>
<w:r><w:t xml:space="preserve">the cloisters, are the domestic offices connected with it:</w:t></w:r>
</w:p>
<w:p>
<w:pPr><w:pStyle w:val="Normal"/></w:pPr>
<w:r><w:t xml:space="preserve">to the north, the kitchen, 47 ft. square, surmounted by a</w:t></w:r>
</w:p>
<w:p>
<w:pPr><w:pStyle w:val="Normal"/></w:pPr>
<w:r><w:t xml:space="preserve">lofty pyramidal roof, and the kitchen court; to the west, the</w:t></w:r>
</w:p>
<w:p>
<w:pPr><w:pStyle w:val="Normal"/></w:pPr>
<w:r><w:t xml:space="preserve">butteries, pantries, &amp;c. The infirmary had a small kitchen of its</w:t></w:r>
</w:p>
<w:p>
<w:pPr><w:pStyle w:val="Normal"/></w:pPr>
<w:r><w:t xml:space="preserve">own.  Opposite the refectory door in the cloister are two</w:t></w:r>
</w:p>
<w:p>
<w:pPr><w:pStyle w:val="Normal"/></w:pPr>
<w:r><w:t xml:space="preserve">lavatories, an invariable adjunct to a monastic dining-hall,</w:t></w:r>
</w:p>
<w:p>
<w:pPr><w:pStyle w:val="Normal"/></w:pPr>
<w:r><w:t xml:space="preserve">at which the monks washed before and after taking food.</w:t></w:r>
</w:p>
<w:p>
<w:pPr><w:pStyle w:val="Normal"/></w:pPr>
<w:r><w:t xml:space="preserve">The buildings devoted to hospitality were divided into three</w:t></w:r>
</w:p>
<w:p>
<w:pPr><w:pStyle w:val="Normal"/></w:pPr>
<w:r><w:t xml:space="preserve">groups.  The prior&apos;s group ``entered at the south-east angle</w:t></w:r>
</w:p>
<w:p>
<w:pPr><w:pStyle w:val="Normal"/></w:pPr>
<w:r><w:t xml:space="preserve">of the green court, placed near the most sacred part of the</w:t></w:r>
</w:p>
<w:p>
<w:pPr><w:pStyle w:val="Normal"/></w:pPr>
<w:r><w:t xml:space="preserve">cathedral, as befitting the distinguished ecclesiastics or</w:t></w:r>
</w:p>
<w:p>
<w:pPr><w:pStyle w:val="Normal"/></w:pPr>
<w:r><w:t xml:space="preserve">nobility who were assigned to him.&apos;&apos; The cellarer&apos;s buildings</w:t></w:r>
</w:p>
<w:p>
<w:pPr><w:pStyle w:val="Normal"/></w:pPr>
<w:r><w:t xml:space="preserve">were near the west end of the nave, in which ordinary visitors</w:t></w:r>
</w:p>
<w:p>
<w:pPr><w:pStyle w:val="Normal"/></w:pPr>
<w:r><w:t xml:space="preserve">of the middle class were hospitably entertained.  The inferior</w:t></w:r>
</w:p>
<w:p>
<w:pPr><w:pStyle w:val="Normal"/></w:pPr>
<w:r><w:t xml:space="preserve">pilgrims and paupers were relegated to the north hall or almonry,</w:t></w:r>
</w:p>
<w:p>
<w:pPr><w:pStyle w:val="Normal"/></w:pPr>
<w:r><w:t xml:space="preserve">just within the gate, as far as possible from the other two.</w:t></w:r>
</w:p>
<w:p>
<w:pPr><w:pStyle w:val="Normal"/></w:pPr>
<w:r><w:t xml:space="preserve">Westminster Abbey.</w:t></w:r>
</w:p>
<w:p>
<w:pPr><w:pStyle w:val="Normal"/></w:pPr>
<w:r><w:t xml:space="preserve">Westminster Abbey is another example of a great Benedictine</w:t></w:r>
</w:p>
<w:p>
<w:pPr><w:pStyle w:val="Normal"/></w:pPr>
<w:r><w:t xml:space="preserve">abbey, identical in its general arrangements, so far as they</w:t></w:r>
</w:p>
<w:p>
<w:pPr><w:pStyle w:val="Normal"/></w:pPr>
<w:r><w:t xml:space="preserve">can be traced, with those described above.  The cloister and</w:t></w:r>
</w:p>
<w:p>
<w:pPr><w:pStyle w:val="Normal"/></w:pPr>
<w:r><w:t xml:space="preserve">, monastic buildings lie to the south side of the church.</w:t></w:r>
</w:p>
<w:p>
<w:pPr><w:pStyle w:val="Normal"/></w:pPr>
<w:r><w:t xml:space="preserve">Parallel to the nave, on the south side of the cloister,</w:t></w:r>
</w:p>
<w:p>
<w:pPr><w:pStyle w:val="Normal"/></w:pPr>
<w:r><w:t xml:space="preserve">was the refectory, with its lavatory at the door.  On the</w:t></w:r>
</w:p>
<w:p>
<w:pPr><w:pStyle w:val="Normal"/></w:pPr>
<w:r><w:t xml:space="preserve">eastern side we find the remains of the dormitory, raised</w:t></w:r>
</w:p>
<w:p>
<w:pPr><w:pStyle w:val="Normal"/></w:pPr>
<w:r><w:t xml:space="preserve">on a vaulted substructure and communicating with the south</w:t></w:r>
</w:p>
<w:p>
<w:pPr><w:pStyle w:val="Normal"/></w:pPr>
<w:r><w:t xml:space="preserve">transept.  The chapter-house opens out of the same alley of the</w:t></w:r>
</w:p>
<w:p>
<w:pPr><w:pStyle w:val="Normal"/></w:pPr>
<w:r><w:t xml:space="preserve">cloister.  The small cloister lles to the south-east of</w:t></w:r>
</w:p>
<w:p>
<w:pPr><w:pStyle w:val="Normal"/></w:pPr>
<w:r><w:t xml:space="preserve">the larger cloister, and still farther to the east we have</w:t></w:r>
</w:p>
<w:p>
<w:pPr><w:pStyle w:val="Normal"/></w:pPr>
<w:r><w:t xml:space="preserve">the remains of the infirmary with the table hall, the</w:t></w:r>
</w:p>
<w:p>
<w:pPr><w:pStyle w:val="Normal"/></w:pPr>
<w:r><w:t xml:space="preserve">refectory of those who were able to leave their chambers.  The</w:t></w:r>
</w:p>
<w:p>
<w:pPr><w:pStyle w:val="Normal"/></w:pPr>
<w:r><w:t xml:space="preserve">abbot&apos;s house formed a small courtyard at the west entrance,</w:t></w:r>
</w:p>
<w:p>
<w:pPr><w:pStyle w:val="Normal"/></w:pPr>
<w:r><w:t xml:space="preserve">close to the inner gateway.  Considerable portions of this</w:t></w:r>
</w:p>
<w:p>
<w:pPr><w:pStyle w:val="Normal"/></w:pPr>
<w:r><w:t xml:space="preserve">remain, including the abbot&apos;s parlour. celebrated as ``the</w:t></w:r>
</w:p>
<w:p>
<w:pPr><w:pStyle w:val="Normal"/></w:pPr>
<w:r><w:t xml:space="preserve">Jerusalem Chamber,&apos;&apos; his hall, now used for the Westminster</w:t></w:r>
</w:p>
<w:p>
<w:pPr><w:pStyle w:val="Normal"/></w:pPr>
<w:r><w:t xml:space="preserve">King&apos;s Scholars, and the kitchen and butteries beyond.</w:t></w:r>
</w:p>
<w:p>
<w:pPr><w:pStyle w:val="Normal"/></w:pPr>
<w:r><w:t xml:space="preserve">York.</w:t></w:r>
</w:p>
<w:p>
<w:pPr><w:pStyle w:val="Normal"/></w:pPr>
<w:r><w:t xml:space="preserve">St Mary&apos;s Abbey, York, of which the ground-plan is annexed,</w:t></w:r>
</w:p>
<w:p>
<w:pPr><w:pStyle w:val="Normal"/></w:pPr>
<w:r><w:t xml:space="preserve">exhibits the usual Benedictine arrangements.  The precincts</w:t></w:r>
</w:p>
<w:p>
<w:pPr><w:pStyle w:val="Normal"/></w:pPr>
<w:r><w:t xml:space="preserve">are surrounded by a strong fortified wall on three sides,</w:t></w:r>
</w:p>
<w:p>
<w:pPr><w:pStyle w:val="Normal"/></w:pPr>
<w:r><w:t xml:space="preserve">the river Ouse being sufficient protection on the fourth</w:t></w:r>
</w:p>
<w:p>
<w:pPr><w:pStyle w:val="Normal"/></w:pPr>
<w:r><w:t xml:space="preserve">side.  The entrance was by a strong gateway (U) to the</w:t></w:r>
</w:p>
<w:p>
<w:pPr><w:pStyle w:val="Normal"/></w:pPr>
<w:r><w:t xml:space="preserve">north.  Close to the entrance was a chapel, where is now</w:t></w:r>
</w:p>
<w:p>
<w:pPr><w:pStyle w:val="Normal"/></w:pPr>
<w:r><w:t xml:space="preserve">the church of St Olaf (W), in which the new-comers paid</w:t></w:r>
</w:p>
<w:p>
<w:pPr><w:pStyle w:val="Normal"/></w:pPr>
<w:r><w:t xml:space="preserve">their devotions immediately on their arrival.  Near the</w:t></w:r>
</w:p>
<w:p>
<w:pPr><w:pStyle w:val="Normal"/></w:pPr>
<w:r><w:t xml:space="preserve">gate to the south was the guest-hall or hospitium (T).</w:t></w:r>
</w:p>
<w:p>
<w:pPr><w:pStyle w:val="Normal"/></w:pPr>
<w:r><w:t xml:space="preserve">The buildings are completely ruined, but enough remains to</w:t></w:r>
</w:p>
<w:p>
<w:pPr><w:pStyle w:val="Normal"/></w:pPr>
<w:r><w:t xml:space="preserve">enable us to identify the grand cruciform church (A), the</w:t></w:r>
</w:p>
<w:p>
<w:pPr><w:pStyle w:val="Normal"/></w:pPr>
<w:r><w:t xml:space="preserve">cloister-court with the chapterhouse (B), the refectory (I),</w:t></w:r>
</w:p>
<w:p>
<w:pPr><w:pStyle w:val="Normal"/></w:pPr>
<w:r><w:t xml:space="preserve">the kitchen-court with its offices (K, O, O) and the other</w:t></w:r>
</w:p>
<w:p>
<w:pPr><w:pStyle w:val="Normal"/></w:pPr>
<w:r><w:t xml:space="preserve">principal apartments.  The infirmary has perished completely.</w:t></w:r>
</w:p>
<w:p>
<w:pPr><w:pStyle w:val="Normal"/></w:pPr>
<w:r><w:t xml:space="preserve">Some Benedictine houses display exceptional arrangements,</w:t></w:r>
</w:p>
<w:p>
<w:pPr><w:pStyle w:val="Normal"/></w:pPr>
<w:r><w:t xml:space="preserve">dependent upon local circumstances, e.g. the dormitory of</w:t></w:r>
</w:p>
<w:p>
<w:pPr><w:pStyle w:val="Normal"/></w:pPr>
<w:r><w:t xml:space="preserve">Worcester runs from east to west, from the west walk of the</w:t></w:r>
</w:p>
<w:p>
<w:pPr><w:pStyle w:val="Normal"/></w:pPr>
<w:r><w:t xml:space="preserve">cloister, and that of Durham is built over the west, instead of</w:t></w:r>
</w:p>
<w:p>
<w:pPr><w:pStyle w:val="Normal"/></w:pPr>
<w:r><w:t xml:space="preserve">FIG. 4</w:t></w:r>
</w:p>
<w:p>
<w:pPr><w:pStyle w:val="Normal"/></w:pPr>
<w:r><w:t xml:space="preserve">St Mary&apos;s Abbey, York (Benedictine).--Churton&apos;s Monnastic Ruins.</w:t></w:r>
</w:p>
<w:p>
<w:pPr><w:pStyle w:val="Normal"/></w:pPr>
<w:r><w:t xml:space="preserve">A. Church.                        O. Offices.</w:t></w:r>
</w:p>
<w:p>
<w:pPr><w:pStyle w:val="Normal"/></w:pPr>
<w:r><w:t xml:space="preserve">B. Chapter-house.                 P. Cellars.</w:t></w:r>
</w:p>
<w:p>
<w:pPr><w:pStyle w:val="Heading1"/></w:pPr>
<w:r><w:t>C. Vestibule to ditto.            Q. Uncertain.</w:t></w:r>
</w:p>
<w:p>
<w:pPr><w:pStyle w:val="Normal"/></w:pPr>
<w:r><w:t xml:space="preserve">E. Library or scriptorium.        R. Passage to abbot&apos;s house.</w:t></w:r>
</w:p>
<w:p>
<w:pPr><w:pStyle w:val="Normal"/></w:pPr>
<w:r><w:t xml:space="preserve">F. Calefactory.                   S. Passage to common house.</w:t></w:r>
</w:p>
<w:p>
<w:pPr><w:pStyle w:val="Normal"/></w:pPr>
<w:r><w:t xml:space="preserve">G. Necessary.                     T. Hospitium.</w:t></w:r>
</w:p>
<w:p>
<w:pPr><w:pStyle w:val="Normal"/></w:pPr>
<w:r><w:t xml:space="preserve">H. Parlour.                       U. Great gate.</w:t></w:r>
</w:p>
<w:p>
<w:pPr><w:pStyle w:val="Heading1"/></w:pPr>
<w:r><w:t>I. Refectory.                     V. Porter&apos;s lodge.</w:t></w:r>
</w:p>
<w:p>
<w:pPr><w:pStyle w:val="Normal"/></w:pPr>
<w:r><w:t xml:space="preserve">K. Great kitchen and court.       W. Church of St Olaf.</w:t></w:r>
</w:p>
<w:p>
<w:pPr><w:pStyle w:val="Heading1"/></w:pPr>
<w:r><w:t>L. Cellarer&apos;s office.             X. Tower.</w:t></w:r>
</w:p>
<w:p>
<w:pPr><w:pStyle w:val="Normal"/></w:pPr>
<w:r><w:t xml:space="preserve">M. Cellars.                       Y. Entrance from Bootham.</w:t></w:r>
</w:p>
<w:p>
<w:pPr><w:pStyle w:val="Normal"/></w:pPr>
<w:r><w:t xml:space="preserve">N. Passage to cloister.</w:t></w:r>
</w:p>
<w:p>
<w:pPr><w:pStyle w:val="Normal"/></w:pPr>
<w:r><w:t xml:space="preserve">as usual, over the east walk; but, as a general rule, the arrangements</w:t></w:r>
</w:p>
<w:p>
<w:pPr><w:pStyle w:val="Normal"/></w:pPr>
<w:r><w:t xml:space="preserve">deduced from the examples described may be regarded as invariable.</w:t></w:r>
</w:p>
<w:p>
<w:pPr><w:pStyle w:val="Normal"/></w:pPr>
<w:r><w:t xml:space="preserve">The history of monasticism is one of alternate periods of</w:t></w:r>
</w:p>
<w:p>
<w:pPr><w:pStyle w:val="Normal"/></w:pPr>
<w:r><w:t xml:space="preserve">decay and revival.  With growth in popular esteem came increase</w:t></w:r>
</w:p>
<w:p>
<w:pPr><w:pStyle w:val="Normal"/></w:pPr>
<w:r><w:t xml:space="preserve">in material wealth, leading to luxury and worldliness.  The</w:t></w:r>
</w:p>
<w:p>
<w:pPr><w:pStyle w:val="Normal"/></w:pPr>
<w:r><w:t xml:space="preserve">first religious ardour cooled, the strictness of the rule was</w:t></w:r>
</w:p>
<w:p>
<w:pPr><w:pStyle w:val="Normal"/></w:pPr>
<w:r><w:t xml:space="preserve">relaxed, until by the 10th century the decay of discipline</w:t></w:r>
</w:p>
<w:p>
<w:pPr><w:pStyle w:val="Normal"/></w:pPr>
<w:r><w:t xml:space="preserve">was so complete in France that the monks are said to have</w:t></w:r>
</w:p>
<w:p>
<w:pPr><w:pStyle w:val="Normal"/></w:pPr>
<w:r><w:t xml:space="preserve">been frequently unacquainted with the rule of St Benedict,</w:t></w:r>
</w:p>
<w:p>
<w:pPr><w:pStyle w:val="Normal"/></w:pPr>
<w:r><w:t xml:space="preserve">and even ignorant that they were bound by any rule at</w:t></w:r>
</w:p>
<w:p>
<w:pPr><w:pStyle w:val="Normal"/></w:pPr>
<w:r><w:t xml:space="preserve">all.  The reformation of abuses generally took the form of</w:t></w:r>
</w:p>
<w:p>
<w:pPr><w:pStyle w:val="Normal"/></w:pPr>
<w:r><w:t xml:space="preserve">the establishment of new monastic orders, with new and more</w:t></w:r>
</w:p>
<w:p>
<w:pPr><w:pStyle w:val="Normal"/></w:pPr>
<w:r><w:t xml:space="preserve">stringent rules, requiring a modification of the architectural</w:t></w:r>
</w:p>
<w:p>
<w:pPr><w:pStyle w:val="Normal"/></w:pPr>
<w:r><w:t xml:space="preserve">arrangements.  One of the earliest of these reformed orders</w:t></w:r>
</w:p>
<w:p>
<w:pPr><w:pStyle w:val="Normal"/></w:pPr>
<w:r><w:t xml:space="preserve">was the Cluniac. This order took its name from,the little</w:t></w:r>
</w:p>
<w:p>
<w:pPr><w:pStyle w:val="Normal"/></w:pPr>
<w:r><w:t xml:space="preserve">village of Cluny, 12 miles N.W. of Macon, near which, about</w:t></w:r>
</w:p>
<w:p>
<w:pPr><w:pStyle w:val="Normal"/></w:pPr>
<w:r><w:t xml:space="preserve">A.D. 909, a reformed Benedictine abbey was founded by William,</w:t></w:r>
</w:p>
<w:p>
<w:pPr><w:pStyle w:val="Normal"/></w:pPr>
<w:r><w:t xml:space="preserve">duke of Aquitaine and count of Auvergne, under Berno, abbot of</w:t></w:r>
</w:p>
<w:p>
<w:pPr><w:pStyle w:val="Normal"/></w:pPr>
<w:r><w:t xml:space="preserve">Beaume.  He was succeeded by Odo, who is often regarded as</w:t></w:r>
</w:p>
<w:p>
<w:pPr><w:pStyle w:val="Normal"/></w:pPr>
<w:r><w:t xml:space="preserve">the founder of the order.  The fame of Cluny spread far and</w:t></w:r>
</w:p>
<w:p>
<w:pPr><w:pStyle w:val="Normal"/></w:pPr>
<w:r><w:t xml:space="preserve">wide.  Its rigid rule was adopted by a vast number of the</w:t></w:r>
</w:p>
<w:p>
<w:pPr><w:pStyle w:val="Normal"/></w:pPr>
<w:r><w:t xml:space="preserve">old Benedictine abbeys, who placed themselves in affiliation</w:t></w:r>
</w:p>
<w:p>
<w:pPr><w:pStyle w:val="Normal"/></w:pPr>
<w:r><w:t xml:space="preserve">to the mother society, while new foundations sprang up in</w:t></w:r>
</w:p>
<w:p>
<w:pPr><w:pStyle w:val="Normal"/></w:pPr>
<w:r><w:t xml:space="preserve">large numbers, all owing allegiance to the ``archabbot,&apos;&apos;</w:t></w:r>
</w:p>
<w:p>
<w:pPr><w:pStyle w:val="Normal"/></w:pPr>
<w:r><w:t xml:space="preserve">established at Cluny.  By the end of the 12th century the</w:t></w:r>
</w:p>
<w:p>
<w:pPr><w:pStyle w:val="Normal"/></w:pPr>
<w:r><w:t xml:space="preserve">number of monasteries affiliated to Cluny in the various</w:t></w:r>
</w:p>
<w:p>
<w:pPr><w:pStyle w:val="Normal"/></w:pPr>
<w:r><w:t xml:space="preserve">countries of western Europe amounted to 2000.  The monastic</w:t></w:r>
</w:p>
<w:p>
<w:pPr><w:pStyle w:val="Normal"/></w:pPr>
<w:r><w:t xml:space="preserve">establishment of Cluny was one of the most extensive</w:t></w:r>
</w:p>
<w:p>
<w:pPr><w:pStyle w:val="Normal"/></w:pPr>
<w:r><w:t xml:space="preserve">and magnificent in France.  We may form some idea of its</w:t></w:r>
</w:p>
<w:p>
<w:pPr><w:pStyle w:val="Normal"/></w:pPr>
<w:r><w:t xml:space="preserve">enormous dimensions from the fact recorded, that when, A.D.</w:t></w:r>
</w:p>
<w:p>
<w:pPr><w:pStyle w:val="Normal"/></w:pPr>
<w:r><w:t xml:space="preserve">1245, Pope Innocent IV., accompanied by twelve cardinals,</w:t></w:r>
</w:p>
<w:p>
<w:pPr><w:pStyle w:val="Normal"/></w:pPr>
<w:r><w:t xml:space="preserve">FIG. 5--Abbey of Cluny, from</w:t></w:r>
</w:p>
<w:p>
<w:pPr><w:pStyle w:val="Normal"/></w:pPr>
<w:r><w:t xml:space="preserve">A. Gateway.        F. Tomb of St Hugh.  M. Bakehouse.</w:t></w:r>
</w:p>
<w:p>
<w:pPr><w:pStyle w:val="Normal"/></w:pPr>
<w:r><w:t xml:space="preserve">B. Narthex.        G. Nave.             N. Abbey buildings.</w:t></w:r>
</w:p>
<w:p>
<w:pPr><w:pStyle w:val="Heading1"/></w:pPr>
<w:r><w:t>C. Choir.          H. Cloister.         O. Garden.</w:t></w:r>
</w:p>
<w:p>
<w:pPr><w:pStyle w:val="Normal"/></w:pPr>
<w:r><w:t xml:space="preserve">D. High-altar.     K. Abbot&apos;s house.    P. Refectory.</w:t></w:r>
</w:p>
<w:p>
<w:pPr><w:pStyle w:val="Normal"/></w:pPr>
<w:r><w:t xml:space="preserve">E. Retro-altar.    L. Guest-house.</w:t></w:r>
</w:p>
<w:p>
<w:pPr><w:pStyle w:val="Normal"/></w:pPr>
<w:r><w:t xml:space="preserve">a patriarch, three archbishops, the two generals of the</w:t></w:r>
</w:p>
<w:p>
<w:pPr><w:pStyle w:val="Normal"/></w:pPr>
<w:r><w:t xml:space="preserve">Carthusians and Cistercians, the king (St Louis), and three</w:t></w:r>
</w:p>
<w:p>
<w:pPr><w:pStyle w:val="Normal"/></w:pPr>
<w:r><w:t xml:space="preserve">of his sons, the queen mother, Baldwin, count of Flanders</w:t></w:r>
</w:p>
<w:p>
<w:pPr><w:pStyle w:val="Normal"/></w:pPr>
<w:r><w:t xml:space="preserve">and emperor of Constantinople, the duke of Burgundy, and</w:t></w:r>
</w:p>
<w:p>
<w:pPr><w:pStyle w:val="Normal"/></w:pPr>
<w:r><w:t xml:space="preserve">six lords, visited the abbey, the whole party, with their</w:t></w:r>
</w:p>
<w:p>
<w:pPr><w:pStyle w:val="Normal"/></w:pPr>
<w:r><w:t xml:space="preserve">attendants, were lodged withn the monastery without disarranging</w:t></w:r>
</w:p>
<w:p>
<w:pPr><w:pStyle w:val="Normal"/></w:pPr>
<w:r><w:t xml:space="preserve">the monks, 400 in number.  Nearly the whole of the abbey</w:t></w:r>
</w:p>
<w:p>
<w:pPr><w:pStyle w:val="Normal"/></w:pPr>
<w:r><w:t xml:space="preserve">buildings, including the magnificent church, were swept away</w:t></w:r>
</w:p>
<w:p>
<w:pPr><w:pStyle w:val="Normal"/></w:pPr>
<w:r><w:t xml:space="preserve">at the close of the 18th century.  When the annexed ground-plan</w:t></w:r>
</w:p>
<w:p>
<w:pPr><w:pStyle w:val="Normal"/></w:pPr>
<w:r><w:t xml:space="preserve">was taken, shortly before its destruction, nearly all the</w:t></w:r>
</w:p>
<w:p>
<w:pPr><w:pStyle w:val="Normal"/></w:pPr>
<w:r><w:t xml:space="preserve">monastery, with the exception of the church, had been rebuilt.</w:t></w:r>
</w:p>
<w:p>
<w:pPr><w:pStyle w:val="Normal"/></w:pPr>
<w:r><w:t xml:space="preserve">The church, the ground-plan of which bears a remarkable</w:t></w:r>
</w:p>
<w:p>
<w:pPr><w:pStyle w:val="Normal"/></w:pPr>
<w:r><w:t xml:space="preserve">resemblance to that of Lincoln Cathedral, was of vast</w:t></w:r>
</w:p>
<w:p>
<w:pPr><w:pStyle w:val="Normal"/></w:pPr>
<w:r><w:t xml:space="preserve">dimensions.  It was 656 ft. high.  The nave (G) had double</w:t></w:r>
</w:p>
<w:p>
<w:pPr><w:pStyle w:val="Normal"/></w:pPr>
<w:r><w:t xml:space="preserve">vaulted aisles on either side.  Like Lincoln, it had an</w:t></w:r>
</w:p>
<w:p>
<w:pPr><w:pStyle w:val="Normal"/></w:pPr>
<w:r><w:t xml:space="preserve">eastern as well as a western transept, each furnished with</w:t></w:r>
</w:p>
<w:p>
<w:pPr><w:pStyle w:val="Normal"/></w:pPr>
<w:r><w:t xml:space="preserve">apsidal chapels to the east.  The western transept was 213</w:t></w:r>
</w:p>
<w:p>
<w:pPr><w:pStyle w:val="Normal"/></w:pPr>
<w:r><w:t xml:space="preserve">ft. long, and the eastern 123 ft.  The choir terminated in</w:t></w:r>
</w:p>
<w:p>
<w:pPr><w:pStyle w:val="Normal"/></w:pPr>
<w:r><w:t xml:space="preserve">a semicircular apse (F), surrounded by five chapels, also</w:t></w:r>
</w:p>
<w:p>
<w:pPr><w:pStyle w:val="Normal"/></w:pPr>
<w:r><w:t xml:space="preserve">semicircular.  The western entrance was approached by an</w:t></w:r>
</w:p>
<w:p>
<w:pPr><w:pStyle w:val="Normal"/></w:pPr>
<w:r><w:t xml:space="preserve">ante-church, or narthex (B), itself an aisled church of</w:t></w:r>
</w:p>
<w:p>
<w:pPr><w:pStyle w:val="Normal"/></w:pPr>
<w:r><w:t xml:space="preserve">no mean dimensions, flanked by two towers, rising from a</w:t></w:r>
</w:p>
<w:p>
<w:pPr><w:pStyle w:val="Normal"/></w:pPr>
<w:r><w:t xml:space="preserve">stately flight of steps bearing a large stone cross.  To the</w:t></w:r>
</w:p>
<w:p>
<w:pPr><w:pStyle w:val="Normal"/></w:pPr>
<w:r><w:t xml:space="preserve">south of the church lay the cloister-court (H), of immense</w:t></w:r>
</w:p>
<w:p>
<w:pPr><w:pStyle w:val="Normal"/></w:pPr>
<w:r><w:t xml:space="preserve">size, placed much farther to the west than is usually the</w:t></w:r>
</w:p>
<w:p>
<w:pPr><w:pStyle w:val="Normal"/></w:pPr>
<w:r><w:t xml:space="preserve">case.  On the south side of the cloister stood the refectory</w:t></w:r>
</w:p>
<w:p>
<w:pPr><w:pStyle w:val="Normal"/></w:pPr>
<w:r><w:t xml:space="preserve">(P), an immense building, 100 ft. long and 60 ft. wide,</w:t></w:r>
</w:p>
<w:p>
<w:pPr><w:pStyle w:val="Normal"/></w:pPr>
<w:r><w:t xml:space="preserve">accommodating six longitudinal and three transverse rows of</w:t></w:r>
</w:p>
<w:p>
<w:pPr><w:pStyle w:val="Normal"/></w:pPr>
<w:r><w:t xml:space="preserve">tables.  It was adorned with the portraits of the chief</w:t></w:r>
</w:p>
<w:p>
<w:pPr><w:pStyle w:val="Normal"/></w:pPr>
<w:r><w:t xml:space="preserve">benefactors of the abbey, and with Scriptural subjects.  The</w:t></w:r>
</w:p>
<w:p>
<w:pPr><w:pStyle w:val="Normal"/></w:pPr>
<w:r><w:t xml:space="preserve">end wall displayed the Last Judgment.  We are unhappily unable</w:t></w:r>
</w:p>
<w:p>
<w:pPr><w:pStyle w:val="Normal"/></w:pPr>
<w:r><w:t xml:space="preserve">to identify any other of the principal buildings (N). The</w:t></w:r>
</w:p>
<w:p>
<w:pPr><w:pStyle w:val="Normal"/></w:pPr>
<w:r><w:t xml:space="preserve">abbot&apos;s residence (K), still partly standing, adjoined the</w:t></w:r>
</w:p>
<w:p>
<w:pPr><w:pStyle w:val="Normal"/></w:pPr>
<w:r><w:t xml:space="preserve">entrance-gate.  The guest-house (L) was close by.  The bakehouse</w:t></w:r>
</w:p>
<w:p>
<w:pPr><w:pStyle w:val="Normal"/></w:pPr>
<w:r><w:t xml:space="preserve">(M), also remaining, is a detached building of immense size.</w:t></w:r>
</w:p>
<w:p>
<w:pPr><w:pStyle w:val="Normal"/></w:pPr>
<w:r><w:t xml:space="preserve">English Cluniac</w:t></w:r>
</w:p>
<w:p>
<w:pPr><w:pStyle w:val="Normal"/></w:pPr>
<w:r><w:t xml:space="preserve">The first English house of the Cluniac order was that of</w:t></w:r>
</w:p>
<w:p>
<w:pPr><w:pStyle w:val="Normal"/></w:pPr>
<w:r><w:t xml:space="preserve">Lewes, founded by the earl of Warren, c. A.D. 1077.  Of</w:t></w:r>
</w:p>
<w:p>
<w:pPr><w:pStyle w:val="Normal"/></w:pPr>
<w:r><w:t xml:space="preserve">this only a few fragments of the domestic buildings exist.</w:t></w:r>
</w:p>
<w:p>
<w:pPr><w:pStyle w:val="Normal"/></w:pPr>
<w:r><w:t xml:space="preserve">The best preserved Cluniac houses in England are Castle Acre,</w:t></w:r>
</w:p>
<w:p>
<w:pPr><w:pStyle w:val="Normal"/></w:pPr>
<w:r><w:t xml:space="preserve">Norfolk, and Wenlock, Shropshire.  Ground-plans of both are</w:t></w:r>
</w:p>
<w:p>
<w:pPr><w:pStyle w:val="Normal"/></w:pPr>
<w:r><w:t xml:space="preserve">given in Britton&apos;s Architectural Antiquities. They show</w:t></w:r>
</w:p>
<w:p>
<w:pPr><w:pStyle w:val="Normal"/></w:pPr>
<w:r><w:t xml:space="preserve">several departures from the Benedictine arrangement.  In</w:t></w:r>
</w:p>
<w:p>
<w:pPr><w:pStyle w:val="Normal"/></w:pPr>
<w:r><w:t xml:space="preserve">each the prior&apos;s house is remarkably perfect.  All Cluniac</w:t></w:r>
</w:p>
<w:p>
<w:pPr><w:pStyle w:val="Normal"/></w:pPr>
<w:r><w:t xml:space="preserve">houses in England were French colonies, governed by priors</w:t></w:r>
</w:p>
<w:p>
<w:pPr><w:pStyle w:val="Normal"/></w:pPr>
<w:r><w:t xml:space="preserve">of that nation.  They did not secure their independence nor</w:t></w:r>
</w:p>
<w:p>
<w:pPr><w:pStyle w:val="Normal"/></w:pPr>
<w:r><w:t xml:space="preserve">become ``abbeys&apos;&apos; till the reign of Henry VI. The Cluniac</w:t></w:r>
</w:p>
<w:p>
<w:pPr><w:pStyle w:val="Normal"/></w:pPr>
<w:r><w:t xml:space="preserve">revival, with all its brilliancy, was but short-lived.</w:t></w:r>
</w:p>
<w:p>
<w:pPr><w:pStyle w:val="Normal"/></w:pPr>
<w:r><w:t xml:space="preserve">The celebrity of this, as of other orders, worked its moral</w:t></w:r>
</w:p>
<w:p>
<w:pPr><w:pStyle w:val="Normal"/></w:pPr>
<w:r><w:t xml:space="preserve">ruin.  With their growth in wealth and dignity the Cluniac</w:t></w:r>
</w:p>
<w:p>
<w:pPr><w:pStyle w:val="Normal"/></w:pPr>
<w:r><w:t xml:space="preserve">foundations became as worldly in life and as relaxed in</w:t></w:r>
</w:p>
<w:p>
<w:pPr><w:pStyle w:val="Normal"/></w:pPr>
<w:r><w:t xml:space="preserve">discipline as their predecessors, and a fresh reform was needed.</w:t></w:r>
</w:p>
<w:p>
<w:pPr><w:pStyle w:val="Normal"/></w:pPr>
<w:r><w:t xml:space="preserve">Cistercian</w:t></w:r>
</w:p>
<w:p>
<w:pPr><w:pStyle w:val="Normal"/></w:pPr>
<w:r><w:t xml:space="preserve">The next great monastic revival, the Cistercian, arising in</w:t></w:r>
</w:p>
<w:p>
<w:pPr><w:pStyle w:val="Normal"/></w:pPr>
<w:r><w:t xml:space="preserve">the last years of the 11th century, had a wider diffusion,</w:t></w:r>
</w:p>
<w:p>
<w:pPr><w:pStyle w:val="Normal"/></w:pPr>
<w:r><w:t xml:space="preserve">and a longer and more honourable existence.  Owing its real</w:t></w:r>
</w:p>
<w:p>
<w:pPr><w:pStyle w:val="Normal"/></w:pPr>
<w:r><w:t xml:space="preserve">origin, as a distinct foundation of reformed Benedictines, in</w:t></w:r>
</w:p>
<w:p>
<w:pPr><w:pStyle w:val="Normal"/></w:pPr>
<w:r><w:t xml:space="preserve">the year 1098, to Stephen Harding (a native of Dorsetshire,</w:t></w:r>
</w:p>
<w:p>
<w:pPr><w:pStyle w:val="Normal"/></w:pPr>
<w:r><w:t xml:space="preserve">educated in the monastery of Sherborne), and deriving its</w:t></w:r>
</w:p>
<w:p>
<w:pPr><w:pStyle w:val="Normal"/></w:pPr>
<w:r><w:t xml:space="preserve">name from Citeaux (Cistercium), a desolate and almost</w:t></w:r>
</w:p>
<w:p>
<w:pPr><w:pStyle w:val="Normal"/></w:pPr>
<w:r><w:t xml:space="preserve">inaccessible forest solitude, on the borders of Champagne and</w:t></w:r>
</w:p>
<w:p>
<w:pPr><w:pStyle w:val="Normal"/></w:pPr>
<w:r><w:t xml:space="preserve">Burgundy, the rapid growth and wide celebrity of the order</w:t></w:r>
</w:p>
<w:p>
<w:pPr><w:pStyle w:val="Normal"/></w:pPr>
<w:r><w:t xml:space="preserve">are undoubtedly to be attributed to the enthusiastic piety</w:t></w:r>
</w:p>
<w:p>
<w:pPr><w:pStyle w:val="Normal"/></w:pPr>
<w:r><w:t xml:space="preserve">of St Bernard, abbot of the first of the monastic colonies,</w:t></w:r>
</w:p>
<w:p>
<w:pPr><w:pStyle w:val="Normal"/></w:pPr>
<w:r><w:t xml:space="preserve">subsequently sent forth in such quick succession by the</w:t></w:r>
</w:p>
<w:p>
<w:pPr><w:pStyle w:val="Normal"/></w:pPr>
<w:r><w:t xml:space="preserve">first Cistercian houses, the far-famed abbey of Clairvaux</w:t></w:r>
</w:p>
<w:p>
<w:pPr><w:pStyle w:val="Normal"/></w:pPr>
<w:r><w:t xml:space="preserve">(de Clara Valle), A.D. 1116.  The rigid self-abnegation,</w:t></w:r>
</w:p>
<w:p>
<w:pPr><w:pStyle w:val="Normal"/></w:pPr>
<w:r><w:t xml:space="preserve">which was the ruling principle of this reformed congregation</w:t></w:r>
</w:p>
<w:p>
<w:pPr><w:pStyle w:val="Normal"/></w:pPr>
<w:r><w:t xml:space="preserve">of the Benedictine order, extended itself to the churches and</w:t></w:r>
</w:p>
<w:p>
<w:pPr><w:pStyle w:val="Normal"/></w:pPr>
<w:r><w:t xml:space="preserve">other buildings erected by them.  The characteristic of the</w:t></w:r>
</w:p>
<w:p>
<w:pPr><w:pStyle w:val="Normal"/></w:pPr>
<w:r><w:t xml:space="preserve">Cistercian abbeys was the extremest simplicity and a studied</w:t></w:r>
</w:p>
<w:p>
<w:pPr><w:pStyle w:val="Normal"/></w:pPr>
<w:r><w:t xml:space="preserve">plainness.  Only one tower--a central one --was permitted, and</w:t></w:r>
</w:p>
<w:p>
<w:pPr><w:pStyle w:val="Normal"/></w:pPr>
<w:r><w:t xml:space="preserve">that was to be very low.  Unnecessary pinnacles and turrets</w:t></w:r>
</w:p>
<w:p>
<w:pPr><w:pStyle w:val="Normal"/></w:pPr>
<w:r><w:t xml:space="preserve">were prohibited.  The triforium was omitted.  The windows</w:t></w:r>
</w:p>
<w:p>
<w:pPr><w:pStyle w:val="Normal"/></w:pPr>
<w:r><w:t xml:space="preserve">were to be plain and undivided, and it was forbidden to</w:t></w:r>
</w:p>
<w:p>
<w:pPr><w:pStyle w:val="Normal"/></w:pPr>
<w:r><w:t xml:space="preserve">decorate them with stained glass.  All needless ornament was</w:t></w:r>
</w:p>
<w:p>
<w:pPr><w:pStyle w:val="Normal"/></w:pPr>
<w:r><w:t xml:space="preserve">proscribed.  The crosses must be of wood; the candlesticks of</w:t></w:r>
</w:p>
<w:p>
<w:pPr><w:pStyle w:val="Normal"/></w:pPr>
<w:r><w:t xml:space="preserve">iron.  The renunciation of the world was to be evidenced</w:t></w:r>
</w:p>
<w:p>
<w:pPr><w:pStyle w:val="Normal"/></w:pPr>
<w:r><w:t xml:space="preserve">in all that met the eye.  The same spirit manifested itself</w:t></w:r>
</w:p>
<w:p>
<w:pPr><w:pStyle w:val="Normal"/></w:pPr>
<w:r><w:t xml:space="preserve">in the choice of the sites of their monasteries.  The more</w:t></w:r>
</w:p>
<w:p>
<w:pPr><w:pStyle w:val="Normal"/></w:pPr>
<w:r><w:t xml:space="preserve">dismal, the more savage, the more hopeless a spot appeared,</w:t></w:r>
</w:p>
<w:p>
<w:pPr><w:pStyle w:val="Normal"/></w:pPr>
<w:r><w:t xml:space="preserve">the more did it please their rigid mood.  But they came</w:t></w:r>
</w:p>
<w:p>
<w:pPr><w:pStyle w:val="Normal"/></w:pPr>
<w:r><w:t xml:space="preserve">not merely as ascetics, but as improvers.  The Cistercian</w:t></w:r>
</w:p>
<w:p>
<w:pPr><w:pStyle w:val="Normal"/></w:pPr>
<w:r><w:t xml:space="preserve">monasteries are, as a rule, found placed in deep well-watered</w:t></w:r>
</w:p>
<w:p>
<w:pPr><w:pStyle w:val="Normal"/></w:pPr>
<w:r><w:t xml:space="preserve">valleys.  They always stand on the border of a stream; not</w:t></w:r>
</w:p>
<w:p>
<w:pPr><w:pStyle w:val="Normal"/></w:pPr>
<w:r><w:t xml:space="preserve">rarely, as at Fountains, the buildings extend over it.  These</w:t></w:r>
</w:p>
<w:p>
<w:pPr><w:pStyle w:val="Normal"/></w:pPr>
<w:r><w:t xml:space="preserve">valleys, now so rich and productive, wore a very different</w:t></w:r>
</w:p>
<w:p>
<w:pPr><w:pStyle w:val="Normal"/></w:pPr>
<w:r><w:t xml:space="preserve">aspect when the brethren first chose them as the place of their</w:t></w:r>
</w:p>
<w:p>
<w:pPr><w:pStyle w:val="Normal"/></w:pPr>
<w:r><w:t xml:space="preserve">retirement.  Wide swamps, deep morasses, tangled thickets,</w:t></w:r>
</w:p>
<w:p>
<w:pPr><w:pStyle w:val="Normal"/></w:pPr>
<w:r><w:t xml:space="preserve">wild impassable forests, were their prevailing features.  The</w:t></w:r>
</w:p>
<w:p>
<w:pPr><w:pStyle w:val="Normal"/></w:pPr>
<w:r><w:t xml:space="preserve">``bright valley,&apos;&apos; Clara Vallis of St Bernard, was known</w:t></w:r>
</w:p>
<w:p>
<w:pPr><w:pStyle w:val="Normal"/></w:pPr>
<w:r><w:t xml:space="preserve">as the ``valley of Wormwood,&apos;&apos; infamous as a den of robbers.</w:t></w:r>
</w:p>
<w:p>
<w:pPr><w:pStyle w:val="Normal"/></w:pPr>
<w:r><w:t xml:space="preserve">``It was a savage dreary solitude, so utterly barren that</w:t></w:r>
</w:p>
<w:p>
<w:pPr><w:pStyle w:val="Normal"/></w:pPr>
<w:r><w:t xml:space="preserve">at first Bernard and his companions were reduced to live on</w:t></w:r>
</w:p>
<w:p>
<w:pPr><w:pStyle w:val="Normal"/></w:pPr>
<w:r><w:t xml:space="preserve">beech leaves.&apos;&apos;-(Milman&apos;s Lat. Christ. vol. iii. p. 335.)</w:t></w:r>
</w:p>
<w:p>
<w:pPr><w:pStyle w:val="Normal"/></w:pPr>
<w:r><w:t xml:space="preserve">Clairvaux</w:t></w:r>
</w:p>
<w:p>
<w:pPr><w:pStyle w:val="Normal"/></w:pPr>
<w:r><w:t xml:space="preserve">All Cistercian monasteries, unless the circumstances of the</w:t></w:r>
</w:p>
<w:p>
<w:pPr><w:pStyle w:val="Normal"/></w:pPr>
<w:r><w:t xml:space="preserve">locality forbade it, were arranged according to one plan.  The</w:t></w:r>
</w:p>
<w:p>
<w:pPr><w:pStyle w:val="Normal"/></w:pPr>
<w:r><w:t xml:space="preserve">general arrangement and distribution of the various</w:t></w:r>
</w:p>
<w:p>
<w:pPr><w:pStyle w:val="Normal"/></w:pPr>
<w:r><w:t xml:space="preserve">buildings, which went to make up one of these vast</w:t></w:r>
</w:p>
<w:p>
<w:pPr><w:pStyle w:val="Normal"/></w:pPr>
<w:r><w:t xml:space="preserve">establishments, may be gathered from that of St Bernard&apos;s own</w:t></w:r>
</w:p>
<w:p>
<w:pPr><w:pStyle w:val="Normal"/></w:pPr>
<w:r><w:t xml:space="preserve">abbey of Clairvaux, which is here given.  It will be observed</w:t></w:r>
</w:p>
<w:p>
<w:pPr><w:pStyle w:val="Normal"/></w:pPr>
<w:r><w:t xml:space="preserve">that the abbey precincts are surrounded by a strong wall,</w:t></w:r>
</w:p>
<w:p>
<w:pPr><w:pStyle w:val="Normal"/></w:pPr>
<w:r><w:t xml:space="preserve">furnished at intervals with watch-towers and other defensive</w:t></w:r>
</w:p>
<w:p>
<w:pPr><w:pStyle w:val="Normal"/></w:pPr>
<w:r><w:t xml:space="preserve">works.  The wall is nearly encircled by a stream of water,</w:t></w:r>
</w:p>
<w:p>
<w:pPr><w:pStyle w:val="Normal"/></w:pPr>
<w:r><w:t xml:space="preserve">artificially diverted from the small rivulets which flow</w:t></w:r>
</w:p>
<w:p>
<w:pPr><w:pStyle w:val="Normal"/></w:pPr>
<w:r><w:t xml:space="preserve">through the precincts, furnishing the establishment with</w:t></w:r>
</w:p>
<w:p>
<w:pPr><w:pStyle w:val="Normal"/></w:pPr>
<w:r><w:t xml:space="preserve">an abundant supply in every part, for the litigation of</w:t></w:r>
</w:p>
<w:p>
<w:pPr><w:pStyle w:val="Normal"/></w:pPr>
<w:r><w:t xml:space="preserve">the gardens and orchards, the sanitary requirements of the</w:t></w:r>
</w:p>
<w:p>
<w:pPr><w:pStyle w:val="Normal"/></w:pPr>
<w:r><w:t xml:space="preserve">brotherhood and for the use of the offices and workshops.</w:t></w:r>
</w:p>
<w:p>
<w:pPr><w:pStyle w:val="Normal"/></w:pPr>
<w:r><w:t xml:space="preserve">The precincts are divided across the centre by a wall,</w:t></w:r>
</w:p>
<w:p>
<w:pPr><w:pStyle w:val="Normal"/></w:pPr>
<w:r><w:t xml:space="preserve">running from N. to S., into an outer and inner ward,--the</w:t></w:r>
</w:p>
<w:p>
<w:pPr><w:pStyle w:val="Normal"/></w:pPr>
<w:r><w:t xml:space="preserve">former containing the menial, the latter the monastic</w:t></w:r>
</w:p>
<w:p>
<w:pPr><w:pStyle w:val="Normal"/></w:pPr>
<w:r><w:t xml:space="preserve">buildings.  The precincts are entered by a gateway (P), at</w:t></w:r>
</w:p>
<w:p>
<w:pPr><w:pStyle w:val="Normal"/></w:pPr>
<w:r><w:t xml:space="preserve">the extreme western extremity, giving admission to the lower</w:t></w:r>
</w:p>
<w:p>
<w:pPr><w:pStyle w:val="Normal"/></w:pPr>
<w:r><w:t xml:space="preserve">ward.  Here the barns, granaries, stables, shambles, workshops</w:t></w:r>
</w:p>
<w:p>
<w:pPr><w:pStyle w:val="Normal"/></w:pPr>
<w:r><w:t xml:space="preserve">and workmen,s lodgings were placed, without any regard to</w:t></w:r>
</w:p>
<w:p>
<w:pPr><w:pStyle w:val="Normal"/></w:pPr>
<w:r><w:t xml:space="preserve">symmetry, convenience being the only consideration.  Advancing</w:t></w:r>
</w:p>
<w:p>
<w:pPr><w:pStyle w:val="Normal"/></w:pPr>
<w:r><w:t xml:space="preserve">eastwards, we have before us the wall separating the</w:t></w:r>
</w:p>
<w:p>
<w:pPr><w:pStyle w:val="Normal"/></w:pPr>
<w:r><w:t xml:space="preserve">FIG. 6.--.Clairvaux, No. 1 (Cistercian), General</w:t></w:r>
</w:p>
<w:p>
<w:pPr><w:pStyle w:val="Normal"/></w:pPr>
<w:r><w:t xml:space="preserve">A. Cloisters.         I. Wine-press and       O. Public presse.</w:t></w:r>
</w:p>
<w:p>
<w:pPr><w:pStyle w:val="Normal"/></w:pPr>
<w:r><w:t xml:space="preserve">B. Ovens, and corn          hay-chamber       P. Gateway.</w:t></w:r>
</w:p>
<w:p>
<w:pPr><w:pStyle w:val="Normal"/></w:pPr>
<w:r><w:t xml:space="preserve">oil-mills        K. Parlour              R. Remains of old monastery</w:t></w:r>
</w:p>
<w:p>
<w:pPr><w:pStyle w:val="Heading1"/></w:pPr>
<w:r><w:t>C. St Bernard&apos;s cell. L. Workshops and.</w:t></w:r>
</w:p>
<w:p>
<w:pPr><w:pStyle w:val="Normal"/></w:pPr>
<w:r><w:t xml:space="preserve">D. Chief entrance.         workmen&apos;s lodgings S. Oratory.</w:t></w:r>
</w:p>
<w:p>
<w:pPr><w:pStyle w:val="Normal"/></w:pPr>
<w:r><w:t xml:space="preserve">E. Tanks for fish.                            V. Tile-works.</w:t></w:r>
</w:p>
<w:p>
<w:pPr><w:pStyle w:val="Normal"/></w:pPr>
<w:r><w:t xml:space="preserve">F. Guest-house.       M. Slaughter-house.     X. Tile-kiln.</w:t></w:r>
</w:p>
<w:p>
<w:pPr><w:pStyle w:val="Normal"/></w:pPr>
<w:r><w:t xml:space="preserve">G. Abbot&apos;s house.     N. Barns and stables.   V. Water-courses.</w:t></w:r>
</w:p>
<w:p>
<w:pPr><w:pStyle w:val="Normal"/></w:pPr>
<w:r><w:t xml:space="preserve">H. Stables.</w:t></w:r>
</w:p>
<w:p>
<w:pPr><w:pStyle w:val="Normal"/></w:pPr>
<w:r><w:t xml:space="preserve">outer and inner ward, and the gatehouse (D) affording communication</w:t></w:r>
</w:p>
<w:p>
<w:pPr><w:pStyle w:val="Normal"/></w:pPr>
<w:r><w:t xml:space="preserve">between the two.  On passing through the gateway, the outer</w:t></w:r>
</w:p>
<w:p>
<w:pPr><w:pStyle w:val="Normal"/></w:pPr>
<w:r><w:t xml:space="preserve">court of the inner ward was entered, with the western facade</w:t></w:r>
</w:p>
<w:p>
<w:pPr><w:pStyle w:val="Normal"/></w:pPr>
<w:r><w:t xml:space="preserve">of the monastic church in front.  Immediately on the right</w:t></w:r>
</w:p>
<w:p>
<w:pPr><w:pStyle w:val="Normal"/></w:pPr>
<w:r><w:t xml:space="preserve">of entrance was the abbot&apos;s house (G), in close proximity to</w:t></w:r>
</w:p>
<w:p>
<w:pPr><w:pStyle w:val="Normal"/></w:pPr>
<w:r><w:t xml:space="preserve">the guest-house (F). On the other side of the court were the</w:t></w:r>
</w:p>
<w:p>
<w:pPr><w:pStyle w:val="Normal"/></w:pPr>
<w:r><w:t xml:space="preserve">stables, for the accommodation of the horses of the guests</w:t></w:r>
</w:p>
<w:p>
<w:pPr><w:pStyle w:val="Normal"/></w:pPr>
<w:r><w:t xml:space="preserve">and their attendants (H). The church occupied a central</w:t></w:r>
</w:p>
<w:p>
<w:pPr><w:pStyle w:val="Normal"/></w:pPr>
<w:r><w:t xml:space="preserve">position.  To the south was the great cloister (A),</w:t></w:r>
</w:p>
<w:p>
<w:pPr><w:pStyle w:val="Normal"/></w:pPr>
<w:r><w:t xml:space="preserve">surrounded by the chief monastic buildings, and farther to</w:t></w:r>
</w:p>
<w:p>
<w:pPr><w:pStyle w:val="Normal"/></w:pPr>
<w:r><w:t xml:space="preserve">the east the smaller cloister, opening out of which were</w:t></w:r>
</w:p>
<w:p>
<w:pPr><w:pStyle w:val="Normal"/></w:pPr>
<w:r><w:t xml:space="preserve">the infirmary, novices&apos; lodgings and quarters for the aged</w:t></w:r>
</w:p>
<w:p>
<w:pPr><w:pStyle w:val="Normal"/></w:pPr>
<w:r><w:t xml:space="preserve">monks.  Still farther to the east, divided from the monastic</w:t></w:r>
</w:p>
<w:p>
<w:pPr><w:pStyle w:val="Normal"/></w:pPr>
<w:r><w:t xml:space="preserve">buildings by a wall, were the vegetable gardens and orchards,</w:t></w:r>
</w:p>
<w:p>
<w:pPr><w:pStyle w:val="Normal"/></w:pPr>
<w:r><w:t xml:space="preserve">and tank for fish.  The large fish-ponds, an indispensable</w:t></w:r>
</w:p>
<w:p>
<w:pPr><w:pStyle w:val="Normal"/></w:pPr>
<w:r><w:t xml:space="preserve">adjunct to any ecclesiastical foundation, on the formation</w:t></w:r>
</w:p>
<w:p>
<w:pPr><w:pStyle w:val="Normal"/></w:pPr>
<w:r><w:t xml:space="preserve">of which the monks lavished extreme care and pains, and</w:t></w:r>
</w:p>
<w:p>
<w:pPr><w:pStyle w:val="Normal"/></w:pPr>
<w:r><w:t xml:space="preserve">which often remain as almost the only visible traces of these</w:t></w:r>
</w:p>
<w:p>
<w:pPr><w:pStyle w:val="Normal"/></w:pPr>
<w:r><w:t xml:space="preserve">vast establishments, were placed outside the abbey walls.</w:t></w:r>
</w:p>
<w:p>
<w:pPr><w:pStyle w:val="Normal"/></w:pPr>
<w:r><w:t xml:space="preserve">Plan No. 2 furninshes the ichnography of the distinctly</w:t></w:r>
</w:p>
<w:p>
<w:pPr><w:pStyle w:val="Normal"/></w:pPr>
<w:r><w:t xml:space="preserve">monastic buildings on a larger scale.  The usually unvarying</w:t></w:r>
</w:p>
<w:p>
<w:pPr><w:pStyle w:val="Normal"/></w:pPr>
<w:r><w:t xml:space="preserve">arrangement of the Cistercian houses allows us to accept</w:t></w:r>
</w:p>
<w:p>
<w:pPr><w:pStyle w:val="Normal"/></w:pPr>
<w:r><w:t xml:space="preserve">this as a type of the monasteries of this order.  The church</w:t></w:r>
</w:p>
<w:p>
<w:pPr><w:pStyle w:val="Normal"/></w:pPr>
<w:r><w:t xml:space="preserve">(A) is the chief feature.  It consists of a vast nave of</w:t></w:r>
</w:p>
<w:p>
<w:pPr><w:pStyle w:val="Normal"/></w:pPr>
<w:r><w:t xml:space="preserve">eleven bays, entered by a narthex, with a transept and short</w:t></w:r>
</w:p>
<w:p>
<w:pPr><w:pStyle w:val="Normal"/></w:pPr>
<w:r><w:t xml:space="preserve">apsidal choir. (It may be remarked that the eastern limb in</w:t></w:r>
</w:p>
<w:p>
<w:pPr><w:pStyle w:val="Normal"/></w:pPr>
<w:r><w:t xml:space="preserve">all unaltered Cistercian churches is remarkably short, and</w:t></w:r>
</w:p>
<w:p>
<w:pPr><w:pStyle w:val="Normal"/></w:pPr>
<w:r><w:t xml:space="preserve">usually square.) To the east of each limb of the transept</w:t></w:r>
</w:p>
<w:p>
<w:pPr><w:pStyle w:val="Normal"/></w:pPr>
<w:r><w:t xml:space="preserve">are two square chapels, divided according to Cistercian</w:t></w:r>
</w:p>
<w:p>
<w:pPr><w:pStyle w:val="Normal"/></w:pPr>
<w:r><w:t xml:space="preserve">rule by solid walls.  Nine radiating chapels, similarly</w:t></w:r>
</w:p>
<w:p>
<w:pPr><w:pStyle w:val="Normal"/></w:pPr>
<w:r><w:t xml:space="preserve">divided, surround the apse.  The stalls of the monks,</w:t></w:r>
</w:p>
<w:p>
<w:pPr><w:pStyle w:val="Normal"/></w:pPr>
<w:r><w:t xml:space="preserve">forming the ritual choir, occupy the four eastern bays of the</w:t></w:r>
</w:p>
<w:p>
<w:pPr><w:pStyle w:val="Normal"/></w:pPr>
<w:r><w:t xml:space="preserve">nave.  There was a second range of stalls in the extreme</w:t></w:r>
</w:p>
<w:p>
<w:pPr><w:pStyle w:val="Normal"/></w:pPr>
<w:r><w:t xml:space="preserve">western bays of the nave for the fratres conversi, or lay</w:t></w:r>
</w:p>
<w:p>
<w:pPr><w:pStyle w:val="Normal"/></w:pPr>
<w:r><w:t xml:space="preserve">brothers.  To the south of the church, so as to secure as</w:t></w:r>
</w:p>
<w:p>
<w:pPr><w:pStyle w:val="Normal"/></w:pPr>
<w:r><w:t xml:space="preserve">much sun as possible, the cloister was invariably placed,</w:t></w:r>
</w:p>
<w:p>
<w:pPr><w:pStyle w:val="Normal"/></w:pPr>
<w:r><w:t xml:space="preserve">except when local reasons forbade it.  Round the cloister</w:t></w:r>
</w:p>
<w:p>
<w:pPr><w:pStyle w:val="Normal"/></w:pPr>
<w:r><w:t xml:space="preserve">(B) were ranged the buildings connected with the monks&apos; daily</w:t></w:r>
</w:p>
<w:p>
<w:pPr><w:pStyle w:val="Normal"/></w:pPr>
<w:r><w:t xml:space="preserve">life.  The chapter-house (C) always opened out of the east</w:t></w:r>
</w:p>
<w:p>
<w:pPr><w:pStyle w:val="Normal"/></w:pPr>
<w:r><w:t xml:space="preserve">walk of the cloister in a line with the south transept.</w:t></w:r>
</w:p>
<w:p>
<w:pPr><w:pStyle w:val="Normal"/></w:pPr>
<w:r><w:t xml:space="preserve">FIG. 7.--Clairvaux, No. 2 (Cistercian), Monastic</w:t></w:r>
</w:p>
<w:p>
<w:pPr><w:pStyle w:val="Normal"/></w:pPr>
<w:r><w:t xml:space="preserve">A. Church.            L. Lodgings of novices.   S. Cellars and storehouses.</w:t></w:r>
</w:p>
<w:p>
<w:pPr><w:pStyle w:val="Normal"/></w:pPr>
<w:r><w:t xml:space="preserve">B. Cloister.</w:t></w:r>
</w:p>
<w:p>
<w:pPr><w:pStyle w:val="Heading1"/></w:pPr>
<w:r><w:t>C. Chapter-house.     M. Old guest-house.       T. Water-course.</w:t></w:r>
</w:p>
<w:p>
<w:pPr><w:pStyle w:val="Normal"/></w:pPr>
<w:r><w:t xml:space="preserve">D. Monks&apos; parlour.    N. Old abbot&apos;s lodgings.  U. Saw-mill and oil mill</w:t></w:r>
</w:p>
<w:p>
<w:pPr><w:pStyle w:val="Normal"/></w:pPr>
<w:r><w:t xml:space="preserve">E. Calefactory.</w:t></w:r>
</w:p>
<w:p>
<w:pPr><w:pStyle w:val="Normal"/></w:pPr>
<w:r><w:t xml:space="preserve">F. Kitchen and court. O. Cloister of            V. Currier&apos;s shop.</w:t></w:r>
</w:p>
<w:p>
<w:pPr><w:pStyle w:val="Normal"/></w:pPr>
<w:r><w:t xml:space="preserve">G. Refectory.            supernumerary monks.</w:t></w:r>
</w:p>
<w:p>
<w:pPr><w:pStyle w:val="Normal"/></w:pPr>
<w:r><w:t xml:space="preserve">H. Cemetery.                                    X. Sacristy.</w:t></w:r>
</w:p>
<w:p>
<w:pPr><w:pStyle w:val="Heading1"/></w:pPr>
<w:r><w:t>I. Little cloister.   P. Abbot&apos;s hall.          Y. Little library.</w:t></w:r>
</w:p>
<w:p>
<w:pPr><w:pStyle w:val="Normal"/></w:pPr>
<w:r><w:t xml:space="preserve">K. Infirmary.         Q. Cell of St Bernard.    Z. Undercroft of dormitory.</w:t></w:r>
</w:p>
<w:p>
<w:pPr><w:pStyle w:val="Normal"/></w:pPr>
<w:r><w:t xml:space="preserve">R. Stables.</w:t></w:r>
</w:p>
<w:p>
<w:pPr><w:pStyle w:val="Normal"/></w:pPr>
<w:r><w:t xml:space="preserve">In Cistercian houses this was quadrangular, and was divided</w:t></w:r>
</w:p>
<w:p>
<w:pPr><w:pStyle w:val="Normal"/></w:pPr>
<w:r><w:t xml:space="preserve">by pillars and arches into two or three aisles.  Between</w:t></w:r>
</w:p>
<w:p>
<w:pPr><w:pStyle w:val="Normal"/></w:pPr>
<w:r><w:t xml:space="preserve">it and the transept we find the sacristy (X), and a small</w:t></w:r>
</w:p>
<w:p>
<w:pPr><w:pStyle w:val="Normal"/></w:pPr>
<w:r><w:t xml:space="preserve">book-room (Y) armariolum, where the brothers deposited the</w:t></w:r>
</w:p>
<w:p>
<w:pPr><w:pStyle w:val="Normal"/></w:pPr>
<w:r><w:t xml:space="preserve">volumes borrowed from the library.  On the other side of the</w:t></w:r>
</w:p>
<w:p>
<w:pPr><w:pStyle w:val="Heading1"/></w:pPr>
<w:r><w:t>chapter-house, to the south, is a passage (D) communicating</w:t></w:r>
</w:p>
<w:p>
<w:pPr><w:pStyle w:val="Normal"/></w:pPr>
<w:r><w:t xml:space="preserve">with the courts and buildings beyond.  This was sometimes</w:t></w:r>
</w:p>
<w:p>
<w:pPr><w:pStyle w:val="Normal"/></w:pPr>
<w:r><w:t xml:space="preserve">known as the parlour, colloquii locus, the monks having the</w:t></w:r>
</w:p>
<w:p>
<w:pPr><w:pStyle w:val="Normal"/></w:pPr>
<w:r><w:t xml:space="preserve">privilege of conversation here.  Here also, when iscipline</w:t></w:r>
</w:p>
<w:p>
<w:pPr><w:pStyle w:val="Normal"/></w:pPr>
<w:r><w:t xml:space="preserve">became relaxed, traders, who had the liberty of admission,</w:t></w:r>
</w:p>
<w:p>
<w:pPr><w:pStyle w:val="Normal"/></w:pPr>
<w:r><w:t xml:space="preserve">were allowed to display their goods.  Beyond this we often</w:t></w:r>
</w:p>
<w:p>
<w:pPr><w:pStyle w:val="Normal"/></w:pPr>
<w:r><w:t xml:space="preserve">find the calefactorium or day-room--an apartment warmed</w:t></w:r>
</w:p>
<w:p>
<w:pPr><w:pStyle w:val="Normal"/></w:pPr>
<w:r><w:t xml:space="preserve">by flues beneath the pavement, where the brethren, half</w:t></w:r>
</w:p>
<w:p>
<w:pPr><w:pStyle w:val="Normal"/></w:pPr>
<w:r><w:t xml:space="preserve">frozen during the night offices, betook themselves after</w:t></w:r>
</w:p>
<w:p>
<w:pPr><w:pStyle w:val="Normal"/></w:pPr>
<w:r><w:t xml:space="preserve">the conclusion of lauds, to gain a little warmth, grease</w:t></w:r>
</w:p>
<w:p>
<w:pPr><w:pStyle w:val="Normal"/></w:pPr>
<w:r><w:t xml:space="preserve">their sandals and get themselves ready for the work of the</w:t></w:r>
</w:p>
<w:p>
<w:pPr><w:pStyle w:val="Normal"/></w:pPr>
<w:r><w:t xml:space="preserve">day.  In the plan before us this apartment (E) opens from the</w:t></w:r>
</w:p>
<w:p>
<w:pPr><w:pStyle w:val="Normal"/></w:pPr>
<w:r><w:t xml:space="preserve">south cloister walk, adjoining the refectory.  The place usually</w:t></w:r>
</w:p>
<w:p>
<w:pPr><w:pStyle w:val="Normal"/></w:pPr>
<w:r><w:t xml:space="preserve">assigned to it is occupied by the vaulted substructure of the</w:t></w:r>
</w:p>
<w:p>
<w:pPr><w:pStyle w:val="Normal"/></w:pPr>
<w:r><w:t xml:space="preserve">dormitory (Z). The dormitory, as a rule, was placed on the</w:t></w:r>
</w:p>
<w:p>
<w:pPr><w:pStyle w:val="Normal"/></w:pPr>
<w:r><w:t xml:space="preserve">east side of the cloister, running over the calethetory and</w:t></w:r>
</w:p>
<w:p>
<w:pPr><w:pStyle w:val="Heading1"/></w:pPr>
<w:r><w:t>chapter-house, and joined the south transept, where a flight</w:t></w:r>
</w:p>
<w:p>
<w:pPr><w:pStyle w:val="Normal"/></w:pPr>
<w:r><w:t xml:space="preserve">of steps admitted the brethren into the church for nocturnal</w:t></w:r>
</w:p>
<w:p>
<w:pPr><w:pStyle w:val="Normal"/></w:pPr>
<w:r><w:t xml:space="preserve">services.  Opening out of the dormitory was always the</w:t></w:r>
</w:p>
<w:p>
<w:pPr><w:pStyle w:val="Normal"/></w:pPr>
<w:r><w:t xml:space="preserve">necessarium, planned with the greatest regard to health and</w:t></w:r>
</w:p>
<w:p>
<w:pPr><w:pStyle w:val="Normal"/></w:pPr>
<w:r><w:t xml:space="preserve">cleanliness, a water-course invariably running from end to</w:t></w:r>
</w:p>
<w:p>
<w:pPr><w:pStyle w:val="Normal"/></w:pPr>
<w:r><w:t xml:space="preserve">end.  The refectory opens out of the south cloister at G.</w:t></w:r>
</w:p>
<w:p>
<w:pPr><w:pStyle w:val="Normal"/></w:pPr>
<w:r><w:t xml:space="preserve">The position of the refectory is usually a marked point of</w:t></w:r>
</w:p>
<w:p>
<w:pPr><w:pStyle w:val="Normal"/></w:pPr>
<w:r><w:t xml:space="preserve">difference between Benedictine and Cistercian abbeys.  In the</w:t></w:r>
</w:p>
<w:p>
<w:pPr><w:pStyle w:val="Normal"/></w:pPr>
<w:r><w:t xml:space="preserve">former, as at Canterbury, the refectory ran east and west</w:t></w:r>
</w:p>
<w:p>
<w:pPr><w:pStyle w:val="Normal"/></w:pPr>
<w:r><w:t xml:space="preserve">parallel to the nave of the church, on the side of the cloister</w:t></w:r>
</w:p>
<w:p>
<w:pPr><w:pStyle w:val="Normal"/></w:pPr>
<w:r><w:t xml:space="preserve">farthest removed from it.  In the Cistercian monasturies, to</w:t></w:r>
</w:p>
<w:p>
<w:pPr><w:pStyle w:val="Normal"/></w:pPr>
<w:r><w:t xml:space="preserve">keep the noise and smell of dinner still farther away from</w:t></w:r>
</w:p>
<w:p>
<w:pPr><w:pStyle w:val="Normal"/></w:pPr>
<w:r><w:t xml:space="preserve">the sacred building, the refectory was built north and south,</w:t></w:r>
</w:p>
<w:p>
<w:pPr><w:pStyle w:val="Normal"/></w:pPr>
<w:r><w:t xml:space="preserve">at right angles to the axis of the church.  It was often</w:t></w:r>
</w:p>
<w:p>
<w:pPr><w:pStyle w:val="Normal"/></w:pPr>
<w:r><w:t xml:space="preserve">divided, sometimes into two, sometimes, as here, into three</w:t></w:r>
</w:p>
<w:p>
<w:pPr><w:pStyle w:val="Normal"/></w:pPr>
<w:r><w:t xml:space="preserve">aisles.  Outside the refectory door, in the cloister,</w:t></w:r>
</w:p>
<w:p>
<w:pPr><w:pStyle w:val="Normal"/></w:pPr>
<w:r><w:t xml:space="preserve">was the lavatory, where the monks washed their hands at</w:t></w:r>
</w:p>
<w:p>
<w:pPr><w:pStyle w:val="Normal"/></w:pPr>
<w:r><w:t xml:space="preserve">dinner-time.  The buildings belonging to the material life of</w:t></w:r>
</w:p>
<w:p>
<w:pPr><w:pStyle w:val="Normal"/></w:pPr>
<w:r><w:t xml:space="preserve">the monks lay near the refectory, as far as possible from the</w:t></w:r>
</w:p>
<w:p>
<w:pPr><w:pStyle w:val="Normal"/></w:pPr>
<w:r><w:t xml:space="preserve">church, to the S.W. With a distinct entrance from the outer</w:t></w:r>
</w:p>
<w:p>
<w:pPr><w:pStyle w:val="Normal"/></w:pPr>
<w:r><w:t xml:space="preserve">court was the kitchen court (F), with its buttery, scullery</w:t></w:r>
</w:p>
<w:p>
<w:pPr><w:pStyle w:val="Normal"/></w:pPr>
<w:r><w:t xml:space="preserve">and larder, and the important adjunct of a stream of running</w:t></w:r>
</w:p>
<w:p>
<w:pPr><w:pStyle w:val="Normal"/></w:pPr>
<w:r><w:t xml:space="preserve">water.  Farther to the west, projecting beyond the line of</w:t></w:r>
</w:p>
<w:p>
<w:pPr><w:pStyle w:val="Normal"/></w:pPr>
<w:r><w:t xml:space="preserve">the west front of the church, were vast vaulted apartments</w:t></w:r>
</w:p>
<w:p>
<w:pPr><w:pStyle w:val="Normal"/></w:pPr>
<w:r><w:t xml:space="preserve">(SS), serving as cellars and storehouses, above which was</w:t></w:r>
</w:p>
<w:p>
<w:pPr><w:pStyle w:val="Normal"/></w:pPr>
<w:r><w:t xml:space="preserve">the dormitory of the conversi. Detached from these, and</w:t></w:r>
</w:p>
<w:p>
<w:pPr><w:pStyle w:val="Normal"/></w:pPr>
<w:r><w:t xml:space="preserve">separated entirely from the monastic buildings, were various</w:t></w:r>
</w:p>
<w:p>
<w:pPr><w:pStyle w:val="Normal"/></w:pPr>
<w:r><w:t xml:space="preserve">workshops, which convenience repuired to be banished to</w:t></w:r>
</w:p>
<w:p>
<w:pPr><w:pStyle w:val="Normal"/></w:pPr>
<w:r><w:t xml:space="preserve">the outer precincts, a saw-mill and oil-mill (UU) turned</w:t></w:r>
</w:p>
<w:p>
<w:pPr><w:pStyle w:val="Normal"/></w:pPr>
<w:r><w:t xml:space="preserve">by water, and a currier&apos;s shop (V), where the sandals</w:t></w:r>
</w:p>
<w:p>
<w:pPr><w:pStyle w:val="Normal"/></w:pPr>
<w:r><w:t xml:space="preserve">and leathern girdles of the monks were made and repaired.</w:t></w:r>
</w:p>
<w:p>
<w:pPr><w:pStyle w:val="Normal"/></w:pPr>
<w:r><w:t xml:space="preserve">Returning to the cloister, a vaulted passage admitted to the small</w:t></w:r>
</w:p>
<w:p>
<w:pPr><w:pStyle w:val="Normal"/></w:pPr>
<w:r><w:t xml:space="preserve">cloister (l), opening from the north side of which were eight</w:t></w:r>
</w:p>
<w:p>
<w:pPr><w:pStyle w:val="Normal"/></w:pPr>
<w:r><w:t xml:space="preserve">small cells, assigned to the scribes employed in copying works</w:t></w:r>
</w:p>
<w:p>
<w:pPr><w:pStyle w:val="Normal"/></w:pPr>
<w:r><w:t xml:space="preserve">for the library, which was placed in the upper story, accessible</w:t></w:r>
</w:p>
<w:p>
<w:pPr><w:pStyle w:val="Normal"/></w:pPr>
<w:r><w:t xml:space="preserve">by a turret staircase.  To the south of the small cloister</w:t></w:r>
</w:p>
<w:p>
<w:pPr><w:pStyle w:val="Normal"/></w:pPr>
<w:r><w:t xml:space="preserve">a long hall will be noticed.  This was a lecture-hall, or</w:t></w:r>
</w:p>
<w:p>
<w:pPr><w:pStyle w:val="Normal"/></w:pPr>
<w:r><w:t xml:space="preserve">rather a hall for the religious disputations customary among the</w:t></w:r>
</w:p>
<w:p>
<w:pPr><w:pStyle w:val="Normal"/></w:pPr>
<w:r><w:t xml:space="preserve">Cistercians.  From this cloister opened the infirmary (K),</w:t></w:r>
</w:p>
<w:p>
<w:pPr><w:pStyle w:val="Normal"/></w:pPr>
<w:r><w:t xml:space="preserve">with its hall, chapel, cells, blood-letting house and other</w:t></w:r>
</w:p>
<w:p>
<w:pPr><w:pStyle w:val="Normal"/></w:pPr>
<w:r><w:t xml:space="preserve">dependencies.  At the eastern verge of the vast group of buildings</w:t></w:r>
</w:p>
<w:p>
<w:pPr><w:pStyle w:val="Normal"/></w:pPr>
<w:r><w:t xml:space="preserve">we find the novices&apos; lodgings (L), with a third cloister</w:t></w:r>
</w:p>
<w:p>
<w:pPr><w:pStyle w:val="Normal"/></w:pPr>
<w:r><w:t xml:space="preserve">near the novices&apos; quarters and the original guest-house (M).</w:t></w:r>
</w:p>
<w:p>
<w:pPr><w:pStyle w:val="Normal"/></w:pPr>
<w:r><w:t xml:space="preserve">Detached from the great mass of the monastic edifices was the</w:t></w:r>
</w:p>
<w:p>
<w:pPr><w:pStyle w:val="Normal"/></w:pPr>
<w:r><w:t xml:space="preserve">original abbot&apos;s house (N), with its dining-hall (P). Closely</w:t></w:r>
</w:p>
<w:p>
<w:pPr><w:pStyle w:val="Normal"/></w:pPr>
<w:r><w:t xml:space="preserve">adjoining to this, so that the eye of the father of the whole</w:t></w:r>
</w:p>
<w:p>
<w:pPr><w:pStyle w:val="Normal"/></w:pPr>
<w:r><w:t xml:space="preserve">establishment should be constantly over those who stood the</w:t></w:r>
</w:p>
<w:p>
<w:pPr><w:pStyle w:val="Normal"/></w:pPr>
<w:r><w:t xml:space="preserve">most in need of his watchful care,--those who were training</w:t></w:r>
</w:p>
<w:p>
<w:pPr><w:pStyle w:val="Normal"/></w:pPr>
<w:r><w:t xml:space="preserve">for the monastic life, and those who had worn themselves</w:t></w:r>
</w:p>
<w:p>
<w:pPr><w:pStyle w:val="Normal"/></w:pPr>
<w:r><w:t xml:space="preserve">out in its duties,--was a fourth cloister (O), with annexed</w:t></w:r>
</w:p>
<w:p>
<w:pPr><w:pStyle w:val="Normal"/></w:pPr>
<w:r><w:t xml:space="preserve">buildings, devoted to the aged and infirm members of the</w:t></w:r>
</w:p>
<w:p>
<w:pPr><w:pStyle w:val="Normal"/></w:pPr>
<w:r><w:t xml:space="preserve">establishment.  The cemetery, the last resting-place of the</w:t></w:r>
</w:p>
<w:p>
<w:pPr><w:pStyle w:val="Normal"/></w:pPr>
<w:r><w:t xml:space="preserve">brethren, lay to the north side of the nave of the church (H).</w:t></w:r>
</w:p>
<w:p>
<w:pPr><w:pStyle w:val="Normal"/></w:pPr>
<w:r><w:t xml:space="preserve">It will be seen from the above account that the arrangement of</w:t></w:r>
</w:p>
<w:p>
<w:pPr><w:pStyle w:val="Normal"/></w:pPr>
<w:r><w:t xml:space="preserve">a Cistercian monastery was in accordance with a clearly defined</w:t></w:r>
</w:p>
<w:p>
<w:pPr><w:pStyle w:val="Normal"/></w:pPr>
<w:r><w:t xml:space="preserve">system, and admirably adapted to its purpose.  The base court</w:t></w:r>
</w:p>
<w:p>
<w:pPr><w:pStyle w:val="Normal"/></w:pPr>
<w:r><w:t xml:space="preserve">nearest to the outer wall contained the buildings belonging to</w:t></w:r>
</w:p>
<w:p>
<w:pPr><w:pStyle w:val="Normal"/></w:pPr>
<w:r><w:t xml:space="preserve">the functions of the body as agriculturists and employers of</w:t></w:r>
</w:p>
<w:p>
<w:pPr><w:pStyle w:val="Normal"/></w:pPr>
<w:r><w:t xml:space="preserve">labour.  Advancing into the inner court, the buildings`devoted</w:t></w:r>
</w:p>
<w:p>
<w:pPr><w:pStyle w:val="Normal"/></w:pPr>
<w:r><w:t xml:space="preserve">to hospitality are found close to the entrance; while those</w:t></w:r>
</w:p>
<w:p>
<w:pPr><w:pStyle w:val="Normal"/></w:pPr>
<w:r><w:t xml:space="preserve">connected with the supply of the material wants of the brethren,</w:t></w:r>
</w:p>
<w:p>
<w:pPr><w:pStyle w:val="Normal"/></w:pPr>
<w:r><w:t xml:space="preserve">--the kitchen, cellars, &amp;c.,--form a court of themselves</w:t></w:r>
</w:p>
<w:p>
<w:pPr><w:pStyle w:val="Normal"/></w:pPr>
<w:r><w:t xml:space="preserve">outside the cloister and quite detached from the church.</w:t></w:r>
</w:p>
<w:p>
<w:pPr><w:pStyle w:val="Normal"/></w:pPr>
<w:r><w:t xml:space="preserve">The church refectory, dormitory and other buildings belonging</w:t></w:r>
</w:p>
<w:p>
<w:pPr><w:pStyle w:val="Normal"/></w:pPr>
<w:r><w:t xml:space="preserve">to the professional life of the brethren surround the great</w:t></w:r>
</w:p>
<w:p>
<w:pPr><w:pStyle w:val="Normal"/></w:pPr>
<w:r><w:t xml:space="preserve">cloister.  The small cloister beyond, with its scribes&apos; cells,</w:t></w:r>
</w:p>
<w:p>
<w:pPr><w:pStyle w:val="Normal"/></w:pPr>
<w:r><w:t xml:space="preserve">library, hall for disputations, &amp;c., is the centre of the</w:t></w:r>
</w:p>
<w:p>
<w:pPr><w:pStyle w:val="Normal"/></w:pPr>
<w:r><w:t xml:space="preserve">literary life of the community.  The requirements of sickness</w:t></w:r>
</w:p>
<w:p>
<w:pPr><w:pStyle w:val="Normal"/></w:pPr>
<w:r><w:t xml:space="preserve">and old age are carefully provided for in the infirmary</w:t></w:r>
</w:p>
<w:p>
<w:pPr><w:pStyle w:val="Normal"/></w:pPr>
<w:r><w:t xml:space="preserve">cloister and that for the aged and infirm members of the</w:t></w:r>
</w:p>
<w:p>
<w:pPr><w:pStyle w:val="Normal"/></w:pPr>
<w:r><w:t xml:space="preserve">establishment.  The same group contains the quarters of the novices.</w:t></w:r>
</w:p>
<w:p>
<w:pPr><w:pStyle w:val="Normal"/></w:pPr>
<w:r><w:t xml:space="preserve">This stereotyped arrangement is further shown by the</w:t></w:r>
</w:p>
<w:p>
<w:pPr><w:pStyle w:val="Normal"/></w:pPr>
<w:r><w:t xml:space="preserve">illustration of the mother establishment of Citeaux.</w:t></w:r>
</w:p>
<w:p>
<w:pPr><w:pStyle w:val="Normal"/></w:pPr>
<w:r><w:t xml:space="preserve">Citeaux.</w:t></w:r>
</w:p>
<w:p>
<w:pPr><w:pStyle w:val="Normal"/></w:pPr>
<w:r><w:t xml:space="preserve">A cross (A), planted on the high road, directs travellers to</w:t></w:r>
</w:p>
<w:p>
<w:pPr><w:pStyle w:val="Normal"/></w:pPr>
<w:r><w:t xml:space="preserve">the gate of the monastery. reached by an avenue of trees.  On</w:t></w:r>
</w:p>
<w:p>
<w:pPr><w:pStyle w:val="Normal"/></w:pPr>
<w:r><w:t xml:space="preserve">one side of the gate-house (B) is a long building (C), probably</w:t></w:r>
</w:p>
<w:p>
<w:pPr><w:pStyle w:val="Normal"/></w:pPr>
<w:r><w:t xml:space="preserve">the almonry, with a dormitory above for the lower class of</w:t></w:r>
</w:p>
<w:p>
<w:pPr><w:pStyle w:val="Normal"/></w:pPr>
<w:r><w:t xml:space="preserve">guests.  On the other side is a chapel (D). As soon as the</w:t></w:r>
</w:p>
<w:p>
<w:pPr><w:pStyle w:val="Normal"/></w:pPr>
<w:r><w:t xml:space="preserve">porter heard a stranger knock at the gate, he rose, saying,</w:t></w:r>
</w:p>
<w:p>
<w:pPr><w:pStyle w:val="Normal"/></w:pPr>
<w:r><w:t xml:space="preserve">Deo gratias, the opportunity for the exercise of hospitality</w:t></w:r>
</w:p>
<w:p>
<w:pPr><w:pStyle w:val="Normal"/></w:pPr>
<w:r><w:t xml:space="preserve">being regarded as a cause for thankfulness.  On opening the</w:t></w:r>
</w:p>
<w:p>
<w:pPr><w:pStyle w:val="Normal"/></w:pPr>
<w:r><w:t xml:space="preserve">door he welcomed the new arrival with a blessing --Benedicite.</w:t></w:r>
</w:p>
<w:p>
<w:pPr><w:pStyle w:val="Normal"/></w:pPr>
<w:r><w:t xml:space="preserve">He fell on his knees before him, and then went to inform the</w:t></w:r>
</w:p>
<w:p>
<w:pPr><w:pStyle w:val="Normal"/></w:pPr>
<w:r><w:t xml:space="preserve">abbot.  However important the abbot&apos;s occupations might</w:t></w:r>
</w:p>
<w:p>
<w:pPr><w:pStyle w:val="Normal"/></w:pPr>
<w:r><w:t xml:space="preserve">be, he at once hastened to receive him whom heaven had</w:t></w:r>
</w:p>
<w:p>
<w:pPr><w:pStyle w:val="Normal"/></w:pPr>
<w:r><w:t xml:space="preserve">sent.  He also threw himself at his guest&apos;s feet, and</w:t></w:r>
</w:p>
<w:p>
<w:pPr><w:pStyle w:val="Normal"/></w:pPr>
<w:r><w:t xml:space="preserve">conducted him to the chapel (D) purposely built close to the</w:t></w:r>
</w:p>
<w:p>
<w:pPr><w:pStyle w:val="Normal"/></w:pPr>
<w:r><w:t xml:space="preserve">gate.  After a short prayer, the abbot committed the guest</w:t></w:r>
</w:p>
<w:p>
<w:pPr><w:pStyle w:val="Normal"/></w:pPr>
<w:r><w:t xml:space="preserve">to the care of the brother hospitaller, whose duty it was</w:t></w:r>
</w:p>
<w:p>
<w:pPr><w:pStyle w:val="Normal"/></w:pPr>
<w:r><w:t xml:space="preserve">to provide for his wants and conduct the beast on which he</w:t></w:r>
</w:p>
<w:p>
<w:pPr><w:pStyle w:val="Normal"/></w:pPr>
<w:r><w:t xml:space="preserve">might be riding to the stable (F), built adjacent to the inner</w:t></w:r>
</w:p>
<w:p>
<w:pPr><w:pStyle w:val="Normal"/></w:pPr>
<w:r><w:t xml:space="preserve">gatehouse (E). This inner gate conducted into the base court</w:t></w:r>
</w:p>
<w:p>
<w:pPr><w:pStyle w:val="Normal"/></w:pPr>
<w:r><w:t xml:space="preserve">(T), round which were placed the barns, stables, cow-sheds, &amp;c.</w:t></w:r>
</w:p>
<w:p>
<w:pPr><w:pStyle w:val="Normal"/></w:pPr>
<w:r><w:t xml:space="preserve">On the eastern side stood the dormitory of the lay brothers,</w:t></w:r>
</w:p>
<w:p>
<w:pPr><w:pStyle w:val="Normal"/></w:pPr>
<w:r><w:t xml:space="preserve">fratres conversi (G), detached from the cloister, with</w:t></w:r>
</w:p>
<w:p>
<w:pPr><w:pStyle w:val="Normal"/></w:pPr>
<w:r><w:t xml:space="preserve">cellars and storehouses below.  At H, also outside the monastic</w:t></w:r>
</w:p>
<w:p>
<w:pPr><w:pStyle w:val="Normal"/></w:pPr>
<w:r><w:t xml:space="preserve">buildings proper, was the abbot&apos;s house, and annexed to it the</w:t></w:r>
</w:p>
<w:p>
<w:pPr><w:pStyle w:val="Normal"/></w:pPr>
<w:r><w:t xml:space="preserve">guest-house.  For these buildings there was a separate door</w:t></w:r>
</w:p>
<w:p>
<w:pPr><w:pStyle w:val="Normal"/></w:pPr>
<w:r><w:t xml:space="preserve">of entrance into the church (S). The large cloister, with its</w:t></w:r>
</w:p>
<w:p>
<w:pPr><w:pStyle w:val="Normal"/></w:pPr>
<w:r><w:t xml:space="preserve">surrounding arcades, is seen at V. On the south end projects</w:t></w:r>
</w:p>
<w:p>
<w:pPr><w:pStyle w:val="Normal"/></w:pPr>
<w:r><w:t xml:space="preserve">the refectory (K), with its kitchen at I, accessible from</w:t></w:r>
</w:p>
<w:p>
<w:pPr><w:pStyle w:val="Normal"/></w:pPr>
<w:r><w:t xml:space="preserve">the base court.  The long gabled building on the east side of</w:t></w:r>
</w:p>
<w:p>
<w:pPr><w:pStyle w:val="Normal"/></w:pPr>
<w:r><w:t xml:space="preserve">the cloister contained on the ground floor the chapter-house</w:t></w:r>
</w:p>
<w:p>
<w:pPr><w:pStyle w:val="Normal"/></w:pPr>
<w:r><w:t xml:space="preserve">and calefactory, with the monks&apos; dormitory above (M),</w:t></w:r>
</w:p>
<w:p>
<w:pPr><w:pStyle w:val="Normal"/></w:pPr>
<w:r><w:t xml:space="preserve">communicating with the south transept of the church.  At L</w:t></w:r>
</w:p>
<w:p>
<w:pPr><w:pStyle w:val="Normal"/></w:pPr>
<w:r><w:t xml:space="preserve">was the staircase to the dormitory.  The small cloister is at</w:t></w:r>
</w:p>
<w:p>
<w:pPr><w:pStyle w:val="Normal"/></w:pPr>
<w:r><w:t xml:space="preserve">W, where were the carols or cells of the scribes, with the</w:t></w:r>
</w:p>
<w:p>
<w:pPr><w:pStyle w:val="Normal"/></w:pPr>
<w:r><w:t xml:space="preserve">library (P) over, reached by a turret staircase.  At R we see</w:t></w:r>
</w:p>
<w:p>
<w:pPr><w:pStyle w:val="Normal"/></w:pPr>
<w:r><w:t xml:space="preserve">a portion of the infirmary.  The whole precinct is surrounded</w:t></w:r>
</w:p>
<w:p>
<w:pPr><w:pStyle w:val="Normal"/></w:pPr>
<w:r><w:t xml:space="preserve">by a strong buttressed wall (XXX), pierced with arches,</w:t></w:r>
</w:p>
<w:p>
<w:pPr><w:pStyle w:val="Normal"/></w:pPr>
<w:r><w:t xml:space="preserve">FIG. 8.---Bird&apos;s-eye view of</w:t></w:r>
</w:p>
<w:p>
<w:pPr><w:pStyle w:val="Normal"/></w:pPr>
<w:r><w:t xml:space="preserve">A. Cross.            H. Abbot&apos;s house.            R. Infirmary.</w:t></w:r>
</w:p>
<w:p>
<w:pPr><w:pStyle w:val="Normal"/></w:pPr>
<w:r><w:t xml:space="preserve">B. Gate-house.       I. Kitchen.                  S. Door to the church</w:t></w:r>
</w:p>
<w:p>
<w:pPr><w:pStyle w:val="Heading1"/></w:pPr>
<w:r><w:t>C. Almonry.          K. Refectory.                   for the lay brothers.</w:t></w:r>
</w:p>
<w:p>
<w:pPr><w:pStyle w:val="Normal"/></w:pPr>
<w:r><w:t xml:space="preserve">D. Chapel.           L. Staircase to dormitory.</w:t></w:r>
</w:p>
<w:p>
<w:pPr><w:pStyle w:val="Normal"/></w:pPr>
<w:r><w:t xml:space="preserve">E. Inner gate-house.                              T. Base court.</w:t></w:r>
</w:p>
<w:p>
<w:pPr><w:pStyle w:val="Normal"/></w:pPr>
<w:r><w:t xml:space="preserve">F. Stable.           M. Dormitory.                V. Great cloister.</w:t></w:r>
</w:p>
<w:p>
<w:pPr><w:pStyle w:val="Normal"/></w:pPr>
<w:r><w:t xml:space="preserve">G. Dormitory of lay  N. Church.                   W. Small cloister.</w:t></w:r>
</w:p>
<w:p>
<w:pPr><w:pStyle w:val="Normal"/></w:pPr>
<w:r><w:t xml:space="preserve">brethren.     P. Library.                  X. Boundary wall.</w:t></w:r>
</w:p>
<w:p>
<w:pPr><w:pStyle w:val="Normal"/></w:pPr>
<w:r><w:t xml:space="preserve">through which streams of water are introduced.  It will</w:t></w:r>
</w:p>
<w:p>
<w:pPr><w:pStyle w:val="Normal"/></w:pPr>
<w:r><w:t xml:space="preserve">be noticed that the choir of the church is short, and has</w:t></w:r>
</w:p>
<w:p>
<w:pPr><w:pStyle w:val="Normal"/></w:pPr>
<w:r><w:t xml:space="preserve">a square end instead of the usual apse.  The tower, in</w:t></w:r>
</w:p>
<w:p>
<w:pPr><w:pStyle w:val="Normal"/></w:pPr>
<w:r><w:t xml:space="preserve">accordance with the Cistercian rule, is very low.  The windows</w:t></w:r>
</w:p>
<w:p>
<w:pPr><w:pStyle w:val="Normal"/></w:pPr>
<w:r><w:t xml:space="preserve">throughout accord with the studied simplicity of the order.</w:t></w:r>
</w:p>
<w:p>
<w:pPr><w:pStyle w:val="Normal"/></w:pPr>
<w:r><w:t xml:space="preserve">Kirkstall Abbey.</w:t></w:r>
</w:p>
<w:p>
<w:pPr><w:pStyle w:val="Normal"/></w:pPr>
<w:r><w:t xml:space="preserve">The English Cistercian houses, of which there are such extensive</w:t></w:r>
</w:p>
<w:p>
<w:pPr><w:pStyle w:val="Normal"/></w:pPr>
<w:r><w:t xml:space="preserve">and beautiful remains at Fountains, Rievaulx, Kirkstall,</w:t></w:r>
</w:p>
<w:p>
<w:pPr><w:pStyle w:val="Normal"/></w:pPr>
<w:r><w:t xml:space="preserve">Tintern, Netley, &amp;c., were mainly arranged after the same</w:t></w:r>
</w:p>
<w:p>
<w:pPr><w:pStyle w:val="Normal"/></w:pPr>
<w:r><w:t xml:space="preserve">plan, with slight local variations.  As an example, we give</w:t></w:r>
</w:p>
<w:p>
<w:pPr><w:pStyle w:val="Normal"/></w:pPr>
<w:r><w:t xml:space="preserve">the groundplan of Kirkstall Abbey. which is one of the best</w:t></w:r>
</w:p>
<w:p>
<w:pPr><w:pStyle w:val="Normal"/></w:pPr>
<w:r><w:t xml:space="preserve">preserved.  The church here is of the Cistercian type, with</w:t></w:r>
</w:p>
<w:p>
<w:pPr><w:pStyle w:val="Normal"/></w:pPr>
<w:r><w:t xml:space="preserve">a short chancel of two squares, and transepts with three</w:t></w:r>
</w:p>
<w:p>
<w:pPr><w:pStyle w:val="Normal"/></w:pPr>
<w:r><w:t xml:space="preserve">eastward chapels to each, divided by solid walls (2 2 2).</w:t></w:r>
</w:p>
<w:p>
<w:pPr><w:pStyle w:val="Normal"/></w:pPr>
<w:r><w:t xml:space="preserve">The whole is of the most studied plainness.  The windows</w:t></w:r>
</w:p>
<w:p>
<w:pPr><w:pStyle w:val="Normal"/></w:pPr>
<w:r><w:t xml:space="preserve">are unornamented, and the nave has no triforium.  The</w:t></w:r>
</w:p>
<w:p>
<w:pPr><w:pStyle w:val="Normal"/></w:pPr>
<w:r><w:t xml:space="preserve">cloister to the south (4) occupies the whole length of the</w:t></w:r>
</w:p>
<w:p>
<w:pPr><w:pStyle w:val="Normal"/></w:pPr>
<w:r><w:t xml:space="preserve">nave.  On the east side stands the two-aisled chapter-house</w:t></w:r>
</w:p>
<w:p>
<w:pPr><w:pStyle w:val="Normal"/></w:pPr>
<w:r><w:t xml:space="preserve">(5), between which and the south transept is a small</w:t></w:r>
</w:p>
<w:p>
<w:pPr><w:pStyle w:val="Normal"/></w:pPr>
<w:r><w:t xml:space="preserve">sacristy (3), and on the other side two small apartments,</w:t></w:r>
</w:p>
<w:p>
<w:pPr><w:pStyle w:val="Normal"/></w:pPr>
<w:r><w:t xml:space="preserve">one of which was probably the parlour (6). Beyond this</w:t></w:r>
</w:p>
<w:p>
<w:pPr><w:pStyle w:val="Normal"/></w:pPr>
<w:r><w:t xml:space="preserve">stretches southward the calefactory or day-room of the monks</w:t></w:r>
</w:p>
<w:p>
<w:pPr><w:pStyle w:val="Normal"/></w:pPr>
<w:r><w:t xml:space="preserve">(14).  Above this whole range of building runs the monks&apos;</w:t></w:r>
</w:p>
<w:p>
<w:pPr><w:pStyle w:val="Normal"/></w:pPr>
<w:r><w:t xml:space="preserve">dormitory, opening by stairs into the south transept of the</w:t></w:r>
</w:p>
<w:p>
<w:pPr><w:pStyle w:val="Normal"/></w:pPr>
<w:r><w:t xml:space="preserve">church.  At the other end were the necessaries.  On thc south</w:t></w:r>
</w:p>
<w:p>
<w:pPr><w:pStyle w:val="Normal"/></w:pPr>
<w:r><w:t xml:space="preserve">side of the cloister we have the remains of the old refectory</w:t></w:r>
</w:p>
<w:p>
<w:pPr><w:pStyle w:val="Normal"/></w:pPr>
<w:r><w:t xml:space="preserve">(11), running, as in Benedictine houses, from east to west,</w:t></w:r>
</w:p>
<w:p>
<w:pPr><w:pStyle w:val="Normal"/></w:pPr>
<w:r><w:t xml:space="preserve">and the new refectory (12), which, with the increase of the</w:t></w:r>
</w:p>
<w:p>
<w:pPr><w:pStyle w:val="Normal"/></w:pPr>
<w:r><w:t xml:space="preserve">inmates of the house, superseded it, stretching, as is usual</w:t></w:r>
</w:p>
<w:p>
<w:pPr><w:pStyle w:val="Normal"/></w:pPr>
<w:r><w:t xml:space="preserve">in Cistercian houses, from north to south.  Adjacent to this</w:t></w:r>
</w:p>
<w:p>
<w:pPr><w:pStyle w:val="Normal"/></w:pPr>
<w:r><w:t xml:space="preserve">apartment are the remains of the kitchen, pantry and buttery.</w:t></w:r>
</w:p>
<w:p>
<w:pPr><w:pStyle w:val="Normal"/></w:pPr>
<w:r><w:t xml:space="preserve">The arches of the lavatory are to be seen near the refectory</w:t></w:r>
</w:p>
<w:p>
<w:pPr><w:pStyle w:val="Normal"/></w:pPr>
<w:r><w:t xml:space="preserve">entrance.  The western side of the cloister is, as usual,</w:t></w:r>
</w:p>
<w:p>
<w:pPr><w:pStyle w:val="Normal"/></w:pPr>
<w:r><w:t xml:space="preserve">occupied by vaulted cellars, supporting on the upper story</w:t></w:r>
</w:p>
<w:p>
<w:pPr><w:pStyle w:val="Normal"/></w:pPr>
<w:r><w:t xml:space="preserve">the dormitory of the lay brothers (8). Extending from the</w:t></w:r>
</w:p>
<w:p>
<w:pPr><w:pStyle w:val="Normal"/></w:pPr>
<w:r><w:t xml:space="preserve">FIG. 9 Kirkstall Abbey, Yorkshire</w:t></w:r>
</w:p>
<w:p>
<w:pPr><w:pStyle w:val="Normal"/></w:pPr>
<w:r><w:t xml:space="preserve">1. Church.                         10. Common room.</w:t></w:r>
</w:p>
<w:p>
<w:pPr><w:pStyle w:val="Normal"/></w:pPr>
<w:r><w:t xml:space="preserve">2. Chapels.                        11. Old refectory.</w:t></w:r>
</w:p>
<w:p>
<w:pPr><w:pStyle w:val="Normal"/></w:pPr>
<w:r><w:t xml:space="preserve">3. Sacristy.                       12. New refectory.</w:t></w:r>
</w:p>
<w:p>
<w:pPr><w:pStyle w:val="Normal"/></w:pPr>
<w:r><w:t xml:space="preserve">4. Cloister.                       13. Kitchen court.</w:t></w:r>
</w:p>
<w:p>
<w:pPr><w:pStyle w:val="Normal"/></w:pPr>
<w:r><w:t xml:space="preserve">5. Chapter-house.                  14. Calefactory or day-room.</w:t></w:r>
</w:p>
<w:p>
<w:pPr><w:pStyle w:val="Normal"/></w:pPr>
<w:r><w:t xml:space="preserve">6. Parlour.                        15. Kitchen and offices.</w:t></w:r>
</w:p>
<w:p>
<w:pPr><w:pStyle w:val="Normal"/></w:pPr>
<w:r><w:t xml:space="preserve">7. Punishment cell (?).            16-19. Uncertain; perhaps offices</w:t></w:r>
</w:p>
<w:p>
<w:pPr><w:pStyle w:val="Normal"/></w:pPr>
<w:r><w:t xml:space="preserve">8. Cellars, with dormitories for            connected with the infirmary.</w:t></w:r>
</w:p>
<w:p>
<w:pPr><w:pStyle w:val="Normal"/></w:pPr>
<w:r><w:t xml:space="preserve">conversi over.</w:t></w:r>
</w:p>
<w:p>
<w:pPr><w:pStyle w:val="Normal"/></w:pPr>
<w:r><w:t xml:space="preserve">9. Guest-house.                    20. Infirmary or abbot&apos;s house.</w:t></w:r>
</w:p>
<w:p>
<w:pPr><w:pStyle w:val="Normal"/></w:pPr>
<w:r><w:t xml:space="preserve">south-east angle of the main group of buildings are the</w:t></w:r>
</w:p>
<w:p>
<w:pPr><w:pStyle w:val="Normal"/></w:pPr>
<w:r><w:t xml:space="preserve">walls and foundations of a secondary group of considerable</w:t></w:r>
</w:p>
<w:p>
<w:pPr><w:pStyle w:val="Normal"/></w:pPr>
<w:r><w:t xml:space="preserve">extent.  These have been identified either with the hospitium</w:t></w:r>
</w:p>
<w:p>
<w:pPr><w:pStyle w:val="Normal"/></w:pPr>
<w:r><w:t xml:space="preserve">or with the abbot&apos;s house, but they occupy the position in</w:t></w:r>
</w:p>
<w:p>
<w:pPr><w:pStyle w:val="Normal"/></w:pPr>
<w:r><w:t xml:space="preserve">which the infirmary is more usually found.  The hall was</w:t></w:r>
</w:p>
<w:p>
<w:pPr><w:pStyle w:val="Normal"/></w:pPr>
<w:r><w:t xml:space="preserve">a very spacious apartment, measuring 83 ft. in length by</w:t></w:r>
</w:p>
<w:p>
<w:pPr><w:pStyle w:val="Normal"/></w:pPr>
<w:r><w:t xml:space="preserve">48 ft. 9 in. in breadth, and was divided by two rows of</w:t></w:r>
</w:p>
<w:p>
<w:pPr><w:pStyle w:val="Normal"/></w:pPr>
<w:r><w:t xml:space="preserve">columns.  The fish-ponds lay between the monastery and</w:t></w:r>
</w:p>
<w:p>
<w:pPr><w:pStyle w:val="Normal"/></w:pPr>
<w:r><w:t xml:space="preserve">the river to the south.  The abbey mill was situated</w:t></w:r>
</w:p>
<w:p>
<w:pPr><w:pStyle w:val="Normal"/></w:pPr>
<w:r><w:t xml:space="preserve">about 80 yards to the north-west.  The millpool may be</w:t></w:r>
</w:p>
<w:p>
<w:pPr><w:pStyle w:val="Normal"/></w:pPr>
<w:r><w:t xml:space="preserve">distinctly traced, together with the gowt or mill stream.</w:t></w:r>
</w:p>
<w:p>
<w:pPr><w:pStyle w:val="Normal"/></w:pPr>
<w:r><w:t xml:space="preserve">Fountains Abbey.</w:t></w:r>
</w:p>
<w:p>
<w:pPr><w:pStyle w:val="Normal"/></w:pPr>
<w:r><w:t xml:space="preserve">Fountains Abbey, first founded A.D. 1132, is one of the</w:t></w:r>
</w:p>
<w:p>
<w:pPr><w:pStyle w:val="Normal"/></w:pPr>
<w:r><w:t xml:space="preserve">largest and best preserved Cistercian houses in England.</w:t></w:r>
</w:p>
<w:p>
<w:pPr><w:pStyle w:val="Normal"/></w:pPr>
<w:r><w:t xml:space="preserve">But the earlier buildings received considerable additions</w:t></w:r>
</w:p>
<w:p>
<w:pPr><w:pStyle w:val="Normal"/></w:pPr>
<w:r><w:t xml:space="preserve">and alterations in the later period of the order, causing</w:t></w:r>
</w:p>
<w:p>
<w:pPr><w:pStyle w:val="Normal"/></w:pPr>
<w:r><w:t xml:space="preserve">deviations from the strict Cistercian type.  The church</w:t></w:r>
</w:p>
<w:p>
<w:pPr><w:pStyle w:val="Normal"/></w:pPr>
<w:r><w:t xml:space="preserve">stands a short distance to the north of the river Skell, the</w:t></w:r>
</w:p>
<w:p>
<w:pPr><w:pStyle w:val="Normal"/></w:pPr>
<w:r><w:t xml:space="preserve">buildings of the abbey stretching down to and even across the</w:t></w:r>
</w:p>
<w:p>
<w:pPr><w:pStyle w:val="Normal"/></w:pPr>
<w:r><w:t xml:space="preserve">stream.  We have the cloister (H) to the south, with the</w:t></w:r>
</w:p>
<w:p>
<w:pPr><w:pStyle w:val="Normal"/></w:pPr>
<w:r><w:t xml:space="preserve">three-aisled chapter-house (I) and calefactory (L) opening from</w:t></w:r>
</w:p>
<w:p>
<w:pPr><w:pStyle w:val="Normal"/></w:pPr>
<w:r><w:t xml:space="preserve">its eastern walk, and the refectory (S), with the kitchen (Q)</w:t></w:r>
</w:p>
<w:p>
<w:pPr><w:pStyle w:val="Normal"/></w:pPr>
<w:r><w:t xml:space="preserve">and buttery (T) attached, at right angles to its southern walk.</w:t></w:r>
</w:p>
<w:p>
<w:pPr><w:pStyle w:val="Normal"/></w:pPr>
<w:r><w:t xml:space="preserve">FIG. 10.--Ground-plan of Fountains Abbey,</w:t></w:r>
</w:p>
<w:p>
<w:pPr><w:pStyle w:val="Normal"/></w:pPr>
<w:r><w:t xml:space="preserve">A. Nave of the church.     N. Cellar.              Z. Gate-house.</w:t></w:r>
</w:p>
<w:p>
<w:pPr><w:pStyle w:val="Normal"/></w:pPr>
<w:r><w:t xml:space="preserve">B. Transept.               O. Brewhouse.              ABBOT&apos;S HOUSE.</w:t></w:r>
</w:p>
<w:p>
<w:pPr><w:pStyle w:val="Heading1"/></w:pPr>
<w:r><w:t>C. Chapels.                P. Prisons.                 1. Passage</w:t></w:r>
</w:p>
<w:p>
<w:pPr><w:pStyle w:val="Normal"/></w:pPr>
<w:r><w:t xml:space="preserve">D. Tower.                  Q. Kitchen.                 2. Great hall.</w:t></w:r>
</w:p>
<w:p>
<w:pPr><w:pStyle w:val="Normal"/></w:pPr>
<w:r><w:t xml:space="preserve">E. Sacristy.               R. Offices.                 3. Refectory.</w:t></w:r>
</w:p>
<w:p>
<w:pPr><w:pStyle w:val="Normal"/></w:pPr>
<w:r><w:t xml:space="preserve">F. Choir.                  S. Refectory.               4. Refectory.</w:t></w:r>
</w:p>
<w:p>
<w:pPr><w:pStyle w:val="Normal"/></w:pPr>
<w:r><w:t xml:space="preserve">G. Chapel of nine alters.  T. Buttery.                 5. Storehouse.</w:t></w:r>
</w:p>
<w:p>
<w:pPr><w:pStyle w:val="Normal"/></w:pPr>
<w:r><w:t xml:space="preserve">H. Cloister.               U. Cellars and storehouses. 6. Chapel.</w:t></w:r>
</w:p>
<w:p>
<w:pPr><w:pStyle w:val="Heading1"/></w:pPr>
<w:r><w:t>I. Chapter-house.          V. Necessary.               7. Kitchen.</w:t></w:r>
</w:p>
<w:p>
<w:pPr><w:pStyle w:val="Normal"/></w:pPr>
<w:r><w:t xml:space="preserve">K. Base court.             W. Infirmary (?).           8. Ashpit.</w:t></w:r>
</w:p>
<w:p>
<w:pPr><w:pStyle w:val="Heading1"/></w:pPr>
<w:r><w:t>L. Calefactory.            X. Guest-houses.            9. Yard.</w:t></w:r>
</w:p>
<w:p>
<w:pPr><w:pStyle w:val="Normal"/></w:pPr>
<w:r><w:t xml:space="preserve">M. Water-course.           Y. Mill bridge.            10. Kitchen tank.</w:t></w:r>
</w:p>
<w:p>
<w:pPr><w:pStyle w:val="Normal"/></w:pPr>
<w:r><w:t xml:space="preserve">Parallel with the western walk is an immense vaulted substructure</w:t></w:r>
</w:p>
<w:p>
<w:pPr><w:pStyle w:val="Normal"/></w:pPr>
<w:r><w:t xml:space="preserve">(U), incorrectly styled the cloisters, serving as cellars and</w:t></w:r>
</w:p>
<w:p>
<w:pPr><w:pStyle w:val="Normal"/></w:pPr>
<w:r><w:t xml:space="preserve">store-rooms, and supporting the dormitory of the conversi</w:t></w:r>
</w:p>
<w:p>
<w:pPr><w:pStyle w:val="Normal"/></w:pPr>
<w:r><w:t xml:space="preserve">above.  This building extended across the river.  At its S.W.</w:t></w:r>
</w:p>
<w:p>
<w:pPr><w:pStyle w:val="Normal"/></w:pPr>
<w:r><w:t xml:space="preserve">corner were the necessaries (V), also built, as usual, above</w:t></w:r>
</w:p>
<w:p>
<w:pPr><w:pStyle w:val="Normal"/></w:pPr>
<w:r><w:t xml:space="preserve">the swiftly flowing stream.  The monks&apos; dormitory was in its</w:t></w:r>
</w:p>
<w:p>
<w:pPr><w:pStyle w:val="Normal"/></w:pPr>
<w:r><w:t xml:space="preserve">usual position above the chapter-house, to the south of the</w:t></w:r>
</w:p>
<w:p>
<w:pPr><w:pStyle w:val="Normal"/></w:pPr>
<w:r><w:t xml:space="preserve">transept.  As peculiarities of arrangement may be noticed</w:t></w:r>
</w:p>
<w:p>
<w:pPr><w:pStyle w:val="Normal"/></w:pPr>
<w:r><w:t xml:space="preserve">the position of the kitchen (Q), between the refectory and</w:t></w:r>
</w:p>
<w:p>
<w:pPr><w:pStyle w:val="Normal"/></w:pPr>
<w:r><w:t xml:space="preserve">calefactory, and of the infirmary (W) (unless there is some</w:t></w:r>
</w:p>
<w:p>
<w:pPr><w:pStyle w:val="Normal"/></w:pPr>
<w:r><w:t xml:space="preserve">error in its designation) above the river to the west, adjoining</w:t></w:r>
</w:p>
<w:p>
<w:pPr><w:pStyle w:val="Normal"/></w:pPr>
<w:r><w:t xml:space="preserve">the guest-houses (XX).  We may also call attention to the</w:t></w:r>
</w:p>
<w:p>
<w:pPr><w:pStyle w:val="Normal"/></w:pPr>
<w:r><w:t xml:space="preserve">greatly lengthened choir, commenced by Abbot John of York,</w:t></w:r>
</w:p>
<w:p>
<w:pPr><w:pStyle w:val="Normal"/></w:pPr>
<w:r><w:t xml:space="preserve">1203-1211, and carried on by his successor, terminating, like</w:t></w:r>
</w:p>
<w:p>
<w:pPr><w:pStyle w:val="Normal"/></w:pPr>
<w:r><w:t xml:space="preserve">Durham Cathedral, in an eastern transept, the work of Abbot</w:t></w:r>
</w:p>
<w:p>
<w:pPr><w:pStyle w:val="Normal"/></w:pPr>
<w:r><w:t xml:space="preserve">John of Kent, 1220-1247, and to the tower (D), added not long</w:t></w:r>
</w:p>
<w:p>
<w:pPr><w:pStyle w:val="Normal"/></w:pPr>
<w:r><w:t xml:space="preserve">before the dissolution by Abbot Huby, 1494-1526, in a very</w:t></w:r>
</w:p>
<w:p>
<w:pPr><w:pStyle w:val="Normal"/></w:pPr>
<w:r><w:t xml:space="preserve">unusual position at the northern end of the north transept.</w:t></w:r>
</w:p>
<w:p>
<w:pPr><w:pStyle w:val="Normal"/></w:pPr>
<w:r><w:t xml:space="preserve">The abbot&apos;s house, the largest and most remarkable example of</w:t></w:r>
</w:p>
<w:p>
<w:pPr><w:pStyle w:val="Normal"/></w:pPr>
<w:r><w:t xml:space="preserve">this class of buildings in the kingdom, stands south to the</w:t></w:r>
</w:p>
<w:p>
<w:pPr><w:pStyle w:val="Normal"/></w:pPr>
<w:r><w:t xml:space="preserve">east of the church and cloister, from which it is divided by</w:t></w:r>
</w:p>
<w:p>
<w:pPr><w:pStyle w:val="Normal"/></w:pPr>
<w:r><w:t xml:space="preserve">the kitchen court (R), surrounded by the ordinary domestic</w:t></w:r>
</w:p>
<w:p>
<w:pPr><w:pStyle w:val="Normal"/></w:pPr>
<w:r><w:t xml:space="preserve">offices.  A considerable portion of this house was erected on</w:t></w:r>
</w:p>
<w:p>
<w:pPr><w:pStyle w:val="Normal"/></w:pPr>
<w:r><w:t xml:space="preserve">arches over the Skell.  The size and character of this house,</w:t></w:r>
</w:p>
<w:p>
<w:pPr><w:pStyle w:val="Normal"/></w:pPr>
<w:r><w:t xml:space="preserve">probably, at the time of its erection, the most spacious</w:t></w:r>
</w:p>
<w:p>
<w:pPr><w:pStyle w:val="Normal"/></w:pPr>
<w:r><w:t xml:space="preserve">house of a subject in the kingdom, not a castle, bespeaks</w:t></w:r>
</w:p>
<w:p>
<w:pPr><w:pStyle w:val="Normal"/></w:pPr>
<w:r><w:t xml:space="preserve">the wide departure of the Cistercian order from the stern</w:t></w:r>
</w:p>
<w:p>
<w:pPr><w:pStyle w:val="Normal"/></w:pPr>
<w:r><w:t xml:space="preserve">simplicity of the original foundation.  The hall (2) was one</w:t></w:r>
</w:p>
<w:p>
<w:pPr><w:pStyle w:val="Normal"/></w:pPr>
<w:r><w:t xml:space="preserve">of the most spacious and magnificent apartments in medieval</w:t></w:r>
</w:p>
<w:p>
<w:pPr><w:pStyle w:val="Normal"/></w:pPr>
<w:r><w:t xml:space="preserve">times, measuring 170 ft. by 70 ft.  Like the hall in the</w:t></w:r>
</w:p>
<w:p>
<w:pPr><w:pStyle w:val="Normal"/></w:pPr>
<w:r><w:t xml:space="preserve">castle at Winchester, and Westminster Hall, as originally</w:t></w:r>
</w:p>
<w:p>
<w:pPr><w:pStyle w:val="Normal"/></w:pPr>
<w:r><w:t xml:space="preserve">built, it was divided by 18 pillars and arches, with 3</w:t></w:r>
</w:p>
<w:p>
<w:pPr><w:pStyle w:val="Normal"/></w:pPr>
<w:r><w:t xml:space="preserve">aisles.  Among other apartments, for the designation of which</w:t></w:r>
</w:p>
<w:p>
<w:pPr><w:pStyle w:val="Normal"/></w:pPr>
<w:r><w:t xml:space="preserve">we must refer to the ground-plan, was a domestic oratory or</w:t></w:r>
</w:p>
<w:p>
<w:pPr><w:pStyle w:val="Normal"/></w:pPr>
<w:r><w:t xml:space="preserve">chapel, 46 1/2 ft. by 23 ft. and a kitchen (7), 50 ft. by 38</w:t></w:r>
</w:p>
<w:p>
<w:pPr><w:pStyle w:val="Normal"/></w:pPr>
<w:r><w:t xml:space="preserve">ft.  The whole arrangements and character of the building</w:t></w:r>
</w:p>
<w:p>
<w:pPr><w:pStyle w:val="Normal"/></w:pPr>
<w:r><w:t xml:space="preserve">bespeak the rich and powerful feudal lord, not the humble</w:t></w:r>
</w:p>
<w:p>
<w:pPr><w:pStyle w:val="Normal"/></w:pPr>
<w:r><w:t xml:space="preserve">father of a body of hard-working brethren, bound by vows to a</w:t></w:r>
</w:p>
<w:p>
<w:pPr><w:pStyle w:val="Normal"/></w:pPr>
<w:r><w:t xml:space="preserve">life of poverty and self-denying toil.  In the words of Dean</w:t></w:r>
</w:p>
<w:p>
<w:pPr><w:pStyle w:val="Normal"/></w:pPr>
<w:r><w:t xml:space="preserve">Milman, ``the superior, once a man bowed to the earth with</w:t></w:r>
</w:p>
<w:p>
<w:pPr><w:pStyle w:val="Normal"/></w:pPr>
<w:r><w:t xml:space="preserve">humility, care-worn, pale, emaciated, with a coarse habit</w:t></w:r>
</w:p>
<w:p>
<w:pPr><w:pStyle w:val="Normal"/></w:pPr>
<w:r><w:t xml:space="preserve">bound with a cord, with naked feet, had become an abbot</w:t></w:r>
</w:p>
<w:p>
<w:pPr><w:pStyle w:val="Normal"/></w:pPr>
<w:r><w:t xml:space="preserve">on his curvetting palfrey, in rich attire, with his silver</w:t></w:r>
</w:p>
<w:p>
<w:pPr><w:pStyle w:val="Normal"/></w:pPr>
<w:r><w:t xml:space="preserve">cross before him, travelling to take his place amid the</w:t></w:r>
</w:p>
<w:p>
<w:pPr><w:pStyle w:val="Normal"/></w:pPr>
<w:r><w:t xml:space="preserve">lordliest of the realm.&apos;&apos; --(Lat. Christ. vol. iii. p. 330.)</w:t></w:r>
</w:p>
<w:p>
<w:pPr><w:pStyle w:val="Normal"/></w:pPr>
<w:r><w:t xml:space="preserve">Austin Canons.</w:t></w:r>
</w:p>
<w:p>
<w:pPr><w:pStyle w:val="Normal"/></w:pPr>
<w:r><w:t xml:space="preserve">The buildings of the Austin canons or Black canons (so</w:t></w:r>
</w:p>
<w:p>
<w:pPr><w:pStyle w:val="Normal"/></w:pPr>
<w:r><w:t xml:space="preserve">called from the colour of their habit) present few distinctive</w:t></w:r>
</w:p>
<w:p>
<w:pPr><w:pStyle w:val="Normal"/></w:pPr>
<w:r><w:t xml:space="preserve">peculiarities.  This order had its first seat in England at</w:t></w:r>
</w:p>
<w:p>
<w:pPr><w:pStyle w:val="Normal"/></w:pPr>
<w:r><w:t xml:space="preserve">Colchester, where a house for Austin canons was founded about</w:t></w:r>
</w:p>
<w:p>
<w:pPr><w:pStyle w:val="Normal"/></w:pPr>
<w:r><w:t xml:space="preserve">A.D. 1105, and it very soon spread widely.  As an order</w:t></w:r>
</w:p>
<w:p>
<w:pPr><w:pStyle w:val="Normal"/></w:pPr>
<w:r><w:t xml:space="preserve">of regular clergy, holding a middle position between monks</w:t></w:r>
</w:p>
<w:p>
<w:pPr><w:pStyle w:val="Normal"/></w:pPr>
<w:r><w:t xml:space="preserve">and secular canons, almost resembling a community of parish</w:t></w:r>
</w:p>
<w:p>
<w:pPr><w:pStyle w:val="Normal"/></w:pPr>
<w:r><w:t xml:space="preserve">priests living under rule, they adopted naves of great length</w:t></w:r>
</w:p>
<w:p>
<w:pPr><w:pStyle w:val="Normal"/></w:pPr>
<w:r><w:t xml:space="preserve">to accommodate large congregations.  The choir is usually</w:t></w:r>
</w:p>
<w:p>
<w:pPr><w:pStyle w:val="Normal"/></w:pPr>
<w:r><w:t xml:space="preserve">long, and is sometimes, as at Llanthony and Christ Church</w:t></w:r>
</w:p>
<w:p>
<w:pPr><w:pStyle w:val="Normal"/></w:pPr>
<w:r><w:t xml:space="preserve">(Twynham), shut off from the aisles, or, as at Bolton, Kirkham,</w:t></w:r>
</w:p>
<w:p>
<w:pPr><w:pStyle w:val="Normal"/></w:pPr>
<w:r><w:t xml:space="preserve">&amp;c., is destitute of aisles altogether.  The nave in the northern</w:t></w:r>
</w:p>
<w:p>
<w:pPr><w:pStyle w:val="Normal"/></w:pPr>
<w:r><w:t xml:space="preserve">houses, not unfrequently, had only a north aisle, as at Bolton,</w:t></w:r>
</w:p>
<w:p>
<w:pPr><w:pStyle w:val="Normal"/></w:pPr>
<w:r><w:t xml:space="preserve">Brinkburn and Lanercost.  The arrangement of the monastic</w:t></w:r>
</w:p>
<w:p>
<w:pPr><w:pStyle w:val="Normal"/></w:pPr>
<w:r><w:t xml:space="preserve">buildings followed the ordinary type.  The prior&apos;s lodge was</w:t></w:r>
</w:p>
<w:p>
<w:pPr><w:pStyle w:val="Normal"/></w:pPr>
<w:r><w:t xml:space="preserve">almost invariably attached to the S.W. angle of the nave.</w:t></w:r>
</w:p>
<w:p>
<w:pPr><w:pStyle w:val="Normal"/></w:pPr>
<w:r><w:t xml:space="preserve">Bristol Cathedral.</w:t></w:r>
</w:p>
<w:p>
<w:pPr><w:pStyle w:val="Normal"/></w:pPr>
<w:r><w:t xml:space="preserve">The annexed plan of the Abbey of St Augustine&apos;s at Bristol,</w:t></w:r>
</w:p>
<w:p>
<w:pPr><w:pStyle w:val="Normal"/></w:pPr>
<w:r><w:t xml:space="preserve">now the cathedral church of that city, shows the arrangement</w:t></w:r>
</w:p>
<w:p>
<w:pPr><w:pStyle w:val="Normal"/></w:pPr>
<w:r><w:t xml:space="preserve">of the buildings, which departs very little from the</w:t></w:r>
</w:p>
<w:p>
<w:pPr><w:pStyle w:val="Normal"/></w:pPr>
<w:r><w:t xml:space="preserve">ordinary Benedictine type.  The Austin canons&apos; house at</w:t></w:r>
</w:p>
<w:p>
<w:pPr><w:pStyle w:val="Normal"/></w:pPr>
<w:r><w:t xml:space="preserve">Thornton, in Lincolnshire, is remarkable for the size</w:t></w:r>
</w:p>
<w:p>
<w:pPr><w:pStyle w:val="Normal"/></w:pPr>
<w:r><w:t xml:space="preserve">and magnificence of its gate-house, the upper floors of</w:t></w:r>
</w:p>
<w:p>
<w:pPr><w:pStyle w:val="Normal"/></w:pPr>
<w:r><w:t xml:space="preserve">which formed the guest-house of the establishment, and for</w:t></w:r>
</w:p>
<w:p>
<w:pPr><w:pStyle w:val="Normal"/></w:pPr>
<w:r><w:t xml:space="preserve">possessing an octagonal chapter-house of Decorated date.</w:t></w:r>
</w:p>
<w:p>
<w:pPr><w:pStyle w:val="Normal"/></w:pPr>
<w:r><w:t xml:space="preserve">Premonstratensians.</w:t></w:r>
</w:p>
<w:p>
<w:pPr><w:pStyle w:val="Normal"/></w:pPr>
<w:r><w:t xml:space="preserve">The Premonstratensian regular canons, or White canons, had</w:t></w:r>
</w:p>
<w:p>
<w:pPr><w:pStyle w:val="Normal"/></w:pPr>
<w:r><w:t xml:space="preserve">as many as 35 houses in England, of which the most perfect</w:t></w:r>
</w:p>
<w:p>
<w:pPr><w:pStyle w:val="Normal"/></w:pPr>
<w:r><w:t xml:space="preserve">remaining are those of Easby.  Yorkshire, and Bayham, Kent.</w:t></w:r>
</w:p>
<w:p>
<w:pPr><w:pStyle w:val="Normal"/></w:pPr>
<w:r><w:t xml:space="preserve">The head house of the order in England was Welbeck.  This order</w:t></w:r>
</w:p>
<w:p>
<w:pPr><w:pStyle w:val="Normal"/></w:pPr>
<w:r><w:t xml:space="preserve">was a reformed branch of the Austin canons, founded, A.D.</w:t></w:r>
</w:p>
<w:p>
<w:pPr><w:pStyle w:val="Normal"/></w:pPr>
<w:r><w:t xml:space="preserve">1119, by Norbert (born at Xanten, on the Lower Rhine, c.</w:t></w:r>
</w:p>
<w:p>
<w:pPr><w:pStyle w:val="Normal"/></w:pPr>
<w:r><w:t xml:space="preserve">1080) at Premontre, a secluded marshy valley in the forest</w:t></w:r>
</w:p>
<w:p>
<w:pPr><w:pStyle w:val="Normal"/></w:pPr>
<w:r><w:t xml:space="preserve">of Coucy in the diocese of Laon.  The order spread widely.</w:t></w:r>
</w:p>
<w:p>
<w:pPr><w:pStyle w:val="Normal"/></w:pPr>
<w:r><w:t xml:space="preserve">Even in the founder&apos;s lifetime it possessed houses in Syria and</w:t></w:r>
</w:p>
<w:p>
<w:pPr><w:pStyle w:val="Normal"/></w:pPr>
<w:r><w:t xml:space="preserve">Palestine.  It long maintained its rigid austerity, till in</w:t></w:r>
</w:p>
<w:p>
<w:pPr><w:pStyle w:val="Normal"/></w:pPr>
<w:r><w:t xml:space="preserve">the course of years wealth impaired its discipline, and its</w:t></w:r>
</w:p>
<w:p>
<w:pPr><w:pStyle w:val="Normal"/></w:pPr>
<w:r><w:t xml:space="preserve">members sank into indolence and luxury.  The Premonstratensians</w:t></w:r>
</w:p>
<w:p>
<w:pPr><w:pStyle w:val="Normal"/></w:pPr>
<w:r><w:t xml:space="preserve">were brought to England shortly after A.D. 1140, and were</w:t></w:r>
</w:p>
<w:p>
<w:pPr><w:pStyle w:val="Normal"/></w:pPr>
<w:r><w:t xml:space="preserve">first settled at Newhouse, in Lincolnshire, near the Humber.</w:t></w:r>
</w:p>
<w:p>
<w:pPr><w:pStyle w:val="Normal"/></w:pPr>
<w:r><w:t xml:space="preserve">The ground-plan of Easby Abbey, owing to its situation on the</w:t></w:r>
</w:p>
<w:p>
<w:pPr><w:pStyle w:val="Normal"/></w:pPr>
<w:r><w:t xml:space="preserve">edge of the steeply sloping banks of a river, is singularly</w:t></w:r>
</w:p>
<w:p>
<w:pPr><w:pStyle w:val="Normal"/></w:pPr>
<w:r><w:t xml:space="preserve">irregular.  The cloister is duly placed on the south side of the</w:t></w:r>
</w:p>
<w:p>
<w:pPr><w:pStyle w:val="Normal"/></w:pPr>
<w:r><w:t xml:space="preserve">church, and the chief buildings occupy their usual positions</w:t></w:r>
</w:p>
<w:p>
<w:pPr><w:pStyle w:val="Normal"/></w:pPr>
<w:r><w:t xml:space="preserve">round it.  But the cloister garth, as at Chichester, is not</w:t></w:r>
</w:p>
<w:p>
<w:pPr><w:pStyle w:val="Normal"/></w:pPr>
<w:r><w:t xml:space="preserve">rectangular, and all the surrounding buildings are thus made</w:t></w:r>
</w:p>
<w:p>
<w:pPr><w:pStyle w:val="Normal"/></w:pPr>
<w:r><w:t xml:space="preserve">to sprawl in a very awkward fashion.  The church follows</w:t></w:r>
</w:p>
<w:p>
<w:pPr><w:pStyle w:val="Normal"/></w:pPr>
<w:r><w:t xml:space="preserve">the plan adopted by the Austin canons in their northern</w:t></w:r>
</w:p>
<w:p>
<w:pPr><w:pStyle w:val="Normal"/></w:pPr>
<w:r><w:t xml:space="preserve">abbeys, and has only one aisle to the nave--that to the</w:t></w:r>
</w:p>
<w:p>
<w:pPr><w:pStyle w:val="Normal"/></w:pPr>
<w:r><w:t xml:space="preserve">north; while the choir is long, narrow and aisleless.  Each</w:t></w:r>
</w:p>
<w:p>
<w:pPr><w:pStyle w:val="Normal"/></w:pPr>
<w:r><w:t xml:space="preserve">transept has an aisle to the east, forming three chapels.</w:t></w:r>
</w:p>
<w:p>
<w:pPr><w:pStyle w:val="Normal"/></w:pPr>
<w:r><w:t xml:space="preserve">The church at Bayham was destitute of aisles either to nave or</w:t></w:r>
</w:p>
<w:p>
<w:pPr><w:pStyle w:val="Normal"/></w:pPr>
<w:r><w:t xml:space="preserve">choir.  The latter terminated in a three-sided apse.  This church</w:t></w:r>
</w:p>
<w:p>
<w:pPr><w:pStyle w:val="Normal"/></w:pPr>
<w:r><w:t xml:space="preserve">is remarkable for its exceeding narrowness in proportion to its</w:t></w:r>
</w:p>
<w:p>
<w:pPr><w:pStyle w:val="Normal"/></w:pPr>
<w:r><w:t xml:space="preserve">length.  Extending in longitudinal dimensions 257 ft., it is</w:t></w:r>
</w:p>
<w:p>
<w:pPr><w:pStyle w:val="Normal"/></w:pPr>
<w:r><w:t xml:space="preserve">FIG. 11.--St Augustine&apos;s Abbey, Bristol (Bristol</w:t></w:r>
</w:p>
<w:p>
<w:pPr><w:pStyle w:val="Normal"/></w:pPr>
<w:r><w:t xml:space="preserve">A. Church.            H. Kitchen.         S. Friars&apos; lodging.</w:t></w:r>
</w:p>
<w:p>
<w:pPr><w:pStyle w:val="Normal"/></w:pPr>
<w:r><w:t xml:space="preserve">B. Great cloister.    I. Kitchen court.   T. King&apos;s hall.</w:t></w:r>
</w:p>
<w:p>
<w:pPr><w:pStyle w:val="Heading1"/></w:pPr>
<w:r><w:t>C. Little cloister.   K. Cellars.         V. Guest-house.</w:t></w:r>
</w:p>
<w:p>
<w:pPr><w:pStyle w:val="Normal"/></w:pPr>
<w:r><w:t xml:space="preserve">D. Chapter-house.     L. Abbot&apos;s hall.    W. Abbey gateway.</w:t></w:r>
</w:p>
<w:p>
<w:pPr><w:pStyle w:val="Normal"/></w:pPr>
<w:r><w:t xml:space="preserve">E. Calefactory.       P. Abbot&apos;s gateway. X. Barns, stables, &amp;c</w:t></w:r>
</w:p>
<w:p>
<w:pPr><w:pStyle w:val="Normal"/></w:pPr>
<w:r><w:t xml:space="preserve">F. Refectory.         R. Infirmary.       Y. Lavatory.</w:t></w:r>
</w:p>
<w:p>
<w:pPr><w:pStyle w:val="Normal"/></w:pPr>
<w:r><w:t xml:space="preserve">G. Parlour.</w:t></w:r>
</w:p>
<w:p>
<w:pPr><w:pStyle w:val="Normal"/></w:pPr>
<w:r><w:t xml:space="preserve">not more than 25 ft. broad.  Stern Premonstratensian canons</w:t></w:r>
</w:p>
<w:p>
<w:pPr><w:pStyle w:val="Normal"/></w:pPr>
<w:r><w:t xml:space="preserve">wanted no congregations, and cared for no possessions;</w:t></w:r>
</w:p>
<w:p>
<w:pPr><w:pStyle w:val="Normal"/></w:pPr>
<w:r><w:t xml:space="preserve">therefore they built their church like a long room.</w:t></w:r>
</w:p>
<w:p>
<w:pPr><w:pStyle w:val="Normal"/></w:pPr>
<w:r><w:t xml:space="preserve">Carthusians.</w:t></w:r>
</w:p>
<w:p>
<w:pPr><w:pStyle w:val="Normal"/></w:pPr>
<w:r><w:t xml:space="preserve">The Carthusian order, on its establishment by St Bruno,</w:t></w:r>
</w:p>
<w:p>
<w:pPr><w:pStyle w:val="Normal"/></w:pPr>
<w:r><w:t xml:space="preserve">about A.D. 1084, developed a greatly modified form and</w:t></w:r>
</w:p>
<w:p>
<w:pPr><w:pStyle w:val="Normal"/></w:pPr>
<w:r><w:t xml:space="preserve">arrangement of a monastic institution.  The principle of this</w:t></w:r>
</w:p>
<w:p>
<w:pPr><w:pStyle w:val="Normal"/></w:pPr>
<w:r><w:t xml:space="preserve">order, which combined the coenobitic with the solitary life,</w:t></w:r>
</w:p>
<w:p>
<w:pPr><w:pStyle w:val="Normal"/></w:pPr>
<w:r><w:t xml:space="preserve">demanded the erection of buildings on a novel plan.  This</w:t></w:r>
</w:p>
<w:p>
<w:pPr><w:pStyle w:val="Normal"/></w:pPr>
<w:r><w:t xml:space="preserve">plan, which was first adopted by St Bruno and his twelve</w:t></w:r>
</w:p>
<w:p>
<w:pPr><w:pStyle w:val="Normal"/></w:pPr>
<w:r><w:t xml:space="preserve">companions at the original institution at Chartreux, near</w:t></w:r>
</w:p>
<w:p>
<w:pPr><w:pStyle w:val="Normal"/></w:pPr>
<w:r><w:t xml:space="preserve">Grenoble, was maintained in all the Carthusian establishments</w:t></w:r>
</w:p>
<w:p>
<w:pPr><w:pStyle w:val="Normal"/></w:pPr>
<w:r><w:t xml:space="preserve">throughout Europe, even after the ascetic severity of the order</w:t></w:r>
</w:p>
<w:p>
<w:pPr><w:pStyle w:val="Normal"/></w:pPr>
<w:r><w:t xml:space="preserve">had been to some extent relaxed, and the primitive simplicity</w:t></w:r>
</w:p>
<w:p>
<w:pPr><w:pStyle w:val="Normal"/></w:pPr>
<w:r><w:t xml:space="preserve">of their buildings had been exchanged for the magnificence</w:t></w:r>
</w:p>
<w:p>
<w:pPr><w:pStyle w:val="Normal"/></w:pPr>
<w:r><w:t xml:space="preserve">of decoration which characterizes such foundations as the</w:t></w:r>
</w:p>
<w:p>
<w:pPr><w:pStyle w:val="Normal"/></w:pPr>
<w:r><w:t xml:space="preserve">Certosas of Pavia and Florence.  According to the rule of</w:t></w:r>
</w:p>
<w:p>
<w:pPr><w:pStyle w:val="Normal"/></w:pPr>
<w:r><w:t xml:space="preserve">St Bruno, all the members of a Carthusian brotherhood lived</w:t></w:r>
</w:p>
<w:p>
<w:pPr><w:pStyle w:val="Normal"/></w:pPr>
<w:r><w:t xml:space="preserve">in the most absolute solitude and silence.  Each occupied a</w:t></w:r>
</w:p>
<w:p>
<w:pPr><w:pStyle w:val="Normal"/></w:pPr>
<w:r><w:t xml:space="preserve">small detached cottage, standing by itself in a small garden</w:t></w:r>
</w:p>
<w:p>
<w:pPr><w:pStyle w:val="Normal"/></w:pPr>
<w:r><w:t xml:space="preserve">surrounded by high walls and connected by a common corridor or</w:t></w:r>
</w:p>
<w:p>
<w:pPr><w:pStyle w:val="Normal"/></w:pPr>
<w:r><w:t xml:space="preserve">cloister.  In these cottages or cells a Carthusian monk</w:t></w:r>
</w:p>
<w:p>
<w:pPr><w:pStyle w:val="Normal"/></w:pPr>
<w:r><w:t xml:space="preserve">passed his time in the strictest asceticism, only leaving</w:t></w:r>
</w:p>
<w:p>
<w:pPr><w:pStyle w:val="Normal"/></w:pPr>
<w:r><w:t xml:space="preserve">his solitary dwelling to attend the services of the Church,</w:t></w:r>
</w:p>
<w:p>
<w:pPr><w:pStyle w:val="Normal"/></w:pPr>
<w:r><w:t xml:space="preserve">except on certain days when the brotherhood assembled in the</w:t></w:r>
</w:p>
<w:p>
<w:pPr><w:pStyle w:val="Normal"/></w:pPr>
<w:r><w:t xml:space="preserve">refectory.  The peculiarity of the arrangements of a Carthusian</w:t></w:r>
</w:p>
<w:p>
<w:pPr><w:pStyle w:val="Normal"/></w:pPr>
<w:r><w:t xml:space="preserve">monastery, or charter-house, as it was called in England,</w:t></w:r>
</w:p>
<w:p>
<w:pPr><w:pStyle w:val="Normal"/></w:pPr>
<w:r><w:t xml:space="preserve">from a corruption of the French chartreux, is exhibited</w:t></w:r>
</w:p>
<w:p>
<w:pPr><w:pStyle w:val="Normal"/></w:pPr>
<w:r><w:t xml:space="preserve">in the plan of that of Clermont, from Viollet-le-Duc.</w:t></w:r>
</w:p>
<w:p>
<w:pPr><w:pStyle w:val="Normal"/></w:pPr>
<w:r><w:t xml:space="preserve">Clermont.</w:t></w:r>
</w:p>
<w:p>
<w:pPr><w:pStyle w:val="Normal"/></w:pPr>
<w:r><w:t xml:space="preserve">The whole establishment is surrounded hy a wall, furnished</w:t></w:r>
</w:p>
<w:p>
<w:pPr><w:pStyle w:val="Normal"/></w:pPr>
<w:r><w:t xml:space="preserve">at intervals with watch towers (R) . The enclosure is divided</w:t></w:r>
</w:p>
<w:p>
<w:pPr><w:pStyle w:val="Normal"/></w:pPr>
<w:r><w:t xml:space="preserve">into two courts, of which the eastern court, surrounded by a</w:t></w:r>
</w:p>
<w:p>
<w:pPr><w:pStyle w:val="Normal"/></w:pPr>
<w:r><w:t xml:space="preserve">cloister, from from which the cottages of the monks (I) open,</w:t></w:r>
</w:p>
<w:p>
<w:pPr><w:pStyle w:val="Normal"/></w:pPr>
<w:r><w:t xml:space="preserve">is musch the larger.  The two courts are divided by the main</w:t></w:r>
</w:p>
<w:p>
<w:pPr><w:pStyle w:val="Normal"/></w:pPr>
<w:r><w:t xml:space="preserve">buildings of the monastery, including the church, the sanctuary</w:t></w:r>
</w:p>
<w:p>
<w:pPr><w:pStyle w:val="Normal"/></w:pPr>
<w:r><w:t xml:space="preserve">(A), divided from B, the monks&apos; choir, by a screen with two</w:t></w:r>
</w:p>
<w:p>
<w:pPr><w:pStyle w:val="Normal"/></w:pPr>
<w:r><w:t xml:space="preserve">altars, the smaller cloister to the south (S) surrounded by</w:t></w:r>
</w:p>
<w:p>
<w:pPr><w:pStyle w:val="Normal"/></w:pPr>
<w:r><w:t xml:space="preserve">the chapter-house (E), the refectory (X)---these buildings</w:t></w:r>
</w:p>
<w:p>
<w:pPr><w:pStyle w:val="Normal"/></w:pPr>
<w:r><w:t xml:space="preserve">occupying their normal position--and the chapel of Pontgibaud</w:t></w:r>
</w:p>
<w:p>
<w:pPr><w:pStyle w:val="Normal"/></w:pPr>
<w:r><w:t xml:space="preserve">(K). The kitchen with its offices (V) lies behind the</w:t></w:r>
</w:p>
<w:p>
<w:pPr><w:pStyle w:val="Normal"/></w:pPr>
<w:r><w:t xml:space="preserve">relectory, accessible ftom the outer court without entering the</w:t></w:r>
</w:p>
<w:p>
<w:pPr><w:pStyle w:val="Normal"/></w:pPr>
<w:r><w:t xml:space="preserve">cloister.  To the north of the church, beyond the sacristy</w:t></w:r>
</w:p>
<w:p>
<w:pPr><w:pStyle w:val="Normal"/></w:pPr>
<w:r><w:t xml:space="preserve">(L), and the side chapels (M), we find the cell of the sub-prior</w:t></w:r>
</w:p>
<w:p>
<w:pPr><w:pStyle w:val="Normal"/></w:pPr>
<w:r><w:t xml:space="preserve">(a), with its garden.  The lodgings of the prior (G) occupy</w:t></w:r>
</w:p>
<w:p>
<w:pPr><w:pStyle w:val="Normal"/></w:pPr>
<w:r><w:t xml:space="preserve">the centre of the outer court, immediately in front of the</w:t></w:r>
</w:p>
<w:p>
<w:pPr><w:pStyle w:val="Normal"/></w:pPr>
<w:r><w:t xml:space="preserve">west door of the church, and face the gateway of the convent</w:t></w:r>
</w:p>
<w:p>
<w:pPr><w:pStyle w:val="Normal"/></w:pPr>
<w:r><w:t xml:space="preserve">(O). A small raised court with a fountain (C) is before</w:t></w:r>
</w:p>
<w:p>
<w:pPr><w:pStyle w:val="Normal"/></w:pPr>
<w:r><w:t xml:space="preserve">it.  This outer court also contains the guest-chambers (P),</w:t></w:r>
</w:p>
<w:p>
<w:pPr><w:pStyle w:val="Normal"/></w:pPr>
<w:r><w:t xml:space="preserve">the stables and lodgings of the lay brothers (N), the barns</w:t></w:r>
</w:p>
<w:p>
<w:pPr><w:pStyle w:val="Normal"/></w:pPr>
<w:r><w:t xml:space="preserve">and granaries (Q), the dovecot (H) and the bakehouse (T).</w:t></w:r>
</w:p>
<w:p>
<w:pPr><w:pStyle w:val="Normal"/></w:pPr>
<w:r><w:t xml:space="preserve">At Z is the prison.  In this outer court, in all the earlier</w:t></w:r>
</w:p>
<w:p>
<w:pPr><w:pStyle w:val="Normal"/></w:pPr>
<w:r><w:t xml:space="preserve">foundations, as at Witham, there was a smaller church in</w:t></w:r>
</w:p>
<w:p>
<w:pPr><w:pStyle w:val="Normal"/></w:pPr>
<w:r><w:t xml:space="preserve">addition to the larger church of the monks.) The outer and</w:t></w:r>
</w:p>
<w:p>
<w:pPr><w:pStyle w:val="Normal"/></w:pPr>
<w:r><w:t xml:space="preserve">inner courts are connected by a long passage (F), wide enough</w:t></w:r>
</w:p>
<w:p>
<w:pPr><w:pStyle w:val="Normal"/></w:pPr>
<w:r><w:t xml:space="preserve">to admit a cart laden with wood to supply the cells of the</w:t></w:r>
</w:p>
<w:p>
<w:pPr><w:pStyle w:val="Normal"/></w:pPr>
<w:r><w:t xml:space="preserve">brethren with fuel.  The number of cells surrounding the great</w:t></w:r>
</w:p>
<w:p>
<w:pPr><w:pStyle w:val="Normal"/></w:pPr>
<w:r><w:t xml:space="preserve">A. Church.</w:t></w:r>
</w:p>
<w:p>
<w:pPr><w:pStyle w:val="Normal"/></w:pPr>
<w:r><w:t xml:space="preserve">B. Monks&apos; choir.</w:t></w:r>
</w:p>
<w:p>
<w:pPr><w:pStyle w:val="Heading1"/></w:pPr>
<w:r><w:t>C. Prior&apos;s garden.</w:t></w:r>
</w:p>
<w:p>
<w:pPr><w:pStyle w:val="Normal"/></w:pPr>
<w:r><w:t xml:space="preserve">D. Great cloister.</w:t></w:r>
</w:p>
<w:p>
<w:pPr><w:pStyle w:val="Normal"/></w:pPr>
<w:r><w:t xml:space="preserve">E. Chapter-house.</w:t></w:r>
</w:p>
<w:p>
<w:pPr><w:pStyle w:val="Normal"/></w:pPr>
<w:r><w:t xml:space="preserve">F. Passage.</w:t></w:r>
</w:p>
<w:p>
<w:pPr><w:pStyle w:val="Normal"/></w:pPr>
<w:r><w:t xml:space="preserve">G. Prior&apos;s lodgings.</w:t></w:r>
</w:p>
<w:p>
<w:pPr><w:pStyle w:val="Normal"/></w:pPr>
<w:r><w:t xml:space="preserve">H. Dovecot.</w:t></w:r>
</w:p>
<w:p>
<w:pPr><w:pStyle w:val="Heading1"/></w:pPr>
<w:r><w:t>I. Cells.</w:t></w:r>
</w:p>
<w:p>
<w:pPr><w:pStyle w:val="Normal"/></w:pPr>
<w:r><w:t xml:space="preserve">K. Chapel of Pontgibaud.</w:t></w:r>
</w:p>
<w:p>
<w:pPr><w:pStyle w:val="Heading1"/></w:pPr>
<w:r><w:t>L. Sacristy.</w:t></w:r>
</w:p>
<w:p>
<w:pPr><w:pStyle w:val="Normal"/></w:pPr>
<w:r><w:t xml:space="preserve">M. Chapel.</w:t></w:r>
</w:p>
<w:p>
<w:pPr><w:pStyle w:val="Normal"/></w:pPr>
<w:r><w:t xml:space="preserve">N. Stables.</w:t></w:r>
</w:p>
<w:p>
<w:pPr><w:pStyle w:val="Normal"/></w:pPr>
<w:r><w:t xml:space="preserve">O. Gateway.</w:t></w:r>
</w:p>
<w:p>
<w:pPr><w:pStyle w:val="Normal"/></w:pPr>
<w:r><w:t xml:space="preserve">P. Guest-chambers.</w:t></w:r>
</w:p>
<w:p>
<w:pPr><w:pStyle w:val="Normal"/></w:pPr>
<w:r><w:t xml:space="preserve">Q. Barns and granaries.</w:t></w:r>
</w:p>
<w:p>
<w:pPr><w:pStyle w:val="Normal"/></w:pPr>
<w:r><w:t xml:space="preserve">R. Watch-tower.</w:t></w:r>
</w:p>
<w:p>
<w:pPr><w:pStyle w:val="Normal"/></w:pPr>
<w:r><w:t xml:space="preserve">S. Little cloister.</w:t></w:r>
</w:p>
<w:p>
<w:pPr><w:pStyle w:val="Normal"/></w:pPr>
<w:r><w:t xml:space="preserve">T. Bakehouse.</w:t></w:r>
</w:p>
<w:p>
<w:pPr><w:pStyle w:val="Heading1"/></w:pPr>
<w:r><w:t>V. Kitchen.</w:t></w:r>
</w:p>
<w:p>
<w:pPr><w:pStyle w:val="Heading1"/></w:pPr>
<w:r><w:t>X. Refectory.</w:t></w:r>
</w:p>
<w:p>
<w:pPr><w:pStyle w:val="Normal"/></w:pPr>
<w:r><w:t xml:space="preserve">Y. Cemetery.</w:t></w:r>
</w:p>
<w:p>
<w:pPr><w:pStyle w:val="Normal"/></w:pPr>
<w:r><w:t xml:space="preserve">Z. Prison.</w:t></w:r>
</w:p>
<w:p>
<w:pPr><w:pStyle w:val="Normal"/></w:pPr>
<w:r><w:t xml:space="preserve">a. Cell of subprior</w:t></w:r>
</w:p>
<w:p>
<w:pPr><w:pStyle w:val="Normal"/></w:pPr>
<w:r><w:t xml:space="preserve">b. Garden of do.</w:t></w:r>
</w:p>
<w:p>
<w:pPr><w:pStyle w:val="Normal"/></w:pPr>
<w:r><w:t xml:space="preserve">FIG. 12.--Carthusian monastery of Clermont.</w:t></w:r>
</w:p>
<w:p>
<w:pPr><w:pStyle w:val="Normal"/></w:pPr>
<w:r><w:t xml:space="preserve">cloister is 18. They are all arranged on a uniform plan.</w:t></w:r>
</w:p>
<w:p>
<w:pPr><w:pStyle w:val="Normal"/></w:pPr>
<w:r><w:t xml:space="preserve">Each little dwelling contains three rooms: a sitting-room</w:t></w:r>
</w:p>
<w:p>
<w:pPr><w:pStyle w:val="Normal"/></w:pPr>
<w:r><w:t xml:space="preserve">(C), warmed by a stove in winter; a sleeping-room (D),</w:t></w:r>
</w:p>
<w:p>
<w:pPr><w:pStyle w:val="Normal"/></w:pPr>
<w:r><w:t xml:space="preserve">furnished with a bed, a table, a bench, and a bookcase; and</w:t></w:r>
</w:p>
<w:p>
<w:pPr><w:pStyle w:val="Normal"/></w:pPr>
<w:r><w:t xml:space="preserve">a closet (E). Between the cell and the cloister gallery (A)</w:t></w:r>
</w:p>
<w:p>
<w:pPr><w:pStyle w:val="Normal"/></w:pPr>
<w:r><w:t xml:space="preserve">is a passage or corridor (B), cutting off the inmate of the</w:t></w:r>
</w:p>
<w:p>
<w:pPr><w:pStyle w:val="Normal"/></w:pPr>
<w:r><w:t xml:space="preserve">cell from all sound or movement which might interrupt his</w:t></w:r>
</w:p>
<w:p>
<w:pPr><w:pStyle w:val="Normal"/></w:pPr>
<w:r><w:t xml:space="preserve">meditations.  The superior had free access to this corridor, and</w:t></w:r>
</w:p>
<w:p>
<w:pPr><w:pStyle w:val="Normal"/></w:pPr>
<w:r><w:t xml:space="preserve">through open niches was able to inspect the garden without being</w:t></w:r>
</w:p>
<w:p>
<w:pPr><w:pStyle w:val="Normal"/></w:pPr>
<w:r><w:t xml:space="preserve">seen.  At I is the hatch or turn-table, in which the daily</w:t></w:r>
</w:p>
<w:p>
<w:pPr><w:pStyle w:val="Normal"/></w:pPr>
<w:r><w:t xml:space="preserve">allowance of food was deposited by a brother appointed for that</w:t></w:r>
</w:p>
<w:p>
<w:pPr><w:pStyle w:val="Normal"/></w:pPr>
<w:r><w:t xml:space="preserve">purpose, affording no view either inwards or outwards.  H is the</w:t></w:r>
</w:p>
<w:p>
<w:pPr><w:pStyle w:val="Normal"/></w:pPr>
<w:r><w:t xml:space="preserve">garden, cultivated by the occupant of the cell.  At K is the</w:t></w:r>
</w:p>
<w:p>
<w:pPr><w:pStyle w:val="Normal"/></w:pPr>
<w:r><w:t xml:space="preserve">wood-house.  F is a covered walk, with the necessary at the end.</w:t></w:r>
</w:p>
<w:p>
<w:pPr><w:pStyle w:val="Normal"/></w:pPr>
<w:r><w:t xml:space="preserve">The above arrangements are found with scarcely any variation</w:t></w:r>
</w:p>
<w:p>
<w:pPr><w:pStyle w:val="Normal"/></w:pPr>
<w:r><w:t xml:space="preserve">in all the charter-houses of western Europe.  The Yorkshire</w:t></w:r>
</w:p>
<w:p>
<w:pPr><w:pStyle w:val="Normal"/></w:pPr>
<w:r><w:t xml:space="preserve">Charter-house of Mount Grace, founded by Thomas Holland, the</w:t></w:r>
</w:p>
<w:p>
<w:pPr><w:pStyle w:val="Normal"/></w:pPr>
<w:r><w:t xml:space="preserve">young duke of Surrey, nephew of Richard II. and marshal of</w:t></w:r>
</w:p>
<w:p>
<w:pPr><w:pStyle w:val="Normal"/></w:pPr>
<w:r><w:t xml:space="preserve">England, during the revival of the popularity of the order,</w:t></w:r>
</w:p>
<w:p>
<w:pPr><w:pStyle w:val="Normal"/></w:pPr>
<w:r><w:t xml:space="preserve">about A.D. 1397, is the most perfect and best preserved English</w:t></w:r>
</w:p>
<w:p>
<w:pPr><w:pStyle w:val="Normal"/></w:pPr>
<w:r><w:t xml:space="preserve">example.  It is characterized by all the simplicity of the</w:t></w:r>
</w:p>
<w:p>
<w:pPr><w:pStyle w:val="Normal"/></w:pPr>
<w:r><w:t xml:space="preserve">order.  The church is a modest building, long, narrow and</w:t></w:r>
</w:p>
<w:p>
<w:pPr><w:pStyle w:val="Normal"/></w:pPr>
<w:r><w:t xml:space="preserve">aisleless.  Within the wall of enclosure are two courts.</w:t></w:r>
</w:p>
<w:p>
<w:pPr><w:pStyle w:val="Normal"/></w:pPr>
<w:r><w:t xml:space="preserve">The smaller of the two, the south, presents the usual</w:t></w:r>
</w:p>
<w:p>
<w:pPr><w:pStyle w:val="Normal"/></w:pPr>
<w:r><w:t xml:space="preserve">arrangement of church, refectory, &amp;c., opening out of a</w:t></w:r>
</w:p>
<w:p>
<w:pPr><w:pStyle w:val="Normal"/></w:pPr>
<w:r><w:t xml:space="preserve">cloister.  The buildings are plain and solid.  The northern</w:t></w:r>
</w:p>
<w:p>
<w:pPr><w:pStyle w:val="Normal"/></w:pPr>
<w:r><w:t xml:space="preserve">court contains the cells, 14 in number.  It is surrotmded by a</w:t></w:r>
</w:p>
<w:p>
<w:pPr><w:pStyle w:val="Normal"/></w:pPr>
<w:r><w:t xml:space="preserve">double stone wall, the two walls being about 30 ft. or 40 ft.</w:t></w:r>
</w:p>
<w:p>
<w:pPr><w:pStyle w:val="Normal"/></w:pPr>
<w:r><w:t xml:space="preserve">apart.  Between these, each in its own garden, stand the cells;</w:t></w:r>
</w:p>
<w:p>
<w:pPr><w:pStyle w:val="Normal"/></w:pPr>
<w:r><w:t xml:space="preserve">low-built two-storied cottages, of two or three rooms on the</w:t></w:r>
</w:p>
<w:p>
<w:pPr><w:pStyle w:val="Normal"/></w:pPr>
<w:r><w:t xml:space="preserve">ground-floor, lighted by a larger and a smaller window to the</w:t></w:r>
</w:p>
<w:p>
<w:pPr><w:pStyle w:val="Normal"/></w:pPr>
<w:r><w:t xml:space="preserve">side, and provided with a doorway to the court, and one at the</w:t></w:r>
</w:p>
<w:p>
<w:pPr><w:pStyle w:val="Normal"/></w:pPr>
<w:r><w:t xml:space="preserve">back, opposite to one in the outer wall, through which the</w:t></w:r>
</w:p>
<w:p>
<w:pPr><w:pStyle w:val="Normal"/></w:pPr>
<w:r><w:t xml:space="preserve">monk may have conveyed the sweepings of his cell and the refuse</w:t></w:r>
</w:p>
<w:p>
<w:pPr><w:pStyle w:val="Normal"/></w:pPr>
<w:r><w:t xml:space="preserve">of his garden to the ``eremus&apos;&apos; beyond.  By the side of the</w:t></w:r>
</w:p>
<w:p>
<w:pPr><w:pStyle w:val="Normal"/></w:pPr>
<w:r><w:t xml:space="preserve">door to the court is a little hatch through which the daily</w:t></w:r>
</w:p>
<w:p>
<w:pPr><w:pStyle w:val="Normal"/></w:pPr>
<w:r><w:t xml:space="preserve">pittance of food was supplied, so contrived by turning at an</w:t></w:r>
</w:p>
<w:p>
<w:pPr><w:pStyle w:val="Normal"/></w:pPr>
<w:r><w:t xml:space="preserve">angle in the wall that no one could either look in or look</w:t></w:r>
</w:p>
<w:p>
<w:pPr><w:pStyle w:val="Normal"/></w:pPr>
<w:r><w:t xml:space="preserve">out.  A very perfect example of this hatch---an arrangement</w:t></w:r>
</w:p>
<w:p>
<w:pPr><w:pStyle w:val="Normal"/></w:pPr>
<w:r><w:t xml:space="preserve">belonging to all Carthusian houses--exists at Miraflores, near</w:t></w:r>
</w:p>
<w:p>
<w:pPr><w:pStyle w:val="Normal"/></w:pPr>
<w:r><w:t xml:space="preserve">Burgos, which remains nearly as it was completed in 1480.</w:t></w:r>
</w:p>
<w:p>
<w:pPr><w:pStyle w:val="Normal"/></w:pPr>
<w:r><w:t xml:space="preserve">A. Cloister gallery.</w:t></w:r>
</w:p>
<w:p>
<w:pPr><w:pStyle w:val="Normal"/></w:pPr>
<w:r><w:t xml:space="preserve">B. Corridor.</w:t></w:r>
</w:p>
<w:p>
<w:pPr><w:pStyle w:val="Heading1"/></w:pPr>
<w:r><w:t>C. Living-room.</w:t></w:r>
</w:p>
<w:p>
<w:pPr><w:pStyle w:val="Normal"/></w:pPr>
<w:r><w:t xml:space="preserve">D. Sleeping-room.</w:t></w:r>
</w:p>
<w:p>
<w:pPr><w:pStyle w:val="Normal"/></w:pPr>
<w:r><w:t xml:space="preserve">E. Closets.</w:t></w:r>
</w:p>
<w:p>
<w:pPr><w:pStyle w:val="Normal"/></w:pPr>
<w:r><w:t xml:space="preserve">F. Covered walk.</w:t></w:r>
</w:p>
<w:p>
<w:pPr><w:pStyle w:val="Normal"/></w:pPr>
<w:r><w:t xml:space="preserve">G. Necessary.</w:t></w:r>
</w:p>
<w:p>
<w:pPr><w:pStyle w:val="Normal"/></w:pPr>
<w:r><w:t xml:space="preserve">H. Garden.</w:t></w:r>
</w:p>
<w:p>
<w:pPr><w:pStyle w:val="Heading1"/></w:pPr>
<w:r><w:t>I. Hatch.</w:t></w:r>
</w:p>
<w:p>
<w:pPr><w:pStyle w:val="Normal"/></w:pPr>
<w:r><w:t xml:space="preserve">K. Wood-house.</w:t></w:r>
</w:p>
<w:p>
<w:pPr><w:pStyle w:val="Normal"/></w:pPr>
<w:r><w:t xml:space="preserve">FIG. 13--Carthusian cell, Clermont.</w:t></w:r>
</w:p>
<w:p>
<w:pPr><w:pStyle w:val="Normal"/></w:pPr>
<w:r><w:t xml:space="preserve">There were only nine Carthusian houses in England.  The</w:t></w:r>
</w:p>
<w:p>
<w:pPr><w:pStyle w:val="Normal"/></w:pPr>
<w:r><w:t xml:space="preserve">earliest was that at Witham in Somersetshire, founded</w:t></w:r>
</w:p>
<w:p>
<w:pPr><w:pStyle w:val="Normal"/></w:pPr>
<w:r><w:t xml:space="preserve">by Henry II., by whom the order was first brought into</w:t></w:r>
</w:p>
<w:p>
<w:pPr><w:pStyle w:val="Normal"/></w:pPr>
<w:r><w:t xml:space="preserve">England.  The wealthiest and most magnificent was that of</w:t></w:r>
</w:p>
<w:p>
<w:pPr><w:pStyle w:val="Normal"/></w:pPr>
<w:r><w:t xml:space="preserve">Sheen or Richmond in Surrey, founded by Henry V. about A.D.</w:t></w:r>
</w:p>
<w:p>
<w:pPr><w:pStyle w:val="Normal"/></w:pPr>
<w:r><w:t xml:space="preserve">1414.  The, dimensions of the buildings at Sheen are stated</w:t></w:r>
</w:p>
<w:p>
<w:pPr><w:pStyle w:val="Normal"/></w:pPr>
<w:r><w:t xml:space="preserve">to have been remarkably large.  The great court measured</w:t></w:r>
</w:p>
<w:p>
<w:pPr><w:pStyle w:val="Normal"/></w:pPr>
<w:r><w:t xml:space="preserve">300 ft. by 250 ft.; the cloisters were a square of 500 ft.;</w:t></w:r>
</w:p>
<w:p>
<w:pPr><w:pStyle w:val="Normal"/></w:pPr>
<w:r><w:t xml:space="preserve">the hall was 110 ft. in length by 60 ft. in breadth.  The</w:t></w:r>
</w:p>
<w:p>
<w:pPr><w:pStyle w:val="Normal"/></w:pPr>
<w:r><w:t xml:space="preserve">most celebrated historically is the Charter house of London,</w:t></w:r>
</w:p>
<w:p>
<w:pPr><w:pStyle w:val="Normal"/></w:pPr>
<w:r><w:t xml:space="preserve">founded by Sir Walter Manny A.D. 1371, the name of which</w:t></w:r>
</w:p>
<w:p>
<w:pPr><w:pStyle w:val="Normal"/></w:pPr>
<w:r><w:t xml:space="preserve">is preserved by the famous public school established on the</w:t></w:r>
</w:p>
<w:p>
<w:pPr><w:pStyle w:val="Normal"/></w:pPr>
<w:r><w:t xml:space="preserve">site by Thomas Sutton A.D. 1611, now removed to Godalming.</w:t></w:r>
</w:p>
<w:p>
<w:pPr><w:pStyle w:val="Normal"/></w:pPr>
<w:r><w:t xml:space="preserve">Mendicant Friars.</w:t></w:r>
</w:p>
<w:p>
<w:pPr><w:pStyle w:val="Normal"/></w:pPr>
<w:r><w:t xml:space="preserve">An article on monastic arrangements would be incomplete without</w:t></w:r>
</w:p>
<w:p>
<w:pPr><w:pStyle w:val="Normal"/></w:pPr>
<w:r><w:t xml:space="preserve">some account of the convents of the Mendicant or Preaching</w:t></w:r>
</w:p>
<w:p>
<w:pPr><w:pStyle w:val="Normal"/></w:pPr>
<w:r><w:t xml:space="preserve">Friars, including the Black Friars or Dominicans, the Grey</w:t></w:r>
</w:p>
<w:p>
<w:pPr><w:pStyle w:val="Normal"/></w:pPr>
<w:r><w:t xml:space="preserve">or Franciscans, the White or Carmelites, the Eremite or</w:t></w:r>
</w:p>
<w:p>
<w:pPr><w:pStyle w:val="Normal"/></w:pPr>
<w:r><w:t xml:space="preserve">Austin, Friars.  These orders arose at the beginning of the</w:t></w:r>
</w:p>
<w:p>
<w:pPr><w:pStyle w:val="Normal"/></w:pPr>
<w:r><w:t xml:space="preserve">13th century, when the Benedictines, together with their</w:t></w:r>
</w:p>
<w:p>
<w:pPr><w:pStyle w:val="Normal"/></w:pPr>
<w:r><w:t xml:space="preserve">various reformed branches, had terminated their active</w:t></w:r>
</w:p>
<w:p>
<w:pPr><w:pStyle w:val="Normal"/></w:pPr>
<w:r><w:t xml:space="preserve">mission, and Christian Europe was ready for a new religious</w:t></w:r>
</w:p>
<w:p>
<w:pPr><w:pStyle w:val="Normal"/></w:pPr>
<w:r><w:t xml:space="preserve">revival.  Planting themselves, as a rule, in large towns,</w:t></w:r>
</w:p>
<w:p>
<w:pPr><w:pStyle w:val="Normal"/></w:pPr>
<w:r><w:t xml:space="preserve">and by preference in the poorest and most densely populated</w:t></w:r>
</w:p>
<w:p>
<w:pPr><w:pStyle w:val="Normal"/></w:pPr>
<w:r><w:t xml:space="preserve">districts, the Preaching Friars were obliged to adapt their</w:t></w:r>
</w:p>
<w:p>
<w:pPr><w:pStyle w:val="Normal"/></w:pPr>
<w:r><w:t xml:space="preserve">buildings to the requirements of the site.  Regularity of</w:t></w:r>
</w:p>
<w:p>
<w:pPr><w:pStyle w:val="Normal"/></w:pPr>
<w:r><w:t xml:space="preserve">arrangement, therefore, was not possible, even if they had</w:t></w:r>
</w:p>
<w:p>
<w:pPr><w:pStyle w:val="Normal"/></w:pPr>
<w:r><w:t xml:space="preserve">studied it.  Their churches, built for the reception of</w:t></w:r>
</w:p>
<w:p>
<w:pPr><w:pStyle w:val="Normal"/></w:pPr>
<w:r><w:t xml:space="preserve">large congregations of hearers rather than worshippers, form</w:t></w:r>
</w:p>
<w:p>
<w:pPr><w:pStyle w:val="Normal"/></w:pPr>
<w:r><w:t xml:space="preserve">a class by themselves, totally unlike those of the elder</w:t></w:r>
</w:p>
<w:p>
<w:pPr><w:pStyle w:val="Normal"/></w:pPr>
<w:r><w:t xml:space="preserve">orders in ground-plan and character.  They were usually long</w:t></w:r>
</w:p>
<w:p>
<w:pPr><w:pStyle w:val="Normal"/></w:pPr>
<w:r><w:t xml:space="preserve">parallelograms unbroken by transepts.  The nave very usually</w:t></w:r>
</w:p>
<w:p>
<w:pPr><w:pStyle w:val="Normal"/></w:pPr>
<w:r><w:t xml:space="preserve">consisted of two equal bodies, one containing the stalls</w:t></w:r>
</w:p>
<w:p>
<w:pPr><w:pStyle w:val="Normal"/></w:pPr>
<w:r><w:t xml:space="preserve">of the brotherhood, the other left entirely free for the</w:t></w:r>
</w:p>
<w:p>
<w:pPr><w:pStyle w:val="Normal"/></w:pPr>
<w:r><w:t xml:space="preserve">congregation.  The constructional choir is often wanting,</w:t></w:r>
</w:p>
<w:p>
<w:pPr><w:pStyle w:val="Normal"/></w:pPr>
<w:r><w:t xml:space="preserve">the whole church forming one uninterrupted structure, with</w:t></w:r>
</w:p>
<w:p>
<w:pPr><w:pStyle w:val="Normal"/></w:pPr>
<w:r><w:t xml:space="preserve">a continuous range of windows.  The east end was usually</w:t></w:r>
</w:p>
<w:p>
<w:pPr><w:pStyle w:val="Normal"/></w:pPr>
<w:r><w:t xml:space="preserve">square, but the Friars Church at Winchelsea had a polygonal</w:t></w:r>
</w:p>
<w:p>
<w:pPr><w:pStyle w:val="Normal"/></w:pPr>
<w:r><w:t xml:space="preserve">apse.  We not unfrequently find a single transept, sometimes of</w:t></w:r>
</w:p>
<w:p>
<w:pPr><w:pStyle w:val="Normal"/></w:pPr>
<w:r><w:t xml:space="preserve">great size, rivalling or exceeding the nave.  This arrangement</w:t></w:r>
</w:p>
<w:p>
<w:pPr><w:pStyle w:val="Normal"/></w:pPr>
<w:r><w:t xml:space="preserve">is frequent in Ireland, where the numerous small friaries</w:t></w:r>
</w:p>
<w:p>
<w:pPr><w:pStyle w:val="Normal"/></w:pPr>
<w:r><w:t xml:space="preserve">afford admirable exemplifications of these peculiarities of</w:t></w:r>
</w:p>
<w:p>
<w:pPr><w:pStyle w:val="Normal"/></w:pPr>
<w:r><w:t xml:space="preserve">ground-plan.  The friars&apos; churches were at first destitute of</w:t></w:r>
</w:p>
<w:p>
<w:pPr><w:pStyle w:val="Normal"/></w:pPr>
<w:r><w:t xml:space="preserve">towers; but in the 14th and 15th centuries, tall, slender towers</w:t></w:r>
</w:p>
<w:p>
<w:pPr><w:pStyle w:val="Normal"/></w:pPr>
<w:r><w:t xml:space="preserve">were commonly inserted between the nave and the choir.  The</w:t></w:r>
</w:p>
<w:p>
<w:pPr><w:pStyle w:val="Normal"/></w:pPr>
<w:r><w:t xml:space="preserve">Grey Friars at Lynn, where the tower is hexagonal, is a good</w:t></w:r>
</w:p>
<w:p>
<w:pPr><w:pStyle w:val="Normal"/></w:pPr>
<w:r><w:t xml:space="preserve">example.  The arrangement of the monastic buildings is equally</w:t></w:r>
</w:p>
<w:p>
<w:pPr><w:pStyle w:val="Normal"/></w:pPr>
<w:r><w:t xml:space="preserve">peculiar and characteristic.  We miss entirely the regularity</w:t></w:r>
</w:p>
<w:p>
<w:pPr><w:pStyle w:val="Normal"/></w:pPr>
<w:r><w:t xml:space="preserve">of the buildings of the earlier orders.  At the Jacobins at</w:t></w:r>
</w:p>
<w:p>
<w:pPr><w:pStyle w:val="Normal"/></w:pPr>
<w:r><w:t xml:space="preserve">Paris, a cloister lay to the north of the long narrow church</w:t></w:r>
</w:p>
<w:p>
<w:pPr><w:pStyle w:val="Normal"/></w:pPr>
<w:r><w:t xml:space="preserve">of two parallel aisles, while the refectory--a room of immense</w:t></w:r>
</w:p>
<w:p>
<w:pPr><w:pStyle w:val="Normal"/></w:pPr>
<w:r><w:t xml:space="preserve">length, quite detached from the cloister--stretched across</w:t></w:r>
</w:p>
<w:p>
<w:pPr><w:pStyle w:val="Normal"/></w:pPr>
<w:r><w:t xml:space="preserve">the area before the west front of the church.  At Toulouse the</w:t></w:r>
</w:p>
<w:p>
<w:pPr><w:pStyle w:val="Normal"/></w:pPr>
<w:r><w:t xml:space="preserve">nave also has two parallel aisles, but the choir is apsidal,</w:t></w:r>
</w:p>
<w:p>
<w:pPr><w:pStyle w:val="Normal"/></w:pPr>
<w:r><w:t xml:space="preserve">with radiating chapel.  The refectory stretches northwards at</w:t></w:r>
</w:p>
<w:p>
<w:pPr><w:pStyle w:val="Normal"/></w:pPr>
<w:r><w:t xml:space="preserve">right angles to the cloister, which lies to the north of the</w:t></w:r>
</w:p>
<w:p>
<w:pPr><w:pStyle w:val="Normal"/></w:pPr>
<w:r><w:t xml:space="preserve">church, having the chapter-house and sacristy on the east.</w:t></w:r>
</w:p>
<w:p>
<w:pPr><w:pStyle w:val="Normal"/></w:pPr>
<w:r><w:t xml:space="preserve">Norwich.  Gloucester.</w:t></w:r>
</w:p>
<w:p>
<w:pPr><w:pStyle w:val="Normal"/></w:pPr>
<w:r><w:t xml:space="preserve">As examples of English friaries, the Dominican house at</w:t></w:r>
</w:p>
<w:p>
<w:pPr><w:pStyle w:val="Normal"/></w:pPr>
<w:r><w:t xml:space="preserve">Norwich, and those of the Dominicans and Franciscans at</w:t></w:r>
</w:p>
<w:p>
<w:pPr><w:pStyle w:val="Normal"/></w:pPr>
<w:r><w:t xml:space="preserve">Gloucester, may be mentioned.  The church of the Black</w:t></w:r>
</w:p>
<w:p>
<w:pPr><w:pStyle w:val="Normal"/></w:pPr>
<w:r><w:t xml:space="preserve">Friars of Norwich departs from the original type in the</w:t></w:r>
</w:p>
<w:p>
<w:pPr><w:pStyle w:val="Normal"/></w:pPr>
<w:r><w:t xml:space="preserve">nave (now St Andrew&apos;s Hall), in having regular aisles.  In</w:t></w:r>
</w:p>
<w:p>
<w:pPr><w:pStyle w:val="Normal"/></w:pPr>
<w:r><w:t xml:space="preserve">this it resembles the earlier examples of the Grey Friars at</w:t></w:r>
</w:p>
<w:p>
<w:pPr><w:pStyle w:val="Normal"/></w:pPr>
<w:r><w:t xml:space="preserve">Reading.  The choir is long and aisleless; an hexagonal tower</w:t></w:r>
</w:p>
<w:p>
<w:pPr><w:pStyle w:val="Normal"/></w:pPr>
<w:r><w:t xml:space="preserve">between the two, like that existing at Lynn, has perished.  Thc</w:t></w:r>
</w:p>
<w:p>
<w:pPr><w:pStyle w:val="Normal"/></w:pPr>
<w:r><w:t xml:space="preserve">cloister and monastic buildings remain tolerably perfect to the</w:t></w:r>
</w:p>
<w:p>
<w:pPr><w:pStyle w:val="Normal"/></w:pPr>
<w:r><w:t xml:space="preserve">north.  The Dominican convent at Gloucester still exhibits the</w:t></w:r>
</w:p>
<w:p>
<w:pPr><w:pStyle w:val="Normal"/></w:pPr>
<w:r><w:t xml:space="preserve">cloister-court, on the north side of which is the desecrated</w:t></w:r>
</w:p>
<w:p>
<w:pPr><w:pStyle w:val="Normal"/></w:pPr>
<w:r><w:t xml:space="preserve">church.  The refectory is on the west side and on the south</w:t></w:r>
</w:p>
<w:p>
<w:pPr><w:pStyle w:val="Normal"/></w:pPr>
<w:r><w:t xml:space="preserve">the dormitory of the 13th century.  This is a remarkably good</w:t></w:r>
</w:p>
<w:p>
<w:pPr><w:pStyle w:val="Normal"/></w:pPr>
<w:r><w:t xml:space="preserve">example.  There were 18 cells or cubicles on each side, divided</w:t></w:r>
</w:p>
<w:p>
<w:pPr><w:pStyle w:val="Normal"/></w:pPr>
<w:r><w:t xml:space="preserve">by partitions, the bases of which remain.  On the east side</w:t></w:r>
</w:p>
<w:p>
<w:pPr><w:pStyle w:val="Normal"/></w:pPr>
<w:r><w:t xml:space="preserve">was the prior&apos;s house, a building of later date.  At the Grey</w:t></w:r>
</w:p>
<w:p>
<w:pPr><w:pStyle w:val="Normal"/></w:pPr>
<w:r><w:t xml:space="preserve">or Franciscan Friars, the church followed the ordinary type in</w:t></w:r>
</w:p>
<w:p>
<w:pPr><w:pStyle w:val="Normal"/></w:pPr>
<w:r><w:t xml:space="preserve">having two equal bodies, each gabled, with a continuous range of</w:t></w:r>
</w:p>
<w:p>
<w:pPr><w:pStyle w:val="Normal"/></w:pPr>
<w:r><w:t xml:space="preserve">windows.  There was a slender tower between the nave and the choir.</w:t></w:r>
</w:p>
<w:p>
<w:pPr><w:pStyle w:val="Normal"/></w:pPr>
<w:r><w:t xml:space="preserve">Hulne.</w:t></w:r>
</w:p>
<w:p>
<w:pPr><w:pStyle w:val="Normal"/></w:pPr>
<w:r><w:t xml:space="preserve">Of the convents of the Carmelite or White Friars we have a</w:t></w:r>
</w:p>
<w:p>
<w:pPr><w:pStyle w:val="Normal"/></w:pPr>
<w:r><w:t xml:space="preserve">good example in the Abbey of Hulne, near Alnwick, the first</w:t></w:r>
</w:p>
<w:p>
<w:pPr><w:pStyle w:val="Normal"/></w:pPr>
<w:r><w:t xml:space="preserve">of the order in England, founded A.D. 1240.  The church</w:t></w:r>
</w:p>
<w:p>
<w:pPr><w:pStyle w:val="Normal"/></w:pPr>
<w:r><w:t xml:space="preserve">is a narrow oblong, destitute of aisles, 123 ft. long by</w:t></w:r>
</w:p>
<w:p>
<w:pPr><w:pStyle w:val="Normal"/></w:pPr>
<w:r><w:t xml:space="preserve">only 26 ft. wide.  The cloisters are to the south, with</w:t></w:r>
</w:p>
<w:p>
<w:pPr><w:pStyle w:val="Normal"/></w:pPr>
<w:r><w:t xml:space="preserve">the chapter-house, &amp;c., to the east, with the dormitory</w:t></w:r>
</w:p>
<w:p>
<w:pPr><w:pStyle w:val="Normal"/></w:pPr>
<w:r><w:t xml:space="preserve">over.  The prior&apos;s lodge is placed to the west of the</w:t></w:r>
</w:p>
<w:p>
<w:pPr><w:pStyle w:val="Normal"/></w:pPr>
<w:r><w:t xml:space="preserve">cloister.  The guest-houses adjoin the entrance gateway, to</w:t></w:r>
</w:p>
<w:p>
<w:pPr><w:pStyle w:val="Normal"/></w:pPr>
<w:r><w:t xml:space="preserve">which a chapel was annexed on the south side of the conventual</w:t></w:r>
</w:p>
<w:p>
<w:pPr><w:pStyle w:val="Normal"/></w:pPr>
<w:r><w:t xml:space="preserve">area.  The nave of the church of the Austin Friars or Eremites</w:t></w:r>
</w:p>
<w:p>
<w:pPr><w:pStyle w:val="Normal"/></w:pPr>
<w:r><w:t xml:space="preserve">in London is still standing.  It is of Decorated date, and</w:t></w:r>
</w:p>
<w:p>
<w:pPr><w:pStyle w:val="Normal"/></w:pPr>
<w:r><w:t xml:space="preserve">has wide centre and side aisles, divided by a very light and</w:t></w:r>
</w:p>
<w:p>
<w:pPr><w:pStyle w:val="Normal"/></w:pPr>
<w:r><w:t xml:space="preserve">graceful arcade.  Some fragments of the south walk of the</w:t></w:r>
</w:p>
<w:p>
<w:pPr><w:pStyle w:val="Normal"/></w:pPr>
<w:r><w:t xml:space="preserve">cloister of the Grey Friars remained among the buildings of</w:t></w:r>
</w:p>
<w:p>
<w:pPr><w:pStyle w:val="Normal"/></w:pPr>
<w:r><w:t xml:space="preserve">Christ&apos;s Hospital (the Blue-Coat School), while they were still</w:t></w:r>
</w:p>
<w:p>
<w:pPr><w:pStyle w:val="Normal"/></w:pPr>
<w:r><w:t xml:space="preserve">standing.  Of the Black Friars all has perished but the</w:t></w:r>
</w:p>
<w:p>
<w:pPr><w:pStyle w:val="Normal"/></w:pPr>
<w:r><w:t xml:space="preserve">name.  Taken as a whole, the remains of the establishments of</w:t></w:r>
</w:p>
<w:p>
<w:pPr><w:pStyle w:val="Normal"/></w:pPr>
<w:r><w:t xml:space="preserve">the friars afford little warrant for the bitter invective of</w:t></w:r>
</w:p>
<w:p>
<w:pPr><w:pStyle w:val="Normal"/></w:pPr>
<w:r><w:t xml:space="preserve">the Benedictine of St Alban&apos;s, Matthew Paris:---``The friars</w:t></w:r>
</w:p>
<w:p>
<w:pPr><w:pStyle w:val="Normal"/></w:pPr>
<w:r><w:t xml:space="preserve">who have been founded hardly 40 years have built residences</w:t></w:r>
</w:p>
<w:p>
<w:pPr><w:pStyle w:val="Normal"/></w:pPr>
<w:r><w:t xml:space="preserve">as the palaces of kings.  These are they who, enlarging day</w:t></w:r>
</w:p>
<w:p>
<w:pPr><w:pStyle w:val="Normal"/></w:pPr>
<w:r><w:t xml:space="preserve">by day their sumptuous edifices, encircling them with lofty</w:t></w:r>
</w:p>
<w:p>
<w:pPr><w:pStyle w:val="Normal"/></w:pPr>
<w:r><w:t xml:space="preserve">walls, lay up in them their incalculable treasures, imprudently</w:t></w:r>
</w:p>
<w:p>
<w:pPr><w:pStyle w:val="Normal"/></w:pPr>
<w:r><w:t xml:space="preserve">transgressing the bounds of poverty and violating the very</w:t></w:r>
</w:p>
<w:p>
<w:pPr><w:pStyle w:val="Normal"/></w:pPr>
<w:r><w:t xml:space="preserve">fundamental rules of their profession.&apos;&apos; Allowance must here be</w:t></w:r>
</w:p>
<w:p>
<w:pPr><w:pStyle w:val="Normal"/></w:pPr>
<w:r><w:t xml:space="preserve">made for jealousy of a rival order just rising in popularity.</w:t></w:r>
</w:p>
<w:p>
<w:pPr><w:pStyle w:val="Normal"/></w:pPr>
<w:r><w:t xml:space="preserve">Cells.</w:t></w:r>
</w:p>
<w:p>
<w:pPr><w:pStyle w:val="Normal"/></w:pPr>
<w:r><w:t xml:space="preserve">Every large monastery had depending upon it one or more smaller</w:t></w:r>
</w:p>
<w:p>
<w:pPr><w:pStyle w:val="Normal"/></w:pPr>
<w:r><w:t xml:space="preserve">establishments known as cells. These cells were monastic</w:t></w:r>
</w:p>
<w:p>
<w:pPr><w:pStyle w:val="Normal"/></w:pPr>
<w:r><w:t xml:space="preserve">colonies, sent forth by the parent house, and planted on some</w:t></w:r>
</w:p>
<w:p>
<w:pPr><w:pStyle w:val="Normal"/></w:pPr>
<w:r><w:t xml:space="preserve">outlying estate.  As an example, we may refer to the small</w:t></w:r>
</w:p>
<w:p>
<w:pPr><w:pStyle w:val="Normal"/></w:pPr>
<w:r><w:t xml:space="preserve">religious house of St Mary Magdalene&apos;s, a cell of the great</w:t></w:r>
</w:p>
<w:p>
<w:pPr><w:pStyle w:val="Normal"/></w:pPr>
<w:r><w:t xml:space="preserve">Benedictine house of St Mary&apos;s, York, in the valley of the</w:t></w:r>
</w:p>
<w:p>
<w:pPr><w:pStyle w:val="Normal"/></w:pPr>
<w:r><w:t xml:space="preserve">Witham, to the south-east of the city of Lincoln.  This consists</w:t></w:r>
</w:p>
<w:p>
<w:pPr><w:pStyle w:val="Normal"/></w:pPr>
<w:r><w:t xml:space="preserve">of one long narrow range of building, of which the eastern part</w:t></w:r>
</w:p>
<w:p>
<w:pPr><w:pStyle w:val="Normal"/></w:pPr>
<w:r><w:t xml:space="preserve">formed the chapel and the western contained the apartments of</w:t></w:r>
</w:p>
<w:p>
<w:pPr><w:pStyle w:val="Normal"/></w:pPr>
<w:r><w:t xml:space="preserve">the handful of monks of which it was the home.  To the east</w:t></w:r>
</w:p>
<w:p>
<w:pPr><w:pStyle w:val="Normal"/></w:pPr>
<w:r><w:t xml:space="preserve">may be traced the site of the abbey mill, with its dam and</w:t></w:r>
</w:p>
<w:p>
<w:pPr><w:pStyle w:val="Normal"/></w:pPr>
<w:r><w:t xml:space="preserve">mill-lead.  These cells, when belonging to a Cluniac house,</w:t></w:r>
</w:p>
<w:p>
<w:pPr><w:pStyle w:val="Normal"/></w:pPr>
<w:r><w:t xml:space="preserve">were called Obedientiae. The plan given by Viollet-le-Duc</w:t></w:r>
</w:p>
<w:p>
<w:pPr><w:pStyle w:val="Normal"/></w:pPr>
<w:r><w:t xml:space="preserve">of the Priory of St Jean des Bons Hommes, a Cluniac cell,</w:t></w:r>
</w:p>
<w:p>
<w:pPr><w:pStyle w:val="Normal"/></w:pPr>
<w:r><w:t xml:space="preserve">situated between the town of Avallon and the village of</w:t></w:r>
</w:p>
<w:p>
<w:pPr><w:pStyle w:val="Normal"/></w:pPr>
<w:r><w:t xml:space="preserve">Savigny, shows that these diminutive establishments comprised</w:t></w:r>
</w:p>
<w:p>
<w:pPr><w:pStyle w:val="Normal"/></w:pPr>
<w:r><w:t xml:space="preserve">every essential feature of a monastery,---chapel, cloister,</w:t></w:r>
</w:p>
<w:p>
<w:pPr><w:pStyle w:val="Heading1"/></w:pPr>
<w:r><w:t>chapter-room, refectory, dormitory, all grouped according to the</w:t></w:r>
</w:p>
<w:p>
<w:pPr><w:pStyle w:val="Normal"/></w:pPr>
<w:r><w:t xml:space="preserve">recognized arrangement.  These Cluniac obedientiae differed</w:t></w:r>
</w:p>
<w:p>
<w:pPr><w:pStyle w:val="Normal"/></w:pPr>
<w:r><w:t xml:space="preserve">from the ordinary Benedictine cells in being also places of</w:t></w:r>
</w:p>
<w:p>
<w:pPr><w:pStyle w:val="Normal"/></w:pPr>
<w:r><w:t xml:space="preserve">punishment, to which monks who had been guilty of any grave</w:t></w:r>
</w:p>
<w:p>
<w:pPr><w:pStyle w:val="Normal"/></w:pPr>
<w:r><w:t xml:space="preserve">infringement of the rules were relegated as to a kind of</w:t></w:r>
</w:p>
<w:p>
<w:pPr><w:pStyle w:val="Normal"/></w:pPr>
<w:r><w:t xml:space="preserve">penitentiary.  Here they were placed under the authority of a</w:t></w:r>
</w:p>
<w:p>
<w:pPr><w:pStyle w:val="Normal"/></w:pPr>
<w:r><w:t xml:space="preserve">prior, and were condemned to severe manual labour, fulfilling</w:t></w:r>
</w:p>
<w:p>
<w:pPr><w:pStyle w:val="Normal"/></w:pPr>
<w:r><w:t xml:space="preserve">the duties usually executed by the lay brothers, who acted as</w:t></w:r>
</w:p>
<w:p>
<w:pPr><w:pStyle w:val="Normal"/></w:pPr>
<w:r><w:t xml:space="preserve">farmservants.  The outlying farming establishments belonging to</w:t></w:r>
</w:p>
<w:p>
<w:pPr><w:pStyle w:val="Normal"/></w:pPr>
<w:r><w:t xml:space="preserve">the monastic foundations were known as villae or granges.</w:t></w:r>
</w:p>
<w:p>
<w:pPr><w:pStyle w:val="Normal"/></w:pPr>
<w:r><w:t xml:space="preserve">They gave employment to a body of conversi and labourers</w:t></w:r>
</w:p>
<w:p>
<w:pPr><w:pStyle w:val="Normal"/></w:pPr>
<w:r><w:t xml:space="preserve">under the management of a monk, who bore the title of Brother</w:t></w:r>
</w:p>
<w:p>
<w:pPr><w:pStyle w:val="Normal"/></w:pPr>
<w:r><w:t xml:space="preserve">Hospitaller ---the granges, like their parent institutions,</w:t></w:r>
</w:p>
<w:p>
<w:pPr><w:pStyle w:val="Normal"/></w:pPr>
<w:r><w:t xml:space="preserve">affording shelter and hospitality to belated travellers.</w:t></w:r>
</w:p>
<w:p>
<w:pPr><w:pStyle w:val="Normal"/></w:pPr>
<w:r><w:t xml:space="preserve">AUTHORITIES.--Dugdale, Monasticon; Lenoir,</w:t></w:r>
</w:p>
<w:p>
<w:pPr><w:pStyle w:val="Normal"/></w:pPr>
<w:r><w:t xml:space="preserve">Architecture monastique (1852--1856); Veollet-le-Duc,</w:t></w:r>
</w:p>
<w:p>
<w:pPr><w:pStyle w:val="Normal"/></w:pPr>
<w:r><w:t xml:space="preserve">Dictionnaire raisonnee de l&apos;architecture francaise;</w:t></w:r>
</w:p>
<w:p>
<w:pPr><w:pStyle w:val="Normal"/></w:pPr>
<w:r><w:t xml:space="preserve">Springer, Klosterleben und Klosterkunst (1886); Kraus,</w:t></w:r>
</w:p>
<w:p>
<w:pPr><w:pStyle w:val="Normal"/></w:pPr>
<w:r><w:t xml:space="preserve">Geschichte der christlichen Kunst (1896). (E. V.)</w:t></w:r>
</w:p>
<w:p>
<w:pPr><w:pStyle w:val="Normal"/></w:pPr>
<w:r><w:t xml:space="preserve">ABBON OF FLEURY, or ABBO FLORIACENSIS (c. 945-1004), a</w:t></w:r>
</w:p>
<w:p>
<w:pPr><w:pStyle w:val="Normal"/></w:pPr>
<w:r><w:t xml:space="preserve">learned Frenchman, born near Orleans about 945. He distinguished</w:t></w:r>
</w:p>
<w:p>
<w:pPr><w:pStyle w:val="Normal"/></w:pPr>
<w:r><w:t xml:space="preserve">himself in the schools of Paris and Reims, and was especially</w:t></w:r>
</w:p>
<w:p>
<w:pPr><w:pStyle w:val="Normal"/></w:pPr>
<w:r><w:t xml:space="preserve">proficient in science as known in his time.  He spent two</w:t></w:r>
</w:p>
<w:p>
<w:pPr><w:pStyle w:val="Normal"/></w:pPr>
<w:r><w:t xml:space="preserve">years in England, assisting Archbishop Oswald of York in</w:t></w:r>
</w:p>
<w:p>
<w:pPr><w:pStyle w:val="Normal"/></w:pPr>
<w:r><w:t xml:space="preserve">restoring the monastic system, and was abbot of Romsey.  After</w:t></w:r>
</w:p>
<w:p>
<w:pPr><w:pStyle w:val="Normal"/></w:pPr>
<w:r><w:t xml:space="preserve">his return to France he was made abbot of Fleury on the Loire</w:t></w:r>
</w:p>
<w:p>
<w:pPr><w:pStyle w:val="Normal"/></w:pPr>
<w:r><w:t xml:space="preserve">(988).  He was twice sent to Rome by King Robert the Pious</w:t></w:r>
</w:p>
<w:p>
<w:pPr><w:pStyle w:val="Normal"/></w:pPr>
<w:r><w:t xml:space="preserve">(986, 996), and on each occasion succeeded in warding off a</w:t></w:r>
</w:p>
<w:p>
<w:pPr><w:pStyle w:val="Normal"/></w:pPr>
<w:r><w:t xml:space="preserve">threatened papal interdict.  He was killed at La Reole in</w:t></w:r>
</w:p>
<w:p>
<w:pPr><w:pStyle w:val="Normal"/></w:pPr>
<w:r><w:t xml:space="preserve">1004, in endeavouring to quell a monkish revolt.  He wrote an</w:t></w:r>
</w:p>
<w:p>
<w:pPr><w:pStyle w:val="Normal"/></w:pPr>
<w:r><w:t xml:space="preserve">Epitomie de vitis Romanorum pontificum, besides controversial</w:t></w:r>
</w:p>
<w:p>
<w:pPr><w:pStyle w:val="Normal"/></w:pPr>
<w:r><w:t xml:space="preserve">treatises, letters, &amp;c. (see Migne, Patrologia Latina, vol.</w:t></w:r>
</w:p>
<w:p>
<w:pPr><w:pStyle w:val="Normal"/></w:pPr>
<w:r><w:t xml:space="preserve">139).  His life, written by his disciple Aimoin of Fleury, in</w:t></w:r>
</w:p>
<w:p>
<w:pPr><w:pStyle w:val="Normal"/></w:pPr>
<w:r><w:t xml:space="preserve">which much of Abbon&apos;s correspondence was reproduced, is of great</w:t></w:r>
</w:p>
<w:p>
<w:pPr><w:pStyle w:val="Normal"/></w:pPr>
<w:r><w:t xml:space="preserve">importance as a source for the reign of Robert II., especially</w:t></w:r>
</w:p>
<w:p>
<w:pPr><w:pStyle w:val="Normal"/></w:pPr>
<w:r><w:t xml:space="preserve">with reference to the papacy (cf. Migne, op. cit. vol. 139).</w:t></w:r>
</w:p>
<w:p>
<w:pPr><w:pStyle w:val="Normal"/></w:pPr>
<w:r><w:t xml:space="preserve">See Ch. Pfister, Etudes sur le regne de Robert le Pieux (1885);</w:t></w:r>
</w:p>
<w:p>
<w:pPr><w:pStyle w:val="Normal"/></w:pPr>
<w:r><w:t xml:space="preserve">Cuissard-Gaucheron, ``L&apos;Ecole de Fleury-sur-Loire a la fin du 10</w:t></w:r>
</w:p>
<w:p>
<w:pPr><w:pStyle w:val="Normal"/></w:pPr>
<w:r><w:t xml:space="preserve">siecle,&apos;&apos; in Memoires de la societe de l&apos;Orleanais, xiv.</w:t></w:r>
</w:p>
<w:p>
<w:pPr><w:pStyle w:val="Normal"/></w:pPr>
<w:r><w:t xml:space="preserve">(Orleans, 1875); A. Molinier, Sources de l&apos;histoire de France.</w:t></w:r>
</w:p>
<w:p>
<w:pPr><w:pStyle w:val="Normal"/></w:pPr>
<w:r><w:t xml:space="preserve">ABBOT, EZRA (1819--1884), American biblical scholar, was</w:t></w:r>
</w:p>
<w:p>
<w:pPr><w:pStyle w:val="Normal"/></w:pPr>
<w:r><w:t xml:space="preserve">born at Jackson, Waldo county, Maine, on the 28th of April</w:t></w:r>
</w:p>
<w:p>
<w:pPr><w:pStyle w:val="Normal"/></w:pPr>
<w:r><w:t xml:space="preserve">1819.  He graduated at Bowdoin College in 1840; and in</w:t></w:r>
</w:p>
<w:p>
<w:pPr><w:pStyle w:val="Normal"/></w:pPr>
<w:r><w:t xml:space="preserve">1847, at the request of Prof.  Andrews Norton, went to</w:t></w:r>
</w:p>
<w:p>
<w:pPr><w:pStyle w:val="Normal"/></w:pPr>
<w:r><w:t xml:space="preserve">Cambridge, where he was principal of a public school until</w:t></w:r>
</w:p>
<w:p>
<w:pPr><w:pStyle w:val="Normal"/></w:pPr>
<w:r><w:t xml:space="preserve">1856.  He was assistant librarian of Harvard University from</w:t></w:r>
</w:p>
<w:p>
<w:pPr><w:pStyle w:val="Normal"/></w:pPr>
<w:r><w:t xml:space="preserve">1856 to 1872, and planned and perfected an alphabetical card</w:t></w:r>
</w:p>
<w:p>
<w:pPr><w:pStyle w:val="Normal"/></w:pPr>
<w:r><w:t xml:space="preserve">catalogue, combining many of the advantages of the ordinary</w:t></w:r>
</w:p>
<w:p>
<w:pPr><w:pStyle w:val="Normal"/></w:pPr>
<w:r><w:t xml:space="preserve">dictionary catalogues with the grouping of the minor topics</w:t></w:r>
</w:p>
<w:p>
<w:pPr><w:pStyle w:val="Normal"/></w:pPr>
<w:r><w:t xml:space="preserve">under more general heads, which is characteristic of a systematic</w:t></w:r>
</w:p>
<w:p>
<w:pPr><w:pStyle w:val="Normal"/></w:pPr>
<w:r><w:t xml:space="preserve">catalogue.  From 1872 until his death he was Bussey Professor</w:t></w:r>
</w:p>
<w:p>
<w:pPr><w:pStyle w:val="Normal"/></w:pPr>
<w:r><w:t xml:space="preserve">of New Testament Criticism and Interpretation in the Harvard</w:t></w:r>
</w:p>
<w:p>
<w:pPr><w:pStyle w:val="Normal"/></w:pPr>
<w:r><w:t xml:space="preserve">Divinity School.  His studies were chiefly in Oriental languages</w:t></w:r>
</w:p>
<w:p>
<w:pPr><w:pStyle w:val="Normal"/></w:pPr>
<w:r><w:t xml:space="preserve">and the textual criticism of the New Testament, thoygh his</w:t></w:r>
</w:p>
<w:p>
<w:pPr><w:pStyle w:val="Normal"/></w:pPr>
<w:r><w:t xml:space="preserve">work as a bibliographer showed such results as the exhaustive</w:t></w:r>
</w:p>
<w:p>
<w:pPr><w:pStyle w:val="Normal"/></w:pPr>
<w:r><w:t xml:space="preserve">list of writings (5300 in all) on the doctrine of the future</w:t></w:r>
</w:p>
<w:p>
<w:pPr><w:pStyle w:val="Normal"/></w:pPr>
<w:r><w:t xml:space="preserve">life, appended to W. R. Alger&apos;s History of the Doctrine of</w:t></w:r>
</w:p>
<w:p>
<w:pPr><w:pStyle w:val="Normal"/></w:pPr>
<w:r><w:t xml:space="preserve">a Future Life, as it has prevailed in all Nations and Ages</w:t></w:r>
</w:p>
<w:p>
<w:pPr><w:pStyle w:val="Normal"/></w:pPr>
<w:r><w:t xml:space="preserve">(1862), and published separately in 1864.  His publications,</w:t></w:r>
</w:p>
<w:p>
<w:pPr><w:pStyle w:val="Normal"/></w:pPr>
<w:r><w:t xml:space="preserve">though always of the most thorough and scholarly character,</w:t></w:r>
</w:p>
<w:p>
<w:pPr><w:pStyle w:val="Normal"/></w:pPr>
<w:r><w:t xml:space="preserve">were to a large extent dispersed in the pages of reviews,</w:t></w:r>
</w:p>
<w:p>
<w:pPr><w:pStyle w:val="Normal"/></w:pPr>
<w:r><w:t xml:space="preserve">dictionaries, concordances, texts edited by others, Unitarian</w:t></w:r>
</w:p>
<w:p>
<w:pPr><w:pStyle w:val="Normal"/></w:pPr>
<w:r><w:t xml:space="preserve">controversial treatises, &amp;c.; but he took a more conspicuous</w:t></w:r>
</w:p>
<w:p>
<w:pPr><w:pStyle w:val="Normal"/></w:pPr>
<w:r><w:t xml:space="preserve">and more personal part in the preparation (with the Baptist</w:t></w:r>
</w:p>
<w:p>
<w:pPr><w:pStyle w:val="Normal"/></w:pPr>
<w:r><w:t xml:space="preserve">scholar, Horatio B. Hackett) of the enlarged American edition</w:t></w:r>
</w:p>
<w:p>
<w:pPr><w:pStyle w:val="Normal"/></w:pPr>
<w:r><w:t xml:space="preserve">of Dr (afterwards Sir) William Smith&apos;s Dictionary of the</w:t></w:r>
</w:p>
<w:p>
<w:pPr><w:pStyle w:val="Normal"/></w:pPr>
<w:r><w:t xml:space="preserve">Bible (1867-1870), to which he contributed more than 400</w:t></w:r>
</w:p>
<w:p>
<w:pPr><w:pStyle w:val="Normal"/></w:pPr>
<w:r><w:t xml:space="preserve">articles besides greatly improving the bibliographical</w:t></w:r>
</w:p>
<w:p>
<w:pPr><w:pStyle w:val="Normal"/></w:pPr>
<w:r><w:t xml:space="preserve">completeness of the work; was an efficient member of the</w:t></w:r>
</w:p>
<w:p>
<w:pPr><w:pStyle w:val="Normal"/></w:pPr>
<w:r><w:t xml:space="preserve">American revision committee employed in connexion with the</w:t></w:r>
</w:p>
<w:p>
<w:pPr><w:pStyle w:val="Normal"/></w:pPr>
<w:r><w:t xml:space="preserve">Revised Version (1881-1885) of the King James Bible; and aided</w:t></w:r>
</w:p>
<w:p>
<w:pPr><w:pStyle w:val="Normal"/></w:pPr>
<w:r><w:t xml:space="preserve">in the preparation of Caspar Rene Gregory&apos;s Prolegomena to</w:t></w:r>
</w:p>
<w:p>
<w:pPr><w:pStyle w:val="Normal"/></w:pPr>
<w:r><w:t xml:space="preserve">the revised Greek New Testament of Tischendorf.  His principal</w:t></w:r>
</w:p>
<w:p>
<w:pPr><w:pStyle w:val="Normal"/></w:pPr>
<w:r><w:t xml:space="preserve">single production, representing his scholarly method and</w:t></w:r>
</w:p>
<w:p>
<w:pPr><w:pStyle w:val="Normal"/></w:pPr>
<w:r><w:t xml:space="preserve">conservative conclusions, was The Authorship af the Fourth</w:t></w:r>
</w:p>
<w:p>
<w:pPr><w:pStyle w:val="Normal"/></w:pPr>
<w:r><w:t xml:space="preserve">Gospel: External Evidences (1880; second edition, by J. H.</w:t></w:r>
</w:p>
<w:p>
<w:pPr><w:pStyle w:val="Normal"/></w:pPr>
<w:r><w:t xml:space="preserve">Thayer, with other essays, 1889), originally a lecture, and</w:t></w:r>
</w:p>
<w:p>
<w:pPr><w:pStyle w:val="Normal"/></w:pPr>
<w:r><w:t xml:space="preserve">in spite of the compression due to its form, up to that time</w:t></w:r>
</w:p>
<w:p>
<w:pPr><w:pStyle w:val="Normal"/></w:pPr>
<w:r><w:t xml:space="preserve">probably the ablest defence, based on external evidence,</w:t></w:r>
</w:p>
<w:p>
<w:pPr><w:pStyle w:val="Normal"/></w:pPr>
<w:r><w:t xml:space="preserve">of the Johannine authorship, and certainly the completest</w:t></w:r>
</w:p>
<w:p>
<w:pPr><w:pStyle w:val="Normal"/></w:pPr>
<w:r><w:t xml:space="preserve">treatment of the relation of Justin Martyr to this gospel.</w:t></w:r>
</w:p>
<w:p>
<w:pPr><w:pStyle w:val="Normal"/></w:pPr>
<w:r><w:t xml:space="preserve">Abbot, though a layman, received the degree of S. T. D. from</w:t></w:r>
</w:p>
<w:p>
<w:pPr><w:pStyle w:val="Normal"/></w:pPr>
<w:r><w:t xml:space="preserve">Harvard in 1872, and that of D.D. from Edinburgh in 1884. . He</w:t></w:r>
</w:p>
<w:p>
<w:pPr><w:pStyle w:val="Normal"/></w:pPr>
<w:r><w:t xml:space="preserve">died in Cambridge, Massachusetts, on the 21st of March 1884.</w:t></w:r>
</w:p>
<w:p>
<w:pPr><w:pStyle w:val="Normal"/></w:pPr>
<w:r><w:t xml:space="preserve">See S. J. Barrows, Ezra Abbot (Cambridge, Mass., 1884).</w:t></w:r>
</w:p>
<w:p>
<w:pPr><w:pStyle w:val="Normal"/></w:pPr>
<w:r><w:t xml:space="preserve">ABBOT, GEORGE (1562-1633), English divine, archbishop of</w:t></w:r>
</w:p>
<w:p>
<w:pPr><w:pStyle w:val="Normal"/></w:pPr>
<w:r><w:t xml:space="preserve">Canterbury, was born on the 19th of October 1562, at Guildford in</w:t></w:r>
</w:p>
<w:p>
<w:pPr><w:pStyle w:val="Normal"/></w:pPr>
<w:r><w:t xml:space="preserve">Surrey, where his father was a cloth-worker.  He studied, and</w:t></w:r>
</w:p>
<w:p>
<w:pPr><w:pStyle w:val="Normal"/></w:pPr>
<w:r><w:t xml:space="preserve">then taught, at Balliol College, Oxford, was chosen master of</w:t></w:r>
</w:p>
<w:p>
<w:pPr><w:pStyle w:val="Normal"/></w:pPr>
<w:r><w:t xml:space="preserve">University College in 1597, and appointed dean of Winchester in</w:t></w:r>
</w:p>
<w:p>
<w:pPr><w:pStyle w:val="Normal"/></w:pPr>
<w:r><w:t xml:space="preserve">1600.  He was three times vice-chancellor of the university,</w:t></w:r>
</w:p>
<w:p>
<w:pPr><w:pStyle w:val="Normal"/></w:pPr>
<w:r><w:t xml:space="preserve">and took a leading part in preparing the authorized version</w:t></w:r>
</w:p>
<w:p>
<w:pPr><w:pStyle w:val="Normal"/></w:pPr>
<w:r><w:t xml:space="preserve">of the New Testament.  In 1608 he went to Scotland with the</w:t></w:r>
</w:p>
<w:p>
<w:pPr><w:pStyle w:val="Normal"/></w:pPr>
<w:r><w:t xml:space="preserve">earl of Dunbar to arrange for a union between the churches</w:t></w:r>
</w:p>
<w:p>
<w:pPr><w:pStyle w:val="Normal"/></w:pPr>
<w:r><w:t xml:space="preserve">of England and Scotland.  He so pleased the king (James</w:t></w:r>
</w:p>
<w:p>
<w:pPr><w:pStyle w:val="Normal"/></w:pPr>
<w:r><w:t xml:space="preserve">I.) in this affair that he was made bishop of Lichfield and</w:t></w:r>
</w:p>
<w:p>
<w:pPr><w:pStyle w:val="Normal"/></w:pPr>
<w:r><w:t xml:space="preserve">Coventry in 1609, was translated to the see of London a month</w:t></w:r>
</w:p>
<w:p>
<w:pPr><w:pStyle w:val="Normal"/></w:pPr>
<w:r><w:t xml:space="preserve">afterwards, and in less than a year was raised to that of</w:t></w:r>
</w:p>
<w:p>
<w:pPr><w:pStyle w:val="Normal"/></w:pPr>
<w:r><w:t xml:space="preserve">Canterbury.  His puritan instincts frequently led him not</w:t></w:r>
</w:p>
<w:p>
<w:pPr><w:pStyle w:val="Normal"/></w:pPr>
<w:r><w:t xml:space="preserve">only into harsh treatment of Roman Catholics, but also into</w:t></w:r>
</w:p>
<w:p>
<w:pPr><w:pStyle w:val="Normal"/></w:pPr>
<w:r><w:t xml:space="preserve">courageous resistance to the royal will, e.g. when he</w:t></w:r>
</w:p>
<w:p>
<w:pPr><w:pStyle w:val="Normal"/></w:pPr>
<w:r><w:t xml:space="preserve">opposed the scandalous divorce suit of the Lady Frances Howard</w:t></w:r>
</w:p>
<w:p>
<w:pPr><w:pStyle w:val="Normal"/></w:pPr>
<w:r><w:t xml:space="preserve">against the earl of Essex, and again in 1618 when, at Croydon,</w:t></w:r>
</w:p>
<w:p>
<w:pPr><w:pStyle w:val="Normal"/></w:pPr>
<w:r><w:t xml:space="preserve">he forbade the reading of the declaration permitting Sunday</w:t></w:r>
</w:p>
<w:p>
<w:pPr><w:pStyle w:val="Normal"/></w:pPr>
<w:r><w:t xml:space="preserve">sports.  He was naturally, therefore, a promoter of the match</w:t></w:r>
</w:p>
<w:p>
<w:pPr><w:pStyle w:val="Normal"/></w:pPr>
<w:r><w:t xml:space="preserve">between the elector palatine and the Princess Elizabeth,</w:t></w:r>
</w:p>
<w:p>
<w:pPr><w:pStyle w:val="Normal"/></w:pPr>
<w:r><w:t xml:space="preserve">and a firm opponent of the projected marriage of the prince</w:t></w:r>
</w:p>
<w:p>
<w:pPr><w:pStyle w:val="Normal"/></w:pPr>
<w:r><w:t xml:space="preserve">of Wales with the infanta of Spain.  This policy brought</w:t></w:r>
</w:p>
<w:p>
<w:pPr><w:pStyle w:val="Normal"/></w:pPr>
<w:r><w:t xml:space="preserve">upon him the hatred of Laud (with whom he had previously</w:t></w:r>
</w:p>
<w:p>
<w:pPr><w:pStyle w:val="Normal"/></w:pPr>
<w:r><w:t xml:space="preserve">come into collision at Oxford) and the court, though the</w:t></w:r>
</w:p>
<w:p>
<w:pPr><w:pStyle w:val="Normal"/></w:pPr>
<w:r><w:t xml:space="preserve">king himself never forsook him.  In 1622, while hunting in</w:t></w:r>
</w:p>
<w:p>
<w:pPr><w:pStyle w:val="Normal"/></w:pPr>
<w:r><w:t xml:space="preserve">Lord Zouch&apos;s park at Bramshill, Hampshire, a bolt from his</w:t></w:r>
</w:p>
<w:p>
<w:pPr><w:pStyle w:val="Normal"/></w:pPr>
<w:r><w:t xml:space="preserve">cross-bow aimed at a deer happened to strike one of the</w:t></w:r>
</w:p>
<w:p>
<w:pPr><w:pStyle w:val="Normal"/></w:pPr>
<w:r><w:t xml:space="preserve">keepers, who died within an hour, and Abbot was so greatly</w:t></w:r>
</w:p>
<w:p>
<w:pPr><w:pStyle w:val="Normal"/></w:pPr>
<w:r><w:t xml:space="preserve">distressed by the event that he fell into a state of settled</w:t></w:r>
</w:p>
<w:p>
<w:pPr><w:pStyle w:val="Normal"/></w:pPr>
<w:r><w:t xml:space="preserve">melancholy.  His enemies maintained that the fatal issue of</w:t></w:r>
</w:p>
<w:p>
<w:pPr><w:pStyle w:val="Normal"/></w:pPr>
<w:r><w:t xml:space="preserve">this accident disqualified him for his office, and argued</w:t></w:r>
</w:p>
<w:p>
<w:pPr><w:pStyle w:val="Normal"/></w:pPr>
<w:r><w:t xml:space="preserve">that, though the homicide was involuntary, the sport of</w:t></w:r>
</w:p>
<w:p>
<w:pPr><w:pStyle w:val="Normal"/></w:pPr>
<w:r><w:t xml:space="preserve">hunting which had led to it was one in which no clerical</w:t></w:r>
</w:p>
<w:p>
<w:pPr><w:pStyle w:val="Normal"/></w:pPr>
<w:r><w:t xml:space="preserve">person could lawfully indulge.  The king had to refer the</w:t></w:r>
</w:p>
<w:p>
<w:pPr><w:pStyle w:val="Normal"/></w:pPr>
<w:r><w:t xml:space="preserve">matter to a commission of ten, though he said that ``an angel</w:t></w:r>
</w:p>
<w:p>
<w:pPr><w:pStyle w:val="Normal"/></w:pPr>
<w:r><w:t xml:space="preserve">might have miscarried after this sort.&apos;&apos; The commission was</w:t></w:r>
</w:p>
<w:p>
<w:pPr><w:pStyle w:val="Normal"/></w:pPr>
<w:r><w:t xml:space="preserve">equally divided, and the king gave a casting vote in the</w:t></w:r>
</w:p>
<w:p>
<w:pPr><w:pStyle w:val="Normal"/></w:pPr>
<w:r><w:t xml:space="preserve">archbishop&apos;s favour, though signing also a formal pardon or</w:t></w:r>
</w:p>
<w:p>
<w:pPr><w:pStyle w:val="Normal"/></w:pPr>
<w:r><w:t xml:space="preserve">dispensation.  After this the archbishop seldom appeared</w:t></w:r>
</w:p>
<w:p>
<w:pPr><w:pStyle w:val="Normal"/></w:pPr>
<w:r><w:t xml:space="preserve">at the council, chiefly on account of his infirmities.  He</w:t></w:r>
</w:p>
<w:p>
<w:pPr><w:pStyle w:val="Normal"/></w:pPr>
<w:r><w:t xml:space="preserve">attended the king constantly, however, in his last illness,</w:t></w:r>
</w:p>
<w:p>
<w:pPr><w:pStyle w:val="Normal"/></w:pPr>
<w:r><w:t xml:space="preserve">and performed the ceremony of the coronation of Charles I.</w:t></w:r>
</w:p>
<w:p>
<w:pPr><w:pStyle w:val="Normal"/></w:pPr>
<w:r><w:t xml:space="preserve">His refusal to license the assize sermon preached by Dr Robert</w:t></w:r>
</w:p>
<w:p>
<w:pPr><w:pStyle w:val="Normal"/></w:pPr>
<w:r><w:t xml:space="preserve">Sibthorp at Northampton on the 22nd of February 1626-1627, in</w:t></w:r>
</w:p>
<w:p>
<w:pPr><w:pStyle w:val="Normal"/></w:pPr>
<w:r><w:t xml:space="preserve">which cheerful obedience was urged to the king&apos;s demand for a</w:t></w:r>
</w:p>
<w:p>
<w:pPr><w:pStyle w:val="Normal"/></w:pPr>
<w:r><w:t xml:space="preserve">general loan, and the duty proclaimed of absolute non-resistance</w:t></w:r>
</w:p>
<w:p>
<w:pPr><w:pStyle w:val="Normal"/></w:pPr>
<w:r><w:t xml:space="preserve">even to the most arbitrary royal commands, led Charles to</w:t></w:r>
</w:p>
<w:p>
<w:pPr><w:pStyle w:val="Normal"/></w:pPr>
<w:r><w:t xml:space="preserve">deprive him of his functions as primate, putting them in</w:t></w:r>
</w:p>
<w:p>
<w:pPr><w:pStyle w:val="Normal"/></w:pPr>
<w:r><w:t xml:space="preserve">commission.  The need of summoning parliament, however,</w:t></w:r>
</w:p>
<w:p>
<w:pPr><w:pStyle w:val="Normal"/></w:pPr>
<w:r><w:t xml:space="preserve">soon brought about a nominal restoration of the archbishop&apos;s</w:t></w:r>
</w:p>
<w:p>
<w:pPr><w:pStyle w:val="Normal"/></w:pPr>
<w:r><w:t xml:space="preserve">powers.  His presence being unwelcome at court, he lived</w:t></w:r>
</w:p>
<w:p>
<w:pPr><w:pStyle w:val="Normal"/></w:pPr>
<w:r><w:t xml:space="preserve">from that time in retirement, leaving Laud and his party in</w:t></w:r>
</w:p>
<w:p>
<w:pPr><w:pStyle w:val="Normal"/></w:pPr>
<w:r><w:t xml:space="preserve">undisputed ascendancy.  He died at Croydon on the 5th of August</w:t></w:r>
</w:p>
<w:p>
<w:pPr><w:pStyle w:val="Normal"/></w:pPr>
<w:r><w:t xml:space="preserve">1633, and was buried at Guildford, his native place, where</w:t></w:r>
</w:p>
<w:p>
<w:pPr><w:pStyle w:val="Normal"/></w:pPr>
<w:r><w:t xml:space="preserve">he had endowed a hospital with lands to the value of L. 300 a</w:t></w:r>
</w:p>
<w:p>
<w:pPr><w:pStyle w:val="Normal"/></w:pPr>
<w:r><w:t xml:space="preserve">year.  Abbot was a conscientious prelate, though narrow in view</w:t></w:r>
</w:p>
<w:p>
<w:pPr><w:pStyle w:val="Normal"/></w:pPr>
<w:r><w:t xml:space="preserve">and often harsh towards both separatists and Romanists.  He</w:t></w:r>
</w:p>
<w:p>
<w:pPr><w:pStyle w:val="Normal"/></w:pPr>
<w:r><w:t xml:space="preserve">wrote a large number of works, the most interesting being his</w:t></w:r>
</w:p>
<w:p>
<w:pPr><w:pStyle w:val="Normal"/></w:pPr>
<w:r><w:t xml:space="preserve">discursive Exposition on the Prophet Jonah (1600), which was</w:t></w:r>
</w:p>
<w:p>
<w:pPr><w:pStyle w:val="Normal"/></w:pPr>
<w:r><w:t xml:space="preserve">reprinted in 1845.  His Geography, or a Brief Description</w:t></w:r>
</w:p>
<w:p>
<w:pPr><w:pStyle w:val="Normal"/></w:pPr>
<w:r><w:t xml:space="preserve">of the Whole World (1599), passed through numerous editions.</w:t></w:r>
</w:p>
<w:p>
<w:pPr><w:pStyle w:val="Normal"/></w:pPr>
<w:r><w:t xml:space="preserve">The best account of him is in S. R. Gardiner&apos;s History of England.</w:t></w:r>
</w:p>
<w:p>
<w:pPr><w:pStyle w:val="Normal"/></w:pPr>
<w:r><w:t xml:space="preserve">ABBOT, GEORGE (1603-1648), English writer, known as ``The</w:t></w:r>
</w:p>
<w:p>
<w:pPr><w:pStyle w:val="Normal"/></w:pPr>
<w:r><w:t xml:space="preserve">Puritan,&apos;&apos; has been oddly and persistently mistaken for</w:t></w:r>
</w:p>
<w:p>
<w:pPr><w:pStyle w:val="Normal"/></w:pPr>
<w:r><w:t xml:space="preserve">others.  He has been described as a clergyman, which he never</w:t></w:r>
</w:p>
<w:p>
<w:pPr><w:pStyle w:val="Normal"/></w:pPr>
<w:r><w:t xml:space="preserve">was, and as son of Sir Morris (or Maurice) Abbot, and his</w:t></w:r>
</w:p>
<w:p>
<w:pPr><w:pStyle w:val="Normal"/></w:pPr>
<w:r><w:t xml:space="preserve">writings accordingly entered in the bibliographical authorities</w:t></w:r>
</w:p>
<w:p>
<w:pPr><w:pStyle w:val="Normal"/></w:pPr>
<w:r><w:t xml:space="preserve">as by the nephew of the archbishop of Canterbury.  One of the</w:t></w:r>
</w:p>
<w:p>
<w:pPr><w:pStyle w:val="Normal"/></w:pPr>
<w:r><w:t xml:space="preserve">sons of Sir Morris Abbot was, indeed, named George, and he</w:t></w:r>
</w:p>
<w:p>
<w:pPr><w:pStyle w:val="Normal"/></w:pPr>
<w:r><w:t xml:space="preserve">was a man of mark, but the more famous George Abbot was of a</w:t></w:r>
</w:p>
<w:p>
<w:pPr><w:pStyle w:val="Normal"/></w:pPr>
<w:r><w:t xml:space="preserve">different family altogether.  He was son or grandson (it is</w:t></w:r>
</w:p>
<w:p>
<w:pPr><w:pStyle w:val="Normal"/></w:pPr>
<w:r><w:t xml:space="preserve">not clear which) of Sir Thomas Abbot, knight of Easington,</w:t></w:r>
</w:p>
<w:p>
<w:pPr><w:pStyle w:val="Normal"/></w:pPr>
<w:r><w:t xml:space="preserve">East Yorkshire, having been born there in 1603--1604,</w:t></w:r>
</w:p>
<w:p>
<w:pPr><w:pStyle w:val="Normal"/></w:pPr>
<w:r><w:t xml:space="preserve">his mother (or grandmother) being of the ancient house of</w:t></w:r>
</w:p>
<w:p>
<w:pPr><w:pStyle w:val="Normal"/></w:pPr>
<w:r><w:t xml:space="preserve">Pickering.  Of his early life and training nothing is</w:t></w:r>
</w:p>
<w:p>
<w:pPr><w:pStyle w:val="Normal"/></w:pPr>
<w:r><w:t xml:space="preserve">known.  He married a daughter of Colonel Purefoy of Caldecote,</w:t></w:r>
</w:p>
<w:p>
<w:pPr><w:pStyle w:val="Normal"/></w:pPr>
<w:r><w:t xml:space="preserve">Warwickshire, and as his monument, which may still be seen</w:t></w:r>
</w:p>
<w:p>
<w:pPr><w:pStyle w:val="Normal"/></w:pPr>
<w:r><w:t xml:space="preserve">in the church there, tells, he bravely held the manor house</w:t></w:r>
</w:p>
<w:p>
<w:pPr><w:pStyle w:val="Normal"/></w:pPr>
<w:r><w:t xml:space="preserve">against Princes Rupert and Maurice during the civil war.  As</w:t></w:r>
</w:p>
<w:p>
<w:pPr><w:pStyle w:val="Normal"/></w:pPr>
<w:r><w:t xml:space="preserve">a layman, and nevertheless a theologian and scholar of rare</w:t></w:r>
</w:p>
<w:p>
<w:pPr><w:pStyle w:val="Normal"/></w:pPr>
<w:r><w:t xml:space="preserve">ripeness and critical ability, he holds an almost unique</w:t></w:r>
</w:p>
<w:p>
<w:pPr><w:pStyle w:val="Normal"/></w:pPr>
<w:r><w:t xml:space="preserve">place in the literature of the period.  The terseness of his</w:t></w:r>
</w:p>
<w:p>
<w:pPr><w:pStyle w:val="Normal"/></w:pPr>
<w:r><w:t xml:space="preserve">Whole Booke of Job Paraphrased, or made easy for any to</w:t></w:r>
</w:p>
<w:p>
<w:pPr><w:pStyle w:val="Normal"/></w:pPr>
<w:r><w:t xml:space="preserve">understand (1640, 4to), contrasts favourably with the usual</w:t></w:r>
</w:p>
<w:p>
<w:pPr><w:pStyle w:val="Normal"/></w:pPr>
<w:r><w:t xml:space="preserve">prolixity of the Puritan expositors and commentators.  His</w:t></w:r>
</w:p>
<w:p>
<w:pPr><w:pStyle w:val="Normal"/></w:pPr>
<w:r><w:t xml:space="preserve">Vindiciae Sabbathi (1641, 8vo) had a profound and lasting</w:t></w:r>
</w:p>
<w:p>
<w:pPr><w:pStyle w:val="Normal"/></w:pPr>
<w:r><w:t xml:space="preserve">influence in the long Sabbatarian controversy.  His Brief</w:t></w:r>
</w:p>
<w:p>
<w:pPr><w:pStyle w:val="Normal"/></w:pPr>
<w:r><w:t xml:space="preserve">Notes upon the Whole Book of Psalms (1651, 4to), as its date</w:t></w:r>
</w:p>
<w:p>
<w:pPr><w:pStyle w:val="Normal"/></w:pPr>
<w:r><w:t xml:space="preserve">shows, was posthumous.  He died on the 2nd of February 1648.</w:t></w:r>
</w:p>
<w:p>
<w:pPr><w:pStyle w:val="Normal"/></w:pPr>
<w:r><w:t xml:space="preserve">AUTHORITIES--MS.collections at Abbeyville for history of all</w:t></w:r>
</w:p>
<w:p>
<w:pPr><w:pStyle w:val="Normal"/></w:pPr>
<w:r><w:t xml:space="preserve">of the name of Abbot, by J. T. Abbot, Esq., F.S.A., Darlington;</w:t></w:r>
</w:p>
<w:p>
<w:pPr><w:pStyle w:val="Normal"/></w:pPr>
<w:r><w:t xml:space="preserve">Dugdale&apos;s Antiquities of Warwickshire, 1730 p. 1099; Wood&apos;s</w:t></w:r>
</w:p>
<w:p>
<w:pPr><w:pStyle w:val="Normal"/></w:pPr>
<w:r><w:t xml:space="preserve">Athenae (Bliss), ii.141, 594; Cox&apos;s Literature of the Sabbath.</w:t></w:r>
</w:p>
<w:p>
<w:pPr><w:pStyle w:val="Normal"/></w:pPr>
<w:r><w:t xml:space="preserve">ABBOT, ROBERT (1588?-1662?), English Puritan divine.  Noted</w:t></w:r>
</w:p>
<w:p>
<w:pPr><w:pStyle w:val="Normal"/></w:pPr>
<w:r><w:t xml:space="preserve">as this worthy was in his own time, and representative in</w:t></w:r>
</w:p>
<w:p>
<w:pPr><w:pStyle w:val="Normal"/></w:pPr>
<w:r><w:t xml:space="preserve">various ways, he has often since been confounded with others,</w:t></w:r>
</w:p>
<w:p>
<w:pPr><w:pStyle w:val="Normal"/></w:pPr>
<w:r><w:t xml:space="preserve">e.g. Robert Abbot, bishop of Salisbury.  He is also wrongly</w:t></w:r>
</w:p>
<w:p>
<w:pPr><w:pStyle w:val="Normal"/></w:pPr>
<w:r><w:t xml:space="preserve">described as a relative of Archbishop Abbot, from whom he</w:t></w:r>
</w:p>
<w:p>
<w:pPr><w:pStyle w:val="Normal"/></w:pPr>
<w:r><w:t xml:space="preserve">acknowledges very gratefully, in the first of his epistles</w:t></w:r>
</w:p>
<w:p>
<w:pPr><w:pStyle w:val="Normal"/></w:pPr>
<w:r><w:t xml:space="preserve">dedicatory of A Hand of Fellowship to Helpe Keepe out Sinne</w:t></w:r>
</w:p>
<w:p>
<w:pPr><w:pStyle w:val="Normal"/></w:pPr>
<w:r><w:t xml:space="preserve">and Antichrist (1623, 4to), that he had ``received all&apos;&apos; his</w:t></w:r>
</w:p>
<w:p>
<w:pPr><w:pStyle w:val="Normal"/></w:pPr>
<w:r><w:t xml:space="preserve">``worldly maintenance,&apos;&apos; as well as ``best earthly countenance&apos;,</w:t></w:r>
</w:p>
<w:p>
<w:pPr><w:pStyle w:val="Normal"/></w:pPr>
<w:r><w:t xml:space="preserve">and ``fatherly incouragements.&apos;, The worldly maintenance</w:t></w:r>
</w:p>
<w:p>
<w:pPr><w:pStyle w:val="Normal"/></w:pPr>
<w:r><w:t xml:space="preserve">was the presentation in 1616 to the vicarage of Cranbrook in</w:t></w:r>
</w:p>
<w:p>
<w:pPr><w:pStyle w:val="Normal"/></w:pPr>
<w:r><w:t xml:space="preserve">Kent.  He had received his education at Cambridge, where he</w:t></w:r>
</w:p>
<w:p>
<w:pPr><w:pStyle w:val="Normal"/></w:pPr>
<w:r><w:t xml:space="preserve">proceeded M.A., and was afterwards incorporated at Oxford.  In</w:t></w:r>
</w:p>
<w:p>
<w:pPr><w:pStyle w:val="Normal"/></w:pPr>
<w:r><w:t xml:space="preserve">1639, in the epistle to the reader of his most noticeable book</w:t></w:r>
</w:p>
<w:p>
<w:pPr><w:pStyle w:val="Normal"/></w:pPr>
<w:r><w:t xml:space="preserve">historically, his Triall of our Church-Forsakers, he tells</w:t></w:r>
</w:p>
<w:p>
<w:pPr><w:pStyle w:val="Normal"/></w:pPr>
<w:r><w:t xml:space="preserve">us, ``I have lived now, by God&apos;s gratious dispensation, above</w:t></w:r>
</w:p>
<w:p>
<w:pPr><w:pStyle w:val="Normal"/></w:pPr>
<w:r><w:t xml:space="preserve">fifty years, and in the place of my allotment two and twenty</w:t></w:r>
</w:p>
<w:p>
<w:pPr><w:pStyle w:val="Normal"/></w:pPr>
<w:r><w:t xml:space="preserve">full.&apos;&apos; The former date carries us back to 1588-1589, or</w:t></w:r>
</w:p>
<w:p>
<w:pPr><w:pStyle w:val="Normal"/></w:pPr>
<w:r><w:t xml:space="preserve">perhaps 1587-1588 ---the ``Armada&apos;&apos; year---as his birth-time;</w:t></w:r>
</w:p>
<w:p>
<w:pPr><w:pStyle w:val="Normal"/></w:pPr>
<w:r><w:t xml:space="preserve">the latter to 1616-1617 (ut supra). In his Bee Thankfull</w:t></w:r>
</w:p>
<w:p>
<w:pPr><w:pStyle w:val="Normal"/></w:pPr>
<w:r><w:t xml:space="preserve">London and her Sisters (1626), he describes himself as</w:t></w:r>
</w:p>
<w:p>
<w:pPr><w:pStyle w:val="Normal"/></w:pPr>
<w:r><w:t xml:space="preserve">formerly ``assistant to a reverend divine . . . now with</w:t></w:r>
</w:p>
<w:p>
<w:pPr><w:pStyle w:val="Normal"/></w:pPr>
<w:r><w:t xml:space="preserve">God,&apos;&apos; and the name on the margin is ``Master Haiward of Wool</w:t></w:r>
</w:p>
<w:p>
<w:pPr><w:pStyle w:val="Normal"/></w:pPr>
<w:r><w:t xml:space="preserve">Church (Dorset).&apos;&apos; This was doubtless previous to his going to</w:t></w:r>
</w:p>
<w:p>
<w:pPr><w:pStyle w:val="Normal"/></w:pPr>
<w:r><w:t xml:space="preserve">Cranbrook.  Very remarkable and effective was Abbot&apos;s</w:t></w:r>
</w:p>
<w:p>
<w:pPr><w:pStyle w:val="Normal"/></w:pPr>
<w:r><w:t xml:space="preserve">ministry at Cranbrook, where his parishioners were as his</w:t></w:r>
</w:p>
<w:p>
<w:pPr><w:pStyle w:val="Normal"/></w:pPr>
<w:r><w:t xml:space="preserve">own ``sons and daughters&apos;&apos; to him.  Yet, Puritan though he</w:t></w:r>
</w:p>
<w:p>
<w:pPr><w:pStyle w:val="Normal"/></w:pPr>
<w:r><w:t xml:space="preserve">was, he was extremely and often unfairly antagonistic to</w:t></w:r>
</w:p>
<w:p>
<w:pPr><w:pStyle w:val="Normal"/></w:pPr>
<w:r><w:t xml:space="preserve">Nonconformists.  He remained at Cranbrook until 1643, when,</w:t></w:r>
</w:p>
<w:p>
<w:pPr><w:pStyle w:val="Normal"/></w:pPr>
<w:r><w:t xml:space="preserve">Parliament deciding against pluralities of ecclesiastical</w:t></w:r>
</w:p>
<w:p>
<w:pPr><w:pStyle w:val="Normal"/></w:pPr>
<w:r><w:t xml:space="preserve">offices, he chose the very inferior living of Southwick,</w:t></w:r>
</w:p>
<w:p>
<w:pPr><w:pStyle w:val="Normal"/></w:pPr>
<w:r><w:t xml:space="preserve">Hants, as between the one and the other.  He afterwards</w:t></w:r>
</w:p>
<w:p>
<w:pPr><w:pStyle w:val="Normal"/></w:pPr>
<w:r><w:t xml:space="preserve">succeeded the ``extruded&apos;&apos; Udall of St Austin&apos;s, London,</w:t></w:r>
</w:p>
<w:p>
<w:pPr><w:pStyle w:val="Normal"/></w:pPr>
<w:r><w:t xml:space="preserve">where according to the Warning-piece he was still pastor in</w:t></w:r>
</w:p>
<w:p>
<w:pPr><w:pStyle w:val="Normal"/></w:pPr>
<w:r><w:t xml:space="preserve">1657.  He disappears silently between 1657-1658 and 1662.</w:t></w:r>
</w:p>
<w:p>
<w:pPr><w:pStyle w:val="Normal"/></w:pPr>
<w:r><w:t xml:space="preserve">Robert Abbot&apos;s books are conspicuous amongst the productions</w:t></w:r>
</w:p>
<w:p>
<w:pPr><w:pStyle w:val="Normal"/></w:pPr>
<w:r><w:t xml:space="preserve">of his time by their terseness and variety.  In addition to</w:t></w:r>
</w:p>
<w:p>
<w:pPr><w:pStyle w:val="Normal"/></w:pPr>
<w:r><w:t xml:space="preserve">those mentioned above he wrote Milk for Babes, or a Mother&apos;s</w:t></w:r>
</w:p>
<w:p>
<w:pPr><w:pStyle w:val="Normal"/></w:pPr>
<w:r><w:t xml:space="preserve">Catechism for her Children (1646), and A Christian Family</w:t></w:r>
</w:p>
<w:p>
<w:pPr><w:pStyle w:val="Normal"/></w:pPr>
<w:r><w:t xml:space="preserve">builded by God, or Directions for Governors of Families (1653).</w:t></w:r>
</w:p>
<w:p>
<w:pPr><w:pStyle w:val="Normal"/></w:pPr>
<w:r><w:t xml:space="preserve">AUTHORITIES.--.Brook&apos;s Puritans, iii. 182, 3; Walker&apos;s</w:t></w:r>
</w:p>
<w:p>
<w:pPr><w:pStyle w:val="Normal"/></w:pPr>
<w:r><w:t xml:space="preserve">Sufferings, ii. 183; Wood&apos;s Athenae (Bliss), i. 323;</w:t></w:r>
</w:p>
<w:p>
<w:pPr><w:pStyle w:val="Normal"/></w:pPr>
<w:r><w:t xml:space="preserve">Palmer&apos;s Nonconf.  Mem. ii. 218, which confuses him most</w:t></w:r>
</w:p>
<w:p>
<w:pPr><w:pStyle w:val="Normal"/></w:pPr>
<w:r><w:t xml:space="preserve">oddly of all with one of the ejected ministers of 1662.</w:t></w:r>
</w:p>
<w:p>
<w:pPr><w:pStyle w:val="Normal"/></w:pPr>
<w:r><w:t xml:space="preserve">ABBOT, WILLIAM (1798--1843), English actor, was born in</w:t></w:r>
</w:p>
<w:p>
<w:pPr><w:pStyle w:val="Normal"/></w:pPr>
<w:r><w:t xml:space="preserve">Chelsea, and made his first appearance on the stage at Bath</w:t></w:r>
</w:p>
<w:p>
<w:pPr><w:pStyle w:val="Normal"/></w:pPr>
<w:r><w:t xml:space="preserve">in 1806, and his first London appearance in 1808.  At Covent</w:t></w:r>
</w:p>
<w:p>
<w:pPr><w:pStyle w:val="Normal"/></w:pPr>
<w:r><w:t xml:space="preserve">Garden in 1813, in light comedy and melodrama, he made his</w:t></w:r>
</w:p>
<w:p>
<w:pPr><w:pStyle w:val="Normal"/></w:pPr>
<w:r><w:t xml:space="preserve">first decided success.  He Was Pylades to Macready&apos;s Orestes</w:t></w:r>
</w:p>
<w:p>
<w:pPr><w:pStyle w:val="Normal"/></w:pPr>
<w:r><w:t xml:space="preserve">in Ambrose Philips&apos;s Distressed Mother when Macready made</w:t></w:r>
</w:p>
<w:p>
<w:pPr><w:pStyle w:val="Normal"/></w:pPr>
<w:r><w:t xml:space="preserve">his first appearance at that theatre (1816).  He created the</w:t></w:r>
</w:p>
<w:p>
<w:pPr><w:pStyle w:val="Normal"/></w:pPr>
<w:r><w:t xml:space="preserve">parts of Appius Claudius in Sheridan Knowles&apos;s Virginius</w:t></w:r>
</w:p>
<w:p>
<w:pPr><w:pStyle w:val="Normal"/></w:pPr>
<w:r><w:t xml:space="preserve">(1820) and of Modus in his Hunchback (1832).  In 1827 he</w:t></w:r>
</w:p>
<w:p>
<w:pPr><w:pStyle w:val="Normal"/></w:pPr>
<w:r><w:t xml:space="preserve">organized the company, including Macready and Miss Smithson,</w:t></w:r>
</w:p>
<w:p>
<w:pPr><w:pStyle w:val="Normal"/></w:pPr>
<w:r><w:t xml:space="preserve">which acted Shakespeare in Paris.  On his return to London</w:t></w:r>
</w:p>
<w:p>
<w:pPr><w:pStyle w:val="Normal"/></w:pPr>
<w:r><w:t xml:space="preserve">he played Romeo to Fanny Kemble&apos;s Juliet (1830).  Two of</w:t></w:r>
</w:p>
<w:p>
<w:pPr><w:pStyle w:val="Normal"/></w:pPr>
<w:r><w:t xml:space="preserve">Abbot&apos;s melodramas, The Youthful Days of Frederick the Great</w:t></w:r>
</w:p>
<w:p>
<w:pPr><w:pStyle w:val="Normal"/></w:pPr>
<w:r><w:t xml:space="preserve">(1817) and Swedish Patriotism (1819), were produced at</w:t></w:r>
</w:p>
<w:p>
<w:pPr><w:pStyle w:val="Normal"/></w:pPr>
<w:r><w:t xml:space="preserve">Covent Garden.  He died in poverty at Baltimore, Maryland.</w:t></w:r>
</w:p>
<w:p>
<w:pPr><w:pStyle w:val="Normal"/></w:pPr>
<w:r><w:t xml:space="preserve">ABBOT (from the Hebrew ab, a father, through the Syriac</w:t></w:r>
</w:p>
<w:p>
<w:pPr><w:pStyle w:val="Normal"/></w:pPr>
<w:r><w:t xml:space="preserve">abba, Lat. abbas, gen. abbatis, O.E. abbad, fr. late</w:t></w:r>
</w:p>
<w:p>
<w:pPr><w:pStyle w:val="Normal"/></w:pPr>
<w:r><w:t xml:space="preserve">Lat. form abbad-em changed in 13th century under influence</w:t></w:r>
</w:p>
<w:p>
<w:pPr><w:pStyle w:val="Normal"/></w:pPr>
<w:r><w:t xml:space="preserve">of the Lat. form to abbat, used abternatively till the end</w:t></w:r>
</w:p>
<w:p>
<w:pPr><w:pStyle w:val="Normal"/></w:pPr>
<w:r><w:t xml:space="preserve">of the 17th century; Ger. Abt; Fr. abbe), the head and</w:t></w:r>
</w:p>
<w:p>
<w:pPr><w:pStyle w:val="Normal"/></w:pPr>
<w:r><w:t xml:space="preserve">chief governor of a community of monks, called also in the</w:t></w:r>
</w:p>
<w:p>
<w:pPr><w:pStyle w:val="Normal"/></w:pPr>
<w:r><w:t xml:space="preserve">East hegumenos or archimandrite.  The title had its origin</w:t></w:r>
</w:p>
<w:p>
<w:pPr><w:pStyle w:val="Normal"/></w:pPr>
<w:r><w:t xml:space="preserve">in the monasteries of Syria, whence it spread through the</w:t></w:r>
</w:p>
<w:p>
<w:pPr><w:pStyle w:val="Normal"/></w:pPr>
<w:r><w:t xml:space="preserve">East, and soon became accepted generally in all languages as</w:t></w:r>
</w:p>
<w:p>
<w:pPr><w:pStyle w:val="Normal"/></w:pPr>
<w:r><w:t xml:space="preserve">the designation of the head of a monastery.  At first it was</w:t></w:r>
</w:p>
<w:p>
<w:pPr><w:pStyle w:val="Normal"/></w:pPr>
<w:r><w:t xml:space="preserve">employed as a respectful title for any monk, as we learn from St</w:t></w:r>
</w:p>
<w:p>
<w:pPr><w:pStyle w:val="Normal"/></w:pPr>
<w:r><w:t xml:space="preserve">Jerome, who denounced the custom on the ground that Christ had</w:t></w:r>
</w:p>
<w:p>
<w:pPr><w:pStyle w:val="Normal"/></w:pPr>
<w:r><w:t xml:space="preserve">said, ``Call no man father on earth&apos;&apos; (in Epist. ad Gal.</w:t></w:r>
</w:p>
<w:p>
<w:pPr><w:pStyle w:val="Normal"/></w:pPr>
<w:r><w:t xml:space="preserve">iv. 6, in Matt. xxiii. 9), but it was soon restricted to the</w:t></w:r>
</w:p>
<w:p>
<w:pPr><w:pStyle w:val="Normal"/></w:pPr>
<w:r><w:t xml:space="preserve">superior.  The name ``abbot,&apos;&apos; though general in the West,</w:t></w:r>
</w:p>
<w:p>
<w:pPr><w:pStyle w:val="Normal"/></w:pPr>
<w:r><w:t xml:space="preserve">was never universal.  Among the Dominicans, Carmelites,</w:t></w:r>
</w:p>
<w:p>
<w:pPr><w:pStyle w:val="Normal"/></w:pPr>
<w:r><w:t xml:space="preserve">Augustinians, &amp;c., the superior was called Praepositus,</w:t></w:r>
</w:p>
<w:p>
<w:pPr><w:pStyle w:val="Normal"/></w:pPr>
<w:r><w:t xml:space="preserve">``provost,&apos;&apos; and Prior; among the Franciscans, Custos,</w:t></w:r>
</w:p>
<w:p>
<w:pPr><w:pStyle w:val="Normal"/></w:pPr>
<w:r><w:t xml:space="preserve">``guardian&apos;&apos;; and by the monks of Camaldoi, Major.</w:t></w:r>
</w:p>
<w:p>
<w:pPr><w:pStyle w:val="Normal"/></w:pPr>
<w:r><w:t xml:space="preserve">In Egypt, the first home of monasticism, the jurisdiction</w:t></w:r>
</w:p>
<w:p>
<w:pPr><w:pStyle w:val="Normal"/></w:pPr>
<w:r><w:t xml:space="preserve">of the abbot, or archimandrite, was but loosely defined.</w:t></w:r>
</w:p>
<w:p>
<w:pPr><w:pStyle w:val="Normal"/></w:pPr>
<w:r><w:t xml:space="preserve">Sometimes he ruled over only one community, sometimes over</w:t></w:r>
</w:p>
<w:p>
<w:pPr><w:pStyle w:val="Normal"/></w:pPr>
<w:r><w:t xml:space="preserve">several, each of which had its own abbot as well.  Cassian</w:t></w:r>
</w:p>
<w:p>
<w:pPr><w:pStyle w:val="Normal"/></w:pPr>
<w:r><w:t xml:space="preserve">speaks of an abbot of the Thebaid who had 500 monks under</w:t></w:r>
</w:p>
<w:p>
<w:pPr><w:pStyle w:val="Normal"/></w:pPr>
<w:r><w:t xml:space="preserve">him, a number exceeded in other cases.  By the rule of St</w:t></w:r>
</w:p>
<w:p>
<w:pPr><w:pStyle w:val="Normal"/></w:pPr>
<w:r><w:t xml:space="preserve">Benedict, which, until the reform of Cluny, was the norm</w:t></w:r>
</w:p>
<w:p>
<w:pPr><w:pStyle w:val="Normal"/></w:pPr>
<w:r><w:t xml:space="preserve">in the West, the abbot has jurisdiction over only one</w:t></w:r>
</w:p>
<w:p>
<w:pPr><w:pStyle w:val="Normal"/></w:pPr>
<w:r><w:t xml:space="preserve">community.  The rule, as was inevitable, was subject to</w:t></w:r>
</w:p>
<w:p>
<w:pPr><w:pStyle w:val="Normal"/></w:pPr>
<w:r><w:t xml:space="preserve">frequent violations; but it was not until the foundation of</w:t></w:r>
</w:p>
<w:p>
<w:pPr><w:pStyle w:val="Normal"/></w:pPr>
<w:r><w:t xml:space="preserve">the Cluniac Order that the idea of a supreme abbot, exercising</w:t></w:r>
</w:p>
<w:p>
<w:pPr><w:pStyle w:val="Normal"/></w:pPr>
<w:r><w:t xml:space="preserve">jurisdiction over all the houses of an order, was definitely</w:t></w:r>
</w:p>
<w:p>
<w:pPr><w:pStyle w:val="Normal"/></w:pPr>
<w:r><w:t xml:space="preserve">recognized.  New styles were devised to express this new</w:t></w:r>
</w:p>
<w:p>
<w:pPr><w:pStyle w:val="Normal"/></w:pPr>
<w:r><w:t xml:space="preserve">relation; thus the abbot of Monte Cassino was called abbas</w:t></w:r>
</w:p>
<w:p>
<w:pPr><w:pStyle w:val="Normal"/></w:pPr>
<w:r><w:t xml:space="preserve">abbatum, while the chiefs of other orders had the tities</w:t></w:r>
</w:p>
<w:p>
<w:pPr><w:pStyle w:val="Normal"/></w:pPr>
<w:r><w:t xml:space="preserve">abbas generails, or magister or minister generalis.</w:t></w:r>
</w:p>
<w:p>
<w:pPr><w:pStyle w:val="Normal"/></w:pPr>
<w:r><w:t xml:space="preserve">Monks, as a rule, were laymen, nor at the outset was the abbot</w:t></w:r>
</w:p>
<w:p>
<w:pPr><w:pStyle w:val="Normal"/></w:pPr>
<w:r><w:t xml:space="preserve">any exception.  All orders of clergy, therefore, even the</w:t></w:r>
</w:p>
<w:p>
<w:pPr><w:pStyle w:val="Normal"/></w:pPr>
<w:r><w:t xml:space="preserve">``doorkeeper,&apos;, took precedence of him.  For the reception</w:t></w:r>
</w:p>
<w:p>
<w:pPr><w:pStyle w:val="Normal"/></w:pPr>
<w:r><w:t xml:space="preserve">of the sacraments, and for other religious offices, the</w:t></w:r>
</w:p>
<w:p>
<w:pPr><w:pStyle w:val="Normal"/></w:pPr>
<w:r><w:t xml:space="preserve">abbot and his monks were commanded to attend the nearest</w:t></w:r>
</w:p>
<w:p>
<w:pPr><w:pStyle w:val="Normal"/></w:pPr>
<w:r><w:t xml:space="preserve">church (Nocellae, 133, c. ii.).  This rule naturally proved</w:t></w:r>
</w:p>
<w:p>
<w:pPr><w:pStyle w:val="Normal"/></w:pPr>
<w:r><w:t xml:space="preserve">inconvenient when a monastery was situated in a desert or at</w:t></w:r>
</w:p>
<w:p>
<w:pPr><w:pStyle w:val="Normal"/></w:pPr>
<w:r><w:t xml:space="preserve">a distance from a city, and necessity compelled the ordination</w:t></w:r>
</w:p>
<w:p>
<w:pPr><w:pStyle w:val="Normal"/></w:pPr>
<w:r><w:t xml:space="preserve">of abbots.  This innovation was not introduced without a</w:t></w:r>
</w:p>
<w:p>
<w:pPr><w:pStyle w:val="Normal"/></w:pPr>
<w:r><w:t xml:space="preserve">struggle, ecclesiastical dignity being regarded as inconsistent</w:t></w:r>
</w:p>
<w:p>
<w:pPr><w:pStyle w:val="Normal"/></w:pPr>
<w:r><w:t xml:space="preserve">with the higher spiritual life, but, before the close of</w:t></w:r>
</w:p>
<w:p>
<w:pPr><w:pStyle w:val="Normal"/></w:pPr>
<w:r><w:t xml:space="preserve">the 5th century, at least in the East, abbots seem almost</w:t></w:r>
</w:p>
<w:p>
<w:pPr><w:pStyle w:val="Normal"/></w:pPr>
<w:r><w:t xml:space="preserve">universally to have become deacons, if not presbyters.  The</w:t></w:r>
</w:p>
<w:p>
<w:pPr><w:pStyle w:val="Normal"/></w:pPr>
<w:r><w:t xml:space="preserve">change spread more slowly in the West, where the office of</w:t></w:r>
</w:p>
<w:p>
<w:pPr><w:pStyle w:val="Normal"/></w:pPr>
<w:r><w:t xml:space="preserve">abbot was commonly filled by laymen till the end of the 7th</w:t></w:r>
</w:p>
<w:p>
<w:pPr><w:pStyle w:val="Normal"/></w:pPr>
<w:r><w:t xml:space="preserve">century, and partially so up to the 11th.  Ecclesiastical</w:t></w:r>
</w:p>
<w:p>
<w:pPr><w:pStyle w:val="Normal"/></w:pPr>
<w:r><w:t xml:space="preserve">councils were, however, attended by abbots.  Thus at that</w:t></w:r>
</w:p>
<w:p>
<w:pPr><w:pStyle w:val="Normal"/></w:pPr>
<w:r><w:t xml:space="preserve">held at Constantinople, A.D. 448, for the condemnation of</w:t></w:r>
</w:p>
<w:p>
<w:pPr><w:pStyle w:val="Normal"/></w:pPr>
<w:r><w:t xml:space="preserve">Eutyches, 23 archimandrites or abbots sign, with 30 bishops,</w:t></w:r>
</w:p>
<w:p>
<w:pPr><w:pStyle w:val="Normal"/></w:pPr>
<w:r><w:t xml:space="preserve">and, c A.D. 690, Archbishop Theodore promulgated a</w:t></w:r>
</w:p>
<w:p>
<w:pPr><w:pStyle w:val="Normal"/></w:pPr>
<w:r><w:t xml:space="preserve">canon, inhibiting bishops from compelling abbots to attend</w:t></w:r>
</w:p>
<w:p>
<w:pPr><w:pStyle w:val="Normal"/></w:pPr>
<w:r><w:t xml:space="preserve">councils.  Examples are not uncommon in Spain and in England</w:t></w:r>
</w:p>
<w:p>
<w:pPr><w:pStyle w:val="Normal"/></w:pPr>
<w:r><w:t xml:space="preserve">in Saxon times.  Abbots were permitted by the second council</w:t></w:r>
</w:p>
<w:p>
<w:pPr><w:pStyle w:val="Normal"/></w:pPr>
<w:r><w:t xml:space="preserve">of Nicaea, A.D. 787, to ordain their monks to the inferior</w:t></w:r>
</w:p>
<w:p>
<w:pPr><w:pStyle w:val="Normal"/></w:pPr>
<w:r><w:t xml:space="preserve">orders.  This rule was adopted in the West, and the strong</w:t></w:r>
</w:p>
<w:p>
<w:pPr><w:pStyle w:val="Normal"/></w:pPr>
<w:r><w:t xml:space="preserve">prejudice against clerical monks having gradually broken down,</w:t></w:r>
</w:p>
<w:p>
<w:pPr><w:pStyle w:val="Normal"/></w:pPr>
<w:r><w:t xml:space="preserve">eventually monks, almost without exception, took holy orders.</w:t></w:r>
</w:p>
<w:p>
<w:pPr><w:pStyle w:val="Normal"/></w:pPr>
<w:r><w:t xml:space="preserve">Abbots were originally subject to episcopal jurisdiction, and</w:t></w:r>
</w:p>
<w:p>
<w:pPr><w:pStyle w:val="Normal"/></w:pPr>
<w:r><w:t xml:space="preserve">continued generally so, in fact, in the West till the 11th</w:t></w:r>
</w:p>
<w:p>
<w:pPr><w:pStyle w:val="Normal"/></w:pPr>
<w:r><w:t xml:space="preserve">century.  The Code of Justinian (lib. i. tit. iii. de Ep. leg.</w:t></w:r>
</w:p>
<w:p>
<w:pPr><w:pStyle w:val="Normal"/></w:pPr>
<w:r><w:t xml:space="preserve">xl.) expressly subordinates the abbot to episcopal oversight.</w:t></w:r>
</w:p>
<w:p>
<w:pPr><w:pStyle w:val="Normal"/></w:pPr>
<w:r><w:t xml:space="preserve">The first case recorded of the partial exemption of an abbot</w:t></w:r>
</w:p>
<w:p>
<w:pPr><w:pStyle w:val="Normal"/></w:pPr>
<w:r><w:t xml:space="preserve">from episcopal control is that of Faustus, abbot of Lerins,</w:t></w:r>
</w:p>
<w:p>
<w:pPr><w:pStyle w:val="Normal"/></w:pPr>
<w:r><w:t xml:space="preserve">at the council of Arles, A.D. 456; but the exorbitant claims</w:t></w:r>
</w:p>
<w:p>
<w:pPr><w:pStyle w:val="Normal"/></w:pPr>
<w:r><w:t xml:space="preserve">and exactions of bishops, to which this repugnance to episcopal</w:t></w:r>
</w:p>
<w:p>
<w:pPr><w:pStyle w:val="Normal"/></w:pPr>
<w:r><w:t xml:space="preserve">control is to be traced, far more than to the arrogance of</w:t></w:r>
</w:p>
<w:p>
<w:pPr><w:pStyle w:val="Normal"/></w:pPr>
<w:r><w:t xml:space="preserve">abbots, rendered it increasingly frequent, and, in the 6th</w:t></w:r>
</w:p>
<w:p>
<w:pPr><w:pStyle w:val="Normal"/></w:pPr>
<w:r><w:t xml:space="preserve">century, the practice of exempting religious houses partly or</w:t></w:r>
</w:p>
<w:p>
<w:pPr><w:pStyle w:val="Normal"/></w:pPr>
<w:r><w:t xml:space="preserve">altogether from episcopal control, and making them responsible</w:t></w:r>
</w:p>
<w:p>
<w:pPr><w:pStyle w:val="Normal"/></w:pPr>
<w:r><w:t xml:space="preserve">to the pope alone, received an impulse from Gregory the</w:t></w:r>
</w:p>
<w:p>
<w:pPr><w:pStyle w:val="Normal"/></w:pPr>
<w:r><w:t xml:space="preserve">Great.  These exceptions, introduced with a good object, had</w:t></w:r>
</w:p>
<w:p>
<w:pPr><w:pStyle w:val="Normal"/></w:pPr>
<w:r><w:t xml:space="preserve">grown into a widespread evil by the 12th century, virtually</w:t></w:r>
</w:p>
<w:p>
<w:pPr><w:pStyle w:val="Normal"/></w:pPr>
<w:r><w:t xml:space="preserve">creating an imperium in imperio, and depriving the bishop</w:t></w:r>
</w:p>
<w:p>
<w:pPr><w:pStyle w:val="Normal"/></w:pPr>
<w:r><w:t xml:space="preserve">of all authority over the chief centres of influence in his</w:t></w:r>
</w:p>
<w:p>
<w:pPr><w:pStyle w:val="Normal"/></w:pPr>
<w:r><w:t xml:space="preserve">diocese.  In the 12th century the abbots of Fulda claimed</w:t></w:r>
</w:p>
<w:p>
<w:pPr><w:pStyle w:val="Normal"/></w:pPr>
<w:r><w:t xml:space="preserve">precedence of the archbishop of Cologne.  Abbots more and</w:t></w:r>
</w:p>
<w:p>
<w:pPr><w:pStyle w:val="Normal"/></w:pPr>
<w:r><w:t xml:space="preserve">more assumed almost episcopal state, and in defiance of the</w:t></w:r>
</w:p>
<w:p>
<w:pPr><w:pStyle w:val="Normal"/></w:pPr>
<w:r><w:t xml:space="preserve">prohibition of early councils and the protests of St Bernard and</w:t></w:r>
</w:p>
<w:p>
<w:pPr><w:pStyle w:val="Normal"/></w:pPr>
<w:r><w:t xml:space="preserve">others, adopted the episcopal insignia of mitre, ring, gloves and</w:t></w:r>
</w:p>
<w:p>
<w:pPr><w:pStyle w:val="Normal"/></w:pPr>
<w:r><w:t xml:space="preserve">sandals.  It has been maintained that the right to wear mitres</w:t></w:r>
</w:p>
<w:p>
<w:pPr><w:pStyle w:val="Normal"/></w:pPr>
<w:r><w:t xml:space="preserve">was sometimes granted by the popes to abbots before the 11th</w:t></w:r>
</w:p>
<w:p>
<w:pPr><w:pStyle w:val="Normal"/></w:pPr>
<w:r><w:t xml:space="preserve">century, but the documents on which this claim is based are</w:t></w:r>
</w:p>
<w:p>
<w:pPr><w:pStyle w:val="Normal"/></w:pPr>
<w:r><w:t xml:space="preserve">not genuine (J. Braun, Liturgische Gewandung, p. 453).  The</w:t></w:r>
</w:p>
<w:p>
<w:pPr><w:pStyle w:val="Normal"/></w:pPr>
<w:r><w:t xml:space="preserve">first undoubted instance is the bull by which Alexander II.</w:t></w:r>
</w:p>
<w:p>
<w:pPr><w:pStyle w:val="Normal"/></w:pPr>
<w:r><w:t xml:space="preserve">in 1063 granted the use of the mitre to Egelsinus, abbot of</w:t></w:r>
</w:p>
<w:p>
<w:pPr><w:pStyle w:val="Normal"/></w:pPr>
<w:r><w:t xml:space="preserve">the monastery of St Augustine at Canterbury (see MITRE). The</w:t></w:r>
</w:p>
<w:p>
<w:pPr><w:pStyle w:val="Normal"/></w:pPr>
<w:r><w:t xml:space="preserve">mitred abbots in England were those of Abingdon, St Alban&apos;s,</w:t></w:r>
</w:p>
<w:p>
<w:pPr><w:pStyle w:val="Normal"/></w:pPr>
<w:r><w:t xml:space="preserve">Bardney, Battle, Bury St Edmund&apos;s, St Augustine&apos;s Canterbury,</w:t></w:r>
</w:p>
<w:p>
<w:pPr><w:pStyle w:val="Normal"/></w:pPr>
<w:r><w:t xml:space="preserve">Colchester, Croyland, Evesham, Glastonbury, Gloucester,</w:t></w:r>
</w:p>
<w:p>
<w:pPr><w:pStyle w:val="Normal"/></w:pPr>
<w:r><w:t xml:space="preserve">St Benet&apos;s Hulme, Hyde, Malmesbury, Peterborough, Ramsey,</w:t></w:r>
</w:p>
<w:p>
<w:pPr><w:pStyle w:val="Normal"/></w:pPr>
<w:r><w:t xml:space="preserve">Reading, Selby, Shrewsbury, Tavistock, Thorney, Westminster,</w:t></w:r>
</w:p>
<w:p>
<w:pPr><w:pStyle w:val="Normal"/></w:pPr>
<w:r><w:t xml:space="preserve">Winchcombe, St Mary&apos;s York.  Of these the precedence was</w:t></w:r>
</w:p>
<w:p>
<w:pPr><w:pStyle w:val="Normal"/></w:pPr>
<w:r><w:t xml:space="preserve">originally yielded to the abbot of Glastonbury, until in</w:t></w:r>
</w:p>
<w:p>
<w:pPr><w:pStyle w:val="Normal"/></w:pPr>
<w:r><w:t xml:space="preserve">A.D. 1154 Adrian IV. (Nicholas Breakspear) granted it to the</w:t></w:r>
</w:p>
<w:p>
<w:pPr><w:pStyle w:val="Normal"/></w:pPr>
<w:r><w:t xml:space="preserve">abbot of St Alban&apos;s, in which monastery he had been brought</w:t></w:r>
</w:p>
<w:p>
<w:pPr><w:pStyle w:val="Normal"/></w:pPr>
<w:r><w:t xml:space="preserve">up.  Next after the abbot of St Alban&apos;s ranked the abbot of</w:t></w:r>
</w:p>
<w:p>
<w:pPr><w:pStyle w:val="Normal"/></w:pPr>
<w:r><w:t xml:space="preserve">Westminster.  To distinguish abbots from bishops, it was ordained</w:t></w:r>
</w:p>
<w:p>
<w:pPr><w:pStyle w:val="Normal"/></w:pPr>
<w:r><w:t xml:space="preserve">that their mitre should be made of less costly materials,</w:t></w:r>
</w:p>
<w:p>
<w:pPr><w:pStyle w:val="Normal"/></w:pPr>
<w:r><w:t xml:space="preserve">and should not be ornamented with gold, a rule which was soon</w:t></w:r>
</w:p>
<w:p>
<w:pPr><w:pStyle w:val="Normal"/></w:pPr>
<w:r><w:t xml:space="preserve">entirely disregarded, and that the crook of their pastoral</w:t></w:r>
</w:p>
<w:p>
<w:pPr><w:pStyle w:val="Normal"/></w:pPr>
<w:r><w:t xml:space="preserve">staff should turn inwards instead of outwards, indicating</w:t></w:r>
</w:p>
<w:p>
<w:pPr><w:pStyle w:val="Normal"/></w:pPr>
<w:r><w:t xml:space="preserve">that their jurisdiction was limited to their own house.</w:t></w:r>
</w:p>
<w:p>
<w:pPr><w:pStyle w:val="Normal"/></w:pPr>
<w:r><w:t xml:space="preserve">The adoption of episcopal insignia by abbots was followed</w:t></w:r>
</w:p>
<w:p>
<w:pPr><w:pStyle w:val="Normal"/></w:pPr>
<w:r><w:t xml:space="preserve">by an encroachment on episcopal functions, which had to be</w:t></w:r>
</w:p>
<w:p>
<w:pPr><w:pStyle w:val="Normal"/></w:pPr>
<w:r><w:t xml:space="preserve">specially but ineffectually guarded against by the Lateran</w:t></w:r>
</w:p>
<w:p>
<w:pPr><w:pStyle w:val="Normal"/></w:pPr>
<w:r><w:t xml:space="preserve">council, A.D. 1123.  In the East, abbots, if in priests&apos;</w:t></w:r>
</w:p>
<w:p>
<w:pPr><w:pStyle w:val="Normal"/></w:pPr>
<w:r><w:t xml:space="preserve">orders, with the consent of the bishop, were, as we have</w:t></w:r>
</w:p>
<w:p>
<w:pPr><w:pStyle w:val="Normal"/></w:pPr>
<w:r><w:t xml:space="preserve">seen, permitted by the second Nicene council, A.D. 787,</w:t></w:r>
</w:p>
<w:p>
<w:pPr><w:pStyle w:val="Normal"/></w:pPr>
<w:r><w:t xml:space="preserve">to confer the tonsure and admit to the order of reader; but</w:t></w:r>
</w:p>
<w:p>
<w:pPr><w:pStyle w:val="Normal"/></w:pPr>
<w:r><w:t xml:space="preserve">gradually abbots, in the West also, advanced higher claims,</w:t></w:r>
</w:p>
<w:p>
<w:pPr><w:pStyle w:val="Normal"/></w:pPr>
<w:r><w:t xml:space="preserve">until we find them in A.D. 1489 permitted by Innocent</w:t></w:r>
</w:p>
<w:p>
<w:pPr><w:pStyle w:val="Heading1"/></w:pPr>
<w:r><w:t>IV. to confer both the subdiaconate and diaconate.  Of</w:t></w:r>
</w:p>
<w:p>
<w:pPr><w:pStyle w:val="Normal"/></w:pPr>
<w:r><w:t xml:space="preserve">course, they always and everywhere had the power of admitting</w:t></w:r>
</w:p>
<w:p>
<w:pPr><w:pStyle w:val="Normal"/></w:pPr>
<w:r><w:t xml:space="preserve">their own monks and vesting them with the religious habit.</w:t></w:r>
</w:p>
<w:p>
<w:pPr><w:pStyle w:val="Normal"/></w:pPr>
<w:r><w:t xml:space="preserve">When a vacancy occurred, the bishop of the diocese chose</w:t></w:r>
</w:p>
<w:p>
<w:pPr><w:pStyle w:val="Normal"/></w:pPr>
<w:r><w:t xml:space="preserve">the abbot out of the monks of the convent, but the right</w:t></w:r>
</w:p>
<w:p>
<w:pPr><w:pStyle w:val="Normal"/></w:pPr>
<w:r><w:t xml:space="preserve">of election was transferred by jurisdiction to the monks</w:t></w:r>
</w:p>
<w:p>
<w:pPr><w:pStyle w:val="Normal"/></w:pPr>
<w:r><w:t xml:space="preserve">themselves, reserving to the bishop the confirmation of the</w:t></w:r>
</w:p>
<w:p>
<w:pPr><w:pStyle w:val="Normal"/></w:pPr>
<w:r><w:t xml:space="preserve">election and the benediction of the new abbot.  In abbeys</w:t></w:r>
</w:p>
<w:p>
<w:pPr><w:pStyle w:val="Normal"/></w:pPr>
<w:r><w:t xml:space="preserve">exempt from episcopal jurisdiction, the confirmation and</w:t></w:r>
</w:p>
<w:p>
<w:pPr><w:pStyle w:val="Normal"/></w:pPr>
<w:r><w:t xml:space="preserve">benediction had to be conferred by the pope in person, the house</w:t></w:r>
</w:p>
<w:p>
<w:pPr><w:pStyle w:val="Normal"/></w:pPr>
<w:r><w:t xml:space="preserve">being taxed with the expenses of the new abbot&apos;s journey to</w:t></w:r>
</w:p>
<w:p>
<w:pPr><w:pStyle w:val="Normal"/></w:pPr>
<w:r><w:t xml:space="preserve">Rome.  By the rule of St Benedict, the consent of the laity</w:t></w:r>
</w:p>
<w:p>
<w:pPr><w:pStyle w:val="Normal"/></w:pPr>
<w:r><w:t xml:space="preserve">was in some undefined way required; but this seems never</w:t></w:r>
</w:p>
<w:p>
<w:pPr><w:pStyle w:val="Normal"/></w:pPr>
<w:r><w:t xml:space="preserve">to have been practically enforced.  It was necessary that</w:t></w:r>
</w:p>
<w:p>
<w:pPr><w:pStyle w:val="Normal"/></w:pPr>
<w:r><w:t xml:space="preserve">an abbot should be at least 25 years of age, of legitimate</w:t></w:r>
</w:p>
<w:p>
<w:pPr><w:pStyle w:val="Normal"/></w:pPr>
<w:r><w:t xml:space="preserve">birth, a monk of the house, unless it furnished no suitable</w:t></w:r>
</w:p>
<w:p>
<w:pPr><w:pStyle w:val="Normal"/></w:pPr>
<w:r><w:t xml:space="preserve">candidate, when a liberty was allowed of electing from another</w:t></w:r>
</w:p>
<w:p>
<w:pPr><w:pStyle w:val="Normal"/></w:pPr>
<w:r><w:t xml:space="preserve">convent, well instructed himself, and able to instruct others,</w:t></w:r>
</w:p>
<w:p>
<w:pPr><w:pStyle w:val="Normal"/></w:pPr>
<w:r><w:t xml:space="preserve">one also who had learned how to command by having practised</w:t></w:r>
</w:p>
<w:p>
<w:pPr><w:pStyle w:val="Normal"/></w:pPr>
<w:r><w:t xml:space="preserve">obedience.  In some exceptional cases an abbot was allowed</w:t></w:r>
</w:p>
<w:p>
<w:pPr><w:pStyle w:val="Normal"/></w:pPr>
<w:r><w:t xml:space="preserve">to name his own successor.  Cassian speaks of an abbot in</w:t></w:r>
</w:p>
<w:p>
<w:pPr><w:pStyle w:val="Normal"/></w:pPr>
<w:r><w:t xml:space="preserve">Egypt doing this; and in later times we have another example</w:t></w:r>
</w:p>
<w:p>
<w:pPr><w:pStyle w:val="Normal"/></w:pPr>
<w:r><w:t xml:space="preserve">in the case of St Bruno.  Popes and sovereigns gradually</w:t></w:r>
</w:p>
<w:p>
<w:pPr><w:pStyle w:val="Normal"/></w:pPr>
<w:r><w:t xml:space="preserve">encroached on the rights of the monks, until in Italy the</w:t></w:r>
</w:p>
<w:p>
<w:pPr><w:pStyle w:val="Normal"/></w:pPr>
<w:r><w:t xml:space="preserve">pope had usurped the nomination of all abbots, and the king in</w:t></w:r>
</w:p>
<w:p>
<w:pPr><w:pStyle w:val="Normal"/></w:pPr>
<w:r><w:t xml:space="preserve">France, with the exception of Cluny, Premontre and other</w:t></w:r>
</w:p>
<w:p>
<w:pPr><w:pStyle w:val="Normal"/></w:pPr>
<w:r><w:t xml:space="preserve">houses, chiefs of their order.  The election was for life,</w:t></w:r>
</w:p>
<w:p>
<w:pPr><w:pStyle w:val="Normal"/></w:pPr>
<w:r><w:t xml:space="preserve">unless the abbot was canonically deprived by the chiefs of</w:t></w:r>
</w:p>
<w:p>
<w:pPr><w:pStyle w:val="Normal"/></w:pPr>
<w:r><w:t xml:space="preserve">his order, or when he was directly subject to them, by the</w:t></w:r>
</w:p>
<w:p>
<w:pPr><w:pStyle w:val="Normal"/></w:pPr>
<w:r><w:t xml:space="preserve">pope or the bishop.  The ceremony of the formal admission of</w:t></w:r>
</w:p>
<w:p>
<w:pPr><w:pStyle w:val="Normal"/></w:pPr>
<w:r><w:t xml:space="preserve">a Benedictine abbot in medieval times is thus prescribed by</w:t></w:r>
</w:p>
<w:p>
<w:pPr><w:pStyle w:val="Normal"/></w:pPr>
<w:r><w:t xml:space="preserve">the consuetudinary of Abingdon.  The newly elected abbot was</w:t></w:r>
</w:p>
<w:p>
<w:pPr><w:pStyle w:val="Normal"/></w:pPr>
<w:r><w:t xml:space="preserve">to put off his shoes at the door of the church, and proceed</w:t></w:r>
</w:p>
<w:p>
<w:pPr><w:pStyle w:val="Normal"/></w:pPr>
<w:r><w:t xml:space="preserve">barefoot to meet the members of the house advancing in a</w:t></w:r>
</w:p>
<w:p>
<w:pPr><w:pStyle w:val="Normal"/></w:pPr>
<w:r><w:t xml:space="preserve">procession.  After proceeding up the nave, he was to kneel</w:t></w:r>
</w:p>
<w:p>
<w:pPr><w:pStyle w:val="Normal"/></w:pPr>
<w:r><w:t xml:space="preserve">and pray at the topmost step of the entrance of the choir,</w:t></w:r>
</w:p>
<w:p>
<w:pPr><w:pStyle w:val="Normal"/></w:pPr>
<w:r><w:t xml:space="preserve">into which he was to be introduced by the bishop or his</w:t></w:r>
</w:p>
<w:p>
<w:pPr><w:pStyle w:val="Normal"/></w:pPr>
<w:r><w:t xml:space="preserve">commissary, and placed in his stall.  The monks, then kneeling,</w:t></w:r>
</w:p>
<w:p>
<w:pPr><w:pStyle w:val="Normal"/></w:pPr>
<w:r><w:t xml:space="preserve">gave him the kiss of peace on the hand, and rising, on the</w:t></w:r>
</w:p>
<w:p>
<w:pPr><w:pStyle w:val="Normal"/></w:pPr>
<w:r><w:t xml:space="preserve">mouth, the abbot holding his staff of office.  He then put</w:t></w:r>
</w:p>
<w:p>
<w:pPr><w:pStyle w:val="Normal"/></w:pPr>
<w:r><w:t xml:space="preserve">on his shoes in the vestry, and a chapter was held, and</w:t></w:r>
</w:p>
<w:p>
<w:pPr><w:pStyle w:val="Normal"/></w:pPr>
<w:r><w:t xml:space="preserve">the bishop or his commissary preached a suitable sermon.</w:t></w:r>
</w:p>
<w:p>
<w:pPr><w:pStyle w:val="Normal"/></w:pPr>
<w:r><w:t xml:space="preserve">The power of the abbot was paternal but absolute, limited,</w:t></w:r>
</w:p>
<w:p>
<w:pPr><w:pStyle w:val="Normal"/></w:pPr>
<w:r><w:t xml:space="preserve">however, by the canons of the church, and, until the general</w:t></w:r>
</w:p>
<w:p>
<w:pPr><w:pStyle w:val="Normal"/></w:pPr>
<w:r><w:t xml:space="preserve">establishment of exemptions, by episcopal control.  As a</w:t></w:r>
</w:p>
<w:p>
<w:pPr><w:pStyle w:val="Normal"/></w:pPr>
<w:r><w:t xml:space="preserve">rule, however, implicit obedience was enforced; to act</w:t></w:r>
</w:p>
<w:p>
<w:pPr><w:pStyle w:val="Normal"/></w:pPr>
<w:r><w:t xml:space="preserve">without his orders was culpable; while it was a sacred duty</w:t></w:r>
</w:p>
<w:p>
<w:pPr><w:pStyle w:val="Normal"/></w:pPr>
<w:r><w:t xml:space="preserve">to execute his orders, however unreasonable, until they were</w:t></w:r>
</w:p>
<w:p>
<w:pPr><w:pStyle w:val="Normal"/></w:pPr>
<w:r><w:t xml:space="preserve">withdrawn.  Examples among the Egyptian monks of this blind</w:t></w:r>
</w:p>
<w:p>
<w:pPr><w:pStyle w:val="Normal"/></w:pPr>
<w:r><w:t xml:space="preserve">submission to the commands of the superiors, exalted into</w:t></w:r>
</w:p>
<w:p>
<w:pPr><w:pStyle w:val="Normal"/></w:pPr>
<w:r><w:t xml:space="preserve">a virtue by those who regarded the entire crushing of the</w:t></w:r>
</w:p>
<w:p>
<w:pPr><w:pStyle w:val="Normal"/></w:pPr>
<w:r><w:t xml:space="preserve">individual will as the highest excellence, are detailed by</w:t></w:r>
</w:p>
<w:p>
<w:pPr><w:pStyle w:val="Normal"/></w:pPr>
<w:r><w:t xml:space="preserve">Cassian and others,--- e.g. a monk watering a dry stick,</w:t></w:r>
</w:p>
<w:p>
<w:pPr><w:pStyle w:val="Normal"/></w:pPr>
<w:r><w:t xml:space="preserve">day after day, for months, or endeavouring to remove a huge</w:t></w:r>
</w:p>
<w:p>
<w:pPr><w:pStyle w:val="Normal"/></w:pPr>
<w:r><w:t xml:space="preserve">rock immensely exceeding his powers.  St Jerome, indeed, lays</w:t></w:r>
</w:p>
<w:p>
<w:pPr><w:pStyle w:val="Normal"/></w:pPr>
<w:r><w:t xml:space="preserve">down, as the principle of the compact between the abbot and his</w:t></w:r>
</w:p>
<w:p>
<w:pPr><w:pStyle w:val="Normal"/></w:pPr>
<w:r><w:t xml:space="preserve">monks, that they should obey their superiors in all things,</w:t></w:r>
</w:p>
<w:p>
<w:pPr><w:pStyle w:val="Normal"/></w:pPr>
<w:r><w:t xml:space="preserve">and perform whatever they commanded (Ep. 2, ad Eustoch. de</w:t></w:r>
</w:p>
<w:p>
<w:pPr><w:pStyle w:val="Normal"/></w:pPr>
<w:r><w:t xml:space="preserve">custod. virgin.). So despotic did the tyranny become in the</w:t></w:r>
</w:p>
<w:p>
<w:pPr><w:pStyle w:val="Normal"/></w:pPr>
<w:r><w:t xml:space="preserve">West, that in the time of Charlemagne it was necessary to</w:t></w:r>
</w:p>
<w:p>
<w:pPr><w:pStyle w:val="Normal"/></w:pPr>
<w:r><w:t xml:space="preserve">restrain abbots by legal enactments from mutilating their</w:t></w:r>
</w:p>
<w:p>
<w:pPr><w:pStyle w:val="Normal"/></w:pPr>
<w:r><w:t xml:space="preserve">monks and putting out their eyes; while the rule of St</w:t></w:r>
</w:p>
<w:p>
<w:pPr><w:pStyle w:val="Normal"/></w:pPr>
<w:r><w:t xml:space="preserve">Columban ordained 100 lashes as the punishment for very slight</w:t></w:r>
</w:p>
<w:p>
<w:pPr><w:pStyle w:val="Normal"/></w:pPr>
<w:r><w:t xml:space="preserve">offences.  An abbot also had the power of excommunicating</w:t></w:r>
</w:p>
<w:p>
<w:pPr><w:pStyle w:val="Normal"/></w:pPr>
<w:r><w:t xml:space="preserve">refractory nuns, which he might use if desired by their abbess.</w:t></w:r>
</w:p>
<w:p>
<w:pPr><w:pStyle w:val="Normal"/></w:pPr>
<w:r><w:t xml:space="preserve">The abbot was treated with the utmost submission and reverence</w:t></w:r>
</w:p>
<w:p>
<w:pPr><w:pStyle w:val="Normal"/></w:pPr>
<w:r><w:t xml:space="preserve">by the brethren of his house.  When he appeared either in</w:t></w:r>
</w:p>
<w:p>
<w:pPr><w:pStyle w:val="Normal"/></w:pPr>
<w:r><w:t xml:space="preserve">church or chapter all present rose and bowed.  His letters</w:t></w:r>
</w:p>
<w:p>
<w:pPr><w:pStyle w:val="Normal"/></w:pPr>
<w:r><w:t xml:space="preserve">were received kneeling, like those of the pope and the</w:t></w:r>
</w:p>
<w:p>
<w:pPr><w:pStyle w:val="Normal"/></w:pPr>
<w:r><w:t xml:space="preserve">king.  If he gave a command, the monk receiving it was also to</w:t></w:r>
</w:p>
<w:p>
<w:pPr><w:pStyle w:val="Normal"/></w:pPr>
<w:r><w:t xml:space="preserve">kneel.  No monk might sit in his presence, or leave it without his</w:t></w:r>
</w:p>
<w:p>
<w:pPr><w:pStyle w:val="Normal"/></w:pPr>
<w:r><w:t xml:space="preserve">permission.  The highest place was naturally assigned to him,</w:t></w:r>
</w:p>
<w:p>
<w:pPr><w:pStyle w:val="Normal"/></w:pPr>
<w:r><w:t xml:space="preserve">both in church and at table.  In the East he was commanded to</w:t></w:r>
</w:p>
<w:p>
<w:pPr><w:pStyle w:val="Normal"/></w:pPr>
<w:r><w:t xml:space="preserve">eat with the other monks.  In the West the rule of St Benedict</w:t></w:r>
</w:p>
<w:p>
<w:pPr><w:pStyle w:val="Normal"/></w:pPr>
<w:r><w:t xml:space="preserve">appointed him a separate table, at which he might entertain</w:t></w:r>
</w:p>
<w:p>
<w:pPr><w:pStyle w:val="Normal"/></w:pPr>
<w:r><w:t xml:space="preserve">guests and strangers.  This permission opening the door to</w:t></w:r>
</w:p>
<w:p>
<w:pPr><w:pStyle w:val="Normal"/></w:pPr>
<w:r><w:t xml:space="preserve">luxurious living, the council of Aix, A.D. 817, decreed that</w:t></w:r>
</w:p>
<w:p>
<w:pPr><w:pStyle w:val="Normal"/></w:pPr>
<w:r><w:t xml:space="preserve">the abbot should dine in the refectory, and be content with</w:t></w:r>
</w:p>
<w:p>
<w:pPr><w:pStyle w:val="Normal"/></w:pPr>
<w:r><w:t xml:space="preserve">the ordinary fare of the monks, unless he had to entertain a</w:t></w:r>
</w:p>
<w:p>
<w:pPr><w:pStyle w:val="Normal"/></w:pPr>
<w:r><w:t xml:space="preserve">guest.  These ordinances proved, however, generally ineffectual</w:t></w:r>
</w:p>
<w:p>
<w:pPr><w:pStyle w:val="Normal"/></w:pPr>
<w:r><w:t xml:space="preserve">to secure strictness of diet, and contemporaneous literature</w:t></w:r>
</w:p>
<w:p>
<w:pPr><w:pStyle w:val="Normal"/></w:pPr>
<w:r><w:t xml:space="preserve">abounds with satirical remarks and complaints concerning the</w:t></w:r>
</w:p>
<w:p>
<w:pPr><w:pStyle w:val="Normal"/></w:pPr>
<w:r><w:t xml:space="preserve">inordinate extravagance of the tables of the abbots.  When the</w:t></w:r>
</w:p>
<w:p>
<w:pPr><w:pStyle w:val="Normal"/></w:pPr>
<w:r><w:t xml:space="preserve">abbot condescended to dine in the refectory, his chaplains waited</w:t></w:r>
</w:p>
<w:p>
<w:pPr><w:pStyle w:val="Normal"/></w:pPr>
<w:r><w:t xml:space="preserve">upon him with the dishes, a servant, if necessary, assisting</w:t></w:r>
</w:p>
<w:p>
<w:pPr><w:pStyle w:val="Normal"/></w:pPr>
<w:r><w:t xml:space="preserve">them.  At St Alban&apos;s the abbot took the lord&apos;s seat, in the</w:t></w:r>
</w:p>
<w:p>
<w:pPr><w:pStyle w:val="Normal"/></w:pPr>
<w:r><w:t xml:space="preserve">centre of the high table, and was served on silver plate, and</w:t></w:r>
</w:p>
<w:p>
<w:pPr><w:pStyle w:val="Normal"/></w:pPr>
<w:r><w:t xml:space="preserve">sumptuously entertained noblemen, ambassadors and strangers of</w:t></w:r>
</w:p>
<w:p>
<w:pPr><w:pStyle w:val="Normal"/></w:pPr>
<w:r><w:t xml:space="preserve">quality.  When abbots dined in their own private hall, the rule</w:t></w:r>
</w:p>
<w:p>
<w:pPr><w:pStyle w:val="Normal"/></w:pPr>
<w:r><w:t xml:space="preserve">of St Benedict charged them to invite their monks to their table,</w:t></w:r>
</w:p>
<w:p>
<w:pPr><w:pStyle w:val="Normal"/></w:pPr>
<w:r><w:t xml:space="preserve">provided there was room, on which occasions the guests were</w:t></w:r>
</w:p>
<w:p>
<w:pPr><w:pStyle w:val="Normal"/></w:pPr>
<w:r><w:t xml:space="preserve">to abstain from quarrels, slanderous talk and idle gossiping.</w:t></w:r>
</w:p>
<w:p>
<w:pPr><w:pStyle w:val="Normal"/></w:pPr>
<w:r><w:t xml:space="preserve">The ordinary attire of the abbot was according to rule to be</w:t></w:r>
</w:p>
<w:p>
<w:pPr><w:pStyle w:val="Normal"/></w:pPr>
<w:r><w:t xml:space="preserve">the same as that of the monks.  But by the 10th century the</w:t></w:r>
</w:p>
<w:p>
<w:pPr><w:pStyle w:val="Normal"/></w:pPr>
<w:r><w:t xml:space="preserve">rule was commonly set aside, and we find frequent complaints of</w:t></w:r>
</w:p>
<w:p>
<w:pPr><w:pStyle w:val="Normal"/></w:pPr>
<w:r><w:t xml:space="preserve">abbots dressing in silk, and adopting sumptuous attire.  They</w:t></w:r>
</w:p>
<w:p>
<w:pPr><w:pStyle w:val="Normal"/></w:pPr>
<w:r><w:t xml:space="preserve">sometimes even laid aside the monastic habit altogether, and</w:t></w:r>
</w:p>
<w:p>
<w:pPr><w:pStyle w:val="Normal"/></w:pPr>
<w:r><w:t xml:space="preserve">assumed a secular dress.1 This was a necessary consequence of</w:t></w:r>
</w:p>
<w:p>
<w:pPr><w:pStyle w:val="Normal"/></w:pPr>
<w:r><w:t xml:space="preserve">their following the chase, which was quite usual, and indeed at</w:t></w:r>
</w:p>
<w:p>
<w:pPr><w:pStyle w:val="Normal"/></w:pPr>
<w:r><w:t xml:space="preserve">that time only natural.  With the increase of wealth and power,</w:t></w:r>
</w:p>
<w:p>
<w:pPr><w:pStyle w:val="Normal"/></w:pPr>
<w:r><w:t xml:space="preserve">abbots had lost much of their special religious character, and</w:t></w:r>
</w:p>
<w:p>
<w:pPr><w:pStyle w:val="Normal"/></w:pPr>
<w:r><w:t xml:space="preserve">become great lords, chiefly distinguished from lay lords by</w:t></w:r>
</w:p>
<w:p>
<w:pPr><w:pStyle w:val="Normal"/></w:pPr>
<w:r><w:t xml:space="preserve">celibacy.  Thus we hear of abbots going out to sport, with</w:t></w:r>
</w:p>
<w:p>
<w:pPr><w:pStyle w:val="Normal"/></w:pPr>
<w:r><w:t xml:space="preserve">their men carrying bows and arrows; keeping horses, dogs and</w:t></w:r>
</w:p>
<w:p>
<w:pPr><w:pStyle w:val="Normal"/></w:pPr>
<w:r><w:t xml:space="preserve">huntsmen; and special mention is made of an abbot of Leicester,</w:t></w:r>
</w:p>
<w:p>
<w:pPr><w:pStyle w:val="Normal"/></w:pPr>
<w:r><w:t xml:space="preserve">c. 1360, who was the most skilled of all the nobility in</w:t></w:r>
</w:p>
<w:p>
<w:pPr><w:pStyle w:val="Normal"/></w:pPr>
<w:r><w:t xml:space="preserve">harehunting.  In magnificence of equipage and retinue the</w:t></w:r>
</w:p>
<w:p>
<w:pPr><w:pStyle w:val="Normal"/></w:pPr>
<w:r><w:t xml:space="preserve">abbots vied with the first nobles of the realm.  They rode</w:t></w:r>
</w:p>
<w:p>
<w:pPr><w:pStyle w:val="Normal"/></w:pPr>
<w:r><w:t xml:space="preserve">on mules with gilded bridles, rich saddles and housings,</w:t></w:r>
</w:p>
<w:p>
<w:pPr><w:pStyle w:val="Normal"/></w:pPr>
<w:r><w:t xml:space="preserve">carrying hawks on their wrist, followed by an immense train of</w:t></w:r>
</w:p>
<w:p>
<w:pPr><w:pStyle w:val="Normal"/></w:pPr>
<w:r><w:t xml:space="preserve">attendants.  The bells of the churches were rung as they</w:t></w:r>
</w:p>
<w:p>
<w:pPr><w:pStyle w:val="Normal"/></w:pPr>
<w:r><w:t xml:space="preserve">passed.  They associated on equal terms with laymen of the</w:t></w:r>
</w:p>
<w:p>
<w:pPr><w:pStyle w:val="Normal"/></w:pPr>
<w:r><w:t xml:space="preserve">highest distinction, and shared all their pleasures and</w:t></w:r>
</w:p>
<w:p>
<w:pPr><w:pStyle w:val="Normal"/></w:pPr>
<w:r><w:t xml:space="preserve">pursuits.  This rank and power was, however, often used most</w:t></w:r>
</w:p>
<w:p>
<w:pPr><w:pStyle w:val="Normal"/></w:pPr>
<w:r><w:t xml:space="preserve">beneficially.  For instance, we read of Whiting, the last</w:t></w:r>
</w:p>
<w:p>
<w:pPr><w:pStyle w:val="Normal"/></w:pPr>
<w:r><w:t xml:space="preserve">abbot of Glastonbury, judicially murdered by Henry VIII.,</w:t></w:r>
</w:p>
<w:p>
<w:pPr><w:pStyle w:val="Normal"/></w:pPr>
<w:r><w:t xml:space="preserve">that his house was a kind of well-ordered court, where as</w:t></w:r>
</w:p>
<w:p>
<w:pPr><w:pStyle w:val="Normal"/></w:pPr>
<w:r><w:t xml:space="preserve">many as 300 sons of noblemen and gentlemen, who had been sent</w:t></w:r>
</w:p>
<w:p>
<w:pPr><w:pStyle w:val="Normal"/></w:pPr>
<w:r><w:t xml:space="preserve">to him for virtuous education, had been brought up, besides</w:t></w:r>
</w:p>
<w:p>
<w:pPr><w:pStyle w:val="Normal"/></w:pPr>
<w:r><w:t xml:space="preserve">others of a meaner rank, whom he fitted for the universities.</w:t></w:r>
</w:p>
<w:p>
<w:pPr><w:pStyle w:val="Normal"/></w:pPr>
<w:r><w:t xml:space="preserve">His table, attendance and officers were an honour to the</w:t></w:r>
</w:p>
<w:p>
<w:pPr><w:pStyle w:val="Normal"/></w:pPr>
<w:r><w:t xml:space="preserve">nation.  He would entertain as many as 500 persons of rank at</w:t></w:r>
</w:p>
<w:p>
<w:pPr><w:pStyle w:val="Normal"/></w:pPr>
<w:r><w:t xml:space="preserve">one time, besides relieving the poor of the vicinity twice a</w:t></w:r>
</w:p>
<w:p>
<w:pPr><w:pStyle w:val="Normal"/></w:pPr>
<w:r><w:t xml:space="preserve">week.  He had his country houses and fisheries, and when</w:t></w:r>
</w:p>
<w:p>
<w:pPr><w:pStyle w:val="Normal"/></w:pPr>
<w:r><w:t xml:space="preserve">he travelled to attend parliament his retinue amounted to</w:t></w:r>
</w:p>
<w:p>
<w:pPr><w:pStyle w:val="Normal"/></w:pPr>
<w:r><w:t xml:space="preserve">upwards of 100 persons.  The abbots of Cluny and Vendome</w:t></w:r>
</w:p>
<w:p>
<w:pPr><w:pStyle w:val="Normal"/></w:pPr>
<w:r><w:t xml:space="preserve">were, by virtue of their office, cardinals of the Roman church.</w:t></w:r>
</w:p>
<w:p>
<w:pPr><w:pStyle w:val="Normal"/></w:pPr>
<w:r><w:t xml:space="preserve">In process of time the title abbot was improperly transferred</w:t></w:r>
</w:p>
<w:p>
<w:pPr><w:pStyle w:val="Normal"/></w:pPr>
<w:r><w:t xml:space="preserve">to clerics who had no connexion with the monastic system,</w:t></w:r>
</w:p>
<w:p>
<w:pPr><w:pStyle w:val="Normal"/></w:pPr>
<w:r><w:t xml:space="preserve">as to the principal of a body of parochial clergy; and</w:t></w:r>
</w:p>
<w:p>
<w:pPr><w:pStyle w:val="Normal"/></w:pPr>
<w:r><w:t xml:space="preserve">under the Carolingians to the chief chaplain of the king,</w:t></w:r>
</w:p>
<w:p>
<w:pPr><w:pStyle w:val="Normal"/></w:pPr>
<w:r><w:t xml:space="preserve">Abbas Curiae, or military chaplain of the emperor, Abbas</w:t></w:r>
</w:p>
<w:p>
<w:pPr><w:pStyle w:val="Normal"/></w:pPr>
<w:r><w:t xml:space="preserve">Castrensis. It even came to be adopted by purely secular</w:t></w:r>
</w:p>
<w:p>
<w:pPr><w:pStyle w:val="Normal"/></w:pPr>
<w:r><w:t xml:space="preserve">officials.  Thus the chief magistrate of the republic at Genoa</w:t></w:r>
</w:p>
<w:p>
<w:pPr><w:pStyle w:val="Normal"/></w:pPr>
<w:r><w:t xml:space="preserve">was called Abbas Populi. Du Cange, in his glossary, also gives</w:t></w:r>
</w:p>
<w:p>
<w:pPr><w:pStyle w:val="Normal"/></w:pPr>
<w:r><w:t xml:space="preserve">us Abbas Campanilis, Clocherii, Palatii, Scholaris, &amp;c.</w:t></w:r>
</w:p>
<w:p>
<w:pPr><w:pStyle w:val="Normal"/></w:pPr>
<w:r><w:t xml:space="preserve">Lay abbots (M. Lat. defensores, abbacomites, abbates laici,</w:t></w:r>
</w:p>
<w:p>
<w:pPr><w:pStyle w:val="Normal"/></w:pPr>
<w:r><w:t xml:space="preserve">abbates milites, abbates saeculares or irreligiosi,</w:t></w:r>
</w:p>
<w:p>
<w:pPr><w:pStyle w:val="Normal"/></w:pPr>
<w:r><w:t xml:space="preserve">abbatiarii, or sometimes simply abbates) were the outcome</w:t></w:r>
</w:p>
<w:p>
<w:pPr><w:pStyle w:val="Normal"/></w:pPr>
<w:r><w:t xml:space="preserve">of the growth of the feudal system from the 8th century</w:t></w:r>
</w:p>
<w:p>
<w:pPr><w:pStyle w:val="Normal"/></w:pPr>
<w:r><w:t xml:space="preserve">onwards.  The practice of commendation, by which---to meet</w:t></w:r>
</w:p>
<w:p>
<w:pPr><w:pStyle w:val="Normal"/></w:pPr>
<w:r><w:t xml:space="preserve">a contemporary emergency--the revenues of the community were</w:t></w:r>
</w:p>
<w:p>
<w:pPr><w:pStyle w:val="Normal"/></w:pPr>
<w:r><w:t xml:space="preserve">handed over to a lay lord, in return for his protection,</w:t></w:r>
</w:p>
<w:p>
<w:pPr><w:pStyle w:val="Normal"/></w:pPr>
<w:r><w:t xml:space="preserve">early suggested to the emperors and kings the expedient of</w:t></w:r>
</w:p>
<w:p>
<w:pPr><w:pStyle w:val="Normal"/></w:pPr>
<w:r><w:t xml:space="preserve">rewarding their warriors with rich abbeys held in commendam.</w:t></w:r>
</w:p>
<w:p>
<w:pPr><w:pStyle w:val="Normal"/></w:pPr>
<w:r><w:t xml:space="preserve">During the Carolingian epoch the custom grew up of granting</w:t></w:r>
</w:p>
<w:p>
<w:pPr><w:pStyle w:val="Normal"/></w:pPr>
<w:r><w:t xml:space="preserve">these as regular heritable fiefs or benefices, and by the 10th</w:t></w:r>
</w:p>
<w:p>
<w:pPr><w:pStyle w:val="Normal"/></w:pPr>
<w:r><w:t xml:space="preserve">century, before the great Cluniac reform, the system was firmly</w:t></w:r>
</w:p>
<w:p>
<w:pPr><w:pStyle w:val="Normal"/></w:pPr>
<w:r><w:t xml:space="preserve">established.  Even the abbey of St Denis was held in commendam</w:t></w:r>
</w:p>
<w:p>
<w:pPr><w:pStyle w:val="Normal"/></w:pPr>
<w:r><w:t xml:space="preserve">by Hugh Capet.  The example of the kings was followed by the</w:t></w:r>
</w:p>
<w:p>
<w:pPr><w:pStyle w:val="Normal"/></w:pPr>
<w:r><w:t xml:space="preserve">feudal nobles, sometimes by making a temporary concession</w:t></w:r>
</w:p>
<w:p>
<w:pPr><w:pStyle w:val="Normal"/></w:pPr>
<w:r><w:t xml:space="preserve">permanent, sometimes without any form of commendation</w:t></w:r>
</w:p>
<w:p>
<w:pPr><w:pStyle w:val="Normal"/></w:pPr>
<w:r><w:t xml:space="preserve">whatever.  In England the abuse was rife in the 8th</w:t></w:r>
</w:p>
<w:p>
<w:pPr><w:pStyle w:val="Normal"/></w:pPr>
<w:r><w:t xml:space="preserve">century, as may be gathered from the acts of the council of</w:t></w:r>
</w:p>
<w:p>
<w:pPr><w:pStyle w:val="Normal"/></w:pPr>
<w:r><w:t xml:space="preserve">Cloveshoe.  These lay abbacies were not merely a question of</w:t></w:r>
</w:p>
<w:p>
<w:pPr><w:pStyle w:val="Normal"/></w:pPr>
<w:r><w:t xml:space="preserve">overlordship, but implied the concentration in lay hands</w:t></w:r>
</w:p>
<w:p>
<w:pPr><w:pStyle w:val="Normal"/></w:pPr>
<w:r><w:t xml:space="preserve">of all the rights, immunities and jurisdiction of the</w:t></w:r>
</w:p>
<w:p>
<w:pPr><w:pStyle w:val="Normal"/></w:pPr>
<w:r><w:t xml:space="preserve">foundations, i.e. the more or less complete secularization of</w:t></w:r>
</w:p>
<w:p>
<w:pPr><w:pStyle w:val="Normal"/></w:pPr>
<w:r><w:t xml:space="preserve">1 Walworth, the fourth abbot of St Alban&apos;s, c. 930, is</w:t></w:r>
</w:p>
<w:p>
<w:pPr><w:pStyle w:val="Normal"/></w:pPr>
<w:r><w:t xml:space="preserve">charged by Matthew Paris with adopting the attire of a sportsman.</w:t></w:r>
</w:p>
<w:p>
<w:pPr><w:pStyle w:val="Normal"/></w:pPr>
<w:r><w:t xml:space="preserve">spiritual institutions.  The lay abbot took his recognized</w:t></w:r>
</w:p>
<w:p>
<w:pPr><w:pStyle w:val="Normal"/></w:pPr>
<w:r><w:t xml:space="preserve">rank in the feudal hierarchy, and was free to dispose of</w:t></w:r>
</w:p>
<w:p>
<w:pPr><w:pStyle w:val="Normal"/></w:pPr>
<w:r><w:t xml:space="preserve">his fief as in the case of any other.  The enfeoffment of</w:t></w:r>
</w:p>
<w:p>
<w:pPr><w:pStyle w:val="Normal"/></w:pPr>
<w:r><w:t xml:space="preserve">abbeys differed in form and degree.  Sometimes the monks were</w:t></w:r>
</w:p>
<w:p>
<w:pPr><w:pStyle w:val="Normal"/></w:pPr>
<w:r><w:t xml:space="preserve">directly subject to the lay abbot; sometimes he appointed a</w:t></w:r>
</w:p>
<w:p>
<w:pPr><w:pStyle w:val="Normal"/></w:pPr>
<w:r><w:t xml:space="preserve">substitute to perform the spirtual functions, known usually</w:t></w:r>
</w:p>
<w:p>
<w:pPr><w:pStyle w:val="Normal"/></w:pPr>
<w:r><w:t xml:space="preserve">as dean (decanus), but also as abbot (abbas legitimas,</w:t></w:r>
</w:p>
<w:p>
<w:pPr><w:pStyle w:val="Normal"/></w:pPr>
<w:r><w:t xml:space="preserve">monasticus, regularis). When the great reform of the 11th</w:t></w:r>
</w:p>
<w:p>
<w:pPr><w:pStyle w:val="Normal"/></w:pPr>
<w:r><w:t xml:space="preserve">century had put an end to the direct jurisdiction of the lay</w:t></w:r>
</w:p>
<w:p>
<w:pPr><w:pStyle w:val="Normal"/></w:pPr>
<w:r><w:t xml:space="preserve">abbots, the honorary title of abbot continued to be held by</w:t></w:r>
</w:p>
<w:p>
<w:pPr><w:pStyle w:val="Normal"/></w:pPr>
<w:r><w:t xml:space="preserve">certain of the great feudal famines, as late as the 13th century</w:t></w:r>
</w:p>
<w:p>
<w:pPr><w:pStyle w:val="Normal"/></w:pPr>
<w:r><w:t xml:space="preserve">and later, the actual head of the community retaining that of</w:t></w:r>
</w:p>
<w:p>
<w:pPr><w:pStyle w:val="Normal"/></w:pPr>
<w:r><w:t xml:space="preserve">dean.  The connexion of the lesser lay abbots with the</w:t></w:r>
</w:p>
<w:p>
<w:pPr><w:pStyle w:val="Normal"/></w:pPr>
<w:r><w:t xml:space="preserve">abbeys, especially in the south of France, lasted longer;</w:t></w:r>
</w:p>
<w:p>
<w:pPr><w:pStyle w:val="Normal"/></w:pPr>
<w:r><w:t xml:space="preserve">and certain feudal families retained the title of abbes</w:t></w:r>
</w:p>
<w:p>
<w:pPr><w:pStyle w:val="Normal"/></w:pPr>
<w:r><w:t xml:space="preserve">chevaliers (abbates milltes) for centuries, together with</w:t></w:r>
</w:p>
<w:p>
<w:pPr><w:pStyle w:val="Normal"/></w:pPr>
<w:r><w:t xml:space="preserve">certain rights over the abbey lands or revenues.  The abuse was</w:t></w:r>
</w:p>
<w:p>
<w:pPr><w:pStyle w:val="Normal"/></w:pPr>
<w:r><w:t xml:space="preserve">not confined to the West.  John, patriarch of Antioch, at the</w:t></w:r>
</w:p>
<w:p>
<w:pPr><w:pStyle w:val="Normal"/></w:pPr>
<w:r><w:t xml:space="preserve">beginning of the 12th Century, informs us that in his time most</w:t></w:r>
</w:p>
<w:p>
<w:pPr><w:pStyle w:val="Normal"/></w:pPr>
<w:r><w:t xml:space="preserve">monasteries had been handed over to laymen, bencficiarii,</w:t></w:r>
</w:p>
<w:p>
<w:pPr><w:pStyle w:val="Normal"/></w:pPr>
<w:r><w:t xml:space="preserve">for life, or for part of their lives, by the emperors.</w:t></w:r>
</w:p>
<w:p>
<w:pPr><w:pStyle w:val="Normal"/></w:pPr>
<w:r><w:t xml:space="preserve">In conventual cathedrals, where the bishop occupied the</w:t></w:r>
</w:p>
<w:p>
<w:pPr><w:pStyle w:val="Normal"/></w:pPr>
<w:r><w:t xml:space="preserve">place of the abbot, the functions usually devolving on</w:t></w:r>
</w:p>
<w:p>
<w:pPr><w:pStyle w:val="Normal"/></w:pPr>
<w:r><w:t xml:space="preserve">the superior of the monastery were performed by a prior.</w:t></w:r>
</w:p>
<w:p>
<w:pPr><w:pStyle w:val="Normal"/></w:pPr>
<w:r><w:t xml:space="preserve">The title abbe (Ital. abbate), as commonly used in the</w:t></w:r>
</w:p>
<w:p>
<w:pPr><w:pStyle w:val="Normal"/></w:pPr>
<w:r><w:t xml:space="preserve">Catholic church on the European continent, is the equivalent</w:t></w:r>
</w:p>
<w:p>
<w:pPr><w:pStyle w:val="Normal"/></w:pPr>
<w:r><w:t xml:space="preserve">of the English ``Father,&apos;&apos; being loosely applied to all who</w:t></w:r>
</w:p>
<w:p>
<w:pPr><w:pStyle w:val="Normal"/></w:pPr>
<w:r><w:t xml:space="preserve">have received the tonsure.  This use of the title is said to</w:t></w:r>
</w:p>
<w:p>
<w:pPr><w:pStyle w:val="Normal"/></w:pPr>
<w:r><w:t xml:space="preserve">have originated in the right conceded to the king of France,</w:t></w:r>
</w:p>
<w:p>
<w:pPr><w:pStyle w:val="Normal"/></w:pPr>
<w:r><w:t xml:space="preserve">by the concordat between Pope Leo X. and Francis I. (1516),</w:t></w:r>
</w:p>
<w:p>
<w:pPr><w:pStyle w:val="Normal"/></w:pPr>
<w:r><w:t xml:space="preserve">to appoint abbes commendataires to most of the abbeys in</w:t></w:r>
</w:p>
<w:p>
<w:pPr><w:pStyle w:val="Normal"/></w:pPr>
<w:r><w:t xml:space="preserve">France.  The expectation of obtaining these sinecures drew</w:t></w:r>
</w:p>
<w:p>
<w:pPr><w:pStyle w:val="Normal"/></w:pPr>
<w:r><w:t xml:space="preserve">young men towards the church in considerable numbers, and</w:t></w:r>
</w:p>
<w:p>
<w:pPr><w:pStyle w:val="Normal"/></w:pPr>
<w:r><w:t xml:space="preserve">the class of abbes so formed ---abbes de cour they were</w:t></w:r>
</w:p>
<w:p>
<w:pPr><w:pStyle w:val="Normal"/></w:pPr>
<w:r><w:t xml:space="preserve">sometimes called, and sometimes (ironically) abbes de sainte</w:t></w:r>
</w:p>
<w:p>
<w:pPr><w:pStyle w:val="Normal"/></w:pPr>
<w:r><w:t xml:space="preserve">esperance, abbes of St Hope---came to hold a recognized</w:t></w:r>
</w:p>
<w:p>
<w:pPr><w:pStyle w:val="Normal"/></w:pPr>
<w:r><w:t xml:space="preserve">position.  The connexion many of them had with the church</w:t></w:r>
</w:p>
<w:p>
<w:pPr><w:pStyle w:val="Normal"/></w:pPr>
<w:r><w:t xml:space="preserve">was of the slenderest kind, consisting mainly in adopting</w:t></w:r>
</w:p>
<w:p>
<w:pPr><w:pStyle w:val="Normal"/></w:pPr>
<w:r><w:t xml:space="preserve">the name of abbe, after a remarkably moderate course of</w:t></w:r>
</w:p>
<w:p>
<w:pPr><w:pStyle w:val="Normal"/></w:pPr>
<w:r><w:t xml:space="preserve">theological study, practising celibacy and wearing a distinctive</w:t></w:r>
</w:p>
<w:p>
<w:pPr><w:pStyle w:val="Normal"/></w:pPr>
<w:r><w:t xml:space="preserve">dress--a short dark-violet coat with narrow collar.  Being</w:t></w:r>
</w:p>
<w:p>
<w:pPr><w:pStyle w:val="Normal"/></w:pPr>
<w:r><w:t xml:space="preserve">men of presumed learning and undoubted leisure, many of the</w:t></w:r>
</w:p>
<w:p>
<w:pPr><w:pStyle w:val="Normal"/></w:pPr>
<w:r><w:t xml:space="preserve">class found admission to the houses of the French nobility</w:t></w:r>
</w:p>
<w:p>
<w:pPr><w:pStyle w:val="Normal"/></w:pPr>
<w:r><w:t xml:space="preserve">as tutors or advisers.  Nearly every great family had its</w:t></w:r>
</w:p>
<w:p>
<w:pPr><w:pStyle w:val="Normal"/></w:pPr>
<w:r><w:t xml:space="preserve">abbe.  The class did not survive the Revolution; but the</w:t></w:r>
</w:p>
<w:p>
<w:pPr><w:pStyle w:val="Normal"/></w:pPr>
<w:r><w:t xml:space="preserve">courtesy title of abbe, having long lost all connexion in</w:t></w:r>
</w:p>
<w:p>
<w:pPr><w:pStyle w:val="Normal"/></w:pPr>
<w:r><w:t xml:space="preserve">people&apos;s minds with any special ecclesiastical function, remained</w:t></w:r>
</w:p>
<w:p>
<w:pPr><w:pStyle w:val="Normal"/></w:pPr>
<w:r><w:t xml:space="preserve">as a convenient general term applicable to any clergyman.</w:t></w:r>
</w:p>
<w:p>
<w:pPr><w:pStyle w:val="Normal"/></w:pPr>
<w:r><w:t xml:space="preserve">In the German Evangelical church the title of abbot (Abt) is</w:t></w:r>
</w:p>
<w:p>
<w:pPr><w:pStyle w:val="Normal"/></w:pPr>
<w:r><w:t xml:space="preserve">sometimes bestowed, like abbe, as an honorary distinction,</w:t></w:r>
</w:p>
<w:p>
<w:pPr><w:pStyle w:val="Normal"/></w:pPr>
<w:r><w:t xml:space="preserve">and sometimes survives to designate the heads of monasteries</w:t></w:r>
</w:p>
<w:p>
<w:pPr><w:pStyle w:val="Normal"/></w:pPr>
<w:r><w:t xml:space="preserve">converted at the Reformation into collegiate foundations.  Of</w:t></w:r>
</w:p>
<w:p>
<w:pPr><w:pStyle w:val="Normal"/></w:pPr>
<w:r><w:t xml:space="preserve">these the most noteworthy is the abbey of Lokkum in Hanover,</w:t></w:r>
</w:p>
<w:p>
<w:pPr><w:pStyle w:val="Normal"/></w:pPr>
<w:r><w:t xml:space="preserve">founded as a Cistercian house in 1163 by Count Wilbrand of</w:t></w:r>
</w:p>
<w:p>
<w:pPr><w:pStyle w:val="Normal"/></w:pPr>
<w:r><w:t xml:space="preserve">Hallermund, and reformed in 1593.  The abbot of Lokkum, who</w:t></w:r>
</w:p>
<w:p>
<w:pPr><w:pStyle w:val="Normal"/></w:pPr>
<w:r><w:t xml:space="preserve">still carries a pastoral staff, takes precedence of all the</w:t></w:r>
</w:p>
<w:p>
<w:pPr><w:pStyle w:val="Normal"/></w:pPr>
<w:r><w:t xml:space="preserve">clergy of Hanover, and is ex officio a member of the consistory</w:t></w:r>
</w:p>
<w:p>
<w:pPr><w:pStyle w:val="Normal"/></w:pPr>
<w:r><w:t xml:space="preserve">of the kingdom.  The governing body of the abbey consists of</w:t></w:r>
</w:p>
<w:p>
<w:pPr><w:pStyle w:val="Normal"/></w:pPr>
<w:r><w:t xml:space="preserve">abbot, prior and the ``convent&apos;&apos; of canons (Stiftsherren).</w:t></w:r>
</w:p>
<w:p>
<w:pPr><w:pStyle w:val="Normal"/></w:pPr>
<w:r><w:t xml:space="preserve">See Joseph Bingham, Origines ecclesiasticae (1840); Du</w:t></w:r>
</w:p>
<w:p>
<w:pPr><w:pStyle w:val="Normal"/></w:pPr>
<w:r><w:t xml:space="preserve">Cange, Glossarium med. et inf.  Lat. (ed. 1883); J. Craigie</w:t></w:r>
</w:p>
<w:p>
<w:pPr><w:pStyle w:val="Normal"/></w:pPr>
<w:r><w:t xml:space="preserve">Robertson, Hist. of the Christian Church (1858-1873); Edmond</w:t></w:r>
</w:p>
<w:p>
<w:pPr><w:pStyle w:val="Normal"/></w:pPr>
<w:r><w:t xml:space="preserve">Martene, De antiquis ecclesiae ritibus (Venice, 1783); C.</w:t></w:r>
</w:p>
<w:p>
<w:pPr><w:pStyle w:val="Normal"/></w:pPr>
<w:r><w:t xml:space="preserve">F. R. de Montalembert, Les moines d&apos;occident depuis S. Benoit</w:t></w:r>
</w:p>
<w:p>
<w:pPr><w:pStyle w:val="Normal"/></w:pPr>
<w:r><w:t xml:space="preserve">jusqu&apos;a S. Bernard (1860--1877); Achille Luchaire, Manuel</w:t></w:r>
</w:p>
<w:p>
<w:pPr><w:pStyle w:val="Normal"/></w:pPr>
<w:r><w:t xml:space="preserve">des institutions francaises (Par. 1892). (E.V.; W.A.P.)</w:t></w:r>
</w:p>
<w:p>
<w:pPr><w:pStyle w:val="Normal"/></w:pPr>
<w:r><w:t xml:space="preserve">1 The Architectural History of the Conventual Buildings of</w:t></w:r>
</w:p>
<w:p>
<w:pPr><w:pStyle w:val="Normal"/></w:pPr>
<w:r><w:t xml:space="preserve">the Monastery of Christ Church in Canterbury. By the Rev. Robert</w:t></w:r>
</w:p>
<w:p>
<w:pPr><w:pStyle w:val="Normal"/></w:pPr>
<w:r><w:t xml:space="preserve">Willis.  Printed for the Kent Archaeological Society, 1869.</w:t></w:r>
</w:p>
<w:p>
<w:pPr><w:pStyle w:val="Normal"/></w:pPr>
<w:r><w:t xml:space="preserve">ABBOTSFORD, formerly the residence of Sir Walter Scott,</w:t></w:r>
</w:p>
<w:p>
<w:pPr><w:pStyle w:val="Normal"/></w:pPr>
<w:r><w:t xml:space="preserve">situated on the S. bank of the Tweed, about 3 m.  W. of Melrose,</w:t></w:r>
</w:p>
<w:p>
<w:pPr><w:pStyle w:val="Normal"/></w:pPr>
<w:r><w:t xml:space="preserve">Roxburghshire, Scotland, and nearly 1 m. from Abbotsford Ferry</w:t></w:r>
</w:p>
<w:p>
<w:pPr><w:pStyle w:val="Normal"/></w:pPr>
<w:r><w:t xml:space="preserve">station on the North British railway, connecting Selkirk and</w:t></w:r>
</w:p>
<w:p>
<w:pPr><w:pStyle w:val="Normal"/></w:pPr>
<w:r><w:t xml:space="preserve">Galashiels.  The nucleus of the estate was a small farm of 100</w:t></w:r>
</w:p>
<w:p>
<w:pPr><w:pStyle w:val="Normal"/></w:pPr>
<w:r><w:t xml:space="preserve">acres, called Cartleyhole, nicknamed Clarty (i.e. muddy)</w:t></w:r>
</w:p>
<w:p>
<w:pPr><w:pStyle w:val="Normal"/></w:pPr>
<w:r><w:t xml:space="preserve">Hole, and bought by Scott on the lapse of his lease (1811)</w:t></w:r>
</w:p>
<w:p>
<w:pPr><w:pStyle w:val="Normal"/></w:pPr>
<w:r><w:t xml:space="preserve">of the neighbouring house of Ashestiel.  It was added to</w:t></w:r>
</w:p>
<w:p>
<w:pPr><w:pStyle w:val="Normal"/></w:pPr>
<w:r><w:t xml:space="preserve">from time to time, the last and principal acquisition being</w:t></w:r>
</w:p>
<w:p>
<w:pPr><w:pStyle w:val="Normal"/></w:pPr>
<w:r><w:t xml:space="preserve">that of Toftfield (afterwards named Huntlyburn), purchased in</w:t></w:r>
</w:p>
<w:p>
<w:pPr><w:pStyle w:val="Normal"/></w:pPr>
<w:r><w:t xml:space="preserve">1817.  The new house was then begun and completed in 1824.</w:t></w:r>
</w:p>
<w:p>
<w:pPr><w:pStyle w:val="Normal"/></w:pPr>
<w:r><w:t xml:space="preserve">The general ground-plan is a parallelogram, with irregular</w:t></w:r>
</w:p>
<w:p>
<w:pPr><w:pStyle w:val="Normal"/></w:pPr>
<w:r><w:t xml:space="preserve">outlines, one side overlooking the Tweed; and the style is</w:t></w:r>
</w:p>
<w:p>
<w:pPr><w:pStyle w:val="Normal"/></w:pPr>
<w:r><w:t xml:space="preserve">mainly the Scottish Baronial.  Into various parts of the fabric</w:t></w:r>
</w:p>
<w:p>
<w:pPr><w:pStyle w:val="Normal"/></w:pPr>
<w:r><w:t xml:space="preserve">were built relics and curiosities from historical structures,</w:t></w:r>
</w:p>
<w:p>
<w:pPr><w:pStyle w:val="Normal"/></w:pPr>
<w:r><w:t xml:space="preserve">such as the doorway of the old Tolbooth in Edinburgh.  Scott</w:t></w:r>
</w:p>
<w:p>
<w:pPr><w:pStyle w:val="Normal"/></w:pPr>
<w:r><w:t xml:space="preserve">had only enjoyed his residence one year when (1825) he met</w:t></w:r>
</w:p>
<w:p>
<w:pPr><w:pStyle w:val="Normal"/></w:pPr>
<w:r><w:t xml:space="preserve">with that reverse of fortune which involved the estate in</w:t></w:r>
</w:p>
<w:p>
<w:pPr><w:pStyle w:val="Normal"/></w:pPr>
<w:r><w:t xml:space="preserve">debt.  In 1830 the library and museum were presented to him</w:t></w:r>
</w:p>
<w:p>
<w:pPr><w:pStyle w:val="Normal"/></w:pPr>
<w:r><w:t xml:space="preserve">as a free gift by the creditors.  The property was wholly</w:t></w:r>
</w:p>
<w:p>
<w:pPr><w:pStyle w:val="Normal"/></w:pPr>
<w:r><w:t xml:space="preserve">disencumbered in 1847 by Robert Cadell, the publisher, who</w:t></w:r>
</w:p>
<w:p>
<w:pPr><w:pStyle w:val="Normal"/></w:pPr>
<w:r><w:t xml:space="preserve">cancelled the bond upon it in exchange for the family&apos;s share</w:t></w:r>
</w:p>
<w:p>
<w:pPr><w:pStyle w:val="Normal"/></w:pPr>
<w:r><w:t xml:space="preserve">in the copyright of Sir Walter&apos;s works.  Scott&apos;s only son Walter</w:t></w:r>
</w:p>
<w:p>
<w:pPr><w:pStyle w:val="Normal"/></w:pPr>
<w:r><w:t xml:space="preserve">did not live to enjoy the property, having died on his way</w:t></w:r>
</w:p>
<w:p>
<w:pPr><w:pStyle w:val="Normal"/></w:pPr>
<w:r><w:t xml:space="preserve">from India in 1847.  Among subsequent possessors were Scott&apos;s</w:t></w:r>
</w:p>
<w:p>
<w:pPr><w:pStyle w:val="Normal"/></w:pPr>
<w:r><w:t xml:space="preserve">son-in-law, J. G. Lockhart, J. R. Hope Scott, Q.C., and his</w:t></w:r>
</w:p>
<w:p>
<w:pPr><w:pStyle w:val="Normal"/></w:pPr>
<w:r><w:t xml:space="preserve">daughter (Scott&apos;s great-granddaughter), the Hon. Mrs Maxwell</w:t></w:r>
</w:p>
<w:p>
<w:pPr><w:pStyle w:val="Normal"/></w:pPr>
<w:r><w:t xml:space="preserve">Scott.  Abbotsford gave its name to the ``Abbotsford Club,&apos;&apos;</w:t></w:r>
</w:p>
<w:p>
<w:pPr><w:pStyle w:val="Normal"/></w:pPr>
<w:r><w:t xml:space="preserve">a successor of the Bannatyne and Maitland clubs, founded</w:t></w:r>
</w:p>
<w:p>
<w:pPr><w:pStyle w:val="Normal"/></w:pPr>
<w:r><w:t xml:space="preserve">by W. B. D. D. Turnbull in 1834 in Scott&apos;s honour, for</w:t></w:r>
</w:p>
<w:p>
<w:pPr><w:pStyle w:val="Normal"/></w:pPr>
<w:r><w:t xml:space="preserve">printing and publishing historical works connected with his</w:t></w:r>
</w:p>
<w:p>
<w:pPr><w:pStyle w:val="Normal"/></w:pPr>
<w:r><w:t xml:space="preserve">writings.  Its publications extended from 1835 to 1864.</w:t></w:r>
</w:p>
<w:p>
<w:pPr><w:pStyle w:val="Normal"/></w:pPr>
<w:r><w:t xml:space="preserve">See Lockhart, Life of Scott; Washington Irving, Abbotsford</w:t></w:r>
</w:p>
<w:p>
<w:pPr><w:pStyle w:val="Normal"/></w:pPr>
<w:r><w:t xml:space="preserve">and Newstead Abbey; W. S. Crockett, The Scott Country.</w:t></w:r>
</w:p>
<w:p>
<w:pPr><w:pStyle w:val="Normal"/></w:pPr>
<w:r><w:t xml:space="preserve">ABBOTT, EDWIN ARROTT (1838- ), English schoolmaster and</w:t></w:r>
</w:p>
<w:p>
<w:pPr><w:pStyle w:val="Normal"/></w:pPr>
<w:r><w:t xml:space="preserve">theologian, was born on the 20th of December 1838.  He</w:t></w:r>
</w:p>
<w:p>
<w:pPr><w:pStyle w:val="Normal"/></w:pPr>
<w:r><w:t xml:space="preserve">was educated at the City of London school and at St John&apos;s</w:t></w:r>
</w:p>
<w:p>
<w:pPr><w:pStyle w:val="Normal"/></w:pPr>
<w:r><w:t xml:space="preserve">College, Cambridge, where he took the highest honours in the</w:t></w:r>
</w:p>
<w:p>
<w:pPr><w:pStyle w:val="Normal"/></w:pPr>
<w:r><w:t xml:space="preserve">classical, mathematical and theological triposes, and became</w:t></w:r>
</w:p>
<w:p>
<w:pPr><w:pStyle w:val="Normal"/></w:pPr>
<w:r><w:t xml:space="preserve">fellow of his college.  In 1862 he took orders.  After holding</w:t></w:r>
</w:p>
<w:p>
<w:pPr><w:pStyle w:val="Normal"/></w:pPr>
<w:r><w:t xml:space="preserve">masterships at King Edward&apos;s School, Birmingham, and at</w:t></w:r>
</w:p>
<w:p>
<w:pPr><w:pStyle w:val="Normal"/></w:pPr>
<w:r><w:t xml:space="preserve">Clifton College, he succeeded G. F. Mortimer as headmaster</w:t></w:r>
</w:p>
<w:p>
<w:pPr><w:pStyle w:val="Normal"/></w:pPr>
<w:r><w:t xml:space="preserve">of the City of London school in 1865 at the early age of</w:t></w:r>
</w:p>
<w:p>
<w:pPr><w:pStyle w:val="Normal"/></w:pPr>
<w:r><w:t xml:space="preserve">twenty-six.  He was Hulsean lecturer in 1876.  He retired</w:t></w:r>
</w:p>
<w:p>
<w:pPr><w:pStyle w:val="Normal"/></w:pPr>
<w:r><w:t xml:space="preserve">in 1889, and devoted himself to literary and theological</w:t></w:r>
</w:p>
<w:p>
<w:pPr><w:pStyle w:val="Normal"/></w:pPr>
<w:r><w:t xml:space="preserve">pursuits.  Dr Abbott&apos;s liberal inclinations in theology</w:t></w:r>
</w:p>
<w:p>
<w:pPr><w:pStyle w:val="Normal"/></w:pPr>
<w:r><w:t xml:space="preserve">were prominent both in his educational views and in his</w:t></w:r>
</w:p>
<w:p>
<w:pPr><w:pStyle w:val="Normal"/></w:pPr>
<w:r><w:t xml:space="preserve">books.  His Shakespearian Grammar (1870) is a permanent</w:t></w:r>
</w:p>
<w:p>
<w:pPr><w:pStyle w:val="Normal"/></w:pPr>
<w:r><w:t xml:space="preserve">contribution to English philology.  In 1885 he published a</w:t></w:r>
</w:p>
<w:p>
<w:pPr><w:pStyle w:val="Normal"/></w:pPr>
<w:r><w:t xml:space="preserve">life of Francis Bacon.  His theological writings include three</w:t></w:r>
</w:p>
<w:p>
<w:pPr><w:pStyle w:val="Normal"/></w:pPr>
<w:r><w:t xml:space="preserve">anonymously published religious romances--Philochristus</w:t></w:r>
</w:p>
<w:p>
<w:pPr><w:pStyle w:val="Normal"/></w:pPr>
<w:r><w:t xml:space="preserve">(1878), Onesimus (1882), Sitanus (1906).  More weighty</w:t></w:r>
</w:p>
<w:p>
<w:pPr><w:pStyle w:val="Normal"/></w:pPr>
<w:r><w:t xml:space="preserve">contributions are the anonymous theological discussion The</w:t></w:r>
</w:p>
<w:p>
<w:pPr><w:pStyle w:val="Normal"/></w:pPr>
<w:r><w:t xml:space="preserve">Kernel and the Husk (1886), Philomythus (1891), his book</w:t></w:r>
</w:p>
<w:p>
<w:pPr><w:pStyle w:val="Normal"/></w:pPr>
<w:r><w:t xml:space="preserve">on Cardinal Newman as an Anglican (1892), and his article</w:t></w:r>
</w:p>
<w:p>
<w:pPr><w:pStyle w:val="Normal"/></w:pPr>
<w:r><w:t xml:space="preserve">``The Gospels&apos;&apos; in the ninth edition of the Encyclopaedia</w:t></w:r>
</w:p>
<w:p>
<w:pPr><w:pStyle w:val="Normal"/></w:pPr>
<w:r><w:t xml:space="preserve">Britannica, embodying a critical view which caused considerable</w:t></w:r>
</w:p>
<w:p>
<w:pPr><w:pStyle w:val="Normal"/></w:pPr>
<w:r><w:t xml:space="preserve">stir in the English theological world; he also wrote St</w:t></w:r>
</w:p>
<w:p>
<w:pPr><w:pStyle w:val="Normal"/></w:pPr>
<w:r><w:t xml:space="preserve">Thomas of Canterbury, his Death and Miracles (1898),</w:t></w:r>
</w:p>
<w:p>
<w:pPr><w:pStyle w:val="Normal"/></w:pPr>
<w:r><w:t xml:space="preserve">Johannine Vocabulary (1905), Johannine Grammar (1906).</w:t></w:r>
</w:p>
<w:p>
<w:pPr><w:pStyle w:val="Normal"/></w:pPr>
<w:r><w:t xml:space="preserve">His brother, Evelyn Abbott (1843-1901), was a well-known tutor of</w:t></w:r>
</w:p>
<w:p>
<w:pPr><w:pStyle w:val="Normal"/></w:pPr>
<w:r><w:t xml:space="preserve">Balliol, Oxford, and author of a scholarly History of Greece.</w:t></w:r>
</w:p>
<w:p>
<w:pPr><w:pStyle w:val="Normal"/></w:pPr>
<w:r><w:t xml:space="preserve">ABBOTT, EMMA (1849-1891), American singer, was born at</w:t></w:r>
</w:p>
<w:p>
<w:pPr><w:pStyle w:val="Normal"/></w:pPr>
<w:r><w:t xml:space="preserve">Chicago and studied in Milan and Paris.  She had a fine soprano</w:t></w:r>
</w:p>
<w:p>
<w:pPr><w:pStyle w:val="Normal"/></w:pPr>
<w:r><w:t xml:space="preserve">voice, and appeared first in opera in London under Colonel</w:t></w:r>
</w:p>
<w:p>
<w:pPr><w:pStyle w:val="Normal"/></w:pPr>
<w:r><w:t xml:space="preserve">Mapleson&apos;s direction at Covent Garden, also singing at important</w:t></w:r>
</w:p>
<w:p>
<w:pPr><w:pStyle w:val="Normal"/></w:pPr>
<w:r><w:t xml:space="preserve">concerts.  She organized an opera company known by her name,</w:t></w:r>
</w:p>
<w:p>
<w:pPr><w:pStyle w:val="Normal"/></w:pPr>
<w:r><w:t xml:space="preserve">and toured extensively in the United States, where she had</w:t></w:r>
</w:p>
<w:p>
<w:pPr><w:pStyle w:val="Normal"/></w:pPr>
<w:r><w:t xml:space="preserve">a great reputation.  In 1873 she married E. J. Wethereil.</w:t></w:r>
</w:p>
<w:p>
<w:pPr><w:pStyle w:val="Normal"/></w:pPr>
<w:r><w:t xml:space="preserve">She died at Salt Lake City on the 5th of January 1891.</w:t></w:r>
</w:p>
<w:p>
<w:pPr><w:pStyle w:val="Normal"/></w:pPr>
<w:r><w:t xml:space="preserve">ABBOTT, JACOB (1803-1879), American writer of books for the</w:t></w:r>
</w:p>
<w:p>
<w:pPr><w:pStyle w:val="Normal"/></w:pPr>
<w:r><w:t xml:space="preserve">young, was born at Hallowell, Maine, on the 14th of November</w:t></w:r>
</w:p>
<w:p>
<w:pPr><w:pStyle w:val="Normal"/></w:pPr>
<w:r><w:t xml:space="preserve">1803.  He graduated at Bowdoin College in 1820; studied at</w:t></w:r>
</w:p>
<w:p>
<w:pPr><w:pStyle w:val="Normal"/></w:pPr>
<w:r><w:t xml:space="preserve">Andover Theological Seminary in 1821, 1822, and 1824; was</w:t></w:r>
</w:p>
<w:p>
<w:pPr><w:pStyle w:val="Normal"/></w:pPr>
<w:r><w:t xml:space="preserve">tutor in 1824-1825, and from 1825 to 1829 was professor of</w:t></w:r>
</w:p>
<w:p>
<w:pPr><w:pStyle w:val="Normal"/></w:pPr>
<w:r><w:t xml:space="preserve">mathematics and natural philosophy in Amherst College; was</w:t></w:r>
</w:p>
<w:p>
<w:pPr><w:pStyle w:val="Normal"/></w:pPr>
<w:r><w:t xml:space="preserve">licensed to preach by the Hampshire Association in 1826;</w:t></w:r>
</w:p>
<w:p>
<w:pPr><w:pStyle w:val="Normal"/></w:pPr>
<w:r><w:t xml:space="preserve">founded the Mount Vernon School for young ladies in Boston in</w:t></w:r>
</w:p>
<w:p>
<w:pPr><w:pStyle w:val="Normal"/></w:pPr>
<w:r><w:t xml:space="preserve">1829, and was principal of it in 1829--1833; was pastor of</w:t></w:r>
</w:p>
<w:p>
<w:pPr><w:pStyle w:val="Normal"/></w:pPr>
<w:r><w:t xml:space="preserve">Eliot Congregational Church (which he founded), at Roxbury,</w:t></w:r>
</w:p>
<w:p>
<w:pPr><w:pStyle w:val="Normal"/></w:pPr>
<w:r><w:t xml:space="preserve">Mass., in 1834-1835; and was, with his brothers, a founder,</w:t></w:r>
</w:p>
<w:p>
<w:pPr><w:pStyle w:val="Normal"/></w:pPr>
<w:r><w:t xml:space="preserve">and in 1843--1851 a principal of Abbott&apos;s Institute, and in</w:t></w:r>
</w:p>
<w:p>
<w:pPr><w:pStyle w:val="Normal"/></w:pPr>
<w:r><w:t xml:space="preserve">1845--1848 of the Mount Vernon School for boys, in New York</w:t></w:r>
</w:p>
<w:p>
<w:pPr><w:pStyle w:val="Normal"/></w:pPr>
<w:r><w:t xml:space="preserve">City.  He was a prolific author, writing juvenile stories,</w:t></w:r>
</w:p>
<w:p>
<w:pPr><w:pStyle w:val="Normal"/></w:pPr>
<w:r><w:t xml:space="preserve">brief histories and biographies, and religious books for</w:t></w:r>
</w:p>
<w:p>
<w:pPr><w:pStyle w:val="Normal"/></w:pPr>
<w:r><w:t xml:space="preserve">the general reader, and a few works in popular science.</w:t></w:r>
</w:p>
<w:p>
<w:pPr><w:pStyle w:val="Normal"/></w:pPr>
<w:r><w:t xml:space="preserve">He died on the 31st of October 1879 at Farmington, Maine,</w:t></w:r>
</w:p>
<w:p>
<w:pPr><w:pStyle w:val="Normal"/></w:pPr>
<w:r><w:t xml:space="preserve">where he had spent part of his time since 1839, and where</w:t></w:r>
</w:p>
<w:p>
<w:pPr><w:pStyle w:val="Normal"/></w:pPr>
<w:r><w:t xml:space="preserve">his brother Samuel Phillips Abbott founded in 1844 the Abbott</w:t></w:r>
</w:p>
<w:p>
<w:pPr><w:pStyle w:val="Normal"/></w:pPr>
<w:r><w:t xml:space="preserve">School, popularly cailed ``Little Blue.&apos;&apos; Jacob Abbott&apos;s</w:t></w:r>
</w:p>
<w:p>
<w:pPr><w:pStyle w:val="Normal"/></w:pPr>
<w:r><w:t xml:space="preserve">``Rollo Books&apos;&apos;-Rollo at Work, Rollo at Play, Rollo in</w:t></w:r>
</w:p>
<w:p>
<w:pPr><w:pStyle w:val="Normal"/></w:pPr>
<w:r><w:t xml:space="preserve">Europe, &amp;c. (28 vols.)---are the best known of his writings,</w:t></w:r>
</w:p>
<w:p>
<w:pPr><w:pStyle w:val="Normal"/></w:pPr>
<w:r><w:t xml:space="preserve">having as their chief characters a representative boy and his</w:t></w:r>
</w:p>
<w:p>
<w:pPr><w:pStyle w:val="Normal"/></w:pPr>
<w:r><w:t xml:space="preserve">associates.  In them Abbott did for one or two generations</w:t></w:r>
</w:p>
<w:p>
<w:pPr><w:pStyle w:val="Normal"/></w:pPr>
<w:r><w:t xml:space="preserve">of young American readers a service not unlike that performed</w:t></w:r>
</w:p>
<w:p>
<w:pPr><w:pStyle w:val="Normal"/></w:pPr>
<w:r><w:t xml:space="preserve">earlier, in England and America, by the authors of Evenings at</w:t></w:r>
</w:p>
<w:p>
<w:pPr><w:pStyle w:val="Normal"/></w:pPr>
<w:r><w:t xml:space="preserve">Home, Sandford and Merton, and the Parent&apos;s Assistant. Of</w:t></w:r>
</w:p>
<w:p>
<w:pPr><w:pStyle w:val="Normal"/></w:pPr>
<w:r><w:t xml:space="preserve">his other writings (he produced more than two hundred volumes</w:t></w:r>
</w:p>
<w:p>
<w:pPr><w:pStyle w:val="Normal"/></w:pPr>
<w:r><w:t xml:space="preserve">in all), the best are the Franconia Stories (10 vols.),</w:t></w:r>
</w:p>
<w:p>
<w:pPr><w:pStyle w:val="Normal"/></w:pPr>
<w:r><w:t xml:space="preserve">twenty-two volumes of biographical histories in a series of</w:t></w:r>
</w:p>
<w:p>
<w:pPr><w:pStyle w:val="Normal"/></w:pPr>
<w:r><w:t xml:space="preserve">thirty-two volumes (with his brother John S. C. Abbott), and</w:t></w:r>
</w:p>
<w:p>
<w:pPr><w:pStyle w:val="Normal"/></w:pPr>
<w:r><w:t xml:space="preserve">the Young Christian,---all of which had enormous circulations.</w:t></w:r>
</w:p>
<w:p>
<w:pPr><w:pStyle w:val="Normal"/></w:pPr>
<w:r><w:t xml:space="preserve">His sons, Benjamin Vaughan Abbott (1830-1890), Austin Abbott</w:t></w:r>
</w:p>
<w:p>
<w:pPr><w:pStyle w:val="Normal"/></w:pPr>
<w:r><w:t xml:space="preserve">(1831-1896), both eminent lawyers, Lyman Abbott (q.v.), and</w:t></w:r>
</w:p>
<w:p>
<w:pPr><w:pStyle w:val="Normal"/></w:pPr>
<w:r><w:t xml:space="preserve">Edward Abbott (1841-1908), a clergyman, were also well-known</w:t></w:r>
</w:p>
<w:p>
<w:pPr><w:pStyle w:val="Normal"/></w:pPr>
<w:r><w:t xml:space="preserve">authors.  See his Young Christian, Memorial Edition, with</w:t></w:r>
</w:p>
<w:p>
<w:pPr><w:pStyle w:val="Normal"/></w:pPr>
<w:r><w:t xml:space="preserve">a Sketch of the Author by one of his sons, i.e. Edward</w:t></w:r>
</w:p>
<w:p>
<w:pPr><w:pStyle w:val="Normal"/></w:pPr>
<w:r><w:t xml:space="preserve">Abbott (New York, 1882), with a bibliography of his works.</w:t></w:r>
</w:p>
<w:p>
<w:pPr><w:pStyle w:val="Normal"/></w:pPr>
<w:r><w:t xml:space="preserve">ABBOTT, JOHN STEVENS CABOT (1805-1877), American writer,</w:t></w:r>
</w:p>
<w:p>
<w:pPr><w:pStyle w:val="Normal"/></w:pPr>
<w:r><w:t xml:space="preserve">was born in Brunswick, Maine, on the 18th of September</w:t></w:r>
</w:p>
<w:p>
<w:pPr><w:pStyle w:val="Normal"/></w:pPr>
<w:r><w:t xml:space="preserve">1805.  He was a brother of Jacob Abbott, and was associated</w:t></w:r>
</w:p>
<w:p>
<w:pPr><w:pStyle w:val="Normal"/></w:pPr>
<w:r><w:t xml:space="preserve">with him in the management of Abbott&apos;s Institute, New York</w:t></w:r>
</w:p>
<w:p>
<w:pPr><w:pStyle w:val="Normal"/></w:pPr>
<w:r><w:t xml:space="preserve">City, and in the preparation of his series of brief historical</w:t></w:r>
</w:p>
<w:p>
<w:pPr><w:pStyle w:val="Normal"/></w:pPr>
<w:r><w:t xml:space="preserve">biographies.  He is best known, however, as the author of</w:t></w:r>
</w:p>
<w:p>
<w:pPr><w:pStyle w:val="Normal"/></w:pPr>
<w:r><w:t xml:space="preserve">a partisan and unscholarly, but widely popular and very</w:t></w:r>
</w:p>
<w:p>
<w:pPr><w:pStyle w:val="Normal"/></w:pPr>
<w:r><w:t xml:space="preserve">readable History of Napoleon Bonaparte (1855), in which</w:t></w:r>
</w:p>
<w:p>
<w:pPr><w:pStyle w:val="Normal"/></w:pPr>
<w:r><w:t xml:space="preserve">the various elements and episodes in Napoleon&apos;s career are</w:t></w:r>
</w:p>
<w:p>
<w:pPr><w:pStyle w:val="Normal"/></w:pPr>
<w:r><w:t xml:space="preserve">treated with some skill in arrangement, but with unfailing</w:t></w:r>
</w:p>
<w:p>
<w:pPr><w:pStyle w:val="Normal"/></w:pPr>
<w:r><w:t xml:space="preserve">adulation.  Dr Abbott graduated at Bowdoin College in 1825,</w:t></w:r>
</w:p>
<w:p>
<w:pPr><w:pStyle w:val="Normal"/></w:pPr>
<w:r><w:t xml:space="preserve">prepared for the ministry at Andover Theological Seminary,</w:t></w:r>
</w:p>
<w:p>
<w:pPr><w:pStyle w:val="Normal"/></w:pPr>
<w:r><w:t xml:space="preserve">and between 1830 and 1844, when he retired from the ministry,</w:t></w:r>
</w:p>
<w:p>
<w:pPr><w:pStyle w:val="Normal"/></w:pPr>
<w:r><w:t xml:space="preserve">preached successively at Worcester, Roxbury and Nantucket,</w:t></w:r>
</w:p>
<w:p>
<w:pPr><w:pStyle w:val="Normal"/></w:pPr>
<w:r><w:t xml:space="preserve">Massachusetts.  He died at Fair Haven, Connecticut, on the 17th</w:t></w:r>
</w:p>
<w:p>
<w:pPr><w:pStyle w:val="Normal"/></w:pPr>
<w:r><w:t xml:space="preserve">of June 1877.  He was a voluminous writer of books on Christian</w:t></w:r>
</w:p>
<w:p>
<w:pPr><w:pStyle w:val="Normal"/></w:pPr>
<w:r><w:t xml:space="preserve">ethics, and of histories, which now seem unscholarly and</w:t></w:r>
</w:p>
<w:p>
<w:pPr><w:pStyle w:val="Normal"/></w:pPr>
<w:r><w:t xml:space="preserve">untrustworthy, but were valuable in their time in cultivating</w:t></w:r>
</w:p>
<w:p>
<w:pPr><w:pStyle w:val="Normal"/></w:pPr>
<w:r><w:t xml:space="preserve">a popular interest in history.  In general, except that</w:t></w:r>
</w:p>
<w:p>
<w:pPr><w:pStyle w:val="Normal"/></w:pPr>
<w:r><w:t xml:space="preserve">he did not write juvenile fiction, his work in subject and</w:t></w:r>
</w:p>
<w:p>
<w:pPr><w:pStyle w:val="Normal"/></w:pPr>
<w:r><w:t xml:space="preserve">style closely resembles that of his brother, Jacob Abbott.</w:t></w:r>
</w:p>
<w:p>
<w:pPr><w:pStyle w:val="Normal"/></w:pPr>
<w:r><w:t xml:space="preserve">ABBOTT, LYMAN (1835- ), American divine and author, was</w:t></w:r>
</w:p>
<w:p>
<w:pPr><w:pStyle w:val="Normal"/></w:pPr>
<w:r><w:t xml:space="preserve">born at Roxbury, Massachusetts, on the 18th of December 1835,</w:t></w:r>
</w:p>
<w:p>
<w:pPr><w:pStyle w:val="Normal"/></w:pPr>
<w:r><w:t xml:space="preserve">the son of Jacob Abbott.  He graduated at the University</w:t></w:r>
</w:p>
<w:p>
<w:pPr><w:pStyle w:val="Normal"/></w:pPr>
<w:r><w:t xml:space="preserve">of New York in 1853, studied law, and was admitted to the</w:t></w:r>
</w:p>
<w:p>
<w:pPr><w:pStyle w:val="Normal"/></w:pPr>
<w:r><w:t xml:space="preserve">bar in 1856; but soon abandoned the legal profession, and,</w:t></w:r>
</w:p>
<w:p>
<w:pPr><w:pStyle w:val="Normal"/></w:pPr>
<w:r><w:t xml:space="preserve">after studying theology with his uncle, J. S. C. Abbott,</w:t></w:r>
</w:p>
<w:p>
<w:pPr><w:pStyle w:val="Normal"/></w:pPr>
<w:r><w:t xml:space="preserve">was ordained a minister of the Congregational Church in</w:t></w:r>
</w:p>
<w:p>
<w:pPr><w:pStyle w:val="Normal"/></w:pPr>
<w:r><w:t xml:space="preserve">1860.  He was pastor of a church in Terre Haute, Indiana, in</w:t></w:r>
</w:p>
<w:p>
<w:pPr><w:pStyle w:val="Normal"/></w:pPr>
<w:r><w:t xml:space="preserve">1860-1865, and of the New England Church in New York City in</w:t></w:r>
</w:p>
<w:p>
<w:pPr><w:pStyle w:val="Normal"/></w:pPr>
<w:r><w:t xml:space="preserve">1865--1869.  From 1865 to 1868 he was secretary of the American</w:t></w:r>
</w:p>
<w:p>
<w:pPr><w:pStyle w:val="Normal"/></w:pPr>
<w:r><w:t xml:space="preserve">Union (Freedman&apos;s) Commission.  In 1869 he resigned his pastorate</w:t></w:r>
</w:p>
<w:p>
<w:pPr><w:pStyle w:val="Normal"/></w:pPr>
<w:r><w:t xml:space="preserve">to devote himself to literature.  He was an associate editor of</w:t></w:r>
</w:p>
<w:p>
<w:pPr><w:pStyle w:val="Normal"/></w:pPr>
<w:r><w:t xml:space="preserve">Harper&apos;s Magazine, was editor of the Illustrated Christian</w:t></w:r>
</w:p>
<w:p>
<w:pPr><w:pStyle w:val="Normal"/></w:pPr>
<w:r><w:t xml:space="preserve">Weekly, and was co-editor (1876-1881) of The Christian</w:t></w:r>
</w:p>
<w:p>
<w:pPr><w:pStyle w:val="Normal"/></w:pPr>
<w:r><w:t xml:space="preserve">Union with Henry Ward Beecher, whom he succeeded in 1888 as</w:t></w:r>
</w:p>
<w:p>
<w:pPr><w:pStyle w:val="Normal"/></w:pPr>
<w:r><w:t xml:space="preserve">pastor of Plymouth Church, Brooklyn.  From this pastorate he</w:t></w:r>
</w:p>
<w:p>
<w:pPr><w:pStyle w:val="Normal"/></w:pPr>
<w:r><w:t xml:space="preserve">resigned ten years later.  From 1881 he was editor-in-chief</w:t></w:r>
</w:p>
<w:p>
<w:pPr><w:pStyle w:val="Normal"/></w:pPr>
<w:r><w:t xml:space="preserve">of The Christian Union, renamed The Outlook in 1893; this</w:t></w:r>
</w:p>
<w:p>
<w:pPr><w:pStyle w:val="Normal"/></w:pPr>
<w:r><w:t xml:space="preserve">periodical reflected his efforts toward social reform, and, in</w:t></w:r>
</w:p>
<w:p>
<w:pPr><w:pStyle w:val="Normal"/></w:pPr>
<w:r><w:t xml:space="preserve">theology, a liberality, humanitarian and nearly unitarian.</w:t></w:r>
</w:p>
<w:p>
<w:pPr><w:pStyle w:val="Normal"/></w:pPr>
<w:r><w:t xml:space="preserve">The latter characteristics marked his published works also.</w:t></w:r>
</w:p>
<w:p>
<w:pPr><w:pStyle w:val="Normal"/></w:pPr>
<w:r><w:t xml:space="preserve">His works include Jesus of Nazareth (1869); Illustrated</w:t></w:r>
</w:p>
<w:p>
<w:pPr><w:pStyle w:val="Normal"/></w:pPr>
<w:r><w:t xml:space="preserve">Commentary on the New Testament (4 vols., 1875); A Study</w:t></w:r>
</w:p>
<w:p>
<w:pPr><w:pStyle w:val="Normal"/></w:pPr>
<w:r><w:t xml:space="preserve">in Human Nature (1885); Life of Christ (1894); Evolution</w:t></w:r>
</w:p>
<w:p>
<w:pPr><w:pStyle w:val="Normal"/></w:pPr>
<w:r><w:t xml:space="preserve">of Christianity (Lowell Lectures, 1896); The Theology of</w:t></w:r>
</w:p>
<w:p>
<w:pPr><w:pStyle w:val="Normal"/></w:pPr>
<w:r><w:t xml:space="preserve">an Evolutionist (1897); Christianity and Social Problems</w:t></w:r>
</w:p>
<w:p>
<w:pPr><w:pStyle w:val="Normal"/></w:pPr>
<w:r><w:t xml:space="preserve">(1897); Life and Letters of Paul, (1898); The Life that</w:t></w:r>
</w:p>
<w:p>
<w:pPr><w:pStyle w:val="Normal"/></w:pPr>
<w:r><w:t xml:space="preserve">Really is (1899); Problems of Life (1900); The Rights</w:t></w:r>
</w:p>
<w:p>
<w:pPr><w:pStyle w:val="Normal"/></w:pPr>
<w:r><w:t xml:space="preserve">of Man (1901); Henry Ward Beecher (1903); The Christian</w:t></w:r>
</w:p>
<w:p>
<w:pPr><w:pStyle w:val="Normal"/></w:pPr>
<w:r><w:t xml:space="preserve">Ministry (1905); The Personality of God (1905); Industrial</w:t></w:r>
</w:p>
<w:p>
<w:pPr><w:pStyle w:val="Normal"/></w:pPr>
<w:r><w:t xml:space="preserve">Problems (1905); and Christ&apos;s Secret of Happiness (1907).</w:t></w:r>
</w:p>
<w:p>
<w:pPr><w:pStyle w:val="Normal"/></w:pPr>
<w:r><w:t xml:space="preserve">He edited Sermons of Henry Ward Beecher (2 vols., 1868).</w:t></w:r>
</w:p>
<w:p>
<w:pPr><w:pStyle w:val="Normal"/></w:pPr>
<w:r><w:t xml:space="preserve">ABBOTTADAD, a town of British India, 4120 ft. above</w:t></w:r>
</w:p>
<w:p>
<w:pPr><w:pStyle w:val="Normal"/></w:pPr>
<w:r><w:t xml:space="preserve">sealevel, 63 m. from Rawalpindi, the headquarters of the</w:t></w:r>
</w:p>
<w:p>
<w:pPr><w:pStyle w:val="Normal"/></w:pPr>
<w:r><w:t xml:space="preserve">Hazara district in the N.W. Frontier Province, called after</w:t></w:r>
</w:p>
<w:p>
<w:pPr><w:pStyle w:val="Normal"/></w:pPr>
<w:r><w:t xml:space="preserve">its founder, Sir James Abbott, who settled this wild district</w:t></w:r>
</w:p>
<w:p>
<w:pPr><w:pStyle w:val="Normal"/></w:pPr>
<w:r><w:t xml:space="preserve">after the annexation of the Punjab.  It is an important</w:t></w:r>
</w:p>
<w:p>
<w:pPr><w:pStyle w:val="Normal"/></w:pPr>
<w:r><w:t xml:space="preserve">military cantonment and sanatorium, being the headquarters of</w:t></w:r>
</w:p>
<w:p>
<w:pPr><w:pStyle w:val="Normal"/></w:pPr>
<w:r><w:t xml:space="preserve">a brigade in the second division of the northern army corps.</w:t></w:r>
</w:p>
<w:p>
<w:pPr><w:pStyle w:val="Normal"/></w:pPr>
<w:r><w:t xml:space="preserve">In 1901 the population of the town and cantonment was 7764.</w:t></w:r>
</w:p>
<w:p>
<w:pPr><w:pStyle w:val="Normal"/></w:pPr>
<w:r><w:t xml:space="preserve">ABBREVIATION (Lat. brevis, short), strictly a shortening;</w:t></w:r>
</w:p>
<w:p>
<w:pPr><w:pStyle w:val="Normal"/></w:pPr>
<w:r><w:t xml:space="preserve">more particularly, an ``abbreviation&apos;&apos; is a letter or group</w:t></w:r>
</w:p>
<w:p>
<w:pPr><w:pStyle w:val="Normal"/></w:pPr>
<w:r><w:t xml:space="preserve">of letters, taken from a word or words, and employed to</w:t></w:r>
</w:p>
<w:p>
<w:pPr><w:pStyle w:val="Normal"/></w:pPr>
<w:r><w:t xml:space="preserve">represent them for the sake of brevity.  Abbreviations, both</w:t></w:r>
</w:p>
<w:p>
<w:pPr><w:pStyle w:val="Normal"/></w:pPr>
<w:r><w:t xml:space="preserve">of single words and of phrases, having a meaning more or</w:t></w:r>
</w:p>
<w:p>
<w:pPr><w:pStyle w:val="Normal"/></w:pPr>
<w:r><w:t xml:space="preserve">less fixed and recognized, are common in ancient writings</w:t></w:r>
</w:p>
<w:p>
<w:pPr><w:pStyle w:val="Normal"/></w:pPr>
<w:r><w:t xml:space="preserve">and inscriptions (see PALAEOGRAPHY and DIPLOMATIC), and</w:t></w:r>
</w:p>
<w:p>
<w:pPr><w:pStyle w:val="Normal"/></w:pPr>
<w:r><w:t xml:space="preserve">very many are in use at the present time.  A distinction is</w:t></w:r>
</w:p>
<w:p>
<w:pPr><w:pStyle w:val="Normal"/></w:pPr>
<w:r><w:t xml:space="preserve">to be observed between abbreviations and the contractions</w:t></w:r>
</w:p>
<w:p>
<w:pPr><w:pStyle w:val="Normal"/></w:pPr>
<w:r><w:t xml:space="preserve">that are frequently to be met with in old manuscripts, and</w:t></w:r>
</w:p>
<w:p>
<w:pPr><w:pStyle w:val="Normal"/></w:pPr>
<w:r><w:t xml:space="preserve">even in early printed books, whereby letters are dropped</w:t></w:r>
</w:p>
<w:p>
<w:pPr><w:pStyle w:val="Normal"/></w:pPr>
<w:r><w:t xml:space="preserve">out here and there, or particular collocations of letters</w:t></w:r>
</w:p>
<w:p>
<w:pPr><w:pStyle w:val="Normal"/></w:pPr>
<w:r><w:t xml:space="preserve">represented by somewhat arbitrary symbols.  The commonest</w:t></w:r>
</w:p>
<w:p>
<w:pPr><w:pStyle w:val="Normal"/></w:pPr>
<w:r><w:t xml:space="preserve">form of abbreviation is the substitution for a word of its</w:t></w:r>
</w:p>
<w:p>
<w:pPr><w:pStyle w:val="Normal"/></w:pPr>
<w:r><w:t xml:space="preserve">initial letter; but, with a view to prevent ambiguity, one</w:t></w:r>
</w:p>
<w:p>
<w:pPr><w:pStyle w:val="Normal"/></w:pPr>
<w:r><w:t xml:space="preserve">or more of the other letters are frequently added.  Letters</w:t></w:r>
</w:p>
<w:p>
<w:pPr><w:pStyle w:val="Normal"/></w:pPr>
<w:r><w:t xml:space="preserve">are often doubled to indicate a plural or a superlative.</w:t></w:r>
</w:p>
<w:p>
<w:pPr><w:pStyle w:val="Heading1"/></w:pPr>
<w:r><w:t>I. CLASSICAL ABBREVIATIONS.---The following list</w:t></w:r>
</w:p>
<w:p>
<w:pPr><w:pStyle w:val="Normal"/></w:pPr>
<w:r><w:t xml:space="preserve">contains a selection from the abbreviations that occur</w:t></w:r>
</w:p>
<w:p>
<w:pPr><w:pStyle w:val="Normal"/></w:pPr>
<w:r><w:t xml:space="preserve">in the writings and inscriptions of the Romans:--</w:t></w:r>
</w:p>
<w:p>
<w:pPr><w:pStyle w:val="Normal"/></w:pPr>
<w:r><w:t xml:space="preserve">A.</w:t></w:r>
</w:p>
<w:p>
<w:pPr><w:pStyle w:val="Normal"/></w:pPr>
<w:r><w:t xml:space="preserve">A.         Absolvo, Aedilis, Aes, Ager, Ago, Aio, Amicus, Annus, Antiquo,</w:t></w:r>
</w:p>
<w:p>
<w:pPr><w:pStyle w:val="Normal"/></w:pPr>
<w:r><w:t xml:space="preserve">Auctor, Auditor, Augustus, Aulus, Aurum, Aut.</w:t></w:r>
</w:p>
<w:p>
<w:pPr><w:pStyle w:val="Normal"/></w:pPr>
<w:r><w:t xml:space="preserve">A.A.       Aes alienum, Ante audita, Apud agrum, Aurum argentum.</w:t></w:r>
</w:p>
<w:p>
<w:pPr><w:pStyle w:val="Normal"/></w:pPr>
<w:r><w:t xml:space="preserve">AA.        Augusti. AAA. Augusti tres.</w:t></w:r>
</w:p>
<w:p>
<w:pPr><w:pStyle w:val="Normal"/></w:pPr>
<w:r><w:t xml:space="preserve">A.A.A.F.F. Auro argento acre flando feriundo.1</w:t></w:r>
</w:p>
<w:p>
<w:pPr><w:pStyle w:val="Normal"/></w:pPr>
<w:r><w:t xml:space="preserve">A.A.V.     Alter ambove.</w:t></w:r>
</w:p>
<w:p>
<w:pPr><w:pStyle w:val="Normal"/></w:pPr>
<w:r><w:t xml:space="preserve">A.C.       Acta causa, Alins civis.</w:t></w:r>
</w:p>
<w:p>
<w:pPr><w:pStyle w:val="Normal"/></w:pPr>
<w:r><w:t xml:space="preserve">A.D.       Ante diem; e.g. A.D.V. Ante diem quintum.</w:t></w:r>
</w:p>
<w:p>
<w:pPr><w:pStyle w:val="Normal"/></w:pPr>
<w:r><w:t xml:space="preserve">A.D.A.     Ad dandos agros.</w:t></w:r>
</w:p>
<w:p>
<w:pPr><w:pStyle w:val="Normal"/></w:pPr>
<w:r><w:t xml:space="preserve">AEO.       Aedes, Aedilis, Aedilitas.</w:t></w:r>
</w:p>
<w:p>
<w:pPr><w:pStyle w:val="Normal"/></w:pPr>
<w:r><w:t xml:space="preserve">AEM. and AIM.        Aemilius, Aemilia.</w:t></w:r>
</w:p>
<w:p>
<w:pPr><w:pStyle w:val="Normal"/></w:pPr>
<w:r><w:t xml:space="preserve">AER.       Aerarium. AER.P. Aere publico.</w:t></w:r>
</w:p>
<w:p>
<w:pPr><w:pStyle w:val="Normal"/></w:pPr>
<w:r><w:t xml:space="preserve">A.F.       Acture fide, Auli filius.</w:t></w:r>
</w:p>
<w:p>
<w:pPr><w:pStyle w:val="Normal"/></w:pPr>
<w:r><w:t xml:space="preserve">AG.        Ager, Ago, Agrippa.</w:t></w:r>
</w:p>
<w:p>
<w:pPr><w:pStyle w:val="Normal"/></w:pPr>
<w:r><w:t xml:space="preserve">A.G.       Ammo grato, Aulus Gellius.</w:t></w:r>
</w:p>
<w:p>
<w:pPr><w:pStyle w:val="Normal"/></w:pPr>
<w:r><w:t xml:space="preserve">A.L.AE. and A.L.E.  Arbitrium litis aestimandae.</w:t></w:r>
</w:p>
<w:p>
<w:pPr><w:pStyle w:val="Normal"/></w:pPr>
<w:r><w:t xml:space="preserve">A.M. and A.MILL.    Ad milliarium.</w:t></w:r>
</w:p>
<w:p>
<w:pPr><w:pStyle w:val="Normal"/></w:pPr>
<w:r><w:t xml:space="preserve">AN.        Aniensis, Annus, Ante.</w:t></w:r>
</w:p>
<w:p>
<w:pPr><w:pStyle w:val="Normal"/></w:pPr>
<w:r><w:t xml:space="preserve">ANN.       Annales, Anni, Annona.</w:t></w:r>
</w:p>
<w:p>
<w:pPr><w:pStyle w:val="Normal"/></w:pPr>
<w:r><w:t xml:space="preserve">ANT.       Ante, Antonius.</w:t></w:r>
</w:p>
<w:p>
<w:pPr><w:pStyle w:val="Normal"/></w:pPr>
<w:r><w:t xml:space="preserve">A.O.       Alii omnes, Amico optimo.</w:t></w:r>
</w:p>
<w:p>
<w:pPr><w:pStyle w:val="Normal"/></w:pPr>
<w:r><w:t xml:space="preserve">AP.        Atppius, Apud.</w:t></w:r>
</w:p>
<w:p>
<w:pPr><w:pStyle w:val="Normal"/></w:pPr>
<w:r><w:t xml:space="preserve">A.P.       Ad pedes, Aedilitia potestate.</w:t></w:r>
</w:p>
<w:p>
<w:pPr><w:pStyle w:val="Normal"/></w:pPr>
<w:r><w:t xml:space="preserve">A.P.F.     Auro (or argento) publico feriundo.</w:t></w:r>
</w:p>
<w:p>
<w:pPr><w:pStyle w:val="Normal"/></w:pPr>
<w:r><w:t xml:space="preserve">A.P.M.     Amico posuit monumentum, Annorum plus minus.</w:t></w:r>
</w:p>
<w:p>
<w:pPr><w:pStyle w:val="Normal"/></w:pPr>
<w:r><w:t xml:space="preserve">A.P.R.C.   Anno post Romam conditam.</w:t></w:r>
</w:p>
<w:p>
<w:pPr><w:pStyle w:val="Normal"/></w:pPr>
<w:r><w:t xml:space="preserve">ARG.       Argentum.</w:t></w:r>
</w:p>
<w:p>
<w:pPr><w:pStyle w:val="Normal"/></w:pPr>
<w:r><w:t xml:space="preserve">AR.V.V.D.D.Aram votam volens dedicavit, Arma votiva dono dedit.</w:t></w:r>
</w:p>
<w:p>
<w:pPr><w:pStyle w:val="Normal"/></w:pPr>
<w:r><w:t xml:space="preserve">AT         A tergo. Also A TE. and A TER.</w:t></w:r>
</w:p>
<w:p>
<w:pPr><w:pStyle w:val="Normal"/></w:pPr>
<w:r><w:t xml:space="preserve">A.T.M.D.O. Aio te mihi dare oportere.</w:t></w:r>
</w:p>
<w:p>
<w:pPr><w:pStyle w:val="Normal"/></w:pPr>
<w:r><w:t xml:space="preserve">AV.        Augur, Augustus, Aurelius.</w:t></w:r>
</w:p>
<w:p>
<w:pPr><w:pStyle w:val="Normal"/></w:pPr>
<w:r><w:t xml:space="preserve">A.V.       Annos vixit.</w:t></w:r>
</w:p>
<w:p>
<w:pPr><w:pStyle w:val="Normal"/></w:pPr>
<w:r><w:t xml:space="preserve">A.V.C.     Ab urbe condita.</w:t></w:r>
</w:p>
<w:p>
<w:pPr><w:pStyle w:val="Normal"/></w:pPr>
<w:r><w:t xml:space="preserve">AVG.       Augur, Augustus.</w:t></w:r>
</w:p>
<w:p>
<w:pPr><w:pStyle w:val="Normal"/></w:pPr>
<w:r><w:t xml:space="preserve">AVGG.      Augusti (generally of two). AVGGG. Augusti tres.</w:t></w:r>
</w:p>
<w:p>
<w:pPr><w:pStyle w:val="Normal"/></w:pPr>
<w:r><w:t xml:space="preserve">AVT.PR.R.  Auctoritas provinciae Romanorum.</w:t></w:r>
</w:p>
<w:p>
<w:pPr><w:pStyle w:val="Normal"/></w:pPr>
<w:r><w:t xml:space="preserve">B.</w:t></w:r>
</w:p>
<w:p>
<w:pPr><w:pStyle w:val="Normal"/></w:pPr>
<w:r><w:t xml:space="preserve">B.         Balbius, Balbus, Beatus, Bene, Beneficiarius, Beneficium,</w:t></w:r>
</w:p>
<w:p>
<w:pPr><w:pStyle w:val="Normal"/></w:pPr>
<w:r><w:t xml:space="preserve">Bonus, Brutus, Bustum.</w:t></w:r>
</w:p>
<w:p>
<w:pPr><w:pStyle w:val="Normal"/></w:pPr>
<w:r><w:t xml:space="preserve">B.for V.      Berna Bivus, Bixit.</w:t></w:r>
</w:p>
<w:p>
<w:pPr><w:pStyle w:val="Normal"/></w:pPr>
<w:r><w:t xml:space="preserve">B.A.       Bixit anos, Bonis auguriis, Bonus amabilis.</w:t></w:r>
</w:p>
<w:p>
<w:pPr><w:pStyle w:val="Normal"/></w:pPr>
<w:r><w:t xml:space="preserve">BB.or B.B.    Bene bene, i.e. optime, Optimus.</w:t></w:r>
</w:p>
<w:p>
<w:pPr><w:pStyle w:val="Normal"/></w:pPr>
<w:r><w:t xml:space="preserve">B.D.       Bonae deae, Bonum datum.</w:t></w:r>
</w:p>
<w:p>
<w:pPr><w:pStyle w:val="Normal"/></w:pPr>
<w:r><w:t xml:space="preserve">B.DD.      Bonis deabus.</w:t></w:r>
</w:p>
<w:p>
<w:pPr><w:pStyle w:val="Normal"/></w:pPr>
<w:r><w:t xml:space="preserve">B.D.S.M. Bene de se merenti.</w:t></w:r>
</w:p>
<w:p>
<w:pPr><w:pStyle w:val="Normal"/></w:pPr>
<w:r><w:t xml:space="preserve">B.F.       Bona femina, Bona fides, Bona fortuna, Bonum factum.</w:t></w:r>
</w:p>
<w:p>
<w:pPr><w:pStyle w:val="Normal"/></w:pPr>
<w:r><w:t xml:space="preserve">B.F.       Bona femina, Bona filia.</w:t></w:r>
</w:p>
<w:p>
<w:pPr><w:pStyle w:val="Normal"/></w:pPr>
<w:r><w:t xml:space="preserve">B.H.       Bona hereditaria, Bonorum heres.</w:t></w:r>
</w:p>
<w:p>
<w:pPr><w:pStyle w:val="Normal"/></w:pPr>
<w:r><w:t xml:space="preserve">B.I.       Bonum judicium. B.I.I. Boni judicis judicium.</w:t></w:r>
</w:p>
<w:p>
<w:pPr><w:pStyle w:val="Normal"/></w:pPr>
<w:r><w:t xml:space="preserve">B.M.       Beatae memoriae, Bene merenti.</w:t></w:r>
</w:p>
<w:p>
<w:pPr><w:pStyle w:val="Normal"/></w:pPr>
<w:r><w:t xml:space="preserve">B.N.       Bona nostra, Bonum nomen.</w:t></w:r>
</w:p>
<w:p>
<w:pPr><w:pStyle w:val="Normal"/></w:pPr>
<w:r><w:t xml:space="preserve">BN.H.I.    Bona hic invenies.</w:t></w:r>
</w:p>
<w:p>
<w:pPr><w:pStyle w:val="Normal"/></w:pPr>
<w:r><w:t xml:space="preserve">B.P.       Bona paterna, Bonorum potestas, Bonum publicum.</w:t></w:r>
</w:p>
<w:p>
<w:pPr><w:pStyle w:val="Normal"/></w:pPr>
<w:r><w:t xml:space="preserve">B.Q.       Bene quiescat, Bona quaesita.</w:t></w:r>
</w:p>
<w:p>
<w:pPr><w:pStyle w:val="Normal"/></w:pPr>
<w:r><w:t xml:space="preserve">B.RP.N.    Boho reipublicae natus.</w:t></w:r>
</w:p>
<w:p>
<w:pPr><w:pStyle w:val="Normal"/></w:pPr>
<w:r><w:t xml:space="preserve">BRT.       Britannicus.</w:t></w:r>
</w:p>
<w:p>
<w:pPr><w:pStyle w:val="Normal"/></w:pPr>
<w:r><w:t xml:space="preserve">B.T.       Bonorum tutor, Brevi tempore.</w:t></w:r>
</w:p>
<w:p>
<w:pPr><w:pStyle w:val="Normal"/></w:pPr>
<w:r><w:t xml:space="preserve">B.V.       Bene vale, Bene vixit, Bonus vir.</w:t></w:r>
</w:p>
<w:p>
<w:pPr><w:pStyle w:val="Normal"/></w:pPr>
<w:r><w:t xml:space="preserve">B.V.V.     Balnea vina Venus.</w:t></w:r>
</w:p>
<w:p>
<w:pPr><w:pStyle w:val="Normal"/></w:pPr>
<w:r><w:t xml:space="preserve">BX.        Bixit, for vixit.</w:t></w:r>
</w:p>
<w:p>
<w:pPr><w:pStyle w:val="Normal"/></w:pPr>
<w:r><w:t xml:space="preserve">C.</w:t></w:r>
</w:p>
<w:p>
<w:pPr><w:pStyle w:val="Heading1"/></w:pPr>
<w:r><w:t>C.         Caesar, Cains, Caput, Causa, Censor, Civis, Conors, Colonia,</w:t></w:r>
</w:p>
<w:p>
<w:pPr><w:pStyle w:val="Normal"/></w:pPr>
<w:r><w:t xml:space="preserve">Comitialis (dies), Condemno, Consul, Cum, Curo, Custos.</w:t></w:r>
</w:p>
<w:p>
<w:pPr><w:pStyle w:val="Heading1"/></w:pPr>
<w:r><w:t>C.         Caia, Centuria, Cum, the prefix Con.</w:t></w:r>
</w:p>
<w:p>
<w:pPr><w:pStyle w:val="Normal"/></w:pPr>
<w:r><w:t xml:space="preserve">C.B.       Civis bonus, Commune bonum, Conjugi benemerenti, Cui bono.</w:t></w:r>
</w:p>
<w:p>
<w:pPr><w:pStyle w:val="Normal"/></w:pPr>
<w:r><w:t xml:space="preserve">C.C.       Calumniae causa, Causa cognita, Conjugi carissimae, Consilium</w:t></w:r>
</w:p>
<w:p>
<w:pPr><w:pStyle w:val="Normal"/></w:pPr>
<w:r><w:t xml:space="preserve">cepit, Curiae consulto.</w:t></w:r>
</w:p>
<w:p>
<w:pPr><w:pStyle w:val="Normal"/></w:pPr>
<w:r><w:t xml:space="preserve">C.C.C.     Calumniae cavendae causa.</w:t></w:r>
</w:p>
<w:p>
<w:pPr><w:pStyle w:val="Normal"/></w:pPr>
<w:r><w:t xml:space="preserve">C.C.F.     Caesar (or Caius) curavit faciendum, Cains Caii filius.</w:t></w:r>
</w:p>
<w:p>
<w:pPr><w:pStyle w:val="Normal"/></w:pPr>
<w:r><w:t xml:space="preserve">CC.VV.     Clarissimi viri.</w:t></w:r>
</w:p>
<w:p>
<w:pPr><w:pStyle w:val="Normal"/></w:pPr>
<w:r><w:t xml:space="preserve">C.D.       Caesaris decreto, Cains Decius, Comitialibus diebus.</w:t></w:r>
</w:p>
<w:p>
<w:pPr><w:pStyle w:val="Normal"/></w:pPr>
<w:r><w:t xml:space="preserve">CES.       Censor, Censores. CESS. Censores.</w:t></w:r>
</w:p>
<w:p>
<w:pPr><w:pStyle w:val="Normal"/></w:pPr>
<w:r><w:t xml:space="preserve">C.F.       Causa fiduciae, Conjugi fecit, Curavit faciendum.</w:t></w:r>
</w:p>
<w:p>
<w:pPr><w:pStyle w:val="Normal"/></w:pPr>
<w:r><w:t xml:space="preserve">C.H.       Custos heredum, Custos hortorum.</w:t></w:r>
</w:p>
<w:p>
<w:pPr><w:pStyle w:val="Normal"/></w:pPr>
<w:r><w:t xml:space="preserve">C.I.       Caius Julius, Consul jussit, Curavit judex. .</w:t></w:r>
</w:p>
<w:p>
<w:pPr><w:pStyle w:val="Heading1"/></w:pPr>
<w:r><w:t>CL.        Clarissimus, Claudius, Clodius, Colonia.</w:t></w:r>
</w:p>
<w:p>
<w:pPr><w:pStyle w:val="Normal"/></w:pPr>
<w:r><w:t xml:space="preserve">CL.V.      Clarissimus vir, Clypeum vovit.</w:t></w:r>
</w:p>
<w:p>
<w:pPr><w:pStyle w:val="Normal"/></w:pPr>
<w:r><w:t xml:space="preserve">C.M.       Caius Marius, Causa mortis.</w:t></w:r>
</w:p>
<w:p>
<w:pPr><w:pStyle w:val="Normal"/></w:pPr>
<w:r><w:t xml:space="preserve">CN.        Cnaeus.</w:t></w:r>
</w:p>
<w:p>
<w:pPr><w:pStyle w:val="Normal"/></w:pPr>
<w:r><w:t xml:space="preserve">COH.       Coheres, Conors.</w:t></w:r>
</w:p>
<w:p>
<w:pPr><w:pStyle w:val="Normal"/></w:pPr>
<w:r><w:t xml:space="preserve">COL.       Collega, Collegium, Colonia, Columna.</w:t></w:r>
</w:p>
<w:p>
<w:pPr><w:pStyle w:val="Normal"/></w:pPr>
<w:r><w:t xml:space="preserve">COLL.      Collega, Coloni, Coloniae.</w:t></w:r>
</w:p>
<w:p>
<w:pPr><w:pStyle w:val="Normal"/></w:pPr>
<w:r><w:t xml:space="preserve">COM.       Comes, Comitium, Comparatum.</w:t></w:r>
</w:p>
<w:p>
<w:pPr><w:pStyle w:val="Normal"/></w:pPr>
<w:r><w:t xml:space="preserve">CON.       Conjux, Consensus, Consiliarius, Consul, Consularis.</w:t></w:r>
</w:p>
<w:p>
<w:pPr><w:pStyle w:val="Normal"/></w:pPr>
<w:r><w:t xml:space="preserve">COR.       Cornelia (tribus), Cornelius, Corona, Corpus.</w:t></w:r>
</w:p>
<w:p>
<w:pPr><w:pStyle w:val="Normal"/></w:pPr>
<w:r><w:t xml:space="preserve">COS.       Consiliarius, Consul, Consulares. COSS. Consules.</w:t></w:r>
</w:p>
<w:p>
<w:pPr><w:pStyle w:val="Normal"/></w:pPr>
<w:r><w:t xml:space="preserve">C.P.       Carissimus or Clarissimus puer, Civis publicus, Curavit</w:t></w:r>
</w:p>
<w:p>
<w:pPr><w:pStyle w:val="Normal"/></w:pPr>
<w:r><w:t xml:space="preserve">ponendum.</w:t></w:r>
</w:p>
<w:p>
<w:pPr><w:pStyle w:val="Normal"/></w:pPr>
<w:r><w:t xml:space="preserve">C.R.       Cains Rufus, Civis Romanus, Curavit reficiendum.</w:t></w:r>
</w:p>
<w:p>
<w:pPr><w:pStyle w:val="Normal"/></w:pPr>
<w:r><w:t xml:space="preserve">CS.        Caesar, Communis, Consul.</w:t></w:r>
</w:p>
<w:p>
<w:pPr><w:pStyle w:val="Normal"/></w:pPr>
<w:r><w:t xml:space="preserve">C.V.       Clarissimus or Consularis vir.</w:t></w:r>
</w:p>
<w:p>
<w:pPr><w:pStyle w:val="Normal"/></w:pPr>
<w:r><w:t xml:space="preserve">CVR.       Cura, Curator, Curavit, Curia.</w:t></w:r>
</w:p>
<w:p>
<w:pPr><w:pStyle w:val="Normal"/></w:pPr>
<w:r><w:t xml:space="preserve">D.</w:t></w:r>
</w:p>
<w:p>
<w:pPr><w:pStyle w:val="Normal"/></w:pPr>
<w:r><w:t xml:space="preserve">D.         Dat, Dedit, &amp;c., De, Decimus, Decius, Decretum, Decurio,</w:t></w:r>
</w:p>
<w:p>
<w:pPr><w:pStyle w:val="Normal"/></w:pPr>
<w:r><w:t xml:space="preserve">Deus, Dicit, &amp;c., Dies, Divus, Dominus, Domus, Donum.</w:t></w:r>
</w:p>
<w:p>
<w:pPr><w:pStyle w:val="Normal"/></w:pPr>
<w:r><w:t xml:space="preserve">D.C.       Decurio coloniae, Diebus comitialibus, Divus Caesar.</w:t></w:r>
</w:p>
<w:p>
<w:pPr><w:pStyle w:val="Normal"/></w:pPr>
<w:r><w:t xml:space="preserve">D.D.       Dea Dia, Decurionum decreto, Dedicavit, Deo dedit, Dono dedit.</w:t></w:r>
</w:p>
<w:p>
<w:pPr><w:pStyle w:val="Normal"/></w:pPr>
<w:r><w:t xml:space="preserve">D.D.D.     Datum decreto decurionum, Dono dedit dedicavit.</w:t></w:r>
</w:p>
<w:p>
<w:pPr><w:pStyle w:val="Normal"/></w:pPr>
<w:r><w:t xml:space="preserve">D.E.R.     De ea re.</w:t></w:r>
</w:p>
<w:p>
<w:pPr><w:pStyle w:val="Normal"/></w:pPr>
<w:r><w:t xml:space="preserve">DES.       Designatus.</w:t></w:r>
</w:p>
<w:p>
<w:pPr><w:pStyle w:val="Normal"/></w:pPr>
<w:r><w:t xml:space="preserve">D.I.       Dedit imperator, Diis immortalibus, Diis inferis.</w:t></w:r>
</w:p>
<w:p>
<w:pPr><w:pStyle w:val="Normal"/></w:pPr>
<w:r><w:t xml:space="preserve">D.l.M.     Deo invicto Mithrae, Diis inferis Manibus.</w:t></w:r>
</w:p>
<w:p>
<w:pPr><w:pStyle w:val="Normal"/></w:pPr>
<w:r><w:t xml:space="preserve">D.M.       Deo Magno, Dignus memoria, Diis Manibus, Dolo malo.</w:t></w:r>
</w:p>
<w:p>
<w:pPr><w:pStyle w:val="Normal"/></w:pPr>
<w:r><w:t xml:space="preserve">D.O.M.     Deo Optimo Maximo.</w:t></w:r>
</w:p>
<w:p>
<w:pPr><w:pStyle w:val="Normal"/></w:pPr>
<w:r><w:t xml:space="preserve">D.P.S.     Dedit proprio sumptu, Deo perpetuo sacrum, De pecunia</w:t></w:r>
</w:p>
<w:p>
<w:pPr><w:pStyle w:val="Normal"/></w:pPr>
<w:r><w:t xml:space="preserve">sua.</w:t></w:r>
</w:p>
<w:p>
<w:pPr><w:pStyle w:val="Normal"/></w:pPr>
<w:r><w:t xml:space="preserve">E.</w:t></w:r>
</w:p>
<w:p>
<w:pPr><w:pStyle w:val="Normal"/></w:pPr>
<w:r><w:t xml:space="preserve">E.         Ejus, Eques, Erexft, Ergo, Est, Et, Etiam, Ex.</w:t></w:r>
</w:p>
<w:p>
<w:pPr><w:pStyle w:val="Normal"/></w:pPr>
<w:r><w:t xml:space="preserve">EG.        Aeger, Egit, Egregius.</w:t></w:r>
</w:p>
<w:p>
<w:pPr><w:pStyle w:val="Normal"/></w:pPr>
<w:r><w:t xml:space="preserve">E.M.       Egregiae memoriae, Ejusmodi, Erexit monumentum.</w:t></w:r>
</w:p>
<w:p>
<w:pPr><w:pStyle w:val="Normal"/></w:pPr>
<w:r><w:t xml:space="preserve">EQ.M.      Equitum magister.</w:t></w:r>
</w:p>
<w:p>
<w:pPr><w:pStyle w:val="Normal"/></w:pPr>
<w:r><w:t xml:space="preserve">E.R.A.     Ea res agitur.</w:t></w:r>
</w:p>
<w:p>
<w:pPr><w:pStyle w:val="Normal"/></w:pPr>
<w:r><w:t xml:space="preserve">F.</w:t></w:r>
</w:p>
<w:p>
<w:pPr><w:pStyle w:val="Normal"/></w:pPr>
<w:r><w:t xml:space="preserve">F.         Fabius, Facere, Fecit, &amp;c., Familia, Fastus (dies), Felix,</w:t></w:r>
</w:p>
<w:p>
<w:pPr><w:pStyle w:val="Normal"/></w:pPr>
<w:r><w:t xml:space="preserve">Femina, Fides, Filius, Flamen, Fortuna, Frater, Fuit, Functus.</w:t></w:r>
</w:p>
<w:p>
<w:pPr><w:pStyle w:val="Normal"/></w:pPr>
<w:r><w:t xml:space="preserve">F.C.       Faciendum curavit, Fidei commissume, Fiduciae causa.</w:t></w:r>
</w:p>
<w:p>
<w:pPr><w:pStyle w:val="Normal"/></w:pPr>
<w:r><w:t xml:space="preserve">F.D.       Fidem dedit, Flamen Dialis, Fraude donavit.</w:t></w:r>
</w:p>
<w:p>
<w:pPr><w:pStyle w:val="Normal"/></w:pPr>
<w:r><w:t xml:space="preserve">F.F.F.     Ferro flamma fame, Fortior fortuna fato.</w:t></w:r>
</w:p>
<w:p>
<w:pPr><w:pStyle w:val="Normal"/></w:pPr>
<w:r><w:t xml:space="preserve">FL.        Filius, Flamen, Flaminius, Flavius.</w:t></w:r>
</w:p>
<w:p>
<w:pPr><w:pStyle w:val="Normal"/></w:pPr>
<w:r><w:t xml:space="preserve">F.L.       Favete linguis, Fecit libens, Felix liber.</w:t></w:r>
</w:p>
<w:p>
<w:pPr><w:pStyle w:val="Normal"/></w:pPr>
<w:r><w:t xml:space="preserve">FR.        Forum, Fronte, Frumentarius.</w:t></w:r>
</w:p>
<w:p>
<w:pPr><w:pStyle w:val="Normal"/></w:pPr>
<w:r><w:t xml:space="preserve">F.R.       Forum Romanum.</w:t></w:r>
</w:p>
<w:p>
<w:pPr><w:pStyle w:val="Normal"/></w:pPr>
<w:r><w:t xml:space="preserve">G.</w:t></w:r>
</w:p>
<w:p>
<w:pPr><w:pStyle w:val="Normal"/></w:pPr>
<w:r><w:t xml:space="preserve">G.         Gaius (=Caius), Gallia, Gaudium, Gellius, Gemma, Gens,</w:t></w:r>
</w:p>
<w:p>
<w:pPr><w:pStyle w:val="Normal"/></w:pPr>
<w:r><w:t xml:space="preserve">Gesta, Gratia.</w:t></w:r>
</w:p>
<w:p>
<w:pPr><w:pStyle w:val="Normal"/></w:pPr>
<w:r><w:t xml:space="preserve">G.F.       Gemma fidelis (applied to a legion). So G.P.F. Gemma</w:t></w:r>
</w:p>
<w:p>
<w:pPr><w:pStyle w:val="Normal"/></w:pPr>
<w:r><w:t xml:space="preserve">pia fidelis.</w:t></w:r>
</w:p>
<w:p>
<w:pPr><w:pStyle w:val="Normal"/></w:pPr>
<w:r><w:t xml:space="preserve">GL.        Gloria.</w:t></w:r>
</w:p>
<w:p>
<w:pPr><w:pStyle w:val="Normal"/></w:pPr>
<w:r><w:t xml:space="preserve">GN.        Genius, Gens, Genus, Gnaeus (=Cnaeus).</w:t></w:r>
</w:p>
<w:p>
<w:pPr><w:pStyle w:val="Normal"/></w:pPr>
<w:r><w:t xml:space="preserve">G.P.R.     Genro populi Romani.</w:t></w:r>
</w:p>
<w:p>
<w:pPr><w:pStyle w:val="Normal"/></w:pPr>
<w:r><w:t xml:space="preserve">H.</w:t></w:r>
</w:p>
<w:p>
<w:pPr><w:pStyle w:val="Normal"/></w:pPr>
<w:r><w:t xml:space="preserve">H.         Habet, Heres, Hic, Homo, Honor, Hora.</w:t></w:r>
</w:p>
<w:p>
<w:pPr><w:pStyle w:val="Normal"/></w:pPr>
<w:r><w:t xml:space="preserve">HER. Heres, Herennius. HER. and HERC. Hercules.</w:t></w:r>
</w:p>
<w:p>
<w:pPr><w:pStyle w:val="Normal"/></w:pPr>
<w:r><w:t xml:space="preserve">H.L.       Hac lege, Hoc loco, Honesto loco.</w:t></w:r>
</w:p>
<w:p>
<w:pPr><w:pStyle w:val="Normal"/></w:pPr>
<w:r><w:t xml:space="preserve">H.M.       Hoc monumentum, Honesta mulier, Hora mala.</w:t></w:r>
</w:p>
<w:p>
<w:pPr><w:pStyle w:val="Normal"/></w:pPr>
<w:r><w:t xml:space="preserve">H.S.E.     Hic sepultus est, Hic situs est.</w:t></w:r>
</w:p>
<w:p>
<w:pPr><w:pStyle w:val="Normal"/></w:pPr>
<w:r><w:t xml:space="preserve">H.V.       Haec urbs, Hic vivit, Honeste vixit, Honestus vir.</w:t></w:r>
</w:p>
<w:p>
<w:pPr><w:pStyle w:val="Normal"/></w:pPr>
<w:r><w:t xml:space="preserve">I.</w:t></w:r>
</w:p>
<w:p>
<w:pPr><w:pStyle w:val="Heading1"/></w:pPr>
<w:r><w:t>I.         Immortalis, Imperator, In, Infra, Inter, Invictus, Ipse, Isis,</w:t></w:r>
</w:p>
<w:p>
<w:pPr><w:pStyle w:val="Normal"/></w:pPr>
<w:r><w:t xml:space="preserve">Judex, Julius, Junius, Jupiter, Justus.</w:t></w:r>
</w:p>
<w:p>
<w:pPr><w:pStyle w:val="Normal"/></w:pPr>
<w:r><w:t xml:space="preserve">IA.        Jam, Intra.</w:t></w:r>
</w:p>
<w:p>
<w:pPr><w:pStyle w:val="Normal"/></w:pPr>
<w:r><w:t xml:space="preserve">I.C.       Julius Caesar, Juris Consultum, Jus civile.</w:t></w:r>
</w:p>
<w:p>
<w:pPr><w:pStyle w:val="Normal"/></w:pPr>
<w:r><w:t xml:space="preserve">ID.        Idem, Idus, Interdum.</w:t></w:r>
</w:p>
<w:p>
<w:pPr><w:pStyle w:val="Normal"/></w:pPr>
<w:r><w:t xml:space="preserve">l.D.       Inferis diis, Jovi dedicatnm, Jus dicendum, Jussu Dei.</w:t></w:r>
</w:p>
<w:p>
<w:pPr><w:pStyle w:val="Normal"/></w:pPr>
<w:r><w:t xml:space="preserve">I.D.M.     Jovi deo magno.</w:t></w:r>
</w:p>
<w:p>
<w:pPr><w:pStyle w:val="Normal"/></w:pPr>
<w:r><w:t xml:space="preserve">I.F.       In foro, In fronte.</w:t></w:r>
</w:p>
<w:p>
<w:pPr><w:pStyle w:val="Normal"/></w:pPr>
<w:r><w:t xml:space="preserve">I.H.       Jacet hic, In honestatem, Justus homo.</w:t></w:r>
</w:p>
<w:p>
<w:pPr><w:pStyle w:val="Normal"/></w:pPr>
<w:r><w:t xml:space="preserve">IM.        Imago, Immortalis, Immunis, Impensa.</w:t></w:r>
</w:p>
<w:p>
<w:pPr><w:pStyle w:val="Normal"/></w:pPr>
<w:r><w:t xml:space="preserve">IMP.       Imperator, Imperium.</w:t></w:r>
</w:p>
<w:p>
<w:pPr><w:pStyle w:val="Normal"/></w:pPr>
<w:r><w:t xml:space="preserve">I.O.M.     Jovi optimo maximo.</w:t></w:r>
</w:p>
<w:p>
<w:pPr><w:pStyle w:val="Normal"/></w:pPr>
<w:r><w:t xml:space="preserve">I.P.       In publico, Intra provinciam, Justa persona.</w:t></w:r>
</w:p>
<w:p>
<w:pPr><w:pStyle w:val="Normal"/></w:pPr>
<w:r><w:t xml:space="preserve">I.S.V.P.   Impensa sua vivus posuit.</w:t></w:r>
</w:p>
<w:p>
<w:pPr><w:pStyle w:val="Normal"/></w:pPr>
<w:r><w:t xml:space="preserve">K.</w:t></w:r>
</w:p>
<w:p>
<w:pPr><w:pStyle w:val="Normal"/></w:pPr>
<w:r><w:t xml:space="preserve">K.         Kaeso, Caia, Calumnia, Caput, Carus, Castra.</w:t></w:r>
</w:p>
<w:p>
<w:pPr><w:pStyle w:val="Normal"/></w:pPr>
<w:r><w:t xml:space="preserve">K., KAL. and KL.   Kalendae.</w:t></w:r>
</w:p>
<w:p>
<w:pPr><w:pStyle w:val="Normal"/></w:pPr>
<w:r><w:t xml:space="preserve">L.</w:t></w:r>
</w:p>
<w:p>
<w:pPr><w:pStyle w:val="Heading1"/></w:pPr>
<w:r><w:t>L.         Laelius, Legio, Lex, Libens, Liber, Libra, Locus, Lollius,</w:t></w:r>
</w:p>
<w:p>
<w:pPr><w:pStyle w:val="Normal"/></w:pPr>
<w:r><w:t xml:space="preserve">Lucius, Ludus.</w:t></w:r>
</w:p>
<w:p>
<w:pPr><w:pStyle w:val="Normal"/></w:pPr>
<w:r><w:t xml:space="preserve">LB.        Libens, Liberi, Libertus.</w:t></w:r>
</w:p>
<w:p>
<w:pPr><w:pStyle w:val="Normal"/></w:pPr>
<w:r><w:t xml:space="preserve">L.D.D.D.   Locus datus decreto decurionum.</w:t></w:r>
</w:p>
<w:p>
<w:pPr><w:pStyle w:val="Normal"/></w:pPr>
<w:r><w:t xml:space="preserve">LEG.       Legatus, Legio.</w:t></w:r>
</w:p>
<w:p>
<w:pPr><w:pStyle w:val="Normal"/></w:pPr>
<w:r><w:t xml:space="preserve">LIB.       Liber, Liberalitas, Libertas, Libertus, Librarius.</w:t></w:r>
</w:p>
<w:p>
<w:pPr><w:pStyle w:val="Heading1"/></w:pPr>
<w:r><w:t>LL.        Leges, Libentissime, Liberti.</w:t></w:r>
</w:p>
<w:p>
<w:pPr><w:pStyle w:val="Normal"/></w:pPr>
<w:r><w:t xml:space="preserve">L.M.       Libens merito, Locus monumenti.</w:t></w:r>
</w:p>
<w:p>
<w:pPr><w:pStyle w:val="Normal"/></w:pPr>
<w:r><w:t xml:space="preserve">L.S.       Laribus sacrum, Libens solvit, Locus sacer.</w:t></w:r>
</w:p>
<w:p>
<w:pPr><w:pStyle w:val="Normal"/></w:pPr>
<w:r><w:t xml:space="preserve">LVD.       Ludus.</w:t></w:r>
</w:p>
<w:p>
<w:pPr><w:pStyle w:val="Normal"/></w:pPr>
<w:r><w:t xml:space="preserve">LV.P.F.    Ludos publicos fecit.</w:t></w:r>
</w:p>
<w:p>
<w:pPr><w:pStyle w:val="Normal"/></w:pPr>
<w:r><w:t xml:space="preserve">M.</w:t></w:r>
</w:p>
<w:p>
<w:pPr><w:pStyle w:val="Normal"/></w:pPr>
<w:r><w:t xml:space="preserve">M.         Magister, Magistratus, Magnus, Manes, Marcus, Marins,</w:t></w:r>
</w:p>
<w:p>
<w:pPr><w:pStyle w:val="Normal"/></w:pPr>
<w:r><w:t xml:space="preserve">Marti, Mater, Memoria, Mensis, Miles, Monumentum, Mortuus,</w:t></w:r>
</w:p>
<w:p>
<w:pPr><w:pStyle w:val="Normal"/></w:pPr>
<w:r><w:t xml:space="preserve">Mucius, Mulier.</w:t></w:r>
</w:p>
<w:p>
<w:pPr><w:pStyle w:val="Normal"/></w:pPr>
<w:r><w:t xml:space="preserve">M&apos;.        Manius.</w:t></w:r>
</w:p>
<w:p>
<w:pPr><w:pStyle w:val="Normal"/></w:pPr>
<w:r><w:t xml:space="preserve">M.D.       Magno Deo, Manibus diis, Matri deum, Merenti dedit.</w:t></w:r>
</w:p>
<w:p>
<w:pPr><w:pStyle w:val="Normal"/></w:pPr>
<w:r><w:t xml:space="preserve">MES.       Mensis. MESS. Menses.</w:t></w:r>
</w:p>
<w:p>
<w:pPr><w:pStyle w:val="Normal"/></w:pPr>
<w:r><w:t xml:space="preserve">M.F.       Mala fides, Marci filius, Monumentum fecit.</w:t></w:r>
</w:p>
<w:p>
<w:pPr><w:pStyle w:val="Normal"/></w:pPr>
<w:r><w:t xml:space="preserve">M.I.       Matri Idaeae, Matii Isidi, Maximo Jovi.</w:t></w:r>
</w:p>
<w:p>
<w:pPr><w:pStyle w:val="Normal"/></w:pPr>
<w:r><w:t xml:space="preserve">MNT. and      MON. Moneta.</w:t></w:r>
</w:p>
<w:p>
<w:pPr><w:pStyle w:val="Normal"/></w:pPr>
<w:r><w:t xml:space="preserve">M.P.       Male positus, Monumentum posuit.</w:t></w:r>
</w:p>
<w:p>
<w:pPr><w:pStyle w:val="Normal"/></w:pPr>
<w:r><w:t xml:space="preserve">M.S.       Manibus sacrum, Memoriae sacrum, Manu scriptum.</w:t></w:r>
</w:p>
<w:p>
<w:pPr><w:pStyle w:val="Normal"/></w:pPr>
<w:r><w:t xml:space="preserve">MVN.       Municeps, or municipium; so also MN., MV. and MVNIC.</w:t></w:r>
</w:p>
<w:p>
<w:pPr><w:pStyle w:val="Normal"/></w:pPr>
<w:r><w:t xml:space="preserve">M.V.S.     Marti ultori sacrum, Merito votum solvit.</w:t></w:r>
</w:p>
<w:p>
<w:pPr><w:pStyle w:val="Normal"/></w:pPr>
<w:r><w:t xml:space="preserve">N.</w:t></w:r>
</w:p>
<w:p>
<w:pPr><w:pStyle w:val="Normal"/></w:pPr>
<w:r><w:t xml:space="preserve">N.         Natio, Natus, Nefastus (dies), Nepos, Neptunus, Nero,</w:t></w:r>
</w:p>
<w:p>
<w:pPr><w:pStyle w:val="Normal"/></w:pPr>
<w:r><w:t xml:space="preserve">Nomen, Non, Nonae, Noster, Novus, Numen, Numerius,</w:t></w:r>
</w:p>
<w:p>
<w:pPr><w:pStyle w:val="Normal"/></w:pPr>
<w:r><w:t xml:space="preserve">Numerus, Nummus.</w:t></w:r>
</w:p>
<w:p>
<w:pPr><w:pStyle w:val="Normal"/></w:pPr>
<w:r><w:t xml:space="preserve">NEP.       Nepos, Neptunus.</w:t></w:r>
</w:p>
<w:p>
<w:pPr><w:pStyle w:val="Normal"/></w:pPr>
<w:r><w:t xml:space="preserve">N.F.C.     Nostrae fidei commissum.</w:t></w:r>
</w:p>
<w:p>
<w:pPr><w:pStyle w:val="Normal"/></w:pPr>
<w:r><w:t xml:space="preserve">N.L.       Non licet, Non liquet, Non longe.</w:t></w:r>
</w:p>
<w:p>
<w:pPr><w:pStyle w:val="Normal"/></w:pPr>
<w:r><w:t xml:space="preserve">N.M.V.     Nobilis memoriae vir.</w:t></w:r>
</w:p>
<w:p>
<w:pPr><w:pStyle w:val="Normal"/></w:pPr>
<w:r><w:t xml:space="preserve">NN.        Nostri. NN., NNO. and NNR. Nostrorum.</w:t></w:r>
</w:p>
<w:p>
<w:pPr><w:pStyle w:val="Normal"/></w:pPr>
<w:r><w:t xml:space="preserve">NOB.       Nobilis. NOB., NOBR. and NOV. Novembris.</w:t></w:r>
</w:p>
<w:p>
<w:pPr><w:pStyle w:val="Normal"/></w:pPr>
<w:r><w:t xml:space="preserve">N.P.       Nefastus primo (i.e. priore parto diei), Non potest.</w:t></w:r>
</w:p>
<w:p>
<w:pPr><w:pStyle w:val="Normal"/></w:pPr>
<w:r><w:t xml:space="preserve">O.</w:t></w:r>
</w:p>
<w:p>
<w:pPr><w:pStyle w:val="Normal"/></w:pPr>
<w:r><w:t xml:space="preserve">O.         Ob, Officium, Omnis, Oportet, Optimus, Opus, Ossa.</w:t></w:r>
</w:p>
<w:p>
<w:pPr><w:pStyle w:val="Normal"/></w:pPr>
<w:r><w:t xml:space="preserve">OB.        Obiit, Obiter, Orbis.</w:t></w:r>
</w:p>
<w:p>
<w:pPr><w:pStyle w:val="Normal"/></w:pPr>
<w:r><w:t xml:space="preserve">O.C.S.     Ob cives servatos.</w:t></w:r>
</w:p>
<w:p>
<w:pPr><w:pStyle w:val="Normal"/></w:pPr>
<w:r><w:t xml:space="preserve">O.H.F.     Omnibus honoribus functus.</w:t></w:r>
</w:p>
<w:p>
<w:pPr><w:pStyle w:val="Normal"/></w:pPr>
<w:r><w:t xml:space="preserve">O.H.S.S.   Ossa hic sita sunt.</w:t></w:r>
</w:p>
<w:p>
<w:pPr><w:pStyle w:val="Normal"/></w:pPr>
<w:r><w:t xml:space="preserve">OR. Hora,  Ordo, Ornamentum.</w:t></w:r>
</w:p>
<w:p>
<w:pPr><w:pStyle w:val="Normal"/></w:pPr>
<w:r><w:t xml:space="preserve">O.T.B.Q.   Ossa tua bene quiescant.</w:t></w:r>
</w:p>
<w:p>
<w:pPr><w:pStyle w:val="Normal"/></w:pPr>
<w:r><w:t xml:space="preserve">P.</w:t></w:r>
</w:p>
<w:p>
<w:pPr><w:pStyle w:val="Normal"/></w:pPr>
<w:r><w:t xml:space="preserve">P.         Pars, Passus, Pater, Patronus, Pax, Perpetuus, Pes, Pius,</w:t></w:r>
</w:p>
<w:p>
<w:pPr><w:pStyle w:val="Normal"/></w:pPr>
<w:r><w:t xml:space="preserve">Plebs, Pondo, Populus, Post, Posuit, Praeses, Praetor,</w:t></w:r>
</w:p>
<w:p>
<w:pPr><w:pStyle w:val="Normal"/></w:pPr>
<w:r><w:t xml:space="preserve">Primus, Pro, Provincia, Publicus, Publius, Puer.</w:t></w:r>
</w:p>
<w:p>
<w:pPr><w:pStyle w:val="Normal"/></w:pPr>
<w:r><w:t xml:space="preserve">P.C.       Pactum conventum, Patres conscripti, Pecunia constituta,</w:t></w:r>
</w:p>
<w:p>
<w:pPr><w:pStyle w:val="Normal"/></w:pPr>
<w:r><w:t xml:space="preserve">Ponendum curavit, Post consulatum, Potestate censoria.</w:t></w:r>
</w:p>
<w:p>
<w:pPr><w:pStyle w:val="Normal"/></w:pPr>
<w:r><w:t xml:space="preserve">P.F.       Pia fidelis, Pius felix, Promissa fides, Publii filius.</w:t></w:r>
</w:p>
<w:p>
<w:pPr><w:pStyle w:val="Normal"/></w:pPr>
<w:r><w:t xml:space="preserve">P.M.       Piae memoriae, Pius minus, Pontifex maximus.</w:t></w:r>
</w:p>
<w:p>
<w:pPr><w:pStyle w:val="Normal"/></w:pPr>
<w:r><w:t xml:space="preserve">P.P.       Pater patratus, Pater patriae, Pecunia publica, Praepositus,</w:t></w:r>
</w:p>
<w:p>
<w:pPr><w:pStyle w:val="Normal"/></w:pPr>
<w:r><w:t xml:space="preserve">Primipilus, Propraetor.</w:t></w:r>
</w:p>
<w:p>
<w:pPr><w:pStyle w:val="Normal"/></w:pPr>
<w:r><w:t xml:space="preserve">PR.        Praeses, Praetor, Pridie, Princeps.</w:t></w:r>
</w:p>
<w:p>
<w:pPr><w:pStyle w:val="Normal"/></w:pPr>
<w:r><w:t xml:space="preserve">P.R.       Permissu reipublicae, Populus Romanus.</w:t></w:r>
</w:p>
<w:p>
<w:pPr><w:pStyle w:val="Normal"/></w:pPr>
<w:r><w:t xml:space="preserve">P.R.C.     Post Romam conditam.</w:t></w:r>
</w:p>
<w:p>
<w:pPr><w:pStyle w:val="Normal"/></w:pPr>
<w:r><w:t xml:space="preserve">PR.PR.     Praefectus praetorii, Propraetor.</w:t></w:r>
</w:p>
<w:p>
<w:pPr><w:pStyle w:val="Normal"/></w:pPr>
<w:r><w:t xml:space="preserve">P.S.       Pecunia sua, Plebiscitum, Proprio sumptu, Publicae saluti.</w:t></w:r>
</w:p>
<w:p>
<w:pPr><w:pStyle w:val="Normal"/></w:pPr>
<w:r><w:t xml:space="preserve">P.V.       Pia victrix, praefectus urbi, Praestantissimus vir.</w:t></w:r>
</w:p>
<w:p>
<w:pPr><w:pStyle w:val="Normal"/></w:pPr>
<w:r><w:t xml:space="preserve">Q.</w:t></w:r>
</w:p>
<w:p>
<w:pPr><w:pStyle w:val="Normal"/></w:pPr>
<w:r><w:t xml:space="preserve">Q.         Quaestor, Quando, Quantus, Que, Qui, Quinquennalis,</w:t></w:r>
</w:p>
<w:p>
<w:pPr><w:pStyle w:val="Normal"/></w:pPr>
<w:r><w:t xml:space="preserve">Quintus, Quirites.</w:t></w:r>
</w:p>
<w:p>
<w:pPr><w:pStyle w:val="Normal"/></w:pPr>
<w:r><w:t xml:space="preserve">Q.D.R.     Qua de re.</w:t></w:r>
</w:p>
<w:p>
<w:pPr><w:pStyle w:val="Normal"/></w:pPr>
<w:r><w:t xml:space="preserve">Q.I.S.S.   Quae infra scripta sunt; so Q.S.S.S. Quae supra, &amp;c.</w:t></w:r>
</w:p>
<w:p>
<w:pPr><w:pStyle w:val="Normal"/></w:pPr>
<w:r><w:t xml:space="preserve">QQ.        Quaecunque, Quinquennalis, Quoque.</w:t></w:r>
</w:p>
<w:p>
<w:pPr><w:pStyle w:val="Normal"/></w:pPr>
<w:r><w:t xml:space="preserve">Q.R.       Quaestor reipublicae.</w:t></w:r>
</w:p>
<w:p>
<w:pPr><w:pStyle w:val="Normal"/></w:pPr>
<w:r><w:t xml:space="preserve">R.</w:t></w:r>
</w:p>
<w:p>
<w:pPr><w:pStyle w:val="Normal"/></w:pPr>
<w:r><w:t xml:space="preserve">R.         Recte, Res, Respublica, Retro, Rex, Ripa, Roma, Romanus,</w:t></w:r>
</w:p>
<w:p>
<w:pPr><w:pStyle w:val="Normal"/></w:pPr>
<w:r><w:t xml:space="preserve">Rufus, Rursus.</w:t></w:r>
</w:p>
<w:p>
<w:pPr><w:pStyle w:val="Normal"/></w:pPr>
<w:r><w:t xml:space="preserve">R.C.       Romana civitas, Romanus civis.</w:t></w:r>
</w:p>
<w:p>
<w:pPr><w:pStyle w:val="Normal"/></w:pPr>
<w:r><w:t xml:space="preserve">RESP. and RP.       Respublica.</w:t></w:r>
</w:p>
<w:p>
<w:pPr><w:pStyle w:val="Normal"/></w:pPr>
<w:r><w:t xml:space="preserve">RET.P. and RP.      Retro pedes.</w:t></w:r>
</w:p>
<w:p>
<w:pPr><w:pStyle w:val="Normal"/></w:pPr>
<w:r><w:t xml:space="preserve">S.</w:t></w:r>
</w:p>
<w:p>
<w:pPr><w:pStyle w:val="Normal"/></w:pPr>
<w:r><w:t xml:space="preserve">S.         Sacrum, Scriptus, Semis, Senatus, Sepultus, Servius,</w:t></w:r>
</w:p>
<w:p>
<w:pPr><w:pStyle w:val="Normal"/></w:pPr>
<w:r><w:t xml:space="preserve">Servus, Sextus, Sibi, Sine, Situs, Solus, Solvit, Sub, Suus.</w:t></w:r>
</w:p>
<w:p>
<w:pPr><w:pStyle w:val="Normal"/></w:pPr>
<w:r><w:t xml:space="preserve">SAC.       Sacerdos, Sacrificium, Sacrum.</w:t></w:r>
</w:p>
<w:p>
<w:pPr><w:pStyle w:val="Normal"/></w:pPr>
<w:r><w:t xml:space="preserve">S.C.       Senatus consultum.</w:t></w:r>
</w:p>
<w:p>
<w:pPr><w:pStyle w:val="Normal"/></w:pPr>
<w:r><w:t xml:space="preserve">S.D.       Sacrum diis, Salutem dicit, Senatus decreto, Sententiam</w:t></w:r>
</w:p>
<w:p>
<w:pPr><w:pStyle w:val="Normal"/></w:pPr>
<w:r><w:t xml:space="preserve">S.D.M.       Sacrum diis Manibus, Sine dolo malo.</w:t></w:r>
</w:p>
<w:p>
<w:pPr><w:pStyle w:val="Normal"/></w:pPr>
<w:r><w:t xml:space="preserve">SER.       Servius, Servus.</w:t></w:r>
</w:p>
<w:p>
<w:pPr><w:pStyle w:val="Normal"/></w:pPr>
<w:r><w:t xml:space="preserve">S.E.T.L.   Sit ei terra levis.</w:t></w:r>
</w:p>
<w:p>
<w:pPr><w:pStyle w:val="Normal"/></w:pPr>
<w:r><w:t xml:space="preserve">SN.        Senatus, Sententia, Sine.</w:t></w:r>
</w:p>
<w:p>
<w:pPr><w:pStyle w:val="Normal"/></w:pPr>
<w:r><w:t xml:space="preserve">S.P.       Sacerdos perpetua, Sine pecunia, Sua pecunia.</w:t></w:r>
</w:p>
<w:p>
<w:pPr><w:pStyle w:val="Normal"/></w:pPr>
<w:r><w:t xml:space="preserve">S.P.Q.R.   Senatus populusque Romanus.</w:t></w:r>
</w:p>
<w:p>
<w:pPr><w:pStyle w:val="Normal"/></w:pPr>
<w:r><w:t xml:space="preserve">S.S.       Sanctissimus senatus, Supra scripture.</w:t></w:r>
</w:p>
<w:p>
<w:pPr><w:pStyle w:val="Normal"/></w:pPr>
<w:r><w:t xml:space="preserve">S.V.B.E.E.Q.V.          Si vales bene est, ego quidem valeo.</w:t></w:r>
</w:p>
<w:p>
<w:pPr><w:pStyle w:val="Normal"/></w:pPr>
<w:r><w:t xml:space="preserve">T.</w:t></w:r>
</w:p>
<w:p>
<w:pPr><w:pStyle w:val="Normal"/></w:pPr>
<w:r><w:t xml:space="preserve">T.         Terminus, Testamentum, Titus, Tribunus, Tu, Turma, Tutor.</w:t></w:r>
</w:p>
<w:p>
<w:pPr><w:pStyle w:val="Normal"/></w:pPr>
<w:r><w:t xml:space="preserve">TB., TI. and TIB.   Tiberius.</w:t></w:r>
</w:p>
<w:p>
<w:pPr><w:pStyle w:val="Normal"/></w:pPr>
<w:r><w:t xml:space="preserve">TB., TR. and TRB.   Tribunus.</w:t></w:r>
</w:p>
<w:p>
<w:pPr><w:pStyle w:val="Normal"/></w:pPr>
<w:r><w:t xml:space="preserve">T.F.       Testamentum fecit, Titi filius, Titulum fecit, Titus Flavius.</w:t></w:r>
</w:p>
<w:p>
<w:pPr><w:pStyle w:val="Normal"/></w:pPr>
<w:r><w:t xml:space="preserve">TM.        Terminus, Testamentum, Thermae.</w:t></w:r>
</w:p>
<w:p>
<w:pPr><w:pStyle w:val="Normal"/></w:pPr>
<w:r><w:t xml:space="preserve">T.P.       Terminum posuit, Tribunicia potestate, Tribunus plebis.</w:t></w:r>
</w:p>
<w:p>
<w:pPr><w:pStyle w:val="Normal"/></w:pPr>
<w:r><w:t xml:space="preserve">TVL.       Tullius, Tunus.</w:t></w:r>
</w:p>
<w:p>
<w:pPr><w:pStyle w:val="Normal"/></w:pPr>
<w:r><w:t xml:space="preserve">V.</w:t></w:r>
</w:p>
<w:p>
<w:pPr><w:pStyle w:val="Heading1"/></w:pPr>
<w:r><w:t>V.         Urbs, Usus, Uxor, Vale, Verba, Vestalis, Vester, Vir, Vivus,</w:t></w:r>
</w:p>
<w:p>
<w:pPr><w:pStyle w:val="Normal"/></w:pPr>
<w:r><w:t xml:space="preserve">Vixit, Volo, Votum.</w:t></w:r>
</w:p>
<w:p>
<w:pPr><w:pStyle w:val="Normal"/></w:pPr>
<w:r><w:t xml:space="preserve">VA.        Veterano assignatus, Vixit annos.</w:t></w:r>
</w:p>
<w:p>
<w:pPr><w:pStyle w:val="Normal"/></w:pPr>
<w:r><w:t xml:space="preserve">V.C.       Vale conjux, Vir clarissimus, Vir consularis.</w:t></w:r>
</w:p>
<w:p>
<w:pPr><w:pStyle w:val="Normal"/></w:pPr>
<w:r><w:t xml:space="preserve">V.E.       Verum etiam, Vir egregius, Visum est.</w:t></w:r>
</w:p>
<w:p>
<w:pPr><w:pStyle w:val="Normal"/></w:pPr>
<w:r><w:t xml:space="preserve">V.F.       Usus fructus, Verba fecit, Vivus fecit.</w:t></w:r>
</w:p>
<w:p>
<w:pPr><w:pStyle w:val="Normal"/></w:pPr>
<w:r><w:t xml:space="preserve">V.P.       Urbis praefectus, Vir perfectissimus, Vivus posuit.</w:t></w:r>
</w:p>
<w:p>
<w:pPr><w:pStyle w:val="Normal"/></w:pPr>
<w:r><w:t xml:space="preserve">V.R.       Urbs Roma, Uti rogas, Votum reddidit.</w:t></w:r>
</w:p>
<w:p>
<w:pPr><w:pStyle w:val="Heading1"/></w:pPr>
<w:r><w:t>II. MEDIEVAL ABBREVIATIONS.--Of the different kinds of</w:t></w:r>
</w:p>
<w:p>
<w:pPr><w:pStyle w:val="Normal"/></w:pPr>
<w:r><w:t xml:space="preserve">abbreviations in use in the middle ages, the following are</w:t></w:r>
</w:p>
<w:p>
<w:pPr><w:pStyle w:val="Normal"/></w:pPr>
<w:r><w:t xml:space="preserve">examples:--</w:t></w:r>
</w:p>
<w:p>
<w:pPr><w:pStyle w:val="Normal"/></w:pPr>
<w:r><w:t xml:space="preserve">A.M.       Ave Maria.</w:t></w:r>
</w:p>
<w:p>
<w:pPr><w:pStyle w:val="Normal"/></w:pPr>
<w:r><w:t xml:space="preserve">B.P.       Beatus Paulus, Beatus Petrus. .</w:t></w:r>
</w:p>
<w:p>
<w:pPr><w:pStyle w:val="Heading1"/></w:pPr>
<w:r><w:t>CC.        Carissimus (atso plur. Carissimi), Clarissimus, Circum.</w:t></w:r>
</w:p>
<w:p>
<w:pPr><w:pStyle w:val="Normal"/></w:pPr>
<w:r><w:t xml:space="preserve">D.         Deus, Dominicus, Dux.</w:t></w:r>
</w:p>
<w:p>
<w:pPr><w:pStyle w:val="Normal"/></w:pPr>
<w:r><w:t xml:space="preserve">D.N.PP.    Dominus hoster Papa.</w:t></w:r>
</w:p>
<w:p>
<w:pPr><w:pStyle w:val="Normal"/></w:pPr>
<w:r><w:t xml:space="preserve">U.F.       Felicissimus, Fratres, Pandectae (prob. for Gr. II).</w:t></w:r>
</w:p>
<w:p>
<w:pPr><w:pStyle w:val="Normal"/></w:pPr>
<w:r><w:t xml:space="preserve">I.C. or I.X.    Jesus Christus.</w:t></w:r>
</w:p>
<w:p>
<w:pPr><w:pStyle w:val="Normal"/></w:pPr>
<w:r><w:t xml:space="preserve">I.D.N.     In Dei nomine.</w:t></w:r>
</w:p>
<w:p>
<w:pPr><w:pStyle w:val="Normal"/></w:pPr>
<w:r><w:t xml:space="preserve">KK.        Karissimus (or-mi).</w:t></w:r>
</w:p>
<w:p>
<w:pPr><w:pStyle w:val="Normal"/></w:pPr>
<w:r><w:t xml:space="preserve">MM.        Magistri, Martyres, Matrimonium, Meritissimus.</w:t></w:r>
</w:p>
<w:p>
<w:pPr><w:pStyle w:val="Normal"/></w:pPr>
<w:r><w:t xml:space="preserve">O.S.B.     Ordinis Sancti Benedicti.</w:t></w:r>
</w:p>
<w:p>
<w:pPr><w:pStyle w:val="Normal"/></w:pPr>
<w:r><w:t xml:space="preserve">PP.        Papa, Patres, Piissimus.</w:t></w:r>
</w:p>
<w:p>
<w:pPr><w:pStyle w:val="Normal"/></w:pPr>
<w:r><w:t xml:space="preserve">R.F.       Rex Francorum.</w:t></w:r>
</w:p>
<w:p>
<w:pPr><w:pStyle w:val="Normal"/></w:pPr>
<w:r><w:t xml:space="preserve">R.P.D.     Reverendissimus Pater Dominus.</w:t></w:r>
</w:p>
<w:p>
<w:pPr><w:pStyle w:val="Normal"/></w:pPr>
<w:r><w:t xml:space="preserve">S.C.M.     Sacra Caesarea Majestas.</w:t></w:r>
</w:p>
<w:p>
<w:pPr><w:pStyle w:val="Normal"/></w:pPr>
<w:r><w:t xml:space="preserve">S.M.E.     Sancta Mater Ecclesia.</w:t></w:r>
</w:p>
<w:p>
<w:pPr><w:pStyle w:val="Normal"/></w:pPr>
<w:r><w:t xml:space="preserve">S.M.M.     Sancta Mater Maria.</w:t></w:r>
</w:p>
<w:p>
<w:pPr><w:pStyle w:val="Normal"/></w:pPr>
<w:r><w:t xml:space="preserve">S.R.I.     Sanctum Romanum Imperium.</w:t></w:r>
</w:p>
<w:p>
<w:pPr><w:pStyle w:val="Normal"/></w:pPr>
<w:r><w:t xml:space="preserve">S.V.       Sanctitas Vestra, Sancta Virgo.</w:t></w:r>
</w:p>
<w:p>
<w:pPr><w:pStyle w:val="Heading1"/></w:pPr>
<w:r><w:t>V.         Venerabilis, Venerandus. .</w:t></w:r>
</w:p>
<w:p>
<w:pPr><w:pStyle w:val="Normal"/></w:pPr>
<w:r><w:t xml:space="preserve">V.R.P.     Vestra Reverendissima Paternitas.</w:t></w:r>
</w:p>
<w:p>
<w:pPr><w:pStyle w:val="Heading1"/></w:pPr>
<w:r><w:t>III. ABBREVIATIONS NOW IN USE.--The import of these</w:t></w:r>
</w:p>
<w:p>
<w:pPr><w:pStyle w:val="Normal"/></w:pPr>
<w:r><w:t xml:space="preserve">will often be readily understood from the connexion in which</w:t></w:r>
</w:p>
<w:p>
<w:pPr><w:pStyle w:val="Normal"/></w:pPr>
<w:r><w:t xml:space="preserve">they occur. There is no occasion to explain here the common</w:t></w:r>
</w:p>
<w:p>
<w:pPr><w:pStyle w:val="Normal"/></w:pPr>
<w:r><w:t xml:space="preserve">abbreviations used for Christian names, books of Scripture,</w:t></w:r>
</w:p>
<w:p>
<w:pPr><w:pStyle w:val="Normal"/></w:pPr>
<w:r><w:t xml:space="preserve">months of the year, points of the compass, grammatical and</w:t></w:r>
</w:p>
<w:p>
<w:pPr><w:pStyle w:val="Normal"/></w:pPr>
<w:r><w:t xml:space="preserve">mathematical terms, or familiar titles, like ``Mr,&apos;&apos; &amp;c.</w:t></w:r>
</w:p>
<w:p>
<w:pPr><w:pStyle w:val="Normal"/></w:pPr>
<w:r><w:t xml:space="preserve">The ordinary abbreviations, now or recently in use, may</w:t></w:r>
</w:p>
<w:p>
<w:pPr><w:pStyle w:val="Normal"/></w:pPr>
<w:r><w:t xml:space="preserve">be conveniently classified under the following headings:-</w:t></w:r>
</w:p>
<w:p>
<w:pPr><w:pStyle w:val="Heading1"/></w:pPr>
<w:r><w:t>I. ABBREVIATED TITLES AND DESIGNATIONS.</w:t></w:r>
</w:p>
<w:p>
<w:pPr><w:pStyle w:val="Normal"/></w:pPr>
<w:r><w:t xml:space="preserve">A.A.       Associate of Arts.</w:t></w:r>
</w:p>
<w:p>
<w:pPr><w:pStyle w:val="Normal"/></w:pPr>
<w:r><w:t xml:space="preserve">A.B.       Able-bodied seaman; (in America) Bachelor of Arts.</w:t></w:r>
</w:p>
<w:p>
<w:pPr><w:pStyle w:val="Normal"/></w:pPr>
<w:r><w:t xml:space="preserve">A.D.C.     Aide-de-Camp.</w:t></w:r>
</w:p>
<w:p>
<w:pPr><w:pStyle w:val="Normal"/></w:pPr>
<w:r><w:t xml:space="preserve">A.M.       (Artium Magister), Master of Arts.</w:t></w:r>
</w:p>
<w:p>
<w:pPr><w:pStyle w:val="Normal"/></w:pPr>
<w:r><w:t xml:space="preserve">A.R.A.     Associate of the Royal Academy.</w:t></w:r>
</w:p>
<w:p>
<w:pPr><w:pStyle w:val="Normal"/></w:pPr>
<w:r><w:t xml:space="preserve">A.R.I.B.A. Associate of the Royal Institution of British Architects.</w:t></w:r>
</w:p>
<w:p>
<w:pPr><w:pStyle w:val="Normal"/></w:pPr>
<w:r><w:t xml:space="preserve">A.R.S.A.   Associate of the Royal Scottish Academy.</w:t></w:r>
</w:p>
<w:p>
<w:pPr><w:pStyle w:val="Normal"/></w:pPr>
<w:r><w:t xml:space="preserve">B.A.       Bachelor of Arts.</w:t></w:r>
</w:p>
<w:p>
<w:pPr><w:pStyle w:val="Normal"/></w:pPr>
<w:r><w:t xml:space="preserve">Bart.      Baronet.</w:t></w:r>
</w:p>
<w:p>
<w:pPr><w:pStyle w:val="Normal"/></w:pPr>
<w:r><w:t xml:space="preserve">B.C.L.     Bachelor of Civil Law.</w:t></w:r>
</w:p>
<w:p>
<w:pPr><w:pStyle w:val="Normal"/></w:pPr>
<w:r><w:t xml:space="preserve">B.D.       Bachelor of Divinty.</w:t></w:r>
</w:p>
<w:p>
<w:pPr><w:pStyle w:val="Normal"/></w:pPr>
<w:r><w:t xml:space="preserve">B.LL.      Bachelor of Laws.</w:t></w:r>
</w:p>
<w:p>
<w:pPr><w:pStyle w:val="Normal"/></w:pPr>
<w:r><w:t xml:space="preserve">B.Sc.      Bachelor of Science.</w:t></w:r>
</w:p>
<w:p>
<w:pPr><w:pStyle w:val="Heading1"/></w:pPr>
<w:r><w:t>C.         Chairman.</w:t></w:r>
</w:p>
<w:p>
<w:pPr><w:pStyle w:val="Normal"/></w:pPr>
<w:r><w:t xml:space="preserve">C.A.       Chartered Accountant.</w:t></w:r>
</w:p>
<w:p>
<w:pPr><w:pStyle w:val="Normal"/></w:pPr>
<w:r><w:t xml:space="preserve">C.B.       Companion of the Bath.</w:t></w:r>
</w:p>
<w:p>
<w:pPr><w:pStyle w:val="Normal"/></w:pPr>
<w:r><w:t xml:space="preserve">C.E.       Civil Engineer.</w:t></w:r>
</w:p>
<w:p>
<w:pPr><w:pStyle w:val="Normal"/></w:pPr>
<w:r><w:t xml:space="preserve">C.I.E.     Companion of the Order of the Indian Empire.</w:t></w:r>
</w:p>
<w:p>
<w:pPr><w:pStyle w:val="Normal"/></w:pPr>
<w:r><w:t xml:space="preserve">C.M.       (Chirurgiae Magister), Master in Surgery.</w:t></w:r>
</w:p>
<w:p>
<w:pPr><w:pStyle w:val="Normal"/></w:pPr>
<w:r><w:t xml:space="preserve">C.M.G.     Companion of St Michael and St George.</w:t></w:r>
</w:p>
<w:p>
<w:pPr><w:pStyle w:val="Normal"/></w:pPr>
<w:r><w:t xml:space="preserve">C.S.I.     Companion of the Star of India.</w:t></w:r>
</w:p>
<w:p>
<w:pPr><w:pStyle w:val="Normal"/></w:pPr>
<w:r><w:t xml:space="preserve">D.C.L.     Doctor of Civil Law.</w:t></w:r>
</w:p>
<w:p>
<w:pPr><w:pStyle w:val="Normal"/></w:pPr>
<w:r><w:t xml:space="preserve">D.D.       Doctor of Divinity.</w:t></w:r>
</w:p>
<w:p>
<w:pPr><w:pStyle w:val="Normal"/></w:pPr>
<w:r><w:t xml:space="preserve">D.Lit. or Litt. D.   Doctor of Literature.</w:t></w:r>
</w:p>
<w:p>
<w:pPr><w:pStyle w:val="Normal"/></w:pPr>
<w:r><w:t xml:space="preserve">D.M.       Doctor of Medicine (Oxford).</w:t></w:r>
</w:p>
<w:p>
<w:pPr><w:pStyle w:val="Normal"/></w:pPr>
<w:r><w:t xml:space="preserve">D.Sc.      Doctor of Science.</w:t></w:r>
</w:p>
<w:p>
<w:pPr><w:pStyle w:val="Normal"/></w:pPr>
<w:r><w:t xml:space="preserve">D.S.O.     Distinguished Service Order.</w:t></w:r>
</w:p>
<w:p>
<w:pPr><w:pStyle w:val="Normal"/></w:pPr>
<w:r><w:t xml:space="preserve">Ebor.      (Eboracensis) of York.2</w:t></w:r>
</w:p>
<w:p>
<w:pPr><w:pStyle w:val="Normal"/></w:pPr>
<w:r><w:t xml:space="preserve">F.C.S.     Fellow of the Chemical Society.</w:t></w:r>
</w:p>
<w:p>
<w:pPr><w:pStyle w:val="Normal"/></w:pPr>
<w:r><w:t xml:space="preserve">F.D.       (Fidei Defensor), Defender of the Faith.</w:t></w:r>
</w:p>
<w:p>
<w:pPr><w:pStyle w:val="Normal"/></w:pPr>
<w:r><w:t xml:space="preserve">F.F.P.S.   Fellow of the Faculty of Physicians and Surgeons (Glasgow)</w:t></w:r>
</w:p>
<w:p>
<w:pPr><w:pStyle w:val="Normal"/></w:pPr>
<w:r><w:t xml:space="preserve">F.G.S.     Fellow of the Geological Society.</w:t></w:r>
</w:p>
<w:p>
<w:pPr><w:pStyle w:val="Normal"/></w:pPr>
<w:r><w:t xml:space="preserve">F.K.Q.C.P.I.             Fellow of King and Queen&apos;s College of Physicians</w:t></w:r>
</w:p>
<w:p>
<w:pPr><w:pStyle w:val="Normal"/></w:pPr>
<w:r><w:t xml:space="preserve">in Ireland.</w:t></w:r>
</w:p>
<w:p>
<w:pPr><w:pStyle w:val="Normal"/></w:pPr>
<w:r><w:t xml:space="preserve">F.L.S.     Fellow of the Linnaean Society.</w:t></w:r>
</w:p>
<w:p>
<w:pPr><w:pStyle w:val="Normal"/></w:pPr>
<w:r><w:t xml:space="preserve">F.M.       Field Marshal.</w:t></w:r>
</w:p>
<w:p>
<w:pPr><w:pStyle w:val="Normal"/></w:pPr>
<w:r><w:t xml:space="preserve">F.P.S.     Fellow of the Philological Society.</w:t></w:r>
</w:p>
<w:p>
<w:pPr><w:pStyle w:val="Normal"/></w:pPr>
<w:r><w:t xml:space="preserve">F.R.A.S.   Fellow of the Royal Astronomical Society.</w:t></w:r>
</w:p>
<w:p>
<w:pPr><w:pStyle w:val="Normal"/></w:pPr>
<w:r><w:t xml:space="preserve">F.R C.P.   Fellow of the Royal College of Physicians.</w:t></w:r>
</w:p>
<w:p>
<w:pPr><w:pStyle w:val="Normal"/></w:pPr>
<w:r><w:t xml:space="preserve">F.R.C.P.E. Fellow of the Royal College of Physicians of Edinburgh.</w:t></w:r>
</w:p>
<w:p>
<w:pPr><w:pStyle w:val="Normal"/></w:pPr>
<w:r><w:t xml:space="preserve">F.R.C.S.   Fellow of the Royal College of Surgeons.</w:t></w:r>
</w:p>
<w:p>
<w:pPr><w:pStyle w:val="Normal"/></w:pPr>
<w:r><w:t xml:space="preserve">F.R.G.S.   Fellow of the Royal Geographical Society.</w:t></w:r>
</w:p>
<w:p>
<w:pPr><w:pStyle w:val="Normal"/></w:pPr>
<w:r><w:t xml:space="preserve">F.R.H.S.   Fellow of the Royal Horticultural Society.</w:t></w:r>
</w:p>
<w:p>
<w:pPr><w:pStyle w:val="Normal"/></w:pPr>
<w:r><w:t xml:space="preserve">F.R.Hist.Soc.            Fellow of the Royal Historical Society.</w:t></w:r>
</w:p>
<w:p>
<w:pPr><w:pStyle w:val="Normal"/></w:pPr>
<w:r><w:t xml:space="preserve">F.R.I.B.A. Fellow of the Royal Institution of British Architects.</w:t></w:r>
</w:p>
<w:p>
<w:pPr><w:pStyle w:val="Normal"/></w:pPr>
<w:r><w:t xml:space="preserve">F.R.S.     Fellow of the Royal Society.</w:t></w:r>
</w:p>
<w:p>
<w:pPr><w:pStyle w:val="Normal"/></w:pPr>
<w:r><w:t xml:space="preserve">F.R.S.E.   Fellow of the Royal Society of Edinburgh.</w:t></w:r>
</w:p>
<w:p>
<w:pPr><w:pStyle w:val="Normal"/></w:pPr>
<w:r><w:t xml:space="preserve">F.R.S.L.   Fellow of the Royal Society of Literature.</w:t></w:r>
</w:p>
<w:p>
<w:pPr><w:pStyle w:val="Normal"/></w:pPr>
<w:r><w:t xml:space="preserve">F.S.A.     Fellow of the Society of Antiquaries.</w:t></w:r>
</w:p>
<w:p>
<w:pPr><w:pStyle w:val="Normal"/></w:pPr>
<w:r><w:t xml:space="preserve">F.S.S.     Fellow of the Statistical Society.</w:t></w:r>
</w:p>
<w:p>
<w:pPr><w:pStyle w:val="Normal"/></w:pPr>
<w:r><w:t xml:space="preserve">F.Z.S.     Fellow of the Zoological Society.</w:t></w:r>
</w:p>
<w:p>
<w:pPr><w:pStyle w:val="Normal"/></w:pPr>
<w:r><w:t xml:space="preserve">G.C.B.     Knight Grand Cross of the Bath.</w:t></w:r>
</w:p>
<w:p>
<w:pPr><w:pStyle w:val="Normal"/></w:pPr>
<w:r><w:t xml:space="preserve">G.C.H.     Knight Grand Cross of Hanover.</w:t></w:r>
</w:p>
<w:p>
<w:pPr><w:pStyle w:val="Normal"/></w:pPr>
<w:r><w:t xml:space="preserve">G.C.I.E.   Knight Grand Commander of the Order of the Indian</w:t></w:r>
</w:p>
<w:p>
<w:pPr><w:pStyle w:val="Normal"/></w:pPr>
<w:r><w:t xml:space="preserve">Empire.</w:t></w:r>
</w:p>
<w:p>
<w:pPr><w:pStyle w:val="Normal"/></w:pPr>
<w:r><w:t xml:space="preserve">G.C.M.G.   Knight Grand Cross of St Michael and St George.</w:t></w:r>
</w:p>
<w:p>
<w:pPr><w:pStyle w:val="Normal"/></w:pPr>
<w:r><w:t xml:space="preserve">G.C.S.I.   Knight Grand Commander of the Star of india.</w:t></w:r>
</w:p>
<w:p>
<w:pPr><w:pStyle w:val="Normal"/></w:pPr>
<w:r><w:t xml:space="preserve">G.C.V.O.   Knight Grand Commander of the Victorian Order.</w:t></w:r>
</w:p>
<w:p>
<w:pPr><w:pStyle w:val="Normal"/></w:pPr>
<w:r><w:t xml:space="preserve">H.H.       His or Her Highness.</w:t></w:r>
</w:p>
<w:p>
<w:pPr><w:pStyle w:val="Normal"/></w:pPr>
<w:r><w:t xml:space="preserve">H.I.H.     His or Her Imperial Highness.</w:t></w:r>
</w:p>
<w:p>
<w:pPr><w:pStyle w:val="Normal"/></w:pPr>
<w:r><w:t xml:space="preserve">H.I.M.     His or Her Imperial Majesty.</w:t></w:r>
</w:p>
<w:p>
<w:pPr><w:pStyle w:val="Normal"/></w:pPr>
<w:r><w:t xml:space="preserve">H.M.       His or Her Majesty.</w:t></w:r>
</w:p>
<w:p>
<w:pPr><w:pStyle w:val="Normal"/></w:pPr>
<w:r><w:t xml:space="preserve">H.R.H.     His or Her Royal Highness.</w:t></w:r>
</w:p>
<w:p>
<w:pPr><w:pStyle w:val="Normal"/></w:pPr>
<w:r><w:t xml:space="preserve">H.S.H.     His or Her Serene Highness.</w:t></w:r>
</w:p>
<w:p>
<w:pPr><w:pStyle w:val="Normal"/></w:pPr>
<w:r><w:t xml:space="preserve">J.         Judge.</w:t></w:r>
</w:p>
<w:p>
<w:pPr><w:pStyle w:val="Normal"/></w:pPr>
<w:r><w:t xml:space="preserve">J.C.D.     (Juris Canonici Doctor, or Juris Civilis Doctor),</w:t></w:r>
</w:p>
<w:p>
<w:pPr><w:pStyle w:val="Normal"/></w:pPr>
<w:r><w:t xml:space="preserve">Doctor of Canon or Civil Law.</w:t></w:r>
</w:p>
<w:p>
<w:pPr><w:pStyle w:val="Normal"/></w:pPr>
<w:r><w:t xml:space="preserve">J.D.       (Juris utriusque Doctor), Doctor of Civil and Canon Law.</w:t></w:r>
</w:p>
<w:p>
<w:pPr><w:pStyle w:val="Normal"/></w:pPr>
<w:r><w:t xml:space="preserve">J.P.       Justice of the Peace.</w:t></w:r>
</w:p>
<w:p>
<w:pPr><w:pStyle w:val="Normal"/></w:pPr>
<w:r><w:t xml:space="preserve">K.C.       King&apos;s Counsel.</w:t></w:r>
</w:p>
<w:p>
<w:pPr><w:pStyle w:val="Normal"/></w:pPr>
<w:r><w:t xml:space="preserve">K.C.B.     Knight Commander of the Bath.</w:t></w:r>
</w:p>
<w:p>
<w:pPr><w:pStyle w:val="Normal"/></w:pPr>
<w:r><w:t xml:space="preserve">K.C.I.E.   Knight Commander of the Order of the Indian Empire.</w:t></w:r>
</w:p>
<w:p>
<w:pPr><w:pStyle w:val="Normal"/></w:pPr>
<w:r><w:t xml:space="preserve">K.C.M.G.   Knight Commander of St Michael and St George.</w:t></w:r>
</w:p>
<w:p>
<w:pPr><w:pStyle w:val="Normal"/></w:pPr>
<w:r><w:t xml:space="preserve">K.C.S.I.   Knight Commander of the Star of India.</w:t></w:r>
</w:p>
<w:p>
<w:pPr><w:pStyle w:val="Normal"/></w:pPr>
<w:r><w:t xml:space="preserve">K.C.V.O.   Knight Commander of the Victorian Order.</w:t></w:r>
</w:p>
<w:p>
<w:pPr><w:pStyle w:val="Normal"/></w:pPr>
<w:r><w:t xml:space="preserve">K.G.       Knight of the Garter.</w:t></w:r>
</w:p>
<w:p>
<w:pPr><w:pStyle w:val="Normal"/></w:pPr>
<w:r><w:t xml:space="preserve">K.P.       Knight of St Patrick.</w:t></w:r>
</w:p>
<w:p>
<w:pPr><w:pStyle w:val="Normal"/></w:pPr>
<w:r><w:t xml:space="preserve">K.T.       Knight of the Thistle.</w:t></w:r>
</w:p>
<w:p>
<w:pPr><w:pStyle w:val="Normal"/></w:pPr>
<w:r><w:t xml:space="preserve">L.A.H.     Licentiate of the Apothecaries&apos; Hall.</w:t></w:r>
</w:p>
<w:p>
<w:pPr><w:pStyle w:val="Normal"/></w:pPr>
<w:r><w:t xml:space="preserve">L.C.C.     London County Council, or Councillor.</w:t></w:r>
</w:p>
<w:p>
<w:pPr><w:pStyle w:val="Normal"/></w:pPr>
<w:r><w:t xml:space="preserve">L.C.J.     Lord Chief Justice</w:t></w:r>
</w:p>
<w:p>
<w:pPr><w:pStyle w:val="Normal"/></w:pPr>
<w:r><w:t xml:space="preserve">L.J.       Lord Justice.</w:t></w:r>
</w:p>
<w:p>
<w:pPr><w:pStyle w:val="Normal"/></w:pPr>
<w:r><w:t xml:space="preserve">L.L.A.     Lady Literate in Arts.</w:t></w:r>
</w:p>
<w:p>
<w:pPr><w:pStyle w:val="Normal"/></w:pPr>
<w:r><w:t xml:space="preserve">LL.B.      (Legum Baccalaureus), Bachelor of Laws.</w:t></w:r>
</w:p>
<w:p>
<w:pPr><w:pStyle w:val="Normal"/></w:pPr>
<w:r><w:t xml:space="preserve">LL.D.      (Legum Doctor), Doctor of Laws.</w:t></w:r>
</w:p>
<w:p>
<w:pPr><w:pStyle w:val="Normal"/></w:pPr>
<w:r><w:t xml:space="preserve">LL.M.      (Legum Magister), Master of Laws.</w:t></w:r>
</w:p>
<w:p>
<w:pPr><w:pStyle w:val="Normal"/></w:pPr>
<w:r><w:t xml:space="preserve">L.R.C.P.   Licentiate of the Royal College of Physicians.</w:t></w:r>
</w:p>
<w:p>
<w:pPr><w:pStyle w:val="Normal"/></w:pPr>
<w:r><w:t xml:space="preserve">L.R.C.S.   Licentiate of the Royal College of Surgeons.</w:t></w:r>
</w:p>
<w:p>
<w:pPr><w:pStyle w:val="Normal"/></w:pPr>
<w:r><w:t xml:space="preserve">L.S.A.     Licentiate of the Apothecaries&apos; Society.</w:t></w:r>
</w:p>
<w:p>
<w:pPr><w:pStyle w:val="Normal"/></w:pPr>
<w:r><w:t xml:space="preserve">M.A.       Master of Arts.</w:t></w:r>
</w:p>
<w:p>
<w:pPr><w:pStyle w:val="Normal"/></w:pPr>
<w:r><w:t xml:space="preserve">M.B.       (Medicinae Baccalaureus), Bachelor of Medicine</w:t></w:r>
</w:p>
<w:p>
<w:pPr><w:pStyle w:val="Normal"/></w:pPr>
<w:r><w:t xml:space="preserve">M.C.       Member of Congress.</w:t></w:r>
</w:p>
<w:p>
<w:pPr><w:pStyle w:val="Normal"/></w:pPr>
<w:r><w:t xml:space="preserve">M.D.       (Medicinae Doctor), Doctor of Medicine.</w:t></w:r>
</w:p>
<w:p>
<w:pPr><w:pStyle w:val="Normal"/></w:pPr>
<w:r><w:t xml:space="preserve">M.Inst.C.E.             Member of the Institute of Civil Engineers.</w:t></w:r>
</w:p>
<w:p>
<w:pPr><w:pStyle w:val="Normal"/></w:pPr>
<w:r><w:t xml:space="preserve">M.P.       Member of Parliament.</w:t></w:r>
</w:p>
<w:p>
<w:pPr><w:pStyle w:val="Normal"/></w:pPr>
<w:r><w:t xml:space="preserve">M.R.       Master of the Rolls.</w:t></w:r>
</w:p>
<w:p>
<w:pPr><w:pStyle w:val="Normal"/></w:pPr>
<w:r><w:t xml:space="preserve">M.R.C.P.   Member of the Royal College of Physicians.</w:t></w:r>
</w:p>
<w:p>
<w:pPr><w:pStyle w:val="Normal"/></w:pPr>
<w:r><w:t xml:space="preserve">M.R.C.S.   Member of the Royal College of Surgeons.</w:t></w:r>
</w:p>
<w:p>
<w:pPr><w:pStyle w:val="Normal"/></w:pPr>
<w:r><w:t xml:space="preserve">M.R.I.A.   Member of the Royal Irish Academy.</w:t></w:r>
</w:p>
<w:p>
<w:pPr><w:pStyle w:val="Normal"/></w:pPr>
<w:r><w:t xml:space="preserve">Mus.B.     Bachelor of Music.</w:t></w:r>
</w:p>
<w:p>
<w:pPr><w:pStyle w:val="Normal"/></w:pPr>
<w:r><w:t xml:space="preserve">Mus.D.     Doctor of Music.</w:t></w:r>
</w:p>
<w:p>
<w:pPr><w:pStyle w:val="Normal"/></w:pPr>
<w:r><w:t xml:space="preserve">M.V.O.     Member of the Victorian Order.</w:t></w:r>
</w:p>
<w:p>
<w:pPr><w:pStyle w:val="Normal"/></w:pPr>
<w:r><w:t xml:space="preserve">N.P.       Notary Public.</w:t></w:r>
</w:p>
<w:p>
<w:pPr><w:pStyle w:val="Normal"/></w:pPr>
<w:r><w:t xml:space="preserve">O.M.       Order of Merit.</w:t></w:r>
</w:p>
<w:p>
<w:pPr><w:pStyle w:val="Normal"/></w:pPr>
<w:r><w:t xml:space="preserve">P.C.       Privy Councillor.</w:t></w:r>
</w:p>
<w:p>
<w:pPr><w:pStyle w:val="Normal"/></w:pPr>
<w:r><w:t xml:space="preserve">Ph.D.      (Philosophiae Doctor), Doctor of Philosophy.</w:t></w:r>
</w:p>
<w:p>
<w:pPr><w:pStyle w:val="Normal"/></w:pPr>
<w:r><w:t xml:space="preserve">P.P.       Parish Priest.</w:t></w:r>
</w:p>
<w:p>
<w:pPr><w:pStyle w:val="Normal"/></w:pPr>
<w:r><w:t xml:space="preserve">P.R.A.     President of the Royal Academy.</w:t></w:r>
</w:p>
<w:p>
<w:pPr><w:pStyle w:val="Normal"/></w:pPr>
<w:r><w:t xml:space="preserve">R.         (Rex, Regina), King, Queen.</w:t></w:r>
</w:p>
<w:p>
<w:pPr><w:pStyle w:val="Normal"/></w:pPr>
<w:r><w:t xml:space="preserve">R. &amp; I.    Rex et Imperator.</w:t></w:r>
</w:p>
<w:p>
<w:pPr><w:pStyle w:val="Normal"/></w:pPr>
<w:r><w:t xml:space="preserve">R.A.       Royal Academician, Royal Artillery.</w:t></w:r>
</w:p>
<w:p>
<w:pPr><w:pStyle w:val="Normal"/></w:pPr>
<w:r><w:t xml:space="preserve">R.A.M.     Royal Academy of Music.</w:t></w:r>
</w:p>
<w:p>
<w:pPr><w:pStyle w:val="Normal"/></w:pPr>
<w:r><w:t xml:space="preserve">R.E.       Royal Engineers.</w:t></w:r>
</w:p>
<w:p>
<w:pPr><w:pStyle w:val="Normal"/></w:pPr>
<w:r><w:t xml:space="preserve">Reg. Prof. Regius Professor.</w:t></w:r>
</w:p>
<w:p>
<w:pPr><w:pStyle w:val="Normal"/></w:pPr>
<w:r><w:t xml:space="preserve">R.M.       Royal Marines, Resident Magistrate.</w:t></w:r>
</w:p>
<w:p>
<w:pPr><w:pStyle w:val="Normal"/></w:pPr>
<w:r><w:t xml:space="preserve">R.N.       Royal Navy.</w:t></w:r>
</w:p>
<w:p>
<w:pPr><w:pStyle w:val="Normal"/></w:pPr>
<w:r><w:t xml:space="preserve">S. or St.             Saint.</w:t></w:r>
</w:p>
<w:p>
<w:pPr><w:pStyle w:val="Normal"/></w:pPr>
<w:r><w:t xml:space="preserve">S.S.C.     Solicitor before the Supreme Courts of Scotland.</w:t></w:r>
</w:p>
<w:p>
<w:pPr><w:pStyle w:val="Normal"/></w:pPr>
<w:r><w:t xml:space="preserve">S.T.P.     (Sacrosanctae Theologiae Professor), Professor of Sacred</w:t></w:r>
</w:p>
<w:p>
<w:pPr><w:pStyle w:val="Normal"/></w:pPr>
<w:r><w:t xml:space="preserve">Theology.</w:t></w:r>
</w:p>
<w:p>
<w:pPr><w:pStyle w:val="Normal"/></w:pPr>
<w:r><w:t xml:space="preserve">V.C.       Vice-Chancellor, Victoria Cross.</w:t></w:r>
</w:p>
<w:p>
<w:pPr><w:pStyle w:val="Normal"/></w:pPr>
<w:r><w:t xml:space="preserve">V.G.       Vicar-General.</w:t></w:r>
</w:p>
<w:p>
<w:pPr><w:pStyle w:val="Normal"/></w:pPr>
<w:r><w:t xml:space="preserve">V.S.       Veterinary Surgeon.</w:t></w:r>
</w:p>
<w:p>
<w:pPr><w:pStyle w:val="Normal"/></w:pPr>
<w:r><w:t xml:space="preserve">W.S.       Writer to the Signet [in Scotland]. Equivalent to Attorney</w:t></w:r>
</w:p>
<w:p>
<w:pPr><w:pStyle w:val="Normal"/></w:pPr>
<w:r><w:t xml:space="preserve">2. ABBREVIATIONS DENOTING MONIES, WEIGHTS, AND MEASURES.</w:t></w:r>
</w:p>
<w:p>
<w:pPr><w:pStyle w:val="Normal"/></w:pPr>
<w:r><w:t xml:space="preserve">ac.    acre.                  lb. or lb.  (libra), pound (weight).</w:t></w:r>
</w:p>
<w:p>
<w:pPr><w:pStyle w:val="Normal"/></w:pPr>
<w:r><w:t xml:space="preserve">bar.   barrel.                 m. or mi. mile, minute.</w:t></w:r>
</w:p>
<w:p>
<w:pPr><w:pStyle w:val="Normal"/></w:pPr>
<w:r><w:t xml:space="preserve">bus.   bushel.                 m. minim.</w:t></w:r>
</w:p>
<w:p>
<w:pPr><w:pStyle w:val="Normal"/></w:pPr>
<w:r><w:t xml:space="preserve">c.     cent.                  mo. month.</w:t></w:r>
</w:p>
<w:p>
<w:pPr><w:pStyle w:val="Normal"/></w:pPr>
<w:r><w:t xml:space="preserve">c. (or cub.) ft. &amp;c. cubic foot,&amp;c.   na. nail.</w:t></w:r>
</w:p>
<w:p>
<w:pPr><w:pStyle w:val="Normal"/></w:pPr>
<w:r><w:t xml:space="preserve">cwt.   hundredweight.         oz. ounce.</w:t></w:r>
</w:p>
<w:p>
<w:pPr><w:pStyle w:val="Normal"/></w:pPr>
<w:r><w:t xml:space="preserve">d.     (denarius), penny. pk. peck.</w:t></w:r>
</w:p>
<w:p>
<w:pPr><w:pStyle w:val="Normal"/></w:pPr>
<w:r><w:t xml:space="preserve">deg.   degree.                po. pole.</w:t></w:r>
</w:p>
<w:p>
<w:pPr><w:pStyle w:val="Normal"/></w:pPr>
<w:r><w:t xml:space="preserve">dr.    drachm or dram.    pt. pint.</w:t></w:r>
</w:p>
<w:p>
<w:pPr><w:pStyle w:val="Normal"/></w:pPr>
<w:r><w:t xml:space="preserve">dwt.   pennyweight.            q. (quadrans), farthing.</w:t></w:r>
</w:p>
<w:p>
<w:pPr><w:pStyle w:val="Normal"/></w:pPr>
<w:r><w:t xml:space="preserve">f.     franc.                 qr. quarter.</w:t></w:r>
</w:p>
<w:p>
<w:pPr><w:pStyle w:val="Normal"/></w:pPr>
<w:r><w:t xml:space="preserve">fl.    florin.                qt. quart.</w:t></w:r>
</w:p>
<w:p>
<w:pPr><w:pStyle w:val="Normal"/></w:pPr>
<w:r><w:t xml:space="preserve">ft.    foot.                  ro. rood.</w:t></w:r>
</w:p>
<w:p>
<w:pPr><w:pStyle w:val="Normal"/></w:pPr>
<w:r><w:t xml:space="preserve">fur.   furlong.               Rs.4 rupees.</w:t></w:r>
</w:p>
<w:p>
<w:pPr><w:pStyle w:val="Normal"/></w:pPr>
<w:r><w:t xml:space="preserve">gal.   gallon.                 s. or / (solidus), shilling.</w:t></w:r>
</w:p>
<w:p>
<w:pPr><w:pStyle w:val="Normal"/></w:pPr>
<w:r><w:t xml:space="preserve">gr.    grain.                  s. or sec. second.</w:t></w:r>
</w:p>
<w:p>
<w:pPr><w:pStyle w:val="Normal"/></w:pPr>
<w:r><w:t xml:space="preserve">h. or hr. hour.           sc. or scr. scruple.</w:t></w:r>
</w:p>
<w:p>
<w:pPr><w:pStyle w:val="Normal"/></w:pPr>
<w:r><w:t xml:space="preserve">hhd.   hogshead.          sq. ft. &amp;c, square foot, &amp;c.</w:t></w:r>
</w:p>
<w:p>
<w:pPr><w:pStyle w:val="Normal"/></w:pPr>
<w:r><w:t xml:space="preserve">in.    inch.                  st. stone.</w:t></w:r>
</w:p>
<w:p>
<w:pPr><w:pStyle w:val="Normal"/></w:pPr>
<w:r><w:t xml:space="preserve">kilo.  kilometre.             yd. yard.</w:t></w:r>
</w:p>
<w:p>
<w:pPr><w:pStyle w:val="Normal"/></w:pPr>
<w:r><w:t xml:space="preserve">L.,3 L. ,2 or l. (libra), pound (money).</w:t></w:r>
</w:p>
<w:p>
<w:pPr><w:pStyle w:val="Normal"/></w:pPr>
<w:r><w:t xml:space="preserve">3. MISCELLANEOUS ABBREVIATIONS.</w:t></w:r>
</w:p>
<w:p>
<w:pPr><w:pStyle w:val="Normal"/></w:pPr>
<w:r><w:t xml:space="preserve">A.         Accepted.</w:t></w:r>
</w:p>
<w:p>
<w:pPr><w:pStyle w:val="Normal"/></w:pPr>
<w:r><w:t xml:space="preserve">A.C.       (Ante Christum), Before Christ.</w:t></w:r>
</w:p>
<w:p>
<w:pPr><w:pStyle w:val="Normal"/></w:pPr>
<w:r><w:t xml:space="preserve">acc., a/c. or acct.        Account.</w:t></w:r>
</w:p>
<w:p>
<w:pPr><w:pStyle w:val="Normal"/></w:pPr>
<w:r><w:t xml:space="preserve">A.D.       (Anno Domini), In the year of our Lord.</w:t></w:r>
</w:p>
<w:p>
<w:pPr><w:pStyle w:val="Normal"/></w:pPr>
<w:r><w:t xml:space="preserve">A.E.I.O.U. Austriae est imperare orbi universo,5 or</w:t></w:r>
</w:p>
<w:p>
<w:pPr><w:pStyle w:val="Normal"/></w:pPr>
<w:r><w:t xml:space="preserve">Alles Erdreich Ist Oesterreich Unterthan.</w:t></w:r>
</w:p>
<w:p>
<w:pPr><w:pStyle w:val="Normal"/></w:pPr>
<w:r><w:t xml:space="preserve">Aet. or Aetat.            (Aetatis, [anno]), In the year of his age.</w:t></w:r>
</w:p>
<w:p>
<w:pPr><w:pStyle w:val="Normal"/></w:pPr>
<w:r><w:t xml:space="preserve">A.H.       (Anno Hegirae), In the year of the Hegira (the Mohammedan</w:t></w:r>
</w:p>
<w:p>
<w:pPr><w:pStyle w:val="Normal"/></w:pPr>
<w:r><w:t xml:space="preserve">era).</w:t></w:r>
</w:p>
<w:p>
<w:pPr><w:pStyle w:val="Normal"/></w:pPr>
<w:r><w:t xml:space="preserve">A.M.       (Anno Mundi), In the year of the world.</w:t></w:r>
</w:p>
<w:p>
<w:pPr><w:pStyle w:val="Normal"/></w:pPr>
<w:r><w:t xml:space="preserve">A.M.       (Ante meridiem), Forenoon.</w:t></w:r>
</w:p>
<w:p>
<w:pPr><w:pStyle w:val="Normal"/></w:pPr>
<w:r><w:t xml:space="preserve">Anon.      Anonymous.</w:t></w:r>
</w:p>
<w:p>
<w:pPr><w:pStyle w:val="Normal"/></w:pPr>
<w:r><w:t xml:space="preserve">A.U.C.     (Anno urbis conditae), In the year from the building</w:t></w:r>
</w:p>
<w:p>
<w:pPr><w:pStyle w:val="Normal"/></w:pPr>
<w:r><w:t xml:space="preserve">of the city (i.e. Rome).</w:t></w:r>
</w:p>
<w:p>
<w:pPr><w:pStyle w:val="Normal"/></w:pPr>
<w:r><w:t xml:space="preserve">A.V.       Authorized version of the Bible.</w:t></w:r>
</w:p>
<w:p>
<w:pPr><w:pStyle w:val="Normal"/></w:pPr>
<w:r><w:t xml:space="preserve">b.         born.</w:t></w:r>
</w:p>
<w:p>
<w:pPr><w:pStyle w:val="Normal"/></w:pPr>
<w:r><w:t xml:space="preserve">B.V.M.     The Blessed Virgin Mary.</w:t></w:r>
</w:p>
<w:p>
<w:pPr><w:pStyle w:val="Normal"/></w:pPr>
<w:r><w:t xml:space="preserve">B.C.       Before Christ.</w:t></w:r>
</w:p>
<w:p>
<w:pPr><w:pStyle w:val="Normal"/></w:pPr>
<w:r><w:t xml:space="preserve">c.         circa, about.</w:t></w:r>
</w:p>
<w:p>
<w:pPr><w:pStyle w:val="Heading1"/></w:pPr>
<w:r><w:t>C.         or Cap. (Caput), Chapter.</w:t></w:r>
</w:p>
<w:p>
<w:pPr><w:pStyle w:val="Heading1"/></w:pPr>
<w:r><w:t>C.         Centigrade (or Celsius&apos;s) Thermometer.</w:t></w:r>
</w:p>
<w:p>
<w:pPr><w:pStyle w:val="Normal"/></w:pPr>
<w:r><w:t xml:space="preserve">cent.6 (Centnim), A hundred, frequently L. 100.</w:t></w:r>
</w:p>
<w:p>
<w:pPr><w:pStyle w:val="Normal"/></w:pPr>
<w:r><w:t xml:space="preserve">Cf. or cp.       (Confer), Compare.</w:t></w:r>
</w:p>
<w:p>
<w:pPr><w:pStyle w:val="Normal"/></w:pPr>
<w:r><w:t xml:space="preserve">Ch. or Chap.     Chapter.</w:t></w:r>
</w:p>
<w:p>
<w:pPr><w:pStyle w:val="Normal"/></w:pPr>
<w:r><w:t xml:space="preserve">C.M.S.     Church Missionary Society.</w:t></w:r>
</w:p>
<w:p>
<w:pPr><w:pStyle w:val="Normal"/></w:pPr>
<w:r><w:t xml:space="preserve">Co.        Company, County.</w:t></w:r>
</w:p>
<w:p>
<w:pPr><w:pStyle w:val="Normal"/></w:pPr>
<w:r><w:t xml:space="preserve">C.O.D.     Cash on Delivery.</w:t></w:r>
</w:p>
<w:p>
<w:pPr><w:pStyle w:val="Normal"/></w:pPr>
<w:r><w:t xml:space="preserve">Cr.        Creditor.</w:t></w:r>
</w:p>
<w:p>
<w:pPr><w:pStyle w:val="Normal"/></w:pPr>
<w:r><w:t xml:space="preserve">curt.      Current, the present month.</w:t></w:r>
</w:p>
<w:p>
<w:pPr><w:pStyle w:val="Normal"/></w:pPr>
<w:r><w:t xml:space="preserve">d.         died.</w:t></w:r>
</w:p>
<w:p>
<w:pPr><w:pStyle w:val="Normal"/></w:pPr>
<w:r><w:t xml:space="preserve">D.G.       (Dei gratia), By the grace of God.</w:t></w:r>
</w:p>
<w:p>
<w:pPr><w:pStyle w:val="Normal"/></w:pPr>
<w:r><w:t xml:space="preserve">Do.        Ditto, the same.</w:t></w:r>
</w:p>
<w:p>
<w:pPr><w:pStyle w:val="Normal"/></w:pPr>
<w:r><w:t xml:space="preserve">D.O.M.     (Deo Optimo Maximo), To God the Best and Greatest.</w:t></w:r>
</w:p>
<w:p>
<w:pPr><w:pStyle w:val="Normal"/></w:pPr>
<w:r><w:t xml:space="preserve">Dr.        Debtor.</w:t></w:r>
</w:p>
<w:p>
<w:pPr><w:pStyle w:val="Normal"/></w:pPr>
<w:r><w:t xml:space="preserve">D.V.       (Deo volente), God willing.</w:t></w:r>
</w:p>
<w:p>
<w:pPr><w:pStyle w:val="Normal"/></w:pPr>
<w:r><w:t xml:space="preserve">E.&amp; O.E.   Errors and omissions excepted.</w:t></w:r>
</w:p>
<w:p>
<w:pPr><w:pStyle w:val="Normal"/></w:pPr>
<w:r><w:t xml:space="preserve">e.g.       (Exempti gratia), For example.</w:t></w:r>
</w:p>
<w:p>
<w:pPr><w:pStyle w:val="Normal"/></w:pPr>
<w:r><w:t xml:space="preserve">etc. or &amp;c.     (Et caetera), And the rest; and so forth.</w:t></w:r>
</w:p>
<w:p>
<w:pPr><w:pStyle w:val="Normal"/></w:pPr>
<w:r><w:t xml:space="preserve">Ex.        Example.</w:t></w:r>
</w:p>
<w:p>
<w:pPr><w:pStyle w:val="Normal"/></w:pPr>
<w:r><w:t xml:space="preserve">F. or Fahr.     Fahrenheit&apos;s Thermometer.</w:t></w:r>
</w:p>
<w:p>
<w:pPr><w:pStyle w:val="Normal"/></w:pPr>
<w:r><w:t xml:space="preserve">fec. (Fecit),   He made (or did) it.</w:t></w:r>
</w:p>
<w:p>
<w:pPr><w:pStyle w:val="Normal"/></w:pPr>
<w:r><w:t xml:space="preserve">fl.        Flourished.</w:t></w:r>
</w:p>
<w:p>
<w:pPr><w:pStyle w:val="Normal"/></w:pPr>
<w:r><w:t xml:space="preserve">Fo. or Fol.     Folio.</w:t></w:r>
</w:p>
<w:p>
<w:pPr><w:pStyle w:val="Normal"/></w:pPr>
<w:r><w:t xml:space="preserve">f.o.b.     Free on board.</w:t></w:r>
</w:p>
<w:p>
<w:pPr><w:pStyle w:val="Normal"/></w:pPr>
<w:r><w:t xml:space="preserve">G.P.O.     General Post Office.</w:t></w:r>
</w:p>
<w:p>
<w:pPr><w:pStyle w:val="Normal"/></w:pPr>
<w:r><w:t xml:space="preserve">H.M.S.     His Majesty&apos;s Ship, or Service.</w:t></w:r>
</w:p>
<w:p>
<w:pPr><w:pStyle w:val="Normal"/></w:pPr>
<w:r><w:t xml:space="preserve">Ib. or Ibid.    (Ibidem), In the same place.</w:t></w:r>
</w:p>
<w:p>
<w:pPr><w:pStyle w:val="Normal"/></w:pPr>
<w:r><w:t xml:space="preserve">Id.        (Idem), The same.</w:t></w:r>
</w:p>
<w:p>
<w:pPr><w:pStyle w:val="Normal"/></w:pPr>
<w:r><w:t xml:space="preserve">ie. (Id est),   That is.</w:t></w:r>
</w:p>
<w:p>
<w:pPr><w:pStyle w:val="Normal"/></w:pPr>
<w:r><w:t xml:space="preserve">I.H.S.     A symbol for ``Jesus,&apos;, derived from the first three letters</w:t></w:r>
</w:p>
<w:p>
<w:pPr><w:pStyle w:val="Normal"/></w:pPr>
<w:r><w:t xml:space="preserve">of the Greek (I E S); the correct origin was lost</w:t></w:r>
</w:p>
<w:p>
<w:pPr><w:pStyle w:val="Normal"/></w:pPr>
<w:r><w:t xml:space="preserve">sight of, and the Romanized letters were then interpreted</w:t></w:r>
</w:p>
<w:p>
<w:pPr><w:pStyle w:val="Normal"/></w:pPr>
<w:r><w:t xml:space="preserve">erroneously as standing for Jesus, Hominum Salvator,</w:t></w:r>
</w:p>
<w:p>
<w:pPr><w:pStyle w:val="Normal"/></w:pPr>
<w:r><w:t xml:space="preserve">the Latin ``h&apos;&apos; and Greek long ``e&apos;&apos; being confused.</w:t></w:r>
</w:p>
<w:p>
<w:pPr><w:pStyle w:val="Normal"/></w:pPr>
<w:r><w:t xml:space="preserve">I.M.D.G.   (In majorem Dei gloriam), To the greater glory of God.</w:t></w:r>
</w:p>
<w:p>
<w:pPr><w:pStyle w:val="Normal"/></w:pPr>
<w:r><w:t xml:space="preserve">Inf. (Infra),   Below.</w:t></w:r>
</w:p>
<w:p>
<w:pPr><w:pStyle w:val="Normal"/></w:pPr>
<w:r><w:t xml:space="preserve">Inst.      Instant, the present month.</w:t></w:r>
</w:p>
<w:p>
<w:pPr><w:pStyle w:val="Normal"/></w:pPr>
<w:r><w:t xml:space="preserve">I.O.U.     I owe you.</w:t></w:r>
</w:p>
<w:p>
<w:pPr><w:pStyle w:val="Normal"/></w:pPr>
<w:r><w:t xml:space="preserve">i.q.       (Idem quod), The same as.</w:t></w:r>
</w:p>
<w:p>
<w:pPr><w:pStyle w:val="Normal"/></w:pPr>
<w:r><w:t xml:space="preserve">k.t.l.      (gr kai ta loipa) Et caetera, and the rest.</w:t></w:r>
</w:p>
<w:p>
<w:pPr><w:pStyle w:val="Heading1"/></w:pPr>
<w:r><w:t>L. or Lib. (Liber),      Book.</w:t></w:r>
</w:p>
<w:p>
<w:pPr><w:pStyle w:val="Normal"/></w:pPr>
<w:r><w:t xml:space="preserve">Lat.       Latitude.</w:t></w:r>
</w:p>
<w:p>
<w:pPr><w:pStyle w:val="Normal"/></w:pPr>
<w:r><w:t xml:space="preserve">l.c.       (Loco citato), In the place cited.</w:t></w:r>
</w:p>
<w:p>
<w:pPr><w:pStyle w:val="Normal"/></w:pPr>
<w:r><w:t xml:space="preserve">Lon. or Long.       Longitude.</w:t></w:r>
</w:p>
<w:p>
<w:pPr><w:pStyle w:val="Normal"/></w:pPr>
<w:r><w:t xml:space="preserve">L.S.       (Locus sigilli), The place of the seal.</w:t></w:r>
</w:p>
<w:p>
<w:pPr><w:pStyle w:val="Normal"/></w:pPr>
<w:r><w:t xml:space="preserve">Mem.       (Memento), Remember, Memorandum.</w:t></w:r>
</w:p>
<w:p>
<w:pPr><w:pStyle w:val="Normal"/></w:pPr>
<w:r><w:t xml:space="preserve">MS.        Manuscript. MSS. Manuscripts.</w:t></w:r>
</w:p>
<w:p>
<w:pPr><w:pStyle w:val="Normal"/></w:pPr>
<w:r><w:t xml:space="preserve">N.B.       (Nota bene), Mark well; take notice.</w:t></w:r>
</w:p>
<w:p>
<w:pPr><w:pStyle w:val="Normal"/></w:pPr>
<w:r><w:t xml:space="preserve">N.B.       North Britain (i.e. Scotland).</w:t></w:r>
</w:p>
<w:p>
<w:pPr><w:pStyle w:val="Normal"/></w:pPr>
<w:r><w:t xml:space="preserve">N.D.       No date.</w:t></w:r>
</w:p>
<w:p>
<w:pPr><w:pStyle w:val="Normal"/></w:pPr>
<w:r><w:t xml:space="preserve">nem. con.       (Nemine contradicente), No one contradicting.</w:t></w:r>
</w:p>
<w:p>
<w:pPr><w:pStyle w:val="Normal"/></w:pPr>
<w:r><w:t xml:space="preserve">No.        (Numero), Number.</w:t></w:r>
</w:p>
<w:p>
<w:pPr><w:pStyle w:val="Normal"/></w:pPr>
<w:r><w:t xml:space="preserve">N.S.       New Style.</w:t></w:r>
</w:p>
<w:p>
<w:pPr><w:pStyle w:val="Normal"/></w:pPr>
<w:r><w:t xml:space="preserve">N.T.       New Testament.</w:t></w:r>
</w:p>
<w:p>
<w:pPr><w:pStyle w:val="Normal"/></w:pPr>
<w:r><w:t xml:space="preserve">ob.        (Obiit), Died.</w:t></w:r>
</w:p>
<w:p>
<w:pPr><w:pStyle w:val="Normal"/></w:pPr>
<w:r><w:t xml:space="preserve">Obs.       Obsolete.</w:t></w:r>
</w:p>
<w:p>
<w:pPr><w:pStyle w:val="Normal"/></w:pPr>
<w:r><w:t xml:space="preserve">O.H.M.S.   On His Majesty&apos;s Service.</w:t></w:r>
</w:p>
<w:p>
<w:pPr><w:pStyle w:val="Normal"/></w:pPr>
<w:r><w:t xml:space="preserve">O.S.       Old Style.</w:t></w:r>
</w:p>
<w:p>
<w:pPr><w:pStyle w:val="Normal"/></w:pPr>
<w:r><w:t xml:space="preserve">O.S.B.     Ordo Sancti Benedicti (Benedictines).</w:t></w:r>
</w:p>
<w:p>
<w:pPr><w:pStyle w:val="Normal"/></w:pPr>
<w:r><w:t xml:space="preserve">O.T.       Old Testament.</w:t></w:r>
</w:p>
<w:p>
<w:pPr><w:pStyle w:val="Normal"/></w:pPr>
<w:r><w:t xml:space="preserve">P.         Page. Pp. Pages.</w:t></w:r>
</w:p>
<w:p>
<w:pPr><w:pStyle w:val="Normal"/></w:pPr>
<w:r><w:t xml:space="preserve">@        (Per), For; e.g. @ lb., For one pound.</w:t></w:r>
</w:p>
<w:p>
<w:pPr><w:pStyle w:val="Normal"/></w:pPr>
<w:r><w:t xml:space="preserve">Pinx.      (Pinxit), He painted it.</w:t></w:r>
</w:p>
<w:p>
<w:pPr><w:pStyle w:val="Normal"/></w:pPr>
<w:r><w:t xml:space="preserve">P.M.       (Post Meridiem), Afternoon.</w:t></w:r>
</w:p>
<w:p>
<w:pPr><w:pStyle w:val="Normal"/></w:pPr>
<w:r><w:t xml:space="preserve">P.O.       Post Office, Postal Order.</w:t></w:r>
</w:p>
<w:p>
<w:pPr><w:pStyle w:val="Normal"/></w:pPr>
<w:r><w:t xml:space="preserve">P.O.O.     Post Office Order.</w:t></w:r>
</w:p>
<w:p>
<w:pPr><w:pStyle w:val="Normal"/></w:pPr>
<w:r><w:t xml:space="preserve">P.P.C.     (Pour prendre conge), To take leave.</w:t></w:r>
</w:p>
<w:p>
<w:pPr><w:pStyle w:val="Normal"/></w:pPr>
<w:r><w:t xml:space="preserve">P.R.       Prize-ring.</w:t></w:r>
</w:p>
<w:p>
<w:pPr><w:pStyle w:val="Normal"/></w:pPr>
<w:r><w:t xml:space="preserve">prox.      (Proximo [mense]), Next month.</w:t></w:r>
</w:p>
<w:p>
<w:pPr><w:pStyle w:val="Normal"/></w:pPr>
<w:r><w:t xml:space="preserve">P.S.       Postscript.</w:t></w:r>
</w:p>
<w:p>
<w:pPr><w:pStyle w:val="Normal"/></w:pPr>
<w:r><w:t xml:space="preserve">Pt.        Part.</w:t></w:r>
</w:p>
<w:p>
<w:pPr><w:pStyle w:val="Normal"/></w:pPr>
<w:r><w:t xml:space="preserve">p.t. or pro tem.   (Pro tempore), For the time.</w:t></w:r>
</w:p>
<w:p>
<w:pPr><w:pStyle w:val="Normal"/></w:pPr>
<w:r><w:t xml:space="preserve">P.T.O.     Please turn over.</w:t></w:r>
</w:p>
<w:p>
<w:pPr><w:pStyle w:val="Normal"/></w:pPr>
<w:r><w:t xml:space="preserve">Q., Qu., or Qy.    Query; Question.</w:t></w:r>
</w:p>
<w:p>
<w:pPr><w:pStyle w:val="Normal"/></w:pPr>
<w:r><w:t xml:space="preserve">q.d.       (Quasi dicat), As if he should say: as much as to say.</w:t></w:r>
</w:p>
<w:p>
<w:pPr><w:pStyle w:val="Normal"/></w:pPr>
<w:r><w:t xml:space="preserve">Q.E.D.     (Quod erot demonstrandum), Which was to be demonstrated.</w:t></w:r>
</w:p>
<w:p>
<w:pPr><w:pStyle w:val="Normal"/></w:pPr>
<w:r><w:t xml:space="preserve">Q.E.F.     (Quod erat faciendum), Which was to be done.</w:t></w:r>
</w:p>
<w:p>
<w:pPr><w:pStyle w:val="Normal"/></w:pPr>
<w:r><w:t xml:space="preserve">q.s. or quant. suff.      (Quantum sufficit), As much as is</w:t></w:r>
</w:p>
<w:p>
<w:pPr><w:pStyle w:val="Normal"/></w:pPr>
<w:r><w:t xml:space="preserve">sufficient.</w:t></w:r>
</w:p>
<w:p>
<w:pPr><w:pStyle w:val="Normal"/></w:pPr>
<w:r><w:t xml:space="preserve">q.v.       (Quod vide), Which see.</w:t></w:r>
</w:p>
<w:p>
<w:pPr><w:pStyle w:val="Normal"/></w:pPr>
<w:r><w:t xml:space="preserve">R. or @.      (Recipe), Take.</w:t></w:r>
</w:p>
<w:p>
<w:pPr><w:pStyle w:val="Normal"/></w:pPr>
<w:r><w:t xml:space="preserve">sqrt.  (=r. for radix), The sign of the square root.</w:t></w:r>
</w:p>
<w:p>
<w:pPr><w:pStyle w:val="Normal"/></w:pPr>
<w:r><w:t xml:space="preserve">R.I.P.     (Requiescat in pace!), May he rest in peace!</w:t></w:r>
</w:p>
<w:p>
<w:pPr><w:pStyle w:val="Normal"/></w:pPr>
<w:r><w:t xml:space="preserve">R.S.V.P.   (i Respondes s&apos;il vous plait), please reply.</w:t></w:r>
</w:p>
<w:p>
<w:pPr><w:pStyle w:val="Normal"/></w:pPr>
<w:r><w:t xml:space="preserve">sc.        (Scilicet), Namely; that is to say.</w:t></w:r>
</w:p>
<w:p>
<w:pPr><w:pStyle w:val="Normal"/></w:pPr>
<w:r><w:t xml:space="preserve">Sc. or Sculp.  (Sculpsit), He engraved it.</w:t></w:r>
</w:p>
<w:p>
<w:pPr><w:pStyle w:val="Normal"/></w:pPr>
<w:r><w:t xml:space="preserve">S.D.U.K.   Society for the Diffusion of Useful Knowledge.</w:t></w:r>
</w:p>
<w:p>
<w:pPr><w:pStyle w:val="Normal"/></w:pPr>
<w:r><w:t xml:space="preserve">seq. or sq., seqq. or sqq.   (Sequens, sequenitia), The following.</w:t></w:r>
</w:p>
<w:p>
<w:pPr><w:pStyle w:val="Normal"/></w:pPr>
<w:r><w:t xml:space="preserve">S.J.       Society of Jesus.</w:t></w:r>
</w:p>
<w:p>
<w:pPr><w:pStyle w:val="Normal"/></w:pPr>
<w:r><w:t xml:space="preserve">sp.        (Sine prole), Without offspring.</w:t></w:r>
</w:p>
<w:p>
<w:pPr><w:pStyle w:val="Normal"/></w:pPr>
<w:r><w:t xml:space="preserve">S.P.C.K.   Society for the Promotion of Christian Knowledge</w:t></w:r>
</w:p>
<w:p>
<w:pPr><w:pStyle w:val="Normal"/></w:pPr>
<w:r><w:t xml:space="preserve">S.P.G.     Society for the Propagation of the Gospel.</w:t></w:r>
</w:p>
<w:p>
<w:pPr><w:pStyle w:val="Normal"/></w:pPr>
<w:r><w:t xml:space="preserve">S.T.D.    }</w:t></w:r>
</w:p>
<w:p>
<w:pPr><w:pStyle w:val="Normal"/></w:pPr>
<w:r><w:t xml:space="preserve">S.T.B.    }Doctor, Bachelor, Licentiate of Theology.</w:t></w:r>
</w:p>
<w:p>
<w:pPr><w:pStyle w:val="Normal"/></w:pPr>
<w:r><w:t xml:space="preserve">S.T.L.    }</w:t></w:r>
</w:p>
<w:p>
<w:pPr><w:pStyle w:val="Normal"/></w:pPr>
<w:r><w:t xml:space="preserve">Sup.       (Supra), Above.</w:t></w:r>
</w:p>
<w:p>
<w:pPr><w:pStyle w:val="Normal"/></w:pPr>
<w:r><w:t xml:space="preserve">s.v.       (Sub voce), Under the word (or heading).</w:t></w:r>
</w:p>
<w:p>
<w:pPr><w:pStyle w:val="Normal"/></w:pPr>
<w:r><w:t xml:space="preserve">T.C.D.     Trinity College, Dublin.</w:t></w:r>
</w:p>
<w:p>
<w:pPr><w:pStyle w:val="Normal"/></w:pPr>
<w:r><w:t xml:space="preserve">ult.       (Ultimo [mense]), Last month.</w:t></w:r>
</w:p>
<w:p>
<w:pPr><w:pStyle w:val="Normal"/></w:pPr>
<w:r><w:t xml:space="preserve">U.S.       United States.</w:t></w:r>
</w:p>
<w:p>
<w:pPr><w:pStyle w:val="Normal"/></w:pPr>
<w:r><w:t xml:space="preserve">U.S.A.     United States of America.</w:t></w:r>
</w:p>
<w:p>
<w:pPr><w:pStyle w:val="Normal"/></w:pPr>
<w:r><w:t xml:space="preserve">v.         (versus), Against.</w:t></w:r>
</w:p>
<w:p>
<w:pPr><w:pStyle w:val="Normal"/></w:pPr>
<w:r><w:t xml:space="preserve">v. or vid:      (Vide), See.</w:t></w:r>
</w:p>
<w:p>
<w:pPr><w:pStyle w:val="Normal"/></w:pPr>
<w:r><w:t xml:space="preserve">viz.       (Videlicet), Namely.</w:t></w:r>
</w:p>
<w:p>
<w:pPr><w:pStyle w:val="Normal"/></w:pPr>
<w:r><w:t xml:space="preserve">Xmas.      Christmas. This X is a Greek letter, corresponding to Ch.</w:t></w:r>
</w:p>
<w:p>
<w:pPr><w:pStyle w:val="Normal"/></w:pPr>
<w:r><w:t xml:space="preserve">See also Graevius&apos;s Thesaurus Antiquitatum (1694, sqq.);</w:t></w:r>
</w:p>
<w:p>
<w:pPr><w:pStyle w:val="Normal"/></w:pPr>
<w:r><w:t xml:space="preserve">Nicolai&apos;s Tractatus de Sigils Veterum; Mommsen&apos;s Corpus</w:t></w:r>
</w:p>
<w:p>
<w:pPr><w:pStyle w:val="Normal"/></w:pPr>
<w:r><w:t xml:space="preserve">Inscriptionum Latinarum (1863, sqq.); Natalis de Wailly&apos;s</w:t></w:r>
</w:p>
<w:p>
<w:pPr><w:pStyle w:val="Normal"/></w:pPr>
<w:r><w:t xml:space="preserve">Paleographie (Paris, 1838); Alph.  Chassant&apos;s Paleographie</w:t></w:r>
</w:p>
<w:p>
<w:pPr><w:pStyle w:val="Normal"/></w:pPr>
<w:r><w:t xml:space="preserve">(1854), and Dictionnaire des Abreviations (3rd ed.</w:t></w:r>
</w:p>
<w:p>
<w:pPr><w:pStyle w:val="Normal"/></w:pPr>
<w:r><w:t xml:space="preserve">1866); Campelli, Duzionario di Abbreviature (1899).</w:t></w:r>
</w:p>
<w:p>
<w:pPr><w:pStyle w:val="Normal"/></w:pPr>
<w:r><w:t xml:space="preserve">1 Describing the function of the triumviri monetales.</w:t></w:r>
</w:p>
<w:p>
<w:pPr><w:pStyle w:val="Normal"/></w:pPr>
<w:r><w:t xml:space="preserve">2 An archbishop or bishop, in writing his signature, substitutes</w:t></w:r>
</w:p>
<w:p>
<w:pPr><w:pStyle w:val="Normal"/></w:pPr>
<w:r><w:t xml:space="preserve">for his surname the name of his see; thus the prelates of</w:t></w:r>
</w:p>
<w:p>
<w:pPr><w:pStyle w:val="Normal"/></w:pPr>
<w:r><w:t xml:space="preserve">Canterbury, York, Oxford, London, &amp;c., subscribe themselves</w:t></w:r>
</w:p>
<w:p>
<w:pPr><w:pStyle w:val="Normal"/></w:pPr>
<w:r><w:t xml:space="preserve">with their initials (Christian names only), followed by</w:t></w:r>
</w:p>
<w:p>
<w:pPr><w:pStyle w:val="Normal"/></w:pPr>
<w:r><w:t xml:space="preserve">Cantuar., Ebor., Oxon., Londin. (sometimes London.), &amp;c.</w:t></w:r>
</w:p>
<w:p>
<w:pPr><w:pStyle w:val="Normal"/></w:pPr>
<w:r><w:t xml:space="preserve">3 Characters, not properly abbreviations, are used in the same</w:t></w:r>
</w:p>
<w:p>
<w:pPr><w:pStyle w:val="Normal"/></w:pPr>
<w:r><w:t xml:space="preserve">way; e.g. `` deg. &apos;&apos; for ``degrees, minutes, seconds&apos;&apos; (circular</w:t></w:r>
</w:p>
<w:p>
<w:pPr><w:pStyle w:val="Normal"/></w:pPr>
<w:r><w:t xml:space="preserve">measure); @, @, @ for ``ounces, drachms, scruples.&apos;&apos; @ is</w:t></w:r>
</w:p>
<w:p>
<w:pPr><w:pStyle w:val="Normal"/></w:pPr>
<w:r><w:t xml:space="preserve">probably to be traced to the written form of the z in ``oz.&apos;&apos;</w:t></w:r>
</w:p>
<w:p>
<w:pPr><w:pStyle w:val="Normal"/></w:pPr>
<w:r><w:t xml:space="preserve">4 These forms (as well as $, the symbol for the</w:t></w:r>
</w:p>
<w:p>
<w:pPr><w:pStyle w:val="Normal"/></w:pPr>
<w:r><w:t xml:space="preserve">American dollar) are placed before the amounts.</w:t></w:r>
</w:p>
<w:p>
<w:pPr><w:pStyle w:val="Normal"/></w:pPr>
<w:r><w:t xml:space="preserve">5It is given to Austria to rule the whole earth.</w:t></w:r>
</w:p>
<w:p>
<w:pPr><w:pStyle w:val="Normal"/></w:pPr>
<w:r><w:t xml:space="preserve">The device of Austria, first adopted by Frederick III.</w:t></w:r>
</w:p>
<w:p>
<w:pPr><w:pStyle w:val="Normal"/></w:pPr>
<w:r><w:t xml:space="preserve">6``Per cent.&apos;&apos; is often signified by %, a form traceable to &quot;100.&quot;</w:t></w:r>
</w:p>
<w:p>
<w:pPr><w:pStyle w:val="Normal"/></w:pPr>
<w:r><w:t xml:space="preserve">ABBREVIATORS, a body of writers in the papal chancery,</w:t></w:r>
</w:p>
<w:p>
<w:pPr><w:pStyle w:val="Normal"/></w:pPr>
<w:r><w:t xml:space="preserve">whose business was to sketch out and prepare in due form the</w:t></w:r>
</w:p>
<w:p>
<w:pPr><w:pStyle w:val="Normal"/></w:pPr>
<w:r><w:t xml:space="preserve">pope&apos;s bulls, briefs and consistorial decrees before these are</w:t></w:r>
</w:p>
<w:p>
<w:pPr><w:pStyle w:val="Normal"/></w:pPr>
<w:r><w:t xml:space="preserve">written out in extenso by the scriptores. They are first</w:t></w:r>
</w:p>
<w:p>
<w:pPr><w:pStyle w:val="Normal"/></w:pPr>
<w:r><w:t xml:space="preserve">mentioned in Extravagantes of John XXII. and of Benedict</w:t></w:r>
</w:p>
<w:p>
<w:pPr><w:pStyle w:val="Heading1"/></w:pPr>
<w:r><w:t>XII. Their number was fixed at seventy-two by Sixtus IV.</w:t></w:r>
</w:p>
<w:p>
<w:pPr><w:pStyle w:val="Normal"/></w:pPr>
<w:r><w:t xml:space="preserve">From the time of Benedict XII. (1334-1342) they were classed</w:t></w:r>
</w:p>
<w:p>
<w:pPr><w:pStyle w:val="Normal"/></w:pPr>
<w:r><w:t xml:space="preserve">as de Parco majori or Praesidentiae majoris, and de</w:t></w:r>
</w:p>
<w:p>
<w:pPr><w:pStyle w:val="Normal"/></w:pPr>
<w:r><w:t xml:space="preserve">Parco minnori. The name was derived from a space in the</w:t></w:r>
</w:p>
<w:p>
<w:pPr><w:pStyle w:val="Normal"/></w:pPr>
<w:r><w:t xml:space="preserve">chancery, surrounded by a grating, in which the officials sat,</w:t></w:r>
</w:p>
<w:p>
<w:pPr><w:pStyle w:val="Normal"/></w:pPr>
<w:r><w:t xml:space="preserve">which is called higher or lower (major or minor) according to</w:t></w:r>
</w:p>
<w:p>
<w:pPr><w:pStyle w:val="Normal"/></w:pPr>
<w:r><w:t xml:space="preserve">the proximity of the seats to that of the vice-chancellor.</w:t></w:r>
</w:p>
<w:p>
<w:pPr><w:pStyle w:val="Normal"/></w:pPr>
<w:r><w:t xml:space="preserve">After the protonotaries left the sketching of the minutes</w:t></w:r>
</w:p>
<w:p>
<w:pPr><w:pStyle w:val="Normal"/></w:pPr>
<w:r><w:t xml:space="preserve">to the abbreviators, those de Parco majori, who ranked as</w:t></w:r>
</w:p>
<w:p>
<w:pPr><w:pStyle w:val="Normal"/></w:pPr>
<w:r><w:t xml:space="preserve">prelates, were the most important officers of the apostolic</w:t></w:r>
</w:p>
<w:p>
<w:pPr><w:pStyle w:val="Normal"/></w:pPr>
<w:r><w:t xml:space="preserve">chancery.  By Martin V. their signature was made essential to</w:t></w:r>
</w:p>
<w:p>
<w:pPr><w:pStyle w:val="Normal"/></w:pPr>
<w:r><w:t xml:space="preserve">the validity of the acts of the chancery; and they obtained in</w:t></w:r>
</w:p>
<w:p>
<w:pPr><w:pStyle w:val="Normal"/></w:pPr>
<w:r><w:t xml:space="preserve">course of time many important privileges.  They were suppressed</w:t></w:r>
</w:p>
<w:p>
<w:pPr><w:pStyle w:val="Normal"/></w:pPr>
<w:r><w:t xml:space="preserve">in 1908 by Pius X. and their duties were transferred to the</w:t></w:r>
</w:p>
<w:p>
<w:pPr><w:pStyle w:val="Normal"/></w:pPr>
<w:r><w:t xml:space="preserve">protonotarii apostolici participantes. (See CURIA ROMANA.)</w:t></w:r>
</w:p>
<w:p>
<w:pPr><w:pStyle w:val="Normal"/></w:pPr>
<w:r><w:t xml:space="preserve">ABDALLATIF, or ABD-UL-LATIF (1162-1231), a celebrated</w:t></w:r>
</w:p>
<w:p>
<w:pPr><w:pStyle w:val="Normal"/></w:pPr>
<w:r><w:t xml:space="preserve">physician and traveller, and one of the most voluminous writers</w:t></w:r>
</w:p>
<w:p>
<w:pPr><w:pStyle w:val="Normal"/></w:pPr>
<w:r><w:t xml:space="preserve">of the East, was born at Bagdad in 1162.  An interesting</w:t></w:r>
</w:p>
<w:p>
<w:pPr><w:pStyle w:val="Normal"/></w:pPr>
<w:r><w:t xml:space="preserve">memoir of Abdallatif, written by himself, has been preserved</w:t></w:r>
</w:p>
<w:p>
<w:pPr><w:pStyle w:val="Normal"/></w:pPr>
<w:r><w:t xml:space="preserve">with additions by Ibn-Abu-Osaiba (Ibn abi Usaibia), a</w:t></w:r>
</w:p>
<w:p>
<w:pPr><w:pStyle w:val="Normal"/></w:pPr>
<w:r><w:t xml:space="preserve">contemporary.  From that work we learn that the higher education</w:t></w:r>
</w:p>
<w:p>
<w:pPr><w:pStyle w:val="Normal"/></w:pPr>
<w:r><w:t xml:space="preserve">of the youth of Bagdad consisted principally in a minute and</w:t></w:r>
</w:p>
<w:p>
<w:pPr><w:pStyle w:val="Normal"/></w:pPr>
<w:r><w:t xml:space="preserve">careful study of the rules and principles of grammar, and in</w:t></w:r>
</w:p>
<w:p>
<w:pPr><w:pStyle w:val="Normal"/></w:pPr>
<w:r><w:t xml:space="preserve">their committing to memory the whole of the Koran, a treatise</w:t></w:r>
</w:p>
<w:p>
<w:pPr><w:pStyle w:val="Normal"/></w:pPr>
<w:r><w:t xml:space="preserve">or two on philology and jurisprudence, and the choicest Arabian</w:t></w:r>
</w:p>
<w:p>
<w:pPr><w:pStyle w:val="Normal"/></w:pPr>
<w:r><w:t xml:space="preserve">poetry.  After attaining to great proficiency in that kind of</w:t></w:r>
</w:p>
<w:p>
<w:pPr><w:pStyle w:val="Normal"/></w:pPr>
<w:r><w:t xml:space="preserve">learning, Abdallatif applied himself to natural philosophy and</w:t></w:r>
</w:p>
<w:p>
<w:pPr><w:pStyle w:val="Normal"/></w:pPr>
<w:r><w:t xml:space="preserve">medicine.  To enjoythe society of the learned, he went first</w:t></w:r>
</w:p>
<w:p>
<w:pPr><w:pStyle w:val="Normal"/></w:pPr>
<w:r><w:t xml:space="preserve">to Mosul (1189), and afterwards to Damascus.  With letters of</w:t></w:r>
</w:p>
<w:p>
<w:pPr><w:pStyle w:val="Normal"/></w:pPr>
<w:r><w:t xml:space="preserve">recommendation from Saladin&apos;s vizier, he visited Egypt, where</w:t></w:r>
</w:p>
<w:p>
<w:pPr><w:pStyle w:val="Normal"/></w:pPr>
<w:r><w:t xml:space="preserve">the wish he had long cherished to converse with Maimonides,</w:t></w:r>
</w:p>
<w:p>
<w:pPr><w:pStyle w:val="Normal"/></w:pPr>
<w:r><w:t xml:space="preserve">``the Eagle of the Doctors,&apos;&apos; was gratified.  He afterwards</w:t></w:r>
</w:p>
<w:p>
<w:pPr><w:pStyle w:val="Normal"/></w:pPr>
<w:r><w:t xml:space="preserve">formed one of the circle of learned men whom Saladin gathered</w:t></w:r>
</w:p>
<w:p>
<w:pPr><w:pStyle w:val="Normal"/></w:pPr>
<w:r><w:t xml:space="preserve">around him at Jerusalem.  He taught medicine and philosophy at</w:t></w:r>
</w:p>
<w:p>
<w:pPr><w:pStyle w:val="Normal"/></w:pPr>
<w:r><w:t xml:space="preserve">Cairo and at Damascus for a number of years, and afterwards,</w:t></w:r>
</w:p>
<w:p>
<w:pPr><w:pStyle w:val="Normal"/></w:pPr>
<w:r><w:t xml:space="preserve">for a shorter period, at Aleppo.  His love of travel led him</w:t></w:r>
</w:p>
<w:p>
<w:pPr><w:pStyle w:val="Normal"/></w:pPr>
<w:r><w:t xml:space="preserve">in his old age to visit different parts of Armenia and Asia</w:t></w:r>
</w:p>
<w:p>
<w:pPr><w:pStyle w:val="Normal"/></w:pPr>
<w:r><w:t xml:space="preserve">Minor, and he was setting out on a pilgrimage to Mecca when</w:t></w:r>
</w:p>
<w:p>
<w:pPr><w:pStyle w:val="Normal"/></w:pPr>
<w:r><w:t xml:space="preserve">he died at Bagdad in 1231.  Abdallatif was undoubtedly a</w:t></w:r>
</w:p>
<w:p>
<w:pPr><w:pStyle w:val="Normal"/></w:pPr>
<w:r><w:t xml:space="preserve">man of great knowledge and of an inquisitive and penetrating</w:t></w:r>
</w:p>
<w:p>
<w:pPr><w:pStyle w:val="Normal"/></w:pPr>
<w:r><w:t xml:space="preserve">mind.  Of the numerous works--mostly on medicine---which</w:t></w:r>
</w:p>
<w:p>
<w:pPr><w:pStyle w:val="Normal"/></w:pPr>
<w:r><w:t xml:space="preserve">Osaiba ascribes to bim, one only, his graphic and detailed</w:t></w:r>
</w:p>
<w:p>
<w:pPr><w:pStyle w:val="Normal"/></w:pPr>
<w:r><w:t xml:space="preserve">Account of Egypt (in two parts), appears to be known in</w:t></w:r>
</w:p>
<w:p>
<w:pPr><w:pStyle w:val="Normal"/></w:pPr>
<w:r><w:t xml:space="preserve">Europe.  The manuscript, discovered by Edward Pococke the</w:t></w:r>
</w:p>
<w:p>
<w:pPr><w:pStyle w:val="Normal"/></w:pPr>
<w:r><w:t xml:space="preserve">Orientalist, and preserved in the Bodleian Library, contains</w:t></w:r>
</w:p>
<w:p>
<w:pPr><w:pStyle w:val="Normal"/></w:pPr>
<w:r><w:t xml:space="preserve">a vivid description of a famine caused, during the author&apos;s</w:t></w:r>
</w:p>
<w:p>
<w:pPr><w:pStyle w:val="Normal"/></w:pPr>
<w:r><w:t xml:space="preserve">residence in Egypt, by the Nile failing to overflow its banks.</w:t></w:r>
</w:p>
<w:p>
<w:pPr><w:pStyle w:val="Normal"/></w:pPr>
<w:r><w:t xml:space="preserve">It was translated into Latin by Professor White of Oxford in</w:t></w:r>
</w:p>
<w:p>
<w:pPr><w:pStyle w:val="Normal"/></w:pPr>
<w:r><w:t xml:space="preserve">1800, and into French, with valuable notes, by De Sacy in 1810.</w:t></w:r>
</w:p>
<w:p>
<w:pPr><w:pStyle w:val="Normal"/></w:pPr>
<w:r><w:t xml:space="preserve">ABD-AR-RAHMAN, the name borne by five princes of the Omayyad dynasty,</w:t></w:r>
</w:p>
<w:p>
<w:pPr><w:pStyle w:val="Normal"/></w:pPr>
<w:r><w:t xml:space="preserve">amirs and caliphs of Cordova, two of them being rulers of great capacity.</w:t></w:r>
</w:p>
<w:p>
<w:pPr><w:pStyle w:val="Normal"/></w:pPr>
<w:r><w:t xml:space="preserve">ABD-AR-RAHMAN I. (756-788) was the founder of the branch of</w:t></w:r>
</w:p>
<w:p>
<w:pPr><w:pStyle w:val="Normal"/></w:pPr>
<w:r><w:t xml:space="preserve">the family which ruled for nearly three centuries in Mahommedan</w:t></w:r>
</w:p>
<w:p>
<w:pPr><w:pStyle w:val="Normal"/></w:pPr>
<w:r><w:t xml:space="preserve">Spain.  When the Omayyads were overthrown in the East by the</w:t></w:r>
</w:p>
<w:p>
<w:pPr><w:pStyle w:val="Normal"/></w:pPr>
<w:r><w:t xml:space="preserve">Abbasids he was a young man of about twenty years of age.</w:t></w:r>
</w:p>
<w:p>
<w:pPr><w:pStyle w:val="Normal"/></w:pPr>
<w:r><w:t xml:space="preserve">together with his brother Yahya, he took refuge with Bedouin</w:t></w:r>
</w:p>
<w:p>
<w:pPr><w:pStyle w:val="Normal"/></w:pPr>
<w:r><w:t xml:space="preserve">tribes in the desert.  The Abbasids hunted their enemies</w:t></w:r>
</w:p>
<w:p>
<w:pPr><w:pStyle w:val="Normal"/></w:pPr>
<w:r><w:t xml:space="preserve">down without mercy.  Their soldiers overtook the brothers;</w:t></w:r>
</w:p>
<w:p>
<w:pPr><w:pStyle w:val="Normal"/></w:pPr>
<w:r><w:t xml:space="preserve">Yahya was slain, and Abd-ar-rahman saved himself by fleeing</w:t></w:r>
</w:p>
<w:p>
<w:pPr><w:pStyle w:val="Normal"/></w:pPr>
<w:r><w:t xml:space="preserve">first to Syria and thence to northern Africa, the common</w:t></w:r>
</w:p>
<w:p>
<w:pPr><w:pStyle w:val="Normal"/></w:pPr>
<w:r><w:t xml:space="preserve">refuge of all who endeavoured to get beyond the reach of the</w:t></w:r>
</w:p>
<w:p>
<w:pPr><w:pStyle w:val="Normal"/></w:pPr>
<w:r><w:t xml:space="preserve">Abbasids.  In the general confusion of the caliphate produced</w:t></w:r>
</w:p>
<w:p>
<w:pPr><w:pStyle w:val="Normal"/></w:pPr>
<w:r><w:t xml:space="preserve">by the change of dynasty, Africa had fallen into the hands</w:t></w:r>
</w:p>
<w:p>
<w:pPr><w:pStyle w:val="Normal"/></w:pPr>
<w:r><w:t xml:space="preserve">of local rulers, formerly amirs or lieutenants of the Omayyad</w:t></w:r>
</w:p>
<w:p>
<w:pPr><w:pStyle w:val="Normal"/></w:pPr>
<w:r><w:t xml:space="preserve">caliphs, but now aiming at independence.  After a time</w:t></w:r>
</w:p>
<w:p>
<w:pPr><w:pStyle w:val="Normal"/></w:pPr>
<w:r><w:t xml:space="preserve">Abd-ar-rahman found that his life was threatened, and he</w:t></w:r>
</w:p>
<w:p>
<w:pPr><w:pStyle w:val="Normal"/></w:pPr>
<w:r><w:t xml:space="preserve">fled farther west, taking refuge among the Berber tribes of</w:t></w:r>
</w:p>
<w:p>
<w:pPr><w:pStyle w:val="Normal"/></w:pPr>
<w:r><w:t xml:space="preserve">Mauritania.  In the midst of all his perils, which read like</w:t></w:r>
</w:p>
<w:p>
<w:pPr><w:pStyle w:val="Normal"/></w:pPr>
<w:r><w:t xml:space="preserve">stories from the Arabian Nights, Abd-ar-rahman had been</w:t></w:r>
</w:p>
<w:p>
<w:pPr><w:pStyle w:val="Normal"/></w:pPr>
<w:r><w:t xml:space="preserve">encouraged by reliance on a prophecy of his great-uncle Maslama</w:t></w:r>
</w:p>
<w:p>
<w:pPr><w:pStyle w:val="Normal"/></w:pPr>
<w:r><w:t xml:space="preserve">that he would restore the fortune of the family.  He was</w:t></w:r>
</w:p>
<w:p>
<w:pPr><w:pStyle w:val="Normal"/></w:pPr>
<w:r><w:t xml:space="preserve">followed in all his wanderings by a few faithful clients of the</w:t></w:r>
</w:p>
<w:p>
<w:pPr><w:pStyle w:val="Normal"/></w:pPr>
<w:r><w:t xml:space="preserve">Omayyads.  In 755 he was in hiding near Ceuta, and thence</w:t></w:r>
</w:p>
<w:p>
<w:pPr><w:pStyle w:val="Normal"/></w:pPr>
<w:r><w:t xml:space="preserve">he sent an agent over to Spain to ask for the support of</w:t></w:r>
</w:p>
<w:p>
<w:pPr><w:pStyle w:val="Normal"/></w:pPr>
<w:r><w:t xml:space="preserve">other clients of the family, descendants of the conquerors of</w:t></w:r>
</w:p>
<w:p>
<w:pPr><w:pStyle w:val="Normal"/></w:pPr>
<w:r><w:t xml:space="preserve">Spain, who were numerous in the province of Elvira, the modern</w:t></w:r>
</w:p>
<w:p>
<w:pPr><w:pStyle w:val="Normal"/></w:pPr>
<w:r><w:t xml:space="preserve">Granada.  The country was in a state of confusion under the</w:t></w:r>
</w:p>
<w:p>
<w:pPr><w:pStyle w:val="Normal"/></w:pPr>
<w:r><w:t xml:space="preserve">weak rule of the amir Yusef, a mere puppet in the hands of a</w:t></w:r>
</w:p>
<w:p>
<w:pPr><w:pStyle w:val="Normal"/></w:pPr>
<w:r><w:t xml:space="preserve">faction, and was torn by tribal dissensions among the Arabs</w:t></w:r>
</w:p>
<w:p>
<w:pPr><w:pStyle w:val="Normal"/></w:pPr>
<w:r><w:t xml:space="preserve">and by race conflicts between the Arabs and Berbers.  It</w:t></w:r>
</w:p>
<w:p>
<w:pPr><w:pStyle w:val="Normal"/></w:pPr>
<w:r><w:t xml:space="preserve">offered Abd-ar-rahman the opportunity he had falled to find in</w:t></w:r>
</w:p>
<w:p>
<w:pPr><w:pStyle w:val="Normal"/></w:pPr>
<w:r><w:t xml:space="preserve">Africa.  On the invitation of his partisans he landed at</w:t></w:r>
</w:p>
<w:p>
<w:pPr><w:pStyle w:val="Normal"/></w:pPr>
<w:r><w:t xml:space="preserve">Almunecar, to the east of Malaga, in September 755. For a</w:t></w:r>
</w:p>
<w:p>
<w:pPr><w:pStyle w:val="Normal"/></w:pPr>
<w:r><w:t xml:space="preserve">time he was compelled to submit to be guided by his supporters,</w:t></w:r>
</w:p>
<w:p>
<w:pPr><w:pStyle w:val="Normal"/></w:pPr>
<w:r><w:t xml:space="preserve">who were aware of the risks of their venture.  Yusef opened</w:t></w:r>
</w:p>
<w:p>
<w:pPr><w:pStyle w:val="Normal"/></w:pPr>
<w:r><w:t xml:space="preserve">negotiations, and offered to give Abdar-rahman one of his</w:t></w:r>
</w:p>
<w:p>
<w:pPr><w:pStyle w:val="Normal"/></w:pPr>
<w:r><w:t xml:space="preserve">daughters in marriage and a grant of land.  This was far less</w:t></w:r>
</w:p>
<w:p>
<w:pPr><w:pStyle w:val="Normal"/></w:pPr>
<w:r><w:t xml:space="preserve">than the prince meant to obtain, but he would probably have</w:t></w:r>
</w:p>
<w:p>
<w:pPr><w:pStyle w:val="Normal"/></w:pPr>
<w:r><w:t xml:space="preserve">been forced to accept the offer for want of a better if the</w:t></w:r>
</w:p>
<w:p>
<w:pPr><w:pStyle w:val="Normal"/></w:pPr>
<w:r><w:t xml:space="preserve">insolence of one of Yusef&apos;s messengers, a Spanish renegade,</w:t></w:r>
</w:p>
<w:p>
<w:pPr><w:pStyle w:val="Normal"/></w:pPr>
<w:r><w:t xml:space="preserve">had not outraged a chief partisan of the Omayyad cause.  He</w:t></w:r>
</w:p>
<w:p>
<w:pPr><w:pStyle w:val="Normal"/></w:pPr>
<w:r><w:t xml:space="preserve">taunted this gentleman, Obeidullah by name, with being unable</w:t></w:r>
</w:p>
<w:p>
<w:pPr><w:pStyle w:val="Normal"/></w:pPr>
<w:r><w:t xml:space="preserve">to write good Arabic.  Under this provocation Obeidullah drew</w:t></w:r>
</w:p>
<w:p>
<w:pPr><w:pStyle w:val="Normal"/></w:pPr>
<w:r><w:t xml:space="preserve">the sword.  In the course of 756 a campaign was fought in</w:t></w:r>
</w:p>
<w:p>
<w:pPr><w:pStyle w:val="Normal"/></w:pPr>
<w:r><w:t xml:space="preserve">the valley of the Guadalquivir, which ended, on the 16th of</w:t></w:r>
</w:p>
<w:p>
<w:pPr><w:pStyle w:val="Normal"/></w:pPr>
<w:r><w:t xml:space="preserve">May, in the defeat of Yusef outside Cordova.  Abdar-rahman&apos;s</w:t></w:r>
</w:p>
<w:p>
<w:pPr><w:pStyle w:val="Normal"/></w:pPr>
<w:r><w:t xml:space="preserve">army was so ill provided that he mounted almost the only good</w:t></w:r>
</w:p>
<w:p>
<w:pPr><w:pStyle w:val="Normal"/></w:pPr>
<w:r><w:t xml:space="preserve">war-horse in it; he had no banner, and one was improvised by</w:t></w:r>
</w:p>
<w:p>
<w:pPr><w:pStyle w:val="Normal"/></w:pPr>
<w:r><w:t xml:space="preserve">unwinding a green turban and binding it round the head of a</w:t></w:r>
</w:p>
<w:p>
<w:pPr><w:pStyle w:val="Normal"/></w:pPr>
<w:r><w:t xml:space="preserve">spear.  The turban and the spear became the banner of the Spanish</w:t></w:r>
</w:p>
<w:p>
<w:pPr><w:pStyle w:val="Normal"/></w:pPr>
<w:r><w:t xml:space="preserve">Omayyads.  The long reign of Abd-arrahman I. was spent in a</w:t></w:r>
</w:p>
<w:p>
<w:pPr><w:pStyle w:val="Normal"/></w:pPr>
<w:r><w:t xml:space="preserve">struggle to reduce his anarchical Arab and Berber subjects to</w:t></w:r>
</w:p>
<w:p>
<w:pPr><w:pStyle w:val="Normal"/></w:pPr>
<w:r><w:t xml:space="preserve">order.  They had never meant to give themselves a master, and</w:t></w:r>
</w:p>
<w:p>
<w:pPr><w:pStyle w:val="Normal"/></w:pPr>
<w:r><w:t xml:space="preserve">they chafed under his hand, which grew continually heavier.</w:t></w:r>
</w:p>
<w:p>
<w:pPr><w:pStyle w:val="Normal"/></w:pPr>
<w:r><w:t xml:space="preserve">The details of these conflicts belong to the general history of</w:t></w:r>
</w:p>
<w:p>
<w:pPr><w:pStyle w:val="Normal"/></w:pPr>
<w:r><w:t xml:space="preserve">Spain.  It is, however, part of the personal history of</w:t></w:r>
</w:p>
<w:p>
<w:pPr><w:pStyle w:val="Normal"/></w:pPr>
<w:r><w:t xml:space="preserve">Abd-ar-rahman that when in 763 he was compelled to fight at the</w:t></w:r>
</w:p>
<w:p>
<w:pPr><w:pStyle w:val="Normal"/></w:pPr>
<w:r><w:t xml:space="preserve">very gate of his capital with rebels acting on behalf of the</w:t></w:r>
</w:p>
<w:p>
<w:pPr><w:pStyle w:val="Normal"/></w:pPr>
<w:r><w:t xml:space="preserve">Abbasids, and had won a signal victory, he cut off the heads</w:t></w:r>
</w:p>
<w:p>
<w:pPr><w:pStyle w:val="Normal"/></w:pPr>
<w:r><w:t xml:space="preserve">of the leaders, filled them with salt and camphor and sent</w:t></w:r>
</w:p>
<w:p>
<w:pPr><w:pStyle w:val="Normal"/></w:pPr>
<w:r><w:t xml:space="preserve">them as a defiance to the eastern caliph.  His last years were</w:t></w:r>
</w:p>
<w:p>
<w:pPr><w:pStyle w:val="Normal"/></w:pPr>
<w:r><w:t xml:space="preserve">spent amid a succession of palace conspiracies, repressed with</w:t></w:r>
</w:p>
<w:p>
<w:pPr><w:pStyle w:val="Normal"/></w:pPr>
<w:r><w:t xml:space="preserve">cruelty.  Abd-ar-rahman grew embittered and ferocious.  He was</w:t></w:r>
</w:p>
<w:p>
<w:pPr><w:pStyle w:val="Normal"/></w:pPr>
<w:r><w:t xml:space="preserve">a fine example of an oriental founder of a dynasty, and did his</w:t></w:r>
</w:p>
<w:p>
<w:pPr><w:pStyle w:val="Normal"/></w:pPr>
<w:r><w:t xml:space="preserve">work so well that the Omayyads lasted in Spain for two centuries</w:t></w:r>
</w:p>
<w:p>
<w:pPr><w:pStyle w:val="Normal"/></w:pPr>
<w:r><w:t xml:space="preserve">and a half.</w:t></w:r>
</w:p>
<w:p>
<w:pPr><w:pStyle w:val="Normal"/></w:pPr>
<w:r><w:t xml:space="preserve">ABD-AR-RAHMAN II. (822-852) was one of the weaker of</w:t></w:r>
</w:p>
<w:p>
<w:pPr><w:pStyle w:val="Normal"/></w:pPr>
<w:r><w:t xml:space="preserve">the Spanish Omayyads.  He was a prince with a taste for</w:t></w:r>
</w:p>
<w:p>
<w:pPr><w:pStyle w:val="Normal"/></w:pPr>
<w:r><w:t xml:space="preserve">music and literature, whose reign was a time of confusion.</w:t></w:r>
</w:p>
<w:p>
<w:pPr><w:pStyle w:val="Normal"/></w:pPr>
<w:r><w:t xml:space="preserve">It is chiefly memorable for having included the story of</w:t></w:r>
</w:p>
<w:p>
<w:pPr><w:pStyle w:val="Normal"/></w:pPr>
<w:r><w:t xml:space="preserve">the ``Martyrs of Cordova,&apos;&apos; one of the most remarkable</w:t></w:r>
</w:p>
<w:p>
<w:pPr><w:pStyle w:val="Normal"/></w:pPr>
<w:r><w:t xml:space="preserve">passages in the religious history of the middle ages.</w:t></w:r>
</w:p>
<w:p>
<w:pPr><w:pStyle w:val="Normal"/></w:pPr>
<w:r><w:t xml:space="preserve">ABD-AR-RAHMAN III. (912-961) was the greatest and the most</w:t></w:r>
</w:p>
<w:p>
<w:pPr><w:pStyle w:val="Normal"/></w:pPr>
<w:r><w:t xml:space="preserve">successful of the princes of his dynasty in Spain (for the</w:t></w:r>
</w:p>
<w:p>
<w:pPr><w:pStyle w:val="Normal"/></w:pPr>
<w:r><w:t xml:space="preserve">general history of his reign see SPAIN, History). He</w:t></w:r>
</w:p>
<w:p>
<w:pPr><w:pStyle w:val="Normal"/></w:pPr>
<w:r><w:t xml:space="preserve">ascended the throne when he was barely twenty-two and reigned</w:t></w:r>
</w:p>
<w:p>
<w:pPr><w:pStyle w:val="Normal"/></w:pPr>
<w:r><w:t xml:space="preserve">for half a century.  His life was so completely identified</w:t></w:r>
</w:p>
<w:p>
<w:pPr><w:pStyle w:val="Normal"/></w:pPr>
<w:r><w:t xml:space="preserve">with the government of the state that he offers less material</w:t></w:r>
</w:p>
<w:p>
<w:pPr><w:pStyle w:val="Normal"/></w:pPr>
<w:r><w:t xml:space="preserve">for biography than his ancestor Abd-ar-rahman I. Yet it</w:t></w:r>
</w:p>
<w:p>
<w:pPr><w:pStyle w:val="Normal"/></w:pPr>
<w:r><w:t xml:space="preserve">supplies some passages which show the real character of an</w:t></w:r>
</w:p>
<w:p>
<w:pPr><w:pStyle w:val="Normal"/></w:pPr>
<w:r><w:t xml:space="preserve">oriental dynasty even at its best.  Abd-ar-rahman III. was</w:t></w:r>
</w:p>
<w:p>
<w:pPr><w:pStyle w:val="Normal"/></w:pPr>
<w:r><w:t xml:space="preserve">the grandson of his predecessor, Abdallah, one of the weakest</w:t></w:r>
</w:p>
<w:p>
<w:pPr><w:pStyle w:val="Normal"/></w:pPr>
<w:r><w:t xml:space="preserve">and worst of the Spanish Omayyads.  His father, Mahommed,</w:t></w:r>
</w:p>
<w:p>
<w:pPr><w:pStyle w:val="Normal"/></w:pPr>
<w:r><w:t xml:space="preserve">was murdered by a brother Motarrif by order of Abdallah The</w:t></w:r>
</w:p>
<w:p>
<w:pPr><w:pStyle w:val="Normal"/></w:pPr>
<w:r><w:t xml:space="preserve">old sultan was so far influenced by humanity and remorse</w:t></w:r>
</w:p>
<w:p>
<w:pPr><w:pStyle w:val="Normal"/></w:pPr>
<w:r><w:t xml:space="preserve">that he treated his grandson kindly.</w:t></w:r>
</w:p>
<w:p>
<w:pPr><w:pStyle w:val="Normal"/></w:pPr>
<w:r><w:t xml:space="preserve"> Abd-ar-rahman III.</w:t></w:r>
</w:p>
<w:p>
<w:pPr><w:pStyle w:val="Normal"/></w:pPr>
<w:r><w:t xml:space="preserve">came to the throne when the country was exhausted by more</w:t></w:r>
</w:p>
<w:p>
<w:pPr><w:pStyle w:val="Normal"/></w:pPr>
<w:r><w:t xml:space="preserve">than a generation of tribal conflict among the Arabs, and</w:t></w:r>
</w:p>
<w:p>
<w:pPr><w:pStyle w:val="Normal"/></w:pPr>
<w:r><w:t xml:space="preserve">of strife between them and the Mahommedans of native Spanish</w:t></w:r>
</w:p>
<w:p>
<w:pPr><w:pStyle w:val="Normal"/></w:pPr>
<w:r><w:t xml:space="preserve">descent.  Spaniards who were openly or secretly Christians</w:t></w:r>
</w:p>
<w:p>
<w:pPr><w:pStyle w:val="Normal"/></w:pPr>
<w:r><w:t xml:space="preserve">had acted with the renegades.  These elements, which formed</w:t></w:r>
</w:p>
<w:p>
<w:pPr><w:pStyle w:val="Normal"/></w:pPr>
<w:r><w:t xml:space="preserve">the bulk of the population, were not averse from supporting</w:t></w:r>
</w:p>
<w:p>
<w:pPr><w:pStyle w:val="Normal"/></w:pPr>
<w:r><w:t xml:space="preserve">a strong ruler who would protect them against the Arab</w:t></w:r>
</w:p>
<w:p>
<w:pPr><w:pStyle w:val="Normal"/></w:pPr>
<w:r><w:t xml:space="preserve">aristocracy.  These restless nobles were the most serious</w:t></w:r>
</w:p>
<w:p>
<w:pPr><w:pStyle w:val="Normal"/></w:pPr>
<w:r><w:t xml:space="preserve">of Abd-ar-rahman&apos;s enemies.  Next to them came the Fatimites</w:t></w:r>
</w:p>
<w:p>
<w:pPr><w:pStyle w:val="Normal"/></w:pPr>
<w:r><w:t xml:space="preserve">of Egypt and northern Africa, who claimed the caliphate,</w:t></w:r>
</w:p>
<w:p>
<w:pPr><w:pStyle w:val="Normal"/></w:pPr>
<w:r><w:t xml:space="preserve">and who aimed at extending their rule over the Mahommedan</w:t></w:r>
</w:p>
<w:p>
<w:pPr><w:pStyle w:val="Normal"/></w:pPr>
<w:r><w:t xml:space="preserve">world, at least in the west.  Abd-ar-rahman subdued the nobles</w:t></w:r>
</w:p>
<w:p>
<w:pPr><w:pStyle w:val="Normal"/></w:pPr>
<w:r><w:t xml:space="preserve">by means of a mercenary army, which included Christians.</w:t></w:r>
</w:p>
<w:p>
<w:pPr><w:pStyle w:val="Normal"/></w:pPr>
<w:r><w:t xml:space="preserve">He repelled the Fatimites, partly by supporting their</w:t></w:r>
</w:p>
<w:p>
<w:pPr><w:pStyle w:val="Normal"/></w:pPr>
<w:r><w:t xml:space="preserve">enemies in Africa, and partly by claiming the caliphate for</w:t></w:r>
</w:p>
<w:p>
<w:pPr><w:pStyle w:val="Normal"/></w:pPr>
<w:r><w:t xml:space="preserve">himself.  His ancestors in Spain had been content the the</w:t></w:r>
</w:p>
<w:p>
<w:pPr><w:pStyle w:val="Normal"/></w:pPr>
<w:r><w:t xml:space="preserve">title of sultan.  The caliphate was thought only to belong</w:t></w:r>
</w:p>
<w:p>
<w:pPr><w:pStyle w:val="Normal"/></w:pPr>
<w:r><w:t xml:space="preserve">to the prince who ruled over the sacred cities of Mecca and</w:t></w:r>
</w:p>
<w:p>
<w:pPr><w:pStyle w:val="Normal"/></w:pPr>
<w:r><w:t xml:space="preserve">Medina.  But the force of this tradition had been so far</w:t></w:r>
</w:p>
<w:p>
<w:pPr><w:pStyle w:val="Normal"/></w:pPr>
<w:r><w:t xml:space="preserve">weakened that Abd-ar-rahman could proclaim himself caliph on</w:t></w:r>
</w:p>
<w:p>
<w:pPr><w:pStyle w:val="Normal"/></w:pPr>
<w:r><w:t xml:space="preserve">the 16th of January 929, and the assumption of the title gave</w:t></w:r>
</w:p>
<w:p>
<w:pPr><w:pStyle w:val="Normal"/></w:pPr>
<w:r><w:t xml:space="preserve">him increased prestige with his subjects, both in Spain and</w:t></w:r>
</w:p>
<w:p>
<w:pPr><w:pStyle w:val="Normal"/></w:pPr>
<w:r><w:t xml:space="preserve">Africa.  His worst enemies were always his fellow Mahommedans.</w:t></w:r>
</w:p>
<w:p>
<w:pPr><w:pStyle w:val="Normal"/></w:pPr>
<w:r><w:t xml:space="preserve">After he was defeated by the Christians at Alhandega</w:t></w:r>
</w:p>
<w:p>
<w:pPr><w:pStyle w:val="Normal"/></w:pPr>
<w:r><w:t xml:space="preserve">in 939 through the treason of the Arab nobles in his</w:t></w:r>
</w:p>
<w:p>
<w:pPr><w:pStyle w:val="Normal"/></w:pPr>
<w:r><w:t xml:space="preserve">army (see SPAIN, History) he never again took the</w:t></w:r>
</w:p>
<w:p>
<w:pPr><w:pStyle w:val="Normal"/></w:pPr>
<w:r><w:t xml:space="preserve">field.  He is accused of having sunk in his later years</w:t></w:r>
</w:p>
<w:p>
<w:pPr><w:pStyle w:val="Normal"/></w:pPr>
<w:r><w:t xml:space="preserve">into the self-indulgent habits of the harem.  When the</w:t></w:r>
</w:p>
<w:p>
<w:pPr><w:pStyle w:val="Normal"/></w:pPr>
<w:r><w:t xml:space="preserve">undoubted prosperity of his dominions is quoted as an</w:t></w:r>
</w:p>
<w:p>
<w:pPr><w:pStyle w:val="Normal"/></w:pPr>
<w:r><w:t xml:space="preserve">example of successful Mahommedan rule, it is well to remember</w:t></w:r>
</w:p>
<w:p>
<w:pPr><w:pStyle w:val="Normal"/></w:pPr>
<w:r><w:t xml:space="preserve">that he administered well not by means of but in spite of</w:t></w:r>
</w:p>
<w:p>
<w:pPr><w:pStyle w:val="Normal"/></w:pPr>
<w:r><w:t xml:space="preserve">Mahommedans.  The high praise given to his administration may</w:t></w:r>
</w:p>
<w:p>
<w:pPr><w:pStyle w:val="Normal"/></w:pPr>
<w:r><w:t xml:space="preserve">even excite some doubts as to its real excellence.  We are</w:t></w:r>
</w:p>
<w:p>
<w:pPr><w:pStyle w:val="Normal"/></w:pPr>
<w:r><w:t xml:space="preserve">told that a third of his revenue sufficed for the ordinary</w:t></w:r>
</w:p>
<w:p>
<w:pPr><w:pStyle w:val="Normal"/></w:pPr>
<w:r><w:t xml:space="preserve">expenses of government, a third was hoarded and a third spent on</w:t></w:r>
</w:p>
<w:p>
<w:pPr><w:pStyle w:val="Normal"/></w:pPr>
<w:r><w:t xml:space="preserve">buildings.  A very large proportion of the surplus must</w:t></w:r>
</w:p>
<w:p>
<w:pPr><w:pStyle w:val="Normal"/></w:pPr>
<w:r><w:t xml:space="preserve">have been wasted on the palace-town of Zahra, built three</w:t></w:r>
</w:p>
<w:p>
<w:pPr><w:pStyle w:val="Normal"/></w:pPr>
<w:r><w:t xml:space="preserve">miles to the north of Cordova, and named after a favourite</w:t></w:r>
</w:p>
<w:p>
<w:pPr><w:pStyle w:val="Normal"/></w:pPr>
<w:r><w:t xml:space="preserve">concubine.  Ten thousand workmen are said to have been employed</w:t></w:r>
</w:p>
<w:p>
<w:pPr><w:pStyle w:val="Normal"/></w:pPr>
<w:r><w:t xml:space="preserve">for twenty-five years on this wonder, of which no trace now</w:t></w:r>
</w:p>
<w:p>
<w:pPr><w:pStyle w:val="Normal"/></w:pPr>
<w:r><w:t xml:space="preserve">remains.  The great monument of early Arabic architecture in</w:t></w:r>
</w:p>
<w:p>
<w:pPr><w:pStyle w:val="Normal"/></w:pPr>
<w:r><w:t xml:space="preserve">Spain, the mosque of Cordoya, was built by his predecessors,</w:t></w:r>
</w:p>
<w:p>
<w:pPr><w:pStyle w:val="Normal"/></w:pPr>
<w:r><w:t xml:space="preserve">not by him.  It is said that his harem included six thousand</w:t></w:r>
</w:p>
<w:p>
<w:pPr><w:pStyle w:val="Normal"/></w:pPr>
<w:r><w:t xml:space="preserve">women.  Abd-ar-rahman was tolerant, but it is highly probable</w:t></w:r>
</w:p>
<w:p>
<w:pPr><w:pStyle w:val="Normal"/></w:pPr>
<w:r><w:t xml:space="preserve">that he was very indifferent in religion, and it is certain</w:t></w:r>
</w:p>
<w:p>
<w:pPr><w:pStyle w:val="Normal"/></w:pPr>
<w:r><w:t xml:space="preserve">that he was a thorough despot.  One of the most authentic</w:t></w:r>
</w:p>
<w:p>
<w:pPr><w:pStyle w:val="Normal"/></w:pPr>
<w:r><w:t xml:space="preserve">sayings attributed to him is his criticism of Otto I. of</w:t></w:r>
</w:p>
<w:p>
<w:pPr><w:pStyle w:val="Normal"/></w:pPr>
<w:r><w:t xml:space="preserve">Germany, recorded by Otto&apos;s ambassador, Johann, abbot of</w:t></w:r>
</w:p>
<w:p>
<w:pPr><w:pStyle w:val="Normal"/></w:pPr>
<w:r><w:t xml:space="preserve">Gorze, who has left in his Vita an incomplete account</w:t></w:r>
</w:p>
<w:p>
<w:pPr><w:pStyle w:val="Normal"/></w:pPr>
<w:r><w:t xml:space="preserve">of his embassy (in Pertz, Mon. Germ. Scriptores, iv.</w:t></w:r>
</w:p>
<w:p>
<w:pPr><w:pStyle w:val="Normal"/></w:pPr>
<w:r><w:t xml:space="preserve">355-377).  He blamed the king of Germany for trusting his nobles,</w:t></w:r>
</w:p>
<w:p>
<w:pPr><w:pStyle w:val="Normal"/></w:pPr>
<w:r><w:t xml:space="preserve">which he said could only increase their pride and leaning to</w:t></w:r>
</w:p>
<w:p>
<w:pPr><w:pStyle w:val="Normal"/></w:pPr>
<w:r><w:t xml:space="preserve">rebellion.  His confession that he had known only twenty happy</w:t></w:r>
</w:p>
<w:p>
<w:pPr><w:pStyle w:val="Normal"/></w:pPr>
<w:r><w:t xml:space="preserve">days in his long reign is perhaps a moral tale, to be classed</w:t></w:r>
</w:p>
<w:p>
<w:pPr><w:pStyle w:val="Normal"/></w:pPr>
<w:r><w:t xml:space="preserve">with the ``omnia fui, et nil expedit&apos;&apos; of Septimius Severus.</w:t></w:r>
</w:p>
<w:p>
<w:pPr><w:pStyle w:val="Normal"/></w:pPr>
<w:r><w:t xml:space="preserve">In the agony of the Omayyad dynasty in Spain, two princes</w:t></w:r>
</w:p>
<w:p>
<w:pPr><w:pStyle w:val="Normal"/></w:pPr>
<w:r><w:t xml:space="preserve">of the house were proclaimed caliphs for a very short time,</w:t></w:r>
</w:p>
<w:p>
<w:pPr><w:pStyle w:val="Normal"/></w:pPr>
<w:r><w:t xml:space="preserve">Abd-ar-rahman IV. Mortada (1017), and Abd-ar-rahman V. Mostadir</w:t></w:r>
</w:p>
<w:p>
<w:pPr><w:pStyle w:val="Normal"/></w:pPr>
<w:r><w:t xml:space="preserve">(1023-1024).  Both were the mere puppets of factions, who</w:t></w:r>
</w:p>
<w:p>
<w:pPr><w:pStyle w:val="Normal"/></w:pPr>
<w:r><w:t xml:space="preserve">deserted them at once.  Abd-ar-rahman IV. was murdered</w:t></w:r>
</w:p>
<w:p>
<w:pPr><w:pStyle w:val="Normal"/></w:pPr>
<w:r><w:t xml:space="preserve">in the year in which he was proclaimed, at Guadiz, when</w:t></w:r>
</w:p>
<w:p>
<w:pPr><w:pStyle w:val="Normal"/></w:pPr>
<w:r><w:t xml:space="preserve">fleeing from a battle in which he had been deserted by his</w:t></w:r>
</w:p>
<w:p>
<w:pPr><w:pStyle w:val="Normal"/></w:pPr>
<w:r><w:t xml:space="preserve">supporters.  Abd-ar-rahman V. was proclaimed caliph in</w:t></w:r>
</w:p>
<w:p>
<w:pPr><w:pStyle w:val="Normal"/></w:pPr>
<w:r><w:t xml:space="preserve">December 1023 at Cordova, and murdered in January 1024 by a</w:t></w:r>
</w:p>
<w:p>
<w:pPr><w:pStyle w:val="Normal"/></w:pPr>
<w:r><w:t xml:space="preserve">mob of unemployed workmen, headed by one of his own cousins.</w:t></w:r>
</w:p>
<w:p>
<w:pPr><w:pStyle w:val="Normal"/></w:pPr>
<w:r><w:t xml:space="preserve">The history of the Omayyads in Spain is the subject of the Histoire</w:t></w:r>
</w:p>
<w:p>
<w:pPr><w:pStyle w:val="Normal"/></w:pPr>
<w:r><w:t xml:space="preserve">des Musulmans d&apos;Espagne, by R. Dozy (Leiden, 1861). (D. H.)</w:t></w:r>
</w:p>
<w:p>
<w:pPr><w:pStyle w:val="Normal"/></w:pPr>
<w:r><w:t xml:space="preserve">ABD-EL-AZIZ IV. (1880- ), sultan of Morocco, son of Sultan</w:t></w:r>
</w:p>
<w:p>
<w:pPr><w:pStyle w:val="Normal"/></w:pPr>
<w:r><w:t xml:space="preserve">Mulai el Hasan III. by a Circassian wife.  He was fourteen</w:t></w:r>
</w:p>
<w:p>
<w:pPr><w:pStyle w:val="Normal"/></w:pPr>
<w:r><w:t xml:space="preserve">years of age on his father&apos;s death in 1894.  By the wise action</w:t></w:r>
</w:p>
<w:p>
<w:pPr><w:pStyle w:val="Normal"/></w:pPr>
<w:r><w:t xml:space="preserve">of Si Ahmad bin Musa, the chamberlain of El Hasan, Abd-el</w:t></w:r>
</w:p>
<w:p>
<w:pPr><w:pStyle w:val="Normal"/></w:pPr>
<w:r><w:t xml:space="preserve">Aziz&apos;s accession to the sultanate was ensured with but little</w:t></w:r>
</w:p>
<w:p>
<w:pPr><w:pStyle w:val="Normal"/></w:pPr>
<w:r><w:t xml:space="preserve">fighting.  Si Ahmad became regent and for six years showed</w:t></w:r>
</w:p>
<w:p>
<w:pPr><w:pStyle w:val="Normal"/></w:pPr>
<w:r><w:t xml:space="preserve">himself a capable ruler.  On his death in 1900 the regency</w:t></w:r>
</w:p>
<w:p>
<w:pPr><w:pStyle w:val="Normal"/></w:pPr>
<w:r><w:t xml:space="preserve">ended, and Abd-el-Aziz took the reins of government into his own</w:t></w:r>
</w:p>
<w:p>
<w:pPr><w:pStyle w:val="Normal"/></w:pPr>
<w:r><w:t xml:space="preserve">hands, with an Arab from the south, El Menebhi, for his chief</w:t></w:r>
</w:p>
<w:p>
<w:pPr><w:pStyle w:val="Normal"/></w:pPr>
<w:r><w:t xml:space="preserve">adviser.  Urged by his Circassian mother, the sultan sought</w:t></w:r>
</w:p>
<w:p>
<w:pPr><w:pStyle w:val="Normal"/></w:pPr>
<w:r><w:t xml:space="preserve">advice and counsel from Europe and endeavoured to act up to</w:t></w:r>
</w:p>
<w:p>
<w:pPr><w:pStyle w:val="Normal"/></w:pPr>
<w:r><w:t xml:space="preserve">it.  But disinterested advice was difficult to obtain, and</w:t></w:r>
</w:p>
<w:p>
<w:pPr><w:pStyle w:val="Normal"/></w:pPr>
<w:r><w:t xml:space="preserve">in spite of the unquestionable desire of the young ruler to</w:t></w:r>
</w:p>
<w:p>
<w:pPr><w:pStyle w:val="Normal"/></w:pPr>
<w:r><w:t xml:space="preserve">do the best for the country, wild extravagance both in action</w:t></w:r>
</w:p>
<w:p>
<w:pPr><w:pStyle w:val="Normal"/></w:pPr>
<w:r><w:t xml:space="preserve">and expenditure resulted, leaving the sultan with depleted</w:t></w:r>
</w:p>
<w:p>
<w:pPr><w:pStyle w:val="Normal"/></w:pPr>
<w:r><w:t xml:space="preserve">exchequer and the confidence of his people impaired.  His</w:t></w:r>
</w:p>
<w:p>
<w:pPr><w:pStyle w:val="Normal"/></w:pPr>
<w:r><w:t xml:space="preserve">intimacy with foreigners and his imitation of their ways were</w:t></w:r>
</w:p>
<w:p>
<w:pPr><w:pStyle w:val="Normal"/></w:pPr>
<w:r><w:t xml:space="preserve">sufficient to rouse fanaticism and create dissatisfaction.</w:t></w:r>
</w:p>
<w:p>
<w:pPr><w:pStyle w:val="Normal"/></w:pPr>
<w:r><w:t xml:space="preserve">His attempt to reorganize the finances by the systematic levy</w:t></w:r>
</w:p>
<w:p>
<w:pPr><w:pStyle w:val="Normal"/></w:pPr>
<w:r><w:t xml:space="preserve">of taxes was hailed with delight, but the government was not</w:t></w:r>
</w:p>
<w:p>
<w:pPr><w:pStyle w:val="Normal"/></w:pPr>
<w:r><w:t xml:space="preserve">strong enough to carry the measures through, and the money</w:t></w:r>
</w:p>
<w:p>
<w:pPr><w:pStyle w:val="Normal"/></w:pPr>
<w:r><w:t xml:space="preserve">which should have been used to pay the taxes was employed</w:t></w:r>
</w:p>
<w:p>
<w:pPr><w:pStyle w:val="Normal"/></w:pPr>
<w:r><w:t xml:space="preserve">to purchase firearms.  Thus the benign intentions of Mulai</w:t></w:r>
</w:p>
<w:p>
<w:pPr><w:pStyle w:val="Normal"/></w:pPr>
<w:r><w:t xml:space="preserve">Abdel-Aziz were interpreted as weakness, and Europeans were</w:t></w:r>
</w:p>
<w:p>
<w:pPr><w:pStyle w:val="Normal"/></w:pPr>
<w:r><w:t xml:space="preserve">accused of having spoiled the sultan and of being desirous of</w:t></w:r>
</w:p>
<w:p>
<w:pPr><w:pStyle w:val="Normal"/></w:pPr>
<w:r><w:t xml:space="preserve">spoiling the country.  When British engineers were employed</w:t></w:r>
</w:p>
<w:p>
<w:pPr><w:pStyle w:val="Normal"/></w:pPr>
<w:r><w:t xml:space="preserve">to survey the route for a railway between Mequinez and</w:t></w:r>
</w:p>
<w:p>
<w:pPr><w:pStyle w:val="Normal"/></w:pPr>
<w:r><w:t xml:space="preserve">Fez, this was reported as indicating an absolute sale of the</w:t></w:r>
</w:p>
<w:p>
<w:pPr><w:pStyle w:val="Normal"/></w:pPr>
<w:r><w:t xml:space="preserve">country.  The fanaticism of the people was aroused, and a</w:t></w:r>
</w:p>
<w:p>
<w:pPr><w:pStyle w:val="Normal"/></w:pPr>
<w:r><w:t xml:space="preserve">revolt broke out near the Algerian frontier.  Such was the</w:t></w:r>
</w:p>
<w:p>
<w:pPr><w:pStyle w:val="Normal"/></w:pPr>
<w:r><w:t xml:space="preserve">condition of things when the news of the Anglo-French Agreement</w:t></w:r>
</w:p>
<w:p>
<w:pPr><w:pStyle w:val="Normal"/></w:pPr>
<w:r><w:t xml:space="preserve">of 1904 came as a blow to Abd-el-Aziz, who had relied on</w:t></w:r>
</w:p>
<w:p>
<w:pPr><w:pStyle w:val="Normal"/></w:pPr>
<w:r><w:t xml:space="preserve">England for support and protection  against the inroads of</w:t></w:r>
</w:p>
<w:p>
<w:pPr><w:pStyle w:val="Normal"/></w:pPr>
<w:r><w:t xml:space="preserve">France.  On the advice of Germany he proposed the assembly of</w:t></w:r>
</w:p>
<w:p>
<w:pPr><w:pStyle w:val="Normal"/></w:pPr>
<w:r><w:t xml:space="preserve">an international conference at Algeciras in 1906 to consult</w:t></w:r>
</w:p>
<w:p>
<w:pPr><w:pStyle w:val="Normal"/></w:pPr>
<w:r><w:t xml:space="preserve">upon methods of reform, the sultan&apos;s desire being to ensure</w:t></w:r>
</w:p>
<w:p>
<w:pPr><w:pStyle w:val="Normal"/></w:pPr>
<w:r><w:t xml:space="preserve">a condition of affairs which would leave foreigners with no</w:t></w:r>
</w:p>
<w:p>
<w:pPr><w:pStyle w:val="Normal"/></w:pPr>
<w:r><w:t xml:space="preserve">excuse for interference in the control of the country, and</w:t></w:r>
</w:p>
<w:p>
<w:pPr><w:pStyle w:val="Normal"/></w:pPr>
<w:r><w:t xml:space="preserve">would promote its welfare, which Abd-el-Aziz had earnestly</w:t></w:r>
</w:p>
<w:p>
<w:pPr><w:pStyle w:val="Normal"/></w:pPr>
<w:r><w:t xml:space="preserve">desired from his accession to power.  The sultan gave his</w:t></w:r>
</w:p>
<w:p>
<w:pPr><w:pStyle w:val="Normal"/></w:pPr>
<w:r><w:t xml:space="preserve">adherence to the Act of the Algeciras Conference, but the</w:t></w:r>
</w:p>
<w:p>
<w:pPr><w:pStyle w:val="Normal"/></w:pPr>
<w:r><w:t xml:space="preserve">state of anarachy into which Morocco fell during the latter</w:t></w:r>
</w:p>
<w:p>
<w:pPr><w:pStyle w:val="Normal"/></w:pPr>
<w:r><w:t xml:space="preserve">half of 1906 and the beginning of 1907 showed that the young</w:t></w:r>
</w:p>
<w:p>
<w:pPr><w:pStyle w:val="Normal"/></w:pPr>
<w:r><w:t xml:space="preserve">ruler lacked strength sufficient to make his will respected</w:t></w:r>
</w:p>
<w:p>
<w:pPr><w:pStyle w:val="Normal"/></w:pPr>
<w:r><w:t xml:space="preserve">by his turbulent subjects.  In May 1907 the southern tribes</w:t></w:r>
</w:p>
<w:p>
<w:pPr><w:pStyle w:val="Normal"/></w:pPr>
<w:r><w:t xml:space="preserve">invited Mulai Hafid, an elder brother of Abd-el-Aziz, and</w:t></w:r>
</w:p>
<w:p>
<w:pPr><w:pStyle w:val="Normal"/></w:pPr>
<w:r><w:t xml:space="preserve">viceroy at Marrakesh, to become sultan, and in the following</w:t></w:r>
</w:p>
<w:p>
<w:pPr><w:pStyle w:val="Normal"/></w:pPr>
<w:r><w:t xml:space="preserve">August Hafid was proclaimed sovereign there with all the usual</w:t></w:r>
</w:p>
<w:p>
<w:pPr><w:pStyle w:val="Normal"/></w:pPr>
<w:r><w:t xml:space="preserve">formalities.  In the meantime the murder of Europeans</w:t></w:r>
</w:p>
<w:p>
<w:pPr><w:pStyle w:val="Normal"/></w:pPr>
<w:r><w:t xml:space="preserve">at Casablanca had led to the occupation of that port by</w:t></w:r>
</w:p>
<w:p>
<w:pPr><w:pStyle w:val="Normal"/></w:pPr>
<w:r><w:t xml:space="preserve">France.  In September Abd-el-Aziz arrived at Rabat from Fez</w:t></w:r>
</w:p>
<w:p>
<w:pPr><w:pStyle w:val="Normal"/></w:pPr>
<w:r><w:t xml:space="preserve">and endeavoured to secure the support of the European powers</w:t></w:r>
</w:p>
<w:p>
<w:pPr><w:pStyle w:val="Normal"/></w:pPr>
<w:r><w:t xml:space="preserve">against his brother.  From France he accepted the grand cordon</w:t></w:r>
</w:p>
<w:p>
<w:pPr><w:pStyle w:val="Normal"/></w:pPr>
<w:r><w:t xml:space="preserve">of the Legion of Honour, and was later enabled to negotiate a</w:t></w:r>
</w:p>
<w:p>
<w:pPr><w:pStyle w:val="Normal"/></w:pPr>
<w:r><w:t xml:space="preserve">loan.  His leaning to Christians aroused further opposition</w:t></w:r>
</w:p>
<w:p>
<w:pPr><w:pStyle w:val="Normal"/></w:pPr>
<w:r><w:t xml:space="preserve">to his rule, and in January 1908 he was declared deposed by</w:t></w:r>
</w:p>
<w:p>
<w:pPr><w:pStyle w:val="Normal"/></w:pPr>
<w:r><w:t xml:space="preserve">the ulema of Fez, who offered the throne to Hafid.  After</w:t></w:r>
</w:p>
<w:p>
<w:pPr><w:pStyle w:val="Normal"/></w:pPr>
<w:r><w:t xml:space="preserve">months of inactivity Abd-el-Aziz made an effort to restore</w:t></w:r>
</w:p>
<w:p>
<w:pPr><w:pStyle w:val="Normal"/></w:pPr>
<w:r><w:t xml:space="preserve">his authority, and quitting Rabat in July he marched on</w:t></w:r>
</w:p>
<w:p>
<w:pPr><w:pStyle w:val="Normal"/></w:pPr>
<w:r><w:t xml:space="preserve">Marrakesh.  His force, largely owing to treachery, was</w:t></w:r>
</w:p>
<w:p>
<w:pPr><w:pStyle w:val="Normal"/></w:pPr>
<w:r><w:t xml:space="preserve">completely overthrown (August 19th) when near that city,</w:t></w:r>
</w:p>
<w:p>
<w:pPr><w:pStyle w:val="Normal"/></w:pPr>
<w:r><w:t xml:space="preserve">and Abd-el-Aziz fled to Settat within the French lines</w:t></w:r>
</w:p>
<w:p>
<w:pPr><w:pStyle w:val="Normal"/></w:pPr>
<w:r><w:t xml:space="preserve">round Casablanca.  In November he came to terms with his</w:t></w:r>
</w:p>
<w:p>
<w:pPr><w:pStyle w:val="Normal"/></w:pPr>
<w:r><w:t xml:space="preserve">brother, and thereafter took up his residence in Tangier</w:t></w:r>
</w:p>
<w:p>
<w:pPr><w:pStyle w:val="Normal"/></w:pPr>
<w:r><w:t xml:space="preserve">as a pensioner of the new sultan.  He declared himself more</w:t></w:r>
</w:p>
<w:p>
<w:pPr><w:pStyle w:val="Normal"/></w:pPr>
<w:r><w:t xml:space="preserve">than reconciled to the loss of the throne, and as looking</w:t></w:r>
</w:p>
<w:p>
<w:pPr><w:pStyle w:val="Normal"/></w:pPr>
<w:r><w:t xml:space="preserve">forward to a quiet peaceful life. (See MOROCCO, History.)</w:t></w:r>
</w:p>
<w:p>
<w:pPr><w:pStyle w:val="Normal"/></w:pPr>
<w:r><w:t xml:space="preserve">ABD-EL-KADER (c. 1807-1883), amir of Mascara, the great</w:t></w:r>
</w:p>
<w:p>
<w:pPr><w:pStyle w:val="Normal"/></w:pPr>
<w:r><w:t xml:space="preserve">opponent of the conquest of Algeria by France, was born near</w:t></w:r>
</w:p>
<w:p>
<w:pPr><w:pStyle w:val="Normal"/></w:pPr>
<w:r><w:t xml:space="preserve">Mascara in 1807 or 1808.  His family were sherifs or descendants</w:t></w:r>
</w:p>
<w:p>
<w:pPr><w:pStyle w:val="Normal"/></w:pPr>
<w:r><w:t xml:space="preserve">of Mahomet, and his father, Mahi-ed-Din, was celebrated</w:t></w:r>
</w:p>
<w:p>
<w:pPr><w:pStyle w:val="Normal"/></w:pPr>
<w:r><w:t xml:space="preserve">throughout North Africa for his piety and charity.  Abd-el</w:t></w:r>
</w:p>
<w:p>
<w:pPr><w:pStyle w:val="Normal"/></w:pPr>
<w:r><w:t xml:space="preserve">Kader received the best education attainable by a Mussulman</w:t></w:r>
</w:p>
<w:p>
<w:pPr><w:pStyle w:val="Normal"/></w:pPr>
<w:r><w:t xml:space="preserve">of princely rank, especially in theology and philosophy, in</w:t></w:r>
</w:p>
<w:p>
<w:pPr><w:pStyle w:val="Normal"/></w:pPr>
<w:r><w:t xml:space="preserve">horsemanship and in other manly exercises.  While still a</w:t></w:r>
</w:p>
<w:p>
<w:pPr><w:pStyle w:val="Normal"/></w:pPr>
<w:r><w:t xml:space="preserve">youth he was taken by his father on the pilgrimage to Mecca</w:t></w:r>
</w:p>
<w:p>
<w:pPr><w:pStyle w:val="Normal"/></w:pPr>
<w:r><w:t xml:space="preserve">and Medina and to the tomb of Sidi Abd-el-Kader El Jalili at</w:t></w:r>
</w:p>
<w:p>
<w:pPr><w:pStyle w:val="Normal"/></w:pPr>
<w:r><w:t xml:space="preserve">Bagdad--events which stimulated his natural tendency to religious</w:t></w:r>
</w:p>
<w:p>
<w:pPr><w:pStyle w:val="Normal"/></w:pPr>
<w:r><w:t xml:space="preserve">enthusiasm.  While in Egypt in 1827, Abd-el-Kader is stated</w:t></w:r>
</w:p>
<w:p>
<w:pPr><w:pStyle w:val="Normal"/></w:pPr>
<w:r><w:t xml:space="preserve">to have been impressed, by the reforms then being carried out</w:t></w:r>
</w:p>
<w:p>
<w:pPr><w:pStyle w:val="Normal"/></w:pPr>
<w:r><w:t xml:space="preserve">by Mehemet Ali with the value of European civilization, and</w:t></w:r>
</w:p>
<w:p>
<w:pPr><w:pStyle w:val="Normal"/></w:pPr>
<w:r><w:t xml:space="preserve">the knowledge he then gained affected his career.  Mahi-ed-Din</w:t></w:r>
</w:p>
<w:p>
<w:pPr><w:pStyle w:val="Normal"/></w:pPr>
<w:r><w:t xml:space="preserve">and his son returned to Mascara shortly before the French</w:t></w:r>
</w:p>
<w:p>
<w:pPr><w:pStyle w:val="Normal"/></w:pPr>
<w:r><w:t xml:space="preserve">occupation of Algiers (July 1830) destroyed the government</w:t></w:r>
</w:p>
<w:p>
<w:pPr><w:pStyle w:val="Normal"/></w:pPr>
<w:r><w:t xml:space="preserve">of the Dey. Coming forward as the champion of Islam against</w:t></w:r>
</w:p>
<w:p>
<w:pPr><w:pStyle w:val="Normal"/></w:pPr>
<w:r><w:t xml:space="preserve">the infidels, Abd-el-Kader was proclaimed amir at Mascara in</w:t></w:r>
</w:p>
<w:p>
<w:pPr><w:pStyle w:val="Normal"/></w:pPr>
<w:r><w:t xml:space="preserve">1832.  He prosecuted the war against France vigorously and</w:t></w:r>
</w:p>
<w:p>
<w:pPr><w:pStyle w:val="Normal"/></w:pPr>
<w:r><w:t xml:space="preserve">in a short time had rallied to his standard all the tribes</w:t></w:r>
</w:p>
<w:p>
<w:pPr><w:pStyle w:val="Normal"/></w:pPr>
<w:r><w:t xml:space="preserve">of western Algeria.  The story of his fifteen years&apos; struggle</w:t></w:r>
</w:p>
<w:p>
<w:pPr><w:pStyle w:val="Normal"/></w:pPr>
<w:r><w:t xml:space="preserve">against the French is given under ALGERIA. To the beginning</w:t></w:r>
</w:p>
<w:p>
<w:pPr><w:pStyle w:val="Normal"/></w:pPr>
<w:r><w:t xml:space="preserve">of 1842 the contest went in favour of the amir; thereafter</w:t></w:r>
</w:p>
<w:p>
<w:pPr><w:pStyle w:val="Normal"/></w:pPr>
<w:r><w:t xml:space="preserve">he found in Marshal Bugeaud an opponent who proved, in the</w:t></w:r>
</w:p>
<w:p>
<w:pPr><w:pStyle w:val="Normal"/></w:pPr>
<w:r><w:t xml:space="preserve">end, his master.  Throughout this period Abd-el-Kader showed</w:t></w:r>
</w:p>
<w:p>
<w:pPr><w:pStyle w:val="Normal"/></w:pPr>
<w:r><w:t xml:space="preserve">himself a born leader of men, a great soldier, a capable</w:t></w:r>
</w:p>
<w:p>
<w:pPr><w:pStyle w:val="Normal"/></w:pPr>
<w:r><w:t xml:space="preserve">administrator, a persuasive orator, a chivalrous opponent.</w:t></w:r>
</w:p>
<w:p>
<w:pPr><w:pStyle w:val="Normal"/></w:pPr>
<w:r><w:t xml:space="preserve">His fervent faith in the doctrines of Islam was unquestioned,</w:t></w:r>
</w:p>
<w:p>
<w:pPr><w:pStyle w:val="Normal"/></w:pPr>
<w:r><w:t xml:space="preserve">and his ultimate failure was due in considerable measure</w:t></w:r>
</w:p>
<w:p>
<w:pPr><w:pStyle w:val="Normal"/></w:pPr>
<w:r><w:t xml:space="preserve">to the refusal of the Kabyles, Berber mountain tribes whose</w:t></w:r>
</w:p>
<w:p>
<w:pPr><w:pStyle w:val="Normal"/></w:pPr>
<w:r><w:t xml:space="preserve">Mahommedanism is somewhat loosely held, to make common cause</w:t></w:r>
</w:p>
<w:p>
<w:pPr><w:pStyle w:val="Normal"/></w:pPr>
<w:r><w:t xml:space="preserve">with the Arabs against the French.  On the 21st of December</w:t></w:r>
</w:p>
<w:p>
<w:pPr><w:pStyle w:val="Normal"/></w:pPr>
<w:r><w:t xml:space="preserve">1847, the amir gave himself up to General Lamoriciere at Sidi</w:t></w:r>
</w:p>
<w:p>
<w:pPr><w:pStyle w:val="Normal"/></w:pPr>
<w:r><w:t xml:space="preserve">Brahim.  On the 23rd, his submission was formally made to the</w:t></w:r>
</w:p>
<w:p>
<w:pPr><w:pStyle w:val="Normal"/></w:pPr>
<w:r><w:t xml:space="preserve">duc d&apos;Aumale, then governor of Algeria.  In violation of the</w:t></w:r>
</w:p>
<w:p>
<w:pPr><w:pStyle w:val="Normal"/></w:pPr>
<w:r><w:t xml:space="preserve">promise that he would be allowed to go to Alexandria or St Jean</w:t></w:r>
</w:p>
<w:p>
<w:pPr><w:pStyle w:val="Normal"/></w:pPr>
<w:r><w:t xml:space="preserve">d&apos;Acre, on the faith of which he surrendered, Abd-el-Kader and</w:t></w:r>
</w:p>
<w:p>
<w:pPr><w:pStyle w:val="Normal"/></w:pPr>
<w:r><w:t xml:space="preserve">his family were detained in France, first at Toulon, then at</w:t></w:r>
</w:p>
<w:p>
<w:pPr><w:pStyle w:val="Normal"/></w:pPr>
<w:r><w:t xml:space="preserve">Pau, being in November 1848 transferred to the chateau of</w:t></w:r>
</w:p>
<w:p>
<w:pPr><w:pStyle w:val="Normal"/></w:pPr>
<w:r><w:t xml:space="preserve">Amboise.  There Abd-el-Kader remained until October 1852, when</w:t></w:r>
</w:p>
<w:p>
<w:pPr><w:pStyle w:val="Normal"/></w:pPr>
<w:r><w:t xml:space="preserve">he was released by Napoleon III. on taking an oath never again</w:t></w:r>
</w:p>
<w:p>
<w:pPr><w:pStyle w:val="Normal"/></w:pPr>
<w:r><w:t xml:space="preserve">to disturb Algeria.  The amir then took up his residence in</w:t></w:r>
</w:p>
<w:p>
<w:pPr><w:pStyle w:val="Normal"/></w:pPr>
<w:r><w:t xml:space="preserve">Brusa, removing in 1855 to Damascus.  In July 1860, when the</w:t></w:r>
</w:p>
<w:p>
<w:pPr><w:pStyle w:val="Normal"/></w:pPr>
<w:r><w:t xml:space="preserve">Moslems of that city, taking advantage of disturbances among</w:t></w:r>
</w:p>
<w:p>
<w:pPr><w:pStyle w:val="Normal"/></w:pPr>
<w:r><w:t xml:space="preserve">the Druses of Lebanon, attacked the Christian quarter and</w:t></w:r>
</w:p>
<w:p>
<w:pPr><w:pStyle w:val="Normal"/></w:pPr>
<w:r><w:t xml:space="preserve">killed over 3000 persons, Abd-el-Kader helped to repress the</w:t></w:r>
</w:p>
<w:p>
<w:pPr><w:pStyle w:val="Normal"/></w:pPr>
<w:r><w:t xml:space="preserve">outbreak and saved large numbers of Christians.  For this</w:t></w:r>
</w:p>
<w:p>
<w:pPr><w:pStyle w:val="Normal"/></w:pPr>
<w:r><w:t xml:space="preserve">action the French government, which granted the amir a pension</w:t></w:r>
</w:p>
<w:p>
<w:pPr><w:pStyle w:val="Normal"/></w:pPr>
<w:r><w:t xml:space="preserve">of L. 4000, bestowed on him the grand cross of the Legion of</w:t></w:r>
</w:p>
<w:p>
<w:pPr><w:pStyle w:val="Normal"/></w:pPr>
<w:r><w:t xml:space="preserve">Honour.  In 1865, he visited Paris and London, and was again in</w:t></w:r>
</w:p>
<w:p>
<w:pPr><w:pStyle w:val="Normal"/></w:pPr>
<w:r><w:t xml:space="preserve">Paris at the exposition of 1867.  In 1871, when the Algerians</w:t></w:r>
</w:p>
<w:p>
<w:pPr><w:pStyle w:val="Normal"/></w:pPr>
<w:r><w:t xml:space="preserve">again rose in revolt, Abd-el-Kader wrote to them counselling</w:t></w:r>
</w:p>
<w:p>
<w:pPr><w:pStyle w:val="Normal"/></w:pPr>
<w:r><w:t xml:space="preserve">submission to France.  After his surrender in 1847 he devoted</w:t></w:r>
</w:p>
<w:p>
<w:pPr><w:pStyle w:val="Normal"/></w:pPr>
<w:r><w:t xml:space="preserve">himself anew to theology and philosophy, and composed a</w:t></w:r>
</w:p>
<w:p>
<w:pPr><w:pStyle w:val="Normal"/></w:pPr>
<w:r><w:t xml:space="preserve">philosophical treatise, of which a French translation was</w:t></w:r>
</w:p>
<w:p>
<w:pPr><w:pStyle w:val="Normal"/></w:pPr>
<w:r><w:t xml:space="preserve">published in 1858 under the title of Rappel a l&apos;intelligent.</w:t></w:r>
</w:p>
<w:p>
<w:pPr><w:pStyle w:val="Normal"/></w:pPr>
<w:r><w:t xml:space="preserve">Avis a l&apos;indifferent. He also wrote a book on the Arab</w:t></w:r>
</w:p>
<w:p>
<w:pPr><w:pStyle w:val="Normal"/></w:pPr>
<w:r><w:t xml:space="preserve">horse.  He died at Damascus on the 26th of May 1883.</w:t></w:r>
</w:p>
<w:p>
<w:pPr><w:pStyle w:val="Normal"/></w:pPr>
<w:r><w:t xml:space="preserve">See Commdt.  J. Pichon, Abd el Kader, 1807--1883</w:t></w:r>
</w:p>
<w:p>
<w:pPr><w:pStyle w:val="Normal"/></w:pPr>
<w:r><w:t xml:space="preserve">(Paris [1899]): Alex.  Bellemare, Abd-el-Kader: sa</w:t></w:r>
</w:p>
<w:p>
<w:pPr><w:pStyle w:val="Normal"/></w:pPr>
<w:r><w:t xml:space="preserve">vie politique et militaire (Paris, 1863); Col. C. H.</w:t></w:r>
</w:p>
<w:p>
<w:pPr><w:pStyle w:val="Normal"/></w:pPr>
<w:r><w:t xml:space="preserve">Churchill, The Life of Abdel Kader (London, 1867).</w:t></w:r>
</w:p>
<w:p>
<w:pPr><w:pStyle w:val="Normal"/></w:pPr>
<w:r><w:t xml:space="preserve">ABDERA, an ancient seaport town on the south coast of Spain,</w:t></w:r>
</w:p>
<w:p>
<w:pPr><w:pStyle w:val="Normal"/></w:pPr>
<w:r><w:t xml:space="preserve">between Malaca and New Carthage, in the district inhabited by the</w:t></w:r>
</w:p>
<w:p>
<w:pPr><w:pStyle w:val="Normal"/></w:pPr>
<w:r><w:t xml:space="preserve">Bastuli.  It was founded by the Carthaginians as a trading</w:t></w:r>
</w:p>
<w:p>
<w:pPr><w:pStyle w:val="Normal"/></w:pPr>
<w:r><w:t xml:space="preserve">station, and after a period of decline became under the Romans</w:t></w:r>
</w:p>
<w:p>
<w:pPr><w:pStyle w:val="Normal"/></w:pPr>
<w:r><w:t xml:space="preserve">one of the more important towns in the province of Hispania</w:t></w:r>
</w:p>
<w:p>
<w:pPr><w:pStyle w:val="Normal"/></w:pPr>
<w:r><w:t xml:space="preserve">Baetica.  It was situated on a hill above the modern Adra</w:t></w:r>
</w:p>
<w:p>
<w:pPr><w:pStyle w:val="Normal"/></w:pPr>
<w:r><w:t xml:space="preserve">(q.v.).  Of its coins the most ancient bear the Phoenician</w:t></w:r>
</w:p>
<w:p>
<w:pPr><w:pStyle w:val="Normal"/></w:pPr>
<w:r><w:t xml:space="preserve">inscription abdrt with the head of Heracles (Melkarth) and</w:t></w:r>
</w:p>
<w:p>
<w:pPr><w:pStyle w:val="Normal"/></w:pPr>
<w:r><w:t xml:space="preserve">a tunny-fish; those of Tiberius (who seems to have made the</w:t></w:r>
</w:p>
<w:p>
<w:pPr><w:pStyle w:val="Normal"/></w:pPr>
<w:r><w:t xml:space="preserve">place a colony) show the chief temple of the town with two</w:t></w:r>
</w:p>
<w:p>
<w:pPr><w:pStyle w:val="Normal"/></w:pPr>
<w:r><w:t xml:space="preserve">tunny-fish erect in the form of columns.  For inscriptions</w:t></w:r>
</w:p>
<w:p>
<w:pPr><w:pStyle w:val="Normal"/></w:pPr>
<w:r><w:t xml:space="preserve">relating to the Roman municipality see C.I.L. ii. 267.</w:t></w:r>
</w:p>
<w:p>
<w:pPr><w:pStyle w:val="Normal"/></w:pPr>
<w:r><w:t xml:space="preserve">ABDERA, a town on the coast of Thrace near the mouth of the</w:t></w:r>
</w:p>
<w:p>
<w:pPr><w:pStyle w:val="Normal"/></w:pPr>
<w:r><w:t xml:space="preserve">Nestos, and almost opposite Thasos.  Its mythical foundation</w:t></w:r>
</w:p>
<w:p>
<w:pPr><w:pStyle w:val="Normal"/></w:pPr>
<w:r><w:t xml:space="preserve">was attributed to Heracles, its historical to a colony from</w:t></w:r>
</w:p>
<w:p>
<w:pPr><w:pStyle w:val="Normal"/></w:pPr>
<w:r><w:t xml:space="preserve">Clazomenae in the 7th century B.C. But its prosperity</w:t></w:r>
</w:p>
<w:p>
<w:pPr><w:pStyle w:val="Normal"/></w:pPr>
<w:r><w:t xml:space="preserve">dates from 544 B.C., when the majority of the people of</w:t></w:r>
</w:p>
<w:p>
<w:pPr><w:pStyle w:val="Normal"/></w:pPr>
<w:r><w:t xml:space="preserve">Teos migrated to Abdera after the Ionian revolt to escape</w:t></w:r>
</w:p>
<w:p>
<w:pPr><w:pStyle w:val="Normal"/></w:pPr>
<w:r><w:t xml:space="preserve">the Persian yoke (Herod. i. 168); the chief coin type, a</w:t></w:r>
</w:p>
<w:p>
<w:pPr><w:pStyle w:val="Normal"/></w:pPr>
<w:r><w:t xml:space="preserve">gryphon, is identical with that of Teos; the coinage is</w:t></w:r>
</w:p>
<w:p>
<w:pPr><w:pStyle w:val="Normal"/></w:pPr>
<w:r><w:t xml:space="preserve">noted for the beauty and variety of its reverse types.  The</w:t></w:r>
</w:p>
<w:p>
<w:pPr><w:pStyle w:val="Normal"/></w:pPr>
<w:r><w:t xml:space="preserve">town seems to have declined in importance after the middle</w:t></w:r>
</w:p>
<w:p>
<w:pPr><w:pStyle w:val="Normal"/></w:pPr>
<w:r><w:t xml:space="preserve">of the 4th century.  The air of Abdera was proverbial as</w:t></w:r>
</w:p>
<w:p>
<w:pPr><w:pStyle w:val="Normal"/></w:pPr>
<w:r><w:t xml:space="preserve">causing stupidity; but among its citizens was the philosopher</w:t></w:r>
</w:p>
<w:p>
<w:pPr><w:pStyle w:val="Normal"/></w:pPr>
<w:r><w:t xml:space="preserve">Democritus.  The ruins of the town may still be seen on</w:t></w:r>
</w:p>
<w:p>
<w:pPr><w:pStyle w:val="Normal"/></w:pPr>
<w:r><w:t xml:space="preserve">Cape Balastra; they cover seven small hills, and extend</w:t></w:r>
</w:p>
<w:p>
<w:pPr><w:pStyle w:val="Normal"/></w:pPr>
<w:r><w:t xml:space="preserve">from an eastern to a western harbour; on the S.W. hills</w:t></w:r>
</w:p>
<w:p>
<w:pPr><w:pStyle w:val="Normal"/></w:pPr>
<w:r><w:t xml:space="preserve">are the remains of the medieval settlement of Polystylon.</w:t></w:r>
</w:p>
<w:p>
<w:pPr><w:pStyle w:val="Normal"/></w:pPr>
<w:r><w:t xml:space="preserve">Mittheil. d. deutsch.  Inst.  Athens, xii. (1887),</w:t></w:r>
</w:p>
<w:p>
<w:pPr><w:pStyle w:val="Normal"/></w:pPr>
<w:r><w:t xml:space="preserve">p. 161 (Regel); Mem. de l&apos;Acad. des Inscriptions,</w:t></w:r>
</w:p>
<w:p>
<w:pPr><w:pStyle w:val="Normal"/></w:pPr>
<w:r><w:t xml:space="preserve">xxxix. 211; K. F. Hermann, Ges. Abh. 90-111, 370 in.</w:t></w:r>
</w:p>
<w:p>
<w:pPr><w:pStyle w:val="Normal"/></w:pPr>
<w:r><w:t xml:space="preserve">ABDICATION (Lat. abdicatio, disowning, renouncing,</w:t></w:r>
</w:p>
<w:p>
<w:pPr><w:pStyle w:val="Normal"/></w:pPr>
<w:r><w:t xml:space="preserve">from ab, from, and dicare, to declare, to proclaim as</w:t></w:r>
</w:p>
<w:p>
<w:pPr><w:pStyle w:val="Normal"/></w:pPr>
<w:r><w:t xml:space="preserve">not belonging to one), the act whereby a person in office</w:t></w:r>
</w:p>
<w:p>
<w:pPr><w:pStyle w:val="Normal"/></w:pPr>
<w:r><w:t xml:space="preserve">renounces and gives up the same before the expiry of the time</w:t></w:r>
</w:p>
<w:p>
<w:pPr><w:pStyle w:val="Normal"/></w:pPr>
<w:r><w:t xml:space="preserve">for which it is held.  In Roman law, the term is especially</w:t></w:r>
</w:p>
<w:p>
<w:pPr><w:pStyle w:val="Normal"/></w:pPr>
<w:r><w:t xml:space="preserve">applied to the disowning of a member of a family, as the</w:t></w:r>
</w:p>
<w:p>
<w:pPr><w:pStyle w:val="Normal"/></w:pPr>
<w:r><w:t xml:space="preserve">disinheriting of a son, but the word is seldom used except</w:t></w:r>
</w:p>
<w:p>
<w:pPr><w:pStyle w:val="Normal"/></w:pPr>
<w:r><w:t xml:space="preserve">in the sense of surrendering the supreme power in a state.</w:t></w:r>
</w:p>
<w:p>
<w:pPr><w:pStyle w:val="Normal"/></w:pPr>
<w:r><w:t xml:space="preserve">Despotic sovereigns are at liberty to divest themselves of</w:t></w:r>
</w:p>
<w:p>
<w:pPr><w:pStyle w:val="Normal"/></w:pPr>
<w:r><w:t xml:space="preserve">their powers at any time, but it is otherwise with a limited</w:t></w:r>
</w:p>
<w:p>
<w:pPr><w:pStyle w:val="Normal"/></w:pPr>
<w:r><w:t xml:space="preserve">monarchy.  The throne of Great Britain cannot be lawfully</w:t></w:r>
</w:p>
<w:p>
<w:pPr><w:pStyle w:val="Normal"/></w:pPr>
<w:r><w:t xml:space="preserve">abdicated unless with the consent of the two Houses of</w:t></w:r>
</w:p>
<w:p>
<w:pPr><w:pStyle w:val="Normal"/></w:pPr>
<w:r><w:t xml:space="preserve">Parliament.  When James II., after throwing the great</w:t></w:r>
</w:p>
<w:p>
<w:pPr><w:pStyle w:val="Normal"/></w:pPr>
<w:r><w:t xml:space="preserve">seal into the Thames, fled to France in 1688, he did not</w:t></w:r>
</w:p>
<w:p>
<w:pPr><w:pStyle w:val="Normal"/></w:pPr>
<w:r><w:t xml:space="preserve">formally resign the crown, and the question was discussed</w:t></w:r>
</w:p>
<w:p>
<w:pPr><w:pStyle w:val="Normal"/></w:pPr>
<w:r><w:t xml:space="preserve">in parliament whether he had forfeited the throne or had</w:t></w:r>
</w:p>
<w:p>
<w:pPr><w:pStyle w:val="Normal"/></w:pPr>
<w:r><w:t xml:space="preserve">abdicated.  The latter designation was agreed on, for in a</w:t></w:r>
</w:p>
<w:p>
<w:pPr><w:pStyle w:val="Normal"/></w:pPr>
<w:r><w:t xml:space="preserve">full assembly of the Lords and Commons, met in convention,</w:t></w:r>
</w:p>
<w:p>
<w:pPr><w:pStyle w:val="Normal"/></w:pPr>
<w:r><w:t xml:space="preserve">it was resolved, in spite of James&apos;s protest, ``that King</w:t></w:r>
</w:p>
<w:p>
<w:pPr><w:pStyle w:val="Normal"/></w:pPr>
<w:r><w:t xml:space="preserve">James II. having endeavoured to subvert the constitution of</w:t></w:r>
</w:p>
<w:p>
<w:pPr><w:pStyle w:val="Normal"/></w:pPr>
<w:r><w:t xml:space="preserve">the kingdom, by breaking the original contract between king</w:t></w:r>
</w:p>
<w:p>
<w:pPr><w:pStyle w:val="Normal"/></w:pPr>
<w:r><w:t xml:space="preserve">and people, and, by the advice of Jesuits and other wicked</w:t></w:r>
</w:p>
<w:p>
<w:pPr><w:pStyle w:val="Normal"/></w:pPr>
<w:r><w:t xml:space="preserve">persons, having violated the fundamental laws, and having</w:t></w:r>
</w:p>
<w:p>
<w:pPr><w:pStyle w:val="Normal"/></w:pPr>
<w:r><w:t xml:space="preserve">withdrawn himself out of this kingdom, has abdicated the</w:t></w:r>
</w:p>
<w:p>
<w:pPr><w:pStyle w:val="Normal"/></w:pPr>
<w:r><w:t xml:space="preserve">government, and that the throne is thereby vacant.&apos;&apos; The</w:t></w:r>
</w:p>
<w:p>
<w:pPr><w:pStyle w:val="Normal"/></w:pPr>
<w:r><w:t xml:space="preserve">Scottish parliament pronounced a decree of forfeiture and</w:t></w:r>
</w:p>
<w:p>
<w:pPr><w:pStyle w:val="Normal"/></w:pPr>
<w:r><w:t xml:space="preserve">deposition.  Among the most memorable abdications of</w:t></w:r>
</w:p>
<w:p>
<w:pPr><w:pStyle w:val="Normal"/></w:pPr>
<w:r><w:t xml:space="preserve">antiquity may be mentioned that of Sulla the dictator, 79</w:t></w:r>
</w:p>
<w:p>
<w:pPr><w:pStyle w:val="Normal"/></w:pPr>
<w:r><w:t xml:space="preserve">B.C., and that of the Emperor Diocletian, A.D. 305. The</w:t></w:r>
</w:p>
<w:p>
<w:pPr><w:pStyle w:val="Normal"/></w:pPr>
<w:r><w:t xml:space="preserve">following is a list of the more important abdications of later</w:t></w:r>
</w:p>
<w:p>
<w:pPr><w:pStyle w:val="Normal"/></w:pPr>
<w:r><w:t xml:space="preserve">A.D.</w:t></w:r>
</w:p>
<w:p>
<w:pPr><w:pStyle w:val="Normal"/></w:pPr>
<w:r><w:t xml:space="preserve">Benedict IX., pope . . . . . . . . . . . . . . . . . 1048</w:t></w:r>
</w:p>
<w:p>
<w:pPr><w:pStyle w:val="Normal"/></w:pPr>
<w:r><w:t xml:space="preserve">Stephen II. of Hungary . . . . . . . . . . . . . . . 1131</w:t></w:r>
</w:p>
<w:p>
<w:pPr><w:pStyle w:val="Normal"/></w:pPr>
<w:r><w:t xml:space="preserve">Albert (the Bear) of Brandenburg . . . . . . . . . . 1169</w:t></w:r>
</w:p>
<w:p>
<w:pPr><w:pStyle w:val="Normal"/></w:pPr>
<w:r><w:t xml:space="preserve">Ladislaus III. of Poland . . . . . . . . . . . . . . 1206</w:t></w:r>
</w:p>
<w:p>
<w:pPr><w:pStyle w:val="Normal"/></w:pPr>
<w:r><w:t xml:space="preserve">Celestine V., pope . . . . . . . . . . . . .Dec. 13, 1294</w:t></w:r>
</w:p>
<w:p>
<w:pPr><w:pStyle w:val="Normal"/></w:pPr>
<w:r><w:t xml:space="preserve">John Baliol of Scotland  . . . . . . . . . . . . . . 1296</w:t></w:r>
</w:p>
<w:p>
<w:pPr><w:pStyle w:val="Normal"/></w:pPr>
<w:r><w:t xml:space="preserve">John Cantacuzene, emperor of the East  . . . . . . . 1355</w:t></w:r>
</w:p>
<w:p>
<w:pPr><w:pStyle w:val="Normal"/></w:pPr>
<w:r><w:t xml:space="preserve">Richard II. of England . . . . . . . . . . Sept. 29, 1399</w:t></w:r>
</w:p>
<w:p>
<w:pPr><w:pStyle w:val="Normal"/></w:pPr>
<w:r><w:t xml:space="preserve">John XXIII., pope  . . . . . . . . . . . . . . . . . 1415</w:t></w:r>
</w:p>
<w:p>
<w:pPr><w:pStyle w:val="Normal"/></w:pPr>
<w:r><w:t xml:space="preserve">Eric VII; of Denmark and XIII. of Sweden . . . . . . 1439</w:t></w:r>
</w:p>
<w:p>
<w:pPr><w:pStyle w:val="Normal"/></w:pPr>
<w:r><w:t xml:space="preserve">Murad II., Ottoman Sultan  . . . . . . . . .1444 and 1445</w:t></w:r>
</w:p>
<w:p>
<w:pPr><w:pStyle w:val="Normal"/></w:pPr>
<w:r><w:t xml:space="preserve">Charles V., emperor  . . . . . . . . . . . . . . . . 1556</w:t></w:r>
</w:p>
<w:p>
<w:pPr><w:pStyle w:val="Normal"/></w:pPr>
<w:r><w:t xml:space="preserve">Christina of Sweden  . . . . . . . . . . . . . . . . 1654</w:t></w:r>
</w:p>
<w:p>
<w:pPr><w:pStyle w:val="Normal"/></w:pPr>
<w:r><w:t xml:space="preserve">John Casimir of Poland . . . . . . . . . . . . . . . 1618</w:t></w:r>
</w:p>
<w:p>
<w:pPr><w:pStyle w:val="Normal"/></w:pPr>
<w:r><w:t xml:space="preserve">James II. of England . . . . . . . . . . . . . . . . 1688</w:t></w:r>
</w:p>
<w:p>
<w:pPr><w:pStyle w:val="Normal"/></w:pPr>
<w:r><w:t xml:space="preserve">Frederick Augustus of Poland . . . . . . . . . . . . 1704</w:t></w:r>
</w:p>
<w:p>
<w:pPr><w:pStyle w:val="Normal"/></w:pPr>
<w:r><w:t xml:space="preserve">Philip V. of Spain . . . . . . . . . . . . . . . . . 1724</w:t></w:r>
</w:p>
<w:p>
<w:pPr><w:pStyle w:val="Normal"/></w:pPr>
<w:r><w:t xml:space="preserve">Victor Amadeus II. of Sardinia . . . . . . . . . . . 1730</w:t></w:r>
</w:p>
<w:p>
<w:pPr><w:pStyle w:val="Normal"/></w:pPr>
<w:r><w:t xml:space="preserve">Ahmed III., Sultan of Turkey . . . . . . . . . . . . 1730</w:t></w:r>
</w:p>
<w:p>
<w:pPr><w:pStyle w:val="Normal"/></w:pPr>
<w:r><w:t xml:space="preserve">Charles of Naples (on accession to throne of Spain). 1759</w:t></w:r>
</w:p>
<w:p>
<w:pPr><w:pStyle w:val="Normal"/></w:pPr>
<w:r><w:t xml:space="preserve">Stanislaus II. of Poland . . . . . . . . . . . . . . 1795</w:t></w:r>
</w:p>
<w:p>
<w:pPr><w:pStyle w:val="Normal"/></w:pPr>
<w:r><w:t xml:space="preserve">Charles Emanuel IV. of Sardinia  . . . . . . June 4, 1802</w:t></w:r>
</w:p>
<w:p>
<w:pPr><w:pStyle w:val="Normal"/></w:pPr>
<w:r><w:t xml:space="preserve">Charles IV. of Spain . . . . . . . . . . . .Mar. 19, 1808</w:t></w:r>
</w:p>
<w:p>
<w:pPr><w:pStyle w:val="Normal"/></w:pPr>
<w:r><w:t xml:space="preserve">Joseph Bonaparte of Naples . . . . . . . . . June 6, 1808</w:t></w:r>
</w:p>
<w:p>
<w:pPr><w:pStyle w:val="Normal"/></w:pPr>
<w:r><w:t xml:space="preserve">Gustavus IV. of Sweden . . . . . . . . . . .Mar. 29, 1809</w:t></w:r>
</w:p>
<w:p>
<w:pPr><w:pStyle w:val="Normal"/></w:pPr>
<w:r><w:t xml:space="preserve">Louis Bonaparte of Holland . . . . . . . . . July 2, 1810</w:t></w:r>
</w:p>
<w:p>
<w:pPr><w:pStyle w:val="Normal"/></w:pPr>
<w:r><w:t xml:space="preserve">Napoleon I., French Emperor. . . . . . . . .April 4, 1814, and June 22, 1815</w:t></w:r>
</w:p>
<w:p>
<w:pPr><w:pStyle w:val="Normal"/></w:pPr>
<w:r><w:t xml:space="preserve">Victor Emanuel of Sardinia . . . . . . . . .Mar. 13, 1821</w:t></w:r>
</w:p>
<w:p>
<w:pPr><w:pStyle w:val="Normal"/></w:pPr>
<w:r><w:t xml:space="preserve">Charles X. of France . . . . . . . . . . . . Aug. 2, 1830</w:t></w:r>
</w:p>
<w:p>
<w:pPr><w:pStyle w:val="Normal"/></w:pPr>
<w:r><w:t xml:space="preserve">Pedro of Brazil 1 . . . . . . . . . . . .April 7, 1831</w:t></w:r>
</w:p>
<w:p>
<w:pPr><w:pStyle w:val="Normal"/></w:pPr>
<w:r><w:t xml:space="preserve">Miguel of Portgual . . . . . . . . . . . . . May 26, 1834</w:t></w:r>
</w:p>
<w:p>
<w:pPr><w:pStyle w:val="Normal"/></w:pPr>
<w:r><w:t xml:space="preserve">William I. of Holland  . . . . . . . . . . . Oct. 7, 1840</w:t></w:r>
</w:p>
<w:p>
<w:pPr><w:pStyle w:val="Normal"/></w:pPr>
<w:r><w:t xml:space="preserve">Louis Philippe, king of the French . . . . .Feb. 24, 1848</w:t></w:r>
</w:p>
<w:p>
<w:pPr><w:pStyle w:val="Normal"/></w:pPr>
<w:r><w:t xml:space="preserve">Louis Charles of Bavaria . . . . . . . . . .Mar. 21, 1848</w:t></w:r>
</w:p>
<w:p>
<w:pPr><w:pStyle w:val="Normal"/></w:pPr>
<w:r><w:t xml:space="preserve">Ferdinand of Austria . . . . . . . . . . . . Dec. 2, 1848</w:t></w:r>
</w:p>
<w:p>
<w:pPr><w:pStyle w:val="Normal"/></w:pPr>
<w:r><w:t xml:space="preserve">Charles Albert of Sardinia . . . . . . . . .Mar. 23, 1849</w:t></w:r>
</w:p>
<w:p>
<w:pPr><w:pStyle w:val="Normal"/></w:pPr>
<w:r><w:t xml:space="preserve">Leopold II. of Tuscany . . . . . . . . . . .July 21, 1859</w:t></w:r>
</w:p>
<w:p>
<w:pPr><w:pStyle w:val="Normal"/></w:pPr>
<w:r><w:t xml:space="preserve">Isabella II. of Spain . . . . . . . . . . . June 25, 1870</w:t></w:r>
</w:p>
<w:p>
<w:pPr><w:pStyle w:val="Normal"/></w:pPr>
<w:r><w:t xml:space="preserve">Amadeus I. of Spain . . . . . . . . . . . . Feb. 11, 1873</w:t></w:r>
</w:p>
<w:p>
<w:pPr><w:pStyle w:val="Normal"/></w:pPr>
<w:r><w:t xml:space="preserve">Alexander of Bulgaria . . . . . . . . . . . Sept. 7, 1886</w:t></w:r>
</w:p>
<w:p>
<w:pPr><w:pStyle w:val="Normal"/></w:pPr>
<w:r><w:t xml:space="preserve">Milan of Servia . . . . . . . . . . . . . . .Mar. 6, 1889</w:t></w:r>
</w:p>
<w:p>
<w:pPr><w:pStyle w:val="Normal"/></w:pPr>
<w:r><w:t xml:space="preserve">1 Pedro had succeeded to the throne of Portugal in</w:t></w:r>
</w:p>
<w:p>
<w:pPr><w:pStyle w:val="Normal"/></w:pPr>
<w:r><w:t xml:space="preserve">1826, but abdicated it at once in favour of his daughter.</w:t></w:r>
</w:p>
<w:p>
<w:pPr><w:pStyle w:val="Normal"/></w:pPr>
<w:r><w:t xml:space="preserve">ABDOMEN (a Latin word, either from abdere, to hide,</w:t></w:r>
</w:p>
<w:p>
<w:pPr><w:pStyle w:val="Normal"/></w:pPr>
<w:r><w:t xml:space="preserve">or from a form adipomen, from adeps, fat), the belly,</w:t></w:r>
</w:p>
<w:p>
<w:pPr><w:pStyle w:val="Normal"/></w:pPr>
<w:r><w:t xml:space="preserve">the region of the body containing most of the digestive</w:t></w:r>
</w:p>
<w:p>
<w:pPr><w:pStyle w:val="Normal"/></w:pPr>
<w:r><w:t xml:space="preserve">organs. (See for anatomical details the articles ALIMENTARY</w:t></w:r>
</w:p>
<w:p>
<w:pPr><w:pStyle w:val="Normal"/></w:pPr>
<w:r><w:t xml:space="preserve">CANAL, and ANATOMY, Superficial and Artistic.)</w:t></w:r>
</w:p>
<w:p>
<w:pPr><w:pStyle w:val="Normal"/></w:pPr>
<w:r><w:t xml:space="preserve">ABDOMINAL SURGERY.---The diseases affecting this region</w:t></w:r>
</w:p>
<w:p>
<w:pPr><w:pStyle w:val="Normal"/></w:pPr>
<w:r><w:t xml:space="preserve">are dealt with generally in the article DIGESTIVE ORGANS,</w:t></w:r>
</w:p>
<w:p>
<w:pPr><w:pStyle w:val="Normal"/></w:pPr>
<w:r><w:t xml:space="preserve">and under their own names (e.g. APPENDICITIS). The term</w:t></w:r>
</w:p>
<w:p>
<w:pPr><w:pStyle w:val="Normal"/></w:pPr>
<w:r><w:t xml:space="preserve">``abdominal surgery&apos;&apos; covers generally the operations which</w:t></w:r>
</w:p>
<w:p>
<w:pPr><w:pStyle w:val="Normal"/></w:pPr>
<w:r><w:t xml:space="preserve">involve opening the abdominal cavity, and in modern times this</w:t></w:r>
</w:p>
<w:p>
<w:pPr><w:pStyle w:val="Normal"/></w:pPr>
<w:r><w:t xml:space="preserve">field of work has been greatly extended.  In this Encyclopaedia</w:t></w:r>
</w:p>
<w:p>
<w:pPr><w:pStyle w:val="Normal"/></w:pPr>
<w:r><w:t xml:space="preserve">the surgery of each abdominal organ is dealt with, for the</w:t></w:r>
</w:p>
<w:p>
<w:pPr><w:pStyle w:val="Normal"/></w:pPr>
<w:r><w:t xml:space="preserve">most part, in connexion with the anatomical description of</w:t></w:r>
</w:p>
<w:p>
<w:pPr><w:pStyle w:val="Normal"/></w:pPr>
<w:r><w:t xml:space="preserve">that organ (see STOMACH, KIDNEY, LIVER, &amp;c.); but here the</w:t></w:r>
</w:p>
<w:p>
<w:pPr><w:pStyle w:val="Normal"/></w:pPr>
<w:r><w:t xml:space="preserve">general principles of abdominal surgery may be discussed.</w:t></w:r>
</w:p>
<w:p>
<w:pPr><w:pStyle w:val="Normal"/></w:pPr>
<w:r><w:t xml:space="preserve">Exploratory Laparotomy.---In many cases of serious intra-abdominal</w:t></w:r>
</w:p>
<w:p>
<w:pPr><w:pStyle w:val="Normal"/></w:pPr>
<w:r><w:t xml:space="preserve">disease it is impossible for the surgeon to say exactly</w:t></w:r>
</w:p>
<w:p>
<w:pPr><w:pStyle w:val="Normal"/></w:pPr>
<w:r><w:t xml:space="preserve">what is wrong without making an incision and introducing his</w:t></w:r>
</w:p>
<w:p>
<w:pPr><w:pStyle w:val="Normal"/></w:pPr>
<w:r><w:t xml:space="preserve">finger, or, if need be, his hand among the intestines.  With</w:t></w:r>
</w:p>
<w:p>
<w:pPr><w:pStyle w:val="Normal"/></w:pPr>
<w:r><w:t xml:space="preserve">due care this is not a perilous or serious procedure, and the</w:t></w:r>
</w:p>
<w:p>
<w:pPr><w:pStyle w:val="Normal"/></w:pPr>
<w:r><w:t xml:space="preserve">great advantage appertaining to it is daily being more fully</w:t></w:r>
</w:p>
<w:p>
<w:pPr><w:pStyle w:val="Normal"/></w:pPr>
<w:r><w:t xml:space="preserve">recognized.  It was Dr Oliver Wendell Holmes, the American</w:t></w:r>
</w:p>
<w:p>
<w:pPr><w:pStyle w:val="Normal"/></w:pPr>
<w:r><w:t xml:space="preserve">physiologist and poet, who remarked that one cannot say of</w:t></w:r>
</w:p>
<w:p>
<w:pPr><w:pStyle w:val="Normal"/></w:pPr>
<w:r><w:t xml:space="preserve">what wood a table is made without lifting up the cloth; so</w:t></w:r>
</w:p>
<w:p>
<w:pPr><w:pStyle w:val="Normal"/></w:pPr>
<w:r><w:t xml:space="preserve">also it is often impossible to say what is wrong inside the</w:t></w:r>
</w:p>
<w:p>
<w:pPr><w:pStyle w:val="Normal"/></w:pPr>
<w:r><w:t xml:space="preserve">abdomen without making an opening into it.  When an opening</w:t></w:r>
</w:p>
<w:p>
<w:pPr><w:pStyle w:val="Normal"/></w:pPr>
<w:r><w:t xml:space="preserve">is made in such circumstances---provided only it is done soon</w:t></w:r>
</w:p>
<w:p>
<w:pPr><w:pStyle w:val="Normal"/></w:pPr>
<w:r><w:t xml:space="preserve">enough--the successful treatment of the case often becomes a</w:t></w:r>
</w:p>
<w:p>
<w:pPr><w:pStyle w:val="Normal"/></w:pPr>
<w:r><w:t xml:space="preserve">simple matter.  An exploratory operation, therefore, should</w:t></w:r>
</w:p>
<w:p>
<w:pPr><w:pStyle w:val="Normal"/></w:pPr>
<w:r><w:t xml:space="preserve">be promptly resorted to as a means of diagnosis, and not left</w:t></w:r>
</w:p>
<w:p>
<w:pPr><w:pStyle w:val="Normal"/></w:pPr>
<w:r><w:t xml:space="preserve">as a last resource till the outlook is well-nigh hopeless.</w:t></w:r>
</w:p>
<w:p>
<w:pPr><w:pStyle w:val="Normal"/></w:pPr>
<w:r><w:t xml:space="preserve">It is probable that if the question were put to any experienced</w:t></w:r>
</w:p>
<w:p>
<w:pPr><w:pStyle w:val="Normal"/></w:pPr>
<w:r><w:t xml:space="preserve">hospital surgeon if he had often had cause to regret having</w:t></w:r>
</w:p>
<w:p>
<w:pPr><w:pStyle w:val="Normal"/></w:pPr>
<w:r><w:t xml:space="preserve">advised recourse to an exploratory operation on the abdomen,</w:t></w:r>
</w:p>
<w:p>
<w:pPr><w:pStyle w:val="Normal"/></w:pPr>
<w:r><w:t xml:space="preserve">his answer would be in the negative, but that, on the other</w:t></w:r>
</w:p>
<w:p>
<w:pPr><w:pStyle w:val="Normal"/></w:pPr>
<w:r><w:t xml:space="preserve">hand, he had not infrequently had cause to regret that he</w:t></w:r>
</w:p>
<w:p>
<w:pPr><w:pStyle w:val="Normal"/></w:pPr>
<w:r><w:t xml:space="preserve">had not resorted to it, post-mortem examination having</w:t></w:r>
</w:p>
<w:p>
<w:pPr><w:pStyle w:val="Normal"/></w:pPr>
<w:r><w:t xml:space="preserve">shown that if only he had insisted on an exploratioui being</w:t></w:r>
</w:p>
<w:p>
<w:pPr><w:pStyle w:val="Normal"/></w:pPr>
<w:r><w:t xml:space="preserve">made, some band, some adhesion, some tumour, some abscess</w:t></w:r>
</w:p>
<w:p>
<w:pPr><w:pStyle w:val="Normal"/></w:pPr>
<w:r><w:t xml:space="preserve">might have been satisfactorily dealt with, which, left</w:t></w:r>
</w:p>
<w:p>
<w:pPr><w:pStyle w:val="Normal"/></w:pPr>
<w:r><w:t xml:space="preserve">unsuspected in the dark cavity, was accountable for the</w:t></w:r>
</w:p>
<w:p>
<w:pPr><w:pStyle w:val="Normal"/></w:pPr>
<w:r><w:t xml:space="preserve">death.  A physician by himself is helpless in these cases.</w:t></w:r>
</w:p>
<w:p>
<w:pPr><w:pStyle w:val="Normal"/></w:pPr>
<w:r><w:t xml:space="preserve">Much of the rapid advance which has of late been made in</w:t></w:r>
</w:p>
<w:p>
<w:pPr><w:pStyle w:val="Normal"/></w:pPr>
<w:r><w:t xml:space="preserve">the results of abdominal surgery is due to the improved</w:t></w:r>
</w:p>
<w:p>
<w:pPr><w:pStyle w:val="Normal"/></w:pPr>
<w:r><w:t xml:space="preserve">relationship which exists between the public and the surgical</w:t></w:r>
</w:p>
<w:p>
<w:pPr><w:pStyle w:val="Normal"/></w:pPr>
<w:r><w:t xml:space="preserve">profession.  In former days it was not infrequently said, ``If</w:t></w:r>
</w:p>
<w:p>
<w:pPr><w:pStyle w:val="Normal"/></w:pPr>
<w:r><w:t xml:space="preserve">a surgeon is called in he is sure to operate.&apos;&apos; Not only have</w:t></w:r>
</w:p>
<w:p>
<w:pPr><w:pStyle w:val="Normal"/></w:pPr>
<w:r><w:t xml:space="preserve">the public said this, but even physicians have been known to</w:t></w:r>
</w:p>
<w:p>
<w:pPr><w:pStyle w:val="Normal"/></w:pPr>
<w:r><w:t xml:space="preserve">suggest it, and have indeed used the equivocal expression,</w:t></w:r>
</w:p>
<w:p>
<w:pPr><w:pStyle w:val="Normal"/></w:pPr>
<w:r><w:t xml:space="preserve">the ``apotheosis of surgery,&apos;&apos; in connexion with the operative</w:t></w:r>
</w:p>
<w:p>
<w:pPr><w:pStyle w:val="Normal"/></w:pPr>
<w:r><w:t xml:space="preserve">treatment of a serious abdominal lesion.  But fortunately</w:t></w:r>
</w:p>
<w:p>
<w:pPr><w:pStyle w:val="Normal"/></w:pPr>
<w:r><w:t xml:space="preserve">the public have found out that the surgeon, being an honest</w:t></w:r>
</w:p>
<w:p>
<w:pPr><w:pStyle w:val="Normal"/></w:pPr>
<w:r><w:t xml:space="preserve">man, does not advise operation unless he believes that it is</w:t></w:r>
</w:p>
<w:p>
<w:pPr><w:pStyle w:val="Normal"/></w:pPr>
<w:r><w:t xml:space="preserve">necessary or, at any rate, highly advisable.  And this happy</w:t></w:r>
</w:p>
<w:p>
<w:pPr><w:pStyle w:val="Normal"/></w:pPr>
<w:r><w:t xml:space="preserve">discovery has led to much more confidence being placed in his</w:t></w:r>
</w:p>
<w:p>
<w:pPr><w:pStyle w:val="Normal"/></w:pPr>
<w:r><w:t xml:space="preserve">decision.  It has truly been said that a surgeon is a physician</w:t></w:r>
</w:p>
<w:p>
<w:pPr><w:pStyle w:val="Normal"/></w:pPr>
<w:r><w:t xml:space="preserve">who can operate, and the public have begun to realize the fact</w:t></w:r>
</w:p>
<w:p>
<w:pPr><w:pStyle w:val="Normal"/></w:pPr>
<w:r><w:t xml:space="preserve">that it is useless to try to relieve an acute abdominal lesion</w:t></w:r>
</w:p>
<w:p>
<w:pPr><w:pStyle w:val="Normal"/></w:pPr>
<w:r><w:t xml:space="preserve">by diet or drugs.  Not many years ago cases of acute, obscure</w:t></w:r>
</w:p>
<w:p>
<w:pPr><w:pStyle w:val="Normal"/></w:pPr>
<w:r><w:t xml:space="preserve">or chronic affections of the abdomen which were admitted into</w:t></w:r>
</w:p>
<w:p>
<w:pPr><w:pStyle w:val="Normal"/></w:pPr>
<w:r><w:t xml:space="preserve">hospital were sent as a matter of course into the medical</w:t></w:r>
</w:p>
<w:p>
<w:pPr><w:pStyle w:val="Normal"/></w:pPr>
<w:r><w:t xml:space="preserve">wards, and after the effect of drugs had been tried with</w:t></w:r>
</w:p>
<w:p>
<w:pPr><w:pStyle w:val="Normal"/></w:pPr>
<w:r><w:t xml:space="preserve">expectancy and failure, the services of a surgeon were called</w:t></w:r>
</w:p>
<w:p>
<w:pPr><w:pStyle w:val="Normal"/></w:pPr>
<w:r><w:t xml:space="preserve">in.  In acute cases this delay spoilt all surgical chances, and</w:t></w:r>
</w:p>
<w:p>
<w:pPr><w:pStyle w:val="Normal"/></w:pPr>
<w:r><w:t xml:space="preserve">the idea was more widely spread that surgery, after all, was</w:t></w:r>
</w:p>
<w:p>
<w:pPr><w:pStyle w:val="Normal"/></w:pPr>
<w:r><w:t xml:space="preserve">a poor handmaid to medicine.  But now things are different.</w:t></w:r>
</w:p>
<w:p>
<w:pPr><w:pStyle w:val="Normal"/></w:pPr>
<w:r><w:t xml:space="preserve">Acute or obscure abdominal cases are promptly relegated to</w:t></w:r>
</w:p>
<w:p>
<w:pPr><w:pStyle w:val="Normal"/></w:pPr>
<w:r><w:t xml:space="preserve">the surgical wards; the surgeon is at once sent for, and if</w:t></w:r>
</w:p>
<w:p>
<w:pPr><w:pStyle w:val="Normal"/></w:pPr>
<w:r><w:t xml:space="preserve">operation is thought desirable it is performed without any</w:t></w:r>
</w:p>
<w:p>
<w:pPr><w:pStyle w:val="Normal"/></w:pPr>
<w:r><w:t xml:space="preserve">delay.  The public have found that the surgeon is not a reckless</w:t></w:r>
</w:p>
<w:p>
<w:pPr><w:pStyle w:val="Normal"/></w:pPr>
<w:r><w:t xml:space="preserve">operator, but a man who can take a broad view of a case in all</w:t></w:r>
</w:p>
<w:p>
<w:pPr><w:pStyle w:val="Normal"/></w:pPr>
<w:r><w:t xml:space="preserve">its bearings.  And so it has come about that the results of</w:t></w:r>
</w:p>
<w:p>
<w:pPr><w:pStyle w:val="Normal"/></w:pPr>
<w:r><w:t xml:space="preserve">operations upon the interior of the abdomen have been improving</w:t></w:r>
</w:p>
<w:p>
<w:pPr><w:pStyle w:val="Normal"/></w:pPr>
<w:r><w:t xml:space="preserve">day by day.  And doubtless they will continue to improve.</w:t></w:r>
</w:p>
<w:p>
<w:pPr><w:pStyle w:val="Normal"/></w:pPr>
<w:r><w:t xml:space="preserve">A great impetus was given to the surgery of wounded, mortified</w:t></w:r>
</w:p>
<w:p>
<w:pPr><w:pStyle w:val="Normal"/></w:pPr>
<w:r><w:t xml:space="preserve">or diseased pieces of intestine by the introduction from</w:t></w:r>
</w:p>
<w:p>
<w:pPr><w:pStyle w:val="Normal"/></w:pPr>
<w:r><w:t xml:space="preserve">Chicago of an ingenious contrivance named, after the inventor,</w:t></w:r>
</w:p>
<w:p>
<w:pPr><w:pStyle w:val="Normal"/></w:pPr>
<w:r><w:t xml:space="preserve">Murphy&apos;s button. This consists of a short nickel-plated</w:t></w:r>
</w:p>
<w:p>
<w:pPr><w:pStyle w:val="Normal"/></w:pPr>
<w:r><w:t xml:space="preserve">tube in two pieces, which are rapidly secured in the divided</w:t></w:r>
</w:p>
<w:p>
<w:pPr><w:pStyle w:val="Normal"/></w:pPr>
<w:r><w:t xml:space="preserve">ends of the bowel, and in such a manner that when the</w:t></w:r>
</w:p>
<w:p>
<w:pPr><w:pStyle w:val="Normal"/></w:pPr>
<w:r><w:t xml:space="preserve">pieces are subsequently ``married&apos;&apos; the adjusted ends of</w:t></w:r>
</w:p>
<w:p>
<w:pPr><w:pStyle w:val="Normal"/></w:pPr>
<w:r><w:t xml:space="preserve">the bowel are securely fixed together and the canal rendered</w:t></w:r>
</w:p>
<w:p>
<w:pPr><w:pStyle w:val="Normal"/></w:pPr>
<w:r><w:t xml:space="preserve">practicable.  In the course of time the button loosens itself</w:t></w:r>
</w:p>
<w:p>
<w:pPr><w:pStyle w:val="Normal"/></w:pPr>
<w:r><w:t xml:space="preserve">into the interior of the bowel and comes away with the alvine</w:t></w:r>
</w:p>
<w:p>
<w:pPr><w:pStyle w:val="Normal"/></w:pPr>
<w:r><w:t xml:space="preserve">evacuation.  In many other cases the use of the button has</w:t></w:r>
</w:p>
<w:p>
<w:pPr><w:pStyle w:val="Normal"/></w:pPr>
<w:r><w:t xml:space="preserve">proved convenient and successful, as in the establishment of</w:t></w:r>
</w:p>
<w:p>
<w:pPr><w:pStyle w:val="Normal"/></w:pPr>
<w:r><w:t xml:space="preserve">a permanent communication between the stomach and the small</w:t></w:r>
</w:p>
<w:p>
<w:pPr><w:pStyle w:val="Normal"/></w:pPr>
<w:r><w:t xml:space="preserve">intestine when the ordinary gateway between these parts of</w:t></w:r>
</w:p>
<w:p>
<w:pPr><w:pStyle w:val="Normal"/></w:pPr>
<w:r><w:t xml:space="preserve">the alimentary canal is obstructed by an irremovable malignant</w:t></w:r>
</w:p>
<w:p>
<w:pPr><w:pStyle w:val="Normal"/></w:pPr>
<w:r><w:t xml:space="preserve">growth; between two parts of the small intestine so that</w:t></w:r>
</w:p>
<w:p>
<w:pPr><w:pStyle w:val="Normal"/></w:pPr>
<w:r><w:t xml:space="preserve">some obstruction may be passed; betw:en smal&apos; and large</w:t></w:r>
</w:p>
<w:p>
<w:pPr><w:pStyle w:val="Normal"/></w:pPr>
<w:r><w:t xml:space="preserve">intestine.  The operative procedure goes by the name of</w:t></w:r>
</w:p>
<w:p>
<w:pPr><w:pStyle w:val="Normal"/></w:pPr>
<w:r><w:t xml:space="preserve">short-circuiting; it enables the contents of the bowel to get</w:t></w:r>
</w:p>
<w:p>
<w:pPr><w:pStyle w:val="Normal"/></w:pPr>
<w:r><w:t xml:space="preserve">beyond an obstruction.  In this way also a permanent working</w:t></w:r>
</w:p>
<w:p>
<w:pPr><w:pStyle w:val="Normal"/></w:pPr>
<w:r><w:t xml:space="preserve">communication can be set up between the gallbladder, or a</w:t></w:r>
</w:p>
<w:p>
<w:pPr><w:pStyle w:val="Normal"/></w:pPr>
<w:r><w:t xml:space="preserve">dilated bile-duct, and the neighbouring small intestine---the</w:t></w:r>
</w:p>
<w:p>
<w:pPr><w:pStyle w:val="Normal"/></w:pPr>
<w:r><w:t xml:space="preserve">last-named operation bears the precise but very clumsy name</w:t></w:r>
</w:p>
<w:p>
<w:pPr><w:pStyle w:val="Normal"/></w:pPr>
<w:r><w:t xml:space="preserve">of choledocoduodenostomy. By the use of Murphy&apos;s ingenious</w:t></w:r>
</w:p>
<w:p>
<w:pPr><w:pStyle w:val="Normal"/></w:pPr>
<w:r><w:t xml:space="preserve">apparatus the communication of two parts can be secured in</w:t></w:r>
</w:p>
<w:p>
<w:pPr><w:pStyle w:val="Normal"/></w:pPr>
<w:r><w:t xml:space="preserve">the shortest possible space of time, and this, in many of</w:t></w:r>
</w:p>
<w:p>
<w:pPr><w:pStyle w:val="Normal"/></w:pPr>
<w:r><w:t xml:space="preserve">the cases in which it is resorted to, is of the greatest</w:t></w:r>
</w:p>
<w:p>
<w:pPr><w:pStyle w:val="Normal"/></w:pPr>
<w:r><w:t xml:space="preserve">importance.  But there is this against the method---that</w:t></w:r>
</w:p>
<w:p>
<w:pPr><w:pStyle w:val="Normal"/></w:pPr>
<w:r><w:t xml:space="preserve">sometimes ulceration occurs around the rim of the metal button,</w:t></w:r>
</w:p>
<w:p>
<w:pPr><w:pStyle w:val="Normal"/></w:pPr>
<w:r><w:t xml:space="preserve">whilst at others the loosened metal causes annoyance in its</w:t></w:r>
</w:p>
<w:p>
<w:pPr><w:pStyle w:val="Normal"/></w:pPr>
<w:r><w:t xml:space="preserve">passage along the alimentary canal.  Some surgeons therefore</w:t></w:r>
</w:p>
<w:p>
<w:pPr><w:pStyle w:val="Normal"/></w:pPr>
<w:r><w:t xml:space="preserve">prefer to use a bobbin of decalcified bone or similar soft</w:t></w:r>
</w:p>
<w:p>
<w:pPr><w:pStyle w:val="Normal"/></w:pPr>
<w:r><w:t xml:space="preserve">material, while others rely upon direct suturing of the</w:t></w:r>
</w:p>
<w:p>
<w:pPr><w:pStyle w:val="Normal"/></w:pPr>
<w:r><w:t xml:space="preserve">parts.  The last-named method is gradually increasing in</w:t></w:r>
</w:p>
<w:p>
<w:pPr><w:pStyle w:val="Normal"/></w:pPr>
<w:r><w:t xml:space="preserve">popularity, and of course, when time and circumstances permit,</w:t></w:r>
</w:p>
<w:p>
<w:pPr><w:pStyle w:val="Normal"/></w:pPr>
<w:r><w:t xml:space="preserve">it is the ideal method of treatment.  The cause of death</w:t></w:r>
</w:p>
<w:p>
<w:pPr><w:pStyle w:val="Normal"/></w:pPr>
<w:r><w:t xml:space="preserve">in the case of intestinal obstruction is usually due to the</w:t></w:r>
</w:p>
<w:p>
<w:pPr><w:pStyle w:val="Normal"/></w:pPr>
<w:r><w:t xml:space="preserve">blood being poisoned by the absorption of the products of</w:t></w:r>
</w:p>
<w:p>
<w:pPr><w:pStyle w:val="Normal"/></w:pPr>
<w:r><w:t xml:space="preserve">decomposition of the fluid contents of the bowel above the</w:t></w:r>
</w:p>
<w:p>
<w:pPr><w:pStyle w:val="Normal"/></w:pPr>
<w:r><w:t xml:space="preserve">obstruction.  It is now the custom, therefore, for the surgeon to</w:t></w:r>
</w:p>
<w:p>
<w:pPr><w:pStyle w:val="Normal"/></w:pPr>
<w:r><w:t xml:space="preserve">complete his operation for the relief of obstruction by drawing</w:t></w:r>
</w:p>
<w:p>
<w:pPr><w:pStyle w:val="Normal"/></w:pPr>
<w:r><w:t xml:space="preserve">out a loop of the distended bowel, incising and evacuating</w:t></w:r>
</w:p>
<w:p>
<w:pPr><w:pStyle w:val="Normal"/></w:pPr>
<w:r><w:t xml:space="preserve">it, and then carefully suturing and returning it.  The surgeon</w:t></w:r>
</w:p>
<w:p>
<w:pPr><w:pStyle w:val="Normal"/></w:pPr>
<w:r><w:t xml:space="preserve">who first recognized the lethal effect of the absorption of</w:t></w:r>
</w:p>
<w:p>
<w:pPr><w:pStyle w:val="Normal"/></w:pPr>
<w:r><w:t xml:space="preserve">this stagnant fluid---or, at any rate, who first suggested the</w:t></w:r>
</w:p>
<w:p>
<w:pPr><w:pStyle w:val="Normal"/></w:pPr>
<w:r><w:t xml:space="preserve">proper method of treating it---was Lawson Tait of Birmingham,</w:t></w:r>
</w:p>
<w:p>
<w:pPr><w:pStyle w:val="Normal"/></w:pPr>
<w:r><w:t xml:space="preserve">who on the occurrence of grave symptoms after operating on</w:t></w:r>
</w:p>
<w:p>
<w:pPr><w:pStyle w:val="Normal"/></w:pPr>
<w:r><w:t xml:space="preserve">the abdomen gave small, repeated doses of Epsom salts to wash</w:t></w:r>
</w:p>
<w:p>
<w:pPr><w:pStyle w:val="Normal"/></w:pPr>
<w:r><w:t xml:space="preserve">away the harmful liquids of the bowel and to enable it at the</w:t></w:r>
</w:p>
<w:p>
<w:pPr><w:pStyle w:val="Normal"/></w:pPr>
<w:r><w:t xml:space="preserve">same time to empty itself of the gas, which, by distending the</w:t></w:r>
</w:p>
<w:p>
<w:pPr><w:pStyle w:val="Normal"/></w:pPr>
<w:r><w:t xml:space="preserve">intestines, was interfering with respiration and circulation.</w:t></w:r>
</w:p>
<w:p>
<w:pPr><w:pStyle w:val="Normal"/></w:pPr>
<w:r><w:t xml:space="preserve">Amongst still more recent improvements in abdominal surgery</w:t></w:r>
</w:p>
<w:p>
<w:pPr><w:pStyle w:val="Normal"/></w:pPr>
<w:r><w:t xml:space="preserve">may be mentioned the placing of the patient in the sitting</w:t></w:r>
</w:p>
<w:p>
<w:pPr><w:pStyle w:val="Normal"/></w:pPr>
<w:r><w:t xml:space="preserve">position as soon as practicable after the operation, and</w:t></w:r>
</w:p>
<w:p>
<w:pPr><w:pStyle w:val="Normal"/></w:pPr>
<w:r><w:t xml:space="preserve">the slow administration of a hot saline solution into the</w:t></w:r>
</w:p>
<w:p>
<w:pPr><w:pStyle w:val="Normal"/></w:pPr>
<w:r><w:t xml:space="preserve">lower bowel, or, in the more desperate cases, of injecting</w:t></w:r>
</w:p>
<w:p>
<w:pPr><w:pStyle w:val="Normal"/></w:pPr>
<w:r><w:t xml:space="preserve">pints of this ``normal saline&apos;&apos; fluid into the loose</w:t></w:r>
</w:p>
<w:p>
<w:pPr><w:pStyle w:val="Normal"/></w:pPr>
<w:r><w:t xml:space="preserve">tissue of the armpit.  Hot water thus administered or</w:t></w:r>
</w:p>
<w:p>
<w:pPr><w:pStyle w:val="Normal"/></w:pPr>
<w:r><w:t xml:space="preserve">injected is quickly taken into the blood, increasing its</w:t></w:r>
</w:p>
<w:p>
<w:pPr><w:pStyle w:val="Normal"/></w:pPr>
<w:r><w:t xml:space="preserve">volume, diluting its impurities and quenching the great</w:t></w:r>
</w:p>
<w:p>
<w:pPr><w:pStyle w:val="Normal"/></w:pPr>
<w:r><w:t xml:space="preserve">thirst which is so marked a symptom in this condition.</w:t></w:r>
</w:p>
<w:p>
<w:pPr><w:pStyle w:val="Normal"/></w:pPr>
<w:r><w:t xml:space="preserve">Gunshot wounds of the Abdomen.---If a revolver bullet passes</w:t></w:r>
</w:p>
<w:p>
<w:pPr><w:pStyle w:val="Normal"/></w:pPr>
<w:r><w:t xml:space="preserve">through the abdomen, the coils of intestine are likely to be</w:t></w:r>
</w:p>
<w:p>
<w:pPr><w:pStyle w:val="Normal"/></w:pPr>
<w:r><w:t xml:space="preserve">traversed by it in several places.  If the bullet be small and,</w:t></w:r>
</w:p>
<w:p>
<w:pPr><w:pStyle w:val="Normal"/></w:pPr>
<w:r><w:t xml:space="preserve">by chance, surgically clean, it is possible that the openings</w:t></w:r>
</w:p>
<w:p>
<w:pPr><w:pStyle w:val="Normal"/></w:pPr>
<w:r><w:t xml:space="preserve">may tightly close up behind it so that no leakage takes place</w:t></w:r>
</w:p>
<w:p>
<w:pPr><w:pStyle w:val="Normal"/></w:pPr>
<w:r><w:t xml:space="preserve">into the general peritoneal cavity.  If increasing collapse</w:t></w:r>
</w:p>
<w:p>
<w:pPr><w:pStyle w:val="Normal"/></w:pPr>
<w:r><w:t xml:space="preserve">suggests that serious bleeding is occurring within the abdomen,</w:t></w:r>
</w:p>
<w:p>
<w:pPr><w:pStyle w:val="Normal"/></w:pPr>
<w:r><w:t xml:space="preserve">the cavity is opened forthwith and a thorough exploration</w:t></w:r>
</w:p>
<w:p>
<w:pPr><w:pStyle w:val="Normal"/></w:pPr>
<w:r><w:t xml:space="preserve">made.  When it is uncettain lf the bowel has been traversed</w:t></w:r>
</w:p>
<w:p>
<w:pPr><w:pStyle w:val="Normal"/></w:pPr>
<w:r><w:t xml:space="preserve">or not, it is well to wait before opening the abdomen, due</w:t></w:r>
</w:p>
<w:p>
<w:pPr><w:pStyle w:val="Normal"/></w:pPr>
<w:r><w:t xml:space="preserve">preparation being made for performing that operation on the</w:t></w:r>
</w:p>
<w:p>
<w:pPr><w:pStyle w:val="Normal"/></w:pPr>
<w:r><w:t xml:space="preserve">first appearance of symptoms indicative of perforation having</w:t></w:r>
</w:p>
<w:p>
<w:pPr><w:pStyle w:val="Normal"/></w:pPr>
<w:r><w:t xml:space="preserve">occurred.  Small perforating wounds of the bowel are treated</w:t></w:r>
</w:p>
<w:p>
<w:pPr><w:pStyle w:val="Normal"/></w:pPr>
<w:r><w:t xml:space="preserve">by such suturing as the circumstances may suggest, the interior</w:t></w:r>
</w:p>
<w:p>
<w:pPr><w:pStyle w:val="Normal"/></w:pPr>
<w:r><w:t xml:space="preserve">of the abdominal cavity being rendered as free from septic</w:t></w:r>
</w:p>
<w:p>
<w:pPr><w:pStyle w:val="Normal"/></w:pPr>
<w:r><w:t xml:space="preserve">micro-organisms as possible.  It is by the malign influence of</w:t></w:r>
</w:p>
<w:p>
<w:pPr><w:pStyle w:val="Normal"/></w:pPr>
<w:r><w:t xml:space="preserve">such germs that a fatal issue is determined in the case of an</w:t></w:r>
</w:p>
<w:p>
<w:pPr><w:pStyle w:val="Normal"/></w:pPr>
<w:r><w:t xml:space="preserve">abdominal wound, whether inflicted by firearms or by a pointed</w:t></w:r>
</w:p>
<w:p>
<w:pPr><w:pStyle w:val="Normal"/></w:pPr>
<w:r><w:t xml:space="preserve">weapon.  If aseptic procedure can be promptly resorted</w:t></w:r>
</w:p>
<w:p>
<w:pPr><w:pStyle w:val="Normal"/></w:pPr>
<w:r><w:t xml:space="preserve">to and thoroughly carried out, abdominal wounds do well,</w:t></w:r>
</w:p>
<w:p>
<w:pPr><w:pStyle w:val="Normal"/></w:pPr>
<w:r><w:t xml:space="preserve">but these essentials cannot be obtained upon the field of</w:t></w:r>
</w:p>
<w:p>
<w:pPr><w:pStyle w:val="Normal"/></w:pPr>
<w:r><w:t xml:space="preserve">battle.  When after an action wounded men come pouring into</w:t></w:r>
</w:p>
<w:p>
<w:pPr><w:pStyle w:val="Normal"/></w:pPr>
<w:r><w:t xml:space="preserve">the field-hospital, the many cannot be kept waiting whilst</w:t></w:r>
</w:p>
<w:p>
<w:pPr><w:pStyle w:val="Normal"/></w:pPr>
<w:r><w:t xml:space="preserve">preparations are being made for the thorough carrying out</w:t></w:r>
</w:p>
<w:p>
<w:pPr><w:pStyle w:val="Normal"/></w:pPr>
<w:r><w:t xml:space="preserve">of a prolonged aseptic abdominal operation upon a solitary</w:t></w:r>
</w:p>
<w:p>
<w:pPr><w:pStyle w:val="Normal"/></w:pPr>
<w:r><w:t xml:space="preserve">case.  Experience in the South African war of 1899-1902 showed</w:t></w:r>
</w:p>
<w:p>
<w:pPr><w:pStyle w:val="Normal"/></w:pPr>
<w:r><w:t xml:space="preserve">that Mauser bullets could pierce coils of intestine and leave</w:t></w:r>
</w:p>
<w:p>
<w:pPr><w:pStyle w:val="Normal"/></w:pPr>
<w:r><w:t xml:space="preserve">the soldiers in such a condition that, if treated by mere</w:t></w:r>
</w:p>
<w:p>
<w:pPr><w:pStyle w:val="Normal"/></w:pPr>
<w:r><w:t xml:space="preserve">``expectancy,&apos;&apos; more than 50% recovered, whereas if operations</w:t></w:r>
</w:p>
<w:p>
<w:pPr><w:pStyle w:val="Normal"/></w:pPr>
<w:r><w:t xml:space="preserve">were resorted to, fatal septic peritonitis was likely to ensue.</w:t></w:r>
</w:p>
<w:p>
<w:pPr><w:pStyle w:val="Normal"/></w:pPr>
<w:r><w:t xml:space="preserve">In the close proximity of the fight, where time, assistants,</w:t></w:r>
</w:p>
<w:p>
<w:pPr><w:pStyle w:val="Normal"/></w:pPr>
<w:r><w:t xml:space="preserve">pure water, towels, lotions and other necessaries for carrying</w:t></w:r>
</w:p>
<w:p>
<w:pPr><w:pStyle w:val="Normal"/></w:pPr>
<w:r><w:t xml:space="preserve">out a thoroughly aseptic operation cannot be forthcoming,</w:t></w:r>
</w:p>
<w:p>
<w:pPr><w:pStyle w:val="Normal"/></w:pPr>
<w:r><w:t xml:space="preserve">gunshot wounds of the abdomen had best not be interfered with.</w:t></w:r>
</w:p>
<w:p>
<w:pPr><w:pStyle w:val="Normal"/></w:pPr>
<w:r><w:t xml:space="preserve">Stabs of the abdomen are serious if they have penetrated the</w:t></w:r>
</w:p>
<w:p>
<w:pPr><w:pStyle w:val="Normal"/></w:pPr>
<w:r><w:t xml:space="preserve">abdominal wall, as, at the time of injury, septic germs may</w:t></w:r>
</w:p>
<w:p>
<w:pPr><w:pStyle w:val="Normal"/></w:pPr>
<w:r><w:t xml:space="preserve">have been introduced, or the bowel may have been wounded.  In</w:t></w:r>
</w:p>
<w:p>
<w:pPr><w:pStyle w:val="Normal"/></w:pPr>
<w:r><w:t xml:space="preserve">either case a fatal inflammation of the peritoneum may be set</w:t></w:r>
</w:p>
<w:p>
<w:pPr><w:pStyle w:val="Normal"/></w:pPr>
<w:r><w:t xml:space="preserve">up.  It is inadvisable to probe a wound in order to find out</w:t></w:r>
</w:p>
<w:p>
<w:pPr><w:pStyle w:val="Normal"/></w:pPr>
<w:r><w:t xml:space="preserve">if the belly-cavity has been penetrated, as the probe itself</w:t></w:r>
</w:p>
<w:p>
<w:pPr><w:pStyle w:val="Normal"/></w:pPr>
<w:r><w:t xml:space="preserve">might carry inwards septic germs.  In case of doubt it is</w:t></w:r>
</w:p>
<w:p>
<w:pPr><w:pStyle w:val="Normal"/></w:pPr>
<w:r><w:t xml:space="preserve">better to enlarge the wound in order to determine its depth,</w:t></w:r>
</w:p>
<w:p>
<w:pPr><w:pStyle w:val="Normal"/></w:pPr>
<w:r><w:t xml:space="preserve">and to disinfect and close it if it be non-penetrating.  If,</w:t></w:r>
</w:p>
<w:p>
<w:pPr><w:pStyle w:val="Normal"/></w:pPr>
<w:r><w:t xml:space="preserve">however, the bellycavity has been opened, the neighbouring</w:t></w:r>
</w:p>
<w:p>
<w:pPr><w:pStyle w:val="Normal"/></w:pPr>
<w:r><w:t xml:space="preserve">pieces of bowel should be examined, cleansed and, if need be,</w:t></w:r>
</w:p>
<w:p>
<w:pPr><w:pStyle w:val="Normal"/></w:pPr>
<w:r><w:t xml:space="preserve">sutured.  Should there have been an escape of the contents of</w:t></w:r>
</w:p>
<w:p>
<w:pPr><w:pStyle w:val="Normal"/></w:pPr>
<w:r><w:t xml:space="preserve">the bowel the ``toilet of the peritoneum&apos;&apos; would be duly made,</w:t></w:r>
</w:p>
<w:p>
<w:pPr><w:pStyle w:val="Normal"/></w:pPr>
<w:r><w:t xml:space="preserve">and a drainage-tube would be left in.  If the stab had injured</w:t></w:r>
</w:p>
<w:p>
<w:pPr><w:pStyle w:val="Normal"/></w:pPr>
<w:r><w:t xml:space="preserve">a large blood-vessel either of the abdominal cavity, or of the</w:t></w:r>
</w:p>
<w:p>
<w:pPr><w:pStyle w:val="Normal"/></w:pPr>
<w:r><w:t xml:space="preserve">hiver or of some other organ, the bleeding would be arrested</w:t></w:r>
</w:p>
<w:p>
<w:pPr><w:pStyle w:val="Normal"/></w:pPr>
<w:r><w:t xml:space="preserve">by ligature or suture, and the extravasated blood sponged</w:t></w:r>
</w:p>
<w:p>
<w:pPr><w:pStyle w:val="Normal"/></w:pPr>
<w:r><w:t xml:space="preserve">out.  Before the days of antiseptic surgery, and of exploratory</w:t></w:r>
</w:p>
<w:p>
<w:pPr><w:pStyle w:val="Normal"/></w:pPr>
<w:r><w:t xml:space="preserve">abdominal operations, these cases were generally allowed</w:t></w:r>
</w:p>
<w:p>
<w:pPr><w:pStyle w:val="Normal"/></w:pPr>
<w:r><w:t xml:space="preserve">to drift to almost certain death, unrecognized and almost</w:t></w:r>
</w:p>
<w:p>
<w:pPr><w:pStyle w:val="Normal"/></w:pPr>
<w:r><w:t xml:space="preserve">untreated: at the present time a large number of them are saved.</w:t></w:r>
</w:p>
<w:p>
<w:pPr><w:pStyle w:val="Normal"/></w:pPr>
<w:r><w:t xml:space="preserve">Intussusception.---This is a terribly fatal disease of</w:t></w:r>
</w:p>
<w:p>
<w:pPr><w:pStyle w:val="Normal"/></w:pPr>
<w:r><w:t xml:space="preserve">infants and children, in which a piece of bowel slips into,</w:t></w:r>
</w:p>
<w:p>
<w:pPr><w:pStyle w:val="Normal"/></w:pPr>
<w:r><w:t xml:space="preserve">and is gripped by, the piece next below it.  Formerly it was</w:t></w:r>
</w:p>
<w:p>
<w:pPr><w:pStyle w:val="Normal"/></w:pPr>
<w:r><w:t xml:space="preserve">generally the custom to endeavour to reduce the invagination</w:t></w:r>
</w:p>
<w:p>
<w:pPr><w:pStyle w:val="Normal"/></w:pPr>
<w:r><w:t xml:space="preserve">by passing air or water up the rectum under pressure--a</w:t></w:r>
</w:p>
<w:p>
<w:pPr><w:pStyle w:val="Normal"/></w:pPr>
<w:r><w:t xml:space="preserve">speculative method of treatment which sometimes ended in a</w:t></w:r>
</w:p>
<w:p>
<w:pPr><w:pStyle w:val="Normal"/></w:pPr>
<w:r><w:t xml:space="preserve">fatal rupture of the distended bowel, and often---one might</w:t></w:r>
</w:p>
<w:p>
<w:pPr><w:pStyle w:val="Normal"/></w:pPr>
<w:r><w:t xml:space="preserve">almost say generally--failed to do what was expected of</w:t></w:r>
</w:p>
<w:p>
<w:pPr><w:pStyle w:val="Normal"/></w:pPr>
<w:r><w:t xml:space="preserve">it.  The teaching of modern surgery is that a small incision</w:t></w:r>
</w:p>
<w:p>
<w:pPr><w:pStyle w:val="Normal"/></w:pPr>
<w:r><w:t xml:space="preserve">into the abdomen and a prompt withdrawal of the invaginated</w:t></w:r>
</w:p>
<w:p>
<w:pPr><w:pStyle w:val="Normal"/></w:pPr>
<w:r><w:t xml:space="preserve">piece of bowel can be trusted to do all that, and more than,</w:t></w:r>
</w:p>
<w:p>
<w:pPr><w:pStyle w:val="Normal"/></w:pPr>
<w:r><w:t xml:space="preserve">infection can effect, without blindly risking a rupture of the</w:t></w:r>
</w:p>
<w:p>
<w:pPr><w:pStyle w:val="Normal"/></w:pPr>
<w:r><w:t xml:space="preserve">bowel.  It is certain that when the surgeon is unable to</w:t></w:r>
</w:p>
<w:p>
<w:pPr><w:pStyle w:val="Normal"/></w:pPr>
<w:r><w:t xml:space="preserve">unravel the bowel with his fingers gently applied to the parts</w:t></w:r>
</w:p>
<w:p>
<w:pPr><w:pStyle w:val="Normal"/></w:pPr>
<w:r><w:t xml:space="preserve">themselves, no speculative distension of the bowel could</w:t></w:r>
</w:p>
<w:p>
<w:pPr><w:pStyle w:val="Normal"/></w:pPr>
<w:r><w:t xml:space="preserve">have been effective.  But the outlook in these distressing</w:t></w:r>
</w:p>
<w:p>
<w:pPr><w:pStyle w:val="Normal"/></w:pPr>
<w:r><w:t xml:space="preserve">cases, even when the operation is promptly resorted to, is</w:t></w:r>
</w:p>
<w:p>
<w:pPr><w:pStyle w:val="Normal"/></w:pPr>
<w:r><w:t xml:space="preserve">extremely grave, because of the intensity of the shock which</w:t></w:r>
</w:p>
<w:p>
<w:pPr><w:pStyle w:val="Normal"/></w:pPr>
<w:r><w:t xml:space="preserve">the intussusception and resulting strangulation entail.</w:t></w:r>
</w:p>
<w:p>
<w:pPr><w:pStyle w:val="Normal"/></w:pPr>
<w:r><w:t xml:space="preserve">Still, every operation gives them by far the best chance.</w:t></w:r>
</w:p>
<w:p>
<w:pPr><w:pStyle w:val="Normal"/></w:pPr>
<w:r><w:t xml:space="preserve">Cancer of the Intestine.---With the introduction of aseptic</w:t></w:r>
</w:p>
<w:p>
<w:pPr><w:pStyle w:val="Normal"/></w:pPr>
<w:r><w:t xml:space="preserve">methods of operating, it has been found that the surgeon can</w:t></w:r>
</w:p>
<w:p>
<w:pPr><w:pStyle w:val="Normal"/></w:pPr>
<w:r><w:t xml:space="preserve">reach the bowel through the peritoneum easily and safely.</w:t></w:r>
</w:p>
<w:p>
<w:pPr><w:pStyle w:val="Normal"/></w:pPr>
<w:r><w:t xml:space="preserve">With the peritoneum opened, moreover, he can explore the</w:t></w:r>
</w:p>
<w:p>
<w:pPr><w:pStyle w:val="Normal"/></w:pPr>
<w:r><w:t xml:space="preserve">diseased bowel and deal with it as circumstances suggest.</w:t></w:r>
</w:p>
<w:p>
<w:pPr><w:pStyle w:val="Normal"/></w:pPr>
<w:r><w:t xml:space="preserve">If the cancerous mass is fairly movable the affected piece</w:t></w:r>
</w:p>
<w:p>
<w:pPr><w:pStyle w:val="Normal"/></w:pPr>
<w:r><w:t xml:space="preserve">of bowel is excised and the cut ends are spliced together,</w:t></w:r>
</w:p>
<w:p>
<w:pPr><w:pStyle w:val="Normal"/></w:pPr>
<w:r><w:t xml:space="preserve">and the continuity of the alimentary canal is permanently</w:t></w:r>
</w:p>
<w:p>
<w:pPr><w:pStyle w:val="Normal"/></w:pPr>
<w:r><w:t xml:space="preserve">re-established.  Thus in the case of cancer of the large</w:t></w:r>
</w:p>
<w:p>
<w:pPr><w:pStyle w:val="Normal"/></w:pPr>
<w:r><w:t xml:space="preserve">intestine which is not too far advanced, the surgeon expects</w:t></w:r>
</w:p>
<w:p>
<w:pPr><w:pStyle w:val="Normal"/></w:pPr>
<w:r><w:t xml:space="preserve">to be able not only to relieve the obstruction of the bowel,</w:t></w:r>
</w:p>
<w:p>
<w:pPr><w:pStyle w:val="Normal"/></w:pPr>
<w:r><w:t xml:space="preserve">but actually to cure the patient of his disease.  When the</w:t></w:r>
</w:p>
<w:p>
<w:pPr><w:pStyle w:val="Normal"/></w:pPr>
<w:r><w:t xml:space="preserve">lowest part of the bowel was found to be occupied by a cancerous</w:t></w:r>
</w:p>
<w:p>
<w:pPr><w:pStyle w:val="Normal"/></w:pPr>
<w:r><w:t xml:space="preserve">obstruction, the surgeon used formerly to secure an easy escape</w:t></w:r>
</w:p>
<w:p>
<w:pPr><w:pStyle w:val="Normal"/></w:pPr>
<w:r><w:t xml:space="preserve">for the contents of the bowel by making an opening into the</w:t></w:r>
</w:p>
<w:p>
<w:pPr><w:pStyle w:val="Normal"/></w:pPr>
<w:r><w:t xml:space="preserve">colon in the left loin.  But in recent years this operation of</w:t></w:r>
</w:p>
<w:p>
<w:pPr><w:pStyle w:val="Normal"/></w:pPr>
<w:r><w:t xml:space="preserve">lumbar colotomy has been almost entirely replaced by opening</w:t></w:r>
</w:p>
<w:p>
<w:pPr><w:pStyle w:val="Normal"/></w:pPr>
<w:r><w:t xml:space="preserve">the colon in the left groin.  This operation of iniguinal</w:t></w:r>
</w:p>
<w:p>
<w:pPr><w:pStyle w:val="Normal"/></w:pPr>
<w:r><w:t xml:space="preserve">colotomy is usually divided into two stages: a loop of the</w:t></w:r>
</w:p>
<w:p>
<w:pPr><w:pStyle w:val="Normal"/></w:pPr>
<w:r><w:t xml:space="preserve">large intestine is first drawn out through the abdominal</w:t></w:r>
</w:p>
<w:p>
<w:pPr><w:pStyle w:val="Normal"/></w:pPr>
<w:r><w:t xml:space="preserve">wound and secured by stitches, and a few days afterwards,</w:t></w:r>
</w:p>
<w:p>
<w:pPr><w:pStyle w:val="Normal"/></w:pPr>
<w:r><w:t xml:space="preserve">when it is firmly glued in place by adhesive inflammation,</w:t></w:r>
</w:p>
<w:p>
<w:pPr><w:pStyle w:val="Normal"/></w:pPr>
<w:r><w:t xml:space="preserve">it is cut across, so that subsequently the motions can no</w:t></w:r>
</w:p>
<w:p>
<w:pPr><w:pStyle w:val="Normal"/></w:pPr>
<w:r><w:t xml:space="preserve">longer find their way into the bowel below the artificial</w:t></w:r>
</w:p>
<w:p>
<w:pPr><w:pStyle w:val="Normal"/></w:pPr>
<w:r><w:t xml:space="preserve">anus.  If at the first stage of the operation symptoms of</w:t></w:r>
</w:p>
<w:p>
<w:pPr><w:pStyle w:val="Normal"/></w:pPr>
<w:r><w:t xml:space="preserve">obstruction are urgent, one of the ingenious glass tubes</w:t></w:r>
</w:p>
<w:p>
<w:pPr><w:pStyle w:val="Normal"/></w:pPr>
<w:r><w:t xml:space="preserve">with a rubber conduit, which Mr F. T. Paul has invented,</w:t></w:r>
</w:p>
<w:p>
<w:pPr><w:pStyle w:val="Normal"/></w:pPr>
<w:r><w:t xml:space="preserve">may be forthwith introduced into the distended bowel, so</w:t></w:r>
</w:p>
<w:p>
<w:pPr><w:pStyle w:val="Normal"/></w:pPr>
<w:r><w:t xml:space="preserve">that the contents may be allowed to escape without fear of</w:t></w:r>
</w:p>
<w:p>
<w:pPr><w:pStyle w:val="Normal"/></w:pPr>
<w:r><w:t xml:space="preserve">soiling the peritoneum or even the surface-wound. (E. O.*)</w:t></w:r>
</w:p>
<w:p>
<w:pPr><w:pStyle w:val="Normal"/></w:pPr>
<w:r><w:t xml:space="preserve">ABDUCTION (Lat. abductio, abducere, to lead away), a</w:t></w:r>
</w:p>
<w:p>
<w:pPr><w:pStyle w:val="Normal"/></w:pPr>
<w:r><w:t xml:space="preserve">law term denoting the forcible or fraudulent removal of a</w:t></w:r>
</w:p>
<w:p>
<w:pPr><w:pStyle w:val="Normal"/></w:pPr>
<w:r><w:t xml:space="preserve">person, limited by custom to the case where a woman is the</w:t></w:r>
</w:p>
<w:p>
<w:pPr><w:pStyle w:val="Normal"/></w:pPr>
<w:r><w:t xml:space="preserve">victim.  In the case of men or children, it has been usual</w:t></w:r>
</w:p>
<w:p>
<w:pPr><w:pStyle w:val="Normal"/></w:pPr>
<w:r><w:t xml:space="preserve">to substitute the term kidnapping (q.v.).  The old English</w:t></w:r>
</w:p>
<w:p>
<w:pPr><w:pStyle w:val="Normal"/></w:pPr>
<w:r><w:t xml:space="preserve">laws against abduction, generally contemplating its object</w:t></w:r>
</w:p>
<w:p>
<w:pPr><w:pStyle w:val="Normal"/></w:pPr>
<w:r><w:t xml:space="preserve">as the possession of an heiress and her fortune, have been</w:t></w:r>
</w:p>
<w:p>
<w:pPr><w:pStyle w:val="Normal"/></w:pPr>
<w:r><w:t xml:space="preserve">repealed by the Offences against the Person Act 1861, which</w:t></w:r>
</w:p>
<w:p>
<w:pPr><w:pStyle w:val="Normal"/></w:pPr>
<w:r><w:t xml:space="preserve">makes it felony for any one from motives of lucre to take</w:t></w:r>
</w:p>
<w:p>
<w:pPr><w:pStyle w:val="Normal"/></w:pPr>
<w:r><w:t xml:space="preserve">away or detain against her will with intent to marry or</w:t></w:r>
</w:p>
<w:p>
<w:pPr><w:pStyle w:val="Normal"/></w:pPr>
<w:r><w:t xml:space="preserve">carnally know her, &amp;c., any woman of any age who has any</w:t></w:r>
</w:p>
<w:p>
<w:pPr><w:pStyle w:val="Normal"/></w:pPr>
<w:r><w:t xml:space="preserve">interest in any real or personal estate, or is an heiress</w:t></w:r>
</w:p>
<w:p>
<w:pPr><w:pStyle w:val="Normal"/></w:pPr>
<w:r><w:t xml:space="preserve">presumptive, or co-heiress, or presumptive next of kin to</w:t></w:r>
</w:p>
<w:p>
<w:pPr><w:pStyle w:val="Normal"/></w:pPr>
<w:r><w:t xml:space="preserve">any one having such an interest; or for any one to cause</w:t></w:r>
</w:p>
<w:p>
<w:pPr><w:pStyle w:val="Normal"/></w:pPr>
<w:r><w:t xml:space="preserve">such a woman to be married or carnally known by any other</w:t></w:r>
</w:p>
<w:p>
<w:pPr><w:pStyle w:val="Normal"/></w:pPr>
<w:r><w:t xml:space="preserve">person; or for any one with such intent to allure, take</w:t></w:r>
</w:p>
<w:p>
<w:pPr><w:pStyle w:val="Normal"/></w:pPr>
<w:r><w:t xml:space="preserve">away, or detain any such woman under the age of twenty-one,</w:t></w:r>
</w:p>
<w:p>
<w:pPr><w:pStyle w:val="Normal"/></w:pPr>
<w:r><w:t xml:space="preserve">out of the possession and against the will of her parents or</w:t></w:r>
</w:p>
<w:p>
<w:pPr><w:pStyle w:val="Normal"/></w:pPr>
<w:r><w:t xml:space="preserve">guardians.  By s. 54, forcible taking away or detention</w:t></w:r>
</w:p>
<w:p>
<w:pPr><w:pStyle w:val="Normal"/></w:pPr>
<w:r><w:t xml:space="preserve">against her will of any woman of any age with like intent is</w:t></w:r>
</w:p>
<w:p>
<w:pPr><w:pStyle w:val="Normal"/></w:pPr>
<w:r><w:t xml:space="preserve">felony.  The same act makes abduction without eyen any such</w:t></w:r>
</w:p>
<w:p>
<w:pPr><w:pStyle w:val="Normal"/></w:pPr>
<w:r><w:t xml:space="preserve">intent a misdemeanour, where an unmarried girl under the</w:t></w:r>
</w:p>
<w:p>
<w:pPr><w:pStyle w:val="Normal"/></w:pPr>
<w:r><w:t xml:space="preserve">age of sixteen is unlawfully taken out of the possession and</w:t></w:r>
</w:p>
<w:p>
<w:pPr><w:pStyle w:val="Normal"/></w:pPr>
<w:r><w:t xml:space="preserve">against the will of her parents or guardians.  In such a case</w:t></w:r>
</w:p>
<w:p>
<w:pPr><w:pStyle w:val="Normal"/></w:pPr>
<w:r><w:t xml:space="preserve">the girl&apos;s consent is immaterial, nor is it a defence that the</w:t></w:r>
</w:p>
<w:p>
<w:pPr><w:pStyle w:val="Normal"/></w:pPr>
<w:r><w:t xml:space="preserve">person charged reasonably believed that the girl was sixteen or</w:t></w:r>
</w:p>
<w:p>
<w:pPr><w:pStyle w:val="Normal"/></w:pPr>
<w:r><w:t xml:space="preserve">over.  The Criminal Law Amendment Act 1885 made still more</w:t></w:r>
</w:p>
<w:p>
<w:pPr><w:pStyle w:val="Normal"/></w:pPr>
<w:r><w:t xml:space="preserve">stringent provisions with reference to abduction by making</w:t></w:r>
</w:p>
<w:p>
<w:pPr><w:pStyle w:val="Normal"/></w:pPr>
<w:r><w:t xml:space="preserve">the procuration or attempted procuration of any virtuous</w:t></w:r>
</w:p>
<w:p>
<w:pPr><w:pStyle w:val="Normal"/></w:pPr>
<w:r><w:t xml:space="preserve">female under the age of twenty-one years a misdemeanour, as</w:t></w:r>
</w:p>
<w:p>
<w:pPr><w:pStyle w:val="Normal"/></w:pPr>
<w:r><w:t xml:space="preserve">well as the abduction of any girl under eighteen years of</w:t></w:r>
</w:p>
<w:p>
<w:pPr><w:pStyle w:val="Normal"/></w:pPr>
<w:r><w:t xml:space="preserve">age with the intent that she shall be carnally known, or the</w:t></w:r>
</w:p>
<w:p>
<w:pPr><w:pStyle w:val="Normal"/></w:pPr>
<w:r><w:t xml:space="preserve">detaining of any female against her will on any premises,</w:t></w:r>
</w:p>
<w:p>
<w:pPr><w:pStyle w:val="Normal"/></w:pPr>
<w:r><w:t xml:space="preserve">with intent to have, or that another person may have, carnal</w:t></w:r>
</w:p>
<w:p>
<w:pPr><w:pStyle w:val="Normal"/></w:pPr>
<w:r><w:t xml:space="preserve">knowledge of her.  In Scotland, where there is no statutory</w:t></w:r>
</w:p>
<w:p>
<w:pPr><w:pStyle w:val="Normal"/></w:pPr>
<w:r><w:t xml:space="preserve">adjustment, abduction is similarly dealt with by practice.</w:t></w:r>
</w:p>
<w:p>
<w:pPr><w:pStyle w:val="Normal"/></w:pPr>
<w:r><w:t xml:space="preserve">ABD-UL-AZIZ (1830-1876), sultan of Turkey, son of Sultan</w:t></w:r>
</w:p>
<w:p>
<w:pPr><w:pStyle w:val="Normal"/></w:pPr>
<w:r><w:t xml:space="preserve">Mahmud II., was born on the 9th of February 1830, and</w:t></w:r>
</w:p>
<w:p>
<w:pPr><w:pStyle w:val="Normal"/></w:pPr>
<w:r><w:t xml:space="preserve">succeeded his brother Abd-ul-Mejid in 1861.  His personal</w:t></w:r>
</w:p>
<w:p>
<w:pPr><w:pStyle w:val="Normal"/></w:pPr>
<w:r><w:t xml:space="preserve">interference in government affairs was not very marked, and</w:t></w:r>
</w:p>
<w:p>
<w:pPr><w:pStyle w:val="Normal"/></w:pPr>
<w:r><w:t xml:space="preserve">extended to little more than taking astute advantage of the</w:t></w:r>
</w:p>
<w:p>
<w:pPr><w:pStyle w:val="Normal"/></w:pPr>
<w:r><w:t xml:space="preserve">constant issue of State loans during his reign to acquire</w:t></w:r>
</w:p>
<w:p>
<w:pPr><w:pStyle w:val="Normal"/></w:pPr>
<w:r><w:t xml:space="preserve">wealth, which was squandered in building useless palaces</w:t></w:r>
</w:p>
<w:p>
<w:pPr><w:pStyle w:val="Normal"/></w:pPr>
<w:r><w:t xml:space="preserve">and in other futile ways: he is even said to have profited,</w:t></w:r>
</w:p>
<w:p>
<w:pPr><w:pStyle w:val="Normal"/></w:pPr>
<w:r><w:t xml:space="preserve">by means of ``bear&apos;&apos; sales, from the default on the Turkish</w:t></w:r>
</w:p>
<w:p>
<w:pPr><w:pStyle w:val="Normal"/></w:pPr>
<w:r><w:t xml:space="preserve">debt in 1875 and the consequent fall in prices.  Another</w:t></w:r>
</w:p>
<w:p>
<w:pPr><w:pStyle w:val="Normal"/></w:pPr>
<w:r><w:t xml:space="preserve">source of revenue was afforded by Ismail Pasha, the khedive</w:t></w:r>
</w:p>
<w:p>
<w:pPr><w:pStyle w:val="Normal"/></w:pPr>
<w:r><w:t xml:space="preserve">of Egypt, who paid heavily in bakshish for the firman of</w:t></w:r>
</w:p>
<w:p>
<w:pPr><w:pStyle w:val="Normal"/></w:pPr>
<w:r><w:t xml:space="preserve">1866, by which the succession to the khedivate was made</w:t></w:r>
</w:p>
<w:p>
<w:pPr><w:pStyle w:val="Normal"/></w:pPr>
<w:r><w:t xml:space="preserve">hereditary from father to son in direct line and in order</w:t></w:r>
</w:p>
<w:p>
<w:pPr><w:pStyle w:val="Normal"/></w:pPr>
<w:r><w:t xml:space="preserve">of primogeniture, as well as for the subsequent firmans of</w:t></w:r>
</w:p>
<w:p>
<w:pPr><w:pStyle w:val="Normal"/></w:pPr>
<w:r><w:t xml:space="preserve">1867, 1869 and 1872 extending the khedive&apos;s prerogatives.  It</w:t></w:r>
</w:p>
<w:p>
<w:pPr><w:pStyle w:val="Normal"/></w:pPr>
<w:r><w:t xml:space="preserve">is, however, only fair to add that the sultan was doubtless</w:t></w:r>
</w:p>
<w:p>
<w:pPr><w:pStyle w:val="Normal"/></w:pPr>
<w:r><w:t xml:space="preserve">influenced by the desire to bring about a similar change</w:t></w:r>
</w:p>
<w:p>
<w:pPr><w:pStyle w:val="Normal"/></w:pPr>
<w:r><w:t xml:space="preserve">in the succession to the Ottoman throne and to ensure the</w:t></w:r>
</w:p>
<w:p>
<w:pPr><w:pStyle w:val="Normal"/></w:pPr>
<w:r><w:t xml:space="preserve">succession after him of his eldest son, Yussuf Izz-ed-din.</w:t></w:r>
</w:p>
<w:p>
<w:pPr><w:pStyle w:val="Normal"/></w:pPr>
<w:r><w:t xml:space="preserve">Abd-ul-Aziz visited Europe in 1867, being the first Ottoman</w:t></w:r>
</w:p>
<w:p>
<w:pPr><w:pStyle w:val="Normal"/></w:pPr>
<w:r><w:t xml:space="preserve">sultan to do so, and was made a Knight of the Garter by Queen</w:t></w:r>
</w:p>
<w:p>
<w:pPr><w:pStyle w:val="Normal"/></w:pPr>
<w:r><w:t xml:space="preserve">Victoria.  In 1869 he received the visits of the emperor of</w:t></w:r>
</w:p>
<w:p>
<w:pPr><w:pStyle w:val="Normal"/></w:pPr>
<w:r><w:t xml:space="preserve">Austria, the Empress Eugenie and other foreign princes, on their</w:t></w:r>
</w:p>
<w:p>
<w:pPr><w:pStyle w:val="Normal"/></w:pPr>
<w:r><w:t xml:space="preserve">way to the opening of the Suez Canal, and King Edward VII.,</w:t></w:r>
</w:p>
<w:p>
<w:pPr><w:pStyle w:val="Normal"/></w:pPr>
<w:r><w:t xml:space="preserve">while prince of Wales, twice visited Gonstantinople during his</w:t></w:r>
</w:p>
<w:p>
<w:pPr><w:pStyle w:val="Normal"/></w:pPr>
<w:r><w:t xml:space="preserve">reign.  The mis-government and financial straits of the</w:t></w:r>
</w:p>
<w:p>
<w:pPr><w:pStyle w:val="Normal"/></w:pPr>
<w:r><w:t xml:space="preserve">country brought on the outbreak of Mussulman discontent and</w:t></w:r>
</w:p>
<w:p>
<w:pPr><w:pStyle w:val="Normal"/></w:pPr>
<w:r><w:t xml:space="preserve">fanaticism which eventually culminated in the murder of two</w:t></w:r>
</w:p>
<w:p>
<w:pPr><w:pStyle w:val="Normal"/></w:pPr>
<w:r><w:t xml:space="preserve">consuls at Salonica and in the ``Bulgarian atrocities,&apos;&apos; and</w:t></w:r>
</w:p>
<w:p>
<w:pPr><w:pStyle w:val="Normal"/></w:pPr>
<w:r><w:t xml:space="preserve">cost Abd-ul-Aziz his throne.  His deposition on the 30th of</w:t></w:r>
</w:p>
<w:p>
<w:pPr><w:pStyle w:val="Normal"/></w:pPr>
<w:r><w:t xml:space="preserve">May 1876 was hailed with joy throughout Turkey; a fortnight</w:t></w:r>
</w:p>
<w:p>
<w:pPr><w:pStyle w:val="Normal"/></w:pPr>
<w:r><w:t xml:space="preserve">later he was found dead in the palace where he was confined,</w:t></w:r>
</w:p>
<w:p>
<w:pPr><w:pStyle w:val="Normal"/></w:pPr>
<w:r><w:t xml:space="preserve">and trustworthy medical evidence attributed his death to</w:t></w:r>
</w:p>
<w:p>
<w:pPr><w:pStyle w:val="Normal"/></w:pPr>
<w:r><w:t xml:space="preserve">suicide.  Six children survived him: Prince Yussuf Izz-ed-din,</w:t></w:r>
</w:p>
<w:p>
<w:pPr><w:pStyle w:val="Normal"/></w:pPr>
<w:r><w:t xml:space="preserve">born 1857; Princess Salina, wife of Kurd Ismall Pasha;</w:t></w:r>
</w:p>
<w:p>
<w:pPr><w:pStyle w:val="Normal"/></w:pPr>
<w:r><w:t xml:space="preserve">Princess Nazime, wife of Khalid Pasha; Prince Abd-ul-Mejid,</w:t></w:r>
</w:p>
<w:p>
<w:pPr><w:pStyle w:val="Normal"/></w:pPr>
<w:r><w:t xml:space="preserve">born 1869; Prince Self-ed-din, born 1876; Princess Emine,</w:t></w:r>
</w:p>
<w:p>
<w:pPr><w:pStyle w:val="Normal"/></w:pPr>
<w:r><w:t xml:space="preserve">wife of Mahommed Bey; Prince Shefket, born 1872, died 1899.</w:t></w:r>
</w:p>
<w:p>
<w:pPr><w:pStyle w:val="Normal"/></w:pPr>
<w:r><w:t xml:space="preserve">ABD-UL-HAMID I.,(1725-1789), sultan of Turkey, son of Ahmed</w:t></w:r>
</w:p>
<w:p>
<w:pPr><w:pStyle w:val="Normal"/></w:pPr>
<w:r><w:t xml:space="preserve">III., succeeded his brother Mustafa III. in 1773.  Long</w:t></w:r>
</w:p>
<w:p>
<w:pPr><w:pStyle w:val="Normal"/></w:pPr>
<w:r><w:t xml:space="preserve">confinement in the palace aloof from state affairs had left</w:t></w:r>
</w:p>
<w:p>
<w:pPr><w:pStyle w:val="Normal"/></w:pPr>
<w:r><w:t xml:space="preserve">him pious, God-fearing and pacific in disposition.  At his</w:t></w:r>
</w:p>
<w:p>
<w:pPr><w:pStyle w:val="Normal"/></w:pPr>
<w:r><w:t xml:space="preserve">accession the financial straits of the treasury were such that</w:t></w:r>
</w:p>
<w:p>
<w:pPr><w:pStyle w:val="Normal"/></w:pPr>
<w:r><w:t xml:space="preserve">the usual donative could not be given to the janissaries.  War</w:t></w:r>
</w:p>
<w:p>
<w:pPr><w:pStyle w:val="Normal"/></w:pPr>
<w:r><w:t xml:space="preserve">was, however, forced on him, and less than a year after his</w:t></w:r>
</w:p>
<w:p>
<w:pPr><w:pStyle w:val="Normal"/></w:pPr>
<w:r><w:t xml:space="preserve">accession the complete defeat of the Turks at Kozluja led</w:t></w:r>
</w:p>
<w:p>
<w:pPr><w:pStyle w:val="Normal"/></w:pPr>
<w:r><w:t xml:space="preserve">to the treaty of Kuchuk Kainarji ( 21st July 1774), the most</w:t></w:r>
</w:p>
<w:p>
<w:pPr><w:pStyle w:val="Normal"/></w:pPr>
<w:r><w:t xml:space="preserve">disastrous, especially in its after effects, that Turkey</w:t></w:r>
</w:p>
<w:p>
<w:pPr><w:pStyle w:val="Normal"/></w:pPr>
<w:r><w:t xml:space="preserve">has ever been obliged to conclude. (See TURKEY.) Slight</w:t></w:r>
</w:p>
<w:p>
<w:pPr><w:pStyle w:val="Normal"/></w:pPr>
<w:r><w:t xml:space="preserve">successes in Syria and the Morea against rebellious outbreaks</w:t></w:r>
</w:p>
<w:p>
<w:pPr><w:pStyle w:val="Normal"/></w:pPr>
<w:r><w:t xml:space="preserve">there could not compensate for the loss of the Crimea, which</w:t></w:r>
</w:p>
<w:p>
<w:pPr><w:pStyle w:val="Normal"/></w:pPr>
<w:r><w:t xml:space="preserve">Russia soon showed that she meant to absorb entirely.  In</w:t></w:r>
</w:p>
<w:p>
<w:pPr><w:pStyle w:val="Normal"/></w:pPr>
<w:r><w:t xml:space="preserve">1787 war was again declared against Russia, joined in the</w:t></w:r>
</w:p>
<w:p>
<w:pPr><w:pStyle w:val="Normal"/></w:pPr>
<w:r><w:t xml:space="preserve">following year by Austria, Joseph II. being entirely won over to</w:t></w:r>
</w:p>
<w:p>
<w:pPr><w:pStyle w:val="Normal"/></w:pPr>
<w:r><w:t xml:space="preserve">Catherine, whom he accompanied in her triumohal progress in the</w:t></w:r>
</w:p>
<w:p>
<w:pPr><w:pStyle w:val="Normal"/></w:pPr>
<w:r><w:t xml:space="preserve">Crimea.  Turkey held her own against the Austrians, but in</w:t></w:r>
</w:p>
<w:p>
<w:pPr><w:pStyle w:val="Normal"/></w:pPr>
<w:r><w:t xml:space="preserve">1788 Ochakov fell to the Russians.  Four months later, on</w:t></w:r>
</w:p>
<w:p>
<w:pPr><w:pStyle w:val="Normal"/></w:pPr>
<w:r><w:t xml:space="preserve">the 7th of April 1789, the sultan died, aged sixty-four.</w:t></w:r>
</w:p>
<w:p>
<w:pPr><w:pStyle w:val="Normal"/></w:pPr>
<w:r><w:t xml:space="preserve">ABD-UL-HAMID II. (1842- ), sultan of Turkey, son of Sultan</w:t></w:r>
</w:p>
<w:p>
<w:pPr><w:pStyle w:val="Normal"/></w:pPr>
<w:r><w:t xml:space="preserve">Abd-ul-Mejid, was born on the 21st of September 1842, and</w:t></w:r>
</w:p>
<w:p>
<w:pPr><w:pStyle w:val="Normal"/></w:pPr>
<w:r><w:t xml:space="preserve">succeeded to the throne on the deposition of his brother Murad</w:t></w:r>
</w:p>
<w:p>
<w:pPr><w:pStyle w:val="Normal"/></w:pPr>
<w:r><w:t xml:space="preserve">V., on the 31st of August 1876.  He accompanied his uncle</w:t></w:r>
</w:p>
<w:p>
<w:pPr><w:pStyle w:val="Normal"/></w:pPr>
<w:r><w:t xml:space="preserve">Sultan Abd-ul-Aziz on his visit to England and France in</w:t></w:r>
</w:p>
<w:p>
<w:pPr><w:pStyle w:val="Normal"/></w:pPr>
<w:r><w:t xml:space="preserve">1867.  At his accession spectators were struck by the fearless</w:t></w:r>
</w:p>
<w:p>
<w:pPr><w:pStyle w:val="Normal"/></w:pPr>
<w:r><w:t xml:space="preserve">manner in which he rode, practically unattended, on his way</w:t></w:r>
</w:p>
<w:p>
<w:pPr><w:pStyle w:val="Normal"/></w:pPr>
<w:r><w:t xml:space="preserve">to be girt with the sword of Eyub.  He was supposed to be of</w:t></w:r>
</w:p>
<w:p>
<w:pPr><w:pStyle w:val="Normal"/></w:pPr>
<w:r><w:t xml:space="preserve">liberal principles, and the more conservative of his subjects</w:t></w:r>
</w:p>
<w:p>
<w:pPr><w:pStyle w:val="Normal"/></w:pPr>
<w:r><w:t xml:space="preserve">were for some years after his accession inclined to regard him</w:t></w:r>
</w:p>
<w:p>
<w:pPr><w:pStyle w:val="Normal"/></w:pPr>
<w:r><w:t xml:space="preserve">with suspicion as a too ardent reformer.  But the circumstances</w:t></w:r>
</w:p>
<w:p>
<w:pPr><w:pStyle w:val="Normal"/></w:pPr>
<w:r><w:t xml:space="preserve">of the country at his accession were ill adapted for liberal</w:t></w:r>
</w:p>
<w:p>
<w:pPr><w:pStyle w:val="Normal"/></w:pPr>
<w:r><w:t xml:space="preserve">developments.  Default in the public funds and an empty</w:t></w:r>
</w:p>
<w:p>
<w:pPr><w:pStyle w:val="Normal"/></w:pPr>
<w:r><w:t xml:space="preserve">treasury, the insurrection in Bosnia and the Herzegovina, the</w:t></w:r>
</w:p>
<w:p>
<w:pPr><w:pStyle w:val="Normal"/></w:pPr>
<w:r><w:t xml:space="preserve">war with Servia and Montenegro, the feeling aroused throughout</w:t></w:r>
</w:p>
<w:p>
<w:pPr><w:pStyle w:val="Normal"/></w:pPr>
<w:r><w:t xml:space="preserve">Europe by the methods adopted in stamping out the Bulgarian</w:t></w:r>
</w:p>
<w:p>
<w:pPr><w:pStyle w:val="Normal"/></w:pPr>
<w:r><w:t xml:space="preserve">rebellion, all combined to prove to the new sultan that he</w:t></w:r>
</w:p>
<w:p>
<w:pPr><w:pStyle w:val="Normal"/></w:pPr>
<w:r><w:t xml:space="preserve">could expect little aid from the Powers.  But, still clinging</w:t></w:r>
</w:p>
<w:p>
<w:pPr><w:pStyle w:val="Normal"/></w:pPr>
<w:r><w:t xml:space="preserve">to the groundless belief, for which British statesmen had, of</w:t></w:r>
</w:p>
<w:p>
<w:pPr><w:pStyle w:val="Normal"/></w:pPr>
<w:r><w:t xml:space="preserve">late at least, afforded Turkey no justification, that Great</w:t></w:r>
</w:p>
<w:p>
<w:pPr><w:pStyle w:val="Normal"/></w:pPr>
<w:r><w:t xml:space="preserve">Britain at all events would support him, he obstinately refused</w:t></w:r>
</w:p>
<w:p>
<w:pPr><w:pStyle w:val="Normal"/></w:pPr>
<w:r><w:t xml:space="preserve">to give ear to the pressing requests of the Powers that the</w:t></w:r>
</w:p>
<w:p>
<w:pPr><w:pStyle w:val="Normal"/></w:pPr>
<w:r><w:t xml:space="preserve">necessary reforms should be instituted.  The international</w:t></w:r>
</w:p>
<w:p>
<w:pPr><w:pStyle w:val="Normal"/></w:pPr>
<w:r><w:t xml:space="preserve">Conference which met at Constantinople towards the end of</w:t></w:r>
</w:p>
<w:p>
<w:pPr><w:pStyle w:val="Normal"/></w:pPr>
<w:r><w:t xml:space="preserve">1876 was, indeed, startled by the salvo of guns heralding</w:t></w:r>
</w:p>
<w:p>
<w:pPr><w:pStyle w:val="Normal"/></w:pPr>
<w:r><w:t xml:space="preserve">the promulgation of a constitution, but the demands of the</w:t></w:r>
</w:p>
<w:p>
<w:pPr><w:pStyle w:val="Normal"/></w:pPr>
<w:r><w:t xml:space="preserve">Conference were rejected, in spite of the solemn warnings</w:t></w:r>
</w:p>
<w:p>
<w:pPr><w:pStyle w:val="Normal"/></w:pPr>
<w:r><w:t xml:space="preserve">addressed to the sultan by the Powers; Midhat Pasha, the</w:t></w:r>
</w:p>
<w:p>
<w:pPr><w:pStyle w:val="Normal"/></w:pPr>
<w:r><w:t xml:space="preserve">author of the constitution, was exiled; and soon afterwards</w:t></w:r>
</w:p>
<w:p>
<w:pPr><w:pStyle w:val="Normal"/></w:pPr>
<w:r><w:t xml:space="preserve">his work was suspended, though figuring to this day on the</w:t></w:r>
</w:p>
<w:p>
<w:pPr><w:pStyle w:val="Normal"/></w:pPr>
<w:r><w:t xml:space="preserve">Statute-Book.  Early in 1877 the disastrous war with Russia</w:t></w:r>
</w:p>
<w:p>
<w:pPr><w:pStyle w:val="Normal"/></w:pPr>
<w:r><w:t xml:space="preserve">followed.  The hard terms, embodied in the treaty of San</w:t></w:r>
</w:p>
<w:p>
<w:pPr><w:pStyle w:val="Normal"/></w:pPr>
<w:r><w:t xml:space="preserve">Stefano, to which Abd-ul-Hamid was forced to consent, were</w:t></w:r>
</w:p>
<w:p>
<w:pPr><w:pStyle w:val="Normal"/></w:pPr>
<w:r><w:t xml:space="preserve">to some extent amended at Berlin, thanks in the main to</w:t></w:r>
</w:p>
<w:p>
<w:pPr><w:pStyle w:val="Normal"/></w:pPr>
<w:r><w:t xml:space="preserve">British diplomacy (see EUROPE, History); but by this</w:t></w:r>
</w:p>
<w:p>
<w:pPr><w:pStyle w:val="Normal"/></w:pPr>
<w:r><w:t xml:space="preserve">time the sultan had lost all confidence in England, and</w:t></w:r>
</w:p>
<w:p>
<w:pPr><w:pStyle w:val="Normal"/></w:pPr>
<w:r><w:t xml:space="preserve">thought that he discerned in Germany, whose supremacy was</w:t></w:r>
</w:p>
<w:p>
<w:pPr><w:pStyle w:val="Normal"/></w:pPr>
<w:r><w:t xml:space="preserve">evidenced in his eyes by her capital being selected as the</w:t></w:r>
</w:p>
<w:p>
<w:pPr><w:pStyle w:val="Normal"/></w:pPr>
<w:r><w:t xml:space="preserve">meeting-place of the Congress, the future friend of Turkey.</w:t></w:r>
</w:p>
<w:p>
<w:pPr><w:pStyle w:val="Normal"/></w:pPr>
<w:r><w:t xml:space="preserve">He hastened to employ Germans for the reorganization of his</w:t></w:r>
</w:p>
<w:p>
<w:pPr><w:pStyle w:val="Normal"/></w:pPr>
<w:r><w:t xml:space="preserve">finances and his army, and set to work in the determination to</w:t></w:r>
</w:p>
<w:p>
<w:pPr><w:pStyle w:val="Normal"/></w:pPr>
<w:r><w:t xml:space="preserve">maintain his empire in spite of the difficulties surrounding</w:t></w:r>
</w:p>
<w:p>
<w:pPr><w:pStyle w:val="Normal"/></w:pPr>
<w:r><w:t xml:space="preserve">him, to resist the encroachments of foreigners, and to take</w:t></w:r>
</w:p>
<w:p>
<w:pPr><w:pStyle w:val="Normal"/></w:pPr>
<w:r><w:t xml:space="preserve">gradually the reins of absolute power into his own hands,</w:t></w:r>
</w:p>
<w:p>
<w:pPr><w:pStyle w:val="Normal"/></w:pPr>
<w:r><w:t xml:space="preserve">being animated by a profound distrust, not unmerited, of his</w:t></w:r>
</w:p>
<w:p>
<w:pPr><w:pStyle w:val="Normal"/></w:pPr>
<w:r><w:t xml:space="preserve">ministers.  Financial embarrassments forced him to consent to</w:t></w:r>
</w:p>
<w:p>
<w:pPr><w:pStyle w:val="Normal"/></w:pPr>
<w:r><w:t xml:space="preserve">a foreign control over the Debt, and the decree of December</w:t></w:r>
</w:p>
<w:p>
<w:pPr><w:pStyle w:val="Normal"/></w:pPr>
<w:r><w:t xml:space="preserve">1881, whereby many of the revenues of the empire were handed</w:t></w:r>
</w:p>
<w:p>
<w:pPr><w:pStyle w:val="Normal"/></w:pPr>
<w:r><w:t xml:space="preserve">over to the Public Debt Administration for the benefit of the</w:t></w:r>
</w:p>
<w:p>
<w:pPr><w:pStyle w:val="Normal"/></w:pPr>
<w:r><w:t xml:space="preserve">bondholders, was a sacrifice of principle to which he could</w:t></w:r>
</w:p>
<w:p>
<w:pPr><w:pStyle w:val="Normal"/></w:pPr>
<w:r><w:t xml:space="preserve">only have consented with the greatest reluctance.  Trouble in</w:t></w:r>
</w:p>
<w:p>
<w:pPr><w:pStyle w:val="Normal"/></w:pPr>
<w:r><w:t xml:space="preserve">Egypt, where a discredited khedive had to be deposed, trouble</w:t></w:r>
</w:p>
<w:p>
<w:pPr><w:pStyle w:val="Normal"/></w:pPr>
<w:r><w:t xml:space="preserve">on the Greek frontier and in Montenegro, where the Powers were</w:t></w:r>
</w:p>
<w:p>
<w:pPr><w:pStyle w:val="Normal"/></w:pPr>
<w:r><w:t xml:space="preserve">determined that the decisions of the Berlin Congress should</w:t></w:r>
</w:p>
<w:p>
<w:pPr><w:pStyle w:val="Normal"/></w:pPr>
<w:r><w:t xml:space="preserve">be carried into effect, were more or less satisfactorily got</w:t></w:r>
</w:p>
<w:p>
<w:pPr><w:pStyle w:val="Normal"/></w:pPr>
<w:r><w:t xml:space="preserve">over.  In his attitude towards Arabi, the would-be saviour of</w:t></w:r>
</w:p>
<w:p>
<w:pPr><w:pStyle w:val="Normal"/></w:pPr>
<w:r><w:t xml:space="preserve">Egypt, Abd-ul-Hamid showed less than his usual astuteness, and</w:t></w:r>
</w:p>
<w:p>
<w:pPr><w:pStyle w:val="Normal"/></w:pPr>
<w:r><w:t xml:space="preserve">the resulting consolidation of England&apos;s hold over the country</w:t></w:r>
</w:p>
<w:p>
<w:pPr><w:pStyle w:val="Normal"/></w:pPr>
<w:r><w:t xml:space="preserve">contributed still further to his estrangement from Turkey&apos;s old</w:t></w:r>
</w:p>
<w:p>
<w:pPr><w:pStyle w:val="Normal"/></w:pPr>
<w:r><w:t xml:space="preserve">ally.  The union in 1885 of Bulgaria with Eastern Rumelia, the</w:t></w:r>
</w:p>
<w:p>
<w:pPr><w:pStyle w:val="Normal"/></w:pPr>
<w:r><w:t xml:space="preserve">severance of which had been the great triumph of the Berlin</w:t></w:r>
</w:p>
<w:p>
<w:pPr><w:pStyle w:val="Normal"/></w:pPr>
<w:r><w:t xml:space="preserve">Congress, was another blow.  Few people south of the Balkans</w:t></w:r>
</w:p>
<w:p>
<w:pPr><w:pStyle w:val="Normal"/></w:pPr>
<w:r><w:t xml:space="preserve">dreamed that Bulgaria could be anything but a Russian province,</w:t></w:r>
</w:p>
<w:p>
<w:pPr><w:pStyle w:val="Normal"/></w:pPr>
<w:r><w:t xml:space="preserve">and apprehension was entertained of the results of the union</w:t></w:r>
</w:p>
<w:p>
<w:pPr><w:pStyle w:val="Normal"/></w:pPr>
<w:r><w:t xml:space="preserve">until it was seen that Russia really and entirely disapproved of</w:t></w:r>
</w:p>
<w:p>
<w:pPr><w:pStyle w:val="Normal"/></w:pPr>
<w:r><w:t xml:space="preserve">it.  Then the best was made of it, and for some years the sultan</w:t></w:r>
</w:p>
<w:p>
<w:pPr><w:pStyle w:val="Normal"/></w:pPr>
<w:r><w:t xml:space="preserve">preserved towards Bulgaria an attitude skilfully calculated</w:t></w:r>
</w:p>
<w:p>
<w:pPr><w:pStyle w:val="Normal"/></w:pPr>
<w:r><w:t xml:space="preserve">so as to avoid running counter either to Russian or to German</w:t></w:r>
</w:p>
<w:p>
<w:pPr><w:pStyle w:val="Normal"/></w:pPr>
<w:r><w:t xml:space="preserve">wishes.  Germany&apos;s friendship was not entirely disinterested,</w:t></w:r>
</w:p>
<w:p>
<w:pPr><w:pStyle w:val="Normal"/></w:pPr>
<w:r><w:t xml:space="preserve">and had to be fostered with a railway or loan concession from</w:t></w:r>
</w:p>
<w:p>
<w:pPr><w:pStyle w:val="Normal"/></w:pPr>
<w:r><w:t xml:space="preserve">time to time, until in 1899 the great object aimed at, the</w:t></w:r>
</w:p>
<w:p>
<w:pPr><w:pStyle w:val="Normal"/></w:pPr>
<w:r><w:t xml:space="preserve">Bagdad railway, was conceded.  Meanwhile, aided by docile</w:t></w:r>
</w:p>
<w:p>
<w:pPr><w:pStyle w:val="Normal"/></w:pPr>
<w:r><w:t xml:space="preserve">instruments, the sultan had succeeded in reducing his ministers</w:t></w:r>
</w:p>
<w:p>
<w:pPr><w:pStyle w:val="Normal"/></w:pPr>
<w:r><w:t xml:space="preserve">to the position of secretaries, and in concentrating the</w:t></w:r>
</w:p>
<w:p>
<w:pPr><w:pStyle w:val="Normal"/></w:pPr>
<w:r><w:t xml:space="preserve">mhole administration of the country into his own hands at</w:t></w:r>
</w:p>
<w:p>
<w:pPr><w:pStyle w:val="Normal"/></w:pPr>
<w:r><w:t xml:space="preserve">Yildiz.  But internal dissension was not thereby lessened.</w:t></w:r>
</w:p>
<w:p>
<w:pPr><w:pStyle w:val="Normal"/></w:pPr>
<w:r><w:t xml:space="preserve">Crete was constantly in turmoil, the Greeks were dissatisfied,</w:t></w:r>
</w:p>
<w:p>
<w:pPr><w:pStyle w:val="Normal"/></w:pPr>
<w:r><w:t xml:space="preserve">and from about 1890 the Armenians began a violent agitation</w:t></w:r>
</w:p>
<w:p>
<w:pPr><w:pStyle w:val="Normal"/></w:pPr>
<w:r><w:t xml:space="preserve">with a view to obtaining the reforms promised them at</w:t></w:r>
</w:p>
<w:p>
<w:pPr><w:pStyle w:val="Normal"/></w:pPr>
<w:r><w:t xml:space="preserve">Berlin.  Minor troubles had occurred in 1892 and 1893 at</w:t></w:r>
</w:p>
<w:p>
<w:pPr><w:pStyle w:val="Normal"/></w:pPr>
<w:r><w:t xml:space="preserve">Marsovan and Tokat.  In 1894 a more serious rebellion in</w:t></w:r>
</w:p>
<w:p>
<w:pPr><w:pStyle w:val="Normal"/></w:pPr>
<w:r><w:t xml:space="preserve">the mountainous region of Sassun was ruthlessly stamped</w:t></w:r>
</w:p>
<w:p>
<w:pPr><w:pStyle w:val="Normal"/></w:pPr>
<w:r><w:t xml:space="preserve">out; the Powers insistently demanded reforms, the eventual</w:t></w:r>
</w:p>
<w:p>
<w:pPr><w:pStyle w:val="Normal"/></w:pPr>
<w:r><w:t xml:space="preserve">grant of which in the autumn of 1895 was the signal for a</w:t></w:r>
</w:p>
<w:p>
<w:pPr><w:pStyle w:val="Normal"/></w:pPr>
<w:r><w:t xml:space="preserve">series of massacres, brought on in part by the injudicious</w:t></w:r>
</w:p>
<w:p>
<w:pPr><w:pStyle w:val="Normal"/></w:pPr>
<w:r><w:t xml:space="preserve">and threatening acts of the victims, and extending over many</w:t></w:r>
</w:p>
<w:p>
<w:pPr><w:pStyle w:val="Normal"/></w:pPr>
<w:r><w:t xml:space="preserve">months and throughout Asia Minor, as well as in the capital</w:t></w:r>
</w:p>
<w:p>
<w:pPr><w:pStyle w:val="Normal"/></w:pPr>
<w:r><w:t xml:space="preserve">itself.  The reforms became more or less a dead letter.</w:t></w:r>
</w:p>
<w:p>
<w:pPr><w:pStyle w:val="Normal"/></w:pPr>
<w:r><w:t xml:space="preserve">Crete indeed profited by the grant of extended privileges,</w:t></w:r>
</w:p>
<w:p>
<w:pPr><w:pStyle w:val="Normal"/></w:pPr>
<w:r><w:t xml:space="preserve">but these did not satisfy its turbulent population, and early</w:t></w:r>
</w:p>
<w:p>
<w:pPr><w:pStyle w:val="Normal"/></w:pPr>
<w:r><w:t xml:space="preserve">in 1897 a Greek expedition salled to unite the island to</w:t></w:r>
</w:p>
<w:p>
<w:pPr><w:pStyle w:val="Normal"/></w:pPr>
<w:r><w:t xml:space="preserve">Greece.  War followed, in which Turkey was easily successful</w:t></w:r>
</w:p>
<w:p>
<w:pPr><w:pStyle w:val="Normal"/></w:pPr>
<w:r><w:t xml:space="preserve">and gained a small rectification of frontier; then .a few</w:t></w:r>
</w:p>
<w:p>
<w:pPr><w:pStyle w:val="Normal"/></w:pPr>
<w:r><w:t xml:space="preserve">months later Crete was taken over ``en depot&apos;&apos; by the Four</w:t></w:r>
</w:p>
<w:p>
<w:pPr><w:pStyle w:val="Normal"/></w:pPr>
<w:r><w:t xml:space="preserve">Powers---Germany and Austria not participating,---and Prince</w:t></w:r>
</w:p>
<w:p>
<w:pPr><w:pStyle w:val="Normal"/></w:pPr>
<w:r><w:t xml:space="preserve">George of Greece was appointed their mandatory.  In the next year</w:t></w:r>
</w:p>
<w:p>
<w:pPr><w:pStyle w:val="Normal"/></w:pPr>
<w:r><w:t xml:space="preserve">the sultan received the visit of the German emperor and empress.</w:t></w:r>
</w:p>
<w:p>
<w:pPr><w:pStyle w:val="Normal"/></w:pPr>
<w:r><w:t xml:space="preserve">Abd-ul-Hamid had always resisted the pressure of the European</w:t></w:r>
</w:p>
<w:p>
<w:pPr><w:pStyle w:val="Normal"/></w:pPr>
<w:r><w:t xml:space="preserve">Powers to the last moment, in order to seem to yield only</w:t></w:r>
</w:p>
<w:p>
<w:pPr><w:pStyle w:val="Normal"/></w:pPr>
<w:r><w:t xml:space="preserve">to overwhelming force, while posing as the champion of Islam</w:t></w:r>
</w:p>
<w:p>
<w:pPr><w:pStyle w:val="Normal"/></w:pPr>
<w:r><w:t xml:space="preserve">against aggressive Christendom.  The Panislamic propaganda</w:t></w:r>
</w:p>
<w:p>
<w:pPr><w:pStyle w:val="Normal"/></w:pPr>
<w:r><w:t xml:space="preserve">was encouraged; the privileges of foreigners in the Ottoman</w:t></w:r>
</w:p>
<w:p>
<w:pPr><w:pStyle w:val="Normal"/></w:pPr>
<w:r><w:t xml:space="preserve">Empire-often an obstacle to government--were curtailed; the</w:t></w:r>
</w:p>
<w:p>
<w:pPr><w:pStyle w:val="Normal"/></w:pPr>
<w:r><w:t xml:space="preserve">new railway to the Holy Places was pressed on, and emissaries</w:t></w:r>
</w:p>
<w:p>
<w:pPr><w:pStyle w:val="Normal"/></w:pPr>
<w:r><w:t xml:space="preserve">were sent to distant countries preaching Islam and the</w:t></w:r>
</w:p>
<w:p>
<w:pPr><w:pStyle w:val="Normal"/></w:pPr>
<w:r><w:t xml:space="preserve">caliph&apos;s supremacy.  This appeal to Moslem sentiment was,</w:t></w:r>
</w:p>
<w:p>
<w:pPr><w:pStyle w:val="Normal"/></w:pPr>
<w:r><w:t xml:space="preserve">however, powerless against the disaffection due to perennial</w:t></w:r>
</w:p>
<w:p>
<w:pPr><w:pStyle w:val="Normal"/></w:pPr>
<w:r><w:t xml:space="preserve">misgovernment.  In Mesopotamia and Yemen disturbance was</w:t></w:r>
</w:p>
<w:p>
<w:pPr><w:pStyle w:val="Normal"/></w:pPr>
<w:r><w:t xml:space="preserve">endemic; nearer home, a semblance of loyalty was maintained</w:t></w:r>
</w:p>
<w:p>
<w:pPr><w:pStyle w:val="Normal"/></w:pPr>
<w:r><w:t xml:space="preserve">in the army and among the Mussulman population by a system</w:t></w:r>
</w:p>
<w:p>
<w:pPr><w:pStyle w:val="Normal"/></w:pPr>
<w:r><w:t xml:space="preserve">of delation and espionage, and by wholesale arrests; while,</w:t></w:r>
</w:p>
<w:p>
<w:pPr><w:pStyle w:val="Normal"/></w:pPr>
<w:r><w:t xml:space="preserve">obsessed by terror of assassination, the sultan withdrew</w:t></w:r>
</w:p>
<w:p>
<w:pPr><w:pStyle w:val="Normal"/></w:pPr>
<w:r><w:t xml:space="preserve">himself into fortified seclusion in the palace of Yildiz.</w:t></w:r>
</w:p>
<w:p>
<w:pPr><w:pStyle w:val="Normal"/></w:pPr>
<w:r><w:t xml:space="preserve">The national humiliation of the situation in Macedonia</w:t></w:r>
</w:p>
<w:p>
<w:pPr><w:pStyle w:val="Normal"/></w:pPr>
<w:r><w:t xml:space="preserve">(q.v.), together with the resentment in the army against</w:t></w:r>
</w:p>
<w:p>
<w:pPr><w:pStyle w:val="Normal"/></w:pPr>
<w:r><w:t xml:space="preserve">the palace spies and informers, at last brought matters to a</w:t></w:r>
</w:p>
<w:p>
<w:pPr><w:pStyle w:val="Normal"/></w:pPr>
<w:r><w:t xml:space="preserve">crisis.  The remarkable revolution associated with the names</w:t></w:r>
</w:p>
<w:p>
<w:pPr><w:pStyle w:val="Normal"/></w:pPr>
<w:r><w:t xml:space="preserve">of Niazi Bey and Enver Bey, the young Turk leaders, and</w:t></w:r>
</w:p>
<w:p>
<w:pPr><w:pStyle w:val="Normal"/></w:pPr>
<w:r><w:t xml:space="preserve">the Committee of Union and Progress is described elsewhere</w:t></w:r>
</w:p>
<w:p>
<w:pPr><w:pStyle w:val="Normal"/></w:pPr>
<w:r><w:t xml:space="preserve">(see TURKEY: History); here it must suffice to say that</w:t></w:r>
</w:p>
<w:p>
<w:pPr><w:pStyle w:val="Normal"/></w:pPr>
<w:r><w:t xml:space="preserve">Abd-ul-Hamid, on learning of the threat of the Salonica troops</w:t></w:r>
</w:p>
<w:p>
<w:pPr><w:pStyle w:val="Normal"/></w:pPr>
<w:r><w:t xml:space="preserve">to march on Constantinople (July 23), at once capitulated.</w:t></w:r>
</w:p>
<w:p>
<w:pPr><w:pStyle w:val="Normal"/></w:pPr>
<w:r><w:t xml:space="preserve">On the 24th an irade announced the restoration of the</w:t></w:r>
</w:p>
<w:p>
<w:pPr><w:pStyle w:val="Normal"/></w:pPr>
<w:r><w:t xml:space="preserve">suspended constitution of 1875; next day, further irades</w:t></w:r>
</w:p>
<w:p>
<w:pPr><w:pStyle w:val="Normal"/></w:pPr>
<w:r><w:t xml:space="preserve">abolished espionage and the censorship, and ordered the</w:t></w:r>
</w:p>
<w:p>
<w:pPr><w:pStyle w:val="Normal"/></w:pPr>
<w:r><w:t xml:space="preserve">release of political prisoners.  On the 10th of December</w:t></w:r>
</w:p>
<w:p>
<w:pPr><w:pStyle w:val="Normal"/></w:pPr>
<w:r><w:t xml:space="preserve">the sultan opened the Turkish parliament with a speech</w:t></w:r>
</w:p>
<w:p>
<w:pPr><w:pStyle w:val="Normal"/></w:pPr>
<w:r><w:t xml:space="preserve">from the throne in which he said that the first parliament</w:t></w:r>
</w:p>
<w:p>
<w:pPr><w:pStyle w:val="Normal"/></w:pPr>
<w:r><w:t xml:space="preserve">had been ``temporarily dissolved until the education of</w:t></w:r>
</w:p>
<w:p>
<w:pPr><w:pStyle w:val="Normal"/></w:pPr>
<w:r><w:t xml:space="preserve">the people had been brought to a sufficiently high level</w:t></w:r>
</w:p>
<w:p>
<w:pPr><w:pStyle w:val="Normal"/></w:pPr>
<w:r><w:t xml:space="preserve">by the extension of instruction throughout the empire.&apos;&apos;</w:t></w:r>
</w:p>
<w:p>
<w:pPr><w:pStyle w:val="Normal"/></w:pPr>
<w:r><w:t xml:space="preserve">The correct attitude of the sultan did not save him from</w:t></w:r>
</w:p>
<w:p>
<w:pPr><w:pStyle w:val="Normal"/></w:pPr>
<w:r><w:t xml:space="preserve">the suspicion of intriguing with the powerful reactionary</w:t></w:r>
</w:p>
<w:p>
<w:pPr><w:pStyle w:val="Normal"/></w:pPr>
<w:r><w:t xml:space="preserve">elements in the state, a suspicion confirmed by his attitude</w:t></w:r>
</w:p>
<w:p>
<w:pPr><w:pStyle w:val="Normal"/></w:pPr>
<w:r><w:t xml:space="preserve">towards the counter-revolution of the 13th of April, when</w:t></w:r>
</w:p>
<w:p>
<w:pPr><w:pStyle w:val="Normal"/></w:pPr>
<w:r><w:t xml:space="preserve">an insurrection of the soldiers and the Moslem populace of</w:t></w:r>
</w:p>
<w:p>
<w:pPr><w:pStyle w:val="Normal"/></w:pPr>
<w:r><w:t xml:space="preserve">the capital overthrew the committee and the ministry.  The</w:t></w:r>
</w:p>
<w:p>
<w:pPr><w:pStyle w:val="Normal"/></w:pPr>
<w:r><w:t xml:space="preserve">comittee, restored by the Salonica troops, now decided on</w:t></w:r>
</w:p>
<w:p>
<w:pPr><w:pStyle w:val="Normal"/></w:pPr>
<w:r><w:t xml:space="preserve">Abdul-Hamid&apos;s deposition, and on the 27th of April his brother</w:t></w:r>
</w:p>
<w:p>
<w:pPr><w:pStyle w:val="Normal"/></w:pPr>
<w:r><w:t xml:space="preserve">Reshid Effendi was proclaimed sultan as Mahommed V. The</w:t></w:r>
</w:p>
<w:p>
<w:pPr><w:pStyle w:val="Normal"/></w:pPr>
<w:r><w:t xml:space="preserve">ex-sultan was conveyed into dignified captivity at Salonica.</w:t></w:r>
</w:p>
<w:p>
<w:pPr><w:pStyle w:val="Normal"/></w:pPr>
<w:r><w:t xml:space="preserve">ABD-UL-MEJID (1823-.1861), sultan of Turkey, was born on</w:t></w:r>
</w:p>
<w:p>
<w:pPr><w:pStyle w:val="Normal"/></w:pPr>
<w:r><w:t xml:space="preserve">the 23rd of April 1823, and succeeded his father Mahmud II.</w:t></w:r>
</w:p>
<w:p>
<w:pPr><w:pStyle w:val="Normal"/></w:pPr>
<w:r><w:t xml:space="preserve">on the 2nd of July 1839.  Mahmud appears to have been unable</w:t></w:r>
</w:p>
<w:p>
<w:pPr><w:pStyle w:val="Normal"/></w:pPr>
<w:r><w:t xml:space="preserve">to effect the reforms he desired in the mode of educating</w:t></w:r>
</w:p>
<w:p>
<w:pPr><w:pStyle w:val="Normal"/></w:pPr>
<w:r><w:t xml:space="preserve">his children, so that his son received no better education</w:t></w:r>
</w:p>
<w:p>
<w:pPr><w:pStyle w:val="Normal"/></w:pPr>
<w:r><w:t xml:space="preserve">than that given, according to use and wont, to Turkish</w:t></w:r>
</w:p>
<w:p>
<w:pPr><w:pStyle w:val="Normal"/></w:pPr>
<w:r><w:t xml:space="preserve">princes in the harem.  When Abd-ul-Mejid succeeded to the</w:t></w:r>
</w:p>
<w:p>
<w:pPr><w:pStyle w:val="Normal"/></w:pPr>
<w:r><w:t xml:space="preserve">throne, the affairs of Turkey were in an extremely critical</w:t></w:r>
</w:p>
<w:p>
<w:pPr><w:pStyle w:val="Normal"/></w:pPr>
<w:r><w:t xml:space="preserve">state.  At the very time his father died, the news was on</w:t></w:r>
</w:p>
<w:p>
<w:pPr><w:pStyle w:val="Normal"/></w:pPr>
<w:r><w:t xml:space="preserve">its way to Constantinople that the Turkish army had been</w:t></w:r>
</w:p>
<w:p>
<w:pPr><w:pStyle w:val="Normal"/></w:pPr>
<w:r><w:t xml:space="preserve">signally defeated at Nezib by that of the rebel Egyptian</w:t></w:r>
</w:p>
<w:p>
<w:pPr><w:pStyle w:val="Normal"/></w:pPr>
<w:r><w:t xml:space="preserve">viceroy, Mehemet Ali; and the Turkish fleet was at the same</w:t></w:r>
</w:p>
<w:p>
<w:pPr><w:pStyle w:val="Normal"/></w:pPr>
<w:r><w:t xml:space="preserve">time on its way to Alexandria, where it was handed over by its</w:t></w:r>
</w:p>
<w:p>
<w:pPr><w:pStyle w:val="Normal"/></w:pPr>
<w:r><w:t xml:space="preserve">commander, Ahmed Pasha, to the same enemy, on the pretext</w:t></w:r>
</w:p>
<w:p>
<w:pPr><w:pStyle w:val="Normal"/></w:pPr>
<w:r><w:t xml:space="preserve">that the young sultan&apos;s advisers were sold to Russia.  But</w:t></w:r>
</w:p>
<w:p>
<w:pPr><w:pStyle w:val="Normal"/></w:pPr>
<w:r><w:t xml:space="preserve">through the intervention of the European Powers Mehemet Ali</w:t></w:r>
</w:p>
<w:p>
<w:pPr><w:pStyle w:val="Normal"/></w:pPr>
<w:r><w:t xml:space="preserve">was obliged to come to terms, and the Ottoman empire was saved.</w:t></w:r>
</w:p>
<w:p>
<w:pPr><w:pStyle w:val="Normal"/></w:pPr>
<w:r><w:t xml:space="preserve">(See MEHEMET ALI.) In compliance with his father&apos;s express</w:t></w:r>
</w:p>
<w:p>
<w:pPr><w:pStyle w:val="Normal"/></w:pPr>
<w:r><w:t xml:space="preserve">instructions, Abd-ul-Mejid set at once about carrying out</w:t></w:r>
</w:p>
<w:p>
<w:pPr><w:pStyle w:val="Normal"/></w:pPr>
<w:r><w:t xml:space="preserve">the reforms to which Mahmud had devoted himself.  In November</w:t></w:r>
</w:p>
<w:p>
<w:pPr><w:pStyle w:val="Normal"/></w:pPr>
<w:r><w:t xml:space="preserve">1839 was proclaimed an edict, known as the Hatt-i-sherif of</w:t></w:r>
</w:p>
<w:p>
<w:pPr><w:pStyle w:val="Normal"/></w:pPr>
<w:r><w:t xml:space="preserve">Dulhane, consolidating and enforcing these reforms, which</w:t></w:r>
</w:p>
<w:p>
<w:pPr><w:pStyle w:val="Normal"/></w:pPr>
<w:r><w:t xml:space="preserve">was supplemented at the close of the Crimean war by a similar</w:t></w:r>
</w:p>
<w:p>
<w:pPr><w:pStyle w:val="Normal"/></w:pPr>
<w:r><w:t xml:space="preserve">statute issued in February 1856.  By these enactments it was</w:t></w:r>
</w:p>
<w:p>
<w:pPr><w:pStyle w:val="Normal"/></w:pPr>
<w:r><w:t xml:space="preserve">provided that all classes of the sultan&apos;s subjects should</w:t></w:r>
</w:p>
<w:p>
<w:pPr><w:pStyle w:val="Normal"/></w:pPr>
<w:r><w:t xml:space="preserve">have security for their lives and property; that taxes should</w:t></w:r>
</w:p>
<w:p>
<w:pPr><w:pStyle w:val="Normal"/></w:pPr>
<w:r><w:t xml:space="preserve">be fairly imposed and justice impartially administered; and</w:t></w:r>
</w:p>
<w:p>
<w:pPr><w:pStyle w:val="Normal"/></w:pPr>
<w:r><w:t xml:space="preserve">that all should have full religious liberty and equal civil</w:t></w:r>
</w:p>
<w:p>
<w:pPr><w:pStyle w:val="Normal"/></w:pPr>
<w:r><w:t xml:space="preserve">rights.  The scheme met with keen opposition from the Mussulman</w:t></w:r>
</w:p>
<w:p>
<w:pPr><w:pStyle w:val="Normal"/></w:pPr>
<w:r><w:t xml:space="preserve">governing classes and the ulema, or privileged religious</w:t></w:r>
</w:p>
<w:p>
<w:pPr><w:pStyle w:val="Normal"/></w:pPr>
<w:r><w:t xml:space="preserve">teachers, and was but partially put in force, especially in</w:t></w:r>
</w:p>
<w:p>
<w:pPr><w:pStyle w:val="Normal"/></w:pPr>
<w:r><w:t xml:space="preserve">the remoter parts of the empire; and more than one conspiracy</w:t></w:r>
</w:p>
<w:p>
<w:pPr><w:pStyle w:val="Normal"/></w:pPr>
<w:r><w:t xml:space="preserve">was formed against the sultan&apos;s life on account of it.  Of</w:t></w:r>
</w:p>
<w:p>
<w:pPr><w:pStyle w:val="Normal"/></w:pPr>
<w:r><w:t xml:space="preserve">the other measures of reform promoted by Abd-ul-Mejid the more</w:t></w:r>
</w:p>
<w:p>
<w:pPr><w:pStyle w:val="Normal"/></w:pPr>
<w:r><w:t xml:space="preserve">important were---the reorganization of the army (1843-1844),</w:t></w:r>
</w:p>
<w:p>
<w:pPr><w:pStyle w:val="Normal"/></w:pPr>
<w:r><w:t xml:space="preserve">the institution of a council of public instruction (1846),</w:t></w:r>
</w:p>
<w:p>
<w:pPr><w:pStyle w:val="Normal"/></w:pPr>
<w:r><w:t xml:space="preserve">the abolition of an odious and unfairly imposed capitation</w:t></w:r>
</w:p>
<w:p>
<w:pPr><w:pStyle w:val="Normal"/></w:pPr>
<w:r><w:t xml:space="preserve">tax, the repression of slave trading, and various provisions</w:t></w:r>
</w:p>
<w:p>
<w:pPr><w:pStyle w:val="Normal"/></w:pPr>
<w:r><w:t xml:space="preserve">for the better administration of the public service and for</w:t></w:r>
</w:p>
<w:p>
<w:pPr><w:pStyle w:val="Normal"/></w:pPr>
<w:r><w:t xml:space="preserve">the advancement of commerce.  For the public history of his</w:t></w:r>
</w:p>
<w:p>
<w:pPr><w:pStyle w:val="Normal"/></w:pPr>
<w:r><w:t xml:space="preserve">times--the disturbances and insurrections in different parts of</w:t></w:r>
</w:p>
<w:p>
<w:pPr><w:pStyle w:val="Normal"/></w:pPr>
<w:r><w:t xml:space="preserve">his dominions throughout his reign, and the great war successfully</w:t></w:r>
</w:p>
<w:p>
<w:pPr><w:pStyle w:val="Normal"/></w:pPr>
<w:r><w:t xml:space="preserve">carried on against Russia by Turkey, and by England, France and</w:t></w:r>
</w:p>
<w:p>
<w:pPr><w:pStyle w:val="Normal"/></w:pPr>
<w:r><w:t xml:space="preserve">Sardinia, in the interest of Turkey(1853-1856)-- see TURKEY,</w:t></w:r>
</w:p>
<w:p>
<w:pPr><w:pStyle w:val="Normal"/></w:pPr>
<w:r><w:t xml:space="preserve">and CRIMEAN WAR. When Kossuth and others sought refuge in</w:t></w:r>
</w:p>
<w:p>
<w:pPr><w:pStyle w:val="Normal"/></w:pPr>
<w:r><w:t xml:space="preserve">Turkey, after the failure of the Hungarian rising in 1849,</w:t></w:r>
</w:p>
<w:p>
<w:pPr><w:pStyle w:val="Normal"/></w:pPr>
<w:r><w:t xml:space="preserve">the sultan was called on by Austria and Russia to surrender</w:t></w:r>
</w:p>
<w:p>
<w:pPr><w:pStyle w:val="Normal"/></w:pPr>
<w:r><w:t xml:space="preserve">them, but boldly and determinedly refused.  It is to his</w:t></w:r>
</w:p>
<w:p>
<w:pPr><w:pStyle w:val="Normal"/></w:pPr>
<w:r><w:t xml:space="preserve">credit, too, that he would not allow the conspirators against</w:t></w:r>
</w:p>
<w:p>
<w:pPr><w:pStyle w:val="Normal"/></w:pPr>
<w:r><w:t xml:space="preserve">his own life to be put to death.  He bore the character of</w:t></w:r>
</w:p>
<w:p>
<w:pPr><w:pStyle w:val="Normal"/></w:pPr>
<w:r><w:t xml:space="preserve">being a kind and honourable man, if somewhat weak and easily</w:t></w:r>
</w:p>
<w:p>
<w:pPr><w:pStyle w:val="Normal"/></w:pPr>
<w:r><w:t xml:space="preserve">led.  Against this, however, must be set down his excessive</w:t></w:r>
</w:p>
<w:p>
<w:pPr><w:pStyle w:val="Normal"/></w:pPr>
<w:r><w:t xml:space="preserve">extravagance, especially towards the end of his life.  He</w:t></w:r>
</w:p>
<w:p>
<w:pPr><w:pStyle w:val="Normal"/></w:pPr>
<w:r><w:t xml:space="preserve">died on the 25th of June 1861, and was succeeded by his</w:t></w:r>
</w:p>
<w:p>
<w:pPr><w:pStyle w:val="Normal"/></w:pPr>
<w:r><w:t xml:space="preserve">brother, Abd-ul-Aziz, as the oldest survivor of the family of</w:t></w:r>
</w:p>
<w:p>
<w:pPr><w:pStyle w:val="Normal"/></w:pPr>
<w:r><w:t xml:space="preserve">Osman.  He left several sons, of whom two, Murad V. and</w:t></w:r>
</w:p>
<w:p>
<w:pPr><w:pStyle w:val="Normal"/></w:pPr>
<w:r><w:t xml:space="preserve">Abd-ul-Hamid II., eventually succeeded to the throne.  In his</w:t></w:r>
</w:p>
<w:p>
<w:pPr><w:pStyle w:val="Normal"/></w:pPr>
<w:r><w:t xml:space="preserve">reign was begun the reckless system of foreign loans, carried</w:t></w:r>
</w:p>
<w:p>
<w:pPr><w:pStyle w:val="Normal"/></w:pPr>
<w:r><w:t xml:space="preserve">to excess in the ensuing reign, and culminating in default,</w:t></w:r>
</w:p>
<w:p>
<w:pPr><w:pStyle w:val="Normal"/></w:pPr>
<w:r><w:t xml:space="preserve">which led to the alienation of European sympathy from Turkey</w:t></w:r>
</w:p>
<w:p>
<w:pPr><w:pStyle w:val="Normal"/></w:pPr>
<w:r><w:t xml:space="preserve">and, indirectly, to the dethronement and death of Abd-ul-Aziz.</w:t></w:r>
</w:p>
<w:p>
<w:pPr><w:pStyle w:val="Normal"/></w:pPr>
<w:r><w:t xml:space="preserve">ABDUR RAHMAN KHAN, amir of Afghanistan (c. 1844-1901),</w:t></w:r>
</w:p>
<w:p>
<w:pPr><w:pStyle w:val="Normal"/></w:pPr>
<w:r><w:t xml:space="preserve">was the son of Afzul Khan, who was the eldest son of Dost</w:t></w:r>
</w:p>
<w:p>
<w:pPr><w:pStyle w:val="Normal"/></w:pPr>
<w:r><w:t xml:space="preserve">Mahomed Khan, the famous amir, by whose success in war the</w:t></w:r>
</w:p>
<w:p>
<w:pPr><w:pStyle w:val="Normal"/></w:pPr>
<w:r><w:t xml:space="preserve">Barakzai family established their dynasty in the rulership of</w:t></w:r>
</w:p>
<w:p>
<w:pPr><w:pStyle w:val="Normal"/></w:pPr>
<w:r><w:t xml:space="preserve">Afghanistan.  Before his death at Herat, 9th June 1863, Dost</w:t></w:r>
</w:p>
<w:p>
<w:pPr><w:pStyle w:val="Normal"/></w:pPr>
<w:r><w:t xml:space="preserve">Mahomed had nominated as his successor Shere Ali, his third</w:t></w:r>
</w:p>
<w:p>
<w:pPr><w:pStyle w:val="Normal"/></w:pPr>
<w:r><w:t xml:space="preserve">son, passing over the two elder brothers, Afzul Khan and Azim</w:t></w:r>
</w:p>
<w:p>
<w:pPr><w:pStyle w:val="Normal"/></w:pPr>
<w:r><w:t xml:space="preserve">Khan; and at first the new amir was quietly recognized.  But</w:t></w:r>
</w:p>
<w:p>
<w:pPr><w:pStyle w:val="Normal"/></w:pPr>
<w:r><w:t xml:space="preserve">after a few months Afzul Khan raised an insurrection in the</w:t></w:r>
</w:p>
<w:p>
<w:pPr><w:pStyle w:val="Normal"/></w:pPr>
<w:r><w:t xml:space="preserve">northern province, between the Hindu Kush mountains and the</w:t></w:r>
</w:p>
<w:p>
<w:pPr><w:pStyle w:val="Normal"/></w:pPr>
<w:r><w:t xml:space="preserve">Oxus, where he had been governing when his father died; and</w:t></w:r>
</w:p>
<w:p>
<w:pPr><w:pStyle w:val="Normal"/></w:pPr>
<w:r><w:t xml:space="preserve">then began a fierce contest for power among the sons of Dost</w:t></w:r>
</w:p>
<w:p>
<w:pPr><w:pStyle w:val="Normal"/></w:pPr>
<w:r><w:t xml:space="preserve">Mahomed, which lasted for nearly five years.  In this war,</w:t></w:r>
</w:p>
<w:p>
<w:pPr><w:pStyle w:val="Normal"/></w:pPr>
<w:r><w:t xml:space="preserve">which resembles in character, and in its striking vicissitudes,</w:t></w:r>
</w:p>
<w:p>
<w:pPr><w:pStyle w:val="Normal"/></w:pPr>
<w:r><w:t xml:space="preserve">the English War of the Roses at the end of the 15th century,</w:t></w:r>
</w:p>
<w:p>
<w:pPr><w:pStyle w:val="Normal"/></w:pPr>
<w:r><w:t xml:space="preserve">Abdur Rahman soon became distinguished for ability and daring</w:t></w:r>
</w:p>
<w:p>
<w:pPr><w:pStyle w:val="Normal"/></w:pPr>
<w:r><w:t xml:space="preserve">energy.  Although his father, Afzul Khan, who had none of</w:t></w:r>
</w:p>
<w:p>
<w:pPr><w:pStyle w:val="Normal"/></w:pPr>
<w:r><w:t xml:space="preserve">these qualities, came to terms with the Amir Shere Ali, the</w:t></w:r>
</w:p>
<w:p>
<w:pPr><w:pStyle w:val="Normal"/></w:pPr>
<w:r><w:t xml:space="preserve">son&apos;s behaviour in the northern province soon excited the</w:t></w:r>
</w:p>
<w:p>
<w:pPr><w:pStyle w:val="Normal"/></w:pPr>
<w:r><w:t xml:space="preserve">amir&apos;s suspicion, and Abdur Rahman: when he was summoned to</w:t></w:r>
</w:p>
<w:p>
<w:pPr><w:pStyle w:val="Normal"/></w:pPr>
<w:r><w:t xml:space="preserve">Kabul, fled across the Oxus into Bokhara.  Shere Ali threw</w:t></w:r>
</w:p>
<w:p>
<w:pPr><w:pStyle w:val="Normal"/></w:pPr>
<w:r><w:t xml:space="preserve">Afzul Khan into prison, and a serious revolt followed in</w:t></w:r>
</w:p>
<w:p>
<w:pPr><w:pStyle w:val="Normal"/></w:pPr>
<w:r><w:t xml:space="preserve">south &amp;fghanistan; but the amir had scarcely suppressed it by</w:t></w:r>
</w:p>
<w:p>
<w:pPr><w:pStyle w:val="Normal"/></w:pPr>
<w:r><w:t xml:space="preserve">winning a desperate battle, when Abdur Rahman&apos;s reapearance</w:t></w:r>
</w:p>
<w:p>
<w:pPr><w:pStyle w:val="Normal"/></w:pPr>
<w:r><w:t xml:space="preserve">in the north was a signal for a mutiny of the troops</w:t></w:r>
</w:p>
<w:p>
<w:pPr><w:pStyle w:val="Normal"/></w:pPr>
<w:r><w:t xml:space="preserve">stationed in those parts and a gathering of armed bands to his</w:t></w:r>
</w:p>
<w:p>
<w:pPr><w:pStyle w:val="Normal"/></w:pPr>
<w:r><w:t xml:space="preserve">standard.  After some delay and desultory fighting, he and</w:t></w:r>
</w:p>
<w:p>
<w:pPr><w:pStyle w:val="Normal"/></w:pPr>
<w:r><w:t xml:space="preserve">his uncle, Azim Khan, occupied Kabul (March 1866).  The amir</w:t></w:r>
</w:p>
<w:p>
<w:pPr><w:pStyle w:val="Normal"/></w:pPr>
<w:r><w:t xml:space="preserve">Shere All marched up against them from Kandahar; but in the</w:t></w:r>
</w:p>
<w:p>
<w:pPr><w:pStyle w:val="Normal"/></w:pPr>
<w:r><w:t xml:space="preserve">battle that ensued at Sheikhabad on 10th May he was deserted</w:t></w:r>
</w:p>
<w:p>
<w:pPr><w:pStyle w:val="Normal"/></w:pPr>
<w:r><w:t xml:space="preserve">by a large body of his troops, and after his signal defeat</w:t></w:r>
</w:p>
<w:p>
<w:pPr><w:pStyle w:val="Normal"/></w:pPr>
<w:r><w:t xml:space="preserve">Abdur Rahman released his father, Afzul Elian, from prison</w:t></w:r>
</w:p>
<w:p>
<w:pPr><w:pStyle w:val="Normal"/></w:pPr>
<w:r><w:t xml:space="preserve">in Ghazni, and installed him upon the throne as amir of</w:t></w:r>
</w:p>
<w:p>
<w:pPr><w:pStyle w:val="Normal"/></w:pPr>
<w:r><w:t xml:space="preserve">Afghanistan.  Notwithstanding the new amir&apos;s incapacity, and</w:t></w:r>
</w:p>
<w:p>
<w:pPr><w:pStyle w:val="Normal"/></w:pPr>
<w:r><w:t xml:space="preserve">some jealousy between the real leaders, Abdur Rahman and his</w:t></w:r>
</w:p>
<w:p>
<w:pPr><w:pStyle w:val="Normal"/></w:pPr>
<w:r><w:t xml:space="preserve">uncle, they again routed Shere All&apos;s forces, and occupied</w:t></w:r>
</w:p>
<w:p>
<w:pPr><w:pStyle w:val="Normal"/></w:pPr>
<w:r><w:t xml:space="preserve">Kandahar in 1867; and when at the end of that year Afzul Khan</w:t></w:r>
</w:p>
<w:p>
<w:pPr><w:pStyle w:val="Normal"/></w:pPr>
<w:r><w:t xml:space="preserve">died, Azim Khan succeeded to the rulership, with Abdur Rahman</w:t></w:r>
</w:p>
<w:p>
<w:pPr><w:pStyle w:val="Normal"/></w:pPr>
<w:r><w:t xml:space="preserve">as his governor in the northern province.  But towards the end</w:t></w:r>
</w:p>
<w:p>
<w:pPr><w:pStyle w:val="Normal"/></w:pPr>
<w:r><w:t xml:space="preserve">of 1868 Shere Ali&apos;s return, and a general rising in his favour,</w:t></w:r>
</w:p>
<w:p>
<w:pPr><w:pStyle w:val="Normal"/></w:pPr>
<w:r><w:t xml:space="preserve">resulting in their defeat at Tinah Khan on the 3rd of January</w:t></w:r>
</w:p>
<w:p>
<w:pPr><w:pStyle w:val="Normal"/></w:pPr>
<w:r><w:t xml:space="preserve">1869, forced them both to seek refuge in Persia, whence Abdur</w:t></w:r>
</w:p>
<w:p>
<w:pPr><w:pStyle w:val="Normal"/></w:pPr>
<w:r><w:t xml:space="preserve">Rahman proceeded afterwards to place himself under Russian</w:t></w:r>
</w:p>
<w:p>
<w:pPr><w:pStyle w:val="Normal"/></w:pPr>
<w:r><w:t xml:space="preserve">protection at Samarkand.  Azim died in Persia in October 1869.</w:t></w:r>
</w:p>
<w:p>
<w:pPr><w:pStyle w:val="Normal"/></w:pPr>
<w:r><w:t xml:space="preserve">This brief account of the conspicuous part taken by Abdur</w:t></w:r>
</w:p>
<w:p>
<w:pPr><w:pStyle w:val="Normal"/></w:pPr>
<w:r><w:t xml:space="preserve">Rahman in an eventful war, at the beginning of which he was</w:t></w:r>
</w:p>
<w:p>
<w:pPr><w:pStyle w:val="Normal"/></w:pPr>
<w:r><w:t xml:space="preserve">not more than twenty years old, has been given to show the</w:t></w:r>
</w:p>
<w:p>
<w:pPr><w:pStyle w:val="Normal"/></w:pPr>
<w:r><w:t xml:space="preserve">rough school that brought out his qualities of resource and</w:t></w:r>
</w:p>
<w:p>
<w:pPr><w:pStyle w:val="Normal"/></w:pPr>
<w:r><w:t xml:space="preserve">fortitude, and the political capacity needed for rulership in</w:t></w:r>
</w:p>
<w:p>
<w:pPr><w:pStyle w:val="Normal"/></w:pPr>
<w:r><w:t xml:space="preserve">Afghanistan.  He lived in exile for eleven years, until on the</w:t></w:r>
</w:p>
<w:p>
<w:pPr><w:pStyle w:val="Normal"/></w:pPr>
<w:r><w:t xml:space="preserve">death, in 1879, of Shere Ali, who had retired from Kabul when the</w:t></w:r>
</w:p>
<w:p>
<w:pPr><w:pStyle w:val="Normal"/></w:pPr>
<w:r><w:t xml:space="preserve">British armies entered Afghanistan, the Russian governorgeneral</w:t></w:r>
</w:p>
<w:p>
<w:pPr><w:pStyle w:val="Normal"/></w:pPr>
<w:r><w:t xml:space="preserve">at Tashkent sent for Abdur Rahman, and pressed him to try his</w:t></w:r>
</w:p>
<w:p>
<w:pPr><w:pStyle w:val="Normal"/></w:pPr>
<w:r><w:t xml:space="preserve">fortunes once more across the Oxus.  In March 1880 a report</w:t></w:r>
</w:p>
<w:p>
<w:pPr><w:pStyle w:val="Normal"/></w:pPr>
<w:r><w:t xml:space="preserve">reached India that he was in northern Afghanistan; and the</w:t></w:r>
</w:p>
<w:p>
<w:pPr><w:pStyle w:val="Normal"/></w:pPr>
<w:r><w:t xml:space="preserve">governor-general, Lord Lytton, opened communications with him</w:t></w:r>
</w:p>
<w:p>
<w:pPr><w:pStyle w:val="Normal"/></w:pPr>
<w:r><w:t xml:space="preserve">to the effect that the British government were prepared to</w:t></w:r>
</w:p>
<w:p>
<w:pPr><w:pStyle w:val="Normal"/></w:pPr>
<w:r><w:t xml:space="preserve">withdraw their troops, and to recognize Abdur Rahman as amir of</w:t></w:r>
</w:p>
<w:p>
<w:pPr><w:pStyle w:val="Normal"/></w:pPr>
<w:r><w:t xml:space="preserve">Afghanistan, with the exception of Kandahar and some districts</w:t></w:r>
</w:p>
<w:p>
<w:pPr><w:pStyle w:val="Normal"/></w:pPr>
<w:r><w:t xml:space="preserve">adjacent.  After some negotiations, an interview took place</w:t></w:r>
</w:p>
<w:p>
<w:pPr><w:pStyle w:val="Normal"/></w:pPr>
<w:r><w:t xml:space="preserve">between him and Mr (afterwards Sir) Lepel Griffin, the</w:t></w:r>
</w:p>
<w:p>
<w:pPr><w:pStyle w:val="Normal"/></w:pPr>
<w:r><w:t xml:space="preserve">diplomatic representative at Kabub of the Indian government,</w:t></w:r>
</w:p>
<w:p>
<w:pPr><w:pStyle w:val="Normal"/></w:pPr>
<w:r><w:t xml:space="preserve">who described Abdur Rahman as a man of middle height, with</w:t></w:r>
</w:p>
<w:p>
<w:pPr><w:pStyle w:val="Normal"/></w:pPr>
<w:r><w:t xml:space="preserve">an exceedingly intelligent face and frank and courteous</w:t></w:r>
</w:p>
<w:p>
<w:pPr><w:pStyle w:val="Normal"/></w:pPr>
<w:r><w:t xml:space="preserve">manners, shrewd and able in conversation on the business in</w:t></w:r>
</w:p>
<w:p>
<w:pPr><w:pStyle w:val="Normal"/></w:pPr>
<w:r><w:t xml:space="preserve">hand.  At the durbar on the 22nd of July 1880, Abbdur Rahman</w:t></w:r>
</w:p>
<w:p>
<w:pPr><w:pStyle w:val="Normal"/></w:pPr>
<w:r><w:t xml:space="preserve">was officially recognized as amir, granted assistance in</w:t></w:r>
</w:p>
<w:p>
<w:pPr><w:pStyle w:val="Normal"/></w:pPr>
<w:r><w:t xml:space="preserve">arms and money, and promised, in case of unprovoked foreign</w:t></w:r>
</w:p>
<w:p>
<w:pPr><w:pStyle w:val="Normal"/></w:pPr>
<w:r><w:t xml:space="preserve">aggression, such further aid as might be necessary to repel</w:t></w:r>
</w:p>
<w:p>
<w:pPr><w:pStyle w:val="Normal"/></w:pPr>
<w:r><w:t xml:space="preserve">it, provided that he followed British advice in regard to</w:t></w:r>
</w:p>
<w:p>
<w:pPr><w:pStyle w:val="Normal"/></w:pPr>
<w:r><w:t xml:space="preserve">his external relations.  The evacuation of Afghanistan was</w:t></w:r>
</w:p>
<w:p>
<w:pPr><w:pStyle w:val="Normal"/></w:pPr>
<w:r><w:t xml:space="preserve">settled on the terms proposed, and in 1881 the British troops</w:t></w:r>
</w:p>
<w:p>
<w:pPr><w:pStyle w:val="Normal"/></w:pPr>
<w:r><w:t xml:space="preserve">also made over Kandahar to the new amir; but Ayub Khan,</w:t></w:r>
</w:p>
<w:p>
<w:pPr><w:pStyle w:val="Normal"/></w:pPr>
<w:r><w:t xml:space="preserve">one of Shere Ali&apos;s sons, marched upon that city from Herat,</w:t></w:r>
</w:p>
<w:p>
<w:pPr><w:pStyle w:val="Normal"/></w:pPr>
<w:r><w:t xml:space="preserve">defeated Abdur Rahman&apos;s troops, and occupied the place in</w:t></w:r>
</w:p>
<w:p>
<w:pPr><w:pStyle w:val="Normal"/></w:pPr>
<w:r><w:t xml:space="preserve">July.  This serious reverse roused the amir, who had not</w:t></w:r>
</w:p>
<w:p>
<w:pPr><w:pStyle w:val="Normal"/></w:pPr>
<w:r><w:t xml:space="preserve">at first displayed much activity.  He led a force from</w:t></w:r>
</w:p>
<w:p>
<w:pPr><w:pStyle w:val="Normal"/></w:pPr>
<w:r><w:t xml:space="preserve">Kabul, met Ayub&apos;s army close to Kandahar, and the complete</w:t></w:r>
</w:p>
<w:p>
<w:pPr><w:pStyle w:val="Normal"/></w:pPr>
<w:r><w:t xml:space="preserve">victory which he there won forced Ayub Khan to fly into</w:t></w:r>
</w:p>
<w:p>
<w:pPr><w:pStyle w:val="Normal"/></w:pPr>
<w:r><w:t xml:space="preserve">Persia.  From that time Abdur Rahman was fairly seated on the</w:t></w:r>
</w:p>
<w:p>
<w:pPr><w:pStyle w:val="Normal"/></w:pPr>
<w:r><w:t xml:space="preserve">throne at Kabul, and in the course of the next few years he</w:t></w:r>
</w:p>
<w:p>
<w:pPr><w:pStyle w:val="Normal"/></w:pPr>
<w:r><w:t xml:space="preserve">consolidated his dominion over all Afghanistan, suppressing</w:t></w:r>
</w:p>
<w:p>
<w:pPr><w:pStyle w:val="Normal"/></w:pPr>
<w:r><w:t xml:space="preserve">insurrections by a sharp and relentless use of his despotic</w:t></w:r>
</w:p>
<w:p>
<w:pPr><w:pStyle w:val="Normal"/></w:pPr>
<w:r><w:t xml:space="preserve">authority.  Against the severity of his measures the powerful</w:t></w:r>
</w:p>
<w:p>
<w:pPr><w:pStyle w:val="Normal"/></w:pPr>
<w:r><w:t xml:space="preserve">Ghilzai tribe revolted, and were crushed by the end of 1887.</w:t></w:r>
</w:p>
<w:p>
<w:pPr><w:pStyle w:val="Normal"/></w:pPr>
<w:r><w:t xml:space="preserve">In that year Ayub Khan made a,fruitless inroad from Persia;</w:t></w:r>
</w:p>
<w:p>
<w:pPr><w:pStyle w:val="Normal"/></w:pPr>
<w:r><w:t xml:space="preserve">and in 1888 the amir&apos;s cousin, Ishak Khan, rebelled against</w:t></w:r>
</w:p>
<w:p>
<w:pPr><w:pStyle w:val="Normal"/></w:pPr>
<w:r><w:t xml:space="preserve">him in the north; but these two enterprises came to nothing.</w:t></w:r>
</w:p>
<w:p>
<w:pPr><w:pStyle w:val="Normal"/></w:pPr>
<w:r><w:t xml:space="preserve">In 1885, at the moment when (see AFGHANISTAN) the amir</w:t></w:r>
</w:p>
<w:p>
<w:pPr><w:pStyle w:val="Normal"/></w:pPr>
<w:r><w:t xml:space="preserve">was in conference with the British viceroy, Lord Dufferin,</w:t></w:r>
</w:p>
<w:p>
<w:pPr><w:pStyle w:val="Normal"/></w:pPr>
<w:r><w:t xml:space="preserve">in India, the news came of a collision between Russian</w:t></w:r>
</w:p>
<w:p>
<w:pPr><w:pStyle w:val="Normal"/></w:pPr>
<w:r><w:t xml:space="preserve">and Afghan troops at Panjdeh, over a disputed point in the</w:t></w:r>
</w:p>
<w:p>
<w:pPr><w:pStyle w:val="Normal"/></w:pPr>
<w:r><w:t xml:space="preserve">demarcation of the north-western frontier of Afghanistan.</w:t></w:r>
</w:p>
<w:p>
<w:pPr><w:pStyle w:val="Normal"/></w:pPr>
<w:r><w:t xml:space="preserve">Abdur Rahman&apos;s attitude at this critical juncture is a good</w:t></w:r>
</w:p>
<w:p>
<w:pPr><w:pStyle w:val="Normal"/></w:pPr>
<w:r><w:t xml:space="preserve">example of his political sagacity.  To one who had been a man</w:t></w:r>
</w:p>
<w:p>
<w:pPr><w:pStyle w:val="Normal"/></w:pPr>
<w:r><w:t xml:space="preserve">of war from his youth up, who had won and lost many fights,</w:t></w:r>
</w:p>
<w:p>
<w:pPr><w:pStyle w:val="Normal"/></w:pPr>
<w:r><w:t xml:space="preserve">the rout of a detachment and the forcible seizure of some</w:t></w:r>
</w:p>
<w:p>
<w:pPr><w:pStyle w:val="Normal"/></w:pPr>
<w:r><w:t xml:space="preserve">debateable frontier lands was an untoward incident; but it</w:t></w:r>
</w:p>
<w:p>
<w:pPr><w:pStyle w:val="Normal"/></w:pPr>
<w:r><w:t xml:space="preserve">was no sufficent reason for calling upon the British, although</w:t></w:r>
</w:p>
<w:p>
<w:pPr><w:pStyle w:val="Normal"/></w:pPr>
<w:r><w:t xml:space="preserve">they had guaranteed his territory&apos;s integrity, to vindicate</w:t></w:r>
</w:p>
<w:p>
<w:pPr><w:pStyle w:val="Normal"/></w:pPr>
<w:r><w:t xml:space="preserve">his rights by hostilities which would certainly bring upon</w:t></w:r>
</w:p>
<w:p>
<w:pPr><w:pStyle w:val="Normal"/></w:pPr>
<w:r><w:t xml:space="preserve">him a Russian invasion from the north, and would compel his</w:t></w:r>
</w:p>
<w:p>
<w:pPr><w:pStyle w:val="Normal"/></w:pPr>
<w:r><w:t xml:space="preserve">British allies to throw an army into Afghanistan from the</w:t></w:r>
</w:p>
<w:p>
<w:pPr><w:pStyle w:val="Normal"/></w:pPr>
<w:r><w:t xml:space="preserve">south-east.  His interest lay in keeping powerful neighbours,</w:t></w:r>
</w:p>
<w:p>
<w:pPr><w:pStyle w:val="Normal"/></w:pPr>
<w:r><w:t xml:space="preserve">whether friends or foes, outside his kingdom.  He knew this</w:t></w:r>
</w:p>
<w:p>
<w:pPr><w:pStyle w:val="Normal"/></w:pPr>
<w:r><w:t xml:space="preserve">to be the only policy that would be supported by the Afghan</w:t></w:r>
</w:p>
<w:p>
<w:pPr><w:pStyle w:val="Normal"/></w:pPr>
<w:r><w:t xml:space="preserve">nation; and although for some time a rupture with Russia seemed</w:t></w:r>
</w:p>
<w:p>
<w:pPr><w:pStyle w:val="Normal"/></w:pPr>
<w:r><w:t xml:space="preserve">imminent, while the Indian government made ready for that</w:t></w:r>
</w:p>
<w:p>
<w:pPr><w:pStyle w:val="Normal"/></w:pPr>
<w:r><w:t xml:space="preserve">contingency, the amir&apos;s reserved and circumspect tone in the</w:t></w:r>
</w:p>
<w:p>
<w:pPr><w:pStyle w:val="Normal"/></w:pPr>
<w:r><w:t xml:space="preserve">consultations with him helped to turn the balance between</w:t></w:r>
</w:p>
<w:p>
<w:pPr><w:pStyle w:val="Normal"/></w:pPr>
<w:r><w:t xml:space="preserve">peace and war, and substantially conduced towards a pacific</w:t></w:r>
</w:p>
<w:p>
<w:pPr><w:pStyle w:val="Normal"/></w:pPr>
<w:r><w:t xml:space="preserve">solution.  Abdur Rahman left on those who met him in India</w:t></w:r>
</w:p>
<w:p>
<w:pPr><w:pStyle w:val="Normal"/></w:pPr>
<w:r><w:t xml:space="preserve">the impression of a clear-headed man.of action, with great</w:t></w:r>
</w:p>
<w:p>
<w:pPr><w:pStyle w:val="Normal"/></w:pPr>
<w:r><w:t xml:space="preserve">self-reliance and hardihood, not without indications of the</w:t></w:r>
</w:p>
<w:p>
<w:pPr><w:pStyle w:val="Normal"/></w:pPr>
<w:r><w:t xml:space="preserve">implacable severity that too often marked his administration.</w:t></w:r>
</w:p>
<w:p>
<w:pPr><w:pStyle w:val="Normal"/></w:pPr>
<w:r><w:t xml:space="preserve">His investment with the insignia of the highest grade of the</w:t></w:r>
</w:p>
<w:p>
<w:pPr><w:pStyle w:val="Normal"/></w:pPr>
<w:r><w:t xml:space="preserve">Order of the Star of India appeared to give him much pleasure.</w:t></w:r>
</w:p>
<w:p>
<w:pPr><w:pStyle w:val="Normal"/></w:pPr>
<w:r><w:t xml:space="preserve">From the end of 1888 the amir passed eighteen months in</w:t></w:r>
</w:p>
<w:p>
<w:pPr><w:pStyle w:val="Normal"/></w:pPr>
<w:r><w:t xml:space="preserve">his northern provinces bordering upon the Oxus, where</w:t></w:r>
</w:p>
<w:p>
<w:pPr><w:pStyle w:val="Normal"/></w:pPr>
<w:r><w:t xml:space="preserve">he was engaged in pacifying the country that had been</w:t></w:r>
</w:p>
<w:p>
<w:pPr><w:pStyle w:val="Normal"/></w:pPr>
<w:r><w:t xml:space="preserve">disturbed by revolts, and in punishing with a heavy hand</w:t></w:r>
</w:p>
<w:p>
<w:pPr><w:pStyle w:val="Normal"/></w:pPr>
<w:r><w:t xml:space="preserve">all who were known or suspected to have taken any part in</w:t></w:r>
</w:p>
<w:p>
<w:pPr><w:pStyle w:val="Normal"/></w:pPr>
<w:r><w:t xml:space="preserve">rebellion.  Shortly afterwards (1892) he succeeded in</w:t></w:r>
</w:p>
<w:p>
<w:pPr><w:pStyle w:val="Normal"/></w:pPr>
<w:r><w:t xml:space="preserve">finally beating down the resistance of the Hazara tribe, who</w:t></w:r>
</w:p>
<w:p>
<w:pPr><w:pStyle w:val="Normal"/></w:pPr>
<w:r><w:t xml:space="preserve">vainly attempted to defend their immemorial independence,</w:t></w:r>
</w:p>
<w:p>
<w:pPr><w:pStyle w:val="Normal"/></w:pPr>
<w:r><w:t xml:space="preserve">within their highlands, of the central authority at Kabul.</w:t></w:r>
</w:p>
<w:p>
<w:pPr><w:pStyle w:val="Normal"/></w:pPr>
<w:r><w:t xml:space="preserve">In 1893 Sir Henry Durand was deputed to Kabul by the government</w:t></w:r>
</w:p>
<w:p>
<w:pPr><w:pStyle w:val="Normal"/></w:pPr>
<w:r><w:t xml:space="preserve">of India for the purpose of settling an exchange of territory</w:t></w:r>
</w:p>
<w:p>
<w:pPr><w:pStyle w:val="Normal"/></w:pPr>
<w:r><w:t xml:space="preserve">required bu the demarcation of the boundary between north-eastern</w:t></w:r>
</w:p>
<w:p>
<w:pPr><w:pStyle w:val="Normal"/></w:pPr>
<w:r><w:t xml:space="preserve">Afghanistan and the Russian possessions, and in order to discuss</w:t></w:r>
</w:p>
<w:p>
<w:pPr><w:pStyle w:val="Normal"/></w:pPr>
<w:r><w:t xml:space="preserve">with the amir other pending questions.  The amir showed his</w:t></w:r>
</w:p>
<w:p>
<w:pPr><w:pStyle w:val="Normal"/></w:pPr>
<w:r><w:t xml:space="preserve">usual ability in diplomatic argument, his tenacity where his</w:t></w:r>
</w:p>
<w:p>
<w:pPr><w:pStyle w:val="Normal"/></w:pPr>
<w:r><w:t xml:space="preserve">own views or claims were in debate, with a sure underlying</w:t></w:r>
</w:p>
<w:p>
<w:pPr><w:pStyle w:val="Normal"/></w:pPr>
<w:r><w:t xml:space="preserve">insight into the real situation.  The territorial exchanges</w:t></w:r>
</w:p>
<w:p>
<w:pPr><w:pStyle w:val="Normal"/></w:pPr>
<w:r><w:t xml:space="preserve">were amicably agreed upon; the relations between the Indian and</w:t></w:r>
</w:p>
<w:p>
<w:pPr><w:pStyle w:val="Normal"/></w:pPr>
<w:r><w:t xml:space="preserve">Afghan governments, as previously arranged, were confirmed; and</w:t></w:r>
</w:p>
<w:p>
<w:pPr><w:pStyle w:val="Normal"/></w:pPr>
<w:r><w:t xml:space="preserve">an understanding was reached upon the important and difficult</w:t></w:r>
</w:p>
<w:p>
<w:pPr><w:pStyle w:val="Normal"/></w:pPr>
<w:r><w:t xml:space="preserve">subject of the border line of Afghanistan on the east, towards</w:t></w:r>
</w:p>
<w:p>
<w:pPr><w:pStyle w:val="Normal"/></w:pPr>
<w:r><w:t xml:space="preserve">India.  In 1895 the amir found himself unable, by reason of</w:t></w:r>
</w:p>
<w:p>
<w:pPr><w:pStyle w:val="Normal"/></w:pPr>
<w:r><w:t xml:space="preserve">ill-health, to accept an invitation from Queen Victoria to visit</w:t></w:r>
</w:p>
<w:p>
<w:pPr><w:pStyle w:val="Normal"/></w:pPr>
<w:r><w:t xml:space="preserve">England; hut his second son Nasrullah Khan went in his stead.</w:t></w:r>
</w:p>
<w:p>
<w:pPr><w:pStyle w:val="Normal"/></w:pPr>
<w:r><w:t xml:space="preserve">Abdur Rahman died on the 1st of October 1901, being succeeded</w:t></w:r>
</w:p>
<w:p>
<w:pPr><w:pStyle w:val="Normal"/></w:pPr>
<w:r><w:t xml:space="preserve">by his son Habibullah.  He had defeated all enterprises by</w:t></w:r>
</w:p>
<w:p>
<w:pPr><w:pStyle w:val="Normal"/></w:pPr>
<w:r><w:t xml:space="preserve">rivals against his throne; he had broken down the power of</w:t></w:r>
</w:p>
<w:p>
<w:pPr><w:pStyle w:val="Normal"/></w:pPr>
<w:r><w:t xml:space="preserve">local chiefs, and tamed the refractory tribes; so that his</w:t></w:r>
</w:p>
<w:p>
<w:pPr><w:pStyle w:val="Normal"/></w:pPr>
<w:r><w:t xml:space="preserve">orders were irresistible throughout the whole dominion.</w:t></w:r>
</w:p>
<w:p>
<w:pPr><w:pStyle w:val="Normal"/></w:pPr>
<w:r><w:t xml:space="preserve">His government was a military despotism resting upon a</w:t></w:r>
</w:p>
<w:p>
<w:pPr><w:pStyle w:val="Normal"/></w:pPr>
<w:r><w:t xml:space="preserve">well-appointed army; it was administered through officials</w:t></w:r>
</w:p>
<w:p>
<w:pPr><w:pStyle w:val="Normal"/></w:pPr>
<w:r><w:t xml:space="preserve">absolutely subservient to an inflexible will and controlled</w:t></w:r>
</w:p>
<w:p>
<w:pPr><w:pStyle w:val="Normal"/></w:pPr>
<w:r><w:t xml:space="preserve">by a widespread system of espionage; while the exercise</w:t></w:r>
</w:p>
<w:p>
<w:pPr><w:pStyle w:val="Normal"/></w:pPr>
<w:r><w:t xml:space="preserve">of his personal authority was too often stained by acts of</w:t></w:r>
</w:p>
<w:p>
<w:pPr><w:pStyle w:val="Normal"/></w:pPr>
<w:r><w:t xml:space="preserve">unnecessary cruelty.  He held open courts for the receipt</w:t></w:r>
</w:p>
<w:p>
<w:pPr><w:pStyle w:val="Normal"/></w:pPr>
<w:r><w:t xml:space="preserve">of petitioners and the dispensation of justice; and in the</w:t></w:r>
</w:p>
<w:p>
<w:pPr><w:pStyle w:val="Normal"/></w:pPr>
<w:r><w:t xml:space="preserve">disposal of business he was indefatigable.  He succeeded in</w:t></w:r>
</w:p>
<w:p>
<w:pPr><w:pStyle w:val="Normal"/></w:pPr>
<w:r><w:t xml:space="preserve">imposing an organized government upon the fiercest and most</w:t></w:r>
</w:p>
<w:p>
<w:pPr><w:pStyle w:val="Normal"/></w:pPr>
<w:r><w:t xml:space="preserve">unruly population in Asia; he availed himself of European</w:t></w:r>
</w:p>
<w:p>
<w:pPr><w:pStyle w:val="Normal"/></w:pPr>
<w:r><w:t xml:space="preserve">inventions for strengthening his armament, while he sternly</w:t></w:r>
</w:p>
<w:p>
<w:pPr><w:pStyle w:val="Normal"/></w:pPr>
<w:r><w:t xml:space="preserve">set his face against all innovations which, like railways</w:t></w:r>
</w:p>
<w:p>
<w:pPr><w:pStyle w:val="Normal"/></w:pPr>
<w:r><w:t xml:space="preserve">and telegraphs, might give Europeans a foothold within his</w:t></w:r>
</w:p>
<w:p>
<w:pPr><w:pStyle w:val="Normal"/></w:pPr>
<w:r><w:t xml:space="preserve">country.  His adventurous life, his forcible character,</w:t></w:r>
</w:p>
<w:p>
<w:pPr><w:pStyle w:val="Normal"/></w:pPr>
<w:r><w:t xml:space="preserve">the position of his state as a barrier between the Indian</w:t></w:r>
</w:p>
<w:p>
<w:pPr><w:pStyle w:val="Normal"/></w:pPr>
<w:r><w:t xml:space="preserve">and the Russian empires, and the skill with which he held</w:t></w:r>
</w:p>
<w:p>
<w:pPr><w:pStyle w:val="Normal"/></w:pPr>
<w:r><w:t xml:space="preserve">the balance in dealing with them, combined to make him a</w:t></w:r>
</w:p>
<w:p>
<w:pPr><w:pStyle w:val="Normal"/></w:pPr>
<w:r><w:t xml:space="preserve">prominent figure in contemporary Asiatic politics and will</w:t></w:r>
</w:p>
<w:p>
<w:pPr><w:pStyle w:val="Normal"/></w:pPr>
<w:r><w:t xml:space="preserve">mark his reign as an epoch in the history of Afghanistan.</w:t></w:r>
</w:p>
<w:p>
<w:pPr><w:pStyle w:val="Normal"/></w:pPr>
<w:r><w:t xml:space="preserve">The amir received an annual subsidy from the British</w:t></w:r>
</w:p>
<w:p>
<w:pPr><w:pStyle w:val="Normal"/></w:pPr>
<w:r><w:t xml:space="preserve">government of 18-1/2 lakhs of rupees.  He was allowed to</w:t></w:r>
</w:p>
<w:p>
<w:pPr><w:pStyle w:val="Normal"/></w:pPr>
<w:r><w:t xml:space="preserve">import munitions of War. In 1896 he adopted the title of</w:t></w:r>
</w:p>
<w:p>
<w:pPr><w:pStyle w:val="Normal"/></w:pPr>
<w:r><w:t xml:space="preserve">Tia-ul-hlillat-ud Din (Light of the nation and religion);</w:t></w:r>
</w:p>
<w:p>
<w:pPr><w:pStyle w:val="Normal"/></w:pPr>
<w:r><w:t xml:space="preserve">and his zeal for the cause of Islam induced him to publish</w:t></w:r>
</w:p>
<w:p>
<w:pPr><w:pStyle w:val="Normal"/></w:pPr>
<w:r><w:t xml:space="preserve">treatises on Jehad.  His eldest son Habibullah Khan, with</w:t></w:r>
</w:p>
<w:p>
<w:pPr><w:pStyle w:val="Normal"/></w:pPr>
<w:r><w:t xml:space="preserve">his brother Nasrullah Khan, was born at Samarkand.  His</w:t></w:r>
</w:p>
<w:p>
<w:pPr><w:pStyle w:val="Normal"/></w:pPr>
<w:r><w:t xml:space="preserve">youngest son, Mahomed Omar Jan, was born in 1889 of an Afghan</w:t></w:r>
</w:p>
<w:p>
<w:pPr><w:pStyle w:val="Normal"/></w:pPr>
<w:r><w:t xml:space="preserve">mother, connected by descent with the Barakzai family.</w:t></w:r>
</w:p>
<w:p>
<w:pPr><w:pStyle w:val="Normal"/></w:pPr>
<w:r><w:t xml:space="preserve">See also S. Wheeler, F.R.G.S., The Amir Abdur Rahman (London,</w:t></w:r>
</w:p>
<w:p>
<w:pPr><w:pStyle w:val="Normal"/></w:pPr>
<w:r><w:t xml:space="preserve">1895); The Life of Abdur Rahman, Amir of Afghanistan, G.C.B.,</w:t></w:r>
</w:p>
<w:p>
<w:pPr><w:pStyle w:val="Normal"/></w:pPr>
<w:r><w:t xml:space="preserve">G.C.S.L, edited by Mir Munshi, Sultan Mahommed Khan (2 vols.,</w:t></w:r>
</w:p>
<w:p>
<w:pPr><w:pStyle w:val="Normal"/></w:pPr>
<w:r><w:t xml:space="preserve">London, 1900); At the Court of the Amir, by J. A. Grey (1895).</w:t></w:r>
</w:p>
<w:p>
<w:pPr><w:pStyle w:val="Normal"/></w:pPr>
<w:r><w:t xml:space="preserve">(A. C. L.)</w:t></w:r>
</w:p>
<w:p>
<w:pPr><w:pStyle w:val="Normal"/></w:pPr>
<w:r><w:t xml:space="preserve">ABECEDARIANS, a nickname given to certain extreme</w:t></w:r>
</w:p>
<w:p>
<w:pPr><w:pStyle w:val="Normal"/></w:pPr>
<w:r><w:t xml:space="preserve">Anabaptists (q.v.), who regarded the teaching of the Holy</w:t></w:r>
</w:p>
<w:p>
<w:pPr><w:pStyle w:val="Normal"/></w:pPr>
<w:r><w:t xml:space="preserve">Spirit as all that was necessary, and so despised all human</w:t></w:r>
</w:p>
<w:p>
<w:pPr><w:pStyle w:val="Normal"/></w:pPr>
<w:r><w:t xml:space="preserve">learning and even the power of reading the written word.</w:t></w:r>
</w:p>
<w:p>
<w:pPr><w:pStyle w:val="Normal"/></w:pPr>
<w:r><w:t xml:space="preserve">A BECKETT, GILBERT ARBOTT (1811-1856), English writer, was</w:t></w:r>
</w:p>
<w:p>
<w:pPr><w:pStyle w:val="Normal"/></w:pPr>
<w:r><w:t xml:space="preserve">born in north London on the 9th of January 1811.  He belonged</w:t></w:r>
</w:p>
<w:p>
<w:pPr><w:pStyle w:val="Normal"/></w:pPr>
<w:r><w:t xml:space="preserve">to a family claiming descent from the father of St Thomas</w:t></w:r>
</w:p>
<w:p>
<w:pPr><w:pStyle w:val="Normal"/></w:pPr>
<w:r><w:t xml:space="preserve">Becket.  His elder brother, Sir William a Beckett (1806-1869),</w:t></w:r>
</w:p>
<w:p>
<w:pPr><w:pStyle w:val="Normal"/></w:pPr>
<w:r><w:t xml:space="preserve">became chief justice of Victoria (Australia).  Gilbert Abbott</w:t></w:r>
</w:p>
<w:p>
<w:pPr><w:pStyle w:val="Normal"/></w:pPr>
<w:r><w:t xml:space="preserve">a Beckett was educated at Westminster school, and was called</w:t></w:r>
</w:p>
<w:p>
<w:pPr><w:pStyle w:val="Normal"/></w:pPr>
<w:r><w:t xml:space="preserve">to the bar at Gray&apos;s Inn in 1841.  He edited Figaro in</w:t></w:r>
</w:p>
<w:p>
<w:pPr><w:pStyle w:val="Normal"/></w:pPr>
<w:r><w:t xml:space="preserve">London, and was one of the original staff of Punch and</w:t></w:r>
</w:p>
<w:p>
<w:pPr><w:pStyle w:val="Normal"/></w:pPr>
<w:r><w:t xml:space="preserve">a contributor all his life.  He was an active journalist on</w:t></w:r>
</w:p>
<w:p>
<w:pPr><w:pStyle w:val="Normal"/></w:pPr>
<w:r><w:t xml:space="preserve">The Times and The Morning Herald, contributed a series</w:t></w:r>
</w:p>
<w:p>
<w:pPr><w:pStyle w:val="Normal"/></w:pPr>
<w:r><w:t xml:space="preserve">of light articles to The Illustrated London News, conducted</w:t></w:r>
</w:p>
<w:p>
<w:pPr><w:pStyle w:val="Normal"/></w:pPr>
<w:r><w:t xml:space="preserve">in 1846 The Almanack of the Month and found time to produce</w:t></w:r>
</w:p>
<w:p>
<w:pPr><w:pStyle w:val="Normal"/></w:pPr>
<w:r><w:t xml:space="preserve">some fifty or sixty plays, among them dramatized versions of</w:t></w:r>
</w:p>
<w:p>
<w:pPr><w:pStyle w:val="Normal"/></w:pPr>
<w:r><w:t xml:space="preserve">Dickens&apos;s shorter stories in collaboration with Mark Lemon.</w:t></w:r>
</w:p>
<w:p>
<w:pPr><w:pStyle w:val="Normal"/></w:pPr>
<w:r><w:t xml:space="preserve">As poor-law commissioner he presented a valuable report to the</w:t></w:r>
</w:p>
<w:p>
<w:pPr><w:pStyle w:val="Normal"/></w:pPr>
<w:r><w:t xml:space="preserve">home secretary regarding scandals in connexion with the Andover</w:t></w:r>
</w:p>
<w:p>
<w:pPr><w:pStyle w:val="Normal"/></w:pPr>
<w:r><w:t xml:space="preserve">Union, and in 1849 he became a metropolitan pouce magistrate.</w:t></w:r>
</w:p>
<w:p>
<w:pPr><w:pStyle w:val="Normal"/></w:pPr>
<w:r><w:t xml:space="preserve">He died at Boulogne on the 30th of August 1856 of typhus fever.</w:t></w:r>
</w:p>
<w:p>
<w:pPr><w:pStyle w:val="Normal"/></w:pPr>
<w:r><w:t xml:space="preserve">His eldest son GILBERT ARTHUR A BECKETT (1837-1891) was born</w:t></w:r>
</w:p>
<w:p>
<w:pPr><w:pStyle w:val="Normal"/></w:pPr>
<w:r><w:t xml:space="preserve">at Hammersmith on the 7th of April 1837.  He went up to Christ</w:t></w:r>
</w:p>
<w:p>
<w:pPr><w:pStyle w:val="Normal"/></w:pPr>
<w:r><w:t xml:space="preserve">Church, Oxford, as a Westminster scholar in 1855, graduating in</w:t></w:r>
</w:p>
<w:p>
<w:pPr><w:pStyle w:val="Normal"/></w:pPr>
<w:r><w:t xml:space="preserve">1860.  He was entered at Lincoln&apos;s Inn, but gave his attention</w:t></w:r>
</w:p>
<w:p>
<w:pPr><w:pStyle w:val="Normal"/></w:pPr>
<w:r><w:t xml:space="preserve">chiefly to the drama, producing Diamonds and Hearts at</w:t></w:r>
</w:p>
<w:p>
<w:pPr><w:pStyle w:val="Normal"/></w:pPr>
<w:r><w:t xml:space="preserve">the Haymarket in 1867, which was followed by other light</w:t></w:r>
</w:p>
<w:p>
<w:pPr><w:pStyle w:val="Normal"/></w:pPr>
<w:r><w:t xml:space="preserve">comedies.  His pieces include numerous burlesques and</w:t></w:r>
</w:p>
<w:p>
<w:pPr><w:pStyle w:val="Normal"/></w:pPr>
<w:r><w:t xml:space="preserve">pantomimes, the libretti of Savonarola (Hamburg, 1884) and</w:t></w:r>
</w:p>
<w:p>
<w:pPr><w:pStyle w:val="Normal"/></w:pPr>
<w:r><w:t xml:space="preserve">of The Canterbury Pilgrims (Drury Lane, 1884) for the music</w:t></w:r>
</w:p>
<w:p>
<w:pPr><w:pStyle w:val="Normal"/></w:pPr>
<w:r><w:t xml:space="preserve">of Dr (afterwards Sir) C. V. Stanford. The Happy Land (Court</w:t></w:r>
</w:p>
<w:p>
<w:pPr><w:pStyle w:val="Normal"/></w:pPr>
<w:r><w:t xml:space="preserve">Theatre, 1873), a political burlesque of W. S. Gilbert&apos;s Wicked</w:t></w:r>
</w:p>
<w:p>
<w:pPr><w:pStyle w:val="Normal"/></w:pPr>
<w:r><w:t xml:space="preserve">World, was written in collaboration with F. L. Tomline.</w:t></w:r>
</w:p>
<w:p>
<w:pPr><w:pStyle w:val="Normal"/></w:pPr>
<w:r><w:t xml:space="preserve">For the last ten years of his life he was on the regular staff</w:t></w:r>
</w:p>
<w:p>
<w:pPr><w:pStyle w:val="Normal"/></w:pPr>
<w:r><w:t xml:space="preserve">of Punch. His health was seriously affected in 1889 by the</w:t></w:r>
</w:p>
<w:p>
<w:pPr><w:pStyle w:val="Normal"/></w:pPr>
<w:r><w:t xml:space="preserve">death of his only son, and he died on the 15th of October 1891.</w:t></w:r>
</w:p>
<w:p>
<w:pPr><w:pStyle w:val="Normal"/></w:pPr>
<w:r><w:t xml:space="preserve">A younger son, ARTHUR WILLIAM A BECKETT (1844--1909), a</w:t></w:r>
</w:p>
<w:p>
<w:pPr><w:pStyle w:val="Normal"/></w:pPr>
<w:r><w:t xml:space="preserve">well-known journalist and man of letters, was also on the</w:t></w:r>
</w:p>
<w:p>
<w:pPr><w:pStyle w:val="Normal"/></w:pPr>
<w:r><w:t xml:space="preserve">staff of Punch from 1874 to 1902, and gave an account of his</w:t></w:r>
</w:p>
<w:p>
<w:pPr><w:pStyle w:val="Normal"/></w:pPr>
<w:r><w:t xml:space="preserve">father and his own reminiscences in The A Becketts of Punch</w:t></w:r>
</w:p>
<w:p>
<w:pPr><w:pStyle w:val="Normal"/></w:pPr>
<w:r><w:t xml:space="preserve">(1903).  He died in London on the 14th of January 1909.</w:t></w:r>
</w:p>
<w:p>
<w:pPr><w:pStyle w:val="Normal"/></w:pPr>
<w:r><w:t xml:space="preserve">See also M. H. Spielmann, The History of Punch (1895).</w:t></w:r>
</w:p>
<w:p>
<w:pPr><w:pStyle w:val="Normal"/></w:pPr>
<w:r><w:t xml:space="preserve">ABEDNEGO, the name given in Babylon to Azariah, one of</w:t></w:r>
</w:p>
<w:p>
<w:pPr><w:pStyle w:val="Normal"/></w:pPr>
<w:r><w:t xml:space="preserve">the companions of Daniel (Dan. i. 7, &amp;c.).  It is probably a</w:t></w:r>
</w:p>
<w:p>
<w:pPr><w:pStyle w:val="Normal"/></w:pPr>
<w:r><w:t xml:space="preserve">corruption, perhaps deliberate, of Abednebo, ``servant of</w:t></w:r>
</w:p>
<w:p>
<w:pPr><w:pStyle w:val="Normal"/></w:pPr>
<w:r><w:t xml:space="preserve">Nebo,&apos;&apos; though G. Hoffmann thinks that the original form was</w:t></w:r>
</w:p>
<w:p>
<w:pPr><w:pStyle w:val="Normal"/></w:pPr>
<w:r><w:t xml:space="preserve">Abednergo, for Abednergal, ``servant of the god Nergal.&apos;&apos; C.</w:t></w:r>
</w:p>
<w:p>
<w:pPr><w:pStyle w:val="Normal"/></w:pPr>
<w:r><w:t xml:space="preserve">H. Toy compares Barnebo, ``son of Nebo&apos;&apos;; of which he regards</w:t></w:r>
</w:p>
<w:p>
<w:pPr><w:pStyle w:val="Normal"/></w:pPr>
<w:r><w:t xml:space="preserve">Barnabas as a slightly disguised form (Jewish Encyclopaedia).</w:t></w:r>
</w:p>
<w:p>
<w:pPr><w:pStyle w:val="Normal"/></w:pPr>
<w:r><w:t xml:space="preserve">ABEKEN, HEINRICH (1809-1872), German theologian and</w:t></w:r>
</w:p>
<w:p>
<w:pPr><w:pStyle w:val="Normal"/></w:pPr>
<w:r><w:t xml:space="preserve">Prussian official, was born at Berlin on the 8th of August</w:t></w:r>
</w:p>
<w:p>
<w:pPr><w:pStyle w:val="Normal"/></w:pPr>
<w:r><w:t xml:space="preserve">1809.  He studied theology at Berlin and in 1834 became</w:t></w:r>
</w:p>
<w:p>
<w:pPr><w:pStyle w:val="Normal"/></w:pPr>
<w:r><w:t xml:space="preserve">chaplain to the Prussian embassy in Rome.  In 1841 he visited</w:t></w:r>
</w:p>
<w:p>
<w:pPr><w:pStyle w:val="Normal"/></w:pPr>
<w:r><w:t xml:space="preserve">England, being commissioned by King Frederick William IV.</w:t></w:r>
</w:p>
<w:p>
<w:pPr><w:pStyle w:val="Normal"/></w:pPr>
<w:r><w:t xml:space="preserve">to make arrangements for the establishment of the Protestant</w:t></w:r>
</w:p>
<w:p>
<w:pPr><w:pStyle w:val="Normal"/></w:pPr>
<w:r><w:t xml:space="preserve">bishopric of Jerusalem.  In 1848 he received an appointment</w:t></w:r>
</w:p>
<w:p>
<w:pPr><w:pStyle w:val="Normal"/></w:pPr>
<w:r><w:t xml:space="preserve">in the Prussian ministry for foreign affairs, and in 1853</w:t></w:r>
</w:p>
<w:p>
<w:pPr><w:pStyle w:val="Normal"/></w:pPr>
<w:r><w:t xml:space="preserve">was promoted to be privy councillor of legation (Geheimer</w:t></w:r>
</w:p>
<w:p>
<w:pPr><w:pStyle w:val="Normal"/></w:pPr>
<w:r><w:t xml:space="preserve">Legationsrath).  He was much employed by Bismarck in the</w:t></w:r>
</w:p>
<w:p>
<w:pPr><w:pStyle w:val="Normal"/></w:pPr>
<w:r><w:t xml:space="preserve">writing of official despatches, and stood high in the favour</w:t></w:r>
</w:p>
<w:p>
<w:pPr><w:pStyle w:val="Normal"/></w:pPr>
<w:r><w:t xml:space="preserve">of King William, whom he often accompanied on his journeys</w:t></w:r>
</w:p>
<w:p>
<w:pPr><w:pStyle w:val="Normal"/></w:pPr>
<w:r><w:t xml:space="preserve">as representative of the foreign office.  He was present with</w:t></w:r>
</w:p>
<w:p>
<w:pPr><w:pStyle w:val="Normal"/></w:pPr>
<w:r><w:t xml:space="preserve">the king during the campaigns of 1866 and 1870-71.  In 1851 he</w:t></w:r>
</w:p>
<w:p>
<w:pPr><w:pStyle w:val="Normal"/></w:pPr>
<w:r><w:t xml:space="preserve">published anonymously Babylon unnd Jerusalem, a slashing</w:t></w:r>
</w:p>
<w:p>
<w:pPr><w:pStyle w:val="Normal"/></w:pPr>
<w:r><w:t xml:space="preserve">criticism of the views of the Countess von Hahn-Hahn (q.v.).</w:t></w:r>
</w:p>
<w:p>
<w:pPr><w:pStyle w:val="Normal"/></w:pPr>
<w:r><w:t xml:space="preserve">See Heinrich Abeken, ein schlichtes Leben in bewegter Zeit</w:t></w:r>
</w:p>
<w:p>
<w:pPr><w:pStyle w:val="Normal"/></w:pPr>
<w:r><w:t xml:space="preserve">(Berlin, 1898), by his widow.  This is valuable by reason</w:t></w:r>
</w:p>
<w:p>
<w:pPr><w:pStyle w:val="Normal"/></w:pPr>
<w:r><w:t xml:space="preserve">of the letters written from the Prussian headquarters.</w:t></w:r>
</w:p>
<w:p>
<w:pPr><w:pStyle w:val="Normal"/></w:pPr>
<w:r><w:t xml:space="preserve">ABEL (Hebrew for breath), the second son of Adam, slain</w:t></w:r>
</w:p>
<w:p>
<w:pPr><w:pStyle w:val="Normal"/></w:pPr>
<w:r><w:t xml:space="preserve">by Cain, his elder brother (Gen. iv. 1-16).  The narrative</w:t></w:r>
</w:p>
<w:p>
<w:pPr><w:pStyle w:val="Normal"/></w:pPr>
<w:r><w:t xml:space="preserve">in Genesis which tells us that ``the Lord had respect unto</w:t></w:r>
</w:p>
<w:p>
<w:pPr><w:pStyle w:val="Normal"/></w:pPr>
<w:r><w:t xml:space="preserve">Abel and to his offering, but unto Cain and to his offering</w:t></w:r>
</w:p>
<w:p>
<w:pPr><w:pStyle w:val="Normal"/></w:pPr>
<w:r><w:t xml:space="preserve">he had not respect,&apos;&apos; is supplemented by the statement of the</w:t></w:r>
</w:p>
<w:p>
<w:pPr><w:pStyle w:val="Normal"/></w:pPr>
<w:r><w:t xml:space="preserve">New Testament, that ``by faith Abel offered unto God a more</w:t></w:r>
</w:p>
<w:p>
<w:pPr><w:pStyle w:val="Normal"/></w:pPr>
<w:r><w:t xml:space="preserve">excellent sacrifice than Cain&apos;&apos; (Heb. xi. 4), and that Cain</w:t></w:r>
</w:p>
<w:p>
<w:pPr><w:pStyle w:val="Normal"/></w:pPr>
<w:r><w:t xml:space="preserve">slew Abel ``because his own works were evil and his brother&apos;s</w:t></w:r>
</w:p>
<w:p>
<w:pPr><w:pStyle w:val="Normal"/></w:pPr>
<w:r><w:t xml:space="preserve">righteous&apos;&apos; (1 John iii. 12). See further under CAIN.  The</w:t></w:r>
</w:p>
<w:p>
<w:pPr><w:pStyle w:val="Normal"/></w:pPr>
<w:r><w:t xml:space="preserve">name has been identified with the Assyrian ablu, ``son,&apos;&apos; but</w:t></w:r>
</w:p>
<w:p>
<w:pPr><w:pStyle w:val="Normal"/></w:pPr>
<w:r><w:t xml:space="preserve">this is far from certain.  It more probably means ``herdsman&apos;&apos;</w:t></w:r>
</w:p>
<w:p>
<w:pPr><w:pStyle w:val="Normal"/></w:pPr>
<w:r><w:t xml:space="preserve">(cf. the name Jabal), and a distinction is drawn between the</w:t></w:r>
</w:p>
<w:p>
<w:pPr><w:pStyle w:val="Normal"/></w:pPr>
<w:r><w:t xml:space="preserve">pastoral Abel and the agriculturist Cain.  If Cain is the eponym</w:t></w:r>
</w:p>
<w:p>
<w:pPr><w:pStyle w:val="Normal"/></w:pPr>
<w:r><w:t xml:space="preserve">of the Kenites it is quite possible that Abel was originally</w:t></w:r>
</w:p>
<w:p>
<w:pPr><w:pStyle w:val="Normal"/></w:pPr>
<w:r><w:t xml:space="preserve">a South Judaean demigod or hero; on this, see Winckler,</w:t></w:r>
</w:p>
<w:p>
<w:pPr><w:pStyle w:val="Normal"/></w:pPr>
<w:r><w:t xml:space="preserve">Gesch.  Israels, ii. p. 189; E. Meyer, Israelitein, p.</w:t></w:r>
</w:p>
<w:p>
<w:pPr><w:pStyle w:val="Normal"/></w:pPr>
<w:r><w:t xml:space="preserve">395. A sect of Abelitae, who seem to have lived in North</w:t></w:r>
</w:p>
<w:p>
<w:pPr><w:pStyle w:val="Normal"/></w:pPr>
<w:r><w:t xml:space="preserve">Africa, is mentioned by Augustine (De Haeresibus, lxxxvi.).</w:t></w:r>
</w:p>
<w:p>
<w:pPr><w:pStyle w:val="Normal"/></w:pPr>
<w:r><w:t xml:space="preserve">ABEL, SIR FREDERICK AUGUSTUS, BART. (1827-1902), English</w:t></w:r>
</w:p>
<w:p>
<w:pPr><w:pStyle w:val="Normal"/></w:pPr>
<w:r><w:t xml:space="preserve">chemist, was born in London on the 17th of July 1827.  After</w:t></w:r>
</w:p>
<w:p>
<w:pPr><w:pStyle w:val="Normal"/></w:pPr>
<w:r><w:t xml:space="preserve">studying chemistry for six years under A. W. von Hofmann at the</w:t></w:r>
</w:p>
<w:p>
<w:pPr><w:pStyle w:val="Normal"/></w:pPr>
<w:r><w:t xml:space="preserve">Royal College of Chemistry (established in London in 1845), he</w:t></w:r>
</w:p>
<w:p>
<w:pPr><w:pStyle w:val="Normal"/></w:pPr>
<w:r><w:t xml:space="preserve">became professor of chemistry at the Royal Military Academy in</w:t></w:r>
</w:p>
<w:p>
<w:pPr><w:pStyle w:val="Normal"/></w:pPr>
<w:r><w:t xml:space="preserve">1851, and three years later was appointed chemist to the War</w:t></w:r>
</w:p>
<w:p>
<w:pPr><w:pStyle w:val="Normal"/></w:pPr>
<w:r><w:t xml:space="preserve">Department and chemical referee to the government.  During</w:t></w:r>
</w:p>
<w:p>
<w:pPr><w:pStyle w:val="Normal"/></w:pPr>
<w:r><w:t xml:space="preserve">his tenure of this office, which lasted until 1888, he carried</w:t></w:r>
</w:p>
<w:p>
<w:pPr><w:pStyle w:val="Normal"/></w:pPr>
<w:r><w:t xml:space="preserve">out a large amount of work in connexion with the chemistry of</w:t></w:r>
</w:p>
<w:p>
<w:pPr><w:pStyle w:val="Normal"/></w:pPr>
<w:r><w:t xml:space="preserve">explosives.  One of the most important of his investigations</w:t></w:r>
</w:p>
<w:p>
<w:pPr><w:pStyle w:val="Normal"/></w:pPr>
<w:r><w:t xml:space="preserve">had to do with the manufacture of guncotton, and he developed</w:t></w:r>
</w:p>
<w:p>
<w:pPr><w:pStyle w:val="Normal"/></w:pPr>
<w:r><w:t xml:space="preserve">a process, consisting essentially of reducing the nitrated</w:t></w:r>
</w:p>
<w:p>
<w:pPr><w:pStyle w:val="Normal"/></w:pPr>
<w:r><w:t xml:space="preserve">cotton to fine pulp, which enabled it to be prepared with</w:t></w:r>
</w:p>
<w:p>
<w:pPr><w:pStyle w:val="Normal"/></w:pPr>
<w:r><w:t xml:space="preserve">practically no danger and at the same time yielded the</w:t></w:r>
</w:p>
<w:p>
<w:pPr><w:pStyle w:val="Normal"/></w:pPr>
<w:r><w:t xml:space="preserve">product in a form that increased its usefulness.  This work</w:t></w:r>
</w:p>
<w:p>
<w:pPr><w:pStyle w:val="Normal"/></w:pPr>
<w:r><w:t xml:space="preserve">to an important extent prepared the way for the ``smokeless</w:t></w:r>
</w:p>
<w:p>
<w:pPr><w:pStyle w:val="Normal"/></w:pPr>
<w:r><w:t xml:space="preserve">powders&apos;&apos; which came into general use towards the end of the</w:t></w:r>
</w:p>
<w:p>
<w:pPr><w:pStyle w:val="Normal"/></w:pPr>
<w:r><w:t xml:space="preserve">19th century; cordite, the particular form adopted by the</w:t></w:r>
</w:p>
<w:p>
<w:pPr><w:pStyle w:val="Normal"/></w:pPr>
<w:r><w:t xml:space="preserve">British government in 1891, was invented jointly by him and</w:t></w:r>
</w:p>
<w:p>
<w:pPr><w:pStyle w:val="Normal"/></w:pPr>
<w:r><w:t xml:space="preserve">Professor James Dewar.  Our knowledge of the explosion of</w:t></w:r>
</w:p>
<w:p>
<w:pPr><w:pStyle w:val="Normal"/></w:pPr>
<w:r><w:t xml:space="preserve">ordinary black powder was also greatly added to by him, and</w:t></w:r>
</w:p>
<w:p>
<w:pPr><w:pStyle w:val="Normal"/></w:pPr>
<w:r><w:t xml:space="preserve">in conjunction with Sir Andrew Noble he carried out one of</w:t></w:r>
</w:p>
<w:p>
<w:pPr><w:pStyle w:val="Normal"/></w:pPr>
<w:r><w:t xml:space="preserve">the most complete inquiries on record into its behaviour when</w:t></w:r>
</w:p>
<w:p>
<w:pPr><w:pStyle w:val="Normal"/></w:pPr>
<w:r><w:t xml:space="preserve">fired.  The invention of the apparatus, legalized in 1879, for</w:t></w:r>
</w:p>
<w:p>
<w:pPr><w:pStyle w:val="Normal"/></w:pPr>
<w:r><w:t xml:space="preserve">the determination of the flash-point of petroleum, was another</w:t></w:r>
</w:p>
<w:p>
<w:pPr><w:pStyle w:val="Normal"/></w:pPr>
<w:r><w:t xml:space="preserve">piece of work which fell to him by virtue of his official</w:t></w:r>
</w:p>
<w:p>
<w:pPr><w:pStyle w:val="Normal"/></w:pPr>
<w:r><w:t xml:space="preserve">position.  His first instrument, the open-test apparatus, was</w:t></w:r>
</w:p>
<w:p>
<w:pPr><w:pStyle w:val="Normal"/></w:pPr>
<w:r><w:t xml:space="preserve">prescribed by the act of 1868, but, being found to possess</w:t></w:r>
</w:p>
<w:p>
<w:pPr><w:pStyle w:val="Normal"/></w:pPr>
<w:r><w:t xml:space="preserve">certain defects, it was superseded in 1879 by the Abel close-test</w:t></w:r>
</w:p>
<w:p>
<w:pPr><w:pStyle w:val="Normal"/></w:pPr>
<w:r><w:t xml:space="preserve">instrument (see PETROLEUM).  In electricity Abel studied</w:t></w:r>
</w:p>
<w:p>
<w:pPr><w:pStyle w:val="Normal"/></w:pPr>
<w:r><w:t xml:space="preserve">the construction of electrical fuses and other applications</w:t></w:r>
</w:p>
<w:p>
<w:pPr><w:pStyle w:val="Normal"/></w:pPr>
<w:r><w:t xml:space="preserve">of electricity to warlike purposes, and his work on problems</w:t></w:r>
</w:p>
<w:p>
<w:pPr><w:pStyle w:val="Normal"/></w:pPr>
<w:r><w:t xml:space="preserve">of steel manufacture won him in 1897 the Bessemer medal of the</w:t></w:r>
</w:p>
<w:p>
<w:pPr><w:pStyle w:val="Normal"/></w:pPr>
<w:r><w:t xml:space="preserve">Iron and Steel Institute, of which from 1891 to 1893 he was</w:t></w:r>
</w:p>
<w:p>
<w:pPr><w:pStyle w:val="Normal"/></w:pPr>
<w:r><w:t xml:space="preserve">president.  He was president of the Institution of Electrical</w:t></w:r>
</w:p>
<w:p>
<w:pPr><w:pStyle w:val="Normal"/></w:pPr>
<w:r><w:t xml:space="preserve">Engineers (then the Society of Telegraph Engineers) in</w:t></w:r>
</w:p>
<w:p>
<w:pPr><w:pStyle w:val="Normal"/></w:pPr>
<w:r><w:t xml:space="preserve">1877.  He became a member of the Royal Society in 1860,</w:t></w:r>
</w:p>
<w:p>
<w:pPr><w:pStyle w:val="Normal"/></w:pPr>
<w:r><w:t xml:space="preserve">and received a royal medal in 1887.  He took an important</w:t></w:r>
</w:p>
<w:p>
<w:pPr><w:pStyle w:val="Heading1"/></w:pPr>
<w:r><w:t>part in the work of the Inventions Exhibition (London) in</w:t></w:r>
</w:p>
<w:p>
<w:pPr><w:pStyle w:val="Normal"/></w:pPr>
<w:r><w:t xml:space="preserve">1885, and in 1887 became organizing secretary and first</w:t></w:r>
</w:p>
<w:p>
<w:pPr><w:pStyle w:val="Normal"/></w:pPr>
<w:r><w:t xml:space="preserve">director of the Imperial Institute, a position he held till</w:t></w:r>
</w:p>
<w:p>
<w:pPr><w:pStyle w:val="Normal"/></w:pPr>
<w:r><w:t xml:space="preserve">his death, which occurred in London on the 6th of September</w:t></w:r>
</w:p>
<w:p>
<w:pPr><w:pStyle w:val="Normal"/></w:pPr>
<w:r><w:t xml:space="preserve">1902.  He was knighted in 1891, and created a baronet in 1893.</w:t></w:r>
</w:p>
<w:p>
<w:pPr><w:pStyle w:val="Normal"/></w:pPr>
<w:r><w:t xml:space="preserve">Among his books were--Handbook of Chemistry (with C. L.</w:t></w:r>
</w:p>
<w:p>
<w:pPr><w:pStyle w:val="Normal"/></w:pPr>
<w:r><w:t xml:space="preserve">Bloxam), Modern History of Gunpowder (1866), Gun-cotton</w:t></w:r>
</w:p>
<w:p>
<w:pPr><w:pStyle w:val="Normal"/></w:pPr>
<w:r><w:t xml:space="preserve">(1866), On Explosive Agents (1872), Researches in</w:t></w:r>
</w:p>
<w:p>
<w:pPr><w:pStyle w:val="Normal"/></w:pPr>
<w:r><w:t xml:space="preserve">Explosives (1875), and Electricity applied to Explosive</w:t></w:r>
</w:p>
<w:p>
<w:pPr><w:pStyle w:val="Normal"/></w:pPr>
<w:r><w:t xml:space="preserve">Purposes (1884).  He also wrote several important articles</w:t></w:r>
</w:p>
<w:p>
<w:pPr><w:pStyle w:val="Normal"/></w:pPr>
<w:r><w:t xml:space="preserve">in the ninth edition of the Encyclopaedia Britannica.</w:t></w:r>
</w:p>
<w:p>
<w:pPr><w:pStyle w:val="Normal"/></w:pPr>
<w:r><w:t xml:space="preserve">ABEL, KARL FRIEDRICH (1725-1787), German musician, was</w:t></w:r>
</w:p>
<w:p>
<w:pPr><w:pStyle w:val="Normal"/></w:pPr>
<w:r><w:t xml:space="preserve">born in Kothen in 1725, and died on the 20th of June 1787 in</w:t></w:r>
</w:p>
<w:p>
<w:pPr><w:pStyle w:val="Normal"/></w:pPr>
<w:r><w:t xml:space="preserve">London.  He was a great player on the viola da gamba,</w:t></w:r>
</w:p>
<w:p>
<w:pPr><w:pStyle w:val="Normal"/></w:pPr>
<w:r><w:t xml:space="preserve">and composed much music of importance in its day for that</w:t></w:r>
</w:p>
<w:p>
<w:pPr><w:pStyle w:val="Normal"/></w:pPr>
<w:r><w:t xml:space="preserve">instrument.  He studied under Johann Sebastian Bach at</w:t></w:r>
</w:p>
<w:p>
<w:pPr><w:pStyle w:val="Normal"/></w:pPr>
<w:r><w:t xml:space="preserve">the Leipzig Thomasschule; played for ten years (1748-1758)</w:t></w:r>
</w:p>
<w:p>
<w:pPr><w:pStyle w:val="Normal"/></w:pPr>
<w:r><w:t xml:space="preserve">under A. Hasse in the band formed at Dresden by the elector</w:t></w:r>
</w:p>
<w:p>
<w:pPr><w:pStyle w:val="Normal"/></w:pPr>
<w:r><w:t xml:space="preserve">of Saxony; and then, going to England, became (in 1759)</w:t></w:r>
</w:p>
<w:p>
<w:pPr><w:pStyle w:val="Normal"/></w:pPr>
<w:r><w:t xml:space="preserve">chamber-musician to Queen Charlotte.  He gave a concert</w:t></w:r>
</w:p>
<w:p>
<w:pPr><w:pStyle w:val="Normal"/></w:pPr>
<w:r><w:t xml:space="preserve">of his own compositions in London, performing on various</w:t></w:r>
</w:p>
<w:p>
<w:pPr><w:pStyle w:val="Normal"/></w:pPr>
<w:r><w:t xml:space="preserve">instruments, one of which, the pentachord, was newly</w:t></w:r>
</w:p>
<w:p>
<w:pPr><w:pStyle w:val="Normal"/></w:pPr>
<w:r><w:t xml:space="preserve">invented.  In 1762 Johann Christian Bach, the eleventh son</w:t></w:r>
</w:p>
<w:p>
<w:pPr><w:pStyle w:val="Normal"/></w:pPr>
<w:r><w:t xml:space="preserve">of Sebastian, came to London, and the friendship between</w:t></w:r>
</w:p>
<w:p>
<w:pPr><w:pStyle w:val="Normal"/></w:pPr>
<w:r><w:t xml:space="preserve">him and Abel led, in 1764 or 1765, to the establishment of</w:t></w:r>
</w:p>
<w:p>
<w:pPr><w:pStyle w:val="Normal"/></w:pPr>
<w:r><w:t xml:space="preserve">the famous concerts subsequently known as the Bach and Abel</w:t></w:r>
</w:p>
<w:p>
<w:pPr><w:pStyle w:val="Normal"/></w:pPr>
<w:r><w:t xml:space="preserve">concerts.  For ten years these were organized by Mrs Comelys,</w:t></w:r>
</w:p>
<w:p>
<w:pPr><w:pStyle w:val="Normal"/></w:pPr>
<w:r><w:t xml:space="preserve">whose enterprises were then the height of fashion.  In 1775</w:t></w:r>
</w:p>
<w:p>
<w:pPr><w:pStyle w:val="Normal"/></w:pPr>
<w:r><w:t xml:space="preserve">the concerts became independent of her, and were continued</w:t></w:r>
</w:p>
<w:p>
<w:pPr><w:pStyle w:val="Normal"/></w:pPr>
<w:r><w:t xml:space="preserve">by Abel unsuccessfully for a year after Bach&apos;s death in</w:t></w:r>
</w:p>
<w:p>
<w:pPr><w:pStyle w:val="Normal"/></w:pPr>
<w:r><w:t xml:space="preserve">1782.  At them the works of Haydn were first produced in</w:t></w:r>
</w:p>
<w:p>
<w:pPr><w:pStyle w:val="Normal"/></w:pPr>
<w:r><w:t xml:space="preserve">England.  After the failure of his concert undertakings</w:t></w:r>
</w:p>
<w:p>
<w:pPr><w:pStyle w:val="Normal"/></w:pPr>
<w:r><w:t xml:space="preserve">Abel still remained in great request as a player on various</w:t></w:r>
</w:p>
<w:p>
<w:pPr><w:pStyle w:val="Normal"/></w:pPr>
<w:r><w:t xml:space="preserve">instruments new and old, but he took to drink and thereby</w:t></w:r>
</w:p>
<w:p>
<w:pPr><w:pStyle w:val="Normal"/></w:pPr>
<w:r><w:t xml:space="preserve">hastened his death.  He was a man of striking presence, of whom</w:t></w:r>
</w:p>
<w:p>
<w:pPr><w:pStyle w:val="Normal"/></w:pPr>
<w:r><w:t xml:space="preserve">several fine portraits, including two by Gainsborough, exist.</w:t></w:r>
</w:p>
<w:p>
<w:pPr><w:pStyle w:val="Normal"/></w:pPr>
<w:r><w:t xml:space="preserve">ABEL, NIELS HENRIK (1802-1829), Norwegian mathematician,</w:t></w:r>
</w:p>
<w:p>
<w:pPr><w:pStyle w:val="Normal"/></w:pPr>
<w:r><w:t xml:space="preserve">was born at Findoe on the 25th of August 1802.  In 1815 he</w:t></w:r>
</w:p>
<w:p>
<w:pPr><w:pStyle w:val="Normal"/></w:pPr>
<w:r><w:t xml:space="preserve">entered the cathedral school at Christiania, and three years</w:t></w:r>
</w:p>
<w:p>
<w:pPr><w:pStyle w:val="Normal"/></w:pPr>
<w:r><w:t xml:space="preserve">later he gave proof of his mathematical genius by his brilliant</w:t></w:r>
</w:p>
<w:p>
<w:pPr><w:pStyle w:val="Normal"/></w:pPr>
<w:r><w:t xml:space="preserve">solutions of the original problems proposed by B. Holmboe.</w:t></w:r>
</w:p>
<w:p>
<w:pPr><w:pStyle w:val="Normal"/></w:pPr>
<w:r><w:t xml:space="preserve">About this time, his father, a poor Protestant minister,</w:t></w:r>
</w:p>
<w:p>
<w:pPr><w:pStyle w:val="Normal"/></w:pPr>
<w:r><w:t xml:space="preserve">died, and the family was left in straitened circumstances;</w:t></w:r>
</w:p>
<w:p>
<w:pPr><w:pStyle w:val="Normal"/></w:pPr>
<w:r><w:t xml:space="preserve">but a small pension from the state allowed Abel to enter</w:t></w:r>
</w:p>
<w:p>
<w:pPr><w:pStyle w:val="Normal"/></w:pPr>
<w:r><w:t xml:space="preserve">Christiania University in 1821.  His first notable work was a</w:t></w:r>
</w:p>
<w:p>
<w:pPr><w:pStyle w:val="Normal"/></w:pPr>
<w:r><w:t xml:space="preserve">proof of the impossibility of solving the quintic equation by</w:t></w:r>
</w:p>
<w:p>
<w:pPr><w:pStyle w:val="Normal"/></w:pPr>
<w:r><w:t xml:space="preserve">radicals.  This investigation was first published in 1824</w:t></w:r>
</w:p>
<w:p>
<w:pPr><w:pStyle w:val="Normal"/></w:pPr>
<w:r><w:t xml:space="preserve">and in abstruse and difficult form, and afterwards (1826)</w:t></w:r>
</w:p>
<w:p>
<w:pPr><w:pStyle w:val="Normal"/></w:pPr>
<w:r><w:t xml:space="preserve">more elaborately in the first volume of Crelle&apos;s Journal.</w:t></w:r>
</w:p>
<w:p>
<w:pPr><w:pStyle w:val="Normal"/></w:pPr>
<w:r><w:t xml:space="preserve">Further state aid enabled him to visit Germany and France in</w:t></w:r>
</w:p>
<w:p>
<w:pPr><w:pStyle w:val="Normal"/></w:pPr>
<w:r><w:t xml:space="preserve">1825, and having visited the astronomer Heinrich Schumacher</w:t></w:r>
</w:p>
<w:p>
<w:pPr><w:pStyle w:val="Normal"/></w:pPr>
<w:r><w:t xml:space="preserve">(178-1850) at Hamburg, he spent six months in Berlin, where</w:t></w:r>
</w:p>
<w:p>
<w:pPr><w:pStyle w:val="Normal"/></w:pPr>
<w:r><w:t xml:space="preserve">he became intimate with August Leopold Crelle, who was then</w:t></w:r>
</w:p>
<w:p>
<w:pPr><w:pStyle w:val="Normal"/></w:pPr>
<w:r><w:t xml:space="preserve">about to publish his mathematical journal.  This project</w:t></w:r>
</w:p>
<w:p>
<w:pPr><w:pStyle w:val="Normal"/></w:pPr>
<w:r><w:t xml:space="preserve">was warmly encouraged by Abel, who contributed much to the</w:t></w:r>
</w:p>
<w:p>
<w:pPr><w:pStyle w:val="Normal"/></w:pPr>
<w:r><w:t xml:space="preserve">success of the venture.  From Berlin he passed to Freiberg,</w:t></w:r>
</w:p>
<w:p>
<w:pPr><w:pStyle w:val="Normal"/></w:pPr>
<w:r><w:t xml:space="preserve">and here he made his brilliant researches in the theory of</w:t></w:r>
</w:p>
<w:p>
<w:pPr><w:pStyle w:val="Normal"/></w:pPr>
<w:r><w:t xml:space="preserve">functions, elliptic, hyperelliotic and a new class known as</w:t></w:r>
</w:p>
<w:p>
<w:pPr><w:pStyle w:val="Normal"/></w:pPr>
<w:r><w:t xml:space="preserve">Abelians being particularly studied.  In 1826 he moved to</w:t></w:r>
</w:p>
<w:p>
<w:pPr><w:pStyle w:val="Normal"/></w:pPr>
<w:r><w:t xml:space="preserve">Paris, and during a ten months&apos; stay he met the leading</w:t></w:r>
</w:p>
<w:p>
<w:pPr><w:pStyle w:val="Normal"/></w:pPr>
<w:r><w:t xml:space="preserve">mathematicians of France; but he was little appreciated, for</w:t></w:r>
</w:p>
<w:p>
<w:pPr><w:pStyle w:val="Normal"/></w:pPr>
<w:r><w:t xml:space="preserve">his work was scarcely known, and his modesty restrained him</w:t></w:r>
</w:p>
<w:p>
<w:pPr><w:pStyle w:val="Normal"/></w:pPr>
<w:r><w:t xml:space="preserve">from proclaiming his researches.  Pecuniary embarrassments,</w:t></w:r>
</w:p>
<w:p>
<w:pPr><w:pStyle w:val="Normal"/></w:pPr>
<w:r><w:t xml:space="preserve">from which he had never been free, finally compelled him</w:t></w:r>
</w:p>
<w:p>
<w:pPr><w:pStyle w:val="Normal"/></w:pPr>
<w:r><w:t xml:space="preserve">to abandon his tour, and on his return to Norway he taught</w:t></w:r>
</w:p>
<w:p>
<w:pPr><w:pStyle w:val="Normal"/></w:pPr>
<w:r><w:t xml:space="preserve">for some time at Christiania.  In 1829 Crelle obtained a</w:t></w:r>
</w:p>
<w:p>
<w:pPr><w:pStyle w:val="Normal"/></w:pPr>
<w:r><w:t xml:space="preserve">post for him at Berlin, but the offer did not reach Norway</w:t></w:r>
</w:p>
<w:p>
<w:pPr><w:pStyle w:val="Normal"/></w:pPr>
<w:r><w:t xml:space="preserve">until after his death near Arendal on the 6th of April.</w:t></w:r>
</w:p>
<w:p>
<w:pPr><w:pStyle w:val="Normal"/></w:pPr>
<w:r><w:t xml:space="preserve">The early death of this talented mathematician, of whom</w:t></w:r>
</w:p>
<w:p>
<w:pPr><w:pStyle w:val="Normal"/></w:pPr>
<w:r><w:t xml:space="preserve">Legendre said ``quelle tete celle du jeune Norvegien!&apos;&apos;,</w:t></w:r>
</w:p>
<w:p>
<w:pPr><w:pStyle w:val="Normal"/></w:pPr>
<w:r><w:t xml:space="preserve">cut short a career of extraordinary brilliance and promise.</w:t></w:r>
</w:p>
<w:p>
<w:pPr><w:pStyle w:val="Normal"/></w:pPr>
<w:r><w:t xml:space="preserve">Under Abel&apos;s guidance, the prevailing obscurities of analysis</w:t></w:r>
</w:p>
<w:p>
<w:pPr><w:pStyle w:val="Normal"/></w:pPr>
<w:r><w:t xml:space="preserve">began to be cleared, new fields were entered upon and the</w:t></w:r>
</w:p>
<w:p>
<w:pPr><w:pStyle w:val="Normal"/></w:pPr>
<w:r><w:t xml:space="preserve">study of functions so advanced as to provide mathematicians</w:t></w:r>
</w:p>
<w:p>
<w:pPr><w:pStyle w:val="Normal"/></w:pPr>
<w:r><w:t xml:space="preserve">with numerous ramifications along which progress could be</w:t></w:r>
</w:p>
<w:p>
<w:pPr><w:pStyle w:val="Normal"/></w:pPr>
<w:r><w:t xml:space="preserve">made.  His works, the greater part of which originally</w:t></w:r>
</w:p>
<w:p>
<w:pPr><w:pStyle w:val="Normal"/></w:pPr>
<w:r><w:t xml:space="preserve">appeared in Crelle&apos;s Journal, were edited by Holmbor and</w:t></w:r>
</w:p>
<w:p>
<w:pPr><w:pStyle w:val="Normal"/></w:pPr>
<w:r><w:t xml:space="preserve">published in 1839 by the Swedish government, and a more</w:t></w:r>
</w:p>
<w:p>
<w:pPr><w:pStyle w:val="Normal"/></w:pPr>
<w:r><w:t xml:space="preserve">complete edition by L. Sylow and S. Lie was published in 1881.</w:t></w:r>
</w:p>
<w:p>
<w:pPr><w:pStyle w:val="Normal"/></w:pPr>
<w:r><w:t xml:space="preserve">For further details of his mathematical investigations see the</w:t></w:r>
</w:p>
<w:p>
<w:pPr><w:pStyle w:val="Normal"/></w:pPr>
<w:r><w:t xml:space="preserve">articles GROUPS, THEORY OF, and FUNCTIONS OF COMPLEX VARIABLES.</w:t></w:r>
</w:p>
<w:p>
<w:pPr><w:pStyle w:val="Normal"/></w:pPr>
<w:r><w:t xml:space="preserve">See C. A. Bjerknes, Niels Henrik Abel: Tableau de sa</w:t></w:r>
</w:p>
<w:p>
<w:pPr><w:pStyle w:val="Normal"/></w:pPr>
<w:r><w:t xml:space="preserve">vie et son action scientifique (Paris, 1885); Lucas</w:t></w:r>
</w:p>
<w:p>
<w:pPr><w:pStyle w:val="Normal"/></w:pPr>
<w:r><w:t xml:space="preserve">de Peslouan, Niels Henrik Abel (Paris, 1906).</w:t></w:r>
</w:p>
<w:p>
<w:pPr><w:pStyle w:val="Normal"/></w:pPr>
<w:r><w:t xml:space="preserve">ABEL (better ABELL), THOMAS (d. 1540), an English priest</w:t></w:r>
</w:p>
<w:p>
<w:pPr><w:pStyle w:val="Normal"/></w:pPr>
<w:r><w:t xml:space="preserve">who was martyred during the reign of Henry VIII.  The place</w:t></w:r>
</w:p>
<w:p>
<w:pPr><w:pStyle w:val="Normal"/></w:pPr>
<w:r><w:t xml:space="preserve">and date of his birth are unknown.  He was educated at Oxford</w:t></w:r>
</w:p>
<w:p>
<w:pPr><w:pStyle w:val="Normal"/></w:pPr>
<w:r><w:t xml:space="preserve">and entered the service of Queen Catherine some time before</w:t></w:r>
</w:p>
<w:p>
<w:pPr><w:pStyle w:val="Normal"/></w:pPr>
<w:r><w:t xml:space="preserve">1528, when he was sent by her to the emperor Charles V. on a</w:t></w:r>
</w:p>
<w:p>
<w:pPr><w:pStyle w:val="Normal"/></w:pPr>
<w:r><w:t xml:space="preserve">mission relating to the proposed divorce.  On his return he</w:t></w:r>
</w:p>
<w:p>
<w:pPr><w:pStyle w:val="Normal"/></w:pPr>
<w:r><w:t xml:space="preserve">was presented by Catherine to the living of Bradwell, in Essex,</w:t></w:r>
</w:p>
<w:p>
<w:pPr><w:pStyle w:val="Normal"/></w:pPr>
<w:r><w:t xml:space="preserve">and remained to the last a staunch supporter of the unfortunate</w:t></w:r>
</w:p>
<w:p>
<w:pPr><w:pStyle w:val="Normal"/></w:pPr>
<w:r><w:t xml:space="preserve">queen.  In 1533, he published his Invicta Veritas (with</w:t></w:r>
</w:p>
<w:p>
<w:pPr><w:pStyle w:val="Normal"/></w:pPr>
<w:r><w:t xml:space="preserve">the fictitious pressmark of Luneberge, to avoid suspicion),</w:t></w:r>
</w:p>
<w:p>
<w:pPr><w:pStyle w:val="Normal"/></w:pPr>
<w:r><w:t xml:space="preserve">which contained an answer to the numerous tracts supporting</w:t></w:r>
</w:p>
<w:p>
<w:pPr><w:pStyle w:val="Normal"/></w:pPr>
<w:r><w:t xml:space="preserve">Henry&apos;s ecclesiastical claims.  After an imprisonment of more</w:t></w:r>
</w:p>
<w:p>
<w:pPr><w:pStyle w:val="Normal"/></w:pPr>
<w:r><w:t xml:space="preserve">than six years, Abel was sentenced to death for denying the</w:t></w:r>
</w:p>
<w:p>
<w:pPr><w:pStyle w:val="Normal"/></w:pPr>
<w:r><w:t xml:space="preserve">royal supremacy in the church, and was executed at Smithfield</w:t></w:r>
</w:p>
<w:p>
<w:pPr><w:pStyle w:val="Normal"/></w:pPr>
<w:r><w:t xml:space="preserve">on the 30th of July 1540.  There is still to be seen on the</w:t></w:r>
</w:p>
<w:p>
<w:pPr><w:pStyle w:val="Normal"/></w:pPr>
<w:r><w:t xml:space="preserve">wall of his prison in the Tower the symbol of a bell with</w:t></w:r>
</w:p>
<w:p>
<w:pPr><w:pStyle w:val="Normal"/></w:pPr>
<w:r><w:t xml:space="preserve">an A upon it and the name Thomas above, winch he carved</w:t></w:r>
</w:p>
<w:p>
<w:pPr><w:pStyle w:val="Normal"/></w:pPr>
<w:r><w:t xml:space="preserve">during his confinement.  He was beatified by Pope Leo XIII.</w:t></w:r>
</w:p>
<w:p>
<w:pPr><w:pStyle w:val="Normal"/></w:pPr>
<w:r><w:t xml:space="preserve">See J. Gillow&apos;s Bibl.  Dictionary of Eng. Catholics, vol. i.;</w:t></w:r>
</w:p>
<w:p>
<w:pPr><w:pStyle w:val="Normal"/></w:pPr>
<w:r><w:t xml:space="preserve">Calendar of State Papers of Henry VIII., vols. iv.-vii. passim.</w:t></w:r>
</w:p>
<w:p>
<w:pPr><w:pStyle w:val="Normal"/></w:pPr>
<w:r><w:t xml:space="preserve">ABELARD, PETER (1079-1142), scholastic philosopher, was born</w:t></w:r>
</w:p>
<w:p>
<w:pPr><w:pStyle w:val="Normal"/></w:pPr>
<w:r><w:t xml:space="preserve">at Pallet (Palais), not far from Nantes, in 1079.  He was the</w:t></w:r>
</w:p>
<w:p>
<w:pPr><w:pStyle w:val="Normal"/></w:pPr>
<w:r><w:t xml:space="preserve">eldest son of a noble Breton house.  The name Abaelardus</w:t></w:r>
</w:p>
<w:p>
<w:pPr><w:pStyle w:val="Normal"/></w:pPr>
<w:r><w:t xml:space="preserve">(also written Abailardus, Abaielardus, and in many other</w:t></w:r>
</w:p>
<w:p>
<w:pPr><w:pStyle w:val="Normal"/></w:pPr>
<w:r><w:t xml:space="preserve">ways) is said to be a corruption of Habelardus, substituted</w:t></w:r>
</w:p>
<w:p>
<w:pPr><w:pStyle w:val="Normal"/></w:pPr>
<w:r><w:t xml:space="preserve">by himself for a nickname Bajolardus given to him when a</w:t></w:r>
</w:p>
<w:p>
<w:pPr><w:pStyle w:val="Normal"/></w:pPr>
<w:r><w:t xml:space="preserve">student.  As a boy, he showed an extraordinary quickness of</w:t></w:r>
</w:p>
<w:p>
<w:pPr><w:pStyle w:val="Normal"/></w:pPr>
<w:r><w:t xml:space="preserve">apprehension, and, choosing a learned life instead of the</w:t></w:r>
</w:p>
<w:p>
<w:pPr><w:pStyle w:val="Normal"/></w:pPr>
<w:r><w:t xml:space="preserve">knightly career natural to a youth of his birth, early became</w:t></w:r>
</w:p>
<w:p>
<w:pPr><w:pStyle w:val="Normal"/></w:pPr>
<w:r><w:t xml:space="preserve">an adept in the art of dialectic, under which name philosophy,</w:t></w:r>
</w:p>
<w:p>
<w:pPr><w:pStyle w:val="Normal"/></w:pPr>
<w:r><w:t xml:space="preserve">meaning at that time chiefly the logic of Aristotle transmitted</w:t></w:r>
</w:p>
<w:p>
<w:pPr><w:pStyle w:val="Normal"/></w:pPr>
<w:r><w:t xml:space="preserve">through Latin channels, was the great subject of liberal</w:t></w:r>
</w:p>
<w:p>
<w:pPr><w:pStyle w:val="Normal"/></w:pPr>
<w:r><w:t xml:space="preserve">study in the episcopal schools.  Roscellinus, the famous</w:t></w:r>
</w:p>
<w:p>
<w:pPr><w:pStyle w:val="Normal"/></w:pPr>
<w:r><w:t xml:space="preserve">canon of Compiegne, is mentioned by himself as his teacher;</w:t></w:r>
</w:p>
<w:p>
<w:pPr><w:pStyle w:val="Normal"/></w:pPr>
<w:r><w:t xml:space="preserve">but whether he heard this champion of extreme Nominalism in</w:t></w:r>
</w:p>
<w:p>
<w:pPr><w:pStyle w:val="Normal"/></w:pPr>
<w:r><w:t xml:space="preserve">early youth, when he wandered about from school to school</w:t></w:r>
</w:p>
<w:p>
<w:pPr><w:pStyle w:val="Normal"/></w:pPr>
<w:r><w:t xml:space="preserve">for instruction and exercise, or some years later, after he</w:t></w:r>
</w:p>
<w:p>
<w:pPr><w:pStyle w:val="Normal"/></w:pPr>
<w:r><w:t xml:space="preserve">had already begun to teach for himself, remains uncertain.</w:t></w:r>
</w:p>
<w:p>
<w:pPr><w:pStyle w:val="Normal"/></w:pPr>
<w:r><w:t xml:space="preserve">His wanderings finally brought him to Paris, still under</w:t></w:r>
</w:p>
<w:p>
<w:pPr><w:pStyle w:val="Normal"/></w:pPr>
<w:r><w:t xml:space="preserve">the age of twenty.  There, in the great cathedral school of</w:t></w:r>
</w:p>
<w:p>
<w:pPr><w:pStyle w:val="Normal"/></w:pPr>
<w:r><w:t xml:space="preserve">Notre-Dame, he sat for a while under the teaching of William</w:t></w:r>
</w:p>
<w:p>
<w:pPr><w:pStyle w:val="Normal"/></w:pPr>
<w:r><w:t xml:space="preserve">of Champeaux, the disciple of St Anselm and most advanced of</w:t></w:r>
</w:p>
<w:p>
<w:pPr><w:pStyle w:val="Normal"/></w:pPr>
<w:r><w:t xml:space="preserve">Realists, but, presently stepping forward, he overcame the</w:t></w:r>
</w:p>
<w:p>
<w:pPr><w:pStyle w:val="Normal"/></w:pPr>
<w:r><w:t xml:space="preserve">master in discussion, and thus began a long duel that issued</w:t></w:r>
</w:p>
<w:p>
<w:pPr><w:pStyle w:val="Normal"/></w:pPr>
<w:r><w:t xml:space="preserve">in the downfall of the philosophic theory of Realism, till</w:t></w:r>
</w:p>
<w:p>
<w:pPr><w:pStyle w:val="Normal"/></w:pPr>
<w:r><w:t xml:space="preserve">then dominant in the early Middle Age. First, in the teeth</w:t></w:r>
</w:p>
<w:p>
<w:pPr><w:pStyle w:val="Normal"/></w:pPr>
<w:r><w:t xml:space="preserve">of opposition from the metropolitan teacher, while yet only</w:t></w:r>
</w:p>
<w:p>
<w:pPr><w:pStyle w:val="Normal"/></w:pPr>
<w:r><w:t xml:space="preserve">twenty-two, he proceeded to set up a school of hs own at</w:t></w:r>
</w:p>
<w:p>
<w:pPr><w:pStyle w:val="Normal"/></w:pPr>
<w:r><w:t xml:space="preserve">Melun, whence, for more direct competition, he removed to</w:t></w:r>
</w:p>
<w:p>
<w:pPr><w:pStyle w:val="Normal"/></w:pPr>
<w:r><w:t xml:space="preserve">Corbeil, nearer Paris.  The success of his teaching was</w:t></w:r>
</w:p>
<w:p>
<w:pPr><w:pStyle w:val="Normal"/></w:pPr>
<w:r><w:t xml:space="preserve">signal, though for a time he had to quit the field, the</w:t></w:r>
</w:p>
<w:p>
<w:pPr><w:pStyle w:val="Normal"/></w:pPr>
<w:r><w:t xml:space="preserve">strain proving too great for his physical strength.  On his</w:t></w:r>
</w:p>
<w:p>
<w:pPr><w:pStyle w:val="Normal"/></w:pPr>
<w:r><w:t xml:space="preserve">return, after 1108, he found William lecturing no longer at</w:t></w:r>
</w:p>
<w:p>
<w:pPr><w:pStyle w:val="Normal"/></w:pPr>
<w:r><w:t xml:space="preserve">Notre-Dame, but in a monastic retreat outside the city, and</w:t></w:r>
</w:p>
<w:p>
<w:pPr><w:pStyle w:val="Normal"/></w:pPr>
<w:r><w:t xml:space="preserve">there battle was again joined between them.  Forcing upon</w:t></w:r>
</w:p>
<w:p>
<w:pPr><w:pStyle w:val="Normal"/></w:pPr>
<w:r><w:t xml:space="preserve">the Realist a material change of doctrine, he was once more</w:t></w:r>
</w:p>
<w:p>
<w:pPr><w:pStyle w:val="Normal"/></w:pPr>
<w:r><w:t xml:space="preserve">victorious, and thenceforth he stood supreme.  His discomfited</w:t></w:r>
</w:p>
<w:p>
<w:pPr><w:pStyle w:val="Normal"/></w:pPr>
<w:r><w:t xml:space="preserve">rival still had power to keep him from lecturing in Paris, hut</w:t></w:r>
</w:p>
<w:p>
<w:pPr><w:pStyle w:val="Normal"/></w:pPr>
<w:r><w:t xml:space="preserve">soon failed in this last effort also.  From Melun, where he</w:t></w:r>
</w:p>
<w:p>
<w:pPr><w:pStyle w:val="Normal"/></w:pPr>
<w:r><w:t xml:space="preserve">had resumed teaching, Abelard passed to the capital, and set</w:t></w:r>
</w:p>
<w:p>
<w:pPr><w:pStyle w:val="Normal"/></w:pPr>
<w:r><w:t xml:space="preserve">up his school on the heights of St Genevieve, looking over</w:t></w:r>
</w:p>
<w:p>
<w:pPr><w:pStyle w:val="Normal"/></w:pPr>
<w:r><w:t xml:space="preserve">Notre-Dame.  From his success in dialectic, he next turned to</w:t></w:r>
</w:p>
<w:p>
<w:pPr><w:pStyle w:val="Normal"/></w:pPr>
<w:r><w:t xml:space="preserve">theology and attended the lectures of Anselm at Laon.  His triumph</w:t></w:r>
</w:p>
<w:p>
<w:pPr><w:pStyle w:val="Normal"/></w:pPr>
<w:r><w:t xml:space="preserve">over the theologian was complete; the pupil was able to give</w:t></w:r>
</w:p>
<w:p>
<w:pPr><w:pStyle w:val="Normal"/></w:pPr>
<w:r><w:t xml:space="preserve">lectures, without previous training or special study, which</w:t></w:r>
</w:p>
<w:p>
<w:pPr><w:pStyle w:val="Normal"/></w:pPr>
<w:r><w:t xml:space="preserve">were acknowledged superior to those of the master.  Abelard</w:t></w:r>
</w:p>
<w:p>
<w:pPr><w:pStyle w:val="Normal"/></w:pPr>
<w:r><w:t xml:space="preserve">was now at the height of hs fame.  He stepped into the chair at</w:t></w:r>
</w:p>
<w:p>
<w:pPr><w:pStyle w:val="Normal"/></w:pPr>
<w:r><w:t xml:space="preserve">Notre-Dame, being also nominated canon, about the year 1115.</w:t></w:r>
</w:p>
<w:p>
<w:pPr><w:pStyle w:val="Normal"/></w:pPr>
<w:r><w:t xml:space="preserve">Few teachers ever held such sway as Abelard now did for a</w:t></w:r>
</w:p>
<w:p>
<w:pPr><w:pStyle w:val="Normal"/></w:pPr>
<w:r><w:t xml:space="preserve">time.  Distinguished in figure and manners, he was seen</w:t></w:r>
</w:p>
<w:p>
<w:pPr><w:pStyle w:val="Normal"/></w:pPr>
<w:r><w:t xml:space="preserve">surrounded by crowds--it is said thousands of students,</w:t></w:r>
</w:p>
<w:p>
<w:pPr><w:pStyle w:val="Normal"/></w:pPr>
<w:r><w:t xml:space="preserve">drawn from all countries by the fame of hs teaching, in which</w:t></w:r>
</w:p>
<w:p>
<w:pPr><w:pStyle w:val="Normal"/></w:pPr>
<w:r><w:t xml:space="preserve">acuteness of thought was relieved by simplicity and grace of</w:t></w:r>
</w:p>
<w:p>
<w:pPr><w:pStyle w:val="Normal"/></w:pPr>
<w:r><w:t xml:space="preserve">exposition.  Enriched by the offerings of his pupils, and</w:t></w:r>
</w:p>
<w:p>
<w:pPr><w:pStyle w:val="Normal"/></w:pPr>
<w:r><w:t xml:space="preserve">feasted with universal admiration, he came, as he says,</w:t></w:r>
</w:p>
<w:p>
<w:pPr><w:pStyle w:val="Normal"/></w:pPr>
<w:r><w:t xml:space="preserve">to think himself the only philosopher standing in the</w:t></w:r>
</w:p>
<w:p>
<w:pPr><w:pStyle w:val="Normal"/></w:pPr>
<w:r><w:t xml:space="preserve">world.  But a change in his fortunes was at hand.  In his</w:t></w:r>
</w:p>
<w:p>
<w:pPr><w:pStyle w:val="Normal"/></w:pPr>
<w:r><w:t xml:space="preserve">devotion to science, he had hitherto lived a very regular</w:t></w:r>
</w:p>
<w:p>
<w:pPr><w:pStyle w:val="Normal"/></w:pPr>
<w:r><w:t xml:space="preserve">life, varied only by the excitement of conflict: now, at</w:t></w:r>
</w:p>
<w:p>
<w:pPr><w:pStyle w:val="Normal"/></w:pPr>
<w:r><w:t xml:space="preserve">the height of his fame, other passions began to stir within</w:t></w:r>
</w:p>
<w:p>
<w:pPr><w:pStyle w:val="Normal"/></w:pPr>
<w:r><w:t xml:space="preserve">him.  There lived at that time, within the precincts of</w:t></w:r>
</w:p>
<w:p>
<w:pPr><w:pStyle w:val="Normal"/></w:pPr>
<w:r><w:t xml:space="preserve">Notre-Dame, under the care of her uncle, the canon Fulbert, a</w:t></w:r>
</w:p>
<w:p>
<w:pPr><w:pStyle w:val="Normal"/></w:pPr>
<w:r><w:t xml:space="preserve">young girl named Heloise, of noble extraction, and born about</w:t></w:r>
</w:p>
<w:p>
<w:pPr><w:pStyle w:val="Normal"/></w:pPr>
<w:r><w:t xml:space="preserve">1101.  Fair, but still more remarkable for her knowledge,</w:t></w:r>
</w:p>
<w:p>
<w:pPr><w:pStyle w:val="Normal"/></w:pPr>
<w:r><w:t xml:space="preserve">which extended beyond Latin, it is said, to Greek and Hebrew,</w:t></w:r>
</w:p>
<w:p>
<w:pPr><w:pStyle w:val="Normal"/></w:pPr>
<w:r><w:t xml:space="preserve">she awoke a feeling of love in the breast of Abelard; and</w:t></w:r>
</w:p>
<w:p>
<w:pPr><w:pStyle w:val="Normal"/></w:pPr>
<w:r><w:t xml:space="preserve">with intent to win her, he sought and gained a footing in</w:t></w:r>
</w:p>
<w:p>
<w:pPr><w:pStyle w:val="Normal"/></w:pPr>
<w:r><w:t xml:space="preserve">Fulbert&apos;s house as a regular inmate.  Becoming also tutor to</w:t></w:r>
</w:p>
<w:p>
<w:pPr><w:pStyle w:val="Normal"/></w:pPr>
<w:r><w:t xml:space="preserve">the maiden, he used the unlimited power which he thus obtained</w:t></w:r>
</w:p>
<w:p>
<w:pPr><w:pStyle w:val="Normal"/></w:pPr>
<w:r><w:t xml:space="preserve">over her for the purpose of seduction, though not without</w:t></w:r>
</w:p>
<w:p>
<w:pPr><w:pStyle w:val="Normal"/></w:pPr>
<w:r><w:t xml:space="preserve">cherishing a real affection which she returned in unparalleled</w:t></w:r>
</w:p>
<w:p>
<w:pPr><w:pStyle w:val="Normal"/></w:pPr>
<w:r><w:t xml:space="preserve">devotion.  Their relation interfering with his public work, and</w:t></w:r>
</w:p>
<w:p>
<w:pPr><w:pStyle w:val="Normal"/></w:pPr>
<w:r><w:t xml:space="preserve">being, moreover, ostentatiously sung by himself, soon became</w:t></w:r>
</w:p>
<w:p>
<w:pPr><w:pStyle w:val="Normal"/></w:pPr>
<w:r><w:t xml:space="preserve">known to all the world except the too-confiding Fulbert; and,</w:t></w:r>
</w:p>
<w:p>
<w:pPr><w:pStyle w:val="Normal"/></w:pPr>
<w:r><w:t xml:space="preserve">when at last it could not escape even his vision, they were</w:t></w:r>
</w:p>
<w:p>
<w:pPr><w:pStyle w:val="Normal"/></w:pPr>
<w:r><w:t xml:space="preserve">separated only to meet in secret.  Thereupon Heloise found</w:t></w:r>
</w:p>
<w:p>
<w:pPr><w:pStyle w:val="Normal"/></w:pPr>
<w:r><w:t xml:space="preserve">herself pregnant, and was carried off by her lover to Brittany,</w:t></w:r>
</w:p>
<w:p>
<w:pPr><w:pStyle w:val="Normal"/></w:pPr>
<w:r><w:t xml:space="preserve">where she gave birth to a son.  To appease her furious uncle,</w:t></w:r>
</w:p>
<w:p>
<w:pPr><w:pStyle w:val="Normal"/></w:pPr>
<w:r><w:t xml:space="preserve">Abelard now proposed a marriage, under the condition that it</w:t></w:r>
</w:p>
<w:p>
<w:pPr><w:pStyle w:val="Normal"/></w:pPr>
<w:r><w:t xml:space="preserve">should be kept secret, in order not to mar his prospects of</w:t></w:r>
</w:p>
<w:p>
<w:pPr><w:pStyle w:val="Normal"/></w:pPr>
<w:r><w:t xml:space="preserve">advancement in the church; but of marriage, whether public</w:t></w:r>
</w:p>
<w:p>
<w:pPr><w:pStyle w:val="Normal"/></w:pPr>
<w:r><w:t xml:space="preserve">or secret, Heloise would hear nothing.  She appealed to him</w:t></w:r>
</w:p>
<w:p>
<w:pPr><w:pStyle w:val="Normal"/></w:pPr>
<w:r><w:t xml:space="preserve">not to sacrifice for her the independence of his life, nor</w:t></w:r>
</w:p>
<w:p>
<w:pPr><w:pStyle w:val="Normal"/></w:pPr>
<w:r><w:t xml:space="preserve">did she finally yield to the arrangement without the darkest</w:t></w:r>
</w:p>
<w:p>
<w:pPr><w:pStyle w:val="Normal"/></w:pPr>
<w:r><w:t xml:space="preserve">forebodings, only too soon to be reallzed.  The secret of</w:t></w:r>
</w:p>
<w:p>
<w:pPr><w:pStyle w:val="Normal"/></w:pPr>
<w:r><w:t xml:space="preserve">the marriage was not kept by Fulbert; and when Heloise, true</w:t></w:r>
</w:p>
<w:p>
<w:pPr><w:pStyle w:val="Normal"/></w:pPr>
<w:r><w:t xml:space="preserve">to her singular purpose, boldly denied it, life was made so</w:t></w:r>
</w:p>
<w:p>
<w:pPr><w:pStyle w:val="Normal"/></w:pPr>
<w:r><w:t xml:space="preserve">unsupportable to her that she sought refuge in the convent of</w:t></w:r>
</w:p>
<w:p>
<w:pPr><w:pStyle w:val="Normal"/></w:pPr>
<w:r><w:t xml:space="preserve">Argenteuil.  Immediately Fulbert, believing that her husband,</w:t></w:r>
</w:p>
<w:p>
<w:pPr><w:pStyle w:val="Normal"/></w:pPr>
<w:r><w:t xml:space="preserve">who aided in the flight, designed to be rid of her, coinceived</w:t></w:r>
</w:p>
<w:p>
<w:pPr><w:pStyle w:val="Normal"/></w:pPr>
<w:r><w:t xml:space="preserve">a dire revenge.  He and some others broke into Abelard&apos;s</w:t></w:r>
</w:p>
<w:p>
<w:pPr><w:pStyle w:val="Normal"/></w:pPr>
<w:r><w:t xml:space="preserve">chamber by night, and perpetrated on him the most brutal</w:t></w:r>
</w:p>
<w:p>
<w:pPr><w:pStyle w:val="Normal"/></w:pPr>
<w:r><w:t xml:space="preserve">mutilation.  Thus cast down from his pinnacle of greatness</w:t></w:r>
</w:p>
<w:p>
<w:pPr><w:pStyle w:val="Normal"/></w:pPr>
<w:r><w:t xml:space="preserve">into an abyss of shame and misery, there was left to the</w:t></w:r>
</w:p>
<w:p>
<w:pPr><w:pStyle w:val="Normal"/></w:pPr>
<w:r><w:t xml:space="preserve">brilliant master only the life of a monk.  The priesthood</w:t></w:r>
</w:p>
<w:p>
<w:pPr><w:pStyle w:val="Normal"/></w:pPr>
<w:r><w:t xml:space="preserve">and ecclesiastical office were canonically closed to him.</w:t></w:r>
</w:p>
<w:p>
<w:pPr><w:pStyle w:val="Normal"/></w:pPr>
<w:r><w:t xml:space="preserve">Heloise, not yet twenty, consummated her work of self-sacrifice</w:t></w:r>
</w:p>
<w:p>
<w:pPr><w:pStyle w:val="Normal"/></w:pPr>
<w:r><w:t xml:space="preserve">at the call of his jealous love, and took the veil.</w:t></w:r>
</w:p>
<w:p>
<w:pPr><w:pStyle w:val="Normal"/></w:pPr>
<w:r><w:t xml:space="preserve">It was in the abbey of St Denis that Abelard, now aged</w:t></w:r>
</w:p>
<w:p>
<w:pPr><w:pStyle w:val="Normal"/></w:pPr>
<w:r><w:t xml:space="preserve">forty, sought to bury himself with his woes out of sight.</w:t></w:r>
</w:p>
<w:p>
<w:pPr><w:pStyle w:val="Normal"/></w:pPr>
<w:r><w:t xml:space="preserve">Finding, however, in the cloister neither calm nor solitude,</w:t></w:r>
</w:p>
<w:p>
<w:pPr><w:pStyle w:val="Normal"/></w:pPr>
<w:r><w:t xml:space="preserve">and having gradually turned again to study, he yielded after</w:t></w:r>
</w:p>
<w:p>
<w:pPr><w:pStyle w:val="Normal"/></w:pPr>
<w:r><w:t xml:space="preserve">a year to urgent entreaties from without and within, and</w:t></w:r>
</w:p>
<w:p>
<w:pPr><w:pStyle w:val="Normal"/></w:pPr>
<w:r><w:t xml:space="preserve">went forth to reopen his school at the priory of Maisonceile</w:t></w:r>
</w:p>
<w:p>
<w:pPr><w:pStyle w:val="Normal"/></w:pPr>
<w:r><w:t xml:space="preserve">(1120).  His lectures, now framed in a devotional spirit, were</w:t></w:r>
</w:p>
<w:p>
<w:pPr><w:pStyle w:val="Normal"/></w:pPr>
<w:r><w:t xml:space="preserve">heard again by crowds of students, and all his old influence</w:t></w:r>
</w:p>
<w:p>
<w:pPr><w:pStyle w:val="Normal"/></w:pPr>
<w:r><w:t xml:space="preserve">seemed to have returned; but old enmities were revived</w:t></w:r>
</w:p>
<w:p>
<w:pPr><w:pStyle w:val="Normal"/></w:pPr>
<w:r><w:t xml:space="preserve">also, against which he was no longer able as before to make</w:t></w:r>
</w:p>
<w:p>
<w:pPr><w:pStyle w:val="Normal"/></w:pPr>
<w:r><w:t xml:space="preserve">head.  No sooner had he put in writing his theological</w:t></w:r>
</w:p>
<w:p>
<w:pPr><w:pStyle w:val="Normal"/></w:pPr>
<w:r><w:t xml:space="preserve">lectures (apparently the Introductio and Theolo giam</w:t></w:r>
</w:p>
<w:p>
<w:pPr><w:pStyle w:val="Normal"/></w:pPr>
<w:r><w:t xml:space="preserve">that has come down to us), than his adversaries fell foul of</w:t></w:r>
</w:p>
<w:p>
<w:pPr><w:pStyle w:val="Normal"/></w:pPr>
<w:r><w:t xml:space="preserve">his rationalistic interpretation of the Trinitarian dogma.</w:t></w:r>
</w:p>
<w:p>
<w:pPr><w:pStyle w:val="Normal"/></w:pPr>
<w:r><w:t xml:space="preserve">Charging him with the heresy of Sabellius in a provincial</w:t></w:r>
</w:p>
<w:p>
<w:pPr><w:pStyle w:val="Normal"/></w:pPr>
<w:r><w:t xml:space="preserve">synod held at Soissons in 1121, they procured by irregular</w:t></w:r>
</w:p>
<w:p>
<w:pPr><w:pStyle w:val="Normal"/></w:pPr>
<w:r><w:t xml:space="preserve">practices a condemnation of his teaching, whereby he was made</w:t></w:r>
</w:p>
<w:p>
<w:pPr><w:pStyle w:val="Normal"/></w:pPr>
<w:r><w:t xml:space="preserve">to throw his book into the flames and then was shut up in</w:t></w:r>
</w:p>
<w:p>
<w:pPr><w:pStyle w:val="Normal"/></w:pPr>
<w:r><w:t xml:space="preserve">the convent of St Medard at Soissons.  After the other, it</w:t></w:r>
</w:p>
<w:p>
<w:pPr><w:pStyle w:val="Normal"/></w:pPr>
<w:r><w:t xml:space="preserve">was the bitterest possible experience that could befall him,</w:t></w:r>
</w:p>
<w:p>
<w:pPr><w:pStyle w:val="Normal"/></w:pPr>
<w:r><w:t xml:space="preserve">nor, in the state of mental desolation into which it plunged</w:t></w:r>
</w:p>
<w:p>
<w:pPr><w:pStyle w:val="Normal"/></w:pPr>
<w:r><w:t xml:space="preserve">him, could he find any comfort from being soon again set free.</w:t></w:r>
</w:p>
<w:p>
<w:pPr><w:pStyle w:val="Normal"/></w:pPr>
<w:r><w:t xml:space="preserve">The life in his own monastery proved no more congenial than</w:t></w:r>
</w:p>
<w:p>
<w:pPr><w:pStyle w:val="Normal"/></w:pPr>
<w:r><w:t xml:space="preserve">formerly.  For this Abelard himself was partly responsible.</w:t></w:r>
</w:p>
<w:p>
<w:pPr><w:pStyle w:val="Normal"/></w:pPr>
<w:r><w:t xml:space="preserve">He took a sort of malicious pleasure in irritating the monks.</w:t></w:r>
</w:p>
<w:p>
<w:pPr><w:pStyle w:val="Normal"/></w:pPr>
<w:r><w:t xml:space="preserve">Quasijocando, he cited Bede to prove that Dionysius the</w:t></w:r>
</w:p>
<w:p>
<w:pPr><w:pStyle w:val="Normal"/></w:pPr>
<w:r><w:t xml:space="preserve">Areopagite had been bishop of Corinth, while they relied upon</w:t></w:r>
</w:p>
<w:p>
<w:pPr><w:pStyle w:val="Normal"/></w:pPr>
<w:r><w:t xml:space="preserve">the statement of the abbot Hilduin that he had been bishop of</w:t></w:r>
</w:p>
<w:p>
<w:pPr><w:pStyle w:val="Normal"/></w:pPr>
<w:r><w:t xml:space="preserve">Athens.  When this historical heresy led to the inevitable</w:t></w:r>
</w:p>
<w:p>
<w:pPr><w:pStyle w:val="Normal"/></w:pPr>
<w:r><w:t xml:space="preserve">persecution, Abelard wrote a letter to the abbot Adam in</w:t></w:r>
</w:p>
<w:p>
<w:pPr><w:pStyle w:val="Normal"/></w:pPr>
<w:r><w:t xml:space="preserve">which he preferred to the authority of Bede that of Eusebius&apos;</w:t></w:r>
</w:p>
<w:p>
<w:pPr><w:pStyle w:val="Normal"/></w:pPr>
<w:r><w:t xml:space="preserve">Historia Ecelesiastica and St Jerome, according to whom</w:t></w:r>
</w:p>
<w:p>
<w:pPr><w:pStyle w:val="Normal"/></w:pPr>
<w:r><w:t xml:space="preserve">Dionysius, bishop of Corinth, was distinct from Dionysius</w:t></w:r>
</w:p>
<w:p>
<w:pPr><w:pStyle w:val="Normal"/></w:pPr>
<w:r><w:t xml:space="preserve">the Areopagite, bishop of Athens and founder of the abbey,</w:t></w:r>
</w:p>
<w:p>
<w:pPr><w:pStyle w:val="Normal"/></w:pPr>
<w:r><w:t xml:space="preserve">though, in deference to Bede, he suggested that the Areopagite</w:t></w:r>
</w:p>
<w:p>
<w:pPr><w:pStyle w:val="Normal"/></w:pPr>
<w:r><w:t xml:space="preserve">might also have beeit bishop of Corinth.  Life in the</w:t></w:r>
</w:p>
<w:p>
<w:pPr><w:pStyle w:val="Normal"/></w:pPr>
<w:r><w:t xml:space="preserve">monastery was intolerable for such a troublesome spirit, and</w:t></w:r>
</w:p>
<w:p>
<w:pPr><w:pStyle w:val="Normal"/></w:pPr>
<w:r><w:t xml:space="preserve">Abelard, who had once attempted to escape the persecution</w:t></w:r>
</w:p>
<w:p>
<w:pPr><w:pStyle w:val="Normal"/></w:pPr>
<w:r><w:t xml:space="preserve">he had called forth by flight to a monastery at Provins,</w:t></w:r>
</w:p>
<w:p>
<w:pPr><w:pStyle w:val="Normal"/></w:pPr>
<w:r><w:t xml:space="preserve">was finally allowed to withdraw.  In a desert place near</w:t></w:r>
</w:p>
<w:p>
<w:pPr><w:pStyle w:val="Normal"/></w:pPr>
<w:r><w:t xml:space="preserve">Nogent-sur-Seine, he built himself a cabin of stubble and</w:t></w:r>
</w:p>
<w:p>
<w:pPr><w:pStyle w:val="Normal"/></w:pPr>
<w:r><w:t xml:space="preserve">reeds, and turned hermit.  But there fortune came back to him</w:t></w:r>
</w:p>
<w:p>
<w:pPr><w:pStyle w:val="Normal"/></w:pPr>
<w:r><w:t xml:space="preserve">with a new surprise.  His retreat becoming known, students</w:t></w:r>
</w:p>
<w:p>
<w:pPr><w:pStyle w:val="Normal"/></w:pPr>
<w:r><w:t xml:space="preserve">flocked from Paris, and covered the wilderness around him</w:t></w:r>
</w:p>
<w:p>
<w:pPr><w:pStyle w:val="Normal"/></w:pPr>
<w:r><w:t xml:space="preserve">with their tents and huts.  When he began to teach again he</w:t></w:r>
</w:p>
<w:p>
<w:pPr><w:pStyle w:val="Normal"/></w:pPr>
<w:r><w:t xml:space="preserve">found consolation, and in gratitude he consecrated the new</w:t></w:r>
</w:p>
<w:p>
<w:pPr><w:pStyle w:val="Normal"/></w:pPr>
<w:r><w:t xml:space="preserve">oratory they built for him by the name of the Paraclete.</w:t></w:r>
</w:p>
<w:p>
<w:pPr><w:pStyle w:val="Normal"/></w:pPr>
<w:r><w:t xml:space="preserve">Upon the return of new dangers, or at least of fears, Abelard</w:t></w:r>
</w:p>
<w:p>
<w:pPr><w:pStyle w:val="Normal"/></w:pPr>
<w:r><w:t xml:space="preserve">left the Paraclete to make trial of another refuge, accepting</w:t></w:r>
</w:p>
<w:p>
<w:pPr><w:pStyle w:val="Normal"/></w:pPr>
<w:r><w:t xml:space="preserve">an invitation to preside over the abbey of St Gildas-de-Rhuys,</w:t></w:r>
</w:p>
<w:p>
<w:pPr><w:pStyle w:val="Normal"/></w:pPr>
<w:r><w:t xml:space="preserve">on the far-off shore of Lower Brittany.  It proved a wretched</w:t></w:r>
</w:p>
<w:p>
<w:pPr><w:pStyle w:val="Normal"/></w:pPr>
<w:r><w:t xml:space="preserve">exchange.  The region was inhospitable, the domain a prey to</w:t></w:r>
</w:p>
<w:p>
<w:pPr><w:pStyle w:val="Normal"/></w:pPr>
<w:r><w:t xml:space="preserve">lawless exaction, the house itself savage and disorderly.</w:t></w:r>
</w:p>
<w:p>
<w:pPr><w:pStyle w:val="Normal"/></w:pPr>
<w:r><w:t xml:space="preserve">Yet for nearly ten years he continued to struggle with fate</w:t></w:r>
</w:p>
<w:p>
<w:pPr><w:pStyle w:val="Normal"/></w:pPr>
<w:r><w:t xml:space="preserve">before he fled from his charge, yielding in the end only under</w:t></w:r>
</w:p>
<w:p>
<w:pPr><w:pStyle w:val="Normal"/></w:pPr>
<w:r><w:t xml:space="preserve">peru of violent death.  The misery of those years was not,</w:t></w:r>
</w:p>
<w:p>
<w:pPr><w:pStyle w:val="Normal"/></w:pPr>
<w:r><w:t xml:space="preserve">however, unrelieved; for he had been able, on the breaking</w:t></w:r>
</w:p>
<w:p>
<w:pPr><w:pStyle w:val="Normal"/></w:pPr>
<w:r><w:t xml:space="preserve">up of Heloise&apos;s convent at Argenteuil, to establish her as</w:t></w:r>
</w:p>
<w:p>
<w:pPr><w:pStyle w:val="Normal"/></w:pPr>
<w:r><w:t xml:space="preserve">head of a new religious house at the deserted Paraclete, and</w:t></w:r>
</w:p>
<w:p>
<w:pPr><w:pStyle w:val="Normal"/></w:pPr>
<w:r><w:t xml:space="preserve">in the capacity of spiritual director he often was called to</w:t></w:r>
</w:p>
<w:p>
<w:pPr><w:pStyle w:val="Normal"/></w:pPr>
<w:r><w:t xml:space="preserve">revisit the spot thus made doubly dear to him.  All this time</w:t></w:r>
</w:p>
<w:p>
<w:pPr><w:pStyle w:val="Normal"/></w:pPr>
<w:r><w:t xml:space="preserve">Heloise had lived amid universal esteem for her knowledge and</w:t></w:r>
</w:p>
<w:p>
<w:pPr><w:pStyle w:val="Normal"/></w:pPr>
<w:r><w:t xml:space="preserve">character, uttering no word under the doom that had fallen upon</w:t></w:r>
</w:p>
<w:p>
<w:pPr><w:pStyle w:val="Normal"/></w:pPr>
<w:r><w:t xml:space="preserve">her youth; hut now, at last, the occasion came for expressing</w:t></w:r>
</w:p>
<w:p>
<w:pPr><w:pStyle w:val="Normal"/></w:pPr>
<w:r><w:t xml:space="preserve">all the pent-up emotions of her soul.  Living on for some time</w:t></w:r>
</w:p>
<w:p>
<w:pPr><w:pStyle w:val="Normal"/></w:pPr>
<w:r><w:t xml:space="preserve">apart (we do not know exactly where), after his flight from St</w:t></w:r>
</w:p>
<w:p>
<w:pPr><w:pStyle w:val="Normal"/></w:pPr>
<w:r><w:t xml:space="preserve">Gildas, Abelard wrote, among other things, his famous Historia</w:t></w:r>
</w:p>
<w:p>
<w:pPr><w:pStyle w:val="Normal"/></w:pPr>
<w:r><w:t xml:space="preserve">Calamitatum, and thus moved her to peu her first Letter,</w:t></w:r>
</w:p>
<w:p>
<w:pPr><w:pStyle w:val="Normal"/></w:pPr>
<w:r><w:t xml:space="preserve">which remains an unsurpassed utterance of human passion and</w:t></w:r>
</w:p>
<w:p>
<w:pPr><w:pStyle w:val="Normal"/></w:pPr>
<w:r><w:t xml:space="preserve">womanly devotion; the first being followed by the two other</w:t></w:r>
</w:p>
<w:p>
<w:pPr><w:pStyle w:val="Normal"/></w:pPr>
<w:r><w:t xml:space="preserve">Letters, in which she finally accepted the part of resignation</w:t></w:r>
</w:p>
<w:p>
<w:pPr><w:pStyle w:val="Normal"/></w:pPr>
<w:r><w:t xml:space="preserve">which, now as a brother to a sister, Abelard commended to</w:t></w:r>
</w:p>
<w:p>
<w:pPr><w:pStyle w:val="Normal"/></w:pPr>
<w:r><w:t xml:space="preserve">her.  He not long after was seen once more upon the field</w:t></w:r>
</w:p>
<w:p>
<w:pPr><w:pStyle w:val="Normal"/></w:pPr>
<w:r><w:t xml:space="preserve">of his early triumphs lecturing on Mount St Genevieve in</w:t></w:r>
</w:p>
<w:p>
<w:pPr><w:pStyle w:val="Normal"/></w:pPr>
<w:r><w:t xml:space="preserve">1136 (when he was heard by John of Salisbury), but it was</w:t></w:r>
</w:p>
<w:p>
<w:pPr><w:pStyle w:val="Normal"/></w:pPr>
<w:r><w:t xml:space="preserve">only for a brief space: no new triumph, but a last great</w:t></w:r>
</w:p>
<w:p>
<w:pPr><w:pStyle w:val="Normal"/></w:pPr>
<w:r><w:t xml:space="preserve">trial, awaited him in the few years to come of his chequered</w:t></w:r>
</w:p>
<w:p>
<w:pPr><w:pStyle w:val="Normal"/></w:pPr>
<w:r><w:t xml:space="preserve">life.  As far back as the Paraclete days, he had counted</w:t></w:r>
</w:p>
<w:p>
<w:pPr><w:pStyle w:val="Normal"/></w:pPr>
<w:r><w:t xml:space="preserve">as chief among his foes Bernard of Clairvaux, in whom was</w:t></w:r>
</w:p>
<w:p>
<w:pPr><w:pStyle w:val="Normal"/></w:pPr>
<w:r><w:t xml:space="preserve">incarnated the principle of fervent and unhesitating faith,</w:t></w:r>
</w:p>
<w:p>
<w:pPr><w:pStyle w:val="Normal"/></w:pPr>
<w:r><w:t xml:space="preserve">from which rational inquiry like his was sheer revolt, and</w:t></w:r>
</w:p>
<w:p>
<w:pPr><w:pStyle w:val="Normal"/></w:pPr>
<w:r><w:t xml:space="preserve">now this uncompromising spirit was moving, at the instance of</w:t></w:r>
</w:p>
<w:p>
<w:pPr><w:pStyle w:val="Normal"/></w:pPr>
<w:r><w:t xml:space="preserve">others, to crush the growing evil in the person of the boldest</w:t></w:r>
</w:p>
<w:p>
<w:pPr><w:pStyle w:val="Normal"/></w:pPr>
<w:r><w:t xml:space="preserve">offender.  After preliminary negotiations, in which Bernard</w:t></w:r>
</w:p>
<w:p>
<w:pPr><w:pStyle w:val="Normal"/></w:pPr>
<w:r><w:t xml:space="preserve">was roused by Abelard&apos;s steadfastness to put forth all his</w:t></w:r>
</w:p>
<w:p>
<w:pPr><w:pStyle w:val="Normal"/></w:pPr>
<w:r><w:t xml:space="preserve">strength, a council met at Sens (1141), before which Abelard,</w:t></w:r>
</w:p>
<w:p>
<w:pPr><w:pStyle w:val="Normal"/></w:pPr>
<w:r><w:t xml:space="preserve">formally arraigned upon a number of heretical charges, was</w:t></w:r>
</w:p>
<w:p>
<w:pPr><w:pStyle w:val="Normal"/></w:pPr>
<w:r><w:t xml:space="preserve">prepared to plead his cause.  When, however, Bernard, not without</w:t></w:r>
</w:p>
<w:p>
<w:pPr><w:pStyle w:val="Normal"/></w:pPr>
<w:r><w:t xml:space="preserve">foregone terror in the prospect of meeting the redoubtable</w:t></w:r>
</w:p>
<w:p>
<w:pPr><w:pStyle w:val="Normal"/></w:pPr>
<w:r><w:t xml:space="preserve">dialectician, had opened the case, suddenlly Abelard appealed to</w:t></w:r>
</w:p>
<w:p>
<w:pPr><w:pStyle w:val="Normal"/></w:pPr>
<w:r><w:t xml:space="preserve">Rome.  The stroke availed him nothing; for Bernard, who had</w:t></w:r>
</w:p>
<w:p>
<w:pPr><w:pStyle w:val="Normal"/></w:pPr>
<w:r><w:t xml:space="preserve">power, notwithstanding, to get a condemnation passed at the</w:t></w:r>
</w:p>
<w:p>
<w:pPr><w:pStyle w:val="Normal"/></w:pPr>
<w:r><w:t xml:space="preserve">council, did not rest a moment till a second condemnation was</w:t></w:r>
</w:p>
<w:p>
<w:pPr><w:pStyle w:val="Normal"/></w:pPr>
<w:r><w:t xml:space="preserve">procured at Rome in the following year.  Meanwhile, on his way</w:t></w:r>
</w:p>
<w:p>
<w:pPr><w:pStyle w:val="Normal"/></w:pPr>
<w:r><w:t xml:space="preserve">thither to urge his plea in person, Abelard had broken down</w:t></w:r>
</w:p>
<w:p>
<w:pPr><w:pStyle w:val="Normal"/></w:pPr>
<w:r><w:t xml:space="preserve">at the abbey of Cluny, and there, an utterly fallen man, with</w:t></w:r>
</w:p>
<w:p>
<w:pPr><w:pStyle w:val="Normal"/></w:pPr>
<w:r><w:t xml:space="preserve">spirit of the humblest, and only not bereft of his intellectual</w:t></w:r>
</w:p>
<w:p>
<w:pPr><w:pStyle w:val="Normal"/></w:pPr>
<w:r><w:t xml:space="preserve">force, he lingered but a few months before the approach of</w:t></w:r>
</w:p>
<w:p>
<w:pPr><w:pStyle w:val="Normal"/></w:pPr>
<w:r><w:t xml:space="preserve">death.  Removed by friendly hands, for the relief of his</w:t></w:r>
</w:p>
<w:p>
<w:pPr><w:pStyle w:val="Normal"/></w:pPr>
<w:r><w:t xml:space="preserve">sufferings, to the priory of St Marcel, near Chalon-sur-Saone,</w:t></w:r>
</w:p>
<w:p>
<w:pPr><w:pStyle w:val="Normal"/></w:pPr>
<w:r><w:t xml:space="preserve">he died on the 21st of April 1142.  First buried at St Marcel,</w:t></w:r>
</w:p>
<w:p>
<w:pPr><w:pStyle w:val="Normal"/></w:pPr>
<w:r><w:t xml:space="preserve">his remains soon after were carried off in secrecy to the</w:t></w:r>
</w:p>
<w:p>
<w:pPr><w:pStyle w:val="Normal"/></w:pPr>
<w:r><w:t xml:space="preserve">Paraclete, and given over to the loving care of Heloise, who</w:t></w:r>
</w:p>
<w:p>
<w:pPr><w:pStyle w:val="Normal"/></w:pPr>
<w:r><w:t xml:space="preserve">in time came herself to rest beside them (1164).  The bones</w:t></w:r>
</w:p>
<w:p>
<w:pPr><w:pStyle w:val="Normal"/></w:pPr>
<w:r><w:t xml:space="preserve">of the pair were shifted more than once afterwards, but they</w:t></w:r>
</w:p>
<w:p>
<w:pPr><w:pStyle w:val="Normal"/></w:pPr>
<w:r><w:t xml:space="preserve">were marvellously preserved even through the vicissitudes</w:t></w:r>
</w:p>
<w:p>
<w:pPr><w:pStyle w:val="Normal"/></w:pPr>
<w:r><w:t xml:space="preserve">of the French Revolution, and now they lie united in the</w:t></w:r>
</w:p>
<w:p>
<w:pPr><w:pStyle w:val="Normal"/></w:pPr>
<w:r><w:t xml:space="preserve">well-known tomb in the cemetery of Pere-la-Chaise at Paris.</w:t></w:r>
</w:p>
<w:p>
<w:pPr><w:pStyle w:val="Normal"/></w:pPr>
<w:r><w:t xml:space="preserve">Great as was the influence exerted by Abelard on the minds of</w:t></w:r>
</w:p>
<w:p>
<w:pPr><w:pStyle w:val="Normal"/></w:pPr>
<w:r><w:t xml:space="preserve">his contemporaries and the course of medieval thought, he has</w:t></w:r>
</w:p>
<w:p>
<w:pPr><w:pStyle w:val="Normal"/></w:pPr>
<w:r><w:t xml:space="preserve">been little known in modern times but for his connexion with</w:t></w:r>
</w:p>
<w:p>
<w:pPr><w:pStyle w:val="Normal"/></w:pPr>
<w:r><w:t xml:space="preserve">Heloise.  Indeed, it was not till the 19th century, when Cousin</w:t></w:r>
</w:p>
<w:p>
<w:pPr><w:pStyle w:val="Normal"/></w:pPr>
<w:r><w:t xml:space="preserve">in 1836 issued the collection entitled Ouvrages inedits</w:t></w:r>
</w:p>
<w:p>
<w:pPr><w:pStyle w:val="Normal"/></w:pPr>
<w:r><w:t xml:space="preserve">d&apos;Abelard, that his philosophical performance could be judged</w:t></w:r>
</w:p>
<w:p>
<w:pPr><w:pStyle w:val="Normal"/></w:pPr>
<w:r><w:t xml:space="preserve">at first hand; of his strictly philosophical works only one,</w:t></w:r>
</w:p>
<w:p>
<w:pPr><w:pStyle w:val="Normal"/></w:pPr>
<w:r><w:t xml:space="preserve">the ethical treatise Scito te ipsum, having been published</w:t></w:r>
</w:p>
<w:p>
<w:pPr><w:pStyle w:val="Normal"/></w:pPr>
<w:r><w:t xml:space="preserve">earlier, namely, in 1721.  Cousin&apos;s collection, besides giving</w:t></w:r>
</w:p>
<w:p>
<w:pPr><w:pStyle w:val="Normal"/></w:pPr>
<w:r><w:t xml:space="preserve">extracts from the theological work Sic et Non (an assemblage</w:t></w:r>
</w:p>
<w:p>
<w:pPr><w:pStyle w:val="Normal"/></w:pPr>
<w:r><w:t xml:space="preserve">of opposite opinions on doctrinal points, culled from the</w:t></w:r>
</w:p>
<w:p>
<w:pPr><w:pStyle w:val="Normal"/></w:pPr>
<w:r><w:t xml:space="preserve">Fathers as a basis for discussion, the main interest in which</w:t></w:r>
</w:p>
<w:p>
<w:pPr><w:pStyle w:val="Normal"/></w:pPr>
<w:r><w:t xml:space="preserve">lles in the fact that there is no attempt to reconcile the</w:t></w:r>
</w:p>
<w:p>
<w:pPr><w:pStyle w:val="Normal"/></w:pPr>
<w:r><w:t xml:space="preserve">different opinions), includes the Dialectica, commentaries</w:t></w:r>
</w:p>
<w:p>
<w:pPr><w:pStyle w:val="Normal"/></w:pPr>
<w:r><w:t xml:space="preserve">on logical works of Aristotle, Porphyry and Boothius, and a</w:t></w:r>
</w:p>
<w:p>
<w:pPr><w:pStyle w:val="Normal"/></w:pPr>
<w:r><w:t xml:space="preserve">fragment, De Generibus et Speciebus.  The last-named</w:t></w:r>
</w:p>
<w:p>
<w:pPr><w:pStyle w:val="Normal"/></w:pPr>
<w:r><w:t xml:space="preserve">work, and also the psychological treatise De Inteilectibus,</w:t></w:r>
</w:p>
<w:p>
<w:pPr><w:pStyle w:val="Normal"/></w:pPr>
<w:r><w:t xml:space="preserve">published apart by Cousin (in Fragmens Philosophiques,</w:t></w:r>
</w:p>
<w:p>
<w:pPr><w:pStyle w:val="Normal"/></w:pPr>
<w:r><w:t xml:space="preserve">vol. ii.), are now considered upon internal evidence not to</w:t></w:r>
</w:p>
<w:p>
<w:pPr><w:pStyle w:val="Normal"/></w:pPr>
<w:r><w:t xml:space="preserve">be hy Abelard himself, but only to have sprung out of his</w:t></w:r>
</w:p>
<w:p>
<w:pPr><w:pStyle w:val="Normal"/></w:pPr>
<w:r><w:t xml:space="preserve">school.  A genuine work, the Glossulae super Porphyrium,</w:t></w:r>
</w:p>
<w:p>
<w:pPr><w:pStyle w:val="Normal"/></w:pPr>
<w:r><w:t xml:space="preserve">from which Charles de Remusat, in his classical monograph</w:t></w:r>
</w:p>
<w:p>
<w:pPr><w:pStyle w:val="Normal"/></w:pPr>
<w:r><w:t xml:space="preserve">Abelard (1845), has given extracts, remains in manuscript.</w:t></w:r>
</w:p>
<w:p>
<w:pPr><w:pStyle w:val="Normal"/></w:pPr>
<w:r><w:t xml:space="preserve">The general importance of Abelard lles in his having fixed</w:t></w:r>
</w:p>
<w:p>
<w:pPr><w:pStyle w:val="Normal"/></w:pPr>
<w:r><w:t xml:space="preserve">more decisively than any one before him the scholastic manner</w:t></w:r>
</w:p>
<w:p>
<w:pPr><w:pStyle w:val="Normal"/></w:pPr>
<w:r><w:t xml:space="preserve">of philosophizing, with its object of giving a formally</w:t></w:r>
</w:p>
<w:p>
<w:pPr><w:pStyle w:val="Normal"/></w:pPr>
<w:r><w:t xml:space="preserve">rational expression to the received ecclesiastical doctrine</w:t></w:r>
</w:p>
<w:p>
<w:pPr><w:pStyle w:val="Normal"/></w:pPr>
<w:r><w:t xml:space="preserve">. However his own particular interpretations may have been</w:t></w:r>
</w:p>
<w:p>
<w:pPr><w:pStyle w:val="Normal"/></w:pPr>
<w:r><w:t xml:space="preserve">condemned, they were conceived in essentially the same spirit</w:t></w:r>
</w:p>
<w:p>
<w:pPr><w:pStyle w:val="Normal"/></w:pPr>
<w:r><w:t xml:space="preserve">as the general scheme of thought afterwards elaborated in</w:t></w:r>
</w:p>
<w:p>
<w:pPr><w:pStyle w:val="Normal"/></w:pPr>
<w:r><w:t xml:space="preserve">the 13th century with approval from the heads of the church.</w:t></w:r>
</w:p>
<w:p>
<w:pPr><w:pStyle w:val="Normal"/></w:pPr>
<w:r><w:t xml:space="preserve">Through him was prepared in the Middle Age the ascendancy</w:t></w:r>
</w:p>
<w:p>
<w:pPr><w:pStyle w:val="Normal"/></w:pPr>
<w:r><w:t xml:space="preserve">of the philosophical authority of Aristotle, which became</w:t></w:r>
</w:p>
<w:p>
<w:pPr><w:pStyle w:val="Normal"/></w:pPr>
<w:r><w:t xml:space="preserve">firmly established in the half-century after his death, when</w:t></w:r>
</w:p>
<w:p>
<w:pPr><w:pStyle w:val="Normal"/></w:pPr>
<w:r><w:t xml:space="preserve">first the completed Organon, and gradually ail the other</w:t></w:r>
</w:p>
<w:p>
<w:pPr><w:pStyle w:val="Normal"/></w:pPr>
<w:r><w:t xml:space="preserve">works of the Greek thinker, came to be known in the schools:</w:t></w:r>
</w:p>
<w:p>
<w:pPr><w:pStyle w:val="Normal"/></w:pPr>
<w:r><w:t xml:space="preserve">before his time it was rather upon the authority of Plato</w:t></w:r>
</w:p>
<w:p>
<w:pPr><w:pStyle w:val="Normal"/></w:pPr>
<w:r><w:t xml:space="preserve">that the prevailing Realism sought to lean.  As regards his</w:t></w:r>
</w:p>
<w:p>
<w:pPr><w:pStyle w:val="Normal"/></w:pPr>
<w:r><w:t xml:space="preserve">so-called Conceptualism and his attitude to the question of</w:t></w:r>
</w:p>
<w:p>
<w:pPr><w:pStyle w:val="Normal"/></w:pPr>
<w:r><w:t xml:space="preserve">Universals, see SCHOLASTICISM.  Outside of his dialectic,</w:t></w:r>
</w:p>
<w:p>
<w:pPr><w:pStyle w:val="Normal"/></w:pPr>
<w:r><w:t xml:space="preserve">it was in ethics that Abelard showed greatest activity of</w:t></w:r>
</w:p>
<w:p>
<w:pPr><w:pStyle w:val="Normal"/></w:pPr>
<w:r><w:t xml:space="preserve">philosophical thought; laying very particular stress upon</w:t></w:r>
</w:p>
<w:p>
<w:pPr><w:pStyle w:val="Normal"/></w:pPr>
<w:r><w:t xml:space="preserve">the subjective intention as determining, if not the moral</w:t></w:r>
</w:p>
<w:p>
<w:pPr><w:pStyle w:val="Normal"/></w:pPr>
<w:r><w:t xml:space="preserve">character, at least the moral value, of human action.  His</w:t></w:r>
</w:p>
<w:p>
<w:pPr><w:pStyle w:val="Normal"/></w:pPr>
<w:r><w:t xml:space="preserve">thought in this direction, wherein he anticipated something</w:t></w:r>
</w:p>
<w:p>
<w:pPr><w:pStyle w:val="Normal"/></w:pPr>
<w:r><w:t xml:space="preserve">of modern speculation, is the more remarkable because his</w:t></w:r>
</w:p>
<w:p>
<w:pPr><w:pStyle w:val="Normal"/></w:pPr>
<w:r><w:t xml:space="preserve">scholastic successors accomplished least in the field of</w:t></w:r>
</w:p>
<w:p>
<w:pPr><w:pStyle w:val="Normal"/></w:pPr>
<w:r><w:t xml:space="preserve">morals, hardly venturing to bring the principles and rules of</w:t></w:r>
</w:p>
<w:p>
<w:pPr><w:pStyle w:val="Normal"/></w:pPr>
<w:r><w:t xml:space="preserve">conduct under pure philosophical discussion, even after the</w:t></w:r>
</w:p>
<w:p>
<w:pPr><w:pStyle w:val="Normal"/></w:pPr>
<w:r><w:t xml:space="preserve">great ethical inquiries of AAstotle became fully known to them.</w:t></w:r>
</w:p>
<w:p>
<w:pPr><w:pStyle w:val="Normal"/></w:pPr>
<w:r><w:t xml:space="preserve">BIBLIOGRAPHY --Abelard&apos;s own works remain the best sources</w:t></w:r>
</w:p>
<w:p>
<w:pPr><w:pStyle w:val="Normal"/></w:pPr>
<w:r><w:t xml:space="preserve">for his life, especially his Historia Culamitatum, an</w:t></w:r>
</w:p>
<w:p>
<w:pPr><w:pStyle w:val="Normal"/></w:pPr>
<w:r><w:t xml:space="preserve">autobiography, and the correspondence with Heloise.  The</w:t></w:r>
</w:p>
<w:p>
<w:pPr><w:pStyle w:val="Normal"/></w:pPr>
<w:r><w:t xml:space="preserve">literature on Abelard is extensive, but consists principally</w:t></w:r>
</w:p>
<w:p>
<w:pPr><w:pStyle w:val="Normal"/></w:pPr>
<w:r><w:t xml:space="preserve">of monographs on different aspects of his philosophy.</w:t></w:r>
</w:p>
<w:p>
<w:pPr><w:pStyle w:val="Normal"/></w:pPr>
<w:r><w:t xml:space="preserve">Charles de Remusat&apos;s Abelard (2 vols., 1845) remains an</w:t></w:r>
</w:p>
<w:p>
<w:pPr><w:pStyle w:val="Normal"/></w:pPr>
<w:r><w:t xml:space="preserve">authority; it must be distinguished from his drama Abelard</w:t></w:r>
</w:p>
<w:p>
<w:pPr><w:pStyle w:val="Normal"/></w:pPr>
<w:r><w:t xml:space="preserve">(1877), which is an attempt to give a picture of medieval</w:t></w:r>
</w:p>
<w:p>
<w:pPr><w:pStyle w:val="Normal"/></w:pPr>
<w:r><w:t xml:space="preserve">life.  McCabe&apos;s life of Abelard is written closely from</w:t></w:r>
</w:p>
<w:p>
<w:pPr><w:pStyle w:val="Normal"/></w:pPr>
<w:r><w:t xml:space="preserve">the sources. eee also the valuable analysis by Nitsch</w:t></w:r>
</w:p>
<w:p>
<w:pPr><w:pStyle w:val="Normal"/></w:pPr>
<w:r><w:t xml:space="preserve">in the article ``Abalard&apos;&apos; There is a comprehensive</w:t></w:r>
</w:p>
<w:p>
<w:pPr><w:pStyle w:val="Normal"/></w:pPr>
<w:r><w:t xml:space="preserve">bibliograohy in U. Chevalier, Repertoire des sources</w:t></w:r>
</w:p>
<w:p>
<w:pPr><w:pStyle w:val="Normal"/></w:pPr>
<w:r><w:t xml:space="preserve">hist. du moyen age, s. ``Abailard.&apos;&apos; (G. C. R.; J. T. S.*)</w:t></w:r>
</w:p>
<w:p>
<w:pPr><w:pStyle w:val="Normal"/></w:pPr>
<w:r><w:t xml:space="preserve">ABELIN, JOHANN PHILIPP, an early 16th-century German</w:t></w:r>
</w:p>
<w:p>
<w:pPr><w:pStyle w:val="Normal"/></w:pPr>
<w:r><w:t xml:space="preserve">chronicler, was born, probably, at Strasburg, and died there</w:t></w:r>
</w:p>
<w:p>
<w:pPr><w:pStyle w:val="Normal"/></w:pPr>
<w:r><w:t xml:space="preserve">between the years 1634 and 1637.  He wrote numerous histories</w:t></w:r>
</w:p>
<w:p>
<w:pPr><w:pStyle w:val="Normal"/></w:pPr>
<w:r><w:t xml:space="preserve">over the pseudonyms of Philipp Arlanibaus, Abeleus and Johann</w:t></w:r>
</w:p>
<w:p>
<w:pPr><w:pStyle w:val="Normal"/></w:pPr>
<w:r><w:t xml:space="preserve">Eudwighottfaed or Gotofredus, his earliest works of importance</w:t></w:r>
</w:p>
<w:p>
<w:pPr><w:pStyle w:val="Normal"/></w:pPr>
<w:r><w:t xml:space="preserve">being his history of the German wars of Gustavus Adolphus,</w:t></w:r>
</w:p>
<w:p>
<w:pPr><w:pStyle w:val="Normal"/></w:pPr>
<w:r><w:t xml:space="preserve">entitled Arma Suecica (pub. 1631-1634, in 12 parts), and the</w:t></w:r>
</w:p>
<w:p>
<w:pPr><w:pStyle w:val="Normal"/></w:pPr>
<w:r><w:t xml:space="preserve">Inventarium Sueciae (1632)---both compilations from existing</w:t></w:r>
</w:p>
<w:p>
<w:pPr><w:pStyle w:val="Normal"/></w:pPr>
<w:r><w:t xml:space="preserve">records.  His best known work is the Theatrum Europaeum, a</w:t></w:r>
</w:p>
<w:p>
<w:pPr><w:pStyle w:val="Normal"/></w:pPr>
<w:r><w:t xml:space="preserve">series of chronicles of the chief events in the history of the</w:t></w:r>
</w:p>
<w:p>
<w:pPr><w:pStyle w:val="Normal"/></w:pPr>
<w:r><w:t xml:space="preserve">world down to 1619.  He was himself responsible for the first two</w:t></w:r>
</w:p>
<w:p>
<w:pPr><w:pStyle w:val="Normal"/></w:pPr>
<w:r><w:t xml:space="preserve">volumes.  It was continued by various writers and grew to</w:t></w:r>
</w:p>
<w:p>
<w:pPr><w:pStyle w:val="Normal"/></w:pPr>
<w:r><w:t xml:space="preserve">twenty-one volumes (Frankf. 1633-1738).  The chief interest</w:t></w:r>
</w:p>
<w:p>
<w:pPr><w:pStyle w:val="Normal"/></w:pPr>
<w:r><w:t xml:space="preserve">of the work is, however, its illustration by the beautiful</w:t></w:r>
</w:p>
<w:p>
<w:pPr><w:pStyle w:val="Normal"/></w:pPr>
<w:r><w:t xml:space="preserve">copperplate engravings of Matthaus Meriah (1593-1650).  Abelin</w:t></w:r>
</w:p>
<w:p>
<w:pPr><w:pStyle w:val="Normal"/></w:pPr>
<w:r><w:t xml:space="preserve">also wrote a history of the antipodes, Historia Antipodum</w:t></w:r>
</w:p>
<w:p>
<w:pPr><w:pStyle w:val="Normal"/></w:pPr>
<w:r><w:t xml:space="preserve">(posthumously pub.  Frankf. 1655), and a history of India.</w:t></w:r>
</w:p>
<w:p>
<w:pPr><w:pStyle w:val="Normal"/></w:pPr>
<w:r><w:t xml:space="preserve">See G. Droysen, Arlanibaeus, Godofredus, Abelinus (Berlin,</w:t></w:r>
</w:p>
<w:p>
<w:pPr><w:pStyle w:val="Normal"/></w:pPr>
<w:r><w:t xml:space="preserve">1864); and notice in Allgemeine Deutsche Biographic.</w:t></w:r>
</w:p>
<w:p>
<w:pPr><w:pStyle w:val="Normal"/></w:pPr>
<w:r><w:t xml:space="preserve">ABENCERRAGES, a family or faction that is said to have held a</w:t></w:r>
</w:p>
<w:p>
<w:pPr><w:pStyle w:val="Normal"/></w:pPr>
<w:r><w:t xml:space="preserve">prominent position in the Moorish kingdom of Granada in the 15th</w:t></w:r>
</w:p>
<w:p>
<w:pPr><w:pStyle w:val="Normal"/></w:pPr>
<w:r><w:t xml:space="preserve">century.  The name appears to have been derived from the Yussuf</w:t></w:r>
</w:p>
<w:p>
<w:pPr><w:pStyle w:val="Normal"/></w:pPr>
<w:r><w:t xml:space="preserve">ben-Serragh, the head of the tribe in the time of Mahommed</w:t></w:r>
</w:p>
<w:p>
<w:pPr><w:pStyle w:val="Normal"/></w:pPr>
<w:r><w:t xml:space="preserve">VII., who did that sovereign good service in his struggles</w:t></w:r>
</w:p>
<w:p>
<w:pPr><w:pStyle w:val="Normal"/></w:pPr>
<w:r><w:t xml:space="preserve">to retain the crown of which he was three times deprived.</w:t></w:r>
</w:p>
<w:p>
<w:pPr><w:pStyle w:val="Normal"/></w:pPr>
<w:r><w:t xml:space="preserve">Nothing is known of the family with certainty; but the name</w:t></w:r>
</w:p>
<w:p>
<w:pPr><w:pStyle w:val="Normal"/></w:pPr>
<w:r><w:t xml:space="preserve">is familiar from the interesting romance of Gines Perez de</w:t></w:r>
</w:p>
<w:p>
<w:pPr><w:pStyle w:val="Normal"/></w:pPr>
<w:r><w:t xml:space="preserve">Hita, Guerras civiles de Granada, which celebrates the feuds</w:t></w:r>
</w:p>
<w:p>
<w:pPr><w:pStyle w:val="Normal"/></w:pPr>
<w:r><w:t xml:space="preserve">of the Abencerrages and the rival family of the Zegris, and</w:t></w:r>
</w:p>
<w:p>
<w:pPr><w:pStyle w:val="Normal"/></w:pPr>
<w:r><w:t xml:space="preserve">the cruel treatment to which the former were subjected.  J.</w:t></w:r>
</w:p>
<w:p>
<w:pPr><w:pStyle w:val="Normal"/></w:pPr>
<w:r><w:t xml:space="preserve">P. de Florian&apos;s Gonsalve de Cordoue and Chateaubriand&apos;s Le</w:t></w:r>
</w:p>
<w:p>
<w:pPr><w:pStyle w:val="Normal"/></w:pPr>
<w:r><w:t xml:space="preserve">dernier des Abencerrages are imitations of Perez de Hita&apos;s</w:t></w:r>
</w:p>
<w:p>
<w:pPr><w:pStyle w:val="Normal"/></w:pPr>
<w:r><w:t xml:space="preserve">work.  The hall of the Abencerrages in the Alhambra takes its</w:t></w:r>
</w:p>
<w:p>
<w:pPr><w:pStyle w:val="Normal"/></w:pPr>
<w:r><w:t xml:space="preserve">name from being the reputed scene of the massacre of the family.</w:t></w:r>
</w:p>
<w:p>
<w:pPr><w:pStyle w:val="Normal"/></w:pPr>
<w:r><w:t xml:space="preserve">ABENDANA, the name of two Jewish theologians. (1) JACOB</w:t></w:r>
</w:p>
<w:p>
<w:pPr><w:pStyle w:val="Normal"/></w:pPr>
<w:r><w:t xml:space="preserve">(1630-i695), rabbi (Hakham) of the Spanish Jews in London</w:t></w:r>
</w:p>
<w:p>
<w:pPr><w:pStyle w:val="Normal"/></w:pPr>
<w:r><w:t xml:space="preserve">from 1680.  Like his brother Isaac, Jacob Abendana had</w:t></w:r>
</w:p>
<w:p>
<w:pPr><w:pStyle w:val="Normal"/></w:pPr>
<w:r><w:t xml:space="preserve">a circle of Christian friends, and his reputation led to</w:t></w:r>
</w:p>
<w:p>
<w:pPr><w:pStyle w:val="Normal"/></w:pPr>
<w:r><w:t xml:space="preserve">the appreciation of Jewish scholarship by modern Christian</w:t></w:r>
</w:p>
<w:p>
<w:pPr><w:pStyle w:val="Normal"/></w:pPr>
<w:r><w:t xml:space="preserve">theologians. (2) ISAAC (c. 1650-1710), his brother,</w:t></w:r>
</w:p>
<w:p>
<w:pPr><w:pStyle w:val="Normal"/></w:pPr>
<w:r><w:t xml:space="preserve">taught Hebrew at Cambridge and afterwards at Oxford.  He</w:t></w:r>
</w:p>
<w:p>
<w:pPr><w:pStyle w:val="Normal"/></w:pPr>
<w:r><w:t xml:space="preserve">compiled a Jewish Calendar and wrote Discourses on the</w:t></w:r>
</w:p>
<w:p>
<w:pPr><w:pStyle w:val="Normal"/></w:pPr>
<w:r><w:t xml:space="preserve">Ecclesiastical and Civil Polity of the Jews (1706).</w:t></w:r>
</w:p>
<w:p>
<w:pPr><w:pStyle w:val="Normal"/></w:pPr>
<w:r><w:t xml:space="preserve">ABENEZRA (IBN EZRA), or, to give him his full name,</w:t></w:r>
</w:p>
<w:p>
<w:pPr><w:pStyle w:val="Normal"/></w:pPr>
<w:r><w:t xml:space="preserve">ABRAHAM BEN MEIR IBN Ezra (1092 or 1093-1167), one of the</w:t></w:r>
</w:p>
<w:p>
<w:pPr><w:pStyle w:val="Normal"/></w:pPr>
<w:r><w:t xml:space="preserve">most distinguished Jewish men of letters and writers of the</w:t></w:r>
</w:p>
<w:p>
<w:pPr><w:pStyle w:val="Normal"/></w:pPr>
<w:r><w:t xml:space="preserve">Middle Ages.  He was born at Toledo, left his native land of</w:t></w:r>
</w:p>
<w:p>
<w:pPr><w:pStyle w:val="Normal"/></w:pPr>
<w:r><w:t xml:space="preserve">Spain before 1140 and led until his death a life of restless</w:t></w:r>
</w:p>
<w:p>
<w:pPr><w:pStyle w:val="Normal"/></w:pPr>
<w:r><w:t xml:space="preserve">wandering, which took him to North Africa, Egypt, Italy (Rome,</w:t></w:r>
</w:p>
<w:p>
<w:pPr><w:pStyle w:val="Normal"/></w:pPr>
<w:r><w:t xml:space="preserve">Lucca, Mantua,Verona), Southern France(Narbonne, Beziers),</w:t></w:r>
</w:p>
<w:p>
<w:pPr><w:pStyle w:val="Normal"/></w:pPr>
<w:r><w:t xml:space="preserve">Northern France (Dreux), England (London), and back again to</w:t></w:r>
</w:p>
<w:p>
<w:pPr><w:pStyle w:val="Normal"/></w:pPr>
<w:r><w:t xml:space="preserve">the South of France.  At several of the above-named places he</w:t></w:r>
</w:p>
<w:p>
<w:pPr><w:pStyle w:val="Normal"/></w:pPr>
<w:r><w:t xml:space="preserve">remained for some time and developed a rich literary activity.</w:t></w:r>
</w:p>
<w:p>
<w:pPr><w:pStyle w:val="Normal"/></w:pPr>
<w:r><w:t xml:space="preserve">In his native land he had already gained the reputation of a</w:t></w:r>
</w:p>
<w:p>
<w:pPr><w:pStyle w:val="Normal"/></w:pPr>
<w:r><w:t xml:space="preserve">distinguished poet and thinker; but, apart from his poems, his</w:t></w:r>
</w:p>
<w:p>
<w:pPr><w:pStyle w:val="Normal"/></w:pPr>
<w:r><w:t xml:space="preserve">works, which were all in the Hebrew language, were written</w:t></w:r>
</w:p>
<w:p>
<w:pPr><w:pStyle w:val="Normal"/></w:pPr>
<w:r><w:t xml:space="preserve">in the second period of his life.  With these works, which</w:t></w:r>
</w:p>
<w:p>
<w:pPr><w:pStyle w:val="Normal"/></w:pPr>
<w:r><w:t xml:space="preserve">cover in the first instance the field of Hebrew philology and</w:t></w:r>
</w:p>
<w:p>
<w:pPr><w:pStyle w:val="Normal"/></w:pPr>
<w:r><w:t xml:space="preserve">Biblical exegesis, he fulfilled the great mission of making</w:t></w:r>
</w:p>
<w:p>
<w:pPr><w:pStyle w:val="Normal"/></w:pPr>
<w:r><w:t xml:space="preserve">accessible to the Jews of Christian Europe the treasures of</w:t></w:r>
</w:p>
<w:p>
<w:pPr><w:pStyle w:val="Normal"/></w:pPr>
<w:r><w:t xml:space="preserve">knowledge enshrined in the works written in Arabic which he</w:t></w:r>
</w:p>
<w:p>
<w:pPr><w:pStyle w:val="Normal"/></w:pPr>
<w:r><w:t xml:space="preserve">had brought with him from Spain.  His grammatical writings,</w:t></w:r>
</w:p>
<w:p>
<w:pPr><w:pStyle w:val="Normal"/></w:pPr>
<w:r><w:t xml:space="preserve">among which Moznayim (``the Scales,&apos;&apos; written in 1140)</w:t></w:r>
</w:p>
<w:p>
<w:pPr><w:pStyle w:val="Normal"/></w:pPr>
<w:r><w:t xml:space="preserve">and Zahot (``Correctness,&apos;&apos; written in 1141) are the most</w:t></w:r>
</w:p>
<w:p>
<w:pPr><w:pStyle w:val="Normal"/></w:pPr>
<w:r><w:t xml:space="preserve">valuable, were the first expositions of Hebrew grammar in the</w:t></w:r>
</w:p>
<w:p>
<w:pPr><w:pStyle w:val="Normal"/></w:pPr>
<w:r><w:t xml:space="preserve">Hebrew language, in which the system of Hayyuj and his school</w:t></w:r>
</w:p>
<w:p>
<w:pPr><w:pStyle w:val="Normal"/></w:pPr>
<w:r><w:t xml:space="preserve">prevailed.  He also translated into Hebrew the two writings</w:t></w:r>
</w:p>
<w:p>
<w:pPr><w:pStyle w:val="Normal"/></w:pPr>
<w:r><w:t xml:space="preserve">of Hayyuj in which the foundations of the system were laid</w:t></w:r>
</w:p>
<w:p>
<w:pPr><w:pStyle w:val="Normal"/></w:pPr>
<w:r><w:t xml:space="preserve">down.  Of greater original value than the grammatical works of</w:t></w:r>
</w:p>
<w:p>
<w:pPr><w:pStyle w:val="Normal"/></w:pPr>
<w:r><w:t xml:space="preserve">Ibn Ezra are his commentaries on most of the books of the Bible,</w:t></w:r>
</w:p>
<w:p>
<w:pPr><w:pStyle w:val="Normal"/></w:pPr>
<w:r><w:t xml:space="preserve">of which, however, a part has been lost.  His reputation as an</w:t></w:r>
</w:p>
<w:p>
<w:pPr><w:pStyle w:val="Normal"/></w:pPr>
<w:r><w:t xml:space="preserve">intelligent and acute expounder of the Bible was founded on his</w:t></w:r>
</w:p>
<w:p>
<w:pPr><w:pStyle w:val="Normal"/></w:pPr>
<w:r><w:t xml:space="preserve">commentary on the Pentateuch, of which the great popularity is</w:t></w:r>
</w:p>
<w:p>
<w:pPr><w:pStyle w:val="Normal"/></w:pPr>
<w:r><w:t xml:space="preserve">evidenced by the numerous commentaries which were written upon</w:t></w:r>
</w:p>
<w:p>
<w:pPr><w:pStyle w:val="Normal"/></w:pPr>
<w:r><w:t xml:space="preserve">it.  In the editions of this commentary (ed. princ.  Naples</w:t></w:r>
</w:p>
<w:p>
<w:pPr><w:pStyle w:val="Normal"/></w:pPr>
<w:r><w:t xml:space="preserve">1488) the commentary on the book of Exodus is replaced by a</w:t></w:r>
</w:p>
<w:p>
<w:pPr><w:pStyle w:val="Normal"/></w:pPr>
<w:r><w:t xml:space="preserve">second, more complete commentary of Ibn Ezra, while the</w:t></w:r>
</w:p>
<w:p>
<w:pPr><w:pStyle w:val="Normal"/></w:pPr>
<w:r><w:t xml:space="preserve">first and shorter commentary on Exodus was not printed until</w:t></w:r>
</w:p>
<w:p>
<w:pPr><w:pStyle w:val="Normal"/></w:pPr>
<w:r><w:t xml:space="preserve">1840.  The great editions of the Hebrew Bible with rabbinical</w:t></w:r>
</w:p>
<w:p>
<w:pPr><w:pStyle w:val="Normal"/></w:pPr>
<w:r><w:t xml:space="preserve">commentaries contained also commentaries of Ibn Ezra&apos;s on the</w:t></w:r>
</w:p>
<w:p>
<w:pPr><w:pStyle w:val="Normal"/></w:pPr>
<w:r><w:t xml:space="preserve">following books of the Bible: Isaiah, Minor Prophets, Psalms,</w:t></w:r>
</w:p>
<w:p>
<w:pPr><w:pStyle w:val="Normal"/></w:pPr>
<w:r><w:t xml:space="preserve">Job, Pentateuch, Daniel; the commentaries on Proverbs, Ezra</w:t></w:r>
</w:p>
<w:p>
<w:pPr><w:pStyle w:val="Normal"/></w:pPr>
<w:r><w:t xml:space="preserve">and Nehemiah which bear his name are really those of Moses</w:t></w:r>
</w:p>
<w:p>
<w:pPr><w:pStyle w:val="Normal"/></w:pPr>
<w:r><w:t xml:space="preserve">Kimhi.  Ibn Ezra wrote a second commentary on Genesis as he</w:t></w:r>
</w:p>
<w:p>
<w:pPr><w:pStyle w:val="Normal"/></w:pPr>
<w:r><w:t xml:space="preserve">had done on Exodus, but this was never finished.  There are</w:t></w:r>
</w:p>
<w:p>
<w:pPr><w:pStyle w:val="Normal"/></w:pPr>
<w:r><w:t xml:space="preserve">second commentaries also by him on the Song of Songs, Esther and</w:t></w:r>
</w:p>
<w:p>
<w:pPr><w:pStyle w:val="Normal"/></w:pPr>
<w:r><w:t xml:space="preserve">Daniel.  The importance of the exegesis of Ibn Ezra consists</w:t></w:r>
</w:p>
<w:p>
<w:pPr><w:pStyle w:val="Normal"/></w:pPr>
<w:r><w:t xml:space="preserve">in the fact that it aims at arriving at the simple sense of</w:t></w:r>
</w:p>
<w:p>
<w:pPr><w:pStyle w:val="Normal"/></w:pPr>
<w:r><w:t xml:space="preserve">the text, the so-called ``Pesohat,&apos;&apos; on solid grammatical</w:t></w:r>
</w:p>
<w:p>
<w:pPr><w:pStyle w:val="Normal"/></w:pPr>
<w:r><w:t xml:space="preserve">principles.  It is in this that, although he takes a great</w:t></w:r>
</w:p>
<w:p>
<w:pPr><w:pStyle w:val="Heading1"/></w:pPr>
<w:r><w:t>part of his exegetical material from his predecessors, the</w:t></w:r>
</w:p>
<w:p>
<w:pPr><w:pStyle w:val="Normal"/></w:pPr>
<w:r><w:t xml:space="preserve">originality of his mind is everywhere apparent, an originality</w:t></w:r>
</w:p>
<w:p>
<w:pPr><w:pStyle w:val="Normal"/></w:pPr>
<w:r><w:t xml:space="preserve">which displays itself also in the witty and lively language of his</w:t></w:r>
</w:p>
<w:p>
<w:pPr><w:pStyle w:val="Normal"/></w:pPr>
<w:r><w:t xml:space="preserve">commentaries.  To judge by certain signs, of which Spinoza</w:t></w:r>
</w:p>
<w:p>
<w:pPr><w:pStyle w:val="Normal"/></w:pPr>
<w:r><w:t xml:space="preserve">in his Tractatus Theologico Politicus makes use, Ibn</w:t></w:r>
</w:p>
<w:p>
<w:pPr><w:pStyle w:val="Normal"/></w:pPr>
<w:r><w:t xml:space="preserve">Ezra belongs to the earliest pioneers of the criticism of the</w:t></w:r>
</w:p>
<w:p>
<w:pPr><w:pStyle w:val="Normal"/></w:pPr>
<w:r><w:t xml:space="preserve">Pentateuch.  His commentaries, and especially some of the longer</w:t></w:r>
</w:p>
<w:p>
<w:pPr><w:pStyle w:val="Normal"/></w:pPr>
<w:r><w:t xml:space="preserve">excursuses, contain numerous contributions to the philosophy of</w:t></w:r>
</w:p>
<w:p>
<w:pPr><w:pStyle w:val="Normal"/></w:pPr>
<w:r><w:t xml:space="preserve">religion.  One writing in particular, which belongs to this</w:t></w:r>
</w:p>
<w:p>
<w:pPr><w:pStyle w:val="Normal"/></w:pPr>
<w:r><w:t xml:space="preserve">province (Vosod Mera), on the division and the reasons</w:t></w:r>
</w:p>
<w:p>
<w:pPr><w:pStyle w:val="Normal"/></w:pPr>
<w:r><w:t xml:space="preserve">for the Biblical commandments, he wrote in 1158 for a London</w:t></w:r>
</w:p>
<w:p>
<w:pPr><w:pStyle w:val="Normal"/></w:pPr>
<w:r><w:t xml:space="preserve">friend, Joseph b.  Jacob.  In his philosophical thought</w:t></w:r>
</w:p>
<w:p>
<w:pPr><w:pStyle w:val="Normal"/></w:pPr>
<w:r><w:t xml:space="preserve">neo-platonic ideas prevail; and astrology also had a place</w:t></w:r>
</w:p>
<w:p>
<w:pPr><w:pStyle w:val="Normal"/></w:pPr>
<w:r><w:t xml:space="preserve">in his view of the world.  He also wrote various works on</w:t></w:r>
</w:p>
<w:p>
<w:pPr><w:pStyle w:val="Normal"/></w:pPr>
<w:r><w:t xml:space="preserve">mathematical and astronomical subjects.  Ibn Ezra died on the</w:t></w:r>
</w:p>
<w:p>
<w:pPr><w:pStyle w:val="Normal"/></w:pPr>
<w:r><w:t xml:space="preserve">28th of January 1167, the place of his death being unknown.</w:t></w:r>
</w:p>
<w:p>
<w:pPr><w:pStyle w:val="Normal"/></w:pPr>
<w:r><w:t xml:space="preserve">Among the literature on Ibn Ezra may be especially mentioned:</w:t></w:r>
</w:p>
<w:p>
<w:pPr><w:pStyle w:val="Normal"/></w:pPr>
<w:r><w:t xml:space="preserve">M. Friedlander, Essays on the Writings of Ibn Ezra</w:t></w:r>
</w:p>
<w:p>
<w:pPr><w:pStyle w:val="Normal"/></w:pPr>
<w:r><w:t xml:space="preserve">(London, 1877); W. Bacher, Abraham Ibn Ezra als Grammatiker</w:t></w:r>
</w:p>
<w:p>
<w:pPr><w:pStyle w:val="Normal"/></w:pPr>
<w:r><w:t xml:space="preserve">(Strasburg, 1882); M. Steinschneider, Abraham Ibn Ezra, in</w:t></w:r>
</w:p>
<w:p>
<w:pPr><w:pStyle w:val="Normal"/></w:pPr>
<w:r><w:t xml:space="preserve">the Zeitschrift fur Mathematik und Physik, Band xxv.,</w:t></w:r>
</w:p>
<w:p>
<w:pPr><w:pStyle w:val="Normal"/></w:pPr>
<w:r><w:t xml:space="preserve">Supplement; D. Rosin, Die Religions philosophie Abraham</w:t></w:r>
</w:p>
<w:p>
<w:pPr><w:pStyle w:val="Normal"/></w:pPr>
<w:r><w:t xml:space="preserve">Ibn Ezra&apos;s in vols. xiii. and xliii. of the Monatschrift</w:t></w:r>
</w:p>
<w:p>
<w:pPr><w:pStyle w:val="Normal"/></w:pPr>
<w:r><w:t xml:space="preserve">fur Geschichte und Wissenschaft des Judenthums; his Diwan</w:t></w:r>
</w:p>
<w:p>
<w:pPr><w:pStyle w:val="Normal"/></w:pPr>
<w:r><w:t xml:space="preserve">was edited by T. Egers (Berlin, 1886): a collection of his</w:t></w:r>
</w:p>
<w:p>
<w:pPr><w:pStyle w:val="Normal"/></w:pPr>
<w:r><w:t xml:space="preserve">poems, Reime und Gedichte, with translation and commentary,</w:t></w:r>
</w:p>
<w:p>
<w:pPr><w:pStyle w:val="Normal"/></w:pPr>
<w:r><w:t xml:space="preserve">were published by D. Rosin in several annual reports of the</w:t></w:r>
</w:p>
<w:p>
<w:pPr><w:pStyle w:val="Normal"/></w:pPr>
<w:r><w:t xml:space="preserve">Jewish theological Seminary at Breslau (1885--1894). (W. BA.)</w:t></w:r>
</w:p>
<w:p>
<w:pPr><w:pStyle w:val="Normal"/></w:pPr>
<w:r><w:t xml:space="preserve">ABENSBERG, a town of Germany, in the kingdom of Bavaria, on the</w:t></w:r>
</w:p>
<w:p>
<w:pPr><w:pStyle w:val="Normal"/></w:pPr>
<w:r><w:t xml:space="preserve">Abens, a tributary of the Danube, 18 m.  S.W. of Regensburg,</w:t></w:r>
</w:p>
<w:p>
<w:pPr><w:pStyle w:val="Normal"/></w:pPr>
<w:r><w:t xml:space="preserve">with which it is connected by rail.  Pop. 2202.  It has a small</w:t></w:r>
</w:p>
<w:p>
<w:pPr><w:pStyle w:val="Normal"/></w:pPr>
<w:r><w:t xml:space="preserve">spa, and its sulphur baths are resorted to for the cure of</w:t></w:r>
</w:p>
<w:p>
<w:pPr><w:pStyle w:val="Normal"/></w:pPr>
<w:r><w:t xml:space="preserve">rheumatism and gout.  The town is the Castra Abusina of the</w:t></w:r>
</w:p>
<w:p>
<w:pPr><w:pStyle w:val="Normal"/></w:pPr>
<w:r><w:t xml:space="preserve">Romans, and Roman remains exist in the neighbourhood.  Here,</w:t></w:r>
</w:p>
<w:p>
<w:pPr><w:pStyle w:val="Normal"/></w:pPr>
<w:r><w:t xml:space="preserve">on the 20th of April 1809, Napoleon gained a signal victory</w:t></w:r>
</w:p>
<w:p>
<w:pPr><w:pStyle w:val="Normal"/></w:pPr>
<w:r><w:t xml:space="preserve">over the Austrians under the Archduke Louis and Genegal Hiller.</w:t></w:r>
</w:p>
<w:p>
<w:pPr><w:pStyle w:val="Normal"/></w:pPr>
<w:r><w:t xml:space="preserve">ABEOKUTA, a town of British West Africa in the Egba</w:t></w:r>
</w:p>
<w:p>
<w:pPr><w:pStyle w:val="Normal"/></w:pPr>
<w:r><w:t xml:space="preserve">division of the Yoruba country, S. Nigeria Protectorate.  It</w:t></w:r>
</w:p>
<w:p>
<w:pPr><w:pStyle w:val="Normal"/></w:pPr>
<w:r><w:t xml:space="preserve">is situated in 7 deg.  8&apos; N., 3 deg.  25&apos; E., on the Ogun river, 64</w:t></w:r>
</w:p>
<w:p>
<w:pPr><w:pStyle w:val="Normal"/></w:pPr>
<w:r><w:t xml:space="preserve">m.  N. of Lagos by railway, or 81 m. by water.  Population,</w:t></w:r>
</w:p>
<w:p>
<w:pPr><w:pStyle w:val="Normal"/></w:pPr>
<w:r><w:t xml:space="preserve">approximately 60,000.  Abeokuta lies in a beautiful and fertile</w:t></w:r>
</w:p>
<w:p>
<w:pPr><w:pStyle w:val="Normal"/></w:pPr>
<w:r><w:t xml:space="preserve">country, the surface of which is broken by masses of grey</w:t></w:r>
</w:p>
<w:p>
<w:pPr><w:pStyle w:val="Normal"/></w:pPr>
<w:r><w:t xml:space="preserve">granite.  It is spread over an extensive area, being surrounded</w:t></w:r>
</w:p>
<w:p>
<w:pPr><w:pStyle w:val="Normal"/></w:pPr>
<w:r><w:t xml:space="preserve">by mud walls 18 miles in extent.  Abeokuta, under the reforming</w:t></w:r>
</w:p>
<w:p>
<w:pPr><w:pStyle w:val="Normal"/></w:pPr>
<w:r><w:t xml:space="preserve">zeal of its native rulers, was largely transformed during</w:t></w:r>
</w:p>
<w:p>
<w:pPr><w:pStyle w:val="Normal"/></w:pPr>
<w:r><w:t xml:space="preserve">the early years of the 20th century.  Law courts, government</w:t></w:r>
</w:p>
<w:p>
<w:pPr><w:pStyle w:val="Normal"/></w:pPr>
<w:r><w:t xml:space="preserve">offices, prisons and a substantial bridge were built, good roads</w:t></w:r>
</w:p>
<w:p>
<w:pPr><w:pStyle w:val="Normal"/></w:pPr>
<w:r><w:t xml:space="preserve">made, and a large staff of sanitary inspectors appointed.</w:t></w:r>
</w:p>
<w:p>
<w:pPr><w:pStyle w:val="Normal"/></w:pPr>
<w:r><w:t xml:space="preserve">The streets are generally narrow and the houses built of</w:t></w:r>
</w:p>
<w:p>
<w:pPr><w:pStyle w:val="Normal"/></w:pPr>
<w:r><w:t xml:space="preserve">mud.  There are numerous markets in which a considerable</w:t></w:r>
</w:p>
<w:p>
<w:pPr><w:pStyle w:val="Normal"/></w:pPr>
<w:r><w:t xml:space="preserve">trade is done in native products and articles of European</w:t></w:r>
</w:p>
<w:p>
<w:pPr><w:pStyle w:val="Normal"/></w:pPr>
<w:r><w:t xml:space="preserve">manufacture.  Palm-oil, timber, rubber, yams and shea-butter</w:t></w:r>
</w:p>
<w:p>
<w:pPr><w:pStyle w:val="Normal"/></w:pPr>
<w:r><w:t xml:space="preserve">are the chief articles of trade.  An official newspaper is</w:t></w:r>
</w:p>
<w:p>
<w:pPr><w:pStyle w:val="Normal"/></w:pPr>
<w:r><w:t xml:space="preserve">published in the Yoruba and English languages.  Abeokuta is</w:t></w:r>
</w:p>
<w:p>
<w:pPr><w:pStyle w:val="Normal"/></w:pPr>
<w:r><w:t xml:space="preserve">the headquarters of the Yoruba branch of the Church Missionary</w:t></w:r>
</w:p>
<w:p>
<w:pPr><w:pStyle w:val="Normal"/></w:pPr>
<w:r><w:t xml:space="preserve">Societyi and British and American, missionaries have met</w:t></w:r>
</w:p>
<w:p>
<w:pPr><w:pStyle w:val="Normal"/></w:pPr>
<w:r><w:t xml:space="preserve">with some success in their civilizing work.  In their schools</w:t></w:r>
</w:p>
<w:p>
<w:pPr><w:pStyle w:val="Normal"/></w:pPr>
<w:r><w:t xml:space="preserve">about 2000 children are educated.  The completion in 1899</w:t></w:r>
</w:p>
<w:p>
<w:pPr><w:pStyle w:val="Normal"/></w:pPr>
<w:r><w:t xml:space="preserve">of a railway from Lagos helped not only to develop trade</w:t></w:r>
</w:p>
<w:p>
<w:pPr><w:pStyle w:val="Normal"/></w:pPr>
<w:r><w:t xml:space="preserve">but to strengthen generally the influence of the white man.</w:t></w:r>
</w:p>
<w:p>
<w:pPr><w:pStyle w:val="Normal"/></w:pPr>
<w:r><w:t xml:space="preserve">Abeokuta (a word meaning ``under the rocks,&apos;&apos;), dating</w:t></w:r>
</w:p>
<w:p>
<w:pPr><w:pStyle w:val="Normal"/></w:pPr>
<w:r><w:t xml:space="preserve">from 1825, owes its origin to the incessant inroads of the</w:t></w:r>
</w:p>
<w:p>
<w:pPr><w:pStyle w:val="Normal"/></w:pPr>
<w:r><w:t xml:space="preserve">slavehunters from Dahomey and Ibadan, which compelled the</w:t></w:r>
</w:p>
<w:p>
<w:pPr><w:pStyle w:val="Normal"/></w:pPr>
<w:r><w:t xml:space="preserve">village populations scattered over the open country to take</w:t></w:r>
</w:p>
<w:p>
<w:pPr><w:pStyle w:val="Normal"/></w:pPr>
<w:r><w:t xml:space="preserve">refuge in this rocky stronghold against the common enemy.</w:t></w:r>
</w:p>
<w:p>
<w:pPr><w:pStyle w:val="Normal"/></w:pPr>
<w:r><w:t xml:space="preserve">Here they constituted themselves a free confederacy of many</w:t></w:r>
</w:p>
<w:p>
<w:pPr><w:pStyle w:val="Normal"/></w:pPr>
<w:r><w:t xml:space="preserve">distinct tribal groups, each preserving the traditional customs,</w:t></w:r>
</w:p>
<w:p>
<w:pPr><w:pStyle w:val="Normal"/></w:pPr>
<w:r><w:t xml:space="preserve">religious rites and even the very names of their original</w:t></w:r>
</w:p>
<w:p>
<w:pPr><w:pStyle w:val="Normal"/></w:pPr>
<w:r><w:t xml:space="preserve">villages.  Yet this apparently incoherent aggregate held</w:t></w:r>
</w:p>
<w:p>
<w:pPr><w:pStyle w:val="Normal"/></w:pPr>
<w:r><w:t xml:space="preserve">its ground successfully against the powerful armies often</w:t></w:r>
</w:p>
<w:p>
<w:pPr><w:pStyle w:val="Normal"/></w:pPr>
<w:r><w:t xml:space="preserve">sent against the place both by the king of Dahomey from the</w:t></w:r>
</w:p>
<w:p>
<w:pPr><w:pStyle w:val="Normal"/></w:pPr>
<w:r><w:t xml:space="preserve">west, and by the people of Ibadan from the north-east.</w:t></w:r>
</w:p>
<w:p>
<w:pPr><w:pStyle w:val="Normal"/></w:pPr>
<w:r><w:t xml:space="preserve">The district of Egba, of which Abeokuta is the capital, has</w:t></w:r>
</w:p>
<w:p>
<w:pPr><w:pStyle w:val="Normal"/></w:pPr>
<w:r><w:t xml:space="preserve">an estimated area of 3000 sq. m. and a population of some</w:t></w:r>
</w:p>
<w:p>
<w:pPr><w:pStyle w:val="Normal"/></w:pPr>
<w:r><w:t xml:space="preserve">350,000.  It is officially known as the Abeokuta province</w:t></w:r>
</w:p>
<w:p>
<w:pPr><w:pStyle w:val="Normal"/></w:pPr>
<w:r><w:t xml:space="preserve">of the Southern Nigeria protectorate.  It contains luxuriant</w:t></w:r>
</w:p>
<w:p>
<w:pPr><w:pStyle w:val="Normal"/></w:pPr>
<w:r><w:t xml:space="preserve">forests of palmtrees, which constitute the chief wealth of the</w:t></w:r>
</w:p>
<w:p>
<w:pPr><w:pStyle w:val="Normal"/></w:pPr>
<w:r><w:t xml:space="preserve">people.  Cotton is indigenous and is grown for export.</w:t></w:r>
</w:p>
<w:p>
<w:pPr><w:pStyle w:val="Normal"/></w:pPr>
<w:r><w:t xml:space="preserve">The Egbas are enthusiastic farmers and have largely adopted</w:t></w:r>
</w:p>
<w:p>
<w:pPr><w:pStyle w:val="Normal"/></w:pPr>
<w:r><w:t xml:space="preserve">European methods of cultivation.  They are very tenacious</w:t></w:r>
</w:p>
<w:p>
<w:pPr><w:pStyle w:val="Normal"/></w:pPr>
<w:r><w:t xml:space="preserve">of their independence, but accepted without opposition the</w:t></w:r>
</w:p>
<w:p>
<w:pPr><w:pStyle w:val="Normal"/></w:pPr>
<w:r><w:t xml:space="preserve">establishment of a British protectorate, which, while putting</w:t></w:r>
</w:p>
<w:p>
<w:pPr><w:pStyle w:val="Normal"/></w:pPr>
<w:r><w:t xml:space="preserve">a stop to inter-tribal warfare, slave-raiding and human</w:t></w:r>
</w:p>
<w:p>
<w:pPr><w:pStyle w:val="Normal"/></w:pPr>
<w:r><w:t xml:space="preserve">sacrifices, and exercising control over the working of the</w:t></w:r>
</w:p>
<w:p>
<w:pPr><w:pStyle w:val="Normal"/></w:pPr>
<w:r><w:t xml:space="preserve">laws, left to the people executive and fiscal autonomy.  The</w:t></w:r>
</w:p>
<w:p>
<w:pPr><w:pStyle w:val="Normal"/></w:pPr>
<w:r><w:t xml:space="preserve">administration is in the hands of a council of chiefs which</w:t></w:r>
</w:p>
<w:p>
<w:pPr><w:pStyle w:val="Normal"/></w:pPr>
<w:r><w:t xml:space="preserve">exercises legislative, executive and, to some extent, judicial</w:t></w:r>
</w:p>
<w:p>
<w:pPr><w:pStyle w:val="Normal"/></w:pPr>
<w:r><w:t xml:space="preserve">functions.  The president of this council, or ruling chief</w:t></w:r>
</w:p>
<w:p>
<w:pPr><w:pStyle w:val="Normal"/></w:pPr>
<w:r><w:t xml:space="preserve">---chosen from among the members of the two recognized</w:t></w:r>
</w:p>
<w:p>
<w:pPr><w:pStyle w:val="Normal"/></w:pPr>
<w:r><w:t xml:space="preserve">reigning families--is called the alake, a word meaning</w:t></w:r>
</w:p>
<w:p>
<w:pPr><w:pStyle w:val="Normal"/></w:pPr>
<w:r><w:t xml:space="preserve">``Lord of Ake,&apos;&apos; Ake being the name of the principal quarter</w:t></w:r>
</w:p>
<w:p>
<w:pPr><w:pStyle w:val="Normal"/></w:pPr>
<w:r><w:t xml:space="preserve">of Abeokuta, after the ancient capital of the Egbas.  The</w:t></w:r>
</w:p>
<w:p>
<w:pPr><w:pStyle w:val="Normal"/></w:pPr>
<w:r><w:t xml:space="preserve">alake exercises little authority apart from his councili</w:t></w:r>
</w:p>
<w:p>
<w:pPr><w:pStyle w:val="Normal"/></w:pPr>
<w:r><w:t xml:space="preserve">the form of government being largely democratic.  Revenue</w:t></w:r>
</w:p>
<w:p>
<w:pPr><w:pStyle w:val="Normal"/></w:pPr>
<w:r><w:t xml:space="preserve">is chiefly derived from tolls or import duties.  A visit</w:t></w:r>
</w:p>
<w:p>
<w:pPr><w:pStyle w:val="Normal"/></w:pPr>
<w:r><w:t xml:space="preserve">of the alake to England in 1904 evoked considerable public</w:t></w:r>
</w:p>
<w:p>
<w:pPr><w:pStyle w:val="Normal"/></w:pPr>
<w:r><w:t xml:space="preserve">interest.  The chief was a man of great intelligence, eager</w:t></w:r>
</w:p>
<w:p>
<w:pPr><w:pStyle w:val="Normal"/></w:pPr>
<w:r><w:t xml:space="preserve">to study western civilization, and an ardent agriculturist.</w:t></w:r>
</w:p>
<w:p>
<w:pPr><w:pStyle w:val="Normal"/></w:pPr>
<w:r><w:t xml:space="preserve">See the publications of the Church Missionary Society</w:t></w:r>
</w:p>
<w:p>
<w:pPr><w:pStyle w:val="Normal"/></w:pPr>
<w:r><w:t xml:space="preserve">dealing mith the Voruba Mission; Col. A. B. Ellis&apos;s The</w:t></w:r>
</w:p>
<w:p>
<w:pPr><w:pStyle w:val="Normal"/></w:pPr>
<w:r><w:t xml:space="preserve">Yoruba-speaking Peoples (London, 1894); and an article on</w:t></w:r>
</w:p>
<w:p>
<w:pPr><w:pStyle w:val="Normal"/></w:pPr>
<w:r><w:t xml:space="preserve">Abeokuta by Sir Wm. Macgregor, sometime governor of Lagos, in</w:t></w:r>
</w:p>
<w:p>
<w:pPr><w:pStyle w:val="Normal"/></w:pPr>
<w:r><w:t xml:space="preserve">the African Society&apos;s Journal, No. xii. (London, July 1904).</w:t></w:r>
</w:p>
<w:p>
<w:pPr><w:pStyle w:val="Normal"/></w:pPr>
<w:r><w:t xml:space="preserve">ABERAVON, a contributory parliamentary and municipal borough</w:t></w:r>
</w:p>
<w:p>
<w:pPr><w:pStyle w:val="Normal"/></w:pPr>
<w:r><w:t xml:space="preserve">of Glamorganshire, Wales, on the right bank of the Avon, near</w:t></w:r>
</w:p>
<w:p>
<w:pPr><w:pStyle w:val="Normal"/></w:pPr>
<w:r><w:t xml:space="preserve">its mouth in Swansea Bay, 11 m.  E.S.E. of Swansea and 170 m.</w:t></w:r>
</w:p>
<w:p>
<w:pPr><w:pStyle w:val="Normal"/></w:pPr>
<w:r><w:t xml:space="preserve">from London by rail.  Pop. (1901) 7553.  It has a station on the</w:t></w:r>
</w:p>
<w:p>
<w:pPr><w:pStyle w:val="Normal"/></w:pPr>
<w:r><w:t xml:space="preserve">Rhondda and Swansea Bay railway and is also on the main South</w:t></w:r>
</w:p>
<w:p>
<w:pPr><w:pStyle w:val="Normal"/></w:pPr>
<w:r><w:t xml:space="preserve">Wales line of the Great Western, whose station, however, is at</w:t></w:r>
</w:p>
<w:p>
<w:pPr><w:pStyle w:val="Normal"/></w:pPr>
<w:r><w:t xml:space="preserve">fort Talbot, half a mile distant, on the eastern side of the</w:t></w:r>
</w:p>
<w:p>
<w:pPr><w:pStyle w:val="Normal"/></w:pPr>
<w:r><w:t xml:space="preserve">Avon.  The valley of the Avon, which is only some three miles</w:t></w:r>
</w:p>
<w:p>
<w:pPr><w:pStyle w:val="Normal"/></w:pPr>
<w:r><w:t xml:space="preserve">long, has been from about 1840 a place of much metallurgical</w:t></w:r>
</w:p>
<w:p>
<w:pPr><w:pStyle w:val="Normal"/></w:pPr>
<w:r><w:t xml:space="preserve">activity.  There are tinplate and engineering works within</w:t></w:r>
</w:p>
<w:p>
<w:pPr><w:pStyle w:val="Normal"/></w:pPr>
<w:r><w:t xml:space="preserve">the borough.  At Cwmavon, 1 1/2 m. to the north-east, are</w:t></w:r>
</w:p>
<w:p>
<w:pPr><w:pStyle w:val="Normal"/></w:pPr>
<w:r><w:t xml:space="preserve">large copper-smelting works established in 1838, acquired</w:t></w:r>
</w:p>
<w:p>
<w:pPr><w:pStyle w:val="Normal"/></w:pPr>
<w:r><w:t xml:space="preserve">two years later by the governor and Company of the Copper</w:t></w:r>
</w:p>
<w:p>
<w:pPr><w:pStyle w:val="Normal"/></w:pPr>
<w:r><w:t xml:space="preserve">Miners of England, but now worked by the Rio Tinto Copper</w:t></w:r>
</w:p>
<w:p>
<w:pPr><w:pStyle w:val="Normal"/></w:pPr>
<w:r><w:t xml:space="preserve">Company.  There are also iron, steel and tinplate works</w:t></w:r>
</w:p>
<w:p>
<w:pPr><w:pStyle w:val="Normal"/></w:pPr>
<w:r><w:t xml:space="preserve">both at Cwmavon and at Port Talbot, which, when it consisted</w:t></w:r>
</w:p>
<w:p>
<w:pPr><w:pStyle w:val="Normal"/></w:pPr>
<w:r><w:t xml:space="preserve">only of docks, was appropriately known as Aberavon Port.</w:t></w:r>
</w:p>
<w:p>
<w:pPr><w:pStyle w:val="Normal"/></w:pPr>
<w:r><w:t xml:space="preserve">The town derives its name from the river Avon (corrupted from</w:t></w:r>
</w:p>
<w:p>
<w:pPr><w:pStyle w:val="Normal"/></w:pPr>
<w:r><w:t xml:space="preserve">Avan), which also gave its name to a medieval lordship.  On</w:t></w:r>
</w:p>
<w:p>
<w:pPr><w:pStyle w:val="Normal"/></w:pPr>
<w:r><w:t xml:space="preserve">the Norman conquest at Glamorgan, Caradoc, the eldest son of</w:t></w:r>
</w:p>
<w:p>
<w:pPr><w:pStyle w:val="Normal"/></w:pPr>
<w:r><w:t xml:space="preserve">the defeated prince, Lestyn ab Gwrgan, continued to hold this</w:t></w:r>
</w:p>
<w:p>
<w:pPr><w:pStyle w:val="Normal"/></w:pPr>
<w:r><w:t xml:space="preserve">lordship, and for the defence of thc passage of the river</w:t></w:r>
</w:p>
<w:p>
<w:pPr><w:pStyle w:val="Normal"/></w:pPr>
<w:r><w:t xml:space="preserve">built here a castle whose foundations are still traceable in</w:t></w:r>
</w:p>
<w:p>
<w:pPr><w:pStyle w:val="Normal"/></w:pPr>
<w:r><w:t xml:space="preserve">a field near the churchyard.  His descendants (who from the</w:t></w:r>
</w:p>
<w:p>
<w:pPr><w:pStyle w:val="Normal"/></w:pPr>
<w:r><w:t xml:space="preserve">13th century onwards styled themselves De Avan or D&apos;Avene)</w:t></w:r>
</w:p>
<w:p>
<w:pPr><w:pStyle w:val="Normal"/></w:pPr>
<w:r><w:t xml:space="preserve">established, under line protection of the castle, a chartered</w:t></w:r>
</w:p>
<w:p>
<w:pPr><w:pStyle w:val="Normal"/></w:pPr>
<w:r><w:t xml:space="preserve">town, which in 1372 received a further charter from Edward</w:t></w:r>
</w:p>
<w:p>
<w:pPr><w:pStyle w:val="Normal"/></w:pPr>
<w:r><w:t xml:space="preserve">Le Despenser, into whose family the lordship had come on an</w:t></w:r>
</w:p>
<w:p>
<w:pPr><w:pStyle w:val="Normal"/></w:pPr>
<w:r><w:t xml:space="preserve">exchange of lands.  In modern times these charters were not</w:t></w:r>
</w:p>
<w:p>
<w:pPr><w:pStyle w:val="Normal"/></w:pPr>
<w:r><w:t xml:space="preserve">acted upon, the town being deemed a borough by prescription,</w:t></w:r>
</w:p>
<w:p>
<w:pPr><w:pStyle w:val="Normal"/></w:pPr>
<w:r><w:t xml:space="preserve">but in 1861 it was incorporated under the Municipal</w:t></w:r>
</w:p>
<w:p>
<w:pPr><w:pStyle w:val="Normal"/></w:pPr>
<w:r><w:t xml:space="preserve">Corporations Act. Since 1832 it has belonged to the Swansea</w:t></w:r>
</w:p>
<w:p>
<w:pPr><w:pStyle w:val="Normal"/></w:pPr>
<w:r><w:t xml:space="preserve">parliamentary district of boroughs, uniting with Kenfig,</w:t></w:r>
</w:p>
<w:p>
<w:pPr><w:pStyle w:val="Normal"/></w:pPr>
<w:r><w:t xml:space="preserve">Loughor, Neath and Swansea to return one member; but in 1885</w:t></w:r>
</w:p>
<w:p>
<w:pPr><w:pStyle w:val="Normal"/></w:pPr>
<w:r><w:t xml:space="preserve">the older portion of Swansea was given a separate member.</w:t></w:r>
</w:p>
<w:p>
<w:pPr><w:pStyle w:val="Normal"/></w:pPr>
<w:r><w:t xml:space="preserve">ABERCARN, an urban district in the southern parliamentary</w:t></w:r>
</w:p>
<w:p>
<w:pPr><w:pStyle w:val="Normal"/></w:pPr>
<w:r><w:t xml:space="preserve">division of Monmouthshire, England, 10 m.  N.W. of Newport</w:t></w:r>
</w:p>
<w:p>
<w:pPr><w:pStyle w:val="Normal"/></w:pPr>
<w:r><w:t xml:space="preserve">by the Great Western railway.  Pop. (1901) 12,607.  There are</w:t></w:r>
</w:p>
<w:p>
<w:pPr><w:pStyle w:val="Normal"/></w:pPr>
<w:r><w:t xml:space="preserve">collieries, ironworks and tinplate works in the district;</w:t></w:r>
</w:p>
<w:p>
<w:pPr><w:pStyle w:val="Normal"/></w:pPr>
<w:r><w:t xml:space="preserve">the town, which lies in the middle portion of the Ebbw</w:t></w:r>
</w:p>
<w:p>
<w:pPr><w:pStyle w:val="Normal"/></w:pPr>
<w:r><w:t xml:space="preserve">valley, being situated on the south-eastern flank of the</w:t></w:r>
</w:p>
<w:p>
<w:pPr><w:pStyle w:val="Normal"/></w:pPr>
<w:r><w:t xml:space="preserve">great mining region of Glamorganshire and Monmouthshire.</w:t></w:r>
</w:p>
<w:p>
<w:pPr><w:pStyle w:val="Normal"/></w:pPr>
<w:r><w:t xml:space="preserve">ABERCORN, JAMES HAMILTON, 1ST EARL OF (c. 1575-1618),</w:t></w:r>
</w:p>
<w:p>
<w:pPr><w:pStyle w:val="Normal"/></w:pPr>
<w:r><w:t xml:space="preserve">was the eldest son of Claud Hamilton, Lord Paisley (4th son of</w:t></w:r>
</w:p>
<w:p>
<w:pPr><w:pStyle w:val="Normal"/></w:pPr>
<w:r><w:t xml:space="preserve">James, 2nd earl of Arran, and duke of Chatelherault), and of</w:t></w:r>
</w:p>
<w:p>
<w:pPr><w:pStyle w:val="Normal"/></w:pPr>
<w:r><w:t xml:space="preserve">Margaret, daughter of George, 6th Lord Seton.  He was made</w:t></w:r>
</w:p>
<w:p>
<w:pPr><w:pStyle w:val="Normal"/></w:pPr>
<w:r><w:t xml:space="preserve">sheriff of Linlithgow in 1600, received large grants of</w:t></w:r>
</w:p>
<w:p>
<w:pPr><w:pStyle w:val="Normal"/></w:pPr>
<w:r><w:t xml:space="preserve">lands in Scotland and Ireland, was created in 1603 baron of</w:t></w:r>
</w:p>
<w:p>
<w:pPr><w:pStyle w:val="Normal"/></w:pPr>
<w:r><w:t xml:space="preserve">Abercorn, and on the 10th of July 1606 was rewarded for his</w:t></w:r>
</w:p>
<w:p>
<w:pPr><w:pStyle w:val="Normal"/></w:pPr>
<w:r><w:t xml:space="preserve">services in the matter of the union by being made earl of</w:t></w:r>
</w:p>
<w:p>
<w:pPr><w:pStyle w:val="Normal"/></w:pPr>
<w:r><w:t xml:space="preserve">Abercorn, and Baron Hamilton, Mount Castle and Kilpatrick.</w:t></w:r>
</w:p>
<w:p>
<w:pPr><w:pStyle w:val="Normal"/></w:pPr>
<w:r><w:t xml:space="preserve">He married Marion, daughter of Thomas, 5th Lord Boyd, and left</w:t></w:r>
</w:p>
<w:p>
<w:pPr><w:pStyle w:val="Normal"/></w:pPr>
<w:r><w:t xml:space="preserve">five sons, of whom the eldest, baron of Strabane, succeeded</w:t></w:r>
</w:p>
<w:p>
<w:pPr><w:pStyle w:val="Normal"/></w:pPr>
<w:r><w:t xml:space="preserve">him as 2nd earl of Abercorn.  He died on the 23rd of March</w:t></w:r>
</w:p>
<w:p>
<w:pPr><w:pStyle w:val="Normal"/></w:pPr>
<w:r><w:t xml:space="preserve">1618.  The title of Abercorn, held by the head of the Hamilton</w:t></w:r>
</w:p>
<w:p>
<w:pPr><w:pStyle w:val="Normal"/></w:pPr>
<w:r><w:t xml:space="preserve">family, became a marquessate in 1790, and a dukedom in 1868,</w:t></w:r>
</w:p>
<w:p>
<w:pPr><w:pStyle w:val="Normal"/></w:pPr>
<w:r><w:t xml:space="preserve">the 2nd duke of Abercorn (b. 1838) being a prominent Unionist</w:t></w:r>
</w:p>
<w:p>
<w:pPr><w:pStyle w:val="Normal"/></w:pPr>
<w:r><w:t xml:space="preserve">politician and chairman of the British South Africa Company.</w:t></w:r>
</w:p>
<w:p>
<w:pPr><w:pStyle w:val="Normal"/></w:pPr>
<w:r><w:t xml:space="preserve">ABERCROMRIE, JOHN (1780-1844), Scottish physician, was the son</w:t></w:r>
</w:p>
<w:p>
<w:pPr><w:pStyle w:val="Normal"/></w:pPr>
<w:r><w:t xml:space="preserve">of the Rev. George Abercrombie of Aberdeen, where he was born</w:t></w:r>
</w:p>
<w:p>
<w:pPr><w:pStyle w:val="Normal"/></w:pPr>
<w:r><w:t xml:space="preserve">on the 10th of October 1780.  He was educated at the university</w:t></w:r>
</w:p>
<w:p>
<w:pPr><w:pStyle w:val="Normal"/></w:pPr>
<w:r><w:t xml:space="preserve">of Edinburgh, and after graduating as M.D. in 1803 he settled</w:t></w:r>
</w:p>
<w:p>
<w:pPr><w:pStyle w:val="Normal"/></w:pPr>
<w:r><w:t xml:space="preserve">down to practise in that city, where he soon attained a leading</w:t></w:r>
</w:p>
<w:p>
<w:pPr><w:pStyle w:val="Normal"/></w:pPr>
<w:r><w:t xml:space="preserve">position.  From 1816 he published various papers in the</w:t></w:r>
</w:p>
<w:p>
<w:pPr><w:pStyle w:val="Normal"/></w:pPr>
<w:r><w:t xml:space="preserve">Edinburgh Medical and Surgical Journal, which formed the basis</w:t></w:r>
</w:p>
<w:p>
<w:pPr><w:pStyle w:val="Normal"/></w:pPr>
<w:r><w:t xml:space="preserve">of his Pathological and Practical Researches on Diseases</w:t></w:r>
</w:p>
<w:p>
<w:pPr><w:pStyle w:val="Normal"/></w:pPr>
<w:r><w:t xml:space="preserve">of the Brain and Spinal Cord, and of his Researches on the</w:t></w:r>
</w:p>
<w:p>
<w:pPr><w:pStyle w:val="Normal"/></w:pPr>
<w:r><w:t xml:space="preserve">Diseases of the Intestinal Canal, Liver and other Viscera</w:t></w:r>
</w:p>
<w:p>
<w:pPr><w:pStyle w:val="Normal"/></w:pPr>
<w:r><w:t xml:space="preserve">of the Abdomen, both published in 1828.  He also found time</w:t></w:r>
</w:p>
<w:p>
<w:pPr><w:pStyle w:val="Normal"/></w:pPr>
<w:r><w:t xml:space="preserve">for philosophical speculations, and in 1830 he published his</w:t></w:r>
</w:p>
<w:p>
<w:pPr><w:pStyle w:val="Normal"/></w:pPr>
<w:r><w:t xml:space="preserve">Inquiries concerning the Intellectual Powers of Man and</w:t></w:r>
</w:p>
<w:p>
<w:pPr><w:pStyle w:val="Normal"/></w:pPr>
<w:r><w:t xml:space="preserve">the Investigation of Truth, which was followed in 1833 by a</w:t></w:r>
</w:p>
<w:p>
<w:pPr><w:pStyle w:val="Normal"/></w:pPr>
<w:r><w:t xml:space="preserve">sequel, The Philosophy of the Moral Feelings.  Both works,</w:t></w:r>
</w:p>
<w:p>
<w:pPr><w:pStyle w:val="Normal"/></w:pPr>
<w:r><w:t xml:space="preserve">though showing little originality of thought, achieved wide</w:t></w:r>
</w:p>
<w:p>
<w:pPr><w:pStyle w:val="Normal"/></w:pPr>
<w:r><w:t xml:space="preserve">popularity.  He died at Edinburgh on the 14th of November 1844.</w:t></w:r>
</w:p>
<w:p>
<w:pPr><w:pStyle w:val="Normal"/></w:pPr>
<w:r><w:t xml:space="preserve">ABERCROMBY, DAVID, a 17th-century Scottish physician who</w:t></w:r>
</w:p>
<w:p>
<w:pPr><w:pStyle w:val="Normal"/></w:pPr>
<w:r><w:t xml:space="preserve">was sufficiently noteworthy a generation after the probable</w:t></w:r>
</w:p>
<w:p>
<w:pPr><w:pStyle w:val="Normal"/></w:pPr>
<w:r><w:t xml:space="preserve">date of his death to have his Nova Medicinae Praxis</w:t></w:r>
</w:p>
<w:p>
<w:pPr><w:pStyle w:val="Normal"/></w:pPr>
<w:r><w:t xml:space="preserve">reprinted at Paris in 1740.  During his lifetime his Tuta</w:t></w:r>
</w:p>
<w:p>
<w:pPr><w:pStyle w:val="Normal"/></w:pPr>
<w:r><w:t xml:space="preserve">ac efficax luis venereae saepe absque mercurio ac semper</w:t></w:r>
</w:p>
<w:p>
<w:pPr><w:pStyle w:val="Normal"/></w:pPr>
<w:r><w:t xml:space="preserve">absque salivatione mercuriali curando methodus (1684) was</w:t></w:r>
</w:p>
<w:p>
<w:pPr><w:pStyle w:val="Normal"/></w:pPr>
<w:r><w:t xml:space="preserve">translated into French, Dutch and German.  Two other works</w:t></w:r>
</w:p>
<w:p>
<w:pPr><w:pStyle w:val="Normal"/></w:pPr>
<w:r><w:t xml:space="preserve">by him were De Pulsus Variatione (London, 1685), and Ars</w:t></w:r>
</w:p>
<w:p>
<w:pPr><w:pStyle w:val="Normal"/></w:pPr>
<w:r><w:t xml:space="preserve">explorandi medicas facultates plantarum ex solo sapore</w:t></w:r>
</w:p>
<w:p>
<w:pPr><w:pStyle w:val="Normal"/></w:pPr>
<w:r><w:t xml:space="preserve">(London, 1685--1688); His Opuscula were collected in 1687.</w:t></w:r>
</w:p>
<w:p>
<w:pPr><w:pStyle w:val="Normal"/></w:pPr>
<w:r><w:t xml:space="preserve">These professional writings gave him a place and memorial</w:t></w:r>
</w:p>
<w:p>
<w:pPr><w:pStyle w:val="Normal"/></w:pPr>
<w:r><w:t xml:space="preserve">in A. von Haller&apos;s Bibliotheca Medicinae Pract. (4 vols.</w:t></w:r>
</w:p>
<w:p>
<w:pPr><w:pStyle w:val="Normal"/></w:pPr>
<w:r><w:t xml:space="preserve">8vo, 1779, tom. iii. p. 619); but he claims notice rather by</w:t></w:r>
</w:p>
<w:p>
<w:pPr><w:pStyle w:val="Normal"/></w:pPr>
<w:r><w:t xml:space="preserve">his remarkable controversial books in theology and philosophy</w:t></w:r>
</w:p>
<w:p>
<w:pPr><w:pStyle w:val="Normal"/></w:pPr>
<w:r><w:t xml:space="preserve">than by his medical writings.  Bred up at Douai as a Jesuit,</w:t></w:r>
</w:p>
<w:p>
<w:pPr><w:pStyle w:val="Normal"/></w:pPr>
<w:r><w:t xml:space="preserve">he abjured popery, and published Protestancy proved Safer</w:t></w:r>
</w:p>
<w:p>
<w:pPr><w:pStyle w:val="Normal"/></w:pPr>
<w:r><w:t xml:space="preserve">than Popery&apos; (London, 1686).  But the most noticeable of</w:t></w:r>
</w:p>
<w:p>
<w:pPr><w:pStyle w:val="Normal"/></w:pPr>
<w:r><w:t xml:space="preserve">his productions is A Discourse of Wit (London, 1685), which</w:t></w:r>
</w:p>
<w:p>
<w:pPr><w:pStyle w:val="Normal"/></w:pPr>
<w:r><w:t xml:space="preserve">contains some of the most characteristic and most definitely-put</w:t></w:r>
</w:p>
<w:p>
<w:pPr><w:pStyle w:val="Normal"/></w:pPr>
<w:r><w:t xml:space="preserve">metaphysical opinions of the Scottish philosophy of common</w:t></w:r>
</w:p>
<w:p>
<w:pPr><w:pStyle w:val="Normal"/></w:pPr>
<w:r><w:t xml:space="preserve">sense.  It was followed by Academia Scientiarum (1687),</w:t></w:r>
</w:p>
<w:p>
<w:pPr><w:pStyle w:val="Normal"/></w:pPr>
<w:r><w:t xml:space="preserve">and by A Moral Treatise of the Power. of Interest (1690),</w:t></w:r>
</w:p>
<w:p>
<w:pPr><w:pStyle w:val="Normal"/></w:pPr>
<w:r><w:t xml:space="preserve">dedicated to Robert Boyle. A Short Account of Scots Divines,</w:t></w:r>
</w:p>
<w:p>
<w:pPr><w:pStyle w:val="Normal"/></w:pPr>
<w:r><w:t xml:space="preserve">by him, was printed at Edinburgh in 1833, edited by James</w:t></w:r>
</w:p>
<w:p>
<w:pPr><w:pStyle w:val="Normal"/></w:pPr>
<w:r><w:t xml:space="preserve">Maidment.  The exact date of his death is unknown, but</w:t></w:r>
</w:p>
<w:p>
<w:pPr><w:pStyle w:val="Normal"/></w:pPr>
<w:r><w:t xml:space="preserve">according to Haller he was alive early in the 18th century.</w:t></w:r>
</w:p>
<w:p>
<w:pPr><w:pStyle w:val="Normal"/></w:pPr>
<w:r><w:t xml:space="preserve">ABERCROMBY, PATRICK (1656-c.1716), Scottish physician</w:t></w:r>
</w:p>
<w:p>
<w:pPr><w:pStyle w:val="Normal"/></w:pPr>
<w:r><w:t xml:space="preserve">and antiquarian, was the third son of Alexander Abercromby</w:t></w:r>
</w:p>
<w:p>
<w:pPr><w:pStyle w:val="Normal"/></w:pPr>
<w:r><w:t xml:space="preserve">of Fetterneir in Aberdeenshire, and brother of Francis</w:t></w:r>
</w:p>
<w:p>
<w:pPr><w:pStyle w:val="Normal"/></w:pPr>
<w:r><w:t xml:space="preserve">Abercromby, who was created Lord Glasford by James II. He</w:t></w:r>
</w:p>
<w:p>
<w:pPr><w:pStyle w:val="Normal"/></w:pPr>
<w:r><w:t xml:space="preserve">was born at Forfar in 1656 apparently of a Roman Catholic</w:t></w:r>
</w:p>
<w:p>
<w:pPr><w:pStyle w:val="Normal"/></w:pPr>
<w:r><w:t xml:space="preserve">family.  Intending to become a doctor of medicine he entered</w:t></w:r>
</w:p>
<w:p>
<w:pPr><w:pStyle w:val="Normal"/></w:pPr>
<w:r><w:t xml:space="preserve">the university of St Andrews, where he took his degree of M.D.</w:t></w:r>
</w:p>
<w:p>
<w:pPr><w:pStyle w:val="Normal"/></w:pPr>
<w:r><w:t xml:space="preserve">in 1685, but apparently he spent most of his youthful years</w:t></w:r>
</w:p>
<w:p>
<w:pPr><w:pStyle w:val="Normal"/></w:pPr>
<w:r><w:t xml:space="preserve">abroad.  It has been stated that he attended the university of</w:t></w:r>
</w:p>
<w:p>
<w:pPr><w:pStyle w:val="Normal"/></w:pPr>
<w:r><w:t xml:space="preserve">Paris.  The Discourse of Wit (1685), sometimes assigned to</w:t></w:r>
</w:p>
<w:p>
<w:pPr><w:pStyle w:val="Normal"/></w:pPr>
<w:r><w:t xml:space="preserve">him, belongs to Dr David Abercromby (q.v.).  On his return to</w:t></w:r>
</w:p>
<w:p>
<w:pPr><w:pStyle w:val="Normal"/></w:pPr>
<w:r><w:t xml:space="preserve">Scotland, he is found practising as a physician in Edinburgh,</w:t></w:r>
</w:p>
<w:p>
<w:pPr><w:pStyle w:val="Normal"/></w:pPr>
<w:r><w:t xml:space="preserve">where, besides his professional duties, he gave himself with</w:t></w:r>
</w:p>
<w:p>
<w:pPr><w:pStyle w:val="Normal"/></w:pPr>
<w:r><w:t xml:space="preserve">characteristic zeal to the study of antiquities.  He was</w:t></w:r>
</w:p>
<w:p>
<w:pPr><w:pStyle w:val="Normal"/></w:pPr>
<w:r><w:t xml:space="preserve">appointed physician to James II. in 1685, but the revolution</w:t></w:r>
</w:p>
<w:p>
<w:pPr><w:pStyle w:val="Normal"/></w:pPr>
<w:r><w:t xml:space="preserve">deprived him of the post.  Living during the agitations for</w:t></w:r>
</w:p>
<w:p>
<w:pPr><w:pStyle w:val="Normal"/></w:pPr>
<w:r><w:t xml:space="preserve">the union of England and Scotland, he took part in the war</w:t></w:r>
</w:p>
<w:p>
<w:pPr><w:pStyle w:val="Normal"/></w:pPr>
<w:r><w:t xml:space="preserve">of pamphlets inaugurated and sustained by prominent men on</w:t></w:r>
</w:p>
<w:p>
<w:pPr><w:pStyle w:val="Normal"/></w:pPr>
<w:r><w:t xml:space="preserve">both sides of the Border, and he crossed swords with no less</w:t></w:r>
</w:p>
<w:p>
<w:pPr><w:pStyle w:val="Normal"/></w:pPr>
<w:r><w:t xml:space="preserve">redoubtable a foe than Daniel Defoe in his Advantages of the</w:t></w:r>
</w:p>
<w:p>
<w:pPr><w:pStyle w:val="Normal"/></w:pPr>
<w:r><w:t xml:space="preserve">Act of Security compared with those of the intended Union</w:t></w:r>
</w:p>
<w:p>
<w:pPr><w:pStyle w:val="Normal"/></w:pPr>
<w:r><w:t xml:space="preserve">(Edinburgh, 1707), and A Vindication of the Same against Mr</w:t></w:r>
</w:p>
<w:p>
<w:pPr><w:pStyle w:val="Normal"/></w:pPr>
<w:r><w:t xml:space="preserve">De Foe (ibid.). A minor literary work of Abercromby&apos;s was</w:t></w:r>
</w:p>
<w:p>
<w:pPr><w:pStyle w:val="Normal"/></w:pPr>
<w:r><w:t xml:space="preserve">a translation of Jean de Beaugue&apos;s Histoire de la guerre</w:t></w:r>
</w:p>
<w:p>
<w:pPr><w:pStyle w:val="Normal"/></w:pPr>
<w:r><w:t xml:space="preserve">d&apos;Ecosse (1556) which appeared in 1707.  But the work with</w:t></w:r>
</w:p>
<w:p>
<w:pPr><w:pStyle w:val="Normal"/></w:pPr>
<w:r><w:t xml:space="preserve">which his name is permanently associated is his Martial</w:t></w:r>
</w:p>
<w:p>
<w:pPr><w:pStyle w:val="Normal"/></w:pPr>
<w:r><w:t xml:space="preserve">Atchievements of the Scots Nation, issued in two large folios,</w:t></w:r>
</w:p>
<w:p>
<w:pPr><w:pStyle w:val="Normal"/></w:pPr>
<w:r><w:t xml:space="preserve">vol. i. 1711, vol. ii. 1716.  In the title-page and preface</w:t></w:r>
</w:p>
<w:p>
<w:pPr><w:pStyle w:val="Normal"/></w:pPr>
<w:r><w:t xml:space="preserve">to vol. i. he disclaims the ambition of being an historian,</w:t></w:r>
</w:p>
<w:p>
<w:pPr><w:pStyle w:val="Normal"/></w:pPr>
<w:r><w:t xml:space="preserve">but in vol. ii., in title-page and preface alike, he is no</w:t></w:r>
</w:p>
<w:p>
<w:pPr><w:pStyle w:val="Normal"/></w:pPr>
<w:r><w:t xml:space="preserve">longer a simple biographer, but an historian.  Even though,</w:t></w:r>
</w:p>
<w:p>
<w:pPr><w:pStyle w:val="Normal"/></w:pPr>
<w:r><w:t xml:space="preserve">read in the light of later researches, much of the first volume</w:t></w:r>
</w:p>
<w:p>
<w:pPr><w:pStyle w:val="Normal"/></w:pPr>
<w:r><w:t xml:space="preserve">must necessarily be relegated to the region of the mythical,</w:t></w:r>
</w:p>
<w:p>
<w:pPr><w:pStyle w:val="Normal"/></w:pPr>
<w:r><w:t xml:space="preserve">none the less was the historian a laborious and accomplished</w:t></w:r>
</w:p>
<w:p>
<w:pPr><w:pStyle w:val="Normal"/></w:pPr>
<w:r><w:t xml:space="preserve">reader and investigator of all available authorities, as well</w:t></w:r>
</w:p>
<w:p>
<w:pPr><w:pStyle w:val="Normal"/></w:pPr>
<w:r><w:t xml:space="preserve">manuscript as printed; while the roll of names of those who</w:t></w:r>
</w:p>
<w:p>
<w:pPr><w:pStyle w:val="Normal"/></w:pPr>
<w:r><w:t xml:space="preserve">aided him includes every man of note in Scotland at the time,</w:t></w:r>
</w:p>
<w:p>
<w:pPr><w:pStyle w:val="Normal"/></w:pPr>
<w:r><w:t xml:space="preserve">from Sir Thomas Craig and Sir George Mackenzie to Alexander</w:t></w:r>
</w:p>
<w:p>
<w:pPr><w:pStyle w:val="Normal"/></w:pPr>
<w:r><w:t xml:space="preserve">Nisbet and Thomas Ruddiman.  The date of Abercromby&apos;s death is</w:t></w:r>
</w:p>
<w:p>
<w:pPr><w:pStyle w:val="Normal"/></w:pPr>
<w:r><w:t xml:space="preserve">uncertain.  It has been variously assigned to 1715, 1716,</w:t></w:r>
</w:p>
<w:p>
<w:pPr><w:pStyle w:val="Normal"/></w:pPr>
<w:r><w:t xml:space="preserve">1720, and 1726, and it is usually added that he left a widow</w:t></w:r>
</w:p>
<w:p>
<w:pPr><w:pStyle w:val="Normal"/></w:pPr>
<w:r><w:t xml:space="preserve">in great poverty.  The Memoirs of the Abercrombys, commonly</w:t></w:r>
</w:p>
<w:p>
<w:pPr><w:pStyle w:val="Normal"/></w:pPr>
<w:r><w:t xml:space="preserve">attributed to him, do not appear to have been published.</w:t></w:r>
</w:p>
<w:p>
<w:pPr><w:pStyle w:val="Normal"/></w:pPr>
<w:r><w:t xml:space="preserve">See Robert Chambers, Eminent Scotsmen, s.v.; William Anderson,</w:t></w:r>
</w:p>
<w:p>
<w:pPr><w:pStyle w:val="Normal"/></w:pPr>
<w:r><w:t xml:space="preserve">Scottish Nation, s.v.; Alexander Chalmers, Biog.  Dict.,</w:t></w:r>
</w:p>
<w:p>
<w:pPr><w:pStyle w:val="Normal"/></w:pPr>
<w:r><w:t xml:space="preserve">s.v.; George Chalmers, Life of Ruddiman; William Lee, Defoe.</w:t></w:r>
</w:p>
<w:p>
<w:pPr><w:pStyle w:val="Normal"/></w:pPr>
<w:r><w:t xml:space="preserve">ABERCROMBY, SIR RALPH (1734-1801), British lieutenant-general,</w:t></w:r>
</w:p>
<w:p>
<w:pPr><w:pStyle w:val="Normal"/></w:pPr>
<w:r><w:t xml:space="preserve">was the eldest son of George Abercromby of Tillibody,</w:t></w:r>
</w:p>
<w:p>
<w:pPr><w:pStyle w:val="Normal"/></w:pPr>
<w:r><w:t xml:space="preserve">Clackmannanshire, and was born in October 1734.  Educated</w:t></w:r>
</w:p>
<w:p>
<w:pPr><w:pStyle w:val="Normal"/></w:pPr>
<w:r><w:t xml:space="preserve">at Rugby and Edinburgh University, in 1754 he was sent to</w:t></w:r>
</w:p>
<w:p>
<w:pPr><w:pStyle w:val="Normal"/></w:pPr>
<w:r><w:t xml:space="preserve">Leipzig to study civil law, with a view to his proceeding</w:t></w:r>
</w:p>
<w:p>
<w:pPr><w:pStyle w:val="Normal"/></w:pPr>
<w:r><w:t xml:space="preserve">to the Scotch bar.  On returning from the continent he</w:t></w:r>
</w:p>
<w:p>
<w:pPr><w:pStyle w:val="Normal"/></w:pPr>
<w:r><w:t xml:space="preserve">expressed a strong preference for the military profession,</w:t></w:r>
</w:p>
<w:p>
<w:pPr><w:pStyle w:val="Normal"/></w:pPr>
<w:r><w:t xml:space="preserve">and a cornet&apos;s commission was accordingly obtained for him</w:t></w:r>
</w:p>
<w:p>
<w:pPr><w:pStyle w:val="Normal"/></w:pPr>
<w:r><w:t xml:space="preserve">(March 1756) in the 3rd Dragoon Guards.  He served with his</w:t></w:r>
</w:p>
<w:p>
<w:pPr><w:pStyle w:val="Normal"/></w:pPr>
<w:r><w:t xml:space="preserve">regiment in the Seven Years&apos; war, and the opportunity thus</w:t></w:r>
</w:p>
<w:p>
<w:pPr><w:pStyle w:val="Normal"/></w:pPr>
<w:r><w:t xml:space="preserve">afforded him of studying the methods of the great Frederick</w:t></w:r>
</w:p>
<w:p>
<w:pPr><w:pStyle w:val="Normal"/></w:pPr>
<w:r><w:t xml:space="preserve">moulded his military character and formed his tactical</w:t></w:r>
</w:p>
<w:p>
<w:pPr><w:pStyle w:val="Normal"/></w:pPr>
<w:r><w:t xml:space="preserve">ideas.  He rose through the intermediate grades to the rank of</w:t></w:r>
</w:p>
<w:p>
<w:pPr><w:pStyle w:val="Normal"/></w:pPr>
<w:r><w:t xml:space="preserve">lieutenant-colonel of the regiment (1773) and brevet colonel</w:t></w:r>
</w:p>
<w:p>
<w:pPr><w:pStyle w:val="Normal"/></w:pPr>
<w:r><w:t xml:space="preserve">in 1780, and in 1781 he became colonel of the King&apos;s Irish</w:t></w:r>
</w:p>
<w:p>
<w:pPr><w:pStyle w:val="Normal"/></w:pPr>
<w:r><w:t xml:space="preserve">infantry.  When that regiment was disbanded in 1783 he retired upon</w:t></w:r>
</w:p>
<w:p>
<w:pPr><w:pStyle w:val="Normal"/></w:pPr>
<w:r><w:t xml:space="preserve">half-pay.  That up to this time he had scarcely been engaged</w:t></w:r>
</w:p>
<w:p>
<w:pPr><w:pStyle w:val="Normal"/></w:pPr>
<w:r><w:t xml:space="preserve">in active service was owing mainly to his disapproval of the</w:t></w:r>
</w:p>
<w:p>
<w:pPr><w:pStyle w:val="Normal"/></w:pPr>
<w:r><w:t xml:space="preserve">policy of the government, and especially to his sympathies with</w:t></w:r>
</w:p>
<w:p>
<w:pPr><w:pStyle w:val="Normal"/></w:pPr>
<w:r><w:t xml:space="preserve">the American colonists in their struggles for independence;</w:t></w:r>
</w:p>
<w:p>
<w:pPr><w:pStyle w:val="Normal"/></w:pPr>
<w:r><w:t xml:space="preserve">and his retirement is no doubt to be ascribed to similar</w:t></w:r>
</w:p>
<w:p>
<w:pPr><w:pStyle w:val="Normal"/></w:pPr>
<w:r><w:t xml:space="preserve">feelings.  On leaving the army he for a time took up political</w:t></w:r>
</w:p>
<w:p>
<w:pPr><w:pStyle w:val="Normal"/></w:pPr>
<w:r><w:t xml:space="preserve">life as member of Parliament for Clackmannanshire.  This,</w:t></w:r>
</w:p>
<w:p>
<w:pPr><w:pStyle w:val="Normal"/></w:pPr>
<w:r><w:t xml:space="preserve">however, proved uncongenial, and, retiring in favour of his</w:t></w:r>
</w:p>
<w:p>
<w:pPr><w:pStyle w:val="Normal"/></w:pPr>
<w:r><w:t xml:space="preserve">brother, he settled at Edinburgh and devoted himself to the</w:t></w:r>
</w:p>
<w:p>
<w:pPr><w:pStyle w:val="Normal"/></w:pPr>
<w:r><w:t xml:space="preserve">education of his children.  But on France declaring war against</w:t></w:r>
</w:p>
<w:p>
<w:pPr><w:pStyle w:val="Normal"/></w:pPr>
<w:r><w:t xml:space="preserve">England in 1793, he hastened to resume his professional duties;</w:t></w:r>
</w:p>
<w:p>
<w:pPr><w:pStyle w:val="Normal"/></w:pPr>
<w:r><w:t xml:space="preserve">and, being esteemed one of the ablest and most intrepid</w:t></w:r>
</w:p>
<w:p>
<w:pPr><w:pStyle w:val="Normal"/></w:pPr>
<w:r><w:t xml:space="preserve">officers in the whole British forces, he was appointed to the</w:t></w:r>
</w:p>
<w:p>
<w:pPr><w:pStyle w:val="Normal"/></w:pPr>
<w:r><w:t xml:space="preserve">command of a brigade under the duke of York, for service in</w:t></w:r>
</w:p>
<w:p>
<w:pPr><w:pStyle w:val="Normal"/></w:pPr>
<w:r><w:t xml:space="preserve">Holland.  He commanded the advanced guard in the action at Le</w:t></w:r>
</w:p>
<w:p>
<w:pPr><w:pStyle w:val="Normal"/></w:pPr>
<w:r><w:t xml:space="preserve">Cateau, and was wounded at Nijmwegen.  The duty fell to him of</w:t></w:r>
</w:p>
<w:p>
<w:pPr><w:pStyle w:val="Normal"/></w:pPr>
<w:r><w:t xml:space="preserve">protecting the British army in its disastrous retreat out of</w:t></w:r>
</w:p>
<w:p>
<w:pPr><w:pStyle w:val="Normal"/></w:pPr>
<w:r><w:t xml:space="preserve">Holland, in the winter of 1794-1795.  In 1795 he received the</w:t></w:r>
</w:p>
<w:p>
<w:pPr><w:pStyle w:val="Normal"/></w:pPr>
<w:r><w:t xml:space="preserve">honour of a knighthood of the Bath, in acknowledgment of his</w:t></w:r>
</w:p>
<w:p>
<w:pPr><w:pStyle w:val="Normal"/></w:pPr>
<w:r><w:t xml:space="preserve">services.  The same year he was appointed to succeed Sir Charles</w:t></w:r>
</w:p>
<w:p>
<w:pPr><w:pStyle w:val="Normal"/></w:pPr>
<w:r><w:t xml:space="preserve">Grey, as commander-in-chief of the British forces in the West</w:t></w:r>
</w:p>
<w:p>
<w:pPr><w:pStyle w:val="Normal"/></w:pPr>
<w:r><w:t xml:space="preserve">Indies.  In 1796 Grenada was suddenly attacked and taken by a</w:t></w:r>
</w:p>
<w:p>
<w:pPr><w:pStyle w:val="Normal"/></w:pPr>
<w:r><w:t xml:space="preserve">detachment of the army under his orders.  He afterwards obtained</w:t></w:r>
</w:p>
<w:p>
<w:pPr><w:pStyle w:val="Normal"/></w:pPr>
<w:r><w:t xml:space="preserve">possession of the settlements of Demerara and Essequibo, in</w:t></w:r>
</w:p>
<w:p>
<w:pPr><w:pStyle w:val="Normal"/></w:pPr>
<w:r><w:t xml:space="preserve">South America, and of the islands of St Lucia, St Vincent and</w:t></w:r>
</w:p>
<w:p>
<w:pPr><w:pStyle w:val="Normal"/></w:pPr>
<w:r><w:t xml:space="preserve">Trinidad.  He returned in 1797 to Europe, and, in reward for</w:t></w:r>
</w:p>
<w:p>
<w:pPr><w:pStyle w:val="Normal"/></w:pPr>
<w:r><w:t xml:space="preserve">his important services, was appointed colonel of the regiment</w:t></w:r>
</w:p>
<w:p>
<w:pPr><w:pStyle w:val="Normal"/></w:pPr>
<w:r><w:t xml:space="preserve">of Scots Greys, entrusted with the governments of the Isle of</w:t></w:r>
</w:p>
<w:p>
<w:pPr><w:pStyle w:val="Normal"/></w:pPr>
<w:r><w:t xml:space="preserve">Wight, Fort-George and Fort-Augustus, and raised to the rank of</w:t></w:r>
</w:p>
<w:p>
<w:pPr><w:pStyle w:val="Normal"/></w:pPr>
<w:r><w:t xml:space="preserve">lieutenant-general.  He held, in 1797-1798, the chief command</w:t></w:r>
</w:p>
<w:p>
<w:pPr><w:pStyle w:val="Normal"/></w:pPr>
<w:r><w:t xml:space="preserve">of the forces in Ireland.  There he laboured to maintain the</w:t></w:r>
</w:p>
<w:p>
<w:pPr><w:pStyle w:val="Normal"/></w:pPr>
<w:r><w:t xml:space="preserve">discipline of the army, to suppress the rising rebellion,</w:t></w:r>
</w:p>
<w:p>
<w:pPr><w:pStyle w:val="Normal"/></w:pPr>
<w:r><w:t xml:space="preserve">and to protect the people from military oppression, with a</w:t></w:r>
</w:p>
<w:p>
<w:pPr><w:pStyle w:val="Normal"/></w:pPr>
<w:r><w:t xml:space="preserve">care worthy alike of a great general and an enlightened and</w:t></w:r>
</w:p>
<w:p>
<w:pPr><w:pStyle w:val="Normal"/></w:pPr>
<w:r><w:t xml:space="preserve">beneficent statesman.  When he was appointed to the command</w:t></w:r>
</w:p>
<w:p>
<w:pPr><w:pStyle w:val="Normal"/></w:pPr>
<w:r><w:t xml:space="preserve">in Ireland, an invasion of that country by the French was</w:t></w:r>
</w:p>
<w:p>
<w:pPr><w:pStyle w:val="Normal"/></w:pPr>
<w:r><w:t xml:space="preserve">confidently anticipated by the English government.  He used</w:t></w:r>
</w:p>
<w:p>
<w:pPr><w:pStyle w:val="Normal"/></w:pPr>
<w:r><w:t xml:space="preserve">his utmost efforts to restore the discipline of an army that</w:t></w:r>
</w:p>
<w:p>
<w:pPr><w:pStyle w:val="Normal"/></w:pPr>
<w:r><w:t xml:space="preserve">was utterly disorganized; and, as a first step, he anxiously</w:t></w:r>
</w:p>
<w:p>
<w:pPr><w:pStyle w:val="Normal"/></w:pPr>
<w:r><w:t xml:space="preserve">endeavoured to protect the people by re-establishing the</w:t></w:r>
</w:p>
<w:p>
<w:pPr><w:pStyle w:val="Normal"/></w:pPr>
<w:r><w:t xml:space="preserve">supremacy of the civil power, and not allowing the military</w:t></w:r>
</w:p>
<w:p>
<w:pPr><w:pStyle w:val="Normal"/></w:pPr>
<w:r><w:t xml:space="preserve">to be called out, except when it was indispensably necessary</w:t></w:r>
</w:p>
<w:p>
<w:pPr><w:pStyle w:val="Normal"/></w:pPr>
<w:r><w:t xml:space="preserve">for the enforcement of the law and the maintenance of</w:t></w:r>
</w:p>
<w:p>
<w:pPr><w:pStyle w:val="Normal"/></w:pPr>
<w:r><w:t xml:space="preserve">order.  Finding that he received no adequate support from the</w:t></w:r>
</w:p>
<w:p>
<w:pPr><w:pStyle w:val="Normal"/></w:pPr>
<w:r><w:t xml:space="preserve">head of the Irish government, and that all his efforts were</w:t></w:r>
</w:p>
<w:p>
<w:pPr><w:pStyle w:val="Normal"/></w:pPr>
<w:r><w:t xml:space="preserve">opposed and thwarted by those who presided in the councils</w:t></w:r>
</w:p>
<w:p>
<w:pPr><w:pStyle w:val="Normal"/></w:pPr>
<w:r><w:t xml:space="preserve">of Ireland, he resigned the command.  His departure from</w:t></w:r>
</w:p>
<w:p>
<w:pPr><w:pStyle w:val="Normal"/></w:pPr>
<w:r><w:t xml:space="preserve">Ireland was deeply lamented by the reflecting portion of the</w:t></w:r>
</w:p>
<w:p>
<w:pPr><w:pStyle w:val="Normal"/></w:pPr>
<w:r><w:t xml:space="preserve">people, and was speedily followed by those disastrous results</w:t></w:r>
</w:p>
<w:p>
<w:pPr><w:pStyle w:val="Normal"/></w:pPr>
<w:r><w:t xml:space="preserve">which he had anticipated, and which he so ardently desired</w:t></w:r>
</w:p>
<w:p>
<w:pPr><w:pStyle w:val="Normal"/></w:pPr>
<w:r><w:t xml:space="preserve">and had so wisely endeavoured to prevent.  After holding for</w:t></w:r>
</w:p>
<w:p>
<w:pPr><w:pStyle w:val="Normal"/></w:pPr>
<w:r><w:t xml:space="preserve">a short period the office of commander-in-chief in Scotland,</w:t></w:r>
</w:p>
<w:p>
<w:pPr><w:pStyle w:val="Normal"/></w:pPr>
<w:r><w:t xml:space="preserve">Sir Ralph, when the enterprise against Holland was resolved</w:t></w:r>
</w:p>
<w:p>
<w:pPr><w:pStyle w:val="Normal"/></w:pPr>
<w:r><w:t xml:space="preserve">upon in 1799, was again called to command under the duke of</w:t></w:r>
</w:p>
<w:p>
<w:pPr><w:pStyle w:val="Normal"/></w:pPr>
<w:r><w:t xml:space="preserve">York.  The campaign of 1799 ended in disaster, but friend and</w:t></w:r>
</w:p>
<w:p>
<w:pPr><w:pStyle w:val="Normal"/></w:pPr>
<w:r><w:t xml:space="preserve">foe alike confessed that the most decisive victory could not</w:t></w:r>
</w:p>
<w:p>
<w:pPr><w:pStyle w:val="Normal"/></w:pPr>
<w:r><w:t xml:space="preserve">have more conspicuously proved the talents of this distinguished</w:t></w:r>
</w:p>
<w:p>
<w:pPr><w:pStyle w:val="Normal"/></w:pPr>
<w:r><w:t xml:space="preserve">officer.  His country applauded the choice when, in 1801, he</w:t></w:r>
</w:p>
<w:p>
<w:pPr><w:pStyle w:val="Normal"/></w:pPr>
<w:r><w:t xml:space="preserve">was sent with an army to dispossess the French of Egypt.  His</w:t></w:r>
</w:p>
<w:p>
<w:pPr><w:pStyle w:val="Normal"/></w:pPr>
<w:r><w:t xml:space="preserve">experience in Holland and the West Indies particularly fitted</w:t></w:r>
</w:p>
<w:p>
<w:pPr><w:pStyle w:val="Normal"/></w:pPr>
<w:r><w:t xml:space="preserve">him for this new command, as was proved by his carrying his</w:t></w:r>
</w:p>
<w:p>
<w:pPr><w:pStyle w:val="Normal"/></w:pPr>
<w:r><w:t xml:space="preserve">army in health, in spirits and with the requisite supplies,</w:t></w:r>
</w:p>
<w:p>
<w:pPr><w:pStyle w:val="Normal"/></w:pPr>
<w:r><w:t xml:space="preserve">in spite of very great difficulties, to the destined scene of</w:t></w:r>
</w:p>
<w:p>
<w:pPr><w:pStyle w:val="Normal"/></w:pPr>
<w:r><w:t xml:space="preserve">action.  The debarkation of the troops at Aboukir, in</w:t></w:r>
</w:p>
<w:p>
<w:pPr><w:pStyle w:val="Normal"/></w:pPr>
<w:r><w:t xml:space="preserve">the face of strenuous opposition, is justly ranked among</w:t></w:r>
</w:p>
<w:p>
<w:pPr><w:pStyle w:val="Normal"/></w:pPr>
<w:r><w:t xml:space="preserve">the most daring and brilliant exploits of the English</w:t></w:r>
</w:p>
<w:p>
<w:pPr><w:pStyle w:val="Normal"/></w:pPr>
<w:r><w:t xml:space="preserve">army.  A battle in the neighbourhood of Alexandria (March</w:t></w:r>
</w:p>
<w:p>
<w:pPr><w:pStyle w:val="Normal"/></w:pPr>
<w:r><w:t xml:space="preserve">21, 1801) was the sequel of this successful landing, and it</w:t></w:r>
</w:p>
<w:p>
<w:pPr><w:pStyle w:val="Normal"/></w:pPr>
<w:r><w:t xml:space="preserve">was Abercromby&apos;s fate to fall in the moment of victory.  He</w:t></w:r>
</w:p>
<w:p>
<w:pPr><w:pStyle w:val="Normal"/></w:pPr>
<w:r><w:t xml:space="preserve">was struck by a spent ball, which could not be extracted,</w:t></w:r>
</w:p>
<w:p>
<w:pPr><w:pStyle w:val="Normal"/></w:pPr>
<w:r><w:t xml:space="preserve">and died seven days after the battle.  His old friend and</w:t></w:r>
</w:p>
<w:p>
<w:pPr><w:pStyle w:val="Normal"/></w:pPr>
<w:r><w:t xml:space="preserve">commander the duke of York paid a just tribute to the great</w:t></w:r>
</w:p>
<w:p>
<w:pPr><w:pStyle w:val="Normal"/></w:pPr>
<w:r><w:t xml:space="preserve">soldier&apos;s memory in general orders: ``His steady observance</w:t></w:r>
</w:p>
<w:p>
<w:pPr><w:pStyle w:val="Normal"/></w:pPr>
<w:r><w:t xml:space="preserve">of discipline, his ever-watchful attention to the health</w:t></w:r>
</w:p>
<w:p>
<w:pPr><w:pStyle w:val="Normal"/></w:pPr>
<w:r><w:t xml:space="preserve">and wants of his troops, the persevering and unconquerable</w:t></w:r>
</w:p>
<w:p>
<w:pPr><w:pStyle w:val="Normal"/></w:pPr>
<w:r><w:t xml:space="preserve">spirit which marked his military career, the splendour of</w:t></w:r>
</w:p>
<w:p>
<w:pPr><w:pStyle w:val="Normal"/></w:pPr>
<w:r><w:t xml:space="preserve">his actions in the field and the heroism of his death, are</w:t></w:r>
</w:p>
<w:p>
<w:pPr><w:pStyle w:val="Normal"/></w:pPr>
<w:r><w:t xml:space="preserve">worthy the imitation of all who desire, like him, a life of</w:t></w:r>
</w:p>
<w:p>
<w:pPr><w:pStyle w:val="Normal"/></w:pPr>
<w:r><w:t xml:space="preserve">heroism and a death of glory.&apos;&apos; By a vote of the House of</w:t></w:r>
</w:p>
<w:p>
<w:pPr><w:pStyle w:val="Normal"/></w:pPr>
<w:r><w:t xml:space="preserve">Commons, a monument was erected in his honour in St Paul&apos;s</w:t></w:r>
</w:p>
<w:p>
<w:pPr><w:pStyle w:val="Normal"/></w:pPr>
<w:r><w:t xml:space="preserve">cathedral.  His widow was created Baroness Abercromby of</w:t></w:r>
</w:p>
<w:p>
<w:pPr><w:pStyle w:val="Normal"/></w:pPr>
<w:r><w:t xml:space="preserve">Tullibody and Aboukir Bay, and a pension of L. 2000 a year</w:t></w:r>
</w:p>
<w:p>
<w:pPr><w:pStyle w:val="Normal"/></w:pPr>
<w:r><w:t xml:space="preserve">was settled on her and her two successors in the title.</w:t></w:r>
</w:p>
<w:p>
<w:pPr><w:pStyle w:val="Normal"/></w:pPr>
<w:r><w:t xml:space="preserve">A memoir of the later years of his life (1793-1801) by his</w:t></w:r>
</w:p>
<w:p>
<w:pPr><w:pStyle w:val="Normal"/></w:pPr>
<w:r><w:t xml:space="preserve">third son, James (who was Speaker of the House of Commons,</w:t></w:r>
</w:p>
<w:p>
<w:pPr><w:pStyle w:val="Normal"/></w:pPr>
<w:r><w:t xml:space="preserve">1835-1839, and became Lord Dunfermline), was published in</w:t></w:r>
</w:p>
<w:p>
<w:pPr><w:pStyle w:val="Normal"/></w:pPr>
<w:r><w:t xml:space="preserve">1861.  For a shorter account of Sir Ralph Abercromby see</w:t></w:r>
</w:p>
<w:p>
<w:pPr><w:pStyle w:val="Normal"/></w:pPr>
<w:r><w:t xml:space="preserve">Wilkinson, Twelve British Soldiers (London, 1899).</w:t></w:r>
</w:p>
<w:p>
<w:pPr><w:pStyle w:val="Normal"/></w:pPr>
<w:r><w:t xml:space="preserve">ABERDARE, HENRY AUSTIN BRUCE, 1ST BARON (1815-1895), English</w:t></w:r>
</w:p>
<w:p>
<w:pPr><w:pStyle w:val="Normal"/></w:pPr>
<w:r><w:t xml:space="preserve">statesman, was born at Duffryn, Aberdare, Glamorganshire, on</w:t></w:r>
</w:p>
<w:p>
<w:pPr><w:pStyle w:val="Normal"/></w:pPr>
<w:r><w:t xml:space="preserve">the 16th of April 1815, the son of John Bruce, a Glamorganshire</w:t></w:r>
</w:p>
<w:p>
<w:pPr><w:pStyle w:val="Normal"/></w:pPr>
<w:r><w:t xml:space="preserve">landowner.  John Bruce&apos;s original family name was Knight,</w:t></w:r>
</w:p>
<w:p>
<w:pPr><w:pStyle w:val="Normal"/></w:pPr>
<w:r><w:t xml:space="preserve">but on coming of age in 1805 he assumed the name of Bruce,</w:t></w:r>
</w:p>
<w:p>
<w:pPr><w:pStyle w:val="Normal"/></w:pPr>
<w:r><w:t xml:space="preserve">his mother, through whom he inherited the Duffryn estate,</w:t></w:r>
</w:p>
<w:p>
<w:pPr><w:pStyle w:val="Normal"/></w:pPr>
<w:r><w:t xml:space="preserve">having been the daughter of William Bruce, high sheriff of</w:t></w:r>
</w:p>
<w:p>
<w:pPr><w:pStyle w:val="Normal"/></w:pPr>
<w:r><w:t xml:space="preserve">Glamorganshire.  Henry Austin Bruce was educated at Swansea</w:t></w:r>
</w:p>
<w:p>
<w:pPr><w:pStyle w:val="Normal"/></w:pPr>
<w:r><w:t xml:space="preserve">grammar school, and in 1837 was called to the bar.  Shortly</w:t></w:r>
</w:p>
<w:p>
<w:pPr><w:pStyle w:val="Normal"/></w:pPr>
<w:r><w:t xml:space="preserve">after he had begun to practise, the discovery of coal beneath</w:t></w:r>
</w:p>
<w:p>
<w:pPr><w:pStyle w:val="Normal"/></w:pPr>
<w:r><w:t xml:space="preserve">the Duffryn and other Aberdare Valley estates brought the</w:t></w:r>
</w:p>
<w:p>
<w:pPr><w:pStyle w:val="Normal"/></w:pPr>
<w:r><w:t xml:space="preserve">family great wealth.  From 1847 to 1852 he was stipendiary</w:t></w:r>
</w:p>
<w:p>
<w:pPr><w:pStyle w:val="Normal"/></w:pPr>
<w:r><w:t xml:space="preserve">magistrate for Merthyr Tydvil and Aberdare, resigning the</w:t></w:r>
</w:p>
<w:p>
<w:pPr><w:pStyle w:val="Normal"/></w:pPr>
<w:r><w:t xml:space="preserve">position in the latter year, when he entered parliament</w:t></w:r>
</w:p>
<w:p>
<w:pPr><w:pStyle w:val="Normal"/></w:pPr>
<w:r><w:t xml:space="preserve">as Liberal member for Merthyr Tydvil.  In 1862 he became</w:t></w:r>
</w:p>
<w:p>
<w:pPr><w:pStyle w:val="Normal"/></w:pPr>
<w:r><w:t xml:space="preserve">under-secretary for the home department, and in 1869, after</w:t></w:r>
</w:p>
<w:p>
<w:pPr><w:pStyle w:val="Normal"/></w:pPr>
<w:r><w:t xml:space="preserve">losing his seat at Merthyr Tydvil, but being re-elected</w:t></w:r>
</w:p>
<w:p>
<w:pPr><w:pStyle w:val="Normal"/></w:pPr>
<w:r><w:t xml:space="preserve">for Renfrewshire, he was made home secretary by W. E.</w:t></w:r>
</w:p>
<w:p>
<w:pPr><w:pStyle w:val="Normal"/></w:pPr>
<w:r><w:t xml:space="preserve">Gladstone.  His tenure of this office was conspicuous for a</w:t></w:r>
</w:p>
<w:p>
<w:pPr><w:pStyle w:val="Normal"/></w:pPr>
<w:r><w:t xml:space="preserve">reform of the licensing laws, and he was responsible for the</w:t></w:r>
</w:p>
<w:p>
<w:pPr><w:pStyle w:val="Normal"/></w:pPr>
<w:r><w:t xml:space="preserve">Licensing Act of 1872, which constituted the magistrates the</w:t></w:r>
</w:p>
<w:p>
<w:pPr><w:pStyle w:val="Normal"/></w:pPr>
<w:r><w:t xml:space="preserve">licensing authority, increased the penalties for misconduct in</w:t></w:r>
</w:p>
<w:p>
<w:pPr><w:pStyle w:val="Normal"/></w:pPr>
<w:r><w:t xml:space="preserve">public-houses and shortened the number of hours for the sale of</w:t></w:r>
</w:p>
<w:p>
<w:pPr><w:pStyle w:val="Normal"/></w:pPr>
<w:r><w:t xml:space="preserve">drink.  In 1873 he relinquished the home secretaryship, at</w:t></w:r>
</w:p>
<w:p>
<w:pPr><w:pStyle w:val="Normal"/></w:pPr>
<w:r><w:t xml:space="preserve">Gladstone&apos;s request, to become lord president of the council,</w:t></w:r>
</w:p>
<w:p>
<w:pPr><w:pStyle w:val="Normal"/></w:pPr>
<w:r><w:t xml:space="preserve">and was almost simultaneously raised to the peerage as Baron</w:t></w:r>
</w:p>
<w:p>
<w:pPr><w:pStyle w:val="Normal"/></w:pPr>
<w:r><w:t xml:space="preserve">Aberdare.  The defeat of the Liberal government in the following</w:t></w:r>
</w:p>
<w:p>
<w:pPr><w:pStyle w:val="Normal"/></w:pPr>
<w:r><w:t xml:space="preserve">year terminated Lord Aberdare&apos;s official political life, and</w:t></w:r>
</w:p>
<w:p>
<w:pPr><w:pStyle w:val="Normal"/></w:pPr>
<w:r><w:t xml:space="preserve">he subsequently devoted himself to social, educational and</w:t></w:r>
</w:p>
<w:p>
<w:pPr><w:pStyle w:val="Normal"/></w:pPr>
<w:r><w:t xml:space="preserve">economic questions.  In 1876 he was elected F.R.S.; from 1878</w:t></w:r>
</w:p>
<w:p>
<w:pPr><w:pStyle w:val="Normal"/></w:pPr>
<w:r><w:t xml:space="preserve">to 1892 he was president of the Royal Historical Society;</w:t></w:r>
</w:p>
<w:p>
<w:pPr><w:pStyle w:val="Normal"/></w:pPr>
<w:r><w:t xml:space="preserve">and in 1881 he became president of the Royal Geographical</w:t></w:r>
</w:p>
<w:p>
<w:pPr><w:pStyle w:val="Normal"/></w:pPr>
<w:r><w:t xml:space="preserve">Society.  In 1882 he began a connexion with West Africa which</w:t></w:r>
</w:p>
<w:p>
<w:pPr><w:pStyle w:val="Normal"/></w:pPr>
<w:r><w:t xml:space="preserve">lasted the rest of his life, by accepting the chairmanship</w:t></w:r>
</w:p>
<w:p>
<w:pPr><w:pStyle w:val="Normal"/></w:pPr>
<w:r><w:t xml:space="preserve">of the National African Company, formed by Sir George Taubman</w:t></w:r>
</w:p>
<w:p>
<w:pPr><w:pStyle w:val="Normal"/></w:pPr>
<w:r><w:t xml:space="preserve">Goldie, which in 1886 received a charter under the title of the</w:t></w:r>
</w:p>
<w:p>
<w:pPr><w:pStyle w:val="Normal"/></w:pPr>
<w:r><w:t xml:space="preserve">Royal Niger Company and in 1899 was taken over by the British</w:t></w:r>
</w:p>
<w:p>
<w:pPr><w:pStyle w:val="Normal"/></w:pPr>
<w:r><w:t xml:space="preserve">government, its territories being constituted the protectorate of</w:t></w:r>
</w:p>
<w:p>
<w:pPr><w:pStyle w:val="Normal"/></w:pPr>
<w:r><w:t xml:space="preserve">Nigeria.  West African affairs, however, by no means exhausted</w:t></w:r>
</w:p>
<w:p>
<w:pPr><w:pStyle w:val="Normal"/></w:pPr>
<w:r><w:t xml:space="preserve">Lord Aberdare&apos;s energies, and it was principally through his</w:t></w:r>
</w:p>
<w:p>
<w:pPr><w:pStyle w:val="Normal"/></w:pPr>
<w:r><w:t xml:space="preserve">efforts that a charter was in 1894 obtained for the university</w:t></w:r>
</w:p>
<w:p>
<w:pPr><w:pStyle w:val="Normal"/></w:pPr>
<w:r><w:t xml:space="preserve">of Wales at Cardiff.  Lord Aberdare, who in 1885 was made a</w:t></w:r>
</w:p>
<w:p>
<w:pPr><w:pStyle w:val="Normal"/></w:pPr>
<w:r><w:t xml:space="preserve">G.C.B., presided over several Royal Commissions at different</w:t></w:r>
</w:p>
<w:p>
<w:pPr><w:pStyle w:val="Normal"/></w:pPr>
<w:r><w:t xml:space="preserve">times.  He died in London on the 25th of February 1895.</w:t></w:r>
</w:p>
<w:p>
<w:pPr><w:pStyle w:val="Normal"/></w:pPr>
<w:r><w:t xml:space="preserve">His second wite was the daughter of Sir William Napier, the</w:t></w:r>
</w:p>
<w:p>
<w:pPr><w:pStyle w:val="Normal"/></w:pPr>
<w:r><w:t xml:space="preserve">historian of the Peninsular war, whose Life he edited.</w:t></w:r>
</w:p>
<w:p>
<w:pPr><w:pStyle w:val="Normal"/></w:pPr>
<w:r><w:t xml:space="preserve">ABERDARE, a market town of Glamorganshire, Wales, situated (as</w:t></w:r>
</w:p>
<w:p>
<w:pPr><w:pStyle w:val="Normal"/></w:pPr>
<w:r><w:t xml:space="preserve">the name implies) at the confluence of the Dar and Cynon, the</w:t></w:r>
</w:p>
<w:p>
<w:pPr><w:pStyle w:val="Normal"/></w:pPr>
<w:r><w:t xml:space="preserve">latter being a tributary of the Tain.  Pop. of urban district</w:t></w:r>
</w:p>
<w:p>
<w:pPr><w:pStyle w:val="Normal"/></w:pPr>
<w:r><w:t xml:space="preserve">(1901), 43,365.  It is 4 m.  S.W. of Merthyr Tydvil, 24 from</w:t></w:r>
</w:p>
<w:p>
<w:pPr><w:pStyle w:val="Normal"/></w:pPr>
<w:r><w:t xml:space="preserve">Cardiff and 160 from London by rail.  It has a station on the</w:t></w:r>
</w:p>
<w:p>
<w:pPr><w:pStyle w:val="Normal"/></w:pPr>
<w:r><w:t xml:space="preserve">Pontypool and Swansea section of the Great Western railway,</w:t></w:r>
</w:p>
<w:p>
<w:pPr><w:pStyle w:val="Normal"/></w:pPr>
<w:r><w:t xml:space="preserve">and is also served by the Llwydcoed and Abernant stations</w:t></w:r>
</w:p>
<w:p>
<w:pPr><w:pStyle w:val="Normal"/></w:pPr>
<w:r><w:t xml:space="preserve">which are on a branch line to Merthyr.  The Tain Vale line</w:t></w:r>
</w:p>
<w:p>
<w:pPr><w:pStyle w:val="Normal"/></w:pPr>
<w:r><w:t xml:space="preserve">(opened 1846) has a terminus in the town.  The Glamorgan canal</w:t></w:r>
</w:p>
<w:p>
<w:pPr><w:pStyle w:val="Normal"/></w:pPr>
<w:r><w:t xml:space="preserve">has also a branch (made in 1811) running from Abercynon to</w:t></w:r>
</w:p>
<w:p>
<w:pPr><w:pStyle w:val="Normal"/></w:pPr>
<w:r><w:t xml:space="preserve">Aberdare.  From being, at the beginning of the 19th century,</w:t></w:r>
</w:p>
<w:p>
<w:pPr><w:pStyle w:val="Normal"/></w:pPr>
<w:r><w:t xml:space="preserve">a mere village in an agricultural district, the place grew</w:t></w:r>
</w:p>
<w:p>
<w:pPr><w:pStyle w:val="Normal"/></w:pPr>
<w:r><w:t xml:space="preserve">rapidly in population owing to the abundance of its coal and</w:t></w:r>
</w:p>
<w:p>
<w:pPr><w:pStyle w:val="Normal"/></w:pPr>
<w:r><w:t xml:space="preserve">iron ore, and the population of the whole parish (which was only</w:t></w:r>
</w:p>
<w:p>
<w:pPr><w:pStyle w:val="Normal"/></w:pPr>
<w:r><w:t xml:space="preserve">1486 in 1801) increased tenfold during the first half of the</w:t></w:r>
</w:p>
<w:p>
<w:pPr><w:pStyle w:val="Normal"/></w:pPr>
<w:r><w:t xml:space="preserve">century.  Ironworks were established at Llwydcoed and Abernant</w:t></w:r>
</w:p>
<w:p>
<w:pPr><w:pStyle w:val="Normal"/></w:pPr>
<w:r><w:t xml:space="preserve">in 1799 and 1800 respectively, followed by others at Gadlys</w:t></w:r>
</w:p>
<w:p>
<w:pPr><w:pStyle w:val="Normal"/></w:pPr>
<w:r><w:t xml:space="preserve">and Aberaman in 1827 and 1847.  These have not been worked</w:t></w:r>
</w:p>
<w:p>
<w:pPr><w:pStyle w:val="Normal"/></w:pPr>
<w:r><w:t xml:space="preserve">since about 1875, and the only metal industries remaining</w:t></w:r>
</w:p>
<w:p>
<w:pPr><w:pStyle w:val="Normal"/></w:pPr>
<w:r><w:t xml:space="preserve">in the town are an iron foundry or two and a small tinplate</w:t></w:r>
</w:p>
<w:p>
<w:pPr><w:pStyle w:val="Normal"/></w:pPr>
<w:r><w:t xml:space="preserve">works at Gadlys (established in 1868).  Previous to 1836,</w:t></w:r>
</w:p>
<w:p>
<w:pPr><w:pStyle w:val="Normal"/></w:pPr>
<w:r><w:t xml:space="preserve">most of the coal worked in the parish was consumed locally,</w:t></w:r>
</w:p>
<w:p>
<w:pPr><w:pStyle w:val="Normal"/></w:pPr>
<w:r><w:t xml:space="preserve">chiefly in the ironworks, but in that year the working of</w:t></w:r>
</w:p>
<w:p>
<w:pPr><w:pStyle w:val="Normal"/></w:pPr>
<w:r><w:t xml:space="preserve">steam coal for export was begun, pits were sunk in rapid</w:t></w:r>
</w:p>
<w:p>
<w:pPr><w:pStyle w:val="Normal"/></w:pPr>
<w:r><w:t xml:space="preserve">succession, and the coal trade, which at least since 1875</w:t></w:r>
</w:p>
<w:p>
<w:pPr><w:pStyle w:val="Normal"/></w:pPr>
<w:r><w:t xml:space="preserve">has been the chief support of the town, soon reached huge</w:t></w:r>
</w:p>
<w:p>
<w:pPr><w:pStyle w:val="Normal"/></w:pPr>
<w:r><w:t xml:space="preserve">dimensions.  There are also several brickworks and breweries.</w:t></w:r>
</w:p>
<w:p>
<w:pPr><w:pStyle w:val="Normal"/></w:pPr>
<w:r><w:t xml:space="preserve">During the latter half Of the 19th century, considerable</w:t></w:r>
</w:p>
<w:p>
<w:pPr><w:pStyle w:val="Normal"/></w:pPr>
<w:r><w:t xml:space="preserve">public improvements were effected in the town, making it,</w:t></w:r>
</w:p>
<w:p>
<w:pPr><w:pStyle w:val="Normal"/></w:pPr>
<w:r><w:t xml:space="preserve">despite its neighbouring collieries, an agreeable place of</w:t></w:r>
</w:p>
<w:p>
<w:pPr><w:pStyle w:val="Normal"/></w:pPr>
<w:r><w:t xml:space="preserve">residence.  Its institutions included a post-graduate</w:t></w:r>
</w:p>
<w:p>
<w:pPr><w:pStyle w:val="Normal"/></w:pPr>
<w:r><w:t xml:space="preserve">theological college (opened in connexion with the Church</w:t></w:r>
</w:p>
<w:p>
<w:pPr><w:pStyle w:val="Normal"/></w:pPr>
<w:r><w:t xml:space="preserve">of England in 1892, until 1907, when it was removed to</w:t></w:r>
</w:p>
<w:p>
<w:pPr><w:pStyle w:val="Normal"/></w:pPr>
<w:r><w:t xml:space="preserve">Llandaff).  There is a public park of fifty acres with two small</w:t></w:r>
</w:p>
<w:p>
<w:pPr><w:pStyle w:val="Normal"/></w:pPr>
<w:r><w:t xml:space="preserve">lakes.  Aberdare, with the ecclesiastical parishes of St</w:t></w:r>
</w:p>
<w:p>
<w:pPr><w:pStyle w:val="Normal"/></w:pPr>
<w:r><w:t xml:space="preserve">Fagan&apos;s (Trecynon) and Aberaman carved out of the ancient</w:t></w:r>
</w:p>
<w:p>
<w:pPr><w:pStyle w:val="Normal"/></w:pPr>
<w:r><w:t xml:space="preserve">parish, has some twelve Anglican churches, one Roman Catholic</w:t></w:r>
</w:p>
<w:p>
<w:pPr><w:pStyle w:val="Normal"/></w:pPr>
<w:r><w:t xml:space="preserve">church (built in 1866 in Monk Street near the site of a</w:t></w:r>
</w:p>
<w:p>
<w:pPr><w:pStyle w:val="Normal"/></w:pPr>
<w:r><w:t xml:space="preserve">cell attached to Penrhys Abbey) and over fifty Noncoformist</w:t></w:r>
</w:p>
<w:p>
<w:pPr><w:pStyle w:val="Normal"/></w:pPr>
<w:r><w:t xml:space="preserve">chapels.  The services in the majority of the chapels are in</w:t></w:r>
</w:p>
<w:p>
<w:pPr><w:pStyle w:val="Normal"/></w:pPr>
<w:r><w:t xml:space="preserve">Welsh.  The whole parish falls within the parliamentary borough</w:t></w:r>
</w:p>
<w:p>
<w:pPr><w:pStyle w:val="Normal"/></w:pPr>
<w:r><w:t xml:space="preserve">of Merthyr Tydvil.  The urban district includes what were</w:t></w:r>
</w:p>
<w:p>
<w:pPr><w:pStyle w:val="Normal"/></w:pPr>
<w:r><w:t xml:space="preserve">once the separate villages of Aberaman, Abernant, Cwmbach,</w:t></w:r>
</w:p>
<w:p>
<w:pPr><w:pStyle w:val="Normal"/></w:pPr>
<w:r><w:t xml:space="preserve">Cwmaman, Cwmdare, Llwydcoed and Trecynon.  There are several</w:t></w:r>
</w:p>
<w:p>
<w:pPr><w:pStyle w:val="Normal"/></w:pPr>
<w:r><w:t xml:space="preserve">cairns and the remains of a circular British encampment on</w:t></w:r>
</w:p>
<w:p>
<w:pPr><w:pStyle w:val="Normal"/></w:pPr>
<w:r><w:t xml:space="preserve">the mountain between Aberdare and Merthyr.  Hirwaun moor,</w:t></w:r>
</w:p>
<w:p>
<w:pPr><w:pStyle w:val="Normal"/></w:pPr>
<w:r><w:t xml:space="preserve">4 m. to the N.W. of Aberdare, was according to tradition</w:t></w:r>
</w:p>
<w:p>
<w:pPr><w:pStyle w:val="Normal"/></w:pPr>
<w:r><w:t xml:space="preserve">the scene of a battle at which Rhys ap Jewdwr, prince of</w:t></w:r>
</w:p>
<w:p>
<w:pPr><w:pStyle w:val="Normal"/></w:pPr>
<w:r><w:t xml:space="preserve">Dyfed, was defeated by the ailied forces of the Norman Robert</w:t></w:r>
</w:p>
<w:p>
<w:pPr><w:pStyle w:val="Normal"/></w:pPr>
<w:r><w:t xml:space="preserve">Fitzhamon and Iestyn ab Gwrgan, the last prince of Glamorgan.</w:t></w:r>
</w:p>
<w:p>
<w:pPr><w:pStyle w:val="Normal"/></w:pPr>
<w:r><w:t xml:space="preserve">ABERDEEN, GEORGE GORDON, 1ST EARL OF (1637-1720), lord</w:t></w:r>
</w:p>
<w:p>
<w:pPr><w:pStyle w:val="Normal"/></w:pPr>
<w:r><w:t xml:space="preserve">chancellor of Scotland, son of Sir John Gordon, 1st baronet</w:t></w:r>
</w:p>
<w:p>
<w:pPr><w:pStyle w:val="Normal"/></w:pPr>
<w:r><w:t xml:space="preserve">of Haddo, Aberdeenshire, executed by the Presbyterians in</w:t></w:r>
</w:p>
<w:p>
<w:pPr><w:pStyle w:val="Normal"/></w:pPr>
<w:r><w:t xml:space="preserve">1644, was born on the 3rd of October 1637.  He graduated</w:t></w:r>
</w:p>
<w:p>
<w:pPr><w:pStyle w:val="Normal"/></w:pPr>
<w:r><w:t xml:space="preserve">M.A., and was chosen professor at King&apos;s College, Aberdeen, in</w:t></w:r>
</w:p>
<w:p>
<w:pPr><w:pStyle w:val="Normal"/></w:pPr>
<w:r><w:t xml:space="preserve">1658.  Subsequently he travelled and studied civil law abroad.</w:t></w:r>
</w:p>
<w:p>
<w:pPr><w:pStyle w:val="Normal"/></w:pPr>
<w:r><w:t xml:space="preserve">At the Restoration the sequestration of his father&apos;s lands was</w:t></w:r>
</w:p>
<w:p>
<w:pPr><w:pStyle w:val="Normal"/></w:pPr>
<w:r><w:t xml:space="preserve">annulled, and in 1665 he succeeded by the death of his elder</w:t></w:r>
</w:p>
<w:p>
<w:pPr><w:pStyle w:val="Normal"/></w:pPr>
<w:r><w:t xml:space="preserve">brother to the baronetcy and estates.  He returned home in</w:t></w:r>
</w:p>
<w:p>
<w:pPr><w:pStyle w:val="Normal"/></w:pPr>
<w:r><w:t xml:space="preserve">1667, was admitted advocate in 1668 and gained a high legal</w:t></w:r>
</w:p>
<w:p>
<w:pPr><w:pStyle w:val="Normal"/></w:pPr>
<w:r><w:t xml:space="preserve">reputation.  He represented Aberdeenshire in the Scottish</w:t></w:r>
</w:p>
<w:p>
<w:pPr><w:pStyle w:val="Normal"/></w:pPr>
<w:r><w:t xml:space="preserve">parliament of 1669 and in the following assemblies, during his</w:t></w:r>
</w:p>
<w:p>
<w:pPr><w:pStyle w:val="Normal"/></w:pPr>
<w:r><w:t xml:space="preserve">first session strongly opposing the projected union of the two</w:t></w:r>
</w:p>
<w:p>
<w:pPr><w:pStyle w:val="Normal"/></w:pPr>
<w:r><w:t xml:space="preserve">legislatures.  In November 1678 he was made a privy councillor</w:t></w:r>
</w:p>
<w:p>
<w:pPr><w:pStyle w:val="Normal"/></w:pPr>
<w:r><w:t xml:space="preserve">for Scotland, and in 1680 was raised to the bench as Lord</w:t></w:r>
</w:p>
<w:p>
<w:pPr><w:pStyle w:val="Normal"/></w:pPr>
<w:r><w:t xml:space="preserve">Haddo.  He was a leading member of the duke of York&apos;s</w:t></w:r>
</w:p>
<w:p>
<w:pPr><w:pStyle w:val="Normal"/></w:pPr>
<w:r><w:t xml:space="preserve">administration, was created a lord of session in June and</w:t></w:r>
</w:p>
<w:p>
<w:pPr><w:pStyle w:val="Normal"/></w:pPr>
<w:r><w:t xml:space="preserve">in November 1681 president of the court.  The same year</w:t></w:r>
</w:p>
<w:p>
<w:pPr><w:pStyle w:val="Normal"/></w:pPr>
<w:r><w:t xml:space="preserve">he is reported as moving in the council for the torture of</w:t></w:r>
</w:p>
<w:p>
<w:pPr><w:pStyle w:val="Normal"/></w:pPr>
<w:r><w:t xml:space="preserve">witnesses.1 In 1682 he was made lord chancellor of Scotland,</w:t></w:r>
</w:p>
<w:p>
<w:pPr><w:pStyle w:val="Normal"/></w:pPr>
<w:r><w:t xml:space="preserve">and was created, on the 13th of November, earl of Aberdeen,</w:t></w:r>
</w:p>
<w:p>
<w:pPr><w:pStyle w:val="Normal"/></w:pPr>
<w:r><w:t xml:space="preserve">Viscount Formartine, and Lord Haddo, Methllck, Tarves and</w:t></w:r>
</w:p>
<w:p>
<w:pPr><w:pStyle w:val="Normal"/></w:pPr>
<w:r><w:t xml:space="preserve">Kellie, in the Scottish peerage, being appointed also sheriff</w:t></w:r>
</w:p>
<w:p>
<w:pPr><w:pStyle w:val="Normal"/></w:pPr>
<w:r><w:t xml:space="preserve">principal of Aberdeenshire and Midlothian.  Burnet reflects</w:t></w:r>
</w:p>
<w:p>
<w:pPr><w:pStyle w:val="Normal"/></w:pPr>
<w:r><w:t xml:space="preserve">unfavourably upon him, calls him ``a proud and covetous man,&apos;&apos;</w:t></w:r>
</w:p>
<w:p>
<w:pPr><w:pStyle w:val="Normal"/></w:pPr>
<w:r><w:t xml:space="preserve">and declares ``the new chancellor exceeded all that had gone</w:t></w:r>
</w:p>
<w:p>
<w:pPr><w:pStyle w:val="Normal"/></w:pPr>
<w:r><w:t xml:space="preserve">before him.&apos;&apos;2 He executed the laws enforcing religious</w:t></w:r>
</w:p>
<w:p>
<w:pPr><w:pStyle w:val="Normal"/></w:pPr>
<w:r><w:t xml:space="preserve">conformity with severity, and filled the parish churches, but</w:t></w:r>
</w:p>
<w:p>
<w:pPr><w:pStyle w:val="Normal"/></w:pPr>
<w:r><w:t xml:space="preserve">resisted the excessive measures of tyranny prescribed by the</w:t></w:r>
</w:p>
<w:p>
<w:pPr><w:pStyle w:val="Normal"/></w:pPr>
<w:r><w:t xml:space="preserve">English government; and in consequence of an intrigue of the</w:t></w:r>
</w:p>
<w:p>
<w:pPr><w:pStyle w:val="Normal"/></w:pPr>
<w:r><w:t xml:space="preserve">duke of Queensberry and Lord Perth, who gained the duchess of</w:t></w:r>
</w:p>
<w:p>
<w:pPr><w:pStyle w:val="Normal"/></w:pPr>
<w:r><w:t xml:space="preserve">Portsmouth with a present of L. 27,000, he was dismissed in 1684.</w:t></w:r>
</w:p>
<w:p>
<w:pPr><w:pStyle w:val="Normal"/></w:pPr>
<w:r><w:t xml:space="preserve">After his fall he was subjected to various petty prosecutions</w:t></w:r>
</w:p>
<w:p>
<w:pPr><w:pStyle w:val="Normal"/></w:pPr>
<w:r><w:t xml:space="preserve">by his victorious rivals with the view of discovering some</w:t></w:r>
</w:p>
<w:p>
<w:pPr><w:pStyle w:val="Normal"/></w:pPr>
<w:r><w:t xml:space="preserve">act of maladministration on which to found a charge against</w:t></w:r>
</w:p>
<w:p>
<w:pPr><w:pStyle w:val="Normal"/></w:pPr>
<w:r><w:t xml:space="preserve">him, but the investigations only served to strengthen his</w:t></w:r>
</w:p>
<w:p>
<w:pPr><w:pStyle w:val="Normal"/></w:pPr>
<w:r><w:t xml:space="preserve">credit.  He took an active part in parliament in 1685 and</w:t></w:r>
</w:p>
<w:p>
<w:pPr><w:pStyle w:val="Normal"/></w:pPr>
<w:r><w:t xml:space="preserve">1686, but remained a non-juror during the whole of William&apos;s</w:t></w:r>
</w:p>
<w:p>
<w:pPr><w:pStyle w:val="Normal"/></w:pPr>
<w:r><w:t xml:space="preserve">reign, being frequently fined for his non-attendance, and</w:t></w:r>
</w:p>
<w:p>
<w:pPr><w:pStyle w:val="Normal"/></w:pPr>
<w:r><w:t xml:space="preserve">took the oaths for the first time after Anne&apos;s accession, on</w:t></w:r>
</w:p>
<w:p>
<w:pPr><w:pStyle w:val="Normal"/></w:pPr>
<w:r><w:t xml:space="preserve">the 11th of May 1703.  In the great affair of the Union in</w:t></w:r>
</w:p>
<w:p>
<w:pPr><w:pStyle w:val="Normal"/></w:pPr>
<w:r><w:t xml:space="preserve">1707, while protesting against the completion of the treaty</w:t></w:r>
</w:p>
<w:p>
<w:pPr><w:pStyle w:val="Normal"/></w:pPr>
<w:r><w:t xml:space="preserve">till the act declaring the Scots aliens should be repealed,</w:t></w:r>
</w:p>
<w:p>
<w:pPr><w:pStyle w:val="Normal"/></w:pPr>
<w:r><w:t xml:space="preserve">he refused to support the opposition to the measure itself</w:t></w:r>
</w:p>
<w:p>
<w:pPr><w:pStyle w:val="Normal"/></w:pPr>
<w:r><w:t xml:space="preserve">and refrained from attending parliament when the treaty was</w:t></w:r>
</w:p>
<w:p>
<w:pPr><w:pStyle w:val="Normal"/></w:pPr>
<w:r><w:t xml:space="preserve">settled.  He died on the 20th of April 1720, after having</w:t></w:r>
</w:p>
<w:p>
<w:pPr><w:pStyle w:val="Normal"/></w:pPr>
<w:r><w:t xml:space="preserve">amassed a large fortune.  He is described by John Mackay as</w:t></w:r>
</w:p>
<w:p>
<w:pPr><w:pStyle w:val="Normal"/></w:pPr>
<w:r><w:t xml:space="preserve">``very knowing in the laws and constitution of his country and</w:t></w:r>
</w:p>
<w:p>
<w:pPr><w:pStyle w:val="Normal"/></w:pPr>
<w:r><w:t xml:space="preserve">is belleved to be the solidest statesman in Scotland, a fine</w:t></w:r>
</w:p>
<w:p>
<w:pPr><w:pStyle w:val="Normal"/></w:pPr>
<w:r><w:t xml:space="preserve">orator, speaks slow but sure.&apos;&apos; His person was said to be</w:t></w:r>
</w:p>
<w:p>
<w:pPr><w:pStyle w:val="Normal"/></w:pPr>
<w:r><w:t xml:space="preserve">deformed, and his ``want of mine or deportment&apos;&apos; was alleged</w:t></w:r>
</w:p>
<w:p>
<w:pPr><w:pStyle w:val="Normal"/></w:pPr>
<w:r><w:t xml:space="preserve">as a disqualification for the office of lord chancellor.  He</w:t></w:r>
</w:p>
<w:p>
<w:pPr><w:pStyle w:val="Normal"/></w:pPr>
<w:r><w:t xml:space="preserve">married Anne, daughter and sole heiress of George Lockhart of</w:t></w:r>
</w:p>
<w:p>
<w:pPr><w:pStyle w:val="Normal"/></w:pPr>
<w:r><w:t xml:space="preserve">Torbrecks, by whom he had six children, his only surviving</w:t></w:r>
</w:p>
<w:p>
<w:pPr><w:pStyle w:val="Normal"/></w:pPr>
<w:r><w:t xml:space="preserve">son, William, succeeding him as 2nd earl of Aberdeen.</w:t></w:r>
</w:p>
<w:p>
<w:pPr><w:pStyle w:val="Normal"/></w:pPr>
<w:r><w:t xml:space="preserve">See Letters to George, earl of Aberdeen (with memoir: Spalding</w:t></w:r>
</w:p>
<w:p>
<w:pPr><w:pStyle w:val="Normal"/></w:pPr>
<w:r><w:t xml:space="preserve">Club, 1851); Hist.  Account of the Senators of-the College</w:t></w:r>
</w:p>
<w:p>
<w:pPr><w:pStyle w:val="Normal"/></w:pPr>
<w:r><w:t xml:space="preserve">of Justice, by G. Brunton and D. Haig (1832), p. 408; G.</w:t></w:r>
</w:p>
<w:p>
<w:pPr><w:pStyle w:val="Normal"/></w:pPr>
<w:r><w:t xml:space="preserve">Crawfurd&apos;s Lives of the Officers of State (1726), p. 226;</w:t></w:r>
</w:p>
<w:p>
<w:pPr><w:pStyle w:val="Normal"/></w:pPr>
<w:r><w:t xml:space="preserve">Memoirs of Affairs in Scotland, by Sir G. Mackenzie (1821),</w:t></w:r>
</w:p>
<w:p>
<w:pPr><w:pStyle w:val="Normal"/></w:pPr>
<w:r><w:t xml:space="preserve">p. 148; Sir J. Lauder&apos;s (Lord Fountainhall) Journals (Scottish</w:t></w:r>
</w:p>
<w:p>
<w:pPr><w:pStyle w:val="Normal"/></w:pPr>
<w:r><w:t xml:space="preserve">Hist.  Society, vol. xxxvi., 1900); J. Mackay&apos;s Memoirs</w:t></w:r>
</w:p>
<w:p>
<w:pPr><w:pStyle w:val="Normal"/></w:pPr>
<w:r><w:t xml:space="preserve">(1733), p. 215; A. Lang&apos;s Hist. of Scotland, iii. 369, 376.</w:t></w:r>
</w:p>
<w:p>
<w:pPr><w:pStyle w:val="Normal"/></w:pPr>
<w:r><w:t xml:space="preserve">(P. C. Y.)</w:t></w:r>
</w:p>
<w:p>
<w:pPr><w:pStyle w:val="Normal"/></w:pPr>
<w:r><w:t xml:space="preserve">1 Sir J. Lauder&apos;s Hist.  Notices (Bannatyne Club, 1848), p. 297.</w:t></w:r>
</w:p>
<w:p>
<w:pPr><w:pStyle w:val="Normal"/></w:pPr>
<w:r><w:t xml:space="preserve">2 Hist. of his own Times, i. 523.</w:t></w:r>
</w:p>
<w:p>
<w:pPr><w:pStyle w:val="Normal"/></w:pPr>
<w:r><w:t xml:space="preserve">ABERDEEN, GEORGE HAMILTON GORDON, 4TH EARL OF (1784-1860),</w:t></w:r>
</w:p>
<w:p>
<w:pPr><w:pStyle w:val="Normal"/></w:pPr>
<w:r><w:t xml:space="preserve">English statesman, was the eldest son of George Gordon, Lord</w:t></w:r>
</w:p>
<w:p>
<w:pPr><w:pStyle w:val="Normal"/></w:pPr>
<w:r><w:t xml:space="preserve">Haddo, by his wife Charlotte, daughter of William Baird of</w:t></w:r>
</w:p>
<w:p>
<w:pPr><w:pStyle w:val="Normal"/></w:pPr>
<w:r><w:t xml:space="preserve">Newbyth, Haddingtonshire, and grandson of George, 3rd earl of</w:t></w:r>
</w:p>
<w:p>
<w:pPr><w:pStyle w:val="Normal"/></w:pPr>
<w:r><w:t xml:space="preserve">Aberdeen.  Born in Edinburgh on the 28th of January 1784,</w:t></w:r>
</w:p>
<w:p>
<w:pPr><w:pStyle w:val="Normal"/></w:pPr>
<w:r><w:t xml:space="preserve">he lost his father in 1791 and his mother in 1795; and as</w:t></w:r>
</w:p>
<w:p>
<w:pPr><w:pStyle w:val="Normal"/></w:pPr>
<w:r><w:t xml:space="preserve">his grandfather regarded him with indifference, he went to</w:t></w:r>
</w:p>
<w:p>
<w:pPr><w:pStyle w:val="Normal"/></w:pPr>
<w:r><w:t xml:space="preserve">reside with Henry Dundas, afterwards Viscount Melville.  At</w:t></w:r>
</w:p>
<w:p>
<w:pPr><w:pStyle w:val="Normal"/></w:pPr>
<w:r><w:t xml:space="preserve">the age of fourteen he was permitted by Scotch law to name</w:t></w:r>
</w:p>
<w:p>
<w:pPr><w:pStyle w:val="Normal"/></w:pPr>
<w:r><w:t xml:space="preserve">his own curators, or guardians, and selecting William Pitt</w:t></w:r>
</w:p>
<w:p>
<w:pPr><w:pStyle w:val="Normal"/></w:pPr>
<w:r><w:t xml:space="preserve">and Dundas for this office he spent much of his time at their</w:t></w:r>
</w:p>
<w:p>
<w:pPr><w:pStyle w:val="Normal"/></w:pPr>
<w:r><w:t xml:space="preserve">houses, thus meeting many of the leading politicians of the</w:t></w:r>
</w:p>
<w:p>
<w:pPr><w:pStyle w:val="Normal"/></w:pPr>
<w:r><w:t xml:space="preserve">day.  He was educated at Harrow, and St John&apos;s College, Cambridge,</w:t></w:r>
</w:p>
<w:p>
<w:pPr><w:pStyle w:val="Normal"/></w:pPr>
<w:r><w:t xml:space="preserve">where he graduated as a nobleman in 1804.  Before this time,</w:t></w:r>
</w:p>
<w:p>
<w:pPr><w:pStyle w:val="Normal"/></w:pPr>
<w:r><w:t xml:space="preserve">however, he had become earl of Aberdeen on his grandfather&apos;s</w:t></w:r>
</w:p>
<w:p>
<w:pPr><w:pStyle w:val="Normal"/></w:pPr>
<w:r><w:t xml:space="preserve">death in 1801, and had travelled over a large part of the</w:t></w:r>
</w:p>
<w:p>
<w:pPr><w:pStyle w:val="Normal"/></w:pPr>
<w:r><w:t xml:space="preserve">continent of Europe, meeting on his journeys Napoleon Bonaparte</w:t></w:r>
</w:p>
<w:p>
<w:pPr><w:pStyle w:val="Normal"/></w:pPr>
<w:r><w:t xml:space="preserve">and other persons of distinction.  He also spent some time in</w:t></w:r>
</w:p>
<w:p>
<w:pPr><w:pStyle w:val="Normal"/></w:pPr>
<w:r><w:t xml:space="preserve">Greece, and on his return to England founded the Athenian</w:t></w:r>
</w:p>
<w:p>
<w:pPr><w:pStyle w:val="Normal"/></w:pPr>
<w:r><w:t xml:space="preserve">Society, membership of which was confined to those who had</w:t></w:r>
</w:p>
<w:p>
<w:pPr><w:pStyle w:val="Normal"/></w:pPr>
<w:r><w:t xml:space="preserve">travelled in that country.  Moreover, he wrote an article in</w:t></w:r>
</w:p>
<w:p>
<w:pPr><w:pStyle w:val="Normal"/></w:pPr>
<w:r><w:t xml:space="preserve">the Edinburgh Review of July 1805 criticizing Sir William</w:t></w:r>
</w:p>
<w:p>
<w:pPr><w:pStyle w:val="Normal"/></w:pPr>
<w:r><w:t xml:space="preserve">Gill&apos;s Topography of Troy, and these circumstances led Lord</w:t></w:r>
</w:p>
<w:p>
<w:pPr><w:pStyle w:val="Normal"/></w:pPr>
<w:r><w:t xml:space="preserve">Byron to refer to him in Eniglish Bardo and Scotch Reviewers</w:t></w:r>
</w:p>
<w:p>
<w:pPr><w:pStyle w:val="Normal"/></w:pPr>
<w:r><w:t xml:space="preserve">as ``the travell&apos;d thane, Athenian Aberdeen.&apos;&apos; Having attained</w:t></w:r>
</w:p>
<w:p>
<w:pPr><w:pStyle w:val="Normal"/></w:pPr>
<w:r><w:t xml:space="preserve">his majority in 1805, he married on the 28th of July Catherine</w:t></w:r>
</w:p>
<w:p>
<w:pPr><w:pStyle w:val="Normal"/></w:pPr>
<w:r><w:t xml:space="preserve">Elizabeth Hamilton, daughter of John James, 1st marquess of</w:t></w:r>
</w:p>
<w:p>
<w:pPr><w:pStyle w:val="Normal"/></w:pPr>
<w:r><w:t xml:space="preserve">Abercorn.  In December 1806 he was elected a representative</w:t></w:r>
</w:p>
<w:p>
<w:pPr><w:pStyle w:val="Normal"/></w:pPr>
<w:r><w:t xml:space="preserve">peer for Scotland, and took his seat as a Tory in the House of</w:t></w:r>
</w:p>
<w:p>
<w:pPr><w:pStyle w:val="Normal"/></w:pPr>
<w:r><w:t xml:space="preserve">Lords, but for some years he took only a slight part in public</w:t></w:r>
</w:p>
<w:p>
<w:pPr><w:pStyle w:val="Normal"/></w:pPr>
<w:r><w:t xml:space="preserve">business.  However, by his birth, his abilities and his</w:t></w:r>
</w:p>
<w:p>
<w:pPr><w:pStyle w:val="Normal"/></w:pPr>
<w:r><w:t xml:space="preserve">connexions alike he was marked out for a high position, and</w:t></w:r>
</w:p>
<w:p>
<w:pPr><w:pStyle w:val="Normal"/></w:pPr>
<w:r><w:t xml:space="preserve">after the death of his wife in February 1812 he was appointed</w:t></w:r>
</w:p>
<w:p>
<w:pPr><w:pStyle w:val="Normal"/></w:pPr>
<w:r><w:t xml:space="preserve">ambassador extraordinary and minister plenipotentiary at</w:t></w:r>
</w:p>
<w:p>
<w:pPr><w:pStyle w:val="Normal"/></w:pPr>
<w:r><w:t xml:space="preserve">Vienna, where he signed the treaty of Toplitz between Great</w:t></w:r>
</w:p>
<w:p>
<w:pPr><w:pStyle w:val="Normal"/></w:pPr>
<w:r><w:t xml:space="preserve">Britain and Austria in October 1813; and accompanying the</w:t></w:r>
</w:p>
<w:p>
<w:pPr><w:pStyle w:val="Normal"/></w:pPr>
<w:r><w:t xml:space="preserve">emperor Francis I. through the subsequent campaign against</w:t></w:r>
</w:p>
<w:p>
<w:pPr><w:pStyle w:val="Normal"/></w:pPr>
<w:r><w:t xml:space="preserve">France, he was present at the battle of Leipzig.  He was</w:t></w:r>
</w:p>
<w:p>
<w:pPr><w:pStyle w:val="Normal"/></w:pPr>
<w:r><w:t xml:space="preserve">one of the British representatives at the congress of</w:t></w:r>
</w:p>
<w:p>
<w:pPr><w:pStyle w:val="Normal"/></w:pPr>
<w:r><w:t xml:space="preserve">Chatillon in February 1814, and in the same capacity was</w:t></w:r>
</w:p>
<w:p>
<w:pPr><w:pStyle w:val="Normal"/></w:pPr>
<w:r><w:t xml:space="preserve">present during the negotiations which led to the treaty of</w:t></w:r>
</w:p>
<w:p>
<w:pPr><w:pStyle w:val="Normal"/></w:pPr>
<w:r><w:t xml:space="preserve">Paris in the following May. Returning home he was created</w:t></w:r>
</w:p>
<w:p>
<w:pPr><w:pStyle w:val="Normal"/></w:pPr>
<w:r><w:t xml:space="preserve">a peer of the United Kingdom as Viscount Gordon of Aberdeen</w:t></w:r>
</w:p>
<w:p>
<w:pPr><w:pStyle w:val="Normal"/></w:pPr>
<w:r><w:t xml:space="preserve">(1814), and made a member of the privy council.  On the 15th</w:t></w:r>
</w:p>
<w:p>
<w:pPr><w:pStyle w:val="Normal"/></w:pPr>
<w:r><w:t xml:space="preserve">of Juby 1815 he married Harriet, daughter of the Hon. John</w:t></w:r>
</w:p>
<w:p>
<w:pPr><w:pStyle w:val="Normal"/></w:pPr>
<w:r><w:t xml:space="preserve">Douglas, and widow of James, Viscount Hamilton, and thus</w:t></w:r>
</w:p>
<w:p>
<w:pPr><w:pStyle w:val="Normal"/></w:pPr>
<w:r><w:t xml:space="preserve">became doubly connected with the family of the marquess of</w:t></w:r>
</w:p>
<w:p>
<w:pPr><w:pStyle w:val="Normal"/></w:pPr>
<w:r><w:t xml:space="preserve">Abercorn.  During the ensuing thirteen years Aberdeen took a</w:t></w:r>
</w:p>
<w:p>
<w:pPr><w:pStyle w:val="Normal"/></w:pPr>
<w:r><w:t xml:space="preserve">less prominent part in public affairs, although he succeeded</w:t></w:r>
</w:p>
<w:p>
<w:pPr><w:pStyle w:val="Normal"/></w:pPr>
<w:r><w:t xml:space="preserve">in passing the Entail (Scotland) Act of 1825.  He kept in</w:t></w:r>
</w:p>
<w:p>
<w:pPr><w:pStyle w:val="Normal"/></w:pPr>
<w:r><w:t xml:space="preserve">touch, however, with foreign politics, and having refused to</w:t></w:r>
</w:p>
<w:p>
<w:pPr><w:pStyle w:val="Normal"/></w:pPr>
<w:r><w:t xml:space="preserve">join the ministry of George Canning in 1827, became a member</w:t></w:r>
</w:p>
<w:p>
<w:pPr><w:pStyle w:val="Normal"/></w:pPr>
<w:r><w:t xml:space="preserve">of the cabinet of the duke of Wellington as chancellor of the</w:t></w:r>
</w:p>
<w:p>
<w:pPr><w:pStyle w:val="Normal"/></w:pPr>
<w:r><w:t xml:space="preserve">duchy of Lancaster in January 1828.  In the following June he</w:t></w:r>
</w:p>
<w:p>
<w:pPr><w:pStyle w:val="Normal"/></w:pPr>
<w:r><w:t xml:space="preserve">was transferred to the office of secretary of state for foreign</w:t></w:r>
</w:p>
<w:p>
<w:pPr><w:pStyle w:val="Normal"/></w:pPr>
<w:r><w:t xml:space="preserve">affairs, and having acquitted himself with credit with regard</w:t></w:r>
</w:p>
<w:p>
<w:pPr><w:pStyle w:val="Normal"/></w:pPr>
<w:r><w:t xml:space="preserve">to the war between Russia and Turkey, and to affairs in Greece,</w:t></w:r>
</w:p>
<w:p>
<w:pPr><w:pStyle w:val="Normal"/></w:pPr>
<w:r><w:t xml:space="preserve">Portugal and France, he resigned with Wellington in November</w:t></w:r>
</w:p>
<w:p>
<w:pPr><w:pStyle w:val="Normal"/></w:pPr>
<w:r><w:t xml:space="preserve">1830, and shared his leader&apos;s attitude towards the Reform</w:t></w:r>
</w:p>
<w:p>
<w:pPr><w:pStyle w:val="Normal"/></w:pPr>
<w:r><w:t xml:space="preserve">Bill of 1832.  As a Scotsman, Aberdeen was interested in the</w:t></w:r>
</w:p>
<w:p>
<w:pPr><w:pStyle w:val="Normal"/></w:pPr>
<w:r><w:t xml:space="preserve">ecclesiastical controversy which culminated in the disruption of</w:t></w:r>
</w:p>
<w:p>
<w:pPr><w:pStyle w:val="Normal"/></w:pPr>
<w:r><w:t xml:space="preserve">1843.  In 1840 he introduced a bill to settle the vexed question</w:t></w:r>
</w:p>
<w:p>
<w:pPr><w:pStyle w:val="Normal"/></w:pPr>
<w:r><w:t xml:space="preserve">of patronage; but disliked by a majority in the general assembly</w:t></w:r>
</w:p>
<w:p>
<w:pPr><w:pStyle w:val="Normal"/></w:pPr>
<w:r><w:t xml:space="preserve">of the Scotch church, and unsupported by the government, it</w:t></w:r>
</w:p>
<w:p>
<w:pPr><w:pStyle w:val="Normal"/></w:pPr>
<w:r><w:t xml:space="preserve">failed to become law, and some opprobrium was cast upon its</w:t></w:r>
</w:p>
<w:p>
<w:pPr><w:pStyle w:val="Normal"/></w:pPr>
<w:r><w:t xml:space="preserve">author.  In 1843 he brought forward a similar measure ``to</w:t></w:r>
</w:p>
<w:p>
<w:pPr><w:pStyle w:val="Normal"/></w:pPr>
<w:r><w:t xml:space="preserve">remove doubts respecting the admission of ministers to</w:t></w:r>
</w:p>
<w:p>
<w:pPr><w:pStyle w:val="Normal"/></w:pPr>
<w:r><w:t xml:space="preserve">benefices.&apos;&apos; This Admission to Benefices Act, as it was called,</w:t></w:r>
</w:p>
<w:p>
<w:pPr><w:pStyle w:val="Normal"/></w:pPr>
<w:r><w:t xml:space="preserve">passed into law, but did not reconcile the opposing parties.</w:t></w:r>
</w:p>
<w:p>
<w:pPr><w:pStyle w:val="Normal"/></w:pPr>
<w:r><w:t xml:space="preserve">During the short administration of Sir Robert Peel in 1834</w:t></w:r>
</w:p>
<w:p>
<w:pPr><w:pStyle w:val="Normal"/></w:pPr>
<w:r><w:t xml:space="preserve">and 1835, Aberdeen had filled the office of secretary for</w:t></w:r>
</w:p>
<w:p>
<w:pPr><w:pStyle w:val="Normal"/></w:pPr>
<w:r><w:t xml:space="preserve">the colonies, and in September 1841 he took office again</w:t></w:r>
</w:p>
<w:p>
<w:pPr><w:pStyle w:val="Normal"/></w:pPr>
<w:r><w:t xml:space="preserve">under Peel, on this occasion as foreign secretary; the</w:t></w:r>
</w:p>
<w:p>
<w:pPr><w:pStyle w:val="Normal"/></w:pPr>
<w:r><w:t xml:space="preserve">five years during which he held this position were the most</w:t></w:r>
</w:p>
<w:p>
<w:pPr><w:pStyle w:val="Normal"/></w:pPr>
<w:r><w:t xml:space="preserve">fruitful and successful of his public life.  He owed his</w:t></w:r>
</w:p>
<w:p>
<w:pPr><w:pStyle w:val="Normal"/></w:pPr>
<w:r><w:t xml:space="preserve">success to the confidence placed in him by Queen Victoria,</w:t></w:r>
</w:p>
<w:p>
<w:pPr><w:pStyle w:val="Normal"/></w:pPr>
<w:r><w:t xml:space="preserve">to his wide knowledge of European politics, to his intimate</w:t></w:r>
</w:p>
<w:p>
<w:pPr><w:pStyle w:val="Normal"/></w:pPr>
<w:r><w:t xml:space="preserve">friendship with Guizot, and not least to his own conciliatory</w:t></w:r>
</w:p>
<w:p>
<w:pPr><w:pStyle w:val="Normal"/></w:pPr>
<w:r><w:t xml:space="preserve">disposition.  Largely owing to his efforts, causes of quarrel</w:t></w:r>
</w:p>
<w:p>
<w:pPr><w:pStyle w:val="Normal"/></w:pPr>
<w:r><w:t xml:space="preserve">between Great Britain and France in Tahiti, over the marriage</w:t></w:r>
</w:p>
<w:p>
<w:pPr><w:pStyle w:val="Normal"/></w:pPr>
<w:r><w:t xml:space="preserve">of Isabella II. of Spain, and in other directions, were</w:t></w:r>
</w:p>
<w:p>
<w:pPr><w:pStyle w:val="Normal"/></w:pPr>
<w:r><w:t xml:space="preserve">removed.  More important still were his services in settling</w:t></w:r>
</w:p>
<w:p>
<w:pPr><w:pStyle w:val="Normal"/></w:pPr>
<w:r><w:t xml:space="preserve">the question of the boundary between the United States and</w:t></w:r>
</w:p>
<w:p>
<w:pPr><w:pStyle w:val="Normal"/></w:pPr>
<w:r><w:t xml:space="preserve">British North America at a time when a single injudicious</w:t></w:r>
</w:p>
<w:p>
<w:pPr><w:pStyle w:val="Normal"/></w:pPr>
<w:r><w:t xml:space="preserve">word would probably have provoked a war.  In 1845 he supported</w:t></w:r>
</w:p>
<w:p>
<w:pPr><w:pStyle w:val="Normal"/></w:pPr>
<w:r><w:t xml:space="preserve">Peel when in a divided cabinet he proposed to suspend the duty</w:t></w:r>
</w:p>
<w:p>
<w:pPr><w:pStyle w:val="Normal"/></w:pPr>
<w:r><w:t xml:space="preserve">on foreign corn, and left office with that minister in July</w:t></w:r>
</w:p>
<w:p>
<w:pPr><w:pStyle w:val="Normal"/></w:pPr>
<w:r><w:t xml:space="preserve">1846.  After Peel&apos;s death in 1850 he became the recognized</w:t></w:r>
</w:p>
<w:p>
<w:pPr><w:pStyle w:val="Normal"/></w:pPr>
<w:r><w:t xml:space="preserve">leader of the Peelites, although since his resignation his</w:t></w:r>
</w:p>
<w:p>
<w:pPr><w:pStyle w:val="Normal"/></w:pPr>
<w:r><w:t xml:space="preserve">share in public business had been confined to a few speeches</w:t></w:r>
</w:p>
<w:p>
<w:pPr><w:pStyle w:val="Normal"/></w:pPr>
<w:r><w:t xml:space="preserve">on foreign affairs.  His dislike of the Ecclesiastical Titles</w:t></w:r>
</w:p>
<w:p>
<w:pPr><w:pStyle w:val="Normal"/></w:pPr>
<w:r><w:t xml:space="preserve">Assumption Bill, the rejection of which he failed to secure in</w:t></w:r>
</w:p>
<w:p>
<w:pPr><w:pStyle w:val="Normal"/></w:pPr>
<w:r><w:t xml:space="preserve">1851, prevented him from joining the government of Lord John</w:t></w:r>
</w:p>
<w:p>
<w:pPr><w:pStyle w:val="Normal"/></w:pPr>
<w:r><w:t xml:space="preserve">Russell, or from forming an administration himself in this</w:t></w:r>
</w:p>
<w:p>
<w:pPr><w:pStyle w:val="Normal"/></w:pPr>
<w:r><w:t xml:space="preserve">year.  In December 1852, however, be became first lord of</w:t></w:r>
</w:p>
<w:p>
<w:pPr><w:pStyle w:val="Normal"/></w:pPr>
<w:r><w:t xml:space="preserve">the treasury and head of a coalition ministry of Whigs and</w:t></w:r>
</w:p>
<w:p>
<w:pPr><w:pStyle w:val="Normal"/></w:pPr>
<w:r><w:t xml:space="preserve">Peelites.  Although united on free trade and in general</w:t></w:r>
</w:p>
<w:p>
<w:pPr><w:pStyle w:val="Normal"/></w:pPr>
<w:r><w:t xml:space="preserve">on questions of domestic reform, a cabinet which contained</w:t></w:r>
</w:p>
<w:p>
<w:pPr><w:pStyle w:val="Normal"/></w:pPr>
<w:r><w:t xml:space="preserve">Lord Palmerston and Lord John Russell, in addition to</w:t></w:r>
</w:p>
<w:p>
<w:pPr><w:pStyle w:val="Normal"/></w:pPr>
<w:r><w:t xml:space="preserve">Aberdeen, was certain to differ on questions of foreign</w:t></w:r>
</w:p>
<w:p>
<w:pPr><w:pStyle w:val="Normal"/></w:pPr>
<w:r><w:t xml:space="preserve">policy.  The strong and masterful character of these and</w:t></w:r>
</w:p>
<w:p>
<w:pPr><w:pStyle w:val="Normal"/></w:pPr>
<w:r><w:t xml:space="preserve">other colleagues made the task of the prime minister one</w:t></w:r>
</w:p>
<w:p>
<w:pPr><w:pStyle w:val="Normal"/></w:pPr>
<w:r><w:t xml:space="preserve">of unusual difficulty, a fact which was recognized by</w:t></w:r>
</w:p>
<w:p>
<w:pPr><w:pStyle w:val="Normal"/></w:pPr>
<w:r><w:t xml:space="preserve">contemporaries.  Charles Greville in his Memoirs says,</w:t></w:r>
</w:p>
<w:p>
<w:pPr><w:pStyle w:val="Normal"/></w:pPr>
<w:r><w:t xml:space="preserve">``In the present cabinet are five or six first-rate men of</w:t></w:r>
</w:p>
<w:p>
<w:pPr><w:pStyle w:val="Normal"/></w:pPr>
<w:r><w:t xml:space="preserve">equal, or nearly equal, pretensions, none of them likely to</w:t></w:r>
</w:p>
<w:p>
<w:pPr><w:pStyle w:val="Normal"/></w:pPr>
<w:r><w:t xml:space="preserve">acknowledge the superiority or defer to the opinions of any</w:t></w:r>
</w:p>
<w:p>
<w:pPr><w:pStyle w:val="Normal"/></w:pPr>
<w:r><w:t xml:space="preserve">other, and every one of these five or six considering himself</w:t></w:r>
</w:p>
<w:p>
<w:pPr><w:pStyle w:val="Normal"/></w:pPr>
<w:r><w:t xml:space="preserve">abler and more important than their premier&apos;&apos;; and Sir James</w:t></w:r>
</w:p>
<w:p>
<w:pPr><w:pStyle w:val="Normal"/></w:pPr>
<w:r><w:t xml:space="preserve">Graham wrote, ``It is a powerful team, but it will require good</w:t></w:r>
</w:p>
<w:p>
<w:pPr><w:pStyle w:val="Normal"/></w:pPr>
<w:r><w:t xml:space="preserve">driving.&apos;&apos; The first year of office passed off successfully,</w:t></w:r>
</w:p>
<w:p>
<w:pPr><w:pStyle w:val="Normal"/></w:pPr>
<w:r><w:t xml:space="preserve">and it was owing to the steady support of the prime minister</w:t></w:r>
</w:p>
<w:p>
<w:pPr><w:pStyle w:val="Normal"/></w:pPr>
<w:r><w:t xml:space="preserve">that Gladstone&apos;s great budget of 1853 was accepted by the</w:t></w:r>
</w:p>
<w:p>
<w:pPr><w:pStyle w:val="Normal"/></w:pPr>
<w:r><w:t xml:space="preserve">cabinet.  This was followed by the outbreak of the dispute</w:t></w:r>
</w:p>
<w:p>
<w:pPr><w:pStyle w:val="Normal"/></w:pPr>
<w:r><w:t xml:space="preserve">between France and Turkey over the guardianship of the</w:t></w:r>
</w:p>
<w:p>
<w:pPr><w:pStyle w:val="Normal"/></w:pPr>
<w:r><w:t xml:space="preserve">holy places at Jerusalem, which, after the original cause</w:t></w:r>
</w:p>
<w:p>
<w:pPr><w:pStyle w:val="Normal"/></w:pPr>
<w:r><w:t xml:space="preserve">of quarrel had been forgotten, developed into the Crimean</w:t></w:r>
</w:p>
<w:p>
<w:pPr><w:pStyle w:val="Normal"/></w:pPr>
<w:r><w:t xml:space="preserve">war.  The tortuous negotiations which preceded the struggle</w:t></w:r>
</w:p>
<w:p>
<w:pPr><w:pStyle w:val="Normal"/></w:pPr>
<w:r><w:t xml:space="preserve">need not be discussed here, but in defence of Aberdeen</w:t></w:r>
</w:p>
<w:p>
<w:pPr><w:pStyle w:val="Normal"/></w:pPr>
<w:r><w:t xml:space="preserve">it may be said that he hoped and strove for peace to the</w:t></w:r>
</w:p>
<w:p>
<w:pPr><w:pStyle w:val="Normal"/></w:pPr>
<w:r><w:t xml:space="preserve">last.  Rightly or wrongly, however, he held that Russell was</w:t></w:r>
</w:p>
<w:p>
<w:pPr><w:pStyle w:val="Normal"/></w:pPr>
<w:r><w:t xml:space="preserve">indispensable to the cabinet, and that a resignation would</w:t></w:r>
</w:p>
<w:p>
<w:pPr><w:pStyle w:val="Normal"/></w:pPr>
<w:r><w:t xml:space="preserve">precipitate war.  His outlook, usually so clear, was blurred</w:t></w:r>
</w:p>
<w:p>
<w:pPr><w:pStyle w:val="Normal"/></w:pPr>
<w:r><w:t xml:space="preserve">by these considerations, and he lacked the strength to force</w:t></w:r>
</w:p>
<w:p>
<w:pPr><w:pStyle w:val="Normal"/></w:pPr>
<w:r><w:t xml:space="preserve">the suggestions which he made in the autumn of 1853 upon his</w:t></w:r>
</w:p>
<w:p>
<w:pPr><w:pStyle w:val="Normal"/></w:pPr>
<w:r><w:t xml:space="preserve">imperious colleagues.  Palmerston, supported by Russell and</w:t></w:r>
</w:p>
<w:p>
<w:pPr><w:pStyle w:val="Normal"/></w:pPr>
<w:r><w:t xml:space="preserve">well served by Lord Stratford de Redcllffe, British ambassador</w:t></w:r>
</w:p>
<w:p>
<w:pPr><w:pStyle w:val="Normal"/></w:pPr>
<w:r><w:t xml:space="preserve">at Constantinople, favoured a more aggressive policy, and</w:t></w:r>
</w:p>
<w:p>
<w:pPr><w:pStyle w:val="Normal"/></w:pPr>
<w:r><w:t xml:space="preserve">Aberdeen, unable to control Palmerston, and unwilling to let</w:t></w:r>
</w:p>
<w:p>
<w:pPr><w:pStyle w:val="Normal"/></w:pPr>
<w:r><w:t xml:space="preserve">Russell go, cannot be exonerated from blame.  When the war</w:t></w:r>
</w:p>
<w:p>
<w:pPr><w:pStyle w:val="Normal"/></w:pPr>
<w:r><w:t xml:space="preserve">began he wished to prosecute it vigorously; but the stories</w:t></w:r>
</w:p>
<w:p>
<w:pPr><w:pStyle w:val="Normal"/></w:pPr>
<w:r><w:t xml:space="preserve">of misery and mismanagement from the seat of war deprived</w:t></w:r>
</w:p>
<w:p>
<w:pPr><w:pStyle w:val="Normal"/></w:pPr>
<w:r><w:t xml:space="preserve">the ministry of public favour.  Russell resigned; and on</w:t></w:r>
</w:p>
<w:p>
<w:pPr><w:pStyle w:val="Normal"/></w:pPr>
<w:r><w:t xml:space="preserve">the 29th of January 1855 a motion by J. A. Roebuck, for the</w:t></w:r>
</w:p>
<w:p>
<w:pPr><w:pStyle w:val="Normal"/></w:pPr>
<w:r><w:t xml:space="preserve">appointment of a select committee to enquire into the conduct</w:t></w:r>
</w:p>
<w:p>
<w:pPr><w:pStyle w:val="Normal"/></w:pPr>
<w:r><w:t xml:space="preserve">of the War, was carried in the House of Commons by a large</w:t></w:r>
</w:p>
<w:p>
<w:pPr><w:pStyle w:val="Normal"/></w:pPr>
<w:r><w:t xml:space="preserve">majority.  Treating this as a vote of want of confidence</w:t></w:r>
</w:p>
<w:p>
<w:pPr><w:pStyle w:val="Normal"/></w:pPr>
<w:r><w:t xml:space="preserve">Aberdeen at once resigned office, and the queen bestowed</w:t></w:r>
</w:p>
<w:p>
<w:pPr><w:pStyle w:val="Normal"/></w:pPr>
<w:r><w:t xml:space="preserve">upon him the order of the Garter.  He smoothed the way for</w:t></w:r>
</w:p>
<w:p>
<w:pPr><w:pStyle w:val="Normal"/></w:pPr>
<w:r><w:t xml:space="preserve">Palmerston to succeed him, and while the earl of Clarendon</w:t></w:r>
</w:p>
<w:p>
<w:pPr><w:pStyle w:val="Normal"/></w:pPr>
<w:r><w:t xml:space="preserve">remained at the foreign office he aided him with advice and</w:t></w:r>
</w:p>
<w:p>
<w:pPr><w:pStyle w:val="Normal"/></w:pPr>
<w:r><w:t xml:space="preserve">was consulted on matters of moment.  He died in London on the</w:t></w:r>
</w:p>
<w:p>
<w:pPr><w:pStyle w:val="Normal"/></w:pPr>
<w:r><w:t xml:space="preserve">14th of December 1860, and was buried in the family vault at</w:t></w:r>
</w:p>
<w:p>
<w:pPr><w:pStyle w:val="Normal"/></w:pPr>
<w:r><w:t xml:space="preserve">Stanmore.  By his first wife he had one son and three</w:t></w:r>
</w:p>
<w:p>
<w:pPr><w:pStyle w:val="Normal"/></w:pPr>
<w:r><w:t xml:space="preserve">daughters, all of whom predeceased their father.  By his second</w:t></w:r>
</w:p>
<w:p>
<w:pPr><w:pStyle w:val="Normal"/></w:pPr>
<w:r><w:t xml:space="preserve">wife, who died in August 1833, he left four sons and one</w:t></w:r>
</w:p>
<w:p>
<w:pPr><w:pStyle w:val="Normal"/></w:pPr>
<w:r><w:t xml:space="preserve">daughter.  His eldest son, George John James, succeeded as 5th</w:t></w:r>
</w:p>
<w:p>
<w:pPr><w:pStyle w:val="Normal"/></w:pPr>
<w:r><w:t xml:space="preserve">earl; his second son was General Sir Alexander Hamilton-Gordon,</w:t></w:r>
</w:p>
<w:p>
<w:pPr><w:pStyle w:val="Normal"/></w:pPr>
<w:r><w:t xml:space="preserve">K.C.B.; his third son was the Reverend Douglas Hamilton-Gordon;</w:t></w:r>
</w:p>
<w:p>
<w:pPr><w:pStyle w:val="Normal"/></w:pPr>
<w:r><w:t xml:space="preserve">and his youngest son Arthur Hamilton, after holding various</w:t></w:r>
</w:p>
<w:p>
<w:pPr><w:pStyle w:val="Normal"/></w:pPr>
<w:r><w:t xml:space="preserve">high offices under the crown, was created Baron Stanmore in</w:t></w:r>
</w:p>
<w:p>
<w:pPr><w:pStyle w:val="Normal"/></w:pPr>
<w:r><w:t xml:space="preserve">1893.  Among the public offices held by the earl were those of</w:t></w:r>
</w:p>
<w:p>
<w:pPr><w:pStyle w:val="Normal"/></w:pPr>
<w:r><w:t xml:space="preserve">lord-lieutenant of Aberdeenshire, president of the society of</w:t></w:r>
</w:p>
<w:p>
<w:pPr><w:pStyle w:val="Normal"/></w:pPr>
<w:r><w:t xml:space="preserve">Antiquaries from 1812 to 1846 and fellow of the Royal Society.</w:t></w:r>
</w:p>
<w:p>
<w:pPr><w:pStyle w:val="Normal"/></w:pPr>
<w:r><w:t xml:space="preserve">Aberdeen was a distinguished scholar with a retentive memory</w:t></w:r>
</w:p>
<w:p>
<w:pPr><w:pStyle w:val="Normal"/></w:pPr>
<w:r><w:t xml:space="preserve">and a wide knowledge of literature and art.  His private life</w:t></w:r>
</w:p>
<w:p>
<w:pPr><w:pStyle w:val="Normal"/></w:pPr>
<w:r><w:t xml:space="preserve">was exemplary, and he impressed his contemporaries with the</w:t></w:r>
</w:p>
<w:p>
<w:pPr><w:pStyle w:val="Normal"/></w:pPr>
<w:r><w:t xml:space="preserve">loftiness of his character.  His manner was reserved, and</w:t></w:r>
</w:p>
<w:p>
<w:pPr><w:pStyle w:val="Normal"/></w:pPr>
<w:r><w:t xml:space="preserve">as a speaker he was weighty rather than eloquent.  In public</w:t></w:r>
</w:p>
<w:p>
<w:pPr><w:pStyle w:val="Normal"/></w:pPr>
<w:r><w:t xml:space="preserve">life he was remarkable for his generosity to his political</w:t></w:r>
</w:p>
<w:p>
<w:pPr><w:pStyle w:val="Normal"/></w:pPr>
<w:r><w:t xml:space="preserve">opponents, and for his sense of justice and honesty.  He</w:t></w:r>
</w:p>
<w:p>
<w:pPr><w:pStyle w:val="Normal"/></w:pPr>
<w:r><w:t xml:space="preserve">did not, however, possess the qualities which impress the</w:t></w:r>
</w:p>
<w:p>
<w:pPr><w:pStyle w:val="Normal"/></w:pPr>
<w:r><w:t xml:space="preserve">populace, and he lacked the strength which is one of the</w:t></w:r>
</w:p>
<w:p>
<w:pPr><w:pStyle w:val="Normal"/></w:pPr>
<w:r><w:t xml:space="preserve">essential gifts of a statesman.  His character is perhaps best</w:t></w:r>
</w:p>
<w:p>
<w:pPr><w:pStyle w:val="Normal"/></w:pPr>
<w:r><w:t xml:space="preserve">described by a writer who says ``his strength was not equal</w:t></w:r>
</w:p>
<w:p>
<w:pPr><w:pStyle w:val="Normal"/></w:pPr>
<w:r><w:t xml:space="preserve">to his goodness.&apos;&apos; His foreign policy was essentially one of</w:t></w:r>
</w:p>
<w:p>
<w:pPr><w:pStyle w:val="Normal"/></w:pPr>
<w:r><w:t xml:space="preserve">peace and non-intervention, and in pursuing it he was accused</w:t></w:r>
</w:p>
<w:p>
<w:pPr><w:pStyle w:val="Normal"/></w:pPr>
<w:r><w:t xml:space="preserve">of favouring the despotisms of Europe.  Aberdeen was a model</w:t></w:r>
</w:p>
<w:p>
<w:pPr><w:pStyle w:val="Normal"/></w:pPr>
<w:r><w:t xml:space="preserve">landlord.  By draining the land, by planting millions of trees</w:t></w:r>
</w:p>
<w:p>
<w:pPr><w:pStyle w:val="Normal"/></w:pPr>
<w:r><w:t xml:space="preserve">and by erecting numerous buildings, he greatly improved the</w:t></w:r>
</w:p>
<w:p>
<w:pPr><w:pStyle w:val="Normal"/></w:pPr>
<w:r><w:t xml:space="preserve">condition of his Aberdeenshire estates, and studied continually</w:t></w:r>
</w:p>
<w:p>
<w:pPr><w:pStyle w:val="Normal"/></w:pPr>
<w:r><w:t xml:space="preserve">the welfare of his dependants.  A bust of him by Matthew Noble</w:t></w:r>
</w:p>
<w:p>
<w:pPr><w:pStyle w:val="Normal"/></w:pPr>
<w:r><w:t xml:space="preserve">is in Westminster Abbey, and his portrait was painted by Sir</w:t></w:r>
</w:p>
<w:p>
<w:pPr><w:pStyle w:val="Normal"/></w:pPr>
<w:r><w:t xml:space="preserve">Thomas Lawrence.  He wrote An Inquiry into the Principles</w:t></w:r>
</w:p>
<w:p>
<w:pPr><w:pStyle w:val="Normal"/></w:pPr>
<w:r><w:t xml:space="preserve">of Beauty in Grecian Architecture (London, 1822), and the</w:t></w:r>
</w:p>
<w:p>
<w:pPr><w:pStyle w:val="Normal"/></w:pPr>
<w:r><w:t xml:space="preserve">Correspondence of the Earl of Aberdeen has been printed</w:t></w:r>
</w:p>
<w:p>
<w:pPr><w:pStyle w:val="Normal"/></w:pPr>
<w:r><w:t xml:space="preserve">privately under the direction of his son, Lord Stanmore.</w:t></w:r>
</w:p>
<w:p>
<w:pPr><w:pStyle w:val="Normal"/></w:pPr>
<w:r><w:t xml:space="preserve">The 6th earl, George (1841-1870), son of the 5th earl,</w:t></w:r>
</w:p>
<w:p>
<w:pPr><w:pStyle w:val="Normal"/></w:pPr>
<w:r><w:t xml:space="preserve">was drowned at sea, and was succeeded by his brother</w:t></w:r>
</w:p>
<w:p>
<w:pPr><w:pStyle w:val="Normal"/></w:pPr>
<w:r><w:t xml:space="preserve">John Campbell Gordon, 7th earl of Aberdeen, (b. 1847), a</w:t></w:r>
</w:p>
<w:p>
<w:pPr><w:pStyle w:val="Normal"/></w:pPr>
<w:r><w:t xml:space="preserve">prominent Liberal politician, who was lord-lieutenant of</w:t></w:r>
</w:p>
<w:p>
<w:pPr><w:pStyle w:val="Normal"/></w:pPr>
<w:r><w:t xml:space="preserve">Ireland in 1886, governor-general of Canada 1893--1898,</w:t></w:r>
</w:p>
<w:p>
<w:pPr><w:pStyle w:val="Normal"/></w:pPr>
<w:r><w:t xml:space="preserve">and again the lord-lieutenant of Ireland when Sir Henry</w:t></w:r>
</w:p>
<w:p>
<w:pPr><w:pStyle w:val="Normal"/></w:pPr>
<w:r><w:t xml:space="preserve">Campbell-Bannerman formed his ministry at the close of 1905.</w:t></w:r>
</w:p>
<w:p>
<w:pPr><w:pStyle w:val="Normal"/></w:pPr>
<w:r><w:t xml:space="preserve">See Lord Stanmore, The Earl of Aberdeen (London, 1893); C.</w:t></w:r>
</w:p>
<w:p>
<w:pPr><w:pStyle w:val="Heading1"/></w:pPr>
<w:r><w:t>C. F. Greville, Memoirs, edited by H. Reeve (London, 1888);</w:t></w:r>
</w:p>
<w:p>
<w:pPr><w:pStyle w:val="Normal"/></w:pPr>
<w:r><w:t xml:space="preserve">Spencer Walpole, History of England (London, 1878-1886),</w:t></w:r>
</w:p>
<w:p>
<w:pPr><w:pStyle w:val="Normal"/></w:pPr>
<w:r><w:t xml:space="preserve">and Life of Lord John Russell (London, 1889); A. W.</w:t></w:r>
</w:p>
<w:p>
<w:pPr><w:pStyle w:val="Normal"/></w:pPr>
<w:r><w:t xml:space="preserve">Kinglake, Invasion of the Crimea (London, 1877-1888);</w:t></w:r>
</w:p>
<w:p>
<w:pPr><w:pStyle w:val="Normal"/></w:pPr>
<w:r><w:t xml:space="preserve">Sir T. Martin, Life of the Prince Consort (London,</w:t></w:r>
</w:p>
<w:p>
<w:pPr><w:pStyle w:val="Normal"/></w:pPr>
<w:r><w:t xml:space="preserve">1875-1880); J. Morley, Life of Gladstone (London, 1903).</w:t></w:r>
</w:p>
<w:p>
<w:pPr><w:pStyle w:val="Normal"/></w:pPr>
<w:r><w:t xml:space="preserve">(A. W. H. deg. )</w:t></w:r>
</w:p>
<w:p>
<w:pPr><w:pStyle w:val="Normal"/></w:pPr>
<w:r><w:t xml:space="preserve">ABERDEEN, a royal burgh, city and county of a city,</w:t></w:r>
</w:p>
<w:p>
<w:pPr><w:pStyle w:val="Normal"/></w:pPr>
<w:r><w:t xml:space="preserve">capital of Aberdeenshire, and chief seaport in the north of</w:t></w:r>
</w:p>
<w:p>
<w:pPr><w:pStyle w:val="Normal"/></w:pPr>
<w:r><w:t xml:space="preserve">Scotland.  It is the fourth Scottish town in population,</w:t></w:r>
</w:p>
<w:p>
<w:pPr><w:pStyle w:val="Normal"/></w:pPr>
<w:r><w:t xml:space="preserve">industry and wealth, and stands on a bay of the North</w:t></w:r>
</w:p>
<w:p>
<w:pPr><w:pStyle w:val="Normal"/></w:pPr>
<w:r><w:t xml:space="preserve">Sea, between the mouths of the Don and Dee, 130 1/2 m.  N.</w:t></w:r>
</w:p>
<w:p>
<w:pPr><w:pStyle w:val="Normal"/></w:pPr>
<w:r><w:t xml:space="preserve">E. of Edinburgh by the North British railway.  Though Old</w:t></w:r>
</w:p>
<w:p>
<w:pPr><w:pStyle w:val="Normal"/></w:pPr>
<w:r><w:t xml:space="preserve">Aberdeen, extending from the city suburbs to the southern</w:t></w:r>
</w:p>
<w:p>
<w:pPr><w:pStyle w:val="Normal"/></w:pPr>
<w:r><w:t xml:space="preserve">banks of the Dob, has a separate charter, privileges and</w:t></w:r>
</w:p>
<w:p>
<w:pPr><w:pStyle w:val="Normal"/></w:pPr>
<w:r><w:t xml:space="preserve">history, the distinction between it and New Aberdeen can no</w:t></w:r>
</w:p>
<w:p>
<w:pPr><w:pStyle w:val="Normal"/></w:pPr>
<w:r><w:t xml:space="preserve">longer be said to exist; and for parliamentary, municipal</w:t></w:r>
</w:p>
<w:p>
<w:pPr><w:pStyle w:val="Normal"/></w:pPr>
<w:r><w:t xml:space="preserve">and other purposes, the two towns now form practically one</w:t></w:r>
</w:p>
<w:p>
<w:pPr><w:pStyle w:val="Normal"/></w:pPr>
<w:r><w:t xml:space="preserve">community.  Aberdeen&apos;s popular name of the ``Granite City,&apos;</w:t></w:r>
</w:p>
<w:p>
<w:pPr><w:pStyle w:val="Normal"/></w:pPr>
<w:r><w:t xml:space="preserve">is justified by the fact that the bulk of the town fs built</w:t></w:r>
</w:p>
<w:p>
<w:pPr><w:pStyle w:val="Normal"/></w:pPr>
<w:r><w:t xml:space="preserve">of granite, but to appreciate its more poetical designation</w:t></w:r>
</w:p>
<w:p>
<w:pPr><w:pStyle w:val="Normal"/></w:pPr>
<w:r><w:t xml:space="preserve">of the ``Silver City by the Sea,&apos;&apos; it should be seen after</w:t></w:r>
</w:p>
<w:p>
<w:pPr><w:pStyle w:val="Normal"/></w:pPr>
<w:r><w:t xml:space="preserve">a heavy rainfall when its stately structures and countless</w:t></w:r>
</w:p>
<w:p>
<w:pPr><w:pStyle w:val="Normal"/></w:pPr>
<w:r><w:t xml:space="preserve">houses gleam pure and white under the brilliant sunshine.</w:t></w:r>
</w:p>
<w:p>
<w:pPr><w:pStyle w:val="Normal"/></w:pPr>
<w:r><w:t xml:space="preserve">The area of the city extends to 6602 acres, the burghs of</w:t></w:r>
</w:p>
<w:p>
<w:pPr><w:pStyle w:val="Normal"/></w:pPr>
<w:r><w:t xml:space="preserve">Old Aberdeen and Woodside, and the district of Torry (for</w:t></w:r>
</w:p>
<w:p>
<w:pPr><w:pStyle w:val="Normal"/></w:pPr>
<w:r><w:t xml:space="preserve">parliamentary purposes in the constituency of Kincardineshire)</w:t></w:r>
</w:p>
<w:p>
<w:pPr><w:pStyle w:val="Normal"/></w:pPr>
<w:r><w:t xml:space="preserve">to the south of the Dee, having been incorporated in 1891.</w:t></w:r>
</w:p>
<w:p>
<w:pPr><w:pStyle w:val="Normal"/></w:pPr>
<w:r><w:t xml:space="preserve">The city comprises eleven wards and eighteen ecclesiastical</w:t></w:r>
</w:p>
<w:p>
<w:pPr><w:pStyle w:val="Normal"/></w:pPr>
<w:r><w:t xml:space="preserve">parishes, and is under the jurisdiction of a council with</w:t></w:r>
</w:p>
<w:p>
<w:pPr><w:pStyle w:val="Normal"/></w:pPr>
<w:r><w:t xml:space="preserve">lord provost, bailies, treasurer and dean of guild.  The</w:t></w:r>
</w:p>
<w:p>
<w:pPr><w:pStyle w:val="Normal"/></w:pPr>
<w:r><w:t xml:space="preserve">corporation owns the water (derived from the Dee at a spot 21</w:t></w:r>
</w:p>
<w:p>
<w:pPr><w:pStyle w:val="Normal"/></w:pPr>
<w:r><w:t xml:space="preserve">m.  W.S.W. of the city) and gas supplles, electric lighting and</w:t></w:r>
</w:p>
<w:p>
<w:pPr><w:pStyle w:val="Normal"/></w:pPr>
<w:r><w:t xml:space="preserve">tramways.  Since 1885 the city has returned two members to</w:t></w:r>
</w:p>
<w:p>
<w:pPr><w:pStyle w:val="Normal"/></w:pPr>
<w:r><w:t xml:space="preserve">Parliament.  Aberdeen is served by the Caledonian, Great North</w:t></w:r>
</w:p>
<w:p>
<w:pPr><w:pStyle w:val="Normal"/></w:pPr>
<w:r><w:t xml:space="preserve">of Scotland and North British railways (occupying a commodious</w:t></w:r>
</w:p>
<w:p>
<w:pPr><w:pStyle w:val="Normal"/></w:pPr>
<w:r><w:t xml:space="preserve">joint railway station), and there is regular communication by</w:t></w:r>
</w:p>
<w:p>
<w:pPr><w:pStyle w:val="Normal"/></w:pPr>
<w:r><w:t xml:space="preserve">sea with London and the chief ports on the eastern coast of</w:t></w:r>
</w:p>
<w:p>
<w:pPr><w:pStyle w:val="Normal"/></w:pPr>
<w:r><w:t xml:space="preserve">Great Britain and the northern shores of the Continent.  The mean</w:t></w:r>
</w:p>
<w:p>
<w:pPr><w:pStyle w:val="Normal"/></w:pPr>
<w:r><w:t xml:space="preserve">temperature of the city for the year is 45.8 deg.  F., for summer</w:t></w:r>
</w:p>
<w:p>
<w:pPr><w:pStyle w:val="Normal"/></w:pPr>
<w:r><w:t xml:space="preserve">56 deg.  F., and for winter 37.3 deg.  F. The average yearly rainfall</w:t></w:r>
</w:p>
<w:p>
<w:pPr><w:pStyle w:val="Normal"/></w:pPr>
<w:r><w:t xml:space="preserve">is 30.57 inches.  The city is one of the healthiest in Scotland.</w:t></w:r>
</w:p>
<w:p>
<w:pPr><w:pStyle w:val="Normal"/></w:pPr>
<w:r><w:t xml:space="preserve">Streets and Buildings.--Roughly, the extended city runs</w:t></w:r>
</w:p>
<w:p>
<w:pPr><w:pStyle w:val="Normal"/></w:pPr>
<w:r><w:t xml:space="preserve">north and south.  From the new bridge of Don to the ``auld</w:t></w:r>
</w:p>
<w:p>
<w:pPr><w:pStyle w:val="Normal"/></w:pPr>
<w:r><w:t xml:space="preserve">brig&apos;&apos; of Dee there is tramway communication via King</w:t></w:r>
</w:p>
<w:p>
<w:pPr><w:pStyle w:val="Normal"/></w:pPr>
<w:r><w:t xml:space="preserve">Street, Union Street and Holburn Road--a distance of over five</w:t></w:r>
</w:p>
<w:p>
<w:pPr><w:pStyle w:val="Normal"/></w:pPr>
<w:r><w:t xml:space="preserve">miles.  Union Street is one of the most imposing thoroughfares</w:t></w:r>
</w:p>
<w:p>
<w:pPr><w:pStyle w:val="Normal"/></w:pPr>
<w:r><w:t xml:space="preserve">in the British Isles.  From Castle Street it runs W. S. W.</w:t></w:r>
</w:p>
<w:p>
<w:pPr><w:pStyle w:val="Normal"/></w:pPr>
<w:r><w:t xml:space="preserve">for nearly a mile, is 70 ft. wide, and contains the principal</w:t></w:r>
</w:p>
<w:p>
<w:pPr><w:pStyle w:val="Normal"/></w:pPr>
<w:r><w:t xml:space="preserve">shops and most of the modern public buildings, all of granite.</w:t></w:r>
</w:p>
<w:p>
<w:pPr><w:pStyle w:val="Heading1"/></w:pPr>
<w:r><w:t>Part of the street crosses the Denburn ravine (utilized for</w:t></w:r>
</w:p>
<w:p>
<w:pPr><w:pStyle w:val="Normal"/></w:pPr>
<w:r><w:t xml:space="preserve">the line of the Great North of Scotland railway) by a fine</w:t></w:r>
</w:p>
<w:p>
<w:pPr><w:pStyle w:val="Normal"/></w:pPr>
<w:r><w:t xml:space="preserve">granite arch of 132 ft. span, portions of the older town</w:t></w:r>
</w:p>
<w:p>
<w:pPr><w:pStyle w:val="Normal"/></w:pPr>
<w:r><w:t xml:space="preserve">still fringing the gorge, fifty feet below the level of Union</w:t></w:r>
</w:p>
<w:p>
<w:pPr><w:pStyle w:val="Normal"/></w:pPr>
<w:r><w:t xml:space="preserve">Street.  Amongst the more conspicuous secular buildings in the</w:t></w:r>
</w:p>
<w:p>
<w:pPr><w:pStyle w:val="Normal"/></w:pPr>
<w:r><w:t xml:space="preserve">street may be mentioned the Town and County Bank, the Music</w:t></w:r>
</w:p>
<w:p>
<w:pPr><w:pStyle w:val="Normal"/></w:pPr>
<w:r><w:t xml:space="preserve">Hall, with sitting accommodation for 2000 persons, the Trinity</w:t></w:r>
</w:p>
<w:p>
<w:pPr><w:pStyle w:val="Normal"/></w:pPr>
<w:r><w:t xml:space="preserve">Hall of the incorporated trades (originating in various years</w:t></w:r>
</w:p>
<w:p>
<w:pPr><w:pStyle w:val="Normal"/></w:pPr>
<w:r><w:t xml:space="preserve">between 1398 and 1527, and having charitable funds for poor</w:t></w:r>
</w:p>
<w:p>
<w:pPr><w:pStyle w:val="Normal"/></w:pPr>
<w:r><w:t xml:space="preserve">members, widows and orphans), containing some portraits</w:t></w:r>
</w:p>
<w:p>
<w:pPr><w:pStyle w:val="Normal"/></w:pPr>
<w:r><w:t xml:space="preserve">by George Jamesone, a noteworthy set of carved oak chairs,</w:t></w:r>
</w:p>
<w:p>
<w:pPr><w:pStyle w:val="Normal"/></w:pPr>
<w:r><w:t xml:space="preserve">dating from 1574, and the shields of the crafts with quaint</w:t></w:r>
</w:p>
<w:p>
<w:pPr><w:pStyle w:val="Normal"/></w:pPr>
<w:r><w:t xml:space="preserve">inscriptions; the office of the Aberdeen Free Press, one of</w:t></w:r>
</w:p>
<w:p>
<w:pPr><w:pStyle w:val="Normal"/></w:pPr>
<w:r><w:t xml:space="preserve">the most influential papers in the north of Scotland; the Palace</w:t></w:r>
</w:p>
<w:p>
<w:pPr><w:pStyle w:val="Normal"/></w:pPr>
<w:r><w:t xml:space="preserve">Hotel; the office of the Nnrthern Assurance Company, and the</w:t></w:r>
</w:p>
<w:p>
<w:pPr><w:pStyle w:val="Normal"/></w:pPr>
<w:r><w:t xml:space="preserve">Nutional Bank of Scotland.  In Castle Street, a continuation</w:t></w:r>
</w:p>
<w:p>
<w:pPr><w:pStyle w:val="Normal"/></w:pPr>
<w:r><w:t xml:space="preserve">eastwards of Union Street, are situated the Municipnl and</w:t></w:r>
</w:p>
<w:p>
<w:pPr><w:pStyle w:val="Normal"/></w:pPr>
<w:r><w:t xml:space="preserve">County Buildings, one of the most splendid granite edifices</w:t></w:r>
</w:p>
<w:p>
<w:pPr><w:pStyle w:val="Normal"/></w:pPr>
<w:r><w:t xml:space="preserve">in Scotland, in the Franco-Scottish Gothic style, built in</w:t></w:r>
</w:p>
<w:p>
<w:pPr><w:pStyle w:val="Normal"/></w:pPr>
<w:r><w:t xml:space="preserve">1867-1878.  They are of four stories and contain the great</w:t></w:r>
</w:p>
<w:p>
<w:pPr><w:pStyle w:val="Normal"/></w:pPr>
<w:r><w:t xml:space="preserve">hall with an open timber ceiling and oak-panelled walls; the</w:t></w:r>
</w:p>
<w:p>
<w:pPr><w:pStyle w:val="Normal"/></w:pPr>
<w:r><w:t xml:space="preserve">Sheriff Court House; the Town Hall, with excellent portraits</w:t></w:r>
</w:p>
<w:p>
<w:pPr><w:pStyle w:val="Normal"/></w:pPr>
<w:r><w:t xml:space="preserve">of Prince Albert (Prince Consort), the 4th earl of Aberdeen,</w:t></w:r>
</w:p>
<w:p>
<w:pPr><w:pStyle w:val="Normal"/></w:pPr>
<w:r><w:t xml:space="preserve">the various lord provosts and other distinguished citizens.</w:t></w:r>
</w:p>
<w:p>
<w:pPr><w:pStyle w:val="Normal"/></w:pPr>
<w:r><w:t xml:space="preserve">In the vestibule of the entrance corridor stands a suit of</w:t></w:r>
</w:p>
<w:p>
<w:pPr><w:pStyle w:val="Normal"/></w:pPr>
<w:r><w:t xml:space="preserve">black armour believed to have been worn by Provost Sir Robert</w:t></w:r>
</w:p>
<w:p>
<w:pPr><w:pStyle w:val="Normal"/></w:pPr>
<w:r><w:t xml:space="preserve">Davidson, who feh in the battle of Harlaw, near Inverurie, in</w:t></w:r>
</w:p>
<w:p>
<w:pPr><w:pStyle w:val="Normal"/></w:pPr>
<w:r><w:t xml:space="preserve">1411.  From the south-western corner a grand tower rises to</w:t></w:r>
</w:p>
<w:p>
<w:pPr><w:pStyle w:val="Normal"/></w:pPr>
<w:r><w:t xml:space="preserve">a height of 210 ft., commanding a fine view of the city and</w:t></w:r>
</w:p>
<w:p>
<w:pPr><w:pStyle w:val="Normal"/></w:pPr>
<w:r><w:t xml:space="preserve">surrounding country.  Adjoining the municipal buildings is</w:t></w:r>
</w:p>
<w:p>
<w:pPr><w:pStyle w:val="Normal"/></w:pPr>
<w:r><w:t xml:space="preserve">the North of Scotland Bank, of Greek design, with a portico</w:t></w:r>
</w:p>
<w:p>
<w:pPr><w:pStyle w:val="Normal"/></w:pPr>
<w:r><w:t xml:space="preserve">of Corinthian columns, the capitals of which are exquisitely</w:t></w:r>
</w:p>
<w:p>
<w:pPr><w:pStyle w:val="Normal"/></w:pPr>
<w:r><w:t xml:space="preserve">carved.  On the opposite side of the street is the fine</w:t></w:r>
</w:p>
<w:p>
<w:pPr><w:pStyle w:val="Normal"/></w:pPr>
<w:r><w:t xml:space="preserve">building of the Union Bank.  At the upper end of Castle Street</w:t></w:r>
</w:p>
<w:p>
<w:pPr><w:pStyle w:val="Normal"/></w:pPr>
<w:r><w:t xml:space="preserve">stands the Salvation Army Citadel, an effective castellated</w:t></w:r>
</w:p>
<w:p>
<w:pPr><w:pStyle w:val="Normal"/></w:pPr>
<w:r><w:t xml:space="preserve">mansion, the most imposing ``barracks&apos;&apos; possessed anywhere</w:t></w:r>
</w:p>
<w:p>
<w:pPr><w:pStyle w:val="Normal"/></w:pPr>
<w:r><w:t xml:space="preserve">by this organization.  In front of it is the Market Cross,</w:t></w:r>
</w:p>
<w:p>
<w:pPr><w:pStyle w:val="Normal"/></w:pPr>
<w:r><w:t xml:space="preserve">a beautiful, open-arched, hexagonal structure, 21 ft. in</w:t></w:r>
</w:p>
<w:p>
<w:pPr><w:pStyle w:val="Normal"/></w:pPr>
<w:r><w:t xml:space="preserve">diameter and 18 ft. high.  The original was designed in 1682</w:t></w:r>
</w:p>
<w:p>
<w:pPr><w:pStyle w:val="Normal"/></w:pPr>
<w:r><w:t xml:space="preserve">by Jnhn Montgomery, a native architect, but in 1842 it was</w:t></w:r>
</w:p>
<w:p>
<w:pPr><w:pStyle w:val="Normal"/></w:pPr>
<w:r><w:t xml:space="preserve">removed hither from its old site and rebuilt in a better</w:t></w:r>
</w:p>
<w:p>
<w:pPr><w:pStyle w:val="Normal"/></w:pPr>
<w:r><w:t xml:space="preserve">style.  On the entablature surmounting the Ionic columns are</w:t></w:r>
</w:p>
<w:p>
<w:pPr><w:pStyle w:val="Normal"/></w:pPr>
<w:r><w:t xml:space="preserve">panels containing medallions of Scots sovereigns from James</w:t></w:r>
</w:p>
<w:p>
<w:pPr><w:pStyle w:val="Heading1"/></w:pPr>
<w:r><w:t>I. to James VII. From the centre rises a shaft, 12 1/2 ft.</w:t></w:r>
</w:p>
<w:p>
<w:pPr><w:pStyle w:val="Normal"/></w:pPr>
<w:r><w:t xml:space="preserve">high, with a Corinthian capital on which is the royal,unicorn</w:t></w:r>
</w:p>
<w:p>
<w:pPr><w:pStyle w:val="Normal"/></w:pPr>
<w:r><w:t xml:space="preserve">rampant.  On an eminence east of Castle Street are the military</w:t></w:r>
</w:p>
<w:p>
<w:pPr><w:pStyle w:val="Normal"/></w:pPr>
<w:r><w:t xml:space="preserve">barracks.  In Market Street are the Mechanics&apos; Institution,</w:t></w:r>
</w:p>
<w:p>
<w:pPr><w:pStyle w:val="Normal"/></w:pPr>
<w:r><w:t xml:space="preserve">founded in 1824, with a good library; the Post and Telegraph</w:t></w:r>
</w:p>
<w:p>
<w:pPr><w:pStyle w:val="Normal"/></w:pPr>
<w:r><w:t xml:space="preserve">offices; and the Market, where provisions of all kinds and</w:t></w:r>
</w:p>
<w:p>
<w:pPr><w:pStyle w:val="Normal"/></w:pPr>
<w:r><w:t xml:space="preserve">general wares are sold.  The Fish Market, on the Albert Basin,</w:t></w:r>
</w:p>
<w:p>
<w:pPr><w:pStyle w:val="Normal"/></w:pPr>
<w:r><w:t xml:space="preserve">is a busy scene in the early morning.  The Art Gallery and</w:t></w:r>
</w:p>
<w:p>
<w:pPr><w:pStyle w:val="Normal"/></w:pPr>
<w:r><w:t xml:space="preserve">Museum at Schoolhill, built in the Italian Renaissance style</w:t></w:r>
</w:p>
<w:p>
<w:pPr><w:pStyle w:val="Normal"/></w:pPr>
<w:r><w:t xml:space="preserve">of red and brown granite, contains an excellent Collection of</w:t></w:r>
</w:p>
<w:p>
<w:pPr><w:pStyle w:val="Normal"/></w:pPr>
<w:r><w:t xml:space="preserve">pictures, the Macdonald Hall of portraits of contemporary</w:t></w:r>
</w:p>
<w:p>
<w:pPr><w:pStyle w:val="Normal"/></w:pPr>
<w:r><w:t xml:space="preserve">artists by themselves being of altogether exceptional</w:t></w:r>
</w:p>
<w:p>
<w:pPr><w:pStyle w:val="Normal"/></w:pPr>
<w:r><w:t xml:space="preserve">interest and unique of its kind in Great Britain.  The public</w:t></w:r>
</w:p>
<w:p>
<w:pPr><w:pStyle w:val="Normal"/></w:pPr>
<w:r><w:t xml:space="preserve">llbrary, magnificently housed, contains more than 60,000</w:t></w:r>
</w:p>
<w:p>
<w:pPr><w:pStyle w:val="Normal"/></w:pPr>
<w:r><w:t xml:space="preserve">volumes.  The theatre in Guild Street is the chief seat of</w:t></w:r>
</w:p>
<w:p>
<w:pPr><w:pStyle w:val="Normal"/></w:pPr>
<w:r><w:t xml:space="preserve">dramatic, as the Palace Theatre in Bridge Place is of variety</w:t></w:r>
</w:p>
<w:p>
<w:pPr><w:pStyle w:val="Normal"/></w:pPr>
<w:r><w:t xml:space="preserve">entertainment.  The new buildings of Marischal College fronting</w:t></w:r>
</w:p>
<w:p>
<w:pPr><w:pStyle w:val="Normal"/></w:pPr>
<w:r><w:t xml:space="preserve">Broad Street, opened by King Edward VII. in 1906, form one</w:t></w:r>
</w:p>
<w:p>
<w:pPr><w:pStyle w:val="Normal"/></w:pPr>
<w:r><w:t xml:space="preserve">of the most splendid examples of modern architecture in Great</w:t></w:r>
</w:p>
<w:p>
<w:pPr><w:pStyle w:val="Normal"/></w:pPr>
<w:r><w:t xml:space="preserve">Britain; the architect, Alexander Marshall Mackenzie, a native</w:t></w:r>
</w:p>
<w:p>
<w:pPr><w:pStyle w:val="Normal"/></w:pPr>
<w:r><w:t xml:space="preserve">of Aberdeen, having adapted his material, white granite, to</w:t></w:r>
</w:p>
<w:p>
<w:pPr><w:pStyle w:val="Normal"/></w:pPr>
<w:r><w:t xml:space="preserve">the design of a noble building with the originality of genius.</w:t></w:r>
</w:p>
<w:p>
<w:pPr><w:pStyle w:val="Normal"/></w:pPr>
<w:r><w:t xml:space="preserve">Churches.---Like most Scottish towns, Aberdeen is well</w:t></w:r>
</w:p>
<w:p>
<w:pPr><w:pStyle w:val="Normal"/></w:pPr>
<w:r><w:t xml:space="preserve">equipped with churches, most of them of good design, but</w:t></w:r>
</w:p>
<w:p>
<w:pPr><w:pStyle w:val="Normal"/></w:pPr>
<w:r><w:t xml:space="preserve">few of special interest.  The East and West churches of St</w:t></w:r>
</w:p>
<w:p>
<w:pPr><w:pStyle w:val="Normal"/></w:pPr>
<w:r><w:t xml:space="preserve">Nicholas, their kirkyard separated from Union Street by an Ionic</w:t></w:r>
</w:p>
<w:p>
<w:pPr><w:pStyle w:val="Normal"/></w:pPr>
<w:r><w:t xml:space="preserve">facade, 147 1/2 ft. long, built in 1830, form one continuous</w:t></w:r>
</w:p>
<w:p>
<w:pPr><w:pStyle w:val="Normal"/></w:pPr>
<w:r><w:t xml:space="preserve">building, 220ft. in length, including the Drum Aisle (the</w:t></w:r>
</w:p>
<w:p>
<w:pPr><w:pStyle w:val="Normal"/></w:pPr>
<w:r><w:t xml:space="preserve">ancient burial-place of the Irvines of Drum) and the Colllson</w:t></w:r>
</w:p>
<w:p>
<w:pPr><w:pStyle w:val="Normal"/></w:pPr>
<w:r><w:t xml:space="preserve">Aisle, which divide them and which formed the transept of the</w:t></w:r>
</w:p>
<w:p>
<w:pPr><w:pStyle w:val="Normal"/></w:pPr>
<w:r><w:t xml:space="preserve">12th-century church of St Nicholas.  The West Church was built in</w:t></w:r>
</w:p>
<w:p>
<w:pPr><w:pStyle w:val="Normal"/></w:pPr>
<w:r><w:t xml:space="preserve">1775, in the Italian style, the East originally in 1834 in the</w:t></w:r>
</w:p>
<w:p>
<w:pPr><w:pStyle w:val="Normal"/></w:pPr>
<w:r><w:t xml:space="preserve">Gothic.  In 1874 a fire destroyed the East Church and the</w:t></w:r>
</w:p>
<w:p>
<w:pPr><w:pStyle w:val="Normal"/></w:pPr>
<w:r><w:t xml:space="preserve">old central tower with its fine peal of nine bells, one of</w:t></w:r>
</w:p>
<w:p>
<w:pPr><w:pStyle w:val="Normal"/></w:pPr>
<w:r><w:t xml:space="preserve">which, Laurence or ``Lowrie,&apos;&apos; was 4 ft. in diameter at the</w:t></w:r>
</w:p>
<w:p>
<w:pPr><w:pStyle w:val="Normal"/></w:pPr>
<w:r><w:t xml:space="preserve">mouth, 3 1/2 ft. high and very thick.  The church was rebuilt</w:t></w:r>
</w:p>
<w:p>
<w:pPr><w:pStyle w:val="Normal"/></w:pPr>
<w:r><w:t xml:space="preserve">and a massive granite tower erected over the intervening</w:t></w:r>
</w:p>
<w:p>
<w:pPr><w:pStyle w:val="Normal"/></w:pPr>
<w:r><w:t xml:space="preserve">aisles at the cost of the municipality, a new peal of 36</w:t></w:r>
</w:p>
<w:p>
<w:pPr><w:pStyle w:val="Normal"/></w:pPr>
<w:r><w:t xml:space="preserve">bells, cast in Holland, being installed to commemorate the</w:t></w:r>
</w:p>
<w:p>
<w:pPr><w:pStyle w:val="Normal"/></w:pPr>
<w:r><w:t xml:space="preserve">Victorian jubilee of 1887.  The Roman Catholic Cathedral in</w:t></w:r>
</w:p>
<w:p>
<w:pPr><w:pStyle w:val="Normal"/></w:pPr>
<w:r><w:t xml:space="preserve">Huntly Street, a Gothic building, was erected in 1859.  The</w:t></w:r>
</w:p>
<w:p>
<w:pPr><w:pStyle w:val="Normal"/></w:pPr>
<w:r><w:t xml:space="preserve">see of Aberdeen was first founded at Mortlach in Banffshire</w:t></w:r>
</w:p>
<w:p>
<w:pPr><w:pStyle w:val="Normal"/></w:pPr>
<w:r><w:t xml:space="preserve">by Malcolm II. in 1004 to celebrate his victory there over</w:t></w:r>
</w:p>
<w:p>
<w:pPr><w:pStyle w:val="Normal"/></w:pPr>
<w:r><w:t xml:space="preserve">the Danes, but in 1137 David I. transferred the bishopric</w:t></w:r>
</w:p>
<w:p>
<w:pPr><w:pStyle w:val="Normal"/></w:pPr>
<w:r><w:t xml:space="preserve">to Old Aberdeen, and twenty years later the cathedral of</w:t></w:r>
</w:p>
<w:p>
<w:pPr><w:pStyle w:val="Normal"/></w:pPr>
<w:r><w:t xml:space="preserve">St Machar, situated a few hundred yards from the Don, was</w:t></w:r>
</w:p>
<w:p>
<w:pPr><w:pStyle w:val="Normal"/></w:pPr>
<w:r><w:t xml:space="preserve">begun.  Save during the episcopate of William Elphinstone</w:t></w:r>
</w:p>
<w:p>
<w:pPr><w:pStyle w:val="Normal"/></w:pPr>
<w:r><w:t xml:space="preserve">(1484-1511), the building progressed slowly.  Gavin Dunbar,</w:t></w:r>
</w:p>
<w:p>
<w:pPr><w:pStyle w:val="Normal"/></w:pPr>
<w:r><w:t xml:space="preserve">who followed him in 1518, was enabled to complete the</w:t></w:r>
</w:p>
<w:p>
<w:pPr><w:pStyle w:val="Normal"/></w:pPr>
<w:r><w:t xml:space="preserve">structure by adding the two western spires and the southern</w:t></w:r>
</w:p>
<w:p>
<w:pPr><w:pStyle w:val="Normal"/></w:pPr>
<w:r><w:t xml:space="preserve">transept.  The church suffered severely at the Reformation,</w:t></w:r>
</w:p>
<w:p>
<w:pPr><w:pStyle w:val="Normal"/></w:pPr>
<w:r><w:t xml:space="preserve">but is still used as the parish church.  It now consists of the</w:t></w:r>
</w:p>
<w:p>
<w:pPr><w:pStyle w:val="Normal"/></w:pPr>
<w:r><w:t xml:space="preserve">nave and side aisles.  It is chiefly built of outlayer granite,</w:t></w:r>
</w:p>
<w:p>
<w:pPr><w:pStyle w:val="Normal"/></w:pPr>
<w:r><w:t xml:space="preserve">and, though the plainest cathedral in Scotland, its stately</w:t></w:r>
</w:p>
<w:p>
<w:pPr><w:pStyle w:val="Normal"/></w:pPr>
<w:r><w:t xml:space="preserve">simplicity and severe symmetry lend it unique distinction.</w:t></w:r>
</w:p>
<w:p>
<w:pPr><w:pStyle w:val="Normal"/></w:pPr>
<w:r><w:t xml:space="preserve">On the flat panelled ceiling of the nave are the heraldic</w:t></w:r>
</w:p>
<w:p>
<w:pPr><w:pStyle w:val="Normal"/></w:pPr>
<w:r><w:t xml:space="preserve">shields of the princes, noblemen and bishops who shared in its</w:t></w:r>
</w:p>
<w:p>
<w:pPr><w:pStyle w:val="Normal"/></w:pPr>
<w:r><w:t xml:space="preserve">erection, and the great west window contains modern painted</w:t></w:r>
</w:p>
<w:p>
<w:pPr><w:pStyle w:val="Normal"/></w:pPr>
<w:r><w:t xml:space="preserve">glass of excellent colour and design.  The cemeteries are St</w:t></w:r>
</w:p>
<w:p>
<w:pPr><w:pStyle w:val="Normal"/></w:pPr>
<w:r><w:t xml:space="preserve">Peter&apos;s in Old Aberdeen, Trinity near the links, Nellfield</w:t></w:r>
</w:p>
<w:p>
<w:pPr><w:pStyle w:val="Normal"/></w:pPr>
<w:r><w:t xml:space="preserve">at the junction of Great Western and Holburn Roads, and</w:t></w:r>
</w:p>
<w:p>
<w:pPr><w:pStyle w:val="Normal"/></w:pPr>
<w:r><w:t xml:space="preserve">Allenvale, very tastefully laid out, adjoining Duthie Park.</w:t></w:r>
</w:p>
<w:p>
<w:pPr><w:pStyle w:val="Normal"/></w:pPr>
<w:r><w:t xml:space="preserve">Education.---Aberdeen University consists of King&apos;s College</w:t></w:r>
</w:p>
<w:p>
<w:pPr><w:pStyle w:val="Normal"/></w:pPr>
<w:r><w:t xml:space="preserve">in Old Aberdeen, founded by Bishop Elphinstone in 1494,</w:t></w:r>
</w:p>
<w:p>
<w:pPr><w:pStyle w:val="Normal"/></w:pPr>
<w:r><w:t xml:space="preserve">and Marischal College, in Broad Street, founded in 1593 by</w:t></w:r>
</w:p>
<w:p>
<w:pPr><w:pStyle w:val="Normal"/></w:pPr>
<w:r><w:t xml:space="preserve">George Keith, 5th earl Marischal, which were incorporated in</w:t></w:r>
</w:p>
<w:p>
<w:pPr><w:pStyle w:val="Normal"/></w:pPr>
<w:r><w:t xml:space="preserve">1860.  Arts and divinity are taught at King&apos;s, law, medicine</w:t></w:r>
</w:p>
<w:p>
<w:pPr><w:pStyle w:val="Normal"/></w:pPr>
<w:r><w:t xml:space="preserve">and science at Marischal.  The number of students exceeds 800</w:t></w:r>
</w:p>
<w:p>
<w:pPr><w:pStyle w:val="Normal"/></w:pPr>
<w:r><w:t xml:space="preserve">yearly.  The buildings of both colleges are the glories of</w:t></w:r>
</w:p>
<w:p>
<w:pPr><w:pStyle w:val="Normal"/></w:pPr>
<w:r><w:t xml:space="preserve">Aberdeen.  King&apos;s forms a quadrangle with interior court, two</w:t></w:r>
</w:p>
<w:p>
<w:pPr><w:pStyle w:val="Normal"/></w:pPr>
<w:r><w:t xml:space="preserve">sides of which have been rebuilt, and a library wing has been</w:t></w:r>
</w:p>
<w:p>
<w:pPr><w:pStyle w:val="Normal"/></w:pPr>
<w:r><w:t xml:space="preserve">added.  The Crown Tower and the Chapel, the oldest parts, date from</w:t></w:r>
</w:p>
<w:p>
<w:pPr><w:pStyle w:val="Normal"/></w:pPr>
<w:r><w:t xml:space="preserve">1500.  The former is surmounted by a structure about 40 ft.</w:t></w:r>
</w:p>
<w:p>
<w:pPr><w:pStyle w:val="Normal"/></w:pPr>
<w:r><w:t xml:space="preserve">high, consisting of a six-sided lantern and royal crown, both</w:t></w:r>
</w:p>
<w:p>
<w:pPr><w:pStyle w:val="Normal"/></w:pPr>
<w:r><w:t xml:space="preserve">sculptured, and resting on the intersections of two arched</w:t></w:r>
</w:p>
<w:p>
<w:pPr><w:pStyle w:val="Normal"/></w:pPr>
<w:r><w:t xml:space="preserve">ornamental slips rising from the four corners of the top of the</w:t></w:r>
</w:p>
<w:p>
<w:pPr><w:pStyle w:val="Normal"/></w:pPr>
<w:r><w:t xml:space="preserve">tower.  The choir of the chapel still contains the original</w:t></w:r>
</w:p>
<w:p>
<w:pPr><w:pStyle w:val="Normal"/></w:pPr>
<w:r><w:t xml:space="preserve">oak canopied stalls, miserere seats and lofty open screens in</w:t></w:r>
</w:p>
<w:p>
<w:pPr><w:pStyle w:val="Normal"/></w:pPr>
<w:r><w:t xml:space="preserve">the French flamboyant style, and of unique beauty of design and</w:t></w:r>
</w:p>
<w:p>
<w:pPr><w:pStyle w:val="Normal"/></w:pPr>
<w:r><w:t xml:space="preserve">execution.  Their preservation was due to the enlightened</w:t></w:r>
</w:p>
<w:p>
<w:pPr><w:pStyle w:val="Normal"/></w:pPr>
<w:r><w:t xml:space="preserve">energy of the principal at the time of the Reformation, who</w:t></w:r>
</w:p>
<w:p>
<w:pPr><w:pStyle w:val="Normal"/></w:pPr>
<w:r><w:t xml:space="preserve">armed his folk to save the building from the barons of the</w:t></w:r>
</w:p>
<w:p>
<w:pPr><w:pStyle w:val="Normal"/></w:pPr>
<w:r><w:t xml:space="preserve">Mearns after they had robbed St Machar&apos;s of its bells and</w:t></w:r>
</w:p>
<w:p>
<w:pPr><w:pStyle w:val="Normal"/></w:pPr>
<w:r><w:t xml:space="preserve">lead.  Marischal College is a stately modern building, having</w:t></w:r>
</w:p>
<w:p>
<w:pPr><w:pStyle w:val="Normal"/></w:pPr>
<w:r><w:t xml:space="preserve">been rebuilt in 1836-1841, and greatly extended several years</w:t></w:r>
</w:p>
<w:p>
<w:pPr><w:pStyle w:val="Normal"/></w:pPr>
<w:r><w:t xml:space="preserve">later at a cost of L. 100,000.  The additions to the buildings</w:t></w:r>
</w:p>
<w:p>
<w:pPr><w:pStyle w:val="Normal"/></w:pPr>
<w:r><w:t xml:space="preserve">opened by King Edward VII. in 1906 have been already mentioned.</w:t></w:r>
</w:p>
<w:p>
<w:pPr><w:pStyle w:val="Normal"/></w:pPr>
<w:r><w:t xml:space="preserve">The beautiful Mitchell Tower is so named from the benefactor (Dr</w:t></w:r>
</w:p>
<w:p>
<w:pPr><w:pStyle w:val="Normal"/></w:pPr>
<w:r><w:t xml:space="preserve">Charles Mitchell) who provided the splendid graduation hall.</w:t></w:r>
</w:p>
<w:p>
<w:pPr><w:pStyle w:val="Normal"/></w:pPr>
<w:r><w:t xml:space="preserve">The opening of this tower in 1895 signalized the commemoration</w:t></w:r>
</w:p>
<w:p>
<w:pPr><w:pStyle w:val="Normal"/></w:pPr>
<w:r><w:t xml:space="preserve">of the four hundredth anniversary of the foundation of the</w:t></w:r>
</w:p>
<w:p>
<w:pPr><w:pStyle w:val="Normal"/></w:pPr>
<w:r><w:t xml:space="preserve">university.  The University Library comprises nearly 100,000</w:t></w:r>
</w:p>
<w:p>
<w:pPr><w:pStyle w:val="Normal"/></w:pPr>
<w:r><w:t xml:space="preserve">books.  A Botanic Garden was presented to the university in</w:t></w:r>
</w:p>
<w:p>
<w:pPr><w:pStyle w:val="Normal"/></w:pPr>
<w:r><w:t xml:space="preserve">1899.  Aberdeen and Glasgow Universities combine to return</w:t></w:r>
</w:p>
<w:p>
<w:pPr><w:pStyle w:val="Normal"/></w:pPr>
<w:r><w:t xml:space="preserve">one member to Parliament.  The United Free Church Divinity</w:t></w:r>
</w:p>
<w:p>
<w:pPr><w:pStyle w:val="Normal"/></w:pPr>
<w:r><w:t xml:space="preserve">Hall in Alford Place, in the Tudor Gothic style, dates from</w:t></w:r>
</w:p>
<w:p>
<w:pPr><w:pStyle w:val="Normal"/></w:pPr>
<w:r><w:t xml:space="preserve">1850.  The Grammar School, founded in 1263, was removed in</w:t></w:r>
</w:p>
<w:p>
<w:pPr><w:pStyle w:val="Normal"/></w:pPr>
<w:r><w:t xml:space="preserve">1861-1863 from its old quarters in Schoolhill to a large new</w:t></w:r>
</w:p>
<w:p>
<w:pPr><w:pStyle w:val="Normal"/></w:pPr>
<w:r><w:t xml:space="preserve">building, in the Scots Baronial style, off Skene Street.</w:t></w:r>
</w:p>
<w:p>
<w:pPr><w:pStyle w:val="Normal"/></w:pPr>
<w:r><w:t xml:space="preserve">Robert Gordon&apos;s College in Schoolhill was founded in 1729</w:t></w:r>
</w:p>
<w:p>
<w:pPr><w:pStyle w:val="Normal"/></w:pPr>
<w:r><w:t xml:space="preserve">by Robert Gordon of Straloch and further endowed in 1816 by</w:t></w:r>
</w:p>
<w:p>
<w:pPr><w:pStyle w:val="Normal"/></w:pPr>
<w:r><w:t xml:space="preserve">Alexander Simpson of Collyhill.  Originally devoted (as Gordon&apos;s</w:t></w:r>
</w:p>
<w:p>
<w:pPr><w:pStyle w:val="Normal"/></w:pPr>
<w:r><w:t xml:space="preserve">Hospital) to the instruction and maintenance of the sons of poor</w:t></w:r>
</w:p>
<w:p>
<w:pPr><w:pStyle w:val="Normal"/></w:pPr>
<w:r><w:t xml:space="preserve">burgesses of guild and trade in the city, it was reorganized</w:t></w:r>
</w:p>
<w:p>
<w:pPr><w:pStyle w:val="Normal"/></w:pPr>
<w:r><w:t xml:space="preserve">in 1881 as a day and night school for secondary and technical</w:t></w:r>
</w:p>
<w:p>
<w:pPr><w:pStyle w:val="Normal"/></w:pPr>
<w:r><w:t xml:space="preserve">education, and has since been unusually successful.  Besides</w:t></w:r>
</w:p>
<w:p>
<w:pPr><w:pStyle w:val="Normal"/></w:pPr>
<w:r><w:t xml:space="preserve">a High School for Girls and numerous board schools, there are</w:t></w:r>
</w:p>
<w:p>
<w:pPr><w:pStyle w:val="Normal"/></w:pPr>
<w:r><w:t xml:space="preserve">many private higher-class schools.  Under the Endowments Act</w:t></w:r>
</w:p>
<w:p>
<w:pPr><w:pStyle w:val="Normal"/></w:pPr>
<w:r><w:t xml:space="preserve">1882 an educational trust was constituted which possesses a</w:t></w:r>
</w:p>
<w:p>
<w:pPr><w:pStyle w:val="Normal"/></w:pPr>
<w:r><w:t xml:space="preserve">capital of L. 155,000.  At Blairs, in Kincardineshire, five</w:t></w:r>
</w:p>
<w:p>
<w:pPr><w:pStyle w:val="Normal"/></w:pPr>
<w:r><w:t xml:space="preserve">miles S.W. of Aberdeen, is St Mary&apos;s Roman Catholic College</w:t></w:r>
</w:p>
<w:p>
<w:pPr><w:pStyle w:val="Normal"/></w:pPr>
<w:r><w:t xml:space="preserve">for the training of young men intended for the priesthood.</w:t></w:r>
</w:p>
<w:p>
<w:pPr><w:pStyle w:val="Normal"/></w:pPr>
<w:r><w:t xml:space="preserve">Charities.---The Royal Infimary, in Woolmanhill, established</w:t></w:r>
</w:p>
<w:p>
<w:pPr><w:pStyle w:val="Normal"/></w:pPr>
<w:r><w:t xml:space="preserve">in 1740, rebuilt in the Grecian style in 1833-1840, and</w:t></w:r>
</w:p>
<w:p>
<w:pPr><w:pStyle w:val="Normal"/></w:pPr>
<w:r><w:t xml:space="preserve">largely extended after 1887 as a memorial of Queen Victoria&apos;s</w:t></w:r>
</w:p>
<w:p>
<w:pPr><w:pStyle w:val="Normal"/></w:pPr>
<w:r><w:t xml:space="preserve">jubilee; the Royal Asylum, opened in 1800; the Female Orphan</w:t></w:r>
</w:p>
<w:p>
<w:pPr><w:pStyle w:val="Normal"/></w:pPr>
<w:r><w:t xml:space="preserve">Asylum, in Albyn Place, founded in 1840; the Blind Asylum,</w:t></w:r>
</w:p>
<w:p>
<w:pPr><w:pStyle w:val="Normal"/></w:pPr>
<w:r><w:t xml:space="preserve">in Huntly Street, established in 1843; the Royal Hospital</w:t></w:r>
</w:p>
<w:p>
<w:pPr><w:pStyle w:val="Normal"/></w:pPr>
<w:r><w:t xml:space="preserve">for Sick Children; the Maternity Hospital, founded in 1823;</w:t></w:r>
</w:p>
<w:p>
<w:pPr><w:pStyle w:val="Normal"/></w:pPr>
<w:r><w:t xml:space="preserve">the City Hospital for Infectious Diseases; the Deaf and Dumb</w:t></w:r>
</w:p>
<w:p>
<w:pPr><w:pStyle w:val="Normal"/></w:pPr>
<w:r><w:t xml:space="preserve">Institution; Mitchell&apos;s Hospital in Old Aberdeen; the East</w:t></w:r>
</w:p>
<w:p>
<w:pPr><w:pStyle w:val="Normal"/></w:pPr>
<w:r><w:t xml:space="preserve">and West Poorhouses, with lunatic wards; and hospitals devoted</w:t></w:r>
</w:p>
<w:p>
<w:pPr><w:pStyle w:val="Normal"/></w:pPr>
<w:r><w:t xml:space="preserve">to specialized diseases, are amongst the most notable of</w:t></w:r>
</w:p>
<w:p>
<w:pPr><w:pStyle w:val="Normal"/></w:pPr>
<w:r><w:t xml:space="preserve">the charitable institutions.  There are, besides, industrial</w:t></w:r>
</w:p>
<w:p>
<w:pPr><w:pStyle w:val="Normal"/></w:pPr>
<w:r><w:t xml:space="preserve">schools for boys and girls and for Roman Catholic children, a</w:t></w:r>
</w:p>
<w:p>
<w:pPr><w:pStyle w:val="Normal"/></w:pPr>
<w:r><w:t xml:space="preserve">Female School of Industry, the Seabank Rescue Home, Nazareth</w:t></w:r>
</w:p>
<w:p>
<w:pPr><w:pStyle w:val="Normal"/></w:pPr>
<w:r><w:t xml:space="preserve">House and Orphanage, St Martha&apos;s Home for Girls, St Margaret&apos;s</w:t></w:r>
</w:p>
<w:p>
<w:pPr><w:pStyle w:val="Normal"/></w:pPr>
<w:r><w:t xml:space="preserve">Convalescent Home and Sisterhood, House of Bethany, the</w:t></w:r>
</w:p>
<w:p>
<w:pPr><w:pStyle w:val="Normal"/></w:pPr>
<w:r><w:t xml:space="preserve">Convent of the Sacred Heart and the Educational Trust School.</w:t></w:r>
</w:p>
<w:p>
<w:pPr><w:pStyle w:val="Normal"/></w:pPr>
<w:r><w:t xml:space="preserve">Parks and Open Spaces.---Duthie Park, of 50 acres, the gift</w:t></w:r>
</w:p>
<w:p>
<w:pPr><w:pStyle w:val="Normal"/></w:pPr>
<w:r><w:t xml:space="preserve">of Miss Elizabeth Crombie Duthie of Ruthrieston, occupies an</w:t></w:r>
</w:p>
<w:p>
<w:pPr><w:pStyle w:val="Normal"/></w:pPr>
<w:r><w:t xml:space="preserve">excellent site on the north bank of the Dee. Victoria Park</w:t></w:r>
</w:p>
<w:p>
<w:pPr><w:pStyle w:val="Normal"/></w:pPr>
<w:r><w:t xml:space="preserve">(13 acres) and its extension Westburn Park (13 acres) are</w:t></w:r>
</w:p>
<w:p>
<w:pPr><w:pStyle w:val="Normal"/></w:pPr>
<w:r><w:t xml:space="preserve">situated in the north-western area; farther north lies Stewart</w:t></w:r>
</w:p>
<w:p>
<w:pPr><w:pStyle w:val="Normal"/></w:pPr>
<w:r><w:t xml:space="preserve">Park (11 acres), called after Sir D. Stewart, lord provost in</w:t></w:r>
</w:p>
<w:p>
<w:pPr><w:pStyle w:val="Normal"/></w:pPr>
<w:r><w:t xml:space="preserve">1893.  The capacious links bordering the sea between the</w:t></w:r>
</w:p>
<w:p>
<w:pPr><w:pStyle w:val="Normal"/></w:pPr>
<w:r><w:t xml:space="preserve">mouths of the two rivers are largely resorted to for open-air</w:t></w:r>
</w:p>
<w:p>
<w:pPr><w:pStyle w:val="Normal"/></w:pPr>
<w:r><w:t xml:space="preserve">recreation; there is here a rifle range where a ``wapinschaw,&apos;&apos;</w:t></w:r>
</w:p>
<w:p>
<w:pPr><w:pStyle w:val="Normal"/></w:pPr>
<w:r><w:t xml:space="preserve">or shooting tournament, is held annually.  Part is laid out</w:t></w:r>
</w:p>
<w:p>
<w:pPr><w:pStyle w:val="Normal"/></w:pPr>
<w:r><w:t xml:space="preserve">as an 18-hole golf course; a section is reserved for cricket</w:t></w:r>
</w:p>
<w:p>
<w:pPr><w:pStyle w:val="Normal"/></w:pPr>
<w:r><w:t xml:space="preserve">and football; a portion has been railed off for a race-course,</w:t></w:r>
</w:p>
<w:p>
<w:pPr><w:pStyle w:val="Normal"/></w:pPr>
<w:r><w:t xml:space="preserve">and a bathing-station has been erected.  Union Terrace</w:t></w:r>
</w:p>
<w:p>
<w:pPr><w:pStyle w:val="Normal"/></w:pPr>
<w:r><w:t xml:space="preserve">Gardens are a popular rendezvous in the heart of the city.</w:t></w:r>
</w:p>
<w:p>
<w:pPr><w:pStyle w:val="Normal"/></w:pPr>
<w:r><w:t xml:space="preserve">Statues.---In Union Terrace Gardens stands a colossal statue</w:t></w:r>
</w:p>
<w:p>
<w:pPr><w:pStyle w:val="Normal"/></w:pPr>
<w:r><w:t xml:space="preserve">in bronze of Sir William Wallace, by W. G. Stevenson, R.S.A.</w:t></w:r>
</w:p>
<w:p>
<w:pPr><w:pStyle w:val="Normal"/></w:pPr>
<w:r><w:t xml:space="preserve">(1888).  In the same gardens are a bronze statue of Burns</w:t></w:r>
</w:p>
<w:p>
<w:pPr><w:pStyle w:val="Normal"/></w:pPr>
<w:r><w:t xml:space="preserve">and Baron Marochetti&apos;s seated figure of Prince Albert.  In</w:t></w:r>
</w:p>
<w:p>
<w:pPr><w:pStyle w:val="Normal"/></w:pPr>
<w:r><w:t xml:space="preserve">front of Gordon&apos;s College is the bronze statue, by T. S.</w:t></w:r>
</w:p>
<w:p>
<w:pPr><w:pStyle w:val="Normal"/></w:pPr>
<w:r><w:t xml:space="preserve">Burnett, A.R.S.A., of General Gordon (1888).  At the east</w:t></w:r>
</w:p>
<w:p>
<w:pPr><w:pStyle w:val="Normal"/></w:pPr>
<w:r><w:t xml:space="preserve">end of Union Street is the bronze statue of Queen Victoria,</w:t></w:r>
</w:p>
<w:p>
<w:pPr><w:pStyle w:val="Normal"/></w:pPr>
<w:r><w:t xml:space="preserve">erected in 1893 by the royal tradesmen of the city.  Near the</w:t></w:r>
</w:p>
<w:p>
<w:pPr><w:pStyle w:val="Normal"/></w:pPr>
<w:r><w:t xml:space="preserve">Cross stands the granite statue of the 5th duke of Gordon (d.</w:t></w:r>
</w:p>
<w:p>
<w:pPr><w:pStyle w:val="Normal"/></w:pPr>
<w:r><w:t xml:space="preserve">1836).  Here may also be mentioned the obelisk of Peterhead</w:t></w:r>
</w:p>
<w:p>
<w:pPr><w:pStyle w:val="Normal"/></w:pPr>
<w:r><w:t xml:space="preserve">granite, 70 ft. high, erected in the square of Marischal</w:t></w:r>
</w:p>
<w:p>
<w:pPr><w:pStyle w:val="Normal"/></w:pPr>
<w:r><w:t xml:space="preserve">College to the memory of Sir James M`Grigor (1778-1851), the</w:t></w:r>
</w:p>
<w:p>
<w:pPr><w:pStyle w:val="Normal"/></w:pPr>
<w:r><w:t xml:space="preserve">military surgeon and director-general of the Army Medical</w:t></w:r>
</w:p>
<w:p>
<w:pPr><w:pStyle w:val="Normal"/></w:pPr>
<w:r><w:t xml:space="preserve">Department, who was thrice elected lord rector of the College.</w:t></w:r>
</w:p>
<w:p>
<w:pPr><w:pStyle w:val="Normal"/></w:pPr>
<w:r><w:t xml:space="preserve">Bridges.--The Dee is crossed by four bridges,--the old</w:t></w:r>
</w:p>
<w:p>
<w:pPr><w:pStyle w:val="Normal"/></w:pPr>
<w:r><w:t xml:space="preserve">bridge, the Wellington suspension bridge, the railway bridge,</w:t></w:r>
</w:p>
<w:p>
<w:pPr><w:pStyle w:val="Normal"/></w:pPr>
<w:r><w:t xml:space="preserve">and Victoria Bridge, opposite Market Street.  The first, till</w:t></w:r>
</w:p>
<w:p>
<w:pPr><w:pStyle w:val="Normal"/></w:pPr>
<w:r><w:t xml:space="preserve">1832 the only access to the city from the south, consists of</w:t></w:r>
</w:p>
<w:p>
<w:pPr><w:pStyle w:val="Normal"/></w:pPr>
<w:r><w:t xml:space="preserve">seven semicircular ribbed arches, is about 30 ft. high, and</w:t></w:r>
</w:p>
<w:p>
<w:pPr><w:pStyle w:val="Normal"/></w:pPr>
<w:r><w:t xml:space="preserve">was built early in the 16th century by Bishops Elphinstone and</w:t></w:r>
</w:p>
<w:p>
<w:pPr><w:pStyle w:val="Normal"/></w:pPr>
<w:r><w:t xml:space="preserve">Dunbar.  It was nearly all rebuilt in 1718--1723, and in</w:t></w:r>
</w:p>
<w:p>
<w:pPr><w:pStyle w:val="Normal"/></w:pPr>
<w:r><w:t xml:space="preserve">1842 was widened from 14 1/2 to 26 ft.  The bridge of Don has</w:t></w:r>
</w:p>
<w:p>
<w:pPr><w:pStyle w:val="Normal"/></w:pPr>
<w:r><w:t xml:space="preserve">five granite arches, each 75 ft. in span, and was built in</w:t></w:r>
</w:p>
<w:p>
<w:pPr><w:pStyle w:val="Normal"/></w:pPr>
<w:r><w:t xml:space="preserve">1827--1832.  A little to the west is the Auld Brig o&apos;</w:t></w:r>
</w:p>
<w:p>
<w:pPr><w:pStyle w:val="Normal"/></w:pPr>
<w:r><w:t xml:space="preserve">Balgownie, a picturesque single arch spanning the deep</w:t></w:r>
</w:p>
<w:p>
<w:pPr><w:pStyle w:val="Normal"/></w:pPr>
<w:r><w:t xml:space="preserve">black stream, said to have been built by King Robert I.,</w:t></w:r>
</w:p>
<w:p>
<w:pPr><w:pStyle w:val="Normal"/></w:pPr>
<w:r><w:t xml:space="preserve">and celebrated by Byron in the tenth canto of Don Juan.</w:t></w:r>
</w:p>
<w:p>
<w:pPr><w:pStyle w:val="Normal"/></w:pPr>
<w:r><w:t xml:space="preserve">Harbour.--A defective harbour, with a shallow sand and gravel</w:t></w:r>
</w:p>
<w:p>
<w:pPr><w:pStyle w:val="Normal"/></w:pPr>
<w:r><w:t xml:space="preserve">bar at its entrance. long retarded the trade of Aberdeen, but</w:t></w:r>
</w:p>
<w:p>
<w:pPr><w:pStyle w:val="Normal"/></w:pPr>
<w:r><w:t xml:space="preserve">under various acts since 1773 it was greatly deepened.  The</w:t></w:r>
</w:p>
<w:p>
<w:pPr><w:pStyle w:val="Normal"/></w:pPr>
<w:r><w:t xml:space="preserve">north pier, built partly by Smeaton in 1775-1781, and partly</w:t></w:r>
</w:p>
<w:p>
<w:pPr><w:pStyle w:val="Normal"/></w:pPr>
<w:r><w:t xml:space="preserve">by Telford in 1810-1815, extends nearly 3000 ft. into the North</w:t></w:r>
</w:p>
<w:p>
<w:pPr><w:pStyle w:val="Normal"/></w:pPr>
<w:r><w:t xml:space="preserve">Sea. It increases the depth of water on the bar from a few</w:t></w:r>
</w:p>
<w:p>
<w:pPr><w:pStyle w:val="Normal"/></w:pPr>
<w:r><w:t xml:space="preserve">feet to 22 or 24 ft. at spring tides and to 17 or 18 ft. at</w:t></w:r>
</w:p>
<w:p>
<w:pPr><w:pStyle w:val="Normal"/></w:pPr>
<w:r><w:t xml:space="preserve">neap.  A wet dock, of 29 acres, and with 6000 ft. of quay,</w:t></w:r>
</w:p>
<w:p>
<w:pPr><w:pStyle w:val="Normal"/></w:pPr>
<w:r><w:t xml:space="preserve">was completed in 1848 and called Victoria Dock in honour</w:t></w:r>
</w:p>
<w:p>
<w:pPr><w:pStyle w:val="Normal"/></w:pPr>
<w:r><w:t xml:space="preserve">of the queen&apos;s visit to the city in that year.  Adjoining</w:t></w:r>
</w:p>
<w:p>
<w:pPr><w:pStyle w:val="Normal"/></w:pPr>
<w:r><w:t xml:space="preserve">it is the Upper Dock.  By the Harbour Act of 1868, the Dee</w:t></w:r>
</w:p>
<w:p>
<w:pPr><w:pStyle w:val="Normal"/></w:pPr>
<w:r><w:t xml:space="preserve">near the harbour was diverted from the south at a cost of</w:t></w:r>
</w:p>
<w:p>
<w:pPr><w:pStyle w:val="Heading1"/></w:pPr>
<w:r><w:t>L. 80,000, and 90 acres of new ground (in addition to 25 acres</w:t></w:r>
</w:p>
<w:p>
<w:pPr><w:pStyle w:val="Normal"/></w:pPr>
<w:r><w:t xml:space="preserve">formerly made up) were provided on the north side of the</w:t></w:r>
</w:p>
<w:p>
<w:pPr><w:pStyle w:val="Normal"/></w:pPr>
<w:r><w:t xml:space="preserve">river for the Albert Basin (with a graving dock), quays and</w:t></w:r>
</w:p>
<w:p>
<w:pPr><w:pStyle w:val="Normal"/></w:pPr>
<w:r><w:t xml:space="preserve">warehouses.  A breakwater of concrete, 1050 ft. long, was</w:t></w:r>
</w:p>
<w:p>
<w:pPr><w:pStyle w:val="Normal"/></w:pPr>
<w:r><w:t xml:space="preserve">constructed on the south side of the stream as a protection</w:t></w:r>
</w:p>
<w:p>
<w:pPr><w:pStyle w:val="Normal"/></w:pPr>
<w:r><w:t xml:space="preserve">against south-easterly gales.  On Girdleness, the southern</w:t></w:r>
</w:p>
<w:p>
<w:pPr><w:pStyle w:val="Normal"/></w:pPr>
<w:r><w:t xml:space="preserve">point of the bay, a lighthouse was built in 1833.  Near the</w:t></w:r>
</w:p>
<w:p>
<w:pPr><w:pStyle w:val="Normal"/></w:pPr>
<w:r><w:t xml:space="preserve">harbour mouth are three batteries mounting nineteen guns.</w:t></w:r>
</w:p>
<w:p>
<w:pPr><w:pStyle w:val="Normal"/></w:pPr>
<w:r><w:t xml:space="preserve">Industry.---Owing to the variety and importance of its chief</w:t></w:r>
</w:p>
<w:p>
<w:pPr><w:pStyle w:val="Normal"/></w:pPr>
<w:r><w:t xml:space="preserve">industries Aberdeen is one of the most prosperous cities in</w:t></w:r>
</w:p>
<w:p>
<w:pPr><w:pStyle w:val="Normal"/></w:pPr>
<w:r><w:t xml:space="preserve">Scotland.  Very durable grey granite has been quarried near</w:t></w:r>
</w:p>
<w:p>
<w:pPr><w:pStyle w:val="Normal"/></w:pPr>
<w:r><w:t xml:space="preserve">Aberdeen for more than 300 years, and blocked and dressed</w:t></w:r>
</w:p>
<w:p>
<w:pPr><w:pStyle w:val="Normal"/></w:pPr>
<w:r><w:t xml:space="preserve">paving ``setts,&apos;&apos; kerb and building stones, and monumental</w:t></w:r>
</w:p>
<w:p>
<w:pPr><w:pStyle w:val="Normal"/></w:pPr>
<w:r><w:t xml:space="preserve">and other ornamental work of granite have long been exported</w:t></w:r>
</w:p>
<w:p>
<w:pPr><w:pStyle w:val="Normal"/></w:pPr>
<w:r><w:t xml:space="preserve">from the district to all parts of the world.  This, though</w:t></w:r>
</w:p>
<w:p>
<w:pPr><w:pStyle w:val="Normal"/></w:pPr>
<w:r><w:t xml:space="preserve">once the predominant industry, has been surpassed by the</w:t></w:r>
</w:p>
<w:p>
<w:pPr><w:pStyle w:val="Normal"/></w:pPr>
<w:r><w:t xml:space="preserve">deep-sea fisheries, which derived a great impetus from</w:t></w:r>
</w:p>
<w:p>
<w:pPr><w:pStyle w:val="Normal"/></w:pPr>
<w:r><w:t xml:space="preserve">beam-trawling, introduced in 1882, and steam line fishing</w:t></w:r>
</w:p>
<w:p>
<w:pPr><w:pStyle w:val="Normal"/></w:pPr>
<w:r><w:t xml:space="preserve">in 1889, and threaten to rival if not to eclipse those of</w:t></w:r>
</w:p>
<w:p>
<w:pPr><w:pStyle w:val="Normal"/></w:pPr>
<w:r><w:t xml:space="preserve">Grimsby.  Fish trains are despatched to London daily.  Most</w:t></w:r>
</w:p>
<w:p>
<w:pPr><w:pStyle w:val="Normal"/></w:pPr>
<w:r><w:t xml:space="preserve">of the leading industries date from the 18th century, amongst</w:t></w:r>
</w:p>
<w:p>
<w:pPr><w:pStyle w:val="Normal"/></w:pPr>
<w:r><w:t xml:space="preserve">them woollens (1703), linen (1749) and cotton (1779).  These</w:t></w:r>
</w:p>
<w:p>
<w:pPr><w:pStyle w:val="Normal"/></w:pPr>
<w:r><w:t xml:space="preserve">give employment to several thousands of operatives.  The</w:t></w:r>
</w:p>
<w:p>
<w:pPr><w:pStyle w:val="Normal"/></w:pPr>
<w:r><w:t xml:space="preserve">paper-making industry is one of the most famous and oldest in</w:t></w:r>
</w:p>
<w:p>
<w:pPr><w:pStyle w:val="Normal"/></w:pPr>
<w:r><w:t xml:space="preserve">the city, paper having been first made in Aberdeen in 1694.</w:t></w:r>
</w:p>
<w:p>
<w:pPr><w:pStyle w:val="Normal"/></w:pPr>
<w:r><w:t xml:space="preserve">Flax-spinning and jute and combmaking factories are also very</w:t></w:r>
</w:p>
<w:p>
<w:pPr><w:pStyle w:val="Normal"/></w:pPr>
<w:r><w:t xml:space="preserve">flourishing, and there are successful foundries and engineering</w:t></w:r>
</w:p>
<w:p>
<w:pPr><w:pStyle w:val="Normal"/></w:pPr>
<w:r><w:t xml:space="preserve">works.  There are large distilleries and breweries, and</w:t></w:r>
</w:p>
<w:p>
<w:pPr><w:pStyle w:val="Normal"/></w:pPr>
<w:r><w:t xml:space="preserve">chemical works employing many hands.  In the days of wooden</w:t></w:r>
</w:p>
<w:p>
<w:pPr><w:pStyle w:val="Normal"/></w:pPr>
<w:r><w:t xml:space="preserve">ships ship-building was a flourishing industry, the town being</w:t></w:r>
</w:p>
<w:p>
<w:pPr><w:pStyle w:val="Normal"/></w:pPr>
<w:r><w:t xml:space="preserve">noted for its fast clippers, many of which established records</w:t></w:r>
</w:p>
<w:p>
<w:pPr><w:pStyle w:val="Normal"/></w:pPr>
<w:r><w:t xml:space="preserve">in the ``tea races.&apos;&apos; The introduction of trawllng revived</w:t></w:r>
</w:p>
<w:p>
<w:pPr><w:pStyle w:val="Normal"/></w:pPr>
<w:r><w:t xml:space="preserve">this to some extent, and despite the distance of the city</w:t></w:r>
</w:p>
<w:p>
<w:pPr><w:pStyle w:val="Normal"/></w:pPr>
<w:r><w:t xml:space="preserve">from the iron fields there is a fair yearly output of iron</w:t></w:r>
</w:p>
<w:p>
<w:pPr><w:pStyle w:val="Normal"/></w:pPr>
<w:r><w:t xml:space="preserve">vessels.  Of later origin are the jam, pickle and potted</w:t></w:r>
</w:p>
<w:p>
<w:pPr><w:pStyle w:val="Normal"/></w:pPr>
<w:r><w:t xml:space="preserve">meat factories, hundreds of acres having been laid down in</w:t></w:r>
</w:p>
<w:p>
<w:pPr><w:pStyle w:val="Normal"/></w:pPr>
<w:r><w:t xml:space="preserve">strawberries and other fruits within a few miles of the city.</w:t></w:r>
</w:p>
<w:p>
<w:pPr><w:pStyle w:val="Normal"/></w:pPr>
<w:r><w:t xml:space="preserve">History.--Aberdeen was an important place as far back as the</w:t></w:r>
</w:p>
<w:p>
<w:pPr><w:pStyle w:val="Normal"/></w:pPr>
<w:r><w:t xml:space="preserve">12th century.  William the Lion had a residence in the city, to</w:t></w:r>
</w:p>
<w:p>
<w:pPr><w:pStyle w:val="Normal"/></w:pPr>
<w:r><w:t xml:space="preserve">which he gave a charter in 1179 confirming the corporate rights</w:t></w:r>
</w:p>
<w:p>
<w:pPr><w:pStyle w:val="Normal"/></w:pPr>
<w:r><w:t xml:space="preserve">granted by David I. The city received other royal charters</w:t></w:r>
</w:p>
<w:p>
<w:pPr><w:pStyle w:val="Normal"/></w:pPr>
<w:r><w:t xml:space="preserve">later.  It was burned by the English king, Edward III., in</w:t></w:r>
</w:p>
<w:p>
<w:pPr><w:pStyle w:val="Normal"/></w:pPr>
<w:r><w:t xml:space="preserve">1336, but it was soon rebuilt and extended, and called New</w:t></w:r>
</w:p>
<w:p>
<w:pPr><w:pStyle w:val="Normal"/></w:pPr>
<w:r><w:t xml:space="preserve">Aberdeen.  The burgh records are the oldest in Scotland.</w:t></w:r>
</w:p>
<w:p>
<w:pPr><w:pStyle w:val="Normal"/></w:pPr>
<w:r><w:t xml:space="preserve">They begin in 1398 and with one brief break are complete to</w:t></w:r>
</w:p>
<w:p>
<w:pPr><w:pStyle w:val="Normal"/></w:pPr>
<w:r><w:t xml:space="preserve">the present day.  For many centuries the city was subject to</w:t></w:r>
</w:p>
<w:p>
<w:pPr><w:pStyle w:val="Normal"/></w:pPr>
<w:r><w:t xml:space="preserve">attacks by the neighbouring barons, and was strongly fortified,</w:t></w:r>
</w:p>
<w:p>
<w:pPr><w:pStyle w:val="Normal"/></w:pPr>
<w:r><w:t xml:space="preserve">but the gates were all removed by 1770.  In 1497 a blockhouse</w:t></w:r>
</w:p>
<w:p>
<w:pPr><w:pStyle w:val="Normal"/></w:pPr>
<w:r><w:t xml:space="preserve">was built at the harbour mouth as a protection against the</w:t></w:r>
</w:p>
<w:p>
<w:pPr><w:pStyle w:val="Normal"/></w:pPr>
<w:r><w:t xml:space="preserve">English.  During the struggles between the Royalists and</w:t></w:r>
</w:p>
<w:p>
<w:pPr><w:pStyle w:val="Normal"/></w:pPr>
<w:r><w:t xml:space="preserve">Covenanters the city was impartially plundered by both</w:t></w:r>
</w:p>
<w:p>
<w:pPr><w:pStyle w:val="Normal"/></w:pPr>
<w:r><w:t xml:space="preserve">sides.  In 1715 the Earl Marischal proclaimed the Old</w:t></w:r>
</w:p>
<w:p>
<w:pPr><w:pStyle w:val="Normal"/></w:pPr>
<w:r><w:t xml:space="preserve">Pretender at Aberdeen, and in 1745 the duke of Cumberland</w:t></w:r>
</w:p>
<w:p>
<w:pPr><w:pStyle w:val="Normal"/></w:pPr>
<w:r><w:t xml:space="preserve">resided for a short time in the city before attacking</w:t></w:r>
</w:p>
<w:p>
<w:pPr><w:pStyle w:val="Normal"/></w:pPr>
<w:r><w:t xml:space="preserve">the Young Pretender.  The motto on the city arms is ``Bon</w:t></w:r>
</w:p>
<w:p>
<w:pPr><w:pStyle w:val="Normal"/></w:pPr>
<w:r><w:t xml:space="preserve">Accord,&apos;&apos; which formed the watchword of the Aberdonians</w:t></w:r>
</w:p>
<w:p>
<w:pPr><w:pStyle w:val="Normal"/></w:pPr>
<w:r><w:t xml:space="preserve">while aiding Robert Bruce in his battles with the English.</w:t></w:r>
</w:p>
<w:p>
<w:pPr><w:pStyle w:val="Normal"/></w:pPr>
<w:r><w:t xml:space="preserve">Population.---In 1396 the population was about 3000.  By 1801 it had</w:t></w:r>
</w:p>
<w:p>
<w:pPr><w:pStyle w:val="Normal"/></w:pPr>
<w:r><w:t xml:space="preserve">become 26,992; in 1841 it was 63,262; (1891) 121,623; (1901) 153,503.</w:t></w:r>
</w:p>
<w:p>
<w:pPr><w:pStyle w:val="Normal"/></w:pPr>
<w:r><w:t xml:space="preserve">AUTHORITIES.--The charters of the burgh; extracts from</w:t></w:r>
</w:p>
<w:p>
<w:pPr><w:pStyle w:val="Normal"/></w:pPr>
<w:r><w:t xml:space="preserve">the council register down to 1625, and selections from the</w:t></w:r>
</w:p>
<w:p>
<w:pPr><w:pStyle w:val="Normal"/></w:pPr>
<w:r><w:t xml:space="preserve">letters. guildry and treasurer&apos;s accounts, forming 3 vols.</w:t></w:r>
</w:p>
<w:p>
<w:pPr><w:pStyle w:val="Normal"/></w:pPr>
<w:r><w:t xml:space="preserve">of the Spalding Club; Cosmo Innes, Registrum Episcopatus</w:t></w:r>
</w:p>
<w:p>
<w:pPr><w:pStyle w:val="Normal"/></w:pPr>
<w:r><w:t xml:space="preserve">Aberdonensis, Spalding Club; Walter Thore, The History</w:t></w:r>
</w:p>
<w:p>
<w:pPr><w:pStyle w:val="Normal"/></w:pPr>
<w:r><w:t xml:space="preserve">of Aberdeen (1811); Robert Wilson, Historical Account and</w:t></w:r>
</w:p>
<w:p>
<w:pPr><w:pStyle w:val="Normal"/></w:pPr>
<w:r><w:t xml:space="preserve">Delineation of Aberdeen (1822); William Kennedy, The Annals</w:t></w:r>
</w:p>
<w:p>
<w:pPr><w:pStyle w:val="Normal"/></w:pPr>
<w:r><w:t xml:space="preserve">of Aberdeen (1818); Orem, Descripjion of the Chanonry,</w:t></w:r>
</w:p>
<w:p>
<w:pPr><w:pStyle w:val="Normal"/></w:pPr>
<w:r><w:t xml:space="preserve">Cathedral and King&apos;s College of Old Aberdeen, 1724-1725</w:t></w:r>
</w:p>
<w:p>
<w:pPr><w:pStyle w:val="Normal"/></w:pPr>
<w:r><w:t xml:space="preserve">(1830); Sir Andrew Leith Hay of Rannes, The Castellated</w:t></w:r>
</w:p>
<w:p>
<w:pPr><w:pStyle w:val="Normal"/></w:pPr>
<w:r><w:t xml:space="preserve">Architecture of Aberdeen; Giles, Specimens of old</w:t></w:r>
</w:p>
<w:p>
<w:pPr><w:pStyle w:val="Normal"/></w:pPr>
<w:r><w:t xml:space="preserve">Castellated Houses of Aberdeen (1838); James Bryce, Lives</w:t></w:r>
</w:p>
<w:p>
<w:pPr><w:pStyle w:val="Normal"/></w:pPr>
<w:r><w:t xml:space="preserve">of Eminent Men of Aberdeen (1841); J. Gordon, Description</w:t></w:r>
</w:p>
<w:p>
<w:pPr><w:pStyle w:val="Normal"/></w:pPr>
<w:r><w:t xml:space="preserve">of Both Towns of Aberdeen (Spalding Club, 1842); Joseph</w:t></w:r>
</w:p>
<w:p>
<w:pPr><w:pStyle w:val="Normal"/></w:pPr>
<w:r><w:t xml:space="preserve">Robertson, The Book of Bon-Accord (Aberdeen, 1839); W.</w:t></w:r>
</w:p>
<w:p>
<w:pPr><w:pStyle w:val="Normal"/></w:pPr>
<w:r><w:t xml:space="preserve">Robbie, Aberdeen: its Traditions and History (Aberdeen,</w:t></w:r>
</w:p>
<w:p>
<w:pPr><w:pStyle w:val="Normal"/></w:pPr>
<w:r><w:t xml:space="preserve">1893); C. G. Burr and A. M. Munro, Old Landmarks of Aberdeen</w:t></w:r>
</w:p>
<w:p>
<w:pPr><w:pStyle w:val="Normal"/></w:pPr>
<w:r><w:t xml:space="preserve">(Aberdeen, 1886); A. M. Munro, Memorials of the Aldermen,</w:t></w:r>
</w:p>
<w:p>
<w:pPr><w:pStyle w:val="Normal"/></w:pPr>
<w:r><w:t xml:space="preserve">Provosts and Lord Provosts of Aberdeen (Aberdeen, 1897);</w:t></w:r>
</w:p>
<w:p>
<w:pPr><w:pStyle w:val="Normal"/></w:pPr>
<w:r><w:t xml:space="preserve">P. J. Anderson, Charters, &amp;c., illustrating the History</w:t></w:r>
</w:p>
<w:p>
<w:pPr><w:pStyle w:val="Normal"/></w:pPr>
<w:r><w:t xml:space="preserve">of Records of Marischal College (New Spalding 1890);</w:t></w:r>
</w:p>
<w:p>
<w:pPr><w:pStyle w:val="Normal"/></w:pPr>
<w:r><w:t xml:space="preserve">Selections from the Records of Marischal College (New</w:t></w:r>
</w:p>
<w:p>
<w:pPr><w:pStyle w:val="Normal"/></w:pPr>
<w:r><w:t xml:space="preserve">Spalding Club, 1889, 1898..1899); J. Cooper, Chartulary of</w:t></w:r>
</w:p>
<w:p>
<w:pPr><w:pStyle w:val="Normal"/></w:pPr>
<w:r><w:t xml:space="preserve">the Church of St Nicholas (New Spalding Club, 1888, 1892);</w:t></w:r>
</w:p>
<w:p>
<w:pPr><w:pStyle w:val="Normal"/></w:pPr>
<w:r><w:t xml:space="preserve">G. Cadenhead, Sketch of the Territorial History of the</w:t></w:r>
</w:p>
<w:p>
<w:pPr><w:pStyle w:val="Normal"/></w:pPr>
<w:r><w:t xml:space="preserve">Burgh of Aberdeen (Aberdeen, 1876); W. Cadenhead, Guide to</w:t></w:r>
</w:p>
<w:p>
<w:pPr><w:pStyle w:val="Normal"/></w:pPr>
<w:r><w:t xml:space="preserve">the City of Aberdeen (Aberdeen, 1897); A. Smith, History</w:t></w:r>
</w:p>
<w:p>
<w:pPr><w:pStyle w:val="Normal"/></w:pPr>
<w:r><w:t xml:space="preserve">and Antiquities of New and Old Aberdeen (Aberdeen, 1882).</w:t></w:r>
</w:p>
<w:p>
<w:pPr><w:pStyle w:val="Normal"/></w:pPr>
<w:r><w:t xml:space="preserve">ABERDEEN, a city and the county-seat of Brown county, South</w:t></w:r>
</w:p>
<w:p>
<w:pPr><w:pStyle w:val="Normal"/></w:pPr>
<w:r><w:t xml:space="preserve">Dakota, U.S.A., about 125 m.  N.E. of Pierre.  Pop. (1890)</w:t></w:r>
</w:p>
<w:p>
<w:pPr><w:pStyle w:val="Normal"/></w:pPr>
<w:r><w:t xml:space="preserve">3182; (1900) 4087, of whom 889 were foreign born; (1905) 5841;</w:t></w:r>
</w:p>
<w:p>
<w:pPr><w:pStyle w:val="Normal"/></w:pPr>
<w:r><w:t xml:space="preserve">(1910) 10,753.  Aberdeen is served by the Chicago, Milwaukee</w:t></w:r>
</w:p>
<w:p>
<w:pPr><w:pStyle w:val="Normal"/></w:pPr>
<w:r><w:t xml:space="preserve">and St Paul, the Great Northern, the Minneapolis and St</w:t></w:r>
</w:p>
<w:p>
<w:pPr><w:pStyle w:val="Normal"/></w:pPr>
<w:r><w:t xml:space="preserve">Louis, and the Chicago and North Western railways.  It is</w:t></w:r>
</w:p>
<w:p>
<w:pPr><w:pStyle w:val="Normal"/></w:pPr>
<w:r><w:t xml:space="preserve">the financial and trade centre for the northern part of the</w:t></w:r>
</w:p>
<w:p>
<w:pPr><w:pStyle w:val="Normal"/></w:pPr>
<w:r><w:t xml:space="preserve">state, a fine agricultural region, and in 1908 had five banks</w:t></w:r>
</w:p>
<w:p>
<w:pPr><w:pStyle w:val="Normal"/></w:pPr>
<w:r><w:t xml:space="preserve">and a number of wholesale houses.  The city is the seat of the</w:t></w:r>
</w:p>
<w:p>
<w:pPr><w:pStyle w:val="Normal"/></w:pPr>
<w:r><w:t xml:space="preserve">Northern Normal and Industrial School, a state institution,</w:t></w:r>
</w:p>
<w:p>
<w:pPr><w:pStyle w:val="Normal"/></w:pPr>
<w:r><w:t xml:space="preserve">and has a Carnegie Library; the principal buildings are the</w:t></w:r>
</w:p>
<w:p>
<w:pPr><w:pStyle w:val="Normal"/></w:pPr>
<w:r><w:t xml:space="preserve">court house and the government buildings.  Artesian wells</w:t></w:r>
</w:p>
<w:p>
<w:pPr><w:pStyle w:val="Normal"/></w:pPr>
<w:r><w:t xml:space="preserve">furnish good water-power, and artesian-well supplies, grain</w:t></w:r>
</w:p>
<w:p>
<w:pPr><w:pStyle w:val="Normal"/></w:pPr>
<w:r><w:t xml:space="preserve">pitchers, brooms, chemicals and flour are manufactured.  The</w:t></w:r>
</w:p>
<w:p>
<w:pPr><w:pStyle w:val="Normal"/></w:pPr>
<w:r><w:t xml:space="preserve">municipality owns and operates the water-works.  Aberdeen</w:t></w:r>
</w:p>
<w:p>
<w:pPr><w:pStyle w:val="Normal"/></w:pPr>
<w:r><w:t xml:space="preserve">was settled in 1880, and was chartered as a city in 1883.</w:t></w:r>
</w:p>
<w:p>
<w:pPr><w:pStyle w:val="Normal"/></w:pPr>
<w:r><w:t xml:space="preserve">ABERDEENSHIRE, a north-eastern county of Scotland, bounded</w:t></w:r>
</w:p>
<w:p>
<w:pPr><w:pStyle w:val="Normal"/></w:pPr>
<w:r><w:t xml:space="preserve">N. and E. by the North Sea, S. by Kincardine, Forfar and</w:t></w:r>
</w:p>
<w:p>
<w:pPr><w:pStyle w:val="Normal"/></w:pPr>
<w:r><w:t xml:space="preserve">Perth, and W. by Inverness and Banff.  It has a coast-line</w:t></w:r>
</w:p>
<w:p>
<w:pPr><w:pStyle w:val="Normal"/></w:pPr>
<w:r><w:t xml:space="preserve">of 65 m., and is the sixth Scottish county in area, occupying</w:t></w:r>
</w:p>
<w:p>
<w:pPr><w:pStyle w:val="Normal"/></w:pPr>
<w:r><w:t xml:space="preserve">1261,887 acres or 1971 sq. m.  The county is generally</w:t></w:r>
</w:p>
<w:p>
<w:pPr><w:pStyle w:val="Normal"/></w:pPr>
<w:r><w:t xml:space="preserve">hilly, and from the south-west, near the centre of Scotland,</w:t></w:r>
</w:p>
<w:p>
<w:pPr><w:pStyle w:val="Normal"/></w:pPr>
<w:r><w:t xml:space="preserve">the Grampians send out various branches, mostly to the</w:t></w:r>
</w:p>
<w:p>
<w:pPr><w:pStyle w:val="Normal"/></w:pPr>
<w:r><w:t xml:space="preserve">north-east.  The shire is popularly divided into five</w:t></w:r>
</w:p>
<w:p>
<w:pPr><w:pStyle w:val="Normal"/></w:pPr>
<w:r><w:t xml:space="preserve">districts.  Of these the first is Mar, mostly between the</w:t></w:r>
</w:p>
<w:p>
<w:pPr><w:pStyle w:val="Normal"/></w:pPr>
<w:r><w:t xml:space="preserve">Dee and Don, which nearly covers the southern half of the</w:t></w:r>
</w:p>
<w:p>
<w:pPr><w:pStyle w:val="Normal"/></w:pPr>
<w:r><w:t xml:space="preserve">county and contains the city of Aberdeen.  It is mountainous,</w:t></w:r>
</w:p>
<w:p>
<w:pPr><w:pStyle w:val="Normal"/></w:pPr>
<w:r><w:t xml:space="preserve">especially Braemar (q.v.), which contains the greatest</w:t></w:r>
</w:p>
<w:p>
<w:pPr><w:pStyle w:val="Normal"/></w:pPr>
<w:r><w:t xml:space="preserve">mass of elevated land in the British Isles.  The soil on the</w:t></w:r>
</w:p>
<w:p>
<w:pPr><w:pStyle w:val="Normal"/></w:pPr>
<w:r><w:t xml:space="preserve">Dee is sandy, and on the Don loamy.  The second district,</w:t></w:r>
</w:p>
<w:p>
<w:pPr><w:pStyle w:val="Normal"/></w:pPr>
<w:r><w:t xml:space="preserve">Formartine, between the lower Don and Ythan, has a sandy</w:t></w:r>
</w:p>
<w:p>
<w:pPr><w:pStyle w:val="Normal"/></w:pPr>
<w:r><w:t xml:space="preserve">coast, which is succeeded inland by a clayey, fertile, tilled</w:t></w:r>
</w:p>
<w:p>
<w:pPr><w:pStyle w:val="Normal"/></w:pPr>
<w:r><w:t xml:space="preserve">tract, and then by low hills, moors, mosses and tilled land.</w:t></w:r>
</w:p>
<w:p>
<w:pPr><w:pStyle w:val="Normal"/></w:pPr>
<w:r><w:t xml:space="preserve">Buchan, the third district, lies north of the Ythan, and,</w:t></w:r>
</w:p>
<w:p>
<w:pPr><w:pStyle w:val="Normal"/></w:pPr>
<w:r><w:t xml:space="preserve">comprising the north-east of the county, is next in size to</w:t></w:r>
</w:p>
<w:p>
<w:pPr><w:pStyle w:val="Normal"/></w:pPr>
<w:r><w:t xml:space="preserve">Mar, parts of the coast being bold and rocky, the interior bare,</w:t></w:r>
</w:p>
<w:p>
<w:pPr><w:pStyle w:val="Normal"/></w:pPr>
<w:r><w:t xml:space="preserve">low, flat, undulating and in places peaty.  On the coast, 6</w:t></w:r>
</w:p>
<w:p>
<w:pPr><w:pStyle w:val="Normal"/></w:pPr>
<w:r><w:t xml:space="preserve">m.  S. of Peterhead, are the Bullers of Buchan--a basin in</w:t></w:r>
</w:p>
<w:p>
<w:pPr><w:pStyle w:val="Normal"/></w:pPr>
<w:r><w:t xml:space="preserve">which the sea, entering by a natural arch, boils up violently</w:t></w:r>
</w:p>
<w:p>
<w:pPr><w:pStyle w:val="Normal"/></w:pPr>
<w:r><w:t xml:space="preserve">in stormy weather.  Buchan Ness is the most easterly point of</w:t></w:r>
</w:p>
<w:p>
<w:pPr><w:pStyle w:val="Normal"/></w:pPr>
<w:r><w:t xml:space="preserve">Scotland.  The fourth district, Garioch, in the centre of the</w:t></w:r>
</w:p>
<w:p>
<w:pPr><w:pStyle w:val="Normal"/></w:pPr>
<w:r><w:t xml:space="preserve">shire, is a beautiful, undulating, loamy, fertile valley.</w:t></w:r>
</w:p>
<w:p>
<w:pPr><w:pStyle w:val="Normal"/></w:pPr>
<w:r><w:t xml:space="preserve">formerly called the granary of Aberdeen.  Strathbogie, the</w:t></w:r>
</w:p>
<w:p>
<w:pPr><w:pStyle w:val="Normal"/></w:pPr>
<w:r><w:t xml:space="preserve">fifth district, occupying a considerable area south of the</w:t></w:r>
</w:p>
<w:p>
<w:pPr><w:pStyle w:val="Normal"/></w:pPr>
<w:r><w:t xml:space="preserve">Deveron, mostly consists of hills, moors and mosses.  The</w:t></w:r>
</w:p>
<w:p>
<w:pPr><w:pStyle w:val="Normal"/></w:pPr>
<w:r><w:t xml:space="preserve">mountains are the most striking of the physical features of the</w:t></w:r>
</w:p>
<w:p>
<w:pPr><w:pStyle w:val="Normal"/></w:pPr>
<w:r><w:t xml:space="preserve">county.  Ben Macdhui (4296 ft.), a magnificent mass, the</w:t></w:r>
</w:p>
<w:p>
<w:pPr><w:pStyle w:val="Normal"/></w:pPr>
<w:r><w:t xml:space="preserve">second highest mountain in Great Britain, Braeriach (4248),</w:t></w:r>
</w:p>
<w:p>
<w:pPr><w:pStyle w:val="Normal"/></w:pPr>
<w:r><w:t xml:space="preserve">Cairntoul (4241), Ben-na-bhuaird (3924), Ben Avon (3843),</w:t></w:r>
</w:p>
<w:p>
<w:pPr><w:pStyle w:val="Normal"/></w:pPr>
<w:r><w:t xml:space="preserve">``dark&apos;&apos; Lochnagar (3786), the subject of a well-known song by</w:t></w:r>
</w:p>
<w:p>
<w:pPr><w:pStyle w:val="Normal"/></w:pPr>
<w:r><w:t xml:space="preserve">Byron, Cairn Eas (3556), Sgarsoch (3402), Culardoch (2953),</w:t></w:r>
</w:p>
<w:p>
<w:pPr><w:pStyle w:val="Normal"/></w:pPr>
<w:r><w:t xml:space="preserve">are the principal heights in the division of Mar. Farther</w:t></w:r>
</w:p>
<w:p>
<w:pPr><w:pStyle w:val="Normal"/></w:pPr>
<w:r><w:t xml:space="preserve">north rise the Buck of Cabrach (2368) on the Banffshire border,</w:t></w:r>
</w:p>
<w:p>
<w:pPr><w:pStyle w:val="Normal"/></w:pPr>
<w:r><w:t xml:space="preserve">Tap o&apos; Noth (1830), Bennachie (1698), a beautiful peak which</w:t></w:r>
</w:p>
<w:p>
<w:pPr><w:pStyle w:val="Normal"/></w:pPr>
<w:r><w:t xml:space="preserve">from its central position is a landmark visible from many</w:t></w:r>
</w:p>
<w:p>
<w:pPr><w:pStyle w:val="Normal"/></w:pPr>
<w:r><w:t xml:space="preserve">different parts of the county, and which is celebrated in John</w:t></w:r>
</w:p>
<w:p>
<w:pPr><w:pStyle w:val="Normal"/></w:pPr>
<w:r><w:t xml:space="preserve">Imlah&apos;s song, ``O gin I were where Gadie rins,&apos;&apos; and Foudland</w:t></w:r>
</w:p>
<w:p>
<w:pPr><w:pStyle w:val="Normal"/></w:pPr>
<w:r><w:t xml:space="preserve">(1529).  The chief rivers are the Dee, 90 m. long; the Iyon,</w:t></w:r>
</w:p>
<w:p>
<w:pPr><w:pStyle w:val="Normal"/></w:pPr>
<w:r><w:t xml:space="preserve">82 m.; the Ythan, 37 m., with mussel-beds at its mouth; the</w:t></w:r>
</w:p>
<w:p>
<w:pPr><w:pStyle w:val="Normal"/></w:pPr>
<w:r><w:t xml:space="preserve">Ugie, 20 m., and the Deveron, 62 m., partly on the boundary of</w:t></w:r>
</w:p>
<w:p>
<w:pPr><w:pStyle w:val="Normal"/></w:pPr>
<w:r><w:t xml:space="preserve">Banffshire.  The rivers abound with salmon and trout, and the</w:t></w:r>
</w:p>
<w:p>
<w:pPr><w:pStyle w:val="Normal"/></w:pPr>
<w:r><w:t xml:space="preserve">pearl mussel occurs in the Ythan and Don. A valuable pearl</w:t></w:r>
</w:p>
<w:p>
<w:pPr><w:pStyle w:val="Normal"/></w:pPr>
<w:r><w:t xml:space="preserve">in the Scottish crown is said to be from the Ythan.  Loch</w:t></w:r>
</w:p>
<w:p>
<w:pPr><w:pStyle w:val="Normal"/></w:pPr>
<w:r><w:t xml:space="preserve">Muick, the largest of the few lakes in the county, 1310 ft.</w:t></w:r>
</w:p>
<w:p>
<w:pPr><w:pStyle w:val="Normal"/></w:pPr>
<w:r><w:t xml:space="preserve">above the sea, 2 1/2 m. long and  1/3 to  1/2 m. broad, lies some</w:t></w:r>
</w:p>
<w:p>
<w:pPr><w:pStyle w:val="Normal"/></w:pPr>
<w:r><w:t xml:space="preserve">8  1/2 m.  S.W. of Ballater, and has Altnagiuthasach, a royal</w:t></w:r>
</w:p>
<w:p>
<w:pPr><w:pStyle w:val="Normal"/></w:pPr>
<w:r><w:t xml:space="preserve">shooting-box, near its south-western end.  Loch Strathbeg, 6</w:t></w:r>
</w:p>
<w:p>
<w:pPr><w:pStyle w:val="Normal"/></w:pPr>
<w:r><w:t xml:space="preserve">m.  S.E. of Fraserburgh, is only separated from the sea by</w:t></w:r>
</w:p>
<w:p>
<w:pPr><w:pStyle w:val="Normal"/></w:pPr>
<w:r><w:t xml:space="preserve">a narrow strip of land.  There are noted chalybeate springs</w:t></w:r>
</w:p>
<w:p>
<w:pPr><w:pStyle w:val="Normal"/></w:pPr>
<w:r><w:t xml:space="preserve">at Peterhead, Fraserburgh, and Pannanich near Ballater.</w:t></w:r>
</w:p>
<w:p>
<w:pPr><w:pStyle w:val="Normal"/></w:pPr>
<w:r><w:t xml:space="preserve">Geology.---The greater part of the county is composed of</w:t></w:r>
</w:p>
<w:p>
<w:pPr><w:pStyle w:val="Normal"/></w:pPr>
<w:r><w:t xml:space="preserve">crystalline schists belonging to the metamorphic rocks of</w:t></w:r>
</w:p>
<w:p>
<w:pPr><w:pStyle w:val="Normal"/></w:pPr>
<w:r><w:t xml:space="preserve">the Eastern Highlands.  In the upper parts of the valleys</w:t></w:r>
</w:p>
<w:p>
<w:pPr><w:pStyle w:val="Normal"/></w:pPr>
<w:r><w:t xml:space="preserve">of the Dee and the Don they form well-marked groups, of</w:t></w:r>
</w:p>
<w:p>
<w:pPr><w:pStyle w:val="Normal"/></w:pPr>
<w:r><w:t xml:space="preserve">which the most characteristic are (1) the black schists and</w:t></w:r>
</w:p>
<w:p>
<w:pPr><w:pStyle w:val="Normal"/></w:pPr>
<w:r><w:t xml:space="preserve">phyllites, with calcflintas, and a thin band of tremolite</w:t></w:r>
</w:p>
<w:p>
<w:pPr><w:pStyle w:val="Normal"/></w:pPr>
<w:r><w:t xml:space="preserve">limestone, (2) the main or Blair Atholl limestone, (3) the</w:t></w:r>
</w:p>
<w:p>
<w:pPr><w:pStyle w:val="Normal"/></w:pPr>
<w:r><w:t xml:space="preserve">quartzite.  These divisions are folded on highly inclined or</w:t></w:r>
</w:p>
<w:p>
<w:pPr><w:pStyle w:val="Normal"/></w:pPr>
<w:r><w:t xml:space="preserve">vertical axes trending north-east and south-west, and hence</w:t></w:r>
</w:p>
<w:p>
<w:pPr><w:pStyle w:val="Normal"/></w:pPr>
<w:r><w:t xml:space="preserve">the same zones are repeated over a considerable area.  The</w:t></w:r>
</w:p>
<w:p>
<w:pPr><w:pStyle w:val="Normal"/></w:pPr>
<w:r><w:t xml:space="preserve">quartzite is generally regarded as the highest member of the</w:t></w:r>
</w:p>
<w:p>
<w:pPr><w:pStyle w:val="Normal"/></w:pPr>
<w:r><w:t xml:space="preserve">series.  Excellent sections showing the component strata</w:t></w:r>
</w:p>
<w:p>
<w:pPr><w:pStyle w:val="Normal"/></w:pPr>
<w:r><w:t xml:space="preserve">occur in Glen Clunie and its tributary valleys above Braemar.</w:t></w:r>
</w:p>
<w:p>
<w:pPr><w:pStyle w:val="Normal"/></w:pPr>
<w:r><w:t xml:space="preserve">Eastwards down the Dee and the Don and northwards across the</w:t></w:r>
</w:p>
<w:p>
<w:pPr><w:pStyle w:val="Normal"/></w:pPr>
<w:r><w:t xml:space="preserve">plain of Buchan towards Rattray Head and Fraserburgh there</w:t></w:r>
</w:p>
<w:p>
<w:pPr><w:pStyle w:val="Normal"/></w:pPr>
<w:r><w:t xml:space="preserve">is a development of biotite gneiss, partly of sedimentary</w:t></w:r>
</w:p>
<w:p>
<w:pPr><w:pStyle w:val="Normal"/></w:pPr>
<w:r><w:t xml:space="preserve">and perhaps partly of igneous origin.  A belt of slate which</w:t></w:r>
</w:p>
<w:p>
<w:pPr><w:pStyle w:val="Normal"/></w:pPr>
<w:r><w:t xml:space="preserve">has been quarried for roofing purposes runs along the west</w:t></w:r>
</w:p>
<w:p>
<w:pPr><w:pStyle w:val="Normal"/></w:pPr>
<w:r><w:t xml:space="preserve">border of the county from Turriff by Auchterless and the</w:t></w:r>
</w:p>
<w:p>
<w:pPr><w:pStyle w:val="Normal"/></w:pPr>
<w:r><w:t xml:space="preserve">Foudland Hills towards the Tap o&apos; Noth near Gartly.  The</w:t></w:r>
</w:p>
<w:p>
<w:pPr><w:pStyle w:val="Normal"/></w:pPr>
<w:r><w:t xml:space="preserve">metamorphic rocks have been invaded by igneous materials, some</w:t></w:r>
</w:p>
<w:p>
<w:pPr><w:pStyle w:val="Normal"/></w:pPr>
<w:r><w:t xml:space="preserve">before, and by far the larger series after the folding of the</w:t></w:r>
</w:p>
<w:p>
<w:pPr><w:pStyle w:val="Normal"/></w:pPr>
<w:r><w:t xml:space="preserve">strata.  The basic types of the former are represented by</w:t></w:r>
</w:p>
<w:p>
<w:pPr><w:pStyle w:val="Normal"/></w:pPr>
<w:r><w:t xml:space="preserve">the sills of epidiorite and hornblende gneiss in Glen Muick</w:t></w:r>
</w:p>
<w:p>
<w:pPr><w:pStyle w:val="Normal"/></w:pPr>
<w:r><w:t xml:space="preserve">and Glen Callater, which have been permeated by granite and</w:t></w:r>
</w:p>
<w:p>
<w:pPr><w:pStyle w:val="Normal"/></w:pPr>
<w:r><w:t xml:space="preserve">pegmatite in veins and lenticles, often foliated.  The later</w:t></w:r>
</w:p>
<w:p>
<w:pPr><w:pStyle w:val="Normal"/></w:pPr>
<w:r><w:t xml:space="preserve">granites subsequent to the plication of the schists have a</w:t></w:r>
</w:p>
<w:p>
<w:pPr><w:pStyle w:val="Normal"/></w:pPr>
<w:r><w:t xml:space="preserve">wide distribution on the Ben Macdhui and Ben Avon range, and</w:t></w:r>
</w:p>
<w:p>
<w:pPr><w:pStyle w:val="Normal"/></w:pPr>
<w:r><w:t xml:space="preserve">on Lochnagar; they stretch eastwards from Ballater by Tarland</w:t></w:r>
</w:p>
<w:p>
<w:pPr><w:pStyle w:val="Normal"/></w:pPr>
<w:r><w:t xml:space="preserve">to Aberdeen and north to Bennachie.  Isolated masses appear</w:t></w:r>
</w:p>
<w:p>
<w:pPr><w:pStyle w:val="Normal"/></w:pPr>
<w:r><w:t xml:space="preserve">at Peterhead and at Strichen.  Though consisting mainly of</w:t></w:r>
</w:p>
<w:p>
<w:pPr><w:pStyle w:val="Normal"/></w:pPr>
<w:r><w:t xml:space="preserve">biotite granite, these later intrusions pass by intermediate</w:t></w:r>
</w:p>
<w:p>
<w:pPr><w:pStyle w:val="Normal"/></w:pPr>
<w:r><w:t xml:space="preserve">stages into diorite, as in the area between Balmoral and the</w:t></w:r>
</w:p>
<w:p>
<w:pPr><w:pStyle w:val="Normal"/></w:pPr>
<w:r><w:t xml:space="preserve">head-waters of the Gairn.  The granites have been extensively</w:t></w:r>
</w:p>
<w:p>
<w:pPr><w:pStyle w:val="Normal"/></w:pPr>
<w:r><w:t xml:space="preserve">quarried at Rubislaw, Peterhead and Kemnay.  Serpentine and</w:t></w:r>
</w:p>
<w:p>
<w:pPr><w:pStyle w:val="Normal"/></w:pPr>
<w:r><w:t xml:space="preserve">troctolite, the precise age of which is uncertain, occur at</w:t></w:r>
</w:p>
<w:p>
<w:pPr><w:pStyle w:val="Normal"/></w:pPr>
<w:r><w:t xml:space="preserve">the Black Dog rock north of Aberdeen, at Belhelvie and near Old</w:t></w:r>
</w:p>
<w:p>
<w:pPr><w:pStyle w:val="Normal"/></w:pPr>
<w:r><w:t xml:space="preserve">Meldrum.  Where the schists of sedimentary origin have been</w:t></w:r>
</w:p>
<w:p>
<w:pPr><w:pStyle w:val="Normal"/></w:pPr>
<w:r><w:t xml:space="preserve">pierced by these igneous intrusions, they are charged with</w:t></w:r>
</w:p>
<w:p>
<w:pPr><w:pStyle w:val="Normal"/></w:pPr>
<w:r><w:t xml:space="preserve">contact minerals such as sillimanite, cordierite, kyanite and</w:t></w:r>
</w:p>
<w:p>
<w:pPr><w:pStyle w:val="Normal"/></w:pPr>
<w:r><w:t xml:space="preserve">andalusite.  Cordierite-bearing rocks occur near Ellon, at the</w:t></w:r>
</w:p>
<w:p>
<w:pPr><w:pStyle w:val="Normal"/></w:pPr>
<w:r><w:t xml:space="preserve">foot of Bennachie, and on the top of the Buck of Cahrach.  A</w:t></w:r>
</w:p>
<w:p>
<w:pPr><w:pStyle w:val="Normal"/></w:pPr>
<w:r><w:t xml:space="preserve">banded and mottled calc-silicate hornfels occurring with the</w:t></w:r>
</w:p>
<w:p>
<w:pPr><w:pStyle w:val="Normal"/></w:pPr>
<w:r><w:t xml:space="preserve">limestone at Iyerry Falls, W. N.W. of Braemar, has yielded</w:t></w:r>
</w:p>
<w:p>
<w:pPr><w:pStyle w:val="Normal"/></w:pPr>
<w:r><w:t xml:space="preserve">malacolite, wollastonite, brown idocrase, garnet, sphene and</w:t></w:r>
</w:p>
<w:p>
<w:pPr><w:pStyle w:val="Normal"/></w:pPr>
<w:r><w:t xml:space="preserve">hornblende.  A larger list of minerals has been obtained</w:t></w:r>
</w:p>
<w:p>
<w:pPr><w:pStyle w:val="Normal"/></w:pPr>
<w:r><w:t xml:space="preserve">from an exposure of limestone and associated beds in Glen</w:t></w:r>
</w:p>
<w:p>
<w:pPr><w:pStyle w:val="Normal"/></w:pPr>
<w:r><w:t xml:space="preserve">Gairn, about four miles above the point where that river</w:t></w:r>
</w:p>
<w:p>
<w:pPr><w:pStyle w:val="Normal"/></w:pPr>
<w:r><w:t xml:space="preserve">joins the Dee. Narrow belts of Old Red Sandstone, resting</w:t></w:r>
</w:p>
<w:p>
<w:pPr><w:pStyle w:val="Normal"/></w:pPr>
<w:r><w:t xml:space="preserve">unconformably on the old platform of slates and schists, have</w:t></w:r>
</w:p>
<w:p>
<w:pPr><w:pStyle w:val="Normal"/></w:pPr>
<w:r><w:t xml:space="preserve">been traced from the north coast at Peterhead by Turriff to</w:t></w:r>
</w:p>
<w:p>
<w:pPr><w:pStyle w:val="Normal"/></w:pPr>
<w:r><w:t xml:space="preserve">Fyvie, and also from Huntly by Gartly to Kildrummy Castle.</w:t></w:r>
</w:p>
<w:p>
<w:pPr><w:pStyle w:val="Normal"/></w:pPr>
<w:r><w:t xml:space="preserve">The strata consist mainly of conglomerates and sandstones,</w:t></w:r>
</w:p>
<w:p>
<w:pPr><w:pStyle w:val="Normal"/></w:pPr>
<w:r><w:t xml:space="preserve">which, at Gartly and at Rhyme, are associated with lenticular</w:t></w:r>
</w:p>
<w:p>
<w:pPr><w:pStyle w:val="Normal"/></w:pPr>
<w:r><w:t xml:space="preserve">bands of andesite indicating contemporaneous volcanic</w:t></w:r>
</w:p>
<w:p>
<w:pPr><w:pStyle w:val="Normal"/></w:pPr>
<w:r><w:t xml:space="preserve">action.  Small outliers of conglomerate and sandstone of this</w:t></w:r>
</w:p>
<w:p>
<w:pPr><w:pStyle w:val="Normal"/></w:pPr>
<w:r><w:t xml:space="preserve">age have recently been found in the course of excavations in</w:t></w:r>
</w:p>
<w:p>
<w:pPr><w:pStyle w:val="Normal"/></w:pPr>
<w:r><w:t xml:space="preserve">Aberdeen.  The glacial deposits, especially in the belt</w:t></w:r>
</w:p>
<w:p>
<w:pPr><w:pStyle w:val="Normal"/></w:pPr>
<w:r><w:t xml:space="preserve">bordering the coast between Aberdeen and Peterhead, furnish</w:t></w:r>
</w:p>
<w:p>
<w:pPr><w:pStyle w:val="Normal"/></w:pPr>
<w:r><w:t xml:space="preserve">important evidence.  The ice moved eastwards off the high</w:t></w:r>
</w:p>
<w:p>
<w:pPr><w:pStyle w:val="Normal"/></w:pPr>
<w:r><w:t xml:space="preserve">ground at the head of the Dee and the Don, while the mass</w:t></w:r>
</w:p>
<w:p>
<w:pPr><w:pStyle w:val="Normal"/></w:pPr>
<w:r><w:t xml:space="preserve">spreading outwards from the Moray Firth invaded the low</w:t></w:r>
</w:p>
<w:p>
<w:pPr><w:pStyle w:val="Normal"/></w:pPr>
<w:r><w:t xml:space="preserve">plateau of Buchan; but at a certain stage there was a marked</w:t></w:r>
</w:p>
<w:p>
<w:pPr><w:pStyle w:val="Normal"/></w:pPr>
<w:r><w:t xml:space="preserve">defection northwards parallel with the coast, as proved by</w:t></w:r>
</w:p>
<w:p>
<w:pPr><w:pStyle w:val="Normal"/></w:pPr>
<w:r><w:t xml:space="preserve">the deposit of red clay north of Aberdeen.  At a later date</w:t></w:r>
</w:p>
<w:p>
<w:pPr><w:pStyle w:val="Normal"/></w:pPr>
<w:r><w:t xml:space="preserve">the local glaciers laid down materials on top of the red</w:t></w:r>
</w:p>
<w:p>
<w:pPr><w:pStyle w:val="Normal"/></w:pPr>
<w:r><w:t xml:space="preserve">clay.  The committee appointed by the British Association</w:t></w:r>
</w:p>
<w:p>
<w:pPr><w:pStyle w:val="Normal"/></w:pPr>
<w:r><w:t xml:space="preserve">(Report for 1897, p. 333) proved that the Greensand, which</w:t></w:r>
</w:p>
<w:p>
<w:pPr><w:pStyle w:val="Normal"/></w:pPr>
<w:r><w:t xml:space="preserve">has yielded a large suite of Cretaceous fossils at Moreseat,</w:t></w:r>
</w:p>
<w:p>
<w:pPr><w:pStyle w:val="Normal"/></w:pPr>
<w:r><w:t xml:space="preserve">in the parish of Cruden, occurs in glacial drift, resting</w:t></w:r>
</w:p>
<w:p>
<w:pPr><w:pStyle w:val="Normal"/></w:pPr>
<w:r><w:t xml:space="preserve">probably on granite.  The strata from which the Moreseat</w:t></w:r>
</w:p>
<w:p>
<w:pPr><w:pStyle w:val="Normal"/></w:pPr>
<w:r><w:t xml:space="preserve">fossils were derived are not now found in place in that part</w:t></w:r>
</w:p>
<w:p>
<w:pPr><w:pStyle w:val="Normal"/></w:pPr>
<w:r><w:t xml:space="preserve">of Scotland, but Mr Jukes Brown considers that the horizon</w:t></w:r>
</w:p>
<w:p>
<w:pPr><w:pStyle w:val="Normal"/></w:pPr>
<w:r><w:t xml:space="preserve">of the fossils is that of the lower Greensand of the Isle of</w:t></w:r>
</w:p>
<w:p>
<w:pPr><w:pStyle w:val="Normal"/></w:pPr>
<w:r><w:t xml:space="preserve">Wight or the Aptien stage of France.  Chalk flints are widely</w:t></w:r>
</w:p>
<w:p>
<w:pPr><w:pStyle w:val="Normal"/></w:pPr>
<w:r><w:t xml:space="preserve">distributed in the drift between Fyvie and the east coast of</w:t></w:r>
</w:p>
<w:p>
<w:pPr><w:pStyle w:val="Normal"/></w:pPr>
<w:r><w:t xml:space="preserve">Buchan.  At Plaidy a patch of clay with Liassic fossils</w:t></w:r>
</w:p>
<w:p>
<w:pPr><w:pStyle w:val="Normal"/></w:pPr>
<w:r><w:t xml:space="preserve">occurs.  At several localities between Logie Coldstone and Dinnet</w:t></w:r>
</w:p>
<w:p>
<w:pPr><w:pStyle w:val="Normal"/></w:pPr>
<w:r><w:t xml:space="preserve">a deposit of diatomite (Kieselguhr) occurs beneath the peat.</w:t></w:r>
</w:p>
<w:p>
<w:pPr><w:pStyle w:val="Normal"/></w:pPr>
<w:r><w:t xml:space="preserve">Flora and Fauna.---The tops of the highest mountains have an</w:t></w:r>
</w:p>
<w:p>
<w:pPr><w:pStyle w:val="Normal"/></w:pPr>
<w:r><w:t xml:space="preserve">arctic flora.  At the royal lodge on Loch Muick, 1350 ft. above</w:t></w:r>
</w:p>
<w:p>
<w:pPr><w:pStyle w:val="Normal"/></w:pPr>
<w:r><w:t xml:space="preserve">the sea, grow larches, vegetables, currants, laurels, roses,</w:t></w:r>
</w:p>
<w:p>
<w:pPr><w:pStyle w:val="Normal"/></w:pPr>
<w:r><w:t xml:space="preserve">&amp;c. Some ash-trees, four or five feet in girth, are growing</w:t></w:r>
</w:p>
<w:p>
<w:pPr><w:pStyle w:val="Normal"/></w:pPr>
<w:r><w:t xml:space="preserve">at 1300 ft. above the sea.  T rees, especially Scotch fir and</w:t></w:r>
</w:p>
<w:p>
<w:pPr><w:pStyle w:val="Normal"/></w:pPr>
<w:r><w:t xml:space="preserve">larch, grow well, and Braemar is rich in natural timber, said</w:t></w:r>
</w:p>
<w:p>
<w:pPr><w:pStyle w:val="Normal"/></w:pPr>
<w:r><w:t xml:space="preserve">to surpass any in the north of Europe.  Stumps of Scotch fir</w:t></w:r>
</w:p>
<w:p>
<w:pPr><w:pStyle w:val="Normal"/></w:pPr>
<w:r><w:t xml:space="preserve">and oak found in peat are sometimes far larger than any now</w:t></w:r>
</w:p>
<w:p>
<w:pPr><w:pStyle w:val="Normal"/></w:pPr>
<w:r><w:t xml:space="preserve">growing.  The mole is found at 1800 ft. above the sea, and the</w:t></w:r>
</w:p>
<w:p>
<w:pPr><w:pStyle w:val="Normal"/></w:pPr>
<w:r><w:t xml:space="preserve">squirrel at 1400.  Grouse, partridges and hares are plentiful,</w:t></w:r>
</w:p>
<w:p>
<w:pPr><w:pStyle w:val="Normal"/></w:pPr>
<w:r><w:t xml:space="preserve">and rabbits are often too numerous.  Red deer abound in</w:t></w:r>
</w:p>
<w:p>
<w:pPr><w:pStyle w:val="Normal"/></w:pPr>
<w:r><w:t xml:space="preserve">Braemar, the deer forest being the most extensive in Scotland.</w:t></w:r>
</w:p>
<w:p>
<w:pPr><w:pStyle w:val="Normal"/></w:pPr>
<w:r><w:t xml:space="preserve">Climate and Agriculture.---The climate, except in the</w:t></w:r>
</w:p>
<w:p>
<w:pPr><w:pStyle w:val="Normal"/></w:pPr>
<w:r><w:t xml:space="preserve">mountainous districts, is comparatively mild, owing to</w:t></w:r>
</w:p>
<w:p>
<w:pPr><w:pStyle w:val="Normal"/></w:pPr>
<w:r><w:t xml:space="preserve">the proximity of much of the shire to the sea.  The mean</w:t></w:r>
</w:p>
<w:p>
<w:pPr><w:pStyle w:val="Normal"/></w:pPr>
<w:r><w:t xml:space="preserve">annual temperature at Braemar is 43.6 deg.  F., and at Aberdeen</w:t></w:r>
</w:p>
<w:p>
<w:pPr><w:pStyle w:val="Normal"/></w:pPr>
<w:r><w:t xml:space="preserve">45.8 deg. .  The mean yearly rainfall varies from about 30 to 37</w:t></w:r>
</w:p>
<w:p>
<w:pPr><w:pStyle w:val="Normal"/></w:pPr>
<w:r><w:t xml:space="preserve">in.  The summer climate of the upper Dee and Don valleys is</w:t></w:r>
</w:p>
<w:p>
<w:pPr><w:pStyle w:val="Normal"/></w:pPr>
<w:r><w:t xml:space="preserve">the driest and most bracing in the British Isles, and grain</w:t></w:r>
</w:p>
<w:p>
<w:pPr><w:pStyle w:val="Normal"/></w:pPr>
<w:r><w:t xml:space="preserve">is cultivated up to 1600 ft. above the sea, or 400 to 500</w:t></w:r>
</w:p>
<w:p>
<w:pPr><w:pStyle w:val="Normal"/></w:pPr>
<w:r><w:t xml:space="preserve">ft. higher than elsewhere in North Britain.  Poor, gravelly,</w:t></w:r>
</w:p>
<w:p>
<w:pPr><w:pStyle w:val="Normal"/></w:pPr>
<w:r><w:t xml:space="preserve">clayey and peaty solis prevail, but tile-draining, bones and</w:t></w:r>
</w:p>
<w:p>
<w:pPr><w:pStyle w:val="Normal"/></w:pPr>
<w:r><w:t xml:space="preserve">guano, and the best methods of modern tillage, have greatly</w:t></w:r>
</w:p>
<w:p>
<w:pPr><w:pStyle w:val="Normal"/></w:pPr>
<w:r><w:t xml:space="preserve">increased the produce.  Indeed, in no part of Scotland has</w:t></w:r>
</w:p>
<w:p>
<w:pPr><w:pStyle w:val="Normal"/></w:pPr>
<w:r><w:t xml:space="preserve">a more productive soil been made out of such unpromising</w:t></w:r>
</w:p>
<w:p>
<w:pPr><w:pStyle w:val="Normal"/></w:pPr>
<w:r><w:t xml:space="preserve">material.  Farm-houses and steadings have much improved, and</w:t></w:r>
</w:p>
<w:p>
<w:pPr><w:pStyle w:val="Normal"/></w:pPr>
<w:r><w:t xml:space="preserve">the best agricultural implements and machines are in general</w:t></w:r>
</w:p>
<w:p>
<w:pPr><w:pStyle w:val="Normal"/></w:pPr>
<w:r><w:t xml:space="preserve">use.  About two-thirds of the population depend entirely</w:t></w:r>
</w:p>
<w:p>
<w:pPr><w:pStyle w:val="Normal"/></w:pPr>
<w:r><w:t xml:space="preserve">on agriculture . Farms are small compared with those in</w:t></w:r>
</w:p>
<w:p>
<w:pPr><w:pStyle w:val="Normal"/></w:pPr>
<w:r><w:t xml:space="preserve">the south-eastern counties.  Oats are the predominant crop,</w:t></w:r>
</w:p>
<w:p>
<w:pPr><w:pStyle w:val="Normal"/></w:pPr>
<w:r><w:t xml:space="preserve">wheat has practically gone out of cultivation, but barley</w:t></w:r>
</w:p>
<w:p>
<w:pPr><w:pStyle w:val="Normal"/></w:pPr>
<w:r><w:t xml:space="preserve">has largely increased.  The most distinctive industry is</w:t></w:r>
</w:p>
<w:p>
<w:pPr><w:pStyle w:val="Normal"/></w:pPr>
<w:r><w:t xml:space="preserve">cattle-feeding.  A great number of the home-bred crosses</w:t></w:r>
</w:p>
<w:p>
<w:pPr><w:pStyle w:val="Normal"/></w:pPr>
<w:r><w:t xml:space="preserve">are fattened for the London and local markets, and Irish</w:t></w:r>
</w:p>
<w:p>
<w:pPr><w:pStyle w:val="Normal"/></w:pPr>
<w:r><w:t xml:space="preserve">animals are imported on an extensive scale for the same</w:t></w:r>
</w:p>
<w:p>
<w:pPr><w:pStyle w:val="Normal"/></w:pPr>
<w:r><w:t xml:space="preserve">purpose, while an exceedingly heavy business in dead meat</w:t></w:r>
</w:p>
<w:p>
<w:pPr><w:pStyle w:val="Normal"/></w:pPr>
<w:r><w:t xml:space="preserve">for London and the south is done all over the county.</w:t></w:r>
</w:p>
<w:p>
<w:pPr><w:pStyle w:val="Normal"/></w:pPr>
<w:r><w:t xml:space="preserve">Sheep, horses and pigs are also raised in large numbers.</w:t></w:r>
</w:p>
<w:p>
<w:pPr><w:pStyle w:val="Normal"/></w:pPr>
<w:r><w:t xml:space="preserve">Fisheries.---A large fishing population in villages along</w:t></w:r>
</w:p>
<w:p>
<w:pPr><w:pStyle w:val="Normal"/></w:pPr>
<w:r><w:t xml:space="preserve">the coast engage in the white and herring fishery, which is the</w:t></w:r>
</w:p>
<w:p>
<w:pPr><w:pStyle w:val="Normal"/></w:pPr>
<w:r><w:t xml:space="preserve">next most important industry to agriculture, its development</w:t></w:r>
</w:p>
<w:p>
<w:pPr><w:pStyle w:val="Normal"/></w:pPr>
<w:r><w:t xml:space="preserve">having been due almost exclusively to the introduction of steam</w:t></w:r>
</w:p>
<w:p>
<w:pPr><w:pStyle w:val="Normal"/></w:pPr>
<w:r><w:t xml:space="preserve">trawlers.  The total value of the annual catch, of which</w:t></w:r>
</w:p>
<w:p>
<w:pPr><w:pStyle w:val="Normal"/></w:pPr>
<w:r><w:t xml:space="preserve">between a half and a third consists of herrings, amounts to</w:t></w:r>
</w:p>
<w:p>
<w:pPr><w:pStyle w:val="Heading1"/></w:pPr>
<w:r><w:t>L. 1,000,000.  Haddocks are salted and rock-dried (speldings)</w:t></w:r>
</w:p>
<w:p>
<w:pPr><w:pStyle w:val="Normal"/></w:pPr>
<w:r><w:t xml:space="preserve">or smoked (finnans).  The ports and creeks are divided</w:t></w:r>
</w:p>
<w:p>
<w:pPr><w:pStyle w:val="Normal"/></w:pPr>
<w:r><w:t xml:space="preserve">into the fishery rllstricts of Peterhead, Fraserburgh and</w:t></w:r>
</w:p>
<w:p>
<w:pPr><w:pStyle w:val="Normal"/></w:pPr>
<w:r><w:t xml:space="preserve">Aberdeen, the last of which includes also three Kincardineshire</w:t></w:r>
</w:p>
<w:p>
<w:pPr><w:pStyle w:val="Normal"/></w:pPr>
<w:r><w:t xml:space="preserve">ports.  The herring season for Aberdeen, Peterhead and</w:t></w:r>
</w:p>
<w:p>
<w:pPr><w:pStyle w:val="Normal"/></w:pPr>
<w:r><w:t xml:space="preserve">Fraserburgh is from June to September, at which time</w:t></w:r>
</w:p>
<w:p>
<w:pPr><w:pStyle w:val="Normal"/></w:pPr>
<w:r><w:t xml:space="preserve">the ports are crowded with boats from other Scottish</w:t></w:r>
</w:p>
<w:p>
<w:pPr><w:pStyle w:val="Normal"/></w:pPr>
<w:r><w:t xml:space="preserve">districts.  There are valuable salmon-fishings--rod, net</w:t></w:r>
</w:p>
<w:p>
<w:pPr><w:pStyle w:val="Normal"/></w:pPr>
<w:r><w:t xml:space="preserve">and stake-net--on the Dee, Don, Ythan and Ugie.  The average</w:t></w:r>
</w:p>
<w:p>
<w:pPr><w:pStyle w:val="Normal"/></w:pPr>
<w:r><w:t xml:space="preserve">annual despatch of salmon from Aberdeenshire is about 400 tons.</w:t></w:r>
</w:p>
<w:p>
<w:pPr><w:pStyle w:val="Normal"/></w:pPr>
<w:r><w:t xml:space="preserve">Other Industries.--Manufactures are mainly prosecuted in or</w:t></w:r>
</w:p>
<w:p>
<w:pPr><w:pStyle w:val="Normal"/></w:pPr>
<w:r><w:t xml:space="preserve">near the city of Aberdeen, but throughout the rural districts</w:t></w:r>
</w:p>
<w:p>
<w:pPr><w:pStyle w:val="Normal"/></w:pPr>
<w:r><w:t xml:space="preserve">there is much milling of corn, brick and tile making, smith-work,</w:t></w:r>
</w:p>
<w:p>
<w:pPr><w:pStyle w:val="Normal"/></w:pPr>
<w:r><w:t xml:space="preserve">brewing and distilling, cart and farm-implement making,</w:t></w:r>
</w:p>
<w:p>
<w:pPr><w:pStyle w:val="Normal"/></w:pPr>
<w:r><w:t xml:space="preserve">casting and drying of peat, and timber-felling, especially</w:t></w:r>
</w:p>
<w:p>
<w:pPr><w:pStyle w:val="Normal"/></w:pPr>
<w:r><w:t xml:space="preserve">on Deeside and Donside, for pit-props, railway sleepers,</w:t></w:r>
</w:p>
<w:p>
<w:pPr><w:pStyle w:val="Normal"/></w:pPr>
<w:r><w:t xml:space="preserve">laths and barrel staves.  There are a number of paper-making</w:t></w:r>
</w:p>
<w:p>
<w:pPr><w:pStyle w:val="Normal"/></w:pPr>
<w:r><w:t xml:space="preserve">establishments, most of them on the Don near Aberdeen.</w:t></w:r>
</w:p>
<w:p>
<w:pPr><w:pStyle w:val="Normal"/></w:pPr>
<w:r><w:t xml:space="preserve">The chief source of mineral wealth is the noted durable</w:t></w:r>
</w:p>
<w:p>
<w:pPr><w:pStyle w:val="Normal"/></w:pPr>
<w:r><w:t xml:space="preserve">granite, which is quarried at Aberdeen, Kemnay, Peterhead and</w:t></w:r>
</w:p>
<w:p>
<w:pPr><w:pStyle w:val="Normal"/></w:pPr>
<w:r><w:t xml:space="preserve">elsewhere.  An acre of land on being reclaimed has yielded L. 40 to</w:t></w:r>
</w:p>
<w:p>
<w:pPr><w:pStyle w:val="Heading1"/></w:pPr>
<w:r><w:t>L. 50 worth of causewaying stones.  Sandstone and other rocks</w:t></w:r>
</w:p>
<w:p>
<w:pPr><w:pStyle w:val="Normal"/></w:pPr>
<w:r><w:t xml:space="preserve">are also quarried at different parts.  The imports are mostly</w:t></w:r>
</w:p>
<w:p>
<w:pPr><w:pStyle w:val="Normal"/></w:pPr>
<w:r><w:t xml:space="preserve">coal, lime, timber, iron, slate, raw materials for the textile</w:t></w:r>
</w:p>
<w:p>
<w:pPr><w:pStyle w:val="Normal"/></w:pPr>
<w:r><w:t xml:space="preserve">manufactures, wheat, cattle-feeding stuffs, bones, guano, sugar,</w:t></w:r>
</w:p>
<w:p>
<w:pPr><w:pStyle w:val="Normal"/></w:pPr>
<w:r><w:t xml:space="preserve">alcoholic liquors, fruits.  The exports are granite (roughdressed</w:t></w:r>
</w:p>
<w:p>
<w:pPr><w:pStyle w:val="Normal"/></w:pPr>
<w:r><w:t xml:space="preserve">and polished), flax, woollen and cotton goods, paper, combs,</w:t></w:r>
</w:p>
<w:p>
<w:pPr><w:pStyle w:val="Normal"/></w:pPr>
<w:r><w:t xml:space="preserve">preserved provisions, oats, barley, live and dead cattle.</w:t></w:r>
</w:p>
<w:p>
<w:pPr><w:pStyle w:val="Normal"/></w:pPr>
<w:r><w:t xml:space="preserve">Communications.---From the south Aberdeen city is approached</w:t></w:r>
</w:p>
<w:p>
<w:pPr><w:pStyle w:val="Normal"/></w:pPr>
<w:r><w:t xml:space="preserve">by the Caledonian (via Perth, Forfar and Stonehaven), and the</w:t></w:r>
</w:p>
<w:p>
<w:pPr><w:pStyle w:val="Normal"/></w:pPr>
<w:r><w:t xml:space="preserve">North British (via Dundee, Montrose and Stonehaven) railways,</w:t></w:r>
</w:p>
<w:p>
<w:pPr><w:pStyle w:val="Normal"/></w:pPr>
<w:r><w:t xml:space="preserve">and the shire is also served by the Great North of Scotland</w:t></w:r>
</w:p>
<w:p>
<w:pPr><w:pStyle w:val="Normal"/></w:pPr>
<w:r><w:t xml:space="preserve">railway, whose main line runs via Kintore and Huntly to Keith and</w:t></w:r>
</w:p>
<w:p>
<w:pPr><w:pStyle w:val="Normal"/></w:pPr>
<w:r><w:t xml:space="preserve">Elgin.  There are branch lines from various points opening up</w:t></w:r>
</w:p>
<w:p>
<w:pPr><w:pStyle w:val="Normal"/></w:pPr>
<w:r><w:t xml:space="preserve">the more populous districts, as from Aberdeen to Ballater by</w:t></w:r>
</w:p>
<w:p>
<w:pPr><w:pStyle w:val="Normal"/></w:pPr>
<w:r><w:t xml:space="preserve">Deeside, from Aberdeen to Fraserburgh (with a branch at Maud</w:t></w:r>
</w:p>
<w:p>
<w:pPr><w:pStyle w:val="Normal"/></w:pPr>
<w:r><w:t xml:space="preserve">for Peterhead and at Ellon for Cruden Bay and Boddam), from</w:t></w:r>
</w:p>
<w:p>
<w:pPr><w:pStyle w:val="Normal"/></w:pPr>
<w:r><w:t xml:space="preserve">Kintore to Alford, and from Inverurie to Old Meldrum and also to</w:t></w:r>
</w:p>
<w:p>
<w:pPr><w:pStyle w:val="Normal"/></w:pPr>
<w:r><w:t xml:space="preserve">Macduff.  By sea there is regular communication with London,</w:t></w:r>
</w:p>
<w:p>
<w:pPr><w:pStyle w:val="Normal"/></w:pPr>
<w:r><w:t xml:space="preserve">Leith, Inverness, Wick, the Orkneys and Shetlands, Iceland and the</w:t></w:r>
</w:p>
<w:p>
<w:pPr><w:pStyle w:val="Normal"/></w:pPr>
<w:r><w:t xml:space="preserve">continent.  The highest of the macadamized roads crossing the</w:t></w:r>
</w:p>
<w:p>
<w:pPr><w:pStyle w:val="Normal"/></w:pPr>
<w:r><w:t xml:space="preserve">eastern Grampians rises to a point 2200 ft. above sea-level.</w:t></w:r>
</w:p>
<w:p>
<w:pPr><w:pStyle w:val="Normal"/></w:pPr>
<w:r><w:t xml:space="preserve">Population and Government.---In 1801 the population numbered</w:t></w:r>
</w:p>
<w:p>
<w:pPr><w:pStyle w:val="Normal"/></w:pPr>
<w:r><w:t xml:space="preserve">284,036 and in 1901 it was 304,439 (of whom 159,603 were</w:t></w:r>
</w:p>
<w:p>
<w:pPr><w:pStyle w:val="Normal"/></w:pPr>
<w:r><w:t xml:space="preserve">females), or 154 persons to the sq. m.  In 1901 there were 8</w:t></w:r>
</w:p>
<w:p>
<w:pPr><w:pStyle w:val="Normal"/></w:pPr>
<w:r><w:t xml:space="preserve">persons who spoke Gaelic only, and 1333 who spoke Gaelic and</w:t></w:r>
</w:p>
<w:p>
<w:pPr><w:pStyle w:val="Normal"/></w:pPr>
<w:r><w:t xml:space="preserve">English.  The chief towns are Aberdeen (pop. in 1901, 153,503),</w:t></w:r>
</w:p>
<w:p>
<w:pPr><w:pStyle w:val="Normal"/></w:pPr>
<w:r><w:t xml:space="preserve">Bucksburn (2231), Fraserburgh (9105), Huntly (4136), Inverurie</w:t></w:r>
</w:p>
<w:p>
<w:pPr><w:pStyle w:val="Normal"/></w:pPr>
<w:r><w:t xml:space="preserve">(3624), Peterhead (11,794), Turriff (2273).  The Supreme Court</w:t></w:r>
</w:p>
<w:p>
<w:pPr><w:pStyle w:val="Normal"/></w:pPr>
<w:r><w:t xml:space="preserve">of Justiciary sits in Aberdeen to try cases from the counties of</w:t></w:r>
</w:p>
<w:p>
<w:pPr><w:pStyle w:val="Normal"/></w:pPr>
<w:r><w:t xml:space="preserve">Aberdeen, Banff and Kincardine.  The three counties are under</w:t></w:r>
</w:p>
<w:p>
<w:pPr><w:pStyle w:val="Normal"/></w:pPr>
<w:r><w:t xml:space="preserve">a sheriff, and there are two sheriffs-substitute resident in</w:t></w:r>
</w:p>
<w:p>
<w:pPr><w:pStyle w:val="Normal"/></w:pPr>
<w:r><w:t xml:space="preserve">Aberdeen, who sit also at Fraserburgh, Huntly, Peterhead and</w:t></w:r>
</w:p>
<w:p>
<w:pPr><w:pStyle w:val="Normal"/></w:pPr>
<w:r><w:t xml:space="preserve">Turriff.  The sheriff courts are held in Aberdeen and</w:t></w:r>
</w:p>
<w:p>
<w:pPr><w:pStyle w:val="Normal"/></w:pPr>
<w:r><w:t xml:space="preserve">Peterhead.  The county sends two members to parliament</w:t></w:r>
</w:p>
<w:p>
<w:pPr><w:pStyle w:val="Normal"/></w:pPr>
<w:r><w:t xml:space="preserve">--one for East Aberdeenshire and the other for West</w:t></w:r>
</w:p>
<w:p>
<w:pPr><w:pStyle w:val="Normal"/></w:pPr>
<w:r><w:t xml:space="preserve">Aberdeenshire.  The county town, Aberdeen (q.v.), returns two</w:t></w:r>
</w:p>
<w:p>
<w:pPr><w:pStyle w:val="Normal"/></w:pPr>
<w:r><w:t xml:space="preserve">members.  Peterhead, Inverurie and Kintore belong to the Elgin</w:t></w:r>
</w:p>
<w:p>
<w:pPr><w:pStyle w:val="Normal"/></w:pPr>
<w:r><w:t xml:space="preserve">group of parliamentary burghs, the other constituents being</w:t></w:r>
</w:p>
<w:p>
<w:pPr><w:pStyle w:val="Normal"/></w:pPr>
<w:r><w:t xml:space="preserve">Banff, Cullen and Elgin.  The county is under school-board</w:t></w:r>
</w:p>
<w:p>
<w:pPr><w:pStyle w:val="Normal"/></w:pPr>
<w:r><w:t xml:space="preserve">jurisdiction, and there are also several voluntary schools.</w:t></w:r>
</w:p>
<w:p>
<w:pPr><w:pStyle w:val="Normal"/></w:pPr>
<w:r><w:t xml:space="preserve">There are higher-class schools in Aberdeen, and secondary</w:t></w:r>
</w:p>
<w:p>
<w:pPr><w:pStyle w:val="Normal"/></w:pPr>
<w:r><w:t xml:space="preserve">schools at Huntly, Peterhead and Fraserburgh, and many of</w:t></w:r>
</w:p>
<w:p>
<w:pPr><w:pStyle w:val="Normal"/></w:pPr>
<w:r><w:t xml:space="preserve">the other schools in the county earn grants for secondary</w:t></w:r>
</w:p>
<w:p>
<w:pPr><w:pStyle w:val="Normal"/></w:pPr>
<w:r><w:t xml:space="preserve">education.  The County Secondary Education Committee dispense</w:t></w:r>
</w:p>
<w:p>
<w:pPr><w:pStyle w:val="Normal"/></w:pPr>
<w:r><w:t xml:space="preserve">a large sum, partly granted by the education department and</w:t></w:r>
</w:p>
<w:p>
<w:pPr><w:pStyle w:val="Normal"/></w:pPr>
<w:r><w:t xml:space="preserve">partly contributed by local authorities from the ``residue&apos;&apos;</w:t></w:r>
</w:p>
<w:p>
<w:pPr><w:pStyle w:val="Normal"/></w:pPr>
<w:r><w:t xml:space="preserve">grant, and support, besides the schools mentioned, local</w:t></w:r>
</w:p>
<w:p>
<w:pPr><w:pStyle w:val="Normal"/></w:pPr>
<w:r><w:t xml:space="preserve">clases and lectures in agriculture, fishery and other technical</w:t></w:r>
</w:p>
<w:p>
<w:pPr><w:pStyle w:val="Normal"/></w:pPr>
<w:r><w:t xml:space="preserve">subjects, in addition to subsidizing the agricultural department</w:t></w:r>
</w:p>
<w:p>
<w:pPr><w:pStyle w:val="Normal"/></w:pPr>
<w:r><w:t xml:space="preserve">of the university of Aberdeen.  The higher branches of</w:t></w:r>
</w:p>
<w:p>
<w:pPr><w:pStyle w:val="Normal"/></w:pPr>
<w:r><w:t xml:space="preserve">education have always been thoroughly taught in the schools</w:t></w:r>
</w:p>
<w:p>
<w:pPr><w:pStyle w:val="Normal"/></w:pPr>
<w:r><w:t xml:space="preserve">throughout the shire, and pupils have long been in the</w:t></w:r>
</w:p>
<w:p>
<w:pPr><w:pStyle w:val="Normal"/></w:pPr>
<w:r><w:t xml:space="preserve">habit of going directly from the schools to the university.</w:t></w:r>
</w:p>
<w:p>
<w:pPr><w:pStyle w:val="Normal"/></w:pPr>
<w:r><w:t xml:space="preserve">The native Scots are long-headed, shrewd, careful, canny,</w:t></w:r>
</w:p>
<w:p>
<w:pPr><w:pStyle w:val="Normal"/></w:pPr>
<w:r><w:t xml:space="preserve">active, persistent, but reserved and blunt, and without</w:t></w:r>
</w:p>
<w:p>
<w:pPr><w:pStyle w:val="Normal"/></w:pPr>
<w:r><w:t xml:space="preserve">demonstrative enthusiasm.  They have a physiognomy distinct</w:t></w:r>
</w:p>
<w:p>
<w:pPr><w:pStyle w:val="Normal"/></w:pPr>
<w:r><w:t xml:space="preserve">from the rest of the Scottish people, and have a quick,</w:t></w:r>
</w:p>
<w:p>
<w:pPr><w:pStyle w:val="Normal"/></w:pPr>
<w:r><w:t xml:space="preserve">sharp, rather angry accent.  The local Scots dialect is</w:t></w:r>
</w:p>
<w:p>
<w:pPr><w:pStyle w:val="Normal"/></w:pPr>
<w:r><w:t xml:space="preserve">broad, and rich in diminutives, and is noted for the use</w:t></w:r>
</w:p>
<w:p>
<w:pPr><w:pStyle w:val="Normal"/></w:pPr>
<w:r><w:t xml:space="preserve">of e for o or u, f for wh, d for th, &amp;c.</w:t></w:r>
</w:p>
<w:p>
<w:pPr><w:pStyle w:val="Normal"/></w:pPr>
<w:r><w:t xml:space="preserve">So recently as 1830 Gaelic was the fireside language of</w:t></w:r>
</w:p>
<w:p>
<w:pPr><w:pStyle w:val="Normal"/></w:pPr>
<w:r><w:t xml:space="preserve">almost every family in Braemar, but now it is little used.</w:t></w:r>
</w:p>
<w:p>
<w:pPr><w:pStyle w:val="Normal"/></w:pPr>
<w:r><w:t xml:space="preserve">History.---The country now forming the shires of Aberdeen</w:t></w:r>
</w:p>
<w:p>
<w:pPr><w:pStyle w:val="Normal"/></w:pPr>
<w:r><w:t xml:space="preserve">and Banff was originally peopled by northern Picts, whom</w:t></w:r>
</w:p>
<w:p>
<w:pPr><w:pStyle w:val="Normal"/></w:pPr>
<w:r><w:t xml:space="preserve">Ptolemy called Taixall, the territory being named Taixalon.</w:t></w:r>
</w:p>
<w:p>
<w:pPr><w:pStyle w:val="Normal"/></w:pPr>
<w:r><w:t xml:space="preserve">Their town of Devana, once supposed to be the modern Aberdeen,</w:t></w:r>
</w:p>
<w:p>
<w:pPr><w:pStyle w:val="Normal"/></w:pPr>
<w:r><w:t xml:space="preserve">has been identified by Prof.  John Stuart with a site in the</w:t></w:r>
</w:p>
<w:p>
<w:pPr><w:pStyle w:val="Normal"/></w:pPr>
<w:r><w:t xml:space="preserve">parish of Peterculter, where there are remains of an ancient</w:t></w:r>
</w:p>
<w:p>
<w:pPr><w:pStyle w:val="Normal"/></w:pPr>
<w:r><w:t xml:space="preserve">camp at Normandykes, and by Dr W. F. Skene with a station</w:t></w:r>
</w:p>
<w:p>
<w:pPr><w:pStyle w:val="Normal"/></w:pPr>
<w:r><w:t xml:space="preserve">on Loch Davan, west of Aboyne.  So-called Roman camps have</w:t></w:r>
</w:p>
<w:p>
<w:pPr><w:pStyle w:val="Normal"/></w:pPr>
<w:r><w:t xml:space="preserve">also been discovered on the upper Ythan and Deveron, but</w:t></w:r>
</w:p>
<w:p>
<w:pPr><w:pStyle w:val="Normal"/></w:pPr>
<w:r><w:t xml:space="preserve">evidence of effective Roman occupation is still to seek.</w:t></w:r>
</w:p>
<w:p>
<w:pPr><w:pStyle w:val="Normal"/></w:pPr>
<w:r><w:t xml:space="preserve">Traces of the native inhabitants, however, are much less</w:t></w:r>
</w:p>
<w:p>
<w:pPr><w:pStyle w:val="Normal"/></w:pPr>
<w:r><w:t xml:space="preserve">equivocal.  Weems or earth-houses are fairly common in the</w:t></w:r>
</w:p>
<w:p>
<w:pPr><w:pStyle w:val="Normal"/></w:pPr>
<w:r><w:t xml:space="preserve">west.  Relics of crannogs or lake-dwellings exist at Loch</w:t></w:r>
</w:p>
<w:p>
<w:pPr><w:pStyle w:val="Normal"/></w:pPr>
<w:r><w:t xml:space="preserve">Ceander, or Kinnord, 5 m. north-east of Ballater, at Loch</w:t></w:r>
</w:p>
<w:p>
<w:pPr><w:pStyle w:val="Normal"/></w:pPr>
<w:r><w:t xml:space="preserve">Goul in the parish of New Machar and elsewhere.  Duns or forts</w:t></w:r>
</w:p>
<w:p>
<w:pPr><w:pStyle w:val="Normal"/></w:pPr>
<w:r><w:t xml:space="preserve">occur on hills at Dunecht, where the dun encloses an area</w:t></w:r>
</w:p>
<w:p>
<w:pPr><w:pStyle w:val="Normal"/></w:pPr>
<w:r><w:t xml:space="preserve">of two acres, Bnrra near Old Meldrum, Tap o&apos; Noth, Dunnideer</w:t></w:r>
</w:p>
<w:p>
<w:pPr><w:pStyle w:val="Normal"/></w:pPr>
<w:r><w:t xml:space="preserve">near Insch and other places.  Monoliths, standing stones and</w:t></w:r>
</w:p>
<w:p>
<w:pPr><w:pStyle w:val="Normal"/></w:pPr>
<w:r><w:t xml:space="preserve">``Druidical&apos;&apos; circles of the pagan period abound, and there are</w:t></w:r>
</w:p>
<w:p>
<w:pPr><w:pStyle w:val="Normal"/></w:pPr>
<w:r><w:t xml:space="preserve">many examples of the sculptured stones of the early Christian</w:t></w:r>
</w:p>
<w:p>
<w:pPr><w:pStyle w:val="Normal"/></w:pPr>
<w:r><w:t xml:space="preserve">epoch.  Efforts to convert the Picts were begun by Teman</w:t></w:r>
</w:p>
<w:p>
<w:pPr><w:pStyle w:val="Normal"/></w:pPr>
<w:r><w:t xml:space="preserve">in the 5th century, aad continued by Columba (who founded</w:t></w:r>
</w:p>
<w:p>
<w:pPr><w:pStyle w:val="Normal"/></w:pPr>
<w:r><w:t xml:space="preserve">a monastery at Old Deer), Drostan, Maluog and Machar, but</w:t></w:r>
</w:p>
<w:p>
<w:pPr><w:pStyle w:val="Normal"/></w:pPr>
<w:r><w:t xml:space="preserve">it was long before they showed lasting results.  Indeed,</w:t></w:r>
</w:p>
<w:p>
<w:pPr><w:pStyle w:val="Normal"/></w:pPr>
<w:r><w:t xml:space="preserve">dissensions within the Columban church and the expulsion</w:t></w:r>
</w:p>
<w:p>
<w:pPr><w:pStyle w:val="Normal"/></w:pPr>
<w:r><w:t xml:space="preserve">of the clergy from Pictland by the Pictish king Nectan in</w:t></w:r>
</w:p>
<w:p>
<w:pPr><w:pStyle w:val="Normal"/></w:pPr>
<w:r><w:t xml:space="preserve">the 8th century undid most of the progress that had been</w:t></w:r>
</w:p>
<w:p>
<w:pPr><w:pStyle w:val="Normal"/></w:pPr>
<w:r><w:t xml:space="preserve">made.  The Vikings and Danes periodically raided the coast,</w:t></w:r>
</w:p>
<w:p>
<w:pPr><w:pStyle w:val="Normal"/></w:pPr>
<w:r><w:t xml:space="preserve">but whhen (1040) Macbeth ascended the throne of Scotland the</w:t></w:r>
</w:p>
<w:p>
<w:pPr><w:pStyle w:val="Normal"/></w:pPr>
<w:r><w:t xml:space="preserve">Northmen, under the guidance of Thorfinn, refrained from further</w:t></w:r>
</w:p>
<w:p>
<w:pPr><w:pStyle w:val="Normal"/></w:pPr>
<w:r><w:t xml:space="preserve">trouble in the north-east.  Macbeth was afterwards slain at</w:t></w:r>
</w:p>
<w:p>
<w:pPr><w:pStyle w:val="Normal"/></w:pPr>
<w:r><w:t xml:space="preserve">Lumphanan (1057), a cairn on Perkhill marking the spot.  The</w:t></w:r>
</w:p>
<w:p>
<w:pPr><w:pStyle w:val="Normal"/></w:pPr>
<w:r><w:t xml:space="preserve">influence of the Norman conquest of England was felt even in</w:t></w:r>
</w:p>
<w:p>
<w:pPr><w:pStyle w:val="Normal"/></w:pPr>
<w:r><w:t xml:space="preserve">Aberdeenshire.  Along with numerous Anglo-Saxon exiles, there</w:t></w:r>
</w:p>
<w:p>
<w:pPr><w:pStyle w:val="Normal"/></w:pPr>
<w:r><w:t xml:space="preserve">also settled in the country Flemings who introduced various</w:t></w:r>
</w:p>
<w:p>
<w:pPr><w:pStyle w:val="Normal"/></w:pPr>
<w:r><w:t xml:space="preserve">industries, Saxons who brought farming, and Scandinavians</w:t></w:r>
</w:p>
<w:p>
<w:pPr><w:pStyle w:val="Normal"/></w:pPr>
<w:r><w:t xml:space="preserve">who taught nautical skill.  The Celts revolted more than</w:t></w:r>
</w:p>
<w:p>
<w:pPr><w:pStyle w:val="Normal"/></w:pPr>
<w:r><w:t xml:space="preserve">once, but Malcolm Canmore and his successors crushed them</w:t></w:r>
</w:p>
<w:p>
<w:pPr><w:pStyle w:val="Normal"/></w:pPr>
<w:r><w:t xml:space="preserve">and confiscated their lands.  In the reign of Alexander</w:t></w:r>
</w:p>
<w:p>
<w:pPr><w:pStyle w:val="Heading1"/></w:pPr>
<w:r><w:t>I. (d. 1124) mention is first made of Aberdeen (originally</w:t></w:r>
</w:p>
<w:p>
<w:pPr><w:pStyle w:val="Normal"/></w:pPr>
<w:r><w:t xml:space="preserve">called Abordon and, in the Norse sagas, Apardion), which</w:t></w:r>
</w:p>
<w:p>
<w:pPr><w:pStyle w:val="Normal"/></w:pPr>
<w:r><w:t xml:space="preserve">received its charter from William the Lion in 1179, by which</w:t></w:r>
</w:p>
<w:p>
<w:pPr><w:pStyle w:val="Normal"/></w:pPr>
<w:r><w:t xml:space="preserve">date its burgesses had alfeady combined with those of Banff,</w:t></w:r>
</w:p>
<w:p>
<w:pPr><w:pStyle w:val="Normal"/></w:pPr>
<w:r><w:t xml:space="preserve">Elgin, Inverness and other trans-Grampian communities to form</w:t></w:r>
</w:p>
<w:p>
<w:pPr><w:pStyle w:val="Normal"/></w:pPr>
<w:r><w:t xml:space="preserve">a free Hanse, under which they enjoyed exceptional trading</w:t></w:r>
</w:p>
<w:p>
<w:pPr><w:pStyle w:val="Normal"/></w:pPr>
<w:r><w:t xml:space="preserve">privileges.  By this time, too, the Church had been organized,</w:t></w:r>
</w:p>
<w:p>
<w:pPr><w:pStyle w:val="Normal"/></w:pPr>
<w:r><w:t xml:space="preserve">the bishopric of Aberdeen having been established in 1150.</w:t></w:r>
</w:p>
<w:p>
<w:pPr><w:pStyle w:val="Normal"/></w:pPr>
<w:r><w:t xml:space="preserve">In the 12th and 13th centuries some of the great Aberdeenshire</w:t></w:r>
</w:p>
<w:p>
<w:pPr><w:pStyle w:val="Normal"/></w:pPr>
<w:r><w:t xml:space="preserve">famines arose, including the earl of Mar (c. 1122), the</w:t></w:r>
</w:p>
<w:p>
<w:pPr><w:pStyle w:val="Normal"/></w:pPr>
<w:r><w:t xml:space="preserve">Leslies, Freskins (ancestors of the dukes of Sutherland),</w:t></w:r>
</w:p>
<w:p>
<w:pPr><w:pStyle w:val="Normal"/></w:pPr>
<w:r><w:t xml:space="preserve">Durwards, Bysets, Comyns and Cheynes, and it is significant</w:t></w:r>
</w:p>
<w:p>
<w:pPr><w:pStyle w:val="Normal"/></w:pPr>
<w:r><w:t xml:space="preserve">that in most cases their founders were immigrants.  The</w:t></w:r>
</w:p>
<w:p>
<w:pPr><w:pStyle w:val="Normal"/></w:pPr>
<w:r><w:t xml:space="preserve">Celtic thanes and their retainers slowly fused with the</w:t></w:r>
</w:p>
<w:p>
<w:pPr><w:pStyle w:val="Normal"/></w:pPr>
<w:r><w:t xml:space="preserve">settlers.  They declined to take advantage of the disturbed</w:t></w:r>
</w:p>
<w:p>
<w:pPr><w:pStyle w:val="Normal"/></w:pPr>
<w:r><w:t xml:space="preserve">condition of the country during the wars of the Scots</w:t></w:r>
</w:p>
<w:p>
<w:pPr><w:pStyle w:val="Normal"/></w:pPr>
<w:r><w:t xml:space="preserve">independence, and made common cause with the bulk of the</w:t></w:r>
</w:p>
<w:p>
<w:pPr><w:pStyle w:val="Normal"/></w:pPr>
<w:r><w:t xml:space="preserve">nation.  Though John Comyn (d. 1300?), one of the competitors</w:t></w:r>
</w:p>
<w:p>
<w:pPr><w:pStyle w:val="Normal"/></w:pPr>
<w:r><w:t xml:space="preserve">for the throne, had considerable interests in the shire, his</w:t></w:r>
</w:p>
<w:p>
<w:pPr><w:pStyle w:val="Normal"/></w:pPr>
<w:r><w:t xml:space="preserve">claim received locally little support.  In 1296 Edward I. made</w:t></w:r>
</w:p>
<w:p>
<w:pPr><w:pStyle w:val="Normal"/></w:pPr>
<w:r><w:t xml:space="preserve">a triumphal march to the north to terrorize the more turbulent</w:t></w:r>
</w:p>
<w:p>
<w:pPr><w:pStyle w:val="Normal"/></w:pPr>
<w:r><w:t xml:space="preserve">nobles.  Next year Wilham Wallace surprised the English garrison</w:t></w:r>
</w:p>
<w:p>
<w:pPr><w:pStyle w:val="Normal"/></w:pPr>
<w:r><w:t xml:space="preserve">in Aberdeen, but failed to capture the castle.  In 1303 Edward</w:t></w:r>
</w:p>
<w:p>
<w:pPr><w:pStyle w:val="Normal"/></w:pPr>
<w:r><w:t xml:space="preserve">again visited the county, halting at the Castle of Kildrummy,</w:t></w:r>
</w:p>
<w:p>
<w:pPr><w:pStyle w:val="Normal"/></w:pPr>
<w:r><w:t xml:space="preserve">then in the possession of Robert Bruce, who shortly afterwards</w:t></w:r>
</w:p>
<w:p>
<w:pPr><w:pStyle w:val="Normal"/></w:pPr>
<w:r><w:t xml:space="preserve">became the acknowledged leader of the Scots and made Aberdeen</w:t></w:r>
</w:p>
<w:p>
<w:pPr><w:pStyle w:val="Normal"/></w:pPr>
<w:r><w:t xml:space="preserve">his headquarters for several months.  Despite the seizure of</w:t></w:r>
</w:p>
<w:p>
<w:pPr><w:pStyle w:val="Normal"/></w:pPr>
<w:r><w:t xml:space="preserve">Kildrummy Castle by the English in 1306, Bruce&apos;s prospects</w:t></w:r>
</w:p>
<w:p>
<w:pPr><w:pStyle w:val="Normal"/></w:pPr>
<w:r><w:t xml:space="preserve">brightened from 1308, when he defeated John Comyn, earl of</w:t></w:r>
</w:p>
<w:p>
<w:pPr><w:pStyle w:val="Normal"/></w:pPr>
<w:r><w:t xml:space="preserve">Buchan (d. 1313?), at Inverurie.  For a hundred years after</w:t></w:r>
</w:p>
<w:p>
<w:pPr><w:pStyle w:val="Normal"/></w:pPr>
<w:r><w:t xml:space="preserve">Robert Bruce&apos;s death (1329) there was intermittent anarchy</w:t></w:r>
</w:p>
<w:p>
<w:pPr><w:pStyle w:val="Normal"/></w:pPr>
<w:r><w:t xml:space="preserve">in the shire.  Aberdeen itself was burned by the English in</w:t></w:r>
</w:p>
<w:p>
<w:pPr><w:pStyle w:val="Normal"/></w:pPr>
<w:r><w:t xml:space="preserve">1336, and the re-settlement of the districts of Buchan and</w:t></w:r>
</w:p>
<w:p>
<w:pPr><w:pStyle w:val="Normal"/></w:pPr>
<w:r><w:t xml:space="preserve">Strathbogie occasioned constant quarrels On the part of the</w:t></w:r>
</w:p>
<w:p>
<w:pPr><w:pStyle w:val="Normal"/></w:pPr>
<w:r><w:t xml:space="preserve">dispossessed.  Moreover, the crown had embroiled itself</w:t></w:r>
</w:p>
<w:p>
<w:pPr><w:pStyle w:val="Normal"/></w:pPr>
<w:r><w:t xml:space="preserve">with some of the Highland chieftains, whose independence it</w:t></w:r>
</w:p>
<w:p>
<w:pPr><w:pStyle w:val="Normal"/></w:pPr>
<w:r><w:t xml:space="preserve">sought to abolish.  This policy culminated in the invasion of</w:t></w:r>
</w:p>
<w:p>
<w:pPr><w:pStyle w:val="Normal"/></w:pPr>
<w:r><w:t xml:space="preserve">Aberdeenshire by Donald, lord of the Isles, who was, however,</w:t></w:r>
</w:p>
<w:p>
<w:pPr><w:pStyle w:val="Normal"/></w:pPr>
<w:r><w:t xml:space="preserve">defeated at Harlaw, near Inverurie, by the earl of Mar in</w:t></w:r>
</w:p>
<w:p>
<w:pPr><w:pStyle w:val="Normal"/></w:pPr>
<w:r><w:t xml:space="preserve">1411.  In the 15th century two other leading county families</w:t></w:r>
</w:p>
<w:p>
<w:pPr><w:pStyle w:val="Normal"/></w:pPr>
<w:r><w:t xml:space="preserve">appeared, Sir Alexander Forbes being created Lord Eorbes</w:t></w:r>
</w:p>
<w:p>
<w:pPr><w:pStyle w:val="Normal"/></w:pPr>
<w:r><w:t xml:space="preserve">about 1442, and Sir Alexander Seton Lord Gordon in 1437 and</w:t></w:r>
</w:p>
<w:p>
<w:pPr><w:pStyle w:val="Normal"/></w:pPr>
<w:r><w:t xml:space="preserve">earl of Huntly in 1445.  Bitter feuds raged between these</w:t></w:r>
</w:p>
<w:p>
<w:pPr><w:pStyle w:val="Normal"/></w:pPr>
<w:r><w:t xml:space="preserve">families for a long period, but the Gordons reached the</w:t></w:r>
</w:p>
<w:p>
<w:pPr><w:pStyle w:val="Normal"/></w:pPr>
<w:r><w:t xml:space="preserve">height of their power in the first half of the 16th century,</w:t></w:r>
</w:p>
<w:p>
<w:pPr><w:pStyle w:val="Normal"/></w:pPr>
<w:r><w:t xml:space="preserve">when their domains, already vast, were enhanced by the</w:t></w:r>
</w:p>
<w:p>
<w:pPr><w:pStyle w:val="Normal"/></w:pPr>
<w:r><w:t xml:space="preserve">acquisition, through marriage, of the earldom of Sutherland</w:t></w:r>
</w:p>
<w:p>
<w:pPr><w:pStyle w:val="Normal"/></w:pPr>
<w:r><w:t xml:space="preserve">(1514).  Meanwhile commerce with the Low Countries, Poland</w:t></w:r>
</w:p>
<w:p>
<w:pPr><w:pStyle w:val="Normal"/></w:pPr>
<w:r><w:t xml:space="preserve">and the Baltic had grown apace, Campvere, near Flushing in</w:t></w:r>
</w:p>
<w:p>
<w:pPr><w:pStyle w:val="Normal"/></w:pPr>
<w:r><w:t xml:space="preserve">Holland, becoming the emporium of the Scottish traders, while</w:t></w:r>
</w:p>
<w:p>
<w:pPr><w:pStyle w:val="Normal"/></w:pPr>
<w:r><w:t xml:space="preserve">education was fostered by the foundation of King&apos;s College</w:t></w:r>
</w:p>
<w:p>
<w:pPr><w:pStyle w:val="Normal"/></w:pPr>
<w:r><w:t xml:space="preserve">at Aberdeen in 1497 (Marischal College followed a century</w:t></w:r>
</w:p>
<w:p>
<w:pPr><w:pStyle w:val="Normal"/></w:pPr>
<w:r><w:t xml:space="preserve">later).  At the Reformation so little intuition had the</w:t></w:r>
</w:p>
<w:p>
<w:pPr><w:pStyle w:val="Normal"/></w:pPr>
<w:r><w:t xml:space="preserve">clergy of the drift of opinion that at the very time that</w:t></w:r>
</w:p>
<w:p>
<w:pPr><w:pStyle w:val="Normal"/></w:pPr>
<w:r><w:t xml:space="preserve">religious structures were being despoiled in the south, the</w:t></w:r>
</w:p>
<w:p>
<w:pPr><w:pStyle w:val="Normal"/></w:pPr>
<w:r><w:t xml:space="preserve">building and decoration of churches went on in the shire.</w:t></w:r>
</w:p>
<w:p>
<w:pPr><w:pStyle w:val="Normal"/></w:pPr>
<w:r><w:t xml:space="preserve">The change was acquiesced in without much tumult, though</w:t></w:r>
</w:p>
<w:p>
<w:pPr><w:pStyle w:val="Normal"/></w:pPr>
<w:r><w:t xml:space="preserve">rioting took place in Aberdeen and St Machar&apos;s cathedral in</w:t></w:r>
</w:p>
<w:p>
<w:pPr><w:pStyle w:val="Normal"/></w:pPr>
<w:r><w:t xml:space="preserve">the city suffered damage.  The 4th earl of Huntly offered</w:t></w:r>
</w:p>
<w:p>
<w:pPr><w:pStyle w:val="Normal"/></w:pPr>
<w:r><w:t xml:space="preserve">some resistance, on behalf of the Catholics, to the influence</w:t></w:r>
</w:p>
<w:p>
<w:pPr><w:pStyle w:val="Normal"/></w:pPr>
<w:r><w:t xml:space="preserve">of Lord James Stuart, afterwards the Regent Murray, but</w:t></w:r>
</w:p>
<w:p>
<w:pPr><w:pStyle w:val="Normal"/></w:pPr>
<w:r><w:t xml:space="preserve">was defeated and killed at Corrichie on the hill of Fare in</w:t></w:r>
</w:p>
<w:p>
<w:pPr><w:pStyle w:val="Normal"/></w:pPr>
<w:r><w:t xml:space="preserve">1562.  As years passed it was apparent that Presbyterianism</w:t></w:r>
</w:p>
<w:p>
<w:pPr><w:pStyle w:val="Normal"/></w:pPr>
<w:r><w:t xml:space="preserve">was less generally acceptable than Episcopacy, of which system</w:t></w:r>
</w:p>
<w:p>
<w:pPr><w:pStyle w:val="Normal"/></w:pPr>
<w:r><w:t xml:space="preserve">Aberdeenshire remained for generations the stronghold in</w:t></w:r>
</w:p>
<w:p>
<w:pPr><w:pStyle w:val="Normal"/></w:pPr>
<w:r><w:t xml:space="preserve">Scotland.  Another crisis in ecclesiastical affairs arose in</w:t></w:r>
</w:p>
<w:p>
<w:pPr><w:pStyle w:val="Normal"/></w:pPr>
<w:r><w:t xml:space="preserve">1638, when the National Covenant was ordered to be subscribed,</w:t></w:r>
</w:p>
<w:p>
<w:pPr><w:pStyle w:val="Normal"/></w:pPr>
<w:r><w:t xml:space="preserve">a demand so grudgingly responded to that the marquis of</w:t></w:r>
</w:p>
<w:p>
<w:pPr><w:pStyle w:val="Normal"/></w:pPr>
<w:r><w:t xml:space="preserve">Montrose visited the shire in the following year to enforce</w:t></w:r>
</w:p>
<w:p>
<w:pPr><w:pStyle w:val="Normal"/></w:pPr>
<w:r><w:t xml:space="preserve">acceptance.  The Cavaliers, not being disposed to yield,</w:t></w:r>
</w:p>
<w:p>
<w:pPr><w:pStyle w:val="Normal"/></w:pPr>
<w:r><w:t xml:space="preserve">dispersed an armed gathering of Covenanters in the affair</w:t></w:r>
</w:p>
<w:p>
<w:pPr><w:pStyle w:val="Normal"/></w:pPr>
<w:r><w:t xml:space="preserve">called the Trot of Turriff (1639), in which the first blood</w:t></w:r>
</w:p>
<w:p>
<w:pPr><w:pStyle w:val="Normal"/></w:pPr>
<w:r><w:t xml:space="preserve">of the civil war was shed.  The Covenanters obtained the upper</w:t></w:r>
</w:p>
<w:p>
<w:pPr><w:pStyle w:val="Normal"/></w:pPr>
<w:r><w:t xml:space="preserve">hand in a few weeks, when Montrose appeared at the bridge</w:t></w:r>
</w:p>
<w:p>
<w:pPr><w:pStyle w:val="Normal"/></w:pPr>
<w:r><w:t xml:space="preserve">of Dee and compelled the surrender of Aberdeen, which had no</w:t></w:r>
</w:p>
<w:p>
<w:pPr><w:pStyle w:val="Normal"/></w:pPr>
<w:r><w:t xml:space="preserve">choice but to cast in its lot with the victors.  Montrose,</w:t></w:r>
</w:p>
<w:p>
<w:pPr><w:pStyle w:val="Normal"/></w:pPr>
<w:r><w:t xml:space="preserve">however, soon changed sides, and after defeating the Covenanters</w:t></w:r>
</w:p>
<w:p>
<w:pPr><w:pStyle w:val="Normal"/></w:pPr>
<w:r><w:t xml:space="preserve">under Lord Balfour of Burleigh (1644), delivered the city to</w:t></w:r>
</w:p>
<w:p>
<w:pPr><w:pStyle w:val="Normal"/></w:pPr>
<w:r><w:t xml:space="preserve">rapine.  He worsted the Covenanters again after a stiff</w:t></w:r>
</w:p>
<w:p>
<w:pPr><w:pStyle w:val="Normal"/></w:pPr>
<w:r><w:t xml:space="preserve">fight on the 2nd of July 1645, at Alford, a village in the</w:t></w:r>
</w:p>
<w:p>
<w:pPr><w:pStyle w:val="Normal"/></w:pPr>
<w:r><w:t xml:space="preserve">beautiful Howe of Alford.  Peace was temporarily restored</w:t></w:r>
</w:p>
<w:p>
<w:pPr><w:pStyle w:val="Normal"/></w:pPr>
<w:r><w:t xml:space="preserve">on the ``engagement&apos;, of the Scots commissioners to assist</w:t></w:r>
</w:p>
<w:p>
<w:pPr><w:pStyle w:val="Normal"/></w:pPr>
<w:r><w:t xml:space="preserve">Charles I. On his return from Holland in 1650 Charles II.</w:t></w:r>
</w:p>
<w:p>
<w:pPr><w:pStyle w:val="Normal"/></w:pPr>
<w:r><w:t xml:space="preserve">was welcomed in Aberdeen, but in little more than a year</w:t></w:r>
</w:p>
<w:p>
<w:pPr><w:pStyle w:val="Normal"/></w:pPr>
<w:r><w:t xml:space="preserve">General Monk entered the city at the head of the Cromwellian</w:t></w:r>
</w:p>
<w:p>
<w:pPr><w:pStyle w:val="Normal"/></w:pPr>
<w:r><w:t xml:space="preserve">regiments.  The English garrison remained till 1659, and</w:t></w:r>
</w:p>
<w:p>
<w:pPr><w:pStyle w:val="Normal"/></w:pPr>
<w:r><w:t xml:space="preserve">next year the Restoration was effusively hailed, and prelacy</w:t></w:r>
</w:p>
<w:p>
<w:pPr><w:pStyle w:val="Normal"/></w:pPr>
<w:r><w:t xml:space="preserve">was once more in the ascendant.  Most of the Presbyterians</w:t></w:r>
</w:p>
<w:p>
<w:pPr><w:pStyle w:val="Normal"/></w:pPr>
<w:r><w:t xml:space="preserve">conformed, but the Quakers, more numerous in the shire</w:t></w:r>
</w:p>
<w:p>
<w:pPr><w:pStyle w:val="Normal"/></w:pPr>
<w:r><w:t xml:space="preserve">and the adjoining county of Kincardine than anywhere else</w:t></w:r>
</w:p>
<w:p>
<w:pPr><w:pStyle w:val="Normal"/></w:pPr>
<w:r><w:t xml:space="preserve">in Scotland, were systematically persecuted.  After the</w:t></w:r>
</w:p>
<w:p>
<w:pPr><w:pStyle w:val="Normal"/></w:pPr>
<w:r><w:t xml:space="preserve">Revolution (1688) episcopacy passed under a cloud, but the</w:t></w:r>
</w:p>
<w:p>
<w:pPr><w:pStyle w:val="Normal"/></w:pPr>
<w:r><w:t xml:space="preserve">clergy, yielding to force majeure, gradually accepted the</w:t></w:r>
</w:p>
<w:p>
<w:pPr><w:pStyle w:val="Normal"/></w:pPr>
<w:r><w:t xml:space="preserve">inevitable, hoping, as long as Queen Anne lived, that prelacy</w:t></w:r>
</w:p>
<w:p>
<w:pPr><w:pStyle w:val="Normal"/></w:pPr>
<w:r><w:t xml:space="preserve">might yet be recognized as the national form of Church</w:t></w:r>
</w:p>
<w:p>
<w:pPr><w:pStyle w:val="Normal"/></w:pPr>
<w:r><w:t xml:space="preserve">government.  Her death dissipated these dreams, and as George</w:t></w:r>
</w:p>
<w:p>
<w:pPr><w:pStyle w:val="Normal"/></w:pPr>
<w:r><w:t xml:space="preserve">I., her successor, was antipathetic to the clergy, it happened</w:t></w:r>
</w:p>
<w:p>
<w:pPr><w:pStyle w:val="Normal"/></w:pPr>
<w:r><w:t xml:space="preserve">that Jacobitism and episcopalianism came to be regarded in the</w:t></w:r>
</w:p>
<w:p>
<w:pPr><w:pStyle w:val="Normal"/></w:pPr>
<w:r><w:t xml:space="preserve">shire as identical, though in point of fact the non-jurors as</w:t></w:r>
</w:p>
<w:p>
<w:pPr><w:pStyle w:val="Normal"/></w:pPr>
<w:r><w:t xml:space="preserve">a body never countenanced rebellion.  The earl of Mar raised</w:t></w:r>
</w:p>
<w:p>
<w:pPr><w:pStyle w:val="Normal"/></w:pPr>
<w:r><w:t xml:space="preserve">the standard of revolt in Braemar (6th of September 1715); a</w:t></w:r>
</w:p>
<w:p>
<w:pPr><w:pStyle w:val="Normal"/></w:pPr>
<w:r><w:t xml:space="preserve">fortnight later James was proclaimed at Aberdeen cross; the</w:t></w:r>
</w:p>
<w:p>
<w:pPr><w:pStyle w:val="Normal"/></w:pPr>
<w:r><w:t xml:space="preserve">Pretender landed at Peterhead on the 22nd of December, and</w:t></w:r>
</w:p>
<w:p>
<w:pPr><w:pStyle w:val="Normal"/></w:pPr>
<w:r><w:t xml:space="preserve">in February 1716 he was back again in France.  The collapse</w:t></w:r>
</w:p>
<w:p>
<w:pPr><w:pStyle w:val="Normal"/></w:pPr>
<w:r><w:t xml:space="preserve">of the first rising ruined many of the lairds, and when the</w:t></w:r>
</w:p>
<w:p>
<w:pPr><w:pStyle w:val="Normal"/></w:pPr>
<w:r><w:t xml:space="preserve">second rebellion occurred thirty years afterwards the county</w:t></w:r>
</w:p>
<w:p>
<w:pPr><w:pStyle w:val="Normal"/></w:pPr>
<w:r><w:t xml:space="preserve">in the main was apathetic, though the insurgents held Aberdeen</w:t></w:r>
</w:p>
<w:p>
<w:pPr><w:pStyle w:val="Normal"/></w:pPr>
<w:r><w:t xml:space="preserve">for five months, and Lord Lewis Gordon won a trifling victory</w:t></w:r>
</w:p>
<w:p>
<w:pPr><w:pStyle w:val="Normal"/></w:pPr>
<w:r><w:t xml:space="preserve">for Prince Charles Edward at Inverurie (23rd of December</w:t></w:r>
</w:p>
<w:p>
<w:pPr><w:pStyle w:val="Normal"/></w:pPr>
<w:r><w:t xml:space="preserve">1745).  The duke of Cumberland relieved Aberdeen at the end</w:t></w:r>
</w:p>
<w:p>
<w:pPr><w:pStyle w:val="Normal"/></w:pPr>
<w:r><w:t xml:space="preserve">of February 1746, and in April the Young Pretender was a</w:t></w:r>
</w:p>
<w:p>
<w:pPr><w:pStyle w:val="Normal"/></w:pPr>
<w:r><w:t xml:space="preserve">fugitive.  Thereafter the people devoted themselves to</w:t></w:r>
</w:p>
<w:p>
<w:pPr><w:pStyle w:val="Normal"/></w:pPr>
<w:r><w:t xml:space="preserve">agriculture, industry and commerce, which developed by leaps</w:t></w:r>
</w:p>
<w:p>
<w:pPr><w:pStyle w:val="Normal"/></w:pPr>
<w:r><w:t xml:space="preserve">and bounds, and, along with equally remarkable progress in</w:t></w:r>
</w:p>
<w:p>
<w:pPr><w:pStyle w:val="Normal"/></w:pPr>
<w:r><w:t xml:space="preserve">education, transformed the aspect of the shire and made the</w:t></w:r>
</w:p>
<w:p>
<w:pPr><w:pStyle w:val="Normal"/></w:pPr>
<w:r><w:t xml:space="preserve">community as a whole one of the most prosperous in Scotland.</w:t></w:r>
</w:p>
<w:p>
<w:pPr><w:pStyle w:val="Normal"/></w:pPr>
<w:r><w:t xml:space="preserve">See W. Watt, History of Aberdeen and Banff (Edinburgh,</w:t></w:r>
</w:p>
<w:p>
<w:pPr><w:pStyle w:val="Normal"/></w:pPr>
<w:r><w:t xml:space="preserve">1900); Collections for a History of the Shires of Aberdeen</w:t></w:r>
</w:p>
<w:p>
<w:pPr><w:pStyle w:val="Normal"/></w:pPr>
<w:r><w:t xml:space="preserve">and Banff. (edited by Dr Joseph Robertson, Spalding Club); Sir</w:t></w:r>
</w:p>
<w:p>
<w:pPr><w:pStyle w:val="Normal"/></w:pPr>
<w:r><w:t xml:space="preserve">A. Leith-Hay, Castles of Aberdeenshire (Aberdeen, 188R);</w:t></w:r>
</w:p>
<w:p>
<w:pPr><w:pStyle w:val="Normal"/></w:pPr>
<w:r><w:t xml:space="preserve">J; Davidson, Inverurie and the Earldom of the Garioch</w:t></w:r>
</w:p>
<w:p>
<w:pPr><w:pStyle w:val="Normal"/></w:pPr>
<w:r><w:t xml:space="preserve">(Edinburgh, 1878); Pratt, Buchan (rev. by) R. Anderson),</w:t></w:r>
</w:p>
<w:p>
<w:pPr><w:pStyle w:val="Normal"/></w:pPr>
<w:r><w:t xml:space="preserve">(Aberdeen, 1900); A. I. M&apos;Connochie, Deeside (Aberdeen, 1895).</w:t></w:r>
</w:p>
<w:p>
<w:pPr><w:pStyle w:val="Normal"/></w:pPr>
<w:r><w:t xml:space="preserve">ABERDOUR, a village of Fifeshire, Scotland.  Pleasantly</w:t></w:r>
</w:p>
<w:p>
<w:pPr><w:pStyle w:val="Normal"/></w:pPr>
<w:r><w:t xml:space="preserve">situated on the shore of the Firth of Forth, 17 1/2 m.  N.W.</w:t></w:r>
</w:p>
<w:p>
<w:pPr><w:pStyle w:val="Normal"/></w:pPr>
<w:r><w:t xml:space="preserve">of Edinburgh by the North British railway and 7 m.  N.W. of</w:t></w:r>
</w:p>
<w:p>
<w:pPr><w:pStyle w:val="Normal"/></w:pPr>
<w:r><w:t xml:space="preserve">Leith by steamer, it is much resorted to for its excellent</w:t></w:r>
</w:p>
<w:p>
<w:pPr><w:pStyle w:val="Normal"/></w:pPr>
<w:r><w:t xml:space="preserve">sea-bathing.  There are ruins of a castle and an old decayed</w:t></w:r>
</w:p>
<w:p>
<w:pPr><w:pStyle w:val="Normal"/></w:pPr>
<w:r><w:t xml:space="preserve">church, which contains some fine Norman work.  About 3</w:t></w:r>
</w:p>
<w:p>
<w:pPr><w:pStyle w:val="Normal"/></w:pPr>
<w:r><w:t xml:space="preserve">m.  S.W. is Donibristle House, the seat of the earl of Murray</w:t></w:r>
</w:p>
<w:p>
<w:pPr><w:pStyle w:val="Normal"/></w:pPr>
<w:r><w:t xml:space="preserve">(Moray), and the scene of the murder (Feb. 7, 1592) of James,</w:t></w:r>
</w:p>
<w:p>
<w:pPr><w:pStyle w:val="Normal"/></w:pPr>
<w:r><w:t xml:space="preserve">2nd (Stuart) earl of Murray.  The island of Inchcolm, or</w:t></w:r>
</w:p>
<w:p>
<w:pPr><w:pStyle w:val="Normal"/></w:pPr>
<w:r><w:t xml:space="preserve">Island of Columba,  1/4 m. from the shore, is in the parish of</w:t></w:r>
</w:p>
<w:p>
<w:pPr><w:pStyle w:val="Normal"/></w:pPr>
<w:r><w:t xml:space="preserve">Aberdour.  As its name implies, its associations date back</w:t></w:r>
</w:p>
<w:p>
<w:pPr><w:pStyle w:val="Normal"/></w:pPr>
<w:r><w:t xml:space="preserve">to the time of Columba.  The primitive stone-roofed oratory</w:t></w:r>
</w:p>
<w:p>
<w:pPr><w:pStyle w:val="Normal"/></w:pPr>
<w:r><w:t xml:space="preserve">is supposed to have been a hermit&apos;s ceil.  The Augustinian</w:t></w:r>
</w:p>
<w:p>
<w:pPr><w:pStyle w:val="Normal"/></w:pPr>
<w:r><w:t xml:space="preserve">monastery was founded in 1123 by Alexander I. The buildings</w:t></w:r>
</w:p>
<w:p>
<w:pPr><w:pStyle w:val="Normal"/></w:pPr>
<w:r><w:t xml:space="preserve">are well preserved, consisting of a low square tower, church,</w:t></w:r>
</w:p>
<w:p>
<w:pPr><w:pStyle w:val="Normal"/></w:pPr>
<w:r><w:t xml:space="preserve">cloisters, refectory and small chapterhouse.  The island</w:t></w:r>
</w:p>
<w:p>
<w:pPr><w:pStyle w:val="Normal"/></w:pPr>
<w:r><w:t xml:space="preserve">of Columba was occasionally plundered by English and other</w:t></w:r>
</w:p>
<w:p>
<w:pPr><w:pStyle w:val="Normal"/></w:pPr>
<w:r><w:t xml:space="preserve">rovers, but in the 16th century it became the property of</w:t></w:r>
</w:p>
<w:p>
<w:pPr><w:pStyle w:val="Normal"/></w:pPr>
<w:r><w:t xml:space="preserve">Sir James Stuart, whose grandson became 2nd earl of Murray</w:t></w:r>
</w:p>
<w:p>
<w:pPr><w:pStyle w:val="Normal"/></w:pPr>
<w:r><w:t xml:space="preserve">by virtue of his marriage to the elder daughter of the 1st</w:t></w:r>
</w:p>
<w:p>
<w:pPr><w:pStyle w:val="Normal"/></w:pPr>
<w:r><w:t xml:space="preserve">earl.  From it comes the earl&apos;s title of Lord St Colme (1611).</w:t></w:r>
</w:p>
<w:p>
<w:pPr><w:pStyle w:val="Normal"/></w:pPr>
<w:r><w:t xml:space="preserve">ABERDOVEY (Aberdyfi: the Dyfi is the county frontier), a</w:t></w:r>
</w:p>
<w:p>
<w:pPr><w:pStyle w:val="Normal"/></w:pPr>
<w:r><w:t xml:space="preserve">seaside village of Merionethshire, North Wales, on the Cambrian</w:t></w:r>
</w:p>
<w:p>
<w:pPr><w:pStyle w:val="Normal"/></w:pPr>
<w:r><w:t xml:space="preserve">railway.  Pop. (1901) 1466.  It lies in the midst of beautiful</w:t></w:r>
</w:p>
<w:p>
<w:pPr><w:pStyle w:val="Normal"/></w:pPr>
<w:r><w:t xml:space="preserve">scenery, 4 m. from Towyn, on the N. bank of the Dyfi estuary,</w:t></w:r>
</w:p>
<w:p>
<w:pPr><w:pStyle w:val="Normal"/></w:pPr>
<w:r><w:t xml:space="preserve">commanding views of Snowdon, Cader Idris, Arran Mawddy and</w:t></w:r>
</w:p>
<w:p>
<w:pPr><w:pStyle w:val="Normal"/></w:pPr>
<w:r><w:t xml:space="preserve">Plynllmmon.  The Dyfi, here a mile broad, is crossed by a</w:t></w:r>
</w:p>
<w:p>
<w:pPr><w:pStyle w:val="Normal"/></w:pPr>
<w:r><w:t xml:space="preserve">ferry to Borth sands, whence a road leads to Aberystwyth.</w:t></w:r>
</w:p>
<w:p>
<w:pPr><w:pStyle w:val="Normal"/></w:pPr>
<w:r><w:t xml:space="preserve">The submerged ``bells of Aberdovey&apos;&apos; (since Seithennin ``the</w:t></w:r>
</w:p>
<w:p>
<w:pPr><w:pStyle w:val="Normal"/></w:pPr>
<w:r><w:t xml:space="preserve">drunkard&apos;&apos; caused the formation of Cardigan Bay) are famous</w:t></w:r>
</w:p>
<w:p>
<w:pPr><w:pStyle w:val="Normal"/></w:pPr>
<w:r><w:t xml:space="preserve">in a Welsh song.  Aberdovey is a health and bathing resort.</w:t></w:r>
</w:p>
<w:p>
<w:pPr><w:pStyle w:val="Normal"/></w:pPr>
<w:r><w:t xml:space="preserve">ABERFOYLE, a village and parish of Perthshire, Scotland, 34 1/4</w:t></w:r>
</w:p>
<w:p>
<w:pPr><w:pStyle w:val="Normal"/></w:pPr>
<w:r><w:t xml:space="preserve">m.  N. by W. of Glasgow by the North British railway.  Pop.</w:t></w:r>
</w:p>
<w:p>
<w:pPr><w:pStyle w:val="Normal"/></w:pPr>
<w:r><w:t xml:space="preserve">of parish (1901) 1052.  The village is situated at the base of</w:t></w:r>
</w:p>
<w:p>
<w:pPr><w:pStyle w:val="Normal"/></w:pPr>
<w:r><w:t xml:space="preserve">Craigmore (1271 ft. high) and on the Laggan, a head-water of the</w:t></w:r>
</w:p>
<w:p>
<w:pPr><w:pStyle w:val="Normal"/></w:pPr>
<w:r><w:t xml:space="preserve">Forth.  Since 1885, when the duke of Montrose constructed a</w:t></w:r>
</w:p>
<w:p>
<w:pPr><w:pStyle w:val="Normal"/></w:pPr>
<w:r><w:t xml:space="preserve">road over the eastern shoulder of Craigmore to join the older</w:t></w:r>
</w:p>
<w:p>
<w:pPr><w:pStyle w:val="Normal"/></w:pPr>
<w:r><w:t xml:space="preserve">road at tho entrance of the Trossachs pass, Aberfoyle has become</w:t></w:r>
</w:p>
<w:p>
<w:pPr><w:pStyle w:val="Normal"/></w:pPr>
<w:r><w:t xml:space="preserve">the alternauve route to the Trossachs and Loch Katrine.  Loch</w:t></w:r>
</w:p>
<w:p>
<w:pPr><w:pStyle w:val="Normal"/></w:pPr>
<w:r><w:t xml:space="preserve">Ard, about 2 m.  W. of LIberfoyle, lies 105 ft. above the</w:t></w:r>
</w:p>
<w:p>
<w:pPr><w:pStyle w:val="Normal"/></w:pPr>
<w:r><w:t xml:space="preserve">sea.  It is 3 m. long (including the narrows at the east end)</w:t></w:r>
</w:p>
<w:p>
<w:pPr><w:pStyle w:val="Normal"/></w:pPr>
<w:r><w:t xml:space="preserve">and 1 m. broad.  Towards the west end is Eilean Gorm (the</w:t></w:r>
</w:p>
<w:p>
<w:pPr><w:pStyle w:val="Normal"/></w:pPr>
<w:r><w:t xml:space="preserve">green isle), and near the north-western shore are the falls of</w:t></w:r>
</w:p>
<w:p>
<w:pPr><w:pStyle w:val="Normal"/></w:pPr>
<w:r><w:t xml:space="preserve">Ledard.  Two m.  N.W. is Loch Chon, a90 ft. above the sea,</w:t></w:r>
</w:p>
<w:p>
<w:pPr><w:pStyle w:val="Normal"/></w:pPr>
<w:r><w:t xml:space="preserve">1 1/4 m. long, and about  1/2 m. broad.  It drains by the Avon</w:t></w:r>
</w:p>
<w:p>
<w:pPr><w:pStyle w:val="Normal"/></w:pPr>
<w:r><w:t xml:space="preserve">Dhu to Loch Ard, which is drained in turn by the Laggan.  The</w:t></w:r>
</w:p>
<w:p>
<w:pPr><w:pStyle w:val="Normal"/></w:pPr>
<w:r><w:t xml:space="preserve">slate quarries on Craigmore are the Only industry in Aberfoyle.</w:t></w:r>
</w:p>
<w:p>
<w:pPr><w:pStyle w:val="Normal"/></w:pPr>
<w:r><w:t xml:space="preserve">ABERGAVENNY, a market town and municipal borough in the</w:t></w:r>
</w:p>
<w:p>
<w:pPr><w:pStyle w:val="Normal"/></w:pPr>
<w:r><w:t xml:space="preserve">northern parliamentary division of Monmouthshire, England, 14</w:t></w:r>
</w:p>
<w:p>
<w:pPr><w:pStyle w:val="Normal"/></w:pPr>
<w:r><w:t xml:space="preserve">m.  W. of Monmouth on the Great Western and the London and</w:t></w:r>
</w:p>
<w:p>
<w:pPr><w:pStyle w:val="Normal"/></w:pPr>
<w:r><w:t xml:space="preserve">North-Western railways.  Pop. (1901) 7795.  It is situated</w:t></w:r>
</w:p>
<w:p>
<w:pPr><w:pStyle w:val="Normal"/></w:pPr>
<w:r><w:t xml:space="preserve">at the junction of a small stream cailed the Gavenny with the</w:t></w:r>
</w:p>
<w:p>
<w:pPr><w:pStyle w:val="Normal"/></w:pPr>
<w:r><w:t xml:space="preserve">river Usk; and the site, almost surrounded by lofty hills,</w:t></w:r>
</w:p>
<w:p>
<w:pPr><w:pStyle w:val="Normal"/></w:pPr>
<w:r><w:t xml:space="preserve">is very beautiful.  The town was formerly walled, and has the</w:t></w:r>
</w:p>
<w:p>
<w:pPr><w:pStyle w:val="Normal"/></w:pPr>
<w:r><w:t xml:space="preserve">remains of a castle built soon after the conquest, frequently</w:t></w:r>
</w:p>
<w:p>
<w:pPr><w:pStyle w:val="Normal"/></w:pPr>
<w:r><w:t xml:space="preserve">the scene of border strife.  The church of St Mary belonged</w:t></w:r>
</w:p>
<w:p>
<w:pPr><w:pStyle w:val="Normal"/></w:pPr>
<w:r><w:t xml:space="preserve">originally to a Benedictine monastery founded early in the 12th</w:t></w:r>
</w:p>
<w:p>
<w:pPr><w:pStyle w:val="Normal"/></w:pPr>
<w:r><w:t xml:space="preserve">century.  The existing building, however, is Decorated and</w:t></w:r>
</w:p>
<w:p>
<w:pPr><w:pStyle w:val="Normal"/></w:pPr>
<w:r><w:t xml:space="preserve">Perpendicular, and contains a fine series of memorials of dates</w:t></w:r>
</w:p>
<w:p>
<w:pPr><w:pStyle w:val="Normal"/></w:pPr>
<w:r><w:t xml:space="preserve">from the 13th to the 17th century.  There is a free grammar</w:t></w:r>
</w:p>
<w:p>
<w:pPr><w:pStyle w:val="Normal"/></w:pPr>
<w:r><w:t xml:space="preserve">school, which till 1857 had a fellowship at Jesus College,</w:t></w:r>
</w:p>
<w:p>
<w:pPr><w:pStyle w:val="Normal"/></w:pPr>
<w:r><w:t xml:space="preserve">Oxford.  Breweries, ironworks, quarries, brick fields and</w:t></w:r>
</w:p>
<w:p>
<w:pPr><w:pStyle w:val="Normal"/></w:pPr>
<w:r><w:t xml:space="preserve">collieries in the neihbourhood are among the principal industrial</w:t></w:r>
</w:p>
<w:p>
<w:pPr><w:pStyle w:val="Normal"/></w:pPr>
<w:r><w:t xml:space="preserve">establishments.  Abergavenny was incorporated in 1899, and is</w:t></w:r>
</w:p>
<w:p>
<w:pPr><w:pStyle w:val="Normal"/></w:pPr>
<w:r><w:t xml:space="preserve">governed by a mayor, 4 aldermen and 12 councillors.  Area, 825 acres.</w:t></w:r>
</w:p>
<w:p>
<w:pPr><w:pStyle w:val="Normal"/></w:pPr>
<w:r><w:t xml:space="preserve">This was the Roman Gobannium, a small fort guarding the</w:t></w:r>
</w:p>
<w:p>
<w:pPr><w:pStyle w:val="Normal"/></w:pPr>
<w:r><w:t xml:space="preserve">road along the valley of the Usk and ensuring quiet among</w:t></w:r>
</w:p>
<w:p>
<w:pPr><w:pStyle w:val="Normal"/></w:pPr>
<w:r><w:t xml:space="preserve">the hill tribes.  There is practically no trace of this</w:t></w:r>
</w:p>
<w:p>
<w:pPr><w:pStyle w:val="Normal"/></w:pPr>
<w:r><w:t xml:space="preserve">fort.  Abergavenny (Bergavenny) grew up under the protection</w:t></w:r>
</w:p>
<w:p>
<w:pPr><w:pStyle w:val="Normal"/></w:pPr>
<w:r><w:t xml:space="preserve">of the lords of Abergavenny, whose title dated from William</w:t></w:r>
</w:p>
<w:p>
<w:pPr><w:pStyle w:val="Heading1"/></w:pPr>
<w:r><w:t>I. Owing to its situation, the town was frequently embroiled</w:t></w:r>
</w:p>
<w:p>
<w:pPr><w:pStyle w:val="Normal"/></w:pPr>
<w:r><w:t xml:space="preserve">in the border warfare of the 12th and 13th centuries, and</w:t></w:r>
</w:p>
<w:p>
<w:pPr><w:pStyle w:val="Normal"/></w:pPr>
<w:r><w:t xml:space="preserve">Giraldus Cambrensis relates how in 1173 the castle was seized</w:t></w:r>
</w:p>
<w:p>
<w:pPr><w:pStyle w:val="Normal"/></w:pPr>
<w:r><w:t xml:space="preserve">by the Welsh.  Hamelyn de Baalun, first lord of Abergavenny,</w:t></w:r>
</w:p>
<w:p>
<w:pPr><w:pStyle w:val="Normal"/></w:pPr>
<w:r><w:t xml:space="preserve">founded the Benedictine priory, which was subsequently</w:t></w:r>
</w:p>
<w:p>
<w:pPr><w:pStyle w:val="Normal"/></w:pPr>
<w:r><w:t xml:space="preserve">endowed by William de Braose with a tenth of the profits</w:t></w:r>
</w:p>
<w:p>
<w:pPr><w:pStyle w:val="Normal"/></w:pPr>
<w:r><w:t xml:space="preserve">of the castle and town.  At the dissolution of the priory</w:t></w:r>
</w:p>
<w:p>
<w:pPr><w:pStyle w:val="Heading1"/></w:pPr>
<w:r><w:t>part of this endowment went towards the foundation of a</w:t></w:r>
</w:p>
<w:p>
<w:pPr><w:pStyle w:val="Normal"/></w:pPr>
<w:r><w:t xml:space="preserve">free grammar school, the site itself passing to the Gunter</w:t></w:r>
</w:p>
<w:p>
<w:pPr><w:pStyle w:val="Normal"/></w:pPr>
<w:r><w:t xml:space="preserve">family.  During the Civil War prior to the siege of Ragban</w:t></w:r>
</w:p>
<w:p>
<w:pPr><w:pStyle w:val="Normal"/></w:pPr>
<w:r><w:t xml:space="preserve">Castle in 1645, Charles I. visited Abergavenny, and presided</w:t></w:r>
</w:p>
<w:p>
<w:pPr><w:pStyle w:val="Normal"/></w:pPr>
<w:r><w:t xml:space="preserve">in person over the trial of Sir Trevor Williams and other</w:t></w:r>
</w:p>
<w:p>
<w:pPr><w:pStyle w:val="Normal"/></w:pPr>
<w:r><w:t xml:space="preserve">parliamentarians.  In 1639 Abergavenny received a charter</w:t></w:r>
</w:p>
<w:p>
<w:pPr><w:pStyle w:val="Normal"/></w:pPr>
<w:r><w:t xml:space="preserve">of incorporation under the title of bailiff and burgesses.</w:t></w:r>
</w:p>
<w:p>
<w:pPr><w:pStyle w:val="Normal"/></w:pPr>
<w:r><w:t xml:space="preserve">A charter with extended privileges was drafted in 1657, but</w:t></w:r>
</w:p>
<w:p>
<w:pPr><w:pStyle w:val="Normal"/></w:pPr>
<w:r><w:t xml:space="preserve">appears never to have been enrolled or to have come into effect.</w:t></w:r>
</w:p>
<w:p>
<w:pPr><w:pStyle w:val="Normal"/></w:pPr>
<w:r><w:t xml:space="preserve">OV1ng to the refusal of the chief officers of the corporation</w:t></w:r>
</w:p>
<w:p>
<w:pPr><w:pStyle w:val="Normal"/></w:pPr>
<w:r><w:t xml:space="preserve">to take the oath of allegiance to William III. in 1688, the</w:t></w:r>
</w:p>
<w:p>
<w:pPr><w:pStyle w:val="Normal"/></w:pPr>
<w:r><w:t xml:space="preserve">charter was annullod, and the town subseunentlv declined in</w:t></w:r>
</w:p>
<w:p>
<w:pPr><w:pStyle w:val="Normal"/></w:pPr>
<w:r><w:t xml:space="preserve">prosperity.  The act of 27 Henry VIII., which provided that</w:t></w:r>
</w:p>
<w:p>
<w:pPr><w:pStyle w:val="Normal"/></w:pPr>
<w:r><w:t xml:space="preserve">llonmouth, as county town, should return one burgess to</w:t></w:r>
</w:p>
<w:p>
<w:pPr><w:pStyle w:val="Normal"/></w:pPr>
<w:r><w:t xml:space="preserve">parliament, further stated that other ancient Monmouthshire</w:t></w:r>
</w:p>
<w:p>
<w:pPr><w:pStyle w:val="Normal"/></w:pPr>
<w:r><w:t xml:space="preserve">boroughs were to contribute towards the payment of the</w:t></w:r>
</w:p>
<w:p>
<w:pPr><w:pStyle w:val="Normal"/></w:pPr>
<w:r><w:t xml:space="preserve">member.  In consequence of this clause Abergavenny on various</w:t></w:r>
</w:p>
<w:p>
<w:pPr><w:pStyle w:val="Normal"/></w:pPr>
<w:r><w:t xml:space="preserve">occasions shared in the election, the last instance being in</w:t></w:r>
</w:p>
<w:p>
<w:pPr><w:pStyle w:val="Normal"/></w:pPr>
<w:r><w:t xml:space="preserve">1685.  Reference to a market at Abergavenny is found in a charter</w:t></w:r>
</w:p>
<w:p>
<w:pPr><w:pStyle w:val="Normal"/></w:pPr>
<w:r><w:t xml:space="preserve">granted to the prior by William de Braose (d. r211).  The right</w:t></w:r>
</w:p>
<w:p>
<w:pPr><w:pStyle w:val="Normal"/></w:pPr>
<w:r><w:t xml:space="preserve">to hold two weekly markets and three yearly fairs, as hitherto</w:t></w:r>
</w:p>
<w:p>
<w:pPr><w:pStyle w:val="Normal"/></w:pPr>
<w:r><w:t xml:space="preserve">held, was confirmed in 1657.  Abergavenny was celebrated for</w:t></w:r>
</w:p>
<w:p>
<w:pPr><w:pStyle w:val="Normal"/></w:pPr>
<w:r><w:t xml:space="preserve">the production of Welsh flannel, and also for the manufacture,</w:t></w:r>
</w:p>
<w:p>
<w:pPr><w:pStyle w:val="Normal"/></w:pPr>
<w:r><w:t xml:space="preserve">whilst the fashion prevailed, of periwigs of goats, hair.</w:t></w:r>
</w:p>
<w:p>
<w:pPr><w:pStyle w:val="Normal"/></w:pPr>
<w:r><w:t xml:space="preserve">The title of Baron Abergavenny, in the Neville family, dates</w:t></w:r>
</w:p>
<w:p>
<w:pPr><w:pStyle w:val="Normal"/></w:pPr>
<w:r><w:t xml:space="preserve">from Edward Neville (d. 1476), who was the youngest son of</w:t></w:r>
</w:p>
<w:p>
<w:pPr><w:pStyle w:val="Normal"/></w:pPr>
<w:r><w:t xml:space="preserve">the 1st earl of Westmoreland by Joan Beaufort, daughter of</w:t></w:r>
</w:p>
<w:p>
<w:pPr><w:pStyle w:val="Normal"/></w:pPr>
<w:r><w:t xml:space="preserve">John of Gaunt.  He married the heiress of Richard, earl of</w:t></w:r>
</w:p>
<w:p>
<w:pPr><w:pStyle w:val="Normal"/></w:pPr>
<w:r><w:t xml:space="preserve">Worcester, whose father had inherited the castle and estate of</w:t></w:r>
</w:p>
<w:p>
<w:pPr><w:pStyle w:val="Normal"/></w:pPr>
<w:r><w:t xml:space="preserve">Abergavenny, and was summoned in 1392 to parliament as Lord</w:t></w:r>
</w:p>
<w:p>
<w:pPr><w:pStyle w:val="Normal"/></w:pPr>
<w:r><w:t xml:space="preserve">Bergavenny.  Edward Neville was summoned to parliament with</w:t></w:r>
</w:p>
<w:p>
<w:pPr><w:pStyle w:val="Normal"/></w:pPr>
<w:r><w:t xml:space="preserve">this title in 1450.  His direct male descendants ended in 1387</w:t></w:r>
</w:p>
<w:p>
<w:pPr><w:pStyle w:val="Normal"/></w:pPr>
<w:r><w:t xml:space="preserve">in Henry Neville, but a cousin, Edward Neville (d. 1622), was</w:t></w:r>
</w:p>
<w:p>
<w:pPr><w:pStyle w:val="Normal"/></w:pPr>
<w:r><w:t xml:space="preserve">confirmed in the barony in 1604.  From him it has descended</w:t></w:r>
</w:p>
<w:p>
<w:pPr><w:pStyle w:val="Normal"/></w:pPr>
<w:r><w:t xml:space="preserve">continuously, the title being increased to an earldom in</w:t></w:r>
</w:p>
<w:p>
<w:pPr><w:pStyle w:val="Normal"/></w:pPr>
<w:r><w:t xml:space="preserve">1784; and in 1876 William Nevill (sic) 5th earl (b. 1826),</w:t></w:r>
</w:p>
<w:p>
<w:pPr><w:pStyle w:val="Normal"/></w:pPr>
<w:r><w:t xml:space="preserve">an indefatigable and powerful supporter of the conseruative</w:t></w:r>
</w:p>
<w:p>
<w:pPr><w:pStyle w:val="Normal"/></w:pPr>
<w:r><w:t xml:space="preserve">party, was created 1st marquess of Abergavenny. (See NEVILLE.)</w:t></w:r>
</w:p>
<w:p>
<w:pPr><w:pStyle w:val="Normal"/></w:pPr>
<w:r><w:t xml:space="preserve">ABERIGH-MACKAY, GEORGE ROBERT (1848-1881), Anglo-Indian</w:t></w:r>
</w:p>
<w:p>
<w:pPr><w:pStyle w:val="Normal"/></w:pPr>
<w:r><w:t xml:space="preserve">writer, son of a Bengal chaplain, was born on the 25th</w:t></w:r>
</w:p>
<w:p>
<w:pPr><w:pStyle w:val="Normal"/></w:pPr>
<w:r><w:t xml:space="preserve">of July 1848, and was educated at Magdalen College School</w:t></w:r>
</w:p>
<w:p>
<w:pPr><w:pStyle w:val="Normal"/></w:pPr>
<w:r><w:t xml:space="preserve">and Cambridge University.  Entering the Indian education</w:t></w:r>
</w:p>
<w:p>
<w:pPr><w:pStyle w:val="Normal"/></w:pPr>
<w:r><w:t xml:space="preserve">department in 1870, he became professor of English literature</w:t></w:r>
</w:p>
<w:p>
<w:pPr><w:pStyle w:val="Normal"/></w:pPr>
<w:r><w:t xml:space="preserve">in Delhi College in 1873, tutor to the raja of Rutlam</w:t></w:r>
</w:p>
<w:p>
<w:pPr><w:pStyle w:val="Normal"/></w:pPr>
<w:r><w:t xml:space="preserve">1876, and principal of the Rajkumar College at Indore in</w:t></w:r>
</w:p>
<w:p>
<w:pPr><w:pStyle w:val="Normal"/></w:pPr>
<w:r><w:t xml:space="preserve">1877.  He is best known for his book Twenty-one Days in India</w:t></w:r>
</w:p>
<w:p>
<w:pPr><w:pStyle w:val="Normal"/></w:pPr>
<w:r><w:t xml:space="preserve">(1878--1879), a satire upon Anglo-Indian society and modes of</w:t></w:r>
</w:p>
<w:p>
<w:pPr><w:pStyle w:val="Normal"/></w:pPr>
<w:r><w:t xml:space="preserve">thought.  This book gave promise of a successful literary</w:t></w:r>
</w:p>
<w:p>
<w:pPr><w:pStyle w:val="Normal"/></w:pPr>
<w:r><w:t xml:space="preserve">Career, but the author died at the age of thirty-three.</w:t></w:r>
</w:p>
<w:p>
<w:pPr><w:pStyle w:val="Normal"/></w:pPr>
<w:r><w:t xml:space="preserve">ABERNETHY, JOHN (1680-1740), Irish Presbyterian divine,</w:t></w:r>
</w:p>
<w:p>
<w:pPr><w:pStyle w:val="Normal"/></w:pPr>
<w:r><w:t xml:space="preserve">was born at Coleraine, county Londonderry, where his father</w:t></w:r>
</w:p>
<w:p>
<w:pPr><w:pStyle w:val="Normal"/></w:pPr>
<w:r><w:t xml:space="preserve">was Nonconformist minister, on the 19th of October 1680.  In</w:t></w:r>
</w:p>
<w:p>
<w:pPr><w:pStyle w:val="Normal"/></w:pPr>
<w:r><w:t xml:space="preserve">his thirteenth year he entered the university of Glasgow, and</w:t></w:r>
</w:p>
<w:p>
<w:pPr><w:pStyle w:val="Normal"/></w:pPr>
<w:r><w:t xml:space="preserve">on concluding his course thore went on to Edinburgh, where</w:t></w:r>
</w:p>
<w:p>
<w:pPr><w:pStyle w:val="Normal"/></w:pPr>
<w:r><w:t xml:space="preserve">his intellectual and social attainments gained him a ready</w:t></w:r>
</w:p>
<w:p>
<w:pPr><w:pStyle w:val="Normal"/></w:pPr>
<w:r><w:t xml:space="preserve">entrance into the most cultured circles.  Returning home he</w:t></w:r>
</w:p>
<w:p>
<w:pPr><w:pStyle w:val="Normal"/></w:pPr>
<w:r><w:t xml:space="preserve">received licence to preach from his Presbytery before he was</w:t></w:r>
</w:p>
<w:p>
<w:pPr><w:pStyle w:val="Normal"/></w:pPr>
<w:r><w:t xml:space="preserve">twenty-one.  In 1701 he was urgently invited to accept charge</w:t></w:r>
</w:p>
<w:p>
<w:pPr><w:pStyle w:val="Normal"/></w:pPr>
<w:r><w:t xml:space="preserve">of an important congregation in Antrim; and after an interval</w:t></w:r>
</w:p>
<w:p>
<w:pPr><w:pStyle w:val="Normal"/></w:pPr>
<w:r><w:t xml:space="preserve">of two years, mostly spent in further study in Dublin, he</w:t></w:r>
</w:p>
<w:p>
<w:pPr><w:pStyle w:val="Normal"/></w:pPr>
<w:r><w:t xml:space="preserve">was ordained there on the 8th of August 1703.  Here he did</w:t></w:r>
</w:p>
<w:p>
<w:pPr><w:pStyle w:val="Normal"/></w:pPr>
<w:r><w:t xml:space="preserve">notable work, both as a debater in the synods and assemblies</w:t></w:r>
</w:p>
<w:p>
<w:pPr><w:pStyle w:val="Normal"/></w:pPr>
<w:r><w:t xml:space="preserve">of his church and as an evangelist.  In 1712 he lost his wife</w:t></w:r>
</w:p>
<w:p>
<w:pPr><w:pStyle w:val="Normal"/></w:pPr>
<w:r><w:t xml:space="preserve">(Susannah Jordan), and the loss desolated his life for many</w:t></w:r>
</w:p>
<w:p>
<w:pPr><w:pStyle w:val="Normal"/></w:pPr>
<w:r><w:t xml:space="preserve">years.  In 1717 he was invited to the congregation of Usher&apos;s</w:t></w:r>
</w:p>
<w:p>
<w:pPr><w:pStyle w:val="Normal"/></w:pPr>
<w:r><w:t xml:space="preserve">Quay, Dublin, and contemporaneously to what was called the</w:t></w:r>
</w:p>
<w:p>
<w:pPr><w:pStyle w:val="Normal"/></w:pPr>
<w:r><w:t xml:space="preserve">Old Congregation of Belfast.  The synod assigned him to</w:t></w:r>
</w:p>
<w:p>
<w:pPr><w:pStyle w:val="Normal"/></w:pPr>
<w:r><w:t xml:space="preserve">Dublin.  After careful consideration he declined to accede,</w:t></w:r>
</w:p>
<w:p>
<w:pPr><w:pStyle w:val="Normal"/></w:pPr>
<w:r><w:t xml:space="preserve">and remained at Antrim.  This refusal was regarded then as</w:t></w:r>
</w:p>
<w:p>
<w:pPr><w:pStyle w:val="Normal"/></w:pPr>
<w:r><w:t xml:space="preserve">ecclesisstical high-treason; and a controversy of the most</w:t></w:r>
</w:p>
<w:p>
<w:pPr><w:pStyle w:val="Normal"/></w:pPr>
<w:r><w:t xml:space="preserve">intense and disproportionate character followed, Abernethy</w:t></w:r>
</w:p>
<w:p>
<w:pPr><w:pStyle w:val="Normal"/></w:pPr>
<w:r><w:t xml:space="preserve">standing firm for religious freedom and repudiating the</w:t></w:r>
</w:p>
<w:p>
<w:pPr><w:pStyle w:val="Normal"/></w:pPr>
<w:r><w:t xml:space="preserve">sacerdotal assumptions of all ecclesiastical courts.  The</w:t></w:r>
</w:p>
<w:p>
<w:pPr><w:pStyle w:val="Normal"/></w:pPr>
<w:r><w:t xml:space="preserve">controversy and quarrel bears the name of the two camps in the</w:t></w:r>
</w:p>
<w:p>
<w:pPr><w:pStyle w:val="Normal"/></w:pPr>
<w:r><w:t xml:space="preserve">conflict, the ``Subscribers&apos;&apos; and the ``Non-subscribers.&apos;&apos;</w:t></w:r>
</w:p>
<w:p>
<w:pPr><w:pStyle w:val="Normal"/></w:pPr>
<w:r><w:t xml:space="preserve">Out-and-out evangelical as (John Abernethy was, there can</w:t></w:r>
</w:p>
<w:p>
<w:pPr><w:pStyle w:val="Normal"/></w:pPr>
<w:r><w:t xml:space="preserve">be no question that he and his associates sowed the seeds</w:t></w:r>
</w:p>
<w:p>
<w:pPr><w:pStyle w:val="Normal"/></w:pPr>
<w:r><w:t xml:space="preserve">of that after-struggle (1821--1840) in which, under the</w:t></w:r>
</w:p>
<w:p>
<w:pPr><w:pStyle w:val="Normal"/></w:pPr>
<w:r><w:t xml:space="preserve">leadership of Dr Henry Cooke, the Arian and Socinian elements</w:t></w:r>
</w:p>
<w:p>
<w:pPr><w:pStyle w:val="Normal"/></w:pPr>
<w:r><w:t xml:space="preserve">of the Irish Presbyterian Church were thrown out.  Much of</w:t></w:r>
</w:p>
<w:p>
<w:pPr><w:pStyle w:val="Normal"/></w:pPr>
<w:r><w:t xml:space="preserve">what he contended for, and which the ``Subscribers&apos;&apos; opposed</w:t></w:r>
</w:p>
<w:p>
<w:pPr><w:pStyle w:val="Normal"/></w:pPr>
<w:r><w:t xml:space="preserve">bitterly, has been silently granted in the lapse of time.</w:t></w:r>
</w:p>
<w:p>
<w:pPr><w:pStyle w:val="Normal"/></w:pPr>
<w:r><w:t xml:space="preserve">In 1726 the ``Non-subscribers,&apos;&apos; spite of an almost wofully</w:t></w:r>
</w:p>
<w:p>
<w:pPr><w:pStyle w:val="Normal"/></w:pPr>
<w:r><w:t xml:space="preserve">pathetic pleading against separation by Abernethy, were cut</w:t></w:r>
</w:p>
<w:p>
<w:pPr><w:pStyle w:val="Normal"/></w:pPr>
<w:r><w:t xml:space="preserve">off, with due ban and solemnity, from the Irish Presbyterian</w:t></w:r>
</w:p>
<w:p>
<w:pPr><w:pStyle w:val="Normal"/></w:pPr>
<w:r><w:t xml:space="preserve">Church.  In 1730, although a ``Non-subscriber,&apos;&apos; he was</w:t></w:r>
</w:p>
<w:p>
<w:pPr><w:pStyle w:val="Normal"/></w:pPr>
<w:r><w:t xml:space="preserve">invited to Wood Street, Dublin, whither he removed.  In</w:t></w:r>
</w:p>
<w:p>
<w:pPr><w:pStyle w:val="Normal"/></w:pPr>
<w:r><w:t xml:space="preserve">1731 came on the greatest controversy in which Abernethy</w:t></w:r>
</w:p>
<w:p>
<w:pPr><w:pStyle w:val="Normal"/></w:pPr>
<w:r><w:t xml:space="preserve">engaged, viz. in relation to the Test Act nominally, but</w:t></w:r>
</w:p>
<w:p>
<w:pPr><w:pStyle w:val="Normal"/></w:pPr>
<w:r><w:t xml:space="preserve">practically on the entire question of tests and disabilities.</w:t></w:r>
</w:p>
<w:p>
<w:pPr><w:pStyle w:val="Normal"/></w:pPr>
<w:r><w:t xml:space="preserve">His stand was ``against all laws that, upon account of mere</w:t></w:r>
</w:p>
<w:p>
<w:pPr><w:pStyle w:val="Normal"/></w:pPr>
<w:r><w:t xml:space="preserve">differences of religious opinions and forms of worship,</w:t></w:r>
</w:p>
<w:p>
<w:pPr><w:pStyle w:val="Normal"/></w:pPr>
<w:r><w:t xml:space="preserve">excluded men of integrity and ability from serving their</w:t></w:r>
</w:p>
<w:p>
<w:pPr><w:pStyle w:val="Normal"/></w:pPr>
<w:r><w:t xml:space="preserve">country.&apos;&apos; He was nearly a century in advance of his age.</w:t></w:r>
</w:p>
<w:p>
<w:pPr><w:pStyle w:val="Normal"/></w:pPr>
<w:r><w:t xml:space="preserve">He had to reason with those who denied that a Roman Catholic</w:t></w:r>
</w:p>
<w:p>
<w:pPr><w:pStyle w:val="Normal"/></w:pPr>
<w:r><w:t xml:space="preserve">or Dissenter could be a ``man of integrity and ability.&apos;&apos;</w:t></w:r>
</w:p>
<w:p>
<w:pPr><w:pStyle w:val="Normal"/></w:pPr>
<w:r><w:t xml:space="preserve">His Tracts---afterwards collected--did fresh service,</w:t></w:r>
</w:p>
<w:p>
<w:pPr><w:pStyle w:val="Normal"/></w:pPr>
<w:r><w:t xml:space="preserve">generations later, and his name is honoured by all who love</w:t></w:r>
</w:p>
<w:p>
<w:pPr><w:pStyle w:val="Normal"/></w:pPr>
<w:r><w:t xml:space="preserve">freedom of conscience and opinion.  He died in December 1740.</w:t></w:r>
</w:p>
<w:p>
<w:pPr><w:pStyle w:val="Normal"/></w:pPr>
<w:r><w:t xml:space="preserve">See Dr Duchal&apos;s Life, prefixed to Sermons (1762): Diary in</w:t></w:r>
</w:p>
<w:p>
<w:pPr><w:pStyle w:val="Normal"/></w:pPr>
<w:r><w:t xml:space="preserve">MS., 6 vols. 4to; Reid&apos;s Presbyterian Church in Ireland, iii. 234.</w:t></w:r>
</w:p>
<w:p>
<w:pPr><w:pStyle w:val="Normal"/></w:pPr>
<w:r><w:t xml:space="preserve">ABERNETHY, JOHN (1764-1831), English surgeon, grandson of</w:t></w:r>
</w:p>
<w:p>
<w:pPr><w:pStyle w:val="Normal"/></w:pPr>
<w:r><w:t xml:space="preserve">John Abernethy (see above), was born in London on the 3rd of</w:t></w:r>
</w:p>
<w:p>
<w:pPr><w:pStyle w:val="Normal"/></w:pPr>
<w:r><w:t xml:space="preserve">April 1764.  His father was a London merchant.  Educated at</w:t></w:r>
</w:p>
<w:p>
<w:pPr><w:pStyle w:val="Normal"/></w:pPr>
<w:r><w:t xml:space="preserve">Wolverhampton grammar school, he was apprenticed in 1779 to</w:t></w:r>
</w:p>
<w:p>
<w:pPr><w:pStyle w:val="Normal"/></w:pPr>
<w:r><w:t xml:space="preserve">Sir Charles Blicke (1745-1815), surgeon to St Bartholomew&apos;s</w:t></w:r>
</w:p>
<w:p>
<w:pPr><w:pStyle w:val="Normal"/></w:pPr>
<w:r><w:t xml:space="preserve">Hospital, London.  He attended the anatomical lectures of</w:t></w:r>
</w:p>
<w:p>
<w:pPr><w:pStyle w:val="Normal"/></w:pPr>
<w:r><w:t xml:space="preserve">Sir William Blizard (1743-1835) at the London Hospital,</w:t></w:r>
</w:p>
<w:p>
<w:pPr><w:pStyle w:val="Normal"/></w:pPr>
<w:r><w:t xml:space="preserve">and was early employed to assist as ``demonstrator&apos;&apos;;</w:t></w:r>
</w:p>
<w:p>
<w:pPr><w:pStyle w:val="Normal"/></w:pPr>
<w:r><w:t xml:space="preserve">he also attended Percival Pott&apos;s surgical lectures at St</w:t></w:r>
</w:p>
<w:p>
<w:pPr><w:pStyle w:val="Normal"/></w:pPr>
<w:r><w:t xml:space="preserve">Bartholomew&apos;s Hospital, as well as the lectures of John</w:t></w:r>
</w:p>
<w:p>
<w:pPr><w:pStyle w:val="Normal"/></w:pPr>
<w:r><w:t xml:space="preserve">Hunter.  On Pott&apos;s resignation of the office of surgeon of St</w:t></w:r>
</w:p>
<w:p>
<w:pPr><w:pStyle w:val="Normal"/></w:pPr>
<w:r><w:t xml:space="preserve">Bartholomew&apos;s, Sir Charles Blicke, who was assistant-surgeon,</w:t></w:r>
</w:p>
<w:p>
<w:pPr><w:pStyle w:val="Normal"/></w:pPr>
<w:r><w:t xml:space="preserve">succeeded him, and Abernethy was elected assistant-surgeon in</w:t></w:r>
</w:p>
<w:p>
<w:pPr><w:pStyle w:val="Normal"/></w:pPr>
<w:r><w:t xml:space="preserve">1787.  In this capacity he began to give lectures at his</w:t></w:r>
</w:p>
<w:p>
<w:pPr><w:pStyle w:val="Normal"/></w:pPr>
<w:r><w:t xml:space="preserve">house in Bartholomew Close, which were so well attended</w:t></w:r>
</w:p>
<w:p>
<w:pPr><w:pStyle w:val="Normal"/></w:pPr>
<w:r><w:t xml:space="preserve">that the governors of the hospital built a regular theatre</w:t></w:r>
</w:p>
<w:p>
<w:pPr><w:pStyle w:val="Normal"/></w:pPr>
<w:r><w:t xml:space="preserve">(1790-1791), and Abernethy thus became the founder of the</w:t></w:r>
</w:p>
<w:p>
<w:pPr><w:pStyle w:val="Normal"/></w:pPr>
<w:r><w:t xml:space="preserve">distinguished school of St Bartholomew&apos;s.  He held the office</w:t></w:r>
</w:p>
<w:p>
<w:pPr><w:pStyle w:val="Normal"/></w:pPr>
<w:r><w:t xml:space="preserve">of assistant-surgeon of the hospital for the long period of</w:t></w:r>
</w:p>
<w:p>
<w:pPr><w:pStyle w:val="Normal"/></w:pPr>
<w:r><w:t xml:space="preserve">twenty-eight years, till, in 1815, he was elected principal</w:t></w:r>
</w:p>
<w:p>
<w:pPr><w:pStyle w:val="Normal"/></w:pPr>
<w:r><w:t xml:space="preserve">surgeon.  He had before that time been appointed lecturer in</w:t></w:r>
</w:p>
<w:p>
<w:pPr><w:pStyle w:val="Normal"/></w:pPr>
<w:r><w:t xml:space="preserve">anatomy to the Royal College of Surgeons (1814).  Abernethy</w:t></w:r>
</w:p>
<w:p>
<w:pPr><w:pStyle w:val="Normal"/></w:pPr>
<w:r><w:t xml:space="preserve">was not a great operator, though his name is associated with</w:t></w:r>
</w:p>
<w:p>
<w:pPr><w:pStyle w:val="Normal"/></w:pPr>
<w:r><w:t xml:space="preserve">the treatment of aneurism by ligature of the external iliac</w:t></w:r>
</w:p>
<w:p>
<w:pPr><w:pStyle w:val="Normal"/></w:pPr>
<w:r><w:t xml:space="preserve">artery.  His Surgical Observations on the Constitutional</w:t></w:r>
</w:p>
<w:p>
<w:pPr><w:pStyle w:val="Normal"/></w:pPr>
<w:r><w:t xml:space="preserve">Origin and Treatment of Local Diseases (1809)--known as ``My</w:t></w:r>
</w:p>
<w:p>
<w:pPr><w:pStyle w:val="Normal"/></w:pPr>
<w:r><w:t xml:space="preserve">Book,&apos;&apos; from the great frequency with which he referred his</w:t></w:r>
</w:p>
<w:p>
<w:pPr><w:pStyle w:val="Normal"/></w:pPr>
<w:r><w:t xml:space="preserve">patients to it, and to page 72 of it in particular, under that</w:t></w:r>
</w:p>
<w:p>
<w:pPr><w:pStyle w:val="Normal"/></w:pPr>
<w:r><w:t xml:space="preserve">name--was one of the earliest popular works on medical science,</w:t></w:r>
</w:p>
<w:p>
<w:pPr><w:pStyle w:val="Normal"/></w:pPr>
<w:r><w:t xml:space="preserve">He taught that local diseases were frequently the results</w:t></w:r>
</w:p>
<w:p>
<w:pPr><w:pStyle w:val="Normal"/></w:pPr>
<w:r><w:t xml:space="preserve">of disordered states of the digestive organs, and were to be</w:t></w:r>
</w:p>
<w:p>
<w:pPr><w:pStyle w:val="Normal"/></w:pPr>
<w:r><w:t xml:space="preserve">treated by purging and attention to diet.  As a lecturer he was</w:t></w:r>
</w:p>
<w:p>
<w:pPr><w:pStyle w:val="Normal"/></w:pPr>
<w:r><w:t xml:space="preserve">exceedingly attractive, and his success in teaching was largely</w:t></w:r>
</w:p>
<w:p>
<w:pPr><w:pStyle w:val="Normal"/></w:pPr>
<w:r><w:t xml:space="preserve">attributable to the persuasiveness with which he enunciated his</w:t></w:r>
</w:p>
<w:p>
<w:pPr><w:pStyle w:val="Normal"/></w:pPr>
<w:r><w:t xml:space="preserve">views.  It has been said, however, that the influence he exerted</w:t></w:r>
</w:p>
<w:p>
<w:pPr><w:pStyle w:val="Normal"/></w:pPr>
<w:r><w:t xml:space="preserve">on those who attended his lectures was not beneficial in this</w:t></w:r>
</w:p>
<w:p>
<w:pPr><w:pStyle w:val="Normal"/></w:pPr>
<w:r><w:t xml:space="preserve">respect, that his opinions were delivered so dogmatically,</w:t></w:r>
</w:p>
<w:p>
<w:pPr><w:pStyle w:val="Normal"/></w:pPr>
<w:r><w:t xml:space="preserve">and all who differed from him were disparaged and denounced</w:t></w:r>
</w:p>
<w:p>
<w:pPr><w:pStyle w:val="Normal"/></w:pPr>
<w:r><w:t xml:space="preserve">so contemptuously, as to repress instead of stimulating</w:t></w:r>
</w:p>
<w:p>
<w:pPr><w:pStyle w:val="Normal"/></w:pPr>
<w:r><w:t xml:space="preserve">inquiry.  The celebrity he attained in his practice was due</w:t></w:r>
</w:p>
<w:p>
<w:pPr><w:pStyle w:val="Normal"/></w:pPr>
<w:r><w:t xml:space="preserve">not only to his great professional skill, but also in part</w:t></w:r>
</w:p>
<w:p>
<w:pPr><w:pStyle w:val="Normal"/></w:pPr>
<w:r><w:t xml:space="preserve">to the singularity of his manners.  He used great plainness</w:t></w:r>
</w:p>
<w:p>
<w:pPr><w:pStyle w:val="Normal"/></w:pPr>
<w:r><w:t xml:space="preserve">of speech in his intercourse with his patients, treating them</w:t></w:r>
</w:p>
<w:p>
<w:pPr><w:pStyle w:val="Normal"/></w:pPr>
<w:r><w:t xml:space="preserve">often brusquely and sometimes even rudely.  In the circle of</w:t></w:r>
</w:p>
<w:p>
<w:pPr><w:pStyle w:val="Normal"/></w:pPr>
<w:r><w:t xml:space="preserve">his family and friends he was courteous and affectionate; and</w:t></w:r>
</w:p>
<w:p>
<w:pPr><w:pStyle w:val="Normal"/></w:pPr>
<w:r><w:t xml:space="preserve">in all his dealings he was strictly just and honourable.  He</w:t></w:r>
</w:p>
<w:p>
<w:pPr><w:pStyle w:val="Normal"/></w:pPr>
<w:r><w:t xml:space="preserve">resigned his position at St Bartholomew&apos;s Hospital in 1827,</w:t></w:r>
</w:p>
<w:p>
<w:pPr><w:pStyle w:val="Normal"/></w:pPr>
<w:r><w:t xml:space="preserve">and died at his residence at Enfield on the 20th of April 1831.</w:t></w:r>
</w:p>
<w:p>
<w:pPr><w:pStyle w:val="Normal"/></w:pPr>
<w:r><w:t xml:space="preserve">A collected edition of his works was published in 1830.  A biography,</w:t></w:r>
</w:p>
<w:p>
<w:pPr><w:pStyle w:val="Normal"/></w:pPr>
<w:r><w:t xml:space="preserve">Memoirs of John Abernethy, by George Macilwain, appeared in 1853.</w:t></w:r>
</w:p>
<w:p>
<w:pPr><w:pStyle w:val="Normal"/></w:pPr>
<w:r><w:t xml:space="preserve">ABERRATION (Lat. ab, from or away, errare, to wander),</w:t></w:r>
</w:p>
<w:p>
<w:pPr><w:pStyle w:val="Normal"/></w:pPr>
<w:r><w:t xml:space="preserve">a deviation or wandering, especially used in the figurative</w:t></w:r>
</w:p>
<w:p>
<w:pPr><w:pStyle w:val="Normal"/></w:pPr>
<w:r><w:t xml:space="preserve">sense: as in ethics, a deviation from the truth; in pathology,</w:t></w:r>
</w:p>
<w:p>
<w:pPr><w:pStyle w:val="Normal"/></w:pPr>
<w:r><w:t xml:space="preserve">a mental derangement; in zoology and botany, abnormal</w:t></w:r>
</w:p>
<w:p>
<w:pPr><w:pStyle w:val="Normal"/></w:pPr>
<w:r><w:t xml:space="preserve">development or structure.  In optics, the word has two special</w:t></w:r>
</w:p>
<w:p>
<w:pPr><w:pStyle w:val="Normal"/></w:pPr>
<w:r><w:t xml:space="preserve">applications: (1) Aberration of Light, and (2) Aberration</w:t></w:r>
</w:p>
<w:p>
<w:pPr><w:pStyle w:val="Normal"/></w:pPr>
<w:r><w:t xml:space="preserve">in Optical Systems.  These subjects receive treatment below.</w:t></w:r>
</w:p>
<w:p>
<w:pPr><w:pStyle w:val="Heading1"/></w:pPr>
<w:r><w:t>I. ABERIIATION OF LIGHT This astronomical phenomenon may</w:t></w:r>
</w:p>
<w:p>
<w:pPr><w:pStyle w:val="Normal"/></w:pPr>
<w:r><w:t xml:space="preserve">be defined as an apparent motion of the heavenly bodies; the</w:t></w:r>
</w:p>
<w:p>
<w:pPr><w:pStyle w:val="Normal"/></w:pPr>
<w:r><w:t xml:space="preserve">stars describing annually orbits more or less elliptical,</w:t></w:r>
</w:p>
<w:p>
<w:pPr><w:pStyle w:val="Normal"/></w:pPr>
<w:r><w:t xml:space="preserve">according to the latitude of the star; consequently at</w:t></w:r>
</w:p>
<w:p>
<w:pPr><w:pStyle w:val="Normal"/></w:pPr>
<w:r><w:t xml:space="preserve">any moment the star appears to be displaced from its true</w:t></w:r>
</w:p>
<w:p>
<w:pPr><w:pStyle w:val="Normal"/></w:pPr>
<w:r><w:t xml:space="preserve">position.  This apparent motion is due to the finite velocity</w:t></w:r>
</w:p>
<w:p>
<w:pPr><w:pStyle w:val="Normal"/></w:pPr>
<w:r><w:t xml:space="preserve">of light, and the progressive motion of the observer with the</w:t></w:r>
</w:p>
<w:p>
<w:pPr><w:pStyle w:val="Normal"/></w:pPr>
<w:r><w:t xml:space="preserve">earth, as it performs its yearly course about the sun.  It</w:t></w:r>
</w:p>
<w:p>
<w:pPr><w:pStyle w:val="Normal"/></w:pPr>
<w:r><w:t xml:space="preserve">may be familiarized by the following illustrations.  Alexis</w:t></w:r>
</w:p>
<w:p>
<w:pPr><w:pStyle w:val="Normal"/></w:pPr>
<w:r><w:t xml:space="preserve">Claude Clairaut gave this figure: Imagine rain to be falling</w:t></w:r>
</w:p>
<w:p>
<w:pPr><w:pStyle w:val="Normal"/></w:pPr>
<w:r><w:t xml:space="preserve">vertically, and a person carrying a thin perpendicular tube</w:t></w:r>
</w:p>
<w:p>
<w:pPr><w:pStyle w:val="Normal"/></w:pPr>
<w:r><w:t xml:space="preserve">to be standing on the ground.  If the bearer be stationary,</w:t></w:r>
</w:p>
<w:p>
<w:pPr><w:pStyle w:val="Normal"/></w:pPr>
<w:r><w:t xml:space="preserve">rain-drops will traverse the tube without touching its sides;</w:t></w:r>
</w:p>
<w:p>
<w:pPr><w:pStyle w:val="Normal"/></w:pPr>
<w:r><w:t xml:space="preserve">if, however, the person be walking, the tube must be inchued</w:t></w:r>
</w:p>
<w:p>
<w:pPr><w:pStyle w:val="Normal"/></w:pPr>
<w:r><w:t xml:space="preserve">at an angle varying as his velocity in order that the rain</w:t></w:r>
</w:p>
<w:p>
<w:pPr><w:pStyle w:val="Normal"/></w:pPr>
<w:r><w:t xml:space="preserve">may traverse the tube centrally. (J. J. L. de Lalande gave</w:t></w:r>
</w:p>
<w:p>
<w:pPr><w:pStyle w:val="Normal"/></w:pPr>
<w:r><w:t xml:space="preserve">the illustration of a roofed carriage with an open front: if</w:t></w:r>
</w:p>
<w:p>
<w:pPr><w:pStyle w:val="Normal"/></w:pPr>
<w:r><w:t xml:space="preserve">the carriage be stationary, no rain enters; if, however, it be</w:t></w:r>
</w:p>
<w:p>
<w:pPr><w:pStyle w:val="Normal"/></w:pPr>
<w:r><w:t xml:space="preserve">moying, rain enters at the front.  The ``umbrella&apos;, analogy</w:t></w:r>
</w:p>
<w:p>
<w:pPr><w:pStyle w:val="Normal"/></w:pPr>
<w:r><w:t xml:space="preserve">is possibly the best known figure.  When stationary, the most</w:t></w:r>
</w:p>
<w:p>
<w:pPr><w:pStyle w:val="Normal"/></w:pPr>
<w:r><w:t xml:space="preserve">efficient position in which to hold an umbrella is obviously</w:t></w:r>
</w:p>
<w:p>
<w:pPr><w:pStyle w:val="Normal"/></w:pPr>
<w:r><w:t xml:space="preserve">vertical; when walking, the umbrella must be held more and</w:t></w:r>
</w:p>
<w:p>
<w:pPr><w:pStyle w:val="Normal"/></w:pPr>
<w:r><w:t xml:space="preserve">more inclined from the vertical as the walker quickens his</w:t></w:r>
</w:p>
<w:p>
<w:pPr><w:pStyle w:val="Normal"/></w:pPr>
<w:r><w:t xml:space="preserve">pace.  Another familiar figure, pointed Out by P. L. M. de</w:t></w:r>
</w:p>
<w:p>
<w:pPr><w:pStyle w:val="Normal"/></w:pPr>
<w:r><w:t xml:space="preserve">Maupertuis, is that a sportsman, when aiming at a bird on the</w:t></w:r>
</w:p>
<w:p>
<w:pPr><w:pStyle w:val="Normal"/></w:pPr>
<w:r><w:t xml:space="preserve">wing, sights his gun some distance ahead of the bird, the</w:t></w:r>
</w:p>
<w:p>
<w:pPr><w:pStyle w:val="Normal"/></w:pPr>
<w:r><w:t xml:space="preserve">distance being proportional to the velocity of the bird.</w:t></w:r>
</w:p>
<w:p>
<w:pPr><w:pStyle w:val="Normal"/></w:pPr>
<w:r><w:t xml:space="preserve">The mechanical idea, named the parallelogram of velocities,</w:t></w:r>
</w:p>
<w:p>
<w:pPr><w:pStyle w:val="Normal"/></w:pPr>
<w:r><w:t xml:space="preserve">permits a ready and easy graphical representation of these</w:t></w:r>
</w:p>
<w:p>
<w:pPr><w:pStyle w:val="Normal"/></w:pPr>
<w:r><w:t xml:space="preserve">facts.  Reverting to the analogy of Clairaut, let AB (fig.</w:t></w:r>
</w:p>
<w:p>
<w:pPr><w:pStyle w:val="Normal"/></w:pPr>
<w:r><w:t xml:space="preserve">1) represent the velocity of the rain, and AC the relative</w:t></w:r>
</w:p>
<w:p>
<w:pPr><w:pStyle w:val="Normal"/></w:pPr>
<w:r><w:t xml:space="preserve">velocity of the person bearing the tube.  The diagonal AD</w:t></w:r>
</w:p>
<w:p>
<w:pPr><w:pStyle w:val="Normal"/></w:pPr>
<w:r><w:t xml:space="preserve">of the parallelogram, of which AB and AC are adjacent sides,</w:t></w:r>
</w:p>
<w:p>
<w:pPr><w:pStyle w:val="Normal"/></w:pPr>
<w:r><w:t xml:space="preserve">will represent, both in direction and magnitude, the motion</w:t></w:r>
</w:p>
<w:p>
<w:pPr><w:pStyle w:val="Normal"/></w:pPr>
<w:r><w:t xml:space="preserve">of the rain as apparent to the observer.  Hence for the</w:t></w:r>
</w:p>
<w:p>
<w:pPr><w:pStyle w:val="Normal"/></w:pPr>
<w:r><w:t xml:space="preserve">rain to centrally traverse the tube, this must be inclined</w:t></w:r>
</w:p>
<w:p>
<w:pPr><w:pStyle w:val="Normal"/></w:pPr>
<w:r><w:t xml:space="preserve">at an angle BAD to the vertical; this angle is conveniently</w:t></w:r>
</w:p>
<w:p>
<w:pPr><w:pStyle w:val="Normal"/></w:pPr>
<w:r><w:t xml:space="preserve">termed the aberration: due to these two motions.  The</w:t></w:r>
</w:p>
<w:p>
<w:pPr><w:pStyle w:val="Normal"/></w:pPr>
<w:r><w:t xml:space="preserve">umbrella analogy is similarly explained; the most efficient</w:t></w:r>
</w:p>
<w:p>
<w:pPr><w:pStyle w:val="Normal"/></w:pPr>
<w:r><w:t xml:space="preserve">position heing when the stick points along the resultant AD.</w:t></w:r>
</w:p>
<w:p>
<w:pPr><w:pStyle w:val="Normal"/></w:pPr>
<w:r><w:t xml:space="preserve">The discovery of the aberration of light in 1725, due to James</w:t></w:r>
</w:p>
<w:p>
<w:pPr><w:pStyle w:val="Normal"/></w:pPr>
<w:r><w:t xml:space="preserve">Bradley, is one of the most important in the whole domain of</w:t></w:r>
</w:p>
<w:p>
<w:pPr><w:pStyle w:val="Normal"/></w:pPr>
<w:r><w:t xml:space="preserve">astronomy.  That it wus unexpected there can be no doubt;</w:t></w:r>
</w:p>
<w:p>
<w:pPr><w:pStyle w:val="Normal"/></w:pPr>
<w:r><w:t xml:space="preserve">and it was only by extraordinary perseverance and perspicuity</w:t></w:r>
</w:p>
<w:p>
<w:pPr><w:pStyle w:val="Normal"/></w:pPr>
<w:r><w:t xml:space="preserve">that Bradley was able to explain it in 1727.  Its origin is</w:t></w:r>
</w:p>
<w:p>
<w:pPr><w:pStyle w:val="Normal"/></w:pPr>
<w:r><w:t xml:space="preserve">seated in attempts made to free from doubt the prevailing</w:t></w:r>
</w:p>
<w:p>
<w:pPr><w:pStyle w:val="Normal"/></w:pPr>
<w:r><w:t xml:space="preserve">discordances as to whether the stars possessed appreciable</w:t></w:r>
</w:p>
<w:p>
<w:pPr><w:pStyle w:val="Normal"/></w:pPr>
<w:r><w:t xml:space="preserve">parallaxes.  The Copernican theory of the solar system--that</w:t></w:r>
</w:p>
<w:p>
<w:pPr><w:pStyle w:val="Normal"/></w:pPr>
<w:r><w:t xml:space="preserve">the earth revolved annually about the sun--had received</w:t></w:r>
</w:p>
<w:p>
<w:pPr><w:pStyle w:val="Normal"/></w:pPr>
<w:r><w:t xml:space="preserve">confirmation by the observations of Galileo and Tycho</w:t></w:r>
</w:p>
<w:p>
<w:pPr><w:pStyle w:val="Normal"/></w:pPr>
<w:r><w:t xml:space="preserve">Brahe, and the mathematical investigations of Kepler and</w:t></w:r>
</w:p>
<w:p>
<w:pPr><w:pStyle w:val="Normal"/></w:pPr>
<w:r><w:t xml:space="preserve">Newton.  As early as 1573, Thomas Digges had suggested that</w:t></w:r>
</w:p>
<w:p>
<w:pPr><w:pStyle w:val="Normal"/></w:pPr>
<w:r><w:t xml:space="preserve">this theory should necessitate a parallactic shifting of</w:t></w:r>
</w:p>
<w:p>
<w:pPr><w:pStyle w:val="Normal"/></w:pPr>
<w:r><w:t xml:space="preserve">the stars, and, consequently, if such stellar parallaxes</w:t></w:r>
</w:p>
<w:p>
<w:pPr><w:pStyle w:val="Normal"/></w:pPr>
<w:r><w:t xml:space="preserve">existed, then the Copernican theory would receive additional</w:t></w:r>
</w:p>
<w:p>
<w:pPr><w:pStyle w:val="Normal"/></w:pPr>
<w:r><w:t xml:space="preserve">confirmation.  Many observers claimed to have determined such</w:t></w:r>
</w:p>
<w:p>
<w:pPr><w:pStyle w:val="Normal"/></w:pPr>
<w:r><w:t xml:space="preserve">parallaxes, but Tycho Brahe and G. B. Riccioll concluded</w:t></w:r>
</w:p>
<w:p>
<w:pPr><w:pStyle w:val="Normal"/></w:pPr>
<w:r><w:t xml:space="preserve">that they existed only in the minds of the observers, and</w:t></w:r>
</w:p>
<w:p>
<w:pPr><w:pStyle w:val="Normal"/></w:pPr>
<w:r><w:t xml:space="preserve">were due to instrumental and personal errors.  In 1680 Jean</w:t></w:r>
</w:p>
<w:p>
<w:pPr><w:pStyle w:val="Normal"/></w:pPr>
<w:r><w:t xml:space="preserve">Picard, in his Voyage d&apos;Uranibourg, stated, as a result</w:t></w:r>
</w:p>
<w:p>
<w:pPr><w:pStyle w:val="Normal"/></w:pPr>
<w:r><w:t xml:space="preserve">of ten years&apos; observations, that Polaris, or the Pole</w:t></w:r>
</w:p>
<w:p>
<w:pPr><w:pStyle w:val="Normal"/></w:pPr>
<w:r><w:t xml:space="preserve">Star, exhibited variations in its position amounting to 40&quot;</w:t></w:r>
</w:p>
<w:p>
<w:pPr><w:pStyle w:val="Normal"/></w:pPr>
<w:r><w:t xml:space="preserve">annually; some astronomers endeavoured to explain this by</w:t></w:r>
</w:p>
<w:p>
<w:pPr><w:pStyle w:val="Normal"/></w:pPr>
<w:r><w:t xml:space="preserve">parallax, but these attempts were futile, for the motion</w:t></w:r>
</w:p>
<w:p>
<w:pPr><w:pStyle w:val="Normal"/></w:pPr>
<w:r><w:t xml:space="preserve">was at variance with that which parallax would occasion.  J.</w:t></w:r>
</w:p>
<w:p>
<w:pPr><w:pStyle w:val="Normal"/></w:pPr>
<w:r><w:t xml:space="preserve">Flamsteed, from measurements made in 1689 and succeeding</w:t></w:r>
</w:p>
<w:p>
<w:pPr><w:pStyle w:val="Normal"/></w:pPr>
<w:r><w:t xml:space="preserve">years with his mural quadrant, similarly concluded that the</w:t></w:r>
</w:p>
<w:p>
<w:pPr><w:pStyle w:val="Normal"/></w:pPr>
<w:r><w:t xml:space="preserve">declination of the Pole Star was 40&quot; less in July than in</w:t></w:r>
</w:p>
<w:p>
<w:pPr><w:pStyle w:val="Normal"/></w:pPr>
<w:r><w:t xml:space="preserve">September.  R. Hooke, in 1674, pubilshed his observations of</w:t></w:r>
</w:p>
<w:p>
<w:pPr><w:pStyle w:val="Normal"/></w:pPr>
<w:r><w:t xml:space="preserve">g Draconis, a star of the second magnitude which passes</w:t></w:r>
</w:p>
<w:p>
<w:pPr><w:pStyle w:val="Normal"/></w:pPr>
<w:r><w:t xml:space="preserve">practically overhead in the latitude of London, and whose</w:t></w:r>
</w:p>
<w:p>
<w:pPr><w:pStyle w:val="Normal"/></w:pPr>
<w:r><w:t xml:space="preserve">observations are therefore singularly free from the complex</w:t></w:r>
</w:p>
<w:p>
<w:pPr><w:pStyle w:val="Normal"/></w:pPr>
<w:r><w:t xml:space="preserve">corrections due to astronomical refraction, and concluded</w:t></w:r>
</w:p>
<w:p>
<w:pPr><w:pStyle w:val="Normal"/></w:pPr>
<w:r><w:t xml:space="preserve">that this star was 23&quot; more northerly in July than in October.</w:t></w:r>
</w:p>
<w:p>
<w:pPr><w:pStyle w:val="Normal"/></w:pPr>
<w:r><w:t xml:space="preserve">When James Bradley and Samuel Moineux entered this sphere of</w:t></w:r>
</w:p>
<w:p>
<w:pPr><w:pStyle w:val="Normal"/></w:pPr>
<w:r><w:t xml:space="preserve">astronomical research in 1725, there consequently prevailed</w:t></w:r>
</w:p>
<w:p>
<w:pPr><w:pStyle w:val="Normal"/></w:pPr>
<w:r><w:t xml:space="preserve">much uncertainty as to whether stellar parallaxes had been</w:t></w:r>
</w:p>
<w:p>
<w:pPr><w:pStyle w:val="Normal"/></w:pPr>
<w:r><w:t xml:space="preserve">observed or not; and it was with the intention of definitely</w:t></w:r>
</w:p>
<w:p>
<w:pPr><w:pStyle w:val="Normal"/></w:pPr>
<w:r><w:t xml:space="preserve">answering this question that these astronomers erected a large</w:t></w:r>
</w:p>
<w:p>
<w:pPr><w:pStyle w:val="Normal"/></w:pPr>
<w:r><w:t xml:space="preserve">telescope at the house of the latter at Kew. They determined</w:t></w:r>
</w:p>
<w:p>
<w:pPr><w:pStyle w:val="Normal"/></w:pPr>
<w:r><w:t xml:space="preserve">to reinvestigate the motion of g Draconis; the telescope,</w:t></w:r>
</w:p>
<w:p>
<w:pPr><w:pStyle w:val="Normal"/></w:pPr>
<w:r><w:t xml:space="preserve">constructed by George Graham (1675-1751), a celebrated</w:t></w:r>
</w:p>
<w:p>
<w:pPr><w:pStyle w:val="Normal"/></w:pPr>
<w:r><w:t xml:space="preserve">instrument-maker, was affixed to a vertical chimneystack,</w:t></w:r>
</w:p>
<w:p>
<w:pPr><w:pStyle w:val="Normal"/></w:pPr>
<w:r><w:t xml:space="preserve">in such manner as to permit a small oscillation of the</w:t></w:r>
</w:p>
<w:p>
<w:pPr><w:pStyle w:val="Normal"/></w:pPr>
<w:r><w:t xml:space="preserve">eyepiece, the amount of which, i.e. the deviation from the</w:t></w:r>
</w:p>
<w:p>
<w:pPr><w:pStyle w:val="Normal"/></w:pPr>
<w:r><w:t xml:space="preserve">vertical, was regulated and measured by the introduction</w:t></w:r>
</w:p>
<w:p>
<w:pPr><w:pStyle w:val="Normal"/></w:pPr>
<w:r><w:t xml:space="preserve">of a screw and a plumb-line.  The instrument was set up</w:t></w:r>
</w:p>
<w:p>
<w:pPr><w:pStyle w:val="Normal"/></w:pPr>
<w:r><w:t xml:space="preserve">in November 1725, and observations on g Draconis were</w:t></w:r>
</w:p>
<w:p>
<w:pPr><w:pStyle w:val="Normal"/></w:pPr>
<w:r><w:t xml:space="preserve">made on the 3rd, 5th, 11th, and 12th of December.  There</w:t></w:r>
</w:p>
<w:p>
<w:pPr><w:pStyle w:val="Normal"/></w:pPr>
<w:r><w:t xml:space="preserve">was apparently no shifting of the star, which was therefore</w:t></w:r>
</w:p>
<w:p>
<w:pPr><w:pStyle w:val="Normal"/></w:pPr>
<w:r><w:t xml:space="preserve">thought to be at its most southerly point.  On the 17th of</w:t></w:r>
</w:p>
<w:p>
<w:pPr><w:pStyle w:val="Normal"/></w:pPr>
<w:r><w:t xml:space="preserve">December, however, Bradley observed that the star was moving</w:t></w:r>
</w:p>
<w:p>
<w:pPr><w:pStyle w:val="Normal"/></w:pPr>
<w:r><w:t xml:space="preserve">southwards, a motion further shown by observations on the</w:t></w:r>
</w:p>
<w:p>
<w:pPr><w:pStyle w:val="Normal"/></w:pPr>
<w:r><w:t xml:space="preserve">20th.  These results were unexpected, and, in fact, inexplicable</w:t></w:r>
</w:p>
<w:p>
<w:pPr><w:pStyle w:val="Normal"/></w:pPr>
<w:r><w:t xml:space="preserve">by existing theories; and an examination of the telescope</w:t></w:r>
</w:p>
<w:p>
<w:pPr><w:pStyle w:val="Normal"/></w:pPr>
<w:r><w:t xml:space="preserve">showed that the observed anomalies were not due to instrumental</w:t></w:r>
</w:p>
<w:p>
<w:pPr><w:pStyle w:val="Normal"/></w:pPr>
<w:r><w:t xml:space="preserve">errors.  The observations were continued, and the star was</w:t></w:r>
</w:p>
<w:p>
<w:pPr><w:pStyle w:val="Normal"/></w:pPr>
<w:r><w:t xml:space="preserve">seen to continue its southerly course until March, when it</w:t></w:r>
</w:p>
<w:p>
<w:pPr><w:pStyle w:val="Normal"/></w:pPr>
<w:r><w:t xml:space="preserve">took up a position some 20&quot; more southerly than its December</w:t></w:r>
</w:p>
<w:p>
<w:pPr><w:pStyle w:val="Normal"/></w:pPr>
<w:r><w:t xml:space="preserve">position.  After March it began to pass northwards, a motion</w:t></w:r>
</w:p>
<w:p>
<w:pPr><w:pStyle w:val="Normal"/></w:pPr>
<w:r><w:t xml:space="preserve">quite apuarent by the middle of April; in June it passed</w:t></w:r>
</w:p>
<w:p>
<w:pPr><w:pStyle w:val="Normal"/></w:pPr>
<w:r><w:t xml:space="preserve">at the same distance from the zenith as it did in December;</w:t></w:r>
</w:p>
<w:p>
<w:pPr><w:pStyle w:val="Normal"/></w:pPr>
<w:r><w:t xml:space="preserve">and in September it passed through its most northerly</w:t></w:r>
</w:p>
<w:p>
<w:pPr><w:pStyle w:val="Normal"/></w:pPr>
<w:r><w:t xml:space="preserve">position, the extreme range from north to south, i.e. the</w:t></w:r>
</w:p>
<w:p>
<w:pPr><w:pStyle w:val="Normal"/></w:pPr>
<w:r><w:t xml:space="preserve">angle between the March and September positions, being 40&quot;.</w:t></w:r>
</w:p>
<w:p>
<w:pPr><w:pStyle w:val="Normal"/></w:pPr>
<w:r><w:t xml:space="preserve">This motion is evidently not due to parallax, for, in this</w:t></w:r>
</w:p>
<w:p>
<w:pPr><w:pStyle w:val="Normal"/></w:pPr>
<w:r><w:t xml:space="preserve">case, the maximum range should be between the June and</w:t></w:r>
</w:p>
<w:p>
<w:pPr><w:pStyle w:val="Normal"/></w:pPr>
<w:r><w:t xml:space="preserve">December positions; neither was it due to observatiooal</w:t></w:r>
</w:p>
<w:p>
<w:pPr><w:pStyle w:val="Normal"/></w:pPr>
<w:r><w:t xml:space="preserve">errors.  Bradley and Molyneux discussed several hypotheses in</w:t></w:r>
</w:p>
<w:p>
<w:pPr><w:pStyle w:val="Normal"/></w:pPr>
<w:r><w:t xml:space="preserve">the hope of fixing the solution.  One hypothesis was: while</w:t></w:r>
</w:p>
<w:p>
<w:pPr><w:pStyle w:val="Normal"/></w:pPr>
<w:r><w:t xml:space="preserve">g Draconis was stationary, the plumb-line, from which</w:t></w:r>
</w:p>
<w:p>
<w:pPr><w:pStyle w:val="Normal"/></w:pPr>
<w:r><w:t xml:space="preserve">the angular measurements were made, varied; this would follow</w:t></w:r>
</w:p>
<w:p>
<w:pPr><w:pStyle w:val="Normal"/></w:pPr>
<w:r><w:t xml:space="preserve">if the axis of the earth varied.  The oscillation of the</w:t></w:r>
</w:p>
<w:p>
<w:pPr><w:pStyle w:val="Normal"/></w:pPr>
<w:r><w:t xml:space="preserve">earth&apos;s axis may arise in two distinct ways; distinguished</w:t></w:r>
</w:p>
<w:p>
<w:pPr><w:pStyle w:val="Normal"/></w:pPr>
<w:r><w:t xml:space="preserve">as ``nutation of the axis&apos;&apos; and ``variation of latitude.&apos;&apos;</w:t></w:r>
</w:p>
<w:p>
<w:pPr><w:pStyle w:val="Normal"/></w:pPr>
<w:r><w:t xml:space="preserve">Nutation, the only form of oscillation imagined by Bradley,</w:t></w:r>
</w:p>
<w:p>
<w:pPr><w:pStyle w:val="Normal"/></w:pPr>
<w:r><w:t xml:space="preserve">postulates that while the earth&apos;s axis is fixed with respect</w:t></w:r>
</w:p>
<w:p>
<w:pPr><w:pStyle w:val="Normal"/></w:pPr>
<w:r><w:t xml:space="preserve">to the earth, i.e. the north and south poles occupy permanent</w:t></w:r>
</w:p>
<w:p>
<w:pPr><w:pStyle w:val="Normal"/></w:pPr>
<w:r><w:t xml:space="preserve">geographical positions, yet the axis is not directed towards</w:t></w:r>
</w:p>
<w:p>
<w:pPr><w:pStyle w:val="Normal"/></w:pPr>
<w:r><w:t xml:space="preserve">a fixed point in the heavens; variation of latitude, however,</w:t></w:r>
</w:p>
<w:p>
<w:pPr><w:pStyle w:val="Normal"/></w:pPr>
<w:r><w:t xml:space="preserve">is associated with the shifting of the axis within the earth,</w:t></w:r>
</w:p>
<w:p>
<w:pPr><w:pStyle w:val="Normal"/></w:pPr>
<w:r><w:t xml:space="preserve">i.e. the geographical position of the north pole varies.</w:t></w:r>
</w:p>
<w:p>
<w:pPr><w:pStyle w:val="Normal"/></w:pPr>
<w:r><w:t xml:space="preserve">Nutation of the axis would determine a similar apparent</w:t></w:r>
</w:p>
<w:p>
<w:pPr><w:pStyle w:val="Normal"/></w:pPr>
<w:r><w:t xml:space="preserve">motion for all stars: thus, all stars having the same polar</w:t></w:r>
</w:p>
<w:p>
<w:pPr><w:pStyle w:val="Normal"/></w:pPr>
<w:r><w:t xml:space="preserve">distance as g Draconis should exhibit the same apparent</w:t></w:r>
</w:p>
<w:p>
<w:pPr><w:pStyle w:val="Normal"/></w:pPr>
<w:r><w:t xml:space="preserve">motion after or before this star by a constant interval.</w:t></w:r>
</w:p>
<w:p>
<w:pPr><w:pStyle w:val="Normal"/></w:pPr>
<w:r><w:t xml:space="preserve">Many stars satisfy the condition of equality of polar distance</w:t></w:r>
</w:p>
<w:p>
<w:pPr><w:pStyle w:val="Normal"/></w:pPr>
<w:r><w:t xml:space="preserve">with that of g Draconis, but few were bright enough to</w:t></w:r>
</w:p>
<w:p>
<w:pPr><w:pStyle w:val="Normal"/></w:pPr>
<w:r><w:t xml:space="preserve">be observed in Molyneux&apos;s telescope.  One such star, however,</w:t></w:r>
</w:p>
<w:p>
<w:pPr><w:pStyle w:val="Normal"/></w:pPr>
<w:r><w:t xml:space="preserve">with a right ascension nearly equal to that of g Draconis,</w:t></w:r>
</w:p>
<w:p>
<w:pPr><w:pStyle w:val="Normal"/></w:pPr>
<w:r><w:t xml:space="preserve">but in thc opposite sense, was selected and kept under</w:t></w:r>
</w:p>
<w:p>
<w:pPr><w:pStyle w:val="Normal"/></w:pPr>
<w:r><w:t xml:space="preserve">observation.  This star was seen to possess an apparent</w:t></w:r>
</w:p>
<w:p>
<w:pPr><w:pStyle w:val="Normal"/></w:pPr>
<w:r><w:t xml:space="preserve">motion similar to that which would be a consequence of the</w:t></w:r>
</w:p>
<w:p>
<w:pPr><w:pStyle w:val="Normal"/></w:pPr>
<w:r><w:t xml:space="preserve">nutation of the earth&apos;s axis; but since its declination</w:t></w:r>
</w:p>
<w:p>
<w:pPr><w:pStyle w:val="Normal"/></w:pPr>
<w:r><w:t xml:space="preserve">varied only one half as much as in the case of g Draconis,</w:t></w:r>
</w:p>
<w:p>
<w:pPr><w:pStyle w:val="Normal"/></w:pPr>
<w:r><w:t xml:space="preserve">it was obvious that nutation did not supply the requisite</w:t></w:r>
</w:p>
<w:p>
<w:pPr><w:pStyle w:val="Normal"/></w:pPr>
<w:r><w:t xml:space="preserve">solution.  The question as to whether the motion was due to</w:t></w:r>
</w:p>
<w:p>
<w:pPr><w:pStyle w:val="Normal"/></w:pPr>
<w:r><w:t xml:space="preserve">an irregular distribution of the earth&apos;s atmosphere, thus</w:t></w:r>
</w:p>
<w:p>
<w:pPr><w:pStyle w:val="Normal"/></w:pPr>
<w:r><w:t xml:space="preserve">involving abnormal variations in the refractive index, was</w:t></w:r>
</w:p>
<w:p>
<w:pPr><w:pStyle w:val="Normal"/></w:pPr>
<w:r><w:t xml:space="preserve">also investigated; here, again, negative results were obtained.</w:t></w:r>
</w:p>
<w:p>
<w:pPr><w:pStyle w:val="Normal"/></w:pPr>
<w:r><w:t xml:space="preserve">Bradley had already perceived, in the case of the two stars</w:t></w:r>
</w:p>
<w:p>
<w:pPr><w:pStyle w:val="Normal"/></w:pPr>
<w:r><w:t xml:space="preserve">previously scrutinized, that the apparent difference of</w:t></w:r>
</w:p>
<w:p>
<w:pPr><w:pStyle w:val="Normal"/></w:pPr>
<w:r><w:t xml:space="preserve">declination from the maximum positions was nearly proportional</w:t></w:r>
</w:p>
<w:p>
<w:pPr><w:pStyle w:val="Normal"/></w:pPr>
<w:r><w:t xml:space="preserve">to the sun&apos;s distance from the equinoctial points; and he</w:t></w:r>
</w:p>
<w:p>
<w:pPr><w:pStyle w:val="Normal"/></w:pPr>
<w:r><w:t xml:space="preserve">reallzed the necessity for more observations before any</w:t></w:r>
</w:p>
<w:p>
<w:pPr><w:pStyle w:val="Normal"/></w:pPr>
<w:r><w:t xml:space="preserve">generalization could be attempted.  For this purpose he</w:t></w:r>
</w:p>
<w:p>
<w:pPr><w:pStyle w:val="Normal"/></w:pPr>
<w:r><w:t xml:space="preserve">repaired to the Rectory, Wanstead, then the residence of Mrs</w:t></w:r>
</w:p>
<w:p>
<w:pPr><w:pStyle w:val="Normal"/></w:pPr>
<w:r><w:t xml:space="preserve">Pound, the widow of his uncle James Pound, with whom he had</w:t></w:r>
</w:p>
<w:p>
<w:pPr><w:pStyle w:val="Normal"/></w:pPr>
<w:r><w:t xml:space="preserve">made many observations of the heavenly bodies.  Here he had set</w:t></w:r>
</w:p>
<w:p>
<w:pPr><w:pStyle w:val="Normal"/></w:pPr>
<w:r><w:t xml:space="preserve">up, on the 19th of August 1727, a more convenient telescope</w:t></w:r>
</w:p>
<w:p>
<w:pPr><w:pStyle w:val="Normal"/></w:pPr>
<w:r><w:t xml:space="preserve">than that at Kew, its range extending over 6 1/4 deg.  on each</w:t></w:r>
</w:p>
<w:p>
<w:pPr><w:pStyle w:val="Normal"/></w:pPr>
<w:r><w:t xml:space="preserve">side of the zenith, thus covering a far larger area of the</w:t></w:r>
</w:p>
<w:p>
<w:pPr><w:pStyle w:val="Normal"/></w:pPr>
<w:r><w:t xml:space="preserve">sky.  Two hundred stars in the British Catalogue of</w:t></w:r>
</w:p>
<w:p>
<w:pPr><w:pStyle w:val="Normal"/></w:pPr>
<w:r><w:t xml:space="preserve">Flamsteed traversed its field of view; and, of these, about</w:t></w:r>
</w:p>
<w:p>
<w:pPr><w:pStyle w:val="Normal"/></w:pPr>
<w:r><w:t xml:space="preserve">fifty were kept under close observation.  His conclusions</w:t></w:r>
</w:p>
<w:p>
<w:pPr><w:pStyle w:val="Normal"/></w:pPr>
<w:r><w:t xml:space="preserve">may be thus summatized: (1) only stars near the solstitial</w:t></w:r>
</w:p>
<w:p>
<w:pPr><w:pStyle w:val="Normal"/></w:pPr>
<w:r><w:t xml:space="preserve">colure had their maximum north and south positions when the</w:t></w:r>
</w:p>
<w:p>
<w:pPr><w:pStyle w:val="Normal"/></w:pPr>
<w:r><w:t xml:space="preserve">sun was near the equinoxes, (2) each star was at its maximum</w:t></w:r>
</w:p>
<w:p>
<w:pPr><w:pStyle w:val="Normal"/></w:pPr>
<w:r><w:t xml:space="preserve">positions when it passed the zenith at six o&apos;clock morning</w:t></w:r>
</w:p>
<w:p>
<w:pPr><w:pStyle w:val="Normal"/></w:pPr>
<w:r><w:t xml:space="preserve">and evening (this he afterwards showed to be inaccurate, and</w:t></w:r>
</w:p>
<w:p>
<w:pPr><w:pStyle w:val="Normal"/></w:pPr>
<w:r><w:t xml:space="preserve">found the greatest change in declination to be proportional</w:t></w:r>
</w:p>
<w:p>
<w:pPr><w:pStyle w:val="Normal"/></w:pPr>
<w:r><w:t xml:space="preserve">to the latitude of the star), (3) the apparent motions of</w:t></w:r>
</w:p>
<w:p>
<w:pPr><w:pStyle w:val="Normal"/></w:pPr>
<w:r><w:t xml:space="preserve">all stars at about the same time was in the same direction.</w:t></w:r>
</w:p>
<w:p>
<w:pPr><w:pStyle w:val="Normal"/></w:pPr>
<w:r><w:t xml:space="preserve">A re-examination of his previously considered hypotheses as</w:t></w:r>
</w:p>
<w:p>
<w:pPr><w:pStyle w:val="Normal"/></w:pPr>
<w:r><w:t xml:space="preserve">to the cause of these phenomena was fruitless; the true theory</w:t></w:r>
</w:p>
<w:p>
<w:pPr><w:pStyle w:val="Normal"/></w:pPr>
<w:r><w:t xml:space="preserve">was ultimately discovered by a pure accident, comparable in</w:t></w:r>
</w:p>
<w:p>
<w:pPr><w:pStyle w:val="Normal"/></w:pPr>
<w:r><w:t xml:space="preserve">simplicity and importance with the association of a falling</w:t></w:r>
</w:p>
<w:p>
<w:pPr><w:pStyle w:val="Normal"/></w:pPr>
<w:r><w:t xml:space="preserve">apple with the discovery of the principle of universal</w:t></w:r>
</w:p>
<w:p>
<w:pPr><w:pStyle w:val="Normal"/></w:pPr>
<w:r><w:t xml:space="preserve">gravitation.  Sailing on the river Thames, Bradley repeatedly</w:t></w:r>
</w:p>
<w:p>
<w:pPr><w:pStyle w:val="Normal"/></w:pPr>
<w:r><w:t xml:space="preserve">observed the shifting of a vane on the mast as the boat altered</w:t></w:r>
</w:p>
<w:p>
<w:pPr><w:pStyle w:val="Normal"/></w:pPr>
<w:r><w:t xml:space="preserve">its courser and, having been assured that the motion of the</w:t></w:r>
</w:p>
<w:p>
<w:pPr><w:pStyle w:val="Normal"/></w:pPr>
<w:r><w:t xml:space="preserve">vane meant that the boat, and not the wind, had altered its</w:t></w:r>
</w:p>
<w:p>
<w:pPr><w:pStyle w:val="Normal"/></w:pPr>
<w:r><w:t xml:space="preserve">direction, he realized that the position taken up by the vane</w:t></w:r>
</w:p>
<w:p>
<w:pPr><w:pStyle w:val="Normal"/></w:pPr>
<w:r><w:t xml:space="preserve">was determined by the motion of the boat and the direction of the</w:t></w:r>
</w:p>
<w:p>
<w:pPr><w:pStyle w:val="Normal"/></w:pPr>
<w:r><w:t xml:space="preserve">wind.  The application of this observation to the phenomenon</w:t></w:r>
</w:p>
<w:p>
<w:pPr><w:pStyle w:val="Normal"/></w:pPr>
<w:r><w:t xml:space="preserve">which had so long perplexed him was not difficult, and, in</w:t></w:r>
</w:p>
<w:p>
<w:pPr><w:pStyle w:val="Normal"/></w:pPr>
<w:r><w:t xml:space="preserve">1727, he published his theory of the aberration of light--a</w:t></w:r>
</w:p>
<w:p>
<w:pPr><w:pStyle w:val="Normal"/></w:pPr>
<w:r><w:t xml:space="preserve">corner-stone of the edifice of astronomical science.  Let</w:t></w:r>
</w:p>
<w:p>
<w:pPr><w:pStyle w:val="Normal"/></w:pPr>
<w:r><w:t xml:space="preserve">S (fig. 2) be a star and the observer be carried along the</w:t></w:r>
</w:p>
<w:p>
<w:pPr><w:pStyle w:val="Normal"/></w:pPr>
<w:r><w:t xml:space="preserve">line AB; let SB be perpendicular to AB. If the observer be</w:t></w:r>
</w:p>
<w:p>
<w:pPr><w:pStyle w:val="Normal"/></w:pPr>
<w:r><w:t xml:space="preserve">stationary at B, the star will appear in the direction BS;</w:t></w:r>
</w:p>
<w:p>
<w:pPr><w:pStyle w:val="Normal"/></w:pPr>
<w:r><w:t xml:space="preserve">if, however, he traverses the distance BA in the same time</w:t></w:r>
</w:p>
<w:p>
<w:pPr><w:pStyle w:val="Normal"/></w:pPr>
<w:r><w:t xml:space="preserve">as light passes from the star to his eye, the star will E</w:t></w:r>
</w:p>
<w:p>
<w:pPr><w:pStyle w:val="Normal"/></w:pPr>
<w:r><w:t xml:space="preserve">appear in the direction AS. Since, however, the observer is</w:t></w:r>
</w:p>
<w:p>
<w:pPr><w:pStyle w:val="Normal"/></w:pPr>
<w:r><w:t xml:space="preserve">not conscious of his own translatory motion with the earth</w:t></w:r>
</w:p>
<w:p>
<w:pPr><w:pStyle w:val="Normal"/></w:pPr>
<w:r><w:t xml:space="preserve">in its orbit, the star appears to have a displacement which</w:t></w:r>
</w:p>
<w:p>
<w:pPr><w:pStyle w:val="Normal"/></w:pPr>
<w:r><w:t xml:space="preserve">is at all times parallel to the motion of the observer.  To</w:t></w:r>
</w:p>
<w:p>
<w:pPr><w:pStyle w:val="Normal"/></w:pPr>
<w:r><w:t xml:space="preserve">generalize this, let S (fig. 3) be the sun, ABCD the earth&apos;s</w:t></w:r>
</w:p>
<w:p>
<w:pPr><w:pStyle w:val="Normal"/></w:pPr>
<w:r><w:t xml:space="preserve">orbit, and s the true position of a star.  When the earth</w:t></w:r>
</w:p>
<w:p>
<w:pPr><w:pStyle w:val="Normal"/></w:pPr>
<w:r><w:t xml:space="preserve">is at A, in consequence of aberration, the star is displaced</w:t></w:r>
</w:p>
<w:p>
<w:pPr><w:pStyle w:val="Normal"/></w:pPr>
<w:r><w:t xml:space="preserve">to a point a, its displacement sa being parallel to the</w:t></w:r>
</w:p>
<w:p>
<w:pPr><w:pStyle w:val="Normal"/></w:pPr>
<w:r><w:t xml:space="preserve">earth&apos;s motion at A; when the earth is at B, the star appears</w:t></w:r>
</w:p>
<w:p>
<w:pPr><w:pStyle w:val="Normal"/></w:pPr>
<w:r><w:t xml:space="preserve">at b; and so on throughout an orbital revolution of the</w:t></w:r>
</w:p>
<w:p>
<w:pPr><w:pStyle w:val="Normal"/></w:pPr>
<w:r><w:t xml:space="preserve">earth.  Every star, therefore, describes an apparent orbit,</w:t></w:r>
</w:p>
<w:p>
<w:pPr><w:pStyle w:val="Normal"/></w:pPr>
<w:r><w:t xml:space="preserve">which, if the line joining the sun and the star be perpendicular</w:t></w:r>
</w:p>
<w:p>
<w:pPr><w:pStyle w:val="Normal"/></w:pPr>
<w:r><w:t xml:space="preserve">to the plane ABCD, will be exactly similar to that of the</w:t></w:r>
</w:p>
<w:p>
<w:pPr><w:pStyle w:val="Normal"/></w:pPr>
<w:r><w:t xml:space="preserve">earth, i.e. almost a circle.  As the star decreases in</w:t></w:r>
</w:p>
<w:p>
<w:pPr><w:pStyle w:val="Normal"/></w:pPr>
<w:r><w:t xml:space="preserve">latitude, this circle will be viewed more and more obliquely,</w:t></w:r>
</w:p>
<w:p>
<w:pPr><w:pStyle w:val="Normal"/></w:pPr>
<w:r><w:t xml:space="preserve">becoming a flatter and flatter ellipse until, with zero</w:t></w:r>
</w:p>
<w:p>
<w:pPr><w:pStyle w:val="Normal"/></w:pPr>
<w:r><w:t xml:space="preserve">latitude, it degenerates into a straight line (fig. 4).</w:t></w:r>
</w:p>
<w:p>
<w:pPr><w:pStyle w:val="Normal"/></w:pPr>
<w:r><w:t xml:space="preserve">The major axis of any such aberrational ellipse is always parallel</w:t></w:r>
</w:p>
<w:p>
<w:pPr><w:pStyle w:val="Normal"/></w:pPr>
<w:r><w:t xml:space="preserve">to AC, i.e. the ecliptic, and since it is equal to the ratio</w:t></w:r>
</w:p>
<w:p>
<w:pPr><w:pStyle w:val="Normal"/></w:pPr>
<w:r><w:t xml:space="preserve">of the velocity of light to the velocity of the earth, it is</w:t></w:r>
</w:p>
<w:p>
<w:pPr><w:pStyle w:val="Normal"/></w:pPr>
<w:r><w:t xml:space="preserve">necessarily constant.  This constant length subtends an angle</w:t></w:r>
</w:p>
<w:p>
<w:pPr><w:pStyle w:val="Normal"/></w:pPr>
<w:r><w:t xml:space="preserve">of about 40&quot; at the earth; the ``constant of aberration&apos;&apos; is</w:t></w:r>
</w:p>
<w:p>
<w:pPr><w:pStyle w:val="Normal"/></w:pPr>
<w:r><w:t xml:space="preserve">half this angle.  The generally accepted value is 20.445&quot;, due</w:t></w:r>
</w:p>
<w:p>
<w:pPr><w:pStyle w:val="Normal"/></w:pPr>
<w:r><w:t xml:space="preserve">to Struve; the last two figures are uncertain, and all that can</w:t></w:r>
</w:p>
<w:p>
<w:pPr><w:pStyle w:val="Normal"/></w:pPr>
<w:r><w:t xml:space="preserve">be definitely affirmed is that the value lies between 20.43&quot; and</w:t></w:r>
</w:p>
<w:p>
<w:pPr><w:pStyle w:val="Normal"/></w:pPr>
<w:r><w:t xml:space="preserve">20.48&quot;.  The minor axis, on the other hand, is not constant,</w:t></w:r>
</w:p>
<w:p>
<w:pPr><w:pStyle w:val="Normal"/></w:pPr>
<w:r><w:t xml:space="preserve">but, as we have already seen, depends on the latitude, being</w:t></w:r>
</w:p>
<w:p>
<w:pPr><w:pStyle w:val="Normal"/></w:pPr>
<w:r><w:t xml:space="preserve">the product of the major axis into the sine of the latitude.</w:t></w:r>
</w:p>
<w:p>
<w:pPr><w:pStyle w:val="Normal"/></w:pPr>
<w:r><w:t xml:space="preserve">Assured that his explanation was true, Bradley corrected his</w:t></w:r>
</w:p>
<w:p>
<w:pPr><w:pStyle w:val="Normal"/></w:pPr>
<w:r><w:t xml:space="preserve">observations for aberration, but he found that there still</w:t></w:r>
</w:p>
<w:p>
<w:pPr><w:pStyle w:val="Normal"/></w:pPr>
<w:r><w:t xml:space="preserve">remained a residuum which was evidently not a parallax, for</w:t></w:r>
</w:p>
<w:p>
<w:pPr><w:pStyle w:val="Normal"/></w:pPr>
<w:r><w:t xml:space="preserve">it did not exhibit an annual cycle.  He reverted to his early</w:t></w:r>
</w:p>
<w:p>
<w:pPr><w:pStyle w:val="Normal"/></w:pPr>
<w:r><w:t xml:space="preserve">idea of a nutation of the earth&apos;s axis, and was rewarded by the</w:t></w:r>
</w:p>
<w:p>
<w:pPr><w:pStyle w:val="Normal"/></w:pPr>
<w:r><w:t xml:space="preserve">discovery that the earth did possess such an osculation (see</w:t></w:r>
</w:p>
<w:p>
<w:pPr><w:pStyle w:val="Normal"/></w:pPr>
<w:r><w:t xml:space="preserve">ASTRONOMY).  Bradley recognized the fact that the experimental</w:t></w:r>
</w:p>
<w:p>
<w:pPr><w:pStyle w:val="Normal"/></w:pPr>
<w:r><w:t xml:space="preserve">determination of the aberration constant gave the ratio of the</w:t></w:r>
</w:p>
<w:p>
<w:pPr><w:pStyle w:val="Normal"/></w:pPr>
<w:r><w:t xml:space="preserve">velocities of light and of the earth; hence, if the velocity</w:t></w:r>
</w:p>
<w:p>
<w:pPr><w:pStyle w:val="Normal"/></w:pPr>
<w:r><w:t xml:space="preserve">of the earth be known, the velocity of light is determined.</w:t></w:r>
</w:p>
<w:p>
<w:pPr><w:pStyle w:val="Normal"/></w:pPr>
<w:r><w:t xml:space="preserve">In recent years much attention has been given to the nature</w:t></w:r>
</w:p>
<w:p>
<w:pPr><w:pStyle w:val="Normal"/></w:pPr>
<w:r><w:t xml:space="preserve">of the propagation of light from the heavenly bodies to the</w:t></w:r>
</w:p>
<w:p>
<w:pPr><w:pStyle w:val="Normal"/></w:pPr>
<w:r><w:t xml:space="preserve">earth, the argument generally being centred about the relative</w:t></w:r>
</w:p>
<w:p>
<w:pPr><w:pStyle w:val="Normal"/></w:pPr>
<w:r><w:t xml:space="preserve">effect of the motion of the aether on the velocity of light.</w:t></w:r>
</w:p>
<w:p>
<w:pPr><w:pStyle w:val="Normal"/></w:pPr>
<w:r><w:t xml:space="preserve">This subject is discussed in the articles AETHER and LIGHT.</w:t></w:r>
</w:p>
<w:p>
<w:pPr><w:pStyle w:val="Normal"/></w:pPr>
<w:r><w:t xml:space="preserve">REFERENCES.--A detailed account of Bradley&apos;s work is</w:t></w:r>
</w:p>
<w:p>
<w:pPr><w:pStyle w:val="Normal"/></w:pPr>
<w:r><w:t xml:space="preserve">given in S. Rigaud, Memoirs of Bradley (1832), and in</w:t></w:r>
</w:p>
<w:p>
<w:pPr><w:pStyle w:val="Normal"/></w:pPr>
<w:r><w:t xml:space="preserve">Charles Hutton, Mathematical and Philosophical Dictionary</w:t></w:r>
</w:p>
<w:p>
<w:pPr><w:pStyle w:val="Normal"/></w:pPr>
<w:r><w:t xml:space="preserve">(1795); a particularly clear and lucid account is given</w:t></w:r>
</w:p>
<w:p>
<w:pPr><w:pStyle w:val="Normal"/></w:pPr>
<w:r><w:t xml:space="preserve">in H. H. Turner, Astronomical Discovery (1904).  The</w:t></w:r>
</w:p>
<w:p>
<w:pPr><w:pStyle w:val="Normal"/></w:pPr>
<w:r><w:t xml:space="preserve">subject receives treatment in all astronomical works.</w:t></w:r>
</w:p>
<w:p>
<w:pPr><w:pStyle w:val="Heading1"/></w:pPr>
<w:r><w:t>II. ABERRIATION IN OPTICAL SYSTEMS Aberration in optical</w:t></w:r>
</w:p>
<w:p>
<w:pPr><w:pStyle w:val="Normal"/></w:pPr>
<w:r><w:t xml:space="preserve">systems, i.e. in lenses or mirrors or a series of them,</w:t></w:r>
</w:p>
<w:p>
<w:pPr><w:pStyle w:val="Normal"/></w:pPr>
<w:r><w:t xml:space="preserve">may be defined as the non-concurrence of rays from the</w:t></w:r>
</w:p>
<w:p>
<w:pPr><w:pStyle w:val="Normal"/></w:pPr>
<w:r><w:t xml:space="preserve">points of an object after transmission through the system;</w:t></w:r>
</w:p>
<w:p>
<w:pPr><w:pStyle w:val="Normal"/></w:pPr>
<w:r><w:t xml:space="preserve">it happens generally that an image formed by such a system</w:t></w:r>
</w:p>
<w:p>
<w:pPr><w:pStyle w:val="Normal"/></w:pPr>
<w:r><w:t xml:space="preserve">is irregular, and consequently the correction of optical</w:t></w:r>
</w:p>
<w:p>
<w:pPr><w:pStyle w:val="Normal"/></w:pPr>
<w:r><w:t xml:space="preserve">systems for aberration is of fundamental importance to the</w:t></w:r>
</w:p>
<w:p>
<w:pPr><w:pStyle w:val="Normal"/></w:pPr>
<w:r><w:t xml:space="preserve">instruunent-maker.  Reference should he made to the articles</w:t></w:r>
</w:p>
<w:p>
<w:pPr><w:pStyle w:val="Normal"/></w:pPr>
<w:r><w:t xml:space="preserve">REFLEXION, REFRACTION and CAUSTIC for the general characters</w:t></w:r>
</w:p>
<w:p>
<w:pPr><w:pStyle w:val="Normal"/></w:pPr>
<w:r><w:t xml:space="preserve">of reflected and refracted rays (the article LENS considers</w:t></w:r>
</w:p>
<w:p>
<w:pPr><w:pStyle w:val="Normal"/></w:pPr>
<w:r><w:t xml:space="preserve">in detail the properties of this instrument, and should also</w:t></w:r>
</w:p>
<w:p>
<w:pPr><w:pStyle w:val="Normal"/></w:pPr>
<w:r><w:t xml:space="preserve">be consulted); in this article will be discussed the nature,</w:t></w:r>
</w:p>
<w:p>
<w:pPr><w:pStyle w:val="Normal"/></w:pPr>
<w:r><w:t xml:space="preserve">varieties and modes of aberrations mainly from the practical</w:t></w:r>
</w:p>
<w:p>
<w:pPr><w:pStyle w:val="Normal"/></w:pPr>
<w:r><w:t xml:space="preserve">point of view, i.e. that of the optical-instrument maker.</w:t></w:r>
</w:p>
<w:p>
<w:pPr><w:pStyle w:val="Normal"/></w:pPr>
<w:r><w:t xml:space="preserve">Aberrations may be divided in two classes: chromatic (Gr.</w:t></w:r>
</w:p>
<w:p>
<w:pPr><w:pStyle w:val="Normal"/></w:pPr>
<w:r><w:t xml:space="preserve">oroma, colour) aberrations, caused by the composite</w:t></w:r>
</w:p>
<w:p>
<w:pPr><w:pStyle w:val="Normal"/></w:pPr>
<w:r><w:t xml:space="preserve">nature of the light generally applied (e.g. white light),</w:t></w:r>
</w:p>
<w:p>
<w:pPr><w:pStyle w:val="Normal"/></w:pPr>
<w:r><w:t xml:space="preserve">which is dispersed by refraction, and monochromatic (Gr.</w:t></w:r>
</w:p>
<w:p>
<w:pPr><w:pStyle w:val="Normal"/></w:pPr>
<w:r><w:t xml:space="preserve">monos, one) aberrations produced without dispersion.</w:t></w:r>
</w:p>
<w:p>
<w:pPr><w:pStyle w:val="Normal"/></w:pPr>
<w:r><w:t xml:space="preserve">Consequently the monochromatic class includes the aberrations</w:t></w:r>
</w:p>
<w:p>
<w:pPr><w:pStyle w:val="Normal"/></w:pPr>
<w:r><w:t xml:space="preserve">at reflecting surfaces of any coloured light, and at refracting</w:t></w:r>
</w:p>
<w:p>
<w:pPr><w:pStyle w:val="Normal"/></w:pPr>
<w:r><w:t xml:space="preserve">surfaces of monochromatic or light of single wave length.</w:t></w:r>
</w:p>
<w:p>
<w:pPr><w:pStyle w:val="Normal"/></w:pPr>
<w:r><w:t xml:space="preserve">(a) Monochromatic Aberration. The elementary theory of optical</w:t></w:r>
</w:p>
<w:p>
<w:pPr><w:pStyle w:val="Normal"/></w:pPr>
<w:r><w:t xml:space="preserve">systems leads to the theorem; Rays of light proceeding from</w:t></w:r>
</w:p>
<w:p>
<w:pPr><w:pStyle w:val="Normal"/></w:pPr>
<w:r><w:t xml:space="preserve">any ``object point,&apos; unite in an ``image point&apos;&apos;; and therefore</w:t></w:r>
</w:p>
<w:p>
<w:pPr><w:pStyle w:val="Normal"/></w:pPr>
<w:r><w:t xml:space="preserve">an ``object space&apos;&apos; is reproduced in an ``image space.&apos;&apos; The</w:t></w:r>
</w:p>
<w:p>
<w:pPr><w:pStyle w:val="Normal"/></w:pPr>
<w:r><w:t xml:space="preserve">introduction of simple auxiliary terms, due to C. F. Gauss</w:t></w:r>
</w:p>
<w:p>
<w:pPr><w:pStyle w:val="Normal"/></w:pPr>
<w:r><w:t xml:space="preserve">(Dioptrische Untersuchungen, Gottingen, 1841), named the</w:t></w:r>
</w:p>
<w:p>
<w:pPr><w:pStyle w:val="Normal"/></w:pPr>
<w:r><w:t xml:space="preserve">focal lengths and focal planes, permits the determination</w:t></w:r>
</w:p>
<w:p>
<w:pPr><w:pStyle w:val="Normal"/></w:pPr>
<w:r><w:t xml:space="preserve">of the image of any object for any system (see LENS). The</w:t></w:r>
</w:p>
<w:p>
<w:pPr><w:pStyle w:val="Normal"/></w:pPr>
<w:r><w:t xml:space="preserve">Gaussian theory, however, is only true so long as the angles</w:t></w:r>
</w:p>
<w:p>
<w:pPr><w:pStyle w:val="Normal"/></w:pPr>
<w:r><w:t xml:space="preserve">made by all rays with the optical axis (the symmetrical axis</w:t></w:r>
</w:p>
<w:p>
<w:pPr><w:pStyle w:val="Normal"/></w:pPr>
<w:r><w:t xml:space="preserve">of the system) are infinitely small, i.e. with infinitesimal</w:t></w:r>
</w:p>
<w:p>
<w:pPr><w:pStyle w:val="Normal"/></w:pPr>
<w:r><w:t xml:space="preserve">objects, images and lenses; in practice these conditions are</w:t></w:r>
</w:p>
<w:p>
<w:pPr><w:pStyle w:val="Normal"/></w:pPr>
<w:r><w:t xml:space="preserve">not realized, and the images projected by uncorrected systems</w:t></w:r>
</w:p>
<w:p>
<w:pPr><w:pStyle w:val="Normal"/></w:pPr>
<w:r><w:t xml:space="preserve">are, in general, ill defined and often completely blurred,</w:t></w:r>
</w:p>
<w:p>
<w:pPr><w:pStyle w:val="Normal"/></w:pPr>
<w:r><w:t xml:space="preserve">if the aperture or field of view exceeds certain limits.</w:t></w:r>
</w:p>
<w:p>
<w:pPr><w:pStyle w:val="Normal"/></w:pPr>
<w:r><w:t xml:space="preserve">The investigations of James Clerk Maxwell (Phil.Mag., 1856;</w:t></w:r>
</w:p>
<w:p>
<w:pPr><w:pStyle w:val="Normal"/></w:pPr>
<w:r><w:t xml:space="preserve">Quart.  Journ.  Math., 1858, and Ernst Abbe1) showed that</w:t></w:r>
</w:p>
<w:p>
<w:pPr><w:pStyle w:val="Normal"/></w:pPr>
<w:r><w:t xml:space="preserve">the properties of these reproductions, i.e. the relative</w:t></w:r>
</w:p>
<w:p>
<w:pPr><w:pStyle w:val="Normal"/></w:pPr>
<w:r><w:t xml:space="preserve">position .and magnitude of the images, are not special</w:t></w:r>
</w:p>
<w:p>
<w:pPr><w:pStyle w:val="Normal"/></w:pPr>
<w:r><w:t xml:space="preserve">properties of optical systems, but necessary consequences of</w:t></w:r>
</w:p>
<w:p>
<w:pPr><w:pStyle w:val="Normal"/></w:pPr>
<w:r><w:t xml:space="preserve">the supposition (in Abbe) of the reproduction of all points</w:t></w:r>
</w:p>
<w:p>
<w:pPr><w:pStyle w:val="Normal"/></w:pPr>
<w:r><w:t xml:space="preserve">of a space in image points (Maxwell assumes a less general</w:t></w:r>
</w:p>
<w:p>
<w:pPr><w:pStyle w:val="Normal"/></w:pPr>
<w:r><w:t xml:space="preserve">hypothesis), and are independent of the manner in which the</w:t></w:r>
</w:p>
<w:p>
<w:pPr><w:pStyle w:val="Normal"/></w:pPr>
<w:r><w:t xml:space="preserve">reproduction is effected.  These authors proved, however, that</w:t></w:r>
</w:p>
<w:p>
<w:pPr><w:pStyle w:val="Normal"/></w:pPr>
<w:r><w:t xml:space="preserve">no optical system can justify these suppositions, since they</w:t></w:r>
</w:p>
<w:p>
<w:pPr><w:pStyle w:val="Normal"/></w:pPr>
<w:r><w:t xml:space="preserve">are contradictory to the fundamental laws of reflexion and</w:t></w:r>
</w:p>
<w:p>
<w:pPr><w:pStyle w:val="Normal"/></w:pPr>
<w:r><w:t xml:space="preserve">refraction.  Consequently the Gaussian theory only supplies</w:t></w:r>
</w:p>
<w:p>
<w:pPr><w:pStyle w:val="Normal"/></w:pPr>
<w:r><w:t xml:space="preserve">a convenient method of approximating to reality; and no</w:t></w:r>
</w:p>
<w:p>
<w:pPr><w:pStyle w:val="Normal"/></w:pPr>
<w:r><w:t xml:space="preserve">constructor would attempt to realize this unattainable ideal.</w:t></w:r>
</w:p>
<w:p>
<w:pPr><w:pStyle w:val="Normal"/></w:pPr>
<w:r><w:t xml:space="preserve">All that at present can be attempted is, to reproduce a single</w:t></w:r>
</w:p>
<w:p>
<w:pPr><w:pStyle w:val="Normal"/></w:pPr>
<w:r><w:t xml:space="preserve">plane in another plane; but even this has not been altogether</w:t></w:r>
</w:p>
<w:p>
<w:pPr><w:pStyle w:val="Normal"/></w:pPr>
<w:r><w:t xml:space="preserve">satisfactorily accomplished, aberrations always occur, and</w:t></w:r>
</w:p>
<w:p>
<w:pPr><w:pStyle w:val="Normal"/></w:pPr>
<w:r><w:t xml:space="preserve">it is improbable that these will ever be entirely corrected.</w:t></w:r>
</w:p>
<w:p>
<w:pPr><w:pStyle w:val="Normal"/></w:pPr>
<w:r><w:t xml:space="preserve">This, and related general questions, have been treated--besides</w:t></w:r>
</w:p>
<w:p>
<w:pPr><w:pStyle w:val="Normal"/></w:pPr>
<w:r><w:t xml:space="preserve">the above-mentioned authors--by M. Thiesen (Berlin.</w:t></w:r>
</w:p>
<w:p>
<w:pPr><w:pStyle w:val="Normal"/></w:pPr>
<w:r><w:t xml:space="preserve">Akad.  Sitzber., 1890, xxxv. 799; Berlin.Phys.Ges.</w:t></w:r>
</w:p>
<w:p>
<w:pPr><w:pStyle w:val="Normal"/></w:pPr>
<w:r><w:t xml:space="preserve">Verb., 1892) and H. Bruns (Leipzig. Math.  Phys.</w:t></w:r>
</w:p>
<w:p>
<w:pPr><w:pStyle w:val="Normal"/></w:pPr>
<w:r><w:t xml:space="preserve">Ber., 1895, xxi. 325) by means of Sir W. R. Hamilton&apos;s</w:t></w:r>
</w:p>
<w:p>
<w:pPr><w:pStyle w:val="Normal"/></w:pPr>
<w:r><w:t xml:space="preserve">``characteristic function&apos;&apos; (Irish Acad.  Trans., ``Theory</w:t></w:r>
</w:p>
<w:p>
<w:pPr><w:pStyle w:val="Normal"/></w:pPr>
<w:r><w:t xml:space="preserve">of Systems of Rays,,&apos; 1828, et seq.).  Reference may also</w:t></w:r>
</w:p>
<w:p>
<w:pPr><w:pStyle w:val="Normal"/></w:pPr>
<w:r><w:t xml:space="preserve">be made to the treatise of Czapski-Eppenstein, pp. 155-161.</w:t></w:r>
</w:p>
<w:p>
<w:pPr><w:pStyle w:val="Normal"/></w:pPr>
<w:r><w:t xml:space="preserve">A review of the simplest cases of aberration will now be</w:t></w:r>
</w:p>
<w:p>
<w:pPr><w:pStyle w:val="Normal"/></w:pPr>
<w:r><w:t xml:space="preserve">given. (1) Aberration of axial points (Spherical aberration</w:t></w:r>
</w:p>
<w:p>
<w:pPr><w:pStyle w:val="Normal"/></w:pPr>
<w:r><w:t xml:space="preserve">in the restricted sense).  If S (fig.5) be any optical</w:t></w:r>
</w:p>
<w:p>
<w:pPr><w:pStyle w:val="Normal"/></w:pPr>
<w:r><w:t xml:space="preserve">system, rays proceeding from an axis point O under an angle</w:t></w:r>
</w:p>
<w:p>
<w:pPr><w:pStyle w:val="Normal"/></w:pPr>
<w:r><w:t xml:space="preserve">u1 will unite in the axis point O&apos;1; and those under an</w:t></w:r>
</w:p>
<w:p>
<w:pPr><w:pStyle w:val="Normal"/></w:pPr>
<w:r><w:t xml:space="preserve">angle u2 in the axis point O&apos;2.  If there be refraction</w:t></w:r>
</w:p>
<w:p>
<w:pPr><w:pStyle w:val="Normal"/></w:pPr>
<w:r><w:t xml:space="preserve">at a collective spherical surface, or through a thin positive</w:t></w:r>
</w:p>
<w:p>
<w:pPr><w:pStyle w:val="Normal"/></w:pPr>
<w:r><w:t xml:space="preserve">lens, O&apos;2 will lie in front of O&apos;1 so long as the angle</w:t></w:r>
</w:p>
<w:p>
<w:pPr><w:pStyle w:val="Normal"/></w:pPr>
<w:r><w:t xml:space="preserve">u2 is greater than u1 (``under correction&apos;&apos;); and</w:t></w:r>
</w:p>
<w:p>
<w:pPr><w:pStyle w:val="Normal"/></w:pPr>
<w:r><w:t xml:space="preserve">conversely with a dispersive surface or lenses (``over</w:t></w:r>
</w:p>
<w:p>
<w:pPr><w:pStyle w:val="Normal"/></w:pPr>
<w:r><w:t xml:space="preserve">correction&apos;&apos;).  The caustic, in the first case, resembles</w:t></w:r>
</w:p>
<w:p>
<w:pPr><w:pStyle w:val="Normal"/></w:pPr>
<w:r><w:t xml:space="preserve">the sign &gt; (greater than); in the second K (less than).  If</w:t></w:r>
</w:p>
<w:p>
<w:pPr><w:pStyle w:val="Normal"/></w:pPr>
<w:r><w:t xml:space="preserve">the angle u1 be very small, O&apos;1 is the Gaussian image;</w:t></w:r>
</w:p>
<w:p>
<w:pPr><w:pStyle w:val="Normal"/></w:pPr>
<w:r><w:t xml:space="preserve">and O&apos;1 O&apos;2 is termed the ``longitudinal aberration,&apos;&apos;</w:t></w:r>
</w:p>
<w:p>
<w:pPr><w:pStyle w:val="Normal"/></w:pPr>
<w:r><w:t xml:space="preserve">and O&apos;1R the ``lateral aberration&apos;&apos; of the pencils with</w:t></w:r>
</w:p>
<w:p>
<w:pPr><w:pStyle w:val="Normal"/></w:pPr>
<w:r><w:t xml:space="preserve">aperture u2. If the pencil with the angle u2 be that</w:t></w:r>
</w:p>
<w:p>
<w:pPr><w:pStyle w:val="Normal"/></w:pPr>
<w:r><w:t xml:space="preserve">of the maximum aberration of all the pencils transmitted,</w:t></w:r>
</w:p>
<w:p>
<w:pPr><w:pStyle w:val="Normal"/></w:pPr>
<w:r><w:t xml:space="preserve">then in a plane perpendicular to the axis at O&apos;1 there is</w:t></w:r>
</w:p>
<w:p>
<w:pPr><w:pStyle w:val="Normal"/></w:pPr>
<w:r><w:t xml:space="preserve">a circular ``disk of confusion&apos;&apos; of radius O&apos;1R, and in a</w:t></w:r>
</w:p>
<w:p>
<w:pPr><w:pStyle w:val="Normal"/></w:pPr>
<w:r><w:t xml:space="preserve">parallel plane at O&apos;2 another one of radius O&apos;2R2; between</w:t></w:r>
</w:p>
<w:p>
<w:pPr><w:pStyle w:val="Normal"/></w:pPr>
<w:r><w:t xml:space="preserve">these two is situated the ``disk of least confusion.&apos;&apos;</w:t></w:r>
</w:p>
<w:p>
<w:pPr><w:pStyle w:val="Normal"/></w:pPr>
<w:r><w:t xml:space="preserve">The largest opening of the pencils, which take part in the</w:t></w:r>
</w:p>
<w:p>
<w:pPr><w:pStyle w:val="Normal"/></w:pPr>
<w:r><w:t xml:space="preserve">reproduction of O, i.e. the angle u, is generally determined</w:t></w:r>
</w:p>
<w:p>
<w:pPr><w:pStyle w:val="Normal"/></w:pPr>
<w:r><w:t xml:space="preserve">by the margin of one of the lenses or by a hole in a thin</w:t></w:r>
</w:p>
<w:p>
<w:pPr><w:pStyle w:val="Normal"/></w:pPr>
<w:r><w:t xml:space="preserve">plate placed between, before, or behind the lenses of the</w:t></w:r>
</w:p>
<w:p>
<w:pPr><w:pStyle w:val="Normal"/></w:pPr>
<w:r><w:t xml:space="preserve">system.  This hole is termed the ``stop&apos;&apos; or ``diaphragm&apos;&apos;;</w:t></w:r>
</w:p>
<w:p>
<w:pPr><w:pStyle w:val="Normal"/></w:pPr>
<w:r><w:t xml:space="preserve">Abbe used the term ``aperture stop&apos;&apos; for both the hole and</w:t></w:r>
</w:p>
<w:p>
<w:pPr><w:pStyle w:val="Normal"/></w:pPr>
<w:r><w:t xml:space="preserve">the limiting margin of the lens.  The component S1 of the</w:t></w:r>
</w:p>
<w:p>
<w:pPr><w:pStyle w:val="Normal"/></w:pPr>
<w:r><w:t xml:space="preserve">system, situated between the aperture stop and the object</w:t></w:r>
</w:p>
<w:p>
<w:pPr><w:pStyle w:val="Normal"/></w:pPr>
<w:r><w:t xml:space="preserve">O, projects an image of the diaphragm, termed by Abbe the</w:t></w:r>
</w:p>
<w:p>
<w:pPr><w:pStyle w:val="Normal"/></w:pPr>
<w:r><w:t xml:space="preserve">``entrance pupil&apos;&apos;; the ``exit pupil&apos;&apos; is the image formed</w:t></w:r>
</w:p>
<w:p>
<w:pPr><w:pStyle w:val="Normal"/></w:pPr>
<w:r><w:t xml:space="preserve">by the component S2, which is placed behind the aperture</w:t></w:r>
</w:p>
<w:p>
<w:pPr><w:pStyle w:val="Normal"/></w:pPr>
<w:r><w:t xml:space="preserve">stop.  All rays which issue from O and pass through the aperture</w:t></w:r>
</w:p>
<w:p>
<w:pPr><w:pStyle w:val="Normal"/></w:pPr>
<w:r><w:t xml:space="preserve">stop also pass through the entrance and exit pupils, since these</w:t></w:r>
</w:p>
<w:p>
<w:pPr><w:pStyle w:val="Normal"/></w:pPr>
<w:r><w:t xml:space="preserve">are images of the aperture stop.  Since the maximum aperture</w:t></w:r>
</w:p>
<w:p>
<w:pPr><w:pStyle w:val="Normal"/></w:pPr>
<w:r><w:t xml:space="preserve">of the pencils issuing from O is the angle u subtended by the</w:t></w:r>
</w:p>
<w:p>
<w:pPr><w:pStyle w:val="Normal"/></w:pPr>
<w:r><w:t xml:space="preserve">entrance pupil at this point, the magnitude of the aberration</w:t></w:r>
</w:p>
<w:p>
<w:pPr><w:pStyle w:val="Normal"/></w:pPr>
<w:r><w:t xml:space="preserve">will be determined by the position and diameter of the entrance</w:t></w:r>
</w:p>
<w:p>
<w:pPr><w:pStyle w:val="Normal"/></w:pPr>
<w:r><w:t xml:space="preserve">pupil.  If the system be entirely behind the aperture stop,</w:t></w:r>
</w:p>
<w:p>
<w:pPr><w:pStyle w:val="Normal"/></w:pPr>
<w:r><w:t xml:space="preserve">then this is itself the entrance pupil (``front stop&apos;&apos;);</w:t></w:r>
</w:p>
<w:p>
<w:pPr><w:pStyle w:val="Normal"/></w:pPr>
<w:r><w:t xml:space="preserve">if entirely in front, it is the exit pupil (``back stop&apos;&apos;).</w:t></w:r>
</w:p>
<w:p>
<w:pPr><w:pStyle w:val="Normal"/></w:pPr>
<w:r><w:t xml:space="preserve">If the object point be infinitely distant, all rays received</w:t></w:r>
</w:p>
<w:p>
<w:pPr><w:pStyle w:val="Normal"/></w:pPr>
<w:r><w:t xml:space="preserve">by the first member of the system are parallel, and their</w:t></w:r>
</w:p>
<w:p>
<w:pPr><w:pStyle w:val="Normal"/></w:pPr>
<w:r><w:t xml:space="preserve">intersections, after traversing the system, vary according</w:t></w:r>
</w:p>
<w:p>
<w:pPr><w:pStyle w:val="Normal"/></w:pPr>
<w:r><w:t xml:space="preserve">to their ``perpendicular height of incidence,&apos;&apos; i.e. their</w:t></w:r>
</w:p>
<w:p>
<w:pPr><w:pStyle w:val="Normal"/></w:pPr>
<w:r><w:t xml:space="preserve">distance from the axis.  This distance replaces the angle</w:t></w:r>
</w:p>
<w:p>
<w:pPr><w:pStyle w:val="Normal"/></w:pPr>
<w:r><w:t xml:space="preserve">u in the preceding considerations; and the aperture, i.e.</w:t></w:r>
</w:p>
<w:p>
<w:pPr><w:pStyle w:val="Normal"/></w:pPr>
<w:r><w:t xml:space="preserve">the radius of the entrance pupil, is its maximum value.</w:t></w:r>
</w:p>
<w:p>
<w:pPr><w:pStyle w:val="Normal"/></w:pPr>
<w:r><w:t xml:space="preserve">(2) Aberration of elements, i.e. smallest objects at right</w:t></w:r>
</w:p>
<w:p>
<w:pPr><w:pStyle w:val="Normal"/></w:pPr>
<w:r><w:t xml:space="preserve">angles to the axis.--If rays issuing from O (fig. 5) be</w:t></w:r>
</w:p>
<w:p>
<w:pPr><w:pStyle w:val="Normal"/></w:pPr>
<w:r><w:t xml:space="preserve">concurrent, it does not follow that points in a portion</w:t></w:r>
</w:p>
<w:p>
<w:pPr><w:pStyle w:val="Normal"/></w:pPr>
<w:r><w:t xml:space="preserve">of a plane perpendicular at O to the axis will be also</w:t></w:r>
</w:p>
<w:p>
<w:pPr><w:pStyle w:val="Normal"/></w:pPr>
<w:r><w:t xml:space="preserve">concurrent, even if the part of the plane be very small.</w:t></w:r>
</w:p>
<w:p>
<w:pPr><w:pStyle w:val="Normal"/></w:pPr>
<w:r><w:t xml:space="preserve">With a considerable aperture, the neighbouring point N will</w:t></w:r>
</w:p>
<w:p>
<w:pPr><w:pStyle w:val="Normal"/></w:pPr>
<w:r><w:t xml:space="preserve">be reproduced, but attended by aberrations comparable in</w:t></w:r>
</w:p>
<w:p>
<w:pPr><w:pStyle w:val="Normal"/></w:pPr>
<w:r><w:t xml:space="preserve">magnitude to ON. These aberrations are avoided if, according to</w:t></w:r>
</w:p>
<w:p>
<w:pPr><w:pStyle w:val="Normal"/></w:pPr>
<w:r><w:t xml:space="preserve">Abbe, the ``sine condition,&apos;&apos; sin u&apos;1/sin u1=sin u&apos;2jsin</w:t></w:r>
</w:p>
<w:p>
<w:pPr><w:pStyle w:val="Normal"/></w:pPr>
<w:r><w:t xml:space="preserve">u2, holds for all rays reproducing the point O. If the</w:t></w:r>
</w:p>
<w:p>
<w:pPr><w:pStyle w:val="Normal"/></w:pPr>
<w:r><w:t xml:space="preserve">object point O be infinitely distant, u1 and u2 are</w:t></w:r>
</w:p>
<w:p>
<w:pPr><w:pStyle w:val="Normal"/></w:pPr>
<w:r><w:t xml:space="preserve">to be replaced by pi and h2, the perpendicular heights of</w:t></w:r>
</w:p>
<w:p>
<w:pPr><w:pStyle w:val="Normal"/></w:pPr>
<w:r><w:t xml:space="preserve">incidence; the ``sine condition&apos;, then becomes sin u,1jh1</w:t></w:r>
</w:p>
<w:p>
<w:pPr><w:pStyle w:val="Normal"/></w:pPr>
<w:r><w:t xml:space="preserve">sin u&apos;2/h2. A system fulfilling this condition and free</w:t></w:r>
</w:p>
<w:p>
<w:pPr><w:pStyle w:val="Normal"/></w:pPr>
<w:r><w:t xml:space="preserve">from spherical aberration is called ``aplanatic&apos;&apos; (Greek</w:t></w:r>
</w:p>
<w:p>
<w:pPr><w:pStyle w:val="Normal"/></w:pPr>
<w:r><w:t xml:space="preserve">a-, privative, plann, a wandering).  This word was</w:t></w:r>
</w:p>
<w:p>
<w:pPr><w:pStyle w:val="Normal"/></w:pPr>
<w:r><w:t xml:space="preserve">first used by Robert Blair (d. 1828), professor of practical</w:t></w:r>
</w:p>
<w:p>
<w:pPr><w:pStyle w:val="Normal"/></w:pPr>
<w:r><w:t xml:space="preserve">astronomy at Edinburgh University, to characterize a superior</w:t></w:r>
</w:p>
<w:p>
<w:pPr><w:pStyle w:val="Normal"/></w:pPr>
<w:r><w:t xml:space="preserve">achromatism, and, subsequently, by many writers to denote</w:t></w:r>
</w:p>
<w:p>
<w:pPr><w:pStyle w:val="Normal"/></w:pPr>
<w:r><w:t xml:space="preserve">freedom from spherical aberration.  Both the aberration of axis</w:t></w:r>
</w:p>
<w:p>
<w:pPr><w:pStyle w:val="Normal"/></w:pPr>
<w:r><w:t xml:space="preserve">points, and the deviation from the sine condition, rapidly</w:t></w:r>
</w:p>
<w:p>
<w:pPr><w:pStyle w:val="Normal"/></w:pPr>
<w:r><w:t xml:space="preserve">increase in most (uncorrected) systems with the aperture.</w:t></w:r>
</w:p>
<w:p>
<w:pPr><w:pStyle w:val="Normal"/></w:pPr>
<w:r><w:t xml:space="preserve">(3) Aberration of lateral object points (points beyond the</w:t></w:r>
</w:p>
<w:p>
<w:pPr><w:pStyle w:val="Normal"/></w:pPr>
<w:r><w:t xml:space="preserve">axis) with narrow pencils.  Astigmatism.---A point O (fig.</w:t></w:r>
</w:p>
<w:p>
<w:pPr><w:pStyle w:val="Normal"/></w:pPr>
<w:r><w:t xml:space="preserve">6) at a finite distance from the, axis (or with an infinitely</w:t></w:r>
</w:p>
<w:p>
<w:pPr><w:pStyle w:val="Normal"/></w:pPr>
<w:r><w:t xml:space="preserve">distant object, a point which subtends a finite angle at the</w:t></w:r>
</w:p>
<w:p>
<w:pPr><w:pStyle w:val="Normal"/></w:pPr>
<w:r><w:t xml:space="preserve">system) is, in general, even then not sharply reproduced, if</w:t></w:r>
</w:p>
<w:p>
<w:pPr><w:pStyle w:val="Normal"/></w:pPr>
<w:r><w:t xml:space="preserve">the pencil of rays issuing from it and traversing the system</w:t></w:r>
</w:p>
<w:p>
<w:pPr><w:pStyle w:val="Normal"/></w:pPr>
<w:r><w:t xml:space="preserve">is made infinitely narrow by reducing the aperture stop; such</w:t></w:r>
</w:p>
<w:p>
<w:pPr><w:pStyle w:val="Normal"/></w:pPr>
<w:r><w:t xml:space="preserve">a pencil consists of the rays which can pass from the object</w:t></w:r>
</w:p>
<w:p>
<w:pPr><w:pStyle w:val="Normal"/></w:pPr>
<w:r><w:t xml:space="preserve">point through the now infinitely small entrance pupil.  It</w:t></w:r>
</w:p>
<w:p>
<w:pPr><w:pStyle w:val="Normal"/></w:pPr>
<w:r><w:t xml:space="preserve">is seen (ignoring exceptional cases) that the pencil does</w:t></w:r>
</w:p>
<w:p>
<w:pPr><w:pStyle w:val="Normal"/></w:pPr>
<w:r><w:t xml:space="preserve">not meet he refracting or reflecting surface at right angles;</w:t></w:r>
</w:p>
<w:p>
<w:pPr><w:pStyle w:val="Normal"/></w:pPr>
<w:r><w:t xml:space="preserve">therefore it is astigmatic (Gr. a-, privative, stigmia, a</w:t></w:r>
</w:p>
<w:p>
<w:pPr><w:pStyle w:val="Normal"/></w:pPr>
<w:r><w:t xml:space="preserve">point).  Naming the central ray passing through the entrance</w:t></w:r>
</w:p>
<w:p>
<w:pPr><w:pStyle w:val="Normal"/></w:pPr>
<w:r><w:t xml:space="preserve">pupil the ``axis of the pencil,&apos; or ``principal ray,&apos;&apos; we</w:t></w:r>
</w:p>
<w:p>
<w:pPr><w:pStyle w:val="Normal"/></w:pPr>
<w:r><w:t xml:space="preserve">can say: the rays of the pencil intersect, not in one point,</w:t></w:r>
</w:p>
<w:p>
<w:pPr><w:pStyle w:val="Normal"/></w:pPr>
<w:r><w:t xml:space="preserve">but in two focal lines, which we can assume to be at right</w:t></w:r>
</w:p>
<w:p>
<w:pPr><w:pStyle w:val="Normal"/></w:pPr>
<w:r><w:t xml:space="preserve">angles to the principal ray; of these, one lies in the plane</w:t></w:r>
</w:p>
<w:p>
<w:pPr><w:pStyle w:val="Normal"/></w:pPr>
<w:r><w:t xml:space="preserve">containing the principal ray and the axis of the system,</w:t></w:r>
</w:p>
<w:p>
<w:pPr><w:pStyle w:val="Normal"/></w:pPr>
<w:r><w:t xml:space="preserve">i.e. in the ``first principal section&apos;&apos; or ``meridional</w:t></w:r>
</w:p>
<w:p>
<w:pPr><w:pStyle w:val="Normal"/></w:pPr>
<w:r><w:t xml:space="preserve">section,&apos;, and the other at right angles to it, i.e. in the</w:t></w:r>
</w:p>
<w:p>
<w:pPr><w:pStyle w:val="Normal"/></w:pPr>
<w:r><w:t xml:space="preserve">second principal section or sagittal section.  We receive,</w:t></w:r>
</w:p>
<w:p>
<w:pPr><w:pStyle w:val="Normal"/></w:pPr>
<w:r><w:t xml:space="preserve">therefore, in no single intercepting plane behind the system,</w:t></w:r>
</w:p>
<w:p>
<w:pPr><w:pStyle w:val="Normal"/></w:pPr>
<w:r><w:t xml:space="preserve">as, for example, a focussing screen, an image of the object</w:t></w:r>
</w:p>
<w:p>
<w:pPr><w:pStyle w:val="Normal"/></w:pPr>
<w:r><w:t xml:space="preserve">point; on the other hand, in each of two planes lines O&apos; and</w:t></w:r>
</w:p>
<w:p>
<w:pPr><w:pStyle w:val="Normal"/></w:pPr>
<w:r><w:t xml:space="preserve">O&quot; are separately formed (in neighbouring planes ellipses are</w:t></w:r>
</w:p>
<w:p>
<w:pPr><w:pStyle w:val="Normal"/></w:pPr>
<w:r><w:t xml:space="preserve">formed), and in a plane between O&apos; and O&quot; a circle of least</w:t></w:r>
</w:p>
<w:p>
<w:pPr><w:pStyle w:val="Normal"/></w:pPr>
<w:r><w:t xml:space="preserve">confusion.  The interval O&apos;O&quot;, termed the astigmatic difference,</w:t></w:r>
</w:p>
<w:p>
<w:pPr><w:pStyle w:val="Normal"/></w:pPr>
<w:r><w:t xml:space="preserve">increases, in general, with the angle W made by the principal</w:t></w:r>
</w:p>
<w:p>
<w:pPr><w:pStyle w:val="Normal"/></w:pPr>
<w:r><w:t xml:space="preserve">ray OP with the axis of the system, i.e. with the field of</w:t></w:r>
</w:p>
<w:p>
<w:pPr><w:pStyle w:val="Normal"/></w:pPr>
<w:r><w:t xml:space="preserve">view.  Two ``astigmatic image surfaces&apos;&apos; correspond to one</w:t></w:r>
</w:p>
<w:p>
<w:pPr><w:pStyle w:val="Normal"/></w:pPr>
<w:r><w:t xml:space="preserve">object plane; and these are in contact at the axis point; on</w:t></w:r>
</w:p>
<w:p>
<w:pPr><w:pStyle w:val="Normal"/></w:pPr>
<w:r><w:t xml:space="preserve">the one lie the focal lines of the first kind, on the other</w:t></w:r>
</w:p>
<w:p>
<w:pPr><w:pStyle w:val="Normal"/></w:pPr>
<w:r><w:t xml:space="preserve">those of the second.  Systems in which the two astigmatic</w:t></w:r>
</w:p>
<w:p>
<w:pPr><w:pStyle w:val="Normal"/></w:pPr>
<w:r><w:t xml:space="preserve">surfaces coincide are termed anastigmatic or stigmatic.</w:t></w:r>
</w:p>
<w:p>
<w:pPr><w:pStyle w:val="Normal"/></w:pPr>
<w:r><w:t xml:space="preserve">Sir Isaac Newron was probably the discoverer of astigmation;</w:t></w:r>
</w:p>
<w:p>
<w:pPr><w:pStyle w:val="Normal"/></w:pPr>
<w:r><w:t xml:space="preserve">the position of the astigmatic image lines was determined by</w:t></w:r>
</w:p>
<w:p>
<w:pPr><w:pStyle w:val="Normal"/></w:pPr>
<w:r><w:t xml:space="preserve">Thomas Young (A Course of Lectures on Natural Philosophy,</w:t></w:r>
</w:p>
<w:p>
<w:pPr><w:pStyle w:val="Normal"/></w:pPr>
<w:r><w:t xml:space="preserve">1807); and the theory has been recently developed by A.</w:t></w:r>
</w:p>
<w:p>
<w:pPr><w:pStyle w:val="Normal"/></w:pPr>
<w:r><w:t xml:space="preserve">Gullstrand (Skand. Arch. f. physiol., 1890, 2, p. 269;</w:t></w:r>
</w:p>
<w:p>
<w:pPr><w:pStyle w:val="Normal"/></w:pPr>
<w:r><w:t xml:space="preserve">Allgemeine Theorie der monochromat. Aberrationen, etc.,</w:t></w:r>
</w:p>
<w:p>
<w:pPr><w:pStyle w:val="Normal"/></w:pPr>
<w:r><w:t xml:space="preserve">Upsala, 1900; Arch. f.  Ophth., 1901, 53, pp. 2, 185).  A</w:t></w:r>
</w:p>
<w:p>
<w:pPr><w:pStyle w:val="Normal"/></w:pPr>
<w:r><w:t xml:space="preserve">bibliography by P. Culmann is given in M. von Rohr&apos;s Die</w:t></w:r>
</w:p>
<w:p>
<w:pPr><w:pStyle w:val="Normal"/></w:pPr>
<w:r><w:t xml:space="preserve">Bilderzeugung in opitschen Instrumenten (Berlin, 1904).</w:t></w:r>
</w:p>
<w:p>
<w:pPr><w:pStyle w:val="Normal"/></w:pPr>
<w:r><w:t xml:space="preserve">(4) Aberration of lateral object points with broad pencils.</w:t></w:r>
</w:p>
<w:p>
<w:pPr><w:pStyle w:val="Normal"/></w:pPr>
<w:r><w:t xml:space="preserve">Coma. ---By opening the stop wider, similar deviations arise</w:t></w:r>
</w:p>
<w:p>
<w:pPr><w:pStyle w:val="Normal"/></w:pPr>
<w:r><w:t xml:space="preserve">for lateral points as have been already discussed for axial</w:t></w:r>
</w:p>
<w:p>
<w:pPr><w:pStyle w:val="Normal"/></w:pPr>
<w:r><w:t xml:space="preserve">points; but in this case they are much more complicated.</w:t></w:r>
</w:p>
<w:p>
<w:pPr><w:pStyle w:val="Normal"/></w:pPr>
<w:r><w:t xml:space="preserve">The course of the rays in the meridional section is no longer</w:t></w:r>
</w:p>
<w:p>
<w:pPr><w:pStyle w:val="Normal"/></w:pPr>
<w:r><w:t xml:space="preserve">symmetrical to the principal ray of the pencil; and on an</w:t></w:r>
</w:p>
<w:p>
<w:pPr><w:pStyle w:val="Normal"/></w:pPr>
<w:r><w:t xml:space="preserve">intercepting plane there appears, instead of a luminous</w:t></w:r>
</w:p>
<w:p>
<w:pPr><w:pStyle w:val="Normal"/></w:pPr>
<w:r><w:t xml:space="preserve">point, a patch of light, not symmetrical about a point, and</w:t></w:r>
</w:p>
<w:p>
<w:pPr><w:pStyle w:val="Normal"/></w:pPr>
<w:r><w:t xml:space="preserve">often exhibiting a resemblance to a comet having its tail</w:t></w:r>
</w:p>
<w:p>
<w:pPr><w:pStyle w:val="Normal"/></w:pPr>
<w:r><w:t xml:space="preserve">directed towards or away from the axis.  From this appearance</w:t></w:r>
</w:p>
<w:p>
<w:pPr><w:pStyle w:val="Normal"/></w:pPr>
<w:r><w:t xml:space="preserve">it takes its name.  The unsymmetrical form of the meridional</w:t></w:r>
</w:p>
<w:p>
<w:pPr><w:pStyle w:val="Normal"/></w:pPr>
<w:r><w:t xml:space="preserve">pencil--formerly the only one considered--is coma in the</w:t></w:r>
</w:p>
<w:p>
<w:pPr><w:pStyle w:val="Normal"/></w:pPr>
<w:r><w:t xml:space="preserve">narrower sense only; other errors of coma have been treated by</w:t></w:r>
</w:p>
<w:p>
<w:pPr><w:pStyle w:val="Normal"/></w:pPr>
<w:r><w:t xml:space="preserve">A. Konig and M. von Rohr (op. cit.), and more recently by</w:t></w:r>
</w:p>
<w:p>
<w:pPr><w:pStyle w:val="Normal"/></w:pPr>
<w:r><w:t xml:space="preserve">A. Gullstrand (op. cit.; Ann. d.  Phys., 1905, 18, p. 941).</w:t></w:r>
</w:p>
<w:p>
<w:pPr><w:pStyle w:val="Normal"/></w:pPr>
<w:r><w:t xml:space="preserve">(5) Curvature of the field of the image.---If the above errors</w:t></w:r>
</w:p>
<w:p>
<w:pPr><w:pStyle w:val="Normal"/></w:pPr>
<w:r><w:t xml:space="preserve">be eliminated, the two astigmatic surfaces united, and a sharp</w:t></w:r>
</w:p>
<w:p>
<w:pPr><w:pStyle w:val="Normal"/></w:pPr>
<w:r><w:t xml:space="preserve">image obtained with a wide aperture--there remains the necessity</w:t></w:r>
</w:p>
<w:p>
<w:pPr><w:pStyle w:val="Normal"/></w:pPr>
<w:r><w:t xml:space="preserve">to correct the curvature of the image surface, especially when</w:t></w:r>
</w:p>
<w:p>
<w:pPr><w:pStyle w:val="Normal"/></w:pPr>
<w:r><w:t xml:space="preserve">the image is to be received upon a plane surface, e.g. in</w:t></w:r>
</w:p>
<w:p>
<w:pPr><w:pStyle w:val="Normal"/></w:pPr>
<w:r><w:t xml:space="preserve">photography.  In most cases the surface is concave towards the system.</w:t></w:r>
</w:p>
<w:p>
<w:pPr><w:pStyle w:val="Normal"/></w:pPr>
<w:r><w:t xml:space="preserve">(6) Distortion of the image.--If now the image be sufficiently</w:t></w:r>
</w:p>
<w:p>
<w:pPr><w:pStyle w:val="Normal"/></w:pPr>
<w:r><w:t xml:space="preserve">sharp, inasmuch as the rays proceeding from every object point</w:t></w:r>
</w:p>
<w:p>
<w:pPr><w:pStyle w:val="Normal"/></w:pPr>
<w:r><w:t xml:space="preserve">meet in an image point of satisfactory exactitude, it may happen</w:t></w:r>
</w:p>
<w:p>
<w:pPr><w:pStyle w:val="Normal"/></w:pPr>
<w:r><w:t xml:space="preserve">that the image is distorted, i.e. not sufficiently like the</w:t></w:r>
</w:p>
<w:p>
<w:pPr><w:pStyle w:val="Normal"/></w:pPr>
<w:r><w:t xml:space="preserve">object.  This error consists in the different parts of the</w:t></w:r>
</w:p>
<w:p>
<w:pPr><w:pStyle w:val="Normal"/></w:pPr>
<w:r><w:t xml:space="preserve">object being reproduced with different magnifications; for</w:t></w:r>
</w:p>
<w:p>
<w:pPr><w:pStyle w:val="Normal"/></w:pPr>
<w:r><w:t xml:space="preserve">instance, the inner parts may differ in greater magnification</w:t></w:r>
</w:p>
<w:p>
<w:pPr><w:pStyle w:val="Normal"/></w:pPr>
<w:r><w:t xml:space="preserve">than the outer (``barrel-shaped distortion&apos;&apos;), or conversely</w:t></w:r>
</w:p>
<w:p>
<w:pPr><w:pStyle w:val="Normal"/></w:pPr>
<w:r><w:t xml:space="preserve">(``cushion-shaped distortion&apos;&apos;) (see fig. 7). Systems free</w:t></w:r>
</w:p>
<w:p>
<w:pPr><w:pStyle w:val="Normal"/></w:pPr>
<w:r><w:t xml:space="preserve">of this aberration are called ``orthoscopic&apos;&apos; (orthos ,</w:t></w:r>
</w:p>
<w:p>
<w:pPr><w:pStyle w:val="Normal"/></w:pPr>
<w:r><w:t xml:space="preserve">right, skopein to look).  This aberration is quite distinct</w:t></w:r>
</w:p>
<w:p>
<w:pPr><w:pStyle w:val="Normal"/></w:pPr>
<w:r><w:t xml:space="preserve">from that of the sharpness of reproduction; in unsharp,</w:t></w:r>
</w:p>
<w:p>
<w:pPr><w:pStyle w:val="Normal"/></w:pPr>
<w:r><w:t xml:space="preserve">reproduction, the question of distortion arises if only parts of</w:t></w:r>
</w:p>
<w:p>
<w:pPr><w:pStyle w:val="Normal"/></w:pPr>
<w:r><w:t xml:space="preserve">the object can be recognized in the figure.  If, in an unsharp</w:t></w:r>
</w:p>
<w:p>
<w:pPr><w:pStyle w:val="Normal"/></w:pPr>
<w:r><w:t xml:space="preserve">image, a patch of light corresponds to an object point, the</w:t></w:r>
</w:p>
<w:p>
<w:pPr><w:pStyle w:val="Normal"/></w:pPr>
<w:r><w:t xml:space="preserve">``centre of gravity&apos;&apos; of the patch may be regarded as the image</w:t></w:r>
</w:p>
<w:p>
<w:pPr><w:pStyle w:val="Normal"/></w:pPr>
<w:r><w:t xml:space="preserve">point, this being the point where the plane receiving the</w:t></w:r>
</w:p>
<w:p>
<w:pPr><w:pStyle w:val="Normal"/></w:pPr>
<w:r><w:t xml:space="preserve">image, e.g. a focussing screen, intersects the ray passing</w:t></w:r>
</w:p>
<w:p>
<w:pPr><w:pStyle w:val="Normal"/></w:pPr>
<w:r><w:t xml:space="preserve">through the middle of the stop.  This assumption is justified</w:t></w:r>
</w:p>
<w:p>
<w:pPr><w:pStyle w:val="Normal"/></w:pPr>
<w:r><w:t xml:space="preserve">if a poor image on the focussing screen remains stationary</w:t></w:r>
</w:p>
<w:p>
<w:pPr><w:pStyle w:val="Normal"/></w:pPr>
<w:r><w:t xml:space="preserve">when the aperture is diminished; in practice, this generally</w:t></w:r>
</w:p>
<w:p>
<w:pPr><w:pStyle w:val="Normal"/></w:pPr>
<w:r><w:t xml:space="preserve">occurs.  This ray, named by Abbe a ``principal ray&apos;&apos; (not to be</w:t></w:r>
</w:p>
<w:p>
<w:pPr><w:pStyle w:val="Normal"/></w:pPr>
<w:r><w:t xml:space="preserve">confused with the ``principal rays&apos;&apos; of the Gaussian theory),</w:t></w:r>
</w:p>
<w:p>
<w:pPr><w:pStyle w:val="Normal"/></w:pPr>
<w:r><w:t xml:space="preserve">passes through the centre of the enttance pupil before the first</w:t></w:r>
</w:p>
<w:p>
<w:pPr><w:pStyle w:val="Normal"/></w:pPr>
<w:r><w:t xml:space="preserve">refraction, and the centre of the exit pupil after the last</w:t></w:r>
</w:p>
<w:p>
<w:pPr><w:pStyle w:val="Normal"/></w:pPr>
<w:r><w:t xml:space="preserve">refraction.  From this it follows that correctness of drawing</w:t></w:r>
</w:p>
<w:p>
<w:pPr><w:pStyle w:val="Normal"/></w:pPr>
<w:r><w:t xml:space="preserve">depends solely upon the principal rays; and is independent</w:t></w:r>
</w:p>
<w:p>
<w:pPr><w:pStyle w:val="Normal"/></w:pPr>
<w:r><w:t xml:space="preserve">of the sharpness or curvature of the image field.  Referring</w:t></w:r>
</w:p>
<w:p>
<w:pPr><w:pStyle w:val="Normal"/></w:pPr>
<w:r><w:t xml:space="preserve">to fig. 8, we have O&apos;Q&apos;/OQ = a&apos; tan w&apos;/a tan w = 1/N,</w:t></w:r>
</w:p>
<w:p>
<w:pPr><w:pStyle w:val="Normal"/></w:pPr>
<w:r><w:t xml:space="preserve">where N is the ``scale&apos;&apos; or magnification of the image.  For</w:t></w:r>
</w:p>
<w:p>
<w:pPr><w:pStyle w:val="Normal"/></w:pPr>
<w:r><w:t xml:space="preserve">N to be constant for all values of w, a&apos; tan w&apos;/a tan</w:t></w:r>
</w:p>
<w:p>
<w:pPr><w:pStyle w:val="Normal"/></w:pPr>
<w:r><w:t xml:space="preserve">w must also be constant.  If the ratio a&apos;/a be sufficiently</w:t></w:r>
</w:p>
<w:p>
<w:pPr><w:pStyle w:val="Normal"/></w:pPr>
<w:r><w:t xml:space="preserve">constant, as is often the case, the above relation reduces</w:t></w:r>
</w:p>
<w:p>
<w:pPr><w:pStyle w:val="Normal"/></w:pPr>
<w:r><w:t xml:space="preserve">to the ``condition of Airy,&apos;&apos; i.e. tan w&apos;/ tan w= a</w:t></w:r>
</w:p>
<w:p>
<w:pPr><w:pStyle w:val="Normal"/></w:pPr>
<w:r><w:t xml:space="preserve">constant.  This simple relation (see Camb.  Phil.  Trans.,</w:t></w:r>
</w:p>
<w:p>
<w:pPr><w:pStyle w:val="Normal"/></w:pPr>
<w:r><w:t xml:space="preserve">1830, 3, p. 1) is fulfilled in all systems which are symmetrical</w:t></w:r>
</w:p>
<w:p>
<w:pPr><w:pStyle w:val="Normal"/></w:pPr>
<w:r><w:t xml:space="preserve">with respect to their diaphragm (briefly named ``symmetrical</w:t></w:r>
</w:p>
<w:p>
<w:pPr><w:pStyle w:val="Normal"/></w:pPr>
<w:r><w:t xml:space="preserve">or holosymmetrical objectives&apos;&apos;), or which consist of two like,</w:t></w:r>
</w:p>
<w:p>
<w:pPr><w:pStyle w:val="Normal"/></w:pPr>
<w:r><w:t xml:space="preserve">but different-sized, components, placed from the diaphragm</w:t></w:r>
</w:p>
<w:p>
<w:pPr><w:pStyle w:val="Normal"/></w:pPr>
<w:r><w:t xml:space="preserve">in the ratio of their size, and presenting the same curvature</w:t></w:r>
</w:p>
<w:p>
<w:pPr><w:pStyle w:val="Normal"/></w:pPr>
<w:r><w:t xml:space="preserve">to it (hemisymmetrical objectives); in these systems tan</w:t></w:r>
</w:p>
<w:p>
<w:pPr><w:pStyle w:val="Normal"/></w:pPr>
<w:r><w:t xml:space="preserve">w&apos; / tan w = 1. The constancy of a&apos;/a necessary for</w:t></w:r>
</w:p>
<w:p>
<w:pPr><w:pStyle w:val="Normal"/></w:pPr>
<w:r><w:t xml:space="preserve">this relation to hold was pointed out by R. H. Bow (Brit.</w:t></w:r>
</w:p>
<w:p>
<w:pPr><w:pStyle w:val="Normal"/></w:pPr>
<w:r><w:t xml:space="preserve">Journ.  Photog., 1861), and Thomas Sutton (Photographic</w:t></w:r>
</w:p>
<w:p>
<w:pPr><w:pStyle w:val="Normal"/></w:pPr>
<w:r><w:t xml:space="preserve">Notes, 1862); it has been treated by O. Lummer and by M. von</w:t></w:r>
</w:p>
<w:p>
<w:pPr><w:pStyle w:val="Normal"/></w:pPr>
<w:r><w:t xml:space="preserve">Rohr (Zeit. f.  Instrumentenk., 1897, 17, and 1898, 18, p. 4).</w:t></w:r>
</w:p>
<w:p>
<w:pPr><w:pStyle w:val="Normal"/></w:pPr>
<w:r><w:t xml:space="preserve">It requires the middle of the aperture stop to be reproduced in</w:t></w:r>
</w:p>
<w:p>
<w:pPr><w:pStyle w:val="Normal"/></w:pPr>
<w:r><w:t xml:space="preserve">the centres of the entrance and exit pupils without spherical</w:t></w:r>
</w:p>
<w:p>
<w:pPr><w:pStyle w:val="Normal"/></w:pPr>
<w:r><w:t xml:space="preserve">aberration.  M. von Rohr showed that for systems fulfilling</w:t></w:r>
</w:p>
<w:p>
<w:pPr><w:pStyle w:val="Normal"/></w:pPr>
<w:r><w:t xml:space="preserve">neither the Airy nor the Bow-Sutton condition, the ratio a&apos;</w:t></w:r>
</w:p>
<w:p>
<w:pPr><w:pStyle w:val="Normal"/></w:pPr>
<w:r><w:t xml:space="preserve">tan w&apos;/a tan w will be constant for one distance of the</w:t></w:r>
</w:p>
<w:p>
<w:pPr><w:pStyle w:val="Normal"/></w:pPr>
<w:r><w:t xml:space="preserve">object.  This combined condition is exactly fulfilled</w:t></w:r>
</w:p>
<w:p>
<w:pPr><w:pStyle w:val="Normal"/></w:pPr>
<w:r><w:t xml:space="preserve">by holosymmetrical objectives reproducing with the scale</w:t></w:r>
</w:p>
<w:p>
<w:pPr><w:pStyle w:val="Normal"/></w:pPr>
<w:r><w:t xml:space="preserve">1, and by hemisymmetrical, if the scale of reproduction</w:t></w:r>
</w:p>
<w:p>
<w:pPr><w:pStyle w:val="Normal"/></w:pPr>
<w:r><w:t xml:space="preserve">be equal to the ratio of the sizes of the two components.</w:t></w:r>
</w:p>
<w:p>
<w:pPr><w:pStyle w:val="Normal"/></w:pPr>
<w:r><w:t xml:space="preserve">Analytic Treatment of Aberrations.---The preceding review</w:t></w:r>
</w:p>
<w:p>
<w:pPr><w:pStyle w:val="Normal"/></w:pPr>
<w:r><w:t xml:space="preserve">of the several errors of reproduction belongs to the ``Abbe</w:t></w:r>
</w:p>
<w:p>
<w:pPr><w:pStyle w:val="Normal"/></w:pPr>
<w:r><w:t xml:space="preserve">theory of aberrations,&apos;&apos; in which definite aberrations are</w:t></w:r>
</w:p>
<w:p>
<w:pPr><w:pStyle w:val="Normal"/></w:pPr>
<w:r><w:t xml:space="preserve">discussed separately; it is well suited to practical needs, for</w:t></w:r>
</w:p>
<w:p>
<w:pPr><w:pStyle w:val="Normal"/></w:pPr>
<w:r><w:t xml:space="preserve">in the construction of an optical instrument certain errors are</w:t></w:r>
</w:p>
<w:p>
<w:pPr><w:pStyle w:val="Normal"/></w:pPr>
<w:r><w:t xml:space="preserve">sought to be eliminated, the selection of which is justified by</w:t></w:r>
</w:p>
<w:p>
<w:pPr><w:pStyle w:val="Normal"/></w:pPr>
<w:r><w:t xml:space="preserve">experience.  In the mathematical sense, however, this selection</w:t></w:r>
</w:p>
<w:p>
<w:pPr><w:pStyle w:val="Normal"/></w:pPr>
<w:r><w:t xml:space="preserve">is arbitrary; the reproduction of a finite object with a finite</w:t></w:r>
</w:p>
<w:p>
<w:pPr><w:pStyle w:val="Normal"/></w:pPr>
<w:r><w:t xml:space="preserve">aperture entails, in all probability, an infinite number of</w:t></w:r>
</w:p>
<w:p>
<w:pPr><w:pStyle w:val="Normal"/></w:pPr>
<w:r><w:t xml:space="preserve">aberrations.  This number is only finite if the object and</w:t></w:r>
</w:p>
<w:p>
<w:pPr><w:pStyle w:val="Normal"/></w:pPr>
<w:r><w:t xml:space="preserve">aperture are assumed to be ``infinitely small of a certain</w:t></w:r>
</w:p>
<w:p>
<w:pPr><w:pStyle w:val="Normal"/></w:pPr>
<w:r><w:t xml:space="preserve">order&apos;&apos;; and with each order of infinite smallness, i.e. with</w:t></w:r>
</w:p>
<w:p>
<w:pPr><w:pStyle w:val="Normal"/></w:pPr>
<w:r><w:t xml:space="preserve">each degree of approximation to reality (to finite objects and</w:t></w:r>
</w:p>
<w:p>
<w:pPr><w:pStyle w:val="Normal"/></w:pPr>
<w:r><w:t xml:space="preserve">apertures), a certain number of aberrations is associated.  This</w:t></w:r>
</w:p>
<w:p>
<w:pPr><w:pStyle w:val="Normal"/></w:pPr>
<w:r><w:t xml:space="preserve">connexion is only supplied by theories which treat aberrations</w:t></w:r>
</w:p>
<w:p>
<w:pPr><w:pStyle w:val="Normal"/></w:pPr>
<w:r><w:t xml:space="preserve">generally and analytically by means of indefinite series.</w:t></w:r>
</w:p>
<w:p>
<w:pPr><w:pStyle w:val="Normal"/></w:pPr>
<w:r><w:t xml:space="preserve">A ray proceeding from an object point O (fig. 9) can be defined</w:t></w:r>
</w:p>
<w:p>
<w:pPr><w:pStyle w:val="Normal"/></w:pPr>
<w:r><w:t xml:space="preserve">by the co-ordinates (x, e).  Of this point O in an object</w:t></w:r>
</w:p>
<w:p>
<w:pPr><w:pStyle w:val="Normal"/></w:pPr>
<w:r><w:t xml:space="preserve">plane I, at right angles to the axis, and two other co-ordinates</w:t></w:r>
</w:p>
<w:p>
<w:pPr><w:pStyle w:val="Normal"/></w:pPr>
<w:r><w:t xml:space="preserve">(x, y), the point in which the ray intersects the entrance</w:t></w:r>
</w:p>
<w:p>
<w:pPr><w:pStyle w:val="Normal"/></w:pPr>
<w:r><w:t xml:space="preserve">pupil, i.e. the plane II. Similarly the corresponding image</w:t></w:r>
</w:p>
<w:p>
<w:pPr><w:pStyle w:val="Normal"/></w:pPr>
<w:r><w:t xml:space="preserve">ray may be defined by the points (x&apos;, e&apos;), and (x&apos;,</w:t></w:r>
</w:p>
<w:p>
<w:pPr><w:pStyle w:val="Normal"/></w:pPr>
<w:r><w:t xml:space="preserve">y&apos;), in the planes I&apos; and II&apos;. The origins of these four</w:t></w:r>
</w:p>
<w:p>
<w:pPr><w:pStyle w:val="Normal"/></w:pPr>
<w:r><w:t xml:space="preserve">plane co-ordinate systems may be collinear with the axis</w:t></w:r>
</w:p>
<w:p>
<w:pPr><w:pStyle w:val="Normal"/></w:pPr>
<w:r><w:t xml:space="preserve">of the optical system; and the corresponding axes may be</w:t></w:r>
</w:p>
<w:p>
<w:pPr><w:pStyle w:val="Normal"/></w:pPr>
<w:r><w:t xml:space="preserve">parallel.  Each of the four co-ordinates x&apos;, e&apos;, x&apos;, y&apos;</w:t></w:r>
</w:p>
<w:p>
<w:pPr><w:pStyle w:val="Normal"/></w:pPr>
<w:r><w:t xml:space="preserve">are functions of x, e, x, y; and if it be assumed that the</w:t></w:r>
</w:p>
<w:p>
<w:pPr><w:pStyle w:val="Normal"/></w:pPr>
<w:r><w:t xml:space="preserve">field of view and the aperture be infinitely small, then x,</w:t></w:r>
</w:p>
<w:p>
<w:pPr><w:pStyle w:val="Normal"/></w:pPr>
<w:r><w:t xml:space="preserve">e, x, y are of the same order of infinitesimals; consequently</w:t></w:r>
</w:p>
<w:p>
<w:pPr><w:pStyle w:val="Normal"/></w:pPr>
<w:r><w:t xml:space="preserve">by expanding x&apos;, e&apos;, x&apos;, y&apos; in ascending powers of x,</w:t></w:r>
</w:p>
<w:p>
<w:pPr><w:pStyle w:val="Normal"/></w:pPr>
<w:r><w:t xml:space="preserve">e, x, y, series are obtained in which it is only necessary</w:t></w:r>
</w:p>
<w:p>
<w:pPr><w:pStyle w:val="Normal"/></w:pPr>
<w:r><w:t xml:space="preserve">to consider the lowest powers.  It is readily seen that if the</w:t></w:r>
</w:p>
<w:p>
<w:pPr><w:pStyle w:val="Normal"/></w:pPr>
<w:r><w:t xml:space="preserve">optical system be symmetrical, the orqins of the co-ordinate</w:t></w:r>
</w:p>
<w:p>
<w:pPr><w:pStyle w:val="Normal"/></w:pPr>
<w:r><w:t xml:space="preserve">systems collinear with the optical axis and the corresponding</w:t></w:r>
</w:p>
<w:p>
<w:pPr><w:pStyle w:val="Normal"/></w:pPr>
<w:r><w:t xml:space="preserve">axes parallel, then by changing the signs of x, e, x,</w:t></w:r>
</w:p>
<w:p>
<w:pPr><w:pStyle w:val="Normal"/></w:pPr>
<w:r><w:t xml:space="preserve">y, the values x&apos;, e&apos;, x&apos;, y&apos; must likewise change their</w:t></w:r>
</w:p>
<w:p>
<w:pPr><w:pStyle w:val="Normal"/></w:pPr>
<w:r><w:t xml:space="preserve">sign, but retain their arithmetical values; this means that the</w:t></w:r>
</w:p>
<w:p>
<w:pPr><w:pStyle w:val="Normal"/></w:pPr>
<w:r><w:t xml:space="preserve">series are restricted to odd powers of the unmarked variables.</w:t></w:r>
</w:p>
<w:p>
<w:pPr><w:pStyle w:val="Normal"/></w:pPr>
<w:r><w:t xml:space="preserve">The nature of the reproduction consists in the rays proceeding</w:t></w:r>
</w:p>
<w:p>
<w:pPr><w:pStyle w:val="Normal"/></w:pPr>
<w:r><w:t xml:space="preserve">from a point O being united in another point O&apos;; in general,</w:t></w:r>
</w:p>
<w:p>
<w:pPr><w:pStyle w:val="Normal"/></w:pPr>
<w:r><w:t xml:space="preserve">this will not be the case, for x&apos;, e&apos; vary if x, e be</w:t></w:r>
</w:p>
<w:p>
<w:pPr><w:pStyle w:val="Normal"/></w:pPr>
<w:r><w:t xml:space="preserve">constant, but x, y variable.  It may be assumed that the</w:t></w:r>
</w:p>
<w:p>
<w:pPr><w:pStyle w:val="Normal"/></w:pPr>
<w:r><w:t xml:space="preserve">planes I&apos; and II&apos; are drawn where the images of the planes</w:t></w:r>
</w:p>
<w:p>
<w:pPr><w:pStyle w:val="Heading1"/></w:pPr>
<w:r><w:t>I and II are formed by rays near the axis by the ordinary</w:t></w:r>
</w:p>
<w:p>
<w:pPr><w:pStyle w:val="Normal"/></w:pPr>
<w:r><w:t xml:space="preserve">Gaussian rules; and by an extension of these rules, not,</w:t></w:r>
</w:p>
<w:p>
<w:pPr><w:pStyle w:val="Normal"/></w:pPr>
<w:r><w:t xml:space="preserve">however, corresponding to reality, the Gauss image point</w:t></w:r>
</w:p>
<w:p>
<w:pPr><w:pStyle w:val="Normal"/></w:pPr>
<w:r><w:t xml:space="preserve">O&apos;0, with co-ordinates x&apos;0, e&apos;0, of the point O at</w:t></w:r>
</w:p>
<w:p>
<w:pPr><w:pStyle w:val="Normal"/></w:pPr>
<w:r><w:t xml:space="preserve">some distance from the axis could be constructed.  Writing</w:t></w:r>
</w:p>
<w:p>
<w:pPr><w:pStyle w:val="Normal"/></w:pPr>
<w:r><w:t xml:space="preserve">Dx&apos;=x&apos;-x&apos;0 and De&apos;=e&apos;-e&apos;0, then Dx&apos; and</w:t></w:r>
</w:p>
<w:p>
<w:pPr><w:pStyle w:val="Normal"/></w:pPr>
<w:r><w:t xml:space="preserve">De&apos; are the aberrations belonging to x, e and x, y,</w:t></w:r>
</w:p>
<w:p>
<w:pPr><w:pStyle w:val="Normal"/></w:pPr>
<w:r><w:t xml:space="preserve">and are functions of these magnitudes which, when expanded in</w:t></w:r>
</w:p>
<w:p>
<w:pPr><w:pStyle w:val="Normal"/></w:pPr>
<w:r><w:t xml:space="preserve">series, contain only odd powers, for the same reasons as given</w:t></w:r>
</w:p>
<w:p>
<w:pPr><w:pStyle w:val="Normal"/></w:pPr>
<w:r><w:t xml:space="preserve">above.  On account of the aberrations of all rays which</w:t></w:r>
</w:p>
<w:p>
<w:pPr><w:pStyle w:val="Normal"/></w:pPr>
<w:r><w:t xml:space="preserve">pass through O, a patch of light, depending in size on</w:t></w:r>
</w:p>
<w:p>
<w:pPr><w:pStyle w:val="Normal"/></w:pPr>
<w:r><w:t xml:space="preserve">the lowest powers of x, e, x, y which the aberrations</w:t></w:r>
</w:p>
<w:p>
<w:pPr><w:pStyle w:val="Normal"/></w:pPr>
<w:r><w:t xml:space="preserve">contain, will be formed in the plane I&apos;. These degrees,</w:t></w:r>
</w:p>
<w:p>
<w:pPr><w:pStyle w:val="Normal"/></w:pPr>
<w:r><w:t xml:space="preserve">named by (J. Petzval (Bericht uber die Ergebnisse einiger</w:t></w:r>
</w:p>
<w:p>
<w:pPr><w:pStyle w:val="Normal"/></w:pPr>
<w:r><w:t xml:space="preserve">dioptrischer Untersuchnungen, Buda Pesth, 1843; Akad.</w:t></w:r>
</w:p>
<w:p>
<w:pPr><w:pStyle w:val="Normal"/></w:pPr>
<w:r><w:t xml:space="preserve">Sitzber., Wien, 1857, vols. xxiv. xxvi.) ``the numerical</w:t></w:r>
</w:p>
<w:p>
<w:pPr><w:pStyle w:val="Normal"/></w:pPr>
<w:r><w:t xml:space="preserve">orders of the image,&apos;&apos; are consequently only odd powers; the</w:t></w:r>
</w:p>
<w:p>
<w:pPr><w:pStyle w:val="Normal"/></w:pPr>
<w:r><w:t xml:space="preserve">condition for the formation of an image of the mth order</w:t></w:r>
</w:p>
<w:p>
<w:pPr><w:pStyle w:val="Normal"/></w:pPr>
<w:r><w:t xml:space="preserve">is that in the series for Dx&apos; and De&apos; the coefficients</w:t></w:r>
</w:p>
<w:p>
<w:pPr><w:pStyle w:val="Normal"/></w:pPr>
<w:r><w:t xml:space="preserve">of the powers of the 3rd, 5th . . . (m-2)th degrees must</w:t></w:r>
</w:p>
<w:p>
<w:pPr><w:pStyle w:val="Normal"/></w:pPr>
<w:r><w:t xml:space="preserve">vanish.  The images of the Gauss theory being of the third</w:t></w:r>
</w:p>
<w:p>
<w:pPr><w:pStyle w:val="Normal"/></w:pPr>
<w:r><w:t xml:space="preserve">order, the next problem is to obtain an image of 5th order,</w:t></w:r>
</w:p>
<w:p>
<w:pPr><w:pStyle w:val="Normal"/></w:pPr>
<w:r><w:t xml:space="preserve">or to make the coefficients of the powers of 3rd degree</w:t></w:r>
</w:p>
<w:p>
<w:pPr><w:pStyle w:val="Normal"/></w:pPr>
<w:r><w:t xml:space="preserve">zero.  This necessitates the satisfying of five equations;</w:t></w:r>
</w:p>
<w:p>
<w:pPr><w:pStyle w:val="Normal"/></w:pPr>
<w:r><w:t xml:space="preserve">in other words, there are five alterations of the 3rd order,</w:t></w:r>
</w:p>
<w:p>
<w:pPr><w:pStyle w:val="Normal"/></w:pPr>
<w:r><w:t xml:space="preserve">the vanishing of which produces an image of the 5th order.</w:t></w:r>
</w:p>
<w:p>
<w:pPr><w:pStyle w:val="Normal"/></w:pPr>
<w:r><w:t xml:space="preserve">The expression for these coefficients in terms of the constants</w:t></w:r>
</w:p>
<w:p>
<w:pPr><w:pStyle w:val="Normal"/></w:pPr>
<w:r><w:t xml:space="preserve">of the optical system, i.e. the radii, thicknesses, refractive</w:t></w:r>
</w:p>
<w:p>
<w:pPr><w:pStyle w:val="Normal"/></w:pPr>
<w:r><w:t xml:space="preserve">indices and distances between the lenses, was solved by L.</w:t></w:r>
</w:p>
<w:p>
<w:pPr><w:pStyle w:val="Normal"/></w:pPr>
<w:r><w:t xml:space="preserve">Seidel (Astr. Nach., 1856, p. 289); in 1840, J. Petzval</w:t></w:r>
</w:p>
<w:p>
<w:pPr><w:pStyle w:val="Normal"/></w:pPr>
<w:r><w:t xml:space="preserve">constructed his portrait objective, unexcelled even at the present</w:t></w:r>
</w:p>
<w:p>
<w:pPr><w:pStyle w:val="Normal"/></w:pPr>
<w:r><w:t xml:space="preserve">day, from similar calculations, which have never been published</w:t></w:r>
</w:p>
<w:p>
<w:pPr><w:pStyle w:val="Normal"/></w:pPr>
<w:r><w:t xml:space="preserve">(see M. von Rohr, Theorie und Geschichte des photographischen</w:t></w:r>
</w:p>
<w:p>
<w:pPr><w:pStyle w:val="Normal"/></w:pPr>
<w:r><w:t xml:space="preserve">Objectivs, Berlin, 1899, p. 248).  The theory was elaborated</w:t></w:r>
</w:p>
<w:p>
<w:pPr><w:pStyle w:val="Normal"/></w:pPr>
<w:r><w:t xml:space="preserve">by S. Finterswalder (Munchen. Acad.  Abhandl., 1891,</w:t></w:r>
</w:p>
<w:p>
<w:pPr><w:pStyle w:val="Normal"/></w:pPr>
<w:r><w:t xml:space="preserve">17, p. 519), who also published a posthumous paper of Seidel</w:t></w:r>
</w:p>
<w:p>
<w:pPr><w:pStyle w:val="Normal"/></w:pPr>
<w:r><w:t xml:space="preserve">containing a short view of his work (Munchen.  Akad.</w:t></w:r>
</w:p>
<w:p>
<w:pPr><w:pStyle w:val="Normal"/></w:pPr>
<w:r><w:t xml:space="preserve">Sitrber., 1898, 28, p. 395); a simpler form was given by A.</w:t></w:r>
</w:p>
<w:p>
<w:pPr><w:pStyle w:val="Normal"/></w:pPr>
<w:r><w:t xml:space="preserve">Kerber (Beitrage zur Dioptrik, Leipzig, 1895-6-7-8-9).  A.</w:t></w:r>
</w:p>
<w:p>
<w:pPr><w:pStyle w:val="Normal"/></w:pPr>
<w:r><w:t xml:space="preserve">Konig and M. von Rohr (see M. von Rohr, Die Bilderzeugung</w:t></w:r>
</w:p>
<w:p>
<w:pPr><w:pStyle w:val="Normal"/></w:pPr>
<w:r><w:t xml:space="preserve">in optischen Instrumenten, pp. 317-323) have represented</w:t></w:r>
</w:p>
<w:p>
<w:pPr><w:pStyle w:val="Normal"/></w:pPr>
<w:r><w:t xml:space="preserve">Kerber&apos;s method, and have deduced the Seidel formulae from</w:t></w:r>
</w:p>
<w:p>
<w:pPr><w:pStyle w:val="Normal"/></w:pPr>
<w:r><w:t xml:space="preserve">geometrical considerations based on the Abbe method, and have</w:t></w:r>
</w:p>
<w:p>
<w:pPr><w:pStyle w:val="Normal"/></w:pPr>
<w:r><w:t xml:space="preserve">interpreted the analytical results geometrically (pp. 212-316).</w:t></w:r>
</w:p>
<w:p>
<w:pPr><w:pStyle w:val="Normal"/></w:pPr>
<w:r><w:t xml:space="preserve">The aberrations can also be expressed by means of the</w:t></w:r>
</w:p>
<w:p>
<w:pPr><w:pStyle w:val="Normal"/></w:pPr>
<w:r><w:t xml:space="preserve">&quot;characteristic function&apos;&apos; of the system and its differential</w:t></w:r>
</w:p>
<w:p>
<w:pPr><w:pStyle w:val="Normal"/></w:pPr>
<w:r><w:t xml:space="preserve">coefficients, instead of by the radii, &amp;c., of the lenses;</w:t></w:r>
</w:p>
<w:p>
<w:pPr><w:pStyle w:val="Normal"/></w:pPr>
<w:r><w:t xml:space="preserve">these formulae are not immediately applicable, but give,</w:t></w:r>
</w:p>
<w:p>
<w:pPr><w:pStyle w:val="Normal"/></w:pPr>
<w:r><w:t xml:space="preserve">however, the relation between the number of aberrations and the</w:t></w:r>
</w:p>
<w:p>
<w:pPr><w:pStyle w:val="Normal"/></w:pPr>
<w:r><w:t xml:space="preserve">order.  Sir William Rowan Hamilton (British Assoc.  Report,</w:t></w:r>
</w:p>
<w:p>
<w:pPr><w:pStyle w:val="Normal"/></w:pPr>
<w:r><w:t xml:space="preserve">1833, p. 360) thus derived the aberrations of the third order;</w:t></w:r>
</w:p>
<w:p>
<w:pPr><w:pStyle w:val="Normal"/></w:pPr>
<w:r><w:t xml:space="preserve">and in later times the method was pursued by Clerk Maxwell</w:t></w:r>
</w:p>
<w:p>
<w:pPr><w:pStyle w:val="Normal"/></w:pPr>
<w:r><w:t xml:space="preserve">(Proc.  London Math.  Soc., 1874--1875; (see also the treatises</w:t></w:r>
</w:p>
<w:p>
<w:pPr><w:pStyle w:val="Normal"/></w:pPr>
<w:r><w:t xml:space="preserve">of R. S. Heath and L. A. Herman), M. Thiesen (Berlin. Akad.</w:t></w:r>
</w:p>
<w:p>
<w:pPr><w:pStyle w:val="Normal"/></w:pPr>
<w:r><w:t xml:space="preserve">Sitzber., 1890, 35, p. 804), H. Bruns (Leipzig.  Math.</w:t></w:r>
</w:p>
<w:p>
<w:pPr><w:pStyle w:val="Normal"/></w:pPr>
<w:r><w:t xml:space="preserve">Phys.  Ber., 1895, 21, p. 410), and particularly successfully</w:t></w:r>
</w:p>
<w:p>
<w:pPr><w:pStyle w:val="Normal"/></w:pPr>
<w:r><w:t xml:space="preserve">by K. Schwartzschild (Gottingen.  Akad.  Abhandl., 1905,</w:t></w:r>
</w:p>
<w:p>
<w:pPr><w:pStyle w:val="Normal"/></w:pPr>
<w:r><w:t xml:space="preserve">4, No. 1), who thus discovered the aberrations of the 5th</w:t></w:r>
</w:p>
<w:p>
<w:pPr><w:pStyle w:val="Normal"/></w:pPr>
<w:r><w:t xml:space="preserve">order (of which there are nine), and possibly the shortest</w:t></w:r>
</w:p>
<w:p>
<w:pPr><w:pStyle w:val="Normal"/></w:pPr>
<w:r><w:t xml:space="preserve">proof of the practical (Seidel) formulae.  A. Gullstrand (vide</w:t></w:r>
</w:p>
<w:p>
<w:pPr><w:pStyle w:val="Normal"/></w:pPr>
<w:r><w:t xml:space="preserve">supra, and Ann. d.  Phys., 1905, 18, p. 941) founded his</w:t></w:r>
</w:p>
<w:p>
<w:pPr><w:pStyle w:val="Normal"/></w:pPr>
<w:r><w:t xml:space="preserve">theory of aberrations on the differential geometry of surfaces.</w:t></w:r>
</w:p>
<w:p>
<w:pPr><w:pStyle w:val="Normal"/></w:pPr>
<w:r><w:t xml:space="preserve">The aberrations of the third order are: (1) aberration of the</w:t></w:r>
</w:p>
<w:p>
<w:pPr><w:pStyle w:val="Normal"/></w:pPr>
<w:r><w:t xml:space="preserve">axis point; (2) aberration of points whose distance from the</w:t></w:r>
</w:p>
<w:p>
<w:pPr><w:pStyle w:val="Normal"/></w:pPr>
<w:r><w:t xml:space="preserve">axis is very small, less than of the third order---the deviation</w:t></w:r>
</w:p>
<w:p>
<w:pPr><w:pStyle w:val="Normal"/></w:pPr>
<w:r><w:t xml:space="preserve">from the sine condition and coma here fall together in one class;</w:t></w:r>
</w:p>
<w:p>
<w:pPr><w:pStyle w:val="Normal"/></w:pPr>
<w:r><w:t xml:space="preserve">(3) astigmatism; (4) curvature of the field; (5) distortion.</w:t></w:r>
</w:p>
<w:p>
<w:pPr><w:pStyle w:val="Normal"/></w:pPr>
<w:r><w:t xml:space="preserve">(1) Aberration of the third order of axis points is dealt with</w:t></w:r>
</w:p>
<w:p>
<w:pPr><w:pStyle w:val="Normal"/></w:pPr>
<w:r><w:t xml:space="preserve">in all text-books on optics.  It is important for telescope</w:t></w:r>
</w:p>
<w:p>
<w:pPr><w:pStyle w:val="Normal"/></w:pPr>
<w:r><w:t xml:space="preserve">objectives, since their apertures are so small as to permit</w:t></w:r>
</w:p>
<w:p>
<w:pPr><w:pStyle w:val="Normal"/></w:pPr>
<w:r><w:t xml:space="preserve">higher orders to be neglected.  For a single lens of very</w:t></w:r>
</w:p>
<w:p>
<w:pPr><w:pStyle w:val="Normal"/></w:pPr>
<w:r><w:t xml:space="preserve">small thickness and given power, the aberration depends upon</w:t></w:r>
</w:p>
<w:p>
<w:pPr><w:pStyle w:val="Normal"/></w:pPr>
<w:r><w:t xml:space="preserve">the ratio of the radii r:r&apos;, and is a minimum (but never</w:t></w:r>
</w:p>
<w:p>
<w:pPr><w:pStyle w:val="Normal"/></w:pPr>
<w:r><w:t xml:space="preserve">zero) for a certain value of this ratio; it varies inversely</w:t></w:r>
</w:p>
<w:p>
<w:pPr><w:pStyle w:val="Normal"/></w:pPr>
<w:r><w:t xml:space="preserve">with the refractive index (the power of the lens remaining</w:t></w:r>
</w:p>
<w:p>
<w:pPr><w:pStyle w:val="Normal"/></w:pPr>
<w:r><w:t xml:space="preserve">constant).  The total aberration of two or more very thin lenses</w:t></w:r>
</w:p>
<w:p>
<w:pPr><w:pStyle w:val="Normal"/></w:pPr>
<w:r><w:t xml:space="preserve">in contact, being the sum of the individual aberrations, can be</w:t></w:r>
</w:p>
<w:p>
<w:pPr><w:pStyle w:val="Normal"/></w:pPr>
<w:r><w:t xml:space="preserve">zero.  This is also possible if the lenses have the same algebraic</w:t></w:r>
</w:p>
<w:p>
<w:pPr><w:pStyle w:val="Normal"/></w:pPr>
<w:r><w:t xml:space="preserve">sign.  Of thin positive lenses with n=1.5, four are necessary</w:t></w:r>
</w:p>
<w:p>
<w:pPr><w:pStyle w:val="Normal"/></w:pPr>
<w:r><w:t xml:space="preserve">to correct spherical aberration of the third order.  These</w:t></w:r>
</w:p>
<w:p>
<w:pPr><w:pStyle w:val="Normal"/></w:pPr>
<w:r><w:t xml:space="preserve">systems, however, are not of great practical importance.  In</w:t></w:r>
</w:p>
<w:p>
<w:pPr><w:pStyle w:val="Normal"/></w:pPr>
<w:r><w:t xml:space="preserve">most cases, two thin lenses are combined, one of which has</w:t></w:r>
</w:p>
<w:p>
<w:pPr><w:pStyle w:val="Normal"/></w:pPr>
<w:r><w:t xml:space="preserve">just so strong a positive aberration (``under-correction,&apos;&apos;</w:t></w:r>
</w:p>
<w:p>
<w:pPr><w:pStyle w:val="Normal"/></w:pPr>
<w:r><w:t xml:space="preserve">vide supra) as the other a negative; the first must be a</w:t></w:r>
</w:p>
<w:p>
<w:pPr><w:pStyle w:val="Normal"/></w:pPr>
<w:r><w:t xml:space="preserve">positive lens and the second a negative lens; the powers,</w:t></w:r>
</w:p>
<w:p>
<w:pPr><w:pStyle w:val="Normal"/></w:pPr>
<w:r><w:t xml:space="preserve">however: may differ, so that the desired effect of the lens is</w:t></w:r>
</w:p>
<w:p>
<w:pPr><w:pStyle w:val="Normal"/></w:pPr>
<w:r><w:t xml:space="preserve">maintained.  It is generally an advantage to secure a great</w:t></w:r>
</w:p>
<w:p>
<w:pPr><w:pStyle w:val="Normal"/></w:pPr>
<w:r><w:t xml:space="preserve">refractive effect by several weaker than by one high-power</w:t></w:r>
</w:p>
<w:p>
<w:pPr><w:pStyle w:val="Normal"/></w:pPr>
<w:r><w:t xml:space="preserve">lens.  By one, and likewise by several, and even by an</w:t></w:r>
</w:p>
<w:p>
<w:pPr><w:pStyle w:val="Normal"/></w:pPr>
<w:r><w:t xml:space="preserve">infinite number of thin lenses in contact, no more than two</w:t></w:r>
</w:p>
<w:p>
<w:pPr><w:pStyle w:val="Normal"/></w:pPr>
<w:r><w:t xml:space="preserve">axis points can be reproduced without aberration of the third</w:t></w:r>
</w:p>
<w:p>
<w:pPr><w:pStyle w:val="Normal"/></w:pPr>
<w:r><w:t xml:space="preserve">order.  Freedom from aberration for two axis points, one of which</w:t></w:r>
</w:p>
<w:p>
<w:pPr><w:pStyle w:val="Normal"/></w:pPr>
<w:r><w:t xml:space="preserve">is infinitely distant, is known as ``Herschel&apos;s condition.&apos;&apos;</w:t></w:r>
</w:p>
<w:p>
<w:pPr><w:pStyle w:val="Normal"/></w:pPr>
<w:r><w:t xml:space="preserve">All these rules are valid, inasmuch as the thicknesses and</w:t></w:r>
</w:p>
<w:p>
<w:pPr><w:pStyle w:val="Normal"/></w:pPr>
<w:r><w:t xml:space="preserve">distances of the lenses are not to be taken into account.</w:t></w:r>
</w:p>
<w:p>
<w:pPr><w:pStyle w:val="Normal"/></w:pPr>
<w:r><w:t xml:space="preserve">(2) The condition for freedom from coma in the third order</w:t></w:r>
</w:p>
<w:p>
<w:pPr><w:pStyle w:val="Normal"/></w:pPr>
<w:r><w:t xml:space="preserve">is also of importance for telescope objectives; it is</w:t></w:r>
</w:p>
<w:p>
<w:pPr><w:pStyle w:val="Normal"/></w:pPr>
<w:r><w:t xml:space="preserve">known as ``Fraunhofer&apos;s condition.&apos;&apos; (4) After eliminating</w:t></w:r>
</w:p>
<w:p>
<w:pPr><w:pStyle w:val="Normal"/></w:pPr>
<w:r><w:t xml:space="preserve">the aberration On the axis, coma and astigmatism, the</w:t></w:r>
</w:p>
<w:p>
<w:pPr><w:pStyle w:val="Normal"/></w:pPr>
<w:r><w:t xml:space="preserve">relation for the flatness of the field in the third order is</w:t></w:r>
</w:p>
<w:p>
<w:pPr><w:pStyle w:val="Normal"/></w:pPr>
<w:r><w:t xml:space="preserve">expressed by the ``Petzval equation,&apos;&apos; S1/r(n&apos;-n) =</w:t></w:r>
</w:p>
<w:p>
<w:pPr><w:pStyle w:val="Normal"/></w:pPr>
<w:r><w:t xml:space="preserve">0, where r is the radius of a refracting surface, n</w:t></w:r>
</w:p>
<w:p>
<w:pPr><w:pStyle w:val="Normal"/></w:pPr>
<w:r><w:t xml:space="preserve">and n&apos; the refractive indices of the neighbouring media,</w:t></w:r>
</w:p>
<w:p>
<w:pPr><w:pStyle w:val="Normal"/></w:pPr>
<w:r><w:t xml:space="preserve">and S the sign of summation for all refracting surfaces.</w:t></w:r>
</w:p>
<w:p>
<w:pPr><w:pStyle w:val="Normal"/></w:pPr>
<w:r><w:t xml:space="preserve">Practical Elimination of Aberrations.---The existence of</w:t></w:r>
</w:p>
<w:p>
<w:pPr><w:pStyle w:val="Normal"/></w:pPr>
<w:r><w:t xml:space="preserve">an optical system, which reproduces absolutely a finite plane</w:t></w:r>
</w:p>
<w:p>
<w:pPr><w:pStyle w:val="Normal"/></w:pPr>
<w:r><w:t xml:space="preserve">on another with pencils of finite aperture, is doubtful; but</w:t></w:r>
</w:p>
<w:p>
<w:pPr><w:pStyle w:val="Normal"/></w:pPr>
<w:r><w:t xml:space="preserve">practical systems solve this problem with an accuracy which</w:t></w:r>
</w:p>
<w:p>
<w:pPr><w:pStyle w:val="Normal"/></w:pPr>
<w:r><w:t xml:space="preserve">mostly suffices for the special purpose of each species of</w:t></w:r>
</w:p>
<w:p>
<w:pPr><w:pStyle w:val="Normal"/></w:pPr>
<w:r><w:t xml:space="preserve">instrument.  The problem of finding a system which reproduces</w:t></w:r>
</w:p>
<w:p>
<w:pPr><w:pStyle w:val="Normal"/></w:pPr>
<w:r><w:t xml:space="preserve">a given object upon a given plane with given magnification</w:t></w:r>
</w:p>
<w:p>
<w:pPr><w:pStyle w:val="Normal"/></w:pPr>
<w:r><w:t xml:space="preserve">(in so far as aberrations must be taken into account) could</w:t></w:r>
</w:p>
<w:p>
<w:pPr><w:pStyle w:val="Normal"/></w:pPr>
<w:r><w:t xml:space="preserve">be dealt with by means of the approximation theory; in most</w:t></w:r>
</w:p>
<w:p>
<w:pPr><w:pStyle w:val="Normal"/></w:pPr>
<w:r><w:t xml:space="preserve">cases, however, the analytical difficulties are too groat.</w:t></w:r>
</w:p>
<w:p>
<w:pPr><w:pStyle w:val="Normal"/></w:pPr>
<w:r><w:t xml:space="preserve">Solutions, however, have been obtained in special cases (see</w:t></w:r>
</w:p>
<w:p>
<w:pPr><w:pStyle w:val="Normal"/></w:pPr>
<w:r><w:t xml:space="preserve">A. Konig in M. von Rohr&apos;s Die Bilderzeugung, p. 373; K.</w:t></w:r>
</w:p>
<w:p>
<w:pPr><w:pStyle w:val="Normal"/></w:pPr>
<w:r><w:t xml:space="preserve">Schwarzschild, Gottingen.  Akad. Abhandl., 1905, 4, Nos.</w:t></w:r>
</w:p>
<w:p>
<w:pPr><w:pStyle w:val="Normal"/></w:pPr>
<w:r><w:t xml:space="preserve">2 and 3). At the present time constructors almost always employ</w:t></w:r>
</w:p>
<w:p>
<w:pPr><w:pStyle w:val="Normal"/></w:pPr>
<w:r><w:t xml:space="preserve">the inverse method: they compose a system from certain, often</w:t></w:r>
</w:p>
<w:p>
<w:pPr><w:pStyle w:val="Normal"/></w:pPr>
<w:r><w:t xml:space="preserve">quite personal experiences, and test, by the trigonometrical</w:t></w:r>
</w:p>
<w:p>
<w:pPr><w:pStyle w:val="Normal"/></w:pPr>
<w:r><w:t xml:space="preserve">calculation of the paths of several rays, whether the system</w:t></w:r>
</w:p>
<w:p>
<w:pPr><w:pStyle w:val="Normal"/></w:pPr>
<w:r><w:t xml:space="preserve">gives the desired reproduction (examples are given in A.</w:t></w:r>
</w:p>
<w:p>
<w:pPr><w:pStyle w:val="Normal"/></w:pPr>
<w:r><w:t xml:space="preserve">Gleichen, Lehrbuch der geometrischen Optik, Leipzig and Berlin,</w:t></w:r>
</w:p>
<w:p>
<w:pPr><w:pStyle w:val="Normal"/></w:pPr>
<w:r><w:t xml:space="preserve">1902).  The radii, thicknesses and distances are continually</w:t></w:r>
</w:p>
<w:p>
<w:pPr><w:pStyle w:val="Normal"/></w:pPr>
<w:r><w:t xml:space="preserve">altered until the errors of the image become sufficiently</w:t></w:r>
</w:p>
<w:p>
<w:pPr><w:pStyle w:val="Normal"/></w:pPr>
<w:r><w:t xml:space="preserve">small.  By this method only certain errors of reproduction are</w:t></w:r>
</w:p>
<w:p>
<w:pPr><w:pStyle w:val="Normal"/></w:pPr>
<w:r><w:t xml:space="preserve">investigated, especially individual members, or all, of those named</w:t></w:r>
</w:p>
<w:p>
<w:pPr><w:pStyle w:val="Normal"/></w:pPr>
<w:r><w:t xml:space="preserve">above.  The analytical approximation theory is often employed</w:t></w:r>
</w:p>
<w:p>
<w:pPr><w:pStyle w:val="Normal"/></w:pPr>
<w:r><w:t xml:space="preserve">provisionally, since its accuracy does not generally suffice.</w:t></w:r>
</w:p>
<w:p>
<w:pPr><w:pStyle w:val="Normal"/></w:pPr>
<w:r><w:t xml:space="preserve">In order to render spherical aberration and the deviation from</w:t></w:r>
</w:p>
<w:p>
<w:pPr><w:pStyle w:val="Normal"/></w:pPr>
<w:r><w:t xml:space="preserve">the sine condition small throughout the whole aperture, there</w:t></w:r>
</w:p>
<w:p>
<w:pPr><w:pStyle w:val="Normal"/></w:pPr>
<w:r><w:t xml:space="preserve">is given to a ray with a finite angle of aperture u* (width</w:t></w:r>
</w:p>
<w:p>
<w:pPr><w:pStyle w:val="Normal"/></w:pPr>
<w:r><w:t xml:space="preserve">infinitely distant objects: with a finite height of incidence</w:t></w:r>
</w:p>
<w:p>
<w:pPr><w:pStyle w:val="Normal"/></w:pPr>
<w:r><w:t xml:space="preserve">h*) the same distance of intersection, and the same sine</w:t></w:r>
</w:p>
<w:p>
<w:pPr><w:pStyle w:val="Normal"/></w:pPr>
<w:r><w:t xml:space="preserve">ratio as to one neighbouring the axis (u* or h* may not be</w:t></w:r>
</w:p>
<w:p>
<w:pPr><w:pStyle w:val="Normal"/></w:pPr>
<w:r><w:t xml:space="preserve">much smaller than the largest aperture U or H to be used in the</w:t></w:r>
</w:p>
<w:p>
<w:pPr><w:pStyle w:val="Normal"/></w:pPr>
<w:r><w:t xml:space="preserve">system).  The rays with an angle of aperture smaller than</w:t></w:r>
</w:p>
<w:p>
<w:pPr><w:pStyle w:val="Normal"/></w:pPr>
<w:r><w:t xml:space="preserve">u* would not have the same distance of intersection and</w:t></w:r>
</w:p>
<w:p>
<w:pPr><w:pStyle w:val="Normal"/></w:pPr>
<w:r><w:t xml:space="preserve">the same sine ratio; these deviations are called ``zones,&apos;&apos;</w:t></w:r>
</w:p>
<w:p>
<w:pPr><w:pStyle w:val="Normal"/></w:pPr>
<w:r><w:t xml:space="preserve">and the constructor endeavours to reduce these to a minimum.</w:t></w:r>
</w:p>
<w:p>
<w:pPr><w:pStyle w:val="Normal"/></w:pPr>
<w:r><w:t xml:space="preserve">The same holds for the errors depending upon the angle of</w:t></w:r>
</w:p>
<w:p>
<w:pPr><w:pStyle w:val="Normal"/></w:pPr>
<w:r><w:t xml:space="preserve">the field of view, w: astigmatism, curvature of field</w:t></w:r>
</w:p>
<w:p>
<w:pPr><w:pStyle w:val="Normal"/></w:pPr>
<w:r><w:t xml:space="preserve">and distortion are eliminated for a definite value, w*,</w:t></w:r>
</w:p>
<w:p>
<w:pPr><w:pStyle w:val="Normal"/></w:pPr>
<w:r><w:t xml:space="preserve">``zones of astigmatism, curvature of field and distortion,&apos;</w:t></w:r>
</w:p>
<w:p>
<w:pPr><w:pStyle w:val="Normal"/></w:pPr>
<w:r><w:t xml:space="preserve">attend smaller values of w.  The practical optician names</w:t></w:r>
</w:p>
<w:p>
<w:pPr><w:pStyle w:val="Normal"/></w:pPr>
<w:r><w:t xml:space="preserve">such systems: ``corrected for the angle of aperture u*</w:t></w:r>
</w:p>
<w:p>
<w:pPr><w:pStyle w:val="Normal"/></w:pPr>
<w:r><w:t xml:space="preserve">(the height of incidence h*) or the angle of field of</w:t></w:r>
</w:p>
<w:p>
<w:pPr><w:pStyle w:val="Normal"/></w:pPr>
<w:r><w:t xml:space="preserve">view w*.&apos;&apos; Spherical aberration and changes of the sine</w:t></w:r>
</w:p>
<w:p>
<w:pPr><w:pStyle w:val="Normal"/></w:pPr>
<w:r><w:t xml:space="preserve">ratios are often represented graphically as functions of the</w:t></w:r>
</w:p>
<w:p>
<w:pPr><w:pStyle w:val="Normal"/></w:pPr>
<w:r><w:t xml:space="preserve">aperture, in the same way as the deviations of two astigmatic</w:t></w:r>
</w:p>
<w:p>
<w:pPr><w:pStyle w:val="Normal"/></w:pPr>
<w:r><w:t xml:space="preserve">image surfaces of the image plane of the axis point are</w:t></w:r>
</w:p>
<w:p>
<w:pPr><w:pStyle w:val="Normal"/></w:pPr>
<w:r><w:t xml:space="preserve">represented as functions of the angles of the field of view.</w:t></w:r>
</w:p>
<w:p>
<w:pPr><w:pStyle w:val="Normal"/></w:pPr>
<w:r><w:t xml:space="preserve">The final form of a practical system consequently rests</w:t></w:r>
</w:p>
<w:p>
<w:pPr><w:pStyle w:val="Normal"/></w:pPr>
<w:r><w:t xml:space="preserve">on compromise; enlargement of the aperture results in</w:t></w:r>
</w:p>
<w:p>
<w:pPr><w:pStyle w:val="Normal"/></w:pPr>
<w:r><w:t xml:space="preserve">a diminution of the available field of view, and vice</w:t></w:r>
</w:p>
<w:p>
<w:pPr><w:pStyle w:val="Normal"/></w:pPr>
<w:r><w:t xml:space="preserve">versa.  The following may be regarded as typical:--(1)</w:t></w:r>
</w:p>
<w:p>
<w:pPr><w:pStyle w:val="Normal"/></w:pPr>
<w:r><w:t xml:space="preserve">Largest aperture; necessary corrections are--for the axis</w:t></w:r>
</w:p>
<w:p>
<w:pPr><w:pStyle w:val="Normal"/></w:pPr>
<w:r><w:t xml:space="preserve">point, and sine condition; errors of the field of view are</w:t></w:r>
</w:p>
<w:p>
<w:pPr><w:pStyle w:val="Normal"/></w:pPr>
<w:r><w:t xml:space="preserve">almost disregarded; example-- high-power microscope objectives.</w:t></w:r>
</w:p>
<w:p>
<w:pPr><w:pStyle w:val="Normal"/></w:pPr>
<w:r><w:t xml:space="preserve">(2) Largest field of view; necessary corrections are--for</w:t></w:r>
</w:p>
<w:p>
<w:pPr><w:pStyle w:val="Normal"/></w:pPr>
<w:r><w:t xml:space="preserve">astigmatism, curvature of field and distortion; errors of</w:t></w:r>
</w:p>
<w:p>
<w:pPr><w:pStyle w:val="Normal"/></w:pPr>
<w:r><w:t xml:space="preserve">the aperture only slightly regarded; examples--photographic</w:t></w:r>
</w:p>
<w:p>
<w:pPr><w:pStyle w:val="Normal"/></w:pPr>
<w:r><w:t xml:space="preserve">widest angle objectives and oculars.  Between these extreme</w:t></w:r>
</w:p>
<w:p>
<w:pPr><w:pStyle w:val="Normal"/></w:pPr>
<w:r><w:t xml:space="preserve">examples stands the ordinary photographic objective: the</w:t></w:r>
</w:p>
<w:p>
<w:pPr><w:pStyle w:val="Normal"/></w:pPr>
<w:r><w:t xml:space="preserve">portrait objective is corrected more with regard to aperture;</w:t></w:r>
</w:p>
<w:p>
<w:pPr><w:pStyle w:val="Normal"/></w:pPr>
<w:r><w:t xml:space="preserve">objectives for groups more with regard to the field of</w:t></w:r>
</w:p>
<w:p>
<w:pPr><w:pStyle w:val="Normal"/></w:pPr>
<w:r><w:t xml:space="preserve">view. (3) Telescope objectives have usually not very large</w:t></w:r>
</w:p>
<w:p>
<w:pPr><w:pStyle w:val="Normal"/></w:pPr>
<w:r><w:t xml:space="preserve">apertures, and small fields of view; they should, however,</w:t></w:r>
</w:p>
<w:p>
<w:pPr><w:pStyle w:val="Normal"/></w:pPr>
<w:r><w:t xml:space="preserve">possess zones as small as possible, and be built in the simplest</w:t></w:r>
</w:p>
<w:p>
<w:pPr><w:pStyle w:val="Normal"/></w:pPr>
<w:r><w:t xml:space="preserve">manner.  They are the best for analytical computation.</w:t></w:r>
</w:p>
<w:p>
<w:pPr><w:pStyle w:val="Normal"/></w:pPr>
<w:r><w:t xml:space="preserve">(b) Chromatic or Colour Aberration. In optical systems</w:t></w:r>
</w:p>
<w:p>
<w:pPr><w:pStyle w:val="Normal"/></w:pPr>
<w:r><w:t xml:space="preserve">composed of lenses, the position, magnitude and errors</w:t></w:r>
</w:p>
<w:p>
<w:pPr><w:pStyle w:val="Normal"/></w:pPr>
<w:r><w:t xml:space="preserve">of the image depend upon the refractive indices of the</w:t></w:r>
</w:p>
<w:p>
<w:pPr><w:pStyle w:val="Normal"/></w:pPr>
<w:r><w:t xml:space="preserve">glass employed (see LENS, and above, ``Monochromatic</w:t></w:r>
</w:p>
<w:p>
<w:pPr><w:pStyle w:val="Normal"/></w:pPr>
<w:r><w:t xml:space="preserve">Aberration&apos;&apos;).  Since the index of refraction varies with</w:t></w:r>
</w:p>
<w:p>
<w:pPr><w:pStyle w:val="Normal"/></w:pPr>
<w:r><w:t xml:space="preserve">the colour or wave length of the light (see DISPERSION),</w:t></w:r>
</w:p>
<w:p>
<w:pPr><w:pStyle w:val="Normal"/></w:pPr>
<w:r><w:t xml:space="preserve">it follows that a system of lenses (uncorrected) projects</w:t></w:r>
</w:p>
<w:p>
<w:pPr><w:pStyle w:val="Normal"/></w:pPr>
<w:r><w:t xml:space="preserve">images of different colours in somewhat different places</w:t></w:r>
</w:p>
<w:p>
<w:pPr><w:pStyle w:val="Normal"/></w:pPr>
<w:r><w:t xml:space="preserve">and sizes and with different aberrations; i.e. there are</w:t></w:r>
</w:p>
<w:p>
<w:pPr><w:pStyle w:val="Normal"/></w:pPr>
<w:r><w:t xml:space="preserve">``chromatic differences&apos;&apos; of the distances of intersection,</w:t></w:r>
</w:p>
<w:p>
<w:pPr><w:pStyle w:val="Normal"/></w:pPr>
<w:r><w:t xml:space="preserve">of magnifications, and of monochromatic aberrations.  If</w:t></w:r>
</w:p>
<w:p>
<w:pPr><w:pStyle w:val="Normal"/></w:pPr>
<w:r><w:t xml:space="preserve">mixed light be employed (e.g. white light) all these images</w:t></w:r>
</w:p>
<w:p>
<w:pPr><w:pStyle w:val="Normal"/></w:pPr>
<w:r><w:t xml:space="preserve">are formed; and since they are ail ultimately intercepted</w:t></w:r>
</w:p>
<w:p>
<w:pPr><w:pStyle w:val="Normal"/></w:pPr>
<w:r><w:t xml:space="preserve">by a plane (the retina of the eye, a focussing screen of a</w:t></w:r>
</w:p>
<w:p>
<w:pPr><w:pStyle w:val="Normal"/></w:pPr>
<w:r><w:t xml:space="preserve">camera, &amp;c.), they cause a confusion, named chromatic</w:t></w:r>
</w:p>
<w:p>
<w:pPr><w:pStyle w:val="Normal"/></w:pPr>
<w:r><w:t xml:space="preserve">aberration; for instance, instead of a white margin on a dark</w:t></w:r>
</w:p>
<w:p>
<w:pPr><w:pStyle w:val="Normal"/></w:pPr>
<w:r><w:t xml:space="preserve">background, there is perceived a coloured margin, or narrow</w:t></w:r>
</w:p>
<w:p>
<w:pPr><w:pStyle w:val="Normal"/></w:pPr>
<w:r><w:t xml:space="preserve">spectrum.  The absence of this error is termed achromatism,</w:t></w:r>
</w:p>
<w:p>
<w:pPr><w:pStyle w:val="Normal"/></w:pPr>
<w:r><w:t xml:space="preserve">and an optical system so corrected is termed achromatic.</w:t></w:r>
</w:p>
<w:p>
<w:pPr><w:pStyle w:val="Normal"/></w:pPr>
<w:r><w:t xml:space="preserve">A system is said to be ``chromatically under-corrected&apos;&apos;</w:t></w:r>
</w:p>
<w:p>
<w:pPr><w:pStyle w:val="Normal"/></w:pPr>
<w:r><w:t xml:space="preserve">when it shows the same kind of chromatic error as a thin</w:t></w:r>
</w:p>
<w:p>
<w:pPr><w:pStyle w:val="Normal"/></w:pPr>
<w:r><w:t xml:space="preserve">positive lens, otherwise it is said to be ``over-corrected.&apos;&apos;</w:t></w:r>
</w:p>
<w:p>
<w:pPr><w:pStyle w:val="Normal"/></w:pPr>
<w:r><w:t xml:space="preserve">If, in the first place, monochromatic aberrations be neglected</w:t></w:r>
</w:p>
<w:p>
<w:pPr><w:pStyle w:val="Normal"/></w:pPr>
<w:r><w:t xml:space="preserve">---in other words, the Gaussian theory be accepted---then</w:t></w:r>
</w:p>
<w:p>
<w:pPr><w:pStyle w:val="Normal"/></w:pPr>
<w:r><w:t xml:space="preserve">every reproduction is determined by the positions of the focal</w:t></w:r>
</w:p>
<w:p>
<w:pPr><w:pStyle w:val="Normal"/></w:pPr>
<w:r><w:t xml:space="preserve">planes, and the magnitude of the focal lengths, or if the focal</w:t></w:r>
</w:p>
<w:p>
<w:pPr><w:pStyle w:val="Normal"/></w:pPr>
<w:r><w:t xml:space="preserve">lengths, as ordinarily happens, be equal, by three constants of</w:t></w:r>
</w:p>
<w:p>
<w:pPr><w:pStyle w:val="Normal"/></w:pPr>
<w:r><w:t xml:space="preserve">reproduction.  These constants are determined by the data</w:t></w:r>
</w:p>
<w:p>
<w:pPr><w:pStyle w:val="Normal"/></w:pPr>
<w:r><w:t xml:space="preserve">of the system (radii, thicknesses, distances, indices, &amp;c.,</w:t></w:r>
</w:p>
<w:p>
<w:pPr><w:pStyle w:val="Normal"/></w:pPr>
<w:r><w:t xml:space="preserve">of the lenses); therefore their dependence on the refractive</w:t></w:r>
</w:p>
<w:p>
<w:pPr><w:pStyle w:val="Normal"/></w:pPr>
<w:r><w:t xml:space="preserve">index, and consequently on the colour, are calculable (the</w:t></w:r>
</w:p>
<w:p>
<w:pPr><w:pStyle w:val="Normal"/></w:pPr>
<w:r><w:t xml:space="preserve">formulae are given in Czapski-Eppenstein, Grundzuge der</w:t></w:r>
</w:p>
<w:p>
<w:pPr><w:pStyle w:val="Normal"/></w:pPr>
<w:r><w:t xml:space="preserve">Theorie der optischen Instrumente (1903, p. 166).  The</w:t></w:r>
</w:p>
<w:p>
<w:pPr><w:pStyle w:val="Normal"/></w:pPr>
<w:r><w:t xml:space="preserve">refractive indices for different wave lengths must be known</w:t></w:r>
</w:p>
<w:p>
<w:pPr><w:pStyle w:val="Normal"/></w:pPr>
<w:r><w:t xml:space="preserve">for each kind of glass made use of.  In this manner the</w:t></w:r>
</w:p>
<w:p>
<w:pPr><w:pStyle w:val="Normal"/></w:pPr>
<w:r><w:t xml:space="preserve">conditions are maintained that any one constant of reproduction</w:t></w:r>
</w:p>
<w:p>
<w:pPr><w:pStyle w:val="Normal"/></w:pPr>
<w:r><w:t xml:space="preserve">is equal for two different colours, i.e. this constant is</w:t></w:r>
</w:p>
<w:p>
<w:pPr><w:pStyle w:val="Normal"/></w:pPr>
<w:r><w:t xml:space="preserve">achromatized.  For example, it is possible, with one thick</w:t></w:r>
</w:p>
<w:p>
<w:pPr><w:pStyle w:val="Normal"/></w:pPr>
<w:r><w:t xml:space="preserve">lens in air, to achromatize the position of a focal plane of</w:t></w:r>
</w:p>
<w:p>
<w:pPr><w:pStyle w:val="Normal"/></w:pPr>
<w:r><w:t xml:space="preserve">the magnitude of the focal length.  If all three constants</w:t></w:r>
</w:p>
<w:p>
<w:pPr><w:pStyle w:val="Normal"/></w:pPr>
<w:r><w:t xml:space="preserve">of reproduction be achromatized, then the Gaussian image for</w:t></w:r>
</w:p>
<w:p>
<w:pPr><w:pStyle w:val="Normal"/></w:pPr>
<w:r><w:t xml:space="preserve">all distances of objects is the same for the two colours,</w:t></w:r>
</w:p>
<w:p>
<w:pPr><w:pStyle w:val="Normal"/></w:pPr>
<w:r><w:t xml:space="preserve">and the system is said to be in ``stable achromatism.&apos;&apos;</w:t></w:r>
</w:p>
<w:p>
<w:pPr><w:pStyle w:val="Normal"/></w:pPr>
<w:r><w:t xml:space="preserve">In practice it is more advantageous (after Abbe) to determine</w:t></w:r>
</w:p>
<w:p>
<w:pPr><w:pStyle w:val="Normal"/></w:pPr>
<w:r><w:t xml:space="preserve">the chromatic aberration (for instance, that of the distance</w:t></w:r>
</w:p>
<w:p>
<w:pPr><w:pStyle w:val="Normal"/></w:pPr>
<w:r><w:t xml:space="preserve">of intersection) for a fixed position of the object, and</w:t></w:r>
</w:p>
<w:p>
<w:pPr><w:pStyle w:val="Normal"/></w:pPr>
<w:r><w:t xml:space="preserve">express it by a sum in which each component conlins the amount</w:t></w:r>
</w:p>
<w:p>
<w:pPr><w:pStyle w:val="Normal"/></w:pPr>
<w:r><w:t xml:space="preserve">due to each refracting surface (see Czapski-Eppenstein, op.</w:t></w:r>
</w:p>
<w:p>
<w:pPr><w:pStyle w:val="Normal"/></w:pPr>
<w:r><w:t xml:space="preserve">cit. p. 170; A. Konig in M. v.  Rohr&apos;s collection, Die</w:t></w:r>
</w:p>
<w:p>
<w:pPr><w:pStyle w:val="Normal"/></w:pPr>
<w:r><w:t xml:space="preserve">Bilderzeugung, p. 340).  In a plane containing the image point</w:t></w:r>
</w:p>
<w:p>
<w:pPr><w:pStyle w:val="Normal"/></w:pPr>
<w:r><w:t xml:space="preserve">of one colour, another colour produces a disk of confusion;</w:t></w:r>
</w:p>
<w:p>
<w:pPr><w:pStyle w:val="Normal"/></w:pPr>
<w:r><w:t xml:space="preserve">this is similar to the confusion caused by two ``zones&apos;&apos; in</w:t></w:r>
</w:p>
<w:p>
<w:pPr><w:pStyle w:val="Normal"/></w:pPr>
<w:r><w:t xml:space="preserve">spherical aberration.  For infinitely distant objects the</w:t></w:r>
</w:p>
<w:p>
<w:pPr><w:pStyle w:val="Normal"/></w:pPr>
<w:r><w:t xml:space="preserve">radius Of the chromatic disk of confusion is proportional to</w:t></w:r>
</w:p>
<w:p>
<w:pPr><w:pStyle w:val="Normal"/></w:pPr>
<w:r><w:t xml:space="preserve">the linear aperture, and independent of the focal length (vide</w:t></w:r>
</w:p>
<w:p>
<w:pPr><w:pStyle w:val="Normal"/></w:pPr>
<w:r><w:t xml:space="preserve">supra, ``Monochromatic Aberration of the Axis Point&apos;&apos;); and</w:t></w:r>
</w:p>
<w:p>
<w:pPr><w:pStyle w:val="Normal"/></w:pPr>
<w:r><w:t xml:space="preserve">since this disk becomes the less harmful with au increasing</w:t></w:r>
</w:p>
<w:p>
<w:pPr><w:pStyle w:val="Normal"/></w:pPr>
<w:r><w:t xml:space="preserve">image of a given object, or with increasing focal length,</w:t></w:r>
</w:p>
<w:p>
<w:pPr><w:pStyle w:val="Normal"/></w:pPr>
<w:r><w:t xml:space="preserve">it follows that the deterioration of the image is propor-,</w:t></w:r>
</w:p>
<w:p>
<w:pPr><w:pStyle w:val="Normal"/></w:pPr>
<w:r><w:t xml:space="preserve">tional to the ratio of the aperture to the focal length,</w:t></w:r>
</w:p>
<w:p>
<w:pPr><w:pStyle w:val="Normal"/></w:pPr>
<w:r><w:t xml:space="preserve">i.e. the ``relative aperture.&apos;&apos; (This explains the gigantic</w:t></w:r>
</w:p>
<w:p>
<w:pPr><w:pStyle w:val="Normal"/></w:pPr>
<w:r><w:t xml:space="preserve">focal lengths in vogue before the discovery of achromatism.)</w:t></w:r>
</w:p>
<w:p>
<w:pPr><w:pStyle w:val="Normal"/></w:pPr>
<w:r><w:t xml:space="preserve">Examples.--(a) In a very thin lens, in air, only one constant</w:t></w:r>
</w:p>
<w:p>
<w:pPr><w:pStyle w:val="Normal"/></w:pPr>
<w:r><w:t xml:space="preserve">of reproduction is to be observed, since the focal length and</w:t></w:r>
</w:p>
<w:p>
<w:pPr><w:pStyle w:val="Normal"/></w:pPr>
<w:r><w:t xml:space="preserve">the distance of the focal point are equal.  If the refractive</w:t></w:r>
</w:p>
<w:p>
<w:pPr><w:pStyle w:val="Normal"/></w:pPr>
<w:r><w:t xml:space="preserve">index for one colour be n, and for another n+dn, and the</w:t></w:r>
</w:p>
<w:p>
<w:pPr><w:pStyle w:val="Normal"/></w:pPr>
<w:r><w:t xml:space="preserve">powers, or reciprocals of the focal lengths, be f and f + d</w:t></w:r>
</w:p>
<w:p>
<w:pPr><w:pStyle w:val="Normal"/></w:pPr>
<w:r><w:t xml:space="preserve">f, then (1) df/f = dn/(n-1) = 1/n; dn is called</w:t></w:r>
</w:p>
<w:p>
<w:pPr><w:pStyle w:val="Normal"/></w:pPr>
<w:r><w:t xml:space="preserve">the dispersion, and n the dispersive power of the glass.</w:t></w:r>
</w:p>
<w:p>
<w:pPr><w:pStyle w:val="Normal"/></w:pPr>
<w:r><w:t xml:space="preserve">(b) Two thin lenses in contact: let f1 and f2 be</w:t></w:r>
</w:p>
<w:p>
<w:pPr><w:pStyle w:val="Normal"/></w:pPr>
<w:r><w:t xml:space="preserve">the powers corresponding to the lenses of refractive indices</w:t></w:r>
</w:p>
<w:p>
<w:pPr><w:pStyle w:val="Normal"/></w:pPr>
<w:r><w:t xml:space="preserve">n1 and n2 and radii r&apos;1, r&quot;1, and r&apos;2,</w:t></w:r>
</w:p>
<w:p>
<w:pPr><w:pStyle w:val="Normal"/></w:pPr>
<w:r><w:t xml:space="preserve">r&quot;2 respectively; let f denote the total power, and d</w:t></w:r>
</w:p>
<w:p>
<w:pPr><w:pStyle w:val="Normal"/></w:pPr>
<w:r><w:t xml:space="preserve">f, dn1, dn2 the changes of f, n1, and n2</w:t></w:r>
</w:p>
<w:p>
<w:pPr><w:pStyle w:val="Normal"/></w:pPr>
<w:r><w:t xml:space="preserve">with the colour.  Then the following relations hold:--</w:t></w:r>
</w:p>
<w:p>
<w:pPr><w:pStyle w:val="Normal"/></w:pPr>
<w:r><w:t xml:space="preserve">(2) f = f1-f2== (n1 - 1)(1/r&apos;1-1/r&apos;&apos;1) +(n2-1)(1/</w:t></w:r>
</w:p>
<w:p>
<w:pPr><w:pStyle w:val="Normal"/></w:pPr>
<w:r><w:t xml:space="preserve">r&apos;2 - 1/r&apos;&apos;2) = (n1 - 1)k1 + (n2 - 1)k2; and</w:t></w:r>
</w:p>
<w:p>
<w:pPr><w:pStyle w:val="Normal"/></w:pPr>
<w:r><w:t xml:space="preserve">(3) df = k1dn1 + k2dn2.</w:t></w:r>
</w:p>
<w:p>
<w:pPr><w:pStyle w:val="Normal"/></w:pPr>
<w:r><w:t xml:space="preserve">For achromatism df = 0, hence, from (3),</w:t></w:r>
</w:p>
<w:p>
<w:pPr><w:pStyle w:val="Normal"/></w:pPr>
<w:r><w:t xml:space="preserve">(4) k1/k2 = -dn2 / dn1, or f1/f2 = -n1/</w:t></w:r>
</w:p>
<w:p>
<w:pPr><w:pStyle w:val="Normal"/></w:pPr>
<w:r><w:t xml:space="preserve">n2.  Therefore f1 and f2 must have different algebraic</w:t></w:r>
</w:p>
<w:p>
<w:pPr><w:pStyle w:val="Normal"/></w:pPr>
<w:r><w:t xml:space="preserve">signs, or the system must be composed of a collective and a</w:t></w:r>
</w:p>
<w:p>
<w:pPr><w:pStyle w:val="Normal"/></w:pPr>
<w:r><w:t xml:space="preserve">dispersive lens.  Consequently the powers of the two must be</w:t></w:r>
</w:p>
<w:p>
<w:pPr><w:pStyle w:val="Normal"/></w:pPr>
<w:r><w:t xml:space="preserve">different (in order that f be not zero (equation 2)), and</w:t></w:r>
</w:p>
<w:p>
<w:pPr><w:pStyle w:val="Normal"/></w:pPr>
<w:r><w:t xml:space="preserve">the dispersive powers must also be different (according to 4).</w:t></w:r>
</w:p>
<w:p>
<w:pPr><w:pStyle w:val="Normal"/></w:pPr>
<w:r><w:t xml:space="preserve">Newton failed to perceive the existence of media of</w:t></w:r>
</w:p>
<w:p>
<w:pPr><w:pStyle w:val="Normal"/></w:pPr>
<w:r><w:t xml:space="preserve">different dispersive powers required by achromatism;</w:t></w:r>
</w:p>
<w:p>
<w:pPr><w:pStyle w:val="Normal"/></w:pPr>
<w:r><w:t xml:space="preserve">consequently he constructed large reflectors instead of</w:t></w:r>
</w:p>
<w:p>
<w:pPr><w:pStyle w:val="Normal"/></w:pPr>
<w:r><w:t xml:space="preserve">refractors.  James Gregory and Leonhard Euler arrived at the</w:t></w:r>
</w:p>
<w:p>
<w:pPr><w:pStyle w:val="Normal"/></w:pPr>
<w:r><w:t xml:space="preserve">correct view from a false conception of the achromatism of</w:t></w:r>
</w:p>
<w:p>
<w:pPr><w:pStyle w:val="Normal"/></w:pPr>
<w:r><w:t xml:space="preserve">the eye; this was determined by Chester More Hall in 1728,</w:t></w:r>
</w:p>
<w:p>
<w:pPr><w:pStyle w:val="Normal"/></w:pPr>
<w:r><w:t xml:space="preserve">Klingenstierna in 1754 and by Dollond in 1757, who constructed</w:t></w:r>
</w:p>
<w:p>
<w:pPr><w:pStyle w:val="Normal"/></w:pPr>
<w:r><w:t xml:space="preserve">the celebrated achromatic telescopes. (See TELESCOPE.)</w:t></w:r>
</w:p>
<w:p>
<w:pPr><w:pStyle w:val="Normal"/></w:pPr>
<w:r><w:t xml:space="preserve">Glass with weaker dispersive power (greater v) is named</w:t></w:r>
</w:p>
<w:p>
<w:pPr><w:pStyle w:val="Normal"/></w:pPr>
<w:r><w:t xml:space="preserve">``crown glass&apos;&apos;; that with greater dispersive power, ``flint</w:t></w:r>
</w:p>
<w:p>
<w:pPr><w:pStyle w:val="Normal"/></w:pPr>
<w:r><w:t xml:space="preserve">glass.&apos;&apos; For the construction of an achromatic collective lens</w:t></w:r>
</w:p>
<w:p>
<w:pPr><w:pStyle w:val="Normal"/></w:pPr>
<w:r><w:t xml:space="preserve">(f positive) it follows, by means of equation (4), that a</w:t></w:r>
</w:p>
<w:p>
<w:pPr><w:pStyle w:val="Normal"/></w:pPr>
<w:r><w:t xml:space="preserve">collective lens I. of crown glass and a dispersive lens II. of</w:t></w:r>
</w:p>
<w:p>
<w:pPr><w:pStyle w:val="Normal"/></w:pPr>
<w:r><w:t xml:space="preserve">flint glass must be chosen; the latter, although the weaker,</w:t></w:r>
</w:p>
<w:p>
<w:pPr><w:pStyle w:val="Normal"/></w:pPr>
<w:r><w:t xml:space="preserve">corrects the other chromatically by its greater dispersive</w:t></w:r>
</w:p>
<w:p>
<w:pPr><w:pStyle w:val="Normal"/></w:pPr>
<w:r><w:t xml:space="preserve">power.  For an achromatic dispersive lens the converse must be</w:t></w:r>
</w:p>
<w:p>
<w:pPr><w:pStyle w:val="Normal"/></w:pPr>
<w:r><w:t xml:space="preserve">adopted.  This is, at the present day, the ordinary type,</w:t></w:r>
</w:p>
<w:p>
<w:pPr><w:pStyle w:val="Normal"/></w:pPr>
<w:r><w:t xml:space="preserve">e.g., of telescope objective (fig. 10); the values of</w:t></w:r>
</w:p>
<w:p>
<w:pPr><w:pStyle w:val="Normal"/></w:pPr>
<w:r><w:t xml:space="preserve">the four radii must satisfy the equations (2) and (4). Two</w:t></w:r>
</w:p>
<w:p>
<w:pPr><w:pStyle w:val="Normal"/></w:pPr>
<w:r><w:t xml:space="preserve">other conditions may also be postulated: one is always the</w:t></w:r>
</w:p>
<w:p>
<w:pPr><w:pStyle w:val="Normal"/></w:pPr>
<w:r><w:t xml:space="preserve">elimination of the aberration on the axis; the second either</w:t></w:r>
</w:p>
<w:p>
<w:pPr><w:pStyle w:val="Normal"/></w:pPr>
<w:r><w:t xml:space="preserve">the ``Herschel&apos;&apos; or ``Fraunhofer Condition,&apos;&apos; the latter being</w:t></w:r>
</w:p>
<w:p>
<w:pPr><w:pStyle w:val="Normal"/></w:pPr>
<w:r><w:t xml:space="preserve">the best vide supra, ``Monochromatic Aberration&apos;&apos;).  In</w:t></w:r>
</w:p>
<w:p>
<w:pPr><w:pStyle w:val="Normal"/></w:pPr>
<w:r><w:t xml:space="preserve">practice, however, it is often more useful to avoid the second</w:t></w:r>
</w:p>
<w:p>
<w:pPr><w:pStyle w:val="Normal"/></w:pPr>
<w:r><w:t xml:space="preserve">condition by making the lenses have contact, i.e. equal</w:t></w:r>
</w:p>
<w:p>
<w:pPr><w:pStyle w:val="Normal"/></w:pPr>
<w:r><w:t xml:space="preserve">radii.  According to P. Rudolph (Eder&apos;s Jahrb. f.  Photog.,</w:t></w:r>
</w:p>
<w:p>
<w:pPr><w:pStyle w:val="Normal"/></w:pPr>
<w:r><w:t xml:space="preserve">1891, 5, p. 225; 1893, 7, p. 221), cemented objectives of</w:t></w:r>
</w:p>
<w:p>
<w:pPr><w:pStyle w:val="Normal"/></w:pPr>
<w:r><w:t xml:space="preserve">thin lenses permit the elimination of spherical aberration</w:t></w:r>
</w:p>
<w:p>
<w:pPr><w:pStyle w:val="Normal"/></w:pPr>
<w:r><w:t xml:space="preserve">on the axis, if, as above, the collective lens has a smaller</w:t></w:r>
</w:p>
<w:p>
<w:pPr><w:pStyle w:val="Normal"/></w:pPr>
<w:r><w:t xml:space="preserve">refractive index; on the other hand, they permit the elimination</w:t></w:r>
</w:p>
<w:p>
<w:pPr><w:pStyle w:val="Normal"/></w:pPr>
<w:r><w:t xml:space="preserve">of astigmatism and curvature of the field, if the collective</w:t></w:r>
</w:p>
<w:p>
<w:pPr><w:pStyle w:val="Normal"/></w:pPr>
<w:r><w:t xml:space="preserve">lens has a greater refractive index (this follows from the</w:t></w:r>
</w:p>
<w:p>
<w:pPr><w:pStyle w:val="Normal"/></w:pPr>
<w:r><w:t xml:space="preserve">Petzval equation; see L. Seidel, Astr.  Nachr., 1856, p.</w:t></w:r>
</w:p>
<w:p>
<w:pPr><w:pStyle w:val="Normal"/></w:pPr>
<w:r><w:t xml:space="preserve">289).  Should the cemented system be positive, then the more</w:t></w:r>
</w:p>
<w:p>
<w:pPr><w:pStyle w:val="Normal"/></w:pPr>
<w:r><w:t xml:space="preserve">powerful lens must be positive; and, according to (4), to the</w:t></w:r>
</w:p>
<w:p>
<w:pPr><w:pStyle w:val="Normal"/></w:pPr>
<w:r><w:t xml:space="preserve">greater power belongs the weaker dispersive power (greater</w:t></w:r>
</w:p>
<w:p>
<w:pPr><w:pStyle w:val="Normal"/></w:pPr>
<w:r><w:t xml:space="preserve">v), that is to say, clown glass; consequently the crown</w:t></w:r>
</w:p>
<w:p>
<w:pPr><w:pStyle w:val="Normal"/></w:pPr>
<w:r><w:t xml:space="preserve">glass must have the greater refractive index for astigmatic</w:t></w:r>
</w:p>
<w:p>
<w:pPr><w:pStyle w:val="Normal"/></w:pPr>
<w:r><w:t xml:space="preserve">and plane images.  In all earlidr kinds of glass, however,</w:t></w:r>
</w:p>
<w:p>
<w:pPr><w:pStyle w:val="Normal"/></w:pPr>
<w:r><w:t xml:space="preserve">the dispersive power increased with the refractive index;</w:t></w:r>
</w:p>
<w:p>
<w:pPr><w:pStyle w:val="Normal"/></w:pPr>
<w:r><w:t xml:space="preserve">that is, v decreased as n increased; but some of the</w:t></w:r>
</w:p>
<w:p>
<w:pPr><w:pStyle w:val="Normal"/></w:pPr>
<w:r><w:t xml:space="preserve">Jena glasses by E. Abbe and O. Schott were crown glasses of</w:t></w:r>
</w:p>
<w:p>
<w:pPr><w:pStyle w:val="Normal"/></w:pPr>
<w:r><w:t xml:space="preserve">high refractive index, and achromatic systems from such crown</w:t></w:r>
</w:p>
<w:p>
<w:pPr><w:pStyle w:val="Normal"/></w:pPr>
<w:r><w:t xml:space="preserve">glasses, with flint glasses of lower refractive index, are</w:t></w:r>
</w:p>
<w:p>
<w:pPr><w:pStyle w:val="Normal"/></w:pPr>
<w:r><w:t xml:space="preserve">called the ``new achromats,&apos;&apos; and were employed by P. Rudolph</w:t></w:r>
</w:p>
<w:p>
<w:pPr><w:pStyle w:val="Normal"/></w:pPr>
<w:r><w:t xml:space="preserve">in the first ``anastigmats&apos;&apos; (photographic objectives).</w:t></w:r>
</w:p>
<w:p>
<w:pPr><w:pStyle w:val="Normal"/></w:pPr>
<w:r><w:t xml:space="preserve">Instead of making df vanish, a certain value can be assigned</w:t></w:r>
</w:p>
<w:p>
<w:pPr><w:pStyle w:val="Normal"/></w:pPr>
<w:r><w:t xml:space="preserve">to it which will produce, by the addition of the two lenses,</w:t></w:r>
</w:p>
<w:p>
<w:pPr><w:pStyle w:val="Normal"/></w:pPr>
<w:r><w:t xml:space="preserve">any desired chromatic deviation, e.g. sufficient to eliminate</w:t></w:r>
</w:p>
<w:p>
<w:pPr><w:pStyle w:val="Normal"/></w:pPr>
<w:r><w:t xml:space="preserve">one present in other parts of the system.  If the lenses I.</w:t></w:r>
</w:p>
<w:p>
<w:pPr><w:pStyle w:val="Normal"/></w:pPr>
<w:r><w:t xml:space="preserve">and II. be cemented and have the same refractive index for one</w:t></w:r>
</w:p>
<w:p>
<w:pPr><w:pStyle w:val="Normal"/></w:pPr>
<w:r><w:t xml:space="preserve">colour, then its effect for that one colour is that of a lens</w:t></w:r>
</w:p>
<w:p>
<w:pPr><w:pStyle w:val="Normal"/></w:pPr>
<w:r><w:t xml:space="preserve">of one piece; by such decomposition of a lens it can be made</w:t></w:r>
</w:p>
<w:p>
<w:pPr><w:pStyle w:val="Normal"/></w:pPr>
<w:r><w:t xml:space="preserve">chromatic or achromatic at will, without altering its spherical</w:t></w:r>
</w:p>
<w:p>
<w:pPr><w:pStyle w:val="Normal"/></w:pPr>
<w:r><w:t xml:space="preserve">effect.  If its chromatic effect (df/f) be greater than</w:t></w:r>
</w:p>
<w:p>
<w:pPr><w:pStyle w:val="Normal"/></w:pPr>
<w:r><w:t xml:space="preserve">that of the same lens, this being made of the more dispersive</w:t></w:r>
</w:p>
<w:p>
<w:pPr><w:pStyle w:val="Normal"/></w:pPr>
<w:r><w:t xml:space="preserve">of the two glasses employed, it is termed ``hyper-chromatic.&apos;&apos;</w:t></w:r>
</w:p>
<w:p>
<w:pPr><w:pStyle w:val="Normal"/></w:pPr>
<w:r><w:t xml:space="preserve">For two thin lenses separated by a distance D the condition</w:t></w:r>
</w:p>
<w:p>
<w:pPr><w:pStyle w:val="Normal"/></w:pPr>
<w:r><w:t xml:space="preserve">for achromatism is D = v1f1+v2f2; if v1=v2</w:t></w:r>
</w:p>
<w:p>
<w:pPr><w:pStyle w:val="Normal"/></w:pPr>
<w:r><w:t xml:space="preserve">(e.g. if the lenses be made of the same glass), this reduces</w:t></w:r>
</w:p>
<w:p>
<w:pPr><w:pStyle w:val="Normal"/></w:pPr>
<w:r><w:t xml:space="preserve">to D= 1/2 (f1+f2), known as the ``condition for oculars.&apos;&apos;</w:t></w:r>
</w:p>
<w:p>
<w:pPr><w:pStyle w:val="Normal"/></w:pPr>
<w:r><w:t xml:space="preserve">If a constant of reproduction, for instance the focal length,</w:t></w:r>
</w:p>
<w:p>
<w:pPr><w:pStyle w:val="Normal"/></w:pPr>
<w:r><w:t xml:space="preserve">be made equal for two colours, then it is not the same for</w:t></w:r>
</w:p>
<w:p>
<w:pPr><w:pStyle w:val="Normal"/></w:pPr>
<w:r><w:t xml:space="preserve">other colours, if two different glasses are employed.  For</w:t></w:r>
</w:p>
<w:p>
<w:pPr><w:pStyle w:val="Normal"/></w:pPr>
<w:r><w:t xml:space="preserve">example, the condition for achromatism (4) for two thin lenses</w:t></w:r>
</w:p>
<w:p>
<w:pPr><w:pStyle w:val="Normal"/></w:pPr>
<w:r><w:t xml:space="preserve">in contact is fulfilled in only one part of the spectrum, since</w:t></w:r>
</w:p>
<w:p>
<w:pPr><w:pStyle w:val="Normal"/></w:pPr>
<w:r><w:t xml:space="preserve">dn2/dn1 varies within the spectrum.  This fact was first</w:t></w:r>
</w:p>
<w:p>
<w:pPr><w:pStyle w:val="Normal"/></w:pPr>
<w:r><w:t xml:space="preserve">ascertained by J. Fraunhofer, who defined the colours by means</w:t></w:r>
</w:p>
<w:p>
<w:pPr><w:pStyle w:val="Normal"/></w:pPr>
<w:r><w:t xml:space="preserve">of the dark lines in the solar spectrum; and showed that the</w:t></w:r>
</w:p>
<w:p>
<w:pPr><w:pStyle w:val="Normal"/></w:pPr>
<w:r><w:t xml:space="preserve">ratio of the dispersion of two glasses varied about 20% from the</w:t></w:r>
</w:p>
<w:p>
<w:pPr><w:pStyle w:val="Normal"/></w:pPr>
<w:r><w:t xml:space="preserve">red to the violet (the variation for glass and water is about</w:t></w:r>
</w:p>
<w:p>
<w:pPr><w:pStyle w:val="Normal"/></w:pPr>
<w:r><w:t xml:space="preserve">50%).  If, therefore, for two colours, a and b, fa =</w:t></w:r>
</w:p>
<w:p>
<w:pPr><w:pStyle w:val="Normal"/></w:pPr>
<w:r><w:t xml:space="preserve">fb = f, then for a third colour, c, the focal length is</w:t></w:r>
</w:p>
<w:p>
<w:pPr><w:pStyle w:val="Normal"/></w:pPr>
<w:r><w:t xml:space="preserve">different, viz. if c lie between a and b, then fc&lt;</w:t></w:r>
</w:p>
<w:p>
<w:pPr><w:pStyle w:val="Normal"/></w:pPr>
<w:r><w:t xml:space="preserve">f, and vice versa; these algebraic results follow from</w:t></w:r>
</w:p>
<w:p>
<w:pPr><w:pStyle w:val="Normal"/></w:pPr>
<w:r><w:t xml:space="preserve">the fact that towards the red the dispersion of the positive</w:t></w:r>
</w:p>
<w:p>
<w:pPr><w:pStyle w:val="Normal"/></w:pPr>
<w:r><w:t xml:space="preserve">crown glass preponderates, towards the violet that of the</w:t></w:r>
</w:p>
<w:p>
<w:pPr><w:pStyle w:val="Normal"/></w:pPr>
<w:r><w:t xml:space="preserve">negative flint.  These chromatic errors of systems, which</w:t></w:r>
</w:p>
<w:p>
<w:pPr><w:pStyle w:val="Normal"/></w:pPr>
<w:r><w:t xml:space="preserve">are achromatic for two colours, are called the ``secondary</w:t></w:r>
</w:p>
<w:p>
<w:pPr><w:pStyle w:val="Normal"/></w:pPr>
<w:r><w:t xml:space="preserve">spectrum,&apos;&apos; and depend upon the aperture and focal length</w:t></w:r>
</w:p>
<w:p>
<w:pPr><w:pStyle w:val="Normal"/></w:pPr>
<w:r><w:t xml:space="preserve">in the same manner as the primary chromatid errors do.</w:t></w:r>
</w:p>
<w:p>
<w:pPr><w:pStyle w:val="Normal"/></w:pPr>
<w:r><w:t xml:space="preserve">In fig. 11, taken from M. von Rohr,s Theoric und Geschichte des</w:t></w:r>
</w:p>
<w:p>
<w:pPr><w:pStyle w:val="Normal"/></w:pPr>
<w:r><w:t xml:space="preserve">photographischen Objectivs, the abscissae are focal lengths, and the</w:t></w:r>
</w:p>
<w:p>
<w:pPr><w:pStyle w:val="Normal"/></w:pPr>
<w:r><w:t xml:space="preserve">ordinates wave-lengths; of the latter the Fraunhofer lines used are--</w:t></w:r>
</w:p>
<w:p>
<w:pPr><w:pStyle w:val="Normal"/></w:pPr>
<w:r><w:t xml:space="preserve">A&apos;       C      D   Green Hg.   F    G&apos;    Violet Hg.</w:t></w:r>
</w:p>
<w:p>
<w:pPr><w:pStyle w:val="Normal"/></w:pPr>
<w:r><w:t xml:space="preserve">767.7  656.3  589.3  546.1    486.2 454.1  405.1 mm,</w:t></w:r>
</w:p>
<w:p>
<w:pPr><w:pStyle w:val="Normal"/></w:pPr>
<w:r><w:t xml:space="preserve">and the focal lengths are made equal for the lines C and F.</w:t></w:r>
</w:p>
<w:p>
<w:pPr><w:pStyle w:val="Normal"/></w:pPr>
<w:r><w:t xml:space="preserve">In the neighbourhood of 550 mm the tangent to the curve</w:t></w:r>
</w:p>
<w:p>
<w:pPr><w:pStyle w:val="Normal"/></w:pPr>
<w:r><w:t xml:space="preserve">is parallel to the axis of wave-lengths; and the focal</w:t></w:r>
</w:p>
<w:p>
<w:pPr><w:pStyle w:val="Normal"/></w:pPr>
<w:r><w:t xml:space="preserve">length varies least over a fairly large range of colour,</w:t></w:r>
</w:p>
<w:p>
<w:pPr><w:pStyle w:val="Normal"/></w:pPr>
<w:r><w:t xml:space="preserve">therefore in this neighbourhood the colour union is at its</w:t></w:r>
</w:p>
<w:p>
<w:pPr><w:pStyle w:val="Normal"/></w:pPr>
<w:r><w:t xml:space="preserve">best.  Moreover, this region of the spectrum is that which</w:t></w:r>
</w:p>
<w:p>
<w:pPr><w:pStyle w:val="Normal"/></w:pPr>
<w:r><w:t xml:space="preserve">appears brightest to the human eye, and consequently this</w:t></w:r>
</w:p>
<w:p>
<w:pPr><w:pStyle w:val="Normal"/></w:pPr>
<w:r><w:t xml:space="preserve">curve of the secondary on spectrum, obtained by making</w:t></w:r>
</w:p>
<w:p>
<w:pPr><w:pStyle w:val="Normal"/></w:pPr>
<w:r><w:t xml:space="preserve">fc = fF, is, according to the experiments of Sir G.</w:t></w:r>
</w:p>
<w:p>
<w:pPr><w:pStyle w:val="Normal"/></w:pPr>
<w:r><w:t xml:space="preserve">G. Stokes (Proc.  Roy. Soc., 1878), the most suitable for</w:t></w:r>
</w:p>
<w:p>
<w:pPr><w:pStyle w:val="Normal"/></w:pPr>
<w:r><w:t xml:space="preserve">visual instruments (``optical achromatism,&apos;).  In a similar</w:t></w:r>
</w:p>
<w:p>
<w:pPr><w:pStyle w:val="Normal"/></w:pPr>
<w:r><w:t xml:space="preserve">manner, for systems used in photography, the vertex of the</w:t></w:r>
</w:p>
<w:p>
<w:pPr><w:pStyle w:val="Normal"/></w:pPr>
<w:r><w:t xml:space="preserve">colour curve must be placed in the position of the maximum</w:t></w:r>
</w:p>
<w:p>
<w:pPr><w:pStyle w:val="Normal"/></w:pPr>
<w:r><w:t xml:space="preserve">sensibility of the plates; this is generally supposed to be at</w:t></w:r>
</w:p>
<w:p>
<w:pPr><w:pStyle w:val="Normal"/></w:pPr>
<w:r><w:t xml:space="preserve">G&apos;; and to accomplish this the F and violet mercury lines are</w:t></w:r>
</w:p>
<w:p>
<w:pPr><w:pStyle w:val="Normal"/></w:pPr>
<w:r><w:t xml:space="preserve">united.  This artifice is specially adopted in objectives for</w:t></w:r>
</w:p>
<w:p>
<w:pPr><w:pStyle w:val="Normal"/></w:pPr>
<w:r><w:t xml:space="preserve">astronomical photography (``pure actinic achromatism&apos;&apos;).  For</w:t></w:r>
</w:p>
<w:p>
<w:pPr><w:pStyle w:val="Normal"/></w:pPr>
<w:r><w:t xml:space="preserve">ordinary photography, however, there is this disadvantage:</w:t></w:r>
</w:p>
<w:p>
<w:pPr><w:pStyle w:val="Normal"/></w:pPr>
<w:r><w:t xml:space="preserve">the image on the focussing-screen and the correct adjustment</w:t></w:r>
</w:p>
<w:p>
<w:pPr><w:pStyle w:val="Normal"/></w:pPr>
<w:r><w:t xml:space="preserve">of the photographic sensitive plate are not in register; in</w:t></w:r>
</w:p>
<w:p>
<w:pPr><w:pStyle w:val="Normal"/></w:pPr>
<w:r><w:t xml:space="preserve">astronomical photography this difference is constant, but in</w:t></w:r>
</w:p>
<w:p>
<w:pPr><w:pStyle w:val="Normal"/></w:pPr>
<w:r><w:t xml:space="preserve">other kinds it depends on the distance of the objects.  On this</w:t></w:r>
</w:p>
<w:p>
<w:pPr><w:pStyle w:val="Normal"/></w:pPr>
<w:r><w:t xml:space="preserve">account the lines D and G&apos; are united for ordinary photographic</w:t></w:r>
</w:p>
<w:p>
<w:pPr><w:pStyle w:val="Normal"/></w:pPr>
<w:r><w:t xml:space="preserve">objectives; the optical as well as the actinic image is</w:t></w:r>
</w:p>
<w:p>
<w:pPr><w:pStyle w:val="Normal"/></w:pPr>
<w:r><w:t xml:space="preserve">chromatically inferior, but both lie in the same place; and</w:t></w:r>
</w:p>
<w:p>
<w:pPr><w:pStyle w:val="Normal"/></w:pPr>
<w:r><w:t xml:space="preserve">consequently the best correction lies in F (this is known as</w:t></w:r>
</w:p>
<w:p>
<w:pPr><w:pStyle w:val="Normal"/></w:pPr>
<w:r><w:t xml:space="preserve">the ``actinic correction&apos;&apos; or ``freedom from chemical focus&apos;&apos;).</w:t></w:r>
</w:p>
<w:p>
<w:pPr><w:pStyle w:val="Normal"/></w:pPr>
<w:r><w:t xml:space="preserve">Should there be in two lenses in contact the same focal lengths</w:t></w:r>
</w:p>
<w:p>
<w:pPr><w:pStyle w:val="Normal"/></w:pPr>
<w:r><w:t xml:space="preserve">for three colours a, b, and c, i.e. fa = fb =</w:t></w:r>
</w:p>
<w:p>
<w:pPr><w:pStyle w:val="Normal"/></w:pPr>
<w:r><w:t xml:space="preserve">fc = f, then the relative partial dispersion (nc-</w:t></w:r>
</w:p>
<w:p>
<w:pPr><w:pStyle w:val="Normal"/></w:pPr>
<w:r><w:t xml:space="preserve">nb) (na-nb) must be equal for the two kinds of glass</w:t></w:r>
</w:p>
<w:p>
<w:pPr><w:pStyle w:val="Normal"/></w:pPr>
<w:r><w:t xml:space="preserve">employed.  This follows by considering equation (4) for the</w:t></w:r>
</w:p>
<w:p>
<w:pPr><w:pStyle w:val="Normal"/></w:pPr>
<w:r><w:t xml:space="preserve">two pairs of colours ac and bc. Until recently no glasses</w:t></w:r>
</w:p>
<w:p>
<w:pPr><w:pStyle w:val="Normal"/></w:pPr>
<w:r><w:t xml:space="preserve">were known with a proportionap degree of absorption; but R.</w:t></w:r>
</w:p>
<w:p>
<w:pPr><w:pStyle w:val="Normal"/></w:pPr>
<w:r><w:t xml:space="preserve">Blair (Trans.  Edin.  Soc., 1791, 3, p. 3), P. Barlow, and</w:t></w:r>
</w:p>
<w:p>
<w:pPr><w:pStyle w:val="Normal"/></w:pPr>
<w:r><w:t xml:space="preserve">F. S. Archer overcame the difficulty by constructing fluid</w:t></w:r>
</w:p>
<w:p>
<w:pPr><w:pStyle w:val="Normal"/></w:pPr>
<w:r><w:t xml:space="preserve">lenses between glass walls.  Fraunhofer prepared glasses which</w:t></w:r>
</w:p>
<w:p>
<w:pPr><w:pStyle w:val="Normal"/></w:pPr>
<w:r><w:t xml:space="preserve">reduced the secondary spectrum; but permanent success was</w:t></w:r>
</w:p>
<w:p>
<w:pPr><w:pStyle w:val="Normal"/></w:pPr>
<w:r><w:t xml:space="preserve">only assured on the introduction of the Jena glasses by E.</w:t></w:r>
</w:p>
<w:p>
<w:pPr><w:pStyle w:val="Normal"/></w:pPr>
<w:r><w:t xml:space="preserve">Abbe and O. Schott.  In using glasses not having proportional</w:t></w:r>
</w:p>
<w:p>
<w:pPr><w:pStyle w:val="Normal"/></w:pPr>
<w:r><w:t xml:space="preserve">dispersion, the deviation of a third colour can be eliminated</w:t></w:r>
</w:p>
<w:p>
<w:pPr><w:pStyle w:val="Normal"/></w:pPr>
<w:r><w:t xml:space="preserve">by two lenses, if an interval be allowed between them; or</w:t></w:r>
</w:p>
<w:p>
<w:pPr><w:pStyle w:val="Normal"/></w:pPr>
<w:r><w:t xml:space="preserve">by three lenses in contact, which may not all consist of</w:t></w:r>
</w:p>
<w:p>
<w:pPr><w:pStyle w:val="Normal"/></w:pPr>
<w:r><w:t xml:space="preserve">the old glasses.  In uniting three colours an ``achromatism</w:t></w:r>
</w:p>
<w:p>
<w:pPr><w:pStyle w:val="Normal"/></w:pPr>
<w:r><w:t xml:space="preserve">of a higher order&apos;&apos; is derived; there is yet a residual</w:t></w:r>
</w:p>
<w:p>
<w:pPr><w:pStyle w:val="Normal"/></w:pPr>
<w:r><w:t xml:space="preserve">``tertiary spectrum,&apos;&apos; but it can always be neglected.</w:t></w:r>
</w:p>
<w:p>
<w:pPr><w:pStyle w:val="Normal"/></w:pPr>
<w:r><w:t xml:space="preserve">The Gaussian theory is only an approximation; monochromatic</w:t></w:r>
</w:p>
<w:p>
<w:pPr><w:pStyle w:val="Normal"/></w:pPr>
<w:r><w:t xml:space="preserve">or spherical aberrations still occur, which will be different</w:t></w:r>
</w:p>
<w:p>
<w:pPr><w:pStyle w:val="Normal"/></w:pPr>
<w:r><w:t xml:space="preserve">for different colours; and should they be compensated for one</w:t></w:r>
</w:p>
<w:p>
<w:pPr><w:pStyle w:val="Normal"/></w:pPr>
<w:r><w:t xml:space="preserve">colour, the image of another colour would prove disturbing.</w:t></w:r>
</w:p>
<w:p>
<w:pPr><w:pStyle w:val="Normal"/></w:pPr>
<w:r><w:t xml:space="preserve">The most important is the chromatic difference of aberration</w:t></w:r>
</w:p>
<w:p>
<w:pPr><w:pStyle w:val="Normal"/></w:pPr>
<w:r><w:t xml:space="preserve">of the axis point, which is still present to disturb the</w:t></w:r>
</w:p>
<w:p>
<w:pPr><w:pStyle w:val="Normal"/></w:pPr>
<w:r><w:t xml:space="preserve">image, after par-axial rays of different colours are united</w:t></w:r>
</w:p>
<w:p>
<w:pPr><w:pStyle w:val="Normal"/></w:pPr>
<w:r><w:t xml:space="preserve">by an appropriate combination of glasses.  If a collective</w:t></w:r>
</w:p>
<w:p>
<w:pPr><w:pStyle w:val="Normal"/></w:pPr>
<w:r><w:t xml:space="preserve">system be corrected for the axis point for a definite</w:t></w:r>
</w:p>
<w:p>
<w:pPr><w:pStyle w:val="Normal"/></w:pPr>
<w:r><w:t xml:space="preserve">wave-length, then, on account of the greater dispersion in</w:t></w:r>
</w:p>
<w:p>
<w:pPr><w:pStyle w:val="Normal"/></w:pPr>
<w:r><w:t xml:space="preserve">the negative components--the flint glasses,--over-correction</w:t></w:r>
</w:p>
<w:p>
<w:pPr><w:pStyle w:val="Normal"/></w:pPr>
<w:r><w:t xml:space="preserve">will arise for the shorter wavelengths (this being the</w:t></w:r>
</w:p>
<w:p>
<w:pPr><w:pStyle w:val="Normal"/></w:pPr>
<w:r><w:t xml:space="preserve">error of the negative components), and under-correction for</w:t></w:r>
</w:p>
<w:p>
<w:pPr><w:pStyle w:val="Normal"/></w:pPr>
<w:r><w:t xml:space="preserve">the longer wave-lengths (the error of crown glass lenses</w:t></w:r>
</w:p>
<w:p>
<w:pPr><w:pStyle w:val="Normal"/></w:pPr>
<w:r><w:t xml:space="preserve">preponderating in the red).  This error was treated by</w:t></w:r>
</w:p>
<w:p>
<w:pPr><w:pStyle w:val="Normal"/></w:pPr>
<w:r><w:t xml:space="preserve">Jean le Rond d&apos;Alembert, and, in special detail, by C. F.</w:t></w:r>
</w:p>
<w:p>
<w:pPr><w:pStyle w:val="Normal"/></w:pPr>
<w:r><w:t xml:space="preserve">Gauss.  It increases rapidly with the aperture, and is more</w:t></w:r>
</w:p>
<w:p>
<w:pPr><w:pStyle w:val="Normal"/></w:pPr>
<w:r><w:t xml:space="preserve">important with medium apertures than the secondary spectrum</w:t></w:r>
</w:p>
<w:p>
<w:pPr><w:pStyle w:val="Normal"/></w:pPr>
<w:r><w:t xml:space="preserve">of par-axial rays; consequently, spherical aberration must</w:t></w:r>
</w:p>
<w:p>
<w:pPr><w:pStyle w:val="Normal"/></w:pPr>
<w:r><w:t xml:space="preserve">be elliminated for two colours, and if this be impossible,</w:t></w:r>
</w:p>
<w:p>
<w:pPr><w:pStyle w:val="Normal"/></w:pPr>
<w:r><w:t xml:space="preserve">then it must be eliminated for those particular wave-lengths</w:t></w:r>
</w:p>
<w:p>
<w:pPr><w:pStyle w:val="Normal"/></w:pPr>
<w:r><w:t xml:space="preserve">which are most effectual for the instrument in question (a</w:t></w:r>
</w:p>
<w:p>
<w:pPr><w:pStyle w:val="Normal"/></w:pPr>
<w:r><w:t xml:space="preserve">graphical representation of this error is given in M. von Rohr,</w:t></w:r>
</w:p>
<w:p>
<w:pPr><w:pStyle w:val="Normal"/></w:pPr>
<w:r><w:t xml:space="preserve">Theorie und Geschichte des photographischen Objectivs).</w:t></w:r>
</w:p>
<w:p>
<w:pPr><w:pStyle w:val="Normal"/></w:pPr>
<w:r><w:t xml:space="preserve">The condition for the reproduction of a surface element in the</w:t></w:r>
</w:p>
<w:p>
<w:pPr><w:pStyle w:val="Normal"/></w:pPr>
<w:r><w:t xml:space="preserve">place of a sharply reproduced point--the constant of the sine</w:t></w:r>
</w:p>
<w:p>
<w:pPr><w:pStyle w:val="Normal"/></w:pPr>
<w:r><w:t xml:space="preserve">relationship must also be fulfilled with large apertures for</w:t></w:r>
</w:p>
<w:p>
<w:pPr><w:pStyle w:val="Normal"/></w:pPr>
<w:r><w:t xml:space="preserve">several colours.  E. Abbe succeeded in computing microscope</w:t></w:r>
</w:p>
<w:p>
<w:pPr><w:pStyle w:val="Normal"/></w:pPr>
<w:r><w:t xml:space="preserve">objectives free from error of the axis point and satisfying</w:t></w:r>
</w:p>
<w:p>
<w:pPr><w:pStyle w:val="Normal"/></w:pPr>
<w:r><w:t xml:space="preserve">the sine condition for several colours, which therefore,</w:t></w:r>
</w:p>
<w:p>
<w:pPr><w:pStyle w:val="Normal"/></w:pPr>
<w:r><w:t xml:space="preserve">according to his definition, were ``aplanatic for several</w:t></w:r>
</w:p>
<w:p>
<w:pPr><w:pStyle w:val="Normal"/></w:pPr>
<w:r><w:t xml:space="preserve">colours&apos;&apos;; such systems he termed ``apochromatic&apos;&apos;.  While,</w:t></w:r>
</w:p>
<w:p>
<w:pPr><w:pStyle w:val="Normal"/></w:pPr>
<w:r><w:t xml:space="preserve">however, the magnification of the individual zones is the</w:t></w:r>
</w:p>
<w:p>
<w:pPr><w:pStyle w:val="Normal"/></w:pPr>
<w:r><w:t xml:space="preserve">same, it is not the same for red as for blue; and there is a</w:t></w:r>
</w:p>
<w:p>
<w:pPr><w:pStyle w:val="Normal"/></w:pPr>
<w:r><w:t xml:space="preserve">chromatic difference of magnification.  This is produced in the</w:t></w:r>
</w:p>
<w:p>
<w:pPr><w:pStyle w:val="Normal"/></w:pPr>
<w:r><w:t xml:space="preserve">same amount, but in the opposite sense, by the oculars, which</w:t></w:r>
</w:p>
<w:p>
<w:pPr><w:pStyle w:val="Normal"/></w:pPr>
<w:r><w:t xml:space="preserve">ate used with these objectives (``compensating oculars&apos;&apos;), so</w:t></w:r>
</w:p>
<w:p>
<w:pPr><w:pStyle w:val="Normal"/></w:pPr>
<w:r><w:t xml:space="preserve">that it is eliminated in the image of the whole microscope.</w:t></w:r>
</w:p>
<w:p>
<w:pPr><w:pStyle w:val="Normal"/></w:pPr>
<w:r><w:t xml:space="preserve">The best telescope objectives, and photographic objectives</w:t></w:r>
</w:p>
<w:p>
<w:pPr><w:pStyle w:val="Normal"/></w:pPr>
<w:r><w:t xml:space="preserve">intended for three-colour work, are also apochromatic, even</w:t></w:r>
</w:p>
<w:p>
<w:pPr><w:pStyle w:val="Normal"/></w:pPr>
<w:r><w:t xml:space="preserve">if they do not possess quite the same quality of correction</w:t></w:r>
</w:p>
<w:p>
<w:pPr><w:pStyle w:val="Normal"/></w:pPr>
<w:r><w:t xml:space="preserve">as microscope objectives do.  The chromatic differences of</w:t></w:r>
</w:p>
<w:p>
<w:pPr><w:pStyle w:val="Normal"/></w:pPr>
<w:r><w:t xml:space="preserve">other errors of reproduction have seldom practical importances.</w:t></w:r>
</w:p>
<w:p>
<w:pPr><w:pStyle w:val="Normal"/></w:pPr>
<w:r><w:t xml:space="preserve">1 The investigations of E. Abbe on geometrical optics,</w:t></w:r>
</w:p>
<w:p>
<w:pPr><w:pStyle w:val="Normal"/></w:pPr>
<w:r><w:t xml:space="preserve">originally published only in his university lectures, were</w:t></w:r>
</w:p>
<w:p>
<w:pPr><w:pStyle w:val="Normal"/></w:pPr>
<w:r><w:t xml:space="preserve">first compiled by S. Czapski in 1893.  See below, AUTHORITIES.</w:t></w:r>
</w:p>
<w:p>
<w:pPr><w:pStyle w:val="Normal"/></w:pPr>
<w:r><w:t xml:space="preserve">AUTHORITIES.---The standard treatise in English is H. D.</w:t></w:r>
</w:p>
<w:p>
<w:pPr><w:pStyle w:val="Normal"/></w:pPr>
<w:r><w:t xml:space="preserve">Taylor, A System of Applied Optics (1906); reference may also</w:t></w:r>
</w:p>
<w:p>
<w:pPr><w:pStyle w:val="Normal"/></w:pPr>
<w:r><w:t xml:space="preserve">be made to R. S. Heath, A Treatise on Geometrical Optics (2nd</w:t></w:r>
</w:p>
<w:p>
<w:pPr><w:pStyle w:val="Normal"/></w:pPr>
<w:r><w:t xml:space="preserve">ed., 1895); and L A. Herman, A Treatise on Geometrical Optics</w:t></w:r>
</w:p>
<w:p>
<w:pPr><w:pStyle w:val="Normal"/></w:pPr>
<w:r><w:t xml:space="preserve">(1900).  The ideas of Abbe were first dealt with in S. Czapski,</w:t></w:r>
</w:p>
<w:p>
<w:pPr><w:pStyle w:val="Normal"/></w:pPr>
<w:r><w:t xml:space="preserve">Theorie der optischen Instrumente nach Abbe, published</w:t></w:r>
</w:p>
<w:p>
<w:pPr><w:pStyle w:val="Normal"/></w:pPr>
<w:r><w:t xml:space="preserve">separately at Breslau in 1893, and as vol. ii. of Winkelmann&apos;s</w:t></w:r>
</w:p>
<w:p>
<w:pPr><w:pStyle w:val="Normal"/></w:pPr>
<w:r><w:t xml:space="preserve">Handbuch der Physik in 1894; a second edition, by Czapski</w:t></w:r>
</w:p>
<w:p>
<w:pPr><w:pStyle w:val="Normal"/></w:pPr>
<w:r><w:t xml:space="preserve">and O. Eppenstein, was published at Leipzig in 1903 with the</w:t></w:r>
</w:p>
<w:p>
<w:pPr><w:pStyle w:val="Normal"/></w:pPr>
<w:r><w:t xml:space="preserve">title, Grundzuge der Theorie der optischen Instrumente nach</w:t></w:r>
</w:p>
<w:p>
<w:pPr><w:pStyle w:val="Normal"/></w:pPr>
<w:r><w:t xml:space="preserve">Abbe, and in vol. ii. of the 2nd ed. of Winkelmann&apos;s Handbuch</w:t></w:r>
</w:p>
<w:p>
<w:pPr><w:pStyle w:val="Normal"/></w:pPr>
<w:r><w:t xml:space="preserve">der Physik. The collection of the scientific staff of Carl</w:t></w:r>
</w:p>
<w:p>
<w:pPr><w:pStyle w:val="Normal"/></w:pPr>
<w:r><w:t xml:space="preserve">Zeiss at Jena, edited by M. von Rohr, Die bilderzeugung in</w:t></w:r>
</w:p>
<w:p>
<w:pPr><w:pStyle w:val="Normal"/></w:pPr>
<w:r><w:t xml:space="preserve">optischen Instrumenten vom Standpunkte der geometrischen</w:t></w:r>
</w:p>
<w:p>
<w:pPr><w:pStyle w:val="Normal"/></w:pPr>
<w:r><w:t xml:space="preserve">Optik (Berlin, 1904), contains articles by A. Konig and</w:t></w:r>
</w:p>
<w:p>
<w:pPr><w:pStyle w:val="Normal"/></w:pPr>
<w:r><w:t xml:space="preserve">M. von Rohr specially dealing with aberrations. (O. E.)</w:t></w:r>
</w:p>
<w:p>
<w:pPr><w:pStyle w:val="Normal"/></w:pPr>
<w:r><w:t xml:space="preserve">ABERSYCHAN, an urban district in the northern parliamentary</w:t></w:r>
</w:p>
<w:p>
<w:pPr><w:pStyle w:val="Normal"/></w:pPr>
<w:r><w:t xml:space="preserve">division of Monmouthshire, England, 11 m.  N. by W. of Newport,</w:t></w:r>
</w:p>
<w:p>
<w:pPr><w:pStyle w:val="Normal"/></w:pPr>
<w:r><w:t xml:space="preserve">on the Great Western, London and North-Western, and Rhymney</w:t></w:r>
</w:p>
<w:p>
<w:pPr><w:pStyle w:val="Normal"/></w:pPr>
<w:r><w:t xml:space="preserve">railways.  Pop. (1901) 17,768.  It lies in the narrow upper</w:t></w:r>
</w:p>
<w:p>
<w:pPr><w:pStyle w:val="Normal"/></w:pPr>
<w:r><w:t xml:space="preserve">valley of the Afon Lwyd on the eastern edge of the great coal</w:t></w:r>
</w:p>
<w:p>
<w:pPr><w:pStyle w:val="Normal"/></w:pPr>
<w:r><w:t xml:space="preserve">and iron mining district of Glamorganshire and Monmouthshire,</w:t></w:r>
</w:p>
<w:p>
<w:pPr><w:pStyle w:val="Normal"/></w:pPr>
<w:r><w:t xml:space="preserve">and its large industrial population is occupied in the mines</w:t></w:r>
</w:p>
<w:p>
<w:pPr><w:pStyle w:val="Normal"/></w:pPr>
<w:r><w:t xml:space="preserve">and ironworks.  The neighbourhood is wild and mountainous.</w:t></w:r>
</w:p>
<w:p>
<w:pPr><w:pStyle w:val="Normal"/></w:pPr>
<w:r><w:t xml:space="preserve">ABERTILLERY, an urban district in the western parliamentary</w:t></w:r>
</w:p>
<w:p>
<w:pPr><w:pStyle w:val="Normal"/></w:pPr>
<w:r><w:t xml:space="preserve">division of Monmouthshire, England, 16 m.  N.W. of Newport, on</w:t></w:r>
</w:p>
<w:p>
<w:pPr><w:pStyle w:val="Normal"/></w:pPr>
<w:r><w:t xml:space="preserve">the Great Western railway.  Pop. (1891) 10,846; (1901) 21,945.</w:t></w:r>
</w:p>
<w:p>
<w:pPr><w:pStyle w:val="Normal"/></w:pPr>
<w:r><w:t xml:space="preserve">It lies in the mountainous mining district of Monmouthshire</w:t></w:r>
</w:p>
<w:p>
<w:pPr><w:pStyle w:val="Normal"/></w:pPr>
<w:r><w:t xml:space="preserve">and Glamorganshire, in the valley of the Ebbw Fach, and the</w:t></w:r>
</w:p>
<w:p>
<w:pPr><w:pStyle w:val="Normal"/></w:pPr>
<w:r><w:t xml:space="preserve">large industrial population is mainly employed in the numerous</w:t></w:r>
</w:p>
<w:p>
<w:pPr><w:pStyle w:val="Normal"/></w:pPr>
<w:r><w:t xml:space="preserve">coalmines, ironworks and tinplate works.  Farther up the</w:t></w:r>
</w:p>
<w:p>
<w:pPr><w:pStyle w:val="Normal"/></w:pPr>
<w:r><w:t xml:space="preserve">valley are the mining townships of NANTYOLO and BLAINA,</w:t></w:r>
</w:p>
<w:p>
<w:pPr><w:pStyle w:val="Normal"/></w:pPr>
<w:r><w:t xml:space="preserve">forming an urban district with a population (1901) of 13,489.</w:t></w:r>
</w:p>
<w:p>
<w:pPr><w:pStyle w:val="Normal"/></w:pPr>
<w:r><w:t xml:space="preserve">ABERYSTWYTH, a municipal borough, market-town and seaport of</w:t></w:r>
</w:p>
<w:p>
<w:pPr><w:pStyle w:val="Normal"/></w:pPr>
<w:r><w:t xml:space="preserve">Cardiganshire, Wales, near the confluence of the rivers Ystwyth</w:t></w:r>
</w:p>
<w:p>
<w:pPr><w:pStyle w:val="Normal"/></w:pPr>
<w:r><w:t xml:space="preserve">and Rheidol, about the middle of Cardigan Bay. Pop. (1901)</w:t></w:r>
</w:p>
<w:p>
<w:pPr><w:pStyle w:val="Normal"/></w:pPr>
<w:r><w:t xml:space="preserve">8013.  It is the terminal station of the Cambrian railway,</w:t></w:r>
</w:p>
<w:p>
<w:pPr><w:pStyle w:val="Normal"/></w:pPr>
<w:r><w:t xml:space="preserve">and also of the Manchester and Milford line.  It is the</w:t></w:r>
</w:p>
<w:p>
<w:pPr><w:pStyle w:val="Normal"/></w:pPr>
<w:r><w:t xml:space="preserve">most popular watering-place on the west coast of Wales, and</w:t></w:r>
</w:p>
<w:p>
<w:pPr><w:pStyle w:val="Normal"/></w:pPr>
<w:r><w:t xml:space="preserve">possesses a pier, and a fine sea-front which stretches from</w:t></w:r>
</w:p>
<w:p>
<w:pPr><w:pStyle w:val="Normal"/></w:pPr>
<w:r><w:t xml:space="preserve">Constitution Hill at the north end of the Marine Terrace to the</w:t></w:r>
</w:p>
<w:p>
<w:pPr><w:pStyle w:val="Normal"/></w:pPr>
<w:r><w:t xml:space="preserve">mouth of the harbour.  The town is of modern appearance, and</w:t></w:r>
</w:p>
<w:p>
<w:pPr><w:pStyle w:val="Normal"/></w:pPr>
<w:r><w:t xml:space="preserve">contains many public buildings, of which the most remarkable</w:t></w:r>
</w:p>
<w:p>
<w:pPr><w:pStyle w:val="Normal"/></w:pPr>
<w:r><w:t xml:space="preserve">is the imposing but fantastic structure of the University</w:t></w:r>
</w:p>
<w:p>
<w:pPr><w:pStyle w:val="Normal"/></w:pPr>
<w:r><w:t xml:space="preserve">College of Wales near the Castle Hill.  Much of the finest</w:t></w:r>
</w:p>
<w:p>
<w:pPr><w:pStyle w:val="Normal"/></w:pPr>
<w:r><w:t xml:space="preserve">scenery in mid-Wales hes within easy reach of Aberystwyth.</w:t></w:r>
</w:p>
<w:p>
<w:pPr><w:pStyle w:val="Normal"/></w:pPr>
<w:r><w:t xml:space="preserve">The history of Aberystwyth may be said to date from the time</w:t></w:r>
</w:p>
<w:p>
<w:pPr><w:pStyle w:val="Normal"/></w:pPr>
<w:r><w:t xml:space="preserve">of Gilbert Strongbow, who in 1109 erected a fortress on the</w:t></w:r>
</w:p>
<w:p>
<w:pPr><w:pStyle w:val="Normal"/></w:pPr>
<w:r><w:t xml:space="preserve">present Castle Hill.  Edward I. rebuilt Strongbow&apos;s castle</w:t></w:r>
</w:p>
<w:p>
<w:pPr><w:pStyle w:val="Normal"/></w:pPr>
<w:r><w:t xml:space="preserve">in 1277, after its destruction by the Welsh.  Between the</w:t></w:r>
</w:p>
<w:p>
<w:pPr><w:pStyle w:val="Normal"/></w:pPr>
<w:r><w:t xml:space="preserve">years 1404 and 1408 Aberystwyth Castle was in the hands of</w:t></w:r>
</w:p>
<w:p>
<w:pPr><w:pStyle w:val="Normal"/></w:pPr>
<w:r><w:t xml:space="preserve">Owen Glendower, but finally surrendered to Prince Harry of</w:t></w:r>
</w:p>
<w:p>
<w:pPr><w:pStyle w:val="Normal"/></w:pPr>
<w:r><w:t xml:space="preserve">Monmouth, and shortly after this the town was incorporated</w:t></w:r>
</w:p>
<w:p>
<w:pPr><w:pStyle w:val="Normal"/></w:pPr>
<w:r><w:t xml:space="preserve">under the title of Ville de Lampadarn, the ancient name of the</w:t></w:r>
</w:p>
<w:p>
<w:pPr><w:pStyle w:val="Normal"/></w:pPr>
<w:r><w:t xml:space="preserve">place being Llanbadarn Gaerog, or the fortified Llanbadarn,</w:t></w:r>
</w:p>
<w:p>
<w:pPr><w:pStyle w:val="Normal"/></w:pPr>
<w:r><w:t xml:space="preserve">to distinguish it from Llanbadarn Fawr, the village one mile</w:t></w:r>
</w:p>
<w:p>
<w:pPr><w:pStyle w:val="Normal"/></w:pPr>
<w:r><w:t xml:space="preserve">inland.  It is thus styled in a charter granted by Henry</w:t></w:r>
</w:p>
<w:p>
<w:pPr><w:pStyle w:val="Normal"/></w:pPr>
<w:r><w:t xml:space="preserve">VIII., but by Elizabeth&apos;s time the town was invariably termed</w:t></w:r>
</w:p>
<w:p>
<w:pPr><w:pStyle w:val="Normal"/></w:pPr>
<w:r><w:t xml:space="preserve">Aberystwyth in all documents.  In 1647 the parliamentarian</w:t></w:r>
</w:p>
<w:p>
<w:pPr><w:pStyle w:val="Normal"/></w:pPr>
<w:r><w:t xml:space="preserve">troops razed the castle to the ground, so that its remains</w:t></w:r>
</w:p>
<w:p>
<w:pPr><w:pStyle w:val="Normal"/></w:pPr>
<w:r><w:t xml:space="preserve">are now inconsiderable, though portions of three towers still</w:t></w:r>
</w:p>
<w:p>
<w:pPr><w:pStyle w:val="Normal"/></w:pPr>
<w:r><w:t xml:space="preserve">exist.  Aberystwyth was a contributory parliamentary borough</w:t></w:r>
</w:p>
<w:p>
<w:pPr><w:pStyle w:val="Normal"/></w:pPr>
<w:r><w:t xml:space="preserve">until 1885, when its representation was merged in that of the</w:t></w:r>
</w:p>
<w:p>
<w:pPr><w:pStyle w:val="Normal"/></w:pPr>
<w:r><w:t xml:space="preserve">county.  In modern times Aberystwyth has become a Welsh</w:t></w:r>
</w:p>
<w:p>
<w:pPr><w:pStyle w:val="Normal"/></w:pPr>
<w:r><w:t xml:space="preserve">educational centre, owing to the erection here of one of the</w:t></w:r>
</w:p>
<w:p>
<w:pPr><w:pStyle w:val="Normal"/></w:pPr>
<w:r><w:t xml:space="preserve">three colleges of the university of Wales (1872), and of a</w:t></w:r>
</w:p>
<w:p>
<w:pPr><w:pStyle w:val="Normal"/></w:pPr>
<w:r><w:t xml:space="preserve">hostel for women in connexion with it.  In 1905 it was decided</w:t></w:r>
</w:p>
<w:p>
<w:pPr><w:pStyle w:val="Normal"/></w:pPr>
<w:r><w:t xml:space="preserve">to fix here the site of the proposed Welsh National Library.</w:t></w:r>
</w:p>
<w:p>
<w:pPr><w:pStyle w:val="Normal"/></w:pPr>
<w:r><w:t xml:space="preserve">ABETTOR (from ``to abet,&apos;&apos; O. Fr. abeter, a and beter, to</w:t></w:r>
</w:p>
<w:p>
<w:pPr><w:pStyle w:val="Normal"/></w:pPr>
<w:r><w:t xml:space="preserve">bait, urge dogs upon any one; this word is probably of Scandinavian</w:t></w:r>
</w:p>
<w:p>
<w:pPr><w:pStyle w:val="Normal"/></w:pPr>
<w:r><w:t xml:space="preserve">origin, meaning to cause to bite), a law term implying one</w:t></w:r>
</w:p>
<w:p>
<w:pPr><w:pStyle w:val="Normal"/></w:pPr>
<w:r><w:t xml:space="preserve">who instigates, encourages or assists another to commit an</w:t></w:r>
</w:p>
<w:p>
<w:pPr><w:pStyle w:val="Normal"/></w:pPr>
<w:r><w:t xml:space="preserve">offence.  An abettor differs from an accessory (q.v.) in that</w:t></w:r>
</w:p>
<w:p>
<w:pPr><w:pStyle w:val="Normal"/></w:pPr>
<w:r><w:t xml:space="preserve">he must be present at the commission of the crime; all abettors</w:t></w:r>
</w:p>
<w:p>
<w:pPr><w:pStyle w:val="Normal"/></w:pPr>
<w:r><w:t xml:space="preserve">(with certain exceptions) are principals, and, in the absence</w:t></w:r>
</w:p>
<w:p>
<w:pPr><w:pStyle w:val="Normal"/></w:pPr>
<w:r><w:t xml:space="preserve">of specific statutory provision to the contrary, are punishable</w:t></w:r>
</w:p>
<w:p>
<w:pPr><w:pStyle w:val="Normal"/></w:pPr>
<w:r><w:t xml:space="preserve">to the same extent as the actual perpetrator of the offence.</w:t></w:r>
</w:p>
<w:p>
<w:pPr><w:pStyle w:val="Normal"/></w:pPr>
<w:r><w:t xml:space="preserve">A person may in certain cases be convicted as an abettor in</w:t></w:r>
</w:p>
<w:p>
<w:pPr><w:pStyle w:val="Normal"/></w:pPr>
<w:r><w:t xml:space="preserve">the commission of an offence in which he or she could not be a</w:t></w:r>
</w:p>
<w:p>
<w:pPr><w:pStyle w:val="Normal"/></w:pPr>
<w:r><w:t xml:space="preserve">principal, e.g. a woman or boy under fourteen years of age</w:t></w:r>
</w:p>
<w:p>
<w:pPr><w:pStyle w:val="Normal"/></w:pPr>
<w:r><w:t xml:space="preserve">in aiding rape, or a solvent person in aiding and abetting</w:t></w:r>
</w:p>
<w:p>
<w:pPr><w:pStyle w:val="Normal"/></w:pPr>
<w:r><w:t xml:space="preserve">a bankrupt to commit offences against the bankruptcy laws.</w:t></w:r>
</w:p>
<w:p>
<w:pPr><w:pStyle w:val="Normal"/></w:pPr>
<w:r><w:t xml:space="preserve">ABEYANCE (O. Fr. abeance, ``gaping&apos;&apos;), a state of</w:t></w:r>
</w:p>
<w:p>
<w:pPr><w:pStyle w:val="Normal"/></w:pPr>
<w:r><w:t xml:space="preserve">expectancy in respect of property, titles or office, when the</w:t></w:r>
</w:p>
<w:p>
<w:pPr><w:pStyle w:val="Normal"/></w:pPr>
<w:r><w:t xml:space="preserve">right to them is not vested in any one person, but awaits the</w:t></w:r>
</w:p>
<w:p>
<w:pPr><w:pStyle w:val="Normal"/></w:pPr>
<w:r><w:t xml:space="preserve">appearance or determination of the true owner.  In law, the</w:t></w:r>
</w:p>
<w:p>
<w:pPr><w:pStyle w:val="Normal"/></w:pPr>
<w:r><w:t xml:space="preserve">term abeyance can only be applied to such future estates as</w:t></w:r>
</w:p>
<w:p>
<w:pPr><w:pStyle w:val="Normal"/></w:pPr>
<w:r><w:t xml:space="preserve">have not yet vested or possibly may not vest.  For example, an</w:t></w:r>
</w:p>
<w:p>
<w:pPr><w:pStyle w:val="Normal"/></w:pPr>
<w:r><w:t xml:space="preserve">estate is granted to A for life, with remainder to the heir of</w:t></w:r>
</w:p>
<w:p>
<w:pPr><w:pStyle w:val="Normal"/></w:pPr>
<w:r><w:t xml:space="preserve">B, the latter being alive; the remainder is then said to be in</w:t></w:r>
</w:p>
<w:p>
<w:pPr><w:pStyle w:val="Normal"/></w:pPr>
<w:r><w:t xml:space="preserve">abeyance, for until the death of B it is uncertain who his heir</w:t></w:r>
</w:p>
<w:p>
<w:pPr><w:pStyle w:val="Normal"/></w:pPr>
<w:r><w:t xml:space="preserve">is.  Similarly the freehold of a benefice, on the death of the</w:t></w:r>
</w:p>
<w:p>
<w:pPr><w:pStyle w:val="Normal"/></w:pPr>
<w:r><w:t xml:space="preserve">incumbent, is said to be in abeyance until the next incumbent</w:t></w:r>
</w:p>
<w:p>
<w:pPr><w:pStyle w:val="Normal"/></w:pPr>
<w:r><w:t xml:space="preserve">takes possession.  The most common use of the term is in</w:t></w:r>
</w:p>
<w:p>
<w:pPr><w:pStyle w:val="Normal"/></w:pPr>
<w:r><w:t xml:space="preserve">the case of peerage dignities.  If a peerage which passes to</w:t></w:r>
</w:p>
<w:p>
<w:pPr><w:pStyle w:val="Normal"/></w:pPr>
<w:r><w:t xml:space="preserve">heirs-general, like the ancient baronies by writ, is held</w:t></w:r>
</w:p>
<w:p>
<w:pPr><w:pStyle w:val="Normal"/></w:pPr>
<w:r><w:t xml:space="preserve">by a man whose heir-at-law is neither a male, nor a woman</w:t></w:r>
</w:p>
<w:p>
<w:pPr><w:pStyle w:val="Normal"/></w:pPr>
<w:r><w:t xml:space="preserve">who is an only child, it goes into abeyance on his death</w:t></w:r>
</w:p>
<w:p>
<w:pPr><w:pStyle w:val="Normal"/></w:pPr>
<w:r><w:t xml:space="preserve">between two or more sisters or their heirs, and is held by</w:t></w:r>
</w:p>
<w:p>
<w:pPr><w:pStyle w:val="Normal"/></w:pPr>
<w:r><w:t xml:space="preserve">no one till the abeyance is terminated; if eventually only</w:t></w:r>
</w:p>
<w:p>
<w:pPr><w:pStyle w:val="Normal"/></w:pPr>
<w:r><w:t xml:space="preserve">one person represents the claims of all the sisters, he or</w:t></w:r>
</w:p>
<w:p>
<w:pPr><w:pStyle w:val="Normal"/></w:pPr>
<w:r><w:t xml:space="preserve">she can claim the termination of the abeyance as a matter of</w:t></w:r>
</w:p>
<w:p>
<w:pPr><w:pStyle w:val="Normal"/></w:pPr>
<w:r><w:t xml:space="preserve">right.  The crown can also call the peerage out of abeyance at</w:t></w:r>
</w:p>
<w:p>
<w:pPr><w:pStyle w:val="Normal"/></w:pPr>
<w:r><w:t xml:space="preserve">any moment, on petition, in favour of any one of the sisters</w:t></w:r>
</w:p>
<w:p>
<w:pPr><w:pStyle w:val="Normal"/></w:pPr>
<w:r><w:t xml:space="preserve">or their heirs between whom it is in abeyance.  The question</w:t></w:r>
</w:p>
<w:p>
<w:pPr><w:pStyle w:val="Normal"/></w:pPr>
<w:r><w:t xml:space="preserve">whether ancient earldoms created in favour of a man and his</w:t></w:r>
</w:p>
<w:p>
<w:pPr><w:pStyle w:val="Normal"/></w:pPr>
<w:r><w:t xml:space="preserve">``heirs&apos;&apos; go into abeyance like baronies by writ has been</w:t></w:r>
</w:p>
<w:p>
<w:pPr><w:pStyle w:val="Normal"/></w:pPr>
<w:r><w:t xml:space="preserve">raised by the claim to the earldom of Norfolk created in 1312,</w:t></w:r>
</w:p>
<w:p>
<w:pPr><w:pStyle w:val="Normal"/></w:pPr>
<w:r><w:t xml:space="preserve">discussed before the Committee for Privileges in 1906.  It is</w:t></w:r>
</w:p>
<w:p>
<w:pPr><w:pStyle w:val="Normal"/></w:pPr>
<w:r><w:t xml:space="preserve">common, but incorrect, to speak of peerage dignities which are</w:t></w:r>
</w:p>
<w:p>
<w:pPr><w:pStyle w:val="Normal"/></w:pPr>
<w:r><w:t xml:space="preserve">dormant (i.e. unclaimed) as being in abeyance. (J. H. R.)</w:t></w:r>
</w:p>
<w:p>
<w:pPr><w:pStyle w:val="Normal"/></w:pPr>
<w:r><w:t xml:space="preserve">ABGAR, a name or title borne by a line of kings or</w:t></w:r>
</w:p>
<w:p>
<w:pPr><w:pStyle w:val="Normal"/></w:pPr>
<w:r><w:t xml:space="preserve">toparchs, apparently twenty-nine in number, who reigned in</w:t></w:r>
</w:p>
<w:p>
<w:pPr><w:pStyle w:val="Normal"/></w:pPr>
<w:r><w:t xml:space="preserve">Osrhoene and had their capital at Edessa about the time of</w:t></w:r>
</w:p>
<w:p>
<w:pPr><w:pStyle w:val="Normal"/></w:pPr>
<w:r><w:t xml:space="preserve">the Christian era.  According to an old tradition, one of</w:t></w:r>
</w:p>
<w:p>
<w:pPr><w:pStyle w:val="Normal"/></w:pPr>
<w:r><w:t xml:space="preserve">these princes, perhaps Abgar V. (Ukkama or Uchomo, ``the</w:t></w:r>
</w:p>
<w:p>
<w:pPr><w:pStyle w:val="Normal"/></w:pPr>
<w:r><w:t xml:space="preserve">black&apos;&apos;), being afflicted with leprosy, sent a letter to</w:t></w:r>
</w:p>
<w:p>
<w:pPr><w:pStyle w:val="Normal"/></w:pPr>
<w:r><w:t xml:space="preserve">Jesus, acknowledging his divinity, craving his help and</w:t></w:r>
</w:p>
<w:p>
<w:pPr><w:pStyle w:val="Normal"/></w:pPr>
<w:r><w:t xml:space="preserve">offering him an asylum in his own residence, but Jesus wrote</w:t></w:r>
</w:p>
<w:p>
<w:pPr><w:pStyle w:val="Normal"/></w:pPr>
<w:r><w:t xml:space="preserve">a letter declining to go, promising, however, that after his</w:t></w:r>
</w:p>
<w:p>
<w:pPr><w:pStyle w:val="Normal"/></w:pPr>
<w:r><w:t xml:space="preserve">ascension he would send one of his disciples.  These letters</w:t></w:r>
</w:p>
<w:p>
<w:pPr><w:pStyle w:val="Normal"/></w:pPr>
<w:r><w:t xml:space="preserve">are given by Eusebius (Eccl.  Hist. i. 13), who declares</w:t></w:r>
</w:p>
<w:p>
<w:pPr><w:pStyle w:val="Normal"/></w:pPr>
<w:r><w:t xml:space="preserve">that the Syriac document from which he translates them had</w:t></w:r>
</w:p>
<w:p>
<w:pPr><w:pStyle w:val="Normal"/></w:pPr>
<w:r><w:t xml:space="preserve">been preserved in the archives at Edessa from the time of</w:t></w:r>
</w:p>
<w:p>
<w:pPr><w:pStyle w:val="Normal"/></w:pPr>
<w:r><w:t xml:space="preserve">Abgar.  Eusebius also states that in due course Judas, son of</w:t></w:r>
</w:p>
<w:p>
<w:pPr><w:pStyle w:val="Normal"/></w:pPr>
<w:r><w:t xml:space="preserve">Thaddaeus, was sent (in 340 = A.D. 29). In another form of</w:t></w:r>
</w:p>
<w:p>
<w:pPr><w:pStyle w:val="Normal"/></w:pPr>
<w:r><w:t xml:space="preserve">the story, derived from Moses of Chorene, it is said further</w:t></w:r>
</w:p>
<w:p>
<w:pPr><w:pStyle w:val="Normal"/></w:pPr>
<w:r><w:t xml:space="preserve">that Jesus sent his portrait to Abgar, and that this existed</w:t></w:r>
</w:p>
<w:p>
<w:pPr><w:pStyle w:val="Normal"/></w:pPr>
<w:r><w:t xml:space="preserve">in Edessa (Hist. Armen., ed.  W. Whiston, ii. 29-32).</w:t></w:r>
</w:p>
<w:p>
<w:pPr><w:pStyle w:val="Normal"/></w:pPr>
<w:r><w:t xml:space="preserve">Yet another version is found in the Syriac Doctrina Addaei</w:t></w:r>
</w:p>
<w:p>
<w:pPr><w:pStyle w:val="Normal"/></w:pPr>
<w:r><w:t xml:space="preserve">(Addaeus=Thaddaeus), edited by G. Phillips (1876).  Here it</w:t></w:r>
</w:p>
<w:p>
<w:pPr><w:pStyle w:val="Normal"/></w:pPr>
<w:r><w:t xml:space="preserve">is said that the reply of Jesus was given not in writing, but</w:t></w:r>
</w:p>
<w:p>
<w:pPr><w:pStyle w:val="Normal"/></w:pPr>
<w:r><w:t xml:space="preserve">verbally, and that the event took place in 343 (A.D. 32).</w:t></w:r>
</w:p>
<w:p>
<w:pPr><w:pStyle w:val="Normal"/></w:pPr>
<w:r><w:t xml:space="preserve">Greek forms of the legend are found in the Acta Thaddaei</w:t></w:r>
</w:p>
<w:p>
<w:pPr><w:pStyle w:val="Normal"/></w:pPr>
<w:r><w:t xml:space="preserve">(C. Tischendorf, Acta apostoloruiu apocr. 261 ff.).</w:t></w:r>
</w:p>
<w:p>
<w:pPr><w:pStyle w:val="Normal"/></w:pPr>
<w:r><w:t xml:space="preserve">These stories have given rise to much discussion.  The testi-</w:t></w:r>
</w:p>
<w:p>
<w:pPr><w:pStyle w:val="Normal"/></w:pPr>
<w:r><w:t xml:space="preserve">mony of Augustine and Jerome is to the effect that Jesus wrote</w:t></w:r>
</w:p>
<w:p>
<w:pPr><w:pStyle w:val="Normal"/></w:pPr>
<w:r><w:t xml:space="preserve">nothing.  The correspondence was rejected as apocryphal by</w:t></w:r>
</w:p>
<w:p>
<w:pPr><w:pStyle w:val="Normal"/></w:pPr>
<w:r><w:t xml:space="preserve">Pope Gelasius and a Roman Synod (c. 495), though, it is</w:t></w:r>
</w:p>
<w:p>
<w:pPr><w:pStyle w:val="Normal"/></w:pPr>
<w:r><w:t xml:space="preserve">true, this view has not been shared universally by the Roman</w:t></w:r>
</w:p>
<w:p>
<w:pPr><w:pStyle w:val="Normal"/></w:pPr>
<w:r><w:t xml:space="preserve">church (Tillemont, Memoires, i. 3, pp. 990 ff ). Amongst</w:t></w:r>
</w:p>
<w:p>
<w:pPr><w:pStyle w:val="Normal"/></w:pPr>
<w:r><w:t xml:space="preserve">Evangelicals the spuriousness of the letters is almost generally</w:t></w:r>
</w:p>
<w:p>
<w:pPr><w:pStyle w:val="Normal"/></w:pPr>
<w:r><w:t xml:space="preserve">admitted.  Lipsius (Die Edessenische Abgarsage, 1880) has</w:t></w:r>
</w:p>
<w:p>
<w:pPr><w:pStyle w:val="Normal"/></w:pPr>
<w:r><w:t xml:space="preserve">pointed out anachronisms which seem to indicate that the story</w:t></w:r>
</w:p>
<w:p>
<w:pPr><w:pStyle w:val="Normal"/></w:pPr>
<w:r><w:t xml:space="preserve">is quite unhistorical.  The first king of Edessa of whom we have</w:t></w:r>
</w:p>
<w:p>
<w:pPr><w:pStyle w:val="Normal"/></w:pPr>
<w:r><w:t xml:space="preserve">any trustworthy information is Abgar VIII., bar Ma&apos;nu (A.D.</w:t></w:r>
</w:p>
<w:p>
<w:pPr><w:pStyle w:val="Normal"/></w:pPr>
<w:r><w:t xml:space="preserve">176-213).  It is suggested that the legend arose from a desire</w:t></w:r>
</w:p>
<w:p>
<w:pPr><w:pStyle w:val="Normal"/></w:pPr>
<w:r><w:t xml:space="preserve">to trace the christianizing of his kingdom to an apostolic</w:t></w:r>
</w:p>
<w:p>
<w:pPr><w:pStyle w:val="Normal"/></w:pPr>
<w:r><w:t xml:space="preserve">source.  Eusebius gives the legend in its oldest form; it was</w:t></w:r>
</w:p>
<w:p>
<w:pPr><w:pStyle w:val="Normal"/></w:pPr>
<w:r><w:t xml:space="preserve">worked up in the Doctrina Addaei in the second half of the 4th</w:t></w:r>
</w:p>
<w:p>
<w:pPr><w:pStyle w:val="Normal"/></w:pPr>
<w:r><w:t xml:space="preserve">century; and Moses of Chorene was dependent upon both these sources.</w:t></w:r>
</w:p>
<w:p>
<w:pPr><w:pStyle w:val="Normal"/></w:pPr>
<w:r><w:t xml:space="preserve">BIBLIOGRAPHY---R, Schmidt in Herzoe-Hauck, Realencyklopadie;</w:t></w:r>
</w:p>
<w:p>
<w:pPr><w:pStyle w:val="Normal"/></w:pPr>
<w:r><w:t xml:space="preserve">Die Edessenische Abgarsage kritisch untersucht (1880);</w:t></w:r>
</w:p>
<w:p>
<w:pPr><w:pStyle w:val="Normal"/></w:pPr>
<w:r><w:t xml:space="preserve">Matthes, Die Edessenische Abgarsage auf ihre Fortbildung</w:t></w:r>
</w:p>
<w:p>
<w:pPr><w:pStyle w:val="Normal"/></w:pPr>
<w:r><w:t xml:space="preserve">untersucht (1882); Les Origines de l&apos;eglise d&apos;Edesse</w:t></w:r>
</w:p>
<w:p>
<w:pPr><w:pStyle w:val="Normal"/></w:pPr>
<w:r><w:t xml:space="preserve">et la legende d&apos;A. (1888); A. Harnack, Geschichte d.</w:t></w:r>
</w:p>
<w:p>
<w:pPr><w:pStyle w:val="Normal"/></w:pPr>
<w:r><w:t xml:space="preserve">altchristlichen Litteratur, i. 2 (1893); L. Duchesne,</w:t></w:r>
</w:p>
<w:p>
<w:pPr><w:pStyle w:val="Normal"/></w:pPr>
<w:r><w:t xml:space="preserve">Bulletin critique, 1889, pp. 41-48; for the Epistles see</w:t></w:r>
</w:p>
<w:p>
<w:pPr><w:pStyle w:val="Normal"/></w:pPr>
<w:r><w:t xml:space="preserve">APOCRYPHAL LITERATURE, sect. ``New Testament&apos;&apos; (c.)</w:t></w:r>
</w:p>
<w:p>
<w:pPr><w:pStyle w:val="Normal"/></w:pPr>
<w:r><w:t xml:space="preserve">ABHIDHAMMA, the name of one of the three Pitakas, or</w:t></w:r>
</w:p>
<w:p>
<w:pPr><w:pStyle w:val="Normal"/></w:pPr>
<w:r><w:t xml:space="preserve">baskets of tradition, into which the Buddhist scriptures</w:t></w:r>
</w:p>
<w:p>
<w:pPr><w:pStyle w:val="Normal"/></w:pPr>
<w:r><w:t xml:space="preserve">(see BUDDHISM) are divided.  It consists of seven works: 1.</w:t></w:r>
</w:p>
<w:p>
<w:pPr><w:pStyle w:val="Normal"/></w:pPr>
<w:r><w:t xml:space="preserve">Dhamma Sangani (enumeration of qualities). 2. Vibhanga</w:t></w:r>
</w:p>
<w:p>
<w:pPr><w:pStyle w:val="Normal"/></w:pPr>
<w:r><w:t xml:space="preserve">(exposition). 3. Katha Vatthu (bases of opinion). 4.</w:t></w:r>
</w:p>
<w:p>
<w:pPr><w:pStyle w:val="Normal"/></w:pPr>
<w:r><w:t xml:space="preserve">Puggala Pannatti (on individuals). 5. Dhatu Katha (on</w:t></w:r>
</w:p>
<w:p>
<w:pPr><w:pStyle w:val="Normal"/></w:pPr>
<w:r><w:t xml:space="preserve">relations of moral dispositions). 6. Yamaka (the pairs, that</w:t></w:r>
</w:p>
<w:p>
<w:pPr><w:pStyle w:val="Normal"/></w:pPr>
<w:r><w:t xml:space="preserve">is, of ethical states). 7. Patthana (evolution of ethical</w:t></w:r>
</w:p>
<w:p>
<w:pPr><w:pStyle w:val="Normal"/></w:pPr>
<w:r><w:t xml:space="preserve">states).  These have now been published by the Pah Text</w:t></w:r>
</w:p>
<w:p>
<w:pPr><w:pStyle w:val="Normal"/></w:pPr>
<w:r><w:t xml:space="preserve">Society.  The first has been translated into English, and an</w:t></w:r>
</w:p>
<w:p>
<w:pPr><w:pStyle w:val="Normal"/></w:pPr>
<w:r><w:t xml:space="preserve">abstract of the third has been published.  The approximate</w:t></w:r>
</w:p>
<w:p>
<w:pPr><w:pStyle w:val="Normal"/></w:pPr>
<w:r><w:t xml:space="preserve">date of these works is probably from about 400 B.C. to</w:t></w:r>
</w:p>
<w:p>
<w:pPr><w:pStyle w:val="Normal"/></w:pPr>
<w:r><w:t xml:space="preserve">about 250 B.C., the first being the oldest and the third</w:t></w:r>
</w:p>
<w:p>
<w:pPr><w:pStyle w:val="Normal"/></w:pPr>
<w:r><w:t xml:space="preserve">the latest of the seven.  Before the publication of the texts,</w:t></w:r>
</w:p>
<w:p>
<w:pPr><w:pStyle w:val="Normal"/></w:pPr>
<w:r><w:t xml:space="preserve">when they were known only by hearsay, the term Abhidhamma</w:t></w:r>
</w:p>
<w:p>
<w:pPr><w:pStyle w:val="Normal"/></w:pPr>
<w:r><w:t xml:space="preserve">was usually rendered ``Metaphysics.&apos;&apos; This is now seen to be</w:t></w:r>
</w:p>
<w:p>
<w:pPr><w:pStyle w:val="Normal"/></w:pPr>
<w:r><w:t xml:space="preserve">quite erroneous. Dhamma means the doctrine, and Abhidhamma</w:t></w:r>
</w:p>
<w:p>
<w:pPr><w:pStyle w:val="Normal"/></w:pPr>
<w:r><w:t xml:space="preserve">has a relation to Dhamma similar to that of by-law to</w:t></w:r>
</w:p>
<w:p>
<w:pPr><w:pStyle w:val="Normal"/></w:pPr>
<w:r><w:t xml:space="preserve">law.  It expands, classifies, tabulates, draws corollaries</w:t></w:r>
</w:p>
<w:p>
<w:pPr><w:pStyle w:val="Normal"/></w:pPr>
<w:r><w:t xml:space="preserve">from the ethical doctrines laid down in the more popular</w:t></w:r>
</w:p>
<w:p>
<w:pPr><w:pStyle w:val="Normal"/></w:pPr>
<w:r><w:t xml:space="preserve">treatises.  There is no metaphysics in it atnall, only</w:t></w:r>
</w:p>
<w:p>
<w:pPr><w:pStyle w:val="Normal"/></w:pPr>
<w:r><w:t xml:space="preserve">psychological ethics of a peculiarly dry and scholastic kind.</w:t></w:r>
</w:p>
<w:p>
<w:pPr><w:pStyle w:val="Normal"/></w:pPr>
<w:r><w:t xml:space="preserve">And there is no originality in it; only endless permutations</w:t></w:r>
</w:p>
<w:p>
<w:pPr><w:pStyle w:val="Normal"/></w:pPr>
<w:r><w:t xml:space="preserve">and combinations of doctrines already known and accepted.</w:t></w:r>
</w:p>
<w:p>
<w:pPr><w:pStyle w:val="Normal"/></w:pPr>
<w:r><w:t xml:space="preserve">As in the course of centuries the doctrine itself, in certain</w:t></w:r>
</w:p>
<w:p>
<w:pPr><w:pStyle w:val="Normal"/></w:pPr>
<w:r><w:t xml:space="preserve">schools, varied, it was felt necessary to rewrite these secondary</w:t></w:r>
</w:p>
<w:p>
<w:pPr><w:pStyle w:val="Normal"/></w:pPr>
<w:r><w:t xml:space="preserve">works.  This was first done, so far as is at present known,</w:t></w:r>
</w:p>
<w:p>
<w:pPr><w:pStyle w:val="Normal"/></w:pPr>
<w:r><w:t xml:space="preserve">by the Sarvastivadins (Realists), who in the century before</w:t></w:r>
</w:p>
<w:p>
<w:pPr><w:pStyle w:val="Normal"/></w:pPr>
<w:r><w:t xml:space="preserve">and after Christ produced a fresh set of seven Abhidhamma</w:t></w:r>
</w:p>
<w:p>
<w:pPr><w:pStyle w:val="Normal"/></w:pPr>
<w:r><w:t xml:space="preserve">books.  These are lost in India, but still exist in Chinese</w:t></w:r>
</w:p>
<w:p>
<w:pPr><w:pStyle w:val="Normal"/></w:pPr>
<w:r><w:t xml:space="preserve">translations.  The translations have been analysed in a</w:t></w:r>
</w:p>
<w:p>
<w:pPr><w:pStyle w:val="Normal"/></w:pPr>
<w:r><w:t xml:space="preserve">masterly way by Professor Takakusu in the article mentioned</w:t></w:r>
</w:p>
<w:p>
<w:pPr><w:pStyle w:val="Normal"/></w:pPr>
<w:r><w:t xml:space="preserve">below, They deal only with psychological ethics.  In the</w:t></w:r>
</w:p>
<w:p>
<w:pPr><w:pStyle w:val="Normal"/></w:pPr>
<w:r><w:t xml:space="preserve">course of further centuries these hooks in turn were superseded</w:t></w:r>
</w:p>
<w:p>
<w:pPr><w:pStyle w:val="Normal"/></w:pPr>
<w:r><w:t xml:space="preserve">by new treatises; and in one school at least, that of the</w:t></w:r>
</w:p>
<w:p>
<w:pPr><w:pStyle w:val="Normal"/></w:pPr>
<w:r><w:t xml:space="preserve">Maha-yana (great Vehicle) there was eventually developed a</w:t></w:r>
</w:p>
<w:p>
<w:pPr><w:pStyle w:val="Normal"/></w:pPr>
<w:r><w:t xml:space="preserve">system of metaphysics.  But the word Abhidhamma then fell</w:t></w:r>
</w:p>
<w:p>
<w:pPr><w:pStyle w:val="Normal"/></w:pPr>
<w:r><w:t xml:space="preserve">out of use in that school, though it is still used in the</w:t></w:r>
</w:p>
<w:p>
<w:pPr><w:pStyle w:val="Normal"/></w:pPr>
<w:r><w:t xml:space="preserve">schools that continue to follow the original seven books.</w:t></w:r>
</w:p>
<w:p>
<w:pPr><w:pStyle w:val="Normal"/></w:pPr>
<w:r><w:t xml:space="preserve">See Buddhist Psychology by Caroline Rhys Davids (London, 1900),</w:t></w:r>
</w:p>
<w:p>
<w:pPr><w:pStyle w:val="Normal"/></w:pPr>
<w:r><w:t xml:space="preserve">translation of the Dhamma Sangani, with valuable introduction;</w:t></w:r>
</w:p>
<w:p>
<w:pPr><w:pStyle w:val="Normal"/></w:pPr>
<w:r><w:t xml:space="preserve">or the Royal Asiatic Society, 1892, contains an abstract of the</w:t></w:r>
</w:p>
<w:p>
<w:pPr><w:pStyle w:val="Normal"/></w:pPr>
<w:r><w:t xml:space="preserve">Katha ``On the Abhidhamma books of the Sarvastivadins,&apos;&apos; by</w:t></w:r>
</w:p>
<w:p>
<w:pPr><w:pStyle w:val="Normal"/></w:pPr>
<w:r><w:t xml:space="preserve">Prof.  Takakusu, in Journal of the Pali Text Society, 1905.</w:t></w:r>
</w:p>
<w:p>
<w:pPr><w:pStyle w:val="Normal"/></w:pPr>
<w:r><w:t xml:space="preserve">(l&apos;. W. R. D.)</w:t></w:r>
</w:p>
<w:p>
<w:pPr><w:pStyle w:val="Normal"/></w:pPr>
<w:r><w:t xml:space="preserve">ABHORRERS, the name given in 1679 to the persons who</w:t></w:r>
</w:p>
<w:p>
<w:pPr><w:pStyle w:val="Normal"/></w:pPr>
<w:r><w:t xml:space="preserve">expressed their abhorrence at the action of those who</w:t></w:r>
</w:p>
<w:p>
<w:pPr><w:pStyle w:val="Normal"/></w:pPr>
<w:r><w:t xml:space="preserve">had signed petitions urging King Charles II. to assemble</w:t></w:r>
</w:p>
<w:p>
<w:pPr><w:pStyle w:val="Normal"/></w:pPr>
<w:r><w:t xml:space="preserve">parliament.  Feel ing against Roman Catholics, and especially</w:t></w:r>
</w:p>
<w:p>
<w:pPr><w:pStyle w:val="Normal"/></w:pPr>
<w:r><w:t xml:space="preserve">against James, duke of York, was running strongly; the</w:t></w:r>
</w:p>
<w:p>
<w:pPr><w:pStyle w:val="Normal"/></w:pPr>
<w:r><w:t xml:space="preserve">Exclusion Bill had been passed by the House of Commons,</w:t></w:r>
</w:p>
<w:p>
<w:pPr><w:pStyle w:val="Normal"/></w:pPr>
<w:r><w:t xml:space="preserve">and the popularity of James, duke of Monmouth, was very</w:t></w:r>
</w:p>
<w:p>
<w:pPr><w:pStyle w:val="Normal"/></w:pPr>
<w:r><w:t xml:space="preserve">great.  To prevent this bill from passing into law, Charles</w:t></w:r>
</w:p>
<w:p>
<w:pPr><w:pStyle w:val="Normal"/></w:pPr>
<w:r><w:t xml:space="preserve">had dissolved parliament in July 1679, and in the following</w:t></w:r>
</w:p>
<w:p>
<w:pPr><w:pStyle w:val="Normal"/></w:pPr>
<w:r><w:t xml:space="preserve">October had prorogued its successor without allowing it to</w:t></w:r>
</w:p>
<w:p>
<w:pPr><w:pStyle w:val="Normal"/></w:pPr>
<w:r><w:t xml:space="preserve">meet.  He was then deluged with petitions urging him to</w:t></w:r>
</w:p>
<w:p>
<w:pPr><w:pStyle w:val="Normal"/></w:pPr>
<w:r><w:t xml:space="preserve">call it together, and this agitation was opposed by Sir</w:t></w:r>
</w:p>
<w:p>
<w:pPr><w:pStyle w:val="Normal"/></w:pPr>
<w:r><w:t xml:space="preserve">George Jeffreys (q.v.) and Francis Wythens, who presented</w:t></w:r>
</w:p>
<w:p>
<w:pPr><w:pStyle w:val="Normal"/></w:pPr>
<w:r><w:t xml:space="preserve">addresses expressing ``abhorrence&apos;&apos; of the ``Petitioners,&apos;&apos;</w:t></w:r>
</w:p>
<w:p>
<w:pPr><w:pStyle w:val="Normal"/></w:pPr>
<w:r><w:t xml:space="preserve">and thus initiated the movement of the abhorrers, who</w:t></w:r>
</w:p>
<w:p>
<w:pPr><w:pStyle w:val="Normal"/></w:pPr>
<w:r><w:t xml:space="preserve">supported the action of the king. ``The frolic went all</w:t></w:r>
</w:p>
<w:p>
<w:pPr><w:pStyle w:val="Normal"/></w:pPr>
<w:r><w:t xml:space="preserve">over England,&apos;&apos; says Roger North; and the addresses of</w:t></w:r>
</w:p>
<w:p>
<w:pPr><w:pStyle w:val="Normal"/></w:pPr>
<w:r><w:t xml:space="preserve">the Abhorrers which reached the king from all parts of the</w:t></w:r>
</w:p>
<w:p>
<w:pPr><w:pStyle w:val="Normal"/></w:pPr>
<w:r><w:t xml:space="preserve">country formed a counterblast to those of the Petitioners.</w:t></w:r>
</w:p>
<w:p>
<w:pPr><w:pStyle w:val="Normal"/></w:pPr>
<w:r><w:t xml:space="preserve">It is said that the terms Whig and Tory were first applied</w:t></w:r>
</w:p>
<w:p>
<w:pPr><w:pStyle w:val="Normal"/></w:pPr>
<w:r><w:t xml:space="preserve">to English political parties in consequence of this dispute.</w:t></w:r>
</w:p>
<w:p>
<w:pPr><w:pStyle w:val="Normal"/></w:pPr>
<w:r><w:t xml:space="preserve">ABIATHAR (Heb. Ebyathar, ``the [divine] father is</w:t></w:r>
</w:p>
<w:p>
<w:pPr><w:pStyle w:val="Normal"/></w:pPr>
<w:r><w:t xml:space="preserve">pre-eminent&apos;&apos;), in the Bible, son of Ahimelech or Ahijah,</w:t></w:r>
</w:p>
<w:p>
<w:pPr><w:pStyle w:val="Normal"/></w:pPr>
<w:r><w:t xml:space="preserve">priest at Nob. The only one of the priests to escape from</w:t></w:r>
</w:p>
<w:p>
<w:pPr><w:pStyle w:val="Normal"/></w:pPr>
<w:r><w:t xml:space="preserve">Saul&apos;s massacre, he fled to David at Keilah, taking with him</w:t></w:r>
</w:p>
<w:p>
<w:pPr><w:pStyle w:val="Normal"/></w:pPr>
<w:r><w:t xml:space="preserve">the ephod (1 Sam. xxii. 20 f., xxiii. 6, 9). He was of great</w:t></w:r>
</w:p>
<w:p>
<w:pPr><w:pStyle w:val="Normal"/></w:pPr>
<w:r><w:t xml:space="preserve">service to David, especially at the time of the rebellion</w:t></w:r>
</w:p>
<w:p>
<w:pPr><w:pStyle w:val="Normal"/></w:pPr>
<w:r><w:t xml:space="preserve">of Absalom (2 Sam. xv. 24, 29, 35, xx. 25). In 1 Kings iv.</w:t></w:r>
</w:p>
<w:p>
<w:pPr><w:pStyle w:val="Normal"/></w:pPr>
<w:r><w:t xml:space="preserve">4 Zadok and Abiathar are found acting together as priests</w:t></w:r>
</w:p>
<w:p>
<w:pPr><w:pStyle w:val="Normal"/></w:pPr>
<w:r><w:t xml:space="preserve">under Solomon.  In 1 Kings i. 7, 19, 25, however, Abiathar</w:t></w:r>
</w:p>
<w:p>
<w:pPr><w:pStyle w:val="Normal"/></w:pPr>
<w:r><w:t xml:space="preserve">appears as a supporter of Adonijah, and in ii. 22 and 26</w:t></w:r>
</w:p>
<w:p>
<w:pPr><w:pStyle w:val="Normal"/></w:pPr>
<w:r><w:t xml:space="preserve">it is said that he was deposed by Solomon and banished to</w:t></w:r>
</w:p>
<w:p>
<w:pPr><w:pStyle w:val="Normal"/></w:pPr>
<w:r><w:t xml:space="preserve">Anathoth.  In 2 Sam. viii. 17 ``Abiathar, the son of Ahimelech&apos;&apos;</w:t></w:r>
</w:p>
<w:p>
<w:pPr><w:pStyle w:val="Normal"/></w:pPr>
<w:r><w:t xml:space="preserve">should be read, with the Syriac, for ``Ahimelech, the son</w:t></w:r>
</w:p>
<w:p>
<w:pPr><w:pStyle w:val="Normal"/></w:pPr>
<w:r><w:t xml:space="preserve">of Abiathar.&apos;&apos; For a similar confusion see Mark ii. 26.</w:t></w:r>
</w:p>
<w:p>
<w:pPr><w:pStyle w:val="Normal"/></w:pPr>
<w:r><w:t xml:space="preserve">ABICH, OTTO WILHELM HERMANN VON (1806-1886), German</w:t></w:r>
</w:p>
<w:p>
<w:pPr><w:pStyle w:val="Normal"/></w:pPr>
<w:r><w:t xml:space="preserve">mineralogist and geologist, was born at Berlin on the 11th</w:t></w:r>
</w:p>
<w:p>
<w:pPr><w:pStyle w:val="Normal"/></w:pPr>
<w:r><w:t xml:space="preserve">of December 1806, and educated at the university in that</w:t></w:r>
</w:p>
<w:p>
<w:pPr><w:pStyle w:val="Normal"/></w:pPr>
<w:r><w:t xml:space="preserve">city.  His earliest scientific work related to spinels and other</w:t></w:r>
</w:p>
<w:p>
<w:pPr><w:pStyle w:val="Normal"/></w:pPr>
<w:r><w:t xml:space="preserve">minerals, and later he made special studies of fumaroles, of the</w:t></w:r>
</w:p>
<w:p>
<w:pPr><w:pStyle w:val="Normal"/></w:pPr>
<w:r><w:t xml:space="preserve">mineral deposits around volcanic vents and of the structure of</w:t></w:r>
</w:p>
<w:p>
<w:pPr><w:pStyle w:val="Normal"/></w:pPr>
<w:r><w:t xml:space="preserve">volcanoes.  In 1842 he was appointed professor of mineralogy</w:t></w:r>
</w:p>
<w:p>
<w:pPr><w:pStyle w:val="Normal"/></w:pPr>
<w:r><w:t xml:space="preserve">in the university of Dorpat, and henceforth gave attention</w:t></w:r>
</w:p>
<w:p>
<w:pPr><w:pStyle w:val="Normal"/></w:pPr>
<w:r><w:t xml:space="preserve">to the geology and mineralogy of Russia.  Residing for some</w:t></w:r>
</w:p>
<w:p>
<w:pPr><w:pStyle w:val="Normal"/></w:pPr>
<w:r><w:t xml:space="preserve">time at Tiflis he investigated the geology of the Caucasus.</w:t></w:r>
</w:p>
<w:p>
<w:pPr><w:pStyle w:val="Normal"/></w:pPr>
<w:r><w:t xml:space="preserve">Ultimately&apos; he retired to Vienna, where he died on the 1st</w:t></w:r>
</w:p>
<w:p>
<w:pPr><w:pStyle w:val="Normal"/></w:pPr>
<w:r><w:t xml:space="preserve">of July 1886.  The mineral Abichite was named after him.</w:t></w:r>
</w:p>
<w:p>
<w:pPr><w:pStyle w:val="Normal"/></w:pPr>
<w:r><w:t xml:space="preserve">PUBLICATIONS.---Vues illustratives de quelques phenomenes</w:t></w:r>
</w:p>
<w:p>
<w:pPr><w:pStyle w:val="Normal"/></w:pPr>
<w:r><w:t xml:space="preserve">geologiques, prises sur le Vesuve et l&apos;Etna, pendant</w:t></w:r>
</w:p>
<w:p>
<w:pPr><w:pStyle w:val="Normal"/></w:pPr>
<w:r><w:t xml:space="preserve">les annees 1833 et 1834 (Berlin, 1836); Ueber die</w:t></w:r>
</w:p>
<w:p>
<w:pPr><w:pStyle w:val="Normal"/></w:pPr>
<w:r><w:t xml:space="preserve">Natur und den Zusammenhang der vulcanischen Bildungen</w:t></w:r>
</w:p>
<w:p>
<w:pPr><w:pStyle w:val="Normal"/></w:pPr>
<w:r><w:t xml:space="preserve">(Brunswick, 1841); Geologische Forschungen in den</w:t></w:r>
</w:p>
<w:p>
<w:pPr><w:pStyle w:val="Normal"/></w:pPr>
<w:r><w:t xml:space="preserve">Kaukasischen Landern (3 vols., Vienna, 1878, 1882, and 1887).</w:t></w:r>
</w:p>
<w:p>
<w:pPr><w:pStyle w:val="Normal"/></w:pPr>
<w:r><w:t xml:space="preserve">ABIGAIL (Heb. Abigayil, perhaps ``father is joy&apos;&apos;), or</w:t></w:r>
</w:p>
<w:p>
<w:pPr><w:pStyle w:val="Normal"/></w:pPr>
<w:r><w:t xml:space="preserve">ABIGAL (2 Sam. iii. 3), in the Bible, the wife of Nabal the</w:t></w:r>
</w:p>
<w:p>
<w:pPr><w:pStyle w:val="Normal"/></w:pPr>
<w:r><w:t xml:space="preserve">Carmelite, on whose death she became the wife of David (1 Sam.</w:t></w:r>
</w:p>
<w:p>
<w:pPr><w:pStyle w:val="Normal"/></w:pPr>
<w:r><w:t xml:space="preserve">xxv.).  By her David had a son, whose name appears in the</w:t></w:r>
</w:p>
<w:p>
<w:pPr><w:pStyle w:val="Normal"/></w:pPr>
<w:r><w:t xml:space="preserve">Hebrew of 2 Sam. iii. 3 as Chileab, in the Septuagint as</w:t></w:r>
</w:p>
<w:p>
<w:pPr><w:pStyle w:val="Normal"/></w:pPr>
<w:r><w:t xml:space="preserve">Daluyah, and in 1 Chron. iii. 1 as Daniel.  The name</w:t></w:r>
</w:p>
<w:p>
<w:pPr><w:pStyle w:val="Normal"/></w:pPr>
<w:r><w:t xml:space="preserve">Abigail was also borne by a sister of David (2 Sam. xvii.</w:t></w:r>
</w:p>
<w:p>
<w:pPr><w:pStyle w:val="Normal"/></w:pPr>
<w:r><w:t xml:space="preserve">25; 1 Chron. ii. 16 f.).  From the former (self-styled</w:t></w:r>
</w:p>
<w:p>
<w:pPr><w:pStyle w:val="Normal"/></w:pPr>
<w:r><w:t xml:space="preserve">``handmaid&apos;&apos; 1 Sam. xxv. 25 f.) is derived the colloquial use</w:t></w:r>
</w:p>
<w:p>
<w:pPr><w:pStyle w:val="Normal"/></w:pPr>
<w:r><w:t xml:space="preserve">of the term for a waiting-woman (cf. Abigail, the ``waiting</w:t></w:r>
</w:p>
<w:p>
<w:pPr><w:pStyle w:val="Normal"/></w:pPr>
<w:r><w:t xml:space="preserve">gentlewoman,&apos;&apos; in Beaumont and Fletcher&apos;s Scornful Lady.)</w:t></w:r>
</w:p>
<w:p>
<w:pPr><w:pStyle w:val="Normal"/></w:pPr>
<w:r><w:t xml:space="preserve">ABIJAH (Heb. Abiyyah and Abiyyahu, ``Yah is father&apos;&apos;),</w:t></w:r>
</w:p>
<w:p>
<w:pPr><w:pStyle w:val="Normal"/></w:pPr>
<w:r><w:t xml:space="preserve">a name borne by nine different persons mentioned in the Old</w:t></w:r>
</w:p>
<w:p>
<w:pPr><w:pStyle w:val="Normal"/></w:pPr>
<w:r><w:t xml:space="preserve">Testament, of whom the most noteworthy are the following. (i)</w:t></w:r>
</w:p>
<w:p>
<w:pPr><w:pStyle w:val="Normal"/></w:pPr>
<w:r><w:t xml:space="preserve">The son and successor of Rehoboam, king of Judah (2 Chron.</w:t></w:r>
</w:p>
<w:p>
<w:pPr><w:pStyle w:val="Normal"/></w:pPr>
<w:r><w:t xml:space="preserve">xii. 16--xiii.), reigned about two years (918-915 B.C..)</w:t></w:r>
</w:p>
<w:p>
<w:pPr><w:pStyle w:val="Normal"/></w:pPr>
<w:r><w:t xml:space="preserve">The accounts of him in the books of Kings and Chronicles are</w:t></w:r>
</w:p>
<w:p>
<w:pPr><w:pStyle w:val="Normal"/></w:pPr>
<w:r><w:t xml:space="preserve">very conflicting (compare 1 Kings xv. 2 and 2 Chron. xi.20</w:t></w:r>
</w:p>
<w:p>
<w:pPr><w:pStyle w:val="Normal"/></w:pPr>
<w:r><w:t xml:space="preserve">with 2 Chron. xiii.2).  The Chronicler tells us that he has</w:t></w:r>
</w:p>
<w:p>
<w:pPr><w:pStyle w:val="Normal"/></w:pPr>
<w:r><w:t xml:space="preserve">drawn his facts from the Midrash (commentary) of the prophet</w:t></w:r>
</w:p>
<w:p>
<w:pPr><w:pStyle w:val="Normal"/></w:pPr>
<w:r><w:t xml:space="preserve">Iddo This is perhaps sufficient to explain the character of</w:t></w:r>
</w:p>
<w:p>
<w:pPr><w:pStyle w:val="Normal"/></w:pPr>
<w:r><w:t xml:space="preserve">the narrative. (2) The second son of Samuel (1 Sam. viii.</w:t></w:r>
</w:p>
<w:p>
<w:pPr><w:pStyle w:val="Normal"/></w:pPr>
<w:r><w:t xml:space="preserve">2; 1 Chron. vi. 28 [13j).  He and his brother Joel judged at</w:t></w:r>
</w:p>
<w:p>
<w:pPr><w:pStyle w:val="Normal"/></w:pPr>
<w:r><w:t xml:space="preserve">Beersheba.  Their misconduct was made by the elders of</w:t></w:r>
</w:p>
<w:p>
<w:pPr><w:pStyle w:val="Normal"/></w:pPr>
<w:r><w:t xml:space="preserve">Israel a pretext for demanding a king (1 Sam. viii. 4).</w:t></w:r>
</w:p>
<w:p>
<w:pPr><w:pStyle w:val="Normal"/></w:pPr>
<w:r><w:t xml:space="preserve">(3) A son of Jeroboam I., king of Israel; he died young</w:t></w:r>
</w:p>
<w:p>
<w:pPr><w:pStyle w:val="Normal"/></w:pPr>
<w:r><w:t xml:space="preserve">(1 Kings xiv. 1 ff., 17). (4) Head of the eighth order of</w:t></w:r>
</w:p>
<w:p>
<w:pPr><w:pStyle w:val="Normal"/></w:pPr>
<w:r><w:t xml:space="preserve">priests (1 Chron. xxiv. 10), the order to which Zacharias,</w:t></w:r>
</w:p>
<w:p>
<w:pPr><w:pStyle w:val="Normal"/></w:pPr>
<w:r><w:t xml:space="preserve">the father of John the Baptist, belonged (Luke i. 5).</w:t></w:r>
</w:p>
<w:p>
<w:pPr><w:pStyle w:val="Normal"/></w:pPr>
<w:r><w:t xml:space="preserve">The alternative form Abijam is probably a</w:t></w:r>
</w:p>
<w:p>
<w:pPr><w:pStyle w:val="Normal"/></w:pPr>
<w:r><w:t xml:space="preserve">mistake, though it is upheld by M. Jastrow.</w:t></w:r>
</w:p>
<w:p>
<w:pPr><w:pStyle w:val="Normal"/></w:pPr>
<w:r><w:t xml:space="preserve">ABILA, (1) a city of ancient Syria, the capital of the</w:t></w:r>
</w:p>
<w:p>
<w:pPr><w:pStyle w:val="Normal"/></w:pPr>
<w:r><w:t xml:space="preserve">tetrarchy of Abilene, a territory whose extent it is impossible</w:t></w:r>
</w:p>
<w:p>
<w:pPr><w:pStyle w:val="Normal"/></w:pPr>
<w:r><w:t xml:space="preserve">to define.  It is generally called Abila of Lysanias, to</w:t></w:r>
</w:p>
<w:p>
<w:pPr><w:pStyle w:val="Normal"/></w:pPr>
<w:r><w:t xml:space="preserve">distinguish it from (2) below.  Abila was an important town on</w:t></w:r>
</w:p>
<w:p>
<w:pPr><w:pStyle w:val="Normal"/></w:pPr>
<w:r><w:t xml:space="preserve">the imperial highway from Damascus to Heliopolis (Baalbek).</w:t></w:r>
</w:p>
<w:p>
<w:pPr><w:pStyle w:val="Normal"/></w:pPr>
<w:r><w:t xml:space="preserve">The site is indicated by ruins of a temple, aqueducts, &amp;c.,</w:t></w:r>
</w:p>
<w:p>
<w:pPr><w:pStyle w:val="Normal"/></w:pPr>
<w:r><w:t xml:space="preserve">and inscriptions on the banks of the river Barada at Suk</w:t></w:r>
</w:p>
<w:p>
<w:pPr><w:pStyle w:val="Normal"/></w:pPr>
<w:r><w:t xml:space="preserve">Wadi Barada, a village called by early Arab geographers</w:t></w:r>
</w:p>
<w:p>
<w:pPr><w:pStyle w:val="Normal"/></w:pPr>
<w:r><w:t xml:space="preserve">Abil-es-Suk, between Baalbek and Damascus.  Though the names</w:t></w:r>
</w:p>
<w:p>
<w:pPr><w:pStyle w:val="Normal"/></w:pPr>
<w:r><w:t xml:space="preserve">Abel and Abila differ in derivation and in meaning, their</w:t></w:r>
</w:p>
<w:p>
<w:pPr><w:pStyle w:val="Normal"/></w:pPr>
<w:r><w:t xml:space="preserve">similarity has given rise to the tradition that this was the</w:t></w:r>
</w:p>
<w:p>
<w:pPr><w:pStyle w:val="Normal"/></w:pPr>
<w:r><w:t xml:space="preserve">place of Abel&apos;s burial.  According to Josephus, Abilene was a</w:t></w:r>
</w:p>
<w:p>
<w:pPr><w:pStyle w:val="Normal"/></w:pPr>
<w:r><w:t xml:space="preserve">separate Iturean kingdom till A.D. 37, when it was granted</w:t></w:r>
</w:p>
<w:p>
<w:pPr><w:pStyle w:val="Normal"/></w:pPr>
<w:r><w:t xml:space="preserve">by C to Agrippa I.; in 52 Claudius granted it to Agrippa II.</w:t></w:r>
</w:p>
<w:p>
<w:pPr><w:pStyle w:val="Normal"/></w:pPr>
<w:r><w:t xml:space="preserve">(See also LYSANIAS.) (2) A city in Perea, now Abil-ez-Zeit.</w:t></w:r>
</w:p>
<w:p>
<w:pPr><w:pStyle w:val="Normal"/></w:pPr>
<w:r><w:t xml:space="preserve">ABILDGAARD, NIKOLAJ ABRAHAM (1744-1809), called ``the</w:t></w:r>
</w:p>
<w:p>
<w:pPr><w:pStyle w:val="Normal"/></w:pPr>
<w:r><w:t xml:space="preserve">Father of Danish Painting,&apos;&apos; was born at Copenhagen, the</w:t></w:r>
</w:p>
<w:p>
<w:pPr><w:pStyle w:val="Normal"/></w:pPr>
<w:r><w:t xml:space="preserve">son of Soren Abildgaard, an antiquarian draughtsman of</w:t></w:r>
</w:p>
<w:p>
<w:pPr><w:pStyle w:val="Normal"/></w:pPr>
<w:r><w:t xml:space="preserve">repute.  He formed his style on that of Claude and of Nicolas</w:t></w:r>
</w:p>
<w:p>
<w:pPr><w:pStyle w:val="Normal"/></w:pPr>
<w:r><w:t xml:space="preserve">Poussin, and was a cold theorist, inspired not by nature but by</w:t></w:r>
</w:p>
<w:p>
<w:pPr><w:pStyle w:val="Normal"/></w:pPr>
<w:r><w:t xml:space="preserve">art.  As a technical painter he attained remarkable success,</w:t></w:r>
</w:p>
<w:p>
<w:pPr><w:pStyle w:val="Normal"/></w:pPr>
<w:r><w:t xml:space="preserve">his tone being very harmonious and even, but the effect, to a</w:t></w:r>
</w:p>
<w:p>
<w:pPr><w:pStyle w:val="Normal"/></w:pPr>
<w:r><w:t xml:space="preserve">foreigner&apos;s eye, is rarely interesting.  His works are scarcely</w:t></w:r>
</w:p>
<w:p>
<w:pPr><w:pStyle w:val="Normal"/></w:pPr>
<w:r><w:t xml:space="preserve">known out of Copenhagen, where he won an immense fame in his</w:t></w:r>
</w:p>
<w:p>
<w:pPr><w:pStyle w:val="Normal"/></w:pPr>
<w:r><w:t xml:space="preserve">own generation.  He was the founder of the Danish school of</w:t></w:r>
</w:p>
<w:p>
<w:pPr><w:pStyle w:val="Normal"/></w:pPr>
<w:r><w:t xml:space="preserve">painting, and the master of Thorwaldsen and Eckersherg.</w:t></w:r>
</w:p>
<w:p>
<w:pPr><w:pStyle w:val="Normal"/></w:pPr>
<w:r><w:t xml:space="preserve">ABIMELECH (Hebrew for ``father of [or is] the king&apos;&apos;).</w:t></w:r>
</w:p>
<w:p>
<w:pPr><w:pStyle w:val="Normal"/></w:pPr>
<w:r><w:t xml:space="preserve">(1) A king of Gerar in South Palestine with whom Isaac, in</w:t></w:r>
</w:p>
<w:p>
<w:pPr><w:pStyle w:val="Normal"/></w:pPr>
<w:r><w:t xml:space="preserve">the Bible, had relations.  The patriarch, during his sojourn</w:t></w:r>
</w:p>
<w:p>
<w:pPr><w:pStyle w:val="Normal"/></w:pPr>
<w:r><w:t xml:space="preserve">there, alleged that his wife Rebekah was his sister, but the</w:t></w:r>
</w:p>
<w:p>
<w:pPr><w:pStyle w:val="Normal"/></w:pPr>
<w:r><w:t xml:space="preserve">king doubting this remonstrated with him and pointed out how</w:t></w:r>
</w:p>
<w:p>
<w:pPr><w:pStyle w:val="Normal"/></w:pPr>
<w:r><w:t xml:space="preserve">easily adultery might have been unintentionally committed (Gen.</w:t></w:r>
</w:p>
<w:p>
<w:pPr><w:pStyle w:val="Normal"/></w:pPr>
<w:r><w:t xml:space="preserve">xxvi.).  Abimelech is called ``king of the Philistines,&apos;&apos; but</w:t></w:r>
</w:p>
<w:p>
<w:pPr><w:pStyle w:val="Normal"/></w:pPr>
<w:r><w:t xml:space="preserve">the title is clearly an anachronism.  A very similar story</w:t></w:r>
</w:p>
<w:p>
<w:pPr><w:pStyle w:val="Normal"/></w:pPr>
<w:r><w:t xml:space="preserve">is told of Abraham and Sarah (ch. xx.), but here Abimelech</w:t></w:r>
</w:p>
<w:p>
<w:pPr><w:pStyle w:val="Normal"/></w:pPr>
<w:r><w:t xml:space="preserve">takes Sarah to wife, although he is warned by a divine vision</w:t></w:r>
</w:p>
<w:p>
<w:pPr><w:pStyle w:val="Normal"/></w:pPr>
<w:r><w:t xml:space="preserve">before the crime is actually committed.  The incident is</w:t></w:r>
</w:p>
<w:p>
<w:pPr><w:pStyle w:val="Normal"/></w:pPr>
<w:r><w:t xml:space="preserve">fuller and shows a great advance in bdeas of morality.  Of</w:t></w:r>
</w:p>
<w:p>
<w:pPr><w:pStyle w:val="Normal"/></w:pPr>
<w:r><w:t xml:space="preserve">a more primitive character, however, is another parallel</w:t></w:r>
</w:p>
<w:p>
<w:pPr><w:pStyle w:val="Normal"/></w:pPr>
<w:r><w:t xml:space="preserve">story of Abraham at the court of Pharaoh, king of Egypt (xii.</w:t></w:r>
</w:p>
<w:p>
<w:pPr><w:pStyle w:val="Normal"/></w:pPr>
<w:r><w:t xml:space="preserve">10-20), where Sarah his wife is taken into the royal household,</w:t></w:r>
</w:p>
<w:p>
<w:pPr><w:pStyle w:val="Normal"/></w:pPr>
<w:r><w:t xml:space="preserve">and the plagues sent by Yahweh lead to the discovery of the</w:t></w:r>
</w:p>
<w:p>
<w:pPr><w:pStyle w:val="Normal"/></w:pPr>
<w:r><w:t xml:space="preserve">truth.  Further incidents in Isaac&apos;s life at Gerar are narrated</w:t></w:r>
</w:p>
<w:p>
<w:pPr><w:pStyle w:val="Normal"/></w:pPr>
<w:r><w:t xml:space="preserve">in Gen. xxvi. (cp. xxi. 22-34, time of Abraham), notably a</w:t></w:r>
</w:p>
<w:p>
<w:pPr><w:pStyle w:val="Normal"/></w:pPr>
<w:r><w:t xml:space="preserve">covenant with Abimelech at Beer-sheba (whence the name is</w:t></w:r>
</w:p>
<w:p>
<w:pPr><w:pStyle w:val="Normal"/></w:pPr>
<w:r><w:t xml:space="preserve">explained ``well of the oath&apos;&apos;); (see ABRAHAM.) By a pure</w:t></w:r>
</w:p>
<w:p>
<w:pPr><w:pStyle w:val="Normal"/></w:pPr>
<w:r><w:t xml:space="preserve">error, or perhaps through a confusion in the traditions, Achish</w:t></w:r>
</w:p>
<w:p>
<w:pPr><w:pStyle w:val="Normal"/></w:pPr>
<w:r><w:t xml:space="preserve">the Philistine (of Gath, 1 Sam. xxi., xxvii.), to whom David</w:t></w:r>
</w:p>
<w:p>
<w:pPr><w:pStyle w:val="Normal"/></w:pPr>
<w:r><w:t xml:space="preserve">fled, is called Abimelech in the superscription to Psalm xxxiv.</w:t></w:r>
</w:p>
<w:p>
<w:pPr><w:pStyle w:val="Normal"/></w:pPr>
<w:r><w:t xml:space="preserve">(2) A son of Jerubbaal or Gideon (q.v.), by his Shechemite</w:t></w:r>
</w:p>
<w:p>
<w:pPr><w:pStyle w:val="Normal"/></w:pPr>
<w:r><w:t xml:space="preserve">concubine (Judges viii. 31, ix.).  On the death of Gideon,</w:t></w:r>
</w:p>
<w:p>
<w:pPr><w:pStyle w:val="Normal"/></w:pPr>
<w:r><w:t xml:space="preserve">Abimelech set himself to assert the authority which his</w:t></w:r>
</w:p>
<w:p>
<w:pPr><w:pStyle w:val="Normal"/></w:pPr>
<w:r><w:t xml:space="preserve">father had earned, and through the influence of his mother&apos;s</w:t></w:r>
</w:p>
<w:p>
<w:pPr><w:pStyle w:val="Normal"/></w:pPr>
<w:r><w:t xml:space="preserve">clan won over the citizens of Shechem.  Furnished with money</w:t></w:r>
</w:p>
<w:p>
<w:pPr><w:pStyle w:val="Normal"/></w:pPr>
<w:r><w:t xml:space="preserve">from the treasury of the temple of Baal-berith, he hired a</w:t></w:r>
</w:p>
<w:p>
<w:pPr><w:pStyle w:val="Normal"/></w:pPr>
<w:r><w:t xml:space="preserve">band of followers and slew seventy (cp. 2 Kings x. 7) of his</w:t></w:r>
</w:p>
<w:p>
<w:pPr><w:pStyle w:val="Normal"/></w:pPr>
<w:r><w:t xml:space="preserve">brethren at Ophrah, his father&apos;s home.  This is one of the</w:t></w:r>
</w:p>
<w:p>
<w:pPr><w:pStyle w:val="Normal"/></w:pPr>
<w:r><w:t xml:space="preserve">earliest recorded instances of a practice common enough on</w:t></w:r>
</w:p>
<w:p>
<w:pPr><w:pStyle w:val="Normal"/></w:pPr>
<w:r><w:t xml:space="preserve">the accession of Oriental despots.  Abimelech thus became</w:t></w:r>
</w:p>
<w:p>
<w:pPr><w:pStyle w:val="Normal"/></w:pPr>
<w:r><w:t xml:space="preserve">king, and extended his authority Over central Palestine.</w:t></w:r>
</w:p>
<w:p>
<w:pPr><w:pStyle w:val="Normal"/></w:pPr>
<w:r><w:t xml:space="preserve">But his success was short-lived, and the subsequent discord</w:t></w:r>
</w:p>
<w:p>
<w:pPr><w:pStyle w:val="Normal"/></w:pPr>
<w:r><w:t xml:space="preserve">between Abimelech and the Shechemites was regarded as a just</w:t></w:r>
</w:p>
<w:p>
<w:pPr><w:pStyle w:val="Normal"/></w:pPr>
<w:r><w:t xml:space="preserve">reward for his atrocious massacre.  Jotham, the only one who</w:t></w:r>
</w:p>
<w:p>
<w:pPr><w:pStyle w:val="Normal"/></w:pPr>
<w:r><w:t xml:space="preserve">is said to have escaped, boldly appeared on Mount Gerizim</w:t></w:r>
</w:p>
<w:p>
<w:pPr><w:pStyle w:val="Normal"/></w:pPr>
<w:r><w:t xml:space="preserve">and denounced the ingratitude of the townsmen towards the</w:t></w:r>
</w:p>
<w:p>
<w:pPr><w:pStyle w:val="Normal"/></w:pPr>
<w:r><w:t xml:space="preserve">legitimate sons of the man who had saved them from Midian.</w:t></w:r>
</w:p>
<w:p>
<w:pPr><w:pStyle w:val="Normal"/></w:pPr>
<w:r><w:t xml:space="preserve">``Jotham&apos;s fable&apos;&apos; of the trees who desired a king may be</w:t></w:r>
</w:p>
<w:p>
<w:pPr><w:pStyle w:val="Normal"/></w:pPr>
<w:r><w:t xml:space="preserve">foreign to the context; it is a piece of popular lore, and</w:t></w:r>
</w:p>
<w:p>
<w:pPr><w:pStyle w:val="Normal"/></w:pPr>
<w:r><w:t xml:space="preserve">cannot be pressed too far: the nobler trees have no wish to</w:t></w:r>
</w:p>
<w:p>
<w:pPr><w:pStyle w:val="Normal"/></w:pPr>
<w:r><w:t xml:space="preserve">rule over others, only the bramble is self-confident.  The</w:t></w:r>
</w:p>
<w:p>
<w:pPr><w:pStyle w:val="Normal"/></w:pPr>
<w:r><w:t xml:space="preserve">``fable&apos;&apos; appears to be antagonistic to ideas of monarchy.</w:t></w:r>
</w:p>
<w:p>
<w:pPr><w:pStyle w:val="Normal"/></w:pPr>
<w:r><w:t xml:space="preserve">The origin of the conflicts which subsequently arose is not</w:t></w:r>
</w:p>
<w:p>
<w:pPr><w:pStyle w:val="Normal"/></w:pPr>
<w:r><w:t xml:space="preserve">clear.  Gaal, a new-comer, took the opportunity at the time</w:t></w:r>
</w:p>
<w:p>
<w:pPr><w:pStyle w:val="Normal"/></w:pPr>
<w:r><w:t xml:space="preserve">of the vintage, when there was a festival in tho temple, to</w:t></w:r>
</w:p>
<w:p>
<w:pPr><w:pStyle w:val="Normal"/></w:pPr>
<w:r><w:t xml:space="preserve">head a revolt and seized Shechem.  Abimelech, warned by his</w:t></w:r>
</w:p>
<w:p>
<w:pPr><w:pStyle w:val="Normal"/></w:pPr>
<w:r><w:t xml:space="preserve">deputy Zebul, left his residence at Arumah and approached the</w:t></w:r>
</w:p>
<w:p>
<w:pPr><w:pStyle w:val="Normal"/></w:pPr>
<w:r><w:t xml:space="preserve">city.  In a fine bit of realism we are told how Gaal observed</w:t></w:r>
</w:p>
<w:p>
<w:pPr><w:pStyle w:val="Normal"/></w:pPr>
<w:r><w:t xml:space="preserve">the approaching foe and was told by Zebul, ``You see the</w:t></w:r>
</w:p>
<w:p>
<w:pPr><w:pStyle w:val="Normal"/></w:pPr>
<w:r><w:t xml:space="preserve">shadow of the hills as men,&apos;&apos; and as they drew nearer Zebul&apos;s</w:t></w:r>
</w:p>
<w:p>
<w:pPr><w:pStyle w:val="Normal"/></w:pPr>
<w:r><w:t xml:space="preserve">ironical remark became a taunt, ``Where is now thy mouth?</w:t></w:r>
</w:p>
<w:p>
<w:pPr><w:pStyle w:val="Normal"/></w:pPr>
<w:r><w:t xml:space="preserve">is not this the people thou didst despise? go now and fight</w:t></w:r>
</w:p>
<w:p>
<w:pPr><w:pStyle w:val="Normal"/></w:pPr>
<w:r><w:t xml:space="preserve">them!&apos;&apos; This revolt, which Abimelech successfully quelled,</w:t></w:r>
</w:p>
<w:p>
<w:pPr><w:pStyle w:val="Normal"/></w:pPr>
<w:r><w:t xml:space="preserve">appears to be only an isolated episode.  Another account</w:t></w:r>
</w:p>
<w:p>
<w:pPr><w:pStyle w:val="Normal"/></w:pPr>
<w:r><w:t xml:space="preserve">tells of marauding bands of Shechemites which disturbed the</w:t></w:r>
</w:p>
<w:p>
<w:pPr><w:pStyle w:val="Normal"/></w:pPr>
<w:r><w:t xml:space="preserve">district.  The king disposed his men (the whole chapter is</w:t></w:r>
</w:p>
<w:p>
<w:pPr><w:pStyle w:val="Normal"/></w:pPr>
<w:r><w:t xml:space="preserve">specially interesting for the full details it gives of the</w:t></w:r>
</w:p>
<w:p>
<w:pPr><w:pStyle w:val="Normal"/></w:pPr>
<w:r><w:t xml:space="preserve">nature of ancient military operations), and after totally</w:t></w:r>
</w:p>
<w:p>
<w:pPr><w:pStyle w:val="Normal"/></w:pPr>
<w:r><w:t xml:space="preserve">destroying Shechem, proceeded against Thebez, which had also</w:t></w:r>
</w:p>
<w:p>
<w:pPr><w:pStyle w:val="Normal"/></w:pPr>
<w:r><w:t xml:space="preserve">revolted.  Here, while storming the citadel, he was struck on</w:t></w:r>
</w:p>
<w:p>
<w:pPr><w:pStyle w:val="Normal"/></w:pPr>
<w:r><w:t xml:space="preserve">the head by a fragment of a millstone thrown from the wall by a</w:t></w:r>
</w:p>
<w:p>
<w:pPr><w:pStyle w:val="Normal"/></w:pPr>
<w:r><w:t xml:space="preserve">woman.  To avoid the disgrace of perishing by a woman&apos;s hand,</w:t></w:r>
</w:p>
<w:p>
<w:pPr><w:pStyle w:val="Normal"/></w:pPr>
<w:r><w:t xml:space="preserve">he begged his armour-bearer to run him through the body, but</w:t></w:r>
</w:p>
<w:p>
<w:pPr><w:pStyle w:val="Normal"/></w:pPr>
<w:r><w:t xml:space="preserve">his memory was not saved from the ignominy he dreaded (2 Sam.</w:t></w:r>
</w:p>
<w:p>
<w:pPr><w:pStyle w:val="Normal"/></w:pPr>
<w:r><w:t xml:space="preserve">xi. 21). It is usual to regard Abimelech&apos;s reign as the first</w:t></w:r>
</w:p>
<w:p>
<w:pPr><w:pStyle w:val="Normal"/></w:pPr>
<w:r><w:t xml:space="preserve">attempt to establish a monarchy in Israel, but the story is</w:t></w:r>
</w:p>
<w:p>
<w:pPr><w:pStyle w:val="Normal"/></w:pPr>
<w:r><w:t xml:space="preserve">mainly that of the rivalries of a half-developed petty state,</w:t></w:r>
</w:p>
<w:p>
<w:pPr><w:pStyle w:val="Normal"/></w:pPr>
<w:r><w:t xml:space="preserve">and of the ingratitude of a community towards the descendants</w:t></w:r>
</w:p>
<w:p>
<w:pPr><w:pStyle w:val="Normal"/></w:pPr>
<w:r><w:t xml:space="preserve">of its deliverer. (See, further, JEWS, JUDGES.) (S. A. C.)</w:t></w:r>
</w:p>
<w:p>
<w:pPr><w:pStyle w:val="Normal"/></w:pPr>
<w:r><w:t xml:space="preserve">ABINGDON, a market town and municipal borough in the</w:t></w:r>
</w:p>
<w:p>
<w:pPr><w:pStyle w:val="Normal"/></w:pPr>
<w:r><w:t xml:space="preserve">Abingdon parliamentary division of Berkshire, England, 6</w:t></w:r>
</w:p>
<w:p>
<w:pPr><w:pStyle w:val="Normal"/></w:pPr>
<w:r><w:t xml:space="preserve">m.  S. of Oxford, the terminus of a branch of the Great</w:t></w:r>
</w:p>
<w:p>
<w:pPr><w:pStyle w:val="Normal"/></w:pPr>
<w:r><w:t xml:space="preserve">Western railway from Radley.  Pop. (1901) 6480.  It lies</w:t></w:r>
</w:p>
<w:p>
<w:pPr><w:pStyle w:val="Normal"/></w:pPr>
<w:r><w:t xml:space="preserve">in the fiat valley of the Thames, on the west (right) bank,</w:t></w:r>
</w:p>
<w:p>
<w:pPr><w:pStyle w:val="Normal"/></w:pPr>
<w:r><w:t xml:space="preserve">where the small river Ock flows in from the Vale of White</w:t></w:r>
</w:p>
<w:p>
<w:pPr><w:pStyle w:val="Normal"/></w:pPr>
<w:r><w:t xml:space="preserve">Horse.  The church of St Helen stands near the river, and</w:t></w:r>
</w:p>
<w:p>
<w:pPr><w:pStyle w:val="Normal"/></w:pPr>
<w:r><w:t xml:space="preserve">its fine Early English tower with Perpendicular spire is the</w:t></w:r>
</w:p>
<w:p>
<w:pPr><w:pStyle w:val="Normal"/></w:pPr>
<w:r><w:t xml:space="preserve">principal object in the pleasant views of the town from the</w:t></w:r>
</w:p>
<w:p>
<w:pPr><w:pStyle w:val="Normal"/></w:pPr>
<w:r><w:t xml:space="preserve">river.  The body of the church, which has five aisles, is</w:t></w:r>
</w:p>
<w:p>
<w:pPr><w:pStyle w:val="Normal"/></w:pPr>
<w:r><w:t xml:space="preserve">principally Perpendicular.  The smaller church of St Nicholas</w:t></w:r>
</w:p>
<w:p>
<w:pPr><w:pStyle w:val="Normal"/></w:pPr>
<w:r><w:t xml:space="preserve">is Perpendicular in appearance, though parts of the fabric are</w:t></w:r>
</w:p>
<w:p>
<w:pPr><w:pStyle w:val="Normal"/></w:pPr>
<w:r><w:t xml:space="preserve">older.  Of a Benedictine abbey there remain a beautiful</w:t></w:r>
</w:p>
<w:p>
<w:pPr><w:pStyle w:val="Normal"/></w:pPr>
<w:r><w:t xml:space="preserve">Perpendicular gateway, and ruins of buildings called the prior&apos;s</w:t></w:r>
</w:p>
<w:p>
<w:pPr><w:pStyle w:val="Normal"/></w:pPr>
<w:r><w:t xml:space="preserve">house, mainly Early English, and the guest house, with other</w:t></w:r>
</w:p>
<w:p>
<w:pPr><w:pStyle w:val="Normal"/></w:pPr>
<w:r><w:t xml:space="preserve">fragments.  The picturesque narrow-arched bridge over the Thames</w:t></w:r>
</w:p>
<w:p>
<w:pPr><w:pStyle w:val="Normal"/></w:pPr>
<w:r><w:t xml:space="preserve">near St Helen&apos;s church dates originally from 1416.  There may</w:t></w:r>
</w:p>
<w:p>
<w:pPr><w:pStyle w:val="Normal"/></w:pPr>
<w:r><w:t xml:space="preserve">be mentioned further the old buildings of the grammar school,</w:t></w:r>
</w:p>
<w:p>
<w:pPr><w:pStyle w:val="Normal"/></w:pPr>
<w:r><w:t xml:space="preserve">founded in 1563, and of the charity called Christ&apos;s Hospital</w:t></w:r>
</w:p>
<w:p>
<w:pPr><w:pStyle w:val="Normal"/></w:pPr>
<w:r><w:t xml:space="preserve">(1583); while the town-hall in the marketplace, dating from</w:t></w:r>
</w:p>
<w:p>
<w:pPr><w:pStyle w:val="Normal"/></w:pPr>
<w:r><w:t xml:space="preserve">1677, is attributed to Inigo Jones.  The grammar school now</w:t></w:r>
</w:p>
<w:p>
<w:pPr><w:pStyle w:val="Normal"/></w:pPr>
<w:r><w:t xml:space="preserve">occupies modern buildings, and ranks among the lesser public</w:t></w:r>
</w:p>
<w:p>
<w:pPr><w:pStyle w:val="Normal"/></w:pPr>
<w:r><w:t xml:space="preserve">schools of England, having scholarships at Pembroke College,</w:t></w:r>
</w:p>
<w:p>
<w:pPr><w:pStyle w:val="Normal"/></w:pPr>
<w:r><w:t xml:space="preserve">Oxford.  St Peter&apos;s College, Radley, 2 m. from Abingdon, is</w:t></w:r>
</w:p>
<w:p>
<w:pPr><w:pStyle w:val="Normal"/></w:pPr>
<w:r><w:t xml:space="preserve">one of the principal modern public schools.  It was opened in</w:t></w:r>
</w:p>
<w:p>
<w:pPr><w:pStyle w:val="Normal"/></w:pPr>
<w:r><w:t xml:space="preserve">1847.  The buildings he close to the Thames, and the school is</w:t></w:r>
</w:p>
<w:p>
<w:pPr><w:pStyle w:val="Normal"/></w:pPr>
<w:r><w:t xml:space="preserve">famous for rowing, sending an eight to the regatta at Henley each</w:t></w:r>
</w:p>
<w:p>
<w:pPr><w:pStyle w:val="Normal"/></w:pPr>
<w:r><w:t xml:space="preserve">year.  Abingdon has manufactures of clothing and carpets and</w:t></w:r>
</w:p>
<w:p>
<w:pPr><w:pStyle w:val="Normal"/></w:pPr>
<w:r><w:t xml:space="preserve">a large agricultural trade.  The borough is under a mayor,</w:t></w:r>
</w:p>
<w:p>
<w:pPr><w:pStyle w:val="Normal"/></w:pPr>
<w:r><w:t xml:space="preserve">four aldermen and twelve councillors.  Area, 730 acres.</w:t></w:r>
</w:p>
<w:p>
<w:pPr><w:pStyle w:val="Normal"/></w:pPr>
<w:r><w:t xml:space="preserve">Abingdon (Abbedun, Abendun) was famous for its abbey, which</w:t></w:r>
</w:p>
<w:p>
<w:pPr><w:pStyle w:val="Normal"/></w:pPr>
<w:r><w:t xml:space="preserve">was of great wealth and importance, and is believed to have</w:t></w:r>
</w:p>
<w:p>
<w:pPr><w:pStyle w:val="Normal"/></w:pPr>
<w:r><w:t xml:space="preserve">been founded in A.D. 675 by Cissa, one of the subreguli of</w:t></w:r>
</w:p>
<w:p>
<w:pPr><w:pStyle w:val="Normal"/></w:pPr>
<w:r><w:t xml:space="preserve">Centwin.  Abundant charters from early Saxon monarchs are</w:t></w:r>
</w:p>
<w:p>
<w:pPr><w:pStyle w:val="Normal"/></w:pPr>
<w:r><w:t xml:space="preserve">extant confirming laws and privileges to the abbey, and the</w:t></w:r>
</w:p>
<w:p>
<w:pPr><w:pStyle w:val="Normal"/></w:pPr>
<w:r><w:t xml:space="preserve">earliest of these, from King Ceadwalla, was granted before</w:t></w:r>
</w:p>
<w:p>
<w:pPr><w:pStyle w:val="Normal"/></w:pPr>
<w:r><w:t xml:space="preserve">A.D. 688. in the reign of Alfred the abbey was destroyed</w:t></w:r>
</w:p>
<w:p>
<w:pPr><w:pStyle w:val="Normal"/></w:pPr>
<w:r><w:t xml:space="preserve">by the Danes, but it was restored by Edred, and an imposing</w:t></w:r>
</w:p>
<w:p>
<w:pPr><w:pStyle w:val="Normal"/></w:pPr>
<w:r><w:t xml:space="preserve">list of possessions in the Domesday survey evidences recovered</w:t></w:r>
</w:p>
<w:p>
<w:pPr><w:pStyle w:val="Normal"/></w:pPr>
<w:r><w:t xml:space="preserve">prosperity.  William the Conqueror in 1084 celebrated Easter at</w:t></w:r>
</w:p>
<w:p>
<w:pPr><w:pStyle w:val="Normal"/></w:pPr>
<w:r><w:t xml:space="preserve">Abingdon, and left his son, afterwards Henry I., to be educated</w:t></w:r>
</w:p>
<w:p>
<w:pPr><w:pStyle w:val="Normal"/></w:pPr>
<w:r><w:t xml:space="preserve">at the abbey.  After the dissolution in 1538 the town sank</w:t></w:r>
</w:p>
<w:p>
<w:pPr><w:pStyle w:val="Normal"/></w:pPr>
<w:r><w:t xml:space="preserve">into decay, and in 1555, on a representation of its pitiable</w:t></w:r>
</w:p>
<w:p>
<w:pPr><w:pStyle w:val="Normal"/></w:pPr>
<w:r><w:t xml:space="preserve">condition, Queen Mary granted a charter establishing a mayor,</w:t></w:r>
</w:p>
<w:p>
<w:pPr><w:pStyle w:val="Normal"/></w:pPr>
<w:r><w:t xml:space="preserve">two bailiffs, twelve chief burgesses, and sixteen secondary</w:t></w:r>
</w:p>
<w:p>
<w:pPr><w:pStyle w:val="Normal"/></w:pPr>
<w:r><w:t xml:space="preserve">burgesses, the mayor to be clerk of the market, coroner and</w:t></w:r>
</w:p>
<w:p>
<w:pPr><w:pStyle w:val="Normal"/></w:pPr>
<w:r><w:t xml:space="preserve">a Justice of the peace.  The council was empowered to elect</w:t></w:r>
</w:p>
<w:p>
<w:pPr><w:pStyle w:val="Normal"/></w:pPr>
<w:r><w:t xml:space="preserve">one burgess to parliament, and this right continued until the</w:t></w:r>
</w:p>
<w:p>
<w:pPr><w:pStyle w:val="Normal"/></w:pPr>
<w:r><w:t xml:space="preserve">Redistribution of Seats Act of 1885.  A town clerk and other</w:t></w:r>
</w:p>
<w:p>
<w:pPr><w:pStyle w:val="Normal"/></w:pPr>
<w:r><w:t xml:space="preserve">officers were also appointed, and the town boundaries described</w:t></w:r>
</w:p>
<w:p>
<w:pPr><w:pStyle w:val="Normal"/></w:pPr>
<w:r><w:t xml:space="preserve">in great detail.  Later charters from Elizabeth, James I.,</w:t></w:r>
</w:p>
<w:p>
<w:pPr><w:pStyle w:val="Normal"/></w:pPr>
<w:r><w:t xml:space="preserve">James II., George Il. and George III. made no considerable</w:t></w:r>
</w:p>
<w:p>
<w:pPr><w:pStyle w:val="Normal"/></w:pPr>
<w:r><w:t xml:space="preserve">change.  James II. changed the style of the corporation to</w:t></w:r>
</w:p>
<w:p>
<w:pPr><w:pStyle w:val="Normal"/></w:pPr>
<w:r><w:t xml:space="preserve">that of a mayor, twelve aldermen and twelve burgesses.  The</w:t></w:r>
</w:p>
<w:p>
<w:pPr><w:pStyle w:val="Normal"/></w:pPr>
<w:r><w:t xml:space="preserve">abbot seems to have held a market from very early times, and</w:t></w:r>
</w:p>
<w:p>
<w:pPr><w:pStyle w:val="Normal"/></w:pPr>
<w:r><w:t xml:space="preserve">charters for the holding of markets and fairs mere granted by</w:t></w:r>
</w:p>
<w:p>
<w:pPr><w:pStyle w:val="Normal"/></w:pPr>
<w:r><w:t xml:space="preserve">various sovereigns from Edward I. to George II. In the 13th</w:t></w:r>
</w:p>
<w:p>
<w:pPr><w:pStyle w:val="Normal"/></w:pPr>
<w:r><w:t xml:space="preserve">and 14th centuries Abingdon was a flourishing agricultural</w:t></w:r>
</w:p>
<w:p>
<w:pPr><w:pStyle w:val="Normal"/></w:pPr>
<w:r><w:t xml:space="preserve">centre with an extensive trade in wool, and a famous weaving</w:t></w:r>
</w:p>
<w:p>
<w:pPr><w:pStyle w:val="Normal"/></w:pPr>
<w:r><w:t xml:space="preserve">and clothing manufacture.  The latter industry declined</w:t></w:r>
</w:p>
<w:p>
<w:pPr><w:pStyle w:val="Normal"/></w:pPr>
<w:r><w:t xml:space="preserve">before the reign of Queen Mary, but has since been revived.</w:t></w:r>
</w:p>
<w:p>
<w:pPr><w:pStyle w:val="Normal"/></w:pPr>
<w:r><w:t xml:space="preserve">The present Christ&apos;s Hospital originally belonged to</w:t></w:r>
</w:p>
<w:p>
<w:pPr><w:pStyle w:val="Normal"/></w:pPr>
<w:r><w:t xml:space="preserve">the Gild of the Holy Cross, on the dissolution of which</w:t></w:r>
</w:p>
<w:p>
<w:pPr><w:pStyle w:val="Normal"/></w:pPr>
<w:r><w:t xml:space="preserve">Edward VI. founded the hospital under its present name.</w:t></w:r>
</w:p>
<w:p>
<w:pPr><w:pStyle w:val="Normal"/></w:pPr>
<w:r><w:t xml:space="preserve">See Victoria County History, Berkshire; Joseph</w:t></w:r>
</w:p>
<w:p>
<w:pPr><w:pStyle w:val="Normal"/></w:pPr>
<w:r><w:t xml:space="preserve">Stevenson, Chronicon Monasterii de Abingdon, A.D.</w:t></w:r>
</w:p>
<w:p>
<w:pPr><w:pStyle w:val="Normal"/></w:pPr>
<w:r><w:t xml:space="preserve">201--1189 (Rolls Series, 2 vols., London, 1858).</w:t></w:r>
</w:p>
<w:p>
<w:pPr><w:pStyle w:val="Normal"/></w:pPr>
<w:r><w:t xml:space="preserve">ABINGER, JAMES SCARLETT, 1ST BARON (1769-1844), English</w:t></w:r>
</w:p>
<w:p>
<w:pPr><w:pStyle w:val="Normal"/></w:pPr>
<w:r><w:t xml:space="preserve">judge, was born on the 13th of December 1760 in Jamaica, where</w:t></w:r>
</w:p>
<w:p>
<w:pPr><w:pStyle w:val="Normal"/></w:pPr>
<w:r><w:t xml:space="preserve">his father, Robert Scarlett, had property.  In the summer of</w:t></w:r>
</w:p>
<w:p>
<w:pPr><w:pStyle w:val="Normal"/></w:pPr>
<w:r><w:t xml:space="preserve">1785 he was sent to England to complete his education, and</w:t></w:r>
</w:p>
<w:p>
<w:pPr><w:pStyle w:val="Normal"/></w:pPr>
<w:r><w:t xml:space="preserve">went to Trinity College, Cambridge, taking his B.A. degree in</w:t></w:r>
</w:p>
<w:p>
<w:pPr><w:pStyle w:val="Normal"/></w:pPr>
<w:r><w:t xml:space="preserve">1789.  Having entered the Inner Temple he was called to the</w:t></w:r>
</w:p>
<w:p>
<w:pPr><w:pStyle w:val="Normal"/></w:pPr>
<w:r><w:t xml:space="preserve">bar in 1791, and joined the northern circuit and the Lancashire</w:t></w:r>
</w:p>
<w:p>
<w:pPr><w:pStyle w:val="Normal"/></w:pPr>
<w:r><w:t xml:space="preserve">sessions.  Though he had no professional connexions, by steady</w:t></w:r>
</w:p>
<w:p>
<w:pPr><w:pStyle w:val="Normal"/></w:pPr>
<w:r><w:t xml:space="preserve">application he gradually obtained a large practice, ultimately</w:t></w:r>
</w:p>
<w:p>
<w:pPr><w:pStyle w:val="Normal"/></w:pPr>
<w:r><w:t xml:space="preserve">confining himself to the Court of King&apos;s Bench and the northern</w:t></w:r>
</w:p>
<w:p>
<w:pPr><w:pStyle w:val="Normal"/></w:pPr>
<w:r><w:t xml:space="preserve">circuit.  He took silk in 1816, and from this time till the</w:t></w:r>
</w:p>
<w:p>
<w:pPr><w:pStyle w:val="Normal"/></w:pPr>
<w:r><w:t xml:space="preserve">close of 1834 he was the most successful lawyer at the bar;</w:t></w:r>
</w:p>
<w:p>
<w:pPr><w:pStyle w:val="Normal"/></w:pPr>
<w:r><w:t xml:space="preserve">he was particularly effective before a jury, and his income</w:t></w:r>
</w:p>
<w:p>
<w:pPr><w:pStyle w:val="Normal"/></w:pPr>
<w:r><w:t xml:space="preserve">reached the high-water mark of L. 18,500, a large sum for that</w:t></w:r>
</w:p>
<w:p>
<w:pPr><w:pStyle w:val="Normal"/></w:pPr>
<w:r><w:t xml:space="preserve">period.  He began life as a Whig, and first entered parliament in</w:t></w:r>
</w:p>
<w:p>
<w:pPr><w:pStyle w:val="Normal"/></w:pPr>
<w:r><w:t xml:space="preserve">1819 as member for Peterborough, representing that constituency</w:t></w:r>
</w:p>
<w:p>
<w:pPr><w:pStyle w:val="Normal"/></w:pPr>
<w:r><w:t xml:space="preserve">with a short break (1822-1823) till 1830, when he was elected</w:t></w:r>
</w:p>
<w:p>
<w:pPr><w:pStyle w:val="Normal"/></w:pPr>
<w:r><w:t xml:space="preserve">for the borough of Malton.  He became attorney-general, and was</w:t></w:r>
</w:p>
<w:p>
<w:pPr><w:pStyle w:val="Normal"/></w:pPr>
<w:r><w:t xml:space="preserve">knighted when Canning formed his ministry in 1827; and though</w:t></w:r>
</w:p>
<w:p>
<w:pPr><w:pStyle w:val="Normal"/></w:pPr>
<w:r><w:t xml:space="preserve">he resigned when the duke of Wellington came into power in</w:t></w:r>
</w:p>
<w:p>
<w:pPr><w:pStyle w:val="Normal"/></w:pPr>
<w:r><w:t xml:space="preserve">1828, he resumed office in 1829 and went out with the duke of</w:t></w:r>
</w:p>
<w:p>
<w:pPr><w:pStyle w:val="Normal"/></w:pPr>
<w:r><w:t xml:space="preserve">Wellington in 1830.  His opposition to the Reform Bill caused</w:t></w:r>
</w:p>
<w:p>
<w:pPr><w:pStyle w:val="Normal"/></w:pPr>
<w:r><w:t xml:space="preserve">his severance from the Whig leaders, and having joined the</w:t></w:r>
</w:p>
<w:p>
<w:pPr><w:pStyle w:val="Normal"/></w:pPr>
<w:r><w:t xml:space="preserve">Tories he was elected, first for Colchester and then in 1832</w:t></w:r>
</w:p>
<w:p>
<w:pPr><w:pStyle w:val="Normal"/></w:pPr>
<w:r><w:t xml:space="preserve">for Norwich, for which borough he sat until the dissolution of</w:t></w:r>
</w:p>
<w:p>
<w:pPr><w:pStyle w:val="Normal"/></w:pPr>
<w:r><w:t xml:space="preserve">parliament.  He was appointed lord chief baron of the exchequer</w:t></w:r>
</w:p>
<w:p>
<w:pPr><w:pStyle w:val="Normal"/></w:pPr>
<w:r><w:t xml:space="preserve">in 1834, and presided in that court for more than nine</w:t></w:r>
</w:p>
<w:p>
<w:pPr><w:pStyle w:val="Normal"/></w:pPr>
<w:r><w:t xml:space="preserve">years.  While attending the Norfolk circuit on the 2nd of</w:t></w:r>
</w:p>
<w:p>
<w:pPr><w:pStyle w:val="Normal"/></w:pPr>
<w:r><w:t xml:space="preserve">April he was suddenly seized with apoplexy, and died in his</w:t></w:r>
</w:p>
<w:p>
<w:pPr><w:pStyle w:val="Normal"/></w:pPr>
<w:r><w:t xml:space="preserve">lodgings at Bury on the 7th of April 1844.  He had been raised</w:t></w:r>
</w:p>
<w:p>
<w:pPr><w:pStyle w:val="Normal"/></w:pPr>
<w:r><w:t xml:space="preserve">to the peerage as Baron Abinger in 1835, taking his title from</w:t></w:r>
</w:p>
<w:p>
<w:pPr><w:pStyle w:val="Normal"/></w:pPr>
<w:r><w:t xml:space="preserve">the Surrey estate he had bought in 1813.  The qualities which</w:t></w:r>
</w:p>
<w:p>
<w:pPr><w:pStyle w:val="Normal"/></w:pPr>
<w:r><w:t xml:space="preserve">brought him success at the bar were not equally in place on</w:t></w:r>
</w:p>
<w:p>
<w:pPr><w:pStyle w:val="Normal"/></w:pPr>
<w:r><w:t xml:space="preserve">the bench; he was partial, dictatorial and vain; and complaint</w:t></w:r>
</w:p>
<w:p>
<w:pPr><w:pStyle w:val="Normal"/></w:pPr>
<w:r><w:t xml:space="preserve">was made of his domineering attitude towards juries.  But his</w:t></w:r>
</w:p>
<w:p>
<w:pPr><w:pStyle w:val="Normal"/></w:pPr>
<w:r><w:t xml:space="preserve">acuteness of mind and clearness of expression remained to the</w:t></w:r>
</w:p>
<w:p>
<w:pPr><w:pStyle w:val="Normal"/></w:pPr>
<w:r><w:t xml:space="preserve">end.  Lord Abinger was twice married (the second time only</w:t></w:r>
</w:p>
<w:p>
<w:pPr><w:pStyle w:val="Normal"/></w:pPr>
<w:r><w:t xml:space="preserve">six months before his death), and by his first wife (d. 1829)</w:t></w:r>
</w:p>
<w:p>
<w:pPr><w:pStyle w:val="Normal"/></w:pPr>
<w:r><w:t xml:space="preserve">had three sons and two daughters, the title passing to his</w:t></w:r>
</w:p>
<w:p>
<w:pPr><w:pStyle w:val="Normal"/></w:pPr>
<w:r><w:t xml:space="preserve">eldest son Robert (1794-1861).  His second son, General Sir</w:t></w:r>
</w:p>
<w:p>
<w:pPr><w:pStyle w:val="Normal"/></w:pPr>
<w:r><w:t xml:space="preserve">James Yorke Scarlett (1799-1871), leader of the heavy cavalry</w:t></w:r>
</w:p>
<w:p>
<w:pPr><w:pStyle w:val="Normal"/></w:pPr>
<w:r><w:t xml:space="preserve">charge at Balaclava, is dealt with in a separate article; and</w:t></w:r>
</w:p>
<w:p>
<w:pPr><w:pStyle w:val="Normal"/></w:pPr>
<w:r><w:t xml:space="preserve">his elder daughter, Mary, married John, Baron Campbell, and</w:t></w:r>
</w:p>
<w:p>
<w:pPr><w:pStyle w:val="Normal"/></w:pPr>
<w:r><w:t xml:space="preserve">was herself created Baroness Stratheden (Lady Stratheden and</w:t></w:r>
</w:p>
<w:p>
<w:pPr><w:pStyle w:val="Normal"/></w:pPr>
<w:r><w:t xml:space="preserve">Campbell) (d. 1860).  Sir Philip Anglin Scarlett (d. 1831),</w:t></w:r>
</w:p>
<w:p>
<w:pPr><w:pStyle w:val="Normal"/></w:pPr>
<w:r><w:t xml:space="preserve">Lord Abinger&apos;s younger brother, was chief justice of Jamaica.</w:t></w:r>
</w:p>
<w:p>
<w:pPr><w:pStyle w:val="Normal"/></w:pPr>
<w:r><w:t xml:space="preserve">See P. C. Scarlett, Memoir of Jaimes, 1st Lord Abinger (1877);</w:t></w:r>
</w:p>
<w:p>
<w:pPr><w:pStyle w:val="Normal"/></w:pPr>
<w:r><w:t xml:space="preserve">Foss&apos;s Lives of the Judges; E. Manson, Builders of our Law (1904).</w:t></w:r>
</w:p>
<w:p>
<w:pPr><w:pStyle w:val="Normal"/></w:pPr>
<w:r><w:t xml:space="preserve">ABINGTON, FRANCES (1737-1815), English actress, was the</w:t></w:r>
</w:p>
<w:p>
<w:pPr><w:pStyle w:val="Normal"/></w:pPr>
<w:r><w:t xml:space="preserve">daughter of a private soldier named Barton, and was, at</w:t></w:r>
</w:p>
<w:p>
<w:pPr><w:pStyle w:val="Normal"/></w:pPr>
<w:r><w:t xml:space="preserve">first, a flower girl and a street singer.  She then became</w:t></w:r>
</w:p>
<w:p>
<w:pPr><w:pStyle w:val="Normal"/></w:pPr>
<w:r><w:t xml:space="preserve">servant to a French milliner, obtaining a taste in dress</w:t></w:r>
</w:p>
<w:p>
<w:pPr><w:pStyle w:val="Normal"/></w:pPr>
<w:r><w:t xml:space="preserve">and a knowledge of French which afterwards stood her in good</w:t></w:r>
</w:p>
<w:p>
<w:pPr><w:pStyle w:val="Normal"/></w:pPr>
<w:r><w:t xml:space="preserve">stead.  Her first appearance on the stage was at the Haymarket</w:t></w:r>
</w:p>
<w:p>
<w:pPr><w:pStyle w:val="Normal"/></w:pPr>
<w:r><w:t xml:space="preserve">in 1755 as Miranda in Mrs Centlivre&apos;s Busybody. In 1756, on</w:t></w:r>
</w:p>
<w:p>
<w:pPr><w:pStyle w:val="Normal"/></w:pPr>
<w:r><w:t xml:space="preserve">the recommendation of Samuel Foote, she became a member of the</w:t></w:r>
</w:p>
<w:p>
<w:pPr><w:pStyle w:val="Normal"/></w:pPr>
<w:r><w:t xml:space="preserve">Drury Lane company, where she was overshadowed by Mrs Pritchard</w:t></w:r>
</w:p>
<w:p>
<w:pPr><w:pStyle w:val="Normal"/></w:pPr>
<w:r><w:t xml:space="preserve">and Kitty Clive.  In 1759, after an unhappy marriage with her</w:t></w:r>
</w:p>
<w:p>
<w:pPr><w:pStyle w:val="Normal"/></w:pPr>
<w:r><w:t xml:space="preserve">music-master, one of the royal trumpeters, she is mentioned in</w:t></w:r>
</w:p>
<w:p>
<w:pPr><w:pStyle w:val="Normal"/></w:pPr>
<w:r><w:t xml:space="preserve">the bills as Mrs Abington.  Her first success was in Ireland</w:t></w:r>
</w:p>
<w:p>
<w:pPr><w:pStyle w:val="Normal"/></w:pPr>
<w:r><w:t xml:space="preserve">as Lady Townley, and it was only after five years, on the</w:t></w:r>
</w:p>
<w:p>
<w:pPr><w:pStyle w:val="Normal"/></w:pPr>
<w:r><w:t xml:space="preserve">pressing invitation of Garrick, that she returned to Drury</w:t></w:r>
</w:p>
<w:p>
<w:pPr><w:pStyle w:val="Normal"/></w:pPr>
<w:r><w:t xml:space="preserve">Lane.  There she remained for eighteen years, being the</w:t></w:r>
</w:p>
<w:p>
<w:pPr><w:pStyle w:val="Normal"/></w:pPr>
<w:r><w:t xml:space="preserve">original of more than thirty important characters, notably</w:t></w:r>
</w:p>
<w:p>
<w:pPr><w:pStyle w:val="Normal"/></w:pPr>
<w:r><w:t xml:space="preserve">Lady Teazle (1777).  Her Beatrice, Portia, Desdemona and</w:t></w:r>
</w:p>
<w:p>
<w:pPr><w:pStyle w:val="Normal"/></w:pPr>
<w:r><w:t xml:space="preserve">Ophelia were no less liked than her Miss Hoyden, Biddy Tipkin,</w:t></w:r>
</w:p>
<w:p>
<w:pPr><w:pStyle w:val="Normal"/></w:pPr>
<w:r><w:t xml:space="preserve">Lucy Lockit and Miss Prue.  It was in the last character in</w:t></w:r>
</w:p>
<w:p>
<w:pPr><w:pStyle w:val="Normal"/></w:pPr>
<w:r><w:t xml:space="preserve">Love for Love that Reynolds painted his best portrait of</w:t></w:r>
</w:p>
<w:p>
<w:pPr><w:pStyle w:val="Normal"/></w:pPr>
<w:r><w:t xml:space="preserve">her.  In 1782 she left Drury Lane for Covent Garden.  After an</w:t></w:r>
</w:p>
<w:p>
<w:pPr><w:pStyle w:val="Normal"/></w:pPr>
<w:r><w:t xml:space="preserve">absence from the stage from 1790 until 1797, she reappeared,</w:t></w:r>
</w:p>
<w:p>
<w:pPr><w:pStyle w:val="Normal"/></w:pPr>
<w:r><w:t xml:space="preserve">quitting it finally in 1799.  Her ambition, personal wit</w:t></w:r>
</w:p>
<w:p>
<w:pPr><w:pStyle w:val="Normal"/></w:pPr>
<w:r><w:t xml:space="preserve">and cleverness won her a distinguished position in society,</w:t></w:r>
</w:p>
<w:p>
<w:pPr><w:pStyle w:val="Normal"/></w:pPr>
<w:r><w:t xml:space="preserve">in spite of her humble origin.  Women of fashion copied her</w:t></w:r>
</w:p>
<w:p>
<w:pPr><w:pStyle w:val="Normal"/></w:pPr>
<w:r><w:t xml:space="preserve">frocks, and a head-dress she wore was widely adopted and known</w:t></w:r>
</w:p>
<w:p>
<w:pPr><w:pStyle w:val="Normal"/></w:pPr>
<w:r><w:t xml:space="preserve">as the ``Abington cap.&apos;&apos; She died on the 4th of March 1815.</w:t></w:r>
</w:p>
<w:p>
<w:pPr><w:pStyle w:val="Normal"/></w:pPr>
<w:r><w:t xml:space="preserve">ABIOGENESIS, in biology, the term, equivalent to the older</w:t></w:r>
</w:p>
<w:p>
<w:pPr><w:pStyle w:val="Normal"/></w:pPr>
<w:r><w:t xml:space="preserve">terms ``spontaneous generation,&apos;&apos; Generatio acquivoca,</w:t></w:r>
</w:p>
<w:p>
<w:pPr><w:pStyle w:val="Normal"/></w:pPr>
<w:r><w:t xml:space="preserve">Generatio primaria, and of more recent terms such as</w:t></w:r>
</w:p>
<w:p>
<w:pPr><w:pStyle w:val="Normal"/></w:pPr>
<w:r><w:t xml:space="preserve">archegenesis and archebiosis, for the theory according to which</w:t></w:r>
</w:p>
<w:p>
<w:pPr><w:pStyle w:val="Normal"/></w:pPr>
<w:r><w:t xml:space="preserve">fully formed living organisms sometimes arise from not-living</w:t></w:r>
</w:p>
<w:p>
<w:pPr><w:pStyle w:val="Normal"/></w:pPr>
<w:r><w:t xml:space="preserve">matter.  Aristotle explicitly taught abiogenesis, and laid it</w:t></w:r>
</w:p>
<w:p>
<w:pPr><w:pStyle w:val="Normal"/></w:pPr>
<w:r><w:t xml:space="preserve">down as an observed fact that some animals spring from putrid</w:t></w:r>
</w:p>
<w:p>
<w:pPr><w:pStyle w:val="Normal"/></w:pPr>
<w:r><w:t xml:space="preserve">matter, that plant lice arise from the dew which falls on</w:t></w:r>
</w:p>
<w:p>
<w:pPr><w:pStyle w:val="Normal"/></w:pPr>
<w:r><w:t xml:space="preserve">plants, that fleas are developed from putrid matter, and so</w:t></w:r>
</w:p>
<w:p>
<w:pPr><w:pStyle w:val="Normal"/></w:pPr>
<w:r><w:t xml:space="preserve">forth.  T. J. Parker (Elementary Biology) cites a passage from</w:t></w:r>
</w:p>
<w:p>
<w:pPr><w:pStyle w:val="Normal"/></w:pPr>
<w:r><w:t xml:space="preserve">Alexander Ross, who, commenting on Sir Thomas Browne&apos;s doubt</w:t></w:r>
</w:p>
<w:p>
<w:pPr><w:pStyle w:val="Normal"/></w:pPr>
<w:r><w:t xml:space="preserve">as to ``whether mice may be bred by putrefaction,&apos;&apos; gives a</w:t></w:r>
</w:p>
<w:p>
<w:pPr><w:pStyle w:val="Normal"/></w:pPr>
<w:r><w:t xml:space="preserve">clear statement of the common opinion on abiogenesis held until</w:t></w:r>
</w:p>
<w:p>
<w:pPr><w:pStyle w:val="Normal"/></w:pPr>
<w:r><w:t xml:space="preserve">about two centuries ago.  Ross wrote: ``So may he (Sir Thomas</w:t></w:r>
</w:p>
<w:p>
<w:pPr><w:pStyle w:val="Normal"/></w:pPr>
<w:r><w:t xml:space="preserve">Browne) doubt whether in cheese and timber worms are generated;</w:t></w:r>
</w:p>
<w:p>
<w:pPr><w:pStyle w:val="Normal"/></w:pPr>
<w:r><w:t xml:space="preserve">or if beetles and wasps in cows&apos; dung; or if butterflies,</w:t></w:r>
</w:p>
<w:p>
<w:pPr><w:pStyle w:val="Normal"/></w:pPr>
<w:r><w:t xml:space="preserve">locusts, grasshoppers, shell-fish, snails, eels, and such like,</w:t></w:r>
</w:p>
<w:p>
<w:pPr><w:pStyle w:val="Normal"/></w:pPr>
<w:r><w:t xml:space="preserve">be procreated of putrefied matter, which is apt to receive</w:t></w:r>
</w:p>
<w:p>
<w:pPr><w:pStyle w:val="Normal"/></w:pPr>
<w:r><w:t xml:space="preserve">the form of that creature to which it is by formative power</w:t></w:r>
</w:p>
<w:p>
<w:pPr><w:pStyle w:val="Normal"/></w:pPr>
<w:r><w:t xml:space="preserve">disposed.  To question this is to question reason, sense and</w:t></w:r>
</w:p>
<w:p>
<w:pPr><w:pStyle w:val="Normal"/></w:pPr>
<w:r><w:t xml:space="preserve">experience.  If he doubts of this let him go to Egypt, and</w:t></w:r>
</w:p>
<w:p>
<w:pPr><w:pStyle w:val="Normal"/></w:pPr>
<w:r><w:t xml:space="preserve">there he will find the fields swarming with mice, begot of</w:t></w:r>
</w:p>
<w:p>
<w:pPr><w:pStyle w:val="Normal"/></w:pPr>
<w:r><w:t xml:space="preserve">the mud of Nylus, to the great calamity of the inhabitants.&apos;&apos;</w:t></w:r>
</w:p>
<w:p>
<w:pPr><w:pStyle w:val="Normal"/></w:pPr>
<w:r><w:t xml:space="preserve">The first step in the scientific refutation of the theory</w:t></w:r>
</w:p>
<w:p>
<w:pPr><w:pStyle w:val="Normal"/></w:pPr>
<w:r><w:t xml:space="preserve">of abiogenesis was taken by the Italian Redi, who, in 1668,</w:t></w:r>
</w:p>
<w:p>
<w:pPr><w:pStyle w:val="Normal"/></w:pPr>
<w:r><w:t xml:space="preserve">proved that no maggots were ``bred&apos;&apos; in meat on which flies</w:t></w:r>
</w:p>
<w:p>
<w:pPr><w:pStyle w:val="Normal"/></w:pPr>
<w:r><w:t xml:space="preserve">were prevented by wire screens from laying their eggs.</w:t></w:r>
</w:p>
<w:p>
<w:pPr><w:pStyle w:val="Normal"/></w:pPr>
<w:r><w:t xml:space="preserve">From the 17th century onwards it was gradually shown that,</w:t></w:r>
</w:p>
<w:p>
<w:pPr><w:pStyle w:val="Normal"/></w:pPr>
<w:r><w:t xml:space="preserve">at least in the case of all the higher and readily visible</w:t></w:r>
</w:p>
<w:p>
<w:pPr><w:pStyle w:val="Normal"/></w:pPr>
<w:r><w:t xml:space="preserve">organisms, abiogenesis did not occur, but that omne vivum e</w:t></w:r>
</w:p>
<w:p>
<w:pPr><w:pStyle w:val="Normal"/></w:pPr>
<w:r><w:t xml:space="preserve">vivo, every living thing came from a pre-existing living thing.</w:t></w:r>
</w:p>
<w:p>
<w:pPr><w:pStyle w:val="Normal"/></w:pPr>
<w:r><w:t xml:space="preserve">The discovery of the microscope carried the refutation</w:t></w:r>
</w:p>
<w:p>
<w:pPr><w:pStyle w:val="Normal"/></w:pPr>
<w:r><w:t xml:space="preserve">further.  In 1683 A. van Leeuwenhoek discovered bacteria,</w:t></w:r>
</w:p>
<w:p>
<w:pPr><w:pStyle w:val="Normal"/></w:pPr>
<w:r><w:t xml:space="preserve">and it was soon found that however carefully organic matter</w:t></w:r>
</w:p>
<w:p>
<w:pPr><w:pStyle w:val="Normal"/></w:pPr>
<w:r><w:t xml:space="preserve">might be protected by screens, or by being placed in stoppered</w:t></w:r>
</w:p>
<w:p>
<w:pPr><w:pStyle w:val="Normal"/></w:pPr>
<w:r><w:t xml:space="preserve">receptacles, putrefaction set in, and was invariably accompanied</w:t></w:r>
</w:p>
<w:p>
<w:pPr><w:pStyle w:val="Normal"/></w:pPr>
<w:r><w:t xml:space="preserve">by the appearance of myriads of bacteria and other low</w:t></w:r>
</w:p>
<w:p>
<w:pPr><w:pStyle w:val="Normal"/></w:pPr>
<w:r><w:t xml:space="preserve">organisms.  As knowledge of microscopic forms of life increased,</w:t></w:r>
</w:p>
<w:p>
<w:pPr><w:pStyle w:val="Normal"/></w:pPr>
<w:r><w:t xml:space="preserve">so the apparent possibilities of abiogenesis increased, and</w:t></w:r>
</w:p>
<w:p>
<w:pPr><w:pStyle w:val="Normal"/></w:pPr>
<w:r><w:t xml:space="preserve">it became a tempting hypothesis that whilst the higher forms</w:t></w:r>
</w:p>
<w:p>
<w:pPr><w:pStyle w:val="Normal"/></w:pPr>
<w:r><w:t xml:space="preserve">of life arose only by generation from their kind, there was</w:t></w:r>
</w:p>
<w:p>
<w:pPr><w:pStyle w:val="Normal"/></w:pPr>
<w:r><w:t xml:space="preserve">a perpetual abiogenetic fount by which the first steps in the</w:t></w:r>
</w:p>
<w:p>
<w:pPr><w:pStyle w:val="Normal"/></w:pPr>
<w:r><w:t xml:space="preserve">evolution of living organisms continued to arise, under suitable</w:t></w:r>
</w:p>
<w:p>
<w:pPr><w:pStyle w:val="Normal"/></w:pPr>
<w:r><w:t xml:space="preserve">conditions, from inorganic matter.  It was due chiefly to L.</w:t></w:r>
</w:p>
<w:p>
<w:pPr><w:pStyle w:val="Normal"/></w:pPr>
<w:r><w:t xml:space="preserve">Pasteur that the occurrence of abiogenesis in the microscopic</w:t></w:r>
</w:p>
<w:p>
<w:pPr><w:pStyle w:val="Normal"/></w:pPr>
<w:r><w:t xml:space="preserve">world was disproved as much as its occurrence in the macroscopic</w:t></w:r>
</w:p>
<w:p>
<w:pPr><w:pStyle w:val="Normal"/></w:pPr>
<w:r><w:t xml:space="preserve">world.  If organic matter were first sterilized and then</w:t></w:r>
</w:p>
<w:p>
<w:pPr><w:pStyle w:val="Normal"/></w:pPr>
<w:r><w:t xml:space="preserve">prevented from contamination from without, putrefaction did</w:t></w:r>
</w:p>
<w:p>
<w:pPr><w:pStyle w:val="Normal"/></w:pPr>
<w:r><w:t xml:space="preserve">not occur, and the matter remained free from microbes.  The</w:t></w:r>
</w:p>
<w:p>
<w:pPr><w:pStyle w:val="Normal"/></w:pPr>
<w:r><w:t xml:space="preserve">nature of sterilization, and the difficulties in securing</w:t></w:r>
</w:p>
<w:p>
<w:pPr><w:pStyle w:val="Normal"/></w:pPr>
<w:r><w:t xml:space="preserve">it, as well as the extreme delicacy of the manipulations</w:t></w:r>
</w:p>
<w:p>
<w:pPr><w:pStyle w:val="Normal"/></w:pPr>
<w:r><w:t xml:space="preserve">necessary, made it possible for a very long time to be doubtful</w:t></w:r>
</w:p>
<w:p>
<w:pPr><w:pStyle w:val="Normal"/></w:pPr>
<w:r><w:t xml:space="preserve">as to the application of the phrase omne vivum e vivo to</w:t></w:r>
</w:p>
<w:p>
<w:pPr><w:pStyle w:val="Normal"/></w:pPr>
<w:r><w:t xml:space="preserve">the microscopic world, and there still remain a few belated</w:t></w:r>
</w:p>
<w:p>
<w:pPr><w:pStyle w:val="Normal"/></w:pPr>
<w:r><w:t xml:space="preserve">supporters of abiogenesis.  Subjection to the temperature of</w:t></w:r>
</w:p>
<w:p>
<w:pPr><w:pStyle w:val="Normal"/></w:pPr>
<w:r><w:t xml:space="preserve">boiling water for, say, half an hour seemed an efficient mode</w:t></w:r>
</w:p>
<w:p>
<w:pPr><w:pStyle w:val="Normal"/></w:pPr>
<w:r><w:t xml:space="preserve">of sterilization, until it was discovered that the spores of</w:t></w:r>
</w:p>
<w:p>
<w:pPr><w:pStyle w:val="Normal"/></w:pPr>
<w:r><w:t xml:space="preserve">bacteria are so involved in heat-resisting membranes, that only</w:t></w:r>
</w:p>
<w:p>
<w:pPr><w:pStyle w:val="Normal"/></w:pPr>
<w:r><w:t xml:space="preserve">prolonged exposure to dry, baking heat can be recognized as an</w:t></w:r>
</w:p>
<w:p>
<w:pPr><w:pStyle w:val="Normal"/></w:pPr>
<w:r><w:t xml:space="preserve">efficient process of sterilization.  Moreover, the presence of</w:t></w:r>
</w:p>
<w:p>
<w:pPr><w:pStyle w:val="Normal"/></w:pPr>
<w:r><w:t xml:space="preserve">bacteria, or their spores, is so universal that only extreme</w:t></w:r>
</w:p>
<w:p>
<w:pPr><w:pStyle w:val="Normal"/></w:pPr>
<w:r><w:t xml:space="preserve">precautions guard against a re-infection of the sterilized</w:t></w:r>
</w:p>
<w:p>
<w:pPr><w:pStyle w:val="Normal"/></w:pPr>
<w:r><w:t xml:space="preserve">material.  It may now be stated definitely that all known</w:t></w:r>
</w:p>
<w:p>
<w:pPr><w:pStyle w:val="Normal"/></w:pPr>
<w:r><w:t xml:space="preserve">living organisms arise only from pre-existing living organisms.</w:t></w:r>
</w:p>
<w:p>
<w:pPr><w:pStyle w:val="Normal"/></w:pPr>
<w:r><w:t xml:space="preserve">So far the theory of abiogenesis may be taken as disproved.</w:t></w:r>
</w:p>
<w:p>
<w:pPr><w:pStyle w:val="Normal"/></w:pPr>
<w:r><w:t xml:space="preserve">It must be noted, however, that this disproof relates only</w:t></w:r>
</w:p>
<w:p>
<w:pPr><w:pStyle w:val="Normal"/></w:pPr>
<w:r><w:t xml:space="preserve">to known existing organisms.  All these are composed of a</w:t></w:r>
</w:p>
<w:p>
<w:pPr><w:pStyle w:val="Normal"/></w:pPr>
<w:r><w:t xml:space="preserve">definite substance, known as protoplasm (q.v.), and the</w:t></w:r>
</w:p>
<w:p>
<w:pPr><w:pStyle w:val="Normal"/></w:pPr>
<w:r><w:t xml:space="preserve">modern refutation of abiogenesis applies only to the organic</w:t></w:r>
</w:p>
<w:p>
<w:pPr><w:pStyle w:val="Normal"/></w:pPr>
<w:r><w:t xml:space="preserve">forms in which protoplasm now exists.  It may be that in the</w:t></w:r>
</w:p>
<w:p>
<w:pPr><w:pStyle w:val="Normal"/></w:pPr>
<w:r><w:t xml:space="preserve">progress of science it may yet become possible to construct</w:t></w:r>
</w:p>
<w:p>
<w:pPr><w:pStyle w:val="Normal"/></w:pPr>
<w:r><w:t xml:space="preserve">living protoplasm from non-living material.  The refutation</w:t></w:r>
</w:p>
<w:p>
<w:pPr><w:pStyle w:val="Normal"/></w:pPr>
<w:r><w:t xml:space="preserve">of abiogenesis has no further bearing on this possibility than</w:t></w:r>
</w:p>
<w:p>
<w:pPr><w:pStyle w:val="Normal"/></w:pPr>
<w:r><w:t xml:space="preserve">to make it probable that if protoplasm ultimately be formed in</w:t></w:r>
</w:p>
<w:p>
<w:pPr><w:pStyle w:val="Normal"/></w:pPr>
<w:r><w:t xml:space="preserve">the laboratory, it will be by a series of stages, the earlier</w:t></w:r>
</w:p>
<w:p>
<w:pPr><w:pStyle w:val="Normal"/></w:pPr>
<w:r><w:t xml:space="preserve">steps being the formation of some substance, or substances,</w:t></w:r>
</w:p>
<w:p>
<w:pPr><w:pStyle w:val="Normal"/></w:pPr>
<w:r><w:t xml:space="preserve">now unknown, which are not protoplasm.  Such intermediate</w:t></w:r>
</w:p>
<w:p>
<w:pPr><w:pStyle w:val="Normal"/></w:pPr>
<w:r><w:t xml:space="preserve">stages may have existed in the past, and the modern refutation</w:t></w:r>
</w:p>
<w:p>
<w:pPr><w:pStyle w:val="Normal"/></w:pPr>
<w:r><w:t xml:space="preserve">of abiogenesis has no application to the possibility of</w:t></w:r>
</w:p>
<w:p>
<w:pPr><w:pStyle w:val="Normal"/></w:pPr>
<w:r><w:t xml:space="preserve">these having been formed from inorganic matter at some past</w:t></w:r>
</w:p>
<w:p>
<w:pPr><w:pStyle w:val="Normal"/></w:pPr>
<w:r><w:t xml:space="preserve">time.  Perhaps the words archebiosis, or archegenesis,</w:t></w:r>
</w:p>
<w:p>
<w:pPr><w:pStyle w:val="Normal"/></w:pPr>
<w:r><w:t xml:space="preserve">should be reserved for the theory that protoplasm in the</w:t></w:r>
</w:p>
<w:p>
<w:pPr><w:pStyle w:val="Normal"/></w:pPr>
<w:r><w:t xml:space="preserve">remote past has been developed from not-living matter by a</w:t></w:r>
</w:p>
<w:p>
<w:pPr><w:pStyle w:val="Normal"/></w:pPr>
<w:r><w:t xml:space="preserve">series of steps, and many of those, notably T. H. Huxley, who</w:t></w:r>
</w:p>
<w:p>
<w:pPr><w:pStyle w:val="Normal"/></w:pPr>
<w:r><w:t xml:space="preserve">took a large share in the process of refuting contemporary</w:t></w:r>
</w:p>
<w:p>
<w:pPr><w:pStyle w:val="Normal"/></w:pPr>
<w:r><w:t xml:space="preserve">abiogenesis, have stated their belief in a primordial</w:t></w:r>
</w:p>
<w:p>
<w:pPr><w:pStyle w:val="Normal"/></w:pPr>
<w:r><w:t xml:space="preserve">archebiosis. (See BIOGENESIS and LIFE.) (P. C. M.)</w:t></w:r>
</w:p>
<w:p>
<w:pPr><w:pStyle w:val="Normal"/></w:pPr>
<w:r><w:t xml:space="preserve">ABIPONES, a tribe of South American Indians of Guaycuran</w:t></w:r>
</w:p>
<w:p>
<w:pPr><w:pStyle w:val="Normal"/></w:pPr>
<w:r><w:t xml:space="preserve">stock recently inhabiting the territory lying between Santa</w:t></w:r>
</w:p>
<w:p>
<w:pPr><w:pStyle w:val="Normal"/></w:pPr>
<w:r><w:t xml:space="preserve">Fe and St Iago.  They originally occupied the Chaco district</w:t></w:r>
</w:p>
<w:p>
<w:pPr><w:pStyle w:val="Normal"/></w:pPr>
<w:r><w:t xml:space="preserve">of Paraguay, but were driven thence by the hostility of the</w:t></w:r>
</w:p>
<w:p>
<w:pPr><w:pStyle w:val="Normal"/></w:pPr>
<w:r><w:t xml:space="preserve">Spaniards.  According to Martin Dobrizhoffer, a Jesuit missionary,</w:t></w:r>
</w:p>
<w:p>
<w:pPr><w:pStyle w:val="Normal"/></w:pPr>
<w:r><w:t xml:space="preserve">who, towards the end of the 18th century, lived among them</w:t></w:r>
</w:p>
<w:p>
<w:pPr><w:pStyle w:val="Normal"/></w:pPr>
<w:r><w:t xml:space="preserve">for a period of seven years, they then numbered not more than</w:t></w:r>
</w:p>
<w:p>
<w:pPr><w:pStyle w:val="Normal"/></w:pPr>
<w:r><w:t xml:space="preserve">5000.  They were a well-formed, handsome people, with black</w:t></w:r>
</w:p>
<w:p>
<w:pPr><w:pStyle w:val="Normal"/></w:pPr>
<w:r><w:t xml:space="preserve">eyes and aquiline noses, thick black hair, but no beards.</w:t></w:r>
</w:p>
<w:p>
<w:pPr><w:pStyle w:val="Normal"/></w:pPr>
<w:r><w:t xml:space="preserve">The hair from the forehead to the crown of the head was pulled</w:t></w:r>
</w:p>
<w:p>
<w:pPr><w:pStyle w:val="Normal"/></w:pPr>
<w:r><w:t xml:space="preserve">out, this constituting a tribal mark.  The faces, breasts and</w:t></w:r>
</w:p>
<w:p>
<w:pPr><w:pStyle w:val="Normal"/></w:pPr>
<w:r><w:t xml:space="preserve">arms of the women were covered with black figures of various</w:t></w:r>
</w:p>
<w:p>
<w:pPr><w:pStyle w:val="Normal"/></w:pPr>
<w:r><w:t xml:space="preserve">designs made with thorns, the tattooing paint being a mixture</w:t></w:r>
</w:p>
<w:p>
<w:pPr><w:pStyle w:val="Normal"/></w:pPr>
<w:r><w:t xml:space="preserve">of ashes and blood.  The lips and ears of both sexes were</w:t></w:r>
</w:p>
<w:p>
<w:pPr><w:pStyle w:val="Normal"/></w:pPr>
<w:r><w:t xml:space="preserve">pierced.  The men were brave fighters, their chief weapons</w:t></w:r>
</w:p>
<w:p>
<w:pPr><w:pStyle w:val="Normal"/></w:pPr>
<w:r><w:t xml:space="preserve">being the bow and spear.  No child was without bow and arrows;</w:t></w:r>
</w:p>
<w:p>
<w:pPr><w:pStyle w:val="Normal"/></w:pPr>
<w:r><w:t xml:space="preserve">the bow-strings were made of foxes&apos; entrails.  In battle</w:t></w:r>
</w:p>
<w:p>
<w:pPr><w:pStyle w:val="Normal"/></w:pPr>
<w:r><w:t xml:space="preserve">the Abipones wore an armour of tapir&apos;s hide over which a</w:t></w:r>
</w:p>
<w:p>
<w:pPr><w:pStyle w:val="Normal"/></w:pPr>
<w:r><w:t xml:space="preserve">jaguar&apos;s skin was sewn.  They were excellent swimmers and good</w:t></w:r>
</w:p>
<w:p>
<w:pPr><w:pStyle w:val="Normal"/></w:pPr>
<w:r><w:t xml:space="preserve">horsemen.  For five months in the year when the floods were</w:t></w:r>
</w:p>
<w:p>
<w:pPr><w:pStyle w:val="Normal"/></w:pPr>
<w:r><w:t xml:space="preserve">out they lived on islands or even in shelters built in the</w:t></w:r>
</w:p>
<w:p>
<w:pPr><w:pStyle w:val="Normal"/></w:pPr>
<w:r><w:t xml:space="preserve">trees.  They seldom married before the age of thirty, and were</w:t></w:r>
</w:p>
<w:p>
<w:pPr><w:pStyle w:val="Normal"/></w:pPr>
<w:r><w:t xml:space="preserve">singularly chaste. ``With the Abipones,&apos;&apos; says Darwin, ``when</w:t></w:r>
</w:p>
<w:p>
<w:pPr><w:pStyle w:val="Normal"/></w:pPr>
<w:r><w:t xml:space="preserve">a man chooses a wife, he bargains with the parents about the</w:t></w:r>
</w:p>
<w:p>
<w:pPr><w:pStyle w:val="Normal"/></w:pPr>
<w:r><w:t xml:space="preserve">price.  But it frequently happens that the girl rescinds</w:t></w:r>
</w:p>
<w:p>
<w:pPr><w:pStyle w:val="Normal"/></w:pPr>
<w:r><w:t xml:space="preserve">what has been agreed upon between the parents and bridegroom,</w:t></w:r>
</w:p>
<w:p>
<w:pPr><w:pStyle w:val="Normal"/></w:pPr>
<w:r><w:t xml:space="preserve">obstinately rejecting the very mention of marriage.  She often</w:t></w:r>
</w:p>
<w:p>
<w:pPr><w:pStyle w:val="Normal"/></w:pPr>
<w:r><w:t xml:space="preserve">runs away and hides herself, and thus eludes the bridegroom.&apos;&apos;</w:t></w:r>
</w:p>
<w:p>
<w:pPr><w:pStyle w:val="Normal"/></w:pPr>
<w:r><w:t xml:space="preserve">Infanticide was systematic, never more than two children being</w:t></w:r>
</w:p>
<w:p>
<w:pPr><w:pStyle w:val="Normal"/></w:pPr>
<w:r><w:t xml:space="preserve">reared in one family, a custom doubtless originating in the</w:t></w:r>
</w:p>
<w:p>
<w:pPr><w:pStyle w:val="Normal"/></w:pPr>
<w:r><w:t xml:space="preserve">difficulty of subsistence.  The young were suckled for two</w:t></w:r>
</w:p>
<w:p>
<w:pPr><w:pStyle w:val="Normal"/></w:pPr>
<w:r><w:t xml:space="preserve">years.  The Abipones are now believed to be extinct as a tribe.</w:t></w:r>
</w:p>
<w:p>
<w:pPr><w:pStyle w:val="Normal"/></w:pPr>
<w:r><w:t xml:space="preserve">Martin Dobrizhoffer&apos;s Latin Historia de Abiponibus</w:t></w:r>
</w:p>
<w:p>
<w:pPr><w:pStyle w:val="Normal"/></w:pPr>
<w:r><w:t xml:space="preserve">(Vienna, 1784) was translated into English by Sara</w:t></w:r>
</w:p>
<w:p>
<w:pPr><w:pStyle w:val="Normal"/></w:pPr>
<w:r><w:t xml:space="preserve">Coleridge, at the suggestion of Southey, in 1822, under</w:t></w:r>
</w:p>
<w:p>
<w:pPr><w:pStyle w:val="Normal"/></w:pPr>
<w:r><w:t xml:space="preserve">the title of An Account of the Abipones (3 vols.).</w:t></w:r>
</w:p>
<w:p>
<w:pPr><w:pStyle w:val="Normal"/></w:pPr>
<w:r><w:t xml:space="preserve">ABITIBBI, a lake and river of Ontario, Canada.  The lake,</w:t></w:r>
</w:p>
<w:p>
<w:pPr><w:pStyle w:val="Normal"/></w:pPr>
<w:r><w:t xml:space="preserve">in 49 deg.  N., 80 deg.  W., is 60 m. long and studded with islands.</w:t></w:r>
</w:p>
<w:p>
<w:pPr><w:pStyle w:val="Normal"/></w:pPr>
<w:r><w:t xml:space="preserve">It is shallow, and the shores in its vicinity are covered</w:t></w:r>
</w:p>
<w:p>
<w:pPr><w:pStyle w:val="Normal"/></w:pPr>
<w:r><w:t xml:space="preserve">with small timber.  It was formerly employed by the Hudson&apos;s</w:t></w:r>
</w:p>
<w:p>
<w:pPr><w:pStyle w:val="Normal"/></w:pPr>
<w:r><w:t xml:space="preserve">Bay Company as part of a canoe route to the fur lands of the</w:t></w:r>
</w:p>
<w:p>
<w:pPr><w:pStyle w:val="Normal"/></w:pPr>
<w:r><w:t xml:space="preserve">north.  The construction of the Grand Trunk Pacific railway</w:t></w:r>
</w:p>
<w:p>
<w:pPr><w:pStyle w:val="Normal"/></w:pPr>
<w:r><w:t xml:space="preserve">through this district has made it of some importance.  Its</w:t></w:r>
</w:p>
<w:p>
<w:pPr><w:pStyle w:val="Normal"/></w:pPr>
<w:r><w:t xml:space="preserve">outlet is Abitibbi river, a rapid stream, which after a course</w:t></w:r>
</w:p>
<w:p>
<w:pPr><w:pStyle w:val="Normal"/></w:pPr>
<w:r><w:t xml:space="preserve">of 200 m. joins the Moose river, flowing into James Bay.</w:t></w:r>
</w:p>
<w:p>
<w:pPr><w:pStyle w:val="Normal"/></w:pPr>
<w:r><w:t xml:space="preserve">ABJURATION (from Lat. abjurare, to forswear), a solemn</w:t></w:r>
</w:p>
<w:p>
<w:pPr><w:pStyle w:val="Normal"/></w:pPr>
<w:r><w:t xml:space="preserve">repudiation or renunciation on oath.  At common law, it</w:t></w:r>
</w:p>
<w:p>
<w:pPr><w:pStyle w:val="Normal"/></w:pPr>
<w:r><w:t xml:space="preserve">signified the oath of a person who had taken sanctuary to</w:t></w:r>
</w:p>
<w:p>
<w:pPr><w:pStyle w:val="Normal"/></w:pPr>
<w:r><w:t xml:space="preserve">leave the realm for ever; this was abolished in the reign of</w:t></w:r>
</w:p>
<w:p>
<w:pPr><w:pStyle w:val="Normal"/></w:pPr>
<w:r><w:t xml:space="preserve">James I. The Oath at Abjuration, in English history, was</w:t></w:r>
</w:p>
<w:p>
<w:pPr><w:pStyle w:val="Normal"/></w:pPr>
<w:r><w:t xml:space="preserve">a solemn disclaimer, taken by members of parliament, clergy</w:t></w:r>
</w:p>
<w:p>
<w:pPr><w:pStyle w:val="Normal"/></w:pPr>
<w:r><w:t xml:space="preserve">and laymen against the right of the Stuarts to the crown,</w:t></w:r>
</w:p>
<w:p>
<w:pPr><w:pStyle w:val="Normal"/></w:pPr>
<w:r><w:t xml:space="preserve">imposed by laws of William III., George I. and George III.;</w:t></w:r>
</w:p>
<w:p>
<w:pPr><w:pStyle w:val="Normal"/></w:pPr>
<w:r><w:t xml:space="preserve">but its place has since been taken by the oath of allegiance.</w:t></w:r>
</w:p>
<w:p>
<w:pPr><w:pStyle w:val="Normal"/></w:pPr>
<w:r><w:t xml:space="preserve">ABKHASIA, or ABHASIA, a tract of Russian Caucasia,</w:t></w:r>
</w:p>
<w:p>
<w:pPr><w:pStyle w:val="Normal"/></w:pPr>
<w:r><w:t xml:space="preserve">government of Kutais.  The Caucasus mountains on the N. and</w:t></w:r>
</w:p>
<w:p>
<w:pPr><w:pStyle w:val="Normal"/></w:pPr>
<w:r><w:t xml:space="preserve">N.E. divides it from Circassia; on the S.E. it is bounded</w:t></w:r>
</w:p>
<w:p>
<w:pPr><w:pStyle w:val="Normal"/></w:pPr>
<w:r><w:t xml:space="preserve">by Mingrelia; and on the S.W. by the Black Sea. Though the</w:t></w:r>
</w:p>
<w:p>
<w:pPr><w:pStyle w:val="Normal"/></w:pPr>
<w:r><w:t xml:space="preserve">country is generally mountainous, with dense forests of oak and</w:t></w:r>
</w:p>
<w:p>
<w:pPr><w:pStyle w:val="Normal"/></w:pPr>
<w:r><w:t xml:space="preserve">walnut, there are some deep, well-watered valleys, and the</w:t></w:r>
</w:p>
<w:p>
<w:pPr><w:pStyle w:val="Normal"/></w:pPr>
<w:r><w:t xml:space="preserve">climate is mild.  The soil is fertile, producing wheat, maize,</w:t></w:r>
</w:p>
<w:p>
<w:pPr><w:pStyle w:val="Normal"/></w:pPr>
<w:r><w:t xml:space="preserve">grapes, figs, pomegranates and wine.  Cattle and horses are</w:t></w:r>
</w:p>
<w:p>
<w:pPr><w:pStyle w:val="Normal"/></w:pPr>
<w:r><w:t xml:space="preserve">bred.  Honey is produced; and excellent arms are made.  This</w:t></w:r>
</w:p>
<w:p>
<w:pPr><w:pStyle w:val="Normal"/></w:pPr>
<w:r><w:t xml:space="preserve">country was subdued (c. 550) by the Emperor Justinian, who</w:t></w:r>
</w:p>
<w:p>
<w:pPr><w:pStyle w:val="Normal"/></w:pPr>
<w:r><w:t xml:space="preserve">introduced Christianity.  Native dynasties ruled from 735 to</w:t></w:r>
</w:p>
<w:p>
<w:pPr><w:pStyle w:val="Normal"/></w:pPr>
<w:r><w:t xml:space="preserve">the 15th century, when the region was conquered by the Turks</w:t></w:r>
</w:p>
<w:p>
<w:pPr><w:pStyle w:val="Normal"/></w:pPr>
<w:r><w:t xml:space="preserve">and became Mahommedan.  The Russians acquired possession</w:t></w:r>
</w:p>
<w:p>
<w:pPr><w:pStyle w:val="Normal"/></w:pPr>
<w:r><w:t xml:space="preserve">of it piecemeal between 1829 and 1842, but their power was</w:t></w:r>
</w:p>
<w:p>
<w:pPr><w:pStyle w:val="Normal"/></w:pPr>
<w:r><w:t xml:space="preserve">not firmly established until after 1864.  Area, 2800 sq.</w:t></w:r>
</w:p>
<w:p>
<w:pPr><w:pStyle w:val="Normal"/></w:pPr>
<w:r><w:t xml:space="preserve">m.  The principal town is Sukhum-kaleh.  Pop. 43,000, of whom</w:t></w:r>
</w:p>
<w:p>
<w:pPr><w:pStyle w:val="Normal"/></w:pPr>
<w:r><w:t xml:space="preserve">two-thirds are Mingrelians and one-third Abkhasians, a Cherkess</w:t></w:r>
</w:p>
<w:p>
<w:pPr><w:pStyle w:val="Normal"/></w:pPr>
<w:r><w:t xml:space="preserve">or Circassian race.  The total number of Abkhasians in the</w:t></w:r>
</w:p>
<w:p>
<w:pPr><w:pStyle w:val="Normal"/></w:pPr>
<w:r><w:t xml:space="preserve">two governments of Kutais and Kuban was 72,103 in 1897; large</w:t></w:r>
</w:p>
<w:p>
<w:pPr><w:pStyle w:val="Normal"/></w:pPr>
<w:r><w:t xml:space="preserve">numbers emigrated to the Turkish empire in 1864 and 1878.</w:t></w:r>
</w:p>
<w:p>
<w:pPr><w:pStyle w:val="Normal"/></w:pPr>
<w:r><w:t xml:space="preserve">ABLATION (from Lat. ablatus, carried away), the process of</w:t></w:r>
</w:p>
<w:p>
<w:pPr><w:pStyle w:val="Normal"/></w:pPr>
<w:r><w:t xml:space="preserve">removing anything; a term used technically in geology of the wearing</w:t></w:r>
</w:p>
<w:p>
<w:pPr><w:pStyle w:val="Normal"/></w:pPr>
<w:r><w:t xml:space="preserve">away of a rock or glacier, and in surgery for operative removal.</w:t></w:r>
</w:p>
<w:p>
<w:pPr><w:pStyle w:val="Normal"/></w:pPr>
<w:r><w:t xml:space="preserve">ABLATITIOUS (from Lat. ablatus, taken away). reducina</w:t></w:r>
</w:p>
<w:p>
<w:pPr><w:pStyle w:val="Normal"/></w:pPr>
<w:r><w:t xml:space="preserve">or withdrawing; in astronomy a force which interferes</w:t></w:r>
</w:p>
<w:p>
<w:pPr><w:pStyle w:val="Normal"/></w:pPr>
<w:r><w:t xml:space="preserve">between the moon and the earth to lessen the strength</w:t></w:r>
</w:p>
<w:p>
<w:pPr><w:pStyle w:val="Normal"/></w:pPr>
<w:r><w:t xml:space="preserve">of gravitation is called ``ablatitious,&apos;&apos; just as it is</w:t></w:r>
</w:p>
<w:p>
<w:pPr><w:pStyle w:val="Normal"/></w:pPr>
<w:r><w:t xml:space="preserve">called ``addititious&apos;&apos; when it increases that strength.</w:t></w:r>
</w:p>
<w:p>
<w:pPr><w:pStyle w:val="Normal"/></w:pPr>
<w:r><w:t xml:space="preserve">ABLATIVE (Lat. ablativus, sc. casus, from ablatum, taken</w:t></w:r>
</w:p>
<w:p>
<w:pPr><w:pStyle w:val="Normal"/></w:pPr>
<w:r><w:t xml:space="preserve">away), in grammar, a case of the noun, the fundamental sense</w:t></w:r>
</w:p>
<w:p>
<w:pPr><w:pStyle w:val="Normal"/></w:pPr>
<w:r><w:t xml:space="preserve">of which is direction from; in Latin, the principal language in</w:t></w:r>
</w:p>
<w:p>
<w:pPr><w:pStyle w:val="Normal"/></w:pPr>
<w:r><w:t xml:space="preserve">which the case exists, this has been extended, with or without</w:t></w:r>
</w:p>
<w:p>
<w:pPr><w:pStyle w:val="Normal"/></w:pPr>
<w:r><w:t xml:space="preserve">a preposition, to the instrument or agent of an act, and the</w:t></w:r>
</w:p>
<w:p>
<w:pPr><w:pStyle w:val="Normal"/></w:pPr>
<w:r><w:t xml:space="preserve">place or time at, and manner in, which a thing is done.  The</w:t></w:r>
</w:p>
<w:p>
<w:pPr><w:pStyle w:val="Normal"/></w:pPr>
<w:r><w:t xml:space="preserve">case is also found in Sanskrit, Zend, Oscan and Umbrian, and</w:t></w:r>
</w:p>
<w:p>
<w:pPr><w:pStyle w:val="Normal"/></w:pPr>
<w:r><w:t xml:space="preserve">traces remain in other languages.  The ``Ablative Absolute,&apos;&apos;</w:t></w:r>
</w:p>
<w:p>
<w:pPr><w:pStyle w:val="Normal"/></w:pPr>
<w:r><w:t xml:space="preserve">a grammatical construction in Latin, consists of a noun in</w:t></w:r>
</w:p>
<w:p>
<w:pPr><w:pStyle w:val="Normal"/></w:pPr>
<w:r><w:t xml:space="preserve">the ablative case, with a participle, attribute or qualifying</w:t></w:r>
</w:p>
<w:p>
<w:pPr><w:pStyle w:val="Normal"/></w:pPr>
<w:r><w:t xml:space="preserve">word agreeing with it, not depending on any other part of the</w:t></w:r>
</w:p>
<w:p>
<w:pPr><w:pStyle w:val="Normal"/></w:pPr>
<w:r><w:t xml:space="preserve">sentence, to express the time, occasion or circumstance of a fact.</w:t></w:r>
</w:p>
<w:p>
<w:pPr><w:pStyle w:val="Normal"/></w:pPr>
<w:r><w:t xml:space="preserve">ABLUTION (Lat. ablutio, from ablucre, ``to wash off&apos;&apos;),</w:t></w:r>
</w:p>
<w:p>
<w:pPr><w:pStyle w:val="Normal"/></w:pPr>
<w:r><w:t xml:space="preserve">a washing, in its religious use, destined to secure that</w:t></w:r>
</w:p>
<w:p>
<w:pPr><w:pStyle w:val="Normal"/></w:pPr>
<w:r><w:t xml:space="preserve">ceremonial or ritualistic purity which must not be confused</w:t></w:r>
</w:p>
<w:p>
<w:pPr><w:pStyle w:val="Normal"/></w:pPr>
<w:r><w:t xml:space="preserve">with the physical or hygienic cleanliness of persons and</w:t></w:r>
</w:p>
<w:p>
<w:pPr><w:pStyle w:val="Normal"/></w:pPr>
<w:r><w:t xml:space="preserve">things obtained by the use of soap and water.1 Indeed the</w:t></w:r>
</w:p>
<w:p>
<w:pPr><w:pStyle w:val="Normal"/></w:pPr>
<w:r><w:t xml:space="preserve">two states may contradict each other, as in the case of the</w:t></w:r>
</w:p>
<w:p>
<w:pPr><w:pStyle w:val="Normal"/></w:pPr>
<w:r><w:t xml:space="preserve">4th-century Christian pilgrim to Jerusalem who boasted that</w:t></w:r>
</w:p>
<w:p>
<w:pPr><w:pStyle w:val="Normal"/></w:pPr>
<w:r><w:t xml:space="preserve">she had not washed ner face for eighteen years for fear of</w:t></w:r>
</w:p>
<w:p>
<w:pPr><w:pStyle w:val="Normal"/></w:pPr>
<w:r><w:t xml:space="preserve">removing therefrom the holy chrism of baptism.  The purport,</w:t></w:r>
</w:p>
<w:p>
<w:pPr><w:pStyle w:val="Normal"/></w:pPr>
<w:r><w:t xml:space="preserve">then, of ablutions is to remove, not dust and dirt, but the---to</w:t></w:r>
</w:p>
<w:p>
<w:pPr><w:pStyle w:val="Normal"/></w:pPr>
<w:r><w:t xml:space="preserve">us imaginary--stains contracted by contact with the dead,</w:t></w:r>
</w:p>
<w:p>
<w:pPr><w:pStyle w:val="Normal"/></w:pPr>
<w:r><w:t xml:space="preserve">with childbirth, with menstruous women, with murder whether</w:t></w:r>
</w:p>
<w:p>
<w:pPr><w:pStyle w:val="Normal"/></w:pPr>
<w:r><w:t xml:space="preserve">wilful or involuntary, with almost any form of bloodshed, with</w:t></w:r>
</w:p>
<w:p>
<w:pPr><w:pStyle w:val="Normal"/></w:pPr>
<w:r><w:t xml:space="preserve">persons of inferior caste, with dead animal refuse, e.g.</w:t></w:r>
</w:p>
<w:p>
<w:pPr><w:pStyle w:val="Normal"/></w:pPr>
<w:r><w:t xml:space="preserve">leather or excrement, with leprosy, madness and any form of</w:t></w:r>
</w:p>
<w:p>
<w:pPr><w:pStyle w:val="Normal"/></w:pPr>
<w:r><w:t xml:space="preserve">disease.  Among all races in a certain grade of development</w:t></w:r>
</w:p>
<w:p>
<w:pPr><w:pStyle w:val="Normal"/></w:pPr>
<w:r><w:t xml:space="preserve">such associations are vaguely felt to be dangerous and to impair</w:t></w:r>
</w:p>
<w:p>
<w:pPr><w:pStyle w:val="Normal"/></w:pPr>
<w:r><w:t xml:space="preserve">vitality.  In a later stage the taint is regarded as alive,</w:t></w:r>
</w:p>
<w:p>
<w:pPr><w:pStyle w:val="Normal"/></w:pPr>
<w:r><w:t xml:space="preserve">as a demon or evil spirit alighting on and passing into the</w:t></w:r>
</w:p>
<w:p>
<w:pPr><w:pStyle w:val="Normal"/></w:pPr>
<w:r><w:t xml:space="preserve">things and persons exposed to contamination.  In general,</w:t></w:r>
</w:p>
<w:p>
<w:pPr><w:pStyle w:val="Normal"/></w:pPr>
<w:r><w:t xml:space="preserve">water, cows&apos; urine and blood of swine are the materials used in</w:t></w:r>
</w:p>
<w:p>
<w:pPr><w:pStyle w:val="Normal"/></w:pPr>
<w:r><w:t xml:space="preserve">ablutions.  Of these water is the commonest, and its efficacy</w:t></w:r>
</w:p>
<w:p>
<w:pPr><w:pStyle w:val="Normal"/></w:pPr>
<w:r><w:t xml:space="preserve">is enhanced if it be running, and still more if a magical or</w:t></w:r>
</w:p>
<w:p>
<w:pPr><w:pStyle w:val="Normal"/></w:pPr>
<w:r><w:t xml:space="preserve">sacramental virtue has been imparted to it by ritual blessing or</w:t></w:r>
</w:p>
<w:p>
<w:pPr><w:pStyle w:val="Normal"/></w:pPr>
<w:r><w:t xml:space="preserve">consecration.  Some concrete examples will best illustrate the</w:t></w:r>
</w:p>
<w:p>
<w:pPr><w:pStyle w:val="Normal"/></w:pPr>
<w:r><w:t xml:space="preserve">nature of such ablutions.  In the Atharva-Veda, vii. 116,</w:t></w:r>
</w:p>
<w:p>
<w:pPr><w:pStyle w:val="Normal"/></w:pPr>
<w:r><w:t xml:space="preserve">we have this allopathic remedy for fever.  The patient&apos;s skin</w:t></w:r>
</w:p>
<w:p>
<w:pPr><w:pStyle w:val="Normal"/></w:pPr>
<w:r><w:t xml:space="preserve">burns, that of a frog is cold to the touch; therefore tie to</w:t></w:r>
</w:p>
<w:p>
<w:pPr><w:pStyle w:val="Normal"/></w:pPr>
<w:r><w:t xml:space="preserve">the foot of the bed a frog, bound with red and black thread,</w:t></w:r>
</w:p>
<w:p>
<w:pPr><w:pStyle w:val="Normal"/></w:pPr>
<w:r><w:t xml:space="preserve">and wash down the sick man so that the water of ablution falls</w:t></w:r>
</w:p>
<w:p>
<w:pPr><w:pStyle w:val="Normal"/></w:pPr>
<w:r><w:t xml:space="preserve">1 in its technical ecclesiastical sense the ablution is</w:t></w:r>
</w:p>
<w:p>
<w:pPr><w:pStyle w:val="Normal"/></w:pPr>
<w:r><w:t xml:space="preserve">the ritual washing of the chalice and of the priest&apos;s fingers</w:t></w:r>
</w:p>
<w:p>
<w:pPr><w:pStyle w:val="Normal"/></w:pPr>
<w:r><w:t xml:space="preserve">after the celebration of Holy Communion in the Catholic</w:t></w:r>
</w:p>
<w:p>
<w:pPr><w:pStyle w:val="Normal"/></w:pPr>
<w:r><w:t xml:space="preserve">Church.  The wine and water used for this purpose are themselves</w:t></w:r>
</w:p>
<w:p>
<w:pPr><w:pStyle w:val="Normal"/></w:pPr>
<w:r><w:t xml:space="preserve">sometimes called ``the ablution.&apos;&apos; on the frog.  Let the</w:t></w:r>
</w:p>
<w:p>
<w:pPr><w:pStyle w:val="Normal"/></w:pPr>
<w:r><w:t xml:space="preserve">medicine man or magician pray that the fever may pass into</w:t></w:r>
</w:p>
<w:p>
<w:pPr><w:pStyle w:val="Normal"/></w:pPr>
<w:r><w:t xml:space="preserve">the frog, and the frog be forthwith re-leased, and the cure</w:t></w:r>
</w:p>
<w:p>
<w:pPr><w:pStyle w:val="Normal"/></w:pPr>
<w:r><w:t xml:space="preserve">will be effected.  In the old Athenian Anthesteria the blood</w:t></w:r>
</w:p>
<w:p>
<w:pPr><w:pStyle w:val="Normal"/></w:pPr>
<w:r><w:t xml:space="preserve">of victims was poured over the unclean.  A bath of bulls&apos;</w:t></w:r>
</w:p>
<w:p>
<w:pPr><w:pStyle w:val="Normal"/></w:pPr>
<w:r><w:t xml:space="preserve">blood was much in vogue as a baptism in the mysteries of</w:t></w:r>
</w:p>
<w:p>
<w:pPr><w:pStyle w:val="Normal"/></w:pPr>
<w:r><w:t xml:space="preserve">Attis.  The water must in ritual washings run off in order</w:t></w:r>
</w:p>
<w:p>
<w:pPr><w:pStyle w:val="Normal"/></w:pPr>
<w:r><w:t xml:space="preserve">to carry away the miasma or unseen demon of disease; and</w:t></w:r>
</w:p>
<w:p>
<w:pPr><w:pStyle w:val="Normal"/></w:pPr>
<w:r><w:t xml:space="preserve">accordingly in baptism the early Christians used living or</w:t></w:r>
</w:p>
<w:p>
<w:pPr><w:pStyle w:val="Normal"/></w:pPr>
<w:r><w:t xml:space="preserve">running water.  Nor was it enough that the person baptized</w:t></w:r>
</w:p>
<w:p>
<w:pPr><w:pStyle w:val="Normal"/></w:pPr>
<w:r><w:t xml:space="preserve">should himself enter the water; the baptizer must pour it</w:t></w:r>
</w:p>
<w:p>
<w:pPr><w:pStyle w:val="Normal"/></w:pPr>
<w:r><w:t xml:space="preserve">over his head, so that it run down his person.  Similarly</w:t></w:r>
</w:p>
<w:p>
<w:pPr><w:pStyle w:val="Normal"/></w:pPr>
<w:r><w:t xml:space="preserve">the Brahman takes care, after ablution of a person, to wipe</w:t></w:r>
</w:p>
<w:p>
<w:pPr><w:pStyle w:val="Normal"/></w:pPr>
<w:r><w:t xml:space="preserve">the cathartic water off from head to feet downwards, that the</w:t></w:r>
</w:p>
<w:p>
<w:pPr><w:pStyle w:val="Normal"/></w:pPr>
<w:r><w:t xml:space="preserve">malign influence may pass out through the feet.  The same care</w:t></w:r>
</w:p>
<w:p>
<w:pPr><w:pStyle w:val="Normal"/></w:pPr>
<w:r><w:t xml:space="preserve">is shown in ritual ablutions in the Bukovina and elsewhere.</w:t></w:r>
</w:p>
<w:p>
<w:pPr><w:pStyle w:val="Normal"/></w:pPr>
<w:r><w:t xml:space="preserve">Water and fire, spices and sulphur, are used in ritual</w:t></w:r>
</w:p>
<w:p>
<w:pPr><w:pStyle w:val="Normal"/></w:pPr>
<w:r><w:t xml:space="preserve">cleansings, says Iamblichus in his book on mysteries (v. 23),</w:t></w:r>
</w:p>
<w:p>
<w:pPr><w:pStyle w:val="Normal"/></w:pPr>
<w:r><w:t xml:space="preserve">as being specially full of the divine nature.  Nevertheless in</w:t></w:r>
</w:p>
<w:p>
<w:pPr><w:pStyle w:val="Normal"/></w:pPr>
<w:r><w:t xml:space="preserve">all religions, and especially in the Brahmanic and Christian,</w:t></w:r>
</w:p>
<w:p>
<w:pPr><w:pStyle w:val="Normal"/></w:pPr>
<w:r><w:t xml:space="preserve">the cathartic virtue of water is enhanced by the introduction</w:t></w:r>
</w:p>
<w:p>
<w:pPr><w:pStyle w:val="Normal"/></w:pPr>
<w:r><w:t xml:space="preserve">into it by means of suitable prayers and incantations of</w:t></w:r>
</w:p>
<w:p>
<w:pPr><w:pStyle w:val="Normal"/></w:pPr>
<w:r><w:t xml:space="preserve">a divine or magical power.  Ablutions both of persons and</w:t></w:r>
</w:p>
<w:p>
<w:pPr><w:pStyle w:val="Normal"/></w:pPr>
<w:r><w:t xml:space="preserve">things are usually cathartic, that is, intended to purge</w:t></w:r>
</w:p>
<w:p>
<w:pPr><w:pStyle w:val="Normal"/></w:pPr>
<w:r><w:t xml:space="preserve">away evil influences (kathairein, to make katharos,</w:t></w:r>
</w:p>
<w:p>
<w:pPr><w:pStyle w:val="Normal"/></w:pPr>
<w:r><w:t xml:space="preserve">pure).  But, as Robertson Smith observes, ``holiness is</w:t></w:r>
</w:p>
<w:p>
<w:pPr><w:pStyle w:val="Normal"/></w:pPr>
<w:r><w:t xml:space="preserve">contagious, just as uncleanness is&apos;&apos;; and common things and</w:t></w:r>
</w:p>
<w:p>
<w:pPr><w:pStyle w:val="Normal"/></w:pPr>
<w:r><w:t xml:space="preserve">persons may become taboo, that is, so holy as to be dangerous</w:t></w:r>
</w:p>
<w:p>
<w:pPr><w:pStyle w:val="Normal"/></w:pPr>
<w:r><w:t xml:space="preserve">and useless for daily life through the mere infection of</w:t></w:r>
</w:p>
<w:p>
<w:pPr><w:pStyle w:val="Normal"/></w:pPr>
<w:r><w:t xml:space="preserve">holiness.  Thus in Syria one who touched a dove became taboo</w:t></w:r>
</w:p>
<w:p>
<w:pPr><w:pStyle w:val="Normal"/></w:pPr>
<w:r><w:t xml:space="preserve">for one whole day, and if a drop of blood of the Hebrew</w:t></w:r>
</w:p>
<w:p>
<w:pPr><w:pStyle w:val="Normal"/></w:pPr>
<w:r><w:t xml:space="preserve">sin-offering fell on a garment it had to be ritually washed</w:t></w:r>
</w:p>
<w:p>
<w:pPr><w:pStyle w:val="Normal"/></w:pPr>
<w:r><w:t xml:space="preserve">off.  It was as necessary in the Hebrew religion for the</w:t></w:r>
</w:p>
<w:p>
<w:pPr><w:pStyle w:val="Normal"/></w:pPr>
<w:r><w:t xml:space="preserve">priest to wash his hands ofter handling the sacred volume as</w:t></w:r>
</w:p>
<w:p>
<w:pPr><w:pStyle w:val="Normal"/></w:pPr>
<w:r><w:t xml:space="preserve">before.  Christians might not enter a church to say their</w:t></w:r>
</w:p>
<w:p>
<w:pPr><w:pStyle w:val="Normal"/></w:pPr>
<w:r><w:t xml:space="preserve">prayers without first washing their hands.  So Chrysostom</w:t></w:r>
</w:p>
<w:p>
<w:pPr><w:pStyle w:val="Normal"/></w:pPr>
<w:r><w:t xml:space="preserve">says: ``Although our hands may be already pure, yet unless</w:t></w:r>
</w:p>
<w:p>
<w:pPr><w:pStyle w:val="Normal"/></w:pPr>
<w:r><w:t xml:space="preserve">we have washed them thoroughly, we do not spread them upwards</w:t></w:r>
</w:p>
<w:p>
<w:pPr><w:pStyle w:val="Normal"/></w:pPr>
<w:r><w:t xml:space="preserve">in prayer.&apos;&apos; Tertullian (c. 200) had long before condemned</w:t></w:r>
</w:p>
<w:p>
<w:pPr><w:pStyle w:val="Normal"/></w:pPr>
<w:r><w:t xml:space="preserve">this as a heathen custom; none the less, it was insisted on</w:t></w:r>
</w:p>
<w:p>
<w:pPr><w:pStyle w:val="Normal"/></w:pPr>
<w:r><w:t xml:space="preserve">in later ages, and is a survival of the pagan lustrations or</w:t></w:r>
</w:p>
<w:p>
<w:pPr><w:pStyle w:val="Normal"/></w:pPr>
<w:r><w:t xml:space="preserve">perirranteria. Sozomen (vi. 6) tells how a priest sprinkled</w:t></w:r>
</w:p>
<w:p>
<w:pPr><w:pStyle w:val="Normal"/></w:pPr>
<w:r><w:t xml:space="preserve">Julian and Valentinian with water according to the heathen custom</w:t></w:r>
</w:p>
<w:p>
<w:pPr><w:pStyle w:val="Normal"/></w:pPr>
<w:r><w:t xml:space="preserve">as they entered his temple.  The same custom prevails among</w:t></w:r>
</w:p>
<w:p>
<w:pPr><w:pStyle w:val="Normal"/></w:pPr>
<w:r><w:t xml:space="preserve">Mahommedans.  Porphyry (de Abst. ii. 44) relates that one</w:t></w:r>
</w:p>
<w:p>
<w:pPr><w:pStyle w:val="Normal"/></w:pPr>
<w:r><w:t xml:space="preserve">who touched a sacrifice meant to avert divine anger must bathe</w:t></w:r>
</w:p>
<w:p>
<w:pPr><w:pStyle w:val="Normal"/></w:pPr>
<w:r><w:t xml:space="preserve">and wash his clothes in running water before returning to his</w:t></w:r>
</w:p>
<w:p>
<w:pPr><w:pStyle w:val="Normal"/></w:pPr>
<w:r><w:t xml:space="preserve">city and home, and similar scruples in regard to holy objects</w:t></w:r>
</w:p>
<w:p>
<w:pPr><w:pStyle w:val="Normal"/></w:pPr>
<w:r><w:t xml:space="preserve">and persons have been observed among the natives of Polynesia,</w:t></w:r>
</w:p>
<w:p>
<w:pPr><w:pStyle w:val="Normal"/></w:pPr>
<w:r><w:t xml:space="preserve">New Zealand and ancient Egypt.  The rites, met within all</w:t></w:r>
</w:p>
<w:p>
<w:pPr><w:pStyle w:val="Normal"/></w:pPr>
<w:r><w:t xml:space="preserve">lands, of pouring out water or bathing in order to produce</w:t></w:r>
</w:p>
<w:p>
<w:pPr><w:pStyle w:val="Normal"/></w:pPr>
<w:r><w:t xml:space="preserve">rain from heaven, differ in their significance from ablutions</w:t></w:r>
</w:p>
<w:p>
<w:pPr><w:pStyle w:val="Normal"/></w:pPr>
<w:r><w:t xml:space="preserve">with water and belong to the realm of sympathetic magic.</w:t></w:r>
</w:p>
<w:p>
<w:pPr><w:pStyle w:val="Normal"/></w:pPr>
<w:r><w:t xml:space="preserve">There are certain forms of purification which one does not</w:t></w:r>
</w:p>
<w:p>
<w:pPr><w:pStyle w:val="Normal"/></w:pPr>
<w:r><w:t xml:space="preserve">know whether to describe as ablutions or anointings.  Thus</w:t></w:r>
</w:p>
<w:p>
<w:pPr><w:pStyle w:val="Normal"/></w:pPr>
<w:r><w:t xml:space="preserve">Demosthenes in his speech ``On the crown&apos;, accused Aeschines</w:t></w:r>
</w:p>
<w:p>
<w:pPr><w:pStyle w:val="Normal"/></w:pPr>
<w:r><w:t xml:space="preserve">of having ``purified the initiated and wiped them clean</w:t></w:r>
</w:p>
<w:p>
<w:pPr><w:pStyle w:val="Normal"/></w:pPr>
<w:r><w:t xml:space="preserve">with (not from) mud and pitch.&apos;&apos; Smearing with gypsum</w:t></w:r>
</w:p>
<w:p>
<w:pPr><w:pStyle w:val="Normal"/></w:pPr>
<w:r><w:t xml:space="preserve">(titanos. titanos) had a similar purifying effect,</w:t></w:r>
</w:p>
<w:p>
<w:pPr><w:pStyle w:val="Normal"/></w:pPr>
<w:r><w:t xml:space="preserve">and it has been suggested i that the Titans were no more</w:t></w:r>
</w:p>
<w:p>
<w:pPr><w:pStyle w:val="Normal"/></w:pPr>
<w:r><w:t xml:space="preserve">than old-world votaries who had so disguised themselves.</w:t></w:r>
</w:p>
<w:p>
<w:pPr><w:pStyle w:val="Normal"/></w:pPr>
<w:r><w:t xml:space="preserve">Perhaps the use of ashes in mourning had the same origin.</w:t></w:r>
</w:p>
<w:p>
<w:pPr><w:pStyle w:val="Normal"/></w:pPr>
<w:r><w:t xml:space="preserve">In the rite of death-bed penance given in the old Mozarabic</w:t></w:r>
</w:p>
<w:p>
<w:pPr><w:pStyle w:val="Normal"/></w:pPr>
<w:r><w:t xml:space="preserve">Christian ritual of Spain, ashes were poured over the sick man.</w:t></w:r>
</w:p>
<w:p>
<w:pPr><w:pStyle w:val="Normal"/></w:pPr>
<w:r><w:t xml:space="preserve">AUTHORITIES.--W.  R. Smith, Religion of the Semites;</w:t></w:r>
</w:p>
<w:p>
<w:pPr><w:pStyle w:val="Normal"/></w:pPr>
<w:r><w:t xml:space="preserve">Jul. Wellhausen, Reste arabischen Heidentums (=Skizzen und</w:t></w:r>
</w:p>
<w:p>
<w:pPr><w:pStyle w:val="Normal"/></w:pPr>
<w:r><w:t xml:space="preserve">Verarbeiten, ritualibus (Tubingae, 1732); Art. ``Clean</w:t></w:r>
</w:p>
<w:p>
<w:pPr><w:pStyle w:val="Normal"/></w:pPr>
<w:r><w:t xml:space="preserve">and Unclean&apos;&apos; in Hastings&apos; Bible Dictionary and in Jewish</w:t></w:r>
</w:p>
<w:p>
<w:pPr><w:pStyle w:val="Normal"/></w:pPr>
<w:r><w:t xml:space="preserve">Encyclopedia, vol. iv.; J. G. Frazer, Adonis, Attis,</w:t></w:r>
</w:p>
<w:p>
<w:pPr><w:pStyle w:val="Normal"/></w:pPr>
<w:r><w:t xml:space="preserve">Osiris (London, 1906); Joseph Bingham, Antiquities</w:t></w:r>
</w:p>
<w:p>
<w:pPr><w:pStyle w:val="Normal"/></w:pPr>
<w:r><w:t xml:space="preserve">(of the Christian Church, bk. viii.; Hermann Oldenberg,</w:t></w:r>
</w:p>
<w:p>
<w:pPr><w:pStyle w:val="Normal"/></w:pPr>
<w:r><w:t xml:space="preserve">Die Religion des Veda&apos;s, Berlin, 1894. (F. C. C.)</w:t></w:r>
</w:p>
<w:p>
<w:pPr><w:pStyle w:val="Normal"/></w:pPr>
<w:r><w:t xml:space="preserve">ABNAKI (``the whitening sky at daybreak,&apos;&apos; i.e. Easterners),</w:t></w:r>
</w:p>
<w:p>
<w:pPr><w:pStyle w:val="Normal"/></w:pPr>
<w:r><w:t xml:space="preserve">a confederacy of North American Indians of Algonquian stock,</w:t></w:r>
</w:p>
<w:p>
<w:pPr><w:pStyle w:val="Normal"/></w:pPr>
<w:r><w:t xml:space="preserve">1 By J. E. Harrison, Prolegomena to Creek Religion, p. 493.</w:t></w:r>
</w:p>
<w:p>
<w:pPr><w:pStyle w:val="Normal"/></w:pPr>
<w:r><w:t xml:space="preserve">called Terrateens by the New England tribes and colonial</w:t></w:r>
</w:p>
<w:p>
<w:pPr><w:pStyle w:val="Normal"/></w:pPr>
<w:r><w:t xml:space="preserve">writers.  It included the Passamaquoddy, Penobscot, Norridgewock,</w:t></w:r>
</w:p>
<w:p>
<w:pPr><w:pStyle w:val="Normal"/></w:pPr>
<w:r><w:t xml:space="preserve">Malecite and other tribes.  It formerly occupied what is now</w:t></w:r>
</w:p>
<w:p>
<w:pPr><w:pStyle w:val="Normal"/></w:pPr>
<w:r><w:t xml:space="preserve">Maine and southern New Brunswick.  All the tribes were loyal</w:t></w:r>
</w:p>
<w:p>
<w:pPr><w:pStyle w:val="Normal"/></w:pPr>
<w:r><w:t xml:space="preserve">to the French during the early years of the 18th century, but</w:t></w:r>
</w:p>
<w:p>
<w:pPr><w:pStyle w:val="Normal"/></w:pPr>
<w:r><w:t xml:space="preserve">after the British success in Canada most of them withdrew to St</w:t></w:r>
</w:p>
<w:p>
<w:pPr><w:pStyle w:val="Normal"/></w:pPr>
<w:r><w:t xml:space="preserve">Francis, Canada, subsequently entering into an agreement with</w:t></w:r>
</w:p>
<w:p>
<w:pPr><w:pStyle w:val="Normal"/></w:pPr>
<w:r><w:t xml:space="preserve">the British authorities.  The Abnaki now number some 1600.</w:t></w:r>
</w:p>
<w:p>
<w:pPr><w:pStyle w:val="Normal"/></w:pPr>
<w:r><w:t xml:space="preserve">For details see Handbook of American Indians,</w:t></w:r>
</w:p>
<w:p>
<w:pPr><w:pStyle w:val="Normal"/></w:pPr>
<w:r><w:t xml:space="preserve">edited by F. W. Hodge (Washington, 1907). .</w:t></w:r>
</w:p>
<w:p>
<w:pPr><w:pStyle w:val="Normal"/></w:pPr>
<w:r><w:t xml:space="preserve">ABNER (Hebrew for ``father of [or is a light&apos;&apos;), in</w:t></w:r>
</w:p>
<w:p>
<w:pPr><w:pStyle w:val="Normal"/></w:pPr>
<w:r><w:t xml:space="preserve">the Bible, first cousin of Saul and commander-in-chief of</w:t></w:r>
</w:p>
<w:p>
<w:pPr><w:pStyle w:val="Normal"/></w:pPr>
<w:r><w:t xml:space="preserve">his army (I Sam. xiv. 50, xx. 25). He is only referred</w:t></w:r>
</w:p>
<w:p>
<w:pPr><w:pStyle w:val="Normal"/></w:pPr>
<w:r><w:t xml:space="preserve">to incidentally in Saul&apos;s history (1 Sam. xvii. 55, xxvi.</w:t></w:r>
</w:p>
<w:p>
<w:pPr><w:pStyle w:val="Normal"/></w:pPr>
<w:r><w:t xml:space="preserve">5), and is not mentioned in the account of the disastrous</w:t></w:r>
</w:p>
<w:p>
<w:pPr><w:pStyle w:val="Normal"/></w:pPr>
<w:r><w:t xml:space="preserve">battle of Gilboa when Saul&apos;s power was crushed.  Seizing</w:t></w:r>
</w:p>
<w:p>
<w:pPr><w:pStyle w:val="Normal"/></w:pPr>
<w:r><w:t xml:space="preserve">the only surviving son, Ishbaal, he set him up as king over</w:t></w:r>
</w:p>
<w:p>
<w:pPr><w:pStyle w:val="Normal"/></w:pPr>
<w:r><w:t xml:space="preserve">Israel at Mahanaim, east of the Jordan.  David, who was</w:t></w:r>
</w:p>
<w:p>
<w:pPr><w:pStyle w:val="Normal"/></w:pPr>
<w:r><w:t xml:space="preserve">accepted as king by Judah alone, was meanwhile reigning at</w:t></w:r>
</w:p>
<w:p>
<w:pPr><w:pStyle w:val="Normal"/></w:pPr>
<w:r><w:t xml:space="preserve">Hebron, and for some time war was carried on between the two</w:t></w:r>
</w:p>
<w:p>
<w:pPr><w:pStyle w:val="Normal"/></w:pPr>
<w:r><w:t xml:space="preserve">parties.  The only engagement between the rival factions which</w:t></w:r>
</w:p>
<w:p>
<w:pPr><w:pStyle w:val="Normal"/></w:pPr>
<w:r><w:t xml:space="preserve">is told at length is noteworthy, inasmuch as it was preceded</w:t></w:r>
</w:p>
<w:p>
<w:pPr><w:pStyle w:val="Normal"/></w:pPr>
<w:r><w:t xml:space="preserve">by an encounter at Gibeon between twelve chosen men from each</w:t></w:r>
</w:p>
<w:p>
<w:pPr><w:pStyle w:val="Normal"/></w:pPr>
<w:r><w:t xml:space="preserve">side, in which the whole twenty-four seem to have perished</w:t></w:r>
</w:p>
<w:p>
<w:pPr><w:pStyle w:val="Normal"/></w:pPr>
<w:r><w:t xml:space="preserve">(2 Sam. ii. 12).i In the general engagement which followed,</w:t></w:r>
</w:p>
<w:p>
<w:pPr><w:pStyle w:val="Normal"/></w:pPr>
<w:r><w:t xml:space="preserve">Abner was defeated and put to flight.  He was closely pursued</w:t></w:r>
</w:p>
<w:p>
<w:pPr><w:pStyle w:val="Normal"/></w:pPr>
<w:r><w:t xml:space="preserve">by Asahel, brother of Joab, who is said to have been ``light</w:t></w:r>
</w:p>
<w:p>
<w:pPr><w:pStyle w:val="Normal"/></w:pPr>
<w:r><w:t xml:space="preserve">of foot as a wild roe.&apos;&apos; As Asahel would not desist from the</w:t></w:r>
</w:p>
<w:p>
<w:pPr><w:pStyle w:val="Normal"/></w:pPr>
<w:r><w:t xml:space="preserve">pursuit, though warned, Abner was compelled to slay him in</w:t></w:r>
</w:p>
<w:p>
<w:pPr><w:pStyle w:val="Normal"/></w:pPr>
<w:r><w:t xml:space="preserve">self-defence.  This originated a deadly feud between the</w:t></w:r>
</w:p>
<w:p>
<w:pPr><w:pStyle w:val="Normal"/></w:pPr>
<w:r><w:t xml:space="preserve">leaders of the opposite parties, for Joab, as next of kin to</w:t></w:r>
</w:p>
<w:p>
<w:pPr><w:pStyle w:val="Normal"/></w:pPr>
<w:r><w:t xml:space="preserve">Asahel, was by the law and custom of the country the avenger</w:t></w:r>
</w:p>
<w:p>
<w:pPr><w:pStyle w:val="Normal"/></w:pPr>
<w:r><w:t xml:space="preserve">of his blood.  For some time afterwards the war was carried</w:t></w:r>
</w:p>
<w:p>
<w:pPr><w:pStyle w:val="Normal"/></w:pPr>
<w:r><w:t xml:space="preserve">on, the advantage being invariably on the side of David.  At</w:t></w:r>
</w:p>
<w:p>
<w:pPr><w:pStyle w:val="Normal"/></w:pPr>
<w:r><w:t xml:space="preserve">length Ishbaal lost the main prop of his tottering cause by</w:t></w:r>
</w:p>
<w:p>
<w:pPr><w:pStyle w:val="Normal"/></w:pPr>
<w:r><w:t xml:space="preserve">remonstrating with Abner for marrying Rizpah, one of Saul&apos;s</w:t></w:r>
</w:p>
<w:p>
<w:pPr><w:pStyle w:val="Normal"/></w:pPr>
<w:r><w:t xml:space="preserve">concubines, an alliance which, according to Oriental notions,</w:t></w:r>
</w:p>
<w:p>
<w:pPr><w:pStyle w:val="Normal"/></w:pPr>
<w:r><w:t xml:space="preserve">implied pretensions to the throne (cp. 2 Sam. xvi. 21 sqq.; 1</w:t></w:r>
</w:p>
<w:p>
<w:pPr><w:pStyle w:val="Normal"/></w:pPr>
<w:r><w:t xml:space="preserve">Kings ii. 21 sqq.).  Abner was indignant at the deserved rebuke,</w:t></w:r>
</w:p>
<w:p>
<w:pPr><w:pStyle w:val="Normal"/></w:pPr>
<w:r><w:t xml:space="preserve">and immediately opened negotiations with David, who welcomed</w:t></w:r>
</w:p>
<w:p>
<w:pPr><w:pStyle w:val="Normal"/></w:pPr>
<w:r><w:t xml:space="preserve">him on the condition that his wife Michal should be restored to</w:t></w:r>
</w:p>
<w:p>
<w:pPr><w:pStyle w:val="Normal"/></w:pPr>
<w:r><w:t xml:space="preserve">him.  This was done, and the proceedings were ratified by a</w:t></w:r>
</w:p>
<w:p>
<w:pPr><w:pStyle w:val="Normal"/></w:pPr>
<w:r><w:t xml:space="preserve">feast.  Almost immediately after, however.  Joab, who had</w:t></w:r>
</w:p>
<w:p>
<w:pPr><w:pStyle w:val="Normal"/></w:pPr>
<w:r><w:t xml:space="preserve">been sent away, perhaps intentionally returned and slew</w:t></w:r>
</w:p>
<w:p>
<w:pPr><w:pStyle w:val="Normal"/></w:pPr>
<w:r><w:t xml:space="preserve">Abner at the gate of Hebron.  The ostensible motive for the</w:t></w:r>
</w:p>
<w:p>
<w:pPr><w:pStyle w:val="Normal"/></w:pPr>
<w:r><w:t xml:space="preserve">assassination was a desire to avenge Asahel, and this would</w:t></w:r>
</w:p>
<w:p>
<w:pPr><w:pStyle w:val="Normal"/></w:pPr>
<w:r><w:t xml:space="preserve">be a sufficient justification for the deed according to the</w:t></w:r>
</w:p>
<w:p>
<w:pPr><w:pStyle w:val="Normal"/></w:pPr>
<w:r><w:t xml:space="preserve">moral standard of the time.  The conduct of David after the</w:t></w:r>
</w:p>
<w:p>
<w:pPr><w:pStyle w:val="Normal"/></w:pPr>
<w:r><w:t xml:space="preserve">event was such as to show that he had no complicity in the</w:t></w:r>
</w:p>
<w:p>
<w:pPr><w:pStyle w:val="Normal"/></w:pPr>
<w:r><w:t xml:space="preserve">act, though he could not venture to punish its perpetrators</w:t></w:r>
</w:p>
<w:p>
<w:pPr><w:pStyle w:val="Normal"/></w:pPr>
<w:r><w:t xml:space="preserve">(2 Sam. iii. 31-39; cp. 1 Kings ii. 31 seq.). (See DAVID.)</w:t></w:r>
</w:p>
<w:p>
<w:pPr><w:pStyle w:val="Normal"/></w:pPr>
<w:r><w:t xml:space="preserve">1 The object of the story of the encounter is to explain the name</w:t></w:r>
</w:p>
<w:p>
<w:pPr><w:pStyle w:val="Normal"/></w:pPr>
<w:r><w:t xml:space="preserve">Helkath-hazzurim, the meaning of which is doubtful (Ency.  Bib. col.</w:t></w:r>
</w:p>
<w:p>
<w:pPr><w:pStyle w:val="Normal"/></w:pPr>
<w:r><w:t xml:space="preserve">2006; Batten in Zeit. f. alt-test.  Wissens. 1906, pp. 90 sqq.).</w:t></w:r>
</w:p>
<w:p>
<w:pPr><w:pStyle w:val="Normal"/></w:pPr>
<w:r><w:t xml:space="preserve">ABO (Finnish Turku), a city and seaport, the capital</w:t></w:r>
</w:p>
<w:p>
<w:pPr><w:pStyle w:val="Normal"/></w:pPr>
<w:r><w:t xml:space="preserve">of the province of Abo-Bjorneborg, in the grand duchy of</w:t></w:r>
</w:p>
<w:p>
<w:pPr><w:pStyle w:val="Normal"/></w:pPr>
<w:r><w:t xml:space="preserve">Finland, on the Aura-joki, about 3 m. from where it falls</w:t></w:r>
</w:p>
<w:p>
<w:pPr><w:pStyle w:val="Normal"/></w:pPr>
<w:r><w:t xml:space="preserve">into the gulf of Bothnia.  Pop. (1810) 10,224; (1870) 19,617;</w:t></w:r>
</w:p>
<w:p>
<w:pPr><w:pStyle w:val="Normal"/></w:pPr>
<w:r><w:t xml:space="preserve">(1904) 42,639.  It is 381 m. by rail from St Petersburg</w:t></w:r>
</w:p>
<w:p>
<w:pPr><w:pStyle w:val="Normal"/></w:pPr>
<w:r><w:t xml:space="preserve">via Tavastehus, and is in regular steamer communication</w:t></w:r>
</w:p>
<w:p>
<w:pPr><w:pStyle w:val="Normal"/></w:pPr>
<w:r><w:t xml:space="preserve">with St Petersburg, Vasa, Stockholm, Copenhagen and Hull.</w:t></w:r>
</w:p>
<w:p>
<w:pPr><w:pStyle w:val="Normal"/></w:pPr>
<w:r><w:t xml:space="preserve">It was already a place of importance when Finland formed</w:t></w:r>
</w:p>
<w:p>
<w:pPr><w:pStyle w:val="Heading1"/></w:pPr>
<w:r><w:t>part of the kingdom of Sweden.  When the Estates of Finland</w:t></w:r>
</w:p>
<w:p>
<w:pPr><w:pStyle w:val="Normal"/></w:pPr>
<w:r><w:t xml:space="preserve">seceded from Sweden and accepted the Emperor Alexander of</w:t></w:r>
</w:p>
<w:p>
<w:pPr><w:pStyle w:val="Normal"/></w:pPr>
<w:r><w:t xml:space="preserve">Russia as their grand duke at the Diet of Borga in 1809,</w:t></w:r>
</w:p>
<w:p>
<w:pPr><w:pStyle w:val="Normal"/></w:pPr>
<w:r><w:t xml:space="preserve">Abo became the capital of the new state, and so remained</w:t></w:r>
</w:p>
<w:p>
<w:pPr><w:pStyle w:val="Normal"/></w:pPr>
<w:r><w:t xml:space="preserve">till 1819 when the seat of government was transferred to</w:t></w:r>
</w:p>
<w:p>
<w:pPr><w:pStyle w:val="Normal"/></w:pPr>
<w:r><w:t xml:space="preserve">Helsingfors.  In November 1827 nearly the whole city was burnt</w:t></w:r>
</w:p>
<w:p>
<w:pPr><w:pStyle w:val="Normal"/></w:pPr>
<w:r><w:t xml:space="preserve">down, the university and its valuable library being entirely</w:t></w:r>
</w:p>
<w:p>
<w:pPr><w:pStyle w:val="Normal"/></w:pPr>
<w:r><w:t xml:space="preserve">destroyed.  Before this calamity Abo contained 1110 houses</w:t></w:r>
</w:p>
<w:p>
<w:pPr><w:pStyle w:val="Normal"/></w:pPr>
<w:r><w:t xml:space="preserve">and 13,000 inhabitants; and its university had 40 professors,</w:t></w:r>
</w:p>
<w:p>
<w:pPr><w:pStyle w:val="Normal"/></w:pPr>
<w:r><w:t xml:space="preserve">more than 500 students, and a library of upwards of 30,000</w:t></w:r>
</w:p>
<w:p>
<w:pPr><w:pStyle w:val="Normal"/></w:pPr>
<w:r><w:t xml:space="preserve">volumes, together with a botanical garden, an observatory and</w:t></w:r>
</w:p>
<w:p>
<w:pPr><w:pStyle w:val="Normal"/></w:pPr>
<w:r><w:t xml:space="preserve">a chemical laboratory.  The university has since been removed</w:t></w:r>
</w:p>
<w:p>
<w:pPr><w:pStyle w:val="Normal"/></w:pPr>
<w:r><w:t xml:space="preserve">to Helsingfors. Abo remains the ecclesiastical capital of</w:t></w:r>
</w:p>
<w:p>
<w:pPr><w:pStyle w:val="Normal"/></w:pPr>
<w:r><w:t xml:space="preserve">Finland, is the seat of the Lutheran archbishop and contains a</w:t></w:r>
</w:p>
<w:p>
<w:pPr><w:pStyle w:val="Normal"/></w:pPr>
<w:r><w:t xml:space="preserve">fine cathedral dating from 1258 and restored after the fire of</w:t></w:r>
</w:p>
<w:p>
<w:pPr><w:pStyle w:val="Normal"/></w:pPr>
<w:r><w:t xml:space="preserve">1827.  The cathedral is dedicated to St Henry, the patron saint</w:t></w:r>
</w:p>
<w:p>
<w:pPr><w:pStyle w:val="Normal"/></w:pPr>
<w:r><w:t xml:space="preserve">of Finland, an English missionary who introduced Christianity</w:t></w:r>
</w:p>
<w:p>
<w:pPr><w:pStyle w:val="Normal"/></w:pPr>
<w:r><w:t xml:space="preserve">into the country in the 12th century.  Abo is the seat of the</w:t></w:r>
</w:p>
<w:p>
<w:pPr><w:pStyle w:val="Normal"/></w:pPr>
<w:r><w:t xml:space="preserve">first of the three courts of appeal of Finland.  It has two high</w:t></w:r>
</w:p>
<w:p>
<w:pPr><w:pStyle w:val="Normal"/></w:pPr>
<w:r><w:t xml:space="preserve">schools, a school of commerce and a school of navigation.  The</w:t></w:r>
</w:p>
<w:p>
<w:pPr><w:pStyle w:val="Normal"/></w:pPr>
<w:r><w:t xml:space="preserve">city is second only to Helsingfors for its trade; sail-cloth,</w:t></w:r>
</w:p>
<w:p>
<w:pPr><w:pStyle w:val="Normal"/></w:pPr>
<w:r><w:t xml:space="preserve">cotton and tobacco are manufactured, and there are extensive</w:t></w:r>
</w:p>
<w:p>
<w:pPr><w:pStyle w:val="Normal"/></w:pPr>
<w:r><w:t xml:space="preserve">saw-mills.  There is also a large trade in timber and a</w:t></w:r>
</w:p>
<w:p>
<w:pPr><w:pStyle w:val="Normal"/></w:pPr>
<w:r><w:t xml:space="preserve">considerable butter export.  Ship-building has considerably</w:t></w:r>
</w:p>
<w:p>
<w:pPr><w:pStyle w:val="Normal"/></w:pPr>
<w:r><w:t xml:space="preserve">developed, torpedo-boats being built here for the Russian</w:t></w:r>
</w:p>
<w:p>
<w:pPr><w:pStyle w:val="Normal"/></w:pPr>
<w:r><w:t xml:space="preserve">navy.  Vessels drawing 9 or 10 feet come up to the town,</w:t></w:r>
</w:p>
<w:p>
<w:pPr><w:pStyle w:val="Normal"/></w:pPr>
<w:r><w:t xml:space="preserve">but ships of greater draught are laden and discharged at its</w:t></w:r>
</w:p>
<w:p>
<w:pPr><w:pStyle w:val="Normal"/></w:pPr>
<w:r><w:t xml:space="preserve">harbour (Bornholm, on Hyrvinsala Island), which is entered</w:t></w:r>
</w:p>
<w:p>
<w:pPr><w:pStyle w:val="Normal"/></w:pPr>
<w:r><w:t xml:space="preserve">yearly by from 700 to 800 ships, of about 200,000 tons.</w:t></w:r>
</w:p>
<w:p>
<w:pPr><w:pStyle w:val="Normal"/></w:pPr>
<w:r><w:t xml:space="preserve">ABO-BJORNEBORG, a province occupying the S.W. corner of</w:t></w:r>
</w:p>
<w:p>
<w:pPr><w:pStyle w:val="Normal"/></w:pPr>
<w:r><w:t xml:space="preserve">Finland and including the Aland islands.  It has a total</w:t></w:r>
</w:p>
<w:p>
<w:pPr><w:pStyle w:val="Normal"/></w:pPr>
<w:r><w:t xml:space="preserve">area of 24,171 square kilometres and a population (1900) of</w:t></w:r>
</w:p>
<w:p>
<w:pPr><w:pStyle w:val="Normal"/></w:pPr>
<w:r><w:t xml:space="preserve">447,098, of whom 379,622 spoke Finnish and 67,260 Swedish;</w:t></w:r>
</w:p>
<w:p>
<w:pPr><w:pStyle w:val="Normal"/></w:pPr>
<w:r><w:t xml:space="preserve">446,900 were of the Lutheran religion.  The province occupies</w:t></w:r>
</w:p>
<w:p>
<w:pPr><w:pStyle w:val="Normal"/></w:pPr>
<w:r><w:t xml:space="preserve">a prominent position in Finland for its manufacture of cottons,</w:t></w:r>
</w:p>
<w:p>
<w:pPr><w:pStyle w:val="Normal"/></w:pPr>
<w:r><w:t xml:space="preserve">sugar refinery, wooden goods, metals, machinery, paper, &amp;c.</w:t></w:r>
</w:p>
<w:p>
<w:pPr><w:pStyle w:val="Normal"/></w:pPr>
<w:r><w:t xml:space="preserve">Its chief towns are: Abo (pop. 42,639), Bjorneborg (16,053),</w:t></w:r>
</w:p>
<w:p>
<w:pPr><w:pStyle w:val="Normal"/></w:pPr>
<w:r><w:t xml:space="preserve">Raumo (5501), Nystad (4165), Mariehamn (1171), Nadendal (917).</w:t></w:r>
</w:p>
<w:p>
<w:pPr><w:pStyle w:val="Normal"/></w:pPr>
<w:r><w:t xml:space="preserve">ABODE (from ``abide,&apos;&apos; to dwell, properly ``to wait for&apos;&apos;, to</w:t></w:r>
</w:p>
<w:p>
<w:pPr><w:pStyle w:val="Normal"/></w:pPr>
<w:r><w:t xml:space="preserve">bide), generally, a dwelling.  In English law this term has a</w:t></w:r>
</w:p>
<w:p>
<w:pPr><w:pStyle w:val="Normal"/></w:pPr>
<w:r><w:t xml:space="preserve">more restricted meaning than domicile, being used to indicate</w:t></w:r>
</w:p>
<w:p>
<w:pPr><w:pStyle w:val="Normal"/></w:pPr>
<w:r><w:t xml:space="preserve">the place of a man&apos;s residence or business, whether that be</w:t></w:r>
</w:p>
<w:p>
<w:pPr><w:pStyle w:val="Normal"/></w:pPr>
<w:r><w:t xml:space="preserve">either temporary or permanent.  The law may regard for certain</w:t></w:r>
</w:p>
<w:p>
<w:pPr><w:pStyle w:val="Normal"/></w:pPr>
<w:r><w:t xml:space="preserve">purposes, as a man&apos;s abode, the place where he carries on</w:t></w:r>
</w:p>
<w:p>
<w:pPr><w:pStyle w:val="Normal"/></w:pPr>
<w:r><w:t xml:space="preserve">business, though he may reside elsewhere) so that the term</w:t></w:r>
</w:p>
<w:p>
<w:pPr><w:pStyle w:val="Normal"/></w:pPr>
<w:r><w:t xml:space="preserve">has come to have a looser significance than residence,</w:t></w:r>
</w:p>
<w:p>
<w:pPr><w:pStyle w:val="Normal"/></w:pPr>
<w:r><w:t xml:space="preserve">which has been defined as ``where a man lives with his family</w:t></w:r>
</w:p>
<w:p>
<w:pPr><w:pStyle w:val="Normal"/></w:pPr>
<w:r><w:t xml:space="preserve">and sleeps at night&apos;&apos; (R. v. Hammond, 1852, 17 Q.B.</w:t></w:r>
</w:p>
<w:p>
<w:pPr><w:pStyle w:val="Normal"/></w:pPr>
<w:r><w:t xml:space="preserve">772).  In serving a notice of action, a solicitor&apos;s place of</w:t></w:r>
</w:p>
<w:p>
<w:pPr><w:pStyle w:val="Normal"/></w:pPr>
<w:r><w:t xml:space="preserve">business may be given as his abode (Roberts v. Williams,</w:t></w:r>
</w:p>
<w:p>
<w:pPr><w:pStyle w:val="Normal"/></w:pPr>
<w:r><w:t xml:space="preserve">1835, 5 L.J.M.C. 23), and in more recent decisions it</w:t></w:r>
</w:p>
<w:p>
<w:pPr><w:pStyle w:val="Normal"/></w:pPr>
<w:r><w:t xml:space="preserve">has been similarly held that where a notice was required</w:t></w:r>
</w:p>
<w:p>
<w:pPr><w:pStyle w:val="Normal"/></w:pPr>
<w:r><w:t xml:space="preserve">to be served under the Public Health Act 18l5, either</w:t></w:r>
</w:p>
<w:p>
<w:pPr><w:pStyle w:val="Normal"/></w:pPr>
<w:r><w:t xml:space="preserve">personally or to some inmate of the owner&apos;s or occupier&apos;s</w:t></w:r>
</w:p>
<w:p>
<w:pPr><w:pStyle w:val="Normal"/></w:pPr>
<w:r><w:t xml:space="preserve">``place of abode,&apos;&apos; a place of business was sufficient.</w:t></w:r>
</w:p>
<w:p>
<w:pPr><w:pStyle w:val="Normal"/></w:pPr>
<w:r><w:t xml:space="preserve">ABOMASUM (caillette), the fourth or rennet stomach of</w:t></w:r>
</w:p>
<w:p>
<w:pPr><w:pStyle w:val="Normal"/></w:pPr>
<w:r><w:t xml:space="preserve">Ruminantia.  From the omasum the food is finally deposited</w:t></w:r>
</w:p>
<w:p>
<w:pPr><w:pStyle w:val="Normal"/></w:pPr>
<w:r><w:t xml:space="preserve">in the abomasum, a cavity considerably larger than either the</w:t></w:r>
</w:p>
<w:p>
<w:pPr><w:pStyle w:val="Normal"/></w:pPr>
<w:r><w:t xml:space="preserve">second or third stomach, although less than the first.  The base</w:t></w:r>
</w:p>
<w:p>
<w:pPr><w:pStyle w:val="Normal"/></w:pPr>
<w:r><w:t xml:space="preserve">of the abomasum is turned to the omasum. It is of an irregular</w:t></w:r>
</w:p>
<w:p>
<w:pPr><w:pStyle w:val="Normal"/></w:pPr>
<w:r><w:t xml:space="preserve">conical form.  It is that part of the digestive apparatus</w:t></w:r>
</w:p>
<w:p>
<w:pPr><w:pStyle w:val="Normal"/></w:pPr>
<w:r><w:t xml:space="preserve">which is analogous to the single stomach of other Mammalia, as</w:t></w:r>
</w:p>
<w:p>
<w:pPr><w:pStyle w:val="Normal"/></w:pPr>
<w:r><w:t xml:space="preserve">the food there undergoes the process of chymification, after</w:t></w:r>
</w:p>
<w:p>
<w:pPr><w:pStyle w:val="Normal"/></w:pPr>
<w:r><w:t xml:space="preserve">being macerated and ground down in the three first stomachs.</w:t></w:r>
</w:p>
<w:p>
<w:pPr><w:pStyle w:val="Normal"/></w:pPr>
<w:r><w:t xml:space="preserve">ABOMEY, capital of the ancient kingdom of Dahomey, West</w:t></w:r>
</w:p>
<w:p>
<w:pPr><w:pStyle w:val="Normal"/></w:pPr>
<w:r><w:t xml:space="preserve">Africa, now included in the French colony of the same name.</w:t></w:r>
</w:p>
<w:p>
<w:pPr><w:pStyle w:val="Normal"/></w:pPr>
<w:r><w:t xml:space="preserve">It is 70 m.  N. by rail of the seaport of Kotonu, and has</w:t></w:r>
</w:p>
<w:p>
<w:pPr><w:pStyle w:val="Normal"/></w:pPr>
<w:r><w:t xml:space="preserve">a population of about 15,000.  Abomey is built on a rolling</w:t></w:r>
</w:p>
<w:p>
<w:pPr><w:pStyle w:val="Normal"/></w:pPr>
<w:r><w:t xml:space="preserve">plain, 800 ft. above sea-level, terminating in short bluffs to</w:t></w:r>
</w:p>
<w:p>
<w:pPr><w:pStyle w:val="Normal"/></w:pPr>
<w:r><w:t xml:space="preserve">the N.W., where it is bounded by a long depression.  The town</w:t></w:r>
</w:p>
<w:p>
<w:pPr><w:pStyle w:val="Normal"/></w:pPr>
<w:r><w:t xml:space="preserve">was surrounded by a mud wall, pierced by six gates, and was</w:t></w:r>
</w:p>
<w:p>
<w:pPr><w:pStyle w:val="Normal"/></w:pPr>
<w:r><w:t xml:space="preserve">further protected by a ditch 5 ft. deep, filled with a dense</w:t></w:r>
</w:p>
<w:p>
<w:pPr><w:pStyle w:val="Normal"/></w:pPr>
<w:r><w:t xml:space="preserve">growth of prickly acacia, the usual defence of West African</w:t></w:r>
</w:p>
<w:p>
<w:pPr><w:pStyle w:val="Normal"/></w:pPr>
<w:r><w:t xml:space="preserve">strongholds.  Within the walls, which had a circumference of</w:t></w:r>
</w:p>
<w:p>
<w:pPr><w:pStyle w:val="Normal"/></w:pPr>
<w:r><w:t xml:space="preserve">six miles, were villages separated by fields, several royal</w:t></w:r>
</w:p>
<w:p>
<w:pPr><w:pStyle w:val="Normal"/></w:pPr>
<w:r><w:t xml:space="preserve">palaces, a market-place and a large square containing the</w:t></w:r>
</w:p>
<w:p>
<w:pPr><w:pStyle w:val="Normal"/></w:pPr>
<w:r><w:t xml:space="preserve">barracks.  In November 1892, Behanzin, the king of Dahomey,</w:t></w:r>
</w:p>
<w:p>
<w:pPr><w:pStyle w:val="Normal"/></w:pPr>
<w:r><w:t xml:space="preserve">being defeated by the French, set fire to Abomey and fled</w:t></w:r>
</w:p>
<w:p>
<w:pPr><w:pStyle w:val="Normal"/></w:pPr>
<w:r><w:t xml:space="preserve">northward.  Under French administration the town has been</w:t></w:r>
</w:p>
<w:p>
<w:pPr><w:pStyle w:val="Normal"/></w:pPr>
<w:r><w:t xml:space="preserve">rebuilt, placed (1905) in railway communication with the coast,</w:t></w:r>
</w:p>
<w:p>
<w:pPr><w:pStyle w:val="Normal"/></w:pPr>
<w:r><w:t xml:space="preserve">and given an ample water supply by the sinking of artesian wells.</w:t></w:r>
</w:p>
<w:p>
<w:pPr><w:pStyle w:val="Normal"/></w:pPr>
<w:r><w:t xml:space="preserve">ABOMINATION (from Lat. ab, from, and ominare, to forebode),</w:t></w:r>
</w:p>
<w:p>
<w:pPr><w:pStyle w:val="Normal"/></w:pPr>
<w:r><w:t xml:space="preserve">anything contrary to omen, and therefore regarded with aversion;</w:t></w:r>
</w:p>
<w:p>
<w:pPr><w:pStyle w:val="Normal"/></w:pPr>
<w:r><w:t xml:space="preserve">a word used often in the Bible to denote evil doctrines</w:t></w:r>
</w:p>
<w:p>
<w:pPr><w:pStyle w:val="Normal"/></w:pPr>
<w:r><w:t xml:space="preserve">or ceremonial practices which were impure. An incorrect</w:t></w:r>
</w:p>
<w:p>
<w:pPr><w:pStyle w:val="Normal"/></w:pPr>
<w:r><w:t xml:space="preserve">derivation was ab homine (i.e. inhuman), and the spelling of the</w:t></w:r>
</w:p>
<w:p>
<w:pPr><w:pStyle w:val="Normal"/></w:pPr>
<w:r><w:t xml:space="preserve">adjective ``abominable&apos;&apos; in the first Shakespeare folio is always</w:t></w:r>
</w:p>
<w:p>
<w:pPr><w:pStyle w:val="Normal"/></w:pPr>
<w:r><w:t xml:space="preserve">``abhominable.&apos;&apos; Colloquially ``abomination&apos;&apos; and ``abominable&apos;&apos;</w:t></w:r>
</w:p>
<w:p>
<w:pPr><w:pStyle w:val="Normal"/></w:pPr>
<w:r><w:t xml:space="preserve">are used to mean simply excessive in a disagreeable sense.</w:t></w:r>
</w:p>
<w:p>
<w:pPr><w:pStyle w:val="Normal"/></w:pPr>
<w:r><w:t xml:space="preserve">ABOR HILLS, a tract of country on the north-east frontier of</w:t></w:r>
</w:p>
<w:p>
<w:pPr><w:pStyle w:val="Normal"/></w:pPr>
<w:r><w:t xml:space="preserve">India, occupied by an independent tribe called the Abors.  It</w:t></w:r>
</w:p>
<w:p>
<w:pPr><w:pStyle w:val="Normal"/></w:pPr>
<w:r><w:t xml:space="preserve">lies north of Lakhimpur district, in the province of eastern</w:t></w:r>
</w:p>
<w:p>
<w:pPr><w:pStyle w:val="Normal"/></w:pPr>
<w:r><w:t xml:space="preserve">Bengal and Assam, and is bounded on the east by the Mishmi Hills</w:t></w:r>
</w:p>
<w:p>
<w:pPr><w:pStyle w:val="Normal"/></w:pPr>
<w:r><w:t xml:space="preserve">and on the west by the Miri Hills, the villages of the tribe</w:t></w:r>
</w:p>
<w:p>
<w:pPr><w:pStyle w:val="Normal"/></w:pPr>
<w:r><w:t xml:space="preserve">extending to the Dibong river.  The term Abor is an Assamese</w:t></w:r>
</w:p>
<w:p>
<w:pPr><w:pStyle w:val="Normal"/></w:pPr>
<w:r><w:t xml:space="preserve">word, signifying ``barbarous&apos;&apos; or ``independent,&apos;&apos; and is applied</w:t></w:r>
</w:p>
<w:p>
<w:pPr><w:pStyle w:val="Normal"/></w:pPr>
<w:r><w:t xml:space="preserve">in a general sense by the Assamese to many frontier tribes;</w:t></w:r>
</w:p>
<w:p>
<w:pPr><w:pStyle w:val="Normal"/></w:pPr>
<w:r><w:t xml:space="preserve">but in its restricted sense it is specially given to the above</w:t></w:r>
</w:p>
<w:p>
<w:pPr><w:pStyle w:val="Normal"/></w:pPr>
<w:r><w:t xml:space="preserve">tract.  The Abors, together with the cognate tribes of Miris,</w:t></w:r>
</w:p>
<w:p>
<w:pPr><w:pStyle w:val="Normal"/></w:pPr>
<w:r><w:t xml:space="preserve">Daphlas and Akas, are supposed to be descended from a Tibetan</w:t></w:r>
</w:p>
<w:p>
<w:pPr><w:pStyle w:val="Normal"/></w:pPr>
<w:r><w:t xml:space="preserve">stock.  They are a quarrelsome and sulky race, violently divided</w:t></w:r>
</w:p>
<w:p>
<w:pPr><w:pStyle w:val="Normal"/></w:pPr>
<w:r><w:t xml:space="preserve">in their political relations.  In former times they committed</w:t></w:r>
</w:p>
<w:p>
<w:pPr><w:pStyle w:val="Normal"/></w:pPr>
<w:r><w:t xml:space="preserve">frequent raids upon the plains of Assam, and have been the</w:t></w:r>
</w:p>
<w:p>
<w:pPr><w:pStyle w:val="Normal"/></w:pPr>
<w:r><w:t xml:space="preserve">object of more than one retaliatory expedition by the British</w:t></w:r>
</w:p>
<w:p>
<w:pPr><w:pStyle w:val="Normal"/></w:pPr>
<w:r><w:t xml:space="preserve">government.  In 1893-94 occurred the first Bor Abor expedition.</w:t></w:r>
</w:p>
<w:p>
<w:pPr><w:pStyle w:val="Normal"/></w:pPr>
<w:r><w:t xml:space="preserve">home military police sepoys were murdered in British territory,</w:t></w:r>
</w:p>
<w:p>
<w:pPr><w:pStyle w:val="Normal"/></w:pPr>
<w:r><w:t xml:space="preserve">and a force of 600 troops was sent, who traversed the Abor</w:t></w:r>
</w:p>
<w:p>
<w:pPr><w:pStyle w:val="Normal"/></w:pPr>
<w:r><w:t xml:space="preserve">country, and destroyed the villages concerned in the murder</w:t></w:r>
</w:p>
<w:p>
<w:pPr><w:pStyle w:val="Normal"/></w:pPr>
<w:r><w:t xml:space="preserve">and all other villages that opposed the expedition.  A second</w:t></w:r>
</w:p>
<w:p>
<w:pPr><w:pStyle w:val="Normal"/></w:pPr>
<w:r><w:t xml:space="preserve">expedition became necessary later on, two small patrols having</w:t></w:r>
</w:p>
<w:p>
<w:pPr><w:pStyle w:val="Normal"/></w:pPr>
<w:r><w:t xml:space="preserve">been treacherously murdered; and a force of 100 British troops</w:t></w:r>
</w:p>
<w:p>
<w:pPr><w:pStyle w:val="Normal"/></w:pPr>
<w:r><w:t xml:space="preserve">traversed the border of the Abor country and punished the tribes,</w:t></w:r>
</w:p>
<w:p>
<w:pPr><w:pStyle w:val="Normal"/></w:pPr>
<w:r><w:t xml:space="preserve">while a blockade was continued against them from 1894 to 1900.</w:t></w:r>
</w:p>
<w:p>
<w:pPr><w:pStyle w:val="Normal"/></w:pPr>
<w:r><w:t xml:space="preserve">See Colonel Dalton&apos;s Ethnology of Bengal, 1872.</w:t></w:r>
</w:p>
<w:p>
<w:pPr><w:pStyle w:val="Normal"/></w:pPr>
<w:r><w:t xml:space="preserve">ABORIGINES,</w:t></w:r>
</w:p>
<w:p>
<w:pPr><w:pStyle w:val="Normal"/></w:pPr>
<w:r><w:t xml:space="preserve">a mythical people of central Italy, connected in legendary</w:t></w:r>
</w:p>
<w:p>
<w:pPr><w:pStyle w:val="Normal"/></w:pPr>
<w:r><w:t xml:space="preserve">history with Aeneas, Latinus and Evander.  They were supposed</w:t></w:r>
</w:p>
<w:p>
<w:pPr><w:pStyle w:val="Normal"/></w:pPr>
<w:r><w:t xml:space="preserve">to have descended from their mountain home near Reate (an</w:t></w:r>
</w:p>
<w:p>
<w:pPr><w:pStyle w:val="Normal"/></w:pPr>
<w:r><w:t xml:space="preserve">ancient Sabine town) upon Latium, whence they expelled the</w:t></w:r>
</w:p>
<w:p>
<w:pPr><w:pStyle w:val="Normal"/></w:pPr>
<w:r><w:t xml:space="preserve">Siceli and subsequently settled down as Latini under a King</w:t></w:r>
</w:p>
<w:p>
<w:pPr><w:pStyle w:val="Normal"/></w:pPr>
<w:r><w:t xml:space="preserve">Latinus (Dion Halic. i. 9. 60). The most generally accepted</w:t></w:r>
</w:p>
<w:p>
<w:pPr><w:pStyle w:val="Normal"/></w:pPr>
<w:r><w:t xml:space="preserve">etymology of the name (ab origine), according to which they</w:t></w:r>
</w:p>
<w:p>
<w:pPr><w:pStyle w:val="Normal"/></w:pPr>
<w:r><w:t xml:space="preserve">were the original inhabitants ( = Gk. autochthones) of the</w:t></w:r>
</w:p>
<w:p>
<w:pPr><w:pStyle w:val="Normal"/></w:pPr>
<w:r><w:t xml:space="preserve">country, is inconsistent with the fact that the oldest authorities</w:t></w:r>
</w:p>
<w:p>
<w:pPr><w:pStyle w:val="Normal"/></w:pPr>
<w:r><w:t xml:space="preserve">(e.g. Cato in his Origines) regarded them as Hellenic</w:t></w:r>
</w:p>
<w:p>
<w:pPr><w:pStyle w:val="Normal"/></w:pPr>
<w:r><w:t xml:space="preserve">immigrants, not as a native Italian people.  Other explanations</w:t></w:r>
</w:p>
<w:p>
<w:pPr><w:pStyle w:val="Normal"/></w:pPr>
<w:r><w:t xml:space="preserve">suggested are arborigines, ``tree-born,&apos;&apos; and aberrigines,</w:t></w:r>
</w:p>
<w:p>
<w:pPr><w:pStyle w:val="Normal"/></w:pPr>
<w:r><w:t xml:space="preserve">``nomads.&apos;&apos; Historical and ethnographical discussions have</w:t></w:r>
</w:p>
<w:p>
<w:pPr><w:pStyle w:val="Normal"/></w:pPr>
<w:r><w:t xml:space="preserve">led to no result; the most that can be said is that, if not</w:t></w:r>
</w:p>
<w:p>
<w:pPr><w:pStyle w:val="Normal"/></w:pPr>
<w:r><w:t xml:space="preserve">a general term, ``aborigines&apos;&apos; may be the name of an Italian</w:t></w:r>
</w:p>
<w:p>
<w:pPr><w:pStyle w:val="Normal"/></w:pPr>
<w:r><w:t xml:space="preserve">stock, about whom the ancients knew no more than ourselves`</w:t></w:r>
</w:p>
<w:p>
<w:pPr><w:pStyle w:val="Normal"/></w:pPr>
<w:r><w:t xml:space="preserve">In modern times the term ``Aborigines&apos;&apos; has been extended in</w:t></w:r>
</w:p>
<w:p>
<w:pPr><w:pStyle w:val="Normal"/></w:pPr>
<w:r><w:t xml:space="preserve">signification, and is used to indicate the inhabitants found in a</w:t></w:r>
</w:p>
<w:p>
<w:pPr><w:pStyle w:val="Normal"/></w:pPr>
<w:r><w:t xml:space="preserve">country at its first discovery, in contradistinction to colonies or</w:t></w:r>
</w:p>
<w:p>
<w:pPr><w:pStyle w:val="Normal"/></w:pPr>
<w:r><w:t xml:space="preserve">new races, the time of whose introduction into the country is known.</w:t></w:r>
</w:p>
<w:p>
<w:pPr><w:pStyle w:val="Normal"/></w:pPr>
<w:r><w:t xml:space="preserve">The Aborigines&apos; Protection Society was founded in 1838 in</w:t></w:r>
</w:p>
<w:p>
<w:pPr><w:pStyle w:val="Normal"/></w:pPr>
<w:r><w:t xml:space="preserve">England as the result of a royal commission appointed at</w:t></w:r>
</w:p>
<w:p>
<w:pPr><w:pStyle w:val="Normal"/></w:pPr>
<w:r><w:t xml:space="preserve">the instance of Sir T. Fowell Buxton to inquire into the</w:t></w:r>
</w:p>
<w:p>
<w:pPr><w:pStyle w:val="Normal"/></w:pPr>
<w:r><w:t xml:space="preserve">treatment of the indigenous populations of the various British</w:t></w:r>
</w:p>
<w:p>
<w:pPr><w:pStyle w:val="Normal"/></w:pPr>
<w:r><w:t xml:space="preserve">colonies.  The inquiry revealed the gross cruelty and injustice</w:t></w:r>
</w:p>
<w:p>
<w:pPr><w:pStyle w:val="Normal"/></w:pPr>
<w:r><w:t xml:space="preserve">with which the natives had been often treated.  Since its</w:t></w:r>
</w:p>
<w:p>
<w:pPr><w:pStyle w:val="Normal"/></w:pPr>
<w:r><w:t xml:space="preserve">foundation the society has done much to make English colonization</w:t></w:r>
</w:p>
<w:p>
<w:pPr><w:pStyle w:val="Normal"/></w:pPr>
<w:r><w:t xml:space="preserve">a synonym for humane and generous treatment of savage races.</w:t></w:r>
</w:p>
<w:p>
<w:pPr><w:pStyle w:val="Normal"/></w:pPr>
<w:r><w:t xml:space="preserve">ABORTION (from Lat. aboriri, to fail to be born, or perish),</w:t></w:r>
</w:p>
<w:p>
<w:pPr><w:pStyle w:val="Normal"/></w:pPr>
<w:r><w:t xml:space="preserve">in obstetrics, the premature separation and expulsion of the</w:t></w:r>
</w:p>
<w:p>
<w:pPr><w:pStyle w:val="Normal"/></w:pPr>
<w:r><w:t xml:space="preserve">contents of the pregnant uterus.  It is a common terminology to</w:t></w:r>
</w:p>
<w:p>
<w:pPr><w:pStyle w:val="Normal"/></w:pPr>
<w:r><w:t xml:space="preserve">call premature labour of an accidental type a ``miscarriage,&apos;,</w:t></w:r>
</w:p>
<w:p>
<w:pPr><w:pStyle w:val="Normal"/></w:pPr>
<w:r><w:t xml:space="preserve">in order to distinguish ``abortion&apos;, as a deliberately induced</w:t></w:r>
</w:p>
<w:p>
<w:pPr><w:pStyle w:val="Normal"/></w:pPr>
<w:r><w:t xml:space="preserve">act, whether as a medical necessity by the accoucheur, or as</w:t></w:r>
</w:p>
<w:p>
<w:pPr><w:pStyle w:val="Normal"/></w:pPr>
<w:r><w:t xml:space="preserve">a criminal proceeding (see MEDICAL JURISPRUDENCE); otherwise</w:t></w:r>
</w:p>
<w:p>
<w:pPr><w:pStyle w:val="Normal"/></w:pPr>
<w:r><w:t xml:space="preserve">the term ``abortion&apos;&apos; would ordinarily be used when occurring</w:t></w:r>
</w:p>
<w:p>
<w:pPr><w:pStyle w:val="Normal"/></w:pPr>
<w:r><w:t xml:space="preserve">before the eighth month of gestation, and ``premature labour&apos;&apos;</w:t></w:r>
</w:p>
<w:p>
<w:pPr><w:pStyle w:val="Normal"/></w:pPr>
<w:r><w:t xml:space="preserve">subsequently.  As an accident of pregnancy, it is far fram</w:t></w:r>
</w:p>
<w:p>
<w:pPr><w:pStyle w:val="Normal"/></w:pPr>
<w:r><w:t xml:space="preserve">uncommon, although its relative frequency&apos;&apos; as compared</w:t></w:r>
</w:p>
<w:p>
<w:pPr><w:pStyle w:val="Normal"/></w:pPr>
<w:r><w:t xml:space="preserve">with that of completed gestation, has been very differently</w:t></w:r>
</w:p>
<w:p>
<w:pPr><w:pStyle w:val="Normal"/></w:pPr>
<w:r><w:t xml:space="preserve">estimated by accoucheurs.  It is more liable to occur in</w:t></w:r>
</w:p>
<w:p>
<w:pPr><w:pStyle w:val="Normal"/></w:pPr>
<w:r><w:t xml:space="preserve">the earlier than in the later months of pregnancy, and</w:t></w:r>
</w:p>
<w:p>
<w:pPr><w:pStyle w:val="Normal"/></w:pPr>
<w:r><w:t xml:space="preserve">it would also appear to occur more readily at the periods</w:t></w:r>
</w:p>
<w:p>
<w:pPr><w:pStyle w:val="Normal"/></w:pPr>
<w:r><w:t xml:space="preserve">corresponding to those of the menstrual discharge.  It may</w:t></w:r>
</w:p>
<w:p>
<w:pPr><w:pStyle w:val="Normal"/></w:pPr>
<w:r><w:t xml:space="preserve">be induced by numerous causes, both of a local and general</w:t></w:r>
</w:p>
<w:p>
<w:pPr><w:pStyle w:val="Normal"/></w:pPr>
<w:r><w:t xml:space="preserve">nature.  Malformations of the pelvis, accidental injuries</w:t></w:r>
</w:p>
<w:p>
<w:pPr><w:pStyle w:val="Normal"/></w:pPr>
<w:r><w:t xml:space="preserve">and the diseases and displacements to which the uterus is</w:t></w:r>
</w:p>
<w:p>
<w:pPr><w:pStyle w:val="Normal"/></w:pPr>
<w:r><w:t xml:space="preserve">liable, on the one hand; and, on the other, various morbid</w:t></w:r>
</w:p>
<w:p>
<w:pPr><w:pStyle w:val="Normal"/></w:pPr>
<w:r><w:t xml:space="preserve">conditions of the ovum or placenta leading to the death of</w:t></w:r>
</w:p>
<w:p>
<w:pPr><w:pStyle w:val="Normal"/></w:pPr>
<w:r><w:t xml:space="preserve">the foetus, are among the direct local causes.  The general</w:t></w:r>
</w:p>
<w:p>
<w:pPr><w:pStyle w:val="Normal"/></w:pPr>
<w:r><w:t xml:space="preserve">causes embrace certain states of the system which are apt to</w:t></w:r>
</w:p>
<w:p>
<w:pPr><w:pStyle w:val="Normal"/></w:pPr>
<w:r><w:t xml:space="preserve">exercise a more or less direct influence upon the progress of</w:t></w:r>
</w:p>
<w:p>
<w:pPr><w:pStyle w:val="Normal"/></w:pPr>
<w:r><w:t xml:space="preserve">utero-gestation.  The tendency to recurrence in persons who</w:t></w:r>
</w:p>
<w:p>
<w:pPr><w:pStyle w:val="Normal"/></w:pPr>
<w:r><w:t xml:space="preserve">have previously miscarried is well known, and should ever</w:t></w:r>
</w:p>
<w:p>
<w:pPr><w:pStyle w:val="Normal"/></w:pPr>
<w:r><w:t xml:space="preserve">be borne in mind with the view of avoiding any cause likely</w:t></w:r>
</w:p>
<w:p>
<w:pPr><w:pStyle w:val="Normal"/></w:pPr>
<w:r><w:t xml:space="preserve">to lead to a repetition of the accident.  Abortion resembles</w:t></w:r>
</w:p>
<w:p>
<w:pPr><w:pStyle w:val="Normal"/></w:pPr>
<w:r><w:t xml:space="preserve">ordinary labour in its general phenomena, excepting that in</w:t></w:r>
</w:p>
<w:p>
<w:pPr><w:pStyle w:val="Normal"/></w:pPr>
<w:r><w:t xml:space="preserve">the former hemorrhage often to a large extent forms one of</w:t></w:r>
</w:p>
<w:p>
<w:pPr><w:pStyle w:val="Normal"/></w:pPr>
<w:r><w:t xml:space="preserve">the leading symptoms.  The treatment embraces the means to</w:t></w:r>
</w:p>
<w:p>
<w:pPr><w:pStyle w:val="Normal"/></w:pPr>
<w:r><w:t xml:space="preserve">be used by rest, astringents and sedatives, to prevent the</w:t></w:r>
</w:p>
<w:p>
<w:pPr><w:pStyle w:val="Normal"/></w:pPr>
<w:r><w:t xml:space="preserve">occurrence when it merely threatens; or when, on the contrary,</w:t></w:r>
</w:p>
<w:p>
<w:pPr><w:pStyle w:val="Normal"/></w:pPr>
<w:r><w:t xml:space="preserve">it is inevitable, to accomplish as speedily as possible</w:t></w:r>
</w:p>
<w:p>
<w:pPr><w:pStyle w:val="Normal"/></w:pPr>
<w:r><w:t xml:space="preserve">the complete removal of the entire contents of the uterus.</w:t></w:r>
</w:p>
<w:p>
<w:pPr><w:pStyle w:val="Normal"/></w:pPr>
<w:r><w:t xml:space="preserve">Among primitive savage races abortion is practised to a</w:t></w:r>
</w:p>
<w:p>
<w:pPr><w:pStyle w:val="Normal"/></w:pPr>
<w:r><w:t xml:space="preserve">far less extent than infanticide (q.v.), which offers a</w:t></w:r>
</w:p>
<w:p>
<w:pPr><w:pStyle w:val="Normal"/></w:pPr>
<w:r><w:t xml:space="preserve">simpler way of getting rid of inconvenient progeny.  But it</w:t></w:r>
</w:p>
<w:p>
<w:pPr><w:pStyle w:val="Normal"/></w:pPr>
<w:r><w:t xml:space="preserve">is common among the American Indians, as well as in China,</w:t></w:r>
</w:p>
<w:p>
<w:pPr><w:pStyle w:val="Normal"/></w:pPr>
<w:r><w:t xml:space="preserve">Cambodia and India, although throughout Asia it is generally</w:t></w:r>
</w:p>
<w:p>
<w:pPr><w:pStyle w:val="Normal"/></w:pPr>
<w:r><w:t xml:space="preserve">contrary both to law and religion.  How far it was considered</w:t></w:r>
</w:p>
<w:p>
<w:pPr><w:pStyle w:val="Normal"/></w:pPr>
<w:r><w:t xml:space="preserve">a crime among the civilized nations of antiquity has long been</w:t></w:r>
</w:p>
<w:p>
<w:pPr><w:pStyle w:val="Normal"/></w:pPr>
<w:r><w:t xml:space="preserve">debated.  Those who maintain the impunity of the practice rely</w:t></w:r>
</w:p>
<w:p>
<w:pPr><w:pStyle w:val="Normal"/></w:pPr>
<w:r><w:t xml:space="preserve">for their authority upon certain passages in the classical</w:t></w:r>
</w:p>
<w:p>
<w:pPr><w:pStyle w:val="Normal"/></w:pPr>
<w:r><w:t xml:space="preserve">authors, which, while bitterly lamenting the frequency of this</w:t></w:r>
</w:p>
<w:p>
<w:pPr><w:pStyle w:val="Normal"/></w:pPr>
<w:r><w:t xml:space="preserve">enormity, yet never allude to any laws by which it might be</w:t></w:r>
</w:p>
<w:p>
<w:pPr><w:pStyle w:val="Normal"/></w:pPr>
<w:r><w:t xml:space="preserve">suppressed.  For example, in one of Plato&apos;s dialogues</w:t></w:r>
</w:p>
<w:p>
<w:pPr><w:pStyle w:val="Normal"/></w:pPr>
<w:r><w:t xml:space="preserve">(Theaet.), Socrates is made to speak of artificial</w:t></w:r>
</w:p>
<w:p>
<w:pPr><w:pStyle w:val="Normal"/></w:pPr>
<w:r><w:t xml:space="preserve">abortion as a practice, not only common but allowable;</w:t></w:r>
</w:p>
<w:p>
<w:pPr><w:pStyle w:val="Normal"/></w:pPr>
<w:r><w:t xml:space="preserve">and Plato himself authorizes it in his Republic (lib.</w:t></w:r>
</w:p>
<w:p>
<w:pPr><w:pStyle w:val="Normal"/></w:pPr>
<w:r><w:t xml:space="preserve">v.).  Aristotle (Polit. 222hb. vii. c. 17) gives it as his</w:t></w:r>
</w:p>
<w:p>
<w:pPr><w:pStyle w:val="Normal"/></w:pPr>
<w:r><w:t xml:space="preserve">opinion that no child ought to be suffered to come into the</w:t></w:r>
</w:p>
<w:p>
<w:pPr><w:pStyle w:val="Normal"/></w:pPr>
<w:r><w:t xml:space="preserve">world, the mother being above forty or the father above</w:t></w:r>
</w:p>
<w:p>
<w:pPr><w:pStyle w:val="Normal"/></w:pPr>
<w:r><w:t xml:space="preserve">fifty-five years of age.  Lysias maintained, in one of his</w:t></w:r>
</w:p>
<w:p>
<w:pPr><w:pStyle w:val="Normal"/></w:pPr>
<w:r><w:t xml:space="preserve">pleadings quoted by Harpocration, that forced abortion could</w:t></w:r>
</w:p>
<w:p>
<w:pPr><w:pStyle w:val="Normal"/></w:pPr>
<w:r><w:t xml:space="preserve">not be considered homicide, because a child in utero was</w:t></w:r>
</w:p>
<w:p>
<w:pPr><w:pStyle w:val="Normal"/></w:pPr>
<w:r><w:t xml:space="preserve">not an animal, and had no separate existence.  Among the</w:t></w:r>
</w:p>
<w:p>
<w:pPr><w:pStyle w:val="Normal"/></w:pPr>
<w:r><w:t xml:space="preserve">Romans, Ovid (Amor. hb. ii.), Juvenal (Sat. vi. 594) and</w:t></w:r>
</w:p>
<w:p>
<w:pPr><w:pStyle w:val="Normal"/></w:pPr>
<w:r><w:t xml:space="preserve">Seneca Consol. ad Hel. 16) mention the frequency of the</w:t></w:r>
</w:p>
<w:p>
<w:pPr><w:pStyle w:val="Normal"/></w:pPr>
<w:r><w:t xml:space="preserve">offence, but maintain silence as to any laws for punishing</w:t></w:r>
</w:p>
<w:p>
<w:pPr><w:pStyle w:val="Normal"/></w:pPr>
<w:r><w:t xml:space="preserve">it.  On the other hand, it is argued that the authority of</w:t></w:r>
</w:p>
<w:p>
<w:pPr><w:pStyle w:val="Normal"/></w:pPr>
<w:r><w:t xml:space="preserve">Galen and Cicero (pro Cluentio) place it beyond a doubt</w:t></w:r>
</w:p>
<w:p>
<w:pPr><w:pStyle w:val="Normal"/></w:pPr>
<w:r><w:t xml:space="preserve">that, so far from being allowed to pass with impunity, the</w:t></w:r>
</w:p>
<w:p>
<w:pPr><w:pStyle w:val="Normal"/></w:pPr>
<w:r><w:t xml:space="preserve">offence in question was sometimes punished by death; that the</w:t></w:r>
</w:p>
<w:p>
<w:pPr><w:pStyle w:val="Normal"/></w:pPr>
<w:r><w:t xml:space="preserve">authority of Lysias is of doubtful authenticity; and that the</w:t></w:r>
</w:p>
<w:p>
<w:pPr><w:pStyle w:val="Normal"/></w:pPr>
<w:r><w:t xml:space="preserve">speculative reasonings of Plato and Aristotle, in matters of</w:t></w:r>
</w:p>
<w:p>
<w:pPr><w:pStyle w:val="Normal"/></w:pPr>
<w:r><w:t xml:space="preserve">legislation, ought not to be confounded with the actual state</w:t></w:r>
</w:p>
<w:p>
<w:pPr><w:pStyle w:val="Normal"/></w:pPr>
<w:r><w:t xml:space="preserve">of the laws.  Moreover, Stobaeus (Serm. 73) has preserved</w:t></w:r>
</w:p>
<w:p>
<w:pPr><w:pStyle w:val="Normal"/></w:pPr>
<w:r><w:t xml:space="preserve">a passage from Musonius, in which that philosopher expressly</w:t></w:r>
</w:p>
<w:p>
<w:pPr><w:pStyle w:val="Normal"/></w:pPr>
<w:r><w:t xml:space="preserve">states that the ancient law-givers inflicted punishments on</w:t></w:r>
</w:p>
<w:p>
<w:pPr><w:pStyle w:val="Normal"/></w:pPr>
<w:r><w:t xml:space="preserve">females who caused themselves to abort.  After the spread of</w:t></w:r>
</w:p>
<w:p>
<w:pPr><w:pStyle w:val="Normal"/></w:pPr>
<w:r><w:t xml:space="preserve">Christianity among the Romans, however, foeticide became equally</w:t></w:r>
</w:p>
<w:p>
<w:pPr><w:pStyle w:val="Normal"/></w:pPr>
<w:r><w:t xml:space="preserve">criminal with the murder of an adult, and the barbarian hordes</w:t></w:r>
</w:p>
<w:p>
<w:pPr><w:pStyle w:val="Normal"/></w:pPr>
<w:r><w:t xml:space="preserve">which afterwards overran the empire also treated the offence</w:t></w:r>
</w:p>
<w:p>
<w:pPr><w:pStyle w:val="Normal"/></w:pPr>
<w:r><w:t xml:space="preserve">as a crime punishable Fith death.  This severe penalty remained</w:t></w:r>
</w:p>
<w:p>
<w:pPr><w:pStyle w:val="Normal"/></w:pPr>
<w:r><w:t xml:space="preserve">in force in all the countries of Europe until the Middle</w:t></w:r>
</w:p>
<w:p>
<w:pPr><w:pStyle w:val="Normal"/></w:pPr>
<w:r><w:t xml:space="preserve">Ages.  With the gradual disuse of the old barbarous punishments</w:t></w:r>
</w:p>
<w:p>
<w:pPr><w:pStyle w:val="Normal"/></w:pPr>
<w:r><w:t xml:space="preserve">so universal in medieval times came also a reversal of opinion as</w:t></w:r>
</w:p>
<w:p>
<w:pPr><w:pStyle w:val="Normal"/></w:pPr>
<w:r><w:t xml:space="preserve">to the magnitude of the crime involved in killing a child not yet</w:t></w:r>
</w:p>
<w:p>
<w:pPr><w:pStyle w:val="Normal"/></w:pPr>
<w:r><w:t xml:space="preserve">born.  But the exact period of transition is not clearly marked.</w:t></w:r>
</w:p>
<w:p>
<w:pPr><w:pStyle w:val="Normal"/></w:pPr>
<w:r><w:t xml:space="preserve">In England the Anglo-Saxons seem to have regarded abortion only</w:t></w:r>
</w:p>
<w:p>
<w:pPr><w:pStyle w:val="Normal"/></w:pPr>
<w:r><w:t xml:space="preserve">as an ecclesiastical offence.  Sir Matthew Hale (1609-1676)</w:t></w:r>
</w:p>
<w:p>
<w:pPr><w:pStyle w:val="Normal"/></w:pPr>
<w:r><w:t xml:space="preserve">tells us that if anything is done to ``a woman quick or great</w:t></w:r>
</w:p>
<w:p>
<w:pPr><w:pStyle w:val="Normal"/></w:pPr>
<w:r><w:t xml:space="preserve">with child, to make an abortion, or whereby the child within</w:t></w:r>
</w:p>
<w:p>
<w:pPr><w:pStyle w:val="Normal"/></w:pPr>
<w:r><w:t xml:space="preserve">her is killed, it is not murder or manslaughter by the law</w:t></w:r>
</w:p>
<w:p>
<w:pPr><w:pStyle w:val="Normal"/></w:pPr>
<w:r><w:t xml:space="preserve">of England, because it is not yet in rerum natura.&apos;&apos; But</w:t></w:r>
</w:p>
<w:p>
<w:pPr><w:pStyle w:val="Normal"/></w:pPr>
<w:r><w:t xml:space="preserve">the common law appears, nevertheless, to have treated as a</w:t></w:r>
</w:p>
<w:p>
<w:pPr><w:pStyle w:val="Normal"/></w:pPr>
<w:r><w:t xml:space="preserve">misdemeanour any attempt to effect the destruction of such an</w:t></w:r>
</w:p>
<w:p>
<w:pPr><w:pStyle w:val="Normal"/></w:pPr>
<w:r><w:t xml:space="preserve">infant, though unsuccessful.  Blackstone (1723-1780), to be</w:t></w:r>
</w:p>
<w:p>
<w:pPr><w:pStyle w:val="Normal"/></w:pPr>
<w:r><w:t xml:space="preserve">sure, a hundred years later, says that, ``if a woman is quick</w:t></w:r>
</w:p>
<w:p>
<w:pPr><w:pStyle w:val="Normal"/></w:pPr>
<w:r><w:t xml:space="preserve">with child, and by poison or otherwise killeth it in her</w:t></w:r>
</w:p>
<w:p>
<w:pPr><w:pStyle w:val="Normal"/></w:pPr>
<w:r><w:t xml:space="preserve">womb, or if any one beat her, whereby the child dieth in her</w:t></w:r>
</w:p>
<w:p>
<w:pPr><w:pStyle w:val="Normal"/></w:pPr>
<w:r><w:t xml:space="preserve">body, and she is delivered of a dead child, this, though not</w:t></w:r>
</w:p>
<w:p>
<w:pPr><w:pStyle w:val="Normal"/></w:pPr>
<w:r><w:t xml:space="preserve">murder, was, by the ancient law, homicide or manslaughter.&apos;&apos;</w:t></w:r>
</w:p>
<w:p>
<w:pPr><w:pStyle w:val="Normal"/></w:pPr>
<w:r><w:t xml:space="preserve">Whatever may have been the exact view taken by the common</w:t></w:r>
</w:p>
<w:p>
<w:pPr><w:pStyle w:val="Normal"/></w:pPr>
<w:r><w:t xml:space="preserve">law, the offence was made statutory by an act of 1803, making</w:t></w:r>
</w:p>
<w:p>
<w:pPr><w:pStyle w:val="Normal"/></w:pPr>
<w:r><w:t xml:space="preserve">the attempt to cause the miscarriage of a woman, not being, or</w:t></w:r>
</w:p>
<w:p>
<w:pPr><w:pStyle w:val="Normal"/></w:pPr>
<w:r><w:t xml:space="preserve">not being proved, to be quick with child, a felony, punishable</w:t></w:r>
</w:p>
<w:p>
<w:pPr><w:pStyle w:val="Normal"/></w:pPr>
<w:r><w:t xml:space="preserve">with fine, imprisonment, whipping or transportation for any</w:t></w:r>
</w:p>
<w:p>
<w:pPr><w:pStyle w:val="Normal"/></w:pPr>
<w:r><w:t xml:space="preserve">term not exceeding fourteen years.  Should the woman have</w:t></w:r>
</w:p>
<w:p>
<w:pPr><w:pStyle w:val="Normal"/></w:pPr>
<w:r><w:t xml:space="preserve">proved to have quickened, the attempt was punishable with</w:t></w:r>
</w:p>
<w:p>
<w:pPr><w:pStyle w:val="Normal"/></w:pPr>
<w:r><w:t xml:space="preserve">death.  The provisions of this statute were re-enacted in</w:t></w:r>
</w:p>
<w:p>
<w:pPr><w:pStyle w:val="Normal"/></w:pPr>
<w:r><w:t xml:space="preserve">1828.  The English law on the subject is now governed by</w:t></w:r>
</w:p>
<w:p>
<w:pPr><w:pStyle w:val="Normal"/></w:pPr>
<w:r><w:t xml:space="preserve">the Offences against the Person Act 1861, which makes the</w:t></w:r>
</w:p>
<w:p>
<w:pPr><w:pStyle w:val="Normal"/></w:pPr>
<w:r><w:t xml:space="preserve">attempting to cause miscarriage by administering poison or</w:t></w:r>
</w:p>
<w:p>
<w:pPr><w:pStyle w:val="Normal"/></w:pPr>
<w:r><w:t xml:space="preserve">other noxious thing, or unlawfully using any instrument equally</w:t></w:r>
</w:p>
<w:p>
<w:pPr><w:pStyle w:val="Normal"/></w:pPr>
<w:r><w:t xml:space="preserve">a felony, whether the woman be, or be not, with child.  No</w:t></w:r>
</w:p>
<w:p>
<w:pPr><w:pStyle w:val="Normal"/></w:pPr>
<w:r><w:t xml:space="preserve">distinction is now made as to whether the foetus is or is not</w:t></w:r>
</w:p>
<w:p>
<w:pPr><w:pStyle w:val="Normal"/></w:pPr>
<w:r><w:t xml:space="preserve">alive, legislation appearing to make the offence statutory</w:t></w:r>
</w:p>
<w:p>
<w:pPr><w:pStyle w:val="Normal"/></w:pPr>
<w:r><w:t xml:space="preserve">with the object of prohibiting any risk to the life of the</w:t></w:r>
</w:p>
<w:p>
<w:pPr><w:pStyle w:val="Normal"/></w:pPr>
<w:r><w:t xml:space="preserve">mother.  If a woman administers to herself any poison or</w:t></w:r>
</w:p>
<w:p>
<w:pPr><w:pStyle w:val="Normal"/></w:pPr>
<w:r><w:t xml:space="preserve">other noxious thing, or unlawfully uses any instrument or</w:t></w:r>
</w:p>
<w:p>
<w:pPr><w:pStyle w:val="Normal"/></w:pPr>
<w:r><w:t xml:space="preserve">other means to procure her own miscarriage, she is guilty of</w:t></w:r>
</w:p>
<w:p>
<w:pPr><w:pStyle w:val="Normal"/></w:pPr>
<w:r><w:t xml:space="preserve">felony.  The punishment for the offence is penal servitude</w:t></w:r>
</w:p>
<w:p>
<w:pPr><w:pStyle w:val="Normal"/></w:pPr>
<w:r><w:t xml:space="preserve">for life or not less than three years, or imprisonment</w:t></w:r>
</w:p>
<w:p>
<w:pPr><w:pStyle w:val="Normal"/></w:pPr>
<w:r><w:t xml:space="preserve">for not more than two years.  If a child is born alive,</w:t></w:r>
</w:p>
<w:p>
<w:pPr><w:pStyle w:val="Normal"/></w:pPr>
<w:r><w:t xml:space="preserve">but in consequence of its premature birth, or of the means</w:t></w:r>
</w:p>
<w:p>
<w:pPr><w:pStyle w:val="Normal"/></w:pPr>
<w:r><w:t xml:space="preserve">employed, afterwards dies, the offence is murder; the</w:t></w:r>
</w:p>
<w:p>
<w:pPr><w:pStyle w:val="Normal"/></w:pPr>
<w:r><w:t xml:space="preserve">general law as to accessories applies to the offence.</w:t></w:r>
</w:p>
<w:p>
<w:pPr><w:pStyle w:val="Normal"/></w:pPr>
<w:r><w:t xml:space="preserve">In all the countries of Europe the causing of abortion is now</w:t></w:r>
</w:p>
<w:p>
<w:pPr><w:pStyle w:val="Normal"/></w:pPr>
<w:r><w:t xml:space="preserve">punishable with more or less lengthy terms of imprisonment.</w:t></w:r>
</w:p>
<w:p>
<w:pPr><w:pStyle w:val="Normal"/></w:pPr>
<w:r><w:t xml:space="preserve">Indeed, the tendency in continental Europe is to regard the</w:t></w:r>
</w:p>
<w:p>
<w:pPr><w:pStyle w:val="Normal"/></w:pPr>
<w:r><w:t xml:space="preserve">abortion as a crime against the unborn child, and several</w:t></w:r>
</w:p>
<w:p>
<w:pPr><w:pStyle w:val="Normal"/></w:pPr>
<w:r><w:t xml:space="preserve">codes (notably that of the German Empire) expressly recognize</w:t></w:r>
</w:p>
<w:p>
<w:pPr><w:pStyle w:val="Normal"/></w:pPr>
<w:r><w:t xml:space="preserve">the life of the foetus, while others make the penalty more</w:t></w:r>
</w:p>
<w:p>
<w:pPr><w:pStyle w:val="Normal"/></w:pPr>
<w:r><w:t xml:space="preserve">severe if abortion has been caused in the later stages of</w:t></w:r>
</w:p>
<w:p>
<w:pPr><w:pStyle w:val="Normal"/></w:pPr>
<w:r><w:t xml:space="preserve">pregnancy, or if the woman is married.  According to the weight</w:t></w:r>
</w:p>
<w:p>
<w:pPr><w:pStyle w:val="Normal"/></w:pPr>
<w:r><w:t xml:space="preserve">of authority in the United States abortion was not regarded</w:t></w:r>
</w:p>
<w:p>
<w:pPr><w:pStyle w:val="Normal"/></w:pPr>
<w:r><w:t xml:space="preserve">as a punishable offence at common law, if the abortion was</w:t></w:r>
</w:p>
<w:p>
<w:pPr><w:pStyle w:val="Normal"/></w:pPr>
<w:r><w:t xml:space="preserve">produced with the consent of the mother prior to the time</w:t></w:r>
</w:p>
<w:p>
<w:pPr><w:pStyle w:val="Normal"/></w:pPr>
<w:r><w:t xml:space="preserve">when she became quick with child; but the Supreme Courts of</w:t></w:r>
</w:p>
<w:p>
<w:pPr><w:pStyle w:val="Normal"/></w:pPr>
<w:r><w:t xml:space="preserve">Pennsylvania and North Carolina held it a crime at common</w:t></w:r>
</w:p>
<w:p>
<w:pPr><w:pStyle w:val="Normal"/></w:pPr>
<w:r><w:t xml:space="preserve">law, which might be committed as soon as gestation had begun</w:t></w:r>
</w:p>
<w:p>
<w:pPr><w:pStyle w:val="Normal"/></w:pPr>
<w:r><w:t xml:space="preserve">(Mills v. Com. 13 Pa. St. 630; State v. Slagle, 83</w:t></w:r>
</w:p>
<w:p>
<w:pPr><w:pStyle w:val="Normal"/></w:pPr>
<w:r><w:t xml:space="preserve">N.C. 630).  The attempt is a punishable offence in several</w:t></w:r>
</w:p>
<w:p>
<w:pPr><w:pStyle w:val="Normal"/></w:pPr>
<w:r><w:t xml:space="preserve">states, but not in Ohio.  Nor was it ever murder at common</w:t></w:r>
</w:p>
<w:p>
<w:pPr><w:pStyle w:val="Normal"/></w:pPr>
<w:r><w:t xml:space="preserve">law to take the life of the child at any period of gestation,</w:t></w:r>
</w:p>
<w:p>
<w:pPr><w:pStyle w:val="Normal"/></w:pPr>
<w:r><w:t xml:space="preserve">even in the very act of delivery (Mitchell v. Com. 78 Ky.</w:t></w:r>
</w:p>
<w:p>
<w:pPr><w:pStyle w:val="Normal"/></w:pPr>
<w:r><w:t xml:space="preserve">204).  If the death of the woman results it is murder at</w:t></w:r>
</w:p>
<w:p>
<w:pPr><w:pStyle w:val="Normal"/></w:pPr>
<w:r><w:t xml:space="preserve">common law (Com. v. Parker, 9 Met. [Mass.] 263).  It is</w:t></w:r>
</w:p>
<w:p>
<w:pPr><w:pStyle w:val="Normal"/></w:pPr>
<w:r><w:t xml:space="preserve">now a statutory offence in all states of the Union, but the</w:t></w:r>
</w:p>
<w:p>
<w:pPr><w:pStyle w:val="Normal"/></w:pPr>
<w:r><w:t xml:space="preserve">woman must be actually pregnant.  In most states not only is</w:t></w:r>
</w:p>
<w:p>
<w:pPr><w:pStyle w:val="Normal"/></w:pPr>
<w:r><w:t xml:space="preserve">the person who causes the abortion punishable, but also any</w:t></w:r>
</w:p>
<w:p>
<w:pPr><w:pStyle w:val="Normal"/></w:pPr>
<w:r><w:t xml:space="preserve">one who supplies any drug or instrument for the purpose.  The</w:t></w:r>
</w:p>
<w:p>
<w:pPr><w:pStyle w:val="Normal"/></w:pPr>
<w:r><w:t xml:space="preserve">woman, however, is not an accomplice (except by statute as in</w:t></w:r>
</w:p>
<w:p>
<w:pPr><w:pStyle w:val="Normal"/></w:pPr>
<w:r><w:t xml:space="preserve">Ohio, State v. M`Coy, 39 N.E. 316), nor is she guilty</w:t></w:r>
</w:p>
<w:p>
<w:pPr><w:pStyle w:val="Normal"/></w:pPr>
<w:r><w:t xml:space="preserve">of any crime unless by statute as in New York (Penal Code,</w:t></w:r>
</w:p>
<w:p>
<w:pPr><w:pStyle w:val="Normal"/></w:pPr>
<w:r><w:t xml:space="preserve">sec.  295) and California (Penal Code, sec.  275) and Connecticut</w:t></w:r>
</w:p>
<w:p>
<w:pPr><w:pStyle w:val="Normal"/></w:pPr>
<w:r><w:t xml:space="preserve">(Gen.  Stats. 1902, sec.  1156).  She may be a witness, and her</w:t></w:r>
</w:p>
<w:p>
<w:pPr><w:pStyle w:val="Normal"/></w:pPr>
<w:r><w:t xml:space="preserve">testimony does not need corroboration.  The attempt is also a</w:t></w:r>
</w:p>
<w:p>
<w:pPr><w:pStyle w:val="Normal"/></w:pPr>
<w:r><w:t xml:space="preserve">crime in New York (1905, People v. Conrad, 102 App. D. 566).</w:t></w:r>
</w:p>
<w:p>
<w:pPr><w:pStyle w:val="Normal"/></w:pPr>
<w:r><w:t xml:space="preserve">AUTHORITIES.---Ploncouet, Commentarius Medicus in processus</w:t></w:r>
</w:p>
<w:p>
<w:pPr><w:pStyle w:val="Normal"/></w:pPr>
<w:r><w:t xml:space="preserve">criminales super homicidie et infanticidio, &amp;c. (1736);</w:t></w:r>
</w:p>
<w:p>
<w:pPr><w:pStyle w:val="Normal"/></w:pPr>
<w:r><w:t xml:space="preserve">Burao Ryan, Infanticide, its Law, Prevalence, Prevention</w:t></w:r>
</w:p>
<w:p>
<w:pPr><w:pStyle w:val="Normal"/></w:pPr>
<w:r><w:t xml:space="preserve">and History (1862); G. Greaves, Observations on the Laws</w:t></w:r>
</w:p>
<w:p>
<w:pPr><w:pStyle w:val="Normal"/></w:pPr>
<w:r><w:t xml:space="preserve">referring to Child-Murder and Criminal Abortion (1864);</w:t></w:r>
</w:p>
<w:p>
<w:pPr><w:pStyle w:val="Normal"/></w:pPr>
<w:r><w:t xml:space="preserve">Storer and Heard, Criminal Abortion, its Nature, Evidence</w:t></w:r>
</w:p>
<w:p>
<w:pPr><w:pStyle w:val="Normal"/></w:pPr>
<w:r><w:t xml:space="preserve">and Law (Boston, 1868); J. Cave Browne, Infanticide, its</w:t></w:r>
</w:p>
<w:p>
<w:pPr><w:pStyle w:val="Normal"/></w:pPr>
<w:r><w:t xml:space="preserve">Origin, Progress and Suppression (1857); T. R. Beck, Medical</w:t></w:r>
</w:p>
<w:p>
<w:pPr><w:pStyle w:val="Normal"/></w:pPr>
<w:r><w:t xml:space="preserve">Jurisprudence (1842); A. S. Taylor, Principles and Practice</w:t></w:r>
</w:p>
<w:p>
<w:pPr><w:pStyle w:val="Normal"/></w:pPr>
<w:r><w:t xml:space="preserve">of Medical Jurisprudence (1894); Sir J. Stephen, History</w:t></w:r>
</w:p>
<w:p>
<w:pPr><w:pStyle w:val="Normal"/></w:pPr>
<w:r><w:t xml:space="preserve">of the Criminal Law of England (1883); Sir W. O. Russell,</w:t></w:r>
</w:p>
<w:p>
<w:pPr><w:pStyle w:val="Normal"/></w:pPr>
<w:r><w:t xml:space="preserve">Crimes and Misdemeanours (3 vols., 1896); Archbold&apos;s</w:t></w:r>
</w:p>
<w:p>
<w:pPr><w:pStyle w:val="Normal"/></w:pPr>
<w:r><w:t xml:space="preserve">Pleading and Evidence in Criminal:Cases (1900); Roscoe&apos;s</w:t></w:r>
</w:p>
<w:p>
<w:pPr><w:pStyle w:val="Normal"/></w:pPr>
<w:r><w:t xml:space="preserve">Evidence in Criminall Cases (1898) Treub, van Oppenraag and</w:t></w:r>
</w:p>
<w:p>
<w:pPr><w:pStyle w:val="Normal"/></w:pPr>
<w:r><w:t xml:space="preserve">Vlaming, The Right to Life of the Unborn Child (New</w:t></w:r>
</w:p>
<w:p>
<w:pPr><w:pStyle w:val="Normal"/></w:pPr>
<w:r><w:t xml:space="preserve">York, 1903); L. Hochheimer, Crimes and Criminal Procedure</w:t></w:r>
</w:p>
<w:p>
<w:pPr><w:pStyle w:val="Normal"/></w:pPr>
<w:r><w:t xml:space="preserve">(York, 1897); A. A. Tardieu, Etude medico-legal sur</w:t></w:r>
</w:p>
<w:p>
<w:pPr><w:pStyle w:val="Normal"/></w:pPr>
<w:r><w:t xml:space="preserve">l&apos;avortement (Paris, 1904); F. Berolzheimer, System der</w:t></w:r>
</w:p>
<w:p>
<w:pPr><w:pStyle w:val="Normal"/></w:pPr>
<w:r><w:t xml:space="preserve">Rechts- und Wissenschaftsphilosophie (Munich, 1904).</w:t></w:r>
</w:p>
<w:p>
<w:pPr><w:pStyle w:val="Normal"/></w:pPr>
<w:r><w:t xml:space="preserve">ABOUKIR, a village on the Mediterranean coast of Egypt, 14 1/2</w:t></w:r>
</w:p>
<w:p>
<w:pPr><w:pStyle w:val="Normal"/></w:pPr>
<w:r><w:t xml:space="preserve">m.  N.E. of Alexandria by rail, containing a castle used</w:t></w:r>
</w:p>
<w:p>
<w:pPr><w:pStyle w:val="Normal"/></w:pPr>
<w:r><w:t xml:space="preserve">as a state prison by Mehemet Ali. Near the village are</w:t></w:r>
</w:p>
<w:p>
<w:pPr><w:pStyle w:val="Normal"/></w:pPr>
<w:r><w:t xml:space="preserve">many remains of ancient buildings, Egyptian, Greek and</w:t></w:r>
</w:p>
<w:p>
<w:pPr><w:pStyle w:val="Normal"/></w:pPr>
<w:r><w:t xml:space="preserve">Roman.  About 2 m.  S.E. of the village are ruins supposed to</w:t></w:r>
</w:p>
<w:p>
<w:pPr><w:pStyle w:val="Normal"/></w:pPr>
<w:r><w:t xml:space="preserve">mark the site of Canopus.  A little farther east the Canopic</w:t></w:r>
</w:p>
<w:p>
<w:pPr><w:pStyle w:val="Normal"/></w:pPr>
<w:r><w:t xml:space="preserve">branch of the Nile (now dry) entered the Mediterranean.</w:t></w:r>
</w:p>
<w:p>
<w:pPr><w:pStyle w:val="Normal"/></w:pPr>
<w:r><w:t xml:space="preserve">Stretching eastward as far as the Rosetta mouth of the</w:t></w:r>
</w:p>
<w:p>
<w:pPr><w:pStyle w:val="Normal"/></w:pPr>
<w:r><w:t xml:space="preserve">Nile is the spacious bay of Aboukir, where on the 1st of</w:t></w:r>
</w:p>
<w:p>
<w:pPr><w:pStyle w:val="Normal"/></w:pPr>
<w:r><w:t xml:space="preserve">August 1798 Nelson fought the battle of the Nile, often</w:t></w:r>
</w:p>
<w:p>
<w:pPr><w:pStyle w:val="Normal"/></w:pPr>
<w:r><w:t xml:space="preserve">referred to as the battle of Aboukir.  The latter title is</w:t></w:r>
</w:p>
<w:p>
<w:pPr><w:pStyle w:val="Normal"/></w:pPr>
<w:r><w:t xml:space="preserve">applied more properly to an engagement between the French</w:t></w:r>
</w:p>
<w:p>
<w:pPr><w:pStyle w:val="Normal"/></w:pPr>
<w:r><w:t xml:space="preserve">expeditionary army and the Turks fought on the 25th of July</w:t></w:r>
</w:p>
<w:p>
<w:pPr><w:pStyle w:val="Normal"/></w:pPr>
<w:r><w:t xml:space="preserve">1799.  Near Aboukir, on the 8th of March 1801, the British</w:t></w:r>
</w:p>
<w:p>
<w:pPr><w:pStyle w:val="Normal"/></w:pPr>
<w:r><w:t xml:space="preserve">army commanded by Sir R. Abercromby landed from its transports</w:t></w:r>
</w:p>
<w:p>
<w:pPr><w:pStyle w:val="Normal"/></w:pPr>
<w:r><w:t xml:space="preserve">in the face of a strenuous opposition from a French force</w:t></w:r>
</w:p>
<w:p>
<w:pPr><w:pStyle w:val="Normal"/></w:pPr>
<w:r><w:t xml:space="preserve">entrenched on the beach. (See FRENCH REVOLUTIONARY WARS.)</w:t></w:r>
</w:p>
<w:p>
<w:pPr><w:pStyle w:val="Normal"/></w:pPr>
<w:r><w:t xml:space="preserve">ABOUT, EDMOND FRANCOIS VALENTIN (1828-1885), French novelist,</w:t></w:r>
</w:p>
<w:p>
<w:pPr><w:pStyle w:val="Normal"/></w:pPr>
<w:r><w:t xml:space="preserve">publicist and journalist, was born on the 14th of February</w:t></w:r>
</w:p>
<w:p>
<w:pPr><w:pStyle w:val="Normal"/></w:pPr>
<w:r><w:t xml:space="preserve">1828, at Dieuze, in Lorraine.  The boy&apos;s school career was</w:t></w:r>
</w:p>
<w:p>
<w:pPr><w:pStyle w:val="Normal"/></w:pPr>
<w:r><w:t xml:space="preserve">brilliant.  In 1848 he entered the Ecole Normale, taking the</w:t></w:r>
</w:p>
<w:p>
<w:pPr><w:pStyle w:val="Normal"/></w:pPr>
<w:r><w:t xml:space="preserve">second place in the annual competition for admission, Taine being</w:t></w:r>
</w:p>
<w:p>
<w:pPr><w:pStyle w:val="Normal"/></w:pPr>
<w:r><w:t xml:space="preserve">first.  Among his college contemporaries were Taine, Francisque,</w:t></w:r>
</w:p>
<w:p>
<w:pPr><w:pStyle w:val="Normal"/></w:pPr>
<w:r><w:t xml:space="preserve">Sarcey, Challemel-Lacour and the ill-starred Prevost-Paradol.</w:t></w:r>
</w:p>
<w:p>
<w:pPr><w:pStyle w:val="Normal"/></w:pPr>
<w:r><w:t xml:space="preserve">Of them all About was, according to Sarcey, the most highly</w:t></w:r>
</w:p>
<w:p>
<w:pPr><w:pStyle w:val="Normal"/></w:pPr>
<w:r><w:t xml:space="preserve">vitalized, exuberant, brilliant and ``undisciplined.&apos;&apos; At</w:t></w:r>
</w:p>
<w:p>
<w:pPr><w:pStyle w:val="Normal"/></w:pPr>
<w:r><w:t xml:space="preserve">the end of his college career he joined the French school in</w:t></w:r>
</w:p>
<w:p>
<w:pPr><w:pStyle w:val="Normal"/></w:pPr>
<w:r><w:t xml:space="preserve">Athens, but if we may believe his own account, it had never</w:t></w:r>
</w:p>
<w:p>
<w:pPr><w:pStyle w:val="Normal"/></w:pPr>
<w:r><w:t xml:space="preserve">been his intention to follow the professorial career, for</w:t></w:r>
</w:p>
<w:p>
<w:pPr><w:pStyle w:val="Normal"/></w:pPr>
<w:r><w:t xml:space="preserve">which the Ecole Normale was a preparation, and in 1853 he</w:t></w:r>
</w:p>
<w:p>
<w:pPr><w:pStyle w:val="Normal"/></w:pPr>
<w:r><w:t xml:space="preserve">returned to France and frankly gave himself to literature and</w:t></w:r>
</w:p>
<w:p>
<w:pPr><w:pStyle w:val="Normal"/></w:pPr>
<w:r><w:t xml:space="preserve">journalism.  A book on Greece, La Grece contemporaine (1855),</w:t></w:r>
</w:p>
<w:p>
<w:pPr><w:pStyle w:val="Normal"/></w:pPr>
<w:r><w:t xml:space="preserve">which did not spare Greek susceptibilities, had an immediate</w:t></w:r>
</w:p>
<w:p>
<w:pPr><w:pStyle w:val="Normal"/></w:pPr>
<w:r><w:t xml:space="preserve">success.  In Tolla (1855) About was charged with drawing too</w:t></w:r>
</w:p>
<w:p>
<w:pPr><w:pStyle w:val="Normal"/></w:pPr>
<w:r><w:t xml:space="preserve">freely on an earlier Italian novel, Vittoria Savelii (Paris,</w:t></w:r>
</w:p>
<w:p>
<w:pPr><w:pStyle w:val="Normal"/></w:pPr>
<w:r><w:t xml:space="preserve">1841).  This caused a strong prejudice against him, and he</w:t></w:r>
</w:p>
<w:p>
<w:pPr><w:pStyle w:val="Normal"/></w:pPr>
<w:r><w:t xml:space="preserve">was the object of numerous attacks, to which he was ready</w:t></w:r>
</w:p>
<w:p>
<w:pPr><w:pStyle w:val="Normal"/></w:pPr>
<w:r><w:t xml:space="preserve">enough to retaliate.  The Lettres d&apos;un bon jeune homme,</w:t></w:r>
</w:p>
<w:p>
<w:pPr><w:pStyle w:val="Normal"/></w:pPr>
<w:r><w:t xml:space="preserve">written to the Figaro under the signature of Valentin de</w:t></w:r>
</w:p>
<w:p>
<w:pPr><w:pStyle w:val="Normal"/></w:pPr>
<w:r><w:t xml:space="preserve">Quevilly, provoked more animosities.  During the next few</w:t></w:r>
</w:p>
<w:p>
<w:pPr><w:pStyle w:val="Normal"/></w:pPr>
<w:r><w:t xml:space="preserve">years, with indefatigable energy, and generally with full</w:t></w:r>
</w:p>
<w:p>
<w:pPr><w:pStyle w:val="Normal"/></w:pPr>
<w:r><w:t xml:space="preserve">public recognition, he wrote novels, stories, a play---which</w:t></w:r>
</w:p>
<w:p>
<w:pPr><w:pStyle w:val="Normal"/></w:pPr>
<w:r><w:t xml:space="preserve">failed,---a book-pamphlet on the Roman question, many</w:t></w:r>
</w:p>
<w:p>
<w:pPr><w:pStyle w:val="Normal"/></w:pPr>
<w:r><w:t xml:space="preserve">pamphlets on other subjects of the day, newspaper articles</w:t></w:r>
</w:p>
<w:p>
<w:pPr><w:pStyle w:val="Normal"/></w:pPr>
<w:r><w:t xml:space="preserve">innumerable, some art criticisms, rejoinders to the attacks</w:t></w:r>
</w:p>
<w:p>
<w:pPr><w:pStyle w:val="Normal"/></w:pPr>
<w:r><w:t xml:space="preserve">of his enemies, and popular manuals of political economy, L&apos;A</w:t></w:r>
</w:p>
<w:p>
<w:pPr><w:pStyle w:val="Normal"/></w:pPr>
<w:r><w:t xml:space="preserve">B C du travailleur (1868), Le progres (1864).  About&apos;s</w:t></w:r>
</w:p>
<w:p>
<w:pPr><w:pStyle w:val="Normal"/></w:pPr>
<w:r><w:t xml:space="preserve">attitude towards the empire was that of a candid friend.  He</w:t></w:r>
</w:p>
<w:p>
<w:pPr><w:pStyle w:val="Normal"/></w:pPr>
<w:r><w:t xml:space="preserve">believed in its improvability, greeted the liberal ministry</w:t></w:r>
</w:p>
<w:p>
<w:pPr><w:pStyle w:val="Normal"/></w:pPr>
<w:r><w:t xml:space="preserve">of Emile Ollivier at the beginning of 1870 with delight and</w:t></w:r>
</w:p>
<w:p>
<w:pPr><w:pStyle w:val="Normal"/></w:pPr>
<w:r><w:t xml:space="preserve">welcomed the Franco-German War. That day of enthusiasm had a</w:t></w:r>
</w:p>
<w:p>
<w:pPr><w:pStyle w:val="Normal"/></w:pPr>
<w:r><w:t xml:space="preserve">terrible morrow.  For his own personal part he lost the loved</w:t></w:r>
</w:p>
<w:p>
<w:pPr><w:pStyle w:val="Normal"/></w:pPr>
<w:r><w:t xml:space="preserve">home near Saverne in Alsace, which he had purchased in 1858</w:t></w:r>
</w:p>
<w:p>
<w:pPr><w:pStyle w:val="Normal"/></w:pPr>
<w:r><w:t xml:space="preserve">out of the fruits of his earlier literary successes.  With</w:t></w:r>
</w:p>
<w:p>
<w:pPr><w:pStyle w:val="Normal"/></w:pPr>
<w:r><w:t xml:space="preserve">the fall of the empire he became a republican, and, always an</w:t></w:r>
</w:p>
<w:p>
<w:pPr><w:pStyle w:val="Normal"/></w:pPr>
<w:r><w:t xml:space="preserve">inveterate anti-clerical, he threw himself with ardour into</w:t></w:r>
</w:p>
<w:p>
<w:pPr><w:pStyle w:val="Normal"/></w:pPr>
<w:r><w:t xml:space="preserve">the battle against the conservative reaction which made head</w:t></w:r>
</w:p>
<w:p>
<w:pPr><w:pStyle w:val="Normal"/></w:pPr>
<w:r><w:t xml:space="preserve">during the first years of the republic.  From 1872 onwards</w:t></w:r>
</w:p>
<w:p>
<w:pPr><w:pStyle w:val="Normal"/></w:pPr>
<w:r><w:t xml:space="preserve">for some five or six years his paper, the XIXe Siecle,</w:t></w:r>
</w:p>
<w:p>
<w:pPr><w:pStyle w:val="Normal"/></w:pPr>
<w:r><w:t xml:space="preserve">of which he was the heart and soul, became a power in the</w:t></w:r>
</w:p>
<w:p>
<w:pPr><w:pStyle w:val="Normal"/></w:pPr>
<w:r><w:t xml:space="preserve">land.  But the republicans never quite forgave the tardiness</w:t></w:r>
</w:p>
<w:p>
<w:pPr><w:pStyle w:val="Normal"/></w:pPr>
<w:r><w:t xml:space="preserve">of his conversion, and no place rewarded his later zeal.  On</w:t></w:r>
</w:p>
<w:p>
<w:pPr><w:pStyle w:val="Normal"/></w:pPr>
<w:r><w:t xml:space="preserve">the 23rd January 1884 he was elected a member of the French</w:t></w:r>
</w:p>
<w:p>
<w:pPr><w:pStyle w:val="Normal"/></w:pPr>
<w:r><w:t xml:space="preserve">Academy, but died on the 16th of January 1885, before taking his</w:t></w:r>
</w:p>
<w:p>
<w:pPr><w:pStyle w:val="Normal"/></w:pPr>
<w:r><w:t xml:space="preserve">seat.  His journalism---of which specimens in his earlier</w:t></w:r>
</w:p>
<w:p>
<w:pPr><w:pStyle w:val="Normal"/></w:pPr>
<w:r><w:t xml:space="preserve">and later manners will be found in the two series of Lettres</w:t></w:r>
</w:p>
<w:p>
<w:pPr><w:pStyle w:val="Normal"/></w:pPr>
<w:r><w:t xml:space="preserve">d&apos;un bon jeune homme a sa cousine Madeleine (1861 and</w:t></w:r>
</w:p>
<w:p>
<w:pPr><w:pStyle w:val="Normal"/></w:pPr>
<w:r><w:t xml:space="preserve">1863), and the posthumous Collection, Le dix-neuvieme</w:t></w:r>
</w:p>
<w:p>
<w:pPr><w:pStyle w:val="Normal"/></w:pPr>
<w:r><w:t xml:space="preserve">siecle (1892)---was of its nature ephemeral.  So were</w:t></w:r>
</w:p>
<w:p>
<w:pPr><w:pStyle w:val="Normal"/></w:pPr>
<w:r><w:t xml:space="preserve">the pamphlets, great and small.  His political economy</w:t></w:r>
</w:p>
<w:p>
<w:pPr><w:pStyle w:val="Normal"/></w:pPr>
<w:r><w:t xml:space="preserve">was that of an orthodox popularizer, and in no sense epoch.</w:t></w:r>
</w:p>
<w:p>
<w:pPr><w:pStyle w:val="Normal"/></w:pPr>
<w:r><w:t xml:space="preserve">making.  His dramas are negligible.  His more serious novels,</w:t></w:r>
</w:p>
<w:p>
<w:pPr><w:pStyle w:val="Normal"/></w:pPr>
<w:r><w:t xml:space="preserve">Madelon (1863), L&apos;infame (1867), the three that form the</w:t></w:r>
</w:p>
<w:p>
<w:pPr><w:pStyle w:val="Normal"/></w:pPr>
<w:r><w:t xml:space="preserve">trilogy of the Vieille Roche (1866), and Le roman d&apos;un</w:t></w:r>
</w:p>
<w:p>
<w:pPr><w:pStyle w:val="Normal"/></w:pPr>
<w:r><w:t xml:space="preserve">brave homme (1880)---a kind of counterblast to the view of</w:t></w:r>
</w:p>
<w:p>
<w:pPr><w:pStyle w:val="Normal"/></w:pPr>
<w:r><w:t xml:space="preserve">the French workman presented in Zola&apos;s Assommoir---contain</w:t></w:r>
</w:p>
<w:p>
<w:pPr><w:pStyle w:val="Normal"/></w:pPr>
<w:r><w:t xml:space="preserve">striking and amusing scenes, no doubt, but scenes which are</w:t></w:r>
</w:p>
<w:p>
<w:pPr><w:pStyle w:val="Normal"/></w:pPr>
<w:r><w:t xml:space="preserve">often suggestive of the stage, while description, dissertation,</w:t></w:r>
</w:p>
<w:p>
<w:pPr><w:pStyle w:val="Normal"/></w:pPr>
<w:r><w:t xml:space="preserve">explanation too frequently take the place of life.  His best</w:t></w:r>
</w:p>
<w:p>
<w:pPr><w:pStyle w:val="Normal"/></w:pPr>
<w:r><w:t xml:space="preserve">work after all is to be found in the books that are almost</w:t></w:r>
</w:p>
<w:p>
<w:pPr><w:pStyle w:val="Normal"/></w:pPr>
<w:r><w:t xml:space="preserve">wholly farcical, Le nez d&apos;un notaire (1862); Le roi des</w:t></w:r>
</w:p>
<w:p>
<w:pPr><w:pStyle w:val="Normal"/></w:pPr>
<w:r><w:t xml:space="preserve">montagnes (1856); L&apos;homme a l&apos;oreille cassee (1862);</w:t></w:r>
</w:p>
<w:p>
<w:pPr><w:pStyle w:val="Normal"/></w:pPr>
<w:r><w:t xml:space="preserve">Trente et quarante (1858); Le cas de M. Guerin (1862).</w:t></w:r>
</w:p>
<w:p>
<w:pPr><w:pStyle w:val="Normal"/></w:pPr>
<w:r><w:t xml:space="preserve">Here his most genuine wit, his sprightliness, his vivacity,</w:t></w:r>
</w:p>
<w:p>
<w:pPr><w:pStyle w:val="Normal"/></w:pPr>
<w:r><w:t xml:space="preserve">the fancy that was in him, have free play. ``You will never</w:t></w:r>
</w:p>
<w:p>
<w:pPr><w:pStyle w:val="Normal"/></w:pPr>
<w:r><w:t xml:space="preserve">be more than a little Voltaire,&apos;&apos; said one of his masters when</w:t></w:r>
</w:p>
<w:p>
<w:pPr><w:pStyle w:val="Normal"/></w:pPr>
<w:r><w:t xml:space="preserve">he was a lad at school.  It was a true prophecy. (F. T. M.)</w:t></w:r>
</w:p>
<w:p>
<w:pPr><w:pStyle w:val="Normal"/></w:pPr>
<w:r><w:t xml:space="preserve">ABRABANEL, ISAAC, called also ABRAVANEL, ABARBANEL</w:t></w:r>
</w:p>
<w:p>
<w:pPr><w:pStyle w:val="Normal"/></w:pPr>
<w:r><w:t xml:space="preserve">(1437-1508), Jewish statesman, philosopher, theologian and</w:t></w:r>
</w:p>
<w:p>
<w:pPr><w:pStyle w:val="Normal"/></w:pPr>
<w:r><w:t xml:space="preserve">commentator, was born at Lisbon of an ancient family which</w:t></w:r>
</w:p>
<w:p>
<w:pPr><w:pStyle w:val="Normal"/></w:pPr>
<w:r><w:t xml:space="preserve">claimed descent from the royal house of David.  Like many of</w:t></w:r>
</w:p>
<w:p>
<w:pPr><w:pStyle w:val="Normal"/></w:pPr>
<w:r><w:t xml:space="preserve">the Spanish Jews he united scholarly tastes with political</w:t></w:r>
</w:p>
<w:p>
<w:pPr><w:pStyle w:val="Normal"/></w:pPr>
<w:r><w:t xml:space="preserve">ability He held a high place in the favour of King Alphonso</w:t></w:r>
</w:p>
<w:p>
<w:pPr><w:pStyle w:val="Normal"/></w:pPr>
<w:r><w:t xml:space="preserve">V., who entrusted him with the management of important state</w:t></w:r>
</w:p>
<w:p>
<w:pPr><w:pStyle w:val="Normal"/></w:pPr>
<w:r><w:t xml:space="preserve">affairs.  On the death of Alphonso in 1481, his counsellors</w:t></w:r>
</w:p>
<w:p>
<w:pPr><w:pStyle w:val="Normal"/></w:pPr>
<w:r><w:t xml:space="preserve">and favourites were harshly treated by his successor John,</w:t></w:r>
</w:p>
<w:p>
<w:pPr><w:pStyle w:val="Normal"/></w:pPr>
<w:r><w:t xml:space="preserve">and Abrabanel was compelled to flee to Spain, where he held</w:t></w:r>
</w:p>
<w:p>
<w:pPr><w:pStyle w:val="Normal"/></w:pPr>
<w:r><w:t xml:space="preserve">for eight years (14841492) the post of a minister of state</w:t></w:r>
</w:p>
<w:p>
<w:pPr><w:pStyle w:val="Normal"/></w:pPr>
<w:r><w:t xml:space="preserve">under Ferdinand and Isabella.  When the Jews were banished</w:t></w:r>
</w:p>
<w:p>
<w:pPr><w:pStyle w:val="Normal"/></w:pPr>
<w:r><w:t xml:space="preserve">from Spain in 1492, no exception was made in Abrabanel&apos;s</w:t></w:r>
</w:p>
<w:p>
<w:pPr><w:pStyle w:val="Normal"/></w:pPr>
<w:r><w:t xml:space="preserve">favour.  He afterwards resided at Naples, Corfu and Monopoli,</w:t></w:r>
</w:p>
<w:p>
<w:pPr><w:pStyle w:val="Normal"/></w:pPr>
<w:r><w:t xml:space="preserve">and in 1503 removed to Venice, where he held office as a</w:t></w:r>
</w:p>
<w:p>
<w:pPr><w:pStyle w:val="Normal"/></w:pPr>
<w:r><w:t xml:space="preserve">minister of state till his death in 1508.  His repute as</w:t></w:r>
</w:p>
<w:p>
<w:pPr><w:pStyle w:val="Normal"/></w:pPr>
<w:r><w:t xml:space="preserve">a commentator on the Scriptures is still high; in the 17th</w:t></w:r>
</w:p>
<w:p>
<w:pPr><w:pStyle w:val="Normal"/></w:pPr>
<w:r><w:t xml:space="preserve">and 18th centuries he was much read by Christians such as</w:t></w:r>
</w:p>
<w:p>
<w:pPr><w:pStyle w:val="Normal"/></w:pPr>
<w:r><w:t xml:space="preserve">Buxtorf.  Abrabanel often quotes Christian authorities,</w:t></w:r>
</w:p>
<w:p>
<w:pPr><w:pStyle w:val="Normal"/></w:pPr>
<w:r><w:t xml:space="preserve">though he opposed Christian exegesis of Messianic passages.</w:t></w:r>
</w:p>
<w:p>
<w:pPr><w:pStyle w:val="Normal"/></w:pPr>
<w:r><w:t xml:space="preserve">He was one of the first to see that for Biblical exegesis it</w:t></w:r>
</w:p>
<w:p>
<w:pPr><w:pStyle w:val="Normal"/></w:pPr>
<w:r><w:t xml:space="preserve">was necessary to reconstruct the social environment of olden</w:t></w:r>
</w:p>
<w:p>
<w:pPr><w:pStyle w:val="Normal"/></w:pPr>
<w:r><w:t xml:space="preserve">times, and he skilfully applied his practical knowledge of</w:t></w:r>
</w:p>
<w:p>
<w:pPr><w:pStyle w:val="Normal"/></w:pPr>
<w:r><w:t xml:space="preserve">statecraft to the elucidation of the books of Samuel and Kings.</w:t></w:r>
</w:p>
<w:p>
<w:pPr><w:pStyle w:val="Normal"/></w:pPr>
<w:r><w:t xml:space="preserve">ABRACADABRA, a word analogous to Abraxas (q.v.), used as</w:t></w:r>
</w:p>
<w:p>
<w:pPr><w:pStyle w:val="Normal"/></w:pPr>
<w:r><w:t xml:space="preserve">a magical formula by the Gnostics of the sect of Basilides</w:t></w:r>
</w:p>
<w:p>
<w:pPr><w:pStyle w:val="Normal"/></w:pPr>
<w:r><w:t xml:space="preserve">in invoking the aid of beneficent spirits against disease and</w:t></w:r>
</w:p>
<w:p>
<w:pPr><w:pStyle w:val="Normal"/></w:pPr>
<w:r><w:t xml:space="preserve">misfortune.  It is found on Abraxas stones which were worn as</w:t></w:r>
</w:p>
<w:p>
<w:pPr><w:pStyle w:val="Normal"/></w:pPr>
<w:r><w:t xml:space="preserve">amulets.  Subsequently its use spread beyond the Gnostics,</w:t></w:r>
</w:p>
<w:p>
<w:pPr><w:pStyle w:val="Normal"/></w:pPr>
<w:r><w:t xml:space="preserve">and in modern times it is applied contemptuously (e g. by</w:t></w:r>
</w:p>
<w:p>
<w:pPr><w:pStyle w:val="Normal"/></w:pPr>
<w:r><w:t xml:space="preserve">the early opponents of the evolution theory) to a conception</w:t></w:r>
</w:p>
<w:p>
<w:pPr><w:pStyle w:val="Normal"/></w:pPr>
<w:r><w:t xml:space="preserve">or hypothesis which purports to be a simple solution of</w:t></w:r>
</w:p>
<w:p>
<w:pPr><w:pStyle w:val="Normal"/></w:pPr>
<w:r><w:t xml:space="preserve">apparently insoluble phenomena.  The Gnostic physician Serenus</w:t></w:r>
</w:p>
<w:p>
<w:pPr><w:pStyle w:val="Normal"/></w:pPr>
<w:r><w:t xml:space="preserve">Sammonicus gave precise instructions as to its mystical use</w:t></w:r>
</w:p>
<w:p>
<w:pPr><w:pStyle w:val="Normal"/></w:pPr>
<w:r><w:t xml:space="preserve">in averting or curing agues and fevers generally.  The paper</w:t></w:r>
</w:p>
<w:p>
<w:pPr><w:pStyle w:val="Normal"/></w:pPr>
<w:r><w:t xml:space="preserve">on which the word was written had to be folded in the form</w:t></w:r>
</w:p>
<w:p>
<w:pPr><w:pStyle w:val="Normal"/></w:pPr>
<w:r><w:t xml:space="preserve">of a cross, suspended from the neck by a strip of linen so</w:t></w:r>
</w:p>
<w:p>
<w:pPr><w:pStyle w:val="Normal"/></w:pPr>
<w:r><w:t xml:space="preserve">as to rest on the pit of the stomach, worn in this way for</w:t></w:r>
</w:p>
<w:p>
<w:pPr><w:pStyle w:val="Normal"/></w:pPr>
<w:r><w:t xml:space="preserve">nine days, and then, before sunrise, cast behind the wearer</w:t></w:r>
</w:p>
<w:p>
<w:pPr><w:pStyle w:val="Normal"/></w:pPr>
<w:r><w:t xml:space="preserve">into a stream running to the east.  The letters were usually</w:t></w:r>
</w:p>
<w:p>
<w:pPr><w:pStyle w:val="Normal"/></w:pPr>
<w:r><w:t xml:space="preserve">arranged as a triangle in one of the following ways:--</w:t></w:r>
</w:p>
<w:p>
<w:pPr><w:pStyle w:val="Normal"/></w:pPr>
<w:r><w:t xml:space="preserve">ABRACADABRA ABRACADABRA</w:t></w:r>
</w:p>
<w:p>
<w:pPr><w:pStyle w:val="Normal"/></w:pPr>
<w:r><w:t xml:space="preserve">ABRACADABR BRACADABR</w:t></w:r>
</w:p>
<w:p>
<w:pPr><w:pStyle w:val="Normal"/></w:pPr>
<w:r><w:t xml:space="preserve">ABRACADAB RACADAB</w:t></w:r>
</w:p>
<w:p>
<w:pPr><w:pStyle w:val="Normal"/></w:pPr>
<w:r><w:t xml:space="preserve">ABRACADA ACADA</w:t></w:r>
</w:p>
<w:p>
<w:pPr><w:pStyle w:val="Normal"/></w:pPr>
<w:r><w:t xml:space="preserve">ABRACAD CAD</w:t></w:r>
</w:p>
<w:p>
<w:pPr><w:pStyle w:val="Normal"/></w:pPr>
<w:r><w:t xml:space="preserve">ABRACA A</w:t></w:r>
</w:p>
<w:p>
<w:pPr><w:pStyle w:val="Normal"/></w:pPr>
<w:r><w:t xml:space="preserve">ABRAC</w:t></w:r>
</w:p>
<w:p>
<w:pPr><w:pStyle w:val="Normal"/></w:pPr>
<w:r><w:t xml:space="preserve">ABRA</w:t></w:r>
</w:p>
<w:p>
<w:pPr><w:pStyle w:val="Normal"/></w:pPr>
<w:r><w:t xml:space="preserve">ABR.</w:t></w:r>
</w:p>
<w:p>
<w:pPr><w:pStyle w:val="Normal"/></w:pPr>
<w:r><w:t xml:space="preserve">AB</w:t></w:r>
</w:p>
<w:p>
<w:pPr><w:pStyle w:val="Normal"/></w:pPr>
<w:r><w:t xml:space="preserve">A</w:t></w:r>
</w:p>
<w:p>
<w:pPr><w:pStyle w:val="Normal"/></w:pPr>
<w:r><w:t xml:space="preserve">ABRAHAM, or ABRAM (Hebrew for ``father is high&apos;&apos;), the</w:t></w:r>
</w:p>
<w:p>
<w:pPr><w:pStyle w:val="Normal"/></w:pPr>
<w:r><w:t xml:space="preserve">ancestor of the Israelites, the first of the great Biblical</w:t></w:r>
</w:p>
<w:p>
<w:pPr><w:pStyle w:val="Normal"/></w:pPr>
<w:r><w:t xml:space="preserve">patriarchs.  His life as narrated in the book of Genesis</w:t></w:r>
</w:p>
<w:p>
<w:pPr><w:pStyle w:val="Normal"/></w:pPr>
<w:r><w:t xml:space="preserve">reflects the traditions of different ages.  It is the latest</w:t></w:r>
</w:p>
<w:p>
<w:pPr><w:pStyle w:val="Normal"/></w:pPr>
<w:r><w:t xml:space="preserve">writer (P) who mentions Abram (the original form of the name),</w:t></w:r>
</w:p>
<w:p>
<w:pPr><w:pStyle w:val="Normal"/></w:pPr>
<w:r><w:t xml:space="preserve">Nahor and Haran, sons of Terah, at the close of a genealogy</w:t></w:r>
</w:p>
<w:p>
<w:pPr><w:pStyle w:val="Normal"/></w:pPr>
<w:r><w:t xml:space="preserve">of the sons of Shem, which includes among its members Eber</w:t></w:r>
</w:p>
<w:p>
<w:pPr><w:pStyle w:val="Normal"/></w:pPr>
<w:r><w:t xml:space="preserve">the eponym of the Hebrews.  Terah is said to have come from</w:t></w:r>
</w:p>
<w:p>
<w:pPr><w:pStyle w:val="Normal"/></w:pPr>
<w:r><w:t xml:space="preserve">Ur of the Chaldees, usually identified with Mukayyar in south</w:t></w:r>
</w:p>
<w:p>
<w:pPr><w:pStyle w:val="Normal"/></w:pPr>
<w:r><w:t xml:space="preserve">Babylonia.  He migrated to Haran1 in Mesopotamia, apparently</w:t></w:r>
</w:p>
<w:p>
<w:pPr><w:pStyle w:val="Normal"/></w:pPr>
<w:r><w:t xml:space="preserve">the classical Carrhae, on a branch of the Habor.  Thence,</w:t></w:r>
</w:p>
<w:p>
<w:pPr><w:pStyle w:val="Normal"/></w:pPr>
<w:r><w:t xml:space="preserve">after a short stay, Abram with his wife Sarai, and Lot</w:t></w:r>
</w:p>
<w:p>
<w:pPr><w:pStyle w:val="Normal"/></w:pPr>
<w:r><w:t xml:space="preserve">the son of Haran, and all their followers, departed for</w:t></w:r>
</w:p>
<w:p>
<w:pPr><w:pStyle w:val="Normal"/></w:pPr>
<w:r><w:t xml:space="preserve">Canaan.  The oldest tradition does not know of this twofold</w:t></w:r>
</w:p>
<w:p>
<w:pPr><w:pStyle w:val="Normal"/></w:pPr>
<w:r><w:t xml:space="preserve">move, and seems to locate Abram&apos;s birthplace and the homes</w:t></w:r>
</w:p>
<w:p>
<w:pPr><w:pStyle w:val="Normal"/></w:pPr>
<w:r><w:t xml:space="preserve">of his kindred at Haran (Gen. xxiv. 4, 7, xxvii. 43). At</w:t></w:r>
</w:p>
<w:p>
<w:pPr><w:pStyle w:val="Normal"/></w:pPr>
<w:r><w:t xml:space="preserve">the divine command, and encouraged by the promise that Yahweh</w:t></w:r>
</w:p>
<w:p>
<w:pPr><w:pStyle w:val="Normal"/></w:pPr>
<w:r><w:t xml:space="preserve">would make of him, although hitherto childless, a great</w:t></w:r>
</w:p>
<w:p>
<w:pPr><w:pStyle w:val="Normal"/></w:pPr>
<w:r><w:t xml:space="preserve">nation, he journeyed down to Shechem, and at the sacred tree</w:t></w:r>
</w:p>
<w:p>
<w:pPr><w:pStyle w:val="Normal"/></w:pPr>
<w:r><w:t xml:space="preserve">(cf. xxxv. 4, Josh. xxiv. 26, Judg. ix. 6) received a new</w:t></w:r>
</w:p>
<w:p>
<w:pPr><w:pStyle w:val="Normal"/></w:pPr>
<w:r><w:t xml:space="preserve">promise that the land would be given unto his seed.  Having</w:t></w:r>
</w:p>
<w:p>
<w:pPr><w:pStyle w:val="Normal"/></w:pPr>
<w:r><w:t xml:space="preserve">built an altar to commemorate the theophany, he removed to a</w:t></w:r>
</w:p>
<w:p>
<w:pPr><w:pStyle w:val="Normal"/></w:pPr>
<w:r><w:t xml:space="preserve">spot between Bethel and Ai, where he built another altar and</w:t></w:r>
</w:p>
<w:p>
<w:pPr><w:pStyle w:val="Normal"/></w:pPr>
<w:r><w:t xml:space="preserve">called upon (i.e. invoked) the name of Yahweh (Gen. xii.</w:t></w:r>
</w:p>
<w:p>
<w:pPr><w:pStyle w:val="Normal"/></w:pPr>
<w:r><w:t xml:space="preserve">1-9).  Here he dwelt for some time, until strife arose between</w:t></w:r>
</w:p>
<w:p>
<w:pPr><w:pStyle w:val="Normal"/></w:pPr>
<w:r><w:t xml:space="preserve">his herdsmen and those of Lot. Abram thereupon proposed to Lot</w:t></w:r>
</w:p>
<w:p>
<w:pPr><w:pStyle w:val="Normal"/></w:pPr>
<w:r><w:t xml:space="preserve">that they should separate, and allowed his nephew the first</w:t></w:r>
</w:p>
<w:p>
<w:pPr><w:pStyle w:val="Normal"/></w:pPr>
<w:r><w:t xml:space="preserve">choice.  Lot preferred the fertile land lying east of the</w:t></w:r>
</w:p>
<w:p>
<w:pPr><w:pStyle w:val="Normal"/></w:pPr>
<w:r><w:t xml:space="preserve">Jordan, whilst Abram, after receiving another promise from</w:t></w:r>
</w:p>
<w:p>
<w:pPr><w:pStyle w:val="Normal"/></w:pPr>
<w:r><w:t xml:space="preserve">Yahweh, moved down to the oaks of Mamre in Hebron and built an</w:t></w:r>
</w:p>
<w:p>
<w:pPr><w:pStyle w:val="Normal"/></w:pPr>
<w:r><w:t xml:space="preserve">altar.  In the subsequent history of Lot and the destruction</w:t></w:r>
</w:p>
<w:p>
<w:pPr><w:pStyle w:val="Normal"/></w:pPr>
<w:r><w:t xml:space="preserve">of Sodom and Gomorrah, Abram appears prominently in a</w:t></w:r>
</w:p>
<w:p>
<w:pPr><w:pStyle w:val="Normal"/></w:pPr>
<w:r><w:t xml:space="preserve">fine passage where he intercedes with Yahweh on behalf of</w:t></w:r>
</w:p>
<w:p>
<w:pPr><w:pStyle w:val="Normal"/></w:pPr>
<w:r><w:t xml:space="preserve">Sodom, and is promised that if ten righteous men can be</w:t></w:r>
</w:p>
<w:p>
<w:pPr><w:pStyle w:val="Normal"/></w:pPr>
<w:r><w:t xml:space="preserve">found therein the city shall be preserved (xviii. 16-33).</w:t></w:r>
</w:p>
<w:p>
<w:pPr><w:pStyle w:val="Normal"/></w:pPr>
<w:r><w:t xml:space="preserve">A peculiar passage, more valuable for the light it throws upon</w:t></w:r>
</w:p>
<w:p>
<w:pPr><w:pStyle w:val="Normal"/></w:pPr>
<w:r><w:t xml:space="preserve">primitive ideas than for its contribution to the history of</w:t></w:r>
</w:p>
<w:p>
<w:pPr><w:pStyle w:val="Normal"/></w:pPr>
<w:r><w:t xml:space="preserve">Abram, narrates the patriarch&apos;s visit to Egypt.  Driven by a</w:t></w:r>
</w:p>
<w:p>
<w:pPr><w:pStyle w:val="Normal"/></w:pPr>
<w:r><w:t xml:space="preserve">famine to take refuge in Egypt (cf. xxvi. 11 xli. 57, xlii.</w:t></w:r>
</w:p>
<w:p>
<w:pPr><w:pStyle w:val="Normal"/></w:pPr>
<w:r><w:t xml:space="preserve">1), he feared lest his wife&apos;s beauty should arouse the evil</w:t></w:r>
</w:p>
<w:p>
<w:pPr><w:pStyle w:val="Normal"/></w:pPr>
<w:r><w:t xml:space="preserve">designs of the Egyptians and thus endanger his own safety,</w:t></w:r>
</w:p>
<w:p>
<w:pPr><w:pStyle w:val="Normal"/></w:pPr>
<w:r><w:t xml:space="preserve">and alleged that Sarai was his sister.  This did not save</w:t></w:r>
</w:p>
<w:p>
<w:pPr><w:pStyle w:val="Normal"/></w:pPr>
<w:r><w:t xml:space="preserve">her from the Pharaoh, who took her into the royal harem and</w:t></w:r>
</w:p>
<w:p>
<w:pPr><w:pStyle w:val="Normal"/></w:pPr>
<w:r><w:t xml:space="preserve">enriched Abram with herds and servants.  But when Yahweh</w:t></w:r>
</w:p>
<w:p>
<w:pPr><w:pStyle w:val="Normal"/></w:pPr>
<w:r><w:t xml:space="preserve">``plagued Pharaoh and his house with great plagues&apos;&apos; suspicion</w:t></w:r>
</w:p>
<w:p>
<w:pPr><w:pStyle w:val="Normal"/></w:pPr>
<w:r><w:t xml:space="preserve">was aroused, and the Pharaoh rebuked the patriarch for his</w:t></w:r>
</w:p>
<w:p>
<w:pPr><w:pStyle w:val="Normal"/></w:pPr>
<w:r><w:t xml:space="preserve">deceit and sent him away under an escort (xii. 10-xiii.</w:t></w:r>
</w:p>
<w:p>
<w:pPr><w:pStyle w:val="Normal"/></w:pPr>
<w:r><w:t xml:space="preserve">1). This story of Abram and his increased wealth (xiii. 2)</w:t></w:r>
</w:p>
<w:p>
<w:pPr><w:pStyle w:val="Normal"/></w:pPr>
<w:r><w:t xml:space="preserve">receives no comment at the hands of the narrator, and in its</w:t></w:r>
</w:p>
<w:p>
<w:pPr><w:pStyle w:val="Normal"/></w:pPr>
<w:r><w:t xml:space="preserve">present position would make Sarai over sixty years of age</w:t></w:r>
</w:p>
<w:p>
<w:pPr><w:pStyle w:val="Normal"/></w:pPr>
<w:r><w:t xml:space="preserve">(xii. 4, xvii. 1, 17). A similar experience is said to have</w:t></w:r>
</w:p>
<w:p>
<w:pPr><w:pStyle w:val="Normal"/></w:pPr>
<w:r><w:t xml:space="preserve">happened to Abraham and Sarah at Gerar with the Philistine</w:t></w:r>
</w:p>
<w:p>
<w:pPr><w:pStyle w:val="Normal"/></w:pPr>
<w:r><w:t xml:space="preserve">king Abimelech (xx. E), but the tone of the narrative is</w:t></w:r>
</w:p>
<w:p>
<w:pPr><w:pStyle w:val="Normal"/></w:pPr>
<w:r><w:t xml:space="preserve">noticeably more advanced, and the presents which the patriarch</w:t></w:r>
</w:p>
<w:p>
<w:pPr><w:pStyle w:val="Normal"/></w:pPr>
<w:r><w:t xml:space="preserve">receives are compensation for the king&apos;s offence.  Here,</w:t></w:r>
</w:p>
<w:p>
<w:pPr><w:pStyle w:val="Normal"/></w:pPr>
<w:r><w:t xml:space="preserve">however, Sarah has reached her ninetieth year (xvii. 17).</w:t></w:r>
</w:p>
<w:p>
<w:pPr><w:pStyle w:val="Normal"/></w:pPr>
<w:r><w:t xml:space="preserve">(The dates are due to the post-exilic framework in which</w:t></w:r>
</w:p>
<w:p>
<w:pPr><w:pStyle w:val="Normal"/></w:pPr>
<w:r><w:t xml:space="preserve">the stories are inserted.) Still another episode of the same</w:t></w:r>
</w:p>
<w:p>
<w:pPr><w:pStyle w:val="Normal"/></w:pPr>
<w:r><w:t xml:space="preserve">nature is re-corded of Isaac and Rebekah at Gerar, also with</w:t></w:r>
</w:p>
<w:p>
<w:pPr><w:pStyle w:val="Normal"/></w:pPr>
<w:r><w:t xml:space="preserve">Abimelech.  Ethically it is the loftiest, and Isaac obtains</w:t></w:r>
</w:p>
<w:p>
<w:pPr><w:pStyle w:val="Normal"/></w:pPr>
<w:r><w:t xml:space="preserve">his wealth simply through his successful farming.  Arising out</w:t></w:r>
</w:p>
<w:p>
<w:pPr><w:pStyle w:val="Normal"/></w:pPr>
<w:r><w:t xml:space="preserve">of the incident is an account of a covenant between Abimelech</w:t></w:r>
</w:p>
<w:p>
<w:pPr><w:pStyle w:val="Normal"/></w:pPr>
<w:r><w:t xml:space="preserve">and Isaac (xxvi. 16-33, J), a duplicate of which is placed in</w:t></w:r>
</w:p>
<w:p>
<w:pPr><w:pStyle w:val="Normal"/></w:pPr>
<w:r><w:t xml:space="preserve">the time of Abraham (xxi. 22-34, J and E). Beersheba, which</w:t></w:r>
</w:p>
<w:p>
<w:pPr><w:pStyle w:val="Normal"/></w:pPr>
<w:r><w:t xml:space="preserve">figures in both, is celebrated by the planting of a sacred</w:t></w:r>
</w:p>
<w:p>
<w:pPr><w:pStyle w:val="Normal"/></w:pPr>
<w:r><w:t xml:space="preserve">tree and (like Bethel) by the invocation of the name of</w:t></w:r>
</w:p>
<w:p>
<w:pPr><w:pStyle w:val="Normal"/></w:pPr>
<w:r><w:t xml:space="preserve">Yahweh.  This district is the scene of the birth of Ishmael</w:t></w:r>
</w:p>
<w:p>
<w:pPr><w:pStyle w:val="Normal"/></w:pPr>
<w:r><w:t xml:space="preserve">and Isaac.  As Sarai was barren (cf. xi. 30)2 the promise</w:t></w:r>
</w:p>
<w:p>
<w:pPr><w:pStyle w:val="Normal"/></w:pPr>
<w:r><w:t xml:space="preserve">that his seed should possess the land seemed incapable of</w:t></w:r>
</w:p>
<w:p>
<w:pPr><w:pStyle w:val="Normal"/></w:pPr>
<w:r><w:t xml:space="preserve">fulfilment.  According to one rather obscure narrative,</w:t></w:r>
</w:p>
<w:p>
<w:pPr><w:pStyle w:val="Normal"/></w:pPr>
<w:r><w:t xml:space="preserve">Abram&apos;s sole heir was the servant, who was over his household,</w:t></w:r>
</w:p>
<w:p>
<w:pPr><w:pStyle w:val="Normal"/></w:pPr>
<w:r><w:t xml:space="preserve">apparently a certain Eliezer of Damascus3 (xv. 2, the text is</w:t></w:r>
</w:p>
<w:p>
<w:pPr><w:pStyle w:val="Normal"/></w:pPr>
<w:r><w:t xml:space="preserve">corrupt).  He is now promised as heir one of his own flesh,</w:t></w:r>
</w:p>
<w:p>
<w:pPr><w:pStyle w:val="Normal"/></w:pPr>
<w:r><w:t xml:space="preserve">and a remarkable and solemn passage records bow the promise</w:t></w:r>
</w:p>
<w:p>
<w:pPr><w:pStyle w:val="Normal"/></w:pPr>
<w:r><w:t xml:space="preserve">was ratified by a covenant.  The description is particularly</w:t></w:r>
</w:p>
<w:p>
<w:pPr><w:pStyle w:val="Normal"/></w:pPr>
<w:r><w:t xml:space="preserve">noteworthy for the sudden appearance of birds of prey,</w:t></w:r>
</w:p>
<w:p>
<w:pPr><w:pStyle w:val="Normal"/></w:pPr>
<w:r><w:t xml:space="preserve">which attempted to carry off the victims of the sacrificial</w:t></w:r>
</w:p>
<w:p>
<w:pPr><w:pStyle w:val="Normal"/></w:pPr>
<w:r><w:t xml:space="preserve">covenant.  The interpretation of the evil omen is explained</w:t></w:r>
</w:p>
<w:p>
<w:pPr><w:pStyle w:val="Normal"/></w:pPr>
<w:r><w:t xml:space="preserve">by an allusion to the bondage of the Israelites in Egypt</w:t></w:r>
</w:p>
<w:p>
<w:pPr><w:pStyle w:val="Normal"/></w:pPr>
<w:r><w:t xml:space="preserve">and their return in the fourth generation (xv. 16; contrast</w:t></w:r>
</w:p>
<w:p>
<w:pPr><w:pStyle w:val="Normal"/></w:pPr>
<w:r><w:t xml:space="preserve">v. 13, after four hundred years; the chapter is extremely</w:t></w:r>
</w:p>
<w:p>
<w:pPr><w:pStyle w:val="Normal"/></w:pPr>
<w:r><w:t xml:space="preserve">intricate and has the appearance of being of secondary</w:t></w:r>
</w:p>
<w:p>
<w:pPr><w:pStyle w:val="Normal"/></w:pPr>
<w:r><w:t xml:space="preserve">origin).  The main narrative now relates how Sarai, in</w:t></w:r>
</w:p>
<w:p>
<w:pPr><w:pStyle w:val="Normal"/></w:pPr>
<w:r><w:t xml:space="preserve">accordance with custom, gave to Abram her Egyptian handmaid</w:t></w:r>
</w:p>
<w:p>
<w:pPr><w:pStyle w:val="Normal"/></w:pPr>
<w:r><w:t xml:space="preserve">Hagar, who, when she found she was with child, presumed upon</w:t></w:r>
</w:p>
<w:p>
<w:pPr><w:pStyle w:val="Normal"/></w:pPr>
<w:r><w:t xml:space="preserve">her position to the extent that Sarai, unable to endure the</w:t></w:r>
</w:p>
<w:p>
<w:pPr><w:pStyle w:val="Normal"/></w:pPr>
<w:r><w:t xml:space="preserve">reproach of barrenness (cf. the story of Hannah, 1 Sam. i.</w:t></w:r>
</w:p>
<w:p>
<w:pPr><w:pStyle w:val="Normal"/></w:pPr>
<w:r><w:t xml:space="preserve">6), dealt harshly with her and forced her to flee (xvi.</w:t></w:r>
</w:p>
<w:p>
<w:pPr><w:pStyle w:val="Normal"/></w:pPr>
<w:r><w:t xml:space="preserve">1-14, J; on the details see ISHMAEL.) Another tradition</w:t></w:r>
</w:p>
<w:p>
<w:pPr><w:pStyle w:val="Normal"/></w:pPr>
<w:r><w:t xml:space="preserve">places the expulsion of Hagar after the birth of Isaac.</w:t></w:r>
</w:p>
<w:p>
<w:pPr><w:pStyle w:val="Normal"/></w:pPr>
<w:r><w:t xml:space="preserve">It was thirteen years after the birth of Ishmael, according</w:t></w:r>
</w:p>
<w:p>
<w:pPr><w:pStyle w:val="Normal"/></w:pPr>
<w:r><w:t xml:space="preserve">to the latest narratives, that God appeared unto Abram with</w:t></w:r>
</w:p>
<w:p>
<w:pPr><w:pStyle w:val="Normal"/></w:pPr>
<w:r><w:t xml:space="preserve">a renewed promise that his posterity should inhabit the</w:t></w:r>
</w:p>
<w:p>
<w:pPr><w:pStyle w:val="Normal"/></w:pPr>
<w:r><w:t xml:space="preserve">land.  To mark the solemnity of the occasion, the patriarch&apos;s</w:t></w:r>
</w:p>
<w:p>
<w:pPr><w:pStyle w:val="Normal"/></w:pPr>
<w:r><w:t xml:space="preserve">name was changed to Abraham, and that of his wife to Sarah.4</w:t></w:r>
</w:p>
<w:p>
<w:pPr><w:pStyle w:val="Normal"/></w:pPr>
<w:r><w:t xml:space="preserve">A covenant was concluded with him for all time, and as a sign</w:t></w:r>
</w:p>
<w:p>
<w:pPr><w:pStyle w:val="Normal"/></w:pPr>
<w:r><w:t xml:space="preserve">thereof the rite of circumcision was instituted (xvii.  P).</w:t></w:r>
</w:p>
<w:p>
<w:pPr><w:pStyle w:val="Normal"/></w:pPr>
<w:r><w:t xml:space="preserve">The promise of a son to Sarah made Abraham ``laugh&apos;&apos;, a punning</w:t></w:r>
</w:p>
<w:p>
<w:pPr><w:pStyle w:val="Normal"/></w:pPr>
<w:r><w:t xml:space="preserve">allusion to the name Isaac (q.v.) which appears again in other</w:t></w:r>
</w:p>
<w:p>
<w:pPr><w:pStyle w:val="Normal"/></w:pPr>
<w:r><w:t xml:space="preserve">forms.  Thus, it is Sarah herself who ``laughs&apos;&apos; at the</w:t></w:r>
</w:p>
<w:p>
<w:pPr><w:pStyle w:val="Normal"/></w:pPr>
<w:r><w:t xml:space="preserve">idea, when Yahweh appears to Abraham at Mamre (xviii. 1-15,</w:t></w:r>
</w:p>
<w:p>
<w:pPr><w:pStyle w:val="Normal"/></w:pPr>
<w:r><w:t xml:space="preserve">J), or who, when the child is horn cries ``God hath made</w:t></w:r>
</w:p>
<w:p>
<w:pPr><w:pStyle w:val="Normal"/></w:pPr>
<w:r><w:t xml:space="preserve">me laugh; every one that heareth will laugh at me&apos;&apos; (xxi.</w:t></w:r>
</w:p>
<w:p>
<w:pPr><w:pStyle w:val="Normal"/></w:pPr>
<w:r><w:t xml:space="preserve">6, E). Finally, there is yet another story which attributes</w:t></w:r>
</w:p>
<w:p>
<w:pPr><w:pStyle w:val="Normal"/></w:pPr>
<w:r><w:t xml:space="preserve">the flight of Hagar and Ishmael to Sarah&apos;s jealousy at the</w:t></w:r>
</w:p>
<w:p>
<w:pPr><w:pStyle w:val="Normal"/></w:pPr>
<w:r><w:t xml:space="preserve">sight of Ishmael&apos;s ``mocking&apos;&apos; (rather dancing or playing, the</w:t></w:r>
</w:p>
<w:p>
<w:pPr><w:pStyle w:val="Normal"/></w:pPr>
<w:r><w:t xml:space="preserve">intensive form of the verb ``to laugh&apos;&apos;) on the feast day when</w:t></w:r>
</w:p>
<w:p>
<w:pPr><w:pStyle w:val="Normal"/></w:pPr>
<w:r><w:t xml:space="preserve">Isaac was weaned (xxi. 8 sqq.).  But this last story is clearly</w:t></w:r>
</w:p>
<w:p>
<w:pPr><w:pStyle w:val="Normal"/></w:pPr>
<w:r><w:t xml:space="preserve">out of place, since a child who was then fourteen years old</w:t></w:r>
</w:p>
<w:p>
<w:pPr><w:pStyle w:val="Normal"/></w:pPr>
<w:r><w:t xml:space="preserve">(cf. xvii. 24, xxi. 5) could scarcely be described as a weak</w:t></w:r>
</w:p>
<w:p>
<w:pPr><w:pStyle w:val="Normal"/></w:pPr>
<w:r><w:t xml:space="preserve">babe who had to be carried (xxi. 14; see the commentaries).</w:t></w:r>
</w:p>
<w:p>
<w:pPr><w:pStyle w:val="Normal"/></w:pPr>
<w:r><w:t xml:space="preserve">Abraham was now commanded by God to offer up Isaac in the land of</w:t></w:r>
</w:p>
<w:p>
<w:pPr><w:pStyle w:val="Normal"/></w:pPr>
<w:r><w:t xml:space="preserve">Moriah.  Proceeding to obey, he was prevented by an angel as</w:t></w:r>
</w:p>
<w:p>
<w:pPr><w:pStyle w:val="Normal"/></w:pPr>
<w:r><w:t xml:space="preserve">he was about to sacrifice his son, and slew a ram which he</w:t></w:r>
</w:p>
<w:p>
<w:pPr><w:pStyle w:val="Normal"/></w:pPr>
<w:r><w:t xml:space="preserve">found on the spot.  As a reward for his obedience he received</w:t></w:r>
</w:p>
<w:p>
<w:pPr><w:pStyle w:val="Normal"/></w:pPr>
<w:r><w:t xml:space="preserve">another promise of a numerous seed and abundant prosperity</w:t></w:r>
</w:p>
<w:p>
<w:pPr><w:pStyle w:val="Normal"/></w:pPr>
<w:r><w:t xml:space="preserve">(xxii.  E). Thence he returned to Beersheba.  The story is</w:t></w:r>
</w:p>
<w:p>
<w:pPr><w:pStyle w:val="Normal"/></w:pPr>
<w:r><w:t xml:space="preserve">one of the few told by E, and significantly teaches that human</w:t></w:r>
</w:p>
<w:p>
<w:pPr><w:pStyle w:val="Normal"/></w:pPr>
<w:r><w:t xml:space="preserve">sacrifice was not required by the Almighty (cf. Mic. vi. 7</w:t></w:r>
</w:p>
<w:p>
<w:pPr><w:pStyle w:val="Normal"/></w:pPr>
<w:r><w:t xml:space="preserve">seq.).  The interest of the narrative now extends to Isaac</w:t></w:r>
</w:p>
<w:p>
<w:pPr><w:pStyle w:val="Normal"/></w:pPr>
<w:r><w:t xml:space="preserve">alone.  To his ``only son&apos;&apos; (cp. xxii. 2, 12) Abraham gave</w:t></w:r>
</w:p>
<w:p>
<w:pPr><w:pStyle w:val="Normal"/></w:pPr>
<w:r><w:t xml:space="preserve">all he had, and dismissed the sons of his concubines to the</w:t></w:r>
</w:p>
<w:p>
<w:pPr><w:pStyle w:val="Normal"/></w:pPr>
<w:r><w:t xml:space="preserve">lands outside Palestine; they were thus regarded as less</w:t></w:r>
</w:p>
<w:p>
<w:pPr><w:pStyle w:val="Normal"/></w:pPr>
<w:r><w:t xml:space="preserve">intimately related to Isaac and his descendants (xxv. 1-4,</w:t></w:r>
</w:p>
<w:p>
<w:pPr><w:pStyle w:val="Normal"/></w:pPr>
<w:r><w:t xml:space="preserve">6). The measures taken by the patriarch for the marriage</w:t></w:r>
</w:p>
<w:p>
<w:pPr><w:pStyle w:val="Normal"/></w:pPr>
<w:r><w:t xml:space="preserve">of Isaac are circumstantially described.  His head-servant</w:t></w:r>
</w:p>
<w:p>
<w:pPr><w:pStyle w:val="Normal"/></w:pPr>
<w:r><w:t xml:space="preserve">was sent to his master&apos;s country and kindred to find a</w:t></w:r>
</w:p>
<w:p>
<w:pPr><w:pStyle w:val="Normal"/></w:pPr>
<w:r><w:t xml:space="preserve">suitable bride, and the necessary preparation for the story</w:t></w:r>
</w:p>
<w:p>
<w:pPr><w:pStyle w:val="Normal"/></w:pPr>
<w:r><w:t xml:space="preserve">is contained in the description of Nahor&apos;s family (xxii.</w:t></w:r>
</w:p>
<w:p>
<w:pPr><w:pStyle w:val="Normal"/></w:pPr>
<w:r><w:t xml:space="preserve">20-24).  The picturesque account of the meeting with Rebekah</w:t></w:r>
</w:p>
<w:p>
<w:pPr><w:pStyle w:val="Normal"/></w:pPr>
<w:r><w:t xml:space="preserve">throws interesting light on oriental custom.  Marriage with</w:t></w:r>
</w:p>
<w:p>
<w:pPr><w:pStyle w:val="Normal"/></w:pPr>
<w:r><w:t xml:space="preserve">one&apos;s own folk (cf. Gen. xxvii. 46, xxix. 19; Judg. xiv. 3),</w:t></w:r>
</w:p>
<w:p>
<w:pPr><w:pStyle w:val="Normal"/></w:pPr>
<w:r><w:t xml:space="preserve">and especially with a cousin, is recommended now even as in the</w:t></w:r>
</w:p>
<w:p>
<w:pPr><w:pStyle w:val="Normal"/></w:pPr>
<w:r><w:t xml:space="preserve">past.  For its charm the story is comparable with the account</w:t></w:r>
</w:p>
<w:p>
<w:pPr><w:pStyle w:val="Normal"/></w:pPr>
<w:r><w:t xml:space="preserve">of Jacob&apos;s experiences in the same land (xxix.).  For the</w:t></w:r>
</w:p>
<w:p>
<w:pPr><w:pStyle w:val="Normal"/></w:pPr>
<w:r><w:t xml:space="preserve">completion of the history of Abraham the compiler of Genesis</w:t></w:r>
</w:p>
<w:p>
<w:pPr><w:pStyle w:val="Normal"/></w:pPr>
<w:r><w:t xml:space="preserve">has used P&apos;s narrative.  Sarah is said to have died at a good</w:t></w:r>
</w:p>
<w:p>
<w:pPr><w:pStyle w:val="Normal"/></w:pPr>
<w:r><w:t xml:space="preserve">old age, and was buried in the cave of Machpelah near Hebron,</w:t></w:r>
</w:p>
<w:p>
<w:pPr><w:pStyle w:val="Normal"/></w:pPr>
<w:r><w:t xml:space="preserve">which the patriarch had purchased, with the adjoining field,</w:t></w:r>
</w:p>
<w:p>
<w:pPr><w:pStyle w:val="Normal"/></w:pPr>
<w:r><w:t xml:space="preserve">from Ephron the Hittite (xxiii.); and here he himself was</w:t></w:r>
</w:p>
<w:p>
<w:pPr><w:pStyle w:val="Normal"/></w:pPr>
<w:r><w:t xml:space="preserve">buried.  Centuries later the tomb became a place of pilgrimage</w:t></w:r>
</w:p>
<w:p>
<w:pPr><w:pStyle w:val="Normal"/></w:pPr>
<w:r><w:t xml:space="preserve">and the traditional site is marked by a fine mosque.5</w:t></w:r>
</w:p>
<w:p>
<w:pPr><w:pStyle w:val="Normal"/></w:pPr>
<w:r><w:t xml:space="preserve">The story of Abraham is of greater value for the study of</w:t></w:r>
</w:p>
<w:p>
<w:pPr><w:pStyle w:val="Normal"/></w:pPr>
<w:r><w:t xml:space="preserve">Old Testament theology than for the history of Israel.  He</w:t></w:r>
</w:p>
<w:p>
<w:pPr><w:pStyle w:val="Normal"/></w:pPr>
<w:r><w:t xml:space="preserve">became to the Hebrews the embodiment of their ideals, and</w:t></w:r>
</w:p>
<w:p>
<w:pPr><w:pStyle w:val="Normal"/></w:pPr>
<w:r><w:t xml:space="preserve">stood at their head as the founder of the nation, the one to</w:t></w:r>
</w:p>
<w:p>
<w:pPr><w:pStyle w:val="Normal"/></w:pPr>
<w:r><w:t xml:space="preserve">whom Yahweh had manifested his love by frequent promises and</w:t></w:r>
</w:p>
<w:p>
<w:pPr><w:pStyle w:val="Normal"/></w:pPr>
<w:r><w:t xml:space="preserve">covenants.  From the time when he was bidden to leave his</w:t></w:r>
</w:p>
<w:p>
<w:pPr><w:pStyle w:val="Normal"/></w:pPr>
<w:r><w:t xml:space="preserve">country to enter the unknown land, Yahweh was ever present to</w:t></w:r>
</w:p>
<w:p>
<w:pPr><w:pStyle w:val="Normal"/></w:pPr>
<w:r><w:t xml:space="preserve">encourage him to trust in the future when his posterity should</w:t></w:r>
</w:p>
<w:p>
<w:pPr><w:pStyle w:val="Normal"/></w:pPr>
<w:r><w:t xml:space="preserve">possess the land, and so, in its bitterest hours, Israel could</w:t></w:r>
</w:p>
<w:p>
<w:pPr><w:pStyle w:val="Normal"/></w:pPr>
<w:r><w:t xml:space="preserve">turn for consolation to the promises of the past which enshrined</w:t></w:r>
</w:p>
<w:p>
<w:pPr><w:pStyle w:val="Normal"/></w:pPr>
<w:r><w:t xml:space="preserve">in Abraham its hopes for the future.  Not only is Abraham the</w:t></w:r>
</w:p>
<w:p>
<w:pPr><w:pStyle w:val="Normal"/></w:pPr>
<w:r><w:t xml:space="preserve">founder of religion, but he, of all the patriarchal figures,</w:t></w:r>
</w:p>
<w:p>
<w:pPr><w:pStyle w:val="Normal"/></w:pPr>
<w:r><w:t xml:space="preserve">stands out most prominently as the recipient of the promises</w:t></w:r>
</w:p>
<w:p>
<w:pPr><w:pStyle w:val="Normal"/></w:pPr>
<w:r><w:t xml:space="preserve">(xii. 2 seq. 7, xiii. 14-17, xv., xvii., xviii. 17-19, xxii.</w:t></w:r>
</w:p>
<w:p>
<w:pPr><w:pStyle w:val="Normal"/></w:pPr>
<w:r><w:t xml:space="preserve">17 seq.; cf. xxiv. 7), and these the apostle Paul associates</w:t></w:r>
</w:p>
<w:p>
<w:pPr><w:pStyle w:val="Normal"/></w:pPr>
<w:r><w:t xml:space="preserve">with the coming of Christ, and, adopting a characteristic</w:t></w:r>
</w:p>
<w:p>
<w:pPr><w:pStyle w:val="Normal"/></w:pPr>
<w:r><w:t xml:space="preserve">and artificial style of interpretation prevalent in his time,</w:t></w:r>
</w:p>
<w:p>
<w:pPr><w:pStyle w:val="Normal"/></w:pPr>
<w:r><w:t xml:space="preserve">endeavours to force a Messianic interpretation out of them.6</w:t></w:r>
</w:p>
<w:p>
<w:pPr><w:pStyle w:val="Normal"/></w:pPr>
<w:r><w:t xml:space="preserve">For the history of the Hebrews the life of Abraham is of the</w:t></w:r>
</w:p>
<w:p>
<w:pPr><w:pStyle w:val="Normal"/></w:pPr>
<w:r><w:t xml:space="preserve">same value as other stories of traditional ancestors.  The</w:t></w:r>
</w:p>
<w:p>
<w:pPr><w:pStyle w:val="Normal"/></w:pPr>
<w:r><w:t xml:space="preserve">narratives, viewed dispassionately, represent him as an</w:t></w:r>
</w:p>
<w:p>
<w:pPr><w:pStyle w:val="Normal"/></w:pPr>
<w:r><w:t xml:space="preserve">idealized sheikh (with one important exception, Gen. xiv.,</w:t></w:r>
</w:p>
<w:p>
<w:pPr><w:pStyle w:val="Normal"/></w:pPr>
<w:r><w:t xml:space="preserve">see below), about whose person a number of stories have</w:t></w:r>
</w:p>
<w:p>
<w:pPr><w:pStyle w:val="Normal"/></w:pPr>
<w:r><w:t xml:space="preserve">gathered.  As the father of Isaac and Ishmael, he is ultimately</w:t></w:r>
</w:p>
<w:p>
<w:pPr><w:pStyle w:val="Normal"/></w:pPr>
<w:r><w:t xml:space="preserve">the common ancestor of the Israelites and their nomadic</w:t></w:r>
</w:p>
<w:p>
<w:pPr><w:pStyle w:val="Normal"/></w:pPr>
<w:r><w:t xml:space="preserve">fierce neighbours, men roving unrestrainedly like the wild</w:t></w:r>
</w:p>
<w:p>
<w:pPr><w:pStyle w:val="Normal"/></w:pPr>
<w:r><w:t xml:space="preserve">ass, troubled by and troubling every one (xvi. 12). As the</w:t></w:r>
</w:p>
<w:p>
<w:pPr><w:pStyle w:val="Normal"/></w:pPr>
<w:r><w:t xml:space="preserve">father of Midian, Sheba and other Arabian tribes (xxv. 1-4),</w:t></w:r>
</w:p>
<w:p>
<w:pPr><w:pStyle w:val="Normal"/></w:pPr>
<w:r><w:t xml:space="preserve">it is evident that some degree of kinship was felt by the</w:t></w:r>
</w:p>
<w:p>
<w:pPr><w:pStyle w:val="Normal"/></w:pPr>
<w:r><w:t xml:space="preserve">Hebrews with the dwellers of the more distant south, and</w:t></w:r>
</w:p>
<w:p>
<w:pPr><w:pStyle w:val="Normal"/></w:pPr>
<w:r><w:t xml:space="preserve">it is characteristic of the genealogies that the mothers</w:t></w:r>
</w:p>
<w:p>
<w:pPr><w:pStyle w:val="Normal"/></w:pPr>
<w:r><w:t xml:space="preserve">(Sarah, Hagar and Keturah) are in the descending scale as</w:t></w:r>
</w:p>
<w:p>
<w:pPr><w:pStyle w:val="Normal"/></w:pPr>
<w:r><w:t xml:space="preserve">regards purity of blood.  This great ancestral figure came,</w:t></w:r>
</w:p>
<w:p>
<w:pPr><w:pStyle w:val="Normal"/></w:pPr>
<w:r><w:t xml:space="preserve">it was said, from Ur in Babylonia and Haran and thence to</w:t></w:r>
</w:p>
<w:p>
<w:pPr><w:pStyle w:val="Normal"/></w:pPr>
<w:r><w:t xml:space="preserve">Canaan.  Late tradition supposed that the migration was</w:t></w:r>
</w:p>
<w:p>
<w:pPr><w:pStyle w:val="Normal"/></w:pPr>
<w:r><w:t xml:space="preserve">to escape Babylonian idolatry (Judith v., Jubilees xii.;</w:t></w:r>
</w:p>
<w:p>
<w:pPr><w:pStyle w:val="Normal"/></w:pPr>
<w:r><w:t xml:space="preserve">cf.  Josh. xxiv. 2), and knew of Abraham&apos;s miraculous escape</w:t></w:r>
</w:p>
<w:p>
<w:pPr><w:pStyle w:val="Normal"/></w:pPr>
<w:r><w:t xml:space="preserve">from death (an obscure reference to some act of deliverance</w:t></w:r>
</w:p>
<w:p>
<w:pPr><w:pStyle w:val="Normal"/></w:pPr>
<w:r><w:t xml:space="preserve">in Is. xxix. 22). The route along the banks of the Euphrates</w:t></w:r>
</w:p>
<w:p>
<w:pPr><w:pStyle w:val="Normal"/></w:pPr>
<w:r><w:t xml:space="preserve">from south to north was so frequently taken by migrating</w:t></w:r>
</w:p>
<w:p>
<w:pPr><w:pStyle w:val="Normal"/></w:pPr>
<w:r><w:t xml:space="preserve">tribes that the tradition has nothing improbable in itself,</w:t></w:r>
</w:p>
<w:p>
<w:pPr><w:pStyle w:val="Normal"/></w:pPr>
<w:r><w:t xml:space="preserve">but the prominence given in the older narratives to the view</w:t></w:r>
</w:p>
<w:p>
<w:pPr><w:pStyle w:val="Normal"/></w:pPr>
<w:r><w:t xml:space="preserve">that Haran was the home gives this the preference.  It was</w:t></w:r>
</w:p>
<w:p>
<w:pPr><w:pStyle w:val="Normal"/></w:pPr>
<w:r><w:t xml:space="preserve">thence that Jacob, the father of the tribes of Israel, came</w:t></w:r>
</w:p>
<w:p>
<w:pPr><w:pStyle w:val="Normal"/></w:pPr>
<w:r><w:t xml:space="preserve">and the route to Shechem and Bethel is precisely the same in</w:t></w:r>
</w:p>
<w:p>
<w:pPr><w:pStyle w:val="Normal"/></w:pPr>
<w:r><w:t xml:space="preserve">both.  A twofold migration is doubtful, and, from what is</w:t></w:r>
</w:p>
<w:p>
<w:pPr><w:pStyle w:val="Normal"/></w:pPr>
<w:r><w:t xml:space="preserve">known of the situation in Palestine in the 15th century</w:t></w:r>
</w:p>
<w:p>
<w:pPr><w:pStyle w:val="Normal"/></w:pPr>
<w:r><w:t xml:space="preserve">B.C., is extremely improbable.  Further, there is yet</w:t></w:r>
</w:p>
<w:p>
<w:pPr><w:pStyle w:val="Normal"/></w:pPr>
<w:r><w:t xml:space="preserve">another parallel in the story of the conquest by Joshua</w:t></w:r>
</w:p>
<w:p>
<w:pPr><w:pStyle w:val="Normal"/></w:pPr>
<w:r><w:t xml:space="preserve">(q.v.), partly implied and partly actually detailed (cf.</w:t></w:r>
</w:p>
<w:p>
<w:pPr><w:pStyle w:val="Normal"/></w:pPr>
<w:r><w:t xml:space="preserve">also Josh. viii. 9 with Gen. xii. 8, xiii. 3), whence it would</w:t></w:r>
</w:p>
<w:p>
<w:pPr><w:pStyle w:val="Normal"/></w:pPr>
<w:r><w:t xml:space="preserve">appear that too much importance must not be laid upon any</w:t></w:r>
</w:p>
<w:p>
<w:pPr><w:pStyle w:val="Normal"/></w:pPr>
<w:r><w:t xml:space="preserve">ethnological interpretation which fails to account for the three</w:t></w:r>
</w:p>
<w:p>
<w:pPr><w:pStyle w:val="Normal"/></w:pPr>
<w:r><w:t xml:space="preserve">versions.  That similar traditional elements have influenced</w:t></w:r>
</w:p>
<w:p>
<w:pPr><w:pStyle w:val="Normal"/></w:pPr>
<w:r><w:t xml:space="preserve">them is not unlikely; but to recover the true historical</w:t></w:r>
</w:p>
<w:p>
<w:pPr><w:pStyle w:val="Normal"/></w:pPr>
<w:r><w:t xml:space="preserve">foundation is difficult.  The invasion or immigration of</w:t></w:r>
</w:p>
<w:p>
<w:pPr><w:pStyle w:val="Normal"/></w:pPr>
<w:r><w:t xml:space="preserve">certain tribes from the east of the Jordan; the presence</w:t></w:r>
</w:p>
<w:p>
<w:pPr><w:pStyle w:val="Normal"/></w:pPr>
<w:r><w:t xml:space="preserve">of Aramaean blood among the Israelites (see JACOB); the</w:t></w:r>
</w:p>
<w:p>
<w:pPr><w:pStyle w:val="Normal"/></w:pPr>
<w:r><w:t xml:space="preserve">origin of the sanctity of venerable sites,---these and other</w:t></w:r>
</w:p>
<w:p>
<w:pPr><w:pStyle w:val="Normal"/></w:pPr>
<w:r><w:t xml:space="preserve">considerations may readily be found to account .for the</w:t></w:r>
</w:p>
<w:p>
<w:pPr><w:pStyle w:val="Normal"/></w:pPr>
<w:r><w:t xml:space="preserve">traditions.  Noteworthy coincidences in the lives of Abraham</w:t></w:r>
</w:p>
<w:p>
<w:pPr><w:pStyle w:val="Normal"/></w:pPr>
<w:r><w:t xml:space="preserve">and Isaac, noticed above, point to the fluctuating state of</w:t></w:r>
</w:p>
<w:p>
<w:pPr><w:pStyle w:val="Normal"/></w:pPr>
<w:r><w:t xml:space="preserve">traditions in the oral stage, or suggest that Abraham&apos;s life</w:t></w:r>
</w:p>
<w:p>
<w:pPr><w:pStyle w:val="Normal"/></w:pPr>
<w:r><w:t xml:space="preserve">has been built up by borrowing from the common stock of popular</w:t></w:r>
</w:p>
<w:p>
<w:pPr><w:pStyle w:val="Normal"/></w:pPr>
<w:r><w:t xml:space="preserve">lore.7 More original is the parting of Lot and Abraham at</w:t></w:r>
</w:p>
<w:p>
<w:pPr><w:pStyle w:val="Normal"/></w:pPr>
<w:r><w:t xml:space="preserve">Bethel.  The district was the scene of contests between</w:t></w:r>
</w:p>
<w:p>
<w:pPr><w:pStyle w:val="Normal"/></w:pPr>
<w:r><w:t xml:space="preserve">Moab and the Hebrews (cf. perhaps Judg. iii.), and if this</w:t></w:r>
</w:p>
<w:p>
<w:pPr><w:pStyle w:val="Normal"/></w:pPr>
<w:r><w:t xml:space="preserve">explains part of the story, the physical configuration of</w:t></w:r>
</w:p>
<w:p>
<w:pPr><w:pStyle w:val="Normal"/></w:pPr>
<w:r><w:t xml:space="preserve">the Dead Sea may have led to the legend of the destruction of</w:t></w:r>
</w:p>
<w:p>
<w:pPr><w:pStyle w:val="Normal"/></w:pPr>
<w:r><w:t xml:space="preserve">inhospitable and vicious cities (see SODOM AND GOMORRAH.)</w:t></w:r>
</w:p>
<w:p>
<w:pPr><w:pStyle w:val="Normal"/></w:pPr>
<w:r><w:t xml:space="preserve">Different writers have regarded the life of Abraham differently.</w:t></w:r>
</w:p>
<w:p>
<w:pPr><w:pStyle w:val="Normal"/></w:pPr>
<w:r><w:t xml:space="preserve">He has been viewed as a chieftain of the Amorites (q.v.),</w:t></w:r>
</w:p>
<w:p>
<w:pPr><w:pStyle w:val="Normal"/></w:pPr>
<w:r><w:t xml:space="preserve">as the head of a great Semitic migration from Mesopotamia;</w:t></w:r>
</w:p>
<w:p>
<w:pPr><w:pStyle w:val="Normal"/></w:pPr>
<w:r><w:t xml:space="preserve">or, since Ur and Haran were seats of Moon-worship, he has</w:t></w:r>
</w:p>
<w:p>
<w:pPr><w:pStyle w:val="Normal"/></w:pPr>
<w:r><w:t xml:space="preserve">been identified with a moon-god.  From the character of</w:t></w:r>
</w:p>
<w:p>
<w:pPr><w:pStyle w:val="Normal"/></w:pPr>
<w:r><w:t xml:space="preserve">the literary evidence and the locale of the stories it</w:t></w:r>
</w:p>
<w:p>
<w:pPr><w:pStyle w:val="Normal"/></w:pPr>
<w:r><w:t xml:space="preserve">has been held that Abraham was originally associated with</w:t></w:r>
</w:p>
<w:p>
<w:pPr><w:pStyle w:val="Normal"/></w:pPr>
<w:r><w:t xml:space="preserve">Hebron.  The double name AbramAbraham has even suggested</w:t></w:r>
</w:p>
<w:p>
<w:pPr><w:pStyle w:val="Normal"/></w:pPr>
<w:r><w:t xml:space="preserve">that two personages have been combined in the Biblical</w:t></w:r>
</w:p>
<w:p>
<w:pPr><w:pStyle w:val="Normal"/></w:pPr>
<w:r><w:t xml:space="preserve">narrative; although this does not explain the change from</w:t></w:r>
</w:p>
<w:p>
<w:pPr><w:pStyle w:val="Normal"/></w:pPr>
<w:r><w:t xml:space="preserve">Sarai to Sarah.8 But it is important to remember that the</w:t></w:r>
</w:p>
<w:p>
<w:pPr><w:pStyle w:val="Normal"/></w:pPr>
<w:r><w:t xml:space="preserve">narratives are not contemporary, and that the interesting</w:t></w:r>
</w:p>
<w:p>
<w:pPr><w:pStyle w:val="Normal"/></w:pPr>
<w:r><w:t xml:space="preserve">discovery of the name Abi-ramu (Abram) on Babylonian contracts</w:t></w:r>
</w:p>
<w:p>
<w:pPr><w:pStyle w:val="Normal"/></w:pPr>
<w:r><w:t xml:space="preserve">of about 2000 B.C. does not prove the Abram of the Old</w:t></w:r>
</w:p>
<w:p>
<w:pPr><w:pStyle w:val="Normal"/></w:pPr>
<w:r><w:t xml:space="preserve">Testament to be an historical person, even as the fact that</w:t></w:r>
</w:p>
<w:p>
<w:pPr><w:pStyle w:val="Normal"/></w:pPr>
<w:r><w:t xml:space="preserve">there were ``Amorites&apos;&apos; in Babylonia at the same period</w:t></w:r>
</w:p>
<w:p>
<w:pPr><w:pStyle w:val="Normal"/></w:pPr>
<w:r><w:t xml:space="preserve">does not make it certain that the patriarch was one of their</w:t></w:r>
</w:p>
<w:p>
<w:pPr><w:pStyle w:val="Normal"/></w:pPr>
<w:r><w:t xml:space="preserve">number.  One remarkable chapter associates Abraham with</w:t></w:r>
</w:p>
<w:p>
<w:pPr><w:pStyle w:val="Normal"/></w:pPr>
<w:r><w:t xml:space="preserve">kings of Elam and the east (Gen. xiv.).  No longer a peaceful</w:t></w:r>
</w:p>
<w:p>
<w:pPr><w:pStyle w:val="Normal"/></w:pPr>
<w:r><w:t xml:space="preserve">sheikh but a warrior with a small army of 318 followers,9</w:t></w:r>
</w:p>
<w:p>
<w:pPr><w:pStyle w:val="Normal"/></w:pPr>
<w:r><w:t xml:space="preserve">he overthrows a combination of powerful monarchs who have</w:t></w:r>
</w:p>
<w:p>
<w:pPr><w:pStyle w:val="Normal"/></w:pPr>
<w:r><w:t xml:space="preserve">ravaged the land.  The genuineness of the narrative has been</w:t></w:r>
</w:p>
<w:p>
<w:pPr><w:pStyle w:val="Normal"/></w:pPr>
<w:r><w:t xml:space="preserve">strenuously maintained, although upon insufficient grounds.</w:t></w:r>
</w:p>
<w:p>
<w:pPr><w:pStyle w:val="Normal"/></w:pPr>
<w:r><w:t xml:space="preserve">``It is generally recognized that this chapter holds quite</w:t></w:r>
</w:p>
<w:p>
<w:pPr><w:pStyle w:val="Normal"/></w:pPr>
<w:r><w:t xml:space="preserve">an isolated place in the Pentateuchal history; it is the</w:t></w:r>
</w:p>
<w:p>
<w:pPr><w:pStyle w:val="Normal"/></w:pPr>
<w:r><w:t xml:space="preserve">only passage which presents Abraham in the character of a</w:t></w:r>
</w:p>
<w:p>
<w:pPr><w:pStyle w:val="Normal"/></w:pPr>
<w:r><w:t xml:space="preserve">warrior, and connects him with historical names and political</w:t></w:r>
</w:p>
<w:p>
<w:pPr><w:pStyle w:val="Normal"/></w:pPr>
<w:r><w:t xml:space="preserve">movements, and there are no clear marks by which it can be</w:t></w:r>
</w:p>
<w:p>
<w:pPr><w:pStyle w:val="Normal"/></w:pPr>
<w:r><w:t xml:space="preserve">assigned to any one of the documents of which Genesis is made</w:t></w:r>
</w:p>
<w:p>
<w:pPr><w:pStyle w:val="Normal"/></w:pPr>
<w:r><w:t xml:space="preserve">up.  Thus, while one school of interpreters finds in the chapter</w:t></w:r>
</w:p>
<w:p>
<w:pPr><w:pStyle w:val="Normal"/></w:pPr>
<w:r><w:t xml:space="preserve">the earliest fragment of the political history of western Asia,</w:t></w:r>
</w:p>
<w:p>
<w:pPr><w:pStyle w:val="Normal"/></w:pPr>
<w:r><w:t xml:space="preserve">some even holding with Ewald that the narrative is probably</w:t></w:r>
</w:p>
<w:p>
<w:pPr><w:pStyle w:val="Normal"/></w:pPr>
<w:r><w:t xml:space="preserve">based on old Canaanite records, other critics, as Noldeke,</w:t></w:r>
</w:p>
<w:p>
<w:pPr><w:pStyle w:val="Normal"/></w:pPr>
<w:r><w:t xml:space="preserve">regard the whole as unhistorical and comparatively late in</w:t></w:r>
</w:p>
<w:p>
<w:pPr><w:pStyle w:val="Normal"/></w:pPr>
<w:r><w:t xml:space="preserve">origin.  On the latter view, which finds its main support 1n the</w:t></w:r>
</w:p>
<w:p>
<w:pPr><w:pStyle w:val="Normal"/></w:pPr>
<w:r><w:t xml:space="preserve">intrinsic difficulties of the narrative, it is scarcely possible</w:t></w:r>
</w:p>
<w:p>
<w:pPr><w:pStyle w:val="Normal"/></w:pPr>
<w:r><w:t xml:space="preserve">to avoid the conclusion that the chapter is one of the latest</w:t></w:r>
</w:p>
<w:p>
<w:pPr><w:pStyle w:val="Normal"/></w:pPr>
<w:r><w:t xml:space="preserve">additions to the Pentateuch (Wellhausen and many others).&apos;&apos;</w:t></w:r>
</w:p>
<w:p>
<w:pPr><w:pStyle w:val="Normal"/></w:pPr>
<w:r><w:t xml:space="preserve">On the assumption that a recollection of some invasion in</w:t></w:r>
</w:p>
<w:p>
<w:pPr><w:pStyle w:val="Normal"/></w:pPr>
<w:r><w:t xml:space="preserve">remote days may have been current, considerable interest is</w:t></w:r>
</w:p>
<w:p>
<w:pPr><w:pStyle w:val="Normal"/></w:pPr>
<w:r><w:t xml:space="preserve">attached to the names.  Of these, Amraphel, king of Shinar</w:t></w:r>
</w:p>
<w:p>
<w:pPr><w:pStyle w:val="Normal"/></w:pPr>
<w:r><w:t xml:space="preserve">(i.e. Babylonia, Gen. x. 10), has been identified with</w:t></w:r>
</w:p>
<w:p>
<w:pPr><w:pStyle w:val="Normal"/></w:pPr>
<w:r><w:t xml:space="preserve">Khammurabi, one of the greatest of the Babylonian kings</w:t></w:r>
</w:p>
<w:p>
<w:pPr><w:pStyle w:val="Normal"/></w:pPr>
<w:r><w:t xml:space="preserve">(c. 2000 B.C.), and since he claims to have ruled as</w:t></w:r>
</w:p>
<w:p>
<w:pPr><w:pStyle w:val="Normal"/></w:pPr>
<w:r><w:t xml:space="preserve">far west as the Mediterranean Sea, the equation has found</w:t></w:r>
</w:p>
<w:p>
<w:pPr><w:pStyle w:val="Normal"/></w:pPr>
<w:r><w:t xml:space="preserve">considerable favour.  Apart from chronological difficulties,</w:t></w:r>
</w:p>
<w:p>
<w:pPr><w:pStyle w:val="Normal"/></w:pPr>
<w:r><w:t xml:space="preserve">the identification of the king and his country is far from</w:t></w:r>
</w:p>
<w:p>
<w:pPr><w:pStyle w:val="Normal"/></w:pPr>
<w:r><w:t xml:space="preserve">certain, and at the most can only be regarded as possible.</w:t></w:r>
</w:p>
<w:p>
<w:pPr><w:pStyle w:val="Normal"/></w:pPr>
<w:r><w:t xml:space="preserve">Arioch, king of Ellasar, has been connected with Eriaku of</w:t></w:r>
</w:p>
<w:p>
<w:pPr><w:pStyle w:val="Normal"/></w:pPr>
<w:r><w:t xml:space="preserve">Larsa--the reading has been questioned---a contemporary with</w:t></w:r>
</w:p>
<w:p>
<w:pPr><w:pStyle w:val="Normal"/></w:pPr>
<w:r><w:t xml:space="preserve">Khammurabi.  Chedorlaomer, king of Elam, bears what is</w:t></w:r>
</w:p>
<w:p>
<w:pPr><w:pStyle w:val="Normal"/></w:pPr>
<w:r><w:t xml:space="preserve">doubtless a genuine Elamite name.  Finally, the name of Tid&apos;al,</w:t></w:r>
</w:p>
<w:p>
<w:pPr><w:pStyle w:val="Normal"/></w:pPr>
<w:r><w:t xml:space="preserve">king of Goiim, may be identical with a certain Tudhulu the</w:t></w:r>
</w:p>
<w:p>
<w:pPr><w:pStyle w:val="Normal"/></w:pPr>
<w:r><w:t xml:space="preserve">son of Gazza, a warrior, but apparently not a king, who is</w:t></w:r>
</w:p>
<w:p>
<w:pPr><w:pStyle w:val="Normal"/></w:pPr>
<w:r><w:t xml:space="preserve">mentioned in a Babylonian inscription, and Goiim may stand</w:t></w:r>
</w:p>
<w:p>
<w:pPr><w:pStyle w:val="Normal"/></w:pPr>
<w:r><w:t xml:space="preserve">for Gutim, the Guti being a people who lived to the east of</w:t></w:r>
</w:p>
<w:p>
<w:pPr><w:pStyle w:val="Normal"/></w:pPr>
<w:r><w:t xml:space="preserve">Kurdistan.  Nevertheless, there is as yet no monumental</w:t></w:r>
</w:p>
<w:p>
<w:pPr><w:pStyle w:val="Normal"/></w:pPr>
<w:r><w:t xml:space="preserve">evidence in favour of the genuineness of the story, and at</w:t></w:r>
</w:p>
<w:p>
<w:pPr><w:pStyle w:val="Normal"/></w:pPr>
<w:r><w:t xml:space="preserve">the most it can only be said that the author (of whatever</w:t></w:r>
</w:p>
<w:p>
<w:pPr><w:pStyle w:val="Normal"/></w:pPr>
<w:r><w:t xml:space="preserve">date) has derived his names from a trustworthy source,</w:t></w:r>
</w:p>
<w:p>
<w:pPr><w:pStyle w:val="Normal"/></w:pPr>
<w:r><w:t xml:space="preserve">and in representing an invasion of Palestine by Babylonian</w:t></w:r>
</w:p>
<w:p>
<w:pPr><w:pStyle w:val="Normal"/></w:pPr>
<w:r><w:t xml:space="preserve">overlords has given expression to a possible situation.11</w:t></w:r>
</w:p>
<w:p>
<w:pPr><w:pStyle w:val="Normal"/></w:pPr>
<w:r><w:t xml:space="preserve">The improbabilities and internal difficulties of the narrative</w:t></w:r>
</w:p>
<w:p>
<w:pPr><w:pStyle w:val="Normal"/></w:pPr>
<w:r><w:t xml:space="preserve">remain untouched, only the bare outlines may very well be</w:t></w:r>
</w:p>
<w:p>
<w:pPr><w:pStyle w:val="Normal"/></w:pPr>
<w:r><w:t xml:space="preserve">historical.  If, as most critics agree, it is a historical</w:t></w:r>
</w:p>
<w:p>
<w:pPr><w:pStyle w:val="Normal"/></w:pPr>
<w:r><w:t xml:space="preserve">romance (cf., e.g., the book of Judith), it is possible</w:t></w:r>
</w:p>
<w:p>
<w:pPr><w:pStyle w:val="Normal"/></w:pPr>
<w:r><w:t xml:space="preserve">that a writer, preferably one who lived in the post-exilic</w:t></w:r>
</w:p>
<w:p>
<w:pPr><w:pStyle w:val="Normal"/></w:pPr>
<w:r><w:t xml:space="preserve">age and was acquainted with Babylonian history, desired to</w:t></w:r>
</w:p>
<w:p>
<w:pPr><w:pStyle w:val="Normal"/></w:pPr>
<w:r><w:t xml:space="preserve">enhance the greatness of Abraham by exhibiting his military</w:t></w:r>
</w:p>
<w:p>
<w:pPr><w:pStyle w:val="Normal"/></w:pPr>
<w:r><w:t xml:space="preserve">success against the monarchs of the Tigris and Euphrates,</w:t></w:r>
</w:p>
<w:p>
<w:pPr><w:pStyle w:val="Normal"/></w:pPr>
<w:r><w:t xml:space="preserve">the high esteem he enjoyed in Palestine and his lofty</w:t></w:r>
</w:p>
<w:p>
<w:pPr><w:pStyle w:val="Normal"/></w:pPr>
<w:r><w:t xml:space="preserve">character as displayed in his interview with Melchizedek.</w:t></w:r>
</w:p>
<w:p>
<w:pPr><w:pStyle w:val="Normal"/></w:pPr>
<w:r><w:t xml:space="preserve">See further, Pinches, Old Test. in Light of Hist.  Records,</w:t></w:r>
</w:p>
<w:p>
<w:pPr><w:pStyle w:val="Normal"/></w:pPr>
<w:r><w:t xml:space="preserve">pp. 208. 236) Driver, Genesis, p. xlix., and notes on ch.</w:t></w:r>
</w:p>
<w:p>
<w:pPr><w:pStyle w:val="Normal"/></w:pPr>
<w:r><w:t xml:space="preserve">xiv.; Addis, Documents of the Hexateuch, ii. pp. 208-213;</w:t></w:r>
</w:p>
<w:p>
<w:pPr><w:pStyle w:val="Normal"/></w:pPr>
<w:r><w:t xml:space="preserve">Carpenter and Harford-Battersby, The Hexateuch, i. pp.</w:t></w:r>
</w:p>
<w:p>
<w:pPr><w:pStyle w:val="Normal"/></w:pPr>
<w:r><w:t xml:space="preserve">157-159, 168, Bezold, Bab.-Assyr. Keilinschriften, pp. 24</w:t></w:r>
</w:p>
<w:p>
<w:pPr><w:pStyle w:val="Normal"/></w:pPr>
<w:r><w:t xml:space="preserve">sqq., 54 sqq.; A. Jeremias, Altes Test. im Lichte d.  Alten</w:t></w:r>
</w:p>
<w:p>
<w:pPr><w:pStyle w:val="Normal"/></w:pPr>
<w:r><w:t xml:space="preserve">Orients,2,, pp. 343 seq.; also the literature to the art.</w:t></w:r>
</w:p>
<w:p>
<w:pPr><w:pStyle w:val="Normal"/></w:pPr>
<w:r><w:t xml:space="preserve">GENESIS.  Many fanciful legends about Abraham founded on</w:t></w:r>
</w:p>
<w:p>
<w:pPr><w:pStyle w:val="Normal"/></w:pPr>
<w:r><w:t xml:space="preserve">Biblical accounts or spun out of the fancy are to be found in</w:t></w:r>
</w:p>
<w:p>
<w:pPr><w:pStyle w:val="Normal"/></w:pPr>
<w:r><w:t xml:space="preserve">Josephus, and in post-Biblical and Mahommedan literature;</w:t></w:r>
</w:p>
<w:p>
<w:pPr><w:pStyle w:val="Normal"/></w:pPr>
<w:r><w:t xml:space="preserve">for these, reference may be made to Beer, Leben Abrahams</w:t></w:r>
</w:p>
<w:p>
<w:pPr><w:pStyle w:val="Normal"/></w:pPr>
<w:r><w:t xml:space="preserve">(1859); Grunbaum, Neue Beitrage z. semit.  Sagenkunde,</w:t></w:r>
</w:p>
<w:p>
<w:pPr><w:pStyle w:val="Normal"/></w:pPr>
<w:r><w:t xml:space="preserve">pp. 89 seq. (1893); the apocryphal ``Testament of Abraham&apos;&apos;</w:t></w:r>
</w:p>
<w:p>
<w:pPr><w:pStyle w:val="Normal"/></w:pPr>
<w:r><w:t xml:space="preserve">(M. R. James in Texts and Studies, 1892); W. Tisdall,</w:t></w:r>
</w:p>
<w:p>
<w:pPr><w:pStyle w:val="Normal"/></w:pPr>
<w:r><w:t xml:space="preserve">Original Sources of the Quran, passim (1905). (S. A. C.)</w:t></w:r>
</w:p>
<w:p>
<w:pPr><w:pStyle w:val="Normal"/></w:pPr>
<w:r><w:t xml:space="preserve">1 The name is not spelt with the same guttural as Haran the son of Terah.</w:t></w:r>
</w:p>
<w:p>
<w:pPr><w:pStyle w:val="Normal"/></w:pPr>
<w:r><w:t xml:space="preserve">2 Barrenness is a motif which recurs in the stories</w:t></w:r>
</w:p>
<w:p>
<w:pPr><w:pStyle w:val="Normal"/></w:pPr>
<w:r><w:t xml:space="preserve">of Rebekah, Rachel, the mother of Samson, and Hannah</w:t></w:r>
</w:p>
<w:p>
<w:pPr><w:pStyle w:val="Normal"/></w:pPr>
<w:r><w:t xml:space="preserve">(Gen. xxv. 21, xxix. 31; Judg. xiii. 2; 1 Sam. i. 5).</w:t></w:r>
</w:p>
<w:p>
<w:pPr><w:pStyle w:val="Normal"/></w:pPr>
<w:r><w:t xml:space="preserve">3Ebram&apos;s connexion with Damascus is supplemented in the traditions</w:t></w:r>
</w:p>
<w:p>
<w:pPr><w:pStyle w:val="Normal"/></w:pPr>
<w:r><w:t xml:space="preserve">of Nicolaus of Damascus as cited by Josephus (Antiq. 1. 7. 2).</w:t></w:r>
</w:p>
<w:p>
<w:pPr><w:pStyle w:val="Normal"/></w:pPr>
<w:r><w:t xml:space="preserve">4 Abram (or Abiram) is a familiar and old-attested name meaning</w:t></w:r>
</w:p>
<w:p>
<w:pPr><w:pStyle w:val="Normal"/></w:pPr>
<w:r><w:t xml:space="preserve">``(my) father is exalted&apos;&apos;; the meaning of Abraham is obscure a,nd</w:t></w:r>
</w:p>
<w:p>
<w:pPr><w:pStyle w:val="Normal"/></w:pPr>
<w:r><w:t xml:space="preserve">the explanation Gen. xvii. 3 is mere word-play.  It is possible</w:t></w:r>
</w:p>
<w:p>
<w:pPr><w:pStyle w:val="Normal"/></w:pPr>
<w:r><w:t xml:space="preserve">that raham was originally only a dialectical form of ram.</w:t></w:r>
</w:p>
<w:p>
<w:pPr><w:pStyle w:val="Normal"/></w:pPr>
<w:r><w:t xml:space="preserve">5 See Sir Charles Warren&apos;s description, Hasting&apos;s Dict.</w:t></w:r>
</w:p>
<w:p>
<w:pPr><w:pStyle w:val="Normal"/></w:pPr>
<w:r><w:t xml:space="preserve">Bible, vol. iii. pp. 200 seq.  The so-called Babylonian colouring</w:t></w:r>
</w:p>
<w:p>
<w:pPr><w:pStyle w:val="Normal"/></w:pPr>
<w:r><w:t xml:space="preserve">of Gen. xxiii. has been much exaggerated; see S. R. Driver,</w:t></w:r>
</w:p>
<w:p>
<w:pPr><w:pStyle w:val="Normal"/></w:pPr>
<w:r><w:t xml:space="preserve">Genesis, ad loc.; S. A, Cook, Laws of Moses, p. 208.</w:t></w:r>
</w:p>
<w:p>
<w:pPr><w:pStyle w:val="Normal"/></w:pPr>
<w:r><w:t xml:space="preserve">6 See H. St. J. Thackeray, Relation of St Paul to</w:t></w:r>
</w:p>
<w:p>
<w:pPr><w:pStyle w:val="Normal"/></w:pPr>
<w:r><w:t xml:space="preserve">Contemporary Jewish Thought, p. 69 seq. (1900).</w:t></w:r>
</w:p>
<w:p>
<w:pPr><w:pStyle w:val="Normal"/></w:pPr>
<w:r><w:t xml:space="preserve">7 On the other hand, the coincidences in xx. xxi.</w:t></w:r>
</w:p>
<w:p>
<w:pPr><w:pStyle w:val="Normal"/></w:pPr>
<w:r><w:t xml:space="preserve">are due to E, who is also the author of xxii.  Apart</w:t></w:r>
</w:p>
<w:p>
<w:pPr><w:pStyle w:val="Normal"/></w:pPr>
<w:r><w:t xml:space="preserve">from these the narratives of Abraham are from J and P.</w:t></w:r>
</w:p>
<w:p>
<w:pPr><w:pStyle w:val="Normal"/></w:pPr>
<w:r><w:t xml:space="preserve">8 According to Breasted (Amer.  Journ. of Sem. Lit.,</w:t></w:r>
</w:p>
<w:p>
<w:pPr><w:pStyle w:val="Normal"/></w:pPr>
<w:r><w:t xml:space="preserve">1904, p. 56), the ``field of Abram&apos;&apos; occurs among the places</w:t></w:r>
</w:p>
<w:p>
<w:pPr><w:pStyle w:val="Normal"/></w:pPr>
<w:r><w:t xml:space="preserve">mentioned in the list of the Egyptian king Shishak (No. 71-2)</w:t></w:r>
</w:p>
<w:p>
<w:pPr><w:pStyle w:val="Normal"/></w:pPr>
<w:r><w:t xml:space="preserve">in the 10th century.  See also his History of Egypt, p. 530.</w:t></w:r>
</w:p>
<w:p>
<w:pPr><w:pStyle w:val="Normal"/></w:pPr>
<w:r><w:t xml:space="preserve">9 The number is precisely that of the total numerical</w:t></w:r>
</w:p>
<w:p>
<w:pPr><w:pStyle w:val="Normal"/></w:pPr>
<w:r><w:t xml:space="preserve">value of the consonants of the name ``Eliezer&apos;&apos; (Gen.</w:t></w:r>
</w:p>
<w:p>
<w:pPr><w:pStyle w:val="Normal"/></w:pPr>
<w:r><w:t xml:space="preserve">xv. 2); an astral signification has also been found.</w:t></w:r>
</w:p>
<w:p>
<w:pPr><w:pStyle w:val="Normal"/></w:pPr>
<w:r><w:t xml:space="preserve">10 W. R. Smith, Ency.  Brit. (9th ed., 1883), art. ``Melchizedek.&apos;&apos;</w:t></w:r>
</w:p>
<w:p>
<w:pPr><w:pStyle w:val="Normal"/></w:pPr>
<w:r><w:t xml:space="preserve">11 That the names may be those of historical personages</w:t></w:r>
</w:p>
<w:p>
<w:pPr><w:pStyle w:val="Normal"/></w:pPr>
<w:r><w:t xml:space="preserve">is no proof of historical accuracy: ``We cannot therefore</w:t></w:r>
</w:p>
<w:p>
<w:pPr><w:pStyle w:val="Normal"/></w:pPr>
<w:r><w:t xml:space="preserve">conclude that the whole account is accurate history, any more</w:t></w:r>
</w:p>
<w:p>
<w:pPr><w:pStyle w:val="Normal"/></w:pPr>
<w:r><w:t xml:space="preserve">than we can argue that Sir Walter Scott&apos;s Anne of Geirstein</w:t></w:r>
</w:p>
<w:p>
<w:pPr><w:pStyle w:val="Normal"/></w:pPr>
<w:r><w:t xml:space="preserve">is throughout a correct account of actual events because we</w:t></w:r>
</w:p>
<w:p>
<w:pPr><w:pStyle w:val="Normal"/></w:pPr>
<w:r><w:t xml:space="preserve">know that Charles the Bold and Margaret of Anjou were real</w:t></w:r>
</w:p>
<w:p>
<w:pPr><w:pStyle w:val="Normal"/></w:pPr>
<w:r><w:t xml:space="preserve">people&apos;&apos; (W. H. Bennett, Century Bible: Genesis, p. 186).</w:t></w:r>
</w:p>
<w:p>
<w:pPr><w:pStyle w:val="Normal"/></w:pPr>
<w:r><w:t xml:space="preserve">ABRAHAM A SANCTA CLARA (1644-1709), Austrian divine,</w:t></w:r>
</w:p>
<w:p>
<w:pPr><w:pStyle w:val="Normal"/></w:pPr>
<w:r><w:t xml:space="preserve">was born at Kreenheinstetten, near Messkirch, in July</w:t></w:r>
</w:p>
<w:p>
<w:pPr><w:pStyle w:val="Normal"/></w:pPr>
<w:r><w:t xml:space="preserve">1644.  His real name was Ulrich Megerle.  In 1662 he joined</w:t></w:r>
</w:p>
<w:p>
<w:pPr><w:pStyle w:val="Normal"/></w:pPr>
<w:r><w:t xml:space="preserve">the order of Barefooted Augustinians, and assumed the name</w:t></w:r>
</w:p>
<w:p>
<w:pPr><w:pStyle w:val="Normal"/></w:pPr>
<w:r><w:t xml:space="preserve">by which he is known.  In this order he rose step by step</w:t></w:r>
</w:p>
<w:p>
<w:pPr><w:pStyle w:val="Normal"/></w:pPr>
<w:r><w:t xml:space="preserve">until he became prior provincialis and definitor of his</w:t></w:r>
</w:p>
<w:p>
<w:pPr><w:pStyle w:val="Normal"/></w:pPr>
<w:r><w:t xml:space="preserve">province.  Having early gained a great reputation for pulpit</w:t></w:r>
</w:p>
<w:p>
<w:pPr><w:pStyle w:val="Normal"/></w:pPr>
<w:r><w:t xml:space="preserve">eloquence, he was appointed court preacher at Vienna in</w:t></w:r>
</w:p>
<w:p>
<w:pPr><w:pStyle w:val="Normal"/></w:pPr>
<w:r><w:t xml:space="preserve">1669.  The people flocked to hear him, attracted by the</w:t></w:r>
</w:p>
<w:p>
<w:pPr><w:pStyle w:val="Normal"/></w:pPr>
<w:r><w:t xml:space="preserve">force and homeliness of his language, the grotesqueness of</w:t></w:r>
</w:p>
<w:p>
<w:pPr><w:pStyle w:val="Normal"/></w:pPr>
<w:r><w:t xml:space="preserve">his humour, and the impartial severity with which he lashed</w:t></w:r>
</w:p>
<w:p>
<w:pPr><w:pStyle w:val="Normal"/></w:pPr>
<w:r><w:t xml:space="preserve">the follies of all classes of society and of the court in</w:t></w:r>
</w:p>
<w:p>
<w:pPr><w:pStyle w:val="Normal"/></w:pPr>
<w:r><w:t xml:space="preserve">particular.  In general he spoke as a man of the people, the</w:t></w:r>
</w:p>
<w:p>
<w:pPr><w:pStyle w:val="Normal"/></w:pPr>
<w:r><w:t xml:space="preserve">predominating quality of his style being an overflowing and</w:t></w:r>
</w:p>
<w:p>
<w:pPr><w:pStyle w:val="Normal"/></w:pPr>
<w:r><w:t xml:space="preserve">often coarse wit.  There are, however, many passages in his</w:t></w:r>
</w:p>
<w:p>
<w:pPr><w:pStyle w:val="Normal"/></w:pPr>
<w:r><w:t xml:space="preserve">sermons in which he rises to loftier thought and uses more</w:t></w:r>
</w:p>
<w:p>
<w:pPr><w:pStyle w:val="Normal"/></w:pPr>
<w:r><w:t xml:space="preserve">dignified language.  He died at Vienna on the 1st of December</w:t></w:r>
</w:p>
<w:p>
<w:pPr><w:pStyle w:val="Normal"/></w:pPr>
<w:r><w:t xml:space="preserve">1709.  In his published writings he displayed much the same</w:t></w:r>
</w:p>
<w:p>
<w:pPr><w:pStyle w:val="Normal"/></w:pPr>
<w:r><w:t xml:space="preserve">qualities as in the pulpit.  Perhaps the most favourable</w:t></w:r>
</w:p>
<w:p>
<w:pPr><w:pStyle w:val="Normal"/></w:pPr>
<w:r><w:t xml:space="preserve">specimen of his style is his didactic novel entitled</w:t></w:r>
</w:p>
<w:p>
<w:pPr><w:pStyle w:val="Normal"/></w:pPr>
<w:r><w:t xml:space="preserve">Judas der Erzschelm (4 vols., Salzburg, 1686-1695).</w:t></w:r>
</w:p>
<w:p>
<w:pPr><w:pStyle w:val="Normal"/></w:pPr>
<w:r><w:t xml:space="preserve">His works have been several times reproduced in whole or</w:t></w:r>
</w:p>
<w:p>
<w:pPr><w:pStyle w:val="Normal"/></w:pPr>
<w:r><w:t xml:space="preserve">in part though with many serious interpolations.  The best</w:t></w:r>
</w:p>
<w:p>
<w:pPr><w:pStyle w:val="Normal"/></w:pPr>
<w:r><w:t xml:space="preserve">edition is that published in 21 vols. at Passau and Lindau</w:t></w:r>
</w:p>
<w:p>
<w:pPr><w:pStyle w:val="Normal"/></w:pPr>
<w:r><w:t xml:space="preserve">(1835-1854).  See Th. G. von Karaiesn, Abraham a Sancta</w:t></w:r>
</w:p>
<w:p>
<w:pPr><w:pStyle w:val="Normal"/></w:pPr>
<w:r><w:t xml:space="preserve">Clara (Vienna, 1867); Wanckenburr, Studien uber die Sprache</w:t></w:r>
</w:p>
<w:p>
<w:pPr><w:pStyle w:val="Normal"/></w:pPr>
<w:r><w:t xml:space="preserve">Abrahams al S. C. (Halle, 1897); Sexto, Abraham a S. C.</w:t></w:r>
</w:p>
<w:p>
<w:pPr><w:pStyle w:val="Normal"/></w:pPr>
<w:r><w:t xml:space="preserve">(Sigmaringen, 1896); Schnell, Pater A. a S. C. (Munich,</w:t></w:r>
</w:p>
<w:p>
<w:pPr><w:pStyle w:val="Normal"/></w:pPr>
<w:r><w:t xml:space="preserve">1895); H. Mareta, Uber Judas d.  Erzschelm (Vienna, 1875).</w:t></w:r>
</w:p>
<w:p>
<w:pPr><w:pStyle w:val="Normal"/></w:pPr>
<w:r><w:t xml:space="preserve">ABRAHAM IBN DAUD (c. 1110-1180), Jewish historiographer</w:t></w:r>
</w:p>
<w:p>
<w:pPr><w:pStyle w:val="Normal"/></w:pPr>
<w:r><w:t xml:space="preserve">and philosopher of Toledo.  His historical work was the</w:t></w:r>
</w:p>
<w:p>
<w:pPr><w:pStyle w:val="Normal"/></w:pPr>
<w:r><w:t xml:space="preserve">Book of Tradition (Sepher Haqabala), a chronicle down</w:t></w:r>
</w:p>
<w:p>
<w:pPr><w:pStyle w:val="Normal"/></w:pPr>
<w:r><w:t xml:space="preserve">to the year 1161.  This was a defence of the traditional</w:t></w:r>
</w:p>
<w:p>
<w:pPr><w:pStyle w:val="Normal"/></w:pPr>
<w:r><w:t xml:space="preserve">record, and also contains valuable information for the</w:t></w:r>
</w:p>
<w:p>
<w:pPr><w:pStyle w:val="Normal"/></w:pPr>
<w:r><w:t xml:space="preserve">medieval period.  It was translated into Latin by Genebrad</w:t></w:r>
</w:p>
<w:p>
<w:pPr><w:pStyle w:val="Normal"/></w:pPr>
<w:r><w:t xml:space="preserve">(1519).  His philosophy was expounded in an Arabic work</w:t></w:r>
</w:p>
<w:p>
<w:pPr><w:pStyle w:val="Normal"/></w:pPr>
<w:r><w:t xml:space="preserve">better known under its Hebrew title &apos;Emunah Ramah</w:t></w:r>
</w:p>
<w:p>
<w:pPr><w:pStyle w:val="Normal"/></w:pPr>
<w:r><w:t xml:space="preserve">(Sublime Faith.) This was translated into German by Well</w:t></w:r>
</w:p>
<w:p>
<w:pPr><w:pStyle w:val="Normal"/></w:pPr>
<w:r><w:t xml:space="preserve">(1882).  Ibn Daud was one of the first Jewish scholastics to</w:t></w:r>
</w:p>
<w:p>
<w:pPr><w:pStyle w:val="Normal"/></w:pPr>
<w:r><w:t xml:space="preserve">adopt the Aristotelian system; his predecessors were mostly</w:t></w:r>
</w:p>
<w:p>
<w:pPr><w:pStyle w:val="Normal"/></w:pPr>
<w:r><w:t xml:space="preserve">neo-Platonists.  Maimonides owed a good deal to him.</w:t></w:r>
</w:p>
<w:p>
<w:pPr><w:pStyle w:val="Normal"/></w:pPr>
<w:r><w:t xml:space="preserve">ABRAHAMITES, a sect of deists in Bohemia in the 18th</w:t></w:r>
</w:p>
<w:p>
<w:pPr><w:pStyle w:val="Normal"/></w:pPr>
<w:r><w:t xml:space="preserve">century, who professed to be followers of the pre-circumcised</w:t></w:r>
</w:p>
<w:p>
<w:pPr><w:pStyle w:val="Normal"/></w:pPr>
<w:r><w:t xml:space="preserve">Abraham.  Believing in one God, they contented themselves</w:t></w:r>
</w:p>
<w:p>
<w:pPr><w:pStyle w:val="Normal"/></w:pPr>
<w:r><w:t xml:space="preserve">with the Decalogue and the Paternoster.  Declining to be</w:t></w:r>
</w:p>
<w:p>
<w:pPr><w:pStyle w:val="Normal"/></w:pPr>
<w:r><w:t xml:space="preserve">classed either as Christians or Jews, they were excluded from</w:t></w:r>
</w:p>
<w:p>
<w:pPr><w:pStyle w:val="Normal"/></w:pPr>
<w:r><w:t xml:space="preserve">the edict of toleration promulgated by the emperor Joseph</w:t></w:r>
</w:p>
<w:p>
<w:pPr><w:pStyle w:val="Heading1"/></w:pPr>
<w:r><w:t>II. in 1781, and deported to various parts of the country,</w:t></w:r>
</w:p>
<w:p>
<w:pPr><w:pStyle w:val="Normal"/></w:pPr>
<w:r><w:t xml:space="preserve">the men being drafted into frontier regiments.  Some became</w:t></w:r>
</w:p>
<w:p>
<w:pPr><w:pStyle w:val="Normal"/></w:pPr>
<w:r><w:t xml:space="preserve">Roman Catholics, and those who retained their ``Abrahamite&apos;,</w:t></w:r>
</w:p>
<w:p>
<w:pPr><w:pStyle w:val="Normal"/></w:pPr>
<w:r><w:t xml:space="preserve">views were not able to hand them on to the next generation.</w:t></w:r>
</w:p>
<w:p>
<w:pPr><w:pStyle w:val="Normal"/></w:pPr>
<w:r><w:t xml:space="preserve">ABRAHAM-MEN, the nickname for vagrants who infested England</w:t></w:r>
</w:p>
<w:p>
<w:pPr><w:pStyle w:val="Normal"/></w:pPr>
<w:r><w:t xml:space="preserve">in Tudor times.  The phrase is certainly as old as 1561, and</w:t></w:r>
</w:p>
<w:p>
<w:pPr><w:pStyle w:val="Normal"/></w:pPr>
<w:r><w:t xml:space="preserve">was due to these beggars pretending that they were patients</w:t></w:r>
</w:p>
<w:p>
<w:pPr><w:pStyle w:val="Normal"/></w:pPr>
<w:r><w:t xml:space="preserve">discharged from the Abraham ward at Bedlam.  The genuine</w:t></w:r>
</w:p>
<w:p>
<w:pPr><w:pStyle w:val="Normal"/></w:pPr>
<w:r><w:t xml:space="preserve">Bedlamite was allowed to roam the country on his discharge,</w:t></w:r>
</w:p>
<w:p>
<w:pPr><w:pStyle w:val="Normal"/></w:pPr>
<w:r><w:t xml:space="preserve">soliciting alms, provided he wore a badge. This humane</w:t></w:r>
</w:p>
<w:p>
<w:pPr><w:pStyle w:val="Normal"/></w:pPr>
<w:r><w:t xml:space="preserve">privilege was grossly abused, and thus gave</w:t></w:r>
</w:p>
<w:p>
<w:pPr><w:pStyle w:val="Normal"/></w:pPr>
<w:r><w:t xml:space="preserve">rise to the slang phrase ``to sham Abraham.&apos;&apos;</w:t></w:r>
</w:p>
<w:p>
<w:pPr><w:pStyle w:val="Normal"/></w:pPr>
<w:r><w:t xml:space="preserve">ABRANTES, a town of central Portugal, in the district of</w:t></w:r>
</w:p>
<w:p>
<w:pPr><w:pStyle w:val="Normal"/></w:pPr>
<w:r><w:t xml:space="preserve">Santarem, formerly included in the province of Estremadura;</w:t></w:r>
</w:p>
<w:p>
<w:pPr><w:pStyle w:val="Normal"/></w:pPr>
<w:r><w:t xml:space="preserve">on the right bank of the river Tagus, at the junction of</w:t></w:r>
</w:p>
<w:p>
<w:pPr><w:pStyle w:val="Normal"/></w:pPr>
<w:r><w:t xml:space="preserve">the Madrid-Badajoz--Lisbon railway with the Guarda-Abrantes</w:t></w:r>
</w:p>
<w:p>
<w:pPr><w:pStyle w:val="Normal"/></w:pPr>
<w:r><w:t xml:space="preserve">line.  Pop. (1900) 7255.  Abrantes, which occupies the crest</w:t></w:r>
</w:p>
<w:p>
<w:pPr><w:pStyle w:val="Normal"/></w:pPr>
<w:r><w:t xml:space="preserve">of a hill covered with olive woods, gardens and vines, is a</w:t></w:r>
</w:p>
<w:p>
<w:pPr><w:pStyle w:val="Normal"/></w:pPr>
<w:r><w:t xml:space="preserve">fortified town, with a thriving trade in fruit, olive oil and</w:t></w:r>
</w:p>
<w:p>
<w:pPr><w:pStyle w:val="Normal"/></w:pPr>
<w:r><w:t xml:space="preserve">grain.  As it commands the highway down the Tagus valley to</w:t></w:r>
</w:p>
<w:p>
<w:pPr><w:pStyle w:val="Normal"/></w:pPr>
<w:r><w:t xml:space="preserve">Lisbon, it has usually been regarded as an important military</w:t></w:r>
</w:p>
<w:p>
<w:pPr><w:pStyle w:val="Normal"/></w:pPr>
<w:r><w:t xml:space="preserve">position.  Originally an Iberian settlement, founded about</w:t></w:r>
</w:p>
<w:p>
<w:pPr><w:pStyle w:val="Normal"/></w:pPr>
<w:r><w:t xml:space="preserve">300 B.C., it received the name Aurantes from the Romans;</w:t></w:r>
</w:p>
<w:p>
<w:pPr><w:pStyle w:val="Normal"/></w:pPr>
<w:r><w:t xml:space="preserve">perhaps owing to the alluvial gold (aurum) found along the</w:t></w:r>
</w:p>
<w:p>
<w:pPr><w:pStyle w:val="Normal"/></w:pPr>
<w:r><w:t xml:space="preserve">Tagub.  Roman mosaics, coins, the remains of an aqueduct, and</w:t></w:r>
</w:p>
<w:p>
<w:pPr><w:pStyle w:val="Normal"/></w:pPr>
<w:r><w:t xml:space="preserve">other antiquities have been discovered in the neighbourhood.</w:t></w:r>
</w:p>
<w:p>
<w:pPr><w:pStyle w:val="Normal"/></w:pPr>
<w:r><w:t xml:space="preserve">Abrantes was captured on the 24th of November 1807 by the</w:t></w:r>
</w:p>
<w:p>
<w:pPr><w:pStyle w:val="Normal"/></w:pPr>
<w:r><w:t xml:space="preserve">French under General Junot, who for this achievement was created</w:t></w:r>
</w:p>
<w:p>
<w:pPr><w:pStyle w:val="Normal"/></w:pPr>
<w:r><w:t xml:space="preserve">duke of Abrantes.  By the Convention of Cintra (22nd of August</w:t></w:r>
</w:p>
<w:p>
<w:pPr><w:pStyle w:val="Normal"/></w:pPr>
<w:r><w:t xml:space="preserve">1808) the town was restored to the British and Portuguese.</w:t></w:r>
</w:p>
<w:p>
<w:pPr><w:pStyle w:val="Normal"/></w:pPr>
<w:r><w:t xml:space="preserve">ABRASION (from Lat. ab, off, and radere, to scrape), the</w:t></w:r>
</w:p>
<w:p>
<w:pPr><w:pStyle w:val="Normal"/></w:pPr>
<w:r><w:t xml:space="preserve">process of rubbing off or wearing down, as of rock by moving</w:t></w:r>
</w:p>
<w:p>
<w:pPr><w:pStyle w:val="Normal"/></w:pPr>
<w:r><w:t xml:space="preserve">ice, or of coins by wear and tear; also used of the results of</w:t></w:r>
</w:p>
<w:p>
<w:pPr><w:pStyle w:val="Normal"/></w:pPr>
<w:r><w:t xml:space="preserve">such a process as an abrasion or excoriation of the skin.  In</w:t></w:r>
</w:p>
<w:p>
<w:pPr><w:pStyle w:val="Normal"/></w:pPr>
<w:r><w:t xml:space="preserve">machinery, abrasion between moving surfaces has to be prevented as</w:t></w:r>
</w:p>
<w:p>
<w:pPr><w:pStyle w:val="Normal"/></w:pPr>
<w:r><w:t xml:space="preserve">much as possible by the use of suitable materials, good fitting and</w:t></w:r>
</w:p>
<w:p>
<w:pPr><w:pStyle w:val="Normal"/></w:pPr>
<w:r><w:t xml:space="preserve">lubrication.  Engineers and other craftsmen make extensive use</w:t></w:r>
</w:p>
<w:p>
<w:pPr><w:pStyle w:val="Normal"/></w:pPr>
<w:r><w:t xml:space="preserve">of abrasion, effected by the aid of such abrasives as emery and</w:t></w:r>
</w:p>
<w:p>
<w:pPr><w:pStyle w:val="Normal"/></w:pPr>
<w:r><w:t xml:space="preserve">carborundum, in shaping, finishing and polishing their work.</w:t></w:r>
</w:p>
<w:p>
<w:pPr><w:pStyle w:val="Normal"/></w:pPr>
<w:r><w:t xml:space="preserve">ABRAUM SALTS (from the German Abraum-salze, salts</w:t></w:r>
</w:p>
<w:p>
<w:pPr><w:pStyle w:val="Normal"/></w:pPr>
<w:r><w:t xml:space="preserve">to be removed), the name given to a mixed deposit of</w:t></w:r>
</w:p>
<w:p>
<w:pPr><w:pStyle w:val="Normal"/></w:pPr>
<w:r><w:t xml:space="preserve">salts, including halite, carnallite, kieserite, &amp;c., found</w:t></w:r>
</w:p>
<w:p>
<w:pPr><w:pStyle w:val="Normal"/></w:pPr>
<w:r><w:t xml:space="preserve">in association with rocksalt at Stassfurt in Prussia.</w:t></w:r>
</w:p>
<w:p>
<w:pPr><w:pStyle w:val="Normal"/></w:pPr>
<w:r><w:t xml:space="preserve">ABRAXAS, or ABRASAX, a word engraved on certain antique</w:t></w:r>
</w:p>
<w:p>
<w:pPr><w:pStyle w:val="Normal"/></w:pPr>
<w:r><w:t xml:space="preserve">stones, called on that account Abraxas stones, which were used</w:t></w:r>
</w:p>
<w:p>
<w:pPr><w:pStyle w:val="Normal"/></w:pPr>
<w:r><w:t xml:space="preserve">as amulets or charms.  The Basilidians, a Gnostic sect, attached</w:t></w:r>
</w:p>
<w:p>
<w:pPr><w:pStyle w:val="Normal"/></w:pPr>
<w:r><w:t xml:space="preserve">importance to the word, if, indeed, they did not bring it into</w:t></w:r>
</w:p>
<w:p>
<w:pPr><w:pStyle w:val="Normal"/></w:pPr>
<w:r><w:t xml:space="preserve">use.  The letters of abraxas, in the Greek notation, make</w:t></w:r>
</w:p>
<w:p>
<w:pPr><w:pStyle w:val="Normal"/></w:pPr>
<w:r><w:t xml:space="preserve">up the number 365, and the Basilidians gave the name to the</w:t></w:r>
</w:p>
<w:p>
<w:pPr><w:pStyle w:val="Normal"/></w:pPr>
<w:r><w:t xml:space="preserve">365 orders of spirits which, as they conceived, emanated in</w:t></w:r>
</w:p>
<w:p>
<w:pPr><w:pStyle w:val="Normal"/></w:pPr>
<w:r><w:t xml:space="preserve">succession from the Supreme Being.  These orders were supposed</w:t></w:r>
</w:p>
<w:p>
<w:pPr><w:pStyle w:val="Normal"/></w:pPr>
<w:r><w:t xml:space="preserve">to occupy 365 heavens, each fashioned like, but inferior</w:t></w:r>
</w:p>
<w:p>
<w:pPr><w:pStyle w:val="Normal"/></w:pPr>
<w:r><w:t xml:space="preserve">to that above it; and the lowest of the heavens was thought</w:t></w:r>
</w:p>
<w:p>
<w:pPr><w:pStyle w:val="Normal"/></w:pPr>
<w:r><w:t xml:space="preserve">to be the abode of the spirits who formed the earth and its</w:t></w:r>
</w:p>
<w:p>
<w:pPr><w:pStyle w:val="Normal"/></w:pPr>
<w:r><w:t xml:space="preserve">inhabitants, and to whom was committed the administration of</w:t></w:r>
</w:p>
<w:p>
<w:pPr><w:pStyle w:val="Normal"/></w:pPr>
<w:r><w:t xml:space="preserve">its affairs.  Abraxas stones are of very little value.  In</w:t></w:r>
</w:p>
<w:p>
<w:pPr><w:pStyle w:val="Normal"/></w:pPr>
<w:r><w:t xml:space="preserve">addition to the word Abraxas and other mystical characters,</w:t></w:r>
</w:p>
<w:p>
<w:pPr><w:pStyle w:val="Normal"/></w:pPr>
<w:r><w:t xml:space="preserve">they have often cabalistic figures engraved on them.  The</w:t></w:r>
</w:p>
<w:p>
<w:pPr><w:pStyle w:val="Normal"/></w:pPr>
<w:r><w:t xml:space="preserve">commonest of these have the head of a fowl, and the arms and</w:t></w:r>
</w:p>
<w:p>
<w:pPr><w:pStyle w:val="Normal"/></w:pPr>
<w:r><w:t xml:space="preserve">bust of a man, and terminate in the body and tail of a serpent.</w:t></w:r>
</w:p>
<w:p>
<w:pPr><w:pStyle w:val="Normal"/></w:pPr>
<w:r><w:t xml:space="preserve">ABROGATION (Lat. abrogare, to repeal or annul a law;</w:t></w:r>
</w:p>
<w:p>
<w:pPr><w:pStyle w:val="Normal"/></w:pPr>
<w:r><w:t xml:space="preserve">rogare, literally ``to ask,&apos;&apos; to propose a law), the</w:t></w:r>
</w:p>
<w:p>
<w:pPr><w:pStyle w:val="Normal"/></w:pPr>
<w:r><w:t xml:space="preserve">annulling or repealing of a law by legislative action.</w:t></w:r>
</w:p>
<w:p>
<w:pPr><w:pStyle w:val="Normal"/></w:pPr>
<w:r><w:t xml:space="preserve">Abrogation, which is the total annulling of a law, is to</w:t></w:r>
</w:p>
<w:p>
<w:pPr><w:pStyle w:val="Normal"/></w:pPr>
<w:r><w:t xml:space="preserve">be distinguished from the term derogation, which is used</w:t></w:r>
</w:p>
<w:p>
<w:pPr><w:pStyle w:val="Normal"/></w:pPr>
<w:r><w:t xml:space="preserve">where a law is only partially abrogated.  Abrogation may be</w:t></w:r>
</w:p>
<w:p>
<w:pPr><w:pStyle w:val="Normal"/></w:pPr>
<w:r><w:t xml:space="preserve">either express or implied.  It is express either when the new</w:t></w:r>
</w:p>
<w:p>
<w:pPr><w:pStyle w:val="Normal"/></w:pPr>
<w:r><w:t xml:space="preserve">law pronounces the annulment in general terms, as when in a</w:t></w:r>
</w:p>
<w:p>
<w:pPr><w:pStyle w:val="Normal"/></w:pPr>
<w:r><w:t xml:space="preserve">concluding section it announces that all laws contrary to the</w:t></w:r>
</w:p>
<w:p>
<w:pPr><w:pStyle w:val="Normal"/></w:pPr>
<w:r><w:t xml:space="preserve">provisions of the new one are repealed, or when in particular</w:t></w:r>
</w:p>
<w:p>
<w:pPr><w:pStyle w:val="Normal"/></w:pPr>
<w:r><w:t xml:space="preserve">terms it announces specifically the preceding laws which it</w:t></w:r>
</w:p>
<w:p>
<w:pPr><w:pStyle w:val="Normal"/></w:pPr>
<w:r><w:t xml:space="preserve">repeals.  It is implied when the new law contains provisions</w:t></w:r>
</w:p>
<w:p>
<w:pPr><w:pStyle w:val="Normal"/></w:pPr>
<w:r><w:t xml:space="preserve">which are positively contrary to the former laws without</w:t></w:r>
</w:p>
<w:p>
<w:pPr><w:pStyle w:val="Normal"/></w:pPr>
<w:r><w:t xml:space="preserve">expressly abrogating those laws, or when the condition of things</w:t></w:r>
</w:p>
<w:p>
<w:pPr><w:pStyle w:val="Normal"/></w:pPr>
<w:r><w:t xml:space="preserve">for which the law had provided has changed and consequently</w:t></w:r>
</w:p>
<w:p>
<w:pPr><w:pStyle w:val="Normal"/></w:pPr>
<w:r><w:t xml:space="preserve">the need for the law no longer exists.  The abrogation of</w:t></w:r>
</w:p>
<w:p>
<w:pPr><w:pStyle w:val="Normal"/></w:pPr>
<w:r><w:t xml:space="preserve">any statute revives the provisions of the common law which</w:t></w:r>
</w:p>
<w:p>
<w:pPr><w:pStyle w:val="Normal"/></w:pPr>
<w:r><w:t xml:space="preserve">had been abrogated by that statute.  See STATUTE; REPEAL.</w:t></w:r>
</w:p>
<w:p>
<w:pPr><w:pStyle w:val="Normal"/></w:pPr>
<w:r><w:t xml:space="preserve">ABRUZZI E MOLISE, a group of provinces (compartimento)</w:t></w:r>
</w:p>
<w:p>
<w:pPr><w:pStyle w:val="Normal"/></w:pPr>
<w:r><w:t xml:space="preserve">of Southern Italy, bounded N. by the province of Ascoli, N.W.</w:t></w:r>
</w:p>
<w:p>
<w:pPr><w:pStyle w:val="Normal"/></w:pPr>
<w:r><w:t xml:space="preserve">and W. by Perueia, S.W. by Rome and Casertz, S. by Benevento.</w:t></w:r>
</w:p>
<w:p>
<w:pPr><w:pStyle w:val="Normal"/></w:pPr>
<w:r><w:t xml:space="preserve">E. by Foggia and N.E. by the Adriatic Sea. It comprises the</w:t></w:r>
</w:p>
<w:p>
<w:pPr><w:pStyle w:val="Normal"/></w:pPr>
<w:r><w:t xml:space="preserve">provinces of Teramo (population in 1901, 307,444), Aquila</w:t></w:r>
</w:p>
<w:p>
<w:pPr><w:pStyle w:val="Normal"/></w:pPr>
<w:r><w:t xml:space="preserve">(396,620), Chieti (370,907) and Campobasso (366,571), which,</w:t></w:r>
</w:p>
<w:p>
<w:pPr><w:pStyle w:val="Normal"/></w:pPr>
<w:r><w:t xml:space="preserve">under the kingdom of Naples, respectively bore the names</w:t></w:r>
</w:p>
<w:p>
<w:pPr><w:pStyle w:val="Normal"/></w:pPr>
<w:r><w:t xml:space="preserve">Abruzzo Ulteriore I., Abruzzo Ulteriore II., Abruzzo Citeriore</w:t></w:r>
</w:p>
<w:p>
<w:pPr><w:pStyle w:val="Normal"/></w:pPr>
<w:r><w:t xml:space="preserve">(the reference being to their distance from the capital) and</w:t></w:r>
</w:p>
<w:p>
<w:pPr><w:pStyle w:val="Normal"/></w:pPr>
<w:r><w:t xml:space="preserve">Molise.  The total area is 6567 sq. m. and the population</w:t></w:r>
</w:p>
<w:p>
<w:pPr><w:pStyle w:val="Normal"/></w:pPr>
<w:r><w:t xml:space="preserve">(1901) 1,441,551.  The district is mainly mountainous in the</w:t></w:r>
</w:p>
<w:p>
<w:pPr><w:pStyle w:val="Normal"/></w:pPr>
<w:r><w:t xml:space="preserve">interior, including as it does the central portion of the</w:t></w:r>
</w:p>
<w:p>
<w:pPr><w:pStyle w:val="Normal"/></w:pPr>
<w:r><w:t xml:space="preserve">whole system of the Apennines and their culminating point,</w:t></w:r>
</w:p>
<w:p>
<w:pPr><w:pStyle w:val="Normal"/></w:pPr>
<w:r><w:t xml:space="preserve">the Gran Sasso d&apos;Italia. Towards the sea the elevation</w:t></w:r>
</w:p>
<w:p>
<w:pPr><w:pStyle w:val="Normal"/></w:pPr>
<w:r><w:t xml:space="preserve">is less considerable, the hills consisting mainly of somewhat</w:t></w:r>
</w:p>
<w:p>
<w:pPr><w:pStyle w:val="Normal"/></w:pPr>
<w:r><w:t xml:space="preserve">unstable clay and sand, but the zone of level ground along</w:t></w:r>
</w:p>
<w:p>
<w:pPr><w:pStyle w:val="Normal"/></w:pPr>
<w:r><w:t xml:space="preserve">the coast is quite inconsiderable.  The coast line itself,</w:t></w:r>
</w:p>
<w:p>
<w:pPr><w:pStyle w:val="Normal"/></w:pPr>
<w:r><w:t xml:space="preserve">though over 100 miles in length, has not a single harbour of</w:t></w:r>
</w:p>
<w:p>
<w:pPr><w:pStyle w:val="Normal"/></w:pPr>
<w:r><w:t xml:space="preserve">importance.  The climate varies considerably with the</w:t></w:r>
</w:p>
<w:p>
<w:pPr><w:pStyle w:val="Normal"/></w:pPr>
<w:r><w:t xml:space="preserve">altitude, the highest peaks being covered with snow for the</w:t></w:r>
</w:p>
<w:p>
<w:pPr><w:pStyle w:val="Normal"/></w:pPr>
<w:r><w:t xml:space="preserve">greater part of the year, while the valleys running N.E.</w:t></w:r>
</w:p>
<w:p>
<w:pPr><w:pStyle w:val="Normal"/></w:pPr>
<w:r><w:t xml:space="preserve">towards the sea are fertile and well watered by several small</w:t></w:r>
</w:p>
<w:p>
<w:pPr><w:pStyle w:val="Normal"/></w:pPr>
<w:r><w:t xml:space="preserve">rivers, the chief of which are the Tronto, Vomano, Pescara,</w:t></w:r>
</w:p>
<w:p>
<w:pPr><w:pStyle w:val="Normal"/></w:pPr>
<w:r><w:t xml:space="preserve">Sangro, Trigno and Biferno.  These are fed by less important</w:t></w:r>
</w:p>
<w:p>
<w:pPr><w:pStyle w:val="Normal"/></w:pPr>
<w:r><w:t xml:space="preserve">streams, such as the Aterno and Gizio, which water the valleys</w:t></w:r>
</w:p>
<w:p>
<w:pPr><w:pStyle w:val="Normal"/></w:pPr>
<w:r><w:t xml:space="preserve">between the main chains of the Apennines.  They are liable to</w:t></w:r>
</w:p>
<w:p>
<w:pPr><w:pStyle w:val="Normal"/></w:pPr>
<w:r><w:t xml:space="preserve">be suddenly swollen by rains, and floods and landslips often</w:t></w:r>
</w:p>
<w:p>
<w:pPr><w:pStyle w:val="Normal"/></w:pPr>
<w:r><w:t xml:space="preserve">cause considerable damage.  This danger has been increased,</w:t></w:r>
</w:p>
<w:p>
<w:pPr><w:pStyle w:val="Normal"/></w:pPr>
<w:r><w:t xml:space="preserve">as elsewhere in Italy, by indiscriminate timber-felling on</w:t></w:r>
</w:p>
<w:p>
<w:pPr><w:pStyle w:val="Normal"/></w:pPr>
<w:r><w:t xml:space="preserve">the higher mountains without provision for re-afforestation,</w:t></w:r>
</w:p>
<w:p>
<w:pPr><w:pStyle w:val="Normal"/></w:pPr>
<w:r><w:t xml:space="preserve">though considerable oak, beech, elm and pine forests still</w:t></w:r>
</w:p>
<w:p>
<w:pPr><w:pStyle w:val="Normal"/></w:pPr>
<w:r><w:t xml:space="preserve">exist and are the home of wolves, wild boars and even</w:t></w:r>
</w:p>
<w:p>
<w:pPr><w:pStyle w:val="Normal"/></w:pPr>
<w:r><w:t xml:space="preserve">bears.  They also afford feeding-ground for large herds of</w:t></w:r>
</w:p>
<w:p>
<w:pPr><w:pStyle w:val="Normal"/></w:pPr>
<w:r><w:t xml:space="preserve">swine, and the hams and sausages of the Abruzzi enjoy a high</w:t></w:r>
</w:p>
<w:p>
<w:pPr><w:pStyle w:val="Normal"/></w:pPr>
<w:r><w:t xml:space="preserve">reputation.  The rearing of cattle and sheep was at one time</w:t></w:r>
</w:p>
<w:p>
<w:pPr><w:pStyle w:val="Normal"/></w:pPr>
<w:r><w:t xml:space="preserve">the chief occupation of the inhabitants, and many of them</w:t></w:r>
</w:p>
<w:p>
<w:pPr><w:pStyle w:val="Normal"/></w:pPr>
<w:r><w:t xml:space="preserve">still drive their flocks down to the Campagna di Roma for the</w:t></w:r>
</w:p>
<w:p>
<w:pPr><w:pStyle w:val="Normal"/></w:pPr>
<w:r><w:t xml:space="preserve">winter months and back again in the summer, but more attention</w:t></w:r>
</w:p>
<w:p>
<w:pPr><w:pStyle w:val="Normal"/></w:pPr>
<w:r><w:t xml:space="preserve">is now devoted to cultivation.  This flourishes especially in</w:t></w:r>
</w:p>
<w:p>
<w:pPr><w:pStyle w:val="Normal"/></w:pPr>
<w:r><w:t xml:space="preserve">the valleys and in the now drained bed of the Lago Fucino.</w:t></w:r>
</w:p>
<w:p>
<w:pPr><w:pStyle w:val="Normal"/></w:pPr>
<w:r><w:t xml:space="preserve">The industries are various, but none of them is of great</w:t></w:r>
</w:p>
<w:p>
<w:pPr><w:pStyle w:val="Normal"/></w:pPr>
<w:r><w:t xml:space="preserve">importance.  Arms and cutlery are produced at Campobasso and</w:t></w:r>
</w:p>
<w:p>
<w:pPr><w:pStyle w:val="Normal"/></w:pPr>
<w:r><w:t xml:space="preserve">Agnone.  At the exhibition of Abruzzese art, held at Chieti</w:t></w:r>
</w:p>
<w:p>
<w:pPr><w:pStyle w:val="Normal"/></w:pPr>
<w:r><w:t xml:space="preserve">in 1905, fine specimens of goldsmiths&apos; work of the 15th and</w:t></w:r>
</w:p>
<w:p>
<w:pPr><w:pStyle w:val="Normal"/></w:pPr>
<w:r><w:t xml:space="preserve">16th centuries, of majolica of the 17th and 18th centuries,</w:t></w:r>
</w:p>
<w:p>
<w:pPr><w:pStyle w:val="Normal"/></w:pPr>
<w:r><w:t xml:space="preserve">and of tapestries and laces were brought together; and the</w:t></w:r>
</w:p>
<w:p>
<w:pPr><w:pStyle w:val="Normal"/></w:pPr>
<w:r><w:t xml:space="preserve">reproduction of some of these is still carried on, the small</w:t></w:r>
</w:p>
<w:p>
<w:pPr><w:pStyle w:val="Normal"/></w:pPr>
<w:r><w:t xml:space="preserve">town of Castelli being the centre of the manufacture.  The river</w:t></w:r>
</w:p>
<w:p>
<w:pPr><w:pStyle w:val="Normal"/></w:pPr>
<w:r><w:t xml:space="preserve">Pescara and its tributary the Tirino form an important source</w:t></w:r>
</w:p>
<w:p>
<w:pPr><w:pStyle w:val="Normal"/></w:pPr>
<w:r><w:t xml:space="preserve">of power for generating electricity.  The chief towns are (1)</w:t></w:r>
</w:p>
<w:p>
<w:pPr><w:pStyle w:val="Normal"/></w:pPr>
<w:r><w:t xml:space="preserve">Teramo, Atri, Campli, Penne, Castellammare Adriatico; (2)</w:t></w:r>
</w:p>
<w:p>
<w:pPr><w:pStyle w:val="Normal"/></w:pPr>
<w:r><w:t xml:space="preserve">Aquila, Avezzano, Celano, Tagliacozzo, Sulmona; (3) Chieti,</w:t></w:r>
</w:p>
<w:p>
<w:pPr><w:pStyle w:val="Normal"/></w:pPr>
<w:r><w:t xml:space="preserve">Lanciano, Ortona, Vasto; (4) Campobasso, Agnone, Iscrnia.</w:t></w:r>
</w:p>
<w:p>
<w:pPr><w:pStyle w:val="Normal"/></w:pPr>
<w:r><w:t xml:space="preserve">Owing to the nature of the country, communications are not</w:t></w:r>
</w:p>
<w:p>
<w:pPr><w:pStyle w:val="Normal"/></w:pPr>
<w:r><w:t xml:space="preserve">easy.  Railways are (i) the coast railway (a part of the</w:t></w:r>
</w:p>
<w:p>
<w:pPr><w:pStyle w:val="Normal"/></w:pPr>
<w:r><w:t xml:space="preserve">Bologna-Gallipoli line), with branches from Giulianova to</w:t></w:r>
</w:p>
<w:p>
<w:pPr><w:pStyle w:val="Normal"/></w:pPr>
<w:r><w:t xml:space="preserve">Teramo and from Termoli to Campobasso; (2) a line diverging</w:t></w:r>
</w:p>
<w:p>
<w:pPr><w:pStyle w:val="Normal"/></w:pPr>
<w:r><w:t xml:space="preserve">S.E. from this at Pescara and running via Sulmona (whence</w:t></w:r>
</w:p>
<w:p>
<w:pPr><w:pStyle w:val="Normal"/></w:pPr>
<w:r><w:t xml:space="preserve">there are branches via Aquila and Rieti to Terni, and via</w:t></w:r>
</w:p>
<w:p>
<w:pPr><w:pStyle w:val="Normal"/></w:pPr>
<w:r><w:t xml:space="preserve">Carpinone to (a) Isernia and Caianello, on the line from</w:t></w:r>
</w:p>
<w:p>
<w:pPr><w:pStyle w:val="Normal"/></w:pPr>
<w:r><w:t xml:space="preserve">Rome to Naples, and (b) Campobasso and Benevento), and</w:t></w:r>
</w:p>
<w:p>
<w:pPr><w:pStyle w:val="Normal"/></w:pPr>
<w:r><w:t xml:space="preserve">Avezzano (whence there is a branch to Roccasecca) to Rome.</w:t></w:r>
</w:p>
<w:p>
<w:pPr><w:pStyle w:val="Normal"/></w:pPr>
<w:r><w:t xml:space="preserve">The name Abruzzi is conjectured to be a medieval corruption of</w:t></w:r>
</w:p>
<w:p>
<w:pPr><w:pStyle w:val="Normal"/></w:pPr>
<w:r><w:t xml:space="preserve">Praetuttii.  The district was, in Lombard times, part of the</w:t></w:r>
</w:p>
<w:p>
<w:pPr><w:pStyle w:val="Normal"/></w:pPr>
<w:r><w:t xml:space="preserve">duchy of Spoleto, and, under the Normans, a part of that of</w:t></w:r>
</w:p>
<w:p>
<w:pPr><w:pStyle w:val="Normal"/></w:pPr>
<w:r><w:t xml:space="preserve">Apulia; it was first formed into a single province in 1240 by</w:t></w:r>
</w:p>
<w:p>
<w:pPr><w:pStyle w:val="Normal"/></w:pPr>
<w:r><w:t xml:space="preserve">Frederick II., who placed the Justiciarius Aprutii at Solmona</w:t></w:r>
</w:p>
<w:p>
<w:pPr><w:pStyle w:val="Normal"/></w:pPr>
<w:r><w:t xml:space="preserve">and founded the city of Aquila.  After the Hohenstauffen lost</w:t></w:r>
</w:p>
<w:p>
<w:pPr><w:pStyle w:val="Normal"/></w:pPr>
<w:r><w:t xml:space="preserve">their Italian dominions, the Abruzzi became a province of the</w:t></w:r>
</w:p>
<w:p>
<w:pPr><w:pStyle w:val="Normal"/></w:pPr>
<w:r><w:t xml:space="preserve">Angevin kingdom of Naples, to which it was of great strategic</w:t></w:r>
</w:p>
<w:p>
<w:pPr><w:pStyle w:val="Normal"/></w:pPr>
<w:r><w:t xml:space="preserve">importance.  The division into three parts was not made until</w:t></w:r>
</w:p>
<w:p>
<w:pPr><w:pStyle w:val="Normal"/></w:pPr>
<w:r><w:t xml:space="preserve">the 17th century.  The Molise, on the other hand, formed part</w:t></w:r>
</w:p>
<w:p>
<w:pPr><w:pStyle w:val="Normal"/></w:pPr>
<w:r><w:t xml:space="preserve">of the Lombard duchy of Benevento, and was placed under the</w:t></w:r>
</w:p>
<w:p>
<w:pPr><w:pStyle w:val="Normal"/></w:pPr>
<w:r><w:t xml:space="preserve">Justiciarius of Terra di Lavoro by Frederick II.: after various</w:t></w:r>
</w:p>
<w:p>
<w:pPr><w:pStyle w:val="Normal"/></w:pPr>
<w:r><w:t xml:space="preserve">changes it became part of the Capitanata, and was only formed</w:t></w:r>
</w:p>
<w:p>
<w:pPr><w:pStyle w:val="Normal"/></w:pPr>
<w:r><w:t xml:space="preserve">into an independent province in 1811.  The people are remark.</w:t></w:r>
</w:p>
<w:p>
<w:pPr><w:pStyle w:val="Normal"/></w:pPr>
<w:r><w:t xml:space="preserve">ably conservative in beliefs, superstitions and traditions.</w:t></w:r>
</w:p>
<w:p>
<w:pPr><w:pStyle w:val="Normal"/></w:pPr>
<w:r><w:t xml:space="preserve">See V. Bindi, Monumenti storici ed artistici degli Abruzzi (Naples,</w:t></w:r>
</w:p>
<w:p>
<w:pPr><w:pStyle w:val="Normal"/></w:pPr>
<w:r><w:t xml:space="preserve">1889); A. de Nino, Ulsi e costumi Abruzzesi (Florence, 1879-1883).</w:t></w:r>
</w:p>
<w:p>
<w:pPr><w:pStyle w:val="Normal"/></w:pPr>
<w:r><w:t xml:space="preserve">ABSALOM (Hebrew for ``father of [or is] peace&apos;&apos;), in the</w:t></w:r>
</w:p>
<w:p>
<w:pPr><w:pStyle w:val="Normal"/></w:pPr>
<w:r><w:t xml:space="preserve">Bible, the third son of David, king of Israel.  He was deemed</w:t></w:r>
</w:p>
<w:p>
<w:pPr><w:pStyle w:val="Normal"/></w:pPr>
<w:r><w:t xml:space="preserve">the handsomest man in the kingdom.  His sister Tamar having</w:t></w:r>
</w:p>
<w:p>
<w:pPr><w:pStyle w:val="Normal"/></w:pPr>
<w:r><w:t xml:space="preserve">been violated by David&apos;s eldest son Amnon, Absalom, after</w:t></w:r>
</w:p>
<w:p>
<w:pPr><w:pStyle w:val="Normal"/></w:pPr>
<w:r><w:t xml:space="preserve">waiting two years, caused his servants to murder Amnon at</w:t></w:r>
</w:p>
<w:p>
<w:pPr><w:pStyle w:val="Normal"/></w:pPr>
<w:r><w:t xml:space="preserve">a feast to which he had invited all the king&apos;s sons (2 Sam.</w:t></w:r>
</w:p>
<w:p>
<w:pPr><w:pStyle w:val="Normal"/></w:pPr>
<w:r><w:t xml:space="preserve">xiii.).  After this deed he fled to Talmai, ``king&apos;&apos; of Geshur</w:t></w:r>
</w:p>
<w:p>
<w:pPr><w:pStyle w:val="Normal"/></w:pPr>
<w:r><w:t xml:space="preserve">(see Josh. xii. 5 or xiii. 2), his maternal grandfather, and</w:t></w:r>
</w:p>
<w:p>
<w:pPr><w:pStyle w:val="Normal"/></w:pPr>
<w:r><w:t xml:space="preserve">it was not until five years later that he was fully reinstated</w:t></w:r>
</w:p>
<w:p>
<w:pPr><w:pStyle w:val="Normal"/></w:pPr>
<w:r><w:t xml:space="preserve">in his father&apos;s favour (see JOAB.) Four years after this he</w:t></w:r>
</w:p>
<w:p>
<w:pPr><w:pStyle w:val="Normal"/></w:pPr>
<w:r><w:t xml:space="preserve">raised a revolt at Hebron, the former capital.  Absalom was</w:t></w:r>
</w:p>
<w:p>
<w:pPr><w:pStyle w:val="Normal"/></w:pPr>
<w:r><w:t xml:space="preserve">now the eldest surviving son of David, and the present position</w:t></w:r>
</w:p>
<w:p>
<w:pPr><w:pStyle w:val="Normal"/></w:pPr>
<w:r><w:t xml:space="preserve">of the narratives (xv.-xx.)--after the birth of Solomon and</w:t></w:r>
</w:p>
<w:p>
<w:pPr><w:pStyle w:val="Normal"/></w:pPr>
<w:r><w:t xml:space="preserve">before the struggle between Solomon and Adonijah---may represent</w:t></w:r>
</w:p>
<w:p>
<w:pPr><w:pStyle w:val="Normal"/></w:pPr>
<w:r><w:t xml:space="preserve">the view that the suspicion that he was not the destined</w:t></w:r>
</w:p>
<w:p>
<w:pPr><w:pStyle w:val="Normal"/></w:pPr>
<w:r><w:t xml:space="preserve">heir of his father&apos;s throne excited the impulsive youth to</w:t></w:r>
</w:p>
<w:p>
<w:pPr><w:pStyle w:val="Normal"/></w:pPr>
<w:r><w:t xml:space="preserve">rebellion.  All Israel and Judah flocked to his side, and</w:t></w:r>
</w:p>
<w:p>
<w:pPr><w:pStyle w:val="Normal"/></w:pPr>
<w:r><w:t xml:space="preserve">David, attended only by the Cherethites and Pelethites</w:t></w:r>
</w:p>
<w:p>
<w:pPr><w:pStyle w:val="Normal"/></w:pPr>
<w:r><w:t xml:space="preserve">and some recent recruits from Gath, found it expedient to</w:t></w:r>
</w:p>
<w:p>
<w:pPr><w:pStyle w:val="Normal"/></w:pPr>
<w:r><w:t xml:space="preserve">flee.  The priests remained behind in Jerusalem, and their</w:t></w:r>
</w:p>
<w:p>
<w:pPr><w:pStyle w:val="Normal"/></w:pPr>
<w:r><w:t xml:space="preserve">sons Jonathan and Ahimaaz served as his spies.  Absalom reached</w:t></w:r>
</w:p>
<w:p>
<w:pPr><w:pStyle w:val="Normal"/></w:pPr>
<w:r><w:t xml:space="preserve">the capital and took counsel with the renowned Ahithophel.</w:t></w:r>
</w:p>
<w:p>
<w:pPr><w:pStyle w:val="Normal"/></w:pPr>
<w:r><w:t xml:space="preserve">The pursuit was continued and David took refuge beyond the</w:t></w:r>
</w:p>
<w:p>
<w:pPr><w:pStyle w:val="Normal"/></w:pPr>
<w:r><w:t xml:space="preserve">Jordan.  A battle was fought in the ``wood of Ephraim&apos;&apos; (the</w:t></w:r>
</w:p>
<w:p>
<w:pPr><w:pStyle w:val="Normal"/></w:pPr>
<w:r><w:t xml:space="preserve">name suggests a locality west of the Jordan) and Absalom&apos;s</w:t></w:r>
</w:p>
<w:p>
<w:pPr><w:pStyle w:val="Normal"/></w:pPr>
<w:r><w:t xml:space="preserve">army was completely routed.  He himself was caught in the</w:t></w:r>
</w:p>
<w:p>
<w:pPr><w:pStyle w:val="Normal"/></w:pPr>
<w:r><w:t xml:space="preserve">boughs of an oak-tree, and as David had strictly charged his</w:t></w:r>
</w:p>
<w:p>
<w:pPr><w:pStyle w:val="Normal"/></w:pPr>
<w:r><w:t xml:space="preserve">men to deal gently with the young man, Joab was informed.</w:t></w:r>
</w:p>
<w:p>
<w:pPr><w:pStyle w:val="Normal"/></w:pPr>
<w:r><w:t xml:space="preserve">What a common soldier refused to do even for a thousand</w:t></w:r>
</w:p>
<w:p>
<w:pPr><w:pStyle w:val="Normal"/></w:pPr>
<w:r><w:t xml:space="preserve">shekels of silver, the king&apos;s general at once undertook.</w:t></w:r>
</w:p>
<w:p>
<w:pPr><w:pStyle w:val="Normal"/></w:pPr>
<w:r><w:t xml:space="preserve">Joab thrust three spears through the heart of Absalom as he</w:t></w:r>
</w:p>
<w:p>
<w:pPr><w:pStyle w:val="Normal"/></w:pPr>
<w:r><w:t xml:space="preserve">struggled in the branches, and as though this were not enough,</w:t></w:r>
</w:p>
<w:p>
<w:pPr><w:pStyle w:val="Normal"/></w:pPr>
<w:r><w:t xml:space="preserve">his ten armour-bearers came around and slew him.  The king&apos;s</w:t></w:r>
</w:p>
<w:p>
<w:pPr><w:pStyle w:val="Normal"/></w:pPr>
<w:r><w:t xml:space="preserve">overwhelming grief is well known.  A great heap of stones was</w:t></w:r>
</w:p>
<w:p>
<w:pPr><w:pStyle w:val="Normal"/></w:pPr>
<w:r><w:t xml:space="preserve">erected where he fell, whilst another monument near Jerusalem</w:t></w:r>
</w:p>
<w:p>
<w:pPr><w:pStyle w:val="Normal"/></w:pPr>
<w:r><w:t xml:space="preserve">(not the modern ``Absalom&apos;s Tomb,&apos;&apos; which is of later origin)</w:t></w:r>
</w:p>
<w:p>
<w:pPr><w:pStyle w:val="Normal"/></w:pPr>
<w:r><w:t xml:space="preserve">he himself had erected in his lifetime to perpetuate his name</w:t></w:r>
</w:p>
<w:p>
<w:pPr><w:pStyle w:val="Normal"/></w:pPr>
<w:r><w:t xml:space="preserve">(2 Sam. xviii. 17 seq.).  But the latter notice does not seem</w:t></w:r>
</w:p>
<w:p>
<w:pPr><w:pStyle w:val="Normal"/></w:pPr>
<w:r><w:t xml:space="preserve">to agree with xiv. 27 (cf. 1 Kings xv. 2). On the narratives</w:t></w:r>
</w:p>
<w:p>
<w:pPr><w:pStyle w:val="Normal"/></w:pPr>
<w:r><w:t xml:space="preserve">in 2 Sam. xiii.-xix., see further DAVID; SAMUEL, BOOKS OF.</w:t></w:r>
</w:p>
<w:p>
<w:pPr><w:pStyle w:val="Normal"/></w:pPr>
<w:r><w:t xml:space="preserve">ABSALON (c. 1128-1201), Danish archbishop and statesman,</w:t></w:r>
</w:p>
<w:p>
<w:pPr><w:pStyle w:val="Normal"/></w:pPr>
<w:r><w:t xml:space="preserve">was born about 1128, the son of Asser Rig of Fjenneslev,</w:t></w:r>
</w:p>
<w:p>
<w:pPr><w:pStyle w:val="Normal"/></w:pPr>
<w:r><w:t xml:space="preserve">at whose castle he and his brother Esbjorn were brought up</w:t></w:r>
</w:p>
<w:p>
<w:pPr><w:pStyle w:val="Normal"/></w:pPr>
<w:r><w:t xml:space="preserve">along with the young prince Valdemar, afterwards Valdemar</w:t></w:r>
</w:p>
<w:p>
<w:pPr><w:pStyle w:val="Heading1"/></w:pPr>
<w:r><w:t>I. The Rigs were as pious and enlightened as they were</w:t></w:r>
</w:p>
<w:p>
<w:pPr><w:pStyle w:val="Normal"/></w:pPr>
<w:r><w:t xml:space="preserve">rich.  They founded the monastery of Soro as a civilizing</w:t></w:r>
</w:p>
<w:p>
<w:pPr><w:pStyle w:val="Normal"/></w:pPr>
<w:r><w:t xml:space="preserve">centre, and after giving Absalon the rudiments of a sound</w:t></w:r>
</w:p>
<w:p>
<w:pPr><w:pStyle w:val="Normal"/></w:pPr>
<w:r><w:t xml:space="preserve">education at home, which included not only book-lore but every</w:t></w:r>
</w:p>
<w:p>
<w:pPr><w:pStyle w:val="Normal"/></w:pPr>
<w:r><w:t xml:space="preserve">manly and martial exercise, they sent him to the university of</w:t></w:r>
</w:p>
<w:p>
<w:pPr><w:pStyle w:val="Normal"/></w:pPr>
<w:r><w:t xml:space="preserve">Paris.  Absalon first appears in Saxo&apos;s Chronicle as a</w:t></w:r>
</w:p>
<w:p>
<w:pPr><w:pStyle w:val="Normal"/></w:pPr>
<w:r><w:t xml:space="preserve">fellow-guest at Roskilde, at the banquet given, in 1157, by</w:t></w:r>
</w:p>
<w:p>
<w:pPr><w:pStyle w:val="Normal"/></w:pPr>
<w:r><w:t xml:space="preserve">King Sweyn to his rivals Canute and Valdemar.  Both Absalon and</w:t></w:r>
</w:p>
<w:p>
<w:pPr><w:pStyle w:val="Normal"/></w:pPr>
<w:r><w:t xml:space="preserve">Valdemar narrowly escaped assassination at the hands of their</w:t></w:r>
</w:p>
<w:p>
<w:pPr><w:pStyle w:val="Normal"/></w:pPr>
<w:r><w:t xml:space="preserve">treacherous host on this occasion, but at length escaped to</w:t></w:r>
</w:p>
<w:p>
<w:pPr><w:pStyle w:val="Normal"/></w:pPr>
<w:r><w:t xml:space="preserve">Jutland, whither Sweyn followed them, but was defeated and slain</w:t></w:r>
</w:p>
<w:p>
<w:pPr><w:pStyle w:val="Normal"/></w:pPr>
<w:r><w:t xml:space="preserve">at the battle of Grathe Heath.  The same year (1158) which saw</w:t></w:r>
</w:p>
<w:p>
<w:pPr><w:pStyle w:val="Normal"/></w:pPr>
<w:r><w:t xml:space="preserve">Valdemar ascend the Danish throne saw Absalon elected bishop of</w:t></w:r>
</w:p>
<w:p>
<w:pPr><w:pStyle w:val="Normal"/></w:pPr>
<w:r><w:t xml:space="preserve">Roskilde.  Henceforth Absalon was the chief counsellor of</w:t></w:r>
</w:p>
<w:p>
<w:pPr><w:pStyle w:val="Normal"/></w:pPr>
<w:r><w:t xml:space="preserve">Valdemar, and the promoter of that imperial policy which, for</w:t></w:r>
</w:p>
<w:p>
<w:pPr><w:pStyle w:val="Normal"/></w:pPr>
<w:r><w:t xml:space="preserve">three generations, was to give Denmark the dominion of the</w:t></w:r>
</w:p>
<w:p>
<w:pPr><w:pStyle w:val="Normal"/></w:pPr>
<w:r><w:t xml:space="preserve">Baltic.  Briefly, it was Absalon&apos;s intention to Clear the</w:t></w:r>
</w:p>
<w:p>
<w:pPr><w:pStyle w:val="Normal"/></w:pPr>
<w:r><w:t xml:space="preserve">northern sea of the Wendish pirates, who inhabited that portion</w:t></w:r>
</w:p>
<w:p>
<w:pPr><w:pStyle w:val="Normal"/></w:pPr>
<w:r><w:t xml:space="preserve">of the Baltic littoral which we now call Pomerania, and ravaged</w:t></w:r>
</w:p>
<w:p>
<w:pPr><w:pStyle w:val="Normal"/></w:pPr>
<w:r><w:t xml:space="preserve">the Danish coasts so unmercifully that at the accession of</w:t></w:r>
</w:p>
<w:p>
<w:pPr><w:pStyle w:val="Normal"/></w:pPr>
<w:r><w:t xml:space="preserve">Valdemar one-third of the realm of Denmark lay wasted and</w:t></w:r>
</w:p>
<w:p>
<w:pPr><w:pStyle w:val="Normal"/></w:pPr>
<w:r><w:t xml:space="preserve">depopulated.  The very existence of Denmark demanded the</w:t></w:r>
</w:p>
<w:p>
<w:pPr><w:pStyle w:val="Normal"/></w:pPr>
<w:r><w:t xml:space="preserve">suppression and conversion of these stiff-necked pagan</w:t></w:r>
</w:p>
<w:p>
<w:pPr><w:pStyle w:val="Normal"/></w:pPr>
<w:r><w:t xml:space="preserve">freebooters, and to this double task Absalon devoted the</w:t></w:r>
</w:p>
<w:p>
<w:pPr><w:pStyle w:val="Normal"/></w:pPr>
<w:r><w:t xml:space="preserve">best part of his life.  The first expedition against the</w:t></w:r>
</w:p>
<w:p>
<w:pPr><w:pStyle w:val="Normal"/></w:pPr>
<w:r><w:t xml:space="preserve">Wends, conducted by Absalon in person, set out in 1160,</w:t></w:r>
</w:p>
<w:p>
<w:pPr><w:pStyle w:val="Normal"/></w:pPr>
<w:r><w:t xml:space="preserve">but it was not till 1168 that the chief Wendish fortress,</w:t></w:r>
</w:p>
<w:p>
<w:pPr><w:pStyle w:val="Normal"/></w:pPr>
<w:r><w:t xml:space="preserve">at Arkona in Rugen, containing the sanctuary of their god</w:t></w:r>
</w:p>
<w:p>
<w:pPr><w:pStyle w:val="Normal"/></w:pPr>
<w:r><w:t xml:space="preserve">Svantovit, was surrendered, the Wends agreeing to accept</w:t></w:r>
</w:p>
<w:p>
<w:pPr><w:pStyle w:val="Normal"/></w:pPr>
<w:r><w:t xml:space="preserve">Danish suzerainty and the Christian religion at the same</w:t></w:r>
</w:p>
<w:p>
<w:pPr><w:pStyle w:val="Normal"/></w:pPr>
<w:r><w:t xml:space="preserve">time.  From Arkona Absalon proceeded by sea to Garz, in south</w:t></w:r>
</w:p>
<w:p>
<w:pPr><w:pStyle w:val="Normal"/></w:pPr>
<w:r><w:t xml:space="preserve">Rugen, the political capital of the Wends, and an all but</w:t></w:r>
</w:p>
<w:p>
<w:pPr><w:pStyle w:val="Normal"/></w:pPr>
<w:r><w:t xml:space="preserve">impregnable stronghold.  But the unexpected fall of Arkona</w:t></w:r>
</w:p>
<w:p>
<w:pPr><w:pStyle w:val="Normal"/></w:pPr>
<w:r><w:t xml:space="preserve">had terrified the garrison, which surrendered unconditionally</w:t></w:r>
</w:p>
<w:p>
<w:pPr><w:pStyle w:val="Normal"/></w:pPr>
<w:r><w:t xml:space="preserve">at the first appearance of the Danish ships.  Absalon, with</w:t></w:r>
</w:p>
<w:p>
<w:pPr><w:pStyle w:val="Normal"/></w:pPr>
<w:r><w:t xml:space="preserve">only Sweyn, bishop of Aarhus, and twelve ``house carls,&apos;&apos;</w:t></w:r>
</w:p>
<w:p>
<w:pPr><w:pStyle w:val="Normal"/></w:pPr>
<w:r><w:t xml:space="preserve">thereupon disembarked, passed between a double row of Wendish</w:t></w:r>
</w:p>
<w:p>
<w:pPr><w:pStyle w:val="Normal"/></w:pPr>
<w:r><w:t xml:space="preserve">warriors, 6000 strong, along the narrow path winding among the</w:t></w:r>
</w:p>
<w:p>
<w:pPr><w:pStyle w:val="Normal"/></w:pPr>
<w:r><w:t xml:space="preserve">morasses, to the gates of the fortress, and, proceeding to the</w:t></w:r>
</w:p>
<w:p>
<w:pPr><w:pStyle w:val="Normal"/></w:pPr>
<w:r><w:t xml:space="preserve">temple of the seven-headed god Rugievit, caused the idol to</w:t></w:r>
</w:p>
<w:p>
<w:pPr><w:pStyle w:val="Normal"/></w:pPr>
<w:r><w:t xml:space="preserve">be hewn down, dragged forth and burnt.  The whole population</w:t></w:r>
</w:p>
<w:p>
<w:pPr><w:pStyle w:val="Normal"/></w:pPr>
<w:r><w:t xml:space="preserve">of Garz was then baptized, and Absalon laid the foundations</w:t></w:r>
</w:p>
<w:p>
<w:pPr><w:pStyle w:val="Normal"/></w:pPr>
<w:r><w:t xml:space="preserve">of twelve churches in the isle of Rugen.  The destruction of</w:t></w:r>
</w:p>
<w:p>
<w:pPr><w:pStyle w:val="Normal"/></w:pPr>
<w:r><w:t xml:space="preserve">this chief sally-port of the Wendish pirates enabled Absalon</w:t></w:r>
</w:p>
<w:p>
<w:pPr><w:pStyle w:val="Normal"/></w:pPr>
<w:r><w:t xml:space="preserve">considerably to reduce the Danish fleet.  But he continued</w:t></w:r>
</w:p>
<w:p>
<w:pPr><w:pStyle w:val="Normal"/></w:pPr>
<w:r><w:t xml:space="preserve">to keep a watchful eye over the Baltic, and in 1170 destroyed</w:t></w:r>
</w:p>
<w:p>
<w:pPr><w:pStyle w:val="Normal"/></w:pPr>
<w:r><w:t xml:space="preserve">another pirate stronghold, farther eastward, at Dievenow</w:t></w:r>
</w:p>
<w:p>
<w:pPr><w:pStyle w:val="Normal"/></w:pPr>
<w:r><w:t xml:space="preserve">on the isle of Wollin.  Absalon&apos;s last military exploit was</w:t></w:r>
</w:p>
<w:p>
<w:pPr><w:pStyle w:val="Normal"/></w:pPr>
<w:r><w:t xml:space="preserve">the annihilation, off Strela (Stralsund), on Whit-Sunday</w:t></w:r>
</w:p>
<w:p>
<w:pPr><w:pStyle w:val="Normal"/></w:pPr>
<w:r><w:t xml:space="preserve">1184, of a Pomeranian fleet which had attacked Denmark&apos;s</w:t></w:r>
</w:p>
<w:p>
<w:pPr><w:pStyle w:val="Normal"/></w:pPr>
<w:r><w:t xml:space="preserve">vassal, Jaromir of Rugen.  He was now but fifty-seven, but</w:t></w:r>
</w:p>
<w:p>
<w:pPr><w:pStyle w:val="Normal"/></w:pPr>
<w:r><w:t xml:space="preserve">his strenuous life had aged him, and he was content to resign</w:t></w:r>
</w:p>
<w:p>
<w:pPr><w:pStyle w:val="Normal"/></w:pPr>
<w:r><w:t xml:space="preserve">the command of fleets and armies to younger men, like Duke</w:t></w:r>
</w:p>
<w:p>
<w:pPr><w:pStyle w:val="Normal"/></w:pPr>
<w:r><w:t xml:space="preserve">Valdemar, afterwards Valdemar II., and to confine himself</w:t></w:r>
</w:p>
<w:p>
<w:pPr><w:pStyle w:val="Normal"/></w:pPr>
<w:r><w:t xml:space="preserve">to the administration of the empire which his genius had</w:t></w:r>
</w:p>
<w:p>
<w:pPr><w:pStyle w:val="Normal"/></w:pPr>
<w:r><w:t xml:space="preserve">created.  In this sphere Absalon proved himself equally</w:t></w:r>
</w:p>
<w:p>
<w:pPr><w:pStyle w:val="Normal"/></w:pPr>
<w:r><w:t xml:space="preserve">great.  The aim of his policy was to free Denmark from the German</w:t></w:r>
</w:p>
<w:p>
<w:pPr><w:pStyle w:val="Normal"/></w:pPr>
<w:r><w:t xml:space="preserve">yoke.  It was contrary to his advice and warnings that Valdemar</w:t></w:r>
</w:p>
<w:p>
<w:pPr><w:pStyle w:val="Heading1"/></w:pPr>
<w:r><w:t>I. rendered fealty to the emperor Frederick Barbarossa at</w:t></w:r>
</w:p>
<w:p>
<w:pPr><w:pStyle w:val="Normal"/></w:pPr>
<w:r><w:t xml:space="preserve">Dole in 1162; and when, on the accession of Canute V. in</w:t></w:r>
</w:p>
<w:p>
<w:pPr><w:pStyle w:val="Normal"/></w:pPr>
<w:r><w:t xml:space="preserve">1182, an imperial ambassador arrived at Roskilde to receive</w:t></w:r>
</w:p>
<w:p>
<w:pPr><w:pStyle w:val="Normal"/></w:pPr>
<w:r><w:t xml:space="preserve">the homage of the new king, Absalon resolutely withstood</w:t></w:r>
</w:p>
<w:p>
<w:pPr><w:pStyle w:val="Normal"/></w:pPr>
<w:r><w:t xml:space="preserve">him. ``Return to the emperor,&apos;&apos; cried he, ``and tell him that</w:t></w:r>
</w:p>
<w:p>
<w:pPr><w:pStyle w:val="Normal"/></w:pPr>
<w:r><w:t xml:space="preserve">the king of Denmark will in no wise show him obedience or</w:t></w:r>
</w:p>
<w:p>
<w:pPr><w:pStyle w:val="Normal"/></w:pPr>
<w:r><w:t xml:space="preserve">do him homage.&apos;&apos; As the archpastor of Denmark Absalon also</w:t></w:r>
</w:p>
<w:p>
<w:pPr><w:pStyle w:val="Normal"/></w:pPr>
<w:r><w:t xml:space="preserve">rendered his country inestimable services, building churches</w:t></w:r>
</w:p>
<w:p>
<w:pPr><w:pStyle w:val="Normal"/></w:pPr>
<w:r><w:t xml:space="preserve">and monasteries, introducing the religious orders, founding</w:t></w:r>
</w:p>
<w:p>
<w:pPr><w:pStyle w:val="Normal"/></w:pPr>
<w:r><w:t xml:space="preserve">schools and doing his utmost to promote civilization and</w:t></w:r>
</w:p>
<w:p>
<w:pPr><w:pStyle w:val="Normal"/></w:pPr>
<w:r><w:t xml:space="preserve">enlightenment.  It was he who held the first Danish Synod at</w:t></w:r>
</w:p>
<w:p>
<w:pPr><w:pStyle w:val="Normal"/></w:pPr>
<w:r><w:t xml:space="preserve">Lund in 1167.  In 1178 he became archbishop of Lund, but very</w:t></w:r>
</w:p>
<w:p>
<w:pPr><w:pStyle w:val="Normal"/></w:pPr>
<w:r><w:t xml:space="preserve">unwillingly, only the threat of excommunication from the</w:t></w:r>
</w:p>
<w:p>
<w:pPr><w:pStyle w:val="Normal"/></w:pPr>
<w:r><w:t xml:space="preserve">holy see finally inducing him to accept the pallium.  Absalon</w:t></w:r>
</w:p>
<w:p>
<w:pPr><w:pStyle w:val="Normal"/></w:pPr>
<w:r><w:t xml:space="preserve">died on the 21st of March 1201, at the family monastery of</w:t></w:r>
</w:p>
<w:p>
<w:pPr><w:pStyle w:val="Normal"/></w:pPr>
<w:r><w:t xml:space="preserve">Soro, which he himself had richly embellished and endowed.</w:t></w:r>
</w:p>
<w:p>
<w:pPr><w:pStyle w:val="Normal"/></w:pPr>
<w:r><w:t xml:space="preserve">Absalon remains one of the most striking and picturesque</w:t></w:r>
</w:p>
<w:p>
<w:pPr><w:pStyle w:val="Normal"/></w:pPr>
<w:r><w:t xml:space="preserve">figures of the Middle Ages, and was equally great as</w:t></w:r>
</w:p>
<w:p>
<w:pPr><w:pStyle w:val="Normal"/></w:pPr>
<w:r><w:t xml:space="preserve">churchman, statesman and warrior.  That he enjoyed warfare</w:t></w:r>
</w:p>
<w:p>
<w:pPr><w:pStyle w:val="Normal"/></w:pPr>
<w:r><w:t xml:space="preserve">there can be no doubt; and his splendid physique and early</w:t></w:r>
</w:p>
<w:p>
<w:pPr><w:pStyle w:val="Normal"/></w:pPr>
<w:r><w:t xml:space="preserve">training had well fitted him for martial exercises.  He</w:t></w:r>
</w:p>
<w:p>
<w:pPr><w:pStyle w:val="Normal"/></w:pPr>
<w:r><w:t xml:space="preserve">was the best rider in the army and the best swimmer in the</w:t></w:r>
</w:p>
<w:p>
<w:pPr><w:pStyle w:val="Normal"/></w:pPr>
<w:r><w:t xml:space="preserve">fleet.  Yet he was not like the ordinary fighting bishops</w:t></w:r>
</w:p>
<w:p>
<w:pPr><w:pStyle w:val="Normal"/></w:pPr>
<w:r><w:t xml:space="preserve">of the Middle Ages, whose sole concession to their sacred</w:t></w:r>
</w:p>
<w:p>
<w:pPr><w:pStyle w:val="Normal"/></w:pPr>
<w:r><w:t xml:space="preserve">calling was to avoid the ``shedding of blood&apos;&apos; by using a mace</w:t></w:r>
</w:p>
<w:p>
<w:pPr><w:pStyle w:val="Normal"/></w:pPr>
<w:r><w:t xml:space="preserve">in battle instead of a sword.  Absalon never neglected his</w:t></w:r>
</w:p>
<w:p>
<w:pPr><w:pStyle w:val="Normal"/></w:pPr>
<w:r><w:t xml:space="preserve">ecclesiastical duties, and even his wars were of the nature of</w:t></w:r>
</w:p>
<w:p>
<w:pPr><w:pStyle w:val="Normal"/></w:pPr>
<w:r><w:t xml:space="preserve">Crusades.  Moreover, all his martial energy notwithstanding,</w:t></w:r>
</w:p>
<w:p>
<w:pPr><w:pStyle w:val="Normal"/></w:pPr>
<w:r><w:t xml:space="preserve">his personality must have been singularly winning; for it is</w:t></w:r>
</w:p>
<w:p>
<w:pPr><w:pStyle w:val="Normal"/></w:pPr>
<w:r><w:t xml:space="preserve">said of him that he left behind not a single enemy, all his</w:t></w:r>
</w:p>
<w:p>
<w:pPr><w:pStyle w:val="Normal"/></w:pPr>
<w:r><w:t xml:space="preserve">opponents having long since been converted by him into friends.</w:t></w:r>
</w:p>
<w:p>
<w:pPr><w:pStyle w:val="Normal"/></w:pPr>
<w:r><w:t xml:space="preserve">See Saxo, Gesta Danorum, ed.  Holder (Strassburg, 1886), books</w:t></w:r>
</w:p>
<w:p>
<w:pPr><w:pStyle w:val="Normal"/></w:pPr>
<w:r><w:t xml:space="preserve">xvi.; Steinstrup, Danmark&apos;s Riges Historic.  Oldtiden og den (eldre</w:t></w:r>
</w:p>
<w:p>
<w:pPr><w:pStyle w:val="Normal"/></w:pPr>
<w:r><w:t xml:space="preserve">Middelalder, pp. 570-735 (Copenhagen, 1897-1905). (R. N. B.)</w:t></w:r>
</w:p>
<w:p>
<w:pPr><w:pStyle w:val="Normal"/></w:pPr>
<w:r><w:t xml:space="preserve">ABSCESS (from Lat. abscedere, to separate), in pathology,</w:t></w:r>
</w:p>
<w:p>
<w:pPr><w:pStyle w:val="Normal"/></w:pPr>
<w:r><w:t xml:space="preserve">a collection of pus among the tissues of the body, the result</w:t></w:r>
</w:p>
<w:p>
<w:pPr><w:pStyle w:val="Normal"/></w:pPr>
<w:r><w:t xml:space="preserve">of bacterial inflammation.  Without the presence of septic</w:t></w:r>
</w:p>
<w:p>
<w:pPr><w:pStyle w:val="Normal"/></w:pPr>
<w:r><w:t xml:space="preserve">organisms abscess does not occur.  At any rate, every acute</w:t></w:r>
</w:p>
<w:p>
<w:pPr><w:pStyle w:val="Normal"/></w:pPr>
<w:r><w:t xml:space="preserve">abscess contains septic germs, and these may have reached the</w:t></w:r>
</w:p>
<w:p>
<w:pPr><w:pStyle w:val="Normal"/></w:pPr>
<w:r><w:t xml:space="preserve">inflamed area by direct infection, or may have been carried</w:t></w:r>
</w:p>
<w:p>
<w:pPr><w:pStyle w:val="Normal"/></w:pPr>
<w:r><w:t xml:space="preserve">thither by the blood-stream.  Previous to the formation of</w:t></w:r>
</w:p>
<w:p>
<w:pPr><w:pStyle w:val="Normal"/></w:pPr>
<w:r><w:t xml:space="preserve">abscess something has occurred to lower the vitality of the</w:t></w:r>
</w:p>
<w:p>
<w:pPr><w:pStyle w:val="Normal"/></w:pPr>
<w:r><w:t xml:space="preserve">affected tissue--- some gross injury, perchance, or it may be</w:t></w:r>
</w:p>
<w:p>
<w:pPr><w:pStyle w:val="Normal"/></w:pPr>
<w:r><w:t xml:space="preserve">that the power of resistance against bacillary invasion was</w:t></w:r>
</w:p>
<w:p>
<w:pPr><w:pStyle w:val="Normal"/></w:pPr>
<w:r><w:t xml:space="preserve">lowered by reason of constitutional weakness.  As the result,</w:t></w:r>
</w:p>
<w:p>
<w:pPr><w:pStyle w:val="Normal"/></w:pPr>
<w:r><w:t xml:space="preserve">then, of lowered vitality, a certain area becomes congested and</w:t></w:r>
</w:p>
<w:p>
<w:pPr><w:pStyle w:val="Normal"/></w:pPr>
<w:r><w:t xml:space="preserve">effusion takes place into the tissues.  This effusion coagulates</w:t></w:r>
</w:p>
<w:p>
<w:pPr><w:pStyle w:val="Normal"/></w:pPr>
<w:r><w:t xml:space="preserve">and a hard, brawny mass is formed which softens towards the</w:t></w:r>
</w:p>
<w:p>
<w:pPr><w:pStyle w:val="Normal"/></w:pPr>
<w:r><w:t xml:space="preserve">centre.  If nothing is done the softened area increases in</w:t></w:r>
</w:p>
<w:p>
<w:pPr><w:pStyle w:val="Normal"/></w:pPr>
<w:r><w:t xml:space="preserve">size, the skin over it becomes thinned, loses its vitality</w:t></w:r>
</w:p>
<w:p>
<w:pPr><w:pStyle w:val="Normal"/></w:pPr>
<w:r><w:t xml:space="preserve">(mortifies) and a small ``slough&apos;&apos; is formed.  When the slough</w:t></w:r>
</w:p>
<w:p>
<w:pPr><w:pStyle w:val="Normal"/></w:pPr>
<w:r><w:t xml:space="preserve">gives way the pus escapes and, tension being relieved, pain</w:t></w:r>
</w:p>
<w:p>
<w:pPr><w:pStyle w:val="Normal"/></w:pPr>
<w:r><w:t xml:space="preserve">ceases.  A local necrosis or death of tissue takes place at</w:t></w:r>
</w:p>
<w:p>
<w:pPr><w:pStyle w:val="Normal"/></w:pPr>
<w:r><w:t xml:space="preserve">that part of the inflammatory swelling farthest from the healthy</w:t></w:r>
</w:p>
<w:p>
<w:pPr><w:pStyle w:val="Normal"/></w:pPr>
<w:r><w:t xml:space="preserve">circulation.  When the attack of septic inflammation is very</w:t></w:r>
</w:p>
<w:p>
<w:pPr><w:pStyle w:val="Normal"/></w:pPr>
<w:r><w:t xml:space="preserve">acute, death of the tissue occurs en masse, as in the</w:t></w:r>
</w:p>
<w:p>
<w:pPr><w:pStyle w:val="Normal"/></w:pPr>
<w:r><w:t xml:space="preserve">core of a boil or carbuncle.  Sometimes, however, no such</w:t></w:r>
</w:p>
<w:p>
<w:pPr><w:pStyle w:val="Normal"/></w:pPr>
<w:r><w:t xml:space="preserve">mass of dead tissue is to be observed, and all that escapes</w:t></w:r>
</w:p>
<w:p>
<w:pPr><w:pStyle w:val="Normal"/></w:pPr>
<w:r><w:t xml:space="preserve">when the skin is lanced or gives way is the creamy pus.  In</w:t></w:r>
</w:p>
<w:p>
<w:pPr><w:pStyle w:val="Normal"/></w:pPr>
<w:r><w:t xml:space="preserve">the latter case the tissue has broken down in a molecular</w:t></w:r>
</w:p>
<w:p>
<w:pPr><w:pStyle w:val="Normal"/></w:pPr>
<w:r><w:t xml:space="preserve">form.  After the escape of the core or slough along with a</w:t></w:r>
</w:p>
<w:p>
<w:pPr><w:pStyle w:val="Normal"/></w:pPr>
<w:r><w:t xml:space="preserve">certain amount of pus, a space, the abscess-cavily&apos;, is left,</w:t></w:r>
</w:p>
<w:p>
<w:pPr><w:pStyle w:val="Normal"/></w:pPr>
<w:r><w:t xml:space="preserve">the walls of which are lined with new vascular tissue which</w:t></w:r>
</w:p>
<w:p>
<w:pPr><w:pStyle w:val="Normal"/></w:pPr>
<w:r><w:t xml:space="preserve">has itself escaped destruction.  This lowly organized material</w:t></w:r>
</w:p>
<w:p>
<w:pPr><w:pStyle w:val="Normal"/></w:pPr>
<w:r><w:t xml:space="preserve">is called granulation tissue, and exactly resembles the</w:t></w:r>
</w:p>
<w:p>
<w:pPr><w:pStyle w:val="Normal"/></w:pPr>
<w:r><w:t xml:space="preserve">growth which covers the floor of an ulcer.  These granulations</w:t></w:r>
</w:p>
<w:p>
<w:pPr><w:pStyle w:val="Normal"/></w:pPr>
<w:r><w:t xml:space="preserve">eventually fill the contracting cavity and obliterate it by</w:t></w:r>
</w:p>
<w:p>
<w:pPr><w:pStyle w:val="Normal"/></w:pPr>
<w:r><w:t xml:space="preserve">forming interstitial scar-tissue.  This is called healing</w:t></w:r>
</w:p>
<w:p>
<w:pPr><w:pStyle w:val="Normal"/></w:pPr>
<w:r><w:t xml:space="preserve">by second intention. Pus may accumulate in a normal cavity,</w:t></w:r>
</w:p>
<w:p>
<w:pPr><w:pStyle w:val="Normal"/></w:pPr>
<w:r><w:t xml:space="preserve">such as a joint or bursa, or in the cranial, thoracic or</w:t></w:r>
</w:p>
<w:p>
<w:pPr><w:pStyle w:val="Normal"/></w:pPr>
<w:r><w:t xml:space="preserve">abdominal cavity.  In all these situations, if the diagnosis</w:t></w:r>
</w:p>
<w:p>
<w:pPr><w:pStyle w:val="Normal"/></w:pPr>
<w:r><w:t xml:space="preserve">is clear, the principle of treatment is evacuation and</w:t></w:r>
</w:p>
<w:p>
<w:pPr><w:pStyle w:val="Normal"/></w:pPr>
<w:r><w:t xml:space="preserve">drainage.  When evacuating an abscess it is often advisable</w:t></w:r>
</w:p>
<w:p>
<w:pPr><w:pStyle w:val="Normal"/></w:pPr>
<w:r><w:t xml:space="preserve">to scrape away the lining of unhealthy granulations and</w:t></w:r>
</w:p>
<w:p>
<w:pPr><w:pStyle w:val="Normal"/></w:pPr>
<w:r><w:t xml:space="preserve">to wash out the cavity with an antiseptic lotion.  If the</w:t></w:r>
</w:p>
<w:p>
<w:pPr><w:pStyle w:val="Normal"/></w:pPr>
<w:r><w:t xml:space="preserve">after-drainage of the cavity is thorough the formation of</w:t></w:r>
</w:p>
<w:p>
<w:pPr><w:pStyle w:val="Normal"/></w:pPr>
<w:r><w:t xml:space="preserve">pus ceases and the watery discharge from the abscess wall</w:t></w:r>
</w:p>
<w:p>
<w:pPr><w:pStyle w:val="Normal"/></w:pPr>
<w:r><w:t xml:space="preserve">subsides.  As the cavity contracts the discharge becomes less,</w:t></w:r>
</w:p>
<w:p>
<w:pPr><w:pStyle w:val="Normal"/></w:pPr>
<w:r><w:t xml:space="preserve">until at last the drainage tube can be removed and the external</w:t></w:r>
</w:p>
<w:p>
<w:pPr><w:pStyle w:val="Normal"/></w:pPr>
<w:r><w:t xml:space="preserve">wound allowed to heal.  The large collections of pus which</w:t></w:r>
</w:p>
<w:p>
<w:pPr><w:pStyle w:val="Normal"/></w:pPr>
<w:r><w:t xml:space="preserve">form in connexion with disease of the spinal column in the</w:t></w:r>
</w:p>
<w:p>
<w:pPr><w:pStyle w:val="Normal"/></w:pPr>
<w:r><w:t xml:space="preserve">cervical, dorsal and lumbar regions are now treated by free</w:t></w:r>
</w:p>
<w:p>
<w:pPr><w:pStyle w:val="Normal"/></w:pPr>
<w:r><w:t xml:space="preserve">evacuation of the tuberculous pus, with careful antiseptic</w:t></w:r>
</w:p>
<w:p>
<w:pPr><w:pStyle w:val="Normal"/></w:pPr>
<w:r><w:t xml:space="preserve">measures.  The opening should be in as dependent a position as</w:t></w:r>
</w:p>
<w:p>
<w:pPr><w:pStyle w:val="Normal"/></w:pPr>
<w:r><w:t xml:space="preserve">possible in order that the drainage may be thorough.  If tension</w:t></w:r>
</w:p>
<w:p>
<w:pPr><w:pStyle w:val="Normal"/></w:pPr>
<w:r><w:t xml:space="preserve">recurs after opening has been made, as by the blocking of the</w:t></w:r>
</w:p>
<w:p>
<w:pPr><w:pStyle w:val="Normal"/></w:pPr>
<w:r><w:t xml:space="preserve">tube, or by its imperfect position, or by its being too short,</w:t></w:r>
</w:p>
<w:p>
<w:pPr><w:pStyle w:val="Normal"/></w:pPr>
<w:r><w:t xml:space="preserve">there is likely to be a fresh formation of pus, and without</w:t></w:r>
</w:p>
<w:p>
<w:pPr><w:pStyle w:val="Normal"/></w:pPr>
<w:r><w:t xml:space="preserve">delay the whole procedure must be gone through again. (E. O.*)</w:t></w:r>
</w:p>
<w:p>
<w:pPr><w:pStyle w:val="Normal"/></w:pPr>
<w:r><w:t xml:space="preserve">ABSCISSA (from the Lat. abscissus, cut off), in the</w:t></w:r>
</w:p>
<w:p>
<w:pPr><w:pStyle w:val="Normal"/></w:pPr>
<w:r><w:t xml:space="preserve">Cartesian system of co-ordinates, the distance of a point</w:t></w:r>
</w:p>
<w:p>
<w:pPr><w:pStyle w:val="Normal"/></w:pPr>
<w:r><w:t xml:space="preserve">from the axis of y measured parallel to the horizontal</w:t></w:r>
</w:p>
<w:p>
<w:pPr><w:pStyle w:val="Normal"/></w:pPr>
<w:r><w:t xml:space="preserve">axis (axis of x.) Thus PS (or OR) is the abscissa of</w:t></w:r>
</w:p>
<w:p>
<w:pPr><w:pStyle w:val="Normal"/></w:pPr>
<w:r><w:t xml:space="preserve">P. The word appears for the first time in a Latin work</w:t></w:r>
</w:p>
<w:p>
<w:pPr><w:pStyle w:val="Normal"/></w:pPr>
<w:r><w:t xml:space="preserve">written by Stefano degli Angeli (1623-1697), a professor</w:t></w:r>
</w:p>
<w:p>
<w:pPr><w:pStyle w:val="Normal"/></w:pPr>
<w:r><w:t xml:space="preserve">of mathematics in Rome. (See GEOMETRY, sec.  Analytical.)</w:t></w:r>
</w:p>
<w:p>
<w:pPr><w:pStyle w:val="Normal"/></w:pPr>
<w:r><w:t xml:space="preserve">ABSCISSION (from Lat. abscinidere), a tearing away, or</w:t></w:r>
</w:p>
<w:p>
<w:pPr><w:pStyle w:val="Normal"/></w:pPr>
<w:r><w:t xml:space="preserve">cutting off; a term used sometimes in prosody for the elision of</w:t></w:r>
</w:p>
<w:p>
<w:pPr><w:pStyle w:val="Normal"/></w:pPr>
<w:r><w:t xml:space="preserve">a vowel before another, and in surgery especially for abscission</w:t></w:r>
</w:p>
<w:p>
<w:pPr><w:pStyle w:val="Normal"/></w:pPr>
<w:r><w:t xml:space="preserve">of the cornea, or the removal of that portion of the eyeball</w:t></w:r>
</w:p>
<w:p>
<w:pPr><w:pStyle w:val="Normal"/></w:pPr>
<w:r><w:t xml:space="preserve">situated in front of the attachments of the recti muscles; in</w:t></w:r>
</w:p>
<w:p>
<w:pPr><w:pStyle w:val="Normal"/></w:pPr>
<w:r><w:t xml:space="preserve">botany, the separation of spores by elimination of the connexion.</w:t></w:r>
</w:p>
<w:p>
<w:pPr><w:pStyle w:val="Normal"/></w:pPr>
<w:r><w:t xml:space="preserve">ABSCOND (Lat. abscondcre, to hide, put away), to depart in</w:t></w:r>
</w:p>
<w:p>
<w:pPr><w:pStyle w:val="Normal"/></w:pPr>
<w:r><w:t xml:space="preserve">a secret manner; in law, to remove from the jurisdiction of the</w:t></w:r>
</w:p>
<w:p>
<w:pPr><w:pStyle w:val="Normal"/></w:pPr>
<w:r><w:t xml:space="preserve">courts or so to conceal oneself as to avoid their jurisdiction.</w:t></w:r>
</w:p>
<w:p>
<w:pPr><w:pStyle w:val="Normal"/></w:pPr>
<w:r><w:t xml:space="preserve">A person may ``abscond&apos;&apos; either for the purpose of avoiding</w:t></w:r>
</w:p>
<w:p>
<w:pPr><w:pStyle w:val="Normal"/></w:pPr>
<w:r><w:t xml:space="preserve">arrest for a crime (see ARREST), or for a fraudulent purpose,</w:t></w:r>
</w:p>
<w:p>
<w:pPr><w:pStyle w:val="Normal"/></w:pPr>
<w:r><w:t xml:space="preserve">such as the defrauding of his creditors (see BANKRUPTCY.)</w:t></w:r>
</w:p>
<w:p>
<w:pPr><w:pStyle w:val="Normal"/></w:pPr>
<w:r><w:t xml:space="preserve">ABSENCE (Lat. absentia), the fact of being ``away,&apos;&apos;</w:t></w:r>
</w:p>
<w:p>
<w:pPr><w:pStyle w:val="Normal"/></w:pPr>
<w:r><w:t xml:space="preserve">either in body or mind; ``absence of mind&apos;&apos; being a</w:t></w:r>
</w:p>
<w:p>
<w:pPr><w:pStyle w:val="Normal"/></w:pPr>
<w:r><w:t xml:space="preserve">condition in which the mind is withdrawn from what is</w:t></w:r>
</w:p>
<w:p>
<w:pPr><w:pStyle w:val="Normal"/></w:pPr>
<w:r><w:t xml:space="preserve">passing.  The special occasion roll-call at Eton College</w:t></w:r>
</w:p>
<w:p>
<w:pPr><w:pStyle w:val="Normal"/></w:pPr>
<w:r><w:t xml:space="preserve">is called ``Absence,&apos;&apos; which the boys attend in their tall</w:t></w:r>
</w:p>
<w:p>
<w:pPr><w:pStyle w:val="Normal"/></w:pPr>
<w:r><w:t xml:space="preserve">hats.  A soldier must get permission or ``leave of absence&apos;</w:t></w:r>
</w:p>
<w:p>
<w:pPr><w:pStyle w:val="Normal"/></w:pPr>
<w:r><w:t xml:space="preserve">before he can be away from his regiment.  Seven years&apos;</w:t></w:r>
</w:p>
<w:p>
<w:pPr><w:pStyle w:val="Normal"/></w:pPr>
<w:r><w:t xml:space="preserve">absence with no sign of life either by letter or message</w:t></w:r>
</w:p>
<w:p>
<w:pPr><w:pStyle w:val="Normal"/></w:pPr>
<w:r><w:t xml:space="preserve">is held presumptive evidence of death in the law courts.</w:t></w:r>
</w:p>
<w:p>
<w:pPr><w:pStyle w:val="Normal"/></w:pPr>
<w:r><w:t xml:space="preserve">ABSENTEEISM, a term used primarily of landed proprietors who</w:t></w:r>
</w:p>
<w:p>
<w:pPr><w:pStyle w:val="Normal"/></w:pPr>
<w:r><w:t xml:space="preserve">absent themselves from their estates, and live and spend their</w:t></w:r>
</w:p>
<w:p>
<w:pPr><w:pStyle w:val="Normal"/></w:pPr>
<w:r><w:t xml:space="preserve">incomes elsewhere; in its more extended meaning it includes</w:t></w:r>
</w:p>
<w:p>
<w:pPr><w:pStyle w:val="Normal"/></w:pPr>
<w:r><w:t xml:space="preserve">all those (in addition to landlords) who live out of a country</w:t></w:r>
</w:p>
<w:p>
<w:pPr><w:pStyle w:val="Normal"/></w:pPr>
<w:r><w:t xml:space="preserve">or locality but derive their income from some source within</w:t></w:r>
</w:p>
<w:p>
<w:pPr><w:pStyle w:val="Normal"/></w:pPr>
<w:r><w:t xml:space="preserve">it.  Absenteeism is a question which has been much debated,</w:t></w:r>
</w:p>
<w:p>
<w:pPr><w:pStyle w:val="Normal"/></w:pPr>
<w:r><w:t xml:space="preserve">and from both the economic and moral point of view there is</w:t></w:r>
</w:p>
<w:p>
<w:pPr><w:pStyle w:val="Normal"/></w:pPr>
<w:r><w:t xml:space="preserve">little doubt that it has a prejudicial effect.  To it has been</w:t></w:r>
</w:p>
<w:p>
<w:pPr><w:pStyle w:val="Normal"/></w:pPr>
<w:r><w:t xml:space="preserve">attributed in a great measure the unprosperous condition of the</w:t></w:r>
</w:p>
<w:p>
<w:pPr><w:pStyle w:val="Normal"/></w:pPr>
<w:r><w:t xml:space="preserve">rural districts of France before the Revolution, when it was</w:t></w:r>
</w:p>
<w:p>
<w:pPr><w:pStyle w:val="Normal"/></w:pPr>
<w:r><w:t xml:space="preserve">unusual for the great nobles to live on their estates unless</w:t></w:r>
</w:p>
<w:p>
<w:pPr><w:pStyle w:val="Normal"/></w:pPr>
<w:r><w:t xml:space="preserve">compelled to do so by a sentence involving their ``exile&apos;&apos; from</w:t></w:r>
</w:p>
<w:p>
<w:pPr><w:pStyle w:val="Normal"/></w:pPr>
<w:r><w:t xml:space="preserve">Paris.  It has also been an especial evil in Ireland, and</w:t></w:r>
</w:p>
<w:p>
<w:pPr><w:pStyle w:val="Normal"/></w:pPr>
<w:r><w:t xml:space="preserve">many attempts were made to combat it.  As early as 1727 a</w:t></w:r>
</w:p>
<w:p>
<w:pPr><w:pStyle w:val="Normal"/></w:pPr>
<w:r><w:t xml:space="preserve">tax of four shillings in the pound was imposed on all persons</w:t></w:r>
</w:p>
<w:p>
<w:pPr><w:pStyle w:val="Normal"/></w:pPr>
<w:r><w:t xml:space="preserve">holding offices and employments in Ireland and residing in</w:t></w:r>
</w:p>
<w:p>
<w:pPr><w:pStyle w:val="Normal"/></w:pPr>
<w:r><w:t xml:space="preserve">England.  This tax was discontinued in 1753, but was re-imposed in</w:t></w:r>
</w:p>
<w:p>
<w:pPr><w:pStyle w:val="Normal"/></w:pPr>
<w:r><w:t xml:space="preserve">1769.  In 1774 the tax was reduced to two shillings in the</w:t></w:r>
</w:p>
<w:p>
<w:pPr><w:pStyle w:val="Normal"/></w:pPr>
<w:r><w:t xml:space="preserve">pound, but was dropped after some years.  It was revived by the</w:t></w:r>
</w:p>
<w:p>
<w:pPr><w:pStyle w:val="Normal"/></w:pPr>
<w:r><w:t xml:space="preserve">Independent Parliament in 1782 and for some ten years brought in</w:t></w:r>
</w:p>
<w:p>
<w:pPr><w:pStyle w:val="Normal"/></w:pPr>
<w:r><w:t xml:space="preserve">a substantial amount to the revenue, yielding in 1790 as much as</w:t></w:r>
</w:p>
<w:p>
<w:pPr><w:pStyle w:val="Normal"/></w:pPr>
<w:r><w:t xml:space="preserve">63,089 pounds.</w:t></w:r>
</w:p>
<w:p>
<w:pPr><w:pStyle w:val="Normal"/></w:pPr>
<w:r><w:t xml:space="preserve">AUTHORITIES.--For a discussion of absenteeism from the economic</w:t></w:r>
</w:p>
<w:p>
<w:pPr><w:pStyle w:val="Normal"/></w:pPr>
<w:r><w:t xml:space="preserve">point of view see N. W. Senior, Lectures on the Rate of Wages,</w:t></w:r>
</w:p>
<w:p>
<w:pPr><w:pStyle w:val="Normal"/></w:pPr>
<w:r><w:t xml:space="preserve">Political Economy; J. S. Mill, Political Economy; J. R.</w:t></w:r>
</w:p>
<w:p>
<w:pPr><w:pStyle w:val="Normal"/></w:pPr>
<w:r><w:t xml:space="preserve">Mcculloch, Treatises and Essays on Money, &amp;c., article</w:t></w:r>
</w:p>
<w:p>
<w:pPr><w:pStyle w:val="Normal"/></w:pPr>
<w:r><w:t xml:space="preserve">``Absenteeism&apos;&apos;; A. T. Hadley, Economics; on absenteeism in</w:t></w:r>
</w:p>
<w:p>
<w:pPr><w:pStyle w:val="Normal"/></w:pPr>
<w:r><w:t xml:space="preserve">Ireland see A. Young, Tour in Ireland (1780); T. Prior, List</w:t></w:r>
</w:p>
<w:p>
<w:pPr><w:pStyle w:val="Normal"/></w:pPr>
<w:r><w:t xml:space="preserve">of.  Absentees (1729); E. Wakefield, Account of Iteland (1812);</w:t></w:r>
</w:p>
<w:p>
<w:pPr><w:pStyle w:val="Normal"/></w:pPr>
<w:r><w:t xml:space="preserve">W. E. H. Lecky, Ireland in the 18th Century (1892): A. E.</w:t></w:r>
</w:p>
<w:p>
<w:pPr><w:pStyle w:val="Normal"/></w:pPr>
<w:r><w:t xml:space="preserve">Murray, History of the Commercial and Financial Relations</w:t></w:r>
</w:p>
<w:p>
<w:pPr><w:pStyle w:val="Normal"/></w:pPr>
<w:r><w:t xml:space="preserve">between England and Helanid (1903); Parliamentary Papers,</w:t></w:r>
</w:p>
<w:p>
<w:pPr><w:pStyle w:val="Normal"/></w:pPr>
<w:r><w:t xml:space="preserve">Ireland, 1830, vii., ditto, 1845, xix.-xxii.; in France, A.</w:t></w:r>
</w:p>
<w:p>
<w:pPr><w:pStyle w:val="Normal"/></w:pPr>
<w:r><w:t xml:space="preserve">de Monchretien, Traicte de l&apos;oekonomie politique (1615);</w:t></w:r>
</w:p>
<w:p>
<w:pPr><w:pStyle w:val="Normal"/></w:pPr>
<w:r><w:t xml:space="preserve">A. de Tocqueville, L&apos;Ancien Regime (1857); H. Taine, Les</w:t></w:r>
</w:p>
<w:p>
<w:pPr><w:pStyle w:val="Normal"/></w:pPr>
<w:r><w:t xml:space="preserve">Origines de la France contemporaine, l&apos;ancien Regime (1876).</w:t></w:r>
</w:p>
<w:p>
<w:pPr><w:pStyle w:val="Normal"/></w:pPr>
<w:r><w:t xml:space="preserve">ABSINTHE a liqueur or aromatized spirit, the characteristic</w:t></w:r>
</w:p>
<w:p>
<w:pPr><w:pStyle w:val="Normal"/></w:pPr>
<w:r><w:t xml:space="preserve">flavouring matter of which is derived from various species of</w:t></w:r>
</w:p>
<w:p>
<w:pPr><w:pStyle w:val="Normal"/></w:pPr>
<w:r><w:t xml:space="preserve">wormwood (Artemisia absinthium.) Among the other substances</w:t></w:r>
</w:p>
<w:p>
<w:pPr><w:pStyle w:val="Normal"/></w:pPr>
<w:r><w:t xml:space="preserve">generally employed in its manufacture are angelica root,</w:t></w:r>
</w:p>
<w:p>
<w:pPr><w:pStyle w:val="Normal"/></w:pPr>
<w:r><w:t xml:space="preserve">sweet flag, dittany leaves, star-anise fruit, fennel and</w:t></w:r>
</w:p>
<w:p>
<w:pPr><w:pStyle w:val="Normal"/></w:pPr>
<w:r><w:t xml:space="preserve">hyssop.  A colourless ``alcoholate&apos;&apos; (see LIQUEURS) is</w:t></w:r>
</w:p>
<w:p>
<w:pPr><w:pStyle w:val="Normal"/></w:pPr>
<w:r><w:t xml:space="preserve">first prepared, and to this the well-known green colour of</w:t></w:r>
</w:p>
<w:p>
<w:pPr><w:pStyle w:val="Normal"/></w:pPr>
<w:r><w:t xml:space="preserve">the beverage is imparted by maceration with green leaves of</w:t></w:r>
</w:p>
<w:p>
<w:pPr><w:pStyle w:val="Normal"/></w:pPr>
<w:r><w:t xml:space="preserve">wormwood, hyssop and mint.  Inferior varieties are made by</w:t></w:r>
</w:p>
<w:p>
<w:pPr><w:pStyle w:val="Normal"/></w:pPr>
<w:r><w:t xml:space="preserve">means of essences, the distillation process being omitted.</w:t></w:r>
</w:p>
<w:p>
<w:pPr><w:pStyle w:val="Normal"/></w:pPr>
<w:r><w:t xml:space="preserve">There are two varieties of absinthe, the French and the Swiss,</w:t></w:r>
</w:p>
<w:p>
<w:pPr><w:pStyle w:val="Normal"/></w:pPr>
<w:r><w:t xml:space="preserve">the latter of which is of a higher alcoholic strength than the</w:t></w:r>
</w:p>
<w:p>
<w:pPr><w:pStyle w:val="Normal"/></w:pPr>
<w:r><w:t xml:space="preserve">former.  The best absinthe contains 70 to 80% of alcohol.  It is</w:t></w:r>
</w:p>
<w:p>
<w:pPr><w:pStyle w:val="Normal"/></w:pPr>
<w:r><w:t xml:space="preserve">said to improve very materially by storage.  There is a popular</w:t></w:r>
</w:p>
<w:p>
<w:pPr><w:pStyle w:val="Normal"/></w:pPr>
<w:r><w:t xml:space="preserve">belief to the effect that absinthe is frequently adulterated</w:t></w:r>
</w:p>
<w:p>
<w:pPr><w:pStyle w:val="Normal"/></w:pPr>
<w:r><w:t xml:space="preserve">with copper, indigo or other dye-stuffs (to impart the green</w:t></w:r>
</w:p>
<w:p>
<w:pPr><w:pStyle w:val="Normal"/></w:pPr>
<w:r><w:t xml:space="preserve">colour), but, in fact, this is now very rarely the case.  There</w:t></w:r>
</w:p>
<w:p>
<w:pPr><w:pStyle w:val="Normal"/></w:pPr>
<w:r><w:t xml:space="preserve">is some reason to believe that excessive absinthe-drinking</w:t></w:r>
</w:p>
<w:p>
<w:pPr><w:pStyle w:val="Normal"/></w:pPr>
<w:r><w:t xml:space="preserve">leads to effects which are specifically worse than those</w:t></w:r>
</w:p>
<w:p>
<w:pPr><w:pStyle w:val="Normal"/></w:pPr>
<w:r><w:t xml:space="preserve">associated with over-indulgence in other forms of alcohol.</w:t></w:r>
</w:p>
<w:p>
<w:pPr><w:pStyle w:val="Normal"/></w:pPr>
<w:r><w:t xml:space="preserve">ABSOLUTE (Lat. absolvere, to loose, set free), a term</w:t></w:r>
</w:p>
<w:p>
<w:pPr><w:pStyle w:val="Normal"/></w:pPr>
<w:r><w:t xml:space="preserve">having the general signification of independent, self-existent,</w:t></w:r>
</w:p>
<w:p>
<w:pPr><w:pStyle w:val="Normal"/></w:pPr>
<w:r><w:t xml:space="preserve">unconditioned.  Thus we speak of ``absolute&apos;&apos; as opposed to</w:t></w:r>
</w:p>
<w:p>
<w:pPr><w:pStyle w:val="Normal"/></w:pPr>
<w:r><w:t xml:space="preserve">``limited&apos;&apos; or ``constitutional&apos;&apos; monarchy, or, in common</w:t></w:r>
</w:p>
<w:p>
<w:pPr><w:pStyle w:val="Normal"/></w:pPr>
<w:r><w:t xml:space="preserve">parlance, of an ``absolute failure,&apos;&apos; i.e. unrelieved by</w:t></w:r>
</w:p>
<w:p>
<w:pPr><w:pStyle w:val="Normal"/></w:pPr>
<w:r><w:t xml:space="preserve">any satisfactory circumstances.  In philosophy the word has</w:t></w:r>
</w:p>
<w:p>
<w:pPr><w:pStyle w:val="Normal"/></w:pPr>
<w:r><w:t xml:space="preserve">several technical uses. (1) In Logic, it has been applied</w:t></w:r>
</w:p>
<w:p>
<w:pPr><w:pStyle w:val="Normal"/></w:pPr>
<w:r><w:t xml:space="preserve">to non-connotative terms which do not imply attributes</w:t></w:r>
</w:p>
<w:p>
<w:pPr><w:pStyle w:val="Normal"/></w:pPr>
<w:r><w:t xml:space="preserve">(see CONNOTATION), but more commonly, in opposition to</w:t></w:r>
</w:p>
<w:p>
<w:pPr><w:pStyle w:val="Normal"/></w:pPr>
<w:r><w:t xml:space="preserve">Relative, to terms which do not imply the existence of some</w:t></w:r>
</w:p>
<w:p>
<w:pPr><w:pStyle w:val="Normal"/></w:pPr>
<w:r><w:t xml:space="preserve">other (correlative) term; e.g. ``father&apos;&apos; implies ``son,&apos;&apos;</w:t></w:r>
</w:p>
<w:p>
<w:pPr><w:pStyle w:val="Normal"/></w:pPr>
<w:r><w:t xml:space="preserve">``tutor&apos;&apos; ``pupil,&apos;&apos; and therefore each of these terms is</w:t></w:r>
</w:p>
<w:p>
<w:pPr><w:pStyle w:val="Normal"/></w:pPr>
<w:r><w:t xml:space="preserve">relative.  In fact, however, the distinction is formal, and,</w:t></w:r>
</w:p>
<w:p>
<w:pPr><w:pStyle w:val="Normal"/></w:pPr>
<w:r><w:t xml:space="preserve">though convenient in the terminology of elementary logic,</w:t></w:r>
</w:p>
<w:p>
<w:pPr><w:pStyle w:val="Normal"/></w:pPr>
<w:r><w:t xml:space="preserve">cannot be strictly maintained.  The term ``man,&apos;&apos; for example,</w:t></w:r>
</w:p>
<w:p>
<w:pPr><w:pStyle w:val="Normal"/></w:pPr>
<w:r><w:t xml:space="preserve">which, as compared with ``father,&apos;&apos; ``son,&apos;&apos; ``tutor,&apos;&apos; seems</w:t></w:r>
</w:p>
<w:p>
<w:pPr><w:pStyle w:val="Normal"/></w:pPr>
<w:r><w:t xml:space="preserve">to be absolute, is obviously relative in other connexions; in</w:t></w:r>
</w:p>
<w:p>
<w:pPr><w:pStyle w:val="Normal"/></w:pPr>
<w:r><w:t xml:space="preserve">various contexts it implies its various possible opposites,</w:t></w:r>
</w:p>
<w:p>
<w:pPr><w:pStyle w:val="Normal"/></w:pPr>
<w:r><w:t xml:space="preserve">e.g. ``woman,&apos;&apos; ``boy,&apos;&apos; ``master&apos;&apos;, ``brute.&apos;&apos; In other</w:t></w:r>
</w:p>
<w:p>
<w:pPr><w:pStyle w:val="Normal"/></w:pPr>
<w:r><w:t xml:space="preserve">words, every term which is susceptible of definition is ipso</w:t></w:r>
</w:p>
<w:p>
<w:pPr><w:pStyle w:val="Normal"/></w:pPr>
<w:r><w:t xml:space="preserve">facto relative, for definition is precisely the segregation</w:t></w:r>
</w:p>
<w:p>
<w:pPr><w:pStyle w:val="Normal"/></w:pPr>
<w:r><w:t xml:space="preserve">of the thing defined from all other things which it is not,</w:t></w:r>
</w:p>
<w:p>
<w:pPr><w:pStyle w:val="Normal"/></w:pPr>
<w:r><w:t xml:space="preserve">i.e. implies a relation.  Every term which has a meaning</w:t></w:r>
</w:p>
<w:p>
<w:pPr><w:pStyle w:val="Normal"/></w:pPr>
<w:r><w:t xml:space="preserve">is, therefore, relative, if only to its contradictory.</w:t></w:r>
</w:p>
<w:p>
<w:pPr><w:pStyle w:val="Normal"/></w:pPr>
<w:r><w:t xml:space="preserve">(2) The term is used in the phrase ``absolute knowledge&apos;&apos; to</w:t></w:r>
</w:p>
<w:p>
<w:pPr><w:pStyle w:val="Normal"/></w:pPr>
<w:r><w:t xml:space="preserve">imply knowledge per se. It has been held, however, that,</w:t></w:r>
</w:p>
<w:p>
<w:pPr><w:pStyle w:val="Normal"/></w:pPr>
<w:r><w:t xml:space="preserve">since all knowledge implies a knowing subject and a known</w:t></w:r>
</w:p>
<w:p>
<w:pPr><w:pStyle w:val="Normal"/></w:pPr>
<w:r><w:t xml:space="preserve">object, absolute knowledge is a contradiction in terms (see</w:t></w:r>
</w:p>
<w:p>
<w:pPr><w:pStyle w:val="Normal"/></w:pPr>
<w:r><w:t xml:space="preserve">RELATIVITY.) So also Herbert Spencer spoke of ``absolute</w:t></w:r>
</w:p>
<w:p>
<w:pPr><w:pStyle w:val="Normal"/></w:pPr>
<w:r><w:t xml:space="preserve">ethics,&apos;&apos; as opposed to systems of conduct based on particular</w:t></w:r>
</w:p>
<w:p>
<w:pPr><w:pStyle w:val="Normal"/></w:pPr>
<w:r><w:t xml:space="preserve">local or temporary laws and conventions (see ETHICS.)</w:t></w:r>
</w:p>
<w:p>
<w:pPr><w:pStyle w:val="Normal"/></w:pPr>
<w:r><w:t xml:space="preserve">(3) By far the most important use of the word is in the phrase</w:t></w:r>
</w:p>
<w:p>
<w:pPr><w:pStyle w:val="Normal"/></w:pPr>
<w:r><w:t xml:space="preserve">``the Absolute&apos;&apos; (see METAPHYSICS.) It is sufficient here</w:t></w:r>
</w:p>
<w:p>
<w:pPr><w:pStyle w:val="Normal"/></w:pPr>
<w:r><w:t xml:space="preserve">to indicate the problems involved in their most elementary</w:t></w:r>
</w:p>
<w:p>
<w:pPr><w:pStyle w:val="Normal"/></w:pPr>
<w:r><w:t xml:space="preserve">form.  The process of knowledge in the sphere of intellect</w:t></w:r>
</w:p>
<w:p>
<w:pPr><w:pStyle w:val="Normal"/></w:pPr>
<w:r><w:t xml:space="preserve">as in that of natural science is one of generalization,</w:t></w:r>
</w:p>
<w:p>
<w:pPr><w:pStyle w:val="Normal"/></w:pPr>
<w:r><w:t xml:space="preserve">i.e. the co-ordination of particular facts under general</w:t></w:r>
</w:p>
<w:p>
<w:pPr><w:pStyle w:val="Normal"/></w:pPr>
<w:r><w:t xml:space="preserve">statements, or in other words, the explanation of one fact by</w:t></w:r>
</w:p>
<w:p>
<w:pPr><w:pStyle w:val="Normal"/></w:pPr>
<w:r><w:t xml:space="preserve">another, and that other by a third, and so on.  In this way</w:t></w:r>
</w:p>
<w:p>
<w:pPr><w:pStyle w:val="Normal"/></w:pPr>
<w:r><w:t xml:space="preserve">the particular facts or existences are left behind in the</w:t></w:r>
</w:p>
<w:p>
<w:pPr><w:pStyle w:val="Normal"/></w:pPr>
<w:r><w:t xml:space="preserve">search for higher, more inclusive conceptions; as twigs are</w:t></w:r>
</w:p>
<w:p>
<w:pPr><w:pStyle w:val="Normal"/></w:pPr>
<w:r><w:t xml:space="preserve">traced to one branch, and branches to one trunk, so, it is</w:t></w:r>
</w:p>
<w:p>
<w:pPr><w:pStyle w:val="Normal"/></w:pPr>
<w:r><w:t xml:space="preserve">held, all the plurality of sense-given data is absorbed in</w:t></w:r>
</w:p>
<w:p>
<w:pPr><w:pStyle w:val="Normal"/></w:pPr>
<w:r><w:t xml:space="preserve">a unity which is all-inclusive and self-existent, and has no</w:t></w:r>
</w:p>
<w:p>
<w:pPr><w:pStyle w:val="Normal"/></w:pPr>
<w:r><w:t xml:space="preserve">``beyond.&apos;&apos; By a metaphor this process has been described as</w:t></w:r>
</w:p>
<w:p>
<w:pPr><w:pStyle w:val="Normal"/></w:pPr>
<w:r><w:t xml:space="preserve">the odos ano (as of tracing a river to its source).  Other</w:t></w:r>
</w:p>
<w:p>
<w:pPr><w:pStyle w:val="Normal"/></w:pPr>
<w:r><w:t xml:space="preserve">phrases from different points of view have been used to describe</w:t></w:r>
</w:p>
<w:p>
<w:pPr><w:pStyle w:val="Normal"/></w:pPr>
<w:r><w:t xml:space="preserve">the idea, e.g. First Cause, Vital Principle (in connexion</w:t></w:r>
</w:p>
<w:p>
<w:pPr><w:pStyle w:val="Normal"/></w:pPr>
<w:r><w:t xml:space="preserve">with the origin of life), God (as the author and sum of all</w:t></w:r>
</w:p>
<w:p>
<w:pPr><w:pStyle w:val="Normal"/></w:pPr>
<w:r><w:t xml:space="preserve">being), Unity, Truth (i.e. the sum and culmination of all</w:t></w:r>
</w:p>
<w:p>
<w:pPr><w:pStyle w:val="Normal"/></w:pPr>
<w:r><w:t xml:space="preserve">knowledge), Causa Causans, &amp;c. The idea in different senses</w:t></w:r>
</w:p>
<w:p>
<w:pPr><w:pStyle w:val="Normal"/></w:pPr>
<w:r><w:t xml:space="preserve">appears both in idealistic and realistic systems of thought.</w:t></w:r>
</w:p>
<w:p>
<w:pPr><w:pStyle w:val="Normal"/></w:pPr>
<w:r><w:t xml:space="preserve">The theories of the Absolute may be summarized briefly</w:t></w:r>
</w:p>
<w:p>
<w:pPr><w:pStyle w:val="Normal"/></w:pPr>
<w:r><w:t xml:space="preserve">as follows. (1) The Absolute does not exist, and is not</w:t></w:r>
</w:p>
<w:p>
<w:pPr><w:pStyle w:val="Normal"/></w:pPr>
<w:r><w:t xml:space="preserve">even in any real sense thinkable.  This view is held by</w:t></w:r>
</w:p>
<w:p>
<w:pPr><w:pStyle w:val="Normal"/></w:pPr>
<w:r><w:t xml:space="preserve">the empiricists, who hold that nothing is knowable save</w:t></w:r>
</w:p>
<w:p>
<w:pPr><w:pStyle w:val="Normal"/></w:pPr>
<w:r><w:t xml:space="preserve">phenomena.  The Absolute could not be conceived, for all</w:t></w:r>
</w:p>
<w:p>
<w:pPr><w:pStyle w:val="Normal"/></w:pPr>
<w:r><w:t xml:space="preserve">knowledge is susceptible of definition and, therefore,</w:t></w:r>
</w:p>
<w:p>
<w:pPr><w:pStyle w:val="Normal"/></w:pPr>
<w:r><w:t xml:space="preserve">relative.  The Absolute includes the idea of necessity, which</w:t></w:r>
</w:p>
<w:p>
<w:pPr><w:pStyle w:val="Normal"/></w:pPr>
<w:r><w:t xml:space="preserve">the mind cannot cognize. (2) The Absolute exists for thought</w:t></w:r>
</w:p>
<w:p>
<w:pPr><w:pStyle w:val="Normal"/></w:pPr>
<w:r><w:t xml:space="preserve">only.  In this theory the absolute is the unknown x which</w:t></w:r>
</w:p>
<w:p>
<w:pPr><w:pStyle w:val="Normal"/></w:pPr>
<w:r><w:t xml:space="preserve">the human mind is logically compelled to postulate a priori</w:t></w:r>
</w:p>
<w:p>
<w:pPr><w:pStyle w:val="Normal"/></w:pPr>
<w:r><w:t xml:space="preserve">as the only coherent explanation and justification of its</w:t></w:r>
</w:p>
<w:p>
<w:pPr><w:pStyle w:val="Normal"/></w:pPr>
<w:r><w:t xml:space="preserve">thought. (3) The Absolute exists but is unthinkable, because</w:t></w:r>
</w:p>
<w:p>
<w:pPr><w:pStyle w:val="Normal"/></w:pPr>
<w:r><w:t xml:space="preserve">it is an aid to thought which comes into operation, as it</w:t></w:r>
</w:p>
<w:p>
<w:pPr><w:pStyle w:val="Normal"/></w:pPr>
<w:r><w:t xml:space="preserve">were, as a final explanation beyond which thought cannot</w:t></w:r>
</w:p>
<w:p>
<w:pPr><w:pStyle w:val="Normal"/></w:pPr>
<w:r><w:t xml:space="preserve">go.  Its existence is shown by the fact that without it all</w:t></w:r>
</w:p>
<w:p>
<w:pPr><w:pStyle w:val="Normal"/></w:pPr>
<w:r><w:t xml:space="preserve">demonstration would be a mere circulus in probando or verbal</w:t></w:r>
</w:p>
<w:p>
<w:pPr><w:pStyle w:val="Normal"/></w:pPr>
<w:r><w:t xml:space="preserve">exercise, because the existence of separate things implies some</w:t></w:r>
</w:p>
<w:p>
<w:pPr><w:pStyle w:val="Normal"/></w:pPr>
<w:r><w:t xml:space="preserve">one thing which includes and explains them. (4) The Absolute</w:t></w:r>
</w:p>
<w:p>
<w:pPr><w:pStyle w:val="Normal"/></w:pPr>
<w:r><w:t xml:space="preserve">both exists and is conceivable.  It is argued that we do in</w:t></w:r>
</w:p>
<w:p>
<w:pPr><w:pStyle w:val="Normal"/></w:pPr>
<w:r><w:t xml:space="preserve">fact conceive it in as much as we do conceive Unity, Being,</w:t></w:r>
</w:p>
<w:p>
<w:pPr><w:pStyle w:val="Normal"/></w:pPr>
<w:r><w:t xml:space="preserve">Truth.  The conception is so clear that its inexplicability</w:t></w:r>
</w:p>
<w:p>
<w:pPr><w:pStyle w:val="Normal"/></w:pPr>
<w:r><w:t xml:space="preserve">(admitted) is of no account.  Further, since the unity of</w:t></w:r>
</w:p>
<w:p>
<w:pPr><w:pStyle w:val="Normal"/></w:pPr>
<w:r><w:t xml:space="preserve">our thought implies the absolute, and since the existence</w:t></w:r>
</w:p>
<w:p>
<w:pPr><w:pStyle w:val="Normal"/></w:pPr>
<w:r><w:t xml:space="preserve">of things is known only to thought, it appears absurd that</w:t></w:r>
</w:p>
<w:p>
<w:pPr><w:pStyle w:val="Normal"/></w:pPr>
<w:r><w:t xml:space="preserve">the absolute itself should be regarded as non-existent.</w:t></w:r>
</w:p>
<w:p>
<w:pPr><w:pStyle w:val="Normal"/></w:pPr>
<w:r><w:t xml:space="preserve">The Absolute is substance in itself, the ultimate basis and</w:t></w:r>
</w:p>
<w:p>
<w:pPr><w:pStyle w:val="Normal"/></w:pPr>
<w:r><w:t xml:space="preserve">matter of existence.  All things are merely manifestations of</w:t></w:r>
</w:p>
<w:p>
<w:pPr><w:pStyle w:val="Normal"/></w:pPr>
<w:r><w:t xml:space="preserve">it, exist in virtue of it, but are not identical with it.</w:t></w:r>
</w:p>
<w:p>
<w:pPr><w:pStyle w:val="Normal"/></w:pPr>
<w:r><w:t xml:space="preserve">(5) Metaphysical idealists pursue this line of argument in a</w:t></w:r>
</w:p>
<w:p>
<w:pPr><w:pStyle w:val="Normal"/></w:pPr>
<w:r><w:t xml:space="preserve">different way.  For them nothing exists save thought; the only</w:t></w:r>
</w:p>
<w:p>
<w:pPr><w:pStyle w:val="Normal"/></w:pPr>
<w:r><w:t xml:space="preserve">existence 1hat can be predicated of any thing and, therefore,</w:t></w:r>
</w:p>
<w:p>
<w:pPr><w:pStyle w:val="Normal"/></w:pPr>
<w:r><w:t xml:space="preserve">of the Absolute, is that it is thought.  Thought creates</w:t></w:r>
</w:p>
<w:p>
<w:pPr><w:pStyle w:val="Normal"/></w:pPr>
<w:r><w:t xml:space="preserve">God, things, the Absolute. (6) Finally, it has been held that</w:t></w:r>
</w:p>
<w:p>
<w:pPr><w:pStyle w:val="Normal"/></w:pPr>
<w:r><w:t xml:space="preserve">we can conceive the Absolute, though our conception is only</w:t></w:r>
</w:p>
<w:p>
<w:pPr><w:pStyle w:val="Normal"/></w:pPr>
<w:r><w:t xml:space="preserve">partial, just as our concepuon of all things is limited by</w:t></w:r>
</w:p>
<w:p>
<w:pPr><w:pStyle w:val="Normal"/></w:pPr>
<w:r><w:t xml:space="preserve">the imperfect powers of human intellect.  Thus the Absolute</w:t></w:r>
</w:p>
<w:p>
<w:pPr><w:pStyle w:val="Normal"/></w:pPr>
<w:r><w:t xml:space="preserve">exists for us only in our thought of it (4 above).  But</w:t></w:r>
</w:p>
<w:p>
<w:pPr><w:pStyle w:val="Normal"/></w:pPr>
<w:r><w:t xml:space="preserve">thought itself comes from the Absolute which, being itself</w:t></w:r>
</w:p>
<w:p>
<w:pPr><w:pStyle w:val="Normal"/></w:pPr>
<w:r><w:t xml:space="preserve">the pure thought of thoughts, separates from itself individual</w:t></w:r>
</w:p>
<w:p>
<w:pPr><w:pStyle w:val="Normal"/></w:pPr>
<w:r><w:t xml:space="preserve">minds.  It is, therefore, perfectly natural that human thought,</w:t></w:r>
</w:p>
<w:p>
<w:pPr><w:pStyle w:val="Normal"/></w:pPr>
<w:r><w:t xml:space="preserve">being essentially homogeneous with the Absolute, should be</w:t></w:r>
</w:p>
<w:p>
<w:pPr><w:pStyle w:val="Normal"/></w:pPr>
<w:r><w:t xml:space="preserve">able by.the consideration of the universe to arrive at some</w:t></w:r>
</w:p>
<w:p>
<w:pPr><w:pStyle w:val="Normal"/></w:pPr>
<w:r><w:t xml:space="preserve">imperfect conception of the source from which all is derived.</w:t></w:r>
</w:p>
<w:p>
<w:pPr><w:pStyle w:val="Normal"/></w:pPr>
<w:r><w:t xml:space="preserve">The whole controversy is obscured by inevitable difficulties in</w:t></w:r>
</w:p>
<w:p>
<w:pPr><w:pStyle w:val="Normal"/></w:pPr>
<w:r><w:t xml:space="preserve">terminology.  The fundamental problem is whether a thing which</w:t></w:r>
</w:p>
<w:p>
<w:pPr><w:pStyle w:val="Normal"/></w:pPr>
<w:r><w:t xml:space="preserve">is by hypothesis infinite can in any sense be defined, and if</w:t></w:r>
</w:p>
<w:p>
<w:pPr><w:pStyle w:val="Normal"/></w:pPr>
<w:r><w:t xml:space="preserve">it is not defined, whether it can be said to be cognized or</w:t></w:r>
</w:p>
<w:p>
<w:pPr><w:pStyle w:val="Normal"/></w:pPr>
<w:r><w:t xml:space="preserve">thought.  It would appear to be almost an axiom that anything</w:t></w:r>
</w:p>
<w:p>
<w:pPr><w:pStyle w:val="Normal"/></w:pPr>
<w:r><w:t xml:space="preserve">which by hypothesis transcends the intellect (i.e. by including</w:t></w:r>
</w:p>
<w:p>
<w:pPr><w:pStyle w:val="Normal"/></w:pPr>
<w:r><w:t xml:space="preserve">subject and object, knowing and known) is ipso facto beyond the</w:t></w:r>
</w:p>
<w:p>
<w:pPr><w:pStyle w:val="Normal"/></w:pPr>
<w:r><w:t xml:space="preserve">limits of the knower.  Only an Absolute can cognize an absolute.</w:t></w:r>
</w:p>
<w:p>
<w:pPr><w:pStyle w:val="Normal"/></w:pPr>
<w:r><w:t xml:space="preserve">ABSOLUTION (Lat. absolutio from absolvo, loosen, acquit),</w:t></w:r>
</w:p>
<w:p>
<w:pPr><w:pStyle w:val="Normal"/></w:pPr>
<w:r><w:t xml:space="preserve">a term used in civil and ecclesiastical law, denoting the</w:t></w:r>
</w:p>
<w:p>
<w:pPr><w:pStyle w:val="Normal"/></w:pPr>
<w:r><w:t xml:space="preserve">act of setting free or acquitting.  In a criminal process it</w:t></w:r>
</w:p>
<w:p>
<w:pPr><w:pStyle w:val="Normal"/></w:pPr>
<w:r><w:t xml:space="preserve">signifies the acquittal of an accused person on the ground</w:t></w:r>
</w:p>
<w:p>
<w:pPr><w:pStyle w:val="Normal"/></w:pPr>
<w:r><w:t xml:space="preserve">that the evidence has either disproved or failed to prove the</w:t></w:r>
</w:p>
<w:p>
<w:pPr><w:pStyle w:val="Normal"/></w:pPr>
<w:r><w:t xml:space="preserve">charge brought against him.  In this sense it is now little</w:t></w:r>
</w:p>
<w:p>
<w:pPr><w:pStyle w:val="Normal"/></w:pPr>
<w:r><w:t xml:space="preserve">used, except in Scottish law in the forms assoilzie and</w:t></w:r>
</w:p>
<w:p>
<w:pPr><w:pStyle w:val="Normal"/></w:pPr>
<w:r><w:t xml:space="preserve">absolvitor. The ecclesiastical use of the word is essentially</w:t></w:r>
</w:p>
<w:p>
<w:pPr><w:pStyle w:val="Normal"/></w:pPr>
<w:r><w:t xml:space="preserve">different from the civil.  It refers not to an accusation,</w:t></w:r>
</w:p>
<w:p>
<w:pPr><w:pStyle w:val="Normal"/></w:pPr>
<w:r><w:t xml:space="preserve">but to sin actually committed (after baptism); and it denotes</w:t></w:r>
</w:p>
<w:p>
<w:pPr><w:pStyle w:val="Normal"/></w:pPr>
<w:r><w:t xml:space="preserve">the setting of the sinner free from the guilt of the sin, or</w:t></w:r>
</w:p>
<w:p>
<w:pPr><w:pStyle w:val="Normal"/></w:pPr>
<w:r><w:t xml:space="preserve">from its ecclesiastical penalty (excommunication), or from</w:t></w:r>
</w:p>
<w:p>
<w:pPr><w:pStyle w:val="Normal"/></w:pPr>
<w:r><w:t xml:space="preserve">both.  The authority of the church or minister to pronounce</w:t></w:r>
</w:p>
<w:p>
<w:pPr><w:pStyle w:val="Normal"/></w:pPr>
<w:r><w:t xml:space="preserve">absolution is based on John xx. 23; Matt. xviii. 18; James v.</w:t></w:r>
</w:p>
<w:p>
<w:pPr><w:pStyle w:val="Normal"/></w:pPr>
<w:r><w:t xml:space="preserve">16, &amp;c. In primitive times, when confession of sins was made</w:t></w:r>
</w:p>
<w:p>
<w:pPr><w:pStyle w:val="Normal"/></w:pPr>
<w:r><w:t xml:space="preserve">before the congregation, the absolution was deferred till</w:t></w:r>
</w:p>
<w:p>
<w:pPr><w:pStyle w:val="Normal"/></w:pPr>
<w:r><w:t xml:space="preserve">the penance was completed; and there is no record of the use</w:t></w:r>
</w:p>
<w:p>
<w:pPr><w:pStyle w:val="Normal"/></w:pPr>
<w:r><w:t xml:space="preserve">of any special formula.  Men were also encouraged, e.g. by</w:t></w:r>
</w:p>
<w:p>
<w:pPr><w:pStyle w:val="Normal"/></w:pPr>
<w:r><w:t xml:space="preserve">Chrysostom, to confess their secret sins secretly to God. In</w:t></w:r>
</w:p>
<w:p>
<w:pPr><w:pStyle w:val="Normal"/></w:pPr>
<w:r><w:t xml:space="preserve">course of time changes grew up. (1) From the 3rd century onwards,</w:t></w:r>
</w:p>
<w:p>
<w:pPr><w:pStyle w:val="Normal"/></w:pPr>
<w:r><w:t xml:space="preserve">secret (auricular) confession before a bishop or priest was</w:t></w:r>
</w:p>
<w:p>
<w:pPr><w:pStyle w:val="Normal"/></w:pPr>
<w:r><w:t xml:space="preserve">practised.  For various reasons it became more and more common,</w:t></w:r>
</w:p>
<w:p>
<w:pPr><w:pStyle w:val="Normal"/></w:pPr>
<w:r><w:t xml:space="preserve">until the fourth Lateran council (1215) ordered all Christians</w:t></w:r>
</w:p>
<w:p>
<w:pPr><w:pStyle w:val="Normal"/></w:pPr>
<w:r><w:t xml:space="preserve">of the Roman obedience to make a confession once a year at</w:t></w:r>
</w:p>
<w:p>
<w:pPr><w:pStyle w:val="Normal"/></w:pPr>
<w:r><w:t xml:space="preserve">least.  In the Greek church also private confession has become</w:t></w:r>
</w:p>
<w:p>
<w:pPr><w:pStyle w:val="Normal"/></w:pPr>
<w:r><w:t xml:space="preserve">obligatory. (2) In primitive times the penitent was reconciled</w:t></w:r>
</w:p>
<w:p>
<w:pPr><w:pStyle w:val="Normal"/></w:pPr>
<w:r><w:t xml:space="preserve">by imposition of hands by the bishop with or without the clergy:</w:t></w:r>
</w:p>
<w:p>
<w:pPr><w:pStyle w:val="Normal"/></w:pPr>
<w:r><w:t xml:space="preserve">gradually the office was left to be discharged by priests,</w:t></w:r>
</w:p>
<w:p>
<w:pPr><w:pStyle w:val="Normal"/></w:pPr>
<w:r><w:t xml:space="preserve">and the outward action more and more disused. (3) It became</w:t></w:r>
</w:p>
<w:p>
<w:pPr><w:pStyle w:val="Normal"/></w:pPr>
<w:r><w:t xml:space="preserve">the custom to give the absolution to penitents immediately</w:t></w:r>
</w:p>
<w:p>
<w:pPr><w:pStyle w:val="Normal"/></w:pPr>
<w:r><w:t xml:space="preserve">after their confession and before the penance was performed.</w:t></w:r>
</w:p>
<w:p>
<w:pPr><w:pStyle w:val="Normal"/></w:pPr>
<w:r><w:t xml:space="preserve">(4) Until the Middle Ages the form of absolution after private</w:t></w:r>
</w:p>
<w:p>
<w:pPr><w:pStyle w:val="Normal"/></w:pPr>
<w:r><w:t xml:space="preserve">confession was of the nature of a prayer, such as ``May the</w:t></w:r>
</w:p>
<w:p>
<w:pPr><w:pStyle w:val="Normal"/></w:pPr>
<w:r><w:t xml:space="preserve">Lord absolve thee&apos;&apos;; and this is still the practice of the Greek</w:t></w:r>
</w:p>
<w:p>
<w:pPr><w:pStyle w:val="Normal"/></w:pPr>
<w:r><w:t xml:space="preserve">church.  But about the 13th century the Roman formula was</w:t></w:r>
</w:p>
<w:p>
<w:pPr><w:pStyle w:val="Normal"/></w:pPr>
<w:r><w:t xml:space="preserve">altered, and the council of Trent (1551) declared that the</w:t></w:r>
</w:p>
<w:p>
<w:pPr><w:pStyle w:val="Normal"/></w:pPr>
<w:r><w:t xml:space="preserve">``form&apos;&apos; and power of the sacrament of penance lay in the</w:t></w:r>
</w:p>
<w:p>
<w:pPr><w:pStyle w:val="Normal"/></w:pPr>
<w:r><w:t xml:space="preserve">words Ego te absolvo, &amp;c., and that the accompanying prayers</w:t></w:r>
</w:p>
<w:p>
<w:pPr><w:pStyle w:val="Normal"/></w:pPr>
<w:r><w:t xml:space="preserve">are not essential to it.  Of the three forms of absolution</w:t></w:r>
</w:p>
<w:p>
<w:pPr><w:pStyle w:val="Normal"/></w:pPr>
<w:r><w:t xml:space="preserve">in the Anglican Prayer Book, that in the Visitation of the</w:t></w:r>
</w:p>
<w:p>
<w:pPr><w:pStyle w:val="Normal"/></w:pPr>
<w:r><w:t xml:space="preserve">Sick (disused in the church of Ireland by decision of the</w:t></w:r>
</w:p>
<w:p>
<w:pPr><w:pStyle w:val="Normal"/></w:pPr>
<w:r><w:t xml:space="preserve">Synods of 1871 and 1877) runs ``I absolve thee,&apos;&apos; tracing</w:t></w:r>
</w:p>
<w:p>
<w:pPr><w:pStyle w:val="Normal"/></w:pPr>
<w:r><w:t xml:space="preserve">the authority so to act through the church up to Christ:</w:t></w:r>
</w:p>
<w:p>
<w:pPr><w:pStyle w:val="Normal"/></w:pPr>
<w:r><w:t xml:space="preserve">the form in the Communion Service is precative, while that</w:t></w:r>
</w:p>
<w:p>
<w:pPr><w:pStyle w:val="Normal"/></w:pPr>
<w:r><w:t xml:space="preserve">in Morning and Evening Prayer is indicative indeed, but so</w:t></w:r>
</w:p>
<w:p>
<w:pPr><w:pStyle w:val="Normal"/></w:pPr>
<w:r><w:t xml:space="preserve">general as not to imply anything like a judicial decree of</w:t></w:r>
</w:p>
<w:p>
<w:pPr><w:pStyle w:val="Normal"/></w:pPr>
<w:r><w:t xml:space="preserve">absolution.  In the Lutheran church also the practice of</w:t></w:r>
</w:p>
<w:p>
<w:pPr><w:pStyle w:val="Normal"/></w:pPr>
<w:r><w:t xml:space="preserve">private confession survived the Reformation, together with</w:t></w:r>
</w:p>
<w:p>
<w:pPr><w:pStyle w:val="Normal"/></w:pPr>
<w:r><w:t xml:space="preserve">both the exhibitive (I forgive, &amp;c.) and declaratory (I declare</w:t></w:r>
</w:p>
<w:p>
<w:pPr><w:pStyle w:val="Normal"/></w:pPr>
<w:r><w:t xml:space="preserve">and pronounce) forms of absolution.  In granting absolution,</w:t></w:r>
</w:p>
<w:p>
<w:pPr><w:pStyle w:val="Normal"/></w:pPr>
<w:r><w:t xml:space="preserve">even after general confession, it is in some places still</w:t></w:r>
</w:p>
<w:p>
<w:pPr><w:pStyle w:val="Normal"/></w:pPr>
<w:r><w:t xml:space="preserve">the custom for the minister, where the numbers permit of</w:t></w:r>
</w:p>
<w:p>
<w:pPr><w:pStyle w:val="Normal"/></w:pPr>
<w:r><w:t xml:space="preserve">it, to lay his hands on the head of each penitent. (W. O. B.)</w:t></w:r>
</w:p>
<w:p>
<w:pPr><w:pStyle w:val="Normal"/></w:pPr>
<w:r><w:t xml:space="preserve">ABSOLUTISM, in aesthetics, a term applied to the theory</w:t></w:r>
</w:p>
<w:p>
<w:pPr><w:pStyle w:val="Normal"/></w:pPr>
<w:r><w:t xml:space="preserve">that beauty is an objective attribute of things, not merely</w:t></w:r>
</w:p>
<w:p>
<w:pPr><w:pStyle w:val="Normal"/></w:pPr>
<w:r><w:t xml:space="preserve">a subjective feeling of pleasure in him who perceives.  It</w:t></w:r>
</w:p>
<w:p>
<w:pPr><w:pStyle w:val="Normal"/></w:pPr>
<w:r><w:t xml:space="preserve">follows that there is an absolute standard of the beautiful by</w:t></w:r>
</w:p>
<w:p>
<w:pPr><w:pStyle w:val="Normal"/></w:pPr>
<w:r><w:t xml:space="preserve">which all objects can be judged.  The fact that, in practice,</w:t></w:r>
</w:p>
<w:p>
<w:pPr><w:pStyle w:val="Normal"/></w:pPr>
<w:r><w:t xml:space="preserve">the judgments even of connoisseurs are perpetually at variance,</w:t></w:r>
</w:p>
<w:p>
<w:pPr><w:pStyle w:val="Normal"/></w:pPr>
<w:r><w:t xml:space="preserve">and that the so-called criteria of one place or period are</w:t></w:r>
</w:p>
<w:p>
<w:pPr><w:pStyle w:val="Normal"/></w:pPr>
<w:r><w:t xml:space="preserve">more or less opposed to those of all others, is explained away</w:t></w:r>
</w:p>
<w:p>
<w:pPr><w:pStyle w:val="Normal"/></w:pPr>
<w:r><w:t xml:space="preserve">by the hypothesis that individuals are differently gifted in</w:t></w:r>
</w:p>
<w:p>
<w:pPr><w:pStyle w:val="Normal"/></w:pPr>
<w:r><w:t xml:space="preserve">respect of the capacity to appreciate. (See AESTHETICS.)</w:t></w:r>
</w:p>
<w:p>
<w:pPr><w:pStyle w:val="Normal"/></w:pPr>
<w:r><w:t xml:space="preserve">In political philosophy absolutism, as opposed to constitutional</w:t></w:r>
</w:p>
<w:p>
<w:pPr><w:pStyle w:val="Normal"/></w:pPr>
<w:r><w:t xml:space="preserve">government, is the despotic rule of a sovereign unrestrained by</w:t></w:r>
</w:p>
<w:p>
<w:pPr><w:pStyle w:val="Normal"/></w:pPr>
<w:r><w:t xml:space="preserve">laws and based directly upon force.  In the strict sense such</w:t></w:r>
</w:p>
<w:p>
<w:pPr><w:pStyle w:val="Normal"/></w:pPr>
<w:r><w:t xml:space="preserve">governments are rare. but it is customary to apply the term to a</w:t></w:r>
</w:p>
<w:p>
<w:pPr><w:pStyle w:val="Normal"/></w:pPr>
<w:r><w:t xml:space="preserve">state at a relatively backward stage of constitutional development.</w:t></w:r>
</w:p>
<w:p>
<w:pPr><w:pStyle w:val="Normal"/></w:pPr>
<w:r><w:t xml:space="preserve">ABSORPTION OF LIGHT. The term ``absorption&apos;&apos; (from Lat.</w:t></w:r>
</w:p>
<w:p>
<w:pPr><w:pStyle w:val="Normal"/></w:pPr>
<w:r><w:t xml:space="preserve">absorbere) means literally ``sucking up&apos;&apos; or ``swallowing,&apos;&apos; and</w:t></w:r>
</w:p>
<w:p>
<w:pPr><w:pStyle w:val="Normal"/></w:pPr>
<w:r><w:t xml:space="preserve">thus a total incorporation in something, literally or figuratively;</w:t></w:r>
</w:p>
<w:p>
<w:pPr><w:pStyle w:val="Normal"/></w:pPr>
<w:r><w:t xml:space="preserve">it is technically used in animal physiology for the function of</w:t></w:r>
</w:p>
<w:p>
<w:pPr><w:pStyle w:val="Normal"/></w:pPr>
<w:r><w:t xml:space="preserve">certain vessels which suck up fluids; and in light and optics</w:t></w:r>
</w:p>
<w:p>
<w:pPr><w:pStyle w:val="Normal"/></w:pPr>
<w:r><w:t xml:space="preserve">absorption spectrum and absorption band are terms used in</w:t></w:r>
</w:p>
<w:p>
<w:pPr><w:pStyle w:val="Normal"/></w:pPr>
<w:r><w:t xml:space="preserve">the discussion of the transformation of rays in various media.</w:t></w:r>
</w:p>
<w:p>
<w:pPr><w:pStyle w:val="Normal"/></w:pPr>
<w:r><w:t xml:space="preserve">If a luminous body is surrounded by empty space, the light</w:t></w:r>
</w:p>
<w:p>
<w:pPr><w:pStyle w:val="Normal"/></w:pPr>
<w:r><w:t xml:space="preserve">which it emits suffers no loss of energy as it travels</w:t></w:r>
</w:p>
<w:p>
<w:pPr><w:pStyle w:val="Normal"/></w:pPr>
<w:r><w:t xml:space="preserve">outwards.  The intensity of the light diminishes merely</w:t></w:r>
</w:p>
<w:p>
<w:pPr><w:pStyle w:val="Normal"/></w:pPr>
<w:r><w:t xml:space="preserve">because the total energy, though unaltered, is distributed</w:t></w:r>
</w:p>
<w:p>
<w:pPr><w:pStyle w:val="Normal"/></w:pPr>
<w:r><w:t xml:space="preserve">over a wider and wider surface as the rays diverge from the</w:t></w:r>
</w:p>
<w:p>
<w:pPr><w:pStyle w:val="Normal"/></w:pPr>
<w:r><w:t xml:space="preserve">source.  To prove this, it will be sufficient to mention that</w:t></w:r>
</w:p>
<w:p>
<w:pPr><w:pStyle w:val="Normal"/></w:pPr>
<w:r><w:t xml:space="preserve">an exceedingly small deficiency in the transparency of the free</w:t></w:r>
</w:p>
<w:p>
<w:pPr><w:pStyle w:val="Normal"/></w:pPr>
<w:r><w:t xml:space="preserve">aether would be sufficient to prevent the light of the fixed</w:t></w:r>
</w:p>
<w:p>
<w:pPr><w:pStyle w:val="Normal"/></w:pPr>
<w:r><w:t xml:space="preserve">stars from reaching the earth, since their distances are so</w:t></w:r>
</w:p>
<w:p>
<w:pPr><w:pStyle w:val="Normal"/></w:pPr>
<w:r><w:t xml:space="preserve">immense.  But when light is transmitted through a material</w:t></w:r>
</w:p>
<w:p>
<w:pPr><w:pStyle w:val="Normal"/></w:pPr>
<w:r><w:t xml:space="preserve">medium, it always suffers some loss, the light energy being</w:t></w:r>
</w:p>
<w:p>
<w:pPr><w:pStyle w:val="Normal"/></w:pPr>
<w:r><w:t xml:space="preserve">absorbed by the medium, that is, converted partially or</w:t></w:r>
</w:p>
<w:p>
<w:pPr><w:pStyle w:val="Normal"/></w:pPr>
<w:r><w:t xml:space="preserve">wholly into other forms of energy such as heat, a portion of</w:t></w:r>
</w:p>
<w:p>
<w:pPr><w:pStyle w:val="Normal"/></w:pPr>
<w:r><w:t xml:space="preserve">which transformed energy may be re-emitted as radiant energy</w:t></w:r>
</w:p>
<w:p>
<w:pPr><w:pStyle w:val="Normal"/></w:pPr>
<w:r><w:t xml:space="preserve">of a lower frequency.  Even the most transparent bodies known</w:t></w:r>
</w:p>
<w:p>
<w:pPr><w:pStyle w:val="Normal"/></w:pPr>
<w:r><w:t xml:space="preserve">absorb an appreciable portion of the light transmitted through</w:t></w:r>
</w:p>
<w:p>
<w:pPr><w:pStyle w:val="Normal"/></w:pPr>
<w:r><w:t xml:space="preserve">them.  Thus the atmosphere absorbs a part of the sun&apos;s</w:t></w:r>
</w:p>
<w:p>
<w:pPr><w:pStyle w:val="Normal"/></w:pPr>
<w:r><w:t xml:space="preserve">rays, and the greater the distance which the rays have to</w:t></w:r>
</w:p>
<w:p>
<w:pPr><w:pStyle w:val="Normal"/></w:pPr>
<w:r><w:t xml:space="preserve">traverse the greater is the proportion which is absorbed,</w:t></w:r>
</w:p>
<w:p>
<w:pPr><w:pStyle w:val="Normal"/></w:pPr>
<w:r><w:t xml:space="preserve">so that on this account the sun appears less bright towards</w:t></w:r>
</w:p>
<w:p>
<w:pPr><w:pStyle w:val="Normal"/></w:pPr>
<w:r><w:t xml:space="preserve">sunset.  On the other hand, light can penetrate some distance</w:t></w:r>
</w:p>
<w:p>
<w:pPr><w:pStyle w:val="Normal"/></w:pPr>
<w:r><w:t xml:space="preserve">into all substances, even the most opaque, the absorption</w:t></w:r>
</w:p>
<w:p>
<w:pPr><w:pStyle w:val="Normal"/></w:pPr>
<w:r><w:t xml:space="preserve">being, however, extremely rapid in the latter case.</w:t></w:r>
</w:p>
<w:p>
<w:pPr><w:pStyle w:val="Normal"/></w:pPr>
<w:r><w:t xml:space="preserve">The nature of the surface of a body has considerable</w:t></w:r>
</w:p>
<w:p>
<w:pPr><w:pStyle w:val="Normal"/></w:pPr>
<w:r><w:t xml:space="preserve">influence on its power of absorbing light.  Platinum</w:t></w:r>
</w:p>
<w:p>
<w:pPr><w:pStyle w:val="Normal"/></w:pPr>
<w:r><w:t xml:space="preserve">black, for instance, in which the metal is in a state of</w:t></w:r>
</w:p>
<w:p>
<w:pPr><w:pStyle w:val="Normal"/></w:pPr>
<w:r><w:t xml:space="preserve">fine division, absorbs nearly all the light incident on</w:t></w:r>
</w:p>
<w:p>
<w:pPr><w:pStyle w:val="Normal"/></w:pPr>
<w:r><w:t xml:space="preserve">it, while polished platinum reflects the greater part.  In</w:t></w:r>
</w:p>
<w:p>
<w:pPr><w:pStyle w:val="Normal"/></w:pPr>
<w:r><w:t xml:space="preserve">the former case the light penetrating between the particles</w:t></w:r>
</w:p>
<w:p>
<w:pPr><w:pStyle w:val="Normal"/></w:pPr>
<w:r><w:t xml:space="preserve">is unable to escape by reflexion, and is finally absorbed.</w:t></w:r>
</w:p>
<w:p>
<w:pPr><w:pStyle w:val="Normal"/></w:pPr>
<w:r><w:t xml:space="preserve">The question of absorption may be considered from either of</w:t></w:r>
</w:p>
<w:p>
<w:pPr><w:pStyle w:val="Normal"/></w:pPr>
<w:r><w:t xml:space="preserve">two points of view.  We may treat it as a superficial effect,</w:t></w:r>
</w:p>
<w:p>
<w:pPr><w:pStyle w:val="Normal"/></w:pPr>
<w:r><w:t xml:space="preserve">especially in the case of bodies which are opaque enough or</w:t></w:r>
</w:p>
<w:p>
<w:pPr><w:pStyle w:val="Normal"/></w:pPr>
<w:r><w:t xml:space="preserve">thick enough to prevent all transmission of light, and we</w:t></w:r>
</w:p>
<w:p>
<w:pPr><w:pStyle w:val="Normal"/></w:pPr>
<w:r><w:t xml:space="preserve">may investigate how much is reflected at the surface and how</w:t></w:r>
</w:p>
<w:p>
<w:pPr><w:pStyle w:val="Normal"/></w:pPr>
<w:r><w:t xml:space="preserve">much is absorbed; or, on the other hand, we may confine our</w:t></w:r>
</w:p>
<w:p>
<w:pPr><w:pStyle w:val="Normal"/></w:pPr>
<w:r><w:t xml:space="preserve">attention to the light which enters the body and inquire into</w:t></w:r>
</w:p>
<w:p>
<w:pPr><w:pStyle w:val="Normal"/></w:pPr>
<w:r><w:t xml:space="preserve">the relation between the decay of intensity and the depth of</w:t></w:r>
</w:p>
<w:p>
<w:pPr><w:pStyle w:val="Normal"/></w:pPr>
<w:r><w:t xml:space="preserve">penetration.  We shall take these two cases separately.</w:t></w:r>
</w:p>
<w:p>
<w:pPr><w:pStyle w:val="Normal"/></w:pPr>
<w:r><w:t xml:space="preserve">Absorptive Power.--When none of the radiations which fall</w:t></w:r>
</w:p>
<w:p>
<w:pPr><w:pStyle w:val="Normal"/></w:pPr>
<w:r><w:t xml:space="preserve">on a body penetrates through its substance, then the ratio</w:t></w:r>
</w:p>
<w:p>
<w:pPr><w:pStyle w:val="Normal"/></w:pPr>
<w:r><w:t xml:space="preserve">of the amount of radiation of a given wave-length which</w:t></w:r>
</w:p>
<w:p>
<w:pPr><w:pStyle w:val="Normal"/></w:pPr>
<w:r><w:t xml:space="preserve">is absorbed to the total amount received is called the</w:t></w:r>
</w:p>
<w:p>
<w:pPr><w:pStyle w:val="Normal"/></w:pPr>
<w:r><w:t xml:space="preserve">``absorptive power&apos;&apos; of the body for that wave-length.</w:t></w:r>
</w:p>
<w:p>
<w:pPr><w:pStyle w:val="Normal"/></w:pPr>
<w:r><w:t xml:space="preserve">Thus if the body absorbed half the incident radiation its</w:t></w:r>
</w:p>
<w:p>
<w:pPr><w:pStyle w:val="Normal"/></w:pPr>
<w:r><w:t xml:space="preserve">absorptive power would be  1/2, and if it absorbed all the</w:t></w:r>
</w:p>
<w:p>
<w:pPr><w:pStyle w:val="Normal"/></w:pPr>
<w:r><w:t xml:space="preserve">incident radiation its absorptive power would be 1. A body</w:t></w:r>
</w:p>
<w:p>
<w:pPr><w:pStyle w:val="Normal"/></w:pPr>
<w:r><w:t xml:space="preserve">which absorbs all radiations of all wavelengths would be</w:t></w:r>
</w:p>
<w:p>
<w:pPr><w:pStyle w:val="Normal"/></w:pPr>
<w:r><w:t xml:space="preserve">called a ``perfectly black body.&apos;&apos; No such body actually</w:t></w:r>
</w:p>
<w:p>
<w:pPr><w:pStyle w:val="Normal"/></w:pPr>
<w:r><w:t xml:space="preserve">exists, but such substances as lamp-black and platinum-black</w:t></w:r>
</w:p>
<w:p>
<w:pPr><w:pStyle w:val="Normal"/></w:pPr>
<w:r><w:t xml:space="preserve">approximately fulfil the condition.  The fraction of the</w:t></w:r>
</w:p>
<w:p>
<w:pPr><w:pStyle w:val="Normal"/></w:pPr>
<w:r><w:t xml:space="preserve">incident radiation which is not absorbed by a body gives a</w:t></w:r>
</w:p>
<w:p>
<w:pPr><w:pStyle w:val="Normal"/></w:pPr>
<w:r><w:t xml:space="preserve">measure of its reflecting power, with which we are not here</w:t></w:r>
</w:p>
<w:p>
<w:pPr><w:pStyle w:val="Normal"/></w:pPr>
<w:r><w:t xml:space="preserve">concerned.  Most bodies exhibit a selective action on light,</w:t></w:r>
</w:p>
<w:p>
<w:pPr><w:pStyle w:val="Normal"/></w:pPr>
<w:r><w:t xml:space="preserve">that is to say, they readily absorb light of particular</w:t></w:r>
</w:p>
<w:p>
<w:pPr><w:pStyle w:val="Normal"/></w:pPr>
<w:r><w:t xml:space="preserve">wave-lengths, light of other wave-lengths not being largely</w:t></w:r>
</w:p>
<w:p>
<w:pPr><w:pStyle w:val="Normal"/></w:pPr>
<w:r><w:t xml:space="preserve">absorbed.  All bodies when heated emit the same kind of</w:t></w:r>
</w:p>
<w:p>
<w:pPr><w:pStyle w:val="Normal"/></w:pPr>
<w:r><w:t xml:space="preserve">radiations which they absorb---an important principle known</w:t></w:r>
</w:p>
<w:p>
<w:pPr><w:pStyle w:val="Normal"/></w:pPr>
<w:r><w:t xml:space="preserve">as the principle of the equality of radiating and absorbing</w:t></w:r>
</w:p>
<w:p>
<w:pPr><w:pStyle w:val="Normal"/></w:pPr>
<w:r><w:t xml:space="preserve">powers.  Thus black substances such as charcoal are very</w:t></w:r>
</w:p>
<w:p>
<w:pPr><w:pStyle w:val="Normal"/></w:pPr>
<w:r><w:t xml:space="preserve">luminous when heated.  A tile of white porcelain with a black</w:t></w:r>
</w:p>
<w:p>
<w:pPr><w:pStyle w:val="Normal"/></w:pPr>
<w:r><w:t xml:space="preserve">pattern on it mill, if heated red-hot, show the pattern bright</w:t></w:r>
</w:p>
<w:p>
<w:pPr><w:pStyle w:val="Normal"/></w:pPr>
<w:r><w:t xml:space="preserve">on a darker ground.  On the other hand, those substances</w:t></w:r>
</w:p>
<w:p>
<w:pPr><w:pStyle w:val="Normal"/></w:pPr>
<w:r><w:t xml:space="preserve">which either are good reflectors or good transmitters, are</w:t></w:r>
</w:p>
<w:p>
<w:pPr><w:pStyle w:val="Normal"/></w:pPr>
<w:r><w:t xml:space="preserve">not so luminous at the same temperature; for instance, melted</w:t></w:r>
</w:p>
<w:p>
<w:pPr><w:pStyle w:val="Normal"/></w:pPr>
<w:r><w:t xml:space="preserve">silver, which reflects well, is not so luminous as carbon</w:t></w:r>
</w:p>
<w:p>
<w:pPr><w:pStyle w:val="Normal"/></w:pPr>
<w:r><w:t xml:space="preserve">at the same temperature, and common salt, which is very</w:t></w:r>
</w:p>
<w:p>
<w:pPr><w:pStyle w:val="Normal"/></w:pPr>
<w:r><w:t xml:space="preserve">transparent for most kinds of radiation, when poured in a</w:t></w:r>
</w:p>
<w:p>
<w:pPr><w:pStyle w:val="Normal"/></w:pPr>
<w:r><w:t xml:space="preserve">fused condition out of a bright red-hot crucible, looks almost</w:t></w:r>
</w:p>
<w:p>
<w:pPr><w:pStyle w:val="Normal"/></w:pPr>
<w:r><w:t xml:space="preserve">like water, showing only a faint red glow for a moment or</w:t></w:r>
</w:p>
<w:p>
<w:pPr><w:pStyle w:val="Normal"/></w:pPr>
<w:r><w:t xml:space="preserve">two.  But all such bodies appear to lose their distinctive</w:t></w:r>
</w:p>
<w:p>
<w:pPr><w:pStyle w:val="Normal"/></w:pPr>
<w:r><w:t xml:space="preserve">properties when heated in a vessel which nearly encloses them,</w:t></w:r>
</w:p>
<w:p>
<w:pPr><w:pStyle w:val="Normal"/></w:pPr>
<w:r><w:t xml:space="preserve">for in that case those radiations which they do not emit are</w:t></w:r>
</w:p>
<w:p>
<w:pPr><w:pStyle w:val="Normal"/></w:pPr>
<w:r><w:t xml:space="preserve">either transmitted through them from the walls of the vessel</w:t></w:r>
</w:p>
<w:p>
<w:pPr><w:pStyle w:val="Normal"/></w:pPr>
<w:r><w:t xml:space="preserve">behind, or else reflected from their surface.  This fact may</w:t></w:r>
</w:p>
<w:p>
<w:pPr><w:pStyle w:val="Normal"/></w:pPr>
<w:r><w:t xml:space="preserve">be expressed by saying that the radiation within a heated</w:t></w:r>
</w:p>
<w:p>
<w:pPr><w:pStyle w:val="Normal"/></w:pPr>
<w:r><w:t xml:space="preserve">enclosure is the same as that of a perfectly black body.</w:t></w:r>
</w:p>
<w:p>
<w:pPr><w:pStyle w:val="Normal"/></w:pPr>
<w:r><w:t xml:space="preserve">Coefficient of Absorption, and Law of Absorption.---The law</w:t></w:r>
</w:p>
<w:p>
<w:pPr><w:pStyle w:val="Normal"/></w:pPr>
<w:r><w:t xml:space="preserve">which governs the rate of decay of light intensity in passing</w:t></w:r>
</w:p>
<w:p>
<w:pPr><w:pStyle w:val="Normal"/></w:pPr>
<w:r><w:t xml:space="preserve">through any medium may be readily obtained.  If I0 represents</w:t></w:r>
</w:p>
<w:p>
<w:pPr><w:pStyle w:val="Normal"/></w:pPr>
<w:r><w:t xml:space="preserve">the intensity of the light which enters the surface, I1 the</w:t></w:r>
</w:p>
<w:p>
<w:pPr><w:pStyle w:val="Normal"/></w:pPr>
<w:r><w:t xml:space="preserve">intensity after passing through 1 centimetre, I2 the intensity</w:t></w:r>
</w:p>
<w:p>
<w:pPr><w:pStyle w:val="Normal"/></w:pPr>
<w:r><w:t xml:space="preserve">after passing through 2 centimetres, and so on; then we should</w:t></w:r>
</w:p>
<w:p>
<w:pPr><w:pStyle w:val="Normal"/></w:pPr>
<w:r><w:t xml:space="preserve">expect that whatever fraction of I0 is absorbed in the first</w:t></w:r>
</w:p>
<w:p>
<w:pPr><w:pStyle w:val="Normal"/></w:pPr>
<w:r><w:t xml:space="preserve">centimetre, the same fraction of I1 will be absorbed in the</w:t></w:r>
</w:p>
<w:p>
<w:pPr><w:pStyle w:val="Normal"/></w:pPr>
<w:r><w:t xml:space="preserve">second.  That is, if an amount jI0 is absorbed in the first</w:t></w:r>
</w:p>
<w:p>
<w:pPr><w:pStyle w:val="Normal"/></w:pPr>
<w:r><w:t xml:space="preserve">centimetre, JI1 is absorbed in the second, and so on.  We have then</w:t></w:r>
</w:p>
<w:p>
<w:pPr><w:pStyle w:val="Normal"/></w:pPr>
<w:r><w:t xml:space="preserve">I1 = I0(1--j)</w:t></w:r>
</w:p>
<w:p>
<w:pPr><w:pStyle w:val="Normal"/></w:pPr>
<w:r><w:t xml:space="preserve">I2 = I1(1--j) = I0(1--j)2</w:t></w:r>
</w:p>
<w:p>
<w:pPr><w:pStyle w:val="Normal"/></w:pPr>
<w:r><w:t xml:space="preserve">I3 = I2(1--j) = I0(1--j)3</w:t></w:r>
</w:p>
<w:p>
<w:pPr><w:pStyle w:val="Normal"/></w:pPr>
<w:r><w:t xml:space="preserve">and so on, so that if I is the intensity after</w:t></w:r>
</w:p>
<w:p>
<w:pPr><w:pStyle w:val="Normal"/></w:pPr>
<w:r><w:t xml:space="preserve">passing through a thickness t in centimetres</w:t></w:r>
</w:p>
<w:p>
<w:pPr><w:pStyle w:val="Heading1"/></w:pPr>
<w:r><w:t>I = I0(1--j)t                    (1).</w:t></w:r>
</w:p>
<w:p>
<w:pPr><w:pStyle w:val="Normal"/></w:pPr>
<w:r><w:t xml:space="preserve">We might call j, which is the proportion absorbed in one</w:t></w:r>
</w:p>
<w:p>
<w:pPr><w:pStyle w:val="Normal"/></w:pPr>
<w:r><w:t xml:space="preserve">centimetre, the ``coefficient of absorption&apos;&apos; of the medium.</w:t></w:r>
</w:p>
<w:p>
<w:pPr><w:pStyle w:val="Normal"/></w:pPr>
<w:r><w:t xml:space="preserve">1/2t would, however, not then apply to the case of a body</w:t></w:r>
</w:p>
<w:p>
<w:pPr><w:pStyle w:val="Normal"/></w:pPr>
<w:r><w:t xml:space="preserve">for which the whole light is absorbed in less than one</w:t></w:r>
</w:p>
<w:p>
<w:pPr><w:pStyle w:val="Normal"/></w:pPr>
<w:r><w:t xml:space="preserve">centimetre.  It is better then to define the coefficient of</w:t></w:r>
</w:p>
<w:p>
<w:pPr><w:pStyle w:val="Normal"/></w:pPr>
<w:r><w:t xml:space="preserve">absorption as a quantity k such that k/n of the light is</w:t></w:r>
</w:p>
<w:p>
<w:pPr><w:pStyle w:val="Normal"/></w:pPr>
<w:r><w:t xml:space="preserve">absorbed in 1/nth part of a centimetre, where n may be</w:t></w:r>
</w:p>
<w:p>
<w:pPr><w:pStyle w:val="Normal"/></w:pPr>
<w:r><w:t xml:space="preserve">taken to be a very large number.  The formula (1) then becomes</w:t></w:r>
</w:p>
<w:p>
<w:pPr><w:pStyle w:val="Normal"/></w:pPr>
<w:r><w:t xml:space="preserve">I=I0e-kt                    (2)</w:t></w:r>
</w:p>
<w:p>
<w:pPr><w:pStyle w:val="Normal"/></w:pPr>
<w:r><w:t xml:space="preserve">where e is the base of Napierian logarithms, and</w:t></w:r>
</w:p>
<w:p>
<w:pPr><w:pStyle w:val="Normal"/></w:pPr>
<w:r><w:t xml:space="preserve">k is a constant which is practically the same</w:t></w:r>
</w:p>
<w:p>
<w:pPr><w:pStyle w:val="Normal"/></w:pPr>
<w:r><w:t xml:space="preserve">as for bodies which do not absorb very rapidly.</w:t></w:r>
</w:p>
<w:p>
<w:pPr><w:pStyle w:val="Normal"/></w:pPr>
<w:r><w:t xml:space="preserve">There is another coefficient of absorption (k) which occurs</w:t></w:r>
</w:p>
<w:p>
<w:pPr><w:pStyle w:val="Normal"/></w:pPr>
<w:r><w:t xml:space="preserve">in Helmholtz&apos;s theory of dispersion (see DISPERSION.)</w:t></w:r>
</w:p>
<w:p>
<w:pPr><w:pStyle w:val="Normal"/></w:pPr>
<w:r><w:t xml:space="preserve">It is closely related to the coefficient k which we have</w:t></w:r>
</w:p>
<w:p>
<w:pPr><w:pStyle w:val="Normal"/></w:pPr>
<w:r><w:t xml:space="preserve">just defined, the equation connecting the two being k=4</w:t></w:r>
</w:p>
<w:p>
<w:pPr><w:pStyle w:val="Normal"/></w:pPr>
<w:r><w:t xml:space="preserve">pk/l, l being the wavelength of the incident light.</w:t></w:r>
</w:p>
<w:p>
<w:pPr><w:pStyle w:val="Normal"/></w:pPr>
<w:r><w:t xml:space="preserve">The law of absorption expressed by the formula (2) has been</w:t></w:r>
</w:p>
<w:p>
<w:pPr><w:pStyle w:val="Normal"/></w:pPr>
<w:r><w:t xml:space="preserve">verified by experiments for various solids, liquids and</w:t></w:r>
</w:p>
<w:p>
<w:pPr><w:pStyle w:val="Normal"/></w:pPr>
<w:r><w:t xml:space="preserve">gases.  The method consists in comparing the intensity after</w:t></w:r>
</w:p>
<w:p>
<w:pPr><w:pStyle w:val="Normal"/></w:pPr>
<w:r><w:t xml:space="preserve">transmission through a layer of known thickness of the absorbent</w:t></w:r>
</w:p>
<w:p>
<w:pPr><w:pStyle w:val="Normal"/></w:pPr>
<w:r><w:t xml:space="preserve">with the intensity of light from the same source which has</w:t></w:r>
</w:p>
<w:p>
<w:pPr><w:pStyle w:val="Normal"/></w:pPr>
<w:r><w:t xml:space="preserve">not passed through the medium, k being thus obtained for</w:t></w:r>
</w:p>
<w:p>
<w:pPr><w:pStyle w:val="Normal"/></w:pPr>
<w:r><w:t xml:space="preserve">various thicknesses and found to be constant.  In the case of</w:t></w:r>
</w:p>
<w:p>
<w:pPr><w:pStyle w:val="Normal"/></w:pPr>
<w:r><w:t xml:space="preserve">solutions, if the absorption of the solvent is negligible, the</w:t></w:r>
</w:p>
<w:p>
<w:pPr><w:pStyle w:val="Normal"/></w:pPr>
<w:r><w:t xml:space="preserve">eflect of increasing the concentration of the absorbing solute</w:t></w:r>
</w:p>
<w:p>
<w:pPr><w:pStyle w:val="Normal"/></w:pPr>
<w:r><w:t xml:space="preserve">is the same as that of increasing the thickness in the same</w:t></w:r>
</w:p>
<w:p>
<w:pPr><w:pStyle w:val="Normal"/></w:pPr>
<w:r><w:t xml:space="preserve">ratio.  In a similar way the absorption of light in the</w:t></w:r>
</w:p>
<w:p>
<w:pPr><w:pStyle w:val="Normal"/></w:pPr>
<w:r><w:t xml:space="preserve">coloured gas chlorine is found to be unaltered if the thickness</w:t></w:r>
</w:p>
<w:p>
<w:pPr><w:pStyle w:val="Normal"/></w:pPr>
<w:r><w:t xml:space="preserve">is reduced by compression, because the density is increased</w:t></w:r>
</w:p>
<w:p>
<w:pPr><w:pStyle w:val="Normal"/></w:pPr>
<w:r><w:t xml:space="preserve">in the same ratio that the thickness is reduced.  This is</w:t></w:r>
</w:p>
<w:p>
<w:pPr><w:pStyle w:val="Normal"/></w:pPr>
<w:r><w:t xml:space="preserve">not strictly the case, however, for such gases and vapours</w:t></w:r>
</w:p>
<w:p>
<w:pPr><w:pStyle w:val="Normal"/></w:pPr>
<w:r><w:t xml:space="preserve">as exhibit well-defined bands of absorption in the spectrum,</w:t></w:r>
</w:p>
<w:p>
<w:pPr><w:pStyle w:val="Normal"/></w:pPr>
<w:r><w:t xml:space="preserve">as these bands are altered in character by compression.</w:t></w:r>
</w:p>
<w:p>
<w:pPr><w:pStyle w:val="Normal"/></w:pPr>
<w:r><w:t xml:space="preserve">If white light is allowed to fall on some coloured</w:t></w:r>
</w:p>
<w:p>
<w:pPr><w:pStyle w:val="Normal"/></w:pPr>
<w:r><w:t xml:space="preserve">solutions, the transmitted light is of one colour when the</w:t></w:r>
</w:p>
<w:p>
<w:pPr><w:pStyle w:val="Normal"/></w:pPr>
<w:r><w:t xml:space="preserve">thickness of the solution is small, and of quite another</w:t></w:r>
</w:p>
<w:p>
<w:pPr><w:pStyle w:val="Normal"/></w:pPr>
<w:r><w:t xml:space="preserve">colour if the thickness is great.  This curious phenomenon</w:t></w:r>
</w:p>
<w:p>
<w:pPr><w:pStyle w:val="Normal"/></w:pPr>
<w:r><w:t xml:space="preserve">is known as dichromatism (from di-, two, and chroma,</w:t></w:r>
</w:p>
<w:p>
<w:pPr><w:pStyle w:val="Normal"/></w:pPr>
<w:r><w:t xml:space="preserve">colour).  Thus, when a strong light is viewed through a</w:t></w:r>
</w:p>
<w:p>
<w:pPr><w:pStyle w:val="Normal"/></w:pPr>
<w:r><w:t xml:space="preserve">solution of chlorophyll, the light seen is a brilliant green</w:t></w:r>
</w:p>
<w:p>
<w:pPr><w:pStyle w:val="Normal"/></w:pPr>
<w:r><w:t xml:space="preserve">if the thickness is small, but a deep blood-red for thicker</w:t></w:r>
</w:p>
<w:p>
<w:pPr><w:pStyle w:val="Normal"/></w:pPr>
<w:r><w:t xml:space="preserve">layers.  This effect can be explained as follows.  The solution</w:t></w:r>
</w:p>
<w:p>
<w:pPr><w:pStyle w:val="Normal"/></w:pPr>
<w:r><w:t xml:space="preserve">is moderately transparent for a large number of rays in the</w:t></w:r>
</w:p>
<w:p>
<w:pPr><w:pStyle w:val="Normal"/></w:pPr>
<w:r><w:t xml:space="preserve">neighborhoodood of the green part of the spectrum; it is,</w:t></w:r>
</w:p>
<w:p>
<w:pPr><w:pStyle w:val="Normal"/></w:pPr>
<w:r><w:t xml:space="preserve">on the whole, much more opaque for red rays, but is readily</w:t></w:r>
</w:p>
<w:p>
<w:pPr><w:pStyle w:val="Normal"/></w:pPr>
<w:r><w:t xml:space="preserve">penetrated by certain red rays belonging to a narrow region</w:t></w:r>
</w:p>
<w:p>
<w:pPr><w:pStyle w:val="Normal"/></w:pPr>
<w:r><w:t xml:space="preserve">of the spectrum.  The small amount of red transmitted is at</w:t></w:r>
</w:p>
<w:p>
<w:pPr><w:pStyle w:val="Normal"/></w:pPr>
<w:r><w:t xml:space="preserve">first quite overpowered by the green, but having a smaller</w:t></w:r>
</w:p>
<w:p>
<w:pPr><w:pStyle w:val="Normal"/></w:pPr>
<w:r><w:t xml:space="preserve">coefficient of absorption, it becomes finally predominant.</w:t></w:r>
</w:p>
<w:p>
<w:pPr><w:pStyle w:val="Normal"/></w:pPr>
<w:r><w:t xml:space="preserve">The effect is complicated, in the case of chlorophyll and</w:t></w:r>
</w:p>
<w:p>
<w:pPr><w:pStyle w:val="Normal"/></w:pPr>
<w:r><w:t xml:space="preserve">many other bodies, by selective reflexion and fluorescence.</w:t></w:r>
</w:p>
<w:p>
<w:pPr><w:pStyle w:val="Normal"/></w:pPr>
<w:r><w:t xml:space="preserve">For the molecular theory of absorption, see SPECTROSCOPY.</w:t></w:r>
</w:p>
<w:p>
<w:pPr><w:pStyle w:val="Normal"/></w:pPr>
<w:r><w:t xml:space="preserve">REFERENCES.---A.  Schuster&apos;s Theory of Optics (1904); P. K. L.</w:t></w:r>
</w:p>
<w:p>
<w:pPr><w:pStyle w:val="Normal"/></w:pPr>
<w:r><w:t xml:space="preserve">Drude&apos;s Theory of Optics (Eng. trans., 1902); F. H. Wullner&apos;s</w:t></w:r>
</w:p>
<w:p>
<w:pPr><w:pStyle w:val="Normal"/></w:pPr>
<w:r><w:t xml:space="preserve">Lehrbuch der Experimentalphysik, Bd. iv. (1899). (J. R. C.)</w:t></w:r>
</w:p>
<w:p>
<w:pPr><w:pStyle w:val="Normal"/></w:pPr>
<w:r><w:t xml:space="preserve">ABSTEMII (a Latin word. from abs. away from. temetum.</w:t></w:r>
</w:p>
<w:p>
<w:pPr><w:pStyle w:val="Normal"/></w:pPr>
<w:r><w:t xml:space="preserve">intoxicating liquor, from which is derived the English</w:t></w:r>
</w:p>
<w:p>
<w:pPr><w:pStyle w:val="Normal"/></w:pPr>
<w:r><w:t xml:space="preserve">``abstemious&apos;&apos; or temperate), a name formerly given to such</w:t></w:r>
</w:p>
<w:p>
<w:pPr><w:pStyle w:val="Normal"/></w:pPr>
<w:r><w:t xml:space="preserve">persons as could not partake of the cup of the Eucharist</w:t></w:r>
</w:p>
<w:p>
<w:pPr><w:pStyle w:val="Normal"/></w:pPr>
<w:r><w:t xml:space="preserve">on account of their natural aversion to wine.  Calvinists</w:t></w:r>
</w:p>
<w:p>
<w:pPr><w:pStyle w:val="Normal"/></w:pPr>
<w:r><w:t xml:space="preserve">allowed these to communicate in the species of bread only,</w:t></w:r>
</w:p>
<w:p>
<w:pPr><w:pStyle w:val="Normal"/></w:pPr>
<w:r><w:t xml:space="preserve">touching the cup with their lip; a course which was deemed a</w:t></w:r>
</w:p>
<w:p>
<w:pPr><w:pStyle w:val="Normal"/></w:pPr>
<w:r><w:t xml:space="preserve">profanation by the Lutherans.  Among several Protestant sects,</w:t></w:r>
</w:p>
<w:p>
<w:pPr><w:pStyle w:val="Normal"/></w:pPr>
<w:r><w:t xml:space="preserve">both in Great Britain and America, abstemii on a somewhat</w:t></w:r>
</w:p>
<w:p>
<w:pPr><w:pStyle w:val="Normal"/></w:pPr>
<w:r><w:t xml:space="preserve">different principle have appeared in modern times.  These are</w:t></w:r>
</w:p>
<w:p>
<w:pPr><w:pStyle w:val="Normal"/></w:pPr>
<w:r><w:t xml:space="preserve">total abstainers, who maintain that the use of stimulants is</w:t></w:r>
</w:p>
<w:p>
<w:pPr><w:pStyle w:val="Normal"/></w:pPr>
<w:r><w:t xml:space="preserve">essentially sinful, and allege that the wine used by Christ and</w:t></w:r>
</w:p>
<w:p>
<w:pPr><w:pStyle w:val="Normal"/></w:pPr>
<w:r><w:t xml:space="preserve">his disciples at the supper was unfermented.  They accordingly</w:t></w:r>
</w:p>
<w:p>
<w:pPr><w:pStyle w:val="Normal"/></w:pPr>
<w:r><w:t xml:space="preserve">communicate in the unfermented ``juice of the grape.&apos;&apos;</w:t></w:r>
</w:p>
<w:p>
<w:pPr><w:pStyle w:val="Normal"/></w:pPr>
<w:r><w:t xml:space="preserve">ABSTINENCE (from Lat. abstinere, to abstain), the fact</w:t></w:r>
</w:p>
<w:p>
<w:pPr><w:pStyle w:val="Normal"/></w:pPr>
<w:r><w:t xml:space="preserve">or habit of refraining from anything, but usually from the</w:t></w:r>
</w:p>
<w:p>
<w:pPr><w:pStyle w:val="Normal"/></w:pPr>
<w:r><w:t xml:space="preserve">indulgence of the appetite and especially from strong drink.</w:t></w:r>
</w:p>
<w:p>
<w:pPr><w:pStyle w:val="Normal"/></w:pPr>
<w:r><w:t xml:space="preserve">``Total abstinence&apos;&apos; and ``total abstainer&apos;&apos; are associated</w:t></w:r>
</w:p>
<w:p>
<w:pPr><w:pStyle w:val="Normal"/></w:pPr>
<w:r><w:t xml:space="preserve">with taking the pledge to abstain from alcoholic liquor (see</w:t></w:r>
</w:p>
<w:p>
<w:pPr><w:pStyle w:val="Normal"/></w:pPr>
<w:r><w:t xml:space="preserve">TEMPERANCE.) In the discipline of the Christian Church</w:t></w:r>
</w:p>
<w:p>
<w:pPr><w:pStyle w:val="Normal"/></w:pPr>
<w:r><w:t xml:space="preserve">abstinence is the term for a less severe form of Fasting (q.v..)</w:t></w:r>
</w:p>
<w:p>
<w:pPr><w:pStyle w:val="Normal"/></w:pPr>
<w:r><w:t xml:space="preserve">ABSTRACTION (Lat. abs and trahere), the process or</w:t></w:r>
</w:p>
<w:p>
<w:pPr><w:pStyle w:val="Normal"/></w:pPr>
<w:r><w:t xml:space="preserve">result of drawing away; that which is drawn away, separated or</w:t></w:r>
</w:p>
<w:p>
<w:pPr><w:pStyle w:val="Normal"/></w:pPr>
<w:r><w:t xml:space="preserve">derived.  Thus the noun is used for a summary, compendium</w:t></w:r>
</w:p>
<w:p>
<w:pPr><w:pStyle w:val="Normal"/></w:pPr>
<w:r><w:t xml:space="preserve">or epitome of a larger work, the gist of which is given in</w:t></w:r>
</w:p>
<w:p>
<w:pPr><w:pStyle w:val="Normal"/></w:pPr>
<w:r><w:t xml:space="preserve">a concentrated form.  Similarly an absent-minded man is said</w:t></w:r>
</w:p>
<w:p>
<w:pPr><w:pStyle w:val="Normal"/></w:pPr>
<w:r><w:t xml:space="preserve">to be ``abstracted,&apos;&apos; as paying no attention to the matter in</w:t></w:r>
</w:p>
<w:p>
<w:pPr><w:pStyle w:val="Normal"/></w:pPr>
<w:r><w:t xml:space="preserve">hand.  In philosophy the word has several closely related</w:t></w:r>
</w:p>
<w:p>
<w:pPr><w:pStyle w:val="Normal"/></w:pPr>
<w:r><w:t xml:space="preserve">technical senses. (1) In formal logic it is applied to those</w:t></w:r>
</w:p>
<w:p>
<w:pPr><w:pStyle w:val="Normal"/></w:pPr>
<w:r><w:t xml:space="preserve">terms which denote qualities, attributes, circumstances,</w:t></w:r>
</w:p>
<w:p>
<w:pPr><w:pStyle w:val="Normal"/></w:pPr>
<w:r><w:t xml:space="preserve">as opposed to concrete terms, the names of things; thus</w:t></w:r>
</w:p>
<w:p>
<w:pPr><w:pStyle w:val="Normal"/></w:pPr>
<w:r><w:t xml:space="preserve">``friend&apos;&apos; is concrete, ``friendship&apos;&apos; abstract.  The term</w:t></w:r>
</w:p>
<w:p>
<w:pPr><w:pStyle w:val="Normal"/></w:pPr>
<w:r><w:t xml:space="preserve">which expresses the connotation of a word is therefore an</w:t></w:r>
</w:p>
<w:p>
<w:pPr><w:pStyle w:val="Normal"/></w:pPr>
<w:r><w:t xml:space="preserve">abstract term, though it is probably not itself connotative;</w:t></w:r>
</w:p>
<w:p>
<w:pPr><w:pStyle w:val="Normal"/></w:pPr>
<w:r><w:t xml:space="preserve">adjectives are concrete, not abstract, e.g. ``equal&apos;&apos; is</w:t></w:r>
</w:p>
<w:p>
<w:pPr><w:pStyle w:val="Normal"/></w:pPr>
<w:r><w:t xml:space="preserve">concrete, ``equality&apos;&apos; abstract (cf. Aristotle&apos;s aphaeresis</w:t></w:r>
</w:p>
<w:p>
<w:pPr><w:pStyle w:val="Normal"/></w:pPr>
<w:r><w:t xml:space="preserve">and prosthesis.) (2) The process of abstraction takes</w:t></w:r>
</w:p>
<w:p>
<w:pPr><w:pStyle w:val="Normal"/></w:pPr>
<w:r><w:t xml:space="preserve">an important place both in psychological and metaphysical</w:t></w:r>
</w:p>
<w:p>
<w:pPr><w:pStyle w:val="Normal"/></w:pPr>
<w:r><w:t xml:space="preserve">speculation.  The psychologist finds among the earliest</w:t></w:r>
</w:p>
<w:p>
<w:pPr><w:pStyle w:val="Normal"/></w:pPr>
<w:r><w:t xml:space="preserve">of his problems the question as to the process from the</w:t></w:r>
</w:p>
<w:p>
<w:pPr><w:pStyle w:val="Normal"/></w:pPr>
<w:r><w:t xml:space="preserve">perception of things seen and heard to mental conceptions,</w:t></w:r>
</w:p>
<w:p>
<w:pPr><w:pStyle w:val="Normal"/></w:pPr>
<w:r><w:t xml:space="preserve">which are ultimately distinct from immediate perception</w:t></w:r>
</w:p>
<w:p>
<w:pPr><w:pStyle w:val="Normal"/></w:pPr>
<w:r><w:t xml:space="preserve">(see PSYCHOLOGY.) When the mind, beginning with isolated</w:t></w:r>
</w:p>
<w:p>
<w:pPr><w:pStyle w:val="Normal"/></w:pPr>
<w:r><w:t xml:space="preserve">individuals, groups them together in virtue of perceived</w:t></w:r>
</w:p>
<w:p>
<w:pPr><w:pStyle w:val="Normal"/></w:pPr>
<w:r><w:t xml:space="preserve">resemblances and arrives at a unity in plurality, the process</w:t></w:r>
</w:p>
<w:p>
<w:pPr><w:pStyle w:val="Normal"/></w:pPr>
<w:r><w:t xml:space="preserve">by which attention is diverted from individuals and concentrated</w:t></w:r>
</w:p>
<w:p>
<w:pPr><w:pStyle w:val="Normal"/></w:pPr>
<w:r><w:t xml:space="preserve">on a single inclusive concept (i.e. classification) is one of</w:t></w:r>
</w:p>
<w:p>
<w:pPr><w:pStyle w:val="Normal"/></w:pPr>
<w:r><w:t xml:space="preserve">abstraction.  All orderly thought and all increase of knowledge</w:t></w:r>
</w:p>
<w:p>
<w:pPr><w:pStyle w:val="Normal"/></w:pPr>
<w:r><w:t xml:space="preserve">depend partly on establishing a clear and accurate connexion</w:t></w:r>
</w:p>
<w:p>
<w:pPr><w:pStyle w:val="Normal"/></w:pPr>
<w:r><w:t xml:space="preserve">between particular things and general ideas, rules and</w:t></w:r>
</w:p>
<w:p>
<w:pPr><w:pStyle w:val="Normal"/></w:pPr>
<w:r><w:t xml:space="preserve">principles.  The nature of the resultant concepts belongs</w:t></w:r>
</w:p>
<w:p>
<w:pPr><w:pStyle w:val="Normal"/></w:pPr>
<w:r><w:t xml:space="preserve">to the great controversy between Nominalism, Realism and</w:t></w:r>
</w:p>
<w:p>
<w:pPr><w:pStyle w:val="Normal"/></w:pPr>
<w:r><w:t xml:space="preserve">Conceptualism.  Metaphysics, again, is concerned with the</w:t></w:r>
</w:p>
<w:p>
<w:pPr><w:pStyle w:val="Normal"/></w:pPr>
<w:r><w:t xml:space="preserve">ultimate problems of matter and spirit; it endeavours to go</w:t></w:r>
</w:p>
<w:p>
<w:pPr><w:pStyle w:val="Normal"/></w:pPr>
<w:r><w:t xml:space="preserve">behind the phenomena of sense and focus its attention on the</w:t></w:r>
</w:p>
<w:p>
<w:pPr><w:pStyle w:val="Normal"/></w:pPr>
<w:r><w:t xml:space="preserve">fundamental truths which are the only logical bases of natural</w:t></w:r>
</w:p>
<w:p>
<w:pPr><w:pStyle w:val="Normal"/></w:pPr>
<w:r><w:t xml:space="preserve">science.  This, again, is a process of abstraction, the</w:t></w:r>
</w:p>
<w:p>
<w:pPr><w:pStyle w:val="Normal"/></w:pPr>
<w:r><w:t xml:space="preserve">attainment of abstract ideas which, apart from the concrete</w:t></w:r>
</w:p>
<w:p>
<w:pPr><w:pStyle w:val="Normal"/></w:pPr>
<w:r><w:t xml:space="preserve">individuals, are conceived as having a substantive existence.</w:t></w:r>
</w:p>
<w:p>
<w:pPr><w:pStyle w:val="Normal"/></w:pPr>
<w:r><w:t xml:space="preserve">The final step in the process is the conception of the Absolute</w:t></w:r>
</w:p>
<w:p>
<w:pPr><w:pStyle w:val="Normal"/></w:pPr>
<w:r><w:t xml:space="preserve">(q.v.), which is abstract in the most complete sense.</w:t></w:r>
</w:p>
<w:p>
<w:pPr><w:pStyle w:val="Normal"/></w:pPr>
<w:r><w:t xml:space="preserve">Abstraction differs from Analysis, inasmuch as its object is to</w:t></w:r>
</w:p>
<w:p>
<w:pPr><w:pStyle w:val="Normal"/></w:pPr>
<w:r><w:t xml:space="preserve">select a particular quality for consideration in itself as it is</w:t></w:r>
</w:p>
<w:p>
<w:pPr><w:pStyle w:val="Normal"/></w:pPr>
<w:r><w:t xml:space="preserve">found in all the ob)ects to which it belongs, whereas analysis</w:t></w:r>
</w:p>
<w:p>
<w:pPr><w:pStyle w:val="Normal"/></w:pPr>
<w:r><w:t xml:space="preserve">considers all the qualities which belong to a single object.</w:t></w:r>
</w:p>
<w:p>
<w:pPr><w:pStyle w:val="Normal"/></w:pPr>
<w:r><w:t xml:space="preserve">ABSTRACT OF TITLE, in English law, an epitome of the</w:t></w:r>
</w:p>
<w:p>
<w:pPr><w:pStyle w:val="Normal"/></w:pPr>
<w:r><w:t xml:space="preserve">various instruments and events under and in consequence</w:t></w:r>
</w:p>
<w:p>
<w:pPr><w:pStyle w:val="Normal"/></w:pPr>
<w:r><w:t xml:space="preserve">of which the vendor of an estate derives his title</w:t></w:r>
</w:p>
<w:p>
<w:pPr><w:pStyle w:val="Normal"/></w:pPr>
<w:r><w:t xml:space="preserve">thereto.  Such an abstract is, upon the sale or mortgage</w:t></w:r>
</w:p>
<w:p>
<w:pPr><w:pStyle w:val="Normal"/></w:pPr>
<w:r><w:t xml:space="preserve">of an estate, prepared by some competent person for the</w:t></w:r>
</w:p>
<w:p>
<w:pPr><w:pStyle w:val="Normal"/></w:pPr>
<w:r><w:t xml:space="preserve">purchaser or mortgagee, and verified by his solicitor by a</w:t></w:r>
</w:p>
<w:p>
<w:pPr><w:pStyle w:val="Normal"/></w:pPr>
<w:r><w:t xml:space="preserve">comparison with the original deeds. (See CONVEYANCING.)</w:t></w:r>
</w:p>
<w:p>
<w:pPr><w:pStyle w:val="Normal"/></w:pPr>
<w:r><w:t xml:space="preserve">ABT, FRANZ (1819-1885), German composer, was born on the</w:t></w:r>
</w:p>
<w:p>
<w:pPr><w:pStyle w:val="Normal"/></w:pPr>
<w:r><w:t xml:space="preserve">22nd of December 1819 at Eilenburg, Saxony, and died at</w:t></w:r>
</w:p>
<w:p>
<w:pPr><w:pStyle w:val="Normal"/></w:pPr>
<w:r><w:t xml:space="preserve">Wiesbaden on the 31st of March 1885.  The best of his popular</w:t></w:r>
</w:p>
<w:p>
<w:pPr><w:pStyle w:val="Normal"/></w:pPr>
<w:r><w:t xml:space="preserve">songs have become part of the recognized art-folk-music of</w:t></w:r>
</w:p>
<w:p>
<w:pPr><w:pStyle w:val="Normal"/></w:pPr>
<w:r><w:t xml:space="preserve">Germany; his vocal works, solos, part-songs, &amp;c., enjoyed</w:t></w:r>
</w:p>
<w:p>
<w:pPr><w:pStyle w:val="Normal"/></w:pPr>
<w:r><w:t xml:space="preserve">an extraordinary vogue all over Europe in the middle of the</w:t></w:r>
</w:p>
<w:p>
<w:pPr><w:pStyle w:val="Normal"/></w:pPr>
<w:r><w:t xml:space="preserve">19th century, but in spite of their facile tunefulness have</w:t></w:r>
</w:p>
<w:p>
<w:pPr><w:pStyle w:val="Normal"/></w:pPr>
<w:r><w:t xml:space="preserve">few qualities of lasting beauty.  Abt was kapellmeister</w:t></w:r>
</w:p>
<w:p>
<w:pPr><w:pStyle w:val="Normal"/></w:pPr>
<w:r><w:t xml:space="preserve">at Bernburg in 1841, at Zurich in the same year and at</w:t></w:r>
</w:p>
<w:p>
<w:pPr><w:pStyle w:val="Normal"/></w:pPr>
<w:r><w:t xml:space="preserve">Brunswick from 1852 to 1882, when he retired to Wiesbaden.</w:t></w:r>
</w:p>
<w:p>
<w:pPr><w:pStyle w:val="Normal"/></w:pPr>
<w:r><w:t xml:space="preserve">ABU, a mountain of Central India, situated in 24 deg.  36&apos; N.</w:t></w:r>
</w:p>
<w:p>
<w:pPr><w:pStyle w:val="Normal"/></w:pPr>
<w:r><w:t xml:space="preserve">lat. and 72 deg.  43&apos; E. long., within the Rajputana state of</w:t></w:r>
</w:p>
<w:p>
<w:pPr><w:pStyle w:val="Normal"/></w:pPr>
<w:r><w:t xml:space="preserve">Sirohi.  It is an isolated spur of the Aravalli range, being</w:t></w:r>
</w:p>
<w:p>
<w:pPr><w:pStyle w:val="Normal"/></w:pPr>
<w:r><w:t xml:space="preserve">completely detached from that chain by a narrow valley 7</w:t></w:r>
</w:p>
<w:p>
<w:pPr><w:pStyle w:val="Normal"/></w:pPr>
<w:r><w:t xml:space="preserve">miles across, in which flows the western Banas.  It rises</w:t></w:r>
</w:p>
<w:p>
<w:pPr><w:pStyle w:val="Normal"/></w:pPr>
<w:r><w:t xml:space="preserve">from the surrounding plains of Marwar like a precipitous</w:t></w:r>
</w:p>
<w:p>
<w:pPr><w:pStyle w:val="Normal"/></w:pPr>
<w:r><w:t xml:space="preserve">granite island, its various peaks ranging from 4000 to 5653</w:t></w:r>
</w:p>
<w:p>
<w:pPr><w:pStyle w:val="Normal"/></w:pPr>
<w:r><w:t xml:space="preserve">feet.  The elevations and platforms of the mountain are</w:t></w:r>
</w:p>
<w:p>
<w:pPr><w:pStyle w:val="Normal"/></w:pPr>
<w:r><w:t xml:space="preserve">covered with elaborately sculptured shrines, temples and</w:t></w:r>
</w:p>
<w:p>
<w:pPr><w:pStyle w:val="Normal"/></w:pPr>
<w:r><w:t xml:space="preserve">tombs.  On the top of the hill is a small round platform</w:t></w:r>
</w:p>
<w:p>
<w:pPr><w:pStyle w:val="Normal"/></w:pPr>
<w:r><w:t xml:space="preserve">containing a cavern, with a block of granite, bearing the</w:t></w:r>
</w:p>
<w:p>
<w:pPr><w:pStyle w:val="Normal"/></w:pPr>
<w:r><w:t xml:space="preserve">impression of the feet of Data-Bhrigu, an incarnation of</w:t></w:r>
</w:p>
<w:p>
<w:pPr><w:pStyle w:val="Normal"/></w:pPr>
<w:r><w:t xml:space="preserve">Vishnu.  This is the chief place of pilgrimage for the</w:t></w:r>
</w:p>
<w:p>
<w:pPr><w:pStyle w:val="Normal"/></w:pPr>
<w:r><w:t xml:space="preserve">Jains, Shrawaks and Banians.  The two principal temples are</w:t></w:r>
</w:p>
<w:p>
<w:pPr><w:pStyle w:val="Normal"/></w:pPr>
<w:r><w:t xml:space="preserve">situated at Deulwara, about the middle of the mountain, and</w:t></w:r>
</w:p>
<w:p>
<w:pPr><w:pStyle w:val="Normal"/></w:pPr>
<w:r><w:t xml:space="preserve">five miles south-west of Guru Sikra, the highest summit.</w:t></w:r>
</w:p>
<w:p>
<w:pPr><w:pStyle w:val="Normal"/></w:pPr>
<w:r><w:t xml:space="preserve">They are built of white marble, and are pre-eminent alike for</w:t></w:r>
</w:p>
<w:p>
<w:pPr><w:pStyle w:val="Normal"/></w:pPr>
<w:r><w:t xml:space="preserve">their beauty and as typical specimens of Jain architecture in</w:t></w:r>
</w:p>
<w:p>
<w:pPr><w:pStyle w:val="Normal"/></w:pPr>
<w:r><w:t xml:space="preserve">India.  The more modern of the two was built by two brothers,</w:t></w:r>
</w:p>
<w:p>
<w:pPr><w:pStyle w:val="Normal"/></w:pPr>
<w:r><w:t xml:space="preserve">rich merchants, between the years 1197 and 1247, and for</w:t></w:r>
</w:p>
<w:p>
<w:pPr><w:pStyle w:val="Normal"/></w:pPr>
<w:r><w:t xml:space="preserve">delicacy of carving and minute beauty of detail stands</w:t></w:r>
</w:p>
<w:p>
<w:pPr><w:pStyle w:val="Normal"/></w:pPr>
<w:r><w:t xml:space="preserve">almost unrivalled, even in this land of patient and lavish</w:t></w:r>
</w:p>
<w:p>
<w:pPr><w:pStyle w:val="Normal"/></w:pPr>
<w:r><w:t xml:space="preserve">labour.  The other was built by another merchant prince, Vimala</w:t></w:r>
</w:p>
<w:p>
<w:pPr><w:pStyle w:val="Normal"/></w:pPr>
<w:r><w:t xml:space="preserve">Shah, apparently about A.D. 1032, and, although simpler and</w:t></w:r>
</w:p>
<w:p>
<w:pPr><w:pStyle w:val="Normal"/></w:pPr>
<w:r><w:t xml:space="preserve">bolder in style, is as elaborate as good taste would allow</w:t></w:r>
</w:p>
<w:p>
<w:pPr><w:pStyle w:val="Normal"/></w:pPr>
<w:r><w:t xml:space="preserve">in a purely architectural object.  It is one of the oldest as</w:t></w:r>
</w:p>
<w:p>
<w:pPr><w:pStyle w:val="Normal"/></w:pPr>
<w:r><w:t xml:space="preserve">well as one of the most complete examples of Jain architecture</w:t></w:r>
</w:p>
<w:p>
<w:pPr><w:pStyle w:val="Normal"/></w:pPr>
<w:r><w:t xml:space="preserve">known.  The principal object within the temple is a cell</w:t></w:r>
</w:p>
<w:p>
<w:pPr><w:pStyle w:val="Normal"/></w:pPr>
<w:r><w:t xml:space="preserve">lighted only from the door, containing a cross-legged seated</w:t></w:r>
</w:p>
<w:p>
<w:pPr><w:pStyle w:val="Normal"/></w:pPr>
<w:r><w:t xml:space="preserve">figure of the god Parswanath.  The portico is composed of</w:t></w:r>
</w:p>
<w:p>
<w:pPr><w:pStyle w:val="Normal"/></w:pPr>
<w:r><w:t xml:space="preserve">forty-eight pillars, the whole enclosed in an oblong courtyard</w:t></w:r>
</w:p>
<w:p>
<w:pPr><w:pStyle w:val="Normal"/></w:pPr>
<w:r><w:t xml:space="preserve">about 140 feet by 90 feet, surrounded by a double colonnade</w:t></w:r>
</w:p>
<w:p>
<w:pPr><w:pStyle w:val="Normal"/></w:pPr>
<w:r><w:t xml:space="preserve">of smaller pillars, forming porticos to a range of fifty-five</w:t></w:r>
</w:p>
<w:p>
<w:pPr><w:pStyle w:val="Normal"/></w:pPr>
<w:r><w:t xml:space="preserve">cells, which enclose it on all sides, exactly as they do in</w:t></w:r>
</w:p>
<w:p>
<w:pPr><w:pStyle w:val="Normal"/></w:pPr>
<w:r><w:t xml:space="preserve">a Buddhist monastery (vihara.) In this temple, however,</w:t></w:r>
</w:p>
<w:p>
<w:pPr><w:pStyle w:val="Normal"/></w:pPr>
<w:r><w:t xml:space="preserve">each cell, instead of being the residence of R monk, is</w:t></w:r>
</w:p>
<w:p>
<w:pPr><w:pStyle w:val="Normal"/></w:pPr>
<w:r><w:t xml:space="preserve">occupied by an image of Parswanath, and over the door, or on</w:t></w:r>
</w:p>
<w:p>
<w:pPr><w:pStyle w:val="Normal"/></w:pPr>
<w:r><w:t xml:space="preserve">the jambs of each, are sculptured scenes from the life. of the</w:t></w:r>
</w:p>
<w:p>
<w:pPr><w:pStyle w:val="Normal"/></w:pPr>
<w:r><w:t xml:space="preserve">deity.  The whole interior is magnificently ornamented.</w:t></w:r>
</w:p>
<w:p>
<w:pPr><w:pStyle w:val="Normal"/></w:pPr>
<w:r><w:t xml:space="preserve">Abu is now the summer residence of the governor-general&apos;s agent</w:t></w:r>
</w:p>
<w:p>
<w:pPr><w:pStyle w:val="Normal"/></w:pPr>
<w:r><w:t xml:space="preserve">for Rajputana, and a place of resort for Europeans in the hot</w:t></w:r>
</w:p>
<w:p>
<w:pPr><w:pStyle w:val="Normal"/></w:pPr>
<w:r><w:t xml:space="preserve">weather.  It is 16 miles from the Abu road station of the Rajputana</w:t></w:r>
</w:p>
<w:p>
<w:pPr><w:pStyle w:val="Normal"/></w:pPr>
<w:r><w:t xml:space="preserve">railway.  The annual mean temperature is about 70 deg. , rising to</w:t></w:r>
</w:p>
<w:p>
<w:pPr><w:pStyle w:val="Normal"/></w:pPr>
<w:r><w:t xml:space="preserve">90 deg.  in April; but the heat is never oppressive.  The annual</w:t></w:r>
</w:p>
<w:p>
<w:pPr><w:pStyle w:val="Normal"/></w:pPr>
<w:r><w:t xml:space="preserve">rainfall is about 68 inches.  The hills are laid out with</w:t></w:r>
</w:p>
<w:p>
<w:pPr><w:pStyle w:val="Normal"/></w:pPr>
<w:r><w:t xml:space="preserve">driving-roads and bridle-paths, and there is a beautiful little</w:t></w:r>
</w:p>
<w:p>
<w:pPr><w:pStyle w:val="Normal"/></w:pPr>
<w:r><w:t xml:space="preserve">lake.  The chief buildings are a church, club, hospital and a</w:t></w:r>
</w:p>
<w:p>
<w:pPr><w:pStyle w:val="Normal"/></w:pPr>
<w:r><w:t xml:space="preserve">Lawrence asylum school for the children of British soldiers.</w:t></w:r>
</w:p>
<w:p>
<w:pPr><w:pStyle w:val="Normal"/></w:pPr>
<w:r><w:t xml:space="preserve">ABU-BEKR (573-634), the name (``Father of the virgin&apos;&apos;) of</w:t></w:r>
</w:p>
<w:p>
<w:pPr><w:pStyle w:val="Normal"/></w:pPr>
<w:r><w:t xml:space="preserve">the first of the Mahommedan caliphs (see CALIPH.) He was</w:t></w:r>
</w:p>
<w:p>
<w:pPr><w:pStyle w:val="Normal"/></w:pPr>
<w:r><w:t xml:space="preserve">originally called Abd-el-Ka&apos;ba (``servant of the temple&apos;&apos;),</w:t></w:r>
</w:p>
<w:p>
<w:pPr><w:pStyle w:val="Normal"/></w:pPr>
<w:r><w:t xml:space="preserve">and received the name by which he is known historically in</w:t></w:r>
</w:p>
<w:p>
<w:pPr><w:pStyle w:val="Normal"/></w:pPr>
<w:r><w:t xml:space="preserve">consequence of the marriage of his virgin daughter Ayesha to</w:t></w:r>
</w:p>
<w:p>
<w:pPr><w:pStyle w:val="Normal"/></w:pPr>
<w:r><w:t xml:space="preserve">Mahomet.  He was born at Mecca in the year A.D. 573, a</w:t></w:r>
</w:p>
<w:p>
<w:pPr><w:pStyle w:val="Normal"/></w:pPr>
<w:r><w:t xml:space="preserve">Koreishite of the tribe of Beni-Taim.  Possessed of immense</w:t></w:r>
</w:p>
<w:p>
<w:pPr><w:pStyle w:val="Normal"/></w:pPr>
<w:r><w:t xml:space="preserve">wealth, which he had himself acquired in commerce, and</w:t></w:r>
</w:p>
<w:p>
<w:pPr><w:pStyle w:val="Normal"/></w:pPr>
<w:r><w:t xml:space="preserve">held in high esteem as a judge, an interpreter of dreams</w:t></w:r>
</w:p>
<w:p>
<w:pPr><w:pStyle w:val="Normal"/></w:pPr>
<w:r><w:t xml:space="preserve">and a depositary of the traditions of his race, his early</w:t></w:r>
</w:p>
<w:p>
<w:pPr><w:pStyle w:val="Normal"/></w:pPr>
<w:r><w:t xml:space="preserve">accession to Islamism was a fact of great importance.  On</w:t></w:r>
</w:p>
<w:p>
<w:pPr><w:pStyle w:val="Normal"/></w:pPr>
<w:r><w:t xml:space="preserve">his conversion he assumed the name of Abd-Alla (servant of</w:t></w:r>
</w:p>
<w:p>
<w:pPr><w:pStyle w:val="Normal"/></w:pPr>
<w:r><w:t xml:space="preserve">God).  His own belief in Mahomet and his doctrines was</w:t></w:r>
</w:p>
<w:p>
<w:pPr><w:pStyle w:val="Normal"/></w:pPr>
<w:r><w:t xml:space="preserve">so thorough as to procure for him the title El Siddik</w:t></w:r>
</w:p>
<w:p>
<w:pPr><w:pStyle w:val="Normal"/></w:pPr>
<w:r><w:t xml:space="preserve">(the faithful), and his success in gaining converts was</w:t></w:r>
</w:p>
<w:p>
<w:pPr><w:pStyle w:val="Normal"/></w:pPr>
<w:r><w:t xml:space="preserve">correspondingly great.  In his personal relationship to the</w:t></w:r>
</w:p>
<w:p>
<w:pPr><w:pStyle w:val="Normal"/></w:pPr>
<w:r><w:t xml:space="preserve">prophet he showed the deepest veneration and most unswerving</w:t></w:r>
</w:p>
<w:p>
<w:pPr><w:pStyle w:val="Normal"/></w:pPr>
<w:r><w:t xml:space="preserve">devotion.  When Mahomet fled from Mecca, Abu-Bekr was</w:t></w:r>
</w:p>
<w:p>
<w:pPr><w:pStyle w:val="Normal"/></w:pPr>
<w:r><w:t xml:space="preserve">his sole companion, and shared both his hardships and his</w:t></w:r>
</w:p>
<w:p>
<w:pPr><w:pStyle w:val="Normal"/></w:pPr>
<w:r><w:t xml:space="preserve">triumphs, remaining constantly with him until the day of his</w:t></w:r>
</w:p>
<w:p>
<w:pPr><w:pStyle w:val="Normal"/></w:pPr>
<w:r><w:t xml:space="preserve">death.  During his last illness the prophet indicated Abu-Bekr</w:t></w:r>
</w:p>
<w:p>
<w:pPr><w:pStyle w:val="Normal"/></w:pPr>
<w:r><w:t xml:space="preserve">as his successor by desiring him to offer up prayer for the</w:t></w:r>
</w:p>
<w:p>
<w:pPr><w:pStyle w:val="Normal"/></w:pPr>
<w:r><w:t xml:space="preserve">people.  The choice was ratified by the chiefs of the army,</w:t></w:r>
</w:p>
<w:p>
<w:pPr><w:pStyle w:val="Normal"/></w:pPr>
<w:r><w:t xml:space="preserve">and ultimately confirmed, though Ali, Mahomet&apos;s son-in-law,</w:t></w:r>
</w:p>
<w:p>
<w:pPr><w:pStyle w:val="Normal"/></w:pPr>
<w:r><w:t xml:space="preserve">disputed it, asserting his own title to the dignity.  After</w:t></w:r>
</w:p>
<w:p>
<w:pPr><w:pStyle w:val="Normal"/></w:pPr>
<w:r><w:t xml:space="preserve">a time Ali submitted, but the difference of opinion as to his</w:t></w:r>
</w:p>
<w:p>
<w:pPr><w:pStyle w:val="Normal"/></w:pPr>
<w:r><w:t xml:space="preserve">claims gave rise to the controversy which still divides the</w:t></w:r>
</w:p>
<w:p>
<w:pPr><w:pStyle w:val="Normal"/></w:pPr>
<w:r><w:t xml:space="preserve">followers of the prophet into the rival factions of Sunnites and</w:t></w:r>
</w:p>
<w:p>
<w:pPr><w:pStyle w:val="Normal"/></w:pPr>
<w:r><w:t xml:space="preserve">Shiites.  Abu-Bekr had scarcely assumed his new position</w:t></w:r>
</w:p>
<w:p>
<w:pPr><w:pStyle w:val="Normal"/></w:pPr>
<w:r><w:t xml:space="preserve">(632), under the title Califet-Resul-Allah (successor of the</w:t></w:r>
</w:p>
<w:p>
<w:pPr><w:pStyle w:val="Normal"/></w:pPr>
<w:r><w:t xml:space="preserve">prophet of God), when he was called to suppress the revolt</w:t></w:r>
</w:p>
<w:p>
<w:pPr><w:pStyle w:val="Normal"/></w:pPr>
<w:r><w:t xml:space="preserve">of the tribes Hejaz and Nejd, of which the former rejected</w:t></w:r>
</w:p>
<w:p>
<w:pPr><w:pStyle w:val="Normal"/></w:pPr>
<w:r><w:t xml:space="preserve">Islamism and the latter refused to pay tribute.  He encountered</w:t></w:r>
</w:p>
<w:p>
<w:pPr><w:pStyle w:val="Normal"/></w:pPr>
<w:r><w:t xml:space="preserve">formidable opposition from different quarters, but in every</w:t></w:r>
</w:p>
<w:p>
<w:pPr><w:pStyle w:val="Normal"/></w:pPr>
<w:r><w:t xml:space="preserve">case he was successful, the severest struggle being that with</w:t></w:r>
</w:p>
<w:p>
<w:pPr><w:pStyle w:val="Normal"/></w:pPr>
<w:r><w:t xml:space="preserve">the impostor Mosailima, who was finally defeated by Khalid</w:t></w:r>
</w:p>
<w:p>
<w:pPr><w:pStyle w:val="Normal"/></w:pPr>
<w:r><w:t xml:space="preserve">at the battle of Akraba.  Abu-Bekr&apos;s zeal for the spread of</w:t></w:r>
</w:p>
<w:p>
<w:pPr><w:pStyle w:val="Normal"/></w:pPr>
<w:r><w:t xml:space="preserve">the new faith was as conspicuous as that of its founder had</w:t></w:r>
</w:p>
<w:p>
<w:pPr><w:pStyle w:val="Normal"/></w:pPr>
<w:r><w:t xml:space="preserve">been.  When the internal disorders had been repressed and</w:t></w:r>
</w:p>
<w:p>
<w:pPr><w:pStyle w:val="Normal"/></w:pPr>
<w:r><w:t xml:space="preserve">Arabia completely subdued, he directed his generals to foreign</w:t></w:r>
</w:p>
<w:p>
<w:pPr><w:pStyle w:val="Normal"/></w:pPr>
<w:r><w:t xml:space="preserve">conquest.  The Irak of Persia was overcome by Khalid in a single</w:t></w:r>
</w:p>
<w:p>
<w:pPr><w:pStyle w:val="Normal"/></w:pPr>
<w:r><w:t xml:space="preserve">campaign, and there was also a successful expedition into</w:t></w:r>
</w:p>
<w:p>
<w:pPr><w:pStyle w:val="Normal"/></w:pPr>
<w:r><w:t xml:space="preserve">Syria.  After the hard-won victory over Mosailima, Omar, fearing</w:t></w:r>
</w:p>
<w:p>
<w:pPr><w:pStyle w:val="Normal"/></w:pPr>
<w:r><w:t xml:space="preserve">that the sayings of the prophet would be entirely forgotten</w:t></w:r>
</w:p>
<w:p>
<w:pPr><w:pStyle w:val="Normal"/></w:pPr>
<w:r><w:t xml:space="preserve">when those who had listened to them had all been removed by</w:t></w:r>
</w:p>
<w:p>
<w:pPr><w:pStyle w:val="Normal"/></w:pPr>
<w:r><w:t xml:space="preserve">death, induced Abu-Bekr to see to their preservation in a written</w:t></w:r>
</w:p>
<w:p>
<w:pPr><w:pStyle w:val="Normal"/></w:pPr>
<w:r><w:t xml:space="preserve">form.  The record, when completed, was deposited with Hafsa,</w:t></w:r>
</w:p>
<w:p>
<w:pPr><w:pStyle w:val="Normal"/></w:pPr>
<w:r><w:t xml:space="preserve">daughter of Omar, and one of the wives of Mahomet.  It was held</w:t></w:r>
</w:p>
<w:p>
<w:pPr><w:pStyle w:val="Normal"/></w:pPr>
<w:r><w:t xml:space="preserve">in great reverence by all Moslems, though it did not possess</w:t></w:r>
</w:p>
<w:p>
<w:pPr><w:pStyle w:val="Normal"/></w:pPr>
<w:r><w:t xml:space="preserve">canonical authority, and furnished most of the materials out</w:t></w:r>
</w:p>
<w:p>
<w:pPr><w:pStyle w:val="Normal"/></w:pPr>
<w:r><w:t xml:space="preserve">of which the Koran, as it now exists, was prepared.  When</w:t></w:r>
</w:p>
<w:p>
<w:pPr><w:pStyle w:val="Normal"/></w:pPr>
<w:r><w:t xml:space="preserve">the authoritative version was completed all copies of Hafsa&apos;s</w:t></w:r>
</w:p>
<w:p>
<w:pPr><w:pStyle w:val="Normal"/></w:pPr>
<w:r><w:t xml:space="preserve">record were destroyed, in order to prevent possible disputes and</w:t></w:r>
</w:p>
<w:p>
<w:pPr><w:pStyle w:val="Normal"/></w:pPr>
<w:r><w:t xml:space="preserve">divisions.  Abu-Bekr died on the 23rd of August 634. Shortly</w:t></w:r>
</w:p>
<w:p>
<w:pPr><w:pStyle w:val="Normal"/></w:pPr>
<w:r><w:t xml:space="preserve">before his death, which one tradition ascribes to poison,</w:t></w:r>
</w:p>
<w:p>
<w:pPr><w:pStyle w:val="Normal"/></w:pPr>
<w:r><w:t xml:space="preserve">another to natural causes, he indicated Omar as his successor,</w:t></w:r>
</w:p>
<w:p>
<w:pPr><w:pStyle w:val="Normal"/></w:pPr>
<w:r><w:t xml:space="preserve">after the manner Mahomet had observed in his own case.</w:t></w:r>
</w:p>
<w:p>
<w:pPr><w:pStyle w:val="Normal"/></w:pPr>
<w:r><w:t xml:space="preserve">ABU HAMED, a town of the Anglo-Egyptian Sudan on the right</w:t></w:r>
</w:p>
<w:p>
<w:pPr><w:pStyle w:val="Normal"/></w:pPr>
<w:r><w:t xml:space="preserve">bank of the Nile, 345 m. by rail N. of Khartum.  It stands</w:t></w:r>
</w:p>
<w:p>
<w:pPr><w:pStyle w:val="Normal"/></w:pPr>
<w:r><w:t xml:space="preserve">a4 the centre of the great S-shaped bend of the Nile, and</w:t></w:r>
</w:p>
<w:p>
<w:pPr><w:pStyle w:val="Normal"/></w:pPr>
<w:r><w:t xml:space="preserve">from it the railway to Wadi Halfa strikes straight across</w:t></w:r>
</w:p>
<w:p>
<w:pPr><w:pStyle w:val="Normal"/></w:pPr>
<w:r><w:t xml:space="preserve">the Nubian desert, a little west of the old caravan route to</w:t></w:r>
</w:p>
<w:p>
<w:pPr><w:pStyle w:val="Normal"/></w:pPr>
<w:r><w:t xml:space="preserve">Korosko.  A branch railway, 138 m. long, from Abu Hamed</w:t></w:r>
</w:p>
<w:p>
<w:pPr><w:pStyle w:val="Normal"/></w:pPr>
<w:r><w:t xml:space="preserve">goes down the right bank of the Nile to Kareima in the</w:t></w:r>
</w:p>
<w:p>
<w:pPr><w:pStyle w:val="Normal"/></w:pPr>
<w:r><w:t xml:space="preserve">Dongola mudiria.  The town is named after a celebrated</w:t></w:r>
</w:p>
<w:p>
<w:pPr><w:pStyle w:val="Normal"/></w:pPr>
<w:r><w:t xml:space="preserve">sheikh buried here, by whose tomb travellers crossing the</w:t></w:r>
</w:p>
<w:p>
<w:pPr><w:pStyle w:val="Normal"/></w:pPr>
<w:r><w:t xml:space="preserve">desert used formerly to deposit all superfluous goods,</w:t></w:r>
</w:p>
<w:p>
<w:pPr><w:pStyle w:val="Normal"/></w:pPr>
<w:r><w:t xml:space="preserve">the sanctity of the saint&apos;s tomb ensuring their safety.</w:t></w:r>
</w:p>
<w:p>
<w:pPr><w:pStyle w:val="Normal"/></w:pPr>
<w:r><w:t xml:space="preserve">ABU HANIFA AN-NU`MAN IBN THABIT, Mahommedan canon</w:t></w:r>
</w:p>
<w:p>
<w:pPr><w:pStyle w:val="Normal"/></w:pPr>
<w:r><w:t xml:space="preserve">lawyer, was born at Kufa in A.H. 80 (A.D. 699) of non-Arab</w:t></w:r>
</w:p>
<w:p>
<w:pPr><w:pStyle w:val="Normal"/></w:pPr>
<w:r><w:t xml:space="preserve">and probably Persian parentage.  Few events of his life are</w:t></w:r>
</w:p>
<w:p>
<w:pPr><w:pStyle w:val="Normal"/></w:pPr>
<w:r><w:t xml:space="preserve">known to us with any certainty.  He was a silk-dealer and a</w:t></w:r>
</w:p>
<w:p>
<w:pPr><w:pStyle w:val="Normal"/></w:pPr>
<w:r><w:t xml:space="preserve">man of considerable means, so that he was able to give his</w:t></w:r>
</w:p>
<w:p>
<w:pPr><w:pStyle w:val="Normal"/></w:pPr>
<w:r><w:t xml:space="preserve">time to legal studies.  He lectured at Kufa upon canon law</w:t></w:r>
</w:p>
<w:p>
<w:pPr><w:pStyle w:val="Normal"/></w:pPr>
<w:r><w:t xml:space="preserve">(fiqh) and was a consulting lawyer (mufti), but refused</w:t></w:r>
</w:p>
<w:p>
<w:pPr><w:pStyle w:val="Normal"/></w:pPr>
<w:r><w:t xml:space="preserve">steadily to take any public post.  When al-Mansur, however,</w:t></w:r>
</w:p>
<w:p>
<w:pPr><w:pStyle w:val="Normal"/></w:pPr>
<w:r><w:t xml:space="preserve">was building Bagdad (145--140) Abu Hanifa was one of the</w:t></w:r>
</w:p>
<w:p>
<w:pPr><w:pStyle w:val="Normal"/></w:pPr>
<w:r><w:t xml:space="preserve">four overseers whom he appointed over the craftsmen (G. Le</w:t></w:r>
</w:p>
<w:p>
<w:pPr><w:pStyle w:val="Normal"/></w:pPr>
<w:r><w:t xml:space="preserve">Strange, Baghdad during the Abbasid Caliphate, p. 17). In</w:t></w:r>
</w:p>
<w:p>
<w:pPr><w:pStyle w:val="Normal"/></w:pPr>
<w:r><w:t xml:space="preserve">A.H. 150 (A.D. 767) he died there under circumstances which</w:t></w:r>
</w:p>
<w:p>
<w:pPr><w:pStyle w:val="Normal"/></w:pPr>
<w:r><w:t xml:space="preserve">are very differently reported.  A persistent but apparently</w:t></w:r>
</w:p>
<w:p>
<w:pPr><w:pStyle w:val="Normal"/></w:pPr>
<w:r><w:t xml:space="preserve">later tradition asserts that he died in prison after severe</w:t></w:r>
</w:p>
<w:p>
<w:pPr><w:pStyle w:val="Normal"/></w:pPr>
<w:r><w:t xml:space="preserve">beating, because he refused to obey al-Mansur&apos;s command to act</w:t></w:r>
</w:p>
<w:p>
<w:pPr><w:pStyle w:val="Normal"/></w:pPr>
<w:r><w:t xml:space="preserve">as a judge (cadi, qadi.) This was to avoid a responsibility</w:t></w:r>
</w:p>
<w:p>
<w:pPr><w:pStyle w:val="Normal"/></w:pPr>
<w:r><w:t xml:space="preserve">for which he felt unfit ---a frequent attitude of more pious</w:t></w:r>
</w:p>
<w:p>
<w:pPr><w:pStyle w:val="Normal"/></w:pPr>
<w:r><w:t xml:space="preserve">Moslems.  Others say that al-Mahdi, son of al-Mansur, actually</w:t></w:r>
</w:p>
<w:p>
<w:pPr><w:pStyle w:val="Normal"/></w:pPr>
<w:r><w:t xml:space="preserve">constrained him to be a judge and that he died a few days</w:t></w:r>
</w:p>
<w:p>
<w:pPr><w:pStyle w:val="Normal"/></w:pPr>
<w:r><w:t xml:space="preserve">after.  It seems certain that he did suffer imprisonment and</w:t></w:r>
</w:p>
<w:p>
<w:pPr><w:pStyle w:val="Normal"/></w:pPr>
<w:r><w:t xml:space="preserve">beating for this reason, at the hands of an earlier governor</w:t></w:r>
</w:p>
<w:p>
<w:pPr><w:pStyle w:val="Normal"/></w:pPr>
<w:r><w:t xml:space="preserve">of Kufa under the Omayyads (Ibn Qutaiba, Ma`arif, p.</w:t></w:r>
</w:p>
<w:p>
<w:pPr><w:pStyle w:val="Normal"/></w:pPr>
<w:r><w:t xml:space="preserve">248).  Also that al-Mansur desired to make him judge, but</w:t></w:r>
</w:p>
<w:p>
<w:pPr><w:pStyle w:val="Normal"/></w:pPr>
<w:r><w:t xml:space="preserve">compromised upon his inspectorship of buildings (so in Tabari).</w:t></w:r>
</w:p>
<w:p>
<w:pPr><w:pStyle w:val="Normal"/></w:pPr>
<w:r><w:t xml:space="preserve">A late story is that the judgeship was only a pretext with</w:t></w:r>
</w:p>
<w:p>
<w:pPr><w:pStyle w:val="Normal"/></w:pPr>
<w:r><w:t xml:space="preserve">al-Mansur, who considered him a partisan of the `Alids and</w:t></w:r>
</w:p>
<w:p>
<w:pPr><w:pStyle w:val="Normal"/></w:pPr>
<w:r><w:t xml:space="preserve">a helper with his wealth of Ibrahim ibn&apos;Abd Allah in his</w:t></w:r>
</w:p>
<w:p>
<w:pPr><w:pStyle w:val="Normal"/></w:pPr>
<w:r><w:t xml:space="preserve">insurrection at Kufa in 145 (Weil, Geschichte, ii. 53 ff.).</w:t></w:r>
</w:p>
<w:p>
<w:pPr><w:pStyle w:val="Normal"/></w:pPr>
<w:r><w:t xml:space="preserve">For many personal anecdotes see de Slane&apos;s transl. of</w:t></w:r>
</w:p>
<w:p>
<w:pPr><w:pStyle w:val="Normal"/></w:pPr>
<w:r><w:t xml:space="preserve">Ibn Khalhkan iii. 555 ff., iv. 272 ff.  For his place</w:t></w:r>
</w:p>
<w:p>
<w:pPr><w:pStyle w:val="Normal"/></w:pPr>
<w:r><w:t xml:space="preserve">as a speculative jurist in the history of canon law, see</w:t></w:r>
</w:p>
<w:p>
<w:pPr><w:pStyle w:val="Normal"/></w:pPr>
<w:r><w:t xml:space="preserve">MAHOMMEDAN LAW.  He was buried in eastern Bagdad, where</w:t></w:r>
</w:p>
<w:p>
<w:pPr><w:pStyle w:val="Normal"/></w:pPr>
<w:r><w:t xml:space="preserve">his tomb still exists, one of the few surviving sites from</w:t></w:r>
</w:p>
<w:p>
<w:pPr><w:pStyle w:val="Normal"/></w:pPr>
<w:r><w:t xml:space="preserve">the time of ahmansur, the founder. (Le Strange 191 ff.)</w:t></w:r>
</w:p>
<w:p>
<w:pPr><w:pStyle w:val="Normal"/></w:pPr>
<w:r><w:t xml:space="preserve">See C. Brockelmann, Geschichte, i. 169 ff.; Nawawi&apos;s Biogr.</w:t></w:r>
</w:p>
<w:p>
<w:pPr><w:pStyle w:val="Normal"/></w:pPr>
<w:r><w:t xml:space="preserve">Dict. pp. 698-770: Ibn Hajar al-Haitami&apos;s Biography, publ.  Cairo,</w:t></w:r>
</w:p>
<w:p>
<w:pPr><w:pStyle w:val="Normal"/></w:pPr>
<w:r><w:t xml:space="preserve">A.H. 1304; legal bibliography under MAHOMMEDAN LAW) (D. B. MA.)</w:t></w:r>
</w:p>
<w:p>
<w:pPr><w:pStyle w:val="Normal"/></w:pPr>
<w:r><w:t xml:space="preserve">ABU KLEA, a halting-place for caravans in the Bayuda</w:t></w:r>
</w:p>
<w:p>
<w:pPr><w:pStyle w:val="Normal"/></w:pPr>
<w:r><w:t xml:space="preserve">Desert, Anglo-Egyptian Sudan.  It is on the road from Merawi</w:t></w:r>
</w:p>
<w:p>
<w:pPr><w:pStyle w:val="Normal"/></w:pPr>
<w:r><w:t xml:space="preserve">to Metemma and 20 m.  N. of the Nile at the last-mentioned</w:t></w:r>
</w:p>
<w:p>
<w:pPr><w:pStyle w:val="Normal"/></w:pPr>
<w:r><w:t xml:space="preserve">place.  Near this spot, on the 17th of January 1885, a British</w:t></w:r>
</w:p>
<w:p>
<w:pPr><w:pStyle w:val="Normal"/></w:pPr>
<w:r><w:t xml:space="preserve">force marching to the relief of General Gordon at Khartum</w:t></w:r>
</w:p>
<w:p>
<w:pPr><w:pStyle w:val="Normal"/></w:pPr>
<w:r><w:t xml:space="preserve">was attacked by the Mahdists, who were repulsed.  On the</w:t></w:r>
</w:p>
<w:p>
<w:pPr><w:pStyle w:val="Normal"/></w:pPr>
<w:r><w:t xml:space="preserve">19th, when the British force was nearer Metemma, the Mahdists</w:t></w:r>
</w:p>
<w:p>
<w:pPr><w:pStyle w:val="Normal"/></w:pPr>
<w:r><w:t xml:space="preserve">renewed the attack, again unsuccessfully.  Sir Herbert</w:t></w:r>
</w:p>
<w:p>
<w:pPr><w:pStyle w:val="Normal"/></w:pPr>
<w:r><w:t xml:space="preserve">Stewart, the commander of the British force, was mortally</w:t></w:r>
</w:p>
<w:p>
<w:pPr><w:pStyle w:val="Normal"/></w:pPr>
<w:r><w:t xml:space="preserve">wounded on the 19th, and among the killed on the 17th was</w:t></w:r>
</w:p>
<w:p>
<w:pPr><w:pStyle w:val="Normal"/></w:pPr>
<w:r><w:t xml:space="preserve">Col. F. G. Burnaby (see EGYPT, Military Operations.)</w:t></w:r>
</w:p>
<w:p>
<w:pPr><w:pStyle w:val="Normal"/></w:pPr>
<w:r><w:t xml:space="preserve">ABU-L-`ALA UL-MA.ARRI [Abu-l-`Alaa Ahmad ibn `Abdallah</w:t></w:r>
</w:p>
<w:p>
<w:pPr><w:pStyle w:val="Normal"/></w:pPr>
<w:r><w:t xml:space="preserve">ibn Sulaiman] (973-1057), Arabian poet and letter-writer,</w:t></w:r>
</w:p>
<w:p>
<w:pPr><w:pStyle w:val="Normal"/></w:pPr>
<w:r><w:t xml:space="preserve">belonged to the South Arabian tribe Tanukh, a part of which</w:t></w:r>
</w:p>
<w:p>
<w:pPr><w:pStyle w:val="Normal"/></w:pPr>
<w:r><w:t xml:space="preserve">had migrated to Syria before the time of Islam.  He was born</w:t></w:r>
</w:p>
<w:p>
<w:pPr><w:pStyle w:val="Normal"/></w:pPr>
<w:r><w:t xml:space="preserve">in 973 at Ma&apos;arrat un-Nu`man, a Syrian town nineteen hours&apos;</w:t></w:r>
</w:p>
<w:p>
<w:pPr><w:pStyle w:val="Normal"/></w:pPr>
<w:r><w:t xml:space="preserve">journey south of Aleppo, to the governor of which it was</w:t></w:r>
</w:p>
<w:p>
<w:pPr><w:pStyle w:val="Normal"/></w:pPr>
<w:r><w:t xml:space="preserve">subject at that time.  He lost his father while he was still</w:t></w:r>
</w:p>
<w:p>
<w:pPr><w:pStyle w:val="Normal"/></w:pPr>
<w:r><w:t xml:space="preserve">an infant, and at the age of four lost his eyesight owing to</w:t></w:r>
</w:p>
<w:p>
<w:pPr><w:pStyle w:val="Normal"/></w:pPr>
<w:r><w:t xml:space="preserve">smallpox.  This, however, did not prevent him from attending</w:t></w:r>
</w:p>
<w:p>
<w:pPr><w:pStyle w:val="Normal"/></w:pPr>
<w:r><w:t xml:space="preserve">the lectures of the best teachers at Aleppo, Antioch and</w:t></w:r>
</w:p>
<w:p>
<w:pPr><w:pStyle w:val="Normal"/></w:pPr>
<w:r><w:t xml:space="preserve">Tripoli.  These teachers were men of the first rank, who</w:t></w:r>
</w:p>
<w:p>
<w:pPr><w:pStyle w:val="Normal"/></w:pPr>
<w:r><w:t xml:space="preserve">had been attracted to the court of Saif-ud-Daula, and their</w:t></w:r>
</w:p>
<w:p>
<w:pPr><w:pStyle w:val="Normal"/></w:pPr>
<w:r><w:t xml:space="preserve">teaching was well stored in the remarkable memory of the</w:t></w:r>
</w:p>
<w:p>
<w:pPr><w:pStyle w:val="Normal"/></w:pPr>
<w:r><w:t xml:space="preserve">pupil.  At the age of twenty-one Abu-l-&apos;Ala returned to</w:t></w:r>
</w:p>
<w:p>
<w:pPr><w:pStyle w:val="Normal"/></w:pPr>
<w:r><w:t xml:space="preserve">Ma`arra, where he received a pension of thirty dinars</w:t></w:r>
</w:p>
<w:p>
<w:pPr><w:pStyle w:val="Normal"/></w:pPr>
<w:r><w:t xml:space="preserve">yearly.  In 1007 he visited Bagdad, where he was admitted</w:t></w:r>
</w:p>
<w:p>
<w:pPr><w:pStyle w:val="Normal"/></w:pPr>
<w:r><w:t xml:space="preserve">to the literary circles, recited in the salons, academies</w:t></w:r>
</w:p>
<w:p>
<w:pPr><w:pStyle w:val="Normal"/></w:pPr>
<w:r><w:t xml:space="preserve">and mosques, and made the acquaintance of men to whom he</w:t></w:r>
</w:p>
<w:p>
<w:pPr><w:pStyle w:val="Normal"/></w:pPr>
<w:r><w:t xml:space="preserve">addressed some of his letters later.  In 1009 he returned to</w:t></w:r>
</w:p>
<w:p>
<w:pPr><w:pStyle w:val="Normal"/></w:pPr>
<w:r><w:t xml:space="preserve">Ma`arra, where he spent the rest of his life in teaching and</w:t></w:r>
</w:p>
<w:p>
<w:pPr><w:pStyle w:val="Normal"/></w:pPr>
<w:r><w:t xml:space="preserve">writing.  During this period of scholarly quiet he developed</w:t></w:r>
</w:p>
<w:p>
<w:pPr><w:pStyle w:val="Normal"/></w:pPr>
<w:r><w:t xml:space="preserve">his characteristic advanced views on vegetarianism, cremation</w:t></w:r>
</w:p>
<w:p>
<w:pPr><w:pStyle w:val="Normal"/></w:pPr>
<w:r><w:t xml:space="preserve">of the dead and the desire for extinction after death.</w:t></w:r>
</w:p>
<w:p>
<w:pPr><w:pStyle w:val="Normal"/></w:pPr>
<w:r><w:t xml:space="preserve">Of his works the chief are two collections of his poetry and</w:t></w:r>
</w:p>
<w:p>
<w:pPr><w:pStyle w:val="Normal"/></w:pPr>
<w:r><w:t xml:space="preserve">two of his letters.  The earlier poems up to 1029 are of the</w:t></w:r>
</w:p>
<w:p>
<w:pPr><w:pStyle w:val="Normal"/></w:pPr>
<w:r><w:t xml:space="preserve">kind usual at the time.  Under the title of Saqt uz-Zand they</w:t></w:r>
</w:p>
<w:p>
<w:pPr><w:pStyle w:val="Normal"/></w:pPr>
<w:r><w:t xml:space="preserve">have been published in Bulaq (1869), Beirut (1884) and Cairo</w:t></w:r>
</w:p>
<w:p>
<w:pPr><w:pStyle w:val="Normal"/></w:pPr>
<w:r><w:t xml:space="preserve">(1886).  The poems of the second collection, known as the</w:t></w:r>
</w:p>
<w:p>
<w:pPr><w:pStyle w:val="Normal"/></w:pPr>
<w:r><w:t xml:space="preserve">Luzum ma lam ralzann, or the Luzumiy&apos;yat, are written</w:t></w:r>
</w:p>
<w:p>
<w:pPr><w:pStyle w:val="Normal"/></w:pPr>
<w:r><w:t xml:space="preserve">with the difficult rhyme in two consonants instead of one,</w:t></w:r>
</w:p>
<w:p>
<w:pPr><w:pStyle w:val="Normal"/></w:pPr>
<w:r><w:t xml:space="preserve">and contain the more original, mature and somewhat pessimistic</w:t></w:r>
</w:p>
<w:p>
<w:pPr><w:pStyle w:val="Normal"/></w:pPr>
<w:r><w:t xml:space="preserve">thoughts of the author on mutability, virtue, death, &amp;c.</w:t></w:r>
</w:p>
<w:p>
<w:pPr><w:pStyle w:val="Normal"/></w:pPr>
<w:r><w:t xml:space="preserve">They have been published in Bombay (1886) and Cairo (1889)</w:t></w:r>
</w:p>
<w:p>
<w:pPr><w:pStyle w:val="Normal"/></w:pPr>
<w:r><w:t xml:space="preserve">. The letters on various literary and social subjects were</w:t></w:r>
</w:p>
<w:p>
<w:pPr><w:pStyle w:val="Normal"/></w:pPr>
<w:r><w:t xml:space="preserve">published with commentary by Shain Effendi in Beirut (1894),</w:t></w:r>
</w:p>
<w:p>
<w:pPr><w:pStyle w:val="Normal"/></w:pPr>
<w:r><w:t xml:space="preserve">and with English translation, &amp;c., by prof.  D. S. Margoliouth</w:t></w:r>
</w:p>
<w:p>
<w:pPr><w:pStyle w:val="Normal"/></w:pPr>
<w:r><w:t xml:space="preserve">in Oxford (1898).  A second collection of letters, known</w:t></w:r>
</w:p>
<w:p>
<w:pPr><w:pStyle w:val="Normal"/></w:pPr>
<w:r><w:t xml:space="preserve">as the Risalat ul-Ghufran, was summarized and partially</w:t></w:r>
</w:p>
<w:p>
<w:pPr><w:pStyle w:val="Normal"/></w:pPr>
<w:r><w:t xml:space="preserve">translated by R. A. Nicholson in the Journal of the Royal</w:t></w:r>
</w:p>
<w:p>
<w:pPr><w:pStyle w:val="Normal"/></w:pPr>
<w:r><w:t xml:space="preserve">Asiatic Society (1900, pp. 637 ff.; 1902, pp. 75 ff., 337</w:t></w:r>
</w:p>
<w:p>
<w:pPr><w:pStyle w:val="Normal"/></w:pPr>
<w:r><w:t xml:space="preserve">ff., 813 ff.).</w:t></w:r>
</w:p>
<w:p>
<w:pPr><w:pStyle w:val="Normal"/></w:pPr>
<w:r><w:t xml:space="preserve">BIBLIOGRAPHY.---C.  Rieu, De Abu-l-`Alae</w:t></w:r>
</w:p>
<w:p>
<w:pPr><w:pStyle w:val="Normal"/></w:pPr>
<w:r><w:t xml:space="preserve">Poetae Arabici vita et carminibus (Bonn, 1843); A. von</w:t></w:r>
</w:p>
<w:p>
<w:pPr><w:pStyle w:val="Normal"/></w:pPr>
<w:r><w:t xml:space="preserve">Kremer, Uber die philosophischen Gedichte des Abu-l-.Ala</w:t></w:r>
</w:p>
<w:p>
<w:pPr><w:pStyle w:val="Normal"/></w:pPr>
<w:r><w:t xml:space="preserve">(Vienna, 1888); cf. also the same writer&apos;s articles in the</w:t></w:r>
</w:p>
<w:p>
<w:pPr><w:pStyle w:val="Normal"/></w:pPr>
<w:r><w:t xml:space="preserve">Zeitschrift der deutschen morgenlandischen Gesellschaft</w:t></w:r>
</w:p>
<w:p>
<w:pPr><w:pStyle w:val="Normal"/></w:pPr>
<w:r><w:t xml:space="preserve">(vols. xxix., xxx., xxxi. and xxxviii.).  For his life see the</w:t></w:r>
</w:p>
<w:p>
<w:pPr><w:pStyle w:val="Normal"/></w:pPr>
<w:r><w:t xml:space="preserve">introduction to D. S. Margoliouth&apos;s edition of the letters,</w:t></w:r>
</w:p>
<w:p>
<w:pPr><w:pStyle w:val="Normal"/></w:pPr>
<w:r><w:t xml:space="preserve">supplemented by the same writer&apos;s articles ``Abu-l-`Ala</w:t></w:r>
</w:p>
<w:p>
<w:pPr><w:pStyle w:val="Normal"/></w:pPr>
<w:r><w:t xml:space="preserve">al-Ma`arri&apos;s Correspondence on Vegetarianism&apos;&apos; in the Journal</w:t></w:r>
</w:p>
<w:p>
<w:pPr><w:pStyle w:val="Normal"/></w:pPr>
<w:r><w:t xml:space="preserve">of the Royal Asiatic Society (1902, pp. 289 ff.). (G. W. T.)</w:t></w:r>
</w:p>
<w:p>
<w:pPr><w:pStyle w:val="Normal"/></w:pPr>
<w:r><w:t xml:space="preserve">ABU-L-`ATAHIYA [Abu Ishaq Isma`il ibn Qasim</w:t></w:r>
</w:p>
<w:p>
<w:pPr><w:pStyle w:val="Normal"/></w:pPr>
<w:r><w:t xml:space="preserve">al-`Anazi] (748-828), Arabian poet, was born at Ain ut-Tamar</w:t></w:r>
</w:p>
<w:p>
<w:pPr><w:pStyle w:val="Normal"/></w:pPr>
<w:r><w:t xml:space="preserve">in the Hijaz near Medina.  His ancestors were of the tribe of</w:t></w:r>
</w:p>
<w:p>
<w:pPr><w:pStyle w:val="Normal"/></w:pPr>
<w:r><w:t xml:space="preserve">Anaza.  His youth was spent in Kufa, where he was engaged</w:t></w:r>
</w:p>
<w:p>
<w:pPr><w:pStyle w:val="Normal"/></w:pPr>
<w:r><w:t xml:space="preserve">for some time in selling pottery.  Removing to Bagdad, he</w:t></w:r>
</w:p>
<w:p>
<w:pPr><w:pStyle w:val="Normal"/></w:pPr>
<w:r><w:t xml:space="preserve">continued his business there, but became famous for his</w:t></w:r>
</w:p>
<w:p>
<w:pPr><w:pStyle w:val="Normal"/></w:pPr>
<w:r><w:t xml:space="preserve">verses, especially for those addressed to Utba, a slave of</w:t></w:r>
</w:p>
<w:p>
<w:pPr><w:pStyle w:val="Normal"/></w:pPr>
<w:r><w:t xml:space="preserve">the caliph al-Mahdi.  His affection was unrequited, although</w:t></w:r>
</w:p>
<w:p>
<w:pPr><w:pStyle w:val="Normal"/></w:pPr>
<w:r><w:t xml:space="preserve">al-Mahdi, and after him Harun al-Rashid, interceded for</w:t></w:r>
</w:p>
<w:p>
<w:pPr><w:pStyle w:val="Normal"/></w:pPr>
<w:r><w:t xml:space="preserve">him.  Having offended the caliph, he was in prison for a short</w:t></w:r>
</w:p>
<w:p>
<w:pPr><w:pStyle w:val="Normal"/></w:pPr>
<w:r><w:t xml:space="preserve">time.  The latter part of his life was more ascetic.  He died in</w:t></w:r>
</w:p>
<w:p>
<w:pPr><w:pStyle w:val="Normal"/></w:pPr>
<w:r><w:t xml:space="preserve">828 in the reign of al-Ma`mun.  The poetry of Abu-l-&apos;Atahiya</w:t></w:r>
</w:p>
<w:p>
<w:pPr><w:pStyle w:val="Normal"/></w:pPr>
<w:r><w:t xml:space="preserve">is notable for its avoidance of the artificiality almost</w:t></w:r>
</w:p>
<w:p>
<w:pPr><w:pStyle w:val="Normal"/></w:pPr>
<w:r><w:t xml:space="preserve">universal in his days.  The older poetry of the desert had</w:t></w:r>
</w:p>
<w:p>
<w:pPr><w:pStyle w:val="Normal"/></w:pPr>
<w:r><w:t xml:space="preserve">been constantly imitated up to this time, although it was</w:t></w:r>
</w:p>
<w:p>
<w:pPr><w:pStyle w:val="Normal"/></w:pPr>
<w:r><w:t xml:space="preserve">not natural to town life.  Abu-l-&apos;Atahiya was one of the</w:t></w:r>
</w:p>
<w:p>
<w:pPr><w:pStyle w:val="Normal"/></w:pPr>
<w:r><w:t xml:space="preserve">first to drop the old qasida (elegy) form.  He was very</w:t></w:r>
</w:p>
<w:p>
<w:pPr><w:pStyle w:val="Normal"/></w:pPr>
<w:r><w:t xml:space="preserve">fluent and used many metres.  He is also regarded as one of</w:t></w:r>
</w:p>
<w:p>
<w:pPr><w:pStyle w:val="Normal"/></w:pPr>
<w:r><w:t xml:space="preserve">the earliest philosophic poets of the Arabs.  Much of his</w:t></w:r>
</w:p>
<w:p>
<w:pPr><w:pStyle w:val="Normal"/></w:pPr>
<w:r><w:t xml:space="preserve">Poetry is concerned with the observation of common life and</w:t></w:r>
</w:p>
<w:p>
<w:pPr><w:pStyle w:val="Normal"/></w:pPr>
<w:r><w:t xml:space="preserve">morality, and at times is pessimistic.  Naturally, under</w:t></w:r>
</w:p>
<w:p>
<w:pPr><w:pStyle w:val="Normal"/></w:pPr>
<w:r><w:t xml:space="preserve">the circumstances, he was strongly suspected of heresy.</w:t></w:r>
</w:p>
<w:p>
<w:pPr><w:pStyle w:val="Normal"/></w:pPr>
<w:r><w:t xml:space="preserve">His poems (Diwan) with life from Arabian sources have</w:t></w:r>
</w:p>
<w:p>
<w:pPr><w:pStyle w:val="Normal"/></w:pPr>
<w:r><w:t xml:space="preserve">been published at the Jesuit Press in Beirut (1887,</w:t></w:r>
</w:p>
<w:p>
<w:pPr><w:pStyle w:val="Normal"/></w:pPr>
<w:r><w:t xml:space="preserve">2nd ed. 1888).  On his position in Arabic literature</w:t></w:r>
</w:p>
<w:p>
<w:pPr><w:pStyle w:val="Normal"/></w:pPr>
<w:r><w:t xml:space="preserve">see W. Ahlwardt, Diwan des Abu Nowas (Greifswald,</w:t></w:r>
</w:p>
<w:p>
<w:pPr><w:pStyle w:val="Normal"/></w:pPr>
<w:r><w:t xml:space="preserve">1861), pp. 21 ff.; A. von Kremer, Culturgeschichte des</w:t></w:r>
</w:p>
<w:p>
<w:pPr><w:pStyle w:val="Normal"/></w:pPr>
<w:r><w:t xml:space="preserve">Orients (Wien, 1877), vol. ii. pp. 372 ff. (G. W. T.)</w:t></w:r>
</w:p>
<w:p>
<w:pPr><w:pStyle w:val="Normal"/></w:pPr>
<w:r><w:t xml:space="preserve">ABULPARAJ [Abu-l-Faraj,Ah ibn ul-Husain ul-Isbahani]</w:t></w:r>
</w:p>
<w:p>
<w:pPr><w:pStyle w:val="Normal"/></w:pPr>
<w:r><w:t xml:space="preserve">(897--967), Arabian scholar, was a member of the tribe of the</w:t></w:r>
</w:p>
<w:p>
<w:pPr><w:pStyle w:val="Normal"/></w:pPr>
<w:r><w:t xml:space="preserve">Quraish (Koreish) and a direct descendant of Marwan, the last</w:t></w:r>
</w:p>
<w:p>
<w:pPr><w:pStyle w:val="Normal"/></w:pPr>
<w:r><w:t xml:space="preserve">of the Omayyad caliphs.  He was thus connected with the Omayyad</w:t></w:r>
</w:p>
<w:p>
<w:pPr><w:pStyle w:val="Normal"/></w:pPr>
<w:r><w:t xml:space="preserve">rulers in Spain, and seems to have kept up a correspondence with</w:t></w:r>
</w:p>
<w:p>
<w:pPr><w:pStyle w:val="Normal"/></w:pPr>
<w:r><w:t xml:space="preserve">them and to have sent them some of his works.  He was born in</w:t></w:r>
</w:p>
<w:p>
<w:pPr><w:pStyle w:val="Normal"/></w:pPr>
<w:r><w:t xml:space="preserve">Ispahan, but spent his youth and made his early studies in</w:t></w:r>
</w:p>
<w:p>
<w:pPr><w:pStyle w:val="Normal"/></w:pPr>
<w:r><w:t xml:space="preserve">Bagdad.  He became famous for his knowledge of early Arabian</w:t></w:r>
</w:p>
<w:p>
<w:pPr><w:pStyle w:val="Normal"/></w:pPr>
<w:r><w:t xml:space="preserve">antiquities.  His later life was spent in various parts of</w:t></w:r>
</w:p>
<w:p>
<w:pPr><w:pStyle w:val="Normal"/></w:pPr>
<w:r><w:t xml:space="preserve">the Moslem world, in Aleppo with Saif-ud-Daula (to whom he</w:t></w:r>
</w:p>
<w:p>
<w:pPr><w:pStyle w:val="Normal"/></w:pPr>
<w:r><w:t xml:space="preserve">dedicated the Book of Songs), in Rai with the Buyid vizier</w:t></w:r>
</w:p>
<w:p>
<w:pPr><w:pStyle w:val="Normal"/></w:pPr>
<w:r><w:t xml:space="preserve">Ibn&apos;Abbad and elsewhere.  In his last years he lost his</w:t></w:r>
</w:p>
<w:p>
<w:pPr><w:pStyle w:val="Normal"/></w:pPr>
<w:r><w:t xml:space="preserve">reason.  In religion he was a Shiite.  Although he wrote</w:t></w:r>
</w:p>
<w:p>
<w:pPr><w:pStyle w:val="Normal"/></w:pPr>
<w:r><w:t xml:space="preserve">poetry, also an anthology of verses on the monasteries of</w:t></w:r>
</w:p>
<w:p>
<w:pPr><w:pStyle w:val="Normal"/></w:pPr>
<w:r><w:t xml:space="preserve">Mesopotamia and Egypt, and a genealogical work, his fame rests</w:t></w:r>
</w:p>
<w:p>
<w:pPr><w:pStyle w:val="Normal"/></w:pPr>
<w:r><w:t xml:space="preserve">upon his Book of Songs (Kitab ul-Aghani), which gives</w:t></w:r>
</w:p>
<w:p>
<w:pPr><w:pStyle w:val="Normal"/></w:pPr>
<w:r><w:t xml:space="preserve">an account of the chief Arabian songs, ancient and modern,</w:t></w:r>
</w:p>
<w:p>
<w:pPr><w:pStyle w:val="Normal"/></w:pPr>
<w:r><w:t xml:space="preserve">with the stories of the composers and singers.  It contains</w:t></w:r>
</w:p>
<w:p>
<w:pPr><w:pStyle w:val="Normal"/></w:pPr>
<w:r><w:t xml:space="preserve">a mass of information as to the life and customs of the early</w:t></w:r>
</w:p>
<w:p>
<w:pPr><w:pStyle w:val="Normal"/></w:pPr>
<w:r><w:t xml:space="preserve">Arabs, and is the most Valuable authority we have for their</w:t></w:r>
</w:p>
<w:p>
<w:pPr><w:pStyle w:val="Normal"/></w:pPr>
<w:r><w:t xml:space="preserve">pre-Islamic and early Moslem days.  A part of it was published</w:t></w:r>
</w:p>
<w:p>
<w:pPr><w:pStyle w:val="Normal"/></w:pPr>
<w:r><w:t xml:space="preserve">by J. G. L. Rosegarten with Latin translation (Greifswald,</w:t></w:r>
</w:p>
<w:p>
<w:pPr><w:pStyle w:val="Normal"/></w:pPr>
<w:r><w:t xml:space="preserve">1840).  The text was published in 20 vols. at Bulaq in</w:t></w:r>
</w:p>
<w:p>
<w:pPr><w:pStyle w:val="Normal"/></w:pPr>
<w:r><w:t xml:space="preserve">1868.  Vol. xxi. was edited by R. E. Brunnow (Leyden,</w:t></w:r>
</w:p>
<w:p>
<w:pPr><w:pStyle w:val="Normal"/></w:pPr>
<w:r><w:t xml:space="preserve">1888).  A volume of elaborate indices was edited by I. Guidi</w:t></w:r>
</w:p>
<w:p>
<w:pPr><w:pStyle w:val="Normal"/></w:pPr>
<w:r><w:t xml:space="preserve">(Leyden, 1900), and a missing fragment of the text was</w:t></w:r>
</w:p>
<w:p>
<w:pPr><w:pStyle w:val="Normal"/></w:pPr>
<w:r><w:t xml:space="preserve">published by J. Wellhausen in the Zeitschrift der deutschen</w:t></w:r>
</w:p>
<w:p>
<w:pPr><w:pStyle w:val="Normal"/></w:pPr>
<w:r><w:t xml:space="preserve">morgenlandischen Gesellschaft, vol; 50, pp. 146 ff.</w:t></w:r>
</w:p>
<w:p>
<w:pPr><w:pStyle w:val="Normal"/></w:pPr>
<w:r><w:t xml:space="preserve">Biographical Dictionary, vol. ii. pp. 249 ff. (G. W. T.)</w:t></w:r>
</w:p>
<w:p>
<w:pPr><w:pStyle w:val="Normal"/></w:pPr>
<w:r><w:t xml:space="preserve">ABUL PAZL, wazir and historiographer of the great Mogul</w:t></w:r>
</w:p>
<w:p>
<w:pPr><w:pStyle w:val="Normal"/></w:pPr>
<w:r><w:t xml:space="preserve">emperor, Akbar, was born in the year A.D. 1551.  His</w:t></w:r>
</w:p>
<w:p>
<w:pPr><w:pStyle w:val="Normal"/></w:pPr>
<w:r><w:t xml:space="preserve">career as a minister of state, brilliant though it was,</w:t></w:r>
</w:p>
<w:p>
<w:pPr><w:pStyle w:val="Normal"/></w:pPr>
<w:r><w:t xml:space="preserve">would probably have been by this time forgotten but for the</w:t></w:r>
</w:p>
<w:p>
<w:pPr><w:pStyle w:val="Normal"/></w:pPr>
<w:r><w:t xml:space="preserve">record he himself has left of it in his celebrated history.</w:t></w:r>
</w:p>
<w:p>
<w:pPr><w:pStyle w:val="Normal"/></w:pPr>
<w:r><w:t xml:space="preserve">The Akbar Nameh, or Book of Akbar, as Abul Fazl&apos;s chief</w:t></w:r>
</w:p>
<w:p>
<w:pPr><w:pStyle w:val="Normal"/></w:pPr>
<w:r><w:t xml:space="preserve">literary work, written in Persian, is called, consists of two</w:t></w:r>
</w:p>
<w:p>
<w:pPr><w:pStyle w:val="Normal"/></w:pPr>
<w:r><w:t xml:space="preserve">parts--the first being a complete history of Akbar&apos;s reign</w:t></w:r>
</w:p>
<w:p>
<w:pPr><w:pStyle w:val="Normal"/></w:pPr>
<w:r><w:t xml:space="preserve">and the second, entitled Ain-i-Akbari, or Institutes of</w:t></w:r>
</w:p>
<w:p>
<w:pPr><w:pStyle w:val="Normal"/></w:pPr>
<w:r><w:t xml:space="preserve">Akbar, being an account of the religious and political</w:t></w:r>
</w:p>
<w:p>
<w:pPr><w:pStyle w:val="Normal"/></w:pPr>
<w:r><w:t xml:space="preserve">constitution and administration of the empire.  The style is</w:t></w:r>
</w:p>
<w:p>
<w:pPr><w:pStyle w:val="Normal"/></w:pPr>
<w:r><w:t xml:space="preserve">singularly elegant, and the contents of the second part possess</w:t></w:r>
</w:p>
<w:p>
<w:pPr><w:pStyle w:val="Normal"/></w:pPr>
<w:r><w:t xml:space="preserve">a unique and lasting interest.  An excellent translation</w:t></w:r>
</w:p>
<w:p>
<w:pPr><w:pStyle w:val="Normal"/></w:pPr>
<w:r><w:t xml:space="preserve">of the Ain by Francis Gladwin was published in Calcutta,</w:t></w:r>
</w:p>
<w:p>
<w:pPr><w:pStyle w:val="Normal"/></w:pPr>
<w:r><w:t xml:space="preserve">1783-1786.  It was reprinted in London very inaccurately,</w:t></w:r>
</w:p>
<w:p>
<w:pPr><w:pStyle w:val="Normal"/></w:pPr>
<w:r><w:t xml:space="preserve">and copies of the original edition are now exceedingly rare</w:t></w:r>
</w:p>
<w:p>
<w:pPr><w:pStyle w:val="Normal"/></w:pPr>
<w:r><w:t xml:space="preserve">and correspondingly valuable.  It was also translated by</w:t></w:r>
</w:p>
<w:p>
<w:pPr><w:pStyle w:val="Normal"/></w:pPr>
<w:r><w:t xml:space="preserve">Professor Blockmann in 1848.  Abul Fazl died by the hand of</w:t></w:r>
</w:p>
<w:p>
<w:pPr><w:pStyle w:val="Normal"/></w:pPr>
<w:r><w:t xml:space="preserve">an assassin, while returning from a mission to the Deccan in</w:t></w:r>
</w:p>
<w:p>
<w:pPr><w:pStyle w:val="Normal"/></w:pPr>
<w:r><w:t xml:space="preserve">1602.  The murderer was instigated by Prince Sehm, afterwards</w:t></w:r>
</w:p>
<w:p>
<w:pPr><w:pStyle w:val="Normal"/></w:pPr>
<w:r><w:t xml:space="preserve">Jahangir, who had become jealous of the minister&apos;s influence.</w:t></w:r>
</w:p>
<w:p>
<w:pPr><w:pStyle w:val="Normal"/></w:pPr>
<w:r><w:t xml:space="preserve">ABULFEDA [Abud-Fida&apos; Isma&apos;Il ibn&apos;Ah,Imad-ud-Dni]</w:t></w:r>
</w:p>
<w:p>
<w:pPr><w:pStyle w:val="Normal"/></w:pPr>
<w:r><w:t xml:space="preserve">(1273-1331), Arabian historian and geographer, was born at</w:t></w:r>
</w:p>
<w:p>
<w:pPr><w:pStyle w:val="Normal"/></w:pPr>
<w:r><w:t xml:space="preserve">Damascus, whither his father Malik ul-Afdal, brother of</w:t></w:r>
</w:p>
<w:p>
<w:pPr><w:pStyle w:val="Normal"/></w:pPr>
<w:r><w:t xml:space="preserve">the prince of Hamah, had fled from the Mongols.  He was a</w:t></w:r>
</w:p>
<w:p>
<w:pPr><w:pStyle w:val="Normal"/></w:pPr>
<w:r><w:t xml:space="preserve">descendant of Ayyub, the father of Saladin.  In his boyhood</w:t></w:r>
</w:p>
<w:p>
<w:pPr><w:pStyle w:val="Normal"/></w:pPr>
<w:r><w:t xml:space="preserve">he devoted himself to the study of the Koran and the sciences,</w:t></w:r>
</w:p>
<w:p>
<w:pPr><w:pStyle w:val="Normal"/></w:pPr>
<w:r><w:t xml:space="preserve">hut from his twelfth year was almost constantly engaged in</w:t></w:r>
</w:p>
<w:p>
<w:pPr><w:pStyle w:val="Normal"/></w:pPr>
<w:r><w:t xml:space="preserve">military expeditions, chiefly against the crusaders.  In 1285</w:t></w:r>
</w:p>
<w:p>
<w:pPr><w:pStyle w:val="Normal"/></w:pPr>
<w:r><w:t xml:space="preserve">he was present at the assault of a stronghold of the knights</w:t></w:r>
</w:p>
<w:p>
<w:pPr><w:pStyle w:val="Normal"/></w:pPr>
<w:r><w:t xml:space="preserve">of St John, and he took part in the sieges of Tripoli, Acre</w:t></w:r>
</w:p>
<w:p>
<w:pPr><w:pStyle w:val="Normal"/></w:pPr>
<w:r><w:t xml:space="preserve">and Qal&apos;at ar-Rum.  In 1298 he entered the service of the</w:t></w:r>
</w:p>
<w:p>
<w:pPr><w:pStyle w:val="Normal"/></w:pPr>
<w:r><w:t xml:space="preserve">Mameluke Sultan Malik al-Nasir and after twelve years was</w:t></w:r>
</w:p>
<w:p>
<w:pPr><w:pStyle w:val="Normal"/></w:pPr>
<w:r><w:t xml:space="preserve">invested by him with the governorship of Hamah.  In 1312 he</w:t></w:r>
</w:p>
<w:p>
<w:pPr><w:pStyle w:val="Normal"/></w:pPr>
<w:r><w:t xml:space="preserve">became prince with the title Malik us-Salhn, and in 1320</w:t></w:r>
</w:p>
<w:p>
<w:pPr><w:pStyle w:val="Normal"/></w:pPr>
<w:r><w:t xml:space="preserve">received the hereditary rank of sultan with the title Malik</w:t></w:r>
</w:p>
<w:p>
<w:pPr><w:pStyle w:val="Normal"/></w:pPr>
<w:r><w:t xml:space="preserve">ul-Mu&apos;ayyad.  For more than twenty years altogether he reigned</w:t></w:r>
</w:p>
<w:p>
<w:pPr><w:pStyle w:val="Normal"/></w:pPr>
<w:r><w:t xml:space="preserve">in tranquillity and splendour, devoting himself to the duties</w:t></w:r>
</w:p>
<w:p>
<w:pPr><w:pStyle w:val="Normal"/></w:pPr>
<w:r><w:t xml:space="preserve">of government and to the composition of the works to which</w:t></w:r>
</w:p>
<w:p>
<w:pPr><w:pStyle w:val="Normal"/></w:pPr>
<w:r><w:t xml:space="preserve">he is chiefly indebted for his fame.  He was a munificent</w:t></w:r>
</w:p>
<w:p>
<w:pPr><w:pStyle w:val="Normal"/></w:pPr>
<w:r><w:t xml:space="preserve">patron of men of letters, who came in large numbers to his</w:t></w:r>
</w:p>
<w:p>
<w:pPr><w:pStyle w:val="Normal"/></w:pPr>
<w:r><w:t xml:space="preserve">court.  He died in 1331.  His chief historical work in</w:t></w:r>
</w:p>
<w:p>
<w:pPr><w:pStyle w:val="Normal"/></w:pPr>
<w:r><w:t xml:space="preserve">An Abridgment of the History at the Human Race, in the</w:t></w:r>
</w:p>
<w:p>
<w:pPr><w:pStyle w:val="Normal"/></w:pPr>
<w:r><w:t xml:space="preserve">form of annals extending from the creation of the world</w:t></w:r>
</w:p>
<w:p>
<w:pPr><w:pStyle w:val="Normal"/></w:pPr>
<w:r><w:t xml:space="preserve">to the year 1329 (Constantinople, 2 vols. 1869).  Various</w:t></w:r>
</w:p>
<w:p>
<w:pPr><w:pStyle w:val="Normal"/></w:pPr>
<w:r><w:t xml:space="preserve">translations of parts of it exist, the earliest being a Latin</w:t></w:r>
</w:p>
<w:p>
<w:pPr><w:pStyle w:val="Normal"/></w:pPr>
<w:r><w:t xml:space="preserve">rendering of the section relating to the Arabian conquests in</w:t></w:r>
</w:p>
<w:p>
<w:pPr><w:pStyle w:val="Normal"/></w:pPr>
<w:r><w:t xml:space="preserve">Sicily, by Dobelius, Arabic professor at Palermo, in 1610</w:t></w:r>
</w:p>
<w:p>
<w:pPr><w:pStyle w:val="Normal"/></w:pPr>
<w:r><w:t xml:space="preserve">(preserved in Muratori&apos;s Rerum Italicarum Scriptores, vol.</w:t></w:r>
</w:p>
<w:p>
<w:pPr><w:pStyle w:val="Normal"/></w:pPr>
<w:r><w:t xml:space="preserve">i.).  The section dealing with the pre-Islamitic period</w:t></w:r>
</w:p>
<w:p>
<w:pPr><w:pStyle w:val="Normal"/></w:pPr>
<w:r><w:t xml:space="preserve">was edited with Latin translation by H. O. Fleischer under</w:t></w:r>
</w:p>
<w:p>
<w:pPr><w:pStyle w:val="Normal"/></w:pPr>
<w:r><w:t xml:space="preserve">the title Abulfedae Historia Ante-Islamica (Leipzig,</w:t></w:r>
</w:p>
<w:p>
<w:pPr><w:pStyle w:val="Normal"/></w:pPr>
<w:r><w:t xml:space="preserve">1831).  The part dealing with the Mahommedan period was</w:t></w:r>
</w:p>
<w:p>
<w:pPr><w:pStyle w:val="Normal"/></w:pPr>
<w:r><w:t xml:space="preserve">edited, also with Latin translation, by J. J. Reiske as</w:t></w:r>
</w:p>
<w:p>
<w:pPr><w:pStyle w:val="Normal"/></w:pPr>
<w:r><w:t xml:space="preserve">Annales Muslemici (5 vols., Copenhagen, 1789--1794) . His</w:t></w:r>
</w:p>
<w:p>
<w:pPr><w:pStyle w:val="Normal"/></w:pPr>
<w:r><w:t xml:space="preserve">Geography is, like much of the history, founded on the</w:t></w:r>
</w:p>
<w:p>
<w:pPr><w:pStyle w:val="Normal"/></w:pPr>
<w:r><w:t xml:space="preserve">works of his predecessors, and so ultimately on the work of</w:t></w:r>
</w:p>
<w:p>
<w:pPr><w:pStyle w:val="Normal"/></w:pPr>
<w:r><w:t xml:space="preserve">Ptolemy.  A long introduction on various geographical matters</w:t></w:r>
</w:p>
<w:p>
<w:pPr><w:pStyle w:val="Normal"/></w:pPr>
<w:r><w:t xml:space="preserve">is followed by twenty-eight sections dealing in tabular</w:t></w:r>
</w:p>
<w:p>
<w:pPr><w:pStyle w:val="Normal"/></w:pPr>
<w:r><w:t xml:space="preserve">form with the chief towns of the world.  After each name</w:t></w:r>
</w:p>
<w:p>
<w:pPr><w:pStyle w:val="Normal"/></w:pPr>
<w:r><w:t xml:space="preserve">are given the longitude, latitude, ``climate,&apos;&apos; spelling,</w:t></w:r>
</w:p>
<w:p>
<w:pPr><w:pStyle w:val="Normal"/></w:pPr>
<w:r><w:t xml:space="preserve">and then observations generally taken from earlier authors.</w:t></w:r>
</w:p>
<w:p>
<w:pPr><w:pStyle w:val="Normal"/></w:pPr>
<w:r><w:t xml:space="preserve">Parts of the work were published and translated as early</w:t></w:r>
</w:p>
<w:p>
<w:pPr><w:pStyle w:val="Normal"/></w:pPr>
<w:r><w:t xml:space="preserve">as 1650 (cf. Carl Brockelmann&apos;s Geschichte der Arabischen</w:t></w:r>
</w:p>
<w:p>
<w:pPr><w:pStyle w:val="Normal"/></w:pPr>
<w:r><w:t xml:space="preserve">Litteratur, Berlin, 1902, vol. ii. pp. 44-46).  The text</w:t></w:r>
</w:p>
<w:p>
<w:pPr><w:pStyle w:val="Normal"/></w:pPr>
<w:r><w:t xml:space="preserve">of the whole was published by M`G. de Slane and M. Reinaud</w:t></w:r>
</w:p>
<w:p>
<w:pPr><w:pStyle w:val="Normal"/></w:pPr>
<w:r><w:t xml:space="preserve">(Paris, 1840), and a French translation with introduction by</w:t></w:r>
</w:p>
<w:p>
<w:pPr><w:pStyle w:val="Normal"/></w:pPr>
<w:r><w:t xml:space="preserve">M. Reinaud and Stanislas Guyard (Paris, 1848-1883). (G. W. T.)</w:t></w:r>
</w:p>
<w:p>
<w:pPr><w:pStyle w:val="Normal"/></w:pPr>
<w:r><w:t xml:space="preserve">ABU-L-QASIM [Khalaf ibn&apos;Abbas uz-Zahrawi], Arabian</w:t></w:r>
</w:p>
<w:p>
<w:pPr><w:pStyle w:val="Normal"/></w:pPr>
<w:r><w:t xml:space="preserve">physician and surgeon, generally known in Europe as</w:t></w:r>
</w:p>
<w:p>
<w:pPr><w:pStyle w:val="Normal"/></w:pPr>
<w:r><w:t xml:space="preserve">ABULCASIS, flourished in the tenth century at Cordova as</w:t></w:r>
</w:p>
<w:p>
<w:pPr><w:pStyle w:val="Normal"/></w:pPr>
<w:r><w:t xml:space="preserve">physician to the caliph &apos;Abdur-Rahman III. (912--961).  No</w:t></w:r>
</w:p>
<w:p>
<w:pPr><w:pStyle w:val="Normal"/></w:pPr>
<w:r><w:t xml:space="preserve">details of his life are known.  A part of his compendium</w:t></w:r>
</w:p>
<w:p>
<w:pPr><w:pStyle w:val="Normal"/></w:pPr>
<w:r><w:t xml:space="preserve">of medicine was published in Latin in the 16th century as</w:t></w:r>
</w:p>
<w:p>
<w:pPr><w:pStyle w:val="Normal"/></w:pPr>
<w:r><w:t xml:space="preserve">Liber theoricae nec non practicae Alsaharavii (Augsburg,</w:t></w:r>
</w:p>
<w:p>
<w:pPr><w:pStyle w:val="Normal"/></w:pPr>
<w:r><w:t xml:space="preserve">1519).  His manual of surgery was published at Venice in</w:t></w:r>
</w:p>
<w:p>
<w:pPr><w:pStyle w:val="Normal"/></w:pPr>
<w:r><w:t xml:space="preserve">1497, at Basel in 1541, and at Oxford Abulcasis de Chirurgia</w:t></w:r>
</w:p>
<w:p>
<w:pPr><w:pStyle w:val="Normal"/></w:pPr>
<w:r><w:t xml:space="preserve">arabice et latine cura Johannis Channing (2 vols. 1778).</w:t></w:r>
</w:p>
<w:p>
<w:pPr><w:pStyle w:val="Normal"/></w:pPr>
<w:r><w:t xml:space="preserve">For his other works see Carl Brockelmann, Geschichte der arabischen</w:t></w:r>
</w:p>
<w:p>
<w:pPr><w:pStyle w:val="Normal"/></w:pPr>
<w:r><w:t xml:space="preserve">Litteratur (Weimar, 1898), vol. i. pp. 239-240. (G. W. T.)</w:t></w:r>
</w:p>
<w:p>
<w:pPr><w:pStyle w:val="Normal"/></w:pPr>
<w:r><w:t xml:space="preserve">ABUNDANTIA (``Abundance&apos;&apos;), a Roman goddess, the personification</w:t></w:r>
</w:p>
<w:p>
<w:pPr><w:pStyle w:val="Normal"/></w:pPr>
<w:r><w:t xml:space="preserve">of prosperity and good fortune.  Modelled after the Greek Demeter,</w:t></w:r>
</w:p>
<w:p>
<w:pPr><w:pStyle w:val="Normal"/></w:pPr>
<w:r><w:t xml:space="preserve">she is practically identical with Copia, Annona and similar</w:t></w:r>
</w:p>
<w:p>
<w:pPr><w:pStyle w:val="Normal"/></w:pPr>
<w:r><w:t xml:space="preserve">goddesses.  On the coins of the later Roman emperors she is</w:t></w:r>
</w:p>
<w:p>
<w:pPr><w:pStyle w:val="Normal"/></w:pPr>
<w:r><w:t xml:space="preserve">frequently represented holding a cornucopia, from which she</w:t></w:r>
</w:p>
<w:p>
<w:pPr><w:pStyle w:val="Normal"/></w:pPr>
<w:r><w:t xml:space="preserve">shakes her gifts, thereby at the same time in- dicating the</w:t></w:r>
</w:p>
<w:p>
<w:pPr><w:pStyle w:val="Normal"/></w:pPr>
<w:r><w:t xml:space="preserve">liberality of the emperor or empress.  She may be compared</w:t></w:r>
</w:p>
<w:p>
<w:pPr><w:pStyle w:val="Normal"/></w:pPr>
<w:r><w:t xml:space="preserve">with Domina Abundia (Old Fr. Dame Habonde, Notre Dame</w:t></w:r>
</w:p>
<w:p>
<w:pPr><w:pStyle w:val="Normal"/></w:pPr>
<w:r><w:t xml:space="preserve">d&apos;Abondance), whose name often occurs in poems of the Middle</w:t></w:r>
</w:p>
<w:p>
<w:pPr><w:pStyle w:val="Normal"/></w:pPr>
<w:r><w:t xml:space="preserve">Ages, a beneficent fairy, who brought plenty to those whom she</w:t></w:r>
</w:p>
<w:p>
<w:pPr><w:pStyle w:val="Normal"/></w:pPr>
<w:r><w:t xml:space="preserve">visited (Grimm, Teutonic Mythology, tr. 1880, i. 286-287).</w:t></w:r>
</w:p>
<w:p>
<w:pPr><w:pStyle w:val="Normal"/></w:pPr>
<w:r><w:t xml:space="preserve">ABU NUWAS [Abu,Ah Hal-asan ibn Hani&apos;al-Hakami] (c.</w:t></w:r>
</w:p>
<w:p>
<w:pPr><w:pStyle w:val="Normal"/></w:pPr>
<w:r><w:t xml:space="preserve">756-810), known as Abu Nuwas, Arabian poet, was born in al</w:t></w:r>
</w:p>
<w:p>
<w:pPr><w:pStyle w:val="Normal"/></w:pPr>
<w:r><w:t xml:space="preserve">Ahwaz, probably about 756. His mother was a Persian, his</w:t></w:r>
</w:p>
<w:p>
<w:pPr><w:pStyle w:val="Normal"/></w:pPr>
<w:r><w:t xml:space="preserve">father a soldier, a native of Damascus.  His studies were made</w:t></w:r>
</w:p>
<w:p>
<w:pPr><w:pStyle w:val="Normal"/></w:pPr>
<w:r><w:t xml:space="preserve">in Basra under Abu Zaid and Abu&apos;Ubaida (q.v.), and in</w:t></w:r>
</w:p>
<w:p>
<w:pPr><w:pStyle w:val="Normal"/></w:pPr>
<w:r><w:t xml:space="preserve">Kufa under Khalaf al-Ahmar.  He is also said to have spent a</w:t></w:r>
</w:p>
<w:p>
<w:pPr><w:pStyle w:val="Normal"/></w:pPr>
<w:r><w:t xml:space="preserve">year with the Arabs in the desert to gain purity of language.</w:t></w:r>
</w:p>
<w:p>
<w:pPr><w:pStyle w:val="Normal"/></w:pPr>
<w:r><w:t xml:space="preserve">Settling in Bagdad he enjoyed the favour of Harun al-Rashid</w:t></w:r>
</w:p>
<w:p>
<w:pPr><w:pStyle w:val="Normal"/></w:pPr>
<w:r><w:t xml:space="preserve">and al-Amin, and died there probably about 810. The greater</w:t></w:r>
</w:p>
<w:p>
<w:pPr><w:pStyle w:val="Heading1"/></w:pPr>
<w:r><w:t>part of his life was characterized by great licentiousness</w:t></w:r>
</w:p>
<w:p>
<w:pPr><w:pStyle w:val="Normal"/></w:pPr>
<w:r><w:t xml:space="preserve">and disregard of religion, but in his later days he became</w:t></w:r>
</w:p>
<w:p>
<w:pPr><w:pStyle w:val="Normal"/></w:pPr>
<w:r><w:t xml:space="preserve">ascetic.  Abu Nuwas is recognized as the greatest poet of his</w:t></w:r>
</w:p>
<w:p>
<w:pPr><w:pStyle w:val="Normal"/></w:pPr>
<w:r><w:t xml:space="preserve">time.  His mastery of language has led to extensive quotation</w:t></w:r>
</w:p>
<w:p>
<w:pPr><w:pStyle w:val="Normal"/></w:pPr>
<w:r><w:t xml:space="preserve">of his verses by Arabian scholars.  Genial, cynical, immoral, he</w:t></w:r>
</w:p>
<w:p>
<w:pPr><w:pStyle w:val="Normal"/></w:pPr>
<w:r><w:t xml:space="preserve">drew on all the varied life of his time for the material of his</w:t></w:r>
</w:p>
<w:p>
<w:pPr><w:pStyle w:val="Normal"/></w:pPr>
<w:r><w:t xml:space="preserve">poems.  In his wine-songs especially the manners of the upper</w:t></w:r>
</w:p>
<w:p>
<w:pPr><w:pStyle w:val="Normal"/></w:pPr>
<w:r><w:t xml:space="preserve">classes of Bagdad are revealed.  He was one of the first to</w:t></w:r>
</w:p>
<w:p>
<w:pPr><w:pStyle w:val="Normal"/></w:pPr>
<w:r><w:t xml:space="preserve">ridicule the set form of the qasida (elegy) as unnatural,</w:t></w:r>
</w:p>
<w:p>
<w:pPr><w:pStyle w:val="Normal"/></w:pPr>
<w:r><w:t xml:space="preserve">and has satirized this form in several poems.  See I. Goldziher,</w:t></w:r>
</w:p>
<w:p>
<w:pPr><w:pStyle w:val="Normal"/></w:pPr>
<w:r><w:t xml:space="preserve">Abhandlungen zur Arabischen Philologie (Leyden, 1896),</w:t></w:r>
</w:p>
<w:p>
<w:pPr><w:pStyle w:val="Normal"/></w:pPr>
<w:r><w:t xml:space="preserve">i. pp. 145 ff.  His poems were collected by several Arabian</w:t></w:r>
</w:p>
<w:p>
<w:pPr><w:pStyle w:val="Normal"/></w:pPr>
<w:r><w:t xml:space="preserve">editors.  One such collection (the MS. of which is now in</w:t></w:r>
</w:p>
<w:p>
<w:pPr><w:pStyle w:val="Normal"/></w:pPr>
<w:r><w:t xml:space="preserve">Vienna) contains nearly 5000 verses grouped under the ten</w:t></w:r>
</w:p>
<w:p>
<w:pPr><w:pStyle w:val="Normal"/></w:pPr>
<w:r><w:t xml:space="preserve">headings: wine, hunting, praise, satire, love of youths, love</w:t></w:r>
</w:p>
<w:p>
<w:pPr><w:pStyle w:val="Normal"/></w:pPr>
<w:r><w:t xml:space="preserve">of women, obscenities, blame, elegies, renunciation of the</w:t></w:r>
</w:p>
<w:p>
<w:pPr><w:pStyle w:val="Normal"/></w:pPr>
<w:r><w:t xml:space="preserve">world.  His collected poems (Diwan) have been published</w:t></w:r>
</w:p>
<w:p>
<w:pPr><w:pStyle w:val="Normal"/></w:pPr>
<w:r><w:t xml:space="preserve">in Cairo (1860) and in Beirut (1884).  The wine-songs</w:t></w:r>
</w:p>
<w:p>
<w:pPr><w:pStyle w:val="Normal"/></w:pPr>
<w:r><w:t xml:space="preserve">were edited by W. Ahlwardt under the title Diwan des Abu</w:t></w:r>
</w:p>
<w:p>
<w:pPr><w:pStyle w:val="Normal"/></w:pPr>
<w:r><w:t xml:space="preserve">Nowas. 1. Die lveinlieder (Greifswald, 1861). (G. W. T.)</w:t></w:r>
</w:p>
<w:p>
<w:pPr><w:pStyle w:val="Normal"/></w:pPr>
<w:r><w:t xml:space="preserve">ABU SIMBEL, or IPSAMBUL, the name of a group of temples</w:t></w:r>
</w:p>
<w:p>
<w:pPr><w:pStyle w:val="Normal"/></w:pPr>
<w:r><w:t xml:space="preserve">of Rameses II. (c. 1250 B.C.) in Nubia, on the left</w:t></w:r>
</w:p>
<w:p>
<w:pPr><w:pStyle w:val="Normal"/></w:pPr>
<w:r><w:t xml:space="preserve">bank of the Nile, 56 m. by river S. of Korosko.  They are</w:t></w:r>
</w:p>
<w:p>
<w:pPr><w:pStyle w:val="Normal"/></w:pPr>
<w:r><w:t xml:space="preserve">hewn in the cliffs at the riverside, at a point where the</w:t></w:r>
</w:p>
<w:p>
<w:pPr><w:pStyle w:val="Normal"/></w:pPr>
<w:r><w:t xml:space="preserve">sandstone hills on the west reach the Nile and form the</w:t></w:r>
</w:p>
<w:p>
<w:pPr><w:pStyle w:val="Normal"/></w:pPr>
<w:r><w:t xml:space="preserve">southern boundary of a wider portion of the generally barren</w:t></w:r>
</w:p>
<w:p>
<w:pPr><w:pStyle w:val="Normal"/></w:pPr>
<w:r><w:t xml:space="preserve">valley.  The temples are three in number.  The principal</w:t></w:r>
</w:p>
<w:p>
<w:pPr><w:pStyle w:val="Normal"/></w:pPr>
<w:r><w:t xml:space="preserve">temple, probably the greatest and most imposing of all rock-hewn</w:t></w:r>
</w:p>
<w:p>
<w:pPr><w:pStyle w:val="Normal"/></w:pPr>
<w:r><w:t xml:space="preserve">monuments, was discovered by Burckhardt in 1812 and opened by</w:t></w:r>
</w:p>
<w:p>
<w:pPr><w:pStyle w:val="Normal"/></w:pPr>
<w:r><w:t xml:space="preserve">Belzoni in 1817. (The front has been cleared several times,</w:t></w:r>
</w:p>
<w:p>
<w:pPr><w:pStyle w:val="Normal"/></w:pPr>
<w:r><w:t xml:space="preserve">most recently in 1892, but the sand is always pressing forward</w:t></w:r>
</w:p>
<w:p>
<w:pPr><w:pStyle w:val="Normal"/></w:pPr>
<w:r><w:t xml:space="preserve">from the north end.) The hillside was recessed to form the</w:t></w:r>
</w:p>
<w:p>
<w:pPr><w:pStyle w:val="Normal"/></w:pPr>
<w:r><w:t xml:space="preserve">facade, backed against which four immense seated colossi of</w:t></w:r>
</w:p>
<w:p>
<w:pPr><w:pStyle w:val="Normal"/></w:pPr>
<w:r><w:t xml:space="preserve">the king, in pairs on either side of the entrance, rise from</w:t></w:r>
</w:p>
<w:p>
<w:pPr><w:pStyle w:val="Normal"/></w:pPr>
<w:r><w:t xml:space="preserve">a platform or forecourt reached from the river by a flight of</w:t></w:r>
</w:p>
<w:p>
<w:pPr><w:pStyle w:val="Normal"/></w:pPr>
<w:r><w:t xml:space="preserve">steps.  The colossi are no less than 65 ft. in height, of</w:t></w:r>
</w:p>
<w:p>
<w:pPr><w:pStyle w:val="Normal"/></w:pPr>
<w:r><w:t xml:space="preserve">nobly placid design, and are accompanied by smaller figures</w:t></w:r>
</w:p>
<w:p>
<w:pPr><w:pStyle w:val="Normal"/></w:pPr>
<w:r><w:t xml:space="preserve">of Rameses&apos; queen and their sons and daughters; behind and</w:t></w:r>
</w:p>
<w:p>
<w:pPr><w:pStyle w:val="Normal"/></w:pPr>
<w:r><w:t xml:space="preserve">over them is the cornice, with the dedication below in a</w:t></w:r>
</w:p>
<w:p>
<w:pPr><w:pStyle w:val="Normal"/></w:pPr>
<w:r><w:t xml:space="preserve">line of huge hieroglyphs, and a long row of apes, standing in</w:t></w:r>
</w:p>
<w:p>
<w:pPr><w:pStyle w:val="Normal"/></w:pPr>
<w:r><w:t xml:space="preserve">adoration of the rising sun above.  The temple is dedicated</w:t></w:r>
</w:p>
<w:p>
<w:pPr><w:pStyle w:val="Normal"/></w:pPr>
<w:r><w:t xml:space="preserve">primarily to the solar gods Amenre of Thebes and Raharakht of</w:t></w:r>
</w:p>
<w:p>
<w:pPr><w:pStyle w:val="Normal"/></w:pPr>
<w:r><w:t xml:space="preserve">Heliopolis, the true sun god; it is oriented to the east so</w:t></w:r>
</w:p>
<w:p>
<w:pPr><w:pStyle w:val="Normal"/></w:pPr>
<w:r><w:t xml:space="preserve">that the rays of the sun in the early morning penetrate the</w:t></w:r>
</w:p>
<w:p>
<w:pPr><w:pStyle w:val="Normal"/></w:pPr>
<w:r><w:t xml:space="preserve">whole length of two great halls to the innermost sanctuary and</w:t></w:r>
</w:p>
<w:p>
<w:pPr><w:pStyle w:val="Normal"/></w:pPr>
<w:r><w:t xml:space="preserve">fall upon the central figures of Amenre and Rameses, which are</w:t></w:r>
</w:p>
<w:p>
<w:pPr><w:pStyle w:val="Normal"/></w:pPr>
<w:r><w:t xml:space="preserve">there enthroned with Ptah of Memphis and Raharakht on either</w:t></w:r>
</w:p>
<w:p>
<w:pPr><w:pStyle w:val="Normal"/></w:pPr>
<w:r><w:t xml:space="preserve">side.  The interior of the temple is decorated with coloured</w:t></w:r>
</w:p>
<w:p>
<w:pPr><w:pStyle w:val="Normal"/></w:pPr>
<w:r><w:t xml:space="preserve">sculpture of fine workmanship and in good preservation; the</w:t></w:r>
</w:p>
<w:p>
<w:pPr><w:pStyle w:val="Normal"/></w:pPr>
<w:r><w:t xml:space="preserve">scenes are more than usually interesting; some are of religious</w:t></w:r>
</w:p>
<w:p>
<w:pPr><w:pStyle w:val="Normal"/></w:pPr>
<w:r><w:t xml:space="preserve">import (amongst them Rameses as king making offerings to</w:t></w:r>
</w:p>
<w:p>
<w:pPr><w:pStyle w:val="Normal"/></w:pPr>
<w:r><w:t xml:space="preserve">himself as god), others illustrate war in Syria, Libya and</w:t></w:r>
</w:p>
<w:p>
<w:pPr><w:pStyle w:val="Normal"/></w:pPr>
<w:r><w:t xml:space="preserve">Ethiopia: another series depicts the events of the famous</w:t></w:r>
</w:p>
<w:p>
<w:pPr><w:pStyle w:val="Normal"/></w:pPr>
<w:r><w:t xml:space="preserve">battle with the Hittites and their allies at Kadesh, in which</w:t></w:r>
</w:p>
<w:p>
<w:pPr><w:pStyle w:val="Normal"/></w:pPr>
<w:r><w:t xml:space="preserve">Rameses saved the Egyptian camp and army by his personal</w:t></w:r>
</w:p>
<w:p>
<w:pPr><w:pStyle w:val="Normal"/></w:pPr>
<w:r><w:t xml:space="preserve">valour.  Historical stelae of the same reign are engraved</w:t></w:r>
</w:p>
<w:p>
<w:pPr><w:pStyle w:val="Normal"/></w:pPr>
<w:r><w:t xml:space="preserve">inside and outside the temple; the most interesting is that</w:t></w:r>
</w:p>
<w:p>
<w:pPr><w:pStyle w:val="Normal"/></w:pPr>
<w:r><w:t xml:space="preserve">recording the marriage with a Hittite princess in the 34th</w:t></w:r>
</w:p>
<w:p>
<w:pPr><w:pStyle w:val="Normal"/></w:pPr>
<w:r><w:t xml:space="preserve">year.  Not the least important feature of the temple belongs</w:t></w:r>
</w:p>
<w:p>
<w:pPr><w:pStyle w:val="Normal"/></w:pPr>
<w:r><w:t xml:space="preserve">to a later age, when some Greek, Carian and Phoenician</w:t></w:r>
</w:p>
<w:p>
<w:pPr><w:pStyle w:val="Normal"/></w:pPr>
<w:r><w:t xml:space="preserve">soldiers of one of the kings named Psammetichus (apparently</w:t></w:r>
</w:p>
<w:p>
<w:pPr><w:pStyle w:val="Normal"/></w:pPr>
<w:r><w:t xml:space="preserve">Psammetichus II., 594-589 B.C.) inscribed their names upon</w:t></w:r>
</w:p>
<w:p>
<w:pPr><w:pStyle w:val="Normal"/></w:pPr>
<w:r><w:t xml:space="preserve">the two southern colossi, doubtless the only ones then clear of</w:t></w:r>
</w:p>
<w:p>
<w:pPr><w:pStyle w:val="Normal"/></w:pPr>
<w:r><w:t xml:space="preserve">sand.  These graffiti are of the highest value for the early</w:t></w:r>
</w:p>
<w:p>
<w:pPr><w:pStyle w:val="Normal"/></w:pPr>
<w:r><w:t xml:space="preserve">history of the alphabet, and as proving the presence of Greek</w:t></w:r>
</w:p>
<w:p>
<w:pPr><w:pStyle w:val="Normal"/></w:pPr>
<w:r><w:t xml:space="preserve">mercenaries in the Egyptian armies of the period.  The upper</w:t></w:r>
</w:p>
<w:p>
<w:pPr><w:pStyle w:val="Heading1"/></w:pPr>
<w:r><w:t>part of the second colossus (from the south) has fallen;</w:t></w:r>
</w:p>
<w:p>
<w:pPr><w:pStyle w:val="Normal"/></w:pPr>
<w:r><w:t xml:space="preserve">the third was repaired by Sethos II. not many years after</w:t></w:r>
</w:p>
<w:p>
<w:pPr><w:pStyle w:val="Normal"/></w:pPr>
<w:r><w:t xml:space="preserve">the completion of the temple.  This great temple was wholly</w:t></w:r>
</w:p>
<w:p>
<w:pPr><w:pStyle w:val="Normal"/></w:pPr>
<w:r><w:t xml:space="preserve">rock-cut, and is now threatened by gradual ruin by sliding</w:t></w:r>
</w:p>
<w:p>
<w:pPr><w:pStyle w:val="Normal"/></w:pPr>
<w:r><w:t xml:space="preserve">on the planes of stratification.  A small temple, immediately</w:t></w:r>
</w:p>
<w:p>
<w:pPr><w:pStyle w:val="Normal"/></w:pPr>
<w:r><w:t xml:space="preserve">to the south of the first, is believed to have had a built</w:t></w:r>
</w:p>
<w:p>
<w:pPr><w:pStyle w:val="Normal"/></w:pPr>
<w:r><w:t xml:space="preserve">antechamber: it is the earliest known example of a ``birth</w:t></w:r>
</w:p>
<w:p>
<w:pPr><w:pStyle w:val="Normal"/></w:pPr>
<w:r><w:t xml:space="preserve">chapel,&apos;&apos; such as was usually attached to Ptolemaic temples</w:t></w:r>
</w:p>
<w:p>
<w:pPr><w:pStyle w:val="Normal"/></w:pPr>
<w:r><w:t xml:space="preserve">for the accommodation of the divine mother-consort and her</w:t></w:r>
</w:p>
<w:p>
<w:pPr><w:pStyle w:val="Normal"/></w:pPr>
<w:r><w:t xml:space="preserve">son.  The third and northernmost temple, separated from</w:t></w:r>
</w:p>
<w:p>
<w:pPr><w:pStyle w:val="Normal"/></w:pPr>
<w:r><w:t xml:space="preserve">the others by a ravine, is on a large scale; the colossi of</w:t></w:r>
</w:p>
<w:p>
<w:pPr><w:pStyle w:val="Normal"/></w:pPr>
<w:r><w:t xml:space="preserve">the facade are six in number and 53 ft. high, representing</w:t></w:r>
</w:p>
<w:p>
<w:pPr><w:pStyle w:val="Normal"/></w:pPr>
<w:r><w:t xml:space="preserve">Rameses and his queen Nefrere, who dedicated the temple</w:t></w:r>
</w:p>
<w:p>
<w:pPr><w:pStyle w:val="Normal"/></w:pPr>
<w:r><w:t xml:space="preserve">to the goddess Hathor.  The whole group forms a singular</w:t></w:r>
</w:p>
<w:p>
<w:pPr><w:pStyle w:val="Normal"/></w:pPr>
<w:r><w:t xml:space="preserve">monument of Rameses&apos; unbounded pride and self-glorification.</w:t></w:r>
</w:p>
<w:p>
<w:pPr><w:pStyle w:val="Normal"/></w:pPr>
<w:r><w:t xml:space="preserve">See EGYPT; J. H. Breasted, Ancient Records, Egypt,</w:t></w:r>
</w:p>
<w:p>
<w:pPr><w:pStyle w:val="Normal"/></w:pPr>
<w:r><w:t xml:space="preserve">vol. iii. pp. 124 et seq., esp. 212; ``The Temples</w:t></w:r>
</w:p>
<w:p>
<w:pPr><w:pStyle w:val="Normal"/></w:pPr>
<w:r><w:t xml:space="preserve">of Lower Nubia,&apos;&apos; in the American Journal of Semitic</w:t></w:r>
</w:p>
<w:p>
<w:pPr><w:pStyle w:val="Normal"/></w:pPr>
<w:r><w:t xml:space="preserve">Languages and Literatures, October 1906. (F. LL. G.)</w:t></w:r>
</w:p>
<w:p>
<w:pPr><w:pStyle w:val="Normal"/></w:pPr>
<w:r><w:t xml:space="preserve">ABU TAMMAM [Habib ibn Aus] (807-846), Arabian poet,</w:t></w:r>
</w:p>
<w:p>
<w:pPr><w:pStyle w:val="Normal"/></w:pPr>
<w:r><w:t xml:space="preserve">was, like Buhturi, of the tribe of Tai (though some say</w:t></w:r>
</w:p>
<w:p>
<w:pPr><w:pStyle w:val="Normal"/></w:pPr>
<w:r><w:t xml:space="preserve">he was the son of a Christian apothecary named Thaddeus,</w:t></w:r>
</w:p>
<w:p>
<w:pPr><w:pStyle w:val="Normal"/></w:pPr>
<w:r><w:t xml:space="preserve">and that his genealogy was forged).  He was born in Jasim</w:t></w:r>
</w:p>
<w:p>
<w:pPr><w:pStyle w:val="Normal"/></w:pPr>
<w:r><w:t xml:space="preserve">(Josem), a place to the north-east of the Sea of Tiberias or</w:t></w:r>
</w:p>
<w:p>
<w:pPr><w:pStyle w:val="Normal"/></w:pPr>
<w:r><w:t xml:space="preserve">near Manbij (Hierapolis).  He seems to have spent his youth</w:t></w:r>
</w:p>
<w:p>
<w:pPr><w:pStyle w:val="Normal"/></w:pPr>
<w:r><w:t xml:space="preserve">in Homs, though, according to one story, he was employed</w:t></w:r>
</w:p>
<w:p>
<w:pPr><w:pStyle w:val="Normal"/></w:pPr>
<w:r><w:t xml:space="preserve">during his boyhood in selling water in a mosque in Cairo.</w:t></w:r>
</w:p>
<w:p>
<w:pPr><w:pStyle w:val="Normal"/></w:pPr>
<w:r><w:t xml:space="preserve">His first appearance as a poet was in Egypt, but as he failed</w:t></w:r>
</w:p>
<w:p>
<w:pPr><w:pStyle w:val="Normal"/></w:pPr>
<w:r><w:t xml:space="preserve">to make a living there he went to Damascus and thence to</w:t></w:r>
</w:p>
<w:p>
<w:pPr><w:pStyle w:val="Normal"/></w:pPr>
<w:r><w:t xml:space="preserve">Mosul.  From this place he made a visit to the governor of</w:t></w:r>
</w:p>
<w:p>
<w:pPr><w:pStyle w:val="Normal"/></w:pPr>
<w:r><w:t xml:space="preserve">Armenia, who awarded him richly.  After 833 he lived mostly in</w:t></w:r>
</w:p>
<w:p>
<w:pPr><w:pStyle w:val="Normal"/></w:pPr>
<w:r><w:t xml:space="preserve">Bagdad, at the court of the caliph Mo,tasim.  From Bagdad he</w:t></w:r>
</w:p>
<w:p>
<w:pPr><w:pStyle w:val="Normal"/></w:pPr>
<w:r><w:t xml:space="preserve">visited Khorassan, where he enjoyed the favour of Abdallah ibn</w:t></w:r>
</w:p>
<w:p>
<w:pPr><w:pStyle w:val="Normal"/></w:pPr>
<w:r><w:t xml:space="preserve">Tahir.  About 845 he was in Ma&apos;arrat un Nu`man, where he met</w:t></w:r>
</w:p>
<w:p>
<w:pPr><w:pStyle w:val="Normal"/></w:pPr>
<w:r><w:t xml:space="preserve">Buhturi.  He died in Mosul.  Abu Tammam is best known in</w:t></w:r>
</w:p>
<w:p>
<w:pPr><w:pStyle w:val="Normal"/></w:pPr>
<w:r><w:t xml:space="preserve">literature as the compiler of the collection of early poems</w:t></w:r>
</w:p>
<w:p>
<w:pPr><w:pStyle w:val="Normal"/></w:pPr>
<w:r><w:t xml:space="preserve">known as the Hamasa (q.v..) Two other h collections of</w:t></w:r>
</w:p>
<w:p>
<w:pPr><w:pStyle w:val="Normal"/></w:pPr>
<w:r><w:t xml:space="preserve">a similar nature are ascribed to him.  His own poems I</w:t></w:r>
</w:p>
<w:p>
<w:pPr><w:pStyle w:val="Normal"/></w:pPr>
<w:r><w:t xml:space="preserve">have been somewhat neglected owing to the success of his</w:t></w:r>
</w:p>
<w:p>
<w:pPr><w:pStyle w:val="Normal"/></w:pPr>
<w:r><w:t xml:space="preserve">compilations, but they enjoyed great repute in his lifetime,</w:t></w:r>
</w:p>
<w:p>
<w:pPr><w:pStyle w:val="Normal"/></w:pPr>
<w:r><w:t xml:space="preserve">and were distinguished for the purity of their style, the merit</w:t></w:r>
</w:p>
<w:p>
<w:pPr><w:pStyle w:val="Normal"/></w:pPr>
<w:r><w:t xml:space="preserve">of the verse and the excellent manner of treating subjects.</w:t></w:r>
</w:p>
<w:p>
<w:pPr><w:pStyle w:val="Normal"/></w:pPr>
<w:r><w:t xml:space="preserve">His poems (Diwan) were published in Cairo (A.D. 1875).</w:t></w:r>
</w:p>
<w:p>
<w:pPr><w:pStyle w:val="Normal"/></w:pPr>
<w:r><w:t xml:space="preserve">See Life in Ibn Khallikan&apos;s Biographical Dictionary,</w:t></w:r>
</w:p>
<w:p>
<w:pPr><w:pStyle w:val="Normal"/></w:pPr>
<w:r><w:t xml:space="preserve">trans. by M`G. de Slane (Paris and London, 1842), vol. i.</w:t></w:r>
</w:p>
<w:p>
<w:pPr><w:pStyle w:val="Normal"/></w:pPr>
<w:r><w:t xml:space="preserve">pp. 348 ff.; and in the Kitab ul-Aghani (Book of Songs)</w:t></w:r>
</w:p>
<w:p>
<w:pPr><w:pStyle w:val="Normal"/></w:pPr>
<w:r><w:t xml:space="preserve">of Abulfaraj (Bulaq, 1869), vol. xv. pp. 100-108. (G.W.  T.)</w:t></w:r>
</w:p>
<w:p>
<w:pPr><w:pStyle w:val="Normal"/></w:pPr>
<w:r><w:t xml:space="preserve">ABUTILON (from the Arabic aubutilun, a name given by</w:t></w:r>
</w:p>
<w:p>
<w:pPr><w:pStyle w:val="Normal"/></w:pPr>
<w:r><w:t xml:space="preserve">Avicenna to this or an allied genus), in botany, a genus of</w:t></w:r>
</w:p>
<w:p>
<w:pPr><w:pStyle w:val="Normal"/></w:pPr>
<w:r><w:t xml:space="preserve">plants, natural order Malvaceae (Mallows), containing about</w:t></w:r>
</w:p>
<w:p>
<w:pPr><w:pStyle w:val="Normal"/></w:pPr>
<w:r><w:t xml:space="preserve">eighty species, and widely distributed in the tropics.  They</w:t></w:r>
</w:p>
<w:p>
<w:pPr><w:pStyle w:val="Normal"/></w:pPr>
<w:r><w:t xml:space="preserve">are free-growing shrubs with showy bell-shaped flowers, and</w:t></w:r>
</w:p>
<w:p>
<w:pPr><w:pStyle w:val="Normal"/></w:pPr>
<w:r><w:t xml:space="preserve">are favorite greenhouse plants.  They may be grown outside</w:t></w:r>
</w:p>
<w:p>
<w:pPr><w:pStyle w:val="Normal"/></w:pPr>
<w:r><w:t xml:space="preserve">in England during the summer months, but a few degrees of</w:t></w:r>
</w:p>
<w:p>
<w:pPr><w:pStyle w:val="Normal"/></w:pPr>
<w:r><w:t xml:space="preserve">frost is fatal to them.  They are readily propagated from</w:t></w:r>
</w:p>
<w:p>
<w:pPr><w:pStyle w:val="Normal"/></w:pPr>
<w:r><w:t xml:space="preserve">cuttings taken in the spring or at the end of the summer.  A</w:t></w:r>
</w:p>
<w:p>
<w:pPr><w:pStyle w:val="Normal"/></w:pPr>
<w:r><w:t xml:space="preserve">large number of horticultural varieties have been developed</w:t></w:r>
</w:p>
<w:p>
<w:pPr><w:pStyle w:val="Normal"/></w:pPr>
<w:r><w:t xml:space="preserve">by hybridization, some of which have a variegated foliage.</w:t></w:r>
</w:p>
<w:p>
<w:pPr><w:pStyle w:val="Normal"/></w:pPr>
<w:r><w:t xml:space="preserve">ABUTMENT, a construction in stone or brickwork designed to</w:t></w:r>
</w:p>
<w:p>
<w:pPr><w:pStyle w:val="Normal"/></w:pPr>
<w:r><w:t xml:space="preserve">receive and resist the lateral pressure of an arch, vault or</w:t></w:r>
</w:p>
<w:p>
<w:pPr><w:pStyle w:val="Normal"/></w:pPr>
<w:r><w:t xml:space="preserve">strut.  When built outside a wall it is termed a buttress.</w:t></w:r>
</w:p>
<w:p>
<w:pPr><w:pStyle w:val="Normal"/></w:pPr>
<w:r><w:t xml:space="preserve">ABU UBAIDA [Ma,mar ibn ul-Muthanna] (728-825), Arabian</w:t></w:r>
</w:p>
<w:p>
<w:pPr><w:pStyle w:val="Normal"/></w:pPr>
<w:r><w:t xml:space="preserve">scholar, was born a slave of Jewish Persian parents in Basra,</w:t></w:r>
</w:p>
<w:p>
<w:pPr><w:pStyle w:val="Normal"/></w:pPr>
<w:r><w:t xml:space="preserve">and in his youth was a pupil of Abu,Amr ibn ul-,Ala.  In</w:t></w:r>
</w:p>
<w:p>
<w:pPr><w:pStyle w:val="Normal"/></w:pPr>
<w:r><w:t xml:space="preserve">803 he was called to Bagdad by Harun al-Rashjd.  He died in</w:t></w:r>
</w:p>
<w:p>
<w:pPr><w:pStyle w:val="Normal"/></w:pPr>
<w:r><w:t xml:space="preserve">Basra.  He was one of the most learned and authoritative</w:t></w:r>
</w:p>
<w:p>
<w:pPr><w:pStyle w:val="Normal"/></w:pPr>
<w:r><w:t xml:space="preserve">scholars of his time in all matters pertaining to the Arabic</w:t></w:r>
</w:p>
<w:p>
<w:pPr><w:pStyle w:val="Normal"/></w:pPr>
<w:r><w:t xml:space="preserve">language, antiquities and stories, and is constantly cited by</w:t></w:r>
</w:p>
<w:p>
<w:pPr><w:pStyle w:val="Normal"/></w:pPr>
<w:r><w:t xml:space="preserve">later authors and compilers.  Juhiz held him to be the most</w:t></w:r>
</w:p>
<w:p>
<w:pPr><w:pStyle w:val="Normal"/></w:pPr>
<w:r><w:t xml:space="preserve">learned scholar in all branches of human knowledge, and Ibn</w:t></w:r>
</w:p>
<w:p>
<w:pPr><w:pStyle w:val="Normal"/></w:pPr>
<w:r><w:t xml:space="preserve">Hisbam accepted his interpretation even of passages in the</w:t></w:r>
</w:p>
<w:p>
<w:pPr><w:pStyle w:val="Normal"/></w:pPr>
<w:r><w:t xml:space="preserve">Koran.  The titles of 105 of his works are mentioned in the</w:t></w:r>
</w:p>
<w:p>
<w:pPr><w:pStyle w:val="Normal"/></w:pPr>
<w:r><w:t xml:space="preserve">Fihrist, and his Book of Days is the basis of parts of</w:t></w:r>
</w:p>
<w:p>
<w:pPr><w:pStyle w:val="Normal"/></w:pPr>
<w:r><w:t xml:space="preserve">the history of Ibn al-Athir and of the Book of Songs</w:t></w:r>
</w:p>
<w:p>
<w:pPr><w:pStyle w:val="Normal"/></w:pPr>
<w:r><w:t xml:space="preserve">(see ABULFARAJ), but nothing of his (except a song) seems to</w:t></w:r>
</w:p>
<w:p>
<w:pPr><w:pStyle w:val="Normal"/></w:pPr>
<w:r><w:t xml:space="preserve">exist now in an independent form.  He is often described as a</w:t></w:r>
</w:p>
<w:p>
<w:pPr><w:pStyle w:val="Normal"/></w:pPr>
<w:r><w:t xml:space="preserve">Kharijite.  This, however, is true only in so far as he</w:t></w:r>
</w:p>
<w:p>
<w:pPr><w:pStyle w:val="Normal"/></w:pPr>
<w:r><w:t xml:space="preserve">denied the privileged position of the Arab people before</w:t></w:r>
</w:p>
<w:p>
<w:pPr><w:pStyle w:val="Normal"/></w:pPr>
<w:r><w:t xml:space="preserve">God. He was, however, a strong supporter of the Shu&apos;ubite</w:t></w:r>
</w:p>
<w:p>
<w:pPr><w:pStyle w:val="Normal"/></w:pPr>
<w:r><w:t xml:space="preserve">movement, i.e. the movement which protested against the</w:t></w:r>
</w:p>
<w:p>
<w:pPr><w:pStyle w:val="Normal"/></w:pPr>
<w:r><w:t xml:space="preserve">idea of the superiority of the Arab race over all others.</w:t></w:r>
</w:p>
<w:p>
<w:pPr><w:pStyle w:val="Normal"/></w:pPr>
<w:r><w:t xml:space="preserve">This is especially seen in his satires on Arabs (which made</w:t></w:r>
</w:p>
<w:p>
<w:pPr><w:pStyle w:val="Normal"/></w:pPr>
<w:r><w:t xml:space="preserve">him so hated that no man followed his bier when he died).  He</w:t></w:r>
</w:p>
<w:p>
<w:pPr><w:pStyle w:val="Normal"/></w:pPr>
<w:r><w:t xml:space="preserve">delighted in showing that words, fables, customs, &amp;c., which</w:t></w:r>
</w:p>
<w:p>
<w:pPr><w:pStyle w:val="Normal"/></w:pPr>
<w:r><w:t xml:space="preserve">the Arabs believed to be peculiarly their own, were derived</w:t></w:r>
</w:p>
<w:p>
<w:pPr><w:pStyle w:val="Normal"/></w:pPr>
<w:r><w:t xml:space="preserve">from the Persians.  In these matters he was the great rival</w:t></w:r>
</w:p>
<w:p>
<w:pPr><w:pStyle w:val="Normal"/></w:pPr>
<w:r><w:t xml:space="preserve">of Asma&apos;i (q.v..) M`G. de Slane (Paris and London, 1842),</w:t></w:r>
</w:p>
<w:p>
<w:pPr><w:pStyle w:val="Normal"/></w:pPr>
<w:r><w:t xml:space="preserve">vol. iii. pp. 388-398; also I. Goldziher&apos;s Muhammedanische</w:t></w:r>
</w:p>
<w:p>
<w:pPr><w:pStyle w:val="Normal"/></w:pPr>
<w:r><w:t xml:space="preserve">Studien (Halle, 1888), vol. i. pp. 194-206. (G. W. T.)</w:t></w:r>
</w:p>
<w:p>
<w:pPr><w:pStyle w:val="Normal"/></w:pPr>
<w:r><w:t xml:space="preserve">ABYDOS, an ancient city of Mysia, in Asia Minor, situated at</w:t></w:r>
</w:p>
<w:p>
<w:pPr><w:pStyle w:val="Normal"/></w:pPr>
<w:r><w:t xml:space="preserve">Nagara Point on the Hellespont, which is here scarcely a mile</w:t></w:r>
</w:p>
<w:p>
<w:pPr><w:pStyle w:val="Normal"/></w:pPr>
<w:r><w:t xml:space="preserve">broad.  It probably was originally a Thracian town, but was</w:t></w:r>
</w:p>
<w:p>
<w:pPr><w:pStyle w:val="Normal"/></w:pPr>
<w:r><w:t xml:space="preserve">afterwards colonized by Milesians.  Here Xerxes crossed the</w:t></w:r>
</w:p>
<w:p>
<w:pPr><w:pStyle w:val="Normal"/></w:pPr>
<w:r><w:t xml:space="preserve">strait on his bridge of boats when he invaded Greece.  Abydos</w:t></w:r>
</w:p>
<w:p>
<w:pPr><w:pStyle w:val="Normal"/></w:pPr>
<w:r><w:t xml:space="preserve">is celebrated for the vigorous resistance it made against Philip</w:t></w:r>
</w:p>
<w:p>
<w:pPr><w:pStyle w:val="Heading1"/></w:pPr>
<w:r><w:t>V. of Macedon (200 B.C.), and is famed in story for the loves</w:t></w:r>
</w:p>
<w:p>
<w:pPr><w:pStyle w:val="Normal"/></w:pPr>
<w:r><w:t xml:space="preserve">of Hero and Leander.  The town remained till late Byzantine</w:t></w:r>
</w:p>
<w:p>
<w:pPr><w:pStyle w:val="Normal"/></w:pPr>
<w:r><w:t xml:space="preserve">times the toll station of the Hellespont, its importance being</w:t></w:r>
</w:p>
<w:p>
<w:pPr><w:pStyle w:val="Normal"/></w:pPr>
<w:r><w:t xml:space="preserve">transferred to the Dardanelles (q.v.), after the building</w:t></w:r>
</w:p>
<w:p>
<w:pPr><w:pStyle w:val="Normal"/></w:pPr>
<w:r><w:t xml:space="preserve">of the ``Old Castles&apos;&apos; by Sultan Mahommed II. (c. 1456).</w:t></w:r>
</w:p>
<w:p>
<w:pPr><w:pStyle w:val="Normal"/></w:pPr>
<w:r><w:t xml:space="preserve">See Choiseul-Gouffier, Voyage dans l&apos;empire ottoman (Paris, 1842).</w:t></w:r>
</w:p>
<w:p>
<w:pPr><w:pStyle w:val="Normal"/></w:pPr>
<w:r><w:t xml:space="preserve">ABYDOS, one of the most ancient cities of Upper Egypt,</w:t></w:r>
</w:p>
<w:p>
<w:pPr><w:pStyle w:val="Normal"/></w:pPr>
<w:r><w:t xml:space="preserve">about 7 m.  W. of the Nile in lat. 26 deg.  10&apos; N. The Egyptian</w:t></w:r>
</w:p>
<w:p>
<w:pPr><w:pStyle w:val="Normal"/></w:pPr>
<w:r><w:t xml:space="preserve">name was Abdu, ``the hill of the symbol or reliquary,&apos;&apos;</w:t></w:r>
</w:p>
<w:p>
<w:pPr><w:pStyle w:val="Normal"/></w:pPr>
<w:r><w:t xml:space="preserve">in which the sacred head of Osiris was preserved.  Thence</w:t></w:r>
</w:p>
<w:p>
<w:pPr><w:pStyle w:val="Normal"/></w:pPr>
<w:r><w:t xml:space="preserve">the Greeks named it Abydos, like the city on the Hellespont;</w:t></w:r>
</w:p>
<w:p>
<w:pPr><w:pStyle w:val="Normal"/></w:pPr>
<w:r><w:t xml:space="preserve">the modern Arabic name is Arabet el Madfuneh. The history</w:t></w:r>
</w:p>
<w:p>
<w:pPr><w:pStyle w:val="Normal"/></w:pPr>
<w:r><w:t xml:space="preserve">of the city begins in the late prehistoric age, it having</w:t></w:r>
</w:p>
<w:p>
<w:pPr><w:pStyle w:val="Normal"/></w:pPr>
<w:r><w:t xml:space="preserve">been founded by the pre-Menite kings (Petrie, Abydos,</w:t></w:r>
</w:p>
<w:p>
<w:pPr><w:pStyle w:val="Normal"/></w:pPr>
<w:r><w:t xml:space="preserve">ii. 64), whose town, temple and tombs have been found</w:t></w:r>
</w:p>
<w:p>
<w:pPr><w:pStyle w:val="Normal"/></w:pPr>
<w:r><w:t xml:space="preserve">there.  The kings of the Ist dynasty, and some of the IInd</w:t></w:r>
</w:p>
<w:p>
<w:pPr><w:pStyle w:val="Normal"/></w:pPr>
<w:r><w:t xml:space="preserve">dynasty, were also buried here, and the temple was renewed</w:t></w:r>
</w:p>
<w:p>
<w:pPr><w:pStyle w:val="Normal"/></w:pPr>
<w:r><w:t xml:space="preserve">and enlarged by them.  Great forts were built on the desert</w:t></w:r>
</w:p>
<w:p>
<w:pPr><w:pStyle w:val="Normal"/></w:pPr>
<w:r><w:t xml:space="preserve">behind the town by three kings of the IInd dynasty.  The</w:t></w:r>
</w:p>
<w:p>
<w:pPr><w:pStyle w:val="Normal"/></w:pPr>
<w:r><w:t xml:space="preserve">temple and town continued to be rebuilt at intervals down</w:t></w:r>
</w:p>
<w:p>
<w:pPr><w:pStyle w:val="Normal"/></w:pPr>
<w:r><w:t xml:space="preserve">to the times of the XXXth dynasty, and the cemetery was used</w:t></w:r>
</w:p>
<w:p>
<w:pPr><w:pStyle w:val="Normal"/></w:pPr>
<w:r><w:t xml:space="preserve">continuously.  In the XIIth dynasty a gigantic tomb was</w:t></w:r>
</w:p>
<w:p>
<w:pPr><w:pStyle w:val="Normal"/></w:pPr>
<w:r><w:t xml:space="preserve">cut in the rock by Senwosri (or Senusert) III. Seti I. in</w:t></w:r>
</w:p>
<w:p>
<w:pPr><w:pStyle w:val="Normal"/></w:pPr>
<w:r><w:t xml:space="preserve">the XIXth dynasty founded a great new temple to the south</w:t></w:r>
</w:p>
<w:p>
<w:pPr><w:pStyle w:val="Normal"/></w:pPr>
<w:r><w:t xml:space="preserve">of the town in honour of the ancestral kings of the early</w:t></w:r>
</w:p>
<w:p>
<w:pPr><w:pStyle w:val="Normal"/></w:pPr>
<w:r><w:t xml:space="preserve">dynasties; this was finished by Rameses (or Ramessu) II., who</w:t></w:r>
</w:p>
<w:p>
<w:pPr><w:pStyle w:val="Normal"/></w:pPr>
<w:r><w:t xml:space="preserve">also built a lesser temple of his own.  Mineptah (Merenptah)</w:t></w:r>
</w:p>
<w:p>
<w:pPr><w:pStyle w:val="Normal"/></w:pPr>
<w:r><w:t xml:space="preserve">added a great Hypogeum of Osiris to the temple of Seti.  The</w:t></w:r>
</w:p>
<w:p>
<w:pPr><w:pStyle w:val="Normal"/></w:pPr>
<w:r><w:t xml:space="preserve">latest building was a new temple of Nekhtnebf in the XXXth</w:t></w:r>
</w:p>
<w:p>
<w:pPr><w:pStyle w:val="Normal"/></w:pPr>
<w:r><w:t xml:space="preserve">dynasty.  From the Ptolemaic times the place continued to decay</w:t></w:r>
</w:p>
<w:p>
<w:pPr><w:pStyle w:val="Normal"/></w:pPr>
<w:r><w:t xml:space="preserve">and no later works are known (Petrie, Abydos, i. and ii.).</w:t></w:r>
</w:p>
<w:p>
<w:pPr><w:pStyle w:val="Normal"/></w:pPr>
<w:r><w:t xml:space="preserve">The worship here was of the jackal god Upuaut (Ophols,</w:t></w:r>
</w:p>
<w:p>
<w:pPr><w:pStyle w:val="Normal"/></w:pPr>
<w:r><w:t xml:space="preserve">Wepwoi), who ``opened the way&apos;&apos; to the realm of the dead,</w:t></w:r>
</w:p>
<w:p>
<w:pPr><w:pStyle w:val="Normal"/></w:pPr>
<w:r><w:t xml:space="preserve">increasing from the Ist dynasty to the time of the XIIth</w:t></w:r>
</w:p>
<w:p>
<w:pPr><w:pStyle w:val="Normal"/></w:pPr>
<w:r><w:t xml:space="preserve">dynasty and then disappearing after the XVIIIth.  Anher</w:t></w:r>
</w:p>
<w:p>
<w:pPr><w:pStyle w:val="Normal"/></w:pPr>
<w:r><w:t xml:space="preserve">appears in the XIth dynasty; and Khentamenti, the god of the</w:t></w:r>
</w:p>
<w:p>
<w:pPr><w:pStyle w:val="Normal"/></w:pPr>
<w:r><w:t xml:space="preserve">western Hades, rises to importance in the middle kingdom and</w:t></w:r>
</w:p>
<w:p>
<w:pPr><w:pStyle w:val="Normal"/></w:pPr>
<w:r><w:t xml:space="preserve">then vanishes in the XVIIIth.  The worship here of Osiris</w:t></w:r>
</w:p>
<w:p>
<w:pPr><w:pStyle w:val="Normal"/></w:pPr>
<w:r><w:t xml:space="preserve">in his various forms begins in the XIIth dynasty and becomes</w:t></w:r>
</w:p>
<w:p>
<w:pPr><w:pStyle w:val="Normal"/></w:pPr>
<w:r><w:t xml:space="preserve">more important in later times, so that at last the whole</w:t></w:r>
</w:p>
<w:p>
<w:pPr><w:pStyle w:val="Normal"/></w:pPr>
<w:r><w:t xml:space="preserve">place was considered as sacred to him (Abydos, ii. 47).</w:t></w:r>
</w:p>
<w:p>
<w:pPr><w:pStyle w:val="Normal"/></w:pPr>
<w:r><w:t xml:space="preserve">The temples successively built here on one site were nine</w:t></w:r>
</w:p>
<w:p>
<w:pPr><w:pStyle w:val="Normal"/></w:pPr>
<w:r><w:t xml:space="preserve">or ten in number, from the Ist dynasty, 5500 B.C. to the</w:t></w:r>
</w:p>
<w:p>
<w:pPr><w:pStyle w:val="Normal"/></w:pPr>
<w:r><w:t xml:space="preserve">XXVIth dynasty, 500 B.C..  The first was an enclosure,</w:t></w:r>
</w:p>
<w:p>
<w:pPr><w:pStyle w:val="Normal"/></w:pPr>
<w:r><w:t xml:space="preserve">about 30X 50 ft., surrounded by a thin wall of unbaked</w:t></w:r>
</w:p>
<w:p>
<w:pPr><w:pStyle w:val="Normal"/></w:pPr>
<w:r><w:t xml:space="preserve">bricks.  Covering one wall of this came the second temple of</w:t></w:r>
</w:p>
<w:p>
<w:pPr><w:pStyle w:val="Normal"/></w:pPr>
<w:r><w:t xml:space="preserve">about 40 ft. square in a wall about 10 ft. thick.  An outer</w:t></w:r>
</w:p>
<w:p>
<w:pPr><w:pStyle w:val="Normal"/></w:pPr>
<w:r><w:t xml:space="preserve">temenos (enclosure) wall surrounded the ground.  This outer</w:t></w:r>
</w:p>
<w:p>
<w:pPr><w:pStyle w:val="Normal"/></w:pPr>
<w:r><w:t xml:space="preserve">wall was thickened about the IInd or IIIrd dynasty.  The old</w:t></w:r>
</w:p>
<w:p>
<w:pPr><w:pStyle w:val="Normal"/></w:pPr>
<w:r><w:t xml:space="preserve">temple entirely vanished in the IVth dynasty, and a smaller</w:t></w:r>
</w:p>
<w:p>
<w:pPr><w:pStyle w:val="Normal"/></w:pPr>
<w:r><w:t xml:space="preserve">building was erected behind it, enclosing a wide hearth of black</w:t></w:r>
</w:p>
<w:p>
<w:pPr><w:pStyle w:val="Normal"/></w:pPr>
<w:r><w:t xml:space="preserve">ashes.  Pottery models of offerings are found in the ashes,</w:t></w:r>
</w:p>
<w:p>
<w:pPr><w:pStyle w:val="Normal"/></w:pPr>
<w:r><w:t xml:space="preserve">and these were probably the substitutes for sacrifices decreed</w:t></w:r>
</w:p>
<w:p>
<w:pPr><w:pStyle w:val="Normal"/></w:pPr>
<w:r><w:t xml:space="preserve">by Cheops (Khufu) in his temple reforms.  A great clearance of</w:t></w:r>
</w:p>
<w:p>
<w:pPr><w:pStyle w:val="Normal"/></w:pPr>
<w:r><w:t xml:space="preserve">temple offerings was made now, or earlier, and a chamber full</w:t></w:r>
</w:p>
<w:p>
<w:pPr><w:pStyle w:val="Normal"/></w:pPr>
<w:r><w:t xml:space="preserve">of them has yielded the fine ivory carvings and the glazed</w:t></w:r>
</w:p>
<w:p>
<w:pPr><w:pStyle w:val="Normal"/></w:pPr>
<w:r><w:t xml:space="preserve">figures and tiles which show the splendid work of the Ist</w:t></w:r>
</w:p>
<w:p>
<w:pPr><w:pStyle w:val="Normal"/></w:pPr>
<w:r><w:t xml:space="preserve">dynasty.  A vase of Menes with purple inlaid hieroglyphs</w:t></w:r>
</w:p>
<w:p>
<w:pPr><w:pStyle w:val="Normal"/></w:pPr>
<w:r><w:t xml:space="preserve">in green glaze and the tiles with relief figures are the</w:t></w:r>
</w:p>
<w:p>
<w:pPr><w:pStyle w:val="Normal"/></w:pPr>
<w:r><w:t xml:space="preserve">most important pieces.  The noble statuette of Cheops in</w:t></w:r>
</w:p>
<w:p>
<w:pPr><w:pStyle w:val="Normal"/></w:pPr>
<w:r><w:t xml:space="preserve">ivory, found in the stone chamber of the temple, gives</w:t></w:r>
</w:p>
<w:p>
<w:pPr><w:pStyle w:val="Normal"/></w:pPr>
<w:r><w:t xml:space="preserve">the only portrait of this greatest ruler.  The temple was</w:t></w:r>
</w:p>
<w:p>
<w:pPr><w:pStyle w:val="Normal"/></w:pPr>
<w:r><w:t xml:space="preserve">rebuilt entirely on a larger scale by Pepi I. in the VIth</w:t></w:r>
</w:p>
<w:p>
<w:pPr><w:pStyle w:val="Normal"/></w:pPr>
<w:r><w:t xml:space="preserve">dynasty.  He placed a great stone gateway to the temenos, an</w:t></w:r>
</w:p>
<w:p>
<w:pPr><w:pStyle w:val="Normal"/></w:pPr>
<w:r><w:t xml:space="preserve">outer temenos wall and gateway, with a colonnade between the</w:t></w:r>
</w:p>
<w:p>
<w:pPr><w:pStyle w:val="Normal"/></w:pPr>
<w:r><w:t xml:space="preserve">gates.  His temple was about 40X50 ft. inside, with stone</w:t></w:r>
</w:p>
<w:p>
<w:pPr><w:pStyle w:val="Normal"/></w:pPr>
<w:r><w:t xml:space="preserve">gateways front and back, showing that it was of the processional</w:t></w:r>
</w:p>
<w:p>
<w:pPr><w:pStyle w:val="Normal"/></w:pPr>
<w:r><w:t xml:space="preserve">type.  In the XIth dynasty Menthotp (Mentuhotep) III. added</w:t></w:r>
</w:p>
<w:p>
<w:pPr><w:pStyle w:val="Normal"/></w:pPr>
<w:r><w:t xml:space="preserve">a colonnade and altars.  Soon after, Sankhkere entirely</w:t></w:r>
</w:p>
<w:p>
<w:pPr><w:pStyle w:val="Normal"/></w:pPr>
<w:r><w:t xml:space="preserve">rebuilt the temple, laying a stone pavement over the area,</w:t></w:r>
</w:p>
<w:p>
<w:pPr><w:pStyle w:val="Normal"/></w:pPr>
<w:r><w:t xml:space="preserve">about 45 ft. square, besides subsidiary chambers.  Soon after</w:t></w:r>
</w:p>
<w:p>
<w:pPr><w:pStyle w:val="Normal"/></w:pPr>
<w:r><w:t xml:space="preserve">Senwosri (Senusert) I. in the XIIth dynasty laid massive</w:t></w:r>
</w:p>
<w:p>
<w:pPr><w:pStyle w:val="Normal"/></w:pPr>
<w:r><w:t xml:space="preserve">foundations of stone over the pavement of his predecessor.  A</w:t></w:r>
</w:p>
<w:p>
<w:pPr><w:pStyle w:val="Normal"/></w:pPr>
<w:r><w:t xml:space="preserve">great temenos was laid out enclosing a much larger area, and</w:t></w:r>
</w:p>
<w:p>
<w:pPr><w:pStyle w:val="Normal"/></w:pPr>
<w:r><w:t xml:space="preserve">the temple itself was about three times the earlier size. .</w:t></w:r>
</w:p>
<w:p>
<w:pPr><w:pStyle w:val="Normal"/></w:pPr>
<w:r><w:t xml:space="preserve">The XVIIIth dynasty began with a large chapel of Amasis</w:t></w:r>
</w:p>
<w:p>
<w:pPr><w:pStyle w:val="Normal"/></w:pPr>
<w:r><w:t xml:space="preserve">(Ahmosi, Aahmes) I., and then Tethmosis (Thothmes, Tahutmes)</w:t></w:r>
</w:p>
<w:p>
<w:pPr><w:pStyle w:val="Heading1"/></w:pPr>
<w:r><w:t>III. built a far larger temple, about 130X200 ft.  He made</w:t></w:r>
</w:p>
<w:p>
<w:pPr><w:pStyle w:val="Normal"/></w:pPr>
<w:r><w:t xml:space="preserve">also a processional way past the side of the temple to the</w:t></w:r>
</w:p>
<w:p>
<w:pPr><w:pStyle w:val="Normal"/></w:pPr>
<w:r><w:t xml:space="preserve">cemetery beyond, with a great gateway of granite.  Rameses III.</w:t></w:r>
</w:p>
<w:p>
<w:pPr><w:pStyle w:val="Normal"/></w:pPr>
<w:r><w:t xml:space="preserve">added a large building; and Amasis II. in the XXVIth dynasty</w:t></w:r>
</w:p>
<w:p>
<w:pPr><w:pStyle w:val="Normal"/></w:pPr>
<w:r><w:t xml:space="preserve">rebuilt the temple again, and placed in it a large monolith</w:t></w:r>
</w:p>
<w:p>
<w:pPr><w:pStyle w:val="Normal"/></w:pPr>
<w:r><w:t xml:space="preserve">shrine of red granite, finely wrought.  The foundations of</w:t></w:r>
</w:p>
<w:p>
<w:pPr><w:pStyle w:val="Normal"/></w:pPr>
<w:r><w:t xml:space="preserve">the successive temples were comprised within about 18 ft.</w:t></w:r>
</w:p>
<w:p>
<w:pPr><w:pStyle w:val="Normal"/></w:pPr>
<w:r><w:t xml:space="preserve">depth of ruins; these needed the closest examination to</w:t></w:r>
</w:p>
<w:p>
<w:pPr><w:pStyle w:val="Normal"/></w:pPr>
<w:r><w:t xml:space="preserve">discriminate the various buildings, and were recorded by over</w:t></w:r>
</w:p>
<w:p>
<w:pPr><w:pStyle w:val="Normal"/></w:pPr>
<w:r><w:t xml:space="preserve">4000 measurements and 1000 levellings (Petrie, Abydos, ii.).</w:t></w:r>
</w:p>
<w:p>
<w:pPr><w:pStyle w:val="Normal"/></w:pPr>
<w:r><w:t xml:space="preserve">The temple of Seti I. was built on entirely new ground</w:t></w:r>
</w:p>
<w:p>
<w:pPr><w:pStyle w:val="Normal"/></w:pPr>
<w:r><w:t xml:space="preserve">half a mile to the south of the long series of temples just</w:t></w:r>
</w:p>
<w:p>
<w:pPr><w:pStyle w:val="Normal"/></w:pPr>
<w:r><w:t xml:space="preserve">described.  This is the building best known as the Great</w:t></w:r>
</w:p>
<w:p>
<w:pPr><w:pStyle w:val="Normal"/></w:pPr>
<w:r><w:t xml:space="preserve">Temple of Abydos, being nearly complete and an impressive</w:t></w:r>
</w:p>
<w:p>
<w:pPr><w:pStyle w:val="Normal"/></w:pPr>
<w:r><w:t xml:space="preserve">sight.  A principal object of it was the adoration of the early</w:t></w:r>
</w:p>
<w:p>
<w:pPr><w:pStyle w:val="Normal"/></w:pPr>
<w:r><w:t xml:space="preserve">kings, whose cemetery, to which it forms a great funerary</w:t></w:r>
</w:p>
<w:p>
<w:pPr><w:pStyle w:val="Normal"/></w:pPr>
<w:r><w:t xml:space="preserve">chapel, lies behind it.  The long list of the kings of the</w:t></w:r>
</w:p>
<w:p>
<w:pPr><w:pStyle w:val="Normal"/></w:pPr>
<w:r><w:t xml:space="preserve">principal dynasties carved on a wall is known as the ``Table</w:t></w:r>
</w:p>
<w:p>
<w:pPr><w:pStyle w:val="Normal"/></w:pPr>
<w:r><w:t xml:space="preserve">of Abydos.&apos;&apos; There were also seven chapels for the worship of</w:t></w:r>
</w:p>
<w:p>
<w:pPr><w:pStyle w:val="Normal"/></w:pPr>
<w:r><w:t xml:space="preserve">the king and principal gods.  At the back were large chambers</w:t></w:r>
</w:p>
<w:p>
<w:pPr><w:pStyle w:val="Normal"/></w:pPr>
<w:r><w:t xml:space="preserve">connected with the Osiris worship (Caulfield, Temple of the</w:t></w:r>
</w:p>
<w:p>
<w:pPr><w:pStyle w:val="Normal"/></w:pPr>
<w:r><w:t xml:space="preserve">Kings); and probably from these led out the great Hypogeum</w:t></w:r>
</w:p>
<w:p>
<w:pPr><w:pStyle w:val="Normal"/></w:pPr>
<w:r><w:t xml:space="preserve">for the celebration of the Osiris mysteries, built by Mineptah</w:t></w:r>
</w:p>
<w:p>
<w:pPr><w:pStyle w:val="Normal"/></w:pPr>
<w:r><w:t xml:space="preserve">(Murray, Osireion.) The temple was originally 550 ft. long,</w:t></w:r>
</w:p>
<w:p>
<w:pPr><w:pStyle w:val="Normal"/></w:pPr>
<w:r><w:t xml:space="preserve">but the forecourts are scarcely recognizable, and the part in</w:t></w:r>
</w:p>
<w:p>
<w:pPr><w:pStyle w:val="Normal"/></w:pPr>
<w:r><w:t xml:space="preserve">good state is about 250 ft. long and 350 ft. wide, including</w:t></w:r>
</w:p>
<w:p>
<w:pPr><w:pStyle w:val="Normal"/></w:pPr>
<w:r><w:t xml:space="preserve">the wing at the side.  Excepting the list of kings and a</w:t></w:r>
</w:p>
<w:p>
<w:pPr><w:pStyle w:val="Normal"/></w:pPr>
<w:r><w:t xml:space="preserve">panegyric on Rameses II., the subjects are not historical but</w:t></w:r>
</w:p>
<w:p>
<w:pPr><w:pStyle w:val="Normal"/></w:pPr>
<w:r><w:t xml:space="preserve">mythological.  The work is celebrated for its delicacy and</w:t></w:r>
</w:p>
<w:p>
<w:pPr><w:pStyle w:val="Normal"/></w:pPr>
<w:r><w:t xml:space="preserve">refinement, but lacks the life and character of that in earlier</w:t></w:r>
</w:p>
<w:p>
<w:pPr><w:pStyle w:val="Normal"/></w:pPr>
<w:r><w:t xml:space="preserve">ages.  The sculptures have been mostly published in hand copy,</w:t></w:r>
</w:p>
<w:p>
<w:pPr><w:pStyle w:val="Normal"/></w:pPr>
<w:r><w:t xml:space="preserve">not facsimile, by Mariette in his Abydos, i.  The adjacent</w:t></w:r>
</w:p>
<w:p>
<w:pPr><w:pStyle w:val="Normal"/></w:pPr>
<w:r><w:t xml:space="preserve">temple of Rameses II. was much smaller and simpler in plan; but</w:t></w:r>
</w:p>
<w:p>
<w:pPr><w:pStyle w:val="Normal"/></w:pPr>
<w:r><w:t xml:space="preserve">it had a fine historical series of scenes around the outside,</w:t></w:r>
</w:p>
<w:p>
<w:pPr><w:pStyle w:val="Normal"/></w:pPr>
<w:r><w:t xml:space="preserve">of which the lower parts remain.  A list of kings, similar</w:t></w:r>
</w:p>
<w:p>
<w:pPr><w:pStyle w:val="Normal"/></w:pPr>
<w:r><w:t xml:space="preserve">to that of Seti, formerly stood here; but the fragments were</w:t></w:r>
</w:p>
<w:p>
<w:pPr><w:pStyle w:val="Normal"/></w:pPr>
<w:r><w:t xml:space="preserve">removed by the French consul and sold to the British Museum.</w:t></w:r>
</w:p>
<w:p>
<w:pPr><w:pStyle w:val="Normal"/></w:pPr>
<w:r><w:t xml:space="preserve">The Royal Tombs of the earliest dynasties were placed about</w:t></w:r>
</w:p>
<w:p>
<w:pPr><w:pStyle w:val="Normal"/></w:pPr>
<w:r><w:t xml:space="preserve">a mile back on the great desert plain.  The earliest is about</w:t></w:r>
</w:p>
<w:p>
<w:pPr><w:pStyle w:val="Normal"/></w:pPr>
<w:r><w:t xml:space="preserve">10X20ft. inside, a pit lined with brick walls, and originally</w:t></w:r>
</w:p>
<w:p>
<w:pPr><w:pStyle w:val="Normal"/></w:pPr>
<w:r><w:t xml:space="preserve">roofed with timber and matting.  Others also before Menes</w:t></w:r>
</w:p>
<w:p>
<w:pPr><w:pStyle w:val="Normal"/></w:pPr>
<w:r><w:t xml:space="preserve">are 15X25 ft.  The tomb probably of Menes is of the latter</w:t></w:r>
</w:p>
<w:p>
<w:pPr><w:pStyle w:val="Normal"/></w:pPr>
<w:r><w:t xml:space="preserve">size.  After this the tombs increase 111 size and complexity.</w:t></w:r>
</w:p>
<w:p>
<w:pPr><w:pStyle w:val="Normal"/></w:pPr>
<w:r><w:t xml:space="preserve">The tomb-pit is surrounded by chambers to hold the offerings,</w:t></w:r>
</w:p>
<w:p>
<w:pPr><w:pStyle w:val="Normal"/></w:pPr>
<w:r><w:t xml:space="preserve">the actual sepulchre being a great wooden chamber in the</w:t></w:r>
</w:p>
<w:p>
<w:pPr><w:pStyle w:val="Normal"/></w:pPr>
<w:r><w:t xml:space="preserve">midst of the brick-lined pit.  Rows of small tomb-pits for the</w:t></w:r>
</w:p>
<w:p>
<w:pPr><w:pStyle w:val="Normal"/></w:pPr>
<w:r><w:t xml:space="preserve">servants of the king surround the royal chamber, many dozens</w:t></w:r>
</w:p>
<w:p>
<w:pPr><w:pStyle w:val="Normal"/></w:pPr>
<w:r><w:t xml:space="preserve">of such burials being usual.  By the end of the IInd dynasty</w:t></w:r>
</w:p>
<w:p>
<w:pPr><w:pStyle w:val="Normal"/></w:pPr>
<w:r><w:t xml:space="preserve">the type changed to a long passage bordered with chambers</w:t></w:r>
</w:p>
<w:p>
<w:pPr><w:pStyle w:val="Normal"/></w:pPr>
<w:r><w:t xml:space="preserve">on either hand, the royal burial heing in the middle of the</w:t></w:r>
</w:p>
<w:p>
<w:pPr><w:pStyle w:val="Normal"/></w:pPr>
<w:r><w:t xml:space="preserve">length.  The greatest of these tombs with its dependencies</w:t></w:r>
</w:p>
<w:p>
<w:pPr><w:pStyle w:val="Normal"/></w:pPr>
<w:r><w:t xml:space="preserve">covered a space of over 3000 square yards.  The contents of</w:t></w:r>
</w:p>
<w:p>
<w:pPr><w:pStyle w:val="Normal"/></w:pPr>
<w:r><w:t xml:space="preserve">the tombs have been nearly destroyed by successive plunderers;</w:t></w:r>
</w:p>
<w:p>
<w:pPr><w:pStyle w:val="Normal"/></w:pPr>
<w:r><w:t xml:space="preserve">enough remained to show that rich jewellery was placed on the</w:t></w:r>
</w:p>
<w:p>
<w:pPr><w:pStyle w:val="Normal"/></w:pPr>
<w:r><w:t xml:space="preserve">mummies, a profusion of vases of hard and valuable stones</w:t></w:r>
</w:p>
<w:p>
<w:pPr><w:pStyle w:val="Normal"/></w:pPr>
<w:r><w:t xml:space="preserve">from the royal table service stood about the body, the</w:t></w:r>
</w:p>
<w:p>
<w:pPr><w:pStyle w:val="Normal"/></w:pPr>
<w:r><w:t xml:space="preserve">store-rooms were filled with great jars of wine, perfumed</w:t></w:r>
</w:p>
<w:p>
<w:pPr><w:pStyle w:val="Normal"/></w:pPr>
<w:r><w:t xml:space="preserve">ointment and other supplies, and tablets of ivory and of</w:t></w:r>
</w:p>
<w:p>
<w:pPr><w:pStyle w:val="Normal"/></w:pPr>
<w:r><w:t xml:space="preserve">ebony were engraved with a record of the yearly annals of the</w:t></w:r>
</w:p>
<w:p>
<w:pPr><w:pStyle w:val="Normal"/></w:pPr>
<w:r><w:t xml:space="preserve">reigns.  The sealings of the various officials, of which</w:t></w:r>
</w:p>
<w:p>
<w:pPr><w:pStyle w:val="Normal"/></w:pPr>
<w:r><w:t xml:space="preserve">over 200 varieties have been found, give an insight into</w:t></w:r>
</w:p>
<w:p>
<w:pPr><w:pStyle w:val="Normal"/></w:pPr>
<w:r><w:t xml:space="preserve">the public arrangements (Petrie, Royal Tombs, i. and ii.).</w:t></w:r>
</w:p>
<w:p>
<w:pPr><w:pStyle w:val="Normal"/></w:pPr>
<w:r><w:t xml:space="preserve">The cemetery of private persons begins in the Ist dynasty with</w:t></w:r>
</w:p>
<w:p>
<w:pPr><w:pStyle w:val="Normal"/></w:pPr>
<w:r><w:t xml:space="preserve">some pit tombs in the town.  It was extensive in the XIIth</w:t></w:r>
</w:p>
<w:p>
<w:pPr><w:pStyle w:val="Normal"/></w:pPr>
<w:r><w:t xml:space="preserve">and XIIIth dynasties and contained many rich tombs.  In the</w:t></w:r>
</w:p>
<w:p>
<w:pPr><w:pStyle w:val="Normal"/></w:pPr>
<w:r><w:t xml:space="preserve">XVIIIth-XXth dynasties a large number of fine tombs were made,</w:t></w:r>
</w:p>
<w:p>
<w:pPr><w:pStyle w:val="Normal"/></w:pPr>
<w:r><w:t xml:space="preserve">and later ages continued to bury here till Roman times.  Many</w:t></w:r>
</w:p>
<w:p>
<w:pPr><w:pStyle w:val="Normal"/></w:pPr>
<w:r><w:t xml:space="preserve">hundred funeral steles were removed by Mariette&apos;s workmen,</w:t></w:r>
</w:p>
<w:p>
<w:pPr><w:pStyle w:val="Normal"/></w:pPr>
<w:r><w:t xml:space="preserve">without any record of the burials (Mariette, Abydos, ii. and</w:t></w:r>
</w:p>
<w:p>
<w:pPr><w:pStyle w:val="Normal"/></w:pPr>
<w:r><w:t xml:space="preserve">iii.).  Later excavations have been recorded by Ayrton, Abydos,</w:t></w:r>
</w:p>
<w:p>
<w:pPr><w:pStyle w:val="Normal"/></w:pPr>
<w:r><w:t xml:space="preserve">iii.; Maclver, El Amrah and Abydos; and Garstang, El Arabah.</w:t></w:r>
</w:p>
<w:p>
<w:pPr><w:pStyle w:val="Normal"/></w:pPr>
<w:r><w:t xml:space="preserve">The forts lay behind the town.  That known as Shunet ez</w:t></w:r>
</w:p>
<w:p>
<w:pPr><w:pStyle w:val="Normal"/></w:pPr>
<w:r><w:t xml:space="preserve">Zebib is about 450X250 ft. over all, and still stands 30 ft.</w:t></w:r>
</w:p>
<w:p>
<w:pPr><w:pStyle w:val="Normal"/></w:pPr>
<w:r><w:t xml:space="preserve">high.  It was built by Rhasekhemui, the last king of the IInd</w:t></w:r>
</w:p>
<w:p>
<w:pPr><w:pStyle w:val="Normal"/></w:pPr>
<w:r><w:t xml:space="preserve">dynasty.  Another fort nearly as large adjoined it, and</w:t></w:r>
</w:p>
<w:p>
<w:pPr><w:pStyle w:val="Normal"/></w:pPr>
<w:r><w:t xml:space="preserve">is probably rather older.  A third fort of a squarer form</w:t></w:r>
</w:p>
<w:p>
<w:pPr><w:pStyle w:val="Normal"/></w:pPr>
<w:r><w:t xml:space="preserve">is now occupied by the Coptic convent; its age cannot</w:t></w:r>
</w:p>
<w:p>
<w:pPr><w:pStyle w:val="Normal"/></w:pPr>
<w:r><w:t xml:space="preserve">be ascertained (Ayrton, Abydos, iii.). (W. M. F. P.)</w:t></w:r>
</w:p>
<w:p>
<w:pPr><w:pStyle w:val="Normal"/></w:pPr>
<w:r><w:t xml:space="preserve">ABYSS (Gr. a-, privative, bussos, bottom), a bottomless</w:t></w:r>
</w:p>
<w:p>
<w:pPr><w:pStyle w:val="Normal"/></w:pPr>
<w:r><w:t xml:space="preserve">depth; hence any deep place.  From the late popular abyssimus</w:t></w:r>
</w:p>
<w:p>
<w:pPr><w:pStyle w:val="Normal"/></w:pPr>
<w:r><w:t xml:space="preserve">(superlative of Lon Latin abyssus) through the French abisme</w:t></w:r>
</w:p>
<w:p>
<w:pPr><w:pStyle w:val="Normal"/></w:pPr>
<w:r><w:t xml:space="preserve">(i.e. abime) is derived the poetic form abysm, pronounced</w:t></w:r>
</w:p>
<w:p>
<w:pPr><w:pStyle w:val="Normal"/></w:pPr>
<w:r><w:t xml:space="preserve">as late as 1616 to rhyme with time. The adjective ``abyssal&apos;&apos;</w:t></w:r>
</w:p>
<w:p>
<w:pPr><w:pStyle w:val="Normal"/></w:pPr>
<w:r><w:t xml:space="preserve">or ``abysmal&apos;&apos; has been used by zoologists to describe deep</w:t></w:r>
</w:p>
<w:p>
<w:pPr><w:pStyle w:val="Normal"/></w:pPr>
<w:r><w:t xml:space="preserve">regions of the sea; hence abysmal zone, abysmal flora and</w:t></w:r>
</w:p>
<w:p>
<w:pPr><w:pStyle w:val="Normal"/></w:pPr>
<w:r><w:t xml:space="preserve">fauna, abysmal accumulations, the deposit on the abysmal</w:t></w:r>
</w:p>
<w:p>
<w:pPr><w:pStyle w:val="Normal"/></w:pPr>
<w:r><w:t xml:space="preserve">bed of the ocean.  In heraldry, the abyss is the middle of an</w:t></w:r>
</w:p>
<w:p>
<w:pPr><w:pStyle w:val="Normal"/></w:pPr>
<w:r><w:t xml:space="preserve">escutcheon.  In the Greek version of the Old Testament the</w:t></w:r>
</w:p>
<w:p>
<w:pPr><w:pStyle w:val="Normal"/></w:pPr>
<w:r><w:t xml:space="preserve">word represents (1) the,-original chaos (Gen. i. 2), (2)</w:t></w:r>
</w:p>
<w:p>
<w:pPr><w:pStyle w:val="Normal"/></w:pPr>
<w:r><w:t xml:space="preserve">the Hebrew tehom (``a surging water-deep&apos;&apos;), which is used</w:t></w:r>
</w:p>
<w:p>
<w:pPr><w:pStyle w:val="Normal"/></w:pPr>
<w:r><w:t xml:space="preserve">also in apocalyptic and kabbalistic literature and in the New</w:t></w:r>
</w:p>
<w:p>
<w:pPr><w:pStyle w:val="Normal"/></w:pPr>
<w:r><w:t xml:space="preserve">Testament for hell; the place of punishment (cf. Eurip. Phoen.</w:t></w:r>
</w:p>
<w:p>
<w:pPr><w:pStyle w:val="Normal"/></w:pPr>
<w:r><w:t xml:space="preserve">for the ``yawning chasm of Tartarus&apos;&apos;); in the Revised (not</w:t></w:r>
</w:p>
<w:p>
<w:pPr><w:pStyle w:val="Normal"/></w:pPr>
<w:r><w:t xml:space="preserve">the Authorized) version abyss is generally used for this</w:t></w:r>
</w:p>
<w:p>
<w:pPr><w:pStyle w:val="Normal"/></w:pPr>
<w:r><w:t xml:space="preserve">idea.  Primarily in the Septuagint cosmography the word is</w:t></w:r>
</w:p>
<w:p>
<w:pPr><w:pStyle w:val="Normal"/></w:pPr>
<w:r><w:t xml:space="preserve">applied (a) to the waters under the earth which originally</w:t></w:r>
</w:p>
<w:p>
<w:pPr><w:pStyle w:val="Normal"/></w:pPr>
<w:r><w:t xml:space="preserve">covered it, and from which the springs and rivers are supplied,</w:t></w:r>
</w:p>
<w:p>
<w:pPr><w:pStyle w:val="Normal"/></w:pPr>
<w:r><w:t xml:space="preserve">(b) to the waters of the firmament which were regarded as</w:t></w:r>
</w:p>
<w:p>
<w:pPr><w:pStyle w:val="Normal"/></w:pPr>
<w:r><w:t xml:space="preserve">closely connected with those below.  Derivatively, from the</w:t></w:r>
</w:p>
<w:p>
<w:pPr><w:pStyle w:val="Normal"/></w:pPr>
<w:r><w:t xml:space="preserve">general idea of depth, it acquired the meaning of the place</w:t></w:r>
</w:p>
<w:p>
<w:pPr><w:pStyle w:val="Normal"/></w:pPr>
<w:r><w:t xml:space="preserve">of the dead, though apparently never quite the same as Sheol.</w:t></w:r>
</w:p>
<w:p>
<w:pPr><w:pStyle w:val="Normal"/></w:pPr>
<w:r><w:t xml:space="preserve">In Revelation it is the prison of evil spirits whence they</w:t></w:r>
</w:p>
<w:p>
<w:pPr><w:pStyle w:val="Normal"/></w:pPr>
<w:r><w:t xml:space="preserve">may occasionally be let loose, and where Satan is doomed to</w:t></w:r>
</w:p>
<w:p>
<w:pPr><w:pStyle w:val="Normal"/></w:pPr>
<w:r><w:t xml:space="preserve">spend 1000 years.  Beneath the altar in the temple of Jerusalem</w:t></w:r>
</w:p>
<w:p>
<w:pPr><w:pStyle w:val="Normal"/></w:pPr>
<w:r><w:t xml:space="preserve">there was believed to be a passage which led down to the abyss</w:t></w:r>
</w:p>
<w:p>
<w:pPr><w:pStyle w:val="Normal"/></w:pPr>
<w:r><w:t xml:space="preserve">of the world, where the foundation-stone of the earth was</w:t></w:r>
</w:p>
<w:p>
<w:pPr><w:pStyle w:val="Normal"/></w:pPr>
<w:r><w:t xml:space="preserve">laid.  In rabbinical cosmography the abyss is a region of</w:t></w:r>
</w:p>
<w:p>
<w:pPr><w:pStyle w:val="Normal"/></w:pPr>
<w:r><w:t xml:space="preserve">Gehenna situated below the ocean bed and divided into three or</w:t></w:r>
</w:p>
<w:p>
<w:pPr><w:pStyle w:val="Normal"/></w:pPr>
<w:r><w:t xml:space="preserve">seven parts imposed one above the other.  In the Kabbalah the</w:t></w:r>
</w:p>
<w:p>
<w:pPr><w:pStyle w:val="Normal"/></w:pPr>
<w:r><w:t xml:space="preserve">abyss as the opening into the lower world is the abode of evil</w:t></w:r>
</w:p>
<w:p>
<w:pPr><w:pStyle w:val="Normal"/></w:pPr>
<w:r><w:t xml:space="preserve">spirits, and corresponds to the opening of the abyss to the</w:t></w:r>
</w:p>
<w:p>
<w:pPr><w:pStyle w:val="Normal"/></w:pPr>
<w:r><w:t xml:space="preserve">world above.  In general the abyss is regarded vaguely as a</w:t></w:r>
</w:p>
<w:p>
<w:pPr><w:pStyle w:val="Normal"/></w:pPr>
<w:r><w:t xml:space="preserve">place of indefinite extent, the abode of mystery and sorrow.</w:t></w:r>
</w:p>
<w:p>
<w:pPr><w:pStyle w:val="Normal"/></w:pPr>
<w:r><w:t xml:space="preserve">See G. Schiaparelli, Astronomy in tha Old</w:t></w:r>
</w:p>
<w:p>
<w:pPr><w:pStyle w:val="Normal"/></w:pPr>
<w:r><w:t xml:space="preserve">Testament (Eng. trans., Oxford, 1905).</w:t></w:r>
</w:p>
<w:p>
<w:pPr><w:pStyle w:val="Normal"/></w:pPr>
<w:r><w:t xml:space="preserve">ABYSSINIA (officially ETHIOPIA), an inland country and</w:t></w:r>
</w:p>
<w:p>
<w:pPr><w:pStyle w:val="Normal"/></w:pPr>
<w:r><w:t xml:space="preserve">empire of N.E. Africa lying, chiefly, between 5 deg.  and 15 deg.  N.</w:t></w:r>
</w:p>
<w:p>
<w:pPr><w:pStyle w:val="Normal"/></w:pPr>
<w:r><w:t xml:space="preserve">and 35 deg.  and 42 deg.  E. It is bounded N. by Eritrea (Italian).</w:t></w:r>
</w:p>
<w:p>
<w:pPr><w:pStyle w:val="Normal"/></w:pPr>
<w:r><w:t xml:space="preserve">W. by the Anglo-Egyptian Sudan, S. by British East Africa,</w:t></w:r>
</w:p>
<w:p>
<w:pPr><w:pStyle w:val="Normal"/></w:pPr>
<w:r><w:t xml:space="preserve">S.E. and E. by&apos; the British.  Ita!ian and French possessions</w:t></w:r>
</w:p>
<w:p>
<w:pPr><w:pStyle w:val="Normal"/></w:pPr>
<w:r><w:t xml:space="preserve">in Somaliland and on the Red Sea. The coast lands held by</w:t></w:r>
</w:p>
<w:p>
<w:pPr><w:pStyle w:val="Normal"/></w:pPr>
<w:r><w:t xml:space="preserve">European powers, which cut off Abyssinia from access to the</w:t></w:r>
</w:p>
<w:p>
<w:pPr><w:pStyle w:val="Normal"/></w:pPr>
<w:r><w:t xml:space="preserve">sea, vary in width from 40 to 250 miles.  The country approaches</w:t></w:r>
</w:p>
<w:p>
<w:pPr><w:pStyle w:val="Normal"/></w:pPr>
<w:r><w:t xml:space="preserve">nearest to the ocean on its N.E. border, where the frontier is</w:t></w:r>
</w:p>
<w:p>
<w:pPr><w:pStyle w:val="Normal"/></w:pPr>
<w:r><w:t xml:space="preserve">drawn about 40 m. from the coast of the Red Sea. Abyssinia is</w:t></w:r>
</w:p>
<w:p>
<w:pPr><w:pStyle w:val="Normal"/></w:pPr>
<w:r><w:t xml:space="preserve">narrowest in the north, being here 230 n1. across from east to</w:t></w:r>
</w:p>
<w:p>
<w:pPr><w:pStyle w:val="Normal"/></w:pPr>
<w:r><w:t xml:space="preserve">west.  It broadens out southward to a width of 900 m. along</w:t></w:r>
</w:p>
<w:p>
<w:pPr><w:pStyle w:val="Normal"/></w:pPr>
<w:r><w:t xml:space="preserve">the line of 9 deg.  N., and resembles in shape a triangle with</w:t></w:r>
</w:p>
<w:p>
<w:pPr><w:pStyle w:val="Normal"/></w:pPr>
<w:r><w:t xml:space="preserve">its apex to the north.  It is divided into Abyssinia proper</w:t></w:r>
</w:p>
<w:p>
<w:pPr><w:pStyle w:val="Normal"/></w:pPr>
<w:r><w:t xml:space="preserve">(i.e. Tigre, Amhara, Gojam, &amp;c.), Shoa, Kaffa and Galla</w:t></w:r>
</w:p>
<w:p>
<w:pPr><w:pStyle w:val="Normal"/></w:pPr>
<w:r><w:t xml:space="preserve">land----all these form a geographical unit---and central</w:t></w:r>
</w:p>
<w:p>
<w:pPr><w:pStyle w:val="Normal"/></w:pPr>
<w:r><w:t xml:space="preserve">Somaliland with Harrar.  To the S.W. Abyssinia also includes</w:t></w:r>
</w:p>
<w:p>
<w:pPr><w:pStyle w:val="Heading1"/></w:pPr>
<w:r><w:t>part of the low country of the Sobat tributary of the</w:t></w:r>
</w:p>
<w:p>
<w:pPr><w:pStyle w:val="Normal"/></w:pPr>
<w:r><w:t xml:space="preserve">Nile.  The area of the whole state is about 350,000 sq.</w:t></w:r>
</w:p>
<w:p>
<w:pPr><w:pStyle w:val="Normal"/></w:pPr>
<w:r><w:t xml:space="preserve">m., of which Abyssinian Somaliland covers fully a third.</w:t></w:r>
</w:p>
<w:p>
<w:pPr><w:pStyle w:val="Normal"/></w:pPr>
<w:r><w:t xml:space="preserve">(1) Physical Features.-- Between the valley of the Upper Nile</w:t></w:r>
</w:p>
<w:p>
<w:pPr><w:pStyle w:val="Normal"/></w:pPr>
<w:r><w:t xml:space="preserve">and the low lands which skirt the south-western shores of the</w:t></w:r>
</w:p>
<w:p>
<w:pPr><w:pStyle w:val="Normal"/></w:pPr>
<w:r><w:t xml:space="preserve">Red Sea and the Gulf of Aden is a region of elevated plateaus</w:t></w:r>
</w:p>
<w:p>
<w:pPr><w:pStyle w:val="Normal"/></w:pPr>
<w:r><w:t xml:space="preserve">from which rise various mountain ranges.  These tablelands</w:t></w:r>
</w:p>
<w:p>
<w:pPr><w:pStyle w:val="Normal"/></w:pPr>
<w:r><w:t xml:space="preserve">and mountains constitute Abyssinia, Shoa, Kaffa and Galla</w:t></w:r>
</w:p>
<w:p>
<w:pPr><w:pStyle w:val="Normal"/></w:pPr>
<w:r><w:t xml:space="preserve">land.  On nearly every side the walls of the plateaus rise</w:t></w:r>
</w:p>
<w:p>
<w:pPr><w:pStyle w:val="Normal"/></w:pPr>
<w:r><w:t xml:space="preserve">with considerable abruptness from the plains, constituting</w:t></w:r>
</w:p>
<w:p>
<w:pPr><w:pStyle w:val="Normal"/></w:pPr>
<w:r><w:t xml:space="preserve">outer mountain chains.  The Abyssinian highlands are thus</w:t></w:r>
</w:p>
<w:p>
<w:pPr><w:pStyle w:val="Normal"/></w:pPr>
<w:r><w:t xml:space="preserve">a clearly marked orographic division.  From Ras Kasar (18 deg.</w:t></w:r>
</w:p>
<w:p>
<w:pPr><w:pStyle w:val="Normal"/></w:pPr>
<w:r><w:t xml:space="preserve">N.) to Annesley Bay (15 deg.  N.) the eastern wall of the plateau</w:t></w:r>
</w:p>
<w:p>
<w:pPr><w:pStyle w:val="Normal"/></w:pPr>
<w:r><w:t xml:space="preserve">runs parallel to the Red Sea. It then turns due S. and follows</w:t></w:r>
</w:p>
<w:p>
<w:pPr><w:pStyle w:val="Normal"/></w:pPr>
<w:r><w:t xml:space="preserve">closely the line of 40 deg.  E. for some 400 m.  About 9 deg.  N. there</w:t></w:r>
</w:p>
<w:p>
<w:pPr><w:pStyle w:val="Normal"/></w:pPr>
<w:r><w:t xml:space="preserve">is a break in the wall, through which the river.  Hawash flows</w:t></w:r>
</w:p>
<w:p>
<w:pPr><w:pStyle w:val="Normal"/></w:pPr>
<w:r><w:t xml:space="preserve">eastward.  The main range at this point trends S.W., while</w:t></w:r>
</w:p>
<w:p>
<w:pPr><w:pStyle w:val="Normal"/></w:pPr>
<w:r><w:t xml:space="preserve">south of the Hawash valley, which is some 3000 ft. below the</w:t></w:r>
</w:p>
<w:p>
<w:pPr><w:pStyle w:val="Normal"/></w:pPr>
<w:r><w:t xml:space="preserve">level of the mountains, another massif rises in a direct line</w:t></w:r>
</w:p>
<w:p>
<w:pPr><w:pStyle w:val="Normal"/></w:pPr>
<w:r><w:t xml:space="preserve">south.  This second range sends a chain (the Harrar hills)</w:t></w:r>
</w:p>
<w:p>
<w:pPr><w:pStyle w:val="Normal"/></w:pPr>
<w:r><w:t xml:space="preserve">eastward to the Gulf of Aden.  The two chief eastern ranges</w:t></w:r>
</w:p>
<w:p>
<w:pPr><w:pStyle w:val="Normal"/></w:pPr>
<w:r><w:t xml:space="preserve">maintain a parallel course S. by W., with a broad upland</w:t></w:r>
</w:p>
<w:p>
<w:pPr><w:pStyle w:val="Normal"/></w:pPr>
<w:r><w:t xml:space="preserve">valley between---in which valley are a series of lakes---to</w:t></w:r>
</w:p>
<w:p>
<w:pPr><w:pStyle w:val="Normal"/></w:pPr>
<w:r><w:t xml:space="preserve">about 3 deg.  N., the outer (eastern) spurs of the plateau still</w:t></w:r>
</w:p>
<w:p>
<w:pPr><w:pStyle w:val="Normal"/></w:pPr>
<w:r><w:t xml:space="preserve">keeping along the line of 40 deg.  E. The southern escarpment of</w:t></w:r>
</w:p>
<w:p>
<w:pPr><w:pStyle w:val="Normal"/></w:pPr>
<w:r><w:t xml:space="preserve">the plateau is highly irregular, but has a general direction</w:t></w:r>
</w:p>
<w:p>
<w:pPr><w:pStyle w:val="Normal"/></w:pPr>
<w:r><w:t xml:space="preserve">N.W. and S.E. from 6 deg.  N. to 3 deg.  N. It overlooks the depression</w:t></w:r>
</w:p>
<w:p>
<w:pPr><w:pStyle w:val="Normal"/></w:pPr>
<w:r><w:t xml:space="preserve">in which is Lake Rudolf and---east of that lake--southern</w:t></w:r>
</w:p>
<w:p>
<w:pPr><w:pStyle w:val="Normal"/></w:pPr>
<w:r><w:t xml:space="preserve">Somaliland.  The western wall of the plateau from 6 deg.  N.</w:t></w:r>
</w:p>
<w:p>
<w:pPr><w:pStyle w:val="Normal"/></w:pPr>
<w:r><w:t xml:space="preserve">to 11 deg.  N. is well marked and precipitous.  North of 11 deg.</w:t></w:r>
</w:p>
<w:p>
<w:pPr><w:pStyle w:val="Normal"/></w:pPr>
<w:r><w:t xml:space="preserve">N. the hills turn more to the east and fall more gradually</w:t></w:r>
</w:p>
<w:p>
<w:pPr><w:pStyle w:val="Normal"/></w:pPr>
<w:r><w:t xml:space="preserve">to the plains at their base.  On its northern face also</w:t></w:r>
</w:p>
<w:p>
<w:pPr><w:pStyle w:val="Normal"/></w:pPr>
<w:r><w:t xml:space="preserve">the plateau falls in terraces to the level of the eastern</w:t></w:r>
</w:p>
<w:p>
<w:pPr><w:pStyle w:val="Normal"/></w:pPr>
<w:r><w:t xml:space="preserve">Sudan.  The eastern escarpment is the best defined of these</w:t></w:r>
</w:p>
<w:p>
<w:pPr><w:pStyle w:val="Normal"/></w:pPr>
<w:r><w:t xml:space="preserve">outer ranges.  It has a mean height of from 7000 to 8000</w:t></w:r>
</w:p>
<w:p>
<w:pPr><w:pStyle w:val="Normal"/></w:pPr>
<w:r><w:t xml:space="preserve">ft., and in many places rises almost perpendicularly from the</w:t></w:r>
</w:p>
<w:p>
<w:pPr><w:pStyle w:val="Normal"/></w:pPr>
<w:r><w:t xml:space="preserve">plain.  Narrow and deep clefts, through which descend mountain</w:t></w:r>
</w:p>
<w:p>
<w:pPr><w:pStyle w:val="Normal"/></w:pPr>
<w:r><w:t xml:space="preserve">torrents to lose themselves in the sandy soil of the coast</w:t></w:r>
</w:p>
<w:p>
<w:pPr><w:pStyle w:val="Normal"/></w:pPr>
<w:r><w:t xml:space="preserve">land, afford means of reaching the plateau, or the easier</w:t></w:r>
</w:p>
<w:p>
<w:pPr><w:pStyle w:val="Normal"/></w:pPr>
<w:r><w:t xml:space="preserve">route through the Hawash valley may be chosen.  On surmounting</w:t></w:r>
</w:p>
<w:p>
<w:pPr><w:pStyle w:val="Normal"/></w:pPr>
<w:r><w:t xml:space="preserve">this rocky barrier the traveller finds that the encircling</w:t></w:r>
</w:p>
<w:p>
<w:pPr><w:pStyle w:val="Normal"/></w:pPr>
<w:r><w:t xml:space="preserve">rampart rises little above the normal level of the plateau.</w:t></w:r>
</w:p>
<w:p>
<w:pPr><w:pStyle w:val="Normal"/></w:pPr>
<w:r><w:t xml:space="preserve">(2) The aspect of the highlands is most impressive.  The</w:t></w:r>
</w:p>
<w:p>
<w:pPr><w:pStyle w:val="Normal"/></w:pPr>
<w:r><w:t xml:space="preserve">northern portion, lying mainly between 10 deg.  and 15 deg.  N.,</w:t></w:r>
</w:p>
<w:p>
<w:pPr><w:pStyle w:val="Normal"/></w:pPr>
<w:r><w:t xml:space="preserve">consists of a huge mass of Archaean rocks with a mean height</w:t></w:r>
</w:p>
<w:p>
<w:pPr><w:pStyle w:val="Normal"/></w:pPr>
<w:r><w:t xml:space="preserve">of from 7000 to 7500 ft. above the sea, and is fl00ded in a</w:t></w:r>
</w:p>
<w:p>
<w:pPr><w:pStyle w:val="Normal"/></w:pPr>
<w:r><w:t xml:space="preserve">deep central depression by the waters of Lake Tsana.  Above</w:t></w:r>
</w:p>
<w:p>
<w:pPr><w:pStyle w:val="Normal"/></w:pPr>
<w:r><w:t xml:space="preserve">the plateau rise several irregular and generally ill-defined</w:t></w:r>
</w:p>
<w:p>
<w:pPr><w:pStyle w:val="Normal"/></w:pPr>
<w:r><w:t xml:space="preserve">mountain ranges which attain altitudes of from 12,000 to over</w:t></w:r>
</w:p>
<w:p>
<w:pPr><w:pStyle w:val="Normal"/></w:pPr>
<w:r><w:t xml:space="preserve">15,000 ft.  Many of the mountains are of weird and fantastic</w:t></w:r>
</w:p>
<w:p>
<w:pPr><w:pStyle w:val="Normal"/></w:pPr>
<w:r><w:t xml:space="preserve">shape.  Characteristic of the country are the enormous</w:t></w:r>
</w:p>
<w:p>
<w:pPr><w:pStyle w:val="Normal"/></w:pPr>
<w:r><w:t xml:space="preserve">fissures which divide it, formed in the course of ages by</w:t></w:r>
</w:p>
<w:p>
<w:pPr><w:pStyle w:val="Normal"/></w:pPr>
<w:r><w:t xml:space="preserve">the erosive action of water.  They are in fact the valleys</w:t></w:r>
</w:p>
<w:p>
<w:pPr><w:pStyle w:val="Normal"/></w:pPr>
<w:r><w:t xml:space="preserve">of the rivers which, rising on the uplands or mountain</w:t></w:r>
</w:p>
<w:p>
<w:pPr><w:pStyle w:val="Normal"/></w:pPr>
<w:r><w:t xml:space="preserve">sides, have cut their way to the surrounding lowlands.  Some</w:t></w:r>
</w:p>
<w:p>
<w:pPr><w:pStyle w:val="Normal"/></w:pPr>
<w:r><w:t xml:space="preserve">of the valleys are of considerable width; in other cases the</w:t></w:r>
</w:p>
<w:p>
<w:pPr><w:pStyle w:val="Normal"/></w:pPr>
<w:r><w:t xml:space="preserve">opposite walls of the gorges are but two or three hundred</w:t></w:r>
</w:p>
<w:p>
<w:pPr><w:pStyle w:val="Normal"/></w:pPr>
<w:r><w:t xml:space="preserve">yards apart, and fall almost vertically thousands of feet,</w:t></w:r>
</w:p>
<w:p>
<w:pPr><w:pStyle w:val="Normal"/></w:pPr>
<w:r><w:t xml:space="preserve">representing an erosion of hard rock of many millions of cubic</w:t></w:r>
</w:p>
<w:p>
<w:pPr><w:pStyle w:val="Normal"/></w:pPr>
<w:r><w:t xml:space="preserve">feet.  One result of the action of the water has been the</w:t></w:r>
</w:p>
<w:p>
<w:pPr><w:pStyle w:val="Normal"/></w:pPr>
<w:r><w:t xml:space="preserve">formation of numerous isolated flat-topped hills or small</w:t></w:r>
</w:p>
<w:p>
<w:pPr><w:pStyle w:val="Normal"/></w:pPr>
<w:r><w:t xml:space="preserve">plateaus, known as ambas, with nearly perpendicular sides.</w:t></w:r>
</w:p>
<w:p>
<w:pPr><w:pStyle w:val="Normal"/></w:pPr>
<w:r><w:t xml:space="preserve">The highest peaks are found in the Simen (or Semien) and Gojam</w:t></w:r>
</w:p>
<w:p>
<w:pPr><w:pStyle w:val="Normal"/></w:pPr>
<w:r><w:t xml:space="preserve">ranges.  The Simen Mountains he N.E. of Lake Tsana and</w:t></w:r>
</w:p>
<w:p>
<w:pPr><w:pStyle w:val="Normal"/></w:pPr>
<w:r><w:t xml:space="preserve">culminate in the snow-covered peak of Daschan (Dajan), which</w:t></w:r>
</w:p>
<w:p>
<w:pPr><w:pStyle w:val="Normal"/></w:pPr>
<w:r><w:t xml:space="preserve">has an altitude of 15,160 ft.  A few miles east and north</w:t></w:r>
</w:p>
<w:p>
<w:pPr><w:pStyle w:val="Normal"/></w:pPr>
<w:r><w:t xml:space="preserve">respectively of Dajan are Mounts Biuat and Abba Jared, whose</w:t></w:r>
</w:p>
<w:p>
<w:pPr><w:pStyle w:val="Normal"/></w:pPr>
<w:r><w:t xml:space="preserve">summits are a few feet only below that of Dajan.  In the Chok</w:t></w:r>
</w:p>
<w:p>
<w:pPr><w:pStyle w:val="Normal"/></w:pPr>
<w:r><w:t xml:space="preserve">Mountains in Gojam Agsias Fatra attains a height of 13,600 ft.</w:t></w:r>
</w:p>
<w:p>
<w:pPr><w:pStyle w:val="Normal"/></w:pPr>
<w:r><w:t xml:space="preserve">Parallel with the eastern escarpment are the heights of Baila</w:t></w:r>
</w:p>
<w:p>
<w:pPr><w:pStyle w:val="Normal"/></w:pPr>
<w:r><w:t xml:space="preserve">(12,500 ft.), Abuna Josef (13,780 ft.), and Kollo (14,100</w:t></w:r>
</w:p>
<w:p>
<w:pPr><w:pStyle w:val="Normal"/></w:pPr>
<w:r><w:t xml:space="preserve">ft.), the last-named being S.W. of Magdala.  The valley</w:t></w:r>
</w:p>
<w:p>
<w:pPr><w:pStyle w:val="Normal"/></w:pPr>
<w:r><w:t xml:space="preserve">between these hills and the eastern escarpment is one of</w:t></w:r>
</w:p>
<w:p>
<w:pPr><w:pStyle w:val="Normal"/></w:pPr>
<w:r><w:t xml:space="preserve">the longest and most profound chasms in Abyssinia.  Between</w:t></w:r>
</w:p>
<w:p>
<w:pPr><w:pStyle w:val="Normal"/></w:pPr>
<w:r><w:t xml:space="preserve">Lake Tsana and the eastern hills are Mounts Guna (13,800</w:t></w:r>
</w:p>
<w:p>
<w:pPr><w:pStyle w:val="Normal"/></w:pPr>
<w:r><w:t xml:space="preserve">ft.) and Uara Sahia (13,000 ft.).  The figures given are,</w:t></w:r>
</w:p>
<w:p>
<w:pPr><w:pStyle w:val="Normal"/></w:pPr>
<w:r><w:t xml:space="preserve">however, approximate only.  The southern portion of the</w:t></w:r>
</w:p>
<w:p>
<w:pPr><w:pStyle w:val="Normal"/></w:pPr>
<w:r><w:t xml:space="preserve">highlands---the 10 deg.  N. roughly marks the division between</w:t></w:r>
</w:p>
<w:p>
<w:pPr><w:pStyle w:val="Normal"/></w:pPr>
<w:r><w:t xml:space="preserve">north and south---has more open tableland than the northern</w:t></w:r>
</w:p>
<w:p>
<w:pPr><w:pStyle w:val="Normal"/></w:pPr>
<w:r><w:t xml:space="preserve">portion and fewer lofty peaks.  Though there are a few heights</w:t></w:r>
</w:p>
<w:p>
<w:pPr><w:pStyle w:val="Normal"/></w:pPr>
<w:r><w:t xml:space="preserve">between 10,000 and 12,000 ft., the majority do not exceed 8000</w:t></w:r>
</w:p>
<w:p>
<w:pPr><w:pStyle w:val="Normal"/></w:pPr>
<w:r><w:t xml:space="preserve">ft.  But the general character of the southern regions is</w:t></w:r>
</w:p>
<w:p>
<w:pPr><w:pStyle w:val="Normal"/></w:pPr>
<w:r><w:t xml:space="preserve">the same as in the north---a much-broken hilly plateau.</w:t></w:r>
</w:p>
<w:p>
<w:pPr><w:pStyle w:val="Normal"/></w:pPr>
<w:r><w:t xml:space="preserve">Most of the Abyssinian uplands have a decided slope to the</w:t></w:r>
</w:p>
<w:p>
<w:pPr><w:pStyle w:val="Normal"/></w:pPr>
<w:r><w:t xml:space="preserve">north-west, so that nearly all the large rivers find their way</w:t></w:r>
</w:p>
<w:p>
<w:pPr><w:pStyle w:val="Normal"/></w:pPr>
<w:r><w:t xml:space="preserve">in that direction to the Nile.  Such are the Takazze in the</w:t></w:r>
</w:p>
<w:p>
<w:pPr><w:pStyle w:val="Normal"/></w:pPr>
<w:r><w:t xml:space="preserve">north, the Abai in the centre, and the Sobat in the south, and</w:t></w:r>
</w:p>
<w:p>
<w:pPr><w:pStyle w:val="Normal"/></w:pPr>
<w:r><w:t xml:space="preserve">through these three arteries is discharged about four-fifths</w:t></w:r>
</w:p>
<w:p>
<w:pPr><w:pStyle w:val="Normal"/></w:pPr>
<w:r><w:t xml:space="preserve">of the entire drainage.  The rest is carried off, almost due</w:t></w:r>
</w:p>
<w:p>
<w:pPr><w:pStyle w:val="Normal"/></w:pPr>
<w:r><w:t xml:space="preserve">north by the Khor Baraka, which occasionally reaches the Red</w:t></w:r>
</w:p>
<w:p>
<w:pPr><w:pStyle w:val="Normal"/></w:pPr>
<w:r><w:t xml:space="preserve">Sea south of Suakin; by the Hawash, which runs out in the</w:t></w:r>
</w:p>
<w:p>
<w:pPr><w:pStyle w:val="Normal"/></w:pPr>
<w:r><w:t xml:space="preserve">saline lacustrine district near the head of Taiura Bay; by the</w:t></w:r>
</w:p>
<w:p>
<w:pPr><w:pStyle w:val="Normal"/></w:pPr>
<w:r><w:t xml:space="preserve">Webi Shebeli (Wabi Shebeyli) and Juba, which flow S.E. through</w:t></w:r>
</w:p>
<w:p>
<w:pPr><w:pStyle w:val="Normal"/></w:pPr>
<w:r><w:t xml:space="preserve">Somaliland, though the Shebeli fails to reach the Indian Ocean;</w:t></w:r>
</w:p>
<w:p>
<w:pPr><w:pStyle w:val="Normal"/></w:pPr>
<w:r><w:t xml:space="preserve">and by the Omo. the main feeder of the closed basin of Lake Rudolf.</w:t></w:r>
</w:p>
<w:p>
<w:pPr><w:pStyle w:val="Normal"/></w:pPr>
<w:r><w:t xml:space="preserve">The Takazze, which is the true upper course of the Atbara,</w:t></w:r>
</w:p>
<w:p>
<w:pPr><w:pStyle w:val="Normal"/></w:pPr>
<w:r><w:t xml:space="preserve">has its head-waters in the central tableland; and falls from</w:t></w:r>
</w:p>
<w:p>
<w:pPr><w:pStyle w:val="Normal"/></w:pPr>
<w:r><w:t xml:space="preserve">about 7000 to 2500 ft. in the tremendous crevasse through</w:t></w:r>
</w:p>
<w:p>
<w:pPr><w:pStyle w:val="Normal"/></w:pPr>
<w:r><w:t xml:space="preserve">which it sweeps round west, north and west again down to the</w:t></w:r>
</w:p>
<w:p>
<w:pPr><w:pStyle w:val="Normal"/></w:pPr>
<w:r><w:t xml:space="preserve">western terraces, where it passes from Abyssinian to Sudan</w:t></w:r>
</w:p>
<w:p>
<w:pPr><w:pStyle w:val="Normal"/></w:pPr>
<w:r><w:t xml:space="preserve">territory.  During the rains the Takazze (i.e. the</w:t></w:r>
</w:p>
<w:p>
<w:pPr><w:pStyle w:val="Normal"/></w:pPr>
<w:r><w:t xml:space="preserve">``Terrible&apos;&apos;) rises some 18 ft. above its normal level, and</w:t></w:r>
</w:p>
<w:p>
<w:pPr><w:pStyle w:val="Normal"/></w:pPr>
<w:r><w:t xml:space="preserve">at this time forms an impassable barrier between the northern</w:t></w:r>
</w:p>
<w:p>
<w:pPr><w:pStyle w:val="Normal"/></w:pPr>
<w:r><w:t xml:space="preserve">and central provinces.  In its lower course the river is</w:t></w:r>
</w:p>
<w:p>
<w:pPr><w:pStyle w:val="Normal"/></w:pPr>
<w:r><w:t xml:space="preserve">known by the Arab name Setit.  The Setit is joined (14 deg.  10&apos;</w:t></w:r>
</w:p>
<w:p>
<w:pPr><w:pStyle w:val="Normal"/></w:pPr>
<w:r><w:t xml:space="preserve">N., 36 deg.  E.) by the Atbara, a river formed by several streams</w:t></w:r>
</w:p>
<w:p>
<w:pPr><w:pStyle w:val="Normal"/></w:pPr>
<w:r><w:t xml:space="preserve">which rise in the mountains W. and N.W. of Lake Tsana.</w:t></w:r>
</w:p>
<w:p>
<w:pPr><w:pStyle w:val="Normal"/></w:pPr>
<w:r><w:t xml:space="preserve">The Gash or Mareb is the most northerly of the Abyssinian</w:t></w:r>
</w:p>
<w:p>
<w:pPr><w:pStyle w:val="Normal"/></w:pPr>
<w:r><w:t xml:space="preserve">rivers which flow towards the Nile valley.  Its head-waters</w:t></w:r>
</w:p>
<w:p>
<w:pPr><w:pStyle w:val="Normal"/></w:pPr>
<w:r><w:t xml:space="preserve">rise on the landward side of the eastern escarpment within</w:t></w:r>
</w:p>
<w:p>
<w:pPr><w:pStyle w:val="Normal"/></w:pPr>
<w:r><w:t xml:space="preserve">50 miles of Annesley Bay on the Red Sea. It reaches the</w:t></w:r>
</w:p>
<w:p>
<w:pPr><w:pStyle w:val="Normal"/></w:pPr>
<w:r><w:t xml:space="preserve">Sudan plains near Kassala, beyond which place its waters are</w:t></w:r>
</w:p>
<w:p>
<w:pPr><w:pStyle w:val="Normal"/></w:pPr>
<w:r><w:t xml:space="preserve">dissipated in the sandy soil.  The Mareb is dry for a great</w:t></w:r>
</w:p>
<w:p>
<w:pPr><w:pStyle w:val="Heading1"/></w:pPr>
<w:r><w:t>part of the year, but like the Takazze is subject to sudden</w:t></w:r>
</w:p>
<w:p>
<w:pPr><w:pStyle w:val="Normal"/></w:pPr>
<w:r><w:t xml:space="preserve">freshets during the rains.  Only the left bank of the upper</w:t></w:r>
</w:p>
<w:p>
<w:pPr><w:pStyle w:val="Normal"/></w:pPr>
<w:r><w:t xml:space="preserve">course of the river is in Abyssinian territory, the Mareb</w:t></w:r>
</w:p>
<w:p>
<w:pPr><w:pStyle w:val="Normal"/></w:pPr>
<w:r><w:t xml:space="preserve">here forming the boundary between Eritrea and Abyssinia.</w:t></w:r>
</w:p>
<w:p>
<w:pPr><w:pStyle w:val="Normal"/></w:pPr>
<w:r><w:t xml:space="preserve">(3) The Abai---that is, the upper course of the Blue Nile--has</w:t></w:r>
</w:p>
<w:p>
<w:pPr><w:pStyle w:val="Normal"/></w:pPr>
<w:r><w:t xml:space="preserve">its source near Mount Denguiza in the Goiam highlands (about</w:t></w:r>
</w:p>
<w:p>
<w:pPr><w:pStyle w:val="Normal"/></w:pPr>
<w:r><w:t xml:space="preserve">11 deg.  N. and 37 deg.  E.), and first flows for 70 m. nearly due</w:t></w:r>
</w:p>
<w:p>
<w:pPr><w:pStyle w:val="Normal"/></w:pPr>
<w:r><w:t xml:space="preserve">north to the south side of Lake Tsana.  Tsana (q.v.), which</w:t></w:r>
</w:p>
<w:p>
<w:pPr><w:pStyle w:val="Normal"/></w:pPr>
<w:r><w:t xml:space="preserve">stands from 2500 to 3000 ft. below the normal level of the</w:t></w:r>
</w:p>
<w:p>
<w:pPr><w:pStyle w:val="Normal"/></w:pPr>
<w:r><w:t xml:space="preserve">plateau, has somewhat the aspect of a flooded crater.  It has</w:t></w:r>
</w:p>
<w:p>
<w:pPr><w:pStyle w:val="Normal"/></w:pPr>
<w:r><w:t xml:space="preserve">an area of about 1100 sq. m., and a depth in some parts of 250</w:t></w:r>
</w:p>
<w:p>
<w:pPr><w:pStyle w:val="Normal"/></w:pPr>
<w:r><w:t xml:space="preserve">ft.  At the south-east corner the rim of the crater is, as</w:t></w:r>
</w:p>
<w:p>
<w:pPr><w:pStyle w:val="Normal"/></w:pPr>
<w:r><w:t xml:space="preserve">it were. breached by a deep crevasse through which the Abai</w:t></w:r>
</w:p>
<w:p>
<w:pPr><w:pStyle w:val="Normal"/></w:pPr>
<w:r><w:t xml:space="preserve">escapes, and here dovelb. ps a great semicircular bend like that</w:t></w:r>
</w:p>
<w:p>
<w:pPr><w:pStyle w:val="Normal"/></w:pPr>
<w:r><w:t xml:space="preserve">of the Takazzo, but in the reverse direction---east, south</w:t></w:r>
</w:p>
<w:p>
<w:pPr><w:pStyle w:val="Normal"/></w:pPr>
<w:r><w:t xml:space="preserve">and north-west---down to the plains of Sennar, where it takes</w:t></w:r>
</w:p>
<w:p>
<w:pPr><w:pStyle w:val="Normal"/></w:pPr>
<w:r><w:t xml:space="preserve">the name of Bahr-el-Azrak or Blue Nile.  The Abai has many</w:t></w:r>
</w:p>
<w:p>
<w:pPr><w:pStyle w:val="Normal"/></w:pPr>
<w:r><w:t xml:space="preserve">tributaries.  Of these the Bashilo rises near Magdala and</w:t></w:r>
</w:p>
<w:p>
<w:pPr><w:pStyle w:val="Normal"/></w:pPr>
<w:r><w:t xml:space="preserve">drains eastern Amhara; the Jamma rises near Ankober and drains</w:t></w:r>
</w:p>
<w:p>
<w:pPr><w:pStyle w:val="Normal"/></w:pPr>
<w:r><w:t xml:space="preserve">northern Shoa; the Muger rises near Adis Ababa and drains</w:t></w:r>
</w:p>
<w:p>
<w:pPr><w:pStyle w:val="Normal"/></w:pPr>
<w:r><w:t xml:space="preserve">south-western Shoa; the Didessa, the largest of the Abai&apos;s</w:t></w:r>
</w:p>
<w:p>
<w:pPr><w:pStyle w:val="Normal"/></w:pPr>
<w:r><w:t xml:space="preserve">affluents, rises in the Kaffa hills and has a generally S. to</w:t></w:r>
</w:p>
<w:p>
<w:pPr><w:pStyle w:val="Normal"/></w:pPr>
<w:r><w:t xml:space="preserve">N. course; the Yabus runs near the western edge of the plateau</w:t></w:r>
</w:p>
<w:p>
<w:pPr><w:pStyle w:val="Normal"/></w:pPr>
<w:r><w:t xml:space="preserve">escarpment.  All these are perennial rivers.  The right-hand</w:t></w:r>
</w:p>
<w:p>
<w:pPr><w:pStyle w:val="Normal"/></w:pPr>
<w:r><w:t xml:space="preserve">tributaries, rising mostly on the western sides of the</w:t></w:r>
</w:p>
<w:p>
<w:pPr><w:pStyle w:val="Normal"/></w:pPr>
<w:r><w:t xml:space="preserve">plateau, have steep slopes and are generally torrential in</w:t></w:r>
</w:p>
<w:p>
<w:pPr><w:pStyle w:val="Normal"/></w:pPr>
<w:r><w:t xml:space="preserve">character.  The Bolassa, however, is perennial, and the</w:t></w:r>
</w:p>
<w:p>
<w:pPr><w:pStyle w:val="Normal"/></w:pPr>
<w:r><w:t xml:space="preserve">Rahad and Dinder are important rivers in flood-time.</w:t></w:r>
</w:p>
<w:p>
<w:pPr><w:pStyle w:val="Normal"/></w:pPr>
<w:r><w:t xml:space="preserve">In the mountains and plateaus of Kaffa and Galla in the</w:t></w:r>
</w:p>
<w:p>
<w:pPr><w:pStyle w:val="Normal"/></w:pPr>
<w:r><w:t xml:space="preserve">south-west of Abyssinia rise the Baro, Gelo, Akobo and</w:t></w:r>
</w:p>
<w:p>
<w:pPr><w:pStyle w:val="Normal"/></w:pPr>
<w:r><w:t xml:space="preserve">other of the chief affluents of the Sobat tributary of the</w:t></w:r>
</w:p>
<w:p>
<w:pPr><w:pStyle w:val="Normal"/></w:pPr>
<w:r><w:t xml:space="preserve">Nile.  The Akobo, in about 7 deg.  50&apos; N. and 33 deg.  E., joins the</w:t></w:r>
</w:p>
<w:p>
<w:pPr><w:pStyle w:val="Normal"/></w:pPr>
<w:r><w:t xml:space="preserve">Pibor, which in about 8 1/2 deg.  N. and 33 deg.  20&apos; E. unites with</w:t></w:r>
</w:p>
<w:p>
<w:pPr><w:pStyle w:val="Normal"/></w:pPr>
<w:r><w:t xml:space="preserve">the Baro, the river below the confluence taking the name of</w:t></w:r>
</w:p>
<w:p>
<w:pPr><w:pStyle w:val="Normal"/></w:pPr>
<w:r><w:t xml:space="preserve">Sobat.  These rivers descend from the mountains in great</w:t></w:r>
</w:p>
<w:p>
<w:pPr><w:pStyle w:val="Normal"/></w:pPr>
<w:r><w:t xml:space="preserve">falls, and like the other Abyssinian streams are unnavigable in</w:t></w:r>
</w:p>
<w:p>
<w:pPr><w:pStyle w:val="Normal"/></w:pPr>
<w:r><w:t xml:space="preserve">their upper courses.  The Baro on reaching the plain becomes,</w:t></w:r>
</w:p>
<w:p>
<w:pPr><w:pStyle w:val="Normal"/></w:pPr>
<w:r><w:t xml:space="preserve">however, a navigable stream affording an open waterway to the</w:t></w:r>
</w:p>
<w:p>
<w:pPr><w:pStyle w:val="Normal"/></w:pPr>
<w:r><w:t xml:space="preserve">Nile.  The Baro, Pibor and Akobo form for 250 m. the W. and</w:t></w:r>
</w:p>
<w:p>
<w:pPr><w:pStyle w:val="Normal"/></w:pPr>
<w:r><w:t xml:space="preserve">S.W. frontiers of Abyssinia (see NILE, SOBAT and SUDAN.)</w:t></w:r>
</w:p>
<w:p>
<w:pPr><w:pStyle w:val="Normal"/></w:pPr>
<w:r><w:t xml:space="preserve">The chief river of Abyssinia flowing east is the Hawash</w:t></w:r>
</w:p>
<w:p>
<w:pPr><w:pStyle w:val="Normal"/></w:pPr>
<w:r><w:t xml:space="preserve">(Awash, Awasi), which rises in the Shoan uplands and makes</w:t></w:r>
</w:p>
<w:p>
<w:pPr><w:pStyle w:val="Normal"/></w:pPr>
<w:r><w:t xml:space="preserve">a semicircular bend first S.E. and then N.E. It reaches the</w:t></w:r>
</w:p>
<w:p>
<w:pPr><w:pStyle w:val="Normal"/></w:pPr>
<w:r><w:t xml:space="preserve">Afar (Danakil) lowlands through a broad breach in the eastern</w:t></w:r>
</w:p>
<w:p>
<w:pPr><w:pStyle w:val="Normal"/></w:pPr>
<w:r><w:t xml:space="preserve">escarpment of the plateau, beyond which it is joined on its</w:t></w:r>
</w:p>
<w:p>
<w:pPr><w:pStyle w:val="Normal"/></w:pPr>
<w:r><w:t xml:space="preserve">left bank by its chief affluent, the Germama (Kasam), and</w:t></w:r>
</w:p>
<w:p>
<w:pPr><w:pStyle w:val="Normal"/></w:pPr>
<w:r><w:t xml:space="preserve">then trends round in the direction of Tajura Bay. Here the</w:t></w:r>
</w:p>
<w:p>
<w:pPr><w:pStyle w:val="Normal"/></w:pPr>
<w:r><w:t xml:space="preserve">Hawash is a copious stream nearly 200 ft. wide and 4 ft.</w:t></w:r>
</w:p>
<w:p>
<w:pPr><w:pStyle w:val="Normal"/></w:pPr>
<w:r><w:t xml:space="preserve">deep, even in the dry season, and during the floods rising</w:t></w:r>
</w:p>
<w:p>
<w:pPr><w:pStyle w:val="Normal"/></w:pPr>
<w:r><w:t xml:space="preserve">50 or 60 ft. above low-water mark, thus inundating the plains</w:t></w:r>
</w:p>
<w:p>
<w:pPr><w:pStyle w:val="Normal"/></w:pPr>
<w:r><w:t xml:space="preserve">for many miles along both its banks.  Yet it fails to reach</w:t></w:r>
</w:p>
<w:p>
<w:pPr><w:pStyle w:val="Normal"/></w:pPr>
<w:r><w:t xml:space="preserve">the coast, and after . a winding course of about 500 m.</w:t></w:r>
</w:p>
<w:p>
<w:pPr><w:pStyle w:val="Normal"/></w:pPr>
<w:r><w:t xml:space="preserve">passes (in its lower reaches) through a series of badds</w:t></w:r>
</w:p>
<w:p>
<w:pPr><w:pStyle w:val="Normal"/></w:pPr>
<w:r><w:t xml:space="preserve">(lagoons) to Lake Aussa, some 60 or 70 m. from the head.of</w:t></w:r>
</w:p>
<w:p>
<w:pPr><w:pStyle w:val="Normal"/></w:pPr>
<w:r><w:t xml:space="preserve">Tajura Bay. In this lake the river is lost.  This remarkable</w:t></w:r>
</w:p>
<w:p>
<w:pPr><w:pStyle w:val="Normal"/></w:pPr>
<w:r><w:t xml:space="preserve">phenomenon is explained by the position of Aussa in the</w:t></w:r>
</w:p>
<w:p>
<w:pPr><w:pStyle w:val="Normal"/></w:pPr>
<w:r><w:t xml:space="preserve">centre of a saline lacustrine depression several hundred</w:t></w:r>
</w:p>
<w:p>
<w:pPr><w:pStyle w:val="Normal"/></w:pPr>
<w:r><w:t xml:space="preserve">feet below sea-level.  While most of the other lagoons are</w:t></w:r>
</w:p>
<w:p>
<w:pPr><w:pStyle w:val="Normal"/></w:pPr>
<w:r><w:t xml:space="preserve">highly saline, with thick incrustations of salt round their</w:t></w:r>
</w:p>
<w:p>
<w:pPr><w:pStyle w:val="Normal"/></w:pPr>
<w:r><w:t xml:space="preserve">margins, Aussa remains fresh throughout the year, owing to</w:t></w:r>
</w:p>
<w:p>
<w:pPr><w:pStyle w:val="Normal"/></w:pPr>
<w:r><w:t xml:space="preserve">the great body of water discharged into it by the Hawash.</w:t></w:r>
</w:p>
<w:p>
<w:pPr><w:pStyle w:val="Normal"/></w:pPr>
<w:r><w:t xml:space="preserve">Another lacustrine region extends from the Shoa heights</w:t></w:r>
</w:p>
<w:p>
<w:pPr><w:pStyle w:val="Normal"/></w:pPr>
<w:r><w:t xml:space="preserve">south-west to the Samburu (Lake Rudolf) depression.</w:t></w:r>
</w:p>
<w:p>
<w:pPr><w:pStyle w:val="Normal"/></w:pPr>
<w:r><w:t xml:space="preserve">In this chain of lovely upland lakes, some fresh, some</w:t></w:r>
</w:p>
<w:p>
<w:pPr><w:pStyle w:val="Normal"/></w:pPr>
<w:r><w:t xml:space="preserve">brackish, some completely closed, others connected by short</w:t></w:r>
</w:p>
<w:p>
<w:pPr><w:pStyle w:val="Normal"/></w:pPr>
<w:r><w:t xml:space="preserve">channels, the chief links in their order from north to south</w:t></w:r>
</w:p>
<w:p>
<w:pPr><w:pStyle w:val="Normal"/></w:pPr>
<w:r><w:t xml:space="preserve">are:---Zwai, communicating southwards with Hara and Lamina,</w:t></w:r>
</w:p>
<w:p>
<w:pPr><w:pStyle w:val="Normal"/></w:pPr>
<w:r><w:t xml:space="preserve">all in the Arusi Galla territory; then Abai with an outlet</w:t></w:r>
</w:p>
<w:p>
<w:pPr><w:pStyle w:val="Normal"/></w:pPr>
<w:r><w:t xml:space="preserve">to a smaller tarn in the romantic Baroda and Gamo districts,</w:t></w:r>
</w:p>
<w:p>
<w:pPr><w:pStyle w:val="Normal"/></w:pPr>
<w:r><w:t xml:space="preserve">skirted on the west sides by grassy slopes and wooded ranges</w:t></w:r>
</w:p>
<w:p>
<w:pPr><w:pStyle w:val="Normal"/></w:pPr>
<w:r><w:t xml:space="preserve">from 6000 to nearly 9000 ft. high; lastly, in the Asille</w:t></w:r>
</w:p>
<w:p>
<w:pPr><w:pStyle w:val="Normal"/></w:pPr>
<w:r><w:t xml:space="preserve">country, Lake Stefanie, the Chuwaha of the natives, completely</w:t></w:r>
</w:p>
<w:p>
<w:pPr><w:pStyle w:val="Normal"/></w:pPr>
<w:r><w:t xml:space="preserve">closed and falling to a level of about 1800 ft. above the</w:t></w:r>
</w:p>
<w:p>
<w:pPr><w:pStyle w:val="Normal"/></w:pPr>
<w:r><w:t xml:space="preserve">sea.  To the same system obviously belongs the neighbouring</w:t></w:r>
</w:p>
<w:p>
<w:pPr><w:pStyle w:val="Normal"/></w:pPr>
<w:r><w:t xml:space="preserve">Lake Rudolf (q.v.), which is larger than all the rest put</w:t></w:r>
</w:p>
<w:p>
<w:pPr><w:pStyle w:val="Normal"/></w:pPr>
<w:r><w:t xml:space="preserve">together.  This lake receives at its northern end the waters</w:t></w:r>
</w:p>
<w:p>
<w:pPr><w:pStyle w:val="Normal"/></w:pPr>
<w:r><w:t xml:space="preserve">of the ()mo, which rises in the Shoa highlands and is a</w:t></w:r>
</w:p>
<w:p>
<w:pPr><w:pStyle w:val="Normal"/></w:pPr>
<w:r><w:t xml:space="preserve">perennial river with many affluents.  In its course of some</w:t></w:r>
</w:p>
<w:p>
<w:pPr><w:pStyle w:val="Normal"/></w:pPr>
<w:r><w:t xml:space="preserve">370 m. it has a total fall of about 6000 ft. (from 7600</w:t></w:r>
</w:p>
<w:p>
<w:pPr><w:pStyle w:val="Normal"/></w:pPr>
<w:r><w:t xml:space="preserve">at its source to 1600 at lake-level), and is consequently</w:t></w:r>
</w:p>
<w:p>
<w:pPr><w:pStyle w:val="Normal"/></w:pPr>
<w:r><w:t xml:space="preserve">a very rapid stream, being broken by the Kokobi and other</w:t></w:r>
</w:p>
<w:p>
<w:pPr><w:pStyle w:val="Normal"/></w:pPr>
<w:r><w:t xml:space="preserve">falls, and navigable only for a short distance above its</w:t></w:r>
</w:p>
<w:p>
<w:pPr><w:pStyle w:val="Normal"/></w:pPr>
<w:r><w:t xml:space="preserve">mouth.  The chief rivers of Somaliland (q.v.), the Webi</w:t></w:r>
</w:p>
<w:p>
<w:pPr><w:pStyle w:val="Normal"/></w:pPr>
<w:r><w:t xml:space="preserve">Shebeli and the Juba (q.v.), have their rise on the</w:t></w:r>
</w:p>
<w:p>
<w:pPr><w:pStyle w:val="Normal"/></w:pPr>
<w:r><w:t xml:space="preserve">south-eastenn slopes of the Abyssinian escarpment, and the</w:t></w:r>
</w:p>
<w:p>
<w:pPr><w:pStyle w:val="Normal"/></w:pPr>
<w:r><w:t xml:space="preserve">greater part of their course is through territory belonging to</w:t></w:r>
</w:p>
<w:p>
<w:pPr><w:pStyle w:val="Normal"/></w:pPr>
<w:r><w:t xml:space="preserve">Abyssinia.  There are numerous hot springs in Abyssinia, and</w:t></w:r>
</w:p>
<w:p>
<w:pPr><w:pStyle w:val="Normal"/></w:pPr>
<w:r><w:t xml:space="preserve">earthquakes, though of no great severity, are not uncommon.</w:t></w:r>
</w:p>
<w:p>
<w:pPr><w:pStyle w:val="Normal"/></w:pPr>
<w:r><w:t xml:space="preserve">(4) Geology.----The East African tableland is continued</w:t></w:r>
</w:p>
<w:p>
<w:pPr><w:pStyle w:val="Normal"/></w:pPr>
<w:r><w:t xml:space="preserve">into Abyssinia.  Since the visit of W. T. Blanford in</w:t></w:r>
</w:p>
<w:p>
<w:pPr><w:pStyle w:val="Normal"/></w:pPr>
<w:r><w:t xml:space="preserve">1870 the geology has received little attention from</w:t></w:r>
</w:p>
<w:p>
<w:pPr><w:pStyle w:val="Normal"/></w:pPr>
<w:r><w:t xml:space="preserve">travellers.  The following formations are represented:--</w:t></w:r>
</w:p>
<w:p>
<w:pPr><w:pStyle w:val="Normal"/></w:pPr>
<w:r><w:t xml:space="preserve">Sedimentary and Metamorphic.</w:t></w:r>
</w:p>
<w:p>
<w:pPr><w:pStyle w:val="Normal"/></w:pPr>
<w:r><w:t xml:space="preserve">Recent.                        Coral, alluvium, sand.</w:t></w:r>
</w:p>
<w:p>
<w:pPr><w:pStyle w:val="Normal"/></w:pPr>
<w:r><w:t xml:space="preserve">Tertiary.                      (?) Limestones of Harrar.</w:t></w:r>
</w:p>
<w:p>
<w:pPr><w:pStyle w:val="Normal"/></w:pPr>
<w:r><w:t xml:space="preserve">Jurassic.                      Antalo Limestones.</w:t></w:r>
</w:p>
<w:p>
<w:pPr><w:pStyle w:val="Normal"/></w:pPr>
<w:r><w:t xml:space="preserve">Triassic (?).                  Adigrat Sandstones.</w:t></w:r>
</w:p>
<w:p>
<w:pPr><w:pStyle w:val="Normal"/></w:pPr>
<w:r><w:t xml:space="preserve">Archaean.                      Gneisses, schists, slaty rocks.</w:t></w:r>
</w:p>
<w:p>
<w:pPr><w:pStyle w:val="Normal"/></w:pPr>
<w:r><w:t xml:space="preserve">Igneous.</w:t></w:r>
</w:p>
<w:p>
<w:pPr><w:pStyle w:val="Normal"/></w:pPr>
<w:r><w:t xml:space="preserve">Recent.                        Aden Volcanic Series.</w:t></w:r>
</w:p>
<w:p>
<w:pPr><w:pStyle w:val="Normal"/></w:pPr>
<w:r><w:t xml:space="preserve">Tertiary, Cretaceous (?).      Magdala group.</w:t></w:r>
</w:p>
<w:p>
<w:pPr><w:pStyle w:val="Normal"/></w:pPr>
<w:r><w:t xml:space="preserve">Jurassic.                      Ashangi group.</w:t></w:r>
</w:p>
<w:p>
<w:pPr><w:pStyle w:val="Normal"/></w:pPr>
<w:r><w:t xml:space="preserve">Archaean.--The metamorphic rocks compose the main mass</w:t></w:r>
</w:p>
<w:p>
<w:pPr><w:pStyle w:val="Normal"/></w:pPr>
<w:r><w:t xml:space="preserve">of the tableland, and are exposed in every deep valley</w:t></w:r>
</w:p>
<w:p>
<w:pPr><w:pStyle w:val="Normal"/></w:pPr>
<w:r><w:t xml:space="preserve">in Tigre and along the valley of the Blue Nile.  Mica</w:t></w:r>
</w:p>
<w:p>
<w:pPr><w:pStyle w:val="Normal"/></w:pPr>
<w:r><w:t xml:space="preserve">schists form the prevalent rocks.  Hornblende schist</w:t></w:r>
</w:p>
<w:p>
<w:pPr><w:pStyle w:val="Normal"/></w:pPr>
<w:r><w:t xml:space="preserve">also occur and a compact felspathic rock in the Suris</w:t></w:r>
</w:p>
<w:p>
<w:pPr><w:pStyle w:val="Normal"/></w:pPr>
<w:r><w:t xml:space="preserve">defile.  The foliae of the schists strike north and south.</w:t></w:r>
</w:p>
<w:p>
<w:pPr><w:pStyle w:val="Normal"/></w:pPr>
<w:r><w:t xml:space="preserve">Triassic (?).---In the region of Adigrat the metamorphic</w:t></w:r>
</w:p>
<w:p>
<w:pPr><w:pStyle w:val="Normal"/></w:pPr>
<w:r><w:t xml:space="preserve">rocks are invariably overlain by white and brown sandstones,</w:t></w:r>
</w:p>
<w:p>
<w:pPr><w:pStyle w:val="Normal"/></w:pPr>
<w:r><w:t xml:space="preserve">unfossiliferous, and attaining a maximum thickness of 1000</w:t></w:r>
</w:p>
<w:p>
<w:pPr><w:pStyle w:val="Normal"/></w:pPr>
<w:r><w:t xml:space="preserve">feet.  They are overlain by the fossiliferous limestones of</w:t></w:r>
</w:p>
<w:p>
<w:pPr><w:pStyle w:val="Normal"/></w:pPr>
<w:r><w:t xml:space="preserve">the Antalo group.  Around Chelga and Adigrat coal-bearing beds</w:t></w:r>
</w:p>
<w:p>
<w:pPr><w:pStyle w:val="Normal"/></w:pPr>
<w:r><w:t xml:space="preserve">occur, which Blanford suggests may be of the same age as the</w:t></w:r>
</w:p>
<w:p>
<w:pPr><w:pStyle w:val="Normal"/></w:pPr>
<w:r><w:t xml:space="preserve">coal-bearing strata of India.  The Adigrat Sandstone possibly</w:t></w:r>
</w:p>
<w:p>
<w:pPr><w:pStyle w:val="Normal"/></w:pPr>
<w:r><w:t xml:space="preserve">represents some portion of the Karroo formation of South Africa.</w:t></w:r>
</w:p>
<w:p>
<w:pPr><w:pStyle w:val="Normal"/></w:pPr>
<w:r><w:t xml:space="preserve">Jurassic.---The fossiliferous limestones of Antalo are</w:t></w:r>
</w:p>
<w:p>
<w:pPr><w:pStyle w:val="Normal"/></w:pPr>
<w:r><w:t xml:space="preserve">generally horizontal, but are in places much disturbed</w:t></w:r>
</w:p>
<w:p>
<w:pPr><w:pStyle w:val="Normal"/></w:pPr>
<w:r><w:t xml:space="preserve">when interstratified with trap rocks.  The fossils are</w:t></w:r>
</w:p>
<w:p>
<w:pPr><w:pStyle w:val="Normal"/></w:pPr>
<w:r><w:t xml:space="preserve">all characteristic Oolite forms and include species of</w:t></w:r>
</w:p>
<w:p>
<w:pPr><w:pStyle w:val="Normal"/></w:pPr>
<w:r><w:t xml:space="preserve">Hemicidaris, Pholadomya, Ceromya, Trigonia and Alaria.</w:t></w:r>
</w:p>
<w:p>
<w:pPr><w:pStyle w:val="Normal"/></w:pPr>
<w:r><w:t xml:space="preserve">Igneous Rocks.---Above a height of 8000 ft. the country consists</w:t></w:r>
</w:p>
<w:p>
<w:pPr><w:pStyle w:val="Normal"/></w:pPr>
<w:r><w:t xml:space="preserve">of bedded traps belonging to two distinct and unconformable</w:t></w:r>
</w:p>
<w:p>
<w:pPr><w:pStyle w:val="Normal"/></w:pPr>
<w:r><w:t xml:space="preserve">groups.  The lower (Ashangi group) consists of basalts and</w:t></w:r>
</w:p>
<w:p>
<w:pPr><w:pStyle w:val="Normal"/></w:pPr>
<w:r><w:t xml:space="preserve">dolerites often amygdaloidal.  Their relation to the Antalo</w:t></w:r>
</w:p>
<w:p>
<w:pPr><w:pStyle w:val="Normal"/></w:pPr>
<w:r><w:t xml:space="preserve">limestones is uncertain, but Blanford considers them to be</w:t></w:r>
</w:p>
<w:p>
<w:pPr><w:pStyle w:val="Normal"/></w:pPr>
<w:r><w:t xml:space="preserve">not later in age than the Oolite.  The upper (Magdala group)</w:t></w:r>
</w:p>
<w:p>
<w:pPr><w:pStyle w:val="Normal"/></w:pPr>
<w:r><w:t xml:space="preserve">contains much trachytic rock of considerable thickness,</w:t></w:r>
</w:p>
<w:p>
<w:pPr><w:pStyle w:val="Normal"/></w:pPr>
<w:r><w:t xml:space="preserve">lying perfectly horizontally, and giving rise to a series of</w:t></w:r>
</w:p>
<w:p>
<w:pPr><w:pStyle w:val="Normal"/></w:pPr>
<w:r><w:t xml:space="preserve">terraced ridges characteristic of central Abyssinia.  They are</w:t></w:r>
</w:p>
<w:p>
<w:pPr><w:pStyle w:val="Normal"/></w:pPr>
<w:r><w:t xml:space="preserve">interbedded with unfossiliferous sandstones and shales.  Of</w:t></w:r>
</w:p>
<w:p>
<w:pPr><w:pStyle w:val="Normal"/></w:pPr>
<w:r><w:t xml:space="preserve">more recent date (probably Tertiary) are some igneous rocks,</w:t></w:r>
</w:p>
<w:p>
<w:pPr><w:pStyle w:val="Normal"/></w:pPr>
<w:r><w:t xml:space="preserve">rich in alkalis, occurring in certain localities in southern</w:t></w:r>
</w:p>
<w:p>
<w:pPr><w:pStyle w:val="Normal"/></w:pPr>
<w:r><w:t xml:space="preserve">Abyssinia.  Of still more recent date are the basalts and</w:t></w:r>
</w:p>
<w:p>
<w:pPr><w:pStyle w:val="Normal"/></w:pPr>
<w:r><w:t xml:space="preserve">ashes west of Massawa and around Annesley Bay and known as</w:t></w:r>
</w:p>
<w:p>
<w:pPr><w:pStyle w:val="Normal"/></w:pPr>
<w:r><w:t xml:space="preserve">the Aden Volcanic Series.  With regard to the older igneous</w:t></w:r>
</w:p>
<w:p>
<w:pPr><w:pStyle w:val="Normal"/></w:pPr>
<w:r><w:t xml:space="preserve">rocks, the enormous amount they have suffered from denudation</w:t></w:r>
</w:p>
<w:p>
<w:pPr><w:pStyle w:val="Normal"/></w:pPr>
<w:r><w:t xml:space="preserve">is a prominent feature.  They have been worn into deep and</w:t></w:r>
</w:p>
<w:p>
<w:pPr><w:pStyle w:val="Normal"/></w:pPr>
<w:r><w:t xml:space="preserve">narrow ravines, sometimes to a depth of 3000 to 4000 ft.</w:t></w:r>
</w:p>
<w:p>
<w:pPr><w:pStyle w:val="Normal"/></w:pPr>
<w:r><w:t xml:space="preserve">(5) Climate.---The climate of Abyssinia and its dependent</w:t></w:r>
</w:p>
<w:p>
<w:pPr><w:pStyle w:val="Normal"/></w:pPr>
<w:r><w:t xml:space="preserve">territories varies greatly.  Somaliland and the Danakil lowlands</w:t></w:r>
</w:p>
<w:p>
<w:pPr><w:pStyle w:val="Normal"/></w:pPr>
<w:r><w:t xml:space="preserve">have a hot, dry climate producing semi-desert conditions; the</w:t></w:r>
</w:p>
<w:p>
<w:pPr><w:pStyle w:val="Normal"/></w:pPr>
<w:r><w:t xml:space="preserve">country in the lower basin of the Sobat is hot, swampy and</w:t></w:r>
</w:p>
<w:p>
<w:pPr><w:pStyle w:val="Normal"/></w:pPr>
<w:r><w:t xml:space="preserve">malarious.  But over the greater part of Abyssinia as well</w:t></w:r>
</w:p>
<w:p>
<w:pPr><w:pStyle w:val="Normal"/></w:pPr>
<w:r><w:t xml:space="preserve">as the Galla highlands the climate is very healthy and</w:t></w:r>
</w:p>
<w:p>
<w:pPr><w:pStyle w:val="Normal"/></w:pPr>
<w:r><w:t xml:space="preserve">temperate.  The country lies wholly within the tropics, but</w:t></w:r>
</w:p>
<w:p>
<w:pPr><w:pStyle w:val="Normal"/></w:pPr>
<w:r><w:t xml:space="preserve">its nearness to the equator is counterbalanced by the elevation</w:t></w:r>
</w:p>
<w:p>
<w:pPr><w:pStyle w:val="Normal"/></w:pPr>
<w:r><w:t xml:space="preserve">of the land.  In the deep valleys of the Takazze and Abai,</w:t></w:r>
</w:p>
<w:p>
<w:pPr><w:pStyle w:val="Normal"/></w:pPr>
<w:r><w:t xml:space="preserve">and generally in places below 4000 ft., the conditions are</w:t></w:r>
</w:p>
<w:p>
<w:pPr><w:pStyle w:val="Normal"/></w:pPr>
<w:r><w:t xml:space="preserve">tropical and fevers are prevalent.  On the uplands, however,</w:t></w:r>
</w:p>
<w:p>
<w:pPr><w:pStyle w:val="Normal"/></w:pPr>
<w:r><w:t xml:space="preserve">the air is cool and bracing in summer, and in winter very</w:t></w:r>
</w:p>
<w:p>
<w:pPr><w:pStyle w:val="Normal"/></w:pPr>
<w:r><w:t xml:space="preserve">bleak.  The mean range of temperature is between 60 deg.  and</w:t></w:r>
</w:p>
<w:p>
<w:pPr><w:pStyle w:val="Normal"/></w:pPr>
<w:r><w:t xml:space="preserve">80 deg.  F. On the higher mountains the climate is Alpine in</w:t></w:r>
</w:p>
<w:p>
<w:pPr><w:pStyle w:val="Normal"/></w:pPr>
<w:r><w:t xml:space="preserve">character.  The atmosphere on the plateaus is exceedingly</w:t></w:r>
</w:p>
<w:p>
<w:pPr><w:pStyle w:val="Normal"/></w:pPr>
<w:r><w:t xml:space="preserve">clear, so that objects are easily recognizable at great</w:t></w:r>
</w:p>
<w:p>
<w:pPr><w:pStyle w:val="Normal"/></w:pPr>
<w:r><w:t xml:space="preserve">distances.  In addition to the variation in climate dependent</w:t></w:r>
</w:p>
<w:p>
<w:pPr><w:pStyle w:val="Normal"/></w:pPr>
<w:r><w:t xml:space="preserve">on elevation, the year may be divided into three seasons.</w:t></w:r>
</w:p>
<w:p>
<w:pPr><w:pStyle w:val="Normal"/></w:pPr>
<w:r><w:t xml:space="preserve">Winter, or the cold season, lasts from October to February,</w:t></w:r>
</w:p>
<w:p>
<w:pPr><w:pStyle w:val="Normal"/></w:pPr>
<w:r><w:t xml:space="preserve">and is followed by a dry hot period, which about the middle of</w:t></w:r>
</w:p>
<w:p>
<w:pPr><w:pStyle w:val="Normal"/></w:pPr>
<w:r><w:t xml:space="preserve">June gives place to the rainy season.  The rain is heaviest in</w:t></w:r>
</w:p>
<w:p>
<w:pPr><w:pStyle w:val="Normal"/></w:pPr>
<w:r><w:t xml:space="preserve">the Takazze basin in July and August.  In the more southern</w:t></w:r>
</w:p>
<w:p>
<w:pPr><w:pStyle w:val="Normal"/></w:pPr>
<w:r><w:t xml:space="preserve">districts of Gojam and Wallega heavy rains continue till</w:t></w:r>
</w:p>
<w:p>
<w:pPr><w:pStyle w:val="Normal"/></w:pPr>
<w:r><w:t xml:space="preserve">the middle of September, and occasionally October is a wet</w:t></w:r>
</w:p>
<w:p>
<w:pPr><w:pStyle w:val="Normal"/></w:pPr>
<w:r><w:t xml:space="preserve">month.  There are also spring and winter rains; indeed rain</w:t></w:r>
</w:p>
<w:p>
<w:pPr><w:pStyle w:val="Normal"/></w:pPr>
<w:r><w:t xml:space="preserve">often falls in every month of the year.  But the rainy season</w:t></w:r>
</w:p>
<w:p>
<w:pPr><w:pStyle w:val="Normal"/></w:pPr>
<w:r><w:t xml:space="preserve">proper, caused by the south-west monsoon, lasts from June to</w:t></w:r>
</w:p>
<w:p>
<w:pPr><w:pStyle w:val="Normal"/></w:pPr>
<w:r><w:t xml:space="preserve">mid-September, and commencing in the north moves southward.</w:t></w:r>
</w:p>
<w:p>
<w:pPr><w:pStyle w:val="Normal"/></w:pPr>
<w:r><w:t xml:space="preserve">In the region of the Sobat sources the rains begin earlier</w:t></w:r>
</w:p>
<w:p>
<w:pPr><w:pStyle w:val="Normal"/></w:pPr>
<w:r><w:t xml:space="preserve">and last longer.  The rainfall varies from about 30 in. a</w:t></w:r>
</w:p>
<w:p>
<w:pPr><w:pStyle w:val="Normal"/></w:pPr>
<w:r><w:t xml:space="preserve">year in Tigre and Amhara to over 40 in. in parts of Galla</w:t></w:r>
</w:p>
<w:p>
<w:pPr><w:pStyle w:val="Normal"/></w:pPr>
<w:r><w:t xml:space="preserve">land.  The rainy season is of great importance not only to</w:t></w:r>
</w:p>
<w:p>
<w:pPr><w:pStyle w:val="Normal"/></w:pPr>
<w:r><w:t xml:space="preserve">Abyssinia but to the countries of the Nile valley, as the</w:t></w:r>
</w:p>
<w:p>
<w:pPr><w:pStyle w:val="Normal"/></w:pPr>
<w:r><w:t xml:space="preserve">prosperity of the eastern Sudan and Egypt is largely dependent</w:t></w:r>
</w:p>
<w:p>
<w:pPr><w:pStyle w:val="Normal"/></w:pPr>
<w:r><w:t xml:space="preserve">upon the rainfall.  A season of light rain may be sufficient</w:t></w:r>
</w:p>
<w:p>
<w:pPr><w:pStyle w:val="Normal"/></w:pPr>
<w:r><w:t xml:space="preserve">for the needs of Abyssinia, but there is little surplus water</w:t></w:r>
</w:p>
<w:p>
<w:pPr><w:pStyle w:val="Normal"/></w:pPr>
<w:r><w:t xml:space="preserve">to find its way to the Nile; and a shortness of rain means</w:t></w:r>
</w:p>
<w:p>
<w:pPr><w:pStyle w:val="Normal"/></w:pPr>
<w:r><w:t xml:space="preserve">a low Nile, as practically all the flood water of that river</w:t></w:r>
</w:p>
<w:p>
<w:pPr><w:pStyle w:val="Normal"/></w:pPr>
<w:r><w:t xml:space="preserve">is derived from the Abyssinian tributaries (see NILE.)</w:t></w:r>
</w:p>
<w:p>
<w:pPr><w:pStyle w:val="Normal"/></w:pPr>
<w:r><w:t xml:space="preserve">(6) Flora and Fauna.--As in a day&apos;s journey the traveller</w:t></w:r>
</w:p>
<w:p>
<w:pPr><w:pStyle w:val="Normal"/></w:pPr>
<w:r><w:t xml:space="preserve">may pass from tropical to almost Alpine conditions of</w:t></w:r>
</w:p>
<w:p>
<w:pPr><w:pStyle w:val="Normal"/></w:pPr>
<w:r><w:t xml:space="preserve">climate, so great also is the range of the flora and fauna.</w:t></w:r>
</w:p>
<w:p>
<w:pPr><w:pStyle w:val="Normal"/></w:pPr>
<w:r><w:t xml:space="preserve">In the valleys and lowlands the vegetation is dense, but</w:t></w:r>
</w:p>
<w:p>
<w:pPr><w:pStyle w:val="Normal"/></w:pPr>
<w:r><w:t xml:space="preserve">the general appearance of the plateaus is of a comparatively</w:t></w:r>
</w:p>
<w:p>
<w:pPr><w:pStyle w:val="Normal"/></w:pPr>
<w:r><w:t xml:space="preserve">bare country with trees and bushes thinly scattered over</w:t></w:r>
</w:p>
<w:p>
<w:pPr><w:pStyle w:val="Normal"/></w:pPr>
<w:r><w:t xml:space="preserve">it.  The glens and ravines on the hillside are often thickly</w:t></w:r>
</w:p>
<w:p>
<w:pPr><w:pStyle w:val="Normal"/></w:pPr>
<w:r><w:t xml:space="preserve">wooded, and offer a delightful contrast to the open downs.</w:t></w:r>
</w:p>
<w:p>
<w:pPr><w:pStyle w:val="Normal"/></w:pPr>
<w:r><w:t xml:space="preserve">These conditions are particularly characteristic of the northern</w:t></w:r>
</w:p>
<w:p>
<w:pPr><w:pStyle w:val="Normal"/></w:pPr>
<w:r><w:t xml:space="preserve">regions; in the south the vegetation on the uplands is more</w:t></w:r>
</w:p>
<w:p>
<w:pPr><w:pStyle w:val="Normal"/></w:pPr>
<w:r><w:t xml:space="preserve">luxuriant.  Among the many varieties of trees and plants</w:t></w:r>
</w:p>
<w:p>
<w:pPr><w:pStyle w:val="Normal"/></w:pPr>
<w:r><w:t xml:space="preserve">found are the date palm, mimosa, wild olive, giant sycamores,</w:t></w:r>
</w:p>
<w:p>
<w:pPr><w:pStyle w:val="Normal"/></w:pPr>
<w:r><w:t xml:space="preserve">junipers and laurels, the myrrh and Other gum trees (gnarled</w:t></w:r>
</w:p>
<w:p>
<w:pPr><w:pStyle w:val="Normal"/></w:pPr>
<w:r><w:t xml:space="preserve">and stunted, these flourish most on the eastern foothills),</w:t></w:r>
</w:p>
<w:p>
<w:pPr><w:pStyle w:val="Normal"/></w:pPr>
<w:r><w:t xml:space="preserve">a magnificent pine (the Natal yellow pine, which resists the</w:t></w:r>
</w:p>
<w:p>
<w:pPr><w:pStyle w:val="Normal"/></w:pPr>
<w:r><w:t xml:space="preserve">attacks of the white ant), the fig, orange, lime, pomegranate,</w:t></w:r>
</w:p>
<w:p>
<w:pPr><w:pStyle w:val="Normal"/></w:pPr>
<w:r><w:t xml:space="preserve">peach, apricot, banana and other fruit trees; the grape vine</w:t></w:r>
</w:p>
<w:p>
<w:pPr><w:pStyle w:val="Normal"/></w:pPr>
<w:r><w:t xml:space="preserve">(rare), blackberry and raspberry; the cotton and indigo</w:t></w:r>
</w:p>
<w:p>
<w:pPr><w:pStyle w:val="Normal"/></w:pPr>
<w:r><w:t xml:space="preserve">Plants, and occasionally the sugar cane.  There are in the</w:t></w:r>
</w:p>
<w:p>
<w:pPr><w:pStyle w:val="Normal"/></w:pPr>
<w:r><w:t xml:space="preserve">south large forests of valuable timber trees; and the coffee</w:t></w:r>
</w:p>
<w:p>
<w:pPr><w:pStyle w:val="Normal"/></w:pPr>
<w:r><w:t xml:space="preserve">plant is indigenous in the Kaffa country, whence it takes its</w:t></w:r>
</w:p>
<w:p>
<w:pPr><w:pStyle w:val="Normal"/></w:pPr>
<w:r><w:t xml:space="preserve">name.  Many kinds of grasses and flowers abound.  Large areas</w:t></w:r>
</w:p>
<w:p>
<w:pPr><w:pStyle w:val="Normal"/></w:pPr>
<w:r><w:t xml:space="preserve">are covered by the kussa, a hardy member of the rose family,</w:t></w:r>
</w:p>
<w:p>
<w:pPr><w:pStyle w:val="Normal"/></w:pPr>
<w:r><w:t xml:space="preserve">which grows from 8 to 10 ft. high and has abundant pendent red</w:t></w:r>
</w:p>
<w:p>
<w:pPr><w:pStyle w:val="Normal"/></w:pPr>
<w:r><w:t xml:space="preserve">blossoms.  The flowers and the leaves of this plant are</w:t></w:r>
</w:p>
<w:p>
<w:pPr><w:pStyle w:val="Normal"/></w:pPr>
<w:r><w:t xml:space="preserve">highly prized for medicinal purposes.  The fruit of the</w:t></w:r>
</w:p>
<w:p>
<w:pPr><w:pStyle w:val="Normal"/></w:pPr>
<w:r><w:t xml:space="preserve">hurarina, a tree found almost exclusively in Shoa, yields</w:t></w:r>
</w:p>
<w:p>
<w:pPr><w:pStyle w:val="Normal"/></w:pPr>
<w:r><w:t xml:space="preserve">a black grain highly esteemed as a spice.  On the tableland</w:t></w:r>
</w:p>
<w:p>
<w:pPr><w:pStyle w:val="Normal"/></w:pPr>
<w:r><w:t xml:space="preserve">a great variety of grains and vegetables are cultivated.</w:t></w:r>
</w:p>
<w:p>
<w:pPr><w:pStyle w:val="Normal"/></w:pPr>
<w:r><w:t xml:space="preserve">A fibrous plant, known as the sanseviera, grows in a wild</w:t></w:r>
</w:p>
<w:p>
<w:pPr><w:pStyle w:val="Normal"/></w:pPr>
<w:r><w:t xml:space="preserve">state in the semi-desert regions of the north and south-east.</w:t></w:r>
</w:p>
<w:p>
<w:pPr><w:pStyle w:val="Normal"/></w:pPr>
<w:r><w:t xml:space="preserve">In addition to the domestic animals enumerated below (sec.  8) the</w:t></w:r>
</w:p>
<w:p>
<w:pPr><w:pStyle w:val="Normal"/></w:pPr>
<w:r><w:t xml:space="preserve">fauna is very varied.  Elephant and rhinoceros are numerous in</w:t></w:r>
</w:p>
<w:p>
<w:pPr><w:pStyle w:val="Normal"/></w:pPr>
<w:r><w:t xml:space="preserve">certain low-lying districts, especially in the Sobat valley.</w:t></w:r>
</w:p>
<w:p>
<w:pPr><w:pStyle w:val="Normal"/></w:pPr>
<w:r><w:t xml:space="preserve">The Abyssinian rhinoceros has two horns and its skin has no</w:t></w:r>
</w:p>
<w:p>
<w:pPr><w:pStyle w:val="Normal"/></w:pPr>
<w:r><w:t xml:space="preserve">folds.  The hippopotamus and crocodile inhabit the larger</w:t></w:r>
</w:p>
<w:p>
<w:pPr><w:pStyle w:val="Normal"/></w:pPr>
<w:r><w:t xml:space="preserve">rivers flowing west, but are not found in the Hawash, in which,</w:t></w:r>
</w:p>
<w:p>
<w:pPr><w:pStyle w:val="Normal"/></w:pPr>
<w:r><w:t xml:space="preserve">however, otters of large size are plentiful.  Lions abound</w:t></w:r>
</w:p>
<w:p>
<w:pPr><w:pStyle w:val="Normal"/></w:pPr>
<w:r><w:t xml:space="preserve">in the low countries and in Somaliland.  In central Abyssinia</w:t></w:r>
</w:p>
<w:p>
<w:pPr><w:pStyle w:val="Normal"/></w:pPr>
<w:r><w:t xml:space="preserve">the lion is no longer found except occasionally in the river</w:t></w:r>
</w:p>
<w:p>
<w:pPr><w:pStyle w:val="Normal"/></w:pPr>
<w:r><w:t xml:space="preserve">valleys.  Leopards, both spotted and black, are numerous and</w:t></w:r>
</w:p>
<w:p>
<w:pPr><w:pStyle w:val="Normal"/></w:pPr>
<w:r><w:t xml:space="preserve">often of great size; hyaenas are found everywhere and are</w:t></w:r>
</w:p>
<w:p>
<w:pPr><w:pStyle w:val="Normal"/></w:pPr>
<w:r><w:t xml:space="preserve">hardy and fierce; the lynx, wolf, wild dog and jackal are also</w:t></w:r>
</w:p>
<w:p>
<w:pPr><w:pStyle w:val="Normal"/></w:pPr>
<w:r><w:t xml:space="preserve">common.  Boars and badgers are more rarely seen.  The giraffe</w:t></w:r>
</w:p>
<w:p>
<w:pPr><w:pStyle w:val="Normal"/></w:pPr>
<w:r><w:t xml:space="preserve">is found in the western districts, the zebra and wild ass</w:t></w:r>
</w:p>
<w:p>
<w:pPr><w:pStyle w:val="Normal"/></w:pPr>
<w:r><w:t xml:space="preserve">frequent the lower plateaus and the rocky hills of the</w:t></w:r>
</w:p>
<w:p>
<w:pPr><w:pStyle w:val="Normal"/></w:pPr>
<w:r><w:t xml:space="preserve">north.  There are large herds of buffalo and antelope, and</w:t></w:r>
</w:p>
<w:p>
<w:pPr><w:pStyle w:val="Normal"/></w:pPr>
<w:r><w:t xml:space="preserve">gazelles of many varieties and in great numbers are met</w:t></w:r>
</w:p>
<w:p>
<w:pPr><w:pStyle w:val="Normal"/></w:pPr>
<w:r><w:t xml:space="preserve">with in most parts of the country.  Among the varieties are</w:t></w:r>
</w:p>
<w:p>
<w:pPr><w:pStyle w:val="Normal"/></w:pPr>
<w:r><w:t xml:space="preserve">the greater and lesser kudu (both rather rare); the duiker,</w:t></w:r>
</w:p>
<w:p>
<w:pPr><w:pStyle w:val="Normal"/></w:pPr>
<w:r><w:t xml:space="preserve">gemsbuck, hartebeest, gerenuk (the most common--it has</w:t></w:r>
</w:p>
<w:p>
<w:pPr><w:pStyle w:val="Normal"/></w:pPr>
<w:r><w:t xml:space="preserve">long thin legs and a camel-like neck); klipspringer, found</w:t></w:r>
</w:p>
<w:p>
<w:pPr><w:pStyle w:val="Normal"/></w:pPr>
<w:r><w:t xml:space="preserve">on the high plateaus as well as in the lower districts;</w:t></w:r>
</w:p>
<w:p>
<w:pPr><w:pStyle w:val="Normal"/></w:pPr>
<w:r><w:t xml:space="preserve">and the dik-dik, the smallest of the antelopes, its weight</w:t></w:r>
</w:p>
<w:p>
<w:pPr><w:pStyle w:val="Normal"/></w:pPr>
<w:r><w:t xml:space="preserve">rarely exceeding 10 lb. , common in the low countries and the</w:t></w:r>
</w:p>
<w:p>
<w:pPr><w:pStyle w:val="Normal"/></w:pPr>
<w:r><w:t xml:space="preserve">foothills.  The civet is found in many parts of Abyssinia,</w:t></w:r>
</w:p>
<w:p>
<w:pPr><w:pStyle w:val="Normal"/></w:pPr>
<w:r><w:t xml:space="preserve">but chiefly in the Galla regions.  Squirrels and hares</w:t></w:r>
</w:p>
<w:p>
<w:pPr><w:pStyle w:val="Normal"/></w:pPr>
<w:r><w:t xml:space="preserve">are numerous, as are several kinds of monkeys, notably</w:t></w:r>
</w:p>
<w:p>
<w:pPr><w:pStyle w:val="Normal"/></w:pPr>
<w:r><w:t xml:space="preserve">the guereza, gelada, guenon and dog-faced baboon.  They</w:t></w:r>
</w:p>
<w:p>
<w:pPr><w:pStyle w:val="Normal"/></w:pPr>
<w:r><w:t xml:space="preserve">range from the tropical lowlands to heights of 10,000 ft.</w:t></w:r>
</w:p>
<w:p>
<w:pPr><w:pStyle w:val="Normal"/></w:pPr>
<w:r><w:t xml:space="preserve">Birds are very numerous, and many of them remarkable for the</w:t></w:r>
</w:p>
<w:p>
<w:pPr><w:pStyle w:val="Normal"/></w:pPr>
<w:r><w:t xml:space="preserve">beauty of their plumage.  Great numbers of eagles, vultures, hawks,</w:t></w:r>
</w:p>
<w:p>
<w:pPr><w:pStyle w:val="Normal"/></w:pPr>
<w:r><w:t xml:space="preserve">bustards and other birds of prey are met with; and partridges,</w:t></w:r>
</w:p>
<w:p>
<w:pPr><w:pStyle w:val="Normal"/></w:pPr>
<w:r><w:t xml:space="preserve">duck, teal, guinea-fowl, sand-grouse, curlews, woodcock, snipe,</w:t></w:r>
</w:p>
<w:p>
<w:pPr><w:pStyle w:val="Normal"/></w:pPr>
<w:r><w:t xml:space="preserve">pigeons, thrushes and swallows are very plentiful.  A fine</w:t></w:r>
</w:p>
<w:p>
<w:pPr><w:pStyle w:val="Normal"/></w:pPr>
<w:r><w:t xml:space="preserve">variety of ostrich is commonly found.  Among the birds prized</w:t></w:r>
</w:p>
<w:p>
<w:pPr><w:pStyle w:val="Normal"/></w:pPr>
<w:r><w:t xml:space="preserve">for their plumage are the marabout, crane, heron, blacks bird,</w:t></w:r>
</w:p>
<w:p>
<w:pPr><w:pStyle w:val="Normal"/></w:pPr>
<w:r><w:t xml:space="preserve">parrot, jay and humming-birds of extraordinary brilliance,</w:t></w:r>
</w:p>
<w:p>
<w:pPr><w:pStyle w:val="Normal"/></w:pPr>
<w:r><w:t xml:space="preserve">Among insects the most numerous and useful is the bee, honey</w:t></w:r>
</w:p>
<w:p>
<w:pPr><w:pStyle w:val="Normal"/></w:pPr>
<w:r><w:t xml:space="preserve">everywhere constituting an important part of the food of the</w:t></w:r>
</w:p>
<w:p>
<w:pPr><w:pStyle w:val="Normal"/></w:pPr>
<w:r><w:t xml:space="preserve">inhabitants.  Of an opposite class is the locust.  Serpents</w:t></w:r>
</w:p>
<w:p>
<w:pPr><w:pStyle w:val="Normal"/></w:pPr>
<w:r><w:t xml:space="preserve">are not numerous, but several species are poisonous.  There</w:t></w:r>
</w:p>
<w:p>
<w:pPr><w:pStyle w:val="Normal"/></w:pPr>
<w:r><w:t xml:space="preserve">are thousands of varieties of butterflies and other insects.</w:t></w:r>
</w:p>
<w:p>
<w:pPr><w:pStyle w:val="Normal"/></w:pPr>
<w:r><w:t xml:space="preserve">(7) Provinces and Towns.--Politically, Abyssinia is divided</w:t></w:r>
</w:p>
<w:p>
<w:pPr><w:pStyle w:val="Normal"/></w:pPr>
<w:r><w:t xml:space="preserve">into provinces or kingdoms and dependent territories.  The</w:t></w:r>
</w:p>
<w:p>
<w:pPr><w:pStyle w:val="Normal"/></w:pPr>
<w:r><w:t xml:space="preserve">chief provinces are Tigro, which occupies the N.E. of the</w:t></w:r>
</w:p>
<w:p>
<w:pPr><w:pStyle w:val="Normal"/></w:pPr>
<w:r><w:t xml:space="preserve">country; Amhara or Gondar, in the centre; Gojam, the district</w:t></w:r>
</w:p>
<w:p>
<w:pPr><w:pStyle w:val="Normal"/></w:pPr>
<w:r><w:t xml:space="preserve">enclosed by the great semicircular sweep of the Abai; and Shoa</w:t></w:r>
</w:p>
<w:p>
<w:pPr><w:pStyle w:val="Normal"/></w:pPr>
<w:r><w:t xml:space="preserve">(q.v.), which lies east of the Abai and south of Amhara.</w:t></w:r>
</w:p>
<w:p>
<w:pPr><w:pStyle w:val="Normal"/></w:pPr>
<w:r><w:t xml:space="preserve">Besides these ancient provinces and several others of smaller</w:t></w:r>
</w:p>
<w:p>
<w:pPr><w:pStyle w:val="Normal"/></w:pPr>
<w:r><w:t xml:space="preserve">size, the empire includes the Wallega region, lying S.W. of</w:t></w:r>
</w:p>
<w:p>
<w:pPr><w:pStyle w:val="Normal"/></w:pPr>
<w:r><w:t xml:space="preserve">Gojam; the Harrar province in the east; Kaffa (q.v.) and Galla</w:t></w:r>
</w:p>
<w:p>
<w:pPr><w:pStyle w:val="Normal"/></w:pPr>
<w:r><w:t xml:space="preserve">land, S.W. and S. of Shoa; and the central part of Somaliland.</w:t></w:r>
</w:p>
<w:p>
<w:pPr><w:pStyle w:val="Normal"/></w:pPr>
<w:r><w:t xml:space="preserve">With the exception of Harrar (q.v.), a city of Arab</w:t></w:r>
</w:p>
<w:p>
<w:pPr><w:pStyle w:val="Normal"/></w:pPr>
<w:r><w:t xml:space="preserve">foundation, there are no large towns in Abyssinia.  Harrar</w:t></w:r>
</w:p>
<w:p>
<w:pPr><w:pStyle w:val="Normal"/></w:pPr>
<w:r><w:t xml:space="preserve">is some 30 m.  S.E. of Dire Dawa, whence there is a railway</w:t></w:r>
</w:p>
<w:p>
<w:pPr><w:pStyle w:val="Normal"/></w:pPr>
<w:r><w:t xml:space="preserve">(188 m. long) to Jibuti on the Gulf of Aden.  The absence</w:t></w:r>
</w:p>
<w:p>
<w:pPr><w:pStyle w:val="Normal"/></w:pPr>
<w:r><w:t xml:space="preserve">of large towns in Abyssinia proper is due to the provinces</w:t></w:r>
</w:p>
<w:p>
<w:pPr><w:pStyle w:val="Normal"/></w:pPr>
<w:r><w:t xml:space="preserve">into which the country is divided having been for centuries</w:t></w:r>
</w:p>
<w:p>
<w:pPr><w:pStyle w:val="Normal"/></w:pPr>
<w:r><w:t xml:space="preserve">in a state of almost continual warfare, and to the frequent</w:t></w:r>
</w:p>
<w:p>
<w:pPr><w:pStyle w:val="Normal"/></w:pPr>
<w:r><w:t xml:space="preserve">change of the royal residences on the exhaustion of fuel</w:t></w:r>
</w:p>
<w:p>
<w:pPr><w:pStyle w:val="Normal"/></w:pPr>
<w:r><w:t xml:space="preserve">supplies.  The earliest capital appears to have been Axum</w:t></w:r>
</w:p>
<w:p>
<w:pPr><w:pStyle w:val="Normal"/></w:pPr>
<w:r><w:t xml:space="preserve">(q.v.) in Tigre, where there are extensive ruins.  In</w:t></w:r>
</w:p>
<w:p>
<w:pPr><w:pStyle w:val="Normal"/></w:pPr>
<w:r><w:t xml:space="preserve">the middle ages Gondar in Amhara became the capital of the</w:t></w:r>
</w:p>
<w:p>
<w:pPr><w:pStyle w:val="Normal"/></w:pPr>
<w:r><w:t xml:space="preserve">country and was so regarded up to the middle of the 19th</w:t></w:r>
</w:p>
<w:p>
<w:pPr><w:pStyle w:val="Normal"/></w:pPr>
<w:r><w:t xml:space="preserve">century. Since 1892 the capital has been Adis Ababa in the</w:t></w:r>
</w:p>
<w:p>
<w:pPr><w:pStyle w:val="Normal"/></w:pPr>
<w:r><w:t xml:space="preserve">kingdom of Shoa.</w:t></w:r>
</w:p>
<w:p>
<w:pPr><w:pStyle w:val="Normal"/></w:pPr>
<w:r><w:t xml:space="preserve">The other towns of Abyssinia worthy of mention may be grouped</w:t></w:r>
</w:p>
<w:p>
<w:pPr><w:pStyle w:val="Normal"/></w:pPr>
<w:r><w:t xml:space="preserve">according to their geographical position.  None of them has</w:t></w:r>
</w:p>
<w:p>
<w:pPr><w:pStyle w:val="Normal"/></w:pPr>
<w:r><w:t xml:space="preserve">a permanent population exceeding 6000, but at several large</w:t></w:r>
</w:p>
<w:p>
<w:pPr><w:pStyle w:val="Normal"/></w:pPr>
<w:r><w:t xml:space="preserve">markets are held periodically.  In Tigre there are Adowa</w:t></w:r>
</w:p>
<w:p>
<w:pPr><w:pStyle w:val="Normal"/></w:pPr>
<w:r><w:t xml:space="preserve">or Adua ( 17 m.  E. by N. of Axum), Adigrat, Macalle and</w:t></w:r>
</w:p>
<w:p>
<w:pPr><w:pStyle w:val="Normal"/></w:pPr>
<w:r><w:t xml:space="preserve">Antalo The three last-named places are on the high plateau</w:t></w:r>
</w:p>
<w:p>
<w:pPr><w:pStyle w:val="Normal"/></w:pPr>
<w:r><w:t xml:space="preserve">near its eastern escarpment and on the direct road south</w:t></w:r>
</w:p>
<w:p>
<w:pPr><w:pStyle w:val="Normal"/></w:pPr>
<w:r><w:t xml:space="preserve">from Massawa to Shoa.  West of Adigrat is the monastery of</w:t></w:r>
</w:p>
<w:p>
<w:pPr><w:pStyle w:val="Normal"/></w:pPr>
<w:r><w:t xml:space="preserve">Debra-Domo, one of the most celebrated sanctuaries in Abyssinia.</w:t></w:r>
</w:p>
<w:p>
<w:pPr><w:pStyle w:val="Normal"/></w:pPr>
<w:r><w:t xml:space="preserve">In Amhara there are:---Magdala (q.v.), formerly the residence</w:t></w:r>
</w:p>
<w:p>
<w:pPr><w:pStyle w:val="Normal"/></w:pPr>
<w:r><w:t xml:space="preserve">of King Theodore, and the place of imprisonment of the British</w:t></w:r>
</w:p>
<w:p>
<w:pPr><w:pStyle w:val="Normal"/></w:pPr>
<w:r><w:t xml:space="preserve">captives in 1866.  Debra-Tabor (``Mount Tabor&apos;&apos;), the chief</w:t></w:r>
</w:p>
<w:p>
<w:pPr><w:pStyle w:val="Normal"/></w:pPr>
<w:r><w:t xml:space="preserve">royal residence during the reign of King John, occupies a strong</w:t></w:r>
</w:p>
<w:p>
<w:pPr><w:pStyle w:val="Normal"/></w:pPr>
<w:r><w:t xml:space="preserve">strategic position overlooking the fertile plains east of Lake</w:t></w:r>
</w:p>
<w:p>
<w:pPr><w:pStyle w:val="Normal"/></w:pPr>
<w:r><w:t xml:space="preserve">Tsana, at a height of about 8,620 ft. above the sea; it has</w:t></w:r>
</w:p>
<w:p>
<w:pPr><w:pStyle w:val="Normal"/></w:pPr>
<w:r><w:t xml:space="preserve">a population of 3000, including the neighbouring station of</w:t></w:r>
</w:p>
<w:p>
<w:pPr><w:pStyle w:val="Normal"/></w:pPr>
<w:r><w:t xml:space="preserve">Samara, headquarters of the Protestant missionaries in the</w:t></w:r>
</w:p>
<w:p>
<w:pPr><w:pStyle w:val="Normal"/></w:pPr>
<w:r><w:t xml:space="preserve">time of King Theodore.  Ambra-Mariam, a fortified station</w:t></w:r>
</w:p>
<w:p>
<w:pPr><w:pStyle w:val="Normal"/></w:pPr>
<w:r><w:t xml:space="preserve">midway between Gondar and Debra-Tabor near the north-east</w:t></w:r>
</w:p>
<w:p>
<w:pPr><w:pStyle w:val="Normal"/></w:pPr>
<w:r><w:t xml:space="preserve">side of Lake Tsana, with a population of 3000; here is the</w:t></w:r>
</w:p>
<w:p>
<w:pPr><w:pStyle w:val="Normal"/></w:pPr>
<w:r><w:t xml:space="preserve">famous shrine and church dedicated to St Mary, whence the</w:t></w:r>
</w:p>
<w:p>
<w:pPr><w:pStyle w:val="Normal"/></w:pPr>
<w:r><w:t xml:space="preserve">name of the place, ``Fort St Mary.&apos;&apos; Mahdera-Mariam (``Mary&apos;s</w:t></w:r>
</w:p>
<w:p>
<w:pPr><w:pStyle w:val="Normal"/></w:pPr>
<w:r><w:t xml:space="preserve">Rest&apos;&apos;), for some time a royal residence, and an important</w:t></w:r>
</w:p>
<w:p>
<w:pPr><w:pStyle w:val="Normal"/></w:pPr>
<w:r><w:t xml:space="preserve">market and great place of pilgrimage, a few miles south-west</w:t></w:r>
</w:p>
<w:p>
<w:pPr><w:pStyle w:val="Normal"/></w:pPr>
<w:r><w:t xml:space="preserve">of Debra-Tabor; its two churches of the ``Mother&apos;&apos; and the</w:t></w:r>
</w:p>
<w:p>
<w:pPr><w:pStyle w:val="Normal"/></w:pPr>
<w:r><w:t xml:space="preserve">``Son&apos;&apos; are held in great veneration by all Abyssinians; it</w:t></w:r>
</w:p>
<w:p>
<w:pPr><w:pStyle w:val="Normal"/></w:pPr>
<w:r><w:t xml:space="preserve">has a permanent population estimated at over 4000, Gallas and</w:t></w:r>
</w:p>
<w:p>
<w:pPr><w:pStyle w:val="Normal"/></w:pPr>
<w:r><w:t xml:space="preserve">Amharas, the former mostly Mahommedan.  Sokota, one of the</w:t></w:r>
</w:p>
<w:p>
<w:pPr><w:pStyle w:val="Normal"/></w:pPr>
<w:r><w:t xml:space="preserve">great central markets, and capital of the province of Waag in</w:t></w:r>
</w:p>
<w:p>
<w:pPr><w:pStyle w:val="Normal"/></w:pPr>
<w:r><w:t xml:space="preserve">Amhara, at the converging point of several main trade routes;</w:t></w:r>
</w:p>
<w:p>
<w:pPr><w:pStyle w:val="Normal"/></w:pPr>
<w:r><w:t xml:space="preserve">the market is numerously attended, especially by dealers in the</w:t></w:r>
</w:p>
<w:p>
<w:pPr><w:pStyle w:val="Normal"/></w:pPr>
<w:r><w:t xml:space="preserve">salt blocks which come from Lake Alalbed.  The following towns</w:t></w:r>
</w:p>
<w:p>
<w:pPr><w:pStyle w:val="Normal"/></w:pPr>
<w:r><w:t xml:space="preserve">are in Shoa:---Ankober, formerly the capital of the kingdom;</w:t></w:r>
</w:p>
<w:p>
<w:pPr><w:pStyle w:val="Normal"/></w:pPr>
<w:r><w:t xml:space="preserve">Aliu-Amba, east of Ankober on the trade route to the Gulf of</w:t></w:r>
</w:p>
<w:p>
<w:pPr><w:pStyle w:val="Normal"/></w:pPr>
<w:r><w:t xml:space="preserve">Aden; Debra-Berhan (Debra-Bernam) (``Mountain of Light&apos;&apos;),</w:t></w:r>
</w:p>
<w:p>
<w:pPr><w:pStyle w:val="Normal"/></w:pPr>
<w:r><w:t xml:space="preserve">once a royal residence; Liche (Litche), one of the largest</w:t></w:r>
</w:p>
<w:p>
<w:pPr><w:pStyle w:val="Normal"/></w:pPr>
<w:r><w:t xml:space="preserve">market towns in southern Abyssinia.  Licka, the largest market</w:t></w:r>
</w:p>
<w:p>
<w:pPr><w:pStyle w:val="Normal"/></w:pPr>
<w:r><w:t xml:space="preserve">in Galla land, has direct communications with Gojam, Shoa and</w:t></w:r>
</w:p>
<w:p>
<w:pPr><w:pStyle w:val="Normal"/></w:pPr>
<w:r><w:t xml:space="preserve">other parts of the empire.  Bonga, the commercial centre of</w:t></w:r>
</w:p>
<w:p>
<w:pPr><w:pStyle w:val="Normal"/></w:pPr>
<w:r><w:t xml:space="preserve">Kaffa, and Jiren, capital of the neighbouring province of</w:t></w:r>
</w:p>
<w:p>
<w:pPr><w:pStyle w:val="Normal"/></w:pPr>
<w:r><w:t xml:space="preserve">Jimma, are frequented by traders from all the surrounding</w:t></w:r>
</w:p>
<w:p>
<w:pPr><w:pStyle w:val="Normal"/></w:pPr>
<w:r><w:t xml:space="preserve">provinces, and also by foreign merchants from the seaports</w:t></w:r>
</w:p>
<w:p>
<w:pPr><w:pStyle w:val="Normal"/></w:pPr>
<w:r><w:t xml:space="preserve">on the Gulf of Aden.  Apart from these market-places there</w:t></w:r>
</w:p>
<w:p>
<w:pPr><w:pStyle w:val="Normal"/></w:pPr>
<w:r><w:t xml:space="preserve">are no settlements of any size in southern Abyssinia.</w:t></w:r>
</w:p>
<w:p>
<w:pPr><w:pStyle w:val="Normal"/></w:pPr>
<w:r><w:t xml:space="preserve">Communications.--The J&apos;buti-Dire Dawa railway has been mentioned</w:t></w:r>
</w:p>
<w:p>
<w:pPr><w:pStyle w:val="Normal"/></w:pPr>
<w:r><w:t xml:space="preserve">above.  The continuation of this railway to the capital was</w:t></w:r>
</w:p>
<w:p>
<w:pPr><w:pStyle w:val="Normal"/></w:pPr>
<w:r><w:t xml:space="preserve">begun in 1906 from the Adis Ababa end.  There are few roads</w:t></w:r>
</w:p>
<w:p>
<w:pPr><w:pStyle w:val="Normal"/></w:pPr>
<w:r><w:t xml:space="preserve">in Abyssinia suitable for wheeled traffic.  Transport is</w:t></w:r>
</w:p>
<w:p>
<w:pPr><w:pStyle w:val="Normal"/></w:pPr>
<w:r><w:t xml:space="preserve">usually carried on by mules, donkeys, pack-horses and (in the</w:t></w:r>
</w:p>
<w:p>
<w:pPr><w:pStyle w:val="Normal"/></w:pPr>
<w:r><w:t xml:space="preserve">lower regions) camels.  From Dire Dawa to Harrar there is a</w:t></w:r>
</w:p>
<w:p>
<w:pPr><w:pStyle w:val="Normal"/></w:pPr>
<w:r><w:t xml:space="preserve">well-made carriage road, and from Harrar to Adis Ababa the</w:t></w:r>
</w:p>
<w:p>
<w:pPr><w:pStyle w:val="Normal"/></w:pPr>
<w:r><w:t xml:space="preserve">caravan track is kept in good order, the river Hawash being</w:t></w:r>
</w:p>
<w:p>
<w:pPr><w:pStyle w:val="Normal"/></w:pPr>
<w:r><w:t xml:space="preserve">spanned by an iron bridge.  There is also a direct trade</w:t></w:r>
</w:p>
<w:p>
<w:pPr><w:pStyle w:val="Normal"/></w:pPr>
<w:r><w:t xml:space="preserve">route from Dire Dawa to the capital.  Telegraph lines connect</w:t></w:r>
</w:p>
<w:p>
<w:pPr><w:pStyle w:val="Normal"/></w:pPr>
<w:r><w:t xml:space="preserve">Adis Ababa and several important towns in northern Abyssinia</w:t></w:r>
</w:p>
<w:p>
<w:pPr><w:pStyle w:val="Normal"/></w:pPr>
<w:r><w:t xml:space="preserve">with Massawa, Harrar and Jibuti.  There is also a telephonic</w:t></w:r>
</w:p>
<w:p>
<w:pPr><w:pStyle w:val="Normal"/></w:pPr>
<w:r><w:t xml:space="preserve">service, the longest line being from Harrar to the capital.</w:t></w:r>
</w:p>
<w:p>
<w:pPr><w:pStyle w:val="Normal"/></w:pPr>
<w:r><w:t xml:space="preserve">(8) Agriculture.--The soil is exceedingly fertile, as is</w:t></w:r>
</w:p>
<w:p>
<w:pPr><w:pStyle w:val="Normal"/></w:pPr>
<w:r><w:t xml:space="preserve">evident from the fact that Egypt owes practically all its</w:t></w:r>
</w:p>
<w:p>
<w:pPr><w:pStyle w:val="Normal"/></w:pPr>
<w:r><w:t xml:space="preserve">fertility to the sediment carried into the Nile by its Abyssinian</w:t></w:r>
</w:p>
<w:p>
<w:pPr><w:pStyle w:val="Normal"/></w:pPr>
<w:r><w:t xml:space="preserve">tributaries.  Agriculture is extensively followed, chiefly</w:t></w:r>
</w:p>
<w:p>
<w:pPr><w:pStyle w:val="Normal"/></w:pPr>
<w:r><w:t xml:space="preserve">by the Gallas, the indolence of the Abyssinians preventing</w:t></w:r>
</w:p>
<w:p>
<w:pPr><w:pStyle w:val="Normal"/></w:pPr>
<w:r><w:t xml:space="preserve">them from being good farmers.  In the lower regions a wide</w:t></w:r>
</w:p>
<w:p>
<w:pPr><w:pStyle w:val="Normal"/></w:pPr>
<w:r><w:t xml:space="preserve">variety of crops are grown --among them maize, durra, wheat,</w:t></w:r>
</w:p>
<w:p>
<w:pPr><w:pStyle w:val="Normal"/></w:pPr>
<w:r><w:t xml:space="preserve">barley, rye, teff, pease, cotton and sugar-cane---and many</w:t></w:r>
</w:p>
<w:p>
<w:pPr><w:pStyle w:val="Normal"/></w:pPr>
<w:r><w:t xml:space="preserve">kinds of fruit trees are cultivated. Teff is a kind of</w:t></w:r>
</w:p>
<w:p>
<w:pPr><w:pStyle w:val="Normal"/></w:pPr>
<w:r><w:t xml:space="preserve">millet with grains about the size of an ordinary pin-head,</w:t></w:r>
</w:p>
<w:p>
<w:pPr><w:pStyle w:val="Normal"/></w:pPr>
<w:r><w:t xml:space="preserve">of which is made the bread commonly eaten.  The low grounds</w:t></w:r>
</w:p>
<w:p>
<w:pPr><w:pStyle w:val="Normal"/></w:pPr>
<w:r><w:t xml:space="preserve">also produce a grain, tocussa, from which black bread is</w:t></w:r>
</w:p>
<w:p>
<w:pPr><w:pStyle w:val="Normal"/></w:pPr>
<w:r><w:t xml:space="preserve">made.  Besides these, certain oleaginous plants, the</w:t></w:r>
</w:p>
<w:p>
<w:pPr><w:pStyle w:val="Normal"/></w:pPr>
<w:r><w:t xml:space="preserve">suf, nuc and selite (there are no European equivalents</w:t></w:r>
</w:p>
<w:p>
<w:pPr><w:pStyle w:val="Normal"/></w:pPr>
<w:r><w:t xml:space="preserve">for the native names), and the ground-nut are largely</w:t></w:r>
</w:p>
<w:p>
<w:pPr><w:pStyle w:val="Normal"/></w:pPr>
<w:r><w:t xml:space="preserve">grown.  The castor bean grows wild, the green castor in the</w:t></w:r>
</w:p>
<w:p>
<w:pPr><w:pStyle w:val="Normal"/></w:pPr>
<w:r><w:t xml:space="preserve">low, damp regions, the red castor at medium altitudes.  The</w:t></w:r>
</w:p>
<w:p>
<w:pPr><w:pStyle w:val="Normal"/></w:pPr>
<w:r><w:t xml:space="preserve">kat plant, a medicinal herb which has a tonic quality, is</w:t></w:r>
</w:p>
<w:p>
<w:pPr><w:pStyle w:val="Normal"/></w:pPr>
<w:r><w:t xml:space="preserve">largely grown in the Harrar province.  On the higher plateaus</w:t></w:r>
</w:p>
<w:p>
<w:pPr><w:pStyle w:val="Normal"/></w:pPr>
<w:r><w:t xml:space="preserve">the hardier cereals only are cultivated.  Here the chief</w:t></w:r>
</w:p>
<w:p>
<w:pPr><w:pStyle w:val="Normal"/></w:pPr>
<w:r><w:t xml:space="preserve">crops are wheat, barley, teff, peppers, vegetables of all</w:t></w:r>
</w:p>
<w:p>
<w:pPr><w:pStyle w:val="Normal"/></w:pPr>
<w:r><w:t xml:space="preserve">kinds and coffee.  Above 10,000 ft. the crops are confined</w:t></w:r>
</w:p>
<w:p>
<w:pPr><w:pStyle w:val="Normal"/></w:pPr>
<w:r><w:t xml:space="preserve">practically to barley, oats, beans and occasionally wheat.</w:t></w:r>
</w:p>
<w:p>
<w:pPr><w:pStyle w:val="Normal"/></w:pPr>
<w:r><w:t xml:space="preserve">Coffee is one of the most important products of the country,</w:t></w:r>
</w:p>
<w:p>
<w:pPr><w:pStyle w:val="Normal"/></w:pPr>
<w:r><w:t xml:space="preserve">and its original home is believed to be the Kaffa highlands.</w:t></w:r>
</w:p>
<w:p>
<w:pPr><w:pStyle w:val="Normal"/></w:pPr>
<w:r><w:t xml:space="preserve">It is cultivated in the S., S.E. and S.W. provinces, and to</w:t></w:r>
</w:p>
<w:p>
<w:pPr><w:pStyle w:val="Normal"/></w:pPr>
<w:r><w:t xml:space="preserve">a less extent in the central districts.  Two qualities of</w:t></w:r>
</w:p>
<w:p>
<w:pPr><w:pStyle w:val="Normal"/></w:pPr>
<w:r><w:t xml:space="preserve">coffee are cultivated, one known as Abyssinian, the other as</w:t></w:r>
</w:p>
<w:p>
<w:pPr><w:pStyle w:val="Normal"/></w:pPr>
<w:r><w:t xml:space="preserve">Harrar-Mocha.  The ``Abyssinian&apos;&apos; coffee is grown very extensively</w:t></w:r>
</w:p>
<w:p>
<w:pPr><w:pStyle w:val="Normal"/></w:pPr>
<w:r><w:t xml:space="preserve">throughout the southern highlands.  Little attention is paid</w:t></w:r>
</w:p>
<w:p>
<w:pPr><w:pStyle w:val="Normal"/></w:pPr>
<w:r><w:t xml:space="preserve">to the crop, the berries being frequently gathered from the</w:t></w:r>
</w:p>
<w:p>
<w:pPr><w:pStyle w:val="Normal"/></w:pPr>
<w:r><w:t xml:space="preserve">ground, and consequently the coffee is of comparatively low</w:t></w:r>
</w:p>
<w:p>
<w:pPr><w:pStyle w:val="Normal"/></w:pPr>
<w:r><w:t xml:space="preserve">grade. ``Harrar-Mocha&apos;&apos; is of first-class quality.  It is</w:t></w:r>
</w:p>
<w:p>
<w:pPr><w:pStyle w:val="Normal"/></w:pPr>
<w:r><w:t xml:space="preserve">grown in the highlands of Harrar, and cultivated with extreme</w:t></w:r>
</w:p>
<w:p>
<w:pPr><w:pStyle w:val="Normal"/></w:pPr>
<w:r><w:t xml:space="preserve">care.  The raising of cotton received a considerable impetus</w:t></w:r>
</w:p>
<w:p>
<w:pPr><w:pStyle w:val="Normal"/></w:pPr>
<w:r><w:t xml:space="preserve">in the early years of the 20th century.  The soil of the</w:t></w:r>
</w:p>
<w:p>
<w:pPr><w:pStyle w:val="Normal"/></w:pPr>
<w:r><w:t xml:space="preserve">Hawash valley proved particularly suitable for raising this</w:t></w:r>
</w:p>
<w:p>
<w:pPr><w:pStyle w:val="Normal"/></w:pPr>
<w:r><w:t xml:space="preserve">crop.  In the high plateaus the planting of seeds begins in</w:t></w:r>
</w:p>
<w:p>
<w:pPr><w:pStyle w:val="Normal"/></w:pPr>
<w:r><w:t xml:space="preserve">May, in the lower plateaus and the plains in June, but in</w:t></w:r>
</w:p>
<w:p>
<w:pPr><w:pStyle w:val="Normal"/></w:pPr>
<w:r><w:t xml:space="preserve">certain parts where the summer is long and rain abundant</w:t></w:r>
</w:p>
<w:p>
<w:pPr><w:pStyle w:val="Normal"/></w:pPr>
<w:r><w:t xml:space="preserve">sowing and reaping are going on at the same time.  Most</w:t></w:r>
</w:p>
<w:p>
<w:pPr><w:pStyle w:val="Normal"/></w:pPr>
<w:r><w:t xml:space="preserve">regions yield two, many three crops a year.  The methods</w:t></w:r>
</w:p>
<w:p>
<w:pPr><w:pStyle w:val="Normal"/></w:pPr>
<w:r><w:t xml:space="preserve">of culture are primitive, the plough commonly used being a</w:t></w:r>
</w:p>
<w:p>
<w:pPr><w:pStyle w:val="Normal"/></w:pPr>
<w:r><w:t xml:space="preserve">long pole with two vertical iron teeth and a smaller pole</w:t></w:r>
</w:p>
<w:p>
<w:pPr><w:pStyle w:val="Normal"/></w:pPr>
<w:r><w:t xml:space="preserve">at right angles to which oxen are attached.  This implement</w:t></w:r>
</w:p>
<w:p>
<w:pPr><w:pStyle w:val="Normal"/></w:pPr>
<w:r><w:t xml:space="preserve">costs about four shillings.  The ploughing is done by the</w:t></w:r>
</w:p>
<w:p>
<w:pPr><w:pStyle w:val="Normal"/></w:pPr>
<w:r><w:t xml:space="preserve">men, but women and girls do the reaping.  The grain is usually</w:t></w:r>
</w:p>
<w:p>
<w:pPr><w:pStyle w:val="Normal"/></w:pPr>
<w:r><w:t xml:space="preserve">trodden out by cattle and is often stored in clay-lined</w:t></w:r>
</w:p>
<w:p>
<w:pPr><w:pStyle w:val="Normal"/></w:pPr>
<w:r><w:t xml:space="preserve">pits.  Land comparatively poor yields crops eight to tenfold</w:t></w:r>
</w:p>
<w:p>
<w:pPr><w:pStyle w:val="Normal"/></w:pPr>
<w:r><w:t xml:space="preserve">the quantity sown; the major part of the land yields twenty to</w:t></w:r>
</w:p>
<w:p>
<w:pPr><w:pStyle w:val="Normal"/></w:pPr>
<w:r><w:t xml:space="preserve">thirtyfold.  In the northern parts of the empire very little</w:t></w:r>
</w:p>
<w:p>
<w:pPr><w:pStyle w:val="Normal"/></w:pPr>
<w:r><w:t xml:space="preserve">land is left uncultivated.  The hillsides are laid out in</w:t></w:r>
</w:p>
<w:p>
<w:pPr><w:pStyle w:val="Normal"/></w:pPr>
<w:r><w:t xml:space="preserve">terraces and carefully irrigated in the dry season, the</w:t></w:r>
</w:p>
<w:p>
<w:pPr><w:pStyle w:val="Normal"/></w:pPr>
<w:r><w:t xml:space="preserve">channels being often two miles or more long.  Of all the</w:t></w:r>
</w:p>
<w:p>
<w:pPr><w:pStyle w:val="Normal"/></w:pPr>
<w:r><w:t xml:space="preserve">cereals barley is the most widely grown.  The average rate</w:t></w:r>
</w:p>
<w:p>
<w:pPr><w:pStyle w:val="Normal"/></w:pPr>
<w:r><w:t xml:space="preserve">of pay to an agricultural labourer is about threepence a</w:t></w:r>
</w:p>
<w:p>
<w:pPr><w:pStyle w:val="Normal"/></w:pPr>
<w:r><w:t xml:space="preserve">day in addition to food, which may cost another penny a day.</w:t></w:r>
</w:p>
<w:p>
<w:pPr><w:pStyle w:val="Normal"/></w:pPr>
<w:r><w:t xml:space="preserve">The Abyssinians keep a large number of domestic animals.  Among</w:t></w:r>
</w:p>
<w:p>
<w:pPr><w:pStyle w:val="Normal"/></w:pPr>
<w:r><w:t xml:space="preserve">cattle the Sanga or Galla ox is the most common.  The bulls</w:t></w:r>
</w:p>
<w:p>
<w:pPr><w:pStyle w:val="Normal"/></w:pPr>
<w:r><w:t xml:space="preserve">are usually kept for ploughing, the cow being preferred for</w:t></w:r>
</w:p>
<w:p>
<w:pPr><w:pStyle w:val="Normal"/></w:pPr>
<w:r><w:t xml:space="preserve">meat.  Most of the cattle are of the zebu or hump-backed</w:t></w:r>
</w:p>
<w:p>
<w:pPr><w:pStyle w:val="Normal"/></w:pPr>
<w:r><w:t xml:space="preserve">variety, hut there are also two breeds----one large, the other</w:t></w:r>
</w:p>
<w:p>
<w:pPr><w:pStyle w:val="Normal"/></w:pPr>
<w:r><w:t xml:space="preserve">resembling the Jersey cattle---which are straight-backed.</w:t></w:r>
</w:p>
<w:p>
<w:pPr><w:pStyle w:val="Normal"/></w:pPr>
<w:r><w:t xml:space="preserve">The horns of the zebu variety are sometimes four feet long.</w:t></w:r>
</w:p>
<w:p>
<w:pPr><w:pStyle w:val="Normal"/></w:pPr>
<w:r><w:t xml:space="preserve">Sheep, of which there are very large flocks, belong to the short</w:t></w:r>
</w:p>
<w:p>
<w:pPr><w:pStyle w:val="Normal"/></w:pPr>
<w:r><w:t xml:space="preserve">and fat-tailed variety.  The majority are not wool-bearing,</w:t></w:r>
</w:p>
<w:p>
<w:pPr><w:pStyle w:val="Normal"/></w:pPr>
<w:r><w:t xml:space="preserve">but in one district a very small black sheep is raised for</w:t></w:r>
</w:p>
<w:p>
<w:pPr><w:pStyle w:val="Normal"/></w:pPr>
<w:r><w:t xml:space="preserve">wool.  The small mountain breed of sheep weigh no more than 20</w:t></w:r>
</w:p>
<w:p>
<w:pPr><w:pStyle w:val="Normal"/></w:pPr>
<w:r><w:t xml:space="preserve">to 30 lb. apiece.  Goats are of both the long and short-haired</w:t></w:r>
</w:p>
<w:p>
<w:pPr><w:pStyle w:val="Normal"/></w:pPr>
<w:r><w:t xml:space="preserve">varieties.  The horns of the large goats are often thirty</w:t></w:r>
</w:p>
<w:p>
<w:pPr><w:pStyle w:val="Normal"/></w:pPr>
<w:r><w:t xml:space="preserve">inches in length and stand up straight from the head.  The</w:t></w:r>
</w:p>
<w:p>
<w:pPr><w:pStyle w:val="Normal"/></w:pPr>
<w:r><w:t xml:space="preserve">goats from the Arusi Galla country have fine silky hair which</w:t></w:r>
</w:p>
<w:p>
<w:pPr><w:pStyle w:val="Normal"/></w:pPr>
<w:r><w:t xml:space="preserve">is sometimes sixteen inches long.  The meat of both sheep and</w:t></w:r>
</w:p>
<w:p>
<w:pPr><w:pStyle w:val="Normal"/></w:pPr>
<w:r><w:t xml:space="preserve">goats is excellent; that of the latter is preferred by the</w:t></w:r>
</w:p>
<w:p>
<w:pPr><w:pStyle w:val="Normal"/></w:pPr>
<w:r><w:t xml:space="preserve">natives.  In 1904 the estimated number of sheep and goats</w:t></w:r>
</w:p>
<w:p>
<w:pPr><w:pStyle w:val="Normal"/></w:pPr>
<w:r><w:t xml:space="preserve">in the country was 20,000,000.  Large quantities of butter,</w:t></w:r>
</w:p>
<w:p>
<w:pPr><w:pStyle w:val="Normal"/></w:pPr>
<w:r><w:t xml:space="preserve">generally rancid, are made from the milk of cows, goats and</w:t></w:r>
</w:p>
<w:p>
<w:pPr><w:pStyle w:val="Normal"/></w:pPr>
<w:r><w:t xml:space="preserve">sheep.  In the Leka province small black pigs are bred in</w:t></w:r>
</w:p>
<w:p>
<w:pPr><w:pStyle w:val="Normal"/></w:pPr>
<w:r><w:t xml:space="preserve">considerable numbers.  The horses (very numerous) are small hut</w:t></w:r>
</w:p>
<w:p>
<w:pPr><w:pStyle w:val="Normal"/></w:pPr>
<w:r><w:t xml:space="preserve">strong; they are generally about 14 hands in height.  The best</w:t></w:r>
</w:p>
<w:p>
<w:pPr><w:pStyle w:val="Normal"/></w:pPr>
<w:r><w:t xml:space="preserve">breeds come from the Shoa uplands.  The ass is also small and</w:t></w:r>
</w:p>
<w:p>
<w:pPr><w:pStyle w:val="Normal"/></w:pPr>
<w:r><w:t xml:space="preserve">strong; and the mule, bred in large numbers, is of excellent</w:t></w:r>
</w:p>
<w:p>
<w:pPr><w:pStyle w:val="Normal"/></w:pPr>
<w:r><w:t xml:space="preserve">quality, and both as a transport animal and as a mount is</w:t></w:r>
</w:p>
<w:p>
<w:pPr><w:pStyle w:val="Normal"/></w:pPr>
<w:r><w:t xml:space="preserve">preferred to the horse.  The mule thrives in every condition</w:t></w:r>
</w:p>
<w:p>
<w:pPr><w:pStyle w:val="Normal"/></w:pPr>
<w:r><w:t xml:space="preserve">of climate, is fever-proof, travels over the most difficult</w:t></w:r>
</w:p>
<w:p>
<w:pPr><w:pStyle w:val="Normal"/></w:pPr>
<w:r><w:t xml:space="preserve">mountain passes with absolute security, and can carry with</w:t></w:r>
</w:p>
<w:p>
<w:pPr><w:pStyle w:val="Normal"/></w:pPr>
<w:r><w:t xml:space="preserve">ease a load of 200 lb.  The average height of a mule is 124</w:t></w:r>
</w:p>
<w:p>
<w:pPr><w:pStyle w:val="Normal"/></w:pPr>
<w:r><w:t xml:space="preserve">hands.  The country is admirably adapted for stock-raising.</w:t></w:r>
</w:p>
<w:p>
<w:pPr><w:pStyle w:val="Normal"/></w:pPr>
<w:r><w:t xml:space="preserve">(9) Minerals.---In the south and south-west provinces</w:t></w:r>
</w:p>
<w:p>
<w:pPr><w:pStyle w:val="Normal"/></w:pPr>
<w:r><w:t xml:space="preserve">placer gold mines by the banks of watercourses are worked by</w:t></w:r>
</w:p>
<w:p>
<w:pPr><w:pStyle w:val="Normal"/></w:pPr>
<w:r><w:t xml:space="preserve">Gallas as an industry subsidiary to tending their flocks and</w:t></w:r>
</w:p>
<w:p>
<w:pPr><w:pStyle w:val="Normal"/></w:pPr>
<w:r><w:t xml:space="preserve">fields.  In the Wallega district are veins of gold-bearing</w:t></w:r>
</w:p>
<w:p>
<w:pPr><w:pStyle w:val="Normal"/></w:pPr>
<w:r><w:t xml:space="preserve">quartz, mined to a certain extent.  There are also gold</w:t></w:r>
</w:p>
<w:p>
<w:pPr><w:pStyle w:val="Normal"/></w:pPr>
<w:r><w:t xml:space="preserve">mines in southern Shoa The annual output of gold is worth not</w:t></w:r>
</w:p>
<w:p>
<w:pPr><w:pStyle w:val="Normal"/></w:pPr>
<w:r><w:t xml:space="preserve">less than L. 500,000.  Only a small proportion is exported.</w:t></w:r>
</w:p>
<w:p>
<w:pPr><w:pStyle w:val="Normal"/></w:pPr>
<w:r><w:t xml:space="preserve">Besides gold, silver, iron, coal and other minerals are</w:t></w:r>
</w:p>
<w:p>
<w:pPr><w:pStyle w:val="Normal"/></w:pPr>
<w:r><w:t xml:space="preserve">found.  Rock-salt is obtained from the province of Tigre.</w:t></w:r>
</w:p>
<w:p>
<w:pPr><w:pStyle w:val="Normal"/></w:pPr>
<w:r><w:t xml:space="preserve">Trade and Currency.---Abyssinia being without seaports,</w:t></w:r>
</w:p>
<w:p>
<w:pPr><w:pStyle w:val="Normal"/></w:pPr>
<w:r><w:t xml:space="preserve">the external trade is through Massawa (Italian) in the</w:t></w:r>
</w:p>
<w:p>
<w:pPr><w:pStyle w:val="Normal"/></w:pPr>
<w:r><w:t xml:space="preserve">north, Jibuti (French), Zaila and Berbera (British) in the</w:t></w:r>
</w:p>
<w:p>
<w:pPr><w:pStyle w:val="Normal"/></w:pPr>
<w:r><w:t xml:space="preserve">south, and for all these ports Aden is a distributing</w:t></w:r>
</w:p>
<w:p>
<w:pPr><w:pStyle w:val="Normal"/></w:pPr>
<w:r><w:t xml:space="preserve">centre.  For Tigre and Amhara products Massawa is the best</w:t></w:r>
</w:p>
<w:p>
<w:pPr><w:pStyle w:val="Normal"/></w:pPr>
<w:r><w:t xml:space="preserve">port, for the rest of the empire, Jibuti.  For southern</w:t></w:r>
</w:p>
<w:p>
<w:pPr><w:pStyle w:val="Normal"/></w:pPr>
<w:r><w:t xml:space="preserve">Abyssinia, Kaffa and Galla lands, Harrar is the great</w:t></w:r>
</w:p>
<w:p>
<w:pPr><w:pStyle w:val="Normal"/></w:pPr>
<w:r><w:t xml:space="preserve">entrepot, goods being forwarded thence to Jibuti and the other</w:t></w:r>
</w:p>
<w:p>
<w:pPr><w:pStyle w:val="Normal"/></w:pPr>
<w:r><w:t xml:space="preserve">Somaliland ports.  There is also a considerable trade with the</w:t></w:r>
</w:p>
<w:p>
<w:pPr><w:pStyle w:val="Normal"/></w:pPr>
<w:r><w:t xml:space="preserve">Anglo-Egyptian Sudan through the frontier towns of Rosaires and</w:t></w:r>
</w:p>
<w:p>
<w:pPr><w:pStyle w:val="Normal"/></w:pPr>
<w:r><w:t xml:space="preserve">Gallabat.  At the French and British ports thore is freedom</w:t></w:r>
</w:p>
<w:p>
<w:pPr><w:pStyle w:val="Normal"/></w:pPr>
<w:r><w:t xml:space="preserve">of trade, but on goods for Abyssinia entering Massawa a</w:t></w:r>
</w:p>
<w:p>
<w:pPr><w:pStyle w:val="Normal"/></w:pPr>
<w:r><w:t xml:space="preserve">discriminating tax is levied if they are not imported from Italy.</w:t></w:r>
</w:p>
<w:p>
<w:pPr><w:pStyle w:val="Normal"/></w:pPr>
<w:r><w:t xml:space="preserve">The chief articles of export are coffee, skins, ivory, civet,</w:t></w:r>
</w:p>
<w:p>
<w:pPr><w:pStyle w:val="Normal"/></w:pPr>
<w:r><w:t xml:space="preserve">ostrich feathers, gum, pepper, kat plant (used by Moslems for</w:t></w:r>
</w:p>
<w:p>
<w:pPr><w:pStyle w:val="Normal"/></w:pPr>
<w:r><w:t xml:space="preserve">its stimulating properties), gold (in small quantities) and</w:t></w:r>
</w:p>
<w:p>
<w:pPr><w:pStyle w:val="Normal"/></w:pPr>
<w:r><w:t xml:space="preserve">live stock.  The trade in skins is mainly with the L 1ited</w:t></w:r>
</w:p>
<w:p>
<w:pPr><w:pStyle w:val="Normal"/></w:pPr>
<w:r><w:t xml:space="preserve">States through Aden; America also takes a large proportion</w:t></w:r>
</w:p>
<w:p>
<w:pPr><w:pStyle w:val="Normal"/></w:pPr>
<w:r><w:t xml:space="preserve">of the coffee exported.  For live stock there is a good</w:t></w:r>
</w:p>
<w:p>
<w:pPr><w:pStyle w:val="Normal"/></w:pPr>
<w:r><w:t xml:space="preserve">trade with Madagascar.  The chief imports are cotton goods,</w:t></w:r>
</w:p>
<w:p>
<w:pPr><w:pStyle w:val="Normal"/></w:pPr>
<w:r><w:t xml:space="preserve">the yearly value of this trade being fully L. 250,000; the</w:t></w:r>
</w:p>
<w:p>
<w:pPr><w:pStyle w:val="Normal"/></w:pPr>
<w:r><w:t xml:space="preserve">sheetings are largely American; the remainder English and</w:t></w:r>
</w:p>
<w:p>
<w:pPr><w:pStyle w:val="Normal"/></w:pPr>
<w:r><w:t xml:space="preserve">Indian.  No other article of import approaches cotton in</w:t></w:r>
</w:p>
<w:p>
<w:pPr><w:pStyle w:val="Normal"/></w:pPr>
<w:r><w:t xml:space="preserve">importance, but a considerable trade is done in arms and</w:t></w:r>
</w:p>
<w:p>
<w:pPr><w:pStyle w:val="Normal"/></w:pPr>
<w:r><w:t xml:space="preserve">ammunition, rice, sugar, flour and other foods, and a still</w:t></w:r>
</w:p>
<w:p>
<w:pPr><w:pStyle w:val="Normal"/></w:pPr>
<w:r><w:t xml:space="preserve">larger trade in candles and matches (from Sweden), oil,</w:t></w:r>
</w:p>
<w:p>
<w:pPr><w:pStyle w:val="Normal"/></w:pPr>
<w:r><w:t xml:space="preserve">carpets (oriental and European), hats and umbrellas.  Commerce</w:t></w:r>
</w:p>
<w:p>
<w:pPr><w:pStyle w:val="Normal"/></w:pPr>
<w:r><w:t xml:space="preserve">long remained in a backward condition; but under the Emperor</w:t></w:r>
</w:p>
<w:p>
<w:pPr><w:pStyle w:val="Normal"/></w:pPr>
<w:r><w:t xml:space="preserve">Menelek II. efforts were made to develop the resources of</w:t></w:r>
</w:p>
<w:p>
<w:pPr><w:pStyle w:val="Normal"/></w:pPr>
<w:r><w:t xml:space="preserve">the country, and in 1905 the total volume of trade exceeded</w:t></w:r>
</w:p>
<w:p>
<w:pPr><w:pStyle w:val="Normal"/></w:pPr>
<w:r><w:t xml:space="preserve">Until the end of the 19th century the usual currency was the</w:t></w:r>
</w:p>
<w:p>
<w:pPr><w:pStyle w:val="Normal"/></w:pPr>
<w:r><w:t xml:space="preserve">Maria Theresa dollar, bars of rock-salt and cartridges.  In</w:t></w:r>
</w:p>
<w:p>
<w:pPr><w:pStyle w:val="Normal"/></w:pPr>
<w:r><w:t xml:space="preserve">1894 a new coinage was introduced, with the Menelek dollar</w:t></w:r>
</w:p>
<w:p>
<w:pPr><w:pStyle w:val="Normal"/></w:pPr>
<w:r><w:t xml:space="preserve">or talari, worth about two shillings, as the standard.</w:t></w:r>
</w:p>
<w:p>
<w:pPr><w:pStyle w:val="Normal"/></w:pPr>
<w:r><w:t xml:space="preserve">This new coinage gradually superseded the older currency.</w:t></w:r>
</w:p>
<w:p>
<w:pPr><w:pStyle w:val="Normal"/></w:pPr>
<w:r><w:t xml:space="preserve">In 1905 the Bank of Abyssinia, the first banking house in the</w:t></w:r>
</w:p>
<w:p>
<w:pPr><w:pStyle w:val="Normal"/></w:pPr>
<w:r><w:t xml:space="preserve">country, was founded, with its headquarters at Adis Ababa.</w:t></w:r>
</w:p>
<w:p>
<w:pPr><w:pStyle w:val="Normal"/></w:pPr>
<w:r><w:t xml:space="preserve">The bank, which was granted a monopoly of banking business in</w:t></w:r>
</w:p>
<w:p>
<w:pPr><w:pStyle w:val="Normal"/></w:pPr>
<w:r><w:t xml:space="preserve">the empire for fifty years, has a capital of L. 500,000, has</w:t></w:r>
</w:p>
<w:p>
<w:pPr><w:pStyle w:val="Normal"/></w:pPr>
<w:r><w:t xml:space="preserve">the power to issue notes, to mint the Abyssinian coinage,</w:t></w:r>
</w:p>
<w:p>
<w:pPr><w:pStyle w:val="Normal"/></w:pPr>
<w:r><w:t xml:space="preserve">and to engage in commercial operations.  It was founded under</w:t></w:r>
</w:p>
<w:p>
<w:pPr><w:pStyle w:val="Normal"/></w:pPr>
<w:r><w:t xml:space="preserve">Egyptian law by the National Bank of Egypt, which institution</w:t></w:r>
</w:p>
<w:p>
<w:pPr><w:pStyle w:val="Normal"/></w:pPr>
<w:r><w:t xml:space="preserve">had previously obtained a concession from the emperor Menelek.</w:t></w:r>
</w:p>
<w:p>
<w:pPr><w:pStyle w:val="Normal"/></w:pPr>
<w:r><w:t xml:space="preserve">(10) Government.---The political institutions are of a feudal</w:t></w:r>
</w:p>
<w:p>
<w:pPr><w:pStyle w:val="Normal"/></w:pPr>
<w:r><w:t xml:space="preserve">character.  Within their provinces the rases (princes)</w:t></w:r>
</w:p>
<w:p>
<w:pPr><w:pStyle w:val="Normal"/></w:pPr>
<w:r><w:t xml:space="preserve">exercise large powers.  The emperor, styled negus negusti</w:t></w:r>
</w:p>
<w:p>
<w:pPr><w:pStyle w:val="Normal"/></w:pPr>
<w:r><w:t xml:space="preserve">(king of kings), is occasionally assisted by a council of</w:t></w:r>
</w:p>
<w:p>
<w:pPr><w:pStyle w:val="Normal"/></w:pPr>
<w:r><w:t xml:space="preserve">rases.  In October 1907 an imperial decree announced the</w:t></w:r>
</w:p>
<w:p>
<w:pPr><w:pStyle w:val="Normal"/></w:pPr>
<w:r><w:t xml:space="preserve">constitution of a cabinet on European lines, ministers</w:t></w:r>
</w:p>
<w:p>
<w:pPr><w:pStyle w:val="Normal"/></w:pPr>
<w:r><w:t xml:space="preserve">being appointed to the portfolios of foreign affairs, war,</w:t></w:r>
</w:p>
<w:p>
<w:pPr><w:pStyle w:val="Normal"/></w:pPr>
<w:r><w:t xml:space="preserve">commerce, justice and finance.  The legal system is said to</w:t></w:r>
</w:p>
<w:p>
<w:pPr><w:pStyle w:val="Normal"/></w:pPr>
<w:r><w:t xml:space="preserve">be based on the Justinian code.  From the decisions of the</w:t></w:r>
</w:p>
<w:p>
<w:pPr><w:pStyle w:val="Normal"/></w:pPr>
<w:r><w:t xml:space="preserve">judges there is a right of appeal to the emperor.  The chief</w:t></w:r>
</w:p>
<w:p>
<w:pPr><w:pStyle w:val="Normal"/></w:pPr>
<w:r><w:t xml:space="preserve">judicial official is known as the affh-negus (breath of the</w:t></w:r>
</w:p>
<w:p>
<w:pPr><w:pStyle w:val="Normal"/></w:pPr>
<w:r><w:t xml:space="preserve">king).  The Abyssinian church (q.v.) is presided over</w:t></w:r>
</w:p>
<w:p>
<w:pPr><w:pStyle w:val="Normal"/></w:pPr>
<w:r><w:t xml:space="preserve">by an abuna, or archbishop.  The land is not held in fee</w:t></w:r>
</w:p>
<w:p>
<w:pPr><w:pStyle w:val="Normal"/></w:pPr>
<w:r><w:t xml:space="preserve">simple, but is subject to the control of the emperor or the</w:t></w:r>
</w:p>
<w:p>
<w:pPr><w:pStyle w:val="Normal"/></w:pPr>
<w:r><w:t xml:space="preserve">church.  Revenue is derived from an ad valorem tax on all</w:t></w:r>
</w:p>
<w:p>
<w:pPr><w:pStyle w:val="Normal"/></w:pPr>
<w:r><w:t xml:space="preserve">imports; the purchase and sale of animals; from royalties on</w:t></w:r>
</w:p>
<w:p>
<w:pPr><w:pStyle w:val="Normal"/></w:pPr>
<w:r><w:t xml:space="preserve">trading concessions, and in other ways, including fees for</w:t></w:r>
</w:p>
<w:p>
<w:pPr><w:pStyle w:val="Normal"/></w:pPr>
<w:r><w:t xml:space="preserve">the administration of justice.  Education, of a rudimentary</w:t></w:r>
</w:p>
<w:p>
<w:pPr><w:pStyle w:val="Normal"/></w:pPr>
<w:r><w:t xml:space="preserve">character, is given by the clergy.  In 1907 a system of compulsory</w:t></w:r>
</w:p>
<w:p>
<w:pPr><w:pStyle w:val="Normal"/></w:pPr>
<w:r><w:t xml:space="preserve">education ``of all male children over the age of 12&apos;&apos; was</w:t></w:r>
</w:p>
<w:p>
<w:pPr><w:pStyle w:val="Normal"/></w:pPr>
<w:r><w:t xml:space="preserve">decreed.  The education was to be state provided, Coptic teachers</w:t></w:r>
</w:p>
<w:p>
<w:pPr><w:pStyle w:val="Normal"/></w:pPr>
<w:r><w:t xml:space="preserve">were brought from Egypt and school buildings were erected.</w:t></w:r>
</w:p>
<w:p>
<w:pPr><w:pStyle w:val="Normal"/></w:pPr>
<w:r><w:t xml:space="preserve">The Abyssinian calendar is as follows:---The Abyssinian year</w:t></w:r>
</w:p>
<w:p>
<w:pPr><w:pStyle w:val="Normal"/></w:pPr>
<w:r><w:t xml:space="preserve">of 365 days (366 in leap-year) begins on the 1st of Maskarram,</w:t></w:r>
</w:p>
<w:p>
<w:pPr><w:pStyle w:val="Normal"/></w:pPr>
<w:r><w:t xml:space="preserve">which corresponds to about the 10th of September.  The</w:t></w:r>
</w:p>
<w:p>
<w:pPr><w:pStyle w:val="Normal"/></w:pPr>
<w:r><w:t xml:space="preserve">months have thirty days each, and are thus named: Maskarram,</w:t></w:r>
</w:p>
<w:p>
<w:pPr><w:pStyle w:val="Normal"/></w:pPr>
<w:r><w:t xml:space="preserve">Tekemt, Hadar, Tahsas, Tarr, Yekatit, Magawit, Miaziah,</w:t></w:r>
</w:p>
<w:p>
<w:pPr><w:pStyle w:val="Normal"/></w:pPr>
<w:r><w:t xml:space="preserve">Genbot, Sanni, Hamle, Nas&apos;hi.  The remaining five days in</w:t></w:r>
</w:p>
<w:p>
<w:pPr><w:pStyle w:val="Normal"/></w:pPr>
<w:r><w:t xml:space="preserve">the year, termed Pagmen or Quaggimi (six in leap-year, the</w:t></w:r>
</w:p>
<w:p>
<w:pPr><w:pStyle w:val="Normal"/></w:pPr>
<w:r><w:t xml:space="preserve">extra day being named Kadis Yohannis), are put in at the</w:t></w:r>
</w:p>
<w:p>
<w:pPr><w:pStyle w:val="Normal"/></w:pPr>
<w:r><w:t xml:space="preserve">end and treated as holidays.  Abyssinian reckoning is about</w:t></w:r>
</w:p>
<w:p>
<w:pPr><w:pStyle w:val="Normal"/></w:pPr>
<w:r><w:t xml:space="preserve">seven years eight months behind the Gregorian.  Festivals,</w:t></w:r>
</w:p>
<w:p>
<w:pPr><w:pStyle w:val="Normal"/></w:pPr>
<w:r><w:t xml:space="preserve">such as Easter, fall a week later than in western Europe.</w:t></w:r>
</w:p>
<w:p>
<w:pPr><w:pStyle w:val="Normal"/></w:pPr>
<w:r><w:t xml:space="preserve">Army.--A small standing army is maintained in each province</w:t></w:r>
</w:p>
<w:p>
<w:pPr><w:pStyle w:val="Normal"/></w:pPr>
<w:r><w:t xml:space="preserve">of Abyssinia proper.  Every able-bodied Abyssinian is expected</w:t></w:r>
</w:p>
<w:p>
<w:pPr><w:pStyle w:val="Normal"/></w:pPr>
<w:r><w:t xml:space="preserve">to join the army in case of need, and a force, well armed with</w:t></w:r>
</w:p>
<w:p>
<w:pPr><w:pStyle w:val="Normal"/></w:pPr>
<w:r><w:t xml:space="preserve">modern weapons, approaching 250,000 can be placed in the field.</w:t></w:r>
</w:p>
<w:p>
<w:pPr><w:pStyle w:val="Normal"/></w:pPr>
<w:r><w:t xml:space="preserve">The cavalry is chiefly composed of Galla horsemen. (F. R. C.)</w:t></w:r>
</w:p>
<w:p>
<w:pPr><w:pStyle w:val="Normal"/></w:pPr>
<w:r><w:t xml:space="preserve">ETHNOLOGY (i1) The population of the empire is estimated</w:t></w:r>
</w:p>
<w:p>
<w:pPr><w:pStyle w:val="Normal"/></w:pPr>
<w:r><w:t xml:space="preserve">at from 3,500,000 to 5,000,000.  The inhabitants consist</w:t></w:r>
</w:p>
<w:p>
<w:pPr><w:pStyle w:val="Normal"/></w:pPr>
<w:r><w:t xml:space="preserve">mainly of the Abyssinians, the Galla and the Somali (the two</w:t></w:r>
</w:p>
<w:p>
<w:pPr><w:pStyle w:val="Normal"/></w:pPr>
<w:r><w:t xml:space="preserve">last-named peoples are separately noticed).  Of non-African</w:t></w:r>
</w:p>
<w:p>
<w:pPr><w:pStyle w:val="Normal"/></w:pPr>
<w:r><w:t xml:space="preserve">races the most numerous are Armenians, Indians, Jews and</w:t></w:r>
</w:p>
<w:p>
<w:pPr><w:pStyle w:val="Normal"/></w:pPr>
<w:r><w:t xml:space="preserve">Greeks.  There is a small colony of British, French, Italians and</w:t></w:r>
</w:p>
<w:p>
<w:pPr><w:pStyle w:val="Normal"/></w:pPr>
<w:r><w:t xml:space="preserve">Russians.  The following remarks apply solely to Abyssinia</w:t></w:r>
</w:p>
<w:p>
<w:pPr><w:pStyle w:val="Normal"/></w:pPr>
<w:r><w:t xml:space="preserve">proper and its inhabitants.  It should be remembered that the</w:t></w:r>
</w:p>
<w:p>
<w:pPr><w:pStyle w:val="Normal"/></w:pPr>
<w:r><w:t xml:space="preserve">term ``Abyssinian&apos;&apos; is purely geographical, and has little</w:t></w:r>
</w:p>
<w:p>
<w:pPr><w:pStyle w:val="Normal"/></w:pPr>
<w:r><w:t xml:space="preserve">or no ethnical significance; it is derived from the Arabic</w:t></w:r>
</w:p>
<w:p>
<w:pPr><w:pStyle w:val="Normal"/></w:pPr>
<w:r><w:t xml:space="preserve">Habesh, ``mixed,&apos;&apos; and was a derisive name applied by the</w:t></w:r>
</w:p>
<w:p>
<w:pPr><w:pStyle w:val="Normal"/></w:pPr>
<w:r><w:t xml:space="preserve">Arabs to the heterogeneous inhabitants of the Abyssinian plateau.</w:t></w:r>
</w:p>
<w:p>
<w:pPr><w:pStyle w:val="Normal"/></w:pPr>
<w:r><w:t xml:space="preserve">Abyssinia appears to have been originally peopled by the eastern</w:t></w:r>
</w:p>
<w:p>
<w:pPr><w:pStyle w:val="Normal"/></w:pPr>
<w:r><w:t xml:space="preserve">branch of the Hamitic family, which has occupied this region</w:t></w:r>
</w:p>
<w:p>
<w:pPr><w:pStyle w:val="Normal"/></w:pPr>
<w:r><w:t xml:space="preserve">from the remotest times, and still constitutes the great bulk</w:t></w:r>
</w:p>
<w:p>
<w:pPr><w:pStyle w:val="Normal"/></w:pPr>
<w:r><w:t xml:space="preserve">of its inhabitants, though the higher classes are now strongly</w:t></w:r>
</w:p>
<w:p>
<w:pPr><w:pStyle w:val="Normal"/></w:pPr>
<w:r><w:t xml:space="preserve">Semitized.  The prevailing colour in the central provinces</w:t></w:r>
</w:p>
<w:p>
<w:pPr><w:pStyle w:val="Normal"/></w:pPr>
<w:r><w:t xml:space="preserve">(Amhara, Gojam) is a deep brown, northwards (Tigre, Lasta)</w:t></w:r>
</w:p>
<w:p>
<w:pPr><w:pStyle w:val="Normal"/></w:pPr>
<w:r><w:t xml:space="preserve">it is a pale olive, and here even fair complexions are</w:t></w:r>
</w:p>
<w:p>
<w:pPr><w:pStyle w:val="Normal"/></w:pPr>
<w:r><w:t xml:space="preserve">seen.  Southwards (Shoa, Kobbo, Amuru) a decided chocolate</w:t></w:r>
</w:p>
<w:p>
<w:pPr><w:pStyle w:val="Normal"/></w:pPr>
<w:r><w:t xml:space="preserve">and almost sooty black is the rule.  Many of the people</w:t></w:r>
</w:p>
<w:p>
<w:pPr><w:pStyle w:val="Normal"/></w:pPr>
<w:r><w:t xml:space="preserve">are distinctly negroid, with big lips, small nose, broad</w:t></w:r>
</w:p>
<w:p>
<w:pPr><w:pStyle w:val="Normal"/></w:pPr>
<w:r><w:t xml:space="preserve">at the base, and frizzly or curly black hair.  The negroid</w:t></w:r>
</w:p>
<w:p>
<w:pPr><w:pStyle w:val="Normal"/></w:pPr>
<w:r><w:t xml:space="preserve">element in the population is due chiefly to the number of</w:t></w:r>
</w:p>
<w:p>
<w:pPr><w:pStyle w:val="Normal"/></w:pPr>
<w:r><w:t xml:space="preserve">negro women who have been imported into the harems of the</w:t></w:r>
</w:p>
<w:p>
<w:pPr><w:pStyle w:val="Normal"/></w:pPr>
<w:r><w:t xml:space="preserve">Abyssinians.  The majority, however, may be described as a</w:t></w:r>
</w:p>
<w:p>
<w:pPr><w:pStyle w:val="Normal"/></w:pPr>
<w:r><w:t xml:space="preserve">mixed Hamito-Semitic people, who are in general well formed and</w:t></w:r>
</w:p>
<w:p>
<w:pPr><w:pStyle w:val="Normal"/></w:pPr>
<w:r><w:t xml:space="preserve">handsome, with straight and regular features, lively eyes,</w:t></w:r>
</w:p>
<w:p>
<w:pPr><w:pStyle w:val="Normal"/></w:pPr>
<w:r><w:t xml:space="preserve">hair long and straight or somewhat curled and in colour dark</w:t></w:r>
</w:p>
<w:p>
<w:pPr><w:pStyle w:val="Normal"/></w:pPr>
<w:r><w:t xml:space="preserve">olive, approaching to black.  The Galla, who came originally</w:t></w:r>
</w:p>
<w:p>
<w:pPr><w:pStyle w:val="Normal"/></w:pPr>
<w:r><w:t xml:space="preserve">from the south, are not found in many parts of the country,</w:t></w:r>
</w:p>
<w:p>
<w:pPr><w:pStyle w:val="Normal"/></w:pPr>
<w:r><w:t xml:space="preserve">but predominate in the Wollo district, between Shoa and</w:t></w:r>
</w:p>
<w:p>
<w:pPr><w:pStyle w:val="Normal"/></w:pPr>
<w:r><w:t xml:space="preserve">Amhara.  It is from the Galla that the Abyssinian army is</w:t></w:r>
</w:p>
<w:p>
<w:pPr><w:pStyle w:val="Normal"/></w:pPr>
<w:r><w:t xml:space="preserve">largely recruited, and, indeed, there are few of the chiefs</w:t></w:r>
</w:p>
<w:p>
<w:pPr><w:pStyle w:val="Normal"/></w:pPr>
<w:r><w:t xml:space="preserve">who have not an admixture of Galla blood in their veins.</w:t></w:r>
</w:p>
<w:p>
<w:pPr><w:pStyle w:val="Normal"/></w:pPr>
<w:r><w:t xml:space="preserve">As regards language, several of the indigenous groups, such as</w:t></w:r>
</w:p>
<w:p>
<w:pPr><w:pStyle w:val="Normal"/></w:pPr>
<w:r><w:t xml:space="preserve">the Khamtas of Lasta, the Agau or Agaos of Agaumeder (``Agao</w:t></w:r>
</w:p>
<w:p>
<w:pPr><w:pStyle w:val="Normal"/></w:pPr>
<w:r><w:t xml:space="preserve">land&apos;&apos;) and the Falashas (q.v.), the so-called ``Jews&apos;&apos;</w:t></w:r>
</w:p>
<w:p>
<w:pPr><w:pStyle w:val="Normal"/></w:pPr>
<w:r><w:t xml:space="preserve">of Abyssinia, still speak rude dialects of the old Hamitic</w:t></w:r>
</w:p>
<w:p>
<w:pPr><w:pStyle w:val="Normal"/></w:pPr>
<w:r><w:t xml:space="preserve">tongue.  But the official language and that of all the</w:t></w:r>
</w:p>
<w:p>
<w:pPr><w:pStyle w:val="Normal"/></w:pPr>
<w:r><w:t xml:space="preserve">upper classes is of Semitic origin, derived from the ancient</w:t></w:r>
</w:p>
<w:p>
<w:pPr><w:pStyle w:val="Normal"/></w:pPr>
<w:r><w:t xml:space="preserve">Himyaritic, which is the most archaic member of the Semitic</w:t></w:r>
</w:p>
<w:p>
<w:pPr><w:pStyle w:val="Normal"/></w:pPr>
<w:r><w:t xml:space="preserve">linguistic family.  Geez, as it is called, was introduced</w:t></w:r>
</w:p>
<w:p>
<w:pPr><w:pStyle w:val="Normal"/></w:pPr>
<w:r><w:t xml:space="preserve">with the first immigrants from Yemen, and although no longer</w:t></w:r>
</w:p>
<w:p>
<w:pPr><w:pStyle w:val="Normal"/></w:pPr>
<w:r><w:t xml:space="preserve">spoken is still studied as the liturgical language of the</w:t></w:r>
</w:p>
<w:p>
<w:pPr><w:pStyle w:val="Normal"/></w:pPr>
<w:r><w:t xml:space="preserve">Abyssinian Christians.  Its literature consists of numerous</w:t></w:r>
</w:p>
<w:p>
<w:pPr><w:pStyle w:val="Normal"/></w:pPr>
<w:r><w:t xml:space="preserve">translations of Jewish, Greek and Arabic works, besides a</w:t></w:r>
</w:p>
<w:p>
<w:pPr><w:pStyle w:val="Normal"/></w:pPr>
<w:r><w:t xml:space="preserve">valuable version of the Bible. (See ETHIOPIA.) The best</w:t></w:r>
</w:p>
<w:p>
<w:pPr><w:pStyle w:val="Normal"/></w:pPr>
<w:r><w:t xml:space="preserve">modern representative of Geez is the Tigrina of Tigre and</w:t></w:r>
</w:p>
<w:p>
<w:pPr><w:pStyle w:val="Normal"/></w:pPr>
<w:r><w:t xml:space="preserve">Lasta, which is much purer but less cultivated than the Amharic</w:t></w:r>
</w:p>
<w:p>
<w:pPr><w:pStyle w:val="Normal"/></w:pPr>
<w:r><w:t xml:space="preserve">dialect, which is used in state documents, is current in the</w:t></w:r>
</w:p>
<w:p>
<w:pPr><w:pStyle w:val="Normal"/></w:pPr>
<w:r><w:t xml:space="preserve">central and southern provinces and is much affected by Hamitic</w:t></w:r>
</w:p>
<w:p>
<w:pPr><w:pStyle w:val="Normal"/></w:pPr>
<w:r><w:t xml:space="preserve">elements.  All are written in a peculiar syllabic script</w:t></w:r>
</w:p>
<w:p>
<w:pPr><w:pStyle w:val="Normal"/></w:pPr>
<w:r><w:t xml:space="preserve">which, un- like all other Semitic forms, runs from left to</w:t></w:r>
</w:p>
<w:p>
<w:pPr><w:pStyle w:val="Normal"/></w:pPr>
<w:r><w:t xml:space="preserve">right, and is derived from that of the Sabaeans and Minaeans,</w:t></w:r>
</w:p>
<w:p>
<w:pPr><w:pStyle w:val="Normal"/></w:pPr>
<w:r><w:t xml:space="preserve">still extant in the very old rock-inscriptions of south Arabia.</w:t></w:r>
</w:p>
<w:p>
<w:pPr><w:pStyle w:val="Normal"/></w:pPr>
<w:r><w:t xml:space="preserve">The hybridism of the Abyssinians is reflected in their</w:t></w:r>
</w:p>
<w:p>
<w:pPr><w:pStyle w:val="Normal"/></w:pPr>
<w:r><w:t xml:space="preserve">political and social institutions, and especially in their</w:t></w:r>
</w:p>
<w:p>
<w:pPr><w:pStyle w:val="Normal"/></w:pPr>
<w:r><w:t xml:space="preserve">religious beliefs and practices.  On a seething mass of African</w:t></w:r>
</w:p>
<w:p>
<w:pPr><w:pStyle w:val="Normal"/></w:pPr>
<w:r><w:t xml:space="preserve">heathendom, already in early times affected by primitive</w:t></w:r>
</w:p>
<w:p>
<w:pPr><w:pStyle w:val="Normal"/></w:pPr>
<w:r><w:t xml:space="preserve">Semitic ideas, was suddenly imposed a form of Christianity</w:t></w:r>
</w:p>
<w:p>
<w:pPr><w:pStyle w:val="Normal"/></w:pPr>
<w:r><w:t xml:space="preserve">which became the state religion.  While the various ethnical</w:t></w:r>
</w:p>
<w:p>
<w:pPr><w:pStyle w:val="Normal"/></w:pPr>
<w:r><w:t xml:space="preserve">elements have been merged in the composite Abyssinian nation,</w:t></w:r>
</w:p>
<w:p>
<w:pPr><w:pStyle w:val="Normal"/></w:pPr>
<w:r><w:t xml:space="preserve">the primitive and more advanced religious ideas have nowhere</w:t></w:r>
</w:p>
<w:p>
<w:pPr><w:pStyle w:val="Normal"/></w:pPr>
<w:r><w:t xml:space="preserve">been fused in a uniform Christian system.  Foreigners are</w:t></w:r>
</w:p>
<w:p>
<w:pPr><w:pStyle w:val="Normal"/></w:pPr>
<w:r><w:t xml:space="preserve">often surprised at the strange mixture of savagery and lofty</w:t></w:r>
</w:p>
<w:p>
<w:pPr><w:pStyle w:val="Normal"/></w:pPr>
<w:r><w:t xml:space="preserve">notions in a Christian community which, for instance, accounts</w:t></w:r>
</w:p>
<w:p>
<w:pPr><w:pStyle w:val="Normal"/></w:pPr>
<w:r><w:t xml:space="preserve">accidental manslaughter as wilful murder.  Recourse is still</w:t></w:r>
</w:p>
<w:p>
<w:pPr><w:pStyle w:val="Normal"/></w:pPr>
<w:r><w:t xml:space="preserve">had to dreams as a means of detecting crime.  A priest is</w:t></w:r>
</w:p>
<w:p>
<w:pPr><w:pStyle w:val="Normal"/></w:pPr>
<w:r><w:t xml:space="preserve">summoned, and, if his prayers and curses fail, a small boy is</w:t></w:r>
</w:p>
<w:p>
<w:pPr><w:pStyle w:val="Normal"/></w:pPr>
<w:r><w:t xml:space="preserve">drugged, and ``whatever person he dreams of is fixed on as</w:t></w:r>
</w:p>
<w:p>
<w:pPr><w:pStyle w:val="Normal"/></w:pPr>
<w:r><w:t xml:space="preserve">the criminal. . . . If the boy does not dream of the person</w:t></w:r>
</w:p>
<w:p>
<w:pPr><w:pStyle w:val="Normal"/></w:pPr>
<w:r><w:t xml:space="preserve">whom the priest has determined on as the criminal, he is kept</w:t></w:r>
</w:p>
<w:p>
<w:pPr><w:pStyle w:val="Normal"/></w:pPr>
<w:r><w:t xml:space="preserve">under drugs until he does what is required of him&apos;&apos; (Count</w:t></w:r>
</w:p>
<w:p>
<w:pPr><w:pStyle w:val="Normal"/></w:pPr>
<w:r><w:t xml:space="preserve">Gleichen, With the Mission to Menelik, chap. xvi., 1898).</w:t></w:r>
</w:p>
<w:p>
<w:pPr><w:pStyle w:val="Normal"/></w:pPr>
<w:r><w:t xml:space="preserve">The Abyssinian character reflects the country&apos;s history.</w:t></w:r>
</w:p>
<w:p>
<w:pPr><w:pStyle w:val="Normal"/></w:pPr>
<w:r><w:t xml:space="preserve">Murders and executions are frequent, yet cruelty is not a marked</w:t></w:r>
</w:p>
<w:p>
<w:pPr><w:pStyle w:val="Normal"/></w:pPr>
<w:r><w:t xml:space="preserve">feature of their character; and in war they seldom kill their</w:t></w:r>
</w:p>
<w:p>
<w:pPr><w:pStyle w:val="Normal"/></w:pPr>
<w:r><w:t xml:space="preserve">prisoners.  When a man is convicted of murder, he is handed</w:t></w:r>
</w:p>
<w:p>
<w:pPr><w:pStyle w:val="Normal"/></w:pPr>
<w:r><w:t xml:space="preserve">over to the relatives of the deceased, who may either put him</w:t></w:r>
</w:p>
<w:p>
<w:pPr><w:pStyle w:val="Normal"/></w:pPr>
<w:r><w:t xml:space="preserve">to death or accept a ransom.  When the murdered person has no</w:t></w:r>
</w:p>
<w:p>
<w:pPr><w:pStyle w:val="Normal"/></w:pPr>
<w:r><w:t xml:space="preserve">relatives, the priests take upon themselves the office of</w:t></w:r>
</w:p>
<w:p>
<w:pPr><w:pStyle w:val="Normal"/></w:pPr>
<w:r><w:t xml:space="preserve">avengers.  The natural indolence of the people has been</w:t></w:r>
</w:p>
<w:p>
<w:pPr><w:pStyle w:val="Normal"/></w:pPr>
<w:r><w:t xml:space="preserve">fostered by the constant wars, which have discouraged peaceful</w:t></w:r>
</w:p>
<w:p>
<w:pPr><w:pStyle w:val="Normal"/></w:pPr>
<w:r><w:t xml:space="preserve">occupations.  The soldiers live by plunder, the monks by alms.</w:t></w:r>
</w:p>
<w:p>
<w:pPr><w:pStyle w:val="Normal"/></w:pPr>
<w:r><w:t xml:space="preserve">The haughtiest Abyssinian is not above begging, excusing himself</w:t></w:r>
</w:p>
<w:p>
<w:pPr><w:pStyle w:val="Normal"/></w:pPr>
<w:r><w:t xml:space="preserve">with the remark, ``God has given us speech for the purpose of</w:t></w:r>
</w:p>
<w:p>
<w:pPr><w:pStyle w:val="Normal"/></w:pPr>
<w:r><w:t xml:space="preserve">begging.&apos;&apos; The Abyssinians are vain and selfish, irritable but</w:t></w:r>
</w:p>
<w:p>
<w:pPr><w:pStyle w:val="Normal"/></w:pPr>
<w:r><w:t xml:space="preserve">easily appeased; and are an intelligent bright people, fond of</w:t></w:r>
</w:p>
<w:p>
<w:pPr><w:pStyle w:val="Normal"/></w:pPr>
<w:r><w:t xml:space="preserve">gaiety.  On every festive occasion, as a saint&apos;s day, birth,</w:t></w:r>
</w:p>
<w:p>
<w:pPr><w:pStyle w:val="Normal"/></w:pPr>
<w:r><w:t xml:space="preserve">marriage, &amp;c., it is customary for a rich man to collect</w:t></w:r>
</w:p>
<w:p>
<w:pPr><w:pStyle w:val="Normal"/></w:pPr>
<w:r><w:t xml:space="preserve">his friends and neighbours, and kill a cow and one or two</w:t></w:r>
</w:p>
<w:p>
<w:pPr><w:pStyle w:val="Normal"/></w:pPr>
<w:r><w:t xml:space="preserve">sheep.  The principal parts of the cow are eaten raw while yet</w:t></w:r>
</w:p>
<w:p>
<w:pPr><w:pStyle w:val="Normal"/></w:pPr>
<w:r><w:t xml:space="preserve">warm and quivering, the remainder being cut into small pieces</w:t></w:r>
</w:p>
<w:p>
<w:pPr><w:pStyle w:val="Normal"/></w:pPr>
<w:r><w:t xml:space="preserve">and cooked with the favourite sauce of butter and red pepper</w:t></w:r>
</w:p>
<w:p>
<w:pPr><w:pStyle w:val="Normal"/></w:pPr>
<w:r><w:t xml:space="preserve">paste.  The raw meat eaten in this way is considered to</w:t></w:r>
</w:p>
<w:p>
<w:pPr><w:pStyle w:val="Normal"/></w:pPr>
<w:r><w:t xml:space="preserve">be very superior in taste and much more tender than when</w:t></w:r>
</w:p>
<w:p>
<w:pPr><w:pStyle w:val="Normal"/></w:pPr>
<w:r><w:t xml:space="preserve">cold.  The statement by James Bruce respecting the cutting</w:t></w:r>
</w:p>
<w:p>
<w:pPr><w:pStyle w:val="Normal"/></w:pPr>
<w:r><w:t xml:space="preserve">of steaks from a live cow has frequently been called in</w:t></w:r>
</w:p>
<w:p>
<w:pPr><w:pStyle w:val="Normal"/></w:pPr>
<w:r><w:t xml:space="preserve">question, but there can be no doubt that Bruce actually saw</w:t></w:r>
</w:p>
<w:p>
<w:pPr><w:pStyle w:val="Normal"/></w:pPr>
<w:r><w:t xml:space="preserve">what he narrates.  Mutton and goat&apos;s flesh are the meats</w:t></w:r>
</w:p>
<w:p>
<w:pPr><w:pStyle w:val="Normal"/></w:pPr>
<w:r><w:t xml:space="preserve">most eaten: pork is avoided on religious grounds, and the</w:t></w:r>
</w:p>
<w:p>
<w:pPr><w:pStyle w:val="Normal"/></w:pPr>
<w:r><w:t xml:space="preserve">hare is never touched, possibly, as in other countries, from</w:t></w:r>
</w:p>
<w:p>
<w:pPr><w:pStyle w:val="Normal"/></w:pPr>
<w:r><w:t xml:space="preserve">superstition.  Many forms of game are forbidden; for</w:t></w:r>
</w:p>
<w:p>
<w:pPr><w:pStyle w:val="Normal"/></w:pPr>
<w:r><w:t xml:space="preserve">example, all water-fowl.  The principal drinks are me&apos;mse,</w:t></w:r>
</w:p>
<w:p>
<w:pPr><w:pStyle w:val="Normal"/></w:pPr>
<w:r><w:t xml:space="preserve">a kind of mead, and bousa, a sort of beer made from</w:t></w:r>
</w:p>
<w:p>
<w:pPr><w:pStyle w:val="Normal"/></w:pPr>
<w:r><w:t xml:space="preserve">fermented cakes.  The Abyssinians are heavy eaters and</w:t></w:r>
</w:p>
<w:p>
<w:pPr><w:pStyle w:val="Normal"/></w:pPr>
<w:r><w:t xml:space="preserve">drinkers, and any occasion is seized as an excuse for a</w:t></w:r>
</w:p>
<w:p>
<w:pPr><w:pStyle w:val="Normal"/></w:pPr>
<w:r><w:t xml:space="preserve">carouse.  Old and young, of both sexes, pass days and nights</w:t></w:r>
</w:p>
<w:p>
<w:pPr><w:pStyle w:val="Normal"/></w:pPr>
<w:r><w:t xml:space="preserve">in these symposia, at which special customs and rules</w:t></w:r>
</w:p>
<w:p>
<w:pPr><w:pStyle w:val="Normal"/></w:pPr>
<w:r><w:t xml:space="preserve">prevail.  Little bread is eaten, the Abyssinian preferring</w:t></w:r>
</w:p>
<w:p>
<w:pPr><w:pStyle w:val="Normal"/></w:pPr>
<w:r><w:t xml:space="preserve">a thin cake of durra meal or teE, kneaded with water and</w:t></w:r>
</w:p>
<w:p>
<w:pPr><w:pStyle w:val="Normal"/></w:pPr>
<w:r><w:t xml:space="preserve">exposed to the sun till the dough begins to rise, when it is</w:t></w:r>
</w:p>
<w:p>
<w:pPr><w:pStyle w:val="Normal"/></w:pPr>
<w:r><w:t xml:space="preserve">baked.  Salt is a luxury; ``he eats salt&apos;&apos; being said of a</w:t></w:r>
</w:p>
<w:p>
<w:pPr><w:pStyle w:val="Normal"/></w:pPr>
<w:r><w:t xml:space="preserve">spendthrift.  Bars of rock-salt, after serving as coins, are,</w:t></w:r>
</w:p>
<w:p>
<w:pPr><w:pStyle w:val="Normal"/></w:pPr>
<w:r><w:t xml:space="preserve">when broken up, used as food.  There is a general looseness of</w:t></w:r>
</w:p>
<w:p>
<w:pPr><w:pStyle w:val="Normal"/></w:pPr>
<w:r><w:t xml:space="preserve">morals: marriage is a very slight tie, which can be dissolved</w:t></w:r>
</w:p>
<w:p>
<w:pPr><w:pStyle w:val="Normal"/></w:pPr>
<w:r><w:t xml:space="preserve">at any time by either husband or wife.  Polygamy is by no means</w:t></w:r>
</w:p>
<w:p>
<w:pPr><w:pStyle w:val="Normal"/></w:pPr>
<w:r><w:t xml:space="preserve">uncommon.  Hence there is little family affection, and what</w:t></w:r>
</w:p>
<w:p>
<w:pPr><w:pStyle w:val="Normal"/></w:pPr>
<w:r><w:t xml:space="preserve">exists is only between children of the same father and mother.</w:t></w:r>
</w:p>
<w:p>
<w:pPr><w:pStyle w:val="Normal"/></w:pPr>
<w:r><w:t xml:space="preserve">Children of the same father, but of different mothers, are</w:t></w:r>
</w:p>
<w:p>
<w:pPr><w:pStyle w:val="Normal"/></w:pPr>
<w:r><w:t xml:space="preserve">said to be ``always enemies to each other.&apos;&apos; (Samuel Gobat&apos;s</w:t></w:r>
</w:p>
<w:p>
<w:pPr><w:pStyle w:val="Normal"/></w:pPr>
<w:r><w:t xml:space="preserve">Journal of a Three Years&apos; Residence in Abyssinia, 1834.)</w:t></w:r>
</w:p>
<w:p>
<w:pPr><w:pStyle w:val="Normal"/></w:pPr>
<w:r><w:t xml:space="preserve">The dress of the Abyssinians is much like that of the</w:t></w:r>
</w:p>
<w:p>
<w:pPr><w:pStyle w:val="Normal"/></w:pPr>
<w:r><w:t xml:space="preserve">Arabs.  It consists of close-fitting drawers reaching below the</w:t></w:r>
</w:p>
<w:p>
<w:pPr><w:pStyle w:val="Normal"/></w:pPr>
<w:r><w:t xml:space="preserve">knees, with a sash to hold them, and a large white robe.  The</w:t></w:r>
</w:p>
<w:p>
<w:pPr><w:pStyle w:val="Normal"/></w:pPr>
<w:r><w:t xml:space="preserve">Abyssinian, however, is beginning to adopt European clothes</w:t></w:r>
</w:p>
<w:p>
<w:pPr><w:pStyle w:val="Normal"/></w:pPr>
<w:r><w:t xml:space="preserve">on the upper part of the body, and European hats are becoming</w:t></w:r>
</w:p>
<w:p>
<w:pPr><w:pStyle w:val="Normal"/></w:pPr>
<w:r><w:t xml:space="preserve">common.  The Christian Abyssinians usually go barehead and barefoot,</w:t></w:r>
</w:p>
<w:p>
<w:pPr><w:pStyle w:val="Normal"/></w:pPr>
<w:r><w:t xml:space="preserve">in contrast to the Mahommedans, who wear turbans and leather</w:t></w:r>
</w:p>
<w:p>
<w:pPr><w:pStyle w:val="Normal"/></w:pPr>
<w:r><w:t xml:space="preserve">sandals.  The women&apos;s dress is a smock with sleeves loose to the</w:t></w:r>
</w:p>
<w:p>
<w:pPr><w:pStyle w:val="Normal"/></w:pPr>
<w:r><w:t xml:space="preserve">wrist, where they fit tightly.  The priests wear a white jacket</w:t></w:r>
</w:p>
<w:p>
<w:pPr><w:pStyle w:val="Normal"/></w:pPr>
<w:r><w:t xml:space="preserve">with loose sleeves, a head-cloth like a turban and a special</w:t></w:r>
</w:p>
<w:p>
<w:pPr><w:pStyle w:val="Normal"/></w:pPr>
<w:r><w:t xml:space="preserve">type of shoe with turned-up toes and soles projecting at the</w:t></w:r>
</w:p>
<w:p>
<w:pPr><w:pStyle w:val="Normal"/></w:pPr>
<w:r><w:t xml:space="preserve">heel.  In the Woldeba district hermits dress in ochre-yellow</w:t></w:r>
</w:p>
<w:p>
<w:pPr><w:pStyle w:val="Normal"/></w:pPr>
<w:r><w:t xml:space="preserve">cloths, while the priests of some sects wear hides dyed</w:t></w:r>
</w:p>
<w:p>
<w:pPr><w:pStyle w:val="Normal"/></w:pPr>
<w:r><w:t xml:space="preserve">red.  Clothes are made of cotton, though the nobles and great</w:t></w:r>
</w:p>
<w:p>
<w:pPr><w:pStyle w:val="Normal"/></w:pPr>
<w:r><w:t xml:space="preserve">people wear silk robes presented by the emperor as a mark of</w:t></w:r>
</w:p>
<w:p>
<w:pPr><w:pStyle w:val="Normal"/></w:pPr>
<w:r><w:t xml:space="preserve">honour.  The possessor of one of these is allowed to appear in</w:t></w:r>
</w:p>
<w:p>
<w:pPr><w:pStyle w:val="Normal"/></w:pPr>
<w:r><w:t xml:space="preserve">the royal presence wearing it instead of having one shoulder</w:t></w:r>
</w:p>
<w:p>
<w:pPr><w:pStyle w:val="Normal"/></w:pPr>
<w:r><w:t xml:space="preserve">bared, as is the usual Abyssinian method of showing respect.</w:t></w:r>
</w:p>
<w:p>
<w:pPr><w:pStyle w:val="Normal"/></w:pPr>
<w:r><w:t xml:space="preserve">A high-born man covers himself to the mouth in the presence of</w:t></w:r>
</w:p>
<w:p>
<w:pPr><w:pStyle w:val="Normal"/></w:pPr>
<w:r><w:t xml:space="preserve">inferiors.  The men either cut their hair short or plait it;</w:t></w:r>
</w:p>
<w:p>
<w:pPr><w:pStyle w:val="Normal"/></w:pPr>
<w:r><w:t xml:space="preserve">married women plait their hair and wind round the head a black</w:t></w:r>
</w:p>
<w:p>
<w:pPr><w:pStyle w:val="Normal"/></w:pPr>
<w:r><w:t xml:space="preserve">or parti-coloured silk handkerchief; girls wear their hair</w:t></w:r>
</w:p>
<w:p>
<w:pPr><w:pStyle w:val="Normal"/></w:pPr>
<w:r><w:t xml:space="preserve">short.  In the hot season no Abyssinian goes without a</w:t></w:r>
</w:p>
<w:p>
<w:pPr><w:pStyle w:val="Normal"/></w:pPr>
<w:r><w:t xml:space="preserve">flag-shaped fan of plaited rushes.  The Christian Abyssinians,</w:t></w:r>
</w:p>
<w:p>
<w:pPr><w:pStyle w:val="Normal"/></w:pPr>
<w:r><w:t xml:space="preserve">men and women, wear a blue silk cord round the neck, to</w:t></w:r>
</w:p>
<w:p>
<w:pPr><w:pStyle w:val="Normal"/></w:pPr>
<w:r><w:t xml:space="preserve">which is often attached a crucifix.  For ornament women wear</w:t></w:r>
</w:p>
<w:p>
<w:pPr><w:pStyle w:val="Normal"/></w:pPr>
<w:r><w:t xml:space="preserve">silver ankle-rings with bells, silver necklaces and silver</w:t></w:r>
</w:p>
<w:p>
<w:pPr><w:pStyle w:val="Normal"/></w:pPr>
<w:r><w:t xml:space="preserve">or gold rosettes in the ears.  Silver rings on fingers and</w:t></w:r>
</w:p>
<w:p>
<w:pPr><w:pStyle w:val="Normal"/></w:pPr>
<w:r><w:t xml:space="preserve">also on toes are common.  The women are very fond of strong</w:t></w:r>
</w:p>
<w:p>
<w:pPr><w:pStyle w:val="Normal"/></w:pPr>
<w:r><w:t xml:space="preserve">scents, which are generally oils imported from India and</w:t></w:r>
</w:p>
<w:p>
<w:pPr><w:pStyle w:val="Normal"/></w:pPr>
<w:r><w:t xml:space="preserve">Ceylon.  The men scarcely ever appear without a long curved</w:t></w:r>
</w:p>
<w:p>
<w:pPr><w:pStyle w:val="Normal"/></w:pPr>
<w:r><w:t xml:space="preserve">knife, generally they carry shield and spear as well.  Although</w:t></w:r>
</w:p>
<w:p>
<w:pPr><w:pStyle w:val="Normal"/></w:pPr>
<w:r><w:t xml:space="preserve">the army has been equipped with modern rifles, the common</w:t></w:r>
</w:p>
<w:p>
<w:pPr><w:pStyle w:val="Normal"/></w:pPr>
<w:r><w:t xml:space="preserve">weapon of the people is the matchlock, and slings are still in</w:t></w:r>
</w:p>
<w:p>
<w:pPr><w:pStyle w:val="Normal"/></w:pPr>
<w:r><w:t xml:space="preserve">use.  The original arms were a sickle-shaped sword, spear and</w:t></w:r>
</w:p>
<w:p>
<w:pPr><w:pStyle w:val="Normal"/></w:pPr>
<w:r><w:t xml:space="preserve">shield.  The Abyssinians are great hunters and are also</w:t></w:r>
</w:p>
<w:p>
<w:pPr><w:pStyle w:val="Normal"/></w:pPr>
<w:r><w:t xml:space="preserve">clever at taming wild beasts.  The nobles hunt antelopes with</w:t></w:r>
</w:p>
<w:p>
<w:pPr><w:pStyle w:val="Normal"/></w:pPr>
<w:r><w:t xml:space="preserve">leopards, and giraffes and ostriches with horse and greyhound.</w:t></w:r>
</w:p>
<w:p>
<w:pPr><w:pStyle w:val="Normal"/></w:pPr>
<w:r><w:t xml:space="preserve">In elephant-hunting iron bullets weighing a quarter of a pound</w:t></w:r>
</w:p>
<w:p>
<w:pPr><w:pStyle w:val="Normal"/></w:pPr>
<w:r><w:t xml:space="preserve">are used; throwing-clubs are employed for small game, and</w:t></w:r>
</w:p>
<w:p>
<w:pPr><w:pStyle w:val="Normal"/></w:pPr>
<w:r><w:t xml:space="preserve">lions are hunted with the spear.  Lion skins belong to the</w:t></w:r>
</w:p>
<w:p>
<w:pPr><w:pStyle w:val="Normal"/></w:pPr>
<w:r><w:t xml:space="preserve">emperor, but the slayer keeps a strip to decorate his shield.</w:t></w:r>
</w:p>
<w:p>
<w:pPr><w:pStyle w:val="Normal"/></w:pPr>
<w:r><w:t xml:space="preserve">Stone and mortar are used in building, but the Abyssinian</w:t></w:r>
</w:p>
<w:p>
<w:pPr><w:pStyle w:val="Normal"/></w:pPr>
<w:r><w:t xml:space="preserve">houses are of the roughest kind, being usually circular huts,</w:t></w:r>
</w:p>
<w:p>
<w:pPr><w:pStyle w:val="Normal"/></w:pPr>
<w:r><w:t xml:space="preserve">ill made and thatched with grass.  These huts are sometimes</w:t></w:r>
</w:p>
<w:p>
<w:pPr><w:pStyle w:val="Normal"/></w:pPr>
<w:r><w:t xml:space="preserve">made simply of straw and are surrounded by high thorn hedges,</w:t></w:r>
</w:p>
<w:p>
<w:pPr><w:pStyle w:val="Normal"/></w:pPr>
<w:r><w:t xml:space="preserve">but, in the north, square houses, built in stories, flat-roofed,</w:t></w:r>
</w:p>
<w:p>
<w:pPr><w:pStyle w:val="Normal"/></w:pPr>
<w:r><w:t xml:space="preserve">the roof sometimes laid at the same slope as the hillside,</w:t></w:r>
</w:p>
<w:p>
<w:pPr><w:pStyle w:val="Normal"/></w:pPr>
<w:r><w:t xml:space="preserve">and some with pitched thatched roofs, are common.  The inside</w:t></w:r>
</w:p>
<w:p>
<w:pPr><w:pStyle w:val="Normal"/></w:pPr>
<w:r><w:t xml:space="preserve">walls are plastered with cow-dung, clay and finely chopped</w:t></w:r>
</w:p>
<w:p>
<w:pPr><w:pStyle w:val="Normal"/></w:pPr>
<w:r><w:t xml:space="preserve">straw.  None of the houses have chimneys, and smoke soon</w:t></w:r>
</w:p>
<w:p>
<w:pPr><w:pStyle w:val="Normal"/></w:pPr>
<w:r><w:t xml:space="preserve">colours the interior a dark brown.  Generally the houses are</w:t></w:r>
</w:p>
<w:p>
<w:pPr><w:pStyle w:val="Normal"/></w:pPr>
<w:r><w:t xml:space="preserve">filthy and ill ventilated and swarm with vermin.  Drainage</w:t></w:r>
</w:p>
<w:p>
<w:pPr><w:pStyle w:val="Normal"/></w:pPr>
<w:r><w:t xml:space="preserve">and sanitary arrangements do not exist.  The caves of the</w:t></w:r>
</w:p>
<w:p>
<w:pPr><w:pStyle w:val="Normal"/></w:pPr>
<w:r><w:t xml:space="preserve">highlands are often used as dwellings.  The most remarkable</w:t></w:r>
</w:p>
<w:p>
<w:pPr><w:pStyle w:val="Normal"/></w:pPr>
<w:r><w:t xml:space="preserve">buildings in Abyssinia are certain churches hewn out of the</w:t></w:r>
</w:p>
<w:p>
<w:pPr><w:pStyle w:val="Normal"/></w:pPr>
<w:r><w:t xml:space="preserve">solid rock.  The chief native industries are leather-work,</w:t></w:r>
</w:p>
<w:p>
<w:pPr><w:pStyle w:val="Normal"/></w:pPr>
<w:r><w:t xml:space="preserve">embroidery and filigree metal-work; and the weaving of straw</w:t></w:r>
</w:p>
<w:p>
<w:pPr><w:pStyle w:val="Normal"/></w:pPr>
<w:r><w:t xml:space="preserve">mats and baskets is extensively practised.  The baskets are</w:t></w:r>
</w:p>
<w:p>
<w:pPr><w:pStyle w:val="Normal"/></w:pPr>
<w:r><w:t xml:space="preserve">particularly well made, and are frequently used to contain milk.</w:t></w:r>
</w:p>
<w:p>
<w:pPr><w:pStyle w:val="Normal"/></w:pPr>
<w:r><w:t xml:space="preserve">Abyssinian art is crude and is mainly reserved for rough</w:t></w:r>
</w:p>
<w:p>
<w:pPr><w:pStyle w:val="Normal"/></w:pPr>
<w:r><w:t xml:space="preserve">frescoes in the churches.  These frescoes, however, often</w:t></w:r>
</w:p>
<w:p>
<w:pPr><w:pStyle w:val="Normal"/></w:pPr>
<w:r><w:t xml:space="preserve">exhibit considerable skill, and are indicative of the lively</w:t></w:r>
</w:p>
<w:p>
<w:pPr><w:pStyle w:val="Normal"/></w:pPr>
<w:r><w:t xml:space="preserve">imagination of their painters.  They are in the Byzantine style</w:t></w:r>
</w:p>
<w:p>
<w:pPr><w:pStyle w:val="Normal"/></w:pPr>
<w:r><w:t xml:space="preserve">and the colouring is gaudy.  Saints and good people are always</w:t></w:r>
</w:p>
<w:p>
<w:pPr><w:pStyle w:val="Normal"/></w:pPr>
<w:r><w:t xml:space="preserve">depicted full face, the devil and all bad folk are shown in</w:t></w:r>
</w:p>
<w:p>
<w:pPr><w:pStyle w:val="Normal"/></w:pPr>
<w:r><w:t xml:space="preserve">profile.  Among the finest frescoes are those in the church</w:t></w:r>
</w:p>
<w:p>
<w:pPr><w:pStyle w:val="Normal"/></w:pPr>
<w:r><w:t xml:space="preserve">of the Holy Trinity at Adowa and those in the church at</w:t></w:r>
</w:p>
<w:p>
<w:pPr><w:pStyle w:val="Normal"/></w:pPr>
<w:r><w:t xml:space="preserve">Kwarata, on the shores of Lake Tsana.  The churches are usually</w:t></w:r>
</w:p>
<w:p>
<w:pPr><w:pStyle w:val="Normal"/></w:pPr>
<w:r><w:t xml:space="preserve">circular in form, the walls of stone, the roof thatched.</w:t></w:r>
</w:p>
<w:p>
<w:pPr><w:pStyle w:val="Normal"/></w:pPr>
<w:r><w:t xml:space="preserve">The chief musical instruments are rough types of trumpets and</w:t></w:r>
</w:p>
<w:p>
<w:pPr><w:pStyle w:val="Normal"/></w:pPr>
<w:r><w:t xml:space="preserve">flutes, drums, tambourines and cymbals, and quadrangular harps.</w:t></w:r>
</w:p>
<w:p>
<w:pPr><w:pStyle w:val="Normal"/></w:pPr>
<w:r><w:t xml:space="preserve">HISTORY</w:t></w:r>
</w:p>
<w:p>
<w:pPr><w:pStyle w:val="Normal"/></w:pPr>
<w:r><w:t xml:space="preserve">(12) Abyssiania, or at least the northern portion of it, was</w:t></w:r>
</w:p>
<w:p>
<w:pPr><w:pStyle w:val="Normal"/></w:pPr>
<w:r><w:t xml:space="preserve">included in the tract of country known to the ancients as</w:t></w:r>
</w:p>
<w:p>
<w:pPr><w:pStyle w:val="Normal"/></w:pPr>
<w:r><w:t xml:space="preserve">Ethiopia, the northern limits of which reached at one time to</w:t></w:r>
</w:p>
<w:p>
<w:pPr><w:pStyle w:val="Normal"/></w:pPr>
<w:r><w:t xml:space="preserve">about Syene.  The connexion between Egypt and Ethiopia was in</w:t></w:r>
</w:p>
<w:p>
<w:pPr><w:pStyle w:val="Normal"/></w:pPr>
<w:r><w:t xml:space="preserve">early times very intimate, and occasionally the two countries</w:t></w:r>
</w:p>
<w:p>
<w:pPr><w:pStyle w:val="Normal"/></w:pPr>
<w:r><w:t xml:space="preserve">were under the same ruler, so that the arts and civilization</w:t></w:r>
</w:p>
<w:p>
<w:pPr><w:pStyle w:val="Normal"/></w:pPr>
<w:r><w:t xml:space="preserve">of the one naturally found their way into the other.  In early</w:t></w:r>
</w:p>
<w:p>
<w:pPr><w:pStyle w:val="Normal"/></w:pPr>
<w:r><w:t xml:space="preserve">times, too, the Hebrews had commercial intercourse with the</w:t></w:r>
</w:p>
<w:p>
<w:pPr><w:pStyle w:val="Normal"/></w:pPr>
<w:r><w:t xml:space="preserve">Ethiopians; and according to Abyssinian tradition the queen</w:t></w:r>
</w:p>
<w:p>
<w:pPr><w:pStyle w:val="Normal"/></w:pPr>
<w:r><w:t xml:space="preserve">of Sheba who visited Solomon was a monarch of their country,</w:t></w:r>
</w:p>
<w:p>
<w:pPr><w:pStyle w:val="Normal"/></w:pPr>
<w:r><w:t xml:space="preserve">and from their son Menelek the kings of Abyssinia claim</w:t></w:r>
</w:p>
<w:p>
<w:pPr><w:pStyle w:val="Normal"/></w:pPr>
<w:r><w:t xml:space="preserve">descent.  During the Captivity many of the Jews settled here</w:t></w:r>
</w:p>
<w:p>
<w:pPr><w:pStyle w:val="Normal"/></w:pPr>
<w:r><w:t xml:space="preserve">and brought with them a knowledge of the Jewish religion.</w:t></w:r>
</w:p>
<w:p>
<w:pPr><w:pStyle w:val="Normal"/></w:pPr>
<w:r><w:t xml:space="preserve">Under the Ptolemies, the arts as well as the enterprise of the</w:t></w:r>
</w:p>
<w:p>
<w:pPr><w:pStyle w:val="Normal"/></w:pPr>
<w:r><w:t xml:space="preserve">Greeks entered Ethiopia, and led to the establishment of Greek</w:t></w:r>
</w:p>
<w:p>
<w:pPr><w:pStyle w:val="Normal"/></w:pPr>
<w:r><w:t xml:space="preserve">colonies.  A Greek inscription at Adulis, no longer extant,</w:t></w:r>
</w:p>
<w:p>
<w:pPr><w:pStyle w:val="Normal"/></w:pPr>
<w:r><w:t xml:space="preserve">but copied by Cosmas of Alexandria, and preserved in his</w:t></w:r>
</w:p>
<w:p>
<w:pPr><w:pStyle w:val="Normal"/></w:pPr>
<w:r><w:t xml:space="preserve">Topographia Christiana, records that Ptolemy Euergetes, the</w:t></w:r>
</w:p>
<w:p>
<w:pPr><w:pStyle w:val="Normal"/></w:pPr>
<w:r><w:t xml:space="preserve">third of the Greek dynasty in Egypt, invaded the countries</w:t></w:r>
</w:p>
<w:p>
<w:pPr><w:pStyle w:val="Normal"/></w:pPr>
<w:r><w:t xml:space="preserve">on both sides of the Red Sea, and having reduced most of the</w:t></w:r>
</w:p>
<w:p>
<w:pPr><w:pStyle w:val="Normal"/></w:pPr>
<w:r><w:t xml:space="preserve">provinces of Tigre to subjection, returned to the port of</w:t></w:r>
</w:p>
<w:p>
<w:pPr><w:pStyle w:val="Normal"/></w:pPr>
<w:r><w:t xml:space="preserve">Adulis, and there offered sacrifices to Jupiter, Mars and</w:t></w:r>
</w:p>
<w:p>
<w:pPr><w:pStyle w:val="Normal"/></w:pPr>
<w:r><w:t xml:space="preserve">Neptune.  Another inscription, not so ancient, found at Axum,</w:t></w:r>
</w:p>
<w:p>
<w:pPr><w:pStyle w:val="Normal"/></w:pPr>
<w:r><w:t xml:space="preserve">states that Aizanas, king of the Axumites, the Homerites,</w:t></w:r>
</w:p>
<w:p>
<w:pPr><w:pStyle w:val="Normal"/></w:pPr>
<w:r><w:t xml:space="preserve">&amp;c., conquered the nation of the Bogos, and returned thanks</w:t></w:r>
</w:p>
<w:p>
<w:pPr><w:pStyle w:val="Normal"/></w:pPr>
<w:r><w:t xml:space="preserve">to his father, the god Mars, for his victory.  Out of these</w:t></w:r>
</w:p>
<w:p>
<w:pPr><w:pStyle w:val="Normal"/></w:pPr>
<w:r><w:t xml:space="preserve">Greek colonies appears to have arisen the kingdom of Auxume</w:t></w:r>
</w:p>
<w:p>
<w:pPr><w:pStyle w:val="Normal"/></w:pPr>
<w:r><w:t xml:space="preserve">which flourished from the ist to the 7th century A.D.</w:t></w:r>
</w:p>
<w:p>
<w:pPr><w:pStyle w:val="Normal"/></w:pPr>
<w:r><w:t xml:space="preserve">and was at one time nearly coextensive with Abyssinia</w:t></w:r>
</w:p>
<w:p>
<w:pPr><w:pStyle w:val="Normal"/></w:pPr>
<w:r><w:t xml:space="preserve">proper.  The capital Auxume and the seaport Adulis were then</w:t></w:r>
</w:p>
<w:p>
<w:pPr><w:pStyle w:val="Normal"/></w:pPr>
<w:r><w:t xml:space="preserve">the chief centres of the trade with the interior of Africa</w:t></w:r>
</w:p>
<w:p>
<w:pPr><w:pStyle w:val="Normal"/></w:pPr>
<w:r><w:t xml:space="preserve">in gold dust, ivory, leather, aromatics, &amp;c. At Axum, the</w:t></w:r>
</w:p>
<w:p>
<w:pPr><w:pStyle w:val="Normal"/></w:pPr>
<w:r><w:t xml:space="preserve">site of the ancient capital, many vestiges of its former</w:t></w:r>
</w:p>
<w:p>
<w:pPr><w:pStyle w:val="Normal"/></w:pPr>
<w:r><w:t xml:space="preserve">greatness still exist; and the ruins of Adulis, which was</w:t></w:r>
</w:p>
<w:p>
<w:pPr><w:pStyle w:val="Normal"/></w:pPr>
<w:r><w:t xml:space="preserve">once a seaport on the bay of Annesley, are now about 4 m.</w:t></w:r>
</w:p>
<w:p>
<w:pPr><w:pStyle w:val="Normal"/></w:pPr>
<w:r><w:t xml:space="preserve">from the shore (see ETHIOPIA, The Axumite Kingdom.)</w:t></w:r>
</w:p>
<w:p>
<w:pPr><w:pStyle w:val="Normal"/></w:pPr>
<w:r><w:t xml:space="preserve">Introduction of Christianity.</w:t></w:r>
</w:p>
<w:p>
<w:pPr><w:pStyle w:val="Normal"/></w:pPr>
<w:r><w:t xml:space="preserve">(13) Christianity was introduced into the country by Frumentius</w:t></w:r>
</w:p>
<w:p>
<w:pPr><w:pStyle w:val="Normal"/></w:pPr>
<w:r><w:t xml:space="preserve">(q.v.), who was consecrated first bishop of Ethiopia by St</w:t></w:r>
</w:p>
<w:p>
<w:pPr><w:pStyle w:val="Normal"/></w:pPr>
<w:r><w:t xml:space="preserve">Athanasius of Alexandria about A.D. 330. From the scanty</w:t></w:r>
</w:p>
<w:p>
<w:pPr><w:pStyle w:val="Normal"/></w:pPr>
<w:r><w:t xml:space="preserve">evidence available it would appear that the new religion</w:t></w:r>
</w:p>
<w:p>
<w:pPr><w:pStyle w:val="Normal"/></w:pPr>
<w:r><w:t xml:space="preserve">at first made little progress, and the Axumite kings seem</w:t></w:r>
</w:p>
<w:p>
<w:pPr><w:pStyle w:val="Normal"/></w:pPr>
<w:r><w:t xml:space="preserve">to have been among the latest converts.  Towards the close</w:t></w:r>
</w:p>
<w:p>
<w:pPr><w:pStyle w:val="Normal"/></w:pPr>
<w:r><w:t xml:space="preserve">of the 5th century a great company of monks are believed to</w:t></w:r>
</w:p>
<w:p>
<w:pPr><w:pStyle w:val="Normal"/></w:pPr>
<w:r><w:t xml:space="preserve">have established themselves in the country.  Since that time</w:t></w:r>
</w:p>
<w:p>
<w:pPr><w:pStyle w:val="Normal"/></w:pPr>
<w:r><w:t xml:space="preserve">monachism has been a power among the people and not without</w:t></w:r>
</w:p>
<w:p>
<w:pPr><w:pStyle w:val="Normal"/></w:pPr>
<w:r><w:t xml:space="preserve">its influence on the course of events.  In the early part of</w:t></w:r>
</w:p>
<w:p>
<w:pPr><w:pStyle w:val="Normal"/></w:pPr>
<w:r><w:t xml:space="preserve">the 6th century the king of the Homerites, on the opposite</w:t></w:r>
</w:p>
<w:p>
<w:pPr><w:pStyle w:val="Normal"/></w:pPr>
<w:r><w:t xml:space="preserve">coast of the Red Sea, having persecuted the Christians, the</w:t></w:r>
</w:p>
<w:p>
<w:pPr><w:pStyle w:val="Normal"/></w:pPr>
<w:r><w:t xml:space="preserve">emperor Justinian I. requested the king of Auxume, Caleh or</w:t></w:r>
</w:p>
<w:p>
<w:pPr><w:pStyle w:val="Normal"/></w:pPr>
<w:r><w:t xml:space="preserve">El-Esbaha, to avenge their cause.  He accordingly collected</w:t></w:r>
</w:p>
<w:p>
<w:pPr><w:pStyle w:val="Normal"/></w:pPr>
<w:r><w:t xml:space="preserve">an army, crossed over into Arabia, and conquered Yemen (c.</w:t></w:r>
</w:p>
<w:p>
<w:pPr><w:pStyle w:val="Normal"/></w:pPr>
<w:r><w:t xml:space="preserve">525), which remained subject to Ethiopia for about fifty</w:t></w:r>
</w:p>
<w:p>
<w:pPr><w:pStyle w:val="Normal"/></w:pPr>
<w:r><w:t xml:space="preserve">years.  This was the most flourishing period in the annals</w:t></w:r>
</w:p>
<w:p>
<w:pPr><w:pStyle w:val="Normal"/></w:pPr>
<w:r><w:t xml:space="preserve">of the country.  The Ethiopians possessed the richest part of</w:t></w:r>
</w:p>
<w:p>
<w:pPr><w:pStyle w:val="Normal"/></w:pPr>
<w:r><w:t xml:space="preserve">Arabia, carried on a large trade, which extended as far as</w:t></w:r>
</w:p>
<w:p>
<w:pPr><w:pStyle w:val="Normal"/></w:pPr>
<w:r><w:t xml:space="preserve">India and Ceylon, and were in constant communication with</w:t></w:r>
</w:p>
<w:p>
<w:pPr><w:pStyle w:val="Normal"/></w:pPr>
<w:r><w:t xml:space="preserve">the Greek empire.  Their expulsion from Arabia, followed</w:t></w:r>
</w:p>
<w:p>
<w:pPr><w:pStyle w:val="Normal"/></w:pPr>
<w:r><w:t xml:space="preserve">by the conquest of Egypt by the Mahommedans in the middle</w:t></w:r>
</w:p>
<w:p>
<w:pPr><w:pStyle w:val="Normal"/></w:pPr>
<w:r><w:t xml:space="preserve">of the 7th century, changed this state of affairs, and the</w:t></w:r>
</w:p>
<w:p>
<w:pPr><w:pStyle w:val="Normal"/></w:pPr>
<w:r><w:t xml:space="preserve">continued advances of the followers of the Prophet at length</w:t></w:r>
</w:p>
<w:p>
<w:pPr><w:pStyle w:val="Normal"/></w:pPr>
<w:r><w:t xml:space="preserve">cut them off from almost every means of communication with</w:t></w:r>
</w:p>
<w:p>
<w:pPr><w:pStyle w:val="Normal"/></w:pPr>
<w:r><w:t xml:space="preserve">the civilized world; so that, as Gibbon says, ``encompassed</w:t></w:r>
</w:p>
<w:p>
<w:pPr><w:pStyle w:val="Normal"/></w:pPr>
<w:r><w:t xml:space="preserve">by the enemies of their religion, the Ethiopians slept for</w:t></w:r>
</w:p>
<w:p>
<w:pPr><w:pStyle w:val="Normal"/></w:pPr>
<w:r><w:t xml:space="preserve">near a thousand years, forgetful of the world by whom they</w:t></w:r>
</w:p>
<w:p>
<w:pPr><w:pStyle w:val="Normal"/></w:pPr>
<w:r><w:t xml:space="preserve">were forgotten.&apos;&apos; About A.D. 1000, a Jewish princess,</w:t></w:r>
</w:p>
<w:p>
<w:pPr><w:pStyle w:val="Normal"/></w:pPr>
<w:r><w:t xml:space="preserve">Judith, conceived the design of murdering all the members</w:t></w:r>
</w:p>
<w:p>
<w:pPr><w:pStyle w:val="Normal"/></w:pPr>
<w:r><w:t xml:space="preserve">of the royal family, and of establishing herself in their</w:t></w:r>
</w:p>
<w:p>
<w:pPr><w:pStyle w:val="Normal"/></w:pPr>
<w:r><w:t xml:space="preserve">stead.  During the execution of this project, the infant king</w:t></w:r>
</w:p>
<w:p>
<w:pPr><w:pStyle w:val="Normal"/></w:pPr>
<w:r><w:t xml:space="preserve">was carded off by some faithful adherents, and conveyed to</w:t></w:r>
</w:p>
<w:p>
<w:pPr><w:pStyle w:val="Normal"/></w:pPr>
<w:r><w:t xml:space="preserve">Shoa, where his authority was acknowledged, while Judith</w:t></w:r>
</w:p>
<w:p>
<w:pPr><w:pStyle w:val="Normal"/></w:pPr>
<w:r><w:t xml:space="preserve">reigned for forty years over the rest of the kingdom, and</w:t></w:r>
</w:p>
<w:p>
<w:pPr><w:pStyle w:val="Normal"/></w:pPr>
<w:r><w:t xml:space="preserve">transmitted the crown to her descendants.  In 1268 the kingdom</w:t></w:r>
</w:p>
<w:p>
<w:pPr><w:pStyle w:val="Normal"/></w:pPr>
<w:r><w:t xml:space="preserve">was restored to the royal house in the person of Yekunu Amlak.</w:t></w:r>
</w:p>
<w:p>
<w:pPr><w:pStyle w:val="Normal"/></w:pPr>
<w:r><w:t xml:space="preserve">Portuguese Influence.</w:t></w:r>
</w:p>
<w:p>
<w:pPr><w:pStyle w:val="Normal"/></w:pPr>
<w:r><w:t xml:space="preserve">(14) Towards the close of the 15th century the Portuguese</w:t></w:r>
</w:p>
<w:p>
<w:pPr><w:pStyle w:val="Normal"/></w:pPr>
<w:r><w:t xml:space="preserve">missions into Abyssinia began.  A belief had long prevailed</w:t></w:r>
</w:p>
<w:p>
<w:pPr><w:pStyle w:val="Normal"/></w:pPr>
<w:r><w:t xml:space="preserve">in Europe of the existence of a Christian kingdom in the far</w:t></w:r>
</w:p>
<w:p>
<w:pPr><w:pStyle w:val="Normal"/></w:pPr>
<w:r><w:t xml:space="preserve">east, whose monarch was known as Prester John, and various</w:t></w:r>
</w:p>
<w:p>
<w:pPr><w:pStyle w:val="Normal"/></w:pPr>
<w:r><w:t xml:space="preserve">expeditions had been sent in quest of it.  Among others who</w:t></w:r>
</w:p>
<w:p>
<w:pPr><w:pStyle w:val="Normal"/></w:pPr>
<w:r><w:t xml:space="preserve">had engaged in this search was Pedro de Covilham, who arrived</w:t></w:r>
</w:p>
<w:p>
<w:pPr><w:pStyle w:val="Normal"/></w:pPr>
<w:r><w:t xml:space="preserve">in Abyssinia in 1490, and, believing that he had at length</w:t></w:r>
</w:p>
<w:p>
<w:pPr><w:pStyle w:val="Normal"/></w:pPr>
<w:r><w:t xml:space="preserve">reached the far-famed kingdom, presented to the negus, or</w:t></w:r>
</w:p>
<w:p>
<w:pPr><w:pStyle w:val="Normal"/></w:pPr>
<w:r><w:t xml:space="preserve">emperor of the country, a letter from his master the king of</w:t></w:r>
</w:p>
<w:p>
<w:pPr><w:pStyle w:val="Normal"/></w:pPr>
<w:r><w:t xml:space="preserve">Portugal, addressed to Prester John.  Covilham remained in the</w:t></w:r>
</w:p>
<w:p>
<w:pPr><w:pStyle w:val="Normal"/></w:pPr>
<w:r><w:t xml:space="preserve">country, but in 1507 an Armenian named Matthew was sent by the</w:t></w:r>
</w:p>
<w:p>
<w:pPr><w:pStyle w:val="Normal"/></w:pPr>
<w:r><w:t xml:space="preserve">negus to the king of Portugal to request his aid against the</w:t></w:r>
</w:p>
<w:p>
<w:pPr><w:pStyle w:val="Normal"/></w:pPr>
<w:r><w:t xml:space="preserve">Mahommedans.  In 1520 a Portuguese fleet, with Matthew on</w:t></w:r>
</w:p>
<w:p>
<w:pPr><w:pStyle w:val="Normal"/></w:pPr>
<w:r><w:t xml:space="preserve">board, entered the Red Sea in compliance with this request,</w:t></w:r>
</w:p>
<w:p>
<w:pPr><w:pStyle w:val="Normal"/></w:pPr>
<w:r><w:t xml:space="preserve">and an embassy from the fleet visited the negus, Lebna Dengel</w:t></w:r>
</w:p>
<w:p>
<w:pPr><w:pStyle w:val="Normal"/></w:pPr>
<w:r><w:t xml:space="preserve">Dawit (David) II., and remained in Abyssinia for about six</w:t></w:r>
</w:p>
<w:p>
<w:pPr><w:pStyle w:val="Normal"/></w:pPr>
<w:r><w:t xml:space="preserve">years.  One of this embassy was Father Francisco Alvarez,</w:t></w:r>
</w:p>
<w:p>
<w:pPr><w:pStyle w:val="Normal"/></w:pPr>
<w:r><w:t xml:space="preserve">from whom we have the earliest and not the least interesting</w:t></w:r>
</w:p>
<w:p>
<w:pPr><w:pStyle w:val="Normal"/></w:pPr>
<w:r><w:t xml:space="preserve">account of the country.  Between 1528 and 1540 armies of</w:t></w:r>
</w:p>
<w:p>
<w:pPr><w:pStyle w:val="Normal"/></w:pPr>
<w:r><w:t xml:space="preserve">Mahommedans, under the renowned general Mahommed Gran (or</w:t></w:r>
</w:p>
<w:p>
<w:pPr><w:pStyle w:val="Normal"/></w:pPr>
<w:r><w:t xml:space="preserve">Granye, probably a Somali or a Galla), entered Abyssinia</w:t></w:r>
</w:p>
<w:p>
<w:pPr><w:pStyle w:val="Normal"/></w:pPr>
<w:r><w:t xml:space="preserve">from the low country to the south-east, and overran the</w:t></w:r>
</w:p>
<w:p>
<w:pPr><w:pStyle w:val="Normal"/></w:pPr>
<w:r><w:t xml:space="preserve">kingdom, obliging the emperor to take refuge in the mountain</w:t></w:r>
</w:p>
<w:p>
<w:pPr><w:pStyle w:val="Normal"/></w:pPr>
<w:r><w:t xml:space="preserve">fastnesses.  In this extremity recourse was again had to the</w:t></w:r>
</w:p>
<w:p>
<w:pPr><w:pStyle w:val="Normal"/></w:pPr>
<w:r><w:t xml:space="preserve">Portuguese.  John Bermudez, a subordinate member of the</w:t></w:r>
</w:p>
<w:p>
<w:pPr><w:pStyle w:val="Normal"/></w:pPr>
<w:r><w:t xml:space="preserve">mission of 1520, who had remained in the country after the</w:t></w:r>
</w:p>
<w:p>
<w:pPr><w:pStyle w:val="Normal"/></w:pPr>
<w:r><w:t xml:space="preserve">departure of the embassy, was, according to his own statement</w:t></w:r>
</w:p>
<w:p>
<w:pPr><w:pStyle w:val="Normal"/></w:pPr>
<w:r><w:t xml:space="preserve">(which is untrustworthy), ordained successor to the abuna</w:t></w:r>
</w:p>
<w:p>
<w:pPr><w:pStyle w:val="Normal"/></w:pPr>
<w:r><w:t xml:space="preserve">(archbishop), and sent to Lisbon.  Bermudez certainly came to</w:t></w:r>
</w:p>
<w:p>
<w:pPr><w:pStyle w:val="Normal"/></w:pPr>
<w:r><w:t xml:space="preserve">Europe, but with what credentials is not known.  Be that as</w:t></w:r>
</w:p>
<w:p>
<w:pPr><w:pStyle w:val="Normal"/></w:pPr>
<w:r><w:t xml:space="preserve">it may, a Portuguese fleet, under the command of Stephen da</w:t></w:r>
</w:p>
<w:p>
<w:pPr><w:pStyle w:val="Normal"/></w:pPr>
<w:r><w:t xml:space="preserve">Gama, was sent from India and arrived at Massawa in February</w:t></w:r>
</w:p>
<w:p>
<w:pPr><w:pStyle w:val="Normal"/></w:pPr>
<w:r><w:t xml:space="preserve">1541.  Here he received an ambassador from the negus beseeching</w:t></w:r>
</w:p>
<w:p>
<w:pPr><w:pStyle w:val="Normal"/></w:pPr>
<w:r><w:t xml:space="preserve">him to send help against the Moslems, and in the July following</w:t></w:r>
</w:p>
<w:p>
<w:pPr><w:pStyle w:val="Normal"/></w:pPr>
<w:r><w:t xml:space="preserve">a force of 450 musqueteers, under the command of Christopher</w:t></w:r>
</w:p>
<w:p>
<w:pPr><w:pStyle w:val="Normal"/></w:pPr>
<w:r><w:t xml:space="preserve">da Gama, younger brother of the admiral, marched into the</w:t></w:r>
</w:p>
<w:p>
<w:pPr><w:pStyle w:val="Normal"/></w:pPr>
<w:r><w:t xml:space="preserve">interior, and being joined by native troops were at first</w:t></w:r>
</w:p>
<w:p>
<w:pPr><w:pStyle w:val="Normal"/></w:pPr>
<w:r><w:t xml:space="preserve">successful against the enemy; but they were subsequently</w:t></w:r>
</w:p>
<w:p>
<w:pPr><w:pStyle w:val="Normal"/></w:pPr>
<w:r><w:t xml:space="preserve">defeated, and their commander taken prisoner and put to death</w:t></w:r>
</w:p>
<w:p>
<w:pPr><w:pStyle w:val="Normal"/></w:pPr>
<w:r><w:t xml:space="preserve">(August 1542).  On the 21st of February 1543, however, Mahommed</w:t></w:r>
</w:p>
<w:p>
<w:pPr><w:pStyle w:val="Normal"/></w:pPr>
<w:r><w:t xml:space="preserve">Granye was shot in an engagement and his forces totally</w:t></w:r>
</w:p>
<w:p>
<w:pPr><w:pStyle w:val="Normal"/></w:pPr>
<w:r><w:t xml:space="preserve">routed.  After this, quarrels arose between the negus and</w:t></w:r>
</w:p>
<w:p>
<w:pPr><w:pStyle w:val="Normal"/></w:pPr>
<w:r><w:t xml:space="preserve">Bermudez, who had returned to Abyssinia with Christopher</w:t></w:r>
</w:p>
<w:p>
<w:pPr><w:pStyle w:val="Normal"/></w:pPr>
<w:r><w:t xml:space="preserve">da Gama and who now wished the emperor publicly to profess</w:t></w:r>
</w:p>
<w:p>
<w:pPr><w:pStyle w:val="Normal"/></w:pPr>
<w:r><w:t xml:space="preserve">himself a convert to Rome.  This the negus refused to do,</w:t></w:r>
</w:p>
<w:p>
<w:pPr><w:pStyle w:val="Normal"/></w:pPr>
<w:r><w:t xml:space="preserve">and at length Bermudez was obliged to make his way out of the</w:t></w:r>
</w:p>
<w:p>
<w:pPr><w:pStyle w:val="Normal"/></w:pPr>
<w:r><w:t xml:space="preserve">country.  The Jesuits who had accompanied or followed the da</w:t></w:r>
</w:p>
<w:p>
<w:pPr><w:pStyle w:val="Normal"/></w:pPr>
<w:r><w:t xml:space="preserve">Gama expedition into Abyssinia, and fixed their headquarters</w:t></w:r>
</w:p>
<w:p>
<w:pPr><w:pStyle w:val="Normal"/></w:pPr>
<w:r><w:t xml:space="preserve">at Fremona (near Adowa), were oppressed and neglected, but</w:t></w:r>
</w:p>
<w:p>
<w:pPr><w:pStyle w:val="Normal"/></w:pPr>
<w:r><w:t xml:space="preserve">not actually expelled.  In the beginning of the 17th century</w:t></w:r>
</w:p>
<w:p>
<w:pPr><w:pStyle w:val="Normal"/></w:pPr>
<w:r><w:t xml:space="preserve">Father Pedro Paez arrived at Fremona, a man of great tact and</w:t></w:r>
</w:p>
<w:p>
<w:pPr><w:pStyle w:val="Normal"/></w:pPr>
<w:r><w:t xml:space="preserve">judgment, who soon rose into high favour at court, and gained</w:t></w:r>
</w:p>
<w:p>
<w:pPr><w:pStyle w:val="Normal"/></w:pPr>
<w:r><w:t xml:space="preserve">over the emperor to his faith.  He directed the erection of</w:t></w:r>
</w:p>
<w:p>
<w:pPr><w:pStyle w:val="Normal"/></w:pPr>
<w:r><w:t xml:space="preserve">churches, palaces and bridges in different parts of the</w:t></w:r>
</w:p>
<w:p>
<w:pPr><w:pStyle w:val="Normal"/></w:pPr>
<w:r><w:t xml:space="preserve">country, and carried out many useful works.  His successor</w:t></w:r>
</w:p>
<w:p>
<w:pPr><w:pStyle w:val="Normal"/></w:pPr>
<w:r><w:t xml:space="preserve">Mendez was a man of much less conciliatory manners, and</w:t></w:r>
</w:p>
<w:p>
<w:pPr><w:pStyle w:val="Normal"/></w:pPr>
<w:r><w:t xml:space="preserve">the feelings of the people became strongly excited against</w:t></w:r>
</w:p>
<w:p>
<w:pPr><w:pStyle w:val="Normal"/></w:pPr>
<w:r><w:t xml:space="preserve">the intruders, till at length, on the death of the negus</w:t></w:r>
</w:p>
<w:p>
<w:pPr><w:pStyle w:val="Normal"/></w:pPr>
<w:r><w:t xml:space="preserve">Sysenius, Socinius or Seged I., and the accession of his son</w:t></w:r>
</w:p>
<w:p>
<w:pPr><w:pStyle w:val="Normal"/></w:pPr>
<w:r><w:t xml:space="preserve">Fasilidas in 1633, they were all sent out of the country, after</w:t></w:r>
</w:p>
<w:p>
<w:pPr><w:pStyle w:val="Normal"/></w:pPr>
<w:r><w:t xml:space="preserve">having had a footing there for nearly a century and a half.</w:t></w:r>
</w:p>
<w:p>
<w:pPr><w:pStyle w:val="Normal"/></w:pPr>
<w:r><w:t xml:space="preserve">Visits of Poncet and Bruce.</w:t></w:r>
</w:p>
<w:p>
<w:pPr><w:pStyle w:val="Normal"/></w:pPr>
<w:r><w:t xml:space="preserve">The French physician C. J. Poncet, who went there in 1698,</w:t></w:r>
</w:p>
<w:p>
<w:pPr><w:pStyle w:val="Normal"/></w:pPr>
<w:r><w:t xml:space="preserve">via Sennar and the Blue Nile, was the only European</w:t></w:r>
</w:p>
<w:p>
<w:pPr><w:pStyle w:val="Normal"/></w:pPr>
<w:r><w:t xml:space="preserve">that afterwards visited the country before Bruce in</w:t></w:r>
</w:p>
<w:p>
<w:pPr><w:pStyle w:val="Normal"/></w:pPr>
<w:r><w:t xml:space="preserve">1769.  James Bruce&apos;s main object was to discover the sources</w:t></w:r>
</w:p>
<w:p>
<w:pPr><w:pStyle w:val="Normal"/></w:pPr>
<w:r><w:t xml:space="preserve">of the Nile, which he was convinced lay in Abyssinia.</w:t></w:r>
</w:p>
<w:p>
<w:pPr><w:pStyle w:val="Normal"/></w:pPr>
<w:r><w:t xml:space="preserve">Accordingly, leaving Massawa in September 1769, he travelled</w:t></w:r>
</w:p>
<w:p>
<w:pPr><w:pStyle w:val="Normal"/></w:pPr>
<w:r><w:t xml:space="preserve">via Axum to Gondar, where he was well received by King</w:t></w:r>
</w:p>
<w:p>
<w:pPr><w:pStyle w:val="Normal"/></w:pPr>
<w:r><w:t xml:space="preserve">Tekla Haimanot II. He accompanied the king on a warlike</w:t></w:r>
</w:p>
<w:p>
<w:pPr><w:pStyle w:val="Normal"/></w:pPr>
<w:r><w:t xml:space="preserve">expedition round Lake Tsana, moving S. round the eastern</w:t></w:r>
</w:p>
<w:p>
<w:pPr><w:pStyle w:val="Normal"/></w:pPr>
<w:r><w:t xml:space="preserve">shore, crossing the genuine Blue Nile (Abai) close to its</w:t></w:r>
</w:p>
<w:p>
<w:pPr><w:pStyle w:val="Normal"/></w:pPr>
<w:r><w:t xml:space="preserve">point of issue from the lake and returning via the western</w:t></w:r>
</w:p>
<w:p>
<w:pPr><w:pStyle w:val="Normal"/></w:pPr>
<w:r><w:t xml:space="preserve">shore.  On a second expedition of his own he proved to his</w:t></w:r>
</w:p>
<w:p>
<w:pPr><w:pStyle w:val="Normal"/></w:pPr>
<w:r><w:t xml:space="preserve">own satisfaction that the river originated some 4o miles</w:t></w:r>
</w:p>
<w:p>
<w:pPr><w:pStyle w:val="Normal"/></w:pPr>
<w:r><w:t xml:space="preserve">S.W. of the lake at a place called Geesh (4th of November</w:t></w:r>
</w:p>
<w:p>
<w:pPr><w:pStyle w:val="Normal"/></w:pPr>
<w:r><w:t xml:space="preserve">1770).  He showed that this river flowed into the lake, and</w:t></w:r>
</w:p>
<w:p>
<w:pPr><w:pStyle w:val="Normal"/></w:pPr>
<w:r><w:t xml:space="preserve">left it by its now well-known outlet.  Bruce subsequently</w:t></w:r>
</w:p>
<w:p>
<w:pPr><w:pStyle w:val="Normal"/></w:pPr>
<w:r><w:t xml:space="preserve">returned to Egypt (end of 1772) via Gondar, the upper Atbara,</w:t></w:r>
</w:p>
<w:p>
<w:pPr><w:pStyle w:val="Normal"/></w:pPr>
<w:r><w:t xml:space="preserve">Sennar, the Nile, and the Korosko desert (see BRUCE, JAMES).</w:t></w:r>
</w:p>
<w:p>
<w:pPr><w:pStyle w:val="Normal"/></w:pPr>
<w:r><w:t xml:space="preserve">(15) In order to attain a clear view of native Abyssinian</w:t></w:r>
</w:p>
<w:p>
<w:pPr><w:pStyle w:val="Normal"/></w:pPr>
<w:r><w:t xml:space="preserve">history, as distinct from the visits and influence of</w:t></w:r>
</w:p>
<w:p>
<w:pPr><w:pStyle w:val="Normal"/></w:pPr>
<w:r><w:t xml:space="preserve">Europeans, it must be borne in mind that during the last</w:t></w:r>
</w:p>
<w:p>
<w:pPr><w:pStyle w:val="Normal"/></w:pPr>
<w:r><w:t xml:space="preserve">three hundred years, and indeed for a longer period, for</w:t></w:r>
</w:p>
<w:p>
<w:pPr><w:pStyle w:val="Normal"/></w:pPr>
<w:r><w:t xml:space="preserve">the old chroniclers may be trusted to have given a somewhat</w:t></w:r>
</w:p>
<w:p>
<w:pPr><w:pStyle w:val="Normal"/></w:pPr>
<w:r><w:t xml:space="preserve">distorted view of the importance of the particular chieftains</w:t></w:r>
</w:p>
<w:p>
<w:pPr><w:pStyle w:val="Normal"/></w:pPr>
<w:r><w:t xml:space="preserve">with whom they came in contact, the country has been merely</w:t></w:r>
</w:p>
<w:p>
<w:pPr><w:pStyle w:val="Normal"/></w:pPr>
<w:r><w:t xml:space="preserve">a conglomeration of provinces and districts, ill defined,</w:t></w:r>
</w:p>
<w:p>
<w:pPr><w:pStyle w:val="Normal"/></w:pPr>
<w:r><w:t xml:space="preserve">loosely connected and generally at war with each other.  Of</w:t></w:r>
</w:p>
<w:p>
<w:pPr><w:pStyle w:val="Normal"/></w:pPr>
<w:r><w:t xml:space="preserve">these the chief provinces have been Tigre (northern), Amhara</w:t></w:r>
</w:p>
<w:p>
<w:pPr><w:pStyle w:val="Normal"/></w:pPr>
<w:r><w:t xml:space="preserve">(central) and Shoa (southern).  The seat of government, or</w:t></w:r>
</w:p>
<w:p>
<w:pPr><w:pStyle w:val="Normal"/></w:pPr>
<w:r><w:t xml:space="preserve">rather of overlordship, has usually been in Amhara, the ruler</w:t></w:r>
</w:p>
<w:p>
<w:pPr><w:pStyle w:val="Normal"/></w:pPr>
<w:r><w:t xml:space="preserve">of which, calling himself negus negusti (king of kings, or</w:t></w:r>
</w:p>
<w:p>
<w:pPr><w:pStyle w:val="Normal"/></w:pPr>
<w:r><w:t xml:space="preserve">emperor), has exacted tribute, when he could, from the other</w:t></w:r>
</w:p>
<w:p>
<w:pPr><w:pStyle w:val="Normal"/></w:pPr>
<w:r><w:t xml:space="preserve">provinces.  The title of negus negusti has been to a</w:t></w:r>
</w:p>
<w:p>
<w:pPr><w:pStyle w:val="Normal"/></w:pPr>
<w:r><w:t xml:space="preserve">considerable extent based on the blood in the veins of the</w:t></w:r>
</w:p>
<w:p>
<w:pPr><w:pStyle w:val="Normal"/></w:pPr>
<w:r><w:t xml:space="preserve">claimant.  All the emperors have based their claims on their</w:t></w:r>
</w:p>
<w:p>
<w:pPr><w:pStyle w:val="Normal"/></w:pPr>
<w:r><w:t xml:space="preserve">direct descent from Solomon and the queen of Sheba; but it</w:t></w:r>
</w:p>
<w:p>
<w:pPr><w:pStyle w:val="Normal"/></w:pPr>
<w:r><w:t xml:space="preserve">is needless to say that in many, if not in most, cases their</w:t></w:r>
</w:p>
<w:p>
<w:pPr><w:pStyle w:val="Normal"/></w:pPr>
<w:r><w:t xml:space="preserve">success has been due more to the force of their arms than</w:t></w:r>
</w:p>
<w:p>
<w:pPr><w:pStyle w:val="Normal"/></w:pPr>
<w:r><w:t xml:space="preserve">to the purity of their lineage.  Some of the rulers of the</w:t></w:r>
</w:p>
<w:p>
<w:pPr><w:pStyle w:val="Normal"/></w:pPr>
<w:r><w:t xml:space="preserve">larger provinces have at times been given, or have given</w:t></w:r>
</w:p>
<w:p>
<w:pPr><w:pStyle w:val="Normal"/></w:pPr>
<w:r><w:t xml:space="preserve">themselves, the title of negus or king, so that on occasion</w:t></w:r>
</w:p>
<w:p>
<w:pPr><w:pStyle w:val="Normal"/></w:pPr>
<w:r><w:t xml:space="preserve">as many as three, or even more, neguses have been reigning</w:t></w:r>
</w:p>
<w:p>
<w:pPr><w:pStyle w:val="Normal"/></w:pPr>
<w:r><w:t xml:space="preserve">at the same time; and this must be borne in mind by the</w:t></w:r>
</w:p>
<w:p>
<w:pPr><w:pStyle w:val="Normal"/></w:pPr>
<w:r><w:t xml:space="preserve">student of Abyssinian history in order to avoid confusion of</w:t></w:r>
</w:p>
<w:p>
<w:pPr><w:pStyle w:val="Normal"/></w:pPr>
<w:r><w:t xml:space="preserve">rulers.  The whole history of the country is in fact one</w:t></w:r>
</w:p>
<w:p>
<w:pPr><w:pStyle w:val="Normal"/></w:pPr>
<w:r><w:t xml:space="preserve">gloomy record of internecine wars, barbaric deeds and unstable</w:t></w:r>
</w:p>
<w:p>
<w:pPr><w:pStyle w:val="Normal"/></w:pPr>
<w:r><w:t xml:space="preserve">governments, of adventurers usurping thrones, only to be</w:t></w:r>
</w:p>
<w:p>
<w:pPr><w:pStyle w:val="Normal"/></w:pPr>
<w:r><w:t xml:space="preserve">themselves unseated, and of raids, rapine and pillage.  Into</w:t></w:r>
</w:p>
<w:p>
<w:pPr><w:pStyle w:val="Normal"/></w:pPr>
<w:r><w:t xml:space="preserve">this chaos enter from time to time broad rays of sunshine,</w:t></w:r>
</w:p>
<w:p>
<w:pPr><w:pStyle w:val="Normal"/></w:pPr>
<w:r><w:t xml:space="preserve">the efforts of a few enlightened monarchs to evolve order from</w:t></w:r>
</w:p>
<w:p>
<w:pPr><w:pStyle w:val="Normal"/></w:pPr>
<w:r><w:t xml:space="preserve">disorder, and to supply to their people the blessings of peace and</w:t></w:r>
</w:p>
<w:p>
<w:pPr><w:pStyle w:val="Normal"/></w:pPr>
<w:r><w:t xml:space="preserve">civilization.  Bearing these matters in mind, we find that during</w:t></w:r>
</w:p>
<w:p>
<w:pPr><w:pStyle w:val="Normal"/></w:pPr>
<w:r><w:t xml:space="preserve">the 18th century the most prominent and beneficent rulers were</w:t></w:r>
</w:p>
<w:p>
<w:pPr><w:pStyle w:val="Normal"/></w:pPr>
<w:r><w:t xml:space="preserve">the emperor Yesu of Gondar, who died about 1720, Sebastie,</w:t></w:r>
</w:p>
<w:p>
<w:pPr><w:pStyle w:val="Normal"/></w:pPr>
<w:r><w:t xml:space="preserve">negus of Shoa (1703-1718), Amada Yesus of Shoa, who extended</w:t></w:r>
</w:p>
<w:p>
<w:pPr><w:pStyle w:val="Normal"/></w:pPr>
<w:r><w:t xml:space="preserve">his kingdom and founded Ankober (1743-1774), Tekla Giorgis</w:t></w:r>
</w:p>
<w:p>
<w:pPr><w:pStyle w:val="Normal"/></w:pPr>
<w:r><w:t xml:space="preserve">of Amhara (1770-1798?) and Asfa Nassen of Shoa (1774-1807),</w:t></w:r>
</w:p>
<w:p>
<w:pPr><w:pStyle w:val="Normal"/></w:pPr>
<w:r><w:t xml:space="preserve">the latter being especially renowned as a wise and benevolent</w:t></w:r>
</w:p>
<w:p>
<w:pPr><w:pStyle w:val="Normal"/></w:pPr>
<w:r><w:t xml:space="preserve">monarch.  The first years of the 19th century were disturbed</w:t></w:r>
</w:p>
<w:p>
<w:pPr><w:pStyle w:val="Normal"/></w:pPr>
<w:r><w:t xml:space="preserve">by fierce campaigns between Guxa, ras of Gondar, and Wolda</w:t></w:r>
</w:p>
<w:p>
<w:pPr><w:pStyle w:val="Normal"/></w:pPr>
<w:r><w:t xml:space="preserve">Selassie, ras of Tigre, who were both striving for the</w:t></w:r>
</w:p>
<w:p>
<w:pPr><w:pStyle w:val="Normal"/></w:pPr>
<w:r><w:t xml:space="preserve">crown of Guxa&apos;s master, the emperor Eguala Izeion.  Wolda</w:t></w:r>
</w:p>
<w:p>
<w:pPr><w:pStyle w:val="Normal"/></w:pPr>
<w:r><w:t xml:space="preserve">Selassie was eventually the victor, and practically ruled</w:t></w:r>
</w:p>
<w:p>
<w:pPr><w:pStyle w:val="Normal"/></w:pPr>
<w:r><w:t xml:space="preserve">the whole country till his death in 1816 at the age of eighty.</w:t></w:r>
</w:p>
<w:p>
<w:pPr><w:pStyle w:val="Normal"/></w:pPr>
<w:r><w:t xml:space="preserve">British mission and missionary enterprise.</w:t></w:r>
</w:p>
<w:p>
<w:pPr><w:pStyle w:val="Normal"/></w:pPr>
<w:r><w:t xml:space="preserve">(16) Mention must here be made of the first British mission,</w:t></w:r>
</w:p>
<w:p>
<w:pPr><w:pStyle w:val="Normal"/></w:pPr>
<w:r><w:t xml:space="preserve">under Lord Valentia and Mr Henry Salt, which was sent in 1805</w:t></w:r>
</w:p>
<w:p>
<w:pPr><w:pStyle w:val="Normal"/></w:pPr>
<w:r><w:t xml:space="preserve">to conclude an alliance with Abyssinia, and obtain a port on</w:t></w:r>
</w:p>
<w:p>
<w:pPr><w:pStyle w:val="Normal"/></w:pPr>
<w:r><w:t xml:space="preserve">the Red Sea in case France secured Egypt by dividing up the</w:t></w:r>
</w:p>
<w:p>
<w:pPr><w:pStyle w:val="Normal"/></w:pPr>
<w:r><w:t xml:space="preserve">Turkish empire with Russia.  This mission was succeeded by many</w:t></w:r>
</w:p>
<w:p>
<w:pPr><w:pStyle w:val="Normal"/></w:pPr>
<w:r><w:t xml:space="preserve">travellers, missionaries and merchants of all countries, and</w:t></w:r>
</w:p>
<w:p>
<w:pPr><w:pStyle w:val="Normal"/></w:pPr>
<w:r><w:t xml:space="preserve">the stream of Europeans continued until well into Theodore&apos;s</w:t></w:r>
</w:p>
<w:p>
<w:pPr><w:pStyle w:val="Normal"/></w:pPr>
<w:r><w:t xml:space="preserve">reign.  For convenience&apos; sake we insert at this point a</w:t></w:r>
</w:p>
<w:p>
<w:pPr><w:pStyle w:val="Normal"/></w:pPr>
<w:r><w:t xml:space="preserve">partial list of missionaries and others who visited the country</w:t></w:r>
</w:p>
<w:p>
<w:pPr><w:pStyle w:val="Normal"/></w:pPr>
<w:r><w:t xml:space="preserve">during the second third of the 19th century---merely calling</w:t></w:r>
</w:p>
<w:p>
<w:pPr><w:pStyle w:val="Normal"/></w:pPr>
<w:r><w:t xml:space="preserve">attention to the fact that their visits were distributed</w:t></w:r>
</w:p>
<w:p>
<w:pPr><w:pStyle w:val="Normal"/></w:pPr>
<w:r><w:t xml:space="preserve">over widely different parts of the country, ruled by distinct</w:t></w:r>
</w:p>
<w:p>
<w:pPr><w:pStyle w:val="Normal"/></w:pPr>
<w:r><w:t xml:space="preserve">lines of monarchs or governors.  In 1830 Protestant missionary</w:t></w:r>
</w:p>
<w:p>
<w:pPr><w:pStyle w:val="Normal"/></w:pPr>
<w:r><w:t xml:space="preserve">enterprise was begun by Samuel Gobat and Christian Kugler,</w:t></w:r>
</w:p>
<w:p>
<w:pPr><w:pStyle w:val="Normal"/></w:pPr>
<w:r><w:t xml:space="preserve">who were sent out by the Church Missionary Society, and were</w:t></w:r>
</w:p>
<w:p>
<w:pPr><w:pStyle w:val="Normal"/></w:pPr>
<w:r><w:t xml:space="preserve">well received by the ras of Tigre.  Mr Kugler died soon</w:t></w:r>
</w:p>
<w:p>
<w:pPr><w:pStyle w:val="Normal"/></w:pPr>
<w:r><w:t xml:space="preserve">after his arrival, and his place was subsequently supplied</w:t></w:r>
</w:p>
<w:p>
<w:pPr><w:pStyle w:val="Normal"/></w:pPr>
<w:r><w:t xml:space="preserve">by Mr C. W. Isenberg, who was followed by Dr Ludwig Krapf,</w:t></w:r>
</w:p>
<w:p>
<w:pPr><w:pStyle w:val="Normal"/></w:pPr>
<w:r><w:t xml:space="preserve">the discoverer of Mount Kenya, and others.  Mr (afterwards</w:t></w:r>
</w:p>
<w:p>
<w:pPr><w:pStyle w:val="Normal"/></w:pPr>
<w:r><w:t xml:space="preserve">Bishop) Gobat proceeded to Gondar, where he also met with</w:t></w:r>
</w:p>
<w:p>
<w:pPr><w:pStyle w:val="Normal"/></w:pPr>
<w:r><w:t xml:space="preserve">a favourable reception.  In 1833 he returned to Europe, and</w:t></w:r>
</w:p>
<w:p>
<w:pPr><w:pStyle w:val="Normal"/></w:pPr>
<w:r><w:t xml:space="preserve">published a journal of his residence in Abyssinia.  In 1834</w:t></w:r>
</w:p>
<w:p>
<w:pPr><w:pStyle w:val="Normal"/></w:pPr>
<w:r><w:t xml:space="preserve">Gobat went back to Tigre, but in 1836 ill health compelled</w:t></w:r>
</w:p>
<w:p>
<w:pPr><w:pStyle w:val="Normal"/></w:pPr>
<w:r><w:t xml:space="preserve">him to leave.  In 1838 other missionaries were obliged to</w:t></w:r>
</w:p>
<w:p>
<w:pPr><w:pStyle w:val="Normal"/></w:pPr>
<w:r><w:t xml:space="preserve">leave the country, owing to the opposition of the native</w:t></w:r>
</w:p>
<w:p>
<w:pPr><w:pStyle w:val="Normal"/></w:pPr>
<w:r><w:t xml:space="preserve">priests.  Messrs Isenberg and Krapf went south, and established</w:t></w:r>
</w:p>
<w:p>
<w:pPr><w:pStyle w:val="Normal"/></w:pPr>
<w:r><w:t xml:space="preserve">themselves at Shoa.  The former soon after returned to England,</w:t></w:r>
</w:p>
<w:p>
<w:pPr><w:pStyle w:val="Normal"/></w:pPr>
<w:r><w:t xml:space="preserve">but Mr Krapf remained in Shoa till March 1842, when he</w:t></w:r>
</w:p>
<w:p>
<w:pPr><w:pStyle w:val="Normal"/></w:pPr>
<w:r><w:t xml:space="preserve">removed to Mombasa.  Dr E. Ruppell, the German naturalist,</w:t></w:r>
</w:p>
<w:p>
<w:pPr><w:pStyle w:val="Normal"/></w:pPr>
<w:r><w:t xml:space="preserve">visited the country in 1831, and remained nearly two years.</w:t></w:r>
</w:p>
<w:p>
<w:pPr><w:pStyle w:val="Normal"/></w:pPr>
<w:r><w:t xml:space="preserve">M. E. Combes and M. Tamisier arrived at Massawa in 1835, and</w:t></w:r>
</w:p>
<w:p>
<w:pPr><w:pStyle w:val="Normal"/></w:pPr>
<w:r><w:t xml:space="preserve">visited districts which had not been traversed by Europeans</w:t></w:r>
</w:p>
<w:p>
<w:pPr><w:pStyle w:val="Normal"/></w:pPr>
<w:r><w:t xml:space="preserve">since the time of the Portuguese.  One who did much at the</w:t></w:r>
</w:p>
<w:p>
<w:pPr><w:pStyle w:val="Normal"/></w:pPr>
<w:r><w:t xml:space="preserve">time to extend our geographical knowledge of the country was</w:t></w:r>
</w:p>
<w:p>
<w:pPr><w:pStyle w:val="Normal"/></w:pPr>
<w:r><w:t xml:space="preserve">Dr C. T. Boke (q.v.), who was there from 1840 to 1843.</w:t></w:r>
</w:p>
<w:p>
<w:pPr><w:pStyle w:val="Normal"/></w:pPr>
<w:r><w:t xml:space="preserve">Mr Mansfield Parkyns was there from 1843 to 1846, and wrote</w:t></w:r>
</w:p>
<w:p>
<w:pPr><w:pStyle w:val="Normal"/></w:pPr>
<w:r><w:t xml:space="preserve">the most interesting book on the country since the time of</w:t></w:r>
</w:p>
<w:p>
<w:pPr><w:pStyle w:val="Normal"/></w:pPr>
<w:r><w:t xml:space="preserve">Bruce.  Bishop Gobat having conceived the idea of sending lay</w:t></w:r>
</w:p>
<w:p>
<w:pPr><w:pStyle w:val="Normal"/></w:pPr>
<w:r><w:t xml:space="preserve">missionaries into the country, who would engage in secular</w:t></w:r>
</w:p>
<w:p>
<w:pPr><w:pStyle w:val="Normal"/></w:pPr>
<w:r><w:t xml:space="preserve">occupations as well as carry on missionary work, Dr Krapf</w:t></w:r>
</w:p>
<w:p>
<w:pPr><w:pStyle w:val="Normal"/></w:pPr>
<w:r><w:t xml:space="preserve">returned to Abyssinia in 1855 with Mr Flad as pioneers of that</w:t></w:r>
</w:p>
<w:p>
<w:pPr><w:pStyle w:val="Normal"/></w:pPr>
<w:r><w:t xml:space="preserve">mission; Krapf, however, was not permitted to remain in the</w:t></w:r>
</w:p>
<w:p>
<w:pPr><w:pStyle w:val="Normal"/></w:pPr>
<w:r><w:t xml:space="preserve">country.  Six lay workers came out at first, and they were</w:t></w:r>
</w:p>
<w:p>
<w:pPr><w:pStyle w:val="Normal"/></w:pPr>
<w:r><w:t xml:space="preserve">subsequently joined by others.  Their secular work, however,</w:t></w:r>
</w:p>
<w:p>
<w:pPr><w:pStyle w:val="Normal"/></w:pPr>
<w:r><w:t xml:space="preserve">appears to have been more valuable to Theodore than their</w:t></w:r>
</w:p>
<w:p>
<w:pPr><w:pStyle w:val="Normal"/></w:pPr>
<w:r><w:t xml:space="preserve">preaching, so that he employed them as workmen to himself,</w:t></w:r>
</w:p>
<w:p>
<w:pPr><w:pStyle w:val="Normal"/></w:pPr>
<w:r><w:t xml:space="preserve">and established them at Gaffat, near his capital.  Mr Stern</w:t></w:r>
</w:p>
<w:p>
<w:pPr><w:pStyle w:val="Normal"/></w:pPr>
<w:r><w:t xml:space="preserve">arrived in Abyssinia in 1860, and after a visit to Europe</w:t></w:r>
</w:p>
<w:p>
<w:pPr><w:pStyle w:val="Normal"/></w:pPr>
<w:r><w:t xml:space="preserve">returned in 1863, accompanied by Mr and Mrs Rosenthal.1</w:t></w:r>
</w:p>
<w:p>
<w:pPr><w:pStyle w:val="Normal"/></w:pPr>
<w:r><w:t xml:space="preserve">Rivalry of British and French factions</w:t></w:r>
</w:p>
<w:p>
<w:pPr><w:pStyle w:val="Normal"/></w:pPr>
<w:r><w:t xml:space="preserve">(17) Wolda Selassie of Tigre was succeeded in 1817, through</w:t></w:r>
</w:p>
<w:p>
<w:pPr><w:pStyle w:val="Normal"/></w:pPr>
<w:r><w:t xml:space="preserve">force of arms, by Sabagadis of Agame, and the latter, as</w:t></w:r>
</w:p>
<w:p>
<w:pPr><w:pStyle w:val="Normal"/></w:pPr>
<w:r><w:t xml:space="preserve">ras of Tigre, introduced various Englishmen, whom he much</w:t></w:r>
</w:p>
<w:p>
<w:pPr><w:pStyle w:val="Normal"/></w:pPr>
<w:r><w:t xml:space="preserve">admired, into the country.  He increased the prosperity of</w:t></w:r>
</w:p>
<w:p>
<w:pPr><w:pStyle w:val="Normal"/></w:pPr>
<w:r><w:t xml:space="preserve">his land considerably. but by so doing roused the jealousy</w:t></w:r>
</w:p>
<w:p>
<w:pPr><w:pStyle w:val="Normal"/></w:pPr>
<w:r><w:t xml:space="preserve">of Ras Marie of Amhara--to whom he had refused tribute--and</w:t></w:r>
</w:p>
<w:p>
<w:pPr><w:pStyle w:val="Normal"/></w:pPr>
<w:r><w:t xml:space="preserve">Ubie, son of Hailo Mariam, a governor of Simen.  In an</w:t></w:r>
</w:p>
<w:p>
<w:pPr><w:pStyle w:val="Normal"/></w:pPr>
<w:r><w:t xml:space="preserve">ensuing battle (in January 1831), both Sabagadis and Marie</w:t></w:r>
</w:p>
<w:p>
<w:pPr><w:pStyle w:val="Normal"/></w:pPr>
<w:r><w:t xml:space="preserve">were killed, and Ubie retired to watch events from his own</w:t></w:r>
</w:p>
<w:p>
<w:pPr><w:pStyle w:val="Normal"/></w:pPr>
<w:r><w:t xml:space="preserve">province.  Marie was shortly succeeded in the ras-ship</w:t></w:r>
</w:p>
<w:p>
<w:pPr><w:pStyle w:val="Normal"/></w:pPr>
<w:r><w:t xml:space="preserve">of Amhara by Ali, a nephew of Guxa and a Mahommedan.  But</w:t></w:r>
</w:p>
<w:p>
<w:pPr><w:pStyle w:val="Normal"/></w:pPr>
<w:r><w:t xml:space="preserve">Ubie, who was aiming at the crown, soon attacked Ras Ali,</w:t></w:r>
</w:p>
<w:p>
<w:pPr><w:pStyle w:val="Normal"/></w:pPr>
<w:r><w:t xml:space="preserve">and after several indecisive campaigns proclaimed himself</w:t></w:r>
</w:p>
<w:p>
<w:pPr><w:pStyle w:val="Normal"/></w:pPr>
<w:r><w:t xml:space="preserve">negus of Tigre.  To him came many French missionaries and</w:t></w:r>
</w:p>
<w:p>
<w:pPr><w:pStyle w:val="Normal"/></w:pPr>
<w:r><w:t xml:space="preserve">travellers, chief of whom were Lieut.  Lefebvre, charged</w:t></w:r>
</w:p>
<w:p>
<w:pPr><w:pStyle w:val="Normal"/></w:pPr>
<w:r><w:t xml:space="preserve">(1839) with political and geographical missions, and</w:t></w:r>
</w:p>
<w:p>
<w:pPr><w:pStyle w:val="Normal"/></w:pPr>
<w:r><w:t xml:space="preserve">Captains Galinier and Ferret, who completed for him a useful</w:t></w:r>
</w:p>
<w:p>
<w:pPr><w:pStyle w:val="Normal"/></w:pPr>
<w:r><w:t xml:space="preserve">triangulation and survey of Tigre and Simen (1840-1842).</w:t></w:r>
</w:p>
<w:p>
<w:pPr><w:pStyle w:val="Normal"/></w:pPr>
<w:r><w:t xml:space="preserve">The brothers Antoine and Arnaud d&apos;Abbadie (q.v.) spent</w:t></w:r>
</w:p>
<w:p>
<w:pPr><w:pStyle w:val="Normal"/></w:pPr>
<w:r><w:t xml:space="preserve">ten years (1838-1848) in the country, making scientific</w:t></w:r>
</w:p>
<w:p>
<w:pPr><w:pStyle w:val="Normal"/></w:pPr>
<w:r><w:t xml:space="preserve">investigations of great value, and also involving themselves</w:t></w:r>
</w:p>
<w:p>
<w:pPr><w:pStyle w:val="Normal"/></w:pPr>
<w:r><w:t xml:space="preserve">in the stormy politics of the country.  Northern Abyssinia</w:t></w:r>
</w:p>
<w:p>
<w:pPr><w:pStyle w:val="Normal"/></w:pPr>
<w:r><w:t xml:space="preserve">was now divided into two camps, the one, Amhara and Ras</w:t></w:r>
</w:p>
<w:p>
<w:pPr><w:pStyle w:val="Normal"/></w:pPr>
<w:r><w:t xml:space="preserve">Ali, under Protestant British, and the other, Tigre and</w:t></w:r>
</w:p>
<w:p>
<w:pPr><w:pStyle w:val="Normal"/></w:pPr>
<w:r><w:t xml:space="preserve">Ubie, under Roman Catholic French, influence.  The latent</w:t></w:r>
</w:p>
<w:p>
<w:pPr><w:pStyle w:val="Normal"/></w:pPr>
<w:r><w:t xml:space="preserve">hostility between the two factions threatened at one time to</w:t></w:r>
</w:p>
<w:p>
<w:pPr><w:pStyle w:val="Normal"/></w:pPr>
<w:r><w:t xml:space="preserve">develop into a religious war, but no serious campaigns took</w:t></w:r>
</w:p>
<w:p>
<w:pPr><w:pStyle w:val="Normal"/></w:pPr>
<w:r><w:t xml:space="preserve">place until Kassa (later Theodore) appeared on the scene.</w:t></w:r>
</w:p>
<w:p>
<w:pPr><w:pStyle w:val="Normal"/></w:pPr>
<w:r><w:t xml:space="preserve">Rise of the emperor Theodore.</w:t></w:r>
</w:p>
<w:p>
<w:pPr><w:pStyle w:val="Normal"/></w:pPr>
<w:r><w:t xml:space="preserve">(18) Lij (= Mr) Kassa was born in Kwara, a small district</w:t></w:r>
</w:p>
<w:p>
<w:pPr><w:pStyle w:val="Normal"/></w:pPr>
<w:r><w:t xml:space="preserve">of Western Amhara, in 1818.  His father was a small local</w:t></w:r>
</w:p>
<w:p>
<w:pPr><w:pStyle w:val="Normal"/></w:pPr>
<w:r><w:t xml:space="preserve">chief, and his uncle was governor of the districts of Dembea,</w:t></w:r>
</w:p>
<w:p>
<w:pPr><w:pStyle w:val="Normal"/></w:pPr>
<w:r><w:t xml:space="preserve">Kwara and Chelga between Lake Tsana and the undefined N.W.</w:t></w:r>
</w:p>
<w:p>
<w:pPr><w:pStyle w:val="Normal"/></w:pPr>
<w:r><w:t xml:space="preserve">frontier.  He was educated in a monastery, but preferred a</w:t></w:r>
</w:p>
<w:p>
<w:pPr><w:pStyle w:val="Normal"/></w:pPr>
<w:r><w:t xml:space="preserve">more active life, and by his talents and energy came rapidly</w:t></w:r>
</w:p>
<w:p>
<w:pPr><w:pStyle w:val="Normal"/></w:pPr>
<w:r><w:t xml:space="preserve">to the front.  On the death of his uncle he was made chief of</w:t></w:r>
</w:p>
<w:p>
<w:pPr><w:pStyle w:val="Normal"/></w:pPr>
<w:r><w:t xml:space="preserve">Kwara, but in consequence of the arrest of his brother Bilawa</w:t></w:r>
</w:p>
<w:p>
<w:pPr><w:pStyle w:val="Normal"/></w:pPr>
<w:r><w:t xml:space="preserve">by Ras Ali, he raised the standard of revolt against the</w:t></w:r>
</w:p>
<w:p>
<w:pPr><w:pStyle w:val="Normal"/></w:pPr>
<w:r><w:t xml:space="preserve">latter, and, collecting a large force, repeatedly beat the</w:t></w:r>
</w:p>
<w:p>
<w:pPr><w:pStyle w:val="Normal"/></w:pPr>
<w:r><w:t xml:space="preserve">troops that were sent against him by the ras (1841-1847).</w:t></w:r>
</w:p>
<w:p>
<w:pPr><w:pStyle w:val="Normal"/></w:pPr>
<w:r><w:t xml:space="preserve">On one occasion peace was restored by his receiving Tavavich,</w:t></w:r>
</w:p>
<w:p>
<w:pPr><w:pStyle w:val="Normal"/></w:pPr>
<w:r><w:t xml:space="preserve">daughter of Ras Ali, in marriage; and this lady is said to</w:t></w:r>
</w:p>
<w:p>
<w:pPr><w:pStyle w:val="Normal"/></w:pPr>
<w:r><w:t xml:space="preserve">have been a good and wise counsellor during her lifetime. He</w:t></w:r>
</w:p>
<w:p>
<w:pPr><w:pStyle w:val="Normal"/></w:pPr>
<w:r><w:t xml:space="preserve">next turned his arms against the Turks, in the direction of</w:t></w:r>
</w:p>
<w:p>
<w:pPr><w:pStyle w:val="Normal"/></w:pPr>
<w:r><w:t xml:space="preserve">Massawa, but was defeated; and the mother of Ras Ali having</w:t></w:r>
</w:p>
<w:p>
<w:pPr><w:pStyle w:val="Normal"/></w:pPr>
<w:r><w:t xml:space="preserve">insulted him in his fallen condition, he proclaimed his</w:t></w:r>
</w:p>
<w:p>
<w:pPr><w:pStyle w:val="Normal"/></w:pPr>
<w:r><w:t xml:space="preserve">independence.  As his power was increasing, to the detriment</w:t></w:r>
</w:p>
<w:p>
<w:pPr><w:pStyle w:val="Normal"/></w:pPr>
<w:r><w:t xml:space="preserve">of both Ras Ali and Ubie, these two princes combined against</w:t></w:r>
</w:p>
<w:p>
<w:pPr><w:pStyle w:val="Normal"/></w:pPr>
<w:r><w:t xml:space="preserve">him, but were heavily defeated by him at Gorgora (on the</w:t></w:r>
</w:p>
<w:p>
<w:pPr><w:pStyle w:val="Normal"/></w:pPr>
<w:r><w:t xml:space="preserve">southern shore of Lake Tsana) in 1853.  Ubie retreated to</w:t></w:r>
</w:p>
<w:p>
<w:pPr><w:pStyle w:val="Normal"/></w:pPr>
<w:r><w:t xml:space="preserve">Tigre, and Ras Ali fled to Begemeder, where he eventually</w:t></w:r>
</w:p>
<w:p>
<w:pPr><w:pStyle w:val="Normal"/></w:pPr>
<w:r><w:t xml:space="preserve">died.  Kassa now ruled in Amhara, but his ambition was to</w:t></w:r>
</w:p>
<w:p>
<w:pPr><w:pStyle w:val="Normal"/></w:pPr>
<w:r><w:t xml:space="preserve">attain to supreme power, and he turned his attention to</w:t></w:r>
</w:p>
<w:p>
<w:pPr><w:pStyle w:val="Normal"/></w:pPr>
<w:r><w:t xml:space="preserve">conquering the remaining chief divisions of the country,</w:t></w:r>
</w:p>
<w:p>
<w:pPr><w:pStyle w:val="Normal"/></w:pPr>
<w:r><w:t xml:space="preserve">Gojam, Tigre and Shoa, which still remained unsubdued.</w:t></w:r>
</w:p>
<w:p>
<w:pPr><w:pStyle w:val="Normal"/></w:pPr>
<w:r><w:t xml:space="preserve">Berro, ras of Gojam, in order to save himself, attempted</w:t></w:r>
</w:p>
<w:p>
<w:pPr><w:pStyle w:val="Normal"/></w:pPr>
<w:r><w:t xml:space="preserve">to combine with Tigre, but his army was intercepted by</w:t></w:r>
</w:p>
<w:p>
<w:pPr><w:pStyle w:val="Normal"/></w:pPr>
<w:r><w:t xml:space="preserve">Kassa and totally destroyed, himself being taken prisoner</w:t></w:r>
</w:p>
<w:p>
<w:pPr><w:pStyle w:val="Normal"/></w:pPr>
<w:r><w:t xml:space="preserve">and executed (May 1854). Shortly afterwards Kassa moved</w:t></w:r>
</w:p>
<w:p>
<w:pPr><w:pStyle w:val="Normal"/></w:pPr>
<w:r><w:t xml:space="preserve">against Tigre, defeated Ubie&apos;s forces at Deragie,</w:t></w:r>
</w:p>
<w:p>
<w:pPr><w:pStyle w:val="Normal"/></w:pPr>
<w:r><w:t xml:space="preserve">in Simen (February 1855), took their chief prisoner and</w:t></w:r>
</w:p>
<w:p>
<w:pPr><w:pStyle w:val="Normal"/></w:pPr>
<w:r><w:t xml:space="preserve">proclaimed himself negus negusti of Ethiopia under the</w:t></w:r>
</w:p>
<w:p>
<w:pPr><w:pStyle w:val="Normal"/></w:pPr>
<w:r><w:t xml:space="preserve">name of Theodore III. He now turned his attention to Shoa.</w:t></w:r>
</w:p>
<w:p>
<w:pPr><w:pStyle w:val="Normal"/></w:pPr>
<w:r><w:t xml:space="preserve">Growing power of Shoa</w:t></w:r>
</w:p>
<w:p>
<w:pPr><w:pStyle w:val="Normal"/></w:pPr>
<w:r><w:t xml:space="preserve">(19) Retracing our steps for a moment in that direction, we</w:t></w:r>
</w:p>
<w:p>
<w:pPr><w:pStyle w:val="Normal"/></w:pPr>
<w:r><w:t xml:space="preserve">find that in 1813 Sahela (or Sella) Selassie, younger son</w:t></w:r>
</w:p>
<w:p>
<w:pPr><w:pStyle w:val="Normal"/></w:pPr>
<w:r><w:t xml:space="preserve">of the preceding ras, Wassen Seged, had proclaimed himself</w:t></w:r>
</w:p>
<w:p>
<w:pPr><w:pStyle w:val="Normal"/></w:pPr>
<w:r><w:t xml:space="preserve">negus or king.  His reign was long and beneficent.  He</w:t></w:r>
</w:p>
<w:p>
<w:pPr><w:pStyle w:val="Normal"/></w:pPr>
<w:r><w:t xml:space="preserve">restored the towns of Debra-Berhan and Angolala, and founded</w:t></w:r>
</w:p>
<w:p>
<w:pPr><w:pStyle w:val="Normal"/></w:pPr>
<w:r><w:t xml:space="preserve">Entotto, the strong stone-built town whose ruins overlook</w:t></w:r>
</w:p>
<w:p>
<w:pPr><w:pStyle w:val="Normal"/></w:pPr>
<w:r><w:t xml:space="preserve">the modern capital, Adis Ababa.  In the terrible ``famine of</w:t></w:r>
</w:p>
<w:p>
<w:pPr><w:pStyle w:val="Normal"/></w:pPr>
<w:r><w:t xml:space="preserve">St Luke&apos;&apos; in 1835, Selassie still further won the hearts of</w:t></w:r>
</w:p>
<w:p>
<w:pPr><w:pStyle w:val="Normal"/></w:pPr>
<w:r><w:t xml:space="preserve">his subjects by his wise measures and personal generosity;</w:t></w:r>
</w:p>
<w:p>
<w:pPr><w:pStyle w:val="Normal"/></w:pPr>
<w:r><w:t xml:space="preserve">and by extending his hospitality to Europeans, he brought</w:t></w:r>
</w:p>
<w:p>
<w:pPr><w:pStyle w:val="Normal"/></w:pPr>
<w:r><w:t xml:space="preserve">his country within the closer ken of civilized European</w:t></w:r>
</w:p>
<w:p>
<w:pPr><w:pStyle w:val="Normal"/></w:pPr>
<w:r><w:t xml:space="preserve">powers.  During his reign he received the missions of Major</w:t></w:r>
</w:p>
<w:p>
<w:pPr><w:pStyle w:val="Normal"/></w:pPr>
<w:r><w:t xml:space="preserve">W. Cornwallis Harris, sent by the governor-general of India</w:t></w:r>
</w:p>
<w:p>
<w:pPr><w:pStyle w:val="Normal"/></w:pPr>
<w:r><w:t xml:space="preserve">(1841), and M. Rochet d&apos;Hericourt, sent by Louis Philippe</w:t></w:r>
</w:p>
<w:p>
<w:pPr><w:pStyle w:val="Normal"/></w:pPr>
<w:r><w:t xml:space="preserve">(1843), with both of whom he concluded friendly treaties on</w:t></w:r>
</w:p>
<w:p>
<w:pPr><w:pStyle w:val="Normal"/></w:pPr>
<w:r><w:t xml:space="preserve">behalf of their respective governments.  He also wrote to Pope</w:t></w:r>
</w:p>
<w:p>
<w:pPr><w:pStyle w:val="Normal"/></w:pPr>
<w:r><w:t xml:space="preserve">Pius IX., asking that a Roman Catholic bishop should be sent to</w:t></w:r>
</w:p>
<w:p>
<w:pPr><w:pStyle w:val="Normal"/></w:pPr>
<w:r><w:t xml:space="preserve">him.  This request was acceded to, and the pope despatched</w:t></w:r>
</w:p>
<w:p>
<w:pPr><w:pStyle w:val="Normal"/></w:pPr>
<w:r><w:t xml:space="preserve">Monsigneur Massaja to Shoa.  But before the prelate could</w:t></w:r>
</w:p>
<w:p>
<w:pPr><w:pStyle w:val="Normal"/></w:pPr>
<w:r><w:t xml:space="preserve">reach the country, Selassie was dead (1847), leaving his</w:t></w:r>
</w:p>
<w:p>
<w:pPr><w:pStyle w:val="Normal"/></w:pPr>
<w:r><w:t xml:space="preserve">eldest son, Haeli Melicoth, to succeed him. Melicoth at once</w:t></w:r>
</w:p>
<w:p>
<w:pPr><w:pStyle w:val="Normal"/></w:pPr>
<w:r><w:t xml:space="preserve">proclaimed himself negus, and by sending for Massaja, who</w:t></w:r>
</w:p>
<w:p>
<w:pPr><w:pStyle w:val="Normal"/></w:pPr>
<w:r><w:t xml:space="preserve">had arrived at Gondar, gave rise to the suspicion that he</w:t></w:r>
</w:p>
<w:p>
<w:pPr><w:pStyle w:val="Normal"/></w:pPr>
<w:r><w:t xml:space="preserve">wished to have himself crowned as emperor.  By increasing</w:t></w:r>
</w:p>
<w:p>
<w:pPr><w:pStyle w:val="Normal"/></w:pPr>
<w:r><w:t xml:space="preserve">his dominions at the expense of the Gallas, he still further</w:t></w:r>
</w:p>
<w:p>
<w:pPr><w:pStyle w:val="Normal"/></w:pPr>
<w:r><w:t xml:space="preserve">roused the jealousy of the northerners, and a treaty which</w:t></w:r>
</w:p>
<w:p>
<w:pPr><w:pStyle w:val="Normal"/></w:pPr>
<w:r><w:t xml:space="preserve">he concluded with Ras Ali against Kassa in 1850 determined</w:t></w:r>
</w:p>
<w:p>
<w:pPr><w:pStyle w:val="Normal"/></w:pPr>
<w:r><w:t xml:space="preserve">the latter to crush him at the earliest opportunity.</w:t></w:r>
</w:p>
<w:p>
<w:pPr><w:pStyle w:val="Normal"/></w:pPr>
<w:r><w:t xml:space="preserve">Thus it was that in 1855 Kassa, under the name of the emperor</w:t></w:r>
</w:p>
<w:p>
<w:pPr><w:pStyle w:val="Normal"/></w:pPr>
<w:r><w:t xml:space="preserve">Theodore, advanced against Shoa with a large army. Dissensions</w:t></w:r>
</w:p>
<w:p>
<w:pPr><w:pStyle w:val="Normal"/></w:pPr>
<w:r><w:t xml:space="preserve">broke out among the Shoans, and after a desperate and futile</w:t></w:r>
</w:p>
<w:p>
<w:pPr><w:pStyle w:val="Normal"/></w:pPr>
<w:r><w:t xml:space="preserve">attack on Theodore at Debra-Berhan, Haeli Melicoth died of</w:t></w:r>
</w:p>
<w:p>
<w:pPr><w:pStyle w:val="Normal"/></w:pPr>
<w:r><w:t xml:space="preserve">exhaustion and fever, nominating with his last breath his</w:t></w:r>
</w:p>
<w:p>
<w:pPr><w:pStyle w:val="Normal"/></w:pPr>
<w:r><w:t xml:space="preserve">eleven-year-old son Menelek2 as successor (November 1855).</w:t></w:r>
</w:p>
<w:p>
<w:pPr><w:pStyle w:val="Normal"/></w:pPr>
<w:r><w:t xml:space="preserve">Darge, Haeli&apos;s brother, took charge of the young prince, but</w:t></w:r>
</w:p>
<w:p>
<w:pPr><w:pStyle w:val="Normal"/></w:pPr>
<w:r><w:t xml:space="preserve">after a hard fight with Angeda, one of Theodore&apos;s rases, was</w:t></w:r>
</w:p>
<w:p>
<w:pPr><w:pStyle w:val="Normal"/></w:pPr>
<w:r><w:t xml:space="preserve">obliged to capitulate.  Menelek was handed over to the negus,</w:t></w:r>
</w:p>
<w:p>
<w:pPr><w:pStyle w:val="Normal"/></w:pPr>
<w:r><w:t xml:space="preserve">taken to Gondar, and there trained in Theodore&apos;s service.</w:t></w:r>
</w:p>
<w:p>
<w:pPr><w:pStyle w:val="Normal"/></w:pPr>
<w:r><w:t xml:space="preserve">(20) Theodore was now in the zenith of his career.  He is</w:t></w:r>
</w:p>
<w:p>
<w:pPr><w:pStyle w:val="Normal"/></w:pPr>
<w:r><w:t xml:space="preserve">described as being generous to excess, free from cupidity,</w:t></w:r>
</w:p>
<w:p>
<w:pPr><w:pStyle w:val="Normal"/></w:pPr>
<w:r><w:t xml:space="preserve">merciful to his vanquished enemies, and strictly continent,</w:t></w:r>
</w:p>
<w:p>
<w:pPr><w:pStyle w:val="Normal"/></w:pPr>
<w:r><w:t xml:space="preserve">but subject to violent bursts of anger and possessed of</w:t></w:r>
</w:p>
<w:p>
<w:pPr><w:pStyle w:val="Normal"/></w:pPr>
<w:r><w:t xml:space="preserve">unyielding pride and fanatical religious zeal.  He was also</w:t></w:r>
</w:p>
<w:p>
<w:pPr><w:pStyle w:val="Normal"/></w:pPr>
<w:r><w:t xml:space="preserve">a man of education and intelligence, superior to those among</w:t></w:r>
</w:p>
<w:p>
<w:pPr><w:pStyle w:val="Normal"/></w:pPr>
<w:r><w:t xml:space="preserve">whom he lived, with natural talents for governing and gaining</w:t></w:r>
</w:p>
<w:p>
<w:pPr><w:pStyle w:val="Normal"/></w:pPr>
<w:r><w:t xml:space="preserve">the esteem of others. He had, further, a noble bearing and</w:t></w:r>
</w:p>
<w:p>
<w:pPr><w:pStyle w:val="Normal"/></w:pPr>
<w:r><w:t xml:space="preserve">majestic walk, a frame capable of enduring any amount of</w:t></w:r>
</w:p>
<w:p>
<w:pPr><w:pStyle w:val="Normal"/></w:pPr>
<w:r><w:t xml:space="preserve">fatigue, and is said to have been ``the best shot, the best</w:t></w:r>
</w:p>
<w:p>
<w:pPr><w:pStyle w:val="Normal"/></w:pPr>
<w:r><w:t xml:space="preserve">spearman, the best runner, and the best horseman in Abyssinia.&apos;&apos;</w:t></w:r>
</w:p>
<w:p>
<w:pPr><w:pStyle w:val="Normal"/></w:pPr>
<w:r><w:t xml:space="preserve">Had he contented himself with the sovereignty of Amhara and</w:t></w:r>
</w:p>
<w:p>
<w:pPr><w:pStyle w:val="Normal"/></w:pPr>
<w:r><w:t xml:space="preserve">Tigre, he might have maintained his position; but he was led</w:t></w:r>
</w:p>
<w:p>
<w:pPr><w:pStyle w:val="Normal"/></w:pPr>
<w:r><w:t xml:space="preserve">to exhaust his strength against the Wollo Gallas, which was</w:t></w:r>
</w:p>
<w:p>
<w:pPr><w:pStyle w:val="Normal"/></w:pPr>
<w:r><w:t xml:space="preserve">probably one of the chief causes of his ruin.  He obtained</w:t></w:r>
</w:p>
<w:p>
<w:pPr><w:pStyle w:val="Normal"/></w:pPr>
<w:r><w:t xml:space="preserve">several victories over that people, ravaged their country,</w:t></w:r>
</w:p>
<w:p>
<w:pPr><w:pStyle w:val="Normal"/></w:pPr>
<w:r><w:t xml:space="preserve">took possession of Magdala, which he afterwards made his</w:t></w:r>
</w:p>
<w:p>
<w:pPr><w:pStyle w:val="Normal"/></w:pPr>
<w:r><w:t xml:space="preserve">principal stronghold, and enlisted many of the chiefs and</w:t></w:r>
</w:p>
<w:p>
<w:pPr><w:pStyle w:val="Normal"/></w:pPr>
<w:r><w:t xml:space="preserve">their followers in his own ranks.  As has been shown, he also</w:t></w:r>
</w:p>
<w:p>
<w:pPr><w:pStyle w:val="Normal"/></w:pPr>
<w:r><w:t xml:space="preserve">reduced the kingdom of Shoa, and took Ankober, the capital;</w:t></w:r>
</w:p>
<w:p>
<w:pPr><w:pStyle w:val="Normal"/></w:pPr>
<w:r><w:t xml:space="preserve">but in the meantime his own people were groaning under his</w:t></w:r>
</w:p>
<w:p>
<w:pPr><w:pStyle w:val="Normal"/></w:pPr>
<w:r><w:t xml:space="preserve">heavy exactions, rebellions were breaking out in various parts</w:t></w:r>
</w:p>
<w:p>
<w:pPr><w:pStyle w:val="Normal"/></w:pPr>
<w:r><w:t xml:space="preserve">of his provinces, and his good queen Tavavich was now dead.</w:t></w:r>
</w:p>
<w:p>
<w:pPr><w:pStyle w:val="Normal"/></w:pPr>
<w:r><w:t xml:space="preserve">Theodore&apos;s quarrel with great Britain</w:t></w:r>
</w:p>
<w:p>
<w:pPr><w:pStyle w:val="Normal"/></w:pPr>
<w:r><w:t xml:space="preserve">The British consul, Walter C. Plowden, who was strongly</w:t></w:r>
</w:p>
<w:p>
<w:pPr><w:pStyle w:val="Normal"/></w:pPr>
<w:r><w:t xml:space="preserve">attached to Theodore, having been ordered by his government</w:t></w:r>
</w:p>
<w:p>
<w:pPr><w:pStyle w:val="Normal"/></w:pPr>
<w:r><w:t xml:space="preserve">in 1860 to return to Massawa, was attacked on his way by a</w:t></w:r>
</w:p>
<w:p>
<w:pPr><w:pStyle w:val="Normal"/></w:pPr>
<w:r><w:t xml:space="preserve">rebel named Garred, mortally wounded, and taken prisoner.</w:t></w:r>
</w:p>
<w:p>
<w:pPr><w:pStyle w:val="Normal"/></w:pPr>
<w:r><w:t xml:space="preserve">Theodore attacked the rebels, and in the action the murderer</w:t></w:r>
</w:p>
<w:p>
<w:pPr><w:pStyle w:val="Normal"/></w:pPr>
<w:r><w:t xml:space="preserve">of Mr Plowden was slain by his friend and companion Mr J. T.</w:t></w:r>
</w:p>
<w:p>
<w:pPr><w:pStyle w:val="Normal"/></w:pPr>
<w:r><w:t xml:space="preserve">Bell, an engineer, but the latter lost his life in preserving</w:t></w:r>
</w:p>
<w:p>
<w:pPr><w:pStyle w:val="Normal"/></w:pPr>
<w:r><w:t xml:space="preserve">that of Theodore.  The deaths of the two Englishmen were</w:t></w:r>
</w:p>
<w:p>
<w:pPr><w:pStyle w:val="Normal"/></w:pPr>
<w:r><w:t xml:space="preserve">terribly avenged by the slaughter or mutilation of nearly</w:t></w:r>
</w:p>
<w:p>
<w:pPr><w:pStyle w:val="Normal"/></w:pPr>
<w:r><w:t xml:space="preserve">2000 rebels. Theodore soon after married his second wite</w:t></w:r>
</w:p>
<w:p>
<w:pPr><w:pStyle w:val="Normal"/></w:pPr>
<w:r><w:t xml:space="preserve">Terunish, the proud daughter of the late governor of Tigre,</w:t></w:r>
</w:p>
<w:p>
<w:pPr><w:pStyle w:val="Normal"/></w:pPr>
<w:r><w:t xml:space="preserve">who felt neither affection nor respect for the upstart who had</w:t></w:r>
</w:p>
<w:p>
<w:pPr><w:pStyle w:val="Normal"/></w:pPr>
<w:r><w:t xml:space="preserve">dethroned her father, and the union was by no means a happy</w:t></w:r>
</w:p>
<w:p>
<w:pPr><w:pStyle w:val="Normal"/></w:pPr>
<w:r><w:t xml:space="preserve">one.  In 1862 he made a second expedition against the Gallas,</w:t></w:r>
</w:p>
<w:p>
<w:pPr><w:pStyle w:val="Normal"/></w:pPr>
<w:r><w:t xml:space="preserve">which was stained with atrocious cruelties.  Theodore had</w:t></w:r>
</w:p>
<w:p>
<w:pPr><w:pStyle w:val="Normal"/></w:pPr>
<w:r><w:t xml:space="preserve">now given himself up to intoxication and lust.  When the</w:t></w:r>
</w:p>
<w:p>
<w:pPr><w:pStyle w:val="Normal"/></w:pPr>
<w:r><w:t xml:space="preserve">news of Mr Plowden&apos;s death reached England, Captain C. D.</w:t></w:r>
</w:p>
<w:p>
<w:pPr><w:pStyle w:val="Normal"/></w:pPr>
<w:r><w:t xml:space="preserve">Cameron was appointed to succeed him as consul, and arrived</w:t></w:r>
</w:p>
<w:p>
<w:pPr><w:pStyle w:val="Normal"/></w:pPr>
<w:r><w:t xml:space="preserve">at Massawa in February 1862.  He proceeded to the camp of the</w:t></w:r>
</w:p>
<w:p>
<w:pPr><w:pStyle w:val="Normal"/></w:pPr>
<w:r><w:t xml:space="preserve">king, to whom he presented a rifle, a pair of pistols and a</w:t></w:r>
</w:p>
<w:p>
<w:pPr><w:pStyle w:val="Normal"/></w:pPr>
<w:r><w:t xml:space="preserve">letter in the queen&apos;s name. In October Captain Cameron was</w:t></w:r>
</w:p>
<w:p>
<w:pPr><w:pStyle w:val="Normal"/></w:pPr>
<w:r><w:t xml:space="preserve">sent home by Theodore, with a letter to the queen of England,</w:t></w:r>
</w:p>
<w:p>
<w:pPr><w:pStyle w:val="Normal"/></w:pPr>
<w:r><w:t xml:space="preserve">which reached the Foreign Office on the 12th of February</w:t></w:r>
</w:p>
<w:p>
<w:pPr><w:pStyle w:val="Normal"/></w:pPr>
<w:r><w:t xml:space="preserve">1863.  This letter was put aside and no answer returned,</w:t></w:r>
</w:p>
<w:p>
<w:pPr><w:pStyle w:val="Normal"/></w:pPr>
<w:r><w:t xml:space="preserve">and to this in no small degree are to be attributed the</w:t></w:r>
</w:p>
<w:p>
<w:pPr><w:pStyle w:val="Normal"/></w:pPr>
<w:r><w:t xml:space="preserve">difficulties that subsequently arose with that country. In</w:t></w:r>
</w:p>
<w:p>
<w:pPr><w:pStyle w:val="Normal"/></w:pPr>
<w:r><w:t xml:space="preserve">November despatches were received from England, but no answer</w:t></w:r>
</w:p>
<w:p>
<w:pPr><w:pStyle w:val="Normal"/></w:pPr>
<w:r><w:t xml:space="preserve">to the emperor&apos;s letter, and this, together with a visit paid</w:t></w:r>
</w:p>
<w:p>
<w:pPr><w:pStyle w:val="Normal"/></w:pPr>
<w:r><w:t xml:space="preserve">by Captain Cameron to the Egyptian frontier town of Kassala,</w:t></w:r>
</w:p>
<w:p>
<w:pPr><w:pStyle w:val="Normal"/></w:pPr>
<w:r><w:t xml:space="preserve">greatly offended him; accordingly in January 1864 Captain</w:t></w:r>
</w:p>
<w:p>
<w:pPr><w:pStyle w:val="Normal"/></w:pPr>
<w:r><w:t xml:space="preserve">Cameron and his suite, with Messrs Stern and Rosenthal, were</w:t></w:r>
</w:p>
<w:p>
<w:pPr><w:pStyle w:val="Normal"/></w:pPr>
<w:r><w:t xml:space="preserve">cast into prison.  When the news of this reached England, the</w:t></w:r>
</w:p>
<w:p>
<w:pPr><w:pStyle w:val="Normal"/></w:pPr>
<w:r><w:t xml:space="preserve">government resolved, when too late, to send an answer to the</w:t></w:r>
</w:p>
<w:p>
<w:pPr><w:pStyle w:val="Normal"/></w:pPr>
<w:r><w:t xml:space="preserve">emperor&apos;s letter, and selected Mr Hormuzd Rassam to be its</w:t></w:r>
</w:p>
<w:p>
<w:pPr><w:pStyle w:val="Normal"/></w:pPr>
<w:r><w:t xml:space="preserve">bearer.  He arrived at Massawa in July 1864, and immediately</w:t></w:r>
</w:p>
<w:p>
<w:pPr><w:pStyle w:val="Normal"/></w:pPr>
<w:r><w:t xml:space="preserve">despatched a messenger requesting permission to present</w:t></w:r>
</w:p>
<w:p>
<w:pPr><w:pStyle w:val="Normal"/></w:pPr>
<w:r><w:t xml:space="preserve">himself before the emperor.  Neither to this nor a subsequent</w:t></w:r>
</w:p>
<w:p>
<w:pPr><w:pStyle w:val="Normal"/></w:pPr>
<w:r><w:t xml:space="preserve">application was any answer returned till August 1865, when</w:t></w:r>
</w:p>
<w:p>
<w:pPr><w:pStyle w:val="Normal"/></w:pPr>
<w:r><w:t xml:space="preserve">a curt note was received, stating that Consul Cameron had</w:t></w:r>
</w:p>
<w:p>
<w:pPr><w:pStyle w:val="Normal"/></w:pPr>
<w:r><w:t xml:space="preserve">been released, and if Mr Rassam still desired to visit the</w:t></w:r>
</w:p>
<w:p>
<w:pPr><w:pStyle w:val="Normal"/></w:pPr>
<w:r><w:t xml:space="preserve">king, he was to proceed by the route of Gallabat.  Later</w:t></w:r>
</w:p>
<w:p>
<w:pPr><w:pStyle w:val="Normal"/></w:pPr>
<w:r><w:t xml:space="preserve">in the year Theodore became more civil, and the British</w:t></w:r>
</w:p>
<w:p>
<w:pPr><w:pStyle w:val="Normal"/></w:pPr>
<w:r><w:t xml:space="preserve">party on arrival at the king&apos;s camp in Damot, on the 25th</w:t></w:r>
</w:p>
<w:p>
<w:pPr><w:pStyle w:val="Normal"/></w:pPr>
<w:r><w:t xml:space="preserve">of January 1866, were received with all honour, and were</w:t></w:r>
</w:p>
<w:p>
<w:pPr><w:pStyle w:val="Normal"/></w:pPr>
<w:r><w:t xml:space="preserve">afterwards sent to Kwarata, on Lake Tsana, there to await</w:t></w:r>
</w:p>
<w:p>
<w:pPr><w:pStyle w:val="Normal"/></w:pPr>
<w:r><w:t xml:space="preserve">the arrival of the captives.  The latter reached Kwarata</w:t></w:r>
</w:p>
<w:p>
<w:pPr><w:pStyle w:val="Normal"/></w:pPr>
<w:r><w:t xml:space="preserve">on the 12th of March, and everything appeared to proceed</w:t></w:r>
</w:p>
<w:p>
<w:pPr><w:pStyle w:val="Normal"/></w:pPr>
<w:r><w:t xml:space="preserve">favourably.  A month later they started for the coast, but had</w:t></w:r>
</w:p>
<w:p>
<w:pPr><w:pStyle w:val="Normal"/></w:pPr>
<w:r><w:t xml:space="preserve">not proceeded far when they were ail brought back and put into</w:t></w:r>
</w:p>
<w:p>
<w:pPr><w:pStyle w:val="Normal"/></w:pPr>
<w:r><w:t xml:space="preserve">confinement.  Theodore then wrote a letter to the queen,</w:t></w:r>
</w:p>
<w:p>
<w:pPr><w:pStyle w:val="Normal"/></w:pPr>
<w:r><w:t xml:space="preserve">requesting European workmen and machinery to be sent to</w:t></w:r>
</w:p>
<w:p>
<w:pPr><w:pStyle w:val="Normal"/></w:pPr>
<w:r><w:t xml:space="preserve">him, and despatched it by Mr Flad.  The Europeans, although</w:t></w:r>
</w:p>
<w:p>
<w:pPr><w:pStyle w:val="Normal"/></w:pPr>
<w:r><w:t xml:space="preserve">detained as prisoners, were not at first unkindly treated;</w:t></w:r>
</w:p>
<w:p>
<w:pPr><w:pStyle w:val="Normal"/></w:pPr>
<w:r><w:t xml:space="preserve">but in the end of June they were sent to Magdala, where they</w:t></w:r>
</w:p>
<w:p>
<w:pPr><w:pStyle w:val="Normal"/></w:pPr>
<w:r><w:t xml:space="preserve">were soon afterwards put in chains.  They suffered hunger,</w:t></w:r>
</w:p>
<w:p>
<w:pPr><w:pStyle w:val="Normal"/></w:pPr>
<w:r><w:t xml:space="preserve">cold and misery, and were in constant fear of death, till the</w:t></w:r>
</w:p>
<w:p>
<w:pPr><w:pStyle w:val="Normal"/></w:pPr>
<w:r><w:t xml:space="preserve">spring of 1869 when they were relieved by the British troops.</w:t></w:r>
</w:p>
<w:p>
<w:pPr><w:pStyle w:val="Normal"/></w:pPr>
<w:r><w:t xml:space="preserve">Sir Robert Napier&apos;s expedition. (21) In the meantime</w:t></w:r>
</w:p>
<w:p>
<w:pPr><w:pStyle w:val="Normal"/></w:pPr>
<w:r><w:t xml:space="preserve">the power of Theodore in the country was rapidly waning.</w:t></w:r>
</w:p>
<w:p>
<w:pPr><w:pStyle w:val="Normal"/></w:pPr>
<w:r><w:t xml:space="preserve">Shoa had already shaken off his yoke; Gojam was virtually</w:t></w:r>
</w:p>
<w:p>
<w:pPr><w:pStyle w:val="Normal"/></w:pPr>
<w:r><w:t xml:space="preserve">independent; Walkeit and Simen were under a rebel chief;</w:t></w:r>
</w:p>
<w:p>
<w:pPr><w:pStyle w:val="Normal"/></w:pPr>
<w:r><w:t xml:space="preserve">and Lasta, Waag and the country about Lake Ashangi had</w:t></w:r>
</w:p>
<w:p>
<w:pPr><w:pStyle w:val="Normal"/></w:pPr>
<w:r><w:t xml:space="preserve">submitted to Wagshum Gobassie, who had also overrun</w:t></w:r>
</w:p>
<w:p>
<w:pPr><w:pStyle w:val="Normal"/></w:pPr>
<w:r><w:t xml:space="preserve">Tigre and appointed Dejaj Kassai his governor. The latter,</w:t></w:r>
</w:p>
<w:p>
<w:pPr><w:pStyle w:val="Normal"/></w:pPr>
<w:r><w:t xml:space="preserve">however, in 1867 rebelled against his master and assumed</w:t></w:r>
</w:p>
<w:p>
<w:pPr><w:pStyle w:val="Normal"/></w:pPr>
<w:r><w:t xml:space="preserve">the supreme power of that province.  This was the state of</w:t></w:r>
</w:p>
<w:p>
<w:pPr><w:pStyle w:val="Normal"/></w:pPr>
<w:r><w:t xml:space="preserve">matters when the English troops made their appearance in the</w:t></w:r>
</w:p>
<w:p>
<w:pPr><w:pStyle w:val="Normal"/></w:pPr>
<w:r><w:t xml:space="preserve">country.  With a view if possible to effect the release of</w:t></w:r>
</w:p>
<w:p>
<w:pPr><w:pStyle w:val="Normal"/></w:pPr>
<w:r><w:t xml:space="preserve">the prisoners by conciliatory measures, Mr Flad was sent</w:t></w:r>
</w:p>
<w:p>
<w:pPr><w:pStyle w:val="Normal"/></w:pPr>
<w:r><w:t xml:space="preserve">back, with some artisans and machinery, and a letter from</w:t></w:r>
</w:p>
<w:p>
<w:pPr><w:pStyle w:val="Normal"/></w:pPr>
<w:r><w:t xml:space="preserve">the queen, stating that these would be handed over to his</w:t></w:r>
</w:p>
<w:p>
<w:pPr><w:pStyle w:val="Normal"/></w:pPr>
<w:r><w:t xml:space="preserve">majesty on the release of the prisoners and their return to</w:t></w:r>
</w:p>
<w:p>
<w:pPr><w:pStyle w:val="Normal"/></w:pPr>
<w:r><w:t xml:space="preserve">Massawa.  This, however, failed to influence the emperor,</w:t></w:r>
</w:p>
<w:p>
<w:pPr><w:pStyle w:val="Normal"/></w:pPr>
<w:r><w:t xml:space="preserve">and the English government at length saw that they must have</w:t></w:r>
</w:p>
<w:p>
<w:pPr><w:pStyle w:val="Normal"/></w:pPr>
<w:r><w:t xml:space="preserve">recourse to arms. In July 1867, therefore, it was resolved</w:t></w:r>
</w:p>
<w:p>
<w:pPr><w:pStyle w:val="Normal"/></w:pPr>
<w:r><w:t xml:space="preserve">to send an army into Abyssinia to enforce the release of</w:t></w:r>
</w:p>
<w:p>
<w:pPr><w:pStyle w:val="Normal"/></w:pPr>
<w:r><w:t xml:space="preserve">the captives, under Sir Robert Napier (1st Baron Napier of</w:t></w:r>
</w:p>
<w:p>
<w:pPr><w:pStyle w:val="Normal"/></w:pPr>
<w:r><w:t xml:space="preserve">Magdala).  The landingplace selected was Mulkutto (Zula),</w:t></w:r>
</w:p>
<w:p>
<w:pPr><w:pStyle w:val="Normal"/></w:pPr>
<w:r><w:t xml:space="preserve">on Annesley Bay, the point of the coast nearest to the site</w:t></w:r>
</w:p>
<w:p>
<w:pPr><w:pStyle w:val="Normal"/></w:pPr>
<w:r><w:t xml:space="preserve">of the ancient Adulis, and we are told that ``the pioneers</w:t></w:r>
</w:p>
<w:p>
<w:pPr><w:pStyle w:val="Normal"/></w:pPr>
<w:r><w:t xml:space="preserve">of the English expedition followed to some extent in the</w:t></w:r>
</w:p>
<w:p>
<w:pPr><w:pStyle w:val="Normal"/></w:pPr>
<w:r><w:t xml:space="preserve">footsteps of the adventurous soldiers of Ptolemy. and met</w:t></w:r>
</w:p>
<w:p>
<w:pPr><w:pStyle w:val="Normal"/></w:pPr>
<w:r><w:t xml:space="preserve">with a few faint traces of this old-world enterprise&apos;&apos; (C. R.</w:t></w:r>
</w:p>
<w:p>
<w:pPr><w:pStyle w:val="Normal"/></w:pPr>
<w:r><w:t xml:space="preserve">Markham).  The force amounted to upwards of 16,000 men,</w:t></w:r>
</w:p>
<w:p>
<w:pPr><w:pStyle w:val="Normal"/></w:pPr>
<w:r><w:t xml:space="preserve">besides 12,640 belonging to the transport service, and</w:t></w:r>
</w:p>
<w:p>
<w:pPr><w:pStyle w:val="Normal"/></w:pPr>
<w:r><w:t xml:space="preserve">followers, making in all upwards of 32,000 men.  The task to</w:t></w:r>
</w:p>
<w:p>
<w:pPr><w:pStyle w:val="Normal"/></w:pPr>
<w:r><w:t xml:space="preserve">be accomplished was to march over 400 miles of a mountainous</w:t></w:r>
</w:p>
<w:p>
<w:pPr><w:pStyle w:val="Normal"/></w:pPr>
<w:r><w:t xml:space="preserve">and little-known country, inhabited by savage tribes, to</w:t></w:r>
</w:p>
<w:p>
<w:pPr><w:pStyle w:val="Normal"/></w:pPr>
<w:r><w:t xml:space="preserve">the camp or fortress of Theodore, and compel him to deliver</w:t></w:r>
</w:p>
<w:p>
<w:pPr><w:pStyle w:val="Normal"/></w:pPr>
<w:r><w:t xml:space="preserve">up his captives.  The commander-in-chief landed on the 7th</w:t></w:r>
</w:p>
<w:p>
<w:pPr><w:pStyle w:val="Normal"/></w:pPr>
<w:r><w:t xml:space="preserve">of January 1868, and soon after the troops began to move</w:t></w:r>
</w:p>
<w:p>
<w:pPr><w:pStyle w:val="Normal"/></w:pPr>
<w:r><w:t xml:space="preserve">forward through the pass of Senafe, and southward through</w:t></w:r>
</w:p>
<w:p>
<w:pPr><w:pStyle w:val="Normal"/></w:pPr>
<w:r><w:t xml:space="preserve">the districts of Agame, Tera, Endarta, Wojerat, Lasta and</w:t></w:r>
</w:p>
<w:p>
<w:pPr><w:pStyle w:val="Normal"/></w:pPr>
<w:r><w:t xml:space="preserve">Wadela.  In the meantime Theodore had been reduced to great</w:t></w:r>
</w:p>
<w:p>
<w:pPr><w:pStyle w:val="Normal"/></w:pPr>
<w:r><w:t xml:space="preserve">straits.  His army, which at one time numbered over 100,000</w:t></w:r>
</w:p>
<w:p>
<w:pPr><w:pStyle w:val="Normal"/></w:pPr>
<w:r><w:t xml:space="preserve">men, was rapidly deserting him, and he could hardly obtain</w:t></w:r>
</w:p>
<w:p>
<w:pPr><w:pStyle w:val="Normal"/></w:pPr>
<w:r><w:t xml:space="preserve">food for his followers.  He resolved to quit his captial</w:t></w:r>
</w:p>
<w:p>
<w:pPr><w:pStyle w:val="Normal"/></w:pPr>
<w:r><w:t xml:space="preserve">Debra-Tabor, which he burned, and set out with the remains</w:t></w:r>
</w:p>
<w:p>
<w:pPr><w:pStyle w:val="Normal"/></w:pPr>
<w:r><w:t xml:space="preserve">of his army for Magdala.  During this march he displayed an</w:t></w:r>
</w:p>
<w:p>
<w:pPr><w:pStyle w:val="Normal"/></w:pPr>
<w:r><w:t xml:space="preserve">amount of engineering skill in the construction of roads, of</w:t></w:r>
</w:p>
<w:p>
<w:pPr><w:pStyle w:val="Normal"/></w:pPr>
<w:r><w:t xml:space="preserve">military talent and fertility of resource, that excited the</w:t></w:r>
</w:p>
<w:p>
<w:pPr><w:pStyle w:val="Normal"/></w:pPr>
<w:r><w:t xml:space="preserve">admiration and astonishment of his enemies.  On the afternoon</w:t></w:r>
</w:p>
<w:p>
<w:pPr><w:pStyle w:val="Normal"/></w:pPr>
<w:r><w:t xml:space="preserve">of the 10th of April a force of about 3000 men suddenly poured</w:t></w:r>
</w:p>
<w:p>
<w:pPr><w:pStyle w:val="Normal"/></w:pPr>
<w:r><w:t xml:space="preserve">down upon the English in the plain of Arogie, a few miles from</w:t></w:r>
</w:p>
<w:p>
<w:pPr><w:pStyle w:val="Normal"/></w:pPr>
<w:r><w:t xml:space="preserve">Magdala.  They advanced again and again to the charge, but</w:t></w:r>
</w:p>
<w:p>
<w:pPr><w:pStyle w:val="Normal"/></w:pPr>
<w:r><w:t xml:space="preserve">were each time driven back, and finally retired in good</w:t></w:r>
</w:p>
<w:p>
<w:pPr><w:pStyle w:val="Normal"/></w:pPr>
<w:r><w:t xml:space="preserve">order.  Early next morning Theodore sent Lieut.  Prideaux, one</w:t></w:r>
</w:p>
<w:p>
<w:pPr><w:pStyle w:val="Normal"/></w:pPr>
<w:r><w:t xml:space="preserve">of the captives, and Mr Flad, accompanied by a native chief,</w:t></w:r>
</w:p>
<w:p>
<w:pPr><w:pStyle w:val="Normal"/></w:pPr>
<w:r><w:t xml:space="preserve">to the English camp to sue for peace.  Answer was returned,</w:t></w:r>
</w:p>
<w:p>
<w:pPr><w:pStyle w:val="Normal"/></w:pPr>
<w:r><w:t xml:space="preserve">that if he would deliver up all the Europeans in his hands, and</w:t></w:r>
</w:p>
<w:p>
<w:pPr><w:pStyle w:val="Normal"/></w:pPr>
<w:r><w:t xml:space="preserve">submit to the queen of England, he would receive honourable</w:t></w:r>
</w:p>
<w:p>
<w:pPr><w:pStyle w:val="Normal"/></w:pPr>
<w:r><w:t xml:space="preserve">treatment.  The captives were liberated and sent away, and</w:t></w:r>
</w:p>
<w:p>
<w:pPr><w:pStyle w:val="Normal"/></w:pPr>
<w:r><w:t xml:space="preserve">accompanying a letter to the English general was a present</w:t></w:r>
</w:p>
<w:p>
<w:pPr><w:pStyle w:val="Normal"/></w:pPr>
<w:r><w:t xml:space="preserve">of 1000 cows and 500 sheep, the acceptance of which would,</w:t></w:r>
</w:p>
<w:p>
<w:pPr><w:pStyle w:val="Normal"/></w:pPr>
<w:r><w:t xml:space="preserve">according to Eastern custom, imply that peace was granted.</w:t></w:r>
</w:p>
<w:p>
<w:pPr><w:pStyle w:val="Normal"/></w:pPr>
<w:r><w:t xml:space="preserve">Through some misunderstanding, word was sent to Theodore</w:t></w:r>
</w:p>
<w:p>
<w:pPr><w:pStyle w:val="Normal"/></w:pPr>
<w:r><w:t xml:space="preserve">that the present would be accepted, and he felt that he was</w:t></w:r>
</w:p>
<w:p>
<w:pPr><w:pStyle w:val="Normal"/></w:pPr>
<w:r><w:t xml:space="preserve">now safe; but in the evening he learned that it had not been</w:t></w:r>
</w:p>
<w:p>
<w:pPr><w:pStyle w:val="Normal"/></w:pPr>
<w:r><w:t xml:space="preserve">received, and despair again seized him.  Early next morning</w:t></w:r>
</w:p>
<w:p>
<w:pPr><w:pStyle w:val="Normal"/></w:pPr>
<w:r><w:t xml:space="preserve">he attempted to escape with a few of his followers, but</w:t></w:r>
</w:p>
<w:p>
<w:pPr><w:pStyle w:val="Normal"/></w:pPr>
<w:r><w:t xml:space="preserve">subsequently returned. The same day (13th April) Magdala was</w:t></w:r>
</w:p>
<w:p>
<w:pPr><w:pStyle w:val="Normal"/></w:pPr>
<w:r><w:t xml:space="preserve">stormed and taken, practically without loss, and within they</w:t></w:r>
</w:p>
<w:p>
<w:pPr><w:pStyle w:val="Normal"/></w:pPr>
<w:r><w:t xml:space="preserve">found the dead body of the emperor, who had fallen by his own</w:t></w:r>
</w:p>
<w:p>
<w:pPr><w:pStyle w:val="Normal"/></w:pPr>
<w:r><w:t xml:space="preserve">hand.  The inhabitants and troops were subsequently sent</w:t></w:r>
</w:p>
<w:p>
<w:pPr><w:pStyle w:val="Normal"/></w:pPr>
<w:r><w:t xml:space="preserve">away, the fortifications destroyed and the town burned.  The</w:t></w:r>
</w:p>
<w:p>
<w:pPr><w:pStyle w:val="Normal"/></w:pPr>
<w:r><w:t xml:space="preserve">queen Terunish having expressed her wish to go back to her own</w:t></w:r>
</w:p>
<w:p>
<w:pPr><w:pStyle w:val="Normal"/></w:pPr>
<w:r><w:t xml:space="preserve">country, accompanied the British army, but died during the</w:t></w:r>
</w:p>
<w:p>
<w:pPr><w:pStyle w:val="Normal"/></w:pPr>
<w:r><w:t xml:space="preserve">march, and her son Alamayahu, the only legitimate son of the</w:t></w:r>
</w:p>
<w:p>
<w:pPr><w:pStyle w:val="Normal"/></w:pPr>
<w:r><w:t xml:space="preserve">emperor, was brought to England, as this was the desire of</w:t></w:r>
</w:p>
<w:p>
<w:pPr><w:pStyle w:val="Normal"/></w:pPr>
<w:r><w:t xml:space="preserve">his father.3 The success of the expedition was in no small</w:t></w:r>
</w:p>
<w:p>
<w:pPr><w:pStyle w:val="Normal"/></w:pPr>
<w:r><w:t xml:space="preserve">degree owing to the aid afforded by the several native chiefs</w:t></w:r>
</w:p>
<w:p>
<w:pPr><w:pStyle w:val="Normal"/></w:pPr>
<w:r><w:t xml:space="preserve">through whose country it passed, and no one did more in this</w:t></w:r>
</w:p>
<w:p>
<w:pPr><w:pStyle w:val="Normal"/></w:pPr>
<w:r><w:t xml:space="preserve">way than Dejaj Kassa or Kassai of Tigre.  In acknowledgment of</w:t></w:r>
</w:p>
<w:p>
<w:pPr><w:pStyle w:val="Normal"/></w:pPr>
<w:r><w:t xml:space="preserve">this, several pieces of ordnance, small arms and ammunition,</w:t></w:r>
</w:p>
<w:p>
<w:pPr><w:pStyle w:val="Normal"/></w:pPr>
<w:r><w:t xml:space="preserve">with much of the surplus stores, were handed over to</w:t></w:r>
</w:p>
<w:p>
<w:pPr><w:pStyle w:val="Normal"/></w:pPr>
<w:r><w:t xml:space="preserve">him, and the English troops left the country in May 1868.</w:t></w:r>
</w:p>
<w:p>
<w:pPr><w:pStyle w:val="Normal"/></w:pPr>
<w:r><w:t xml:space="preserve">Menelek II., king of Shoa (22) It is now time to return</w:t></w:r>
</w:p>
<w:p>
<w:pPr><w:pStyle w:val="Normal"/></w:pPr>
<w:r><w:t xml:space="preserve">to the story of the young prince Menelek, who, as we have</w:t></w:r>
</w:p>
<w:p>
<w:pPr><w:pStyle w:val="Normal"/></w:pPr>
<w:r><w:t xml:space="preserve">seen, had been nominated by his late father as ruler of Shoa,</w:t></w:r>
</w:p>
<w:p>
<w:pPr><w:pStyle w:val="Normal"/></w:pPr>
<w:r><w:t xml:space="preserve">but was in Theodore&apos;s power in Tigre.  The following table</w:t></w:r>
</w:p>
<w:p>
<w:pPr><w:pStyle w:val="Normal"/></w:pPr>
<w:r><w:t xml:space="preserve">shows his descent since the beginning of the 19th century:--</w:t></w:r>
</w:p>
<w:p>
<w:pPr><w:pStyle w:val="Normal"/></w:pPr>
<w:r><w:t xml:space="preserve">Asfa Nassen, d. 1807</w:t></w:r>
</w:p>
<w:p>
<w:pPr><w:pStyle w:val="Normal"/></w:pPr>
<w:r><w:t xml:space="preserve">|</w:t></w:r>
</w:p>
<w:p>
<w:pPr><w:pStyle w:val="Normal"/></w:pPr>
<w:r><w:t xml:space="preserve">Wassan Seged = Woizero Zenebe Work</w:t></w:r>
</w:p>
<w:p>
<w:pPr><w:pStyle w:val="Normal"/></w:pPr>
<w:r><w:t xml:space="preserve">d. 1811  |</w:t></w:r>
</w:p>
<w:p>
<w:pPr><w:pStyle w:val="Normal"/></w:pPr>
<w:r><w:t xml:space="preserve">|</w:t></w:r>
</w:p>
<w:p>
<w:pPr><w:pStyle w:val="Normal"/></w:pPr>
<w:r><w:t xml:space="preserve">---------------------------------</w:t></w:r>
</w:p>
<w:p>
<w:pPr><w:pStyle w:val="Normal"/></w:pPr>
<w:r><w:t xml:space="preserve">|                               |</w:t></w:r>
</w:p>
<w:p>
<w:pPr><w:pStyle w:val="Normal"/></w:pPr>
<w:r><w:t xml:space="preserve">Becurraye                    Sella Selassie = Woizero Betsabesh</w:t></w:r>
</w:p>
<w:p>
<w:pPr><w:pStyle w:val="Normal"/></w:pPr>
<w:r><w:t xml:space="preserve">(1795-1847)    |</w:t></w:r>
</w:p>
<w:p>
<w:pPr><w:pStyle w:val="Normal"/></w:pPr>
<w:r><w:t xml:space="preserve">|</w:t></w:r>
</w:p>
<w:p>
<w:pPr><w:pStyle w:val="Normal"/></w:pPr>
<w:r><w:t xml:space="preserve">---------------------------------------------------</w:t></w:r>
</w:p>
<w:p>
<w:pPr><w:pStyle w:val="Normal"/></w:pPr>
<w:r><w:t xml:space="preserve">|                              |                  |</w:t></w:r>
</w:p>
<w:p>
<w:pPr><w:pStyle w:val="Normal"/></w:pPr>
<w:r><w:t xml:space="preserve">Haeli Melicoth = Ejigayu             Siefu             Darge</w:t></w:r>
</w:p>
<w:p>
<w:pPr><w:pStyle w:val="Normal"/></w:pPr>
<w:r><w:t xml:space="preserve">(1825-1855)    |                   (1826-1860)         b. 1827</w:t></w:r>
</w:p>
<w:p>
<w:pPr><w:pStyle w:val="Normal"/></w:pPr>
<w:r><w:t xml:space="preserve">|                        |</w:t></w:r>
</w:p>
<w:p>
<w:pPr><w:pStyle w:val="Normal"/></w:pPr>
<w:r><w:t xml:space="preserve">Menelek II. = Taitu       Mashasha</w:t></w:r>
</w:p>
<w:p>
<w:pPr><w:pStyle w:val="Normal"/></w:pPr>
<w:r><w:t xml:space="preserve">b. 1844  |</w:t></w:r>
</w:p>
<w:p>
<w:pPr><w:pStyle w:val="Normal"/></w:pPr>
<w:r><w:t xml:space="preserve">|</w:t></w:r>
</w:p>
<w:p>
<w:pPr><w:pStyle w:val="Normal"/></w:pPr>
<w:r><w:t xml:space="preserve">----------------------------------------</w:t></w:r>
</w:p>
<w:p>
<w:pPr><w:pStyle w:val="Normal"/></w:pPr>
<w:r><w:t xml:space="preserve">|                |                     |</w:t></w:r>
</w:p>
<w:p>
<w:pPr><w:pStyle w:val="Normal"/></w:pPr>
<w:r><w:t xml:space="preserve">1 son          Zauditu             Tanina Work</w:t></w:r>
</w:p>
<w:p>
<w:pPr><w:pStyle w:val="Normal"/></w:pPr>
<w:r><w:t xml:space="preserve">(dead)         (Judith)             (daughter)</w:t></w:r>
</w:p>
<w:p>
<w:pPr><w:pStyle w:val="Normal"/></w:pPr>
<w:r><w:t xml:space="preserve">On the retirement of Theodore&apos;s forces from Shoa in 1855,</w:t></w:r>
</w:p>
<w:p>
<w:pPr><w:pStyle w:val="Normal"/></w:pPr>
<w:r><w:t xml:space="preserve">Siefu, brother of Haeli Melicoth, proclaimed himself negus</w:t></w:r>
</w:p>
<w:p>
<w:pPr><w:pStyle w:val="Normal"/></w:pPr>
<w:r><w:t xml:space="preserve">of Shoa at Ankober, and beat the local representatives of</w:t></w:r>
</w:p>
<w:p>
<w:pPr><w:pStyle w:val="Normal"/></w:pPr>
<w:r><w:t xml:space="preserve">the northern government.  The emperor returned, however,</w:t></w:r>
</w:p>
<w:p>
<w:pPr><w:pStyle w:val="Normal"/></w:pPr>
<w:r><w:t xml:space="preserve">in 1858, and after several repulses succeeded in entering</w:t></w:r>
</w:p>
<w:p>
<w:pPr><w:pStyle w:val="Normal"/></w:pPr>
<w:r><w:t xml:space="preserve">Ankober, where he behaved with great cruelty, murdering or</w:t></w:r>
</w:p>
<w:p>
<w:pPr><w:pStyle w:val="Normal"/></w:pPr>
<w:r><w:t xml:space="preserve">mutilating all the inhabitants.  Siefu kept up a gallant</w:t></w:r>
</w:p>
<w:p>
<w:pPr><w:pStyle w:val="Normal"/></w:pPr>
<w:r><w:t xml:space="preserve">defence for two more years, but was then killed by Kebret,</w:t></w:r>
</w:p>
<w:p>
<w:pPr><w:pStyle w:val="Normal"/></w:pPr>
<w:r><w:t xml:space="preserve">one of his own chiefs. Thus chaos again reigned supreme in</w:t></w:r>
</w:p>
<w:p>
<w:pPr><w:pStyle w:val="Normal"/></w:pPr>
<w:r><w:t xml:space="preserve">Shoa.  In 1865, Menelek, now a desjazmach 4 of Tigre,</w:t></w:r>
</w:p>
<w:p>
<w:pPr><w:pStyle w:val="Normal"/></w:pPr>
<w:r><w:t xml:space="preserve">took advantage of Theodore&apos;s difficulties with the British</w:t></w:r>
</w:p>
<w:p>
<w:pPr><w:pStyle w:val="Normal"/></w:pPr>
<w:r><w:t xml:space="preserve">government and escaped to Workitu, queen of the Wollo Galla</w:t></w:r>
</w:p>
<w:p>
<w:pPr><w:pStyle w:val="Normal"/></w:pPr>
<w:r><w:t xml:space="preserve">country.  The emperor, who held as hostage a son of Workitu,</w:t></w:r>
</w:p>
<w:p>
<w:pPr><w:pStyle w:val="Normal"/></w:pPr>
<w:r><w:t xml:space="preserve">threatened to kill the boy unless Menelek were given up;</w:t></w:r>
</w:p>
<w:p>
<w:pPr><w:pStyle w:val="Normal"/></w:pPr>
<w:r><w:t xml:space="preserve">but the gallant queen refused, and lost both her son and her</w:t></w:r>
</w:p>
<w:p>
<w:pPr><w:pStyle w:val="Normal"/></w:pPr>
<w:r><w:t xml:space="preserve">throne.  The fugitive meanwhile arrived safely in Shoa, and</w:t></w:r>
</w:p>
<w:p>
<w:pPr><w:pStyle w:val="Normal"/></w:pPr>
<w:r><w:t xml:space="preserve">was there acclaimed as negus.  For the next three years</w:t></w:r>
</w:p>
<w:p>
<w:pPr><w:pStyle w:val="Normal"/></w:pPr>
<w:r><w:t xml:space="preserve">Menelek devoted himself to strengthening and disciplining</w:t></w:r>
</w:p>
<w:p>
<w:pPr><w:pStyle w:val="Normal"/></w:pPr>
<w:r><w:t xml:space="preserve">his army, to legislation, to building towns, such as Liche</w:t></w:r>
</w:p>
<w:p>
<w:pPr><w:pStyle w:val="Normal"/></w:pPr>
<w:r><w:t xml:space="preserve">(near Debra-Berhan), Worra Hailu (Wollo Galla country),</w:t></w:r>
</w:p>
<w:p>
<w:pPr><w:pStyle w:val="Normal"/></w:pPr>
<w:r><w:t xml:space="preserve">&amp;c., and to repelling the incursions of the Gallas.</w:t></w:r>
</w:p>
<w:p>
<w:pPr><w:pStyle w:val="Normal"/></w:pPr>
<w:r><w:t xml:space="preserve">King John attains supreme power.</w:t></w:r>
</w:p>
<w:p>
<w:pPr><w:pStyle w:val="Normal"/></w:pPr>
<w:r><w:t xml:space="preserve">On the death of Theodore (13th April 1868) many Shoans,</w:t></w:r>
</w:p>
<w:p>
<w:pPr><w:pStyle w:val="Normal"/></w:pPr>
<w:r><w:t xml:space="preserve">including Ras Darge, were released, and Menelek began to</w:t></w:r>
</w:p>
<w:p>
<w:pPr><w:pStyle w:val="Normal"/></w:pPr>
<w:r><w:t xml:space="preserve">feel himself strong enough, after a few preliminary minor</w:t></w:r>
</w:p>
<w:p>
<w:pPr><w:pStyle w:val="Normal"/></w:pPr>
<w:r><w:t xml:space="preserve">campaigns, to undertake offensive operations against the</w:t></w:r>
</w:p>
<w:p>
<w:pPr><w:pStyle w:val="Normal"/></w:pPr>
<w:r><w:t xml:space="preserve">northern princes.  But these projects were of little avail,</w:t></w:r>
</w:p>
<w:p>
<w:pPr><w:pStyle w:val="Normal"/></w:pPr>
<w:r><w:t xml:space="preserve">for Kassai of Tigre, as above mentioned, had by this time</w:t></w:r>
</w:p>
<w:p>
<w:pPr><w:pStyle w:val="Normal"/></w:pPr>
<w:r><w:t xml:space="preserve">(1872) risen to supreme power in the north.  With the help</w:t></w:r>
</w:p>
<w:p>
<w:pPr><w:pStyle w:val="Normal"/></w:pPr>
<w:r><w:t xml:space="preserve">of the rifles and guns presented to him by the British,</w:t></w:r>
</w:p>
<w:p>
<w:pPr><w:pStyle w:val="Normal"/></w:pPr>
<w:r><w:t xml:space="preserve">he had beaten Ras Bareya of Tigre, Wagshum Gobassie of</w:t></w:r>
</w:p>
<w:p>
<w:pPr><w:pStyle w:val="Normal"/></w:pPr>
<w:r><w:t xml:space="preserve">Amhara and Tekla Giorgis of Condar, and after proclaiming</w:t></w:r>
</w:p>
<w:p>
<w:pPr><w:pStyle w:val="Normal"/></w:pPr>
<w:r><w:t xml:space="preserve">himself negus negusti under the name of Johannes or John,</w:t></w:r>
</w:p>
<w:p>
<w:pPr><w:pStyle w:val="Normal"/></w:pPr>
<w:r><w:t xml:space="preserve">was now preparing to march on Shoa.  Here, however, Menelek</w:t></w:r>
</w:p>
<w:p>
<w:pPr><w:pStyle w:val="Normal"/></w:pPr>
<w:r><w:t xml:space="preserve">was saved from probable destruction through the action of</w:t></w:r>
</w:p>
<w:p>
<w:pPr><w:pStyle w:val="Normal"/></w:pPr>
<w:r><w:t xml:space="preserve">Egypt.  This power had, by the advice of Werner Munzinger</w:t></w:r>
</w:p>
<w:p>
<w:pPr><w:pStyle w:val="Normal"/></w:pPr>
<w:r><w:t xml:space="preserve">(q.v.), their Swiss governor of Massawa, seized and</w:t></w:r>
</w:p>
<w:p>
<w:pPr><w:pStyle w:val="Normal"/></w:pPr>
<w:r><w:t xml:space="preserve">occupied in 1872 the northern province of Bogos; and, later</w:t></w:r>
</w:p>
<w:p>
<w:pPr><w:pStyle w:val="Normal"/></w:pPr>
<w:r><w:t xml:space="preserve">on, insisted on occupying Hamasen also, for fear Bogos</w:t></w:r>
</w:p>
<w:p>
<w:pPr><w:pStyle w:val="Normal"/></w:pPr>
<w:r><w:t xml:space="preserve">should be attacked.  John, after futile protests, collected</w:t></w:r>
</w:p>
<w:p>
<w:pPr><w:pStyle w:val="Normal"/></w:pPr>
<w:r><w:t xml:space="preserve">an army, and with the assistance of Ras Walad Michael,</w:t></w:r>
</w:p>
<w:p>
<w:pPr><w:pStyle w:val="Normal"/></w:pPr>
<w:r><w:t xml:space="preserve">hereditary chief of Bogos, advanced against the Egyptian</w:t></w:r>
</w:p>
<w:p>
<w:pPr><w:pStyle w:val="Normal"/></w:pPr>
<w:r><w:t xml:space="preserve">forces, who were under the command of one Arendrup, a</w:t></w:r>
</w:p>
<w:p>
<w:pPr><w:pStyle w:val="Normal"/></w:pPr>
<w:r><w:t xml:space="preserve">Dane.  Meeting near the Mareb, the Egyptians were beaten in</w:t></w:r>
</w:p>
<w:p>
<w:pPr><w:pStyle w:val="Normal"/></w:pPr>
<w:r><w:t xml:space="preserve">detail, and almost annihilated at Gundet (13th November</w:t></w:r>
</w:p>
<w:p>
<w:pPr><w:pStyle w:val="Normal"/></w:pPr>
<w:r><w:t xml:space="preserve">1875).  An avenging expedition was prepared in the spring</w:t></w:r>
</w:p>
<w:p>
<w:pPr><w:pStyle w:val="Normal"/></w:pPr>
<w:r><w:t xml:space="preserve">of the following year, and, numbering 14,000 men under Ratib</w:t></w:r>
</w:p>
<w:p>
<w:pPr><w:pStyle w:val="Normal"/></w:pPr>
<w:r><w:t xml:space="preserve">Pasha, Loring (American), and Prince Hassan, advanced to</w:t></w:r>
</w:p>
<w:p>
<w:pPr><w:pStyle w:val="Normal"/></w:pPr>
<w:r><w:t xml:space="preserve">Gura and fortified a position in the neighbouthood.  Although</w:t></w:r>
</w:p>
<w:p>
<w:pPr><w:pStyle w:val="Normal"/></w:pPr>
<w:r><w:t xml:space="preserve">reinforced by Walad Michael, who had now quarrelled with</w:t></w:r>
</w:p>
<w:p>
<w:pPr><w:pStyle w:val="Normal"/></w:pPr>
<w:r><w:t xml:space="preserve">John, the Egyptians were a second time (25th March 1876)</w:t></w:r>
</w:p>
<w:p>
<w:pPr><w:pStyle w:val="Normal"/></w:pPr>
<w:r><w:t xml:space="preserve">heavily beaten by the Abyssinians, and retired, losing an</w:t></w:r>
</w:p>
<w:p>
<w:pPr><w:pStyle w:val="Normal"/></w:pPr>
<w:r><w:t xml:space="preserve">enormous quantity of both men and rifies. Colonel C. G.</w:t></w:r>
</w:p>
<w:p>
<w:pPr><w:pStyle w:val="Normal"/></w:pPr>
<w:r><w:t xml:space="preserve">Gordon, governor-general of the Sudan, was now ordered to</w:t></w:r>
</w:p>
<w:p>
<w:pPr><w:pStyle w:val="Normal"/></w:pPr>
<w:r><w:t xml:space="preserve">go and make peace with John, but the king had moved south</w:t></w:r>
</w:p>
<w:p>
<w:pPr><w:pStyle w:val="Normal"/></w:pPr>
<w:r><w:t xml:space="preserve">with his army, intending to punish Menelek for having raided</w:t></w:r>
</w:p>
<w:p>
<w:pPr><w:pStyle w:val="Normal"/></w:pPr>
<w:r><w:t xml:space="preserve">Gondar whilst he, John, was engaged with the Egyptians.</w:t></w:r>
</w:p>
<w:p>
<w:pPr><w:pStyle w:val="Normal"/></w:pPr>
<w:r><w:t xml:space="preserve">(23) Menelek&apos;s kingdom was meanwhile torn in twain by serious</w:t></w:r>
</w:p>
<w:p>
<w:pPr><w:pStyle w:val="Normal"/></w:pPr>
<w:r><w:t xml:space="preserve">dissensions, which had been instigated by his concubine</w:t></w:r>
</w:p>
<w:p>
<w:pPr><w:pStyle w:val="Normal"/></w:pPr>
<w:r><w:t xml:space="preserve">Bafana.  This lady, to whom he was much attached, had been</w:t></w:r>
</w:p>
<w:p>
<w:pPr><w:pStyle w:val="Normal"/></w:pPr>
<w:r><w:t xml:space="preserve">endeavouring to secure the succession of one of her own sons</w:t></w:r>
</w:p>
<w:p>
<w:pPr><w:pStyle w:val="Normal"/></w:pPr>
<w:r><w:t xml:space="preserve">to the throne of Shoa, and had almost succeeded in getting</w:t></w:r>
</w:p>
<w:p>
<w:pPr><w:pStyle w:val="Normal"/></w:pPr>
<w:r><w:t xml:space="preserve">rid of Mashasha, son of Siefu and cousin of Menelek, who</w:t></w:r>
</w:p>
<w:p>
<w:pPr><w:pStyle w:val="Normal"/></w:pPr>
<w:r><w:t xml:space="preserve">was the apparent heir.  On the approach of John, the Shoans</w:t></w:r>
</w:p>
<w:p>
<w:pPr><w:pStyle w:val="Normal"/></w:pPr>
<w:r><w:t xml:space="preserve">united for a time against their common enemy.  But after a</w:t></w:r>
</w:p>
<w:p>
<w:pPr><w:pStyle w:val="Normal"/></w:pPr>
<w:r><w:t xml:space="preserve">few skirmishes they melted away, and Menelek was obliged to</w:t></w:r>
</w:p>
<w:p>
<w:pPr><w:pStyle w:val="Normal"/></w:pPr>
<w:r><w:t xml:space="preserve">submit and do obeisance to John.  The latter behaved with</w:t></w:r>
</w:p>
<w:p>
<w:pPr><w:pStyle w:val="Normal"/></w:pPr>
<w:r><w:t xml:space="preserve">much generosity, but at the same time imposed terms which</w:t></w:r>
</w:p>
<w:p>
<w:pPr><w:pStyle w:val="Normal"/></w:pPr>
<w:r><w:t xml:space="preserve">effectually deprived Shoa of her independence (March 1878).</w:t></w:r>
</w:p>
<w:p>
<w:pPr><w:pStyle w:val="Normal"/></w:pPr>
<w:r><w:t xml:space="preserve">In 1879 Gordon was sent on a fresh mission to John on behalf of</w:t></w:r>
</w:p>
<w:p>
<w:pPr><w:pStyle w:val="Normal"/></w:pPr>
<w:r><w:t xml:space="preserve">Egypt; but he was treated with scant courtesy, and was obllgcd</w:t></w:r>
</w:p>
<w:p>
<w:pPr><w:pStyle w:val="Normal"/></w:pPr>
<w:r><w:t xml:space="preserve">to leave the country without achieving anything permanent.</w:t></w:r>
</w:p>
<w:p>
<w:pPr><w:pStyle w:val="Normal"/></w:pPr>
<w:r><w:t xml:space="preserve">Beginning of Italian influence.</w:t></w:r>
</w:p>
<w:p>
<w:pPr><w:pStyle w:val="Normal"/></w:pPr>
<w:r><w:t xml:space="preserve">The Italians now come on the scene.  Assab, a port near the</w:t></w:r>
</w:p>
<w:p>
<w:pPr><w:pStyle w:val="Normal"/></w:pPr>
<w:r><w:t xml:space="preserve">southern entrance of the Red Sea, had been bought from the</w:t></w:r>
</w:p>
<w:p>
<w:pPr><w:pStyle w:val="Normal"/></w:pPr>
<w:r><w:t xml:space="preserve">focal sultan in March 1870 by an Italian company, which,</w:t></w:r>
</w:p>
<w:p>
<w:pPr><w:pStyle w:val="Normal"/></w:pPr>
<w:r><w:t xml:space="preserve">after acquiring more land in 1879 and 1880, was bought</w:t></w:r>
</w:p>
<w:p>
<w:pPr><w:pStyle w:val="Normal"/></w:pPr>
<w:r><w:t xml:space="preserve">out by the Italian government in 1882. In this year Count</w:t></w:r>
</w:p>
<w:p>
<w:pPr><w:pStyle w:val="Normal"/></w:pPr>
<w:r><w:t xml:space="preserve">Pietro Antonelli was despatched to Shoa in order to improve</w:t></w:r>
</w:p>
<w:p>
<w:pPr><w:pStyle w:val="Normal"/></w:pPr>
<w:r><w:t xml:space="preserve">the prospects of the colony by treaties with Menelek and</w:t></w:r>
</w:p>
<w:p>
<w:pPr><w:pStyle w:val="Normal"/></w:pPr>
<w:r><w:t xml:space="preserve">the sultan of Aussa.  Several missions followed upon this</w:t></w:r>
</w:p>
<w:p>
<w:pPr><w:pStyle w:val="Normal"/></w:pPr>
<w:r><w:t xml:space="preserve">one, with more or less successful results; but both John and</w:t></w:r>
</w:p>
<w:p>
<w:pPr><w:pStyle w:val="Normal"/></w:pPr>
<w:r><w:t xml:space="preserve">Menelek became uneasy when Beilul, a port to the north of</w:t></w:r>
</w:p>
<w:p>
<w:pPr><w:pStyle w:val="Normal"/></w:pPr>
<w:r><w:t xml:space="preserve">Assab Bay, was occupied by the Italians in January 1885, and</w:t></w:r>
</w:p>
<w:p>
<w:pPr><w:pStyle w:val="Normal"/></w:pPr>
<w:r><w:t xml:space="preserve">Massawa taken over by them from Egypt in the following month.</w:t></w:r>
</w:p>
<w:p>
<w:pPr><w:pStyle w:val="Normal"/></w:pPr>
<w:r><w:t xml:space="preserve">This latter act was greatly resented by the Abyssinians, for</w:t></w:r>
</w:p>
<w:p>
<w:pPr><w:pStyle w:val="Normal"/></w:pPr>
<w:r><w:t xml:space="preserve">by a treaty concluded with a British and Egyptian mission</w:t></w:r>
</w:p>
<w:p>
<w:pPr><w:pStyle w:val="Normal"/></w:pPr>
<w:r><w:t xml:space="preserve">under Admiral Hewett and Mason Pasha 5 in the previous</w:t></w:r>
</w:p>
<w:p>
<w:pPr><w:pStyle w:val="Normal"/></w:pPr>
<w:r><w:t xml:space="preserve">year, free transit of goods was to be allowed through this</w:t></w:r>
</w:p>
<w:p>
<w:pPr><w:pStyle w:val="Normal"/></w:pPr>
<w:r><w:t xml:space="preserve">port.  Matters came to a head in January 1887, when the</w:t></w:r>
</w:p>
<w:p>
<w:pPr><w:pStyle w:val="Normal"/></w:pPr>
<w:r><w:t xml:space="preserve">Abyssinians, in consequence of a refusal from General Gene</w:t></w:r>
</w:p>
<w:p>
<w:pPr><w:pStyle w:val="Normal"/></w:pPr>
<w:r><w:t xml:space="preserve">to withdraw his troops, surrounded and attacked a detachment</w:t></w:r>
</w:p>
<w:p>
<w:pPr><w:pStyle w:val="Normal"/></w:pPr>
<w:r><w:t xml:space="preserve">of 500 Italian troops at Dogali, killing more than 400 of</w:t></w:r>
</w:p>
<w:p>
<w:pPr><w:pStyle w:val="Normal"/></w:pPr>
<w:r><w:t xml:space="preserve">them.  Reinforcements were sent from Italy, whilst in the</w:t></w:r>
</w:p>
<w:p>
<w:pPr><w:pStyle w:val="Normal"/></w:pPr>
<w:r><w:t xml:space="preserve">autumn the British government stepped in and tried to mediate</w:t></w:r>
</w:p>
<w:p>
<w:pPr><w:pStyle w:val="Normal"/></w:pPr>
<w:r><w:t xml:space="preserve">by means of a mission under Mr (afterwards Sir Gerald)</w:t></w:r>
</w:p>
<w:p>
<w:pPr><w:pStyle w:val="Normal"/></w:pPr>
<w:r><w:t xml:space="preserve">Portal.  His mission, however proved abortive, and after many</w:t></w:r>
</w:p>
<w:p>
<w:pPr><w:pStyle w:val="Normal"/></w:pPr>
<w:r><w:t xml:space="preserve">difficulties and dangers he returned to Egypt at the end of the</w:t></w:r>
</w:p>
<w:p>
<w:pPr><w:pStyle w:val="Normal"/></w:pPr>
<w:r><w:t xml:space="preserve">year.  In April 1888 the Italian forces, numbering over 20,000</w:t></w:r>
</w:p>
<w:p>
<w:pPr><w:pStyle w:val="Normal"/></w:pPr>
<w:r><w:t xml:space="preserve">men, came into touch with the Abyssinian army; but negotiations</w:t></w:r>
</w:p>
<w:p>
<w:pPr><w:pStyle w:val="Normal"/></w:pPr>
<w:r><w:t xml:space="preserve">took the place of fighting, with the result that both forces</w:t></w:r>
</w:p>
<w:p>
<w:pPr><w:pStyle w:val="Normal"/></w:pPr>
<w:r><w:t xml:space="preserve">retired, the Italians only leaving some 5000 troops in</w:t></w:r>
</w:p>
<w:p>
<w:pPr><w:pStyle w:val="Normal"/></w:pPr>
<w:r><w:t xml:space="preserve">Eritrea, as their colony was now called. Meanwhile John had</w:t></w:r>
</w:p>
<w:p>
<w:pPr><w:pStyle w:val="Normal"/></w:pPr>
<w:r><w:t xml:space="preserve">not been idle with regard to the dervishes, who had in the</w:t></w:r>
</w:p>
<w:p>
<w:pPr><w:pStyle w:val="Normal"/></w:pPr>
<w:r><w:t xml:space="preserve">meantime become masters of the Egyptian Sudan.  Although he</w:t></w:r>
</w:p>
<w:p>
<w:pPr><w:pStyle w:val="Normal"/></w:pPr>
<w:r><w:t xml:space="preserve">had set his troops in motion too late to relieve Kassala,</w:t></w:r>
</w:p>
<w:p>
<w:pPr><w:pStyle w:val="Normal"/></w:pPr>
<w:r><w:t xml:space="preserve">Ras Alula, his chief general, had succeeded in inflicting</w:t></w:r>
</w:p>
<w:p>
<w:pPr><w:pStyle w:val="Normal"/></w:pPr>
<w:r><w:t xml:space="preserve">a handsome defeat on Osman Digna at Kufit in September</w:t></w:r>
</w:p>
<w:p>
<w:pPr><w:pStyle w:val="Normal"/></w:pPr>
<w:r><w:t xml:space="preserve">1885.  Fighting between the dervishes and the Abyssinians</w:t></w:r>
</w:p>
<w:p>
<w:pPr><w:pStyle w:val="Normal"/></w:pPr>
<w:r><w:t xml:space="preserve">continued, and in August 1887 the dervishes entered and</w:t></w:r>
</w:p>
<w:p>
<w:pPr><w:pStyle w:val="Normal"/></w:pPr>
<w:r><w:t xml:space="preserve">sacked Gondar.  After some delay, King John took the field</w:t></w:r>
</w:p>
<w:p>
<w:pPr><w:pStyle w:val="Normal"/></w:pPr>
<w:r><w:t xml:space="preserve">in force against the enemy, who were still harassing the</w:t></w:r>
</w:p>
<w:p>
<w:pPr><w:pStyle w:val="Normal"/></w:pPr>
<w:r><w:t xml:space="preserve">north-west of his territory.  A great battle ensued at</w:t></w:r>
</w:p>
<w:p>
<w:pPr><w:pStyle w:val="Normal"/></w:pPr>
<w:r><w:t xml:space="preserve">Gallabat, in which the dervishes, under Zeki Tumal, were</w:t></w:r>
</w:p>
<w:p>
<w:pPr><w:pStyle w:val="Normal"/></w:pPr>
<w:r><w:t xml:space="preserve">beaten.  But a stray bullet struck the king, and the Abyssinians</w:t></w:r>
</w:p>
<w:p>
<w:pPr><w:pStyle w:val="Normal"/></w:pPr>
<w:r><w:t xml:space="preserve">decided to retire. The king died during the night, and his</w:t></w:r>
</w:p>
<w:p>
<w:pPr><w:pStyle w:val="Normal"/></w:pPr>
<w:r><w:t xml:space="preserve">body fell into the hands of the enemy (9th March 1889).</w:t></w:r>
</w:p>
<w:p>
<w:pPr><w:pStyle w:val="Normal"/></w:pPr>
<w:r><w:t xml:space="preserve">Menelek emperor.</w:t></w:r>
</w:p>
<w:p>
<w:pPr><w:pStyle w:val="Normal"/></w:pPr>
<w:r><w:t xml:space="preserve">(24) Immediately the news of John&apos;s death reached Menelek,</w:t></w:r>
</w:p>
<w:p>
<w:pPr><w:pStyle w:val="Normal"/></w:pPr>
<w:r><w:t xml:space="preserve">he proclaimed himself emperor, and received the submission</w:t></w:r>
</w:p>
<w:p>
<w:pPr><w:pStyle w:val="Normal"/></w:pPr>
<w:r><w:t xml:space="preserve">of Gondar, Gojam and several other provinces.  In common</w:t></w:r>
</w:p>
<w:p>
<w:pPr><w:pStyle w:val="Normal"/></w:pPr>
<w:r><w:t xml:space="preserve">with other northern princes, Mangasha, reputed son and heir</w:t></w:r>
</w:p>
<w:p>
<w:pPr><w:pStyle w:val="Normal"/></w:pPr>
<w:r><w:t xml:space="preserve">of King John, with the yellow-eyed Ras Alula,6 refused to</w:t></w:r>
</w:p>
<w:p>
<w:pPr><w:pStyle w:val="Normal"/></w:pPr>
<w:r><w:t xml:space="preserve">acknowledge the sovereignty of Menelek; but, on the latter</w:t></w:r>
</w:p>
<w:p>
<w:pPr><w:pStyle w:val="Normal"/></w:pPr>
<w:r><w:t xml:space="preserve">marching against them in the following January with a large</w:t></w:r>
</w:p>
<w:p>
<w:pPr><w:pStyle w:val="Normal"/></w:pPr>
<w:r><w:t xml:space="preserve">army, they submitted.  As it happened, Count Antonelli</w:t></w:r>
</w:p>
<w:p>
<w:pPr><w:pStyle w:val="Normal"/></w:pPr>
<w:r><w:t xml:space="preserve">was with Menelek when he claimed the throne, and promptly</w:t></w:r>
</w:p>
<w:p>
<w:pPr><w:pStyle w:val="Normal"/></w:pPr>
<w:r><w:t xml:space="preserve">concluded (2nd of May 1889) with him on behalf of Italy a</w:t></w:r>
</w:p>
<w:p>
<w:pPr><w:pStyle w:val="Normal"/></w:pPr>
<w:r><w:t xml:space="preserve">friendly treaty, to be known hereafter as the famous Uccialli</w:t></w:r>
</w:p>
<w:p>
<w:pPr><w:pStyle w:val="Normal"/></w:pPr>
<w:r><w:t xml:space="preserve">treaty.  In consequence of this the Italians occupied Asmara,</w:t></w:r>
</w:p>
<w:p>
<w:pPr><w:pStyle w:val="Normal"/></w:pPr>
<w:r><w:t xml:space="preserve">made friends with Mangasha and received Ras Makonnen7,</w:t></w:r>
</w:p>
<w:p>
<w:pPr><w:pStyle w:val="Normal"/></w:pPr>
<w:r><w:t xml:space="preserve">Menelek&apos;s nephew, as his plenipotentiary in Italy.  Thus it</w:t></w:r>
</w:p>
<w:p>
<w:pPr><w:pStyle w:val="Normal"/></w:pPr>
<w:r><w:t xml:space="preserve">seemed as though hostilities between the two countries had</w:t></w:r>
</w:p>
<w:p>
<w:pPr><w:pStyle w:val="Normal"/></w:pPr>
<w:r><w:t xml:space="preserve">come to a definite end, and that peace was assured in the</w:t></w:r>
</w:p>
<w:p>
<w:pPr><w:pStyle w:val="Normal"/></w:pPr>
<w:r><w:t xml:space="preserve">land.  For the next three years the land was fairly quiet,</w:t></w:r>
</w:p>
<w:p>
<w:pPr><w:pStyle w:val="Normal"/></w:pPr>
<w:r><w:t xml:space="preserve">the chief political events being the convention (6th February</w:t></w:r>
</w:p>
<w:p>
<w:pPr><w:pStyle w:val="Normal"/></w:pPr>
<w:r><w:t xml:space="preserve">1891) between Italy and Abyssinia, protocols between Italy</w:t></w:r>
</w:p>
<w:p>
<w:pPr><w:pStyle w:val="Normal"/></w:pPr>
<w:r><w:t xml:space="preserve">and Great Britain (24th March and 15th April 1891) and a</w:t></w:r>
</w:p>
<w:p>
<w:pPr><w:pStyle w:val="Normal"/></w:pPr>
<w:r><w:t xml:space="preserve">proclamation by Menelek (10th April 1891), all on the subject of</w:t></w:r>
</w:p>
<w:p>
<w:pPr><w:pStyle w:val="Normal"/></w:pPr>
<w:r><w:t xml:space="preserve">boundaries.  As, however, the Italians became more and more</w:t></w:r>
</w:p>
<w:p>
<w:pPr><w:pStyle w:val="Normal"/></w:pPr>
<w:r><w:t xml:space="preserve">friendly with Mangasha and Tigre the apprehensions of Menelek</w:t></w:r>
</w:p>
<w:p>
<w:pPr><w:pStyle w:val="Normal"/></w:pPr>
<w:r><w:t xml:space="preserve">increased, till at last, in February 1893, he wrote denouncing</w:t></w:r>
</w:p>
<w:p>
<w:pPr><w:pStyle w:val="Normal"/></w:pPr>
<w:r><w:t xml:space="preserve">the Uccialli treaty, which differed in the Italian and Amharic</w:t></w:r>
</w:p>
<w:p>
<w:pPr><w:pStyle w:val="Normal"/></w:pPr>
<w:r><w:t xml:space="preserve">versions.  According to the former, the negus was bound</w:t></w:r>
</w:p>
<w:p>
<w:pPr><w:pStyle w:val="Normal"/></w:pPr>
<w:r><w:t xml:space="preserve">to make use of Italy as a channel for communicating with</w:t></w:r>
</w:p>
<w:p>
<w:pPr><w:pStyle w:val="Normal"/></w:pPr>
<w:r><w:t xml:space="preserve">other powers, whereas the Amharic version left it optional.</w:t></w:r>
</w:p>
<w:p>
<w:pPr><w:pStyle w:val="Normal"/></w:pPr>
<w:r><w:t xml:space="preserve">Meanwhile the dervishes were threatening Eritrea.  A fine</w:t></w:r>
</w:p>
<w:p>
<w:pPr><w:pStyle w:val="Normal"/></w:pPr>
<w:r><w:t xml:space="preserve">action by Colonel Arimondi gained Agordat for Italy (21st</w:t></w:r>
</w:p>
<w:p>
<w:pPr><w:pStyle w:val="Normal"/></w:pPr>
<w:r><w:t xml:space="preserve">December 1893), and a brilliant march by Colonel Baratieri</w:t></w:r>
</w:p>
<w:p>
<w:pPr><w:pStyle w:val="Normal"/></w:pPr>
<w:r><w:t xml:space="preserve">resulted in the acquisition of Kassala (17th July 1894).</w:t></w:r>
</w:p>
<w:p>
<w:pPr><w:pStyle w:val="Normal"/></w:pPr>
<w:r><w:t xml:space="preserve">On his return Baratieri found that Mangasha was intriguing</w:t></w:r>
</w:p>
<w:p>
<w:pPr><w:pStyle w:val="Normal"/></w:pPr>
<w:r><w:t xml:space="preserve">with the dervishes, and had actually crossed the frontier</w:t></w:r>
</w:p>
<w:p>
<w:pPr><w:pStyle w:val="Normal"/></w:pPr>
<w:r><w:t xml:space="preserve">with a large army.  At Koatit and Senafe (13th to 15th</w:t></w:r>
</w:p>
<w:p>
<w:pPr><w:pStyle w:val="Normal"/></w:pPr>
<w:r><w:t xml:space="preserve">January 1895) Mangasha was met and heavily defeated by</w:t></w:r>
</w:p>
<w:p>
<w:pPr><w:pStyle w:val="Normal"/></w:pPr>
<w:r><w:t xml:space="preserve">Baratieri, who occupied Adrigat in March.  But as the year</w:t></w:r>
</w:p>
<w:p>
<w:pPr><w:pStyle w:val="Normal"/></w:pPr>
<w:r><w:t xml:space="preserve">wore on the Italian commander pushed his forces unsupported</w:t></w:r>
</w:p>
<w:p>
<w:pPr><w:pStyle w:val="Normal"/></w:pPr>
<w:r><w:t xml:space="preserve">too far to the south. Menelek was advancing with a large</w:t></w:r>
</w:p>
<w:p>
<w:pPr><w:pStyle w:val="Normal"/></w:pPr>
<w:r><w:t xml:space="preserve">army in national support of Mangasha, and the subsequent</w:t></w:r>
</w:p>
<w:p>
<w:pPr><w:pStyle w:val="Normal"/></w:pPr>
<w:r><w:t xml:space="preserve">reverses at Amba Alagi (7th December 1895) and Macalle</w:t></w:r>
</w:p>
<w:p>
<w:pPr><w:pStyle w:val="Normal"/></w:pPr>
<w:r><w:t xml:space="preserve">(23rd January 1896) forced the Italians to fall back.</w:t></w:r>
</w:p>
<w:p>
<w:pPr><w:pStyle w:val="Normal"/></w:pPr>
<w:r><w:t xml:space="preserve">Battle of Adowa. Reinforcements of many thousands were</w:t></w:r>
</w:p>
<w:p>
<w:pPr><w:pStyle w:val="Normal"/></w:pPr>
<w:r><w:t xml:space="preserve">meanwhile arriving at Massawa, and in February Baratieri took</w:t></w:r>
</w:p>
<w:p>
<w:pPr><w:pStyle w:val="Normal"/></w:pPr>
<w:r><w:t xml:space="preserve">the field at the head of over 13,000 men.  Menelek&apos;s army,</w:t></w:r>
</w:p>
<w:p>
<w:pPr><w:pStyle w:val="Normal"/></w:pPr>
<w:r><w:t xml:space="preserve">amounting to about 90,000, had during this time advanced,</w:t></w:r>
</w:p>
<w:p>
<w:pPr><w:pStyle w:val="Normal"/></w:pPr>
<w:r><w:t xml:space="preserve">and was occupying a strong position at Abba Garima, near</w:t></w:r>
</w:p>
<w:p>
<w:pPr><w:pStyle w:val="Normal"/></w:pPr>
<w:r><w:t xml:space="preserve">Adua (or Adowa).  Here Baratieri attacked him on the 1st</w:t></w:r>
</w:p>
<w:p>
<w:pPr><w:pStyle w:val="Normal"/></w:pPr>
<w:r><w:t xml:space="preserve">of March, but the difficulties of the country were great,</w:t></w:r>
</w:p>
<w:p>
<w:pPr><w:pStyle w:val="Normal"/></w:pPr>
<w:r><w:t xml:space="preserve">and one of the four Italian brigades had pushed too far</w:t></w:r>
</w:p>
<w:p>
<w:pPr><w:pStyle w:val="Normal"/></w:pPr>
<w:r><w:t xml:space="preserve">forward.  This brigade was attacked by overwhelming numbers,</w:t></w:r>
</w:p>
<w:p>
<w:pPr><w:pStyle w:val="Normal"/></w:pPr>
<w:r><w:t xml:space="preserve">and on the remaining brigades advancing in support, they were</w:t></w:r>
</w:p>
<w:p>
<w:pPr><w:pStyle w:val="Normal"/></w:pPr>
<w:r><w:t xml:space="preserve">successively cut to pieces by the encircling masses of the</w:t></w:r>
</w:p>
<w:p>
<w:pPr><w:pStyle w:val="Normal"/></w:pPr>
<w:r><w:t xml:space="preserve">enemy.  The Italians lost over 4500 white and 2000 native</w:t></w:r>
</w:p>
<w:p>
<w:pPr><w:pStyle w:val="Normal"/></w:pPr>
<w:r><w:t xml:space="preserve">troops killed and wounded, and over 2500 prisoners, of which</w:t></w:r>
</w:p>
<w:p>
<w:pPr><w:pStyle w:val="Normal"/></w:pPr>
<w:r><w:t xml:space="preserve">1600 were white, whilst the Abyssinians owned to a loss of over</w:t></w:r>
</w:p>
<w:p>
<w:pPr><w:pStyle w:val="Normal"/></w:pPr>
<w:r><w:t xml:space="preserve">3000.  General Baldissera advanced with a large body of</w:t></w:r>
</w:p>
<w:p>
<w:pPr><w:pStyle w:val="Normal"/></w:pPr>
<w:r><w:t xml:space="preserve">reinforcements to avenge this defeat, but the Abyssinians,</w:t></w:r>
</w:p>
<w:p>
<w:pPr><w:pStyle w:val="Normal"/></w:pPr>
<w:r><w:t xml:space="preserve">desperately short of supplies, had already retired, and beyond</w:t></w:r>
</w:p>
<w:p>
<w:pPr><w:pStyle w:val="Normal"/></w:pPr>
<w:r><w:t xml:space="preserve">the peaceful relief of Adrigat no further operations took</w:t></w:r>
</w:p>
<w:p>
<w:pPr><w:pStyle w:val="Normal"/></w:pPr>
<w:r><w:t xml:space="preserve">place.  It may here be remarked that the white prisoners</w:t></w:r>
</w:p>
<w:p>
<w:pPr><w:pStyle w:val="Normal"/></w:pPr>
<w:r><w:t xml:space="preserve">taken by Menelek were exceedingly well treated by him, and</w:t></w:r>
</w:p>
<w:p>
<w:pPr><w:pStyle w:val="Normal"/></w:pPr>
<w:r><w:t xml:space="preserve">that he behaved throughout the struggle with Italy with</w:t></w:r>
</w:p>
<w:p>
<w:pPr><w:pStyle w:val="Normal"/></w:pPr>
<w:r><w:t xml:space="preserve">the greatest humanity and dignity.  On the 26th of October</w:t></w:r>
</w:p>
<w:p>
<w:pPr><w:pStyle w:val="Normal"/></w:pPr>
<w:r><w:t xml:space="preserve">following a provisional treaty of peace was concluded at</w:t></w:r>
</w:p>
<w:p>
<w:pPr><w:pStyle w:val="Normal"/></w:pPr>
<w:r><w:t xml:space="preserve">Adis Ababa, annulling the treaty of Uccialli and recognizing</w:t></w:r>
</w:p>
<w:p>
<w:pPr><w:pStyle w:val="Normal"/></w:pPr>
<w:r><w:t xml:space="preserve">the absolute independence of Abyssinia.  This treaty was</w:t></w:r>
</w:p>
<w:p>
<w:pPr><w:pStyle w:val="Normal"/></w:pPr>
<w:r><w:t xml:space="preserve">ratified, and followed by other treaties and agreements</w:t></w:r>
</w:p>
<w:p>
<w:pPr><w:pStyle w:val="Normal"/></w:pPr>
<w:r><w:t xml:space="preserve">defining the Eritrean-Abyssinian and the Abyssinian-Italian</w:t></w:r>
</w:p>
<w:p>
<w:pPr><w:pStyle w:val="Normal"/></w:pPr>
<w:r><w:t xml:space="preserve">Somaliland frontiers (see ITALY, History, and SOMALILAND, Italian</w:t></w:r>
</w:p>
<w:p>
<w:pPr><w:pStyle w:val="Normal"/></w:pPr>
<w:r><w:t xml:space="preserve">Menelek as independent monarch.</w:t></w:r>
</w:p>
<w:p>
<w:pPr><w:pStyle w:val="Normal"/></w:pPr>
<w:r><w:t xml:space="preserve">(25) The war, so disastrous to Italy, attracted the attention of</w:t></w:r>
</w:p>
<w:p>
<w:pPr><w:pStyle w:val="Normal"/></w:pPr>
<w:r><w:t xml:space="preserve">all Europe to Abyssinia and its monarch, and numerous</w:t></w:r>
</w:p>
<w:p>
<w:pPr><w:pStyle w:val="Normal"/></w:pPr>
<w:r><w:t xml:space="preserve">missions, two Russian, three French and one British, were</w:t></w:r>
</w:p>
<w:p>
<w:pPr><w:pStyle w:val="Normal"/></w:pPr>
<w:r><w:t xml:space="preserve">despatched to the country, and hospitably received by</w:t></w:r>
</w:p>
<w:p>
<w:pPr><w:pStyle w:val="Normal"/></w:pPr>
<w:r><w:t xml:space="preserve">Menelek.  The British one, under Mr (afterwards Sir) Rennell</w:t></w:r>
</w:p>
<w:p>
<w:pPr><w:pStyle w:val="Normal"/></w:pPr>
<w:r><w:t xml:space="preserve">Rodd, concluded a friendly treaty with Abyssinia (15th</w:t></w:r>
</w:p>
<w:p>
<w:pPr><w:pStyle w:val="Normal"/></w:pPr>
<w:r><w:t xml:space="preserve">of May 1897), but did not, except in the direction of</w:t></w:r>
</w:p>
<w:p>
<w:pPr><w:pStyle w:val="Normal"/></w:pPr>
<w:r><w:t xml:space="preserve">Somaliland, touch on frontier questions, which for several</w:t></w:r>
</w:p>
<w:p>
<w:pPr><w:pStyle w:val="Normal"/></w:pPr>
<w:r><w:t xml:space="preserve">years continued a subject of discussion.  During the same</w:t></w:r>
</w:p>
<w:p>
<w:pPr><w:pStyle w:val="Normal"/></w:pPr>
<w:r><w:t xml:space="preserve">year (1897) a small French expedition under Messrs Clochette</w:t></w:r>
</w:p>
<w:p>
<w:pPr><w:pStyle w:val="Normal"/></w:pPr>
<w:r><w:t xml:space="preserve">and de Bonchamps endeavoured to reach the Nile, but, after</w:t></w:r>
</w:p>
<w:p>
<w:pPr><w:pStyle w:val="Normal"/></w:pPr>
<w:r><w:t xml:space="preserve">surmounting many difficulties, stuck in the marshes of the</w:t></w:r>
</w:p>
<w:p>
<w:pPr><w:pStyle w:val="Normal"/></w:pPr>
<w:r><w:t xml:space="preserve">Upper Sobat, and was obliged to return.  Another expedition</w:t></w:r>
</w:p>
<w:p>
<w:pPr><w:pStyle w:val="Normal"/></w:pPr>
<w:r><w:t xml:space="preserve">of Abyssinians, under Dejaj Tasamma and accompanied by three</w:t></w:r>
</w:p>
<w:p>
<w:pPr><w:pStyle w:val="Normal"/></w:pPr>
<w:r><w:t xml:space="preserve">Europeans---Faivre (French), Potter (Swiss) and Artomonov</w:t></w:r>
</w:p>
<w:p>
<w:pPr><w:pStyle w:val="Normal"/></w:pPr>
<w:r><w:t xml:space="preserve">(Russian)--started early in 1898, and reached the Nile at the</w:t></w:r>
</w:p>
<w:p>
<w:pPr><w:pStyle w:val="Normal"/></w:pPr>
<w:r><w:t xml:space="preserve">Sobat mouth in June, a few days only before Major Marchand</w:t></w:r>
</w:p>
<w:p>
<w:pPr><w:pStyle w:val="Normal"/></w:pPr>
<w:r><w:t xml:space="preserve">and his gallant companions arrived on the scene. But no</w:t></w:r>
</w:p>
<w:p>
<w:pPr><w:pStyle w:val="Normal"/></w:pPr>
<w:r><w:t xml:space="preserve">contact was made, and the expedition returned to Abyssinia.</w:t></w:r>
</w:p>
<w:p>
<w:pPr><w:pStyle w:val="Normal"/></w:pPr>
<w:r><w:t xml:space="preserve">In the same year Menelek proceeded northwards with a large</w:t></w:r>
</w:p>
<w:p>
<w:pPr><w:pStyle w:val="Normal"/></w:pPr>
<w:r><w:t xml:space="preserve">army for the purpose of chastising Mangasha, who was again</w:t></w:r>
</w:p>
<w:p>
<w:pPr><w:pStyle w:val="Normal"/></w:pPr>
<w:r><w:t xml:space="preserve">rebelling against his authority.  After some trifling fighting</w:t></w:r>
</w:p>
<w:p>
<w:pPr><w:pStyle w:val="Normal"/></w:pPr>
<w:r><w:t xml:space="preserve">Mangasha submitted, and Ras Makonnen despatched a force</w:t></w:r>
</w:p>
<w:p>
<w:pPr><w:pStyle w:val="Normal"/></w:pPr>
<w:r><w:t xml:space="preserve">to subdue Beni Shangul, the chief of which gold country,</w:t></w:r>
</w:p>
<w:p>
<w:pPr><w:pStyle w:val="Normal"/></w:pPr>
<w:r><w:t xml:space="preserve">Wad Tur el Guri, was showing signs of disaffection.  This</w:t></w:r>
</w:p>
<w:p>
<w:pPr><w:pStyle w:val="Normal"/></w:pPr>
<w:r><w:t xml:space="preserve">effected, the Abyssinians almost came into contact with the</w:t></w:r>
</w:p>
<w:p>
<w:pPr><w:pStyle w:val="Normal"/></w:pPr>
<w:r><w:t xml:space="preserve">Egyptian troops sent up the Blue Nile (after the occupation</w:t></w:r>
</w:p>
<w:p>
<w:pPr><w:pStyle w:val="Normal"/></w:pPr>
<w:r><w:t xml:space="preserve">of Khartum) to Famaka and towards Gallabat; but as both</w:t></w:r>
</w:p>
<w:p>
<w:pPr><w:pStyle w:val="Normal"/></w:pPr>
<w:r><w:t xml:space="preserve">sides were anxious to avoid a collision over this latter</w:t></w:r>
</w:p>
<w:p>
<w:pPr><w:pStyle w:val="Normal"/></w:pPr>
<w:r><w:t xml:space="preserve">town, no hostile results ensued.  An excellent understanding</w:t></w:r>
</w:p>
<w:p>
<w:pPr><w:pStyle w:val="Normal"/></w:pPr>
<w:r><w:t xml:space="preserve">was, in fact, established between these two contiguous</w:t></w:r>
</w:p>
<w:p>
<w:pPr><w:pStyle w:val="Normal"/></w:pPr>
<w:r><w:t xml:space="preserve">countries, in spite of occasional disturbances by bandits</w:t></w:r>
</w:p>
<w:p>
<w:pPr><w:pStyle w:val="Normal"/></w:pPr>
<w:r><w:t xml:space="preserve">on the frontier.  On this frontier question, a treaty</w:t></w:r>
</w:p>
<w:p>
<w:pPr><w:pStyle w:val="Normal"/></w:pPr>
<w:r><w:t xml:space="preserve">was concluded on the 15th of May 1902 between England and</w:t></w:r>
</w:p>
<w:p>
<w:pPr><w:pStyle w:val="Normal"/></w:pPr>
<w:r><w:t xml:space="preserve">Abyssinia for the delimitation of the Sudan-Abyssinian</w:t></w:r>
</w:p>
<w:p>
<w:pPr><w:pStyle w:val="Normal"/></w:pPr>
<w:r><w:t xml:space="preserve">frontier.  Menelek, in addition, agreed not to obstruct the</w:t></w:r>
</w:p>
<w:p>
<w:pPr><w:pStyle w:val="Normal"/></w:pPr>
<w:r><w:t xml:space="preserve">waters of Lake Tsana, the Blue Nile or the Sobat, so as not</w:t></w:r>
</w:p>
<w:p>
<w:pPr><w:pStyle w:val="Normal"/></w:pPr>
<w:r><w:t xml:space="preserve">to interfere with the Nile irrigation question, and he also</w:t></w:r>
</w:p>
<w:p>
<w:pPr><w:pStyle w:val="Normal"/></w:pPr>
<w:r><w:t xml:space="preserve">agreed to give a concession, if such should be required,</w:t></w:r>
</w:p>
<w:p>
<w:pPr><w:pStyle w:val="Normal"/></w:pPr>
<w:r><w:t xml:space="preserve">for the construction of a British railway through his</w:t></w:r>
</w:p>
<w:p>
<w:pPr><w:pStyle w:val="Normal"/></w:pPr>
<w:r><w:t xml:space="preserve">dominions, to connect the Sudan with Uganda.  A combined</w:t></w:r>
</w:p>
<w:p>
<w:pPr><w:pStyle w:val="Normal"/></w:pPr>
<w:r><w:t xml:space="preserve">British-Abyssinian expedition (Mr A. E. Butter&apos;s) was despatched</w:t></w:r>
</w:p>
<w:p>
<w:pPr><w:pStyle w:val="Normal"/></w:pPr>
<w:r><w:t xml:space="preserve">in 1901 to propose and survey a boundary between Abyssinia</w:t></w:r>
</w:p>
<w:p>
<w:pPr><w:pStyle w:val="Normal"/></w:pPr>
<w:r><w:t xml:space="preserve">on the one side and British East Africa and Uganda on the</w:t></w:r>
</w:p>
<w:p>
<w:pPr><w:pStyle w:val="Normal"/></w:pPr>
<w:r><w:t xml:space="preserve">other; and the report of the expedition was made public by</w:t></w:r>
</w:p>
<w:p>
<w:pPr><w:pStyle w:val="Normal"/></w:pPr>
<w:r><w:t xml:space="preserve">the British government in November 1904.  It was followed</w:t></w:r>
</w:p>
<w:p>
<w:pPr><w:pStyle w:val="Normal"/></w:pPr>
<w:r><w:t xml:space="preserve">in 1908 by an agreement defining the frontiers concerned.</w:t></w:r>
</w:p>
<w:p>
<w:pPr><w:pStyle w:val="Normal"/></w:pPr>
<w:r><w:t xml:space="preserve">Co-operation with Britain against the Somali mullah.</w:t></w:r>
</w:p>
<w:p>
<w:pPr><w:pStyle w:val="Normal"/></w:pPr>
<w:r><w:t xml:space="preserve">(26) In 1899 the rebellion of the so-called ``mad&apos;&apos; mullah</w:t></w:r>
</w:p>
<w:p>
<w:pPr><w:pStyle w:val="Normal"/></w:pPr>
<w:r><w:t xml:space="preserve">(Hajji Mahommed Abdullah) began on the borders of British</w:t></w:r>
</w:p>
<w:p>
<w:pPr><w:pStyle w:val="Normal"/></w:pPr>
<w:r><w:t xml:space="preserve">Somaliland.  An Abyssinian expedition was,  at Great</w:t></w:r>
</w:p>
<w:p>
<w:pPr><w:pStyle w:val="Normal"/></w:pPr>
<w:r><w:t xml:space="preserve">Britain&apos;s request, sent against the mullah,  but without much</w:t></w:r>
</w:p>
<w:p>
<w:pPr><w:pStyle w:val="Normal"/></w:pPr>
<w:r><w:t xml:space="preserve">effect.  In the spring and  summer of 1901 a fresh expedition</w:t></w:r>
</w:p>
<w:p>
<w:pPr><w:pStyle w:val="Normal"/></w:pPr>
<w:r><w:t xml:space="preserve">from Harrar was  undertaken against the mullah, who was</w:t></w:r>
</w:p>
<w:p>
<w:pPr><w:pStyle w:val="Normal"/></w:pPr>
<w:r><w:t xml:space="preserve">laying waste  the Ogaden country.  Two British officers</w:t></w:r>
</w:p>
<w:p>
<w:pPr><w:pStyle w:val="Normal"/></w:pPr>
<w:r><w:t xml:space="preserve">accompanied this force, which was to co-operate with British</w:t></w:r>
</w:p>
<w:p>
<w:pPr><w:pStyle w:val="Normal"/></w:pPr>
<w:r><w:t xml:space="preserve">troops advancing from Somaliland; but little was achieved</w:t></w:r>
</w:p>
<w:p>
<w:pPr><w:pStyle w:val="Normal"/></w:pPr>
<w:r><w:t xml:space="preserve">by the Abyssinians, and after undergoing considerable</w:t></w:r>
</w:p>
<w:p>
<w:pPr><w:pStyle w:val="Normal"/></w:pPr>
<w:r><w:t xml:space="preserve">privations and losses, and harassing the country generally,</w:t></w:r>
</w:p>
<w:p>
<w:pPr><w:pStyle w:val="Normal"/></w:pPr>
<w:r><w:t xml:space="preserve">including that of some friendly tribes, it returned to</w:t></w:r>
</w:p>
<w:p>
<w:pPr><w:pStyle w:val="Normal"/></w:pPr>
<w:r><w:t xml:space="preserve">Harrar.  During the 1902-3 campaign of General (Sir) W. H.</w:t></w:r>
</w:p>
<w:p>
<w:pPr><w:pStyle w:val="Normal"/></w:pPr>
<w:r><w:t xml:space="preserve">Manning, Menelek provided a force of 5000 to co-operate with</w:t></w:r>
</w:p>
<w:p>
<w:pPr><w:pStyle w:val="Normal"/></w:pPr>
<w:r><w:t xml:space="preserve">the British and to occupy the Webi Shebeli and south-western</w:t></w:r>
</w:p>
<w:p>
<w:pPr><w:pStyle w:val="Normal"/></w:pPr>
<w:r><w:t xml:space="preserve">parts of the Hand.  This time the Abyssinians were more</w:t></w:r>
</w:p>
<w:p>
<w:pPr><w:pStyle w:val="Normal"/></w:pPr>
<w:r><w:t xml:space="preserve">successful, and beat the rebels in a pitched fight; but</w:t></w:r>
</w:p>
<w:p>
<w:pPr><w:pStyle w:val="Normal"/></w:pPr>
<w:r><w:t xml:space="preserve">the difficulties of the country again precluded effective</w:t></w:r>
</w:p>
<w:p>
<w:pPr><w:pStyle w:val="Normal"/></w:pPr>
<w:r><w:t xml:space="preserve">co-operation.  During General Egerton&apos;s campaign (1903-4)</w:t></w:r>
</w:p>
<w:p>
<w:pPr><w:pStyle w:val="Normal"/></w:pPr>
<w:r><w:t xml:space="preserve">yet another force of 5000 Abyssinians was despatched towards</w:t></w:r>
</w:p>
<w:p>
<w:pPr><w:pStyle w:val="Normal"/></w:pPr>
<w:r><w:t xml:space="preserve">Somaliland. Accompanied by a few British officers, it worked</w:t></w:r>
</w:p>
<w:p>
<w:pPr><w:pStyle w:val="Normal"/></w:pPr>
<w:r><w:t xml:space="preserve">its way southward, but did not contribute much towards the</w:t></w:r>
</w:p>
<w:p>
<w:pPr><w:pStyle w:val="Normal"/></w:pPr>
<w:r><w:t xml:space="preserve">final solution. In any case, however, it is significant</w:t></w:r>
</w:p>
<w:p>
<w:pPr><w:pStyle w:val="Normal"/></w:pPr>
<w:r><w:t xml:space="preserve">that the Abyssinians have repeatedly been willing to</w:t></w:r>
</w:p>
<w:p>
<w:pPr><w:pStyle w:val="Normal"/></w:pPr>
<w:r><w:t xml:space="preserve">co-operate with the British away from their own country.</w:t></w:r>
</w:p>
<w:p>
<w:pPr><w:pStyle w:val="Normal"/></w:pPr>
<w:r><w:t xml:space="preserve">Growth of European influence. Regarding the question of</w:t></w:r>
</w:p>
<w:p>
<w:pPr><w:pStyle w:val="Normal"/></w:pPr>
<w:r><w:t xml:space="preserve">railways, the first concession for a railway from the coast</w:t></w:r>
</w:p>
<w:p>
<w:pPr><w:pStyle w:val="Normal"/></w:pPr>
<w:r><w:t xml:space="preserve">at Jibuti (French Somaliland) to the interior was granted</w:t></w:r>
</w:p>
<w:p>
<w:pPr><w:pStyle w:val="Normal"/></w:pPr>
<w:r><w:t xml:space="preserve">hy Menelek to a French company in 1894.  The company having</w:t></w:r>
</w:p>
<w:p>
<w:pPr><w:pStyle w:val="Normal"/></w:pPr>
<w:r><w:t xml:space="preserve">met with numberless difficulties and financial troubles, the</w:t></w:r>
</w:p>
<w:p>
<w:pPr><w:pStyle w:val="Normal"/></w:pPr>
<w:r><w:t xml:space="preserve">French government, on the extinction of the company&apos;s funds,</w:t></w:r>
</w:p>
<w:p>
<w:pPr><w:pStyle w:val="Normal"/></w:pPr>
<w:r><w:t xml:space="preserve">came to the rescue and provided money for the construction.</w:t></w:r>
</w:p>
<w:p>
<w:pPr><w:pStyle w:val="Normal"/></w:pPr>
<w:r><w:t xml:space="preserve">(In the alternative British capitalists interested in the</w:t></w:r>
</w:p>
<w:p>
<w:pPr><w:pStyle w:val="Normal"/></w:pPr>
<w:r><w:t xml:space="preserve">company would have obtained control of the line.) The French</w:t></w:r>
</w:p>
<w:p>
<w:pPr><w:pStyle w:val="Normal"/></w:pPr>
<w:r><w:t xml:space="preserve">government&apos;s help enabled the railway to be completed to</w:t></w:r>
</w:p>
<w:p>
<w:pPr><w:pStyle w:val="Normal"/></w:pPr>
<w:r><w:t xml:space="preserve">Dire Dawa, 28 m. from Harrar, by the last day of 1902.</w:t></w:r>
</w:p>
<w:p>
<w:pPr><w:pStyle w:val="Normal"/></w:pPr>
<w:r><w:t xml:space="preserve">Difficulties arose over the continuation of the railway to</w:t></w:r>
</w:p>
<w:p>
<w:pPr><w:pStyle w:val="Normal"/></w:pPr>
<w:r><w:t xml:space="preserve">Adis Ababa and beyond, and the proposed internationalization</w:t></w:r>
</w:p>
<w:p>
<w:pPr><w:pStyle w:val="Normal"/></w:pPr>
<w:r><w:t xml:space="preserve">of the line.  These difficulties, which hindered the work</w:t></w:r>
</w:p>
<w:p>
<w:pPr><w:pStyle w:val="Normal"/></w:pPr>
<w:r><w:t xml:space="preserve">of construction for years, were composed (so far as the</w:t></w:r>
</w:p>
<w:p>
<w:pPr><w:pStyle w:val="Normal"/></w:pPr>
<w:r><w:t xml:space="preserve">European Powers interested were concerned) in 1906.  By the</w:t></w:r>
</w:p>
<w:p>
<w:pPr><w:pStyle w:val="Normal"/></w:pPr>
<w:r><w:t xml:space="preserve">terms of an Anglo-French-Italian agreement, signed in London</w:t></w:r>
</w:p>
<w:p>
<w:pPr><w:pStyle w:val="Normal"/></w:pPr>
<w:r><w:t xml:space="preserve">on the 13th of December of that year, it was decided that</w:t></w:r>
</w:p>
<w:p>
<w:pPr><w:pStyle w:val="Normal"/></w:pPr>
<w:r><w:t xml:space="preserve">the French company should fund the railway as far as Adis</w:t></w:r>
</w:p>
<w:p>
<w:pPr><w:pStyle w:val="Normal"/></w:pPr>
<w:r><w:t xml:space="preserve">Ababa, while railway construction west of that place should</w:t></w:r>
</w:p>
<w:p>
<w:pPr><w:pStyle w:val="Normal"/></w:pPr>
<w:r><w:t xml:space="preserve">be under British auspices, with the stipulation that any</w:t></w:r>
</w:p>
<w:p>
<w:pPr><w:pStyle w:val="Normal"/></w:pPr>
<w:r><w:t xml:space="preserve">railway connecting Italy&apos;s possessions on the Red Sea with</w:t></w:r>
</w:p>
<w:p>
<w:pPr><w:pStyle w:val="Normal"/></w:pPr>
<w:r><w:t xml:space="preserve">its Somaliland protectorate should be built under Italian</w:t></w:r>
</w:p>
<w:p>
<w:pPr><w:pStyle w:val="Normal"/></w:pPr>
<w:r><w:t xml:space="preserve">auspices.  A British, an Italian and an Abyssinian representative</w:t></w:r>
</w:p>
<w:p>
<w:pPr><w:pStyle w:val="Normal"/></w:pPr>
<w:r><w:t xml:space="preserve">were to be appointed to the board of the French company, and a</w:t></w:r>
</w:p>
<w:p>
<w:pPr><w:pStyle w:val="Normal"/></w:pPr>
<w:r><w:t xml:space="preserve">French director to the board of any British or Italian company</w:t></w:r>
</w:p>
<w:p>
<w:pPr><w:pStyle w:val="Normal"/></w:pPr>
<w:r><w:t xml:space="preserve">formed.  Absolute equality of treatment on the railway and</w:t></w:r>
</w:p>
<w:p>
<w:pPr><w:pStyle w:val="Normal"/></w:pPr>
<w:r><w:t xml:space="preserve">at Jibuti was guaranteed to the commerce of all the Powers.</w:t></w:r>
</w:p>
<w:p>
<w:pPr><w:pStyle w:val="Normal"/></w:pPr>
<w:r><w:t xml:space="preserve">Meanwhile the country slowly developed in parts and opened</w:t></w:r>
</w:p>
<w:p>
<w:pPr><w:pStyle w:val="Normal"/></w:pPr>
<w:r><w:t xml:space="preserve">out cautiously to European influences.  Most of the Powers</w:t></w:r>
</w:p>
<w:p>
<w:pPr><w:pStyle w:val="Normal"/></w:pPr>
<w:r><w:t xml:space="preserve">appointed representatives at Menelek&apos;s capital--the British</w:t></w:r>
</w:p>
<w:p>
<w:pPr><w:pStyle w:val="Normal"/></w:pPr>
<w:r><w:t xml:space="preserve">minister-plenipotentiary and consul-general, Lieut.-Colonel</w:t></w:r>
</w:p>
<w:p>
<w:pPr><w:pStyle w:val="Normal"/></w:pPr>
<w:r><w:t xml:space="preserve">Sir J. L. Harrington, having been appointed shortly after</w:t></w:r>
</w:p>
<w:p>
<w:pPr><w:pStyle w:val="Normal"/></w:pPr>
<w:r><w:t xml:space="preserve">the British mission in 1897.  In December 1903 an American</w:t></w:r>
</w:p>
<w:p>
<w:pPr><w:pStyle w:val="Normal"/></w:pPr>
<w:r><w:t xml:space="preserve">mission visited Adis Ababa, and a commercial treaty between</w:t></w:r>
</w:p>
<w:p>
<w:pPr><w:pStyle w:val="Normal"/></w:pPr>
<w:r><w:t xml:space="preserve">the United States and Abyssinia was signed.  A German</w:t></w:r>
</w:p>
<w:p>
<w:pPr><w:pStyle w:val="Normal"/></w:pPr>
<w:r><w:t xml:space="preserve">mission visited the country early in 1905 and also concluded</w:t></w:r>
</w:p>
<w:p>
<w:pPr><w:pStyle w:val="Normal"/></w:pPr>
<w:r><w:t xml:space="preserve">a treaty of commerce with the negus.  Later in the year a</w:t></w:r>
</w:p>
<w:p>
<w:pPr><w:pStyle w:val="Normal"/></w:pPr>
<w:r><w:t xml:space="preserve">German minister was appointed to the court of the emperor.</w:t></w:r>
</w:p>
<w:p>
<w:pPr><w:pStyle w:val="Normal"/></w:pPr>
<w:r><w:t xml:space="preserve">After 1897 British influence in Abyssinia, owing largely no</w:t></w:r>
</w:p>
<w:p>
<w:pPr><w:pStyle w:val="Normal"/></w:pPr>
<w:r><w:t xml:space="preserve">doubt to the conquest of the Sudan, the destruction of the</w:t></w:r>
</w:p>
<w:p>
<w:pPr><w:pStyle w:val="Normal"/></w:pPr>
<w:r><w:t xml:space="preserve">dervish power and the result of the Fashoda incident, was</w:t></w:r>
</w:p>
<w:p>
<w:pPr><w:pStyle w:val="Normal"/></w:pPr>
<w:r><w:t xml:space="preserve">sensibly on the increase.  Of the remaining powers France</w:t></w:r>
</w:p>
<w:p>
<w:pPr><w:pStyle w:val="Normal"/></w:pPr>
<w:r><w:t xml:space="preserve">occupied the most important position in the country.  Ras</w:t></w:r>
</w:p>
<w:p>
<w:pPr><w:pStyle w:val="Normal"/></w:pPr>
<w:r><w:t xml:space="preserve">Makonnen, the most capable and civilized of Menelek&apos;s probable</w:t></w:r>
</w:p>
<w:p>
<w:pPr><w:pStyle w:val="Normal"/></w:pPr>
<w:r><w:t xml:space="preserve">successors, died in March 1906, and Mangasha died later in</w:t></w:r>
</w:p>
<w:p>
<w:pPr><w:pStyle w:val="Normal"/></w:pPr>
<w:r><w:t xml:space="preserve">the same year; the question of the succession therefore</w:t></w:r>
</w:p>
<w:p>
<w:pPr><w:pStyle w:val="Normal"/></w:pPr>
<w:r><w:t xml:space="preserve">opened up the possibility that, in spite of recent civilizing</w:t></w:r>
</w:p>
<w:p>
<w:pPr><w:pStyle w:val="Normal"/></w:pPr>
<w:r><w:t xml:space="preserve">influences, Abyssinia might still relapse in the future</w:t></w:r>
</w:p>
<w:p>
<w:pPr><w:pStyle w:val="Normal"/></w:pPr>
<w:r><w:t xml:space="preserve">into its old state of conflict.  The Anglo-French-Italian</w:t></w:r>
</w:p>
<w:p>
<w:pPr><w:pStyle w:val="Normal"/></w:pPr>
<w:r><w:t xml:space="preserve">agreement of December 1906 contained provisions in view of</w:t></w:r>
</w:p>
<w:p>
<w:pPr><w:pStyle w:val="Normal"/></w:pPr>
<w:r><w:t xml:space="preserve">this contingency.  The preamble of the document declared</w:t></w:r>
</w:p>
<w:p>
<w:pPr><w:pStyle w:val="Normal"/></w:pPr>
<w:r><w:t xml:space="preserve">that it was the common interest of the three Powers ``to</w:t></w:r>
</w:p>
<w:p>
<w:pPr><w:pStyle w:val="Normal"/></w:pPr>
<w:r><w:t xml:space="preserve">maintain intact the integrity of Ethiopia,&apos;&apos; and Article</w:t></w:r>
</w:p>
<w:p>
<w:pPr><w:pStyle w:val="Heading1"/></w:pPr>
<w:r><w:t>I. provided for their co-operation in maintaining ``the</w:t></w:r>
</w:p>
<w:p>
<w:pPr><w:pStyle w:val="Normal"/></w:pPr>
<w:r><w:t xml:space="preserve">political and territorial status quo in Ethiopia.&apos;&apos; Should,</w:t></w:r>
</w:p>
<w:p>
<w:pPr><w:pStyle w:val="Normal"/></w:pPr>
<w:r><w:t xml:space="preserve">however, the status quo be disturbed, the powers were to</w:t></w:r>
</w:p>
<w:p>
<w:pPr><w:pStyle w:val="Normal"/></w:pPr>
<w:r><w:t xml:space="preserve">concert to safeguard their special interests.  The terms</w:t></w:r>
</w:p>
<w:p>
<w:pPr><w:pStyle w:val="Normal"/></w:pPr>
<w:r><w:t xml:space="preserve">of the agreement were settled in July 1906, and its text</w:t></w:r>
</w:p>
<w:p>
<w:pPr><w:pStyle w:val="Normal"/></w:pPr>
<w:r><w:t xml:space="preserve">forthwith communicated to the negus.  After considerable</w:t></w:r>
</w:p>
<w:p>
<w:pPr><w:pStyle w:val="Normal"/></w:pPr>
<w:r><w:t xml:space="preserve">hesitation Menelek sent, early in December, a note to the</w:t></w:r>
</w:p>
<w:p>
<w:pPr><w:pStyle w:val="Normal"/></w:pPr>
<w:r><w:t xml:space="preserve">powers, in which, after thanking them for their intentions,</w:t></w:r>
</w:p>
<w:p>
<w:pPr><w:pStyle w:val="Normal"/></w:pPr>
<w:r><w:t xml:space="preserve">he stipulated that the agreement should not in any way limit</w:t></w:r>
</w:p>
<w:p>
<w:pPr><w:pStyle w:val="Normal"/></w:pPr>
<w:r><w:t xml:space="preserve">his own sovereign rights. In June 1908, by the nomination of</w:t></w:r>
</w:p>
<w:p>
<w:pPr><w:pStyle w:val="Normal"/></w:pPr>
<w:r><w:t xml:space="preserve">his grandson, Lij Yasu (b. 1896), as his heir, the emperor</w:t></w:r>
</w:p>
<w:p>
<w:pPr><w:pStyle w:val="Normal"/></w:pPr>
<w:r><w:t xml:space="preserve">endeavoured to end the rivalry between various princes</w:t></w:r>
</w:p>
<w:p>
<w:pPr><w:pStyle w:val="Normal"/></w:pPr>
<w:r><w:t xml:space="preserve">claiming the succession to the throne. (See MENELEK.) A</w:t></w:r>
</w:p>
<w:p>
<w:pPr><w:pStyle w:val="Normal"/></w:pPr>
<w:r><w:t xml:space="preserve">convention with Italy, concluded in the same year, settled</w:t></w:r>
</w:p>
<w:p>
<w:pPr><w:pStyle w:val="Normal"/></w:pPr>
<w:r><w:t xml:space="preserve">the frontier questions outstanding with that country. (G.*)</w:t></w:r>
</w:p>
<w:p>
<w:pPr><w:pStyle w:val="Normal"/></w:pPr>
<w:r><w:t xml:space="preserve">BIBLIOGRAPHY.--For general information see A. B. Wylde&apos;s</w:t></w:r>
</w:p>
<w:p>
<w:pPr><w:pStyle w:val="Normal"/></w:pPr>
<w:r><w:t xml:space="preserve">Modern Abyssinia (London, 1901), a volume giving the result</w:t></w:r>
</w:p>
<w:p>
<w:pPr><w:pStyle w:val="Normal"/></w:pPr>
<w:r><w:t xml:space="preserve">of many years&apos; acquaintance with the country and people;</w:t></w:r>
</w:p>
<w:p>
<w:pPr><w:pStyle w:val="Normal"/></w:pPr>
<w:r><w:t xml:space="preserve">Voyage en Abyssinie . . . 1839-43, par une commission</w:t></w:r>
</w:p>
<w:p>
<w:pPr><w:pStyle w:val="Normal"/></w:pPr>
<w:r><w:t xml:space="preserve">scientifique, by Th. Lefebvre and others (6 vols. and atlas, 3</w:t></w:r>
</w:p>
<w:p>
<w:pPr><w:pStyle w:val="Normal"/></w:pPr>
<w:r><w:t xml:space="preserve">vols., Paris, 1845--54); Elisee Reclus, Nouvelle geographie</w:t></w:r>
</w:p>
<w:p>
<w:pPr><w:pStyle w:val="Normal"/></w:pPr>
<w:r><w:t xml:space="preserve">universelle, vol. x. chap. v. (Paris, 1885).  For latest</w:t></w:r>
</w:p>
<w:p>
<w:pPr><w:pStyle w:val="Normal"/></w:pPr>
<w:r><w:t xml:space="preserve">geographical and kindred information consult the Geographical</w:t></w:r>
</w:p>
<w:p>
<w:pPr><w:pStyle w:val="Normal"/></w:pPr>
<w:r><w:t xml:space="preserve">Journal (London), especially ``A Journey through Abyssinia,&apos;&apos;</w:t></w:r>
</w:p>
<w:p>
<w:pPr><w:pStyle w:val="Normal"/></w:pPr>
<w:r><w:t xml:space="preserve">vol. xv. (1900), and ``Exploration in the Abai Basin,&apos;&apos; vol.</w:t></w:r>
</w:p>
<w:p>
<w:pPr><w:pStyle w:val="Normal"/></w:pPr>
<w:r><w:t xml:space="preserve">xxvii. (1906), both by H. Weld Blundell, and ``From the</w:t></w:r>
</w:p>
<w:p>
<w:pPr><w:pStyle w:val="Normal"/></w:pPr>
<w:r><w:t xml:space="preserve">Somali Coast through S. Ethiopia to the Sudan,&apos;&apos; vol. xx.</w:t></w:r>
</w:p>
<w:p>
<w:pPr><w:pStyle w:val="Normal"/></w:pPr>
<w:r><w:t xml:space="preserve">(1902), by C. Neumann; Antoine d&apos;Abbadie, Geographie de</w:t></w:r>
</w:p>
<w:p>
<w:pPr><w:pStyle w:val="Normal"/></w:pPr>
<w:r><w:t xml:space="preserve">l&apos;Ethiopie (Paris, 1890).  The British parliamentary paper</w:t></w:r>
</w:p>
<w:p>
<w:pPr><w:pStyle w:val="Normal"/></w:pPr>
<w:r><w:t xml:space="preserve">Africa, No. 13 (1904), is a report on the survey of the</w:t></w:r>
</w:p>
<w:p>
<w:pPr><w:pStyle w:val="Normal"/></w:pPr>
<w:r><w:t xml:space="preserve">S.E. frontier by Capt.  P. Maud, R.E., and contains a valuable</w:t></w:r>
</w:p>
<w:p>
<w:pPr><w:pStyle w:val="Normal"/></w:pPr>
<w:r><w:t xml:space="preserve">map.  For geology, &amp;c., see W. T. Blanford, Observations</w:t></w:r>
</w:p>
<w:p>
<w:pPr><w:pStyle w:val="Normal"/></w:pPr>
<w:r><w:t xml:space="preserve">on the Geology and Zoology of Abyssinia (London, 1870); C.</w:t></w:r>
</w:p>
<w:p>
<w:pPr><w:pStyle w:val="Normal"/></w:pPr>
<w:r><w:t xml:space="preserve">Futterer, ``Beitrage zur Kenntniss des Jura in Ost-Afrika,&apos;&apos;</w:t></w:r>
</w:p>
<w:p>
<w:pPr><w:pStyle w:val="Normal"/></w:pPr>
<w:r><w:t xml:space="preserve">Zeit. Deutsch.  Geol.  Gesell. xlix. p. 568 (1897); C.</w:t></w:r>
</w:p>
<w:p>
<w:pPr><w:pStyle w:val="Normal"/></w:pPr>
<w:r><w:t xml:space="preserve">A. Raisin, ``Rocks from Southern Abyssinia,&apos;&apos; Quart.</w:t></w:r>
</w:p>
<w:p>
<w:pPr><w:pStyle w:val="Normal"/></w:pPr>
<w:r><w:t xml:space="preserve">Journ.  Geol.  Soc. vol. lix. pp. 292-306 (1903).</w:t></w:r>
</w:p>
<w:p>
<w:pPr><w:pStyle w:val="Normal"/></w:pPr>
<w:r><w:t xml:space="preserve">Among works by travellers describing the country are---James</w:t></w:r>
</w:p>
<w:p>
<w:pPr><w:pStyle w:val="Normal"/></w:pPr>
<w:r><w:t xml:space="preserve">Bruce&apos;s Travels to discover the Source of the Nile 1768-1773</w:t></w:r>
</w:p>
<w:p>
<w:pPr><w:pStyle w:val="Normal"/></w:pPr>
<w:r><w:t xml:space="preserve">(Edinburgh, 1813, 3rd ed., 8 vols.); The Highlands of</w:t></w:r>
</w:p>
<w:p>
<w:pPr><w:pStyle w:val="Normal"/></w:pPr>
<w:r><w:t xml:space="preserve">Aethiopia (3 vols., London, 1844), by Sir W. Cornwallis</w:t></w:r>
</w:p>
<w:p>
<w:pPr><w:pStyle w:val="Normal"/></w:pPr>
<w:r><w:t xml:space="preserve">Harris, dealing with the Danakil country, Harrar and</w:t></w:r>
</w:p>
<w:p>
<w:pPr><w:pStyle w:val="Normal"/></w:pPr>
<w:r><w:t xml:space="preserve">Shoa; Mansfield Parkyns, Life in Abyssinia; being notes</w:t></w:r>
</w:p>
<w:p>
<w:pPr><w:pStyle w:val="Normal"/></w:pPr>
<w:r><w:t xml:space="preserve">collected during three years&apos; residence and travels (2nd</w:t></w:r>
</w:p>
<w:p>
<w:pPr><w:pStyle w:val="Normal"/></w:pPr>
<w:r><w:t xml:space="preserve">ed., London, 1868); Antoine d&apos;Abbadie, Douze ans dans</w:t></w:r>
</w:p>
<w:p>
<w:pPr><w:pStyle w:val="Normal"/></w:pPr>
<w:r><w:t xml:space="preserve">La Haute Ethiopie (Paris, 1868); P. H. G. Powell-Cotton,</w:t></w:r>
</w:p>
<w:p>
<w:pPr><w:pStyle w:val="Normal"/></w:pPr>
<w:r><w:t xml:space="preserve">A Sporting Trip through Abyssinia (London, 1902); A.</w:t></w:r>
</w:p>
<w:p>
<w:pPr><w:pStyle w:val="Normal"/></w:pPr>
<w:r><w:t xml:space="preserve">Donaldson Smith, Through Unknown African Countries (London,</w:t></w:r>
</w:p>
<w:p>
<w:pPr><w:pStyle w:val="Normal"/></w:pPr>
<w:r><w:t xml:space="preserve">1897); M. S. Wellby, Twixt Sirdar and Menelik (London,</w:t></w:r>
</w:p>
<w:p>
<w:pPr><w:pStyle w:val="Normal"/></w:pPr>
<w:r><w:t xml:space="preserve">1901).  For history see -- A. M. H. J. Stokvis&apos; Manuel</w:t></w:r>
</w:p>
<w:p>
<w:pPr><w:pStyle w:val="Normal"/></w:pPr>
<w:r><w:t xml:space="preserve">d&apos;histoire, vol. i. pp. 439-46, and vol. ii. pp. lxxiv-v</w:t></w:r>
</w:p>
<w:p>
<w:pPr><w:pStyle w:val="Normal"/></w:pPr>
<w:r><w:t xml:space="preserve">(Leiden, 1888-89), which contains lists of the sovereigns</w:t></w:r>
</w:p>
<w:p>
<w:pPr><w:pStyle w:val="Normal"/></w:pPr>
<w:r><w:t xml:space="preserve">of Abyssinia, Shoa and Harrar, from the earliest times,</w:t></w:r>
</w:p>
<w:p>
<w:pPr><w:pStyle w:val="Normal"/></w:pPr>
<w:r><w:t xml:space="preserve">with brief notes.  Texts of treaties between Abyssinia and</w:t></w:r>
</w:p>
<w:p>
<w:pPr><w:pStyle w:val="Normal"/></w:pPr>
<w:r><w:t xml:space="preserve">the European Powers up to 1896 will be found in vol. i. of</w:t></w:r>
</w:p>
<w:p>
<w:pPr><w:pStyle w:val="Normal"/></w:pPr>
<w:r><w:t xml:space="preserve">Sir E. Hertslet&apos;s The Map of Africa by Treaty (London,</w:t></w:r>
</w:p>
<w:p>
<w:pPr><w:pStyle w:val="Normal"/></w:pPr>
<w:r><w:t xml:space="preserve">1896).  L. J. Morie&apos;s Histoire de l&apos;Ethiopie: Tome ii,</w:t></w:r>
</w:p>
<w:p>
<w:pPr><w:pStyle w:val="Normal"/></w:pPr>
<w:r><w:t xml:space="preserve">``L&apos;Abyssinie&apos;&apos; (Paris, 1904), is a comprehensive survey</w:t></w:r>
</w:p>
<w:p>
<w:pPr><w:pStyle w:val="Normal"/></w:pPr>
<w:r><w:t xml:space="preserve">(the views on modern affairs being coloured by a strong</w:t></w:r>
</w:p>
<w:p>
<w:pPr><w:pStyle w:val="Normal"/></w:pPr>
<w:r><w:t xml:space="preserve">anti-British bias). For more detailed historical study consult</w:t></w:r>
</w:p>
<w:p>
<w:pPr><w:pStyle w:val="Heading1"/></w:pPr>
<w:r><w:t>C. Beccari&apos;s Notizia e Saggi di opere e documenti inediti</w:t></w:r>
</w:p>
<w:p>
<w:pPr><w:pStyle w:val="Normal"/></w:pPr>
<w:r><w:t xml:space="preserve">riguardanti la Storia di Etiopia durante i Secoli XVI.,</w:t></w:r>
</w:p>
<w:p>
<w:pPr><w:pStyle w:val="Heading1"/></w:pPr>
<w:r><w:t>XVII. e XVIII. (Rome. 1903), a valuable guide to the period</w:t></w:r>
</w:p>
<w:p>
<w:pPr><w:pStyle w:val="Normal"/></w:pPr>
<w:r><w:t xml:space="preserve">indicated; E. Glaser, Die Abessinier in Arabien und Afrika</w:t></w:r>
</w:p>
<w:p>
<w:pPr><w:pStyle w:val="Normal"/></w:pPr>
<w:r><w:t xml:space="preserve">(Munich, 1895); The Portuguese Expedition to Abysinnia in</w:t></w:r>
</w:p>
<w:p>
<w:pPr><w:pStyle w:val="Normal"/></w:pPr>
<w:r><w:t xml:space="preserve">1541-1543 as narrated by Castanhoso (with the account of</w:t></w:r>
</w:p>
<w:p>
<w:pPr><w:pStyle w:val="Normal"/></w:pPr>
<w:r><w:t xml:space="preserve">Bermudez), translated and edited by R. S. Whiteway (London,</w:t></w:r>
</w:p>
<w:p>
<w:pPr><w:pStyle w:val="Normal"/></w:pPr>
<w:r><w:t xml:space="preserve">Hakluyt Society, 1902), which contains a bibliography; Futu</w:t></w:r>
</w:p>
<w:p>
<w:pPr><w:pStyle w:val="Normal"/></w:pPr>
<w:r><w:t xml:space="preserve">el-Habacha, a contemporary Arab chronicle of the wars of</w:t></w:r>
</w:p>
<w:p>
<w:pPr><w:pStyle w:val="Normal"/></w:pPr>
<w:r><w:t xml:space="preserve">Mahommed Gran, translated into French by Antoine d&apos;Abbadie</w:t></w:r>
</w:p>
<w:p>
<w:pPr><w:pStyle w:val="Normal"/></w:pPr>
<w:r><w:t xml:space="preserve">and P. Paulitschke (Paris,1898); A Voyage to Abyssinia by</w:t></w:r>
</w:p>
<w:p>
<w:pPr><w:pStyle w:val="Normal"/></w:pPr>
<w:r><w:t xml:space="preserve">Father Jerome Lobo, from the French [by Samuel Johnson]</w:t></w:r>
</w:p>
<w:p>
<w:pPr><w:pStyle w:val="Normal"/></w:pPr>
<w:r><w:t xml:space="preserve">(London, 1735); Record of the Expedition to Abyssinia, 3</w:t></w:r>
</w:p>
<w:p>
<w:pPr><w:pStyle w:val="Normal"/></w:pPr>
<w:r><w:t xml:space="preserve">vols., an official history of the war of 1868, by Major T. J.</w:t></w:r>
</w:p>
<w:p>
<w:pPr><w:pStyle w:val="Normal"/></w:pPr>
<w:r><w:t xml:space="preserve">Holland and Capt.  H. Hosier (London, 1870); Hormuzd Rassam,</w:t></w:r>
</w:p>
<w:p>
<w:pPr><w:pStyle w:val="Normal"/></w:pPr>
<w:r><w:t xml:space="preserve">Narrative of the British Mission to Theodore [1865-1868]</w:t></w:r>
</w:p>
<w:p>
<w:pPr><w:pStyle w:val="Normal"/></w:pPr>
<w:r><w:t xml:space="preserve">(2 vols., London, 1869); Henry Blanc, A Narrative of</w:t></w:r>
</w:p>
<w:p>
<w:pPr><w:pStyle w:val="Normal"/></w:pPr>
<w:r><w:t xml:space="preserve">Captivity in Abyssinia (London, 1868 ), by one of Theodore&apos;s</w:t></w:r>
</w:p>
<w:p>
<w:pPr><w:pStyle w:val="Normal"/></w:pPr>
<w:r><w:t xml:space="preserve">prisoners; Sir Gerald H. Portal, My Mission to Abyssinia</w:t></w:r>
</w:p>
<w:p>
<w:pPr><w:pStyle w:val="Normal"/></w:pPr>
<w:r><w:t xml:space="preserve">(London, 1892), an account of the author&apos;s embassy to King</w:t></w:r>
</w:p>
<w:p>
<w:pPr><w:pStyle w:val="Normal"/></w:pPr>
<w:r><w:t xml:space="preserve">John in 1887; Count A. E. W. Gleichen, With the Mission to</w:t></w:r>
</w:p>
<w:p>
<w:pPr><w:pStyle w:val="Normal"/></w:pPr>
<w:r><w:t xml:space="preserve">Menelik, 1897 (London, 1898), containing the story of the</w:t></w:r>
</w:p>
<w:p>
<w:pPr><w:pStyle w:val="Normal"/></w:pPr>
<w:r><w:t xml:space="preserve">Rennell Rodd mission; R. P. Skinner, Abyssinia of To-Day</w:t></w:r>
</w:p>
<w:p>
<w:pPr><w:pStyle w:val="Normal"/></w:pPr>
<w:r><w:t xml:space="preserve">(London, 1906), a record of the first American mission to the</w:t></w:r>
</w:p>
<w:p>
<w:pPr><w:pStyle w:val="Normal"/></w:pPr>
<w:r><w:t xml:space="preserve">country; G. F. H. Berkeley, The Campaign of Adowa and the</w:t></w:r>
</w:p>
<w:p>
<w:pPr><w:pStyle w:val="Normal"/></w:pPr>
<w:r><w:t xml:space="preserve">Rise of Menelik (London, 1902).  Books dealing with missionary</w:t></w:r>
</w:p>
<w:p>
<w:pPr><w:pStyle w:val="Normal"/></w:pPr>
<w:r><w:t xml:space="preserve">enterprise are---Journal of a Three Years&apos; Residence in</w:t></w:r>
</w:p>
<w:p>
<w:pPr><w:pStyle w:val="Normal"/></w:pPr>
<w:r><w:t xml:space="preserve">Abyssinia, by Bishop Samuel Gobat (London, 1834); J. L.</w:t></w:r>
</w:p>
<w:p>
<w:pPr><w:pStyle w:val="Normal"/></w:pPr>
<w:r><w:t xml:space="preserve">Krapf, Travels, Researches and Missionary Labours during</w:t></w:r>
</w:p>
<w:p>
<w:pPr><w:pStyle w:val="Normal"/></w:pPr>
<w:r><w:t xml:space="preserve">an 18 years&apos; residence in Eastern Africa (London, 1860);</w:t></w:r>
</w:p>
<w:p>
<w:pPr><w:pStyle w:val="Normal"/></w:pPr>
<w:r><w:t xml:space="preserve">Cardinal G. Massaja, I miei Trentacinque anni di Missione</w:t></w:r>
</w:p>
<w:p>
<w:pPr><w:pStyle w:val="Normal"/></w:pPr>
<w:r><w:t xml:space="preserve">nell&apos; Alta Etiopia (10 vols., Milan, 1886-1893).  Political</w:t></w:r>
</w:p>
<w:p>
<w:pPr><w:pStyle w:val="Normal"/></w:pPr>
<w:r><w:t xml:space="preserve">questions are referred to by T. Lennox Gilmour, Abyssinia:</w:t></w:r>
</w:p>
<w:p>
<w:pPr><w:pStyle w:val="Normal"/></w:pPr>
<w:r><w:t xml:space="preserve">the Ethiopian Railway and the Powers (London, 1906);</w:t></w:r>
</w:p>
<w:p>
<w:pPr><w:pStyle w:val="Normal"/></w:pPr>
<w:r><w:t xml:space="preserve">H. le Roux, Menelik et nous (Paris, 1901); Charles</w:t></w:r>
</w:p>
<w:p>
<w:pPr><w:pStyle w:val="Normal"/></w:pPr>
<w:r><w:t xml:space="preserve">Michel, La question d&apos;Ethiopie (Paris, 1905). (F. R. C.)</w:t></w:r>
</w:p>
<w:p>
<w:pPr><w:pStyle w:val="Normal"/></w:pPr>
<w:r><w:t xml:space="preserve">1 Since Theodore&apos;s time Protestant missionary</w:t></w:r>
</w:p>
<w:p>
<w:pPr><w:pStyle w:val="Normal"/></w:pPr>
<w:r><w:t xml:space="preserve">work, except by natives, has been stopped.</w:t></w:r>
</w:p>
<w:p>
<w:pPr><w:pStyle w:val="Normal"/></w:pPr>
<w:r><w:t xml:space="preserve">2 Menelek means ``a second self.&apos;&apos;</w:t></w:r>
</w:p>
<w:p>
<w:pPr><w:pStyle w:val="Normal"/></w:pPr>
<w:r><w:t xml:space="preserve">3 He was subsequently sent to school at Rugby, but</w:t></w:r>
</w:p>
<w:p>
<w:pPr><w:pStyle w:val="Normal"/></w:pPr>
<w:r><w:t xml:space="preserve">died in his nineteenth year, on the 14th of Nnvember</w:t></w:r>
</w:p>
<w:p>
<w:pPr><w:pStyle w:val="Normal"/></w:pPr>
<w:r><w:t xml:space="preserve">1879.  He was buried at St George&apos;s Chapel, Windsor.</w:t></w:r>
</w:p>
<w:p>
<w:pPr><w:pStyle w:val="Normal"/></w:pPr>
<w:r><w:t xml:space="preserve">4 A title variously translated.  A dejazmach (dejaj)</w:t></w:r>
</w:p>
<w:p>
<w:pPr><w:pStyle w:val="Normal"/></w:pPr>
<w:r><w:t xml:space="preserve">is a high official, ranking immediately belaw a ras,</w:t></w:r>
</w:p>
<w:p>
<w:pPr><w:pStyle w:val="Normal"/></w:pPr>
<w:r><w:t xml:space="preserve">5 The main object of this mission was to seek John&apos;s</w:t></w:r>
</w:p>
<w:p>
<w:pPr><w:pStyle w:val="Normal"/></w:pPr>
<w:r><w:t xml:space="preserve">assistance in evacuating the Egyptian garrisons in</w:t></w:r>
</w:p>
<w:p>
<w:pPr><w:pStyle w:val="Normal"/></w:pPr>
<w:r><w:t xml:space="preserve">the Sudan, which were threatened by the dervishes.</w:t></w:r>
</w:p>
<w:p>
<w:pPr><w:pStyle w:val="Normal"/></w:pPr>
<w:r><w:t xml:space="preserve">6/0 Ras Alula died February 1897, aged about 52. He had</w:t></w:r>
</w:p>
<w:p>
<w:pPr><w:pStyle w:val="Normal"/></w:pPr>
<w:r><w:t xml:space="preserve">raised himself by his military talents from being a groom and</w:t></w:r>
</w:p>
<w:p>
<w:pPr><w:pStyle w:val="Normal"/></w:pPr>
<w:r><w:t xml:space="preserve">private soldier to the position of generalissimo of the army.</w:t></w:r>
</w:p>
<w:p>
<w:pPr><w:pStyle w:val="Normal"/></w:pPr>
<w:r><w:t xml:space="preserve">7 Ras of Harrar, which province had been conquered</w:t></w:r>
</w:p>
<w:p>
<w:pPr><w:pStyle w:val="Normal"/></w:pPr>
<w:r><w:t xml:space="preserve">and occupied by Menelek in January 1887.</w:t></w:r>
</w:p>
<w:p>
<w:pPr><w:pStyle w:val="Normal"/></w:pPr>
<w:r><w:t xml:space="preserve">ABYSSINIAN CHURCH. As the chronicle of Axum relates,</w:t></w:r>
</w:p>
<w:p>
<w:pPr><w:pStyle w:val="Normal"/></w:pPr>
<w:r><w:t xml:space="preserve">Christianity was adopted in Abyssinia in the 4th century.</w:t></w:r>
</w:p>
<w:p>
<w:pPr><w:pStyle w:val="Normal"/></w:pPr>
<w:r><w:t xml:space="preserve">About A.D. 330 Frumentius was made first bishop of Ethiopia by</w:t></w:r>
</w:p>
<w:p>
<w:pPr><w:pStyle w:val="Normal"/></w:pPr>
<w:r><w:t xml:space="preserve">Athanasius, patriarch of Alexandria.  Cedrenus and Nicephorus</w:t></w:r>
</w:p>
<w:p>
<w:pPr><w:pStyle w:val="Normal"/></w:pPr>
<w:r><w:t xml:space="preserve">err in dating Abyssinian Christianity from Justinian, c.</w:t></w:r>
</w:p>
<w:p>
<w:pPr><w:pStyle w:val="Normal"/></w:pPr>
<w:r><w:t xml:space="preserve">542. From Frumentius to the present day, with one break, the</w:t></w:r>
</w:p>
<w:p>
<w:pPr><w:pStyle w:val="Normal"/></w:pPr>
<w:r><w:t xml:space="preserve">Metropolitan (Abuna) has always been appointed from Egypt,</w:t></w:r>
</w:p>
<w:p>
<w:pPr><w:pStyle w:val="Normal"/></w:pPr>
<w:r><w:t xml:space="preserve">and, oddly enough, he is always a foreigner.  Little is</w:t></w:r>
</w:p>
<w:p>
<w:pPr><w:pStyle w:val="Normal"/></w:pPr>
<w:r><w:t xml:space="preserve">known of church history down to the period of Jesuit rule,</w:t></w:r>
</w:p>
<w:p>
<w:pPr><w:pStyle w:val="Normal"/></w:pPr>
<w:r><w:t xml:space="preserve">which broke the connexion with Egypt from about 1500 to</w:t></w:r>
</w:p>
<w:p>
<w:pPr><w:pStyle w:val="Normal"/></w:pPr>
<w:r><w:t xml:space="preserve">1633.  But the Abyssinians rejected the council of Chalcedon,</w:t></w:r>
</w:p>
<w:p>
<w:pPr><w:pStyle w:val="Normal"/></w:pPr>
<w:r><w:t xml:space="preserve">and still remain monophysites.  Union with the Coptic Church</w:t></w:r>
</w:p>
<w:p>
<w:pPr><w:pStyle w:val="Normal"/></w:pPr>
<w:r><w:t xml:space="preserve">(q.v.) continued after the Arab conquest in Egypt.  Abu</w:t></w:r>
</w:p>
<w:p>
<w:pPr><w:pStyle w:val="Normal"/></w:pPr>
<w:r><w:t xml:space="preserve">Sallh records (12th century) that the patriarch used always to</w:t></w:r>
</w:p>
<w:p>
<w:pPr><w:pStyle w:val="Normal"/></w:pPr>
<w:r><w:t xml:space="preserve">send letters twice a year to the kings of Abyssinia and Nubia,</w:t></w:r>
</w:p>
<w:p>
<w:pPr><w:pStyle w:val="Normal"/></w:pPr>
<w:r><w:t xml:space="preserve">till Al Hakim stopped the practice.  Cyril, 67th patriarch,</w:t></w:r>
</w:p>
<w:p>
<w:pPr><w:pStyle w:val="Normal"/></w:pPr>
<w:r><w:t xml:space="preserve">sent Severus as bishop, with orders to put down polygamy</w:t></w:r>
</w:p>
<w:p>
<w:pPr><w:pStyle w:val="Normal"/></w:pPr>
<w:r><w:t xml:space="preserve">and to enforce observance of canonical consecration for all</w:t></w:r>
</w:p>
<w:p>
<w:pPr><w:pStyle w:val="Normal"/></w:pPr>
<w:r><w:t xml:space="preserve">churches.  These examples show the close relations of the two</w:t></w:r>
</w:p>
<w:p>
<w:pPr><w:pStyle w:val="Normal"/></w:pPr>
<w:r><w:t xml:space="preserve">churches in the Middle Ages.  But early in the 16th century</w:t></w:r>
</w:p>
<w:p>
<w:pPr><w:pStyle w:val="Normal"/></w:pPr>
<w:r><w:t xml:space="preserve">the church was brought under the influence of a Portuguese</w:t></w:r>
</w:p>
<w:p>
<w:pPr><w:pStyle w:val="Normal"/></w:pPr>
<w:r><w:t xml:space="preserve">mission.  In 1439, in the reign of Zara Yakub, a religious</w:t></w:r>
</w:p>
<w:p>
<w:pPr><w:pStyle w:val="Normal"/></w:pPr>
<w:r><w:t xml:space="preserve">discussion between an Abyssinian, Abba Giorgis, and a Frank</w:t></w:r>
</w:p>
<w:p>
<w:pPr><w:pStyle w:val="Normal"/></w:pPr>
<w:r><w:t xml:space="preserve">had led to the despatch of an embassy from Abyssinia to the</w:t></w:r>
</w:p>
<w:p>
<w:pPr><w:pStyle w:val="Normal"/></w:pPr>
<w:r><w:t xml:space="preserve">Vatican; but the initiative in the Roman Catholic missions</w:t></w:r>
</w:p>
<w:p>
<w:pPr><w:pStyle w:val="Normal"/></w:pPr>
<w:r><w:t xml:space="preserve">to Abyssinia was taken, not by Rome, but by Portugal, as an</w:t></w:r>
</w:p>
<w:p>
<w:pPr><w:pStyle w:val="Normal"/></w:pPr>
<w:r><w:t xml:space="preserve">incident in the struggle with the Mussulmans for the command</w:t></w:r>
</w:p>
<w:p>
<w:pPr><w:pStyle w:val="Normal"/></w:pPr>
<w:r><w:t xml:space="preserve">of the trade route to India by the Red Sea. In 1507 Matthew,</w:t></w:r>
</w:p>
<w:p>
<w:pPr><w:pStyle w:val="Normal"/></w:pPr>
<w:r><w:t xml:space="preserve">or Matheus, an Armenian, had been sent as Abyssinian envoy</w:t></w:r>
</w:p>
<w:p>
<w:pPr><w:pStyle w:val="Normal"/></w:pPr>
<w:r><w:t xml:space="preserve">to Portugal to ask aid against the Mussulmans, and in 1520</w:t></w:r>
</w:p>
<w:p>
<w:pPr><w:pStyle w:val="Normal"/></w:pPr>
<w:r><w:t xml:space="preserve">an embassy under Dom Rodrigo de Lima landed in Abyssinia.</w:t></w:r>
</w:p>
<w:p>
<w:pPr><w:pStyle w:val="Normal"/></w:pPr>
<w:r><w:t xml:space="preserve">An interesting account of this mission, which remained</w:t></w:r>
</w:p>
<w:p>
<w:pPr><w:pStyle w:val="Normal"/></w:pPr>
<w:r><w:t xml:space="preserve">for several years, was written by Francisco Alvarez, the</w:t></w:r>
</w:p>
<w:p>
<w:pPr><w:pStyle w:val="Normal"/></w:pPr>
<w:r><w:t xml:space="preserve">chaplain.  Later, Ignatius Loyola wished to essay the task</w:t></w:r>
</w:p>
<w:p>
<w:pPr><w:pStyle w:val="Normal"/></w:pPr>
<w:r><w:t xml:space="preserve">of conversion, but was forbidden.  Instead, the pope sent</w:t></w:r>
</w:p>
<w:p>
<w:pPr><w:pStyle w:val="Normal"/></w:pPr>
<w:r><w:t xml:space="preserve">out Joao Nunez Barreto as patriarch of the East Indies,</w:t></w:r>
</w:p>
<w:p>
<w:pPr><w:pStyle w:val="Normal"/></w:pPr>
<w:r><w:t xml:space="preserve">with Andre de Oviedo as bishop; and from Goa envoys went to</w:t></w:r>
</w:p>
<w:p>
<w:pPr><w:pStyle w:val="Normal"/></w:pPr>
<w:r><w:t xml:space="preserve">Abyssinia, followed by Oviedo himself, to secure the king&apos;s</w:t></w:r>
</w:p>
<w:p>
<w:pPr><w:pStyle w:val="Normal"/></w:pPr>
<w:r><w:t xml:space="preserve">adherence to Rome.  After repeated failures some measure of</w:t></w:r>
</w:p>
<w:p>
<w:pPr><w:pStyle w:val="Normal"/></w:pPr>
<w:r><w:t xml:space="preserve">success was achieved, but not till 1604 did the king make</w:t></w:r>
</w:p>
<w:p>
<w:pPr><w:pStyle w:val="Normal"/></w:pPr>
<w:r><w:t xml:space="preserve">formal submission to the pope.  Then the people rebelled and</w:t></w:r>
</w:p>
<w:p>
<w:pPr><w:pStyle w:val="Normal"/></w:pPr>
<w:r><w:t xml:space="preserve">the king was slain.  Fresh Jesuit victories were followed</w:t></w:r>
</w:p>
<w:p>
<w:pPr><w:pStyle w:val="Normal"/></w:pPr>
<w:r><w:t xml:space="preserve">sooner or later by fresh revolt, and Roman rule hardly</w:t></w:r>
</w:p>
<w:p>
<w:pPr><w:pStyle w:val="Normal"/></w:pPr>
<w:r><w:t xml:space="preserve">triumphed when once for all it was overthrown.  In 1633 the</w:t></w:r>
</w:p>
<w:p>
<w:pPr><w:pStyle w:val="Normal"/></w:pPr>
<w:r><w:t xml:space="preserve">Jesuits were expelled and allegiance to Alexandria resumed.</w:t></w:r>
</w:p>
<w:p>
<w:pPr><w:pStyle w:val="Normal"/></w:pPr>
<w:r><w:t xml:space="preserve">There are many early rock-cut churches in Abyssinia, closely</w:t></w:r>
</w:p>
<w:p>
<w:pPr><w:pStyle w:val="Normal"/></w:pPr>
<w:r><w:t xml:space="preserve">resembling the Coptic.  After these, two main types of</w:t></w:r>
</w:p>
<w:p>
<w:pPr><w:pStyle w:val="Normal"/></w:pPr>
<w:r><w:t xml:space="preserve">architecture are found--one basilican, the other native.  The</w:t></w:r>
</w:p>
<w:p>
<w:pPr><w:pStyle w:val="Normal"/></w:pPr>
<w:r><w:t xml:space="preserve">cathedral at Axum is basilican, though the early basilicas</w:t></w:r>
</w:p>
<w:p>
<w:pPr><w:pStyle w:val="Normal"/></w:pPr>
<w:r><w:t xml:space="preserve">are nearly all in ruin -e.g. that at Adulis and that of</w:t></w:r>
</w:p>
<w:p>
<w:pPr><w:pStyle w:val="Normal"/></w:pPr>
<w:r><w:t xml:space="preserve">Martula Mariam in Gojam, rebuilt in the 16th century on</w:t></w:r>
</w:p>
<w:p>
<w:pPr><w:pStyle w:val="Normal"/></w:pPr>
<w:r><w:t xml:space="preserve">the ancient foundations. These examples show the influence</w:t></w:r>
</w:p>
<w:p>
<w:pPr><w:pStyle w:val="Normal"/></w:pPr>
<w:r><w:t xml:space="preserve">of those architects who, in the 6th century, built the</w:t></w:r>
</w:p>
<w:p>
<w:pPr><w:pStyle w:val="Normal"/></w:pPr>
<w:r><w:t xml:space="preserve">splendid basilicas at Sanaa and elsewhere in Arabia.  Of</w:t></w:r>
</w:p>
<w:p>
<w:pPr><w:pStyle w:val="Normal"/></w:pPr>
<w:r><w:t xml:space="preserve">native churches there are two forms---one square or oblong,</w:t></w:r>
</w:p>
<w:p>
<w:pPr><w:pStyle w:val="Normal"/></w:pPr>
<w:r><w:t xml:space="preserve">found in Tigre; the other circular, found in Amhara and</w:t></w:r>
</w:p>
<w:p>
<w:pPr><w:pStyle w:val="Normal"/></w:pPr>
<w:r><w:t xml:space="preserve">Shoa.  In both, the sanctuary is square and stands clear in the</w:t></w:r>
</w:p>
<w:p>
<w:pPr><w:pStyle w:val="Normal"/></w:pPr>
<w:r><w:t xml:space="preserve">centre.  An outer court, circular or rectangular, surrounds the</w:t></w:r>
</w:p>
<w:p>
<w:pPr><w:pStyle w:val="Normal"/></w:pPr>
<w:r><w:t xml:space="preserve">body of the church.  The square type may be due to basilican</w:t></w:r>
</w:p>
<w:p>
<w:pPr><w:pStyle w:val="Normal"/></w:pPr>
<w:r><w:t xml:space="preserve">influence, the circular is a mere adaptation of the native</w:t></w:r>
</w:p>
<w:p>
<w:pPr><w:pStyle w:val="Normal"/></w:pPr>
<w:r><w:t xml:space="preserve">hut: in both, the arrangements are obviously based on Jewish</w:t></w:r>
</w:p>
<w:p>
<w:pPr><w:pStyle w:val="Normal"/></w:pPr>
<w:r><w:t xml:space="preserve">tradition.  Church and outer court are usually thatched,</w:t></w:r>
</w:p>
<w:p>
<w:pPr><w:pStyle w:val="Normal"/></w:pPr>
<w:r><w:t xml:space="preserve">with wattled or mud-built walls adorned with rude frescoes.</w:t></w:r>
</w:p>
<w:p>
<w:pPr><w:pStyle w:val="Normal"/></w:pPr>
<w:r><w:t xml:space="preserve">The altar is a board on four wooden pillars having upon</w:t></w:r>
</w:p>
<w:p>
<w:pPr><w:pStyle w:val="Normal"/></w:pPr>
<w:r><w:t xml:space="preserve">it a small slab (tabut) of alabaster, marble, or shittim</w:t></w:r>
</w:p>
<w:p>
<w:pPr><w:pStyle w:val="Normal"/></w:pPr>
<w:r><w:t xml:space="preserve">wood, which forms its essential part.  At Martula Mariam,</w:t></w:r>
</w:p>
<w:p>
<w:pPr><w:pStyle w:val="Normal"/></w:pPr>
<w:r><w:t xml:space="preserve">the wooden altar overlaid with gold had two slabs of solid</w:t></w:r>
</w:p>
<w:p>
<w:pPr><w:pStyle w:val="Normal"/></w:pPr>
<w:r><w:t xml:space="preserve">gold, one 500, the other 800 ounces in weight.  The ark kept</w:t></w:r>
</w:p>
<w:p>
<w:pPr><w:pStyle w:val="Normal"/></w:pPr>
<w:r><w:t xml:space="preserve">at Axum is described as 2 feet high, covered with gold and</w:t></w:r>
</w:p>
<w:p>
<w:pPr><w:pStyle w:val="Normal"/></w:pPr>
<w:r><w:t xml:space="preserve">gems.  The liturgy was celebrated on it in the king&apos;s palace</w:t></w:r>
</w:p>
<w:p>
<w:pPr><w:pStyle w:val="Normal"/></w:pPr>
<w:r><w:t xml:space="preserve">at Christmas, Epiphany, Easter and Feast of the Cross.</w:t></w:r>
</w:p>
<w:p>
<w:pPr><w:pStyle w:val="Normal"/></w:pPr>
<w:r><w:t xml:space="preserve">Generally the Abyssinians agree with the Copts in ritual and</w:t></w:r>
</w:p>
<w:p>
<w:pPr><w:pStyle w:val="Normal"/></w:pPr>
<w:r><w:t xml:space="preserve">practice.  The LXX. version was translated into Geez, the</w:t></w:r>
</w:p>
<w:p>
<w:pPr><w:pStyle w:val="Normal"/></w:pPr>
<w:r><w:t xml:space="preserve">literary language, which is used for all services, though hardly</w:t></w:r>
</w:p>
<w:p>
<w:pPr><w:pStyle w:val="Normal"/></w:pPr>
<w:r><w:t xml:space="preserve">understood.  Saints and angels are highly revered, if not adored,</w:t></w:r>
</w:p>
<w:p>
<w:pPr><w:pStyle w:val="Normal"/></w:pPr>
<w:r><w:t xml:space="preserve">but graven images are forbidden.  Fasts are long and rigid.</w:t></w:r>
</w:p>
<w:p>
<w:pPr><w:pStyle w:val="Normal"/></w:pPr>
<w:r><w:t xml:space="preserve">Confession and absolution, strictly enforced, give great power</w:t></w:r>
</w:p>
<w:p>
<w:pPr><w:pStyle w:val="Normal"/></w:pPr>
<w:r><w:t xml:space="preserve">to the priesthood.  The clergy must marry, but once only.</w:t></w:r>
</w:p>
<w:p>
<w:pPr><w:pStyle w:val="Normal"/></w:pPr>
<w:r><w:t xml:space="preserve">Pilgrimage to Jerusalem is a religious duty and covers many sins.</w:t></w:r>
</w:p>
<w:p>
<w:pPr><w:pStyle w:val="Normal"/></w:pPr>
<w:r><w:t xml:space="preserve">AUTHORITIES.--Tellez, Historia de Ethiopia (Coimbra,</w:t></w:r>
</w:p>
<w:p>
<w:pPr><w:pStyle w:val="Normal"/></w:pPr>
<w:r><w:t xml:space="preserve">1660); Alvarez, translated and edited for the Hakluyt Soc.</w:t></w:r>
</w:p>
<w:p>
<w:pPr><w:pStyle w:val="Normal"/></w:pPr>
<w:r><w:t xml:space="preserve">by Lord Stanley of Aderley, under the title Narrative</w:t></w:r>
</w:p>
<w:p>
<w:pPr><w:pStyle w:val="Normal"/></w:pPr>
<w:r><w:t xml:space="preserve">of the Portuguese Embassy to Abyssinia (London, 1881);</w:t></w:r>
</w:p>
<w:p>
<w:pPr><w:pStyle w:val="Normal"/></w:pPr>
<w:r><w:t xml:space="preserve">Ludolphus, History of Ethiopia (London, 1684, and other</w:t></w:r>
</w:p>
<w:p>
<w:pPr><w:pStyle w:val="Normal"/></w:pPr>
<w:r><w:t xml:space="preserve">works); T. Wright, Christianity of Arabia (London, 1855);</w:t></w:r>
</w:p>
<w:p>
<w:pPr><w:pStyle w:val="Heading1"/></w:pPr>
<w:r><w:t>C. T. Beke, ``Christianity among the Gallas,&apos;&apos; Brit.  Mag.</w:t></w:r>
</w:p>
<w:p>
<w:pPr><w:pStyle w:val="Normal"/></w:pPr>
<w:r><w:t xml:space="preserve">(London, 1847); J. C. Hotten, Abyssinia Described (London,</w:t></w:r>
</w:p>
<w:p>
<w:pPr><w:pStyle w:val="Normal"/></w:pPr>
<w:r><w:t xml:space="preserve">1868); ``Abyssinian Church Architecture,&apos;&apos; Royal Inst.</w:t></w:r>
</w:p>
<w:p>
<w:pPr><w:pStyle w:val="Normal"/></w:pPr>
<w:r><w:t xml:space="preserve">Brit.  Arch.  Transactions, 1869; Ibid. Journal, March</w:t></w:r>
</w:p>
<w:p>
<w:pPr><w:pStyle w:val="Normal"/></w:pPr>
<w:r><w:t xml:space="preserve">1897; Archaeologia, vol. xxxii.; J. A. de Graca Barreto,</w:t></w:r>
</w:p>
<w:p>
<w:pPr><w:pStyle w:val="Normal"/></w:pPr>
<w:r><w:t xml:space="preserve">Documenta historiam ecclesiae Habessinarum illustrantia</w:t></w:r>
</w:p>
<w:p>
<w:pPr><w:pStyle w:val="Normal"/></w:pPr>
<w:r><w:t xml:space="preserve">(Olivipone, 1879); E. F. Kromrei, Glaubenlehre und Gebrauche</w:t></w:r>
</w:p>
<w:p>
<w:pPr><w:pStyle w:val="Normal"/></w:pPr>
<w:r><w:t xml:space="preserve">der alteren Abessinischen Kirche (Leipzig, 1895); F. M. E.</w:t></w:r>
</w:p>
<w:p>
<w:pPr><w:pStyle w:val="Normal"/></w:pPr>
<w:r><w:t xml:space="preserve">Pereira, Vida do Abba Samuel (Lisbon, 1894); Idem, Vida do</w:t></w:r>
</w:p>
<w:p>
<w:pPr><w:pStyle w:val="Normal"/></w:pPr>
<w:r><w:t xml:space="preserve">Abba Daniel (Lisbon, 1897); Idem, Historia dos Martyres de</w:t></w:r>
</w:p>
<w:p>
<w:pPr><w:pStyle w:val="Normal"/></w:pPr>
<w:r><w:t xml:space="preserve">Nagran (Lisbon, 1899); Idem, Chronica de Susenyos (Lisbon,</w:t></w:r>
</w:p>
<w:p>
<w:pPr><w:pStyle w:val="Normal"/></w:pPr>
<w:r><w:t xml:space="preserve">text 1892, tr. and notes 1900); Idem, Martyrio de Abba Isaac</w:t></w:r>
</w:p>
<w:p>
<w:pPr><w:pStyle w:val="Normal"/></w:pPr>
<w:r><w:t xml:space="preserve">(Coimbra, 1909); Idem, Vida de S. Paulo de Thebas (Coimbra,</w:t></w:r>
</w:p>
<w:p>
<w:pPr><w:pStyle w:val="Normal"/></w:pPr>
<w:r><w:t xml:space="preserve">1904); Archdeacon Dowling, The Abyssinian Church, (London,</w:t></w:r>
</w:p>
<w:p>
<w:pPr><w:pStyle w:val="Normal"/></w:pPr>
<w:r><w:t xml:space="preserve">1909); and periodicals as under COPTIC CHURCH. (A. J. B.)</w:t></w:r>
</w:p>
<w:p>
<w:pPr><w:pStyle w:val="Normal"/></w:pPr>
<w:r><w:t xml:space="preserve">ACACIA, a genus of shrubs and trees belonging to the family</w:t></w:r>
</w:p>
<w:p>
<w:pPr><w:pStyle w:val="Normal"/></w:pPr>
<w:r><w:t xml:space="preserve">Leguminosae and the sub-family Mimoseae.  The small flowers</w:t></w:r>
</w:p>
<w:p>
<w:pPr><w:pStyle w:val="Normal"/></w:pPr>
<w:r><w:t xml:space="preserve">are arranged in rounded or elongated clusters.  The leaves are</w:t></w:r>
</w:p>
<w:p>
<w:pPr><w:pStyle w:val="Normal"/></w:pPr>
<w:r><w:t xml:space="preserve">compound pinnate in general (see fig.).  In some instances,</w:t></w:r>
</w:p>
<w:p>
<w:pPr><w:pStyle w:val="Normal"/></w:pPr>
<w:r><w:t xml:space="preserve">however, more especially in the Australian species, the leaflets</w:t></w:r>
</w:p>
<w:p>
<w:pPr><w:pStyle w:val="Normal"/></w:pPr>
<w:r><w:t xml:space="preserve">are suppressed and the leaf-stalks become vertically flattened,</w:t></w:r>
</w:p>
<w:p>
<w:pPr><w:pStyle w:val="Normal"/></w:pPr>
<w:r><w:t xml:space="preserve">and serve the purpose of leaves. The vertical position protects</w:t></w:r>
</w:p>
<w:p>
<w:pPr><w:pStyle w:val="Normal"/></w:pPr>
<w:r><w:t xml:space="preserve">the structure from the intense sunlight, as with their</w:t></w:r>
</w:p>
<w:p>
<w:pPr><w:pStyle w:val="Normal"/></w:pPr>
<w:r><w:t xml:space="preserve">edges towards the sky and earth they do not intercept light</w:t></w:r>
</w:p>
<w:p>
<w:pPr><w:pStyle w:val="Normal"/></w:pPr>
<w:r><w:t xml:space="preserve">so fully as ordinary horizontally placed leaves.  There</w:t></w:r>
</w:p>
<w:p>
<w:pPr><w:pStyle w:val="Normal"/></w:pPr>
<w:r><w:t xml:space="preserve">are about 450 species of acacia widely scattered over the</w:t></w:r>
</w:p>
<w:p>
<w:pPr><w:pStyle w:val="Normal"/></w:pPr>
<w:r><w:t xml:space="preserve">warmer regions of the globe. They abound in Australia and</w:t></w:r>
</w:p>
<w:p>
<w:pPr><w:pStyle w:val="Normal"/></w:pPr>
<w:r><w:t xml:space="preserve">Africa.  Various species yield gum.  True gum-arabic is the</w:t></w:r>
</w:p>
<w:p>
<w:pPr><w:pStyle w:val="Normal"/></w:pPr>
<w:r><w:t xml:space="preserve">product of Acacia Senegal, abundant in both east and west</w:t></w:r>
</w:p>
<w:p>
<w:pPr><w:pStyle w:val="Normal"/></w:pPr>
<w:r><w:t xml:space="preserve">tropical Africa. Acacia arabica is the gum-arabic tree of</w:t></w:r>
</w:p>
<w:p>
<w:pPr><w:pStyle w:val="Normal"/></w:pPr>
<w:r><w:t xml:space="preserve">India, but yields a gum inferior to the true gum-arabic.</w:t></w:r>
</w:p>
<w:p>
<w:pPr><w:pStyle w:val="Normal"/></w:pPr>
<w:r><w:t xml:space="preserve">An astringent medicine, called catechu (q.v.) or cutch,</w:t></w:r>
</w:p>
<w:p>
<w:pPr><w:pStyle w:val="Normal"/></w:pPr>
<w:r><w:t xml:space="preserve">is procured from several species, but more especially from</w:t></w:r>
</w:p>
<w:p>
<w:pPr><w:pStyle w:val="Normal"/></w:pPr>
<w:r><w:t xml:space="preserve">Acacia catechu, by boiling down the wood and evaporating</w:t></w:r>
</w:p>
<w:p>
<w:pPr><w:pStyle w:val="Normal"/></w:pPr>
<w:r><w:t xml:space="preserve">the solution so as to get an extract.  The bark of Acacia</w:t></w:r>
</w:p>
<w:p>
<w:pPr><w:pStyle w:val="Normal"/></w:pPr>
<w:r><w:t xml:space="preserve">arabica, under the name of babul or babool, is used</w:t></w:r>
</w:p>
<w:p>
<w:pPr><w:pStyle w:val="Normal"/></w:pPr>
<w:r><w:t xml:space="preserve">in Scinde for tanning. The bark of various Australian</w:t></w:r>
</w:p>
<w:p>
<w:pPr><w:pStyle w:val="Normal"/></w:pPr>
<w:r><w:t xml:space="preserve">species, known as wattles, is also very rich in tannin</w:t></w:r>
</w:p>
<w:p>
<w:pPr><w:pStyle w:val="Normal"/></w:pPr>
<w:r><w:t xml:space="preserve">and forms an important article of export. Such are Acacia</w:t></w:r>
</w:p>
<w:p>
<w:pPr><w:pStyle w:val="Normal"/></w:pPr>
<w:r><w:t xml:space="preserve">pycnantha, golden wattle, A. decurrens, tan wattle, and A.</w:t></w:r>
</w:p>
<w:p>
<w:pPr><w:pStyle w:val="Normal"/></w:pPr>
<w:r><w:t xml:space="preserve">dealbata, silver wattle.  The pods of Acacia nilotica,</w:t></w:r>
</w:p>
<w:p>
<w:pPr><w:pStyle w:val="Normal"/></w:pPr>
<w:r><w:t xml:space="preserve">under the name of neb-neb, and of other African species</w:t></w:r>
</w:p>
<w:p>
<w:pPr><w:pStyle w:val="Normal"/></w:pPr>
<w:r><w:t xml:space="preserve">Acacia Senegal, flowering branch, natural size (after A. Meyer</w:t></w:r>
</w:p>
<w:p>
<w:pPr><w:pStyle w:val="Normal"/></w:pPr>
<w:r><w:t xml:space="preserve">and Schumann).</w:t></w:r>
</w:p>
<w:p>
<w:pPr><w:pStyle w:val="Normal"/></w:pPr>
<w:r><w:t xml:space="preserve">From Strasburger&apos;s Lehrbuch der Botanik.</w:t></w:r>
</w:p>
<w:p>
<w:pPr><w:pStyle w:val="Normal"/></w:pPr>
<w:r><w:t xml:space="preserve">is rich in tannin and used by tanners.  The seeds of Acacia</w:t></w:r>
</w:p>
<w:p>
<w:pPr><w:pStyle w:val="Normal"/></w:pPr>
<w:r><w:t xml:space="preserve">niopo are roasted and used as snuff in South America.</w:t></w:r>
</w:p>
<w:p>
<w:pPr><w:pStyle w:val="Normal"/></w:pPr>
<w:r><w:t xml:space="preserve">Some species afford valuable timber; such are Acacia</w:t></w:r>
</w:p>
<w:p>
<w:pPr><w:pStyle w:val="Normal"/></w:pPr>
<w:r><w:t xml:space="preserve">melanoxylon, black wood of Australia, which attains a great</w:t></w:r>
</w:p>
<w:p>
<w:pPr><w:pStyle w:val="Normal"/></w:pPr>
<w:r><w:t xml:space="preserve">size; its wood is used for furniture, and takes a high</w:t></w:r>
</w:p>
<w:p>
<w:pPr><w:pStyle w:val="Normal"/></w:pPr>
<w:r><w:t xml:space="preserve">polish; and Acacia homalophylla (also Australian), myall</w:t></w:r>
</w:p>
<w:p>
<w:pPr><w:pStyle w:val="Normal"/></w:pPr>
<w:r><w:t xml:space="preserve">wood, which yields a fragrant timber, used for ornamental</w:t></w:r>
</w:p>
<w:p>
<w:pPr><w:pStyle w:val="Normal"/></w:pPr>
<w:r><w:t xml:space="preserve">purposes. Acacia formosa supplies the valuable Cuba timber</w:t></w:r>
</w:p>
<w:p>
<w:pPr><w:pStyle w:val="Normal"/></w:pPr>
<w:r><w:t xml:space="preserve">called sabicu. Acacia seyal is supposed to be the shittah</w:t></w:r>
</w:p>
<w:p>
<w:pPr><w:pStyle w:val="Normal"/></w:pPr>
<w:r><w:t xml:space="preserve">tree of the Bible, which supplied shittim-wood. Acacia</w:t></w:r>
</w:p>
<w:p>
<w:pPr><w:pStyle w:val="Normal"/></w:pPr>
<w:r><w:t xml:space="preserve">heterophylla, from Mauritius and Bourbon, and Acacia koa</w:t></w:r>
</w:p>
<w:p>
<w:pPr><w:pStyle w:val="Normal"/></w:pPr>
<w:r><w:t xml:space="preserve">from the Sandwich Islands are also good timber trees.  The</w:t></w:r>
</w:p>
<w:p>
<w:pPr><w:pStyle w:val="Normal"/></w:pPr>
<w:r><w:t xml:space="preserve">plants often bear spines, especially those growing in arid</w:t></w:r>
</w:p>
<w:p>
<w:pPr><w:pStyle w:val="Normal"/></w:pPr>
<w:r><w:t xml:space="preserve">districts in Australia or tropical and South Africa.  These</w:t></w:r>
</w:p>
<w:p>
<w:pPr><w:pStyle w:val="Normal"/></w:pPr>
<w:r><w:t xml:space="preserve">sometimes represent branches which have become short, hard</w:t></w:r>
</w:p>
<w:p>
<w:pPr><w:pStyle w:val="Normal"/></w:pPr>
<w:r><w:t xml:space="preserve">and pungent, or sometimes leaf-stipules. Acacia armata is</w:t></w:r>
</w:p>
<w:p>
<w:pPr><w:pStyle w:val="Normal"/></w:pPr>
<w:r><w:t xml:space="preserve">the kangaroo-thorn of Australia, A. giraffae, the African</w:t></w:r>
</w:p>
<w:p>
<w:pPr><w:pStyle w:val="Normal"/></w:pPr>
<w:r><w:t xml:space="preserve">camelthorn.  In the Central American Acacia sphaerocephala</w:t></w:r>
</w:p>
<w:p>
<w:pPr><w:pStyle w:val="Normal"/></w:pPr>
<w:r><w:t xml:space="preserve">(bullthorn acacia) and A. spadicigera, the large thorn-like</w:t></w:r>
</w:p>
<w:p>
<w:pPr><w:pStyle w:val="Normal"/></w:pPr>
<w:r><w:t xml:space="preserve">stipules are hollow and afford shelter for ants, which feed on</w:t></w:r>
</w:p>
<w:p>
<w:pPr><w:pStyle w:val="Normal"/></w:pPr>
<w:r><w:t xml:space="preserve">a secretion of honey on the leaf-stalk and curious food-bodies</w:t></w:r>
</w:p>
<w:p>
<w:pPr><w:pStyle w:val="Normal"/></w:pPr>
<w:r><w:t xml:space="preserve">at the tips of the leaflets; in return they protect the</w:t></w:r>
</w:p>
<w:p>
<w:pPr><w:pStyle w:val="Normal"/></w:pPr>
<w:r><w:t xml:space="preserve">plant against leaf-cutting insects.  In common language the</w:t></w:r>
</w:p>
<w:p>
<w:pPr><w:pStyle w:val="Normal"/></w:pPr>
<w:r><w:t xml:space="preserve">term Acacia is often applied to species of the genus Robinia</w:t></w:r>
</w:p>
<w:p>
<w:pPr><w:pStyle w:val="Normal"/></w:pPr>
<w:r><w:t xml:space="preserve">(q.v.) which belongs also to the Leguminous family, but</w:t></w:r>
</w:p>
<w:p>
<w:pPr><w:pStyle w:val="Normal"/></w:pPr>
<w:r><w:t xml:space="preserve">is placed in a different section. Robinia Pseud-acacia,</w:t></w:r>
</w:p>
<w:p>
<w:pPr><w:pStyle w:val="Normal"/></w:pPr>
<w:r><w:t xml:space="preserve">or false acacia, is cultivated in the milder parts of</w:t></w:r>
</w:p>
<w:p>
<w:pPr><w:pStyle w:val="Normal"/></w:pPr>
<w:r><w:t xml:space="preserve">Britain, and forms a large tree, with beautiful pea-like</w:t></w:r>
</w:p>
<w:p>
<w:pPr><w:pStyle w:val="Normal"/></w:pPr>
<w:r><w:t xml:space="preserve">blossoms. The tree is sometimes called the locust tree.</w:t></w:r>
</w:p>
<w:p>
<w:pPr><w:pStyle w:val="Normal"/></w:pPr>
<w:r><w:t xml:space="preserve">ACADEMIES. The word ``academy&apos;&apos; is derived from ``the</w:t></w:r>
</w:p>
<w:p>
<w:pPr><w:pStyle w:val="Normal"/></w:pPr>
<w:r><w:t xml:space="preserve">olive grove of Academe, Plato&apos;s retirement,&apos;&apos; the birthplace</w:t></w:r>
</w:p>
<w:p>
<w:pPr><w:pStyle w:val="Normal"/></w:pPr>
<w:r><w:t xml:space="preserve">of the Academic school of philosophy (see under ACADEMY,</w:t></w:r>
</w:p>
<w:p>
<w:pPr><w:pStyle w:val="Normal"/></w:pPr>
<w:r><w:t xml:space="preserve">GREEK).  The schools of Athens after the model of the</w:t></w:r>
</w:p>
<w:p>
<w:pPr><w:pStyle w:val="Normal"/></w:pPr>
<w:r><w:t xml:space="preserve">Academy continued to flourish almost without a break for</w:t></w:r>
</w:p>
<w:p>
<w:pPr><w:pStyle w:val="Normal"/></w:pPr>
<w:r><w:t xml:space="preserve">nine centuries till they were abolished by a decree of</w:t></w:r>
</w:p>
<w:p>
<w:pPr><w:pStyle w:val="Normal"/></w:pPr>
<w:r><w:t xml:space="preserve">Justinian.  It was not without significance in tracing the</w:t></w:r>
</w:p>
<w:p>
<w:pPr><w:pStyle w:val="Normal"/></w:pPr>
<w:r><w:t xml:space="preserve">history of the word that Cicero gave the name to his villa near</w:t></w:r>
</w:p>
<w:p>
<w:pPr><w:pStyle w:val="Normal"/></w:pPr>
<w:r><w:t xml:space="preserve">Puteoli.  It was there that he entertained his cultured</w:t></w:r>
</w:p>
<w:p>
<w:pPr><w:pStyle w:val="Normal"/></w:pPr>
<w:r><w:t xml:space="preserve">friends and held the symposia which he afterwards elaborated in</w:t></w:r>
</w:p>
<w:p>
<w:pPr><w:pStyle w:val="Normal"/></w:pPr>
<w:r><w:t xml:space="preserve">Academic Questions and other philosophic and moral dialogues.</w:t></w:r>
</w:p>
<w:p>
<w:pPr><w:pStyle w:val="Normal"/></w:pPr>
<w:r><w:t xml:space="preserve">``Academy,&apos;&apos; in its modern acceptation, may be defined</w:t></w:r>
</w:p>
<w:p>
<w:pPr><w:pStyle w:val="Normal"/></w:pPr>
<w:r><w:t xml:space="preserve">as a society or corporate body having for its object the</w:t></w:r>
</w:p>
<w:p>
<w:pPr><w:pStyle w:val="Normal"/></w:pPr>
<w:r><w:t xml:space="preserve">cultivation and promotion of literature, of science and</w:t></w:r>
</w:p>
<w:p>
<w:pPr><w:pStyle w:val="Normal"/></w:pPr>
<w:r><w:t xml:space="preserve">of art, either severally or in combination, undertaken</w:t></w:r>
</w:p>
<w:p>
<w:pPr><w:pStyle w:val="Normal"/></w:pPr>
<w:r><w:t xml:space="preserve">for the pure love of these pursuits, with no interested</w:t></w:r>
</w:p>
<w:p>
<w:pPr><w:pStyle w:val="Normal"/></w:pPr>
<w:r><w:t xml:space="preserve">motive.  Modern academies, moreover, have, almost without</w:t></w:r>
</w:p>
<w:p>
<w:pPr><w:pStyle w:val="Normal"/></w:pPr>
<w:r><w:t xml:space="preserve">exception, some form of public recognition; they are either</w:t></w:r>
</w:p>
<w:p>
<w:pPr><w:pStyle w:val="Normal"/></w:pPr>
<w:r><w:t xml:space="preserve">founded or endowed, or subsidized, or at least patronized,</w:t></w:r>
</w:p>
<w:p>
<w:pPr><w:pStyle w:val="Normal"/></w:pPr>
<w:r><w:t xml:space="preserve">by the sovereign of the state.  The term ``academy&apos;&apos; is</w:t></w:r>
</w:p>
<w:p>
<w:pPr><w:pStyle w:val="Normal"/></w:pPr>
<w:r><w:t xml:space="preserve">very loosely used in modern times; and, in essentials, other</w:t></w:r>
</w:p>
<w:p>
<w:pPr><w:pStyle w:val="Normal"/></w:pPr>
<w:r><w:t xml:space="preserve">bodies with the title of ``society&apos;&apos; or ``college,&apos;&apos; or even</w:t></w:r>
</w:p>
<w:p>
<w:pPr><w:pStyle w:val="Normal"/></w:pPr>
<w:r><w:t xml:space="preserve">``school,&apos;&apos; often embody the same idea; we are only concerned</w:t></w:r>
</w:p>
<w:p>
<w:pPr><w:pStyle w:val="Normal"/></w:pPr>
<w:r><w:t xml:space="preserve">here, however, with those which, bearing the title of academy,</w:t></w:r>
</w:p>
<w:p>
<w:pPr><w:pStyle w:val="Normal"/></w:pPr>
<w:r><w:t xml:space="preserve">are of historical importance in their various spheres.</w:t></w:r>
</w:p>
<w:p>
<w:pPr><w:pStyle w:val="Normal"/></w:pPr>
<w:r><w:t xml:space="preserve">Early History.---The first academy, as thus defined,</w:t></w:r>
</w:p>
<w:p>
<w:pPr><w:pStyle w:val="Normal"/></w:pPr>
<w:r><w:t xml:space="preserve">though it might with equal justice claim to be the first</w:t></w:r>
</w:p>
<w:p>
<w:pPr><w:pStyle w:val="Normal"/></w:pPr>
<w:r><w:t xml:space="preserve">of universities, was the museum of Alexandria founded at</w:t></w:r>
</w:p>
<w:p>
<w:pPr><w:pStyle w:val="Normal"/></w:pPr>
<w:r><w:t xml:space="preserve">the beginning of the 3rd century B.C. by the first of</w:t></w:r>
</w:p>
<w:p>
<w:pPr><w:pStyle w:val="Normal"/></w:pPr>
<w:r><w:t xml:space="preserve">the Ptolemies.  There all the sciences then known were</w:t></w:r>
</w:p>
<w:p>
<w:pPr><w:pStyle w:val="Normal"/></w:pPr>
<w:r><w:t xml:space="preserve">pursued, and the most learned men of Greece and of the</w:t></w:r>
</w:p>
<w:p>
<w:pPr><w:pStyle w:val="Normal"/></w:pPr>
<w:r><w:t xml:space="preserve">East gathered beneath its spacious porticos.  Here, too,</w:t></w:r>
</w:p>
<w:p>
<w:pPr><w:pStyle w:val="Normal"/></w:pPr>
<w:r><w:t xml:space="preserve">was the nucleus of the famous library of Alexandria.</w:t></w:r>
</w:p>
<w:p>
<w:pPr><w:pStyle w:val="Normal"/></w:pPr>
<w:r><w:t xml:space="preserve">Passing over the state institute for the promotion of</w:t></w:r>
</w:p>
<w:p>
<w:pPr><w:pStyle w:val="Normal"/></w:pPr>
<w:r><w:t xml:space="preserve">science founded at Constantinople by Caesar Bardas in the</w:t></w:r>
</w:p>
<w:p>
<w:pPr><w:pStyle w:val="Normal"/></w:pPr>
<w:r><w:t xml:space="preserve">9th century, and the various academies established by the</w:t></w:r>
</w:p>
<w:p>
<w:pPr><w:pStyle w:val="Normal"/></w:pPr>
<w:r><w:t xml:space="preserve">Moors at Granada, at Corduba and as far east as Samarkand,</w:t></w:r>
</w:p>
<w:p>
<w:pPr><w:pStyle w:val="Normal"/></w:pPr>
<w:r><w:t xml:space="preserve">we come to the academy over which Alcuin presided, a branch</w:t></w:r>
</w:p>
<w:p>
<w:pPr><w:pStyle w:val="Normal"/></w:pPr>
<w:r><w:t xml:space="preserve">of the School of the Palace established by Charlemagne in</w:t></w:r>
</w:p>
<w:p>
<w:pPr><w:pStyle w:val="Normal"/></w:pPr>
<w:r><w:t xml:space="preserve">782. This academy was the prototype of the learned coteries</w:t></w:r>
</w:p>
<w:p>
<w:pPr><w:pStyle w:val="Normal"/></w:pPr>
<w:r><w:t xml:space="preserve">of Paris which Moliere afterwards satirized.  It took</w:t></w:r>
</w:p>
<w:p>
<w:pPr><w:pStyle w:val="Normal"/></w:pPr>
<w:r><w:t xml:space="preserve">all knowledge for its province; it included the learned</w:t></w:r>
</w:p>
<w:p>
<w:pPr><w:pStyle w:val="Normal"/></w:pPr>
<w:r><w:t xml:space="preserve">priest and the prince who could not write his own name,</w:t></w:r>
</w:p>
<w:p>
<w:pPr><w:pStyle w:val="Normal"/></w:pPr>
<w:r><w:t xml:space="preserve">and it sought to solve all problems by witty definitions.</w:t></w:r>
</w:p>
<w:p>
<w:pPr><w:pStyle w:val="Normal"/></w:pPr>
<w:r><w:t xml:space="preserve">The David of Alcuin&apos;s academy (such was the name that the</w:t></w:r>
</w:p>
<w:p>
<w:pPr><w:pStyle w:val="Normal"/></w:pPr>
<w:r><w:t xml:space="preserve">emperor assumed) found no successors or imitators, and the</w:t></w:r>
</w:p>
<w:p>
<w:pPr><w:pStyle w:val="Normal"/></w:pPr>
<w:r><w:t xml:space="preserve">tradition of an Oxford academy of Alfred the Great has been</w:t></w:r>
</w:p>
<w:p>
<w:pPr><w:pStyle w:val="Normal"/></w:pPr>
<w:r><w:t xml:space="preserve">proved to rest on a forgery.  The academy of arts founded</w:t></w:r>
</w:p>
<w:p>
<w:pPr><w:pStyle w:val="Normal"/></w:pPr>
<w:r><w:t xml:space="preserve">at Florence in 1270 by Brunetto Latini was short-lived and</w:t></w:r>
</w:p>
<w:p>
<w:pPr><w:pStyle w:val="Normal"/></w:pPr>
<w:r><w:t xml:space="preserve">has left no memories, and modern literary academies may</w:t></w:r>
</w:p>
<w:p>
<w:pPr><w:pStyle w:val="Normal"/></w:pPr>
<w:r><w:t xml:space="preserve">be said to trace their lineage in direct descent from the</w:t></w:r>
</w:p>
<w:p>
<w:pPr><w:pStyle w:val="Normal"/></w:pPr>
<w:r><w:t xml:space="preserve">troubadours of the early 14th century.  The first Floral</w:t></w:r>
</w:p>
<w:p>
<w:pPr><w:pStyle w:val="Normal"/></w:pPr>
<w:r><w:t xml:space="preserve">Games were held at Toulouse in May 1324, at the summons of a</w:t></w:r>
</w:p>
<w:p>
<w:pPr><w:pStyle w:val="Normal"/></w:pPr>
<w:r><w:t xml:space="preserve">gild of troubadours, who invited ``honourable lords, friends</w:t></w:r>
</w:p>
<w:p>
<w:pPr><w:pStyle w:val="Normal"/></w:pPr>
<w:r><w:t xml:space="preserve">and companions who possess the science whence spring joy,</w:t></w:r>
</w:p>
<w:p>
<w:pPr><w:pStyle w:val="Normal"/></w:pPr>
<w:r><w:t xml:space="preserve">pleasure, good sense, merit and politeness&apos;&apos; to assemble</w:t></w:r>
</w:p>
<w:p>
<w:pPr><w:pStyle w:val="Normal"/></w:pPr>
<w:r><w:t xml:space="preserve">in their garden of the ``gay science&apos;&apos; and recite their</w:t></w:r>
</w:p>
<w:p>
<w:pPr><w:pStyle w:val="Normal"/></w:pPr>
<w:r><w:t xml:space="preserve">works.  The prize, a golden violet, was awarded to Vidal</w:t></w:r>
</w:p>
<w:p>
<w:pPr><w:pStyle w:val="Normal"/></w:pPr>
<w:r><w:t xml:space="preserve">de Castelnaudary for a poem to the glory of the Virgin.  In</w:t></w:r>
</w:p>
<w:p>
<w:pPr><w:pStyle w:val="Normal"/></w:pPr>
<w:r><w:t xml:space="preserve">spite of the English invasion and other adversities the Floral</w:t></w:r>
</w:p>
<w:p>
<w:pPr><w:pStyle w:val="Normal"/></w:pPr>
<w:r><w:t xml:space="preserve">Games survived till, about the year 1500, their permanence</w:t></w:r>
</w:p>
<w:p>
<w:pPr><w:pStyle w:val="Normal"/></w:pPr>
<w:r><w:t xml:space="preserve">was secured by the munificent bequest of Clemence Isaure,</w:t></w:r>
</w:p>
<w:p>
<w:pPr><w:pStyle w:val="Normal"/></w:pPr>
<w:r><w:t xml:space="preserve">a rich lady of Toulouse.  In 1694 the Academie des Jeux</w:t></w:r>
</w:p>
<w:p>
<w:pPr><w:pStyle w:val="Normal"/></w:pPr>
<w:r><w:t xml:space="preserve">Floraux was constituted an academy by letters patent of</w:t></w:r>
</w:p>
<w:p>
<w:pPr><w:pStyle w:val="Normal"/></w:pPr>
<w:r><w:t xml:space="preserve">Louis XIV.; its statutes were reformed and the number Of</w:t></w:r>
</w:p>
<w:p>
<w:pPr><w:pStyle w:val="Normal"/></w:pPr>
<w:r><w:t xml:space="preserve">members raised to 36. Suppressed during the Revolution it was</w:t></w:r>
</w:p>
<w:p>
<w:pPr><w:pStyle w:val="Normal"/></w:pPr>
<w:r><w:t xml:space="preserve">revived in 1806, and still continues to award amaranths of</w:t></w:r>
</w:p>
<w:p>
<w:pPr><w:pStyle w:val="Normal"/></w:pPr>
<w:r><w:t xml:space="preserve">gold and sliver lilies, for which there is keen competition.</w:t></w:r>
</w:p>
<w:p>
<w:pPr><w:pStyle w:val="Normal"/></w:pPr>
<w:r><w:t xml:space="preserve">Provence led the way, but Italy of the Renaissance is the</w:t></w:r>
</w:p>
<w:p>
<w:pPr><w:pStyle w:val="Normal"/></w:pPr>
<w:r><w:t xml:space="preserve">soil in which academies most grew and flourished.  The</w:t></w:r>
</w:p>
<w:p>
<w:pPr><w:pStyle w:val="Normal"/></w:pPr>
<w:r><w:t xml:space="preserve">Accademia Pontaniana, to give it its subsequent title,</w:t></w:r>
</w:p>
<w:p>
<w:pPr><w:pStyle w:val="Normal"/></w:pPr>
<w:r><w:t xml:space="preserve">was founded at Florence in 1433 by Antonio Beccadelli of</w:t></w:r>
</w:p>
<w:p>
<w:pPr><w:pStyle w:val="Normal"/></w:pPr>
<w:r><w:t xml:space="preserve">Palermo and fostered by Laurentius Valla.  Far more famous</w:t></w:r>
</w:p>
<w:p>
<w:pPr><w:pStyle w:val="Normal"/></w:pPr>
<w:r><w:t xml:space="preserve">was the Accademia Platonica, founded c. 1442 by Cosimo</w:t></w:r>
</w:p>
<w:p>
<w:pPr><w:pStyle w:val="Normal"/></w:pPr>
<w:r><w:t xml:space="preserve">de&apos; Medici, which numbered among its members Marsilio</w:t></w:r>
</w:p>
<w:p>
<w:pPr><w:pStyle w:val="Normal"/></w:pPr>
<w:r><w:t xml:space="preserve">Ficino, Pico della Mirandola, Machiavelli and Angelo</w:t></w:r>
</w:p>
<w:p>
<w:pPr><w:pStyle w:val="Normal"/></w:pPr>
<w:r><w:t xml:space="preserve">Poliziano.  It was, as the name implies, chiefly occupied</w:t></w:r>
</w:p>
<w:p>
<w:pPr><w:pStyle w:val="Normal"/></w:pPr>
<w:r><w:t xml:space="preserve">with Plato, but it added to its objects the study of Dante</w:t></w:r>
</w:p>
<w:p>
<w:pPr><w:pStyle w:val="Normal"/></w:pPr>
<w:r><w:t xml:space="preserve">and the purification of the Italian language, and though</w:t></w:r>
</w:p>
<w:p>
<w:pPr><w:pStyle w:val="Normal"/></w:pPr>
<w:r><w:t xml:space="preserve">it lived for barely half a century, yet its influence as a</w:t></w:r>
</w:p>
<w:p>
<w:pPr><w:pStyle w:val="Normal"/></w:pPr>
<w:r><w:t xml:space="preserve">model for similar learned societies was great and lasting.</w:t></w:r>
</w:p>
<w:p>
<w:pPr><w:pStyle w:val="Normal"/></w:pPr>
<w:r><w:t xml:space="preserve">Modern Academies.--Academies have played an important part</w:t></w:r>
</w:p>
<w:p>
<w:pPr><w:pStyle w:val="Normal"/></w:pPr>
<w:r><w:t xml:space="preserve">in the revival of learning and in the birth of scientific</w:t></w:r>
</w:p>
<w:p>
<w:pPr><w:pStyle w:val="Normal"/></w:pPr>
<w:r><w:t xml:space="preserve">inquiry.  They mark an age of aristocracies when letters</w:t></w:r>
</w:p>
<w:p>
<w:pPr><w:pStyle w:val="Normal"/></w:pPr>
<w:r><w:t xml:space="preserve">were the distinction of the few and when science had not</w:t></w:r>
</w:p>
<w:p>
<w:pPr><w:pStyle w:val="Normal"/></w:pPr>
<w:r><w:t xml:space="preserve">been differentiated into distinct branches, each with its</w:t></w:r>
</w:p>
<w:p>
<w:pPr><w:pStyle w:val="Normal"/></w:pPr>
<w:r><w:t xml:space="preserve">own specialists. Their interest is mainly historical, and</w:t></w:r>
</w:p>
<w:p>
<w:pPr><w:pStyle w:val="Normal"/></w:pPr>
<w:r><w:t xml:space="preserve">it cannot be maintained that at the present day they have</w:t></w:r>
</w:p>
<w:p>
<w:pPr><w:pStyle w:val="Normal"/></w:pPr>
<w:r><w:t xml:space="preserve">much direct influence on the advancement of learning either</w:t></w:r>
</w:p>
<w:p>
<w:pPr><w:pStyle w:val="Normal"/></w:pPr>
<w:r><w:t xml:space="preserve">by way of research or of publication.  For example, the</w:t></w:r>
</w:p>
<w:p>
<w:pPr><w:pStyle w:val="Normal"/></w:pPr>
<w:r><w:t xml:space="preserve">standard dictionaries of France, Germany and England are</w:t></w:r>
</w:p>
<w:p>
<w:pPr><w:pStyle w:val="Normal"/></w:pPr>
<w:r><w:t xml:space="preserve">the work, not of academies, but of individual scholars, of</w:t></w:r>
</w:p>
<w:p>
<w:pPr><w:pStyle w:val="Normal"/></w:pPr>
<w:r><w:t xml:space="preserve">Littre, Grimm and Murray.  Matthew Arnold&apos;s plea for an</w:t></w:r>
</w:p>
<w:p>
<w:pPr><w:pStyle w:val="Normal"/></w:pPr>
<w:r><w:t xml:space="preserve">English academy of letters to save his countrymen from</w:t></w:r>
</w:p>
<w:p>
<w:pPr><w:pStyle w:val="Normal"/></w:pPr>
<w:r><w:t xml:space="preserve">the note of vulgarity and provinciality has met with no</w:t></w:r>
</w:p>
<w:p>
<w:pPr><w:pStyle w:val="Normal"/></w:pPr>
<w:r><w:t xml:space="preserve">response.  Academies have been supplanted, socially by the</w:t></w:r>
</w:p>
<w:p>
<w:pPr><w:pStyle w:val="Normal"/></w:pPr>
<w:r><w:t xml:space="preserve">modern club, and intellectually by societies devoted to</w:t></w:r>
</w:p>
<w:p>
<w:pPr><w:pStyle w:val="Normal"/></w:pPr>
<w:r><w:t xml:space="preserve">special branches of science.  Those that survive from the past</w:t></w:r>
</w:p>
<w:p>
<w:pPr><w:pStyle w:val="Normal"/></w:pPr>
<w:r><w:t xml:space="preserve">serve, like the Heralds&apos; College, to set an official stamp</w:t></w:r>
</w:p>
<w:p>
<w:pPr><w:pStyle w:val="Normal"/></w:pPr>
<w:r><w:t xml:space="preserve">on literary and scientific merit.  The principal academies</w:t></w:r>
</w:p>
<w:p>
<w:pPr><w:pStyle w:val="Normal"/></w:pPr>
<w:r><w:t xml:space="preserve">of Europe, past and present, may be dealt with in various</w:t></w:r>
</w:p>
<w:p>
<w:pPr><w:pStyle w:val="Normal"/></w:pPr>
<w:r><w:t xml:space="preserve">classes, according to the subjects to which they are devoted.</w:t></w:r>
</w:p>
<w:p>
<w:pPr><w:pStyle w:val="Heading1"/></w:pPr>
<w:r><w:t>I. SCIENTIFIC ACADEMIES Austria.---The Kaiserliche Akademie</w:t></w:r>
</w:p>
<w:p>
<w:pPr><w:pStyle w:val="Normal"/></w:pPr>
<w:r><w:t xml:space="preserve">der Wissenschaften at Vienna, originally projected by Leibnitz,</w:t></w:r>
</w:p>
<w:p>
<w:pPr><w:pStyle w:val="Normal"/></w:pPr>
<w:r><w:t xml:space="preserve">was founded by the emperor Ferdinand I. in 1846, and has two</w:t></w:r>
</w:p>
<w:p>
<w:pPr><w:pStyle w:val="Normal"/></w:pPr>
<w:r><w:t xml:space="preserve">classes---mathematics and natural science, and history and philology.</w:t></w:r>
</w:p>
<w:p>
<w:pPr><w:pStyle w:val="Normal"/></w:pPr>
<w:r><w:t xml:space="preserve">Belgium and the Netherlands.-A literary society was founded at</w:t></w:r>
</w:p>
<w:p>
<w:pPr><w:pStyle w:val="Normal"/></w:pPr>
<w:r><w:t xml:space="preserve">Brussels in 1769 by Count Cobenzl, the prime minister of Maria</w:t></w:r>
</w:p>
<w:p>
<w:pPr><w:pStyle w:val="Normal"/></w:pPr>
<w:r><w:t xml:space="preserve">Theresa, which after various changes of name and constitution</w:t></w:r>
</w:p>
<w:p>
<w:pPr><w:pStyle w:val="Normal"/></w:pPr>
<w:r><w:t xml:space="preserve">became in 1816 the Academie imperiale et royale des</w:t></w:r>
</w:p>
<w:p>
<w:pPr><w:pStyle w:val="Normal"/></w:pPr>
<w:r><w:t xml:space="preserve">sciences et belles-lettres, under the patronage of William</w:t></w:r>
</w:p>
<w:p>
<w:pPr><w:pStyle w:val="Heading1"/></w:pPr>
<w:r><w:t>I. of the Netherlands.  It has devoted itself principally to</w:t></w:r>
</w:p>
<w:p>
<w:pPr><w:pStyle w:val="Normal"/></w:pPr>
<w:r><w:t xml:space="preserve">natural history and antiquities.  The Royal Institute of the</w:t></w:r>
</w:p>
<w:p>
<w:pPr><w:pStyle w:val="Normal"/></w:pPr>
<w:r><w:t xml:space="preserve">Low Countries was founded in 1808 by King Louis Bonaparte.</w:t></w:r>
</w:p>
<w:p>
<w:pPr><w:pStyle w:val="Normal"/></w:pPr>
<w:r><w:t xml:space="preserve">It was replaced in 1851 by the Royal Academy of Sciences at</w:t></w:r>
</w:p>
<w:p>
<w:pPr><w:pStyle w:val="Normal"/></w:pPr>
<w:r><w:t xml:space="preserve">Amsterdam, to which in 1856 a literary section was added.</w:t></w:r>
</w:p>
<w:p>
<w:pPr><w:pStyle w:val="Normal"/></w:pPr>
<w:r><w:t xml:space="preserve">Denmark.---The Kongelige danske videnskabernes selskab</w:t></w:r>
</w:p>
<w:p>
<w:pPr><w:pStyle w:val="Normal"/></w:pPr>
<w:r><w:t xml:space="preserve">(Royal Academy of Sciences) at Copenhagen owes its origin</w:t></w:r>
</w:p>
<w:p>
<w:pPr><w:pStyle w:val="Normal"/></w:pPr>
<w:r><w:t xml:space="preserve">to Christian VI., who in 1742 invited six Danish numismatists</w:t></w:r>
</w:p>
<w:p>
<w:pPr><w:pStyle w:val="Normal"/></w:pPr>
<w:r><w:t xml:space="preserve">to arrange his cabinet of medals.  Historians and antiquaries</w:t></w:r>
</w:p>
<w:p>
<w:pPr><w:pStyle w:val="Normal"/></w:pPr>
<w:r><w:t xml:space="preserve">were called in to assist at the sittings, and the commission</w:t></w:r>
</w:p>
<w:p>
<w:pPr><w:pStyle w:val="Normal"/></w:pPr>
<w:r><w:t xml:space="preserve">developed into a sort of learned club.  The king took it</w:t></w:r>
</w:p>
<w:p>
<w:pPr><w:pStyle w:val="Normal"/></w:pPr>
<w:r><w:t xml:space="preserve">under his protection, enlarged its scope by the addition</w:t></w:r>
</w:p>
<w:p>
<w:pPr><w:pStyle w:val="Normal"/></w:pPr>
<w:r><w:t xml:space="preserve">of natural history, physics and mathematics, and in 1743</w:t></w:r>
</w:p>
<w:p>
<w:pPr><w:pStyle w:val="Normal"/></w:pPr>
<w:r><w:t xml:space="preserve">constituted it a royal academy with an endowment fund.</w:t></w:r>
</w:p>
<w:p>
<w:pPr><w:pStyle w:val="Normal"/></w:pPr>
<w:r><w:t xml:space="preserve">France.---The old Academie des sciences had the same</w:t></w:r>
</w:p>
<w:p>
<w:pPr><w:pStyle w:val="Normal"/></w:pPr>
<w:r><w:t xml:space="preserve">origin as the more celebrated Academie francaise. A</w:t></w:r>
</w:p>
<w:p>
<w:pPr><w:pStyle w:val="Normal"/></w:pPr>
<w:r><w:t xml:space="preserve">number of men of science had for some thirty years met</w:t></w:r>
</w:p>
<w:p>
<w:pPr><w:pStyle w:val="Normal"/></w:pPr>
<w:r><w:t xml:space="preserve">together, first at the house of P. Marsenne, then at that of</w:t></w:r>
</w:p>
<w:p>
<w:pPr><w:pStyle w:val="Normal"/></w:pPr>
<w:r><w:t xml:space="preserve">Montmort, a member of the Council of State, afterwards at</w:t></w:r>
</w:p>
<w:p>
<w:pPr><w:pStyle w:val="Normal"/></w:pPr>
<w:r><w:t xml:space="preserve">that of Melchisedec Thevenot, the learned traveller.  It</w:t></w:r>
</w:p>
<w:p>
<w:pPr><w:pStyle w:val="Normal"/></w:pPr>
<w:r><w:t xml:space="preserve">included Descartes, Gassendi, Blaise and Etienne Pascal.</w:t></w:r>
</w:p>
<w:p>
<w:pPr><w:pStyle w:val="Normal"/></w:pPr>
<w:r><w:t xml:space="preserve">Hobbes, the author of Leviathan, was presented to it during</w:t></w:r>
</w:p>
<w:p>
<w:pPr><w:pStyle w:val="Normal"/></w:pPr>
<w:r><w:t xml:space="preserve">his visit to Paris in 1640.  Colbert conceived the idea of</w:t></w:r>
</w:p>
<w:p>
<w:pPr><w:pStyle w:val="Normal"/></w:pPr>
<w:r><w:t xml:space="preserve">giving an official status to this learned club. A number of</w:t></w:r>
</w:p>
<w:p>
<w:pPr><w:pStyle w:val="Normal"/></w:pPr>
<w:r><w:t xml:space="preserve">chemists, physicians, anatomists and eminent mathematicians,</w:t></w:r>
</w:p>
<w:p>
<w:pPr><w:pStyle w:val="Normal"/></w:pPr>
<w:r><w:t xml:space="preserve">among whom were Christian Huyghens and Bernard Frenicle</w:t></w:r>
</w:p>
<w:p>
<w:pPr><w:pStyle w:val="Normal"/></w:pPr>
<w:r><w:t xml:space="preserve">de Bessy (1605-1675), the author of a famous treatise on</w:t></w:r>
</w:p>
<w:p>
<w:pPr><w:pStyle w:val="Normal"/></w:pPr>
<w:r><w:t xml:space="preserve">magic squares, were chosen to form the nucleus of the new</w:t></w:r>
</w:p>
<w:p>
<w:pPr><w:pStyle w:val="Normal"/></w:pPr>
<w:r><w:t xml:space="preserve">society.  Pensions were granted by Louis XIV. to each of</w:t></w:r>
</w:p>
<w:p>
<w:pPr><w:pStyle w:val="Normal"/></w:pPr>
<w:r><w:t xml:space="preserve">the members, and a fund for instruments and experiment was</w:t></w:r>
</w:p>
<w:p>
<w:pPr><w:pStyle w:val="Normal"/></w:pPr>
<w:r><w:t xml:space="preserve">placed at their disposal.  They began their session on the</w:t></w:r>
</w:p>
<w:p>
<w:pPr><w:pStyle w:val="Normal"/></w:pPr>
<w:r><w:t xml:space="preserve">22nd of December 1666 in the Royal Library, meeting twice a</w:t></w:r>
</w:p>
<w:p>
<w:pPr><w:pStyle w:val="Normal"/></w:pPr>
<w:r><w:t xml:space="preserve">week--the mathematicians on Wednesdays, the physicists on</w:t></w:r>
</w:p>
<w:p>
<w:pPr><w:pStyle w:val="Normal"/></w:pPr>
<w:r><w:t xml:space="preserve">Saturdays.  Duhamel was appointed permanent secretary, a post</w:t></w:r>
</w:p>
<w:p>
<w:pPr><w:pStyle w:val="Normal"/></w:pPr>
<w:r><w:t xml:space="preserve">he owed more to his polished Latinity than to his scientific</w:t></w:r>
</w:p>
<w:p>
<w:pPr><w:pStyle w:val="Normal"/></w:pPr>
<w:r><w:t xml:space="preserve">attainments, all the proceedings of the society being recorded</w:t></w:r>
</w:p>
<w:p>
<w:pPr><w:pStyle w:val="Normal"/></w:pPr>
<w:r><w:t xml:space="preserve">in Latin, and C. A. Couplet was made treasurer.  At first the</w:t></w:r>
</w:p>
<w:p>
<w:pPr><w:pStyle w:val="Normal"/></w:pPr>
<w:r><w:t xml:space="preserve">academy was rather a laboratory and observatory than an academy</w:t></w:r>
</w:p>
<w:p>
<w:pPr><w:pStyle w:val="Normal"/></w:pPr>
<w:r><w:t xml:space="preserve">proper.  Experiments were undertaken in common and results</w:t></w:r>
</w:p>
<w:p>
<w:pPr><w:pStyle w:val="Normal"/></w:pPr>
<w:r><w:t xml:space="preserve">discussed.  Several foreign savants, in particular the</w:t></w:r>
</w:p>
<w:p>
<w:pPr><w:pStyle w:val="Normal"/></w:pPr>
<w:r><w:t xml:space="preserve">Danish astronomer Roemer, joined the society, attracted hy the</w:t></w:r>
</w:p>
<w:p>
<w:pPr><w:pStyle w:val="Normal"/></w:pPr>
<w:r><w:t xml:space="preserve">liberality of the Grand Monarque; and the German physician and</w:t></w:r>
</w:p>
<w:p>
<w:pPr><w:pStyle w:val="Normal"/></w:pPr>
<w:r><w:t xml:space="preserve">geometer Tschirnhausen and Sir Isaac Newton were made foreign</w:t></w:r>
</w:p>
<w:p>
<w:pPr><w:pStyle w:val="Normal"/></w:pPr>
<w:r><w:t xml:space="preserve">associates.  The death of Colbert, who was succeeded by</w:t></w:r>
</w:p>
<w:p>
<w:pPr><w:pStyle w:val="Normal"/></w:pPr>
<w:r><w:t xml:space="preserve">Louvois, exercised a disastrous effect on the fortunes of the</w:t></w:r>
</w:p>
<w:p>
<w:pPr><w:pStyle w:val="Normal"/></w:pPr>
<w:r><w:t xml:space="preserve">academy.  The labours of the academicians were diverted</w:t></w:r>
</w:p>
<w:p>
<w:pPr><w:pStyle w:val="Normal"/></w:pPr>
<w:r><w:t xml:space="preserve">from the pursuit of pure science to such works as the</w:t></w:r>
</w:p>
<w:p>
<w:pPr><w:pStyle w:val="Normal"/></w:pPr>
<w:r><w:t xml:space="preserve">construction of fountains and cascades at Versailles, and</w:t></w:r>
</w:p>
<w:p>
<w:pPr><w:pStyle w:val="Normal"/></w:pPr>
<w:r><w:t xml:space="preserve">the mathematicians were employed to calculate the odds of</w:t></w:r>
</w:p>
<w:p>
<w:pPr><w:pStyle w:val="Normal"/></w:pPr>
<w:r><w:t xml:space="preserve">the games of lansquenet and basset.  In 1699 the academy was</w:t></w:r>
</w:p>
<w:p>
<w:pPr><w:pStyle w:val="Normal"/></w:pPr>
<w:r><w:t xml:space="preserve">reconstituted by Louis Phelypeaux, comte de Pontchartrain,</w:t></w:r>
</w:p>
<w:p>
<w:pPr><w:pStyle w:val="Normal"/></w:pPr>
<w:r><w:t xml:space="preserve">under whose department as secretary of state the academies</w:t></w:r>
</w:p>
<w:p>
<w:pPr><w:pStyle w:val="Normal"/></w:pPr>
<w:r><w:t xml:space="preserve">came.  By its new constitution it consisted of twenty-five</w:t></w:r>
</w:p>
<w:p>
<w:pPr><w:pStyle w:val="Normal"/></w:pPr>
<w:r><w:t xml:space="preserve">members, ten honorary, men of high rank interested in</w:t></w:r>
</w:p>
<w:p>
<w:pPr><w:pStyle w:val="Normal"/></w:pPr>
<w:r><w:t xml:space="preserve">science, and fifteen pensionaries, who were the working</w:t></w:r>
</w:p>
<w:p>
<w:pPr><w:pStyle w:val="Normal"/></w:pPr>
<w:r><w:t xml:space="preserve">members.  Of these three were geometricians, three</w:t></w:r>
</w:p>
<w:p>
<w:pPr><w:pStyle w:val="Normal"/></w:pPr>
<w:r><w:t xml:space="preserve">astronomers, three mechanicians, three anatomists, and three</w:t></w:r>
</w:p>
<w:p>
<w:pPr><w:pStyle w:val="Normal"/></w:pPr>
<w:r><w:t xml:space="preserve">chemists.  Each of these three had two associates, and,</w:t></w:r>
</w:p>
<w:p>
<w:pPr><w:pStyle w:val="Normal"/></w:pPr>
<w:r><w:t xml:space="preserve">besides, each pensionary had the privilege of naming a</w:t></w:r>
</w:p>
<w:p>
<w:pPr><w:pStyle w:val="Normal"/></w:pPr>
<w:r><w:t xml:space="preserve">pupil.  There were eight foreign and four free associates.</w:t></w:r>
</w:p>
<w:p>
<w:pPr><w:pStyle w:val="Normal"/></w:pPr>
<w:r><w:t xml:space="preserve">The officers were, a president and a vice-president, named by</w:t></w:r>
</w:p>
<w:p>
<w:pPr><w:pStyle w:val="Normal"/></w:pPr>
<w:r><w:t xml:space="preserve">the king from among the honorary members, and a secretary and</w:t></w:r>
</w:p>
<w:p>
<w:pPr><w:pStyle w:val="Normal"/></w:pPr>
<w:r><w:t xml:space="preserve">treasurer chosen from the pensionaries, who held office for</w:t></w:r>
</w:p>
<w:p>
<w:pPr><w:pStyle w:val="Normal"/></w:pPr>
<w:r><w:t xml:space="preserve">life.  Fontenelle, a man of wit, and rather a popularizer of</w:t></w:r>
</w:p>
<w:p>
<w:pPr><w:pStyle w:val="Normal"/></w:pPr>
<w:r><w:t xml:space="preserve">science than an original investigator, succeeded Duhamel as</w:t></w:r>
</w:p>
<w:p>
<w:pPr><w:pStyle w:val="Normal"/></w:pPr>
<w:r><w:t xml:space="preserve">secretary.  The constitution was purely aristocratical,</w:t></w:r>
</w:p>
<w:p>
<w:pPr><w:pStyle w:val="Normal"/></w:pPr>
<w:r><w:t xml:space="preserve">differing in that respect from that of the French Academy, in</w:t></w:r>
</w:p>
<w:p>
<w:pPr><w:pStyle w:val="Normal"/></w:pPr>
<w:r><w:t xml:space="preserve">which the principle of equality among the members was never</w:t></w:r>
</w:p>
<w:p>
<w:pPr><w:pStyle w:val="Normal"/></w:pPr>
<w:r><w:t xml:space="preserve">violated. Science was not yet strong enough to dispense with</w:t></w:r>
</w:p>
<w:p>
<w:pPr><w:pStyle w:val="Normal"/></w:pPr>
<w:r><w:t xml:space="preserve">the patronage of the great.  The two leading spirits of the</w:t></w:r>
</w:p>
<w:p>
<w:pPr><w:pStyle w:val="Normal"/></w:pPr>
<w:r><w:t xml:space="preserve">academy at this period were Clairault and Reaumur.  To trace</w:t></w:r>
</w:p>
<w:p>
<w:pPr><w:pStyle w:val="Normal"/></w:pPr>
<w:r><w:t xml:space="preserve">the subsequent fortunes of this academy would be to write</w:t></w:r>
</w:p>
<w:p>
<w:pPr><w:pStyle w:val="Normal"/></w:pPr>
<w:r><w:t xml:space="preserve">the history of the rise and progress of science in France.</w:t></w:r>
</w:p>
<w:p>
<w:pPr><w:pStyle w:val="Normal"/></w:pPr>
<w:r><w:t xml:space="preserve">It has reckoned among its members Laplace, Buffon, Lagrange,</w:t></w:r>
</w:p>
<w:p>
<w:pPr><w:pStyle w:val="Normal"/></w:pPr>
<w:r><w:t xml:space="preserve">D&apos;Alembert, Lavoisier, and Jussieu, the father of modern</w:t></w:r>
</w:p>
<w:p>
<w:pPr><w:pStyle w:val="Normal"/></w:pPr>
<w:r><w:t xml:space="preserve">botany.  On the 21st of December 1792 it met for the last time,</w:t></w:r>
</w:p>
<w:p>
<w:pPr><w:pStyle w:val="Normal"/></w:pPr>
<w:r><w:t xml:space="preserve">and it was suppressed with its sister academies by the act of</w:t></w:r>
</w:p>
<w:p>
<w:pPr><w:pStyle w:val="Normal"/></w:pPr>
<w:r><w:t xml:space="preserve">the Convention on the 8th of April 1793.  Some of its members</w:t></w:r>
</w:p>
<w:p>
<w:pPr><w:pStyle w:val="Normal"/></w:pPr>
<w:r><w:t xml:space="preserve">were guillotined, some were imprisoned, more were reduced to</w:t></w:r>
</w:p>
<w:p>
<w:pPr><w:pStyle w:val="Normal"/></w:pPr>
<w:r><w:t xml:space="preserve">poverty.  The aristocracy of talent was almost as much</w:t></w:r>
</w:p>
<w:p>
<w:pPr><w:pStyle w:val="Normal"/></w:pPr>
<w:r><w:t xml:space="preserve">detested and persecuted by the Revolution as that of rank.</w:t></w:r>
</w:p>
<w:p>
<w:pPr><w:pStyle w:val="Normal"/></w:pPr>
<w:r><w:t xml:space="preserve">In 1795 the Convention decided on founding an Institut</w:t></w:r>
</w:p>
<w:p>
<w:pPr><w:pStyle w:val="Normal"/></w:pPr>
<w:r><w:t xml:space="preserve">National which was to replace all the academies, and its first</w:t></w:r>
</w:p>
<w:p>
<w:pPr><w:pStyle w:val="Normal"/></w:pPr>
<w:r><w:t xml:space="preserve">class corresponded closely to the old academy of sciences.</w:t></w:r>
</w:p>
<w:p>
<w:pPr><w:pStyle w:val="Normal"/></w:pPr>
<w:r><w:t xml:space="preserve">In 1816 the Academie des sciences was reconstituted as a</w:t></w:r>
</w:p>
<w:p>
<w:pPr><w:pStyle w:val="Normal"/></w:pPr>
<w:r><w:t xml:space="preserve">branch of the Institute.  The new academy has reckoned among</w:t></w:r>
</w:p>
<w:p>
<w:pPr><w:pStyle w:val="Normal"/></w:pPr>
<w:r><w:t xml:space="preserve">its members, besides many other brilliant men, Carnot the</w:t></w:r>
</w:p>
<w:p>
<w:pPr><w:pStyle w:val="Normal"/></w:pPr>
<w:r><w:t xml:space="preserve">engineer, the physicists Fresnel, Ampere, Arago, Blot, the</w:t></w:r>
</w:p>
<w:p>
<w:pPr><w:pStyle w:val="Normal"/></w:pPr>
<w:r><w:t xml:space="preserve">chemists Gay-Lussac and Thenard, the zoologists G. Cuvier</w:t></w:r>
</w:p>
<w:p>
<w:pPr><w:pStyle w:val="Normal"/></w:pPr>
<w:r><w:t xml:space="preserve">and the two Geoffroy Saint-Hilaires.  In France there were</w:t></w:r>
</w:p>
<w:p>
<w:pPr><w:pStyle w:val="Normal"/></w:pPr>
<w:r><w:t xml:space="preserve">also considerable academies in most of the large towns.</w:t></w:r>
</w:p>
<w:p>
<w:pPr><w:pStyle w:val="Normal"/></w:pPr>
<w:r><w:t xml:space="preserve">Montpellier, for example, had a royal academy of sciences,</w:t></w:r>
</w:p>
<w:p>
<w:pPr><w:pStyle w:val="Normal"/></w:pPr>
<w:r><w:t xml:space="preserve">founded in 1706 by Louis XIV., on nearly the same footing as</w:t></w:r>
</w:p>
<w:p>
<w:pPr><w:pStyle w:val="Normal"/></w:pPr>
<w:r><w:t xml:space="preserve">that of Paris, of which, indeed, it was in some measure the</w:t></w:r>
</w:p>
<w:p>
<w:pPr><w:pStyle w:val="Normal"/></w:pPr>
<w:r><w:t xml:space="preserve">counterpart.  It was reconstituted in 1847, and organized under</w:t></w:r>
</w:p>
<w:p>
<w:pPr><w:pStyle w:val="Normal"/></w:pPr>
<w:r><w:t xml:space="preserve">three sections--medicine, science and letters.  Toulouse also</w:t></w:r>
</w:p>
<w:p>
<w:pPr><w:pStyle w:val="Normal"/></w:pPr>
<w:r><w:t xml:space="preserve">has an academy, founded in 1640, under the name of Soeiete</w:t></w:r>
</w:p>
<w:p>
<w:pPr><w:pStyle w:val="Normal"/></w:pPr>
<w:r><w:t xml:space="preserve">de lanternistes; and there were analogous institutions</w:t></w:r>
</w:p>
<w:p>
<w:pPr><w:pStyle w:val="Normal"/></w:pPr>
<w:r><w:t xml:space="preserve">at Nimes, Arles, Lyons, Dijon, Bordeaux and elsewhere.</w:t></w:r>
</w:p>
<w:p>
<w:pPr><w:pStyle w:val="Normal"/></w:pPr>
<w:r><w:t xml:space="preserve">Germany.---The Collegium Curiosum was a scientific society,</w:t></w:r>
</w:p>
<w:p>
<w:pPr><w:pStyle w:val="Normal"/></w:pPr>
<w:r><w:t xml:space="preserve">founded by J. C. Sturm, professor of mathematics and natural</w:t></w:r>
</w:p>
<w:p>
<w:pPr><w:pStyle w:val="Normal"/></w:pPr>
<w:r><w:t xml:space="preserve">philosophy in the university of Altorf, in Franconia, in 1672, on</w:t></w:r>
</w:p>
<w:p>
<w:pPr><w:pStyle w:val="Normal"/></w:pPr>
<w:r><w:t xml:space="preserve">the plan of the Accademia del Cimento. It originally consisted</w:t></w:r>
</w:p>
<w:p>
<w:pPr><w:pStyle w:val="Normal"/></w:pPr>
<w:r><w:t xml:space="preserve">of twenty members, and continued to flourish long after the</w:t></w:r>
</w:p>
<w:p>
<w:pPr><w:pStyle w:val="Normal"/></w:pPr>
<w:r><w:t xml:space="preserve">death of its founder.  The early labours of the society were</w:t></w:r>
</w:p>
<w:p>
<w:pPr><w:pStyle w:val="Normal"/></w:pPr>
<w:r><w:t xml:space="preserve">devoted to the repetition (under varied conditions) of the most</w:t></w:r>
</w:p>
<w:p>
<w:pPr><w:pStyle w:val="Normal"/></w:pPr>
<w:r><w:t xml:space="preserve">notable experiments of the day, or to the discussion of the</w:t></w:r>
</w:p>
<w:p>
<w:pPr><w:pStyle w:val="Normal"/></w:pPr>
<w:r><w:t xml:space="preserve">results.  Two volumes (1676-1685) of proceedings were published by</w:t></w:r>
</w:p>
<w:p>
<w:pPr><w:pStyle w:val="Normal"/></w:pPr>
<w:r><w:t xml:space="preserve">Sturm.  The former, Collegium Experimentale sive Curiosum,</w:t></w:r>
</w:p>
<w:p>
<w:pPr><w:pStyle w:val="Normal"/></w:pPr>
<w:r><w:t xml:space="preserve">begins with an account of the diving-bell, ``a new invention&apos;&apos;;</w:t></w:r>
</w:p>
<w:p>
<w:pPr><w:pStyle w:val="Normal"/></w:pPr>
<w:r><w:t xml:space="preserve">next follow chapters on the camera obscura, the Torricellian</w:t></w:r>
</w:p>
<w:p>
<w:pPr><w:pStyle w:val="Normal"/></w:pPr>
<w:r><w:t xml:space="preserve">experiment, the air-pump, microscope, telescope, &amp;c.</w:t></w:r>
</w:p>
<w:p>
<w:pPr><w:pStyle w:val="Normal"/></w:pPr>
<w:r><w:t xml:space="preserve">The Akademie der Wissenschaften zu Berlin, if judged</w:t></w:r>
</w:p>
<w:p>
<w:pPr><w:pStyle w:val="Normal"/></w:pPr>
<w:r><w:t xml:space="preserve">by the work it has produced, holds the first place in</w:t></w:r>
</w:p>
<w:p>
<w:pPr><w:pStyle w:val="Normal"/></w:pPr>
<w:r><w:t xml:space="preserve">Germany.  Its origin was the Societas Regia Scientiarum,</w:t></w:r>
</w:p>
<w:p>
<w:pPr><w:pStyle w:val="Normal"/></w:pPr>
<w:r><w:t xml:space="preserve">constituted in 1700 by Frederick I. on the comprehensive</w:t></w:r>
</w:p>
<w:p>
<w:pPr><w:pStyle w:val="Normal"/></w:pPr>
<w:r><w:t xml:space="preserve">plan of Leibnitz, who was its first president.  Hampered and</w:t></w:r>
</w:p>
<w:p>
<w:pPr><w:pStyle w:val="Normal"/></w:pPr>
<w:r><w:t xml:space="preserve">restricted under Frederick William I., it was reorganized</w:t></w:r>
</w:p>
<w:p>
<w:pPr><w:pStyle w:val="Normal"/></w:pPr>
<w:r><w:t xml:space="preserve">under Frederick II. on the French model furnished by</w:t></w:r>
</w:p>
<w:p>
<w:pPr><w:pStyle w:val="Normal"/></w:pPr>
<w:r><w:t xml:space="preserve">Maupertuis, and received its present constitution in</w:t></w:r>
</w:p>
<w:p>
<w:pPr><w:pStyle w:val="Normal"/></w:pPr>
<w:r><w:t xml:space="preserve">1812.  It is divided into two classes and four sections</w:t></w:r>
</w:p>
<w:p>
<w:pPr><w:pStyle w:val="Normal"/></w:pPr>
<w:r><w:t xml:space="preserve">--physical and mathematical, philosophical and historical.</w:t></w:r>
</w:p>
<w:p>
<w:pPr><w:pStyle w:val="Normal"/></w:pPr>
<w:r><w:t xml:space="preserve">Each section has a permanent secretary with a salary of 1200</w:t></w:r>
</w:p>
<w:p>
<w:pPr><w:pStyle w:val="Normal"/></w:pPr>
<w:r><w:t xml:space="preserve">marks, and each of the 50 regular members is paid 600 marks a</w:t></w:r>
</w:p>
<w:p>
<w:pPr><w:pStyle w:val="Normal"/></w:pPr>
<w:r><w:t xml:space="preserve">year.  Among the contributors to its transactions (first</w:t></w:r>
</w:p>
<w:p>
<w:pPr><w:pStyle w:val="Normal"/></w:pPr>
<w:r><w:t xml:space="preserve">volume published in 1710), to name only the dead, we</w:t></w:r>
</w:p>
<w:p>
<w:pPr><w:pStyle w:val="Normal"/></w:pPr>
<w:r><w:t xml:space="preserve">find Immanuel Bekker, Bockling, Bernoulli, F. Bopp, P.</w:t></w:r>
</w:p>
<w:p>
<w:pPr><w:pStyle w:val="Normal"/></w:pPr>
<w:r><w:t xml:space="preserve">Buttmann, Encke (of comet fame), L. Euler, the brothers</w:t></w:r>
</w:p>
<w:p>
<w:pPr><w:pStyle w:val="Normal"/></w:pPr>
<w:r><w:t xml:space="preserve">Grimm, the two Humboldts, Lachmann, Lagrange, Leibnitz, T.</w:t></w:r>
</w:p>
<w:p>
<w:pPr><w:pStyle w:val="Normal"/></w:pPr>
<w:r><w:t xml:space="preserve">Mommsen, J. Muller, G. Niebuhr, C. Ritter (the geographer),</w:t></w:r>
</w:p>
<w:p>
<w:pPr><w:pStyle w:val="Normal"/></w:pPr>
<w:r><w:t xml:space="preserve">Savigny and Zumpt. Frederick II. presented in 1768 A</w:t></w:r>
</w:p>
<w:p>
<w:pPr><w:pStyle w:val="Normal"/></w:pPr>
<w:r><w:t xml:space="preserve">Dissertation on Ennui. To the Berlin Academy we owe the</w:t></w:r>
</w:p>
<w:p>
<w:pPr><w:pStyle w:val="Normal"/></w:pPr>
<w:r><w:t xml:space="preserve">Corpus Inscriptionum Graecarum, the Corpus Inscriptionum</w:t></w:r>
</w:p>
<w:p>
<w:pPr><w:pStyle w:val="Normal"/></w:pPr>
<w:r><w:t xml:space="preserve">Latinarum, and the Monumenta Germaniae Historica.</w:t></w:r>
</w:p>
<w:p>
<w:pPr><w:pStyle w:val="Normal"/></w:pPr>
<w:r><w:t xml:space="preserve">The Akademie der Wissenschaflen zu Mannheim was founded</w:t></w:r>
</w:p>
<w:p>
<w:pPr><w:pStyle w:val="Normal"/></w:pPr>
<w:r><w:t xml:space="preserve">by the elector Palatine in 1755.  Since 1780 it has</w:t></w:r>
</w:p>
<w:p>
<w:pPr><w:pStyle w:val="Normal"/></w:pPr>
<w:r><w:t xml:space="preserve">devoted itself specially to meteorology, and has published</w:t></w:r>
</w:p>
<w:p>
<w:pPr><w:pStyle w:val="Normal"/></w:pPr>
<w:r><w:t xml:space="preserve">valuable observations under the title of Ephemerides</w:t></w:r>
</w:p>
<w:p>
<w:pPr><w:pStyle w:val="Normal"/></w:pPr>
<w:r><w:t xml:space="preserve">Societatis Meteorologicae Theodoro-Palatinae.</w:t></w:r>
</w:p>
<w:p>
<w:pPr><w:pStyle w:val="Normal"/></w:pPr>
<w:r><w:t xml:space="preserve">The Bavarian Akademie der Wissenschaften zu Munchen was</w:t></w:r>
</w:p>
<w:p>
<w:pPr><w:pStyle w:val="Normal"/></w:pPr>
<w:r><w:t xml:space="preserve">founded in 1759.  It is distinguished from other academies</w:t></w:r>
</w:p>
<w:p>
<w:pPr><w:pStyle w:val="Normal"/></w:pPr>
<w:r><w:t xml:space="preserve">by the part it has played in national education.  Maximilian</w:t></w:r>
</w:p>
<w:p>
<w:pPr><w:pStyle w:val="Normal"/></w:pPr>
<w:r><w:t xml:space="preserve">Joseph, the enlightened elector (afterwards king) of</w:t></w:r>
</w:p>
<w:p>
<w:pPr><w:pStyle w:val="Normal"/></w:pPr>
<w:r><w:t xml:space="preserve">Bavaria, induced the government to hand over to it the</w:t></w:r>
</w:p>
<w:p>
<w:pPr><w:pStyle w:val="Normal"/></w:pPr>
<w:r><w:t xml:space="preserve">organization and superintendence of public instruction,</w:t></w:r>
</w:p>
<w:p>
<w:pPr><w:pStyle w:val="Normal"/></w:pPr>
<w:r><w:t xml:space="preserve">and this work was carried out by Privy-councillor Jacobi,</w:t></w:r>
</w:p>
<w:p>
<w:pPr><w:pStyle w:val="Normal"/></w:pPr>
<w:r><w:t xml:space="preserve">the president of the academy.  In recent years the academy</w:t></w:r>
</w:p>
<w:p>
<w:pPr><w:pStyle w:val="Normal"/></w:pPr>
<w:r><w:t xml:space="preserve">has specially occupied itself with natural history.</w:t></w:r>
</w:p>
<w:p>
<w:pPr><w:pStyle w:val="Normal"/></w:pPr>
<w:r><w:t xml:space="preserve">The Konigliche Akademie der Wissenschaften, at Erfurt,</w:t></w:r>
</w:p>
<w:p>
<w:pPr><w:pStyle w:val="Normal"/></w:pPr>
<w:r><w:t xml:space="preserve">which dates from 1754 and devotes itself to applied science,</w:t></w:r>
</w:p>
<w:p>
<w:pPr><w:pStyle w:val="Normal"/></w:pPr>
<w:r><w:t xml:space="preserve">and the Hessian academy of sciences at Giessen, which</w:t></w:r>
</w:p>
<w:p>
<w:pPr><w:pStyle w:val="Normal"/></w:pPr>
<w:r><w:t xml:space="preserve">publishes medical transactions, also deserve mention.</w:t></w:r>
</w:p>
<w:p>
<w:pPr><w:pStyle w:val="Normal"/></w:pPr>
<w:r><w:t xml:space="preserve">Great Britain and Ireland.--- In 1616 a scheme for founding</w:t></w:r>
</w:p>
<w:p>
<w:pPr><w:pStyle w:val="Normal"/></w:pPr>
<w:r><w:t xml:space="preserve">a royal academy was started by Edmund Bolton, an eminent</w:t></w:r>
</w:p>
<w:p>
<w:pPr><w:pStyle w:val="Normal"/></w:pPr>
<w:r><w:t xml:space="preserve">scholar and antiquary, who in his petition to King James I.,</w:t></w:r>
</w:p>
<w:p>
<w:pPr><w:pStyle w:val="Normal"/></w:pPr>
<w:r><w:t xml:space="preserve">which was supported by George Villiers, marquis of Buckingham,</w:t></w:r>
</w:p>
<w:p>
<w:pPr><w:pStyle w:val="Normal"/></w:pPr>
<w:r><w:t xml:space="preserve">proposed that the title of the academy should be ``King James,</w:t></w:r>
</w:p>
<w:p>
<w:pPr><w:pStyle w:val="Normal"/></w:pPr>
<w:r><w:t xml:space="preserve">his Academe or College of honour.&apos;&apos; A list of the proposed</w:t></w:r>
</w:p>
<w:p>
<w:pPr><w:pStyle w:val="Normal"/></w:pPr>
<w:r><w:t xml:space="preserve">original members is still extant, and includes the names of</w:t></w:r>
</w:p>
<w:p>
<w:pPr><w:pStyle w:val="Normal"/></w:pPr>
<w:r><w:t xml:space="preserve">George Chapman, Michael Drayton, Ben Jonson, John Selden,</w:t></w:r>
</w:p>
<w:p>
<w:pPr><w:pStyle w:val="Normal"/></w:pPr>
<w:r><w:t xml:space="preserve">Sir Kenelm Digby and Sir Henry Wotton.  The constitution is</w:t></w:r>
</w:p>
<w:p>
<w:pPr><w:pStyle w:val="Normal"/></w:pPr>
<w:r><w:t xml:space="preserve">of interest as reflecting the mind of the learned king.  The</w:t></w:r>
</w:p>
<w:p>
<w:pPr><w:pStyle w:val="Normal"/></w:pPr>
<w:r><w:t xml:space="preserve">academy was to consist of three classes,---tutelaries, who</w:t></w:r>
</w:p>
<w:p>
<w:pPr><w:pStyle w:val="Normal"/></w:pPr>
<w:r><w:t xml:space="preserve">were to be Knights of the Garter, auxiliaries, all noblemen</w:t></w:r>
</w:p>
<w:p>
<w:pPr><w:pStyle w:val="Normal"/></w:pPr>
<w:r><w:t xml:space="preserve">or ministers of state, and the essentials, ``called from out</w:t></w:r>
</w:p>
<w:p>
<w:pPr><w:pStyle w:val="Normal"/></w:pPr>
<w:r><w:t xml:space="preserve">of the most famous lay gentlemen of England, and either living</w:t></w:r>
</w:p>
<w:p>
<w:pPr><w:pStyle w:val="Normal"/></w:pPr>
<w:r><w:t xml:space="preserve">in the light of things, or without any title of profession</w:t></w:r>
</w:p>
<w:p>
<w:pPr><w:pStyle w:val="Normal"/></w:pPr>
<w:r><w:t xml:space="preserve">or art of life for lucre.&apos;&apos; Among other duties to be assigned</w:t></w:r>
</w:p>
<w:p>
<w:pPr><w:pStyle w:val="Normal"/></w:pPr>
<w:r><w:t xml:space="preserve">to this academy was the licensing of all books other than</w:t></w:r>
</w:p>
<w:p>
<w:pPr><w:pStyle w:val="Normal"/></w:pPr>
<w:r><w:t xml:space="preserve">theological.  The death of King James put an end to the</w:t></w:r>
</w:p>
<w:p>
<w:pPr><w:pStyle w:val="Normal"/></w:pPr>
<w:r><w:t xml:space="preserve">undertaking.  In 1635 a second attempt to found an academy</w:t></w:r>
</w:p>
<w:p>
<w:pPr><w:pStyle w:val="Normal"/></w:pPr>
<w:r><w:t xml:space="preserve">was made under the patronage of Charles I., with the title of</w:t></w:r>
</w:p>
<w:p>
<w:pPr><w:pStyle w:val="Normal"/></w:pPr>
<w:r><w:t xml:space="preserve">``Minerva&apos;s Museum,&apos;&apos; for the instruction of young noblemen</w:t></w:r>
</w:p>
<w:p>
<w:pPr><w:pStyle w:val="Normal"/></w:pPr>
<w:r><w:t xml:space="preserve">in the liberal arts and sciences, but the project was soon</w:t></w:r>
</w:p>
<w:p>
<w:pPr><w:pStyle w:val="Normal"/></w:pPr>
<w:r><w:t xml:space="preserve">dropped. (For the ``British Academy&apos;&apos; see III. below.) About</w:t></w:r>
</w:p>
<w:p>
<w:pPr><w:pStyle w:val="Normal"/></w:pPr>
<w:r><w:t xml:space="preserve">1645 the more ardent followers of Bacon used to meet, some</w:t></w:r>
</w:p>
<w:p>
<w:pPr><w:pStyle w:val="Normal"/></w:pPr>
<w:r><w:t xml:space="preserve">in London, some at Oxford, for the discussion of subjects</w:t></w:r>
</w:p>
<w:p>
<w:pPr><w:pStyle w:val="Normal"/></w:pPr>
<w:r><w:t xml:space="preserve">connected with experimental science.  This was the original of</w:t></w:r>
</w:p>
<w:p>
<w:pPr><w:pStyle w:val="Normal"/></w:pPr>
<w:r><w:t xml:space="preserve">the Royal Society (q.v.), which received its charter in 1662.</w:t></w:r>
</w:p>
<w:p>
<w:pPr><w:pStyle w:val="Normal"/></w:pPr>
<w:r><w:t xml:space="preserve">A society was formed in Dublin, similar to the Royal Society</w:t></w:r>
</w:p>
<w:p>
<w:pPr><w:pStyle w:val="Normal"/></w:pPr>
<w:r><w:t xml:space="preserve">in London, as early as 1683; but the distracted state of</w:t></w:r>
</w:p>
<w:p>
<w:pPr><w:pStyle w:val="Normal"/></w:pPr>
<w:r><w:t xml:space="preserve">the country proved unpropitious to the cultivation of</w:t></w:r>
</w:p>
<w:p>
<w:pPr><w:pStyle w:val="Normal"/></w:pPr>
<w:r><w:t xml:space="preserve">philosophy and literature.  The Royal Irish Academy grew</w:t></w:r>
</w:p>
<w:p>
<w:pPr><w:pStyle w:val="Normal"/></w:pPr>
<w:r><w:t xml:space="preserve">from a society established in Dublin about 1782 by a number</w:t></w:r>
</w:p>
<w:p>
<w:pPr><w:pStyle w:val="Normal"/></w:pPr>
<w:r><w:t xml:space="preserve">of gentlemen, most of whom belonged to the university.  They</w:t></w:r>
</w:p>
<w:p>
<w:pPr><w:pStyle w:val="Normal"/></w:pPr>
<w:r><w:t xml:space="preserve">held weekly meetings and read, in turn, essays on various</w:t></w:r>
</w:p>
<w:p>
<w:pPr><w:pStyle w:val="Normal"/></w:pPr>
<w:r><w:t xml:space="preserve">subjects.  They professed to unite the advancement of</w:t></w:r>
</w:p>
<w:p>
<w:pPr><w:pStyle w:val="Normal"/></w:pPr>
<w:r><w:t xml:space="preserve">science with the history of mankind and polite literature.</w:t></w:r>
</w:p>
<w:p>
<w:pPr><w:pStyle w:val="Normal"/></w:pPr>
<w:r><w:t xml:space="preserve">The first volume of transactions appeared in 1788.</w:t></w:r>
</w:p>
<w:p>
<w:pPr><w:pStyle w:val="Normal"/></w:pPr>
<w:r><w:t xml:space="preserve">Hungary.--The Magyar Tudomanyos Akademia (Hungarian</w:t></w:r>
</w:p>
<w:p>
<w:pPr><w:pStyle w:val="Normal"/></w:pPr>
<w:r><w:t xml:space="preserve">Academy of Sciences) was founded in 1825 by Count Stephen</w:t></w:r>
</w:p>
<w:p>
<w:pPr><w:pStyle w:val="Normal"/></w:pPr>
<w:r><w:t xml:space="preserve">Szechenyi for the encouragement of the study of the</w:t></w:r>
</w:p>
<w:p>
<w:pPr><w:pStyle w:val="Normal"/></w:pPr>
<w:r><w:t xml:space="preserve">Hungarian Ianguage and the various sciences.  It has about</w:t></w:r>
</w:p>
<w:p>
<w:pPr><w:pStyle w:val="Normal"/></w:pPr>
<w:r><w:t xml:space="preserve">300 members and a fine building in Budapest containing a</w:t></w:r>
</w:p>
<w:p>
<w:pPr><w:pStyle w:val="Normal"/></w:pPr>
<w:r><w:t xml:space="preserve">picture gallery and housing various national collections.</w:t></w:r>
</w:p>
<w:p>
<w:pPr><w:pStyle w:val="Normal"/></w:pPr>
<w:r><w:t xml:space="preserve">Italy.--The Academia Secretorum Natarae was founded</w:t></w:r>
</w:p>
<w:p>
<w:pPr><w:pStyle w:val="Normal"/></w:pPr>
<w:r><w:t xml:space="preserve">at Naples in 1560 by Giambattista della Porta.  It arose</w:t></w:r>
</w:p>
<w:p>
<w:pPr><w:pStyle w:val="Normal"/></w:pPr>
<w:r><w:t xml:space="preserve">like the French Academy from a little club of friends</w:t></w:r>
</w:p>
<w:p>
<w:pPr><w:pStyle w:val="Normal"/></w:pPr>
<w:r><w:t xml:space="preserve">who met at della Porta&apos;s house and called themselves</w:t></w:r>
</w:p>
<w:p>
<w:pPr><w:pStyle w:val="Normal"/></w:pPr>
<w:r><w:t xml:space="preserve">the Otiosi. The condition of membership was to have</w:t></w:r>
</w:p>
<w:p>
<w:pPr><w:pStyle w:val="Normal"/></w:pPr>
<w:r><w:t xml:space="preserve">made some discovery in natural science.  Della Porta was</w:t></w:r>
</w:p>
<w:p>
<w:pPr><w:pStyle w:val="Normal"/></w:pPr>
<w:r><w:t xml:space="preserve">suspected of practising the black arts and summoned to</w:t></w:r>
</w:p>
<w:p>
<w:pPr><w:pStyle w:val="Normal"/></w:pPr>
<w:r><w:t xml:space="preserve">Rome to justify himself before the papal court.  He was</w:t></w:r>
</w:p>
<w:p>
<w:pPr><w:pStyle w:val="Normal"/></w:pPr>
<w:r><w:t xml:space="preserve">acquitted by Paul V., but commanded to close his academy.</w:t></w:r>
</w:p>
<w:p>
<w:pPr><w:pStyle w:val="Normal"/></w:pPr>
<w:r><w:t xml:space="preserve">The Accademia dei Lincei, to which della Porta was admitted</w:t></w:r>
</w:p>
<w:p>
<w:pPr><w:pStyle w:val="Normal"/></w:pPr>
<w:r><w:t xml:space="preserve">when at Rome, and of which he became the chief ornament,</w:t></w:r>
</w:p>
<w:p>
<w:pPr><w:pStyle w:val="Normal"/></w:pPr>
<w:r><w:t xml:space="preserve">had been founded in 1603 by Federigo Cesi, the marchese di</w:t></w:r>
</w:p>
<w:p>
<w:pPr><w:pStyle w:val="Normal"/></w:pPr>
<w:r><w:t xml:space="preserve">Monticelli.  Galileo and Colonna were among its earliest</w:t></w:r>
</w:p>
<w:p>
<w:pPr><w:pStyle w:val="Normal"/></w:pPr>
<w:r><w:t xml:space="preserve">members. Its device was a lynx with upturned eyes, tearing a</w:t></w:r>
</w:p>
<w:p>
<w:pPr><w:pStyle w:val="Normal"/></w:pPr>
<w:r><w:t xml:space="preserve">Cerberus with its claws.  As a monument the Lincei have left</w:t></w:r>
</w:p>
<w:p>
<w:pPr><w:pStyle w:val="Normal"/></w:pPr>
<w:r><w:t xml:space="preserve">the magnificent edition of Fernandez de Oviedo&apos;s Natural</w:t></w:r>
</w:p>
<w:p>
<w:pPr><w:pStyle w:val="Normal"/></w:pPr>
<w:r><w:t xml:space="preserve">History of Mexico (Rome, 1651, fol.), printed at the</w:t></w:r>
</w:p>
<w:p>
<w:pPr><w:pStyle w:val="Normal"/></w:pPr>
<w:r><w:t xml:space="preserve">expense of the founder and elaborately annotated by the</w:t></w:r>
</w:p>
<w:p>
<w:pPr><w:pStyle w:val="Normal"/></w:pPr>
<w:r><w:t xml:space="preserve">members.  This academy was resuscitated in 1870 under the</w:t></w:r>
</w:p>
<w:p>
<w:pPr><w:pStyle w:val="Normal"/></w:pPr>
<w:r><w:t xml:space="preserve">title of Reale Accademia dei Lincei, with a literary</w:t></w:r>
</w:p>
<w:p>
<w:pPr><w:pStyle w:val="Normal"/></w:pPr>
<w:r><w:t xml:space="preserve">as well as a scientific side, endowed in 1878 by King</w:t></w:r>
</w:p>
<w:p>
<w:pPr><w:pStyle w:val="Normal"/></w:pPr>
<w:r><w:t xml:space="preserve">Humbert; and in 1883 it received official recognition from</w:t></w:r>
</w:p>
<w:p>
<w:pPr><w:pStyle w:val="Normal"/></w:pPr>
<w:r><w:t xml:space="preserve">the Italian government, being lodged in the Corsini palace,</w:t></w:r>
</w:p>
<w:p>
<w:pPr><w:pStyle w:val="Normal"/></w:pPr>
<w:r><w:t xml:space="preserve">whose owner made over to it his library and collections.</w:t></w:r>
</w:p>
<w:p>
<w:pPr><w:pStyle w:val="Normal"/></w:pPr>
<w:r><w:t xml:space="preserve">The Accademia del Cimento was founded at Florence in 1657 by</w:t></w:r>
</w:p>
<w:p>
<w:pPr><w:pStyle w:val="Normal"/></w:pPr>
<w:r><w:t xml:space="preserve">Leopold de&apos; Medici, brother of the grand duke Ferdinand II.,</w:t></w:r>
</w:p>
<w:p>
<w:pPr><w:pStyle w:val="Normal"/></w:pPr>
<w:r><w:t xml:space="preserve">at the instigation of Vincenzo Viviani, the geometrician.</w:t></w:r>
</w:p>
<w:p>
<w:pPr><w:pStyle w:val="Normal"/></w:pPr>
<w:r><w:t xml:space="preserve">It was an academy of experiment, a deliberate protest against</w:t></w:r>
</w:p>
<w:p>
<w:pPr><w:pStyle w:val="Normal"/></w:pPr>
<w:r><w:t xml:space="preserve">the deductive science of the quadrivium.  Its founder left</w:t></w:r>
</w:p>
<w:p>
<w:pPr><w:pStyle w:val="Normal"/></w:pPr>
<w:r><w:t xml:space="preserve">it when he was made a cardinal, and it lasted only ten</w:t></w:r>
</w:p>
<w:p>
<w:pPr><w:pStyle w:val="Normal"/></w:pPr>
<w:r><w:t xml:space="preserve">years, but the grand folio published in Italian (afterwards</w:t></w:r>
</w:p>
<w:p>
<w:pPr><w:pStyle w:val="Normal"/></w:pPr>
<w:r><w:t xml:space="preserve">translated into Latin) in 1667 is a landmark in the history of</w:t></w:r>
</w:p>
<w:p>
<w:pPr><w:pStyle w:val="Normal"/></w:pPr>
<w:r><w:t xml:space="preserve">science.  It contains experiments on the pressure of the</w:t></w:r>
</w:p>
<w:p>
<w:pPr><w:pStyle w:val="Normal"/></w:pPr>
<w:r><w:t xml:space="preserve">air (Torricelli and Borelli were among its members), on</w:t></w:r>
</w:p>
<w:p>
<w:pPr><w:pStyle w:val="Normal"/></w:pPr>
<w:r><w:t xml:space="preserve">the incompressibility of water and on universal gravity.</w:t></w:r>
</w:p>
<w:p>
<w:pPr><w:pStyle w:val="Normal"/></w:pPr>
<w:r><w:t xml:space="preserve">Science in Italy is now represented by the Reale Accademia</w:t></w:r>
</w:p>
<w:p>
<w:pPr><w:pStyle w:val="Normal"/></w:pPr>
<w:r><w:t xml:space="preserve">delle Scienze (Royal Academy of Sciences), founded in 1757</w:t></w:r>
</w:p>
<w:p>
<w:pPr><w:pStyle w:val="Normal"/></w:pPr>
<w:r><w:t xml:space="preserve">as a private society, and incorporated under its present name</w:t></w:r>
</w:p>
<w:p>
<w:pPr><w:pStyle w:val="Normal"/></w:pPr>
<w:r><w:t xml:space="preserve">by royal warrant in 1783.  It consists of 40 full members,</w:t></w:r>
</w:p>
<w:p>
<w:pPr><w:pStyle w:val="Normal"/></w:pPr>
<w:r><w:t xml:space="preserve">who must be residents of Turin, 20 non-resident, and 20</w:t></w:r>
</w:p>
<w:p>
<w:pPr><w:pStyle w:val="Normal"/></w:pPr>
<w:r><w:t xml:space="preserve">foreign members.  It publishes a yearly volume of proceedings</w:t></w:r>
</w:p>
<w:p>
<w:pPr><w:pStyle w:val="Normal"/></w:pPr>
<w:r><w:t xml:space="preserve">and awards prizes to learned works.  There are, besides,</w:t></w:r>
</w:p>
<w:p>
<w:pPr><w:pStyle w:val="Normal"/></w:pPr>
<w:r><w:t xml:space="preserve">royal academies of science at Naples, Lucca and Palermo.</w:t></w:r>
</w:p>
<w:p>
<w:pPr><w:pStyle w:val="Normal"/></w:pPr>
<w:r><w:t xml:space="preserve">Portugal.--The Academia Real das Sciencias (Royal</w:t></w:r>
</w:p>
<w:p>
<w:pPr><w:pStyle w:val="Normal"/></w:pPr>
<w:r><w:t xml:space="preserve">Academy of Sciences) at Lisbon dates from 1779.  It was</w:t></w:r>
</w:p>
<w:p>
<w:pPr><w:pStyle w:val="Normal"/></w:pPr>
<w:r><w:t xml:space="preserve">reorganized in 1851 and since then has been chiefly occupied</w:t></w:r>
</w:p>
<w:p>
<w:pPr><w:pStyle w:val="Normal"/></w:pPr>
<w:r><w:t xml:space="preserve">in the publication of Portugaliae Monumenta Historica.</w:t></w:r>
</w:p>
<w:p>
<w:pPr><w:pStyle w:val="Normal"/></w:pPr>
<w:r><w:t xml:space="preserve">Russia.--The Academie Imperiale des sciences de</w:t></w:r>
</w:p>
<w:p>
<w:pPr><w:pStyle w:val="Normal"/></w:pPr>
<w:r><w:t xml:space="preserve">Saint-Petersbourg, Imperatorskaya Akademiya nauk, was projected</w:t></w:r>
</w:p>
<w:p>
<w:pPr><w:pStyle w:val="Normal"/></w:pPr>
<w:r><w:t xml:space="preserve">by Peter the Great.  The advice of Wolff and Leibnitz was</w:t></w:r>
</w:p>
<w:p>
<w:pPr><w:pStyle w:val="Normal"/></w:pPr>
<w:r><w:t xml:space="preserve">sought, and several learned foreigners were invited to become</w:t></w:r>
</w:p>
<w:p>
<w:pPr><w:pStyle w:val="Normal"/></w:pPr>
<w:r><w:t xml:space="preserve">members. Peter himself drew the plan, and signed it on the</w:t></w:r>
</w:p>
<w:p>
<w:pPr><w:pStyle w:val="Normal"/></w:pPr>
<w:r><w:t xml:space="preserve">10th of February 1724; but his sudden death delayed its</w:t></w:r>
</w:p>
<w:p>
<w:pPr><w:pStyle w:val="Normal"/></w:pPr>
<w:r><w:t xml:space="preserve">fulfilment.  On the 21st of December 1725, however, Catherine</w:t></w:r>
</w:p>
<w:p>
<w:pPr><w:pStyle w:val="Heading1"/></w:pPr>
<w:r><w:t>I. established it according to his plan, and on the 27th</w:t></w:r>
</w:p>
<w:p>
<w:pPr><w:pStyle w:val="Normal"/></w:pPr>
<w:r><w:t xml:space="preserve">the society met for the first time.  On the 1st of August</w:t></w:r>
</w:p>
<w:p>
<w:pPr><w:pStyle w:val="Normal"/></w:pPr>
<w:r><w:t xml:space="preserve">1726, Catherine honoured the meeting with her presence, when</w:t></w:r>
</w:p>
<w:p>
<w:pPr><w:pStyle w:val="Normal"/></w:pPr>
<w:r><w:t xml:space="preserve">Professor G. B. Bilfinger, a German scientist, delivered an</w:t></w:r>
</w:p>
<w:p>
<w:pPr><w:pStyle w:val="Normal"/></w:pPr>
<w:r><w:t xml:space="preserve">oration upon the determination of magnetic variations and</w:t></w:r>
</w:p>
<w:p>
<w:pPr><w:pStyle w:val="Normal"/></w:pPr>
<w:r><w:t xml:space="preserve">longitude.  Shortly afterwards the empress settled a fund</w:t></w:r>
</w:p>
<w:p>
<w:pPr><w:pStyle w:val="Normal"/></w:pPr>
<w:r><w:t xml:space="preserve">of L. 4982 per annum for the support of the academy; and</w:t></w:r>
</w:p>
<w:p>
<w:pPr><w:pStyle w:val="Normal"/></w:pPr>
<w:r><w:t xml:space="preserve">15 eminent members were admitted and pensioned, under the</w:t></w:r>
</w:p>
<w:p>
<w:pPr><w:pStyle w:val="Normal"/></w:pPr>
<w:r><w:t xml:space="preserve">title of professors in the various branches of science and</w:t></w:r>
</w:p>
<w:p>
<w:pPr><w:pStyle w:val="Normal"/></w:pPr>
<w:r><w:t xml:space="preserve">literature.  The most distinguished of these were Nicholas and</w:t></w:r>
</w:p>
<w:p>
<w:pPr><w:pStyle w:val="Normal"/></w:pPr>
<w:r><w:t xml:space="preserve">Daniel Bernouilli, the two Delisles, Bilfinger, and Wolff.</w:t></w:r>
</w:p>
<w:p>
<w:pPr><w:pStyle w:val="Normal"/></w:pPr>
<w:r><w:t xml:space="preserve">During the short reign of Peter II. the salaries of members</w:t></w:r>
</w:p>
<w:p>
<w:pPr><w:pStyle w:val="Normal"/></w:pPr>
<w:r><w:t xml:space="preserve">were discontinued, and the academy neglected by the Court;</w:t></w:r>
</w:p>
<w:p>
<w:pPr><w:pStyle w:val="Normal"/></w:pPr>
<w:r><w:t xml:space="preserve">but it was again patronized by the empress Anne, who added a</w:t></w:r>
</w:p>
<w:p>
<w:pPr><w:pStyle w:val="Normal"/></w:pPr>
<w:r><w:t xml:space="preserve">seminary under the superintendence of the professors.  Both</w:t></w:r>
</w:p>
<w:p>
<w:pPr><w:pStyle w:val="Normal"/></w:pPr>
<w:r><w:t xml:space="preserve">institutions flourished for some time under the direction</w:t></w:r>
</w:p>
<w:p>
<w:pPr><w:pStyle w:val="Normal"/></w:pPr>
<w:r><w:t xml:space="preserve">of Baron Johann Albrecht Korin (1697--1766).  At the</w:t></w:r>
</w:p>
<w:p>
<w:pPr><w:pStyle w:val="Normal"/></w:pPr>
<w:r><w:t xml:space="preserve">accession of Elizabeth the original plan was enlarged and</w:t></w:r>
</w:p>
<w:p>
<w:pPr><w:pStyle w:val="Normal"/></w:pPr>
<w:r><w:t xml:space="preserve">improved; learned foreigners were drawn to St Petersburg;</w:t></w:r>
</w:p>
<w:p>
<w:pPr><w:pStyle w:val="Normal"/></w:pPr>
<w:r><w:t xml:space="preserve">and, what was considered a good omen for the literature of</w:t></w:r>
</w:p>
<w:p>
<w:pPr><w:pStyle w:val="Normal"/></w:pPr>
<w:r><w:t xml:space="preserve">Russia, two natives, Lomonosov and Rumovsky, men of genius</w:t></w:r>
</w:p>
<w:p>
<w:pPr><w:pStyle w:val="Normal"/></w:pPr>
<w:r><w:t xml:space="preserve">who had prosecuted their studies in foreign universities,</w:t></w:r>
</w:p>
<w:p>
<w:pPr><w:pStyle w:val="Normal"/></w:pPr>
<w:r><w:t xml:space="preserve">were enrolled among its members.  The annual income was</w:t></w:r>
</w:p>
<w:p>
<w:pPr><w:pStyle w:val="Normal"/></w:pPr>
<w:r><w:t xml:space="preserve">increased to L. 10,659, and sundry other advantages were</w:t></w:r>
</w:p>
<w:p>
<w:pPr><w:pStyle w:val="Normal"/></w:pPr>
<w:r><w:t xml:space="preserve">conferred upon the institution.  Catherine II. utilized</w:t></w:r>
</w:p>
<w:p>
<w:pPr><w:pStyle w:val="Normal"/></w:pPr>
<w:r><w:t xml:space="preserve">the academy for the advancement of national culture.  She</w:t></w:r>
</w:p>
<w:p>
<w:pPr><w:pStyle w:val="Normal"/></w:pPr>
<w:r><w:t xml:space="preserve">altered the court of directors greatly to the advantage</w:t></w:r>
</w:p>
<w:p>
<w:pPr><w:pStyle w:val="Normal"/></w:pPr>
<w:r><w:t xml:space="preserve">of the whole body, corrected many of its abuses, added to</w:t></w:r>
</w:p>
<w:p>
<w:pPr><w:pStyle w:val="Normal"/></w:pPr>
<w:r><w:t xml:space="preserve">its means, and infused a new vigour and spirit into its</w:t></w:r>
</w:p>
<w:p>
<w:pPr><w:pStyle w:val="Normal"/></w:pPr>
<w:r><w:t xml:space="preserve">researches.  By her recommendation the most intelligent</w:t></w:r>
</w:p>
<w:p>
<w:pPr><w:pStyle w:val="Normal"/></w:pPr>
<w:r><w:t xml:space="preserve">professors visited all the provinces of her vast dominions,</w:t></w:r>
</w:p>
<w:p>
<w:pPr><w:pStyle w:val="Normal"/></w:pPr>
<w:r><w:t xml:space="preserve">with most minute and ample instructions to investigate the</w:t></w:r>
</w:p>
<w:p>
<w:pPr><w:pStyle w:val="Normal"/></w:pPr>
<w:r><w:t xml:space="preserve">natural resources, conditions and requirements, and report</w:t></w:r>
</w:p>
<w:p>
<w:pPr><w:pStyle w:val="Normal"/></w:pPr>
<w:r><w:t xml:space="preserve">on the real state of the empire.  The result was that no</w:t></w:r>
</w:p>
<w:p>
<w:pPr><w:pStyle w:val="Normal"/></w:pPr>
<w:r><w:t xml:space="preserve">country at that time could boast, within so few years, such</w:t></w:r>
</w:p>
<w:p>
<w:pPr><w:pStyle w:val="Normal"/></w:pPr>
<w:r><w:t xml:space="preserve">a number of excellent official publications on its internal</w:t></w:r>
</w:p>
<w:p>
<w:pPr><w:pStyle w:val="Normal"/></w:pPr>
<w:r><w:t xml:space="preserve">state, its natural productions, its topography, geography and</w:t></w:r>
</w:p>
<w:p>
<w:pPr><w:pStyle w:val="Normal"/></w:pPr>
<w:r><w:t xml:space="preserve">history, and on the manners, customs and languages of the</w:t></w:r>
</w:p>
<w:p>
<w:pPr><w:pStyle w:val="Normal"/></w:pPr>
<w:r><w:t xml:space="preserve">different tribes that inhabited it, as came from the press</w:t></w:r>
</w:p>
<w:p>
<w:pPr><w:pStyle w:val="Normal"/></w:pPr>
<w:r><w:t xml:space="preserve">of this academy.  In its researches in Asiatic languages,</w:t></w:r>
</w:p>
<w:p>
<w:pPr><w:pStyle w:val="Normal"/></w:pPr>
<w:r><w:t xml:space="preserve">oriental customs and religions, it proved itself the worthy</w:t></w:r>
</w:p>
<w:p>
<w:pPr><w:pStyle w:val="Normal"/></w:pPr>
<w:r><w:t xml:space="preserve">rival of the Royal Asiatic Society in England.  The first</w:t></w:r>
</w:p>
<w:p>
<w:pPr><w:pStyle w:val="Normal"/></w:pPr>
<w:r><w:t xml:space="preserve">transactions, Commentarii Academiae Scientiarum Imperialis</w:t></w:r>
</w:p>
<w:p>
<w:pPr><w:pStyle w:val="Normal"/></w:pPr>
<w:r><w:t xml:space="preserve">Petropolitanae ad annum 1726, with a dedication to Peter</w:t></w:r>
</w:p>
<w:p>
<w:pPr><w:pStyle w:val="Normal"/></w:pPr>
<w:r><w:t xml:space="preserve">II., were published in 1728.  This was continued until</w:t></w:r>
</w:p>
<w:p>
<w:pPr><w:pStyle w:val="Normal"/></w:pPr>
<w:r><w:t xml:space="preserve">1747, when the transactions were called Novi Commentarii</w:t></w:r>
</w:p>
<w:p>
<w:pPr><w:pStyle w:val="Normal"/></w:pPr>
<w:r><w:t xml:space="preserve">Academiae, &amp;c.; and in 1777, Acta Academiae Scientiarum</w:t></w:r>
</w:p>
<w:p>
<w:pPr><w:pStyle w:val="Normal"/></w:pPr>
<w:r><w:t xml:space="preserve">Imperialis Petropolitanae, with some alteration in the</w:t></w:r>
</w:p>
<w:p>
<w:pPr><w:pStyle w:val="Normal"/></w:pPr>
<w:r><w:t xml:space="preserve">arrangements and plan of the work.  The papers, hitherto</w:t></w:r>
</w:p>
<w:p>
<w:pPr><w:pStyle w:val="Normal"/></w:pPr>
<w:r><w:t xml:space="preserve">in Latin only, were now written indifferently in Latin or</w:t></w:r>
</w:p>
<w:p>
<w:pPr><w:pStyle w:val="Normal"/></w:pPr>
<w:r><w:t xml:space="preserve">in French, and a preface added, Partie Historique, which</w:t></w:r>
</w:p>
<w:p>
<w:pPr><w:pStyle w:val="Normal"/></w:pPr>
<w:r><w:t xml:space="preserve">contains an account of the society&apos;s meetings.  Of the</w:t></w:r>
</w:p>
<w:p>
<w:pPr><w:pStyle w:val="Normal"/></w:pPr>
<w:r><w:t xml:space="preserve">Commentaries, fourteen volumes were published: of the New</w:t></w:r>
</w:p>
<w:p>
<w:pPr><w:pStyle w:val="Normal"/></w:pPr>
<w:r><w:t xml:space="preserve">Commentaries (1750--1776) twenty.  Of the Acta Academiae</w:t></w:r>
</w:p>
<w:p>
<w:pPr><w:pStyle w:val="Normal"/></w:pPr>
<w:r><w:t xml:space="preserve">two volumes are printed every year.  In 1872 there was</w:t></w:r>
</w:p>
<w:p>
<w:pPr><w:pStyle w:val="Normal"/></w:pPr>
<w:r><w:t xml:space="preserve">published at St Petersburg in 2 vols., Tableau general des</w:t></w:r>
</w:p>
<w:p>
<w:pPr><w:pStyle w:val="Normal"/></w:pPr>
<w:r><w:t xml:space="preserve">matieres contenues dans les publieations de l&apos;Academie</w:t></w:r>
</w:p>
<w:p>
<w:pPr><w:pStyle w:val="Normal"/></w:pPr>
<w:r><w:t xml:space="preserve">Imperiale des Sciences de St Petersbourg. The academy is</w:t></w:r>
</w:p>
<w:p>
<w:pPr><w:pStyle w:val="Normal"/></w:pPr>
<w:r><w:t xml:space="preserve">composed, as at first, of fifteen professors, besides the</w:t></w:r>
</w:p>
<w:p>
<w:pPr><w:pStyle w:val="Normal"/></w:pPr>
<w:r><w:t xml:space="preserve">president and director.  Each of the professors has a house</w:t></w:r>
</w:p>
<w:p>
<w:pPr><w:pStyle w:val="Normal"/></w:pPr>
<w:r><w:t xml:space="preserve">and an annual stipend of from L. 200 to L. 600.  Besides the</w:t></w:r>
</w:p>
<w:p>
<w:pPr><w:pStyle w:val="Normal"/></w:pPr>
<w:r><w:t xml:space="preserve">professors, there are four pensioned adjuncts, who are present</w:t></w:r>
</w:p>
<w:p>
<w:pPr><w:pStyle w:val="Normal"/></w:pPr>
<w:r><w:t xml:space="preserve">at the meetings of the society, and succeed to the first</w:t></w:r>
</w:p>
<w:p>
<w:pPr><w:pStyle w:val="Normal"/></w:pPr>
<w:r><w:t xml:space="preserve">vacancies. The buildings and apparatus of this academy are</w:t></w:r>
</w:p>
<w:p>
<w:pPr><w:pStyle w:val="Normal"/></w:pPr>
<w:r><w:t xml:space="preserve">on a vast scale. There is a fine library, of 36,000 books and</w:t></w:r>
</w:p>
<w:p>
<w:pPr><w:pStyle w:val="Normal"/></w:pPr>
<w:r><w:t xml:space="preserve">manuscripts; and an extensive museum, considerably augmented</w:t></w:r>
</w:p>
<w:p>
<w:pPr><w:pStyle w:val="Normal"/></w:pPr>
<w:r><w:t xml:space="preserve">by the collections made by Pallas, Gmelin, Guldenstadt</w:t></w:r>
</w:p>
<w:p>
<w:pPr><w:pStyle w:val="Normal"/></w:pPr>
<w:r><w:t xml:space="preserve">and other professors, during their expeditions through the</w:t></w:r>
</w:p>
<w:p>
<w:pPr><w:pStyle w:val="Normal"/></w:pPr>
<w:r><w:t xml:space="preserve">Russian empire.  The motto of the society is Paulatim.</w:t></w:r>
</w:p>
<w:p>
<w:pPr><w:pStyle w:val="Normal"/></w:pPr>
<w:r><w:t xml:space="preserve">Spain.---The Real Academia Espanola at Madrid (see</w:t></w:r>
</w:p>
<w:p>
<w:pPr><w:pStyle w:val="Normal"/></w:pPr>
<w:r><w:t xml:space="preserve">below) had a predecessor in the Academia Naturae curiosorum</w:t></w:r>
</w:p>
<w:p>
<w:pPr><w:pStyle w:val="Normal"/></w:pPr>
<w:r><w:t xml:space="preserve">(dating from 1657) modelled on that of Naples.  It was</w:t></w:r>
</w:p>
<w:p>
<w:pPr><w:pStyle w:val="Normal"/></w:pPr>
<w:r><w:t xml:space="preserve">reconstituted in 1847 after the model of the French academy.</w:t></w:r>
</w:p>
<w:p>
<w:pPr><w:pStyle w:val="Normal"/></w:pPr>
<w:r><w:t xml:space="preserve">Sweden.--The Kongliga Svenska Vetenskaps Akademien owes</w:t></w:r>
</w:p>
<w:p>
<w:pPr><w:pStyle w:val="Normal"/></w:pPr>
<w:r><w:t xml:space="preserve">its institution to six persons of distinguished learning,</w:t></w:r>
</w:p>
<w:p>
<w:pPr><w:pStyle w:val="Normal"/></w:pPr>
<w:r><w:t xml:space="preserve">among whom was Linnaeus.  They met on the 2nd of June 1739,</w:t></w:r>
</w:p>
<w:p>
<w:pPr><w:pStyle w:val="Normal"/></w:pPr>
<w:r><w:t xml:space="preserve">and formed a private society, the Collegium Curiosorum;</w:t></w:r>
</w:p>
<w:p>
<w:pPr><w:pStyle w:val="Normal"/></w:pPr>
<w:r><w:t xml:space="preserve">and at the end of the year their first publication made</w:t></w:r>
</w:p>
<w:p>
<w:pPr><w:pStyle w:val="Normal"/></w:pPr>
<w:r><w:t xml:space="preserve">its appeamnce. As the meetings continued and the members</w:t></w:r>
</w:p>
<w:p>
<w:pPr><w:pStyle w:val="Normal"/></w:pPr>
<w:r><w:t xml:space="preserve">increased the society attracted the notice of the king; and</w:t></w:r>
</w:p>
<w:p>
<w:pPr><w:pStyle w:val="Normal"/></w:pPr>
<w:r><w:t xml:space="preserve">on the 31st of March 1741 it was incorporated as the Royal</w:t></w:r>
</w:p>
<w:p>
<w:pPr><w:pStyle w:val="Normal"/></w:pPr>
<w:r><w:t xml:space="preserve">Swedish Academy. Though under royal patronage and largely</w:t></w:r>
</w:p>
<w:p>
<w:pPr><w:pStyle w:val="Normal"/></w:pPr>
<w:r><w:t xml:space="preserve">endowed, it is, like the Royal Society in England, entirely</w:t></w:r>
</w:p>
<w:p>
<w:pPr><w:pStyle w:val="Normal"/></w:pPr>
<w:r><w:t xml:space="preserve">self-governed.  Each of the members resident at Stockholm</w:t></w:r>
</w:p>
<w:p>
<w:pPr><w:pStyle w:val="Normal"/></w:pPr>
<w:r><w:t xml:space="preserve">becomes in turn president, and continues in office for</w:t></w:r>
</w:p>
<w:p>
<w:pPr><w:pStyle w:val="Normal"/></w:pPr>
<w:r><w:t xml:space="preserve">three months.  The dissertations read at each meeting</w:t></w:r>
</w:p>
<w:p>
<w:pPr><w:pStyle w:val="Normal"/></w:pPr>
<w:r><w:t xml:space="preserve">are published in the Swedish language, quarterly, and</w:t></w:r>
</w:p>
<w:p>
<w:pPr><w:pStyle w:val="Normal"/></w:pPr>
<w:r><w:t xml:space="preserve">make an annual volume.  The first forty volumes, octavo,</w:t></w:r>
</w:p>
<w:p>
<w:pPr><w:pStyle w:val="Normal"/></w:pPr>
<w:r><w:t xml:space="preserve">completed in 1779, are called the Old Transactions.</w:t></w:r>
</w:p>
<w:p>
<w:pPr><w:pStyle w:val="Normal"/></w:pPr>
<w:r><w:t xml:space="preserve">United States of America.--The oldest scientific association</w:t></w:r>
</w:p>
<w:p>
<w:pPr><w:pStyle w:val="Normal"/></w:pPr>
<w:r><w:t xml:space="preserve">in the United States is the American Philosophical Society</w:t></w:r>
</w:p>
<w:p>
<w:pPr><w:pStyle w:val="Normal"/></w:pPr>
<w:r><w:t xml:space="preserve">Held at Philadelphia for Promoting Useful Knowledge.  It owed</w:t></w:r>
</w:p>
<w:p>
<w:pPr><w:pStyle w:val="Normal"/></w:pPr>
<w:r><w:t xml:space="preserve">its origin to Benjamin Franklin, who in 1743 published ``A</w:t></w:r>
</w:p>
<w:p>
<w:pPr><w:pStyle w:val="Normal"/></w:pPr>
<w:r><w:t xml:space="preserve">Proposal for Promoting Useful Knowledge among the British</w:t></w:r>
</w:p>
<w:p>
<w:pPr><w:pStyle w:val="Normal"/></w:pPr>
<w:r><w:t xml:space="preserve">Plantations in America,&apos;&apos; which was so favourably received</w:t></w:r>
</w:p>
<w:p>
<w:pPr><w:pStyle w:val="Normal"/></w:pPr>
<w:r><w:t xml:space="preserve">that in the same year the society was organized, with</w:t></w:r>
</w:p>
<w:p>
<w:pPr><w:pStyle w:val="Normal"/></w:pPr>
<w:r><w:t xml:space="preserve">Thomas Hopkinson (1709-1751) as president and Franklin as</w:t></w:r>
</w:p>
<w:p>
<w:pPr><w:pStyle w:val="Normal"/></w:pPr>
<w:r><w:t xml:space="preserve">secretary.  In 1769 it united with another scientific society</w:t></w:r>
</w:p>
<w:p>
<w:pPr><w:pStyle w:val="Normal"/></w:pPr>
<w:r><w:t xml:space="preserve">founded by Franklin, called the American Society Held at</w:t></w:r>
</w:p>
<w:p>
<w:pPr><w:pStyle w:val="Normal"/></w:pPr>
<w:r><w:t xml:space="preserve">Philadelphia for Promoting Useful Knowledge, and adopted its</w:t></w:r>
</w:p>
<w:p>
<w:pPr><w:pStyle w:val="Normal"/></w:pPr>
<w:r><w:t xml:space="preserve">present name, adding the descriptive phrase from the title</w:t></w:r>
</w:p>
<w:p>
<w:pPr><w:pStyle w:val="Normal"/></w:pPr>
<w:r><w:t xml:space="preserve">of the American Society, and elected Franklin president,</w:t></w:r>
</w:p>
<w:p>
<w:pPr><w:pStyle w:val="Normal"/></w:pPr>
<w:r><w:t xml:space="preserve">an office which he held until his death (1790).  The</w:t></w:r>
</w:p>
<w:p>
<w:pPr><w:pStyle w:val="Normal"/></w:pPr>
<w:r><w:t xml:space="preserve">American Philosophical Society is national in scope and is</w:t></w:r>
</w:p>
<w:p>
<w:pPr><w:pStyle w:val="Normal"/></w:pPr>
<w:r><w:t xml:space="preserve">exclusively scientific; its Transactions date from 1771, and</w:t></w:r>
</w:p>
<w:p>
<w:pPr><w:pStyle w:val="Normal"/></w:pPr>
<w:r><w:t xml:space="preserve">its Proceedings from 1838.  It has a hall in Philadelphia,</w:t></w:r>
</w:p>
<w:p>
<w:pPr><w:pStyle w:val="Normal"/></w:pPr>
<w:r><w:t xml:space="preserve">with meeting-rooms and a valuable library and collection</w:t></w:r>
</w:p>
<w:p>
<w:pPr><w:pStyle w:val="Normal"/></w:pPr>
<w:r><w:t xml:space="preserve">of interesting portraits and relics. David Rittenhouse was</w:t></w:r>
</w:p>
<w:p>
<w:pPr><w:pStyle w:val="Normal"/></w:pPr>
<w:r><w:t xml:space="preserve">its second and Thomas Jefferson was its third president.</w:t></w:r>
</w:p>
<w:p>
<w:pPr><w:pStyle w:val="Normal"/></w:pPr>
<w:r><w:t xml:space="preserve">In 1786 John Hyacinth de Magellan, of London, presented a</w:t></w:r>
</w:p>
<w:p>
<w:pPr><w:pStyle w:val="Normal"/></w:pPr>
<w:r><w:t xml:space="preserve">fund, the income of which was to supply a gold medal for</w:t></w:r>
</w:p>
<w:p>
<w:pPr><w:pStyle w:val="Normal"/></w:pPr>
<w:r><w:t xml:space="preserve">the author of the most important discovery ``relating to</w:t></w:r>
</w:p>
<w:p>
<w:pPr><w:pStyle w:val="Normal"/></w:pPr>
<w:r><w:t xml:space="preserve">navigation, astronomy or natural philosophy (mere natural</w:t></w:r>
</w:p>
<w:p>
<w:pPr><w:pStyle w:val="Normal"/></w:pPr>
<w:r><w:t xml:space="preserve">history excepted).&apos;&apos; An annual general meeting is held.</w:t></w:r>
</w:p>
<w:p>
<w:pPr><w:pStyle w:val="Normal"/></w:pPr>
<w:r><w:t xml:space="preserve">The American Academy of Arts and Sciences (Boston), the</w:t></w:r>
</w:p>
<w:p>
<w:pPr><w:pStyle w:val="Normal"/></w:pPr>
<w:r><w:t xml:space="preserve">second oldest scientific organization in the United States,</w:t></w:r>
</w:p>
<w:p>
<w:pPr><w:pStyle w:val="Normal"/></w:pPr>
<w:r><w:t xml:space="preserve">was chartered in Massachusetts in 1780 by some of the most</w:t></w:r>
</w:p>
<w:p>
<w:pPr><w:pStyle w:val="Normal"/></w:pPr>
<w:r><w:t xml:space="preserve">prominent men of that time.  James Bowdoin was its first</w:t></w:r>
</w:p>
<w:p>
<w:pPr><w:pStyle w:val="Normal"/></w:pPr>
<w:r><w:t xml:space="preserve">president, John Adams its second.  The Academy published</w:t></w:r>
</w:p>
<w:p>
<w:pPr><w:pStyle w:val="Normal"/></w:pPr>
<w:r><w:t xml:space="preserve">Memoirs beginning in 1785, and Proceedings from 1846.  The</w:t></w:r>
</w:p>
<w:p>
<w:pPr><w:pStyle w:val="Normal"/></w:pPr>
<w:r><w:t xml:space="preserve">Rumford Premium awarded through it for the most ``important</w:t></w:r>
</w:p>
<w:p>
<w:pPr><w:pStyle w:val="Normal"/></w:pPr>
<w:r><w:t xml:space="preserve">discovery or useful improvement on Heat, or on Light&apos;&apos; is</w:t></w:r>
</w:p>
<w:p>
<w:pPr><w:pStyle w:val="Normal"/></w:pPr>
<w:r><w:t xml:space="preserve">the income of $5000 given to the Academy by Count Rumford.</w:t></w:r>
</w:p>
<w:p>
<w:pPr><w:pStyle w:val="Normal"/></w:pPr>
<w:r><w:t xml:space="preserve">The National Academy of Sciences (1863) was incorporated</w:t></w:r>
</w:p>
<w:p>
<w:pPr><w:pStyle w:val="Normal"/></w:pPr>
<w:r><w:t xml:space="preserve">by Congress with the object that it ``shall, whenever called</w:t></w:r>
</w:p>
<w:p>
<w:pPr><w:pStyle w:val="Normal"/></w:pPr>
<w:r><w:t xml:space="preserve">upon by any department of the Government, investigate,</w:t></w:r>
</w:p>
<w:p>
<w:pPr><w:pStyle w:val="Normal"/></w:pPr>
<w:r><w:t xml:space="preserve">examine, experiment and report upon any subject of science</w:t></w:r>
</w:p>
<w:p>
<w:pPr><w:pStyle w:val="Normal"/></w:pPr>
<w:r><w:t xml:space="preserve">or art.&apos;&apos; Its membership was first limited to 50; after</w:t></w:r>
</w:p>
<w:p>
<w:pPr><w:pStyle w:val="Normal"/></w:pPr>
<w:r><w:t xml:space="preserve">the amendment of the act of incorporation in 1870 the limit</w:t></w:r>
</w:p>
<w:p>
<w:pPr><w:pStyle w:val="Normal"/></w:pPr>
<w:r><w:t xml:space="preserve">was placed at 100; and in 1907 it was prescribed that the</w:t></w:r>
</w:p>
<w:p>
<w:pPr><w:pStyle w:val="Normal"/></w:pPr>
<w:r><w:t xml:space="preserve">resident membership should not exceed 150 in number, that</w:t></w:r>
</w:p>
<w:p>
<w:pPr><w:pStyle w:val="Normal"/></w:pPr>
<w:r><w:t xml:space="preserve">not more than 10 members be elected in any one year, and</w:t></w:r>
</w:p>
<w:p>
<w:pPr><w:pStyle w:val="Normal"/></w:pPr>
<w:r><w:t xml:space="preserve">that the number of foreign associates be restricted to 50.</w:t></w:r>
</w:p>
<w:p>
<w:pPr><w:pStyle w:val="Normal"/></w:pPr>
<w:r><w:t xml:space="preserve">The Academy is divided into six committees: mathematics</w:t></w:r>
</w:p>
<w:p>
<w:pPr><w:pStyle w:val="Normal"/></w:pPr>
<w:r><w:t xml:space="preserve">and astronomy; physics and engineering; chemistry;</w:t></w:r>
</w:p>
<w:p>
<w:pPr><w:pStyle w:val="Normal"/></w:pPr>
<w:r><w:t xml:space="preserve">geology and palaeontology; biology; and anthropology.  It</w:t></w:r>
</w:p>
<w:p>
<w:pPr><w:pStyle w:val="Normal"/></w:pPr>
<w:r><w:t xml:space="preserve">gives several gold medals for meritorious researches and</w:t></w:r>
</w:p>
<w:p>
<w:pPr><w:pStyle w:val="Normal"/></w:pPr>
<w:r><w:t xml:space="preserve">discoveries.  It publishes scientific monographs (at the</w:t></w:r>
</w:p>
<w:p>
<w:pPr><w:pStyle w:val="Normal"/></w:pPr>
<w:r><w:t xml:space="preserve">expense of the Federal Government).  Its presidents have been</w:t></w:r>
</w:p>
<w:p>
<w:pPr><w:pStyle w:val="Normal"/></w:pPr>
<w:r><w:t xml:space="preserve">Alexander D. Bache, Joseph Henry, Wm. B. Rogers, Othuiel C.</w:t></w:r>
</w:p>
<w:p>
<w:pPr><w:pStyle w:val="Normal"/></w:pPr>
<w:r><w:t xml:space="preserve">Marsh, Wolcott Gibbs, Alexander Agassiz and Ira Remsen.</w:t></w:r>
</w:p>
<w:p>
<w:pPr><w:pStyle w:val="Normal"/></w:pPr>
<w:r><w:t xml:space="preserve">The Academy of Natural Sciences of Philadelphia was organized in</w:t></w:r>
</w:p>
<w:p>
<w:pPr><w:pStyle w:val="Normal"/></w:pPr>
<w:r><w:t xml:space="preserve">1812.  It has a large library, very rich in natural history,</w:t></w:r>
</w:p>
<w:p>
<w:pPr><w:pStyle w:val="Normal"/></w:pPr>
<w:r><w:t xml:space="preserve">and its museum, with nearly half a million specimens, is</w:t></w:r>
</w:p>
<w:p>
<w:pPr><w:pStyle w:val="Normal"/></w:pPr>
<w:r><w:t xml:space="preserve">particularly strong in conchology and ornithology.  The</w:t></w:r>
</w:p>
<w:p>
<w:pPr><w:pStyle w:val="Normal"/></w:pPr>
<w:r><w:t xml:space="preserve">society has published Journals since 1817, and Proceedings</w:t></w:r>
</w:p>
<w:p>
<w:pPr><w:pStyle w:val="Normal"/></w:pPr>
<w:r><w:t xml:space="preserve">since 1841; it also has published the American Journal</w:t></w:r>
</w:p>
<w:p>
<w:pPr><w:pStyle w:val="Normal"/></w:pPr>
<w:r><w:t xml:space="preserve">of Conchology. The American Entomological Society (in</w:t></w:r>
</w:p>
<w:p>
<w:pPr><w:pStyle w:val="Normal"/></w:pPr>
<w:r><w:t xml:space="preserve">1859-1867 the EntomoIogical Society of Philadelphia, and</w:t></w:r>
</w:p>
<w:p>
<w:pPr><w:pStyle w:val="Normal"/></w:pPr>
<w:r><w:t xml:space="preserve">since 1876 part of this academy) has published Proceedings</w:t></w:r>
</w:p>
<w:p>
<w:pPr><w:pStyle w:val="Normal"/></w:pPr>
<w:r><w:t xml:space="preserve">since 1861, and the Entomological news (a monthly).</w:t></w:r>
</w:p>
<w:p>
<w:pPr><w:pStyle w:val="Normal"/></w:pPr>
<w:r><w:t xml:space="preserve">There are also other scientific organizations like the American</w:t></w:r>
</w:p>
<w:p>
<w:pPr><w:pStyle w:val="Normal"/></w:pPr>
<w:r><w:t xml:space="preserve">Association for the Advancement of Science (chartered in 1874,</w:t></w:r>
</w:p>
<w:p>
<w:pPr><w:pStyle w:val="Normal"/></w:pPr>
<w:r><w:t xml:space="preserve">as a continuation of the American Association of Geologists,</w:t></w:r>
</w:p>
<w:p>
<w:pPr><w:pStyle w:val="Normal"/></w:pPr>
<w:r><w:t xml:space="preserve">founded in 1840 and becoming in 1842 the American Association</w:t></w:r>
</w:p>
<w:p>
<w:pPr><w:pStyle w:val="Normal"/></w:pPr>
<w:r><w:t xml:space="preserve">of Geologists and Naturalists), which publishes its proceedings</w:t></w:r>
</w:p>
<w:p>
<w:pPr><w:pStyle w:val="Normal"/></w:pPr>
<w:r><w:t xml:space="preserve">annually; the American Geographical Society (1852), with</w:t></w:r>
</w:p>
<w:p>
<w:pPr><w:pStyle w:val="Normal"/></w:pPr>
<w:r><w:t xml:space="preserve">headquarters in New Ynrk: the National Geographic Society</w:t></w:r>
</w:p>
<w:p>
<w:pPr><w:pStyle w:val="Normal"/></w:pPr>
<w:r><w:t xml:space="preserve">(1888), with headquarters in Washington, D.C.; the Geological</w:t></w:r>
</w:p>
<w:p>
<w:pPr><w:pStyle w:val="Normal"/></w:pPr>
<w:r><w:t xml:space="preserve">Society of America (1888), the American Ornithologists&apos; Union</w:t></w:r>
</w:p>
<w:p>
<w:pPr><w:pStyle w:val="Normal"/></w:pPr>
<w:r><w:t xml:space="preserve">(1883), the American Society of naturalists (1883), the</w:t></w:r>
</w:p>
<w:p>
<w:pPr><w:pStyle w:val="Normal"/></w:pPr>
<w:r><w:t xml:space="preserve">Botanical Society of America (1893), the American Academy of</w:t></w:r>
</w:p>
<w:p>
<w:pPr><w:pStyle w:val="Normal"/></w:pPr>
<w:r><w:t xml:space="preserve">Medicine (1876); and local academies of science, or of special</w:t></w:r>
</w:p>
<w:p>
<w:pPr><w:pStyle w:val="Normal"/></w:pPr>
<w:r><w:t xml:space="preserve">sciences, in many of the larger cities.  The Smithsonian</w:t></w:r>
</w:p>
<w:p>
<w:pPr><w:pStyle w:val="Normal"/></w:pPr>
<w:r><w:t xml:space="preserve">Institution at Washington is treated in a separate article.</w:t></w:r>
</w:p>
<w:p>
<w:pPr><w:pStyle w:val="Heading1"/></w:pPr>
<w:r><w:t>II. ACADEMIES OF BELLES LETTRES Belgium.-- Belgium</w:t></w:r>
</w:p>
<w:p>
<w:pPr><w:pStyle w:val="Normal"/></w:pPr>
<w:r><w:t xml:space="preserve">has always been famous for its literary societies.  The</w:t></w:r>
</w:p>
<w:p>
<w:pPr><w:pStyle w:val="Normal"/></w:pPr>
<w:r><w:t xml:space="preserve">little town of Diest boasts that it possessed a society</w:t></w:r>
</w:p>
<w:p>
<w:pPr><w:pStyle w:val="Normal"/></w:pPr>
<w:r><w:t xml:space="preserve">of poets in 1302, and the Catherinists of Alost date from</w:t></w:r>
</w:p>
<w:p>
<w:pPr><w:pStyle w:val="Normal"/></w:pPr>
<w:r><w:t xml:space="preserve">1107.  It is at least certain that numerous Chambers</w:t></w:r>
</w:p>
<w:p>
<w:pPr><w:pStyle w:val="Normal"/></w:pPr>
<w:r><w:t xml:space="preserve">of Rhetoric (so academies were then called) existed in</w:t></w:r>
</w:p>
<w:p>
<w:pPr><w:pStyle w:val="Normal"/></w:pPr>
<w:r><w:t xml:space="preserve">the first years of the rule of the house of Burgundy.</w:t></w:r>
</w:p>
<w:p>
<w:pPr><w:pStyle w:val="Normal"/></w:pPr>
<w:r><w:t xml:space="preserve">France.---The French Academy (l&apos;Academie Francaise) was</w:t></w:r>
</w:p>
<w:p>
<w:pPr><w:pStyle w:val="Normal"/></w:pPr>
<w:r><w:t xml:space="preserve">established by order of the king in the year 1635, but in its</w:t></w:r>
</w:p>
<w:p>
<w:pPr><w:pStyle w:val="Normal"/></w:pPr>
<w:r><w:t xml:space="preserve">original form existed four or five years earlier.  About the</w:t></w:r>
</w:p>
<w:p>
<w:pPr><w:pStyle w:val="Normal"/></w:pPr>
<w:r><w:t xml:space="preserve">year 1629 certain literary friends in Paris agreed to meet</w:t></w:r>
</w:p>
<w:p>
<w:pPr><w:pStyle w:val="Normal"/></w:pPr>
<w:r><w:t xml:space="preserve">informally each week at the house of Valentin Courart, the</w:t></w:r>
</w:p>
<w:p>
<w:pPr><w:pStyle w:val="Normal"/></w:pPr>
<w:r><w:t xml:space="preserve">king&apos;s secretary. The conversation turned mostly on literary</w:t></w:r>
</w:p>
<w:p>
<w:pPr><w:pStyle w:val="Normal"/></w:pPr>
<w:r><w:t xml:space="preserve">topics; and when one of the number had finished some literary</w:t></w:r>
</w:p>
<w:p>
<w:pPr><w:pStyle w:val="Normal"/></w:pPr>
<w:r><w:t xml:space="preserve">work, he read it to the rest, and they gave their opinions upon</w:t></w:r>
</w:p>
<w:p>
<w:pPr><w:pStyle w:val="Normal"/></w:pPr>
<w:r><w:t xml:space="preserve">it.  The fame of these meetings, though the members were</w:t></w:r>
</w:p>
<w:p>
<w:pPr><w:pStyle w:val="Normal"/></w:pPr>
<w:r><w:t xml:space="preserve">bound to secrecy, reached the ears of Cardinal Richelieu,</w:t></w:r>
</w:p>
<w:p>
<w:pPr><w:pStyle w:val="Normal"/></w:pPr>
<w:r><w:t xml:space="preserve">who promised his protection and offered to incorporate the</w:t></w:r>
</w:p>
<w:p>
<w:pPr><w:pStyle w:val="Normal"/></w:pPr>
<w:r><w:t xml:space="preserve">society by letters patent.  Nearly all the members would have</w:t></w:r>
</w:p>
<w:p>
<w:pPr><w:pStyle w:val="Normal"/></w:pPr>
<w:r><w:t xml:space="preserve">preferred the charms of privacy, but, considering the risk</w:t></w:r>
</w:p>
<w:p>
<w:pPr><w:pStyle w:val="Normal"/></w:pPr>
<w:r><w:t xml:space="preserve">they would run in incurring the cardinal&apos;s displeasure, and</w:t></w:r>
</w:p>
<w:p>
<w:pPr><w:pStyle w:val="Normal"/></w:pPr>
<w:r><w:t xml:space="preserve">that by the letter of the law all meetings of any sort were</w:t></w:r>
</w:p>
<w:p>
<w:pPr><w:pStyle w:val="Normal"/></w:pPr>
<w:r><w:t xml:space="preserve">prohibited, they expressed their gratitude for the high honour</w:t></w:r>
</w:p>
<w:p>
<w:pPr><w:pStyle w:val="Normal"/></w:pPr>
<w:r><w:t xml:space="preserve">the cardinal thought fit to confer on them, proceeded at once</w:t></w:r>
</w:p>
<w:p>
<w:pPr><w:pStyle w:val="Normal"/></w:pPr>
<w:r><w:t xml:space="preserve">to organize their body, settle their laws and constitution,</w:t></w:r>
</w:p>
<w:p>
<w:pPr><w:pStyle w:val="Normal"/></w:pPr>
<w:r><w:t xml:space="preserve">appoint officers and choose a name.  Letters patent were</w:t></w:r>
</w:p>
<w:p>
<w:pPr><w:pStyle w:val="Normal"/></w:pPr>
<w:r><w:t xml:space="preserve">granted by the king on the 29th of January 1635.  The officers</w:t></w:r>
</w:p>
<w:p>
<w:pPr><w:pStyle w:val="Normal"/></w:pPr>
<w:r><w:t xml:space="preserve">consisted of a director and a chancellor, chosen by lot, and</w:t></w:r>
</w:p>
<w:p>
<w:pPr><w:pStyle w:val="Normal"/></w:pPr>
<w:r><w:t xml:space="preserve">a permanent secretary, chosen by vote.  They elected also a</w:t></w:r>
</w:p>
<w:p>
<w:pPr><w:pStyle w:val="Normal"/></w:pPr>
<w:r><w:t xml:space="preserve">publisher, not a member of the body.  The director presided</w:t></w:r>
</w:p>
<w:p>
<w:pPr><w:pStyle w:val="Normal"/></w:pPr>
<w:r><w:t xml:space="preserve">at the meetings, being considered as primus inter pares.</w:t></w:r>
</w:p>
<w:p>
<w:pPr><w:pStyle w:val="Normal"/></w:pPr>
<w:r><w:t xml:space="preserve">The chancellor kept the seals and sealed all the official</w:t></w:r>
</w:p>
<w:p>
<w:pPr><w:pStyle w:val="Normal"/></w:pPr>
<w:r><w:t xml:space="preserve">documents of the academy.  The cardinal was ex officio</w:t></w:r>
</w:p>
<w:p>
<w:pPr><w:pStyle w:val="Normal"/></w:pPr>
<w:r><w:t xml:space="preserve">protector.  The meetings were held weekly as before.</w:t></w:r>
</w:p>
<w:p>
<w:pPr><w:pStyle w:val="Normal"/></w:pPr>
<w:r><w:t xml:space="preserve">The object for which the academy was founded, as set forth</w:t></w:r>
</w:p>
<w:p>
<w:pPr><w:pStyle w:val="Normal"/></w:pPr>
<w:r><w:t xml:space="preserve">in its statutes, was the purification of the French language.</w:t></w:r>
</w:p>
<w:p>
<w:pPr><w:pStyle w:val="Normal"/></w:pPr>
<w:r><w:t xml:space="preserve">``The principal function of the academy shall be to labour with</w:t></w:r>
</w:p>
<w:p>
<w:pPr><w:pStyle w:val="Normal"/></w:pPr>
<w:r><w:t xml:space="preserve">all care and diligence to give certain rules to our language,</w:t></w:r>
</w:p>
<w:p>
<w:pPr><w:pStyle w:val="Normal"/></w:pPr>
<w:r><w:t xml:space="preserve">and to render it pure, eloquent and capable of treating the</w:t></w:r>
</w:p>
<w:p>
<w:pPr><w:pStyle w:val="Normal"/></w:pPr>
<w:r><w:t xml:space="preserve">arts and sciences&apos;&apos; (Art. 24). They proposed ``to cleanse</w:t></w:r>
</w:p>
<w:p>
<w:pPr><w:pStyle w:val="Normal"/></w:pPr>
<w:r><w:t xml:space="preserve">the language from the impurities it has contracted in the</w:t></w:r>
</w:p>
<w:p>
<w:pPr><w:pStyle w:val="Normal"/></w:pPr>
<w:r><w:t xml:space="preserve">mouths of the common people, from the jargon of the lawyers,</w:t></w:r>
</w:p>
<w:p>
<w:pPr><w:pStyle w:val="Normal"/></w:pPr>
<w:r><w:t xml:space="preserve">from the misusages of ignorant courtiers, and the abuses of</w:t></w:r>
</w:p>
<w:p>
<w:pPr><w:pStyle w:val="Normal"/></w:pPr>
<w:r><w:t xml:space="preserve">the pulpit&apos;&apos; (Letter of Academy to Cardinal Richelieu) .</w:t></w:r>
</w:p>
<w:p>
<w:pPr><w:pStyle w:val="Normal"/></w:pPr>
<w:r><w:t xml:space="preserve">The number of members was fixed at forty.  The original</w:t></w:r>
</w:p>
<w:p>
<w:pPr><w:pStyle w:val="Normal"/></w:pPr>
<w:r><w:t xml:space="preserve">members formed a nucleus of eight, and it was not till 1639</w:t></w:r>
</w:p>
<w:p>
<w:pPr><w:pStyle w:val="Normal"/></w:pPr>
<w:r><w:t xml:space="preserve">that the full number was completed.  Their first undertaking</w:t></w:r>
</w:p>
<w:p>
<w:pPr><w:pStyle w:val="Normal"/></w:pPr>
<w:r><w:t xml:space="preserve">consisted of essays written by the members in rotation.  To</w:t></w:r>
</w:p>
<w:p>
<w:pPr><w:pStyle w:val="Normal"/></w:pPr>
<w:r><w:t xml:space="preserve">judge by the titles and specimens which have come down to</w:t></w:r>
</w:p>
<w:p>
<w:pPr><w:pStyle w:val="Normal"/></w:pPr>
<w:r><w:t xml:space="preserve">us, these possessed no special originality or merit, but</w:t></w:r>
</w:p>
<w:p>
<w:pPr><w:pStyle w:val="Normal"/></w:pPr>
<w:r><w:t xml:space="preserve">resembled the epideixeis of the Greek rhetoricians.</w:t></w:r>
</w:p>
<w:p>
<w:pPr><w:pStyle w:val="Normal"/></w:pPr>
<w:r><w:t xml:space="preserve">Next, at the instance of Cardinal Richelieu, they undertook a</w:t></w:r>
</w:p>
<w:p>
<w:pPr><w:pStyle w:val="Normal"/></w:pPr>
<w:r><w:t xml:space="preserve">criticism of Corneille&apos;s Cid, the most popular work of the</w:t></w:r>
</w:p>
<w:p>
<w:pPr><w:pStyle w:val="Normal"/></w:pPr>
<w:r><w:t xml:space="preserve">day.  It was a rule of the academy that no work could be</w:t></w:r>
</w:p>
<w:p>
<w:pPr><w:pStyle w:val="Normal"/></w:pPr>
<w:r><w:t xml:space="preserve">criticized except at the author&apos;s request, and fear of</w:t></w:r>
</w:p>
<w:p>
<w:pPr><w:pStyle w:val="Normal"/></w:pPr>
<w:r><w:t xml:space="preserve">incurring the cardinal&apos;s displeasure wrung from Corneille</w:t></w:r>
</w:p>
<w:p>
<w:pPr><w:pStyle w:val="Normal"/></w:pPr>
<w:r><w:t xml:space="preserve">an unwilling consent.  The critique of the academy was</w:t></w:r>
</w:p>
<w:p>
<w:pPr><w:pStyle w:val="Normal"/></w:pPr>
<w:r><w:t xml:space="preserve">re-written several times before it met with the cardinal&apos;s</w:t></w:r>
</w:p>
<w:p>
<w:pPr><w:pStyle w:val="Normal"/></w:pPr>
<w:r><w:t xml:space="preserve">approbation.  After six months of elaboration, it was published</w:t></w:r>
</w:p>
<w:p>
<w:pPr><w:pStyle w:val="Normal"/></w:pPr>
<w:r><w:t xml:space="preserve">under the title, Sentiments de l&apos;academie francaise sur le</w:t></w:r>
</w:p>
<w:p>
<w:pPr><w:pStyle w:val="Normal"/></w:pPr>
<w:r><w:t xml:space="preserve">Cid. This judgment did not satisfy Corneille, as a saying</w:t></w:r>
</w:p>
<w:p>
<w:pPr><w:pStyle w:val="Normal"/></w:pPr>
<w:r><w:t xml:space="preserve">attributed to him on the occasion shows. ``Horatius,&apos;&apos; he</w:t></w:r>
</w:p>
<w:p>
<w:pPr><w:pStyle w:val="Normal"/></w:pPr>
<w:r><w:t xml:space="preserve">said, referring to his last play, ``was condemned by the</w:t></w:r>
</w:p>
<w:p>
<w:pPr><w:pStyle w:val="Normal"/></w:pPr>
<w:r><w:t xml:space="preserve">Duumviri, but he was absolved by the people.&apos;&apos; But the crowning</w:t></w:r>
</w:p>
<w:p>
<w:pPr><w:pStyle w:val="Normal"/></w:pPr>
<w:r><w:t xml:space="preserve">labour of the academy, begun in 1639, was a dictionary of</w:t></w:r>
</w:p>
<w:p>
<w:pPr><w:pStyle w:val="Normal"/></w:pPr>
<w:r><w:t xml:space="preserve">the French language. By the twenty-sixth article of their</w:t></w:r>
</w:p>
<w:p>
<w:pPr><w:pStyle w:val="Normal"/></w:pPr>
<w:r><w:t xml:space="preserve">statutes, they were pledged to compose a dictionary, a</w:t></w:r>
</w:p>
<w:p>
<w:pPr><w:pStyle w:val="Normal"/></w:pPr>
<w:r><w:t xml:space="preserve">grammar, a treatise on rhetoric and one on poetry.  Jean</w:t></w:r>
</w:p>
<w:p>
<w:pPr><w:pStyle w:val="Normal"/></w:pPr>
<w:r><w:t xml:space="preserve">Chapelain, one of the original members and leading spirits of</w:t></w:r>
</w:p>
<w:p>
<w:pPr><w:pStyle w:val="Normal"/></w:pPr>
<w:r><w:t xml:space="preserve">the academy, pointed out that the dictionary would naturally</w:t></w:r>
</w:p>
<w:p>
<w:pPr><w:pStyle w:val="Normal"/></w:pPr>
<w:r><w:t xml:space="preserve">be the first of these works to be undertaken, and drew up</w:t></w:r>
</w:p>
<w:p>
<w:pPr><w:pStyle w:val="Normal"/></w:pPr>
<w:r><w:t xml:space="preserve">a plan of the work, which was to a great extent carried</w:t></w:r>
</w:p>
<w:p>
<w:pPr><w:pStyle w:val="Normal"/></w:pPr>
<w:r><w:t xml:space="preserve">out.  A catalogue was to be made of all the most approved</w:t></w:r>
</w:p>
<w:p>
<w:pPr><w:pStyle w:val="Normal"/></w:pPr>
<w:r><w:t xml:space="preserve">authors, prose and verse: these were to be distributed among</w:t></w:r>
</w:p>
<w:p>
<w:pPr><w:pStyle w:val="Normal"/></w:pPr>
<w:r><w:t xml:space="preserve">the members, and all approved words and phrases were to be</w:t></w:r>
</w:p>
<w:p>
<w:pPr><w:pStyle w:val="Normal"/></w:pPr>
<w:r><w:t xml:space="preserve">marked for incorporation in the dictionary.  For this they</w:t></w:r>
</w:p>
<w:p>
<w:pPr><w:pStyle w:val="Normal"/></w:pPr>
<w:r><w:t xml:space="preserve">resolved themselves into two committees, which sat on other</w:t></w:r>
</w:p>
<w:p>
<w:pPr><w:pStyle w:val="Normal"/></w:pPr>
<w:r><w:t xml:space="preserve">than the regular days.  C. F. de Vaugelas was appointed editor</w:t></w:r>
</w:p>
<w:p>
<w:pPr><w:pStyle w:val="Normal"/></w:pPr>
<w:r><w:t xml:space="preserve">in chief.  To remunerate him for his labours, he received</w:t></w:r>
</w:p>
<w:p>
<w:pPr><w:pStyle w:val="Normal"/></w:pPr>
<w:r><w:t xml:space="preserve">from the cardinal a pension of 2000 francs.  The first</w:t></w:r>
</w:p>
<w:p>
<w:pPr><w:pStyle w:val="Normal"/></w:pPr>
<w:r><w:t xml:space="preserve">edition of this dictionary appeared in 1694, the sixth and</w:t></w:r>
</w:p>
<w:p>
<w:pPr><w:pStyle w:val="Normal"/></w:pPr>
<w:r><w:t xml:space="preserve">last in 1835, since when complements have been added.</w:t></w:r>
</w:p>
<w:p>
<w:pPr><w:pStyle w:val="Normal"/></w:pPr>
<w:r><w:t xml:space="preserve">This old Academie francaise perished with the other</w:t></w:r>
</w:p>
<w:p>
<w:pPr><w:pStyle w:val="Normal"/></w:pPr>
<w:r><w:t xml:space="preserve">prerevolutionary academies in 1793, and it has little</w:t></w:r>
</w:p>
<w:p>
<w:pPr><w:pStyle w:val="Normal"/></w:pPr>
<w:r><w:t xml:space="preserve">but the name in common with the present academy, a</w:t></w:r>
</w:p>
<w:p>
<w:pPr><w:pStyle w:val="Normal"/></w:pPr>
<w:r><w:t xml:space="preserve">section of the Institute. That Jean Baptiste Suard,</w:t></w:r>
</w:p>
<w:p>
<w:pPr><w:pStyle w:val="Normal"/></w:pPr>
<w:r><w:t xml:space="preserve">the first perpetual secretary of the new, had been a</w:t></w:r>
</w:p>
<w:p>
<w:pPr><w:pStyle w:val="Normal"/></w:pPr>
<w:r><w:t xml:space="preserve">member of the old academy, is the one connecting link.</w:t></w:r>
</w:p>
<w:p>
<w:pPr><w:pStyle w:val="Normal"/></w:pPr>
<w:r><w:t xml:space="preserve">The chronicles of the Institute down to the end of 1895</w:t></w:r>
</w:p>
<w:p>
<w:pPr><w:pStyle w:val="Normal"/></w:pPr>
<w:r><w:t xml:space="preserve">have been given in full by the count de Franqueville in Le</w:t></w:r>
</w:p>
<w:p>
<w:pPr><w:pStyle w:val="Normal"/></w:pPr>
<w:r><w:t xml:space="preserve">premier siecle de l&apos;Institut de France, and from it we</w:t></w:r>
</w:p>
<w:p>
<w:pPr><w:pStyle w:val="Normal"/></w:pPr>
<w:r><w:t xml:space="preserve">extract a few leading facts and dates.  Before the Revolution</w:t></w:r>
</w:p>
<w:p>
<w:pPr><w:pStyle w:val="Normal"/></w:pPr>
<w:r><w:t xml:space="preserve">there were in existence the following institutions--(1)</w:t></w:r>
</w:p>
<w:p>
<w:pPr><w:pStyle w:val="Normal"/></w:pPr>
<w:r><w:t xml:space="preserve">the Academie de poesie et de musique, founded by</w:t></w:r>
</w:p>
<w:p>
<w:pPr><w:pStyle w:val="Normal"/></w:pPr>
<w:r><w:t xml:space="preserve">Charles IX. in 1570 at the instigation of Baif, which</w:t></w:r>
</w:p>
<w:p>
<w:pPr><w:pStyle w:val="Normal"/></w:pPr>
<w:r><w:t xml:space="preserve">counted among its members Ronsard and most of the Pleiade;</w:t></w:r>
</w:p>
<w:p>
<w:pPr><w:pStyle w:val="Normal"/></w:pPr>
<w:r><w:t xml:space="preserve">(2) the Academie des inscriptions et medailles, founded</w:t></w:r>
</w:p>
<w:p>
<w:pPr><w:pStyle w:val="Normal"/></w:pPr>
<w:r><w:t xml:space="preserve">in 1701; (3) the Academie des inscriptions et belles</w:t></w:r>
</w:p>
<w:p>
<w:pPr><w:pStyle w:val="Normal"/></w:pPr>
<w:r><w:t xml:space="preserve">lettres; (4) the old Academie des sciences; (5) the</w:t></w:r>
</w:p>
<w:p>
<w:pPr><w:pStyle w:val="Normal"/></w:pPr>
<w:r><w:t xml:space="preserve">Academie de peinture et de sculpture, a school as</w:t></w:r>
</w:p>
<w:p>
<w:pPr><w:pStyle w:val="Normal"/></w:pPr>
<w:r><w:t xml:space="preserve">well as an academy; (6) the Academie d&apos;architecture.</w:t></w:r>
</w:p>
<w:p>
<w:pPr><w:pStyle w:val="Normal"/></w:pPr>
<w:r><w:t xml:space="preserve">The object of the Convention in 1795 was to rebuild all the</w:t></w:r>
</w:p>
<w:p>
<w:pPr><w:pStyle w:val="Normal"/></w:pPr>
<w:r><w:t xml:space="preserve">institutions that the Revolution had shattered and to combine</w:t></w:r>
</w:p>
<w:p>
<w:pPr><w:pStyle w:val="Normal"/></w:pPr>
<w:r><w:t xml:space="preserve">them in an organic whole; in the words of the preamble:--``</w:t></w:r>
</w:p>
<w:p>
<w:pPr><w:pStyle w:val="Normal"/></w:pPr>
<w:r><w:t xml:space="preserve">Il y a pour toute la Republique un Institut national charge</w:t></w:r>
</w:p>
<w:p>
<w:pPr><w:pStyle w:val="Normal"/></w:pPr>
<w:r><w:t xml:space="preserve">de recueiller les deconvertes, de perfectionner les arts</w:t></w:r>
</w:p>
<w:p>
<w:pPr><w:pStyle w:val="Normal"/></w:pPr>
<w:r><w:t xml:space="preserve">et les sciences.&apos;&apos; As Renan has remarked, the Institute</w:t></w:r>
</w:p>
<w:p>
<w:pPr><w:pStyle w:val="Normal"/></w:pPr>
<w:r><w:t xml:space="preserve">embodied two ideas, one disputable, the other of undisputed</w:t></w:r>
</w:p>
<w:p>
<w:pPr><w:pStyle w:val="Normal"/></w:pPr>
<w:r><w:t xml:space="preserve">truth--that science and art are a state concern, and that</w:t></w:r>
</w:p>
<w:p>
<w:pPr><w:pStyle w:val="Normal"/></w:pPr>
<w:r><w:t xml:space="preserve">there is a solidarity between all branches of knowledge and</w:t></w:r>
</w:p>
<w:p>
<w:pPr><w:pStyle w:val="Normal"/></w:pPr>
<w:r><w:t xml:space="preserve">human activities.  The Institute was at first composed of</w:t></w:r>
</w:p>
<w:p>
<w:pPr><w:pStyle w:val="Normal"/></w:pPr>
<w:r><w:t xml:space="preserve">184 members resident in Paris and an equal number living</w:t></w:r>
</w:p>
<w:p>
<w:pPr><w:pStyle w:val="Normal"/></w:pPr>
<w:r><w:t xml:space="preserve">in other parts of France, with 24 foreign members, divided</w:t></w:r>
</w:p>
<w:p>
<w:pPr><w:pStyle w:val="Normal"/></w:pPr>
<w:r><w:t xml:space="preserve">into three classes, (1) physical and mathematical science,</w:t></w:r>
</w:p>
<w:p>
<w:pPr><w:pStyle w:val="Normal"/></w:pPr>
<w:r><w:t xml:space="preserve">(2) moral and political science, (3) literature and the fine</w:t></w:r>
</w:p>
<w:p>
<w:pPr><w:pStyle w:val="Normal"/></w:pPr>
<w:r><w:t xml:space="preserve">arts.  It held its first sitting on the 4th of April</w:t></w:r>
</w:p>
<w:p>
<w:pPr><w:pStyle w:val="Normal"/></w:pPr>
<w:r><w:t xml:space="preserve">1796.  Napoleon as first consul suppressed the second class,</w:t></w:r>
</w:p>
<w:p>
<w:pPr><w:pStyle w:val="Normal"/></w:pPr>
<w:r><w:t xml:space="preserve">as subversive of government, and reconstituted the other</w:t></w:r>
</w:p>
<w:p>
<w:pPr><w:pStyle w:val="Normal"/></w:pPr>
<w:r><w:t xml:space="preserve">classes as follows: (1) as before, (2) French language and</w:t></w:r>
</w:p>
<w:p>
<w:pPr><w:pStyle w:val="Normal"/></w:pPr>
<w:r><w:t xml:space="preserve">literature, (3) ancient history and literature, (4) fine</w:t></w:r>
</w:p>
<w:p>
<w:pPr><w:pStyle w:val="Normal"/></w:pPr>
<w:r><w:t xml:space="preserve">arts.  The class of moral and political science was restored</w:t></w:r>
</w:p>
<w:p>
<w:pPr><w:pStyle w:val="Normal"/></w:pPr>
<w:r><w:t xml:space="preserve">on the proposal of M. Guizot in 1832, and the present</w:t></w:r>
</w:p>
<w:p>
<w:pPr><w:pStyle w:val="Normal"/></w:pPr>
<w:r><w:t xml:space="preserve">Institute consists of the five classes named above.  Each</w:t></w:r>
</w:p>
<w:p>
<w:pPr><w:pStyle w:val="Normal"/></w:pPr>
<w:r><w:t xml:space="preserve">class or academy has its own special jurisdiction and work,</w:t></w:r>
</w:p>
<w:p>
<w:pPr><w:pStyle w:val="Normal"/></w:pPr>
<w:r><w:t xml:space="preserve">with special funds; but there is a general fund and a common</w:t></w:r>
</w:p>
<w:p>
<w:pPr><w:pStyle w:val="Normal"/></w:pPr>
<w:r><w:t xml:space="preserve">library, which, with other common affairs, are managed by a</w:t></w:r>
</w:p>
<w:p>
<w:pPr><w:pStyle w:val="Normal"/></w:pPr>
<w:r><w:t xml:space="preserve">committee of the Institute---two chosen from each academy,</w:t></w:r>
</w:p>
<w:p>
<w:pPr><w:pStyle w:val="Normal"/></w:pPr>
<w:r><w:t xml:space="preserve">with the secretaries.  Each member of the Institute receives</w:t></w:r>
</w:p>
<w:p>
<w:pPr><w:pStyle w:val="Normal"/></w:pPr>
<w:r><w:t xml:space="preserve">an annual allowance of 1200 francs, and the secretaries</w:t></w:r>
</w:p>
<w:p>
<w:pPr><w:pStyle w:val="Normal"/></w:pPr>
<w:r><w:t xml:space="preserve">of the different academies have a salary of 6000 francs.</w:t></w:r>
</w:p>
<w:p>
<w:pPr><w:pStyle w:val="Normal"/></w:pPr>
<w:r><w:t xml:space="preserve">The class of the Institute which deals with the language and</w:t></w:r>
</w:p>
<w:p>
<w:pPr><w:pStyle w:val="Normal"/></w:pPr>
<w:r><w:t xml:space="preserve">literature takes precedence, and is known as the Academie</w:t></w:r>
</w:p>
<w:p>
<w:pPr><w:pStyle w:val="Normal"/></w:pPr>
<w:r><w:t xml:space="preserve">francaise. There was at first no perpetual secretary, each</w:t></w:r>
</w:p>
<w:p>
<w:pPr><w:pStyle w:val="Normal"/></w:pPr>
<w:r><w:t xml:space="preserve">secretary of sections presiding in turn.  Shortly afterwards</w:t></w:r>
</w:p>
<w:p>
<w:pPr><w:pStyle w:val="Normal"/></w:pPr>
<w:r><w:t xml:space="preserve">J. B. Suard was elected to the post, and ever since the history</w:t></w:r>
</w:p>
<w:p>
<w:pPr><w:pStyle w:val="Normal"/></w:pPr>
<w:r><w:t xml:space="preserve">of the academy has been determined by the reigns of its</w:t></w:r>
</w:p>
<w:p>
<w:pPr><w:pStyle w:val="Normal"/></w:pPr>
<w:r><w:t xml:space="preserve">successive perpetual secretaries.  The secretary, to borrow</w:t></w:r>
</w:p>
<w:p>
<w:pPr><w:pStyle w:val="Normal"/></w:pPr>
<w:r><w:t xml:space="preserve">an epigram of Sainte-Beuve, both reigns and governs.</w:t></w:r>
</w:p>
<w:p>
<w:pPr><w:pStyle w:val="Normal"/></w:pPr>
<w:r><w:t xml:space="preserve">There have been in order: Suard (13 years), Francois Juste</w:t></w:r>
</w:p>
<w:p>
<w:pPr><w:pStyle w:val="Normal"/></w:pPr>
<w:r><w:t xml:space="preserve">Raynouard (9 years), Louis Simon Auger, Francois Andrieux,</w:t></w:r>
</w:p>
<w:p>
<w:pPr><w:pStyle w:val="Normal"/></w:pPr>
<w:r><w:t xml:space="preserve">Arnault, Villemain (34 years), Henri Joseph Patin, Charles</w:t></w:r>
</w:p>
<w:p>
<w:pPr><w:pStyle w:val="Normal"/></w:pPr>
<w:r><w:t xml:space="preserve">Camille Doucet (19 years), Gaston Boissier.  Under Raynouard</w:t></w:r>
</w:p>
<w:p>
<w:pPr><w:pStyle w:val="Normal"/></w:pPr>
<w:r><w:t xml:space="preserve">the academy ran a tilt against the abbe Delille and his</w:t></w:r>
</w:p>
<w:p>
<w:pPr><w:pStyle w:val="Normal"/></w:pPr>
<w:r><w:t xml:space="preserve">followers.  Under Auger it did battle with romanticism, ``a</w:t></w:r>
</w:p>
<w:p>
<w:pPr><w:pStyle w:val="Normal"/></w:pPr>
<w:r><w:t xml:space="preserve">new literary schism.&apos;&apos; Auger did not live to see the election</w:t></w:r>
</w:p>
<w:p>
<w:pPr><w:pStyle w:val="Normal"/></w:pPr>
<w:r><w:t xml:space="preserve">of Lamartine in 1829, and it needed ten more years for Victor</w:t></w:r>
</w:p>
<w:p>
<w:pPr><w:pStyle w:val="Normal"/></w:pPr>
<w:r><w:t xml:space="preserve">Hugo after many vain assaults to enter by the breach.  The</w:t></w:r>
</w:p>
<w:p>
<w:pPr><w:pStyle w:val="Normal"/></w:pPr>
<w:r><w:t xml:space="preserve">academy is professedly non-political. It accepted and even</w:t></w:r>
</w:p>
<w:p>
<w:pPr><w:pStyle w:val="Normal"/></w:pPr>
<w:r><w:t xml:space="preserve">welcomed in succession the empire, the restoration and the</w:t></w:r>
</w:p>
<w:p>
<w:pPr><w:pStyle w:val="Normal"/></w:pPr>
<w:r><w:t xml:space="preserve">reign of Louis Phillppe, and it tolerated the republic of</w:t></w:r>
</w:p>
<w:p>
<w:pPr><w:pStyle w:val="Normal"/></w:pPr>
<w:r><w:t xml:space="preserve">1848; but to the second empire it offered a passive resistance,</w:t></w:r>
</w:p>
<w:p>
<w:pPr><w:pStyle w:val="Normal"/></w:pPr>
<w:r><w:t xml:space="preserve">and no politician of the second empire, whatever his gifts as</w:t></w:r>
</w:p>
<w:p>
<w:pPr><w:pStyle w:val="Normal"/></w:pPr>
<w:r><w:t xml:space="preserve">an orator or a writer, obtained an armchair. The one seeming</w:t></w:r>
</w:p>
<w:p>
<w:pPr><w:pStyle w:val="Normal"/></w:pPr>
<w:r><w:t xml:space="preserve">exception, Emile Ollivier, confirms the rule. He was elected</w:t></w:r>
</w:p>
<w:p>
<w:pPr><w:pStyle w:val="Normal"/></w:pPr>
<w:r><w:t xml:space="preserve">on the eve of the Franco-German war, but his discours de</w:t></w:r>
</w:p>
<w:p>
<w:pPr><w:pStyle w:val="Normal"/></w:pPr>
<w:r><w:t xml:space="preserve">reception, a eulogy of the emperor, was deferred and never</w:t></w:r>
</w:p>
<w:p>
<w:pPr><w:pStyle w:val="Normal"/></w:pPr>
<w:r><w:t xml:space="preserve">delivered.  The Institute appears in the annual budget for a</w:t></w:r>
</w:p>
<w:p>
<w:pPr><w:pStyle w:val="Normal"/></w:pPr>
<w:r><w:t xml:space="preserve">grant of about 700,000 fr.  It has also large vested funds in</w:t></w:r>
</w:p>
<w:p>
<w:pPr><w:pStyle w:val="Normal"/></w:pPr>
<w:r><w:t xml:space="preserve">property, including the magnificent estate and library of</w:t></w:r>
</w:p>
<w:p>
<w:pPr><w:pStyle w:val="Normal"/></w:pPr>
<w:r><w:t xml:space="preserve">Chantilly bequeathed to it by the duc d&apos;Aumale.  It awards</w:t></w:r>
</w:p>
<w:p>
<w:pPr><w:pStyle w:val="Normal"/></w:pPr>
<w:r><w:t xml:space="preserve">various prizes, of which the most considerable are the Montyon</w:t></w:r>
</w:p>
<w:p>
<w:pPr><w:pStyle w:val="Normal"/></w:pPr>
<w:r><w:t xml:space="preserve">prizes, each of 20,000 fr., one for the poor Frenchman who</w:t></w:r>
</w:p>
<w:p>
<w:pPr><w:pStyle w:val="Normal"/></w:pPr>
<w:r><w:t xml:space="preserve">has performed the most virtuous action during the year,</w:t></w:r>
</w:p>
<w:p>
<w:pPr><w:pStyle w:val="Normal"/></w:pPr>
<w:r><w:t xml:space="preserve">and one for the French author who has published the book</w:t></w:r>
</w:p>
<w:p>
<w:pPr><w:pStyle w:val="Normal"/></w:pPr>
<w:r><w:t xml:space="preserve">of most service to morality.  The conditions are liberally</w:t></w:r>
</w:p>
<w:p>
<w:pPr><w:pStyle w:val="Normal"/></w:pPr>
<w:r><w:t xml:space="preserve">interpreted; the first prize is divided among a number of</w:t></w:r>
</w:p>
<w:p>
<w:pPr><w:pStyle w:val="Normal"/></w:pPr>
<w:r><w:t xml:space="preserve">the deserving poor, and the second has been assigned for</w:t></w:r>
</w:p>
<w:p>
<w:pPr><w:pStyle w:val="Normal"/></w:pPr>
<w:r><w:t xml:space="preserve">lexicons to Moliere, Corneille and Madame de Sevigne.</w:t></w:r>
</w:p>
<w:p>
<w:pPr><w:pStyle w:val="Normal"/></w:pPr>
<w:r><w:t xml:space="preserve">One alteration in the methods of the French Academy has</w:t></w:r>
</w:p>
<w:p>
<w:pPr><w:pStyle w:val="Normal"/></w:pPr>
<w:r><w:t xml:space="preserve">to be chronicled: in 1869 it became the custom to discuss</w:t></w:r>
</w:p>
<w:p>
<w:pPr><w:pStyle w:val="Normal"/></w:pPr>
<w:r><w:t xml:space="preserve">the claims of the candidates at a preliminary meeting of</w:t></w:r>
</w:p>
<w:p>
<w:pPr><w:pStyle w:val="Normal"/></w:pPr>
<w:r><w:t xml:space="preserve">the members. In 1880, on the instance of the philosopher</w:t></w:r>
</w:p>
<w:p>
<w:pPr><w:pStyle w:val="Normal"/></w:pPr>
<w:r><w:t xml:space="preserve">Caro, supported by A. Dumas fils, and by the aged</w:t></w:r>
</w:p>
<w:p>
<w:pPr><w:pStyle w:val="Normal"/></w:pPr>
<w:r><w:t xml:space="preserve">Desire Nisard, it was decided to abandon this method.</w:t></w:r>
</w:p>
<w:p>
<w:pPr><w:pStyle w:val="Normal"/></w:pPr>
<w:r><w:t xml:space="preserve">A point of considerable interest is the degree in which,</w:t></w:r>
</w:p>
<w:p>
<w:pPr><w:pStyle w:val="Normal"/></w:pPr>
<w:r><w:t xml:space="preserve">since its foundation, the French Academy has or has not</w:t></w:r>
</w:p>
<w:p>
<w:pPr><w:pStyle w:val="Normal"/></w:pPr>
<w:r><w:t xml:space="preserve">represented the best literary life of France.  It appears</w:t></w:r>
</w:p>
<w:p>
<w:pPr><w:pStyle w:val="Normal"/></w:pPr>
<w:r><w:t xml:space="preserve">from an examination of the lists of members that a surprising</w:t></w:r>
</w:p>
<w:p>
<w:pPr><w:pStyle w:val="Normal"/></w:pPr>
<w:r><w:t xml:space="preserve">number of authors of the highest excellence have, from</w:t></w:r>
</w:p>
<w:p>
<w:pPr><w:pStyle w:val="Normal"/></w:pPr>
<w:r><w:t xml:space="preserve">one cause or another, escaped the honour of academic</w:t></w:r>
</w:p>
<w:p>
<w:pPr><w:pStyle w:val="Normal"/></w:pPr>
<w:r><w:t xml:space="preserve">``immortality.&apos;&apos; When the academy was founded in 1634, the</w:t></w:r>
</w:p>
<w:p>
<w:pPr><w:pStyle w:val="Normal"/></w:pPr>
<w:r><w:t xml:space="preserve">moment was not a very brilliant one in French letters.</w:t></w:r>
</w:p>
<w:p>
<w:pPr><w:pStyle w:val="Normal"/></w:pPr>
<w:r><w:t xml:space="preserve">Among the forty original members we find only ten who are</w:t></w:r>
</w:p>
<w:p>
<w:pPr><w:pStyle w:val="Normal"/></w:pPr>
<w:r><w:t xml:space="preserve">remembered in literary history; of these four may reasonably</w:t></w:r>
</w:p>
<w:p>
<w:pPr><w:pStyle w:val="Normal"/></w:pPr>
<w:r><w:t xml:space="preserve">be considered famous still--Balzac, Chapelain, Racan and</w:t></w:r>
</w:p>
<w:p>
<w:pPr><w:pStyle w:val="Normal"/></w:pPr>
<w:r><w:t xml:space="preserve">Voiture.  In that generation Scarron was never one of the</w:t></w:r>
</w:p>
<w:p>
<w:pPr><w:pStyle w:val="Normal"/></w:pPr>
<w:r><w:t xml:space="preserve">forty, nor do the names of Descartes, Malebranche or Pascal</w:t></w:r>
</w:p>
<w:p>
<w:pPr><w:pStyle w:val="Normal"/></w:pPr>
<w:r><w:t xml:space="preserve">occur; Descartes lived in Holland, Scarron was paralytic,</w:t></w:r>
</w:p>
<w:p>
<w:pPr><w:pStyle w:val="Normal"/></w:pPr>
<w:r><w:t xml:space="preserve">Pascal was best known as a mathematician--(his Lettres</w:t></w:r>
</w:p>
<w:p>
<w:pPr><w:pStyle w:val="Normal"/></w:pPr>
<w:r><w:t xml:space="preserve">provinciales was published anonymously)---and when his fame</w:t></w:r>
</w:p>
<w:p>
<w:pPr><w:pStyle w:val="Normal"/></w:pPr>
<w:r><w:t xml:space="preserve">was rising he retired to Port Royal, where he lived the</w:t></w:r>
</w:p>
<w:p>
<w:pPr><w:pStyle w:val="Normal"/></w:pPr>
<w:r><w:t xml:space="preserve">life of a recluse.  The duc de la Rochefoucauld declined the</w:t></w:r>
</w:p>
<w:p>
<w:pPr><w:pStyle w:val="Normal"/></w:pPr>
<w:r><w:t xml:space="preserve">honour from a proud modesty, and Rotrou died too soon to be</w:t></w:r>
</w:p>
<w:p>
<w:pPr><w:pStyle w:val="Normal"/></w:pPr>
<w:r><w:t xml:space="preserve">elected.  The one astounding omission of the 17th century,</w:t></w:r>
</w:p>
<w:p>
<w:pPr><w:pStyle w:val="Normal"/></w:pPr>
<w:r><w:t xml:space="preserve">however, is the name of Moliere, who was excluded by his</w:t></w:r>
</w:p>
<w:p>
<w:pPr><w:pStyle w:val="Normal"/></w:pPr>
<w:r><w:t xml:space="preserve">profession as an actor.1 On the other hand, the French Academy</w:t></w:r>
</w:p>
<w:p>
<w:pPr><w:pStyle w:val="Normal"/></w:pPr>
<w:r><w:t xml:space="preserve">was never more thoroughly representative of letters than</w:t></w:r>
</w:p>
<w:p>
<w:pPr><w:pStyle w:val="Normal"/></w:pPr>
<w:r><w:t xml:space="preserve">when Boileau, Corneille, La Fontaine, Racine, and Quinault</w:t></w:r>
</w:p>
<w:p>
<w:pPr><w:pStyle w:val="Normal"/></w:pPr>
<w:r><w:t xml:space="preserve">were all members. Of the great theologians of that and the</w:t></w:r>
</w:p>
<w:p>
<w:pPr><w:pStyle w:val="Normal"/></w:pPr>
<w:r><w:t xml:space="preserve">subsequent age, the Academy contained Bossuet, Flechier,</w:t></w:r>
</w:p>
<w:p>
<w:pPr><w:pStyle w:val="Normal"/></w:pPr>
<w:r><w:t xml:space="preserve">Fenelon, and Massillon, but not Bourdaloue.  La Bruyere</w:t></w:r>
</w:p>
<w:p>
<w:pPr><w:pStyle w:val="Normal"/></w:pPr>
<w:r><w:t xml:space="preserve">and Fontenelle were among the forty, but not Saint-Simon,</w:t></w:r>
</w:p>
<w:p>
<w:pPr><w:pStyle w:val="Normal"/></w:pPr>
<w:r><w:t xml:space="preserve">whose claims as a man of letters were unknown to his</w:t></w:r>
</w:p>
<w:p>
<w:pPr><w:pStyle w:val="Normal"/></w:pPr>
<w:r><w:t xml:space="preserve">contemporaries.  Early in the 18th century almost every</w:t></w:r>
</w:p>
<w:p>
<w:pPr><w:pStyle w:val="Normal"/></w:pPr>
<w:r><w:t xml:space="preserve">literary personage of eminence found his place naturally in the</w:t></w:r>
</w:p>
<w:p>
<w:pPr><w:pStyle w:val="Normal"/></w:pPr>
<w:r><w:t xml:space="preserve">Academy.  The only exceptions of importance were Vauvenargues,</w:t></w:r>
</w:p>
<w:p>
<w:pPr><w:pStyle w:val="Normal"/></w:pPr>
<w:r><w:t xml:space="preserve">who died too early for the honour, and two men of genius but</w:t></w:r>
</w:p>
<w:p>
<w:pPr><w:pStyle w:val="Normal"/></w:pPr>
<w:r><w:t xml:space="preserve">of dubious social position, Le Sage and the abbe Prevost</w:t></w:r>
</w:p>
<w:p>
<w:pPr><w:pStyle w:val="Normal"/></w:pPr>
<w:r><w:t xml:space="preserve">d&apos;Exiles.  The approach of the Revolution affected gravely</w:t></w:r>
</w:p>
<w:p>
<w:pPr><w:pStyle w:val="Normal"/></w:pPr>
<w:r><w:t xml:space="preserve">the personnel of the Academy.  Montesquieu and Voltaire</w:t></w:r>
</w:p>
<w:p>
<w:pPr><w:pStyle w:val="Normal"/></w:pPr>
<w:r><w:t xml:space="preserve">belonged to it, but not Rousseau or Beaumarchais. Of the</w:t></w:r>
</w:p>
<w:p>
<w:pPr><w:pStyle w:val="Normal"/></w:pPr>
<w:r><w:t xml:space="preserve">Encyclopaedists, the French Academy opened its doors to</w:t></w:r>
</w:p>
<w:p>
<w:pPr><w:pStyle w:val="Normal"/></w:pPr>
<w:r><w:t xml:space="preserve">D&apos;Alembert, Condorcet, Volney, Marmontel and La Harpe, but</w:t></w:r>
</w:p>
<w:p>
<w:pPr><w:pStyle w:val="Normal"/></w:pPr>
<w:r><w:t xml:space="preserve">not to Diderot, Rollin, Condillac, Helvetius or the Baron</w:t></w:r>
</w:p>
<w:p>
<w:pPr><w:pStyle w:val="Normal"/></w:pPr>
<w:r><w:t xml:space="preserve">d&apos;Holbach.  Apparently the claims of Turgot and of Quesnay</w:t></w:r>
</w:p>
<w:p>
<w:pPr><w:pStyle w:val="Normal"/></w:pPr>
<w:r><w:t xml:space="preserve">did not appear to the Academy sufficient, since neither was</w:t></w:r>
</w:p>
<w:p>
<w:pPr><w:pStyle w:val="Normal"/></w:pPr>
<w:r><w:t xml:space="preserve">elected.  In the transitional period, when the social life</w:t></w:r>
</w:p>
<w:p>
<w:pPr><w:pStyle w:val="Normal"/></w:pPr>
<w:r><w:t xml:space="preserve">of Paris was distracted and the French Academy provisionally</w:t></w:r>
</w:p>
<w:p>
<w:pPr><w:pStyle w:val="Normal"/></w:pPr>
<w:r><w:t xml:space="preserve">closed, neither Andre Chenier nor Benjamin Constant nor</w:t></w:r>
</w:p>
<w:p>
<w:pPr><w:pStyle w:val="Normal"/></w:pPr>
<w:r><w:t xml:space="preserve">Joseph de Maistre became a member.  In the early years of the</w:t></w:r>
</w:p>
<w:p>
<w:pPr><w:pStyle w:val="Normal"/></w:pPr>
<w:r><w:t xml:space="preserve">19th century considerations of various kinds excluded from</w:t></w:r>
</w:p>
<w:p>
<w:pPr><w:pStyle w:val="Normal"/></w:pPr>
<w:r><w:t xml:space="preserve">the ranks of the forty the dissimilar names of Lamennais,</w:t></w:r>
</w:p>
<w:p>
<w:pPr><w:pStyle w:val="Normal"/></w:pPr>
<w:r><w:t xml:space="preserve">Prudhon, Comte and Beranger.  Critics of the French</w:t></w:r>
</w:p>
<w:p>
<w:pPr><w:pStyle w:val="Normal"/></w:pPr>
<w:r><w:t xml:space="preserve">Academy are fond of pointing out that neither Stendhal, nor</w:t></w:r>
</w:p>
<w:p>
<w:pPr><w:pStyle w:val="Normal"/></w:pPr>
<w:r><w:t xml:space="preserve">Balzac, nor Theophile Gautier, nor Flaubert, nor Zola</w:t></w:r>
</w:p>
<w:p>
<w:pPr><w:pStyle w:val="Normal"/></w:pPr>
<w:r><w:t xml:space="preserve">penetrated into the Mazarine Palace. It is not so often</w:t></w:r>
</w:p>
<w:p>
<w:pPr><w:pStyle w:val="Normal"/></w:pPr>
<w:r><w:t xml:space="preserve">remembered that writers so academic as Thierry and Michelet</w:t></w:r>
</w:p>
<w:p>
<w:pPr><w:pStyle w:val="Normal"/></w:pPr>
<w:r><w:t xml:space="preserve">and Quinet suffered the same exclusion.  In later times</w:t></w:r>
</w:p>
<w:p>
<w:pPr><w:pStyle w:val="Normal"/></w:pPr>
<w:r><w:t xml:space="preserve">neither Alphonse Daudet nor Edmond de Goncourt, neither Guy</w:t></w:r>
</w:p>
<w:p>
<w:pPr><w:pStyle w:val="Normal"/></w:pPr>
<w:r><w:t xml:space="preserve">de Maupassant nor Ferdinand Fabre, has been among the forty</w:t></w:r>
</w:p>
<w:p>
<w:pPr><w:pStyle w:val="Normal"/></w:pPr>
<w:r><w:t xml:space="preserve">immortals.  The non-election, after a long life of distinction,</w:t></w:r>
</w:p>
<w:p>
<w:pPr><w:pStyle w:val="Normal"/></w:pPr>
<w:r><w:t xml:space="preserve">of the scholar Fustel de Coulanges is less easy to account</w:t></w:r>
</w:p>
<w:p>
<w:pPr><w:pStyle w:val="Normal"/></w:pPr>
<w:r><w:t xml:space="preserve">for.  Verlaine, although a poet of genius, was of the</w:t></w:r>
</w:p>
<w:p>
<w:pPr><w:pStyle w:val="Normal"/></w:pPr>
<w:r><w:t xml:space="preserve">kind that no academy can ever be expected to recognize.</w:t></w:r>
</w:p>
<w:p>
<w:pPr><w:pStyle w:val="Normal"/></w:pPr>
<w:r><w:t xml:space="preserve">Concerning the influence of the French Academy on the</w:t></w:r>
</w:p>
<w:p>
<w:pPr><w:pStyle w:val="Normal"/></w:pPr>
<w:r><w:t xml:space="preserve">language and literature, the most opposite opinions have been</w:t></w:r>
</w:p>
<w:p>
<w:pPr><w:pStyle w:val="Normal"/></w:pPr>
<w:r><w:t xml:space="preserve">advanced.  On the one hand, it has been asserted that it</w:t></w:r>
</w:p>
<w:p>
<w:pPr><w:pStyle w:val="Normal"/></w:pPr>
<w:r><w:t xml:space="preserve">has corrected the judgment, purified the taste and formed</w:t></w:r>
</w:p>
<w:p>
<w:pPr><w:pStyle w:val="Normal"/></w:pPr>
<w:r><w:t xml:space="preserve">the language of French writers, and that to it we owe the</w:t></w:r>
</w:p>
<w:p>
<w:pPr><w:pStyle w:val="Normal"/></w:pPr>
<w:r><w:t xml:space="preserve">most striking characteristics of French literature, its</w:t></w:r>
</w:p>
<w:p>
<w:pPr><w:pStyle w:val="Normal"/></w:pPr>
<w:r><w:t xml:space="preserve">purity, delicacy and flexibility.  Thus Matthew Arnold,</w:t></w:r>
</w:p>
<w:p>
<w:pPr><w:pStyle w:val="Normal"/></w:pPr>
<w:r><w:t xml:space="preserve">in his Essay on the Literary Influence of Academies, has</w:t></w:r>
</w:p>
<w:p>
<w:pPr><w:pStyle w:val="Normal"/></w:pPr>
<w:r><w:t xml:space="preserve">pronounced a glowing panegyric on the French Academy as a</w:t></w:r>
</w:p>
<w:p>
<w:pPr><w:pStyle w:val="Normal"/></w:pPr>
<w:r><w:t xml:space="preserve">high court of letters, and a rallying-point for educated</w:t></w:r>
</w:p>
<w:p>
<w:pPr><w:pStyle w:val="Normal"/></w:pPr>
<w:r><w:t xml:space="preserve">opinion, as asserting the authority of a master in matters</w:t></w:r>
</w:p>
<w:p>
<w:pPr><w:pStyle w:val="Normal"/></w:pPr>
<w:r><w:t xml:space="preserve">of tone and taste.  To it he attributes in a great measure</w:t></w:r>
</w:p>
<w:p>
<w:pPr><w:pStyle w:val="Normal"/></w:pPr>
<w:r><w:t xml:space="preserve">that thoroughness, that openness of mind, that absence of</w:t></w:r>
</w:p>
<w:p>
<w:pPr><w:pStyle w:val="Normal"/></w:pPr>
<w:r><w:t xml:space="preserve">vulgarity which he finds everywhere in French literature;</w:t></w:r>
</w:p>
<w:p>
<w:pPr><w:pStyle w:val="Normal"/></w:pPr>
<w:r><w:t xml:space="preserve">and to the want of a similar institution in England he traces</w:t></w:r>
</w:p>
<w:p>
<w:pPr><w:pStyle w:val="Normal"/></w:pPr>
<w:r><w:t xml:space="preserve">that eccentricity, that provincial spirit, that coarseness</w:t></w:r>
</w:p>
<w:p>
<w:pPr><w:pStyle w:val="Normal"/></w:pPr>
<w:r><w:t xml:space="preserve">which, as he thinks, are barely compensated by English</w:t></w:r>
</w:p>
<w:p>
<w:pPr><w:pStyle w:val="Normal"/></w:pPr>
<w:r><w:t xml:space="preserve">genius.  Thus, too, Renan, one of its most distinguished</w:t></w:r>
</w:p>
<w:p>
<w:pPr><w:pStyle w:val="Normal"/></w:pPr>
<w:r><w:t xml:space="preserve">members, says that it is owing to the academy ``qu&apos;on peut</w:t></w:r>
</w:p>
<w:p>
<w:pPr><w:pStyle w:val="Normal"/></w:pPr>
<w:r><w:t xml:space="preserve">tout dire sans appareil scholastique avec la langue des gens</w:t></w:r>
</w:p>
<w:p>
<w:pPr><w:pStyle w:val="Normal"/></w:pPr>
<w:r><w:t xml:space="preserve">du monde.&apos;&apos; ``Ah ne dites,&apos;&apos; he exclaims, ``qu&apos;ils n&apos;ont</w:t></w:r>
</w:p>
<w:p>
<w:pPr><w:pStyle w:val="Normal"/></w:pPr>
<w:r><w:t xml:space="preserve">rien fait, ces obscures beaux esprits dont la vie se passe</w:t></w:r>
</w:p>
<w:p>
<w:pPr><w:pStyle w:val="Normal"/></w:pPr>
<w:r><w:t xml:space="preserve">a instruire le proces des mots, a peser les syllables.</w:t></w:r>
</w:p>
<w:p>
<w:pPr><w:pStyle w:val="Normal"/></w:pPr>
<w:r><w:t xml:space="preserve">Ils ont fait un chef-d&apos;oeuvre--la langue francaise.&apos;&apos; On the</w:t></w:r>
</w:p>
<w:p>
<w:pPr><w:pStyle w:val="Normal"/></w:pPr>
<w:r><w:t xml:space="preserve">other hand, its inherent defects have been well summed up by</w:t></w:r>
</w:p>
<w:p>
<w:pPr><w:pStyle w:val="Normal"/></w:pPr>
<w:r><w:t xml:space="preserve">P. Lanfrey in his Histoire de Napoleon: ``This institution</w:t></w:r>
</w:p>
<w:p>
<w:pPr><w:pStyle w:val="Normal"/></w:pPr>
<w:r><w:t xml:space="preserve">had never shown itself the enemy of despotism: Founded by</w:t></w:r>
</w:p>
<w:p>
<w:pPr><w:pStyle w:val="Normal"/></w:pPr>
<w:r><w:t xml:space="preserve">the monarchy and for the monarchy, eminently favourable to</w:t></w:r>
</w:p>
<w:p>
<w:pPr><w:pStyle w:val="Normal"/></w:pPr>
<w:r><w:t xml:space="preserve">the spirit of intrigue and favouritism, incapable of any</w:t></w:r>
</w:p>
<w:p>
<w:pPr><w:pStyle w:val="Normal"/></w:pPr>
<w:r><w:t xml:space="preserve">sustained or combined labour, a stranger to those great</w:t></w:r>
</w:p>
<w:p>
<w:pPr><w:pStyle w:val="Normal"/></w:pPr>
<w:r><w:t xml:space="preserve">works.pursued in common which legitimize and glorify the</w:t></w:r>
</w:p>
<w:p>
<w:pPr><w:pStyle w:val="Normal"/></w:pPr>
<w:r><w:t xml:space="preserve">existence of scientific bodies, occupied exclusively with</w:t></w:r>
</w:p>
<w:p>
<w:pPr><w:pStyle w:val="Normal"/></w:pPr>
<w:r><w:t xml:space="preserve">learned trifles, fatal to emulation, which it pretends to</w:t></w:r>
</w:p>
<w:p>
<w:pPr><w:pStyle w:val="Normal"/></w:pPr>
<w:r><w:t xml:space="preserve">stimulate, by the compromises and calculations to which it</w:t></w:r>
</w:p>
<w:p>
<w:pPr><w:pStyle w:val="Normal"/></w:pPr>
<w:r><w:t xml:space="preserve">subjects it, directed in everything by petty considerations,</w:t></w:r>
</w:p>
<w:p>
<w:pPr><w:pStyle w:val="Normal"/></w:pPr>
<w:r><w:t xml:space="preserve">and wasting all its energy in childish tournaments, in which</w:t></w:r>
</w:p>
<w:p>
<w:pPr><w:pStyle w:val="Normal"/></w:pPr>
<w:r><w:t xml:space="preserve">the flatteries that it showers on others are only a foretaste</w:t></w:r>
</w:p>
<w:p>
<w:pPr><w:pStyle w:val="Normal"/></w:pPr>
<w:r><w:t xml:space="preserve">of the compliments it expects in return for itself, the</w:t></w:r>
</w:p>
<w:p>
<w:pPr><w:pStyle w:val="Normal"/></w:pPr>
<w:r><w:t xml:space="preserve">French Academy seems to have received from its founders the</w:t></w:r>
</w:p>
<w:p>
<w:pPr><w:pStyle w:val="Normal"/></w:pPr>
<w:r><w:t xml:space="preserve">special mission to transform genius into bel esprit, and</w:t></w:r>
</w:p>
<w:p>
<w:pPr><w:pStyle w:val="Normal"/></w:pPr>
<w:r><w:t xml:space="preserve">it would be hard to introduce a man of talent whom it has</w:t></w:r>
</w:p>
<w:p>
<w:pPr><w:pStyle w:val="Normal"/></w:pPr>
<w:r><w:t xml:space="preserve">not demoralized. Drawn in spite of itself towards politics,</w:t></w:r>
</w:p>
<w:p>
<w:pPr><w:pStyle w:val="Normal"/></w:pPr>
<w:r><w:t xml:space="preserve">it alternately pursues and avoids them; but it is specially</w:t></w:r>
</w:p>
<w:p>
<w:pPr><w:pStyle w:val="Normal"/></w:pPr>
<w:r><w:t xml:space="preserve">attracted by the gossip of politics, and whenever it has</w:t></w:r>
</w:p>
<w:p>
<w:pPr><w:pStyle w:val="Normal"/></w:pPr>
<w:r><w:t xml:space="preserve">so far emancipated itself as to go into opposition, it does</w:t></w:r>
</w:p>
<w:p>
<w:pPr><w:pStyle w:val="Normal"/></w:pPr>
<w:r><w:t xml:space="preserve">so as the champion of ancient prejudices. If we examine its</w:t></w:r>
</w:p>
<w:p>
<w:pPr><w:pStyle w:val="Normal"/></w:pPr>
<w:r><w:t xml:space="preserve">influence on the national genius, we shall see that it has</w:t></w:r>
</w:p>
<w:p>
<w:pPr><w:pStyle w:val="Normal"/></w:pPr>
<w:r><w:t xml:space="preserve">given it a flexibility, a brilliance, a polish, which it never</w:t></w:r>
</w:p>
<w:p>
<w:pPr><w:pStyle w:val="Normal"/></w:pPr>
<w:r><w:t xml:space="preserve">possessed before; but it has done so at the expense of its</w:t></w:r>
</w:p>
<w:p>
<w:pPr><w:pStyle w:val="Normal"/></w:pPr>
<w:r><w:t xml:space="preserve">masculine qualities, its originality, its spontaneity, its vigour,</w:t></w:r>
</w:p>
<w:p>
<w:pPr><w:pStyle w:val="Normal"/></w:pPr>
<w:r><w:t xml:space="preserve">its natural grace.  It has disciplined it, but it has</w:t></w:r>
</w:p>
<w:p>
<w:pPr><w:pStyle w:val="Normal"/></w:pPr>
<w:r><w:t xml:space="preserve">emasculated. impoverished and rigidified it.  It sees in</w:t></w:r>
</w:p>
<w:p>
<w:pPr><w:pStyle w:val="Normal"/></w:pPr>
<w:r><w:t xml:space="preserve">taste, not a sense of the beautiful, but a certain type</w:t></w:r>
</w:p>
<w:p>
<w:pPr><w:pStyle w:val="Normal"/></w:pPr>
<w:r><w:t xml:space="preserve">of correctness, an elegant form of mediocrity.  It has</w:t></w:r>
</w:p>
<w:p>
<w:pPr><w:pStyle w:val="Normal"/></w:pPr>
<w:r><w:t xml:space="preserve">substituted pomp for grandeur, school routine for individual</w:t></w:r>
</w:p>
<w:p>
<w:pPr><w:pStyle w:val="Normal"/></w:pPr>
<w:r><w:t xml:space="preserve">inspiration, elaborateness for simplicity, fadeur and the</w:t></w:r>
</w:p>
<w:p>
<w:pPr><w:pStyle w:val="Normal"/></w:pPr>
<w:r><w:t xml:space="preserve">monotony of literary orthodoxy for variety, the source and</w:t></w:r>
</w:p>
<w:p>
<w:pPr><w:pStyle w:val="Normal"/></w:pPr>
<w:r><w:t xml:space="preserve">spring of intellectual life; and in the works produced under</w:t></w:r>
</w:p>
<w:p>
<w:pPr><w:pStyle w:val="Normal"/></w:pPr>
<w:r><w:t xml:space="preserve">its auspices we discover the rhetorician and the writer,</w:t></w:r>
</w:p>
<w:p>
<w:pPr><w:pStyle w:val="Normal"/></w:pPr>
<w:r><w:t xml:space="preserve">never the man.  By all its traditions the academy was made</w:t></w:r>
</w:p>
<w:p>
<w:pPr><w:pStyle w:val="Normal"/></w:pPr>
<w:r><w:t xml:space="preserve">to be the natural ornament of a monarchical society.</w:t></w:r>
</w:p>
<w:p>
<w:pPr><w:pStyle w:val="Normal"/></w:pPr>
<w:r><w:t xml:space="preserve">Richelieu conceived and created it as a sort of superior</w:t></w:r>
</w:p>
<w:p>
<w:pPr><w:pStyle w:val="Normal"/></w:pPr>
<w:r><w:t xml:space="preserve">centralization applied to intellect, as a high literary</w:t></w:r>
</w:p>
<w:p>
<w:pPr><w:pStyle w:val="Normal"/></w:pPr>
<w:r><w:t xml:space="preserve">court to maintain intellectual unity and protest against</w:t></w:r>
</w:p>
<w:p>
<w:pPr><w:pStyle w:val="Normal"/></w:pPr>
<w:r><w:t xml:space="preserve">innovation.  Bonaparte, aware of all this, had thought of</w:t></w:r>
</w:p>
<w:p>
<w:pPr><w:pStyle w:val="Normal"/></w:pPr>
<w:r><w:t xml:space="preserve">re-establishing its ancient privileges; but it had in his eyes</w:t></w:r>
</w:p>
<w:p>
<w:pPr><w:pStyle w:val="Normal"/></w:pPr>
<w:r><w:t xml:space="preserve">one fatal defect--esprit. Kings of France could condone a</w:t></w:r>
</w:p>
<w:p>
<w:pPr><w:pStyle w:val="Normal"/></w:pPr>
<w:r><w:t xml:space="preserve">witticism even against themselves, a parvenu could not.&apos;&apos;</w:t></w:r>
</w:p>
<w:p>
<w:pPr><w:pStyle w:val="Normal"/></w:pPr>
<w:r><w:t xml:space="preserve">On the whole the influence of the French Academy has been</w:t></w:r>
</w:p>
<w:p>
<w:pPr><w:pStyle w:val="Normal"/></w:pPr>
<w:r><w:t xml:space="preserve">conservative rather than creative.  It has done much by its</w:t></w:r>
</w:p>
<w:p>
<w:pPr><w:pStyle w:val="Normal"/></w:pPr>
<w:r><w:t xml:space="preserve">example for style, but its attempts to impose its laws on</w:t></w:r>
</w:p>
<w:p>
<w:pPr><w:pStyle w:val="Normal"/></w:pPr>
<w:r><w:t xml:space="preserve">language have, from the nature of the case, failed.  For,</w:t></w:r>
</w:p>
<w:p>
<w:pPr><w:pStyle w:val="Normal"/></w:pPr>
<w:r><w:t xml:space="preserve">however perfectly a dictionary or a grammar may represent</w:t></w:r>
</w:p>
<w:p>
<w:pPr><w:pStyle w:val="Normal"/></w:pPr>
<w:r><w:t xml:space="preserve">the existing language of a nation, an original genius is</w:t></w:r>
</w:p>
<w:p>
<w:pPr><w:pStyle w:val="Normal"/></w:pPr>
<w:r><w:t xml:space="preserve">certain to arise---a Victor Hugo or an Alfred de Musset--who</w:t></w:r>
</w:p>
<w:p>
<w:pPr><w:pStyle w:val="Normal"/></w:pPr>
<w:r><w:t xml:space="preserve">will set at defiance all dictionaries and academic rules.</w:t></w:r>
</w:p>
<w:p>
<w:pPr><w:pStyle w:val="Normal"/></w:pPr>
<w:r><w:t xml:space="preserve">Germany.---Of the German literary academies the most celebrated</w:t></w:r>
</w:p>
<w:p>
<w:pPr><w:pStyle w:val="Normal"/></w:pPr>
<w:r><w:t xml:space="preserve">was Die Fruchtbringende Gesellschaft (the Fruitful Society),</w:t></w:r>
</w:p>
<w:p>
<w:pPr><w:pStyle w:val="Normal"/></w:pPr>
<w:r><w:t xml:space="preserve">established at Weimar in 1617.  Five princes were among the</w:t></w:r>
</w:p>
<w:p>
<w:pPr><w:pStyle w:val="Normal"/></w:pPr>
<w:r><w:t xml:space="preserve">original members.  The object was to purify the mother tongue.</w:t></w:r>
</w:p>
<w:p>
<w:pPr><w:pStyle w:val="Normal"/></w:pPr>
<w:r><w:t xml:space="preserve">The German academies copied those of Italy in their quaint</w:t></w:r>
</w:p>
<w:p>
<w:pPr><w:pStyle w:val="Normal"/></w:pPr>
<w:r><w:t xml:space="preserve">titles and petty ceremonials, and exercised little permanent</w:t></w:r>
</w:p>
<w:p>
<w:pPr><w:pStyle w:val="Normal"/></w:pPr>
<w:r><w:t xml:space="preserve">influence on the language or literature of the country.</w:t></w:r>
</w:p>
<w:p>
<w:pPr><w:pStyle w:val="Normal"/></w:pPr>
<w:r><w:t xml:space="preserve">Italy.---Italy in the 16th century was remarkable for</w:t></w:r>
</w:p>
<w:p>
<w:pPr><w:pStyle w:val="Normal"/></w:pPr>
<w:r><w:t xml:space="preserve">the number of its literary academies.  Tiraboschi, in</w:t></w:r>
</w:p>
<w:p>
<w:pPr><w:pStyle w:val="Normal"/></w:pPr>
<w:r><w:t xml:space="preserve">his History of Italian Literature, has given a list of</w:t></w:r>
</w:p>
<w:p>
<w:pPr><w:pStyle w:val="Normal"/></w:pPr>
<w:r><w:t xml:space="preserve">171; and Jarkius, in his Specimen Historiae Academiarum</w:t></w:r>
</w:p>
<w:p>
<w:pPr><w:pStyle w:val="Normal"/></w:pPr>
<w:r><w:t xml:space="preserve">Conditarum, enumerates nearly 700. Many of these, with a</w:t></w:r>
</w:p>
<w:p>
<w:pPr><w:pStyle w:val="Normal"/></w:pPr>
<w:r><w:t xml:space="preserve">sort of Socratic irony, gave themselves ludicrous names, or</w:t></w:r>
</w:p>
<w:p>
<w:pPr><w:pStyle w:val="Normal"/></w:pPr>
<w:r><w:t xml:space="preserve">names expressive of ignorance. Such were the Lunatici of</w:t></w:r>
</w:p>
<w:p>
<w:pPr><w:pStyle w:val="Normal"/></w:pPr>
<w:r><w:t xml:space="preserve">Naples, the Estravaganti, the Fulminales, the Trapessati,</w:t></w:r>
</w:p>
<w:p>
<w:pPr><w:pStyle w:val="Normal"/></w:pPr>
<w:r><w:t xml:space="preserve">the Drowsy, the Sleepers, the Anxious, the Confused,</w:t></w:r>
</w:p>
<w:p>
<w:pPr><w:pStyle w:val="Normal"/></w:pPr>
<w:r><w:t xml:space="preserve">the Unstable, the Fantastic, the Transformed, the</w:t></w:r>
</w:p>
<w:p>
<w:pPr><w:pStyle w:val="Normal"/></w:pPr>
<w:r><w:t xml:space="preserve">Ethereal. ``The first academies of Italy chiefly directed</w:t></w:r>
</w:p>
<w:p>
<w:pPr><w:pStyle w:val="Normal"/></w:pPr>
<w:r><w:t xml:space="preserve">their attention to classical literature; they compared</w:t></w:r>
</w:p>
<w:p>
<w:pPr><w:pStyle w:val="Normal"/></w:pPr>
<w:r><w:t xml:space="preserve">manuscripts; they suggested new readings or new interpretations;</w:t></w:r>
</w:p>
<w:p>
<w:pPr><w:pStyle w:val="Normal"/></w:pPr>
<w:r><w:t xml:space="preserve">they deciphered inscriptions or coins, they sat in judgment</w:t></w:r>
</w:p>
<w:p>
<w:pPr><w:pStyle w:val="Normal"/></w:pPr>
<w:r><w:t xml:space="preserve">on a Latin ode or debated the propriety of a phrase.  Their</w:t></w:r>
</w:p>
<w:p>
<w:pPr><w:pStyle w:val="Normal"/></w:pPr>
<w:r><w:t xml:space="preserve">own poetry had, perhaps, never been neglected; but it was not</w:t></w:r>
</w:p>
<w:p>
<w:pPr><w:pStyle w:val="Normal"/></w:pPr>
<w:r><w:t xml:space="preserve">till the writings of Bembo furnished a new code of criticism</w:t></w:r>
</w:p>
<w:p>
<w:pPr><w:pStyle w:val="Normal"/></w:pPr>
<w:r><w:t xml:space="preserve">in the Italian language that they began to study it with the</w:t></w:r>
</w:p>
<w:p>
<w:pPr><w:pStyle w:val="Normal"/></w:pPr>
<w:r><w:t xml:space="preserve">same minuteness as modern Latin.&apos;&apos; ``They were encouragers</w:t></w:r>
</w:p>
<w:p>
<w:pPr><w:pStyle w:val="Normal"/></w:pPr>
<w:r><w:t xml:space="preserve">of a numismatic and lapidary erudition, elegant in itself,</w:t></w:r>
</w:p>
<w:p>
<w:pPr><w:pStyle w:val="Normal"/></w:pPr>
<w:r><w:t xml:space="preserve">and throwing for ever little specks of light on the still</w:t></w:r>
</w:p>
<w:p>
<w:pPr><w:pStyle w:val="Normal"/></w:pPr>
<w:r><w:t xml:space="preserve">ocean of the past, but not very favourable to comprehensive</w:t></w:r>
</w:p>
<w:p>
<w:pPr><w:pStyle w:val="Normal"/></w:pPr>
<w:r><w:t xml:space="preserve">observation, and tending to bestow on an unprofitable pedantry</w:t></w:r>
</w:p>
<w:p>
<w:pPr><w:pStyle w:val="Normal"/></w:pPr>
<w:r><w:t xml:space="preserve">the honours of real learning.&apos;&apos; s The Italian nobility,</w:t></w:r>
</w:p>
<w:p>
<w:pPr><w:pStyle w:val="Normal"/></w:pPr>
<w:r><w:t xml:space="preserve">excluded as they mostly were from politics, and living in</w:t></w:r>
</w:p>
<w:p>
<w:pPr><w:pStyle w:val="Normal"/></w:pPr>
<w:r><w:t xml:space="preserve">cities, found in literature a consolation and a career.</w:t></w:r>
</w:p>
<w:p>
<w:pPr><w:pStyle w:val="Normal"/></w:pPr>
<w:r><w:t xml:space="preserve">Such academies were oligarchical in their constitution; they</w:t></w:r>
</w:p>
<w:p>
<w:pPr><w:pStyle w:val="Normal"/></w:pPr>
<w:r><w:t xml:space="preserve">encouraged culture, but tended to hamper genius and extinguish</w:t></w:r>
</w:p>
<w:p>
<w:pPr><w:pStyle w:val="Normal"/></w:pPr>
<w:r><w:t xml:space="preserve">originality.  Far the most celebrated was the Accademia</w:t></w:r>
</w:p>
<w:p>
<w:pPr><w:pStyle w:val="Normal"/></w:pPr>
<w:r><w:t xml:space="preserve">della Crusca or Furfuratorum; that is, of bran, or of</w:t></w:r>
</w:p>
<w:p>
<w:pPr><w:pStyle w:val="Normal"/></w:pPr>
<w:r><w:t xml:space="preserve">the sifted, founded in 1582.  The title was borrowed from a</w:t></w:r>
</w:p>
<w:p>
<w:pPr><w:pStyle w:val="Normal"/></w:pPr>
<w:r><w:t xml:space="preserve">previous society at Perugia, the Accademia degli Scossi,</w:t></w:r>
</w:p>
<w:p>
<w:pPr><w:pStyle w:val="Normal"/></w:pPr>
<w:r><w:t xml:space="preserve">of the well-shaken. Its device was a sieve; its motto, ``Il</w:t></w:r>
</w:p>
<w:p>
<w:pPr><w:pStyle w:val="Normal"/></w:pPr>
<w:r><w:t xml:space="preserve">piu bel fior ne coglie&apos;&apos; (it collects the finest flower); its</w:t></w:r>
</w:p>
<w:p>
<w:pPr><w:pStyle w:val="Normal"/></w:pPr>
<w:r><w:t xml:space="preserve">principal object the purification of the language.  Its great</w:t></w:r>
</w:p>
<w:p>
<w:pPr><w:pStyle w:val="Normal"/></w:pPr>
<w:r><w:t xml:space="preserve">work was the Vocabulario della Crusca, printed at Venice in</w:t></w:r>
</w:p>
<w:p>
<w:pPr><w:pStyle w:val="Normal"/></w:pPr>
<w:r><w:t xml:space="preserve">1612.  It was composed avowedly on Tuscan principles, and</w:t></w:r>
</w:p>
<w:p>
<w:pPr><w:pStyle w:val="Normal"/></w:pPr>
<w:r><w:t xml:space="preserve">regarded the 14th century as the Augustan period of the</w:t></w:r>
</w:p>
<w:p>
<w:pPr><w:pStyle w:val="Normal"/></w:pPr>
<w:r><w:t xml:space="preserve">language.  Paul Beni assailed it in his Anti-Crusca, and</w:t></w:r>
</w:p>
<w:p>
<w:pPr><w:pStyle w:val="Normal"/></w:pPr>
<w:r><w:t xml:space="preserve">this exclusive Tuscan purism has disappeared in subsequent</w:t></w:r>
</w:p>
<w:p>
<w:pPr><w:pStyle w:val="Normal"/></w:pPr>
<w:r><w:t xml:space="preserve">editions.  The Accademia della Crusca is now incorporated</w:t></w:r>
</w:p>
<w:p>
<w:pPr><w:pStyle w:val="Normal"/></w:pPr>
<w:r><w:t xml:space="preserve">with two older societies--the Accademia degli Apatici</w:t></w:r>
</w:p>
<w:p>
<w:pPr><w:pStyle w:val="Normal"/></w:pPr>
<w:r><w:t xml:space="preserve">(the Impartials) and the Accademia Florentina.</w:t></w:r>
</w:p>
<w:p>
<w:pPr><w:pStyle w:val="Normal"/></w:pPr>
<w:r><w:t xml:space="preserve">Among the numerous other literary academies of Italy we may</w:t></w:r>
</w:p>
<w:p>
<w:pPr><w:pStyle w:val="Normal"/></w:pPr>
<w:r><w:t xml:space="preserve">mention the academy of Naples, founded about 1440 by Alphonso,</w:t></w:r>
</w:p>
<w:p>
<w:pPr><w:pStyle w:val="Normal"/></w:pPr>
<w:r><w:t xml:space="preserve">the king; the Academy of Florence, founded 1540, to illustrate</w:t></w:r>
</w:p>
<w:p>
<w:pPr><w:pStyle w:val="Normal"/></w:pPr>
<w:r><w:t xml:space="preserve">and perfect the Tuscan tongue, especially by the close study of</w:t></w:r>
</w:p>
<w:p>
<w:pPr><w:pStyle w:val="Normal"/></w:pPr>
<w:r><w:t xml:space="preserve">Petrarch; the Intronati of Siena, 1525; the Infiammati of</w:t></w:r>
</w:p>
<w:p>
<w:pPr><w:pStyle w:val="Normal"/></w:pPr>
<w:r><w:t xml:space="preserve">Padua, 1534; the Rozzi of Siena, suppressed by Cosimo, 1568.</w:t></w:r>
</w:p>
<w:p>
<w:pPr><w:pStyle w:val="Normal"/></w:pPr>
<w:r><w:t xml:space="preserve">The Academy of Humorists arose from a casual meeting of</w:t></w:r>
</w:p>
<w:p>
<w:pPr><w:pStyle w:val="Normal"/></w:pPr>
<w:r><w:t xml:space="preserve">witty noblemen at the marriage of Lorenzo Marcini, a Roman</w:t></w:r>
</w:p>
<w:p>
<w:pPr><w:pStyle w:val="Normal"/></w:pPr>
<w:r><w:t xml:space="preserve">gentleman.  It was carnival time, and to give the ladies some</w:t></w:r>
</w:p>
<w:p>
<w:pPr><w:pStyle w:val="Normal"/></w:pPr>
<w:r><w:t xml:space="preserve">diversion they recited verses, sonnets and speeches, first</w:t></w:r>
</w:p>
<w:p>
<w:pPr><w:pStyle w:val="Normal"/></w:pPr>
<w:r><w:t xml:space="preserve">impromptus and afterwards set compositions.  This gave them</w:t></w:r>
</w:p>
<w:p>
<w:pPr><w:pStyle w:val="Normal"/></w:pPr>
<w:r><w:t xml:space="preserve">the name, Beni Humori, which, after they resolved to form</w:t></w:r>
</w:p>
<w:p>
<w:pPr><w:pStyle w:val="Normal"/></w:pPr>
<w:r><w:t xml:space="preserve">an academy of belles lettres, they changed to Humoristi.</w:t></w:r>
</w:p>
<w:p>
<w:pPr><w:pStyle w:val="Normal"/></w:pPr>
<w:r><w:t xml:space="preserve">In 1690 the Accademia degli Arcadi was founded at Rome, for</w:t></w:r>
</w:p>
<w:p>
<w:pPr><w:pStyle w:val="Normal"/></w:pPr>
<w:r><w:t xml:space="preserve">the purpose of reviving the study of poetry, by Crescimbeni,</w:t></w:r>
</w:p>
<w:p>
<w:pPr><w:pStyle w:val="Normal"/></w:pPr>
<w:r><w:t xml:space="preserve">the author of a history of Italian poetry.  Among its members</w:t></w:r>
</w:p>
<w:p>
<w:pPr><w:pStyle w:val="Normal"/></w:pPr>
<w:r><w:t xml:space="preserve">were princes, cardinals and other ecclesiastics; and, to</w:t></w:r>
</w:p>
<w:p>
<w:pPr><w:pStyle w:val="Normal"/></w:pPr>
<w:r><w:t xml:space="preserve">avoid disputes about pre-eminence, all came to its meetings</w:t></w:r>
</w:p>
<w:p>
<w:pPr><w:pStyle w:val="Normal"/></w:pPr>
<w:r><w:t xml:space="preserve">masked and dressed like Arcadian shepherds.  Within ten years</w:t></w:r>
</w:p>
<w:p>
<w:pPr><w:pStyle w:val="Normal"/></w:pPr>
<w:r><w:t xml:space="preserve">from its establishment the number of academicians was 600.</w:t></w:r>
</w:p>
<w:p>
<w:pPr><w:pStyle w:val="Normal"/></w:pPr>
<w:r><w:t xml:space="preserve">The Royal Academy of Savoy dates from 1719, and was made a royal</w:t></w:r>
</w:p>
<w:p>
<w:pPr><w:pStyle w:val="Normal"/></w:pPr>
<w:r><w:t xml:space="preserve">academy by Charles Albert in 1848.  Its emblem is a gold orange</w:t></w:r>
</w:p>
<w:p>
<w:pPr><w:pStyle w:val="Normal"/></w:pPr>
<w:r><w:t xml:space="preserve">tree full of flowers and fruit; its motto ``Flores fructusque</w:t></w:r>
</w:p>
<w:p>
<w:pPr><w:pStyle w:val="Normal"/></w:pPr>
<w:r><w:t xml:space="preserve">oerennes,&apos;&apos; the same as that of the famous Florimentane Academy,</w:t></w:r>
</w:p>
<w:p>
<w:pPr><w:pStyle w:val="Normal"/></w:pPr>
<w:r><w:t xml:space="preserve">founded at Annecy by St Francis de Sales.  It has published</w:t></w:r>
</w:p>
<w:p>
<w:pPr><w:pStyle w:val="Normal"/></w:pPr>
<w:r><w:t xml:space="preserve">valuable memoirs on the history and antiquities of Savoy.</w:t></w:r>
</w:p>
<w:p>
<w:pPr><w:pStyle w:val="Normal"/></w:pPr>
<w:r><w:t xml:space="preserve">Spain.--The Real Academia Espanola at Madrid held its</w:t></w:r>
</w:p>
<w:p>
<w:pPr><w:pStyle w:val="Normal"/></w:pPr>
<w:r><w:t xml:space="preserve">first meeting in July 1713, in the palace of its founder, the</w:t></w:r>
</w:p>
<w:p>
<w:pPr><w:pStyle w:val="Normal"/></w:pPr>
<w:r><w:t xml:space="preserve">duke d&apos;Fscalona.  It consisted at first of 8 academicians,</w:t></w:r>
</w:p>
<w:p>
<w:pPr><w:pStyle w:val="Normal"/></w:pPr>
<w:r><w:t xml:space="preserve">including the duke; to which number 14 others were afterwards</w:t></w:r>
</w:p>
<w:p>
<w:pPr><w:pStyle w:val="Normal"/></w:pPr>
<w:r><w:t xml:space="preserve">added, the founder being chosen president or director.</w:t></w:r>
</w:p>
<w:p>
<w:pPr><w:pStyle w:val="Normal"/></w:pPr>
<w:r><w:t xml:space="preserve">In 1714 the king granted them the royal confirmation and</w:t></w:r>
</w:p>
<w:p>
<w:pPr><w:pStyle w:val="Normal"/></w:pPr>
<w:r><w:t xml:space="preserve">protection.  Their device is a crucible in the middle of the</w:t></w:r>
</w:p>
<w:p>
<w:pPr><w:pStyle w:val="Normal"/></w:pPr>
<w:r><w:t xml:space="preserve">fire, with this motto, Limpia, fixa, y da esplendor--``It</w:t></w:r>
</w:p>
<w:p>
<w:pPr><w:pStyle w:val="Normal"/></w:pPr>
<w:r><w:t xml:space="preserve">purifies, fixes, and gives brightness.&apos;&apos; The number of its</w:t></w:r>
</w:p>
<w:p>
<w:pPr><w:pStyle w:val="Normal"/></w:pPr>
<w:r><w:t xml:space="preserve">members was limited to 24; the duke d&apos;Escalona was chosen</w:t></w:r>
</w:p>
<w:p>
<w:pPr><w:pStyle w:val="Normal"/></w:pPr>
<w:r><w:t xml:space="preserve">director for life, but his successors were elected yearly, and</w:t></w:r>
</w:p>
<w:p>
<w:pPr><w:pStyle w:val="Normal"/></w:pPr>
<w:r><w:t xml:space="preserve">the secretary for life.  Their object, as marked out by the</w:t></w:r>
</w:p>
<w:p>
<w:pPr><w:pStyle w:val="Normal"/></w:pPr>
<w:r><w:t xml:space="preserve">royal declaration, was to cultivate and improve the national</w:t></w:r>
</w:p>
<w:p>
<w:pPr><w:pStyle w:val="Normal"/></w:pPr>
<w:r><w:t xml:space="preserve">language.  They were to begin with choosing carefully such</w:t></w:r>
</w:p>
<w:p>
<w:pPr><w:pStyle w:val="Normal"/></w:pPr>
<w:r><w:t xml:space="preserve">words and phrases as have been used by the best Spanish writers;</w:t></w:r>
</w:p>
<w:p>
<w:pPr><w:pStyle w:val="Normal"/></w:pPr>
<w:r><w:t xml:space="preserve">noting the low, barbarous or obsolete ones; and composing a</w:t></w:r>
</w:p>
<w:p>
<w:pPr><w:pStyle w:val="Normal"/></w:pPr>
<w:r><w:t xml:space="preserve">dictionary wherein these might be distinguished from the former.</w:t></w:r>
</w:p>
<w:p>
<w:pPr><w:pStyle w:val="Normal"/></w:pPr>
<w:r><w:t xml:space="preserve">Sweden.--The Svenska Akademien was founded in 1786, for the</w:t></w:r>
</w:p>
<w:p>
<w:pPr><w:pStyle w:val="Normal"/></w:pPr>
<w:r><w:t xml:space="preserve">purpose of purifying and perfecting the Swedish language. A medal</w:t></w:r>
</w:p>
<w:p>
<w:pPr><w:pStyle w:val="Normal"/></w:pPr>
<w:r><w:t xml:space="preserve">is struck by its direction every year in honour of some illustrious</w:t></w:r>
</w:p>
<w:p>
<w:pPr><w:pStyle w:val="Normal"/></w:pPr>
<w:r><w:t xml:space="preserve">Swede.  This academy does not publish its transactions.</w:t></w:r>
</w:p>
<w:p>
<w:pPr><w:pStyle w:val="Heading1"/></w:pPr>
<w:r><w:t>III. ACADEMIES OF ARCHAEOLOGY AND HISTORY France.---The old</w:t></w:r>
</w:p>
<w:p>
<w:pPr><w:pStyle w:val="Normal"/></w:pPr>
<w:r><w:t xml:space="preserve">Academie des inscriptions et belles-lettres (or ``Petite</w:t></w:r>
</w:p>
<w:p>
<w:pPr><w:pStyle w:val="Normal"/></w:pPr>
<w:r><w:t xml:space="preserve">Academie,&apos;&apos; founded in 1663) was an offshoot of the French</w:t></w:r>
</w:p>
<w:p>
<w:pPr><w:pStyle w:val="Normal"/></w:pPr>
<w:r><w:t xml:space="preserve">Academy, which then at least contained the elite of French</w:t></w:r>
</w:p>
<w:p>
<w:pPr><w:pStyle w:val="Normal"/></w:pPr>
<w:r><w:t xml:space="preserve">learning.  Louis XIV. was of all French kings the one most</w:t></w:r>
</w:p>
<w:p>
<w:pPr><w:pStyle w:val="Normal"/></w:pPr>
<w:r><w:t xml:space="preserve">occupied with his own aggrandisement.  Literature, and even</w:t></w:r>
</w:p>
<w:p>
<w:pPr><w:pStyle w:val="Normal"/></w:pPr>
<w:r><w:t xml:space="preserve">science, he only encouraged so far as they redounded to his</w:t></w:r>
</w:p>
<w:p>
<w:pPr><w:pStyle w:val="Normal"/></w:pPr>
<w:r><w:t xml:space="preserve">own glory.  Nor were literary men inclined to assert their</w:t></w:r>
</w:p>
<w:p>
<w:pPr><w:pStyle w:val="Normal"/></w:pPr>
<w:r><w:t xml:space="preserve">independence.  Boileau well represented the spirit of the age</w:t></w:r>
</w:p>
<w:p>
<w:pPr><w:pStyle w:val="Normal"/></w:pPr>
<w:r><w:t xml:space="preserve">when, in dedicating his tragedy Berenice to Colbert, he</w:t></w:r>
</w:p>
<w:p>
<w:pPr><w:pStyle w:val="Normal"/></w:pPr>
<w:r><w:t xml:space="preserve">wrote: ``The least things become important if in any degree</w:t></w:r>
</w:p>
<w:p>
<w:pPr><w:pStyle w:val="Normal"/></w:pPr>
<w:r><w:t xml:space="preserve">they can serve the glory and pleasure of the king.&apos;&apos; Thus it</w:t></w:r>
</w:p>
<w:p>
<w:pPr><w:pStyle w:val="Normal"/></w:pPr>
<w:r><w:t xml:space="preserve">was that the Academy of Inscriptions arose.  At the suggestion</w:t></w:r>
</w:p>
<w:p>
<w:pPr><w:pStyle w:val="Normal"/></w:pPr>
<w:r><w:t xml:space="preserve">of Colbert a company (a committee we should now call it) had</w:t></w:r>
</w:p>
<w:p>
<w:pPr><w:pStyle w:val="Normal"/></w:pPr>
<w:r><w:t xml:space="preserve">been appointed by the king, chosen from the French Academy,</w:t></w:r>
</w:p>
<w:p>
<w:pPr><w:pStyle w:val="Normal"/></w:pPr>
<w:r><w:t xml:space="preserve">charged with the office of furnishing inscriptions, devices</w:t></w:r>
</w:p>
<w:p>
<w:pPr><w:pStyle w:val="Normal"/></w:pPr>
<w:r><w:t xml:space="preserve">and legends for medals.  It consisted of four academicians:</w:t></w:r>
</w:p>
<w:p>
<w:pPr><w:pStyle w:val="Normal"/></w:pPr>
<w:r><w:t xml:space="preserve">Chapelain, then considered the poet laureate of France, one</w:t></w:r>
</w:p>
<w:p>
<w:pPr><w:pStyle w:val="Normal"/></w:pPr>
<w:r><w:t xml:space="preserve">of the authors of the critique on the Cid; the abbe Amable</w:t></w:r>
</w:p>
<w:p>
<w:pPr><w:pStyle w:val="Normal"/></w:pPr>
<w:r><w:t xml:space="preserve">de Bourzeis (1606-1671); Francois Charpentier (1620-1702),</w:t></w:r>
</w:p>
<w:p>
<w:pPr><w:pStyle w:val="Normal"/></w:pPr>
<w:r><w:t xml:space="preserve">an antiquary of high repute among his contemporaries; and</w:t></w:r>
</w:p>
<w:p>
<w:pPr><w:pStyle w:val="Normal"/></w:pPr>
<w:r><w:t xml:space="preserve">the abbe Jacques de Cassagnes (1636-1679), who owed his</w:t></w:r>
</w:p>
<w:p>
<w:pPr><w:pStyle w:val="Normal"/></w:pPr>
<w:r><w:t xml:space="preserve">appointment more to the fulsome flattery of his odes than</w:t></w:r>
</w:p>
<w:p>
<w:pPr><w:pStyle w:val="Normal"/></w:pPr>
<w:r><w:t xml:space="preserve">to his really learned translations of Cicero and Sallust.</w:t></w:r>
</w:p>
<w:p>
<w:pPr><w:pStyle w:val="Normal"/></w:pPr>
<w:r><w:t xml:space="preserve">This company used to meet in Colbert&apos;s library in the winter,</w:t></w:r>
</w:p>
<w:p>
<w:pPr><w:pStyle w:val="Normal"/></w:pPr>
<w:r><w:t xml:space="preserve">at his country-house at Sceaux in the summer, generally on</w:t></w:r>
</w:p>
<w:p>
<w:pPr><w:pStyle w:val="Normal"/></w:pPr>
<w:r><w:t xml:space="preserve">Wednesdays, to serve the convenience of the minister, who was</w:t></w:r>
</w:p>
<w:p>
<w:pPr><w:pStyle w:val="Normal"/></w:pPr>
<w:r><w:t xml:space="preserve">always present.  Their meetings were principally occupied with</w:t></w:r>
</w:p>
<w:p>
<w:pPr><w:pStyle w:val="Normal"/></w:pPr>
<w:r><w:t xml:space="preserve">discussing the inscriptions, statues and pictures intended for</w:t></w:r>
</w:p>
<w:p>
<w:pPr><w:pStyle w:val="Normal"/></w:pPr>
<w:r><w:t xml:space="preserve">the decoration of Versailles; but Colbert, a really learned</w:t></w:r>
</w:p>
<w:p>
<w:pPr><w:pStyle w:val="Normal"/></w:pPr>
<w:r><w:t xml:space="preserve">man and an enthusiastic collector of manuscripts, was often</w:t></w:r>
</w:p>
<w:p>
<w:pPr><w:pStyle w:val="Normal"/></w:pPr>
<w:r><w:t xml:space="preserve">pleased to converse with them on matters of art, history and</w:t></w:r>
</w:p>
<w:p>
<w:pPr><w:pStyle w:val="Normal"/></w:pPr>
<w:r><w:t xml:space="preserve">antiquities.  Their first published work was a collection of</w:t></w:r>
</w:p>
<w:p>
<w:pPr><w:pStyle w:val="Normal"/></w:pPr>
<w:r><w:t xml:space="preserve">engravings, accompanied by descriptions, designed for some</w:t></w:r>
</w:p>
<w:p>
<w:pPr><w:pStyle w:val="Normal"/></w:pPr>
<w:r><w:t xml:space="preserve">of the tapestries at Versailles.  Louvois, who succeeded</w:t></w:r>
</w:p>
<w:p>
<w:pPr><w:pStyle w:val="Normal"/></w:pPr>
<w:r><w:t xml:space="preserve">Colbert as a superintendent of buildings, revived the</w:t></w:r>
</w:p>
<w:p>
<w:pPr><w:pStyle w:val="Normal"/></w:pPr>
<w:r><w:t xml:space="preserve">company, which had begun to relax its labours.  Felibien,</w:t></w:r>
</w:p>
<w:p>
<w:pPr><w:pStyle w:val="Normal"/></w:pPr>
<w:r><w:t xml:space="preserve">the learned architect, and the two great poets Racine and</w:t></w:r>
</w:p>
<w:p>
<w:pPr><w:pStyle w:val="Normal"/></w:pPr>
<w:r><w:t xml:space="preserve">Boileau, were added to their number.  A series of medals</w:t></w:r>
</w:p>
<w:p>
<w:pPr><w:pStyle w:val="Normal"/></w:pPr>
<w:r><w:t xml:space="preserve">was commenced, entitled Medailles de la Grande Histoire,</w:t></w:r>
</w:p>
<w:p>
<w:pPr><w:pStyle w:val="Normal"/></w:pPr>
<w:r><w:t xml:space="preserve">or, in other words, the history of the Grand Monarque.</w:t></w:r>
</w:p>
<w:p>
<w:pPr><w:pStyle w:val="Normal"/></w:pPr>
<w:r><w:t xml:space="preserve">But it was to M. de Pontchartrain, comptroller-general of</w:t></w:r>
</w:p>
<w:p>
<w:pPr><w:pStyle w:val="Normal"/></w:pPr>
<w:r><w:t xml:space="preserve">finance and secretary of state, that the academy owed its</w:t></w:r>
</w:p>
<w:p>
<w:pPr><w:pStyle w:val="Normal"/></w:pPr>
<w:r><w:t xml:space="preserve">institution.  He added to the company Renaudot and Jacques</w:t></w:r>
</w:p>
<w:p>
<w:pPr><w:pStyle w:val="Normal"/></w:pPr>
<w:r><w:t xml:space="preserve">Tourreil, both men of vast learning, the latter tutor to his</w:t></w:r>
</w:p>
<w:p>
<w:pPr><w:pStyle w:val="Normal"/></w:pPr>
<w:r><w:t xml:space="preserve">son, and put at its head his nephew, the abbe Jean Paul</w:t></w:r>
</w:p>
<w:p>
<w:pPr><w:pStyle w:val="Normal"/></w:pPr>
<w:r><w:t xml:space="preserve">Bignou. librarian to the king.  By a new regulation, dated</w:t></w:r>
</w:p>
<w:p>
<w:pPr><w:pStyle w:val="Normal"/></w:pPr>
<w:r><w:t xml:space="preserve">the 16th of July 1701, the Academie royale des inscriptions</w:t></w:r>
</w:p>
<w:p>
<w:pPr><w:pStyle w:val="Normal"/></w:pPr>
<w:r><w:t xml:space="preserve">et medailles was instituted, being composed of ten honorary</w:t></w:r>
</w:p>
<w:p>
<w:pPr><w:pStyle w:val="Normal"/></w:pPr>
<w:r><w:t xml:space="preserve">members, ten pensioners, ten associates, and ten pupils.  Its</w:t></w:r>
</w:p>
<w:p>
<w:pPr><w:pStyle w:val="Normal"/></w:pPr>
<w:r><w:t xml:space="preserve">constitution was an almost exact copy of that of the Academy of</w:t></w:r>
</w:p>
<w:p>
<w:pPr><w:pStyle w:val="Normal"/></w:pPr>
<w:r><w:t xml:space="preserve">Sciences.  Among the regulations we find the following, which</w:t></w:r>
</w:p>
<w:p>
<w:pPr><w:pStyle w:val="Normal"/></w:pPr>
<w:r><w:t xml:space="preserve">indicates clearly the transition from a staff of learned</w:t></w:r>
</w:p>
<w:p>
<w:pPr><w:pStyle w:val="Normal"/></w:pPr>
<w:r><w:t xml:space="preserve">officials to a learned body: ``The academy shall concern</w:t></w:r>
</w:p>
<w:p>
<w:pPr><w:pStyle w:val="Normal"/></w:pPr>
<w:r><w:t xml:space="preserve">itself with all that can contribute to the perfection of</w:t></w:r>
</w:p>
<w:p>
<w:pPr><w:pStyle w:val="Normal"/></w:pPr>
<w:r><w:t xml:space="preserve">inscriptions and legends, of designs for such monuments and</w:t></w:r>
</w:p>
<w:p>
<w:pPr><w:pStyle w:val="Normal"/></w:pPr>
<w:r><w:t xml:space="preserve">decorations as may be submitted to its judgment; also with</w:t></w:r>
</w:p>
<w:p>
<w:pPr><w:pStyle w:val="Normal"/></w:pPr>
<w:r><w:t xml:space="preserve">the description of all artistic works, present and future,</w:t></w:r>
</w:p>
<w:p>
<w:pPr><w:pStyle w:val="Normal"/></w:pPr>
<w:r><w:t xml:space="preserve">and the historical explanation of the subject of such works;</w:t></w:r>
</w:p>
<w:p>
<w:pPr><w:pStyle w:val="Normal"/></w:pPr>
<w:r><w:t xml:space="preserve">and as the knowledge of Greek and Latin antiquities. and</w:t></w:r>
</w:p>
<w:p>
<w:pPr><w:pStyle w:val="Normal"/></w:pPr>
<w:r><w:t xml:space="preserve">of these two languages, is the best guarantee for success</w:t></w:r>
</w:p>
<w:p>
<w:pPr><w:pStyle w:val="Normal"/></w:pPr>
<w:r><w:t xml:space="preserve">in labours of this class, the academicians shall apply</w:t></w:r>
</w:p>
<w:p>
<w:pPr><w:pStyle w:val="Normal"/></w:pPr>
<w:r><w:t xml:space="preserve">themselves . to all that this division of learning includes,</w:t></w:r>
</w:p>
<w:p>
<w:pPr><w:pStyle w:val="Normal"/></w:pPr>
<w:r><w:t xml:space="preserve">as one of the most worthy objects of their pursuit.&apos;&apos;</w:t></w:r>
</w:p>
<w:p>
<w:pPr><w:pStyle w:val="Normal"/></w:pPr>
<w:r><w:t xml:space="preserve">Among the first honorary members we find the indefatigable</w:t></w:r>
</w:p>
<w:p>
<w:pPr><w:pStyle w:val="Normal"/></w:pPr>
<w:r><w:t xml:space="preserve">Mabillon (excluded from the pensioners by reason of his orders),</w:t></w:r>
</w:p>
<w:p>
<w:pPr><w:pStyle w:val="Normal"/></w:pPr>
<w:r><w:t xml:space="preserve">Pere La Chaise, the king&apos;s confessor, and Cardinal Rohan;</w:t></w:r>
</w:p>
<w:p>
<w:pPr><w:pStyle w:val="Normal"/></w:pPr>
<w:r><w:t xml:space="preserve">among the associates Fontenelle and Rollin, whose Ancient</w:t></w:r>
</w:p>
<w:p>
<w:pPr><w:pStyle w:val="Normal"/></w:pPr>
<w:r><w:t xml:space="preserve">History was submitted to the academy for revision.  In 1711</w:t></w:r>
</w:p>
<w:p>
<w:pPr><w:pStyle w:val="Normal"/></w:pPr>
<w:r><w:t xml:space="preserve">they completed L&apos;Histoire metallique du roi, of which</w:t></w:r>
</w:p>
<w:p>
<w:pPr><w:pStyle w:val="Normal"/></w:pPr>
<w:r><w:t xml:space="preserve">Saint-Simon was asked to write the preface.  In 1716 the regent</w:t></w:r>
</w:p>
<w:p>
<w:pPr><w:pStyle w:val="Normal"/></w:pPr>
<w:r><w:t xml:space="preserve">changed its title to that of the Academie des inscriptions et</w:t></w:r>
</w:p>
<w:p>
<w:pPr><w:pStyle w:val="Normal"/></w:pPr>
<w:r><w:t xml:space="preserve">belleslettres, a title which better suited its new character.</w:t></w:r>
</w:p>
<w:p>
<w:pPr><w:pStyle w:val="Normal"/></w:pPr>
<w:r><w:t xml:space="preserve">In the great battle between the Ancients and the Moderns</w:t></w:r>
</w:p>
<w:p>
<w:pPr><w:pStyle w:val="Normal"/></w:pPr>
<w:r><w:t xml:space="preserve">which divided the learned world in the first half of the 18th</w:t></w:r>
</w:p>
<w:p>
<w:pPr><w:pStyle w:val="Normal"/></w:pPr>
<w:r><w:t xml:space="preserve">century, the Academy of Inscriptions naturally espoused the</w:t></w:r>
</w:p>
<w:p>
<w:pPr><w:pStyle w:val="Normal"/></w:pPr>
<w:r><w:t xml:space="preserve">cause of the Ancients, as the Academy of Sciences did that of the</w:t></w:r>
</w:p>
<w:p>
<w:pPr><w:pStyle w:val="Normal"/></w:pPr>
<w:r><w:t xml:space="preserve">Moderns.  During the earlier years of the French Revolution</w:t></w:r>
</w:p>
<w:p>
<w:pPr><w:pStyle w:val="Normal"/></w:pPr>
<w:r><w:t xml:space="preserve">the academy continued its labours uninterruptedly; and on the</w:t></w:r>
</w:p>
<w:p>
<w:pPr><w:pStyle w:val="Normal"/></w:pPr>
<w:r><w:t xml:space="preserve">22nd of January 1793, the day after the death of Louis XVI,</w:t></w:r>
</w:p>
<w:p>
<w:pPr><w:pStyle w:val="Normal"/></w:pPr>
<w:r><w:t xml:space="preserve">we find in the Proceedinigs that M. Brequigny read a paper</w:t></w:r>
</w:p>
<w:p>
<w:pPr><w:pStyle w:val="Normal"/></w:pPr>
<w:r><w:t xml:space="preserve">on the projects of marriage between Queen Elizabeth and the</w:t></w:r>
</w:p>
<w:p>
<w:pPr><w:pStyle w:val="Normal"/></w:pPr>
<w:r><w:t xml:space="preserve">dukes of Anjou and Alencon.  In the same year were published</w:t></w:r>
</w:p>
<w:p>
<w:pPr><w:pStyle w:val="Normal"/></w:pPr>
<w:r><w:t xml:space="preserve">the 45th and 46th vols. of the Memoires de l&apos;academie.</w:t></w:r>
</w:p>
<w:p>
<w:pPr><w:pStyle w:val="Normal"/></w:pPr>
<w:r><w:t xml:space="preserve">On the 2nd of August of the same year the last seance of</w:t></w:r>
</w:p>
<w:p>
<w:pPr><w:pStyle w:val="Normal"/></w:pPr>
<w:r><w:t xml:space="preserve">the old academy was held.  More fortunate than its sister</w:t></w:r>
</w:p>
<w:p>
<w:pPr><w:pStyle w:val="Normal"/></w:pPr>
<w:r><w:t xml:space="preserve">Academy of Sciences, it lost only three of its members by</w:t></w:r>
</w:p>
<w:p>
<w:pPr><w:pStyle w:val="Normal"/></w:pPr>
<w:r><w:t xml:space="preserve">the guillotine.  One of these was the astronomer Sylvain</w:t></w:r>
</w:p>
<w:p>
<w:pPr><w:pStyle w:val="Normal"/></w:pPr>
<w:r><w:t xml:space="preserve">Bailly.  Three others sat as members of the Convention;</w:t></w:r>
</w:p>
<w:p>
<w:pPr><w:pStyle w:val="Normal"/></w:pPr>
<w:r><w:t xml:space="preserve">but for the honour of the academy, it should be added</w:t></w:r>
</w:p>
<w:p>
<w:pPr><w:pStyle w:val="Normal"/></w:pPr>
<w:r><w:t xml:space="preserve">that all three were distinguished by their moderation.</w:t></w:r>
</w:p>
<w:p>
<w:pPr><w:pStyle w:val="Normal"/></w:pPr>
<w:r><w:t xml:space="preserve">In the first draft of the new Institute, October 25, 1795, no</w:t></w:r>
</w:p>
<w:p>
<w:pPr><w:pStyle w:val="Normal"/></w:pPr>
<w:r><w:t xml:space="preserve">class corresponded exactly to the old Academy of Inscriptions;</w:t></w:r>
</w:p>
<w:p>
<w:pPr><w:pStyle w:val="Normal"/></w:pPr>
<w:r><w:t xml:space="preserve">but most of the members who survived found themselves re-elected</w:t></w:r>
</w:p>
<w:p>
<w:pPr><w:pStyle w:val="Normal"/></w:pPr>
<w:r><w:t xml:space="preserve">either in the class of moral and political science, under</w:t></w:r>
</w:p>
<w:p>
<w:pPr><w:pStyle w:val="Normal"/></w:pPr>
<w:r><w:t xml:space="preserve">which history and geography were included as sections, or</w:t></w:r>
</w:p>
<w:p>
<w:pPr><w:pStyle w:val="Normal"/></w:pPr>
<w:r><w:t xml:space="preserve">more generally under the class of literature and fine arts,</w:t></w:r>
</w:p>
<w:p>
<w:pPr><w:pStyle w:val="Normal"/></w:pPr>
<w:r><w:t xml:space="preserve">which embraced ancient languages, antiquities and monuments.</w:t></w:r>
</w:p>
<w:p>
<w:pPr><w:pStyle w:val="Normal"/></w:pPr>
<w:r><w:t xml:space="preserve">In 1816 the academy received again its old name.  The Proceedings</w:t></w:r>
</w:p>
<w:p>
<w:pPr><w:pStyle w:val="Normal"/></w:pPr>
<w:r><w:t xml:space="preserve">of the society embrace a vast field, and are of very various</w:t></w:r>
</w:p>
<w:p>
<w:pPr><w:pStyle w:val="Normal"/></w:pPr>
<w:r><w:t xml:space="preserve">merits.  Perhaps the subjects on which it has shown most</w:t></w:r>
</w:p>
<w:p>
<w:pPr><w:pStyle w:val="Normal"/></w:pPr>
<w:r><w:t xml:space="preserve">originality are comparative mythology, the history of science</w:t></w:r>
</w:p>
<w:p>
<w:pPr><w:pStyle w:val="Normal"/></w:pPr>
<w:r><w:t xml:space="preserve">among the ancients, and the geography and antiquities of</w:t></w:r>
</w:p>
<w:p>
<w:pPr><w:pStyle w:val="Normal"/></w:pPr>
<w:r><w:t xml:space="preserve">France.  The old academy has reckoned among its members De</w:t></w:r>
</w:p>
<w:p>
<w:pPr><w:pStyle w:val="Normal"/></w:pPr>
<w:r><w:t xml:space="preserve">Sacy the orientalist, Dansse de Villoison (1750-1805) the</w:t></w:r>
</w:p>
<w:p>
<w:pPr><w:pStyle w:val="Normal"/></w:pPr>
<w:r><w:t xml:space="preserve">philologist, Anquetil du Perron the traveller, Guillaume J.</w:t></w:r>
</w:p>
<w:p>
<w:pPr><w:pStyle w:val="Normal"/></w:pPr>
<w:r><w:t xml:space="preserve">de C. L. Sainte-Croix and du Theil the antiquaries, and Le</w:t></w:r>
</w:p>
<w:p>
<w:pPr><w:pStyle w:val="Normal"/></w:pPr>
<w:r><w:t xml:space="preserve">Beau, who has been named the last of the Romans.  The new</w:t></w:r>
</w:p>
<w:p>
<w:pPr><w:pStyle w:val="Normal"/></w:pPr>
<w:r><w:t xml:space="preserve">academy has inscribed on its lists the names of Champollion,</w:t></w:r>
</w:p>
<w:p>
<w:pPr><w:pStyle w:val="Normal"/></w:pPr>
<w:r><w:t xml:space="preserve">A. Remusat, Raynouard, Burnout and Augustin Thierry.</w:t></w:r>
</w:p>
<w:p>
<w:pPr><w:pStyle w:val="Normal"/></w:pPr>
<w:r><w:t xml:space="preserve">In consequence of the attention of several literary men in</w:t></w:r>
</w:p>
<w:p>
<w:pPr><w:pStyle w:val="Normal"/></w:pPr>
<w:r><w:t xml:space="preserve">Paris having been directed to Celtic antiquities, a Celtic</w:t></w:r>
</w:p>
<w:p>
<w:pPr><w:pStyle w:val="Normal"/></w:pPr>
<w:r><w:t xml:space="preserve">Academy was established in that city in 1805.  Its objects were,</w:t></w:r>
</w:p>
<w:p>
<w:pPr><w:pStyle w:val="Normal"/></w:pPr>
<w:r><w:t xml:space="preserve">first, the elucidation of the history, customs, antiquities,</w:t></w:r>
</w:p>
<w:p>
<w:pPr><w:pStyle w:val="Normal"/></w:pPr>
<w:r><w:t xml:space="preserve">manners and monuments of the Celts, particularly in France;</w:t></w:r>
</w:p>
<w:p>
<w:pPr><w:pStyle w:val="Normal"/></w:pPr>
<w:r><w:t xml:space="preserve">secondly, the etymology of all the European languages, by</w:t></w:r>
</w:p>
<w:p>
<w:pPr><w:pStyle w:val="Normal"/></w:pPr>
<w:r><w:t xml:space="preserve">the aid of the Celto-British, Welsh and Erse; and, thirdly,</w:t></w:r>
</w:p>
<w:p>
<w:pPr><w:pStyle w:val="Normal"/></w:pPr>
<w:r><w:t xml:space="preserve">researches relating to Druidism.  The attention of the members</w:t></w:r>
</w:p>
<w:p>
<w:pPr><w:pStyle w:val="Normal"/></w:pPr>
<w:r><w:t xml:space="preserve">was also particularly called to the history and settlements</w:t></w:r>
</w:p>
<w:p>
<w:pPr><w:pStyle w:val="Normal"/></w:pPr>
<w:r><w:t xml:space="preserve">of the Galatae in Asia. Lenoir, the keeper of the museum of</w:t></w:r>
</w:p>
<w:p>
<w:pPr><w:pStyle w:val="Normal"/></w:pPr>
<w:r><w:t xml:space="preserve">French monuments, was appointed president.  The academy still</w:t></w:r>
</w:p>
<w:p>
<w:pPr><w:pStyle w:val="Normal"/></w:pPr>
<w:r><w:t xml:space="preserve">exists as La societe nationale des antiquaires de France.</w:t></w:r>
</w:p>
<w:p>
<w:pPr><w:pStyle w:val="Normal"/></w:pPr>
<w:r><w:t xml:space="preserve">Great Britain.---The British Academy was the outcome of</w:t></w:r>
</w:p>
<w:p>
<w:pPr><w:pStyle w:val="Normal"/></w:pPr>
<w:r><w:t xml:space="preserve">a meeting of the principal European and American academies,</w:t></w:r>
</w:p>
<w:p>
<w:pPr><w:pStyle w:val="Normal"/></w:pPr>
<w:r><w:t xml:space="preserve">held at Wiesbaden in October 1899.  A scheme was drawn up</w:t></w:r>
</w:p>
<w:p>
<w:pPr><w:pStyle w:val="Normal"/></w:pPr>
<w:r><w:t xml:space="preserve">for an international association of the academies of the</w:t></w:r>
</w:p>
<w:p>
<w:pPr><w:pStyle w:val="Normal"/></w:pPr>
<w:r><w:t xml:space="preserve">world under the two sections of natural science and literary</w:t></w:r>
</w:p>
<w:p>
<w:pPr><w:pStyle w:val="Normal"/></w:pPr>
<w:r><w:t xml:space="preserve">science, but while the Royal Society adequately represented</w:t></w:r>
</w:p>
<w:p>
<w:pPr><w:pStyle w:val="Normal"/></w:pPr>
<w:r><w:t xml:space="preserve">England in science there was then no existing institution</w:t></w:r>
</w:p>
<w:p>
<w:pPr><w:pStyle w:val="Normal"/></w:pPr>
<w:r><w:t xml:space="preserve">that could claim to represent England in literature, and at</w:t></w:r>
</w:p>
<w:p>
<w:pPr><w:pStyle w:val="Normal"/></w:pPr>
<w:r><w:t xml:space="preserve">the first meeting of the federated academies this chair was</w:t></w:r>
</w:p>
<w:p>
<w:pPr><w:pStyle w:val="Normal"/></w:pPr>
<w:r><w:t xml:space="preserve">vacant.  A plan was proposed by Professor H. Sidgwick to add a</w:t></w:r>
</w:p>
<w:p>
<w:pPr><w:pStyle w:val="Normal"/></w:pPr>
<w:r><w:t xml:space="preserve">new section to the Royal Society, but after long deliberation</w:t></w:r>
</w:p>
<w:p>
<w:pPr><w:pStyle w:val="Normal"/></w:pPr>
<w:r><w:t xml:space="preserve">this was rejected by the president and council. The promoters</w:t></w:r>
</w:p>
<w:p>
<w:pPr><w:pStyle w:val="Normal"/></w:pPr>
<w:r><w:t xml:space="preserve">of the plan thereupon determined to form a separate society,</w:t></w:r>
</w:p>
<w:p>
<w:pPr><w:pStyle w:val="Normal"/></w:pPr>
<w:r><w:t xml:space="preserve">and invited certain persons to become the first members of a</w:t></w:r>
</w:p>
<w:p>
<w:pPr><w:pStyle w:val="Normal"/></w:pPr>
<w:r><w:t xml:space="preserve">new body, to be cailed ``The British Academy for the promotion</w:t></w:r>
</w:p>
<w:p>
<w:pPr><w:pStyle w:val="Normal"/></w:pPr>
<w:r><w:t xml:space="preserve">of historical, philosophical and philological studies.&apos;&apos; The</w:t></w:r>
</w:p>
<w:p>
<w:pPr><w:pStyle w:val="Normal"/></w:pPr>
<w:r><w:t xml:space="preserve">unincorporated body thus formed petitioned for a charter,</w:t></w:r>
</w:p>
<w:p>
<w:pPr><w:pStyle w:val="Normal"/></w:pPr>
<w:r><w:t xml:space="preserve">and on the 8th of August 1902 the royal charter was granted</w:t></w:r>
</w:p>
<w:p>
<w:pPr><w:pStyle w:val="Normal"/></w:pPr>
<w:r><w:t xml:space="preserve">and the by-laws were allowed by order in council. The objects</w:t></w:r>
</w:p>
<w:p>
<w:pPr><w:pStyle w:val="Normal"/></w:pPr>
<w:r><w:t xml:space="preserve">of the academy are therein defined--``the promotion of the</w:t></w:r>
</w:p>
<w:p>
<w:pPr><w:pStyle w:val="Normal"/></w:pPr>
<w:r><w:t xml:space="preserve">study of the moral and political sciences, including history,</w:t></w:r>
</w:p>
<w:p>
<w:pPr><w:pStyle w:val="Normal"/></w:pPr>
<w:r><w:t xml:space="preserve">philosophy, law, politics and economics, archaeology and</w:t></w:r>
</w:p>
<w:p>
<w:pPr><w:pStyle w:val="Normal"/></w:pPr>
<w:r><w:t xml:space="preserve">philology.&apos;&apos; The number of ordinary fellows (so all members</w:t></w:r>
</w:p>
<w:p>
<w:pPr><w:pStyle w:val="Normal"/></w:pPr>
<w:r><w:t xml:space="preserve">are entitled) is restricted to one hundred, and the academy</w:t></w:r>
</w:p>
<w:p>
<w:pPr><w:pStyle w:val="Normal"/></w:pPr>
<w:r><w:t xml:space="preserve">is governed by a president (the first being Lord Reay)</w:t></w:r>
</w:p>
<w:p>
<w:pPr><w:pStyle w:val="Normal"/></w:pPr>
<w:r><w:t xml:space="preserve">and a council of fifteen elected annually by the fellows.</w:t></w:r>
</w:p>
<w:p>
<w:pPr><w:pStyle w:val="Normal"/></w:pPr>
<w:r><w:t xml:space="preserve">Italy.--Under this class the Accademia Ercolanese (Academy</w:t></w:r>
</w:p>
<w:p>
<w:pPr><w:pStyle w:val="Normal"/></w:pPr>
<w:r><w:t xml:space="preserve">of Herculaneum) properly ranks.  It was established at</w:t></w:r>
</w:p>
<w:p>
<w:pPr><w:pStyle w:val="Normal"/></w:pPr>
<w:r><w:t xml:space="preserve">Naples about 1755, at which period a museum was formed of</w:t></w:r>
</w:p>
<w:p>
<w:pPr><w:pStyle w:val="Normal"/></w:pPr>
<w:r><w:t xml:space="preserve">the antiquities found at Herculaneum, Pompeii and other</w:t></w:r>
</w:p>
<w:p>
<w:pPr><w:pStyle w:val="Normal"/></w:pPr>
<w:r><w:t xml:space="preserve">places, by the marquis Tanucci, who was then minister of</w:t></w:r>
</w:p>
<w:p>
<w:pPr><w:pStyle w:val="Normal"/></w:pPr>
<w:r><w:t xml:space="preserve">state.  Its object was to explain the paintings, &amp;c., discovered</w:t></w:r>
</w:p>
<w:p>
<w:pPr><w:pStyle w:val="Normal"/></w:pPr>
<w:r><w:t xml:space="preserve">at those places. For this purpose the members met every</w:t></w:r>
</w:p>
<w:p>
<w:pPr><w:pStyle w:val="Normal"/></w:pPr>
<w:r><w:t xml:space="preserve">fortnight, and at each meeting three paintings were submitted</w:t></w:r>
</w:p>
<w:p>
<w:pPr><w:pStyle w:val="Normal"/></w:pPr>
<w:r><w:t xml:space="preserve">to three academicians, who made their report at their next</w:t></w:r>
</w:p>
<w:p>
<w:pPr><w:pStyle w:val="Normal"/></w:pPr>
<w:r><w:t xml:space="preserve">sitting.  The first volume of their labours appeared in 1775,</w:t></w:r>
</w:p>
<w:p>
<w:pPr><w:pStyle w:val="Normal"/></w:pPr>
<w:r><w:t xml:space="preserve">and they have been continued under the title of Antichita di</w:t></w:r>
</w:p>
<w:p>
<w:pPr><w:pStyle w:val="Normal"/></w:pPr>
<w:r><w:t xml:space="preserve">Ercolano. They contain engravings of the principal paintings,</w:t></w:r>
</w:p>
<w:p>
<w:pPr><w:pStyle w:val="Normal"/></w:pPr>
<w:r><w:t xml:space="preserve">statues, bronzes, marble figures, medals, utensils, &amp;c., with</w:t></w:r>
</w:p>
<w:p>
<w:pPr><w:pStyle w:val="Normal"/></w:pPr>
<w:r><w:t xml:space="preserve">explanations.  In the year 1807 an academy of history and</w:t></w:r>
</w:p>
<w:p>
<w:pPr><w:pStyle w:val="Normal"/></w:pPr>
<w:r><w:t xml:space="preserve">antiquities, on a new plan, was established at Naples by Joseph</w:t></w:r>
</w:p>
<w:p>
<w:pPr><w:pStyle w:val="Normal"/></w:pPr>
<w:r><w:t xml:space="preserve">Bonaparte.  The number of members was limited to forty, twenty</w:t></w:r>
</w:p>
<w:p>
<w:pPr><w:pStyle w:val="Normal"/></w:pPr>
<w:r><w:t xml:space="preserve">of whom were to be appointed by the king; and these twenty</w:t></w:r>
</w:p>
<w:p>
<w:pPr><w:pStyle w:val="Normal"/></w:pPr>
<w:r><w:t xml:space="preserve">were to present to him, for his choice, three names for each</w:t></w:r>
</w:p>
<w:p>
<w:pPr><w:pStyle w:val="Normal"/></w:pPr>
<w:r><w:t xml:space="preserve">of those needed to complete the full number. Eight thousand</w:t></w:r>
</w:p>
<w:p>
<w:pPr><w:pStyle w:val="Normal"/></w:pPr>
<w:r><w:t xml:space="preserve">ducats were to be annually allotted for the current expenses,</w:t></w:r>
</w:p>
<w:p>
<w:pPr><w:pStyle w:val="Normal"/></w:pPr>
<w:r><w:t xml:space="preserve">and two thousand for prizes to the authors of four works</w:t></w:r>
</w:p>
<w:p>
<w:pPr><w:pStyle w:val="Normal"/></w:pPr>
<w:r><w:t xml:space="preserve">which should be deemed by the academy most deserving of such a</w:t></w:r>
</w:p>
<w:p>
<w:pPr><w:pStyle w:val="Normal"/></w:pPr>
<w:r><w:t xml:space="preserve">reward.  A grand meeting was to be held every year, when</w:t></w:r>
</w:p>
<w:p>
<w:pPr><w:pStyle w:val="Normal"/></w:pPr>
<w:r><w:t xml:space="preserve">the prizes were to be distributed and analyses of the works</w:t></w:r>
</w:p>
<w:p>
<w:pPr><w:pStyle w:val="Normal"/></w:pPr>
<w:r><w:t xml:space="preserve">read.  The first meeting took place on the 25th of April</w:t></w:r>
</w:p>
<w:p>
<w:pPr><w:pStyle w:val="Normal"/></w:pPr>
<w:r><w:t xml:space="preserve">1807; but the subsequent changes in the political state</w:t></w:r>
</w:p>
<w:p>
<w:pPr><w:pStyle w:val="Normal"/></w:pPr>
<w:r><w:t xml:space="preserve">of Naples prevented the full and permanent establishment</w:t></w:r>
</w:p>
<w:p>
<w:pPr><w:pStyle w:val="Normal"/></w:pPr>
<w:r><w:t xml:space="preserve">of this institution.  In the same year an academy was</w:t></w:r>
</w:p>
<w:p>
<w:pPr><w:pStyle w:val="Normal"/></w:pPr>
<w:r><w:t xml:space="preserve">established at Florence for the illustration of Tuscan</w:t></w:r>
</w:p>
<w:p>
<w:pPr><w:pStyle w:val="Normal"/></w:pPr>
<w:r><w:t xml:space="preserve">antiquities, which published some volumes of memoirs.</w:t></w:r>
</w:p>
<w:p>
<w:pPr><w:pStyle w:val="Heading1"/></w:pPr>
<w:r><w:t>IV. ACADEMIES OF MEDICINE AND SURGERY Austria.---The</w:t></w:r>
</w:p>
<w:p>
<w:pPr><w:pStyle w:val="Normal"/></w:pPr>
<w:r><w:t xml:space="preserve">defunct Academy of Surgery at Vienna was instituted in</w:t></w:r>
</w:p>
<w:p>
<w:pPr><w:pStyle w:val="Normal"/></w:pPr>
<w:r><w:t xml:space="preserve">1784 by the emperor Joseph II. under the direction of the</w:t></w:r>
</w:p>
<w:p>
<w:pPr><w:pStyle w:val="Normal"/></w:pPr>
<w:r><w:t xml:space="preserve">distinguished surgeon, Giovanni Alessandro Brambilla ( 1728-</w:t></w:r>
</w:p>
<w:p>
<w:pPr><w:pStyle w:val="Normal"/></w:pPr>
<w:r><w:t xml:space="preserve">1800) . For many years it did important work, and though closed</w:t></w:r>
</w:p>
<w:p>
<w:pPr><w:pStyle w:val="Normal"/></w:pPr>
<w:r><w:t xml:space="preserve">in 1848 was reconstituted by the emperor Francis Joseph in</w:t></w:r>
</w:p>
<w:p>
<w:pPr><w:pStyle w:val="Normal"/></w:pPr>
<w:r><w:t xml:space="preserve">1854.  In 1874 it ceased to exist; its functions had become</w:t></w:r>
</w:p>
<w:p>
<w:pPr><w:pStyle w:val="Normal"/></w:pPr>
<w:r><w:t xml:space="preserve">mainly military, and were transferred to newer schools.</w:t></w:r>
</w:p>
<w:p>
<w:pPr><w:pStyle w:val="Normal"/></w:pPr>
<w:r><w:t xml:space="preserve">France.---Academie de Medecine. Medicine is a science</w:t></w:r>
</w:p>
<w:p>
<w:pPr><w:pStyle w:val="Normal"/></w:pPr>
<w:r><w:t xml:space="preserve">which has always engaged the attention of the kings of</w:t></w:r>
</w:p>
<w:p>
<w:pPr><w:pStyle w:val="Normal"/></w:pPr>
<w:r><w:t xml:space="preserve">France. Charlemagne established a school of medicine in the</w:t></w:r>
</w:p>
<w:p>
<w:pPr><w:pStyle w:val="Normal"/></w:pPr>
<w:r><w:t xml:space="preserve">Louvre, and various societies have been founded, and privileges</w:t></w:r>
</w:p>
<w:p>
<w:pPr><w:pStyle w:val="Normal"/></w:pPr>
<w:r><w:t xml:space="preserve">granted to the faculty by his successors.  The Acadimie de</w:t></w:r>
</w:p>
<w:p>
<w:pPr><w:pStyle w:val="Normal"/></w:pPr>
<w:r><w:t xml:space="preserve">medecine succeeded to the old Academie royale de chirurgie</w:t></w:r>
</w:p>
<w:p>
<w:pPr><w:pStyle w:val="Normal"/></w:pPr>
<w:r><w:t xml:space="preserve">et societe royale de medecine. It was erected by a royal</w:t></w:r>
</w:p>
<w:p>
<w:pPr><w:pStyle w:val="Normal"/></w:pPr>
<w:r><w:t xml:space="preserve">ordinance, dated December 20, 1820. It was divided into three</w:t></w:r>
</w:p>
<w:p>
<w:pPr><w:pStyle w:val="Normal"/></w:pPr>
<w:r><w:t xml:space="preserve">sections--medicine, surgery and pharmacy.  In its constitution</w:t></w:r>
</w:p>
<w:p>
<w:pPr><w:pStyle w:val="Normal"/></w:pPr>
<w:r><w:t xml:space="preserve">it closely resembled the Academie des sciences. Its</w:t></w:r>
</w:p>
<w:p>
<w:pPr><w:pStyle w:val="Normal"/></w:pPr>
<w:r><w:t xml:space="preserve">function was to preserve or propagate vaccine matter, and</w:t></w:r>
</w:p>
<w:p>
<w:pPr><w:pStyle w:val="Normal"/></w:pPr>
<w:r><w:t xml:space="preserve">answer inquiries addressed to it by the government on the</w:t></w:r>
</w:p>
<w:p>
<w:pPr><w:pStyle w:val="Normal"/></w:pPr>
<w:r><w:t xml:space="preserve">subject of epidemics, sanitary reform and public health</w:t></w:r>
</w:p>
<w:p>
<w:pPr><w:pStyle w:val="Normal"/></w:pPr>
<w:r><w:t xml:space="preserve">generally.  It has maintained an enormous correspondence in</w:t></w:r>
</w:p>
<w:p>
<w:pPr><w:pStyle w:val="Normal"/></w:pPr>
<w:r><w:t xml:space="preserve">all quarters of the globe and published extensive minutes.</w:t></w:r>
</w:p>
<w:p>
<w:pPr><w:pStyle w:val="Normal"/></w:pPr>
<w:r><w:t xml:space="preserve">Germany.--The Academia Naturae Curiosi, afterwards</w:t></w:r>
</w:p>
<w:p>
<w:pPr><w:pStyle w:val="Normal"/></w:pPr>
<w:r><w:t xml:space="preserve">called the Academia Caesaraea Leopoldina, was founded in</w:t></w:r>
</w:p>
<w:p>
<w:pPr><w:pStyle w:val="Normal"/></w:pPr>
<w:r><w:t xml:space="preserve">1662 by J. L. Bausch, a physician of Leipzig, who published</w:t></w:r>
</w:p>
<w:p>
<w:pPr><w:pStyle w:val="Normal"/></w:pPr>
<w:r><w:t xml:space="preserve">a general invitation to medical men to communicate all</w:t></w:r>
</w:p>
<w:p>
<w:pPr><w:pStyle w:val="Normal"/></w:pPr>
<w:r><w:t xml:space="preserve">extraordinary cases that occurred in the course of their</w:t></w:r>
</w:p>
<w:p>
<w:pPr><w:pStyle w:val="Normal"/></w:pPr>
<w:r><w:t xml:space="preserve">practice.  The works of the Naturae Curiosi were at first</w:t></w:r>
</w:p>
<w:p>
<w:pPr><w:pStyle w:val="Normal"/></w:pPr>
<w:r><w:t xml:space="preserve">published separately; but in 1770 a new arrangement was</w:t></w:r>
</w:p>
<w:p>
<w:pPr><w:pStyle w:val="Normal"/></w:pPr>
<w:r><w:t xml:space="preserve">planned for publishing a volume of observations annually.</w:t></w:r>
</w:p>
<w:p>
<w:pPr><w:pStyle w:val="Normal"/></w:pPr>
<w:r><w:t xml:space="preserve">From some cause, however, the first volume did not make</w:t></w:r>
</w:p>
<w:p>
<w:pPr><w:pStyle w:val="Normal"/></w:pPr>
<w:r><w:t xml:space="preserve">its appearance until 1784, when it was published under the</w:t></w:r>
</w:p>
<w:p>
<w:pPr><w:pStyle w:val="Normal"/></w:pPr>
<w:r><w:t xml:space="preserve">title of Ephemerides. In 1687 the emperor Leopold took the</w:t></w:r>
</w:p>
<w:p>
<w:pPr><w:pStyle w:val="Normal"/></w:pPr>
<w:r><w:t xml:space="preserve">society under his protection, and its name was changed in his</w:t></w:r>
</w:p>
<w:p>
<w:pPr><w:pStyle w:val="Normal"/></w:pPr>
<w:r><w:t xml:space="preserve">honour.  This academy has no fixed abode, but follows the</w:t></w:r>
</w:p>
<w:p>
<w:pPr><w:pStyle w:val="Normal"/></w:pPr>
<w:r><w:t xml:space="preserve">home of its president.  Its library remains at Dresden. By its</w:t></w:r>
</w:p>
<w:p>
<w:pPr><w:pStyle w:val="Normal"/></w:pPr>
<w:r><w:t xml:space="preserve">constitution the Leopoldine Academy consists of a president,</w:t></w:r>
</w:p>
<w:p>
<w:pPr><w:pStyle w:val="Normal"/></w:pPr>
<w:r><w:t xml:space="preserve">two adjuncts or secretaries and unlimited colleagues or</w:t></w:r>
</w:p>
<w:p>
<w:pPr><w:pStyle w:val="Normal"/></w:pPr>
<w:r><w:t xml:space="preserve">members.  At their admission the last come under a twofold</w:t></w:r>
</w:p>
<w:p>
<w:pPr><w:pStyle w:val="Normal"/></w:pPr>
<w:r><w:t xml:space="preserve">obligation--first, to choose some subject for discussion out</w:t></w:r>
</w:p>
<w:p>
<w:pPr><w:pStyle w:val="Normal"/></w:pPr>
<w:r><w:t xml:space="preserve">of the animal, vegetable or mineral kingdoms, not previously</w:t></w:r>
</w:p>
<w:p>
<w:pPr><w:pStyle w:val="Normal"/></w:pPr>
<w:r><w:t xml:space="preserve">treated by any colleague of the academy; and, secondly, to apply</w:t></w:r>
</w:p>
<w:p>
<w:pPr><w:pStyle w:val="Normal"/></w:pPr>
<w:r><w:t xml:space="preserve">themselves to furnish materials for the annual Ephemerides.</w:t></w:r>
</w:p>
<w:p>
<w:pPr><w:pStyle w:val="Heading1"/></w:pPr>
<w:r><w:t>V. ACADEMIES OF THE FINE ARTS France.---The Academie</w:t></w:r>
</w:p>
<w:p>
<w:pPr><w:pStyle w:val="Normal"/></w:pPr>
<w:r><w:t xml:space="preserve">royale de peinture et de sculpture at Paris was founded by</w:t></w:r>
</w:p>
<w:p>
<w:pPr><w:pStyle w:val="Normal"/></w:pPr>
<w:r><w:t xml:space="preserve">Louis XIV. in 1648, under the title of Academie royale des</w:t></w:r>
</w:p>
<w:p>
<w:pPr><w:pStyle w:val="Normal"/></w:pPr>
<w:r><w:t xml:space="preserve">beaux arts, to which was afterwards united the Academie</w:t></w:r>
</w:p>
<w:p>
<w:pPr><w:pStyle w:val="Normal"/></w:pPr>
<w:r><w:t xml:space="preserve">d&apos;architecture, founded 1671.  It is composed of painters,</w:t></w:r>
</w:p>
<w:p>
<w:pPr><w:pStyle w:val="Normal"/></w:pPr>
<w:r><w:t xml:space="preserve">sculptors, architects, engravers and musical composers.</w:t></w:r>
</w:p>
<w:p>
<w:pPr><w:pStyle w:val="Normal"/></w:pPr>
<w:r><w:t xml:space="preserve">From among the members of the society who are painters,</w:t></w:r>
</w:p>
<w:p>
<w:pPr><w:pStyle w:val="Normal"/></w:pPr>
<w:r><w:t xml:space="preserve">is chosen the director of the French Academie des beaux</w:t></w:r>
</w:p>
<w:p>
<w:pPr><w:pStyle w:val="Normal"/></w:pPr>
<w:r><w:t xml:space="preserve">arts at Berne, also instituted by Louis XIV. in 1677.  The</w:t></w:r>
</w:p>
<w:p>
<w:pPr><w:pStyle w:val="Normal"/></w:pPr>
<w:r><w:t xml:space="preserve">director&apos;s province is to superintend the studies of the</w:t></w:r>
</w:p>
<w:p>
<w:pPr><w:pStyle w:val="Normal"/></w:pPr>
<w:r><w:t xml:space="preserve">painters, sculptors, &amp;c., who, chosen by competition, are</w:t></w:r>
</w:p>
<w:p>
<w:pPr><w:pStyle w:val="Normal"/></w:pPr>
<w:r><w:t xml:space="preserve">sent to Italy at the expense of the government, to complete</w:t></w:r>
</w:p>
<w:p>
<w:pPr><w:pStyle w:val="Normal"/></w:pPr>
<w:r><w:t xml:space="preserve">their studies in that country. Most of the celebrated</w:t></w:r>
</w:p>
<w:p>
<w:pPr><w:pStyle w:val="Normal"/></w:pPr>
<w:r><w:t xml:space="preserve">French painters have begun their career in this way.</w:t></w:r>
</w:p>
<w:p>
<w:pPr><w:pStyle w:val="Normal"/></w:pPr>
<w:r><w:t xml:space="preserve">The Academie nationale de musique is the official and</w:t></w:r>
</w:p>
<w:p>
<w:pPr><w:pStyle w:val="Normal"/></w:pPr>
<w:r><w:t xml:space="preserve">administrative name given in France to the grand opera.  In</w:t></w:r>
</w:p>
<w:p>
<w:pPr><w:pStyle w:val="Normal"/></w:pPr>
<w:r><w:t xml:space="preserve">1570 the poet Baif established in his house a school of</w:t></w:r>
</w:p>
<w:p>
<w:pPr><w:pStyle w:val="Normal"/></w:pPr>
<w:r><w:t xml:space="preserve">music, at which ballets and masquerades were given.  In 1645</w:t></w:r>
</w:p>
<w:p>
<w:pPr><w:pStyle w:val="Normal"/></w:pPr>
<w:r><w:t xml:space="preserve">Mazarin brought from Italy a troupe of actors, and established</w:t></w:r>
</w:p>
<w:p>
<w:pPr><w:pStyle w:val="Normal"/></w:pPr>
<w:r><w:t xml:space="preserve">them in the rue du Petit Bourbon, where they gave Jules</w:t></w:r>
</w:p>
<w:p>
<w:pPr><w:pStyle w:val="Normal"/></w:pPr>
<w:r><w:t xml:space="preserve">Strozzi&apos;s Achille in Sciro, the first opera performed in</w:t></w:r>
</w:p>
<w:p>
<w:pPr><w:pStyle w:val="Normal"/></w:pPr>
<w:r><w:t xml:space="preserve">France.  After Moliere&apos;s death in 1673, his theatre in the</w:t></w:r>
</w:p>
<w:p>
<w:pPr><w:pStyle w:val="Normal"/></w:pPr>
<w:r><w:t xml:space="preserve">Palais Royal was given to Sulu, and there were performed</w:t></w:r>
</w:p>
<w:p>
<w:pPr><w:pStyle w:val="Normal"/></w:pPr>
<w:r><w:t xml:space="preserve">all Gluck&apos;s great operas; there Vestris danced, and there</w:t></w:r>
</w:p>
<w:p>
<w:pPr><w:pStyle w:val="Normal"/></w:pPr>
<w:r><w:t xml:space="preserve">was produced Jean Jacques Rousseau&apos;s Devin du Village.</w:t></w:r>
</w:p>
<w:p>
<w:pPr><w:pStyle w:val="Normal"/></w:pPr>
<w:r><w:t xml:space="preserve">Great Britain.--The Royal Academy of Arts in London, founded in</w:t></w:r>
</w:p>
<w:p>
<w:pPr><w:pStyle w:val="Normal"/></w:pPr>
<w:r><w:t xml:space="preserve">1768, is described in a separate article. (See ACADEMY, ROYAL.)</w:t></w:r>
</w:p>
<w:p>
<w:pPr><w:pStyle w:val="Normal"/></w:pPr>
<w:r><w:t xml:space="preserve">The Academy of Ancient Music was established in London in</w:t></w:r>
</w:p>
<w:p>
<w:pPr><w:pStyle w:val="Normal"/></w:pPr>
<w:r><w:t xml:space="preserve">1710, with the view of promoting the study and practice of</w:t></w:r>
</w:p>
<w:p>
<w:pPr><w:pStyle w:val="Normal"/></w:pPr>
<w:r><w:t xml:space="preserve">vocal and instrumental harmony.  This institution had a fine</w:t></w:r>
</w:p>
<w:p>
<w:pPr><w:pStyle w:val="Normal"/></w:pPr>
<w:r><w:t xml:space="preserve">musical library, and was aided by the performances of the</w:t></w:r>
</w:p>
<w:p>
<w:pPr><w:pStyle w:val="Normal"/></w:pPr>
<w:r><w:t xml:space="preserve">gentlemen of the Chapel Royal and the choir of St Paul&apos;s,</w:t></w:r>
</w:p>
<w:p>
<w:pPr><w:pStyle w:val="Normal"/></w:pPr>
<w:r><w:t xml:space="preserve">with the boys belonging to each, and continued to flourish</w:t></w:r>
</w:p>
<w:p>
<w:pPr><w:pStyle w:val="Normal"/></w:pPr>
<w:r><w:t xml:space="preserve">for many years.  About 1734 the academy became a seminary</w:t></w:r>
</w:p>
<w:p>
<w:pPr><w:pStyle w:val="Normal"/></w:pPr>
<w:r><w:t xml:space="preserve">for the instruction of youth in the principias of music</w:t></w:r>
</w:p>
<w:p>
<w:pPr><w:pStyle w:val="Normal"/></w:pPr>
<w:r><w:t xml:space="preserve">and the laws of harmony.  The Royal Academy of Music was</w:t></w:r>
</w:p>
<w:p>
<w:pPr><w:pStyle w:val="Normal"/></w:pPr>
<w:r><w:t xml:space="preserve">formed for the performance of operas, composed by Handel,</w:t></w:r>
</w:p>
<w:p>
<w:pPr><w:pStyle w:val="Normal"/></w:pPr>
<w:r><w:t xml:space="preserve">and conducted by him at the theatre in the Haymarket.  The</w:t></w:r>
</w:p>
<w:p>
<w:pPr><w:pStyle w:val="Normal"/></w:pPr>
<w:r><w:t xml:space="preserve">subscription amounted to L. 50,000, and the king, besides</w:t></w:r>
</w:p>
<w:p>
<w:pPr><w:pStyle w:val="Normal"/></w:pPr>
<w:r><w:t xml:space="preserve">subscribing L. 1000, allowed the society to assume the title</w:t></w:r>
</w:p>
<w:p>
<w:pPr><w:pStyle w:val="Normal"/></w:pPr>
<w:r><w:t xml:space="preserve">Royal.  It consisted of a governor, deputy-governor and twenty</w:t></w:r>
</w:p>
<w:p>
<w:pPr><w:pStyle w:val="Normal"/></w:pPr>
<w:r><w:t xml:space="preserve">directors.  A contest between Handel and Senesino, one of</w:t></w:r>
</w:p>
<w:p>
<w:pPr><w:pStyle w:val="Normal"/></w:pPr>
<w:r><w:t xml:space="preserve">the performers, in which the directors took the part of the</w:t></w:r>
</w:p>
<w:p>
<w:pPr><w:pStyle w:val="Normal"/></w:pPr>
<w:r><w:t xml:space="preserve">latter, occasioned the dissolution of the academy after it</w:t></w:r>
</w:p>
<w:p>
<w:pPr><w:pStyle w:val="Normal"/></w:pPr>
<w:r><w:t xml:space="preserve">had existed with honour for more than nine years.  The present</w:t></w:r>
</w:p>
<w:p>
<w:pPr><w:pStyle w:val="Normal"/></w:pPr>
<w:r><w:t xml:space="preserve">Royal Academy of Music dates from 1822, and was incorporated in</w:t></w:r>
</w:p>
<w:p>
<w:pPr><w:pStyle w:val="Normal"/></w:pPr>
<w:r><w:t xml:space="preserve">1830.  It instructs pupils of both sexes in music. (See</w:t></w:r>
</w:p>
<w:p>
<w:pPr><w:pStyle w:val="Normal"/></w:pPr>
<w:r><w:t xml:space="preserve">also the article CONSERVATOIRE for colleges of music. )</w:t></w:r>
</w:p>
<w:p>
<w:pPr><w:pStyle w:val="Normal"/></w:pPr>
<w:r><w:t xml:space="preserve">Italy.--In 1778 an academy of painting and sculpture was</w:t></w:r>
</w:p>
<w:p>
<w:pPr><w:pStyle w:val="Normal"/></w:pPr>
<w:r><w:t xml:space="preserve">established at Turin.  The meetings were held in the palace</w:t></w:r>
</w:p>
<w:p>
<w:pPr><w:pStyle w:val="Normal"/></w:pPr>
<w:r><w:t xml:space="preserve">of the king, who distributed prizes among the most successful</w:t></w:r>
</w:p>
<w:p>
<w:pPr><w:pStyle w:val="Normal"/></w:pPr>
<w:r><w:t xml:space="preserve">members.  In Milan an academy of architecture was established</w:t></w:r>
</w:p>
<w:p>
<w:pPr><w:pStyle w:val="Normal"/></w:pPr>
<w:r><w:t xml:space="preserve">so early as 1380, by Gian Galeazzo Visconti.  About the</w:t></w:r>
</w:p>
<w:p>
<w:pPr><w:pStyle w:val="Normal"/></w:pPr>
<w:r><w:t xml:space="preserve">middle of the 18th century an academy of the arts was</w:t></w:r>
</w:p>
<w:p>
<w:pPr><w:pStyle w:val="Normal"/></w:pPr>
<w:r><w:t xml:space="preserve">established there, after the example of those at Paris and</w:t></w:r>
</w:p>
<w:p>
<w:pPr><w:pStyle w:val="Normal"/></w:pPr>
<w:r><w:t xml:space="preserve">Rome.  The pupils were furnished with originals and models,</w:t></w:r>
</w:p>
<w:p>
<w:pPr><w:pStyle w:val="Normal"/></w:pPr>
<w:r><w:t xml:space="preserve">and prizes were distributed by competent judges annually.</w:t></w:r>
</w:p>
<w:p>
<w:pPr><w:pStyle w:val="Normal"/></w:pPr>
<w:r><w:t xml:space="preserve">The prize for painting was a gold medal.  Before the effects</w:t></w:r>
</w:p>
<w:p>
<w:pPr><w:pStyle w:val="Normal"/></w:pPr>
<w:r><w:t xml:space="preserve">of the French Revolution reached Italy this was one of the</w:t></w:r>
</w:p>
<w:p>
<w:pPr><w:pStyle w:val="Normal"/></w:pPr>
<w:r><w:t xml:space="preserve">best establishments of the kind in that kingdom.  In the hall</w:t></w:r>
</w:p>
<w:p>
<w:pPr><w:pStyle w:val="Normal"/></w:pPr>
<w:r><w:t xml:space="preserve">of the academy were some admirable examples of Correggio,</w:t></w:r>
</w:p>
<w:p>
<w:pPr><w:pStyle w:val="Normal"/></w:pPr>
<w:r><w:t xml:space="preserve">as well as several statues of great merit, particularly a</w:t></w:r>
</w:p>
<w:p>
<w:pPr><w:pStyle w:val="Normal"/></w:pPr>
<w:r><w:t xml:space="preserve">small bust of Vitellins, and a torso of Agrippina, of most</w:t></w:r>
</w:p>
<w:p>
<w:pPr><w:pStyle w:val="Normal"/></w:pPr>
<w:r><w:t xml:space="preserve">exquisite beauty.  The academy of the arts, which had been</w:t></w:r>
</w:p>
<w:p>
<w:pPr><w:pStyle w:val="Normal"/></w:pPr>
<w:r><w:t xml:space="preserve">long established at Florence, fell into decay, but was</w:t></w:r>
</w:p>
<w:p>
<w:pPr><w:pStyle w:val="Normal"/></w:pPr>
<w:r><w:t xml:space="preserve">restored in the end of the 18th century.  In it there are halls</w:t></w:r>
</w:p>
<w:p>
<w:pPr><w:pStyle w:val="Normal"/></w:pPr>
<w:r><w:t xml:space="preserve">for nude and plaster figures, for the use of the sculptor</w:t></w:r>
</w:p>
<w:p>
<w:pPr><w:pStyle w:val="Normal"/></w:pPr>
<w:r><w:t xml:space="preserve">and the painter, with models of all the finest statues in</w:t></w:r>
</w:p>
<w:p>
<w:pPr><w:pStyle w:val="Normal"/></w:pPr>
<w:r><w:t xml:space="preserve">Italy.  But the treasures of this and the other institutions</w:t></w:r>
</w:p>
<w:p>
<w:pPr><w:pStyle w:val="Normal"/></w:pPr>
<w:r><w:t xml:space="preserve">for the fine arts were greatly diminished during the occupancy</w:t></w:r>
</w:p>
<w:p>
<w:pPr><w:pStyle w:val="Normal"/></w:pPr>
<w:r><w:t xml:space="preserve">of Italy by the French. The academy of the arts at Modena,</w:t></w:r>
</w:p>
<w:p>
<w:pPr><w:pStyle w:val="Normal"/></w:pPr>
<w:r><w:t xml:space="preserve">after being plundered by the French, dwindled into a petty</w:t></w:r>
</w:p>
<w:p>
<w:pPr><w:pStyle w:val="Normal"/></w:pPr>
<w:r><w:t xml:space="preserve">school for drawing from living models.  There is also an</w:t></w:r>
</w:p>
<w:p>
<w:pPr><w:pStyle w:val="Normal"/></w:pPr>
<w:r><w:t xml:space="preserve">academy of the fine arts in Mantua, and another at Venice.</w:t></w:r>
</w:p>
<w:p>
<w:pPr><w:pStyle w:val="Normal"/></w:pPr>
<w:r><w:t xml:space="preserve">Russia.--The academy of St Petersburg was established in</w:t></w:r>
</w:p>
<w:p>
<w:pPr><w:pStyle w:val="Normal"/></w:pPr>
<w:r><w:t xml:space="preserve">1757 by the empress Elizabeth, at the suggestion of Count</w:t></w:r>
</w:p>
<w:p>
<w:pPr><w:pStyle w:val="Normal"/></w:pPr>
<w:r><w:t xml:space="preserve">Shuvalov, and annexed to the academy of sciences.  The fund for</w:t></w:r>
</w:p>
<w:p>
<w:pPr><w:pStyle w:val="Normal"/></w:pPr>
<w:r><w:t xml:space="preserve">its support was L. 4000 per annum, and the foundation admitted</w:t></w:r>
</w:p>
<w:p>
<w:pPr><w:pStyle w:val="Normal"/></w:pPr>
<w:r><w:t xml:space="preserve">forty scholars.  Catherine II. formed it into a separate</w:t></w:r>
</w:p>
<w:p>
<w:pPr><w:pStyle w:val="Normal"/></w:pPr>
<w:r><w:t xml:space="preserve">institution, augumented the annual revenue to L. 12,000, and</w:t></w:r>
</w:p>
<w:p>
<w:pPr><w:pStyle w:val="Normal"/></w:pPr>
<w:r><w:t xml:space="preserve">increased the number of scholars to three hundred; she</w:t></w:r>
</w:p>
<w:p>
<w:pPr><w:pStyle w:val="Normal"/></w:pPr>
<w:r><w:t xml:space="preserve">built for it a large circular building, which fronts the</w:t></w:r>
</w:p>
<w:p>
<w:pPr><w:pStyle w:val="Normal"/></w:pPr>
<w:r><w:t xml:space="preserve">Neva.  The scholars are admitted at the age of six, and</w:t></w:r>
</w:p>
<w:p>
<w:pPr><w:pStyle w:val="Normal"/></w:pPr>
<w:r><w:t xml:space="preserve">continue until they have attained that of eighteen.  They</w:t></w:r>
</w:p>
<w:p>
<w:pPr><w:pStyle w:val="Normal"/></w:pPr>
<w:r><w:t xml:space="preserve">are clothed, fed and lodged at the expense of the crown;</w:t></w:r>
</w:p>
<w:p>
<w:pPr><w:pStyle w:val="Normal"/></w:pPr>
<w:r><w:t xml:space="preserve">and are instructed in reading, writing, arithmetic, French,</w:t></w:r>
</w:p>
<w:p>
<w:pPr><w:pStyle w:val="Normal"/></w:pPr>
<w:r><w:t xml:space="preserve">German and drawing.  At the age of fourteen they are at</w:t></w:r>
</w:p>
<w:p>
<w:pPr><w:pStyle w:val="Normal"/></w:pPr>
<w:r><w:t xml:space="preserve">liberty to choose any of the following arts; first, painting</w:t></w:r>
</w:p>
<w:p>
<w:pPr><w:pStyle w:val="Normal"/></w:pPr>
<w:r><w:t xml:space="preserve">in all its branches, architecture, mosaic, enamelling,</w:t></w:r>
</w:p>
<w:p>
<w:pPr><w:pStyle w:val="Normal"/></w:pPr>
<w:r><w:t xml:space="preserve">&amp;c.; second, engraving on copper-plates, sealcutting,</w:t></w:r>
</w:p>
<w:p>
<w:pPr><w:pStyle w:val="Normal"/></w:pPr>
<w:r><w:t xml:space="preserve">&amp;c.; third, carving on wood, ivory and amber; fourth,</w:t></w:r>
</w:p>
<w:p>
<w:pPr><w:pStyle w:val="Normal"/></w:pPr>
<w:r><w:t xml:space="preserve">watch-making, turning, instrument-making, casting statues</w:t></w:r>
</w:p>
<w:p>
<w:pPr><w:pStyle w:val="Normal"/></w:pPr>
<w:r><w:t xml:space="preserve">in bronze and other metals, imitating gems and medals in</w:t></w:r>
</w:p>
<w:p>
<w:pPr><w:pStyle w:val="Normal"/></w:pPr>
<w:r><w:t xml:space="preserve">paste and other compositions, gilding and varnishing.  Prizes</w:t></w:r>
</w:p>
<w:p>
<w:pPr><w:pStyle w:val="Normal"/></w:pPr>
<w:r><w:t xml:space="preserve">are annually distributed, and from those who have obtained</w:t></w:r>
</w:p>
<w:p>
<w:pPr><w:pStyle w:val="Normal"/></w:pPr>
<w:r><w:t xml:space="preserve">four prizes, twelve are selected, who are sent abroad at</w:t></w:r>
</w:p>
<w:p>
<w:pPr><w:pStyle w:val="Normal"/></w:pPr>
<w:r><w:t xml:space="preserve">the charge of the crown.  A certain sum is paid to defray</w:t></w:r>
</w:p>
<w:p>
<w:pPr><w:pStyle w:val="Normal"/></w:pPr>
<w:r><w:t xml:space="preserve">their travelling expenses; and when they are settled in any</w:t></w:r>
</w:p>
<w:p>
<w:pPr><w:pStyle w:val="Normal"/></w:pPr>
<w:r><w:t xml:space="preserve">town, they receive during four years an annual salary of</w:t></w:r>
</w:p>
<w:p>
<w:pPr><w:pStyle w:val="Heading1"/></w:pPr>
<w:r><w:t>L. 60.  The academy has a small gallery of paintings for</w:t></w:r>
</w:p>
<w:p>
<w:pPr><w:pStyle w:val="Normal"/></w:pPr>
<w:r><w:t xml:space="preserve">the use of the scholars; and those who have made great</w:t></w:r>
</w:p>
<w:p>
<w:pPr><w:pStyle w:val="Normal"/></w:pPr>
<w:r><w:t xml:space="preserve">progress are permitted to copy the pictures in the imperial</w:t></w:r>
</w:p>
<w:p>
<w:pPr><w:pStyle w:val="Normal"/></w:pPr>
<w:r><w:t xml:space="preserve">collection.  For the purpose of design, there are</w:t></w:r>
</w:p>
<w:p>
<w:pPr><w:pStyle w:val="Normal"/></w:pPr>
<w:r><w:t xml:space="preserve">full-size models of the best antique statues in Italy.</w:t></w:r>
</w:p>
<w:p>
<w:pPr><w:pStyle w:val="Normal"/></w:pPr>
<w:r><w:t xml:space="preserve">South America.---There are several small academies in the</w:t></w:r>
</w:p>
<w:p>
<w:pPr><w:pStyle w:val="Normal"/></w:pPr>
<w:r><w:t xml:space="preserve">various towns of South America, the only one of note being</w:t></w:r>
</w:p>
<w:p>
<w:pPr><w:pStyle w:val="Normal"/></w:pPr>
<w:r><w:t xml:space="preserve">that of Rio de Janeiro, founded by John VI. of Portugal in</w:t></w:r>
</w:p>
<w:p>
<w:pPr><w:pStyle w:val="Normal"/></w:pPr>
<w:r><w:t xml:space="preserve">1816 and now known as the Escola Nacional de Bellas Artes.</w:t></w:r>
</w:p>
<w:p>
<w:pPr><w:pStyle w:val="Normal"/></w:pPr>
<w:r><w:t xml:space="preserve">Spain.---In Madrid an academy for painting, sculpture and</w:t></w:r>
</w:p>
<w:p>
<w:pPr><w:pStyle w:val="Normal"/></w:pPr>
<w:r><w:t xml:space="preserve">architecture, the Academia de Bellas Artes de San Fernando,</w:t></w:r>
</w:p>
<w:p>
<w:pPr><w:pStyle w:val="Normal"/></w:pPr>
<w:r><w:t xml:space="preserve">was founded by Philip V. The minister for foreign affairs is</w:t></w:r>
</w:p>
<w:p>
<w:pPr><w:pStyle w:val="Normal"/></w:pPr>
<w:r><w:t xml:space="preserve">president.  Prizes are distributed every three years.  In Cadiz</w:t></w:r>
</w:p>
<w:p>
<w:pPr><w:pStyle w:val="Normal"/></w:pPr>
<w:r><w:t xml:space="preserve">a few students are supplied by government with the means of</w:t></w:r>
</w:p>
<w:p>
<w:pPr><w:pStyle w:val="Normal"/></w:pPr>
<w:r><w:t xml:space="preserve">drawing and modelling from figures; and such as are not able</w:t></w:r>
</w:p>
<w:p>
<w:pPr><w:pStyle w:val="Normal"/></w:pPr>
<w:r><w:t xml:space="preserve">to purchase the requisite instruments are provided with them.</w:t></w:r>
</w:p>
<w:p>
<w:pPr><w:pStyle w:val="Normal"/></w:pPr>
<w:r><w:t xml:space="preserve">Sweden.---An academy of the fine arts was founded at</w:t></w:r>
</w:p>
<w:p>
<w:pPr><w:pStyle w:val="Normal"/></w:pPr>
<w:r><w:t xml:space="preserve">Stockholm in the year 1733 by Count Tessin.  In its hall are</w:t></w:r>
</w:p>
<w:p>
<w:pPr><w:pStyle w:val="Normal"/></w:pPr>
<w:r><w:t xml:space="preserve">the ancient figures of plaster presented by Louis XIV. to</w:t></w:r>
</w:p>
<w:p>
<w:pPr><w:pStyle w:val="Normal"/></w:pPr>
<w:r><w:t xml:space="preserve">Charles XI. The works of the students are publicly exhibited,</w:t></w:r>
</w:p>
<w:p>
<w:pPr><w:pStyle w:val="Normal"/></w:pPr>
<w:r><w:t xml:space="preserve">and prizes are distributed annually.  Such of them as display</w:t></w:r>
</w:p>
<w:p>
<w:pPr><w:pStyle w:val="Normal"/></w:pPr>
<w:r><w:t xml:space="preserve">distinguished ability obtain pensions from government, to</w:t></w:r>
</w:p>
<w:p>
<w:pPr><w:pStyle w:val="Normal"/></w:pPr>
<w:r><w:t xml:space="preserve">enable them to reside in Italy for some years, for the purposes</w:t></w:r>
</w:p>
<w:p>
<w:pPr><w:pStyle w:val="Normal"/></w:pPr>
<w:r><w:t xml:space="preserve">of investigation and improvement.  In this academy there are</w:t></w:r>
</w:p>
<w:p>
<w:pPr><w:pStyle w:val="Normal"/></w:pPr>
<w:r><w:t xml:space="preserve">nine professors and generally about four hundred students.</w:t></w:r>
</w:p>
<w:p>
<w:pPr><w:pStyle w:val="Normal"/></w:pPr>
<w:r><w:t xml:space="preserve">Austria.--In the year 1705 an academy of painting,</w:t></w:r>
</w:p>
<w:p>
<w:pPr><w:pStyle w:val="Normal"/></w:pPr>
<w:r><w:t xml:space="preserve">sculpture and architecture was established at Vienna,</w:t></w:r>
</w:p>
<w:p>
<w:pPr><w:pStyle w:val="Normal"/></w:pPr>
<w:r><w:t xml:space="preserve">with the view of encouraging and promoting the fine arts.</w:t></w:r>
</w:p>
<w:p>
<w:pPr><w:pStyle w:val="Normal"/></w:pPr>
<w:r><w:t xml:space="preserve">United States of America.--In America the institution similar</w:t></w:r>
</w:p>
<w:p>
<w:pPr><w:pStyle w:val="Normal"/></w:pPr>
<w:r><w:t xml:space="preserve">to the Royal Academy of Arts in London is the National Academy</w:t></w:r>
</w:p>
<w:p>
<w:pPr><w:pStyle w:val="Normal"/></w:pPr>
<w:r><w:t xml:space="preserve">of Design (1826), which in 1906 absorbed the Society of American</w:t></w:r>
</w:p>
<w:p>
<w:pPr><w:pStyle w:val="Normal"/></w:pPr>
<w:r><w:t xml:space="preserve">Artists, the members of the society becoming members of the academy.</w:t></w:r>
</w:p>
<w:p>
<w:pPr><w:pStyle w:val="Normal"/></w:pPr>
<w:r><w:t xml:space="preserve">The volume of excerpts from the general catalogue of</w:t></w:r>
</w:p>
<w:p>
<w:pPr><w:pStyle w:val="Normal"/></w:pPr>
<w:r><w:t xml:space="preserve">books in the British Museum, ``Academies,&apos;&apos; 5 parts and</w:t></w:r>
</w:p>
<w:p>
<w:pPr><w:pStyle w:val="Normal"/></w:pPr>
<w:r><w:t xml:space="preserve">index, furnishes a complete bibliography. (F. S.)</w:t></w:r>
</w:p>
<w:p>
<w:pPr><w:pStyle w:val="Normal"/></w:pPr>
<w:r><w:t xml:space="preserve">1 The Academy has made the amende honorable by placing in the</w:t></w:r>
</w:p>
<w:p>
<w:pPr><w:pStyle w:val="Normal"/></w:pPr>
<w:r><w:t xml:space="preserve">Salle des seances a bust of Moliere, with the inscription</w:t></w:r>
</w:p>
<w:p>
<w:pPr><w:pStyle w:val="Normal"/></w:pPr>
<w:r><w:t xml:space="preserve">``Rienne manque a sa gloire, it manquait a la notre.&apos;&apos;</w:t></w:r>
</w:p>
<w:p>
<w:pPr><w:pStyle w:val="Normal"/></w:pPr>
<w:r><w:t xml:space="preserve">2 Hallam&apos;s Int. to Lit. of Europe, vol. i. p. 654, and vol. ii. p. 502.</w:t></w:r>
</w:p>
<w:p>
<w:pPr><w:pStyle w:val="Normal"/></w:pPr>
<w:r><w:t xml:space="preserve">ACADEMY, GREEK or ACADEME (Gr. akademeia or</w:t></w:r>
</w:p>
<w:p>
<w:pPr><w:pStyle w:val="Normal"/></w:pPr>
<w:r><w:t xml:space="preserve">ekademia), the name given to the philosophic successors of</w:t></w:r>
</w:p>
<w:p>
<w:pPr><w:pStyle w:val="Normal"/></w:pPr>
<w:r><w:t xml:space="preserve">Plato.  The name is derived from a pleasure-garden or</w:t></w:r>
</w:p>
<w:p>
<w:pPr><w:pStyle w:val="Normal"/></w:pPr>
<w:r><w:t xml:space="preserve">gymnasium situated in the suburb of the Ceramicus on the</w:t></w:r>
</w:p>
<w:p>
<w:pPr><w:pStyle w:val="Normal"/></w:pPr>
<w:r><w:t xml:space="preserve">river Cephissus about a mile to the north-west of Athens</w:t></w:r>
</w:p>
<w:p>
<w:pPr><w:pStyle w:val="Normal"/></w:pPr>
<w:r><w:t xml:space="preserve">from the gate called Dipylum. It was said to have belonged</w:t></w:r>
</w:p>
<w:p>
<w:pPr><w:pStyle w:val="Normal"/></w:pPr>
<w:r><w:t xml:space="preserve">to the ancient Attic hero Academus, who, when the Dioscuri</w:t></w:r>
</w:p>
<w:p>
<w:pPr><w:pStyle w:val="Normal"/></w:pPr>
<w:r><w:t xml:space="preserve">invaded Attica to recover their sister Helen, carried off by</w:t></w:r>
</w:p>
<w:p>
<w:pPr><w:pStyle w:val="Normal"/></w:pPr>
<w:r><w:t xml:space="preserve">Theseus, revealed the place where she was hidden.  Out of</w:t></w:r>
</w:p>
<w:p>
<w:pPr><w:pStyle w:val="Normal"/></w:pPr>
<w:r><w:t xml:space="preserve">gratitude the Lacedaemonians, who reverenced the Dioscuri,</w:t></w:r>
</w:p>
<w:p>
<w:pPr><w:pStyle w:val="Normal"/></w:pPr>
<w:r><w:t xml:space="preserve">always spared the Academy during their invasions of the</w:t></w:r>
</w:p>
<w:p>
<w:pPr><w:pStyle w:val="Normal"/></w:pPr>
<w:r><w:t xml:space="preserve">country.  It was walled in by Hipparchus and was adorned</w:t></w:r>
</w:p>
<w:p>
<w:pPr><w:pStyle w:val="Normal"/></w:pPr>
<w:r><w:t xml:space="preserve">with walks, groves and fountains by Cimon (Plut. Cim.</w:t></w:r>
</w:p>
<w:p>
<w:pPr><w:pStyle w:val="Normal"/></w:pPr>
<w:r><w:t xml:space="preserve">13), who bequeathed it as a public pleasure-ground to</w:t></w:r>
</w:p>
<w:p>
<w:pPr><w:pStyle w:val="Normal"/></w:pPr>
<w:r><w:t xml:space="preserve">his fellow-citizens. Subsequently the garden became the</w:t></w:r>
</w:p>
<w:p>
<w:pPr><w:pStyle w:val="Normal"/></w:pPr>
<w:r><w:t xml:space="preserve">resort of Plato (q.v.), who had a small estate in the</w:t></w:r>
</w:p>
<w:p>
<w:pPr><w:pStyle w:val="Normal"/></w:pPr>
<w:r><w:t xml:space="preserve">neighbourhood.  Here he taught for nearly fifty years till</w:t></w:r>
</w:p>
<w:p>
<w:pPr><w:pStyle w:val="Normal"/></w:pPr>
<w:r><w:t xml:space="preserve">his death in 348 B.C., and his followers continued to</w:t></w:r>
</w:p>
<w:p>
<w:pPr><w:pStyle w:val="Normal"/></w:pPr>
<w:r><w:t xml:space="preserve">make it their headquarters.  It was closed for teaching by</w:t></w:r>
</w:p>
<w:p>
<w:pPr><w:pStyle w:val="Normal"/></w:pPr>
<w:r><w:t xml:space="preserve">Justinian in A.D. 529 along with the other pagan schools.</w:t></w:r>
</w:p>
<w:p>
<w:pPr><w:pStyle w:val="Normal"/></w:pPr>
<w:r><w:t xml:space="preserve">Cicero borrowed the name for his villa near Puteoll,</w:t></w:r>
</w:p>
<w:p>
<w:pPr><w:pStyle w:val="Normal"/></w:pPr>
<w:r><w:t xml:space="preserve">where he Composed his dialogue The Academic Questions.</w:t></w:r>
</w:p>
<w:p>
<w:pPr><w:pStyle w:val="Normal"/></w:pPr>
<w:r><w:t xml:space="preserve">The Platonic Academy (proper) lasted from the days of Plato</w:t></w:r>
</w:p>
<w:p>
<w:pPr><w:pStyle w:val="Normal"/></w:pPr>
<w:r><w:t xml:space="preserve">to those of Cicero, and during its whole course there is</w:t></w:r>
</w:p>
<w:p>
<w:pPr><w:pStyle w:val="Normal"/></w:pPr>
<w:r><w:t xml:space="preserve">traceable a distinct continuity of thought which justifies</w:t></w:r>
</w:p>
<w:p>
<w:pPr><w:pStyle w:val="Normal"/></w:pPr>
<w:r><w:t xml:space="preserve">its examination as a real intellectual unit.  On the</w:t></w:r>
</w:p>
<w:p>
<w:pPr><w:pStyle w:val="Normal"/></w:pPr>
<w:r><w:t xml:space="preserve">other hand, this continuity of thought is by no means an</w:t></w:r>
</w:p>
<w:p>
<w:pPr><w:pStyle w:val="Normal"/></w:pPr>
<w:r><w:t xml:space="preserve">identity.  The Platonic doctrine was so far modified in</w:t></w:r>
</w:p>
<w:p>
<w:pPr><w:pStyle w:val="Normal"/></w:pPr>
<w:r><w:t xml:space="preserve">the hands of successive scholarchs that the Academy has</w:t></w:r>
</w:p>
<w:p>
<w:pPr><w:pStyle w:val="Normal"/></w:pPr>
<w:r><w:t xml:space="preserve">been divided into either two, three or five main sections</w:t></w:r>
</w:p>
<w:p>
<w:pPr><w:pStyle w:val="Normal"/></w:pPr>
<w:r><w:t xml:space="preserve">(Sext.  Empir. Pyrrh.  Hyp. i. 220).  Finally,in the days</w:t></w:r>
</w:p>
<w:p>
<w:pPr><w:pStyle w:val="Normal"/></w:pPr>
<w:r><w:t xml:space="preserve">of Philo, Antiochus and Cicero, the metaphysical dogmatism</w:t></w:r>
</w:p>
<w:p>
<w:pPr><w:pStyle w:val="Normal"/></w:pPr>
<w:r><w:t xml:space="preserve">of Plato had been changed into an ethical syncretism which</w:t></w:r>
</w:p>
<w:p>
<w:pPr><w:pStyle w:val="Normal"/></w:pPr>
<w:r><w:t xml:space="preserve">combined elements from the Scepticism of Carneades and the</w:t></w:r>
</w:p>
<w:p>
<w:pPr><w:pStyle w:val="Normal"/></w:pPr>
<w:r><w:t xml:space="preserve">doctrines of the Stoics; it was a change from a dogmatism</w:t></w:r>
</w:p>
<w:p>
<w:pPr><w:pStyle w:val="Normal"/></w:pPr>
<w:r><w:t xml:space="preserve">which men found impossible to defend, to a probabilism</w:t></w:r>
</w:p>
<w:p>
<w:pPr><w:pStyle w:val="Normal"/></w:pPr>
<w:r><w:t xml:space="preserve">which afforded a retreat from Scepticism and intellectual</w:t></w:r>
</w:p>
<w:p>
<w:pPr><w:pStyle w:val="Normal"/></w:pPr>
<w:r><w:t xml:space="preserve">anarchy. Cicero represents at once the doctrine of the later</w:t></w:r>
</w:p>
<w:p>
<w:pPr><w:pStyle w:val="Normal"/></w:pPr>
<w:r><w:t xml:space="preserve">Academy and the general attitude of Roman society when he</w:t></w:r>
</w:p>
<w:p>
<w:pPr><w:pStyle w:val="Normal"/></w:pPr>
<w:r><w:t xml:space="preserve">says, ``My words do not proclaim the truth, like a Pythian</w:t></w:r>
</w:p>
<w:p>
<w:pPr><w:pStyle w:val="Normal"/></w:pPr>
<w:r><w:t xml:space="preserve">priestess; but I conjecture what is probable, like a plain</w:t></w:r>
</w:p>
<w:p>
<w:pPr><w:pStyle w:val="Normal"/></w:pPr>
<w:r><w:t xml:space="preserve">man; and where, I ask, am I to search for anything more than</w:t></w:r>
</w:p>
<w:p>
<w:pPr><w:pStyle w:val="Normal"/></w:pPr>
<w:r><w:t xml:space="preserve">verisimilitude?&apos;&apos; And again: ``The characteristic of the</w:t></w:r>
</w:p>
<w:p>
<w:pPr><w:pStyle w:val="Normal"/></w:pPr>
<w:r><w:t xml:space="preserve">Academy is never to interpose one&apos;s judgment, to approve what</w:t></w:r>
</w:p>
<w:p>
<w:pPr><w:pStyle w:val="Normal"/></w:pPr>
<w:r><w:t xml:space="preserve">seems most probable, to compare together different opinions,</w:t></w:r>
</w:p>
<w:p>
<w:pPr><w:pStyle w:val="Normal"/></w:pPr>
<w:r><w:t xml:space="preserve">to see what may be advanced on either side and to leave one&apos;s</w:t></w:r>
</w:p>
<w:p>
<w:pPr><w:pStyle w:val="Normal"/></w:pPr>
<w:r><w:t xml:space="preserve">listeners free to judge without pretending to dogmatize.&apos;&apos;</w:t></w:r>
</w:p>
<w:p>
<w:pPr><w:pStyle w:val="Normal"/></w:pPr>
<w:r><w:t xml:space="preserve">The passage from Sextus Empiricus, cited above, gives the</w:t></w:r>
</w:p>
<w:p>
<w:pPr><w:pStyle w:val="Normal"/></w:pPr>
<w:r><w:t xml:space="preserve">general view that there were three academies: the first, or</w:t></w:r>
</w:p>
<w:p>
<w:pPr><w:pStyle w:val="Normal"/></w:pPr>
<w:r><w:t xml:space="preserve">Old, academy under Speusippus and Xenocrates; the second,</w:t></w:r>
</w:p>
<w:p>
<w:pPr><w:pStyle w:val="Normal"/></w:pPr>
<w:r><w:t xml:space="preserve">or Middle, academy under Arcesilaus and Polemon; the third,</w:t></w:r>
</w:p>
<w:p>
<w:pPr><w:pStyle w:val="Normal"/></w:pPr>
<w:r><w:t xml:space="preserve">or New, academy under Carneades and Clitomachus.  Sextus</w:t></w:r>
</w:p>
<w:p>
<w:pPr><w:pStyle w:val="Normal"/></w:pPr>
<w:r><w:t xml:space="preserve">notices also the theory that there was a fourth, that of Philo</w:t></w:r>
</w:p>
<w:p>
<w:pPr><w:pStyle w:val="Normal"/></w:pPr>
<w:r><w:t xml:space="preserve">of Larissa and Charmidas, and a fifth, that of Antiochus.</w:t></w:r>
</w:p>
<w:p>
<w:pPr><w:pStyle w:val="Normal"/></w:pPr>
<w:r><w:t xml:space="preserve">Diogenes Laertius says that Lacydes was the founder of the</w:t></w:r>
</w:p>
<w:p>
<w:pPr><w:pStyle w:val="Normal"/></w:pPr>
<w:r><w:t xml:space="preserve">New Academy (i. 19, iv. 59). Cicero (de Orat. iii. 18, &amp;c.)</w:t></w:r>
</w:p>
<w:p>
<w:pPr><w:pStyle w:val="Normal"/></w:pPr>
<w:r><w:t xml:space="preserve">and Varro insist that there were only two academies, the Old</w:t></w:r>
</w:p>
<w:p>
<w:pPr><w:pStyle w:val="Normal"/></w:pPr>
<w:r><w:t xml:space="preserve">and the New. Those who maintain that there is no justification</w:t></w:r>
</w:p>
<w:p>
<w:pPr><w:pStyle w:val="Normal"/></w:pPr>
<w:r><w:t xml:space="preserve">for the five-fold division hold that the agnosticism of</w:t></w:r>
</w:p>
<w:p>
<w:pPr><w:pStyle w:val="Normal"/></w:pPr>
<w:r><w:t xml:space="preserve">Carneades was really latent in Plato, and became prominent</w:t></w:r>
</w:p>
<w:p>
<w:pPr><w:pStyle w:val="Normal"/></w:pPr>
<w:r><w:t xml:space="preserve">owing to the necessity of refuting the Stoic criterion.</w:t></w:r>
</w:p>
<w:p>
<w:pPr><w:pStyle w:val="Normal"/></w:pPr>
<w:r><w:t xml:space="preserve">The general tendency of the Academic thinkers was towards</w:t></w:r>
</w:p>
<w:p>
<w:pPr><w:pStyle w:val="Normal"/></w:pPr>
<w:r><w:t xml:space="preserve">practical simplicity, a tendency due in large measure to</w:t></w:r>
</w:p>
<w:p>
<w:pPr><w:pStyle w:val="Normal"/></w:pPr>
<w:r><w:t xml:space="preserve">the inferior intellectual capacity of Plato&apos;s immediate</w:t></w:r>
</w:p>
<w:p>
<w:pPr><w:pStyle w:val="Normal"/></w:pPr>
<w:r><w:t xml:space="preserve">successors. Cicero (de Fin. v. 3) says generally of the</w:t></w:r>
</w:p>
<w:p>
<w:pPr><w:pStyle w:val="Normal"/></w:pPr>
<w:r><w:t xml:space="preserve">Old Academy: ``Their writings and method contain all liberal</w:t></w:r>
</w:p>
<w:p>
<w:pPr><w:pStyle w:val="Normal"/></w:pPr>
<w:r><w:t xml:space="preserve">learning, all history, all polite discourse; and besides they</w:t></w:r>
</w:p>
<w:p>
<w:pPr><w:pStyle w:val="Normal"/></w:pPr>
<w:r><w:t xml:space="preserve">embrace such a variety of arts, that no one can undertake any</w:t></w:r>
</w:p>
<w:p>
<w:pPr><w:pStyle w:val="Normal"/></w:pPr>
<w:r><w:t xml:space="preserve">noble career without their aid. . . . In a word the Academy</w:t></w:r>
</w:p>
<w:p>
<w:pPr><w:pStyle w:val="Normal"/></w:pPr>
<w:r><w:t xml:space="preserve">is, as it were, the workshop of every artist.&apos;&apos; It is true</w:t></w:r>
</w:p>
<w:p>
<w:pPr><w:pStyle w:val="Normal"/></w:pPr>
<w:r><w:t xml:space="preserve">that these men turned to scientific investigation, but in</w:t></w:r>
</w:p>
<w:p>
<w:pPr><w:pStyle w:val="Normal"/></w:pPr>
<w:r><w:t xml:space="preserve">so doing they escaped from the high altitudes in which Plato</w:t></w:r>
</w:p>
<w:p>
<w:pPr><w:pStyle w:val="Normal"/></w:pPr>
<w:r><w:t xml:space="preserve">thought, and tended to lay emphasis on the mundane side of</w:t></w:r>
</w:p>
<w:p>
<w:pPr><w:pStyle w:val="Normal"/></w:pPr>
<w:r><w:t xml:space="preserve">philosophy.  Of Plato&apos;s originality and speculative power,</w:t></w:r>
</w:p>
<w:p>
<w:pPr><w:pStyle w:val="Normal"/></w:pPr>
<w:r><w:t xml:space="preserve">of his poetry and enthusiasm they inherited nothing, ``nor</w:t></w:r>
</w:p>
<w:p>
<w:pPr><w:pStyle w:val="Normal"/></w:pPr>
<w:r><w:t xml:space="preserve">amid all the learning which has been profusely lavished upon</w:t></w:r>
</w:p>
<w:p>
<w:pPr><w:pStyle w:val="Normal"/></w:pPr>
<w:r><w:t xml:space="preserve">investigating their tenets is there a single deduction calculated</w:t></w:r>
</w:p>
<w:p>
<w:pPr><w:pStyle w:val="Normal"/></w:pPr>
<w:r><w:t xml:space="preserve">to elucidate distinctly the character of their progress or</w:t></w:r>
</w:p>
<w:p>
<w:pPr><w:pStyle w:val="Normal"/></w:pPr>
<w:r><w:t xml:space="preserve">regression&apos;&apos; (Archer Butler, Lect. on Anc. Phil. ii. 515).</w:t></w:r>
</w:p>
<w:p>
<w:pPr><w:pStyle w:val="Normal"/></w:pPr>
<w:r><w:t xml:space="preserve">The modification of Academic doctrine from Plato to</w:t></w:r>
</w:p>
<w:p>
<w:pPr><w:pStyle w:val="Normal"/></w:pPr>
<w:r><w:t xml:space="preserve">Cicero may be indicated briefly under four heads.</w:t></w:r>
</w:p>
<w:p>
<w:pPr><w:pStyle w:val="Normal"/></w:pPr>
<w:r><w:t xml:space="preserve">(1) Plato&apos;s own theory of Ideas was not accepted even by</w:t></w:r>
</w:p>
<w:p>
<w:pPr><w:pStyle w:val="Normal"/></w:pPr>
<w:r><w:t xml:space="preserve">Speusirinus and Xenocrates.  They argued that the Good cannot</w:t></w:r>
</w:p>
<w:p>
<w:pPr><w:pStyle w:val="Normal"/></w:pPr>
<w:r><w:t xml:space="preserve">be the origin of things, inasmuch as Goodness is only found</w:t></w:r>
</w:p>
<w:p>
<w:pPr><w:pStyle w:val="Normal"/></w:pPr>
<w:r><w:t xml:space="preserve">as an attribute of things.  Therefore, the idea of Good must</w:t></w:r>
</w:p>
<w:p>
<w:pPr><w:pStyle w:val="Normal"/></w:pPr>
<w:r><w:t xml:space="preserve">be secondary to some other more fundamental principle of</w:t></w:r>
</w:p>
<w:p>
<w:pPr><w:pStyle w:val="Normal"/></w:pPr>
<w:r><w:t xml:space="preserve">existence.  This unit Speusippus attempted to find in</w:t></w:r>
</w:p>
<w:p>
<w:pPr><w:pStyle w:val="Normal"/></w:pPr>
<w:r><w:t xml:space="preserve">the Pythagorean number-theory.  From it he deduced three</w:t></w:r>
</w:p>
<w:p>
<w:pPr><w:pStyle w:val="Normal"/></w:pPr>
<w:r><w:t xml:space="preserve">principles, one for numbers, one for magnitude, one for the</w:t></w:r>
</w:p>
<w:p>
<w:pPr><w:pStyle w:val="Normal"/></w:pPr>
<w:r><w:t xml:space="preserve">soul.  The Deity he conceived as that living force which</w:t></w:r>
</w:p>
<w:p>
<w:pPr><w:pStyle w:val="Normal"/></w:pPr>
<w:r><w:t xml:space="preserve">rules all and resides everywhere.  Xenocrates, though like</w:t></w:r>
</w:p>
<w:p>
<w:pPr><w:pStyle w:val="Normal"/></w:pPr>
<w:r><w:t xml:space="preserve">Speusippus infected with Pythagoreanism, was the most faithful</w:t></w:r>
</w:p>
<w:p>
<w:pPr><w:pStyle w:val="Normal"/></w:pPr>
<w:r><w:t xml:space="preserve">of Plato&apos;s successors.  He distinguished three spheres, the</w:t></w:r>
</w:p>
<w:p>
<w:pPr><w:pStyle w:val="Normal"/></w:pPr>
<w:r><w:t xml:space="preserve">sensible, the intelligible, and a third compounded of the</w:t></w:r>
</w:p>
<w:p>
<w:pPr><w:pStyle w:val="Normal"/></w:pPr>
<w:r><w:t xml:space="preserve">two, to which correspond respectively, sense, intellect and</w:t></w:r>
</w:p>
<w:p>
<w:pPr><w:pStyle w:val="Normal"/></w:pPr>
<w:r><w:t xml:space="preserve">opinion (doxa). Cicero notes, however, that both Speusippus</w:t></w:r>
</w:p>
<w:p>
<w:pPr><w:pStyle w:val="Normal"/></w:pPr>
<w:r><w:t xml:space="preserve">and Xenocrates abandon the Socratic principle of hesitancy.</w:t></w:r>
</w:p>
<w:p>
<w:pPr><w:pStyle w:val="Normal"/></w:pPr>
<w:r><w:t xml:space="preserve">(2) Up to Arcesilaus, the Academy accepted the principle of</w:t></w:r>
</w:p>
<w:p>
<w:pPr><w:pStyle w:val="Normal"/></w:pPr>
<w:r><w:t xml:space="preserve">finding a general unity in all things, by the aid of which a</w:t></w:r>
</w:p>
<w:p>
<w:pPr><w:pStyle w:val="Normal"/></w:pPr>
<w:r><w:t xml:space="preserve">principle of certainty might be found.  Arcesilaus, however,</w:t></w:r>
</w:p>
<w:p>
<w:pPr><w:pStyle w:val="Normal"/></w:pPr>
<w:r><w:t xml:space="preserve">broke new ground by attacking the very possibility of certainty.</w:t></w:r>
</w:p>
<w:p>
<w:pPr><w:pStyle w:val="Normal"/></w:pPr>
<w:r><w:t xml:space="preserve">Socrates had said, ``This alone I know, that I know nothing.&apos;&apos;</w:t></w:r>
</w:p>
<w:p>
<w:pPr><w:pStyle w:val="Normal"/></w:pPr>
<w:r><w:t xml:space="preserve">But Arcesilaus went farther and denied the possibility of</w:t></w:r>
</w:p>
<w:p>
<w:pPr><w:pStyle w:val="Normal"/></w:pPr>
<w:r><w:t xml:space="preserve">even the Socratic minimum of certainty: ``I cannot know even</w:t></w:r>
</w:p>
<w:p>
<w:pPr><w:pStyle w:val="Normal"/></w:pPr>
<w:r><w:t xml:space="preserve">whether I know or not.&apos;&apos; Thus from the dogmatism of the master</w:t></w:r>
</w:p>
<w:p>
<w:pPr><w:pStyle w:val="Normal"/></w:pPr>
<w:r><w:t xml:space="preserve">the Academy plunged into the extremes of agnostic criticism.</w:t></w:r>
</w:p>
<w:p>
<w:pPr><w:pStyle w:val="Normal"/></w:pPr>
<w:r><w:t xml:space="preserve">(3) The next stage in the Academic succession was the moderate</w:t></w:r>
</w:p>
<w:p>
<w:pPr><w:pStyle w:val="Normal"/></w:pPr>
<w:r><w:t xml:space="preserve">scepticism of Carneades, which owed its existence to his</w:t></w:r>
</w:p>
<w:p>
<w:pPr><w:pStyle w:val="Normal"/></w:pPr>
<w:r><w:t xml:space="preserve">opposition to Chrysippus, the Stoic.  To the Stoical theory</w:t></w:r>
</w:p>
<w:p>
<w:pPr><w:pStyle w:val="Normal"/></w:pPr>
<w:r><w:t xml:space="preserve">of perception, the fantasia kataleptike, by which they</w:t></w:r>
</w:p>
<w:p>
<w:pPr><w:pStyle w:val="Normal"/></w:pPr>
<w:r><w:t xml:space="preserve">expressed a conviction of certainty arising from impressions</w:t></w:r>
</w:p>
<w:p>
<w:pPr><w:pStyle w:val="Normal"/></w:pPr>
<w:r><w:t xml:space="preserve">so strong as to amount to science, he opposed the doctrine</w:t></w:r>
</w:p>
<w:p>
<w:pPr><w:pStyle w:val="Normal"/></w:pPr>
<w:r><w:t xml:space="preserve">of acatalepsia, which denied any necessary correspondence</w:t></w:r>
</w:p>
<w:p>
<w:pPr><w:pStyle w:val="Normal"/></w:pPr>
<w:r><w:t xml:space="preserve">between perceptions and the objects perceived.  He saved</w:t></w:r>
</w:p>
<w:p>
<w:pPr><w:pStyle w:val="Normal"/></w:pPr>
<w:r><w:t xml:space="preserve">himself, however, from absolute scepticism by the doctrine</w:t></w:r>
</w:p>
<w:p>
<w:pPr><w:pStyle w:val="Normal"/></w:pPr>
<w:r><w:t xml:space="preserve">of probability or verisimilitude, which may serve as a</w:t></w:r>
</w:p>
<w:p>
<w:pPr><w:pStyle w:val="Normal"/></w:pPr>
<w:r><w:t xml:space="preserve">practical guide in life.  Thus his criterion of imagination</w:t></w:r>
</w:p>
<w:p>
<w:pPr><w:pStyle w:val="Normal"/></w:pPr>
<w:r><w:t xml:space="preserve">(fantasia) is that it must be credible, irrefutable and</w:t></w:r>
</w:p>
<w:p>
<w:pPr><w:pStyle w:val="Normal"/></w:pPr>
<w:r><w:t xml:space="preserve">attested by comparison with other impressions; it may be</w:t></w:r>
</w:p>
<w:p>
<w:pPr><w:pStyle w:val="Normal"/></w:pPr>
<w:r><w:t xml:space="preserve">wrong, but for the person concerned it is valid.  In ethics</w:t></w:r>
</w:p>
<w:p>
<w:pPr><w:pStyle w:val="Normal"/></w:pPr>
<w:r><w:t xml:space="preserve">he was an avowed sceptic.  During his official visit to Rome,</w:t></w:r>
</w:p>
<w:p>
<w:pPr><w:pStyle w:val="Normal"/></w:pPr>
<w:r><w:t xml:space="preserve">he gave public lectures, in which he successively proved</w:t></w:r>
</w:p>
<w:p>
<w:pPr><w:pStyle w:val="Normal"/></w:pPr>
<w:r><w:t xml:space="preserve">and disproved with equal ease the existence of justice.</w:t></w:r>
</w:p>
<w:p>
<w:pPr><w:pStyle w:val="Normal"/></w:pPr>
<w:r><w:t xml:space="preserve">(4) In the last period we find a tendency not only</w:t></w:r>
</w:p>
<w:p>
<w:pPr><w:pStyle w:val="Normal"/></w:pPr>
<w:r><w:t xml:space="preserve">to reconcile the internal divergences of the Academy</w:t></w:r>
</w:p>
<w:p>
<w:pPr><w:pStyle w:val="Normal"/></w:pPr>
<w:r><w:t xml:space="preserve">itself, but also to connect it with parallel growths of</w:t></w:r>
</w:p>
<w:p>
<w:pPr><w:pStyle w:val="Normal"/></w:pPr>
<w:r><w:t xml:space="preserve">thought.  Philo of Larissa endeavours to show that Carneades</w:t></w:r>
</w:p>
<w:p>
<w:pPr><w:pStyle w:val="Normal"/></w:pPr>
<w:r><w:t xml:space="preserve">was not opposed to Plato, and further that the apparent</w:t></w:r>
</w:p>
<w:p>
<w:pPr><w:pStyle w:val="Normal"/></w:pPr>
<w:r><w:t xml:space="preserve">antagonism between Plato and Zeno was due to the fact that</w:t></w:r>
</w:p>
<w:p>
<w:pPr><w:pStyle w:val="Normal"/></w:pPr>
<w:r><w:t xml:space="preserve">they were arguing from different points of view.  From this</w:t></w:r>
</w:p>
<w:p>
<w:pPr><w:pStyle w:val="Normal"/></w:pPr>
<w:r><w:t xml:space="preserve">syncretism emerged the prudent non-committal eclecticism</w:t></w:r>
</w:p>
<w:p>
<w:pPr><w:pStyle w:val="Normal"/></w:pPr>
<w:r><w:t xml:space="preserve">of Cicero, the last product of Academic development.</w:t></w:r>
</w:p>
<w:p>
<w:pPr><w:pStyle w:val="Normal"/></w:pPr>
<w:r><w:t xml:space="preserve">For detailed accounts of the Academicians see SPEUSIPPUS,</w:t></w:r>
</w:p>
<w:p>
<w:pPr><w:pStyle w:val="Normal"/></w:pPr>
<w:r><w:t xml:space="preserve">XENOCRATES, &amp;c.; also STOICS and NEOPLATONISM. Consult</w:t></w:r>
</w:p>
<w:p>
<w:pPr><w:pStyle w:val="Normal"/></w:pPr>
<w:r><w:t xml:space="preserve">histories of philosophy by Zeller and Windelband, and Th.</w:t></w:r>
</w:p>
<w:p>
<w:pPr><w:pStyle w:val="Normal"/></w:pPr>
<w:r><w:t xml:space="preserve">Gomperz, Greek Thinkers, ii. 270 (Eng. tr., London, 1905).</w:t></w:r>
</w:p>
<w:p>
<w:pPr><w:pStyle w:val="Normal"/></w:pPr>
<w:r><w:t xml:space="preserve">ACADEMY, ROYAL. The Royal Academy of Arts in London, to</w:t></w:r>
</w:p>
<w:p>
<w:pPr><w:pStyle w:val="Normal"/></w:pPr>
<w:r><w:t xml:space="preserve">give it the original title in full, was founded in 1768,</w:t></w:r>
</w:p>
<w:p>
<w:pPr><w:pStyle w:val="Normal"/></w:pPr>
<w:r><w:t xml:space="preserve">``for the purpose of cultivating and improving the arts of</w:t></w:r>
</w:p>
<w:p>
<w:pPr><w:pStyle w:val="Normal"/></w:pPr>
<w:r><w:t xml:space="preserve">painting, sculpture and architecture.&apos;&apos; Many attempts had</w:t></w:r>
</w:p>
<w:p>
<w:pPr><w:pStyle w:val="Normal"/></w:pPr>
<w:r><w:t xml:space="preserve">previously been made in England to form a society which</w:t></w:r>
</w:p>
<w:p>
<w:pPr><w:pStyle w:val="Normal"/></w:pPr>
<w:r><w:t xml:space="preserve">should have for its object the advancement of the fine</w:t></w:r>
</w:p>
<w:p>
<w:pPr><w:pStyle w:val="Normal"/></w:pPr>
<w:r><w:t xml:space="preserve">arts.  Sir Jumes Thornbill, his son-in-law Hogarth, the</w:t></w:r>
</w:p>
<w:p>
<w:pPr><w:pStyle w:val="Normal"/></w:pPr>
<w:r><w:t xml:space="preserve">Dilettanti Society, made efforts in this direction, but their</w:t></w:r>
</w:p>
<w:p>
<w:pPr><w:pStyle w:val="Normal"/></w:pPr>
<w:r><w:t xml:space="preserve">schemes were wrecked by want of means.  Accident solved the</w:t></w:r>
</w:p>
<w:p>
<w:pPr><w:pStyle w:val="Normal"/></w:pPr>
<w:r><w:t xml:space="preserve">problem.  The crowds that attended an exhibition of pictures</w:t></w:r>
</w:p>
<w:p>
<w:pPr><w:pStyle w:val="Normal"/></w:pPr>
<w:r><w:t xml:space="preserve">held in 1758 at the Foundling Hospital for the benefit</w:t></w:r>
</w:p>
<w:p>
<w:pPr><w:pStyle w:val="Normal"/></w:pPr>
<w:r><w:t xml:space="preserve">of charity, suggested a way of making money hitherto</w:t></w:r>
</w:p>
<w:p>
<w:pPr><w:pStyle w:val="Normal"/></w:pPr>
<w:r><w:t xml:space="preserve">unsuspected.  Two societies were quickly formed, one</w:t></w:r>
</w:p>
<w:p>
<w:pPr><w:pStyle w:val="Normal"/></w:pPr>
<w:r><w:t xml:space="preserve">calling itself the ``Society of Artists&apos;&apos; and the other the</w:t></w:r>
</w:p>
<w:p>
<w:pPr><w:pStyle w:val="Normal"/></w:pPr>
<w:r><w:t xml:space="preserve">``Free Society of Artists.&apos;&apos; The latter ceased to exist in</w:t></w:r>
</w:p>
<w:p>
<w:pPr><w:pStyle w:val="Normal"/></w:pPr>
<w:r><w:t xml:space="preserve">1774.  The former flourished, and in 1765 was granted a royal</w:t></w:r>
</w:p>
<w:p>
<w:pPr><w:pStyle w:val="Normal"/></w:pPr>
<w:r><w:t xml:space="preserve">charter under the title of the ``Incorporated Society of</w:t></w:r>
</w:p>
<w:p>
<w:pPr><w:pStyle w:val="Normal"/></w:pPr>
<w:r><w:t xml:space="preserve">Artists of Great Britain.&apos;&apos; But though prosperous it was not</w:t></w:r>
</w:p>
<w:p>
<w:pPr><w:pStyle w:val="Normal"/></w:pPr>
<w:r><w:t xml:space="preserve">united.  A number of the members, including the most eminent</w:t></w:r>
</w:p>
<w:p>
<w:pPr><w:pStyle w:val="Normal"/></w:pPr>
<w:r><w:t xml:space="preserve">artists of the day, resigned in 1768, and headed by William</w:t></w:r>
</w:p>
<w:p>
<w:pPr><w:pStyle w:val="Normal"/></w:pPr>
<w:r><w:t xml:space="preserve">Chambers the architect, and Benjamin West, presented on</w:t></w:r>
</w:p>
<w:p>
<w:pPr><w:pStyle w:val="Normal"/></w:pPr>
<w:r><w:t xml:space="preserve">28th November in that year to George III., who had already</w:t></w:r>
</w:p>
<w:p>
<w:pPr><w:pStyle w:val="Normal"/></w:pPr>
<w:r><w:t xml:space="preserve">shown his interest in the fine arts, a memorial soliciting</w:t></w:r>
</w:p>
<w:p>
<w:pPr><w:pStyle w:val="Normal"/></w:pPr>
<w:r><w:t xml:space="preserve">his ``gracious assistance, patronage and protection,&apos;&apos; in</w:t></w:r>
</w:p>
<w:p>
<w:pPr><w:pStyle w:val="Normal"/></w:pPr>
<w:r><w:t xml:space="preserve">``establishing a society for promoting the arts of design.&apos;,</w:t></w:r>
</w:p>
<w:p>
<w:pPr><w:pStyle w:val="Normal"/></w:pPr>
<w:r><w:t xml:space="preserve">The memorialists stated that the two principal objects they</w:t></w:r>
</w:p>
<w:p>
<w:pPr><w:pStyle w:val="Normal"/></w:pPr>
<w:r><w:t xml:space="preserve">had in view were the establishing of ``a well-regulated</w:t></w:r>
</w:p>
<w:p>
<w:pPr><w:pStyle w:val="Normal"/></w:pPr>
<w:r><w:t xml:space="preserve">school or academy of design for the use of students in the</w:t></w:r>
</w:p>
<w:p>
<w:pPr><w:pStyle w:val="Normal"/></w:pPr>
<w:r><w:t xml:space="preserve">arts, and an annual exhibition open to all artists of</w:t></w:r>
</w:p>
<w:p>
<w:pPr><w:pStyle w:val="Normal"/></w:pPr>
<w:r><w:t xml:space="preserve">distinguished merit; the profit arising from the last of these</w:t></w:r>
</w:p>
<w:p>
<w:pPr><w:pStyle w:val="Normal"/></w:pPr>
<w:r><w:t xml:space="preserve">institutions&apos;&apos; would, they thought, ``fully answer all the</w:t></w:r>
</w:p>
<w:p>
<w:pPr><w:pStyle w:val="Normal"/></w:pPr>
<w:r><w:t xml:space="preserve">expenses of the first,&apos;&apos; and, indeed, leave something over</w:t></w:r>
</w:p>
<w:p>
<w:pPr><w:pStyle w:val="Normal"/></w:pPr>
<w:r><w:t xml:space="preserve">to be distributed ``in useful charities.&apos;&apos; The king expressed</w:t></w:r>
</w:p>
<w:p>
<w:pPr><w:pStyle w:val="Normal"/></w:pPr>
<w:r><w:t xml:space="preserve">his agreement with the proposal, but asked for further</w:t></w:r>
</w:p>
<w:p>
<w:pPr><w:pStyle w:val="Normal"/></w:pPr>
<w:r><w:t xml:space="preserve">particulars.  These were furnished to him on the 7th of</w:t></w:r>
</w:p>
<w:p>
<w:pPr><w:pStyle w:val="Normal"/></w:pPr>
<w:r><w:t xml:space="preserve">December and approved, and on the 10th of December they</w:t></w:r>
</w:p>
<w:p>
<w:pPr><w:pStyle w:val="Normal"/></w:pPr>
<w:r><w:t xml:space="preserve">were submitted in form, and the document embodying them</w:t></w:r>
</w:p>
<w:p>
<w:pPr><w:pStyle w:val="Normal"/></w:pPr>
<w:r><w:t xml:space="preserve">received his signature, with the words, ``I approve of this</w:t></w:r>
</w:p>
<w:p>
<w:pPr><w:pStyle w:val="Normal"/></w:pPr>
<w:r><w:t xml:space="preserve">plan; let it be put into execution.&apos;&apos; This document, known</w:t></w:r>
</w:p>
<w:p>
<w:pPr><w:pStyle w:val="Normal"/></w:pPr>
<w:r><w:t xml:space="preserve">as the ``Instrument,&apos;&apos; defined under twenty-seven heads the</w:t></w:r>
</w:p>
<w:p>
<w:pPr><w:pStyle w:val="Normal"/></w:pPr>
<w:r><w:t xml:space="preserve">constitution and government of the Royal Academy, and contained</w:t></w:r>
</w:p>
<w:p>
<w:pPr><w:pStyle w:val="Normal"/></w:pPr>
<w:r><w:t xml:space="preserve">the names of the thirty-six original members nominated by the</w:t></w:r>
</w:p>
<w:p>
<w:pPr><w:pStyle w:val="Normal"/></w:pPr>
<w:r><w:t xml:space="preserve">king.  Changes and modifications in the laws and regulations</w:t></w:r>
</w:p>
<w:p>
<w:pPr><w:pStyle w:val="Normal"/></w:pPr>
<w:r><w:t xml:space="preserve">laid down in it have of course been made, but none of them</w:t></w:r>
</w:p>
<w:p>
<w:pPr><w:pStyle w:val="Normal"/></w:pPr>
<w:r><w:t xml:space="preserve">without the sanction of the sovereign, and the ``Instrument&apos;&apos;</w:t></w:r>
</w:p>
<w:p>
<w:pPr><w:pStyle w:val="Normal"/></w:pPr>
<w:r><w:t xml:space="preserve">remains to this day in all essential particulars the Magna</w:t></w:r>
</w:p>
<w:p>
<w:pPr><w:pStyle w:val="Normal"/></w:pPr>
<w:r><w:t xml:space="preserve">Charta of the society.  Four days after the signing of this</w:t></w:r>
</w:p>
<w:p>
<w:pPr><w:pStyle w:val="Normal"/></w:pPr>
<w:r><w:t xml:space="preserve">document--on the 14th of Decemben--twentyeight of the first</w:t></w:r>
</w:p>
<w:p>
<w:pPr><w:pStyle w:val="Normal"/></w:pPr>
<w:r><w:t xml:space="preserve">nominated members met and drew up the Form of Obligation</w:t></w:r>
</w:p>
<w:p>
<w:pPr><w:pStyle w:val="Normal"/></w:pPr>
<w:r><w:t xml:space="preserve">which is still signed by every academician on receiving his</w:t></w:r>
</w:p>
<w:p>
<w:pPr><w:pStyle w:val="Normal"/></w:pPr>
<w:r><w:t xml:space="preserve">diploma, and also elected a president, keeper, secretary,</w:t></w:r>
</w:p>
<w:p>
<w:pPr><w:pStyle w:val="Normal"/></w:pPr>
<w:r><w:t xml:space="preserve">council and visitors in the schools; the professors being chosen</w:t></w:r>
</w:p>
<w:p>
<w:pPr><w:pStyle w:val="Normal"/></w:pPr>
<w:r><w:t xml:space="preserve">at a further meeting held on the 17th.  No time was lost in</w:t></w:r>
</w:p>
<w:p>
<w:pPr><w:pStyle w:val="Normal"/></w:pPr>
<w:r><w:t xml:space="preserve">establishing the schools, and on the 2nd of January 1769 they</w:t></w:r>
</w:p>
<w:p>
<w:pPr><w:pStyle w:val="Normal"/></w:pPr>
<w:r><w:t xml:space="preserve">were opened at some rooms in Pall Mall, a little eastward of</w:t></w:r>
</w:p>
<w:p>
<w:pPr><w:pStyle w:val="Normal"/></w:pPr>
<w:r><w:t xml:space="preserve">the site now occupied by the Junior United Service Club, the</w:t></w:r>
</w:p>
<w:p>
<w:pPr><w:pStyle w:val="Normal"/></w:pPr>
<w:r><w:t xml:space="preserve">president, Sir Joshua Reynolds, delivering on that occasion the</w:t></w:r>
</w:p>
<w:p>
<w:pPr><w:pStyle w:val="Normal"/></w:pPr>
<w:r><w:t xml:space="preserve">first of his famous ``discourses.&apos;&apos; The opening of the first</w:t></w:r>
</w:p>
<w:p>
<w:pPr><w:pStyle w:val="Normal"/></w:pPr>
<w:r><w:t xml:space="preserve">exhibition at the same place followed on the 26th of April.</w:t></w:r>
</w:p>
<w:p>
<w:pPr><w:pStyle w:val="Normal"/></w:pPr>
<w:r><w:t xml:space="preserve">The king when founding the Academy undertook to supply out</w:t></w:r>
</w:p>
<w:p>
<w:pPr><w:pStyle w:val="Normal"/></w:pPr>
<w:r><w:t xml:space="preserve">of his own privy purse any deficiencies between the receipts</w:t></w:r>
</w:p>
<w:p>
<w:pPr><w:pStyle w:val="Normal"/></w:pPr>
<w:r><w:t xml:space="preserve">derived from the exhibitions and the expenditure incurred on</w:t></w:r>
</w:p>
<w:p>
<w:pPr><w:pStyle w:val="Normal"/></w:pPr>
<w:r><w:t xml:space="preserve">the schools, charitable donations for artists, &amp;c. For twelve</w:t></w:r>
</w:p>
<w:p>
<w:pPr><w:pStyle w:val="Normal"/></w:pPr>
<w:r><w:t xml:space="preserve">years he was called upon to do so, and contributed in all</w:t></w:r>
</w:p>
<w:p>
<w:pPr><w:pStyle w:val="Normal"/></w:pPr>
<w:r><w:t xml:space="preserve">something over L. 5000, but in 1781 there was a surplus, and no</w:t></w:r>
</w:p>
<w:p>
<w:pPr><w:pStyle w:val="Normal"/></w:pPr>
<w:r><w:t xml:space="preserve">further call has ever been made on the royal purse.  George</w:t></w:r>
</w:p>
<w:p>
<w:pPr><w:pStyle w:val="Heading1"/></w:pPr>
<w:r><w:t>III. also gave the Academy rooms in what was then his own</w:t></w:r>
</w:p>
<w:p>
<w:pPr><w:pStyle w:val="Normal"/></w:pPr>
<w:r><w:t xml:space="preserve">palace of Somerset House, and the schools and offices were</w:t></w:r>
</w:p>
<w:p>
<w:pPr><w:pStyle w:val="Normal"/></w:pPr>
<w:r><w:t xml:space="preserve">removed there in 1771, but the exhibition continued to be held</w:t></w:r>
</w:p>
<w:p>
<w:pPr><w:pStyle w:val="Normal"/></w:pPr>
<w:r><w:t xml:space="preserve">in Pall Mall, till the completion in 1780 of the new Somerset</w:t></w:r>
</w:p>
<w:p>
<w:pPr><w:pStyle w:val="Normal"/></w:pPr>
<w:r><w:t xml:space="preserve">House.  Then the Academy took possession of the apartments</w:t></w:r>
</w:p>
<w:p>
<w:pPr><w:pStyle w:val="Normal"/></w:pPr>
<w:r><w:t xml:space="preserve">in it which the king, on giving up the palace for government</w:t></w:r>
</w:p>
<w:p>
<w:pPr><w:pStyle w:val="Normal"/></w:pPr>
<w:r><w:t xml:space="preserve">offices, had expressly stipulated should be provided.  Here</w:t></w:r>
</w:p>
<w:p>
<w:pPr><w:pStyle w:val="Normal"/></w:pPr>
<w:r><w:t xml:space="preserve">it remained till 1837, when the government, requiring the use</w:t></w:r>
</w:p>
<w:p>
<w:pPr><w:pStyle w:val="Normal"/></w:pPr>
<w:r><w:t xml:space="preserve">of these rooms, offered in exchange a portion of the National</w:t></w:r>
</w:p>
<w:p>
<w:pPr><w:pStyle w:val="Normal"/></w:pPr>
<w:r><w:t xml:space="preserve">Gallery, then just erected in Trafalgar Square.  The offer,</w:t></w:r>
</w:p>
<w:p>
<w:pPr><w:pStyle w:val="Normal"/></w:pPr>
<w:r><w:t xml:space="preserve">which contained no conditions, was accepted.  But it was</w:t></w:r>
</w:p>
<w:p>
<w:pPr><w:pStyle w:val="Normal"/></w:pPr>
<w:r><w:t xml:space="preserve">not long before the necessity for a further removal became</w:t></w:r>
</w:p>
<w:p>
<w:pPr><w:pStyle w:val="Normal"/></w:pPr>
<w:r><w:t xml:space="preserve">imminent.  Already in 1850 notice was given by the government</w:t></w:r>
</w:p>
<w:p>
<w:pPr><w:pStyle w:val="Normal"/></w:pPr>
<w:r><w:t xml:space="preserve">that the rooms occupied by the Academy would be required for</w:t></w:r>
</w:p>
<w:p>
<w:pPr><w:pStyle w:val="Normal"/></w:pPr>
<w:r><w:t xml:space="preserve">the purposes of the National Gallery, and that they proposed</w:t></w:r>
</w:p>
<w:p>
<w:pPr><w:pStyle w:val="Normal"/></w:pPr>
<w:r><w:t xml:space="preserve">to give the academy L. 40,000 to provide themselves with a</w:t></w:r>
</w:p>
<w:p>
<w:pPr><w:pStyle w:val="Normal"/></w:pPr>
<w:r><w:t xml:space="preserve">building elsewhere.  The matter slumbered, however, till 1858,</w:t></w:r>
</w:p>
<w:p>
<w:pPr><w:pStyle w:val="Normal"/></w:pPr>
<w:r><w:t xml:space="preserve">when the question was raised in the house of Commons as to</w:t></w:r>
</w:p>
<w:p>
<w:pPr><w:pStyle w:val="Normal"/></w:pPr>
<w:r><w:t xml:space="preserve">whether it would not be justifiable to turn the Academy out</w:t></w:r>
</w:p>
<w:p>
<w:pPr><w:pStyle w:val="Normal"/></w:pPr>
<w:r><w:t xml:space="preserve">of the National Gallery without making any provision for it</w:t></w:r>
</w:p>
<w:p>
<w:pPr><w:pStyle w:val="Normal"/></w:pPr>
<w:r><w:t xml:space="preserve">elsewhere.  Much discussion followed, and a royal commission</w:t></w:r>
</w:p>
<w:p>
<w:pPr><w:pStyle w:val="Normal"/></w:pPr>
<w:r><w:t xml:space="preserve">was appointed in 1863 ``to inquire into the present position</w:t></w:r>
</w:p>
<w:p>
<w:pPr><w:pStyle w:val="Normal"/></w:pPr>
<w:r><w:t xml:space="preserve">of the Royal Academy in relation to the fine arts, and into</w:t></w:r>
</w:p>
<w:p>
<w:pPr><w:pStyle w:val="Normal"/></w:pPr>
<w:r><w:t xml:space="preserve">the circumstances and conditions under which it occupies</w:t></w:r>
</w:p>
<w:p>
<w:pPr><w:pStyle w:val="Normal"/></w:pPr>
<w:r><w:t xml:space="preserve">a portion of the National Gallery, &amp;c.&apos;&apos; In their report,</w:t></w:r>
</w:p>
<w:p>
<w:pPr><w:pStyle w:val="Normal"/></w:pPr>
<w:r><w:t xml:space="preserve">which contained a large number of proposals and suggestions,</w:t></w:r>
</w:p>
<w:p>
<w:pPr><w:pStyle w:val="Normal"/></w:pPr>
<w:r><w:t xml:space="preserve">some of them since carried out, the commissioners stated</w:t></w:r>
</w:p>
<w:p>
<w:pPr><w:pStyle w:val="Normal"/></w:pPr>
<w:r><w:t xml:space="preserve">that they had ``come to the clear conclusion that the Royal</w:t></w:r>
</w:p>
<w:p>
<w:pPr><w:pStyle w:val="Normal"/></w:pPr>
<w:r><w:t xml:space="preserve">Academy have no legal, but that they have a moral claim to</w:t></w:r>
</w:p>
<w:p>
<w:pPr><w:pStyle w:val="Normal"/></w:pPr>
<w:r><w:t xml:space="preserve">apartments at the public expense.&apos;&apos; Negotiations had been</w:t></w:r>
</w:p>
<w:p>
<w:pPr><w:pStyle w:val="Normal"/></w:pPr>
<w:r><w:t xml:space="preserve">already going on between the government and the Academy for</w:t></w:r>
</w:p>
<w:p>
<w:pPr><w:pStyle w:val="Normal"/></w:pPr>
<w:r><w:t xml:space="preserve">the appropriation to the latter of a portion of the site</w:t></w:r>
</w:p>
<w:p>
<w:pPr><w:pStyle w:val="Normal"/></w:pPr>
<w:r><w:t xml:space="preserve">occupied by the recently purchased Burlington House, on which</w:t></w:r>
</w:p>
<w:p>
<w:pPr><w:pStyle w:val="Normal"/></w:pPr>
<w:r><w:t xml:space="preserve">the Academy offered to erect suitable buildings at its own</w:t></w:r>
</w:p>
<w:p>
<w:pPr><w:pStyle w:val="Normal"/></w:pPr>
<w:r><w:t xml:space="preserve">expense.  The negotiations were renewed in 1866, and in</w:t></w:r>
</w:p>
<w:p>
<w:pPr><w:pStyle w:val="Normal"/></w:pPr>
<w:r><w:t xml:space="preserve">March in the following year a lease of old Burlington</w:t></w:r>
</w:p>
<w:p>
<w:pPr><w:pStyle w:val="Normal"/></w:pPr>
<w:r><w:t xml:space="preserve">House, and a portion of the garden behind it, was granted</w:t></w:r>
</w:p>
<w:p>
<w:pPr><w:pStyle w:val="Normal"/></w:pPr>
<w:r><w:t xml:space="preserve">to the Academy for 999 years at a peppercorn rent, subject</w:t></w:r>
</w:p>
<w:p>
<w:pPr><w:pStyle w:val="Normal"/></w:pPr>
<w:r><w:t xml:space="preserve">to the condition that ``the premises shall be at all times</w:t></w:r>
</w:p>
<w:p>
<w:pPr><w:pStyle w:val="Normal"/></w:pPr>
<w:r><w:t xml:space="preserve">exclusively devoted to the purpose of the cultivation of</w:t></w:r>
</w:p>
<w:p>
<w:pPr><w:pStyle w:val="Normal"/></w:pPr>
<w:r><w:t xml:space="preserve">the fine arts.&apos;&apos; The Academy immediately proceeded to</w:t></w:r>
</w:p>
<w:p>
<w:pPr><w:pStyle w:val="Normal"/></w:pPr>
<w:r><w:t xml:space="preserve">erect, on the garden portion of the site thus acquired,</w:t></w:r>
</w:p>
<w:p>
<w:pPr><w:pStyle w:val="Normal"/></w:pPr>
<w:r><w:t xml:space="preserve">exhibition galleries and schools, which were opened in</w:t></w:r>
</w:p>
<w:p>
<w:pPr><w:pStyle w:val="Normal"/></w:pPr>
<w:r><w:t xml:space="preserve">1869, further additions being made in 1884.  An upper storey</w:t></w:r>
</w:p>
<w:p>
<w:pPr><w:pStyle w:val="Normal"/></w:pPr>
<w:r><w:t xml:space="preserve">was also added to old Burlington House, in which to place</w:t></w:r>
</w:p>
<w:p>
<w:pPr><w:pStyle w:val="Normal"/></w:pPr>
<w:r><w:t xml:space="preserve">the diploma works, the Gibson statuary and other works of</w:t></w:r>
</w:p>
<w:p>
<w:pPr><w:pStyle w:val="Normal"/></w:pPr>
<w:r><w:t xml:space="preserve">art.  Altogether the Academy, out of its accumulated savings,</w:t></w:r>
</w:p>
<w:p>
<w:pPr><w:pStyle w:val="Normal"/></w:pPr>
<w:r><w:t xml:space="preserve">has spent on these buildings more than L. 160,000.  They are</w:t></w:r>
</w:p>
<w:p>
<w:pPr><w:pStyle w:val="Normal"/></w:pPr>
<w:r><w:t xml:space="preserve">its own property, and are maintained entirely at its expense.</w:t></w:r>
</w:p>
<w:p>
<w:pPr><w:pStyle w:val="Normal"/></w:pPr>
<w:r><w:t xml:space="preserve">The government of the Academy was by the ``Instrument&apos;&apos; vested</w:t></w:r>
</w:p>
<w:p>
<w:pPr><w:pStyle w:val="Normal"/></w:pPr>
<w:r><w:t xml:space="preserve">in ``a president and eight other persons, who shall form</w:t></w:r>
</w:p>
<w:p>
<w:pPr><w:pStyle w:val="Normal"/></w:pPr>
<w:r><w:t xml:space="preserve">a council.&apos;&apos; Four of these were to retire every year, and</w:t></w:r>
</w:p>
<w:p>
<w:pPr><w:pStyle w:val="Normal"/></w:pPr>
<w:r><w:t xml:space="preserve">the seats were to go by rotation to every academician.  The</w:t></w:r>
</w:p>
<w:p>
<w:pPr><w:pStyle w:val="Normal"/></w:pPr>
<w:r><w:t xml:space="preserve">number was increased in 1870 to twelve, and reduced to ten</w:t></w:r>
</w:p>
<w:p>
<w:pPr><w:pStyle w:val="Normal"/></w:pPr>
<w:r><w:t xml:space="preserve">in 1875. The rules as to retirement and rotation are still in</w:t></w:r>
</w:p>
<w:p>
<w:pPr><w:pStyle w:val="Normal"/></w:pPr>
<w:r><w:t xml:space="preserve">force.  Newly elected academicians begin their two years&apos;</w:t></w:r>
</w:p>
<w:p>
<w:pPr><w:pStyle w:val="Normal"/></w:pPr>
<w:r><w:t xml:space="preserve">service as soon as they have received their diploma.  The</w:t></w:r>
</w:p>
<w:p>
<w:pPr><w:pStyle w:val="Normal"/></w:pPr>
<w:r><w:t xml:space="preserve">council has, to quote the ``Instrument&apos;&apos;, ``the entire</w:t></w:r>
</w:p>
<w:p>
<w:pPr><w:pStyle w:val="Normal"/></w:pPr>
<w:r><w:t xml:space="preserve">direction and management of the business&apos;&apos; of the Academy</w:t></w:r>
</w:p>
<w:p>
<w:pPr><w:pStyle w:val="Normal"/></w:pPr>
<w:r><w:t xml:space="preserve">in all its branches; and also the framing of new laws and</w:t></w:r>
</w:p>
<w:p>
<w:pPr><w:pStyle w:val="Normal"/></w:pPr>
<w:r><w:t xml:space="preserve">regulations, but the latter, before coming into force, must</w:t></w:r>
</w:p>
<w:p>
<w:pPr><w:pStyle w:val="Normal"/></w:pPr>
<w:r><w:t xml:space="preserve">be sanctioned by the general assembly and approved by the</w:t></w:r>
</w:p>
<w:p>
<w:pPr><w:pStyle w:val="Normal"/></w:pPr>
<w:r><w:t xml:space="preserve">sovereign.  The general assembly consists of the whole body of</w:t></w:r>
</w:p>
<w:p>
<w:pPr><w:pStyle w:val="Normal"/></w:pPr>
<w:r><w:t xml:space="preserve">academicians, and meets on certain fixed dates and at such</w:t></w:r>
</w:p>
<w:p>
<w:pPr><w:pStyle w:val="Normal"/></w:pPr>
<w:r><w:t xml:space="preserve">other times as the business may require; also at the request</w:t></w:r>
</w:p>
<w:p>
<w:pPr><w:pStyle w:val="Normal"/></w:pPr>
<w:r><w:t xml:space="preserve">to the president of any five members.  The principal executive</w:t></w:r>
</w:p>
<w:p>
<w:pPr><w:pStyle w:val="Normal"/></w:pPr>
<w:r><w:t xml:space="preserve">officers of the Academy are the president, the keeper, the</w:t></w:r>
</w:p>
<w:p>
<w:pPr><w:pStyle w:val="Normal"/></w:pPr>
<w:r><w:t xml:space="preserve">treasurer, the librarian and the secretary, all now elected</w:t></w:r>
</w:p>
<w:p>
<w:pPr><w:pStyle w:val="Normal"/></w:pPr>
<w:r><w:t xml:space="preserve">by the general assembly, subject to the approval of the</w:t></w:r>
</w:p>
<w:p>
<w:pPr><w:pStyle w:val="Normal"/></w:pPr>
<w:r><w:t xml:space="preserve">sovereign.  The president is elected annually on the foundation</w:t></w:r>
</w:p>
<w:p>
<w:pPr><w:pStyle w:val="Normal"/></w:pPr>
<w:r><w:t xml:space="preserve">day, 10th December, but the appointment is virtually for</w:t></w:r>
</w:p>
<w:p>
<w:pPr><w:pStyle w:val="Normal"/></w:pPr>
<w:r><w:t xml:space="preserve">life.  No change has ever been made in the conditions attached</w:t></w:r>
</w:p>
<w:p>
<w:pPr><w:pStyle w:val="Normal"/></w:pPr>
<w:r><w:t xml:space="preserve">to this office, with the exception of its being now a salaried</w:t></w:r>
</w:p>
<w:p>
<w:pPr><w:pStyle w:val="Normal"/></w:pPr>
<w:r><w:t xml:space="preserve">instead of an unsalaried post.  The treasurership and</w:t></w:r>
</w:p>
<w:p>
<w:pPr><w:pStyle w:val="Normal"/></w:pPr>
<w:r><w:t xml:space="preserve">librarianship, both offices originally held not by election but</w:t></w:r>
</w:p>
<w:p>
<w:pPr><w:pStyle w:val="Normal"/></w:pPr>
<w:r><w:t xml:space="preserve">by direct appointment from the sovereign, are now elective,</w:t></w:r>
</w:p>
<w:p>
<w:pPr><w:pStyle w:val="Normal"/></w:pPr>
<w:r><w:t xml:space="preserve">the holders being subject to re-election every five years,</w:t></w:r>
</w:p>
<w:p>
<w:pPr><w:pStyle w:val="Normal"/></w:pPr>
<w:r><w:t xml:space="preserve">and the keepership is also held upon the same terms; while</w:t></w:r>
</w:p>
<w:p>
<w:pPr><w:pStyle w:val="Normal"/></w:pPr>
<w:r><w:t xml:space="preserve">the secretaryship, which up to 1873 had always been filled</w:t></w:r>
</w:p>
<w:p>
<w:pPr><w:pStyle w:val="Normal"/></w:pPr>
<w:r><w:t xml:space="preserve">like the other offices by an academician, has since then</w:t></w:r>
</w:p>
<w:p>
<w:pPr><w:pStyle w:val="Normal"/></w:pPr>
<w:r><w:t xml:space="preserve">been held by a layman. Other officers elected by the general</w:t></w:r>
</w:p>
<w:p>
<w:pPr><w:pStyle w:val="Normal"/></w:pPr>
<w:r><w:t xml:space="preserve">assembly are the auditors (three academicians, one of whom</w:t></w:r>
</w:p>
<w:p>
<w:pPr><w:pStyle w:val="Normal"/></w:pPr>
<w:r><w:t xml:space="preserve">retires every year), the visitors in the schools (academicians</w:t></w:r>
</w:p>
<w:p>
<w:pPr><w:pStyle w:val="Normal"/></w:pPr>
<w:r><w:t xml:space="preserve">and associates), and the professors of painting, sculpture</w:t></w:r>
</w:p>
<w:p>
<w:pPr><w:pStyle w:val="Normal"/></w:pPr>
<w:r><w:t xml:space="preserve">and architecture---who must be members---and of anatomy and</w:t></w:r>
</w:p>
<w:p>
<w:pPr><w:pStyle w:val="Normal"/></w:pPr>
<w:r><w:t xml:space="preserve">chemistry.  There are also a registrar, and curators and</w:t></w:r>
</w:p>
<w:p>
<w:pPr><w:pStyle w:val="Normal"/></w:pPr>
<w:r><w:t xml:space="preserve">teachers in the schools, who are appointed by the council.</w:t></w:r>
</w:p>
<w:p>
<w:pPr><w:pStyle w:val="Normal"/></w:pPr>
<w:r><w:t xml:space="preserve">The thirty-six original academicians were named by George III.</w:t></w:r>
</w:p>
<w:p>
<w:pPr><w:pStyle w:val="Normal"/></w:pPr>
<w:r><w:t xml:space="preserve">Their successors have been elected, up to 1867, by academicians</w:t></w:r>
</w:p>
<w:p>
<w:pPr><w:pStyle w:val="Normal"/></w:pPr>
<w:r><w:t xml:space="preserve">only---since that date by academicians and associates together.</w:t></w:r>
</w:p>
<w:p>
<w:pPr><w:pStyle w:val="Normal"/></w:pPr>
<w:r><w:t xml:space="preserve">The original number was fixed in the ``Instrument&apos;&apos; at forty,</w:t></w:r>
</w:p>
<w:p>
<w:pPr><w:pStyle w:val="Normal"/></w:pPr>
<w:r><w:t xml:space="preserve">and has so remained.  Each academician on his election has to</w:t></w:r>
</w:p>
<w:p>
<w:pPr><w:pStyle w:val="Normal"/></w:pPr>
<w:r><w:t xml:space="preserve">present an approved specimen of his work---called his diploma</w:t></w:r>
</w:p>
<w:p>
<w:pPr><w:pStyle w:val="Normal"/></w:pPr>
<w:r><w:t xml:space="preserve">work---before his diploma is submitted to the sovereign for</w:t></w:r>
</w:p>
<w:p>
<w:pPr><w:pStyle w:val="Normal"/></w:pPr>
<w:r><w:t xml:space="preserve">signature.  On receiving his diploma he signs the Roll of</w:t></w:r>
</w:p>
<w:p>
<w:pPr><w:pStyle w:val="Normal"/></w:pPr>
<w:r><w:t xml:space="preserve">Institution as an academician, and takes his seat in the general</w:t></w:r>
</w:p>
<w:p>
<w:pPr><w:pStyle w:val="Normal"/></w:pPr>
<w:r><w:t xml:space="preserve">assembly.  The class of associates, out of whom alone the</w:t></w:r>
</w:p>
<w:p>
<w:pPr><w:pStyle w:val="Normal"/></w:pPr>
<w:r><w:t xml:space="preserve">academicians can be elected, was founded in 1769---they were</w:t></w:r>
</w:p>
<w:p>
<w:pPr><w:pStyle w:val="Normal"/></w:pPr>
<w:r><w:t xml:space="preserve">``to be elected from amongst the exhibitors, and be entitled</w:t></w:r>
</w:p>
<w:p>
<w:pPr><w:pStyle w:val="Normal"/></w:pPr>
<w:r><w:t xml:space="preserve">to every advantage enjoyed by the royal academicians,</w:t></w:r>
</w:p>
<w:p>
<w:pPr><w:pStyle w:val="Normal"/></w:pPr>
<w:r><w:t xml:space="preserve">excepting that of having a voice in the deliberations or any</w:t></w:r>
</w:p>
<w:p>
<w:pPr><w:pStyle w:val="Normal"/></w:pPr>
<w:r><w:t xml:space="preserve">share in the government of the Academy.&apos;&apos; Those exhibitors</w:t></w:r>
</w:p>
<w:p>
<w:pPr><w:pStyle w:val="Normal"/></w:pPr>
<w:r><w:t xml:space="preserve">who wished to become candidates had to give in their names</w:t></w:r>
</w:p>
<w:p>
<w:pPr><w:pStyle w:val="Normal"/></w:pPr>
<w:r><w:t xml:space="preserve">at the close of the exhibition.  This condition no longer</w:t></w:r>
</w:p>
<w:p>
<w:pPr><w:pStyle w:val="Normal"/></w:pPr>
<w:r><w:t xml:space="preserve">exists, candidates having since 1867 merely to be proposed and</w:t></w:r>
</w:p>
<w:p>
<w:pPr><w:pStyle w:val="Normal"/></w:pPr>
<w:r><w:t xml:space="preserve">seconded by members of the Academy.  On election, they attend</w:t></w:r>
</w:p>
<w:p>
<w:pPr><w:pStyle w:val="Normal"/></w:pPr>
<w:r><w:t xml:space="preserve">at a council meeting to sign the Roll of Institution as an</w:t></w:r>
</w:p>
<w:p>
<w:pPr><w:pStyle w:val="Normal"/></w:pPr>
<w:r><w:t xml:space="preserve">associate, and receive a diploma signed by the president and</w:t></w:r>
</w:p>
<w:p>
<w:pPr><w:pStyle w:val="Normal"/></w:pPr>
<w:r><w:t xml:space="preserve">secretary.  In 1867 also associates were admitted to vote</w:t></w:r>
</w:p>
<w:p>
<w:pPr><w:pStyle w:val="Normal"/></w:pPr>
<w:r><w:t xml:space="preserve">at all elections of members; in 1868 they were made eligible</w:t></w:r>
</w:p>
<w:p>
<w:pPr><w:pStyle w:val="Normal"/></w:pPr>
<w:r><w:t xml:space="preserve">to serve as visitors in the schools, and in 1886 to become</w:t></w:r>
</w:p>
<w:p>
<w:pPr><w:pStyle w:val="Normal"/></w:pPr>
<w:r><w:t xml:space="preserve">candidates for the professorships of painting, sculpture and</w:t></w:r>
</w:p>
<w:p>
<w:pPr><w:pStyle w:val="Normal"/></w:pPr>
<w:r><w:t xml:space="preserve">architecture.  At first the number of associates was limited</w:t></w:r>
</w:p>
<w:p>
<w:pPr><w:pStyle w:val="Normal"/></w:pPr>
<w:r><w:t xml:space="preserve">to twenty; in 1866 the number was made indefinite with a</w:t></w:r>
</w:p>
<w:p>
<w:pPr><w:pStyle w:val="Normal"/></w:pPr>
<w:r><w:t xml:space="preserve">minimum of twenty, and in 1876 the minimum was raised to</w:t></w:r>
</w:p>
<w:p>
<w:pPr><w:pStyle w:val="Normal"/></w:pPr>
<w:r><w:t xml:space="preserve">thirty.  Vacancies in the lists of academicians and associates</w:t></w:r>
</w:p>
<w:p>
<w:pPr><w:pStyle w:val="Normal"/></w:pPr>
<w:r><w:t xml:space="preserve">caused by death or resignation can be filled up at any time</w:t></w:r>
</w:p>
<w:p>
<w:pPr><w:pStyle w:val="Normal"/></w:pPr>
<w:r><w:t xml:space="preserve">within five weeks of the event, except in the months of</w:t></w:r>
</w:p>
<w:p>
<w:pPr><w:pStyle w:val="Normal"/></w:pPr>
<w:r><w:t xml:space="preserve">August, September and October, but a vacancy in the associate</w:t></w:r>
</w:p>
<w:p>
<w:pPr><w:pStyle w:val="Normal"/></w:pPr>
<w:r><w:t xml:space="preserve">list caused by election only dates from the day on which</w:t></w:r>
</w:p>
<w:p>
<w:pPr><w:pStyle w:val="Normal"/></w:pPr>
<w:r><w:t xml:space="preserve">the new academician receives his diploma.  The mode of</w:t></w:r>
</w:p>
<w:p>
<w:pPr><w:pStyle w:val="Normal"/></w:pPr>
<w:r><w:t xml:space="preserve">election is the same in both cases, first by marked lists</w:t></w:r>
</w:p>
<w:p>
<w:pPr><w:pStyle w:val="Normal"/></w:pPr>
<w:r><w:t xml:space="preserve">and afterwards by ballot.  All who at the first marking have</w:t></w:r>
</w:p>
<w:p>
<w:pPr><w:pStyle w:val="Normal"/></w:pPr>
<w:r><w:t xml:space="preserve">four or more votes are marked for again, and the two highest</w:t></w:r>
</w:p>
<w:p>
<w:pPr><w:pStyle w:val="Normal"/></w:pPr>
<w:r><w:t xml:space="preserve">then go to the ballot.  Engravers have always constituted</w:t></w:r>
</w:p>
<w:p>
<w:pPr><w:pStyle w:val="Normal"/></w:pPr>
<w:r><w:t xml:space="preserve">a separate class, and up to 1855 they were admitted to the</w:t></w:r>
</w:p>
<w:p>
<w:pPr><w:pStyle w:val="Normal"/></w:pPr>
<w:r><w:t xml:space="preserve">associateship only, the number, six, being in addition to</w:t></w:r>
</w:p>
<w:p>
<w:pPr><w:pStyle w:val="Normal"/></w:pPr>
<w:r><w:t xml:space="preserve">the other associates; now the maximum is four, of whom not</w:t></w:r>
</w:p>
<w:p>
<w:pPr><w:pStyle w:val="Normal"/></w:pPr>
<w:r><w:t xml:space="preserve">more than two may be academicians.  A class of honorary</w:t></w:r>
</w:p>
<w:p>
<w:pPr><w:pStyle w:val="Normal"/></w:pPr>
<w:r><w:t xml:space="preserve">retired academicians was established in 1862, and of honorary</w:t></w:r>
</w:p>
<w:p>
<w:pPr><w:pStyle w:val="Normal"/></w:pPr>
<w:r><w:t xml:space="preserve">retired associates in 1884. The first honorary foreign</w:t></w:r>
</w:p>
<w:p>
<w:pPr><w:pStyle w:val="Normal"/></w:pPr>
<w:r><w:t xml:space="preserve">academicians were elected in 1869. The honorary members</w:t></w:r>
</w:p>
<w:p>
<w:pPr><w:pStyle w:val="Normal"/></w:pPr>
<w:r><w:t xml:space="preserve">consist of a chaplain, an antiquary, a secretary for foreign</w:t></w:r>
</w:p>
<w:p>
<w:pPr><w:pStyle w:val="Normal"/></w:pPr>
<w:r><w:t xml:space="preserve">correspondence, and professors of ancient history and ancient</w:t></w:r>
</w:p>
<w:p>
<w:pPr><w:pStyle w:val="Normal"/></w:pPr>
<w:r><w:t xml:space="preserve">literature.  These posts, which date from the foundation of</w:t></w:r>
</w:p>
<w:p>
<w:pPr><w:pStyle w:val="Normal"/></w:pPr>
<w:r><w:t xml:space="preserve">the Academy, have always been held by distinguished men.</w:t></w:r>
</w:p>
<w:p>
<w:pPr><w:pStyle w:val="Normal"/></w:pPr>
<w:r><w:t xml:space="preserve">Academy Schools.--One of the most important functions of the</w:t></w:r>
</w:p>
<w:p>
<w:pPr><w:pStyle w:val="Normal"/></w:pPr>
<w:r><w:t xml:space="preserve">Royal Academy, and one which for nearly a century it discharged</w:t></w:r>
</w:p>
<w:p>
<w:pPr><w:pStyle w:val="Normal"/></w:pPr>
<w:r><w:t xml:space="preserve">alone, was the instruction of students in art.  The first</w:t></w:r>
</w:p>
<w:p>
<w:pPr><w:pStyle w:val="Normal"/></w:pPr>
<w:r><w:t xml:space="preserve">act, as has been shown, of the newly founded Academy was to</w:t></w:r>
</w:p>
<w:p>
<w:pPr><w:pStyle w:val="Normal"/></w:pPr>
<w:r><w:t xml:space="preserve">establish schools ---``an Antique Academy,&apos;&apos; and a ``School</w:t></w:r>
</w:p>
<w:p>
<w:pPr><w:pStyle w:val="Normal"/></w:pPr>
<w:r><w:t xml:space="preserve">for the Living Model&apos;&apos; for painters, sculptors and architects.</w:t></w:r>
</w:p>
<w:p>
<w:pPr><w:pStyle w:val="Normal"/></w:pPr>
<w:r><w:t xml:space="preserve">In the first year, 1769, no fewer than seventy-seven students</w:t></w:r>
</w:p>
<w:p>
<w:pPr><w:pStyle w:val="Normal"/></w:pPr>
<w:r><w:t xml:space="preserve">entered.  A school of painting was added in 1815, and special</w:t></w:r>
</w:p>
<w:p>
<w:pPr><w:pStyle w:val="Normal"/></w:pPr>
<w:r><w:t xml:space="preserve">schools of sculpture and architecture in 1871.  It would</w:t></w:r>
</w:p>
<w:p>
<w:pPr><w:pStyle w:val="Normal"/></w:pPr>
<w:r><w:t xml:space="preserve">occupy too much space to follow the various changes that</w:t></w:r>
</w:p>
<w:p>
<w:pPr><w:pStyle w:val="Normal"/></w:pPr>
<w:r><w:t xml:space="preserve">have been made in the schools since their establishment.  In</w:t></w:r>
</w:p>
<w:p>
<w:pPr><w:pStyle w:val="Normal"/></w:pPr>
<w:r><w:t xml:space="preserve">one important respect, however, they remain the same, viz.</w:t></w:r>
</w:p>
<w:p>
<w:pPr><w:pStyle w:val="Normal"/></w:pPr>
<w:r><w:t xml:space="preserve">in the instruction being gratuitous--no fees have ever been</w:t></w:r>
</w:p>
<w:p>
<w:pPr><w:pStyle w:val="Normal"/></w:pPr>
<w:r><w:t xml:space="preserve">charged.  Up to the removal of the Academy to its present</w:t></w:r>
</w:p>
<w:p>
<w:pPr><w:pStyle w:val="Normal"/></w:pPr>
<w:r><w:t xml:space="preserve">quarters the schools could not be kept permanently open, as</w:t></w:r>
</w:p>
<w:p>
<w:pPr><w:pStyle w:val="Normal"/></w:pPr>
<w:r><w:t xml:space="preserve">the rooms occupied by them were wanted for the exhibition.</w:t></w:r>
</w:p>
<w:p>
<w:pPr><w:pStyle w:val="Normal"/></w:pPr>
<w:r><w:t xml:space="preserve">They are now open all the year round with the exception</w:t></w:r>
</w:p>
<w:p>
<w:pPr><w:pStyle w:val="Normal"/></w:pPr>
<w:r><w:t xml:space="preserve">of a fortnight at Christmas, and the months of August and</w:t></w:r>
</w:p>
<w:p>
<w:pPr><w:pStyle w:val="Normal"/></w:pPr>
<w:r><w:t xml:space="preserve">September.  They consist of an antique school, upper and</w:t></w:r>
</w:p>
<w:p>
<w:pPr><w:pStyle w:val="Normal"/></w:pPr>
<w:r><w:t xml:space="preserve">lower schools of painting, a school of drawing from the life,</w:t></w:r>
</w:p>
<w:p>
<w:pPr><w:pStyle w:val="Normal"/></w:pPr>
<w:r><w:t xml:space="preserve">a school of modelling from the life and an architectural</w:t></w:r>
</w:p>
<w:p>
<w:pPr><w:pStyle w:val="Normal"/></w:pPr>
<w:r><w:t xml:space="preserve">school. Admission is gained by submitting certain specimens</w:t></w:r>
</w:p>
<w:p>
<w:pPr><w:pStyle w:val="Normal"/></w:pPr>
<w:r><w:t xml:space="preserve">of drawing or modelling, and the successful candidates, called</w:t></w:r>
</w:p>
<w:p>
<w:pPr><w:pStyle w:val="Normal"/></w:pPr>
<w:r><w:t xml:space="preserve">probationers, have then to undergo a further test in the</w:t></w:r>
</w:p>
<w:p>
<w:pPr><w:pStyle w:val="Normal"/></w:pPr>
<w:r><w:t xml:space="preserve">schools, on passing which they are admitted as students</w:t></w:r>
</w:p>
<w:p>
<w:pPr><w:pStyle w:val="Normal"/></w:pPr>
<w:r><w:t xml:space="preserve">for three years.  At the end of that time they are again</w:t></w:r>
</w:p>
<w:p>
<w:pPr><w:pStyle w:val="Normal"/></w:pPr>
<w:r><w:t xml:space="preserve">examined, and if qualified admitted for a further term of two</w:t></w:r>
</w:p>
<w:p>
<w:pPr><w:pStyle w:val="Normal"/></w:pPr>
<w:r><w:t xml:space="preserve">years.  These examinations are held twice a year, in January</w:t></w:r>
</w:p>
<w:p>
<w:pPr><w:pStyle w:val="Normal"/></w:pPr>
<w:r><w:t xml:space="preserve">and July.  Female students were first admitted in 1860.</w:t></w:r>
</w:p>
<w:p>
<w:pPr><w:pStyle w:val="Normal"/></w:pPr>
<w:r><w:t xml:space="preserve">There are many scholarships, money prizes and medals to be</w:t></w:r>
</w:p>
<w:p>
<w:pPr><w:pStyle w:val="Normal"/></w:pPr>
<w:r><w:t xml:space="preserve">gained by the various classes of students during the time of</w:t></w:r>
</w:p>
<w:p>
<w:pPr><w:pStyle w:val="Normal"/></w:pPr>
<w:r><w:t xml:space="preserve">studentship, including travelling studentships of the value</w:t></w:r>
</w:p>
<w:p>
<w:pPr><w:pStyle w:val="Normal"/></w:pPr>
<w:r><w:t xml:space="preserve">of L. 200 for one year, gold and silver medals, and prizes</w:t></w:r>
</w:p>
<w:p>
<w:pPr><w:pStyle w:val="Normal"/></w:pPr>
<w:r><w:t xml:space="preserve">varying from L. 50 to L. 10.  There are permanent curators and</w:t></w:r>
</w:p>
<w:p>
<w:pPr><w:pStyle w:val="Normal"/></w:pPr>
<w:r><w:t xml:space="preserve">teachers in all the schools, but the principal teaching is</w:t></w:r>
</w:p>
<w:p>
<w:pPr><w:pStyle w:val="Normal"/></w:pPr>
<w:r><w:t xml:space="preserve">done by the visitors, academicians and associates, elected</w:t></w:r>
</w:p>
<w:p>
<w:pPr><w:pStyle w:val="Normal"/></w:pPr>
<w:r><w:t xml:space="preserve">to serve in each school.  The average cost of maintaining</w:t></w:r>
</w:p>
<w:p>
<w:pPr><w:pStyle w:val="Normal"/></w:pPr>
<w:r><w:t xml:space="preserve">these schools, including salaries, fees, cost of models,</w:t></w:r>
</w:p>
<w:p>
<w:pPr><w:pStyle w:val="Normal"/></w:pPr>
<w:r><w:t xml:space="preserve">prizes, books, maintenance of building, &amp;c., is from L. 5000 to</w:t></w:r>
</w:p>
<w:p>
<w:pPr><w:pStyle w:val="Heading1"/></w:pPr>
<w:r><w:t>L. 6000 a year, apart from certain scholarships and prizes</w:t></w:r>
</w:p>
<w:p>
<w:pPr><w:pStyle w:val="Normal"/></w:pPr>
<w:r><w:t xml:space="preserve">derived from moneys given or bequeathed for this purpose,</w:t></w:r>
</w:p>
<w:p>
<w:pPr><w:pStyle w:val="Normal"/></w:pPr>
<w:r><w:t xml:space="preserve">such as the Landseer scholarships, the Creswick prize, the</w:t></w:r>
</w:p>
<w:p>
<w:pPr><w:pStyle w:val="Normal"/></w:pPr>
<w:r><w:t xml:space="preserve">Armitage prizes and the Turner scholarship and gold medal.</w:t></w:r>
</w:p>
<w:p>
<w:pPr><w:pStyle w:val="Normal"/></w:pPr>
<w:r><w:t xml:space="preserve">Charities. -- Another of the principal objects to which</w:t></w:r>
</w:p>
<w:p>
<w:pPr><w:pStyle w:val="Normal"/></w:pPr>
<w:r><w:t xml:space="preserve">the profits of the Royal Academy have been devoted has been</w:t></w:r>
</w:p>
<w:p>
<w:pPr><w:pStyle w:val="Normal"/></w:pPr>
<w:r><w:t xml:space="preserve">the relief of disiressed artists and their families.  From</w:t></w:r>
</w:p>
<w:p>
<w:pPr><w:pStyle w:val="Normal"/></w:pPr>
<w:r><w:t xml:space="preserve">the commencement of the institution a fund was set apart for</w:t></w:r>
</w:p>
<w:p>
<w:pPr><w:pStyle w:val="Normal"/></w:pPr>
<w:r><w:t xml:space="preserve">this purpose, and subsequently a further sum was allotted</w:t></w:r>
</w:p>
<w:p>
<w:pPr><w:pStyle w:val="Normal"/></w:pPr>
<w:r><w:t xml:space="preserve">to provide pensions for necessitous members of the Academy</w:t></w:r>
</w:p>
<w:p>
<w:pPr><w:pStyle w:val="Normal"/></w:pPr>
<w:r><w:t xml:space="preserve">and their widows.  Both these funds were afterwards merged</w:t></w:r>
</w:p>
<w:p>
<w:pPr><w:pStyle w:val="Normal"/></w:pPr>
<w:r><w:t xml:space="preserve">in the general fund, and various changes have from time to</w:t></w:r>
</w:p>
<w:p>
<w:pPr><w:pStyle w:val="Normal"/></w:pPr>
<w:r><w:t xml:space="preserve">time been made in the conditions under which pensions and</w:t></w:r>
</w:p>
<w:p>
<w:pPr><w:pStyle w:val="Normal"/></w:pPr>
<w:r><w:t xml:space="preserve">donations have been granted and in their amount.  At the</w:t></w:r>
</w:p>
<w:p>
<w:pPr><w:pStyle w:val="Normal"/></w:pPr>
<w:r><w:t xml:space="preserve">present time pensions not exceeding a certain fixed amount</w:t></w:r>
</w:p>
<w:p>
<w:pPr><w:pStyle w:val="Normal"/></w:pPr>
<w:r><w:t xml:space="preserve">may be given to academicians and associates, sixty years of</w:t></w:r>
</w:p>
<w:p>
<w:pPr><w:pStyle w:val="Normal"/></w:pPr>
<w:r><w:t xml:space="preserve">age, who have retired and whose circumstances show them to</w:t></w:r>
</w:p>
<w:p>
<w:pPr><w:pStyle w:val="Normal"/></w:pPr>
<w:r><w:t xml:space="preserve">be in need, provided the sum given does not make their total</w:t></w:r>
</w:p>
<w:p>
<w:pPr><w:pStyle w:val="Normal"/></w:pPr>
<w:r><w:t xml:space="preserve">annual income exceed a certain limit, and the same amounts</w:t></w:r>
</w:p>
<w:p>
<w:pPr><w:pStyle w:val="Normal"/></w:pPr>
<w:r><w:t xml:space="preserve">can be given to their widows subject to the same conditions.</w:t></w:r>
</w:p>
<w:p>
<w:pPr><w:pStyle w:val="Normal"/></w:pPr>
<w:r><w:t xml:space="preserve">No pensions are granted without very strict inquiry into</w:t></w:r>
</w:p>
<w:p>
<w:pPr><w:pStyle w:val="Normal"/></w:pPr>
<w:r><w:t xml:space="preserve">the circumstances of the applicant, who is obliged to make</w:t></w:r>
</w:p>
<w:p>
<w:pPr><w:pStyle w:val="Normal"/></w:pPr>
<w:r><w:t xml:space="preserve">a yearly declaration as to his or her income.  The average</w:t></w:r>
</w:p>
<w:p>
<w:pPr><w:pStyle w:val="Normal"/></w:pPr>
<w:r><w:t xml:space="preserve">annual amount of these pensions has been latterly about</w:t></w:r>
</w:p>
<w:p>
<w:pPr><w:pStyle w:val="Heading1"/></w:pPr>
<w:r><w:t>L. 2000.  Pensions are also given according to the civil</w:t></w:r>
</w:p>
<w:p>
<w:pPr><w:pStyle w:val="Normal"/></w:pPr>
<w:r><w:t xml:space="preserve">service scale to certain officers on retirement. lt may be</w:t></w:r>
</w:p>
<w:p>
<w:pPr><w:pStyle w:val="Normal"/></w:pPr>
<w:r><w:t xml:space="preserve">stated here that with the exception of these pensions and</w:t></w:r>
</w:p>
<w:p>
<w:pPr><w:pStyle w:val="Normal"/></w:pPr>
<w:r><w:t xml:space="preserve">of salaries and fees for official services, no member of the</w:t></w:r>
</w:p>
<w:p>
<w:pPr><w:pStyle w:val="Normal"/></w:pPr>
<w:r><w:t xml:space="preserve">Academy derives any pecuniary benefit from the funds of the</w:t></w:r>
</w:p>
<w:p>
<w:pPr><w:pStyle w:val="Normal"/></w:pPr>
<w:r><w:t xml:space="preserve">institution.  Donations to distressed artists who are or</w:t></w:r>
</w:p>
<w:p>
<w:pPr><w:pStyle w:val="Normal"/></w:pPr>
<w:r><w:t xml:space="preserve">have been exhibitors at the Royal Academy, their widows</w:t></w:r>
</w:p>
<w:p>
<w:pPr><w:pStyle w:val="Normal"/></w:pPr>
<w:r><w:t xml:space="preserve">and children under twenty-one years of age, are made twice</w:t></w:r>
</w:p>
<w:p>
<w:pPr><w:pStyle w:val="Normal"/></w:pPr>
<w:r><w:t xml:space="preserve">a year in February and August.  The maximum amount that</w:t></w:r>
</w:p>
<w:p>
<w:pPr><w:pStyle w:val="Normal"/></w:pPr>
<w:r><w:t xml:space="preserve">can be granted to any one applicant in one donation is</w:t></w:r>
</w:p>
<w:p>
<w:pPr><w:pStyle w:val="Heading1"/></w:pPr>
<w:r><w:t>L. 100, and no one can receive a grant more than once a</w:t></w:r>
</w:p>
<w:p>
<w:pPr><w:pStyle w:val="Normal"/></w:pPr>
<w:r><w:t xml:space="preserve">year.  The average yearly amount thus expended is from</w:t></w:r>
</w:p>
<w:p>
<w:pPr><w:pStyle w:val="Heading1"/></w:pPr>
<w:r><w:t>L. 1200 to L. 1500.  In addition to these charities from its</w:t></w:r>
</w:p>
<w:p>
<w:pPr><w:pStyle w:val="Normal"/></w:pPr>
<w:r><w:t xml:space="preserve">general funds, the Academy administers for the benefit of</w:t></w:r>
</w:p>
<w:p>
<w:pPr><w:pStyle w:val="Normal"/></w:pPr>
<w:r><w:t xml:space="preserve">artists, not members of the Academy, certain other funds</w:t></w:r>
</w:p>
<w:p>
<w:pPr><w:pStyle w:val="Normal"/></w:pPr>
<w:r><w:t xml:space="preserve">which have been bequeathed to it for charitable purposes,</w:t></w:r>
</w:p>
<w:p>
<w:pPr><w:pStyle w:val="Normal"/></w:pPr>
<w:r><w:t xml:space="preserve">viz. the Turner fund, the Cousins fund, the Cooke fund,</w:t></w:r>
</w:p>
<w:p>
<w:pPr><w:pStyle w:val="Normal"/></w:pPr>
<w:r><w:t xml:space="preserve">the Newton bequest and the Edwards fund (see below).</w:t></w:r>
</w:p>
<w:p>
<w:pPr><w:pStyle w:val="Normal"/></w:pPr>
<w:r><w:t xml:space="preserve">Exhibitions. -- The source from which have been derived</w:t></w:r>
</w:p>
<w:p>
<w:pPr><w:pStyle w:val="Normal"/></w:pPr>
<w:r><w:t xml:space="preserve">the funds for carrying on the varied work of the Royal</w:t></w:r>
</w:p>
<w:p>
<w:pPr><w:pStyle w:val="Normal"/></w:pPr>
<w:r><w:t xml:space="preserve">Academy, its schools, its charities and general cost of</w:t></w:r>
</w:p>
<w:p>
<w:pPr><w:pStyle w:val="Normal"/></w:pPr>
<w:r><w:t xml:space="preserve">administration, and which has enabled it to spend large sums</w:t></w:r>
</w:p>
<w:p>
<w:pPr><w:pStyle w:val="Normal"/></w:pPr>
<w:r><w:t xml:space="preserve">on building, and provided it with the means of maintaining</w:t></w:r>
</w:p>
<w:p>
<w:pPr><w:pStyle w:val="Normal"/></w:pPr>
<w:r><w:t xml:space="preserve">the buildings, has been the annual exhibitions. With the</w:t></w:r>
</w:p>
<w:p>
<w:pPr><w:pStyle w:val="Normal"/></w:pPr>
<w:r><w:t xml:space="preserve">exception of the money left by John Gibson, R.A., some</w:t></w:r>
</w:p>
<w:p>
<w:pPr><w:pStyle w:val="Normal"/></w:pPr>
<w:r><w:t xml:space="preserve">of which was spent in building the gallery containing the</w:t></w:r>
</w:p>
<w:p>
<w:pPr><w:pStyle w:val="Normal"/></w:pPr>
<w:r><w:t xml:space="preserve">statues and bas-reliefs bequeathed by him, these exhibitions</w:t></w:r>
</w:p>
<w:p>
<w:pPr><w:pStyle w:val="Normal"/></w:pPr>
<w:r><w:t xml:space="preserve">have provided the sole source of revenue, all other moneys</w:t></w:r>
</w:p>
<w:p>
<w:pPr><w:pStyle w:val="Normal"/></w:pPr>
<w:r><w:t xml:space="preserve">that have come to the Academy having been either left in</w:t></w:r>
</w:p>
<w:p>
<w:pPr><w:pStyle w:val="Normal"/></w:pPr>
<w:r><w:t xml:space="preserve">trust, or been constituted trusts, for certain specific</w:t></w:r>
</w:p>
<w:p>
<w:pPr><w:pStyle w:val="Normal"/></w:pPr>
<w:r><w:t xml:space="preserve">purposes.  The first exhibition in 1769 contained 136 works,</w:t></w:r>
</w:p>
<w:p>
<w:pPr><w:pStyle w:val="Normal"/></w:pPr>
<w:r><w:t xml:space="preserve">of which more than one-half were contributed by members, and</w:t></w:r>
</w:p>
<w:p>
<w:pPr><w:pStyle w:val="Normal"/></w:pPr>
<w:r><w:t xml:space="preserve">brought in L. 699: 17: 6. In 1780, the first year in which the</w:t></w:r>
</w:p>
<w:p>
<w:pPr><w:pStyle w:val="Normal"/></w:pPr>
<w:r><w:t xml:space="preserve">receipts exceeded the expenditure, the number of works was</w:t></w:r>
</w:p>
<w:p>
<w:pPr><w:pStyle w:val="Normal"/></w:pPr>
<w:r><w:t xml:space="preserve">489, of which nearly one-third were by members, and the sum</w:t></w:r>
</w:p>
<w:p>
<w:pPr><w:pStyle w:val="Normal"/></w:pPr>
<w:r><w:t xml:space="preserve">received was L. 3069: 1s. This increase continued gradually</w:t></w:r>
</w:p>
<w:p>
<w:pPr><w:pStyle w:val="Normal"/></w:pPr>
<w:r><w:t xml:space="preserve">with fluctuations, and in 1836, the last year at Somerset</w:t></w:r>
</w:p>
<w:p>
<w:pPr><w:pStyle w:val="Normal"/></w:pPr>
<w:r><w:t xml:space="preserve">House, the number of works was 1154, and the receipts were</w:t></w:r>
</w:p>
<w:p>
<w:pPr><w:pStyle w:val="Heading1"/></w:pPr>
<w:r><w:t>L. 5179: 19s. No great addition to the number of works exhibited</w:t></w:r>
</w:p>
<w:p>
<w:pPr><w:pStyle w:val="Normal"/></w:pPr>
<w:r><w:t xml:space="preserve">took place at Trafalgar Square, but the receipts steadily</w:t></w:r>
</w:p>
<w:p>
<w:pPr><w:pStyle w:val="Normal"/></w:pPr>
<w:r><w:t xml:space="preserve">grew, and their careful management enabled the Academy, when</w:t></w:r>
</w:p>
<w:p>
<w:pPr><w:pStyle w:val="Normal"/></w:pPr>
<w:r><w:t xml:space="preserve">the time came for moving, to erect its own buildings and</w:t></w:r>
</w:p>
<w:p>
<w:pPr><w:pStyle w:val="Normal"/></w:pPr>
<w:r><w:t xml:space="preserve">become no longer dependent on the government for a home.</w:t></w:r>
</w:p>
<w:p>
<w:pPr><w:pStyle w:val="Normal"/></w:pPr>
<w:r><w:t xml:space="preserve">The greater space afforded by the galleries at Burlington</w:t></w:r>
</w:p>
<w:p>
<w:pPr><w:pStyle w:val="Normal"/></w:pPr>
<w:r><w:t xml:space="preserve">House rendered it possible to increase the number of works</w:t></w:r>
</w:p>
<w:p>
<w:pPr><w:pStyle w:val="Normal"/></w:pPr>
<w:r><w:t xml:space="preserve">exhibited, which of late years has reached a total of over</w:t></w:r>
</w:p>
<w:p>
<w:pPr><w:pStyle w:val="Normal"/></w:pPr>
<w:r><w:t xml:space="preserve">2000, while the receipts have also been such as to provide</w:t></w:r>
</w:p>
<w:p>
<w:pPr><w:pStyle w:val="Normal"/></w:pPr>
<w:r><w:t xml:space="preserve">the means for further building, and for a largely increased</w:t></w:r>
</w:p>
<w:p>
<w:pPr><w:pStyle w:val="Normal"/></w:pPr>
<w:r><w:t xml:space="preserve">expenditure of all kinds.  It may be noted that the number</w:t></w:r>
</w:p>
<w:p>
<w:pPr><w:pStyle w:val="Normal"/></w:pPr>
<w:r><w:t xml:space="preserve">of works sent for exhibition soon began to exceed the space</w:t></w:r>
</w:p>
<w:p>
<w:pPr><w:pStyle w:val="Normal"/></w:pPr>
<w:r><w:t xml:space="preserve">available.  In 1868, the last year at Trafalgar Square, the</w:t></w:r>
</w:p>
<w:p>
<w:pPr><w:pStyle w:val="Normal"/></w:pPr>
<w:r><w:t xml:space="preserve">number sent was 3011.  This went on increasing, with occasional</w:t></w:r>
</w:p>
<w:p>
<w:pPr><w:pStyle w:val="Normal"/></w:pPr>
<w:r><w:t xml:space="preserve">fluctuations, at Burlington House, and in the year 1900 it</w:t></w:r>
</w:p>
<w:p>
<w:pPr><w:pStyle w:val="Normal"/></w:pPr>
<w:r><w:t xml:space="preserve">reached the number of 13,462.  The annual winter exhibition</w:t></w:r>
</w:p>
<w:p>
<w:pPr><w:pStyle w:val="Normal"/></w:pPr>
<w:r><w:t xml:space="preserve">of works by old masters and deceased British artists was</w:t></w:r>
</w:p>
<w:p>
<w:pPr><w:pStyle w:val="Normal"/></w:pPr>
<w:r><w:t xml:space="preserve">begun in 1870.  It was never intended to be a source of</w:t></w:r>
</w:p>
<w:p>
<w:pPr><w:pStyle w:val="Normal"/></w:pPr>
<w:r><w:t xml:space="preserve">revenue, but appreciation by the public has so far prevented</w:t></w:r>
</w:p>
<w:p>
<w:pPr><w:pStyle w:val="Normal"/></w:pPr>
<w:r><w:t xml:space="preserve">it from being a cause of loss.  The summer exhibition</w:t></w:r>
</w:p>
<w:p>
<w:pPr><w:pStyle w:val="Normal"/></w:pPr>
<w:r><w:t xml:space="preserve">of works by living artists opens on the first Monday in</w:t></w:r>
</w:p>
<w:p>
<w:pPr><w:pStyle w:val="Normal"/></w:pPr>
<w:r><w:t xml:space="preserve">May, and closes on the first Monday in August.  The winter</w:t></w:r>
</w:p>
<w:p>
<w:pPr><w:pStyle w:val="Normal"/></w:pPr>
<w:r><w:t xml:space="preserve">exhibition of works by deceased artists opens on the first</w:t></w:r>
</w:p>
<w:p>
<w:pPr><w:pStyle w:val="Normal"/></w:pPr>
<w:r><w:t xml:space="preserve">Monday in Januaty. and closes on the second Saturday in</w:t></w:r>
</w:p>
<w:p>
<w:pPr><w:pStyle w:val="Normal"/></w:pPr>
<w:r><w:t xml:space="preserve">March.  The galleries containing the diploma works, the</w:t></w:r>
</w:p>
<w:p>
<w:pPr><w:pStyle w:val="Normal"/></w:pPr>
<w:r><w:t xml:space="preserve">Gibson statuary and other works of art are open daily, free.</w:t></w:r>
</w:p>
<w:p>
<w:pPr><w:pStyle w:val="Normal"/></w:pPr>
<w:r><w:t xml:space="preserve">Presidents of the Royal Academy.--Sir Joshua Reynolds,</w:t></w:r>
</w:p>
<w:p>
<w:pPr><w:pStyle w:val="Normal"/></w:pPr>
<w:r><w:t xml:space="preserve">1768-1792; Benjamin West (resigned), 1792-1805; James Wyatt</w:t></w:r>
</w:p>
<w:p>
<w:pPr><w:pStyle w:val="Normal"/></w:pPr>
<w:r><w:t xml:space="preserve">(president-elect), 1805; Benjamin West (re-elected), 1806-1820;</w:t></w:r>
</w:p>
<w:p>
<w:pPr><w:pStyle w:val="Normal"/></w:pPr>
<w:r><w:t xml:space="preserve">Sir Thomas Lawrence, 1820--1830; Sir Martin Archer Shee, 1830-1850;</w:t></w:r>
</w:p>
<w:p>
<w:pPr><w:pStyle w:val="Normal"/></w:pPr>
<w:r><w:t xml:space="preserve">Sir Charles Lock Eastlake, 1850--1865; Sir Francis Grant,</w:t></w:r>
</w:p>
<w:p>
<w:pPr><w:pStyle w:val="Normal"/></w:pPr>
<w:r><w:t xml:space="preserve">1866-1878; Frederick, Lord Leighton of Stretton, 1878--1896;</w:t></w:r>
</w:p>
<w:p>
<w:pPr><w:pStyle w:val="Normal"/></w:pPr>
<w:r><w:t xml:space="preserve">Sir John Everett Millais, 1896; Sir Edward John Poynter, 1896.</w:t></w:r>
</w:p>
<w:p>
<w:pPr><w:pStyle w:val="Normal"/></w:pPr>
<w:r><w:t xml:space="preserve">The library contains about 7000 volumes, dealing with</w:t></w:r>
</w:p>
<w:p>
<w:pPr><w:pStyle w:val="Normal"/></w:pPr>
<w:r><w:t xml:space="preserve">the history, the theory and the practice of the various</w:t></w:r>
</w:p>
<w:p>
<w:pPr><w:pStyle w:val="Normal"/></w:pPr>
<w:r><w:t xml:space="preserve">branches of the fine arts, some of them of great</w:t></w:r>
</w:p>
<w:p>
<w:pPr><w:pStyle w:val="Normal"/></w:pPr>
<w:r><w:t xml:space="preserve">rarity and value.  It is open daily to the students and</w:t></w:r>
</w:p>
<w:p>
<w:pPr><w:pStyle w:val="Normal"/></w:pPr>
<w:r><w:t xml:space="preserve">members, and to other persons on a proper introduction.</w:t></w:r>
</w:p>
<w:p>
<w:pPr><w:pStyle w:val="Normal"/></w:pPr>
<w:r><w:t xml:space="preserve">The trust funds administered by the Royal Academy are --</w:t></w:r>
</w:p>
<w:p>
<w:pPr><w:pStyle w:val="Normal"/></w:pPr>
<w:r><w:t xml:space="preserve">The Turner fund (J. M. W. Turner, R.A.), which provides</w:t></w:r>
</w:p>
<w:p>
<w:pPr><w:pStyle w:val="Normal"/></w:pPr>
<w:r><w:t xml:space="preserve">sixteen annuities of L. 50 each, for artists of repute</w:t></w:r>
</w:p>
<w:p>
<w:pPr><w:pStyle w:val="Normal"/></w:pPr>
<w:r><w:t xml:space="preserve">not members of the Academy, also a biennial scholarship</w:t></w:r>
</w:p>
<w:p>
<w:pPr><w:pStyle w:val="Normal"/></w:pPr>
<w:r><w:t xml:space="preserve">of L. 50 and a gold medal for a landscape painting.</w:t></w:r>
</w:p>
<w:p>
<w:pPr><w:pStyle w:val="Normal"/></w:pPr>
<w:r><w:t xml:space="preserve">The Chantrey fund (Sir Francis Chantrey, R.A.), the</w:t></w:r>
</w:p>
<w:p>
<w:pPr><w:pStyle w:val="Normal"/></w:pPr>
<w:r><w:t xml:space="preserve">income of which, paid over by the Chantrey trustees,</w:t></w:r>
</w:p>
<w:p>
<w:pPr><w:pStyle w:val="Normal"/></w:pPr>
<w:r><w:t xml:space="preserve">is spent on pictures and sculpture. (See CHANTREY.)</w:t></w:r>
</w:p>
<w:p>
<w:pPr><w:pStyle w:val="Normal"/></w:pPr>
<w:r><w:t xml:space="preserve">The Creswick fund (Thomas Creswick, R.A.), which provides</w:t></w:r>
</w:p>
<w:p>
<w:pPr><w:pStyle w:val="Normal"/></w:pPr>
<w:r><w:t xml:space="preserve">an annual prize of L. 30 for a landscape painting in oil.</w:t></w:r>
</w:p>
<w:p>
<w:pPr><w:pStyle w:val="Normal"/></w:pPr>
<w:r><w:t xml:space="preserve">The Cooke fund (E.W.  Cooke, R.A.), which provides</w:t></w:r>
</w:p>
<w:p>
<w:pPr><w:pStyle w:val="Normal"/></w:pPr>
<w:r><w:t xml:space="preserve">two annuities of L. 35 each for painters not members</w:t></w:r>
</w:p>
<w:p>
<w:pPr><w:pStyle w:val="Normal"/></w:pPr>
<w:r><w:t xml:space="preserve">of the Academy, over sixty years of age and in need.</w:t></w:r>
</w:p>
<w:p>
<w:pPr><w:pStyle w:val="Normal"/></w:pPr>
<w:r><w:t xml:space="preserve">The Landseer fund (Charles Landseer, R.A.), which provides</w:t></w:r>
</w:p>
<w:p>
<w:pPr><w:pStyle w:val="Normal"/></w:pPr>
<w:r><w:t xml:space="preserve">four scholarships of L. 40 each, two in painting and two</w:t></w:r>
</w:p>
<w:p>
<w:pPr><w:pStyle w:val="Normal"/></w:pPr>
<w:r><w:t xml:space="preserve">in sculpture, tenable for two years, open to students</w:t></w:r>
</w:p>
<w:p>
<w:pPr><w:pStyle w:val="Normal"/></w:pPr>
<w:r><w:t xml:space="preserve">at the end of the first two years of studentship, and</w:t></w:r>
</w:p>
<w:p>
<w:pPr><w:pStyle w:val="Normal"/></w:pPr>
<w:r><w:t xml:space="preserve">given for the best work done during the second year.</w:t></w:r>
</w:p>
<w:p>
<w:pPr><w:pStyle w:val="Normal"/></w:pPr>
<w:r><w:t xml:space="preserve">The Armitage fund (E. Armitage, R.A.), which provides two annual prizes</w:t></w:r>
</w:p>
<w:p>
<w:pPr><w:pStyle w:val="Normal"/></w:pPr>
<w:r><w:t xml:space="preserve">of L. 30 and L. 10, for a design in monochrome for a figure picture.</w:t></w:r>
</w:p>
<w:p>
<w:pPr><w:pStyle w:val="Normal"/></w:pPr>
<w:r><w:t xml:space="preserve">The Cousins fund (S. Cousins, R.A.), which provides</w:t></w:r>
</w:p>
<w:p>
<w:pPr><w:pStyle w:val="Normal"/></w:pPr>
<w:r><w:t xml:space="preserve">seven annuities of L. 80 each for deserving artists,</w:t></w:r>
</w:p>
<w:p>
<w:pPr><w:pStyle w:val="Normal"/></w:pPr>
<w:r><w:t xml:space="preserve">not members of the Academy, in need of assistance.</w:t></w:r>
</w:p>
<w:p>
<w:pPr><w:pStyle w:val="Normal"/></w:pPr>
<w:r><w:t xml:space="preserve">The Newton bequest (H. C. Newton), which provides an</w:t></w:r>
</w:p>
<w:p>
<w:pPr><w:pStyle w:val="Normal"/></w:pPr>
<w:r><w:t xml:space="preserve">annual sum of L. 60 for the indigent widow of a painter.</w:t></w:r>
</w:p>
<w:p>
<w:pPr><w:pStyle w:val="Normal"/></w:pPr>
<w:r><w:t xml:space="preserve">The Bizo.fund (John Bizo), to be used in the scientific</w:t></w:r>
</w:p>
<w:p>
<w:pPr><w:pStyle w:val="Normal"/></w:pPr>
<w:r><w:t xml:space="preserve">investigation into the nature of pigments and varnishes, &amp;c.</w:t></w:r>
</w:p>
<w:p>
<w:pPr><w:pStyle w:val="Normal"/></w:pPr>
<w:r><w:t xml:space="preserve">The Edwards fund (W. J. Edwards), producing L.  40 a year</w:t></w:r>
</w:p>
<w:p>
<w:pPr><w:pStyle w:val="Normal"/></w:pPr>
<w:r><w:t xml:space="preserve">for the benefit of poor artists or artistic engravers.</w:t></w:r>
</w:p>
<w:p>
<w:pPr><w:pStyle w:val="Normal"/></w:pPr>
<w:r><w:t xml:space="preserve">The Leighton bequest (Lord Leighton, P.R.A.), received</w:t></w:r>
</w:p>
<w:p>
<w:pPr><w:pStyle w:val="Normal"/></w:pPr>
<w:r><w:t xml:space="preserve">from Mrs Orr and Mrs Matthews in memory of their</w:t></w:r>
</w:p>
<w:p>
<w:pPr><w:pStyle w:val="Normal"/></w:pPr>
<w:r><w:t xml:space="preserve">brother, the income from which, about L. 300, is expended</w:t></w:r>
</w:p>
<w:p>
<w:pPr><w:pStyle w:val="Normal"/></w:pPr>
<w:r><w:t xml:space="preserve">on the decoration of public places and buildings.</w:t></w:r>
</w:p>
<w:p>
<w:pPr><w:pStyle w:val="Normal"/></w:pPr>
<w:r><w:t xml:space="preserve">The literature concerning the Royal Academy consists</w:t></w:r>
</w:p>
<w:p>
<w:pPr><w:pStyle w:val="Normal"/></w:pPr>
<w:r><w:t xml:space="preserve">chiefly of pamphlets and articles of more or less ephemeral</w:t></w:r>
</w:p>
<w:p>
<w:pPr><w:pStyle w:val="Normal"/></w:pPr>
<w:r><w:t xml:space="preserve">value.  More serious works are: William Sandby, The History</w:t></w:r>
</w:p>
<w:p>
<w:pPr><w:pStyle w:val="Normal"/></w:pPr>
<w:r><w:t xml:space="preserve">of the Royal Academy of Arts (London, 1862) (withdrawn</w:t></w:r>
</w:p>
<w:p>
<w:pPr><w:pStyle w:val="Normal"/></w:pPr>
<w:r><w:t xml:space="preserve">from circulation on a question of copyright); Report</w:t></w:r>
</w:p>
<w:p>
<w:pPr><w:pStyle w:val="Normal"/></w:pPr>
<w:r><w:t xml:space="preserve">from the Select Committee on Arts and their Connexion with</w:t></w:r>
</w:p>
<w:p>
<w:pPr><w:pStyle w:val="Normal"/></w:pPr>
<w:r><w:t xml:space="preserve">Manufactures, with the Minutes of Evidence and Appendix</w:t></w:r>
</w:p>
<w:p>
<w:pPr><w:pStyle w:val="Normal"/></w:pPr>
<w:r><w:t xml:space="preserve">(London, 1836 ); Report of the Royal Commission on the</w:t></w:r>
</w:p>
<w:p>
<w:pPr><w:pStyle w:val="Normal"/></w:pPr>
<w:r><w:t xml:space="preserve">Royal Academy, with Minutes of Evidence and Appendix</w:t></w:r>
</w:p>
<w:p>
<w:pPr><w:pStyle w:val="Normal"/></w:pPr>
<w:r><w:t xml:space="preserve">(London, 1863); Martin Archer Shee, The Life of Sir M. A.</w:t></w:r>
</w:p>
<w:p>
<w:pPr><w:pStyle w:val="Normal"/></w:pPr>
<w:r><w:t xml:space="preserve">Shee, P.R.A. (London, 1860); C. R. Leslie, R.A., and Tom</w:t></w:r>
</w:p>
<w:p>
<w:pPr><w:pStyle w:val="Normal"/></w:pPr>
<w:r><w:t xml:space="preserve">Taylor, Life and Times of Sir Joshua Reynolds, P.R.A.</w:t></w:r>
</w:p>
<w:p>
<w:pPr><w:pStyle w:val="Normal"/></w:pPr>
<w:r><w:t xml:space="preserve">(London, 1865); J. E. Hodgson, R.A. (the late), and</w:t></w:r>
</w:p>
<w:p>
<w:pPr><w:pStyle w:val="Normal"/></w:pPr>
<w:r><w:t xml:space="preserve">Fred.  A. Eaton, Sec. R.A., ``The Royal Academy in the</w:t></w:r>
</w:p>
<w:p>
<w:pPr><w:pStyle w:val="Normal"/></w:pPr>
<w:r><w:t xml:space="preserve">Last Century,&apos;&apos; Art Journal, 1889-1901.  But the chief</w:t></w:r>
</w:p>
<w:p>
<w:pPr><w:pStyle w:val="Normal"/></w:pPr>
<w:r><w:t xml:space="preserve">sources of information on the subject are the minute-books</w:t></w:r>
</w:p>
<w:p>
<w:pPr><w:pStyle w:val="Normal"/></w:pPr>
<w:r><w:t xml:space="preserve">of the council and of the general assembly, and the annual</w:t></w:r>
</w:p>
<w:p>
<w:pPr><w:pStyle w:val="Normal"/></w:pPr>
<w:r><w:t xml:space="preserve">reports, which, however, only date from 1859. (F. A. E.)</w:t></w:r>
</w:p>
<w:p>
<w:pPr><w:pStyle w:val="Normal"/></w:pPr>
<w:r><w:t xml:space="preserve">ACADIAN, in geology, the name given by Sir J. W. Dawson</w:t></w:r>
</w:p>
<w:p>
<w:pPr><w:pStyle w:val="Normal"/></w:pPr>
<w:r><w:t xml:space="preserve">in 1867 to a series of black, red and green shales and</w:t></w:r>
</w:p>
<w:p>
<w:pPr><w:pStyle w:val="Normal"/></w:pPr>
<w:r><w:t xml:space="preserve">slates, with dark grey limestones, which are well developed</w:t></w:r>
</w:p>
<w:p>
<w:pPr><w:pStyle w:val="Normal"/></w:pPr>
<w:r><w:t xml:space="preserve">at St John, New Brunswick; Avalon in E. Newfoundland, and</w:t></w:r>
</w:p>
<w:p>
<w:pPr><w:pStyle w:val="Normal"/></w:pPr>
<w:r><w:t xml:space="preserve">Braintree in E. Massachusetts.  These rocks are of Middle</w:t></w:r>
</w:p>
<w:p>
<w:pPr><w:pStyle w:val="Normal"/></w:pPr>
<w:r><w:t xml:space="preserve">Cambrian age and possess a Paradoxides fauna.  They</w:t></w:r>
</w:p>
<w:p>
<w:pPr><w:pStyle w:val="Normal"/></w:pPr>
<w:r><w:t xml:space="preserve">have been correlated with limestone beds in Tennessee,</w:t></w:r>
</w:p>
<w:p>
<w:pPr><w:pStyle w:val="Normal"/></w:pPr>
<w:r><w:t xml:space="preserve">Alabama, central Nevada and British Columbia (St Stephen).</w:t></w:r>
</w:p>
<w:p>
<w:pPr><w:pStyle w:val="Normal"/></w:pPr>
<w:r><w:t xml:space="preserve">See CAMBRIAN SYSTEM; also C. D. Walcott, Bull.</w:t></w:r>
</w:p>
<w:p>
<w:pPr><w:pStyle w:val="Normal"/></w:pPr>
<w:r><w:t xml:space="preserve">U.S. Geol. Survey, No. 81, 1891; and Sir J. W.</w:t></w:r>
</w:p>
<w:p>
<w:pPr><w:pStyle w:val="Normal"/></w:pPr>
<w:r><w:t xml:space="preserve">Dawson, Acadian Geology, 1st ed. 1855, 3rd ed. 1878.</w:t></w:r>
</w:p>
<w:p>
<w:pPr><w:pStyle w:val="Normal"/></w:pPr>
<w:r><w:t xml:space="preserve">ACADIE, or ACADIA, a name given by the French in 1603 to</w:t></w:r>
</w:p>
<w:p>
<w:pPr><w:pStyle w:val="Normal"/></w:pPr>
<w:r><w:t xml:space="preserve">that part of the mainland of North America lying between the</w:t></w:r>
</w:p>
<w:p>
<w:pPr><w:pStyle w:val="Normal"/></w:pPr>
<w:r><w:t xml:space="preserve">latitudes 40 deg.  and 46 deg. .  In the treaty of Utrecht (1713)</w:t></w:r>
</w:p>
<w:p>
<w:pPr><w:pStyle w:val="Normal"/></w:pPr>
<w:r><w:t xml:space="preserve">the words used in transferring the French possessions to</w:t></w:r>
</w:p>
<w:p>
<w:pPr><w:pStyle w:val="Normal"/></w:pPr>
<w:r><w:t xml:space="preserve">Britain were ``Nova Scotia or Acadia.&apos;&apos; See NOVA SCOTIA</w:t></w:r>
</w:p>
<w:p>
<w:pPr><w:pStyle w:val="Normal"/></w:pPr>
<w:r><w:t xml:space="preserve">for the limits included at that date under the term.</w:t></w:r>
</w:p>
<w:p>
<w:pPr><w:pStyle w:val="Normal"/></w:pPr>
<w:r><w:t xml:space="preserve">ACAMTHOCEPHALA, a compact group of cylindrical, parasitic</w:t></w:r>
</w:p>
<w:p>
<w:pPr><w:pStyle w:val="Normal"/></w:pPr>
<w:r><w:t xml:space="preserve">worms, with no near allies in the animal kingdom.  Its</w:t></w:r>
</w:p>
<w:p>
<w:pPr><w:pStyle w:val="Normal"/></w:pPr>
<w:r><w:t xml:space="preserve">members are quite devoid of any mouth or alimentary canal,</w:t></w:r>
</w:p>
<w:p>
<w:pPr><w:pStyle w:val="Normal"/></w:pPr>
<w:r><w:t xml:space="preserve">but have a well-developed body cavity into which the eggs</w:t></w:r>
</w:p>
<w:p>
<w:pPr><w:pStyle w:val="Normal"/></w:pPr>
<w:r><w:t xml:space="preserve">are dehisced and which communicates with the exterior by</w:t></w:r>
</w:p>
<w:p>
<w:pPr><w:pStyle w:val="Normal"/></w:pPr>
<w:r><w:t xml:space="preserve">From Cambridge Natural History, vol. ii., ``Worms,</w:t></w:r>
</w:p>
<w:p>
<w:pPr><w:pStyle w:val="Normal"/></w:pPr>
<w:r><w:t xml:space="preserve">&amp;c.,&apos;&apos; by permission of Macmillan &amp; Co., Ltd.</w:t></w:r>
</w:p>
<w:p>
<w:pPr><w:pStyle w:val="Normal"/></w:pPr>
<w:r><w:t xml:space="preserve">Fig. 1. A, Five specimens of Echinorhynchus acus,</w:t></w:r>
</w:p>
<w:p>
<w:pPr><w:pStyle w:val="Normal"/></w:pPr>
<w:r><w:t xml:space="preserve">Rud., attached to a piece of intestinal wall, X 4.</w:t></w:r>
</w:p>
<w:p>
<w:pPr><w:pStyle w:val="Normal"/></w:pPr>
<w:r><w:t xml:space="preserve">B, The proboscis of one still more highly magnified.</w:t></w:r>
</w:p>
<w:p>
<w:pPr><w:pStyle w:val="Normal"/></w:pPr>
<w:r><w:t xml:space="preserve">means of an oviduct.  The size of the animals varies greatly,</w:t></w:r>
</w:p>
<w:p>
<w:pPr><w:pStyle w:val="Normal"/></w:pPr>
<w:r><w:t xml:space="preserve">from forms a few millimetres in length to Gigantorhynchus</w:t></w:r>
</w:p>
<w:p>
<w:pPr><w:pStyle w:val="Normal"/></w:pPr>
<w:r><w:t xml:space="preserve">gigas, which measures from 10 to 65 cms.  The adults live</w:t></w:r>
</w:p>
<w:p>
<w:pPr><w:pStyle w:val="Normal"/></w:pPr>
<w:r><w:t xml:space="preserve">in great numbers in the alimentary canal of some vertebrate,</w:t></w:r>
</w:p>
<w:p>
<w:pPr><w:pStyle w:val="Normal"/></w:pPr>
<w:r><w:t xml:space="preserve">usually fish, the larvae are as a rule encysted in the</w:t></w:r>
</w:p>
<w:p>
<w:pPr><w:pStyle w:val="Normal"/></w:pPr>
<w:r><w:t xml:space="preserve">body cavity of some invertebrate, most often an insect or</w:t></w:r>
</w:p>
<w:p>
<w:pPr><w:pStyle w:val="Normal"/></w:pPr>
<w:r><w:t xml:space="preserve">crustacean, more rarely a small fish.  The body is divisible</w:t></w:r>
</w:p>
<w:p>
<w:pPr><w:pStyle w:val="Normal"/></w:pPr>
<w:r><w:t xml:space="preserve">into a proboscis and a trunk with sometimes an intervening neck</w:t></w:r>
</w:p>
<w:p>
<w:pPr><w:pStyle w:val="Normal"/></w:pPr>
<w:r><w:t xml:space="preserve">region.  The proboscis bears rings of recurved hooks arranged</w:t></w:r>
</w:p>
<w:p>
<w:pPr><w:pStyle w:val="Normal"/></w:pPr>
<w:r><w:t xml:space="preserve">in horizontal rows, and it is by means of these hooks that the</w:t></w:r>
</w:p>
<w:p>
<w:pPr><w:pStyle w:val="Normal"/></w:pPr>
<w:r><w:t xml:space="preserve">animal attaches itself to the tissues of its host.  The hooks</w:t></w:r>
</w:p>
<w:p>
<w:pPr><w:pStyle w:val="Normal"/></w:pPr>
<w:r><w:t xml:space="preserve">may be of two or three shapes.  Like the body, the proboscis</w:t></w:r>
</w:p>
<w:p>
<w:pPr><w:pStyle w:val="Normal"/></w:pPr>
<w:r><w:t xml:space="preserve">is hollow, and its cavity is separated from the body cavity</w:t></w:r>
</w:p>
<w:p>
<w:pPr><w:pStyle w:val="Normal"/></w:pPr>
<w:r><w:t xml:space="preserve">by a septum or proboscis sheath.  Traversing the cavity of</w:t></w:r>
</w:p>
<w:p>
<w:pPr><w:pStyle w:val="Normal"/></w:pPr>
<w:r><w:t xml:space="preserve">the proboscis are muscle-strands inserted into the tip of the</w:t></w:r>
</w:p>
<w:p>
<w:pPr><w:pStyle w:val="Normal"/></w:pPr>
<w:r><w:t xml:space="preserve">proboscis at one end and into the septum at the other.  Their</w:t></w:r>
</w:p>
<w:p>
<w:pPr><w:pStyle w:val="Normal"/></w:pPr>
<w:r><w:t xml:space="preserve">contraction causes the proboscis to be invaginated into its</w:t></w:r>
</w:p>
<w:p>
<w:pPr><w:pStyle w:val="Normal"/></w:pPr>
<w:r><w:t xml:space="preserve">cavity (fig. 2). But the whole proboscis apparatus can also</w:t></w:r>
</w:p>
<w:p>
<w:pPr><w:pStyle w:val="Normal"/></w:pPr>
<w:r><w:t xml:space="preserve">be, at least partially, withdrawn into the body cavity, and</w:t></w:r>
</w:p>
<w:p>
<w:pPr><w:pStyle w:val="Normal"/></w:pPr>
<w:r><w:t xml:space="preserve">this is effected by two retractor muscles which run from the</w:t></w:r>
</w:p>
<w:p>
<w:pPr><w:pStyle w:val="Normal"/></w:pPr>
<w:r><w:t xml:space="preserve">posterior aspect of the septum to the body wall (fig. 3).</w:t></w:r>
</w:p>
<w:p>
<w:pPr><w:pStyle w:val="Normal"/></w:pPr>
<w:r><w:t xml:space="preserve">The skin is peculiar.  Externally is a thin cuticle; this</w:t></w:r>
</w:p>
<w:p>
<w:pPr><w:pStyle w:val="Normal"/></w:pPr>
<w:r><w:t xml:space="preserve">covers the epidermis, which consists of a syncytium with</w:t></w:r>
</w:p>
<w:p>
<w:pPr><w:pStyle w:val="Normal"/></w:pPr>
<w:r><w:t xml:space="preserve">no cell limits.  The syncytium is traversed by a series</w:t></w:r>
</w:p>
<w:p>
<w:pPr><w:pStyle w:val="Normal"/></w:pPr>
<w:r><w:t xml:space="preserve">of branching tubules containing fluid and is controlled</w:t></w:r>
</w:p>
<w:p>
<w:pPr><w:pStyle w:val="Normal"/></w:pPr>
<w:r><w:t xml:space="preserve">by a few wandering, amoeboid nuclei (fig. 2). Inside the</w:t></w:r>
</w:p>
<w:p>
<w:pPr><w:pStyle w:val="Normal"/></w:pPr>
<w:r><w:t xml:space="preserve">syncytium is a not very regular layer of circular muscle</w:t></w:r>
</w:p>
<w:p>
<w:pPr><w:pStyle w:val="Normal"/></w:pPr>
<w:r><w:t xml:space="preserve">fibres, and within this again some rather scattered</w:t></w:r>
</w:p>
<w:p>
<w:pPr><w:pStyle w:val="Normal"/></w:pPr>
<w:r><w:t xml:space="preserve">longitudinal fibres; there is no endothelium.  In their</w:t></w:r>
</w:p>
<w:p>
<w:pPr><w:pStyle w:val="Normal"/></w:pPr>
<w:r><w:t xml:space="preserve">minute structure the muscular fibres resemble those of</w:t></w:r>
</w:p>
<w:p>
<w:pPr><w:pStyle w:val="Normal"/></w:pPr>
<w:r><w:t xml:space="preserve">Nematodes.  Except for the absence of the longitudinal fibres</w:t></w:r>
</w:p>
<w:p>
<w:pPr><w:pStyle w:val="Normal"/></w:pPr>
<w:r><w:t xml:space="preserve">the skin of the proboscis resembles that of the body, but</w:t></w:r>
</w:p>
<w:p>
<w:pPr><w:pStyle w:val="Normal"/></w:pPr>
<w:r><w:t xml:space="preserve">the fluid-containing tubules of the latter are shut off</w:t></w:r>
</w:p>
<w:p>
<w:pPr><w:pStyle w:val="Normal"/></w:pPr>
<w:r><w:t xml:space="preserve">from those of the body.  The canals of the proboscis open</w:t></w:r>
</w:p>
<w:p>
<w:pPr><w:pStyle w:val="Normal"/></w:pPr>
<w:r><w:t xml:space="preserve">ultimately into a circular vessel which runs round its base.</w:t></w:r>
</w:p>
<w:p>
<w:pPr><w:pStyle w:val="Normal"/></w:pPr>
<w:r><w:t xml:space="preserve">From the circular canal two sac-like diverticula called the</w:t></w:r>
</w:p>
<w:p>
<w:pPr><w:pStyle w:val="Normal"/></w:pPr>
<w:r><w:t xml:space="preserve">From Cambridge Natural History, vol. ii.,</w:t></w:r>
</w:p>
<w:p>
<w:pPr><w:pStyle w:val="Normal"/></w:pPr>
<w:r><w:t xml:space="preserve">``Worms, &amp;c.,&apos;&apos; by permission of Macmillan &amp; Co., Ltd.</w:t></w:r>
</w:p>
<w:p>
<w:pPr><w:pStyle w:val="Normal"/></w:pPr>
<w:r><w:t xml:space="preserve">FIG. 2.--A longitudinal section through the</w:t></w:r>
</w:p>
<w:p>
<w:pPr><w:pStyle w:val="Normal"/></w:pPr>
<w:r><w:t xml:space="preserve">anterior end of Echinorhynchus haeruca, Rud. (from</w:t></w:r>
</w:p>
<w:p>
<w:pPr><w:pStyle w:val="Normal"/></w:pPr>
<w:r><w:t xml:space="preserve">a, The proboscis not fully expanded.</w:t></w:r>
</w:p>
<w:p>
<w:pPr><w:pStyle w:val="Normal"/></w:pPr>
<w:r><w:t xml:space="preserve">b, Proboscis-sheath.</w:t></w:r>
</w:p>
<w:p>
<w:pPr><w:pStyle w:val="Normal"/></w:pPr>
<w:r><w:t xml:space="preserve">c, Retractor muscles of the proboscis.</w:t></w:r>
</w:p>
<w:p>
<w:pPr><w:pStyle w:val="Normal"/></w:pPr>
<w:r><w:t xml:space="preserve">d, Cerebral ganglion.</w:t></w:r>
</w:p>
<w:p>
<w:pPr><w:pStyle w:val="Normal"/></w:pPr>
<w:r><w:t xml:space="preserve">e, Retinaculum enclosing a nerve</w:t></w:r>
</w:p>
<w:p>
<w:pPr><w:pStyle w:val="Normal"/></w:pPr>
<w:r><w:t xml:space="preserve">f, One of the retractors of the sheath.</w:t></w:r>
</w:p>
<w:p>
<w:pPr><w:pStyle w:val="Normal"/></w:pPr>
<w:r><w:t xml:space="preserve">g, A lemniscus.</w:t></w:r>
</w:p>
<w:p>
<w:pPr><w:pStyle w:val="Normal"/></w:pPr>
<w:r><w:t xml:space="preserve">h, One of the spaces in the sub-cuticular tissue.</w:t></w:r>
</w:p>
<w:p>
<w:pPr><w:pStyle w:val="Normal"/></w:pPr>
<w:r><w:t xml:space="preserve">i, Longitudinal muscular layer.</w:t></w:r>
</w:p>
<w:p>
<w:pPr><w:pStyle w:val="Normal"/></w:pPr>
<w:r><w:t xml:space="preserve">j, Circular muscular laver.</w:t></w:r>
</w:p>
<w:p>
<w:pPr><w:pStyle w:val="Normal"/></w:pPr>
<w:r><w:t xml:space="preserve">k, Line of division between the sub-cuticular tissue of the trunk</w:t></w:r>
</w:p>
<w:p>
<w:pPr><w:pStyle w:val="Normal"/></w:pPr>
<w:r><w:t xml:space="preserve">and that of the proboscis with the lemnisci.</w:t></w:r>
</w:p>
<w:p>
<w:pPr><w:pStyle w:val="Normal"/></w:pPr>
<w:r><w:t xml:space="preserve">``lemnisci&apos;&apos; depend into the cavity of the body (fig. 2). Each</w:t></w:r>
</w:p>
<w:p>
<w:pPr><w:pStyle w:val="Normal"/></w:pPr>
<w:r><w:t xml:space="preserve">consists of a prolongation of the syncytial material of the</w:t></w:r>
</w:p>
<w:p>
<w:pPr><w:pStyle w:val="Normal"/></w:pPr>
<w:r><w:t xml:space="preserve">proboscis skin, penetrated by canals and sheathed with a scanty</w:t></w:r>
</w:p>
<w:p>
<w:pPr><w:pStyle w:val="Normal"/></w:pPr>
<w:r><w:t xml:space="preserve">muscular coat. They seem to act as reservoirs into which the</w:t></w:r>
</w:p>
<w:p>
<w:pPr><w:pStyle w:val="Normal"/></w:pPr>
<w:r><w:t xml:space="preserve">fluid of the tense, extended proboscis can withdraw when it</w:t></w:r>
</w:p>
<w:p>
<w:pPr><w:pStyle w:val="Normal"/></w:pPr>
<w:r><w:t xml:space="preserve">is retracted, and from which the fluid can be driven out when</w:t></w:r>
</w:p>
<w:p>
<w:pPr><w:pStyle w:val="Normal"/></w:pPr>
<w:r><w:t xml:space="preserve">it is wished to expand the proboscis.</w:t></w:r>
</w:p>
<w:p>
<w:pPr><w:pStyle w:val="Normal"/></w:pPr>
<w:r><w:t xml:space="preserve">There are no alimentary canal or specialized organs for</w:t></w:r>
</w:p>
<w:p>
<w:pPr><w:pStyle w:val="Normal"/></w:pPr>
<w:r><w:t xml:space="preserve">circulation or for respiration. Food is imbibed through the skin from</w:t></w:r>
</w:p>
<w:p>
<w:pPr><w:pStyle w:val="Normal"/></w:pPr>
<w:r><w:t xml:space="preserve">the digestive juices of the host in which the Acanthocephala</w:t></w:r>
</w:p>
<w:p>
<w:pPr><w:pStyle w:val="Normal"/></w:pPr>
<w:r><w:t xml:space="preserve">live.</w:t></w:r>
</w:p>
<w:p>
<w:pPr><w:pStyle w:val="Normal"/></w:pPr>
<w:r><w:t xml:space="preserve">J. Kaiser has described as kidneys two organs something like</w:t></w:r>
</w:p>
<w:p>
<w:pPr><w:pStyle w:val="Normal"/></w:pPr>
<w:r><w:t xml:space="preserve">minute shrubs situated dorsally to the generative ducts into</w:t></w:r>
</w:p>
<w:p>
<w:pPr><w:pStyle w:val="Normal"/></w:pPr>
<w:r><w:t xml:space="preserve">which they open. At the end of each twig is a membrane</w:t></w:r>
</w:p>
<w:p>
<w:pPr><w:pStyle w:val="Normal"/></w:pPr>
<w:r><w:t xml:space="preserve">pierced by pores, and a number of cilia depend into the lumen</w:t></w:r>
</w:p>
<w:p>
<w:pPr><w:pStyle w:val="Normal"/></w:pPr>
<w:r><w:t xml:space="preserve">of the tube; these cilia maintain a constant motion.</w:t></w:r>
</w:p>
<w:p>
<w:pPr><w:pStyle w:val="Normal"/></w:pPr>
<w:r><w:t xml:space="preserve">The central ganglion of the nervous system lies in the</w:t></w:r>
</w:p>
<w:p>
<w:pPr><w:pStyle w:val="Normal"/></w:pPr>
<w:r><w:t xml:space="preserve">proboscis sheath or septum. It supplies the proboscis with nerves and</w:t></w:r>
</w:p>
<w:p>
<w:pPr><w:pStyle w:val="Normal"/></w:pPr>
<w:r><w:t xml:space="preserve">gives off behind two stout trunks which supply the body (fig. 2).</w:t></w:r>
</w:p>
<w:p>
<w:pPr><w:pStyle w:val="Normal"/></w:pPr>
<w:r><w:t xml:space="preserve">Each of these trunks is surrounded by muscles, and the</w:t></w:r>
</w:p>
<w:p>
<w:pPr><w:pStyle w:val="Normal"/></w:pPr>
<w:r><w:t xml:space="preserve">complex retains the old name of ``retinaculum.&apos;&apos; In the male at</w:t></w:r>
</w:p>
<w:p>
<w:pPr><w:pStyle w:val="Normal"/></w:pPr>
<w:r><w:t xml:space="preserve">least there is also a genital ganglion. Some scattered papillae</w:t></w:r>
</w:p>
<w:p>
<w:pPr><w:pStyle w:val="Normal"/></w:pPr>
<w:r><w:t xml:space="preserve">may possibly be sense-organs.</w:t></w:r>
</w:p>
<w:p>
<w:pPr><w:pStyle w:val="Normal"/></w:pPr>
<w:r><w:t xml:space="preserve">The Acanthocephala are dioecious. There is a ``stay&apos;&apos; called</w:t></w:r>
</w:p>
<w:p>
<w:pPr><w:pStyle w:val="Normal"/></w:pPr>
<w:r><w:t xml:space="preserve">the ``ligament&apos;&apos; which runs from the hinder end of the</w:t></w:r>
</w:p>
<w:p>
<w:pPr><w:pStyle w:val="Normal"/></w:pPr>
<w:r><w:t xml:space="preserve">proboscis sheath to the posterior end of the body. In this the two testes</w:t></w:r>
</w:p>
<w:p>
<w:pPr><w:pStyle w:val="Normal"/></w:pPr>
<w:r><w:t xml:space="preserve">lie (fig. 3). Each opens in a vas deferens which bears three</w:t></w:r>
</w:p>
<w:p>
<w:pPr><w:pStyle w:val="Normal"/></w:pPr>
<w:r><w:t xml:space="preserve">diverticula or vesiculae seminales, and three pairs of cement</w:t></w:r>
</w:p>
<w:p>
<w:pPr><w:pStyle w:val="Normal"/></w:pPr>
<w:r><w:t xml:space="preserve">glands also are found which pour their secretions through a duct into</w:t></w:r>
</w:p>
<w:p>
<w:pPr><w:pStyle w:val="Normal"/></w:pPr>
<w:r><w:t xml:space="preserve">the vasa deferentia. The latter unite and end in a penis which opens</w:t></w:r>
</w:p>
<w:p>
<w:pPr><w:pStyle w:val="Normal"/></w:pPr>
<w:r><w:t xml:space="preserve">posteriorly.</w:t></w:r>
</w:p>
<w:p>
<w:pPr><w:pStyle w:val="Normal"/></w:pPr>
<w:r><w:t xml:space="preserve">Fig. 3.---An optical section through a male Neorhynchus</w:t></w:r>
</w:p>
<w:p>
<w:pPr><w:pStyle w:val="Normal"/></w:pPr>
<w:r><w:t xml:space="preserve">clavaeceps, Zed. (from Hamann).</w:t></w:r>
</w:p>
<w:p>
<w:pPr><w:pStyle w:val="Normal"/></w:pPr>
<w:r><w:t xml:space="preserve">a, Proboscis.</w:t></w:r>
</w:p>
<w:p>
<w:pPr><w:pStyle w:val="Normal"/></w:pPr>
<w:r><w:t xml:space="preserve">b, Proboscis sheath.</w:t></w:r>
</w:p>
<w:p>
<w:pPr><w:pStyle w:val="Normal"/></w:pPr>
<w:r><w:t xml:space="preserve">c, Retractor of the proboscis.</w:t></w:r>
</w:p>
<w:p>
<w:pPr><w:pStyle w:val="Normal"/></w:pPr>
<w:r><w:t xml:space="preserve">d, Cerebral ganglion.</w:t></w:r>
</w:p>
<w:p>
<w:pPr><w:pStyle w:val="Normal"/></w:pPr>
<w:r><w:t xml:space="preserve">f, f, Petractors of the proboscis sheath.</w:t></w:r>
</w:p>
<w:p>
<w:pPr><w:pStyle w:val="Normal"/></w:pPr>
<w:r><w:t xml:space="preserve">g, g, Lemnisci, each with two giant nuclei.</w:t></w:r>
</w:p>
<w:p>
<w:pPr><w:pStyle w:val="Normal"/></w:pPr>
<w:r><w:t xml:space="preserve">h, Space in sub-cuticular layer of the skin.</w:t></w:r>
</w:p>
<w:p>
<w:pPr><w:pStyle w:val="Normal"/></w:pPr>
<w:r><w:t xml:space="preserve">l, Ligament.</w:t></w:r>
</w:p>
<w:p>
<w:pPr><w:pStyle w:val="Normal"/></w:pPr>
<w:r><w:t xml:space="preserve">m, m, Testes.</w:t></w:r>
</w:p>
<w:p>
<w:pPr><w:pStyle w:val="Normal"/></w:pPr>
<w:r><w:t xml:space="preserve">o, Glands on vas deferens.</w:t></w:r>
</w:p>
<w:p>
<w:pPr><w:pStyle w:val="Normal"/></w:pPr>
<w:r><w:t xml:space="preserve">p, Giant nucleus in skin.</w:t></w:r>
</w:p>
<w:p>
<w:pPr><w:pStyle w:val="Normal"/></w:pPr>
<w:r><w:t xml:space="preserve">q, Opening of vas deferens.</w:t></w:r>
</w:p>
<w:p>
<w:pPr><w:pStyle w:val="Normal"/></w:pPr>
<w:r><w:t xml:space="preserve">The ovaries arise like the testes as rounded bodies in the</w:t></w:r>
</w:p>
<w:p>
<w:pPr><w:pStyle w:val="Normal"/></w:pPr>
<w:r><w:t xml:space="preserve">ligament.  From these masses of ova dehisce into the body</w:t></w:r>
</w:p>
<w:p>
<w:pPr><w:pStyle w:val="Normal"/></w:pPr>
<w:r><w:t xml:space="preserve">cavity and float in its fluid. Here the eggs are fertilized</w:t></w:r>
</w:p>
<w:p>
<w:pPr><w:pStyle w:val="Normal"/></w:pPr>
<w:r><w:t xml:space="preserve">and here they segment so that the young embryos are formed</w:t></w:r>
</w:p>
<w:p>
<w:pPr><w:pStyle w:val="Normal"/></w:pPr>
<w:r><w:t xml:space="preserve">within their mother&apos;s body.  The embryos escape into the</w:t></w:r>
</w:p>
<w:p>
<w:pPr><w:pStyle w:val="Normal"/></w:pPr>
<w:r><w:t xml:space="preserve">uterus through the ``bell,&apos;&apos; a funnel like opening continuous</w:t></w:r>
</w:p>
<w:p>
<w:pPr><w:pStyle w:val="Normal"/></w:pPr>
<w:r><w:t xml:space="preserve">with the uterus.  Just at the junction of the ``bell&apos;&apos;</w:t></w:r>
</w:p>
<w:p>
<w:pPr><w:pStyle w:val="Normal"/></w:pPr>
<w:r><w:t xml:space="preserve">and the uterus there is a second small opening situated</w:t></w:r>
</w:p>
<w:p>
<w:pPr><w:pStyle w:val="Normal"/></w:pPr>
<w:r><w:t xml:space="preserve">dorsally. The ``bell&apos;&apos; swallows the matured embryos and</w:t></w:r>
</w:p>
<w:p>
<w:pPr><w:pStyle w:val="Normal"/></w:pPr>
<w:r><w:t xml:space="preserve">passes them on into the uterus, and thus out of the body via</w:t></w:r>
</w:p>
<w:p>
<w:pPr><w:pStyle w:val="Normal"/></w:pPr>
<w:r><w:t xml:space="preserve">the oviduct, which opens at one end into the uterus and at</w:t></w:r>
</w:p>
<w:p>
<w:pPr><w:pStyle w:val="Normal"/></w:pPr>
<w:r><w:t xml:space="preserve">the other on to the exterior at the posterior end of the</w:t></w:r>
</w:p>
<w:p>
<w:pPr><w:pStyle w:val="Normal"/></w:pPr>
<w:r><w:t xml:space="preserve">body.  But should the ``bell&apos;&apos; swallow any of the ova, or</w:t></w:r>
</w:p>
<w:p>
<w:pPr><w:pStyle w:val="Normal"/></w:pPr>
<w:r><w:t xml:space="preserve">even one of the younger embryos, these are passed back</w:t></w:r>
</w:p>
<w:p>
<w:pPr><w:pStyle w:val="Normal"/></w:pPr>
<w:r><w:t xml:space="preserve">into the body cavity through the second and dorsal opening.</w:t></w:r>
</w:p>
<w:p>
<w:pPr><w:pStyle w:val="Normal"/></w:pPr>
<w:r><w:t xml:space="preserve">The embryo thus passes from the body of the female into</w:t></w:r>
</w:p>
<w:p>
<w:pPr><w:pStyle w:val="Normal"/></w:pPr>
<w:r><w:t xml:space="preserve">the alimentary canal of the host and leaves this with the</w:t></w:r>
</w:p>
<w:p>
<w:pPr><w:pStyle w:val="Normal"/></w:pPr>
<w:r><w:t xml:space="preserve">faeces.  It is then, if lucky, eaten by some crustacean, or</w:t></w:r>
</w:p>
<w:p>
<w:pPr><w:pStyle w:val="Normal"/></w:pPr>
<w:r><w:t xml:space="preserve">insect, more rarely by a fish.  In the stomach it casts</w:t></w:r>
</w:p>
<w:p>
<w:pPr><w:pStyle w:val="Normal"/></w:pPr>
<w:r><w:t xml:space="preserve">its membranes and becomes mobile, bores through the stomach</w:t></w:r>
</w:p>
<w:p>
<w:pPr><w:pStyle w:val="Normal"/></w:pPr>
<w:r><w:t xml:space="preserve">walls and encysts usually in the cavity of its first and</w:t></w:r>
</w:p>
<w:p>
<w:pPr><w:pStyle w:val="Normal"/></w:pPr>
<w:r><w:t xml:space="preserve">invertebrate host. By this time the embryo has all the</w:t></w:r>
</w:p>
<w:p>
<w:pPr><w:pStyle w:val="Normal"/></w:pPr>
<w:r><w:t xml:space="preserve">organs of the adult perfected save only the reproductive;</w:t></w:r>
</w:p>
<w:p>
<w:pPr><w:pStyle w:val="Normal"/></w:pPr>
<w:r><w:t xml:space="preserve">these develop only when the first host is swallowed</w:t></w:r>
</w:p>
<w:p>
<w:pPr><w:pStyle w:val="Normal"/></w:pPr>
<w:r><w:t xml:space="preserve">by the second or final host, in which case the parasite</w:t></w:r>
</w:p>
<w:p>
<w:pPr><w:pStyle w:val="Normal"/></w:pPr>
<w:r><w:t xml:space="preserve">attaches itself to the wall of the alimentary canal and</w:t></w:r>
</w:p>
<w:p>
<w:pPr><w:pStyle w:val="Normal"/></w:pPr>
<w:r><w:t xml:space="preserve">A curious feature shared by both larva and adult is the large</w:t></w:r>
</w:p>
<w:p>
<w:pPr><w:pStyle w:val="Normal"/></w:pPr>
<w:r><w:t xml:space="preserve">size of many of the cells, e.g. the nerve cells and the bell.</w:t></w:r>
</w:p>
<w:p>
<w:pPr><w:pStyle w:val="Normal"/></w:pPr>
<w:r><w:t xml:space="preserve">O. Hamann has divided the group into three</w:t></w:r>
</w:p>
<w:p>
<w:pPr><w:pStyle w:val="Normal"/></w:pPr>
<w:r><w:t xml:space="preserve">families, to which a fourth must be added.</w:t></w:r>
</w:p>
<w:p>
<w:pPr><w:pStyle w:val="Normal"/></w:pPr>
<w:r><w:t xml:space="preserve">(i.) Fam. Echinorhynchidae.This is by far the largest</w:t></w:r>
</w:p>
<w:p>
<w:pPr><w:pStyle w:val="Normal"/></w:pPr>
<w:r><w:t xml:space="preserve">family and contains the commonest species; the larva of</w:t></w:r>
</w:p>
<w:p>
<w:pPr><w:pStyle w:val="Normal"/></w:pPr>
<w:r><w:t xml:space="preserve">Echinorhynchus proteus lives in Gammarus pulex and in</w:t></w:r>
</w:p>
<w:p>
<w:pPr><w:pStyle w:val="Normal"/></w:pPr>
<w:r><w:t xml:space="preserve">small fish, the adult is common in many fresh-water fish: E.</w:t></w:r>
</w:p>
<w:p>
<w:pPr><w:pStyle w:val="Normal"/></w:pPr>
<w:r><w:t xml:space="preserve">polymorphus, larval host the crayfish, adult host the duck:</w:t></w:r>
</w:p>
<w:p>
<w:pPr><w:pStyle w:val="Normal"/></w:pPr>
<w:r><w:t xml:space="preserve">E. angustotus occurs as a larva in Asellus aquaticus,</w:t></w:r>
</w:p>
<w:p>
<w:pPr><w:pStyle w:val="Normal"/></w:pPr>
<w:r><w:t xml:space="preserve">as an adult in the perch, pike and barbel: E. moniliformis</w:t></w:r>
</w:p>
<w:p>
<w:pPr><w:pStyle w:val="Normal"/></w:pPr>
<w:r><w:t xml:space="preserve">has for its larval host the larvae of the beetle Blaps</w:t></w:r>
</w:p>
<w:p>
<w:pPr><w:pStyle w:val="Normal"/></w:pPr>
<w:r><w:t xml:space="preserve">mucronata, for its final host certain mice, if introduced</w:t></w:r>
</w:p>
<w:p>
<w:pPr><w:pStyle w:val="Normal"/></w:pPr>
<w:r><w:t xml:space="preserve">into man it lives well: E. acus is common in whiting: E.</w:t></w:r>
</w:p>
<w:p>
<w:pPr><w:pStyle w:val="Normal"/></w:pPr>
<w:r><w:t xml:space="preserve">porrigeus in the fin-whale, and E. strumosus in the seal.</w:t></w:r>
</w:p>
<w:p>
<w:pPr><w:pStyle w:val="Normal"/></w:pPr>
<w:r><w:t xml:space="preserve">A species named E. hominis has been described from a boy.</w:t></w:r>
</w:p>
<w:p>
<w:pPr><w:pStyle w:val="Normal"/></w:pPr>
<w:r><w:t xml:space="preserve">(ii.) Fam. Gigantorhynchidae. A small family of large forms</w:t></w:r>
</w:p>
<w:p>
<w:pPr><w:pStyle w:val="Normal"/></w:pPr>
<w:r><w:t xml:space="preserve">with a ringed and flattened body. Gigantorhynchus gigas</w:t></w:r>
</w:p>
<w:p>
<w:pPr><w:pStyle w:val="Normal"/></w:pPr>
<w:r><w:t xml:space="preserve">lives normally in the pig, but is not uncommon in man in</w:t></w:r>
</w:p>
<w:p>
<w:pPr><w:pStyle w:val="Normal"/></w:pPr>
<w:r><w:t xml:space="preserve">South Russia, its larval host is the grub of Melolontha</w:t></w:r>
</w:p>
<w:p>
<w:pPr><w:pStyle w:val="Normal"/></w:pPr>
<w:r><w:t xml:space="preserve">vulgaris, Cetonis auratus, and in America probably of</w:t></w:r>
</w:p>
<w:p>
<w:pPr><w:pStyle w:val="Normal"/></w:pPr>
<w:r><w:t xml:space="preserve">Lachnosterna arcuata: G. echinodiscus lives in the</w:t></w:r>
</w:p>
<w:p>
<w:pPr><w:pStyle w:val="Normal"/></w:pPr>
<w:r><w:t xml:space="preserve">intestine of ant-eaters: G. spira in that of the</w:t></w:r>
</w:p>
<w:p>
<w:pPr><w:pStyle w:val="Normal"/></w:pPr>
<w:r><w:t xml:space="preserve">Fig. 4.</w:t></w:r>
</w:p>
<w:p>
<w:pPr><w:pStyle w:val="Normal"/></w:pPr>
<w:r><w:t xml:space="preserve">A, The larva of Echinorhynchus proteus from the body cavity of</w:t></w:r>
</w:p>
<w:p>
<w:pPr><w:pStyle w:val="Normal"/></w:pPr>
<w:r><w:t xml:space="preserve">Phoxinus laevis, with the proboscis retracted and the whole still</w:t></w:r>
</w:p>
<w:p>
<w:pPr><w:pStyle w:val="Normal"/></w:pPr>
<w:r><w:t xml:space="preserve">enclosed in a capsule.</w:t></w:r>
</w:p>
<w:p>
<w:pPr><w:pStyle w:val="Normal"/></w:pPr>
<w:r><w:t xml:space="preserve">B, A section through the same; a, the invaginated proboscis;</w:t></w:r>
</w:p>
<w:p>
<w:pPr><w:pStyle w:val="Normal"/></w:pPr>
<w:r><w:t xml:space="preserve">b, proboscis sheath; c, beginning of the neck; d,</w:t></w:r>
</w:p>
<w:p>
<w:pPr><w:pStyle w:val="Normal"/></w:pPr>
<w:r><w:t xml:space="preserve">lemniscus. Highlymagnified (both from Hamann).</w:t></w:r>
</w:p>
<w:p>
<w:pPr><w:pStyle w:val="Normal"/></w:pPr>
<w:r><w:t xml:space="preserve">king vulture, Sarcorhampus papa, and G.</w:t></w:r>
</w:p>
<w:p>
<w:pPr><w:pStyle w:val="Normal"/></w:pPr>
<w:r><w:t xml:space="preserve">taeniodes in Dicholopus cristatus, a cariama.</w:t></w:r>
</w:p>
<w:p>
<w:pPr><w:pStyle w:val="Normal"/></w:pPr>
<w:r><w:t xml:space="preserve">(iii.) Fam. Neorhynchidae. Sexually mature whilst still</w:t></w:r>
</w:p>
<w:p>
<w:pPr><w:pStyle w:val="Normal"/></w:pPr>
<w:r><w:t xml:space="preserve">in the larval stage. Neorhynchus clavaeceps in Cyprinus</w:t></w:r>
</w:p>
<w:p>
<w:pPr><w:pStyle w:val="Normal"/></w:pPr>
<w:r><w:t xml:space="preserve">carpio has its larval form in the larva of Sialis</w:t></w:r>
</w:p>
<w:p>
<w:pPr><w:pStyle w:val="Normal"/></w:pPr>
<w:r><w:t xml:space="preserve">lularia and in the leech Nephelis octcculii: tact</w:t></w:r>
</w:p>
<w:p>
<w:pPr><w:pStyle w:val="Normal"/></w:pPr>
<w:r><w:t xml:space="preserve">K. agilis is found in Mugil auratus and M. cephalus.</w:t></w:r>
</w:p>
<w:p>
<w:pPr><w:pStyle w:val="Normal"/></w:pPr>
<w:r><w:t xml:space="preserve">(iv.) Apororhynchidae. With no proboscis. This family contains</w:t></w:r>
</w:p>
<w:p>
<w:pPr><w:pStyle w:val="Normal"/></w:pPr>
<w:r><w:t xml:space="preserve">the single  species Apororhynchus hemignathi, found near</w:t></w:r>
</w:p>
<w:p>
<w:pPr><w:pStyle w:val="Normal"/></w:pPr>
<w:r><w:t xml:space="preserve">the anus of Hemignathiis procerus, a Sandwich Island bird.</w:t></w:r>
</w:p>
<w:p>
<w:pPr><w:pStyle w:val="Normal"/></w:pPr>
<w:r><w:t xml:space="preserve">Fig. 5. -- Fully formed larva of Echinorhynchus</w:t></w:r>
</w:p>
<w:p>
<w:pPr><w:pStyle w:val="Normal"/></w:pPr>
<w:r><w:t xml:space="preserve">proteus from the body cavity of Phoxinus laevis</w:t></w:r>
</w:p>
<w:p>
<w:pPr><w:pStyle w:val="Normal"/></w:pPr>
<w:r><w:t xml:space="preserve">(from Hamann). Highly magnified. a, Proboscis;</w:t></w:r>
</w:p>
<w:p>
<w:pPr><w:pStyle w:val="Normal"/></w:pPr>
<w:r><w:t xml:space="preserve">b, bulla; c, neck; d, trunk; e, e, lemnisci.</w:t></w:r>
</w:p>
<w:p>
<w:pPr><w:pStyle w:val="Normal"/></w:pPr>
<w:r><w:t xml:space="preserve">AUTHORITIES. - O. Hamann, O. Jen. Zeitschr. xxv., 1891,</w:t></w:r>
</w:p>
<w:p>
<w:pPr><w:pStyle w:val="Normal"/></w:pPr>
<w:r><w:t xml:space="preserve">p. 113; Zool.  Anz. xv., 1892, 195; J. Kaiser, Bibl.</w:t></w:r>
</w:p>
<w:p>
<w:pPr><w:pStyle w:val="Normal"/></w:pPr>
<w:r><w:t xml:space="preserve">Zool. ii., 1893: A. E. Shipley, Quart.  Journ.  Micr.</w:t></w:r>
</w:p>
<w:p>
<w:pPr><w:pStyle w:val="Normal"/></w:pPr>
<w:r><w:t xml:space="preserve">Sci. Villot, Zool.  Anz. viii., 1885, p. 19. (A. E. S.)</w:t></w:r>
</w:p>
<w:p>
<w:pPr><w:pStyle w:val="Normal"/></w:pPr>
<w:r><w:t xml:space="preserve">ACANTHUS (the Greek and Latin name for the plant, connected</w:t></w:r>
</w:p>
<w:p>
<w:pPr><w:pStyle w:val="Normal"/></w:pPr>
<w:r><w:t xml:space="preserve">with ake, a sharp point), a genus of plants belonging to</w:t></w:r>
</w:p>
<w:p>
<w:pPr><w:pStyle w:val="Normal"/></w:pPr>
<w:r><w:t xml:space="preserve">the natural order Acanthaceae.  The species are natives of</w:t></w:r>
</w:p>
<w:p>
<w:pPr><w:pStyle w:val="Normal"/></w:pPr>
<w:r><w:t xml:space="preserve">the southern parts of Europe and the warmer parts of Asia and</w:t></w:r>
</w:p>
<w:p>
<w:pPr><w:pStyle w:val="Normal"/></w:pPr>
<w:r><w:t xml:space="preserve">Africa.  The best-known is Acanthus mollis (brank-ursine, or</w:t></w:r>
</w:p>
<w:p>
<w:pPr><w:pStyle w:val="Normal"/></w:pPr>
<w:r><w:t xml:space="preserve">bears&apos; breech), a common  species throughout the Mediterranean</w:t></w:r>
</w:p>
<w:p>
<w:pPr><w:pStyle w:val="Normal"/></w:pPr>
<w:r><w:t xml:space="preserve">region, having large, deeply cut, hairy, shining leaves.  Another</w:t></w:r>
</w:p>
<w:p>
<w:pPr><w:pStyle w:val="Normal"/></w:pPr>
<w:r><w:t xml:space="preserve">species, Acanthus spinosus, is so called from its spiny</w:t></w:r>
</w:p>
<w:p>
<w:pPr><w:pStyle w:val="Normal"/></w:pPr>
<w:r><w:t xml:space="preserve">heaves.  They are bold, handsome plants, with stately spikes,</w:t></w:r>
</w:p>
<w:p>
<w:pPr><w:pStyle w:val="Normal"/></w:pPr>
<w:r><w:t xml:space="preserve">2 to 3 ft. high, of flowers with spiny bracts. A. mollis, A.</w:t></w:r>
</w:p>
<w:p>
<w:pPr><w:pStyle w:val="Normal"/></w:pPr>
<w:r><w:t xml:space="preserve">lalifolius and A. longifolius  are broad-leaved species; A.</w:t></w:r>
</w:p>
<w:p>
<w:pPr><w:pStyle w:val="Normal"/></w:pPr>
<w:r><w:t xml:space="preserve">spinosus and A. spinosissimus have narrower, spiny toothed</w:t></w:r>
</w:p>
<w:p>
<w:pPr><w:pStyle w:val="Normal"/></w:pPr>
<w:r><w:t xml:space="preserve">leaves.  In decoration, the acanthus was first reproduced in</w:t></w:r>
</w:p>
<w:p>
<w:pPr><w:pStyle w:val="Normal"/></w:pPr>
<w:r><w:t xml:space="preserve">metal, and subsequently carved in stone by the Greeks.  It was</w:t></w:r>
</w:p>
<w:p>
<w:pPr><w:pStyle w:val="Normal"/></w:pPr>
<w:r><w:t xml:space="preserve">afterwards, with various changes, adopted in all succeeding</w:t></w:r>
</w:p>
<w:p>
<w:pPr><w:pStyle w:val="Normal"/></w:pPr>
<w:r><w:t xml:space="preserve">styles of architecture as a basis of ornamental decoration.</w:t></w:r>
</w:p>
<w:p>
<w:pPr><w:pStyle w:val="Normal"/></w:pPr>
<w:r><w:t xml:space="preserve">There are two types, that found in the Acanthus spinosus,</w:t></w:r>
</w:p>
<w:p>
<w:pPr><w:pStyle w:val="Normal"/></w:pPr>
<w:r><w:t xml:space="preserve">which was followed by the Greeks, and that in the Acanthus</w:t></w:r>
</w:p>
<w:p>
<w:pPr><w:pStyle w:val="Normal"/></w:pPr>
<w:r><w:t xml:space="preserve">mollis, which seems to have been preferred by the Romans.</w:t></w:r>
</w:p>
<w:p>
<w:pPr><w:pStyle w:val="Normal"/></w:pPr>
<w:r><w:t xml:space="preserve">ACAPULCO, a city and port of the state of Guerrero on</w:t></w:r>
</w:p>
<w:p>
<w:pPr><w:pStyle w:val="Normal"/></w:pPr>
<w:r><w:t xml:space="preserve">the Pacific coast of Mexico, 190 m.  S.S.W. of the city</w:t></w:r>
</w:p>
<w:p>
<w:pPr><w:pStyle w:val="Normal"/></w:pPr>
<w:r><w:t xml:space="preserve">of Mexico, Pop. (1900) 4932.  It is located on a deep,</w:t></w:r>
</w:p>
<w:p>
<w:pPr><w:pStyle w:val="Normal"/></w:pPr>
<w:r><w:t xml:space="preserve">semicircular bay, almost land-locked, easy of access, and</w:t></w:r>
</w:p>
<w:p>
<w:pPr><w:pStyle w:val="Normal"/></w:pPr>
<w:r><w:t xml:space="preserve">with so secure an anchorage that vessels can safely lie</w:t></w:r>
</w:p>
<w:p>
<w:pPr><w:pStyle w:val="Normal"/></w:pPr>
<w:r><w:t xml:space="preserve">alongside the rocks that fringe the shore.  It is the best</w:t></w:r>
</w:p>
<w:p>
<w:pPr><w:pStyle w:val="Normal"/></w:pPr>
<w:r><w:t xml:space="preserve">harbour on the Pacific coast of Mexico, and it is a port</w:t></w:r>
</w:p>
<w:p>
<w:pPr><w:pStyle w:val="Normal"/></w:pPr>
<w:r><w:t xml:space="preserve">of Call for steamship lines running between Panama and San</w:t></w:r>
</w:p>
<w:p>
<w:pPr><w:pStyle w:val="Normal"/></w:pPr>
<w:r><w:t xml:space="preserve">Francisco.  The town is built on a narrow strip of low</w:t></w:r>
</w:p>
<w:p>
<w:pPr><w:pStyle w:val="Normal"/></w:pPr>
<w:r><w:t xml:space="preserve">land, scarcely half a mile wide, between the shore line and</w:t></w:r>
</w:p>
<w:p>
<w:pPr><w:pStyle w:val="Normal"/></w:pPr>
<w:r><w:t xml:space="preserve">the lofty mountains that encircle the bay.  There is great</w:t></w:r>
</w:p>
<w:p>
<w:pPr><w:pStyle w:val="Normal"/></w:pPr>
<w:r><w:t xml:space="preserve">natural beauty in the surroundings, but the mountains render</w:t></w:r>
</w:p>
<w:p>
<w:pPr><w:pStyle w:val="Normal"/></w:pPr>
<w:r><w:t xml:space="preserve">the town difficult of access from the interior, and give it</w:t></w:r>
</w:p>
<w:p>
<w:pPr><w:pStyle w:val="Normal"/></w:pPr>
<w:r><w:t xml:space="preserve">an exceptionally hot and unhealthy climate.  The effort to</w:t></w:r>
</w:p>
<w:p>
<w:pPr><w:pStyle w:val="Normal"/></w:pPr>
<w:r><w:t xml:space="preserve">admit the cooling sea breezes by cutting through the mountains</w:t></w:r>
</w:p>
<w:p>
<w:pPr><w:pStyle w:val="Normal"/></w:pPr>
<w:r><w:t xml:space="preserve">a passage called the Abra de San Nicolas had some beneficial</w:t></w:r>
</w:p>
<w:p>
<w:pPr><w:pStyle w:val="Normal"/></w:pPr>
<w:r><w:t xml:space="preserve">effect.  Acapulco was long the most important Mexican port</w:t></w:r>
</w:p>
<w:p>
<w:pPr><w:pStyle w:val="Normal"/></w:pPr>
<w:r><w:t xml:space="preserve">on the Pacific, and the only depot for the Spanish fleets</w:t></w:r>
</w:p>
<w:p>
<w:pPr><w:pStyle w:val="Normal"/></w:pPr>
<w:r><w:t xml:space="preserve">plying between Mexico and Spain&apos;s East Indian colonies from</w:t></w:r>
</w:p>
<w:p>
<w:pPr><w:pStyle w:val="Normal"/></w:pPr>
<w:r><w:t xml:space="preserve">1778 until the independence of Mexico, when this trade was</w:t></w:r>
</w:p>
<w:p>
<w:pPr><w:pStyle w:val="Normal"/></w:pPr>
<w:r><w:t xml:space="preserve">lost.  The town has been chosen as the terminus for two railway</w:t></w:r>
</w:p>
<w:p>
<w:pPr><w:pStyle w:val="Normal"/></w:pPr>
<w:r><w:t xml:space="preserve">lines seeking a Pacific port--the Interoceanic and the Mexican</w:t></w:r>
</w:p>
<w:p>
<w:pPr><w:pStyle w:val="Normal"/></w:pPr>
<w:r><w:t xml:space="preserve">Central.  The town suffered considerably from earthquakes in</w:t></w:r>
</w:p>
<w:p>
<w:pPr><w:pStyle w:val="Normal"/></w:pPr>
<w:r><w:t xml:space="preserve">July and August 1909.  There are exports of hides, cedar and</w:t></w:r>
</w:p>
<w:p>
<w:pPr><w:pStyle w:val="Normal"/></w:pPr>
<w:r><w:t xml:space="preserve">fruit, and the adjacent district of Tabares produces cotton,</w:t></w:r>
</w:p>
<w:p>
<w:pPr><w:pStyle w:val="Normal"/></w:pPr>
<w:r><w:t xml:space="preserve">tobacco, cacao, sugar cane, Indian corn, beans and coffee.</w:t></w:r>
</w:p>
<w:p>
<w:pPr><w:pStyle w:val="Normal"/></w:pPr>
<w:r><w:t xml:space="preserve">ACARNANIA, a district of ancient Greece, bounded on</w:t></w:r>
</w:p>
<w:p>
<w:pPr><w:pStyle w:val="Normal"/></w:pPr>
<w:r><w:t xml:space="preserve">the W. by the Ionian Sea, on the N. by the Ambracian</w:t></w:r>
</w:p>
<w:p>
<w:pPr><w:pStyle w:val="Normal"/></w:pPr>
<w:r><w:t xml:space="preserve">Gulf, on the E. and S. by Mt. Thyamus and the Acholous.</w:t></w:r>
</w:p>
<w:p>
<w:pPr><w:pStyle w:val="Normal"/></w:pPr>
<w:r><w:t xml:space="preserve">The Echinades islands, off the S.W. coast, are gradually</w:t></w:r>
</w:p>
<w:p>
<w:pPr><w:pStyle w:val="Normal"/></w:pPr>
<w:r><w:t xml:space="preserve">being joined up to the mainland.  Its most populous region</w:t></w:r>
</w:p>
<w:p>
<w:pPr><w:pStyle w:val="Normal"/></w:pPr>
<w:r><w:t xml:space="preserve">was the plain of the Acholous, commanded by the principal</w:t></w:r>
</w:p>
<w:p>
<w:pPr><w:pStyle w:val="Normal"/></w:pPr>
<w:r><w:t xml:space="preserve">town Stratus; communication with the coast was impeded by</w:t></w:r>
</w:p>
<w:p>
<w:pPr><w:pStyle w:val="Normal"/></w:pPr>
<w:r><w:t xml:space="preserve">mountain ridges and lagoons.  Its people long continued in</w:t></w:r>
</w:p>
<w:p>
<w:pPr><w:pStyle w:val="Normal"/></w:pPr>
<w:r><w:t xml:space="preserve">semi-barbarism, having little intercourse with the rest of</w:t></w:r>
</w:p>
<w:p>
<w:pPr><w:pStyle w:val="Normal"/></w:pPr>
<w:r><w:t xml:space="preserve">Greece.  In the 5th century B.C. with the aid of Athens</w:t></w:r>
</w:p>
<w:p>
<w:pPr><w:pStyle w:val="Normal"/></w:pPr>
<w:r><w:t xml:space="preserve">they subdued the Corinthian factories on their coast.  In</w:t></w:r>
</w:p>
<w:p>
<w:pPr><w:pStyle w:val="Normal"/></w:pPr>
<w:r><w:t xml:space="preserve">391 they submitted to the Spartan king Agesilaus; in 371</w:t></w:r>
</w:p>
<w:p>
<w:pPr><w:pStyle w:val="Normal"/></w:pPr>
<w:r><w:t xml:space="preserve">they passed under Theban control.  In the Hellenistic age</w:t></w:r>
</w:p>
<w:p>
<w:pPr><w:pStyle w:val="Normal"/></w:pPr>
<w:r><w:t xml:space="preserve">the Acarnanians were constantly assailed by their Aetolian</w:t></w:r>
</w:p>
<w:p>
<w:pPr><w:pStyle w:val="Normal"/></w:pPr>
<w:r><w:t xml:space="preserve">neighbours.  On the advice of Cassander they made effective</w:t></w:r>
</w:p>
<w:p>
<w:pPr><w:pStyle w:val="Normal"/></w:pPr>
<w:r><w:t xml:space="preserve">their ancient cantonal league, apparently after the pattern of</w:t></w:r>
</w:p>
<w:p>
<w:pPr><w:pStyle w:val="Normal"/></w:pPr>
<w:r><w:t xml:space="preserve">Aetolla.  In the 3rd century they obtained assistance from</w:t></w:r>
</w:p>
<w:p>
<w:pPr><w:pStyle w:val="Normal"/></w:pPr>
<w:r><w:t xml:space="preserve">the Illyrians, and formed a close alliance with Philip V. of</w:t></w:r>
</w:p>
<w:p>
<w:pPr><w:pStyle w:val="Normal"/></w:pPr>
<w:r><w:t xml:space="preserve">Macedonia, whom they supported in his Roman wars, their new</w:t></w:r>
</w:p>
<w:p>
<w:pPr><w:pStyle w:val="Normal"/></w:pPr>
<w:r><w:t xml:space="preserve">federal capital, Lencas, standing a siege in his interest.</w:t></w:r>
</w:p>
<w:p>
<w:pPr><w:pStyle w:val="Normal"/></w:pPr>
<w:r><w:t xml:space="preserve">For their sympathy with his successor Perseus they were</w:t></w:r>
</w:p>
<w:p>
<w:pPr><w:pStyle w:val="Normal"/></w:pPr>
<w:r><w:t xml:space="preserve">deprived of Lencas and required to send hostages to Rome</w:t></w:r>
</w:p>
<w:p>
<w:pPr><w:pStyle w:val="Normal"/></w:pPr>
<w:r><w:t xml:space="preserve">(167). The country was finally desolated by Augustus, who</w:t></w:r>
</w:p>
<w:p>
<w:pPr><w:pStyle w:val="Normal"/></w:pPr>
<w:r><w:t xml:space="preserve">drafted its inhabitants into Nicopoiis and Patrae.  Acarnania</w:t></w:r>
</w:p>
<w:p>
<w:pPr><w:pStyle w:val="Normal"/></w:pPr>
<w:r><w:t xml:space="preserve">took a prominent part in the national uprising of 1821; it</w:t></w:r>
</w:p>
<w:p>
<w:pPr><w:pStyle w:val="Normal"/></w:pPr>
<w:r><w:t xml:space="preserve">is now joined with Aetolia as a nome.  The sites of several</w:t></w:r>
</w:p>
<w:p>
<w:pPr><w:pStyle w:val="Normal"/></w:pPr>
<w:r><w:t xml:space="preserve">ancient towns in Acarnania are marked by well preserved</w:t></w:r>
</w:p>
<w:p>
<w:pPr><w:pStyle w:val="Normal"/></w:pPr>
<w:r><w:t xml:space="preserve">walls, especially those of Stratus, Oeniadae and Limnaea.</w:t></w:r>
</w:p>
<w:p>
<w:pPr><w:pStyle w:val="Normal"/></w:pPr>
<w:r><w:t xml:space="preserve">AUTHORITIES.-Strabo vii. 7, x. 2; Thucydides; Polybius iv.</w:t></w:r>
</w:p>
<w:p>
<w:pPr><w:pStyle w:val="Normal"/></w:pPr>
<w:r><w:t xml:space="preserve">40; Livy xxxiii. 16-17; Corpus Inscr.  Graecarum, no. 1739; E.</w:t></w:r>
</w:p>
<w:p>
<w:pPr><w:pStyle w:val="Normal"/></w:pPr>
<w:r><w:t xml:space="preserve">Oberhummer, Akarnanien im Altertum (Munich, 1887); Heuzey, Mt.</w:t></w:r>
</w:p>
<w:p>
<w:pPr><w:pStyle w:val="Normal"/></w:pPr>
<w:r><w:t xml:space="preserve">Olympe et l&apos;Acarnanie (Paris, 1860). (M. O. B. C.; E. GR.)</w:t></w:r>
</w:p>
<w:p>
<w:pPr><w:pStyle w:val="Normal"/></w:pPr>
<w:r><w:t xml:space="preserve">ACARUS (from Gr. akari, a mite), a genus of</w:t></w:r>
</w:p>
<w:p>
<w:pPr><w:pStyle w:val="Normal"/></w:pPr>
<w:r><w:t xml:space="preserve">Arachnids, represented by the cheese mite and other forms.</w:t></w:r>
</w:p>
<w:p>
<w:pPr><w:pStyle w:val="Normal"/></w:pPr>
<w:r><w:t xml:space="preserve">ACASTUS, in Greek legend, the son of Pohas, king of Iolcus in</w:t></w:r>
</w:p>
<w:p>
<w:pPr><w:pStyle w:val="Normal"/></w:pPr>
<w:r><w:t xml:space="preserve">Thessaly (Ovid, Metam. vili. 306; Apollonius Rhodius i. 224;</w:t></w:r>
</w:p>
<w:p>
<w:pPr><w:pStyle w:val="Normal"/></w:pPr>
<w:r><w:t xml:space="preserve">Pindar, Nemea, iv. 54, v. 26). He was a great friend of Jason,</w:t></w:r>
</w:p>
<w:p>
<w:pPr><w:pStyle w:val="Normal"/></w:pPr>
<w:r><w:t xml:space="preserve">and took part in the Calydonian boar-hunt and the Argonautic</w:t></w:r>
</w:p>
<w:p>
<w:pPr><w:pStyle w:val="Normal"/></w:pPr>
<w:r><w:t xml:space="preserve">expedition.  After his father&apos;s death he instituted splendid</w:t></w:r>
</w:p>
<w:p>
<w:pPr><w:pStyle w:val="Normal"/></w:pPr>
<w:r><w:t xml:space="preserve">funeral games in his honour, which were celebrated by artists</w:t></w:r>
</w:p>
<w:p>
<w:pPr><w:pStyle w:val="Normal"/></w:pPr>
<w:r><w:t xml:space="preserve">and poets, such as Stesichorus.  His wife Astydameia (called</w:t></w:r>
</w:p>
<w:p>
<w:pPr><w:pStyle w:val="Normal"/></w:pPr>
<w:r><w:t xml:space="preserve">Hippolyte in Horace, Odes, iii. 7. 17) fell in love with</w:t></w:r>
</w:p>
<w:p>
<w:pPr><w:pStyle w:val="Normal"/></w:pPr>
<w:r><w:t xml:space="preserve">Peleus (q.v.), who had taken refuge at Iolcus, but when her</w:t></w:r>
</w:p>
<w:p>
<w:pPr><w:pStyle w:val="Normal"/></w:pPr>
<w:r><w:t xml:space="preserve">advances were rejected accused him falsely to her husband.</w:t></w:r>
</w:p>
<w:p>
<w:pPr><w:pStyle w:val="Normal"/></w:pPr>
<w:r><w:t xml:space="preserve">Acastus, to avenge his fancied wrongs, left Peleus asleep</w:t></w:r>
</w:p>
<w:p>
<w:pPr><w:pStyle w:val="Normal"/></w:pPr>
<w:r><w:t xml:space="preserve">on Mount Pellon, having first hidden his famous sword.  On</w:t></w:r>
</w:p>
<w:p>
<w:pPr><w:pStyle w:val="Normal"/></w:pPr>
<w:r><w:t xml:space="preserve">awaking, Peleus was attacked by the Centaurs, but saved by</w:t></w:r>
</w:p>
<w:p>
<w:pPr><w:pStyle w:val="Normal"/></w:pPr>
<w:r><w:t xml:space="preserve">Cheiron.  Having re-covered his sword he returned to Iolcus</w:t></w:r>
</w:p>
<w:p>
<w:pPr><w:pStyle w:val="Normal"/></w:pPr>
<w:r><w:t xml:space="preserve">and slew Acastus and Astydameia.  Acastus was represented</w:t></w:r>
</w:p>
<w:p>
<w:pPr><w:pStyle w:val="Normal"/></w:pPr>
<w:r><w:t xml:space="preserve">with his famous horses in the painting of the Argonautic</w:t></w:r>
</w:p>
<w:p>
<w:pPr><w:pStyle w:val="Normal"/></w:pPr>
<w:r><w:t xml:space="preserve">expedition by Micon in the temple of the Dioscuri at Athens.</w:t></w:r>
</w:p>
<w:p>
<w:pPr><w:pStyle w:val="Normal"/></w:pPr>
<w:r><w:t xml:space="preserve">ACATALEPSY (Gr. a-, privative, and katalambanein, to</w:t></w:r>
</w:p>
<w:p>
<w:pPr><w:pStyle w:val="Normal"/></w:pPr>
<w:r><w:t xml:space="preserve">seize), a term used in Scepticism to denote incomprehensibility.</w:t></w:r>
</w:p>
<w:p>
<w:pPr><w:pStyle w:val="Normal"/></w:pPr>
<w:r><w:t xml:space="preserve">ACAULESCENT (Lat. acaulescens, becoming stemless, from a,</w:t></w:r>
</w:p>
<w:p>
<w:pPr><w:pStyle w:val="Normal"/></w:pPr>
<w:r><w:t xml:space="preserve">not, and caulis, a stem), a term used of a plant apparently</w:t></w:r>
</w:p>
<w:p>
<w:pPr><w:pStyle w:val="Normal"/></w:pPr>
<w:r><w:t xml:space="preserve">stemless, as dandelion, the stem being almost suppressed.</w:t></w:r>
</w:p>
<w:p>
<w:pPr><w:pStyle w:val="Normal"/></w:pPr>
<w:r><w:t xml:space="preserve">ACCA LARENTIA (not Laurentia), in Roman legend, the</w:t></w:r>
</w:p>
<w:p>
<w:pPr><w:pStyle w:val="Normal"/></w:pPr>
<w:r><w:t xml:space="preserve">wife of the shepherd Faustulus, who saved the lives of the</w:t></w:r>
</w:p>
<w:p>
<w:pPr><w:pStyle w:val="Normal"/></w:pPr>
<w:r><w:t xml:space="preserve">twins Romulus and Remus after they had been thrown into the</w:t></w:r>
</w:p>
<w:p>
<w:pPr><w:pStyle w:val="Normal"/></w:pPr>
<w:r><w:t xml:space="preserve">Tiber. She had twelve sons, and on the death of one of them</w:t></w:r>
</w:p>
<w:p>
<w:pPr><w:pStyle w:val="Normal"/></w:pPr>
<w:r><w:t xml:space="preserve">Romulus took his place, and with the remaining eleven founded</w:t></w:r>
</w:p>
<w:p>
<w:pPr><w:pStyle w:val="Normal"/></w:pPr>
<w:r><w:t xml:space="preserve">the college of the Arval brothers (Fratres Arvales).  The</w:t></w:r>
</w:p>
<w:p>
<w:pPr><w:pStyle w:val="Normal"/></w:pPr>
<w:r><w:t xml:space="preserve">tradition that Romulus and Remus were suckled by a wolf has</w:t></w:r>
</w:p>
<w:p>
<w:pPr><w:pStyle w:val="Normal"/></w:pPr>
<w:r><w:t xml:space="preserve">been explained by the suggestion that Larentia was called</w:t></w:r>
</w:p>
<w:p>
<w:pPr><w:pStyle w:val="Normal"/></w:pPr>
<w:r><w:t xml:space="preserve">lupa (``courtesan&apos;&apos;, literally ``she-wolf&apos;&apos;) on account</w:t></w:r>
</w:p>
<w:p>
<w:pPr><w:pStyle w:val="Normal"/></w:pPr>
<w:r><w:t xml:space="preserve">of her immoral character (Livy i. 4; Ovid, Fasti, iii.</w:t></w:r>
</w:p>
<w:p>
<w:pPr><w:pStyle w:val="Normal"/></w:pPr>
<w:r><w:t xml:space="preserve">55). According to another account, Larentia was a beautiful</w:t></w:r>
</w:p>
<w:p>
<w:pPr><w:pStyle w:val="Normal"/></w:pPr>
<w:r><w:t xml:space="preserve">girl, whom Hercules won in a game of dice (Macrobius i. 10;</w:t></w:r>
</w:p>
<w:p>
<w:pPr><w:pStyle w:val="Normal"/></w:pPr>
<w:r><w:t xml:space="preserve">Plutarch, Romulus, 4, 5, Quaest.  Rom. 35; Aulus Genius</w:t></w:r>
</w:p>
<w:p>
<w:pPr><w:pStyle w:val="Normal"/></w:pPr>
<w:r><w:t xml:space="preserve">vi. 7). The god advised her to marry the first man she met</w:t></w:r>
</w:p>
<w:p>
<w:pPr><w:pStyle w:val="Normal"/></w:pPr>
<w:r><w:t xml:space="preserve">in the street, who proved to be a wealthy Etruscan named</w:t></w:r>
</w:p>
<w:p>
<w:pPr><w:pStyle w:val="Normal"/></w:pPr>
<w:r><w:t xml:space="preserve">Tarutius.  She inherited all his property and bequeathed it to</w:t></w:r>
</w:p>
<w:p>
<w:pPr><w:pStyle w:val="Normal"/></w:pPr>
<w:r><w:t xml:space="preserve">the Roman people, who out of gratitude instituted in her honour</w:t></w:r>
</w:p>
<w:p>
<w:pPr><w:pStyle w:val="Normal"/></w:pPr>
<w:r><w:t xml:space="preserve">a yearly festival called Larentalia (Dec. 23). According to</w:t></w:r>
</w:p>
<w:p>
<w:pPr><w:pStyle w:val="Normal"/></w:pPr>
<w:r><w:t xml:space="preserve">some, Acca Larentia was the mother of the Lares, and, like</w:t></w:r>
</w:p>
<w:p>
<w:pPr><w:pStyle w:val="Normal"/></w:pPr>
<w:r><w:t xml:space="preserve">Ceres, Teilus, Flora and others, symbolized the fertility</w:t></w:r>
</w:p>
<w:p>
<w:pPr><w:pStyle w:val="Normal"/></w:pPr>
<w:r><w:t xml:space="preserve">of the earth--in particular the city lands and their crops.</w:t></w:r>
</w:p>
<w:p>
<w:pPr><w:pStyle w:val="Normal"/></w:pPr>
<w:r><w:t xml:space="preserve">See Mommsen, ``Die echte und die falsche Larentia,&apos;&apos; in</w:t></w:r>
</w:p>
<w:p>
<w:pPr><w:pStyle w:val="Normal"/></w:pPr>
<w:r><w:t xml:space="preserve">Romische Forschungen, ii. 1879; E. Pais, Ancient</w:t></w:r>
</w:p>
<w:p>
<w:pPr><w:pStyle w:val="Normal"/></w:pPr>
<w:r><w:t xml:space="preserve">Legends of Roman History (Eng. trans. 1906) whose views</w:t></w:r>
</w:p>
<w:p>
<w:pPr><w:pStyle w:val="Normal"/></w:pPr>
<w:r><w:t xml:space="preserve">on the subject are criticized by W. W. Fowler in W. H.</w:t></w:r>
</w:p>
<w:p>
<w:pPr><w:pStyle w:val="Normal"/></w:pPr>
<w:r><w:t xml:space="preserve">D. Rouse&apos;s The Year&apos;s Work in Classical Studies (1907);</w:t></w:r>
</w:p>
<w:p>
<w:pPr><w:pStyle w:val="Heading1"/></w:pPr>
<w:r><w:t>C. Pascal, Studii di alntichita e Mitologia (1896).</w:t></w:r>
</w:p>
<w:p>
<w:pPr><w:pStyle w:val="Normal"/></w:pPr>
<w:r><w:t xml:space="preserve">ACCELERATION (from Lat. accelerare, to hasten, celer,</w:t></w:r>
</w:p>
<w:p>
<w:pPr><w:pStyle w:val="Normal"/></w:pPr>
<w:r><w:t xml:space="preserve">quick), hastening or quickening; in mechanics, a term</w:t></w:r>
</w:p>
<w:p>
<w:pPr><w:pStyle w:val="Normal"/></w:pPr>
<w:r><w:t xml:space="preserve">employed to denote the rate at which the velocity of a</w:t></w:r>
</w:p>
<w:p>
<w:pPr><w:pStyle w:val="Normal"/></w:pPr>
<w:r><w:t xml:space="preserve">body, whose motion is not uniform, either increases</w:t></w:r>
</w:p>
<w:p>
<w:pPr><w:pStyle w:val="Normal"/></w:pPr>
<w:r><w:t xml:space="preserve">or decreases. (See MECHANICS and HODOGRAPH.)</w:t></w:r>
</w:p>
<w:p>
<w:pPr><w:pStyle w:val="Normal"/></w:pPr>
<w:r><w:t xml:space="preserve">ACCENT. The word ``accent&apos;&apos; has its origin in the Lat.</w:t></w:r>
</w:p>
<w:p>
<w:pPr><w:pStyle w:val="Normal"/></w:pPr>
<w:r><w:t xml:space="preserve">accentus, which in its turn is a literal translation of</w:t></w:r>
</w:p>
<w:p>
<w:pPr><w:pStyle w:val="Normal"/></w:pPr>
<w:r><w:t xml:space="preserve">the Gr. prosodia. The early Greek grammarians used this</w:t></w:r>
</w:p>
<w:p>
<w:pPr><w:pStyle w:val="Normal"/></w:pPr>
<w:r><w:t xml:space="preserve">term for the musical accent which characterized their own</w:t></w:r>
</w:p>
<w:p>
<w:pPr><w:pStyle w:val="Normal"/></w:pPr>
<w:r><w:t xml:space="preserve">language, but later the term became specialized for quantity</w:t></w:r>
</w:p>
<w:p>
<w:pPr><w:pStyle w:val="Normal"/></w:pPr>
<w:r><w:t xml:space="preserve">in metre, whence comes the Eng. prosody. Besides various</w:t></w:r>
</w:p>
<w:p>
<w:pPr><w:pStyle w:val="Normal"/></w:pPr>
<w:r><w:t xml:space="preserve">later developments of usage it is important to observe that</w:t></w:r>
</w:p>
<w:p>
<w:pPr><w:pStyle w:val="Normal"/></w:pPr>
<w:r><w:t xml:space="preserve">``accent&apos;&apos; is used in two different and often contrasted</w:t></w:r>
</w:p>
<w:p>
<w:pPr><w:pStyle w:val="Normal"/></w:pPr>
<w:r><w:t xml:space="preserve">senses in connexion with language.  In all languages</w:t></w:r>
</w:p>
<w:p>
<w:pPr><w:pStyle w:val="Normal"/></w:pPr>
<w:r><w:t xml:space="preserve">there are two kinds of accent: (1) musical chromatic or</w:t></w:r>
</w:p>
<w:p>
<w:pPr><w:pStyle w:val="Normal"/></w:pPr>
<w:r><w:t xml:space="preserve">pitch accent; (2) emphatic or stress accent.  The former</w:t></w:r>
</w:p>
<w:p>
<w:pPr><w:pStyle w:val="Normal"/></w:pPr>
<w:r><w:t xml:space="preserve">indicates differences in musical pitch between one sound</w:t></w:r>
</w:p>
<w:p>
<w:pPr><w:pStyle w:val="Normal"/></w:pPr>
<w:r><w:t xml:space="preserve">and another in speech, the latter the difference between</w:t></w:r>
</w:p>
<w:p>
<w:pPr><w:pStyle w:val="Normal"/></w:pPr>
<w:r><w:t xml:space="preserve">one syllable and another which is occasioned by emitting</w:t></w:r>
</w:p>
<w:p>
<w:pPr><w:pStyle w:val="Normal"/></w:pPr>
<w:r><w:t xml:space="preserve">the breath in the production of one syllable with greater</w:t></w:r>
</w:p>
<w:p>
<w:pPr><w:pStyle w:val="Normal"/></w:pPr>
<w:r><w:t xml:space="preserve">energy than is employed for the other syllables of the same</w:t></w:r>
</w:p>
<w:p>
<w:pPr><w:pStyle w:val="Normal"/></w:pPr>
<w:r><w:t xml:space="preserve">word.  These two senses, it is to be noticed, are different</w:t></w:r>
</w:p>
<w:p>
<w:pPr><w:pStyle w:val="Normal"/></w:pPr>
<w:r><w:t xml:space="preserve">from the common usage of the word in the statement that</w:t></w:r>
</w:p>
<w:p>
<w:pPr><w:pStyle w:val="Normal"/></w:pPr>
<w:r><w:t xml:space="preserve">some one talks with a foreign or with a vulgar accent.  In</w:t></w:r>
</w:p>
<w:p>
<w:pPr><w:pStyle w:val="Normal"/></w:pPr>
<w:r><w:t xml:space="preserve">these cases, no doubt, both differences of intonation and</w:t></w:r>
</w:p>
<w:p>
<w:pPr><w:pStyle w:val="Normal"/></w:pPr>
<w:r><w:t xml:space="preserve">differences of stress may be included in the statement, but</w:t></w:r>
</w:p>
<w:p>
<w:pPr><w:pStyle w:val="Normal"/></w:pPr>
<w:r><w:t xml:space="preserve">other elements are frequently no less marked, e.g. the</w:t></w:r>
</w:p>
<w:p>
<w:pPr><w:pStyle w:val="Normal"/></w:pPr>
<w:r><w:t xml:space="preserve">pronunciation of t and d as real dentals, whereas the</w:t></w:r>
</w:p>
<w:p>
<w:pPr><w:pStyle w:val="Normal"/></w:pPr>
<w:r><w:t xml:space="preserve">English sounds so described are really produced not against</w:t></w:r>
</w:p>
<w:p>
<w:pPr><w:pStyle w:val="Normal"/></w:pPr>
<w:r><w:t xml:space="preserve">the teeth but against their sockets, the inability to produce</w:t></w:r>
</w:p>
<w:p>
<w:pPr><w:pStyle w:val="Normal"/></w:pPr>
<w:r><w:t xml:space="preserve">the interdental th whether breathed as in thin or voiced</w:t></w:r>
</w:p>
<w:p>
<w:pPr><w:pStyle w:val="Normal"/></w:pPr>
<w:r><w:t xml:space="preserve">as in this and its representation by d or z, the</w:t></w:r>
</w:p>
<w:p>
<w:pPr><w:pStyle w:val="Normal"/></w:pPr>
<w:r><w:t xml:space="preserve">production of o as a uniform sound instead of one ending as</w:t></w:r>
</w:p>
<w:p>
<w:pPr><w:pStyle w:val="Normal"/></w:pPr>
<w:r><w:t xml:space="preserve">in English in a slight u sound, or such dialect changes as</w:t></w:r>
</w:p>
<w:p>
<w:pPr><w:pStyle w:val="Normal"/></w:pPr>
<w:r><w:t xml:space="preserve">lydy (laidy) for lady, or toime for time (taime).</w:t></w:r>
</w:p>
<w:p>
<w:pPr><w:pStyle w:val="Normal"/></w:pPr>
<w:r><w:t xml:space="preserve">In different languages the relations between pitch and stress</w:t></w:r>
</w:p>
<w:p>
<w:pPr><w:pStyle w:val="Normal"/></w:pPr>
<w:r><w:t xml:space="preserve">differ very greatly.  In some the pitch or musical accent</w:t></w:r>
</w:p>
<w:p>
<w:pPr><w:pStyle w:val="Normal"/></w:pPr>
<w:r><w:t xml:space="preserve">predominates.  In such languages if signs are employed to</w:t></w:r>
</w:p>
<w:p>
<w:pPr><w:pStyle w:val="Normal"/></w:pPr>
<w:r><w:t xml:space="preserve">mark the position of the chief accent in the word it will</w:t></w:r>
</w:p>
<w:p>
<w:pPr><w:pStyle w:val="Normal"/></w:pPr>
<w:r><w:t xml:space="preserve">be the pitch and not the stress accent which will be thus</w:t></w:r>
</w:p>
<w:p>
<w:pPr><w:pStyle w:val="Normal"/></w:pPr>
<w:r><w:t xml:space="preserve">indicated.  Amongst the languages of ancient times Sanskrit</w:t></w:r>
</w:p>
<w:p>
<w:pPr><w:pStyle w:val="Normal"/></w:pPr>
<w:r><w:t xml:space="preserve">and Greek both indicate by signs the position of the chief</w:t></w:r>
</w:p>
<w:p>
<w:pPr><w:pStyle w:val="Normal"/></w:pPr>
<w:r><w:t xml:space="preserve">pitch accent in the word, and the same method has been</w:t></w:r>
</w:p>
<w:p>
<w:pPr><w:pStyle w:val="Normal"/></w:pPr>
<w:r><w:t xml:space="preserve">employed in modern times for languages in which pitch accent</w:t></w:r>
</w:p>
<w:p>
<w:pPr><w:pStyle w:val="Normal"/></w:pPr>
<w:r><w:t xml:space="preserve">is welf marked, as it is, for example in Lithuanian, the</w:t></w:r>
</w:p>
<w:p>
<w:pPr><w:pStyle w:val="Normal"/></w:pPr>
<w:r><w:t xml:space="preserve">language still spoken by some two millions of people on the</w:t></w:r>
</w:p>
<w:p>
<w:pPr><w:pStyle w:val="Normal"/></w:pPr>
<w:r><w:t xml:space="preserve">frontier between Prussia and Russia in the neighbourhood</w:t></w:r>
</w:p>
<w:p>
<w:pPr><w:pStyle w:val="Normal"/></w:pPr>
<w:r><w:t xml:space="preserve">of Konigsberg and Vilna.  Swedish also has a well-marked</w:t></w:r>
</w:p>
<w:p>
<w:pPr><w:pStyle w:val="Normal"/></w:pPr>
<w:r><w:t xml:space="preserve">musical accent.  Modern Greek has changed from pitch to</w:t></w:r>
</w:p>
<w:p>
<w:pPr><w:pStyle w:val="Normal"/></w:pPr>
<w:r><w:t xml:space="preserve">stress, the stress being generally laid upon the same</w:t></w:r>
</w:p>
<w:p>
<w:pPr><w:pStyle w:val="Normal"/></w:pPr>
<w:r><w:t xml:space="preserve">syllable in modern as bore the pitch accent in ancient Greek.</w:t></w:r>
</w:p>
<w:p>
<w:pPr><w:pStyle w:val="Normal"/></w:pPr>
<w:r><w:t xml:space="preserve">In the majority of European languages, however, stress is</w:t></w:r>
</w:p>
<w:p>
<w:pPr><w:pStyle w:val="Normal"/></w:pPr>
<w:r><w:t xml:space="preserve">more conspicuous than pitch, and there is plenty of evidence</w:t></w:r>
</w:p>
<w:p>
<w:pPr><w:pStyle w:val="Normal"/></w:pPr>
<w:r><w:t xml:space="preserve">to show that the original language from which Greek, Latin,</w:t></w:r>
</w:p>
<w:p>
<w:pPr><w:pStyle w:val="Normal"/></w:pPr>
<w:r><w:t xml:space="preserve">Celtic, Teutonic, Slavonic and other languages of Europe are</w:t></w:r>
</w:p>
<w:p>
<w:pPr><w:pStyle w:val="Normal"/></w:pPr>
<w:r><w:t xml:space="preserve">descended, possessed stress accent also in a marked degree.</w:t></w:r>
</w:p>
<w:p>
<w:pPr><w:pStyle w:val="Normal"/></w:pPr>
<w:r><w:t xml:space="preserve">To the existence of this accent must be attributed a large</w:t></w:r>
</w:p>
<w:p>
<w:pPr><w:pStyle w:val="Heading1"/></w:pPr>
<w:r><w:t>part of the phenomena known as Ablaut or Gradation (see</w:t></w:r>
</w:p>
<w:p>
<w:pPr><w:pStyle w:val="Normal"/></w:pPr>
<w:r><w:t xml:space="preserve">INDO-EUROPEAN LANGUAGES).  In modern languages we can see</w:t></w:r>
</w:p>
<w:p>
<w:pPr><w:pStyle w:val="Normal"/></w:pPr>
<w:r><w:t xml:space="preserve">the same principle at work making Acton out of the O. Eng.</w:t></w:r>
</w:p>
<w:p>
<w:pPr><w:pStyle w:val="Normal"/></w:pPr>
<w:r><w:t xml:space="preserve">(Anglo-Saxon) ac-tun (oak-town), and in more recent times</w:t></w:r>
</w:p>
<w:p>
<w:pPr><w:pStyle w:val="Normal"/></w:pPr>
<w:r><w:t xml:space="preserve">producing the contrast between New Town and Newton. In</w:t></w:r>
</w:p>
<w:p>
<w:pPr><w:pStyle w:val="Normal"/></w:pPr>
<w:r><w:t xml:space="preserve">French, stress is less marked than it is in English, but</w:t></w:r>
</w:p>
<w:p>
<w:pPr><w:pStyle w:val="Normal"/></w:pPr>
<w:r><w:t xml:space="preserve">here also there is evidence to show that in the development</w:t></w:r>
</w:p>
<w:p>
<w:pPr><w:pStyle w:val="Normal"/></w:pPr>
<w:r><w:t xml:space="preserve">from Latin to French a very strong stress accent must have</w:t></w:r>
</w:p>
<w:p>
<w:pPr><w:pStyle w:val="Normal"/></w:pPr>
<w:r><w:t xml:space="preserve">existed.  The natural result of producing one syllable of a</w:t></w:r>
</w:p>
<w:p>
<w:pPr><w:pStyle w:val="Normal"/></w:pPr>
<w:r><w:t xml:space="preserve">word with greater energy than the others is that the other</w:t></w:r>
</w:p>
<w:p>
<w:pPr><w:pStyle w:val="Normal"/></w:pPr>
<w:r><w:t xml:space="preserve">syllables have a less proportion of breath assigned to</w:t></w:r>
</w:p>
<w:p>
<w:pPr><w:pStyle w:val="Normal"/></w:pPr>
<w:r><w:t xml:space="preserve">them and therefore tend to become indistinct or altogether</w:t></w:r>
</w:p>
<w:p>
<w:pPr><w:pStyle w:val="Normal"/></w:pPr>
<w:r><w:t xml:space="preserve">inaudible.  Thus the strong stress accent existing in the</w:t></w:r>
</w:p>
<w:p>
<w:pPr><w:pStyle w:val="Normal"/></w:pPr>
<w:r><w:t xml:space="preserve">transition period between Latin and French led to the curtailing</w:t></w:r>
</w:p>
<w:p>
<w:pPr><w:pStyle w:val="Normal"/></w:pPr>
<w:r><w:t xml:space="preserve">of long Latin words like latrocinium or hospitale into</w:t></w:r>
</w:p>
<w:p>
<w:pPr><w:pStyle w:val="Normal"/></w:pPr>
<w:r><w:t xml:space="preserve">the words which we have borrowed from French into English</w:t></w:r>
</w:p>
<w:p>
<w:pPr><w:pStyle w:val="Normal"/></w:pPr>
<w:r><w:t xml:space="preserve">as larceny and hotel. It will be observed that the first</w:t></w:r>
</w:p>
<w:p>
<w:pPr><w:pStyle w:val="Normal"/></w:pPr>
<w:r><w:t xml:space="preserve">syllable and that which bears the accent are the two which</w:t></w:r>
</w:p>
<w:p>
<w:pPr><w:pStyle w:val="Normal"/></w:pPr>
<w:r><w:t xml:space="preserve">best withstand change, though the strong tendency in English</w:t></w:r>
</w:p>
<w:p>
<w:pPr><w:pStyle w:val="Normal"/></w:pPr>
<w:r><w:t xml:space="preserve">to stress heavily the first syllable bids fair ultimately</w:t></w:r>
</w:p>
<w:p>
<w:pPr><w:pStyle w:val="Normal"/></w:pPr>
<w:r><w:t xml:space="preserve">to oust the e in the pronunciation of larceny. No such</w:t></w:r>
</w:p>
<w:p>
<w:pPr><w:pStyle w:val="Normal"/></w:pPr>
<w:r><w:t xml:space="preserve">changes arise when a strong pitch accent is accompanied</w:t></w:r>
</w:p>
<w:p>
<w:pPr><w:pStyle w:val="Normal"/></w:pPr>
<w:r><w:t xml:space="preserve">by a weaker stress accent, and hence languages like</w:t></w:r>
</w:p>
<w:p>
<w:pPr><w:pStyle w:val="Normal"/></w:pPr>
<w:r><w:t xml:space="preserve">ancient Sanskrit and ancient Greek, where such conditions</w:t></w:r>
</w:p>
<w:p>
<w:pPr><w:pStyle w:val="Normal"/></w:pPr>
<w:r><w:t xml:space="preserve">existed, preserve fuller forms than their sister languages</w:t></w:r>
</w:p>
<w:p>
<w:pPr><w:pStyle w:val="Normal"/></w:pPr>
<w:r><w:t xml:space="preserve">or than even their own descendants, when stress takes the</w:t></w:r>
</w:p>
<w:p>
<w:pPr><w:pStyle w:val="Normal"/></w:pPr>
<w:r><w:t xml:space="preserve">place of pitch as the more important element in accent.</w:t></w:r>
</w:p>
<w:p>
<w:pPr><w:pStyle w:val="Normal"/></w:pPr>
<w:r><w:t xml:space="preserve">In both pitch and stress accent different gradations may be</w:t></w:r>
</w:p>
<w:p>
<w:pPr><w:pStyle w:val="Normal"/></w:pPr>
<w:r><w:t xml:space="preserve">observed.  In pitch, the accent may be uniform, rising or</w:t></w:r>
</w:p>
<w:p>
<w:pPr><w:pStyle w:val="Normal"/></w:pPr>
<w:r><w:t xml:space="preserve">falling.  Or there may be combinations of rising and falling</w:t></w:r>
</w:p>
<w:p>
<w:pPr><w:pStyle w:val="Normal"/></w:pPr>
<w:r><w:t xml:space="preserve">or of falling and rising accents upon the same syllable.</w:t></w:r>
</w:p>
<w:p>
<w:pPr><w:pStyle w:val="Normal"/></w:pPr>
<w:r><w:t xml:space="preserve">In ancient Greek, as is well known, three accents are</w:t></w:r>
</w:p>
<w:p>
<w:pPr><w:pStyle w:val="Normal"/></w:pPr>
<w:r><w:t xml:space="preserve">distinguished--(1) the acute (&apos;), a rising accent; (2) the</w:t></w:r>
</w:p>
<w:p>
<w:pPr><w:pStyle w:val="Normal"/></w:pPr>
<w:r><w:t xml:space="preserve">grave (`), apparently merely the indication that in particular</w:t></w:r>
</w:p>
<w:p>
<w:pPr><w:pStyle w:val="Normal"/></w:pPr>
<w:r><w:t xml:space="preserve">positions in the sentence the acute accent is not used where</w:t></w:r>
</w:p>
<w:p>
<w:pPr><w:pStyle w:val="Normal"/></w:pPr>
<w:r><w:t xml:space="preserve">it would occur in the isolated word; and (3) the circumflex,</w:t></w:r>
</w:p>
<w:p>
<w:pPr><w:pStyle w:val="Normal"/></w:pPr>
<w:r><w:t xml:space="preserve">which, as its form (^) shows, and as the ancient grammarians</w:t></w:r>
</w:p>
<w:p>
<w:pPr><w:pStyle w:val="Normal"/></w:pPr>
<w:r><w:t xml:space="preserve">inform us, is a combination of the rising and the falling</w:t></w:r>
</w:p>
<w:p>
<w:pPr><w:pStyle w:val="Normal"/></w:pPr>
<w:r><w:t xml:space="preserve">accent upon the same syllable, this syllable being always</w:t></w:r>
</w:p>
<w:p>
<w:pPr><w:pStyle w:val="Normal"/></w:pPr>
<w:r><w:t xml:space="preserve">long.  Different Greek dialects, however, varied the syllables</w:t></w:r>
</w:p>
<w:p>
<w:pPr><w:pStyle w:val="Normal"/></w:pPr>
<w:r><w:t xml:space="preserve">of the word on which the accent occurred, Aeolic Greek,</w:t></w:r>
</w:p>
<w:p>
<w:pPr><w:pStyle w:val="Normal"/></w:pPr>
<w:r><w:t xml:space="preserve">for example, never putting the acute on the last syllable</w:t></w:r>
</w:p>
<w:p>
<w:pPr><w:pStyle w:val="Normal"/></w:pPr>
<w:r><w:t xml:space="preserve">of a word, while Attic Greek had many words so accented.</w:t></w:r>
</w:p>
<w:p>
<w:pPr><w:pStyle w:val="Normal"/></w:pPr>
<w:r><w:t xml:space="preserve">The pitch accent of the Indo-European languages was originally</w:t></w:r>
</w:p>
<w:p>
<w:pPr><w:pStyle w:val="Normal"/></w:pPr>
<w:r><w:t xml:space="preserve">free, i.e. might occur on any syllable of a word, and</w:t></w:r>
</w:p>
<w:p>
<w:pPr><w:pStyle w:val="Normal"/></w:pPr>
<w:r><w:t xml:space="preserve">this condition of things is still found in the earliest</w:t></w:r>
</w:p>
<w:p>
<w:pPr><w:pStyle w:val="Normal"/></w:pPr>
<w:r><w:t xml:space="preserve">Sanskrit literature. But in Greek before historical times</w:t></w:r>
</w:p>
<w:p>
<w:pPr><w:pStyle w:val="Normal"/></w:pPr>
<w:r><w:t xml:space="preserve">the accent had become limited to the last three syllables</w:t></w:r>
</w:p>
<w:p>
<w:pPr><w:pStyle w:val="Normal"/></w:pPr>
<w:r><w:t xml:space="preserve">of a word, so that a long word like the Homeric genitive</w:t></w:r>
</w:p>
<w:p>
<w:pPr><w:pStyle w:val="Normal"/></w:pPr>
<w:r><w:t xml:space="preserve">feromenoio could in no circumstances be accented on</w:t></w:r>
</w:p>
<w:p>
<w:pPr><w:pStyle w:val="Normal"/></w:pPr>
<w:r><w:t xml:space="preserve">either of its first two syllables, while if the final</w:t></w:r>
</w:p>
<w:p>
<w:pPr><w:pStyle w:val="Normal"/></w:pPr>
<w:r><w:t xml:space="preserve">syllable was long, as in the accusative plural feromenous,</w:t></w:r>
</w:p>
<w:p>
<w:pPr><w:pStyle w:val="Normal"/></w:pPr>
<w:r><w:t xml:space="preserve">the accent could go back only to the second syllable from</w:t></w:r>
</w:p>
<w:p>
<w:pPr><w:pStyle w:val="Normal"/></w:pPr>
<w:r><w:t xml:space="preserve">the end. As every vowel has its own natural pitch, and a</w:t></w:r>
</w:p>
<w:p>
<w:pPr><w:pStyle w:val="Normal"/></w:pPr>
<w:r><w:t xml:space="preserve">frequent interchange between e ( a high vowel) and o</w:t></w:r>
</w:p>
<w:p>
<w:pPr><w:pStyle w:val="Normal"/></w:pPr>
<w:r><w:t xml:space="preserve">(a low vowel) occurs in the Indo-European languages, it has</w:t></w:r>
</w:p>
<w:p>
<w:pPr><w:pStyle w:val="Normal"/></w:pPr>
<w:r><w:t xml:space="preserve">been suggested that e originally went with the highest</w:t></w:r>
</w:p>
<w:p>
<w:pPr><w:pStyle w:val="Normal"/></w:pPr>
<w:r><w:t xml:space="preserve">pitch accent, while o appeared in syllables of a lower</w:t></w:r>
</w:p>
<w:p>
<w:pPr><w:pStyle w:val="Normal"/></w:pPr>
<w:r><w:t xml:space="preserve">pitch.  But if there is any foundation for the theory, which</w:t></w:r>
</w:p>
<w:p>
<w:pPr><w:pStyle w:val="Normal"/></w:pPr>
<w:r><w:t xml:space="preserve">is by no means certain, its effects have been distorted</w:t></w:r>
</w:p>
<w:p>
<w:pPr><w:pStyle w:val="Normal"/></w:pPr>
<w:r><w:t xml:space="preserve">and modified by all manner of analogical processes.  Thus</w:t></w:r>
</w:p>
<w:p>
<w:pPr><w:pStyle w:val="Normal"/></w:pPr>
<w:r><w:t xml:space="preserve">poimen with acute accent and daimon with the acute accent</w:t></w:r>
</w:p>
<w:p>
<w:pPr><w:pStyle w:val="Normal"/></w:pPr>
<w:r><w:t xml:space="preserve">on the preceding syllable would correspond to the rule, so</w:t></w:r>
</w:p>
<w:p>
<w:pPr><w:pStyle w:val="Normal"/></w:pPr>
<w:r><w:t xml:space="preserve">would aletes and epos, but there are many exceptions</w:t></w:r>
</w:p>
<w:p>
<w:pPr><w:pStyle w:val="Normal"/></w:pPr>
<w:r><w:t xml:space="preserve">like odos where the acute accent accompanies an o</w:t></w:r>
</w:p>
<w:p>
<w:pPr><w:pStyle w:val="Normal"/></w:pPr>
<w:r><w:t xml:space="preserve">vowel.  Somewhat similar distinctions characterize syllables</w:t></w:r>
</w:p>
<w:p>
<w:pPr><w:pStyle w:val="Normal"/></w:pPr>
<w:r><w:t xml:space="preserve">which are stressed.  The strength of the expiration may be</w:t></w:r>
</w:p>
<w:p>
<w:pPr><w:pStyle w:val="Normal"/></w:pPr>
<w:r><w:t xml:space="preserve">greatest either at the beginning, the end or the middle of</w:t></w:r>
</w:p>
<w:p>
<w:pPr><w:pStyle w:val="Normal"/></w:pPr>
<w:r><w:t xml:space="preserve">the syllable, and, according as it is so, the accent is a</w:t></w:r>
</w:p>
<w:p>
<w:pPr><w:pStyle w:val="Normal"/></w:pPr>
<w:r><w:t xml:space="preserve">failing, a rising, or a rising and falling one. Syllables in</w:t></w:r>
</w:p>
<w:p>
<w:pPr><w:pStyle w:val="Normal"/></w:pPr>
<w:r><w:t xml:space="preserve">which the stress is produced continuously whether increasing</w:t></w:r>
</w:p>
<w:p>
<w:pPr><w:pStyle w:val="Normal"/></w:pPr>
<w:r><w:t xml:space="preserve">or decreasing are called single-pointed syllables, those in</w:t></w:r>
</w:p>
<w:p>
<w:pPr><w:pStyle w:val="Normal"/></w:pPr>
<w:r><w:t xml:space="preserve">which a variation in the stress occurs without being strong</w:t></w:r>
</w:p>
<w:p>
<w:pPr><w:pStyle w:val="Normal"/></w:pPr>
<w:r><w:t xml:space="preserve">enough to break the syllable into two are called double-pointed</w:t></w:r>
</w:p>
<w:p>
<w:pPr><w:pStyle w:val="Normal"/></w:pPr>
<w:r><w:t xml:space="preserve">syllables.  These last occur in some English dialects, but</w:t></w:r>
</w:p>
<w:p>
<w:pPr><w:pStyle w:val="Normal"/></w:pPr>
<w:r><w:t xml:space="preserve">are commonest in languages like Swedish and Lithuanian, which</w:t></w:r>
</w:p>
<w:p>
<w:pPr><w:pStyle w:val="Normal"/></w:pPr>
<w:r><w:t xml:space="preserve">have a ``sing-song&apos;&apos; pronunciation.  It is often not easy</w:t></w:r>
</w:p>
<w:p>
<w:pPr><w:pStyle w:val="Normal"/></w:pPr>
<w:r><w:t xml:space="preserve">to decide whether a syllable is double-pointed or whether</w:t></w:r>
</w:p>
<w:p>
<w:pPr><w:pStyle w:val="Normal"/></w:pPr>
<w:r><w:t xml:space="preserve">what we hear is really two-single-pointed syllables.  There</w:t></w:r>
</w:p>
<w:p>
<w:pPr><w:pStyle w:val="Normal"/></w:pPr>
<w:r><w:t xml:space="preserve">is no separate notation for stress accent, but the acute (&apos;)</w:t></w:r>
</w:p>
<w:p>
<w:pPr><w:pStyle w:val="Normal"/></w:pPr>
<w:r><w:t xml:space="preserve">is used for the increasing, the grave (`) for the decreasing</w:t></w:r>
</w:p>
<w:p>
<w:pPr><w:pStyle w:val="Normal"/></w:pPr>
<w:r><w:t xml:space="preserve">stress, and the circumflex (^) for the rising and falling</w:t></w:r>
</w:p>
<w:p>
<w:pPr><w:pStyle w:val="Normal"/></w:pPr>
<w:r><w:t xml:space="preserve">(increasing and decreasing) and (@) for the opposite.  A</w:t></w:r>
</w:p>
<w:p>
<w:pPr><w:pStyle w:val="Normal"/></w:pPr>
<w:r><w:t xml:space="preserve">separate notation is much to be desired, as the nature of the</w:t></w:r>
</w:p>
<w:p>
<w:pPr><w:pStyle w:val="Normal"/></w:pPr>
<w:r><w:t xml:space="preserve">two accents is so different, and could easily be devised by</w:t></w:r>
</w:p>
<w:p>
<w:pPr><w:pStyle w:val="Normal"/></w:pPr>
<w:r><w:t xml:space="preserve">using (@) for the falling, (&apos;) for the rising stress, and</w:t></w:r>
</w:p>
<w:p>
<w:pPr><w:pStyle w:val="Normal"/></w:pPr>
<w:r><w:t xml:space="preserve">(@) for the combination of the two in one syllable.  This</w:t></w:r>
</w:p>
<w:p>
<w:pPr><w:pStyle w:val="Normal"/></w:pPr>
<w:r><w:t xml:space="preserve">would be clearer than the upright stroke (|) preceding the</w:t></w:r>
</w:p>
<w:p>
<w:pPr><w:pStyle w:val="Normal"/></w:pPr>
<w:r><w:t xml:space="preserve">stressed syllable, which is used in some phonetic works.</w:t></w:r>
</w:p>
<w:p>
<w:pPr><w:pStyle w:val="Normal"/></w:pPr>
<w:r><w:t xml:space="preserve">The relation between the two accents in the same language</w:t></w:r>
</w:p>
<w:p>
<w:pPr><w:pStyle w:val="Normal"/></w:pPr>
<w:r><w:t xml:space="preserve">at the same time is a subject which requires further</w:t></w:r>
</w:p>
<w:p>
<w:pPr><w:pStyle w:val="Normal"/></w:pPr>
<w:r><w:t xml:space="preserve">investigation.  It is generally assumed that the chief stress</w:t></w:r>
</w:p>
<w:p>
<w:pPr><w:pStyle w:val="Normal"/></w:pPr>
<w:r><w:t xml:space="preserve">and the chief pitch in a word coincide, but this is by no</w:t></w:r>
</w:p>
<w:p>
<w:pPr><w:pStyle w:val="Normal"/></w:pPr>
<w:r><w:t xml:space="preserve">means certain for all cases, though the incidence of the chief</w:t></w:r>
</w:p>
<w:p>
<w:pPr><w:pStyle w:val="Normal"/></w:pPr>
<w:r><w:t xml:space="preserve">stress accent in modern Greek upon the same syllable as had</w:t></w:r>
</w:p>
<w:p>
<w:pPr><w:pStyle w:val="Normal"/></w:pPr>
<w:r><w:t xml:space="preserve">the chief pitch accent in ancient times suggests that the</w:t></w:r>
</w:p>
<w:p>
<w:pPr><w:pStyle w:val="Normal"/></w:pPr>
<w:r><w:t xml:space="preserve">two did frequently fall upon the same syllable.  On the other</w:t></w:r>
</w:p>
<w:p>
<w:pPr><w:pStyle w:val="Normal"/></w:pPr>
<w:r><w:t xml:space="preserve">hand, in words like the Sanskrit sapta, the Gr. epta,</w:t></w:r>
</w:p>
<w:p>
<w:pPr><w:pStyle w:val="Normal"/></w:pPr>
<w:r><w:t xml:space="preserve">the pitch accent which those languages indicate is upon a</w:t></w:r>
</w:p>
<w:p>
<w:pPr><w:pStyle w:val="Normal"/></w:pPr>
<w:r><w:t xml:space="preserve">syllable which certainly, in the earliest times at least,</w:t></w:r>
</w:p>
<w:p>
<w:pPr><w:pStyle w:val="Normal"/></w:pPr>
<w:r><w:t xml:space="preserve">did not possess the principal stress.  For forms in other</w:t></w:r>
</w:p>
<w:p>
<w:pPr><w:pStyle w:val="Normal"/></w:pPr>
<w:r><w:t xml:space="preserve">languages, like the Lat. septem or the Gothic sibun, show</w:t></w:r>
</w:p>
<w:p>
<w:pPr><w:pStyle w:val="Normal"/></w:pPr>
<w:r><w:t xml:space="preserve">that the a of the final syllables in Sanskrit and Greek is</w:t></w:r>
</w:p>
<w:p>
<w:pPr><w:pStyle w:val="Normal"/></w:pPr>
<w:r><w:t xml:space="preserve">the representative of a reduced syllable in which, even in the</w:t></w:r>
</w:p>
<w:p>
<w:pPr><w:pStyle w:val="Normal"/></w:pPr>
<w:r><w:t xml:space="preserve">earliest times, the nasal alone existed (see under N for the</w:t></w:r>
</w:p>
<w:p>
<w:pPr><w:pStyle w:val="Normal"/></w:pPr>
<w:r><w:t xml:space="preserve">history of these so-called sonant nasals).  It is possible that</w:t></w:r>
</w:p>
<w:p>
<w:pPr><w:pStyle w:val="Normal"/></w:pPr>
<w:r><w:t xml:space="preserve">sporadic changes of accent, as in the Gr. meter compared</w:t></w:r>
</w:p>
<w:p>
<w:pPr><w:pStyle w:val="Normal"/></w:pPr>
<w:r><w:t xml:space="preserve">with the Sanskrit mata, is owing to the shifting of the</w:t></w:r>
</w:p>
<w:p>
<w:pPr><w:pStyle w:val="Normal"/></w:pPr>
<w:r><w:t xml:space="preserve">pitch accent to the same syllable as the stress occupied.</w:t></w:r>
</w:p>
<w:p>
<w:pPr><w:pStyle w:val="Normal"/></w:pPr>
<w:r><w:t xml:space="preserve">There is no lack of evidence to show that the stress accent</w:t></w:r>
</w:p>
<w:p>
<w:pPr><w:pStyle w:val="Normal"/></w:pPr>
<w:r><w:t xml:space="preserve">also may shift its position in the history of a language from</w:t></w:r>
</w:p>
<w:p>
<w:pPr><w:pStyle w:val="Normal"/></w:pPr>
<w:r><w:t xml:space="preserve">one syllable to another.  In prehistoric times the stress</w:t></w:r>
</w:p>
<w:p>
<w:pPr><w:pStyle w:val="Normal"/></w:pPr>
<w:r><w:t xml:space="preserve">in Latin must have rested upon the first syllable in all</w:t></w:r>
</w:p>
<w:p>
<w:pPr><w:pStyle w:val="Normal"/></w:pPr>
<w:r><w:t xml:space="preserve">cases.  Only on this hypothesis can be explained forms like</w:t></w:r>
</w:p>
<w:p>
<w:pPr><w:pStyle w:val="Normal"/></w:pPr>
<w:r><w:t xml:space="preserve">peperci (perfect of parco) and collido (a compound</w:t></w:r>
</w:p>
<w:p>
<w:pPr><w:pStyle w:val="Normal"/></w:pPr>
<w:r><w:t xml:space="preserve">of laedo). In historical times, when the stress in Latin</w:t></w:r>
</w:p>
<w:p>
<w:pPr><w:pStyle w:val="Normal"/></w:pPr>
<w:r><w:t xml:space="preserve">was on the second syllable from the end of the word if that</w:t></w:r>
</w:p>
<w:p>
<w:pPr><w:pStyle w:val="Normal"/></w:pPr>
<w:r><w:t xml:space="preserve">syllable was long, or on the third syllable from the end if</w:t></w:r>
</w:p>
<w:p>
<w:pPr><w:pStyle w:val="Normal"/></w:pPr>
<w:r><w:t xml:space="preserve">the second from the end was short, we should have expected</w:t></w:r>
</w:p>
<w:p>
<w:pPr><w:pStyle w:val="Normal"/></w:pPr>
<w:r><w:t xml:space="preserve">to find *peparci and *collaedo, for throughout the</w:t></w:r>
</w:p>
<w:p>
<w:pPr><w:pStyle w:val="Normal"/></w:pPr>
<w:r><w:t xml:space="preserve">historical period the stress rested in these words upon the</w:t></w:r>
</w:p>
<w:p>
<w:pPr><w:pStyle w:val="Normal"/></w:pPr>
<w:r><w:t xml:space="preserve">second syllable from the end.  The causes for the change of</w:t></w:r>
</w:p>
<w:p>
<w:pPr><w:pStyle w:val="Normal"/></w:pPr>
<w:r><w:t xml:space="preserve">position are not always easy to ascertain.  In words of four</w:t></w:r>
</w:p>
<w:p>
<w:pPr><w:pStyle w:val="Normal"/></w:pPr>
<w:r><w:t xml:space="preserve">syllables with a long penult and words of five syllables</w:t></w:r>
</w:p>
<w:p>
<w:pPr><w:pStyle w:val="Normal"/></w:pPr>
<w:r><w:t xml:space="preserve">with a short penult there probably developed a secondary</w:t></w:r>
</w:p>
<w:p>
<w:pPr><w:pStyle w:val="Normal"/></w:pPr>
<w:r><w:t xml:space="preserve">accent which in course of time replaced the earlier accent</w:t></w:r>
</w:p>
<w:p>
<w:pPr><w:pStyle w:val="Normal"/></w:pPr>
<w:r><w:t xml:space="preserve">upon the first syllable.  But the number of such long words</w:t></w:r>
</w:p>
<w:p>
<w:pPr><w:pStyle w:val="Normal"/></w:pPr>
<w:r><w:t xml:space="preserve">in Latin is comparatively small.  It is no less possible</w:t></w:r>
</w:p>
<w:p>
<w:pPr><w:pStyle w:val="Normal"/></w:pPr>
<w:r><w:t xml:space="preserve">that relations between the stress and pitch accents were</w:t></w:r>
</w:p>
<w:p>
<w:pPr><w:pStyle w:val="Normal"/></w:pPr>
<w:r><w:t xml:space="preserve">concerned.  For unless we are to regard the testimony of</w:t></w:r>
</w:p>
<w:p>
<w:pPr><w:pStyle w:val="Normal"/></w:pPr>
<w:r><w:t xml:space="preserve">the ancient Latin grammarians as altogether untrustworthy</w:t></w:r>
</w:p>
<w:p>
<w:pPr><w:pStyle w:val="Normal"/></w:pPr>
<w:r><w:t xml:space="preserve">there was at least in classical Latin a well-marked pitch</w:t></w:r>
</w:p>
<w:p>
<w:pPr><w:pStyle w:val="Normal"/></w:pPr>
<w:r><w:t xml:space="preserve">as well as a stress accent.  This question, which had</w:t></w:r>
</w:p>
<w:p>
<w:pPr><w:pStyle w:val="Normal"/></w:pPr>
<w:r><w:t xml:space="preserve">long slumbered, has been revived by Dr J. Vendryes in</w:t></w:r>
</w:p>
<w:p>
<w:pPr><w:pStyle w:val="Normal"/></w:pPr>
<w:r><w:t xml:space="preserve">his treatise entitled Recherches sur l&apos;histoire et les</w:t></w:r>
</w:p>
<w:p>
<w:pPr><w:pStyle w:val="Normal"/></w:pPr>
<w:r><w:t xml:space="preserve">effets de l&apos;intensite initiale en latin (Paris, 1902).</w:t></w:r>
</w:p>
<w:p>
<w:pPr><w:pStyle w:val="Normal"/></w:pPr>
<w:r><w:t xml:space="preserve">In English there is a tendency to throw the stress on to the</w:t></w:r>
</w:p>
<w:p>
<w:pPr><w:pStyle w:val="Normal"/></w:pPr>
<w:r><w:t xml:space="preserve">first syllable, which leads in time to the modification of</w:t></w:r>
</w:p>
<w:p>
<w:pPr><w:pStyle w:val="Normal"/></w:pPr>
<w:r><w:t xml:space="preserve">borrowed words. Thus throughout the 18th century there was</w:t></w:r>
</w:p>
<w:p>
<w:pPr><w:pStyle w:val="Normal"/></w:pPr>
<w:r><w:t xml:space="preserve">a struggle going on over the word balcony, which earlier</w:t></w:r>
</w:p>
<w:p>
<w:pPr><w:pStyle w:val="Normal"/></w:pPr>
<w:r><w:t xml:space="preserve">was pronounced balcony. Swift is the first author quoted</w:t></w:r>
</w:p>
<w:p>
<w:pPr><w:pStyle w:val="Normal"/></w:pPr>
<w:r><w:t xml:space="preserve">for the pronunciation balcony. and Cowper&apos;s balcony</w:t></w:r>
</w:p>
<w:p>
<w:pPr><w:pStyle w:val="Normal"/></w:pPr>
<w:r><w:t xml:space="preserve">in ``John Gilpin&apos;&apos; is among the latest instances of the old</w:t></w:r>
</w:p>
<w:p>
<w:pPr><w:pStyle w:val="Normal"/></w:pPr>
<w:r><w:t xml:space="preserve">pronunciation.  Disregarding the Latin quantity of orator</w:t></w:r>
</w:p>
<w:p>
<w:pPr><w:pStyle w:val="Normal"/></w:pPr>
<w:r><w:t xml:space="preserve">and senator, English by throwing the stress on the first</w:t></w:r>
</w:p>
<w:p>
<w:pPr><w:pStyle w:val="Normal"/></w:pPr>
<w:r><w:t xml:space="preserve">syllable has converted them into orator and senator,</w:t></w:r>
</w:p>
<w:p>
<w:pPr><w:pStyle w:val="Normal"/></w:pPr>
<w:r><w:t xml:space="preserve">while Scots lawyers speak also of a curator. How far</w:t></w:r>
</w:p>
<w:p>
<w:pPr><w:pStyle w:val="Normal"/></w:pPr>
<w:r><w:t xml:space="preserve">French influence plays a part here is not easy to say.</w:t></w:r>
</w:p>
<w:p>
<w:pPr><w:pStyle w:val="Normal"/></w:pPr>
<w:r><w:t xml:space="preserve">Besides the accent of the syllable and of the word, which</w:t></w:r>
</w:p>
<w:p>
<w:pPr><w:pStyle w:val="Normal"/></w:pPr>
<w:r><w:t xml:space="preserve">have been already discussed, there remains the accent of</w:t></w:r>
</w:p>
<w:p>
<w:pPr><w:pStyle w:val="Normal"/></w:pPr>
<w:r><w:t xml:space="preserve">the sentence. Here the problem is much more complicated.</w:t></w:r>
</w:p>
<w:p>
<w:pPr><w:pStyle w:val="Normal"/></w:pPr>
<w:r><w:t xml:space="preserve">The accent of a word, whether pitch or stress, may be</w:t></w:r>
</w:p>
<w:p>
<w:pPr><w:pStyle w:val="Normal"/></w:pPr>
<w:r><w:t xml:space="preserve">considerably modified in the sentence.  From earliest times</w:t></w:r>
</w:p>
<w:p>
<w:pPr><w:pStyle w:val="Normal"/></w:pPr>
<w:r><w:t xml:space="preserve">some words have become parasitic or enclitic upon other</w:t></w:r>
</w:p>
<w:p>
<w:pPr><w:pStyle w:val="Normal"/></w:pPr>
<w:r><w:t xml:space="preserve">words.  Pronouns more than most words are modified from</w:t></w:r>
</w:p>
<w:p>
<w:pPr><w:pStyle w:val="Normal"/></w:pPr>
<w:r><w:t xml:space="preserve">this cause, but conjunctions like the Gr. te (``and&apos;&apos;),</w:t></w:r>
</w:p>
<w:p>
<w:pPr><w:pStyle w:val="Normal"/></w:pPr>
<w:r><w:t xml:space="preserve">the Lat. qiie, have throughout their whole history been</w:t></w:r>
</w:p>
<w:p>
<w:pPr><w:pStyle w:val="Normal"/></w:pPr>
<w:r><w:t xml:space="preserve">enclitic upon the preceding word.  A very important word</w:t></w:r>
</w:p>
<w:p>
<w:pPr><w:pStyle w:val="Normal"/></w:pPr>
<w:r><w:t xml:space="preserve">may be enclitic, as in English don&apos;t, shan&apos;t. It is to be</w:t></w:r>
</w:p>
<w:p>
<w:pPr><w:pStyle w:val="Normal"/></w:pPr>
<w:r><w:t xml:space="preserve">remembered that the unit of language is rather the sentence</w:t></w:r>
</w:p>
<w:p>
<w:pPr><w:pStyle w:val="Normal"/></w:pPr>
<w:r><w:t xml:space="preserve">than the word, and that the form which is given to the word</w:t></w:r>
</w:p>
<w:p>
<w:pPr><w:pStyle w:val="Normal"/></w:pPr>
<w:r><w:t xml:space="preserve">in the dictionary is very often not the form which it takes</w:t></w:r>
</w:p>
<w:p>
<w:pPr><w:pStyle w:val="Normal"/></w:pPr>
<w:r><w:t xml:space="preserve">in actual speech.  The divisions of words in speech are quite</w:t></w:r>
</w:p>
<w:p>
<w:pPr><w:pStyle w:val="Normal"/></w:pPr>
<w:r><w:t xml:space="preserve">different from the divisions on the printed page. Sanskrit</w:t></w:r>
</w:p>
<w:p>
<w:pPr><w:pStyle w:val="Normal"/></w:pPr>
<w:r><w:t xml:space="preserve">alone amongst languages has consistently recognized this, and</w:t></w:r>
</w:p>
<w:p>
<w:pPr><w:pStyle w:val="Normal"/></w:pPr>
<w:r><w:t xml:space="preserve">preserves in writing the exact combinations that are spoken.</w:t></w:r>
</w:p>
<w:p>
<w:pPr><w:pStyle w:val="Normal"/></w:pPr>
<w:r><w:t xml:space="preserve">Accent, whether pitch or stress, can be utilized in the sentence</w:t></w:r>
</w:p>
<w:p>
<w:pPr><w:pStyle w:val="Normal"/></w:pPr>
<w:r><w:t xml:space="preserve">to express a great variety of meanings.  Thus in English</w:t></w:r>
</w:p>
<w:p>
<w:pPr><w:pStyle w:val="Normal"/></w:pPr>
<w:r><w:t xml:space="preserve">a sentence like You rode to Newmarket yesterday, which</w:t></w:r>
</w:p>
<w:p>
<w:pPr><w:pStyle w:val="Normal"/></w:pPr>
<w:r><w:t xml:space="preserve">contains five words, may be made to express five different</w:t></w:r>
</w:p>
<w:p>
<w:pPr><w:pStyle w:val="Normal"/></w:pPr>
<w:r><w:t xml:space="preserve">statements by putting the stress upon each of the words in</w:t></w:r>
</w:p>
<w:p>
<w:pPr><w:pStyle w:val="Normal"/></w:pPr>
<w:r><w:t xml:space="preserve">turn.  By putting the stress on you the person addressed</w:t></w:r>
</w:p>
<w:p>
<w:pPr><w:pStyle w:val="Normal"/></w:pPr>
<w:r><w:t xml:space="preserve">is marked out as distinct from certain others, by putting</w:t></w:r>
</w:p>
<w:p>
<w:pPr><w:pStyle w:val="Normal"/></w:pPr>
<w:r><w:t xml:space="preserve">it upon rode other means of locomotion to Newmarket are</w:t></w:r>
</w:p>
<w:p>
<w:pPr><w:pStyle w:val="Normal"/></w:pPr>
<w:r><w:t xml:space="preserve">excluded, and so on.  With the same order of words five</w:t></w:r>
</w:p>
<w:p>
<w:pPr><w:pStyle w:val="Normal"/></w:pPr>
<w:r><w:t xml:space="preserve">interrogative sentences may also be expressed, and a third</w:t></w:r>
</w:p>
<w:p>
<w:pPr><w:pStyle w:val="Normal"/></w:pPr>
<w:r><w:t xml:space="preserve">series of exclamatory sentences expressing anger, incredulity,</w:t></w:r>
</w:p>
<w:p>
<w:pPr><w:pStyle w:val="Normal"/></w:pPr>
<w:r><w:t xml:space="preserve">&amp;c., may be obtained from the same words.  It is to be noticed</w:t></w:r>
</w:p>
<w:p>
<w:pPr><w:pStyle w:val="Normal"/></w:pPr>
<w:r><w:t xml:space="preserve">that for these two series a different intonation, a different</w:t></w:r>
</w:p>
<w:p>
<w:pPr><w:pStyle w:val="Normal"/></w:pPr>
<w:r><w:t xml:space="preserve">musical (pitch) accent appears from that which is found in the</w:t></w:r>
</w:p>
<w:p>
<w:pPr><w:pStyle w:val="Normal"/></w:pPr>
<w:r><w:t xml:space="preserve">same words when employed to make a matter-of-fact statement.</w:t></w:r>
</w:p>
<w:p>
<w:pPr><w:pStyle w:val="Normal"/></w:pPr>
<w:r><w:t xml:space="preserve">In languages like Chinese, which have neither compound words</w:t></w:r>
</w:p>
<w:p>
<w:pPr><w:pStyle w:val="Normal"/></w:pPr>
<w:r><w:t xml:space="preserve">nor inflection, accent plays a very important part.  As the</w:t></w:r>
</w:p>
<w:p>
<w:pPr><w:pStyle w:val="Normal"/></w:pPr>
<w:r><w:t xml:space="preserve">words are all monosyllabic, stress could obviously not be so</w:t></w:r>
</w:p>
<w:p>
<w:pPr><w:pStyle w:val="Normal"/></w:pPr>
<w:r><w:t xml:space="preserve">important as pitch as a help to distinguish different senses</w:t></w:r>
</w:p>
<w:p>
<w:pPr><w:pStyle w:val="Normal"/></w:pPr>
<w:r><w:t xml:space="preserve">attached to the same syllable, and in no other language is</w:t></w:r>
</w:p>
<w:p>
<w:pPr><w:pStyle w:val="Normal"/></w:pPr>
<w:r><w:t xml:space="preserve">variety of pitch so well developed as in Chinese.  In languages</w:t></w:r>
</w:p>
<w:p>
<w:pPr><w:pStyle w:val="Normal"/></w:pPr>
<w:r><w:t xml:space="preserve">which, like English, show comparatively little pitch accent</w:t></w:r>
</w:p>
<w:p>
<w:pPr><w:pStyle w:val="Normal"/></w:pPr>
<w:r><w:t xml:space="preserve">it is to be noticed that the sentence tends to develop a more</w:t></w:r>
</w:p>
<w:p>
<w:pPr><w:pStyle w:val="Normal"/></w:pPr>
<w:r><w:t xml:space="preserve">musical character under the influence of emotion. The voice</w:t></w:r>
</w:p>
<w:p>
<w:pPr><w:pStyle w:val="Normal"/></w:pPr>
<w:r><w:t xml:space="preserve">is raised and at the same time greater stress is generally</w:t></w:r>
</w:p>
<w:p>
<w:pPr><w:pStyle w:val="Normal"/></w:pPr>
<w:r><w:t xml:space="preserve">employed when the speaker is carried away by emotion, though the</w:t></w:r>
</w:p>
<w:p>
<w:pPr><w:pStyle w:val="Normal"/></w:pPr>
<w:r><w:t xml:space="preserve">connexion is not essential and strong emotion may be expressed</w:t></w:r>
</w:p>
<w:p>
<w:pPr><w:pStyle w:val="Normal"/></w:pPr>
<w:r><w:t xml:space="preserve">by a lowering as well as by a raising of the voice.  In either</w:t></w:r>
</w:p>
<w:p>
<w:pPr><w:pStyle w:val="Normal"/></w:pPr>
<w:r><w:t xml:space="preserve">case, however, the stress will be greater than the normal.</w:t></w:r>
</w:p>
<w:p>
<w:pPr><w:pStyle w:val="Normal"/></w:pPr>
<w:r><w:t xml:space="preserve">BIBLIOGRAPHY.--H.  Sweet, Primer of Phonetics (1890,</w:t></w:r>
</w:p>
<w:p>
<w:pPr><w:pStyle w:val="Normal"/></w:pPr>
<w:r><w:t xml:space="preserve">now in 3rd edition), sec.  96 ff., History of English Sounds</w:t></w:r>
</w:p>
<w:p>
<w:pPr><w:pStyle w:val="Normal"/></w:pPr>
<w:r><w:t xml:space="preserve">(1888), sec.  110 ff., and other works; E. Sievers, Grundzuge</w:t></w:r>
</w:p>
<w:p>
<w:pPr><w:pStyle w:val="Normal"/></w:pPr>
<w:r><w:t xml:space="preserve">der Phonetik (1893), sec.  532 ff.; O. Jespersen, Lehrbuch</w:t></w:r>
</w:p>
<w:p>
<w:pPr><w:pStyle w:val="Normal"/></w:pPr>
<w:r><w:t xml:space="preserve">der Phonetik (1904), an abbreviated German translation of</w:t></w:r>
</w:p>
<w:p>
<w:pPr><w:pStyle w:val="Normal"/></w:pPr>
<w:r><w:t xml:space="preserve">the author&apos;s larger work in Danish, sec.  216 ff.  The books</w:t></w:r>
</w:p>
<w:p>
<w:pPr><w:pStyle w:val="Normal"/></w:pPr>
<w:r><w:t xml:space="preserve">of Sievers and Jespersen give (especially Sievers) full</w:t></w:r>
</w:p>
<w:p>
<w:pPr><w:pStyle w:val="Normal"/></w:pPr>
<w:r><w:t xml:space="preserve">references to the literature of the subject.  For the accent</w:t></w:r>
</w:p>
<w:p>
<w:pPr><w:pStyle w:val="Normal"/></w:pPr>
<w:r><w:t xml:space="preserve">system of the Indo-European languages see ``Betonung&apos;&apos; in</w:t></w:r>
</w:p>
<w:p>
<w:pPr><w:pStyle w:val="Normal"/></w:pPr>
<w:r><w:t xml:space="preserve">Brugmann&apos;s Grundriss der vergleichenden Grammatik der</w:t></w:r>
</w:p>
<w:p>
<w:pPr><w:pStyle w:val="Normal"/></w:pPr>
<w:r><w:t xml:space="preserve">indogermanischen Sprachen, vol. i. (1897), or, with considerable</w:t></w:r>
</w:p>
<w:p>
<w:pPr><w:pStyle w:val="Normal"/></w:pPr>
<w:r><w:t xml:space="preserve">modifications, his Kurze vergleichende Grammatik der</w:t></w:r>
</w:p>
<w:p>
<w:pPr><w:pStyle w:val="Normal"/></w:pPr>
<w:r><w:t xml:space="preserve">idg.  Sprachen (1902), sec. sec.  32-65 and 343-350. (P. Gi.)</w:t></w:r>
</w:p>
<w:p>
<w:pPr><w:pStyle w:val="Normal"/></w:pPr>
<w:r><w:t xml:space="preserve">ACCEPTANCE (Lat. acceptare, frequentative form of accipere,</w:t></w:r>
</w:p>
<w:p>
<w:pPr><w:pStyle w:val="Normal"/></w:pPr>
<w:r><w:t xml:space="preserve">to receive), generally, a receiving or acknowledgment of</w:t></w:r>
</w:p>
<w:p>
<w:pPr><w:pStyle w:val="Normal"/></w:pPr>
<w:r><w:t xml:space="preserve">receipt; in law, the act by which a person binds himself</w:t></w:r>
</w:p>
<w:p>
<w:pPr><w:pStyle w:val="Normal"/></w:pPr>
<w:r><w:t xml:space="preserve">to comply with the request contained in a bill of exchange</w:t></w:r>
</w:p>
<w:p>
<w:pPr><w:pStyle w:val="Normal"/></w:pPr>
<w:r><w:t xml:space="preserve">(q.v.), addressed to him by the drawer.  In all cases it</w:t></w:r>
</w:p>
<w:p>
<w:pPr><w:pStyle w:val="Normal"/></w:pPr>
<w:r><w:t xml:space="preserve">is understood to be a promise to pay the bill in money,</w:t></w:r>
</w:p>
<w:p>
<w:pPr><w:pStyle w:val="Normal"/></w:pPr>
<w:r><w:t xml:space="preserve">the law not recognizing an acceptance in which the promise</w:t></w:r>
</w:p>
<w:p>
<w:pPr><w:pStyle w:val="Normal"/></w:pPr>
<w:r><w:t xml:space="preserve">is to pay in some other way, e.g. partly in money and</w:t></w:r>
</w:p>
<w:p>
<w:pPr><w:pStyle w:val="Normal"/></w:pPr>
<w:r><w:t xml:space="preserve">partly by another bill.  Acceptance may be either general or</w:t></w:r>
</w:p>
<w:p>
<w:pPr><w:pStyle w:val="Normal"/></w:pPr>
<w:r><w:t xml:space="preserve">qualified.  A general acceptance is an engagement to pay</w:t></w:r>
</w:p>
<w:p>
<w:pPr><w:pStyle w:val="Normal"/></w:pPr>
<w:r><w:t xml:space="preserve">the bill strictly according to its tenor, and is made by</w:t></w:r>
</w:p>
<w:p>
<w:pPr><w:pStyle w:val="Normal"/></w:pPr>
<w:r><w:t xml:space="preserve">the drawee subscribing his name, with or without the word</w:t></w:r>
</w:p>
<w:p>
<w:pPr><w:pStyle w:val="Normal"/></w:pPr>
<w:r><w:t xml:space="preserve">``accepted,&apos;&apos; at the bottom of the bill, or across the face</w:t></w:r>
</w:p>
<w:p>
<w:pPr><w:pStyle w:val="Normal"/></w:pPr>
<w:r><w:t xml:space="preserve">of it. Qualified acceptance may be a promise to pay on a</w:t></w:r>
</w:p>
<w:p>
<w:pPr><w:pStyle w:val="Normal"/></w:pPr>
<w:r><w:t xml:space="preserve">contingency occurring, e.g. on the sale of certain goods</w:t></w:r>
</w:p>
<w:p>
<w:pPr><w:pStyle w:val="Normal"/></w:pPr>
<w:r><w:t xml:space="preserve">consigned by the drawer to the acceptor.  No contingency</w:t></w:r>
</w:p>
<w:p>
<w:pPr><w:pStyle w:val="Normal"/></w:pPr>
<w:r><w:t xml:space="preserve">is allowed to be mentioned in the body of the bill, but a</w:t></w:r>
</w:p>
<w:p>
<w:pPr><w:pStyle w:val="Normal"/></w:pPr>
<w:r><w:t xml:space="preserve">qualified acceptance is quite legal, and equally binding with</w:t></w:r>
</w:p>
<w:p>
<w:pPr><w:pStyle w:val="Normal"/></w:pPr>
<w:r><w:t xml:space="preserve">a general acceptance upon the acceptor when the contingency</w:t></w:r>
</w:p>
<w:p>
<w:pPr><w:pStyle w:val="Normal"/></w:pPr>
<w:r><w:t xml:space="preserve">bas occurred.  It is also qualified acceptance where the</w:t></w:r>
</w:p>
<w:p>
<w:pPr><w:pStyle w:val="Normal"/></w:pPr>
<w:r><w:t xml:space="preserve">promise is to pay only part of the sum mentioned in the</w:t></w:r>
</w:p>
<w:p>
<w:pPr><w:pStyle w:val="Normal"/></w:pPr>
<w:r><w:t xml:space="preserve">bill, or to pay at a different time or place from those</w:t></w:r>
</w:p>
<w:p>
<w:pPr><w:pStyle w:val="Normal"/></w:pPr>
<w:r><w:t xml:space="preserve">specified.  As a qualified acceptance is so far a disregard of</w:t></w:r>
</w:p>
<w:p>
<w:pPr><w:pStyle w:val="Normal"/></w:pPr>
<w:r><w:t xml:space="preserve">the drawer&apos;s order, the holder is not obliged to take it; and</w:t></w:r>
</w:p>
<w:p>
<w:pPr><w:pStyle w:val="Normal"/></w:pPr>
<w:r><w:t xml:space="preserve">if he chooses to take it he must give notice to antecedent</w:t></w:r>
</w:p>
<w:p>
<w:pPr><w:pStyle w:val="Normal"/></w:pPr>
<w:r><w:t xml:space="preserve">parties, acting at his own risk if they dissent.  In all</w:t></w:r>
</w:p>
<w:p>
<w:pPr><w:pStyle w:val="Normal"/></w:pPr>
<w:r><w:t xml:space="preserve">cases acceptance involves the signature of the acceptor</w:t></w:r>
</w:p>
<w:p>
<w:pPr><w:pStyle w:val="Normal"/></w:pPr>
<w:r><w:t xml:space="preserve">either by himself or by some person duly authorized on his</w:t></w:r>
</w:p>
<w:p>
<w:pPr><w:pStyle w:val="Normal"/></w:pPr>
<w:r><w:t xml:space="preserve">behalf.  A bill can be accepted in the first instance only</w:t></w:r>
</w:p>
<w:p>
<w:pPr><w:pStyle w:val="Normal"/></w:pPr>
<w:r><w:t xml:space="preserve">by the person or persons to whom it is addressed; but if</w:t></w:r>
</w:p>
<w:p>
<w:pPr><w:pStyle w:val="Normal"/></w:pPr>
<w:r><w:t xml:space="preserve">he or they fail to do so, it may, after being protested for</w:t></w:r>
</w:p>
<w:p>
<w:pPr><w:pStyle w:val="Normal"/></w:pPr>
<w:r><w:t xml:space="preserve">non-acceptance, be accepted by some one else ``supra protest,&apos;&apos;</w:t></w:r>
</w:p>
<w:p>
<w:pPr><w:pStyle w:val="Normal"/></w:pPr>
<w:r><w:t xml:space="preserve">for the sake of the honour of one or more of the parties</w:t></w:r>
</w:p>
<w:p>
<w:pPr><w:pStyle w:val="Normal"/></w:pPr>
<w:r><w:t xml:space="preserve">concerned in it, and he thereupon acquires a claim against</w:t></w:r>
</w:p>
<w:p>
<w:pPr><w:pStyle w:val="Normal"/></w:pPr>
<w:r><w:t xml:space="preserve">the drawer and all those to whom he could have resorted.</w:t></w:r>
</w:p>
<w:p>
<w:pPr><w:pStyle w:val="Normal"/></w:pPr>
<w:r><w:t xml:space="preserve">ACCEPTILATION (from Lat. acceptilatio), in Roman and Scots</w:t></w:r>
</w:p>
<w:p>
<w:pPr><w:pStyle w:val="Normal"/></w:pPr>
<w:r><w:t xml:space="preserve">law, a verbal release of a verbal obligation.  This formal mode</w:t></w:r>
</w:p>
<w:p>
<w:pPr><w:pStyle w:val="Normal"/></w:pPr>
<w:r><w:t xml:space="preserve">of extinguishing an obligation contracted verbally received</w:t></w:r>
</w:p>
<w:p>
<w:pPr><w:pStyle w:val="Normal"/></w:pPr>
<w:r><w:t xml:space="preserve">its name from the book-keeping term acceptilatio, entering a</w:t></w:r>
</w:p>
<w:p>
<w:pPr><w:pStyle w:val="Normal"/></w:pPr>
<w:r><w:t xml:space="preserve">receipt, i.e. carrying it to credit.  The words conveying</w:t></w:r>
</w:p>
<w:p>
<w:pPr><w:pStyle w:val="Normal"/></w:pPr>
<w:r><w:t xml:space="preserve">the release had to correspond to, or strictly cover, the</w:t></w:r>
</w:p>
<w:p>
<w:pPr><w:pStyle w:val="Normal"/></w:pPr>
<w:r><w:t xml:space="preserve">expressed obligation.  Figuratively, in theology, the word</w:t></w:r>
</w:p>
<w:p>
<w:pPr><w:pStyle w:val="Normal"/></w:pPr>
<w:r><w:t xml:space="preserve">acceptilation means free remission or forgiveness of sins.</w:t></w:r>
</w:p>
<w:p>
<w:pPr><w:pStyle w:val="Normal"/></w:pPr>
<w:r><w:t xml:space="preserve">ACCESS (Lat. accessus), approach, or the means of</w:t></w:r>
</w:p>
<w:p>
<w:pPr><w:pStyle w:val="Normal"/></w:pPr>
<w:r><w:t xml:space="preserve">approaching.  In law, the word is used in various connexions.</w:t></w:r>
</w:p>
<w:p>
<w:pPr><w:pStyle w:val="Normal"/></w:pPr>
<w:r><w:t xml:space="preserve">The presumption of a child&apos;s legitimacy is negatived if it be</w:t></w:r>
</w:p>
<w:p>
<w:pPr><w:pStyle w:val="Normal"/></w:pPr>
<w:r><w:t xml:space="preserve">proved that a husband has not had access to his wife within</w:t></w:r>
</w:p>
<w:p>
<w:pPr><w:pStyle w:val="Normal"/></w:pPr>
<w:r><w:t xml:space="preserve">such a period of time as would admit of his being the father.</w:t></w:r>
</w:p>
<w:p>
<w:pPr><w:pStyle w:val="Normal"/></w:pPr>
<w:r><w:t xml:space="preserve">(See LEGITIMACY.) In the law of easements, every person</w:t></w:r>
</w:p>
<w:p>
<w:pPr><w:pStyle w:val="Normal"/></w:pPr>
<w:r><w:t xml:space="preserve">who has land adjoining a public road or a public navigable</w:t></w:r>
</w:p>
<w:p>
<w:pPr><w:pStyle w:val="Normal"/></w:pPr>
<w:r><w:t xml:space="preserve">river has a right of access to it from his land.  So, also,</w:t></w:r>
</w:p>
<w:p>
<w:pPr><w:pStyle w:val="Normal"/></w:pPr>
<w:r><w:t xml:space="preserve">every person has a right of access to air and light from</w:t></w:r>
</w:p>
<w:p>
<w:pPr><w:pStyle w:val="Normal"/></w:pPr>
<w:r><w:t xml:space="preserve">an ancient window.  For the right of access of parents to</w:t></w:r>
</w:p>
<w:p>
<w:pPr><w:pStyle w:val="Normal"/></w:pPr>
<w:r><w:t xml:space="preserve">children under the guardianship of the court, see INFANT.</w:t></w:r>
</w:p>
<w:p>
<w:pPr><w:pStyle w:val="Normal"/></w:pPr>
<w:r><w:t xml:space="preserve">ACCESSION (from Lat. accedere, to go to, to approach),</w:t></w:r>
</w:p>
<w:p>
<w:pPr><w:pStyle w:val="Normal"/></w:pPr>
<w:r><w:t xml:space="preserve">in law, a method of acquiring property adopted from Roman</w:t></w:r>
</w:p>
<w:p>
<w:pPr><w:pStyle w:val="Normal"/></w:pPr>
<w:r><w:t xml:space="preserve">law, by which, in things that have a close connexion with</w:t></w:r>
</w:p>
<w:p>
<w:pPr><w:pStyle w:val="Normal"/></w:pPr>
<w:r><w:t xml:space="preserve">or dependence on one another, the property of the principal</w:t></w:r>
</w:p>
<w:p>
<w:pPr><w:pStyle w:val="Normal"/></w:pPr>
<w:r><w:t xml:space="preserve">draws after it the property of the accessory, according</w:t></w:r>
</w:p>
<w:p>
<w:pPr><w:pStyle w:val="Normal"/></w:pPr>
<w:r><w:t xml:space="preserve">to the principle, accessio cedet principali. Accession</w:t></w:r>
</w:p>
<w:p>
<w:pPr><w:pStyle w:val="Normal"/></w:pPr>
<w:r><w:t xml:space="preserve">may take place either in a natural way, such as the growth</w:t></w:r>
</w:p>
<w:p>
<w:pPr><w:pStyle w:val="Normal"/></w:pPr>
<w:r><w:t xml:space="preserve">of fruit or the pregnancy of animals, or in an artificial</w:t></w:r>
</w:p>
<w:p>
<w:pPr><w:pStyle w:val="Normal"/></w:pPr>
<w:r><w:t xml:space="preserve">way.  The various methods may be classified as (1) land to</w:t></w:r>
</w:p>
<w:p>
<w:pPr><w:pStyle w:val="Normal"/></w:pPr>
<w:r><w:t xml:space="preserve">land by accretion or alluvion; (2) moveables to land (see</w:t></w:r>
</w:p>
<w:p>
<w:pPr><w:pStyle w:val="Normal"/></w:pPr>
<w:r><w:t xml:space="preserve">FIXTURES); (3) moveables to moveables; (4) moveables added</w:t></w:r>
</w:p>
<w:p>
<w:pPr><w:pStyle w:val="Normal"/></w:pPr>
<w:r><w:t xml:space="preserve">to by the art or industry of man; this may be by specification,</w:t></w:r>
</w:p>
<w:p>
<w:pPr><w:pStyle w:val="Normal"/></w:pPr>
<w:r><w:t xml:space="preserve">as when wine is made out of grapes, or by confusion, or</w:t></w:r>
</w:p>
<w:p>
<w:pPr><w:pStyle w:val="Normal"/></w:pPr>
<w:r><w:t xml:space="preserve">commixture, which is the mixing together of liquids or solids,</w:t></w:r>
</w:p>
<w:p>
<w:pPr><w:pStyle w:val="Normal"/></w:pPr>
<w:r><w:t xml:space="preserve">respectively.  In the case of industrial accession ownership is</w:t></w:r>
</w:p>
<w:p>
<w:pPr><w:pStyle w:val="Normal"/></w:pPr>
<w:r><w:t xml:space="preserve">determined according as the natural or manufactured substance</w:t></w:r>
</w:p>
<w:p>
<w:pPr><w:pStyle w:val="Normal"/></w:pPr>
<w:r><w:t xml:space="preserve">is of the more importance, and, in general, compensation is</w:t></w:r>
</w:p>
<w:p>
<w:pPr><w:pStyle w:val="Normal"/></w:pPr>
<w:r><w:t xml:space="preserve">payable to the person who has been dispossessed of his property.</w:t></w:r>
</w:p>
<w:p>
<w:pPr><w:pStyle w:val="Normal"/></w:pPr>
<w:r><w:t xml:space="preserve">In a historical or constitutional sense, the term</w:t></w:r>
</w:p>
<w:p>
<w:pPr><w:pStyle w:val="Normal"/></w:pPr>
<w:r><w:t xml:space="preserve">``accession&apos;&apos; is applied to the coming to the throne of a</w:t></w:r>
</w:p>
<w:p>
<w:pPr><w:pStyle w:val="Normal"/></w:pPr>
<w:r><w:t xml:space="preserve">dynasty or line of sovereigns or of a single sovereign.</w:t></w:r>
</w:p>
<w:p>
<w:pPr><w:pStyle w:val="Normal"/></w:pPr>
<w:r><w:t xml:space="preserve">``Accession&apos;&apos; sometimes likewise signifies consent or</w:t></w:r>
</w:p>
<w:p>
<w:pPr><w:pStyle w:val="Normal"/></w:pPr>
<w:r><w:t xml:space="preserve">acquiescence.  Thus, in the bankruptcy law of Scotland,</w:t></w:r>
</w:p>
<w:p>
<w:pPr><w:pStyle w:val="Normal"/></w:pPr>
<w:r><w:t xml:space="preserve">where there is a settlement by a trust-deed, it is accepted</w:t></w:r>
</w:p>
<w:p>
<w:pPr><w:pStyle w:val="Normal"/></w:pPr>
<w:r><w:t xml:space="preserve">on the part of each creditor by a ``deed of accession.&apos;&apos;</w:t></w:r>
</w:p>
<w:p>
<w:pPr><w:pStyle w:val="Normal"/></w:pPr>
<w:r><w:t xml:space="preserve">ACCESSORY, a person guilty of a felonious offence, not as</w:t></w:r>
</w:p>
<w:p>
<w:pPr><w:pStyle w:val="Normal"/></w:pPr>
<w:r><w:t xml:space="preserve">principal, but by participation; as by advice, command,</w:t></w:r>
</w:p>
<w:p>
<w:pPr><w:pStyle w:val="Normal"/></w:pPr>
<w:r><w:t xml:space="preserve">aid or concealment.  In certain crimes, there can be no</w:t></w:r>
</w:p>
<w:p>
<w:pPr><w:pStyle w:val="Normal"/></w:pPr>
<w:r><w:t xml:space="preserve">accessories; all concerned being principals, whether present</w:t></w:r>
</w:p>
<w:p>
<w:pPr><w:pStyle w:val="Normal"/></w:pPr>
<w:r><w:t xml:space="preserve">or absent at the time of their commission.  These are</w:t></w:r>
</w:p>
<w:p>
<w:pPr><w:pStyle w:val="Normal"/></w:pPr>
<w:r><w:t xml:space="preserve">treason, and all offences below the degree of felony, as</w:t></w:r>
</w:p>
<w:p>
<w:pPr><w:pStyle w:val="Normal"/></w:pPr>
<w:r><w:t xml:space="preserve">specified in the Offences against the Person Act 1861.</w:t></w:r>
</w:p>
<w:p>
<w:pPr><w:pStyle w:val="Normal"/></w:pPr>
<w:r><w:t xml:space="preserve">There are two kinds of accessories -- before the fact, and</w:t></w:r>
</w:p>
<w:p>
<w:pPr><w:pStyle w:val="Normal"/></w:pPr>
<w:r><w:t xml:space="preserve">after it.  The first is he who commands or procures another</w:t></w:r>
</w:p>
<w:p>
<w:pPr><w:pStyle w:val="Normal"/></w:pPr>
<w:r><w:t xml:space="preserve">to commit felony, and is not present himself; for if he be</w:t></w:r>
</w:p>
<w:p>
<w:pPr><w:pStyle w:val="Normal"/></w:pPr>
<w:r><w:t xml:space="preserve">present, he is a principal.  The second is he who receives,</w:t></w:r>
</w:p>
<w:p>
<w:pPr><w:pStyle w:val="Normal"/></w:pPr>
<w:r><w:t xml:space="preserve">harbours, assists, or comforts any man that has done murder or</w:t></w:r>
</w:p>
<w:p>
<w:pPr><w:pStyle w:val="Normal"/></w:pPr>
<w:r><w:t xml:space="preserve">felony, whereof he has knowledge.  An accessory before the</w:t></w:r>
</w:p>
<w:p>
<w:pPr><w:pStyle w:val="Normal"/></w:pPr>
<w:r><w:t xml:space="preserve">fact is liable to the same punishment as the principal; and</w:t></w:r>
</w:p>
<w:p>
<w:pPr><w:pStyle w:val="Normal"/></w:pPr>
<w:r><w:t xml:space="preserve">there is now indeed no practical difference between such an</w:t></w:r>
</w:p>
<w:p>
<w:pPr><w:pStyle w:val="Normal"/></w:pPr>
<w:r><w:t xml:space="preserve">accessory and a principal in regard either to indictment,</w:t></w:r>
</w:p>
<w:p>
<w:pPr><w:pStyle w:val="Normal"/></w:pPr>
<w:r><w:t xml:space="preserve">trial or punishment. Accessories after the fact are in general</w:t></w:r>
</w:p>
<w:p>
<w:pPr><w:pStyle w:val="Normal"/></w:pPr>
<w:r><w:t xml:space="preserve">punishable with imprisonment (with or without hard labour) for</w:t></w:r>
</w:p>
<w:p>
<w:pPr><w:pStyle w:val="Normal"/></w:pPr>
<w:r><w:t xml:space="preserve">a period not exceeding two years, but in the case of murder</w:t></w:r>
</w:p>
<w:p>
<w:pPr><w:pStyle w:val="Normal"/></w:pPr>
<w:r><w:t xml:space="preserve">punishable by penal servitude for life, or not less than three</w:t></w:r>
</w:p>
<w:p>
<w:pPr><w:pStyle w:val="Normal"/></w:pPr>
<w:r><w:t xml:space="preserve">years, or by imprisonment (with or without hard labour) to the</w:t></w:r>
</w:p>
<w:p>
<w:pPr><w:pStyle w:val="Normal"/></w:pPr>
<w:r><w:t xml:space="preserve">extent of two years. The law of Scotland makes no distinction</w:t></w:r>
</w:p>
<w:p>
<w:pPr><w:pStyle w:val="Normal"/></w:pPr>
<w:r><w:t xml:space="preserve">between the accessory to any crime and the principal (see</w:t></w:r>
</w:p>
<w:p>
<w:pPr><w:pStyle w:val="Normal"/></w:pPr>
<w:r><w:t xml:space="preserve">ART AND PART). Except in the case of treason, accession</w:t></w:r>
</w:p>
<w:p>
<w:pPr><w:pStyle w:val="Normal"/></w:pPr>
<w:r><w:t xml:space="preserve">after the fact is not noticed by the law of Scotland unless</w:t></w:r>
</w:p>
<w:p>
<w:pPr><w:pStyle w:val="Normal"/></w:pPr>
<w:r><w:t xml:space="preserve">as an element of evidence to prove previous accession.</w:t></w:r>
</w:p>
<w:p>
<w:pPr><w:pStyle w:val="Normal"/></w:pPr>
<w:r><w:t xml:space="preserve">ACCIAJUOLI, DONATO (1428-1478), Italian scholar, was born at</w:t></w:r>
</w:p>
<w:p>
<w:pPr><w:pStyle w:val="Normal"/></w:pPr>
<w:r><w:t xml:space="preserve">Florence in 1428.  He was famous for his learning, especially</w:t></w:r>
</w:p>
<w:p>
<w:pPr><w:pStyle w:val="Normal"/></w:pPr>
<w:r><w:t xml:space="preserve">in Greek and mathematics, and for his services to his native</w:t></w:r>
</w:p>
<w:p>
<w:pPr><w:pStyle w:val="Normal"/></w:pPr>
<w:r><w:t xml:space="preserve">state.  Having previously been entrusted with several</w:t></w:r>
</w:p>
<w:p>
<w:pPr><w:pStyle w:val="Normal"/></w:pPr>
<w:r><w:t xml:space="preserve">important embassies, he became Gonfalonier of Florence in</w:t></w:r>
</w:p>
<w:p>
<w:pPr><w:pStyle w:val="Normal"/></w:pPr>
<w:r><w:t xml:space="preserve">1473.  He died at Milan in 1478, when on his way to Paris</w:t></w:r>
</w:p>
<w:p>
<w:pPr><w:pStyle w:val="Normal"/></w:pPr>
<w:r><w:t xml:space="preserve">to ask the aid of Louis XI. on behalf of the Florentines</w:t></w:r>
</w:p>
<w:p>
<w:pPr><w:pStyle w:val="Normal"/></w:pPr>
<w:r><w:t xml:space="preserve">against Pope Sixtus IV. His body was taken back to</w:t></w:r>
</w:p>
<w:p>
<w:pPr><w:pStyle w:val="Normal"/></w:pPr>
<w:r><w:t xml:space="preserve">Florence, and buried in the church of the Carthusians at</w:t></w:r>
</w:p>
<w:p>
<w:pPr><w:pStyle w:val="Normal"/></w:pPr>
<w:r><w:t xml:space="preserve">the public expense, and his daughters were portioned by his</w:t></w:r>
</w:p>
<w:p>
<w:pPr><w:pStyle w:val="Normal"/></w:pPr>
<w:r><w:t xml:space="preserve">fellow-citizens, the fortune he left being, owing to his</w:t></w:r>
</w:p>
<w:p>
<w:pPr><w:pStyle w:val="Normal"/></w:pPr>
<w:r><w:t xml:space="preserve">probity and disinterestedness, very small. He wrote a Latin</w:t></w:r>
</w:p>
<w:p>
<w:pPr><w:pStyle w:val="Normal"/></w:pPr>
<w:r><w:t xml:space="preserve">translation of some of Plutarch&apos;s Lives (Florence, 1478);</w:t></w:r>
</w:p>
<w:p>
<w:pPr><w:pStyle w:val="Normal"/></w:pPr>
<w:r><w:t xml:space="preserve">Commentaries on Aristotle&apos;s Ethics and Politics; and the</w:t></w:r>
</w:p>
<w:p>
<w:pPr><w:pStyle w:val="Normal"/></w:pPr>
<w:r><w:t xml:space="preserve">lives of Hannibal, Scipio and Charlemagne.  In the work on</w:t></w:r>
</w:p>
<w:p>
<w:pPr><w:pStyle w:val="Normal"/></w:pPr>
<w:r><w:t xml:space="preserve">Aristotle he had the co-operation of his master Argyropulus.</w:t></w:r>
</w:p>
<w:p>
<w:pPr><w:pStyle w:val="Normal"/></w:pPr>
<w:r><w:t xml:space="preserve">ACCIDENCE (a mis-spelling of ``accidents,&apos;&apos; from the Latin</w:t></w:r>
</w:p>
<w:p>
<w:pPr><w:pStyle w:val="Normal"/></w:pPr>
<w:r><w:t xml:space="preserve">neuter plural accidentia, casual events), the term for</w:t></w:r>
</w:p>
<w:p>
<w:pPr><w:pStyle w:val="Normal"/></w:pPr>
<w:r><w:t xml:space="preserve">the grammatical changes to which words are subject in their</w:t></w:r>
</w:p>
<w:p>
<w:pPr><w:pStyle w:val="Normal"/></w:pPr>
<w:r><w:t xml:space="preserve">inflections as to gender, number, tense and case.  It is</w:t></w:r>
</w:p>
<w:p>
<w:pPr><w:pStyle w:val="Normal"/></w:pPr>
<w:r><w:t xml:space="preserve">also used to denote a book containing the first principles</w:t></w:r>
</w:p>
<w:p>
<w:pPr><w:pStyle w:val="Normal"/></w:pPr>
<w:r><w:t xml:space="preserve">of grammar, and so of the rudiments of any subject or art.</w:t></w:r>
</w:p>
<w:p>
<w:pPr><w:pStyle w:val="Normal"/></w:pPr>
<w:r><w:t xml:space="preserve">ACCIDENT (from Lat. accidere, to happen), a word of widely</w:t></w:r>
</w:p>
<w:p>
<w:pPr><w:pStyle w:val="Normal"/></w:pPr>
<w:r><w:t xml:space="preserve">variant meanings, usually something fortuitous and unexpected;</w:t></w:r>
</w:p>
<w:p>
<w:pPr><w:pStyle w:val="Normal"/></w:pPr>
<w:r><w:t xml:space="preserve">a happening out of the ordinary course of things.  In the</w:t></w:r>
</w:p>
<w:p>
<w:pPr><w:pStyle w:val="Normal"/></w:pPr>
<w:r><w:t xml:space="preserve">law of tort, it is defined as ``an occurrence which is due</w:t></w:r>
</w:p>
<w:p>
<w:pPr><w:pStyle w:val="Normal"/></w:pPr>
<w:r><w:t xml:space="preserve">neither to design nor to negligence&apos;&apos;; in equity, as ``such</w:t></w:r>
</w:p>
<w:p>
<w:pPr><w:pStyle w:val="Normal"/></w:pPr>
<w:r><w:t xml:space="preserve">an unforeseen event, misfortune, loss, act or omission, as</w:t></w:r>
</w:p>
<w:p>
<w:pPr><w:pStyle w:val="Normal"/></w:pPr>
<w:r><w:t xml:space="preserve">is not the result of any negligence or misconduct.&apos;&apos; So, in</w:t></w:r>
</w:p>
<w:p>
<w:pPr><w:pStyle w:val="Normal"/></w:pPr>
<w:r><w:t xml:space="preserve">criminal law, ``an effect is said to be accidental when the</w:t></w:r>
</w:p>
<w:p>
<w:pPr><w:pStyle w:val="Normal"/></w:pPr>
<w:r><w:t xml:space="preserve">act by which it is caused is not done with the intention</w:t></w:r>
</w:p>
<w:p>
<w:pPr><w:pStyle w:val="Normal"/></w:pPr>
<w:r><w:t xml:space="preserve">of causing it, and when its occurrence as a conseiguence</w:t></w:r>
</w:p>
<w:p>
<w:pPr><w:pStyle w:val="Normal"/></w:pPr>
<w:r><w:t xml:space="preserve">of such act is not so probable that a person of ordinary</w:t></w:r>
</w:p>
<w:p>
<w:pPr><w:pStyle w:val="Normal"/></w:pPr>
<w:r><w:t xml:space="preserve">prudence ought, under the circumstances, to take reasonable</w:t></w:r>
</w:p>
<w:p>
<w:pPr><w:pStyle w:val="Normal"/></w:pPr>
<w:r><w:t xml:space="preserve">precaution against it&apos;&apos; (Stephen, Digest of Criminal Law,</w:t></w:r>
</w:p>
<w:p>
<w:pPr><w:pStyle w:val="Normal"/></w:pPr>
<w:r><w:t xml:space="preserve">art. 210).The word may also have in law the more extended</w:t></w:r>
</w:p>
<w:p>
<w:pPr><w:pStyle w:val="Normal"/></w:pPr>
<w:r><w:t xml:space="preserve">meaning of an unexpected occurrence, whether caused by</w:t></w:r>
</w:p>
<w:p>
<w:pPr><w:pStyle w:val="Normal"/></w:pPr>
<w:r><w:t xml:space="preserve">any one&apos;s negligence or not, as in the Fatal Accidents Act</w:t></w:r>
</w:p>
<w:p>
<w:pPr><w:pStyle w:val="Normal"/></w:pPr>
<w:r><w:t xml:space="preserve">1846, Notice of Accidents Act 1894.  See also CONTRACT,</w:t></w:r>
</w:p>
<w:p>
<w:pPr><w:pStyle w:val="Normal"/></w:pPr>
<w:r><w:t xml:space="preserve">CRIMINAL LAW, EMPLOYERS&apos; LIABILITY, INSURANCE, TORT, &amp;c.</w:t></w:r>
</w:p>
<w:p>
<w:pPr><w:pStyle w:val="Normal"/></w:pPr>
<w:r><w:t xml:space="preserve">In logic an ``accident&apos;&apos; is a quality which belongs to a</w:t></w:r>
</w:p>
<w:p>
<w:pPr><w:pStyle w:val="Normal"/></w:pPr>
<w:r><w:t xml:space="preserve">subject but not as part of its essence (in Aristotelian</w:t></w:r>
</w:p>
<w:p>
<w:pPr><w:pStyle w:val="Normal"/></w:pPr>
<w:r><w:t xml:space="preserve">language kata sumbebekos, the scholastic per accidens).</w:t></w:r>
</w:p>
<w:p>
<w:pPr><w:pStyle w:val="Normal"/></w:pPr>
<w:r><w:t xml:space="preserve">Essential attributes are necessarily, or causally, connected</w:t></w:r>
</w:p>
<w:p>
<w:pPr><w:pStyle w:val="Normal"/></w:pPr>
<w:r><w:t xml:space="preserve">with the subject, e.g. the sum of the angles of a triangle;</w:t></w:r>
</w:p>
<w:p>
<w:pPr><w:pStyle w:val="Normal"/></w:pPr>
<w:r><w:t xml:space="preserve">accidents are not deducible from the nature, or are not part</w:t></w:r>
</w:p>
<w:p>
<w:pPr><w:pStyle w:val="Normal"/></w:pPr>
<w:r><w:t xml:space="preserve">of the necessary connotation, of the subject, e.g. the</w:t></w:r>
</w:p>
<w:p>
<w:pPr><w:pStyle w:val="Normal"/></w:pPr>
<w:r><w:t xml:space="preserve">area of a triangle.  It follows that increased knowledge,</w:t></w:r>
</w:p>
<w:p>
<w:pPr><w:pStyle w:val="Normal"/></w:pPr>
<w:r><w:t xml:space="preserve">e.g. in chemistry, may show that what was thought to</w:t></w:r>
</w:p>
<w:p>
<w:pPr><w:pStyle w:val="Normal"/></w:pPr>
<w:r><w:t xml:space="preserve">be an accident is really an essential attribute, or vice</w:t></w:r>
</w:p>
<w:p>
<w:pPr><w:pStyle w:val="Normal"/></w:pPr>
<w:r><w:t xml:space="preserve">versa.  It is very generally held that, in reality, there is</w:t></w:r>
</w:p>
<w:p>
<w:pPr><w:pStyle w:val="Normal"/></w:pPr>
<w:r><w:t xml:space="preserve">no such thing as an accident, inasmuch as complete knowledge</w:t></w:r>
</w:p>
<w:p>
<w:pPr><w:pStyle w:val="Normal"/></w:pPr>
<w:r><w:t xml:space="preserve">would establish a causal connexion for all attributes.  An</w:t></w:r>
</w:p>
<w:p>
<w:pPr><w:pStyle w:val="Normal"/></w:pPr>
<w:r><w:t xml:space="preserve">accident is thus merely an unexplained attribute.  Accidents</w:t></w:r>
</w:p>
<w:p>
<w:pPr><w:pStyle w:val="Normal"/></w:pPr>
<w:r><w:t xml:space="preserve">have been classed as (1) ``inseparable,&apos;&apos; i.e. universally</w:t></w:r>
</w:p>
<w:p>
<w:pPr><w:pStyle w:val="Normal"/></w:pPr>
<w:r><w:t xml:space="preserve">present, though no causal connexion is established, and (2)</w:t></w:r>
</w:p>
<w:p>
<w:pPr><w:pStyle w:val="Normal"/></w:pPr>
<w:r><w:t xml:space="preserve">``separable,&apos;&apos; where the connexion is neither causally explained</w:t></w:r>
</w:p>
<w:p>
<w:pPr><w:pStyle w:val="Normal"/></w:pPr>
<w:r><w:t xml:space="preserve">nor universal. Propositions expressing a relation between</w:t></w:r>
</w:p>
<w:p>
<w:pPr><w:pStyle w:val="Normal"/></w:pPr>
<w:r><w:t xml:space="preserve">a subject and an accident are classed as ``accidental,&apos;&apos;</w:t></w:r>
</w:p>
<w:p>
<w:pPr><w:pStyle w:val="Normal"/></w:pPr>
<w:r><w:t xml:space="preserve">``real&apos;&apos; or ``ampliative,&apos;&apos; as opposed to ``verbal&apos;&apos; or</w:t></w:r>
</w:p>
<w:p>
<w:pPr><w:pStyle w:val="Normal"/></w:pPr>
<w:r><w:t xml:space="preserve">``analytical,&apos;&apos; which merely express a known connexion,</w:t></w:r>
</w:p>
<w:p>
<w:pPr><w:pStyle w:val="Normal"/></w:pPr>
<w:r><w:t xml:space="preserve">e.g. between a subject and its connotation (q.v.).</w:t></w:r>
</w:p>
<w:p>
<w:pPr><w:pStyle w:val="Normal"/></w:pPr>
<w:r><w:t xml:space="preserve">ACCIDENTALISM, a term used (1) in philosophy for any system</w:t></w:r>
</w:p>
<w:p>
<w:pPr><w:pStyle w:val="Normal"/></w:pPr>
<w:r><w:t xml:space="preserve">of thought which denies the causal nexus and maintains that</w:t></w:r>
</w:p>
<w:p>
<w:pPr><w:pStyle w:val="Normal"/></w:pPr>
<w:r><w:t xml:space="preserve">events succeed one another haphazard or by chance (not in</w:t></w:r>
</w:p>
<w:p>
<w:pPr><w:pStyle w:val="Normal"/></w:pPr>
<w:r><w:t xml:space="preserve">the mathematical but in the popular sense).  In metaphysics,</w:t></w:r>
</w:p>
<w:p>
<w:pPr><w:pStyle w:val="Normal"/></w:pPr>
<w:r><w:t xml:space="preserve">accidentalism denies the doctrine that everything occurs</w:t></w:r>
</w:p>
<w:p>
<w:pPr><w:pStyle w:val="Normal"/></w:pPr>
<w:r><w:t xml:space="preserve">or results from a definite cause.  In this connexion it is</w:t></w:r>
</w:p>
<w:p>
<w:pPr><w:pStyle w:val="Normal"/></w:pPr>
<w:r><w:t xml:space="preserve">synonymous with Tychism (tuchu, chance), a term used by</w:t></w:r>
</w:p>
<w:p>
<w:pPr><w:pStyle w:val="Heading1"/></w:pPr>
<w:r><w:t>C. S. Peirce for the theories which make chance an objective</w:t></w:r>
</w:p>
<w:p>
<w:pPr><w:pStyle w:val="Normal"/></w:pPr>
<w:r><w:t xml:space="preserve">factor in the process of the Universe.  Opponents of this</w:t></w:r>
</w:p>
<w:p>
<w:pPr><w:pStyle w:val="Normal"/></w:pPr>
<w:r><w:t xml:space="preserve">accidentalism maintain that what seems to be the result</w:t></w:r>
</w:p>
<w:p>
<w:pPr><w:pStyle w:val="Normal"/></w:pPr>
<w:r><w:t xml:space="preserve">of chance is in reality due to a cause or causes which,</w:t></w:r>
</w:p>
<w:p>
<w:pPr><w:pStyle w:val="Normal"/></w:pPr>
<w:r><w:t xml:space="preserve">owing to the lack of imagination, knowledge or scientific</w:t></w:r>
</w:p>
<w:p>
<w:pPr><w:pStyle w:val="Normal"/></w:pPr>
<w:r><w:t xml:space="preserve">instruments, we are unable to detect. In ethics the term is</w:t></w:r>
</w:p>
<w:p>
<w:pPr><w:pStyle w:val="Normal"/></w:pPr>
<w:r><w:t xml:space="preserve">used, like indeterminism, to denote the theory that mental</w:t></w:r>
</w:p>
<w:p>
<w:pPr><w:pStyle w:val="Normal"/></w:pPr>
<w:r><w:t xml:space="preserve">change cannot always be ascribed to previously ascertained</w:t></w:r>
</w:p>
<w:p>
<w:pPr><w:pStyle w:val="Normal"/></w:pPr>
<w:r><w:t xml:space="preserve">psychological states, and that volition is not causally</w:t></w:r>
</w:p>
<w:p>
<w:pPr><w:pStyle w:val="Normal"/></w:pPr>
<w:r><w:t xml:space="preserve">related to the motives involved.  An example of this theory</w:t></w:r>
</w:p>
<w:p>
<w:pPr><w:pStyle w:val="Normal"/></w:pPr>
<w:r><w:t xml:space="preserve">is the doctrine of the liberum arbitrium indifferentiae</w:t></w:r>
</w:p>
<w:p>
<w:pPr><w:pStyle w:val="Normal"/></w:pPr>
<w:r><w:t xml:space="preserve">(``liberty of indifference&apos;&apos;), according to which the choice</w:t></w:r>
</w:p>
<w:p>
<w:pPr><w:pStyle w:val="Normal"/></w:pPr>
<w:r><w:t xml:space="preserve">of two or more alternative possibilities is affected neither</w:t></w:r>
</w:p>
<w:p>
<w:pPr><w:pStyle w:val="Normal"/></w:pPr>
<w:r><w:t xml:space="preserve">by contemporaneous data of an ethical or prudential kind</w:t></w:r>
</w:p>
<w:p>
<w:pPr><w:pStyle w:val="Normal"/></w:pPr>
<w:r><w:t xml:space="preserve">nor by crystallized habit (character). (2) In painting, the</w:t></w:r>
</w:p>
<w:p>
<w:pPr><w:pStyle w:val="Normal"/></w:pPr>
<w:r><w:t xml:space="preserve">term is used for the effect produced by accidental lights</w:t></w:r>
</w:p>
<w:p>
<w:pPr><w:pStyle w:val="Normal"/></w:pPr>
<w:r><w:t xml:space="preserve">(Ruskin, Modern Painters, I. II. 4, iii. sec.  4, 287).</w:t></w:r>
</w:p>
<w:p>
<w:pPr><w:pStyle w:val="Normal"/></w:pPr>
<w:r><w:t xml:space="preserve">(3) In medicine, it stands for the hypothesis that disease is</w:t></w:r>
</w:p>
<w:p>
<w:pPr><w:pStyle w:val="Normal"/></w:pPr>
<w:r><w:t xml:space="preserve">only an accidental modification of the healthy condition, and</w:t></w:r>
</w:p>
<w:p>
<w:pPr><w:pStyle w:val="Normal"/></w:pPr>
<w:r><w:t xml:space="preserve">can, therefore, be avoided by modifying external conditions.</w:t></w:r>
</w:p>
<w:p>
<w:pPr><w:pStyle w:val="Normal"/></w:pPr>
<w:r><w:t xml:space="preserve">ACCIUS, a Latin poet of the 16th century, to whom</w:t></w:r>
</w:p>
<w:p>
<w:pPr><w:pStyle w:val="Normal"/></w:pPr>
<w:r><w:t xml:space="preserve">is attributed a paraphrase of Aesop&apos;s Fables, of</w:t></w:r>
</w:p>
<w:p>
<w:pPr><w:pStyle w:val="Normal"/></w:pPr>
<w:r><w:t xml:space="preserve">which Julius Scaliger speaks with great praise.</w:t></w:r>
</w:p>
<w:p>
<w:pPr><w:pStyle w:val="Normal"/></w:pPr>
<w:r><w:t xml:space="preserve">ACCIUS, LUCIUS, Roman tragic poet, the son of a freedman,</w:t></w:r>
</w:p>
<w:p>
<w:pPr><w:pStyle w:val="Normal"/></w:pPr>
<w:r><w:t xml:space="preserve">was born at Pisaurum in Umbria, in 170 B.C. The year of</w:t></w:r>
</w:p>
<w:p>
<w:pPr><w:pStyle w:val="Normal"/></w:pPr>
<w:r><w:t xml:space="preserve">his death is unknown, but he must have lived to a great</w:t></w:r>
</w:p>
<w:p>
<w:pPr><w:pStyle w:val="Normal"/></w:pPr>
<w:r><w:t xml:space="preserve">age, since Cicero (Brutus, 28) speaks of having conversed</w:t></w:r>
</w:p>
<w:p>
<w:pPr><w:pStyle w:val="Normal"/></w:pPr>
<w:r><w:t xml:space="preserve">with him on literary matters.  He was a prolific writer and</w:t></w:r>
</w:p>
<w:p>
<w:pPr><w:pStyle w:val="Normal"/></w:pPr>
<w:r><w:t xml:space="preserve">enjoyed a very high reputation (Horace, Epistles, ii. 1,</w:t></w:r>
</w:p>
<w:p>
<w:pPr><w:pStyle w:val="Normal"/></w:pPr>
<w:r><w:t xml:space="preserve">56; Cicero, Pro Plancio, 24). The titles and considerable</w:t></w:r>
</w:p>
<w:p>
<w:pPr><w:pStyle w:val="Normal"/></w:pPr>
<w:r><w:t xml:space="preserve">fragments (about 700 lines) of some fifty plays have been</w:t></w:r>
</w:p>
<w:p>
<w:pPr><w:pStyle w:val="Normal"/></w:pPr>
<w:r><w:t xml:space="preserve">preserved.  Most of these were free translations from the</w:t></w:r>
</w:p>
<w:p>
<w:pPr><w:pStyle w:val="Normal"/></w:pPr>
<w:r><w:t xml:space="preserve">Greek, his favourite subjects being the legends of the</w:t></w:r>
</w:p>
<w:p>
<w:pPr><w:pStyle w:val="Normal"/></w:pPr>
<w:r><w:t xml:space="preserve">Trojan war and the house of Pelops.  The national history,</w:t></w:r>
</w:p>
<w:p>
<w:pPr><w:pStyle w:val="Normal"/></w:pPr>
<w:r><w:t xml:space="preserve">however, furnished the theme of the Brutus and Decius,</w:t></w:r>
</w:p>
<w:p>
<w:pPr><w:pStyle w:val="Normal"/></w:pPr>
<w:r><w:t xml:space="preserve">---the expulsion of the Tarquins and the self-sacrifice of</w:t></w:r>
</w:p>
<w:p>
<w:pPr><w:pStyle w:val="Normal"/></w:pPr>
<w:r><w:t xml:space="preserve">Publius Decius Mus the younger.  The fragments are written</w:t></w:r>
</w:p>
<w:p>
<w:pPr><w:pStyle w:val="Normal"/></w:pPr>
<w:r><w:t xml:space="preserve">in vigorous language and show a lively power of description.</w:t></w:r>
</w:p>
<w:p>
<w:pPr><w:pStyle w:val="Normal"/></w:pPr>
<w:r><w:t xml:space="preserve">Accius wrote other works of a literary character:</w:t></w:r>
</w:p>
<w:p>
<w:pPr><w:pStyle w:val="Normal"/></w:pPr>
<w:r><w:t xml:space="preserve">Didascalicon and Pragmaticon libri, treatises</w:t></w:r>
</w:p>
<w:p>
<w:pPr><w:pStyle w:val="Normal"/></w:pPr>
<w:r><w:t xml:space="preserve">in verse on the history of Greek and Roman poetry, and</w:t></w:r>
</w:p>
<w:p>
<w:pPr><w:pStyle w:val="Normal"/></w:pPr>
<w:r><w:t xml:space="preserve">dramatic art in particular; Parerga and Praxidica</w:t></w:r>
</w:p>
<w:p>
<w:pPr><w:pStyle w:val="Normal"/></w:pPr>
<w:r><w:t xml:space="preserve">(perhaps identical) on agriculture; and an Annales. He</w:t></w:r>
</w:p>
<w:p>
<w:pPr><w:pStyle w:val="Normal"/></w:pPr>
<w:r><w:t xml:space="preserve">also introduced innovations in orthography and grammar.</w:t></w:r>
</w:p>
<w:p>
<w:pPr><w:pStyle w:val="Normal"/></w:pPr>
<w:r><w:t xml:space="preserve">See Boissier, Le Poete Accius, 1856; L. Muller,</w:t></w:r>
</w:p>
<w:p>
<w:pPr><w:pStyle w:val="Normal"/></w:pPr>
<w:r><w:t xml:space="preserve">De Accii fabulis Disputatio (1890); Ribbeck,</w:t></w:r>
</w:p>
<w:p>
<w:pPr><w:pStyle w:val="Normal"/></w:pPr>
<w:r><w:t xml:space="preserve">Geschichte der romischen Dichtung (1892); editions</w:t></w:r>
</w:p>
<w:p>
<w:pPr><w:pStyle w:val="Normal"/></w:pPr>
<w:r><w:t xml:space="preserve">of the tragic fragments by Ribbeck (1897), of the others</w:t></w:r>
</w:p>
<w:p>
<w:pPr><w:pStyle w:val="Normal"/></w:pPr>
<w:r><w:t xml:space="preserve">by Bahrens (1886); Plessis, Poesue Latine (1909).</w:t></w:r>
</w:p>
<w:p>
<w:pPr><w:pStyle w:val="Normal"/></w:pPr>
<w:r><w:t xml:space="preserve">ACCLAMATION (Lat. acclamatio, a shouting at), in</w:t></w:r>
</w:p>
<w:p>
<w:pPr><w:pStyle w:val="Normal"/></w:pPr>
<w:r><w:t xml:space="preserve">deliberative or electoral assemblies, a spontaneous shout of</w:t></w:r>
</w:p>
<w:p>
<w:pPr><w:pStyle w:val="Normal"/></w:pPr>
<w:r><w:t xml:space="preserve">approval or praise.  Acclamation is thus the adoption of a</w:t></w:r>
</w:p>
<w:p>
<w:pPr><w:pStyle w:val="Normal"/></w:pPr>
<w:r><w:t xml:space="preserve">resolution or the passing of a vote of confidence or choice</w:t></w:r>
</w:p>
<w:p>
<w:pPr><w:pStyle w:val="Normal"/></w:pPr>
<w:r><w:t xml:space="preserve">unanimously, in direct distinction from a formal ballot or</w:t></w:r>
</w:p>
<w:p>
<w:pPr><w:pStyle w:val="Normal"/></w:pPr>
<w:r><w:t xml:space="preserve">division.  In the Roman senate opinions were expressed and</w:t></w:r>
</w:p>
<w:p>
<w:pPr><w:pStyle w:val="Normal"/></w:pPr>
<w:r><w:t xml:space="preserve">votes passed by acclamation in such forms as Omnes, omnes,</w:t></w:r>
</w:p>
<w:p>
<w:pPr><w:pStyle w:val="Normal"/></w:pPr>
<w:r><w:t xml:space="preserve">Aequum est, Justum est, &amp;c.; and the praises of the emperor</w:t></w:r>
</w:p>
<w:p>
<w:pPr><w:pStyle w:val="Normal"/></w:pPr>
<w:r><w:t xml:space="preserve">were celebrated in certain pre-arranged sentences, which</w:t></w:r>
</w:p>
<w:p>
<w:pPr><w:pStyle w:val="Normal"/></w:pPr>
<w:r><w:t xml:space="preserve">seem to have been chanted by the whole body of senators.  In</w:t></w:r>
</w:p>
<w:p>
<w:pPr><w:pStyle w:val="Normal"/></w:pPr>
<w:r><w:t xml:space="preserve">ecclesiastical councils vote by acclamation is very common,</w:t></w:r>
</w:p>
<w:p>
<w:pPr><w:pStyle w:val="Normal"/></w:pPr>
<w:r><w:t xml:space="preserve">the question being usually put in the form, placet or non</w:t></w:r>
</w:p>
<w:p>
<w:pPr><w:pStyle w:val="Normal"/></w:pPr>
<w:r><w:t xml:space="preserve">placet. The Sacred College has sometimes elected popes by</w:t></w:r>
</w:p>
<w:p>
<w:pPr><w:pStyle w:val="Normal"/></w:pPr>
<w:r><w:t xml:space="preserve">acclamation, when the cardinals simultaneously and without</w:t></w:r>
</w:p>
<w:p>
<w:pPr><w:pStyle w:val="Normal"/></w:pPr>
<w:r><w:t xml:space="preserve">any previous consultation ``acclaimed&apos;&apos; one of their number as</w:t></w:r>
</w:p>
<w:p>
<w:pPr><w:pStyle w:val="Normal"/></w:pPr>
<w:r><w:t xml:space="preserve">pontiff.  A further ecclesiastical use of the word is in its</w:t></w:r>
</w:p>
<w:p>
<w:pPr><w:pStyle w:val="Normal"/></w:pPr>
<w:r><w:t xml:space="preserve">application to set forms of praise or thanksgiving in church</w:t></w:r>
</w:p>
<w:p>
<w:pPr><w:pStyle w:val="Normal"/></w:pPr>
<w:r><w:t xml:space="preserve">services, the stereotyped responses of the congregation.</w:t></w:r>
</w:p>
<w:p>
<w:pPr><w:pStyle w:val="Normal"/></w:pPr>
<w:r><w:t xml:space="preserve">In modern parliamentary usage a motion is carried by</w:t></w:r>
</w:p>
<w:p>
<w:pPr><w:pStyle w:val="Normal"/></w:pPr>
<w:r><w:t xml:space="preserve">acclamation when, no amendment being proposed, approval</w:t></w:r>
</w:p>
<w:p>
<w:pPr><w:pStyle w:val="Normal"/></w:pPr>
<w:r><w:t xml:space="preserve">is expressed by shouting such words as Aye or Agreed.</w:t></w:r>
</w:p>
<w:p>
<w:pPr><w:pStyle w:val="Normal"/></w:pPr>
<w:r><w:t xml:space="preserve">ACCLIMATIZATION, the process of adaptation by which animals</w:t></w:r>
</w:p>
<w:p>
<w:pPr><w:pStyle w:val="Normal"/></w:pPr>
<w:r><w:t xml:space="preserve">and plants are gradually rendered capable of surviving and</w:t></w:r>
</w:p>
<w:p>
<w:pPr><w:pStyle w:val="Normal"/></w:pPr>
<w:r><w:t xml:space="preserve">flourishing in countries remote from their original habitats,</w:t></w:r>
</w:p>
<w:p>
<w:pPr><w:pStyle w:val="Normal"/></w:pPr>
<w:r><w:t xml:space="preserve">or under meteorological conditions different from those which</w:t></w:r>
</w:p>
<w:p>
<w:pPr><w:pStyle w:val="Normal"/></w:pPr>
<w:r><w:t xml:space="preserve">they have usually to endure, and at first injurious to them.</w:t></w:r>
</w:p>
<w:p>
<w:pPr><w:pStyle w:val="Normal"/></w:pPr>
<w:r><w:t xml:space="preserve">The subject of acclimatization is very little understood,</w:t></w:r>
</w:p>
<w:p>
<w:pPr><w:pStyle w:val="Normal"/></w:pPr>
<w:r><w:t xml:space="preserve">and some writers have even denied that it can ever take</w:t></w:r>
</w:p>
<w:p>
<w:pPr><w:pStyle w:val="Normal"/></w:pPr>
<w:r><w:t xml:space="preserve">place.  It is often confounded with domestication or</w:t></w:r>
</w:p>
<w:p>
<w:pPr><w:pStyle w:val="Normal"/></w:pPr>
<w:r><w:t xml:space="preserve">with naturalization; but these are both very different</w:t></w:r>
</w:p>
<w:p>
<w:pPr><w:pStyle w:val="Normal"/></w:pPr>
<w:r><w:t xml:space="preserve">phenomena.  A domesticated animal or a cultivated plant</w:t></w:r>
</w:p>
<w:p>
<w:pPr><w:pStyle w:val="Normal"/></w:pPr>
<w:r><w:t xml:space="preserve">need not necessarily be acclimatized; that is, it need not</w:t></w:r>
</w:p>
<w:p>
<w:pPr><w:pStyle w:val="Normal"/></w:pPr>
<w:r><w:t xml:space="preserve">be capable of enduring the severity of the seasons without</w:t></w:r>
</w:p>
<w:p>
<w:pPr><w:pStyle w:val="Normal"/></w:pPr>
<w:r><w:t xml:space="preserve">protection.  The canary bird is domesticated but not</w:t></w:r>
</w:p>
<w:p>
<w:pPr><w:pStyle w:val="Normal"/></w:pPr>
<w:r><w:t xml:space="preserve">acclimatized, and many of our most extensively cultivated</w:t></w:r>
</w:p>
<w:p>
<w:pPr><w:pStyle w:val="Normal"/></w:pPr>
<w:r><w:t xml:space="preserve">plants are in the same category.  A naturalized animal or</w:t></w:r>
</w:p>
<w:p>
<w:pPr><w:pStyle w:val="Normal"/></w:pPr>
<w:r><w:t xml:space="preserve">plant, on the other hand, must be able to withstand all</w:t></w:r>
</w:p>
<w:p>
<w:pPr><w:pStyle w:val="Normal"/></w:pPr>
<w:r><w:t xml:space="preserve">the vicissitudes of the seasons in its new home, and it may</w:t></w:r>
</w:p>
<w:p>
<w:pPr><w:pStyle w:val="Normal"/></w:pPr>
<w:r><w:t xml:space="preserve">therefore be thought that if must have become acclimatized.</w:t></w:r>
</w:p>
<w:p>
<w:pPr><w:pStyle w:val="Normal"/></w:pPr>
<w:r><w:t xml:space="preserve">But in many, perhaps most cases of naturalization (see</w:t></w:r>
</w:p>
<w:p>
<w:pPr><w:pStyle w:val="Normal"/></w:pPr>
<w:r><w:t xml:space="preserve">Appendix below) there is no evidence of a gradual adaptation</w:t></w:r>
</w:p>
<w:p>
<w:pPr><w:pStyle w:val="Normal"/></w:pPr>
<w:r><w:t xml:space="preserve">to new conditions which were at first injurious, and this is</w:t></w:r>
</w:p>
<w:p>
<w:pPr><w:pStyle w:val="Normal"/></w:pPr>
<w:r><w:t xml:space="preserve">essential to the idea of acclimatization. On the contrary,</w:t></w:r>
</w:p>
<w:p>
<w:pPr><w:pStyle w:val="Normal"/></w:pPr>
<w:r><w:t xml:space="preserve">many species, in a new country and under somewhat different</w:t></w:r>
</w:p>
<w:p>
<w:pPr><w:pStyle w:val="Normal"/></w:pPr>
<w:r><w:t xml:space="preserve">climatic conditions, seem to find a more congenial abode than</w:t></w:r>
</w:p>
<w:p>
<w:pPr><w:pStyle w:val="Normal"/></w:pPr>
<w:r><w:t xml:space="preserve">in their native land, and at once flourish and increase in</w:t></w:r>
</w:p>
<w:p>
<w:pPr><w:pStyle w:val="Normal"/></w:pPr>
<w:r><w:t xml:space="preserve">it to such an extent as often to exterminate the indigenous</w:t></w:r>
</w:p>
<w:p>
<w:pPr><w:pStyle w:val="Normal"/></w:pPr>
<w:r><w:t xml:space="preserve">inhabitants.  Thus L. Agassiz (in his work on Lake Superior)</w:t></w:r>
</w:p>
<w:p>
<w:pPr><w:pStyle w:val="Normal"/></w:pPr>
<w:r><w:t xml:space="preserve">tells us that the roadside weeds of the north-eastern United</w:t></w:r>
</w:p>
<w:p>
<w:pPr><w:pStyle w:val="Normal"/></w:pPr>
<w:r><w:t xml:space="preserve">States, to the number of 130 species, are all European,</w:t></w:r>
</w:p>
<w:p>
<w:pPr><w:pStyle w:val="Normal"/></w:pPr>
<w:r><w:t xml:space="preserve">the native weeds having disappeared westwards; while in New</w:t></w:r>
</w:p>
<w:p>
<w:pPr><w:pStyle w:val="Normal"/></w:pPr>
<w:r><w:t xml:space="preserve">Zealand there are, according to T. Kirk (Transactions of</w:t></w:r>
</w:p>
<w:p>
<w:pPr><w:pStyle w:val="Normal"/></w:pPr>
<w:r><w:t xml:space="preserve">the New Zealand Institute, vol. ii. p. 131), no less than</w:t></w:r>
</w:p>
<w:p>
<w:pPr><w:pStyle w:val="Normal"/></w:pPr>
<w:r><w:t xml:space="preserve">250 species of naturalized plants, more than 100 of which</w:t></w:r>
</w:p>
<w:p>
<w:pPr><w:pStyle w:val="Normal"/></w:pPr>
<w:r><w:t xml:space="preserve">spread widely over the country and often displace the native</w:t></w:r>
</w:p>
<w:p>
<w:pPr><w:pStyle w:val="Normal"/></w:pPr>
<w:r><w:t xml:space="preserve">vegetation.  Among animals, the European rat, goat and pig</w:t></w:r>
</w:p>
<w:p>
<w:pPr><w:pStyle w:val="Normal"/></w:pPr>
<w:r><w:t xml:space="preserve">are naturalized in New Zealand, where they multiply to such</w:t></w:r>
</w:p>
<w:p>
<w:pPr><w:pStyle w:val="Normal"/></w:pPr>
<w:r><w:t xml:space="preserve">an extent as to injure and probably exterminate many native</w:t></w:r>
</w:p>
<w:p>
<w:pPr><w:pStyle w:val="Normal"/></w:pPr>
<w:r><w:t xml:space="preserve">productions.  In none of these cases is there any indication</w:t></w:r>
</w:p>
<w:p>
<w:pPr><w:pStyle w:val="Normal"/></w:pPr>
<w:r><w:t xml:space="preserve">that acclimatization was necessary or ever took place.</w:t></w:r>
</w:p>
<w:p>
<w:pPr><w:pStyle w:val="Normal"/></w:pPr>
<w:r><w:t xml:space="preserve">On the other hand, the fact that an animal or plant cannot</w:t></w:r>
</w:p>
<w:p>
<w:pPr><w:pStyle w:val="Normal"/></w:pPr>
<w:r><w:t xml:space="preserve">be naturalized is no proof that it is not acclimatized.</w:t></w:r>
</w:p>
<w:p>
<w:pPr><w:pStyle w:val="Normal"/></w:pPr>
<w:r><w:t xml:space="preserve">It has been shown by C. Darwin that, in the case of most</w:t></w:r>
</w:p>
<w:p>
<w:pPr><w:pStyle w:val="Normal"/></w:pPr>
<w:r><w:t xml:space="preserve">animals and plants in a state of nature, the competition of</w:t></w:r>
</w:p>
<w:p>
<w:pPr><w:pStyle w:val="Normal"/></w:pPr>
<w:r><w:t xml:space="preserve">other organisms is a far more efficient agency in limiting</w:t></w:r>
</w:p>
<w:p>
<w:pPr><w:pStyle w:val="Normal"/></w:pPr>
<w:r><w:t xml:space="preserve">their distribution than the mere influence of climate.  We</w:t></w:r>
</w:p>
<w:p>
<w:pPr><w:pStyle w:val="Normal"/></w:pPr>
<w:r><w:t xml:space="preserve">have a proof of this in the fact that so few, comparatively,</w:t></w:r>
</w:p>
<w:p>
<w:pPr><w:pStyle w:val="Normal"/></w:pPr>
<w:r><w:t xml:space="preserve">of our perfectly hardy garden plants ever run wild; and even</w:t></w:r>
</w:p>
<w:p>
<w:pPr><w:pStyle w:val="Normal"/></w:pPr>
<w:r><w:t xml:space="preserve">the most persevering attempts to naturalize them usually</w:t></w:r>
</w:p>
<w:p>
<w:pPr><w:pStyle w:val="Normal"/></w:pPr>
<w:r><w:t xml:space="preserve">fail.  Alphonse de Candolle (Geographic botanique, p.</w:t></w:r>
</w:p>
<w:p>
<w:pPr><w:pStyle w:val="Normal"/></w:pPr>
<w:r><w:t xml:space="preserve">798) informs us that several botanists of Patis, Geneva,</w:t></w:r>
</w:p>
<w:p>
<w:pPr><w:pStyle w:val="Normal"/></w:pPr>
<w:r><w:t xml:space="preserve">and especially of Montpellier, have sown the seeds of many</w:t></w:r>
</w:p>
<w:p>
<w:pPr><w:pStyle w:val="Normal"/></w:pPr>
<w:r><w:t xml:space="preserve">hundreds of species of exotic hardy plants, in what appeared</w:t></w:r>
</w:p>
<w:p>
<w:pPr><w:pStyle w:val="Normal"/></w:pPr>
<w:r><w:t xml:space="preserve">to be the most favourable situations, but that in hardly a</w:t></w:r>
</w:p>
<w:p>
<w:pPr><w:pStyle w:val="Normal"/></w:pPr>
<w:r><w:t xml:space="preserve">single case has any one of them become naturalized.  Attempts</w:t></w:r>
</w:p>
<w:p>
<w:pPr><w:pStyle w:val="Normal"/></w:pPr>
<w:r><w:t xml:space="preserve">have also been made to naturalize continental insects in</w:t></w:r>
</w:p>
<w:p>
<w:pPr><w:pStyle w:val="Normal"/></w:pPr>
<w:r><w:t xml:space="preserve">Britain, in places where the proper food-plants abound and</w:t></w:r>
</w:p>
<w:p>
<w:pPr><w:pStyle w:val="Normal"/></w:pPr>
<w:r><w:t xml:space="preserve">the conditions seem generally favourable, but in no case</w:t></w:r>
</w:p>
<w:p>
<w:pPr><w:pStyle w:val="Normal"/></w:pPr>
<w:r><w:t xml:space="preserve">do they seem to have succeeded.  Even a plant like the</w:t></w:r>
</w:p>
<w:p>
<w:pPr><w:pStyle w:val="Normal"/></w:pPr>
<w:r><w:t xml:space="preserve">potato, so largely cultivated and so perfectly hardy, has not</w:t></w:r>
</w:p>
<w:p>
<w:pPr><w:pStyle w:val="Normal"/></w:pPr>
<w:r><w:t xml:space="preserve">established itself in a wild state in any part of Europe.</w:t></w:r>
</w:p>
<w:p>
<w:pPr><w:pStyle w:val="Normal"/></w:pPr>
<w:r><w:t xml:space="preserve">Different Degrees of Climatal Adaptation in Animals and</w:t></w:r>
</w:p>
<w:p>
<w:pPr><w:pStyle w:val="Normal"/></w:pPr>
<w:r><w:t xml:space="preserve">Plants.---Plants differ greatly from animals in the closeness</w:t></w:r>
</w:p>
<w:p>
<w:pPr><w:pStyle w:val="Normal"/></w:pPr>
<w:r><w:t xml:space="preserve">of their adaptation to meteorological conditions.  Not only</w:t></w:r>
</w:p>
<w:p>
<w:pPr><w:pStyle w:val="Normal"/></w:pPr>
<w:r><w:t xml:space="preserve">will most tropical plants refuse to live in a temperate</w:t></w:r>
</w:p>
<w:p>
<w:pPr><w:pStyle w:val="Normal"/></w:pPr>
<w:r><w:t xml:space="preserve">climate, but many species are seriously injured by removal a</w:t></w:r>
</w:p>
<w:p>
<w:pPr><w:pStyle w:val="Normal"/></w:pPr>
<w:r><w:t xml:space="preserve">few degrees of latitude beyond their natural limits.  This is</w:t></w:r>
</w:p>
<w:p>
<w:pPr><w:pStyle w:val="Normal"/></w:pPr>
<w:r><w:t xml:space="preserve">probably due to the fact, established by the experiments of</w:t></w:r>
</w:p>
<w:p>
<w:pPr><w:pStyle w:val="Normal"/></w:pPr>
<w:r><w:t xml:space="preserve">A. C. Becquerel, that plants possess no proper temperature,</w:t></w:r>
</w:p>
<w:p>
<w:pPr><w:pStyle w:val="Normal"/></w:pPr>
<w:r><w:t xml:space="preserve">but are wholly dependent on that of the surrounding medium.</w:t></w:r>
</w:p>
<w:p>
<w:pPr><w:pStyle w:val="Normal"/></w:pPr>
<w:r><w:t xml:space="preserve">Animals, especially the higher forms, are much less sensitive</w:t></w:r>
</w:p>
<w:p>
<w:pPr><w:pStyle w:val="Normal"/></w:pPr>
<w:r><w:t xml:space="preserve">to change of temperature, as shown by the extensive range</w:t></w:r>
</w:p>
<w:p>
<w:pPr><w:pStyle w:val="Normal"/></w:pPr>
<w:r><w:t xml:space="preserve">from north to south of many species.  Thus, the tiger</w:t></w:r>
</w:p>
<w:p>
<w:pPr><w:pStyle w:val="Normal"/></w:pPr>
<w:r><w:t xml:space="preserve">ranges from the equator to northern Asia as far as the river</w:t></w:r>
</w:p>
<w:p>
<w:pPr><w:pStyle w:val="Normal"/></w:pPr>
<w:r><w:t xml:space="preserve">Amur, and to the isothermal of 32 deg.  Fahr.  The mountain</w:t></w:r>
</w:p>
<w:p>
<w:pPr><w:pStyle w:val="Normal"/></w:pPr>
<w:r><w:t xml:space="preserve">sparrow (Fasser montana) is abundant in Java and</w:t></w:r>
</w:p>
<w:p>
<w:pPr><w:pStyle w:val="Normal"/></w:pPr>
<w:r><w:t xml:space="preserve">Singapore in a uniform equatorial climate, and also inhabits</w:t></w:r>
</w:p>
<w:p>
<w:pPr><w:pStyle w:val="Normal"/></w:pPr>
<w:r><w:t xml:space="preserve">Britain and a considerable portion of northern Europe.</w:t></w:r>
</w:p>
<w:p>
<w:pPr><w:pStyle w:val="Normal"/></w:pPr>
<w:r><w:t xml:space="preserve">It is true that most terrestrial animals are restricted to</w:t></w:r>
</w:p>
<w:p>
<w:pPr><w:pStyle w:val="Normal"/></w:pPr>
<w:r><w:t xml:space="preserve">countries not possessing a great range of temperature or</w:t></w:r>
</w:p>
<w:p>
<w:pPr><w:pStyle w:val="Normal"/></w:pPr>
<w:r><w:t xml:space="preserve">very diversified climates, but there is reason to believe</w:t></w:r>
</w:p>
<w:p>
<w:pPr><w:pStyle w:val="Normal"/></w:pPr>
<w:r><w:t xml:space="preserve">that this is due to quite a different set of causes, such</w:t></w:r>
</w:p>
<w:p>
<w:pPr><w:pStyle w:val="Normal"/></w:pPr>
<w:r><w:t xml:space="preserve">as the presence of enemies or deficiency of appropriate</w:t></w:r>
</w:p>
<w:p>
<w:pPr><w:pStyle w:val="Normal"/></w:pPr>
<w:r><w:t xml:space="preserve">food.  When suppllad with food and partially protected from</w:t></w:r>
</w:p>
<w:p>
<w:pPr><w:pStyle w:val="Normal"/></w:pPr>
<w:r><w:t xml:space="preserve">enemies, they often show a wonderful capacity of enduring</w:t></w:r>
</w:p>
<w:p>
<w:pPr><w:pStyle w:val="Normal"/></w:pPr>
<w:r><w:t xml:space="preserve">climates very different from that in which they originally</w:t></w:r>
</w:p>
<w:p>
<w:pPr><w:pStyle w:val="Normal"/></w:pPr>
<w:r><w:t xml:space="preserve">flourished.  Thus, the horse and the domestic fowl, both</w:t></w:r>
</w:p>
<w:p>
<w:pPr><w:pStyle w:val="Normal"/></w:pPr>
<w:r><w:t xml:space="preserve">natives of very warm countries, flourish without special</w:t></w:r>
</w:p>
<w:p>
<w:pPr><w:pStyle w:val="Normal"/></w:pPr>
<w:r><w:t xml:space="preserve">protection in almost every inhabited portion of the</w:t></w:r>
</w:p>
<w:p>
<w:pPr><w:pStyle w:val="Normal"/></w:pPr>
<w:r><w:t xml:space="preserve">globe.  The parrot tribe form one of the most pre-eminently</w:t></w:r>
</w:p>
<w:p>
<w:pPr><w:pStyle w:val="Normal"/></w:pPr>
<w:r><w:t xml:space="preserve">tropical groups of birds, only a few species extending into</w:t></w:r>
</w:p>
<w:p>
<w:pPr><w:pStyle w:val="Normal"/></w:pPr>
<w:r><w:t xml:space="preserve">the warmer temperate regions; yet even the most exclusively</w:t></w:r>
</w:p>
<w:p>
<w:pPr><w:pStyle w:val="Normal"/></w:pPr>
<w:r><w:t xml:space="preserve">tropical genera are by no means delicate birds as regards</w:t></w:r>
</w:p>
<w:p>
<w:pPr><w:pStyle w:val="Normal"/></w:pPr>
<w:r><w:t xml:space="preserve">climate.  In the Annals and Magazine of Natural History</w:t></w:r>
</w:p>
<w:p>
<w:pPr><w:pStyle w:val="Normal"/></w:pPr>
<w:r><w:t xml:space="preserve">for 1868 (p. 381) is a most interesting account, by Charles</w:t></w:r>
</w:p>
<w:p>
<w:pPr><w:pStyle w:val="Normal"/></w:pPr>
<w:r><w:t xml:space="preserve">Buxton, of the naturalization of parrots at Northrops Hall,</w:t></w:r>
</w:p>
<w:p>
<w:pPr><w:pStyle w:val="Normal"/></w:pPr>
<w:r><w:t xml:space="preserve">Norfolk.  A considerable number of African and Amazonian</w:t></w:r>
</w:p>
<w:p>
<w:pPr><w:pStyle w:val="Normal"/></w:pPr>
<w:r><w:t xml:space="preserve">parrots, Bengal parroquets, four species of white and rose</w:t></w:r>
</w:p>
<w:p>
<w:pPr><w:pStyle w:val="Normal"/></w:pPr>
<w:r><w:t xml:space="preserve">crested cockatoos, and two species of crimson lories, remained</w:t></w:r>
</w:p>
<w:p>
<w:pPr><w:pStyle w:val="Normal"/></w:pPr>
<w:r><w:t xml:space="preserve">at large for many years.  Several of these birds bred, and</w:t></w:r>
</w:p>
<w:p>
<w:pPr><w:pStyle w:val="Normal"/></w:pPr>
<w:r><w:t xml:space="preserve">they almost all lived in the woods the whole year through,</w:t></w:r>
</w:p>
<w:p>
<w:pPr><w:pStyle w:val="Normal"/></w:pPr>
<w:r><w:t xml:space="preserve">refusing to take shelter in a house constructed for their</w:t></w:r>
</w:p>
<w:p>
<w:pPr><w:pStyle w:val="Normal"/></w:pPr>
<w:r><w:t xml:space="preserve">use.  Even when the thermometer fell 6 deg.  below zero, all</w:t></w:r>
</w:p>
<w:p>
<w:pPr><w:pStyle w:val="Normal"/></w:pPr>
<w:r><w:t xml:space="preserve">appeared in good spirits and vigorous health.  Some of these</w:t></w:r>
</w:p>
<w:p>
<w:pPr><w:pStyle w:val="Normal"/></w:pPr>
<w:r><w:t xml:space="preserve">birds have lived thus exposed for many years, enduring the</w:t></w:r>
</w:p>
<w:p>
<w:pPr><w:pStyle w:val="Normal"/></w:pPr>
<w:r><w:t xml:space="preserve">English cold easterly winds, rain, hail and snow, all through</w:t></w:r>
</w:p>
<w:p>
<w:pPr><w:pStyle w:val="Normal"/></w:pPr>
<w:r><w:t xml:space="preserve">the winter--a marvellous contrast to the equable equatorial</w:t></w:r>
</w:p>
<w:p>
<w:pPr><w:pStyle w:val="Normal"/></w:pPr>
<w:r><w:t xml:space="preserve">temperature (hardly ever less than 70 deg. ) to which many of</w:t></w:r>
</w:p>
<w:p>
<w:pPr><w:pStyle w:val="Normal"/></w:pPr>
<w:r><w:t xml:space="preserve">them had been accustomed for the first year or years of their</w:t></w:r>
</w:p>
<w:p>
<w:pPr><w:pStyle w:val="Normal"/></w:pPr>
<w:r><w:t xml:space="preserve">existence.  Similarly the recent experience of zoological</w:t></w:r>
</w:p>
<w:p>
<w:pPr><w:pStyle w:val="Normal"/></w:pPr>
<w:r><w:t xml:space="preserve">gardens, particularly in the case of parrots and monkeys, shows</w:t></w:r>
</w:p>
<w:p>
<w:pPr><w:pStyle w:val="Normal"/></w:pPr>
<w:r><w:t xml:space="preserve">that, excluding draughts, exposure to changes of temperature</w:t></w:r>
</w:p>
<w:p>
<w:pPr><w:pStyle w:val="Normal"/></w:pPr>
<w:r><w:t xml:space="preserve">without artificial heat is markedly beneficial as compared</w:t></w:r>
</w:p>
<w:p>
<w:pPr><w:pStyle w:val="Normal"/></w:pPr>
<w:r><w:t xml:space="preserve">with the older method of strict protection from cold.</w:t></w:r>
</w:p>
<w:p>
<w:pPr><w:pStyle w:val="Normal"/></w:pPr>
<w:r><w:t xml:space="preserve">Hardly any group of Mammalia is more exclusively tropical</w:t></w:r>
</w:p>
<w:p>
<w:pPr><w:pStyle w:val="Normal"/></w:pPr>
<w:r><w:t xml:space="preserve">than the Quadrumana, yet, if other conditions are favourable,</w:t></w:r>
</w:p>
<w:p>
<w:pPr><w:pStyle w:val="Normal"/></w:pPr>
<w:r><w:t xml:space="preserve">some of them can withstand a considerable degree of cold.</w:t></w:r>
</w:p>
<w:p>
<w:pPr><w:pStyle w:val="Normal"/></w:pPr>
<w:r><w:t xml:space="preserve">Semnopithecus schistaceus was found by Captain Hutton at an</w:t></w:r>
</w:p>
<w:p>
<w:pPr><w:pStyle w:val="Normal"/></w:pPr>
<w:r><w:t xml:space="preserve">elevation of 11,000 feet in the Himalayas, leaping actively</w:t></w:r>
</w:p>
<w:p>
<w:pPr><w:pStyle w:val="Normal"/></w:pPr>
<w:r><w:t xml:space="preserve">among fir-trees whose branches were laden with snow-wreaths.</w:t></w:r>
</w:p>
<w:p>
<w:pPr><w:pStyle w:val="Normal"/></w:pPr>
<w:r><w:t xml:space="preserve">In Abyssinia a troop of dog-faced baboons was observed by W. T.</w:t></w:r>
</w:p>
<w:p>
<w:pPr><w:pStyle w:val="Normal"/></w:pPr>
<w:r><w:t xml:space="preserve">Blanford at 9000 feet above the sea.  We may therefore conclude</w:t></w:r>
</w:p>
<w:p>
<w:pPr><w:pStyle w:val="Normal"/></w:pPr>
<w:r><w:t xml:space="preserve">that the restriction of the monkey tribe to warm latitudes is</w:t></w:r>
</w:p>
<w:p>
<w:pPr><w:pStyle w:val="Normal"/></w:pPr>
<w:r><w:t xml:space="preserve">probably determined by other causes than temperature alone.</w:t></w:r>
</w:p>
<w:p>
<w:pPr><w:pStyle w:val="Normal"/></w:pPr>
<w:r><w:t xml:space="preserve">Similar indications are given by the fact of closely allied</w:t></w:r>
</w:p>
<w:p>
<w:pPr><w:pStyle w:val="Normal"/></w:pPr>
<w:r><w:t xml:space="preserve">species inhabiting very extreme climates.  The recently extinct</w:t></w:r>
</w:p>
<w:p>
<w:pPr><w:pStyle w:val="Normal"/></w:pPr>
<w:r><w:t xml:space="preserve">Siberian mammoth and woolly rhinoceros were closely allied to</w:t></w:r>
</w:p>
<w:p>
<w:pPr><w:pStyle w:val="Normal"/></w:pPr>
<w:r><w:t xml:space="preserve">species now inhabiting tropical regions exclusively.  Wolves</w:t></w:r>
</w:p>
<w:p>
<w:pPr><w:pStyle w:val="Normal"/></w:pPr>
<w:r><w:t xml:space="preserve">and foxes are found alike in the coldest and hottest parts</w:t></w:r>
</w:p>
<w:p>
<w:pPr><w:pStyle w:val="Normal"/></w:pPr>
<w:r><w:t xml:space="preserve">of the earth, as are closely allied species of falcons, owls,</w:t></w:r>
</w:p>
<w:p>
<w:pPr><w:pStyle w:val="Normal"/></w:pPr>
<w:r><w:t xml:space="preserve">sparrows and numerous genera of waders and aquatic birds.</w:t></w:r>
</w:p>
<w:p>
<w:pPr><w:pStyle w:val="Normal"/></w:pPr>
<w:r><w:t xml:space="preserve">A consideration of these and many analogous facts might induce</w:t></w:r>
</w:p>
<w:p>
<w:pPr><w:pStyle w:val="Normal"/></w:pPr>
<w:r><w:t xml:space="preserve">us to suppose that, among the higher animals at least, there</w:t></w:r>
</w:p>
<w:p>
<w:pPr><w:pStyle w:val="Normal"/></w:pPr>
<w:r><w:t xml:space="preserve">is little constitutional adaptation to climate, and that in</w:t></w:r>
</w:p>
<w:p>
<w:pPr><w:pStyle w:val="Normal"/></w:pPr>
<w:r><w:t xml:space="preserve">their case acclimatization is not required.  But there are</w:t></w:r>
</w:p>
<w:p>
<w:pPr><w:pStyle w:val="Normal"/></w:pPr>
<w:r><w:t xml:space="preserve">numerous examples of domestic animals which show that such</w:t></w:r>
</w:p>
<w:p>
<w:pPr><w:pStyle w:val="Normal"/></w:pPr>
<w:r><w:t xml:space="preserve">adaptation does exist in other cases.  The yak of Thibet cannot</w:t></w:r>
</w:p>
<w:p>
<w:pPr><w:pStyle w:val="Normal"/></w:pPr>
<w:r><w:t xml:space="preserve">long survive in the plains of India, or even on the hills</w:t></w:r>
</w:p>
<w:p>
<w:pPr><w:pStyle w:val="Normal"/></w:pPr>
<w:r><w:t xml:space="preserve">below a certain altitude; and that this is due to climate,</w:t></w:r>
</w:p>
<w:p>
<w:pPr><w:pStyle w:val="Normal"/></w:pPr>
<w:r><w:t xml:space="preserve">and not to the increased density of the atmosphere, is shown</w:t></w:r>
</w:p>
<w:p>
<w:pPr><w:pStyle w:val="Normal"/></w:pPr>
<w:r><w:t xml:space="preserve">by the fact that the same animal appears to thrive well in</w:t></w:r>
</w:p>
<w:p>
<w:pPr><w:pStyle w:val="Normal"/></w:pPr>
<w:r><w:t xml:space="preserve">Europe, and even breeds there readily.  The Newfoundland</w:t></w:r>
</w:p>
<w:p>
<w:pPr><w:pStyle w:val="Normal"/></w:pPr>
<w:r><w:t xml:space="preserve">dog will not live in India, and the Spanish breed of fowls</w:t></w:r>
</w:p>
<w:p>
<w:pPr><w:pStyle w:val="Normal"/></w:pPr>
<w:r><w:t xml:space="preserve">in this country suffer more from frost than most others.</w:t></w:r>
</w:p>
<w:p>
<w:pPr><w:pStyle w:val="Normal"/></w:pPr>
<w:r><w:t xml:space="preserve">When we get lower in the scale the adaptation is often more</w:t></w:r>
</w:p>
<w:p>
<w:pPr><w:pStyle w:val="Normal"/></w:pPr>
<w:r><w:t xml:space="preserve">marked.  Snakes, which are so abundant in warm countries,</w:t></w:r>
</w:p>
<w:p>
<w:pPr><w:pStyle w:val="Normal"/></w:pPr>
<w:r><w:t xml:space="preserve">diminish rapidly as we go north, and wholly cease at lat.</w:t></w:r>
</w:p>
<w:p>
<w:pPr><w:pStyle w:val="Normal"/></w:pPr>
<w:r><w:t xml:space="preserve">62 deg. .  Most insects are also very susceptible to cold, and</w:t></w:r>
</w:p>
<w:p>
<w:pPr><w:pStyle w:val="Normal"/></w:pPr>
<w:r><w:t xml:space="preserve">seem to be adapted to very narrow limits of temperature.</w:t></w:r>
</w:p>
<w:p>
<w:pPr><w:pStyle w:val="Normal"/></w:pPr>
<w:r><w:t xml:space="preserve">From the foregoing facts and observations we may conclude,</w:t></w:r>
</w:p>
<w:p>
<w:pPr><w:pStyle w:val="Normal"/></w:pPr>
<w:r><w:t xml:space="preserve">firstly, that some plants and many animals are not</w:t></w:r>
</w:p>
<w:p>
<w:pPr><w:pStyle w:val="Normal"/></w:pPr>
<w:r><w:t xml:space="preserve">constitutionally adapted to the climate of their native country</w:t></w:r>
</w:p>
<w:p>
<w:pPr><w:pStyle w:val="Normal"/></w:pPr>
<w:r><w:t xml:space="preserve">only, but are capable of enduring and flourishing under</w:t></w:r>
</w:p>
<w:p>
<w:pPr><w:pStyle w:val="Normal"/></w:pPr>
<w:r><w:t xml:space="preserve">a more or less extensive range of temperature and other</w:t></w:r>
</w:p>
<w:p>
<w:pPr><w:pStyle w:val="Normal"/></w:pPr>
<w:r><w:t xml:space="preserve">climatic conditions; and, secondly, that most plants and</w:t></w:r>
</w:p>
<w:p>
<w:pPr><w:pStyle w:val="Normal"/></w:pPr>
<w:r><w:t xml:space="preserve">some animals are, more or less closely, adapted to climates</w:t></w:r>
</w:p>
<w:p>
<w:pPr><w:pStyle w:val="Normal"/></w:pPr>
<w:r><w:t xml:space="preserve">similar to those of their native habitats.  In order to</w:t></w:r>
</w:p>
<w:p>
<w:pPr><w:pStyle w:val="Normal"/></w:pPr>
<w:r><w:t xml:space="preserve">domesticate or naturalize the former class in countries not</w:t></w:r>
</w:p>
<w:p>
<w:pPr><w:pStyle w:val="Normal"/></w:pPr>
<w:r><w:t xml:space="preserve">extremely differing from that from which the species was</w:t></w:r>
</w:p>
<w:p>
<w:pPr><w:pStyle w:val="Normal"/></w:pPr>
<w:r><w:t xml:space="preserve">brought, it will not be necessary to acclimatize, in the</w:t></w:r>
</w:p>
<w:p>
<w:pPr><w:pStyle w:val="Normal"/></w:pPr>
<w:r><w:t xml:space="preserve">strict sense of the word.  In the case of the latter class,</w:t></w:r>
</w:p>
<w:p>
<w:pPr><w:pStyle w:val="Normal"/></w:pPr>
<w:r><w:t xml:space="preserve">however, acclimatization is a necessary preliminary to</w:t></w:r>
</w:p>
<w:p>
<w:pPr><w:pStyle w:val="Normal"/></w:pPr>
<w:r><w:t xml:space="preserve">naturalization, and in many cases to useful domestication,</w:t></w:r>
</w:p>
<w:p>
<w:pPr><w:pStyle w:val="Normal"/></w:pPr>
<w:r><w:t xml:space="preserve">and we have therefore to inquire whether it is possible.</w:t></w:r>
</w:p>
<w:p>
<w:pPr><w:pStyle w:val="Normal"/></w:pPr>
<w:r><w:t xml:space="preserve">Acclimatization by Individual Adaptation.---It is evident</w:t></w:r>
</w:p>
<w:p>
<w:pPr><w:pStyle w:val="Normal"/></w:pPr>
<w:r><w:t xml:space="preserve">that acclimatization may occur (if it occurs at all) in two</w:t></w:r>
</w:p>
<w:p>
<w:pPr><w:pStyle w:val="Normal"/></w:pPr>
<w:r><w:t xml:space="preserve">ways, either by modifying the constitution of the individual</w:t></w:r>
</w:p>
<w:p>
<w:pPr><w:pStyle w:val="Normal"/></w:pPr>
<w:r><w:t xml:space="preserve">submitted to the new conditions, or by the production of</w:t></w:r>
</w:p>
<w:p>
<w:pPr><w:pStyle w:val="Normal"/></w:pPr>
<w:r><w:t xml:space="preserve">offspring which may be better adapted to those conditions</w:t></w:r>
</w:p>
<w:p>
<w:pPr><w:pStyle w:val="Normal"/></w:pPr>
<w:r><w:t xml:space="preserve">than their parents.  The alteration of the constitution</w:t></w:r>
</w:p>
<w:p>
<w:pPr><w:pStyle w:val="Normal"/></w:pPr>
<w:r><w:t xml:space="preserve">of individuals in this direction is not easy to detect,</w:t></w:r>
</w:p>
<w:p>
<w:pPr><w:pStyle w:val="Normal"/></w:pPr>
<w:r><w:t xml:space="preserve">and its possibility has been denied by many writers.  C.</w:t></w:r>
</w:p>
<w:p>
<w:pPr><w:pStyle w:val="Normal"/></w:pPr>
<w:r><w:t xml:space="preserve">Darwin believed, however, that there were indications that</w:t></w:r>
</w:p>
<w:p>
<w:pPr><w:pStyle w:val="Normal"/></w:pPr>
<w:r><w:t xml:space="preserve">it occasionally occurred in plants, where it can be best</w:t></w:r>
</w:p>
<w:p>
<w:pPr><w:pStyle w:val="Normal"/></w:pPr>
<w:r><w:t xml:space="preserve">observed, owing to the circumstance that so many plants are</w:t></w:r>
</w:p>
<w:p>
<w:pPr><w:pStyle w:val="Normal"/></w:pPr>
<w:r><w:t xml:space="preserve">propagated by cuttings or buds, which really continue the</w:t></w:r>
</w:p>
<w:p>
<w:pPr><w:pStyle w:val="Normal"/></w:pPr>
<w:r><w:t xml:space="preserve">existence of the same individual almost indefinitely.  He</w:t></w:r>
</w:p>
<w:p>
<w:pPr><w:pStyle w:val="Normal"/></w:pPr>
<w:r><w:t xml:space="preserve">adduced the example of vines taken to the West Indies from</w:t></w:r>
</w:p>
<w:p>
<w:pPr><w:pStyle w:val="Normal"/></w:pPr>
<w:r><w:t xml:space="preserve">Madeira, which have been found to succeed better than those</w:t></w:r>
</w:p>
<w:p>
<w:pPr><w:pStyle w:val="Normal"/></w:pPr>
<w:r><w:t xml:space="preserve">taken directly from France.  But in most cases habit, however</w:t></w:r>
</w:p>
<w:p>
<w:pPr><w:pStyle w:val="Normal"/></w:pPr>
<w:r><w:t xml:space="preserve">prolonged, appears to have little effect on the constitution of</w:t></w:r>
</w:p>
<w:p>
<w:pPr><w:pStyle w:val="Normal"/></w:pPr>
<w:r><w:t xml:space="preserve">the individual, and the fact has no doubt led to the opinion</w:t></w:r>
</w:p>
<w:p>
<w:pPr><w:pStyle w:val="Normal"/></w:pPr>
<w:r><w:t xml:space="preserve">that acclimatization is impossible.  There is indeed little</w:t></w:r>
</w:p>
<w:p>
<w:pPr><w:pStyle w:val="Normal"/></w:pPr>
<w:r><w:t xml:space="preserve">or no evidence to show that any animal to which a new climate</w:t></w:r>
</w:p>
<w:p>
<w:pPr><w:pStyle w:val="Normal"/></w:pPr>
<w:r><w:t xml:space="preserve">is at first prejudicial can be so acclimatized by habit that,</w:t></w:r>
</w:p>
<w:p>
<w:pPr><w:pStyle w:val="Normal"/></w:pPr>
<w:r><w:t xml:space="preserve">after subjection to it for a few or many seasons, it may</w:t></w:r>
</w:p>
<w:p>
<w:pPr><w:pStyle w:val="Normal"/></w:pPr>
<w:r><w:t xml:space="preserve">live as healthily and with as little care as in its native</w:t></w:r>
</w:p>
<w:p>
<w:pPr><w:pStyle w:val="Normal"/></w:pPr>
<w:r><w:t xml:space="preserve">country; yet we may, on general principles, believe that under</w:t></w:r>
</w:p>
<w:p>
<w:pPr><w:pStyle w:val="Normal"/></w:pPr>
<w:r><w:t xml:space="preserve">proper conditions such an acclimatization would take place.</w:t></w:r>
</w:p>
<w:p>
<w:pPr><w:pStyle w:val="Normal"/></w:pPr>
<w:r><w:t xml:space="preserve">Acclimatization by Variation.---A mass of evidence exists</w:t></w:r>
</w:p>
<w:p>
<w:pPr><w:pStyle w:val="Normal"/></w:pPr>
<w:r><w:t xml:space="preserve">showing that variations of every conceivable kind occur</w:t></w:r>
</w:p>
<w:p>
<w:pPr><w:pStyle w:val="Normal"/></w:pPr>
<w:r><w:t xml:space="preserve">among the offspring of all plants and animals, and that,</w:t></w:r>
</w:p>
<w:p>
<w:pPr><w:pStyle w:val="Normal"/></w:pPr>
<w:r><w:t xml:space="preserve">in particular, constitutional variations are by no means</w:t></w:r>
</w:p>
<w:p>
<w:pPr><w:pStyle w:val="Normal"/></w:pPr>
<w:r><w:t xml:space="preserve">uncommon.  Among cultivated plants, for example, hardier and</w:t></w:r>
</w:p>
<w:p>
<w:pPr><w:pStyle w:val="Normal"/></w:pPr>
<w:r><w:t xml:space="preserve">more tender varieties often arise.  The following cases are</w:t></w:r>
</w:p>
<w:p>
<w:pPr><w:pStyle w:val="Normal"/></w:pPr>
<w:r><w:t xml:space="preserve">given by C. Darwin:-Among the numerous fruit-trees raised</w:t></w:r>
</w:p>
<w:p>
<w:pPr><w:pStyle w:val="Normal"/></w:pPr>
<w:r><w:t xml:space="preserve">in North America some are well adapted to the climate of the</w:t></w:r>
</w:p>
<w:p>
<w:pPr><w:pStyle w:val="Normal"/></w:pPr>
<w:r><w:t xml:space="preserve">northern States and Canada, while others only succeed well</w:t></w:r>
</w:p>
<w:p>
<w:pPr><w:pStyle w:val="Normal"/></w:pPr>
<w:r><w:t xml:space="preserve">in the southern States. Adaptation of this kind is sometimes</w:t></w:r>
</w:p>
<w:p>
<w:pPr><w:pStyle w:val="Normal"/></w:pPr>
<w:r><w:t xml:space="preserve">very close, so that, for example, few English varieties of</w:t></w:r>
</w:p>
<w:p>
<w:pPr><w:pStyle w:val="Normal"/></w:pPr>
<w:r><w:t xml:space="preserve">wheat will thrive in Scotland. Seed-wheat from India produced</w:t></w:r>
</w:p>
<w:p>
<w:pPr><w:pStyle w:val="Normal"/></w:pPr>
<w:r><w:t xml:space="preserve">a miserable crop when planted by the Rev. M. J. Berkeley</w:t></w:r>
</w:p>
<w:p>
<w:pPr><w:pStyle w:val="Normal"/></w:pPr>
<w:r><w:t xml:space="preserve">on land which would have produced a good crop of English</w:t></w:r>
</w:p>
<w:p>
<w:pPr><w:pStyle w:val="Normal"/></w:pPr>
<w:r><w:t xml:space="preserve">wheat.  Conversely, French wheat taken to the West Indies</w:t></w:r>
</w:p>
<w:p>
<w:pPr><w:pStyle w:val="Normal"/></w:pPr>
<w:r><w:t xml:space="preserve">produced only barren spikes, while native wheat by its side</w:t></w:r>
</w:p>
<w:p>
<w:pPr><w:pStyle w:val="Normal"/></w:pPr>
<w:r><w:t xml:space="preserve">yielded an enormous harvest.  Tobacco in Sweden, raised</w:t></w:r>
</w:p>
<w:p>
<w:pPr><w:pStyle w:val="Normal"/></w:pPr>
<w:r><w:t xml:space="preserve">from home-grown seed, ripens its seeds a month earlier</w:t></w:r>
</w:p>
<w:p>
<w:pPr><w:pStyle w:val="Normal"/></w:pPr>
<w:r><w:t xml:space="preserve">than plants grown from foreign seed.  In Italy, as long as</w:t></w:r>
</w:p>
<w:p>
<w:pPr><w:pStyle w:val="Normal"/></w:pPr>
<w:r><w:t xml:space="preserve">orange trees were propagated by grafts, they were tender;</w:t></w:r>
</w:p>
<w:p>
<w:pPr><w:pStyle w:val="Normal"/></w:pPr>
<w:r><w:t xml:space="preserve">but after many of the trees were destroyed by the severe</w:t></w:r>
</w:p>
<w:p>
<w:pPr><w:pStyle w:val="Normal"/></w:pPr>
<w:r><w:t xml:space="preserve">frosts of 1709 and 1763, plants were raised from seed, and</w:t></w:r>
</w:p>
<w:p>
<w:pPr><w:pStyle w:val="Normal"/></w:pPr>
<w:r><w:t xml:space="preserve">these were found to be hardier and more productive than the</w:t></w:r>
</w:p>
<w:p>
<w:pPr><w:pStyle w:val="Normal"/></w:pPr>
<w:r><w:t xml:space="preserve">former kinds. Where plants are raised from seed in large</w:t></w:r>
</w:p>
<w:p>
<w:pPr><w:pStyle w:val="Normal"/></w:pPr>
<w:r><w:t xml:space="preserve">quantities, varieties always occur differing in constitution,</w:t></w:r>
</w:p>
<w:p>
<w:pPr><w:pStyle w:val="Normal"/></w:pPr>
<w:r><w:t xml:space="preserve">as well as others differing in form or colour; but the</w:t></w:r>
</w:p>
<w:p>
<w:pPr><w:pStyle w:val="Normal"/></w:pPr>
<w:r><w:t xml:space="preserve">former cannot be perceived by us unless marked out by their</w:t></w:r>
</w:p>
<w:p>
<w:pPr><w:pStyle w:val="Normal"/></w:pPr>
<w:r><w:t xml:space="preserve">behaviour under exceptional conditions, as in the following</w:t></w:r>
</w:p>
<w:p>
<w:pPr><w:pStyle w:val="Normal"/></w:pPr>
<w:r><w:t xml:space="preserve">cases.  After the severe winter of 1860-1861 if was observed</w:t></w:r>
</w:p>
<w:p>
<w:pPr><w:pStyle w:val="Normal"/></w:pPr>
<w:r><w:t xml:space="preserve">that in a large bed of araucarias some plants stood quite</w:t></w:r>
</w:p>
<w:p>
<w:pPr><w:pStyle w:val="Normal"/></w:pPr>
<w:r><w:t xml:space="preserve">unhurt among numbers killed around them. In C. Darwin&apos;s</w:t></w:r>
</w:p>
<w:p>
<w:pPr><w:pStyle w:val="Normal"/></w:pPr>
<w:r><w:t xml:space="preserve">garden two rows of scarlet runners were entirely killed by</w:t></w:r>
</w:p>
<w:p>
<w:pPr><w:pStyle w:val="Normal"/></w:pPr>
<w:r><w:t xml:space="preserve">frost, except three plants, which had not even the tips of</w:t></w:r>
</w:p>
<w:p>
<w:pPr><w:pStyle w:val="Normal"/></w:pPr>
<w:r><w:t xml:space="preserve">their leaves browned.  A very excellent example is to be</w:t></w:r>
</w:p>
<w:p>
<w:pPr><w:pStyle w:val="Normal"/></w:pPr>
<w:r><w:t xml:space="preserve">found in Chinese history, according to E. R. Huc, who, in his</w:t></w:r>
</w:p>
<w:p>
<w:pPr><w:pStyle w:val="Normal"/></w:pPr>
<w:r><w:t xml:space="preserve">L&apos; Empire chinois (tom. ii. p. 359), gives the following</w:t></w:r>
</w:p>
<w:p>
<w:pPr><w:pStyle w:val="Normal"/></w:pPr>
<w:r><w:t xml:space="preserve">extract from the Memoirs of the Emperor Khang:---``On the</w:t></w:r>
</w:p>
<w:p>
<w:pPr><w:pStyle w:val="Normal"/></w:pPr>
<w:r><w:t xml:space="preserve">1st day of the 6th moon I was walking in some fields where</w:t></w:r>
</w:p>
<w:p>
<w:pPr><w:pStyle w:val="Normal"/></w:pPr>
<w:r><w:t xml:space="preserve">rice had been sown to be ready for the harvest in the 9th</w:t></w:r>
</w:p>
<w:p>
<w:pPr><w:pStyle w:val="Normal"/></w:pPr>
<w:r><w:t xml:space="preserve">moon.  I observed by chance a stalk of rice which was already in</w:t></w:r>
</w:p>
<w:p>
<w:pPr><w:pStyle w:val="Normal"/></w:pPr>
<w:r><w:t xml:space="preserve">ear.  It was higher than all the rest, and was ripe enough</w:t></w:r>
</w:p>
<w:p>
<w:pPr><w:pStyle w:val="Normal"/></w:pPr>
<w:r><w:t xml:space="preserve">to be gathered. I ordered it to be brought to me.  The grain</w:t></w:r>
</w:p>
<w:p>
<w:pPr><w:pStyle w:val="Normal"/></w:pPr>
<w:r><w:t xml:space="preserve">was very fine and well grown, which gave me the idea to</w:t></w:r>
</w:p>
<w:p>
<w:pPr><w:pStyle w:val="Normal"/></w:pPr>
<w:r><w:t xml:space="preserve">keep it for a trial, and see if the following year it would</w:t></w:r>
</w:p>
<w:p>
<w:pPr><w:pStyle w:val="Normal"/></w:pPr>
<w:r><w:t xml:space="preserve">preserve its precocity.  It did so. All the stalks which came</w:t></w:r>
</w:p>
<w:p>
<w:pPr><w:pStyle w:val="Normal"/></w:pPr>
<w:r><w:t xml:space="preserve">from it showed ear before the usual time, and were ripe in</w:t></w:r>
</w:p>
<w:p>
<w:pPr><w:pStyle w:val="Normal"/></w:pPr>
<w:r><w:t xml:space="preserve">the 6th moon.  Each year has multiplied the produce of the</w:t></w:r>
</w:p>
<w:p>
<w:pPr><w:pStyle w:val="Normal"/></w:pPr>
<w:r><w:t xml:space="preserve">preceding, and for thirty years it is this rice which has</w:t></w:r>
</w:p>
<w:p>
<w:pPr><w:pStyle w:val="Normal"/></w:pPr>
<w:r><w:t xml:space="preserve">been served at my table.  The grain is elongate and of a</w:t></w:r>
</w:p>
<w:p>
<w:pPr><w:pStyle w:val="Normal"/></w:pPr>
<w:r><w:t xml:space="preserve">reddish colour, but it has a sweet smell and very pleasant</w:t></w:r>
</w:p>
<w:p>
<w:pPr><w:pStyle w:val="Normal"/></w:pPr>
<w:r><w:t xml:space="preserve">taste.  It is called Vu-mi, Imperial rice, because it was</w:t></w:r>
</w:p>
<w:p>
<w:pPr><w:pStyle w:val="Normal"/></w:pPr>
<w:r><w:t xml:space="preserve">first cultivated in my gardens.  It is the only sort which</w:t></w:r>
</w:p>
<w:p>
<w:pPr><w:pStyle w:val="Normal"/></w:pPr>
<w:r><w:t xml:space="preserve">can ripen north of the great wall, where the winter ends</w:t></w:r>
</w:p>
<w:p>
<w:pPr><w:pStyle w:val="Normal"/></w:pPr>
<w:r><w:t xml:space="preserve">late and begins very early; but in the southern provinces,</w:t></w:r>
</w:p>
<w:p>
<w:pPr><w:pStyle w:val="Normal"/></w:pPr>
<w:r><w:t xml:space="preserve">where the climate is milder and the land more fertile, two</w:t></w:r>
</w:p>
<w:p>
<w:pPr><w:pStyle w:val="Normal"/></w:pPr>
<w:r><w:t xml:space="preserve">harvests a year may be easily obtained, and it is for me</w:t></w:r>
</w:p>
<w:p>
<w:pPr><w:pStyle w:val="Normal"/></w:pPr>
<w:r><w:t xml:space="preserve">a sweet reflection to have procured this advantage for my</w:t></w:r>
</w:p>
<w:p>
<w:pPr><w:pStyle w:val="Normal"/></w:pPr>
<w:r><w:t xml:space="preserve">people.&apos;&apos; Huc adds his testimony that this kind of rice</w:t></w:r>
</w:p>
<w:p>
<w:pPr><w:pStyle w:val="Normal"/></w:pPr>
<w:r><w:t xml:space="preserve">flourishes in Manchuria, where no other will grow.  We</w:t></w:r>
</w:p>
<w:p>
<w:pPr><w:pStyle w:val="Normal"/></w:pPr>
<w:r><w:t xml:space="preserve">have here, therefore, a perfect example of acclimatization</w:t></w:r>
</w:p>
<w:p>
<w:pPr><w:pStyle w:val="Normal"/></w:pPr>
<w:r><w:t xml:space="preserve">by means of a spontaneous constitutional variation.</w:t></w:r>
</w:p>
<w:p>
<w:pPr><w:pStyle w:val="Normal"/></w:pPr>
<w:r><w:t xml:space="preserve">That this kind of adaptation may be carried on step by step to</w:t></w:r>
</w:p>
<w:p>
<w:pPr><w:pStyle w:val="Normal"/></w:pPr>
<w:r><w:t xml:space="preserve">more and more extreme climates is illustrated by the following</w:t></w:r>
</w:p>
<w:p>
<w:pPr><w:pStyle w:val="Normal"/></w:pPr>
<w:r><w:t xml:space="preserve">examples.  Sweet-peas raised in Calcutta from seed imported</w:t></w:r>
</w:p>
<w:p>
<w:pPr><w:pStyle w:val="Normal"/></w:pPr>
<w:r><w:t xml:space="preserve">from England rarely blossom, and never yield seed; plants</w:t></w:r>
</w:p>
<w:p>
<w:pPr><w:pStyle w:val="Normal"/></w:pPr>
<w:r><w:t xml:space="preserve">from French seed flower better, but are still sterile;</w:t></w:r>
</w:p>
<w:p>
<w:pPr><w:pStyle w:val="Normal"/></w:pPr>
<w:r><w:t xml:space="preserve">but those raised from Darjeeling seed (originally imported</w:t></w:r>
</w:p>
<w:p>
<w:pPr><w:pStyle w:val="Normal"/></w:pPr>
<w:r><w:t xml:space="preserve">from England) both flower and seed profusely.  The peach</w:t></w:r>
</w:p>
<w:p>
<w:pPr><w:pStyle w:val="Normal"/></w:pPr>
<w:r><w:t xml:space="preserve">is believed to have been tender, and to have ripened its</w:t></w:r>
</w:p>
<w:p>
<w:pPr><w:pStyle w:val="Normal"/></w:pPr>
<w:r><w:t xml:space="preserve">fruit with difficulty, when first introduced into Greece;</w:t></w:r>
</w:p>
<w:p>
<w:pPr><w:pStyle w:val="Normal"/></w:pPr>
<w:r><w:t xml:space="preserve">so that (as Darwin observes) in travelling northward during</w:t></w:r>
</w:p>
<w:p>
<w:pPr><w:pStyle w:val="Normal"/></w:pPr>
<w:r><w:t xml:space="preserve">two thousand years it must have become much hardier.  Sir J.</w:t></w:r>
</w:p>
<w:p>
<w:pPr><w:pStyle w:val="Normal"/></w:pPr>
<w:r><w:t xml:space="preserve">Hooker ascertained the average vertical range of flowering</w:t></w:r>
</w:p>
<w:p>
<w:pPr><w:pStyle w:val="Normal"/></w:pPr>
<w:r><w:t xml:space="preserve">plants in the Himalayas to be 4000 ft., while in some cases</w:t></w:r>
</w:p>
<w:p>
<w:pPr><w:pStyle w:val="Normal"/></w:pPr>
<w:r><w:t xml:space="preserve">if extended to 8000 ft.  The same species can thus endure a</w:t></w:r>
</w:p>
<w:p>
<w:pPr><w:pStyle w:val="Normal"/></w:pPr>
<w:r><w:t xml:space="preserve">great difference of temperature; but the important fact is,</w:t></w:r>
</w:p>
<w:p>
<w:pPr><w:pStyle w:val="Normal"/></w:pPr>
<w:r><w:t xml:space="preserve">that the individuals have become acclimatized to the altitude</w:t></w:r>
</w:p>
<w:p>
<w:pPr><w:pStyle w:val="Normal"/></w:pPr>
<w:r><w:t xml:space="preserve">at which they grow, so that seeds gathered near the upper</w:t></w:r>
</w:p>
<w:p>
<w:pPr><w:pStyle w:val="Normal"/></w:pPr>
<w:r><w:t xml:space="preserve">limit of the range of a species will be more hardy than those</w:t></w:r>
</w:p>
<w:p>
<w:pPr><w:pStyle w:val="Normal"/></w:pPr>
<w:r><w:t xml:space="preserve">gathered near the lower limit.  This was proved by Hooker</w:t></w:r>
</w:p>
<w:p>
<w:pPr><w:pStyle w:val="Normal"/></w:pPr>
<w:r><w:t xml:space="preserve">to be the case with Himalayan conifers and rhododendrons,</w:t></w:r>
</w:p>
<w:p>
<w:pPr><w:pStyle w:val="Normal"/></w:pPr>
<w:r><w:t xml:space="preserve">raised in Britain from seed gathered at different altitudes.</w:t></w:r>
</w:p>
<w:p>
<w:pPr><w:pStyle w:val="Normal"/></w:pPr>
<w:r><w:t xml:space="preserve">Among animals exactly analogous facts occur.  When geese</w:t></w:r>
</w:p>
<w:p>
<w:pPr><w:pStyle w:val="Normal"/></w:pPr>
<w:r><w:t xml:space="preserve">were first introduced into Bogota they laid few eggs at long</w:t></w:r>
</w:p>
<w:p>
<w:pPr><w:pStyle w:val="Normal"/></w:pPr>
<w:r><w:t xml:space="preserve">intervals, and few of the young survived.  By degrees the</w:t></w:r>
</w:p>
<w:p>
<w:pPr><w:pStyle w:val="Normal"/></w:pPr>
<w:r><w:t xml:space="preserve">fecundity improved, and in about twenty years became equal</w:t></w:r>
</w:p>
<w:p>
<w:pPr><w:pStyle w:val="Normal"/></w:pPr>
<w:r><w:t xml:space="preserve">to what it is in Europe.  The same author tells us that,</w:t></w:r>
</w:p>
<w:p>
<w:pPr><w:pStyle w:val="Normal"/></w:pPr>
<w:r><w:t xml:space="preserve">according to Garcilaso, when fowls were first introduced</w:t></w:r>
</w:p>
<w:p>
<w:pPr><w:pStyle w:val="Normal"/></w:pPr>
<w:r><w:t xml:space="preserve">into Peru they were not fertile, whereas now they are</w:t></w:r>
</w:p>
<w:p>
<w:pPr><w:pStyle w:val="Normal"/></w:pPr>
<w:r><w:t xml:space="preserve">as much so as in Europe. C. Darwin adduced the following</w:t></w:r>
</w:p>
<w:p>
<w:pPr><w:pStyle w:val="Normal"/></w:pPr>
<w:r><w:t xml:space="preserve">examples.  Merino sheep bred at the Cape of Good Hope have</w:t></w:r>
</w:p>
<w:p>
<w:pPr><w:pStyle w:val="Normal"/></w:pPr>
<w:r><w:t xml:space="preserve">been found far better adapted for India than those imported</w:t></w:r>
</w:p>
<w:p>
<w:pPr><w:pStyle w:val="Normal"/></w:pPr>
<w:r><w:t xml:space="preserve">from England; and while the Chinese variety of the Ailanthus</w:t></w:r>
</w:p>
<w:p>
<w:pPr><w:pStyle w:val="Normal"/></w:pPr>
<w:r><w:t xml:space="preserve">silk-moth is quite hardy, the variety found in Bengal will</w:t></w:r>
</w:p>
<w:p>
<w:pPr><w:pStyle w:val="Normal"/></w:pPr>
<w:r><w:t xml:space="preserve">only flourish in warm latitudes.  C. Darwin also called</w:t></w:r>
</w:p>
<w:p>
<w:pPr><w:pStyle w:val="Normal"/></w:pPr>
<w:r><w:t xml:space="preserve">attention to the circumstance that writers of agricultural</w:t></w:r>
</w:p>
<w:p>
<w:pPr><w:pStyle w:val="Normal"/></w:pPr>
<w:r><w:t xml:space="preserve">works generally recommend that animals should be removed</w:t></w:r>
</w:p>
<w:p>
<w:pPr><w:pStyle w:val="Normal"/></w:pPr>
<w:r><w:t xml:space="preserve">from one district to another as little as possible.  This</w:t></w:r>
</w:p>
<w:p>
<w:pPr><w:pStyle w:val="Normal"/></w:pPr>
<w:r><w:t xml:space="preserve">advice occurs even in classical and Chinese agricultural</w:t></w:r>
</w:p>
<w:p>
<w:pPr><w:pStyle w:val="Normal"/></w:pPr>
<w:r><w:t xml:space="preserve">books as well as in those of our own day, and proves</w:t></w:r>
</w:p>
<w:p>
<w:pPr><w:pStyle w:val="Normal"/></w:pPr>
<w:r><w:t xml:space="preserve">that the close adaptation of each variety or breed to the</w:t></w:r>
</w:p>
<w:p>
<w:pPr><w:pStyle w:val="Normal"/></w:pPr>
<w:r><w:t xml:space="preserve">country in which if originated has always been recognized.</w:t></w:r>
</w:p>
<w:p>
<w:pPr><w:pStyle w:val="Normal"/></w:pPr>
<w:r><w:t xml:space="preserve">Constitutional Adaptation often accompanied by External</w:t></w:r>
</w:p>
<w:p>
<w:pPr><w:pStyle w:val="Normal"/></w:pPr>
<w:r><w:t xml:space="preserve">Modification.--Although in some cases no perceptible</w:t></w:r>
</w:p>
<w:p>
<w:pPr><w:pStyle w:val="Normal"/></w:pPr>
<w:r><w:t xml:space="preserve">alteration of form or structure occurs when constitutional</w:t></w:r>
</w:p>
<w:p>
<w:pPr><w:pStyle w:val="Normal"/></w:pPr>
<w:r><w:t xml:space="preserve">adaptation to Climate has taken place, in others it</w:t></w:r>
</w:p>
<w:p>
<w:pPr><w:pStyle w:val="Normal"/></w:pPr>
<w:r><w:t xml:space="preserve">is very marked.  C. Darwin collected a large number of</w:t></w:r>
</w:p>
<w:p>
<w:pPr><w:pStyle w:val="Normal"/></w:pPr>
<w:r><w:t xml:space="preserve">cases in his Animals and Plants under Domestication.</w:t></w:r>
</w:p>
<w:p>
<w:pPr><w:pStyle w:val="Normal"/></w:pPr>
<w:r><w:t xml:space="preserve">In his Contributions to the Theory of Natural Selection</w:t></w:r>
</w:p>
<w:p>
<w:pPr><w:pStyle w:val="Normal"/></w:pPr>
<w:r><w:t xml:space="preserve">(p. 167), A. R. Wallace has recorded cases of simultaneous</w:t></w:r>
</w:p>
<w:p>
<w:pPr><w:pStyle w:val="Normal"/></w:pPr>
<w:r><w:t xml:space="preserve">variation among insects, apparently due to climate or</w:t></w:r>
</w:p>
<w:p>
<w:pPr><w:pStyle w:val="Normal"/></w:pPr>
<w:r><w:t xml:space="preserve">other strictly local causes. He found that the butterflies</w:t></w:r>
</w:p>
<w:p>
<w:pPr><w:pStyle w:val="Normal"/></w:pPr>
<w:r><w:t xml:space="preserve">of the family Papilionidae, and some others, became</w:t></w:r>
</w:p>
<w:p>
<w:pPr><w:pStyle w:val="Normal"/></w:pPr>
<w:r><w:t xml:space="preserve">similarly modified in different islands and groups of</w:t></w:r>
</w:p>
<w:p>
<w:pPr><w:pStyle w:val="Normal"/></w:pPr>
<w:r><w:t xml:space="preserve">islands.  Thus, the species inhabiting Sumatra, Java and</w:t></w:r>
</w:p>
<w:p>
<w:pPr><w:pStyle w:val="Normal"/></w:pPr>
<w:r><w:t xml:space="preserve">Borneo are almost always much smaller than the closely</w:t></w:r>
</w:p>
<w:p>
<w:pPr><w:pStyle w:val="Normal"/></w:pPr>
<w:r><w:t xml:space="preserve">allied species of Celebes and the Moluccas; the species or</w:t></w:r>
</w:p>
<w:p>
<w:pPr><w:pStyle w:val="Normal"/></w:pPr>
<w:r><w:t xml:space="preserve">varieties of the small island of Amboyna are larger than</w:t></w:r>
</w:p>
<w:p>
<w:pPr><w:pStyle w:val="Normal"/></w:pPr>
<w:r><w:t xml:space="preserve">the same species or closely allied forms inhabiting the</w:t></w:r>
</w:p>
<w:p>
<w:pPr><w:pStyle w:val="Normal"/></w:pPr>
<w:r><w:t xml:space="preserve">surrounding islands; the species found in Celebes possess</w:t></w:r>
</w:p>
<w:p>
<w:pPr><w:pStyle w:val="Normal"/></w:pPr>
<w:r><w:t xml:space="preserve">a peculiar form of wing, quite distinct from that of the</w:t></w:r>
</w:p>
<w:p>
<w:pPr><w:pStyle w:val="Normal"/></w:pPr>
<w:r><w:t xml:space="preserve">same or closely allied species of adjacent islands; and,</w:t></w:r>
</w:p>
<w:p>
<w:pPr><w:pStyle w:val="Normal"/></w:pPr>
<w:r><w:t xml:space="preserve">lastly, numerous species which have tailed wings in India and</w:t></w:r>
</w:p>
<w:p>
<w:pPr><w:pStyle w:val="Normal"/></w:pPr>
<w:r><w:t xml:space="preserve">the western islands of the Archipelago, gradually lose the</w:t></w:r>
</w:p>
<w:p>
<w:pPr><w:pStyle w:val="Normal"/></w:pPr>
<w:r><w:t xml:space="preserve">tail as we proceed eastward to New Guinea and the Pacific.</w:t></w:r>
</w:p>
<w:p>
<w:pPr><w:pStyle w:val="Normal"/></w:pPr>
<w:r><w:t xml:space="preserve">Many of these curious modifications may, it is true, be due</w:t></w:r>
</w:p>
<w:p>
<w:pPr><w:pStyle w:val="Normal"/></w:pPr>
<w:r><w:t xml:space="preserve">to other causes than climate only, but they serve to show how</w:t></w:r>
</w:p>
<w:p>
<w:pPr><w:pStyle w:val="Normal"/></w:pPr>
<w:r><w:t xml:space="preserve">powerfully and mysteriously local conditions affect the form</w:t></w:r>
</w:p>
<w:p>
<w:pPr><w:pStyle w:val="Normal"/></w:pPr>
<w:r><w:t xml:space="preserve">and structure of both plants and animals; and they render it</w:t></w:r>
</w:p>
<w:p>
<w:pPr><w:pStyle w:val="Normal"/></w:pPr>
<w:r><w:t xml:space="preserve">probable that changes of constitution are also continually</w:t></w:r>
</w:p>
<w:p>
<w:pPr><w:pStyle w:val="Normal"/></w:pPr>
<w:r><w:t xml:space="preserve">produced, although we have, in the majority of cases, no</w:t></w:r>
</w:p>
<w:p>
<w:pPr><w:pStyle w:val="Normal"/></w:pPr>
<w:r><w:t xml:space="preserve">means of detecting them.  It is also impossible to determine</w:t></w:r>
</w:p>
<w:p>
<w:pPr><w:pStyle w:val="Normal"/></w:pPr>
<w:r><w:t xml:space="preserve">how far the effects described are produced by spontaneous</w:t></w:r>
</w:p>
<w:p>
<w:pPr><w:pStyle w:val="Normal"/></w:pPr>
<w:r><w:t xml:space="preserve">favourable variations or by the direct action of local</w:t></w:r>
</w:p>
<w:p>
<w:pPr><w:pStyle w:val="Normal"/></w:pPr>
<w:r><w:t xml:space="preserve">conditions; but it is probable that in every case both causes</w:t></w:r>
</w:p>
<w:p>
<w:pPr><w:pStyle w:val="Normal"/></w:pPr>
<w:r><w:t xml:space="preserve">are concerned, although in constantly varying proportions.</w:t></w:r>
</w:p>
<w:p>
<w:pPr><w:pStyle w:val="Normal"/></w:pPr>
<w:r><w:t xml:space="preserve">Selection and Survival of the Fittest as Agents in</w:t></w:r>
</w:p>
<w:p>
<w:pPr><w:pStyle w:val="Normal"/></w:pPr>
<w:r><w:t xml:space="preserve">Naturalization. ---We may now take it as an established</w:t></w:r>
</w:p>
<w:p>
<w:pPr><w:pStyle w:val="Normal"/></w:pPr>
<w:r><w:t xml:space="preserve">fact that varieties of animals and plants occur, both in</w:t></w:r>
</w:p>
<w:p>
<w:pPr><w:pStyle w:val="Normal"/></w:pPr>
<w:r><w:t xml:space="preserve">domesticity and in a state of nature, which are better or</w:t></w:r>
</w:p>
<w:p>
<w:pPr><w:pStyle w:val="Normal"/></w:pPr>
<w:r><w:t xml:space="preserve">worse adapted to special climates. There is no positive</w:t></w:r>
</w:p>
<w:p>
<w:pPr><w:pStyle w:val="Normal"/></w:pPr>
<w:r><w:t xml:space="preserve">evidence that the influence of new climatal conditions</w:t></w:r>
</w:p>
<w:p>
<w:pPr><w:pStyle w:val="Normal"/></w:pPr>
<w:r><w:t xml:space="preserve">on the parents has any tendency to produce variations in</w:t></w:r>
</w:p>
<w:p>
<w:pPr><w:pStyle w:val="Normal"/></w:pPr>
<w:r><w:t xml:space="preserve">the offspring better adapted to such conditions.  Neither</w:t></w:r>
</w:p>
<w:p>
<w:pPr><w:pStyle w:val="Normal"/></w:pPr>
<w:r><w:t xml:space="preserve">does it appear that this class of variations are very</w:t></w:r>
</w:p>
<w:p>
<w:pPr><w:pStyle w:val="Normal"/></w:pPr>
<w:r><w:t xml:space="preserve">frequent.  It is, however, certain that whenever any animal</w:t></w:r>
</w:p>
<w:p>
<w:pPr><w:pStyle w:val="Normal"/></w:pPr>
<w:r><w:t xml:space="preserve">or plant is largely propagated constitutional variations will</w:t></w:r>
</w:p>
<w:p>
<w:pPr><w:pStyle w:val="Normal"/></w:pPr>
<w:r><w:t xml:space="preserve">arise, and some of these will be better adapted than others</w:t></w:r>
</w:p>
<w:p>
<w:pPr><w:pStyle w:val="Normal"/></w:pPr>
<w:r><w:t xml:space="preserve">to the climatal and other conditions of the locality.  In a</w:t></w:r>
</w:p>
<w:p>
<w:pPr><w:pStyle w:val="Normal"/></w:pPr>
<w:r><w:t xml:space="preserve">state of nature, every recurring severe winter or otherwise</w:t></w:r>
</w:p>
<w:p>
<w:pPr><w:pStyle w:val="Normal"/></w:pPr>
<w:r><w:t xml:space="preserve">unfavourable season weeds out those individuals of tender</w:t></w:r>
</w:p>
<w:p>
<w:pPr><w:pStyle w:val="Normal"/></w:pPr>
<w:r><w:t xml:space="preserve">constitution or imperfect structure which may have got on</w:t></w:r>
</w:p>
<w:p>
<w:pPr><w:pStyle w:val="Normal"/></w:pPr>
<w:r><w:t xml:space="preserve">very well during favourable years, and it is thus that the</w:t></w:r>
</w:p>
<w:p>
<w:pPr><w:pStyle w:val="Normal"/></w:pPr>
<w:r><w:t xml:space="preserve">adaptation of the species to the climate in which it has to</w:t></w:r>
</w:p>
<w:p>
<w:pPr><w:pStyle w:val="Normal"/></w:pPr>
<w:r><w:t xml:space="preserve">exist is kept up.  Under domestication the same thing occurs</w:t></w:r>
</w:p>
<w:p>
<w:pPr><w:pStyle w:val="Normal"/></w:pPr>
<w:r><w:t xml:space="preserve">by what C. Darwin has termed ``unconscious selection.&apos;&apos;</w:t></w:r>
</w:p>
<w:p>
<w:pPr><w:pStyle w:val="Normal"/></w:pPr>
<w:r><w:t xml:space="preserve">Each cultivator seeks out the kinds of plants best suited</w:t></w:r>
</w:p>
<w:p>
<w:pPr><w:pStyle w:val="Normal"/></w:pPr>
<w:r><w:t xml:space="preserve">to his soil and climate and rejects those which are tender</w:t></w:r>
</w:p>
<w:p>
<w:pPr><w:pStyle w:val="Normal"/></w:pPr>
<w:r><w:t xml:space="preserve">or otherwise unsuitable.  The farmer breeds from such of</w:t></w:r>
</w:p>
<w:p>
<w:pPr><w:pStyle w:val="Normal"/></w:pPr>
<w:r><w:t xml:space="preserve">his stock as he finds to thrive best with him, and gets</w:t></w:r>
</w:p>
<w:p>
<w:pPr><w:pStyle w:val="Normal"/></w:pPr>
<w:r><w:t xml:space="preserve">rid of those which suffer from cold, damp or disease.  A</w:t></w:r>
</w:p>
<w:p>
<w:pPr><w:pStyle w:val="Normal"/></w:pPr>
<w:r><w:t xml:space="preserve">more or less close adaptation to local conditions is thus</w:t></w:r>
</w:p>
<w:p>
<w:pPr><w:pStyle w:val="Normal"/></w:pPr>
<w:r><w:t xml:space="preserve">brought about, and breeds or races are produced which are</w:t></w:r>
</w:p>
<w:p>
<w:pPr><w:pStyle w:val="Normal"/></w:pPr>
<w:r><w:t xml:space="preserve">sometimes liable to deterioration on removal even to a short</w:t></w:r>
</w:p>
<w:p>
<w:pPr><w:pStyle w:val="Normal"/></w:pPr>
<w:r><w:t xml:space="preserve">distance in the same country, as in numerous cases quoted</w:t></w:r>
</w:p>
<w:p>
<w:pPr><w:pStyle w:val="Normal"/></w:pPr>
<w:r><w:t xml:space="preserve">by C. Darwin (Animals and Plants under Domestication).</w:t></w:r>
</w:p>
<w:p>
<w:pPr><w:pStyle w:val="Normal"/></w:pPr>
<w:r><w:t xml:space="preserve">The Method of Acclimatization.--Taking into consideration</w:t></w:r>
</w:p>
<w:p>
<w:pPr><w:pStyle w:val="Normal"/></w:pPr>
<w:r><w:t xml:space="preserve">the foregoing facts and illustrations, it may be considered</w:t></w:r>
</w:p>
<w:p>
<w:pPr><w:pStyle w:val="Normal"/></w:pPr>
<w:r><w:t xml:space="preserve">as proved---1st, That habit has little (though it appears</w:t></w:r>
</w:p>
<w:p>
<w:pPr><w:pStyle w:val="Normal"/></w:pPr>
<w:r><w:t xml:space="preserve">to have some) definite effect in adapting the constitution of</w:t></w:r>
</w:p>
<w:p>
<w:pPr><w:pStyle w:val="Normal"/></w:pPr>
<w:r><w:t xml:space="preserve">animals to a new climate; but that it has a decided, though</w:t></w:r>
</w:p>
<w:p>
<w:pPr><w:pStyle w:val="Normal"/></w:pPr>
<w:r><w:t xml:space="preserve">still slight, influence in plants when, by the process of</w:t></w:r>
</w:p>
<w:p>
<w:pPr><w:pStyle w:val="Normal"/></w:pPr>
<w:r><w:t xml:space="preserve">propagation by buds, shoots or grafts, the individual can be</w:t></w:r>
</w:p>
<w:p>
<w:pPr><w:pStyle w:val="Normal"/></w:pPr>
<w:r><w:t xml:space="preserve">kept under its influence for long periods; 2nd, That great</w:t></w:r>
</w:p>
<w:p>
<w:pPr><w:pStyle w:val="Normal"/></w:pPr>
<w:r><w:t xml:space="preserve">and sudden changes of climate often check reproduction even</w:t></w:r>
</w:p>
<w:p>
<w:pPr><w:pStyle w:val="Normal"/></w:pPr>
<w:r><w:t xml:space="preserve">when the health of the individuals does not appear to suffer.</w:t></w:r>
</w:p>
<w:p>
<w:pPr><w:pStyle w:val="Normal"/></w:pPr>
<w:r><w:t xml:space="preserve">In order, therefore, to have the best chance of acclimatizing</w:t></w:r>
</w:p>
<w:p>
<w:pPr><w:pStyle w:val="Normal"/></w:pPr>
<w:r><w:t xml:space="preserve">any animal or plant in a climate very dissimilar from that of</w:t></w:r>
</w:p>
<w:p>
<w:pPr><w:pStyle w:val="Normal"/></w:pPr>
<w:r><w:t xml:space="preserve">its native country, and in which it has been proved that the</w:t></w:r>
</w:p>
<w:p>
<w:pPr><w:pStyle w:val="Normal"/></w:pPr>
<w:r><w:t xml:space="preserve">species in question cannot live and maintain itself without</w:t></w:r>
</w:p>
<w:p>
<w:pPr><w:pStyle w:val="Normal"/></w:pPr>
<w:r><w:t xml:space="preserve">acclimatization, we must adopt some such plan as the following:--</w:t></w:r>
</w:p>
<w:p>
<w:pPr><w:pStyle w:val="Normal"/></w:pPr>
<w:r><w:t xml:space="preserve">1. We must transport as large a number as possible of</w:t></w:r>
</w:p>
<w:p>
<w:pPr><w:pStyle w:val="Normal"/></w:pPr>
<w:r><w:t xml:space="preserve">adult healthy individuals to some intermediate station, and</w:t></w:r>
</w:p>
<w:p>
<w:pPr><w:pStyle w:val="Normal"/></w:pPr>
<w:r><w:t xml:space="preserve">increase them as much as possible for some years.  Favourable</w:t></w:r>
</w:p>
<w:p>
<w:pPr><w:pStyle w:val="Normal"/></w:pPr>
<w:r><w:t xml:space="preserve">variations of constitution will soon show themselves, and</w:t></w:r>
</w:p>
<w:p>
<w:pPr><w:pStyle w:val="Normal"/></w:pPr>
<w:r><w:t xml:space="preserve">these should be carefully selected to breed from, the</w:t></w:r>
</w:p>
<w:p>
<w:pPr><w:pStyle w:val="Normal"/></w:pPr>
<w:r><w:t xml:space="preserve">tender and unhealthy individuals being rigidly eliminated.</w:t></w:r>
</w:p>
<w:p>
<w:pPr><w:pStyle w:val="Normal"/></w:pPr>
<w:r><w:t xml:space="preserve">2. As soon as the stock has been kept a sufficient time to</w:t></w:r>
</w:p>
<w:p>
<w:pPr><w:pStyle w:val="Normal"/></w:pPr>
<w:r><w:t xml:space="preserve">pass through all the ordinary extremes of climate, a number</w:t></w:r>
</w:p>
<w:p>
<w:pPr><w:pStyle w:val="Normal"/></w:pPr>
<w:r><w:t xml:space="preserve">of the hardiest may be removed to the more remote station,</w:t></w:r>
</w:p>
<w:p>
<w:pPr><w:pStyle w:val="Normal"/></w:pPr>
<w:r><w:t xml:space="preserve">and the same process gone through, giving protection if</w:t></w:r>
</w:p>
<w:p>
<w:pPr><w:pStyle w:val="Normal"/></w:pPr>
<w:r><w:t xml:space="preserve">necessary while the stock is being increased, but as soon</w:t></w:r>
</w:p>
<w:p>
<w:pPr><w:pStyle w:val="Normal"/></w:pPr>
<w:r><w:t xml:space="preserve">as a large number of healthy individuals are produced,</w:t></w:r>
</w:p>
<w:p>
<w:pPr><w:pStyle w:val="Normal"/></w:pPr>
<w:r><w:t xml:space="preserve">subjecting them to ail the vicissitudes of the Climate.</w:t></w:r>
</w:p>
<w:p>
<w:pPr><w:pStyle w:val="Normal"/></w:pPr>
<w:r><w:t xml:space="preserve">It can hardly be doubted that in most cases this plan would</w:t></w:r>
</w:p>
<w:p>
<w:pPr><w:pStyle w:val="Normal"/></w:pPr>
<w:r><w:t xml:space="preserve">succeed.  It has been recommended by C. Darwin, and at</w:t></w:r>
</w:p>
<w:p>
<w:pPr><w:pStyle w:val="Normal"/></w:pPr>
<w:r><w:t xml:space="preserve">one of the early meetings of the Societe Zoologique d&apos;</w:t></w:r>
</w:p>
<w:p>
<w:pPr><w:pStyle w:val="Normal"/></w:pPr>
<w:r><w:t xml:space="preserve">Acclimatation, at Paris, Isodore Geoffroy St Hillaire insisted</w:t></w:r>
</w:p>
<w:p>
<w:pPr><w:pStyle w:val="Normal"/></w:pPr>
<w:r><w:t xml:space="preserve">that it was the only method by which acclimatization was</w:t></w:r>
</w:p>
<w:p>
<w:pPr><w:pStyle w:val="Normal"/></w:pPr>
<w:r><w:t xml:space="preserve">possible.  But in looking through the long series of volumes</w:t></w:r>
</w:p>
<w:p>
<w:pPr><w:pStyle w:val="Normal"/></w:pPr>
<w:r><w:t xml:space="preserve">of Reports published by this society, there is no sign that</w:t></w:r>
</w:p>
<w:p>
<w:pPr><w:pStyle w:val="Normal"/></w:pPr>
<w:r><w:t xml:space="preserve">any systematic attempt at acclimatization has even once been</w:t></w:r>
</w:p>
<w:p>
<w:pPr><w:pStyle w:val="Normal"/></w:pPr>
<w:r><w:t xml:space="preserve">made.  A number of foreign animals have been introduced, and</w:t></w:r>
</w:p>
<w:p>
<w:pPr><w:pStyle w:val="Normal"/></w:pPr>
<w:r><w:t xml:space="preserve">more or less domesticated, and some useful exotics have been</w:t></w:r>
</w:p>
<w:p>
<w:pPr><w:pStyle w:val="Normal"/></w:pPr>
<w:r><w:t xml:space="preserve">cultivated for the purpose of testing their applicability to</w:t></w:r>
</w:p>
<w:p>
<w:pPr><w:pStyle w:val="Normal"/></w:pPr>
<w:r><w:t xml:space="preserve">French agriculture or horticulture; but neither in the case of</w:t></w:r>
</w:p>
<w:p>
<w:pPr><w:pStyle w:val="Normal"/></w:pPr>
<w:r><w:t xml:space="preserve">animals nor of plants has there been any systematic effort to</w:t></w:r>
</w:p>
<w:p>
<w:pPr><w:pStyle w:val="Normal"/></w:pPr>
<w:r><w:t xml:space="preserve">modify the constitution of the species, by breeding largely</w:t></w:r>
</w:p>
<w:p>
<w:pPr><w:pStyle w:val="Normal"/></w:pPr>
<w:r><w:t xml:space="preserve">and selecting the favourable variations that appeared.</w:t></w:r>
</w:p>
<w:p>
<w:pPr><w:pStyle w:val="Normal"/></w:pPr>
<w:r><w:t xml:space="preserve">Take the case of the Eucalyptus globulus as an example.</w:t></w:r>
</w:p>
<w:p>
<w:pPr><w:pStyle w:val="Normal"/></w:pPr>
<w:r><w:t xml:space="preserve">This is a Tasmanian gum-tree of very rapid growth and</w:t></w:r>
</w:p>
<w:p>
<w:pPr><w:pStyle w:val="Normal"/></w:pPr>
<w:r><w:t xml:space="preserve">great beauty, which will thrive in the extreme south of</w:t></w:r>
</w:p>
<w:p>
<w:pPr><w:pStyle w:val="Normal"/></w:pPr>
<w:r><w:t xml:space="preserve">France.  In the Bulletin of the society a large number</w:t></w:r>
</w:p>
<w:p>
<w:pPr><w:pStyle w:val="Normal"/></w:pPr>
<w:r><w:t xml:space="preserve">of attempts to introduce this tree into general cultivation</w:t></w:r>
</w:p>
<w:p>
<w:pPr><w:pStyle w:val="Normal"/></w:pPr>
<w:r><w:t xml:space="preserve">in other parts of France are recorded in detail, with the</w:t></w:r>
</w:p>
<w:p>
<w:pPr><w:pStyle w:val="Normal"/></w:pPr>
<w:r><w:t xml:space="preserve">failure of almost all of them.  But no precautions such as</w:t></w:r>
</w:p>
<w:p>
<w:pPr><w:pStyle w:val="Normal"/></w:pPr>
<w:r><w:t xml:space="preserve">those above indicated appear to have been taken in any of</w:t></w:r>
</w:p>
<w:p>
<w:pPr><w:pStyle w:val="Normal"/></w:pPr>
<w:r><w:t xml:space="preserve">these experiments; and we have no intimation that either the</w:t></w:r>
</w:p>
<w:p>
<w:pPr><w:pStyle w:val="Normal"/></w:pPr>
<w:r><w:t xml:space="preserve">society or any of its members are making systematic efforts</w:t></w:r>
</w:p>
<w:p>
<w:pPr><w:pStyle w:val="Normal"/></w:pPr>
<w:r><w:t xml:space="preserve">to acclimatize the tree.  The first step would be, to obtain</w:t></w:r>
</w:p>
<w:p>
<w:pPr><w:pStyle w:val="Normal"/></w:pPr>
<w:r><w:t xml:space="preserve">seed from healthy trees growing in the coldest climate and at</w:t></w:r>
</w:p>
<w:p>
<w:pPr><w:pStyle w:val="Normal"/></w:pPr>
<w:r><w:t xml:space="preserve">the greatest altitude in its native country, sowing these very</w:t></w:r>
</w:p>
<w:p>
<w:pPr><w:pStyle w:val="Normal"/></w:pPr>
<w:r><w:t xml:space="preserve">largely, and in a variety of soils and situations, in a part</w:t></w:r>
</w:p>
<w:p>
<w:pPr><w:pStyle w:val="Normal"/></w:pPr>
<w:r><w:t xml:space="preserve">of France where the climate is somewhat but not much more</w:t></w:r>
</w:p>
<w:p>
<w:pPr><w:pStyle w:val="Normal"/></w:pPr>
<w:r><w:t xml:space="preserve">extreme.  It is almost a certainty that a number of trees</w:t></w:r>
</w:p>
<w:p>
<w:pPr><w:pStyle w:val="Normal"/></w:pPr>
<w:r><w:t xml:space="preserve">would be found to be quite hardy.  As soon as these produced</w:t></w:r>
</w:p>
<w:p>
<w:pPr><w:pStyle w:val="Normal"/></w:pPr>
<w:r><w:t xml:space="preserve">seed, it should be sown in the same district and farther north</w:t></w:r>
</w:p>
<w:p>
<w:pPr><w:pStyle w:val="Normal"/></w:pPr>
<w:r><w:t xml:space="preserve">in a climate a little more severe. After an exceptionally cold</w:t></w:r>
</w:p>
<w:p>
<w:pPr><w:pStyle w:val="Normal"/></w:pPr>
<w:r><w:t xml:space="preserve">season, seed should be collected from the trees that suffered</w:t></w:r>
</w:p>
<w:p>
<w:pPr><w:pStyle w:val="Normal"/></w:pPr>
<w:r><w:t xml:space="preserve">least, and should be sown in various districts all over</w:t></w:r>
</w:p>
<w:p>
<w:pPr><w:pStyle w:val="Normal"/></w:pPr>
<w:r><w:t xml:space="preserve">France.  By such a process there can be hardly any doubt</w:t></w:r>
</w:p>
<w:p>
<w:pPr><w:pStyle w:val="Normal"/></w:pPr>
<w:r><w:t xml:space="preserve">that the tree would be thoroughly acclimatized in any part of</w:t></w:r>
</w:p>
<w:p>
<w:pPr><w:pStyle w:val="Normal"/></w:pPr>
<w:r><w:t xml:space="preserve">France, and in many other countries of central Europe; and</w:t></w:r>
</w:p>
<w:p>
<w:pPr><w:pStyle w:val="Normal"/></w:pPr>
<w:r><w:t xml:space="preserve">more good would be effected by one well-directed effort of</w:t></w:r>
</w:p>
<w:p>
<w:pPr><w:pStyle w:val="Normal"/></w:pPr>
<w:r><w:t xml:space="preserve">this kind than by hundreds of experiments with individual</w:t></w:r>
</w:p>
<w:p>
<w:pPr><w:pStyle w:val="Normal"/></w:pPr>
<w:r><w:t xml:space="preserve">animals and plants, which only serve to show us which are</w:t></w:r>
</w:p>
<w:p>
<w:pPr><w:pStyle w:val="Normal"/></w:pPr>
<w:r><w:t xml:space="preserve">the species that do not require to be acclimatized.</w:t></w:r>
</w:p>
<w:p>
<w:pPr><w:pStyle w:val="Normal"/></w:pPr>
<w:r><w:t xml:space="preserve">Acclimatization of Man.---On this subject we have,</w:t></w:r>
</w:p>
<w:p>
<w:pPr><w:pStyle w:val="Normal"/></w:pPr>
<w:r><w:t xml:space="preserve">unfortunately, very little direct or accurate information.</w:t></w:r>
</w:p>
<w:p>
<w:pPr><w:pStyle w:val="Normal"/></w:pPr>
<w:r><w:t xml:space="preserve">The general laws of heredity and variation have been proved</w:t></w:r>
</w:p>
<w:p>
<w:pPr><w:pStyle w:val="Normal"/></w:pPr>
<w:r><w:t xml:space="preserve">to apply to man as well as to animals and plants; and numerous</w:t></w:r>
</w:p>
<w:p>
<w:pPr><w:pStyle w:val="Normal"/></w:pPr>
<w:r><w:t xml:space="preserve">facts in the distribution of races show that man must, in</w:t></w:r>
</w:p>
<w:p>
<w:pPr><w:pStyle w:val="Normal"/></w:pPr>
<w:r><w:t xml:space="preserve">remote ages at least, have been capable of constitutional</w:t></w:r>
</w:p>
<w:p>
<w:pPr><w:pStyle w:val="Normal"/></w:pPr>
<w:r><w:t xml:space="preserve">adaptation to climate. If the human race constitutes a single</w:t></w:r>
</w:p>
<w:p>
<w:pPr><w:pStyle w:val="Normal"/></w:pPr>
<w:r><w:t xml:space="preserve">species, then the mere fact that man now inhabits every</w:t></w:r>
</w:p>
<w:p>
<w:pPr><w:pStyle w:val="Normal"/></w:pPr>
<w:r><w:t xml:space="preserve">region, and is in each case constitutionally adapted to the</w:t></w:r>
</w:p>
<w:p>
<w:pPr><w:pStyle w:val="Normal"/></w:pPr>
<w:r><w:t xml:space="preserve">climate, proves that acclimatization has occurred.  But we have</w:t></w:r>
</w:p>
<w:p>
<w:pPr><w:pStyle w:val="Normal"/></w:pPr>
<w:r><w:t xml:space="preserve">the same phenomenon in single varieties of man, such as the</w:t></w:r>
</w:p>
<w:p>
<w:pPr><w:pStyle w:val="Normal"/></w:pPr>
<w:r><w:t xml:space="preserve">American, which inhabits alike the frozen wastes of Hudson&apos;s</w:t></w:r>
</w:p>
<w:p>
<w:pPr><w:pStyle w:val="Normal"/></w:pPr>
<w:r><w:t xml:space="preserve">Bay and Tierra del Fuego, and the hottest regions of the</w:t></w:r>
</w:p>
<w:p>
<w:pPr><w:pStyle w:val="Normal"/></w:pPr>
<w:r><w:t xml:space="preserve">tropics,---the low equatorial valleys and the lofty plateaux</w:t></w:r>
</w:p>
<w:p>
<w:pPr><w:pStyle w:val="Normal"/></w:pPr>
<w:r><w:t xml:space="preserve">of the Andes.  No doubt a sudden transference to an extreme</w:t></w:r>
</w:p>
<w:p>
<w:pPr><w:pStyle w:val="Normal"/></w:pPr>
<w:r><w:t xml:space="preserve">climate is often prejudicial to man, as it is to most animals</w:t></w:r>
</w:p>
<w:p>
<w:pPr><w:pStyle w:val="Normal"/></w:pPr>
<w:r><w:t xml:space="preserve">and plants; but there is every reason to believe that, if</w:t></w:r>
</w:p>
<w:p>
<w:pPr><w:pStyle w:val="Normal"/></w:pPr>
<w:r><w:t xml:space="preserve">the migration occurs step by step, man can be acclimatized to</w:t></w:r>
</w:p>
<w:p>
<w:pPr><w:pStyle w:val="Normal"/></w:pPr>
<w:r><w:t xml:space="preserve">almost any part of the earth&apos;s surface in comparatively few</w:t></w:r>
</w:p>
<w:p>
<w:pPr><w:pStyle w:val="Normal"/></w:pPr>
<w:r><w:t xml:space="preserve">generations.  Some eminent writers have denied this.  Sir Ranald</w:t></w:r>
</w:p>
<w:p>
<w:pPr><w:pStyle w:val="Normal"/></w:pPr>
<w:r><w:t xml:space="preserve">Martin, from a consideration of the effects of the climate</w:t></w:r>
</w:p>
<w:p>
<w:pPr><w:pStyle w:val="Normal"/></w:pPr>
<w:r><w:t xml:space="preserve">of India on Europeans and their offspring, believed that there</w:t></w:r>
</w:p>
<w:p>
<w:pPr><w:pStyle w:val="Normal"/></w:pPr>
<w:r><w:t xml:space="preserve">is no such thing as acclimatization.  Dr Hunt, in a report</w:t></w:r>
</w:p>
<w:p>
<w:pPr><w:pStyle w:val="Normal"/></w:pPr>
<w:r><w:t xml:space="preserve">to the British Association in 1861, argued that ``time is no</w:t></w:r>
</w:p>
<w:p>
<w:pPr><w:pStyle w:val="Normal"/></w:pPr>
<w:r><w:t xml:space="preserve">agent,&apos;&apos; and--``if there is no sign of acclimatization in one</w:t></w:r>
</w:p>
<w:p>
<w:pPr><w:pStyle w:val="Normal"/></w:pPr>
<w:r><w:t xml:space="preserve">generation, there is no such process.&apos;&apos; But he entirely ignored</w:t></w:r>
</w:p>
<w:p>
<w:pPr><w:pStyle w:val="Normal"/></w:pPr>
<w:r><w:t xml:space="preserve">the effect of favourable variations, as well as the direct</w:t></w:r>
</w:p>
<w:p>
<w:pPr><w:pStyle w:val="Normal"/></w:pPr>
<w:r><w:t xml:space="preserve">influence of climate acting on the organization from infancy.</w:t></w:r>
</w:p>
<w:p>
<w:pPr><w:pStyle w:val="Normal"/></w:pPr>
<w:r><w:t xml:space="preserve">Professor Theodor Waitz, in his Introduction to Anthropology,</w:t></w:r>
</w:p>
<w:p>
<w:pPr><w:pStyle w:val="Normal"/></w:pPr>
<w:r><w:t xml:space="preserve">adduced many examples of the comparatively rapid constitutional</w:t></w:r>
</w:p>
<w:p>
<w:pPr><w:pStyle w:val="Normal"/></w:pPr>
<w:r><w:t xml:space="preserve">adaptation of man to new climatic conditions.  Negroes,</w:t></w:r>
</w:p>
<w:p>
<w:pPr><w:pStyle w:val="Normal"/></w:pPr>
<w:r><w:t xml:space="preserve">for example,who have been for three or four generations</w:t></w:r>
</w:p>
<w:p>
<w:pPr><w:pStyle w:val="Normal"/></w:pPr>
<w:r><w:t xml:space="preserve">acclimatized in North America, on returning to Africa become</w:t></w:r>
</w:p>
<w:p>
<w:pPr><w:pStyle w:val="Normal"/></w:pPr>
<w:r><w:t xml:space="preserve">subject to the same local diseases as other unacclimatized</w:t></w:r>
</w:p>
<w:p>
<w:pPr><w:pStyle w:val="Normal"/></w:pPr>
<w:r><w:t xml:space="preserve">individuals. He well remarked that the debility and</w:t></w:r>
</w:p>
<w:p>
<w:pPr><w:pStyle w:val="Normal"/></w:pPr>
<w:r><w:t xml:space="preserve">sickening of Europeans in many tropical countries are wrongly</w:t></w:r>
</w:p>
<w:p>
<w:pPr><w:pStyle w:val="Normal"/></w:pPr>
<w:r><w:t xml:space="preserve">ascribed to the climate, but are rather the consequences of</w:t></w:r>
</w:p>
<w:p>
<w:pPr><w:pStyle w:val="Normal"/></w:pPr>
<w:r><w:t xml:space="preserve">indolence, sensual gratification and an irregular mode of</w:t></w:r>
</w:p>
<w:p>
<w:pPr><w:pStyle w:val="Normal"/></w:pPr>
<w:r><w:t xml:space="preserve">life.  Thus the English, who cannot give up animal food and</w:t></w:r>
</w:p>
<w:p>
<w:pPr><w:pStyle w:val="Normal"/></w:pPr>
<w:r><w:t xml:space="preserve">spirituous liquors, are less able to sustain the heat of</w:t></w:r>
</w:p>
<w:p>
<w:pPr><w:pStyle w:val="Normal"/></w:pPr>
<w:r><w:t xml:space="preserve">the tropics than the more sober Spaniards and Portuguese.</w:t></w:r>
</w:p>
<w:p>
<w:pPr><w:pStyle w:val="Normal"/></w:pPr>
<w:r><w:t xml:space="preserve">The excessive mortality of European troops in India, and</w:t></w:r>
</w:p>
<w:p>
<w:pPr><w:pStyle w:val="Normal"/></w:pPr>
<w:r><w:t xml:space="preserve">the delicacy of the children of European parents, do not</w:t></w:r>
</w:p>
<w:p>
<w:pPr><w:pStyle w:val="Normal"/></w:pPr>
<w:r><w:t xml:space="preserve">affect the real question of acclimatization under proper</w:t></w:r>
</w:p>
<w:p>
<w:pPr><w:pStyle w:val="Normal"/></w:pPr>
<w:r><w:t xml:space="preserve">conditions.  They only show that acclimatization is in</w:t></w:r>
</w:p>
<w:p>
<w:pPr><w:pStyle w:val="Normal"/></w:pPr>
<w:r><w:t xml:space="preserve">most cases necessary, not that it cannot take place.  The</w:t></w:r>
</w:p>
<w:p>
<w:pPr><w:pStyle w:val="Normal"/></w:pPr>
<w:r><w:t xml:space="preserve">best examples of partial or complete acclimatization are</w:t></w:r>
</w:p>
<w:p>
<w:pPr><w:pStyle w:val="Normal"/></w:pPr>
<w:r><w:t xml:space="preserve">to be found where European races have permanently settled</w:t></w:r>
</w:p>
<w:p>
<w:pPr><w:pStyle w:val="Normal"/></w:pPr>
<w:r><w:t xml:space="preserve">in the tropics, and have maintained themselves for several</w:t></w:r>
</w:p>
<w:p>
<w:pPr><w:pStyle w:val="Normal"/></w:pPr>
<w:r><w:t xml:space="preserve">generations.  There are, however, two sources of inaccuracy</w:t></w:r>
</w:p>
<w:p>
<w:pPr><w:pStyle w:val="Normal"/></w:pPr>
<w:r><w:t xml:space="preserve">to be guarded against, and these are made the most of by</w:t></w:r>
</w:p>
<w:p>
<w:pPr><w:pStyle w:val="Normal"/></w:pPr>
<w:r><w:t xml:space="preserve">the writers above referred to, and are supposed altogether</w:t></w:r>
</w:p>
<w:p>
<w:pPr><w:pStyle w:val="Normal"/></w:pPr>
<w:r><w:t xml:space="preserve">to invalidate results which are otherwise opposed to their</w:t></w:r>
</w:p>
<w:p>
<w:pPr><w:pStyle w:val="Normal"/></w:pPr>
<w:r><w:t xml:space="preserve">views.  In the first place, we have the possibility of a</w:t></w:r>
</w:p>
<w:p>
<w:pPr><w:pStyle w:val="Normal"/></w:pPr>
<w:r><w:t xml:space="preserve">mixture of native blood having occurred; in the second,</w:t></w:r>
</w:p>
<w:p>
<w:pPr><w:pStyle w:val="Normal"/></w:pPr>
<w:r><w:t xml:space="preserve">there have almost always been a succession of immigrants</w:t></w:r>
</w:p>
<w:p>
<w:pPr><w:pStyle w:val="Normal"/></w:pPr>
<w:r><w:t xml:space="preserve">from the parent country, who continually intermingle with</w:t></w:r>
</w:p>
<w:p>
<w:pPr><w:pStyle w:val="Normal"/></w:pPr>
<w:r><w:t xml:space="preserve">the families of the early settlers.  It is maintained that</w:t></w:r>
</w:p>
<w:p>
<w:pPr><w:pStyle w:val="Normal"/></w:pPr>
<w:r><w:t xml:space="preserve">one or other of these mixtures is absolutely necessary to</w:t></w:r>
</w:p>
<w:p>
<w:pPr><w:pStyle w:val="Normal"/></w:pPr>
<w:r><w:t xml:space="preserve">enable Europeans to continue long to flourish in the tropics.</w:t></w:r>
</w:p>
<w:p>
<w:pPr><w:pStyle w:val="Normal"/></w:pPr>
<w:r><w:t xml:space="preserve">There are, however, certain cases in which the sources</w:t></w:r>
</w:p>
<w:p>
<w:pPr><w:pStyle w:val="Normal"/></w:pPr>
<w:r><w:t xml:space="preserve">of error above mentioned are reduced to a minimum,</w:t></w:r>
</w:p>
<w:p>
<w:pPr><w:pStyle w:val="Normal"/></w:pPr>
<w:r><w:t xml:space="preserve">and cannot seriously affect the results; such as those</w:t></w:r>
</w:p>
<w:p>
<w:pPr><w:pStyle w:val="Normal"/></w:pPr>
<w:r><w:t xml:space="preserve">of the Jews, the Dutch at the Cape of Good Hope and</w:t></w:r>
</w:p>
<w:p>
<w:pPr><w:pStyle w:val="Normal"/></w:pPr>
<w:r><w:t xml:space="preserve">in the Moluccas, and the Spaniards in South America.</w:t></w:r>
</w:p>
<w:p>
<w:pPr><w:pStyle w:val="Normal"/></w:pPr>
<w:r><w:t xml:space="preserve">The Jews are a good example of acclimatization, because they</w:t></w:r>
</w:p>
<w:p>
<w:pPr><w:pStyle w:val="Normal"/></w:pPr>
<w:r><w:t xml:space="preserve">have been established for many centuries in climates very</w:t></w:r>
</w:p>
<w:p>
<w:pPr><w:pStyle w:val="Normal"/></w:pPr>
<w:r><w:t xml:space="preserve">different from that of their native land; they keep themselves</w:t></w:r>
</w:p>
<w:p>
<w:pPr><w:pStyle w:val="Normal"/></w:pPr>
<w:r><w:t xml:space="preserve">almost wholly free from intermixture with the people around</w:t></w:r>
</w:p>
<w:p>
<w:pPr><w:pStyle w:val="Normal"/></w:pPr>
<w:r><w:t xml:space="preserve">them; and they are often so populous in a country that the</w:t></w:r>
</w:p>
<w:p>
<w:pPr><w:pStyle w:val="Normal"/></w:pPr>
<w:r><w:t xml:space="preserve">intermixture with Jewish immigrants from other lands cannot</w:t></w:r>
</w:p>
<w:p>
<w:pPr><w:pStyle w:val="Normal"/></w:pPr>
<w:r><w:t xml:space="preserve">seriously affect the local purity of the race.  They have, for</w:t></w:r>
</w:p>
<w:p>
<w:pPr><w:pStyle w:val="Normal"/></w:pPr>
<w:r><w:t xml:space="preserve">instance, attained a population of millions in such severe</w:t></w:r>
</w:p>
<w:p>
<w:pPr><w:pStyle w:val="Normal"/></w:pPr>
<w:r><w:t xml:space="preserve">climates as Poland and Russia; in the towns of Algeria they</w:t></w:r>
</w:p>
<w:p>
<w:pPr><w:pStyle w:val="Normal"/></w:pPr>
<w:r><w:t xml:space="preserve">have succeeded so conspicuously as to bring about an outburst</w:t></w:r>
</w:p>
<w:p>
<w:pPr><w:pStyle w:val="Normal"/></w:pPr>
<w:r><w:t xml:space="preserve">of anti-semitism; and in Cochin-China and Aden they succeed</w:t></w:r>
</w:p>
<w:p>
<w:pPr><w:pStyle w:val="Normal"/></w:pPr>
<w:r><w:t xml:space="preserve">in rearing children and forming permanent communities.</w:t></w:r>
</w:p>
<w:p>
<w:pPr><w:pStyle w:val="Normal"/></w:pPr>
<w:r><w:t xml:space="preserve">In some of the hottest parts of South America Europeans are</w:t></w:r>
</w:p>
<w:p>
<w:pPr><w:pStyle w:val="Normal"/></w:pPr>
<w:r><w:t xml:space="preserve">perfectly acclimatized, and where the race is kept pure it</w:t></w:r>
</w:p>
<w:p>
<w:pPr><w:pStyle w:val="Normal"/></w:pPr>
<w:r><w:t xml:space="preserve">seems to be even improved.  Some very valuable notes on this</w:t></w:r>
</w:p>
<w:p>
<w:pPr><w:pStyle w:val="Normal"/></w:pPr>
<w:r><w:t xml:space="preserve">subject were furnished to the present writer by the well-known</w:t></w:r>
</w:p>
<w:p>
<w:pPr><w:pStyle w:val="Normal"/></w:pPr>
<w:r><w:t xml:space="preserve">botanist, Richard Spruce, who resided many years in South</w:t></w:r>
</w:p>
<w:p>
<w:pPr><w:pStyle w:val="Normal"/></w:pPr>
<w:r><w:t xml:space="preserve">America, but who was prevented by ill health from publishing</w:t></w:r>
</w:p>
<w:p>
<w:pPr><w:pStyle w:val="Normal"/></w:pPr>
<w:r><w:t xml:space="preserve">his researches (see A. R. Wallace, Notes of a Botannist,</w:t></w:r>
</w:p>
<w:p>
<w:pPr><w:pStyle w:val="Normal"/></w:pPr>
<w:r><w:t xml:space="preserve">1908). As a careful, judicious and accurate observer,</w:t></w:r>
</w:p>
<w:p>
<w:pPr><w:pStyle w:val="Normal"/></w:pPr>
<w:r><w:t xml:space="preserve">both of man and nature, he had few superiors.  He says:</w:t></w:r>
</w:p>
<w:p>
<w:pPr><w:pStyle w:val="Normal"/></w:pPr>
<w:r><w:t xml:space="preserve">The white inhabitants of Guayaquil (lat. 2 deg.  13&apos; S.) are kept</w:t></w:r>
</w:p>
<w:p>
<w:pPr><w:pStyle w:val="Normal"/></w:pPr>
<w:r><w:t xml:space="preserve">pure by careful selection.  The slightest tincture of red</w:t></w:r>
</w:p>
<w:p>
<w:pPr><w:pStyle w:val="Normal"/></w:pPr>
<w:r><w:t xml:space="preserve">or black blood bars entry into any of the old families who</w:t></w:r>
</w:p>
<w:p>
<w:pPr><w:pStyle w:val="Normal"/></w:pPr>
<w:r><w:t xml:space="preserve">are descendants of Spaniards ftom the Provincias Vascongadas</w:t></w:r>
</w:p>
<w:p>
<w:pPr><w:pStyle w:val="Normal"/></w:pPr>
<w:r><w:t xml:space="preserve">or those bordering the Bay of Biscay, where the morals are</w:t></w:r>
</w:p>
<w:p>
<w:pPr><w:pStyle w:val="Normal"/></w:pPr>
<w:r><w:t xml:space="preserve">perhaps the purest (as regards the intercourse of the sexes)</w:t></w:r>
</w:p>
<w:p>
<w:pPr><w:pStyle w:val="Normal"/></w:pPr>
<w:r><w:t xml:space="preserve">of any in Europe, and where for a girl, even of the poorest</w:t></w:r>
</w:p>
<w:p>
<w:pPr><w:pStyle w:val="Normal"/></w:pPr>
<w:r><w:t xml:space="preserve">class, to have a child before marriage is the rarest thing</w:t></w:r>
</w:p>
<w:p>
<w:pPr><w:pStyle w:val="Normal"/></w:pPr>
<w:r><w:t xml:space="preserve">possible.  The consequence of this careful breeding is,</w:t></w:r>
</w:p>
<w:p>
<w:pPr><w:pStyle w:val="Normal"/></w:pPr>
<w:r><w:t xml:space="preserve">that the women of Guavaquil are considered (and justly)</w:t></w:r>
</w:p>
<w:p>
<w:pPr><w:pStyle w:val="Normal"/></w:pPr>
<w:r><w:t xml:space="preserve">the finest along the whole Pacific coast.  They are often</w:t></w:r>
</w:p>
<w:p>
<w:pPr><w:pStyle w:val="Normal"/></w:pPr>
<w:r><w:t xml:space="preserve">tall, sometimes very handsome, decidedly healthy, although</w:t></w:r>
</w:p>
<w:p>
<w:pPr><w:pStyle w:val="Normal"/></w:pPr>
<w:r><w:t xml:space="preserve">pale, and assuredly prolific enough.  Their sons are big,</w:t></w:r>
</w:p>
<w:p>
<w:pPr><w:pStyle w:val="Normal"/></w:pPr>
<w:r><w:t xml:space="preserve">stout men, but when they lead inactive lives are apt to</w:t></w:r>
</w:p>
<w:p>
<w:pPr><w:pStyle w:val="Normal"/></w:pPr>
<w:r><w:t xml:space="preserve">become fat and sluggish.  Those of them, however, who have</w:t></w:r>
</w:p>
<w:p>
<w:pPr><w:pStyle w:val="Normal"/></w:pPr>
<w:r><w:t xml:space="preserve">farms in the savannahs and are accustomed to take long</w:t></w:r>
</w:p>
<w:p>
<w:pPr><w:pStyle w:val="Normal"/></w:pPr>
<w:r><w:t xml:space="preserve">rides in all weathers, and those whose trade obliges them</w:t></w:r>
</w:p>
<w:p>
<w:pPr><w:pStyle w:val="Normal"/></w:pPr>
<w:r><w:t xml:space="preserve">to take frequent journeys in the mountainous interior, or</w:t></w:r>
</w:p>
<w:p>
<w:pPr><w:pStyle w:val="Normal"/></w:pPr>
<w:r><w:t xml:space="preserve">even to Europe and North America, are often as active and as</w:t></w:r>
</w:p>
<w:p>
<w:pPr><w:pStyle w:val="Normal"/></w:pPr>
<w:r><w:t xml:space="preserve">little burdened with superfluous flesh as a Scotch farmer.</w:t></w:r>
</w:p>
<w:p>
<w:pPr><w:pStyle w:val="Normal"/></w:pPr>
<w:r><w:t xml:space="preserve">The oldest Christian town in Peru is Piura (lat. 5 deg.  S.),</w:t></w:r>
</w:p>
<w:p>
<w:pPr><w:pStyle w:val="Normal"/></w:pPr>
<w:r><w:t xml:space="preserve">which was founded by Pizarro himself.  The climate is very</w:t></w:r>
</w:p>
<w:p>
<w:pPr><w:pStyle w:val="Normal"/></w:pPr>
<w:r><w:t xml:space="preserve">hot, especially in the three or four months following</w:t></w:r>
</w:p>
<w:p>
<w:pPr><w:pStyle w:val="Normal"/></w:pPr>
<w:r><w:t xml:space="preserve">the southern solstice.  In March 1843 the temperature</w:t></w:r>
</w:p>
<w:p>
<w:pPr><w:pStyle w:val="Normal"/></w:pPr>
<w:r><w:t xml:space="preserve">only once fell as low as 83 deg.  during the whole month, the</w:t></w:r>
</w:p>
<w:p>
<w:pPr><w:pStyle w:val="Normal"/></w:pPr>
<w:r><w:t xml:space="preserve">usual lowest night temperature being 85 deg. .  Yet people of</w:t></w:r>
</w:p>
<w:p>
<w:pPr><w:pStyle w:val="Normal"/></w:pPr>
<w:r><w:t xml:space="preserve">all colours find it very healthy, and the whites are very</w:t></w:r>
</w:p>
<w:p>
<w:pPr><w:pStyle w:val="Normal"/></w:pPr>
<w:r><w:t xml:space="preserve">prolific.  I resided in the town itself nine months, and</w:t></w:r>
</w:p>
<w:p>
<w:pPr><w:pStyle w:val="Normal"/></w:pPr>
<w:r><w:t xml:space="preserve">in the neighbourhood seven months more.  The population (in</w:t></w:r>
</w:p>
<w:p>
<w:pPr><w:pStyle w:val="Normal"/></w:pPr>
<w:r><w:t xml:space="preserve">1863-1864) was about 10,000, of which not only a considerable</w:t></w:r>
</w:p>
<w:p>
<w:pPr><w:pStyle w:val="Normal"/></w:pPr>
<w:r><w:t xml:space="preserve">proportion was white, but was mostly descended from the</w:t></w:r>
</w:p>
<w:p>
<w:pPr><w:pStyle w:val="Normal"/></w:pPr>
<w:r><w:t xml:space="preserve">first emigrants after the conquest.  Purity of descent was</w:t></w:r>
</w:p>
<w:p>
<w:pPr><w:pStyle w:val="Normal"/></w:pPr>
<w:r><w:t xml:space="preserve">not, however, quite so strictly maintained as at Guayaquil.</w:t></w:r>
</w:p>
<w:p>
<w:pPr><w:pStyle w:val="Normal"/></w:pPr>
<w:r><w:t xml:space="preserve">The military adventurers, who have often risen to high or</w:t></w:r>
</w:p>
<w:p>
<w:pPr><w:pStyle w:val="Normal"/></w:pPr>
<w:r><w:t xml:space="preserve">even supreme rank in Peru, have not seldom been of mixed</w:t></w:r>
</w:p>
<w:p>
<w:pPr><w:pStyle w:val="Normal"/></w:pPr>
<w:r><w:t xml:space="preserve">race, and fear or favour has often availed to procure them</w:t></w:r>
</w:p>
<w:p>
<w:pPr><w:pStyle w:val="Normal"/></w:pPr>
<w:r><w:t xml:space="preserve">an alliance with the oldest and purest-blooded families.</w:t></w:r>
</w:p>
<w:p>
<w:pPr><w:pStyle w:val="Normal"/></w:pPr>
<w:r><w:t xml:space="preserve">These instances, so well stated by Spruce, seem to demonstrate</w:t></w:r>
</w:p>
<w:p>
<w:pPr><w:pStyle w:val="Normal"/></w:pPr>
<w:r><w:t xml:space="preserve">the complete acclimatization of Spaniards in some of the hottest</w:t></w:r>
</w:p>
<w:p>
<w:pPr><w:pStyle w:val="Normal"/></w:pPr>
<w:r><w:t xml:space="preserve">parts of South America.  Although we have here nothiog to do</w:t></w:r>
</w:p>
<w:p>
<w:pPr><w:pStyle w:val="Normal"/></w:pPr>
<w:r><w:t xml:space="preserve">with mixed races, yet the want of fertility in these has been</w:t></w:r>
</w:p>
<w:p>
<w:pPr><w:pStyle w:val="Normal"/></w:pPr>
<w:r><w:t xml:space="preserve">often taken to be a fact inherent in the mongrel race, and has</w:t></w:r>
</w:p>
<w:p>
<w:pPr><w:pStyle w:val="Normal"/></w:pPr>
<w:r><w:t xml:space="preserve">been also sometimes held to prove that neither the European</w:t></w:r>
</w:p>
<w:p>
<w:pPr><w:pStyle w:val="Normal"/></w:pPr>
<w:r><w:t xml:space="preserve">nor his half-bred offspring can maintain themselves in the</w:t></w:r>
</w:p>
<w:p>
<w:pPr><w:pStyle w:val="Normal"/></w:pPr>
<w:r><w:t xml:space="preserve">tropics.  The following observation is therefore of interest:--</w:t></w:r>
</w:p>
<w:p>
<w:pPr><w:pStyle w:val="Normal"/></w:pPr>
<w:r><w:t xml:space="preserve">At Guayaquil for a lady of good family---married or unmarried--to</w:t></w:r>
</w:p>
<w:p>
<w:pPr><w:pStyle w:val="Normal"/></w:pPr>
<w:r><w:t xml:space="preserve">be of loose morals is so uncommon, that when it does happen</w:t></w:r>
</w:p>
<w:p>
<w:pPr><w:pStyle w:val="Normal"/></w:pPr>
<w:r><w:t xml:space="preserve">it is felt as a calamity by the whole community.  But here,</w:t></w:r>
</w:p>
<w:p>
<w:pPr><w:pStyle w:val="Normal"/></w:pPr>
<w:r><w:t xml:space="preserve">and perhaps in most other towns in South America, a poor girl</w:t></w:r>
</w:p>
<w:p>
<w:pPr><w:pStyle w:val="Normal"/></w:pPr>
<w:r><w:t xml:space="preserve">of mixed race-especially if good-looking--rarely thinks of</w:t></w:r>
</w:p>
<w:p>
<w:pPr><w:pStyle w:val="Normal"/></w:pPr>
<w:r><w:t xml:space="preserve">marrying one of her own class until she has--as the Brazilians</w:t></w:r>
</w:p>
<w:p>
<w:pPr><w:pStyle w:val="Normal"/></w:pPr>
<w:r><w:t xml:space="preserve">say--``approveitada de sua mocidade&apos;&apos; (made the most of</w:t></w:r>
</w:p>
<w:p>
<w:pPr><w:pStyle w:val="Normal"/></w:pPr>
<w:r><w:t xml:space="preserve">her youth) in receiving presents from gentlemen. If she</w:t></w:r>
</w:p>
<w:p>
<w:pPr><w:pStyle w:val="Normal"/></w:pPr>
<w:r><w:t xml:space="preserve">thus bring a good dowry to her husband, he does not care to</w:t></w:r>
</w:p>
<w:p>
<w:pPr><w:pStyle w:val="Normal"/></w:pPr>
<w:r><w:t xml:space="preserve">inquire, or is not sensitive, about the mode in which it was</w:t></w:r>
</w:p>
<w:p>
<w:pPr><w:pStyle w:val="Normal"/></w:pPr>
<w:r><w:t xml:space="preserve">acquired.  The consequence of this indiscriminate sexual</w:t></w:r>
</w:p>
<w:p>
<w:pPr><w:pStyle w:val="Normal"/></w:pPr>
<w:r><w:t xml:space="preserve">intercourse, especially if much prolonged, is to diminish,</w:t></w:r>
</w:p>
<w:p>
<w:pPr><w:pStyle w:val="Normal"/></w:pPr>
<w:r><w:t xml:space="preserve">in some cases to paralyse, the fertility of the female.  And</w:t></w:r>
</w:p>
<w:p>
<w:pPr><w:pStyle w:val="Normal"/></w:pPr>
<w:r><w:t xml:space="preserve">as among people of mixed race it is almost universal, the</w:t></w:r>
</w:p>
<w:p>
<w:pPr><w:pStyle w:val="Normal"/></w:pPr>
<w:r><w:t xml:space="preserve">population of these must fall off both in numbers and quality.</w:t></w:r>
</w:p>
<w:p>
<w:pPr><w:pStyle w:val="Normal"/></w:pPr>
<w:r><w:t xml:space="preserve">The following example of divergent acclimatization of the</w:t></w:r>
</w:p>
<w:p>
<w:pPr><w:pStyle w:val="Normal"/></w:pPr>
<w:r><w:t xml:space="preserve">same race to hot and cold zones is very interesting, and</w:t></w:r>
</w:p>
<w:p>
<w:pPr><w:pStyle w:val="Normal"/></w:pPr>
<w:r><w:t xml:space="preserve">will conclude our extracts from Spruce&apos;s valuable notes:--</w:t></w:r>
</w:p>
<w:p>
<w:pPr><w:pStyle w:val="Normal"/></w:pPr>
<w:r><w:t xml:space="preserve">One of the most singular cases connected with this subject</w:t></w:r>
</w:p>
<w:p>
<w:pPr><w:pStyle w:val="Normal"/></w:pPr>
<w:r><w:t xml:space="preserve">that have fallen under my own observation, is the difficulty,</w:t></w:r>
</w:p>
<w:p>
<w:pPr><w:pStyle w:val="Normal"/></w:pPr>
<w:r><w:t xml:space="preserve">or apparent impossibility, of acclimatizing the Red Indian</w:t></w:r>
</w:p>
<w:p>
<w:pPr><w:pStyle w:val="Normal"/></w:pPr>
<w:r><w:t xml:space="preserve">in a certain zone of the Andes.  Any person who has compared</w:t></w:r>
</w:p>
<w:p>
<w:pPr><w:pStyle w:val="Normal"/></w:pPr>
<w:r><w:t xml:space="preserve">the physical characters of the native races of South America</w:t></w:r>
</w:p>
<w:p>
<w:pPr><w:pStyle w:val="Normal"/></w:pPr>
<w:r><w:t xml:space="preserve">must be convinced that these have all originated in a common</w:t></w:r>
</w:p>
<w:p>
<w:pPr><w:pStyle w:val="Normal"/></w:pPr>
<w:r><w:t xml:space="preserve">stirps.  Many local differences exist, but none capable of</w:t></w:r>
</w:p>
<w:p>
<w:pPr><w:pStyle w:val="Normal"/></w:pPr>
<w:r><w:t xml:space="preserve">invalidating this conclusion.  The warmth yet shade-loving</w:t></w:r>
</w:p>
<w:p>
<w:pPr><w:pStyle w:val="Normal"/></w:pPr>
<w:r><w:t xml:space="preserve">Indian of the Amazon; the Indian of the hot, dry and treeless</w:t></w:r>
</w:p>
<w:p>
<w:pPr><w:pStyle w:val="Normal"/></w:pPr>
<w:r><w:t xml:space="preserve">coasts of Peru and Guayaquil, who exposes his bare head to</w:t></w:r>
</w:p>
<w:p>
<w:pPr><w:pStyle w:val="Normal"/></w:pPr>
<w:r><w:t xml:space="preserve">the sun with as much zest as an African negro; the Indian</w:t></w:r>
</w:p>
<w:p>
<w:pPr><w:pStyle w:val="Normal"/></w:pPr>
<w:r><w:t xml:space="preserve">of the Andes, for whom no cold seems too great, who goes</w:t></w:r>
</w:p>
<w:p>
<w:pPr><w:pStyle w:val="Normal"/></w:pPr>
<w:r><w:t xml:space="preserve">constantly barelegged and often bare-headed, through whose</w:t></w:r>
</w:p>
<w:p>
<w:pPr><w:pStyle w:val="Normal"/></w:pPr>
<w:r><w:t xml:space="preserve">rude straw hut the piercing wind of the paramos sweeps</w:t></w:r>
</w:p>
<w:p>
<w:pPr><w:pStyle w:val="Normal"/></w:pPr>
<w:r><w:t xml:space="preserve">and chills the white man to the very bones;--all these,</w:t></w:r>
</w:p>
<w:p>
<w:pPr><w:pStyle w:val="Normal"/></w:pPr>
<w:r><w:t xml:space="preserve">in the colour and texture cf the skin, the hair and other</w:t></w:r>
</w:p>
<w:p>
<w:pPr><w:pStyle w:val="Normal"/></w:pPr>
<w:r><w:t xml:space="preserve">important features, are plainly of one and the same race.</w:t></w:r>
</w:p>
<w:p>
<w:pPr><w:pStyle w:val="Normal"/></w:pPr>
<w:r><w:t xml:space="preserve">Now there is a zone of the equatorial Andes, ranging between</w:t></w:r>
</w:p>
<w:p>
<w:pPr><w:pStyle w:val="Normal"/></w:pPr>
<w:r><w:t xml:space="preserve">about 4000 and 6000 feet altitude, where the very best</w:t></w:r>
</w:p>
<w:p>
<w:pPr><w:pStyle w:val="Normal"/></w:pPr>
<w:r><w:t xml:space="preserve">flavoured coffee is grown, where cane is less luxuriant but</w:t></w:r>
</w:p>
<w:p>
<w:pPr><w:pStyle w:val="Normal"/></w:pPr>
<w:r><w:t xml:space="preserve">more saccharine than in the plains, and which is therefore</w:t></w:r>
</w:p>
<w:p>
<w:pPr><w:pStyle w:val="Normal"/></w:pPr>
<w:r><w:t xml:space="preserve">very desirable to cultivate, but where the red man sickens and</w:t></w:r>
</w:p>
<w:p>
<w:pPr><w:pStyle w:val="Normal"/></w:pPr>
<w:r><w:t xml:space="preserve">dies.  Indians taken down from the sierra get ague and</w:t></w:r>
</w:p>
<w:p>
<w:pPr><w:pStyle w:val="Normal"/></w:pPr>
<w:r><w:t xml:space="preserve">dysentery.  Those of the plains find the temperature chilly,</w:t></w:r>
</w:p>
<w:p>
<w:pPr><w:pStyle w:val="Normal"/></w:pPr>
<w:r><w:t xml:space="preserve">and are stricken down with influenza and pains in the</w:t></w:r>
</w:p>
<w:p>
<w:pPr><w:pStyle w:val="Normal"/></w:pPr>
<w:r><w:t xml:space="preserve">limbs.  I have seen the difficulty experienced in getting</w:t></w:r>
</w:p>
<w:p>
<w:pPr><w:pStyle w:val="Normal"/></w:pPr>
<w:r><w:t xml:space="preserve">farms cultivated in this zone, on both sides of the</w:t></w:r>
</w:p>
<w:p>
<w:pPr><w:pStyle w:val="Normal"/></w:pPr>
<w:r><w:t xml:space="preserve">Cordillera.  The permanent residents are generally limited</w:t></w:r>
</w:p>
<w:p>
<w:pPr><w:pStyle w:val="Normal"/></w:pPr>
<w:r><w:t xml:space="preserve">to the major-domo and his family; and in the dry season</w:t></w:r>
</w:p>
<w:p>
<w:pPr><w:pStyle w:val="Normal"/></w:pPr>
<w:r><w:t xml:space="preserve">labourers are hired, of any colour that can be obtained--some</w:t></w:r>
</w:p>
<w:p>
<w:pPr><w:pStyle w:val="Normal"/></w:pPr>
<w:r><w:t xml:space="preserve">from the low country, others from the highlands--for three,</w:t></w:r>
</w:p>
<w:p>
<w:pPr><w:pStyle w:val="Normal"/></w:pPr>
<w:r><w:t xml:space="preserve">four, or five months, who gather in and grind the cane, and</w:t></w:r>
</w:p>
<w:p>
<w:pPr><w:pStyle w:val="Normal"/></w:pPr>
<w:r><w:t xml:space="preserve">plant for the harvest of the following year; but the staff of</w:t></w:r>
</w:p>
<w:p>
<w:pPr><w:pStyle w:val="Normal"/></w:pPr>
<w:r><w:t xml:space="preserve">resident Indian labourers, such as exists in the farms of the</w:t></w:r>
</w:p>
<w:p>
<w:pPr><w:pStyle w:val="Normal"/></w:pPr>
<w:r><w:t xml:space="preserve">sierra, cannot be kept up in the Fungas, as these half-warm</w:t></w:r>
</w:p>
<w:p>
<w:pPr><w:pStyle w:val="Normal"/></w:pPr>
<w:r><w:t xml:space="preserve">valleys are called.  White men, who take proper precautions,</w:t></w:r>
</w:p>
<w:p>
<w:pPr><w:pStyle w:val="Normal"/></w:pPr>
<w:r><w:t xml:space="preserve">and are not chronically soaked with cane-spirit, stand the</w:t></w:r>
</w:p>
<w:p>
<w:pPr><w:pStyle w:val="Normal"/></w:pPr>
<w:r><w:t xml:space="preserve">climate perfectly, but the creole whites are still too much</w:t></w:r>
</w:p>
<w:p>
<w:pPr><w:pStyle w:val="Normal"/></w:pPr>
<w:r><w:t xml:space="preserve">caballeros to devote themselves to agricultural work.</w:t></w:r>
</w:p>
<w:p>
<w:pPr><w:pStyle w:val="Normal"/></w:pPr>
<w:r><w:t xml:space="preserve">In what is now the republic of Ecuador, the only peopled</w:t></w:r>
</w:p>
<w:p>
<w:pPr><w:pStyle w:val="Normal"/></w:pPr>
<w:r><w:t xml:space="preserve">portions are the central valley, between the two ridges of</w:t></w:r>
</w:p>
<w:p>
<w:pPr><w:pStyle w:val="Normal"/></w:pPr>
<w:r><w:t xml:space="preserve">the Andes--height 7000 to 12,000 feet--and the hot plain at</w:t></w:r>
</w:p>
<w:p>
<w:pPr><w:pStyle w:val="Normal"/></w:pPr>
<w:r><w:t xml:space="preserve">their western base; nor do the wooded slopes appear to have</w:t></w:r>
</w:p>
<w:p>
<w:pPr><w:pStyle w:val="Normal"/></w:pPr>
<w:r><w:t xml:space="preserve">been inhabited, except by scattered savage hordes, even in</w:t></w:r>
</w:p>
<w:p>
<w:pPr><w:pStyle w:val="Normal"/></w:pPr>
<w:r><w:t xml:space="preserve">the time of the Incas.  The Indians of the highlands are</w:t></w:r>
</w:p>
<w:p>
<w:pPr><w:pStyle w:val="Normal"/></w:pPr>
<w:r><w:t xml:space="preserve">the descendants of others who have inhabited that region</w:t></w:r>
</w:p>
<w:p>
<w:pPr><w:pStyle w:val="Normal"/></w:pPr>
<w:r><w:t xml:space="preserve">exclusively for untold ages; and a similar affirmation may</w:t></w:r>
</w:p>
<w:p>
<w:pPr><w:pStyle w:val="Normal"/></w:pPr>
<w:r><w:t xml:space="preserve">be made of the Indians of the plain.  Now, there is little</w:t></w:r>
</w:p>
<w:p>
<w:pPr><w:pStyle w:val="Normal"/></w:pPr>
<w:r><w:t xml:space="preserve">doubt that the progenitors of both these sections came from</w:t></w:r>
</w:p>
<w:p>
<w:pPr><w:pStyle w:val="Normal"/></w:pPr>
<w:r><w:t xml:space="preserve">a temperate region (in North America); so that here we have</w:t></w:r>
</w:p>
<w:p>
<w:pPr><w:pStyle w:val="Normal"/></w:pPr>
<w:r><w:t xml:space="preserve">one moiety acclimatized to endure extreme heat, and the</w:t></w:r>
</w:p>
<w:p>
<w:pPr><w:pStyle w:val="Normal"/></w:pPr>
<w:r><w:t xml:space="preserve">other extreme cold; and at this day exposure of either to the</w:t></w:r>
</w:p>
<w:p>
<w:pPr><w:pStyle w:val="Normal"/></w:pPr>
<w:r><w:t xml:space="preserve">opposite extreme (or even, as we have seen, to the climate</w:t></w:r>
</w:p>
<w:p>
<w:pPr><w:pStyle w:val="Normal"/></w:pPr>
<w:r><w:t xml:space="preserve">of an intermediate zone) is always pernicious and often</w:t></w:r>
</w:p>
<w:p>
<w:pPr><w:pStyle w:val="Normal"/></w:pPr>
<w:r><w:t xml:space="preserve">fatal.  But if this great difference has been brought about</w:t></w:r>
</w:p>
<w:p>
<w:pPr><w:pStyle w:val="Normal"/></w:pPr>
<w:r><w:t xml:space="preserve">in the red man, might not the same have happened to the white</w:t></w:r>
</w:p>
<w:p>
<w:pPr><w:pStyle w:val="Normal"/></w:pPr>
<w:r><w:t xml:space="preserve">man? Plainly it might, time being given; for one cannot doubt</w:t></w:r>
</w:p>
<w:p>
<w:pPr><w:pStyle w:val="Normal"/></w:pPr>
<w:r><w:t xml:space="preserve">that the inherent adaptability is the same in both, or (if</w:t></w:r>
</w:p>
<w:p>
<w:pPr><w:pStyle w:val="Normal"/></w:pPr>
<w:r><w:t xml:space="preserve">not) that the white man possesses it in a higher degree.</w:t></w:r>
</w:p>
<w:p>
<w:pPr><w:pStyle w:val="Normal"/></w:pPr>
<w:r><w:t xml:space="preserve">The observations of Spruce are of themselves almost conclusive</w:t></w:r>
</w:p>
<w:p>
<w:pPr><w:pStyle w:val="Normal"/></w:pPr>
<w:r><w:t xml:space="preserve">as to the possibility of Europeans becoming acclimatized in</w:t></w:r>
</w:p>
<w:p>
<w:pPr><w:pStyle w:val="Normal"/></w:pPr>
<w:r><w:t xml:space="preserve">the tropics; and if it is objected that this evidence applies</w:t></w:r>
</w:p>
<w:p>
<w:pPr><w:pStyle w:val="Normal"/></w:pPr>
<w:r><w:t xml:space="preserve">only to the dark-haired southern races, we are fortunately</w:t></w:r>
</w:p>
<w:p>
<w:pPr><w:pStyle w:val="Normal"/></w:pPr>
<w:r><w:t xml:space="preserve">able to point to facts, almost equally well authenticated</w:t></w:r>
</w:p>
<w:p>
<w:pPr><w:pStyle w:val="Normal"/></w:pPr>
<w:r><w:t xml:space="preserve">and conclusive, in the case of one of the typical Germanic</w:t></w:r>
</w:p>
<w:p>
<w:pPr><w:pStyle w:val="Normal"/></w:pPr>
<w:r><w:t xml:space="preserve">races.  In South Africa the Dutch have been settled and</w:t></w:r>
</w:p>
<w:p>
<w:pPr><w:pStyle w:val="Normal"/></w:pPr>
<w:r><w:t xml:space="preserve">nearly isolated for over 200 years, and have kept themselves</w:t></w:r>
</w:p>
<w:p>
<w:pPr><w:pStyle w:val="Normal"/></w:pPr>
<w:r><w:t xml:space="preserve">almost or quite free from native intermixture.  They are</w:t></w:r>
</w:p>
<w:p>
<w:pPr><w:pStyle w:val="Normal"/></w:pPr>
<w:r><w:t xml:space="preserve">still preponderatingly fair in complexion, while physically</w:t></w:r>
</w:p>
<w:p>
<w:pPr><w:pStyle w:val="Normal"/></w:pPr>
<w:r><w:t xml:space="preserve">they are tall and strong. They marry young and have large</w:t></w:r>
</w:p>
<w:p>
<w:pPr><w:pStyle w:val="Normal"/></w:pPr>
<w:r><w:t xml:space="preserve">families.  The population, according to a census taken in 1798,</w:t></w:r>
</w:p>
<w:p>
<w:pPr><w:pStyle w:val="Normal"/></w:pPr>
<w:r><w:t xml:space="preserve">was under 22,000.  In 1865 it was near 182,000, the majority</w:t></w:r>
</w:p>
<w:p>
<w:pPr><w:pStyle w:val="Normal"/></w:pPr>
<w:r><w:t xml:space="preserve">being of ``Dutch, German or French origin, mostly descendants</w:t></w:r>
</w:p>
<w:p>
<w:pPr><w:pStyle w:val="Normal"/></w:pPr>
<w:r><w:t xml:space="preserve">of original settlers.&apos;&apos; In more recent times, the conditions</w:t></w:r>
</w:p>
<w:p>
<w:pPr><w:pStyle w:val="Normal"/></w:pPr>
<w:r><w:t xml:space="preserve">have been so greatly changed by immigration, that the later</w:t></w:r>
</w:p>
<w:p>
<w:pPr><w:pStyle w:val="Normal"/></w:pPr>
<w:r><w:t xml:space="preserve">statistics cease to have a definite meaning with regard to</w:t></w:r>
</w:p>
<w:p>
<w:pPr><w:pStyle w:val="Normal"/></w:pPr>
<w:r><w:t xml:space="preserve">acclimatization.  We have here a population which doubled</w:t></w:r>
</w:p>
<w:p>
<w:pPr><w:pStyle w:val="Normal"/></w:pPr>
<w:r><w:t xml:space="preserve">itself every twenty-two years; and the greater part of this</w:t></w:r>
</w:p>
<w:p>
<w:pPr><w:pStyle w:val="Normal"/></w:pPr>
<w:r><w:t xml:space="preserve">rapid increase must certainly be due to the old European</w:t></w:r>
</w:p>
<w:p>
<w:pPr><w:pStyle w:val="Normal"/></w:pPr>
<w:r><w:t xml:space="preserve">immigrants.  In the Moluccas, where the Dutch have had</w:t></w:r>
</w:p>
<w:p>
<w:pPr><w:pStyle w:val="Normal"/></w:pPr>
<w:r><w:t xml:space="preserve">settlements for 250 years, some of the inhabitants trace</w:t></w:r>
</w:p>
<w:p>
<w:pPr><w:pStyle w:val="Normal"/></w:pPr>
<w:r><w:t xml:space="preserve">their descent to early immigrants; and these, as well as</w:t></w:r>
</w:p>
<w:p>
<w:pPr><w:pStyle w:val="Normal"/></w:pPr>
<w:r><w:t xml:space="preserve">most of the people of Dutch descent in the east, are quite</w:t></w:r>
</w:p>
<w:p>
<w:pPr><w:pStyle w:val="Normal"/></w:pPr>
<w:r><w:t xml:space="preserve">as fair as their European ancestors, enjoy excellent health,</w:t></w:r>
</w:p>
<w:p>
<w:pPr><w:pStyle w:val="Normal"/></w:pPr>
<w:r><w:t xml:space="preserve">and are very prolific.  But the Dutch accommodate themselves</w:t></w:r>
</w:p>
<w:p>
<w:pPr><w:pStyle w:val="Normal"/></w:pPr>
<w:r><w:t xml:space="preserve">admirably to a tropical climate, doing much of their work</w:t></w:r>
</w:p>
<w:p>
<w:pPr><w:pStyle w:val="Normal"/></w:pPr>
<w:r><w:t xml:space="preserve">early in the morning, dressing very lightly, and living a</w:t></w:r>
</w:p>
<w:p>
<w:pPr><w:pStyle w:val="Normal"/></w:pPr>
<w:r><w:t xml:space="preserve">quiet, temperate and cheerful life.  They also pay great</w:t></w:r>
</w:p>
<w:p>
<w:pPr><w:pStyle w:val="Normal"/></w:pPr>
<w:r><w:t xml:space="preserve">attention to drainage and general cleanliness.  In addition</w:t></w:r>
</w:p>
<w:p>
<w:pPr><w:pStyle w:val="Normal"/></w:pPr>
<w:r><w:t xml:space="preserve">to these examples, it is obvious that the rapid increase</w:t></w:r>
</w:p>
<w:p>
<w:pPr><w:pStyle w:val="Normal"/></w:pPr>
<w:r><w:t xml:space="preserve">of English-speaking populations in the United States and in</w:t></w:r>
</w:p>
<w:p>
<w:pPr><w:pStyle w:val="Normal"/></w:pPr>
<w:r><w:t xml:space="preserve">Australia is far greater than can be explained by immigration,</w:t></w:r>
</w:p>
<w:p>
<w:pPr><w:pStyle w:val="Normal"/></w:pPr>
<w:r><w:t xml:space="preserve">and shows two conspicuous examples of acclimatization.</w:t></w:r>
</w:p>
<w:p>
<w:pPr><w:pStyle w:val="Normal"/></w:pPr>
<w:r><w:t xml:space="preserve">On the whole, we seem justified in concluding that, under</w:t></w:r>
</w:p>
<w:p>
<w:pPr><w:pStyle w:val="Normal"/></w:pPr>
<w:r><w:t xml:space="preserve">favourable conditions, and with a proper adaptation of means</w:t></w:r>
</w:p>
<w:p>
<w:pPr><w:pStyle w:val="Normal"/></w:pPr>
<w:r><w:t xml:space="preserve">to the end in view, man may become acclimatized with at</w:t></w:r>
</w:p>
<w:p>
<w:pPr><w:pStyle w:val="Normal"/></w:pPr>
<w:r><w:t xml:space="preserve">least as much certainty and rapidity (counting by generations</w:t></w:r>
</w:p>
<w:p>
<w:pPr><w:pStyle w:val="Normal"/></w:pPr>
<w:r><w:t xml:space="preserve">rather than by years) as any of the lower animals.  The</w:t></w:r>
</w:p>
<w:p>
<w:pPr><w:pStyle w:val="Normal"/></w:pPr>
<w:r><w:t xml:space="preserve">greatest difficulty in his way is not temperature, but the</w:t></w:r>
</w:p>
<w:p>
<w:pPr><w:pStyle w:val="Normal"/></w:pPr>
<w:r><w:t xml:space="preserve">presence of parasitic diseases to resist which his body has</w:t></w:r>
</w:p>
<w:p>
<w:pPr><w:pStyle w:val="Normal"/></w:pPr>
<w:r><w:t xml:space="preserve">not been prepared, and modern knowledge is rapidly defining</w:t></w:r>
</w:p>
<w:p>
<w:pPr><w:pStyle w:val="Normal"/></w:pPr>
<w:r><w:t xml:space="preserve">these dangers and the modes of avoiding them. (A. R. W.)</w:t></w:r>
</w:p>
<w:p>
<w:pPr><w:pStyle w:val="Normal"/></w:pPr>
<w:r><w:t xml:space="preserve">APPENDIX The task of collecting information as to animals</w:t></w:r>
</w:p>
<w:p>
<w:pPr><w:pStyle w:val="Normal"/></w:pPr>
<w:r><w:t xml:space="preserve">which have become permanently naturalized away from their native</w:t></w:r>
</w:p>
<w:p>
<w:pPr><w:pStyle w:val="Normal"/></w:pPr>
<w:r><w:t xml:space="preserve">haunts is anything but easy, as few regular records have been</w:t></w:r>
</w:p>
<w:p>
<w:pPr><w:pStyle w:val="Normal"/></w:pPr>
<w:r><w:t xml:space="preserve">kept by acclimatizers.  Moreover, recorders of local fauna</w:t></w:r>
</w:p>
<w:p>
<w:pPr><w:pStyle w:val="Normal"/></w:pPr>
<w:r><w:t xml:space="preserve">have been almost unanimous in ignoring the introduced forms,</w:t></w:r>
</w:p>
<w:p>
<w:pPr><w:pStyle w:val="Normal"/></w:pPr>
<w:r><w:t xml:space="preserve">except when they have had occasion to comment on the effects,</w:t></w:r>
</w:p>
<w:p>
<w:pPr><w:pStyle w:val="Normal"/></w:pPr>
<w:r><w:t xml:space="preserve">real or supposed, of these immigrants on aboriginal faunas.</w:t></w:r>
</w:p>
<w:p>
<w:pPr><w:pStyle w:val="Normal"/></w:pPr>
<w:r><w:t xml:space="preserve">Mammals.---It is unnecessary here to dwell upon the world-wide</w:t></w:r>
</w:p>
<w:p>
<w:pPr><w:pStyle w:val="Normal"/></w:pPr>
<w:r><w:t xml:space="preserve">distribution of the two rats Mus rattus and M. decumanus,</w:t></w:r>
</w:p>
<w:p>
<w:pPr><w:pStyle w:val="Normal"/></w:pPr>
<w:r><w:t xml:space="preserve">and of the house-mouse M. musculus; their introduction has</w:t></w:r>
</w:p>
<w:p>
<w:pPr><w:pStyle w:val="Normal"/></w:pPr>
<w:r><w:t xml:space="preserve">always been involuntary.  Similarly nearly all our domestic</w:t></w:r>
</w:p>
<w:p>
<w:pPr><w:pStyle w:val="Normal"/></w:pPr>
<w:r><w:t xml:space="preserve">mammals except the sheep have become feral somewhere or other,</w:t></w:r>
</w:p>
<w:p>
<w:pPr><w:pStyle w:val="Normal"/></w:pPr>
<w:r><w:t xml:space="preserve">whether by intentional liberation or by escape; but the smaller</w:t></w:r>
</w:p>
<w:p>
<w:pPr><w:pStyle w:val="Normal"/></w:pPr>
<w:r><w:t xml:space="preserve">ones more than the larger, such as pigs, goats, dogs and</w:t></w:r>
</w:p>
<w:p>
<w:pPr><w:pStyle w:val="Normal"/></w:pPr>
<w:r><w:t xml:space="preserve">cats.  This has been especially the case in Hawaii and New</w:t></w:r>
</w:p>
<w:p>
<w:pPr><w:pStyle w:val="Normal"/></w:pPr>
<w:r><w:t xml:space="preserve">Zealand; in America, Australia and Hawaii, horses and cattle</w:t></w:r>
</w:p>
<w:p>
<w:pPr><w:pStyle w:val="Normal"/></w:pPr>
<w:r><w:t xml:space="preserve">are also feral.  Feral pigs are numerous in New Zealand.</w:t></w:r>
</w:p>
<w:p>
<w:pPr><w:pStyle w:val="Normal"/></w:pPr>
<w:r><w:t xml:space="preserve">The domestic Indian buffalo (Bos bubalus) exists as</w:t></w:r>
</w:p>
<w:p>
<w:pPr><w:pStyle w:val="Normal"/></w:pPr>
<w:r><w:t xml:space="preserve">a wild animal in North Australia; it is very liable to</w:t></w:r>
</w:p>
<w:p>
<w:pPr><w:pStyle w:val="Normal"/></w:pPr>
<w:r><w:t xml:space="preserve">revert to a wild state, being little altered from its</w:t></w:r>
</w:p>
<w:p>
<w:pPr><w:pStyle w:val="Normal"/></w:pPr>
<w:r><w:t xml:space="preserve">still-existing wild ancestor. A more curious case is that</w:t></w:r>
</w:p>
<w:p>
<w:pPr><w:pStyle w:val="Normal"/></w:pPr>
<w:r><w:t xml:space="preserve">of the one-humped camel (Camelus dromedarius), a beast</w:t></w:r>
</w:p>
<w:p>
<w:pPr><w:pStyle w:val="Normal"/></w:pPr>
<w:r><w:t xml:space="preserve">only known in domestication, and that in arid countties;</w:t></w:r>
</w:p>
<w:p>
<w:pPr><w:pStyle w:val="Normal"/></w:pPr>
<w:r><w:t xml:space="preserve">yet a number of these have become feral in the Spanish</w:t></w:r>
</w:p>
<w:p>
<w:pPr><w:pStyle w:val="Normal"/></w:pPr>
<w:r><w:t xml:space="preserve">marshes, where they wade about like quadrupedal flamingoes.</w:t></w:r>
</w:p>
<w:p>
<w:pPr><w:pStyle w:val="Normal"/></w:pPr>
<w:r><w:t xml:space="preserve">The red deer (Cervus elaphus) is now widely distributed as</w:t></w:r>
</w:p>
<w:p>
<w:pPr><w:pStyle w:val="Normal"/></w:pPr>
<w:r><w:t xml:space="preserve">a wild animal over New Zealand, where also the fallow-deer</w:t></w:r>
</w:p>
<w:p>
<w:pPr><w:pStyle w:val="Normal"/></w:pPr>
<w:r><w:t xml:space="preserve">(C. dama) and the Indian sambar (C. aristotelis or</w:t></w:r>
</w:p>
<w:p>
<w:pPr><w:pStyle w:val="Normal"/></w:pPr>
<w:r><w:t xml:space="preserve">unicolor) have been introduced locally.  The sambar, or one</w:t></w:r>
</w:p>
<w:p>
<w:pPr><w:pStyle w:val="Normal"/></w:pPr>
<w:r><w:t xml:space="preserve">or other of its subspecies, has also been naturalized in</w:t></w:r>
</w:p>
<w:p>
<w:pPr><w:pStyle w:val="Normal"/></w:pPr>
<w:r><w:t xml:space="preserve">Mauritius, and in the Marianne Islands in the open Pacific.</w:t></w:r>
</w:p>
<w:p>
<w:pPr><w:pStyle w:val="Normal"/></w:pPr>
<w:r><w:t xml:space="preserve">The wide introduction of the rabbit, as a wild animal, is well</w:t></w:r>
</w:p>
<w:p>
<w:pPr><w:pStyle w:val="Normal"/></w:pPr>
<w:r><w:t xml:space="preserve">known.  Amounting to a serious pest in Australasian colonies, it</w:t></w:r>
</w:p>
<w:p>
<w:pPr><w:pStyle w:val="Normal"/></w:pPr>
<w:r><w:t xml:space="preserve">is also established in the Falklands and Kerguelen; its presence</w:t></w:r>
</w:p>
<w:p>
<w:pPr><w:pStyle w:val="Normal"/></w:pPr>
<w:r><w:t xml:space="preserve">in much of Europe is attributed to early acclimatization, as it</w:t></w:r>
</w:p>
<w:p>
<w:pPr><w:pStyle w:val="Normal"/></w:pPr>
<w:r><w:t xml:space="preserve">seems anciently to have been confined to the Iberian peninsula.</w:t></w:r>
</w:p>
<w:p>
<w:pPr><w:pStyle w:val="Normal"/></w:pPr>
<w:r><w:t xml:space="preserve">The hare has been established in New Zealand and Barbadoes.</w:t></w:r>
</w:p>
<w:p>
<w:pPr><w:pStyle w:val="Normal"/></w:pPr>
<w:r><w:t xml:space="preserve">Few other rodents have been designedly naturalized, but</w:t></w:r>
</w:p>
<w:p>
<w:pPr><w:pStyle w:val="Normal"/></w:pPr>
<w:r><w:t xml:space="preserve">the North American grey squirrel (Sciurus einereus)</w:t></w:r>
</w:p>
<w:p>
<w:pPr><w:pStyle w:val="Normal"/></w:pPr>
<w:r><w:t xml:space="preserve">appears to be established as a wild animal in Woburn Park,</w:t></w:r>
</w:p>
<w:p>
<w:pPr><w:pStyle w:val="Normal"/></w:pPr>
<w:r><w:t xml:space="preserve">Bedfordshire, England, and may probably spread thence.</w:t></w:r>
</w:p>
<w:p>
<w:pPr><w:pStyle w:val="Normal"/></w:pPr>
<w:r><w:t xml:space="preserve">To check the increase of the rabbit, stoats, weasels and</w:t></w:r>
</w:p>
<w:p>
<w:pPr><w:pStyle w:val="Normal"/></w:pPr>
<w:r><w:t xml:space="preserve">polecats (the last in the form of the domesticated ferret)</w:t></w:r>
</w:p>
<w:p>
<w:pPr><w:pStyle w:val="Normal"/></w:pPr>
<w:r><w:t xml:space="preserve">were introduced into New Zealand on a very large scale in the</w:t></w:r>
</w:p>
<w:p>
<w:pPr><w:pStyle w:val="Normal"/></w:pPr>
<w:r><w:t xml:space="preserve">last quarter of the 19th century.  They have spread widely,</w:t></w:r>
</w:p>
<w:p>
<w:pPr><w:pStyle w:val="Normal"/></w:pPr>
<w:r><w:t xml:space="preserve">and have not confined their depredations to the rabbits, so</w:t></w:r>
</w:p>
<w:p>
<w:pPr><w:pStyle w:val="Normal"/></w:pPr>
<w:r><w:t xml:space="preserve">that the indigenous flightless birds have suffered largely.</w:t></w:r>
</w:p>
<w:p>
<w:pPr><w:pStyle w:val="Normal"/></w:pPr>
<w:r><w:t xml:space="preserve">Another carnivore of very similar habits, the Indian mongoose</w:t></w:r>
</w:p>
<w:p>
<w:pPr><w:pStyle w:val="Normal"/></w:pPr>
<w:r><w:t xml:space="preserve">(Herpestus griseus or H. mungo), has been naturalized</w:t></w:r>
</w:p>
<w:p>
<w:pPr><w:pStyle w:val="Normal"/></w:pPr>
<w:r><w:t xml:space="preserve">in Jamaica, whence it has been carried to other West Indian</w:t></w:r>
</w:p>
<w:p>
<w:pPr><w:pStyle w:val="Normal"/></w:pPr>
<w:r><w:t xml:space="preserve">Islands, and in the Hawaiian group.  It has also been tried,</w:t></w:r>
</w:p>
<w:p>
<w:pPr><w:pStyle w:val="Normal"/></w:pPr>
<w:r><w:t xml:space="preserve">but unsuccessfully, in Australia.  The first introduction</w:t></w:r>
</w:p>
<w:p>
<w:pPr><w:pStyle w:val="Normal"/></w:pPr>
<w:r><w:t xml:space="preserve">into Jamaica took place in 1872, and ten years later the</w:t></w:r>
</w:p>
<w:p>
<w:pPr><w:pStyle w:val="Normal"/></w:pPr>
<w:r><w:t xml:space="preserve">animal was credited with saving many thousands of pounds</w:t></w:r>
</w:p>
<w:p>
<w:pPr><w:pStyle w:val="Normal"/></w:pPr>
<w:r><w:t xml:space="preserve">annually by its destruction of rats. But before an equal</w:t></w:r>
</w:p>
<w:p>
<w:pPr><w:pStyle w:val="Normal"/></w:pPr>
<w:r><w:t xml:space="preserve">space of time had further elapsed, it had itself become</w:t></w:r>
</w:p>
<w:p>
<w:pPr><w:pStyle w:val="Normal"/></w:pPr>
<w:r><w:t xml:space="preserve">a pest; the most recent information, however, is to the</w:t></w:r>
</w:p>
<w:p>
<w:pPr><w:pStyle w:val="Normal"/></w:pPr>
<w:r><w:t xml:space="preserve">effect that its numbers are now on the decline, and that</w:t></w:r>
</w:p>
<w:p>
<w:pPr><w:pStyle w:val="Normal"/></w:pPr>
<w:r><w:t xml:space="preserve">the disturbed faunal equilibrium is being readjusted.</w:t></w:r>
</w:p>
<w:p>
<w:pPr><w:pStyle w:val="Normal"/></w:pPr>
<w:r><w:t xml:space="preserve">The civets, being celebrated for their odoriferous secretion,</w:t></w:r>
</w:p>
<w:p>
<w:pPr><w:pStyle w:val="Normal"/></w:pPr>
<w:r><w:t xml:space="preserve">are likely animals to have been naturalized.  W. T. Blanford</w:t></w:r>
</w:p>
<w:p>
<w:pPr><w:pStyle w:val="Normal"/></w:pPr>
<w:r><w:t xml:space="preserve">(Fauna of British India, ``Mammals&apos;&apos;) thinks that the presence</w:t></w:r>
</w:p>
<w:p>
<w:pPr><w:pStyle w:val="Normal"/></w:pPr>
<w:r><w:t xml:space="preserve">of the Indian form, Viverricula malaccensis, in Socotra, the</w:t></w:r>
</w:p>
<w:p>
<w:pPr><w:pStyle w:val="Normal"/></w:pPr>
<w:r><w:t xml:space="preserve">Comoro Islands and Madagascar is due to the assistance of man.</w:t></w:r>
</w:p>
<w:p>
<w:pPr><w:pStyle w:val="Normal"/></w:pPr>
<w:r><w:t xml:space="preserve">The common fox of Europe has been introduced into Australia,</w:t></w:r>
</w:p>
<w:p>
<w:pPr><w:pStyle w:val="Normal"/></w:pPr>
<w:r><w:t xml:space="preserve">where it is destructive to the native fauna and to lambs.</w:t></w:r>
</w:p>
<w:p>
<w:pPr><w:pStyle w:val="Normal"/></w:pPr>
<w:r><w:t xml:space="preserve">Among primates, a Ceylonese monkey (Macacus pileatus)</w:t></w:r>
</w:p>
<w:p>
<w:pPr><w:pStyle w:val="Normal"/></w:pPr>
<w:r><w:t xml:space="preserve">has been naturalized in Mauritius for centuries,</w:t></w:r>
</w:p>
<w:p>
<w:pPr><w:pStyle w:val="Normal"/></w:pPr>
<w:r><w:t xml:space="preserve">the circumstances of introduction being unknown.</w:t></w:r>
</w:p>
<w:p>
<w:pPr><w:pStyle w:val="Normal"/></w:pPr>
<w:r><w:t xml:space="preserve">The Common Australian ``opossum&apos;&apos; or phalanger (Trichosurus</w:t></w:r>
</w:p>
<w:p>
<w:pPr><w:pStyle w:val="Normal"/></w:pPr>
<w:r><w:t xml:space="preserve">vulpecula) has been naturalized in New Zealand, although very</w:t></w:r>
</w:p>
<w:p>
<w:pPr><w:pStyle w:val="Normal"/></w:pPr>
<w:r><w:t xml:space="preserve">destructive to fruit trees; the value of its fur being probably the</w:t></w:r>
</w:p>
<w:p>
<w:pPr><w:pStyle w:val="Normal"/></w:pPr>
<w:r><w:t xml:space="preserve">motive.  It is said that the pelage of the New Zealand specimens</w:t></w:r>
</w:p>
<w:p>
<w:pPr><w:pStyle w:val="Normal"/></w:pPr>
<w:r><w:t xml:space="preserve">is superior, as might be expected from the colder climate.</w:t></w:r>
</w:p>
<w:p>
<w:pPr><w:pStyle w:val="Normal"/></w:pPr>
<w:r><w:t xml:space="preserve">Birds.---The introduction of mammals has been largely</w:t></w:r>
</w:p>
<w:p>
<w:pPr><w:pStyle w:val="Normal"/></w:pPr>
<w:r><w:t xml:space="preserve">influenced by economic conditions, when, indeed, it was</w:t></w:r>
</w:p>
<w:p>
<w:pPr><w:pStyle w:val="Normal"/></w:pPr>
<w:r><w:t xml:space="preserve">not absolutely accidental and unavoidable; but in the case</w:t></w:r>
</w:p>
<w:p>
<w:pPr><w:pStyle w:val="Normal"/></w:pPr>
<w:r><w:t xml:space="preserve">of birds it has been more gratuitous, so to speak, in many</w:t></w:r>
</w:p>
<w:p>
<w:pPr><w:pStyle w:val="Normal"/></w:pPr>
<w:r><w:t xml:space="preserve">cases, and hence is looked upon with especial dislike by</w:t></w:r>
</w:p>
<w:p>
<w:pPr><w:pStyle w:val="Normal"/></w:pPr>
<w:r><w:t xml:space="preserve">naturalists.  The domestic birds have comparatively seldom</w:t></w:r>
</w:p>
<w:p>
<w:pPr><w:pStyle w:val="Normal"/></w:pPr>
<w:r><w:t xml:space="preserve">become feral, doubtless, as C. Darvdn points out, from the</w:t></w:r>
</w:p>
<w:p>
<w:pPr><w:pStyle w:val="Normal"/></w:pPr>
<w:r><w:t xml:space="preserve">reduction of their powers of flight in many cases.  The</w:t></w:r>
</w:p>
<w:p>
<w:pPr><w:pStyle w:val="Normal"/></w:pPr>
<w:r><w:t xml:space="preserve">guinea-fowl, however, has long been in this condition in Jamaica</w:t></w:r>
</w:p>
<w:p>
<w:pPr><w:pStyle w:val="Normal"/></w:pPr>
<w:r><w:t xml:space="preserve">and St Helena, and the fowl in Hawaii and other Polynesian</w:t></w:r>
</w:p>
<w:p>
<w:pPr><w:pStyle w:val="Normal"/></w:pPr>
<w:r><w:t xml:space="preserve">islands.  The pheasant has been naturalized in the United</w:t></w:r>
</w:p>
<w:p>
<w:pPr><w:pStyle w:val="Normal"/></w:pPr>
<w:r><w:t xml:space="preserve">States, New Zealand, Hawaii and St Helena.  Its naturalization</w:t></w:r>
</w:p>
<w:p>
<w:pPr><w:pStyle w:val="Normal"/></w:pPr>
<w:r><w:t xml:space="preserve">in western Europe is very ancient, but the race supposed to</w:t></w:r>
</w:p>
<w:p>
<w:pPr><w:pStyle w:val="Normal"/></w:pPr>
<w:r><w:t xml:space="preserve">have been introduced by the Romans (Phasianus colchicus)</w:t></w:r>
</w:p>
<w:p>
<w:pPr><w:pStyle w:val="Normal"/></w:pPr>
<w:r><w:t xml:space="preserve">has been much modified within the last century or two by the</w:t></w:r>
</w:p>
<w:p>
<w:pPr><w:pStyle w:val="Normal"/></w:pPr>
<w:r><w:t xml:space="preserve">introduction of the ring-necked Chinese form (P. torquatus),</w:t></w:r>
</w:p>
<w:p>
<w:pPr><w:pStyle w:val="Normal"/></w:pPr>
<w:r><w:t xml:space="preserve">which produces fertile hybrids with the old breed.  Thus</w:t></w:r>
</w:p>
<w:p>
<w:pPr><w:pStyle w:val="Normal"/></w:pPr>
<w:r><w:t xml:space="preserve">those acclimatized were usually, no doubt, of mixed blood,</w:t></w:r>
</w:p>
<w:p>
<w:pPr><w:pStyle w:val="Normal"/></w:pPr>
<w:r><w:t xml:space="preserve">and further introductions of pure Chinese stock have tended to</w:t></w:r>
</w:p>
<w:p>
<w:pPr><w:pStyle w:val="Normal"/></w:pPr>
<w:r><w:t xml:space="preserve">make the latter the dominant form, at any rate in the United</w:t></w:r>
</w:p>
<w:p>
<w:pPr><w:pStyle w:val="Normal"/></w:pPr>
<w:r><w:t xml:space="preserve">States (where it is erroneously called Mongolian1) and in New</w:t></w:r>
</w:p>
<w:p>
<w:pPr><w:pStyle w:val="Normal"/></w:pPr>
<w:r><w:t xml:space="preserve">Zealand.  In Hawaii and St Helena the ring-neck appears to</w:t></w:r>
</w:p>
<w:p>
<w:pPr><w:pStyle w:val="Normal"/></w:pPr>
<w:r><w:t xml:space="preserve">have been the only pheasant introduced pure, but in the former</w:t></w:r>
</w:p>
<w:p>
<w:pPr><w:pStyle w:val="Normal"/></w:pPr>
<w:r><w:t xml:space="preserve">the Japanese race (P. versicolor) is also naturalized.</w:t></w:r>
</w:p>
<w:p>
<w:pPr><w:pStyle w:val="Normal"/></w:pPr>
<w:r><w:t xml:space="preserve">1 The true Mongolian pheasant (P. mongolicus), a very</w:t></w:r>
</w:p>
<w:p>
<w:pPr><w:pStyle w:val="Normal"/></w:pPr>
<w:r><w:t xml:space="preserve">different bird, has recently been introduced into England.</w:t></w:r>
</w:p>
<w:p>
<w:pPr><w:pStyle w:val="Normal"/></w:pPr>
<w:r><w:t xml:space="preserve">The golden pheasant (Chrysolophus pietus) is locally</w:t></w:r>
</w:p>
<w:p>
<w:pPr><w:pStyle w:val="Normal"/></w:pPr>
<w:r><w:t xml:space="preserve">established in the United States, as appear to be other pheasants</w:t></w:r>
</w:p>
<w:p>
<w:pPr><w:pStyle w:val="Normal"/></w:pPr>
<w:r><w:t xml:space="preserve">of less common species.  The Reeves&apos; pheasant (P. reevesi)</w:t></w:r>
</w:p>
<w:p>
<w:pPr><w:pStyle w:val="Normal"/></w:pPr>
<w:r><w:t xml:space="preserve">is at large on some English estates.  Of the partridges,</w:t></w:r>
</w:p>
<w:p>
<w:pPr><w:pStyle w:val="Normal"/></w:pPr>
<w:r><w:t xml:space="preserve">the continental red-leg (Caccabis rnfo) is established in</w:t></w:r>
</w:p>
<w:p>
<w:pPr><w:pStyle w:val="Normal"/></w:pPr>
<w:r><w:t xml:space="preserve">England, and its ally, the Asiatic chukore (C. chukar), in St</w:t></w:r>
</w:p>
<w:p>
<w:pPr><w:pStyle w:val="Normal"/></w:pPr>
<w:r><w:t xml:space="preserve">Helena, as is the Californian quail (Lophortyx californica )</w:t></w:r>
</w:p>
<w:p>
<w:pPr><w:pStyle w:val="Normal"/></w:pPr>
<w:r><w:t xml:space="preserve">in New Zealand and Hawaii. The latter, however, though thriving</w:t></w:r>
</w:p>
<w:p>
<w:pPr><w:pStyle w:val="Normal"/></w:pPr>
<w:r><w:t xml:space="preserve">as an aviary bird, has failed at large in England, as did the</w:t></w:r>
</w:p>
<w:p>
<w:pPr><w:pStyle w:val="Normal"/></w:pPr>
<w:r><w:t xml:space="preserve">bob-white (Ortyx virginianus) both there and in New Zealand.</w:t></w:r>
</w:p>
<w:p>
<w:pPr><w:pStyle w:val="Normal"/></w:pPr>
<w:r><w:t xml:space="preserve">The desirable character of the grouse as game-birds has led to</w:t></w:r>
</w:p>
<w:p>
<w:pPr><w:pStyle w:val="Normal"/></w:pPr>
<w:r><w:t xml:space="preserve">many attempts at their acclimatization, but usually these have been</w:t></w:r>
</w:p>
<w:p>
<w:pPr><w:pStyle w:val="Normal"/></w:pPr>
<w:r><w:t xml:space="preserve">unsuccessful; the red grouse (Lagopus scoticus), however, the</w:t></w:r>
</w:p>
<w:p>
<w:pPr><w:pStyle w:val="Normal"/></w:pPr>
<w:r><w:t xml:space="preserve">only endemic British bird, is naturalized in some parts of Europe.</w:t></w:r>
</w:p>
<w:p>
<w:pPr><w:pStyle w:val="Normal"/></w:pPr>
<w:r><w:t xml:space="preserve">Of waterfowl, the Canada goose (Brantd eanadensis)</w:t></w:r>
</w:p>
<w:p>
<w:pPr><w:pStyle w:val="Normal"/></w:pPr>
<w:r><w:t xml:space="preserve">is naturalized to a small extent in Britain, and also,</w:t></w:r>
</w:p>
<w:p>
<w:pPr><w:pStyle w:val="Normal"/></w:pPr>
<w:r><w:t xml:space="preserve">to a less degree, the Egyptian goose (Chenalopex</w:t></w:r>
</w:p>
<w:p>
<w:pPr><w:pStyle w:val="Normal"/></w:pPr>
<w:r><w:t xml:space="preserve">aegyptiacus); the latter bird also occurs wild in New</w:t></w:r>
</w:p>
<w:p>
<w:pPr><w:pStyle w:val="Normal"/></w:pPr>
<w:r><w:t xml:space="preserve">Zealand.  The modern presence of the black swan of Australia</w:t></w:r>
</w:p>
<w:p>
<w:pPr><w:pStyle w:val="Normal"/></w:pPr>
<w:r><w:t xml:space="preserve">(Chenopis atrata) in New Zealand appears to be due to</w:t></w:r>
</w:p>
<w:p>
<w:pPr><w:pStyle w:val="Normal"/></w:pPr>
<w:r><w:t xml:space="preserve">a natural irruption of the species about half a century</w:t></w:r>
</w:p>
<w:p>
<w:pPr><w:pStyle w:val="Normal"/></w:pPr>
<w:r><w:t xml:space="preserve">ago as much as to acclimatization by man, if not more so.</w:t></w:r>
</w:p>
<w:p>
<w:pPr><w:pStyle w:val="Normal"/></w:pPr>
<w:r><w:t xml:space="preserve">Birds of prey are, unjustly enough, regarded with so little</w:t></w:r>
</w:p>
<w:p>
<w:pPr><w:pStyle w:val="Normal"/></w:pPr>
<w:r><w:t xml:space="preserve">favour that few attempts have been made to naturalize</w:t></w:r>
</w:p>
<w:p>
<w:pPr><w:pStyle w:val="Normal"/></w:pPr>
<w:r><w:t xml:space="preserve">them; the continental little owl (Athene noctua),</w:t></w:r>
</w:p>
<w:p>
<w:pPr><w:pStyle w:val="Normal"/></w:pPr>
<w:r><w:t xml:space="preserve">however, has for some time been well established in</w:t></w:r>
</w:p>
<w:p>
<w:pPr><w:pStyle w:val="Normal"/></w:pPr>
<w:r><w:t xml:space="preserve">England, where it has hardly, if ever, appeared naturally.</w:t></w:r>
</w:p>
<w:p>
<w:pPr><w:pStyle w:val="Normal"/></w:pPr>
<w:r><w:t xml:space="preserve">Pigeons have been very little naturalized; the tame bird has</w:t></w:r>
</w:p>
<w:p>
<w:pPr><w:pStyle w:val="Normal"/></w:pPr>
<w:r><w:t xml:space="preserve">become feral locally in various countries, and the Chinese</w:t></w:r>
</w:p>
<w:p>
<w:pPr><w:pStyle w:val="Normal"/></w:pPr>
<w:r><w:t xml:space="preserve">turtledove (Turtur chinensis) is established in Hawaii, as is</w:t></w:r>
</w:p>
<w:p>
<w:pPr><w:pStyle w:val="Normal"/></w:pPr>
<w:r><w:t xml:space="preserve">the small East Indian zebra dove (Geopelia striata) in the</w:t></w:r>
</w:p>
<w:p>
<w:pPr><w:pStyle w:val="Normal"/></w:pPr>
<w:r><w:t xml:space="preserve">Seychelles, and the allied Australian (G. tranquilla) in St</w:t></w:r>
</w:p>
<w:p>
<w:pPr><w:pStyle w:val="Normal"/></w:pPr>
<w:r><w:t xml:space="preserve">Helena.  There has also been very little naturalization of</w:t></w:r>
</w:p>
<w:p>
<w:pPr><w:pStyle w:val="Normal"/></w:pPr>
<w:r><w:t xml:space="preserve">parrots, but the rosella parrakeet of Australia (Platycercus</w:t></w:r>
</w:p>
<w:p>
<w:pPr><w:pStyle w:val="Normal"/></w:pPr>
<w:r><w:t xml:space="preserve">eximius) is being propagated by escaped captives in the</w:t></w:r>
</w:p>
<w:p>
<w:pPr><w:pStyle w:val="Normal"/></w:pPr>
<w:r><w:t xml:space="preserve">north island of New Zealand, and its ally the mealy rosella</w:t></w:r>
</w:p>
<w:p>
<w:pPr><w:pStyle w:val="Normal"/></w:pPr>
<w:r><w:t xml:space="preserve">(P. pallidiceps) is locally wild in Hawaii, the stock in</w:t></w:r>
</w:p>
<w:p>
<w:pPr><w:pStyle w:val="Normal"/></w:pPr>
<w:r><w:t xml:space="preserve">this case having descended from a single pair intentionally</w:t></w:r>
</w:p>
<w:p>
<w:pPr><w:pStyle w:val="Normal"/></w:pPr>
<w:r><w:t xml:space="preserve">liberated.  Attempts to naturalize that well-known Australian</w:t></w:r>
</w:p>
<w:p>
<w:pPr><w:pStyle w:val="Normal"/></w:pPr>
<w:r><w:t xml:space="preserve">grass-parrakeet the budgerigar (Melopsittacus undulatus) in</w:t></w:r>
</w:p>
<w:p>
<w:pPr><w:pStyle w:val="Normal"/></w:pPr>
<w:r><w:t xml:space="preserve">England have so far proved abortive, and none of the species</w:t></w:r>
</w:p>
<w:p>
<w:pPr><w:pStyle w:val="Normal"/></w:pPr>
<w:r><w:t xml:space="preserve">experimented with in Norfolk and Bedfordshire effected a</w:t></w:r>
</w:p>
<w:p>
<w:pPr><w:pStyle w:val="Normal"/></w:pPr>
<w:r><w:t xml:space="preserve">settlement.  The greyheaded love-bird (Agapornis cana)</w:t></w:r>
</w:p>
<w:p>
<w:pPr><w:pStyle w:val="Normal"/></w:pPr>
<w:r><w:t xml:space="preserve">of Madagascar is established in the Seychelles.  Some of</w:t></w:r>
</w:p>
<w:p>
<w:pPr><w:pStyle w:val="Normal"/></w:pPr>
<w:r><w:t xml:space="preserve">the passerine birds have been the most widely distributed,</w:t></w:r>
</w:p>
<w:p>
<w:pPr><w:pStyle w:val="Normal"/></w:pPr>
<w:r><w:t xml:space="preserve">especially the house-sparrow (Passer domesticus), which is</w:t></w:r>
</w:p>
<w:p>
<w:pPr><w:pStyle w:val="Normal"/></w:pPr>
<w:r><w:t xml:space="preserve">now an integral, and very troublesome, part of the fauna in</w:t></w:r>
</w:p>
<w:p>
<w:pPr><w:pStyle w:val="Normal"/></w:pPr>
<w:r><w:t xml:space="preserve">the Australasian States and in North America.  It is, in fact,</w:t></w:r>
</w:p>
<w:p>
<w:pPr><w:pStyle w:val="Normal"/></w:pPr>
<w:r><w:t xml:space="preserve">as notorious an example of over-successful acclimatization as</w:t></w:r>
</w:p>
<w:p>
<w:pPr><w:pStyle w:val="Normal"/></w:pPr>
<w:r><w:t xml:space="preserve">the rabbit, but in Hutton and Drummond&apos;s recent work on the</w:t></w:r>
</w:p>
<w:p>
<w:pPr><w:pStyle w:val="Normal"/></w:pPr>
<w:r><w:t xml:space="preserve">New Zealand animals (London, 1905) it is not regarded in this</w:t></w:r>
</w:p>
<w:p>
<w:pPr><w:pStyle w:val="Normal"/></w:pPr>
<w:r><w:t xml:space="preserve">light, considering that some very common exotic birds were needed</w:t></w:r>
</w:p>
<w:p>
<w:pPr><w:pStyle w:val="Normal"/></w:pPr>
<w:r><w:t xml:space="preserve">to keep down the insects, which it certainly did.  Even in the</w:t></w:r>
</w:p>
<w:p>
<w:pPr><w:pStyle w:val="Normal"/></w:pPr>
<w:r><w:t xml:space="preserve">United States also, it has been found a useful destroyer of</w:t></w:r>
</w:p>
<w:p>
<w:pPr><w:pStyle w:val="Normal"/></w:pPr>
<w:r><w:t xml:space="preserve">weed-seeds.  The house-sparrow is also feral in Argentina,</w:t></w:r>
</w:p>
<w:p>
<w:pPr><w:pStyle w:val="Normal"/></w:pPr>
<w:r><w:t xml:space="preserve">some of the West Indian islands, Hawaii and the Andamans.</w:t></w:r>
</w:p>
<w:p>
<w:pPr><w:pStyle w:val="Normal"/></w:pPr>
<w:r><w:t xml:space="preserve">The allied tree-sparrow (P. montanus) has been</w:t></w:r>
</w:p>
<w:p>
<w:pPr><w:pStyle w:val="Normal"/></w:pPr>
<w:r><w:t xml:space="preserve">locally naturalized in the United States; it is a more</w:t></w:r>
</w:p>
<w:p>
<w:pPr><w:pStyle w:val="Normal"/></w:pPr>
<w:r><w:t xml:space="preserve">desirable bird, being less prolific and pugnacious,</w:t></w:r>
</w:p>
<w:p>
<w:pPr><w:pStyle w:val="Normal"/></w:pPr>
<w:r><w:t xml:space="preserve">but it is expelled from towns by the house-sparrow.</w:t></w:r>
</w:p>
<w:p>
<w:pPr><w:pStyle w:val="Normal"/></w:pPr>
<w:r><w:t xml:space="preserve">The so-called Java sparrow (Munia orysivora), although</w:t></w:r>
</w:p>
<w:p>
<w:pPr><w:pStyle w:val="Normal"/></w:pPr>
<w:r><w:t xml:space="preserve">a destructive bird to rice, has been widely distributed</w:t></w:r>
</w:p>
<w:p>
<w:pPr><w:pStyle w:val="Normal"/></w:pPr>
<w:r><w:t xml:space="preserve">by accident or design, and is now found in several East</w:t></w:r>
</w:p>
<w:p>
<w:pPr><w:pStyle w:val="Normal"/></w:pPr>
<w:r><w:t xml:space="preserve">Indian islands besides Java, in south China, St Helena,</w:t></w:r>
</w:p>
<w:p>
<w:pPr><w:pStyle w:val="Normal"/></w:pPr>
<w:r><w:t xml:space="preserve">India, Zanzibar and the east African coast.  An allied but</w:t></w:r>
</w:p>
<w:p>
<w:pPr><w:pStyle w:val="Normal"/></w:pPr>
<w:r><w:t xml:space="preserve">much smaller weaver-finch, a form of the spice-bird (Munia</w:t></w:r>
</w:p>
<w:p>
<w:pPr><w:pStyle w:val="Normal"/></w:pPr>
<w:r><w:t xml:space="preserve">nisoria punctata), is introduced and well distributed over</w:t></w:r>
</w:p>
<w:p>
<w:pPr><w:pStyle w:val="Normal"/></w:pPr>
<w:r><w:t xml:space="preserve">the Hawaiian islands.  The little rooibek of South Africa</w:t></w:r>
</w:p>
<w:p>
<w:pPr><w:pStyle w:val="Normal"/></w:pPr>
<w:r><w:t xml:space="preserve">(Estrilda astrild) has been so long and well established</w:t></w:r>
</w:p>
<w:p>
<w:pPr><w:pStyle w:val="Normal"/></w:pPr>
<w:r><w:t xml:space="preserve">in St Helena that it is known in the bird trade as the St</w:t></w:r>
</w:p>
<w:p>
<w:pPr><w:pStyle w:val="Normal"/></w:pPr>
<w:r><w:t xml:space="preserve">Helena waxbill, and the brilliant scarlet weaver of Madagascar</w:t></w:r>
</w:p>
<w:p>
<w:pPr><w:pStyle w:val="Normal"/></w:pPr>
<w:r><w:t xml:space="preserve">(Fondia madagascariensis) inhabits as an imported bird</w:t></w:r>
</w:p>
<w:p>
<w:pPr><w:pStyle w:val="Normal"/></w:pPr>
<w:r><w:t xml:space="preserve">Mauritius, the Seychelles and even the remote Chagos Islands.</w:t></w:r>
</w:p>
<w:p>
<w:pPr><w:pStyle w:val="Normal"/></w:pPr>
<w:r><w:t xml:space="preserve">Returning to the true finches, the only one which can compete</w:t></w:r>
</w:p>
<w:p>
<w:pPr><w:pStyle w:val="Normal"/></w:pPr>
<w:r><w:t xml:space="preserve">with the house-sparrow in the extent of its distribution by</w:t></w:r>
</w:p>
<w:p>
<w:pPr><w:pStyle w:val="Normal"/></w:pPr>
<w:r><w:t xml:space="preserve">man is the goldfinch (Carduelis carduelis), now established</w:t></w:r>
</w:p>
<w:p>
<w:pPr><w:pStyle w:val="Normal"/></w:pPr>
<w:r><w:t xml:space="preserve">all over New Zealand, as well as in Australia, the United</w:t></w:r>
</w:p>
<w:p>
<w:pPr><w:pStyle w:val="Normal"/></w:pPr>
<w:r><w:t xml:space="preserve">States and Jamaica.  It bears a good character, and is one</w:t></w:r>
</w:p>
<w:p>
<w:pPr><w:pStyle w:val="Normal"/></w:pPr>
<w:r><w:t xml:space="preserve">of the marked successes of naturalization.  The redpoll</w:t></w:r>
</w:p>
<w:p>
<w:pPr><w:pStyle w:val="Normal"/></w:pPr>
<w:r><w:t xml:space="preserve">(Acanthis linaria), chaffinch (Fringilla coelebs)</w:t></w:r>
</w:p>
<w:p>
<w:pPr><w:pStyle w:val="Normal"/></w:pPr>
<w:r><w:t xml:space="preserve">and greenfinch (Chloris chloris) are established in New</w:t></w:r>
</w:p>
<w:p>
<w:pPr><w:pStyle w:val="Normal"/></w:pPr>
<w:r><w:t xml:space="preserve">Zealand, the last named being a pest there, as is also</w:t></w:r>
</w:p>
<w:p>
<w:pPr><w:pStyle w:val="Normal"/></w:pPr>
<w:r><w:t xml:space="preserve">the cirl-bunting (Emberiza cirlus)---the yellow-hammer</w:t></w:r>
</w:p>
<w:p>
<w:pPr><w:pStyle w:val="Normal"/></w:pPr>
<w:r><w:t xml:space="preserve">(E. citrinella) being perhaps confused with this also.</w:t></w:r>
</w:p>
<w:p>
<w:pPr><w:pStyle w:val="Normal"/></w:pPr>
<w:r><w:t xml:space="preserve">Among starlings, the Indian mynah (generally the house mynah,</w:t></w:r>
</w:p>
<w:p>
<w:pPr><w:pStyle w:val="Normal"/></w:pPr>
<w:r><w:t xml:space="preserve">Acridotheros tristis, but some other species seem to have been</w:t></w:r>
</w:p>
<w:p>
<w:pPr><w:pStyle w:val="Normal"/></w:pPr>
<w:r><w:t xml:space="preserve">confused with this) has been naturalized in the Andamans, Seychelles,</w:t></w:r>
</w:p>
<w:p>
<w:pPr><w:pStyle w:val="Normal"/></w:pPr>
<w:r><w:t xml:space="preserve">Reunion, Australia, Hawaii and parts of New Zealand. Its alleged</w:t></w:r>
</w:p>
<w:p>
<w:pPr><w:pStyle w:val="Normal"/></w:pPr>
<w:r><w:t xml:space="preserve">destructiveness to the Hawaiian avifauna seems open to doubt.</w:t></w:r>
</w:p>
<w:p>
<w:pPr><w:pStyle w:val="Normal"/></w:pPr>
<w:r><w:t xml:space="preserve">The European starling (Sturnus vulgaris) is naturalized in New</w:t></w:r>
</w:p>
<w:p>
<w:pPr><w:pStyle w:val="Normal"/></w:pPr>
<w:r><w:t xml:space="preserve">Zealand, Australia and to some extent in the United States.</w:t></w:r>
</w:p>
<w:p>
<w:pPr><w:pStyle w:val="Normal"/></w:pPr>
<w:r><w:t xml:space="preserve">Thrushes have not been widely introduced, but the song-thrush</w:t></w:r>
</w:p>
<w:p>
<w:pPr><w:pStyle w:val="Normal"/></w:pPr>
<w:r><w:t xml:space="preserve">and blackbird (Turdus musicus and Merula merula) are</w:t></w:r>
</w:p>
<w:p>
<w:pPr><w:pStyle w:val="Normal"/></w:pPr>
<w:r><w:t xml:space="preserve">common in New Zealand; attempts were made, but unsuccessfully,</w:t></w:r>
</w:p>
<w:p>
<w:pPr><w:pStyle w:val="Normal"/></w:pPr>
<w:r><w:t xml:space="preserve">to establish the latter in the United States.  The so-called</w:t></w:r>
</w:p>
<w:p>
<w:pPr><w:pStyle w:val="Normal"/></w:pPr>
<w:r><w:t xml:space="preserve">hedge-sparrow (Accentor modularis), really a member of</w:t></w:r>
</w:p>
<w:p>
<w:pPr><w:pStyle w:val="Normal"/></w:pPr>
<w:r><w:t xml:space="preserve">this group, is one of the successful introductions into New</w:t></w:r>
</w:p>
<w:p>
<w:pPr><w:pStyle w:val="Normal"/></w:pPr>
<w:r><w:t xml:space="preserve">Zealand.  The robin (Erithacus rubecula) failed there.</w:t></w:r>
</w:p>
<w:p>
<w:pPr><w:pStyle w:val="Normal"/></w:pPr>
<w:r><w:t xml:space="preserve">Rooks (Corvus frugilegus) and the Australian ``magpie&apos;&apos;</w:t></w:r>
</w:p>
<w:p>
<w:pPr><w:pStyle w:val="Normal"/></w:pPr>
<w:r><w:t xml:space="preserve">or piping crow (Gymnorhina) are to be found in New</w:t></w:r>
</w:p>
<w:p>
<w:pPr><w:pStyle w:val="Normal"/></w:pPr>
<w:r><w:t xml:space="preserve">Zealand, but only locally, especially the former.</w:t></w:r>
</w:p>
<w:p>
<w:pPr><w:pStyle w:val="Normal"/></w:pPr>
<w:r><w:t xml:space="preserve">Reptiles and Amphibians.---Very little naturalization</w:t></w:r>
</w:p>
<w:p>
<w:pPr><w:pStyle w:val="Normal"/></w:pPr>
<w:r><w:t xml:space="preserve">has been effected, or indeed apparently attempted, in</w:t></w:r>
</w:p>
<w:p>
<w:pPr><w:pStyle w:val="Normal"/></w:pPr>
<w:r><w:t xml:space="preserve">regard to these groups, but the occurrence of the edible</w:t></w:r>
</w:p>
<w:p>
<w:pPr><w:pStyle w:val="Normal"/></w:pPr>
<w:r><w:t xml:space="preserve">frog of the continent of Europe (Rana esculenta) as an</w:t></w:r>
</w:p>
<w:p>
<w:pPr><w:pStyle w:val="Normal"/></w:pPr>
<w:r><w:t xml:space="preserve">introduced animal in certain British localities is well</w:t></w:r>
</w:p>
<w:p>
<w:pPr><w:pStyle w:val="Normal"/></w:pPr>
<w:r><w:t xml:space="preserve">known.  An Australian tree-frog (Hyla peronii) is</w:t></w:r>
</w:p>
<w:p>
<w:pPr><w:pStyle w:val="Normal"/></w:pPr>
<w:r><w:t xml:space="preserve">naturalized in many parts of the north island of New Zealand.</w:t></w:r>
</w:p>
<w:p>
<w:pPr><w:pStyle w:val="Normal"/></w:pPr>
<w:r><w:t xml:space="preserve">Fish.--The instances of naturalization in this class are</w:t></w:r>
</w:p>
<w:p>
<w:pPr><w:pStyle w:val="Normal"/></w:pPr>
<w:r><w:t xml:space="preserve">few, but important.  The common carp (Cyprinus carpio),</w:t></w:r>
</w:p>
<w:p>
<w:pPr><w:pStyle w:val="Normal"/></w:pPr>
<w:r><w:t xml:space="preserve">originally a Chinese fish, has for centuries been acclimatized</w:t></w:r>
</w:p>
<w:p>
<w:pPr><w:pStyle w:val="Normal"/></w:pPr>
<w:r><w:t xml:space="preserve">in Europe, where indeed it is in places a true domestic</w:t></w:r>
</w:p>
<w:p>
<w:pPr><w:pStyle w:val="Normal"/></w:pPr>
<w:r><w:t xml:space="preserve">creature, with definite variations.  It is, however, quite</w:t></w:r>
</w:p>
<w:p>
<w:pPr><w:pStyle w:val="Normal"/></w:pPr>
<w:r><w:t xml:space="preserve">feral also, and has been introduced into North America.</w:t></w:r>
</w:p>
<w:p>
<w:pPr><w:pStyle w:val="Normal"/></w:pPr>
<w:r><w:t xml:space="preserve">The Prussian carp (Carassius vulgaris) is established in</w:t></w:r>
</w:p>
<w:p>
<w:pPr><w:pStyle w:val="Normal"/></w:pPr>
<w:r><w:t xml:space="preserve">New Zealand, and the nearly-allied goldfish, a domestic</w:t></w:r>
</w:p>
<w:p>
<w:pPr><w:pStyle w:val="Normal"/></w:pPr>
<w:r><w:t xml:space="preserve">form (C. auratus) of Chinese origin, has been widely</w:t></w:r>
</w:p>
<w:p>
<w:pPr><w:pStyle w:val="Normal"/></w:pPr>
<w:r><w:t xml:space="preserve">distributed as a pet, and is feral in some places.</w:t></w:r>
</w:p>
<w:p>
<w:pPr><w:pStyle w:val="Normal"/></w:pPr>
<w:r><w:t xml:space="preserve">The gourami (Osphromenus olfax) of the East Indies has been</w:t></w:r>
</w:p>
<w:p>
<w:pPr><w:pStyle w:val="Normal"/></w:pPr>
<w:r><w:t xml:space="preserve">established in Mauritius and Cayenne, being a valuable foodfish.</w:t></w:r>
</w:p>
<w:p>
<w:pPr><w:pStyle w:val="Normal"/></w:pPr>
<w:r><w:t xml:space="preserve">The most important case of naturalization of fish is, however,</w:t></w:r>
</w:p>
<w:p>
<w:pPr><w:pStyle w:val="Normal"/></w:pPr>
<w:r><w:t xml:space="preserve">the establishment of some Salmonidae in Tasmania and New</w:t></w:r>
</w:p>
<w:p>
<w:pPr><w:pStyle w:val="Normal"/></w:pPr>
<w:r><w:t xml:space="preserve">Zealand.  These are the common trout and sea-trout (Salmo</w:t></w:r>
</w:p>
<w:p>
<w:pPr><w:pStyle w:val="Normal"/></w:pPr>
<w:r><w:t xml:space="preserve">fario and S. trutta); they attain a great size.  So far,</w:t></w:r>
</w:p>
<w:p>
<w:pPr><w:pStyle w:val="Normal"/></w:pPr>
<w:r><w:t xml:space="preserve">attempts to establish the true salmon in alien localities</w:t></w:r>
</w:p>
<w:p>
<w:pPr><w:pStyle w:val="Normal"/></w:pPr>
<w:r><w:t xml:space="preserve">have been unsuccessful, but the American rainbow trout (S.</w:t></w:r>
</w:p>
<w:p>
<w:pPr><w:pStyle w:val="Normal"/></w:pPr>
<w:r><w:t xml:space="preserve">irideus) has thriven in New Zealand, and the brook char</w:t></w:r>
</w:p>
<w:p>
<w:pPr><w:pStyle w:val="Normal"/></w:pPr>
<w:r><w:t xml:space="preserve">of the same continent (S. fontinalis) inhabits at least</w:t></w:r>
</w:p>
<w:p>
<w:pPr><w:pStyle w:val="Normal"/></w:pPr>
<w:r><w:t xml:space="preserve">one stream there to the exclusion of the common trout.</w:t></w:r>
</w:p>
<w:p>
<w:pPr><w:pStyle w:val="Normal"/></w:pPr>
<w:r><w:t xml:space="preserve">Invertebrates.---Many insects and other invertebrates, mostly</w:t></w:r>
</w:p>
<w:p>
<w:pPr><w:pStyle w:val="Normal"/></w:pPr>
<w:r><w:t xml:space="preserve">noxious, have been accidentally naturalized, and some have</w:t></w:r>
</w:p>
<w:p>
<w:pPr><w:pStyle w:val="Normal"/></w:pPr>
<w:r><w:t xml:space="preserve">been deliberately introduced, like the honey-bee, now feral in</w:t></w:r>
</w:p>
<w:p>
<w:pPr><w:pStyle w:val="Normal"/></w:pPr>
<w:r><w:t xml:space="preserve">Australasia and North America, and the humble-bee, imported</w:t></w:r>
</w:p>
<w:p>
<w:pPr><w:pStyle w:val="Normal"/></w:pPr>
<w:r><w:t xml:space="preserve">into New Zealand to effect the fertilization of red clover.</w:t></w:r>
</w:p>
<w:p>
<w:pPr><w:pStyle w:val="Normal"/></w:pPr>
<w:r><w:t xml:space="preserve">The spread of the European house-fly has been deliberately</w:t></w:r>
</w:p>
<w:p>
<w:pPr><w:pStyle w:val="Normal"/></w:pPr>
<w:r><w:t xml:space="preserve">encouraged in New Zealand, as wherever it penetrates the</w:t></w:r>
</w:p>
<w:p>
<w:pPr><w:pStyle w:val="Normal"/></w:pPr>
<w:r><w:t xml:space="preserve">native flesh-fly, a more objectionable pest, disappears.</w:t></w:r>
</w:p>
<w:p>
<w:pPr><w:pStyle w:val="Normal"/></w:pPr>
<w:r><w:t xml:space="preserve">The wide distribution of three common cockroaches (Feriplaneta</w:t></w:r>
</w:p>
<w:p>
<w:pPr><w:pStyle w:val="Normal"/></w:pPr>
<w:r><w:t xml:space="preserve">americana, Blatta orientalis and Ectobia germanica)</w:t></w:r>
</w:p>
<w:p>
<w:pPr><w:pStyle w:val="Normal"/></w:pPr>
<w:r><w:t xml:space="preserve">is well known, but these are chiefly house-insects.</w:t></w:r>
</w:p>
<w:p>
<w:pPr><w:pStyle w:val="Normal"/></w:pPr>
<w:r><w:t xml:space="preserve">The common small white butterfly of Europe (Pontia or Pieris</w:t></w:r>
</w:p>
<w:p>
<w:pPr><w:pStyle w:val="Normal"/></w:pPr>
<w:r><w:t xml:space="preserve">rapae) is now established in North America; and the march of the</w:t></w:r>
</w:p>
<w:p>
<w:pPr><w:pStyle w:val="Normal"/></w:pPr>
<w:r><w:t xml:space="preserve">jigger, or foot-infesting flea (Sarcopsylla penetrans) of tropical</w:t></w:r>
</w:p>
<w:p>
<w:pPr><w:pStyle w:val="Normal"/></w:pPr>
<w:r><w:t xml:space="preserve">America, across Africa, has taken place in quite recent years.</w:t></w:r>
</w:p>
<w:p>
<w:pPr><w:pStyle w:val="Normal"/></w:pPr>
<w:r><w:t xml:space="preserve">The Romans are credited with having purposely introduced the</w:t></w:r>
</w:p>
<w:p>
<w:pPr><w:pStyle w:val="Normal"/></w:pPr>
<w:r><w:t xml:space="preserve">edible snail (Helix pomatia) into England, and the common</w:t></w:r>
</w:p>
<w:p>
<w:pPr><w:pStyle w:val="Normal"/></w:pPr>
<w:r><w:t xml:space="preserve">garden snail and slugs (Helix aspersa, Limax agrestis and</w:t></w:r>
</w:p>
<w:p>
<w:pPr><w:pStyle w:val="Normal"/></w:pPr>
<w:r><w:t xml:space="preserve">Arion hortensis) have been unwittingly established in New</w:t></w:r>
</w:p>
<w:p>
<w:pPr><w:pStyle w:val="Normal"/></w:pPr>
<w:r><w:t xml:space="preserve">Zealand.  In that country, also, the earthworms of Europe</w:t></w:r>
</w:p>
<w:p>
<w:pPr><w:pStyle w:val="Normal"/></w:pPr>
<w:r><w:t xml:space="preserve">are noticed to replace native forms as the ground is broken.</w:t></w:r>
</w:p>
<w:p>
<w:pPr><w:pStyle w:val="Normal"/></w:pPr>
<w:r><w:t xml:space="preserve">General Remarks.--A great deal has been said about the</w:t></w:r>
</w:p>
<w:p>
<w:pPr><w:pStyle w:val="Normal"/></w:pPr>
<w:r><w:t xml:space="preserve">upsetting of the balance of nature by naturalization,</w:t></w:r>
</w:p>
<w:p>
<w:pPr><w:pStyle w:val="Normal"/></w:pPr>
<w:r><w:t xml:space="preserve">and as to the ill-doing of exotic forms.  But certain</w:t></w:r>
</w:p>
<w:p>
<w:pPr><w:pStyle w:val="Normal"/></w:pPr>
<w:r><w:t xml:space="preserve">considerations should be borne in mind in this connexion.</w:t></w:r>
</w:p>
<w:p>
<w:pPr><w:pStyle w:val="Normal"/></w:pPr>
<w:r><w:t xml:space="preserve">In the first place, naturalization experiments fail at least</w:t></w:r>
</w:p>
<w:p>
<w:pPr><w:pStyle w:val="Normal"/></w:pPr>
<w:r><w:t xml:space="preserve">as often as they succeed, and often quite inexplicably.</w:t></w:r>
</w:p>
<w:p>
<w:pPr><w:pStyle w:val="Normal"/></w:pPr>
<w:r><w:t xml:space="preserve">Thus, the linnet and partridge have failed to establish</w:t></w:r>
</w:p>
<w:p>
<w:pPr><w:pStyle w:val="Normal"/></w:pPr>
<w:r><w:t xml:space="preserve">themselves in New Zealand.  This may ultimately throw</w:t></w:r>
</w:p>
<w:p>
<w:pPr><w:pStyle w:val="Normal"/></w:pPr>
<w:r><w:t xml:space="preserve">some light on the disappearance of native forms; for</w:t></w:r>
</w:p>
<w:p>
<w:pPr><w:pStyle w:val="Normal"/></w:pPr>
<w:r><w:t xml:space="preserve">these have at times declined without any assignable cause.</w:t></w:r>
</w:p>
<w:p>
<w:pPr><w:pStyle w:val="Normal"/></w:pPr>
<w:r><w:t xml:space="preserve">Secondly, native forms often disappear with the clearing</w:t></w:r>
</w:p>
<w:p>
<w:pPr><w:pStyle w:val="Normal"/></w:pPr>
<w:r><w:t xml:space="preserve">off of the original forest or other vegetation, in which</w:t></w:r>
</w:p>
<w:p>
<w:pPr><w:pStyle w:val="Normal"/></w:pPr>
<w:r><w:t xml:space="preserve">case their recession is to a certain extent unavoidable,</w:t></w:r>
</w:p>
<w:p>
<w:pPr><w:pStyle w:val="Normal"/></w:pPr>
<w:r><w:t xml:space="preserve">and the fauna which has established itself in the</w:t></w:r>
</w:p>
<w:p>
<w:pPr><w:pStyle w:val="Normal"/></w:pPr>
<w:r><w:t xml:space="preserve">presence of cultivation is needed to replace them.</w:t></w:r>
</w:p>
<w:p>
<w:pPr><w:pStyle w:val="Normal"/></w:pPr>
<w:r><w:t xml:space="preserve">Thirdly, the ill effect of introduced forms on existing</w:t></w:r>
</w:p>
<w:p>
<w:pPr><w:pStyle w:val="Normal"/></w:pPr>
<w:r><w:t xml:space="preserve">ones may often be due rather to the spread of disease and</w:t></w:r>
</w:p>
<w:p>
<w:pPr><w:pStyle w:val="Normal"/></w:pPr>
<w:r><w:t xml:space="preserve">parasites than to actual attack; thus, in Hawaii the native</w:t></w:r>
</w:p>
<w:p>
<w:pPr><w:pStyle w:val="Normal"/></w:pPr>
<w:r><w:t xml:space="preserve">birds have been found suffering from a disease which attacks</w:t></w:r>
</w:p>
<w:p>
<w:pPr><w:pStyle w:val="Normal"/></w:pPr>
<w:r><w:t xml:space="preserve">poultry.  And the recession of the New Zealand earthworms</w:t></w:r>
</w:p>
<w:p>
<w:pPr><w:pStyle w:val="Normal"/></w:pPr>
<w:r><w:t xml:space="preserve">and flies before exotic forms probably falls under this</w:t></w:r>
</w:p>
<w:p>
<w:pPr><w:pStyle w:val="Normal"/></w:pPr>
<w:r><w:t xml:space="preserve">category.  As man cannot easily avoid introducing parasites,</w:t></w:r>
</w:p>
<w:p>
<w:pPr><w:pStyle w:val="Normal"/></w:pPr>
<w:r><w:t xml:space="preserve">and must keep domestic animals and till the land, a certain</w:t></w:r>
</w:p>
<w:p>
<w:pPr><w:pStyle w:val="Normal"/></w:pPr>
<w:r><w:t xml:space="preserve">disturbance in aboriginal faunas is absolutely unavoidable.</w:t></w:r>
</w:p>
<w:p>
<w:pPr><w:pStyle w:val="Normal"/></w:pPr>
<w:r><w:t xml:space="preserve">Under certain circumstances, however, the native animals may</w:t></w:r>
</w:p>
<w:p>
<w:pPr><w:pStyle w:val="Normal"/></w:pPr>
<w:r><w:t xml:space="preserve">recover, for in some cases they even profit by man&apos;s advent,</w:t></w:r>
</w:p>
<w:p>
<w:pPr><w:pStyle w:val="Normal"/></w:pPr>
<w:r><w:t xml:space="preserve">and at times themselves become pests, like the Kea parrot</w:t></w:r>
</w:p>
<w:p>
<w:pPr><w:pStyle w:val="Normal"/></w:pPr>
<w:r><w:t xml:space="preserve">(Nestor notabilis), which attacks sheep in New Zealand, and</w:t></w:r>
</w:p>
<w:p>
<w:pPr><w:pStyle w:val="Normal"/></w:pPr>
<w:r><w:t xml:space="preserve">the bobolink or rice-bird (Dolichonyx oryzivorus) in North</w:t></w:r>
</w:p>
<w:p>
<w:pPr><w:pStyle w:val="Normal"/></w:pPr>
<w:r><w:t xml:space="preserve">America.  Finally, it should never be forgotten that the worst</w:t></w:r>
</w:p>
<w:p>
<w:pPr><w:pStyle w:val="Normal"/></w:pPr>
<w:r><w:t xml:space="preserve">enemies of declining forms have been collectors who have not</w:t></w:r>
</w:p>
<w:p>
<w:pPr><w:pStyle w:val="Normal"/></w:pPr>
<w:r><w:t xml:space="preserve">given these species the chance of recovering themselves. (F. FN.)</w:t></w:r>
</w:p>
<w:p>
<w:pPr><w:pStyle w:val="Normal"/></w:pPr>
<w:r><w:t xml:space="preserve">ACCOLADE (from Ital. accolata, derived from Lat. collum,</w:t></w:r>
</w:p>
<w:p>
<w:pPr><w:pStyle w:val="Normal"/></w:pPr>
<w:r><w:t xml:space="preserve">the neck), a ceremony anciently used in conferring knighthood;</w:t></w:r>
</w:p>
<w:p>
<w:pPr><w:pStyle w:val="Normal"/></w:pPr>
<w:r><w:t xml:space="preserve">but whether it was an actual embrace (according to the use</w:t></w:r>
</w:p>
<w:p>
<w:pPr><w:pStyle w:val="Normal"/></w:pPr>
<w:r><w:t xml:space="preserve">of the modern French word accolade), or a slight blow on</w:t></w:r>
</w:p>
<w:p>
<w:pPr><w:pStyle w:val="Normal"/></w:pPr>
<w:r><w:t xml:space="preserve">the neck or cheek, is not agreed.  Both these customs appear</w:t></w:r>
</w:p>
<w:p>
<w:pPr><w:pStyle w:val="Normal"/></w:pPr>
<w:r><w:t xml:space="preserve">to be of great antiquity.  Gregory of Tours writes that the</w:t></w:r>
</w:p>
<w:p>
<w:pPr><w:pStyle w:val="Normal"/></w:pPr>
<w:r><w:t xml:space="preserve">early kings of France, in conferring the gilt shoulder-belt,</w:t></w:r>
</w:p>
<w:p>
<w:pPr><w:pStyle w:val="Normal"/></w:pPr>
<w:r><w:t xml:space="preserve">kissed the knights on the left cheek; and William the</w:t></w:r>
</w:p>
<w:p>
<w:pPr><w:pStyle w:val="Normal"/></w:pPr>
<w:r><w:t xml:space="preserve">Conqueror is said to have made use of the blow in conferring</w:t></w:r>
</w:p>
<w:p>
<w:pPr><w:pStyle w:val="Normal"/></w:pPr>
<w:r><w:t xml:space="preserve">the honour of knighthood on his son Henry.  At first it was</w:t></w:r>
</w:p>
<w:p>
<w:pPr><w:pStyle w:val="Normal"/></w:pPr>
<w:r><w:t xml:space="preserve">given with the naked fist, a veritable box on the ear, but</w:t></w:r>
</w:p>
<w:p>
<w:pPr><w:pStyle w:val="Normal"/></w:pPr>
<w:r><w:t xml:space="preserve">for this was substituted a gentle stroke with the flat of</w:t></w:r>
</w:p>
<w:p>
<w:pPr><w:pStyle w:val="Normal"/></w:pPr>
<w:r><w:t xml:space="preserve">the sword on the side of the neck, or on either shoulder as</w:t></w:r>
</w:p>
<w:p>
<w:pPr><w:pStyle w:val="Normal"/></w:pPr>
<w:r><w:t xml:space="preserve">well.  In Great Britain the sovereign, in conferring</w:t></w:r>
</w:p>
<w:p>
<w:pPr><w:pStyle w:val="Normal"/></w:pPr>
<w:r><w:t xml:space="preserve">knighthood, still employs this latter form of accolade.</w:t></w:r>
</w:p>
<w:p>
<w:pPr><w:pStyle w:val="Normal"/></w:pPr>
<w:r><w:t xml:space="preserve">``Accolade&apos;&apos; is also a technical term in music-printing for</w:t></w:r>
</w:p>
<w:p>
<w:pPr><w:pStyle w:val="Normal"/></w:pPr>
<w:r><w:t xml:space="preserve">a sort of brace joining separate staves; and in architecture</w:t></w:r>
</w:p>
<w:p>
<w:pPr><w:pStyle w:val="Normal"/></w:pPr>
<w:r><w:t xml:space="preserve">it denotes a form of decoration on doors and windows.</w:t></w:r>
</w:p>
<w:p>
<w:pPr><w:pStyle w:val="Normal"/></w:pPr>
<w:r><w:t xml:space="preserve">ACCOLTI, BENEDETTO (1415-1466), Italian jurist and</w:t></w:r>
</w:p>
<w:p>
<w:pPr><w:pStyle w:val="Normal"/></w:pPr>
<w:r><w:t xml:space="preserve">historian, was born at Arezzo, in Tuscany, of a noble family,</w:t></w:r>
</w:p>
<w:p>
<w:pPr><w:pStyle w:val="Normal"/></w:pPr>
<w:r><w:t xml:space="preserve">several members of which were distinguished like himself for</w:t></w:r>
</w:p>
<w:p>
<w:pPr><w:pStyle w:val="Normal"/></w:pPr>
<w:r><w:t xml:space="preserve">their attainments in law.  He was for some time professor of</w:t></w:r>
</w:p>
<w:p>
<w:pPr><w:pStyle w:val="Normal"/></w:pPr>
<w:r><w:t xml:space="preserve">jurisprudence in the university of Florence, and on the death</w:t></w:r>
</w:p>
<w:p>
<w:pPr><w:pStyle w:val="Normal"/></w:pPr>
<w:r><w:t xml:space="preserve">of the celebrated Poggio, in 1459, became chancellor of the</w:t></w:r>
</w:p>
<w:p>
<w:pPr><w:pStyle w:val="Normal"/></w:pPr>
<w:r><w:t xml:space="preserve">Florentine republic. He died at Florence.  In conjunction with</w:t></w:r>
</w:p>
<w:p>
<w:pPr><w:pStyle w:val="Normal"/></w:pPr>
<w:r><w:t xml:space="preserve">his brother Leonardo, he wrote in Latin a history of the first</w:t></w:r>
</w:p>
<w:p>
<w:pPr><w:pStyle w:val="Normal"/></w:pPr>
<w:r><w:t xml:space="preserve">crusade, entitled De Fello a Christianis contra Barbaros</w:t></w:r>
</w:p>
<w:p>
<w:pPr><w:pStyle w:val="Normal"/></w:pPr>
<w:r><w:t xml:space="preserve">gesto pro Ghristi Sepulehro et Iudaea recuperandis libri</w:t></w:r>
</w:p>
<w:p>
<w:pPr><w:pStyle w:val="Normal"/></w:pPr>
<w:r><w:t xml:space="preserve">tres (Venice, 1432, translated into Italian, 1543, and into</w:t></w:r>
</w:p>
<w:p>
<w:pPr><w:pStyle w:val="Normal"/></w:pPr>
<w:r><w:t xml:space="preserve">French, 1620), which, though itself of little interest, is</w:t></w:r>
</w:p>
<w:p>
<w:pPr><w:pStyle w:val="Normal"/></w:pPr>
<w:r><w:t xml:space="preserve">said to have furnished Tasso with the historic basis for</w:t></w:r>
</w:p>
<w:p>
<w:pPr><w:pStyle w:val="Normal"/></w:pPr>
<w:r><w:t xml:space="preserve">his Jerusalem Delivered. Another work of Accolti&apos;s-De</w:t></w:r>
</w:p>
<w:p>
<w:pPr><w:pStyle w:val="Normal"/></w:pPr>
<w:r><w:t xml:space="preserve">Praestantia Virorum sui Aevi--was published at Parma in</w:t></w:r>
</w:p>
<w:p>
<w:pPr><w:pStyle w:val="Normal"/></w:pPr>
<w:r><w:t xml:space="preserve">1689.  His brother Francesco (1418-1483) was also a distinguished</w:t></w:r>
</w:p>
<w:p>
<w:pPr><w:pStyle w:val="Normal"/></w:pPr>
<w:r><w:t xml:space="preserve">jurist, and was the author of Conrilia seu responsa (Pisa,</w:t></w:r>
</w:p>
<w:p>
<w:pPr><w:pStyle w:val="Normal"/></w:pPr>
<w:r><w:t xml:space="preserve">1481); Commentaria super lib. ii. decretalium (Bologna, 1481);</w:t></w:r>
</w:p>
<w:p>
<w:pPr><w:pStyle w:val="Normal"/></w:pPr>
<w:r><w:t xml:space="preserve">Gommentaria (Pavia, 1493); de Balneis Puleolanis (1475).</w:t></w:r>
</w:p>
<w:p>
<w:pPr><w:pStyle w:val="Normal"/></w:pPr>
<w:r><w:t xml:space="preserve">ACCOLTI, BERNARDO (1465--1536), Italian poet, born at</w:t></w:r>
</w:p>
<w:p>
<w:pPr><w:pStyle w:val="Normal"/></w:pPr>
<w:r><w:t xml:space="preserve">Arezzo, was the son of Benedetto Accolti.  Known in his</w:t></w:r>
</w:p>
<w:p>
<w:pPr><w:pStyle w:val="Normal"/></w:pPr>
<w:r><w:t xml:space="preserve">own day as l&apos;Unico Aretino, he acquired great fame as a</w:t></w:r>
</w:p>
<w:p>
<w:pPr><w:pStyle w:val="Normal"/></w:pPr>
<w:r><w:t xml:space="preserve">reciter of impromptu verse.  He was listened to by large</w:t></w:r>
</w:p>
<w:p>
<w:pPr><w:pStyle w:val="Normal"/></w:pPr>
<w:r><w:t xml:space="preserve">crowds, composed of the most learned men and the most</w:t></w:r>
</w:p>
<w:p>
<w:pPr><w:pStyle w:val="Normal"/></w:pPr>
<w:r><w:t xml:space="preserve">distinguished prelates of the age.  Among others, Cardinal</w:t></w:r>
</w:p>
<w:p>
<w:pPr><w:pStyle w:val="Normal"/></w:pPr>
<w:r><w:t xml:space="preserve">Bombo has left on record a testimony to his extraordinary</w:t></w:r>
</w:p>
<w:p>
<w:pPr><w:pStyle w:val="Normal"/></w:pPr>
<w:r><w:t xml:space="preserve">talent.  His high reputation with his contemporaries seems</w:t></w:r>
</w:p>
<w:p>
<w:pPr><w:pStyle w:val="Normal"/></w:pPr>
<w:r><w:t xml:space="preserve">scarcely justified by the poems he published, though they</w:t></w:r>
</w:p>
<w:p>
<w:pPr><w:pStyle w:val="Normal"/></w:pPr>
<w:r><w:t xml:space="preserve">give evidence of brilliant fancy.  It is probable that he</w:t></w:r>
</w:p>
<w:p>
<w:pPr><w:pStyle w:val="Normal"/></w:pPr>
<w:r><w:t xml:space="preserve">succeeded better in his extemporary productions than in</w:t></w:r>
</w:p>
<w:p>
<w:pPr><w:pStyle w:val="Normal"/></w:pPr>
<w:r><w:t xml:space="preserve">those which were the fruit of deliberation.  His works,</w:t></w:r>
</w:p>
<w:p>
<w:pPr><w:pStyle w:val="Normal"/></w:pPr>
<w:r><w:t xml:space="preserve">under the title Virginia, Comedia, Capitoli e Strambotti</w:t></w:r>
</w:p>
<w:p>
<w:pPr><w:pStyle w:val="Normal"/></w:pPr>
<w:r><w:t xml:space="preserve">di Messer Bernardo Accolti Aretino, were published at</w:t></w:r>
</w:p>
<w:p>
<w:pPr><w:pStyle w:val="Normal"/></w:pPr>
<w:r><w:t xml:space="preserve">Florence in 1513, and have been several times reprinted.</w:t></w:r>
</w:p>
<w:p>
<w:pPr><w:pStyle w:val="Normal"/></w:pPr>
<w:r><w:t xml:space="preserve">ACCOLTI, PIETRO (1455--1532), brother of the preceding,</w:t></w:r>
</w:p>
<w:p>
<w:pPr><w:pStyle w:val="Normal"/></w:pPr>
<w:r><w:t xml:space="preserve">known as the cardinal of Ancona, was born in Florence on the</w:t></w:r>
</w:p>
<w:p>
<w:pPr><w:pStyle w:val="Normal"/></w:pPr>
<w:r><w:t xml:space="preserve">15th of March 1455, and died at Rome on the 12th of December</w:t></w:r>
</w:p>
<w:p>
<w:pPr><w:pStyle w:val="Normal"/></w:pPr>
<w:r><w:t xml:space="preserve">1532 (Ciaconi, Vitae Pontificum, 1677, iii. 295).  He was</w:t></w:r>
</w:p>
<w:p>
<w:pPr><w:pStyle w:val="Normal"/></w:pPr>
<w:r><w:t xml:space="preserve">made bishop of Ancona, in 1505, and cardinal on the 17th of</w:t></w:r>
</w:p>
<w:p>
<w:pPr><w:pStyle w:val="Normal"/></w:pPr>
<w:r><w:t xml:space="preserve">March 1511, by Julius II. He was abbreviator under Leo X.,</w:t></w:r>
</w:p>
<w:p>
<w:pPr><w:pStyle w:val="Normal"/></w:pPr>
<w:r><w:t xml:space="preserve">and in that capacity drew up in 1520 the bull against Luther</w:t></w:r>
</w:p>
<w:p>
<w:pPr><w:pStyle w:val="Normal"/></w:pPr>
<w:r><w:t xml:space="preserve">(L. Cardella, Memorie Storiche de&apos; Cardinali, 1793, iii.</w:t></w:r>
</w:p>
<w:p>
<w:pPr><w:pStyle w:val="Normal"/></w:pPr>
<w:r><w:t xml:space="preserve">450).  He held successively the suburban sees of Albano and</w:t></w:r>
</w:p>
<w:p>
<w:pPr><w:pStyle w:val="Normal"/></w:pPr>
<w:r><w:t xml:space="preserve">Sabina, also the sees of Cadiz, Maillezais, Arras and Cremona,</w:t></w:r>
</w:p>
<w:p>
<w:pPr><w:pStyle w:val="Normal"/></w:pPr>
<w:r><w:t xml:space="preserve">and was made archbishop of Ravenna, 1524, by Clement VII.</w:t></w:r>
</w:p>
<w:p>
<w:pPr><w:pStyle w:val="Normal"/></w:pPr>
<w:r><w:t xml:space="preserve">F. Cristofori (Storia dei Cardinali, 1888) and others have</w:t></w:r>
</w:p>
<w:p>
<w:pPr><w:pStyle w:val="Normal"/></w:pPr>
<w:r><w:t xml:space="preserve">confused him with his nephew BENEDETTO (1497-1549), son</w:t></w:r>
</w:p>
<w:p>
<w:pPr><w:pStyle w:val="Normal"/></w:pPr>
<w:r><w:t xml:space="preserve">of Michaele; who followed him in several of his preferments,</w:t></w:r>
</w:p>
<w:p>
<w:pPr><w:pStyle w:val="Normal"/></w:pPr>
<w:r><w:t xml:space="preserve">was made cardinal, 1527, by Clement VII., and is known as</w:t></w:r>
</w:p>
<w:p>
<w:pPr><w:pStyle w:val="Normal"/></w:pPr>
<w:r><w:t xml:space="preserve">a writer in behalf of papal claims and as a Latin poet.</w:t></w:r>
</w:p>
<w:p>
<w:pPr><w:pStyle w:val="Normal"/></w:pPr>
<w:r><w:t xml:space="preserve">ACCOMMODATION (Lat. accommodare, to make fit, from ad, to,</w:t></w:r>
</w:p>
<w:p>
<w:pPr><w:pStyle w:val="Normal"/></w:pPr>
<w:r><w:t xml:space="preserve">cum, with, and modus, measure), the process of fitting, adapting,</w:t></w:r>
</w:p>
<w:p>
<w:pPr><w:pStyle w:val="Normal"/></w:pPr>
<w:r><w:t xml:space="preserve">adjusting or supplying with what is needed (e.g. housing).</w:t></w:r>
</w:p>
<w:p>
<w:pPr><w:pStyle w:val="Normal"/></w:pPr>
<w:r><w:t xml:space="preserve">In theology the term ``accommodation&apos;&apos; is used rather loosely</w:t></w:r>
</w:p>
<w:p>
<w:pPr><w:pStyle w:val="Normal"/></w:pPr>
<w:r><w:t xml:space="preserve">to describe the employment of a word, phrase, sentence or</w:t></w:r>
</w:p>
<w:p>
<w:pPr><w:pStyle w:val="Normal"/></w:pPr>
<w:r><w:t xml:space="preserve">idea, in a context other than that in which it originally</w:t></w:r>
</w:p>
<w:p>
<w:pPr><w:pStyle w:val="Normal"/></w:pPr>
<w:r><w:t xml:space="preserve">occurred; the actual wording of the quotation may be modified</w:t></w:r>
</w:p>
<w:p>
<w:pPr><w:pStyle w:val="Normal"/></w:pPr>
<w:r><w:t xml:space="preserve">to a greater or lesser extent.  Such accommodation, though</w:t></w:r>
</w:p>
<w:p>
<w:pPr><w:pStyle w:val="Normal"/></w:pPr>
<w:r><w:t xml:space="preserve">sometimes purely literary or stylistic, generally has the</w:t></w:r>
</w:p>
<w:p>
<w:pPr><w:pStyle w:val="Normal"/></w:pPr>
<w:r><w:t xml:space="preserve">definite purpose of instruction, and is frequently used both</w:t></w:r>
</w:p>
<w:p>
<w:pPr><w:pStyle w:val="Normal"/></w:pPr>
<w:r><w:t xml:space="preserve">in the New Testament and in pulpit utterances in all periods</w:t></w:r>
</w:p>
<w:p>
<w:pPr><w:pStyle w:val="Normal"/></w:pPr>
<w:r><w:t xml:space="preserve">as a means of producing a reasonably accurate impression</w:t></w:r>
</w:p>
<w:p>
<w:pPr><w:pStyle w:val="Normal"/></w:pPr>
<w:r><w:t xml:space="preserve">of a complicated idea in the minds of those who are for</w:t></w:r>
</w:p>
<w:p>
<w:pPr><w:pStyle w:val="Normal"/></w:pPr>
<w:r><w:t xml:space="preserve">various reasons unlikely to comprehend it otherwise.  There</w:t></w:r>
</w:p>
<w:p>
<w:pPr><w:pStyle w:val="Normal"/></w:pPr>
<w:r><w:t xml:space="preserve">are roughly three main kinds. (1) A later Biblical passage</w:t></w:r>
</w:p>
<w:p>
<w:pPr><w:pStyle w:val="Normal"/></w:pPr>
<w:r><w:t xml:space="preserve">quotes from an earlier, partly as a literary device, but</w:t></w:r>
</w:p>
<w:p>
<w:pPr><w:pStyle w:val="Normal"/></w:pPr>
<w:r><w:t xml:space="preserve">also with a view to demonstration. Sometimes it is plain</w:t></w:r>
</w:p>
<w:p>
<w:pPr><w:pStyle w:val="Normal"/></w:pPr>
<w:r><w:t xml:space="preserve">that the writer deliberately ``accommodates&apos;&apos; a quotation</w:t></w:r>
</w:p>
<w:p>
<w:pPr><w:pStyle w:val="Normal"/></w:pPr>
<w:r><w:t xml:space="preserve">(cf. John xviii. 8, 9 with xvii. 12). But New Testament</w:t></w:r>
</w:p>
<w:p>
<w:pPr><w:pStyle w:val="Normal"/></w:pPr>
<w:r><w:t xml:space="preserve">quotations of Old Testament predictions are often for us</w:t></w:r>
</w:p>
<w:p>
<w:pPr><w:pStyle w:val="Normal"/></w:pPr>
<w:r><w:t xml:space="preserve">accommodations---striking or forced as the case may be --while</w:t></w:r>
</w:p>
<w:p>
<w:pPr><w:pStyle w:val="Normal"/></w:pPr>
<w:r><w:t xml:space="preserve">the New Testament writer, ``following the exegetical methods</w:t></w:r>
</w:p>
<w:p>
<w:pPr><w:pStyle w:val="Normal"/></w:pPr>
<w:r><w:t xml:space="preserve">current among the Jews of his time, Matthew ii. 15, 18, xxvi.</w:t></w:r>
</w:p>
<w:p>
<w:pPr><w:pStyle w:val="Normal"/></w:pPr>
<w:r><w:t xml:space="preserve">31, xxvii. 9&apos;&apos; (S. R. Driver in Zechariah in Century</w:t></w:r>
</w:p>
<w:p>
<w:pPr><w:pStyle w:val="Normal"/></w:pPr>
<w:r><w:t xml:space="preserve">Bible, pp. 259, 271), puts them forward as arguments.  To</w:t></w:r>
</w:p>
<w:p>
<w:pPr><w:pStyle w:val="Normal"/></w:pPr>
<w:r><w:t xml:space="preserve">say that he is merely ``describing a New Testament fact in</w:t></w:r>
</w:p>
<w:p>
<w:pPr><w:pStyle w:val="Normal"/></w:pPr>
<w:r><w:t xml:space="preserve">Old Testament phraseology&apos;&apos; may be true of the result rather</w:t></w:r>
</w:p>
<w:p>
<w:pPr><w:pStyle w:val="Normal"/></w:pPr>
<w:r><w:t xml:space="preserve">than of his design. (2) Much beeides in the Bible--parable,</w:t></w:r>
</w:p>
<w:p>
<w:pPr><w:pStyle w:val="Normal"/></w:pPr>
<w:r><w:t xml:space="preserve">metaphor, &amp;c.--has been called an ``accommodation,&apos;&apos; or</w:t></w:r>
</w:p>
<w:p>
<w:pPr><w:pStyle w:val="Normal"/></w:pPr>
<w:r><w:t xml:space="preserve">divine condescension to human weakness. (3) German 18th-century</w:t></w:r>
</w:p>
<w:p>
<w:pPr><w:pStyle w:val="Normal"/></w:pPr>
<w:r><w:t xml:space="preserve">rationalism (see APOLOGETICS) held that the Biblical writers</w:t></w:r>
</w:p>
<w:p>
<w:pPr><w:pStyle w:val="Normal"/></w:pPr>
<w:r><w:t xml:space="preserve">made great use of conscious accommodation--intending moral</w:t></w:r>
</w:p>
<w:p>
<w:pPr><w:pStyle w:val="Normal"/></w:pPr>
<w:r><w:t xml:space="preserve">commonplaces when they seemed to be enunciating Christian</w:t></w:r>
</w:p>
<w:p>
<w:pPr><w:pStyle w:val="Normal"/></w:pPr>
<w:r><w:t xml:space="preserve">dogmas. Another expression for this, used, e.g., by J. S.</w:t></w:r>
</w:p>
<w:p>
<w:pPr><w:pStyle w:val="Normal"/></w:pPr>
<w:r><w:t xml:space="preserve">Semler, is ``economy,&apos;&apos; which also occurs in the kindred</w:t></w:r>
</w:p>
<w:p>
<w:pPr><w:pStyle w:val="Normal"/></w:pPr>
<w:r><w:t xml:space="preserve">sense of ``reserve&apos;&apos; (or of Disciplina Arcani--a modern term</w:t></w:r>
</w:p>
<w:p>
<w:pPr><w:pStyle w:val="Normal"/></w:pPr>
<w:r><w:t xml:space="preserve">for the supposed early Catholic habit of reserving esoteric</w:t></w:r>
</w:p>
<w:p>
<w:pPr><w:pStyle w:val="Normal"/></w:pPr>
<w:r><w:t xml:space="preserve">truths).  Isaac Williams on Reserve in Religious Teaching,</w:t></w:r>
</w:p>
<w:p>
<w:pPr><w:pStyle w:val="Normal"/></w:pPr>
<w:r><w:t xml:space="preserve">No. 80 of Tracts for the Times, made a great sensation; see</w:t></w:r>
</w:p>
<w:p>
<w:pPr><w:pStyle w:val="Normal"/></w:pPr>
<w:r><w:t xml:space="preserve">R. W. Church&apos;s comments in The Oxford Movement. Strictly,</w:t></w:r>
</w:p>
<w:p>
<w:pPr><w:pStyle w:val="Normal"/></w:pPr>
<w:r><w:t xml:space="preserve">accommodation (2) or (3) modifies, in form or in substance,</w:t></w:r>
</w:p>
<w:p>
<w:pPr><w:pStyle w:val="Normal"/></w:pPr>
<w:r><w:t xml:space="preserve">the content of religious belief; reserve, from prudence or</w:t></w:r>
</w:p>
<w:p>
<w:pPr><w:pStyle w:val="Normal"/></w:pPr>
<w:r><w:t xml:space="preserve">cunning, withholds part. ``Economy&apos;&apos; is used in both senses.</w:t></w:r>
</w:p>
<w:p>
<w:pPr><w:pStyle w:val="Normal"/></w:pPr>
<w:r><w:t xml:space="preserve">ACCOMMODATION BILL. An accommodation bill, as its name implies,</w:t></w:r>
</w:p>
<w:p>
<w:pPr><w:pStyle w:val="Normal"/></w:pPr>
<w:r><w:t xml:space="preserve">is a bill of exchange accepted and sometimes endorsed without</w:t></w:r>
</w:p>
<w:p>
<w:pPr><w:pStyle w:val="Normal"/></w:pPr>
<w:r><w:t xml:space="preserve">any receipt of value in order to afford temporary pecuniary</w:t></w:r>
</w:p>
<w:p>
<w:pPr><w:pStyle w:val="Normal"/></w:pPr>
<w:r><w:t xml:space="preserve">aid to the person accommodated. (See BILL OF EXCHANGE.)</w:t></w:r>
</w:p>
<w:p>
<w:pPr><w:pStyle w:val="Normal"/></w:pPr>
<w:r><w:t xml:space="preserve">ACCOMPANIMENT (i.e. that which ``accompanies&apos;&apos;), a</w:t></w:r>
</w:p>
<w:p>
<w:pPr><w:pStyle w:val="Normal"/></w:pPr>
<w:r><w:t xml:space="preserve">musical term for that part of a vocal or instrumental</w:t></w:r>
</w:p>
<w:p>
<w:pPr><w:pStyle w:val="Normal"/></w:pPr>
<w:r><w:t xml:space="preserve">composition added to support and heighten the principal vocal</w:t></w:r>
</w:p>
<w:p>
<w:pPr><w:pStyle w:val="Normal"/></w:pPr>
<w:r><w:t xml:space="preserve">or instrumental part; either by means of other vocal parts,</w:t></w:r>
</w:p>
<w:p>
<w:pPr><w:pStyle w:val="Normal"/></w:pPr>
<w:r><w:t xml:space="preserve">single instruments or the orchestra.  The accompaniment</w:t></w:r>
</w:p>
<w:p>
<w:pPr><w:pStyle w:val="Normal"/></w:pPr>
<w:r><w:t xml:space="preserve">may be obbligato or ad libitum, according as it forms</w:t></w:r>
</w:p>
<w:p>
<w:pPr><w:pStyle w:val="Normal"/></w:pPr>
<w:r><w:t xml:space="preserve">an essential part of the composition or not.  The term</w:t></w:r>
</w:p>
<w:p>
<w:pPr><w:pStyle w:val="Normal"/></w:pPr>
<w:r><w:t xml:space="preserve">obbligato or obbligato accompaniment is also used</w:t></w:r>
</w:p>
<w:p>
<w:pPr><w:pStyle w:val="Normal"/></w:pPr>
<w:r><w:t xml:space="preserve">for an independent instrumental solo accompanying a vocal</w:t></w:r>
</w:p>
<w:p>
<w:pPr><w:pStyle w:val="Normal"/></w:pPr>
<w:r><w:t xml:space="preserve">piece.  Owing to the early custom of only writing the</w:t></w:r>
</w:p>
<w:p>
<w:pPr><w:pStyle w:val="Normal"/></w:pPr>
<w:r><w:t xml:space="preserve">accompaniment in outline, by means of a ``figured bass,&apos;&apos;</w:t></w:r>
</w:p>
<w:p>
<w:pPr><w:pStyle w:val="Normal"/></w:pPr>
<w:r><w:t xml:space="preserve">to be filled in by the performer, and to the changes in the</w:t></w:r>
</w:p>
<w:p>
<w:pPr><w:pStyle w:val="Normal"/></w:pPr>
<w:r><w:t xml:space="preserve">number, quality and types of the instruments of the orchestra,</w:t></w:r>
</w:p>
<w:p>
<w:pPr><w:pStyle w:val="Normal"/></w:pPr>
<w:r><w:t xml:space="preserve">``additional&apos;&apos; accompaniments have been written for the</w:t></w:r>
</w:p>
<w:p>
<w:pPr><w:pStyle w:val="Normal"/></w:pPr>
<w:r><w:t xml:space="preserve">works of the older masters; such are Mozart&apos;s ``additional&apos;&apos;</w:t></w:r>
</w:p>
<w:p>
<w:pPr><w:pStyle w:val="Normal"/></w:pPr>
<w:r><w:t xml:space="preserve">accompaniments to Handel&apos;s Messiah or those to many of the</w:t></w:r>
</w:p>
<w:p>
<w:pPr><w:pStyle w:val="Normal"/></w:pPr>
<w:r><w:t xml:space="preserve">elder Bach&apos;s works by Robert Franz.  In common parlance any</w:t></w:r>
</w:p>
<w:p>
<w:pPr><w:pStyle w:val="Normal"/></w:pPr>
<w:r><w:t xml:space="preserve">support given, e.g. by the piano, to a voice or instrument</w:t></w:r>
</w:p>
<w:p>
<w:pPr><w:pStyle w:val="Normal"/></w:pPr>
<w:r><w:t xml:space="preserve">is loosely called an accompaniment, which may be merely</w:t></w:r>
</w:p>
<w:p>
<w:pPr><w:pStyle w:val="Normal"/></w:pPr>
<w:r><w:t xml:space="preserve">``vamped&apos;&apos; by the introduction of a few chords, or may rise</w:t></w:r>
</w:p>
<w:p>
<w:pPr><w:pStyle w:val="Normal"/></w:pPr>
<w:r><w:t xml:space="preserve">to the dignity of an artistic composition.  In the history</w:t></w:r>
</w:p>
<w:p>
<w:pPr><w:pStyle w:val="Normal"/></w:pPr>
<w:r><w:t xml:space="preserve">of song the evolution of the art side of an accompaniment is</w:t></w:r>
</w:p>
<w:p>
<w:pPr><w:pStyle w:val="Normal"/></w:pPr>
<w:r><w:t xml:space="preserve">important, and in the higher forms the vocal and instrumental</w:t></w:r>
</w:p>
<w:p>
<w:pPr><w:pStyle w:val="Normal"/></w:pPr>
<w:r><w:t xml:space="preserve">parts practically constitute a duet, in which the instrumental</w:t></w:r>
</w:p>
<w:p>
<w:pPr><w:pStyle w:val="Heading1"/></w:pPr>
<w:r><w:t>part may be at least as important as that of the voice.</w:t></w:r>
</w:p>
<w:p>
<w:pPr><w:pStyle w:val="Normal"/></w:pPr>
<w:r><w:t xml:space="preserve">ACCOMPLICE (from Fr. complice, conspirator, Lat. complex,</w:t></w:r>
</w:p>
<w:p>
<w:pPr><w:pStyle w:val="Normal"/></w:pPr>
<w:r><w:t xml:space="preserve">a sharer, associate, complicare, to fold together; the</w:t></w:r>
</w:p>
<w:p>
<w:pPr><w:pStyle w:val="Normal"/></w:pPr>
<w:r><w:t xml:space="preserve">ac- is possibly due to confusion with ``accomplish,&apos;&apos; to</w:t></w:r>
</w:p>
<w:p>
<w:pPr><w:pStyle w:val="Normal"/></w:pPr>
<w:r><w:t xml:space="preserve">complete, Lat. complere, to fill up), in law, one who is</w:t></w:r>
</w:p>
<w:p>
<w:pPr><w:pStyle w:val="Normal"/></w:pPr>
<w:r><w:t xml:space="preserve">associated with another or others in the commission of a</w:t></w:r>
</w:p>
<w:p>
<w:pPr><w:pStyle w:val="Normal"/></w:pPr>
<w:r><w:t xml:space="preserve">crime, whether as principal or accessory.  The term is</w:t></w:r>
</w:p>
<w:p>
<w:pPr><w:pStyle w:val="Normal"/></w:pPr>
<w:r><w:t xml:space="preserve">chiefly important where one of those charged with a crime</w:t></w:r>
</w:p>
<w:p>
<w:pPr><w:pStyle w:val="Normal"/></w:pPr>
<w:r><w:t xml:space="preserve">turns king&apos;s evidence in the expectation of obtaining a</w:t></w:r>
</w:p>
<w:p>
<w:pPr><w:pStyle w:val="Normal"/></w:pPr>
<w:r><w:t xml:space="preserve">pardon for himself.  Accordingly, as his evidence is tainted</w:t></w:r>
</w:p>
<w:p>
<w:pPr><w:pStyle w:val="Normal"/></w:pPr>
<w:r><w:t xml:space="preserve">with self-interest, it is a rule of practice to direct</w:t></w:r>
</w:p>
<w:p>
<w:pPr><w:pStyle w:val="Normal"/></w:pPr>
<w:r><w:t xml:space="preserve">a jury to acquit, where the evidence of an accomplice is</w:t></w:r>
</w:p>
<w:p>
<w:pPr><w:pStyle w:val="Normal"/></w:pPr>
<w:r><w:t xml:space="preserve">not corroborated by independent evidence both as to the</w:t></w:r>
</w:p>
<w:p>
<w:pPr><w:pStyle w:val="Normal"/></w:pPr>
<w:r><w:t xml:space="preserve">circumstances of the offence and the participation of the</w:t></w:r>
</w:p>
<w:p>
<w:pPr><w:pStyle w:val="Normal"/></w:pPr>
<w:r><w:t xml:space="preserve">accused in it.  An accomplice who has turned king&apos;s evidence</w:t></w:r>
</w:p>
<w:p>
<w:pPr><w:pStyle w:val="Normal"/></w:pPr>
<w:r><w:t xml:space="preserve">usually receives a pardon, but has no legal right to</w:t></w:r>
</w:p>
<w:p>
<w:pPr><w:pStyle w:val="Normal"/></w:pPr>
<w:r><w:t xml:space="preserve">exemption from punishment till he has actually received it.</w:t></w:r>
</w:p>
<w:p>
<w:pPr><w:pStyle w:val="Normal"/></w:pPr>
<w:r><w:t xml:space="preserve">ACCORAMBONI, VITTORIA (1557--1585), an Italian lady famous</w:t></w:r>
</w:p>
<w:p>
<w:pPr><w:pStyle w:val="Normal"/></w:pPr>
<w:r><w:t xml:space="preserve">for her great beauty and accomplishments and for her tragic</w:t></w:r>
</w:p>
<w:p>
<w:pPr><w:pStyle w:val="Normal"/></w:pPr>
<w:r><w:t xml:space="preserve">history.  She was born in Rome of a family belonging to the</w:t></w:r>
</w:p>
<w:p>
<w:pPr><w:pStyle w:val="Normal"/></w:pPr>
<w:r><w:t xml:space="preserve">minor noblesse of Gubbio, which migrated to Rome with a</w:t></w:r>
</w:p>
<w:p>
<w:pPr><w:pStyle w:val="Normal"/></w:pPr>
<w:r><w:t xml:space="preserve">view to bettering their fortunes.  After refusing several</w:t></w:r>
</w:p>
<w:p>
<w:pPr><w:pStyle w:val="Normal"/></w:pPr>
<w:r><w:t xml:space="preserve">offers of marriage for Vittoria, her father betrothed her to</w:t></w:r>
</w:p>
<w:p>
<w:pPr><w:pStyle w:val="Normal"/></w:pPr>
<w:r><w:t xml:space="preserve">Francesco Peretti (1573), a man of no position, but a nephew</w:t></w:r>
</w:p>
<w:p>
<w:pPr><w:pStyle w:val="Normal"/></w:pPr>
<w:r><w:t xml:space="preserve">of Cardinal Montalto, who was regarded as likely to become</w:t></w:r>
</w:p>
<w:p>
<w:pPr><w:pStyle w:val="Normal"/></w:pPr>
<w:r><w:t xml:space="preserve">pope.  Vittoria was admired and worshipped by all the</w:t></w:r>
</w:p>
<w:p>
<w:pPr><w:pStyle w:val="Normal"/></w:pPr>
<w:r><w:t xml:space="preserve">cleverest and most brilliant men in Rome, and being luxurious</w:t></w:r>
</w:p>
<w:p>
<w:pPr><w:pStyle w:val="Normal"/></w:pPr>
<w:r><w:t xml:space="preserve">and extravagant although poor, she and her husband were soon</w:t></w:r>
</w:p>
<w:p>
<w:pPr><w:pStyle w:val="Normal"/></w:pPr>
<w:r><w:t xml:space="preserve">plunged in debt. Among her most fervent admirers was P. G.</w:t></w:r>
</w:p>
<w:p>
<w:pPr><w:pStyle w:val="Normal"/></w:pPr>
<w:r><w:t xml:space="preserve">Orsini, duke of Bracciano, one of the most powerful men in</w:t></w:r>
</w:p>
<w:p>
<w:pPr><w:pStyle w:val="Normal"/></w:pPr>
<w:r><w:t xml:space="preserve">Rome, and her brother Marcello, wishing to see her the</w:t></w:r>
</w:p>
<w:p>
<w:pPr><w:pStyle w:val="Normal"/></w:pPr>
<w:r><w:t xml:space="preserve">duke&apos;s wife, had Peretti murdered (1581).  The duke himself</w:t></w:r>
</w:p>
<w:p>
<w:pPr><w:pStyle w:val="Normal"/></w:pPr>
<w:r><w:t xml:space="preserve">was suspected of complicity, inasmuch as he was believed</w:t></w:r>
</w:p>
<w:p>
<w:pPr><w:pStyle w:val="Normal"/></w:pPr>
<w:r><w:t xml:space="preserve">to have murdered his first wife, Isabella de&apos; Medici.  Now</w:t></w:r>
</w:p>
<w:p>
<w:pPr><w:pStyle w:val="Normal"/></w:pPr>
<w:r><w:t xml:space="preserve">that Vittoria was free he made her an offer of marriage,</w:t></w:r>
</w:p>
<w:p>
<w:pPr><w:pStyle w:val="Normal"/></w:pPr>
<w:r><w:t xml:space="preserve">which she willingly accepted, and they were married shortly</w:t></w:r>
</w:p>
<w:p>
<w:pPr><w:pStyle w:val="Normal"/></w:pPr>
<w:r><w:t xml:space="preserve">after.  But her good fortune aroused much jealousy, and attempts</w:t></w:r>
</w:p>
<w:p>
<w:pPr><w:pStyle w:val="Normal"/></w:pPr>
<w:r><w:t xml:space="preserve">were made to annul the marriage; she was even imprisoned,</w:t></w:r>
</w:p>
<w:p>
<w:pPr><w:pStyle w:val="Normal"/></w:pPr>
<w:r><w:t xml:space="preserve">and only liberated through the interference of Cardinal Carlo</w:t></w:r>
</w:p>
<w:p>
<w:pPr><w:pStyle w:val="Normal"/></w:pPr>
<w:r><w:t xml:space="preserve">Borromeo.  On the death of Gregory XIII., Cardinal Montalto,</w:t></w:r>
</w:p>
<w:p>
<w:pPr><w:pStyle w:val="Normal"/></w:pPr>
<w:r><w:t xml:space="preserve">her first husband&apos;s uncle, was elected in his place as Sixtus</w:t></w:r>
</w:p>
<w:p>
<w:pPr><w:pStyle w:val="Heading1"/></w:pPr>
<w:r><w:t>V. (1585); he vowed vengeance on the duke of Bracciano and</w:t></w:r>
</w:p>
<w:p>
<w:pPr><w:pStyle w:val="Normal"/></w:pPr>
<w:r><w:t xml:space="preserve">Vittoria, who, warned in time, fled first to Venice and</w:t></w:r>
</w:p>
<w:p>
<w:pPr><w:pStyle w:val="Normal"/></w:pPr>
<w:r><w:t xml:space="preserve">thence to Salo in Venetian territory.  Here the duke died</w:t></w:r>
</w:p>
<w:p>
<w:pPr><w:pStyle w:val="Normal"/></w:pPr>
<w:r><w:t xml:space="preserve">in November 1585, bequeathing all his personal property (the</w:t></w:r>
</w:p>
<w:p>
<w:pPr><w:pStyle w:val="Normal"/></w:pPr>
<w:r><w:t xml:space="preserve">duchy of Bracciano he left to his son by his first wife) to his</w:t></w:r>
</w:p>
<w:p>
<w:pPr><w:pStyle w:val="Normal"/></w:pPr>
<w:r><w:t xml:space="preserve">widow.  Vittoria, overwhelmed with grief, went to live in</w:t></w:r>
</w:p>
<w:p>
<w:pPr><w:pStyle w:val="Normal"/></w:pPr>
<w:r><w:t xml:space="preserve">retirement at Padua, where she was followed by Lodovico</w:t></w:r>
</w:p>
<w:p>
<w:pPr><w:pStyle w:val="Normal"/></w:pPr>
<w:r><w:t xml:space="preserve">Orsini, a relation of her late husband and a servant of the</w:t></w:r>
</w:p>
<w:p>
<w:pPr><w:pStyle w:val="Normal"/></w:pPr>
<w:r><w:t xml:space="preserve">Venetian republic, to arrange amicably for the division of the</w:t></w:r>
</w:p>
<w:p>
<w:pPr><w:pStyle w:val="Normal"/></w:pPr>
<w:r><w:t xml:space="preserve">property.  But a quarrel having arisen in this connexion Lodovico</w:t></w:r>
</w:p>
<w:p>
<w:pPr><w:pStyle w:val="Normal"/></w:pPr>
<w:r><w:t xml:space="preserve">hired a band of bravos and had Vittoria assassinated (22nd of</w:t></w:r>
</w:p>
<w:p>
<w:pPr><w:pStyle w:val="Normal"/></w:pPr>
<w:r><w:t xml:space="preserve">December 1585).  He himself and nearly all his accomplices</w:t></w:r>
</w:p>
<w:p>
<w:pPr><w:pStyle w:val="Normal"/></w:pPr>
<w:r><w:t xml:space="preserve">were afterwards put to death by order of the republic.</w:t></w:r>
</w:p>
<w:p>
<w:pPr><w:pStyle w:val="Normal"/></w:pPr>
<w:r><w:t xml:space="preserve">About Vittoria Accoramboni much has been written, and she</w:t></w:r>
</w:p>
<w:p>
<w:pPr><w:pStyle w:val="Normal"/></w:pPr>
<w:r><w:t xml:space="preserve">has been greatly maligned by some biographers.  Her story</w:t></w:r>
</w:p>
<w:p>
<w:pPr><w:pStyle w:val="Normal"/></w:pPr>
<w:r><w:t xml:space="preserve">formed the basis of Webster&apos;s drama, The Tragedy of Paolo</w:t></w:r>
</w:p>
<w:p>
<w:pPr><w:pStyle w:val="Normal"/></w:pPr>
<w:r><w:t xml:space="preserve">Giordano Ursini (1612), and of Ludwig Tieck&apos;s novel,</w:t></w:r>
</w:p>
<w:p>
<w:pPr><w:pStyle w:val="Normal"/></w:pPr>
<w:r><w:t xml:space="preserve">Vittoria Accoramboni (1840); it is told more accurately in</w:t></w:r>
</w:p>
<w:p>
<w:pPr><w:pStyle w:val="Normal"/></w:pPr>
<w:r><w:t xml:space="preserve">D. Gnoli&apos;s volume, Vittoria Accoramboni (Florence, 1870),</w:t></w:r>
</w:p>
<w:p>
<w:pPr><w:pStyle w:val="Normal"/></w:pPr>
<w:r><w:t xml:space="preserve">and an excellent sketch of her life is given in Countess E.</w:t></w:r>
</w:p>
<w:p>
<w:pPr><w:pStyle w:val="Normal"/></w:pPr>
<w:r><w:t xml:space="preserve">Martinengo-Cesaresco&apos;s Lombard Studies (London, 1902). (L. V.*)</w:t></w:r>
</w:p>
<w:p>
<w:pPr><w:pStyle w:val="Normal"/></w:pPr>
<w:r><w:t xml:space="preserve">ACCORD (from Fr. accorder, to agree), in law, an agreement</w:t></w:r>
</w:p>
<w:p>
<w:pPr><w:pStyle w:val="Normal"/></w:pPr>
<w:r><w:t xml:space="preserve">between two parties, one of whom has a right of action against the</w:t></w:r>
</w:p>
<w:p>
<w:pPr><w:pStyle w:val="Normal"/></w:pPr>
<w:r><w:t xml:space="preserve">other, to give and accept in substitution for such Iight any good</w:t></w:r>
</w:p>
<w:p>
<w:pPr><w:pStyle w:val="Normal"/></w:pPr>
<w:r><w:t xml:space="preserve">legal consideration.  Such an agreement when executed discharges</w:t></w:r>
</w:p>
<w:p>
<w:pPr><w:pStyle w:val="Normal"/></w:pPr>
<w:r><w:t xml:space="preserve">the cause of action and is called Accord and Satisfaction.</w:t></w:r>
</w:p>
<w:p>
<w:pPr><w:pStyle w:val="Normal"/></w:pPr>
<w:r><w:t xml:space="preserve">ACCORDION (Fr. aeeordeoni Ger. Handharmonica,</w:t></w:r>
</w:p>
<w:p>
<w:pPr><w:pStyle w:val="Normal"/></w:pPr>
<w:r><w:t xml:space="preserve">Ziehharmonica), a small portable reed wind instrument</w:t></w:r>
</w:p>
<w:p>
<w:pPr><w:pStyle w:val="Normal"/></w:pPr>
<w:r><w:t xml:space="preserve">with keyboard, the smallest representative of the</w:t></w:r>
</w:p>
<w:p>
<w:pPr><w:pStyle w:val="Normal"/></w:pPr>
<w:r><w:t xml:space="preserve">organ family, invented in 1829 by Damian, in Vienna.</w:t></w:r>
</w:p>
<w:p>
<w:pPr><w:pStyle w:val="Normal"/></w:pPr>
<w:r><w:t xml:space="preserve">The accordion consists of a bellows of many folds, to which</w:t></w:r>
</w:p>
<w:p>
<w:pPr><w:pStyle w:val="Normal"/></w:pPr>
<w:r><w:t xml:space="preserve">is attached a keyboard with from 5 to 50 keys.  The keys on</w:t></w:r>
</w:p>
<w:p>
<w:pPr><w:pStyle w:val="Normal"/></w:pPr>
<w:r><w:t xml:space="preserve">being depressed, while the bellows are being worked, open</w:t></w:r>
</w:p>
<w:p>
<w:pPr><w:pStyle w:val="Normal"/></w:pPr>
<w:r><w:t xml:space="preserve">valves admitting the wind to free reeds, consisting of narrow</w:t></w:r>
</w:p>
<w:p>
<w:pPr><w:pStyle w:val="Normal"/></w:pPr>
<w:r><w:t xml:space="preserve">tongues of metal riveted some to the upper, some to the</w:t></w:r>
</w:p>
<w:p>
<w:pPr><w:pStyle w:val="Normal"/></w:pPr>
<w:r><w:t xml:space="preserve">lower board of the bellows, having their free ends bent, some</w:t></w:r>
</w:p>
<w:p>
<w:pPr><w:pStyle w:val="Normal"/></w:pPr>
<w:r><w:t xml:space="preserve">inwards, some outwards.  Each key produces two notes, one</w:t></w:r>
</w:p>
<w:p>
<w:pPr><w:pStyle w:val="Normal"/></w:pPr>
<w:r><w:t xml:space="preserve">from the inwardly bent reed when the bellows are compressed,</w:t></w:r>
</w:p>
<w:p>
<w:pPr><w:pStyle w:val="Normal"/></w:pPr>
<w:r><w:t xml:space="preserve">the other from the outwardly bent reed by suction (as in</w:t></w:r>
</w:p>
<w:p>
<w:pPr><w:pStyle w:val="Normal"/></w:pPr>
<w:r><w:t xml:space="preserve">the American organ; see HARMONIUM) when the bellows are</w:t></w:r>
</w:p>
<w:p>
<w:pPr><w:pStyle w:val="Normal"/></w:pPr>
<w:r><w:t xml:space="preserve">expanded.  The pitch of the note is determined by the length</w:t></w:r>
</w:p>
<w:p>
<w:pPr><w:pStyle w:val="Normal"/></w:pPr>
<w:r><w:t xml:space="preserve">and thickness of the reeds, reduction of the length tending</w:t></w:r>
</w:p>
<w:p>
<w:pPr><w:pStyle w:val="Normal"/></w:pPr>
<w:r><w:t xml:space="preserve">to sharpen the note, while reduction of the thickness lowers</w:t></w:r>
</w:p>
<w:p>
<w:pPr><w:pStyle w:val="Normal"/></w:pPr>
<w:r><w:t xml:space="preserve">it.  The right hand plays the melody on the keyboard, while</w:t></w:r>
</w:p>
<w:p>
<w:pPr><w:pStyle w:val="Normal"/></w:pPr>
<w:r><w:t xml:space="preserve">the left works the bellows and manipulates the two or three</w:t></w:r>
</w:p>
<w:p>
<w:pPr><w:pStyle w:val="Normal"/></w:pPr>
<w:r><w:t xml:space="preserve">bass harmony keys, which sound the simple chords of the tonic</w:t></w:r>
</w:p>
<w:p>
<w:pPr><w:pStyle w:val="Normal"/></w:pPr>
<w:r><w:t xml:space="preserve">and dominant. The archetype of the accordion is the cheng</w:t></w:r>
</w:p>
<w:p>
<w:pPr><w:pStyle w:val="Normal"/></w:pPr>
<w:r><w:t xml:space="preserve">(q.v.), or Chinese organ, between which and the harmonium</w:t></w:r>
</w:p>
<w:p>
<w:pPr><w:pStyle w:val="Normal"/></w:pPr>
<w:r><w:t xml:space="preserve">it forms a connecting link structurally, although not invented</w:t></w:r>
</w:p>
<w:p>
<w:pPr><w:pStyle w:val="Normal"/></w:pPr>
<w:r><w:t xml:space="preserve">for some thirty years after the harmonium.  The timbre of the</w:t></w:r>
</w:p>
<w:p>
<w:pPr><w:pStyle w:val="Normal"/></w:pPr>
<w:r><w:t xml:space="preserve">accordion is coarse and devoid of beauty, but in the hands</w:t></w:r>
</w:p>
<w:p>
<w:pPr><w:pStyle w:val="Normal"/></w:pPr>
<w:r><w:t xml:space="preserve">of a skilful performer the best instruments are not entirely</w:t></w:r>
</w:p>
<w:p>
<w:pPr><w:pStyle w:val="Normal"/></w:pPr>
<w:r><w:t xml:space="preserve">without artistic merit. Improvements in the construction of</w:t></w:r>
</w:p>
<w:p>
<w:pPr><w:pStyle w:val="Normal"/></w:pPr>
<w:r><w:t xml:space="preserve">the accordion produced the concertina (q.v.), melodion and</w:t></w:r>
</w:p>
<w:p>
<w:pPr><w:pStyle w:val="Normal"/></w:pPr>
<w:r><w:t xml:space="preserve">melophone. las Accordion in kurzer Zeit richtig spielen zu</w:t></w:r>
</w:p>
<w:p>
<w:pPr><w:pStyle w:val="Normal"/></w:pPr>
<w:r><w:t xml:space="preserve">erlernen (Wien, 1834). See also FREE REED VIBRATOR. (K. S.)</w:t></w:r>
</w:p>
<w:p>
<w:pPr><w:pStyle w:val="Normal"/></w:pPr>
<w:r><w:t xml:space="preserve">ACCORSO (ACCURSIUS), MARIANOELO (c. 1490-1544),</w:t></w:r>
</w:p>
<w:p>
<w:pPr><w:pStyle w:val="Normal"/></w:pPr>
<w:r><w:t xml:space="preserve">Italian critic, was born at Aquila, in the kingdom of</w:t></w:r>
</w:p>
<w:p>
<w:pPr><w:pStyle w:val="Normal"/></w:pPr>
<w:r><w:t xml:space="preserve">Naples.  He was a great favourite with Charles V., at whose</w:t></w:r>
</w:p>
<w:p>
<w:pPr><w:pStyle w:val="Normal"/></w:pPr>
<w:r><w:t xml:space="preserve">court he resided for thirty-three years, and by whom he was</w:t></w:r>
</w:p>
<w:p>
<w:pPr><w:pStyle w:val="Normal"/></w:pPr>
<w:r><w:t xml:space="preserve">employed on various foreign missions.  To a perfect knowledge</w:t></w:r>
</w:p>
<w:p>
<w:pPr><w:pStyle w:val="Normal"/></w:pPr>
<w:r><w:t xml:space="preserve">of Greek and Latin he added an intimate acquaintance with</w:t></w:r>
</w:p>
<w:p>
<w:pPr><w:pStyle w:val="Normal"/></w:pPr>
<w:r><w:t xml:space="preserve">several modern languages.  In discovering and collating ancient</w:t></w:r>
</w:p>
<w:p>
<w:pPr><w:pStyle w:val="Normal"/></w:pPr>
<w:r><w:t xml:space="preserve">manuscripts, for which his travels abroad gave him special</w:t></w:r>
</w:p>
<w:p>
<w:pPr><w:pStyle w:val="Normal"/></w:pPr>
<w:r><w:t xml:space="preserve">opportunities, he displayed uncommon diligence.  His work</w:t></w:r>
</w:p>
<w:p>
<w:pPr><w:pStyle w:val="Normal"/></w:pPr>
<w:r><w:t xml:space="preserve">entitled Diatribae in Ausonium, Solinum et Ovidium (1524)</w:t></w:r>
</w:p>
<w:p>
<w:pPr><w:pStyle w:val="Normal"/></w:pPr>
<w:r><w:t xml:space="preserve">is a monument of erudition and critical skill.  He was the</w:t></w:r>
</w:p>
<w:p>
<w:pPr><w:pStyle w:val="Normal"/></w:pPr>
<w:r><w:t xml:space="preserve">first editor of the Letters of Gassiodorus, with his</w:t></w:r>
</w:p>
<w:p>
<w:pPr><w:pStyle w:val="Normal"/></w:pPr>
<w:r><w:t xml:space="preserve">Treatise on the Soul (1538); and his edition of Ammianus</w:t></w:r>
</w:p>
<w:p>
<w:pPr><w:pStyle w:val="Normal"/></w:pPr>
<w:r><w:t xml:space="preserve">Marcellinus (1533) contains five books more than any former</w:t></w:r>
</w:p>
<w:p>
<w:pPr><w:pStyle w:val="Normal"/></w:pPr>
<w:r><w:t xml:space="preserve">one.  The affected use of antiquated terms, introduced by</w:t></w:r>
</w:p>
<w:p>
<w:pPr><w:pStyle w:val="Normal"/></w:pPr>
<w:r><w:t xml:space="preserve">some of the Latin writers of that age, is humorously ridiculed</w:t></w:r>
</w:p>
<w:p>
<w:pPr><w:pStyle w:val="Normal"/></w:pPr>
<w:r><w:t xml:space="preserve">by him, in a dialogue in which an Oscan, a Volscian and a</w:t></w:r>
</w:p>
<w:p>
<w:pPr><w:pStyle w:val="Normal"/></w:pPr>
<w:r><w:t xml:space="preserve">Roman are introduced as interlocutors (1531).  Accorso was</w:t></w:r>
</w:p>
<w:p>
<w:pPr><w:pStyle w:val="Normal"/></w:pPr>
<w:r><w:t xml:space="preserve">accused of plagiarism in his notes on Ausonius, a charge</w:t></w:r>
</w:p>
<w:p>
<w:pPr><w:pStyle w:val="Normal"/></w:pPr>
<w:r><w:t xml:space="preserve">which he most solemnly and energetically repudiated.</w:t></w:r>
</w:p>
<w:p>
<w:pPr><w:pStyle w:val="Normal"/></w:pPr>
<w:r><w:t xml:space="preserve">ACCOUNT (through O. Fr. acont, Late Lat. comptum,</w:t></w:r>
</w:p>
<w:p>
<w:pPr><w:pStyle w:val="Normal"/></w:pPr>
<w:r><w:t xml:space="preserve">computare, to calculate), counting, reckoning, especially of</w:t></w:r>
</w:p>
<w:p>
<w:pPr><w:pStyle w:val="Normal"/></w:pPr>
<w:r><w:t xml:space="preserve">moneys paid and received, hence a statement made as to the</w:t></w:r>
</w:p>
<w:p>
<w:pPr><w:pStyle w:val="Normal"/></w:pPr>
<w:r><w:t xml:space="preserve">receipt and payment of moneys; also any statement as to acts or</w:t></w:r>
</w:p>
<w:p>
<w:pPr><w:pStyle w:val="Normal"/></w:pPr>
<w:r><w:t xml:space="preserve">conduct, or quite simply any narrative report of events, &amp;c.</w:t></w:r>
</w:p>
<w:p>
<w:pPr><w:pStyle w:val="Normal"/></w:pPr>
<w:r><w:t xml:space="preserve">A further sense-development is that of esteem, consideration.</w:t></w:r>
</w:p>
<w:p>
<w:pPr><w:pStyle w:val="Normal"/></w:pPr>
<w:r><w:t xml:space="preserve">As a stock-exchange term ``account&apos;&apos; is used in several</w:t></w:r>
</w:p>
<w:p>
<w:pPr><w:pStyle w:val="Normal"/></w:pPr>
<w:r><w:t xml:space="preserve">senses. (1) The periodical settlements occurring, in London,</w:t></w:r>
</w:p>
<w:p>
<w:pPr><w:pStyle w:val="Normal"/></w:pPr>
<w:r><w:t xml:space="preserve">monthly for British government and a few other first-class</w:t></w:r>
</w:p>
<w:p>
<w:pPr><w:pStyle w:val="Normal"/></w:pPr>
<w:r><w:t xml:space="preserve">securities, and fortnightly for all others.  The settlement</w:t></w:r>
</w:p>
<w:p>
<w:pPr><w:pStyle w:val="Normal"/></w:pPr>
<w:r><w:t xml:space="preserve">extends over four days in mining shares and three days in other</w:t></w:r>
</w:p>
<w:p>
<w:pPr><w:pStyle w:val="Normal"/></w:pPr>
<w:r><w:t xml:space="preserve">securities.  The first day is the carry-over, ``contango,&apos;&apos; or</w:t></w:r>
</w:p>
<w:p>
<w:pPr><w:pStyle w:val="Normal"/></w:pPr>
<w:r><w:t xml:space="preserve">making-up, day, on which speculative commitments are carried</w:t></w:r>
</w:p>
<w:p>
<w:pPr><w:pStyle w:val="Normal"/></w:pPr>
<w:r><w:t xml:space="preserve">over, or continued: that is, the bulls, who have bought</w:t></w:r>
</w:p>
<w:p>
<w:pPr><w:pStyle w:val="Normal"/></w:pPr>
<w:r><w:t xml:space="preserve">stock for the rise, arrange the rate of interest that they</w:t></w:r>
</w:p>
<w:p>
<w:pPr><w:pStyle w:val="Normal"/></w:pPr>
<w:r><w:t xml:space="preserve">have to give on their stock to a moneylender, or bear, who</w:t></w:r>
</w:p>
<w:p>
<w:pPr><w:pStyle w:val="Normal"/></w:pPr>
<w:r><w:t xml:space="preserve">will pay for it or take it in for them; and the bears, who</w:t></w:r>
</w:p>
<w:p>
<w:pPr><w:pStyle w:val="Normal"/></w:pPr>
<w:r><w:t xml:space="preserve">have sold for the fall, arrange the rate that they receive</w:t></w:r>
</w:p>
<w:p>
<w:pPr><w:pStyle w:val="Normal"/></w:pPr>
<w:r><w:t xml:space="preserve">from the bulls or, if the stock is scarce and oversold, the</w:t></w:r>
</w:p>
<w:p>
<w:pPr><w:pStyle w:val="Normal"/></w:pPr>
<w:r><w:t xml:space="preserve">backwardation or rate that they have to pay to holders of the</w:t></w:r>
</w:p>
<w:p>
<w:pPr><w:pStyle w:val="Normal"/></w:pPr>
<w:r><w:t xml:space="preserve">stock who will lend it them to enable them to complete their</w:t></w:r>
</w:p>
<w:p>
<w:pPr><w:pStyle w:val="Normal"/></w:pPr>
<w:r><w:t xml:space="preserve">bargains.  On the second day, called ticket-day or name</w:t></w:r>
</w:p>
<w:p>
<w:pPr><w:pStyle w:val="Normal"/></w:pPr>
<w:r><w:t xml:space="preserve">day, a ticket giving the name and address of the ultimate</w:t></w:r>
</w:p>
<w:p>
<w:pPr><w:pStyle w:val="Normal"/></w:pPr>
<w:r><w:t xml:space="preserve">buyer and the firm which will pay for the stock is passed</w:t></w:r>
</w:p>
<w:p>
<w:pPr><w:pStyle w:val="Normal"/></w:pPr>
<w:r><w:t xml:space="preserve">through the various intermediaries to the ultimate seller,</w:t></w:r>
</w:p>
<w:p>
<w:pPr><w:pStyle w:val="Normal"/></w:pPr>
<w:r><w:t xml:space="preserve">so that the actual transfer of the stock can be made</w:t></w:r>
</w:p>
<w:p>
<w:pPr><w:pStyle w:val="Normal"/></w:pPr>
<w:r><w:t xml:space="preserve">directly.  In the mining market the passing of names takes two</w:t></w:r>
</w:p>
<w:p>
<w:pPr><w:pStyle w:val="Normal"/></w:pPr>
<w:r><w:t xml:space="preserve">days.  On the last day, account day, pay day or settling</w:t></w:r>
</w:p>
<w:p>
<w:pPr><w:pStyle w:val="Normal"/></w:pPr>
<w:r><w:t xml:space="preserve">day, cheques are paid to meet speculative differences, or</w:t></w:r>
</w:p>
<w:p>
<w:pPr><w:pStyle w:val="Normal"/></w:pPr>
<w:r><w:t xml:space="preserve">against the delivering of stock. (2) The period between two</w:t></w:r>
</w:p>
<w:p>
<w:pPr><w:pStyle w:val="Normal"/></w:pPr>
<w:r><w:t xml:space="preserve">settlements.  A nineteen-day account is one in which nineteen</w:t></w:r>
</w:p>
<w:p>
<w:pPr><w:pStyle w:val="Normal"/></w:pPr>
<w:r><w:t xml:space="preserve">days elapse between one pay-day and another. (3) The volume or</w:t></w:r>
</w:p>
<w:p>
<w:pPr><w:pStyle w:val="Normal"/></w:pPr>
<w:r><w:t xml:space="preserve">condition of commitments.  A speculator is said to have a large</w:t></w:r>
</w:p>
<w:p>
<w:pPr><w:pStyle w:val="Normal"/></w:pPr>
<w:r><w:t xml:space="preserve">account open when he has dealt heavily either for the rise or</w:t></w:r>
</w:p>
<w:p>
<w:pPr><w:pStyle w:val="Normal"/></w:pPr>
<w:r><w:t xml:space="preserve">fall.  A bull account exists in a stock or group of stocks</w:t></w:r>
</w:p>
<w:p>
<w:pPr><w:pStyle w:val="Normal"/></w:pPr>
<w:r><w:t xml:space="preserve">when it or they have been bought for the rise by a Iarge</w:t></w:r>
</w:p>
<w:p>
<w:pPr><w:pStyle w:val="Normal"/></w:pPr>
<w:r><w:t xml:space="preserve">number of operators; in the contrary case, when there have</w:t></w:r>
</w:p>
<w:p>
<w:pPr><w:pStyle w:val="Normal"/></w:pPr>
<w:r><w:t xml:space="preserve">been heavy sales for the fall, a bear account is developed.</w:t></w:r>
</w:p>
<w:p>
<w:pPr><w:pStyle w:val="Normal"/></w:pPr>
<w:r><w:t xml:space="preserve">ACCOUNTANT-GENERAL, formerly an officer in the English</w:t></w:r>
</w:p>
<w:p>
<w:pPr><w:pStyle w:val="Normal"/></w:pPr>
<w:r><w:t xml:space="preserve">Court of Chancery, who received all moneys lodged in court,</w:t></w:r>
</w:p>
<w:p>
<w:pPr><w:pStyle w:val="Normal"/></w:pPr>
<w:r><w:t xml:space="preserve">and by whom they were deposited in bank and disbursed.  The</w:t></w:r>
</w:p>
<w:p>
<w:pPr><w:pStyle w:val="Normal"/></w:pPr>
<w:r><w:t xml:space="preserve">office was abolished by the Chancery Funds Act 1872, and</w:t></w:r>
</w:p>
<w:p>
<w:pPr><w:pStyle w:val="Normal"/></w:pPr>
<w:r><w:t xml:space="preserve">the duties transferred to the paymaster-general (q.v.).</w:t></w:r>
</w:p>
<w:p>
<w:pPr><w:pStyle w:val="Normal"/></w:pPr>
<w:r><w:t xml:space="preserve">ACCOUNTANTS. The term ``accountant&apos;&apos; is one to which, of</w:t></w:r>
</w:p>
<w:p>
<w:pPr><w:pStyle w:val="Normal"/></w:pPr>
<w:r><w:t xml:space="preserve">late years, its original meaning has been more generally</w:t></w:r>
</w:p>
<w:p>
<w:pPr><w:pStyle w:val="Normal"/></w:pPr>
<w:r><w:t xml:space="preserve">attributed---that of an expert in the science of book-keeping.</w:t></w:r>
</w:p>
<w:p>
<w:pPr><w:pStyle w:val="Normal"/></w:pPr>
<w:r><w:t xml:space="preserve">It is sometimes adopted by book-keepers, but this is an</w:t></w:r>
</w:p>
<w:p>
<w:pPr><w:pStyle w:val="Normal"/></w:pPr>
<w:r><w:t xml:space="preserve">erroneous application of the term; it properly describes those</w:t></w:r>
</w:p>
<w:p>
<w:pPr><w:pStyle w:val="Normal"/></w:pPr>
<w:r><w:t xml:space="preserve">competent to design and control the systems of accounts required</w:t></w:r>
</w:p>
<w:p>
<w:pPr><w:pStyle w:val="Normal"/></w:pPr>
<w:r><w:t xml:space="preserve">for the record of the multifarious and rapid transactions</w:t></w:r>
</w:p>
<w:p>
<w:pPr><w:pStyle w:val="Normal"/></w:pPr>
<w:r><w:t xml:space="preserve">of trade and finance.  It assumes the possession of a wide</w:t></w:r>
</w:p>
<w:p>
<w:pPr><w:pStyle w:val="Normal"/></w:pPr>
<w:r><w:t xml:space="preserve">knowledge of the principles upon which accountancy is based,</w:t></w:r>
</w:p>
<w:p>
<w:pPr><w:pStyle w:val="Normal"/></w:pPr>
<w:r><w:t xml:space="preserve">which may be shortly described as constituting a science by</w:t></w:r>
</w:p>
<w:p>
<w:pPr><w:pStyle w:val="Normal"/></w:pPr>
<w:r><w:t xml:space="preserve">means of which all mercantile and financial transactions,</w:t></w:r>
</w:p>
<w:p>
<w:pPr><w:pStyle w:val="Normal"/></w:pPr>
<w:r><w:t xml:space="preserve">whether in money or in money&apos;s worth, including operations</w:t></w:r>
</w:p>
<w:p>
<w:pPr><w:pStyle w:val="Normal"/></w:pPr>
<w:r><w:t xml:space="preserve">completed and engagements undertaken to be fulfilled at once</w:t></w:r>
</w:p>
<w:p>
<w:pPr><w:pStyle w:val="Normal"/></w:pPr>
<w:r><w:t xml:space="preserve">or in a future, however remote, may be recorded; and this</w:t></w:r>
</w:p>
<w:p>
<w:pPr><w:pStyle w:val="Normal"/></w:pPr>
<w:r><w:t xml:space="preserve">science comprises a knowledge of the methods of preparing</w:t></w:r>
</w:p>
<w:p>
<w:pPr><w:pStyle w:val="Normal"/></w:pPr>
<w:r><w:t xml:space="preserve">statistics, whether relating to finance or to any transactions</w:t></w:r>
</w:p>
<w:p>
<w:pPr><w:pStyle w:val="Normal"/></w:pPr>
<w:r><w:t xml:space="preserve">or circumstances which can be stated by numeration, and of</w:t></w:r>
</w:p>
<w:p>
<w:pPr><w:pStyle w:val="Normal"/></w:pPr>
<w:r><w:t xml:space="preserve">ascertaining or estimating on correct bases the cost of any</w:t></w:r>
</w:p>
<w:p>
<w:pPr><w:pStyle w:val="Normal"/></w:pPr>
<w:r><w:t xml:space="preserve">operation whether in money, in commodities, in time, in life</w:t></w:r>
</w:p>
<w:p>
<w:pPr><w:pStyle w:val="Normal"/></w:pPr>
<w:r><w:t xml:space="preserve">or in any wasting property. Generally, accountancy may be</w:t></w:r>
</w:p>
<w:p>
<w:pPr><w:pStyle w:val="Normal"/></w:pPr>
<w:r><w:t xml:space="preserve">described as being the science by means of which all operations,</w:t></w:r>
</w:p>
<w:p>
<w:pPr><w:pStyle w:val="Normal"/></w:pPr>
<w:r><w:t xml:space="preserve">as far as they are capable of being shown in figures, are</w:t></w:r>
</w:p>
<w:p>
<w:pPr><w:pStyle w:val="Normal"/></w:pPr>
<w:r><w:t xml:space="preserve">accurately recorded and their results ascertained and stated.</w:t></w:r>
</w:p>
<w:p>
<w:pPr><w:pStyle w:val="Normal"/></w:pPr>
<w:r><w:t xml:space="preserve">History.</w:t></w:r>
</w:p>
<w:p>
<w:pPr><w:pStyle w:val="Normal"/></w:pPr>
<w:r><w:t xml:space="preserve">The origin of the profession of accountancy in Great Britain</w:t></w:r>
</w:p>
<w:p>
<w:pPr><w:pStyle w:val="Normal"/></w:pPr>
<w:r><w:t xml:space="preserve">is difficult to trace; auditors of accounts were naturally</w:t></w:r>
</w:p>
<w:p>
<w:pPr><w:pStyle w:val="Normal"/></w:pPr>
<w:r><w:t xml:space="preserve">of very early existence, being mentioned as officers of</w:t></w:r>
</w:p>
<w:p>
<w:pPr><w:pStyle w:val="Normal"/></w:pPr>
<w:r><w:t xml:space="preserve">importance in the statutes of Westminster in the reign of</w:t></w:r>
</w:p>
<w:p>
<w:pPr><w:pStyle w:val="Normal"/></w:pPr>
<w:r><w:t xml:space="preserve">Edward I. The art of accountancy on a scientific principle</w:t></w:r>
</w:p>
<w:p>
<w:pPr><w:pStyle w:val="Normal"/></w:pPr>
<w:r><w:t xml:space="preserve">must certainly have been understood in Italy before 1495,</w:t></w:r>
</w:p>
<w:p>
<w:pPr><w:pStyle w:val="Normal"/></w:pPr>
<w:r><w:t xml:space="preserve">when Friar Luca dal Borgo published at Venice his treatise</w:t></w:r>
</w:p>
<w:p>
<w:pPr><w:pStyle w:val="Normal"/></w:pPr>
<w:r><w:t xml:space="preserve">on book-keeping; but the first known English book on the</w:t></w:r>
</w:p>
<w:p>
<w:pPr><w:pStyle w:val="Normal"/></w:pPr>
<w:r><w:t xml:space="preserve">science was published in London by John Gouge or Gough in</w:t></w:r>
</w:p>
<w:p>
<w:pPr><w:pStyle w:val="Normal"/></w:pPr>
<w:r><w:t xml:space="preserve">1543.  It is described as A Profitable Treatyce called</w:t></w:r>
</w:p>
<w:p>
<w:pPr><w:pStyle w:val="Normal"/></w:pPr>
<w:r><w:t xml:space="preserve">the Instrument or Boke to learn to knowe the good order</w:t></w:r>
</w:p>
<w:p>
<w:pPr><w:pStyle w:val="Normal"/></w:pPr>
<w:r><w:t xml:space="preserve">of the kepyng of the famouse reconynge, called in Latin,</w:t></w:r>
</w:p>
<w:p>
<w:pPr><w:pStyle w:val="Normal"/></w:pPr>
<w:r><w:t xml:space="preserve">Dare and Habere, and, in Englyshe, Debitor and Creditor.</w:t></w:r>
</w:p>
<w:p>
<w:pPr><w:pStyle w:val="Normal"/></w:pPr>
<w:r><w:t xml:space="preserve">A short book of instruction was also published in 1588 by</w:t></w:r>
</w:p>
<w:p>
<w:pPr><w:pStyle w:val="Normal"/></w:pPr>
<w:r><w:t xml:space="preserve">John Mellis of Southwark, in which he says, ``I am but the</w:t></w:r>
</w:p>
<w:p>
<w:pPr><w:pStyle w:val="Normal"/></w:pPr>
<w:r><w:t xml:space="preserve">renuer and reviver of an auncient old copie printed here</w:t></w:r>
</w:p>
<w:p>
<w:pPr><w:pStyle w:val="Normal"/></w:pPr>
<w:r><w:t xml:space="preserve">in London the 14 of August 1543: collected, published,</w:t></w:r>
</w:p>
<w:p>
<w:pPr><w:pStyle w:val="Normal"/></w:pPr>
<w:r><w:t xml:space="preserve">made, and set forth by one Hugh Oldcastle, Scholemaster,</w:t></w:r>
</w:p>
<w:p>
<w:pPr><w:pStyle w:val="Normal"/></w:pPr>
<w:r><w:t xml:space="preserve">who, as appeareth by his treatise, then taught Arithmetike,</w:t></w:r>
</w:p>
<w:p>
<w:pPr><w:pStyle w:val="Normal"/></w:pPr>
<w:r><w:t xml:space="preserve">and this booke in Saint Ollaves parish in Marko Lane.&apos;&apos; John</w:t></w:r>
</w:p>
<w:p>
<w:pPr><w:pStyle w:val="Normal"/></w:pPr>
<w:r><w:t xml:space="preserve">Melfis refers to the fact that the principle of accounts</w:t></w:r>
</w:p>
<w:p>
<w:pPr><w:pStyle w:val="Normal"/></w:pPr>
<w:r><w:t xml:space="preserve">he explains (which is a simple system of double entry) is</w:t></w:r>
</w:p>
<w:p>
<w:pPr><w:pStyle w:val="Normal"/></w:pPr>
<w:r><w:t xml:space="preserve">``after the forme of Venice.&apos;&apos; The very interesting and able</w:t></w:r>
</w:p>
<w:p>
<w:pPr><w:pStyle w:val="Normal"/></w:pPr>
<w:r><w:t xml:space="preserve">book described as The Merchants Mirrour, or directions for</w:t></w:r>
</w:p>
<w:p>
<w:pPr><w:pStyle w:val="Normal"/></w:pPr>
<w:r><w:t xml:space="preserve">the perfect ordering and keeping af his accounts formed by</w:t></w:r>
</w:p>
<w:p>
<w:pPr><w:pStyle w:val="Normal"/></w:pPr>
<w:r><w:t xml:space="preserve">way of Debitor and Creditor, after the (so termed) Italian</w:t></w:r>
</w:p>
<w:p>
<w:pPr><w:pStyle w:val="Normal"/></w:pPr>
<w:r><w:t xml:space="preserve">manner, by Richard Dafforne, accountant, published in 1635,</w:t></w:r>
</w:p>
<w:p>
<w:pPr><w:pStyle w:val="Normal"/></w:pPr>
<w:r><w:t xml:space="preserve">contains many references to early books on the science of</w:t></w:r>
</w:p>
<w:p>
<w:pPr><w:pStyle w:val="Normal"/></w:pPr>
<w:r><w:t xml:space="preserve">accountancy.  In a chapter in this book, headed ``Opinion</w:t></w:r>
</w:p>
<w:p>
<w:pPr><w:pStyle w:val="Normal"/></w:pPr>
<w:r><w:t xml:space="preserve">of Book-keeping&apos;s Antiquity,&apos;&apos; the author states, on the</w:t></w:r>
</w:p>
<w:p>
<w:pPr><w:pStyle w:val="Normal"/></w:pPr>
<w:r><w:t xml:space="preserve">authority of another writer, that the form of book-keeping</w:t></w:r>
</w:p>
<w:p>
<w:pPr><w:pStyle w:val="Normal"/></w:pPr>
<w:r><w:t xml:space="preserve">referred to had then been in use in Italy about two hundred</w:t></w:r>
</w:p>
<w:p>
<w:pPr><w:pStyle w:val="Normal"/></w:pPr>
<w:r><w:t xml:space="preserve">years, ``but that the same, or one in many parts very like</w:t></w:r>
</w:p>
<w:p>
<w:pPr><w:pStyle w:val="Normal"/></w:pPr>
<w:r><w:t xml:space="preserve">this, was used in the time of Julius Caesar, and in Rome long</w:t></w:r>
</w:p>
<w:p>
<w:pPr><w:pStyle w:val="Normal"/></w:pPr>
<w:r><w:t xml:space="preserve">before.&apos;&apos; He gives quotations of Latin book-keeping terms in</w:t></w:r>
</w:p>
<w:p>
<w:pPr><w:pStyle w:val="Normal"/></w:pPr>
<w:r><w:t xml:space="preserve">use in ancient times, and refers to ``ex Oratione Ciceronis</w:t></w:r>
</w:p>
<w:p>
<w:pPr><w:pStyle w:val="Normal"/></w:pPr>
<w:r><w:t xml:space="preserve">pro Roscio Comaedo&apos;&apos;; and he adds: ``That the one side of</w:t></w:r>
</w:p>
<w:p>
<w:pPr><w:pStyle w:val="Normal"/></w:pPr>
<w:r><w:t xml:space="preserve">their booke was used for Debitor, the other for Creditor,</w:t></w:r>
</w:p>
<w:p>
<w:pPr><w:pStyle w:val="Normal"/></w:pPr>
<w:r><w:t xml:space="preserve">is manifest in a certaine place, Naturalis Historiae Plinii,</w:t></w:r>
</w:p>
<w:p>
<w:pPr><w:pStyle w:val="Normal"/></w:pPr>
<w:r><w:t xml:space="preserve">lib. 2, cap. 7, where hee, speaking of Fortune, saith thus:</w:t></w:r>
</w:p>
<w:p>
<w:pPr><w:pStyle w:val="Normal"/></w:pPr>
<w:r><w:t xml:space="preserve">Huic Omnia Expensa.</w:t></w:r>
</w:p>
<w:p>
<w:pPr><w:pStyle w:val="Normal"/></w:pPr>
<w:r><w:t xml:space="preserve">Huic Omnia Feruntur accepta et in tota Ratione mortalium sola</w:t></w:r>
</w:p>
<w:p>
<w:pPr><w:pStyle w:val="Normal"/></w:pPr>
<w:r><w:t xml:space="preserve">Utramque Paginam facit.&apos;&apos;</w:t></w:r>
</w:p>
<w:p>
<w:pPr><w:pStyle w:val="Normal"/></w:pPr>
<w:r><w:t xml:space="preserve">An early Dutch writer appears to have suggested that double-entry</w:t></w:r>
</w:p>
<w:p>
<w:pPr><w:pStyle w:val="Normal"/></w:pPr>
<w:r><w:t xml:space="preserve">book-keeping was even in existence among the Greeks, pointing</w:t></w:r>
</w:p>
<w:p>
<w:pPr><w:pStyle w:val="Normal"/></w:pPr>
<w:r><w:t xml:space="preserve">to scientific accountancy having been invented in remote times.</w:t></w:r>
</w:p>
<w:p>
<w:pPr><w:pStyle w:val="Normal"/></w:pPr>
<w:r><w:t xml:space="preserve">There were several editions of Richard Dafforne&apos;s book</w:t></w:r>
</w:p>
<w:p>
<w:pPr><w:pStyle w:val="Normal"/></w:pPr>
<w:r><w:t xml:space="preserve">printed---the second edition having been published in</w:t></w:r>
</w:p>
<w:p>
<w:pPr><w:pStyle w:val="Normal"/></w:pPr>
<w:r><w:t xml:space="preserve">1636, the third in 1656, and another was issued in</w:t></w:r>
</w:p>
<w:p>
<w:pPr><w:pStyle w:val="Normal"/></w:pPr>
<w:r><w:t xml:space="preserve">1684.  The book is a very complete treatise on scientific</w:t></w:r>
</w:p>
<w:p>
<w:pPr><w:pStyle w:val="Normal"/></w:pPr>
<w:r><w:t xml:space="preserve">accountancy, it was beautifully prepared and contains</w:t></w:r>
</w:p>
<w:p>
<w:pPr><w:pStyle w:val="Normal"/></w:pPr>
<w:r><w:t xml:space="preserve">elaborate explanations; the numerous editions tend to</w:t></w:r>
</w:p>
<w:p>
<w:pPr><w:pStyle w:val="Normal"/></w:pPr>
<w:r><w:t xml:space="preserve">prove that the science was highly appreciated in the 17th</w:t></w:r>
</w:p>
<w:p>
<w:pPr><w:pStyle w:val="Normal"/></w:pPr>
<w:r><w:t xml:space="preserve">century.  From this time there has been a continuous supply</w:t></w:r>
</w:p>
<w:p>
<w:pPr><w:pStyle w:val="Normal"/></w:pPr>
<w:r><w:t xml:space="preserve">of literature on the subject, many of the authors styling</w:t></w:r>
</w:p>
<w:p>
<w:pPr><w:pStyle w:val="Normal"/></w:pPr>
<w:r><w:t xml:space="preserve">themselves accountants and teachers of the art, and thus</w:t></w:r>
</w:p>
<w:p>
<w:pPr><w:pStyle w:val="Normal"/></w:pPr>
<w:r><w:t xml:space="preserve">proving that the professional accountant was then known and</w:t></w:r>
</w:p>
<w:p>
<w:pPr><w:pStyle w:val="Normal"/></w:pPr>
<w:r><w:t xml:space="preserve">employed.  Very early in the 18th century the services of an</w:t></w:r>
</w:p>
<w:p>
<w:pPr><w:pStyle w:val="Normal"/></w:pPr>
<w:r><w:t xml:space="preserve">accountant practising in the city of London were made use of</w:t></w:r>
</w:p>
<w:p>
<w:pPr><w:pStyle w:val="Normal"/></w:pPr>
<w:r><w:t xml:space="preserve">in the course of an investigation into the transactions of</w:t></w:r>
</w:p>
<w:p>
<w:pPr><w:pStyle w:val="Normal"/></w:pPr>
<w:r><w:t xml:space="preserve">a director of the South Sea Company, who had been dealing in</w:t></w:r>
</w:p>
<w:p>
<w:pPr><w:pStyle w:val="Normal"/></w:pPr>
<w:r><w:t xml:space="preserve">the company&apos;s stock.  During this investigation the accountant</w:t></w:r>
</w:p>
<w:p>
<w:pPr><w:pStyle w:val="Normal"/></w:pPr>
<w:r><w:t xml:space="preserve">appears to have examined the books of at least two firms of</w:t></w:r>
</w:p>
<w:p>
<w:pPr><w:pStyle w:val="Normal"/></w:pPr>
<w:r><w:t xml:space="preserve">merchants.  His report is described Observations made upon</w:t></w:r>
</w:p>
<w:p>
<w:pPr><w:pStyle w:val="Normal"/></w:pPr>
<w:r><w:t xml:space="preserve">examining the books of Sawbridge and Company, by Charles</w:t></w:r>
</w:p>
<w:p>
<w:pPr><w:pStyle w:val="Normal"/></w:pPr>
<w:r><w:t xml:space="preserve">Snell, Writing Master and Accountant in Foster Lane, London.</w:t></w:r>
</w:p>
<w:p>
<w:pPr><w:pStyle w:val="Normal"/></w:pPr>
<w:r><w:t xml:space="preserve">In 1799, when Holden&apos;s Triennial Directory of London,</w:t></w:r>
</w:p>
<w:p>
<w:pPr><w:pStyle w:val="Normal"/></w:pPr>
<w:r><w:t xml:space="preserve">Westminster and Southwark was first published, 11</w:t></w:r>
</w:p>
<w:p>
<w:pPr><w:pStyle w:val="Normal"/></w:pPr>
<w:r><w:t xml:space="preserve">individuals and firms were therein described as accountants;</w:t></w:r>
</w:p>
<w:p>
<w:pPr><w:pStyle w:val="Normal"/></w:pPr>
<w:r><w:t xml:space="preserve">in the same directory, for the period 1809-1811, the</w:t></w:r>
</w:p>
<w:p>
<w:pPr><w:pStyle w:val="Normal"/></w:pPr>
<w:r><w:t xml:space="preserve">number had risen to 24; and in that for 1822--1824,</w:t></w:r>
</w:p>
<w:p>
<w:pPr><w:pStyle w:val="Normal"/></w:pPr>
<w:r><w:t xml:space="preserve">there were 73 firms of practising accountants recorded.</w:t></w:r>
</w:p>
<w:p>
<w:pPr><w:pStyle w:val="Normal"/></w:pPr>
<w:r><w:t xml:space="preserve">Modern development.</w:t></w:r>
</w:p>
<w:p>
<w:pPr><w:pStyle w:val="Normal"/></w:pPr>
<w:r><w:t xml:space="preserve">The earliest English books dealing with scientific book-keeping</w:t></w:r>
</w:p>
<w:p>
<w:pPr><w:pStyle w:val="Normal"/></w:pPr>
<w:r><w:t xml:space="preserve">were written at a time when the English and Dutch were very</w:t></w:r>
</w:p>
<w:p>
<w:pPr><w:pStyle w:val="Normal"/></w:pPr>
<w:r><w:t xml:space="preserve">actively engaged in foreign trade, in succession to the</w:t></w:r>
</w:p>
<w:p>
<w:pPr><w:pStyle w:val="Normal"/></w:pPr>
<w:r><w:t xml:space="preserve">Italian merchants of the 14th, 15th and 16th centuries;</w:t></w:r>
</w:p>
<w:p>
<w:pPr><w:pStyle w:val="Normal"/></w:pPr>
<w:r><w:t xml:space="preserve">but it was not until the beginning of the 19th century</w:t></w:r>
</w:p>
<w:p>
<w:pPr><w:pStyle w:val="Normal"/></w:pPr>
<w:r><w:t xml:space="preserve">that, in consequence of the adoption of improved methods</w:t></w:r>
</w:p>
<w:p>
<w:pPr><w:pStyle w:val="Normal"/></w:pPr>
<w:r><w:t xml:space="preserve">of manufacture and transit, resulting from the application</w:t></w:r>
</w:p>
<w:p>
<w:pPr><w:pStyle w:val="Normal"/></w:pPr>
<w:r><w:t xml:space="preserve">of water and steam power to manufactures and methods of</w:t></w:r>
</w:p>
<w:p>
<w:pPr><w:pStyle w:val="Normal"/></w:pPr>
<w:r><w:t xml:space="preserve">conveyance which largely increased the trade of Great Britain,</w:t></w:r>
</w:p>
<w:p>
<w:pPr><w:pStyle w:val="Normal"/></w:pPr>
<w:r><w:t xml:space="preserve">the profession of an accountant became one which men of</w:t></w:r>
</w:p>
<w:p>
<w:pPr><w:pStyle w:val="Normal"/></w:pPr>
<w:r><w:t xml:space="preserve">scientific knowledge and capacity adopted for their business</w:t></w:r>
</w:p>
<w:p>
<w:pPr><w:pStyle w:val="Normal"/></w:pPr>
<w:r><w:t xml:space="preserve">career.  Corporations and companies were formed to carry</w:t></w:r>
</w:p>
<w:p>
<w:pPr><w:pStyle w:val="Normal"/></w:pPr>
<w:r><w:t xml:space="preserve">out large operations previously either left to the state</w:t></w:r>
</w:p>
<w:p>
<w:pPr><w:pStyle w:val="Normal"/></w:pPr>
<w:r><w:t xml:space="preserve">or not undertaken, and for the development of trades and</w:t></w:r>
</w:p>
<w:p>
<w:pPr><w:pStyle w:val="Normal"/></w:pPr>
<w:r><w:t xml:space="preserve">manufactures which were becoming less profitable when carried</w:t></w:r>
</w:p>
<w:p>
<w:pPr><w:pStyle w:val="Normal"/></w:pPr>
<w:r><w:t xml:space="preserve">on by hand labour and with limited capital; and, for these,</w:t></w:r>
</w:p>
<w:p>
<w:pPr><w:pStyle w:val="Normal"/></w:pPr>
<w:r><w:t xml:space="preserve">the services of public accountants were necessarily required</w:t></w:r>
</w:p>
<w:p>
<w:pPr><w:pStyle w:val="Normal"/></w:pPr>
<w:r><w:t xml:space="preserve">to devise systems of accounts and methods of control, and</w:t></w:r>
</w:p>
<w:p>
<w:pPr><w:pStyle w:val="Normal"/></w:pPr>
<w:r><w:t xml:space="preserve">to enable the results of the various transactions carried on</w:t></w:r>
</w:p>
<w:p>
<w:pPr><w:pStyle w:val="Normal"/></w:pPr>
<w:r><w:t xml:space="preserve">to be ascertained with the least waste of power or chance of</w:t></w:r>
</w:p>
<w:p>
<w:pPr><w:pStyle w:val="Normal"/></w:pPr>
<w:r><w:t xml:space="preserve">loss by negligence or fraud. The large number of companies</w:t></w:r>
</w:p>
<w:p>
<w:pPr><w:pStyle w:val="Normal"/></w:pPr>
<w:r><w:t xml:space="preserve">formed in 1843 and 1844, when a great amount of capital was</w:t></w:r>
</w:p>
<w:p>
<w:pPr><w:pStyle w:val="Normal"/></w:pPr>
<w:r><w:t xml:space="preserve">invested in railways and extensive speculation resulted,</w:t></w:r>
</w:p>
<w:p>
<w:pPr><w:pStyle w:val="Normal"/></w:pPr>
<w:r><w:t xml:space="preserve">also added to the demand for the services of professional</w:t></w:r>
</w:p>
<w:p>
<w:pPr><w:pStyle w:val="Normal"/></w:pPr>
<w:r><w:t xml:space="preserve">accountants.  The Companies&apos; Clauses Consolidation Act 1845</w:t></w:r>
</w:p>
<w:p>
<w:pPr><w:pStyle w:val="Normal"/></w:pPr>
<w:r><w:t xml:space="preserve">made provision for the audit of the accounts of companies</w:t></w:r>
</w:p>
<w:p>
<w:pPr><w:pStyle w:val="Normal"/></w:pPr>
<w:r><w:t xml:space="preserve">regulated by act of parliament, and gave some extensive</w:t></w:r>
</w:p>
<w:p>
<w:pPr><w:pStyle w:val="Normal"/></w:pPr>
<w:r><w:t xml:space="preserve">powers to the auditors, who are now, to a very large extent,</w:t></w:r>
</w:p>
<w:p>
<w:pPr><w:pStyle w:val="Normal"/></w:pPr>
<w:r><w:t xml:space="preserve">selected from among professional accountants.  The Companies</w:t></w:r>
</w:p>
<w:p>
<w:pPr><w:pStyle w:val="Normal"/></w:pPr>
<w:r><w:t xml:space="preserve">Act of 1862 led to a large extension of the business of</w:t></w:r>
</w:p>
<w:p>
<w:pPr><w:pStyle w:val="Normal"/></w:pPr>
<w:r><w:t xml:space="preserve">accountants, both as auditors and liquidators of companies;</w:t></w:r>
</w:p>
<w:p>
<w:pPr><w:pStyle w:val="Normal"/></w:pPr>
<w:r><w:t xml:space="preserve">and the acts relating to bankruptcy passed between the years</w:t></w:r>
</w:p>
<w:p>
<w:pPr><w:pStyle w:val="Normal"/></w:pPr>
<w:r><w:t xml:space="preserve">1831 and 1883 added to the work devolving on professional</w:t></w:r>
</w:p>
<w:p>
<w:pPr><w:pStyle w:val="Normal"/></w:pPr>
<w:r><w:t xml:space="preserve">accountants.  The Companies Act 1879, which affected banking</w:t></w:r>
</w:p>
<w:p>
<w:pPr><w:pStyle w:val="Normal"/></w:pPr>
<w:r><w:t xml:space="preserve">companies, made provision for the audit of their accounts,</w:t></w:r>
</w:p>
<w:p>
<w:pPr><w:pStyle w:val="Normal"/></w:pPr>
<w:r><w:t xml:space="preserve">and it has been found desirable, in most cases, to appoint</w:t></w:r>
</w:p>
<w:p>
<w:pPr><w:pStyle w:val="Normal"/></w:pPr>
<w:r><w:t xml:space="preserve">professional accountants to this duty.  The experience</w:t></w:r>
</w:p>
<w:p>
<w:pPr><w:pStyle w:val="Normal"/></w:pPr>
<w:r><w:t xml:space="preserve">and professional knowledge of trained accountants have, in</w:t></w:r>
</w:p>
<w:p>
<w:pPr><w:pStyle w:val="Normal"/></w:pPr>
<w:r><w:t xml:space="preserve">fact, been utilized by their appointment as auditors in the</w:t></w:r>
</w:p>
<w:p>
<w:pPr><w:pStyle w:val="Normal"/></w:pPr>
<w:r><w:t xml:space="preserve">majority of joint-stock companies, whether manufacturing,</w:t></w:r>
</w:p>
<w:p>
<w:pPr><w:pStyle w:val="Normal"/></w:pPr>
<w:r><w:t xml:space="preserve">banking, trading or created for any other purpose.  Until</w:t></w:r>
</w:p>
<w:p>
<w:pPr><w:pStyle w:val="Normal"/></w:pPr>
<w:r><w:t xml:space="preserve">the Companies Act 1900 was passed there was no general</w:t></w:r>
</w:p>
<w:p>
<w:pPr><w:pStyle w:val="Normal"/></w:pPr>
<w:r><w:t xml:space="preserve">obligation upon limited companies to have auditors; this</w:t></w:r>
</w:p>
<w:p>
<w:pPr><w:pStyle w:val="Normal"/></w:pPr>
<w:r><w:t xml:space="preserve">act not only requires that auditors shall be appointed</w:t></w:r>
</w:p>
<w:p>
<w:pPr><w:pStyle w:val="Normal"/></w:pPr>
<w:r><w:t xml:space="preserve">in all cases, but provides for their remuneration, and</w:t></w:r>
</w:p>
<w:p>
<w:pPr><w:pStyle w:val="Normal"/></w:pPr>
<w:r><w:t xml:space="preserve">to a limited extent defines their rights and duties.  The</w:t></w:r>
</w:p>
<w:p>
<w:pPr><w:pStyle w:val="Normal"/></w:pPr>
<w:r><w:t xml:space="preserve">legislature evidently did not find it easy to formulate at</w:t></w:r>
</w:p>
<w:p>
<w:pPr><w:pStyle w:val="Normal"/></w:pPr>
<w:r><w:t xml:space="preserve">all clearly the duties of auditors, and it seems reasonable</w:t></w:r>
</w:p>
<w:p>
<w:pPr><w:pStyle w:val="Normal"/></w:pPr>
<w:r><w:t xml:space="preserve">to suppose that any general definition will prove an</w:t></w:r>
</w:p>
<w:p>
<w:pPr><w:pStyle w:val="Normal"/></w:pPr>
<w:r><w:t xml:space="preserve">impossibility, as the work which auditors undertake must</w:t></w:r>
</w:p>
<w:p>
<w:pPr><w:pStyle w:val="Normal"/></w:pPr>
<w:r><w:t xml:space="preserve">vary very widely, and depends largely upon the scope of</w:t></w:r>
</w:p>
<w:p>
<w:pPr><w:pStyle w:val="Normal"/></w:pPr>
<w:r><w:t xml:space="preserve">the operations the accounts of which are to be examined.</w:t></w:r>
</w:p>
<w:p>
<w:pPr><w:pStyle w:val="Normal"/></w:pPr>
<w:r><w:t xml:space="preserve">Duties.</w:t></w:r>
</w:p>
<w:p>
<w:pPr><w:pStyle w:val="Normal"/></w:pPr>
<w:r><w:t xml:space="preserve">The duties of practising accountants cover a very wide area:</w:t></w:r>
</w:p>
<w:p>
<w:pPr><w:pStyle w:val="Normal"/></w:pPr>
<w:r><w:t xml:space="preserve">they act as trustees, liquidators, receivers and managers of</w:t></w:r>
</w:p>
<w:p>
<w:pPr><w:pStyle w:val="Normal"/></w:pPr>
<w:r><w:t xml:space="preserve">businesses, the owners of which are in default or their</w:t></w:r>
</w:p>
<w:p>
<w:pPr><w:pStyle w:val="Normal"/></w:pPr>
<w:r><w:t xml:space="preserve">affairs in liquidation, both under the direction of the courts</w:t></w:r>
</w:p>
<w:p>
<w:pPr><w:pStyle w:val="Normal"/></w:pPr>
<w:r><w:t xml:space="preserve">and by appointment of creditors and others; they are largely</w:t></w:r>
</w:p>
<w:p>
<w:pPr><w:pStyle w:val="Normal"/></w:pPr>
<w:r><w:t xml:space="preserve">engaged as arbitrators, umpires and referees in differences</w:t></w:r>
</w:p>
<w:p>
<w:pPr><w:pStyle w:val="Normal"/></w:pPr>
<w:r><w:t xml:space="preserve">relating to matters of account or finance; they prepare</w:t></w:r>
</w:p>
<w:p>
<w:pPr><w:pStyle w:val="Normal"/></w:pPr>
<w:r><w:t xml:space="preserve">the accounts of executors and trustees, and the necessary</w:t></w:r>
</w:p>
<w:p>
<w:pPr><w:pStyle w:val="Normal"/></w:pPr>
<w:r><w:t xml:space="preserve">statements of affairs in cases of bankruptcy, both of firms</w:t></w:r>
</w:p>
<w:p>
<w:pPr><w:pStyle w:val="Normal"/></w:pPr>
<w:r><w:t xml:space="preserve">and companies; they prepare accounts for prosecutions in cases</w:t></w:r>
</w:p>
<w:p>
<w:pPr><w:pStyle w:val="Normal"/></w:pPr>
<w:r><w:t xml:space="preserve">of fraud and misconduct; and they are constantly called upon</w:t></w:r>
</w:p>
<w:p>
<w:pPr><w:pStyle w:val="Normal"/></w:pPr>
<w:r><w:t xml:space="preserve">to unravel and properly state the accounts of complicated</w:t></w:r>
</w:p>
<w:p>
<w:pPr><w:pStyle w:val="Normal"/></w:pPr>
<w:r><w:t xml:space="preserve">transactions.  Their services are commonly required to certify</w:t></w:r>
</w:p>
<w:p>
<w:pPr><w:pStyle w:val="Normal"/></w:pPr>
<w:r><w:t xml:space="preserve">the profits of businesses intended to be sold, either privately</w:t></w:r>
</w:p>
<w:p>
<w:pPr><w:pStyle w:val="Normal"/></w:pPr>
<w:r><w:t xml:space="preserve">or to companies by means of a published prospectus; and,</w:t></w:r>
</w:p>
<w:p>
<w:pPr><w:pStyle w:val="Normal"/></w:pPr>
<w:r><w:t xml:space="preserve">in cases of compulsory purchases of businesses by railway</w:t></w:r>
</w:p>
<w:p>
<w:pPr><w:pStyle w:val="Normal"/></w:pPr>
<w:r><w:t xml:space="preserve">companies and public bodies, the statements of the profits</w:t></w:r>
</w:p>
<w:p>
<w:pPr><w:pStyle w:val="Normal"/></w:pPr>
<w:r><w:t xml:space="preserve">of the businesses to be acquired are generally made by</w:t></w:r>
</w:p>
<w:p>
<w:pPr><w:pStyle w:val="Normal"/></w:pPr>
<w:r><w:t xml:space="preserve">them.  In a very large number of financial operations they</w:t></w:r>
</w:p>
<w:p>
<w:pPr><w:pStyle w:val="Normal"/></w:pPr>
<w:r><w:t xml:space="preserve">are called upon to give advice and prepare accounts, and</w:t></w:r>
</w:p>
<w:p>
<w:pPr><w:pStyle w:val="Normal"/></w:pPr>
<w:r><w:t xml:space="preserve">in few business matters requiring arithmetical calculations</w:t></w:r>
</w:p>
<w:p>
<w:pPr><w:pStyle w:val="Normal"/></w:pPr>
<w:r><w:t xml:space="preserve">or involving the investigation of figures, and particularly</w:t></w:r>
</w:p>
<w:p>
<w:pPr><w:pStyle w:val="Normal"/></w:pPr>
<w:r><w:t xml:space="preserve">where a considerable acquaintanceship with the principles</w:t></w:r>
</w:p>
<w:p>
<w:pPr><w:pStyle w:val="Normal"/></w:pPr>
<w:r><w:t xml:space="preserve">of law is needed, are their services not utilized.</w:t></w:r>
</w:p>
<w:p>
<w:pPr><w:pStyle w:val="Normal"/></w:pPr>
<w:r><w:t xml:space="preserve">Auditors.</w:t></w:r>
</w:p>
<w:p>
<w:pPr><w:pStyle w:val="Normal"/></w:pPr>
<w:r><w:t xml:space="preserve">One of the most important duties undertaken by accountants</w:t></w:r>
</w:p>
<w:p>
<w:pPr><w:pStyle w:val="Normal"/></w:pPr>
<w:r><w:t xml:space="preserve">is the audit of accounts, and this duty has, of late years,</w:t></w:r>
</w:p>
<w:p>
<w:pPr><w:pStyle w:val="Normal"/></w:pPr>
<w:r><w:t xml:space="preserve">been widely extended.  Originally, auditors were appointed</w:t></w:r>
</w:p>
<w:p>
<w:pPr><w:pStyle w:val="Normal"/></w:pPr>
<w:r><w:t xml:space="preserve">to examine and vouch statements of receipts and payments;</w:t></w:r>
</w:p>
<w:p>
<w:pPr><w:pStyle w:val="Normal"/></w:pPr>
<w:r><w:t xml:space="preserve">but the provisions made in acts of parliament in relation to</w:t></w:r>
</w:p>
<w:p>
<w:pPr><w:pStyle w:val="Normal"/></w:pPr>
<w:r><w:t xml:space="preserve">audit, and the requirements of most articles of association</w:t></w:r>
</w:p>
<w:p>
<w:pPr><w:pStyle w:val="Normal"/></w:pPr>
<w:r><w:t xml:space="preserve">of limited companies, put much graver responsibilities on</w:t></w:r>
</w:p>
<w:p>
<w:pPr><w:pStyle w:val="Normal"/></w:pPr>
<w:r><w:t xml:space="preserve">auditors, who are now generally required to certify to the</w:t></w:r>
</w:p>
<w:p>
<w:pPr><w:pStyle w:val="Normal"/></w:pPr>
<w:r><w:t xml:space="preserve">accuracy of balance sheets and of revenue and other accounts,</w:t></w:r>
</w:p>
<w:p>
<w:pPr><w:pStyle w:val="Normal"/></w:pPr>
<w:r><w:t xml:space="preserve">the performance of which duties involves far more knowledge</w:t></w:r>
</w:p>
<w:p>
<w:pPr><w:pStyle w:val="Normal"/></w:pPr>
<w:r><w:t xml:space="preserve">of accounts than was once required.  The efficiency, in</w:t></w:r>
</w:p>
<w:p>
<w:pPr><w:pStyle w:val="Normal"/></w:pPr>
<w:r><w:t xml:space="preserve">most cases, of audits conducted by skilled accountants has</w:t></w:r>
</w:p>
<w:p>
<w:pPr><w:pStyle w:val="Normal"/></w:pPr>
<w:r><w:t xml:space="preserve">led the public to attach exceptional value to their audit</w:t></w:r>
</w:p>
<w:p>
<w:pPr><w:pStyle w:val="Normal"/></w:pPr>
<w:r><w:t xml:space="preserve">certificates, and to demand extensive knowledge and ability</w:t></w:r>
</w:p>
<w:p>
<w:pPr><w:pStyle w:val="Normal"/></w:pPr>
<w:r><w:t xml:space="preserve">in the conduct of the audit of the accounts of public</w:t></w:r>
</w:p>
<w:p>
<w:pPr><w:pStyle w:val="Normal"/></w:pPr>
<w:r><w:t xml:space="preserve">companies.  One other requirement which is generally regarded</w:t></w:r>
</w:p>
<w:p>
<w:pPr><w:pStyle w:val="Normal"/></w:pPr>
<w:r><w:t xml:space="preserve">as indispensable, is that the work of audit should be very</w:t></w:r>
</w:p>
<w:p>
<w:pPr><w:pStyle w:val="Normal"/></w:pPr>
<w:r><w:t xml:space="preserve">expeditiously performed; for it is easy to understand that,</w:t></w:r>
</w:p>
<w:p>
<w:pPr><w:pStyle w:val="Normal"/></w:pPr>
<w:r><w:t xml:space="preserve">were the presentation of the accounts of a company and the</w:t></w:r>
</w:p>
<w:p>
<w:pPr><w:pStyle w:val="Normal"/></w:pPr>
<w:r><w:t xml:space="preserve">distribution of dividends materially delayed in consequence</w:t></w:r>
</w:p>
<w:p>
<w:pPr><w:pStyle w:val="Normal"/></w:pPr>
<w:r><w:t xml:space="preserve">of the audit, much inconvenience would result, while the value</w:t></w:r>
</w:p>
<w:p>
<w:pPr><w:pStyle w:val="Normal"/></w:pPr>
<w:r><w:t xml:space="preserve">of the criticism of the accounts of business operations would</w:t></w:r>
</w:p>
<w:p>
<w:pPr><w:pStyle w:val="Normal"/></w:pPr>
<w:r><w:t xml:space="preserve">be much deteriorated if it could not be made very shortly</w:t></w:r>
</w:p>
<w:p>
<w:pPr><w:pStyle w:val="Normal"/></w:pPr>
<w:r><w:t xml:space="preserve">after the accounts were closed.  In these circumstances,</w:t></w:r>
</w:p>
<w:p>
<w:pPr><w:pStyle w:val="Normal"/></w:pPr>
<w:r><w:t xml:space="preserve">in the cases of large concerns with wide ramifications and</w:t></w:r>
</w:p>
<w:p>
<w:pPr><w:pStyle w:val="Normal"/></w:pPr>
<w:r><w:t xml:space="preserve">numerous transactions, it is necessary that auditors should</w:t></w:r>
</w:p>
<w:p>
<w:pPr><w:pStyle w:val="Normal"/></w:pPr>
<w:r><w:t xml:space="preserve">have the help of trained assistants, and thus the personal</w:t></w:r>
</w:p>
<w:p>
<w:pPr><w:pStyle w:val="Normal"/></w:pPr>
<w:r><w:t xml:space="preserve">examination of details by the auditor himself is, to a large</w:t></w:r>
</w:p>
<w:p>
<w:pPr><w:pStyle w:val="Normal"/></w:pPr>
<w:r><w:t xml:space="preserve">extent, rendered unnecessary and the cost of audit materially</w:t></w:r>
</w:p>
<w:p>
<w:pPr><w:pStyle w:val="Normal"/></w:pPr>
<w:r><w:t xml:space="preserve">reduced.  This delegation of duty by auditors is generally</w:t></w:r>
</w:p>
<w:p>
<w:pPr><w:pStyle w:val="Normal"/></w:pPr>
<w:r><w:t xml:space="preserve">well understood, and is in accordance with the requirements</w:t></w:r>
</w:p>
<w:p>
<w:pPr><w:pStyle w:val="Normal"/></w:pPr>
<w:r><w:t xml:space="preserve">of those concerned; but there has been a tendency of late</w:t></w:r>
</w:p>
<w:p>
<w:pPr><w:pStyle w:val="Normal"/></w:pPr>
<w:r><w:t xml:space="preserve">years to enlarge the responsibilities of auditors to an</w:t></w:r>
</w:p>
<w:p>
<w:pPr><w:pStyle w:val="Normal"/></w:pPr>
<w:r><w:t xml:space="preserve">extent which, if persisted in, might render it dangerous</w:t></w:r>
</w:p>
<w:p>
<w:pPr><w:pStyle w:val="Normal"/></w:pPr>
<w:r><w:t xml:space="preserve">for men of reputation and means to accept the duties.</w:t></w:r>
</w:p>
<w:p>
<w:pPr><w:pStyle w:val="Normal"/></w:pPr>
<w:r><w:t xml:space="preserve">Organization.</w:t></w:r>
</w:p>
<w:p>
<w:pPr><w:pStyle w:val="Normal"/></w:pPr>
<w:r><w:t xml:space="preserve">While the number of practising accountants has of late years</w:t></w:r>
</w:p>
<w:p>
<w:pPr><w:pStyle w:val="Normal"/></w:pPr>
<w:r><w:t xml:space="preserve">been steadily increasing and their services are correspondingly</w:t></w:r>
</w:p>
<w:p>
<w:pPr><w:pStyle w:val="Normal"/></w:pPr>
<w:r><w:t xml:space="preserve">appreciated, the necessity for controlling those exercising</w:t></w:r>
</w:p>
<w:p>
<w:pPr><w:pStyle w:val="Normal"/></w:pPr>
<w:r><w:t xml:space="preserve">the profession and for improving its status has  naturally</w:t></w:r>
</w:p>
<w:p>
<w:pPr><w:pStyle w:val="Normal"/></w:pPr>
<w:r><w:t xml:space="preserve">become apparent.  The first important steps in this direction</w:t></w:r>
</w:p>
<w:p>
<w:pPr><w:pStyle w:val="Normal"/></w:pPr>
<w:r><w:t xml:space="preserve">were taken by the accountants in Scotland--the Society of</w:t></w:r>
</w:p>
<w:p>
<w:pPr><w:pStyle w:val="Normal"/></w:pPr>
<w:r><w:t xml:space="preserve">Accountants in Edinburgh being incorporated by royal charter</w:t></w:r>
</w:p>
<w:p>
<w:pPr><w:pStyle w:val="Normal"/></w:pPr>
<w:r><w:t xml:space="preserve">in 1854; similar societies in Glasgow and Aberdeen being also</w:t></w:r>
</w:p>
<w:p>
<w:pPr><w:pStyle w:val="Normal"/></w:pPr>
<w:r><w:t xml:space="preserve">incorporated by charter in 1855 and 1867. The Institute of</w:t></w:r>
</w:p>
<w:p>
<w:pPr><w:pStyle w:val="Normal"/></w:pPr>
<w:r><w:t xml:space="preserve">Accountants was formed in London in 1870, but did not receive</w:t></w:r>
</w:p>
<w:p>
<w:pPr><w:pStyle w:val="Normal"/></w:pPr>
<w:r><w:t xml:space="preserve">a royal charter until the 11th May 1880, when all the then</w:t></w:r>
</w:p>
<w:p>
<w:pPr><w:pStyle w:val="Normal"/></w:pPr>
<w:r><w:t xml:space="preserve">existing accountants&apos; societies and institutes in England</w:t></w:r>
</w:p>
<w:p>
<w:pPr><w:pStyle w:val="Normal"/></w:pPr>
<w:r><w:t xml:space="preserve">were incorporated as the Institute of Chartered Accountants</w:t></w:r>
</w:p>
<w:p>
<w:pPr><w:pStyle w:val="Normal"/></w:pPr>
<w:r><w:t xml:space="preserve">in England and Wales, and means were provided by which all</w:t></w:r>
</w:p>
<w:p>
<w:pPr><w:pStyle w:val="Normal"/></w:pPr>
<w:r><w:t xml:space="preserve">the then practising accountants in these countries could</w:t></w:r>
</w:p>
<w:p>
<w:pPr><w:pStyle w:val="Normal"/></w:pPr>
<w:r><w:t xml:space="preserve">claim membership thereof.  In the year 1885 the Society of</w:t></w:r>
</w:p>
<w:p>
<w:pPr><w:pStyle w:val="Normal"/></w:pPr>
<w:r><w:t xml:space="preserve">Accountants and Auditors was incorporated, but has obtained</w:t></w:r>
</w:p>
<w:p>
<w:pPr><w:pStyle w:val="Normal"/></w:pPr>
<w:r><w:t xml:space="preserve">no charter; this body, while numbering among its members a</w:t></w:r>
</w:p>
<w:p>
<w:pPr><w:pStyle w:val="Normal"/></w:pPr>
<w:r><w:t xml:space="preserve">considerable number of practising accountants in the United</w:t></w:r>
</w:p>
<w:p>
<w:pPr><w:pStyle w:val="Normal"/></w:pPr>
<w:r><w:t xml:space="preserve">Kingdom, also includes treasurers and accountants to cities and</w:t></w:r>
</w:p>
<w:p>
<w:pPr><w:pStyle w:val="Normal"/></w:pPr>
<w:r><w:t xml:space="preserve">boroughs in England, as well as clerks to chartered and other</w:t></w:r>
</w:p>
<w:p>
<w:pPr><w:pStyle w:val="Normal"/></w:pPr>
<w:r><w:t xml:space="preserve">accountants.  A large proportion of its members also consists</w:t></w:r>
</w:p>
<w:p>
<w:pPr><w:pStyle w:val="Normal"/></w:pPr>
<w:r><w:t xml:space="preserve">of accountants practising abroad.  In 1888 an Institute of</w:t></w:r>
</w:p>
<w:p>
<w:pPr><w:pStyle w:val="Normal"/></w:pPr>
<w:r><w:t xml:space="preserve">Chartered Accountants was formed in Ireland, and a great</w:t></w:r>
</w:p>
<w:p>
<w:pPr><w:pStyle w:val="Normal"/></w:pPr>
<w:r><w:t xml:space="preserve">many institutes and societies have been formed in the British</w:t></w:r>
</w:p>
<w:p>
<w:pPr><w:pStyle w:val="Normal"/></w:pPr>
<w:r><w:t xml:space="preserve">colonies and in the United States, some of which have local</w:t></w:r>
</w:p>
<w:p>
<w:pPr><w:pStyle w:val="Normal"/></w:pPr>
<w:r><w:t xml:space="preserve">charters. It is curious to note, however, that, outside the</w:t></w:r>
</w:p>
<w:p>
<w:pPr><w:pStyle w:val="Normal"/></w:pPr>
<w:r><w:t xml:space="preserve">United Kingdom, it was only in the British colonies that</w:t></w:r>
</w:p>
<w:p>
<w:pPr><w:pStyle w:val="Normal"/></w:pPr>
<w:r><w:t xml:space="preserve">associations of practising accountants existed, until, in</w:t></w:r>
</w:p>
<w:p>
<w:pPr><w:pStyle w:val="Normal"/></w:pPr>
<w:r><w:t xml:space="preserve">1895, an Institute of Accountants (Nederlands Instituut van</w:t></w:r>
</w:p>
<w:p>
<w:pPr><w:pStyle w:val="Normal"/></w:pPr>
<w:r><w:t xml:space="preserve">Accountants) was founded in Utrecht for Dutch accountants;</w:t></w:r>
</w:p>
<w:p>
<w:pPr><w:pStyle w:val="Normal"/></w:pPr>
<w:r><w:t xml:space="preserve">when, although the principles of accountancy have been well</w:t></w:r>
</w:p>
<w:p>
<w:pPr><w:pStyle w:val="Normal"/></w:pPr>
<w:r><w:t xml:space="preserve">understood and practised in Holland since the 16th century,</w:t></w:r>
</w:p>
<w:p>
<w:pPr><w:pStyle w:val="Normal"/></w:pPr>
<w:r><w:t xml:space="preserve">and probably earlier, it was found necessary to borrow the</w:t></w:r>
</w:p>
<w:p>
<w:pPr><w:pStyle w:val="Normal"/></w:pPr>
<w:r><w:t xml:space="preserve">words ``accountant&apos;&apos; and ``accountancy&apos;&apos; from the English</w:t></w:r>
</w:p>
<w:p>
<w:pPr><w:pStyle w:val="Normal"/></w:pPr>
<w:r><w:t xml:space="preserve">language to convey to the Dutch an idea of the meaning of the</w:t></w:r>
</w:p>
<w:p>
<w:pPr><w:pStyle w:val="Normal"/></w:pPr>
<w:r><w:t xml:space="preserve">terms.  Three others have since been formed, the Nederlandsche</w:t></w:r>
</w:p>
<w:p>
<w:pPr><w:pStyle w:val="Normal"/></w:pPr>
<w:r><w:t xml:space="preserve">Academie van Accountants (1902); the Nationale Organisatie van</w:t></w:r>
</w:p>
<w:p>
<w:pPr><w:pStyle w:val="Normal"/></w:pPr>
<w:r><w:t xml:space="preserve">Accountants (1903); and the Nederlandsche Bond van Accountants</w:t></w:r>
</w:p>
<w:p>
<w:pPr><w:pStyle w:val="Normal"/></w:pPr>
<w:r><w:t xml:space="preserve">(1902).  Sweden has a society, Svenska Revisorsamfundet,</w:t></w:r>
</w:p>
<w:p>
<w:pPr><w:pStyle w:val="Normal"/></w:pPr>
<w:r><w:t xml:space="preserve">formed in 1899; Belgium, the Chambre Syndicate des Experts</w:t></w:r>
</w:p>
<w:p>
<w:pPr><w:pStyle w:val="Normal"/></w:pPr>
<w:r><w:t xml:space="preserve">Comptables, founded in 1903. In South America, accountants</w:t></w:r>
</w:p>
<w:p>
<w:pPr><w:pStyle w:val="Normal"/></w:pPr>
<w:r><w:t xml:space="preserve">have acquired a certain status in Argentina, Uruguay and Peru.</w:t></w:r>
</w:p>
<w:p>
<w:pPr><w:pStyle w:val="Normal"/></w:pPr>
<w:r><w:t xml:space="preserve">In the United States the organization of professional</w:t></w:r>
</w:p>
<w:p>
<w:pPr><w:pStyle w:val="Normal"/></w:pPr>
<w:r><w:t xml:space="preserve">accountants is of quite recent growth.  The first society</w:t></w:r>
</w:p>
<w:p>
<w:pPr><w:pStyle w:val="Normal"/></w:pPr>
<w:r><w:t xml:space="preserve">formed in America was ``The New York State Society of Certified</w:t></w:r>
</w:p>
<w:p>
<w:pPr><w:pStyle w:val="Normal"/></w:pPr>
<w:r><w:t xml:space="preserve">Public Accountants,&apos;&apos; and shortly afterwards (in 1896) the</w:t></w:r>
</w:p>
<w:p>
<w:pPr><w:pStyle w:val="Normal"/></w:pPr>
<w:r><w:t xml:space="preserve">New York state legislature passed an act authorizing the</w:t></w:r>
</w:p>
<w:p>
<w:pPr><w:pStyle w:val="Normal"/></w:pPr>
<w:r><w:t xml:space="preserve">State university to confer the degree of certified public</w:t></w:r>
</w:p>
<w:p>
<w:pPr><w:pStyle w:val="Normal"/></w:pPr>
<w:r><w:t xml:space="preserve">accountant (C.P.A.) on the members of the society, while</w:t></w:r>
</w:p>
<w:p>
<w:pPr><w:pStyle w:val="Normal"/></w:pPr>
<w:r><w:t xml:space="preserve">requiring all subsequent entrants to pass an examination.</w:t></w:r>
</w:p>
<w:p>
<w:pPr><w:pStyle w:val="Normal"/></w:pPr>
<w:r><w:t xml:space="preserve">This degree, however, can be obtained, like other university</w:t></w:r>
</w:p>
<w:p>
<w:pPr><w:pStyle w:val="Normal"/></w:pPr>
<w:r><w:t xml:space="preserve">degrees, without being a member of the society.  Other</w:t></w:r>
</w:p>
<w:p>
<w:pPr><w:pStyle w:val="Normal"/></w:pPr>
<w:r><w:t xml:space="preserve">states, notably Pennsylvania, Maryland, California, Illinois,</w:t></w:r>
</w:p>
<w:p>
<w:pPr><w:pStyle w:val="Normal"/></w:pPr>
<w:r><w:t xml:space="preserve">Washington and New Jersey, have followed the example of New</w:t></w:r>
</w:p>
<w:p>
<w:pPr><w:pStyle w:val="Normal"/></w:pPr>
<w:r><w:t xml:space="preserve">York.  In 1903 the various state societies formed themselves</w:t></w:r>
</w:p>
<w:p>
<w:pPr><w:pStyle w:val="Normal"/></w:pPr>
<w:r><w:t xml:space="preserve">into a federation.  There is also an independent society of</w:t></w:r>
</w:p>
<w:p>
<w:pPr><w:pStyle w:val="Normal"/></w:pPr>
<w:r><w:t xml:space="preserve">practising accountants, the American Association of Public</w:t></w:r>
</w:p>
<w:p>
<w:pPr><w:pStyle w:val="Normal"/></w:pPr>
<w:r><w:t xml:space="preserve">Accountants, with objects similar to those of the federation,</w:t></w:r>
</w:p>
<w:p>
<w:pPr><w:pStyle w:val="Normal"/></w:pPr>
<w:r><w:t xml:space="preserve">but steps have been taken to bring about an amalgamation between</w:t></w:r>
</w:p>
<w:p>
<w:pPr><w:pStyle w:val="Normal"/></w:pPr>
<w:r><w:t xml:space="preserve">the two in order to form one central society to look after</w:t></w:r>
</w:p>
<w:p>
<w:pPr><w:pStyle w:val="Normal"/></w:pPr>
<w:r><w:t xml:space="preserve">their common interests, without, however, interfering with</w:t></w:r>
</w:p>
<w:p>
<w:pPr><w:pStyle w:val="Normal"/></w:pPr>
<w:r><w:t xml:space="preserve">the individual organization of the various state societies.</w:t></w:r>
</w:p>
<w:p>
<w:pPr><w:pStyle w:val="Normal"/></w:pPr>
<w:r><w:t xml:space="preserve">See R. Brown, History of Accounting and Accountants</w:t></w:r>
</w:p>
<w:p>
<w:pPr><w:pStyle w:val="Normal"/></w:pPr>
<w:r><w:t xml:space="preserve">(Edinburgh), 1905, the most comprehensive book upon the</w:t></w:r>
</w:p>
<w:p>
<w:pPr><w:pStyle w:val="Normal"/></w:pPr>
<w:r><w:t xml:space="preserve">subject; also G. W. Haskins, Accountancy, its Past and</w:t></w:r>
</w:p>
<w:p>
<w:pPr><w:pStyle w:val="Normal"/></w:pPr>
<w:r><w:t xml:space="preserve">Present (U.S.A., 1900); S. S. Dawson, Accountant&apos;s</w:t></w:r>
</w:p>
<w:p>
<w:pPr><w:pStyle w:val="Normal"/></w:pPr>
<w:r><w:t xml:space="preserve">Compendium; G. Lisle, Accounting in Theory and Practice</w:t></w:r>
</w:p>
<w:p>
<w:pPr><w:pStyle w:val="Normal"/></w:pPr>
<w:r><w:t xml:space="preserve">(1899); F. W. Pixley, Auditors and their Liabilities</w:t></w:r>
</w:p>
<w:p>
<w:pPr><w:pStyle w:val="Normal"/></w:pPr>
<w:r><w:t xml:space="preserve">(1901).  The professional periodicals, The Accountant (vol.</w:t></w:r>
</w:p>
<w:p>
<w:pPr><w:pStyle w:val="Normal"/></w:pPr>
<w:r><w:t xml:space="preserve">i., 1877); Accountant&apos;s Journal (vol. i., 1883-1884);</w:t></w:r>
</w:p>
<w:p>
<w:pPr><w:pStyle w:val="Normal"/></w:pPr>
<w:r><w:t xml:space="preserve">The Accountants&apos; Magazine (vol. i., 1897); Incorporated</w:t></w:r>
</w:p>
<w:p>
<w:pPr><w:pStyle w:val="Normal"/></w:pPr>
<w:r><w:t xml:space="preserve">Accountants&apos; Journal (vol. i., 1889-1890); Accountics</w:t></w:r>
</w:p>
<w:p>
<w:pPr><w:pStyle w:val="Normal"/></w:pPr>
<w:r><w:t xml:space="preserve">(U.S.A., vol. i., 1897) may also be consulted, and also the</w:t></w:r>
</w:p>
<w:p>
<w:pPr><w:pStyle w:val="Normal"/></w:pPr>
<w:r><w:t xml:space="preserve">Year-books of the Society of Accountants and Auditors, and</w:t></w:r>
</w:p>
<w:p>
<w:pPr><w:pStyle w:val="Normal"/></w:pPr>
<w:r><w:t xml:space="preserve">of the Institute of Chartered Accountants. (J. G. GR.)</w:t></w:r>
</w:p>
<w:p>
<w:pPr><w:pStyle w:val="Normal"/></w:pPr>
<w:r><w:t xml:space="preserve">ACCOUTREMENT (a French word, probably derived from a and</w:t></w:r>
</w:p>
<w:p>
<w:pPr><w:pStyle w:val="Normal"/></w:pPr>
<w:r><w:t xml:space="preserve">coustre or coutre, an old word meaning one who has</w:t></w:r>
</w:p>
<w:p>
<w:pPr><w:pStyle w:val="Normal"/></w:pPr>
<w:r><w:t xml:space="preserve">charge of the vestments in a church), clothing, apparel;</w:t></w:r>
</w:p>
<w:p>
<w:pPr><w:pStyle w:val="Normal"/></w:pPr>
<w:r><w:t xml:space="preserve">a term used especially, in the plural, of the military</w:t></w:r>
</w:p>
<w:p>
<w:pPr><w:pStyle w:val="Normal"/></w:pPr>
<w:r><w:t xml:space="preserve">equipment of a soldier other than his arms and clothing.</w:t></w:r>
</w:p>
<w:p>
<w:pPr><w:pStyle w:val="Normal"/></w:pPr>
<w:r><w:t xml:space="preserve">ACCRA, a port on the Gulf of Guinea in 5 deg.  31&apos; N., 0 deg.</w:t></w:r>
</w:p>
<w:p>
<w:pPr><w:pStyle w:val="Normal"/></w:pPr>
<w:r><w:t xml:space="preserve">12&apos; W., since 1876 capital of the British Gold Coast</w:t></w:r>
</w:p>
<w:p>
<w:pPr><w:pStyle w:val="Normal"/></w:pPr>
<w:r><w:t xml:space="preserve">colony.  Population about 20,000, including some 150</w:t></w:r>
</w:p>
<w:p>
<w:pPr><w:pStyle w:val="Normal"/></w:pPr>
<w:r><w:t xml:space="preserve">Europeans.  Accra is about 80 m.  E. of Cape Coast (q.v.),</w:t></w:r>
</w:p>
<w:p>
<w:pPr><w:pStyle w:val="Normal"/></w:pPr>
<w:r><w:t xml:space="preserve">the former capital of the colony. The name is derived from</w:t></w:r>
</w:p>
<w:p>
<w:pPr><w:pStyle w:val="Normal"/></w:pPr>
<w:r><w:t xml:space="preserve">the Fanti word Nkran (an ant), by which designation the</w:t></w:r>
</w:p>
<w:p>
<w:pPr><w:pStyle w:val="Normal"/></w:pPr>
<w:r><w:t xml:space="preserve">tribe inhabiting the surrounding district was formerly</w:t></w:r>
</w:p>
<w:p>
<w:pPr><w:pStyle w:val="Normal"/></w:pPr>
<w:r><w:t xml:space="preserve">known.  The town grew up around three forts established in</w:t></w:r>
</w:p>
<w:p>
<w:pPr><w:pStyle w:val="Normal"/></w:pPr>
<w:r><w:t xml:space="preserve">close proximity--St James (British), Crevecoeur (Dutch)</w:t></w:r>
</w:p>
<w:p>
<w:pPr><w:pStyle w:val="Normal"/></w:pPr>
<w:r><w:t xml:space="preserve">and Christiansborg (Danish).  The last named was ceded to</w:t></w:r>
</w:p>
<w:p>
<w:pPr><w:pStyle w:val="Normal"/></w:pPr>
<w:r><w:t xml:space="preserve">Britain in 1850, Crevecoeur not till 1871.  Fort St James</w:t></w:r>
</w:p>
<w:p>
<w:pPr><w:pStyle w:val="Normal"/></w:pPr>
<w:r><w:t xml:space="preserve">is now used as a signal station, lighthouse and prison.</w:t></w:r>
</w:p>
<w:p>
<w:pPr><w:pStyle w:val="Normal"/></w:pPr>
<w:r><w:t xml:space="preserve">Accra preserves the distinctions of James Town, Ussher</w:t></w:r>
</w:p>
<w:p>
<w:pPr><w:pStyle w:val="Normal"/></w:pPr>
<w:r><w:t xml:space="preserve">Town and Christiansborg, indicative of its tripartite</w:t></w:r>
</w:p>
<w:p>
<w:pPr><w:pStyle w:val="Normal"/></w:pPr>
<w:r><w:t xml:space="preserve">origin.  Ussher Town represents Crevecoeur, the fort being</w:t></w:r>
</w:p>
<w:p>
<w:pPr><w:pStyle w:val="Normal"/></w:pPr>
<w:r><w:t xml:space="preserve">renamed after H. T. Ussher, administrator of the Gold Coast</w:t></w:r>
</w:p>
<w:p>
<w:pPr><w:pStyle w:val="Normal"/></w:pPr>
<w:r><w:t xml:space="preserve">(1867-1872).  The sea frontage extends about three miles;</w:t></w:r>
</w:p>
<w:p>
<w:pPr><w:pStyle w:val="Normal"/></w:pPr>
<w:r><w:t xml:space="preserve">there is, however, no harbour, and steamers have to lie</w:t></w:r>
</w:p>
<w:p>
<w:pPr><w:pStyle w:val="Normal"/></w:pPr>
<w:r><w:t xml:space="preserve">about a mile out, goods and passengers being landed in surf</w:t></w:r>
</w:p>
<w:p>
<w:pPr><w:pStyle w:val="Normal"/></w:pPr>
<w:r><w:t xml:space="preserve">boats.  The streets formerly consisted largely of mud</w:t></w:r>
</w:p>
<w:p>
<w:pPr><w:pStyle w:val="Normal"/></w:pPr>
<w:r><w:t xml:space="preserve">hovels, but since a great fire in 1894, which destroyed</w:t></w:r>
</w:p>
<w:p>
<w:pPr><w:pStyle w:val="Normal"/></w:pPr>
<w:r><w:t xml:space="preserve">large parts of James Town and Ussher Town, more substantial</w:t></w:r>
</w:p>
<w:p>
<w:pPr><w:pStyle w:val="Normal"/></w:pPr>
<w:r><w:t xml:space="preserve">buildings have been erected.  Christiansborg, the finest of</w:t></w:r>
</w:p>
<w:p>
<w:pPr><w:pStyle w:val="Normal"/></w:pPr>
<w:r><w:t xml:space="preserve">the three forts, is the official residence of the governor</w:t></w:r>
</w:p>
<w:p>
<w:pPr><w:pStyle w:val="Normal"/></w:pPr>
<w:r><w:t xml:space="preserve">of the colony.  Westwards of the landing-place, where is</w:t></w:r>
</w:p>
<w:p>
<w:pPr><w:pStyle w:val="Normal"/></w:pPr>
<w:r><w:t xml:space="preserve">the customs house, lies James Town.  Beyond the fort are</w:t></w:r>
</w:p>
<w:p>
<w:pPr><w:pStyle w:val="Normal"/></w:pPr>
<w:r><w:t xml:space="preserve">various public buildings leading to Otoo Street, the main</w:t></w:r>
</w:p>
<w:p>
<w:pPr><w:pStyle w:val="Normal"/></w:pPr>
<w:r><w:t xml:space="preserve">thoroughfare, which runs two miles in a straight line to</w:t></w:r>
</w:p>
<w:p>
<w:pPr><w:pStyle w:val="Normal"/></w:pPr>
<w:r><w:t xml:space="preserve">Christiansborg.  This street contains a fine stone church</w:t></w:r>
</w:p>
<w:p>
<w:pPr><w:pStyle w:val="Normal"/></w:pPr>
<w:r><w:t xml:space="preserve">built in 1895 for the use of the Anglican community, a</w:t></w:r>
</w:p>
<w:p>
<w:pPr><w:pStyle w:val="Normal"/></w:pPr>
<w:r><w:t xml:space="preserve">branch of the Bank of British West Africa, telegraph offices</w:t></w:r>
</w:p>
<w:p>
<w:pPr><w:pStyle w:val="Normal"/></w:pPr>
<w:r><w:t xml:space="preserve">and the establishments of the principal trading firms.  In</w:t></w:r>
</w:p>
<w:p>
<w:pPr><w:pStyle w:val="Normal"/></w:pPr>
<w:r><w:t xml:space="preserve">Victoriaborg, a suburb of Ussher Town, are the residences</w:t></w:r>
</w:p>
<w:p>
<w:pPr><w:pStyle w:val="Normal"/></w:pPr>
<w:r><w:t xml:space="preserve">of the principal officials, and here a racecourse has been</w:t></w:r>
</w:p>
<w:p>
<w:pPr><w:pStyle w:val="Normal"/></w:pPr>
<w:r><w:t xml:space="preserve">laid out. (Accra is almost the only point along the Gold</w:t></w:r>
</w:p>
<w:p>
<w:pPr><w:pStyle w:val="Normal"/></w:pPr>
<w:r><w:t xml:space="preserve">Coast where horses thrive.) Behind the town is rolling grass</w:t></w:r>
</w:p>
<w:p>
<w:pPr><w:pStyle w:val="Normal"/></w:pPr>
<w:r><w:t xml:space="preserve">land, which gives place to the highlands of Aquapim and</w:t></w:r>
</w:p>
<w:p>
<w:pPr><w:pStyle w:val="Normal"/></w:pPr>
<w:r><w:t xml:space="preserve">Akim.  At Aburi in the Aquapim hills, 26 m.  N. by E. of</w:t></w:r>
</w:p>
<w:p>
<w:pPr><w:pStyle w:val="Normal"/></w:pPr>
<w:r><w:t xml:space="preserve">Accra, are the government sanatorium and botanical gardens.</w:t></w:r>
</w:p>
<w:p>
<w:pPr><w:pStyle w:val="Normal"/></w:pPr>
<w:r><w:t xml:space="preserve">Accra, the first town in the Gold Coast colony to be</w:t></w:r>
</w:p>
<w:p>
<w:pPr><w:pStyle w:val="Normal"/></w:pPr>
<w:r><w:t xml:space="preserve">raised (July 1, 1896) to the rank of a municipality, is</w:t></w:r>
</w:p>
<w:p>
<w:pPr><w:pStyle w:val="Normal"/></w:pPr>
<w:r><w:t xml:space="preserve">governed by a town council with power to raise and spend</w:t></w:r>
</w:p>
<w:p>
<w:pPr><w:pStyle w:val="Normal"/></w:pPr>
<w:r><w:t xml:space="preserve">money.  The council consists in equal proportions of</w:t></w:r>
</w:p>
<w:p>
<w:pPr><w:pStyle w:val="Normal"/></w:pPr>
<w:r><w:t xml:space="preserve">nominated and elected members, no racial distinctions being</w:t></w:r>
</w:p>
<w:p>
<w:pPr><w:pStyle w:val="Normal"/></w:pPr>
<w:r><w:t xml:space="preserve">made.  Accra is connected by cable with Europe and South</w:t></w:r>
</w:p>
<w:p>
<w:pPr><w:pStyle w:val="Normal"/></w:pPr>
<w:r><w:t xml:space="preserve">Africa, and is the sea terminus of a railway serving the</w:t></w:r>
</w:p>
<w:p>
<w:pPr><w:pStyle w:val="Normal"/></w:pPr>
<w:r><w:t xml:space="preserve">districts N.E., where are flourishing cocoa plantations.</w:t></w:r>
</w:p>
<w:p>
<w:pPr><w:pStyle w:val="Normal"/></w:pPr>
<w:r><w:t xml:space="preserve">ACCRETION (from Lat. ad, to, and crescere, to grow),</w:t></w:r>
</w:p>
<w:p>
<w:pPr><w:pStyle w:val="Normal"/></w:pPr>
<w:r><w:t xml:space="preserve">an addition to that which already exists; increase in any</w:t></w:r>
</w:p>
<w:p>
<w:pPr><w:pStyle w:val="Normal"/></w:pPr>
<w:r><w:t xml:space="preserve">substance by the addition of particles from the outside.  In</w:t></w:r>
</w:p>
<w:p>
<w:pPr><w:pStyle w:val="Normal"/></w:pPr>
<w:r><w:t xml:space="preserve">law, the term is used for the increase of property caused by</w:t></w:r>
</w:p>
<w:p>
<w:pPr><w:pStyle w:val="Normal"/></w:pPr>
<w:r><w:t xml:space="preserve">gradual natural additions, as on a river bank or seashore.</w:t></w:r>
</w:p>
<w:p>
<w:pPr><w:pStyle w:val="Normal"/></w:pPr>
<w:r><w:t xml:space="preserve">ACCRINGTON, a market town and municipal borough in the</w:t></w:r>
</w:p>
<w:p>
<w:pPr><w:pStyle w:val="Normal"/></w:pPr>
<w:r><w:t xml:space="preserve">Accrington parliamentary division of Lancashire, England,</w:t></w:r>
</w:p>
<w:p>
<w:pPr><w:pStyle w:val="Normal"/></w:pPr>
<w:r><w:t xml:space="preserve">208 m.  N.W. by N. from London, and 23 m.  N. by W. from</w:t></w:r>
</w:p>
<w:p>
<w:pPr><w:pStyle w:val="Normal"/></w:pPr>
<w:r><w:t xml:space="preserve">Manchester, on the Lancashire and Yorkshire railway.  Pop.</w:t></w:r>
</w:p>
<w:p>
<w:pPr><w:pStyle w:val="Normal"/></w:pPr>
<w:r><w:t xml:space="preserve">(1891) 38,603; (1901) 43,122.  It lies in a deep valley on</w:t></w:r>
</w:p>
<w:p>
<w:pPr><w:pStyle w:val="Normal"/></w:pPr>
<w:r><w:t xml:space="preserve">the Hindburn, a feeder of the Calder.  Cotton spinning and</w:t></w:r>
</w:p>
<w:p>
<w:pPr><w:pStyle w:val="Normal"/></w:pPr>
<w:r><w:t xml:space="preserve">printing works, cotton-mill machinery works, dye-works and</w:t></w:r>
</w:p>
<w:p>
<w:pPr><w:pStyle w:val="Normal"/></w:pPr>
<w:r><w:t xml:space="preserve">chemical manufactures, and neighbouring collieries maintain</w:t></w:r>
</w:p>
<w:p>
<w:pPr><w:pStyle w:val="Normal"/></w:pPr>
<w:r><w:t xml:space="preserve">the industrial population.  The church of St James dates</w:t></w:r>
</w:p>
<w:p>
<w:pPr><w:pStyle w:val="Normal"/></w:pPr>
<w:r><w:t xml:space="preserve">from 1763, and the other numerous places of worship and</w:t></w:r>
</w:p>
<w:p>
<w:pPr><w:pStyle w:val="Normal"/></w:pPr>
<w:r><w:t xml:space="preserve">public buildings are all modern.  The borough is under a</w:t></w:r>
</w:p>
<w:p>
<w:pPr><w:pStyle w:val="Normal"/></w:pPr>
<w:r><w:t xml:space="preserve">mayor, 8 aldermen and 24 councillors.  Area 3427 acres.</w:t></w:r>
</w:p>
<w:p>
<w:pPr><w:pStyle w:val="Normal"/></w:pPr>
<w:r><w:t xml:space="preserve">Accrington (Akerenton, Alkerington, Akerington) was granted by</w:t></w:r>
</w:p>
<w:p>
<w:pPr><w:pStyle w:val="Normal"/></w:pPr>
<w:r><w:t xml:space="preserve">Henry de Lacy to Hugh son of Leofwine in Henry II.&apos;s reign, but</w:t></w:r>
</w:p>
<w:p>
<w:pPr><w:pStyle w:val="Normal"/></w:pPr>
<w:r><w:t xml:space="preserve">came again into the hands of the Lacys, and was given by them</w:t></w:r>
</w:p>
<w:p>
<w:pPr><w:pStyle w:val="Normal"/></w:pPr>
<w:r><w:t xml:space="preserve">about 1200 to the monks of Kirkstall, who converted it into a</w:t></w:r>
</w:p>
<w:p>
<w:pPr><w:pStyle w:val="Normal"/></w:pPr>
<w:r><w:t xml:space="preserve">grange.  It again returned, however, to the Lacys in 1287,</w:t></w:r>
</w:p>
<w:p>
<w:pPr><w:pStyle w:val="Normal"/></w:pPr>
<w:r><w:t xml:space="preserve">was granted in parcels, and like their other lands became</w:t></w:r>
</w:p>
<w:p>
<w:pPr><w:pStyle w:val="Normal"/></w:pPr>
<w:r><w:t xml:space="preserve">merged in the duchy of Lancaster.  In 1553 the commissioners</w:t></w:r>
</w:p>
<w:p>
<w:pPr><w:pStyle w:val="Normal"/></w:pPr>
<w:r><w:t xml:space="preserve">of chantries sold the chapel to the inhabitants to be</w:t></w:r>
</w:p>
<w:p>
<w:pPr><w:pStyle w:val="Normal"/></w:pPr>
<w:r><w:t xml:space="preserve">continued as a place of divine service.  In 1836 Old and New</w:t></w:r>
</w:p>
<w:p>
<w:pPr><w:pStyle w:val="Normal"/></w:pPr>
<w:r><w:t xml:space="preserve">Accrington were merely straggling villages with about 5000</w:t></w:r>
</w:p>
<w:p>
<w:pPr><w:pStyle w:val="Normal"/></w:pPr>
<w:r><w:t xml:space="preserve">inhabitants.  By 1861 the population had grown to 17,688,</w:t></w:r>
</w:p>
<w:p>
<w:pPr><w:pStyle w:val="Normal"/></w:pPr>
<w:r><w:t xml:space="preserve">chiefly owing to its position as an important railway</w:t></w:r>
</w:p>
<w:p>
<w:pPr><w:pStyle w:val="Normal"/></w:pPr>
<w:r><w:t xml:space="preserve">junction.  A charter of incorporation was granted in</w:t></w:r>
</w:p>
<w:p>
<w:pPr><w:pStyle w:val="Normal"/></w:pPr>
<w:r><w:t xml:space="preserve">1878.  The date of the original chapel is unknown, but it</w:t></w:r>
</w:p>
<w:p>
<w:pPr><w:pStyle w:val="Normal"/></w:pPr>
<w:r><w:t xml:space="preserve">was probably an oratory which was an offshoot of Kirkstall</w:t></w:r>
</w:p>
<w:p>
<w:pPr><w:pStyle w:val="Normal"/></w:pPr>
<w:r><w:t xml:space="preserve">Abbey.  Ecclesiastically the place was dependent on</w:t></w:r>
</w:p>
<w:p>
<w:pPr><w:pStyle w:val="Normal"/></w:pPr>
<w:r><w:t xml:space="preserve">Altham till after the middle of the 19th century.</w:t></w:r>
</w:p>
<w:p>
<w:pPr><w:pStyle w:val="Normal"/></w:pPr>
<w:r><w:t xml:space="preserve">ACCUMULATION (from Lat. accumulare, to heap up), strictly</w:t></w:r>
</w:p>
<w:p>
<w:pPr><w:pStyle w:val="Normal"/></w:pPr>
<w:r><w:t xml:space="preserve">a piling-up of anything; technically, in law, the continuous</w:t></w:r>
</w:p>
<w:p>
<w:pPr><w:pStyle w:val="Normal"/></w:pPr>
<w:r><w:t xml:space="preserve">adding of the interest of a fund to the principal, for the</w:t></w:r>
</w:p>
<w:p>
<w:pPr><w:pStyle w:val="Normal"/></w:pPr>
<w:r><w:t xml:space="preserve">benefit of some person or persons in the future.  Previous</w:t></w:r>
</w:p>
<w:p>
<w:pPr><w:pStyle w:val="Normal"/></w:pPr>
<w:r><w:t xml:space="preserve">to 1800, this accumulation of property was not forbidden</w:t></w:r>
</w:p>
<w:p>
<w:pPr><w:pStyle w:val="Normal"/></w:pPr>
<w:r><w:t xml:space="preserve">by English law, provided the period during which it was to</w:t></w:r>
</w:p>
<w:p>
<w:pPr><w:pStyle w:val="Normal"/></w:pPr>
<w:r><w:t xml:space="preserve">accumulate did not exceed that forbidden by the law against</w:t></w:r>
</w:p>
<w:p>
<w:pPr><w:pStyle w:val="Normal"/></w:pPr>
<w:r><w:t xml:space="preserve">perpetuities, viz. the period of a life or lives in being,</w:t></w:r>
</w:p>
<w:p>
<w:pPr><w:pStyle w:val="Normal"/></w:pPr>
<w:r><w:t xml:space="preserve">and twenty-one years afterwards.  In 1800, however, the law</w:t></w:r>
</w:p>
<w:p>
<w:pPr><w:pStyle w:val="Normal"/></w:pPr>
<w:r><w:t xml:space="preserve">was amended in consequence of the eccentric will of Peter</w:t></w:r>
</w:p>
<w:p>
<w:pPr><w:pStyle w:val="Normal"/></w:pPr>
<w:r><w:t xml:space="preserve">Thellusson (1737--1797), an English merchant, who directed</w:t></w:r>
</w:p>
<w:p>
<w:pPr><w:pStyle w:val="Normal"/></w:pPr>
<w:r><w:t xml:space="preserve">the income of his property, consisting of real estate of the</w:t></w:r>
</w:p>
<w:p>
<w:pPr><w:pStyle w:val="Normal"/></w:pPr>
<w:r><w:t xml:space="preserve">annual value of about L. 5000 and personal estate amounting</w:t></w:r>
</w:p>
<w:p>
<w:pPr><w:pStyle w:val="Normal"/></w:pPr>
<w:r><w:t xml:space="preserve">to over L. 600,000, to be accumulated during the lives of his</w:t></w:r>
</w:p>
<w:p>
<w:pPr><w:pStyle w:val="Normal"/></w:pPr>
<w:r><w:t xml:space="preserve">children, grandchildren and great-grandchildren, living at the</w:t></w:r>
</w:p>
<w:p>
<w:pPr><w:pStyle w:val="Normal"/></w:pPr>
<w:r><w:t xml:space="preserve">time of his death, and the survivor of them. The property so</w:t></w:r>
</w:p>
<w:p>
<w:pPr><w:pStyle w:val="Normal"/></w:pPr>
<w:r><w:t xml:space="preserve">accumulated, which, it is estimated, would have amounted to</w:t></w:r>
</w:p>
<w:p>
<w:pPr><w:pStyle w:val="Normal"/></w:pPr>
<w:r><w:t xml:space="preserve">over L. 14,000,000, was to be divided among such descendants</w:t></w:r>
</w:p>
<w:p>
<w:pPr><w:pStyle w:val="Normal"/></w:pPr>
<w:r><w:t xml:space="preserve">as might be alive on the death of the survivor of those lives</w:t></w:r>
</w:p>
<w:p>
<w:pPr><w:pStyle w:val="Normal"/></w:pPr>
<w:r><w:t xml:space="preserve">during which the accumulation was to continue. The bequest</w:t></w:r>
</w:p>
<w:p>
<w:pPr><w:pStyle w:val="Normal"/></w:pPr>
<w:r><w:t xml:space="preserve">was held valid (Thellusson v.  Woodford, 1798, 4 Vesey,</w:t></w:r>
</w:p>
<w:p>
<w:pPr><w:pStyle w:val="Normal"/></w:pPr>
<w:r><w:t xml:space="preserve">237).  In 1856 there was a protracted lawsuit as to who were</w:t></w:r>
</w:p>
<w:p>
<w:pPr><w:pStyle w:val="Normal"/></w:pPr>
<w:r><w:t xml:space="preserve">the actual heirs.  It was decided by the House of Lords (June</w:t></w:r>
</w:p>
<w:p>
<w:pPr><w:pStyle w:val="Normal"/></w:pPr>
<w:r><w:t xml:space="preserve">9, 1859) in favour of Lord Rendlesham and Charles Sabine Augustus</w:t></w:r>
</w:p>
<w:p>
<w:pPr><w:pStyle w:val="Normal"/></w:pPr>
<w:r><w:t xml:space="preserve">Thellusson.  Owing, however, to the heavy expenses, the amount</w:t></w:r>
</w:p>
<w:p>
<w:pPr><w:pStyle w:val="Normal"/></w:pPr>
<w:r><w:t xml:space="preserve">inherited was not much larger than that originally bequeathed.</w:t></w:r>
</w:p>
<w:p>
<w:pPr><w:pStyle w:val="Normal"/></w:pPr>
<w:r><w:t xml:space="preserve">To prevent such a disposition of property in the future, the</w:t></w:r>
</w:p>
<w:p>
<w:pPr><w:pStyle w:val="Normal"/></w:pPr>
<w:r><w:t xml:space="preserve">Accumulations Act 1800 (known also as the ``Thellusson Act&apos;&apos;)</w:t></w:r>
</w:p>
<w:p>
<w:pPr><w:pStyle w:val="Normal"/></w:pPr>
<w:r><w:t xml:space="preserve">was passed, by which it was enacted that no property should</w:t></w:r>
</w:p>
<w:p>
<w:pPr><w:pStyle w:val="Normal"/></w:pPr>
<w:r><w:t xml:space="preserve">be accumulated for any longer term than either (1) the life</w:t></w:r>
</w:p>
<w:p>
<w:pPr><w:pStyle w:val="Normal"/></w:pPr>
<w:r><w:t xml:space="preserve">of the settlor; or (2) the term of twenty-one years from</w:t></w:r>
</w:p>
<w:p>
<w:pPr><w:pStyle w:val="Normal"/></w:pPr>
<w:r><w:t xml:space="preserve">his death; or (3) during the minority of any person living</w:t></w:r>
</w:p>
<w:p>
<w:pPr><w:pStyle w:val="Normal"/></w:pPr>
<w:r><w:t xml:space="preserve">or en ventre sa mere at the time of the death of the</w:t></w:r>
</w:p>
<w:p>
<w:pPr><w:pStyle w:val="Normal"/></w:pPr>
<w:r><w:t xml:space="preserve">grantor; or (4) during the minority of any person who, if</w:t></w:r>
</w:p>
<w:p>
<w:pPr><w:pStyle w:val="Normal"/></w:pPr>
<w:r><w:t xml:space="preserve">of full age, would be entitled to the income directed to be</w:t></w:r>
</w:p>
<w:p>
<w:pPr><w:pStyle w:val="Normal"/></w:pPr>
<w:r><w:t xml:space="preserve">accumulated.  The act, however, did not extend to any provision</w:t></w:r>
</w:p>
<w:p>
<w:pPr><w:pStyle w:val="Normal"/></w:pPr>
<w:r><w:t xml:space="preserve">for payment of the debts of the grantor or of any other</w:t></w:r>
</w:p>
<w:p>
<w:pPr><w:pStyle w:val="Normal"/></w:pPr>
<w:r><w:t xml:space="preserve">person, nor to any provision for raising portions for the</w:t></w:r>
</w:p>
<w:p>
<w:pPr><w:pStyle w:val="Normal"/></w:pPr>
<w:r><w:t xml:space="preserve">children of the settlor, or any person interested under the</w:t></w:r>
</w:p>
<w:p>
<w:pPr><w:pStyle w:val="Normal"/></w:pPr>
<w:r><w:t xml:space="preserve">settlement, nor to any direction touching the produce of timber</w:t></w:r>
</w:p>
<w:p>
<w:pPr><w:pStyle w:val="Normal"/></w:pPr>
<w:r><w:t xml:space="preserve">or wood upon any lands or tenements.  The act was extended</w:t></w:r>
</w:p>
<w:p>
<w:pPr><w:pStyle w:val="Normal"/></w:pPr>
<w:r><w:t xml:space="preserve">to heritable property in Scotland by the Entail Amendment Act</w:t></w:r>
</w:p>
<w:p>
<w:pPr><w:pStyle w:val="Normal"/></w:pPr>
<w:r><w:t xml:space="preserve">1848, but does not apply to property in Ireland. The act</w:t></w:r>
</w:p>
<w:p>
<w:pPr><w:pStyle w:val="Normal"/></w:pPr>
<w:r><w:t xml:space="preserve">was further amended by the Accumulations Act 1892, which</w:t></w:r>
</w:p>
<w:p>
<w:pPr><w:pStyle w:val="Normal"/></w:pPr>
<w:r><w:t xml:space="preserve">forbids accumulations for the purpose of the purchase of</w:t></w:r>
</w:p>
<w:p>
<w:pPr><w:pStyle w:val="Normal"/></w:pPr>
<w:r><w:t xml:space="preserve">land for any longer period than during the minority of any</w:t></w:r>
</w:p>
<w:p>
<w:pPr><w:pStyle w:val="Normal"/></w:pPr>
<w:r><w:t xml:space="preserve">person or persons who, if of full age, would be entitled to</w:t></w:r>
</w:p>
<w:p>
<w:pPr><w:pStyle w:val="Normal"/></w:pPr>
<w:r><w:t xml:space="preserve">receive the income. (See also TRUST and PERPETUITY.)</w:t></w:r>
</w:p>
<w:p>
<w:pPr><w:pStyle w:val="Normal"/></w:pPr>
<w:r><w:t xml:space="preserve">ACCUMULATOR, the term applied to a number of devices whose</w:t></w:r>
</w:p>
<w:p>
<w:pPr><w:pStyle w:val="Normal"/></w:pPr>
<w:r><w:t xml:space="preserve">function is to store energy in one form or another, as, for</w:t></w:r>
</w:p>
<w:p>
<w:pPr><w:pStyle w:val="Normal"/></w:pPr>
<w:r><w:t xml:space="preserve">example, the hydraulic accumulator of Lord Armstrong (see</w:t></w:r>
</w:p>
<w:p>
<w:pPr><w:pStyle w:val="Normal"/></w:pPr>
<w:r><w:t xml:space="preserve">HYDRAULICS, sec.  179).  In the present article the term is</w:t></w:r>
</w:p>
<w:p>
<w:pPr><w:pStyle w:val="Normal"/></w:pPr>
<w:r><w:t xml:space="preserve">restricted to its use in electro-technology, in which it</w:t></w:r>
</w:p>
<w:p>
<w:pPr><w:pStyle w:val="Normal"/></w:pPr>
<w:r><w:t xml:space="preserve">describes a special type of battery.  The ordinary voltaic</w:t></w:r>
</w:p>
<w:p>
<w:pPr><w:pStyle w:val="Normal"/></w:pPr>
<w:r><w:t xml:space="preserve">cell is made by bringing together certain chemicals, whose</w:t></w:r>
</w:p>
<w:p>
<w:pPr><w:pStyle w:val="Normal"/></w:pPr>
<w:r><w:t xml:space="preserve">reaction maintains the electric currents taken from the</w:t></w:r>
</w:p>
<w:p>
<w:pPr><w:pStyle w:val="Normal"/></w:pPr>
<w:r><w:t xml:space="preserve">cell.  When exhausted, such cells can be restored by replacing</w:t></w:r>
</w:p>
<w:p>
<w:pPr><w:pStyle w:val="Normal"/></w:pPr>
<w:r><w:t xml:space="preserve">the spent materials, by a fresh ``charge&apos;&apos; of the original</w:t></w:r>
</w:p>
<w:p>
<w:pPr><w:pStyle w:val="Normal"/></w:pPr>
<w:r><w:t xml:space="preserve">substances.  But in some cases it is not necessary to get rid</w:t></w:r>
</w:p>
<w:p>
<w:pPr><w:pStyle w:val="Normal"/></w:pPr>
<w:r><w:t xml:space="preserve">of the spent materials, because they can be brought back to</w:t></w:r>
</w:p>
<w:p>
<w:pPr><w:pStyle w:val="Normal"/></w:pPr>
<w:r><w:t xml:space="preserve">their original state by forcing a reverse current through the</w:t></w:r>
</w:p>
<w:p>
<w:pPr><w:pStyle w:val="Normal"/></w:pPr>
<w:r><w:t xml:space="preserve">cell.  The reverse current reverses the chemical action and</w:t></w:r>
</w:p>
<w:p>
<w:pPr><w:pStyle w:val="Normal"/></w:pPr>
<w:r><w:t xml:space="preserve">re-establishes the original conditions, thus enabling the</w:t></w:r>
</w:p>
<w:p>
<w:pPr><w:pStyle w:val="Normal"/></w:pPr>
<w:r><w:t xml:space="preserve">cell to repeat its electrical work.  Cells which can thus be</w:t></w:r>
</w:p>
<w:p>
<w:pPr><w:pStyle w:val="Normal"/></w:pPr>
<w:r><w:t xml:space="preserve">``re-charged&apos;&apos; by the action of a reverse current are called</w:t></w:r>
</w:p>
<w:p>
<w:pPr><w:pStyle w:val="Normal"/></w:pPr>
<w:r><w:t xml:space="preserve">accumulators because they ``accumulate&apos;&apos; the chemical work</w:t></w:r>
</w:p>
<w:p>
<w:pPr><w:pStyle w:val="Normal"/></w:pPr>
<w:r><w:t xml:space="preserve">of an electric current.  An accumulator is also known as a</w:t></w:r>
</w:p>
<w:p>
<w:pPr><w:pStyle w:val="Normal"/></w:pPr>
<w:r><w:t xml:space="preserve">``reversible battery,&apos;&apos; ``storage battery&apos;&apos; or ``secondary</w:t></w:r>
</w:p>
<w:p>
<w:pPr><w:pStyle w:val="Normal"/></w:pPr>
<w:r><w:t xml:space="preserve">battery.&apos;&apos; The last name dates from the early days of</w:t></w:r>
</w:p>
<w:p>
<w:pPr><w:pStyle w:val="Normal"/></w:pPr>
<w:r><w:t xml:space="preserve">electrolysis.  When a liquid like sulphuric acid was electrolysed</w:t></w:r>
</w:p>
<w:p>
<w:pPr><w:pStyle w:val="Normal"/></w:pPr>
<w:r><w:t xml:space="preserve">for a moment with the aid of platinum electrodes, it was</w:t></w:r>
</w:p>
<w:p>
<w:pPr><w:pStyle w:val="Normal"/></w:pPr>
<w:r><w:t xml:space="preserve">found that the electrodes could themselves produce a current</w:t></w:r>
</w:p>
<w:p>
<w:pPr><w:pStyle w:val="Normal"/></w:pPr>
<w:r><w:t xml:space="preserve">when detached from the primary battery.  Such a current was</w:t></w:r>
</w:p>
<w:p>
<w:pPr><w:pStyle w:val="Normal"/></w:pPr>
<w:r><w:t xml:space="preserve">attributed to an ``electric polarization&apos;&apos; of the electrodes,</w:t></w:r>
</w:p>
<w:p>
<w:pPr><w:pStyle w:val="Normal"/></w:pPr>
<w:r><w:t xml:space="preserve">and was regarded as having a secondary nature, the implication</w:t></w:r>
</w:p>
<w:p>
<w:pPr><w:pStyle w:val="Normal"/></w:pPr>
<w:r><w:t xml:space="preserve">being that the phenomenon was almost equivalent to a storage</w:t></w:r>
</w:p>
<w:p>
<w:pPr><w:pStyle w:val="Normal"/></w:pPr>
<w:r><w:t xml:space="preserve">of electricity. It is now known that the platinum electrodes</w:t></w:r>
</w:p>
<w:p>
<w:pPr><w:pStyle w:val="Normal"/></w:pPr>
<w:r><w:t xml:space="preserve">stored, not electricity, but the products of electro-chemical</w:t></w:r>
</w:p>
<w:p>
<w:pPr><w:pStyle w:val="Normal"/></w:pPr>
<w:r><w:t xml:space="preserve">decomposition.  Hence if the two names, secondary and storage</w:t></w:r>
</w:p>
<w:p>
<w:pPr><w:pStyle w:val="Normal"/></w:pPr>
<w:r><w:t xml:space="preserve">cells, are used, they are liable to be misunderstood</w:t></w:r>
</w:p>
<w:p>
<w:pPr><w:pStyle w:val="Normal"/></w:pPr>
<w:r><w:t xml:space="preserve">unless the interpretation now put on them be kept in mind.</w:t></w:r>
</w:p>
<w:p>
<w:pPr><w:pStyle w:val="Normal"/></w:pPr>
<w:r><w:t xml:space="preserve">``Reversible battery&apos;&apos; is an excellent name for accumulators.</w:t></w:r>
</w:p>
<w:p>
<w:pPr><w:pStyle w:val="Normal"/></w:pPr>
<w:r><w:t xml:space="preserve">Sir W. R. Grove first used ``polarization&apos;&apos; effects in his gas</w:t></w:r>
</w:p>
<w:p>
<w:pPr><w:pStyle w:val="Normal"/></w:pPr>
<w:r><w:t xml:space="preserve">battery, but R. L. G. Plante (1834-1889) laid the foundation</w:t></w:r>
</w:p>
<w:p>
<w:pPr><w:pStyle w:val="Normal"/></w:pPr>
<w:r><w:t xml:space="preserve">of modern methods.  That he was clear as to the function</w:t></w:r>
</w:p>
<w:p>
<w:pPr><w:pStyle w:val="Normal"/></w:pPr>
<w:r><w:t xml:space="preserve">of an accumulator is obvious from his declaration that the</w:t></w:r>
</w:p>
<w:p>
<w:pPr><w:pStyle w:val="Normal"/></w:pPr>
<w:r><w:t xml:space="preserve">lead-sulphuric acid cell could retain its charge for a long</w:t></w:r>
</w:p>
<w:p>
<w:pPr><w:pStyle w:val="Normal"/></w:pPr>
<w:r><w:t xml:space="preserve">time, and had the power d&apos;emmagasiner ainsi le travail chimique</w:t></w:r>
</w:p>
<w:p>
<w:pPr><w:pStyle w:val="Normal"/></w:pPr>
<w:r><w:t xml:space="preserve">de la pile voltaique: a phrase whose accuracy could not be</w:t></w:r>
</w:p>
<w:p>
<w:pPr><w:pStyle w:val="Normal"/></w:pPr>
<w:r><w:t xml:space="preserve">excelled. Plante began his work on electrolytic polarization</w:t></w:r>
</w:p>
<w:p>
<w:pPr><w:pStyle w:val="Normal"/></w:pPr>
<w:r><w:t xml:space="preserve">in 1859, his object being to investigate the conditions under</w:t></w:r>
</w:p>
<w:p>
<w:pPr><w:pStyle w:val="Normal"/></w:pPr>
<w:r><w:t xml:space="preserve">which its maximum effects can be produced.  He found that the</w:t></w:r>
</w:p>
<w:p>
<w:pPr><w:pStyle w:val="Normal"/></w:pPr>
<w:r><w:t xml:space="preserve">greatest storage and the most useful electric effects were</w:t></w:r>
</w:p>
<w:p>
<w:pPr><w:pStyle w:val="Normal"/></w:pPr>
<w:r><w:t xml:space="preserve">obtained by using lead plates in dilute sulphuric acid.  After</w:t></w:r>
</w:p>
<w:p>
<w:pPr><w:pStyle w:val="Normal"/></w:pPr>
<w:r><w:t xml:space="preserve">some ``forming&apos;&apos; operations described below, he obtained a</w:t></w:r>
</w:p>
<w:p>
<w:pPr><w:pStyle w:val="Normal"/></w:pPr>
<w:r><w:t xml:space="preserve">cell having a high electromotive force, a low resistance, a</w:t></w:r>
</w:p>
<w:p>
<w:pPr><w:pStyle w:val="Normal"/></w:pPr>
<w:r><w:t xml:space="preserve">large capacity and almost perfect freedom from polarization.</w:t></w:r>
</w:p>
<w:p>
<w:pPr><w:pStyle w:val="Normal"/></w:pPr>
<w:r><w:t xml:space="preserve">The practical value of the lead-peroxide-sulphuric-acid</w:t></w:r>
</w:p>
<w:p>
<w:pPr><w:pStyle w:val="Normal"/></w:pPr>
<w:r><w:t xml:space="preserve">cell arises largely from the fact that not only are the</w:t></w:r>
</w:p>
<w:p>
<w:pPr><w:pStyle w:val="Normal"/></w:pPr>
<w:r><w:t xml:space="preserve">active materials (lead and lead peroxide, PbO2) insoluble</w:t></w:r>
</w:p>
<w:p>
<w:pPr><w:pStyle w:val="Normal"/></w:pPr>
<w:r><w:t xml:space="preserve">in the dilute acid, but that the sulphate of lead formed</w:t></w:r>
</w:p>
<w:p>
<w:pPr><w:pStyle w:val="Normal"/></w:pPr>
<w:r><w:t xml:space="preserve">from them in the course of discharge is also insoluble.</w:t></w:r>
</w:p>
<w:p>
<w:pPr><w:pStyle w:val="Normal"/></w:pPr>
<w:r><w:t xml:space="preserve">Consequently, it remains fixed in the place where it is</w:t></w:r>
</w:p>
<w:p>
<w:pPr><w:pStyle w:val="Normal"/></w:pPr>
<w:r><w:t xml:space="preserve">formed; and on the passage of the charging current, the</w:t></w:r>
</w:p>
<w:p>
<w:pPr><w:pStyle w:val="Normal"/></w:pPr>
<w:r><w:t xml:space="preserve">original PbO2 and lead are reproduced in the places they</w:t></w:r>
</w:p>
<w:p>
<w:pPr><w:pStyle w:val="Normal"/></w:pPr>
<w:r><w:t xml:space="preserve">originally occupied.  Thus there is no material change in</w:t></w:r>
</w:p>
<w:p>
<w:pPr><w:pStyle w:val="Normal"/></w:pPr>
<w:r><w:t xml:space="preserve">the distribution of masses of active material.  Lastly,</w:t></w:r>
</w:p>
<w:p>
<w:pPr><w:pStyle w:val="Normal"/></w:pPr>
<w:r><w:t xml:space="preserve">the active materials are in a porous, spongy condition,</w:t></w:r>
</w:p>
<w:p>
<w:pPr><w:pStyle w:val="Normal"/></w:pPr>
<w:r><w:t xml:space="preserve">so that the acid is within reach of all parts of them.</w:t></w:r>
</w:p>
<w:p>
<w:pPr><w:pStyle w:val="Normal"/></w:pPr>
<w:r><w:t xml:space="preserve">Plante&apos;s cell.</w:t></w:r>
</w:p>
<w:p>
<w:pPr><w:pStyle w:val="Normal"/></w:pPr>
<w:r><w:t xml:space="preserve">Plante carefully studied the changes which occur in the</w:t></w:r>
</w:p>
<w:p>
<w:pPr><w:pStyle w:val="Normal"/></w:pPr>
<w:r><w:t xml:space="preserve">formation, charge and discharge of the cell.  In forming,</w:t></w:r>
</w:p>
<w:p>
<w:pPr><w:pStyle w:val="Normal"/></w:pPr>
<w:r><w:t xml:space="preserve">he placed two sheets of lead in sulphuric acid, separating</w:t></w:r>
</w:p>
<w:p>
<w:pPr><w:pStyle w:val="Normal"/></w:pPr>
<w:r><w:t xml:space="preserve">them by narrow strips of caoutchouc (fig. 1). When a charging</w:t></w:r>
</w:p>
<w:p>
<w:pPr><w:pStyle w:val="Normal"/></w:pPr>
<w:r><w:t xml:space="preserve">current is sent through the cell, the hydrogen liberated</w:t></w:r>
</w:p>
<w:p>
<w:pPr><w:pStyle w:val="Normal"/></w:pPr>
<w:r><w:t xml:space="preserve">at one plate escapes, a small quantity possibly being spent</w:t></w:r>
</w:p>
<w:p>
<w:pPr><w:pStyle w:val="Normal"/></w:pPr>
<w:r><w:t xml:space="preserve">in reducing the surface film of oxide generally found on</w:t></w:r>
</w:p>
<w:p>
<w:pPr><w:pStyle w:val="Normal"/></w:pPr>
<w:r><w:t xml:space="preserve">lead.  Some of the oxygen is always fixed on the other</w:t></w:r>
</w:p>
<w:p>
<w:pPr><w:pStyle w:val="Normal"/></w:pPr>
<w:r><w:t xml:space="preserve">(positive) plate, forming a surface film of peroxide.  After</w:t></w:r>
</w:p>
<w:p>
<w:pPr><w:pStyle w:val="Normal"/></w:pPr>
<w:r><w:t xml:space="preserve">a few minutes the current is reversed so that the first</w:t></w:r>
</w:p>
<w:p>
<w:pPr><w:pStyle w:val="Normal"/></w:pPr>
<w:r><w:t xml:space="preserve">plate is peroxidized, and the peroxide previously formed</w:t></w:r>
</w:p>
<w:p>
<w:pPr><w:pStyle w:val="Normal"/></w:pPr>
<w:r><w:t xml:space="preserve">on the second plate is reduced to metallic lead in a spongy</w:t></w:r>
</w:p>
<w:p>
<w:pPr><w:pStyle w:val="Normal"/></w:pPr>
<w:r><w:t xml:space="preserve">state.  By repeated reversals, the surface of each plate</w:t></w:r>
</w:p>
<w:p>
<w:pPr><w:pStyle w:val="Normal"/></w:pPr>
<w:r><w:t xml:space="preserve">is alternately peroxidized and reduced to metallic lead.</w:t></w:r>
</w:p>
<w:p>
<w:pPr><w:pStyle w:val="Normal"/></w:pPr>
<w:r><w:t xml:space="preserve">In successive oxidations, the action penetrates farther</w:t></w:r>
</w:p>
<w:p>
<w:pPr><w:pStyle w:val="Normal"/></w:pPr>
<w:r><w:t xml:space="preserve">into the plate, furnishing each time a larger quantity</w:t></w:r>
</w:p>
<w:p>
<w:pPr><w:pStyle w:val="Normal"/></w:pPr>
<w:r><w:t xml:space="preserve">of spongy PbO2 on one plate and of spongy lead on the</w:t></w:r>
</w:p>
<w:p>
<w:pPr><w:pStyle w:val="Normal"/></w:pPr>
<w:r><w:t xml:space="preserve">other.  It follows that the duration of the successive</w:t></w:r>
</w:p>
<w:p>
<w:pPr><w:pStyle w:val="Normal"/></w:pPr>
<w:r><w:t xml:space="preserve">charging currents also increases.  At the beginning. a</w:t></w:r>
</w:p>
<w:p>
<w:pPr><w:pStyle w:val="Normal"/></w:pPr>
<w:r><w:t xml:space="preserve">few minutes suffice; at the end, many hours are required.</w:t></w:r>
</w:p>
<w:p>
<w:pPr><w:pStyle w:val="Normal"/></w:pPr>
<w:r><w:t xml:space="preserve">Fig. 1</w:t></w:r>
</w:p>
<w:p>
<w:pPr><w:pStyle w:val="Normal"/></w:pPr>
<w:r><w:t xml:space="preserve">After the first six or eight cycles, Plante allowed a</w:t></w:r>
</w:p>
<w:p>
<w:pPr><w:pStyle w:val="Normal"/></w:pPr>
<w:r><w:t xml:space="preserve">period of repose before reversing.  He claimed that the</w:t></w:r>
</w:p>
<w:p>
<w:pPr><w:pStyle w:val="Normal"/></w:pPr>
<w:r><w:t xml:space="preserve">PbO2 formed by reversal after repose was more strongly</w:t></w:r>
</w:p>
<w:p>
<w:pPr><w:pStyle w:val="Normal"/></w:pPr>
<w:r><w:t xml:space="preserve">adherent, and also more crystalline than if no repose were</w:t></w:r>
</w:p>
<w:p>
<w:pPr><w:pStyle w:val="Normal"/></w:pPr>
<w:r><w:t xml:space="preserve">allowed.  The following figures show the relative amounts of</w:t></w:r>
</w:p>
<w:p>
<w:pPr><w:pStyle w:val="Normal"/></w:pPr>
<w:r><w:t xml:space="preserve">oxygen absorbed by a given plate in successive charges (between</w:t></w:r>
</w:p>
<w:p>
<w:pPr><w:pStyle w:val="Normal"/></w:pPr>
<w:r><w:t xml:space="preserve">one charge and the next the plate stood in repose for the</w:t></w:r>
</w:p>
<w:p>
<w:pPr><w:pStyle w:val="Normal"/></w:pPr>
<w:r><w:t xml:space="preserve">time stated, then was reduced, and again charged as anode):-</w:t></w:r>
</w:p>
<w:p>
<w:pPr><w:pStyle w:val="Normal"/></w:pPr>
<w:r><w:t xml:space="preserve">Separate periods of             Charge.   Relative amount of</w:t></w:r>
</w:p>
<w:p>
<w:pPr><w:pStyle w:val="Normal"/></w:pPr>
<w:r><w:t xml:space="preserve">Repose.                                 Peroxide formed.</w:t></w:r>
</w:p>
<w:p>
<w:pPr><w:pStyle w:val="Normal"/></w:pPr>
<w:r><w:t xml:space="preserve">.  .                         First         1.0</w:t></w:r>
</w:p>
<w:p>
<w:pPr><w:pStyle w:val="Normal"/></w:pPr>
<w:r><w:t xml:space="preserve">18 hours                       Second        1.57</w:t></w:r>
</w:p>
<w:p>
<w:pPr><w:pStyle w:val="Normal"/></w:pPr>
<w:r><w:t xml:space="preserve">2 days                        Third         1.71</w:t></w:r>
</w:p>
<w:p>
<w:pPr><w:pStyle w:val="Normal"/></w:pPr>
<w:r><w:t xml:space="preserve">4 days                        Fourth        2.14</w:t></w:r>
</w:p>
<w:p>
<w:pPr><w:pStyle w:val="Normal"/></w:pPr>
<w:r><w:t xml:space="preserve">2 days                        Fifth         2.43</w:t></w:r>
</w:p>
<w:p>
<w:pPr><w:pStyle w:val="Normal"/></w:pPr>
<w:r><w:t xml:space="preserve">and so on for many days (Gladstone and Tribe, Chemistry</w:t></w:r>
</w:p>
<w:p>
<w:pPr><w:pStyle w:val="Normal"/></w:pPr>
<w:r><w:t xml:space="preserve">of Secondary Batteries). Seeing that each plate is in turn</w:t></w:r>
</w:p>
<w:p>
<w:pPr><w:pStyle w:val="Normal"/></w:pPr>
<w:r><w:t xml:space="preserve">oxidized and then reduced, it is evident that the spongy</w:t></w:r>
</w:p>
<w:p>
<w:pPr><w:pStyle w:val="Normal"/></w:pPr>
<w:r><w:t xml:space="preserve">lead will increase at the same rate on the other plate of the</w:t></w:r>
</w:p>
<w:p>
<w:pPr><w:pStyle w:val="Normal"/></w:pPr>
<w:r><w:t xml:space="preserve">cell.  The process of ``forming&apos;&apos; thus briefly described</w:t></w:r>
</w:p>
<w:p>
<w:pPr><w:pStyle w:val="Normal"/></w:pPr>
<w:r><w:t xml:space="preserve">was not continued indefinitely, but only till a fair</w:t></w:r>
</w:p>
<w:p>
<w:pPr><w:pStyle w:val="Normal"/></w:pPr>
<w:r><w:t xml:space="preserve">proportion of the thickness of the plates was converted</w:t></w:r>
</w:p>
<w:p>
<w:pPr><w:pStyle w:val="Normal"/></w:pPr>
<w:r><w:t xml:space="preserve">into the spongy material, PbO2 and Pb respectively.  After</w:t></w:r>
</w:p>
<w:p>
<w:pPr><w:pStyle w:val="Normal"/></w:pPr>
<w:r><w:t xml:space="preserve">this, reversal was not permitted, the cell being put into</w:t></w:r>
</w:p>
<w:p>
<w:pPr><w:pStyle w:val="Normal"/></w:pPr>
<w:r><w:t xml:space="preserve">use and always charged in a given direction.  If the process</w:t></w:r>
</w:p>
<w:p>
<w:pPr><w:pStyle w:val="Normal"/></w:pPr>
<w:r><w:t xml:space="preserve">of forming by reversal be continued, the positive plate is</w:t></w:r>
</w:p>
<w:p>
<w:pPr><w:pStyle w:val="Normal"/></w:pPr>
<w:r><w:t xml:space="preserve">ultimately all converted into PbO, and falls to pieces.</w:t></w:r>
</w:p>
<w:p>
<w:pPr><w:pStyle w:val="Normal"/></w:pPr>
<w:r><w:t xml:space="preserve">Plante made excellent cells by this method, yet three</w:t></w:r>
</w:p>
<w:p>
<w:pPr><w:pStyle w:val="Normal"/></w:pPr>
<w:r><w:t xml:space="preserve">objections were urged against them.  They required too much</w:t></w:r>
</w:p>
<w:p>
<w:pPr><w:pStyle w:val="Normal"/></w:pPr>
<w:r><w:t xml:space="preserve">time to ``form&apos;&apos;; the spongy masses (PbO2 more especially)</w:t></w:r>
</w:p>
<w:p>
<w:pPr><w:pStyle w:val="Normal"/></w:pPr>
<w:r><w:t xml:space="preserve">fell off for want of mechanical supoort, and the separating</w:t></w:r>
</w:p>
<w:p>
<w:pPr><w:pStyle w:val="Normal"/></w:pPr>
<w:r><w:t xml:space="preserve">strips of caoutchouc were not likely to have a long life.</w:t></w:r>
</w:p>
<w:p>
<w:pPr><w:pStyle w:val="Normal"/></w:pPr>
<w:r><w:t xml:space="preserve">The first advance was made by C. A. Faure (1881), who greatly</w:t></w:r>
</w:p>
<w:p>
<w:pPr><w:pStyle w:val="Normal"/></w:pPr>
<w:r><w:t xml:space="preserve">shortened the time required for ``forming&apos;&apos; by giving the</w:t></w:r>
</w:p>
<w:p>
<w:pPr><w:pStyle w:val="Normal"/></w:pPr>
<w:r><w:t xml:space="preserve">plates a preliminary coating of red lead, whereby the slow</w:t></w:r>
</w:p>
<w:p>
<w:pPr><w:pStyle w:val="Normal"/></w:pPr>
<w:r><w:t xml:space="preserve">precess of biting into the metal was avoided. At the first</w:t></w:r>
</w:p>
<w:p>
<w:pPr><w:pStyle w:val="Normal"/></w:pPr>
<w:r><w:t xml:space="preserve">charging, the red lead on the + electrode is changed to</w:t></w:r>
</w:p>
<w:p>
<w:pPr><w:pStyle w:val="Normal"/></w:pPr>
<w:r><w:t xml:space="preserve">PbO2, while that on the - etectrode is reduced to spongy</w:t></w:r>
</w:p>
<w:p>
<w:pPr><w:pStyle w:val="Normal"/></w:pPr>
<w:r><w:t xml:space="preserve">lead. Thus one continuous operation, lasting perhaps</w:t></w:r>
</w:p>
<w:p>
<w:pPr><w:pStyle w:val="Normal"/></w:pPr>
<w:r><w:t xml:space="preserve">sixty hours, takes the place of many reversals, which,</w:t></w:r>
</w:p>
<w:p>
<w:pPr><w:pStyle w:val="Normal"/></w:pPr>
<w:r><w:t xml:space="preserve">with periods of repose, last as much as three months.</w:t></w:r>
</w:p>
<w:p>
<w:pPr><w:pStyle w:val="Normal"/></w:pPr>
<w:r><w:t xml:space="preserve">Fig. 2 Tudor positive plate.</w:t></w:r>
</w:p>
<w:p>
<w:pPr><w:pStyle w:val="Normal"/></w:pPr>
<w:r><w:t xml:space="preserve">Faure used felt as a separating membrane, but its use</w:t></w:r>
</w:p>
<w:p>
<w:pPr><w:pStyle w:val="Normal"/></w:pPr>
<w:r><w:t xml:space="preserve">was soon abolished by methods of construction due to E.</w:t></w:r>
</w:p>
<w:p>
<w:pPr><w:pStyle w:val="Normal"/></w:pPr>
<w:r><w:t xml:space="preserve">Volckmar, J. S. Sellon, J. W. Swan and others.  These</w:t></w:r>
</w:p>
<w:p>
<w:pPr><w:pStyle w:val="Normal"/></w:pPr>
<w:r><w:t xml:space="preserve">inventors put the paste not on to plates of lead, but into</w:t></w:r>
</w:p>
<w:p>
<w:pPr><w:pStyle w:val="Normal"/></w:pPr>
<w:r><w:t xml:space="preserve">the holes of a grid, which, when carefully designed, affords</w:t></w:r>
</w:p>
<w:p>
<w:pPr><w:pStyle w:val="Normal"/></w:pPr>
<w:r><w:t xml:space="preserve">good mechanical support to the spongy masses, and does away</w:t></w:r>
</w:p>
<w:p>
<w:pPr><w:pStyle w:val="Normal"/></w:pPr>
<w:r><w:t xml:space="preserve">with the necessity for felt, &amp;c. They are more satisfactory,</w:t></w:r>
</w:p>
<w:p>
<w:pPr><w:pStyle w:val="Normal"/></w:pPr>
<w:r><w:t xml:space="preserve">however, as supporters or spongy lead than of the peroxide,</w:t></w:r>
</w:p>
<w:p>
<w:pPr><w:pStyle w:val="Normal"/></w:pPr>
<w:r><w:t xml:space="preserve">since at the point of contact in the latter case the acid</w:t></w:r>
</w:p>
<w:p>
<w:pPr><w:pStyle w:val="Normal"/></w:pPr>
<w:r><w:t xml:space="preserve">gives rise to a local action, which slowly destroys the</w:t></w:r>
</w:p>
<w:p>
<w:pPr><w:pStyle w:val="Normal"/></w:pPr>
<w:r><w:t xml:space="preserve">grid.  Disintegration follows sooner or later, though the</w:t></w:r>
</w:p>
<w:p>
<w:pPr><w:pStyle w:val="Normal"/></w:pPr>
<w:r><w:t xml:space="preserve">best makers are able to defer the failure for a fairly long</w:t></w:r>
</w:p>
<w:p>
<w:pPr><w:pStyle w:val="Normal"/></w:pPr>
<w:r><w:t xml:space="preserve">time. Efforts have been made by A. Tribe, D. G. Fitzgerald</w:t></w:r>
</w:p>
<w:p>
<w:pPr><w:pStyle w:val="Normal"/></w:pPr>
<w:r><w:t xml:space="preserve">and others to dispense whin a supporting grid for the positive</w:t></w:r>
</w:p>
<w:p>
<w:pPr><w:pStyle w:val="Normal"/></w:pPr>
<w:r><w:t xml:space="preserve">plate, but these attempts have not yet been successful</w:t></w:r>
</w:p>
<w:p>
<w:pPr><w:pStyle w:val="Normal"/></w:pPr>
<w:r><w:t xml:space="preserve">enough to enable them to compete with the other forms.</w:t></w:r>
</w:p>
<w:p>
<w:pPr><w:pStyle w:val="Normal"/></w:pPr>
<w:r><w:t xml:space="preserve">For many years the battle between the ``Plante&apos;&apos; type and the</w:t></w:r>
</w:p>
<w:p>
<w:pPr><w:pStyle w:val="Normal"/></w:pPr>
<w:r><w:t xml:space="preserve">Faure or ``pasted&apos;&apos; type has been one in which the issue was</w:t></w:r>
</w:p>
<w:p>
<w:pPr><w:pStyle w:val="Normal"/></w:pPr>
<w:r><w:t xml:space="preserve">doubtful, but the general tendency is towards a mixed type</w:t></w:r>
</w:p>
<w:p>
<w:pPr><w:pStyle w:val="Normal"/></w:pPr>
<w:r><w:t xml:space="preserve">at the present time.  There are many good cells, the value of</w:t></w:r>
</w:p>
<w:p>
<w:pPr><w:pStyle w:val="Normal"/></w:pPr>
<w:r><w:t xml:space="preserve">all resting on the care exercised during the manufacture and</w:t></w:r>
</w:p>
<w:p>
<w:pPr><w:pStyle w:val="Normal"/></w:pPr>
<w:r><w:t xml:space="preserve">also in the choice of pure materials.  Increasing emphasis is</w:t></w:r>
</w:p>
<w:p>
<w:pPr><w:pStyle w:val="Normal"/></w:pPr>
<w:r><w:t xml:space="preserve">laid on the purity of the water used to replace that lost by</w:t></w:r>
</w:p>
<w:p>
<w:pPr><w:pStyle w:val="Normal"/></w:pPr>
<w:r><w:t xml:space="preserve">evaporation, distilled water generally being specified.  The</w:t></w:r>
</w:p>
<w:p>
<w:pPr><w:pStyle w:val="Normal"/></w:pPr>
<w:r><w:t xml:space="preserve">following descriptions will give a good idea of modern practice.</w:t></w:r>
</w:p>
<w:p>
<w:pPr><w:pStyle w:val="Normal"/></w:pPr>
<w:r><w:t xml:space="preserve">Chloride cell.</w:t></w:r>
</w:p>
<w:p>
<w:pPr><w:pStyle w:val="Normal"/></w:pPr>
<w:r><w:t xml:space="preserve">The ``chloride cell&apos;&apos; has a Plante positive with a pasted</w:t></w:r>
</w:p>
<w:p>
<w:pPr><w:pStyle w:val="Normal"/></w:pPr>
<w:r><w:t xml:space="preserve">negative.  For the positive a lead casting is made, about 0.4</w:t></w:r>
</w:p>
<w:p>
<w:pPr><w:pStyle w:val="Normal"/></w:pPr>
<w:r><w:t xml:space="preserve">inch thick pierced by a number of circular holes about half</w:t></w:r>
</w:p>
<w:p>
<w:pPr><w:pStyle w:val="Normal"/></w:pPr>
<w:r><w:t xml:space="preserve">an inch in diameter.  Into each of these holes is thrust a</w:t></w:r>
</w:p>
<w:p>
<w:pPr><w:pStyle w:val="Normal"/></w:pPr>
<w:r><w:t xml:space="preserve">roll or rosette of lead ribbon, which has been cut to the</w:t></w:r>
</w:p>
<w:p>
<w:pPr><w:pStyle w:val="Normal"/></w:pPr>
<w:r><w:t xml:space="preserve">right breadth (equal to the thickness of the plate), then</w:t></w:r>
</w:p>
<w:p>
<w:pPr><w:pStyle w:val="Normal"/></w:pPr>
<w:r><w:t xml:space="preserve">ribbed or gimped, and finally coiled into a rosette.  The</w:t></w:r>
</w:p>
<w:p>
<w:pPr><w:pStyle w:val="Normal"/></w:pPr>
<w:r><w:t xml:space="preserve">rosettes have sufficient spring to fix themselves in the</w:t></w:r>
</w:p>
<w:p>
<w:pPr><w:pStyle w:val="Normal"/></w:pPr>
<w:r><w:t xml:space="preserve">holes of the lead plate, but are keyed in position by a</w:t></w:r>
</w:p>
<w:p>
<w:pPr><w:pStyle w:val="Normal"/></w:pPr>
<w:r><w:t xml:space="preserve">hydraulic press.  The plates are then ``formed&apos;&apos; by passing</w:t></w:r>
</w:p>
<w:p>
<w:pPr><w:pStyle w:val="Normal"/></w:pPr>
<w:r><w:t xml:space="preserve">a current for a long time.  In a later pattern a kind of</w:t></w:r>
</w:p>
<w:p>
<w:pPr><w:pStyle w:val="Normal"/></w:pPr>
<w:r><w:t xml:space="preserve">discontinuous longitudinal rib is put in the ribbon, and</w:t></w:r>
</w:p>
<w:p>
<w:pPr><w:pStyle w:val="Normal"/></w:pPr>
<w:r><w:t xml:space="preserve">increases the capacity and life by strengthening the mass</w:t></w:r>
</w:p>
<w:p>
<w:pPr><w:pStyle w:val="Normal"/></w:pPr>
<w:r><w:t xml:space="preserve">Fig. 3.--Tudor negative plate.</w:t></w:r>
</w:p>
<w:p>
<w:pPr><w:pStyle w:val="Normal"/></w:pPr>
<w:r><w:t xml:space="preserve">without interfering with the diffusion of acid. The</w:t></w:r>
</w:p>
<w:p>
<w:pPr><w:pStyle w:val="Normal"/></w:pPr>
<w:r><w:t xml:space="preserve">negative plate was formerly obtained by reducing pastilles</w:t></w:r>
</w:p>
<w:p>
<w:pPr><w:pStyle w:val="Normal"/></w:pPr>
<w:r><w:t xml:space="preserve">of lead chloride, but by a later mode of construction</w:t></w:r>
</w:p>
<w:p>
<w:pPr><w:pStyle w:val="Normal"/></w:pPr>
<w:r><w:t xml:space="preserve">it is made by casting a grid with thin vertical ribs,</w:t></w:r>
</w:p>
<w:p>
<w:pPr><w:pStyle w:val="Normal"/></w:pPr>
<w:r><w:t xml:space="preserve">connected horizontally by small bars of triangular</w:t></w:r>
</w:p>
<w:p>
<w:pPr><w:pStyle w:val="Normal"/></w:pPr>
<w:r><w:t xml:space="preserve">section.  The bars on the two faces are ``staggered,&apos;&apos;</w:t></w:r>
</w:p>
<w:p>
<w:pPr><w:pStyle w:val="Normal"/></w:pPr>
<w:r><w:t xml:space="preserve">that is, those on one face are not opposite those on the</w:t></w:r>
</w:p>
<w:p>
<w:pPr><w:pStyle w:val="Normal"/></w:pPr>
<w:r><w:t xml:space="preserve">other.  The grid is pasted with a lead oxide paste and</w:t></w:r>
</w:p>
<w:p>
<w:pPr><w:pStyle w:val="Normal"/></w:pPr>
<w:r><w:t xml:space="preserve">afterwards reduced; this is known as the ``exide&apos;&apos; negative.</w:t></w:r>
</w:p>
<w:p>
<w:pPr><w:pStyle w:val="Normal"/></w:pPr>
<w:r><w:t xml:space="preserve">The larger sizes of negative plate are of a ``box&apos;&apos; type, formed</w:t></w:r>
</w:p>
<w:p>
<w:pPr><w:pStyle w:val="Normal"/></w:pPr>
<w:r><w:t xml:space="preserve">by riveting together two grids and filling the intervening space</w:t></w:r>
</w:p>
<w:p>
<w:pPr><w:pStyle w:val="Normal"/></w:pPr>
<w:r><w:t xml:space="preserve">Fig. 4. Fig. 5. Fig. 6</w:t></w:r>
</w:p>
<w:p>
<w:pPr><w:pStyle w:val="Normal"/></w:pPr>
<w:r><w:t xml:space="preserve">with paste.  A feature of the ``chloride&apos;&apos; cells is the use</w:t></w:r>
</w:p>
<w:p>
<w:pPr><w:pStyle w:val="Normal"/></w:pPr>
<w:r><w:t xml:space="preserve">of separators made of thin sheets of specially prepared</w:t></w:r>
</w:p>
<w:p>
<w:pPr><w:pStyle w:val="Normal"/></w:pPr>
<w:r><w:t xml:space="preserve">wood, These prevent short circuits arising from scales of</w:t></w:r>
</w:p>
<w:p>
<w:pPr><w:pStyle w:val="Normal"/></w:pPr>
<w:r><w:t xml:space="preserve">active material or from the formation of ``trees&apos;&apos; of lead</w:t></w:r>
</w:p>
<w:p>
<w:pPr><w:pStyle w:val="Normal"/></w:pPr>
<w:r><w:t xml:space="preserve">which sometimes grow across in certain forms of battery.</w:t></w:r>
</w:p>
<w:p>
<w:pPr><w:pStyle w:val="Normal"/></w:pPr>
<w:r><w:t xml:space="preserve">Tudor cell.</w:t></w:r>
</w:p>
<w:p>
<w:pPr><w:pStyle w:val="Normal"/></w:pPr>
<w:r><w:t xml:space="preserve">The Tudor cell has positives formed of lead plates cast in one</w:t></w:r>
</w:p>
<w:p>
<w:pPr><w:pStyle w:val="Normal"/></w:pPr>
<w:r><w:t xml:space="preserve">piece with a large surface of thin vertical ribs, intersected</w:t></w:r>
</w:p>
<w:p>
<w:pPr><w:pStyle w:val="Normal"/></w:pPr>
<w:r><w:t xml:space="preserve">at intervals by horizontal ribs to give the plates strength to</w:t></w:r>
</w:p>
<w:p>
<w:pPr><w:pStyle w:val="Normal"/></w:pPr>
<w:r><w:t xml:space="preserve">withstand buckling in both directions (fig. 2). The thickness</w:t></w:r>
</w:p>
<w:p>
<w:pPr><w:pStyle w:val="Normal"/></w:pPr>
<w:r><w:t xml:space="preserve">of the plates is about 0.4 inch, and the developed surface is</w:t></w:r>
</w:p>
<w:p>
<w:pPr><w:pStyle w:val="Normal"/></w:pPr>
<w:r><w:t xml:space="preserve">about eight times that of a smooth plate of the same size.</w:t></w:r>
</w:p>
<w:p>
<w:pPr><w:pStyle w:val="Normal"/></w:pPr>
<w:r><w:t xml:space="preserve">A thoroughly adherent and homogeneous coating of peroxide of</w:t></w:r>
</w:p>
<w:p>
<w:pPr><w:pStyle w:val="Normal"/></w:pPr>
<w:r><w:t xml:space="preserve">lead is formed on this large surface by an improved Plante</w:t></w:r>
</w:p>
<w:p>
<w:pPr><w:pStyle w:val="Normal"/></w:pPr>
<w:r><w:t xml:space="preserve">process.  The negative plate (fig. 3) is composed of two grids</w:t></w:r>
</w:p>
<w:p>
<w:pPr><w:pStyle w:val="Normal"/></w:pPr>
<w:r><w:t xml:space="preserve">riveted together to form a shallow box; the outer surfaces are</w:t></w:r>
</w:p>
<w:p>
<w:pPr><w:pStyle w:val="Normal"/></w:pPr>
<w:r><w:t xml:space="preserve">smooth sheets pierced with many small holes.  The space between</w:t></w:r>
</w:p>
<w:p>
<w:pPr><w:pStyle w:val="Normal"/></w:pPr>
<w:r><w:t xml:space="preserve">them is intersected by ribs and pasted (before riveting).</w:t></w:r>
</w:p>
<w:p>
<w:pPr><w:pStyle w:val="Normal"/></w:pPr>
<w:r><w:t xml:space="preserve">E.P.S. cell.</w:t></w:r>
</w:p>
<w:p>
<w:pPr><w:pStyle w:val="Normal"/></w:pPr>
<w:r><w:t xml:space="preserve">Many of the E.P.S. ceils, made by the Electrical Power</w:t></w:r>
</w:p>
<w:p>
<w:pPr><w:pStyle w:val="Normal"/></w:pPr>
<w:r><w:t xml:space="preserve">Storage Company, are of the Faure or pasted type, but the</w:t></w:r>
</w:p>
<w:p>
<w:pPr><w:pStyle w:val="Normal"/></w:pPr>
<w:r><w:t xml:space="preserve">Plante formation is used for the positives of two kinds of</w:t></w:r>
</w:p>
<w:p>
<w:pPr><w:pStyle w:val="Normal"/></w:pPr>
<w:r><w:t xml:space="preserve">cell.  The paste for the positive plates is a mixture of</w:t></w:r>
</w:p>
<w:p>
<w:pPr><w:pStyle w:val="Normal"/></w:pPr>
<w:r><w:t xml:space="preserve">red lead with sulphuric acid; for the negative plates,</w:t></w:r>
</w:p>
<w:p>
<w:pPr><w:pStyle w:val="Normal"/></w:pPr>
<w:r><w:t xml:space="preserve">litharge is substituted for red lead.  Figs. 4 and</w:t></w:r>
</w:p>
<w:p>
<w:pPr><w:pStyle w:val="Normal"/></w:pPr>
<w:r><w:t xml:space="preserve">FIG. 7.</w:t></w:r>
</w:p>
<w:p>
<w:pPr><w:pStyle w:val="Normal"/></w:pPr>
<w:r><w:t xml:space="preserve">5 roughly represent the grids employed for the negative and</w:t></w:r>
</w:p>
<w:p>
<w:pPr><w:pStyle w:val="Normal"/></w:pPr>
<w:r><w:t xml:space="preserve">positive plates respectively of a type used for lighting.  Fig. 6</w:t></w:r>
</w:p>
<w:p>
<w:pPr><w:pStyle w:val="Normal"/></w:pPr>
<w:r><w:t xml:space="preserve">is the cross section of the casting used for the Plante positive</w:t></w:r>
</w:p>
<w:p>
<w:pPr><w:pStyle w:val="Normal"/></w:pPr>
<w:r><w:t xml:space="preserve">of the larger cells for rapid discharge.  Finer indentations on</w:t></w:r>
</w:p>
<w:p>
<w:pPr><w:pStyle w:val="Normal"/></w:pPr>
<w:r><w:t xml:space="preserve">the side expose a large surface.  Fig. 7 shows a complete cell.</w:t></w:r>
</w:p>
<w:p>
<w:pPr><w:pStyle w:val="Normal"/></w:pPr>
<w:r><w:t xml:space="preserve">Hart cell.</w:t></w:r>
</w:p>
<w:p>
<w:pPr><w:pStyle w:val="Normal"/></w:pPr>
<w:r><w:t xml:space="preserve">The Hart cell, as used for lighting, is a combination of the</w:t></w:r>
</w:p>
<w:p>
<w:pPr><w:pStyle w:val="Normal"/></w:pPr>
<w:r><w:t xml:space="preserve">Plante and Faure (pasted) types.  The plates hang by side</w:t></w:r>
</w:p>
<w:p>
<w:pPr><w:pStyle w:val="Normal"/></w:pPr>
<w:r><w:t xml:space="preserve">lugs on glass slats, and are separated by three rows of glass</w:t></w:r>
</w:p>
<w:p>
<w:pPr><w:pStyle w:val="Normal"/></w:pPr>
<w:r><w:t xml:space="preserve">tubes 3/8 inch diameter (fig. 8). The tubes rest in grooved</w:t></w:r>
</w:p>
<w:p>
<w:pPr><w:pStyle w:val="Normal"/></w:pPr>
<w:r><w:t xml:space="preserve">teak wood blocks placed at the bottom of the glass boxes.</w:t></w:r>
</w:p>
<w:p>
<w:pPr><w:pStyle w:val="Normal"/></w:pPr>
<w:r><w:t xml:space="preserve">The blocks also serve as base for a skeleton framework of the</w:t></w:r>
</w:p>
<w:p>
<w:pPr><w:pStyle w:val="Normal"/></w:pPr>
<w:r><w:t xml:space="preserve">same material which surrounds and supports the section.  Of</w:t></w:r>
</w:p>
<w:p>
<w:pPr><w:pStyle w:val="Normal"/></w:pPr>
<w:r><w:t xml:space="preserve">course the wood has to be specially treated to withstand the</w:t></w:r>
</w:p>
<w:p>
<w:pPr><w:pStyle w:val="Normal"/></w:pPr>
<w:r><w:t xml:space="preserve">acid. A special non-corrosive terminal is used.  A coned bolt</w:t></w:r>
</w:p>
<w:p>
<w:pPr><w:pStyle w:val="Normal"/></w:pPr>
<w:r><w:t xml:space="preserve">draws the lug ends of adjacent cells together, fitting in a</w:t></w:r>
</w:p>
<w:p>
<w:pPr><w:pStyle w:val="Normal"/></w:pPr>
<w:r><w:t xml:space="preserve">corresponding tapered hole in the lugs, and thus increasing</w:t></w:r>
</w:p>
<w:p>
<w:pPr><w:pStyle w:val="Normal"/></w:pPr>
<w:r><w:t xml:space="preserve">the contact area.  The positive and negative tapers being</w:t></w:r>
</w:p>
<w:p>
<w:pPr><w:pStyle w:val="Normal"/></w:pPr>
<w:r><w:t xml:space="preserve">different, a cell cannot be connected up in the wrong way.</w:t></w:r>
</w:p>
<w:p>
<w:pPr><w:pStyle w:val="Normal"/></w:pPr>
<w:r><w:t xml:space="preserve">FIG. 8.--Hart Accumulator.</w:t></w:r>
</w:p>
<w:p>
<w:pPr><w:pStyle w:val="Normal"/></w:pPr>
<w:r><w:t xml:space="preserve">Gould cell.</w:t></w:r>
</w:p>
<w:p>
<w:pPr><w:pStyle w:val="Normal"/></w:pPr>
<w:r><w:t xml:space="preserve">In America, in addition to some of the cells already</w:t></w:r>
</w:p>
<w:p>
<w:pPr><w:pStyle w:val="Normal"/></w:pPr>
<w:r><w:t xml:space="preserve">described, there are types which are not found in England.</w:t></w:r>
</w:p>
<w:p>
<w:pPr><w:pStyle w:val="Normal"/></w:pPr>
<w:r><w:t xml:space="preserve">Two may be described.  The Gould cell is of the Plante</w:t></w:r>
</w:p>
<w:p>
<w:pPr><w:pStyle w:val="Normal"/></w:pPr>
<w:r><w:t xml:space="preserve">type.  A special effort is made to reduce local and other</w:t></w:r>
</w:p>
<w:p>
<w:pPr><w:pStyle w:val="Normal"/></w:pPr>
<w:r><w:t xml:space="preserve">deleterious action by starting with perfectly homogeneous</w:t></w:r>
</w:p>
<w:p>
<w:pPr><w:pStyle w:val="Normal"/></w:pPr>
<w:r><w:t xml:space="preserve">plates. They are formed from sheet lead blanks by suitable</w:t></w:r>
</w:p>
<w:p>
<w:pPr><w:pStyle w:val="Normal"/></w:pPr>
<w:r><w:t xml:space="preserve">machines, which  gradually raise the surface into a series</w:t></w:r>
</w:p>
<w:p>
<w:pPr><w:pStyle w:val="Normal"/></w:pPr>
<w:r><w:t xml:space="preserve">of ribs and grooves.  The sides and middle of the blank</w:t></w:r>
</w:p>
<w:p>
<w:pPr><w:pStyle w:val="Normal"/></w:pPr>
<w:r><w:t xml:space="preserve">are left untouched and amply suffice to distribute the</w:t></w:r>
</w:p>
<w:p>
<w:pPr><w:pStyle w:val="Normal"/></w:pPr>
<w:r><w:t xml:space="preserve">current over the surface of the plate.  The grooves are</w:t></w:r>
</w:p>
<w:p>
<w:pPr><w:pStyle w:val="Normal"/></w:pPr>
<w:r><w:t xml:space="preserve">very fine, and when the active material is formed in them</w:t></w:r>
</w:p>
<w:p>
<w:pPr><w:pStyle w:val="Normal"/></w:pPr>
<w:r><w:t xml:space="preserve">by electro-chemical action, they hold it very securely.</w:t></w:r>
</w:p>
<w:p>
<w:pPr><w:pStyle w:val="Normal"/></w:pPr>
<w:r><w:t xml:space="preserve">Hatch cell.</w:t></w:r>
</w:p>
<w:p>
<w:pPr><w:pStyle w:val="Normal"/></w:pPr>
<w:r><w:t xml:space="preserve">The Hatch cell has its positive enclosed in an envelope.</w:t></w:r>
</w:p>
<w:p>
<w:pPr><w:pStyle w:val="Normal"/></w:pPr>
<w:r><w:t xml:space="preserve">A very shallow porous tray (made of kaolin and silica) is</w:t></w:r>
</w:p>
<w:p>
<w:pPr><w:pStyle w:val="Normal"/></w:pPr>
<w:r><w:t xml:space="preserve">filled with red lead paste, an electrode of rolled sheet lead</w:t></w:r>
</w:p>
<w:p>
<w:pPr><w:pStyle w:val="Normal"/></w:pPr>
<w:r><w:t xml:space="preserve">is placed on its surface, and over this again is placed a</w:t></w:r>
</w:p>
<w:p>
<w:pPr><w:pStyle w:val="Normal"/></w:pPr>
<w:r><w:t xml:space="preserve">second porous tray filled with paste.  The whole then looks</w:t></w:r>
</w:p>
<w:p>
<w:pPr><w:pStyle w:val="Normal"/></w:pPr>
<w:r><w:t xml:space="preserve">like a thin earthenware box with the lug of the electrode</w:t></w:r>
</w:p>
<w:p>
<w:pPr><w:pStyle w:val="Normal"/></w:pPr>
<w:r><w:t xml:space="preserve">projecting from one end.  The negatives consist of sheet</w:t></w:r>
</w:p>
<w:p>
<w:pPr><w:pStyle w:val="Normal"/></w:pPr>
<w:r><w:t xml:space="preserve">lead covered by active material.  On assembling the plates,</w:t></w:r>
</w:p>
<w:p>
<w:pPr><w:pStyle w:val="Normal"/></w:pPr>
<w:r><w:t xml:space="preserve">each negative is held between two positive ``boxes,&apos;&apos; the</w:t></w:r>
</w:p>
<w:p>
<w:pPr><w:pStyle w:val="Normal"/></w:pPr>
<w:r><w:t xml:space="preserve">outsides of which have protecting vertical ribs.  These press</w:t></w:r>
</w:p>
<w:p>
<w:pPr><w:pStyle w:val="Normal"/></w:pPr>
<w:r><w:t xml:space="preserve">against the active material on the negative plates, and help</w:t></w:r>
</w:p>
<w:p>
<w:pPr><w:pStyle w:val="Normal"/></w:pPr>
<w:r><w:t xml:space="preserve">to keep it in position.  At the same time, the clearance</w:t></w:r>
</w:p>
<w:p>
<w:pPr><w:pStyle w:val="Normal"/></w:pPr>
<w:r><w:t xml:space="preserve">between the ribs allows room for acid to circulate freely</w:t></w:r>
</w:p>
<w:p>
<w:pPr><w:pStyle w:val="Normal"/></w:pPr>
<w:r><w:t xml:space="preserve">between the negative plate and the outer face of the positive</w:t></w:r>
</w:p>
<w:p>
<w:pPr><w:pStyle w:val="Normal"/></w:pPr>
<w:r><w:t xml:space="preserve">envelope.  Diffusion of the acid through this envelope is</w:t></w:r>
</w:p>
<w:p>
<w:pPr><w:pStyle w:val="Normal"/></w:pPr>
<w:r><w:t xml:space="preserve">easy, as it is very porous and not more than 1/32 inch thick.</w:t></w:r>
</w:p>
<w:p>
<w:pPr><w:pStyle w:val="Normal"/></w:pPr>
<w:r><w:t xml:space="preserve">Traction Cells.---Attempts to run tramcars by accumulators</w:t></w:r>
</w:p>
<w:p>
<w:pPr><w:pStyle w:val="Normal"/></w:pPr>
<w:r><w:t xml:space="preserve">have practically all failed, but traction cells are employed</w:t></w:r>
</w:p>
<w:p>
<w:pPr><w:pStyle w:val="Normal"/></w:pPr>
<w:r><w:t xml:space="preserve">for electric broughams and light vehicles for use in</w:t></w:r>
</w:p>
<w:p>
<w:pPr><w:pStyle w:val="Normal"/></w:pPr>
<w:r><w:t xml:space="preserve">towns.  There are no large deviations in manufacture except</w:t></w:r>
</w:p>
<w:p>
<w:pPr><w:pStyle w:val="Normal"/></w:pPr>
<w:r><w:t xml:space="preserve">those imposed by limited space, weight and vibration.  The</w:t></w:r>
</w:p>
<w:p>
<w:pPr><w:pStyle w:val="Normal"/></w:pPr>
<w:r><w:t xml:space="preserve">plates are generally thinner and placed closer together.</w:t></w:r>
</w:p>
<w:p>
<w:pPr><w:pStyle w:val="Normal"/></w:pPr>
<w:r><w:t xml:space="preserve">The Plante positive is not used so much as in lighting</w:t></w:r>
</w:p>
<w:p>
<w:pPr><w:pStyle w:val="Normal"/></w:pPr>
<w:r><w:t xml:space="preserve">types.  The acid is generally a little stronger in order</w:t></w:r>
</w:p>
<w:p>
<w:pPr><w:pStyle w:val="Normal"/></w:pPr>
<w:r><w:t xml:space="preserve">to get a higher electromotive force (E.M.F.). To prevent</w:t></w:r>
</w:p>
<w:p>
<w:pPr><w:pStyle w:val="Normal"/></w:pPr>
<w:r><w:t xml:space="preserve">the active material from being shaken out of the grids,</w:t></w:r>
</w:p>
<w:p>
<w:pPr><w:pStyle w:val="Normal"/></w:pPr>
<w:r><w:t xml:space="preserve">corrugated and perforated ebonite separators are placed</w:t></w:r>
</w:p>
<w:p>
<w:pPr><w:pStyle w:val="Normal"/></w:pPr>
<w:r><w:t xml:space="preserve">between the plates.  The ``chloride&apos;&apos; traction cell uses</w:t></w:r>
</w:p>
<w:p>
<w:pPr><w:pStyle w:val="Normal"/></w:pPr>
<w:r><w:t xml:space="preserve">a special variety of wood separator: the ``exide&apos;&apos; type</w:t></w:r>
</w:p>
<w:p>
<w:pPr><w:pStyle w:val="Normal"/></w:pPr>
<w:r><w:t xml:space="preserve">of plate is used for both positive and negative.  Cells</w:t></w:r>
</w:p>
<w:p>
<w:pPr><w:pStyle w:val="Normal"/></w:pPr>
<w:r><w:t xml:space="preserve">are now made to run 3000 or more miles before becoming</w:t></w:r>
</w:p>
<w:p>
<w:pPr><w:pStyle w:val="Normal"/></w:pPr>
<w:r><w:t xml:space="preserve">useless.  The specific output can be made as high as 10 or</w:t></w:r>
</w:p>
<w:p>
<w:pPr><w:pStyle w:val="Normal"/></w:pPr>
<w:r><w:t xml:space="preserve">11 watt-hours per pound of cell, but this involves a chance</w:t></w:r>
</w:p>
<w:p>
<w:pPr><w:pStyle w:val="Normal"/></w:pPr>
<w:r><w:t xml:space="preserve">of shorter life.  The average working requirement for heavy</w:t></w:r>
</w:p>
<w:p>
<w:pPr><w:pStyle w:val="Normal"/></w:pPr>
<w:r><w:t xml:space="preserve">vehicles is about 50 watt-hours per 1000 lb. per mile.</w:t></w:r>
</w:p>
<w:p>
<w:pPr><w:pStyle w:val="Normal"/></w:pPr>
<w:r><w:t xml:space="preserve">Ignition Cells for motor cars are made on the same lines</w:t></w:r>
</w:p>
<w:p>
<w:pPr><w:pStyle w:val="Normal"/></w:pPr>
<w:r><w:t xml:space="preserve">as traction cells, though of smaller capacity.  As a</w:t></w:r>
</w:p>
<w:p>
<w:pPr><w:pStyle w:val="Normal"/></w:pPr>
<w:r><w:t xml:space="preserve">rule two cells are put up in ebonite or celluloid boxes</w:t></w:r>
</w:p>
<w:p>
<w:pPr><w:pStyle w:val="Normal"/></w:pPr>
<w:r><w:t xml:space="preserve">and joined in series so as to give a 4-volt battery, the</w:t></w:r>
</w:p>
<w:p>
<w:pPr><w:pStyle w:val="Normal"/></w:pPr>
<w:r><w:t xml:space="preserve">pressure for which sparking coils are generally designed.</w:t></w:r>
</w:p>
<w:p>
<w:pPr><w:pStyle w:val="Normal"/></w:pPr>
<w:r><w:t xml:space="preserve">The capacity ranges from 20 to 100 ampere-hours, and the</w:t></w:r>
</w:p>
<w:p>
<w:pPr><w:pStyle w:val="Normal"/></w:pPr>
<w:r><w:t xml:space="preserve">current for a single cylinder engine will average one</w:t></w:r>
</w:p>
<w:p>
<w:pPr><w:pStyle w:val="Normal"/></w:pPr>
<w:r><w:t xml:space="preserve">to one and a half amperes during the running intervals.</w:t></w:r>
</w:p>
<w:p>
<w:pPr><w:pStyle w:val="Normal"/></w:pPr>
<w:r><w:t xml:space="preserve">General Features.--The tendency in stationary cells is to</w:t></w:r>
</w:p>
<w:p>
<w:pPr><w:pStyle w:val="Normal"/></w:pPr>
<w:r><w:t xml:space="preserve">allow plenty of space below the plates, so that any active</w:t></w:r>
</w:p>
<w:p>
<w:pPr><w:pStyle w:val="Normal"/></w:pPr>
<w:r><w:t xml:space="preserve">material which falls from the plates may collect there without</w:t></w:r>
</w:p>
<w:p>
<w:pPr><w:pStyle w:val="Normal"/></w:pPr>
<w:r><w:t xml:space="preserve">risk of short-circuit, &amp;c. More space is allowed between</w:t></w:r>
</w:p>
<w:p>
<w:pPr><w:pStyle w:val="Normal"/></w:pPr>
<w:r><w:t xml:space="preserve">the plates, which means that (a) there is more acid within</w:t></w:r>
</w:p>
<w:p>
<w:pPr><w:pStyle w:val="Normal"/></w:pPr>
<w:r><w:t xml:space="preserve">reach, and (b) a slight buckling is not so dangerous, and</w:t></w:r>
</w:p>
<w:p>
<w:pPr><w:pStyle w:val="Normal"/></w:pPr>
<w:r><w:t xml:space="preserve">indeed is not so likely to occur.  The plates are now generally</w:t></w:r>
</w:p>
<w:p>
<w:pPr><w:pStyle w:val="Normal"/></w:pPr>
<w:r><w:t xml:space="preserve">made thicker than formerly, so as to secure greater mechanical</w:t></w:r>
</w:p>
<w:p>
<w:pPr><w:pStyle w:val="Normal"/></w:pPr>
<w:r><w:t xml:space="preserve">rigidity.  At the same time, the manufacturers aim at getting</w:t></w:r>
</w:p>
<w:p>
<w:pPr><w:pStyle w:val="Normal"/></w:pPr>
<w:r><w:t xml:space="preserve">the active materials in as porous a state as possible.</w:t></w:r>
</w:p>
<w:p>
<w:pPr><w:pStyle w:val="Normal"/></w:pPr>
<w:r><w:t xml:space="preserve">The figures with regard to specific output are difficult to</w:t></w:r>
</w:p>
<w:p>
<w:pPr><w:pStyle w:val="Normal"/></w:pPr>
<w:r><w:t xml:space="preserve">classify.  It would be most interesting to give the data</w:t></w:r>
</w:p>
<w:p>
<w:pPr><w:pStyle w:val="Normal"/></w:pPr>
<w:r><w:t xml:space="preserve">in the form of watt-hours per pound of active material,</w:t></w:r>
</w:p>
<w:p>
<w:pPr><w:pStyle w:val="Normal"/></w:pPr>
<w:r><w:t xml:space="preserve">and then to compare them with the theoretical values,</w:t></w:r>
</w:p>
<w:p>
<w:pPr><w:pStyle w:val="Normal"/></w:pPr>
<w:r><w:t xml:space="preserve">but such figures are impossible in the nature of the case</w:t></w:r>
</w:p>
<w:p>
<w:pPr><w:pStyle w:val="Normal"/></w:pPr>
<w:r><w:t xml:space="preserve">except in very special instances.  For many purposes, long</w:t></w:r>
</w:p>
<w:p>
<w:pPr><w:pStyle w:val="Normal"/></w:pPr>
<w:r><w:t xml:space="preserve">life and trustworthiness are more important than specific</w:t></w:r>
</w:p>
<w:p>
<w:pPr><w:pStyle w:val="Normal"/></w:pPr>
<w:r><w:t xml:space="preserve">output.  Except in the case of traction cells, therefore,</w:t></w:r>
</w:p>
<w:p>
<w:pPr><w:pStyle w:val="Normal"/></w:pPr>
<w:r><w:t xml:space="preserve">the makers have not striven to reduce weight to its lowest</w:t></w:r>
</w:p>
<w:p>
<w:pPr><w:pStyle w:val="Normal"/></w:pPr>
<w:r><w:t xml:space="preserve">values.  Table I. shows roughly the weight of given</w:t></w:r>
</w:p>
<w:p>
<w:pPr><w:pStyle w:val="Normal"/></w:pPr>
<w:r><w:t xml:space="preserve">types of cells for a given output in ampere hours.</w:t></w:r>
</w:p>
<w:p>
<w:pPr><w:pStyle w:val="Normal"/></w:pPr>
<w:r><w:t xml:space="preserve">TABLE I.</w:t></w:r>
</w:p>
<w:p>
<w:pPr><w:pStyle w:val="Normal"/></w:pPr>
<w:r><w:t xml:space="preserve">Capacity in ampere-hours if</w:t></w:r>
</w:p>
<w:p>
<w:pPr><w:pStyle w:val="Normal"/></w:pPr>
<w:r><w:t xml:space="preserve">Type of cell.         discharged in                  Weight of cell.</w:t></w:r>
</w:p>
<w:p>
<w:pPr><w:pStyle w:val="Normal"/></w:pPr>
<w:r><w:t xml:space="preserve">9 hrs.   6 hrs.    3 hrs.   1 hr.</w:t></w:r>
</w:p>
<w:p>
<w:pPr><w:pStyle w:val="Normal"/></w:pPr>
<w:r><w:t xml:space="preserve">Ordinary light-</w:t></w:r>
</w:p>
<w:p>
<w:pPr><w:pStyle w:val="Normal"/></w:pPr>
<w:r><w:t xml:space="preserve">ing . . . . .    200      182       153      101      100 pounds</w:t></w:r>
</w:p>
<w:p>
<w:pPr><w:pStyle w:val="Normal"/></w:pPr>
<w:r><w:t xml:space="preserve">&apos;&apos;     &apos;&apos;     420      380       300      210      200 pounds</w:t></w:r>
</w:p>
<w:p>
<w:pPr><w:pStyle w:val="Normal"/></w:pPr>
<w:r><w:t xml:space="preserve">&apos;&apos;     &apos;&apos;    1200     1080       880      600      670 pounds</w:t></w:r>
</w:p>
<w:p>
<w:pPr><w:pStyle w:val="Normal"/></w:pPr>
<w:r><w:t xml:space="preserve">Central station</w:t></w:r>
</w:p>
<w:p>
<w:pPr><w:pStyle w:val="Normal"/></w:pPr>
<w:r><w:t xml:space="preserve">and High Rate   3500     3100      2500     1700     2000 pounds</w:t></w:r>
</w:p>
<w:p>
<w:pPr><w:pStyle w:val="Normal"/></w:pPr>
<w:r><w:t xml:space="preserve">&apos;&apos;     &apos;&apos;    6000     5400      4400     3000     3200 pounds</w:t></w:r>
</w:p>
<w:p>
<w:pPr><w:pStyle w:val="Normal"/></w:pPr>
<w:r><w:t xml:space="preserve">Traction . . .   220      185       155      125       40 pounds</w:t></w:r>
</w:p>
<w:p>
<w:pPr><w:pStyle w:val="Normal"/></w:pPr>
<w:r><w:t xml:space="preserve">&apos;&apos;    . . .    ..      440       ..       ..        90 pounds</w:t></w:r>
</w:p>
<w:p>
<w:pPr><w:pStyle w:val="Normal"/></w:pPr>
<w:r><w:t xml:space="preserve">Influence of Temperature on Capacity.---These figures are</w:t></w:r>
</w:p>
<w:p>
<w:pPr><w:pStyle w:val="Normal"/></w:pPr>
<w:r><w:t xml:space="preserve">true only at ordinary temperatures.  In winter the capacity</w:t></w:r>
</w:p>
<w:p>
<w:pPr><w:pStyle w:val="Normal"/></w:pPr>
<w:r><w:t xml:space="preserve">is diminished, in summer it is increased.  The differences</w:t></w:r>
</w:p>
<w:p>
<w:pPr><w:pStyle w:val="Normal"/></w:pPr>
<w:r><w:t xml:space="preserve">are due partly to change of liquid resistance but more</w:t></w:r>
</w:p>
<w:p>
<w:pPr><w:pStyle w:val="Normal"/></w:pPr>
<w:r><w:t xml:space="preserve">especially to the difference in the rate at which acid</w:t></w:r>
</w:p>
<w:p>
<w:pPr><w:pStyle w:val="Normal"/></w:pPr>
<w:r><w:t xml:space="preserve">can diffuse into or out of the pores: obviously this is</w:t></w:r>
</w:p>
<w:p>
<w:pPr><w:pStyle w:val="Normal"/></w:pPr>
<w:r><w:t xml:space="preserve">greater at higher temperatures.  The increase in capacity</w:t></w:r>
</w:p>
<w:p>
<w:pPr><w:pStyle w:val="Normal"/></w:pPr>
<w:r><w:t xml:space="preserve">on warming is appreciable, and may amount to as much as</w:t></w:r>
</w:p>
<w:p>
<w:pPr><w:pStyle w:val="Normal"/></w:pPr>
<w:r><w:t xml:space="preserve">3% per degree centigrade (Gladstone and Hibbert, Journ.</w:t></w:r>
</w:p>
<w:p>
<w:pPr><w:pStyle w:val="Normal"/></w:pPr>
<w:r><w:t xml:space="preserve">Inst.  Elec.  Eng. xxi. 441; Helm, Electrician, NOV.</w:t></w:r>
</w:p>
<w:p>
<w:pPr><w:pStyle w:val="Normal"/></w:pPr>
<w:r><w:t xml:space="preserve">1901, i. 55; Liagre, L&apos;Eclairage electrique, 1901,xxix.</w:t></w:r>
</w:p>
<w:p>
<w:pPr><w:pStyle w:val="Normal"/></w:pPr>
<w:r><w:t xml:space="preserve">150). Notwithstanding these results, it is not advisable to</w:t></w:r>
</w:p>
<w:p>
<w:pPr><w:pStyle w:val="Normal"/></w:pPr>
<w:r><w:t xml:space="preserve">warm accumulators appreciably.  At higher temperatures, local</w:t></w:r>
</w:p>
<w:p>
<w:pPr><w:pStyle w:val="Normal"/></w:pPr>
<w:r><w:t xml:space="preserve">action is greatly increased and deterioration becomes more</w:t></w:r>
</w:p>
<w:p>
<w:pPr><w:pStyle w:val="Normal"/></w:pPr>
<w:r><w:t xml:space="preserve">rapid.  It is well, however, to avoid low winter temperatures.</w:t></w:r>
</w:p>
<w:p>
<w:pPr><w:pStyle w:val="Normal"/></w:pPr>
<w:r><w:t xml:space="preserve">Working of accumulators.--Whatever the type of cell may</w:t></w:r>
</w:p>
<w:p>
<w:pPr><w:pStyle w:val="Normal"/></w:pPr>
<w:r><w:t xml:space="preserve">be, it is important to attend to the following working</w:t></w:r>
</w:p>
<w:p>
<w:pPr><w:pStyle w:val="Normal"/></w:pPr>
<w:r><w:t xml:space="preserve">requirements--(1) The cells must be fully equal to the maximum</w:t></w:r>
</w:p>
<w:p>
<w:pPr><w:pStyle w:val="Normal"/></w:pPr>
<w:r><w:t xml:space="preserve">demand, both in discharge rate and capacity. (2) All the</w:t></w:r>
</w:p>
<w:p>
<w:pPr><w:pStyle w:val="Normal"/></w:pPr>
<w:r><w:t xml:space="preserve">cells in one series ought to be equal in discharge rate and</w:t></w:r>
</w:p>
<w:p>
<w:pPr><w:pStyle w:val="Normal"/></w:pPr>
<w:r><w:t xml:space="preserve">capacity.  This involves similarity of treatment. (3) The</w:t></w:r>
</w:p>
<w:p>
<w:pPr><w:pStyle w:val="Normal"/></w:pPr>
<w:r><w:t xml:space="preserve">cells are erected on strong wooden stands. Where floor space</w:t></w:r>
</w:p>
<w:p>
<w:pPr><w:pStyle w:val="Normal"/></w:pPr>
<w:r><w:t xml:space="preserve">is too expensive, they can be erected in tiers; but, if</w:t></w:r>
</w:p>
<w:p>
<w:pPr><w:pStyle w:val="Normal"/></w:pPr>
<w:r><w:t xml:space="preserve">possible, this should be avoided.  They ought to lie in rows,</w:t></w:r>
</w:p>
<w:p>
<w:pPr><w:pStyle w:val="Normal"/></w:pPr>
<w:r><w:t xml:space="preserve">so arranged that it is easy to get to one side (at least)</w:t></w:r>
</w:p>
<w:p>
<w:pPr><w:pStyle w:val="Normal"/></w:pPr>
<w:r><w:t xml:space="preserve">of every cell, for examination and testing, and if need be</w:t></w:r>
</w:p>
<w:p>
<w:pPr><w:pStyle w:val="Normal"/></w:pPr>
<w:r><w:t xml:space="preserve">to detach and remove it or its plates.  Where a second tier</w:t></w:r>
</w:p>
<w:p>
<w:pPr><w:pStyle w:val="Normal"/></w:pPr>
<w:r><w:t xml:space="preserve">is plaeed over the first, sufficient clearance space must</w:t></w:r>
</w:p>
<w:p>
<w:pPr><w:pStyle w:val="Normal"/></w:pPr>
<w:r><w:t xml:space="preserve">be allowed for the plates to be lifted out of the lower</w:t></w:r>
</w:p>
<w:p>
<w:pPr><w:pStyle w:val="Normal"/></w:pPr>
<w:r><w:t xml:space="preserve">boxes.  The cells are insulated by supporting them on glass</w:t></w:r>
</w:p>
<w:p>
<w:pPr><w:pStyle w:val="Normal"/></w:pPr>
<w:r><w:t xml:space="preserve">or mushroom-shaped oil insulators.  If the containing vessels</w:t></w:r>
</w:p>
<w:p>
<w:pPr><w:pStyle w:val="Normal"/></w:pPr>
<w:r><w:t xml:space="preserve">are made of glass, it it desirable to put them in wooden</w:t></w:r>
</w:p>
<w:p>
<w:pPr><w:pStyle w:val="Normal"/></w:pPr>
<w:r><w:t xml:space="preserve">trays which distribute the weight between the vessel and</w:t></w:r>
</w:p>
<w:p>
<w:pPr><w:pStyle w:val="Normal"/></w:pPr>
<w:r><w:t xml:space="preserve">insulators.  To prevent acid spray from filling the air of</w:t></w:r>
</w:p>
<w:p>
<w:pPr><w:pStyle w:val="Normal"/></w:pPr>
<w:r><w:t xml:space="preserve">the room, a glass plate is arranged over each cell.  The</w:t></w:r>
</w:p>
<w:p>
<w:pPr><w:pStyle w:val="Normal"/></w:pPr>
<w:r><w:t xml:space="preserve">positive and negative sections are fixed in position with</w:t></w:r>
</w:p>
<w:p>
<w:pPr><w:pStyle w:val="Normal"/></w:pPr>
<w:r><w:t xml:space="preserve">insulating forks or tubes, and the positive terminal of one</w:t></w:r>
</w:p>
<w:p>
<w:pPr><w:pStyle w:val="Normal"/></w:pPr>
<w:r><w:t xml:space="preserve">cell is joined to the negative of the next by burning or</w:t></w:r>
</w:p>
<w:p>
<w:pPr><w:pStyle w:val="Normal"/></w:pPr>
<w:r><w:t xml:space="preserve">bolting.  If the latter method is adopted, the surfaces ought</w:t></w:r>
</w:p>
<w:p>
<w:pPr><w:pStyle w:val="Normal"/></w:pPr>
<w:r><w:t xml:space="preserve">to be very clean and well pressed home.  The joint ought to</w:t></w:r>
</w:p>
<w:p>
<w:pPr><w:pStyle w:val="Normal"/></w:pPr>
<w:r><w:t xml:space="preserve">be covered by vaseline or varnish.  When this has been done,</w:t></w:r>
</w:p>
<w:p>
<w:pPr><w:pStyle w:val="Normal"/></w:pPr>
<w:r><w:t xml:space="preserve">examination ought to be made of each cell to see that the</w:t></w:r>
</w:p>
<w:p>
<w:pPr><w:pStyle w:val="Normal"/></w:pPr>
<w:r><w:t xml:space="preserve">plates are evenly spaced, that the separators (glass tubes</w:t></w:r>
</w:p>
<w:p>
<w:pPr><w:pStyle w:val="Normal"/></w:pPr>
<w:r><w:t xml:space="preserve">or ebonite forks between the plates) are in position and</w:t></w:r>
</w:p>
<w:p>
<w:pPr><w:pStyle w:val="Normal"/></w:pPr>
<w:r><w:t xml:space="preserve">vertical, and that there are no scales or other adventitious</w:t></w:r>
</w:p>
<w:p>
<w:pPr><w:pStyle w:val="Normal"/></w:pPr>
<w:r><w:t xml:space="preserve">matter connecting the plates.  The floor of the cell ought to</w:t></w:r>
</w:p>
<w:p>
<w:pPr><w:pStyle w:val="Normal"/></w:pPr>
<w:r><w:t xml:space="preserve">be quite clear; if anything lies there it must be removed. (4)</w:t></w:r>
</w:p>
<w:p>
<w:pPr><w:pStyle w:val="Normal"/></w:pPr>
<w:r><w:t xml:space="preserve">To mix the solution a gentle stream of sulphuric acid must</w:t></w:r>
</w:p>
<w:p>
<w:pPr><w:pStyle w:val="Normal"/></w:pPr>
<w:r><w:t xml:space="preserve">be poured into the water (not the other way, lest too great</w:t></w:r>
</w:p>
<w:p>
<w:pPr><w:pStyle w:val="Normal"/></w:pPr>
<w:r><w:t xml:space="preserve">heating cause an accident). It is necessary to stir the whole</w:t></w:r>
</w:p>
<w:p>
<w:pPr><w:pStyle w:val="Normal"/></w:pPr>
<w:r><w:t xml:space="preserve">as the mixing proceeds and to arrange that the density is</w:t></w:r>
</w:p>
<w:p>
<w:pPr><w:pStyle w:val="Normal"/></w:pPr>
<w:r><w:t xml:space="preserve">about 1190, or according to the recommendation of the maker.</w:t></w:r>
</w:p>
<w:p>
<w:pPr><w:pStyle w:val="Normal"/></w:pPr>
<w:r><w:t xml:space="preserve">About five volumes of water ought to be taken to one volume of</w:t></w:r>
</w:p>
<w:p>
<w:pPr><w:pStyle w:val="Normal"/></w:pPr>
<w:r><w:t xml:space="preserve">acid.  After mixing, allow to cool for two or three hours. The</w:t></w:r>
</w:p>
<w:p>
<w:pPr><w:pStyle w:val="Normal"/></w:pPr>
<w:r><w:t xml:space="preserve">strong acid ought to be free from arsenic, copper and other</w:t></w:r>
</w:p>
<w:p>
<w:pPr><w:pStyle w:val="Normal"/></w:pPr>
<w:r><w:t xml:space="preserve">similar impurities.  The water ought to be as pure as can</w:t></w:r>
</w:p>
<w:p>
<w:pPr><w:pStyle w:val="Normal"/></w:pPr>
<w:r><w:t xml:space="preserve">be obtained, distilled water being best; rain water is also</w:t></w:r>
</w:p>
<w:p>
<w:pPr><w:pStyle w:val="Normal"/></w:pPr>
<w:r><w:t xml:space="preserve">good.  If potable water be employed, it will generally be</w:t></w:r>
</w:p>
<w:p>
<w:pPr><w:pStyle w:val="Normal"/></w:pPr>
<w:r><w:t xml:space="preserve">improved by boiling, which removes some of the lime held in</w:t></w:r>
</w:p>
<w:p>
<w:pPr><w:pStyle w:val="Normal"/></w:pPr>
<w:r><w:t xml:space="preserve">solution.  The impurity in ordinary drinking water is very</w:t></w:r>
</w:p>
<w:p>
<w:pPr><w:pStyle w:val="Normal"/></w:pPr>
<w:r><w:t xml:space="preserve">slight; but as all cells lose by evaporation and require</w:t></w:r>
</w:p>
<w:p>
<w:pPr><w:pStyle w:val="Normal"/></w:pPr>
<w:r><w:t xml:space="preserve">additions of water from time to time, there is a tendency</w:t></w:r>
</w:p>
<w:p>
<w:pPr><w:pStyle w:val="Normal"/></w:pPr>
<w:r><w:t xml:space="preserve">for it to increase.  The acid must not be put into the cells</w:t></w:r>
</w:p>
<w:p>
<w:pPr><w:pStyle w:val="Normal"/></w:pPr>
<w:r><w:t xml:space="preserve">till everything is ready for charging. (5) A shunt-wound</w:t></w:r>
</w:p>
<w:p>
<w:pPr><w:pStyle w:val="Normal"/></w:pPr>
<w:r><w:t xml:space="preserve">or separately-excited dynamo being ready and running so as</w:t></w:r>
</w:p>
<w:p>
<w:pPr><w:pStyle w:val="Normal"/></w:pPr>
<w:r><w:t xml:space="preserve">to give at will 2.6 or 2.7 volts per cell, the acid is run</w:t></w:r>
</w:p>
<w:p>
<w:pPr><w:pStyle w:val="Normal"/></w:pPr>
<w:r><w:t xml:space="preserve">into the cells.  As soon as this is done, the dynamo must be</w:t></w:r>
</w:p>
<w:p>
<w:pPr><w:pStyle w:val="Normal"/></w:pPr>
<w:r><w:t xml:space="preserve">switched on and charging commenced.  The positive terminal</w:t></w:r>
</w:p>
<w:p>
<w:pPr><w:pStyle w:val="Normal"/></w:pPr>
<w:r><w:t xml:space="preserve">of the dynamo must be joined to the positive terminal of the</w:t></w:r>
</w:p>
<w:p>
<w:pPr><w:pStyle w:val="Normal"/></w:pPr>
<w:r><w:t xml:space="preserve">battery.  If necessary, the + end of the machine must be</w:t></w:r>
</w:p>
<w:p>
<w:pPr><w:pStyle w:val="Normal"/></w:pPr>
<w:r><w:t xml:space="preserve">found by a trial cell made of two plain lead sheets in dilute</w:t></w:r>
</w:p>
<w:p>
<w:pPr><w:pStyle w:val="Normal"/></w:pPr>
<w:r><w:t xml:space="preserve">acid.  It is important also to maintain this first charging</w:t></w:r>
</w:p>
<w:p>
<w:pPr><w:pStyle w:val="Normal"/></w:pPr>
<w:r><w:t xml:space="preserve">operation for a long time without a break.  Twelve hours</w:t></w:r>
</w:p>
<w:p>
<w:pPr><w:pStyle w:val="Normal"/></w:pPr>
<w:r><w:t xml:space="preserve">is a minimum time, twenty-four not too much.  The charging</w:t></w:r>
</w:p>
<w:p>
<w:pPr><w:pStyle w:val="Normal"/></w:pPr>
<w:r><w:t xml:space="preserve">is not even then complete, though a short interval is not</w:t></w:r>
</w:p>
<w:p>
<w:pPr><w:pStyle w:val="Normal"/></w:pPr>
<w:r><w:t xml:space="preserve">so injurious as in the earlier stage.  The full charge</w:t></w:r>
</w:p>
<w:p>
<w:pPr><w:pStyle w:val="Normal"/></w:pPr>
<w:r><w:t xml:space="preserve">required varies with the cells, but in all types a full</w:t></w:r>
</w:p>
<w:p>
<w:pPr><w:pStyle w:val="Normal"/></w:pPr>
<w:r><w:t xml:space="preserve">and practically continuous first charge is imperatively</w:t></w:r>
</w:p>
<w:p>
<w:pPr><w:pStyle w:val="Normal"/></w:pPr>
<w:r><w:t xml:space="preserve">necessary.  During the early part of this charge the density</w:t></w:r>
</w:p>
<w:p>
<w:pPr><w:pStyle w:val="Normal"/></w:pPr>
<w:r><w:t xml:space="preserve">of the acid may fall; but after a time ought to increase, and</w:t></w:r>
</w:p>
<w:p>
<w:pPr><w:pStyle w:val="Normal"/></w:pPr>
<w:r><w:t xml:space="preserve">finally reach the value desired for permanent working.  Towards</w:t></w:r>
</w:p>
<w:p>
<w:pPr><w:pStyle w:val="Normal"/></w:pPr>
<w:r><w:t xml:space="preserve">the end of the ``formation&apos;&apos; vigilant observation must be</w:t></w:r>
</w:p>
<w:p>
<w:pPr><w:pStyle w:val="Normal"/></w:pPr>
<w:r><w:t xml:space="preserve">exercised.  It is important to notice whether any cells are</w:t></w:r>
</w:p>
<w:p>
<w:pPr><w:pStyle w:val="Normal"/></w:pPr>
<w:r><w:t xml:space="preserve">appreciably behind the others in voltage, density or gassing.</w:t></w:r>
</w:p>
<w:p>
<w:pPr><w:pStyle w:val="Normal"/></w:pPr>
<w:r><w:t xml:space="preserve">Such cells may be faulty, and in any case they must be charged</w:t></w:r>
</w:p>
<w:p>
<w:pPr><w:pStyle w:val="Normal"/></w:pPr>
<w:r><w:t xml:space="preserve">and tended till their condition is like that of the others.</w:t></w:r>
</w:p>
<w:p>
<w:pPr><w:pStyle w:val="Normal"/></w:pPr>
<w:r><w:t xml:space="preserve">They ought not to go on the discharge circuit till this is</w:t></w:r>
</w:p>
<w:p>
<w:pPr><w:pStyle w:val="Normal"/></w:pPr>
<w:r><w:t xml:space="preserve">assured.  The examination of the cells before passing them</w:t></w:r>
</w:p>
<w:p>
<w:pPr><w:pStyle w:val="Normal"/></w:pPr>
<w:r><w:t xml:space="preserve">as ready for discharge includes:---(a) Density of acid as</w:t></w:r>
</w:p>
<w:p>
<w:pPr><w:pStyle w:val="Normal"/></w:pPr>
<w:r><w:t xml:space="preserve">shown by the hydrometer. (b) Voltage.  This may be taken</w:t></w:r>
</w:p>
<w:p>
<w:pPr><w:pStyle w:val="Normal"/></w:pPr>
<w:r><w:t xml:space="preserve">when charging or when idle.  In the first case it ought to</w:t></w:r>
</w:p>
<w:p>
<w:pPr><w:pStyle w:val="Normal"/></w:pPr>
<w:r><w:t xml:space="preserve">be from 2.4 to 2.6 volts, according to conditions.  In the</w:t></w:r>
</w:p>
<w:p>
<w:pPr><w:pStyle w:val="Normal"/></w:pPr>
<w:r><w:t xml:space="preserve">second ease it ought to be just over 2 volts, provided that</w:t></w:r>
</w:p>
<w:p>
<w:pPr><w:pStyle w:val="Normal"/></w:pPr>
<w:r><w:t xml:space="preserve">the observation is not taken too soon after switching in the</w:t></w:r>
</w:p>
<w:p>
<w:pPr><w:pStyle w:val="Normal"/></w:pPr>
<w:r><w:t xml:space="preserve">charging current.  For about half an hour after that is done,</w:t></w:r>
</w:p>
<w:p>
<w:pPr><w:pStyle w:val="Normal"/></w:pPr>
<w:r><w:t xml:space="preserve">the E.M.F. has a transient high value, so that, if it be</w:t></w:r>
</w:p>
<w:p>
<w:pPr><w:pStyle w:val="Normal"/></w:pPr>
<w:r><w:t xml:space="preserve">desired to get the proper E.M.F. of the cell, the observation</w:t></w:r>
</w:p>
<w:p>
<w:pPr><w:pStyle w:val="Normal"/></w:pPr>
<w:r><w:t xml:space="preserve">must be taken thirty minutes after the charging ceases.</w:t></w:r>
</w:p>
<w:p>
<w:pPr><w:pStyle w:val="Normal"/></w:pPr>
<w:r><w:t xml:space="preserve">(c) Eye observations of the plates and the acid between</w:t></w:r>
</w:p>
<w:p>
<w:pPr><w:pStyle w:val="Normal"/></w:pPr>
<w:r><w:t xml:space="preserve">them.  The positive plates ought to show a rich dark brown</w:t></w:r>
</w:p>
<w:p>
<w:pPr><w:pStyle w:val="Normal"/></w:pPr>
<w:r><w:t xml:space="preserve">colour, the negatives a dull slate-blue, and the space between</w:t></w:r>
</w:p>
<w:p>
<w:pPr><w:pStyle w:val="Normal"/></w:pPr>
<w:r><w:t xml:space="preserve">ought to be quite clear and free from anything like solid</w:t></w:r>
</w:p>
<w:p>
<w:pPr><w:pStyle w:val="Normal"/></w:pPr>
<w:r><w:t xml:space="preserve">matter.  All the positives ought to be alike, and similarly</w:t></w:r>
</w:p>
<w:p>
<w:pPr><w:pStyle w:val="Normal"/></w:pPr>
<w:r><w:t xml:space="preserve">all the negatives.  If the cells show similarity in these</w:t></w:r>
</w:p>
<w:p>
<w:pPr><w:pStyle w:val="Normal"/></w:pPr>
<w:r><w:t xml:space="preserve">respects they will probably be in good working order.</w:t></w:r>
</w:p>
<w:p>
<w:pPr><w:pStyle w:val="Normal"/></w:pPr>
<w:r><w:t xml:space="preserve">As to management, it is important to keep to certain simple</w:t></w:r>
</w:p>
<w:p>
<w:pPr><w:pStyle w:val="Normal"/></w:pPr>
<w:r><w:t xml:space="preserve">rules, of which these are the chief:--(1) Never discharge below</w:t></w:r>
</w:p>
<w:p>
<w:pPr><w:pStyle w:val="Normal"/></w:pPr>
<w:r><w:t xml:space="preserve">a potential difference of 1.85 (or in rapid discharge, 1.8)</w:t></w:r>
</w:p>
<w:p>
<w:pPr><w:pStyle w:val="Normal"/></w:pPr>
<w:r><w:t xml:space="preserve">volt. (2) Never leave the cells discharged, if it be avoidable.</w:t></w:r>
</w:p>
<w:p>
<w:pPr><w:pStyle w:val="Normal"/></w:pPr>
<w:r><w:t xml:space="preserve">(3) Give the cells a special full charging once a month. (4)</w:t></w:r>
</w:p>
<w:p>
<w:pPr><w:pStyle w:val="Normal"/></w:pPr>
<w:r><w:t xml:space="preserve">Make a periodic examination of each cell, determining its</w:t></w:r>
</w:p>
<w:p>
<w:pPr><w:pStyle w:val="Normal"/></w:pPr>
<w:r><w:t xml:space="preserve">E.M.F., density of acid, the condition of its plates and</w:t></w:r>
</w:p>
<w:p>
<w:pPr><w:pStyle w:val="Normal"/></w:pPr>
<w:r><w:t xml:space="preserve">freedom from growth.  Any incipient growth, however small, must</w:t></w:r>
</w:p>
<w:p>
<w:pPr><w:pStyle w:val="Normal"/></w:pPr>
<w:r><w:t xml:space="preserve">be carefully watched. (5) If any cell shows signs of weakness,</w:t></w:r>
</w:p>
<w:p>
<w:pPr><w:pStyle w:val="Normal"/></w:pPr>
<w:r><w:t xml:space="preserve">keep it off discharge till it has been brought back to full</w:t></w:r>
</w:p>
<w:p>
<w:pPr><w:pStyle w:val="Normal"/></w:pPr>
<w:r><w:t xml:space="preserve">condition. See that it is free from any connexion between</w:t></w:r>
</w:p>
<w:p>
<w:pPr><w:pStyle w:val="Normal"/></w:pPr>
<w:r><w:t xml:space="preserve">the plates which would cause short-circuiting; tne frame or</w:t></w:r>
</w:p>
<w:p>
<w:pPr><w:pStyle w:val="Normal"/></w:pPr>
<w:r><w:t xml:space="preserve">support which carries the plates sometimes gets covered by</w:t></w:r>
</w:p>
<w:p>
<w:pPr><w:pStyle w:val="Normal"/></w:pPr>
<w:r><w:t xml:space="preserve">a conducting layer.  To restore the cell, two methods can be</w:t></w:r>
</w:p>
<w:p>
<w:pPr><w:pStyle w:val="Normal"/></w:pPr>
<w:r><w:t xml:space="preserve">adopted.  In private installations it may be disconnected</w:t></w:r>
</w:p>
<w:p>
<w:pPr><w:pStyle w:val="Normal"/></w:pPr>
<w:r><w:t xml:space="preserve">and charged by one or two cells reserved for the purpose;</w:t></w:r>
</w:p>
<w:p>
<w:pPr><w:pStyle w:val="Normal"/></w:pPr>
<w:r><w:t xml:space="preserve">or, as is preferable, it may be left in circuit, and a cell</w:t></w:r>
</w:p>
<w:p>
<w:pPr><w:pStyle w:val="Normal"/></w:pPr>
<w:r><w:t xml:space="preserve">in good order put in parallel with it.  This acts as a</w:t></w:r>
</w:p>
<w:p>
<w:pPr><w:pStyle w:val="Normal"/></w:pPr>
<w:r><w:t xml:space="preserve">``milking&apos;&apos; cell, not only preventing the faulty one from</w:t></w:r>
</w:p>
<w:p>
<w:pPr><w:pStyle w:val="Normal"/></w:pPr>
<w:r><w:t xml:space="preserve">discharging, but keeping it supplied mith a charging current</w:t></w:r>
</w:p>
<w:p>
<w:pPr><w:pStyle w:val="Normal"/></w:pPr>
<w:r><w:t xml:space="preserve">till its potential difference (P.D.) is normal. Every</w:t></w:r>
</w:p>
<w:p>
<w:pPr><w:pStyle w:val="Normal"/></w:pPr>
<w:r><w:t xml:space="preserve">battery attendant should be provided with a hydrometer and a</w:t></w:r>
</w:p>
<w:p>
<w:pPr><w:pStyle w:val="Normal"/></w:pPr>
<w:r><w:t xml:space="preserve">voltmeter.  The former enables him to determine from time</w:t></w:r>
</w:p>
<w:p>
<w:pPr><w:pStyle w:val="Normal"/></w:pPr>
<w:r><w:t xml:space="preserve">to time the density of the acid in the cells; instruments</w:t></w:r>
</w:p>
<w:p>
<w:pPr><w:pStyle w:val="Normal"/></w:pPr>
<w:r><w:t xml:space="preserve">specially constructed for the purpose are now easily procurable,</w:t></w:r>
</w:p>
<w:p>
<w:pPr><w:pStyle w:val="Normal"/></w:pPr>
<w:r><w:t xml:space="preserve">and it is desirable that one be provided for every 20 or 25</w:t></w:r>
</w:p>
<w:p>
<w:pPr><w:pStyle w:val="Normal"/></w:pPr>
<w:r><w:t xml:space="preserve">cells.  The voltmeter should read up to about 3 volts and</w:t></w:r>
</w:p>
<w:p>
<w:pPr><w:pStyle w:val="Normal"/></w:pPr>
<w:r><w:t xml:space="preserve">be fitted with a suitable connector to enable contacts to</w:t></w:r>
</w:p>
<w:p>
<w:pPr><w:pStyle w:val="Normal"/></w:pPr>
<w:r><w:t xml:space="preserve">be made quickly with any desired cell. A portable glow lamp</w:t></w:r>
</w:p>
<w:p>
<w:pPr><w:pStyle w:val="Normal"/></w:pPr>
<w:r><w:t xml:space="preserve">should also be available, so that a full light can be thrown</w:t></w:r>
</w:p>
<w:p>
<w:pPr><w:pStyle w:val="Normal"/></w:pPr>
<w:r><w:t xml:space="preserve">into any cell; a frosted bulb is rather better than a clear</w:t></w:r>
</w:p>
<w:p>
<w:pPr><w:pStyle w:val="Normal"/></w:pPr>
<w:r><w:t xml:space="preserve">one for this purpose.  He must also have some form of wooden</w:t></w:r>
</w:p>
<w:p>
<w:pPr><w:pStyle w:val="Normal"/></w:pPr>
<w:r><w:t xml:space="preserve">scraper to remove any growth from the plates.  The scraping</w:t></w:r>
</w:p>
<w:p>
<w:pPr><w:pStyle w:val="Normal"/></w:pPr>
<w:r><w:t xml:space="preserve">must be done gently, with as little other disturbance as</w:t></w:r>
</w:p>
<w:p>
<w:pPr><w:pStyle w:val="Normal"/></w:pPr>
<w:r><w:t xml:space="preserve">possible.  By the ordinary operations which go on in the</w:t></w:r>
</w:p>
<w:p>
<w:pPr><w:pStyle w:val="Normal"/></w:pPr>
<w:r><w:t xml:space="preserve">cell, small portions of the plates become detached.  It is</w:t></w:r>
</w:p>
<w:p>
<w:pPr><w:pStyle w:val="Normal"/></w:pPr>
<w:r><w:t xml:space="preserve">important that these should fall below the plates, lest they</w:t></w:r>
</w:p>
<w:p>
<w:pPr><w:pStyle w:val="Normal"/></w:pPr>
<w:r><w:t xml:space="preserve">short-circuit the cell, and therefore sufficient space ought to</w:t></w:r>
</w:p>
<w:p>
<w:pPr><w:pStyle w:val="Normal"/></w:pPr>
<w:r><w:t xml:space="preserve">be left between the bottom of the plates and the floor of the</w:t></w:r>
</w:p>
<w:p>
<w:pPr><w:pStyle w:val="Normal"/></w:pPr>
<w:r><w:t xml:space="preserve">cell for these ``scalings&apos;&apos; to accumulate without touching the</w:t></w:r>
</w:p>
<w:p>
<w:pPr><w:pStyle w:val="Normal"/></w:pPr>
<w:r><w:t xml:space="preserve">plates.  It is desirable that they be disturbed as little</w:t></w:r>
</w:p>
<w:p>
<w:pPr><w:pStyle w:val="Normal"/></w:pPr>
<w:r><w:t xml:space="preserve">as possible till their increase seriously encroaches on the</w:t></w:r>
</w:p>
<w:p>
<w:pPr><w:pStyle w:val="Normal"/></w:pPr>
<w:r><w:t xml:space="preserve">free space. It sometimes happens that brass nuts or bolts,</w:t></w:r>
</w:p>
<w:p>
<w:pPr><w:pStyle w:val="Normal"/></w:pPr>
<w:r><w:t xml:space="preserve">&amp;c., are dropped into a cell; these should be removed at</w:t></w:r>
</w:p>
<w:p>
<w:pPr><w:pStyle w:val="Normal"/></w:pPr>
<w:r><w:t xml:space="preserve">once, as their partial solution would greatly endanger</w:t></w:r>
</w:p>
<w:p>
<w:pPr><w:pStyle w:val="Normal"/></w:pPr>
<w:r><w:t xml:space="preserve">the negative plates.  The level of the liquid must be</w:t></w:r>
</w:p>
<w:p>
<w:pPr><w:pStyle w:val="Normal"/></w:pPr>
<w:r><w:t xml:space="preserve">kept above the top of the plates.  Experience shows the</w:t></w:r>
</w:p>
<w:p>
<w:pPr><w:pStyle w:val="Normal"/></w:pPr>
<w:r><w:t xml:space="preserve">advisability of using distilled water for this purpose.  It</w:t></w:r>
</w:p>
<w:p>
<w:pPr><w:pStyle w:val="Normal"/></w:pPr>
<w:r><w:t xml:space="preserve">may sometimes be necessary to replenish the solution with</w:t></w:r>
</w:p>
<w:p>
<w:pPr><w:pStyle w:val="Normal"/></w:pPr>
<w:r><w:t xml:space="preserve">some dilute acid, but strong acid must never be added.</w:t></w:r>
</w:p>
<w:p>
<w:pPr><w:pStyle w:val="Normal"/></w:pPr>
<w:r><w:t xml:space="preserve">The chief faults are buckling, growth, sulphating and</w:t></w:r>
</w:p>
<w:p>
<w:pPr><w:pStyle w:val="Normal"/></w:pPr>
<w:r><w:t xml:space="preserve">disintegration.  Buckling of the plates generally follows</w:t></w:r>
</w:p>
<w:p>
<w:pPr><w:pStyle w:val="Normal"/></w:pPr>
<w:r><w:t xml:space="preserve">excessive discharge, caused by abnormal load or by accidental</w:t></w:r>
</w:p>
<w:p>
<w:pPr><w:pStyle w:val="Normal"/></w:pPr>
<w:r><w:t xml:space="preserve">short-circuiting.  At such times asymmetry in the cell is apt</w:t></w:r>
</w:p>
<w:p>
<w:pPr><w:pStyle w:val="Normal"/></w:pPr>
<w:r><w:t xml:space="preserve">to make some part of the plate take much more than its share</w:t></w:r>
</w:p>
<w:p>
<w:pPr><w:pStyle w:val="Normal"/></w:pPr>
<w:r><w:t xml:space="preserve">of the current.  That part then expands unduly, as explained</w:t></w:r>
</w:p>
<w:p>
<w:pPr><w:pStyle w:val="Normal"/></w:pPr>
<w:r><w:t xml:space="preserve">later, and curvature is produced.  The only remedy is to</w:t></w:r>
</w:p>
<w:p>
<w:pPr><w:pStyle w:val="Normal"/></w:pPr>
<w:r><w:t xml:space="preserve">remove the plate, and press it back into shape as gently as</w:t></w:r>
</w:p>
<w:p>
<w:pPr><w:pStyle w:val="Normal"/></w:pPr>
<w:r><w:t xml:space="preserve">possible.  Growth arises generally from scales from one part</w:t></w:r>
</w:p>
<w:p>
<w:pPr><w:pStyle w:val="Normal"/></w:pPr>
<w:r><w:t xml:space="preserve">falling on some other--say, on the negative.  In the next</w:t></w:r>
</w:p>
<w:p>
<w:pPr><w:pStyle w:val="Normal"/></w:pPr>
<w:r><w:t xml:space="preserve">charging the scale is reduced to a projecting bit of lead,</w:t></w:r>
</w:p>
<w:p>
<w:pPr><w:pStyle w:val="Normal"/></w:pPr>
<w:r><w:t xml:space="preserve">which grows still further because other particles rest on</w:t></w:r>
</w:p>
<w:p>
<w:pPr><w:pStyle w:val="Normal"/></w:pPr>
<w:r><w:t xml:space="preserve">it.  The remedy is, gently to scrape off any incipient</w:t></w:r>
</w:p>
<w:p>
<w:pPr><w:pStyle w:val="Normal"/></w:pPr>
<w:r><w:t xml:space="preserve">growth.  Sulphating, the formation of a white hard surface</w:t></w:r>
</w:p>
<w:p>
<w:pPr><w:pStyle w:val="Normal"/></w:pPr>
<w:r><w:t xml:space="preserve">on the active material, is due to neglect or excessive</w:t></w:r>
</w:p>
<w:p>
<w:pPr><w:pStyle w:val="Normal"/></w:pPr>
<w:r><w:t xml:space="preserve">discharge.  It often yields if a small quantity of sulphate</w:t></w:r>
</w:p>
<w:p>
<w:pPr><w:pStyle w:val="Normal"/></w:pPr>
<w:r><w:t xml:space="preserve">of soda be added to the liquid in the cell.  Disintegration</w:t></w:r>
</w:p>
<w:p>
<w:pPr><w:pStyle w:val="Normal"/></w:pPr>
<w:r><w:t xml:space="preserve">is due to local action, and there is no ultimate remedy.</w:t></w:r>
</w:p>
<w:p>
<w:pPr><w:pStyle w:val="Normal"/></w:pPr>
<w:r><w:t xml:space="preserve">The end can be deferred by care in working, and by avoiding</w:t></w:r>
</w:p>
<w:p>
<w:pPr><w:pStyle w:val="Normal"/></w:pPr>
<w:r><w:t xml:space="preserve">strains and excessive discharge as much as possible.</w:t></w:r>
</w:p>
<w:p>
<w:pPr><w:pStyle w:val="Normal"/></w:pPr>
<w:r><w:t xml:space="preserve">Accumulators in repose.---Accumulators contain only three</w:t></w:r>
</w:p>
<w:p>
<w:pPr><w:pStyle w:val="Normal"/></w:pPr>
<w:r><w:t xml:space="preserve">active substances---spongy lead on the negative plate, spongy</w:t></w:r>
</w:p>
<w:p>
<w:pPr><w:pStyle w:val="Normal"/></w:pPr>
<w:r><w:t xml:space="preserve">lead peroxide on the positive, and dilute sulphuric acid between</w:t></w:r>
</w:p>
<w:p>
<w:pPr><w:pStyle w:val="Normal"/></w:pPr>
<w:r><w:t xml:space="preserve">TABLE</w:t></w:r>
</w:p>
<w:p>
<w:pPr><w:pStyle w:val="Normal"/></w:pPr>
<w:r><w:t xml:space="preserve">Substance.         Colour.        Density.     Specific Resistance.</w:t></w:r>
</w:p>
<w:p>
<w:pPr><w:pStyle w:val="Normal"/></w:pPr>
<w:r><w:t xml:space="preserve">Lead . . . .       slate blue        11.3         0.0000195 ohm</w:t></w:r>
</w:p>
<w:p>
<w:pPr><w:pStyle w:val="Normal"/></w:pPr>
<w:r><w:t xml:space="preserve">Peroxide of lead   dark brown         9.28        5.6 to 6.8 &apos;&apos;</w:t></w:r>
</w:p>
<w:p>
<w:pPr><w:pStyle w:val="Normal"/></w:pPr>
<w:r><w:t xml:space="preserve">Sulphuric acid</w:t></w:r>
</w:p>
<w:p>
<w:pPr><w:pStyle w:val="Normal"/></w:pPr>
<w:r><w:t xml:space="preserve">after charge     clear liquid       1.210       1.37       &apos;&apos;</w:t></w:r>
</w:p>
<w:p>
<w:pPr><w:pStyle w:val="Normal"/></w:pPr>
<w:r><w:t xml:space="preserve">Sulphuric acid</w:t></w:r>
</w:p>
<w:p>
<w:pPr><w:pStyle w:val="Normal"/></w:pPr>
<w:r><w:t xml:space="preserve">after discharge    &apos;&apos;    &apos;&apos;         1.170       1.28       &apos;&apos;</w:t></w:r>
</w:p>
<w:p>
<w:pPr><w:pStyle w:val="Normal"/></w:pPr>
<w:r><w:t xml:space="preserve">Sulphuric acid                       below</w:t></w:r>
</w:p>
<w:p>
<w:pPr><w:pStyle w:val="Normal"/></w:pPr>
<w:r><w:t xml:space="preserve">in pores . . .     &apos;&apos;    &apos;&apos;         1.03        8.0        &apos;&apos;</w:t></w:r>
</w:p>
<w:p>
<w:pPr><w:pStyle w:val="Normal"/></w:pPr>
<w:r><w:t xml:space="preserve">Sulphate of lead    white             6.3         non-conductor.</w:t></w:r>
</w:p>
<w:p>
<w:pPr><w:pStyle w:val="Normal"/></w:pPr>
<w:r><w:t xml:space="preserve">them.  Sulphate of lead is formed on both plates during</w:t></w:r>
</w:p>
<w:p>
<w:pPr><w:pStyle w:val="Normal"/></w:pPr>
<w:r><w:t xml:space="preserve">discharge and brought back to lead and lead peroxide</w:t></w:r>
</w:p>
<w:p>
<w:pPr><w:pStyle w:val="Normal"/></w:pPr>
<w:r><w:t xml:space="preserve">again during charge, and there is a consequent change</w:t></w:r>
</w:p>
<w:p>
<w:pPr><w:pStyle w:val="Normal"/></w:pPr>
<w:r><w:t xml:space="preserve">in the strength of acid during every cycle.  The chief</w:t></w:r>
</w:p>
<w:p>
<w:pPr><w:pStyle w:val="Normal"/></w:pPr>
<w:r><w:t xml:space="preserve">properties of these substances are shown in Table II.</w:t></w:r>
</w:p>
<w:p>
<w:pPr><w:pStyle w:val="Normal"/></w:pPr>
<w:r><w:t xml:space="preserve">The curve in fig. 9 shows the relative conductivity (reciprocal</w:t></w:r>
</w:p>
<w:p>
<w:pPr><w:pStyle w:val="Normal"/></w:pPr>
<w:r><w:t xml:space="preserve">of resistance) of all the strengths of sulphuric acid solutions,</w:t></w:r>
</w:p>
<w:p>
<w:pPr><w:pStyle w:val="Normal"/></w:pPr>
<w:r><w:t xml:space="preserve">and by its aid and the figures in the preceding table, the</w:t></w:r>
</w:p>
<w:p>
<w:pPr><w:pStyle w:val="Normal"/></w:pPr>
<w:r><w:t xml:space="preserve">specific resistance of any given strength can be determined.</w:t></w:r>
</w:p>
<w:p>
<w:pPr><w:pStyle w:val="Normal"/></w:pPr>
<w:r><w:t xml:space="preserve">Fig 9</w:t></w:r>
</w:p>
<w:p>
<w:pPr><w:pStyle w:val="Normal"/></w:pPr>
<w:r><w:t xml:space="preserve">The lead accumulator is subject to three kinds of local</w:t></w:r>
</w:p>
<w:p>
<w:pPr><w:pStyle w:val="Normal"/></w:pPr>
<w:r><w:t xml:space="preserve">action.  First and chiefly, local action on the positive</w:t></w:r>
</w:p>
<w:p>
<w:pPr><w:pStyle w:val="Normal"/></w:pPr>
<w:r><w:t xml:space="preserve">plate, because of the contact between lead peroxide and</w:t></w:r>
</w:p>
<w:p>
<w:pPr><w:pStyle w:val="Normal"/></w:pPr>
<w:r><w:t xml:space="preserve">the lead grid which supports it.  In carelessly made or</w:t></w:r>
</w:p>
<w:p>
<w:pPr><w:pStyle w:val="Normal"/></w:pPr>
<w:r><w:t xml:space="preserve">roughly handled cells this may be a very serious matter.</w:t></w:r>
</w:p>
<w:p>
<w:pPr><w:pStyle w:val="Normal"/></w:pPr>
<w:r><w:t xml:space="preserve">It would be so, in all circumstances if the lead sulphate</w:t></w:r>
</w:p>
<w:p>
<w:pPr><w:pStyle w:val="Normal"/></w:pPr>
<w:r><w:t xml:space="preserve">formed on the exposed lead grid did not act as a covering for</w:t></w:r>
</w:p>
<w:p>
<w:pPr><w:pStyle w:val="Normal"/></w:pPr>
<w:r><w:t xml:space="preserve">it.  It explains why Plante found ``repose&apos;&apos; a useful</w:t></w:r>
</w:p>
<w:p>
<w:pPr><w:pStyle w:val="Normal"/></w:pPr>
<w:r><w:t xml:space="preserve">help in ``forming,&apos;&apos; and also why positive plates slowly</w:t></w:r>
</w:p>
<w:p>
<w:pPr><w:pStyle w:val="Normal"/></w:pPr>
<w:r><w:t xml:space="preserve">disintegrate; the lead support is gradually eaten through.</w:t></w:r>
</w:p>
<w:p>
<w:pPr><w:pStyle w:val="Normal"/></w:pPr>
<w:r><w:t xml:space="preserve">Secondly, local action on the negative plate when a more</w:t></w:r>
</w:p>
<w:p>
<w:pPr><w:pStyle w:val="Normal"/></w:pPr>
<w:r><w:t xml:space="preserve">electro-negative metal settles on the lead.  This often</w:t></w:r>
</w:p>
<w:p>
<w:pPr><w:pStyle w:val="Normal"/></w:pPr>
<w:r><w:t xml:space="preserve">arises when the original paste or acid contains metallic</w:t></w:r>
</w:p>
<w:p>
<w:pPr><w:pStyle w:val="Normal"/></w:pPr>
<w:r><w:t xml:space="preserve">impurities.  Similar impurity is also introduced by scraping</w:t></w:r>
</w:p>
<w:p>
<w:pPr><w:pStyle w:val="Normal"/></w:pPr>
<w:r><w:t xml:space="preserve">copper wire, &amp;c., near a battery.  Thirdly, local action</w:t></w:r>
</w:p>
<w:p>
<w:pPr><w:pStyle w:val="Normal"/></w:pPr>
<w:r><w:t xml:space="preserve">due to the acid varying in strength in different parts of a</w:t></w:r>
</w:p>
<w:p>
<w:pPr><w:pStyle w:val="Normal"/></w:pPr>
<w:r><w:t xml:space="preserve">plate.  This may arise on either plate and is set up because</w:t></w:r>
</w:p>
<w:p>
<w:pPr><w:pStyle w:val="Normal"/></w:pPr>
<w:r><w:t xml:space="preserve">two specimens of either the same lead or the same peroxide give</w:t></w:r>
</w:p>
<w:p>
<w:pPr><w:pStyle w:val="Normal"/></w:pPr>
<w:r><w:t xml:space="preserve">an E.M.F. when placed in acids of different strengths.  J.</w:t></w:r>
</w:p>
<w:p>
<w:pPr><w:pStyle w:val="Normal"/></w:pPr>
<w:r><w:t xml:space="preserve">H. Gladstone and W. Hibbert found that the E.M.F. depends</w:t></w:r>
</w:p>
<w:p>
<w:pPr><w:pStyle w:val="Normal"/></w:pPr>
<w:r><w:t xml:space="preserve">on the difference of strength.  With two head plates, a</w:t></w:r>
</w:p>
<w:p>
<w:pPr><w:pStyle w:val="Normal"/></w:pPr>
<w:r><w:t xml:space="preserve">maximum of about quarter volt was obtained, the lead in the</w:t></w:r>
</w:p>
<w:p>
<w:pPr><w:pStyle w:val="Normal"/></w:pPr>
<w:r><w:t xml:space="preserve">weaker acid being positive.  With two peroxide plates the</w:t></w:r>
</w:p>
<w:p>
<w:pPr><w:pStyle w:val="Normal"/></w:pPr>
<w:r><w:t xml:space="preserve">maximum voltage was about 0.64, the plate in stronger acid</w:t></w:r>
</w:p>
<w:p>
<w:pPr><w:pStyle w:val="Normal"/></w:pPr>
<w:r><w:t xml:space="preserve">being positive to that in weaker.  The electromotive force</w:t></w:r>
</w:p>
<w:p>
<w:pPr><w:pStyle w:val="Normal"/></w:pPr>
<w:r><w:t xml:space="preserve">FIG. 10.</w:t></w:r>
</w:p>
<w:p>
<w:pPr><w:pStyle w:val="Normal"/></w:pPr>
<w:r><w:t xml:space="preserve">of a cell depends chiefly on the strength of the acid,</w:t></w:r>
</w:p>
<w:p>
<w:pPr><w:pStyle w:val="Normal"/></w:pPr>
<w:r><w:t xml:space="preserve">as may be seen from fig. 10 taken from Gladstone and</w:t></w:r>
</w:p>
<w:p>
<w:pPr><w:pStyle w:val="Normal"/></w:pPr>
<w:r><w:t xml:space="preserve">Hibbert&apos;s paper (Journ.  Inst.  Elec.  Eng., 1892).The</w:t></w:r>
</w:p>
<w:p>
<w:pPr><w:pStyle w:val="Normal"/></w:pPr>
<w:r><w:t xml:space="preserve">observations with very strong acid were difficult to obtain,</w:t></w:r>
</w:p>
<w:p>
<w:pPr><w:pStyle w:val="Normal"/></w:pPr>
<w:r><w:t xml:space="preserve">though even that with 98% acid marked X is believed to be</w:t></w:r>
</w:p>
<w:p>
<w:pPr><w:pStyle w:val="Normal"/></w:pPr>
<w:r><w:t xml:space="preserve">trustworthy.  C. Heim (Elek.  Zeit, 1889), F. Streintz</w:t></w:r>
</w:p>
<w:p>
<w:pPr><w:pStyle w:val="Normal"/></w:pPr>
<w:r><w:t xml:space="preserve">(Ann. Phys.  Chem. xlvi. p. 449) and F. Dolezalek (Theory</w:t></w:r>
</w:p>
<w:p>
<w:pPr><w:pStyle w:val="Normal"/></w:pPr>
<w:r><w:t xml:space="preserve">of Lead Accumulators, p. 55) have also given tables.</w:t></w:r>
</w:p>
<w:p>
<w:pPr><w:pStyle w:val="Normal"/></w:pPr>
<w:r><w:t xml:space="preserve">It is only necessary to add to these results the facts</w:t></w:r>
</w:p>
<w:p>
<w:pPr><w:pStyle w:val="Normal"/></w:pPr>
<w:r><w:t xml:space="preserve">illustrated by the following diffusion curves, in order to get</w:t></w:r>
</w:p>
<w:p>
<w:pPr><w:pStyle w:val="Normal"/></w:pPr>
<w:r><w:t xml:space="preserve">a complete clue to the behaviour of an accumulator in active</w:t></w:r>
</w:p>
<w:p>
<w:pPr><w:pStyle w:val="Normal"/></w:pPr>
<w:r><w:t xml:space="preserve">work.  Fig. 11 shows the rate of diffusion from plates soaked</w:t></w:r>
</w:p>
<w:p>
<w:pPr><w:pStyle w:val="Normal"/></w:pPr>
<w:r><w:t xml:space="preserve">in 1.175 acid and then placed in distilled water.  It is</w:t></w:r>
</w:p>
<w:p>
<w:pPr><w:pStyle w:val="Normal"/></w:pPr>
<w:r><w:t xml:space="preserve">from a paper by L. Duncan and H. Wiegand (Elec.  World,</w:t></w:r>
</w:p>
<w:p>
<w:pPr><w:pStyle w:val="Normal"/></w:pPr>
<w:r><w:t xml:space="preserve">N.Y., 1889), who were the first to show the importance of</w:t></w:r>
</w:p>
<w:p>
<w:pPr><w:pStyle w:val="Normal"/></w:pPr>
<w:r><w:t xml:space="preserve">diffusion.  About one half the acid diffused out in 30</w:t></w:r>
</w:p>
<w:p>
<w:pPr><w:pStyle w:val="Normal"/></w:pPr>
<w:r><w:t xml:space="preserve">minutes, a good illustration of the slowness of this process.</w:t></w:r>
</w:p>
<w:p>
<w:pPr><w:pStyle w:val="Normal"/></w:pPr>
<w:r><w:t xml:space="preserve">The rate of diffusion is much the same for both positive</w:t></w:r>
</w:p>
<w:p>
<w:pPr><w:pStyle w:val="Normal"/></w:pPr>
<w:r><w:t xml:space="preserve">and negative plates; but slower for discharged plates than</w:t></w:r>
</w:p>
<w:p>
<w:pPr><w:pStyle w:val="Normal"/></w:pPr>
<w:r><w:t xml:space="preserve">for charged ones.  Discharge affects the rate of diffusion</w:t></w:r>
</w:p>
<w:p>
<w:pPr><w:pStyle w:val="Normal"/></w:pPr>
<w:r><w:t xml:space="preserve">on the lead plate more than on the peroxide plate. This is</w:t></w:r>
</w:p>
<w:p>
<w:pPr><w:pStyle w:val="Normal"/></w:pPr>
<w:r><w:t xml:space="preserve">in accordance with the density values given in Table I. For</w:t></w:r>
</w:p>
<w:p>
<w:pPr><w:pStyle w:val="Normal"/></w:pPr>
<w:r><w:t xml:space="preserve">while lead sulphate is formed in the pores of both plates,</w:t></w:r>
</w:p>
<w:p>
<w:pPr><w:pStyle w:val="Normal"/></w:pPr>
<w:r><w:t xml:space="preserve">the consequent expansions (and obstructions) are different;</w:t></w:r>
</w:p>
<w:p>
<w:pPr><w:pStyle w:val="Normal"/></w:pPr>
<w:r><w:t xml:space="preserve">100 volumes of lead form 290 volumes of sulphate (a threefold</w:t></w:r>
</w:p>
<w:p>
<w:pPr><w:pStyle w:val="Normal"/></w:pPr>
<w:r><w:t xml:space="preserve">FIG. 11.</w:t></w:r>
</w:p>
<w:p>
<w:pPr><w:pStyle w:val="Normal"/></w:pPr>
<w:r><w:t xml:space="preserve">expansion), and 100 volumes of peroxide form 186 volumes of</w:t></w:r>
</w:p>
<w:p>
<w:pPr><w:pStyle w:val="Normal"/></w:pPr>
<w:r><w:t xml:space="preserve">sulphate (a twofold expansion).  The influence of diffusion</w:t></w:r>
</w:p>
<w:p>
<w:pPr><w:pStyle w:val="Normal"/></w:pPr>
<w:r><w:t xml:space="preserve">on the electromotive force is illustrated by fig. 12. A</w:t></w:r>
</w:p>
<w:p>
<w:pPr><w:pStyle w:val="Normal"/></w:pPr>
<w:r><w:t xml:space="preserve">cell was prepared with 20% acid.  It also held a porous pot</w:t></w:r>
</w:p>
<w:p>
<w:pPr><w:pStyle w:val="Normal"/></w:pPr>
<w:r><w:t xml:space="preserve">containing stronger acid, and into this the positive plate</w:t></w:r>
</w:p>
<w:p>
<w:pPr><w:pStyle w:val="Normal"/></w:pPr>
<w:r><w:t xml:space="preserve">was suddenly transferred from the general body of liquid.</w:t></w:r>
</w:p>
<w:p>
<w:pPr><w:pStyle w:val="Normal"/></w:pPr>
<w:r><w:t xml:space="preserve">The E.M.F. rose by diffusion of stronger acid into the</w:t></w:r>
</w:p>
<w:p>
<w:pPr><w:pStyle w:val="Normal"/></w:pPr>
<w:r><w:t xml:space="preserve">pores.  Curve I. in fig. 12 shows the rate of rise when the</w:t></w:r>
</w:p>
<w:p>
<w:pPr><w:pStyle w:val="Normal"/></w:pPr>
<w:r><w:t xml:space="preserve">porous pot contained 34% acid; curve II. was obtained with</w:t></w:r>
</w:p>
<w:p>
<w:pPr><w:pStyle w:val="Normal"/></w:pPr>
<w:r><w:t xml:space="preserve">the stronger (58%) acid (Gladstone and Hibbert, Phil.  Mag.,</w:t></w:r>
</w:p>
<w:p>
<w:pPr><w:pStyle w:val="Normal"/></w:pPr>
<w:r><w:t xml:space="preserve">1890).  Of these two curves the first is more useful, because</w:t></w:r>
</w:p>
<w:p>
<w:pPr><w:pStyle w:val="Normal"/></w:pPr>
<w:r><w:t xml:space="preserve">its conditions are nearer those which occur in practice.</w:t></w:r>
</w:p>
<w:p>
<w:pPr><w:pStyle w:val="Normal"/></w:pPr>
<w:r><w:t xml:space="preserve">At the end of a discharge it is a common thing for the plates</w:t></w:r>
</w:p>
<w:p>
<w:pPr><w:pStyle w:val="Normal"/></w:pPr>
<w:r><w:t xml:space="preserve">to be standing in 25% acid, while inside the pores the acid</w:t></w:r>
</w:p>
<w:p>
<w:pPr><w:pStyle w:val="Normal"/></w:pPr>
<w:r><w:t xml:space="preserve">may not exceed 8% or 10%. If the discharge be stopped, we have</w:t></w:r>
</w:p>
<w:p>
<w:pPr><w:pStyle w:val="Normal"/></w:pPr>
<w:r><w:t xml:space="preserve">conditions somewhat like fig. 12, and the E.M.F. begins to</w:t></w:r>
</w:p>
<w:p>
<w:pPr><w:pStyle w:val="Normal"/></w:pPr>
<w:r><w:t xml:space="preserve">rise. In one minute it has gone up by about 0.08 volt, &amp;c.</w:t></w:r>
</w:p>
<w:p>
<w:pPr><w:pStyle w:val="Normal"/></w:pPr>
<w:r><w:t xml:space="preserve">Fig. 12.</w:t></w:r>
</w:p>
<w:p>
<w:pPr><w:pStyle w:val="Normal"/></w:pPr>
<w:r><w:t xml:space="preserve">Charge and Discharge.---The most important practical</w:t></w:r>
</w:p>
<w:p>
<w:pPr><w:pStyle w:val="Normal"/></w:pPr>
<w:r><w:t xml:space="preserve">questions concerning an accumulator are:--its maximum rate</w:t></w:r>
</w:p>
<w:p>
<w:pPr><w:pStyle w:val="Normal"/></w:pPr>
<w:r><w:t xml:space="preserve">of working; its capacity at various discharge rates; its</w:t></w:r>
</w:p>
<w:p>
<w:pPr><w:pStyle w:val="Normal"/></w:pPr>
<w:r><w:t xml:space="preserve">efficiency; and its length of life.  Apart from mechanical</w:t></w:r>
</w:p>
<w:p>
<w:pPr><w:pStyle w:val="Normal"/></w:pPr>
<w:r><w:t xml:space="preserve">injury all these depend primarily on the way the cell is</w:t></w:r>
</w:p>
<w:p>
<w:pPr><w:pStyle w:val="Normal"/></w:pPr>
<w:r><w:t xml:space="preserve">made, and then on the method of charging and discharging.</w:t></w:r>
</w:p>
<w:p>
<w:pPr><w:pStyle w:val="Normal"/></w:pPr>
<w:r><w:t xml:space="preserve">For each type and size of cell there is a normal maximum</w:t></w:r>
</w:p>
<w:p>
<w:pPr><w:pStyle w:val="Normal"/></w:pPr>
<w:r><w:t xml:space="preserve">discharging current.  Up to this limit any current may</w:t></w:r>
</w:p>
<w:p>
<w:pPr><w:pStyle w:val="Normal"/></w:pPr>
<w:r><w:t xml:space="preserve">be taken; beyond it, the cell may suffer if discharge be</w:t></w:r>
</w:p>
<w:p>
<w:pPr><w:pStyle w:val="Normal"/></w:pPr>
<w:r><w:t xml:space="preserve">continued for any appreciable time.  The most important</w:t></w:r>
</w:p>
<w:p>
<w:pPr><w:pStyle w:val="Normal"/></w:pPr>
<w:r><w:t xml:space="preserve">point to attend to is the voltage at which discharge shall</w:t></w:r>
</w:p>
<w:p>
<w:pPr><w:pStyle w:val="Normal"/></w:pPr>
<w:r><w:t xml:space="preserve">cease.  The potential difference at terminals must not fall</w:t></w:r>
</w:p>
<w:p>
<w:pPr><w:pStyle w:val="Normal"/></w:pPr>
<w:r><w:t xml:space="preserve">below 1.80 volt during discharge at ordinary rates (10</w:t></w:r>
</w:p>
<w:p>
<w:pPr><w:pStyle w:val="Normal"/></w:pPr>
<w:r><w:t xml:space="preserve">hours) or 1.75 to 1.70 volt for 1 or 2 hour rate.  The reason</w:t></w:r>
</w:p>
<w:p>
<w:pPr><w:pStyle w:val="Normal"/></w:pPr>
<w:r><w:t xml:space="preserve">underlying the figures is simple.  These voltages indicate</w:t></w:r>
</w:p>
<w:p>
<w:pPr><w:pStyle w:val="Normal"/></w:pPr>
<w:r><w:t xml:space="preserve">that the acid in the pores is not being renewed fast enough,</w:t></w:r>
</w:p>
<w:p>
<w:pPr><w:pStyle w:val="Normal"/></w:pPr>
<w:r><w:t xml:space="preserve">and that if the discharge continue the chemical action will</w:t></w:r>
</w:p>
<w:p>
<w:pPr><w:pStyle w:val="Normal"/></w:pPr>
<w:r><w:t xml:space="preserve">change: sulphate will not be formed in situ for want of</w:t></w:r>
</w:p>
<w:p>
<w:pPr><w:pStyle w:val="Normal"/></w:pPr>
<w:r><w:t xml:space="preserve">acid.  Any such change in action is fatal to reversibility and</w:t></w:r>
</w:p>
<w:p>
<w:pPr><w:pStyle w:val="Normal"/></w:pPr>
<w:r><w:t xml:space="preserve">therefore to life and constancy in capacity.  To illustrate:</w:t></w:r>
</w:p>
<w:p>
<w:pPr><w:pStyle w:val="Normal"/></w:pPr>
<w:r><w:t xml:space="preserve">when at slow discharge rates the voltage is 1.80 volt, the</w:t></w:r>
</w:p>
<w:p>
<w:pPr><w:pStyle w:val="Normal"/></w:pPr>
<w:r><w:t xml:space="preserve">acid in the pores has weakened to a mean value of about</w:t></w:r>
</w:p>
<w:p>
<w:pPr><w:pStyle w:val="Normal"/></w:pPr>
<w:r><w:t xml:space="preserve">2.5% (see fig. 11), which is quite consistent with some part</w:t></w:r>
</w:p>
<w:p>
<w:pPr><w:pStyle w:val="Normal"/></w:pPr>
<w:r><w:t xml:space="preserve">of the interior being practically pure water.  With high</w:t></w:r>
</w:p>
<w:p>
<w:pPr><w:pStyle w:val="Normal"/></w:pPr>
<w:r><w:t xml:space="preserve">discharge rates, something like 0.1 volt may be lost in the</w:t></w:r>
</w:p>
<w:p>
<w:pPr><w:pStyle w:val="Normal"/></w:pPr>
<w:r><w:t xml:space="preserve">cells, by ordinary ohmic fall, so that a voltage reading of</w:t></w:r>
</w:p>
<w:p>
<w:pPr><w:pStyle w:val="Normal"/></w:pPr>
<w:r><w:t xml:space="preserve">1.73 means an E.M.F. of a little over 1.8 volt, and a very</w:t></w:r>
</w:p>
<w:p>
<w:pPr><w:pStyle w:val="Normal"/></w:pPr>
<w:r><w:t xml:space="preserve">weak density of the acid inside the pores. Guided by these</w:t></w:r>
</w:p>
<w:p>
<w:pPr><w:pStyle w:val="Normal"/></w:pPr>
<w:r><w:t xml:space="preserve">figures, an engineer can determine what ought to be the</w:t></w:r>
</w:p>
<w:p>
<w:pPr><w:pStyle w:val="Normal"/></w:pPr>
<w:r><w:t xml:space="preserve">permissible drop in terminal volts for any given working</w:t></w:r>
</w:p>
<w:p>
<w:pPr><w:pStyle w:val="Normal"/></w:pPr>
<w:r><w:t xml:space="preserve">conditions.  Messrs W. E. Ayrton, C. G. Lamb, E. W. Smith</w:t></w:r>
</w:p>
<w:p>
<w:pPr><w:pStyle w:val="Normal"/></w:pPr>
<w:r><w:t xml:space="preserve">and M. W. Woods were the first to trace the working of a cell</w:t></w:r>
</w:p>
<w:p>
<w:pPr><w:pStyle w:val="Normal"/></w:pPr>
<w:r><w:t xml:space="preserve">through varied conditions (Journ.  Inst.  Elec.  Eng., 1890),</w:t></w:r>
</w:p>
<w:p>
<w:pPr><w:pStyle w:val="Normal"/></w:pPr>
<w:r><w:t xml:space="preserve">and a brief resume of their results is given below.</w:t></w:r>
</w:p>
<w:p>
<w:pPr><w:pStyle w:val="Normal"/></w:pPr>
<w:r><w:t xml:space="preserve">They began by charging and discharging</w:t></w:r>
</w:p>
<w:p>
<w:pPr><w:pStyle w:val="Normal"/></w:pPr>
<w:r><w:t xml:space="preserve">between the limits of 2.4 and 1.6 volts.</w:t></w:r>
</w:p>
<w:p>
<w:pPr><w:pStyle w:val="Normal"/></w:pPr>
<w:r><w:t xml:space="preserve">Fig. 13 shows a typical discharge curve.  Noteworthy points are:--(1)</w:t></w:r>
</w:p>
<w:p>
<w:pPr><w:pStyle w:val="Normal"/></w:pPr>
<w:r><w:t xml:space="preserve">At the beginning and at the end there is a rapid fall in P.D.,</w:t></w:r>
</w:p>
<w:p>
<w:pPr><w:pStyle w:val="Normal"/></w:pPr>
<w:r><w:t xml:space="preserve">with an intermediate period of fairly uniform value. (2) When the</w:t></w:r>
</w:p>
<w:p>
<w:pPr><w:pStyle w:val="Normal"/></w:pPr>
<w:r><w:t xml:space="preserve">Fig. 13.</w:t></w:r>
</w:p>
<w:p>
<w:pPr><w:pStyle w:val="Normal"/></w:pPr>
<w:r><w:t xml:space="preserve">P.D. reaches 1.6 volt the fall is so rapid that there is</w:t></w:r>
</w:p>
<w:p>
<w:pPr><w:pStyle w:val="Normal"/></w:pPr>
<w:r><w:t xml:space="preserve">no advantage in continuing the action.  When the P.D. had</w:t></w:r>
</w:p>
<w:p>
<w:pPr><w:pStyle w:val="Normal"/></w:pPr>
<w:r><w:t xml:space="preserve">fallen to 1.6 volt the cell was automatically switched into</w:t></w:r>
</w:p>
<w:p>
<w:pPr><w:pStyle w:val="Normal"/></w:pPr>
<w:r><w:t xml:space="preserve">a charging circuit, and with a current of 9 amperes yielded</w:t></w:r>
</w:p>
<w:p>
<w:pPr><w:pStyle w:val="Normal"/></w:pPr>
<w:r><w:t xml:space="preserve">the curve in fig. 14. Here again there is a rapid variation in</w:t></w:r>
</w:p>
<w:p>
<w:pPr><w:pStyle w:val="Normal"/></w:pPr>
<w:r><w:t xml:space="preserve">P.D. (in these cases a rise) at the beginning and end of the</w:t></w:r>
</w:p>
<w:p>
<w:pPr><w:pStyle w:val="Normal"/></w:pPr>
<w:r><w:t xml:space="preserve">operation.  The cells were now carried through the same cycle</w:t></w:r>
</w:p>
<w:p>
<w:pPr><w:pStyle w:val="Normal"/></w:pPr>
<w:r><w:t xml:space="preserve">several times, giving almost identical values for each cycle.</w:t></w:r>
</w:p>
<w:p>
<w:pPr><w:pStyle w:val="Normal"/></w:pPr>
<w:r><w:t xml:space="preserve">After some days, however, they became more and more difficult</w:t></w:r>
</w:p>
<w:p>
<w:pPr><w:pStyle w:val="Normal"/></w:pPr>
<w:r><w:t xml:space="preserve">to charge, and the return on discharge was proportionately</w:t></w:r>
</w:p>
<w:p>
<w:pPr><w:pStyle w:val="Normal"/></w:pPr>
<w:r><w:t xml:space="preserve">less.  It became impossible to charge up to a P.D. of 2.4</w:t></w:r>
</w:p>
<w:p>
<w:pPr><w:pStyle w:val="Normal"/></w:pPr>
<w:r><w:t xml:space="preserve">volts, and finally the capacity fell away to half its first</w:t></w:r>
</w:p>
<w:p>
<w:pPr><w:pStyle w:val="Normal"/></w:pPr>
<w:r><w:t xml:space="preserve">value.  Examination showed that the plates were badly scaled,</w:t></w:r>
</w:p>
<w:p>
<w:pPr><w:pStyle w:val="Normal"/></w:pPr>
<w:r><w:t xml:space="preserve">and that some of the scales had partially connected the</w:t></w:r>
</w:p>
<w:p>
<w:pPr><w:pStyle w:val="Normal"/></w:pPr>
<w:r><w:t xml:space="preserve">plates.  These scales were cleared away and the experiments</w:t></w:r>
</w:p>
<w:p>
<w:pPr><w:pStyle w:val="Normal"/></w:pPr>
<w:r><w:t xml:space="preserve">resumed, limiting the fall of P.D. to 1.8 volt.  The</w:t></w:r>
</w:p>
<w:p>
<w:pPr><w:pStyle w:val="Normal"/></w:pPr>
<w:r><w:t xml:space="preserve">Fig. 14.</w:t></w:r>
</w:p>
<w:p>
<w:pPr><w:pStyle w:val="Normal"/></w:pPr>
<w:r><w:t xml:space="preserve">difficulties then disappeared, showing that discharge to 1.6</w:t></w:r>
</w:p>
<w:p>
<w:pPr><w:pStyle w:val="Normal"/></w:pPr>
<w:r><w:t xml:space="preserve">volt caused injury that did not arise at a limit of 1.8. Before</w:t></w:r>
</w:p>
<w:p>
<w:pPr><w:pStyle w:val="Normal"/></w:pPr>
<w:r><w:t xml:space="preserve">describing the new results it will be useful to examine these</w:t></w:r>
</w:p>
<w:p>
<w:pPr><w:pStyle w:val="Normal"/></w:pPr>
<w:r><w:t xml:space="preserve">two cases in the light of the theory of E.M.F. already given.</w:t></w:r>
</w:p>
<w:p>
<w:pPr><w:pStyle w:val="Normal"/></w:pPr>
<w:r><w:t xml:space="preserve">(a) Fall in E.M.F. at beginning of discharge.--At the</w:t></w:r>
</w:p>
<w:p>
<w:pPr><w:pStyle w:val="Normal"/></w:pPr>
<w:r><w:t xml:space="preserve">moment when previous charging ceases the pores of the positive</w:t></w:r>
</w:p>
<w:p>
<w:pPr><w:pStyle w:val="Normal"/></w:pPr>
<w:r><w:t xml:space="preserve">plate contain strong acid, brought there by the charging</w:t></w:r>
</w:p>
<w:p>
<w:pPr><w:pStyle w:val="Normal"/></w:pPr>
<w:r><w:t xml:space="preserve">current.  There is consequently a high E.M.F. But the strong</w:t></w:r>
</w:p>
<w:p>
<w:pPr><w:pStyle w:val="Normal"/></w:pPr>
<w:r><w:t xml:space="preserve">acid begins to diffuse away at once and the E.M.F. falls</w:t></w:r>
</w:p>
<w:p>
<w:pPr><w:pStyle w:val="Normal"/></w:pPr>
<w:r><w:t xml:space="preserve">rapidly.  Even if the cell were not discharged this fall would</w:t></w:r>
</w:p>
<w:p>
<w:pPr><w:pStyle w:val="Normal"/></w:pPr>
<w:r><w:t xml:space="preserve">occur, and if it were allowed to rest for thirty minutes or</w:t></w:r>
</w:p>
<w:p>
<w:pPr><w:pStyle w:val="Normal"/></w:pPr>
<w:r><w:t xml:space="preserve">so the discharge would have begun with the dotted line (fig.</w:t></w:r>
</w:p>
<w:p>
<w:pPr><w:pStyle w:val="Normal"/></w:pPr>
<w:r><w:t xml:space="preserve">13). (b) Final rapid fall.---The pores being clogged by</w:t></w:r>
</w:p>
<w:p>
<w:pPr><w:pStyle w:val="Normal"/></w:pPr>
<w:r><w:t xml:space="preserve">sulphate the plugs cannot get acid by diffusion, and when</w:t></w:r>
</w:p>
<w:p>
<w:pPr><w:pStyle w:val="Normal"/></w:pPr>
<w:r><w:t xml:space="preserve">5% is reached the fall in  E.M.F. is disproportionately</w:t></w:r>
</w:p>
<w:p>
<w:pPr><w:pStyle w:val="Normal"/></w:pPr>
<w:r><w:t xml:space="preserve">large (see fig. 10). If discharge be stopped, there is an</w:t></w:r>
</w:p>
<w:p>
<w:pPr><w:pStyle w:val="Normal"/></w:pPr>
<w:r><w:t xml:space="preserve">almost instantaneous diffusion inwards and a rapid rise</w:t></w:r>
</w:p>
<w:p>
<w:pPr><w:pStyle w:val="Normal"/></w:pPr>
<w:r><w:t xml:space="preserve">in E.M.F. (c) The rise in E.M.F. at beginning and</w:t></w:r>
</w:p>
<w:p>
<w:pPr><w:pStyle w:val="Normal"/></w:pPr>
<w:r><w:t xml:space="preserve">end of the charging is due to acid in the pores being</w:t></w:r>
</w:p>
<w:p>
<w:pPr><w:pStyle w:val="Normal"/></w:pPr>
<w:r><w:t xml:space="preserve">strengthened, partly by diffusion, partly by formation of</w:t></w:r>
</w:p>
<w:p>
<w:pPr><w:pStyle w:val="Normal"/></w:pPr>
<w:r><w:t xml:space="preserve">sulphuric acid from sulphate, and partly by electrolytic</w:t></w:r>
</w:p>
<w:p>
<w:pPr><w:pStyle w:val="Normal"/></w:pPr>
<w:r><w:t xml:space="preserve">carrying of strong acid to the positive plate. The injurious</w:t></w:r>
</w:p>
<w:p>
<w:pPr><w:pStyle w:val="Normal"/></w:pPr>
<w:r><w:t xml:space="preserve">results at 1.6 volt arise because then the pores contain</w:t></w:r>
</w:p>
<w:p>
<w:pPr><w:pStyle w:val="Normal"/></w:pPr>
<w:r><w:t xml:space="preserve">water.  The chemical reaction is altered, oxide or hydrate</w:t></w:r>
</w:p>
<w:p>
<w:pPr><w:pStyle w:val="Normal"/></w:pPr>
<w:r><w:t xml:space="preserve">is formed, which will partially dissolve, to be changed</w:t></w:r>
</w:p>
<w:p>
<w:pPr><w:pStyle w:val="Normal"/></w:pPr>
<w:r><w:t xml:space="preserve">to sulphate when the sulphuric acid subsequently diffuses</w:t></w:r>
</w:p>
<w:p>
<w:pPr><w:pStyle w:val="Normal"/></w:pPr>
<w:r><w:t xml:space="preserve">in.  But formed in this way it will not appear mixed with</w:t></w:r>
</w:p>
<w:p>
<w:pPr><w:pStyle w:val="Normal"/></w:pPr>
<w:r><w:t xml:space="preserve">the active masses in the electrolytic paths, but more or</w:t></w:r>
</w:p>
<w:p>
<w:pPr><w:pStyle w:val="Normal"/></w:pPr>
<w:r><w:t xml:space="preserve">less alone in the pores.  In this position it will more or</w:t></w:r>
</w:p>
<w:p>
<w:pPr><w:pStyle w:val="Normal"/></w:pPr>
<w:r><w:t xml:space="preserve">less block the passage and isolate some of the peroxide.</w:t></w:r>
</w:p>
<w:p>
<w:pPr><w:pStyle w:val="Normal"/></w:pPr>
<w:r><w:t xml:space="preserve">Further, when forming in the narrow passage its disruptive</w:t></w:r>
</w:p>
<w:p>
<w:pPr><w:pStyle w:val="Normal"/></w:pPr>
<w:r><w:t xml:space="preserve">action will tend to force off the outer layers.  It is evident</w:t></w:r>
</w:p>
<w:p>
<w:pPr><w:pStyle w:val="Normal"/></w:pPr>
<w:r><w:t xml:space="preserve">that limitation of P.D. to 1.8 volt ought to prevent these</w:t></w:r>
</w:p>
<w:p>
<w:pPr><w:pStyle w:val="Normal"/></w:pPr>
<w:r><w:t xml:space="preserve">injuries, because it prevents exhaustion of acid in the plugs.</w:t></w:r>
</w:p>
<w:p>
<w:pPr><w:pStyle w:val="Normal"/></w:pPr>
<w:r><w:t xml:space="preserve">Fig. 15 shows the results obtained by study of successive</w:t></w:r>
</w:p>
<w:p>
<w:pPr><w:pStyle w:val="Normal"/></w:pPr>
<w:r><w:t xml:space="preserve">periods of rest, the observations being taken between</w:t></w:r>
</w:p>
<w:p>
<w:pPr><w:pStyle w:val="Normal"/></w:pPr>
<w:r><w:t xml:space="preserve">the limits of 2.4 and 1.8 volts.  Curves A and B show</w:t></w:r>
</w:p>
<w:p>
<w:pPr><w:pStyle w:val="Normal"/></w:pPr>
<w:r><w:t xml:space="preserve">the state and capacity at the beginning. After a 10</w:t></w:r>
</w:p>
<w:p>
<w:pPr><w:pStyle w:val="Normal"/></w:pPr>
<w:r><w:t xml:space="preserve">days&apos; rest the capacity was smaller, but repeated cycles</w:t></w:r>
</w:p>
<w:p>
<w:pPr><w:pStyle w:val="Normal"/></w:pPr>
<w:r><w:t xml:space="preserve">Fig. 15.</w:t></w:r>
</w:p>
<w:p>
<w:pPr><w:pStyle w:val="Normal"/></w:pPr>
<w:r><w:t xml:space="preserve">of work brought it back to C and D. A second rest (10 days),</w:t></w:r>
</w:p>
<w:p>
<w:pPr><w:pStyle w:val="Normal"/></w:pPr>
<w:r><w:t xml:space="preserve">followed by many cycles, then gave E and F. After a third</w:t></w:r>
</w:p>
<w:p>
<w:pPr><w:pStyle w:val="Normal"/></w:pPr>
<w:r><w:t xml:space="preserve">rest (16 days) and many cycles, G and H were obtained.</w:t></w:r>
</w:p>
<w:p>
<w:pPr><w:pStyle w:val="Normal"/></w:pPr>
<w:r><w:t xml:space="preserve">After a fourth rest (16 days) the first discharge gave I and</w:t></w:r>
</w:p>
<w:p>
<w:pPr><w:pStyle w:val="Normal"/></w:pPr>
<w:r><w:t xml:space="preserve">the first charge J. Repeated cycles brought the cells back</w:t></w:r>
</w:p>
<w:p>
<w:pPr><w:pStyle w:val="Normal"/></w:pPr>
<w:r><w:t xml:space="preserve">to K and L. Curves M and N show first cycle after a fifth</w:t></w:r>
</w:p>
<w:p>
<w:pPr><w:pStyle w:val="Normal"/></w:pPr>
<w:r><w:t xml:space="preserve">rest (16 days); O and P show the final restoration brought</w:t></w:r>
</w:p>
<w:p>
<w:pPr><w:pStyle w:val="Normal"/></w:pPr>
<w:r><w:t xml:space="preserve">about by repeated cycles of work.  The numbers given by the</w:t></w:r>
</w:p>
<w:p>
<w:pPr><w:pStyle w:val="Normal"/></w:pPr>
<w:r><w:t xml:space="preserve">integration of some of these curves are stated in Table III.</w:t></w:r>
</w:p>
<w:p>
<w:pPr><w:pStyle w:val="Normal"/></w:pPr>
<w:r><w:t xml:space="preserve">TABLE III.</w:t></w:r>
</w:p>
<w:p>
<w:pPr><w:pStyle w:val="Normal"/></w:pPr>
<w:r><w:t xml:space="preserve">Capacity and Efficiency under Various</w:t></w:r>
</w:p>
<w:p>
<w:pPr><w:pStyle w:val="Normal"/></w:pPr>
<w:r><w:t xml:space="preserve">Conditions of Working.</w:t></w:r>
</w:p>
<w:p>
<w:pPr><w:pStyle w:val="Normal"/></w:pPr>
<w:r><w:t xml:space="preserve">Discharge.          Charge.       Efficiency.</w:t></w:r>
</w:p>
<w:p>
<w:pPr><w:pStyle w:val="Normal"/></w:pPr>
<w:r><w:t xml:space="preserve">Experiment. Ampere-  Watt     Ampere-  Watt     Quan-    Energy.</w:t></w:r>
</w:p>
<w:p>
<w:pPr><w:pStyle w:val="Normal"/></w:pPr>
<w:r><w:t xml:space="preserve">hours. hours.     hours.  hours.    tity.</w:t></w:r>
</w:p>
<w:p>
<w:pPr><w:pStyle w:val="Normal"/></w:pPr>
<w:r><w:t xml:space="preserve">--------------------------------------------------------------------</w:t></w:r>
</w:p>
<w:p>
<w:pPr><w:pStyle w:val="Normal"/></w:pPr>
<w:r><w:t xml:space="preserve">Normal cycle    102   201.7     104.5   230.7     97.2     87.4</w:t></w:r>
</w:p>
<w:p>
<w:pPr><w:pStyle w:val="Normal"/></w:pPr>
<w:r><w:t xml:space="preserve">Restoration</w:t></w:r>
</w:p>
<w:p>
<w:pPr><w:pStyle w:val="Normal"/></w:pPr>
<w:r><w:t xml:space="preserve">after 1st rest 100   179       103.8   228.2     96.8     85.8</w:t></w:r>
</w:p>
<w:p>
<w:pPr><w:pStyle w:val="Normal"/></w:pPr>
<w:r><w:t xml:space="preserve">Restoration</w:t></w:r>
</w:p>
<w:p>
<w:pPr><w:pStyle w:val="Normal"/></w:pPr>
<w:r><w:t xml:space="preserve">after 2nd rest  91   176.7     103.8   228.2     96.8     85.8</w:t></w:r>
</w:p>
<w:p>
<w:pPr><w:pStyle w:val="Normal"/></w:pPr>
<w:r><w:t xml:space="preserve">Restoration</w:t></w:r>
</w:p>
<w:p>
<w:pPr><w:pStyle w:val="Normal"/></w:pPr>
<w:r><w:t xml:space="preserve">after 3rd rest  82.6 161.3      86.2   190.5     95.8     84.7</w:t></w:r>
</w:p>
<w:p>
<w:pPr><w:pStyle w:val="Normal"/></w:pPr>
<w:r><w:t xml:space="preserve">Discharge</w:t></w:r>
</w:p>
<w:p>
<w:pPr><w:pStyle w:val="Normal"/></w:pPr>
<w:r><w:t xml:space="preserve">immediately     56.5 110.5      86.2   190.5     65.5     581</w:t></w:r>
</w:p>
<w:p>
<w:pPr><w:pStyle w:val="Normal"/></w:pPr>
<w:r><w:t xml:space="preserve">after rest .    56.5 110.5      71.1   158.3     79.6     69.6</w:t></w:r>
</w:p>
<w:p>
<w:pPr><w:pStyle w:val="Normal"/></w:pPr>
<w:r><w:t xml:space="preserve">Restoration</w:t></w:r>
</w:p>
<w:p>
<w:pPr><w:pStyle w:val="Normal"/></w:pPr>
<w:r><w:t xml:space="preserve">after 8 cycles  80   156.9      83.8   184.6     95.5     85</w:t></w:r>
</w:p>
<w:p>
<w:pPr><w:pStyle w:val="Normal"/></w:pPr>
<w:r><w:t xml:space="preserve">------------------------------------------------------------------------</w:t></w:r>
</w:p>
<w:p>
<w:pPr><w:pStyle w:val="Normal"/></w:pPr>
<w:r><w:t xml:space="preserve">The table shows that the efficiency in a normal cycle may be as</w:t></w:r>
</w:p>
<w:p>
<w:pPr><w:pStyle w:val="Normal"/></w:pPr>
<w:r><w:t xml:space="preserve">high as 87.4%; that during a rest of sixteen days the charged</w:t></w:r>
</w:p>
<w:p>
<w:pPr><w:pStyle w:val="Normal"/></w:pPr>
<w:r><w:t xml:space="preserve">1 This discharge is here compared with the charge that</w:t></w:r>
</w:p>
<w:p>
<w:pPr><w:pStyle w:val="Normal"/></w:pPr>
<w:r><w:t xml:space="preserve">preceded the rest; in the next line the same discharge</w:t></w:r>
</w:p>
<w:p>
<w:pPr><w:pStyle w:val="Normal"/></w:pPr>
<w:r><w:t xml:space="preserve">is compared with the charge following the rest.</w:t></w:r>
</w:p>
<w:p>
<w:pPr><w:pStyle w:val="Normal"/></w:pPr>
<w:r><w:t xml:space="preserve">accumulator is so affected that about 30% of its charge is</w:t></w:r>
</w:p>
<w:p>
<w:pPr><w:pStyle w:val="Normal"/></w:pPr>
<w:r><w:t xml:space="preserve">not available, and in subsequent cycles it shows a diminished</w:t></w:r>
</w:p>
<w:p>
<w:pPr><w:pStyle w:val="Normal"/></w:pPr>
<w:r><w:t xml:space="preserve">capacity and efficiency; and that by repeated charges and</w:t></w:r>
</w:p>
<w:p>
<w:pPr><w:pStyle w:val="Normal"/></w:pPr>
<w:r><w:t xml:space="preserve">discharges the capacity may be partially restored and the</w:t></w:r>
</w:p>
<w:p>
<w:pPr><w:pStyle w:val="Normal"/></w:pPr>
<w:r><w:t xml:space="preserve">efficiency more completely so.  These changes might be</w:t></w:r>
</w:p>
<w:p>
<w:pPr><w:pStyle w:val="Normal"/></w:pPr>
<w:r><w:t xml:space="preserve">due to--(a) leakage or short-circuit, (b) some of the</w:t></w:r>
</w:p>
<w:p>
<w:pPr><w:pStyle w:val="Normal"/></w:pPr>
<w:r><w:t xml:space="preserve">active material having fallen to the bottom of the cell</w:t></w:r>
</w:p>
<w:p>
<w:pPr><w:pStyle w:val="Normal"/></w:pPr>
<w:r><w:t xml:space="preserve">or (c) some change in the active materials. (a) is</w:t></w:r>
</w:p>
<w:p>
<w:pPr><w:pStyle w:val="Normal"/></w:pPr>
<w:r><w:t xml:space="preserve">excluded by the fact that the subsequent charge is smaller,</w:t></w:r>
</w:p>
<w:p>
<w:pPr><w:pStyle w:val="Normal"/></w:pPr>
<w:r><w:t xml:space="preserve">and (b) by the continued increase of capacity during the</w:t></w:r>
</w:p>
<w:p>
<w:pPr><w:pStyle w:val="Normal"/></w:pPr>
<w:r><w:t xml:space="preserve">cycles that follow the rest.  Hence the third hypothesis</w:t></w:r>
</w:p>
<w:p>
<w:pPr><w:pStyle w:val="Normal"/></w:pPr>
<w:r><w:t xml:space="preserve">is the one which must be relied upon.  The change in the</w:t></w:r>
</w:p>
<w:p>
<w:pPr><w:pStyle w:val="Normal"/></w:pPr>
<w:r><w:t xml:space="preserve">active materials has already been given.  The formation of</w:t></w:r>
</w:p>
<w:p>
<w:pPr><w:pStyle w:val="Normal"/></w:pPr>
<w:r><w:t xml:space="preserve">FIG. 16.</w:t></w:r>
</w:p>
<w:p>
<w:pPr><w:pStyle w:val="Normal"/></w:pPr>
<w:r><w:t xml:space="preserve">lead sulphate by local action on the peroxide plate and</w:t></w:r>
</w:p>
<w:p>
<w:pPr><w:pStyle w:val="Normal"/></w:pPr>
<w:r><w:t xml:space="preserve">by diract action of acid on spongy metal on the lead</w:t></w:r>
</w:p>
<w:p>
<w:pPr><w:pStyle w:val="Normal"/></w:pPr>
<w:r><w:t xml:space="preserve">plate explains the loss of energy shown in curve M, fig.</w:t></w:r>
</w:p>
<w:p>
<w:pPr><w:pStyle w:val="Normal"/></w:pPr>
<w:r><w:t xml:space="preserve">15, while the fact that it is probably formed, not in</w:t></w:r>
</w:p>
<w:p>
<w:pPr><w:pStyle w:val="Normal"/></w:pPr>
<w:r><w:t xml:space="preserve">the path of the regular currents, but on the wall of the</w:t></w:r>
</w:p>
<w:p>
<w:pPr><w:pStyle w:val="Normal"/></w:pPr>
<w:r><w:t xml:space="preserve">grid (remote from the ordinary action), gives a probable</w:t></w:r>
</w:p>
<w:p>
<w:pPr><w:pStyle w:val="Normal"/></w:pPr>
<w:r><w:t xml:space="preserve">explanation of the subsequent slow recovery.  The action of</w:t></w:r>
</w:p>
<w:p>
<w:pPr><w:pStyle w:val="Normal"/></w:pPr>
<w:r><w:t xml:space="preserve">the acid on the lead during rest must not be overlooked.</w:t></w:r>
</w:p>
<w:p>
<w:pPr><w:pStyle w:val="Normal"/></w:pPr>
<w:r><w:t xml:space="preserve">We have seen that capacity diminishes as the discharge rate</w:t></w:r>
</w:p>
<w:p>
<w:pPr><w:pStyle w:val="Normal"/></w:pPr>
<w:r><w:t xml:space="preserve">increases; that is, the available output increases as the</w:t></w:r>
</w:p>
<w:p>
<w:pPr><w:pStyle w:val="Normal"/></w:pPr>
<w:r><w:t xml:space="preserve">current diminishes.  R. E. B. Crompton&apos;s diagram illustrating</w:t></w:r>
</w:p>
<w:p>
<w:pPr><w:pStyle w:val="Normal"/></w:pPr>
<w:r><w:t xml:space="preserve">this fact is given in fig. 16. At the higher rates the</w:t></w:r>
</w:p>
<w:p>
<w:pPr><w:pStyle w:val="Normal"/></w:pPr>
<w:r><w:t xml:space="preserve">consumption of acid is too rapid, diffusion cannot maintain</w:t></w:r>
</w:p>
<w:p>
<w:pPr><w:pStyle w:val="Normal"/></w:pPr>
<w:r><w:t xml:space="preserve">its strength in the pores, and the fall comes so much earlier.</w:t></w:r>
</w:p>
<w:p>
<w:pPr><w:pStyle w:val="Normal"/></w:pPr>
<w:r><w:t xml:space="preserve">The resistance varies with the condition of the cell, as</w:t></w:r>
</w:p>
<w:p>
<w:pPr><w:pStyle w:val="Normal"/></w:pPr>
<w:r><w:t xml:space="preserve">shown by the curves in fig. 17. It may be unduly increased</w:t></w:r>
</w:p>
<w:p>
<w:pPr><w:pStyle w:val="Normal"/></w:pPr>
<w:r><w:t xml:space="preserve">by long or narrow lugs, and especially by dirty joints</w:t></w:r>
</w:p>
<w:p>
<w:pPr><w:pStyle w:val="Normal"/></w:pPr>
<w:r><w:t xml:space="preserve">between the lugs.  It is interesting to note that it</w:t></w:r>
</w:p>
<w:p>
<w:pPr><w:pStyle w:val="Normal"/></w:pPr>
<w:r><w:t xml:space="preserve">increases at the end of both charge and discharge, and</w:t></w:r>
</w:p>
<w:p>
<w:pPr><w:pStyle w:val="Normal"/></w:pPr>
<w:r><w:t xml:space="preserve">Fig. 17.</w:t></w:r>
</w:p>
<w:p>
<w:pPr><w:pStyle w:val="Normal"/></w:pPr>
<w:r><w:t xml:space="preserve">much more for the first than the second.  Now the composition</w:t></w:r>
</w:p>
<w:p>
<w:pPr><w:pStyle w:val="Normal"/></w:pPr>
<w:r><w:t xml:space="preserve">of the active materials near the end of charge is almost</w:t></w:r>
</w:p>
<w:p>
<w:pPr><w:pStyle w:val="Normal"/></w:pPr>
<w:r><w:t xml:space="preserve">exactly the same as at the beginning of discharge, and at</w:t></w:r>
</w:p>
<w:p>
<w:pPr><w:pStyle w:val="Normal"/></w:pPr>
<w:r><w:t xml:space="preserve">first sight there seems nothing to account for the great</w:t></w:r>
</w:p>
<w:p>
<w:pPr><w:pStyle w:val="Normal"/></w:pPr>
<w:r><w:t xml:space="preserve">fall in resistance from 0.0115 to 0.004 ohm; that is, to</w:t></w:r>
</w:p>
<w:p>
<w:pPr><w:pStyle w:val="Normal"/></w:pPr>
<w:r><w:t xml:space="preserve">about one-third the value.  There is, however, one difference</w:t></w:r>
</w:p>
<w:p>
<w:pPr><w:pStyle w:val="Normal"/></w:pPr>
<w:r><w:t xml:space="preserve">between charging and discharging---namely, that due to the</w:t></w:r>
</w:p>
<w:p>
<w:pPr><w:pStyle w:val="Normal"/></w:pPr>
<w:r><w:t xml:space="preserve">strong acid near the positive, with a corresponding weaker</w:t></w:r>
</w:p>
<w:p>
<w:pPr><w:pStyle w:val="Normal"/></w:pPr>
<w:r><w:t xml:space="preserve">acid near the negative electrode.  The curve of conductivity</w:t></w:r>
</w:p>
<w:p>
<w:pPr><w:pStyle w:val="Normal"/></w:pPr>
<w:r><w:t xml:space="preserve">for sulphuric acid shows that both strong and weak acid have</w:t></w:r>
</w:p>
<w:p>
<w:pPr><w:pStyle w:val="Normal"/></w:pPr>
<w:r><w:t xml:space="preserve">much higher resistances than the liquid usually employed in</w:t></w:r>
</w:p>
<w:p>
<w:pPr><w:pStyle w:val="Normal"/></w:pPr>
<w:r><w:t xml:space="preserve">accumulators, and it is therefore reasonable to suppose that</w:t></w:r>
</w:p>
<w:p>
<w:pPr><w:pStyle w:val="Normal"/></w:pPr>
<w:r><w:t xml:space="preserve">local variations in strength of acid cause the changes in</w:t></w:r>
</w:p>
<w:p>
<w:pPr><w:pStyle w:val="Normal"/></w:pPr>
<w:r><w:t xml:space="preserve">resistance.  That these are not due to the constitution</w:t></w:r>
</w:p>
<w:p>
<w:pPr><w:pStyle w:val="Normal"/></w:pPr>
<w:r><w:t xml:space="preserve">of the plugs is shown by the fact that, while the plugs</w:t></w:r>
</w:p>
<w:p>
<w:pPr><w:pStyle w:val="Normal"/></w:pPr>
<w:r><w:t xml:space="preserve">are almost identical at end of discharge and beginning of</w:t></w:r>
</w:p>
<w:p>
<w:pPr><w:pStyle w:val="Normal"/></w:pPr>
<w:r><w:t xml:space="preserve">charge, the resistance falls from 0.0055 to 0.0033 ohm.</w:t></w:r>
</w:p>
<w:p>
<w:pPr><w:pStyle w:val="Normal"/></w:pPr>
<w:r><w:t xml:space="preserve">While a current flows through a cell, heat is produced at</w:t></w:r>
</w:p>
<w:p>
<w:pPr><w:pStyle w:val="Normal"/></w:pPr>
<w:r><w:t xml:space="preserve">the rate of C2RX0.24 calories (water-gram-degree) per</w:t></w:r>
</w:p>
<w:p>
<w:pPr><w:pStyle w:val="Normal"/></w:pPr>
<w:r><w:t xml:space="preserve">second.  As a consequence the temperature tends to rise.</w:t></w:r>
</w:p>
<w:p>
<w:pPr><w:pStyle w:val="Normal"/></w:pPr>
<w:r><w:t xml:space="preserve">But the change of temperature actually observed is much</w:t></w:r>
</w:p>
<w:p>
<w:pPr><w:pStyle w:val="Normal"/></w:pPr>
<w:r><w:t xml:space="preserve">greater during charge, and much less during discharge, than</w:t></w:r>
</w:p>
<w:p>
<w:pPr><w:pStyle w:val="Normal"/></w:pPr>
<w:r><w:t xml:space="preserve">the foregoing expression would suggest; and it is evident</w:t></w:r>
</w:p>
<w:p>
<w:pPr><w:pStyle w:val="Normal"/></w:pPr>
<w:r><w:t xml:space="preserve">that, besdies the heat produced according to Joule&apos;s law,</w:t></w:r>
</w:p>
<w:p>
<w:pPr><w:pStyle w:val="Normal"/></w:pPr>
<w:r><w:t xml:space="preserve">there are other actions which warm the cell during charge and</w:t></w:r>
</w:p>
<w:p>
<w:pPr><w:pStyle w:val="Normal"/></w:pPr>
<w:r><w:t xml:space="preserve">cool it during discharge.  Duncan and Wiegand loc. cit.),</w:t></w:r>
</w:p>
<w:p>
<w:pPr><w:pStyle w:val="Normal"/></w:pPr>
<w:r><w:t xml:space="preserve">who first observed the thermal changes, ascribe the chief</w:t></w:r>
</w:p>
<w:p>
<w:pPr><w:pStyle w:val="Normal"/></w:pPr>
<w:r><w:t xml:space="preserve">influence to the electrochemical addition of H2SO4 to the</w:t></w:r>
</w:p>
<w:p>
<w:pPr><w:pStyle w:val="Normal"/></w:pPr>
<w:r><w:t xml:space="preserve">liquid during charge and its removal during discharge.  Fig.</w:t></w:r>
</w:p>
<w:p>
<w:pPr><w:pStyle w:val="Normal"/></w:pPr>
<w:r><w:t xml:space="preserve">18 gives some results obtained by Ayrton, Lamb, &amp;c. This</w:t></w:r>
</w:p>
<w:p>
<w:pPr><w:pStyle w:val="Normal"/></w:pPr>
<w:r><w:t xml:space="preserve">elevation of temperature (due to electrolytic strengthening</w:t></w:r>
</w:p>
<w:p>
<w:pPr><w:pStyle w:val="Normal"/></w:pPr>
<w:r><w:t xml:space="preserve">of acid and local action) is a measure of the energy lost</w:t></w:r>
</w:p>
<w:p>
<w:pPr><w:pStyle w:val="Normal"/></w:pPr>
<w:r><w:t xml:space="preserve">in a cycle, and ought to be minimized as much as possible.</w:t></w:r>
</w:p>
<w:p>
<w:pPr><w:pStyle w:val="Normal"/></w:pPr>
<w:r><w:t xml:space="preserve">Fig. 18.</w:t></w:r>
</w:p>
<w:p>
<w:pPr><w:pStyle w:val="Normal"/></w:pPr>
<w:r><w:t xml:space="preserve">Chemistry.---The chemical theory adopted in the foregoing</w:t></w:r>
</w:p>
<w:p>
<w:pPr><w:pStyle w:val="Normal"/></w:pPr>
<w:r><w:t xml:space="preserve">pages is very simple.  It declares that sulphate of</w:t></w:r>
</w:p>
<w:p>
<w:pPr><w:pStyle w:val="Normal"/></w:pPr>
<w:r><w:t xml:space="preserve">lead is formed on both plates during discharge,</w:t></w:r>
</w:p>
<w:p>
<w:pPr><w:pStyle w:val="Normal"/></w:pPr>
<w:r><w:t xml:space="preserve">the chemical action being reversed in charging.  The</w:t></w:r>
</w:p>
<w:p>
<w:pPr><w:pStyle w:val="Normal"/></w:pPr>
<w:r><w:t xml:space="preserve">following equations express the experimental results.</w:t></w:r>
</w:p>
<w:p>
<w:pPr><w:pStyle w:val="Normal"/></w:pPr>
<w:r><w:t xml:space="preserve">Condition before</w:t></w:r>
</w:p>
<w:p>
<w:pPr><w:pStyle w:val="Normal"/></w:pPr>
<w:r><w:t xml:space="preserve">+ plate           Liquid            - plate</w:t></w:r>
</w:p>
<w:p>
<w:pPr><w:pStyle w:val="Normal"/></w:pPr>
<w:r><w:t xml:space="preserve">x. PbO2 + y. H2SO4 +  z. Pb</w:t></w:r>
</w:p>
<w:p>
<w:pPr><w:pStyle w:val="Normal"/></w:pPr>
<w:r><w:t xml:space="preserve">n. H2O</w:t></w:r>
</w:p>
<w:p>
<w:pPr><w:pStyle w:val="Normal"/></w:pPr>
<w:r><w:t xml:space="preserve">After</w:t></w:r>
</w:p>
<w:p>
<w:pPr><w:pStyle w:val="Normal"/></w:pPr>
<w:r><w:t xml:space="preserve">+ plate                 Liquid              - plate</w:t></w:r>
</w:p>
<w:p>
<w:pPr><w:pStyle w:val="Normal"/></w:pPr>
<w:r><w:t xml:space="preserve">(x-p). PbO2   (y-2p). H2SO4   (z-p). Pb</w:t></w:r>
</w:p>
<w:p>
<w:pPr><w:pStyle w:val="Normal"/></w:pPr>
<w:r><w:t xml:space="preserve">{                   }+{                       }+{</w:t></w:r>
</w:p>
<w:p>
<w:pPr><w:pStyle w:val="Normal"/></w:pPr>
<w:r><w:t xml:space="preserve">p. PbSO4   (n+2p). H2O        p. PbSO4</w:t></w:r>
</w:p>
<w:p>
<w:pPr><w:pStyle w:val="Normal"/></w:pPr>
<w:r><w:t xml:space="preserve">During charge, the substances are restored to their</w:t></w:r>
</w:p>
<w:p>
<w:pPr><w:pStyle w:val="Normal"/></w:pPr>
<w:r><w:t xml:space="preserve">original condition: the equation is therefore reversed.</w:t></w:r>
</w:p>
<w:p>
<w:pPr><w:pStyle w:val="Normal"/></w:pPr>
<w:r><w:t xml:space="preserve">An equation of this general nature was published by</w:t></w:r>
</w:p>
<w:p>
<w:pPr><w:pStyle w:val="Normal"/></w:pPr>
<w:r><w:t xml:space="preserve">Gladstone and Tribe in 1882, when Oley first suggested the</w:t></w:r>
</w:p>
<w:p>
<w:pPr><w:pStyle w:val="Normal"/></w:pPr>
<w:r><w:t xml:space="preserve">``sulphate&apos;, theory, which was based on very numerous</w:t></w:r>
</w:p>
<w:p>
<w:pPr><w:pStyle w:val="Normal"/></w:pPr>
<w:r><w:t xml:space="preserve">analyses.  Confirmation was given by E. Frankland in 1883,</w:t></w:r>
</w:p>
<w:p>
<w:pPr><w:pStyle w:val="Normal"/></w:pPr>
<w:r><w:t xml:space="preserve">E.  Reynier 1884, A. P. P. Crova and P. Garbe 1885, C. Heim</w:t></w:r>
</w:p>
<w:p>
<w:pPr><w:pStyle w:val="Normal"/></w:pPr>
<w:r><w:t xml:space="preserve">and  W. F. Kohlrausch 1889, W. E. Ayrton, &amp;c., with G. H.</w:t></w:r>
</w:p>
<w:p>
<w:pPr><w:pStyle w:val="Normal"/></w:pPr>
<w:r><w:t xml:space="preserve">Robertson 1890, C. H. J. B. Liebenow 1897, F. Dolezalek</w:t></w:r>
</w:p>
<w:p>
<w:pPr><w:pStyle w:val="Normal"/></w:pPr>
<w:r><w:t xml:space="preserve">1897, and M. Mugdan 1899.  Yet there has been, as Dolezalek</w:t></w:r>
</w:p>
<w:p>
<w:pPr><w:pStyle w:val="Normal"/></w:pPr>
<w:r><w:t xml:space="preserve">says, an incomprehensible unwillingness to accept the</w:t></w:r>
</w:p>
<w:p>
<w:pPr><w:pStyle w:val="Normal"/></w:pPr>
<w:r><w:t xml:space="preserve">theory, though no suggested alternative could offer good</w:t></w:r>
</w:p>
<w:p>
<w:pPr><w:pStyle w:val="Normal"/></w:pPr>
<w:r><w:t xml:space="preserve">verifiable experimental foundation.  Those who seek a full</w:t></w:r>
</w:p>
<w:p>
<w:pPr><w:pStyle w:val="Normal"/></w:pPr>
<w:r><w:t xml:space="preserve">discussion will find it in Dolezalek&apos;s Theory of the Lead</w:t></w:r>
</w:p>
<w:p>
<w:pPr><w:pStyle w:val="Normal"/></w:pPr>
<w:r><w:t xml:space="preserve">Accumulator. We shall take it that the sulphate theory is</w:t></w:r>
</w:p>
<w:p>
<w:pPr><w:pStyle w:val="Normal"/></w:pPr>
<w:r><w:t xml:space="preserve">proved, and apply it to the conditions of charge and discharge.</w:t></w:r>
</w:p>
<w:p>
<w:pPr><w:pStyle w:val="Normal"/></w:pPr>
<w:r><w:t xml:space="preserve">From the chemical theory it will be obvious that the</w:t></w:r>
</w:p>
<w:p>
<w:pPr><w:pStyle w:val="Normal"/></w:pPr>
<w:r><w:t xml:space="preserve">acid in the pores of both plates will be stronger</w:t></w:r>
</w:p>
<w:p>
<w:pPr><w:pStyle w:val="Normal"/></w:pPr>
<w:r><w:t xml:space="preserve">during charge than that outside. During discharge</w:t></w:r>
</w:p>
<w:p>
<w:pPr><w:pStyle w:val="Normal"/></w:pPr>
<w:r><w:t xml:space="preserve">the reverse will be the case.  Fig. 19 shows a curve</w:t></w:r>
</w:p>
<w:p>
<w:pPr><w:pStyle w:val="Normal"/></w:pPr>
<w:r><w:t xml:space="preserve">Fig. 19.</w:t></w:r>
</w:p>
<w:p>
<w:pPr><w:pStyle w:val="Normal"/></w:pPr>
<w:r><w:t xml:space="preserve">of potential difference during charge, with others showing</w:t></w:r>
</w:p>
<w:p>
<w:pPr><w:pStyle w:val="Normal"/></w:pPr>
<w:r><w:t xml:space="preserve">the concurrent changes in the percentage of PbO2 and the</w:t></w:r>
</w:p>
<w:p>
<w:pPr><w:pStyle w:val="Normal"/></w:pPr>
<w:r><w:t xml:space="preserve">density of acid. These increase almost in proportion to</w:t></w:r>
</w:p>
<w:p>
<w:pPr><w:pStyle w:val="Normal"/></w:pPr>
<w:r><w:t xml:space="preserve">the duration of the current, and indicate the decomposition</w:t></w:r>
</w:p>
<w:p>
<w:pPr><w:pStyle w:val="Normal"/></w:pPr>
<w:r><w:t xml:space="preserve">of sulphate and liberation of sulphuric acid.  There are</w:t></w:r>
</w:p>
<w:p>
<w:pPr><w:pStyle w:val="Normal"/></w:pPr>
<w:r><w:t xml:space="preserve">breaks in the P.D. curve at A, B, C, D where the current</w:t></w:r>
</w:p>
<w:p>
<w:pPr><w:pStyle w:val="Normal"/></w:pPr>
<w:r><w:t xml:space="preserve">was stopped to extract samples for analysis, &amp;c. The</w:t></w:r>
</w:p>
<w:p>
<w:pPr><w:pStyle w:val="Normal"/></w:pPr>
<w:r><w:t xml:space="preserve">fall in E.M.F. in this short interval is noteworthy;</w:t></w:r>
</w:p>
<w:p>
<w:pPr><w:pStyle w:val="Normal"/></w:pPr>
<w:r><w:t xml:space="preserve">it arises from the diffusion of stronger acid out of the</w:t></w:r>
</w:p>
<w:p>
<w:pPr><w:pStyle w:val="Normal"/></w:pPr>
<w:r><w:t xml:space="preserve">pores.  The final rise of pressure is due to increase</w:t></w:r>
</w:p>
<w:p>
<w:pPr><w:pStyle w:val="Normal"/></w:pPr>
<w:r><w:t xml:space="preserve">in resistance and the effect of stronger acid in the</w:t></w:r>
</w:p>
<w:p>
<w:pPr><w:pStyle w:val="Normal"/></w:pPr>
<w:r><w:t xml:space="preserve">pores, this last arising partly from reduced sulphate and</w:t></w:r>
</w:p>
<w:p>
<w:pPr><w:pStyle w:val="Normal"/></w:pPr>
<w:r><w:t xml:space="preserve">partly from the electrolytic convection of SO4 (see also</w:t></w:r>
</w:p>
<w:p>
<w:pPr><w:pStyle w:val="Normal"/></w:pPr>
<w:r><w:t xml:space="preserve">Dolezalek, Theory, p. 113) . Fig. 20 gives the data for</w:t></w:r>
</w:p>
<w:p>
<w:pPr><w:pStyle w:val="Normal"/></w:pPr>
<w:r><w:t xml:space="preserve">discharge.  The percentage of PbO2 and the density here</w:t></w:r>
</w:p>
<w:p>
<w:pPr><w:pStyle w:val="Normal"/></w:pPr>
<w:r><w:t xml:space="preserve">fall almost in proportion to the duration of the current.</w:t></w:r>
</w:p>
<w:p>
<w:pPr><w:pStyle w:val="Normal"/></w:pPr>
<w:r><w:t xml:space="preserve">The special feature is the rapid fall of voltage at the end.</w:t></w:r>
</w:p>
<w:p>
<w:pPr><w:pStyle w:val="Normal"/></w:pPr>
<w:r><w:t xml:space="preserve">Several suggestions have been made about this phenomenon.</w:t></w:r>
</w:p>
<w:p>
<w:pPr><w:pStyle w:val="Normal"/></w:pPr>
<w:r><w:t xml:space="preserve">The writer holds that it is due to the exhaustion of the</w:t></w:r>
</w:p>
<w:p>
<w:pPr><w:pStyle w:val="Normal"/></w:pPr>
<w:r><w:t xml:space="preserve">acid in the pores.  Plante, and afterwards Gladstone and</w:t></w:r>
</w:p>
<w:p>
<w:pPr><w:pStyle w:val="Normal"/></w:pPr>
<w:r><w:t xml:space="preserve">Tribe, found a possible cause in the formation of a film</w:t></w:r>
</w:p>
<w:p>
<w:pPr><w:pStyle w:val="Normal"/></w:pPr>
<w:r><w:t xml:space="preserve">of peroxide on the spongy lead. E. J. Wade has suggested</w:t></w:r>
</w:p>
<w:p>
<w:pPr><w:pStyle w:val="Normal"/></w:pPr>
<w:r><w:t xml:space="preserve">a sudden readjustment of the spongy mass into a complex</w:t></w:r>
</w:p>
<w:p>
<w:pPr><w:pStyle w:val="Normal"/></w:pPr>
<w:r><w:t xml:space="preserve">sulphate.  To rebut these hypotheses it is only necessary</w:t></w:r>
</w:p>
<w:p>
<w:pPr><w:pStyle w:val="Normal"/></w:pPr>
<w:r><w:t xml:space="preserve">to say that the fall can be deferred for a long time by</w:t></w:r>
</w:p>
<w:p>
<w:pPr><w:pStyle w:val="Normal"/></w:pPr>
<w:r><w:t xml:space="preserve">pressing fresh acid into the pores hydrostatically (see</w:t></w:r>
</w:p>
<w:p>
<w:pPr><w:pStyle w:val="Normal"/></w:pPr>
<w:r><w:t xml:space="preserve">Liebenow, Zeits. fur Elektrochem., 1897, iv. 61),</w:t></w:r>
</w:p>
<w:p>
<w:pPr><w:pStyle w:val="Normal"/></w:pPr>
<w:r><w:t xml:space="preserve">or by working at a higher temperature. This increases the</w:t></w:r>
</w:p>
<w:p>
<w:pPr><w:pStyle w:val="Normal"/></w:pPr>
<w:r><w:t xml:space="preserve">diffusion inwards of strong acid, and like the increase due</w:t></w:r>
</w:p>
<w:p>
<w:pPr><w:pStyle w:val="Normal"/></w:pPr>
<w:r><w:t xml:space="preserve">to hydrostatic pressure maintains the E.M.F. The other</w:t></w:r>
</w:p>
<w:p>
<w:pPr><w:pStyle w:val="Normal"/></w:pPr>
<w:r><w:t xml:space="preserve">suggested causes of the fall therefore fail.  Fig. 20 also</w:t></w:r>
</w:p>
<w:p>
<w:pPr><w:pStyle w:val="Normal"/></w:pPr>
<w:r><w:t xml:space="preserve">shows that when the discharge current was stopped at points</w:t></w:r>
</w:p>
<w:p>
<w:pPr><w:pStyle w:val="Normal"/></w:pPr>
<w:r><w:t xml:space="preserve">A, B, C, D to extract samples, the voltage immediately rose,</w:t></w:r>
</w:p>
<w:p>
<w:pPr><w:pStyle w:val="Normal"/></w:pPr>
<w:r><w:t xml:space="preserve">owing to inward diffusion of stronger acid.  The inward</w:t></w:r>
</w:p>
<w:p>
<w:pPr><w:pStyle w:val="Normal"/></w:pPr>
<w:r><w:t xml:space="preserve">diffusion of fresh acid also accounts for the recuperation</w:t></w:r>
</w:p>
<w:p>
<w:pPr><w:pStyle w:val="Normal"/></w:pPr>
<w:r><w:t xml:space="preserve">found after a rest which follows either complete discharge or</w:t></w:r>
</w:p>
<w:p>
<w:pPr><w:pStyle w:val="Normal"/></w:pPr>
<w:r><w:t xml:space="preserve">a partial discharge at a very rapid rate.  If the discharge</w:t></w:r>
</w:p>
<w:p>
<w:pPr><w:pStyle w:val="Normal"/></w:pPr>
<w:r><w:t xml:space="preserve">be complete the recuperation refers only to the electromotive</w:t></w:r>
</w:p>
<w:p>
<w:pPr><w:pStyle w:val="Normal"/></w:pPr>
<w:r><w:t xml:space="preserve">force; the pressure falls at once on closed circuit.  If</w:t></w:r>
</w:p>
<w:p>
<w:pPr><w:pStyle w:val="Normal"/></w:pPr>
<w:r><w:t xml:space="preserve">discharge has been rapid, a rest will enable the cell to resume</w:t></w:r>
</w:p>
<w:p>
<w:pPr><w:pStyle w:val="Normal"/></w:pPr>
<w:r><w:t xml:space="preserve">work because it brings fresh acid into the active regions.</w:t></w:r>
</w:p>
<w:p>
<w:pPr><w:pStyle w:val="Normal"/></w:pPr>
<w:r><w:t xml:space="preserve">Fig. 20.</w:t></w:r>
</w:p>
<w:p>
<w:pPr><w:pStyle w:val="Normal"/></w:pPr>
<w:r><w:t xml:space="preserve">As to the effect of repose on a charged cell, Gladstone and</w:t></w:r>
</w:p>
<w:p>
<w:pPr><w:pStyle w:val="Normal"/></w:pPr>
<w:r><w:t xml:space="preserve">Tribe&apos;s experiments showed that peroxide of lead lying on</w:t></w:r>
</w:p>
<w:p>
<w:pPr><w:pStyle w:val="Normal"/></w:pPr>
<w:r><w:t xml:space="preserve">its lead supoort suffers from a local action, which reduces</w:t></w:r>
</w:p>
<w:p>
<w:pPr><w:pStyle w:val="Normal"/></w:pPr>
<w:r><w:t xml:space="preserve">one molecule of PbO2 to sulphate at the same time that an</w:t></w:r>
</w:p>
<w:p>
<w:pPr><w:pStyle w:val="Normal"/></w:pPr>
<w:r><w:t xml:space="preserve">atom of the grid below it is also changed to sulphate.  There</w:t></w:r>
</w:p>
<w:p>
<w:pPr><w:pStyle w:val="Normal"/></w:pPr>
<w:r><w:t xml:space="preserve">is thus not only a loss of the available peroxide, but a</w:t></w:r>
</w:p>
<w:p>
<w:pPr><w:pStyle w:val="Normal"/></w:pPr>
<w:r><w:t xml:space="preserve">corrosion of the grid or plate.  It is through this action</w:t></w:r>
</w:p>
<w:p>
<w:pPr><w:pStyle w:val="Normal"/></w:pPr>
<w:r><w:t xml:space="preserve">that the supports gradually give way.  On the negative plate</w:t></w:r>
</w:p>
<w:p>
<w:pPr><w:pStyle w:val="Normal"/></w:pPr>
<w:r><w:t xml:space="preserve">an action arises between the finely divided lead and the</w:t></w:r>
</w:p>
<w:p>
<w:pPr><w:pStyle w:val="Normal"/></w:pPr>
<w:r><w:t xml:space="preserve">sulphuric acid, with the result that hydrogen is set free--</w:t></w:r>
</w:p>
<w:p>
<w:pPr><w:pStyle w:val="Normal"/></w:pPr>
<w:r><w:t xml:space="preserve">Pb + H2SO4 = PbSO4 + H2.</w:t></w:r>
</w:p>
<w:p>
<w:pPr><w:pStyle w:val="Normal"/></w:pPr>
<w:r><w:t xml:space="preserve">This involves a diminution of available spongy lead, or loss</w:t></w:r>
</w:p>
<w:p>
<w:pPr><w:pStyle w:val="Normal"/></w:pPr>
<w:r><w:t xml:space="preserve">of capacity, occasionally with serious consequences.  The</w:t></w:r>
</w:p>
<w:p>
<w:pPr><w:pStyle w:val="Normal"/></w:pPr>
<w:r><w:t xml:space="preserve">capacity of the lead plate is reduced absolutely, of course,</w:t></w:r>
</w:p>
<w:p>
<w:pPr><w:pStyle w:val="Normal"/></w:pPr>
<w:r><w:t xml:space="preserve">but its relative value is more seriously affected.  In the</w:t></w:r>
</w:p>
<w:p>
<w:pPr><w:pStyle w:val="Normal"/></w:pPr>
<w:r><w:t xml:space="preserve">discharge it gets sulphated too much, because the better</w:t></w:r>
</w:p>
<w:p>
<w:pPr><w:pStyle w:val="Normal"/></w:pPr>
<w:r><w:t xml:space="preserve">positive keeps up the E.M.F. too long.  In the succeeding</w:t></w:r>
</w:p>
<w:p>
<w:pPr><w:pStyle w:val="Normal"/></w:pPr>
<w:r><w:t xml:space="preserve">charge, the positive is fully charged before the negative, and</w:t></w:r>
</w:p>
<w:p>
<w:pPr><w:pStyle w:val="Normal"/></w:pPr>
<w:r><w:t xml:space="preserve">the differences between them tend to increase in each cycle.</w:t></w:r>
</w:p>
<w:p>
<w:pPr><w:pStyle w:val="Normal"/></w:pPr>
<w:r><w:t xml:space="preserve">Kelvin and Helmholtz have shown that the E.M.F. of a voltaic</w:t></w:r>
</w:p>
<w:p>
<w:pPr><w:pStyle w:val="Normal"/></w:pPr>
<w:r><w:t xml:space="preserve">cell oan be calculated from the energy developed by the chemical</w:t></w:r>
</w:p>
<w:p>
<w:pPr><w:pStyle w:val="Normal"/></w:pPr>
<w:r><w:t xml:space="preserve">action. For a dyad gram equivalent (= 2 grams of hydrogen,</w:t></w:r>
</w:p>
<w:p>
<w:pPr><w:pStyle w:val="Normal"/></w:pPr>
<w:r><w:t xml:space="preserve">207 grams of lead, &amp;c.), the equation connecting them is</w:t></w:r>
</w:p>
<w:p>
<w:pPr><w:pStyle w:val="Normal"/></w:pPr>
<w:r><w:t xml:space="preserve">E = H/46000 + T dE/dT,</w:t></w:r>
</w:p>
<w:p>
<w:pPr><w:pStyle w:val="Normal"/></w:pPr>
<w:r><w:t xml:space="preserve">here E is the E.M.F. in volts, H is the heat developed by a</w:t></w:r>
</w:p>
<w:p>
<w:pPr><w:pStyle w:val="Normal"/></w:pPr>
<w:r><w:t xml:space="preserve">dyad equivalent of the reacting substances, T is the absolute</w:t></w:r>
</w:p>
<w:p>
<w:pPr><w:pStyle w:val="Normal"/></w:pPr>
<w:r><w:t xml:space="preserve">temperature, and dE/dT is the temperature coefficient of the</w:t></w:r>
</w:p>
<w:p>
<w:pPr><w:pStyle w:val="Normal"/></w:pPr>
<w:r><w:t xml:space="preserve">E.M.F. If the E.M.F. does not change with temperature,</w:t></w:r>
</w:p>
<w:p>
<w:pPr><w:pStyle w:val="Normal"/></w:pPr>
<w:r><w:t xml:space="preserve">the second term is zero. The thermal values for the various</w:t></w:r>
</w:p>
<w:p>
<w:pPr><w:pStyle w:val="Normal"/></w:pPr>
<w:r><w:t xml:space="preserve">substances formed and decomposed are -For PbO2, 62400; for</w:t></w:r>
</w:p>
<w:p>
<w:pPr><w:pStyle w:val="Normal"/></w:pPr>
<w:r><w:t xml:space="preserve">PbSO4, 216210; for H2SO4, 192920; and for H2O, 68400</w:t></w:r>
</w:p>
<w:p>
<w:pPr><w:pStyle w:val="Normal"/></w:pPr>
<w:r><w:t xml:space="preserve">calories.  Writing the equation in its simplest form for</w:t></w:r>
</w:p>
<w:p>
<w:pPr><w:pStyle w:val="Normal"/></w:pPr>
<w:r><w:t xml:space="preserve">strong acid, and ignoring the temperature coefficient term,</w:t></w:r>
</w:p>
<w:p>
<w:pPr><w:pStyle w:val="Normal"/></w:pPr>
<w:r><w:t xml:space="preserve">PbO2 + 2 H2SO4 + Pb = 2PbSO4 + 2 H2O</w:t></w:r>
</w:p>
<w:p>
<w:pPr><w:pStyle w:val="Normal"/></w:pPr>
<w:r><w:t xml:space="preserve">-62440   - 385840               + 432420  + 136720</w:t></w:r>
</w:p>
<w:p>
<w:pPr><w:pStyle w:val="Normal"/></w:pPr>
<w:r><w:t xml:space="preserve">leaving a balance of 120860 calories.  Dividing by 46000</w:t></w:r>
</w:p>
<w:p>
<w:pPr><w:pStyle w:val="Normal"/></w:pPr>
<w:r><w:t xml:space="preserve">gives 2.627 volts.  The experimental value in strong acid,</w:t></w:r>
</w:p>
<w:p>
<w:pPr><w:pStyle w:val="Normal"/></w:pPr>
<w:r><w:t xml:space="preserve">according to Gladstone and Hibbert, is 2.607 volts, a very</w:t></w:r>
</w:p>
<w:p>
<w:pPr><w:pStyle w:val="Normal"/></w:pPr>
<w:r><w:t xml:space="preserve">close approximation. For other strengths of acid, the energy</w:t></w:r>
</w:p>
<w:p>
<w:pPr><w:pStyle w:val="Normal"/></w:pPr>
<w:r><w:t xml:space="preserve">will be less by the quantity of heat evolved by dilution</w:t></w:r>
</w:p>
<w:p>
<w:pPr><w:pStyle w:val="Normal"/></w:pPr>
<w:r><w:t xml:space="preserve">of the acid, because the chemical action must take the</w:t></w:r>
</w:p>
<w:p>
<w:pPr><w:pStyle w:val="Normal"/></w:pPr>
<w:r><w:t xml:space="preserve">H2SO4 from the diluted liquid.  The dotted curve in fig.</w:t></w:r>
</w:p>
<w:p>
<w:pPr><w:pStyle w:val="Normal"/></w:pPr>
<w:r><w:t xml:space="preserve">10 indicates the calculated E.M.F. at various points when</w:t></w:r>
</w:p>
<w:p>
<w:pPr><w:pStyle w:val="Normal"/></w:pPr>
<w:r><w:t xml:space="preserve">this is taken into account.  The difference between it and</w:t></w:r>
</w:p>
<w:p>
<w:pPr><w:pStyle w:val="Normal"/></w:pPr>
<w:r><w:t xml:space="preserve">the continuous curve must, if the chemical theory be correct,</w:t></w:r>
</w:p>
<w:p>
<w:pPr><w:pStyle w:val="Normal"/></w:pPr>
<w:r><w:t xml:space="preserve">depend on the second term in the equation.  The figure shows</w:t></w:r>
</w:p>
<w:p>
<w:pPr><w:pStyle w:val="Normal"/></w:pPr>
<w:r><w:t xml:space="preserve">that the observed E.M.F. is above the theoretical for</w:t></w:r>
</w:p>
<w:p>
<w:pPr><w:pStyle w:val="Normal"/></w:pPr>
<w:r><w:t xml:space="preserve">all strengths from 100 down to 5%. Below 5 the position is</w:t></w:r>
</w:p>
<w:p>
<w:pPr><w:pStyle w:val="Normal"/></w:pPr>
<w:r><w:t xml:space="preserve">reversed.  The question remains, Can the temperature</w:t></w:r>
</w:p>
<w:p>
<w:pPr><w:pStyle w:val="Normal"/></w:pPr>
<w:r><w:t xml:space="preserve">coefficient be obtained? This is difficult, because the value</w:t></w:r>
</w:p>
<w:p>
<w:pPr><w:pStyle w:val="Normal"/></w:pPr>
<w:r><w:t xml:space="preserve">is so small, and it is not easy to secure a good cycle of</w:t></w:r>
</w:p>
<w:p>
<w:pPr><w:pStyle w:val="Normal"/></w:pPr>
<w:r><w:t xml:space="preserve">observations.  Streintz has given the following values:--</w:t></w:r>
</w:p>
<w:p>
<w:pPr><w:pStyle w:val="Normal"/></w:pPr>
<w:r><w:t xml:space="preserve">E        1.9223   1.9828  2.0031  2.0084  2.0105  2.078  2.2070</w:t></w:r>
</w:p>
<w:p>
<w:pPr><w:pStyle w:val="Normal"/></w:pPr>
<w:r><w:t xml:space="preserve">dE/dT.106 140       228    335     285     255     130    73</w:t></w:r>
</w:p>
<w:p>
<w:pPr><w:pStyle w:val="Normal"/></w:pPr>
<w:r><w:t xml:space="preserve">Unpublished experiments by the writer give dE/dT. 106 =</w:t></w:r>
</w:p>
<w:p>
<w:pPr><w:pStyle w:val="Normal"/></w:pPr>
<w:r><w:t xml:space="preserve">350 for anid of density 1.156.  With stronger acid, a true</w:t></w:r>
</w:p>
<w:p>
<w:pPr><w:pStyle w:val="Normal"/></w:pPr>
<w:r><w:t xml:space="preserve">cycle could not be obtained.  Taking Streintz&apos;s value, 335</w:t></w:r>
</w:p>
<w:p>
<w:pPr><w:pStyle w:val="Normal"/></w:pPr>
<w:r><w:t xml:space="preserve">for 25% acid, the second term of the equation is TdE/dT =</w:t></w:r>
</w:p>
<w:p>
<w:pPr><w:pStyle w:val="Normal"/></w:pPr>
<w:r><w:t xml:space="preserve">290 X .000335 = 0.0971 volt.  The first term gives 88800</w:t></w:r>
</w:p>
<w:p>
<w:pPr><w:pStyle w:val="Normal"/></w:pPr>
<w:r><w:t xml:space="preserve">calories = 1.9304 volt.  Adding the second term, 1.9304 +</w:t></w:r>
</w:p>
<w:p>
<w:pPr><w:pStyle w:val="Normal"/></w:pPr>
<w:r><w:t xml:space="preserve">0.0971 = 2.2075 volts.  The observed value is 2.030 volts</w:t></w:r>
</w:p>
<w:p>
<w:pPr><w:pStyle w:val="Normal"/></w:pPr>
<w:r><w:t xml:space="preserve">(see fig. 10), a remarkably good agreement.  This calculation</w:t></w:r>
</w:p>
<w:p>
<w:pPr><w:pStyle w:val="Normal"/></w:pPr>
<w:r><w:t xml:space="preserve">and the general relation shown in fig. 10 render it highly</w:t></w:r>
</w:p>
<w:p>
<w:pPr><w:pStyle w:val="Normal"/></w:pPr>
<w:r><w:t xml:space="preserve">probable that, if the temperature coefficient were known</w:t></w:r>
</w:p>
<w:p>
<w:pPr><w:pStyle w:val="Normal"/></w:pPr>
<w:r><w:t xml:space="preserve">for all strengths of acid, the result would be equally</w:t></w:r>
</w:p>
<w:p>
<w:pPr><w:pStyle w:val="Normal"/></w:pPr>
<w:r><w:t xml:space="preserve">good.  It is worth observing that the reversal of relationship</w:t></w:r>
</w:p>
<w:p>
<w:pPr><w:pStyle w:val="Normal"/></w:pPr>
<w:r><w:t xml:space="preserve">between the observed and calculated curves, which takes</w:t></w:r>
</w:p>
<w:p>
<w:pPr><w:pStyle w:val="Normal"/></w:pPr>
<w:r><w:t xml:space="preserve">place at 5% or 6%, suggests that the chemistry must be on</w:t></w:r>
</w:p>
<w:p>
<w:pPr><w:pStyle w:val="Normal"/></w:pPr>
<w:r><w:t xml:space="preserve">the point of altering as the acid gets weak, a conclusion</w:t></w:r>
</w:p>
<w:p>
<w:pPr><w:pStyle w:val="Normal"/></w:pPr>
<w:r><w:t xml:space="preserve">which has been already arrived at on purely chemical</w:t></w:r>
</w:p>
<w:p>
<w:pPr><w:pStyle w:val="Normal"/></w:pPr>
<w:r><w:t xml:space="preserve">grounds.  The thermodynamical relations are thus seen to</w:t></w:r>
</w:p>
<w:p>
<w:pPr><w:pStyle w:val="Normal"/></w:pPr>
<w:r><w:t xml:space="preserve">confirm very strongly the chemical and physical analyses.1</w:t></w:r>
</w:p>
<w:p>
<w:pPr><w:pStyle w:val="Normal"/></w:pPr>
<w:r><w:t xml:space="preserve">Accumulators in Central Stations.---As the efficiency of</w:t></w:r>
</w:p>
<w:p>
<w:pPr><w:pStyle w:val="Normal"/></w:pPr>
<w:r><w:t xml:space="preserve">accumulators is not generally higher than 75%, and machines</w:t></w:r>
</w:p>
<w:p>
<w:pPr><w:pStyle w:val="Normal"/></w:pPr>
<w:r><w:t xml:space="preserve">must be used to charge them, it is not directly economical</w:t></w:r>
</w:p>
<w:p>
<w:pPr><w:pStyle w:val="Normal"/></w:pPr>
<w:r><w:t xml:space="preserve">to use cells alone for public supply.  Yet they play an</w:t></w:r>
</w:p>
<w:p>
<w:pPr><w:pStyle w:val="Normal"/></w:pPr>
<w:r><w:t xml:space="preserve">important and an increasing part in public work, because they</w:t></w:r>
</w:p>
<w:p>
<w:pPr><w:pStyle w:val="Normal"/></w:pPr>
<w:r><w:t xml:space="preserve">help to maintain a constant voltage on the mains, and can be</w:t></w:r>
</w:p>
<w:p>
<w:pPr><w:pStyle w:val="Normal"/></w:pPr>
<w:r><w:t xml:space="preserve">used to distribute the load on the running machinery over a</w:t></w:r>
</w:p>
<w:p>
<w:pPr><w:pStyle w:val="Normal"/></w:pPr>
<w:r><w:t xml:space="preserve">much greater fraction of the day.  Used in parallel with the</w:t></w:r>
</w:p>
<w:p>
<w:pPr><w:pStyle w:val="Normal"/></w:pPr>
<w:r><w:t xml:space="preserve">dynamo, they quickly yield current when the load increases,</w:t></w:r>
</w:p>
<w:p>
<w:pPr><w:pStyle w:val="Normal"/></w:pPr>
<w:r><w:t xml:space="preserve">and immediately begin to charge when the load diminishes, thus</w:t></w:r>
</w:p>
<w:p>
<w:pPr><w:pStyle w:val="Normal"/></w:pPr>
<w:r><w:t xml:space="preserve">largely reducing the fluctuating stress on dynamo and engine</w:t></w:r>
</w:p>
<w:p>
<w:pPr><w:pStyle w:val="Normal"/></w:pPr>
<w:r><w:t xml:space="preserve">for sudden variations in load.  Their use is advantageous if</w:t></w:r>
</w:p>
<w:p>
<w:pPr><w:pStyle w:val="Normal"/></w:pPr>
<w:r><w:t xml:space="preserve">they can be charged and discharged at a time when the steam</w:t></w:r>
</w:p>
<w:p>
<w:pPr><w:pStyle w:val="Normal"/></w:pPr>
<w:r><w:t xml:space="preserve">plant would otherwise be working at an uneconomical load.</w:t></w:r>
</w:p>
<w:p>
<w:pPr><w:pStyle w:val="Normal"/></w:pPr>
<w:r><w:t xml:space="preserve">Fig. 21.</w:t></w:r>
</w:p>
<w:p>
<w:pPr><w:pStyle w:val="Normal"/></w:pPr>
<w:r><w:t xml:space="preserve">Regulation of the potential difference is managed in various</w:t></w:r>
</w:p>
<w:p>
<w:pPr><w:pStyle w:val="Normal"/></w:pPr>
<w:r><w:t xml:space="preserve">ways.  More cells may be thrown in as the discharge proceeds,</w:t></w:r>
</w:p>
<w:p>
<w:pPr><w:pStyle w:val="Normal"/></w:pPr>
<w:r><w:t xml:space="preserve">and taken out during charge; but this method often leads to</w:t></w:r>
</w:p>
<w:p>
<w:pPr><w:pStyle w:val="Normal"/></w:pPr>
<w:r><w:t xml:space="preserve">trouble, as some cells get unduly discharged, and the unity</w:t></w:r>
</w:p>
<w:p>
<w:pPr><w:pStyle w:val="Normal"/></w:pPr>
<w:r><w:t xml:space="preserve">of the battery is disturbed. Sometimes the number of cells</w:t></w:r>
</w:p>
<w:p>
<w:pPr><w:pStyle w:val="Normal"/></w:pPr>
<w:r><w:t xml:space="preserve">is kept fixed for supply, but the P.D. they put on the mains</w:t></w:r>
</w:p>
<w:p>
<w:pPr><w:pStyle w:val="Normal"/></w:pPr>
<w:r><w:t xml:space="preserve">is reduced during charge by employing regulating cells in</w:t></w:r>
</w:p>
<w:p>
<w:pPr><w:pStyle w:val="Normal"/></w:pPr>
<w:r><w:t xml:space="preserve">opposition.  Both these plans have proved unsatisfactory,</w:t></w:r>
</w:p>
<w:p>
<w:pPr><w:pStyle w:val="Normal"/></w:pPr>
<w:r><w:t xml:space="preserve">and the battery is now preferably joined across the mains</w:t></w:r>
</w:p>
<w:p>
<w:pPr><w:pStyle w:val="Normal"/></w:pPr>
<w:r><w:t xml:space="preserve">in parallel with the dynamo.  The cells take the peaks</w:t></w:r>
</w:p>
<w:p>
<w:pPr><w:pStyle w:val="Normal"/></w:pPr>
<w:r><w:t xml:space="preserve">of the load and thus relieve the dynamo and engine of</w:t></w:r>
</w:p>
<w:p>
<w:pPr><w:pStyle w:val="Normal"/></w:pPr>
<w:r><w:t xml:space="preserve">sudden changes, as shown in fig. 21. Here the line current</w:t></w:r>
</w:p>
<w:p>
<w:pPr><w:pStyle w:val="Normal"/></w:pPr>
<w:r><w:t xml:space="preserve">(shown by the erratic curve) varied spasmodically from 0</w:t></w:r>
</w:p>
<w:p>
<w:pPr><w:pStyle w:val="Normal"/></w:pPr>
<w:r><w:t xml:space="preserve">to 375 amperes, yet the dynamo current varied from 100 to</w:t></w:r>
</w:p>
<w:p>
<w:pPr><w:pStyle w:val="Normal"/></w:pPr>
<w:r><w:t xml:space="preserve">150 amperes only (see line A). At the same time the line</w:t></w:r>
</w:p>
<w:p>
<w:pPr><w:pStyle w:val="Normal"/></w:pPr>
<w:r><w:t xml:space="preserve">voltage (535 volts normal) was kept nearly constant.  In</w:t></w:r>
</w:p>
<w:p>
<w:pPr><w:pStyle w:val="Normal"/></w:pPr>
<w:r><w:t xml:space="preserve">the late evening the cells became exhausted and the dynamo</w:t></w:r>
</w:p>
<w:p>
<w:pPr><w:pStyle w:val="Normal"/></w:pPr>
<w:r><w:t xml:space="preserve">charged them.  Extra voltage was required at the end of a</w:t></w:r>
</w:p>
<w:p>
<w:pPr><w:pStyle w:val="Normal"/></w:pPr>
<w:r><w:t xml:space="preserve">``charge,&apos; and was provided by a ``booster.&apos;&apos; Originally a</w:t></w:r>
</w:p>
<w:p>
<w:pPr><w:pStyle w:val="Normal"/></w:pPr>
<w:r><w:t xml:space="preserve">booster was an auxiliary dynamo worked in series with the</w:t></w:r>
</w:p>
<w:p>
<w:pPr><w:pStyle w:val="Normal"/></w:pPr>
<w:r><w:t xml:space="preserve">chief machine, and driven in any convenient way.  It has</w:t></w:r>
</w:p>
<w:p>
<w:pPr><w:pStyle w:val="Normal"/></w:pPr>
<w:r><w:t xml:space="preserve">1 For the discussion of later electrolytic theories as apolied to</w:t></w:r>
</w:p>
<w:p>
<w:pPr><w:pStyle w:val="Normal"/></w:pPr>
<w:r><w:t xml:space="preserve">accumulators, see Dolezalek, Theory of the Lead Accumulator.</w:t></w:r>
</w:p>
<w:p>
<w:pPr><w:pStyle w:val="Normal"/></w:pPr>
<w:r><w:t xml:space="preserve">developed into a machine with two or more exciting coils,</w:t></w:r>
</w:p>
<w:p>
<w:pPr><w:pStyle w:val="Normal"/></w:pPr>
<w:r><w:t xml:space="preserve">and having its armature in series with the cells (see fig.</w:t></w:r>
</w:p>
<w:p>
<w:pPr><w:pStyle w:val="Normal"/></w:pPr>
<w:r><w:t xml:space="preserve">22). The exciting coils act in opposition; the one carrying</w:t></w:r>
</w:p>
<w:p>
<w:pPr><w:pStyle w:val="Normal"/></w:pPr>
<w:r><w:t xml:space="preserve">the main current sets up an E.M.F. in the same direction</w:t></w:r>
</w:p>
<w:p>
<w:pPr><w:pStyle w:val="Normal"/></w:pPr>
<w:r><w:t xml:space="preserve">as that of the cells, and helps the cells to discharge</w:t></w:r>
</w:p>
<w:p>
<w:pPr><w:pStyle w:val="Normal"/></w:pPr>
<w:r><w:t xml:space="preserve">as the load rises.  When the load is small, the voltage</w:t></w:r>
</w:p>
<w:p>
<w:pPr><w:pStyle w:val="Normal"/></w:pPr>
<w:r><w:t xml:space="preserve">on the mains is highest and the shunt exciting current</w:t></w:r>
</w:p>
<w:p>
<w:pPr><w:pStyle w:val="Normal"/></w:pPr>
<w:r><w:t xml:space="preserve">greatest.  The booster E.M.F. now acts with the dynamo</w:t></w:r>
</w:p>
<w:p>
<w:pPr><w:pStyle w:val="Normal"/></w:pPr>
<w:r><w:t xml:space="preserve">and against the cells, and causes them to take a full</w:t></w:r>
</w:p>
<w:p>
<w:pPr><w:pStyle w:val="Normal"/></w:pPr>
<w:r><w:t xml:space="preserve">charge.  Even this arrangement did not suffice to keep the</w:t></w:r>
</w:p>
<w:p>
<w:pPr><w:pStyle w:val="Normal"/></w:pPr>
<w:r><w:t xml:space="preserve">line voltage as constant as seemed desirable in some cases,</w:t></w:r>
</w:p>
<w:p>
<w:pPr><w:pStyle w:val="Normal"/></w:pPr>
<w:r><w:t xml:space="preserve">as where lighting and traction work were put on the same</w:t></w:r>
</w:p>
<w:p>
<w:pPr><w:pStyle w:val="Normal"/></w:pPr>
<w:r><w:t xml:space="preserve">plant.  Fig. 23 is a diagram of a complex booster which</w:t></w:r>
</w:p>
<w:p>
<w:pPr><w:pStyle w:val="Normal"/></w:pPr>
<w:r><w:t xml:space="preserve">gives very good regulation.  The booster B has its armature</w:t></w:r>
</w:p>
<w:p>
<w:pPr><w:pStyle w:val="Normal"/></w:pPr>
<w:r><w:t xml:space="preserve">in series with the accumulators A, and is kept running</w:t></w:r>
</w:p>
<w:p>
<w:pPr><w:pStyle w:val="Normal"/></w:pPr>
<w:r><w:t xml:space="preserve">in a given direction at a constant speed by means of a</w:t></w:r>
</w:p>
<w:p>
<w:pPr><w:pStyle w:val="Normal"/></w:pPr>
<w:r><w:t xml:space="preserve">shunt-wound motor (not shown), so that the E.M.F. induced</w:t></w:r>
</w:p>
<w:p>
<w:pPr><w:pStyle w:val="Normal"/></w:pPr>
<w:r><w:t xml:space="preserve">in the armature depends on the excitation.  This is made</w:t></w:r>
</w:p>
<w:p>
<w:pPr><w:pStyle w:val="Normal"/></w:pPr>
<w:r><w:t xml:space="preserve">Fig. 22.</w:t></w:r>
</w:p>
<w:p>
<w:pPr><w:pStyle w:val="Normal"/></w:pPr>
<w:r><w:t xml:space="preserve">to vary in value and in direction by means of four</w:t></w:r>
</w:p>
<w:p>
<w:pPr><w:pStyle w:val="Normal"/></w:pPr>
<w:r><w:t xml:space="preserve">independent enciting coils, C1, C2, C3, C4. The last</w:t></w:r>
</w:p>
<w:p>
<w:pPr><w:pStyle w:val="Normal"/></w:pPr>
<w:r><w:t xml:space="preserve">is not essential, as it merely compensates for the small</w:t></w:r>
</w:p>
<w:p>
<w:pPr><w:pStyle w:val="Normal"/></w:pPr>
<w:r><w:t xml:space="preserve">voltage drop in the armature.  It is obvious that the</w:t></w:r>
</w:p>
<w:p>
<w:pPr><w:pStyle w:val="Normal"/></w:pPr>
<w:r><w:t xml:space="preserve">excitation C3 will be proportionate to the difference</w:t></w:r>
</w:p>
<w:p>
<w:pPr><w:pStyle w:val="Normal"/></w:pPr>
<w:r><w:t xml:space="preserve">in voltage between the battery and the mains, and it is</w:t></w:r>
</w:p>
<w:p>
<w:pPr><w:pStyle w:val="Normal"/></w:pPr>
<w:r><w:t xml:space="preserve">arranged that battery volts and booster volts shall equal</w:t></w:r>
</w:p>
<w:p>
<w:pPr><w:pStyle w:val="Normal"/></w:pPr>
<w:r><w:t xml:space="preserve">the volts on the mains.  Under this excitation there is no</w:t></w:r>
</w:p>
<w:p>
<w:pPr><w:pStyle w:val="Normal"/></w:pPr>
<w:r><w:t xml:space="preserve">tendency for the battery to charge or discharge.  But any</w:t></w:r>
</w:p>
<w:p>
<w:pPr><w:pStyle w:val="Normal"/></w:pPr>
<w:r><w:t xml:space="preserve">additional excitation leads to strong currents one way or the</w:t></w:r>
</w:p>
<w:p>
<w:pPr><w:pStyle w:val="Normal"/></w:pPr>
<w:r><w:t xml:space="preserve">other.  Excitation C1 rises with the load on the line,</w:t></w:r>
</w:p>
<w:p>
<w:pPr><w:pStyle w:val="Normal"/></w:pPr>
<w:r><w:t xml:space="preserve">and gives an E.M.F. helping the battery to discharge most</w:t></w:r>
</w:p>
<w:p>
<w:pPr><w:pStyle w:val="Normal"/></w:pPr>
<w:r><w:t xml:space="preserve">when the load is greatest.  C2 is dependent on the bus-bar</w:t></w:r>
</w:p>
<w:p>
<w:pPr><w:pStyle w:val="Normal"/></w:pPr>
<w:r><w:t xml:space="preserve">voltage, and is greatest when the generator load is small: it</w:t></w:r>
</w:p>
<w:p>
<w:pPr><w:pStyle w:val="Normal"/></w:pPr>
<w:r><w:t xml:space="preserve">opposes C1 and therefore excites the booster to charge the</w:t></w:r>
</w:p>
<w:p>
<w:pPr><w:pStyle w:val="Normal"/></w:pPr>
<w:r><w:t xml:space="preserve">battery.  The exact generator load at which the booster</w:t></w:r>
</w:p>
<w:p>
<w:pPr><w:pStyle w:val="Normal"/></w:pPr>
<w:r><w:t xml:space="preserve">shall reverse its E.M.F. from a charging to a discharging</w:t></w:r>
</w:p>
<w:p>
<w:pPr><w:pStyle w:val="Normal"/></w:pPr>
<w:r><w:t xml:space="preserve">value is adjusted by the resistance R2 in series with C2.</w:t></w:r>
</w:p>
<w:p>
<w:pPr><w:pStyle w:val="Normal"/></w:pPr>
<w:r><w:t xml:space="preserve">A similar resistance R6 allows the excitation of C3 to be</w:t></w:r>
</w:p>
<w:p>
<w:pPr><w:pStyle w:val="Normal"/></w:pPr>
<w:r><w:t xml:space="preserve">adjusted.  Very remarkable regulation can be obtained by</w:t></w:r>
</w:p>
<w:p>
<w:pPr><w:pStyle w:val="Normal"/></w:pPr>
<w:r><w:t xml:space="preserve">reversible boosters of this type.  In traction and lighting</w:t></w:r>
</w:p>
<w:p>
<w:pPr><w:pStyle w:val="Normal"/></w:pPr>
<w:r><w:t xml:space="preserve">stations it is quite possible to keep the variation of bus-bar</w:t></w:r>
</w:p>
<w:p>
<w:pPr><w:pStyle w:val="Normal"/></w:pPr>
<w:r><w:t xml:space="preserve">pressure within 2% of the normal value, although the load</w:t></w:r>
</w:p>
<w:p>
<w:pPr><w:pStyle w:val="Normal"/></w:pPr>
<w:r><w:t xml:space="preserve">may momentarily vary from a few amperes up to 200 or 300.</w:t></w:r>
</w:p>
<w:p>
<w:pPr><w:pStyle w:val="Normal"/></w:pPr>
<w:r><w:t xml:space="preserve">J. B. Entz has introduced an auxiliary device which enables</w:t></w:r>
</w:p>
<w:p>
<w:pPr><w:pStyle w:val="Normal"/></w:pPr>
<w:r><w:t xml:space="preserve">him to use a much more simple booster.  The Entz booster</w:t></w:r>
</w:p>
<w:p>
<w:pPr><w:pStyle w:val="Normal"/></w:pPr>
<w:r><w:t xml:space="preserve">has no series coil and only one shunt coil, the direction</w:t></w:r>
</w:p>
<w:p>
<w:pPr><w:pStyle w:val="Normal"/></w:pPr>
<w:r><w:t xml:space="preserve">and value of excitation due to this being controlled by</w:t></w:r>
</w:p>
<w:p>
<w:pPr><w:pStyle w:val="Normal"/></w:pPr>
<w:r><w:t xml:space="preserve">a carbon regulator, it having two arms, the resistance</w:t></w:r>
</w:p>
<w:p>
<w:pPr><w:pStyle w:val="Normal"/></w:pPr>
<w:r><w:t xml:space="preserve">of each of which can be varied  by pressure due to the</w:t></w:r>
</w:p>
<w:p>
<w:pPr><w:pStyle w:val="Normal"/></w:pPr>
<w:r><w:t xml:space="preserve">magnet-  izing action of a solenoid.  The main current</w:t></w:r>
</w:p>
<w:p>
<w:pPr><w:pStyle w:val="Normal"/></w:pPr>
<w:r><w:t xml:space="preserve">from the generator passes through the solenoid and causes</w:t></w:r>
</w:p>
<w:p>
<w:pPr><w:pStyle w:val="Normal"/></w:pPr>
<w:r><w:t xml:space="preserve">one or other of the two carbon arms to have the less</w:t></w:r>
</w:p>
<w:p>
<w:pPr><w:pStyle w:val="Normal"/></w:pPr>
<w:r><w:t xml:space="preserve">FIG. 23.</w:t></w:r>
</w:p>
<w:p>
<w:pPr><w:pStyle w:val="Normal"/></w:pPr>
<w:r><w:t xml:space="preserve">resistance.  This change in resistance determines the direction</w:t></w:r>
</w:p>
<w:p>
<w:pPr><w:pStyle w:val="Normal"/></w:pPr>
<w:r><w:t xml:space="preserve">of the exciter field current, and therefore the direction of the</w:t></w:r>
</w:p>
<w:p>
<w:pPr><w:pStyle w:val="Normal"/></w:pPr>
<w:r><w:t xml:space="preserve">boost.  A photograph of the switchboard at Greenock where this</w:t></w:r>
</w:p>
<w:p>
<w:pPr><w:pStyle w:val="Normal"/></w:pPr>
<w:r><w:t xml:space="preserve">booster is in use shows the voltmeter needle as if it had been</w:t></w:r>
</w:p>
<w:p>
<w:pPr><w:pStyle w:val="Normal"/></w:pPr>
<w:r><w:t xml:space="preserve">held rigid, although the exposure lasted 90 minutes.  On the</w:t></w:r>
</w:p>
<w:p>
<w:pPr><w:pStyle w:val="Normal"/></w:pPr>
<w:r><w:t xml:space="preserve">same photograph the ammeter needle does not appear, its incessant</w:t></w:r>
</w:p>
<w:p>
<w:pPr><w:pStyle w:val="Normal"/></w:pPr>
<w:r><w:t xml:space="preserve">and large movements preventing any picture from being formed.</w:t></w:r>
</w:p>
<w:p>
<w:pPr><w:pStyle w:val="Normal"/></w:pPr>
<w:r><w:t xml:space="preserve">Alkaline Accumulators.--Owing to the high electro-chemical</w:t></w:r>
</w:p>
<w:p>
<w:pPr><w:pStyle w:val="Normal"/></w:pPr>
<w:r><w:t xml:space="preserve">equivalent of lead, a great saving in weight would be secured</w:t></w:r>
</w:p>
<w:p>
<w:pPr><w:pStyle w:val="Normal"/></w:pPr>
<w:r><w:t xml:space="preserve">by using almost any other metal.  Unfortunately no other metal</w:t></w:r>
</w:p>
<w:p>
<w:pPr><w:pStyle w:val="Normal"/></w:pPr>
<w:r><w:t xml:space="preserve">and its compounds can resist the acid.  Hence inventors have</w:t></w:r>
</w:p>
<w:p>
<w:pPr><w:pStyle w:val="Normal"/></w:pPr>
<w:r><w:t xml:space="preserve">been incited to try alkaline liquids as electrolytes.  Many</w:t></w:r>
</w:p>
<w:p>
<w:pPr><w:pStyle w:val="Normal"/></w:pPr>
<w:r><w:t xml:space="preserve">attempts have been made to construct accumulators in this way,</w:t></w:r>
</w:p>
<w:p>
<w:pPr><w:pStyle w:val="Normal"/></w:pPr>
<w:r><w:t xml:space="preserve">though with only moderate success.  The Lalande-Chaperon,</w:t></w:r>
</w:p>
<w:p>
<w:pPr><w:pStyle w:val="Normal"/></w:pPr>
<w:r><w:t xml:space="preserve">Desmazures, Waddell-Ent2 and Edison are the chief cells. T.</w:t></w:r>
</w:p>
<w:p>
<w:pPr><w:pStyle w:val="Normal"/></w:pPr>
<w:r><w:t xml:space="preserve">A. Edison&apos;s cell has been most developed, and is intended for</w:t></w:r>
</w:p>
<w:p>
<w:pPr><w:pStyle w:val="Normal"/></w:pPr>
<w:r><w:t xml:space="preserve">traction work.  He made the plates of very thin sheets of</w:t></w:r>
</w:p>
<w:p>
<w:pPr><w:pStyle w:val="Normal"/></w:pPr>
<w:r><w:t xml:space="preserve">nickel-plated steel, in each of which 24 rectangular holes</w:t></w:r>
</w:p>
<w:p>
<w:pPr><w:pStyle w:val="Normal"/></w:pPr>
<w:r><w:t xml:space="preserve">were stamped, leaving a mere framework of the metal.  Shallow</w:t></w:r>
</w:p>
<w:p>
<w:pPr><w:pStyle w:val="Normal"/></w:pPr>
<w:r><w:t xml:space="preserve">rectangular pockets of perforated nickel-steel were fitted</w:t></w:r>
</w:p>
<w:p>
<w:pPr><w:pStyle w:val="Normal"/></w:pPr>
<w:r><w:t xml:space="preserve">in the holes and then burred over the framework by high</w:t></w:r>
</w:p>
<w:p>
<w:pPr><w:pStyle w:val="Normal"/></w:pPr>
<w:r><w:t xml:space="preserve">pressures.  The pockets contained the active material.  On the</w:t></w:r>
</w:p>
<w:p>
<w:pPr><w:pStyle w:val="Normal"/></w:pPr>
<w:r><w:t xml:space="preserve">positive plate this consisted of nickel peroxide mixed with</w:t></w:r>
</w:p>
<w:p>
<w:pPr><w:pStyle w:val="Normal"/></w:pPr>
<w:r><w:t xml:space="preserve">flake graphite, and on the negative plate of finely divided</w:t></w:r>
</w:p>
<w:p>
<w:pPr><w:pStyle w:val="Normal"/></w:pPr>
<w:r><w:t xml:space="preserve">iron mixed with graphite.  Both kinds of active material</w:t></w:r>
</w:p>
<w:p>
<w:pPr><w:pStyle w:val="Normal"/></w:pPr>
<w:r><w:t xml:space="preserve">were prepared in a special way.  The graphite gives greater</w:t></w:r>
</w:p>
<w:p>
<w:pPr><w:pStyle w:val="Normal"/></w:pPr>
<w:r><w:t xml:space="preserve">conductivity.  The liquid was a 20% solution of caustic</w:t></w:r>
</w:p>
<w:p>
<w:pPr><w:pStyle w:val="Normal"/></w:pPr>
<w:r><w:t xml:space="preserve">potash.  During discharge the iron was oxidized, and the</w:t></w:r>
</w:p>
<w:p>
<w:pPr><w:pStyle w:val="Normal"/></w:pPr>
<w:r><w:t xml:space="preserve">nickel reduced to a lower state of oxidation. This change was</w:t></w:r>
</w:p>
<w:p>
<w:pPr><w:pStyle w:val="Normal"/></w:pPr>
<w:r><w:t xml:space="preserve">reversed during charge.  Fig. 24 shows the general features.</w:t></w:r>
</w:p>
<w:p>
<w:pPr><w:pStyle w:val="Normal"/></w:pPr>
<w:r><w:t xml:space="preserve">Fig. 24.--Edison Accumulator.</w:t></w:r>
</w:p>
<w:p>
<w:pPr><w:pStyle w:val="Normal"/></w:pPr>
<w:r><w:t xml:space="preserve">The chief results obtained by European experts showed</w:t></w:r>
</w:p>
<w:p>
<w:pPr><w:pStyle w:val="Normal"/></w:pPr>
<w:r><w:t xml:space="preserve">that the E.M.F. was 1.33 volt, with a transient higher</w:t></w:r>
</w:p>
<w:p>
<w:pPr><w:pStyle w:val="Normal"/></w:pPr>
<w:r><w:t xml:space="preserve">value following charge.  A cell weighing 17.8 lb. had a</w:t></w:r>
</w:p>
<w:p>
<w:pPr><w:pStyle w:val="Normal"/></w:pPr>
<w:r><w:t xml:space="preserve">resistance of 0.0013 ohm, and an output at 60 amperes of 210</w:t></w:r>
</w:p>
<w:p>
<w:pPr><w:pStyle w:val="Normal"/></w:pPr>
<w:r><w:t xml:space="preserve">watt-hours, or at 120 amperes of 177 watt-hours.  Another</w:t></w:r>
</w:p>
<w:p>
<w:pPr><w:pStyle w:val="Normal"/></w:pPr>
<w:r><w:t xml:space="preserve">and improved cell weighiog 12.7 lb.  gave 14.6 watt-hours</w:t></w:r>
</w:p>
<w:p>
<w:pPr><w:pStyle w:val="Normal"/></w:pPr>
<w:r><w:t xml:space="preserve">per pound of cell at a 20-ampere rate, and 13.5 watt-hours</w:t></w:r>
</w:p>
<w:p>
<w:pPr><w:pStyle w:val="Normal"/></w:pPr>
<w:r><w:t xml:space="preserve">per pound at a 60 ampere rate.  The cell could be charged</w:t></w:r>
</w:p>
<w:p>
<w:pPr><w:pStyle w:val="Normal"/></w:pPr>
<w:r><w:t xml:space="preserve">and discharged at almost any rate.  A full charge could be</w:t></w:r>
</w:p>
<w:p>
<w:pPr><w:pStyle w:val="Normal"/></w:pPr>
<w:r><w:t xml:space="preserve">given in 1 hour, and it would stand a discharge rate of 200</w:t></w:r>
</w:p>
<w:p>
<w:pPr><w:pStyle w:val="Normal"/></w:pPr>
<w:r><w:t xml:space="preserve">amperes (Journ.  Inst. Elec.  Eng., 1904, pp. 1-36).</w:t></w:r>
</w:p>
<w:p>
<w:pPr><w:pStyle w:val="Normal"/></w:pPr>
<w:r><w:t xml:space="preserve">Subsequently Edison found some degree of falling-off in</w:t></w:r>
</w:p>
<w:p>
<w:pPr><w:pStyle w:val="Normal"/></w:pPr>
<w:r><w:t xml:space="preserve">capacity, due to an enlargement of the positive pockets</w:t></w:r>
</w:p>
<w:p>
<w:pPr><w:pStyle w:val="Normal"/></w:pPr>
<w:r><w:t xml:space="preserve">by pressure of gas.  Most of the faults have been overcome</w:t></w:r>
</w:p>
<w:p>
<w:pPr><w:pStyle w:val="Normal"/></w:pPr>
<w:r><w:t xml:space="preserve">by altering the form of the pocket and replacing the</w:t></w:r>
</w:p>
<w:p>
<w:pPr><w:pStyle w:val="Normal"/></w:pPr>
<w:r><w:t xml:space="preserve">graphite by a metallic conductor in the form of flakes.</w:t></w:r>
</w:p>
<w:p>
<w:pPr><w:pStyle w:val="Normal"/></w:pPr>
<w:r><w:t xml:space="preserve">REFERENCES.---G.  Plante, Recherches sur L&apos;electricite</w:t></w:r>
</w:p>
<w:p>
<w:pPr><w:pStyle w:val="Normal"/></w:pPr>
<w:r><w:t xml:space="preserve">(Paris, 1879); Gladstone and Tribe, Chemistry of Secondary</w:t></w:r>
</w:p>
<w:p>
<w:pPr><w:pStyle w:val="Normal"/></w:pPr>
<w:r><w:t xml:space="preserve">Batteries (London, 1884); Reynier, L&apos;Accumulateur voltaique</w:t></w:r>
</w:p>
<w:p>
<w:pPr><w:pStyle w:val="Normal"/></w:pPr>
<w:r><w:t xml:space="preserve">(Paris, 1888); Heim, Die Akkumulatoren (Berlin, 1889);</w:t></w:r>
</w:p>
<w:p>
<w:pPr><w:pStyle w:val="Normal"/></w:pPr>
<w:r><w:t xml:space="preserve">Hoppe, Die Akk. fur Elektricitat (Berlin, 1892); Schoop,</w:t></w:r>
</w:p>
<w:p>
<w:pPr><w:pStyle w:val="Normal"/></w:pPr>
<w:r><w:t xml:space="preserve">Handbuch fur Akk. (Stuttgart, 1898): Sir E. Frankland,</w:t></w:r>
</w:p>
<w:p>
<w:pPr><w:pStyle w:val="Normal"/></w:pPr>
<w:r><w:t xml:space="preserve">``Chemistry of Storage Batteries,&apos;&apos; Proc.  Roy. Soc., 1883;</w:t></w:r>
</w:p>
<w:p>
<w:pPr><w:pStyle w:val="Normal"/></w:pPr>
<w:r><w:t xml:space="preserve">Reynier, Jour.  Soc. Franc. de Phys., 1884; Heim, ``U.</w:t></w:r>
</w:p>
<w:p>
<w:pPr><w:pStyle w:val="Normal"/></w:pPr>
<w:r><w:t xml:space="preserve">d. Einfluss der Sauredichte auf die Kapazitat der Akk.,&apos;&apos;</w:t></w:r>
</w:p>
<w:p>
<w:pPr><w:pStyle w:val="Normal"/></w:pPr>
<w:r><w:t xml:space="preserve">Elek.  Zeits., 1889; Kohlrausch and Heim, ``Ergebnisse von</w:t></w:r>
</w:p>
<w:p>
<w:pPr><w:pStyle w:val="Normal"/></w:pPr>
<w:r><w:t xml:space="preserve">Versuchen an Akk. fur Stationsbetrieb,&apos;&apos; Elek.  Zeits.,</w:t></w:r>
</w:p>
<w:p>
<w:pPr><w:pStyle w:val="Normal"/></w:pPr>
<w:r><w:t xml:space="preserve">1889; Darrieus, Bull.  Soc. Intern. des Elect., 1892; F.</w:t></w:r>
</w:p>
<w:p>
<w:pPr><w:pStyle w:val="Normal"/></w:pPr>
<w:r><w:t xml:space="preserve">Dolezalek, The Theory of the Lead Accumulator (London, 1906);</w:t></w:r>
</w:p>
<w:p>
<w:pPr><w:pStyle w:val="Normal"/></w:pPr>
<w:r><w:t xml:space="preserve">Sir D. Salomons, Management of accumulators (London, 1906)</w:t></w:r>
</w:p>
<w:p>
<w:pPr><w:pStyle w:val="Normal"/></w:pPr>
<w:r><w:t xml:space="preserve">E. J. Wade, Secondary Batteries (London, 1901); L. Jumau,</w:t></w:r>
</w:p>
<w:p>
<w:pPr><w:pStyle w:val="Normal"/></w:pPr>
<w:r><w:t xml:space="preserve">Les Accumulateurs electriques (Paris, 1904). (W. HT.)</w:t></w:r>
</w:p>
<w:p>
<w:pPr><w:pStyle w:val="Normal"/></w:pPr>
<w:r><w:t xml:space="preserve">ACCURSIUS Ital. ACCORSO), FRANCISCUS (1182-1260), Italian</w:t></w:r>
</w:p>
<w:p>
<w:pPr><w:pStyle w:val="Normal"/></w:pPr>
<w:r><w:t xml:space="preserve">jurist, was born at Florence about 1182.  A pupil of Azo, he</w:t></w:r>
</w:p>
<w:p>
<w:pPr><w:pStyle w:val="Normal"/></w:pPr>
<w:r><w:t xml:space="preserve">first practised law in his native city, and was afterwards</w:t></w:r>
</w:p>
<w:p>
<w:pPr><w:pStyle w:val="Normal"/></w:pPr>
<w:r><w:t xml:space="preserve">appointed professor at Bologna, where he had great success as a</w:t></w:r>
</w:p>
<w:p>
<w:pPr><w:pStyle w:val="Normal"/></w:pPr>
<w:r><w:t xml:space="preserve">teacher.  He undertook the great work of arranging into one</w:t></w:r>
</w:p>
<w:p>
<w:pPr><w:pStyle w:val="Normal"/></w:pPr>
<w:r><w:t xml:space="preserve">body the almost innumerable comments and remarks upon the</w:t></w:r>
</w:p>
<w:p>
<w:pPr><w:pStyle w:val="Normal"/></w:pPr>
<w:r><w:t xml:space="preserve">Code, the Institutes and Digests, the confused dispersion</w:t></w:r>
</w:p>
<w:p>
<w:pPr><w:pStyle w:val="Normal"/></w:pPr>
<w:r><w:t xml:space="preserve">of which among the works of different writers caused much</w:t></w:r>
</w:p>
<w:p>
<w:pPr><w:pStyle w:val="Normal"/></w:pPr>
<w:r><w:t xml:space="preserve">obscurity and contradiction.  This compilation, bearing</w:t></w:r>
</w:p>
<w:p>
<w:pPr><w:pStyle w:val="Normal"/></w:pPr>
<w:r><w:t xml:space="preserve">the title Glossa ordinaria or magistralis, but usually</w:t></w:r>
</w:p>
<w:p>
<w:pPr><w:pStyle w:val="Normal"/></w:pPr>
<w:r><w:t xml:space="preserve">known as the Great Gloss, though written in barbarous Latin,</w:t></w:r>
</w:p>
<w:p>
<w:pPr><w:pStyle w:val="Normal"/></w:pPr>
<w:r><w:t xml:space="preserve">has more method than that of any preceding writer on the</w:t></w:r>
</w:p>
<w:p>
<w:pPr><w:pStyle w:val="Normal"/></w:pPr>
<w:r><w:t xml:space="preserve">subject.  The best edition of it is that of Denis Godefroi</w:t></w:r>
</w:p>
<w:p>
<w:pPr><w:pStyle w:val="Normal"/></w:pPr>
<w:r><w:t xml:space="preserve">(1549-1621), published at Lyons in 1589, in 6 vols.</w:t></w:r>
</w:p>
<w:p>
<w:pPr><w:pStyle w:val="Normal"/></w:pPr>
<w:r><w:t xml:space="preserve">folio.  When Accursius was employed in this work, it is</w:t></w:r>
</w:p>
<w:p>
<w:pPr><w:pStyle w:val="Normal"/></w:pPr>
<w:r><w:t xml:space="preserve">said that, hearing of a similar one proposed and begun by</w:t></w:r>
</w:p>
<w:p>
<w:pPr><w:pStyle w:val="Normal"/></w:pPr>
<w:r><w:t xml:space="preserve">Odoiced, another lawyer of Bologna, he feigned indisposition,</w:t></w:r>
</w:p>
<w:p>
<w:pPr><w:pStyle w:val="Normal"/></w:pPr>
<w:r><w:t xml:space="preserve">interrupted his public lectures, and shut himself up,</w:t></w:r>
</w:p>
<w:p>
<w:pPr><w:pStyle w:val="Normal"/></w:pPr>
<w:r><w:t xml:space="preserve">till with the utmost expedition he had accomplished his</w:t></w:r>
</w:p>
<w:p>
<w:pPr><w:pStyle w:val="Normal"/></w:pPr>
<w:r><w:t xml:space="preserve">design.  Accursius was greatly extolled by the lawyers of</w:t></w:r>
</w:p>
<w:p>
<w:pPr><w:pStyle w:val="Normal"/></w:pPr>
<w:r><w:t xml:space="preserve">his own and the immediately succeeding age, and he was even</w:t></w:r>
</w:p>
<w:p>
<w:pPr><w:pStyle w:val="Normal"/></w:pPr>
<w:r><w:t xml:space="preserve">called the idol of jurisconsults, but those of later times</w:t></w:r>
</w:p>
<w:p>
<w:pPr><w:pStyle w:val="Normal"/></w:pPr>
<w:r><w:t xml:space="preserve">formed a much lower estimate of his merits.  There can be</w:t></w:r>
</w:p>
<w:p>
<w:pPr><w:pStyle w:val="Normal"/></w:pPr>
<w:r><w:t xml:space="preserve">no doubt that he disentangled the sense of many laws with</w:t></w:r>
</w:p>
<w:p>
<w:pPr><w:pStyle w:val="Normal"/></w:pPr>
<w:r><w:t xml:space="preserve">much skill, but it is equally undeniable that his ignorance</w:t></w:r>
</w:p>
<w:p>
<w:pPr><w:pStyle w:val="Normal"/></w:pPr>
<w:r><w:t xml:space="preserve">of history and antiquities often led him into absurdities,</w:t></w:r>
</w:p>
<w:p>
<w:pPr><w:pStyle w:val="Normal"/></w:pPr>
<w:r><w:t xml:space="preserve">and was the cause of many defects in his explanations and</w:t></w:r>
</w:p>
<w:p>
<w:pPr><w:pStyle w:val="Normal"/></w:pPr>
<w:r><w:t xml:space="preserve">commentaries.  He died at Bologna in 1260. His eldest son</w:t></w:r>
</w:p>
<w:p>
<w:pPr><w:pStyle w:val="Normal"/></w:pPr>
<w:r><w:t xml:space="preserve">Franciscus (1225-1293), who also filled the chair of law</w:t></w:r>
</w:p>
<w:p>
<w:pPr><w:pStyle w:val="Normal"/></w:pPr>
<w:r><w:t xml:space="preserve">at Bologna, was invited to Oxford by King Edward I., and</w:t></w:r>
</w:p>
<w:p>
<w:pPr><w:pStyle w:val="Normal"/></w:pPr>
<w:r><w:t xml:space="preserve">in 1275 or 1276 read lectures on law in the university.</w:t></w:r>
</w:p>
<w:p>
<w:pPr><w:pStyle w:val="Normal"/></w:pPr>
<w:r><w:t xml:space="preserve">ACCUSATION (Lat. accusatio, accusare, to challenge to</w:t></w:r>
</w:p>
<w:p>
<w:pPr><w:pStyle w:val="Normal"/></w:pPr>
<w:r><w:t xml:space="preserve">a causa, a suit or trial at law), a legal term signifying</w:t></w:r>
</w:p>
<w:p>
<w:pPr><w:pStyle w:val="Normal"/></w:pPr>
<w:r><w:t xml:space="preserve">the charging of another with wrong-doing, criminal or</w:t></w:r>
</w:p>
<w:p>
<w:pPr><w:pStyle w:val="Normal"/></w:pPr>
<w:r><w:t xml:space="preserve">otherwise.  An accusation which is made in a court of justice</w:t></w:r>
</w:p>
<w:p>
<w:pPr><w:pStyle w:val="Normal"/></w:pPr>
<w:r><w:t xml:space="preserve">during legal proceedings is privileged (see PRIVILEGE),</w:t></w:r>
</w:p>
<w:p>
<w:pPr><w:pStyle w:val="Normal"/></w:pPr>
<w:r><w:t xml:space="preserve">though, should the accused have been maliciously prosecuted,</w:t></w:r>
</w:p>
<w:p>
<w:pPr><w:pStyle w:val="Normal"/></w:pPr>
<w:r><w:t xml:space="preserve">he will have a right to bring an action for malicious</w:t></w:r>
</w:p>
<w:p>
<w:pPr><w:pStyle w:val="Normal"/></w:pPr>
<w:r><w:t xml:space="preserve">prosecution.  An accusation made outside a court of justice</w:t></w:r>
</w:p>
<w:p>
<w:pPr><w:pStyle w:val="Normal"/></w:pPr>
<w:r><w:t xml:space="preserve">would, if the accusation were false, render the accuser</w:t></w:r>
</w:p>
<w:p>
<w:pPr><w:pStyle w:val="Normal"/></w:pPr>
<w:r><w:t xml:space="preserve">liable to an action for defamation of character, while, if the</w:t></w:r>
</w:p>
<w:p>
<w:pPr><w:pStyle w:val="Normal"/></w:pPr>
<w:r><w:t xml:space="preserve">accusation be committed to writing, the writer of it is liable</w:t></w:r>
</w:p>
<w:p>
<w:pPr><w:pStyle w:val="Normal"/></w:pPr>
<w:r><w:t xml:space="preserve">to indictment, whether the accusation be made only to the party</w:t></w:r>
</w:p>
<w:p>
<w:pPr><w:pStyle w:val="Normal"/></w:pPr>
<w:r><w:t xml:space="preserve">accused or to a third person, A threat or conspiracy to accuse</w:t></w:r>
</w:p>
<w:p>
<w:pPr><w:pStyle w:val="Normal"/></w:pPr>
<w:r><w:t xml:space="preserve">another of a crime or of misconduct which does not amount to</w:t></w:r>
</w:p>
<w:p>
<w:pPr><w:pStyle w:val="Normal"/></w:pPr>
<w:r><w:t xml:space="preserve">a crime for the purpose of extortion is in itself indictable.</w:t></w:r>
</w:p>
<w:p>
<w:pPr><w:pStyle w:val="Normal"/></w:pPr>
<w:r><w:t xml:space="preserve">ACCUSATIVE (Lat. accusativus, sc. casus, a translation</w:t></w:r>
</w:p>
<w:p>
<w:pPr><w:pStyle w:val="Normal"/></w:pPr>
<w:r><w:t xml:space="preserve">of the Gr. aitiatike ptosis, the case concerned</w:t></w:r>
</w:p>
<w:p>
<w:pPr><w:pStyle w:val="Normal"/></w:pPr>
<w:r><w:t xml:space="preserve">with cause and effect, from aiti&apos;a, a cause), in</w:t></w:r>
</w:p>
<w:p>
<w:pPr><w:pStyle w:val="Normal"/></w:pPr>
<w:r><w:t xml:space="preserve">grammar, a case of the noun, denoting primarily the</w:t></w:r>
</w:p>
<w:p>
<w:pPr><w:pStyle w:val="Normal"/></w:pPr>
<w:r><w:t xml:space="preserve">object of verbal action or the destination of motion.</w:t></w:r>
</w:p>
<w:p>
<w:pPr><w:pStyle w:val="Normal"/></w:pPr>
<w:r><w:t xml:space="preserve">ACE (derived through the Lat. as, from the Tarentine</w:t></w:r>
</w:p>
<w:p>
<w:pPr><w:pStyle w:val="Normal"/></w:pPr>
<w:r><w:t xml:space="preserve">form of the Gr. eis) the number one at dice, or the</w:t></w:r>
</w:p>
<w:p>
<w:pPr><w:pStyle w:val="Normal"/></w:pPr>
<w:r><w:t xml:space="preserve">single point on a die or card; also a point in the score</w:t></w:r>
</w:p>
<w:p>
<w:pPr><w:pStyle w:val="Normal"/></w:pPr>
<w:r><w:t xml:space="preserve">of racquets, lawn-tennis, tennis and other court games.</w:t></w:r>
</w:p>
<w:p>
<w:pPr><w:pStyle w:val="Normal"/></w:pPr>
<w:r><w:t xml:space="preserve">ACELDAMA (according to Acts i. 19, ``the field of blood&apos;&apos;),</w:t></w:r>
</w:p>
<w:p>
<w:pPr><w:pStyle w:val="Normal"/></w:pPr>
<w:r><w:t xml:space="preserve">the name given to the field purchased by Judas Iscariot</w:t></w:r>
</w:p>
<w:p>
<w:pPr><w:pStyle w:val="Normal"/></w:pPr>
<w:r><w:t xml:space="preserve">with the money he received for the betrayal of Jesus</w:t></w:r>
</w:p>
<w:p>
<w:pPr><w:pStyle w:val="Normal"/></w:pPr>
<w:r><w:t xml:space="preserve">Christ.  A different version is given in Matthew xxvii.</w:t></w:r>
</w:p>
<w:p>
<w:pPr><w:pStyle w:val="Normal"/></w:pPr>
<w:r><w:t xml:space="preserve">8, where Judas is said to have cast down the money in the</w:t></w:r>
</w:p>
<w:p>
<w:pPr><w:pStyle w:val="Normal"/></w:pPr>
<w:r><w:t xml:space="preserve">Temple, and the priests who had paid it to have recovered the</w:t></w:r>
</w:p>
<w:p>
<w:pPr><w:pStyle w:val="Normal"/></w:pPr>
<w:r><w:t xml:space="preserve">pieces, with which they bought ``the potter&apos;s field, to bury</w:t></w:r>
</w:p>
<w:p>
<w:pPr><w:pStyle w:val="Normal"/></w:pPr>
<w:r><w:t xml:space="preserve">strangers in.&apos;&apos; The MS. evidence is greatly in favour of</w:t></w:r>
</w:p>
<w:p>
<w:pPr><w:pStyle w:val="Normal"/></w:pPr>
<w:r><w:t xml:space="preserve">a form Aceldamach.  This would seem to mean ``the field of</w:t></w:r>
</w:p>
<w:p>
<w:pPr><w:pStyle w:val="Normal"/></w:pPr>
<w:r><w:t xml:space="preserve">thy blood,&apos;&apos; which is unsuitable.  Since, however, we find</w:t></w:r>
</w:p>
<w:p>
<w:pPr><w:pStyle w:val="Normal"/></w:pPr>
<w:r><w:t xml:space="preserve">elsewhere one name appearing as both Sirach and Sira (ch</w:t></w:r>
</w:p>
<w:p>
<w:pPr><w:pStyle w:val="Normal"/></w:pPr>
<w:r><w:t xml:space="preserve">= aleph), Aceldamach may be another form of an original</w:t></w:r>
</w:p>
<w:p>
<w:pPr><w:pStyle w:val="Normal"/></w:pPr>
<w:r><w:t xml:space="preserve">Aceldama (aleph kamatz mem shvah daleth lamedh tzareh</w:t></w:r>
</w:p>
<w:p>
<w:pPr><w:pStyle w:val="Normal"/></w:pPr>
<w:r><w:t xml:space="preserve">qoph patach heth), the ``field of blood.&apos;&apos; A. Klostermann,</w:t></w:r>
</w:p>
<w:p>
<w:pPr><w:pStyle w:val="Normal"/></w:pPr>
<w:r><w:t xml:space="preserve">however, takes the ch to be part of the Aramaic root</w:t></w:r>
</w:p>
<w:p>
<w:pPr><w:pStyle w:val="Normal"/></w:pPr>
<w:r><w:t xml:space="preserve">demach, ``to sleep,&apos;; the word would then mean ``field</w:t></w:r>
</w:p>
<w:p>
<w:pPr><w:pStyle w:val="Normal"/></w:pPr>
<w:r><w:t xml:space="preserve">of sleep&apos;&apos; or cemetery (Probleme im Aposteltexte, 1-8,</w:t></w:r>
</w:p>
<w:p>
<w:pPr><w:pStyle w:val="Normal"/></w:pPr>
<w:r><w:t xml:space="preserve">1883), an explanation which fits in well with the account</w:t></w:r>
</w:p>
<w:p>
<w:pPr><w:pStyle w:val="Normal"/></w:pPr>
<w:r><w:t xml:space="preserve">in Matthew xxvii.  The traditional site (now Hak el-Dum),</w:t></w:r>
</w:p>
<w:p>
<w:pPr><w:pStyle w:val="Normal"/></w:pPr>
<w:r><w:t xml:space="preserve">S. of Jerusalem on the N.E. slope of the ``Hill of Evil</w:t></w:r>
</w:p>
<w:p>
<w:pPr><w:pStyle w:val="Normal"/></w:pPr>
<w:r><w:t xml:space="preserve">Counsel&apos;&apos; (Jebel Deir Abu Tor), was used as a burial place</w:t></w:r>
</w:p>
<w:p>
<w:pPr><w:pStyle w:val="Normal"/></w:pPr>
<w:r><w:t xml:space="preserve">for Christian pilgrims from the 6th century A.D. till as</w:t></w:r>
</w:p>
<w:p>
<w:pPr><w:pStyle w:val="Normal"/></w:pPr>
<w:r><w:t xml:space="preserve">late, apparently, as 1697, and especially in the time of the</w:t></w:r>
</w:p>
<w:p>
<w:pPr><w:pStyle w:val="Normal"/></w:pPr>
<w:r><w:t xml:space="preserve">Crusades.  Near it there is a very ancient charnelhouse, partly</w:t></w:r>
</w:p>
<w:p>
<w:pPr><w:pStyle w:val="Normal"/></w:pPr>
<w:r><w:t xml:space="preserve">rock-cut, partly of masonry, said to be the work of Crusaders.</w:t></w:r>
</w:p>
<w:p>
<w:pPr><w:pStyle w:val="Normal"/></w:pPr>
<w:r><w:t xml:space="preserve">ACENAPHTHENE, C12H10, a hydrocarbon isolated from</w:t></w:r>
</w:p>
<w:p>
<w:pPr><w:pStyle w:val="Normal"/></w:pPr>
<w:r><w:t xml:space="preserve">the fraction of coal-tar boiling at 260 deg. -270 deg.  by M. P.</w:t></w:r>
</w:p>
<w:p>
<w:pPr><w:pStyle w:val="Normal"/></w:pPr>
<w:r><w:t xml:space="preserve">E. Berthelot, who, in conjunction with Bardy, afterwards</w:t></w:r>
</w:p>
<w:p>
<w:pPr><w:pStyle w:val="Normal"/></w:pPr>
<w:r><w:t xml:space="preserve">synthesized it from a-ethyl naphthalene (Ann. Chem.</w:t></w:r>
</w:p>
<w:p>
<w:pPr><w:pStyle w:val="Normal"/></w:pPr>
<w:r><w:t xml:space="preserve">Phys., 1873, Yol. xxix.).  It forms white needles (from</w:t></w:r>
</w:p>
<w:p>
<w:pPr><w:pStyle w:val="Normal"/></w:pPr>
<w:r><w:t xml:space="preserve">alcohol), melts at 95 deg.  and boils at 278 deg. .  Oxidation</w:t></w:r>
</w:p>
<w:p>
<w:pPr><w:pStyle w:val="Normal"/></w:pPr>
<w:r><w:t xml:space="preserve">gives naphthalic acid (1.8 naphthalene dicathoxylic acid).</w:t></w:r>
</w:p>
<w:p>
<w:pPr><w:pStyle w:val="Normal"/></w:pPr>
<w:r><w:t xml:space="preserve">Acenaphthalene, C12 H8, a hydrocarbon crystallizing</w:t></w:r>
</w:p>
<w:p>
<w:pPr><w:pStyle w:val="Normal"/></w:pPr>
<w:r><w:t xml:space="preserve">in yellow tables and obtained by passing the vapour of</w:t></w:r>
</w:p>
<w:p>
<w:pPr><w:pStyle w:val="Normal"/></w:pPr>
<w:r><w:t xml:space="preserve">acenaphthene over heated litharge.  Sodium amalgam reduces it</w:t></w:r>
</w:p>
<w:p>
<w:pPr><w:pStyle w:val="Normal"/></w:pPr>
<w:r><w:t xml:space="preserve">to acenaphthone; chromic acid oxidizes it to naphthalic acid.</w:t></w:r>
</w:p>
<w:p>
<w:pPr><w:pStyle w:val="Normal"/></w:pPr>
<w:r><w:t xml:space="preserve">ACEPHALI (from a&apos;-, privative, and kefale, head), a</w:t></w:r>
</w:p>
<w:p>
<w:pPr><w:pStyle w:val="Normal"/></w:pPr>
<w:r><w:t xml:space="preserve">term applied to several sects as having no head or leader;</w:t></w:r>
</w:p>
<w:p>
<w:pPr><w:pStyle w:val="Normal"/></w:pPr>
<w:r><w:t xml:space="preserve">and in particular to a strict monophysite sect that separated</w:t></w:r>
</w:p>
<w:p>
<w:pPr><w:pStyle w:val="Normal"/></w:pPr>
<w:r><w:t xml:space="preserve">itself, in the end of the 5th century, from the rule of</w:t></w:r>
</w:p>
<w:p>
<w:pPr><w:pStyle w:val="Normal"/></w:pPr>
<w:r><w:t xml:space="preserve">the patriarch of Alexandria (Peter Mongus), and remained</w:t></w:r>
</w:p>
<w:p>
<w:pPr><w:pStyle w:val="Normal"/></w:pPr>
<w:r><w:t xml:space="preserve">``without king or bishop&apos;&apos; till they were reconciled by Mark</w:t></w:r>
</w:p>
<w:p>
<w:pPr><w:pStyle w:val="Heading1"/></w:pPr>
<w:r><w:t>I. (799-819).1 The term is also used to denote clerici</w:t></w:r>
</w:p>
<w:p>
<w:pPr><w:pStyle w:val="Normal"/></w:pPr>
<w:r><w:t xml:space="preserve">vagrantes, i.e. clergy without title or benefice, picking</w:t></w:r>
</w:p>
<w:p>
<w:pPr><w:pStyle w:val="Normal"/></w:pPr>
<w:r><w:t xml:space="preserve">up a living anyhow (cf. Hinschius i. p. 64). Certain persons</w:t></w:r>
</w:p>
<w:p>
<w:pPr><w:pStyle w:val="Normal"/></w:pPr>
<w:r><w:t xml:space="preserve">in England during the reign of King Henry I. were called</w:t></w:r>
</w:p>
<w:p>
<w:pPr><w:pStyle w:val="Normal"/></w:pPr>
<w:r><w:t xml:space="preserve">Acephali because they had no lands by virtue of which they</w:t></w:r>
</w:p>
<w:p>
<w:pPr><w:pStyle w:val="Normal"/></w:pPr>
<w:r><w:t xml:space="preserve">could acknowledge a superior lord.  The name is also given to</w:t></w:r>
</w:p>
<w:p>
<w:pPr><w:pStyle w:val="Normal"/></w:pPr>
<w:r><w:t xml:space="preserve">certain legendary races described by ancient naturalists and</w:t></w:r>
</w:p>
<w:p>
<w:pPr><w:pStyle w:val="Normal"/></w:pPr>
<w:r><w:t xml:space="preserve">geographers as having no heads, their mouths and eyes being</w:t></w:r>
</w:p>
<w:p>
<w:pPr><w:pStyle w:val="Normal"/></w:pPr>
<w:r><w:t xml:space="preserve">in their breasts, generally identified with Pliny&apos;s Blemmyae.</w:t></w:r>
</w:p>
<w:p>
<w:pPr><w:pStyle w:val="Normal"/></w:pPr>
<w:r><w:t xml:space="preserve">ACEPHALOUS, headless, whether literally or metaphorically,</w:t></w:r>
</w:p>
<w:p>
<w:pPr><w:pStyle w:val="Normal"/></w:pPr>
<w:r><w:t xml:space="preserve">leaderless.  The word is used literally in biology; and</w:t></w:r>
</w:p>
<w:p>
<w:pPr><w:pStyle w:val="Normal"/></w:pPr>
<w:r><w:t xml:space="preserve">metaphorically in prosody or grammar for a verse or sentence</w:t></w:r>
</w:p>
<w:p>
<w:pPr><w:pStyle w:val="Normal"/></w:pPr>
<w:r><w:t xml:space="preserve">with a beginning wanting.  In zoology, the mollusca are</w:t></w:r>
</w:p>
<w:p>
<w:pPr><w:pStyle w:val="Normal"/></w:pPr>
<w:r><w:t xml:space="preserve">divided into cephalous and acephalous (Acephala), according</w:t></w:r>
</w:p>
<w:p>
<w:pPr><w:pStyle w:val="Normal"/></w:pPr>
<w:r><w:t xml:space="preserve">as they have or have not an organized part of their anatomy</w:t></w:r>
</w:p>
<w:p>
<w:pPr><w:pStyle w:val="Normal"/></w:pPr>
<w:r><w:t xml:space="preserve">as the seat of the brain and special senses.  The Acephala,</w:t></w:r>
</w:p>
<w:p>
<w:pPr><w:pStyle w:val="Normal"/></w:pPr>
<w:r><w:t xml:space="preserve">or Lamellibranchiata (q.v.), are commonly known as bivalve</w:t></w:r>
</w:p>
<w:p>
<w:pPr><w:pStyle w:val="Normal"/></w:pPr>
<w:r><w:t xml:space="preserve">shell-fish.  In botany the word is used for ovaries not</w:t></w:r>
</w:p>
<w:p>
<w:pPr><w:pStyle w:val="Normal"/></w:pPr>
<w:r><w:t xml:space="preserve">terminating in a stigma. Acephalocyst is the name given by R.</w:t></w:r>
</w:p>
<w:p>
<w:pPr><w:pStyle w:val="Normal"/></w:pPr>
<w:r><w:t xml:space="preserve">T. H. Laennec to the hydatid, immature or larval tapeworm.</w:t></w:r>
</w:p>
<w:p>
<w:pPr><w:pStyle w:val="Normal"/></w:pPr>
<w:r><w:t xml:space="preserve">ACERENZA (anc. Aceruntia), a town of the province of</w:t></w:r>
</w:p>
<w:p>
<w:pPr><w:pStyle w:val="Normal"/></w:pPr>
<w:r><w:t xml:space="preserve">Potenza, Italy, the seat of an archbishop, 15 1/2 m.  N.E. of the</w:t></w:r>
</w:p>
<w:p>
<w:pPr><w:pStyle w:val="Normal"/></w:pPr>
<w:r><w:t xml:space="preserve">station of Pietragalla, which is 9 m.  N.W. of Potenza by rail,</w:t></w:r>
</w:p>
<w:p>
<w:pPr><w:pStyle w:val="Normal"/></w:pPr>
<w:r><w:t xml:space="preserve">2730 ft. above sea-level.  Pop. (1901) 4499.  Its situation is</w:t></w:r>
</w:p>
<w:p>
<w:pPr><w:pStyle w:val="Normal"/></w:pPr>
<w:r><w:t xml:space="preserve">one of great strength, and it has only one entrance, on the</w:t></w:r>
</w:p>
<w:p>
<w:pPr><w:pStyle w:val="Normal"/></w:pPr>
<w:r><w:t xml:space="preserve">south.  It was occupied as a colony at latest by the end of</w:t></w:r>
</w:p>
<w:p>
<w:pPr><w:pStyle w:val="Normal"/></w:pPr>
<w:r><w:t xml:space="preserve">the Republic, and its importance as a fortress was specially</w:t></w:r>
</w:p>
<w:p>
<w:pPr><w:pStyle w:val="Normal"/></w:pPr>
<w:r><w:t xml:space="preserve">appreciated by the Goths and Lombards in the 6th and 7th</w:t></w:r>
</w:p>
<w:p>
<w:pPr><w:pStyle w:val="Normal"/></w:pPr>
<w:r><w:t xml:space="preserve">centuries.  It has a fine Norman cathedral, upon the gable of</w:t></w:r>
</w:p>
<w:p>
<w:pPr><w:pStyle w:val="Normal"/></w:pPr>
<w:r><w:t xml:space="preserve">which is one of the best extant busts of Julian the Apostate.</w:t></w:r>
</w:p>
<w:p>
<w:pPr><w:pStyle w:val="Normal"/></w:pPr>
<w:r><w:t xml:space="preserve">ACEROSE (from Lat. acus, needle, or acer, sharp),</w:t></w:r>
</w:p>
<w:p>
<w:pPr><w:pStyle w:val="Normal"/></w:pPr>
<w:r><w:t xml:space="preserve">needle-shaped, a term used in botany (since Linnaeus) as</w:t></w:r>
</w:p>
<w:p>
<w:pPr><w:pStyle w:val="Normal"/></w:pPr>
<w:r><w:t xml:space="preserve">descriptive of the leaves, e.g., of pines.  From Lat. aeus,</w:t></w:r>
</w:p>
<w:p>
<w:pPr><w:pStyle w:val="Normal"/></w:pPr>
<w:r><w:t xml:space="preserve">chaff, comes also the distinct meaning of ``mixed with chaff.&apos;&apos;</w:t></w:r>
</w:p>
<w:p>
<w:pPr><w:pStyle w:val="Normal"/></w:pPr>
<w:r><w:t xml:space="preserve">ACERRA, a town and episcopal see of Campania, Italy,</w:t></w:r>
</w:p>
<w:p>
<w:pPr><w:pStyle w:val="Normal"/></w:pPr>
<w:r><w:t xml:space="preserve">in the province of Caserta, 9 m.  N.E. from Naples by</w:t></w:r>
</w:p>
<w:p>
<w:pPr><w:pStyle w:val="Normal"/></w:pPr>
<w:r><w:t xml:space="preserve">rail.  Pop. (1901) 16,443.  The town lies on the right</w:t></w:r>
</w:p>
<w:p>
<w:pPr><w:pStyle w:val="Normal"/></w:pPr>
<w:r><w:t xml:space="preserve">bank of the Agno, which divides the province of Naples from</w:t></w:r>
</w:p>
<w:p>
<w:pPr><w:pStyle w:val="Normal"/></w:pPr>
<w:r><w:t xml:space="preserve">that of Caserta, 90 ft. above the sea, in a fertile but</w:t></w:r>
</w:p>
<w:p>
<w:pPr><w:pStyle w:val="Normal"/></w:pPr>
<w:r><w:t xml:space="preserve">somewhat marshy district, which in the middle ages was very</w:t></w:r>
</w:p>
<w:p>
<w:pPr><w:pStyle w:val="Normal"/></w:pPr>
<w:r><w:t xml:space="preserve">malarious.  The ancient name (Acerrae) was also borne</w:t></w:r>
</w:p>
<w:p>
<w:pPr><w:pStyle w:val="Normal"/></w:pPr>
<w:r><w:t xml:space="preserve">by a town in Umbria and another in Gallia Transpadana</w:t></w:r>
</w:p>
<w:p>
<w:pPr><w:pStyle w:val="Normal"/></w:pPr>
<w:r><w:t xml:space="preserve">(the latter now Pizzighettone on the Adda, 13 m. W.N.W. of</w:t></w:r>
</w:p>
<w:p>
<w:pPr><w:pStyle w:val="Normal"/></w:pPr>
<w:r><w:t xml:space="preserve">Cremona).  It became a city with Latin rights in 332 B.C.</w:t></w:r>
</w:p>
<w:p>
<w:pPr><w:pStyle w:val="Normal"/></w:pPr>
<w:r><w:t xml:space="preserve">and later a municipium. It was destroyed by Hannibal in 216</w:t></w:r>
</w:p>
<w:p>
<w:pPr><w:pStyle w:val="Normal"/></w:pPr>
<w:r><w:t xml:space="preserve">B.C., but restored in 210; in 90 B.C. it served as the</w:t></w:r>
</w:p>
<w:p>
<w:pPr><w:pStyle w:val="Normal"/></w:pPr>
<w:r><w:t xml:space="preserve">Roman headquarters in the Social war, and was successfully</w:t></w:r>
</w:p>
<w:p>
<w:pPr><w:pStyle w:val="Normal"/></w:pPr>
<w:r><w:t xml:space="preserve">held against the insurgents.  It received a colony under</w:t></w:r>
</w:p>
<w:p>
<w:pPr><w:pStyle w:val="Normal"/></w:pPr>
<w:r><w:t xml:space="preserve">Augustus, but appears to have suffered much from floods of</w:t></w:r>
</w:p>
<w:p>
<w:pPr><w:pStyle w:val="Normal"/></w:pPr>
<w:r><w:t xml:space="preserve">the river Clams. Under the Empire we hear no more of it,</w:t></w:r>
</w:p>
<w:p>
<w:pPr><w:pStyle w:val="Normal"/></w:pPr>
<w:r><w:t xml:space="preserve">and no traces of antiquity, beyond inscriptions, remain.</w:t></w:r>
</w:p>
<w:p>
<w:pPr><w:pStyle w:val="Normal"/></w:pPr>
<w:r><w:t xml:space="preserve">ACERRA, in Roman antiquity, a small box or pot for holding</w:t></w:r>
</w:p>
<w:p>
<w:pPr><w:pStyle w:val="Normal"/></w:pPr>
<w:r><w:t xml:space="preserve">incense, as distinct from the turibulum (thurible) or</w:t></w:r>
</w:p>
<w:p>
<w:pPr><w:pStyle w:val="Normal"/></w:pPr>
<w:r><w:t xml:space="preserve">censer in which incense was burned.  The name was also</w:t></w:r>
</w:p>
<w:p>
<w:pPr><w:pStyle w:val="Normal"/></w:pPr>
<w:r><w:t xml:space="preserve">given by the Romans to a little altar placed near the</w:t></w:r>
</w:p>
<w:p>
<w:pPr><w:pStyle w:val="Normal"/></w:pPr>
<w:r><w:t xml:space="preserve">dead, on which incense was offered every day till the</w:t></w:r>
</w:p>
<w:p>
<w:pPr><w:pStyle w:val="Normal"/></w:pPr>
<w:r><w:t xml:space="preserve">burial.  In ecclesiastical Latin the term acerra is still</w:t></w:r>
</w:p>
<w:p>
<w:pPr><w:pStyle w:val="Normal"/></w:pPr>
<w:r><w:t xml:space="preserve">applied to the incense boats used in the Roman ritual.</w:t></w:r>
</w:p>
<w:p>
<w:pPr><w:pStyle w:val="Normal"/></w:pPr>
<w:r><w:t xml:space="preserve">ACETABULUM, the Latin word for a vinegar cup, an ancient</w:t></w:r>
</w:p>
<w:p>
<w:pPr><w:pStyle w:val="Normal"/></w:pPr>
<w:r><w:t xml:space="preserve">Roman vessel, used as a liquid measure (equal to about</w:t></w:r>
</w:p>
<w:p>
<w:pPr><w:pStyle w:val="Normal"/></w:pPr>
<w:r><w:t xml:space="preserve">half a gill); it is also a word used technically in</w:t></w:r>
</w:p>
<w:p>
<w:pPr><w:pStyle w:val="Normal"/></w:pPr>
<w:r><w:t xml:space="preserve">zoology, by analogy for certain cup-shaped parts, e.g.</w:t></w:r>
</w:p>
<w:p>
<w:pPr><w:pStyle w:val="Normal"/></w:pPr>
<w:r><w:t xml:space="preserve">the suckers of a mollusc, the socket of the thigh-bone,</w:t></w:r>
</w:p>
<w:p>
<w:pPr><w:pStyle w:val="Normal"/></w:pPr>
<w:r><w:t xml:space="preserve">&amp;c.; and in botany for the receptacle of Fungi.</w:t></w:r>
</w:p>
<w:p>
<w:pPr><w:pStyle w:val="Normal"/></w:pPr>
<w:r><w:t xml:space="preserve">ACETIC ACID (acidum aceticum), CH3.CO2H, one of the most</w:t></w:r>
</w:p>
<w:p>
<w:pPr><w:pStyle w:val="Normal"/></w:pPr>
<w:r><w:t xml:space="preserve">important organic acids.  It occurs naturally in the juice of</w:t></w:r>
</w:p>
<w:p>
<w:pPr><w:pStyle w:val="Normal"/></w:pPr>
<w:r><w:t xml:space="preserve">1 See Gibbon, ch. xlvii. (vol. v. p. 129 in Pury&apos;s ed.).</w:t></w:r>
</w:p>
<w:p>
<w:pPr><w:pStyle w:val="Normal"/></w:pPr>
<w:r><w:t xml:space="preserve">many plants, and as the esters of n-hexyl and n-octyl</w:t></w:r>
</w:p>
<w:p>
<w:pPr><w:pStyle w:val="Normal"/></w:pPr>
<w:r><w:t xml:space="preserve">alcohols in the seeds of Heracleum giganteum, and in the</w:t></w:r>
</w:p>
<w:p>
<w:pPr><w:pStyle w:val="Normal"/></w:pPr>
<w:r><w:t xml:space="preserve">fruit of Heracleum sphondylium, but is generally obtained,</w:t></w:r>
</w:p>
<w:p>
<w:pPr><w:pStyle w:val="Normal"/></w:pPr>
<w:r><w:t xml:space="preserve">on the large scale, from the oxidation of spoiled wines, or</w:t></w:r>
</w:p>
<w:p>
<w:pPr><w:pStyle w:val="Normal"/></w:pPr>
<w:r><w:t xml:space="preserve">from the destructive distillation of wood.  In the former</w:t></w:r>
</w:p>
<w:p>
<w:pPr><w:pStyle w:val="Normal"/></w:pPr>
<w:r><w:t xml:space="preserve">process it is obtained in the form of a dilute aqueous</w:t></w:r>
</w:p>
<w:p>
<w:pPr><w:pStyle w:val="Normal"/></w:pPr>
<w:r><w:t xml:space="preserve">solution, in which also the colouring matters of the wine,</w:t></w:r>
</w:p>
<w:p>
<w:pPr><w:pStyle w:val="Normal"/></w:pPr>
<w:r><w:t xml:space="preserve">salts, &amp;c., are dissolved; and this impure acetic acid is</w:t></w:r>
</w:p>
<w:p>
<w:pPr><w:pStyle w:val="Normal"/></w:pPr>
<w:r><w:t xml:space="preserve">what we ordinarily term vinegar (q.v.). Acetic acid (in</w:t></w:r>
</w:p>
<w:p>
<w:pPr><w:pStyle w:val="Normal"/></w:pPr>
<w:r><w:t xml:space="preserve">the form of vinegar) was known to the ancients, who obtained</w:t></w:r>
</w:p>
<w:p>
<w:pPr><w:pStyle w:val="Normal"/></w:pPr>
<w:r><w:t xml:space="preserve">it by the oxidation of alcoholic liquors. Wood-vinegar was</w:t></w:r>
</w:p>
<w:p>
<w:pPr><w:pStyle w:val="Normal"/></w:pPr>
<w:r><w:t xml:space="preserve">discovered in the middle ages.  Towards the close of the</w:t></w:r>
</w:p>
<w:p>
<w:pPr><w:pStyle w:val="Normal"/></w:pPr>
<w:r><w:t xml:space="preserve">18th century, A. L. Lavoisier showed that air was necessary</w:t></w:r>
</w:p>
<w:p>
<w:pPr><w:pStyle w:val="Normal"/></w:pPr>
<w:r><w:t xml:space="preserve">to the formation of vinegar from alcohol.  In 1830 J. B.</w:t></w:r>
</w:p>
<w:p>
<w:pPr><w:pStyle w:val="Normal"/></w:pPr>
<w:r><w:t xml:space="preserve">A. Dumas converted acetic acid into trichloracetic acid,</w:t></w:r>
</w:p>
<w:p>
<w:pPr><w:pStyle w:val="Normal"/></w:pPr>
<w:r><w:t xml:space="preserve">and in 1842 L. H. F. Melsens reconverted this derivative</w:t></w:r>
</w:p>
<w:p>
<w:pPr><w:pStyle w:val="Normal"/></w:pPr>
<w:r><w:t xml:space="preserve">into the original acetic acid by reduction with sodium</w:t></w:r>
</w:p>
<w:p>
<w:pPr><w:pStyle w:val="Normal"/></w:pPr>
<w:r><w:t xml:space="preserve">amalgam.  The synthesis of trichloracetic acid from its</w:t></w:r>
</w:p>
<w:p>
<w:pPr><w:pStyle w:val="Normal"/></w:pPr>
<w:r><w:t xml:space="preserve">elements was accomplished in 1843 by H. Kolbe; this taken</w:t></w:r>
</w:p>
<w:p>
<w:pPr><w:pStyle w:val="Normal"/></w:pPr>
<w:r><w:t xml:space="preserve">in conjunction with Melsens&apos;s observation provided the first</w:t></w:r>
</w:p>
<w:p>
<w:pPr><w:pStyle w:val="Normal"/></w:pPr>
<w:r><w:t xml:space="preserve">synthesis of acetic acid. Anhydrous acetic acid--glacial</w:t></w:r>
</w:p>
<w:p>
<w:pPr><w:pStyle w:val="Normal"/></w:pPr>
<w:r><w:t xml:space="preserve">acetic acid--is a leafy crystalline mass melting at 16.7 deg.</w:t></w:r>
</w:p>
<w:p>
<w:pPr><w:pStyle w:val="Normal"/></w:pPr>
<w:r><w:t xml:space="preserve">C., and possessing an exceedingly pungent smell.  It boils</w:t></w:r>
</w:p>
<w:p>
<w:pPr><w:pStyle w:val="Normal"/></w:pPr>
<w:r><w:t xml:space="preserve">at 118 deg. , giving a vapour of abnormal specific gravity.</w:t></w:r>
</w:p>
<w:p>
<w:pPr><w:pStyle w:val="Normal"/></w:pPr>
<w:r><w:t xml:space="preserve">It dissolves in water in all proportions with at first a</w:t></w:r>
</w:p>
<w:p>
<w:pPr><w:pStyle w:val="Normal"/></w:pPr>
<w:r><w:t xml:space="preserve">contraction and afterwards an increase in volume.  It is</w:t></w:r>
</w:p>
<w:p>
<w:pPr><w:pStyle w:val="Normal"/></w:pPr>
<w:r><w:t xml:space="preserve">detected by heating with ordinary alcohol and sulphuric acid,</w:t></w:r>
</w:p>
<w:p>
<w:pPr><w:pStyle w:val="Normal"/></w:pPr>
<w:r><w:t xml:space="preserve">which gives rise to acetic ester or ethyl acetate, recognized</w:t></w:r>
</w:p>
<w:p>
<w:pPr><w:pStyle w:val="Normal"/></w:pPr>
<w:r><w:t xml:space="preserve">by its fragrant odour; or by heating with arsenious oxide,</w:t></w:r>
</w:p>
<w:p>
<w:pPr><w:pStyle w:val="Normal"/></w:pPr>
<w:r><w:t xml:space="preserve">which forms the pungent and poisonous cacodyl oxide.  It is</w:t></w:r>
</w:p>
<w:p>
<w:pPr><w:pStyle w:val="Normal"/></w:pPr>
<w:r><w:t xml:space="preserve">a monobasic acid, forming one normal and two acid potassium</w:t></w:r>
</w:p>
<w:p>
<w:pPr><w:pStyle w:val="Normal"/></w:pPr>
<w:r><w:t xml:space="preserve">salts, and basic salts with iron, aluminium, lead and copper.</w:t></w:r>
</w:p>
<w:p>
<w:pPr><w:pStyle w:val="Normal"/></w:pPr>
<w:r><w:t xml:space="preserve">Ferrous and ferric acetates are used as mordants; normal</w:t></w:r>
</w:p>
<w:p>
<w:pPr><w:pStyle w:val="Normal"/></w:pPr>
<w:r><w:t xml:space="preserve">lead acetate is known in commerce as sugar of lead (q.v.);</w:t></w:r>
</w:p>
<w:p>
<w:pPr><w:pStyle w:val="Normal"/></w:pPr>
<w:r><w:t xml:space="preserve">basic copper acetates are known as verdigris (q.v.).</w:t></w:r>
</w:p>
<w:p>
<w:pPr><w:pStyle w:val="Normal"/></w:pPr>
<w:r><w:t xml:space="preserve">Pharmacology and Therapeutics.---Glacial acetic acid is</w:t></w:r>
</w:p>
<w:p>
<w:pPr><w:pStyle w:val="Normal"/></w:pPr>
<w:r><w:t xml:space="preserve">occasionally used as a caustic for corns.  The dilute acid,</w:t></w:r>
</w:p>
<w:p>
<w:pPr><w:pStyle w:val="Normal"/></w:pPr>
<w:r><w:t xml:space="preserve">or vinegar, may be used to bathe the skin in fever, acting</w:t></w:r>
</w:p>
<w:p>
<w:pPr><w:pStyle w:val="Normal"/></w:pPr>
<w:r><w:t xml:space="preserve">as a pleasant refrigerant.  Acetic acid has no valuable</w:t></w:r>
</w:p>
<w:p>
<w:pPr><w:pStyle w:val="Normal"/></w:pPr>
<w:r><w:t xml:space="preserve">properties for internal administration.  Vinegar, however,</w:t></w:r>
</w:p>
<w:p>
<w:pPr><w:pStyle w:val="Normal"/></w:pPr>
<w:r><w:t xml:space="preserve">which contains about 5% acetic acid, is frequently taken</w:t></w:r>
</w:p>
<w:p>
<w:pPr><w:pStyle w:val="Normal"/></w:pPr>
<w:r><w:t xml:space="preserve">as a cure for obesity, but there is no warrant for this</w:t></w:r>
</w:p>
<w:p>
<w:pPr><w:pStyle w:val="Normal"/></w:pPr>
<w:r><w:t xml:space="preserve">application.  Its continued employment may, indeed, so injure</w:t></w:r>
</w:p>
<w:p>
<w:pPr><w:pStyle w:val="Normal"/></w:pPr>
<w:r><w:t xml:space="preserve">the mucous membrane of the stomach as to interfere with digestion</w:t></w:r>
</w:p>
<w:p>
<w:pPr><w:pStyle w:val="Normal"/></w:pPr>
<w:r><w:t xml:space="preserve">and so cause a morbid and dangerous reduction in weight.</w:t></w:r>
</w:p>
<w:p>
<w:pPr><w:pStyle w:val="Normal"/></w:pPr>
<w:r><w:t xml:space="preserve">The acetates constitute a valuable group of medicinal agents,</w:t></w:r>
</w:p>
<w:p>
<w:pPr><w:pStyle w:val="Normal"/></w:pPr>
<w:r><w:t xml:space="preserve">the potassium salt being most frequently employed.  After</w:t></w:r>
</w:p>
<w:p>
<w:pPr><w:pStyle w:val="Normal"/></w:pPr>
<w:r><w:t xml:space="preserve">absorption into the blood, the acetates are oxidized to</w:t></w:r>
</w:p>
<w:p>
<w:pPr><w:pStyle w:val="Normal"/></w:pPr>
<w:r><w:t xml:space="preserve">carbonates, and therefore are remote alkalies, and are</w:t></w:r>
</w:p>
<w:p>
<w:pPr><w:pStyle w:val="Normal"/></w:pPr>
<w:r><w:t xml:space="preserve">administered whenever it is desired to increase the alkalinity</w:t></w:r>
</w:p>
<w:p>
<w:pPr><w:pStyle w:val="Normal"/></w:pPr>
<w:r><w:t xml:space="preserve">of the blood or to reduce the acidity of the urine, without</w:t></w:r>
</w:p>
<w:p>
<w:pPr><w:pStyle w:val="Normal"/></w:pPr>
<w:r><w:t xml:space="preserve">exerting the disturbing influence of alkanes upon the digestive</w:t></w:r>
</w:p>
<w:p>
<w:pPr><w:pStyle w:val="Normal"/></w:pPr>
<w:r><w:t xml:space="preserve">tract.  The citrates act in precisely similar fashion, and may be</w:t></w:r>
</w:p>
<w:p>
<w:pPr><w:pStyle w:val="Normal"/></w:pPr>
<w:r><w:t xml:space="preserve">substituted. They are somewhat more pleasant but more expensive.</w:t></w:r>
</w:p>
<w:p>
<w:pPr><w:pStyle w:val="Normal"/></w:pPr>
<w:r><w:t xml:space="preserve">ACETO-ACETIC ESTER, C6H10O3 or CH3.CO.CH2.COOC2H5,</w:t></w:r>
</w:p>
<w:p>
<w:pPr><w:pStyle w:val="Normal"/></w:pPr>
<w:r><w:t xml:space="preserve">a chemical substance discovered in 1863 by A. Geuther, who</w:t></w:r>
</w:p>
<w:p>
<w:pPr><w:pStyle w:val="Normal"/></w:pPr>
<w:r><w:t xml:space="preserve">showed that the chief product of the action of sodium on ethyl</w:t></w:r>
</w:p>
<w:p>
<w:pPr><w:pStyle w:val="Normal"/></w:pPr>
<w:r><w:t xml:space="preserve">acetate was a sodium compound of composition C6H9O3Na,</w:t></w:r>
</w:p>
<w:p>
<w:pPr><w:pStyle w:val="Normal"/></w:pPr>
<w:r><w:t xml:space="preserve">which on treatment with acids gave a colourless, somewhat</w:t></w:r>
</w:p>
<w:p>
<w:pPr><w:pStyle w:val="Normal"/></w:pPr>
<w:r><w:t xml:space="preserve">oily liquid of composition C6H10O3.  E. Frankland and</w:t></w:r>
</w:p>
<w:p>
<w:pPr><w:pStyle w:val="Normal"/></w:pPr>
<w:r><w:t xml:space="preserve">B. F. Duppa in 1865 examined the reaction and concluded that</w:t></w:r>
</w:p>
<w:p>
<w:pPr><w:pStyle w:val="Normal"/></w:pPr>
<w:r><w:t xml:space="preserve">Geuther&apos;s sodium salt was a derivative of the ethyl ester</w:t></w:r>
</w:p>
<w:p>
<w:pPr><w:pStyle w:val="Normal"/></w:pPr>
<w:r><w:t xml:space="preserve">of acetone carboxylic acid and possessed the constitution</w:t></w:r>
</w:p>
<w:p>
<w:pPr><w:pStyle w:val="Normal"/></w:pPr>
<w:r><w:t xml:space="preserve">CH6CO.CHNa.COOC2H5. This view was not accepted by</w:t></w:r>
</w:p>
<w:p>
<w:pPr><w:pStyle w:val="Normal"/></w:pPr>
<w:r><w:t xml:space="preserve">Geuther, who looked upon his compound C6H10O3 as being</w:t></w:r>
</w:p>
<w:p>
<w:pPr><w:pStyle w:val="Normal"/></w:pPr>
<w:r><w:t xml:space="preserve">an acid.  J. Wislicenus also investigated the reaction</w:t></w:r>
</w:p>
<w:p>
<w:pPr><w:pStyle w:val="Normal"/></w:pPr>
<w:r><w:t xml:space="preserve">very thoroughly and accepted the Frankland-Duppa formula</w:t></w:r>
</w:p>
<w:p>
<w:pPr><w:pStyle w:val="Normal"/></w:pPr>
<w:r><w:t xml:space="preserve">(Annalen, 1877, 186, p. 163; 1877, 190, p. 257).</w:t></w:r>
</w:p>
<w:p>
<w:pPr><w:pStyle w:val="Normal"/></w:pPr>
<w:r><w:t xml:space="preserve">The substance is best prepared by drying ethyl acetate over</w:t></w:r>
</w:p>
<w:p>
<w:pPr><w:pStyle w:val="Normal"/></w:pPr>
<w:r><w:t xml:space="preserve">calcium chloride and treating it with sodium wire, which</w:t></w:r>
</w:p>
<w:p>
<w:pPr><w:pStyle w:val="Normal"/></w:pPr>
<w:r><w:t xml:space="preserve">is best introduced in one operation; the liquid boils and</w:t></w:r>
</w:p>
<w:p>
<w:pPr><w:pStyle w:val="Normal"/></w:pPr>
<w:r><w:t xml:space="preserve">is then heated on a water bath for some hours, until the</w:t></w:r>
</w:p>
<w:p>
<w:pPr><w:pStyle w:val="Normal"/></w:pPr>
<w:r><w:t xml:space="preserve">sodium all dissolves.  After the reaction is completed,</w:t></w:r>
</w:p>
<w:p>
<w:pPr><w:pStyle w:val="Normal"/></w:pPr>
<w:r><w:t xml:space="preserve">the liquid is acidified with dilute sulphuric acid (1:5)</w:t></w:r>
</w:p>
<w:p>
<w:pPr><w:pStyle w:val="Normal"/></w:pPr>
<w:r><w:t xml:space="preserve">and then shaken with salt solution, separated from the salt</w:t></w:r>
</w:p>
<w:p>
<w:pPr><w:pStyle w:val="Normal"/></w:pPr>
<w:r><w:t xml:space="preserve">solution, washed, dried and fractionated.  The portion</w:t></w:r>
</w:p>
<w:p>
<w:pPr><w:pStyle w:val="Normal"/></w:pPr>
<w:r><w:t xml:space="preserve">boiling betbeen 175 deg.  and 185 deg.  C. is redistilled.  The</w:t></w:r>
</w:p>
<w:p>
<w:pPr><w:pStyle w:val="Normal"/></w:pPr>
<w:r><w:t xml:space="preserve">yield amounts to about 30% of that required by theory.</w:t></w:r>
</w:p>
<w:p>
<w:pPr><w:pStyle w:val="Normal"/></w:pPr>
<w:r><w:t xml:space="preserve">A. Ladenburg and J. A. Wanklyn have shown that pure ethyl</w:t></w:r>
</w:p>
<w:p>
<w:pPr><w:pStyle w:val="Normal"/></w:pPr>
<w:r><w:t xml:space="preserve">acetate free from alcohol will not react with sodium to produce</w:t></w:r>
</w:p>
<w:p>
<w:pPr><w:pStyle w:val="Normal"/></w:pPr>
<w:r><w:t xml:space="preserve">aceto-acetic ester.  L. Claisen, whose views are now accepted,</w:t></w:r>
</w:p>
<w:p>
<w:pPr><w:pStyle w:val="Normal"/></w:pPr>
<w:r><w:t xml:space="preserve">studied the reactions of sodium ethylate and showed that</w:t></w:r>
</w:p>
<w:p>
<w:pPr><w:pStyle w:val="Normal"/></w:pPr>
<w:r><w:t xml:space="preserve">if sodium ethylate be used in place of sodium in the above</w:t></w:r>
</w:p>
<w:p>
<w:pPr><w:pStyle w:val="Normal"/></w:pPr>
<w:r><w:t xml:space="preserve">reaction the same result is obtained.  He explains the reactions</w:t></w:r>
</w:p>
<w:p>
<w:pPr><w:pStyle w:val="Normal"/></w:pPr>
<w:r><w:t xml:space="preserve">/ONa</w:t></w:r>
</w:p>
<w:p>
<w:pPr><w:pStyle w:val="Normal"/></w:pPr>
<w:r><w:t xml:space="preserve">CH3.C==O           + NaOC2H5  =  CH3.C-OC2H5,</w:t></w:r>
</w:p>
<w:p>
<w:pPr><w:pStyle w:val="Normal"/></w:pPr>
<w:r><w:t xml:space="preserve">\ OC2H5                            \OC2H5</w:t></w:r>
</w:p>
<w:p>
<w:pPr><w:pStyle w:val="Normal"/></w:pPr>
<w:r><w:t xml:space="preserve">this reaction being followed by</w:t></w:r>
</w:p>
<w:p>
<w:pPr><w:pStyle w:val="Normal"/></w:pPr>
<w:r><w:t xml:space="preserve">/ONa            H\</w:t></w:r>
</w:p>
<w:p>
<w:pPr><w:pStyle w:val="Normal"/></w:pPr>
<w:r><w:t xml:space="preserve">CH3.C-OC2H5  +   CH.COOC2H5  =  2 C2 H5OH +</w:t></w:r>
</w:p>
<w:p>
<w:pPr><w:pStyle w:val="Normal"/></w:pPr>
<w:r><w:t xml:space="preserve">\OC2H5    H/                 CH3.C(ONa):CH.COOC2H5;</w:t></w:r>
</w:p>
<w:p>
<w:pPr><w:pStyle w:val="Normal"/></w:pPr>
<w:r><w:t xml:space="preserve">and on acidification this last substance gives aceto-acetic</w:t></w:r>
</w:p>
<w:p>
<w:pPr><w:pStyle w:val="Normal"/></w:pPr>
<w:r><w:t xml:space="preserve">ester. Aceto-acetic ester is a colourless liquid boiling at</w:t></w:r>
</w:p>
<w:p>
<w:pPr><w:pStyle w:val="Normal"/></w:pPr>
<w:r><w:t xml:space="preserve">181 deg. C.; it is slightly soluble in water, and when distilled</w:t></w:r>
</w:p>
<w:p>
<w:pPr><w:pStyle w:val="Normal"/></w:pPr>
<w:r><w:t xml:space="preserve">undergoes some decomposition forming dehydracetic acid</w:t></w:r>
</w:p>
<w:p>
<w:pPr><w:pStyle w:val="Normal"/></w:pPr>
<w:r><w:t xml:space="preserve">C8H8O4. It undoubtedly contains a keto-group, for it</w:t></w:r>
</w:p>
<w:p>
<w:pPr><w:pStyle w:val="Normal"/></w:pPr>
<w:r><w:t xml:space="preserve">reacts with hydrocyanic acid, hydroxylamine, phenylhydrazine</w:t></w:r>
</w:p>
<w:p>
<w:pPr><w:pStyle w:val="Normal"/></w:pPr>
<w:r><w:t xml:space="preserve">and ammonia; sodium bisulphite also combines with it to</w:t></w:r>
</w:p>
<w:p>
<w:pPr><w:pStyle w:val="Normal"/></w:pPr>
<w:r><w:t xml:space="preserve">form a crystalline compound, hence it contains the grouping</w:t></w:r>
</w:p>
<w:p>
<w:pPr><w:pStyle w:val="Normal"/></w:pPr>
<w:r><w:t xml:space="preserve">CH 3/0.CO-.  J. Wislicenus found that only one hydrogen atom</w:t></w:r>
</w:p>
<w:p>
<w:pPr><w:pStyle w:val="Normal"/></w:pPr>
<w:r><w:t xml:space="preserve">in the--CH2- group is directly replaceable by sodium, and</w:t></w:r>
</w:p>
<w:p>
<w:pPr><w:pStyle w:val="Normal"/></w:pPr>
<w:r><w:t xml:space="preserve">that if the sodium be then replaced by an alkyl group, the</w:t></w:r>
</w:p>
<w:p>
<w:pPr><w:pStyle w:val="Normal"/></w:pPr>
<w:r><w:t xml:space="preserve">second hydrogen atom in the group can be replaced in the same</w:t></w:r>
</w:p>
<w:p>
<w:pPr><w:pStyle w:val="Normal"/></w:pPr>
<w:r><w:t xml:space="preserve">manner.  These alkyl substitution products are important,</w:t></w:r>
</w:p>
<w:p>
<w:pPr><w:pStyle w:val="Normal"/></w:pPr>
<w:r><w:t xml:space="preserve">for they lead to the synthesis of many organic compounds,</w:t></w:r>
</w:p>
<w:p>
<w:pPr><w:pStyle w:val="Normal"/></w:pPr>
<w:r><w:t xml:space="preserve">on account of the fact that they can be hydrolysed in</w:t></w:r>
</w:p>
<w:p>
<w:pPr><w:pStyle w:val="Normal"/></w:pPr>
<w:r><w:t xml:space="preserve">two different ways, barium hydroxide or dilute sodium</w:t></w:r>
</w:p>
<w:p>
<w:pPr><w:pStyle w:val="Normal"/></w:pPr>
<w:r><w:t xml:space="preserve">hydroxide solution giving the so-called ketone hydrolysis,</w:t></w:r>
</w:p>
<w:p>
<w:pPr><w:pStyle w:val="Normal"/></w:pPr>
<w:r><w:t xml:space="preserve">whilst concentrated sodium hydroxide gives the acid</w:t></w:r>
</w:p>
<w:p>
<w:pPr><w:pStyle w:val="Normal"/></w:pPr>
<w:r><w:t xml:space="preserve">Ketone hydrolysis:-</w:t></w:r>
</w:p>
<w:p>
<w:pPr><w:pStyle w:val="Normal"/></w:pPr>
<w:r><w:t xml:space="preserve">CH3.CO.C(XY).CO2C2H5 -&gt; CH3.CO.CH(XY) +</w:t></w:r>
</w:p>
<w:p>
<w:pPr><w:pStyle w:val="Normal"/></w:pPr>
<w:r><w:t xml:space="preserve">C2H5OH + CO2;</w:t></w:r>
</w:p>
<w:p>
<w:pPr><w:pStyle w:val="Normal"/></w:pPr>
<w:r><w:t xml:space="preserve">Acid hydrolysis:-</w:t></w:r>
</w:p>
<w:p>
<w:pPr><w:pStyle w:val="Normal"/></w:pPr>
<w:r><w:t xml:space="preserve">CH3.CO.C(XY).CO2C2H5 -&gt; CH3.CO2H + C2H5OH +</w:t></w:r>
</w:p>
<w:p>
<w:pPr><w:pStyle w:val="Normal"/></w:pPr>
<w:r><w:t xml:space="preserve">CH(XY).COOH;</w:t></w:r>
</w:p>
<w:p>
<w:pPr><w:pStyle w:val="Normal"/></w:pPr>
<w:r><w:t xml:space="preserve">(where X and Y = alkyl groups).</w:t></w:r>
</w:p>
<w:p>
<w:pPr><w:pStyle w:val="Normal"/></w:pPr>
<w:r><w:t xml:space="preserve">Both reactions occur to some extent simultaneously. Acetoacetic</w:t></w:r>
</w:p>
<w:p>
<w:pPr><w:pStyle w:val="Normal"/></w:pPr>
<w:r><w:t xml:space="preserve">ester is a most important synthetic reagent, having been</w:t></w:r>
</w:p>
<w:p>
<w:pPr><w:pStyle w:val="Normal"/></w:pPr>
<w:r><w:t xml:space="preserve">used in the production of pyridines (q.v.), quinolines</w:t></w:r>
</w:p>
<w:p>
<w:pPr><w:pStyle w:val="Normal"/></w:pPr>
<w:r><w:t xml:space="preserve">(q.v.), pyrazolones, furfurane (q.v.), pyrrols (q.v.),</w:t></w:r>
</w:p>
<w:p>
<w:pPr><w:pStyle w:val="Normal"/></w:pPr>
<w:r><w:t xml:space="preserve">uric acid (q.v.), and many complex acids and ketones.</w:t></w:r>
</w:p>
<w:p>
<w:pPr><w:pStyle w:val="Normal"/></w:pPr>
<w:r><w:t xml:space="preserve">For a discussion as to the composition, and whether</w:t></w:r>
</w:p>
<w:p>
<w:pPr><w:pStyle w:val="Normal"/></w:pPr>
<w:r><w:t xml:space="preserve">it is to be regarded as possessing the ``keto&apos;, form</w:t></w:r>
</w:p>
<w:p>
<w:pPr><w:pStyle w:val="Normal"/></w:pPr>
<w:r><w:t xml:space="preserve">CH3.CO.CH2.COOC2H6 or the ``enol&apos;&apos; form CH3.C(OH):</w:t></w:r>
</w:p>
<w:p>
<w:pPr><w:pStyle w:val="Normal"/></w:pPr>
<w:r><w:t xml:space="preserve">CH.COOC2H5, see ISOMERISM, and also papers by J. Wislicenus</w:t></w:r>
</w:p>
<w:p>
<w:pPr><w:pStyle w:val="Normal"/></w:pPr>
<w:r><w:t xml:space="preserve">(Ann., 1877, 186, p. 163; 1877, 190, p. 257), A. Michael</w:t></w:r>
</w:p>
<w:p>
<w:pPr><w:pStyle w:val="Normal"/></w:pPr>
<w:r><w:t xml:space="preserve">(Journ.  Prak.  Chem., 1887, [2] 37, p. 473), L. Knorr</w:t></w:r>
</w:p>
<w:p>
<w:pPr><w:pStyle w:val="Normal"/></w:pPr>
<w:r><w:t xml:space="preserve">(Ann., 1886, 238, p. 147), W. H. Perkin, senr. (Journ. of</w:t></w:r>
</w:p>
<w:p>
<w:pPr><w:pStyle w:val="Normal"/></w:pPr>
<w:r><w:t xml:space="preserve">Chem.  Soc., 1892, 61, p. 800) and J. U. Nef (Ann., 1891,</w:t></w:r>
</w:p>
<w:p>
<w:pPr><w:pStyle w:val="Normal"/></w:pPr>
<w:r><w:t xml:space="preserve">266, p. 70; 1892, 270, pp. 289, 333; 1893, 276, p. 212).</w:t></w:r>
</w:p>
<w:p>
<w:pPr><w:pStyle w:val="Normal"/></w:pPr>
<w:r><w:t xml:space="preserve">ACETONE, or DIMETHYL KETONE, CH3.CO.CH3, in chemistry,</w:t></w:r>
</w:p>
<w:p>
<w:pPr><w:pStyle w:val="Normal"/></w:pPr>
<w:r><w:t xml:space="preserve">the simplest representative of the aliphatic ketones.  It</w:t></w:r>
</w:p>
<w:p>
<w:pPr><w:pStyle w:val="Normal"/></w:pPr>
<w:r><w:t xml:space="preserve">is present in very small quantity in normal urine, in the</w:t></w:r>
</w:p>
<w:p>
<w:pPr><w:pStyle w:val="Normal"/></w:pPr>
<w:r><w:t xml:space="preserve">blood, and in larger quantities in diabetic patients.</w:t></w:r>
</w:p>
<w:p>
<w:pPr><w:pStyle w:val="Normal"/></w:pPr>
<w:r><w:t xml:space="preserve">It is found among the products formed in the destructive</w:t></w:r>
</w:p>
<w:p>
<w:pPr><w:pStyle w:val="Normal"/></w:pPr>
<w:r><w:t xml:space="preserve">distillation of wood, sugar, cellulose, &amp;c., and for this</w:t></w:r>
</w:p>
<w:p>
<w:pPr><w:pStyle w:val="Normal"/></w:pPr>
<w:r><w:t xml:space="preserve">reason it is always present in crude wood spirit, from which</w:t></w:r>
</w:p>
<w:p>
<w:pPr><w:pStyle w:val="Normal"/></w:pPr>
<w:r><w:t xml:space="preserve">the greater portion of it may be re-covered by fractional</w:t></w:r>
</w:p>
<w:p>
<w:pPr><w:pStyle w:val="Normal"/></w:pPr>
<w:r><w:t xml:space="preserve">distillation.  On the large scale it is prepared by the dry</w:t></w:r>
</w:p>
<w:p>
<w:pPr><w:pStyle w:val="Normal"/></w:pPr>
<w:r><w:t xml:space="preserve">distillation of calcium acetate (CH3CO2)2Ca = CaCO3 +</w:t></w:r>
</w:p>
<w:p>
<w:pPr><w:pStyle w:val="Normal"/></w:pPr>
<w:r><w:t xml:space="preserve">CH3COCH3.  E. R. Squibb (Journ.  Amer.  Chem.  Soc., 1895,</w:t></w:r>
</w:p>
<w:p>
<w:pPr><w:pStyle w:val="Normal"/></w:pPr>
<w:r><w:t xml:space="preserve">17, p. 187) manufactures it by passing the vapour of acetic</w:t></w:r>
</w:p>
<w:p>
<w:pPr><w:pStyle w:val="Normal"/></w:pPr>
<w:r><w:t xml:space="preserve">acid through a rotating iron cylinder containing a mixture</w:t></w:r>
</w:p>
<w:p>
<w:pPr><w:pStyle w:val="Normal"/></w:pPr>
<w:r><w:t xml:space="preserve">of pumice and precipitated barium carbonate, and kept at a</w:t></w:r>
</w:p>
<w:p>
<w:pPr><w:pStyle w:val="Normal"/></w:pPr>
<w:r><w:t xml:space="preserve">temperature of from 500 deg.  C. to 600 deg.  C. The mixed vapours</w:t></w:r>
</w:p>
<w:p>
<w:pPr><w:pStyle w:val="Normal"/></w:pPr>
<w:r><w:t xml:space="preserve">of acetone, acetic acid and water are then led through a</w:t></w:r>
</w:p>
<w:p>
<w:pPr><w:pStyle w:val="Normal"/></w:pPr>
<w:r><w:t xml:space="preserve">condensing apparatus so that the acetic acid and water are</w:t></w:r>
</w:p>
<w:p>
<w:pPr><w:pStyle w:val="Normal"/></w:pPr>
<w:r><w:t xml:space="preserve">first condensed, and then the acetone is condensed in a second</w:t></w:r>
</w:p>
<w:p>
<w:pPr><w:pStyle w:val="Normal"/></w:pPr>
<w:r><w:t xml:space="preserve">vessel.  The barium carbonate used in the process acts as a</w:t></w:r>
</w:p>
<w:p>
<w:pPr><w:pStyle w:val="Normal"/></w:pPr>
<w:r><w:t xml:space="preserve">contact substance, since the temperature at which the operation</w:t></w:r>
</w:p>
<w:p>
<w:pPr><w:pStyle w:val="Normal"/></w:pPr>
<w:r><w:t xml:space="preserve">is carried out is always above the decomposition point of</w:t></w:r>
</w:p>
<w:p>
<w:pPr><w:pStyle w:val="Normal"/></w:pPr>
<w:r><w:t xml:space="preserve">barium acetate. Crude acetone may be purified by converting</w:t></w:r>
</w:p>
<w:p>
<w:pPr><w:pStyle w:val="Normal"/></w:pPr>
<w:r><w:t xml:space="preserve">it into the crystalline sodium bisulphite compound, which</w:t></w:r>
</w:p>
<w:p>
<w:pPr><w:pStyle w:val="Normal"/></w:pPr>
<w:r><w:t xml:space="preserve">is separated by filtration and then distilled with sodium</w:t></w:r>
</w:p>
<w:p>
<w:pPr><w:pStyle w:val="Normal"/></w:pPr>
<w:r><w:t xml:space="preserve">CH3\ / OH                            CH3\</w:t></w:r>
</w:p>
<w:p>
<w:pPr><w:pStyle w:val="Normal"/></w:pPr>
<w:r><w:t xml:space="preserve">2         C           + Na2CO3  =  2        CO + 2 Na2SO3 +</w:t></w:r>
</w:p>
<w:p>
<w:pPr><w:pStyle w:val="Normal"/></w:pPr>
<w:r><w:t xml:space="preserve">CH3/ \ SO3Na                      CH3/         CO2 + H2O</w:t></w:r>
</w:p>
<w:p>
<w:pPr><w:pStyle w:val="Normal"/></w:pPr>
<w:r><w:t xml:space="preserve">It is then dehydrated and redistilled.</w:t></w:r>
</w:p>
<w:p>
<w:pPr><w:pStyle w:val="Normal"/></w:pPr>
<w:r><w:t xml:space="preserve">Acetone is largely used in the manufacture of cordite</w:t></w:r>
</w:p>
<w:p>
<w:pPr><w:pStyle w:val="Normal"/></w:pPr>
<w:r><w:t xml:space="preserve">(q.v.) For this purpose the crude distillate is</w:t></w:r>
</w:p>
<w:p>
<w:pPr><w:pStyle w:val="Normal"/></w:pPr>
<w:r><w:t xml:space="preserve">redistilled over sulphuric acid and then fractionated.</w:t></w:r>
</w:p>
<w:p>
<w:pPr><w:pStyle w:val="Normal"/></w:pPr>
<w:r><w:t xml:space="preserve">Acetone is a colourless mobile liquid of pleasant smell,</w:t></w:r>
</w:p>
<w:p>
<w:pPr><w:pStyle w:val="Normal"/></w:pPr>
<w:r><w:t xml:space="preserve">boiling at 56.53 deg. C., and has a specific gravity 0.819</w:t></w:r>
</w:p>
<w:p>
<w:pPr><w:pStyle w:val="Normal"/></w:pPr>
<w:r><w:t xml:space="preserve">(0 deg. /4 deg. C.). It is readily soluble in water, alcohol,</w:t></w:r>
</w:p>
<w:p>
<w:pPr><w:pStyle w:val="Normal"/></w:pPr>
<w:r><w:t xml:space="preserve">ether, &amp;c.  In addition to its application in the cordite</w:t></w:r>
</w:p>
<w:p>
<w:pPr><w:pStyle w:val="Normal"/></w:pPr>
<w:r><w:t xml:space="preserve">industry it is used in the manufacture of chloroform (q.v.)</w:t></w:r>
</w:p>
<w:p>
<w:pPr><w:pStyle w:val="Normal"/></w:pPr>
<w:r><w:t xml:space="preserve">and sulphonal, and as a solvent.  It forms a hydrazone</w:t></w:r>
</w:p>
<w:p>
<w:pPr><w:pStyle w:val="Normal"/></w:pPr>
<w:r><w:t xml:space="preserve">with phenyl hydrazine, and an oxime with hydroxylamine.</w:t></w:r>
</w:p>
<w:p>
<w:pPr><w:pStyle w:val="Normal"/></w:pPr>
<w:r><w:t xml:space="preserve">Reduction by sodium amalgam converts it into isopropyl</w:t></w:r>
</w:p>
<w:p>
<w:pPr><w:pStyle w:val="Normal"/></w:pPr>
<w:r><w:t xml:space="preserve">alcohol; oxidation by chromic acid gives carbon dioxide</w:t></w:r>
</w:p>
<w:p>
<w:pPr><w:pStyle w:val="Normal"/></w:pPr>
<w:r><w:t xml:space="preserve">and acetic acid.  With ammonia it reacts to form di- and</w:t></w:r>
</w:p>
<w:p>
<w:pPr><w:pStyle w:val="Normal"/></w:pPr>
<w:r><w:t xml:space="preserve">triacetoneamines.  It also unites directly with hydrocyanic</w:t></w:r>
</w:p>
<w:p>
<w:pPr><w:pStyle w:val="Normal"/></w:pPr>
<w:r><w:t xml:space="preserve">acid to form the nitrile of a-oxyisobutyric acid.</w:t></w:r>
</w:p>
<w:p>
<w:pPr><w:pStyle w:val="Normal"/></w:pPr>
<w:r><w:t xml:space="preserve">By the action of various reagents such as lime, caustic potash,</w:t></w:r>
</w:p>
<w:p>
<w:pPr><w:pStyle w:val="Normal"/></w:pPr>
<w:r><w:t xml:space="preserve">hydrochloric acid, &amp;c., acetone is converted into condensation</w:t></w:r>
</w:p>
<w:p>
<w:pPr><w:pStyle w:val="Normal"/></w:pPr>
<w:r><w:t xml:space="preserve">products, mesityl oxide C6H10O, phorone C9H14O, &amp;c., being</w:t></w:r>
</w:p>
<w:p>
<w:pPr><w:pStyle w:val="Normal"/></w:pPr>
<w:r><w:t xml:space="preserve">formed.  On distillation with sulphuric acid, it is converted</w:t></w:r>
</w:p>
<w:p>
<w:pPr><w:pStyle w:val="Normal"/></w:pPr>
<w:r><w:t xml:space="preserve">into mesitylene C9H12 (symmetrical trimethyl benzene).</w:t></w:r>
</w:p>
<w:p>
<w:pPr><w:pStyle w:val="Normal"/></w:pPr>
<w:r><w:t xml:space="preserve">Acetone has also been used in the artificial production of</w:t></w:r>
</w:p>
<w:p>
<w:pPr><w:pStyle w:val="Normal"/></w:pPr>
<w:r><w:t xml:space="preserve">indigo.  In the presence of iodine and an alkali it gives</w:t></w:r>
</w:p>
<w:p>
<w:pPr><w:pStyle w:val="Normal"/></w:pPr>
<w:r><w:t xml:space="preserve">iodoform.  Acetone has been employed medicinally in cases of</w:t></w:r>
</w:p>
<w:p>
<w:pPr><w:pStyle w:val="Normal"/></w:pPr>
<w:r><w:t xml:space="preserve">dyspnoea.  With potassium iodide, glycerin and water,</w:t></w:r>
</w:p>
<w:p>
<w:pPr><w:pStyle w:val="Normal"/></w:pPr>
<w:r><w:t xml:space="preserve">it forms the preparation spirone, which has been used as</w:t></w:r>
</w:p>
<w:p>
<w:pPr><w:pStyle w:val="Normal"/></w:pPr>
<w:r><w:t xml:space="preserve">a spray inhalation in paroxysmal sneezing and asthma.</w:t></w:r>
</w:p>
<w:p>
<w:pPr><w:pStyle w:val="Normal"/></w:pPr>
<w:r><w:t xml:space="preserve">ACETOPHENONE, or PHENYL-METHYL KETONE, C8H8O or</w:t></w:r>
</w:p>
<w:p>
<w:pPr><w:pStyle w:val="Normal"/></w:pPr>
<w:r><w:t xml:space="preserve">C6H5CO.CH3, in chemistry, the simplest representative of</w:t></w:r>
</w:p>
<w:p>
<w:pPr><w:pStyle w:val="Normal"/></w:pPr>
<w:r><w:t xml:space="preserve">the class of mixed aliphatic-aromatic ketones.  It can be</w:t></w:r>
</w:p>
<w:p>
<w:pPr><w:pStyle w:val="Normal"/></w:pPr>
<w:r><w:t xml:space="preserve">prepared by distilling a mixture of dry calcium benzoate and</w:t></w:r>
</w:p>
<w:p>
<w:pPr><w:pStyle w:val="Normal"/></w:pPr>
<w:r><w:t xml:space="preserve">acetate, Ca(O2CC6H5)2 + (CH3CO2)2Ca = 2CaCO3 + 2</w:t></w:r>
</w:p>
<w:p>
<w:pPr><w:pStyle w:val="Normal"/></w:pPr>
<w:r><w:t xml:space="preserve">C6H5CO.CH3, or by condensing benzene with acetyl chloride</w:t></w:r>
</w:p>
<w:p>
<w:pPr><w:pStyle w:val="Normal"/></w:pPr>
<w:r><w:t xml:space="preserve">in the presence of anhydrous aluminium chloride (C. Friedel</w:t></w:r>
</w:p>
<w:p>
<w:pPr><w:pStyle w:val="Normal"/></w:pPr>
<w:r><w:t xml:space="preserve">and J. M. Crafts), C6H6+CH3COCl == HCl + C6H5COCH3.</w:t></w:r>
</w:p>
<w:p>
<w:pPr><w:pStyle w:val="Normal"/></w:pPr>
<w:r><w:t xml:space="preserve">It crystallizes in colourless plates melting at 20 deg. C. and</w:t></w:r>
</w:p>
<w:p>
<w:pPr><w:pStyle w:val="Normal"/></w:pPr>
<w:r><w:t xml:space="preserve">bolling at 202 deg.  C.; it is insoluble in water, but readily</w:t></w:r>
</w:p>
<w:p>
<w:pPr><w:pStyle w:val="Normal"/></w:pPr>
<w:r><w:t xml:space="preserve">dissolves in the ordinary organic solvents. It is reduced by</w:t></w:r>
</w:p>
<w:p>
<w:pPr><w:pStyle w:val="Normal"/></w:pPr>
<w:r><w:t xml:space="preserve">nascent hydrogen to the secondary alcohol C6H5.CH.OH.CH3</w:t></w:r>
</w:p>
<w:p>
<w:pPr><w:pStyle w:val="Normal"/></w:pPr>
<w:r><w:t xml:space="preserve">phenyl-methyl-carbinol, and on oxidation forms benzoic</w:t></w:r>
</w:p>
<w:p>
<w:pPr><w:pStyle w:val="Normal"/></w:pPr>
<w:r><w:t xml:space="preserve">acid.  On the addition of phenylhydrazine it gives a</w:t></w:r>
</w:p>
<w:p>
<w:pPr><w:pStyle w:val="Normal"/></w:pPr>
<w:r><w:t xml:space="preserve">phenylhydrazone, and with hydroxylamine furnishes an</w:t></w:r>
</w:p>
<w:p>
<w:pPr><w:pStyle w:val="Normal"/></w:pPr>
<w:r><w:t xml:space="preserve">C6H5\</w:t></w:r>
</w:p>
<w:p>
<w:pPr><w:pStyle w:val="Normal"/></w:pPr>
<w:r><w:t xml:space="preserve">C=N.OH</w:t></w:r>
</w:p>
<w:p>
<w:pPr><w:pStyle w:val="Normal"/></w:pPr>
<w:r><w:t xml:space="preserve">CH3/</w:t></w:r>
</w:p>
<w:p>
<w:pPr><w:pStyle w:val="Normal"/></w:pPr>
<w:r><w:t xml:space="preserve">melting at 59 deg. C.  This oxime undergoes a peculiar rearrangement</w:t></w:r>
</w:p>
<w:p>
<w:pPr><w:pStyle w:val="Normal"/></w:pPr>
<w:r><w:t xml:space="preserve">when it is dissolved in ether and phosphorus pentachloride is</w:t></w:r>
</w:p>
<w:p>
<w:pPr><w:pStyle w:val="Normal"/></w:pPr>
<w:r><w:t xml:space="preserve">added to the ethereal solution, the excess of ether distilled</w:t></w:r>
</w:p>
<w:p>
<w:pPr><w:pStyle w:val="Normal"/></w:pPr>
<w:r><w:t xml:space="preserve">off and water added to the residue being converted into the</w:t></w:r>
</w:p>
<w:p>
<w:pPr><w:pStyle w:val="Normal"/></w:pPr>
<w:r><w:t xml:space="preserve">isomeric substance acetanilide, C6H5NHCOCH3, a behaviour</w:t></w:r>
</w:p>
<w:p>
<w:pPr><w:pStyle w:val="Normal"/></w:pPr>
<w:r><w:t xml:space="preserve">shown by many ketoximes and known as the Beckmann change (see</w:t></w:r>
</w:p>
<w:p>
<w:pPr><w:pStyle w:val="Normal"/></w:pPr>
<w:r><w:t xml:space="preserve">Berichte, 1886, 19, p. 988). With sodium ethylate in ethyl</w:t></w:r>
</w:p>
<w:p>
<w:pPr><w:pStyle w:val="Normal"/></w:pPr>
<w:r><w:t xml:space="preserve">acetate solution it forms the sodium derivative of benzoyl</w:t></w:r>
</w:p>
<w:p>
<w:pPr><w:pStyle w:val="Normal"/></w:pPr>
<w:r><w:t xml:space="preserve">acetone, from which benzoyl acetone, C6H5.CO.CH2.CO.CH3,</w:t></w:r>
</w:p>
<w:p>
<w:pPr><w:pStyle w:val="Normal"/></w:pPr>
<w:r><w:t xml:space="preserve">can be obtained by acidification with acetic acid.  When</w:t></w:r>
</w:p>
<w:p>
<w:pPr><w:pStyle w:val="Normal"/></w:pPr>
<w:r><w:t xml:space="preserve">heated with the halogens, acetophenone is substituted in</w:t></w:r>
</w:p>
<w:p>
<w:pPr><w:pStyle w:val="Normal"/></w:pPr>
<w:r><w:t xml:space="preserve">the aliphatic portion of the nucleus; thus bromine gives</w:t></w:r>
</w:p>
<w:p>
<w:pPr><w:pStyle w:val="Normal"/></w:pPr>
<w:r><w:t xml:space="preserve">phenacyl bromide, C6H6CO.CH2Br.  Numerous derivatives of</w:t></w:r>
</w:p>
<w:p>
<w:pPr><w:pStyle w:val="Normal"/></w:pPr>
<w:r><w:t xml:space="preserve">acetophenone have been prepared, one of the most important</w:t></w:r>
</w:p>
<w:p>
<w:pPr><w:pStyle w:val="Normal"/></w:pPr>
<w:r><w:t xml:space="preserve">being orthoaminoacetophenone, NH2.C6H4.CO.CH3, which</w:t></w:r>
</w:p>
<w:p>
<w:pPr><w:pStyle w:val="Normal"/></w:pPr>
<w:r><w:t xml:space="preserve">is obtained by boiling orthoaminophenylpropiolic acid with</w:t></w:r>
</w:p>
<w:p>
<w:pPr><w:pStyle w:val="Normal"/></w:pPr>
<w:r><w:t xml:space="preserve">water. It is a thick yellowish oil bolling between 242 deg.</w:t></w:r>
</w:p>
<w:p>
<w:pPr><w:pStyle w:val="Heading1"/></w:pPr>
<w:r><w:t>C. and 250 deg.  C. It condenses with acetone in the presence</w:t></w:r>
</w:p>
<w:p>
<w:pPr><w:pStyle w:val="Normal"/></w:pPr>
<w:r><w:t xml:space="preserve">of caustic soda to a quinoline. Acetonyl-aeeto phenone,</w:t></w:r>
</w:p>
<w:p>
<w:pPr><w:pStyle w:val="Normal"/></w:pPr>
<w:r><w:t xml:space="preserve">C6H5 . CO . CH2 . CH2.  CO . CH3, is produced by</w:t></w:r>
</w:p>
<w:p>
<w:pPr><w:pStyle w:val="Normal"/></w:pPr>
<w:r><w:t xml:space="preserve">condensing phenacyl bromide with sodium acetoacetate with</w:t></w:r>
</w:p>
<w:p>
<w:pPr><w:pStyle w:val="Normal"/></w:pPr>
<w:r><w:t xml:space="preserve">subsequent elimination of carbon dioxide, and on dehydration</w:t></w:r>
</w:p>
<w:p>
<w:pPr><w:pStyle w:val="Normal"/></w:pPr>
<w:r><w:t xml:space="preserve">gives aa-phenyl-methyl-furfurane.  Oxazoles (q.v.) are</w:t></w:r>
</w:p>
<w:p>
<w:pPr><w:pStyle w:val="Normal"/></w:pPr>
<w:r><w:t xml:space="preserve">produced on condensing phenacyl bromide with acid-amides (M.</w:t></w:r>
</w:p>
<w:p>
<w:pPr><w:pStyle w:val="Normal"/></w:pPr>
<w:r><w:t xml:space="preserve">Lewy, Berichte, 1887, 20, p. 2578).  K. L. Paal has also</w:t></w:r>
</w:p>
<w:p>
<w:pPr><w:pStyle w:val="Normal"/></w:pPr>
<w:r><w:t xml:space="preserve">obtained pyrrol derivatives by condensing acetophenone-aceto-</w:t></w:r>
</w:p>
<w:p>
<w:pPr><w:pStyle w:val="Normal"/></w:pPr>
<w:r><w:t xml:space="preserve">acetic-ester with substances of the type NH2R.</w:t></w:r>
</w:p>
<w:p>
<w:pPr><w:pStyle w:val="Normal"/></w:pPr>
<w:r><w:t xml:space="preserve">ACETYLENE, klumene or ethine, a gaseous compound of</w:t></w:r>
</w:p>
<w:p>
<w:pPr><w:pStyle w:val="Normal"/></w:pPr>
<w:r><w:t xml:space="preserve">carbon and hydrogen, represented by the formula C2H2.</w:t></w:r>
</w:p>
<w:p>
<w:pPr><w:pStyle w:val="Normal"/></w:pPr>
<w:r><w:t xml:space="preserve">Physical properties.</w:t></w:r>
</w:p>
<w:p>
<w:pPr><w:pStyle w:val="Normal"/></w:pPr>
<w:r><w:t xml:space="preserve">It is a colourless gas, having a density of 0.92.  When prepared</w:t></w:r>
</w:p>
<w:p>
<w:pPr><w:pStyle w:val="Normal"/></w:pPr>
<w:r><w:t xml:space="preserve">by the action of water upon calcium carbide, it has a very strong</w:t></w:r>
</w:p>
<w:p>
<w:pPr><w:pStyle w:val="Normal"/></w:pPr>
<w:r><w:t xml:space="preserve">and penetrating odour, but when it is thoroughly purified from</w:t></w:r>
</w:p>
<w:p>
<w:pPr><w:pStyle w:val="Normal"/></w:pPr>
<w:r><w:t xml:space="preserve">sulphuretted and phosphuretted hydrogen, which are invariably</w:t></w:r>
</w:p>
<w:p>
<w:pPr><w:pStyle w:val="Normal"/></w:pPr>
<w:r><w:t xml:space="preserve">present with it in minute traces, this extremely pungent odour</w:t></w:r>
</w:p>
<w:p>
<w:pPr><w:pStyle w:val="Normal"/></w:pPr>
<w:r><w:t xml:space="preserve">disappears, and the pure gas has a not unpleasant ethereal</w:t></w:r>
</w:p>
<w:p>
<w:pPr><w:pStyle w:val="Normal"/></w:pPr>
<w:r><w:t xml:space="preserve">smell.  It can be condensed into the liquid state by cold</w:t></w:r>
</w:p>
<w:p>
<w:pPr><w:pStyle w:val="Normal"/></w:pPr>
<w:r><w:t xml:space="preserve">or by pressure, and experiments by G. Ansdell show that if</w:t></w:r>
</w:p>
<w:p>
<w:pPr><w:pStyle w:val="Normal"/></w:pPr>
<w:r><w:t xml:space="preserve">the gas be subjected to a pressure of 21.53 atmospheres at a</w:t></w:r>
</w:p>
<w:p>
<w:pPr><w:pStyle w:val="Normal"/></w:pPr>
<w:r><w:t xml:space="preserve">temperature of 0 deg.  C., it is converted into the liquid state,</w:t></w:r>
</w:p>
<w:p>
<w:pPr><w:pStyle w:val="Normal"/></w:pPr>
<w:r><w:t xml:space="preserve">the pressure needed increasing with the rise of temperature,</w:t></w:r>
</w:p>
<w:p>
<w:pPr><w:pStyle w:val="Normal"/></w:pPr>
<w:r><w:t xml:space="preserve">and decreasing with the lowering of the temperature, until</w:t></w:r>
</w:p>
<w:p>
<w:pPr><w:pStyle w:val="Normal"/></w:pPr>
<w:r><w:t xml:space="preserve">at--82 deg.  C. it becomes liquid under ordinary atmospheric</w:t></w:r>
</w:p>
<w:p>
<w:pPr><w:pStyle w:val="Normal"/></w:pPr>
<w:r><w:t xml:space="preserve">pressure.  The critical point of the gas is 37 C., at which</w:t></w:r>
</w:p>
<w:p>
<w:pPr><w:pStyle w:val="Normal"/></w:pPr>
<w:r><w:t xml:space="preserve">temperature a pressure of 68 atmospheres is required for</w:t></w:r>
</w:p>
<w:p>
<w:pPr><w:pStyle w:val="Normal"/></w:pPr>
<w:r><w:t xml:space="preserve">liquefaction.  The properties of liquid and solid acetylene</w:t></w:r>
</w:p>
<w:p>
<w:pPr><w:pStyle w:val="Normal"/></w:pPr>
<w:r><w:t xml:space="preserve">have been investigated by D. Mcintosh (Jour Chem.  Soc.,</w:t></w:r>
</w:p>
<w:p>
<w:pPr><w:pStyle w:val="Normal"/></w:pPr>
<w:r><w:t xml:space="preserve">Abs., 1907, i. 458).  A great future was expected from</w:t></w:r>
</w:p>
<w:p>
<w:pPr><w:pStyle w:val="Normal"/></w:pPr>
<w:r><w:t xml:space="preserve">its use in the liquid state, since a cylinder fitted with</w:t></w:r>
</w:p>
<w:p>
<w:pPr><w:pStyle w:val="Normal"/></w:pPr>
<w:r><w:t xml:space="preserve">the necessary reducing valves would supply the gas to light</w:t></w:r>
</w:p>
<w:p>
<w:pPr><w:pStyle w:val="Normal"/></w:pPr>
<w:r><w:t xml:space="preserve">a house for a considerable period, the liquid occupying</w:t></w:r>
</w:p>
<w:p>
<w:pPr><w:pStyle w:val="Normal"/></w:pPr>
<w:r><w:t xml:space="preserve">about 1/400 the volume of the gas, but in the United States</w:t></w:r>
</w:p>
<w:p>
<w:pPr><w:pStyle w:val="Normal"/></w:pPr>
<w:r><w:t xml:space="preserve">and on the continent of Europe, where liquefied acetylene</w:t></w:r>
</w:p>
<w:p>
<w:pPr><w:pStyle w:val="Normal"/></w:pPr>
<w:r><w:t xml:space="preserve">was made on the large scale, several fatal accidents</w:t></w:r>
</w:p>
<w:p>
<w:pPr><w:pStyle w:val="Normal"/></w:pPr>
<w:r><w:t xml:space="preserve">occurred owing to its explosion under not easily explained</w:t></w:r>
</w:p>
<w:p>
<w:pPr><w:pStyle w:val="Normal"/></w:pPr>
<w:r><w:t xml:space="preserve">conditions.  As a result of these accidents M. P. E. Berthelot</w:t></w:r>
</w:p>
<w:p>
<w:pPr><w:pStyle w:val="Normal"/></w:pPr>
<w:r><w:t xml:space="preserve">and L. J. G. Vieille made a series of valuable researches</w:t></w:r>
</w:p>
<w:p>
<w:pPr><w:pStyle w:val="Normal"/></w:pPr>
<w:r><w:t xml:space="preserve">upon the explosion of acetylene under various conditions.</w:t></w:r>
</w:p>
<w:p>
<w:pPr><w:pStyle w:val="Normal"/></w:pPr>
<w:r><w:t xml:space="preserve">They found that if liquid acetylene in a steel bottle be</w:t></w:r>
</w:p>
<w:p>
<w:pPr><w:pStyle w:val="Normal"/></w:pPr>
<w:r><w:t xml:space="preserve">heated at one point by a platinum wire raised to a red heat,</w:t></w:r>
</w:p>
<w:p>
<w:pPr><w:pStyle w:val="Normal"/></w:pPr>
<w:r><w:t xml:space="preserve">the whole mass decomposes and gives rise to such tremendous</w:t></w:r>
</w:p>
<w:p>
<w:pPr><w:pStyle w:val="Normal"/></w:pPr>
<w:r><w:t xml:space="preserve">pressures that no cylinder would be able to withstand them.</w:t></w:r>
</w:p>
<w:p>
<w:pPr><w:pStyle w:val="Normal"/></w:pPr>
<w:r><w:t xml:space="preserve">These pressures varied from 71,000 to 100,000 lb. per square</w:t></w:r>
</w:p>
<w:p>
<w:pPr><w:pStyle w:val="Normal"/></w:pPr>
<w:r><w:t xml:space="preserve">inch.  They, moreover, tried the effect of shock upon the</w:t></w:r>
</w:p>
<w:p>
<w:pPr><w:pStyle w:val="Normal"/></w:pPr>
<w:r><w:t xml:space="preserve">liquid, and found that the repeated dropping of the cylinder</w:t></w:r>
</w:p>
<w:p>
<w:pPr><w:pStyle w:val="Normal"/></w:pPr>
<w:r><w:t xml:space="preserve">from a height of nearly 20 feet upon a large steel anvil gave</w:t></w:r>
</w:p>
<w:p>
<w:pPr><w:pStyle w:val="Normal"/></w:pPr>
<w:r><w:t xml:space="preserve">no explosion, but that when the cylinder was crushed under</w:t></w:r>
</w:p>
<w:p>
<w:pPr><w:pStyle w:val="Normal"/></w:pPr>
<w:r><w:t xml:space="preserve">a heavy blow the impact was followed, after a short interval</w:t></w:r>
</w:p>
<w:p>
<w:pPr><w:pStyle w:val="Normal"/></w:pPr>
<w:r><w:t xml:space="preserve">of time, by an explosion which was manifestly due to the</w:t></w:r>
</w:p>
<w:p>
<w:pPr><w:pStyle w:val="Normal"/></w:pPr>
<w:r><w:t xml:space="preserve">fracture of the cylinder and the ignition of the escaping</w:t></w:r>
</w:p>
<w:p>
<w:pPr><w:pStyle w:val="Normal"/></w:pPr>
<w:r><w:t xml:space="preserve">gas, mixed with air, from sparks caused by the breaking of the</w:t></w:r>
</w:p>
<w:p>
<w:pPr><w:pStyle w:val="Normal"/></w:pPr>
<w:r><w:t xml:space="preserve">metal.  A similar explosion will frequently follow the breaking</w:t></w:r>
</w:p>
<w:p>
<w:pPr><w:pStyle w:val="Normal"/></w:pPr>
<w:r><w:t xml:space="preserve">in the same way of a cylinder charged with hydrogen at a high</w:t></w:r>
</w:p>
<w:p>
<w:pPr><w:pStyle w:val="Normal"/></w:pPr>
<w:r><w:t xml:space="preserve">pressure.  Continuing these experiments, they found that in</w:t></w:r>
</w:p>
<w:p>
<w:pPr><w:pStyle w:val="Normal"/></w:pPr>
<w:r><w:t xml:space="preserve">acetylene gas under ordinary pressures the decomposition</w:t></w:r>
</w:p>
<w:p>
<w:pPr><w:pStyle w:val="Normal"/></w:pPr>
<w:r><w:t xml:space="preserve">brought about in one portion of the gas, either by heat or the</w:t></w:r>
</w:p>
<w:p>
<w:pPr><w:pStyle w:val="Normal"/></w:pPr>
<w:r><w:t xml:space="preserve">firing in it of a small detonator, did not spread far beyond</w:t></w:r>
</w:p>
<w:p>
<w:pPr><w:pStyle w:val="Normal"/></w:pPr>
<w:r><w:t xml:space="preserve">the point at which the decomposition started, while if the</w:t></w:r>
</w:p>
<w:p>
<w:pPr><w:pStyle w:val="Normal"/></w:pPr>
<w:r><w:t xml:space="preserve">acetylene was compressed to a pressure of more than 30 lb. on</w:t></w:r>
</w:p>
<w:p>
<w:pPr><w:pStyle w:val="Normal"/></w:pPr>
<w:r><w:t xml:space="preserve">the square inch, the decomposition travelled throughout the</w:t></w:r>
</w:p>
<w:p>
<w:pPr><w:pStyle w:val="Normal"/></w:pPr>
<w:r><w:t xml:space="preserve">mass and became in reality detonation.  These results showed</w:t></w:r>
</w:p>
<w:p>
<w:pPr><w:pStyle w:val="Normal"/></w:pPr>
<w:r><w:t xml:space="preserve">clearly that liquefied acetylene was far too dangerous for</w:t></w:r>
</w:p>
<w:p>
<w:pPr><w:pStyle w:val="Normal"/></w:pPr>
<w:r><w:t xml:space="preserve">general introduction for domestic purposes, since, although</w:t></w:r>
</w:p>
<w:p>
<w:pPr><w:pStyle w:val="Normal"/></w:pPr>
<w:r><w:t xml:space="preserve">the occasions would be rare in which the requisite temperature</w:t></w:r>
</w:p>
<w:p>
<w:pPr><w:pStyle w:val="Normal"/></w:pPr>
<w:r><w:t xml:space="preserve">to bring about detonation would be reached, still, if this</w:t></w:r>
</w:p>
<w:p>
<w:pPr><w:pStyle w:val="Normal"/></w:pPr>
<w:r><w:t xml:space="preserve">point were attained, the results would be of a most disastrous</w:t></w:r>
</w:p>
<w:p>
<w:pPr><w:pStyle w:val="Normal"/></w:pPr>
<w:r><w:t xml:space="preserve">character.  The fact that several accidents had already</w:t></w:r>
</w:p>
<w:p>
<w:pPr><w:pStyle w:val="Normal"/></w:pPr>
<w:r><w:t xml:space="preserve">happened accentuated the risk, and in Great Britain the</w:t></w:r>
</w:p>
<w:p>
<w:pPr><w:pStyle w:val="Normal"/></w:pPr>
<w:r><w:t xml:space="preserve">storage and use of liquefied acetylene are prohibited.</w:t></w:r>
</w:p>
<w:p>
<w:pPr><w:pStyle w:val="Normal"/></w:pPr>
<w:r><w:t xml:space="preserve">When liquefied acetylene is allowed to escape from the cylinder</w:t></w:r>
</w:p>
<w:p>
<w:pPr><w:pStyle w:val="Normal"/></w:pPr>
<w:r><w:t xml:space="preserve">in which it is contained into ordinary atmospheric pressure,</w:t></w:r>
</w:p>
<w:p>
<w:pPr><w:pStyle w:val="Normal"/></w:pPr>
<w:r><w:t xml:space="preserve">some of the liquid assumes the gaseous condition with such</w:t></w:r>
</w:p>
<w:p>
<w:pPr><w:pStyle w:val="Normal"/></w:pPr>
<w:r><w:t xml:space="preserve">rapidity as to cool the remainder below the temperature</w:t></w:r>
</w:p>
<w:p>
<w:pPr><w:pStyle w:val="Normal"/></w:pPr>
<w:r><w:t xml:space="preserve">of -90 deg.  C., and convert it into a solid snow-like mass.</w:t></w:r>
</w:p>
<w:p>
<w:pPr><w:pStyle w:val="Normal"/></w:pPr>
<w:r><w:t xml:space="preserve">Solubility of acetylene.</w:t></w:r>
</w:p>
<w:p>
<w:pPr><w:pStyle w:val="Normal"/></w:pPr>
<w:r><w:t xml:space="preserve">Acetylene is readily soluble in water, which at normal</w:t></w:r>
</w:p>
<w:p>
<w:pPr><w:pStyle w:val="Normal"/></w:pPr>
<w:r><w:t xml:space="preserve">temperature and pressure takes up a little more than its</w:t></w:r>
</w:p>
<w:p>
<w:pPr><w:pStyle w:val="Normal"/></w:pPr>
<w:r><w:t xml:space="preserve">own volume of the gas, and yields a solution giving a</w:t></w:r>
</w:p>
<w:p>
<w:pPr><w:pStyle w:val="Normal"/></w:pPr>
<w:r><w:t xml:space="preserve">purple-red precipitate with ammoniacal cuprous chloride and</w:t></w:r>
</w:p>
<w:p>
<w:pPr><w:pStyle w:val="Normal"/></w:pPr>
<w:r><w:t xml:space="preserve">a white precipitate with silver nitrate, these precipitates</w:t></w:r>
</w:p>
<w:p>
<w:pPr><w:pStyle w:val="Normal"/></w:pPr>
<w:r><w:t xml:space="preserve">consisting of acetylides of the metals.  The solubility of</w:t></w:r>
</w:p>
<w:p>
<w:pPr><w:pStyle w:val="Normal"/></w:pPr>
<w:r><w:t xml:space="preserve">the gas in various liquids, as given by different observers,</w:t></w:r>
</w:p>
<w:p>
<w:pPr><w:pStyle w:val="Normal"/></w:pPr>
<w:r><w:t xml:space="preserve">100 Volumes of                     Volumes of Acetylene.</w:t></w:r>
</w:p>
<w:p>
<w:pPr><w:pStyle w:val="Normal"/></w:pPr>
<w:r><w:t xml:space="preserve">Brine         absorb                  5</w:t></w:r>
</w:p>
<w:p>
<w:pPr><w:pStyle w:val="Normal"/></w:pPr>
<w:r><w:t xml:space="preserve">Water          &apos;&apos;                   110</w:t></w:r>
</w:p>
<w:p>
<w:pPr><w:pStyle w:val="Normal"/></w:pPr>
<w:r><w:t xml:space="preserve">Alcohol          &apos;&apos;                   600</w:t></w:r>
</w:p>
<w:p>
<w:pPr><w:pStyle w:val="Normal"/></w:pPr>
<w:r><w:t xml:space="preserve">Paraffin          &apos;&apos;                   150</w:t></w:r>
</w:p>
<w:p>
<w:pPr><w:pStyle w:val="Normal"/></w:pPr>
<w:r><w:t xml:space="preserve">Carbon disulphide      &apos;&apos;                   100</w:t></w:r>
</w:p>
<w:p>
<w:pPr><w:pStyle w:val="Normal"/></w:pPr>
<w:r><w:t xml:space="preserve">Fusel oil          &apos;&apos;                   100</w:t></w:r>
</w:p>
<w:p>
<w:pPr><w:pStyle w:val="Normal"/></w:pPr>
<w:r><w:t xml:space="preserve">Benzene          &apos;&apos;                   400</w:t></w:r>
</w:p>
<w:p>
<w:pPr><w:pStyle w:val="Normal"/></w:pPr>
<w:r><w:t xml:space="preserve">Chloroform          &apos;&apos;                   400</w:t></w:r>
</w:p>
<w:p>
<w:pPr><w:pStyle w:val="Normal"/></w:pPr>
<w:r><w:t xml:space="preserve">Acetic acid          &apos;&apos;                   600</w:t></w:r>
</w:p>
<w:p>
<w:pPr><w:pStyle w:val="Normal"/></w:pPr>
<w:r><w:t xml:space="preserve">Acetone          &apos;&apos;                  2500</w:t></w:r>
</w:p>
<w:p>
<w:pPr><w:pStyle w:val="Normal"/></w:pPr>
<w:r><w:t xml:space="preserve">It will be seen from this table that where it is desired</w:t></w:r>
</w:p>
<w:p>
<w:pPr><w:pStyle w:val="Normal"/></w:pPr>
<w:r><w:t xml:space="preserve">to collect and keep acetylene over a liquid, brine, i.e.</w:t></w:r>
</w:p>
<w:p>
<w:pPr><w:pStyle w:val="Normal"/></w:pPr>
<w:r><w:t xml:space="preserve">water saturated with salt, is the best for the purpose, but</w:t></w:r>
</w:p>
<w:p>
<w:pPr><w:pStyle w:val="Normal"/></w:pPr>
<w:r><w:t xml:space="preserve">in practice it is found that, unless water is agitated with</w:t></w:r>
</w:p>
<w:p>
<w:pPr><w:pStyle w:val="Normal"/></w:pPr>
<w:r><w:t xml:space="preserve">acetylene, or the gas bubbled through, the top layer soon gets</w:t></w:r>
</w:p>
<w:p>
<w:pPr><w:pStyle w:val="Normal"/></w:pPr>
<w:r><w:t xml:space="preserve">saturated, and the gas then dissolves but slowly.  The great</w:t></w:r>
</w:p>
<w:p>
<w:pPr><w:pStyle w:val="Normal"/></w:pPr>
<w:r><w:t xml:space="preserve">solubility of acetylene in acetone was pointed out by G. Claude</w:t></w:r>
</w:p>
<w:p>
<w:pPr><w:pStyle w:val="Normal"/></w:pPr>
<w:r><w:t xml:space="preserve">and A. Hess, who showed that acetone will absorb twenty-five</w:t></w:r>
</w:p>
<w:p>
<w:pPr><w:pStyle w:val="Normal"/></w:pPr>
<w:r><w:t xml:space="preserve">times its own volume of acetylene at a temperature of 15 deg.  C.</w:t></w:r>
</w:p>
<w:p>
<w:pPr><w:pStyle w:val="Normal"/></w:pPr>
<w:r><w:t xml:space="preserve">under atmospheric pressure, and that, providing the temperature</w:t></w:r>
</w:p>
<w:p>
<w:pPr><w:pStyle w:val="Normal"/></w:pPr>
<w:r><w:t xml:space="preserve">is kept constant, the liquid acetone will go on absorbing</w:t></w:r>
</w:p>
<w:p>
<w:pPr><w:pStyle w:val="Normal"/></w:pPr>
<w:r><w:t xml:space="preserve">acetylene at the rate of twenty-five times its own volume for</w:t></w:r>
</w:p>
<w:p>
<w:pPr><w:pStyle w:val="Normal"/></w:pPr>
<w:r><w:t xml:space="preserve">every atmosphere of pressure to which the gas is subjected.</w:t></w:r>
</w:p>
<w:p>
<w:pPr><w:pStyle w:val="Normal"/></w:pPr>
<w:r><w:t xml:space="preserve">At first it seemed as if this discovery would do away with</w:t></w:r>
</w:p>
<w:p>
<w:pPr><w:pStyle w:val="Normal"/></w:pPr>
<w:r><w:t xml:space="preserve">all the troubles connected with the storage of acetylene</w:t></w:r>
</w:p>
<w:p>
<w:pPr><w:pStyle w:val="Normal"/></w:pPr>
<w:r><w:t xml:space="preserve">under pressure, but it was soon found that there were</w:t></w:r>
</w:p>
<w:p>
<w:pPr><w:pStyle w:val="Normal"/></w:pPr>
<w:r><w:t xml:space="preserve">serious difficulties still to be overcome.  The chief</w:t></w:r>
</w:p>
<w:p>
<w:pPr><w:pStyle w:val="Normal"/></w:pPr>
<w:r><w:t xml:space="preserve">trouble was that acetone expands a small percentage of its</w:t></w:r>
</w:p>
<w:p>
<w:pPr><w:pStyle w:val="Normal"/></w:pPr>
<w:r><w:t xml:space="preserve">own volume while it is absorbing acetylene; therefore it is</w:t></w:r>
</w:p>
<w:p>
<w:pPr><w:pStyle w:val="Normal"/></w:pPr>
<w:r><w:t xml:space="preserve">impossible to fill a cylinder with acetone and then force</w:t></w:r>
</w:p>
<w:p>
<w:pPr><w:pStyle w:val="Normal"/></w:pPr>
<w:r><w:t xml:space="preserve">in acetylene, and still more impracticable only partly to</w:t></w:r>
</w:p>
<w:p>
<w:pPr><w:pStyle w:val="Normal"/></w:pPr>
<w:r><w:t xml:space="preserve">fill the cylinder with acetone, as in that case the space</w:t></w:r>
</w:p>
<w:p>
<w:pPr><w:pStyle w:val="Normal"/></w:pPr>
<w:r><w:t xml:space="preserve">above the liquid would be filled with acetylene under high</w:t></w:r>
</w:p>
<w:p>
<w:pPr><w:pStyle w:val="Normal"/></w:pPr>
<w:r><w:t xml:space="preserve">pressure, and would have all the disadvantages of a cylinder</w:t></w:r>
</w:p>
<w:p>
<w:pPr><w:pStyle w:val="Normal"/></w:pPr>
<w:r><w:t xml:space="preserve">containing compressed acetylene only.  This difficulty</w:t></w:r>
</w:p>
<w:p>
<w:pPr><w:pStyle w:val="Normal"/></w:pPr>
<w:r><w:t xml:space="preserve">was overcome by first filling the cylinder with porous</w:t></w:r>
</w:p>
<w:p>
<w:pPr><w:pStyle w:val="Normal"/></w:pPr>
<w:r><w:t xml:space="preserve">briquettes and then soaking them with a fixed percentage of</w:t></w:r>
</w:p>
<w:p>
<w:pPr><w:pStyle w:val="Normal"/></w:pPr>
<w:r><w:t xml:space="preserve">acetone, so that after allowing for the space taken up by</w:t></w:r>
</w:p>
<w:p>
<w:pPr><w:pStyle w:val="Normal"/></w:pPr>
<w:r><w:t xml:space="preserve">the bricks the quantity of acetone soaked into the brick</w:t></w:r>
</w:p>
<w:p>
<w:pPr><w:pStyle w:val="Normal"/></w:pPr>
<w:r><w:t xml:space="preserve">will absorb ten times the normal volume of the cylinder in</w:t></w:r>
</w:p>
<w:p>
<w:pPr><w:pStyle w:val="Normal"/></w:pPr>
<w:r><w:t xml:space="preserve">acetylene for every atmosphere of pressure to which the gas</w:t></w:r>
</w:p>
<w:p>
<w:pPr><w:pStyle w:val="Normal"/></w:pPr>
<w:r><w:t xml:space="preserve">is subjected, whilst all danger of explosion is eliminated.</w:t></w:r>
</w:p>
<w:p>
<w:pPr><w:pStyle w:val="Normal"/></w:pPr>
<w:r><w:t xml:space="preserve">This fact having been fully demonstrated, acetylene dissolved</w:t></w:r>
</w:p>
<w:p>
<w:pPr><w:pStyle w:val="Normal"/></w:pPr>
<w:r><w:t xml:space="preserve">in this way was exempted from the Explosives Act, and</w:t></w:r>
</w:p>
<w:p>
<w:pPr><w:pStyle w:val="Normal"/></w:pPr>
<w:r><w:t xml:space="preserve">consequently upon this exemption a large business has grown up</w:t></w:r>
</w:p>
<w:p>
<w:pPr><w:pStyle w:val="Normal"/></w:pPr>
<w:r><w:t xml:space="preserve">in the preparation and use of dissolved acetylene for lighting</w:t></w:r>
</w:p>
<w:p>
<w:pPr><w:pStyle w:val="Normal"/></w:pPr>
<w:r><w:t xml:space="preserve">motor omnibuses, motor cars, railway carriages, lighthouses,</w:t></w:r>
</w:p>
<w:p>
<w:pPr><w:pStyle w:val="Normal"/></w:pPr>
<w:r><w:t xml:space="preserve">buoys, yachts, &amp;c., for which it is particularly adapted.</w:t></w:r>
</w:p>
<w:p>
<w:pPr><w:pStyle w:val="Normal"/></w:pPr>
<w:r><w:t xml:space="preserve">Poisonous properties.</w:t></w:r>
</w:p>
<w:p>
<w:pPr><w:pStyle w:val="Normal"/></w:pPr>
<w:r><w:t xml:space="preserve">Acetylene was at one time supposed to be a highly poisonous</w:t></w:r>
</w:p>
<w:p>
<w:pPr><w:pStyle w:val="Normal"/></w:pPr>
<w:r><w:t xml:space="preserve">gas, the researches of A. Bistrow and O. Liebreich having</w:t></w:r>
</w:p>
<w:p>
<w:pPr><w:pStyle w:val="Normal"/></w:pPr>
<w:r><w:t xml:space="preserve">apoarently shown that it acts upon the blood in the same way</w:t></w:r>
</w:p>
<w:p>
<w:pPr><w:pStyle w:val="Normal"/></w:pPr>
<w:r><w:t xml:space="preserve">as carbon monoxide to form a stable compound.  Very extensive</w:t></w:r>
</w:p>
<w:p>
<w:pPr><w:pStyle w:val="Normal"/></w:pPr>
<w:r><w:t xml:space="preserve">experiments, however, made by Drs N. Grehant, A. L. Brociner, L.</w:t></w:r>
</w:p>
<w:p>
<w:pPr><w:pStyle w:val="Normal"/></w:pPr>
<w:r><w:t xml:space="preserve">Crismer, and others, all conclusively show that acetylene is</w:t></w:r>
</w:p>
<w:p>
<w:pPr><w:pStyle w:val="Normal"/></w:pPr>
<w:r><w:t xml:space="preserve">much less toxic than carbon monoxide, and indeed than coal gas.</w:t></w:r>
</w:p>
<w:p>
<w:pPr><w:pStyle w:val="Normal"/></w:pPr>
<w:r><w:t xml:space="preserve">Chemical properties.</w:t></w:r>
</w:p>
<w:p>
<w:pPr><w:pStyle w:val="Normal"/></w:pPr>
<w:r><w:t xml:space="preserve">When acetylene was first introduced on a Commercial scale</w:t></w:r>
</w:p>
<w:p>
<w:pPr><w:pStyle w:val="Normal"/></w:pPr>
<w:r><w:t xml:space="preserve">grave fears were entertained as to its safety, it being</w:t></w:r>
</w:p>
<w:p>
<w:pPr><w:pStyle w:val="Normal"/></w:pPr>
<w:r><w:t xml:space="preserve">represented that it had the power of combining with certain</w:t></w:r>
</w:p>
<w:p>
<w:pPr><w:pStyle w:val="Normal"/></w:pPr>
<w:r><w:t xml:space="preserve">metals, more especially copper and silver, to form acetylides</w:t></w:r>
</w:p>
<w:p>
<w:pPr><w:pStyle w:val="Normal"/></w:pPr>
<w:r><w:t xml:space="preserve">of a highly explosive character, and-that even with coal</w:t></w:r>
</w:p>
<w:p>
<w:pPr><w:pStyle w:val="Normal"/></w:pPr>
<w:r><w:t xml:space="preserve">gas, which contains less than 1%, such copper compounds had</w:t></w:r>
</w:p>
<w:p>
<w:pPr><w:pStyle w:val="Normal"/></w:pPr>
<w:r><w:t xml:space="preserve">been known to be formed in cases where the gas-distributing</w:t></w:r>
</w:p>
<w:p>
<w:pPr><w:pStyle w:val="Normal"/></w:pPr>
<w:r><w:t xml:space="preserve">mains were composed of copper, and that accidents had</w:t></w:r>
</w:p>
<w:p>
<w:pPr><w:pStyle w:val="Normal"/></w:pPr>
<w:r><w:t xml:space="preserve">happened from this cause.  It was therefore predicted that</w:t></w:r>
</w:p>
<w:p>
<w:pPr><w:pStyle w:val="Normal"/></w:pPr>
<w:r><w:t xml:space="preserve">the introduction of acetylene on a large scale would be</w:t></w:r>
</w:p>
<w:p>
<w:pPr><w:pStyle w:val="Normal"/></w:pPr>
<w:r><w:t xml:space="preserve">followed by numerous accidents unless copper and its alloys</w:t></w:r>
</w:p>
<w:p>
<w:pPr><w:pStyle w:val="Normal"/></w:pPr>
<w:r><w:t xml:space="preserve">were rigidly excluded from contact with the gas. These fears</w:t></w:r>
</w:p>
<w:p>
<w:pPr><w:pStyle w:val="Normal"/></w:pPr>
<w:r><w:t xml:space="preserve">have, however, fortunately proved to be unfounded, and ordinary</w:t></w:r>
</w:p>
<w:p>
<w:pPr><w:pStyle w:val="Normal"/></w:pPr>
<w:r><w:t xml:space="preserve">gas fittings can be used with perfect safety with this gas.</w:t></w:r>
</w:p>
<w:p>
<w:pPr><w:pStyle w:val="Normal"/></w:pPr>
<w:r><w:t xml:space="preserve">Acetylene has the property of inflaming spontaneously when</w:t></w:r>
</w:p>
<w:p>
<w:pPr><w:pStyle w:val="Normal"/></w:pPr>
<w:r><w:t xml:space="preserve">brought in contact with chlorine.  If a few pieces of carbide</w:t></w:r>
</w:p>
<w:p>
<w:pPr><w:pStyle w:val="Normal"/></w:pPr>
<w:r><w:t xml:space="preserve">be dropped into saturated chlorine water the bubbles of</w:t></w:r>
</w:p>
<w:p>
<w:pPr><w:pStyle w:val="Normal"/></w:pPr>
<w:r><w:t xml:space="preserve">gas take fire as they reach the surface, and if a jet of</w:t></w:r>
</w:p>
<w:p>
<w:pPr><w:pStyle w:val="Normal"/></w:pPr>
<w:r><w:t xml:space="preserve">acetylene be passed up into a bottle of chlorine it takes</w:t></w:r>
</w:p>
<w:p>
<w:pPr><w:pStyle w:val="Normal"/></w:pPr>
<w:r><w:t xml:space="preserve">fire and burns with a heavy red flame, depositing its carbon</w:t></w:r>
</w:p>
<w:p>
<w:pPr><w:pStyle w:val="Normal"/></w:pPr>
<w:r><w:t xml:space="preserve">in the form of soot.  If chlorine be bubbled up into a</w:t></w:r>
</w:p>
<w:p>
<w:pPr><w:pStyle w:val="Normal"/></w:pPr>
<w:r><w:t xml:space="preserve">jar of acetylene standing over water, a violent explosion,</w:t></w:r>
</w:p>
<w:p>
<w:pPr><w:pStyle w:val="Normal"/></w:pPr>
<w:r><w:t xml:space="preserve">attended with a flash of intense light and the deposition of</w:t></w:r>
</w:p>
<w:p>
<w:pPr><w:pStyle w:val="Normal"/></w:pPr>
<w:r><w:t xml:space="preserve">carbon, at once takes place.  When the gas is kept in a small</w:t></w:r>
</w:p>
<w:p>
<w:pPr><w:pStyle w:val="Normal"/></w:pPr>
<w:r><w:t xml:space="preserve">glass holder exposed to direct sunlight, the surface of the</w:t></w:r>
</w:p>
<w:p>
<w:pPr><w:pStyle w:val="Normal"/></w:pPr>
<w:r><w:t xml:space="preserve">glass soon becomes dimmed, and W. A. Bone has shown that</w:t></w:r>
</w:p>
<w:p>
<w:pPr><w:pStyle w:val="Normal"/></w:pPr>
<w:r><w:t xml:space="preserve">when exposed for some time to the sun&apos;s rays it undergoes</w:t></w:r>
</w:p>
<w:p>
<w:pPr><w:pStyle w:val="Normal"/></w:pPr>
<w:r><w:t xml:space="preserve">certain polymerization changes which lead to the deposition</w:t></w:r>
</w:p>
<w:p>
<w:pPr><w:pStyle w:val="Normal"/></w:pPr>
<w:r><w:t xml:space="preserve">of a film of heavy hydrocarbons on the surface of the</w:t></w:r>
</w:p>
<w:p>
<w:pPr><w:pStyle w:val="Normal"/></w:pPr>
<w:r><w:t xml:space="preserve">tube.  It has also been observed by L. Cailletet and later</w:t></w:r>
</w:p>
<w:p>
<w:pPr><w:pStyle w:val="Normal"/></w:pPr>
<w:r><w:t xml:space="preserve">by P. Villard that when allowed to stand in the presence</w:t></w:r>
</w:p>
<w:p>
<w:pPr><w:pStyle w:val="Normal"/></w:pPr>
<w:r><w:t xml:space="preserve">of water at a low temperature a solid hydrate is formed.</w:t></w:r>
</w:p>
<w:p>
<w:pPr><w:pStyle w:val="Normal"/></w:pPr>
<w:r><w:t xml:space="preserve">The polymerization of acetylene.</w:t></w:r>
</w:p>
<w:p>
<w:pPr><w:pStyle w:val="Normal"/></w:pPr>
<w:r><w:t xml:space="preserve">Acetylene is readily decomposed by heat, polymerizing under</w:t></w:r>
</w:p>
<w:p>
<w:pPr><w:pStyle w:val="Normal"/></w:pPr>
<w:r><w:t xml:space="preserve">its influence to form an enormous number of organic compounds;</w:t></w:r>
</w:p>
<w:p>
<w:pPr><w:pStyle w:val="Normal"/></w:pPr>
<w:r><w:t xml:space="preserve">indeed the gas, which can itself be directly prepared from its</w:t></w:r>
</w:p>
<w:p>
<w:pPr><w:pStyle w:val="Normal"/></w:pPr>
<w:r><w:t xml:space="preserve">constituents, carbon and hydrogen, under the influence of the</w:t></w:r>
</w:p>
<w:p>
<w:pPr><w:pStyle w:val="Normal"/></w:pPr>
<w:r><w:t xml:space="preserve">electric arc, can be made the starting point for the construction</w:t></w:r>
</w:p>
<w:p>
<w:pPr><w:pStyle w:val="Normal"/></w:pPr>
<w:r><w:t xml:space="preserve">of an enormous number of different organic compounds of a complex</w:t></w:r>
</w:p>
<w:p>
<w:pPr><w:pStyle w:val="Normal"/></w:pPr>
<w:r><w:t xml:space="preserve">character.  In contact with nascent hydrogen it bunds up</w:t></w:r>
</w:p>
<w:p>
<w:pPr><w:pStyle w:val="Normal"/></w:pPr>
<w:r><w:t xml:space="preserve">ethylene; ethylene acted upon by sulphuric acid yields ethyl</w:t></w:r>
</w:p>
<w:p>
<w:pPr><w:pStyle w:val="Normal"/></w:pPr>
<w:r><w:t xml:space="preserve">sulphuric acid; this can again be decomposed in the presence</w:t></w:r>
</w:p>
<w:p>
<w:pPr><w:pStyle w:val="Normal"/></w:pPr>
<w:r><w:t xml:space="preserve">of water to yield alcohol, and it has also been proposed to</w:t></w:r>
</w:p>
<w:p>
<w:pPr><w:pStyle w:val="Normal"/></w:pPr>
<w:r><w:t xml:space="preserve">manufacture sugar from this body. Picric acid can also be</w:t></w:r>
</w:p>
<w:p>
<w:pPr><w:pStyle w:val="Normal"/></w:pPr>
<w:r><w:t xml:space="preserve">obtained from it by first treating acetylene with sulphuric</w:t></w:r>
</w:p>
<w:p>
<w:pPr><w:pStyle w:val="Normal"/></w:pPr>
<w:r><w:t xml:space="preserve">acid, converting the product into phenol by solution in</w:t></w:r>
</w:p>
<w:p>
<w:pPr><w:pStyle w:val="Normal"/></w:pPr>
<w:r><w:t xml:space="preserve">potash and then treating the phenol with fuming nitric acid.</w:t></w:r>
</w:p>
<w:p>
<w:pPr><w:pStyle w:val="Normal"/></w:pPr>
<w:r><w:t xml:space="preserve">Endothermic nature of acetylene.</w:t></w:r>
</w:p>
<w:p>
<w:pPr><w:pStyle w:val="Normal"/></w:pPr>
<w:r><w:t xml:space="preserve">Acetylene is one of those bodies the formation of which is</w:t></w:r>
</w:p>
<w:p>
<w:pPr><w:pStyle w:val="Normal"/></w:pPr>
<w:r><w:t xml:space="preserve">attended with the disappearance of heat, and it is for this</w:t></w:r>
</w:p>
<w:p>
<w:pPr><w:pStyle w:val="Normal"/></w:pPr>
<w:r><w:t xml:space="preserve">reason termed an ``endothermic&apos;&apos; compound, in contradistinction</w:t></w:r>
</w:p>
<w:p>
<w:pPr><w:pStyle w:val="Normal"/></w:pPr>
<w:r><w:t xml:space="preserve">to those bodies which evolve heat in their formation, and</w:t></w:r>
</w:p>
<w:p>
<w:pPr><w:pStyle w:val="Normal"/></w:pPr>
<w:r><w:t xml:space="preserve">which are called ``exothermic.&apos;&apos; Such endothermic bodies</w:t></w:r>
</w:p>
<w:p>
<w:pPr><w:pStyle w:val="Normal"/></w:pPr>
<w:r><w:t xml:space="preserve">are nearly always found to show considerable violence in</w:t></w:r>
</w:p>
<w:p>
<w:pPr><w:pStyle w:val="Normal"/></w:pPr>
<w:r><w:t xml:space="preserve">their decomposition, as the heat of formation stored up</w:t></w:r>
</w:p>
<w:p>
<w:pPr><w:pStyle w:val="Normal"/></w:pPr>
<w:r><w:t xml:space="preserve">within them is then liberated as sensible heat, and it is</w:t></w:r>
</w:p>
<w:p>
<w:pPr><w:pStyle w:val="Normal"/></w:pPr>
<w:r><w:t xml:space="preserve">undoubtedly this property of acetylene gas which leads to its</w:t></w:r>
</w:p>
<w:p>
<w:pPr><w:pStyle w:val="Normal"/></w:pPr>
<w:r><w:t xml:space="preserve">easy detonation by either heat or a shock from an explosion</w:t></w:r>
</w:p>
<w:p>
<w:pPr><w:pStyle w:val="Normal"/></w:pPr>
<w:r><w:t xml:space="preserve">of fulminating mercury when in contact with it under</w:t></w:r>
</w:p>
<w:p>
<w:pPr><w:pStyle w:val="Normal"/></w:pPr>
<w:r><w:t xml:space="preserve">pressure.  The observation that acetylene can be resolved</w:t></w:r>
</w:p>
<w:p>
<w:pPr><w:pStyle w:val="Normal"/></w:pPr>
<w:r><w:t xml:space="preserve">into its constituents by detonation is due to Berthelot,</w:t></w:r>
</w:p>
<w:p>
<w:pPr><w:pStyle w:val="Normal"/></w:pPr>
<w:r><w:t xml:space="preserve">who started an explosive wave in it by firing a charge of</w:t></w:r>
</w:p>
<w:p>
<w:pPr><w:pStyle w:val="Normal"/></w:pPr>
<w:r><w:t xml:space="preserve">0.1 gram of mercury fulminate. It has since been shown,</w:t></w:r>
</w:p>
<w:p>
<w:pPr><w:pStyle w:val="Normal"/></w:pPr>
<w:r><w:t xml:space="preserve">however, that unless the gas is at a pressure of more than</w:t></w:r>
</w:p>
<w:p>
<w:pPr><w:pStyle w:val="Normal"/></w:pPr>
<w:r><w:t xml:space="preserve">two atmospheres this wave soon dies out, and the decomposition</w:t></w:r>
</w:p>
<w:p>
<w:pPr><w:pStyle w:val="Normal"/></w:pPr>
<w:r><w:t xml:space="preserve">is only propagated a few inches from the detonator.  Heated</w:t></w:r>
</w:p>
<w:p>
<w:pPr><w:pStyle w:val="Normal"/></w:pPr>
<w:r><w:t xml:space="preserve">in contact with air to a temperature of 480 deg.  C., acetylene</w:t></w:r>
</w:p>
<w:p>
<w:pPr><w:pStyle w:val="Normal"/></w:pPr>
<w:r><w:t xml:space="preserve">ignites and burns with a flame, the appearance of which</w:t></w:r>
</w:p>
<w:p>
<w:pPr><w:pStyle w:val="Normal"/></w:pPr>
<w:r><w:t xml:space="preserve">varies with the way in which it is brought in contact with the</w:t></w:r>
</w:p>
<w:p>
<w:pPr><w:pStyle w:val="Normal"/></w:pPr>
<w:r><w:t xml:space="preserve">air.  With the gas in excess a heavy lurid flame emitting</w:t></w:r>
</w:p>
<w:p>
<w:pPr><w:pStyle w:val="Normal"/></w:pPr>
<w:r><w:t xml:space="preserve">dense volumes of smoke results, whilst if it be driven out</w:t></w:r>
</w:p>
<w:p>
<w:pPr><w:pStyle w:val="Normal"/></w:pPr>
<w:r><w:t xml:space="preserve">in a sufficiently thin sheet, it burns with a flame of</w:t></w:r>
</w:p>
<w:p>
<w:pPr><w:pStyle w:val="Normal"/></w:pPr>
<w:r><w:t xml:space="preserve">intense brilliancy and ulmost perfect whiteness, by the</w:t></w:r>
</w:p>
<w:p>
<w:pPr><w:pStyle w:val="Normal"/></w:pPr>
<w:r><w:t xml:space="preserve">light of which colours can be judged as well as they can by</w:t></w:r>
</w:p>
<w:p>
<w:pPr><w:pStyle w:val="Normal"/></w:pPr>
<w:r><w:t xml:space="preserve">daylight.  Having its ignition point below that of ordinary</w:t></w:r>
</w:p>
<w:p>
<w:pPr><w:pStyle w:val="Normal"/></w:pPr>
<w:r><w:t xml:space="preserve">gas, it can be ignited by any red-hot carbonaceous matter,</w:t></w:r>
</w:p>
<w:p>
<w:pPr><w:pStyle w:val="Normal"/></w:pPr>
<w:r><w:t xml:space="preserve">such as the brightly glowing end of a cigar.  For its</w:t></w:r>
</w:p>
<w:p>
<w:pPr><w:pStyle w:val="Normal"/></w:pPr>
<w:r><w:t xml:space="preserve">complete combustion a volume of acetylene needs approximately</w:t></w:r>
</w:p>
<w:p>
<w:pPr><w:pStyle w:val="Normal"/></w:pPr>
<w:r><w:t xml:space="preserve">twelve volumes of air, forming as products of combustion</w:t></w:r>
</w:p>
<w:p>
<w:pPr><w:pStyle w:val="Normal"/></w:pPr>
<w:r><w:t xml:space="preserve">carbon dioxide and water vapour.  When, however, the air is</w:t></w:r>
</w:p>
<w:p>
<w:pPr><w:pStyle w:val="Normal"/></w:pPr>
<w:r><w:t xml:space="preserve">present in much smaller ratio the combustion is incomplete,</w:t></w:r>
</w:p>
<w:p>
<w:pPr><w:pStyle w:val="Normal"/></w:pPr>
<w:r><w:t xml:space="preserve">and carbon, carbon monoxide, carbon dioxide, hydrogen and</w:t></w:r>
</w:p>
<w:p>
<w:pPr><w:pStyle w:val="Normal"/></w:pPr>
<w:r><w:t xml:space="preserve">water vapour are produced.  This is well shown by taking a</w:t></w:r>
</w:p>
<w:p>
<w:pPr><w:pStyle w:val="Normal"/></w:pPr>
<w:r><w:t xml:space="preserve">cylinder one-half full of acetylene and one-half of air; on</w:t></w:r>
</w:p>
<w:p>
<w:pPr><w:pStyle w:val="Normal"/></w:pPr>
<w:r><w:t xml:space="preserve">applying a light to the mixture a lurid flame runs down the</w:t></w:r>
</w:p>
<w:p>
<w:pPr><w:pStyle w:val="Normal"/></w:pPr>
<w:r><w:t xml:space="preserve">cylinder and a cloud of soot is thrown up, the cylinder also</w:t></w:r>
</w:p>
<w:p>
<w:pPr><w:pStyle w:val="Normal"/></w:pPr>
<w:r><w:t xml:space="preserve">being thickly coated with it, and often containing a ball of</w:t></w:r>
</w:p>
<w:p>
<w:pPr><w:pStyle w:val="Normal"/></w:pPr>
<w:r><w:t xml:space="preserve">carbon.  If now, after a few moments&apos; interval to allow</w:t></w:r>
</w:p>
<w:p>
<w:pPr><w:pStyle w:val="Normal"/></w:pPr>
<w:r><w:t xml:space="preserve">some air to diffuse into the cylinder, a taper again be</w:t></w:r>
</w:p>
<w:p>
<w:pPr><w:pStyle w:val="Normal"/></w:pPr>
<w:r><w:t xml:space="preserve">applied, an explosion takes place, due to a mixture of</w:t></w:r>
</w:p>
<w:p>
<w:pPr><w:pStyle w:val="Normal"/></w:pPr>
<w:r><w:t xml:space="preserve">carbon monoxide and air.  It is probable that when a flame</w:t></w:r>
</w:p>
<w:p>
<w:pPr><w:pStyle w:val="Normal"/></w:pPr>
<w:r><w:t xml:space="preserve">is smoking badly, distinct traces of carbon monoxide are</w:t></w:r>
</w:p>
<w:p>
<w:pPr><w:pStyle w:val="Normal"/></w:pPr>
<w:r><w:t xml:space="preserve">being produced, but when an acetylene flame burns properly</w:t></w:r>
</w:p>
<w:p>
<w:pPr><w:pStyle w:val="Normal"/></w:pPr>
<w:r><w:t xml:space="preserve">the products are as harmless as those of coal gas, and,</w:t></w:r>
</w:p>
<w:p>
<w:pPr><w:pStyle w:val="Normal"/></w:pPr>
<w:r><w:t xml:space="preserve">light for light, less in amount.  Mixed with air, like</w:t></w:r>
</w:p>
<w:p>
<w:pPr><w:pStyle w:val="Normal"/></w:pPr>
<w:r><w:t xml:space="preserve">every other combustible gas, acetylene forms an explosive</w:t></w:r>
</w:p>
<w:p>
<w:pPr><w:pStyle w:val="Normal"/></w:pPr>
<w:r><w:t xml:space="preserve">mixture.  F. Clowes has shown that it has a wider range of</w:t></w:r>
</w:p>
<w:p>
<w:pPr><w:pStyle w:val="Normal"/></w:pPr>
<w:r><w:t xml:space="preserve">explosive proportions when mixed with air than any of the</w:t></w:r>
</w:p>
<w:p>
<w:pPr><w:pStyle w:val="Normal"/></w:pPr>
<w:r><w:t xml:space="preserve">other combustible gases, the limiting percentages being as</w:t></w:r>
</w:p>
<w:p>
<w:pPr><w:pStyle w:val="Normal"/></w:pPr>
<w:r><w:t xml:space="preserve">Acetylene . . . . . . .  3 to 82</w:t></w:r>
</w:p>
<w:p>
<w:pPr><w:pStyle w:val="Normal"/></w:pPr>
<w:r><w:t xml:space="preserve">Hydrogen  . . . . . . .  5 to 72</w:t></w:r>
</w:p>
<w:p>
<w:pPr><w:pStyle w:val="Normal"/></w:pPr>
<w:r><w:t xml:space="preserve">Carbon monoxide . . . . 13 to 75</w:t></w:r>
</w:p>
<w:p>
<w:pPr><w:pStyle w:val="Normal"/></w:pPr>
<w:r><w:t xml:space="preserve">Ethylene  . . . . . . .  4 to 22</w:t></w:r>
</w:p>
<w:p>
<w:pPr><w:pStyle w:val="Normal"/></w:pPr>
<w:r><w:t xml:space="preserve">Methane . . . . . . . .  5 to 13</w:t></w:r>
</w:p>
<w:p>
<w:pPr><w:pStyle w:val="Normal"/></w:pPr>
<w:r><w:t xml:space="preserve">Methods of production.</w:t></w:r>
</w:p>
<w:p>
<w:pPr><w:pStyle w:val="Normal"/></w:pPr>
<w:r><w:t xml:space="preserve">The methods which can be and have been employed from time to</w:t></w:r>
</w:p>
<w:p>
<w:pPr><w:pStyle w:val="Normal"/></w:pPr>
<w:r><w:t xml:space="preserve">time for the formation of acetylene in small quantities are</w:t></w:r>
</w:p>
<w:p>
<w:pPr><w:pStyle w:val="Normal"/></w:pPr>
<w:r><w:t xml:space="preserve">exceedingly numerous.  Before the commercial production of</w:t></w:r>
</w:p>
<w:p>
<w:pPr><w:pStyle w:val="Normal"/></w:pPr>
<w:r><w:t xml:space="preserve">calcium carbide made it one of the most easily obtainable</w:t></w:r>
</w:p>
<w:p>
<w:pPr><w:pStyle w:val="Normal"/></w:pPr>
<w:r><w:t xml:space="preserve">gases, the processes which were most largely adopted for its</w:t></w:r>
</w:p>
<w:p>
<w:pPr><w:pStyle w:val="Normal"/></w:pPr>
<w:r><w:t xml:space="preserve">preparation in laboratories were:-first, the decomposition</w:t></w:r>
</w:p>
<w:p>
<w:pPr><w:pStyle w:val="Normal"/></w:pPr>
<w:r><w:t xml:space="preserve">of ethylene bromide by dropping it slowly into a boiling</w:t></w:r>
</w:p>
<w:p>
<w:pPr><w:pStyle w:val="Normal"/></w:pPr>
<w:r><w:t xml:space="preserve">solution of alcoholic potash, and purifying the evolved</w:t></w:r>
</w:p>
<w:p>
<w:pPr><w:pStyle w:val="Normal"/></w:pPr>
<w:r><w:t xml:space="preserve">gas from the volatile bromethylene by washing it through</w:t></w:r>
</w:p>
<w:p>
<w:pPr><w:pStyle w:val="Normal"/></w:pPr>
<w:r><w:t xml:space="preserve">a second flask containing a boiling solution of alcoholic</w:t></w:r>
</w:p>
<w:p>
<w:pPr><w:pStyle w:val="Normal"/></w:pPr>
<w:r><w:t xml:space="preserve">potash, or by passing it over moderately heated soda lime;</w:t></w:r>
</w:p>
<w:p>
<w:pPr><w:pStyle w:val="Normal"/></w:pPr>
<w:r><w:t xml:space="preserve">and, second, the more ordinarily adopted process of passing</w:t></w:r>
</w:p>
<w:p>
<w:pPr><w:pStyle w:val="Normal"/></w:pPr>
<w:r><w:t xml:space="preserve">the products of incomplete combustion from a Bunsen burner,</w:t></w:r>
</w:p>
<w:p>
<w:pPr><w:pStyle w:val="Normal"/></w:pPr>
<w:r><w:t xml:space="preserve">the flame of which had struck back, through an ammoniacal</w:t></w:r>
</w:p>
<w:p>
<w:pPr><w:pStyle w:val="Normal"/></w:pPr>
<w:r><w:t xml:space="preserve">solution of cuprous chloride, when the red copper acetylide</w:t></w:r>
</w:p>
<w:p>
<w:pPr><w:pStyle w:val="Normal"/></w:pPr>
<w:r><w:t xml:space="preserve">was produced. This on being washed and decomposed with</w:t></w:r>
</w:p>
<w:p>
<w:pPr><w:pStyle w:val="Normal"/></w:pPr>
<w:r><w:t xml:space="preserve">hydrochloric acid yielded a stream of acetylene gas.  This</w:t></w:r>
</w:p>
<w:p>
<w:pPr><w:pStyle w:val="Normal"/></w:pPr>
<w:r><w:t xml:space="preserve">second method of production has the great drawback that,</w:t></w:r>
</w:p>
<w:p>
<w:pPr><w:pStyle w:val="Normal"/></w:pPr>
<w:r><w:t xml:space="preserve">unless proper precautions are taken to purify the gas obtained</w:t></w:r>
</w:p>
<w:p>
<w:pPr><w:pStyle w:val="Normal"/></w:pPr>
<w:r><w:t xml:space="preserve">from the copper acetylide, it is always contaminated with</w:t></w:r>
</w:p>
<w:p>
<w:pPr><w:pStyle w:val="Normal"/></w:pPr>
<w:r><w:t xml:space="preserve">certain chlorine derivatives of acetylene.  Edmund Davy</w:t></w:r>
</w:p>
<w:p>
<w:pPr><w:pStyle w:val="Normal"/></w:pPr>
<w:r><w:t xml:space="preserve">first made acetylene in 1836 from a compound produced during</w:t></w:r>
</w:p>
<w:p>
<w:pPr><w:pStyle w:val="Normal"/></w:pPr>
<w:r><w:t xml:space="preserve">the manufacture of potassium from potassium tartrate and</w:t></w:r>
</w:p>
<w:p>
<w:pPr><w:pStyle w:val="Normal"/></w:pPr>
<w:r><w:t xml:space="preserve">charcoal, which under certain conditions yielded a black</w:t></w:r>
</w:p>
<w:p>
<w:pPr><w:pStyle w:val="Normal"/></w:pPr>
<w:r><w:t xml:space="preserve">compound decomposed by water with considerable violence and</w:t></w:r>
</w:p>
<w:p>
<w:pPr><w:pStyle w:val="Normal"/></w:pPr>
<w:r><w:t xml:space="preserve">the evolution of acetylene.  This compound was afterwards fully</w:t></w:r>
</w:p>
<w:p>
<w:pPr><w:pStyle w:val="Normal"/></w:pPr>
<w:r><w:t xml:space="preserve">investigated by J. J. Berzelius, who showed it to be potassium</w:t></w:r>
</w:p>
<w:p>
<w:pPr><w:pStyle w:val="Normal"/></w:pPr>
<w:r><w:t xml:space="preserve">carbide.  He also made the corresponding sodium compound</w:t></w:r>
</w:p>
<w:p>
<w:pPr><w:pStyle w:val="Normal"/></w:pPr>
<w:r><w:t xml:space="preserve">and showed that it evolved the same gas, whilst in 1862 F.</w:t></w:r>
</w:p>
<w:p>
<w:pPr><w:pStyle w:val="Normal"/></w:pPr>
<w:r><w:t xml:space="preserve">Wohler first made calcium carbide, and found that water</w:t></w:r>
</w:p>
<w:p>
<w:pPr><w:pStyle w:val="Normal"/></w:pPr>
<w:r><w:t xml:space="preserve">decomposed it into lime and acetylene.  It was not, however,</w:t></w:r>
</w:p>
<w:p>
<w:pPr><w:pStyle w:val="Normal"/></w:pPr>
<w:r><w:t xml:space="preserve">until 1892 that the almost simultaneous discovery was made</w:t></w:r>
</w:p>
<w:p>
<w:pPr><w:pStyle w:val="Normal"/></w:pPr>
<w:r><w:t xml:space="preserve">by T. L. Willson in America and H. Moissan in France that if</w:t></w:r>
</w:p>
<w:p>
<w:pPr><w:pStyle w:val="Normal"/></w:pPr>
<w:r><w:t xml:space="preserve">lime and carbon be fused together at the temperature of the</w:t></w:r>
</w:p>
<w:p>
<w:pPr><w:pStyle w:val="Normal"/></w:pPr>
<w:r><w:t xml:space="preserve">electric furnace, the lime is reduced to calcium, which unites</w:t></w:r>
</w:p>
<w:p>
<w:pPr><w:pStyle w:val="Normal"/></w:pPr>
<w:r><w:t xml:space="preserve">with the excess of carbon present to form calcium carbide.</w:t></w:r>
</w:p>
<w:p>
<w:pPr><w:pStyle w:val="Normal"/></w:pPr>
<w:r><w:t xml:space="preserve">Manufacture of calcium carbide.</w:t></w:r>
</w:p>
<w:p>
<w:pPr><w:pStyle w:val="Normal"/></w:pPr>
<w:r><w:t xml:space="preserve">The cheap production of this material and the easy liberation</w:t></w:r>
</w:p>
<w:p>
<w:pPr><w:pStyle w:val="Normal"/></w:pPr>
<w:r><w:t xml:space="preserve">by its aid of acetylene at once gave the gas a position of</w:t></w:r>
</w:p>
<w:p>
<w:pPr><w:pStyle w:val="Normal"/></w:pPr>
<w:r><w:t xml:space="preserve">commercial importance.  In the manufacture of calcium carbide</w:t></w:r>
</w:p>
<w:p>
<w:pPr><w:pStyle w:val="Normal"/></w:pPr>
<w:r><w:t xml:space="preserve">in the electric furnace, lime and anthracite of the highest</w:t></w:r>
</w:p>
<w:p>
<w:pPr><w:pStyle w:val="Normal"/></w:pPr>
<w:r><w:t xml:space="preserve">possible degree of purity are employed.  A  good working mixture</w:t></w:r>
</w:p>
<w:p>
<w:pPr><w:pStyle w:val="Normal"/></w:pPr>
<w:r><w:t xml:space="preserve">of these materials may be taken  as being 100 parts by weight</w:t></w:r>
</w:p>
<w:p>
<w:pPr><w:pStyle w:val="Normal"/></w:pPr>
<w:r><w:t xml:space="preserve">of lime with 68 parts by weight of carbonaceous material.</w:t></w:r>
</w:p>
<w:p>
<w:pPr><w:pStyle w:val="Normal"/></w:pPr>
<w:r><w:t xml:space="preserve">About 1.8 lb. of this is used up for each pound of carbide</w:t></w:r>
</w:p>
<w:p>
<w:pPr><w:pStyle w:val="Normal"/></w:pPr>
<w:r><w:t xml:space="preserve">produced.  The two principal processes utilized in making</w:t></w:r>
</w:p>
<w:p>
<w:pPr><w:pStyle w:val="Normal"/></w:pPr>
<w:r><w:t xml:space="preserve">calcium carbide by electrical power are the ingot process and</w:t></w:r>
</w:p>
<w:p>
<w:pPr><w:pStyle w:val="Normal"/></w:pPr>
<w:r><w:t xml:space="preserve">the tapping process.  In the former, the anthracite and lime</w:t></w:r>
</w:p>
<w:p>
<w:pPr><w:pStyle w:val="Normal"/></w:pPr>
<w:r><w:t xml:space="preserve">are ground and carefully mixed in the right proportions to</w:t></w:r>
</w:p>
<w:p>
<w:pPr><w:pStyle w:val="Normal"/></w:pPr>
<w:r><w:t xml:space="preserve">suit the chemical actions involved.  The arc is struck in a</w:t></w:r>
</w:p>
<w:p>
<w:pPr><w:pStyle w:val="Normal"/></w:pPr>
<w:r><w:t xml:space="preserve">crucible into which the mixture is allowed to flow, partially</w:t></w:r>
</w:p>
<w:p>
<w:pPr><w:pStyle w:val="Normal"/></w:pPr>
<w:r><w:t xml:space="preserve">filling it.  An ingot gradually builds up from the bottom</w:t></w:r>
</w:p>
<w:p>
<w:pPr><w:pStyle w:val="Normal"/></w:pPr>
<w:r><w:t xml:space="preserve">of the crucible, the carbon electrode being raised from time</w:t></w:r>
</w:p>
<w:p>
<w:pPr><w:pStyle w:val="Normal"/></w:pPr>
<w:r><w:t xml:space="preserve">to time automatically or by hand to suit the diminution of</w:t></w:r>
</w:p>
<w:p>
<w:pPr><w:pStyle w:val="Normal"/></w:pPr>
<w:r><w:t xml:space="preserve">resistance due to the shortening of the arc by the rising</w:t></w:r>
</w:p>
<w:p>
<w:pPr><w:pStyle w:val="Normal"/></w:pPr>
<w:r><w:t xml:space="preserve">ingot.  The crucible is of metal and considerably larger</w:t></w:r>
</w:p>
<w:p>
<w:pPr><w:pStyle w:val="Normal"/></w:pPr>
<w:r><w:t xml:space="preserve">than the ingot, the latter being surrounded by a mass of</w:t></w:r>
</w:p>
<w:p>
<w:pPr><w:pStyle w:val="Normal"/></w:pPr>
<w:r><w:t xml:space="preserve">unreduced material which protects the crucible from the intense</w:t></w:r>
</w:p>
<w:p>
<w:pPr><w:pStyle w:val="Normal"/></w:pPr>
<w:r><w:t xml:space="preserve">heat.  When the ingot has been made and the crucible is</w:t></w:r>
</w:p>
<w:p>
<w:pPr><w:pStyle w:val="Normal"/></w:pPr>
<w:r><w:t xml:space="preserve">full, the latter is withdrawn and another substituted.  The</w:t></w:r>
</w:p>
<w:p>
<w:pPr><w:pStyle w:val="Normal"/></w:pPr>
<w:r><w:t xml:space="preserve">process is not continuous, but a change of crucibles only</w:t></w:r>
</w:p>
<w:p>
<w:pPr><w:pStyle w:val="Normal"/></w:pPr>
<w:r><w:t xml:space="preserve">takes two or three minutes under the best conditions, and</w:t></w:r>
</w:p>
<w:p>
<w:pPr><w:pStyle w:val="Normal"/></w:pPr>
<w:r><w:t xml:space="preserve">only occurs every ten or fifteen hours.  The essence of this</w:t></w:r>
</w:p>
<w:p>
<w:pPr><w:pStyle w:val="Normal"/></w:pPr>
<w:r><w:t xml:space="preserve">process is that the coke and lime are only heated to the</w:t></w:r>
</w:p>
<w:p>
<w:pPr><w:pStyle w:val="Normal"/></w:pPr>
<w:r><w:t xml:space="preserve">point of combination, and are not ``boiled&apos;&apos; after being</w:t></w:r>
</w:p>
<w:p>
<w:pPr><w:pStyle w:val="Normal"/></w:pPr>
<w:r><w:t xml:space="preserve">formed.  It is found that the ingot of calcium carbide formed</w:t></w:r>
</w:p>
<w:p>
<w:pPr><w:pStyle w:val="Normal"/></w:pPr>
<w:r><w:t xml:space="preserve">in the furnace, although itself consisting of pure crystalline</w:t></w:r>
</w:p>
<w:p>
<w:pPr><w:pStyle w:val="Normal"/></w:pPr>
<w:r><w:t xml:space="preserve">calcium carbide, is nearly always surrounded by a crust</w:t></w:r>
</w:p>
<w:p>
<w:pPr><w:pStyle w:val="Normal"/></w:pPr>
<w:r><w:t xml:space="preserve">which contains a certain proportion of imperfectly converted</w:t></w:r>
</w:p>
<w:p>
<w:pPr><w:pStyle w:val="Normal"/></w:pPr>
<w:r><w:t xml:space="preserve">constituents, and therefore gives a lower yield of acetylene</w:t></w:r>
</w:p>
<w:p>
<w:pPr><w:pStyle w:val="Normal"/></w:pPr>
<w:r><w:t xml:space="preserve">than the carbide itself.  In breaking up and sending out</w:t></w:r>
</w:p>
<w:p>
<w:pPr><w:pStyle w:val="Normal"/></w:pPr>
<w:r><w:t xml:space="preserve">the carbide for commercial work, packed in air-tight drums,</w:t></w:r>
</w:p>
<w:p>
<w:pPr><w:pStyle w:val="Normal"/></w:pPr>
<w:r><w:t xml:space="preserve">the crust is removed by a sand blast.  A statement of the</w:t></w:r>
</w:p>
<w:p>
<w:pPr><w:pStyle w:val="Normal"/></w:pPr>
<w:r><w:t xml:space="preserve">amount made per kilowatt hour may be misleading, since a</w:t></w:r>
</w:p>
<w:p>
<w:pPr><w:pStyle w:val="Normal"/></w:pPr>
<w:r><w:t xml:space="preserve">certain amount of loss is of necessity entailed during this</w:t></w:r>
</w:p>
<w:p>
<w:pPr><w:pStyle w:val="Normal"/></w:pPr>
<w:r><w:t xml:space="preserve">process.  For instance, in practical working it has been</w:t></w:r>
</w:p>
<w:p>
<w:pPr><w:pStyle w:val="Normal"/></w:pPr>
<w:r><w:t xml:space="preserve">found that a furnace return of 0.504 lb. per kilowatt hour</w:t></w:r>
</w:p>
<w:p>
<w:pPr><w:pStyle w:val="Normal"/></w:pPr>
<w:r><w:t xml:space="preserve">is brought down to 0.406 lb. per kilowatt hour when the</w:t></w:r>
</w:p>
<w:p>
<w:pPr><w:pStyle w:val="Normal"/></w:pPr>
<w:r><w:t xml:space="preserve">material has been broken up, sorted and packed in air-tight</w:t></w:r>
</w:p>
<w:p>
<w:pPr><w:pStyle w:val="Normal"/></w:pPr>
<w:r><w:t xml:space="preserve">drums.  In the tapping process a fixed crucible is used,</w:t></w:r>
</w:p>
<w:p>
<w:pPr><w:pStyle w:val="Normal"/></w:pPr>
<w:r><w:t xml:space="preserve">lined with carbon, the electrode is nearly as big as the</w:t></w:r>
</w:p>
<w:p>
<w:pPr><w:pStyle w:val="Normal"/></w:pPr>
<w:r><w:t xml:space="preserve">crucible and a much higher current density is used. The</w:t></w:r>
</w:p>
<w:p>
<w:pPr><w:pStyle w:val="Normal"/></w:pPr>
<w:r><w:t xml:space="preserve">carbide is heated to complete liquefaction and tapped at short</w:t></w:r>
</w:p>
<w:p>
<w:pPr><w:pStyle w:val="Normal"/></w:pPr>
<w:r><w:t xml:space="preserve">intervals.  There is no unreduced material, and the process</w:t></w:r>
</w:p>
<w:p>
<w:pPr><w:pStyle w:val="Normal"/></w:pPr>
<w:r><w:t xml:space="preserve">is considerably simplified, while less expensive plant is</w:t></w:r>
</w:p>
<w:p>
<w:pPr><w:pStyle w:val="Normal"/></w:pPr>
<w:r><w:t xml:space="preserve">required. The run carbide, however, is never so rich as</w:t></w:r>
</w:p>
<w:p>
<w:pPr><w:pStyle w:val="Normal"/></w:pPr>
<w:r><w:t xml:space="preserve">the ingot carbide, since an excess of lime is nearly always</w:t></w:r>
</w:p>
<w:p>
<w:pPr><w:pStyle w:val="Normal"/></w:pPr>
<w:r><w:t xml:space="preserve">used in the mixture to act as a flux, and this remaining</w:t></w:r>
</w:p>
<w:p>
<w:pPr><w:pStyle w:val="Normal"/></w:pPr>
<w:r><w:t xml:space="preserve">in the carbide lowers its gas-yielding power.  Many</w:t></w:r>
</w:p>
<w:p>
<w:pPr><w:pStyle w:val="Normal"/></w:pPr>
<w:r><w:t xml:space="preserve">attempts have been made to produce the substance without</w:t></w:r>
</w:p>
<w:p>
<w:pPr><w:pStyle w:val="Normal"/></w:pPr>
<w:r><w:t xml:space="preserve">electricity, but have met with no commercial success.</w:t></w:r>
</w:p>
<w:p>
<w:pPr><w:pStyle w:val="Normal"/></w:pPr>
<w:r><w:t xml:space="preserve">Properties of calcium carbide.</w:t></w:r>
</w:p>
<w:p>
<w:pPr><w:pStyle w:val="Normal"/></w:pPr>
<w:r><w:t xml:space="preserve">Calcium carbide, as formed in the electric furnace, is a</w:t></w:r>
</w:p>
<w:p>
<w:pPr><w:pStyle w:val="Normal"/></w:pPr>
<w:r><w:t xml:space="preserve">beautiful crystalline semi-metallic solid, having a density</w:t></w:r>
</w:p>
<w:p>
<w:pPr><w:pStyle w:val="Normal"/></w:pPr>
<w:r><w:t xml:space="preserve">of 2.22, and showing a fracture which is often shot with</w:t></w:r>
</w:p>
<w:p>
<w:pPr><w:pStyle w:val="Normal"/></w:pPr>
<w:r><w:t xml:space="preserve">iridescent colours.  It can be kept unaltered in dry air,</w:t></w:r>
</w:p>
<w:p>
<w:pPr><w:pStyle w:val="Normal"/></w:pPr>
<w:r><w:t xml:space="preserve">but the smallest trace of moisture in the atmosphere leads</w:t></w:r>
</w:p>
<w:p>
<w:pPr><w:pStyle w:val="Normal"/></w:pPr>
<w:r><w:t xml:space="preserve">to the evolution of minute quantities of acetylene and gives</w:t></w:r>
</w:p>
<w:p>
<w:pPr><w:pStyle w:val="Normal"/></w:pPr>
<w:r><w:t xml:space="preserve">it a distinctive odour.  It is infusible at temperatures up</w:t></w:r>
</w:p>
<w:p>
<w:pPr><w:pStyle w:val="Normal"/></w:pPr>
<w:r><w:t xml:space="preserve">to 2000 deg.  C., but can he fused in the electric arc.  When</w:t></w:r>
</w:p>
<w:p>
<w:pPr><w:pStyle w:val="Normal"/></w:pPr>
<w:r><w:t xml:space="preserve">heated to a temperature of 245 deg.  C. in a stream of chlorine</w:t></w:r>
</w:p>
<w:p>
<w:pPr><w:pStyle w:val="Normal"/></w:pPr>
<w:r><w:t xml:space="preserve">gas it becomes incandescent, forming calcium chloride and</w:t></w:r>
</w:p>
<w:p>
<w:pPr><w:pStyle w:val="Normal"/></w:pPr>
<w:r><w:t xml:space="preserve">liberating carbon, and it can also be made to burn in oxygen</w:t></w:r>
</w:p>
<w:p>
<w:pPr><w:pStyle w:val="Normal"/></w:pPr>
<w:r><w:t xml:space="preserve">at a dull red heat, leaving behind a residue of calcium</w:t></w:r>
</w:p>
<w:p>
<w:pPr><w:pStyle w:val="Normal"/></w:pPr>
<w:r><w:t xml:space="preserve">carbonate.  Under the same conditions it becomes incandescent</w:t></w:r>
</w:p>
<w:p>
<w:pPr><w:pStyle w:val="Normal"/></w:pPr>
<w:r><w:t xml:space="preserve">in the vapour of sulphur, yielding calcium sulphide and</w:t></w:r>
</w:p>
<w:p>
<w:pPr><w:pStyle w:val="Normal"/></w:pPr>
<w:r><w:t xml:space="preserve">carbon disulphide; the vapour of phosphorus will also unite</w:t></w:r>
</w:p>
<w:p>
<w:pPr><w:pStyle w:val="Normal"/></w:pPr>
<w:r><w:t xml:space="preserve">with it at a red heat.  Acted upon by water it is at once</w:t></w:r>
</w:p>
<w:p>
<w:pPr><w:pStyle w:val="Normal"/></w:pPr>
<w:r><w:t xml:space="preserve">decomposed, yielding acetylene and calcium hydrate.  Pure</w:t></w:r>
</w:p>
<w:p>
<w:pPr><w:pStyle w:val="Normal"/></w:pPr>
<w:r><w:t xml:space="preserve">crystalline calcium carbide yields 5.8 cubic feet of acetylene</w:t></w:r>
</w:p>
<w:p>
<w:pPr><w:pStyle w:val="Normal"/></w:pPr>
<w:r><w:t xml:space="preserve">per pound at ordinary temperatures, but the carbide as sold</w:t></w:r>
</w:p>
<w:p>
<w:pPr><w:pStyle w:val="Normal"/></w:pPr>
<w:r><w:t xml:space="preserve">commercially, being a mixture of the pure crystalline material</w:t></w:r>
</w:p>
<w:p>
<w:pPr><w:pStyle w:val="Normal"/></w:pPr>
<w:r><w:t xml:space="preserve">with the crust which in the electric furnace surrounds the</w:t></w:r>
</w:p>
<w:p>
<w:pPr><w:pStyle w:val="Normal"/></w:pPr>
<w:r><w:t xml:space="preserve">ingot, yields at the best 5 cubic feet of gas per pound under</w:t></w:r>
</w:p>
<w:p>
<w:pPr><w:pStyle w:val="Normal"/></w:pPr>
<w:r><w:t xml:space="preserve">proper conditions of generation.  The volume of gas obtained;</w:t></w:r>
</w:p>
<w:p>
<w:pPr><w:pStyle w:val="Normal"/></w:pPr>
<w:r><w:t xml:space="preserve">however, depends very largely upon the form of apparatus</w:t></w:r>
</w:p>
<w:p>
<w:pPr><w:pStyle w:val="Normal"/></w:pPr>
<w:r><w:t xml:space="preserve">used, and while some will give the full volume, other</w:t></w:r>
</w:p>
<w:p>
<w:pPr><w:pStyle w:val="Normal"/></w:pPr>
<w:r><w:t xml:space="preserve">apparatus will only yield, with the same carbide, 3 3/4 feet.</w:t></w:r>
</w:p>
<w:p>
<w:pPr><w:pStyle w:val="Normal"/></w:pPr>
<w:r><w:t xml:space="preserve">Impurities.</w:t></w:r>
</w:p>
<w:p>
<w:pPr><w:pStyle w:val="Normal"/></w:pPr>
<w:r><w:t xml:space="preserve">The purity of the carbide entirely depends on the purity</w:t></w:r>
</w:p>
<w:p>
<w:pPr><w:pStyle w:val="Normal"/></w:pPr>
<w:r><w:t xml:space="preserve">of the material used in its manufacture, and before this</w:t></w:r>
</w:p>
<w:p>
<w:pPr><w:pStyle w:val="Normal"/></w:pPr>
<w:r><w:t xml:space="preserve">fact had been fully grasped by manufacturers, and only the</w:t></w:r>
</w:p>
<w:p>
<w:pPr><w:pStyle w:val="Normal"/></w:pPr>
<w:r><w:t xml:space="preserve">purest material obtainable employed, it contained notable</w:t></w:r>
</w:p>
<w:p>
<w:pPr><w:pStyle w:val="Normal"/></w:pPr>
<w:r><w:t xml:space="preserve">quantities of compounds which during its decomposition by</w:t></w:r>
</w:p>
<w:p>
<w:pPr><w:pStyle w:val="Normal"/></w:pPr>
<w:r><w:t xml:space="preserve">water yielded a somewhat high portion of impurities in the</w:t></w:r>
</w:p>
<w:p>
<w:pPr><w:pStyle w:val="Normal"/></w:pPr>
<w:r><w:t xml:space="preserve">acetylene generated from it.  Although at the present time</w:t></w:r>
</w:p>
<w:p>
<w:pPr><w:pStyle w:val="Normal"/></w:pPr>
<w:r><w:t xml:space="preserve">a marvellous improvement has taken place all round in the</w:t></w:r>
</w:p>
<w:p>
<w:pPr><w:pStyle w:val="Normal"/></w:pPr>
<w:r><w:t xml:space="preserve">quality of the carbide produced, the acetylene nearly always</w:t></w:r>
</w:p>
<w:p>
<w:pPr><w:pStyle w:val="Normal"/></w:pPr>
<w:r><w:t xml:space="preserve">contains minute traces of hydrogen, ammonia, sulphuretted</w:t></w:r>
</w:p>
<w:p>
<w:pPr><w:pStyle w:val="Normal"/></w:pPr>
<w:r><w:t xml:space="preserve">hydrogen, phosphuretted hydrogen, silicon hydride, nitrogen and</w:t></w:r>
</w:p>
<w:p>
<w:pPr><w:pStyle w:val="Normal"/></w:pPr>
<w:r><w:t xml:space="preserve">oxygen, and sometimes minute traces of carbon monoxide and</w:t></w:r>
</w:p>
<w:p>
<w:pPr><w:pStyle w:val="Normal"/></w:pPr>
<w:r><w:t xml:space="preserve">dioxide.  The formation of hydrogen is caused by small</w:t></w:r>
</w:p>
<w:p>
<w:pPr><w:pStyle w:val="Normal"/></w:pPr>
<w:r><w:t xml:space="preserve">traces of metallic calcium occasionally found free in the</w:t></w:r>
</w:p>
<w:p>
<w:pPr><w:pStyle w:val="Normal"/></w:pPr>
<w:r><w:t xml:space="preserve">carbide, and cases have been known where this was present in</w:t></w:r>
</w:p>
<w:p>
<w:pPr><w:pStyle w:val="Normal"/></w:pPr>
<w:r><w:t xml:space="preserve">such quantities that the evolved gas contained nearly 20% of</w:t></w:r>
</w:p>
<w:p>
<w:pPr><w:pStyle w:val="Normal"/></w:pPr>
<w:r><w:t xml:space="preserve">hydrogen.  This takes place when in the manufacture of the</w:t></w:r>
</w:p>
<w:p>
<w:pPr><w:pStyle w:val="Normal"/></w:pPr>
<w:r><w:t xml:space="preserve">carbide the material is kept too long in contact with the</w:t></w:r>
</w:p>
<w:p>
<w:pPr><w:pStyle w:val="Normal"/></w:pPr>
<w:r><w:t xml:space="preserve">arc, since this overheating causes the dissociation of</w:t></w:r>
</w:p>
<w:p>
<w:pPr><w:pStyle w:val="Normal"/></w:pPr>
<w:r><w:t xml:space="preserve">some of the calcium carbide and the solution of metallic</w:t></w:r>
</w:p>
<w:p>
<w:pPr><w:pStyle w:val="Normal"/></w:pPr>
<w:r><w:t xml:space="preserve">calcium in the remainder.  The presence of free hydrogen is</w:t></w:r>
</w:p>
<w:p>
<w:pPr><w:pStyle w:val="Normal"/></w:pPr>
<w:r><w:t xml:space="preserve">nearly always accompanied by silicon hydride formed by the</w:t></w:r>
</w:p>
<w:p>
<w:pPr><w:pStyle w:val="Normal"/></w:pPr>
<w:r><w:t xml:space="preserve">combination of the nascent hydrogen with the silicon in the</w:t></w:r>
</w:p>
<w:p>
<w:pPr><w:pStyle w:val="Normal"/></w:pPr>
<w:r><w:t xml:space="preserve">carbide.  The ammonia found in the acetylene is probably partly</w:t></w:r>
</w:p>
<w:p>
<w:pPr><w:pStyle w:val="Normal"/></w:pPr>
<w:r><w:t xml:space="preserve">due to the presence of magnesium nitride in the carbide.</w:t></w:r>
</w:p>
<w:p>
<w:pPr><w:pStyle w:val="Normal"/></w:pPr>
<w:r><w:t xml:space="preserve">On decomposition by water, ammonia is produced by the action</w:t></w:r>
</w:p>
<w:p>
<w:pPr><w:pStyle w:val="Normal"/></w:pPr>
<w:r><w:t xml:space="preserve">of steam or of nascent hydrogen on the nitride, the quantity</w:t></w:r>
</w:p>
<w:p>
<w:pPr><w:pStyle w:val="Normal"/></w:pPr>
<w:r><w:t xml:space="preserve">formed depending very largely upon the temperature at which</w:t></w:r>
</w:p>
<w:p>
<w:pPr><w:pStyle w:val="Normal"/></w:pPr>
<w:r><w:t xml:space="preserve">the carbide is decomposed.  The formation of nitrides and</w:t></w:r>
</w:p>
<w:p>
<w:pPr><w:pStyle w:val="Normal"/></w:pPr>
<w:r><w:t xml:space="preserve">cyanamides by actions of this kind and their easy conversion</w:t></w:r>
</w:p>
<w:p>
<w:pPr><w:pStyle w:val="Normal"/></w:pPr>
<w:r><w:t xml:space="preserve">into ammonia is a useful method for fixing the nitrogen</w:t></w:r>
</w:p>
<w:p>
<w:pPr><w:pStyle w:val="Normal"/></w:pPr>
<w:r><w:t xml:space="preserve">of the atmosphere and rendering it available for manurial</w:t></w:r>
</w:p>
<w:p>
<w:pPr><w:pStyle w:val="Normal"/></w:pPr>
<w:r><w:t xml:space="preserve">purposes. Sulphuretted hydrogen, which is invariably present</w:t></w:r>
</w:p>
<w:p>
<w:pPr><w:pStyle w:val="Normal"/></w:pPr>
<w:r><w:t xml:space="preserve">in commercial acetylene, is formed by the decomposition of</w:t></w:r>
</w:p>
<w:p>
<w:pPr><w:pStyle w:val="Normal"/></w:pPr>
<w:r><w:t xml:space="preserve">aluminium sulphide.  A. Mourlot has shown that aluminium</w:t></w:r>
</w:p>
<w:p>
<w:pPr><w:pStyle w:val="Normal"/></w:pPr>
<w:r><w:t xml:space="preserve">sulphide, zinc sulphide and cadmium sulphide are the only</w:t></w:r>
</w:p>
<w:p>
<w:pPr><w:pStyle w:val="Normal"/></w:pPr>
<w:r><w:t xml:space="preserve">sulphur compounds which can resist the heat of the electric</w:t></w:r>
</w:p>
<w:p>
<w:pPr><w:pStyle w:val="Normal"/></w:pPr>
<w:r><w:t xml:space="preserve">furnace without decomposition or volatilization, and of</w:t></w:r>
</w:p>
<w:p>
<w:pPr><w:pStyle w:val="Normal"/></w:pPr>
<w:r><w:t xml:space="preserve">these aluminium sulphide is the only one which is decomposed</w:t></w:r>
</w:p>
<w:p>
<w:pPr><w:pStyle w:val="Normal"/></w:pPr>
<w:r><w:t xml:space="preserve">by water with the evolution of sulphuretted hydrogen.</w:t></w:r>
</w:p>
<w:p>
<w:pPr><w:pStyle w:val="Normal"/></w:pPr>
<w:r><w:t xml:space="preserve">In the early samples of carbide this compound used to be</w:t></w:r>
</w:p>
<w:p>
<w:pPr><w:pStyle w:val="Normal"/></w:pPr>
<w:r><w:t xml:space="preserve">present in considerable quantity, but now rarely more than</w:t></w:r>
</w:p>
<w:p>
<w:pPr><w:pStyle w:val="Normal"/></w:pPr>
<w:r><w:t xml:space="preserve">1/10 % is to be found.  Phosphuretted hydrogen, one of the</w:t></w:r>
</w:p>
<w:p>
<w:pPr><w:pStyle w:val="Normal"/></w:pPr>
<w:r><w:t xml:space="preserve">most important impurities, which has been blamed for the</w:t></w:r>
</w:p>
<w:p>
<w:pPr><w:pStyle w:val="Normal"/></w:pPr>
<w:r><w:t xml:space="preserve">haze formed by the combustion of acetylene under certain</w:t></w:r>
</w:p>
<w:p>
<w:pPr><w:pStyle w:val="Normal"/></w:pPr>
<w:r><w:t xml:space="preserve">conditions, is produced by the action of water upon traces</w:t></w:r>
</w:p>
<w:p>
<w:pPr><w:pStyle w:val="Normal"/></w:pPr>
<w:r><w:t xml:space="preserve">of calcium phosphide found in carbide.  Although at first it</w:t></w:r>
</w:p>
<w:p>
<w:pPr><w:pStyle w:val="Normal"/></w:pPr>
<w:r><w:t xml:space="preserve">was no uncommon thing to find  1/2% of phosphuretted hydrogen</w:t></w:r>
</w:p>
<w:p>
<w:pPr><w:pStyle w:val="Normal"/></w:pPr>
<w:r><w:t xml:space="preserve">present in the acetylene, this has now been so reduced</w:t></w:r>
</w:p>
<w:p>
<w:pPr><w:pStyle w:val="Normal"/></w:pPr>
<w:r><w:t xml:space="preserve">by the use of pure materials that the quantity is rarely</w:t></w:r>
</w:p>
<w:p>
<w:pPr><w:pStyle w:val="Normal"/></w:pPr>
<w:r><w:t xml:space="preserve">above 0.15%, and it is often not one-fifth of that amount.</w:t></w:r>
</w:p>
<w:p>
<w:pPr><w:pStyle w:val="Normal"/></w:pPr>
<w:r><w:t xml:space="preserve">Generation of acetylene from carbide.</w:t></w:r>
</w:p>
<w:p>
<w:pPr><w:pStyle w:val="Normal"/></w:pPr>
<w:r><w:t xml:space="preserve">In the generation of acetylene from calcium carbide and water,</w:t></w:r>
</w:p>
<w:p>
<w:pPr><w:pStyle w:val="Normal"/></w:pPr>
<w:r><w:t xml:space="preserve">all that has to be done is to bring these two compounds into</w:t></w:r>
</w:p>
<w:p>
<w:pPr><w:pStyle w:val="Normal"/></w:pPr>
<w:r><w:t xml:space="preserve">contact, when they mutually react upon each other with the</w:t></w:r>
</w:p>
<w:p>
<w:pPr><w:pStyle w:val="Normal"/></w:pPr>
<w:r><w:t xml:space="preserve">formation of lime and acetylene, while, if there be sufficient</w:t></w:r>
</w:p>
<w:p>
<w:pPr><w:pStyle w:val="Normal"/></w:pPr>
<w:r><w:t xml:space="preserve">water present, the lime combines with it to form calcium hydrate.</w:t></w:r>
</w:p>
<w:p>
<w:pPr><w:pStyle w:val="Normal"/></w:pPr>
<w:r><w:t xml:space="preserve">Calcium carbide.    Water.       Acetylene.     Lime.</w:t></w:r>
</w:p>
<w:p>
<w:pPr><w:pStyle w:val="Normal"/></w:pPr>
<w:r><w:t xml:space="preserve">CaC2      + H2O =     C2H2  +   CaO</w:t></w:r>
</w:p>
<w:p>
<w:pPr><w:pStyle w:val="Normal"/></w:pPr>
<w:r><w:t xml:space="preserve">Lime.    Water.       Calcium hydrate.</w:t></w:r>
</w:p>
<w:p>
<w:pPr><w:pStyle w:val="Normal"/></w:pPr>
<w:r><w:t xml:space="preserve">CaO   + H2O =       Ca(HO)2</w:t></w:r>
</w:p>
<w:p>
<w:pPr><w:pStyle w:val="Normal"/></w:pPr>
<w:r><w:t xml:space="preserve">The decomposition of the carbide by water may be brought</w:t></w:r>
</w:p>
<w:p>
<w:pPr><w:pStyle w:val="Normal"/></w:pPr>
<w:r><w:t xml:space="preserve">about either by bringing the water slowly into contact with</w:t></w:r>
</w:p>
<w:p>
<w:pPr><w:pStyle w:val="Normal"/></w:pPr>
<w:r><w:t xml:space="preserve">an excess of carbide, or by dropping the carbide into an</w:t></w:r>
</w:p>
<w:p>
<w:pPr><w:pStyle w:val="Normal"/></w:pPr>
<w:r><w:t xml:space="preserve">excess of water, and these two main operations again may</w:t></w:r>
</w:p>
<w:p>
<w:pPr><w:pStyle w:val="Normal"/></w:pPr>
<w:r><w:t xml:space="preserve">be varied by innumerable ingenious devices by which the</w:t></w:r>
</w:p>
<w:p>
<w:pPr><w:pStyle w:val="Normal"/></w:pPr>
<w:r><w:t xml:space="preserve">rapidity of the contact may be modified or even eventually</w:t></w:r>
</w:p>
<w:p>
<w:pPr><w:pStyle w:val="Normal"/></w:pPr>
<w:r><w:t xml:space="preserve">stopped.  The result is that although the forms of apparatus</w:t></w:r>
</w:p>
<w:p>
<w:pPr><w:pStyle w:val="Normal"/></w:pPr>
<w:r><w:t xml:space="preserve">utilized for this purpose are all based on the one fundamental</w:t></w:r>
</w:p>
<w:p>
<w:pPr><w:pStyle w:val="Normal"/></w:pPr>
<w:r><w:t xml:space="preserve">principle of bringing about the contact of the carbide with</w:t></w:r>
</w:p>
<w:p>
<w:pPr><w:pStyle w:val="Normal"/></w:pPr>
<w:r><w:t xml:space="preserve">the water which is to enter into double decomposition with</w:t></w:r>
</w:p>
<w:p>
<w:pPr><w:pStyle w:val="Normal"/></w:pPr>
<w:r><w:t xml:space="preserve">it, they have been multiplied in number to a very large</w:t></w:r>
</w:p>
<w:p>
<w:pPr><w:pStyle w:val="Normal"/></w:pPr>
<w:r><w:t xml:space="preserve">extent by the methods employed in order to ensure control in</w:t></w:r>
</w:p>
<w:p>
<w:pPr><w:pStyle w:val="Normal"/></w:pPr>
<w:r><w:t xml:space="preserve">working, and to get away from the dangers and inconveniences</w:t></w:r>
</w:p>
<w:p>
<w:pPr><w:pStyle w:val="Normal"/></w:pPr>
<w:r><w:t xml:space="preserve">which are inseparable from a too rapid generation.</w:t></w:r>
</w:p>
<w:p>
<w:pPr><w:pStyle w:val="Normal"/></w:pPr>
<w:r><w:t xml:space="preserve">Generators.</w:t></w:r>
</w:p>
<w:p>
<w:pPr><w:pStyle w:val="Normal"/></w:pPr>
<w:r><w:t xml:space="preserve">In attempting to classify acetylene generators some authorities</w:t></w:r>
</w:p>
<w:p>
<w:pPr><w:pStyle w:val="Normal"/></w:pPr>
<w:r><w:t xml:space="preserve">have divided them into as many as six different classes,</w:t></w:r>
</w:p>
<w:p>
<w:pPr><w:pStyle w:val="Normal"/></w:pPr>
<w:r><w:t xml:space="preserve">but this is hardly necessary, as they may be divided into</w:t></w:r>
</w:p>
<w:p>
<w:pPr><w:pStyle w:val="Normal"/></w:pPr>
<w:r><w:t xml:space="preserve">two main classes---first, those in which water is brought in</w:t></w:r>
</w:p>
<w:p>
<w:pPr><w:pStyle w:val="Normal"/></w:pPr>
<w:r><w:t xml:space="preserve">contact with the carbide, the carbide being in excess during</w:t></w:r>
</w:p>
<w:p>
<w:pPr><w:pStyle w:val="Normal"/></w:pPr>
<w:r><w:t xml:space="preserve">the first portion of the operation; and, second, those in</w:t></w:r>
</w:p>
<w:p>
<w:pPr><w:pStyle w:val="Normal"/></w:pPr>
<w:r><w:t xml:space="preserve">which the carbide is thrown into water, the amount of water</w:t></w:r>
</w:p>
<w:p>
<w:pPr><w:pStyle w:val="Normal"/></w:pPr>
<w:r><w:t xml:space="preserve">present being always in excess.  The first class may again</w:t></w:r>
</w:p>
<w:p>
<w:pPr><w:pStyle w:val="Normal"/></w:pPr>
<w:r><w:t xml:space="preserve">be subdivided into generators in which the water rises in</w:t></w:r>
</w:p>
<w:p>
<w:pPr><w:pStyle w:val="Normal"/></w:pPr>
<w:r><w:t xml:space="preserve">contact with the carbide, in which it drips upon the carbide,</w:t></w:r>
</w:p>
<w:p>
<w:pPr><w:pStyle w:val="Normal"/></w:pPr>
<w:r><w:t xml:space="preserve">and in which a vessel full of carbide is lowered into water</w:t></w:r>
</w:p>
<w:p>
<w:pPr><w:pStyle w:val="Normal"/></w:pPr>
<w:r><w:t xml:space="preserve">and again with-drawn as generation becomes excessive.  Some</w:t></w:r>
</w:p>
<w:p>
<w:pPr><w:pStyle w:val="Normal"/></w:pPr>
<w:r><w:t xml:space="preserve">of these generators are constructed to make the gas only</w:t></w:r>
</w:p>
<w:p>
<w:pPr><w:pStyle w:val="Normal"/></w:pPr>
<w:r><w:t xml:space="preserve">as fast as it is consumed at the burner, with the object</w:t></w:r>
</w:p>
<w:p>
<w:pPr><w:pStyle w:val="Normal"/></w:pPr>
<w:r><w:t xml:space="preserve">of saving the expense and room which would be involved by a</w:t></w:r>
</w:p>
<w:p>
<w:pPr><w:pStyle w:val="Normal"/></w:pPr>
<w:r><w:t xml:space="preserve">storage-holder.  Generators with devices for regulating and</w:t></w:r>
</w:p>
<w:p>
<w:pPr><w:pStyle w:val="Normal"/></w:pPr>
<w:r><w:t xml:space="preserve">stopping at will the action going on are generally termed</w:t></w:r>
</w:p>
<w:p>
<w:pPr><w:pStyle w:val="Normal"/></w:pPr>
<w:r><w:t xml:space="preserve">``automatic.&apos;&apos; Another set merely aims at developing the gas</w:t></w:r>
</w:p>
<w:p>
<w:pPr><w:pStyle w:val="Normal"/></w:pPr>
<w:r><w:t xml:space="preserve">from the carbide and putting it into a storageholder with as</w:t></w:r>
</w:p>
<w:p>
<w:pPr><w:pStyle w:val="Normal"/></w:pPr>
<w:r><w:t xml:space="preserve">little loss as possible, and these are termed ``non-automatic.&apos;&apos;</w:t></w:r>
</w:p>
<w:p>
<w:pPr><w:pStyle w:val="Normal"/></w:pPr>
<w:r><w:t xml:space="preserve">The points to be attained in a good generator are:--</w:t></w:r>
</w:p>
<w:p>
<w:pPr><w:pStyle w:val="Normal"/></w:pPr>
<w:r><w:t xml:space="preserve">1. Low temperature of generation.</w:t></w:r>
</w:p>
<w:p>
<w:pPr><w:pStyle w:val="Normal"/></w:pPr>
<w:r><w:t xml:space="preserve">2. Complete decomposition of the carbide.</w:t></w:r>
</w:p>
<w:p>
<w:pPr><w:pStyle w:val="Normal"/></w:pPr>
<w:r><w:t xml:space="preserve">3. Maximum evolution of the gas.</w:t></w:r>
</w:p>
<w:p>
<w:pPr><w:pStyle w:val="Normal"/></w:pPr>
<w:r><w:t xml:space="preserve">4. Low pressure in every part of the apparatus.</w:t></w:r>
</w:p>
<w:p>
<w:pPr><w:pStyle w:val="Normal"/></w:pPr>
<w:r><w:t xml:space="preserve">5. Ease in charging and removal of residues.</w:t></w:r>
</w:p>
<w:p>
<w:pPr><w:pStyle w:val="Normal"/></w:pPr>
<w:r><w:t xml:space="preserve">6. Removal of all air from the apparatus before generation of the gas.</w:t></w:r>
</w:p>
<w:p>
<w:pPr><w:pStyle w:val="Normal"/></w:pPr>
<w:r><w:t xml:space="preserve">When carbide is acted upon by water considerable heat is</w:t></w:r>
</w:p>
<w:p>
<w:pPr><w:pStyle w:val="Normal"/></w:pPr>
<w:r><w:t xml:space="preserve">evolved; indeed, the action develops about one-twentieth of</w:t></w:r>
</w:p>
<w:p>
<w:pPr><w:pStyle w:val="Normal"/></w:pPr>
<w:r><w:t xml:space="preserve">the heat evolved by the combustion of carbon.  As, however,</w:t></w:r>
</w:p>
<w:p>
<w:pPr><w:pStyle w:val="Normal"/></w:pPr>
<w:r><w:t xml:space="preserve">the temperature developed is a function of the time needed</w:t></w:r>
</w:p>
<w:p>
<w:pPr><w:pStyle w:val="Normal"/></w:pPr>
<w:r><w:t xml:space="preserve">to complete the action, the degree of heat attained varies</w:t></w:r>
</w:p>
<w:p>
<w:pPr><w:pStyle w:val="Normal"/></w:pPr>
<w:r><w:t xml:space="preserve">with every form of generator, and while the water in one form</w:t></w:r>
</w:p>
<w:p>
<w:pPr><w:pStyle w:val="Normal"/></w:pPr>
<w:r><w:t xml:space="preserve">may never reach the boiling-point, the carbide in another</w:t></w:r>
</w:p>
<w:p>
<w:pPr><w:pStyle w:val="Normal"/></w:pPr>
<w:r><w:t xml:space="preserve">may become red-hot and give a temperature of over 800 deg.  C.</w:t></w:r>
</w:p>
<w:p>
<w:pPr><w:pStyle w:val="Normal"/></w:pPr>
<w:r><w:t xml:space="preserve">Heating in a generator is not only a source of danger, but</w:t></w:r>
</w:p>
<w:p>
<w:pPr><w:pStyle w:val="Normal"/></w:pPr>
<w:r><w:t xml:space="preserve">also lessens the yield of gas and deteriorates its quality.</w:t></w:r>
</w:p>
<w:p>
<w:pPr><w:pStyle w:val="Normal"/></w:pPr>
<w:r><w:t xml:space="preserve">The best forms of generator are either those in which water</w:t></w:r>
</w:p>
<w:p>
<w:pPr><w:pStyle w:val="Normal"/></w:pPr>
<w:r><w:t xml:space="preserve">rises slowly in contact with the carbide, or the second main</w:t></w:r>
</w:p>
<w:p>
<w:pPr><w:pStyle w:val="Normal"/></w:pPr>
<w:r><w:t xml:space="preserve">division in which the carbide falls into excess of water.</w:t></w:r>
</w:p>
<w:p>
<w:pPr><w:pStyle w:val="Normal"/></w:pPr>
<w:r><w:t xml:space="preserve">Purification</w:t></w:r>
</w:p>
<w:p>
<w:pPr><w:pStyle w:val="Normal"/></w:pPr>
<w:r><w:t xml:space="preserve">It is clear that acetylene, if it is to be used on a large</w:t></w:r>
</w:p>
<w:p>
<w:pPr><w:pStyle w:val="Normal"/></w:pPr>
<w:r><w:t xml:space="preserve">scale as a domestic illuminant, must undergo such processes</w:t></w:r>
</w:p>
<w:p>
<w:pPr><w:pStyle w:val="Normal"/></w:pPr>
<w:r><w:t xml:space="preserve">of purification as will render it harmless and innocuous</w:t></w:r>
</w:p>
<w:p>
<w:pPr><w:pStyle w:val="Normal"/></w:pPr>
<w:r><w:t xml:space="preserve">to health and property, and the sooner it is recognized as</w:t></w:r>
</w:p>
<w:p>
<w:pPr><w:pStyle w:val="Normal"/></w:pPr>
<w:r><w:t xml:space="preserve">absolutely essential to purify acetylene before consuming it</w:t></w:r>
</w:p>
<w:p>
<w:pPr><w:pStyle w:val="Normal"/></w:pPr>
<w:r><w:t xml:space="preserve">the sooner will the gas acquire the popularity it deserves.</w:t></w:r>
</w:p>
<w:p>
<w:pPr><w:pStyle w:val="Normal"/></w:pPr>
<w:r><w:t xml:space="preserve">The only one of the impurities which offers any difficulty</w:t></w:r>
</w:p>
<w:p>
<w:pPr><w:pStyle w:val="Normal"/></w:pPr>
<w:r><w:t xml:space="preserve">in removal is the phosphuretted hydrogen.  There are three</w:t></w:r>
</w:p>
<w:p>
<w:pPr><w:pStyle w:val="Normal"/></w:pPr>
<w:r><w:t xml:space="preserve">substances which can be relied on more or less to remove</w:t></w:r>
</w:p>
<w:p>
<w:pPr><w:pStyle w:val="Normal"/></w:pPr>
<w:r><w:t xml:space="preserve">this compound, and the gas to be purified may be passed</w:t></w:r>
</w:p>
<w:p>
<w:pPr><w:pStyle w:val="Normal"/></w:pPr>
<w:r><w:t xml:space="preserve">either through acid copper salts, through bleaching powder</w:t></w:r>
</w:p>
<w:p>
<w:pPr><w:pStyle w:val="Normal"/></w:pPr>
<w:r><w:t xml:space="preserve">or through chromic acid.  In experiments with those various</w:t></w:r>
</w:p>
<w:p>
<w:pPr><w:pStyle w:val="Normal"/></w:pPr>
<w:r><w:t xml:space="preserve">bodies it is found that they are all of them effective in</w:t></w:r>
</w:p>
<w:p>
<w:pPr><w:pStyle w:val="Normal"/></w:pPr>
<w:r><w:t xml:space="preserve">also ridding the acetylene of the ammonia and sulphuretted</w:t></w:r>
</w:p>
<w:p>
<w:pPr><w:pStyle w:val="Normal"/></w:pPr>
<w:r><w:t xml:space="preserve">hydrogen, provided only that the surface area presented to</w:t></w:r>
</w:p>
<w:p>
<w:pPr><w:pStyle w:val="Normal"/></w:pPr>
<w:r><w:t xml:space="preserve">the gas is sufficiently large.  The method of washing the gas</w:t></w:r>
</w:p>
<w:p>
<w:pPr><w:pStyle w:val="Normal"/></w:pPr>
<w:r><w:t xml:space="preserve">with acid solutions of copper has been patented by A. Frank</w:t></w:r>
</w:p>
<w:p>
<w:pPr><w:pStyle w:val="Normal"/></w:pPr>
<w:r><w:t xml:space="preserve">of Charlottenburg, who finds that a concentrated solution</w:t></w:r>
</w:p>
<w:p>
<w:pPr><w:pStyle w:val="Normal"/></w:pPr>
<w:r><w:t xml:space="preserve">of cuprous chloride in an acid, the liquid being made into</w:t></w:r>
</w:p>
<w:p>
<w:pPr><w:pStyle w:val="Normal"/></w:pPr>
<w:r><w:t xml:space="preserve">a paste with kieselguhr, is the most effective. Where the</w:t></w:r>
</w:p>
<w:p>
<w:pPr><w:pStyle w:val="Normal"/></w:pPr>
<w:r><w:t xml:space="preserve">production of acetylene is going on on a small scale this</w:t></w:r>
</w:p>
<w:p>
<w:pPr><w:pStyle w:val="Normal"/></w:pPr>
<w:r><w:t xml:space="preserve">method of purification is undoubtedly the most convenient</w:t></w:r>
</w:p>
<w:p>
<w:pPr><w:pStyle w:val="Normal"/></w:pPr>
<w:r><w:t xml:space="preserve">one, as the acid present absorbs the ammonia, and the copper</w:t></w:r>
</w:p>
<w:p>
<w:pPr><w:pStyle w:val="Normal"/></w:pPr>
<w:r><w:t xml:space="preserve">salt converts the phosphuretted and sulphuretted hydrogen</w:t></w:r>
</w:p>
<w:p>
<w:pPr><w:pStyle w:val="Normal"/></w:pPr>
<w:r><w:t xml:space="preserve">into phosphates and sulphides.  The vessel, however, which</w:t></w:r>
</w:p>
<w:p>
<w:pPr><w:pStyle w:val="Normal"/></w:pPr>
<w:r><w:t xml:space="preserve">contains this mixture has to be of earthenware, porcelain</w:t></w:r>
</w:p>
<w:p>
<w:pPr><w:pStyle w:val="Normal"/></w:pPr>
<w:r><w:t xml:space="preserve">or enamelled iron on account of the free acid present; the</w:t></w:r>
</w:p>
<w:p>
<w:pPr><w:pStyle w:val="Normal"/></w:pPr>
<w:r><w:t xml:space="preserve">gas must be washed after purification to remove traces of</w:t></w:r>
</w:p>
<w:p>
<w:pPr><w:pStyle w:val="Normal"/></w:pPr>
<w:r><w:t xml:space="preserve">hydrochloric acid, and care must be taken to prevent the</w:t></w:r>
</w:p>
<w:p>
<w:pPr><w:pStyle w:val="Normal"/></w:pPr>
<w:r><w:t xml:space="preserve">complete neutralization of the acid by the ammonia present</w:t></w:r>
</w:p>
<w:p>
<w:pPr><w:pStyle w:val="Normal"/></w:pPr>
<w:r><w:t xml:space="preserve">in the gas. The second process is one patented by Fritz</w:t></w:r>
</w:p>
<w:p>
<w:pPr><w:pStyle w:val="Normal"/></w:pPr>
<w:r><w:t xml:space="preserve">Ullmann of Geneva, who utilizes chromic acid to oxidize</w:t></w:r>
</w:p>
<w:p>
<w:pPr><w:pStyle w:val="Normal"/></w:pPr>
<w:r><w:t xml:space="preserve">the phosphuretted and sulphuretted hydrogen and absorb the</w:t></w:r>
</w:p>
<w:p>
<w:pPr><w:pStyle w:val="Normal"/></w:pPr>
<w:r><w:t xml:space="preserve">ammonia, and this method of purification has proved the most</w:t></w:r>
</w:p>
<w:p>
<w:pPr><w:pStyle w:val="Normal"/></w:pPr>
<w:r><w:t xml:space="preserve">successful in practice, the chromic acid being absorbed by</w:t></w:r>
</w:p>
<w:p>
<w:pPr><w:pStyle w:val="Normal"/></w:pPr>
<w:r><w:t xml:space="preserve">kieselguhr and the material sold under the name of ``Heratol.&apos;&apos;</w:t></w:r>
</w:p>
<w:p>
<w:pPr><w:pStyle w:val="Normal"/></w:pPr>
<w:r><w:t xml:space="preserve">The third process owes its inception to G. Lunge, who</w:t></w:r>
</w:p>
<w:p>
<w:pPr><w:pStyle w:val="Normal"/></w:pPr>
<w:r><w:t xml:space="preserve">recommends the use of bleaching powder.  Dr P. Wolff has found</w:t></w:r>
</w:p>
<w:p>
<w:pPr><w:pStyle w:val="Normal"/></w:pPr>
<w:r><w:t xml:space="preserve">that when this is used on the large scale there is a risk</w:t></w:r>
</w:p>
<w:p>
<w:pPr><w:pStyle w:val="Normal"/></w:pPr>
<w:r><w:t xml:space="preserve">of the ammonia present in the acetylene forming traces of</w:t></w:r>
</w:p>
<w:p>
<w:pPr><w:pStyle w:val="Normal"/></w:pPr>
<w:r><w:t xml:space="preserve">chloride of nitrogen in the purifying-boxes, and as this is</w:t></w:r>
</w:p>
<w:p>
<w:pPr><w:pStyle w:val="Normal"/></w:pPr>
<w:r><w:t xml:space="preserve">a compound which detonates with considerable local force,</w:t></w:r>
</w:p>
<w:p>
<w:pPr><w:pStyle w:val="Normal"/></w:pPr>
<w:r><w:t xml:space="preserve">it occasionally gives rise to explosions in the purifying</w:t></w:r>
</w:p>
<w:p>
<w:pPr><w:pStyle w:val="Normal"/></w:pPr>
<w:r><w:t xml:space="preserve">apparatus.  If, however, the gas be first passed through</w:t></w:r>
</w:p>
<w:p>
<w:pPr><w:pStyle w:val="Normal"/></w:pPr>
<w:r><w:t xml:space="preserve">a scrubber so as to wash out the ammonia this danger is</w:t></w:r>
</w:p>
<w:p>
<w:pPr><w:pStyle w:val="Normal"/></w:pPr>
<w:r><w:t xml:space="preserve">avoided.  Dr Wolff employs purifiers in which the gas is</w:t></w:r>
</w:p>
<w:p>
<w:pPr><w:pStyle w:val="Normal"/></w:pPr>
<w:r><w:t xml:space="preserve">washed with water containing calcium chloride, and then passed</w:t></w:r>
</w:p>
<w:p>
<w:pPr><w:pStyle w:val="Normal"/></w:pPr>
<w:r><w:t xml:space="preserve">through bleaching-powder solution or other oxidizing material.</w:t></w:r>
</w:p>
<w:p>
<w:pPr><w:pStyle w:val="Normal"/></w:pPr>
<w:r><w:t xml:space="preserve">When acetylene is burnt from a 000 union jet burner, at all</w:t></w:r>
</w:p>
<w:p>
<w:pPr><w:pStyle w:val="Normal"/></w:pPr>
<w:r><w:t xml:space="preserve">ordinary pressures a smoky flame is obtained, but on the</w:t></w:r>
</w:p>
<w:p>
<w:pPr><w:pStyle w:val="Normal"/></w:pPr>
<w:r><w:t xml:space="preserve">pressure being increased to 4 inches a magnificent flame</w:t></w:r>
</w:p>
<w:p>
<w:pPr><w:pStyle w:val="Normal"/></w:pPr>
<w:r><w:t xml:space="preserve">results, free from smoke, and developing an illuminating</w:t></w:r>
</w:p>
<w:p>
<w:pPr><w:pStyle w:val="Normal"/></w:pPr>
<w:r><w:t xml:space="preserve">value of 240 candles per 5 cubic feet of gas consumed.</w:t></w:r>
</w:p>
<w:p>
<w:pPr><w:pStyle w:val="Normal"/></w:pPr>
<w:r><w:t xml:space="preserve">Slightly higher values have been obtained, but 240 may</w:t></w:r>
</w:p>
<w:p>
<w:pPr><w:pStyle w:val="Normal"/></w:pPr>
<w:r><w:t xml:space="preserve">be taken as the average value under these conditions.</w:t></w:r>
</w:p>
<w:p>
<w:pPr><w:pStyle w:val="Normal"/></w:pPr>
<w:r><w:t xml:space="preserve">Burners.</w:t></w:r>
</w:p>
<w:p>
<w:pPr><w:pStyle w:val="Normal"/></w:pPr>
<w:r><w:t xml:space="preserve">When acetylene was first introduced as a commercial illuminant</w:t></w:r>
</w:p>
<w:p>
<w:pPr><w:pStyle w:val="Normal"/></w:pPr>
<w:r><w:t xml:space="preserve">in England, very small union jet nipples were utilized for</w:t></w:r>
</w:p>
<w:p>
<w:pPr><w:pStyle w:val="Normal"/></w:pPr>
<w:r><w:t xml:space="preserve">its consumption, but after burning for a short time these</w:t></w:r>
</w:p>
<w:p>
<w:pPr><w:pStyle w:val="Normal"/></w:pPr>
<w:r><w:t xml:space="preserve">nipples began to carbonize, the flame being distorted, and</w:t></w:r>
</w:p>
<w:p>
<w:pPr><w:pStyle w:val="Normal"/></w:pPr>
<w:r><w:t xml:space="preserve">then smoking occurred with the formation of a heavy deposit of</w:t></w:r>
</w:p>
<w:p>
<w:pPr><w:pStyle w:val="Normal"/></w:pPr>
<w:r><w:t xml:space="preserve">soot.  While these troubles were being experienced in England,</w:t></w:r>
</w:p>
<w:p>
<w:pPr><w:pStyle w:val="Normal"/></w:pPr>
<w:r><w:t xml:space="preserve">attempts had been made in America to use acetylene diluted</w:t></w:r>
</w:p>
<w:p>
<w:pPr><w:pStyle w:val="Normal"/></w:pPr>
<w:r><w:t xml:space="preserve">with a certain proportion of air which permitted it to be</w:t></w:r>
</w:p>
<w:p>
<w:pPr><w:pStyle w:val="Normal"/></w:pPr>
<w:r><w:t xml:space="preserve">burnt in ordinary flat flame nipples; but the danger of such</w:t></w:r>
</w:p>
<w:p>
<w:pPr><w:pStyle w:val="Normal"/></w:pPr>
<w:r><w:t xml:space="preserve">admixture being recognized, nipples of the same class as</w:t></w:r>
</w:p>
<w:p>
<w:pPr><w:pStyle w:val="Normal"/></w:pPr>
<w:r><w:t xml:space="preserve">those used in England were employed, and the same troubles</w:t></w:r>
</w:p>
<w:p>
<w:pPr><w:pStyle w:val="Normal"/></w:pPr>
<w:r><w:t xml:space="preserve">ensued.  In France, single jets made of glass were first</w:t></w:r>
</w:p>
<w:p>
<w:pPr><w:pStyle w:val="Normal"/></w:pPr>
<w:r><w:t xml:space="preserve">employed, and then P. Resener, H. Luchaire, G. Ragot and</w:t></w:r>
</w:p>
<w:p>
<w:pPr><w:pStyle w:val="Normal"/></w:pPr>
<w:r><w:t xml:space="preserve">others made burners in which two jets of acetylene, coming</w:t></w:r>
</w:p>
<w:p>
<w:pPr><w:pStyle w:val="Normal"/></w:pPr>
<w:r><w:t xml:space="preserve">from two tubes placed some little distance apart, impinged</w:t></w:r>
</w:p>
<w:p>
<w:pPr><w:pStyle w:val="Normal"/></w:pPr>
<w:r><w:t xml:space="preserve">and splayed each other out into a butterfly flame.  Soon</w:t></w:r>
</w:p>
<w:p>
<w:pPr><w:pStyle w:val="Normal"/></w:pPr>
<w:r><w:t xml:space="preserve">afterwards, J. S. Billwiller introduced the idea of sucking</w:t></w:r>
</w:p>
<w:p>
<w:pPr><w:pStyle w:val="Normal"/></w:pPr>
<w:r><w:t xml:space="preserve">air into the flame at or just below the burner tip, and at</w:t></w:r>
</w:p>
<w:p>
<w:pPr><w:pStyle w:val="Normal"/></w:pPr>
<w:r><w:t xml:space="preserve">this juncture the Naphey or Dolan burner was introduced in</w:t></w:r>
</w:p>
<w:p>
<w:pPr><w:pStyle w:val="Normal"/></w:pPr>
<w:r><w:t xml:space="preserve">America, the principle employed being to use two small and</w:t></w:r>
</w:p>
<w:p>
<w:pPr><w:pStyle w:val="Normal"/></w:pPr>
<w:r><w:t xml:space="preserve">widely separated jets instead of the two openings of the</w:t></w:r>
</w:p>
<w:p>
<w:pPr><w:pStyle w:val="Normal"/></w:pPr>
<w:r><w:t xml:space="preserve">union jet burner, and to make each a minute bunsen, the</w:t></w:r>
</w:p>
<w:p>
<w:pPr><w:pStyle w:val="Normal"/></w:pPr>
<w:r><w:t xml:space="preserve">acetylene dragging in from the base of the nipple enough air</w:t></w:r>
</w:p>
<w:p>
<w:pPr><w:pStyle w:val="Normal"/></w:pPr>
<w:r><w:t xml:space="preserve">to surround and protect it while burning from contact with the</w:t></w:r>
</w:p>
<w:p>
<w:pPr><w:pStyle w:val="Normal"/></w:pPr>
<w:r><w:t xml:space="preserve">steatite.  This class of burner forms a basis on which all</w:t></w:r>
</w:p>
<w:p>
<w:pPr><w:pStyle w:val="Normal"/></w:pPr>
<w:r><w:t xml:space="preserve">the later constructions of burner have been founded, but had</w:t></w:r>
</w:p>
<w:p>
<w:pPr><w:pStyle w:val="Normal"/></w:pPr>
<w:r><w:t xml:space="preserve">the drawback that if the flame was turned low, insufficient</w:t></w:r>
</w:p>
<w:p>
<w:pPr><w:pStyle w:val="Normal"/></w:pPr>
<w:r><w:t xml:space="preserve">air to prevent carbonization of the burner tips was drawn</w:t></w:r>
</w:p>
<w:p>
<w:pPr><w:pStyle w:val="Normal"/></w:pPr>
<w:r><w:t xml:space="preserve">in, owing to the reduced flow of gas.  This fault has</w:t></w:r>
</w:p>
<w:p>
<w:pPr><w:pStyle w:val="Normal"/></w:pPr>
<w:r><w:t xml:space="preserve">now been reduced by a cage of steatite round the burner</w:t></w:r>
</w:p>
<w:p>
<w:pPr><w:pStyle w:val="Normal"/></w:pPr>
<w:r><w:t xml:space="preserve">tip, which draws in sufficient air to prevent deposition.</w:t></w:r>
</w:p>
<w:p>
<w:pPr><w:pStyle w:val="Normal"/></w:pPr>
<w:r><w:t xml:space="preserve">Oxy-acetylene blowpipe.  When acetylene was first introduced</w:t></w:r>
</w:p>
<w:p>
<w:pPr><w:pStyle w:val="Normal"/></w:pPr>
<w:r><w:t xml:space="preserve">on a commercial scale attempts were made to utilize its</w:t></w:r>
</w:p>
<w:p>
<w:pPr><w:pStyle w:val="Normal"/></w:pPr>
<w:r><w:t xml:space="preserve">great heat of combustion by using it in conjunction with</w:t></w:r>
</w:p>
<w:p>
<w:pPr><w:pStyle w:val="Normal"/></w:pPr>
<w:r><w:t xml:space="preserve">oxygen in the oxyhydrogen blowpipe.  It was found, however,</w:t></w:r>
</w:p>
<w:p>
<w:pPr><w:pStyle w:val="Normal"/></w:pPr>
<w:r><w:t xml:space="preserve">that when  using acetylene under low pressures, the burner</w:t></w:r>
</w:p>
<w:p>
<w:pPr><w:pStyle w:val="Normal"/></w:pPr>
<w:r><w:t xml:space="preserve">tip became so heated as to cause the decomposition of some</w:t></w:r>
</w:p>
<w:p>
<w:pPr><w:pStyle w:val="Normal"/></w:pPr>
<w:r><w:t xml:space="preserve">of the gas before combustion, the jet being choked up by</w:t></w:r>
</w:p>
<w:p>
<w:pPr><w:pStyle w:val="Normal"/></w:pPr>
<w:r><w:t xml:space="preserve">the carbon which deposited in a very dense form; and as the</w:t></w:r>
</w:p>
<w:p>
<w:pPr><w:pStyle w:val="Normal"/></w:pPr>
<w:r><w:t xml:space="preserve">use of acetylene under pressures greater than one hundred</w:t></w:r>
</w:p>
<w:p>
<w:pPr><w:pStyle w:val="Normal"/></w:pPr>
<w:r><w:t xml:space="preserve">inches of water was prohibited, no advance was made in this</w:t></w:r>
</w:p>
<w:p>
<w:pPr><w:pStyle w:val="Normal"/></w:pPr>
<w:r><w:t xml:space="preserve">direction. The introduction of acetylene dissolved under</w:t></w:r>
</w:p>
<w:p>
<w:pPr><w:pStyle w:val="Normal"/></w:pPr>
<w:r><w:t xml:space="preserve">pressure in acetone contained in cylinders filled with</w:t></w:r>
</w:p>
<w:p>
<w:pPr><w:pStyle w:val="Normal"/></w:pPr>
<w:r><w:t xml:space="preserve">porous material drew attention again to this use of the</w:t></w:r>
</w:p>
<w:p>
<w:pPr><w:pStyle w:val="Normal"/></w:pPr>
<w:r><w:t xml:space="preserve">gas, and by using a special construction of blowpipe an</w:t></w:r>
</w:p>
<w:p>
<w:pPr><w:pStyle w:val="Normal"/></w:pPr>
<w:r><w:t xml:space="preserve">oxy-acetylene flame is produced, which is far hotter than the</w:t></w:r>
</w:p>
<w:p>
<w:pPr><w:pStyle w:val="Normal"/></w:pPr>
<w:r><w:t xml:space="preserve">oxy-hydrogen flame, and at the same time is so reducing in</w:t></w:r>
</w:p>
<w:p>
<w:pPr><w:pStyle w:val="Normal"/></w:pPr>
<w:r><w:t xml:space="preserve">its character that it can be used for the direct autogenous</w:t></w:r>
</w:p>
<w:p>
<w:pPr><w:pStyle w:val="Normal"/></w:pPr>
<w:r><w:t xml:space="preserve">welding of steel and many minor metallurgical processes.</w:t></w:r>
</w:p>
<w:p>
<w:pPr><w:pStyle w:val="Normal"/></w:pPr>
<w:r><w:t xml:space="preserve">REFERENCES.---F.  H. Leeds and W. A. Butterfield, Calcium</w:t></w:r>
</w:p>
<w:p>
<w:pPr><w:pStyle w:val="Normal"/></w:pPr>
<w:r><w:t xml:space="preserve">Carbide and Acetylene (1903); F. Dommer, L&apos;Acetylene et</w:t></w:r>
</w:p>
<w:p>
<w:pPr><w:pStyle w:val="Normal"/></w:pPr>
<w:r><w:t xml:space="preserve">ses applications (1896); V. B. Lewes, Acetylene (1900);</w:t></w:r>
</w:p>
<w:p>
<w:pPr><w:pStyle w:val="Normal"/></w:pPr>
<w:r><w:t xml:space="preserve">F. Liebetanz, Calcium-carbid und Acetylen (1899); G.</w:t></w:r>
</w:p>
<w:p>
<w:pPr><w:pStyle w:val="Normal"/></w:pPr>
<w:r><w:t xml:space="preserve">Pelissier, L&apos;Eclairage a l&apos;acetylene (1897); C. de</w:t></w:r>
</w:p>
<w:p>
<w:pPr><w:pStyle w:val="Normal"/></w:pPr>
<w:r><w:t xml:space="preserve">Perrodil, Le carbure de calcium et l&apos;acetylene (1897).</w:t></w:r>
</w:p>
<w:p>
<w:pPr><w:pStyle w:val="Normal"/></w:pPr>
<w:r><w:t xml:space="preserve">For a complete list of the various papers and memoirs on</w:t></w:r>
</w:p>
<w:p>
<w:pPr><w:pStyle w:val="Normal"/></w:pPr>
<w:r><w:t xml:space="preserve">Acetylene, see A. Ludwig&apos;s Fuhrer durch die gesammte</w:t></w:r>
</w:p>
<w:p>
<w:pPr><w:pStyle w:val="Normal"/></w:pPr>
<w:r><w:t xml:space="preserve">Calcium carbid-und-Acetylen-Literatur, Berlin. (V. B. L.)</w:t></w:r>
</w:p>
<w:p>
<w:pPr><w:pStyle w:val="Normal"/></w:pPr>
<w:r><w:t xml:space="preserve">ACHAEA, a district on the northern coast of the Peloponnese,</w:t></w:r>
</w:p>
<w:p>
<w:pPr><w:pStyle w:val="Normal"/></w:pPr>
<w:r><w:t xml:space="preserve">stretching from the mountain ranges of Erymanthus and</w:t></w:r>
</w:p>
<w:p>
<w:pPr><w:pStyle w:val="Normal"/></w:pPr>
<w:r><w:t xml:space="preserve">Cyllene on the S. to a narrow strip of fertile land on the</w:t></w:r>
</w:p>
<w:p>
<w:pPr><w:pStyle w:val="Normal"/></w:pPr>
<w:r><w:t xml:space="preserve">N., bordering the Corinthian Gulf, into which the mountain</w:t></w:r>
</w:p>
<w:p>
<w:pPr><w:pStyle w:val="Normal"/></w:pPr>
<w:r><w:t xml:space="preserve">Panachaicus projects.  Achaea is bounded on the W. by the</w:t></w:r>
</w:p>
<w:p>
<w:pPr><w:pStyle w:val="Normal"/></w:pPr>
<w:r><w:t xml:space="preserve">territory of Elis, on the E. by that of Sicyon, which,</w:t></w:r>
</w:p>
<w:p>
<w:pPr><w:pStyle w:val="Normal"/></w:pPr>
<w:r><w:t xml:space="preserve">however, was sometimes included in it.  The origin of the</w:t></w:r>
</w:p>
<w:p>
<w:pPr><w:pStyle w:val="Normal"/></w:pPr>
<w:r><w:t xml:space="preserve">name has given rise to much speculation; the current theory</w:t></w:r>
</w:p>
<w:p>
<w:pPr><w:pStyle w:val="Normal"/></w:pPr>
<w:r><w:t xml:space="preserve">is that the Achaeans (q.v.) were driven back into this</w:t></w:r>
</w:p>
<w:p>
<w:pPr><w:pStyle w:val="Normal"/></w:pPr>
<w:r><w:t xml:space="preserve">region by the Dorian invaders of the Peloponnese.  Another</w:t></w:r>
</w:p>
<w:p>
<w:pPr><w:pStyle w:val="Normal"/></w:pPr>
<w:r><w:t xml:space="preserve">Achaea, in the south of Thessaly, called sometimes Achaea</w:t></w:r>
</w:p>
<w:p>
<w:pPr><w:pStyle w:val="Normal"/></w:pPr>
<w:r><w:t xml:space="preserve">Phthiotis, has been supposed to be the cradle of the</w:t></w:r>
</w:p>
<w:p>
<w:pPr><w:pStyle w:val="Normal"/></w:pPr>
<w:r><w:t xml:space="preserve">race.  In Roman times the name of the province of Achaea was</w:t></w:r>
</w:p>
<w:p>
<w:pPr><w:pStyle w:val="Normal"/></w:pPr>
<w:r><w:t xml:space="preserve">given to the whole of Greece, except Thessaly, Epirus, and</w:t></w:r>
</w:p>
<w:p>
<w:pPr><w:pStyle w:val="Normal"/></w:pPr>
<w:r><w:t xml:space="preserve">Acarnania.  Herodotus (i. 145) mentions the twelve cities Of</w:t></w:r>
</w:p>
<w:p>
<w:pPr><w:pStyle w:val="Normal"/></w:pPr>
<w:r><w:t xml:space="preserve">Achaea; three met as a religious confederacy in the temple</w:t></w:r>
</w:p>
<w:p>
<w:pPr><w:pStyle w:val="Normal"/></w:pPr>
<w:r><w:t xml:space="preserve">of Poseidon Heliconius at Helice; for their later history</w:t></w:r>
</w:p>
<w:p>
<w:pPr><w:pStyle w:val="Normal"/></w:pPr>
<w:r><w:t xml:space="preserve">see ACHAEAN LEAGUE. During the middle ages, after the</w:t></w:r>
</w:p>
<w:p>
<w:pPr><w:pStyle w:val="Normal"/></w:pPr>
<w:r><w:t xml:space="preserve">Latin conquest of the Eastern Empire, Achaea was a Latin</w:t></w:r>
</w:p>
<w:p>
<w:pPr><w:pStyle w:val="Normal"/></w:pPr>
<w:r><w:t xml:space="preserve">principality, the first prince being William de Champlitte (d.</w:t></w:r>
</w:p>
<w:p>
<w:pPr><w:pStyle w:val="Normal"/></w:pPr>
<w:r><w:t xml:space="preserve">1209). It survived, with various dismemberments, until 1430,</w:t></w:r>
</w:p>
<w:p>
<w:pPr><w:pStyle w:val="Normal"/></w:pPr>
<w:r><w:t xml:space="preserve">when the last prince, Centurione Zaccaria, ceded the remnant</w:t></w:r>
</w:p>
<w:p>
<w:pPr><w:pStyle w:val="Normal"/></w:pPr>
<w:r><w:t xml:space="preserve">of it to his son-in-law, Theodorus II., despot of Mistra.</w:t></w:r>
</w:p>
<w:p>
<w:pPr><w:pStyle w:val="Normal"/></w:pPr>
<w:r><w:t xml:space="preserve">In 1460 it was conquered, with the rest of the Morea, by the</w:t></w:r>
</w:p>
<w:p>
<w:pPr><w:pStyle w:val="Normal"/></w:pPr>
<w:r><w:t xml:space="preserve">Turks.  In modern times the coast of Achaea is mainly given</w:t></w:r>
</w:p>
<w:p>
<w:pPr><w:pStyle w:val="Normal"/></w:pPr>
<w:r><w:t xml:space="preserve">up to the currant industry; the currants are shipped from</w:t></w:r>
</w:p>
<w:p>
<w:pPr><w:pStyle w:val="Normal"/></w:pPr>
<w:r><w:t xml:space="preserve">Patras, the second town of Greece, and from Aegion (Vostitza).</w:t></w:r>
</w:p>
<w:p>
<w:pPr><w:pStyle w:val="Normal"/></w:pPr>
<w:r><w:t xml:space="preserve">ACHAEAN LEAGUE, a confederation of the ancient towns of</w:t></w:r>
</w:p>
<w:p>
<w:pPr><w:pStyle w:val="Normal"/></w:pPr>
<w:r><w:t xml:space="preserve">Achaea.  Standing isolated on their narrow strips of plain,</w:t></w:r>
</w:p>
<w:p>
<w:pPr><w:pStyle w:val="Normal"/></w:pPr>
<w:r><w:t xml:space="preserve">these towns were always exposed to the raids of pirates</w:t></w:r>
</w:p>
<w:p>
<w:pPr><w:pStyle w:val="Normal"/></w:pPr>
<w:r><w:t xml:space="preserve">issuing from the recesses of the north coast of the Corinthian</w:t></w:r>
</w:p>
<w:p>
<w:pPr><w:pStyle w:val="Normal"/></w:pPr>
<w:r><w:t xml:space="preserve">Gulf.  It was no doubt as a protection against such dangers</w:t></w:r>
</w:p>
<w:p>
<w:pPr><w:pStyle w:val="Normal"/></w:pPr>
<w:r><w:t xml:space="preserve">that the earliest league of twelve Achaean cities arose,</w:t></w:r>
</w:p>
<w:p>
<w:pPr><w:pStyle w:val="Normal"/></w:pPr>
<w:r><w:t xml:space="preserve">though we are nowhere explicitly informed of its functions</w:t></w:r>
</w:p>
<w:p>
<w:pPr><w:pStyle w:val="Normal"/></w:pPr>
<w:r><w:t xml:space="preserve">other than the common worship of Zeus Amarius at Aegium and</w:t></w:r>
</w:p>
<w:p>
<w:pPr><w:pStyle w:val="Normal"/></w:pPr>
<w:r><w:t xml:space="preserve">an occasional arbitration between Greek belligerents.  Its</w:t></w:r>
</w:p>
<w:p>
<w:pPr><w:pStyle w:val="Normal"/></w:pPr>
<w:r><w:t xml:space="preserve">importance grew in the 4th century, when we find it fighting</w:t></w:r>
</w:p>
<w:p>
<w:pPr><w:pStyle w:val="Normal"/></w:pPr>
<w:r><w:t xml:space="preserve">in the Theban wars (368-362 B.C.), against Philip (338) and</w:t></w:r>
</w:p>
<w:p>
<w:pPr><w:pStyle w:val="Normal"/></w:pPr>
<w:r><w:t xml:space="preserve">Antipater (330).  About 288 Antigonus Gonatas dissolved the</w:t></w:r>
</w:p>
<w:p>
<w:pPr><w:pStyle w:val="Normal"/></w:pPr>
<w:r><w:t xml:space="preserve">league, which had furnished a useful base for pretenders</w:t></w:r>
</w:p>
<w:p>
<w:pPr><w:pStyle w:val="Normal"/></w:pPr>
<w:r><w:t xml:space="preserve">against Cassander&apos;s regency; but by 280 four towns combined</w:t></w:r>
</w:p>
<w:p>
<w:pPr><w:pStyle w:val="Normal"/></w:pPr>
<w:r><w:t xml:space="preserve">again, and before long the ten surviving cities of Achaea</w:t></w:r>
</w:p>
<w:p>
<w:pPr><w:pStyle w:val="Normal"/></w:pPr>
<w:r><w:t xml:space="preserve">had renewed their federation. Antigonus&apos; preoccupation</w:t></w:r>
</w:p>
<w:p>
<w:pPr><w:pStyle w:val="Normal"/></w:pPr>
<w:r><w:t xml:space="preserve">during the Celtic invasions, Sparta&apos;s prostration after</w:t></w:r>
</w:p>
<w:p>
<w:pPr><w:pStyle w:val="Normal"/></w:pPr>
<w:r><w:t xml:space="preserve">the Chremonidean campaigns, the wealth amassed by Achaean</w:t></w:r>
</w:p>
<w:p>
<w:pPr><w:pStyle w:val="Normal"/></w:pPr>
<w:r><w:t xml:space="preserve">adventurers abroad and the subsidies of Egypt, the standing</w:t></w:r>
</w:p>
<w:p>
<w:pPr><w:pStyle w:val="Normal"/></w:pPr>
<w:r><w:t xml:space="preserve">foe of Macedonia, all enhanced the league&apos;s importance.</w:t></w:r>
</w:p>
<w:p>
<w:pPr><w:pStyle w:val="Normal"/></w:pPr>
<w:r><w:t xml:space="preserve">Most of all did it profit by the statesmanship of Aratus</w:t></w:r>
</w:p>
<w:p>
<w:pPr><w:pStyle w:val="Normal"/></w:pPr>
<w:r><w:t xml:space="preserve">(q.v.), who initiated its expansive policy, until in</w:t></w:r>
</w:p>
<w:p>
<w:pPr><w:pStyle w:val="Normal"/></w:pPr>
<w:r><w:t xml:space="preserve">228 it comprised Arcadia, Argolis, Corinth and Aegina.</w:t></w:r>
</w:p>
<w:p>
<w:pPr><w:pStyle w:val="Normal"/></w:pPr>
<w:r><w:t xml:space="preserve">Aratus probably also organized the new federal constitution,</w:t></w:r>
</w:p>
<w:p>
<w:pPr><w:pStyle w:val="Normal"/></w:pPr>
<w:r><w:t xml:space="preserve">the character of which, owing to the scanty and somewhat</w:t></w:r>
</w:p>
<w:p>
<w:pPr><w:pStyle w:val="Normal"/></w:pPr>
<w:r><w:t xml:space="preserve">perplexing nature of our evidence, we can only approximately</w:t></w:r>
</w:p>
<w:p>
<w:pPr><w:pStyle w:val="Normal"/></w:pPr>
<w:r><w:t xml:space="preserve">determine.  The league embraced an indefinite number of</w:t></w:r>
</w:p>
<w:p>
<w:pPr><w:pStyle w:val="Normal"/></w:pPr>
<w:r><w:t xml:space="preserve">city-states which maintained their internal independence</w:t></w:r>
</w:p>
<w:p>
<w:pPr><w:pStyle w:val="Normal"/></w:pPr>
<w:r><w:t xml:space="preserve">practically undiminished, and through their several</w:t></w:r>
</w:p>
<w:p>
<w:pPr><w:pStyle w:val="Normal"/></w:pPr>
<w:r><w:t xml:space="preserve">magistrates, assemblies and law-courts exercised all</w:t></w:r>
</w:p>
<w:p>
<w:pPr><w:pStyle w:val="Normal"/></w:pPr>
<w:r><w:t xml:space="preserve">traditional powers of self-government.  Only in matters of</w:t></w:r>
</w:p>
<w:p>
<w:pPr><w:pStyle w:val="Normal"/></w:pPr>
<w:r><w:t xml:space="preserve">foreign politics and war was their competence restricted.</w:t></w:r>
</w:p>
<w:p>
<w:pPr><w:pStyle w:val="Normal"/></w:pPr>
<w:r><w:t xml:space="preserve">The central government, like that of the constituent</w:t></w:r>
</w:p>
<w:p>
<w:pPr><w:pStyle w:val="Normal"/></w:pPr>
<w:r><w:t xml:space="preserve">cities, was of a democratic cast.  The chief legislative</w:t></w:r>
</w:p>
<w:p>
<w:pPr><w:pStyle w:val="Normal"/></w:pPr>
<w:r><w:t xml:space="preserve">powers resided in a popular assembly in which every member</w:t></w:r>
</w:p>
<w:p>
<w:pPr><w:pStyle w:val="Normal"/></w:pPr>
<w:r><w:t xml:space="preserve">of the league over thirty years of age could speak and</w:t></w:r>
</w:p>
<w:p>
<w:pPr><w:pStyle w:val="Normal"/></w:pPr>
<w:r><w:t xml:space="preserve">vote.  This body met for three days in spring and autumn at</w:t></w:r>
</w:p>
<w:p>
<w:pPr><w:pStyle w:val="Normal"/></w:pPr>
<w:r><w:t xml:space="preserve">Aegium to discuss the league&apos;s policy and elect the federal</w:t></w:r>
</w:p>
<w:p>
<w:pPr><w:pStyle w:val="Normal"/></w:pPr>
<w:r><w:t xml:space="preserve">magistrates.  Whatever the number of its attendant burgesses,</w:t></w:r>
</w:p>
<w:p>
<w:pPr><w:pStyle w:val="Normal"/></w:pPr>
<w:r><w:t xml:space="preserve">each city counted but one on a division.  Extraordinary</w:t></w:r>
</w:p>
<w:p>
<w:pPr><w:pStyle w:val="Normal"/></w:pPr>
<w:r><w:t xml:space="preserve">assemblies could be convoked at any time or place on special</w:t></w:r>
</w:p>
<w:p>
<w:pPr><w:pStyle w:val="Normal"/></w:pPr>
<w:r><w:t xml:space="preserve">emergencies.  A council of 120 unpaid delegates, selected from</w:t></w:r>
</w:p>
<w:p>
<w:pPr><w:pStyle w:val="Normal"/></w:pPr>
<w:r><w:t xml:space="preserve">the local councils, served partly as a committee for preparing</w:t></w:r>
</w:p>
<w:p>
<w:pPr><w:pStyle w:val="Normal"/></w:pPr>
<w:r><w:t xml:space="preserve">the assembly&apos;s programme, partly as an administrative board</w:t></w:r>
</w:p>
<w:p>
<w:pPr><w:pStyle w:val="Normal"/></w:pPr>
<w:r><w:t xml:space="preserve">which received embassies, arbitrated between contending cities</w:t></w:r>
</w:p>
<w:p>
<w:pPr><w:pStyle w:val="Normal"/></w:pPr>
<w:r><w:t xml:space="preserve">and exercised penal jurisdiction over offenders against the</w:t></w:r>
</w:p>
<w:p>
<w:pPr><w:pStyle w:val="Normal"/></w:pPr>
<w:r><w:t xml:space="preserve">constitution.  But perhaps some of these duties concerned</w:t></w:r>
</w:p>
<w:p>
<w:pPr><w:pStyle w:val="Normal"/></w:pPr>
<w:r><w:t xml:space="preserve">the dicastae and gerousia, whose functions are nowhere</w:t></w:r>
</w:p>
<w:p>
<w:pPr><w:pStyle w:val="Normal"/></w:pPr>
<w:r><w:t xml:space="preserve">described.  The chief magistracy was the strategia (tenable</w:t></w:r>
</w:p>
<w:p>
<w:pPr><w:pStyle w:val="Normal"/></w:pPr>
<w:r><w:t xml:space="preserve">every second year), which combined with an unrestricted command</w:t></w:r>
</w:p>
<w:p>
<w:pPr><w:pStyle w:val="Normal"/></w:pPr>
<w:r><w:t xml:space="preserve">in the field a large measure of civil authority. Besides</w:t></w:r>
</w:p>
<w:p>
<w:pPr><w:pStyle w:val="Normal"/></w:pPr>
<w:r><w:t xml:space="preserve">being authorized to veto motions, the strategus (general) had</w:t></w:r>
</w:p>
<w:p>
<w:pPr><w:pStyle w:val="Normal"/></w:pPr>
<w:r><w:t xml:space="preserve">practically the sole power of introducing measures before the</w:t></w:r>
</w:p>
<w:p>
<w:pPr><w:pStyle w:val="Normal"/></w:pPr>
<w:r><w:t xml:space="preserve">assembly.  The ten elective demiurgi, who presided over this</w:t></w:r>
</w:p>
<w:p>
<w:pPr><w:pStyle w:val="Normal"/></w:pPr>
<w:r><w:t xml:space="preserve">body, formed a kind of cabinet, and pethaps acted as departmental</w:t></w:r>
</w:p>
<w:p>
<w:pPr><w:pStyle w:val="Normal"/></w:pPr>
<w:r><w:t xml:space="preserve">chiefs.  We also hear of an under-strategus, a secretary, a</w:t></w:r>
</w:p>
<w:p>
<w:pPr><w:pStyle w:val="Normal"/></w:pPr>
<w:r><w:t xml:space="preserve">cavalry commander and an admiral.  All these higher officers</w:t></w:r>
</w:p>
<w:p>
<w:pPr><w:pStyle w:val="Normal"/></w:pPr>
<w:r><w:t xml:space="preserve">were unpaid.  Philopoemen (q.v.) transferred the seat of</w:t></w:r>
</w:p>
<w:p>
<w:pPr><w:pStyle w:val="Normal"/></w:pPr>
<w:r><w:t xml:space="preserve">assembly from town to town by rotation, and placed dependent</w:t></w:r>
</w:p>
<w:p>
<w:pPr><w:pStyle w:val="Normal"/></w:pPr>
<w:r><w:t xml:space="preserve">communities on an equal footing with their former suzerains.</w:t></w:r>
</w:p>
<w:p>
<w:pPr><w:pStyle w:val="Normal"/></w:pPr>
<w:r><w:t xml:space="preserve">The league prescribed uniform laws, standards and coinage; it summoned</w:t></w:r>
</w:p>
<w:p>
<w:pPr><w:pStyle w:val="Normal"/></w:pPr>
<w:r><w:t xml:space="preserve">contingents, imposed taxes and fined or coerced refractory members.</w:t></w:r>
</w:p>
<w:p>
<w:pPr><w:pStyle w:val="Normal"/></w:pPr>
<w:r><w:t xml:space="preserve">The first federal wars were directed against Macedonia; in</w:t></w:r>
</w:p>
<w:p>
<w:pPr><w:pStyle w:val="Normal"/></w:pPr>
<w:r><w:t xml:space="preserve">266-263 the league fought in the Chremonidean league, in</w:t></w:r>
</w:p>
<w:p>
<w:pPr><w:pStyle w:val="Normal"/></w:pPr>
<w:r><w:t xml:space="preserve">243-241 against Antigonus Gonatas and Aetolia, between 239</w:t></w:r>
</w:p>
<w:p>
<w:pPr><w:pStyle w:val="Normal"/></w:pPr>
<w:r><w:t xml:space="preserve">and 229 with Aetolia against Demetrius.  A greater danger</w:t></w:r>
</w:p>
<w:p>
<w:pPr><w:pStyle w:val="Normal"/></w:pPr>
<w:r><w:t xml:space="preserve">arose (227-223) from the attacks of Cleomenes III. (q.v.).</w:t></w:r>
</w:p>
<w:p>
<w:pPr><w:pStyle w:val="Normal"/></w:pPr>
<w:r><w:t xml:space="preserve">Owing to Aratus&apos;s irresolute generalship, the indolence of</w:t></w:r>
</w:p>
<w:p>
<w:pPr><w:pStyle w:val="Normal"/></w:pPr>
<w:r><w:t xml:space="preserve">the rich burghers and the inadequate provision for levying</w:t></w:r>
</w:p>
<w:p>
<w:pPr><w:pStyle w:val="Normal"/></w:pPr>
<w:r><w:t xml:space="preserve">troops and paying mercenaries, the league lost several battles</w:t></w:r>
</w:p>
<w:p>
<w:pPr><w:pStyle w:val="Normal"/></w:pPr>
<w:r><w:t xml:space="preserve">and much of its territory; but rather than compromise with</w:t></w:r>
</w:p>
<w:p>
<w:pPr><w:pStyle w:val="Normal"/></w:pPr>
<w:r><w:t xml:space="preserve">the Spartan Gracchus the assembly negotiated with Antigonus</w:t></w:r>
</w:p>
<w:p>
<w:pPr><w:pStyle w:val="Normal"/></w:pPr>
<w:r><w:t xml:space="preserve">Doson, who recovered the lost districts but retained Corinth</w:t></w:r>
</w:p>
<w:p>
<w:pPr><w:pStyle w:val="Normal"/></w:pPr>
<w:r><w:t xml:space="preserve">for himself (223-221). Similarly the Achaeans could not</w:t></w:r>
</w:p>
<w:p>
<w:pPr><w:pStyle w:val="Normal"/></w:pPr>
<w:r><w:t xml:space="preserve">check the incursions of Aetolian adventurers in 220-218,</w:t></w:r>
</w:p>
<w:p>
<w:pPr><w:pStyle w:val="Normal"/></w:pPr>
<w:r><w:t xml:space="preserve">and when Philip V. came to the rescue he made them tributary</w:t></w:r>
</w:p>
<w:p>
<w:pPr><w:pStyle w:val="Normal"/></w:pPr>
<w:r><w:t xml:space="preserve">and annexed much of the Peloponnese. Under Philopoemen the</w:t></w:r>
</w:p>
<w:p>
<w:pPr><w:pStyle w:val="Normal"/></w:pPr>
<w:r><w:t xml:space="preserve">league with a reorganized army routed the Aetolians (210)</w:t></w:r>
</w:p>
<w:p>
<w:pPr><w:pStyle w:val="Normal"/></w:pPr>
<w:r><w:t xml:space="preserve">and Spartans (207, 201).  After their benevolent neutrality</w:t></w:r>
</w:p>
<w:p>
<w:pPr><w:pStyle w:val="Normal"/></w:pPr>
<w:r><w:t xml:space="preserve">during the Macedonian war the Roman general, T. Quinctius</w:t></w:r>
</w:p>
<w:p>
<w:pPr><w:pStyle w:val="Normal"/></w:pPr>
<w:r><w:t xml:space="preserve">Flamininus, restored all their lost possessions and sanctioned</w:t></w:r>
</w:p>
<w:p>
<w:pPr><w:pStyle w:val="Normal"/></w:pPr>
<w:r><w:t xml:space="preserve">the incorporation of Sparta and Messene (191), thus bringing</w:t></w:r>
</w:p>
<w:p>
<w:pPr><w:pStyle w:val="Normal"/></w:pPr>
<w:r><w:t xml:space="preserve">the entire Peloponnese under Achaean control.  The league</w:t></w:r>
</w:p>
<w:p>
<w:pPr><w:pStyle w:val="Normal"/></w:pPr>
<w:r><w:t xml:space="preserve">even sent troops to Pergamum against Antiochus (190).</w:t></w:r>
</w:p>
<w:p>
<w:pPr><w:pStyle w:val="Normal"/></w:pPr>
<w:r><w:t xml:space="preserve">The annexation of Aetolia and Zacynthus was forbidden by</w:t></w:r>
</w:p>
<w:p>
<w:pPr><w:pStyle w:val="Normal"/></w:pPr>
<w:r><w:t xml:space="preserve">Rome.  Moreover, Sparta and Messene always remained unwilling</w:t></w:r>
</w:p>
<w:p>
<w:pPr><w:pStyle w:val="Normal"/></w:pPr>
<w:r><w:t xml:space="preserve">members.  After Philopoemen&apos;s death the aristocrats initiated a</w:t></w:r>
</w:p>
<w:p>
<w:pPr><w:pStyle w:val="Normal"/></w:pPr>
<w:r><w:t xml:space="preserve">strongly philo-Roman policy, declared war against King Perseus</w:t></w:r>
</w:p>
<w:p>
<w:pPr><w:pStyle w:val="Normal"/></w:pPr>
<w:r><w:t xml:space="preserve">and denounced all sympathizers with Macedonia. This agitation</w:t></w:r>
</w:p>
<w:p>
<w:pPr><w:pStyle w:val="Normal"/></w:pPr>
<w:r><w:t xml:space="preserve">induced the Romans to deport 1000 prominent Achaeans, and,</w:t></w:r>
</w:p>
<w:p>
<w:pPr><w:pStyle w:val="Normal"/></w:pPr>
<w:r><w:t xml:space="preserve">failing proof of treason against Rome, to detain them seventeen</w:t></w:r>
</w:p>
<w:p>
<w:pPr><w:pStyle w:val="Normal"/></w:pPr>
<w:r><w:t xml:space="preserve">years.  These hostages, when restored in 150, swelled the</w:t></w:r>
</w:p>
<w:p>
<w:pPr><w:pStyle w:val="Normal"/></w:pPr>
<w:r><w:t xml:space="preserve">ranks of the proletariate opposition, whose leaders, to</w:t></w:r>
</w:p>
<w:p>
<w:pPr><w:pStyle w:val="Normal"/></w:pPr>
<w:r><w:t xml:space="preserve">cover their maladministration at home, precipitated a war</w:t></w:r>
</w:p>
<w:p>
<w:pPr><w:pStyle w:val="Normal"/></w:pPr>
<w:r><w:t xml:space="preserve">by attacking Sparta in defiance of Rome.  The federal troops</w:t></w:r>
</w:p>
<w:p>
<w:pPr><w:pStyle w:val="Normal"/></w:pPr>
<w:r><w:t xml:space="preserve">were routed in central Greece by Q. Caecilius Metellus</w:t></w:r>
</w:p>
<w:p>
<w:pPr><w:pStyle w:val="Normal"/></w:pPr>
<w:r><w:t xml:space="preserve">Masedonicus, and again near Corinth by L. Mummius Achaicus</w:t></w:r>
</w:p>
<w:p>
<w:pPr><w:pStyle w:val="Normal"/></w:pPr>
<w:r><w:t xml:space="preserve">(146). The Romans now dissolved the league (in effect, if not</w:t></w:r>
</w:p>
<w:p>
<w:pPr><w:pStyle w:val="Normal"/></w:pPr>
<w:r><w:t xml:space="preserve">in name), and took measures to isolate the communities (see</w:t></w:r>
</w:p>
<w:p>
<w:pPr><w:pStyle w:val="Normal"/></w:pPr>
<w:r><w:t xml:space="preserve">POLYBIUS). Augustus instituted an Achaean synod comprising</w:t></w:r>
</w:p>
<w:p>
<w:pPr><w:pStyle w:val="Normal"/></w:pPr>
<w:r><w:t xml:space="preserve">the dependent cities of Peloponnese and central Greece; this</w:t></w:r>
</w:p>
<w:p>
<w:pPr><w:pStyle w:val="Normal"/></w:pPr>
<w:r><w:t xml:space="preserve">body sat at Argos and acted as guardian of Hellenic sentiment.</w:t></w:r>
</w:p>
<w:p>
<w:pPr><w:pStyle w:val="Normal"/></w:pPr>
<w:r><w:t xml:space="preserve">The chief defect of the league lay in its lack of proper</w:t></w:r>
</w:p>
<w:p>
<w:pPr><w:pStyle w:val="Normal"/></w:pPr>
<w:r><w:t xml:space="preserve">provision for securing efficient armies and regular</w:t></w:r>
</w:p>
<w:p>
<w:pPr><w:pStyle w:val="Normal"/></w:pPr>
<w:r><w:t xml:space="preserve">payment of imposts, and for dealing with disaffected</w:t></w:r>
</w:p>
<w:p>
<w:pPr><w:pStyle w:val="Normal"/></w:pPr>
<w:r><w:t xml:space="preserve">members.  Moreover, owing to difficulties of travel, the</w:t></w:r>
</w:p>
<w:p>
<w:pPr><w:pStyle w:val="Normal"/></w:pPr>
<w:r><w:t xml:space="preserve">assembly and magistracies were practically monopolized</w:t></w:r>
</w:p>
<w:p>
<w:pPr><w:pStyle w:val="Normal"/></w:pPr>
<w:r><w:t xml:space="preserve">by the rich, who shaped the federal policy in their own</w:t></w:r>
</w:p>
<w:p>
<w:pPr><w:pStyle w:val="Normal"/></w:pPr>
<w:r><w:t xml:space="preserve">interest.  But their rule was mostly judicious, and when at</w:t></w:r>
</w:p>
<w:p>
<w:pPr><w:pStyle w:val="Normal"/></w:pPr>
<w:r><w:t xml:space="preserve">last they lost control the ensuing mob-rule soon ruined the</w:t></w:r>
</w:p>
<w:p>
<w:pPr><w:pStyle w:val="Normal"/></w:pPr>
<w:r><w:t xml:space="preserve">country.  On the other hand, it is the glory of the Achaean</w:t></w:r>
</w:p>
<w:p>
<w:pPr><w:pStyle w:val="Normal"/></w:pPr>
<w:r><w:t xml:space="preserve">league to have combined city autonomy with an organized</w:t></w:r>
</w:p>
<w:p>
<w:pPr><w:pStyle w:val="Normal"/></w:pPr>
<w:r><w:t xml:space="preserve">central administration, and in this way to have postponed</w:t></w:r>
</w:p>
<w:p>
<w:pPr><w:pStyle w:val="Normal"/></w:pPr>
<w:r><w:t xml:space="preserve">the entire destruction of Greek liberty for over a century.</w:t></w:r>
</w:p>
<w:p>
<w:pPr><w:pStyle w:val="Normal"/></w:pPr>
<w:r><w:t xml:space="preserve">CHIEF SOURCES.--Polybius (esp. bks. ii., iv., v., xxiii.,</w:t></w:r>
</w:p>
<w:p>
<w:pPr><w:pStyle w:val="Normal"/></w:pPr>
<w:r><w:t xml:space="preserve">xxviii.),who is followed by Livy (bks. xxxii.-xxxv.,</w:t></w:r>
</w:p>
<w:p>
<w:pPr><w:pStyle w:val="Normal"/></w:pPr>
<w:r><w:t xml:space="preserve">xxxviii., &amp;c.); Pausanias vii. 9-24; Strabo viii. 384; F.</w:t></w:r>
</w:p>
<w:p>
<w:pPr><w:pStyle w:val="Normal"/></w:pPr>
<w:r><w:t xml:space="preserve">Freeman, Federal Government, i. (ed. 1893, London), chs.</w:t></w:r>
</w:p>
<w:p>
<w:pPr><w:pStyle w:val="Normal"/></w:pPr>
<w:r><w:t xml:space="preserve">v.-ix.; M. Dubois, Les lignes Etolienne et Acheenne</w:t></w:r>
</w:p>
<w:p>
<w:pPr><w:pStyle w:val="Normal"/></w:pPr>
<w:r><w:t xml:space="preserve">(Paris, 1885); A. Holm, Greek History, iv.; G. Hertzberg,</w:t></w:r>
</w:p>
<w:p>
<w:pPr><w:pStyle w:val="Normal"/></w:pPr>
<w:r><w:t xml:space="preserve">Geschichte Griechenlands unter den Romern, i. (Leipzig,</w:t></w:r>
</w:p>
<w:p>
<w:pPr><w:pStyle w:val="Normal"/></w:pPr>
<w:r><w:t xml:space="preserve">1866); L. Warren, Greek Federal Coinage (London, 1863); E.</w:t></w:r>
</w:p>
<w:p>
<w:pPr><w:pStyle w:val="Normal"/></w:pPr>
<w:r><w:t xml:space="preserve">Hicks, Greek Historical Inscriptions (Oxford, 1892),</w:t></w:r>
</w:p>
<w:p>
<w:pPr><w:pStyle w:val="Normal"/></w:pPr>
<w:r><w:t xml:space="preserve">169, 187, 198, 201; W.. Dittenberger, Sylloge Inscriptionunn</w:t></w:r>
</w:p>
<w:p>
<w:pPr><w:pStyle w:val="Normal"/></w:pPr>
<w:r><w:t xml:space="preserve">Graecarum (Leipzig, 1898--1901), 236, 282, 316; H. Francotte</w:t></w:r>
</w:p>
<w:p>
<w:pPr><w:pStyle w:val="Normal"/></w:pPr>
<w:r><w:t xml:space="preserve">in Musee Belge (1906), pp. 4-20.  See also art. ROME,</w:t></w:r>
</w:p>
<w:p>
<w:pPr><w:pStyle w:val="Normal"/></w:pPr>
<w:r><w:t xml:space="preserve">History, ii. ``The Republic,&apos;&apos; sect.  B(b). (M. O. B. C.)</w:t></w:r>
</w:p>
<w:p>
<w:pPr><w:pStyle w:val="Normal"/></w:pPr>
<w:r><w:t xml:space="preserve">ACHAEANS (&apos;Achaioi, Lat. Achivi), one of the four</w:t></w:r>
</w:p>
<w:p>
<w:pPr><w:pStyle w:val="Normal"/></w:pPr>
<w:r><w:t xml:space="preserve">chief divisions of the ancient greek peoples, descended,</w:t></w:r>
</w:p>
<w:p>
<w:pPr><w:pStyle w:val="Normal"/></w:pPr>
<w:r><w:t xml:space="preserve">according to legend, from Achaeus, son of Xuthus, son of</w:t></w:r>
</w:p>
<w:p>
<w:pPr><w:pStyle w:val="Normal"/></w:pPr>
<w:r><w:t xml:space="preserve">Hellen.  This Hesiodic genealogy connects the Achaeans closely</w:t></w:r>
</w:p>
<w:p>
<w:pPr><w:pStyle w:val="Normal"/></w:pPr>
<w:r><w:t xml:space="preserve">with the Ionians, but historically they approach nearer to</w:t></w:r>
</w:p>
<w:p>
<w:pPr><w:pStyle w:val="Normal"/></w:pPr>
<w:r><w:t xml:space="preserve">the Aeolians. Some even hold that Aeolus is only a form of</w:t></w:r>
</w:p>
<w:p>
<w:pPr><w:pStyle w:val="Normal"/></w:pPr>
<w:r><w:t xml:space="preserve">Achaeus.  In the Homeric poems (1000 B.C.) the Achaeans</w:t></w:r>
</w:p>
<w:p>
<w:pPr><w:pStyle w:val="Normal"/></w:pPr>
<w:r><w:t xml:space="preserve">are the master race in Greece; they are represented both in</w:t></w:r>
</w:p>
<w:p>
<w:pPr><w:pStyle w:val="Normal"/></w:pPr>
<w:r><w:t xml:space="preserve">Homer and in all later traditions as having come into Greece</w:t></w:r>
</w:p>
<w:p>
<w:pPr><w:pStyle w:val="Normal"/></w:pPr>
<w:r><w:t xml:space="preserve">about three generations before the Trojan war (1184 B.C.),</w:t></w:r>
</w:p>
<w:p>
<w:pPr><w:pStyle w:val="Normal"/></w:pPr>
<w:r><w:t xml:space="preserve">i.e. about 1300 B.C. They found the land occupied by a</w:t></w:r>
</w:p>
<w:p>
<w:pPr><w:pStyle w:val="Normal"/></w:pPr>
<w:r><w:t xml:space="preserve">people known by the ancients as Pelasgians, who continued</w:t></w:r>
</w:p>
<w:p>
<w:pPr><w:pStyle w:val="Normal"/></w:pPr>
<w:r><w:t xml:space="preserve">down to classical times the main element in the population</w:t></w:r>
</w:p>
<w:p>
<w:pPr><w:pStyle w:val="Normal"/></w:pPr>
<w:r><w:t xml:space="preserve">even in the states under Achaean and later under Dorian rule.</w:t></w:r>
</w:p>
<w:p>
<w:pPr><w:pStyle w:val="Normal"/></w:pPr>
<w:r><w:t xml:space="preserve">In some cases it formed a serf class, e.g. the Penestae in</w:t></w:r>
</w:p>
<w:p>
<w:pPr><w:pStyle w:val="Normal"/></w:pPr>
<w:r><w:t xml:space="preserve">Thessaly, the Helots in Laconia and the Gymnesii at Argos,</w:t></w:r>
</w:p>
<w:p>
<w:pPr><w:pStyle w:val="Normal"/></w:pPr>
<w:r><w:t xml:space="preserve">whilst it practically composed the whole population of Arcadia</w:t></w:r>
</w:p>
<w:p>
<w:pPr><w:pStyle w:val="Normal"/></w:pPr>
<w:r><w:t xml:space="preserve">and Attica, which never came under either Achaean or Dorian</w:t></w:r>
</w:p>
<w:p>
<w:pPr><w:pStyle w:val="Normal"/></w:pPr>
<w:r><w:t xml:space="preserve">rule.  This people had dwelt in the Aegean from the Stone</w:t></w:r>
</w:p>
<w:p>
<w:pPr><w:pStyle w:val="Normal"/></w:pPr>
<w:r><w:t xml:space="preserve">Age, and, though still in the Bronze Age at the Achaean</w:t></w:r>
</w:p>
<w:p>
<w:pPr><w:pStyle w:val="Normal"/></w:pPr>
<w:r><w:t xml:space="preserve">conquest, had made great advances in the useful and ornamental</w:t></w:r>
</w:p>
<w:p>
<w:pPr><w:pStyle w:val="Normal"/></w:pPr>
<w:r><w:t xml:space="preserve">arts.  They were of short stature, with dark hair and eyes,</w:t></w:r>
</w:p>
<w:p>
<w:pPr><w:pStyle w:val="Normal"/></w:pPr>
<w:r><w:t xml:space="preserve">and generally dolichocephalic.  Their chief centres were</w:t></w:r>
</w:p>
<w:p>
<w:pPr><w:pStyle w:val="Normal"/></w:pPr>
<w:r><w:t xml:space="preserve">at Cnossus (Crete), in Argolis, Laconia and Attica, in each</w:t></w:r>
</w:p>
<w:p>
<w:pPr><w:pStyle w:val="Normal"/></w:pPr>
<w:r><w:t xml:space="preserve">being ruled by ancient lines of kings.  In Argolis Proetus</w:t></w:r>
</w:p>
<w:p>
<w:pPr><w:pStyle w:val="Normal"/></w:pPr>
<w:r><w:t xml:space="preserve">built Tiryns, but later, under Perseus, Mycenae took the</w:t></w:r>
</w:p>
<w:p>
<w:pPr><w:pStyle w:val="Normal"/></w:pPr>
<w:r><w:t xml:space="preserve">lead until the Achaean conquest.  All the ancient dynasties</w:t></w:r>
</w:p>
<w:p>
<w:pPr><w:pStyle w:val="Normal"/></w:pPr>
<w:r><w:t xml:space="preserve">traced their descent from Poseidon, who at the time of the</w:t></w:r>
</w:p>
<w:p>
<w:pPr><w:pStyle w:val="Normal"/></w:pPr>
<w:r><w:t xml:space="preserve">Achaean conquest was the chief male divinity of Greece and the</w:t></w:r>
</w:p>
<w:p>
<w:pPr><w:pStyle w:val="Normal"/></w:pPr>
<w:r><w:t xml:space="preserve">islands.  The Pelasgians probably spoke an Indo-European</w:t></w:r>
</w:p>
<w:p>
<w:pPr><w:pStyle w:val="Normal"/></w:pPr>
<w:r><w:t xml:space="preserve">language adopted by their conquerors with slight modifications.</w:t></w:r>
</w:p>
<w:p>
<w:pPr><w:pStyle w:val="Normal"/></w:pPr>
<w:r><w:t xml:space="preserve">(See further PELASGIANS for a discussion of other views.)</w:t></w:r>
</w:p>
<w:p>
<w:pPr><w:pStyle w:val="Normal"/></w:pPr>
<w:r><w:t xml:space="preserve">The Achaeans, on the other hand, were tall, fair-haired and</w:t></w:r>
</w:p>
<w:p>
<w:pPr><w:pStyle w:val="Normal"/></w:pPr>
<w:r><w:t xml:space="preserve">grey-eyed, and their chiefs traced their descent from Zeus,</w:t></w:r>
</w:p>
<w:p>
<w:pPr><w:pStyle w:val="Normal"/></w:pPr>
<w:r><w:t xml:space="preserve">Who with the Hyperborean Apollo was their chief male divinity.</w:t></w:r>
</w:p>
<w:p>
<w:pPr><w:pStyle w:val="Normal"/></w:pPr>
<w:r><w:t xml:space="preserve">They first appear at Dodona, whence they crossed Pindus into</w:t></w:r>
</w:p>
<w:p>
<w:pPr><w:pStyle w:val="Normal"/></w:pPr>
<w:r><w:t xml:space="preserve">Phthiotis.  The leaders of the Achaean invasion were Pelops,</w:t></w:r>
</w:p>
<w:p>
<w:pPr><w:pStyle w:val="Normal"/></w:pPr>
<w:r><w:t xml:space="preserve">who took possession of Elis, and Aeacus, who became master</w:t></w:r>
</w:p>
<w:p>
<w:pPr><w:pStyle w:val="Normal"/></w:pPr>
<w:r><w:t xml:space="preserve">of Aegina and was said to have introduced there the worship</w:t></w:r>
</w:p>
<w:p>
<w:pPr><w:pStyle w:val="Normal"/></w:pPr>
<w:r><w:t xml:space="preserve">of Zeus Panhellenius, whose cult was also set up at Olympia.</w:t></w:r>
</w:p>
<w:p>
<w:pPr><w:pStyle w:val="Normal"/></w:pPr>
<w:r><w:t xml:space="preserve">They brought with them iron, which they used for their long</w:t></w:r>
</w:p>
<w:p>
<w:pPr><w:pStyle w:val="Normal"/></w:pPr>
<w:r><w:t xml:space="preserve">swords and for their cutting implements; the costume of both</w:t></w:r>
</w:p>
<w:p>
<w:pPr><w:pStyle w:val="Normal"/></w:pPr>
<w:r><w:t xml:space="preserve">sexes was distinct from that of the Pelasgians; they used</w:t></w:r>
</w:p>
<w:p>
<w:pPr><w:pStyle w:val="Normal"/></w:pPr>
<w:r><w:t xml:space="preserve">round shields with a central boss instead of the 8-shaped</w:t></w:r>
</w:p>
<w:p>
<w:pPr><w:pStyle w:val="Normal"/></w:pPr>
<w:r><w:t xml:space="preserve">or rectaogular shields of the latter; they fastened their</w:t></w:r>
</w:p>
<w:p>
<w:pPr><w:pStyle w:val="Normal"/></w:pPr>
<w:r><w:t xml:space="preserve">garments with brooches, and burned their dead instead of</w:t></w:r>
</w:p>
<w:p>
<w:pPr><w:pStyle w:val="Normal"/></w:pPr>
<w:r><w:t xml:space="preserve">burying them as did the Pelasgians.  They introduced a special</w:t></w:r>
</w:p>
<w:p>
<w:pPr><w:pStyle w:val="Normal"/></w:pPr>
<w:r><w:t xml:space="preserve">style of ornament (``geometric&apos;&apos;) instead of that of the</w:t></w:r>
</w:p>
<w:p>
<w:pPr><w:pStyle w:val="Normal"/></w:pPr>
<w:r><w:t xml:space="preserve">Bronze Age, characterized by spirals and marine animals and</w:t></w:r>
</w:p>
<w:p>
<w:pPr><w:pStyle w:val="Normal"/></w:pPr>
<w:r><w:t xml:space="preserve">plants.  The Achaeans, or Hellenes, as they were later</w:t></w:r>
</w:p>
<w:p>
<w:pPr><w:pStyle w:val="Normal"/></w:pPr>
<w:r><w:t xml:space="preserve">termed, were on this hypothesis one of the fair-haired tribes</w:t></w:r>
</w:p>
<w:p>
<w:pPr><w:pStyle w:val="Normal"/></w:pPr>
<w:r><w:t xml:space="preserve">of upper Europe known to the ancients as Keltoi (Celts),</w:t></w:r>
</w:p>
<w:p>
<w:pPr><w:pStyle w:val="Normal"/></w:pPr>
<w:r><w:t xml:space="preserve">who from time to time have pressed down over the Alps into</w:t></w:r>
</w:p>
<w:p>
<w:pPr><w:pStyle w:val="Normal"/></w:pPr>
<w:r><w:t xml:space="preserve">the southern lands, successively as Achaeans, Gauls, Goths</w:t></w:r>
</w:p>
<w:p>
<w:pPr><w:pStyle w:val="Normal"/></w:pPr>
<w:r><w:t xml:space="preserve">and Franks, and after the conquest of the indigenous small</w:t></w:r>
</w:p>
<w:p>
<w:pPr><w:pStyle w:val="Normal"/></w:pPr>
<w:r><w:t xml:space="preserve">dark race in no long time died out under climatic conditions</w:t></w:r>
</w:p>
<w:p>
<w:pPr><w:pStyle w:val="Normal"/></w:pPr>
<w:r><w:t xml:space="preserve">fatal to their physique and morale.  The culture of the</w:t></w:r>
</w:p>
<w:p>
<w:pPr><w:pStyle w:val="Normal"/></w:pPr>
<w:r><w:t xml:space="preserve">Homeric Achaeans corresponds to a large extent with that</w:t></w:r>
</w:p>
<w:p>
<w:pPr><w:pStyle w:val="Normal"/></w:pPr>
<w:r><w:t xml:space="preserve">of the early Iron Age of the upper Danube (Hallstatt)</w:t></w:r>
</w:p>
<w:p>
<w:pPr><w:pStyle w:val="Normal"/></w:pPr>
<w:r><w:t xml:space="preserve">and to the early Iron Age of upper Italy (Villanova).</w:t></w:r>
</w:p>
<w:p>
<w:pPr><w:pStyle w:val="Normal"/></w:pPr>
<w:r><w:t xml:space="preserve">See W. Ridgeway, The Early Age of Greece (1901), for a</w:t></w:r>
</w:p>
<w:p>
<w:pPr><w:pStyle w:val="Normal"/></w:pPr>
<w:r><w:t xml:space="preserve">detailed discussion of the evidence; articles by Ridgeway</w:t></w:r>
</w:p>
<w:p>
<w:pPr><w:pStyle w:val="Normal"/></w:pPr>
<w:r><w:t xml:space="preserve">and J. L. Myres in the Classical Review, vol. xvi. 1902,</w:t></w:r>
</w:p>
<w:p>
<w:pPr><w:pStyle w:val="Normal"/></w:pPr>
<w:r><w:t xml:space="preserve">pp. 68-93, 135. See also J. B. Bury&apos;s History of Greece</w:t></w:r>
</w:p>
<w:p>
<w:pPr><w:pStyle w:val="Normal"/></w:pPr>
<w:r><w:t xml:space="preserve">(1902) and art. in Journal of Hellenic Studies, xv., 1895,</w:t></w:r>
</w:p>
<w:p>
<w:pPr><w:pStyle w:val="Normal"/></w:pPr>
<w:r><w:t xml:space="preserve">pp. 217 foll.; G. G. A. Murray, Rise of the Greek Epic</w:t></w:r>
</w:p>
<w:p>
<w:pPr><w:pStyle w:val="Normal"/></w:pPr>
<w:r><w:t xml:space="preserve">(1907), chap. ii.; Andrew Lang, Homer and his Age (1906);</w:t></w:r>
</w:p>
<w:p>
<w:pPr><w:pStyle w:val="Normal"/></w:pPr>
<w:r><w:t xml:space="preserve">G. Busolt, Griech.  Gesch. ed. 2, vol. i. p. 190 (1893); D.</w:t></w:r>
</w:p>
<w:p>
<w:pPr><w:pStyle w:val="Normal"/></w:pPr>
<w:r><w:t xml:space="preserve">B. Monro&apos;s ed. of the Iliad (1901), pp. 484-488. (W. RI.)</w:t></w:r>
</w:p>
<w:p>
<w:pPr><w:pStyle w:val="Normal"/></w:pPr>
<w:r><w:t xml:space="preserve">ACHAEMENES (HAKHAMANI), the eponymous ancestor of the royal</w:t></w:r>
</w:p>
<w:p>
<w:pPr><w:pStyle w:val="Normal"/></w:pPr>
<w:r><w:t xml:space="preserve">house of Persia, the Achaemenidae, ``a clan fretre of the</w:t></w:r>
</w:p>
<w:p>
<w:pPr><w:pStyle w:val="Normal"/></w:pPr>
<w:r><w:t xml:space="preserve">Pasargadae&apos;&apos; (Herod. i. 125), the leading Persian tribe. According</w:t></w:r>
</w:p>
<w:p>
<w:pPr><w:pStyle w:val="Normal"/></w:pPr>
<w:r><w:t xml:space="preserve">to Darius in the Behistun inscription and Herod. iii. 75, vii.</w:t></w:r>
</w:p>
<w:p>
<w:pPr><w:pStyle w:val="Normal"/></w:pPr>
<w:r><w:t xml:space="preserve">11, he was the father of Teispes, the great-grandfather of</w:t></w:r>
</w:p>
<w:p>
<w:pPr><w:pStyle w:val="Normal"/></w:pPr>
<w:r><w:t xml:space="preserve">Cyrus.  Cyrus himself, in his proclamation to the Babylonians</w:t></w:r>
</w:p>
<w:p>
<w:pPr><w:pStyle w:val="Normal"/></w:pPr>
<w:r><w:t xml:space="preserve">after the conquest of Babylon, does not mention his name.</w:t></w:r>
</w:p>
<w:p>
<w:pPr><w:pStyle w:val="Normal"/></w:pPr>
<w:r><w:t xml:space="preserve">Whether he really was a historical personage, or merely</w:t></w:r>
</w:p>
<w:p>
<w:pPr><w:pStyle w:val="Normal"/></w:pPr>
<w:r><w:t xml:space="preserve">the mythical ancestor of the family cannot be decided.</w:t></w:r>
</w:p>
<w:p>
<w:pPr><w:pStyle w:val="Normal"/></w:pPr>
<w:r><w:t xml:space="preserve">According to Aelian (Hist. anim. xii. 21), he was bred by an</w:t></w:r>
</w:p>
<w:p>
<w:pPr><w:pStyle w:val="Normal"/></w:pPr>
<w:r><w:t xml:space="preserve">eagle.  We learn from Cyrus&apos;s proclamation that Teispes and</w:t></w:r>
</w:p>
<w:p>
<w:pPr><w:pStyle w:val="Normal"/></w:pPr>
<w:r><w:t xml:space="preserve">his successors had become kings of Anshan, i.e. a part of</w:t></w:r>
</w:p>
<w:p>
<w:pPr><w:pStyle w:val="Normal"/></w:pPr>
<w:r><w:t xml:space="preserve">Elam (Susiana), Where they ruled as vassals of the Median</w:t></w:r>
</w:p>
<w:p>
<w:pPr><w:pStyle w:val="Normal"/></w:pPr>
<w:r><w:t xml:space="preserve">kings, until Cyrus the Great in 550 B.C. founded the Persian</w:t></w:r>
</w:p>
<w:p>
<w:pPr><w:pStyle w:val="Normal"/></w:pPr>
<w:r><w:t xml:space="preserve">empire.  After the death of Cambyses, the younger line of</w:t></w:r>
</w:p>
<w:p>
<w:pPr><w:pStyle w:val="Normal"/></w:pPr>
<w:r><w:t xml:space="preserve">the Achaemenidae came to the throne with Darius, the son</w:t></w:r>
</w:p>
<w:p>
<w:pPr><w:pStyle w:val="Normal"/></w:pPr>
<w:r><w:t xml:space="preserve">of Hystaspes, who was, like Cyrus, the great-grandson of</w:t></w:r>
</w:p>
<w:p>
<w:pPr><w:pStyle w:val="Normal"/></w:pPr>
<w:r><w:t xml:space="preserve">Teispes.  Cyrus, Darius and all the later kings of Persia</w:t></w:r>
</w:p>
<w:p>
<w:pPr><w:pStyle w:val="Normal"/></w:pPr>
<w:r><w:t xml:space="preserve">call themselves Achaemenides (Hakhamanishiya). With</w:t></w:r>
</w:p>
<w:p>
<w:pPr><w:pStyle w:val="Normal"/></w:pPr>
<w:r><w:t xml:space="preserve">Darius III. Codomannus the dynasty became extinct and</w:t></w:r>
</w:p>
<w:p>
<w:pPr><w:pStyle w:val="Normal"/></w:pPr>
<w:r><w:t xml:space="preserve">the Persian empire came to an end (330).  The adjective</w:t></w:r>
</w:p>
<w:p>
<w:pPr><w:pStyle w:val="Normal"/></w:pPr>
<w:r><w:t xml:space="preserve">Achaemenius is used by the Latin poets as the equivalent</w:t></w:r>
</w:p>
<w:p>
<w:pPr><w:pStyle w:val="Normal"/></w:pPr>
<w:r><w:t xml:space="preserve">of ``Persian&apos;&apos; (Horace, Odes, ii. 12, 21). See PERSIA.</w:t></w:r>
</w:p>
<w:p>
<w:pPr><w:pStyle w:val="Normal"/></w:pPr>
<w:r><w:t xml:space="preserve">The name Achaemenes is borne by a son of Darius I., brother of</w:t></w:r>
</w:p>
<w:p>
<w:pPr><w:pStyle w:val="Normal"/></w:pPr>
<w:r><w:t xml:space="preserve">Xerxes.  After the first rebellion of Egypt, he became</w:t></w:r>
</w:p>
<w:p>
<w:pPr><w:pStyle w:val="Normal"/></w:pPr>
<w:r><w:t xml:space="preserve">satrap of Egypt (484 B.C.); he commanded the Persian</w:t></w:r>
</w:p>
<w:p>
<w:pPr><w:pStyle w:val="Normal"/></w:pPr>
<w:r><w:t xml:space="preserve">fleet at Salamis, and was (460 B.C.) defeated and slain</w:t></w:r>
</w:p>
<w:p>
<w:pPr><w:pStyle w:val="Normal"/></w:pPr>
<w:r><w:t xml:space="preserve">by Inarus, the leader of the second rebellion of Egypt.</w:t></w:r>
</w:p>
<w:p>
<w:pPr><w:pStyle w:val="Normal"/></w:pPr>
<w:r><w:t xml:space="preserve">ACHARD, FRANZ CARL (1753--1821), Prussian chemist, was born</w:t></w:r>
</w:p>
<w:p>
<w:pPr><w:pStyle w:val="Normal"/></w:pPr>
<w:r><w:t xml:space="preserve">at Berlin on the 28th of April 1753, and died at Kunern, in</w:t></w:r>
</w:p>
<w:p>
<w:pPr><w:pStyle w:val="Normal"/></w:pPr>
<w:r><w:t xml:space="preserve">Silesia, on the 20th of April 1821.  He was a pioneer in</w:t></w:r>
</w:p>
<w:p>
<w:pPr><w:pStyle w:val="Normal"/></w:pPr>
<w:r><w:t xml:space="preserve">turning to practical account A. S. Marggraf&apos;s discovery</w:t></w:r>
</w:p>
<w:p>
<w:pPr><w:pStyle w:val="Normal"/></w:pPr>
<w:r><w:t xml:space="preserve">of the presence of sugar in beetroot, and by the end of</w:t></w:r>
</w:p>
<w:p>
<w:pPr><w:pStyle w:val="Normal"/></w:pPr>
<w:r><w:t xml:space="preserve">the 18th century he was producing considerable quantities</w:t></w:r>
</w:p>
<w:p>
<w:pPr><w:pStyle w:val="Normal"/></w:pPr>
<w:r><w:t xml:space="preserve">of beet-sugar, though by a very imperfect process, at</w:t></w:r>
</w:p>
<w:p>
<w:pPr><w:pStyle w:val="Normal"/></w:pPr>
<w:r><w:t xml:space="preserve">Kunern, on an estate which was granted him about 1800 by</w:t></w:r>
</w:p>
<w:p>
<w:pPr><w:pStyle w:val="Normal"/></w:pPr>
<w:r><w:t xml:space="preserve">the king of Prussia.  There too he carried on a school of</w:t></w:r>
</w:p>
<w:p>
<w:pPr><w:pStyle w:val="Normal"/></w:pPr>
<w:r><w:t xml:space="preserve">instruction in sugar-manufacture, which had an international</w:t></w:r>
</w:p>
<w:p>
<w:pPr><w:pStyle w:val="Normal"/></w:pPr>
<w:r><w:t xml:space="preserve">reputation.  For a time he was director of the physics</w:t></w:r>
</w:p>
<w:p>
<w:pPr><w:pStyle w:val="Normal"/></w:pPr>
<w:r><w:t xml:space="preserve">class of the Berlin Academy of Sciences, and he published</w:t></w:r>
</w:p>
<w:p>
<w:pPr><w:pStyle w:val="Normal"/></w:pPr>
<w:r><w:t xml:space="preserve">several volumes of chemical and physical researches,</w:t></w:r>
</w:p>
<w:p>
<w:pPr><w:pStyle w:val="Normal"/></w:pPr>
<w:r><w:t xml:space="preserve">discovering among other things a method of working platinum.</w:t></w:r>
</w:p>
<w:p>
<w:pPr><w:pStyle w:val="Normal"/></w:pPr>
<w:r><w:t xml:space="preserve">ACHARIUS, ERIK (1757-1819), Swedish botanist, was born On the</w:t></w:r>
</w:p>
<w:p>
<w:pPr><w:pStyle w:val="Normal"/></w:pPr>
<w:r><w:t xml:space="preserve">10th of October 1757, and in 1773 entered Upsala University,</w:t></w:r>
</w:p>
<w:p>
<w:pPr><w:pStyle w:val="Normal"/></w:pPr>
<w:r><w:t xml:space="preserve">where he was a pupil of Linnaeus.  He graduated M.D. at Lund in</w:t></w:r>
</w:p>
<w:p>
<w:pPr><w:pStyle w:val="Normal"/></w:pPr>
<w:r><w:t xml:space="preserve">1782, and in 1801 was appointed professor of botany at Wadstena</w:t></w:r>
</w:p>
<w:p>
<w:pPr><w:pStyle w:val="Normal"/></w:pPr>
<w:r><w:t xml:space="preserve">Academy.  He devoted himself to the study of lichens, and all</w:t></w:r>
</w:p>
<w:p>
<w:pPr><w:pStyle w:val="Normal"/></w:pPr>
<w:r><w:t xml:space="preserve">his publications were connected with that class of plants, his</w:t></w:r>
</w:p>
<w:p>
<w:pPr><w:pStyle w:val="Normal"/></w:pPr>
<w:r><w:t xml:space="preserve">Lichenographia Universalis (Gottingen, 1804) being the most</w:t></w:r>
</w:p>
<w:p>
<w:pPr><w:pStyle w:val="Normal"/></w:pPr>
<w:r><w:t xml:space="preserve">important.  He died at Wadstena on the 13th of August 1819.</w:t></w:r>
</w:p>
<w:p>
<w:pPr><w:pStyle w:val="Normal"/></w:pPr>
<w:r><w:t xml:space="preserve">ACHATES, the companion of Aeneas in Virgil&apos;s</w:t></w:r>
</w:p>
<w:p>
<w:pPr><w:pStyle w:val="Normal"/></w:pPr>
<w:r><w:t xml:space="preserve">Aeneid. The expression ``fidus Achates&apos;&apos; has</w:t></w:r>
</w:p>
<w:p>
<w:pPr><w:pStyle w:val="Normal"/></w:pPr>
<w:r><w:t xml:space="preserve">become proverbial for a loyal and devoted companion.</w:t></w:r>
</w:p>
<w:p>
<w:pPr><w:pStyle w:val="Normal"/></w:pPr>
<w:r><w:t xml:space="preserve">ACHELOUS (mod. Aspropotamo, ``white river&apos;&apos;), the</w:t></w:r>
</w:p>
<w:p>
<w:pPr><w:pStyle w:val="Normal"/></w:pPr>
<w:r><w:t xml:space="preserve">largest river in Greece (130 m.).  It rises in Mt. Pindus,</w:t></w:r>
</w:p>
<w:p>
<w:pPr><w:pStyle w:val="Normal"/></w:pPr>
<w:r><w:t xml:space="preserve">and, dividing Aetolla from Acarnania, falls into the Ionian</w:t></w:r>
</w:p>
<w:p>
<w:pPr><w:pStyle w:val="Normal"/></w:pPr>
<w:r><w:t xml:space="preserve">Sea. In the lower part of its course the river winds through</w:t></w:r>
</w:p>
<w:p>
<w:pPr><w:pStyle w:val="Normal"/></w:pPr>
<w:r><w:t xml:space="preserve">fertile, marshy plains. Its water is charged with fine</w:t></w:r>
</w:p>
<w:p>
<w:pPr><w:pStyle w:val="Normal"/></w:pPr>
<w:r><w:t xml:space="preserve">mud, which is deposited along its banks and at its mouth,</w:t></w:r>
</w:p>
<w:p>
<w:pPr><w:pStyle w:val="Normal"/></w:pPr>
<w:r><w:t xml:space="preserve">where a number of small islands (Echinades) have been</w:t></w:r>
</w:p>
<w:p>
<w:pPr><w:pStyle w:val="Normal"/></w:pPr>
<w:r><w:t xml:space="preserve">formed.  It was formerly called Thoas, from its impetuosity;</w:t></w:r>
</w:p>
<w:p>
<w:pPr><w:pStyle w:val="Normal"/></w:pPr>
<w:r><w:t xml:space="preserve">and its upper portion was called by some Inachus, the</w:t></w:r>
</w:p>
<w:p>
<w:pPr><w:pStyle w:val="Normal"/></w:pPr>
<w:r><w:t xml:space="preserve">name Acholous being restricted to the shorter eastern</w:t></w:r>
</w:p>
<w:p>
<w:pPr><w:pStyle w:val="Normal"/></w:pPr>
<w:r><w:t xml:space="preserve">branch.  Acholous is coupled with Ocean by Homer (Il. xxi.</w:t></w:r>
</w:p>
<w:p>
<w:pPr><w:pStyle w:val="Normal"/></w:pPr>
<w:r><w:t xml:space="preserve">193) as chief of rivers, and the name is given to several</w:t></w:r>
</w:p>
<w:p>
<w:pPr><w:pStyle w:val="Normal"/></w:pPr>
<w:r><w:t xml:space="preserve">other rivers in Greece.  The Dame appears in cult and in</w:t></w:r>
</w:p>
<w:p>
<w:pPr><w:pStyle w:val="Normal"/></w:pPr>
<w:r><w:t xml:space="preserve">mythology as that of the typical river-god; a familiar</w:t></w:r>
</w:p>
<w:p>
<w:pPr><w:pStyle w:val="Normal"/></w:pPr>
<w:r><w:t xml:space="preserve">legend is that of his contest with Heracles for Deianira.</w:t></w:r>
</w:p>
<w:p>
<w:pPr><w:pStyle w:val="Normal"/></w:pPr>
<w:r><w:t xml:space="preserve">ACHENBACH, ANDREAS (1815-- ), German landscape painter,</w:t></w:r>
</w:p>
<w:p>
<w:pPr><w:pStyle w:val="Normal"/></w:pPr>
<w:r><w:t xml:space="preserve">was born at Cassel in 1815.  He began his art education in</w:t></w:r>
</w:p>
<w:p>
<w:pPr><w:pStyle w:val="Normal"/></w:pPr>
<w:r><w:t xml:space="preserve">1827 in Dusseldorf under W. Schadow and at the academy. In</w:t></w:r>
</w:p>
<w:p>
<w:pPr><w:pStyle w:val="Normal"/></w:pPr>
<w:r><w:t xml:space="preserve">his early work he followed the pseudo-idealism of the German</w:t></w:r>
</w:p>
<w:p>
<w:pPr><w:pStyle w:val="Normal"/></w:pPr>
<w:r><w:t xml:space="preserve">romantic school, but on removing to Munich in 1835, the</w:t></w:r>
</w:p>
<w:p>
<w:pPr><w:pStyle w:val="Normal"/></w:pPr>
<w:r><w:t xml:space="preserve">strooger influence of L. Gurlitt turned his talent into new</w:t></w:r>
</w:p>
<w:p>
<w:pPr><w:pStyle w:val="Normal"/></w:pPr>
<w:r><w:t xml:space="preserve">channels, and he became the founder of the German realistic</w:t></w:r>
</w:p>
<w:p>
<w:pPr><w:pStyle w:val="Normal"/></w:pPr>
<w:r><w:t xml:space="preserve">school.  Although his landscapes evince too much of his aim at</w:t></w:r>
</w:p>
<w:p>
<w:pPr><w:pStyle w:val="Normal"/></w:pPr>
<w:r><w:t xml:space="preserve">picture-making and lack personal temperament, he is a master</w:t></w:r>
</w:p>
<w:p>
<w:pPr><w:pStyle w:val="Normal"/></w:pPr>
<w:r><w:t xml:space="preserve">of technique, and is historically important as a reformer.  A</w:t></w:r>
</w:p>
<w:p>
<w:pPr><w:pStyle w:val="Normal"/></w:pPr>
<w:r><w:t xml:space="preserve">number of his finest works are to be found at the Berlin National</w:t></w:r>
</w:p>
<w:p>
<w:pPr><w:pStyle w:val="Normal"/></w:pPr>
<w:r><w:t xml:space="preserve">Gallery, the New Pinakothek in Munich, and the galleries at</w:t></w:r>
</w:p>
<w:p>
<w:pPr><w:pStyle w:val="Normal"/></w:pPr>
<w:r><w:t xml:space="preserve">Dresden, Darmstadt, Cologne, Dusseldorf, Leipzig and Hamburg.</w:t></w:r>
</w:p>
<w:p>
<w:pPr><w:pStyle w:val="Normal"/></w:pPr>
<w:r><w:t xml:space="preserve">His brother, OSWALD ACHENBACH (1827--1905), was born</w:t></w:r>
</w:p>
<w:p>
<w:pPr><w:pStyle w:val="Normal"/></w:pPr>
<w:r><w:t xml:space="preserve">at Dusseldorf and received his art education from</w:t></w:r>
</w:p>
<w:p>
<w:pPr><w:pStyle w:val="Normal"/></w:pPr>
<w:r><w:t xml:space="preserve">Andreas.  His landscapes generally dwell on the rich and</w:t></w:r>
</w:p>
<w:p>
<w:pPr><w:pStyle w:val="Normal"/></w:pPr>
<w:r><w:t xml:space="preserve">glowing effects of colour which drew him to the Bay of</w:t></w:r>
</w:p>
<w:p>
<w:pPr><w:pStyle w:val="Normal"/></w:pPr>
<w:r><w:t xml:space="preserve">Naples and the neighbourhood of Rome.  He is represented</w:t></w:r>
</w:p>
<w:p>
<w:pPr><w:pStyle w:val="Normal"/></w:pPr>
<w:r><w:t xml:space="preserve">at most of the important German galleries of modern art.</w:t></w:r>
</w:p>
<w:p>
<w:pPr><w:pStyle w:val="Normal"/></w:pPr>
<w:r><w:t xml:space="preserve">ACHENWALL, GOTTFRIED (1719-1772), German statisticiao,</w:t></w:r>
</w:p>
<w:p>
<w:pPr><w:pStyle w:val="Normal"/></w:pPr>
<w:r><w:t xml:space="preserve">was born at Elbing, in East Prussia, in October 1719.  He</w:t></w:r>
</w:p>
<w:p>
<w:pPr><w:pStyle w:val="Normal"/></w:pPr>
<w:r><w:t xml:space="preserve">studied at Jena, Halle and Leipzig, and took a degree at</w:t></w:r>
</w:p>
<w:p>
<w:pPr><w:pStyle w:val="Normal"/></w:pPr>
<w:r><w:t xml:space="preserve">the last-named university.  He removed to Marburg in 1746,</w:t></w:r>
</w:p>
<w:p>
<w:pPr><w:pStyle w:val="Normal"/></w:pPr>
<w:r><w:t xml:space="preserve">where for two years he read lectures on history and on</w:t></w:r>
</w:p>
<w:p>
<w:pPr><w:pStyle w:val="Normal"/></w:pPr>
<w:r><w:t xml:space="preserve">the law of nature and of nations.  Here, too, he commenced</w:t></w:r>
</w:p>
<w:p>
<w:pPr><w:pStyle w:val="Normal"/></w:pPr>
<w:r><w:t xml:space="preserve">those inquiries in statistics by which his name became</w:t></w:r>
</w:p>
<w:p>
<w:pPr><w:pStyle w:val="Normal"/></w:pPr>
<w:r><w:t xml:space="preserve">known.  In 1748 he was given a professorship at Gottingen,</w:t></w:r>
</w:p>
<w:p>
<w:pPr><w:pStyle w:val="Normal"/></w:pPr>
<w:r><w:t xml:space="preserve">where he resided till his death in 1772.  His chief works</w:t></w:r>
</w:p>
<w:p>
<w:pPr><w:pStyle w:val="Normal"/></w:pPr>
<w:r><w:t xml:space="preserve">were connected with statistics. The Staatsverfassung der</w:t></w:r>
</w:p>
<w:p>
<w:pPr><w:pStyle w:val="Normal"/></w:pPr>
<w:r><w:t xml:space="preserve">heutigen vornehmsten europaischen Reiche appeared first in</w:t></w:r>
</w:p>
<w:p>
<w:pPr><w:pStyle w:val="Normal"/></w:pPr>
<w:r><w:t xml:space="preserve">1749, and revised editions were published in 1762 and 1768.</w:t></w:r>
</w:p>
<w:p>
<w:pPr><w:pStyle w:val="Normal"/></w:pPr>
<w:r><w:t xml:space="preserve">ACHERON, in Greek mythology, the son of Gaea or Demeter. As a</w:t></w:r>
</w:p>
<w:p>
<w:pPr><w:pStyle w:val="Normal"/></w:pPr>
<w:r><w:t xml:space="preserve">punishment for supplying the Titans with water in their contest</w:t></w:r>
</w:p>
<w:p>
<w:pPr><w:pStyle w:val="Normal"/></w:pPr>
<w:r><w:t xml:space="preserve">with Zeus, he was turned into a river of Hades, over which</w:t></w:r>
</w:p>
<w:p>
<w:pPr><w:pStyle w:val="Normal"/></w:pPr>
<w:r><w:t xml:space="preserve">departed souls were ferried by Charon.  The name (meaning the</w:t></w:r>
</w:p>
<w:p>
<w:pPr><w:pStyle w:val="Normal"/></w:pPr>
<w:r><w:t xml:space="preserve">river of ``woe&apos;&apos;) was eventually used to designate the whole</w:t></w:r>
</w:p>
<w:p>
<w:pPr><w:pStyle w:val="Normal"/></w:pPr>
<w:r><w:t xml:space="preserve">of the lower world (Stobaeus, Ecl. Phys. i. 41, sec. sec.  50, 54).</w:t></w:r>
</w:p>
<w:p>
<w:pPr><w:pStyle w:val="Normal"/></w:pPr>
<w:r><w:t xml:space="preserve">ACHIACHARUS, a name occurring in the book of Tobit (i.</w:t></w:r>
</w:p>
<w:p>
<w:pPr><w:pStyle w:val="Normal"/></w:pPr>
<w:r><w:t xml:space="preserve">21 f.) as that of a nephew of Tobit and an official at the</w:t></w:r>
</w:p>
<w:p>
<w:pPr><w:pStyle w:val="Normal"/></w:pPr>
<w:r><w:t xml:space="preserve">court of Esarhaddon at Nineveh.  There are references in</w:t></w:r>
</w:p>
<w:p>
<w:pPr><w:pStyle w:val="Normal"/></w:pPr>
<w:r><w:t xml:space="preserve">Rumanian, Slavonic, Armenian, Arabic and Syriac literature</w:t></w:r>
</w:p>
<w:p>
<w:pPr><w:pStyle w:val="Normal"/></w:pPr>
<w:r><w:t xml:space="preserve">to a legend, of which the hero is Ahikar (for Armenian,</w:t></w:r>
</w:p>
<w:p>
<w:pPr><w:pStyle w:val="Normal"/></w:pPr>
<w:r><w:t xml:space="preserve">Arabic and Syriac, see The Story of Ahikar, F. C.</w:t></w:r>
</w:p>
<w:p>
<w:pPr><w:pStyle w:val="Normal"/></w:pPr>
<w:r><w:t xml:space="preserve">Conybeare, Rondel Harris and Agnes Lewis, Camb. 1898), and</w:t></w:r>
</w:p>
<w:p>
<w:pPr><w:pStyle w:val="Normal"/></w:pPr>
<w:r><w:t xml:space="preserve">it was pointed out by George Hoffmann in 1880 that this</w:t></w:r>
</w:p>
<w:p>
<w:pPr><w:pStyle w:val="Normal"/></w:pPr>
<w:r><w:t xml:space="preserve">Ahikar and the Achiacharus of Tobit are identical.  It</w:t></w:r>
</w:p>
<w:p>
<w:pPr><w:pStyle w:val="Normal"/></w:pPr>
<w:r><w:t xml:space="preserve">has been contended that there are traces of the legend even</w:t></w:r>
</w:p>
<w:p>
<w:pPr><w:pStyle w:val="Normal"/></w:pPr>
<w:r><w:t xml:space="preserve">in the New Testament, and there is a striking similarity</w:t></w:r>
</w:p>
<w:p>
<w:pPr><w:pStyle w:val="Normal"/></w:pPr>
<w:r><w:t xml:space="preserve">between it and the Life of Aesop by Maximus Planudes (ch.</w:t></w:r>
</w:p>
<w:p>
<w:pPr><w:pStyle w:val="Normal"/></w:pPr>
<w:r><w:t xml:space="preserve">xxiii.-xxxii.).  An eastern sage Achaicarus is mentioned by</w:t></w:r>
</w:p>
<w:p>
<w:pPr><w:pStyle w:val="Normal"/></w:pPr>
<w:r><w:t xml:space="preserve">Strabo.  It would seem, therefore, that the legend was</w:t></w:r>
</w:p>
<w:p>
<w:pPr><w:pStyle w:val="Normal"/></w:pPr>
<w:r><w:t xml:space="preserve">undoubtedly oriental in origin, though the relationship</w:t></w:r>
</w:p>
<w:p>
<w:pPr><w:pStyle w:val="Normal"/></w:pPr>
<w:r><w:t xml:space="preserve">of the various versions can scarcely be recovered.</w:t></w:r>
</w:p>
<w:p>
<w:pPr><w:pStyle w:val="Normal"/></w:pPr>
<w:r><w:t xml:space="preserve">See the Jewish Encyclopaedia and the Encyclopaedia Biblica;</w:t></w:r>
</w:p>
<w:p>
<w:pPr><w:pStyle w:val="Normal"/></w:pPr>
<w:r><w:t xml:space="preserve">also M. R. James in The Guardian, Feb. 2, 1898, p. 163 f.</w:t></w:r>
</w:p>
<w:p>
<w:pPr><w:pStyle w:val="Normal"/></w:pPr>
<w:r><w:t xml:space="preserve">ACHILL (``Eagle&apos;&apos;), the largest island off Ireland, separated</w:t></w:r>
</w:p>
<w:p>
<w:pPr><w:pStyle w:val="Normal"/></w:pPr>
<w:r><w:t xml:space="preserve">from the Curraun peninsula of the west coast by the narrow</w:t></w:r>
</w:p>
<w:p>
<w:pPr><w:pStyle w:val="Normal"/></w:pPr>
<w:r><w:t xml:space="preserve">Achill Sound.  Pop. (1901) 4929.  It is included in the county</w:t></w:r>
</w:p>
<w:p>
<w:pPr><w:pStyle w:val="Normal"/></w:pPr>
<w:r><w:t xml:space="preserve">Mayo, in the western parliamentary division.  Its shape is</w:t></w:r>
</w:p>
<w:p>
<w:pPr><w:pStyle w:val="Normal"/></w:pPr>
<w:r><w:t xml:space="preserve">triangular, and its extent is 15 m. from E. to W. and 12 from</w:t></w:r>
</w:p>
<w:p>
<w:pPr><w:pStyle w:val="Normal"/></w:pPr>
<w:r><w:t xml:space="preserve">N. to S. The area is 57 sq. m.  The island is mountainous,</w:t></w:r>
</w:p>
<w:p>
<w:pPr><w:pStyle w:val="Normal"/></w:pPr>
<w:r><w:t xml:space="preserve">the highest points being Slieve Croaghaun (2192 ft.) in the</w:t></w:r>
</w:p>
<w:p>
<w:pPr><w:pStyle w:val="Normal"/></w:pPr>
<w:r><w:t xml:space="preserve">west, and Shevemore (2204 ft.) in the north; the extreme</w:t></w:r>
</w:p>
<w:p>
<w:pPr><w:pStyle w:val="Normal"/></w:pPr>
<w:r><w:t xml:space="preserve">western point is the bold and rugged promontory of Achill</w:t></w:r>
</w:p>
<w:p>
<w:pPr><w:pStyle w:val="Normal"/></w:pPr>
<w:r><w:t xml:space="preserve">Head, and the northwestern and south-western coasts consist</w:t></w:r>
</w:p>
<w:p>
<w:pPr><w:pStyle w:val="Normal"/></w:pPr>
<w:r><w:t xml:space="preserve">of ranges of magnificent cliffs, reaching a height of 800</w:t></w:r>
</w:p>
<w:p>
<w:pPr><w:pStyle w:val="Normal"/></w:pPr>
<w:r><w:t xml:space="preserve">ft. in the cliffs of Minaun, near the village of Keel on the</w:t></w:r>
</w:p>
<w:p>
<w:pPr><w:pStyle w:val="Normal"/></w:pPr>
<w:r><w:t xml:space="preserve">south.  The seaward slope of Croaghaun is abrupt and in</w:t></w:r>
</w:p>
<w:p>
<w:pPr><w:pStyle w:val="Normal"/></w:pPr>
<w:r><w:t xml:space="preserve">parts precipitous, and its jagged flanks, together with</w:t></w:r>
</w:p>
<w:p>
<w:pPr><w:pStyle w:val="Normal"/></w:pPr>
<w:r><w:t xml:space="preserve">the serrated ridge of the Head and the view over the broken</w:t></w:r>
</w:p>
<w:p>
<w:pPr><w:pStyle w:val="Normal"/></w:pPr>
<w:r><w:t xml:space="preserve">coast-line and islands of the counties Mayo and Galway,</w:t></w:r>
</w:p>
<w:p>
<w:pPr><w:pStyle w:val="Normal"/></w:pPr>
<w:r><w:t xml:space="preserve">attract many visitors to the island during summer. Desolate</w:t></w:r>
</w:p>
<w:p>
<w:pPr><w:pStyle w:val="Normal"/></w:pPr>
<w:r><w:t xml:space="preserve">bogs, incapable of cultivation, alternate with the mountains;</w:t></w:r>
</w:p>
<w:p>
<w:pPr><w:pStyle w:val="Normal"/></w:pPr>
<w:r><w:t xml:space="preserve">and the inhabitants earn a scanty subsistence by fishing and</w:t></w:r>
</w:p>
<w:p>
<w:pPr><w:pStyle w:val="Normal"/></w:pPr>
<w:r><w:t xml:space="preserve">tillage, or by seeking employment in England and Scotland</w:t></w:r>
</w:p>
<w:p>
<w:pPr><w:pStyle w:val="Normal"/></w:pPr>
<w:r><w:t xml:space="preserve">during the harvesting.  The Congested Districts Board,</w:t></w:r>
</w:p>
<w:p>
<w:pPr><w:pStyle w:val="Normal"/></w:pPr>
<w:r><w:t xml:space="preserve">however, have made efforts to improve the Condition of the</w:t></w:r>
</w:p>
<w:p>
<w:pPr><w:pStyle w:val="Normal"/></w:pPr>
<w:r><w:t xml:space="preserve">people, and a branch of the Midland Great Western railway</w:t></w:r>
</w:p>
<w:p>
<w:pPr><w:pStyle w:val="Normal"/></w:pPr>
<w:r><w:t xml:space="preserve">to Achill Sound, together with a swivel bridge across the</w:t></w:r>
</w:p>
<w:p>
<w:pPr><w:pStyle w:val="Normal"/></w:pPr>
<w:r><w:t xml:space="preserve">sound, improved communications and make for prosperity.</w:t></w:r>
</w:p>
<w:p>
<w:pPr><w:pStyle w:val="Normal"/></w:pPr>
<w:r><w:t xml:space="preserve">Dugort, the principal village, contains several hotels.</w:t></w:r>
</w:p>
<w:p>
<w:pPr><w:pStyle w:val="Normal"/></w:pPr>
<w:r><w:t xml:space="preserve">Here is a Protestant colony. known as ``the Settlement&apos;&apos; and</w:t></w:r>
</w:p>
<w:p>
<w:pPr><w:pStyle w:val="Normal"/></w:pPr>
<w:r><w:t xml:space="preserve">founded in 1834. There are antiquarian remains (cromlechs,</w:t></w:r>
</w:p>
<w:p>
<w:pPr><w:pStyle w:val="Normal"/></w:pPr>
<w:r><w:t xml:space="preserve">stone circles and the like) at Slievemore and elsewhere.</w:t></w:r>
</w:p>
<w:p>
<w:pPr><w:pStyle w:val="Normal"/></w:pPr>
<w:r><w:t xml:space="preserve">ACHILLES (Gr. &apos;Achilleus), one of the most famous of the</w:t></w:r>
</w:p>
<w:p>
<w:pPr><w:pStyle w:val="Normal"/></w:pPr>
<w:r><w:t xml:space="preserve">hegendary heroes of ancient Greece and the central figure</w:t></w:r>
</w:p>
<w:p>
<w:pPr><w:pStyle w:val="Normal"/></w:pPr>
<w:r><w:t xml:space="preserve">of Homer&apos;s Iliad. He was said to have been the son of</w:t></w:r>
</w:p>
<w:p>
<w:pPr><w:pStyle w:val="Normal"/></w:pPr>
<w:r><w:t xml:space="preserve">Peleus, king of the Myrmidones of Phthia in Thessaly, by</w:t></w:r>
</w:p>
<w:p>
<w:pPr><w:pStyle w:val="Normal"/></w:pPr>
<w:r><w:t xml:space="preserve">Thetis, one of the Nereids.  His grandfather Aeacus was,</w:t></w:r>
</w:p>
<w:p>
<w:pPr><w:pStyle w:val="Normal"/></w:pPr>
<w:r><w:t xml:space="preserve">according to the legend, the son of Zeus himself.  The story</w:t></w:r>
</w:p>
<w:p>
<w:pPr><w:pStyle w:val="Normal"/></w:pPr>
<w:r><w:t xml:space="preserve">of the childhood of Achilles in Homer differs from that given</w:t></w:r>
</w:p>
<w:p>
<w:pPr><w:pStyle w:val="Normal"/></w:pPr>
<w:r><w:t xml:space="preserve">by later writers. According to Homer, he was brought up by</w:t></w:r>
</w:p>
<w:p>
<w:pPr><w:pStyle w:val="Normal"/></w:pPr>
<w:r><w:t xml:space="preserve">his mother at Phthia with his cousin and intimate friend</w:t></w:r>
</w:p>
<w:p>
<w:pPr><w:pStyle w:val="Normal"/></w:pPr>
<w:r><w:t xml:space="preserve">Patroclus, and learned the arts of war and eloquence from</w:t></w:r>
</w:p>
<w:p>
<w:pPr><w:pStyle w:val="Normal"/></w:pPr>
<w:r><w:t xml:space="preserve">Phoenix, while the Centaur Chiron taught him music and</w:t></w:r>
</w:p>
<w:p>
<w:pPr><w:pStyle w:val="Normal"/></w:pPr>
<w:r><w:t xml:space="preserve">medicine.  When summoned to the war against Troy, he</w:t></w:r>
</w:p>
<w:p>
<w:pPr><w:pStyle w:val="Normal"/></w:pPr>
<w:r><w:t xml:space="preserve">set sail at once with his Myrmidones in fifty ships.</w:t></w:r>
</w:p>
<w:p>
<w:pPr><w:pStyle w:val="Normal"/></w:pPr>
<w:r><w:t xml:space="preserve">Post-Homeric sources add to the legend certain picturesque</w:t></w:r>
</w:p>
<w:p>
<w:pPr><w:pStyle w:val="Normal"/></w:pPr>
<w:r><w:t xml:space="preserve">details which bear all the evidence of their primitive</w:t></w:r>
</w:p>
<w:p>
<w:pPr><w:pStyle w:val="Normal"/></w:pPr>
<w:r><w:t xml:space="preserve">origin, and which in some cases belong to the common stock</w:t></w:r>
</w:p>
<w:p>
<w:pPr><w:pStyle w:val="Normal"/></w:pPr>
<w:r><w:t xml:space="preserve">of Indo-Germanic myths.  According to one of these stories</w:t></w:r>
</w:p>
<w:p>
<w:pPr><w:pStyle w:val="Normal"/></w:pPr>
<w:r><w:t xml:space="preserve">Thetis used to lay the infant Achilles every night under</w:t></w:r>
</w:p>
<w:p>
<w:pPr><w:pStyle w:val="Normal"/></w:pPr>
<w:r><w:t xml:space="preserve">live coals, anointing him by day with ambrosia, in order</w:t></w:r>
</w:p>
<w:p>
<w:pPr><w:pStyle w:val="Normal"/></w:pPr>
<w:r><w:t xml:space="preserve">to make him immortal. Peleus, having surprised her in the</w:t></w:r>
</w:p>
<w:p>
<w:pPr><w:pStyle w:val="Normal"/></w:pPr>
<w:r><w:t xml:space="preserve">act, in alarm snatched the boy from the flames; whereupon</w:t></w:r>
</w:p>
<w:p>
<w:pPr><w:pStyle w:val="Normal"/></w:pPr>
<w:r><w:t xml:space="preserve">Thetis fled back to the sea in anger (Apollodorus iii. 13;</w:t></w:r>
</w:p>
<w:p>
<w:pPr><w:pStyle w:val="Normal"/></w:pPr>
<w:r><w:t xml:space="preserve">Apollonius Rhodius iv. 869). According to another story Thetis</w:t></w:r>
</w:p>
<w:p>
<w:pPr><w:pStyle w:val="Normal"/></w:pPr>
<w:r><w:t xml:space="preserve">dipped the child in the waters of the river Styx, by which</w:t></w:r>
</w:p>
<w:p>
<w:pPr><w:pStyle w:val="Normal"/></w:pPr>
<w:r><w:t xml:space="preserve">his whole body became invulnerable, except that part of his</w:t></w:r>
</w:p>
<w:p>
<w:pPr><w:pStyle w:val="Normal"/></w:pPr>
<w:r><w:t xml:space="preserve">heel by which she held him; whence the proverbial ``heel</w:t></w:r>
</w:p>
<w:p>
<w:pPr><w:pStyle w:val="Normal"/></w:pPr>
<w:r><w:t xml:space="preserve">of Achilles&apos;&apos; (Statius, Achilleis, i. 269).  With this</w:t></w:r>
</w:p>
<w:p>
<w:pPr><w:pStyle w:val="Normal"/></w:pPr>
<w:r><w:t xml:space="preserve">may be compared the similar story told of the northern hero</w:t></w:r>
</w:p>
<w:p>
<w:pPr><w:pStyle w:val="Normal"/></w:pPr>
<w:r><w:t xml:space="preserve">Sigurd.  The boy was afterwards entrusted to the care of Chiron,</w:t></w:r>
</w:p>
<w:p>
<w:pPr><w:pStyle w:val="Normal"/></w:pPr>
<w:r><w:t xml:space="preserve">who, to give him the strength necessary for war, fed him</w:t></w:r>
</w:p>
<w:p>
<w:pPr><w:pStyle w:val="Normal"/></w:pPr>
<w:r><w:t xml:space="preserve">with the entrails of lions and the marrow of bears and wild</w:t></w:r>
</w:p>
<w:p>
<w:pPr><w:pStyle w:val="Normal"/></w:pPr>
<w:r><w:t xml:space="preserve">boars.  To prevent his going to the siege of Troy, Thetis</w:t></w:r>
</w:p>
<w:p>
<w:pPr><w:pStyle w:val="Normal"/></w:pPr>
<w:r><w:t xml:space="preserve">disguised him in female apparel, and hid him among the maidens</w:t></w:r>
</w:p>
<w:p>
<w:pPr><w:pStyle w:val="Normal"/></w:pPr>
<w:r><w:t xml:space="preserve">at the court of King Lycomedes in Scyros; but Odysseus,</w:t></w:r>
</w:p>
<w:p>
<w:pPr><w:pStyle w:val="Normal"/></w:pPr>
<w:r><w:t xml:space="preserve">coming to the island in the disguise of a pedlar, spread</w:t></w:r>
</w:p>
<w:p>
<w:pPr><w:pStyle w:val="Normal"/></w:pPr>
<w:r><w:t xml:space="preserve">his wares, including a spear and shield, before the king&apos;s</w:t></w:r>
</w:p>
<w:p>
<w:pPr><w:pStyle w:val="Normal"/></w:pPr>
<w:r><w:t xml:space="preserve">daughters, among whom was Achilles.  Then he caused an alarm</w:t></w:r>
</w:p>
<w:p>
<w:pPr><w:pStyle w:val="Normal"/></w:pPr>
<w:r><w:t xml:space="preserve">to be sounded; whereupon the girls fled, but Achilles seized</w:t></w:r>
</w:p>
<w:p>
<w:pPr><w:pStyle w:val="Normal"/></w:pPr>
<w:r><w:t xml:space="preserve">the arms, and so revealed himself, and was easily persuaded</w:t></w:r>
</w:p>
<w:p>
<w:pPr><w:pStyle w:val="Normal"/></w:pPr>
<w:r><w:t xml:space="preserve">to follow the Greeks (Hyginus, Fab. 96; Statius, Ach.</w:t></w:r>
</w:p>
<w:p>
<w:pPr><w:pStyle w:val="Normal"/></w:pPr>
<w:r><w:t xml:space="preserve">i.; Apollodorus, l.c.). This story may be compared with</w:t></w:r>
</w:p>
<w:p>
<w:pPr><w:pStyle w:val="Normal"/></w:pPr>
<w:r><w:t xml:space="preserve">the Celtic legend of the boyhood of Peredur or Perceval.</w:t></w:r>
</w:p>
<w:p>
<w:pPr><w:pStyle w:val="Normal"/></w:pPr>
<w:r><w:t xml:space="preserve">During the first nine years of the war as described in the</w:t></w:r>
</w:p>
<w:p>
<w:pPr><w:pStyle w:val="Normal"/></w:pPr>
<w:r><w:t xml:space="preserve">Iliad, Achilles ravaged the country round Troy, and took</w:t></w:r>
</w:p>
<w:p>
<w:pPr><w:pStyle w:val="Normal"/></w:pPr>
<w:r><w:t xml:space="preserve">twelve cities. In the tenth year occurred the quarrel with</w:t></w:r>
</w:p>
<w:p>
<w:pPr><w:pStyle w:val="Normal"/></w:pPr>
<w:r><w:t xml:space="preserve">Agamemnon.  In order to appease the wrath of Apollo, who had</w:t></w:r>
</w:p>
<w:p>
<w:pPr><w:pStyle w:val="Normal"/></w:pPr>
<w:r><w:t xml:space="preserve">visited the camp with a pestilence, Agamemnon had restored</w:t></w:r>
</w:p>
<w:p>
<w:pPr><w:pStyle w:val="Normal"/></w:pPr>
<w:r><w:t xml:space="preserve">Chryseis, his prize of war, to her father, a priest of the</w:t></w:r>
</w:p>
<w:p>
<w:pPr><w:pStyle w:val="Normal"/></w:pPr>
<w:r><w:t xml:space="preserve">god, but as a compensation deprived Achilles, who had</w:t></w:r>
</w:p>
<w:p>
<w:pPr><w:pStyle w:val="Normal"/></w:pPr>
<w:r><w:t xml:space="preserve">openly demanded this restoration, of his favourite slave</w:t></w:r>
</w:p>
<w:p>
<w:pPr><w:pStyle w:val="Normal"/></w:pPr>
<w:r><w:t xml:space="preserve">Briseis.  Achilles withdrew in wrath to his tent, where</w:t></w:r>
</w:p>
<w:p>
<w:pPr><w:pStyle w:val="Normal"/></w:pPr>
<w:r><w:t xml:space="preserve">he consoled himself with music and singing, and refused</w:t></w:r>
</w:p>
<w:p>
<w:pPr><w:pStyle w:val="Normal"/></w:pPr>
<w:r><w:t xml:space="preserve">to take any further part in the war.  During his absence</w:t></w:r>
</w:p>
<w:p>
<w:pPr><w:pStyle w:val="Normal"/></w:pPr>
<w:r><w:t xml:space="preserve">the Greeks were hard pressed, and at last he so far relaxed</w:t></w:r>
</w:p>
<w:p>
<w:pPr><w:pStyle w:val="Normal"/></w:pPr>
<w:r><w:t xml:space="preserve">his anger as to allow his friend Patroclus to personate</w:t></w:r>
</w:p>
<w:p>
<w:pPr><w:pStyle w:val="Normal"/></w:pPr>
<w:r><w:t xml:space="preserve">him, lending him his chariot and armour.  The slaying of</w:t></w:r>
</w:p>
<w:p>
<w:pPr><w:pStyle w:val="Normal"/></w:pPr>
<w:r><w:t xml:space="preserve">Patroclus by the Trojan hero Hector roused Achilles from his</w:t></w:r>
</w:p>
<w:p>
<w:pPr><w:pStyle w:val="Normal"/></w:pPr>
<w:r><w:t xml:space="preserve">indifference; eager to avenge his beloved comrade, he sallied</w:t></w:r>
</w:p>
<w:p>
<w:pPr><w:pStyle w:val="Normal"/></w:pPr>
<w:r><w:t xml:space="preserve">forth, equipped with new armour fashioned by Hephaestus,</w:t></w:r>
</w:p>
<w:p>
<w:pPr><w:pStyle w:val="Normal"/></w:pPr>
<w:r><w:t xml:space="preserve">slew Hector, and, after dragging his body round the walls</w:t></w:r>
</w:p>
<w:p>
<w:pPr><w:pStyle w:val="Normal"/></w:pPr>
<w:r><w:t xml:space="preserve">of Troy, restored it to the aged King Priam at his earnest</w:t></w:r>
</w:p>
<w:p>
<w:pPr><w:pStyle w:val="Normal"/></w:pPr>
<w:r><w:t xml:space="preserve">entreaty.  The Iliad concludes with the funeral rites of</w:t></w:r>
</w:p>
<w:p>
<w:pPr><w:pStyle w:val="Normal"/></w:pPr>
<w:r><w:t xml:space="preserve">Hector.  It makes no mention of the death of Achilles, but</w:t></w:r>
</w:p>
<w:p>
<w:pPr><w:pStyle w:val="Normal"/></w:pPr>
<w:r><w:t xml:space="preserve">hints at its taking place ``before the Scaean gates.&apos;&apos; In</w:t></w:r>
</w:p>
<w:p>
<w:pPr><w:pStyle w:val="Normal"/></w:pPr>
<w:r><w:t xml:space="preserve">the Odyssey (xxiv. 36. 72) his ashes are said to have been</w:t></w:r>
</w:p>
<w:p>
<w:pPr><w:pStyle w:val="Normal"/></w:pPr>
<w:r><w:t xml:space="preserve">buried in a golden urn, together with those of Patroclus, at</w:t></w:r>
</w:p>
<w:p>
<w:pPr><w:pStyle w:val="Normal"/></w:pPr>
<w:r><w:t xml:space="preserve">a place on the Hellespont, where a tomb was erected to his</w:t></w:r>
</w:p>
<w:p>
<w:pPr><w:pStyle w:val="Normal"/></w:pPr>
<w:r><w:t xml:space="preserve">memory; his soul dwells in the lower world, where it is seen by</w:t></w:r>
</w:p>
<w:p>
<w:pPr><w:pStyle w:val="Normal"/></w:pPr>
<w:r><w:t xml:space="preserve">Odysseus.  The contest between Ajax and Odysseus for his arms</w:t></w:r>
</w:p>
<w:p>
<w:pPr><w:pStyle w:val="Normal"/></w:pPr>
<w:r><w:t xml:space="preserve">is also mentioned.  The Aethiopis of Arctinus of Miletus</w:t></w:r>
</w:p>
<w:p>
<w:pPr><w:pStyle w:val="Normal"/></w:pPr>
<w:r><w:t xml:space="preserve">took up the story of the Iliad. It told how Achilles,</w:t></w:r>
</w:p>
<w:p>
<w:pPr><w:pStyle w:val="Normal"/></w:pPr>
<w:r><w:t xml:space="preserve">having slain the Amazon Penthesileia and Memnon, king of the</w:t></w:r>
</w:p>
<w:p>
<w:pPr><w:pStyle w:val="Normal"/></w:pPr>
<w:r><w:t xml:space="preserve">Aethiopians, who had come to the assistance of the Trojans,</w:t></w:r>
</w:p>
<w:p>
<w:pPr><w:pStyle w:val="Normal"/></w:pPr>
<w:r><w:t xml:space="preserve">was himself slain by Paris (Alexander), whose arrow was</w:t></w:r>
</w:p>
<w:p>
<w:pPr><w:pStyle w:val="Normal"/></w:pPr>
<w:r><w:t xml:space="preserve">guided by Apollo to his vulnerable heel (Virgil, Aen. vi.</w:t></w:r>
</w:p>
<w:p>
<w:pPr><w:pStyle w:val="Normal"/></w:pPr>
<w:r><w:t xml:space="preserve">57; Ovid, Met. xii. 600). Again, it is said that Achilles,</w:t></w:r>
</w:p>
<w:p>
<w:pPr><w:pStyle w:val="Normal"/></w:pPr>
<w:r><w:t xml:space="preserve">enamoured of Polyxena, the daughter of Priam, offered to</w:t></w:r>
</w:p>
<w:p>
<w:pPr><w:pStyle w:val="Normal"/></w:pPr>
<w:r><w:t xml:space="preserve">join the Trojans on condition that he received her hand in</w:t></w:r>
</w:p>
<w:p>
<w:pPr><w:pStyle w:val="Normal"/></w:pPr>
<w:r><w:t xml:space="preserve">marriage.  This was agreed to; Achilles went unarmed to the</w:t></w:r>
</w:p>
<w:p>
<w:pPr><w:pStyle w:val="Normal"/></w:pPr>
<w:r><w:t xml:space="preserve">temple of Apollo Thymbraeus, and was slain by Paris (Dietys</w:t></w:r>
</w:p>
<w:p>
<w:pPr><w:pStyle w:val="Normal"/></w:pPr>
<w:r><w:t xml:space="preserve">iv. 11). According to some, he was slain by Apollo himself</w:t></w:r>
</w:p>
<w:p>
<w:pPr><w:pStyle w:val="Normal"/></w:pPr>
<w:r><w:t xml:space="preserve">(Quint.  Smyrn. iii. 61; Horace, Odes, iv. 6, 3).</w:t></w:r>
</w:p>
<w:p>
<w:pPr><w:pStyle w:val="Normal"/></w:pPr>
<w:r><w:t xml:space="preserve">Hyginus (Fab. 107) makes Apollo assume the form of Paris.</w:t></w:r>
</w:p>
<w:p>
<w:pPr><w:pStyle w:val="Normal"/></w:pPr>
<w:r><w:t xml:space="preserve">Later stories say that Thetis snatched his body from the</w:t></w:r>
</w:p>
<w:p>
<w:pPr><w:pStyle w:val="Normal"/></w:pPr>
<w:r><w:t xml:space="preserve">pyre and conveyed it to the island of Leuke, at the mouth</w:t></w:r>
</w:p>
<w:p>
<w:pPr><w:pStyle w:val="Normal"/></w:pPr>
<w:r><w:t xml:space="preserve">of the Danube, where he ruled with Iphigeneia as his</w:t></w:r>
</w:p>
<w:p>
<w:pPr><w:pStyle w:val="Normal"/></w:pPr>
<w:r><w:t xml:space="preserve">wife; or that he was carried to the Elysian fields, where</w:t></w:r>
</w:p>
<w:p>
<w:pPr><w:pStyle w:val="Normal"/></w:pPr>
<w:r><w:t xml:space="preserve">his wife was Medea or Helen.  He was worshipped in many</w:t></w:r>
</w:p>
<w:p>
<w:pPr><w:pStyle w:val="Normal"/></w:pPr>
<w:r><w:t xml:space="preserve">places: at Leuke, where he was honoured with offerings</w:t></w:r>
</w:p>
<w:p>
<w:pPr><w:pStyle w:val="Normal"/></w:pPr>
<w:r><w:t xml:space="preserve">and games; in Sparta, Elis, and especially Sigeum on</w:t></w:r>
</w:p>
<w:p>
<w:pPr><w:pStyle w:val="Normal"/></w:pPr>
<w:r><w:t xml:space="preserve">the Hellespont, where his famous tumulus was erected.</w:t></w:r>
</w:p>
<w:p>
<w:pPr><w:pStyle w:val="Normal"/></w:pPr>
<w:r><w:t xml:space="preserve">Achilles is a typical Greek hero; handsome, brave, celebrated</w:t></w:r>
</w:p>
<w:p>
<w:pPr><w:pStyle w:val="Normal"/></w:pPr>
<w:r><w:t xml:space="preserve">for his fleetness of foot, prone to excess of wrath and</w:t></w:r>
</w:p>
<w:p>
<w:pPr><w:pStyle w:val="Normal"/></w:pPr>
<w:r><w:t xml:space="preserve">grief, at the same time he is compassionate, hospitable,</w:t></w:r>
</w:p>
<w:p>
<w:pPr><w:pStyle w:val="Normal"/></w:pPr>
<w:r><w:t xml:space="preserve">full of affection for his mother and respect for the gods.</w:t></w:r>
</w:p>
<w:p>
<w:pPr><w:pStyle w:val="Normal"/></w:pPr>
<w:r><w:t xml:space="preserve">In works of art he is represented, like Ares, as a young man</w:t></w:r>
</w:p>
<w:p>
<w:pPr><w:pStyle w:val="Normal"/></w:pPr>
<w:r><w:t xml:space="preserve">of splendid physical proportions, with bristling hair like a</w:t></w:r>
</w:p>
<w:p>
<w:pPr><w:pStyle w:val="Normal"/></w:pPr>
<w:r><w:t xml:space="preserve">horse&apos;s mane and a slender neck.  Although the figure of the</w:t></w:r>
</w:p>
<w:p>
<w:pPr><w:pStyle w:val="Normal"/></w:pPr>
<w:r><w:t xml:space="preserve">hero frequently occurs in groups---such as the work of Scopas</w:t></w:r>
</w:p>
<w:p>
<w:pPr><w:pStyle w:val="Normal"/></w:pPr>
<w:r><w:t xml:space="preserve">showing his removal to the island of Leuke by Poseidon and</w:t></w:r>
</w:p>
<w:p>
<w:pPr><w:pStyle w:val="Normal"/></w:pPr>
<w:r><w:t xml:space="preserve">Thetis, escorted by Neroids and Tritons, and the combat</w:t></w:r>
</w:p>
<w:p>
<w:pPr><w:pStyle w:val="Normal"/></w:pPr>
<w:r><w:t xml:space="preserve">over his dead body in the Aeginetan sculptures--no isolated</w:t></w:r>
</w:p>
<w:p>
<w:pPr><w:pStyle w:val="Normal"/></w:pPr>
<w:r><w:t xml:space="preserve">statue or bust can with certainty be identified with him;</w:t></w:r>
</w:p>
<w:p>
<w:pPr><w:pStyle w:val="Normal"/></w:pPr>
<w:r><w:t xml:space="preserve">the statue in the Louvre (from the Villa Borghese), which</w:t></w:r>
</w:p>
<w:p>
<w:pPr><w:pStyle w:val="Normal"/></w:pPr>
<w:r><w:t xml:space="preserve">was thought to have the best claim, is generally taken for</w:t></w:r>
</w:p>
<w:p>
<w:pPr><w:pStyle w:val="Normal"/></w:pPr>
<w:r><w:t xml:space="preserve">Ares or possibly Alexander.  There are many vase and wall</w:t></w:r>
</w:p>
<w:p>
<w:pPr><w:pStyle w:val="Normal"/></w:pPr>
<w:r><w:t xml:space="preserve">paintings and bas-reliefs illustrative of incidents in his</w:t></w:r>
</w:p>
<w:p>
<w:pPr><w:pStyle w:val="Normal"/></w:pPr>
<w:r><w:t xml:space="preserve">life. Various etymologies of the name have been suggested:</w:t></w:r>
</w:p>
<w:p>
<w:pPr><w:pStyle w:val="Normal"/></w:pPr>
<w:r><w:t xml:space="preserve">``without a lip&apos;&apos; (a&apos;, cheilos), Achilles being regarded</w:t></w:r>
</w:p>
<w:p>
<w:pPr><w:pStyle w:val="Normal"/></w:pPr>
<w:r><w:t xml:space="preserve">as a river-god, a stream which overflows its banks, or,</w:t></w:r>
</w:p>
<w:p>
<w:pPr><w:pStyle w:val="Normal"/></w:pPr>
<w:r><w:t xml:space="preserve">referring to the story that, when Thetis laid him in the</w:t></w:r>
</w:p>
<w:p>
<w:pPr><w:pStyle w:val="Normal"/></w:pPr>
<w:r><w:t xml:space="preserve">fire, one of his lips, which he had licked, was consumed</w:t></w:r>
</w:p>
<w:p>
<w:pPr><w:pStyle w:val="Normal"/></w:pPr>
<w:r><w:t xml:space="preserve">(Tzetzes on Lycophron, 178); ``restrainer of the people,&apos;</w:t></w:r>
</w:p>
<w:p>
<w:pPr><w:pStyle w:val="Normal"/></w:pPr>
<w:r><w:t xml:space="preserve">(eche-laos); ``healer of sorrow&apos;&apos; (ache-loios); ``the</w:t></w:r>
</w:p>
<w:p>
<w:pPr><w:pStyle w:val="Normal"/></w:pPr>
<w:r><w:t xml:space="preserve">obscure&apos;&apos; (connected with achlus, ``mist&apos;&apos;); ``snakeborn&apos;&apos;</w:t></w:r>
</w:p>
<w:p>
<w:pPr><w:pStyle w:val="Normal"/></w:pPr>
<w:r><w:t xml:space="preserve">(echis), the snake being one of the chief forms taken by</w:t></w:r>
</w:p>
<w:p>
<w:pPr><w:pStyle w:val="Normal"/></w:pPr>
<w:r><w:t xml:space="preserve">Thetis.  The most generally received view makes him a</w:t></w:r>
</w:p>
<w:p>
<w:pPr><w:pStyle w:val="Normal"/></w:pPr>
<w:r><w:t xml:space="preserve">god of light, especially of the sun or of the lightning.</w:t></w:r>
</w:p>
<w:p>
<w:pPr><w:pStyle w:val="Normal"/></w:pPr>
<w:r><w:t xml:space="preserve">See E. H. Meyer, Indogermanische Mythen, ii., Achilleis,</w:t></w:r>
</w:p>
<w:p>
<w:pPr><w:pStyle w:val="Normal"/></w:pPr>
<w:r><w:t xml:space="preserve">1887; F. G. Welcker, Der epische Cyclus, 1865--1882;</w:t></w:r>
</w:p>
<w:p>
<w:pPr><w:pStyle w:val="Normal"/></w:pPr>
<w:r><w:t xml:space="preserve">articles in Pauly-Wissowa, Rcal-Encyclopadie der classischen</w:t></w:r>
</w:p>
<w:p>
<w:pPr><w:pStyle w:val="Normal"/></w:pPr>
<w:r><w:t xml:space="preserve">Altertumswissenschait, Daremberg and Saglio&apos;s Dictionnaire</w:t></w:r>
</w:p>
<w:p>
<w:pPr><w:pStyle w:val="Normal"/></w:pPr>
<w:r><w:t xml:space="preserve">des Antiquites and Roscher&apos;s Lexikon der Mythologie;</w:t></w:r>
</w:p>
<w:p>
<w:pPr><w:pStyle w:val="Normal"/></w:pPr>
<w:r><w:t xml:space="preserve">see also T. W. Allen in Classical Review, May 1906; A. E.</w:t></w:r>
</w:p>
<w:p>
<w:pPr><w:pStyle w:val="Normal"/></w:pPr>
<w:r><w:t xml:space="preserve">Crawley, J. G. Frazer, A. Lang, Ibid., June, July 1893,</w:t></w:r>
</w:p>
<w:p>
<w:pPr><w:pStyle w:val="Normal"/></w:pPr>
<w:r><w:t xml:space="preserve">on Achilles in Scyros.  In the article GREEK ART, fig. 12</w:t></w:r>
</w:p>
<w:p>
<w:pPr><w:pStyle w:val="Normal"/></w:pPr>
<w:r><w:t xml:space="preserve">represents the conflict over the dead body of Achilles.</w:t></w:r>
</w:p>
<w:p>
<w:pPr><w:pStyle w:val="Normal"/></w:pPr>
<w:r><w:t xml:space="preserve">ACHILLES TATIUS, of Alexandria, Greek rhetorician, author</w:t></w:r>
</w:p>
<w:p>
<w:pPr><w:pStyle w:val="Normal"/></w:pPr>
<w:r><w:t xml:space="preserve">of the erotic romance, the Adventures of Leucippe and</w:t></w:r>
</w:p>
<w:p>
<w:pPr><w:pStyle w:val="Normal"/></w:pPr>
<w:r><w:t xml:space="preserve">Cleitophon, flourished about A.D. 450, perhaps later.</w:t></w:r>
</w:p>
<w:p>
<w:pPr><w:pStyle w:val="Normal"/></w:pPr>
<w:r><w:t xml:space="preserve">Suidas, who alone calls him Statius, says that he became a</w:t></w:r>
</w:p>
<w:p>
<w:pPr><w:pStyle w:val="Normal"/></w:pPr>
<w:r><w:t xml:space="preserve">Christian and eventually a bishop--like Hellodorus, whom he</w:t></w:r>
</w:p>
<w:p>
<w:pPr><w:pStyle w:val="Normal"/></w:pPr>
<w:r><w:t xml:space="preserve">imitated--but there is no evidence of this.  Photius, while</w:t></w:r>
</w:p>
<w:p>
<w:pPr><w:pStyle w:val="Normal"/></w:pPr>
<w:r><w:t xml:space="preserve">severely criticizing his lapses into indecency, highly praises</w:t></w:r>
</w:p>
<w:p>
<w:pPr><w:pStyle w:val="Normal"/></w:pPr>
<w:r><w:t xml:space="preserve">the conciseness and clearness of his style, which, however,</w:t></w:r>
</w:p>
<w:p>
<w:pPr><w:pStyle w:val="Normal"/></w:pPr>
<w:r><w:t xml:space="preserve">is artificial and laboured.  Many of the incidents of the</w:t></w:r>
</w:p>
<w:p>
<w:pPr><w:pStyle w:val="Normal"/></w:pPr>
<w:r><w:t xml:space="preserve">romance are highly improbable, and the characters, except the</w:t></w:r>
</w:p>
<w:p>
<w:pPr><w:pStyle w:val="Normal"/></w:pPr>
<w:r><w:t xml:space="preserve">heroine, fail to enlist sympathy.  The descriptive passages</w:t></w:r>
</w:p>
<w:p>
<w:pPr><w:pStyle w:val="Normal"/></w:pPr>
<w:r><w:t xml:space="preserve">and digressions, although tedious and introduced without</w:t></w:r>
</w:p>
<w:p>
<w:pPr><w:pStyle w:val="Normal"/></w:pPr>
<w:r><w:t xml:space="preserve">adequate reasons, are the best part of the work.  The large</w:t></w:r>
</w:p>
<w:p>
<w:pPr><w:pStyle w:val="Normal"/></w:pPr>
<w:r><w:t xml:space="preserve">number of existing MSS. attests its popularity. (Editio</w:t></w:r>
</w:p>
<w:p>
<w:pPr><w:pStyle w:val="Normal"/></w:pPr>
<w:r><w:t xml:space="preserve">princeps, 1601; first important critical edition by (Jacobs,</w:t></w:r>
</w:p>
<w:p>
<w:pPr><w:pStyle w:val="Normal"/></w:pPr>
<w:r><w:t xml:space="preserve">1821; litter editions by Hirschig, 1856; Hercher, 1858.  There</w:t></w:r>
</w:p>
<w:p>
<w:pPr><w:pStyle w:val="Normal"/></w:pPr>
<w:r><w:t xml:space="preserve">are translations in many languages; in English by Anthony</w:t></w:r>
</w:p>
<w:p>
<w:pPr><w:pStyle w:val="Normal"/></w:pPr>
<w:r><w:t xml:space="preserve">Hodges], 1638, and R. Smith, 1855.  See also ROMANCE.)</w:t></w:r>
</w:p>
<w:p>
<w:pPr><w:pStyle w:val="Normal"/></w:pPr>
<w:r><w:t xml:space="preserve">Suidas also ascribes to this author an Etymology, a</w:t></w:r>
</w:p>
<w:p>
<w:pPr><w:pStyle w:val="Normal"/></w:pPr>
<w:r><w:t xml:space="preserve">Miscellaneous History af Famous Men, and a treatise On</w:t></w:r>
</w:p>
<w:p>
<w:pPr><w:pStyle w:val="Normal"/></w:pPr>
<w:r><w:t xml:space="preserve">the Sphere. Part of the last is extant under the title</w:t></w:r>
</w:p>
<w:p>
<w:pPr><w:pStyle w:val="Normal"/></w:pPr>
<w:r><w:t xml:space="preserve">of An Introduction to the Phaenomena of Aratus. But</w:t></w:r>
</w:p>
<w:p>
<w:pPr><w:pStyle w:val="Normal"/></w:pPr>
<w:r><w:t xml:space="preserve">if the writer is the prudentissimus Achilles referred</w:t></w:r>
</w:p>
<w:p>
<w:pPr><w:pStyle w:val="Normal"/></w:pPr>
<w:r><w:t xml:space="preserve">to by Firmicus Maternus (about 336) in his Matheseos</w:t></w:r>
</w:p>
<w:p>
<w:pPr><w:pStyle w:val="Normal"/></w:pPr>
<w:r><w:t xml:space="preserve">libri, iv. 10, 17 (ed. Krolf), he must have lived long</w:t></w:r>
</w:p>
<w:p>
<w:pPr><w:pStyle w:val="Normal"/></w:pPr>
<w:r><w:t xml:space="preserve">before the author of Leucippe. The fragment was first</w:t></w:r>
</w:p>
<w:p>
<w:pPr><w:pStyle w:val="Normal"/></w:pPr>
<w:r><w:t xml:space="preserve">published in 1567, then in the Uranologion of Petavius,</w:t></w:r>
</w:p>
<w:p>
<w:pPr><w:pStyle w:val="Normal"/></w:pPr>
<w:r><w:t xml:space="preserve">with a Latin translation, 1630.  Nothing definite is known</w:t></w:r>
</w:p>
<w:p>
<w:pPr><w:pStyle w:val="Normal"/></w:pPr>
<w:r><w:t xml:space="preserve">as to the authorship of the other works, which are lost.</w:t></w:r>
</w:p>
<w:p>
<w:pPr><w:pStyle w:val="Normal"/></w:pPr>
<w:r><w:t xml:space="preserve">ACHILLINI, ALESSANDRO (1463-1512), Italian philosopher, born</w:t></w:r>
</w:p>
<w:p>
<w:pPr><w:pStyle w:val="Normal"/></w:pPr>
<w:r><w:t xml:space="preserve">on the 29th of October 1463 at Bologna, was celebrated as a</w:t></w:r>
</w:p>
<w:p>
<w:pPr><w:pStyle w:val="Normal"/></w:pPr>
<w:r><w:t xml:space="preserve">lecturer both in medicine and in philosophy at Bologna and</w:t></w:r>
</w:p>
<w:p>
<w:pPr><w:pStyle w:val="Normal"/></w:pPr>
<w:r><w:t xml:space="preserve">Padua, and was styled the second Aristotle.  His philosophical</w:t></w:r>
</w:p>
<w:p>
<w:pPr><w:pStyle w:val="Normal"/></w:pPr>
<w:r><w:t xml:space="preserve">works were printed in one volume folio, at Venice, in 1508,</w:t></w:r>
</w:p>
<w:p>
<w:pPr><w:pStyle w:val="Normal"/></w:pPr>
<w:r><w:t xml:space="preserve">and reprinted with considerable additions in 1545, 1551</w:t></w:r>
</w:p>
<w:p>
<w:pPr><w:pStyle w:val="Normal"/></w:pPr>
<w:r><w:t xml:space="preserve">and 1568. He was also distinguished as an anatomist (see</w:t></w:r>
</w:p>
<w:p>
<w:pPr><w:pStyle w:val="Normal"/></w:pPr>
<w:r><w:t xml:space="preserve">ANATOMY), among his writhigs being Corporis humani Anatomia</w:t></w:r>
</w:p>
<w:p>
<w:pPr><w:pStyle w:val="Normal"/></w:pPr>
<w:r><w:t xml:space="preserve">(Venice, 1516-1524), and Anatomicae Annotationes (Bologna,</w:t></w:r>
</w:p>
<w:p>
<w:pPr><w:pStyle w:val="Normal"/></w:pPr>
<w:r><w:t xml:space="preserve">1520).  He died at Bologna on the 2nd of August 1512.</w:t></w:r>
</w:p>
<w:p>
<w:pPr><w:pStyle w:val="Normal"/></w:pPr>
<w:r><w:t xml:space="preserve">His brother, GIOVANNI FILOTEO ACHILLINI (1466--1533),</w:t></w:r>
</w:p>
<w:p>
<w:pPr><w:pStyle w:val="Normal"/></w:pPr>
<w:r><w:t xml:space="preserve">was the author of Il Viridario and other writings, verse</w:t></w:r>
</w:p>
<w:p>
<w:pPr><w:pStyle w:val="Normal"/></w:pPr>
<w:r><w:t xml:space="preserve">and prose, and his grand-nephew, CLAUDIO ACHILLINI</w:t></w:r>
</w:p>
<w:p>
<w:pPr><w:pStyle w:val="Normal"/></w:pPr>
<w:r><w:t xml:space="preserve">(1574--1640), was a lawyer who achieved some notoriety</w:t></w:r>
</w:p>
<w:p>
<w:pPr><w:pStyle w:val="Normal"/></w:pPr>
<w:r><w:t xml:space="preserve">as a versifier of the school of the Secentisti.</w:t></w:r>
</w:p>
<w:p>
<w:pPr><w:pStyle w:val="Normal"/></w:pPr>
<w:r><w:t xml:space="preserve">ACHIMENES (perhaps from the Gr. achaimienis, an Indian</w:t></w:r>
</w:p>
<w:p>
<w:pPr><w:pStyle w:val="Normal"/></w:pPr>
<w:r><w:t xml:space="preserve">plant used in magic), a genus of plants, natural order</w:t></w:r>
</w:p>
<w:p>
<w:pPr><w:pStyle w:val="Normal"/></w:pPr>
<w:r><w:t xml:space="preserve">Gesneraceae (to which belong also Gloxinia and Streptocarpus),</w:t></w:r>
</w:p>
<w:p>
<w:pPr><w:pStyle w:val="Normal"/></w:pPr>
<w:r><w:t xml:space="preserve">natives of tropical America, and well known in cultivation</w:t></w:r>
</w:p>
<w:p>
<w:pPr><w:pStyle w:val="Normal"/></w:pPr>
<w:r><w:t xml:space="preserve">as stove or warm greenhouse plants.  They are herbaceous</w:t></w:r>
</w:p>
<w:p>
<w:pPr><w:pStyle w:val="Normal"/></w:pPr>
<w:r><w:t xml:space="preserve">perennials, generally with hairy serrated leaves and handsome</w:t></w:r>
</w:p>
<w:p>
<w:pPr><w:pStyle w:val="Normal"/></w:pPr>
<w:r><w:t xml:space="preserve">flowers. The corolla is tubular with a spreading limb, and</w:t></w:r>
</w:p>
<w:p>
<w:pPr><w:pStyle w:val="Normal"/></w:pPr>
<w:r><w:t xml:space="preserve">varies widely in colour, being white, yellow, orange, crimson,</w:t></w:r>
</w:p>
<w:p>
<w:pPr><w:pStyle w:val="Normal"/></w:pPr>
<w:r><w:t xml:space="preserve">scarlet, blue or purple.  A large number of hybrids exist in</w:t></w:r>
</w:p>
<w:p>
<w:pPr><w:pStyle w:val="Normal"/></w:pPr>
<w:r><w:t xml:space="preserve">cultivation.  The plants are grown in the stove till the</w:t></w:r>
</w:p>
<w:p>
<w:pPr><w:pStyle w:val="Normal"/></w:pPr>
<w:r><w:t xml:space="preserve">flowering period, when they may be removed to the greenhouse.</w:t></w:r>
</w:p>
<w:p>
<w:pPr><w:pStyle w:val="Normal"/></w:pPr>
<w:r><w:t xml:space="preserve">They are propagated by cuttings, or from the leaves, which are</w:t></w:r>
</w:p>
<w:p>
<w:pPr><w:pStyle w:val="Normal"/></w:pPr>
<w:r><w:t xml:space="preserve">cut off and pricked in well-drained pots of sandy soil, or by</w:t></w:r>
</w:p>
<w:p>
<w:pPr><w:pStyle w:val="Normal"/></w:pPr>
<w:r><w:t xml:space="preserve">the scales from the underground tubes, which are rubbed off</w:t></w:r>
</w:p>
<w:p>
<w:pPr><w:pStyle w:val="Normal"/></w:pPr>
<w:r><w:t xml:space="preserve">and sown like seeds, or by the seeds, which are very small.</w:t></w:r>
</w:p>
<w:p>
<w:pPr><w:pStyle w:val="Normal"/></w:pPr>
<w:r><w:t xml:space="preserve">ACHIN (Dutch Atjeh), a Dutch government forming the</w:t></w:r>
</w:p>
<w:p>
<w:pPr><w:pStyle w:val="Normal"/></w:pPr>
<w:r><w:t xml:space="preserve">northern extremity of the island of Sumatra, having an</w:t></w:r>
</w:p>
<w:p>
<w:pPr><w:pStyle w:val="Normal"/></w:pPr>
<w:r><w:t xml:space="preserve">estimated area of 20,544 sq. m.  The government is divided</w:t></w:r>
</w:p>
<w:p>
<w:pPr><w:pStyle w:val="Normal"/></w:pPr>
<w:r><w:t xml:space="preserve">into three assistant-residencien--the east coast, the west</w:t></w:r>
</w:p>
<w:p>
<w:pPr><w:pStyle w:val="Normal"/></w:pPr>
<w:r><w:t xml:space="preserve">coast and Great Achin.  The physical geography (see SUMATRA)</w:t></w:r>
</w:p>
<w:p>
<w:pPr><w:pStyle w:val="Normal"/></w:pPr>
<w:r><w:t xml:space="preserve">is imperfectly understood.  Ranges of mountains, roughly</w:t></w:r>
</w:p>
<w:p>
<w:pPr><w:pStyle w:val="Normal"/></w:pPr>
<w:r><w:t xml:space="preserve">parallel to the long axis of the island, and characteristic</w:t></w:r>
</w:p>
<w:p>
<w:pPr><w:pStyle w:val="Normal"/></w:pPr>
<w:r><w:t xml:space="preserve">of the whole of it, appear to occupy the interior, and reach</w:t></w:r>
</w:p>
<w:p>
<w:pPr><w:pStyle w:val="Normal"/></w:pPr>
<w:r><w:t xml:space="preserve">an extreme height of about 12,000 ft. in the south-west</w:t></w:r>
</w:p>
<w:p>
<w:pPr><w:pStyle w:val="Normal"/></w:pPr>
<w:r><w:t xml:space="preserve">of the government.  The coasts are low and the rivers</w:t></w:r>
</w:p>
<w:p>
<w:pPr><w:pStyle w:val="Normal"/></w:pPr>
<w:r><w:t xml:space="preserve">insignificant, rising in the coast ranges and flowing through</w:t></w:r>
</w:p>
<w:p>
<w:pPr><w:pStyle w:val="Normal"/></w:pPr>
<w:r><w:t xml:space="preserve">the coast states (the chief of which are Pedir, Gighen and</w:t></w:r>
</w:p>
<w:p>
<w:pPr><w:pStyle w:val="Normal"/></w:pPr>
<w:r><w:t xml:space="preserve">Samalanga on the N.; Edi, Perlak and Langsar on the E.;</w:t></w:r>
</w:p>
<w:p>
<w:pPr><w:pStyle w:val="Normal"/></w:pPr>
<w:r><w:t xml:space="preserve">Kluwah, Rigas and Melabuh on the W.). The chief ports are</w:t></w:r>
</w:p>
<w:p>
<w:pPr><w:pStyle w:val="Normal"/></w:pPr>
<w:r><w:t xml:space="preserve">Olehleh, the port of Kotaraja or Achin (formerly Kraton,</w:t></w:r>
</w:p>
<w:p>
<w:pPr><w:pStyle w:val="Normal"/></w:pPr>
<w:r><w:t xml:space="preserve">now the seat of the Dutch government), Segli on the N., Edi</w:t></w:r>
</w:p>
<w:p>
<w:pPr><w:pStyle w:val="Normal"/></w:pPr>
<w:r><w:t xml:space="preserve">on the E., and Analabu or Melabuh on the W. Kotaraja lies</w:t></w:r>
</w:p>
<w:p>
<w:pPr><w:pStyle w:val="Normal"/></w:pPr>
<w:r><w:t xml:space="preserve">near the northern extremity of the island, and consists</w:t></w:r>
</w:p>
<w:p>
<w:pPr><w:pStyle w:val="Normal"/></w:pPr>
<w:r><w:t xml:space="preserve">of detached houses of timber and thatch, clustered ill</w:t></w:r>
</w:p>
<w:p>
<w:pPr><w:pStyle w:val="Normal"/></w:pPr>
<w:r><w:t xml:space="preserve">enclosed groups called kampongs, and buried in a forest of</w:t></w:r>
</w:p>
<w:p>
<w:pPr><w:pStyle w:val="Normal"/></w:pPr>
<w:r><w:t xml:space="preserve">fruit-trees.  It is situated nearly 3 m. from the sea, in</w:t></w:r>
</w:p>
<w:p>
<w:pPr><w:pStyle w:val="Normal"/></w:pPr>
<w:r><w:t xml:space="preserve">the valley of the Achin 1iver, which in its upper part, near</w:t></w:r>
</w:p>
<w:p>
<w:pPr><w:pStyle w:val="Normal"/></w:pPr>
<w:r><w:t xml:space="preserve">Sehmun, is 3 m. broad, the river having a breadth of 99 ft.</w:t></w:r>
</w:p>
<w:p>
<w:pPr><w:pStyle w:val="Normal"/></w:pPr>
<w:r><w:t xml:space="preserve">and a depth of 1 1/2 ft.; but in its lower course, north of</w:t></w:r>
</w:p>
<w:p>
<w:pPr><w:pStyle w:val="Normal"/></w:pPr>
<w:r><w:t xml:space="preserve">its junction with the Krung Darn, the valley broadens to 12 1/2</w:t></w:r>
</w:p>
<w:p>
<w:pPr><w:pStyle w:val="Normal"/></w:pPr>
<w:r><w:t xml:space="preserve">m.  The marshy soil is covered by rice-fields, and on</w:t></w:r>
</w:p>
<w:p>
<w:pPr><w:pStyle w:val="Normal"/></w:pPr>
<w:r><w:t xml:space="preserve">higher ground by kampongs full of trees.  The river at</w:t></w:r>
</w:p>
<w:p>
<w:pPr><w:pStyle w:val="Normal"/></w:pPr>
<w:r><w:t xml:space="preserve">its mouth is 327 ft. broad and 20-33 ft. deep, but before</w:t></w:r>
</w:p>
<w:p>
<w:pPr><w:pStyle w:val="Normal"/></w:pPr>
<w:r><w:t xml:space="preserve">it lies a sandbank covered at low water by a depth of only 4</w:t></w:r>
</w:p>
<w:p>
<w:pPr><w:pStyle w:val="Normal"/></w:pPr>
<w:r><w:t xml:space="preserve">ft.  The Dutch garrison in Kotaraja occupies the old Achinese</w:t></w:r>
</w:p>
<w:p>
<w:pPr><w:pStyle w:val="Normal"/></w:pPr>
<w:r><w:t xml:space="preserve">citadel.  The town is connected by rail with Olehleh, and</w:t></w:r>
</w:p>
<w:p>
<w:pPr><w:pStyle w:val="Normal"/></w:pPr>
<w:r><w:t xml:space="preserve">the line also extends up the valley.  The construction</w:t></w:r>
</w:p>
<w:p>
<w:pPr><w:pStyle w:val="Normal"/></w:pPr>
<w:r><w:t xml:space="preserve">of another railway has been undertaken along the east</w:t></w:r>
</w:p>
<w:p>
<w:pPr><w:pStyle w:val="Normal"/></w:pPr>
<w:r><w:t xml:space="preserve">coast.  The following industries are of some importance</w:t></w:r>
</w:p>
<w:p>
<w:pPr><w:pStyle w:val="Normal"/></w:pPr>
<w:r><w:t xml:space="preserve">--gold-working, weapon-making, silk-weaving, the making of</w:t></w:r>
</w:p>
<w:p>
<w:pPr><w:pStyle w:val="Normal"/></w:pPr>
<w:r><w:t xml:space="preserve">pottery, fishing and coasting trade.  The annual value of the</w:t></w:r>
</w:p>
<w:p>
<w:pPr><w:pStyle w:val="Normal"/></w:pPr>
<w:r><w:t xml:space="preserve">exports (chiefly pepper) is about L. 58,000; of the imports,</w:t></w:r>
</w:p>
<w:p>
<w:pPr><w:pStyle w:val="Normal"/></w:pPr>
<w:r><w:t xml:space="preserve">from L. 165,000 to L. 250,000.  The population of Achin in</w:t></w:r>
</w:p>
<w:p>
<w:pPr><w:pStyle w:val="Normal"/></w:pPr>
<w:r><w:t xml:space="preserve">1898 was estimated at 535,432, of whom 328 were Europeans,</w:t></w:r>
</w:p>
<w:p>
<w:pPr><w:pStyle w:val="Normal"/></w:pPr>
<w:r><w:t xml:space="preserve">3933 Chinese, 30 Arabs, and 372 other foreign Asiatics.</w:t></w:r>
</w:p>
<w:p>
<w:pPr><w:pStyle w:val="Normal"/></w:pPr>
<w:r><w:t xml:space="preserve">The Achinese, a people of Malayan stock but darker,</w:t></w:r>
</w:p>
<w:p>
<w:pPr><w:pStyle w:val="Normal"/></w:pPr>
<w:r><w:t xml:space="preserve">somewhat taller and not so pleasant-featured as the true</w:t></w:r>
</w:p>
<w:p>
<w:pPr><w:pStyle w:val="Normal"/></w:pPr>
<w:r><w:t xml:space="preserve">Malays, regard themselves as distinct from the other</w:t></w:r>
</w:p>
<w:p>
<w:pPr><w:pStyle w:val="Normal"/></w:pPr>
<w:r><w:t xml:space="preserve">Sumatrans.  Their nobles claim Arab descent.  They were at</w:t></w:r>
</w:p>
<w:p>
<w:pPr><w:pStyle w:val="Normal"/></w:pPr>
<w:r><w:t xml:space="preserve">one time Hinduized, as is evident from their traditions,</w:t></w:r>
</w:p>
<w:p>
<w:pPr><w:pStyle w:val="Normal"/></w:pPr>
<w:r><w:t xml:space="preserve">the many Sanskrit words in their language, and their</w:t></w:r>
</w:p>
<w:p>
<w:pPr><w:pStyle w:val="Normal"/></w:pPr>
<w:r><w:t xml:space="preserve">general appearance, which suggests Hindu as well as Arab</w:t></w:r>
</w:p>
<w:p>
<w:pPr><w:pStyle w:val="Normal"/></w:pPr>
<w:r><w:t xml:space="preserve">blood.  They are Mahommedans, and although Arab influence has</w:t></w:r>
</w:p>
<w:p>
<w:pPr><w:pStyle w:val="Normal"/></w:pPr>
<w:r><w:t xml:space="preserve">declined, their nobles still wear the Moslem flowing robe and</w:t></w:r>
</w:p>
<w:p>
<w:pPr><w:pStyle w:val="Normal"/></w:pPr>
<w:r><w:t xml:space="preserve">turban (though the women go unveiled), and they use Arabic</w:t></w:r>
</w:p>
<w:p>
<w:pPr><w:pStyle w:val="Normal"/></w:pPr>
<w:r><w:t xml:space="preserve">script.  The chief characteristic is their love of fighting;</w:t></w:r>
</w:p>
<w:p>
<w:pPr><w:pStyle w:val="Normal"/></w:pPr>
<w:r><w:t xml:space="preserve">every man is a soldier and every village has its army.  They</w:t></w:r>
</w:p>
<w:p>
<w:pPr><w:pStyle w:val="Normal"/></w:pPr>
<w:r><w:t xml:space="preserve">are industrious and skilful agriculturists, metal-workers and</w:t></w:r>
</w:p>
<w:p>
<w:pPr><w:pStyle w:val="Normal"/></w:pPr>
<w:r><w:t xml:space="preserve">weavers.  They build excellent ships.  Their chief amusements</w:t></w:r>
</w:p>
<w:p>
<w:pPr><w:pStyle w:val="Normal"/></w:pPr>
<w:r><w:t xml:space="preserve">are gambling and opium-smoking.  Their social organization is</w:t></w:r>
</w:p>
<w:p>
<w:pPr><w:pStyle w:val="Normal"/></w:pPr>
<w:r><w:t xml:space="preserve">communal.  They live in kampongs, which combine to form</w:t></w:r>
</w:p>
<w:p>
<w:pPr><w:pStyle w:val="Normal"/></w:pPr>
<w:r><w:t xml:space="preserve">mukims, districts or hundreds (to use the nearest English</w:t></w:r>
</w:p>
<w:p>
<w:pPr><w:pStyle w:val="Normal"/></w:pPr>
<w:r><w:t xml:space="preserve">term), which again combine to form sagis, of which there are</w:t></w:r>
</w:p>
<w:p>
<w:pPr><w:pStyle w:val="Normal"/></w:pPr>
<w:r><w:t xml:space="preserve">three.  Achin literature, unlike the language, is entirely</w:t></w:r>
</w:p>
<w:p>
<w:pPr><w:pStyle w:val="Normal"/></w:pPr>
<w:r><w:t xml:space="preserve">Malay; it includes poetry, a good deal of theology and several</w:t></w:r>
</w:p>
<w:p>
<w:pPr><w:pStyle w:val="Normal"/></w:pPr>
<w:r><w:t xml:space="preserve">chronicles.  Northern Sumatra was visited by several European</w:t></w:r>
</w:p>
<w:p>
<w:pPr><w:pStyle w:val="Normal"/></w:pPr>
<w:r><w:t xml:space="preserve">travellers in the middle ages, such as Marco Polo, Friar</w:t></w:r>
</w:p>
<w:p>
<w:pPr><w:pStyle w:val="Normal"/></w:pPr>
<w:r><w:t xml:space="preserve">Odorico and Nicolo Conti.  Some of these as well as Asiatic</w:t></w:r>
</w:p>
<w:p>
<w:pPr><w:pStyle w:val="Normal"/></w:pPr>
<w:r><w:t xml:space="preserve">writers mention Lambri, a state which must have nearly</w:t></w:r>
</w:p>
<w:p>
<w:pPr><w:pStyle w:val="Normal"/></w:pPr>
<w:r><w:t xml:space="preserve">occupied the position of Achin.  But the first voyager to visit</w:t></w:r>
</w:p>
<w:p>
<w:pPr><w:pStyle w:val="Normal"/></w:pPr>
<w:r><w:t xml:space="preserve">Achin, by that name, was Alvaro Tellez, a captain of Tristan</w:t></w:r>
</w:p>
<w:p>
<w:pPr><w:pStyle w:val="Normal"/></w:pPr>
<w:r><w:t xml:space="preserve">d&apos;Acunha&apos;s fleet, in 1506.  It was then a mere dependency of</w:t></w:r>
</w:p>
<w:p>
<w:pPr><w:pStyle w:val="Normal"/></w:pPr>
<w:r><w:t xml:space="preserve">the adjoining state of Pedir; and the latter, with Pasei,</w:t></w:r>
</w:p>
<w:p>
<w:pPr><w:pStyle w:val="Normal"/></w:pPr>
<w:r><w:t xml:space="preserve">formed the only states on the coast whose chiefs claimed the</w:t></w:r>
</w:p>
<w:p>
<w:pPr><w:pStyle w:val="Normal"/></w:pPr>
<w:r><w:t xml:space="preserve">title of sultan. Yet before twenty years had passed Achin</w:t></w:r>
</w:p>
<w:p>
<w:pPr><w:pStyle w:val="Normal"/></w:pPr>
<w:r><w:t xml:space="preserve">had not only gained independence, but had swallowed up all</w:t></w:r>
</w:p>
<w:p>
<w:pPr><w:pStyle w:val="Normal"/></w:pPr>
<w:r><w:t xml:space="preserve">other states of northern Sumatra.  It attained its climax of</w:t></w:r>
</w:p>
<w:p>
<w:pPr><w:pStyle w:val="Normal"/></w:pPr>
<w:r><w:t xml:space="preserve">power in the time of Sultan Iskandar Muda (1607--1636), under</w:t></w:r>
</w:p>
<w:p>
<w:pPr><w:pStyle w:val="Normal"/></w:pPr>
<w:r><w:t xml:space="preserve">whom the subject coast extended from Aru opposite Malacca</w:t></w:r>
</w:p>
<w:p>
<w:pPr><w:pStyle w:val="Normal"/></w:pPr>
<w:r><w:t xml:space="preserve">round by the north to Benkulen on the west coast, a sea-board</w:t></w:r>
</w:p>
<w:p>
<w:pPr><w:pStyle w:val="Normal"/></w:pPr>
<w:r><w:t xml:space="preserve">of not less than 1100 miles; and besides this, the king&apos;s</w:t></w:r>
</w:p>
<w:p>
<w:pPr><w:pStyle w:val="Normal"/></w:pPr>
<w:r><w:t xml:space="preserve">supremacy was owned by the large island of Nias, and by the</w:t></w:r>
</w:p>
<w:p>
<w:pPr><w:pStyle w:val="Normal"/></w:pPr>
<w:r><w:t xml:space="preserve">continental Malay states of Johor, Pahang, Kedah and Perak.</w:t></w:r>
</w:p>
<w:p>
<w:pPr><w:pStyle w:val="Normal"/></w:pPr>
<w:r><w:t xml:space="preserve">The chief attraction of Achin to traders in the 17th century</w:t></w:r>
</w:p>
<w:p>
<w:pPr><w:pStyle w:val="Normal"/></w:pPr>
<w:r><w:t xml:space="preserve">must have been gold.  No place in the East, unless Japan,</w:t></w:r>
</w:p>
<w:p>
<w:pPr><w:pStyle w:val="Normal"/></w:pPr>
<w:r><w:t xml:space="preserve">was so abundantly supplied with gold.  The great repute</w:t></w:r>
</w:p>
<w:p>
<w:pPr><w:pStyle w:val="Normal"/></w:pPr>
<w:r><w:t xml:space="preserve">of Achin as a place of trade is shown by the fact that to</w:t></w:r>
</w:p>
<w:p>
<w:pPr><w:pStyle w:val="Normal"/></w:pPr>
<w:r><w:t xml:space="preserve">this port the first Dutch (1599) and first English (1602)</w:t></w:r>
</w:p>
<w:p>
<w:pPr><w:pStyle w:val="Normal"/></w:pPr>
<w:r><w:t xml:space="preserve">commercial ventures to the Indies were directed.  Sir James</w:t></w:r>
</w:p>
<w:p>
<w:pPr><w:pStyle w:val="Normal"/></w:pPr>
<w:r><w:t xml:space="preserve">Lancaster, the English commodore, carried letters from Queen</w:t></w:r>
</w:p>
<w:p>
<w:pPr><w:pStyle w:val="Normal"/></w:pPr>
<w:r><w:t xml:space="preserve">Elizabeth to the king of Achin, and was well received by the</w:t></w:r>
</w:p>
<w:p>
<w:pPr><w:pStyle w:val="Normal"/></w:pPr>
<w:r><w:t xml:space="preserve">prince then reigning, Alauddin Shah.  Another exchange of</w:t></w:r>
</w:p>
<w:p>
<w:pPr><w:pStyle w:val="Normal"/></w:pPr>
<w:r><w:t xml:space="preserve">letters took place between King James I. and Iskandar Muda in</w:t></w:r>
</w:p>
<w:p>
<w:pPr><w:pStyle w:val="Normal"/></w:pPr>
<w:r><w:t xml:space="preserve">1613.  But native caprice and jealousy of the growing force</w:t></w:r>
</w:p>
<w:p>
<w:pPr><w:pStyle w:val="Normal"/></w:pPr>
<w:r><w:t xml:space="preserve">of the European nations in these seas, and the rivalries</w:t></w:r>
</w:p>
<w:p>
<w:pPr><w:pStyle w:val="Normal"/></w:pPr>
<w:r><w:t xml:space="preserve">between those nations themselves, were destructive of sound</w:t></w:r>
</w:p>
<w:p>
<w:pPr><w:pStyle w:val="Normal"/></w:pPr>
<w:r><w:t xml:space="preserve">trade; and the English factory, though several times set up,</w:t></w:r>
</w:p>
<w:p>
<w:pPr><w:pStyle w:val="Normal"/></w:pPr>
<w:r><w:t xml:space="preserve">was never long maintained.  The French made one great effort</w:t></w:r>
</w:p>
<w:p>
<w:pPr><w:pStyle w:val="Normal"/></w:pPr>
<w:r><w:t xml:space="preserve">(1621) to establish relations with Achin, but nothing came of</w:t></w:r>
</w:p>
<w:p>
<w:pPr><w:pStyle w:val="Normal"/></w:pPr>
<w:r><w:t xml:space="preserve">it.  Still the foreign trade of Achin, though subject to</w:t></w:r>
</w:p>
<w:p>
<w:pPr><w:pStyle w:val="Normal"/></w:pPr>
<w:r><w:t xml:space="preserve">interruptions, was important.  William Dampier (c. 1688)</w:t></w:r>
</w:p>
<w:p>
<w:pPr><w:pStyle w:val="Normal"/></w:pPr>
<w:r><w:t xml:space="preserve">and others speak of the number of foreign merchants settled</w:t></w:r>
</w:p>
<w:p>
<w:pPr><w:pStyle w:val="Normal"/></w:pPr>
<w:r><w:t xml:space="preserve">there--English, Dutch, Danes, Portuguese, Chinese, &amp;c. Dampier</w:t></w:r>
</w:p>
<w:p>
<w:pPr><w:pStyle w:val="Normal"/></w:pPr>
<w:r><w:t xml:space="preserve">says the anchorage was rarely without ten or fifteen sail of</w:t></w:r>
</w:p>
<w:p>
<w:pPr><w:pStyle w:val="Normal"/></w:pPr>
<w:r><w:t xml:space="preserve">different nations, bringing vast quantities of rice, as well</w:t></w:r>
</w:p>
<w:p>
<w:pPr><w:pStyle w:val="Normal"/></w:pPr>
<w:r><w:t xml:space="preserve">as silks, chintzes, muslins and opium.  Besides the Chinese</w:t></w:r>
</w:p>
<w:p>
<w:pPr><w:pStyle w:val="Normal"/></w:pPr>
<w:r><w:t xml:space="preserve">merchants settled at Achin, others used to come annually with</w:t></w:r>
</w:p>
<w:p>
<w:pPr><w:pStyle w:val="Normal"/></w:pPr>
<w:r><w:t xml:space="preserve">the junks, ten or twelve in number, which arrived in June.</w:t></w:r>
</w:p>
<w:p>
<w:pPr><w:pStyle w:val="Normal"/></w:pPr>
<w:r><w:t xml:space="preserve">A regular fair was then established, which lasted two months,</w:t></w:r>
</w:p>
<w:p>
<w:pPr><w:pStyle w:val="Normal"/></w:pPr>
<w:r><w:t xml:space="preserve">and was known as the China camp, a great resort of foreigners.</w:t></w:r>
</w:p>
<w:p>
<w:pPr><w:pStyle w:val="Normal"/></w:pPr>
<w:r><w:t xml:space="preserve">Hostilities with the Portuguese began from the time of</w:t></w:r>
</w:p>
<w:p>
<w:pPr><w:pStyle w:val="Normal"/></w:pPr>
<w:r><w:t xml:space="preserve">the first independent king of Achin; and they had little</w:t></w:r>
</w:p>
<w:p>
<w:pPr><w:pStyle w:val="Normal"/></w:pPr>
<w:r><w:t xml:space="preserve">remission till the power of Portugal fell with the loss of</w:t></w:r>
</w:p>
<w:p>
<w:pPr><w:pStyle w:val="Normal"/></w:pPr>
<w:r><w:t xml:space="preserve">Malacca (1641). Not less than ten times before that event</w:t></w:r>
</w:p>
<w:p>
<w:pPr><w:pStyle w:val="Normal"/></w:pPr>
<w:r><w:t xml:space="preserve">were armaments despatched from Achin to reduce Malacca, and</w:t></w:r>
</w:p>
<w:p>
<w:pPr><w:pStyle w:val="Normal"/></w:pPr>
<w:r><w:t xml:space="preserve">more than once its garrison was hard pressed.  One of these</w:t></w:r>
</w:p>
<w:p>
<w:pPr><w:pStyle w:val="Normal"/></w:pPr>
<w:r><w:t xml:space="preserve">armadas, equipped by Iskandar Muda in 1615, gives an idea of</w:t></w:r>
</w:p>
<w:p>
<w:pPr><w:pStyle w:val="Normal"/></w:pPr>
<w:r><w:t xml:space="preserve">the king&apos;s resources. It consisted of 500 sail, of which 250</w:t></w:r>
</w:p>
<w:p>
<w:pPr><w:pStyle w:val="Normal"/></w:pPr>
<w:r><w:t xml:space="preserve">were galleys, and among these a hundred were greater than</w:t></w:r>
</w:p>
<w:p>
<w:pPr><w:pStyle w:val="Normal"/></w:pPr>
<w:r><w:t xml:space="preserve">any then used in Europe. Sixty thousand men were embarked.</w:t></w:r>
</w:p>
<w:p>
<w:pPr><w:pStyle w:val="Normal"/></w:pPr>
<w:r><w:t xml:space="preserve">On the death of Iskandar&apos;s successor in 1641, the widow</w:t></w:r>
</w:p>
<w:p>
<w:pPr><w:pStyle w:val="Normal"/></w:pPr>
<w:r><w:t xml:space="preserve">was placed on the throne; and as a female reign favoured</w:t></w:r>
</w:p>
<w:p>
<w:pPr><w:pStyle w:val="Normal"/></w:pPr>
<w:r><w:t xml:space="preserve">the oligarchical tendencies of the Malay chiefs, three</w:t></w:r>
</w:p>
<w:p>
<w:pPr><w:pStyle w:val="Normal"/></w:pPr>
<w:r><w:t xml:space="preserve">more queens were allowed to reign successively.  In</w:t></w:r>
</w:p>
<w:p>
<w:pPr><w:pStyle w:val="Normal"/></w:pPr>
<w:r><w:t xml:space="preserve">1699 the Arab or fanatical party suppressed female</w:t></w:r>
</w:p>
<w:p>
<w:pPr><w:pStyle w:val="Normal"/></w:pPr>
<w:r><w:t xml:space="preserve">government, and put a chief of Arab blood on the throne.</w:t></w:r>
</w:p>
<w:p>
<w:pPr><w:pStyle w:val="Normal"/></w:pPr>
<w:r><w:t xml:space="preserve">The remaining history of Achin was one of rapid decay.</w:t></w:r>
</w:p>
<w:p>
<w:pPr><w:pStyle w:val="Normal"/></w:pPr>
<w:r><w:t xml:space="preserve">After the restoration of Java to the Netherlands in 1816, a</w:t></w:r>
</w:p>
<w:p>
<w:pPr><w:pStyle w:val="Normal"/></w:pPr>
<w:r><w:t xml:space="preserve">good deal of weight was attached by the neighbouring British</w:t></w:r>
</w:p>
<w:p>
<w:pPr><w:pStyle w:val="Normal"/></w:pPr>
<w:r><w:t xml:space="preserve">colonies to the maintenance of influence in Achin; and in</w:t></w:r>
</w:p>
<w:p>
<w:pPr><w:pStyle w:val="Normal"/></w:pPr>
<w:r><w:t xml:space="preserve">1819 a treaty of friendship was concluded with the Calcutta</w:t></w:r>
</w:p>
<w:p>
<w:pPr><w:pStyle w:val="Normal"/></w:pPr>
<w:r><w:t xml:space="preserve">government which excluded other European nationalities from</w:t></w:r>
</w:p>
<w:p>
<w:pPr><w:pStyle w:val="Normal"/></w:pPr>
<w:r><w:t xml:space="preserve">fixed residence in Achin.  When the British government, in</w:t></w:r>
</w:p>
<w:p>
<w:pPr><w:pStyle w:val="Normal"/></w:pPr>
<w:r><w:t xml:space="preserve">1824, made a treaty with the Netherlands, surrendering the</w:t></w:r>
</w:p>
<w:p>
<w:pPr><w:pStyle w:val="Normal"/></w:pPr>
<w:r><w:t xml:space="preserve">remaining British settlements in Sumatra in exchange for</w:t></w:r>
</w:p>
<w:p>
<w:pPr><w:pStyle w:val="Normal"/></w:pPr>
<w:r><w:t xml:space="preserve">certain possessions on the continent of Asia, no reference</w:t></w:r>
</w:p>
<w:p>
<w:pPr><w:pStyle w:val="Normal"/></w:pPr>
<w:r><w:t xml:space="preserve">was made in the articles to the Indian treaty of 1819; but an</w:t></w:r>
</w:p>
<w:p>
<w:pPr><w:pStyle w:val="Normal"/></w:pPr>
<w:r><w:t xml:space="preserve">understanding was exchanged that it should be modified, while no</w:t></w:r>
</w:p>
<w:p>
<w:pPr><w:pStyle w:val="Normal"/></w:pPr>
<w:r><w:t xml:space="preserve">proceedings hostile to Achin should be attempted by the Dutch.</w:t></w:r>
</w:p>
<w:p>
<w:pPr><w:pStyle w:val="Normal"/></w:pPr>
<w:r><w:t xml:space="preserve">This reservation was formally abandoned by the British government</w:t></w:r>
</w:p>
<w:p>
<w:pPr><w:pStyle w:val="Normal"/></w:pPr>
<w:r><w:t xml:space="preserve">in a convention signed at the Hague on the 2nd of November 1871;</w:t></w:r>
</w:p>
<w:p>
<w:pPr><w:pStyle w:val="Normal"/></w:pPr>
<w:r><w:t xml:space="preserve">and in March 1873 the government of Batavia declared war upon</w:t></w:r>
</w:p>
<w:p>
<w:pPr><w:pStyle w:val="Normal"/></w:pPr>
<w:r><w:t xml:space="preserve">Achin.  Doubtless there was provocation, for the sultan</w:t></w:r>
</w:p>
<w:p>
<w:pPr><w:pStyle w:val="Normal"/></w:pPr>
<w:r><w:t xml:space="preserve">of Achin had not kept to the understanding that he was to</w:t></w:r>
</w:p>
<w:p>
<w:pPr><w:pStyle w:val="Normal"/></w:pPr>
<w:r><w:t xml:space="preserve">guarantee immunity from piracy to foreign traders; but the</w:t></w:r>
</w:p>
<w:p>
<w:pPr><w:pStyle w:val="Normal"/></w:pPr>
<w:r><w:t xml:space="preserve">necessity for war was greatly doubted, even in Holland.  A</w:t></w:r>
</w:p>
<w:p>
<w:pPr><w:pStyle w:val="Normal"/></w:pPr>
<w:r><w:t xml:space="preserve">Dutch force landed at Achin in April 1873, and attacked the</w:t></w:r>
</w:p>
<w:p>
<w:pPr><w:pStyle w:val="Normal"/></w:pPr>
<w:r><w:t xml:space="preserve">palace.  It was defeated with considerable loss, including</w:t></w:r>
</w:p>
<w:p>
<w:pPr><w:pStyle w:val="Normal"/></w:pPr>
<w:r><w:t xml:space="preserve">that of the general (Kohler).The approach of the south-west</w:t></w:r>
</w:p>
<w:p>
<w:pPr><w:pStyle w:val="Normal"/></w:pPr>
<w:r><w:t xml:space="preserve">monsoon precluded the immediate renewal of the attempt; but</w:t></w:r>
</w:p>
<w:p>
<w:pPr><w:pStyle w:val="Normal"/></w:pPr>
<w:r><w:t xml:space="preserve">hostilities were resumed, and Achin fell in January 1874.</w:t></w:r>
</w:p>
<w:p>
<w:pPr><w:pStyle w:val="Normal"/></w:pPr>
<w:r><w:t xml:space="preserve">The natives, however, maintained themselves in the interior,</w:t></w:r>
</w:p>
<w:p>
<w:pPr><w:pStyle w:val="Normal"/></w:pPr>
<w:r><w:t xml:space="preserve">inaccessible to the Dutch troops, and carried on a guerilla</w:t></w:r>
</w:p>
<w:p>
<w:pPr><w:pStyle w:val="Normal"/></w:pPr>
<w:r><w:t xml:space="preserve">warfare.  General van der Hoyden appeared to have subdued</w:t></w:r>
</w:p>
<w:p>
<w:pPr><w:pStyle w:val="Normal"/></w:pPr>
<w:r><w:t xml:space="preserve">them in 1878-81, but they broke out again in 1896 under</w:t></w:r>
</w:p>
<w:p>
<w:pPr><w:pStyle w:val="Normal"/></w:pPr>
<w:r><w:t xml:space="preserve">the traitor Taku Umar, who had been in alliance with the</w:t></w:r>
</w:p>
<w:p>
<w:pPr><w:pStyle w:val="Normal"/></w:pPr>
<w:r><w:t xml:space="preserve">Dutch.  He died shortly afterwards, but the trouble was not</w:t></w:r>
</w:p>
<w:p>
<w:pPr><w:pStyle w:val="Normal"/></w:pPr>
<w:r><w:t xml:space="preserve">ended.  General van Hentsz carried on a successful campaign in</w:t></w:r>
</w:p>
<w:p>
<w:pPr><w:pStyle w:val="Normal"/></w:pPr>
<w:r><w:t xml:space="preserve">1898 seq., but in 1901, the principal Achinese chiefs on the</w:t></w:r>
</w:p>
<w:p>
<w:pPr><w:pStyle w:val="Normal"/></w:pPr>
<w:r><w:t xml:space="preserve">north coast having surrendered, the pretender-sultan fled to</w:t></w:r>
</w:p>
<w:p>
<w:pPr><w:pStyle w:val="Normal"/></w:pPr>
<w:r><w:t xml:space="preserve">the Gajoes, a neighbouring inland people.  Several expeditions</w:t></w:r>
</w:p>
<w:p>
<w:pPr><w:pStyle w:val="Normal"/></w:pPr>
<w:r><w:t xml:space="preserve">involving heavy fighting were necessary against these in 1901-4,</w:t></w:r>
</w:p>
<w:p>
<w:pPr><w:pStyle w:val="Normal"/></w:pPr>
<w:r><w:t xml:space="preserve">and a certain amount of success was achieved, but the pretender</w:t></w:r>
</w:p>
<w:p>
<w:pPr><w:pStyle w:val="Normal"/></w:pPr>
<w:r><w:t xml:space="preserve">escaped, revolt still smouldered and hostilities were continued.</w:t></w:r>
</w:p>
<w:p>
<w:pPr><w:pStyle w:val="Normal"/></w:pPr>
<w:r><w:t xml:space="preserve">See P. J. Vein, Atchini en zijne betrekkingen tot Nederland</w:t></w:r>
</w:p>
<w:p>
<w:pPr><w:pStyle w:val="Normal"/></w:pPr>
<w:r><w:t xml:space="preserve">(Leyden, 1873); J. A. Kruijt, Atjeh en de Atjehers (Leyden,</w:t></w:r>
</w:p>
<w:p>
<w:pPr><w:pStyle w:val="Normal"/></w:pPr>
<w:r><w:t xml:space="preserve">1877); Kielstra, Beschrijving van dcn Atjeh-oorlog (The</w:t></w:r>
</w:p>
<w:p>
<w:pPr><w:pStyle w:val="Normal"/></w:pPr>
<w:r><w:t xml:space="preserve">Hague, 1883); Van Langen, Atjeh&apos;s Wesskust, Tijdschrift</w:t></w:r>
</w:p>
<w:p>
<w:pPr><w:pStyle w:val="Normal"/></w:pPr>
<w:r><w:t xml:space="preserve">Aardrjjko, Genotktsch. (Amsterdam, 1888), p. 226;</w:t></w:r>
</w:p>
<w:p>
<w:pPr><w:pStyle w:val="Normal"/></w:pPr>
<w:r><w:t xml:space="preserve">Renaud, Jaarboek van het Mynwezen (1882); J. Jacobs,</w:t></w:r>
</w:p>
<w:p>
<w:pPr><w:pStyle w:val="Normal"/></w:pPr>
<w:r><w:t xml:space="preserve">Het famille-en Kampongleven op Groot Atjeh (Leyden,</w:t></w:r>
</w:p>
<w:p>
<w:pPr><w:pStyle w:val="Normal"/></w:pPr>
<w:r><w:t xml:space="preserve">1894); C. Snouck Hurgronje, De Atjehers (Batavia, 1894).</w:t></w:r>
</w:p>
<w:p>
<w:pPr><w:pStyle w:val="Normal"/></w:pPr>
<w:r><w:t xml:space="preserve">ACHOLI, a negro people of the upper Nile valley, dwelling on</w:t></w:r>
</w:p>
<w:p>
<w:pPr><w:pStyle w:val="Normal"/></w:pPr>
<w:r><w:t xml:space="preserve">the east bank of the Bahr-el-Jebel, about a hundred miles north</w:t></w:r>
</w:p>
<w:p>
<w:pPr><w:pStyle w:val="Normal"/></w:pPr>
<w:r><w:t xml:space="preserve">of Albert Nyanza.  They are akin to the Shilluks of the White</w:t></w:r>
</w:p>
<w:p>
<w:pPr><w:pStyle w:val="Normal"/></w:pPr>
<w:r><w:t xml:space="preserve">Nile.  They frequently decorate the temples or cheeks with</w:t></w:r>
</w:p>
<w:p>
<w:pPr><w:pStyle w:val="Normal"/></w:pPr>
<w:r><w:t xml:space="preserve">wavy or zigzag scars, and also the thighs with scrolls; some</w:t></w:r>
</w:p>
<w:p>
<w:pPr><w:pStyle w:val="Normal"/></w:pPr>
<w:r><w:t xml:space="preserve">pierce the ears.  Their dwelling-places are circular huts</w:t></w:r>
</w:p>
<w:p>
<w:pPr><w:pStyle w:val="Normal"/></w:pPr>
<w:r><w:t xml:space="preserve">with a high peak, furnished with a mud sleeping-platform,</w:t></w:r>
</w:p>
<w:p>
<w:pPr><w:pStyle w:val="Normal"/></w:pPr>
<w:r><w:t xml:space="preserve">jars of grain and a sunk fireplace.  The interior walls are</w:t></w:r>
</w:p>
<w:p>
<w:pPr><w:pStyle w:val="Normal"/></w:pPr>
<w:r><w:t xml:space="preserve">daubed with mud and decorated with geometrical or conventional</w:t></w:r>
</w:p>
<w:p>
<w:pPr><w:pStyle w:val="Normal"/></w:pPr>
<w:r><w:t xml:space="preserve">designs in red, white or grey.  The Acholi are good hunters,</w:t></w:r>
</w:p>
<w:p>
<w:pPr><w:pStyle w:val="Normal"/></w:pPr>
<w:r><w:t xml:space="preserve">using nets and spears, and keep goats, sheep and cattle.  In</w:t></w:r>
</w:p>
<w:p>
<w:pPr><w:pStyle w:val="Normal"/></w:pPr>
<w:r><w:t xml:space="preserve">war they use spears and long, narrow shields of giraffe or ox</w:t></w:r>
</w:p>
<w:p>
<w:pPr><w:pStyle w:val="Normal"/></w:pPr>
<w:r><w:t xml:space="preserve">hide.  Their dialect is closely allied to those of the Alur,</w:t></w:r>
</w:p>
<w:p>
<w:pPr><w:pStyle w:val="Normal"/></w:pPr>
<w:r><w:t xml:space="preserve">Lango and ja-Luo tribes, all four being practically pure</w:t></w:r>
</w:p>
<w:p>
<w:pPr><w:pStyle w:val="Normal"/></w:pPr>
<w:r><w:t xml:space="preserve">Nilotic.  Their religion is a vague fetishism.  By early</w:t></w:r>
</w:p>
<w:p>
<w:pPr><w:pStyle w:val="Normal"/></w:pPr>
<w:r><w:t xml:space="preserve">explorers the Acholi were called Shuli, a name now obsolete.</w:t></w:r>
</w:p>
<w:p>
<w:pPr><w:pStyle w:val="Normal"/></w:pPr>
<w:r><w:t xml:space="preserve">ACHROMATISM (Gr. a-, privative, chroma, colour),</w:t></w:r>
</w:p>
<w:p>
<w:pPr><w:pStyle w:val="Normal"/></w:pPr>
<w:r><w:t xml:space="preserve">in optics, the property of transmitting white light,</w:t></w:r>
</w:p>
<w:p>
<w:pPr><w:pStyle w:val="Normal"/></w:pPr>
<w:r><w:t xml:space="preserve">without decomposing it into the colours of the spectrum;</w:t></w:r>
</w:p>
<w:p>
<w:pPr><w:pStyle w:val="Normal"/></w:pPr>
<w:r><w:t xml:space="preserve">``achromatic lenses&apos;&apos; are lenses which possess this</w:t></w:r>
</w:p>
<w:p>
<w:pPr><w:pStyle w:val="Normal"/></w:pPr>
<w:r><w:t xml:space="preserve">property. (See LENS, ABERRATION and PHOTOGRAPHY.)</w:t></w:r>
</w:p>
<w:p>
<w:pPr><w:pStyle w:val="Normal"/></w:pPr>
<w:r><w:t xml:space="preserve">ACID (from the Lat. root ac-, sharp; acere, to be</w:t></w:r>
</w:p>
<w:p>
<w:pPr><w:pStyle w:val="Normal"/></w:pPr>
<w:r><w:t xml:space="preserve">sour), the name loosely applied to any sour substance;</w:t></w:r>
</w:p>
<w:p>
<w:pPr><w:pStyle w:val="Normal"/></w:pPr>
<w:r><w:t xml:space="preserve">in chemistry it has a more precise meaning, denoting a</w:t></w:r>
</w:p>
<w:p>
<w:pPr><w:pStyle w:val="Normal"/></w:pPr>
<w:r><w:t xml:space="preserve">substance containing hydrogen which may be replaced by</w:t></w:r>
</w:p>
<w:p>
<w:pPr><w:pStyle w:val="Normal"/></w:pPr>
<w:r><w:t xml:space="preserve">metals with the formation of salts. An acid may therefore be</w:t></w:r>
</w:p>
<w:p>
<w:pPr><w:pStyle w:val="Normal"/></w:pPr>
<w:r><w:t xml:space="preserve">regarded as a salt of hydrogen.  Of the general characters</w:t></w:r>
</w:p>
<w:p>
<w:pPr><w:pStyle w:val="Normal"/></w:pPr>
<w:r><w:t xml:space="preserve">of acids we may here notice that they dissolve alkaline</w:t></w:r>
</w:p>
<w:p>
<w:pPr><w:pStyle w:val="Normal"/></w:pPr>
<w:r><w:t xml:space="preserve">substances, certain metals, &amp;c., neutralize alkalies and</w:t></w:r>
</w:p>
<w:p>
<w:pPr><w:pStyle w:val="Normal"/></w:pPr>
<w:r><w:t xml:space="preserve">redden many blue and violet vegetable colouring matters.</w:t></w:r>
</w:p>
<w:p>
<w:pPr><w:pStyle w:val="Normal"/></w:pPr>
<w:r><w:t xml:space="preserve">The ancients probably possessed little knowledge indeed of</w:t></w:r>
</w:p>
<w:p>
<w:pPr><w:pStyle w:val="Normal"/></w:pPr>
<w:r><w:t xml:space="preserve">acids.  Vinegar (or impure acetic acid), which is produced</w:t></w:r>
</w:p>
<w:p>
<w:pPr><w:pStyle w:val="Normal"/></w:pPr>
<w:r><w:t xml:space="preserve">when wine is allowed to stand, was known to both the</w:t></w:r>
</w:p>
<w:p>
<w:pPr><w:pStyle w:val="Normal"/></w:pPr>
<w:r><w:t xml:space="preserve">Greeks and Romans, who considered it to be typical of acid</w:t></w:r>
</w:p>
<w:p>
<w:pPr><w:pStyle w:val="Normal"/></w:pPr>
<w:r><w:t xml:space="preserve">substances; this is philologically illustrated by the words</w:t></w:r>
</w:p>
<w:p>
<w:pPr><w:pStyle w:val="Normal"/></w:pPr>
<w:r><w:t xml:space="preserve">oxus, acidus, sour, and oxos, acetus, vinegar.</w:t></w:r>
</w:p>
<w:p>
<w:pPr><w:pStyle w:val="Normal"/></w:pPr>
<w:r><w:t xml:space="preserve">Other acids became known during the alchemistic period;</w:t></w:r>
</w:p>
<w:p>
<w:pPr><w:pStyle w:val="Normal"/></w:pPr>
<w:r><w:t xml:space="preserve">and the first attempt at a generalized conception of these</w:t></w:r>
</w:p>
<w:p>
<w:pPr><w:pStyle w:val="Normal"/></w:pPr>
<w:r><w:t xml:space="preserve">substances was made by Paracelsus, who supposed them to contain</w:t></w:r>
</w:p>
<w:p>
<w:pPr><w:pStyle w:val="Normal"/></w:pPr>
<w:r><w:t xml:space="preserve">a principle which conferred the properties of sourness and</w:t></w:r>
</w:p>
<w:p>
<w:pPr><w:pStyle w:val="Normal"/></w:pPr>
<w:r><w:t xml:space="preserve">solubility.  Somewhat similar views were promoted by Becher,</w:t></w:r>
</w:p>
<w:p>
<w:pPr><w:pStyle w:val="Normal"/></w:pPr>
<w:r><w:t xml:space="preserve">who named the principle acidum primogenium, and held</w:t></w:r>
</w:p>
<w:p>
<w:pPr><w:pStyle w:val="Normal"/></w:pPr>
<w:r><w:t xml:space="preserve">that it was composed of the Paracelsian elements ``earth&apos;&apos;</w:t></w:r>
</w:p>
<w:p>
<w:pPr><w:pStyle w:val="Normal"/></w:pPr>
<w:r><w:t xml:space="preserve">and ``water.&apos;&apos; At about the same time Boyle investigated</w:t></w:r>
</w:p>
<w:p>
<w:pPr><w:pStyle w:val="Normal"/></w:pPr>
<w:r><w:t xml:space="preserve">several acids; he established their general reddening of</w:t></w:r>
</w:p>
<w:p>
<w:pPr><w:pStyle w:val="Normal"/></w:pPr>
<w:r><w:t xml:space="preserve">litmus, their solvent power of metals and basic substances,</w:t></w:r>
</w:p>
<w:p>
<w:pPr><w:pStyle w:val="Normal"/></w:pPr>
<w:r><w:t xml:space="preserve">and the production of neutral bodies, or salts, with alkalies.</w:t></w:r>
</w:p>
<w:p>
<w:pPr><w:pStyle w:val="Normal"/></w:pPr>
<w:r><w:t xml:space="preserve">Theoretical conceptions were revived by Stahl, who held that</w:t></w:r>
</w:p>
<w:p>
<w:pPr><w:pStyle w:val="Normal"/></w:pPr>
<w:r><w:t xml:space="preserve">acids were the fundamentals of all salts, and the erroneous</w:t></w:r>
</w:p>
<w:p>
<w:pPr><w:pStyle w:val="Normal"/></w:pPr>
<w:r><w:t xml:space="preserve">idea that sulphuric acid was the principle of all acids.</w:t></w:r>
</w:p>
<w:p>
<w:pPr><w:pStyle w:val="Normal"/></w:pPr>
<w:r><w:t xml:space="preserve">The phlogistic theory of the processes of calcination and</w:t></w:r>
</w:p>
<w:p>
<w:pPr><w:pStyle w:val="Normal"/></w:pPr>
<w:r><w:t xml:space="preserve">combustion necessitated the view that many acids, such as</w:t></w:r>
</w:p>
<w:p>
<w:pPr><w:pStyle w:val="Normal"/></w:pPr>
<w:r><w:t xml:space="preserve">those produced by combustion, e.g. sulphurous, phosphoric,</w:t></w:r>
</w:p>
<w:p>
<w:pPr><w:pStyle w:val="Normal"/></w:pPr>
<w:r><w:t xml:space="preserve">carbonic, &amp;c., should be regarded as elementary substances.</w:t></w:r>
</w:p>
<w:p>
<w:pPr><w:pStyle w:val="Normal"/></w:pPr>
<w:r><w:t xml:space="preserve">This principle more or less prevailed until it was overthrown</w:t></w:r>
</w:p>
<w:p>
<w:pPr><w:pStyle w:val="Normal"/></w:pPr>
<w:r><w:t xml:space="preserve">by Lavoisier&apos;s doctrine that oxygen was the acid-producing</w:t></w:r>
</w:p>
<w:p>
<w:pPr><w:pStyle w:val="Normal"/></w:pPr>
<w:r><w:t xml:space="preserve">element; Lavoisier being led to this conclusion by the almost</w:t></w:r>
</w:p>
<w:p>
<w:pPr><w:pStyle w:val="Normal"/></w:pPr>
<w:r><w:t xml:space="preserve">general observation that acids were produced when non-metallic</w:t></w:r>
</w:p>
<w:p>
<w:pPr><w:pStyle w:val="Normal"/></w:pPr>
<w:r><w:t xml:space="preserve">elements were burnt.  The existence of acids not containing</w:t></w:r>
</w:p>
<w:p>
<w:pPr><w:pStyle w:val="Normal"/></w:pPr>
<w:r><w:t xml:space="preserve">oxygen was, in itself, sufficient to overthrow this idea,</w:t></w:r>
</w:p>
<w:p>
<w:pPr><w:pStyle w:val="Normal"/></w:pPr>
<w:r><w:t xml:space="preserve">but, although Berthollet had shown, in 1789, that sulphuretted</w:t></w:r>
</w:p>
<w:p>
<w:pPr><w:pStyle w:val="Normal"/></w:pPr>
<w:r><w:t xml:space="preserve">hydrogen (or hydrosulphuric acid) contained no oxygen,</w:t></w:r>
</w:p>
<w:p>
<w:pPr><w:pStyle w:val="Normal"/></w:pPr>
<w:r><w:t xml:space="preserve">Lavoisier&apos;s theory held its own until the researches of Davy,</w:t></w:r>
</w:p>
<w:p>
<w:pPr><w:pStyle w:val="Normal"/></w:pPr>
<w:r><w:t xml:space="preserve">Gay-Lussac and Thenard on hydrochloric acid and chlorine,</w:t></w:r>
</w:p>
<w:p>
<w:pPr><w:pStyle w:val="Normal"/></w:pPr>
<w:r><w:t xml:space="preserve">and of Gay-Lussac on hydrocyanic acid, established beyond all</w:t></w:r>
</w:p>
<w:p>
<w:pPr><w:pStyle w:val="Normal"/></w:pPr>
<w:r><w:t xml:space="preserve">cavil that oxygen was not essential to acidic properties.</w:t></w:r>
</w:p>
<w:p>
<w:pPr><w:pStyle w:val="Normal"/></w:pPr>
<w:r><w:t xml:space="preserve">In the Lavoisierian nomenclature acids were regarded as</w:t></w:r>
</w:p>
<w:p>
<w:pPr><w:pStyle w:val="Normal"/></w:pPr>
<w:r><w:t xml:space="preserve">binary oxygenated compounds, the associated water being</w:t></w:r>
</w:p>
<w:p>
<w:pPr><w:pStyle w:val="Normal"/></w:pPr>
<w:r><w:t xml:space="preserve">relegated to the position of a mere solvent.  Somewhat</w:t></w:r>
</w:p>
<w:p>
<w:pPr><w:pStyle w:val="Normal"/></w:pPr>
<w:r><w:t xml:space="preserve">similar views were held by Berzelius, when developing his</w:t></w:r>
</w:p>
<w:p>
<w:pPr><w:pStyle w:val="Normal"/></w:pPr>
<w:r><w:t xml:space="preserve">dualistic conception of the composition of substances.  In</w:t></w:r>
</w:p>
<w:p>
<w:pPr><w:pStyle w:val="Normal"/></w:pPr>
<w:r><w:t xml:space="preserve">later years Berzelius renounced the ``oxygen acid&apos;&apos; theory,</w:t></w:r>
</w:p>
<w:p>
<w:pPr><w:pStyle w:val="Normal"/></w:pPr>
<w:r><w:t xml:space="preserve">but not before Davy, and, almost simultaneously, Dulong, had</w:t></w:r>
</w:p>
<w:p>
<w:pPr><w:pStyle w:val="Normal"/></w:pPr>
<w:r><w:t xml:space="preserve">submitted that hydrogen and not oxygen was the acidifying</w:t></w:r>
</w:p>
<w:p>
<w:pPr><w:pStyle w:val="Normal"/></w:pPr>
<w:r><w:t xml:space="preserve">principle. Opposition to the ``hydrogen-acid&apos;&apos; theory centred</w:t></w:r>
</w:p>
<w:p>
<w:pPr><w:pStyle w:val="Normal"/></w:pPr>
<w:r><w:t xml:space="preserve">mainly about the hypothetical radicals which it postulated;</w:t></w:r>
</w:p>
<w:p>
<w:pPr><w:pStyle w:val="Normal"/></w:pPr>
<w:r><w:t xml:space="preserve">moreover, the electrochemical theory of Berzelius exerted</w:t></w:r>
</w:p>
<w:p>
<w:pPr><w:pStyle w:val="Normal"/></w:pPr>
<w:r><w:t xml:space="preserve">a stultifying influence on the correct views of Davy and</w:t></w:r>
</w:p>
<w:p>
<w:pPr><w:pStyle w:val="Normal"/></w:pPr>
<w:r><w:t xml:space="preserve">Dulong.  In Berzelius&apos; system potassium sulphate is to be</w:t></w:r>
</w:p>
<w:p>
<w:pPr><w:pStyle w:val="Normal"/></w:pPr>
<w:r><w:t xml:space="preserve">regarded as K2O+.SO3-; electrolysis should simply effect</w:t></w:r>
</w:p>
<w:p>
<w:pPr><w:pStyle w:val="Normal"/></w:pPr>
<w:r><w:t xml:space="preserve">the disruption of the positive and negative components, potash</w:t></w:r>
</w:p>
<w:p>
<w:pPr><w:pStyle w:val="Normal"/></w:pPr>
<w:r><w:t xml:space="preserve">passing with the current, and sulphuric acid against the</w:t></w:r>
</w:p>
<w:p>
<w:pPr><w:pStyle w:val="Normal"/></w:pPr>
<w:r><w:t xml:space="preserve">current.  Experiment showed, however, that instead of only</w:t></w:r>
</w:p>
<w:p>
<w:pPr><w:pStyle w:val="Normal"/></w:pPr>
<w:r><w:t xml:space="preserve">potash appearing at the negative electrode, hydrogen is also</w:t></w:r>
</w:p>
<w:p>
<w:pPr><w:pStyle w:val="Normal"/></w:pPr>
<w:r><w:t xml:space="preserve">liberated; this is inexplicable by Berzelius&apos;s theory, but</w:t></w:r>
</w:p>
<w:p>
<w:pPr><w:pStyle w:val="Normal"/></w:pPr>
<w:r><w:t xml:space="preserve">readily explained by the ``hydrogen-acid&apos;&apos; theory.  By this</w:t></w:r>
</w:p>
<w:p>
<w:pPr><w:pStyle w:val="Normal"/></w:pPr>
<w:r><w:t xml:space="preserve">theory potassium is liberated at the negative electrode and</w:t></w:r>
</w:p>
<w:p>
<w:pPr><w:pStyle w:val="Normal"/></w:pPr>
<w:r><w:t xml:space="preserve">combines immediately with water to form potash and hydrogen.</w:t></w:r>
</w:p>
<w:p>
<w:pPr><w:pStyle w:val="Normal"/></w:pPr>
<w:r><w:t xml:space="preserve">Further and stronger support was given when J. Liebig promoted</w:t></w:r>
</w:p>
<w:p>
<w:pPr><w:pStyle w:val="Normal"/></w:pPr>
<w:r><w:t xml:space="preserve">his doctrine of polybasic acids.  Dalton&apos;s idea that elements</w:t></w:r>
</w:p>
<w:p>
<w:pPr><w:pStyle w:val="Normal"/></w:pPr>
<w:r><w:t xml:space="preserve">preferentially combined in equiatomic proportions had as an</w:t></w:r>
</w:p>
<w:p>
<w:pPr><w:pStyle w:val="Normal"/></w:pPr>
<w:r><w:t xml:space="preserve">immediate inference that metallic oxides contained one atom</w:t></w:r>
</w:p>
<w:p>
<w:pPr><w:pStyle w:val="Normal"/></w:pPr>
<w:r><w:t xml:space="preserve">of the metal to one atom of oxygen, and a simple expansion</w:t></w:r>
</w:p>
<w:p>
<w:pPr><w:pStyle w:val="Normal"/></w:pPr>
<w:r><w:t xml:space="preserve">of this conception was that one atom of oxide combined with</w:t></w:r>
</w:p>
<w:p>
<w:pPr><w:pStyle w:val="Normal"/></w:pPr>
<w:r><w:t xml:space="preserve">one atom of acid to form one atom of a neutral salt.  This</w:t></w:r>
</w:p>
<w:p>
<w:pPr><w:pStyle w:val="Normal"/></w:pPr>
<w:r><w:t xml:space="preserve">view, which was specially supported by Gay-Lussac and Leopold</w:t></w:r>
</w:p>
<w:p>
<w:pPr><w:pStyle w:val="Normal"/></w:pPr>
<w:r><w:t xml:space="preserve">Gmelin and accepted by Berzelius, necessitated that all</w:t></w:r>
</w:p>
<w:p>
<w:pPr><w:pStyle w:val="Normal"/></w:pPr>
<w:r><w:t xml:space="preserve">acids were monobasic.  The untenability of this theory was</w:t></w:r>
</w:p>
<w:p>
<w:pPr><w:pStyle w:val="Normal"/></w:pPr>
<w:r><w:t xml:space="preserve">proved by Thomas Graham&apos;s investigation of the phosphoric</w:t></w:r>
</w:p>
<w:p>
<w:pPr><w:pStyle w:val="Normal"/></w:pPr>
<w:r><w:t xml:space="preserve">acids; for he then showed that the ortho- (ordinary), pyro-</w:t></w:r>
</w:p>
<w:p>
<w:pPr><w:pStyle w:val="Normal"/></w:pPr>
<w:r><w:t xml:space="preserve">and metaphosphoric acids contained respectively 3, 2 and</w:t></w:r>
</w:p>
<w:p>
<w:pPr><w:pStyle w:val="Normal"/></w:pPr>
<w:r><w:t xml:space="preserve">1 molecules of ``basic water&apos;&apos; (which were replaceable by</w:t></w:r>
</w:p>
<w:p>
<w:pPr><w:pStyle w:val="Normal"/></w:pPr>
<w:r><w:t xml:space="preserve">metallic oxides) and one molecule of phosphoric oxide, P2</w:t></w:r>
</w:p>
<w:p>
<w:pPr><w:pStyle w:val="Normal"/></w:pPr>
<w:r><w:t xml:space="preserve">O5.  Graham&apos;s work was developed by Liebig, who called into</w:t></w:r>
</w:p>
<w:p>
<w:pPr><w:pStyle w:val="Normal"/></w:pPr>
<w:r><w:t xml:space="preserve">service many organic acids---citric, tartaric, cyanuric,</w:t></w:r>
</w:p>
<w:p>
<w:pPr><w:pStyle w:val="Normal"/></w:pPr>
<w:r><w:t xml:space="preserve">comenic and meconic---and showed that these resembled</w:t></w:r>
</w:p>
<w:p>
<w:pPr><w:pStyle w:val="Normal"/></w:pPr>
<w:r><w:t xml:space="preserve">phosphoric acid; and he established as the criterion of</w:t></w:r>
</w:p>
<w:p>
<w:pPr><w:pStyle w:val="Normal"/></w:pPr>
<w:r><w:t xml:space="preserve">polybasicity the existence of compound salts with different</w:t></w:r>
</w:p>
<w:p>
<w:pPr><w:pStyle w:val="Normal"/></w:pPr>
<w:r><w:t xml:space="preserve">metallic oxides.  In formulating these facts Liebig at</w:t></w:r>
</w:p>
<w:p>
<w:pPr><w:pStyle w:val="Normal"/></w:pPr>
<w:r><w:t xml:space="preserve">first retained the dualistic conception of the structure of</w:t></w:r>
</w:p>
<w:p>
<w:pPr><w:pStyle w:val="Normal"/></w:pPr>
<w:r><w:t xml:space="preserve">acids; but he shortly afterwards perceived that this view</w:t></w:r>
</w:p>
<w:p>
<w:pPr><w:pStyle w:val="Normal"/></w:pPr>
<w:r><w:t xml:space="preserve">lacked generality since the halogen acids, which contained</w:t></w:r>
</w:p>
<w:p>
<w:pPr><w:pStyle w:val="Normal"/></w:pPr>
<w:r><w:t xml:space="preserve">no oxygen but yet formed salts exactly similar in properties</w:t></w:r>
</w:p>
<w:p>
<w:pPr><w:pStyle w:val="Normal"/></w:pPr>
<w:r><w:t xml:space="preserve">to those containing oxygen, could not be so regarded. This</w:t></w:r>
</w:p>
<w:p>
<w:pPr><w:pStyle w:val="Normal"/></w:pPr>
<w:r><w:t xml:space="preserve">and other reasons led to his rejection of the dualistic</w:t></w:r>
</w:p>
<w:p>
<w:pPr><w:pStyle w:val="Normal"/></w:pPr>
<w:r><w:t xml:space="preserve">hypothesis and the adoption, on the ground of probability,</w:t></w:r>
</w:p>
<w:p>
<w:pPr><w:pStyle w:val="Normal"/></w:pPr>
<w:r><w:t xml:space="preserve">and much more from convenience, of the tenet that ``acids</w:t></w:r>
</w:p>
<w:p>
<w:pPr><w:pStyle w:val="Normal"/></w:pPr>
<w:r><w:t xml:space="preserve">are particular compounds of hydrogen, in which the latter</w:t></w:r>
</w:p>
<w:p>
<w:pPr><w:pStyle w:val="Normal"/></w:pPr>
<w:r><w:t xml:space="preserve">can be replaced by metals&apos;&apos;; while, on the constitution of</w:t></w:r>
</w:p>
<w:p>
<w:pPr><w:pStyle w:val="Normal"/></w:pPr>
<w:r><w:t xml:space="preserve">salts, he held that ``neutral salts are those compounds</w:t></w:r>
</w:p>
<w:p>
<w:pPr><w:pStyle w:val="Normal"/></w:pPr>
<w:r><w:t xml:space="preserve">of the same class in which the hydrogen is replaced by its</w:t></w:r>
</w:p>
<w:p>
<w:pPr><w:pStyle w:val="Normal"/></w:pPr>
<w:r><w:t xml:space="preserve">equivalent in metal.  The substances which we at present</w:t></w:r>
</w:p>
<w:p>
<w:pPr><w:pStyle w:val="Normal"/></w:pPr>
<w:r><w:t xml:space="preserve">term anhydrous acids (acid oxides) only become, for the</w:t></w:r>
</w:p>
<w:p>
<w:pPr><w:pStyle w:val="Normal"/></w:pPr>
<w:r><w:t xml:space="preserve">most part, capable of forming salts with metallic oxides</w:t></w:r>
</w:p>
<w:p>
<w:pPr><w:pStyle w:val="Normal"/></w:pPr>
<w:r><w:t xml:space="preserve">after the addition of water, or they are compounds which</w:t></w:r>
</w:p>
<w:p>
<w:pPr><w:pStyle w:val="Normal"/></w:pPr>
<w:r><w:t xml:space="preserve">decompose these oxides at somewhat high temperatures.&apos;&apos;</w:t></w:r>
</w:p>
<w:p>
<w:pPr><w:pStyle w:val="Normal"/></w:pPr>
<w:r><w:t xml:space="preserve">The hydrogen theory and the doctrine of polybasicity as</w:t></w:r>
</w:p>
<w:p>
<w:pPr><w:pStyle w:val="Normal"/></w:pPr>
<w:r><w:t xml:space="preserve">enunciated by Liebig is the fundamental characteristic of</w:t></w:r>
</w:p>
<w:p>
<w:pPr><w:pStyle w:val="Normal"/></w:pPr>
<w:r><w:t xml:space="preserve">the modern theory.  A polybasic acid contains more than one</w:t></w:r>
</w:p>
<w:p>
<w:pPr><w:pStyle w:val="Normal"/></w:pPr>
<w:r><w:t xml:space="preserve">atom of hydrogen which is replaceable by metals; moreover, in</w:t></w:r>
</w:p>
<w:p>
<w:pPr><w:pStyle w:val="Normal"/></w:pPr>
<w:r><w:t xml:space="preserve">such an acid the replacement may be entire with the formation</w:t></w:r>
</w:p>
<w:p>
<w:pPr><w:pStyle w:val="Normal"/></w:pPr>
<w:r><w:t xml:space="preserve">of normal salts, partial with the formation of acid salts,</w:t></w:r>
</w:p>
<w:p>
<w:pPr><w:pStyle w:val="Normal"/></w:pPr>
<w:r><w:t xml:space="preserve">or by two or more different metals with the formation of</w:t></w:r>
</w:p>
<w:p>
<w:pPr><w:pStyle w:val="Normal"/></w:pPr>
<w:r><w:t xml:space="preserve">compound salts (see SALTS). These facts may be illustrated</w:t></w:r>
</w:p>
<w:p>
<w:pPr><w:pStyle w:val="Normal"/></w:pPr>
<w:r><w:t xml:space="preserve">with the aid of orthophosphoric acid, which is tribasic:--</w:t></w:r>
</w:p>
<w:p>
<w:pPr><w:pStyle w:val="Normal"/></w:pPr>
<w:r><w:t xml:space="preserve">Acid.             Normal salt.            Acid salts.</w:t></w:r>
</w:p>
<w:p>
<w:pPr><w:pStyle w:val="Normal"/></w:pPr>
<w:r><w:t xml:space="preserve">H3PO4           Ag3PO4        Na2HPO4; NaH2PO4</w:t></w:r>
</w:p>
<w:p>
<w:pPr><w:pStyle w:val="Normal"/></w:pPr>
<w:r><w:t xml:space="preserve">Phosphoric           Silver phosphate.            Acid sodium</w:t></w:r>
</w:p>
<w:p>
<w:pPr><w:pStyle w:val="Normal"/></w:pPr>
<w:r><w:t xml:space="preserve">acid.                                           phosphates.</w:t></w:r>
</w:p>
<w:p>
<w:pPr><w:pStyle w:val="Normal"/></w:pPr>
<w:r><w:t xml:space="preserve">Compound salts.</w:t></w:r>
</w:p>
<w:p>
<w:pPr><w:pStyle w:val="Normal"/></w:pPr>
<w:r><w:t xml:space="preserve">Mg(NH4)PO4;        Na(NH4)HPO4.</w:t></w:r>
</w:p>
<w:p>
<w:pPr><w:pStyle w:val="Normal"/></w:pPr>
<w:r><w:t xml:space="preserve">Magnesium ammonium          Microcosmic</w:t></w:r>
</w:p>
<w:p>
<w:pPr><w:pStyle w:val="Normal"/></w:pPr>
<w:r><w:t xml:space="preserve">phosphate;                 salt.</w:t></w:r>
</w:p>
<w:p>
<w:pPr><w:pStyle w:val="Normal"/></w:pPr>
<w:r><w:t xml:space="preserve">Reference should be made to the articles CHEMICAL</w:t></w:r>
</w:p>
<w:p>
<w:pPr><w:pStyle w:val="Normal"/></w:pPr>
<w:r><w:t xml:space="preserve">ACTION, THERMOCHEMISTRY and SOLUTIONS, for</w:t></w:r>
</w:p>
<w:p>
<w:pPr><w:pStyle w:val="Normal"/></w:pPr>
<w:r><w:t xml:space="preserve">the theory of the strength or avidity of acids.</w:t></w:r>
</w:p>
<w:p>
<w:pPr><w:pStyle w:val="Normal"/></w:pPr>
<w:r><w:t xml:space="preserve">Organic Acids.---Organic acids are characterized by the</w:t></w:r>
</w:p>
<w:p>
<w:pPr><w:pStyle w:val="Normal"/></w:pPr>
<w:r><w:t xml:space="preserve">presence of the monovalent group--CO.OH, termed the carboxyl</w:t></w:r>
</w:p>
<w:p>
<w:pPr><w:pStyle w:val="Normal"/></w:pPr>
<w:r><w:t xml:space="preserve">group, in which the hydrogen atom is replaceable by metals</w:t></w:r>
</w:p>
<w:p>
<w:pPr><w:pStyle w:val="Normal"/></w:pPr>
<w:r><w:t xml:space="preserve">with the formation of salts, and by alkyl radicals with the</w:t></w:r>
</w:p>
<w:p>
<w:pPr><w:pStyle w:val="Normal"/></w:pPr>
<w:r><w:t xml:space="preserve">formation of esters.  The basicity of an organic acid, as</w:t></w:r>
</w:p>
<w:p>
<w:pPr><w:pStyle w:val="Normal"/></w:pPr>
<w:r><w:t xml:space="preserve">above defined, is determined by the number of carboxyl groups</w:t></w:r>
</w:p>
<w:p>
<w:pPr><w:pStyle w:val="Normal"/></w:pPr>
<w:r><w:t xml:space="preserve">present. Oxy-acids are carboxyllc acids which also contain</w:t></w:r>
</w:p>
<w:p>
<w:pPr><w:pStyle w:val="Normal"/></w:pPr>
<w:r><w:t xml:space="preserve">a hydroxyl group; similarly we may have aldehyde-acids,</w:t></w:r>
</w:p>
<w:p>
<w:pPr><w:pStyle w:val="Normal"/></w:pPr>
<w:r><w:t xml:space="preserve">ketone-acids, &amp;c. Since the more important acids are treated</w:t></w:r>
</w:p>
<w:p>
<w:pPr><w:pStyle w:val="Normal"/></w:pPr>
<w:r><w:t xml:space="preserve">under their own headings, or under substances closely allied to</w:t></w:r>
</w:p>
<w:p>
<w:pPr><w:pStyle w:val="Normal"/></w:pPr>
<w:r><w:t xml:space="preserve">them, we shall here confine ourselves to general relations.</w:t></w:r>
</w:p>
<w:p>
<w:pPr><w:pStyle w:val="Normal"/></w:pPr>
<w:r><w:t xml:space="preserve">Classification.--It is convenient to distinguish between</w:t></w:r>
</w:p>
<w:p>
<w:pPr><w:pStyle w:val="Normal"/></w:pPr>
<w:r><w:t xml:space="preserve">aliphatic and aromatic acids; the first named being derived from</w:t></w:r>
</w:p>
<w:p>
<w:pPr><w:pStyle w:val="Normal"/></w:pPr>
<w:r><w:t xml:space="preserve">open-chain hydrocarbons, the second from ringed hydrocarbon</w:t></w:r>
</w:p>
<w:p>
<w:pPr><w:pStyle w:val="Normal"/></w:pPr>
<w:r><w:t xml:space="preserve">nuclei.  Aliphatic monobasic acids are further divided</w:t></w:r>
</w:p>
<w:p>
<w:pPr><w:pStyle w:val="Normal"/></w:pPr>
<w:r><w:t xml:space="preserve">according to the nature of the parent hydrocarbon.  Methane</w:t></w:r>
</w:p>
<w:p>
<w:pPr><w:pStyle w:val="Normal"/></w:pPr>
<w:r><w:t xml:space="preserve">and its homologues give origin to the ``paraffin&apos;&apos; or ``fatty</w:t></w:r>
</w:p>
<w:p>
<w:pPr><w:pStyle w:val="Normal"/></w:pPr>
<w:r><w:t xml:space="preserve">series&apos;&apos; of the general formula Cn H2n+1COOH, ethylene</w:t></w:r>
</w:p>
<w:p>
<w:pPr><w:pStyle w:val="Normal"/></w:pPr>
<w:r><w:t xml:space="preserve">gives origin to the acrylic acid series, CnH2n-1COOH, and</w:t></w:r>
</w:p>
<w:p>
<w:pPr><w:pStyle w:val="Normal"/></w:pPr>
<w:r><w:t xml:space="preserve">soon.  Dibasic acids of the paraffin series of hydrocarbons</w:t></w:r>
</w:p>
<w:p>
<w:pPr><w:pStyle w:val="Normal"/></w:pPr>
<w:r><w:t xml:space="preserve">have the general formula CnH2(COOH)2n; malonic and succinic</w:t></w:r>
</w:p>
<w:p>
<w:pPr><w:pStyle w:val="Normal"/></w:pPr>
<w:r><w:t xml:space="preserve">acids are important members.  The isomerism which occurs as</w:t></w:r>
</w:p>
<w:p>
<w:pPr><w:pStyle w:val="Normal"/></w:pPr>
<w:r><w:t xml:space="preserve">soon as the molecule contains a few carbon atoms renders any</w:t></w:r>
</w:p>
<w:p>
<w:pPr><w:pStyle w:val="Normal"/></w:pPr>
<w:r><w:t xml:space="preserve">classification based on empirical molecular formulae somewhat</w:t></w:r>
</w:p>
<w:p>
<w:pPr><w:pStyle w:val="Normal"/></w:pPr>
<w:r><w:t xml:space="preserve">ineffective; on the other hand, a scheme based on molecular</w:t></w:r>
</w:p>
<w:p>
<w:pPr><w:pStyle w:val="Normal"/></w:pPr>
<w:r><w:t xml:space="preserve">structure would involve more detail than it is here possible to</w:t></w:r>
</w:p>
<w:p>
<w:pPr><w:pStyle w:val="Normal"/></w:pPr>
<w:r><w:t xml:space="preserve">give.  For further information, the reader is referred to</w:t></w:r>
</w:p>
<w:p>
<w:pPr><w:pStyle w:val="Normal"/></w:pPr>
<w:r><w:t xml:space="preserve">any standard work on organic chemistry.  A list of the acids</w:t></w:r>
</w:p>
<w:p>
<w:pPr><w:pStyle w:val="Normal"/></w:pPr>
<w:r><w:t xml:space="preserve">present in fats and oils is given in the article OILS.</w:t></w:r>
</w:p>
<w:p>
<w:pPr><w:pStyle w:val="Normal"/></w:pPr>
<w:r><w:t xml:space="preserve">Syntheses of Organic Acids.---The simplest syntheses are</w:t></w:r>
</w:p>
<w:p>
<w:pPr><w:pStyle w:val="Normal"/></w:pPr>
<w:r><w:t xml:space="preserve">undoubtedly those in which a carboxyl group is obtained</w:t></w:r>
</w:p>
<w:p>
<w:pPr><w:pStyle w:val="Normal"/></w:pPr>
<w:r><w:t xml:space="preserve">directly from the oxides of carbon, carbon dioxide and carbon</w:t></w:r>
</w:p>
<w:p>
<w:pPr><w:pStyle w:val="Normal"/></w:pPr>
<w:r><w:t xml:space="preserve">monoxide. The simplest of all include: (1) the synthesis</w:t></w:r>
</w:p>
<w:p>
<w:pPr><w:pStyle w:val="Normal"/></w:pPr>
<w:r><w:t xml:space="preserve">of sodium oxalate by passing carbon dioxide over metallic</w:t></w:r>
</w:p>
<w:p>
<w:pPr><w:pStyle w:val="Normal"/></w:pPr>
<w:r><w:t xml:space="preserve">sodium heated to 350 deg. -360 deg. ; (2) the synthesis of potassium</w:t></w:r>
</w:p>
<w:p>
<w:pPr><w:pStyle w:val="Normal"/></w:pPr>
<w:r><w:t xml:space="preserve">formate from moist carbon dioxide and potassium, potassium</w:t></w:r>
</w:p>
<w:p>
<w:pPr><w:pStyle w:val="Normal"/></w:pPr>
<w:r><w:t xml:space="preserve">carbonate being obtained simultaneously; (3) the synthesis</w:t></w:r>
</w:p>
<w:p>
<w:pPr><w:pStyle w:val="Normal"/></w:pPr>
<w:r><w:t xml:space="preserve">of potassium acetate and propionate from carbon dioxide</w:t></w:r>
</w:p>
<w:p>
<w:pPr><w:pStyle w:val="Normal"/></w:pPr>
<w:r><w:t xml:space="preserve">and sodium methide and sodium ethide; (4) the synthesis of</w:t></w:r>
</w:p>
<w:p>
<w:pPr><w:pStyle w:val="Normal"/></w:pPr>
<w:r><w:t xml:space="preserve">aromatic acids by the interaction of carbon dioxide, sodium</w:t></w:r>
</w:p>
<w:p>
<w:pPr><w:pStyle w:val="Normal"/></w:pPr>
<w:r><w:t xml:space="preserve">and a bromine substitution derivative; and (5) the synthesis</w:t></w:r>
</w:p>
<w:p>
<w:pPr><w:pStyle w:val="Normal"/></w:pPr>
<w:r><w:t xml:space="preserve">of aromatic oxy-acids by the interaction of carbon dioxide</w:t></w:r>
</w:p>
<w:p>
<w:pPr><w:pStyle w:val="Normal"/></w:pPr>
<w:r><w:t xml:space="preserve">and sodium phenolates (see SALICYLIC ACID). (Carbon monoxide</w:t></w:r>
</w:p>
<w:p>
<w:pPr><w:pStyle w:val="Normal"/></w:pPr>
<w:r><w:t xml:space="preserve">takes part in the syntheses of sodium formate from sodium</w:t></w:r>
</w:p>
<w:p>
<w:pPr><w:pStyle w:val="Normal"/></w:pPr>
<w:r><w:t xml:space="preserve">hydrate, or soda lime (at 200 deg. -220 deg. ), and of sodium acetate</w:t></w:r>
</w:p>
<w:p>
<w:pPr><w:pStyle w:val="Normal"/></w:pPr>
<w:r><w:t xml:space="preserve">and propionate from sodium methylate and sodium ethylate at</w:t></w:r>
</w:p>
<w:p>
<w:pPr><w:pStyle w:val="Normal"/></w:pPr>
<w:r><w:t xml:space="preserve">160 deg. --200 deg. .  Other reactions which introduce carboxyl groups</w:t></w:r>
</w:p>
<w:p>
<w:pPr><w:pStyle w:val="Normal"/></w:pPr>
<w:r><w:t xml:space="preserve">into aromatic groups ave: the action of carbonyl chloride on</w:t></w:r>
</w:p>
<w:p>
<w:pPr><w:pStyle w:val="Normal"/></w:pPr>
<w:r><w:t xml:space="preserve">aromatic hydrocarbons in the presence of aluminium chloride,</w:t></w:r>
</w:p>
<w:p>
<w:pPr><w:pStyle w:val="Normal"/></w:pPr>
<w:r><w:t xml:space="preserve">acid-chlorides being formed which are readily decomposed</w:t></w:r>
</w:p>
<w:p>
<w:pPr><w:pStyle w:val="Normal"/></w:pPr>
<w:r><w:t xml:space="preserve">by water to give the acid; the action of urea chloride</w:t></w:r>
</w:p>
<w:p>
<w:pPr><w:pStyle w:val="Normal"/></w:pPr>
<w:r><w:t xml:space="preserve">Cl.CO.NH2, cyanuric acid (CONH)3, nascent cyanic acid,</w:t></w:r>
</w:p>
<w:p>
<w:pPr><w:pStyle w:val="Normal"/></w:pPr>
<w:r><w:t xml:space="preserve">or carbanile on hydrocarbons in the presence of aluminium</w:t></w:r>
</w:p>
<w:p>
<w:pPr><w:pStyle w:val="Normal"/></w:pPr>
<w:r><w:t xml:space="preserve">chloride, acid-amides being obtained which are readily</w:t></w:r>
</w:p>
<w:p>
<w:pPr><w:pStyle w:val="Normal"/></w:pPr>
<w:r><w:t xml:space="preserve">decomposed to give the acid.  An important nucleus-synthetic</w:t></w:r>
</w:p>
<w:p>
<w:pPr><w:pStyle w:val="Normal"/></w:pPr>
<w:r><w:t xml:space="preserve">reaction is the saponification of nitriles, which may</w:t></w:r>
</w:p>
<w:p>
<w:pPr><w:pStyle w:val="Normal"/></w:pPr>
<w:r><w:t xml:space="preserve">be obtained by the interaction of potassium cyanide with</w:t></w:r>
</w:p>
<w:p>
<w:pPr><w:pStyle w:val="Normal"/></w:pPr>
<w:r><w:t xml:space="preserve">a halogen substitution derivative or a sulphonic acid.</w:t></w:r>
</w:p>
<w:p>
<w:pPr><w:pStyle w:val="Normal"/></w:pPr>
<w:r><w:t xml:space="preserve">Acids frequently result as oxidation products, being almost</w:t></w:r>
</w:p>
<w:p>
<w:pPr><w:pStyle w:val="Normal"/></w:pPr>
<w:r><w:t xml:space="preserve">invariably formed in all cases of energetic oxidation.  There</w:t></w:r>
</w:p>
<w:p>
<w:pPr><w:pStyle w:val="Normal"/></w:pPr>
<w:r><w:t xml:space="preserve">are certain reactions, however, in which oxidation can be</w:t></w:r>
</w:p>
<w:p>
<w:pPr><w:pStyle w:val="Normal"/></w:pPr>
<w:r><w:t xml:space="preserve">successfully applied to the synthesis of acids.  Thus primary</w:t></w:r>
</w:p>
<w:p>
<w:pPr><w:pStyle w:val="Normal"/></w:pPr>
<w:r><w:t xml:space="preserve">alcohols and aldehydes, both of the aliphatic and aromatic</w:t></w:r>
</w:p>
<w:p>
<w:pPr><w:pStyle w:val="Normal"/></w:pPr>
<w:r><w:t xml:space="preserve">series, readily yield on oxidation acids containing the same</w:t></w:r>
</w:p>
<w:p>
<w:pPr><w:pStyle w:val="Normal"/></w:pPr>
<w:r><w:t xml:space="preserve">number of carbon atoms.  These reactions may be shown thus:-</w:t></w:r>
</w:p>
<w:p>
<w:pPr><w:pStyle w:val="Normal"/></w:pPr>
<w:r><w:t xml:space="preserve">R.CH2OH -&gt; R.CHO -&gt; R.CO.OH.</w:t></w:r>
</w:p>
<w:p>
<w:pPr><w:pStyle w:val="Normal"/></w:pPr>
<w:r><w:t xml:space="preserve">In the case of aromatic aldehydes, acids are also obtained</w:t></w:r>
</w:p>
<w:p>
<w:pPr><w:pStyle w:val="Normal"/></w:pPr>
<w:r><w:t xml:space="preserve">by means of ``Cannizzaro&apos;s reaction&apos;&apos; (see BENZALDEHYDE).</w:t></w:r>
</w:p>
<w:p>
<w:pPr><w:pStyle w:val="Normal"/></w:pPr>
<w:r><w:t xml:space="preserve">An important oxidation synthesis of aromatic acids is</w:t></w:r>
</w:p>
<w:p>
<w:pPr><w:pStyle w:val="Normal"/></w:pPr>
<w:r><w:t xml:space="preserve">from hydrocarbons with aliphatic side chains; thus toluene,</w:t></w:r>
</w:p>
<w:p>
<w:pPr><w:pStyle w:val="Normal"/></w:pPr>
<w:r><w:t xml:space="preserve">or methylbenzene, yields benzoic acid, the xylenes, or</w:t></w:r>
</w:p>
<w:p>
<w:pPr><w:pStyle w:val="Normal"/></w:pPr>
<w:r><w:t xml:space="preserve">dimethyl-benzene, yield methyl-benzoic acids and phthalic</w:t></w:r>
</w:p>
<w:p>
<w:pPr><w:pStyle w:val="Normal"/></w:pPr>
<w:r><w:t xml:space="preserve">acids.  Ketones, secondary alcohols and tertiary alcohols</w:t></w:r>
</w:p>
<w:p>
<w:pPr><w:pStyle w:val="Normal"/></w:pPr>
<w:r><w:t xml:space="preserve">yield a mixture of acids on oxidation.  We may also notice</w:t></w:r>
</w:p>
<w:p>
<w:pPr><w:pStyle w:val="Normal"/></w:pPr>
<w:r><w:t xml:space="preserve">the disruption of unsaturated acids at the double linkage</w:t></w:r>
</w:p>
<w:p>
<w:pPr><w:pStyle w:val="Normal"/></w:pPr>
<w:r><w:t xml:space="preserve">into a mixture of two acids, when fused with potash.</w:t></w:r>
</w:p>
<w:p>
<w:pPr><w:pStyle w:val="Normal"/></w:pPr>
<w:r><w:t xml:space="preserve">In the preceding instances the carboxyl group has been</w:t></w:r>
</w:p>
<w:p>
<w:pPr><w:pStyle w:val="Normal"/></w:pPr>
<w:r><w:t xml:space="preserve">synthesized or introduced into a molecule; we have now to</w:t></w:r>
</w:p>
<w:p>
<w:pPr><w:pStyle w:val="Normal"/></w:pPr>
<w:r><w:t xml:space="preserve">consider syntheses from substances already containing carboxyl</w:t></w:r>
</w:p>
<w:p>
<w:pPr><w:pStyle w:val="Normal"/></w:pPr>
<w:r><w:t xml:space="preserve">groups.  Of foremost importance are the reactions termed the</w:t></w:r>
</w:p>
<w:p>
<w:pPr><w:pStyle w:val="Normal"/></w:pPr>
<w:r><w:t xml:space="preserve">malonic acid and the aceto-acetic ester syntheses; these are</w:t></w:r>
</w:p>
<w:p>
<w:pPr><w:pStyle w:val="Normal"/></w:pPr>
<w:r><w:t xml:space="preserve">discussed under their own headings.  The electrosyntheses</w:t></w:r>
</w:p>
<w:p>
<w:pPr><w:pStyle w:val="Normal"/></w:pPr>
<w:r><w:t xml:space="preserve">call for mention here.  It is apparent that metallic salts</w:t></w:r>
</w:p>
<w:p>
<w:pPr><w:pStyle w:val="Normal"/></w:pPr>
<w:r><w:t xml:space="preserve">of organic acids would, in aqueous solution, be ionized,</w:t></w:r>
</w:p>
<w:p>
<w:pPr><w:pStyle w:val="Normal"/></w:pPr>
<w:r><w:t xml:space="preserve">the positive ion being the metal, and the negative ion the</w:t></w:r>
</w:p>
<w:p>
<w:pPr><w:pStyle w:val="Normal"/></w:pPr>
<w:r><w:t xml:space="preserve">acid residue.  Esters, however, are not ionized.  It is</w:t></w:r>
</w:p>
<w:p>
<w:pPr><w:pStyle w:val="Normal"/></w:pPr>
<w:r><w:t xml:space="preserve">therefore apparent that a mixed salt and ester, for example</w:t></w:r>
</w:p>
<w:p>
<w:pPr><w:pStyle w:val="Normal"/></w:pPr>
<w:r><w:t xml:space="preserve">KO2C.CH2.CH2.CO2C2H5, would give only two ions, viz.</w:t></w:r>
</w:p>
<w:p>
<w:pPr><w:pStyle w:val="Normal"/></w:pPr>
<w:r><w:t xml:space="preserve">potassium and the rest of the molecule.  If a solution of</w:t></w:r>
</w:p>
<w:p>
<w:pPr><w:pStyle w:val="Normal"/></w:pPr>
<w:r><w:t xml:space="preserve">potassium acetate be electrolysed the products are ethane,</w:t></w:r>
</w:p>
<w:p>
<w:pPr><w:pStyle w:val="Normal"/></w:pPr>
<w:r><w:t xml:space="preserve">carbon dioxide, potash and hydrogen; in a similar manner,</w:t></w:r>
</w:p>
<w:p>
<w:pPr><w:pStyle w:val="Normal"/></w:pPr>
<w:r><w:t xml:space="preserve">normal potassium succinate gives ethylene, carbon dioxide,</w:t></w:r>
</w:p>
<w:p>
<w:pPr><w:pStyle w:val="Normal"/></w:pPr>
<w:r><w:t xml:space="preserve">potash and hydrogen; these reactions may be represented:-</w:t></w:r>
</w:p>
<w:p>
<w:pPr><w:pStyle w:val="Normal"/></w:pPr>
<w:r><w:t xml:space="preserve">CH3.CO2 K       CH3 CO2 K*     CH2.CO K     CH2 CO2 K.</w:t></w:r>
</w:p>
<w:p>
<w:pPr><w:pStyle w:val="Normal"/></w:pPr>
<w:r><w:t xml:space="preserve">|  -&gt; |     +      +          |        | -&gt;||    +      +</w:t></w:r>
</w:p>
<w:p>
<w:pPr><w:pStyle w:val="Normal"/></w:pPr>
<w:r><w:t xml:space="preserve">CH3.CO2 K       CH3 CO2 K*     CH2.CO K     CH2 CO2 K.</w:t></w:r>
</w:p>
<w:p>
<w:pPr><w:pStyle w:val="Normal"/></w:pPr>
<w:r><w:t xml:space="preserve">By electrolysing a solution of potassium ethyl succinate,</w:t></w:r>
</w:p>
<w:p>
<w:pPr><w:pStyle w:val="Normal"/></w:pPr>
<w:r><w:t xml:space="preserve">KO2C.(CH2)2CO2C2H5, the KO2C. groups are split</w:t></w:r>
</w:p>
<w:p>
<w:pPr><w:pStyle w:val="Normal"/></w:pPr>
<w:r><w:t xml:space="preserve">off and the two residues .(CH2)2CO2C2H5 combine to</w:t></w:r>
</w:p>
<w:p>
<w:pPr><w:pStyle w:val="Normal"/></w:pPr>
<w:r><w:t xml:space="preserve">form the ester (CH2)4(CO2C2H5)2.  In the same way,</w:t></w:r>
</w:p>
<w:p>
<w:pPr><w:pStyle w:val="Normal"/></w:pPr>
<w:r><w:t xml:space="preserve">by electrolysing a mixture of a metallic salt and an ester,</w:t></w:r>
</w:p>
<w:p>
<w:pPr><w:pStyle w:val="Normal"/></w:pPr>
<w:r><w:t xml:space="preserve">other nuclei may be condensed; thus potassium acetate and</w:t></w:r>
</w:p>
<w:p>
<w:pPr><w:pStyle w:val="Normal"/></w:pPr>
<w:r><w:t xml:space="preserve">potassium ethyl succinate yield CH3.CH2.CH2.CO2C2H5.</w:t></w:r>
</w:p>
<w:p>
<w:pPr><w:pStyle w:val="Normal"/></w:pPr>
<w:r><w:t xml:space="preserve">Reactions.--Organic acids yield metallic salts with bases,</w:t></w:r>
</w:p>
<w:p>
<w:pPr><w:pStyle w:val="Normal"/></w:pPr>
<w:r><w:t xml:space="preserve">and ethereal salts or esters (q.v.), R.CO.OR&apos;, with alcohols.</w:t></w:r>
</w:p>
<w:p>
<w:pPr><w:pStyle w:val="Normal"/></w:pPr>
<w:r><w:t xml:space="preserve">Phosphorus chlorides give acid chlorides, R.CO.Cl, the hydroxyl</w:t></w:r>
</w:p>
<w:p>
<w:pPr><w:pStyle w:val="Normal"/></w:pPr>
<w:r><w:t xml:space="preserve">group being replaced by chlorine, and acid anhydrides, (R.CO)2O,</w:t></w:r>
</w:p>
<w:p>
<w:pPr><w:pStyle w:val="Normal"/></w:pPr>
<w:r><w:t xml:space="preserve">a molecule of water being split off between two carboxyl</w:t></w:r>
</w:p>
<w:p>
<w:pPr><w:pStyle w:val="Normal"/></w:pPr>
<w:r><w:t xml:space="preserve">groups.  The ammonium salts when heated lose one mobecule</w:t></w:r>
</w:p>
<w:p>
<w:pPr><w:pStyle w:val="Normal"/></w:pPr>
<w:r><w:t xml:space="preserve">of water and are converted into acid-amides, R.CO.NH2,</w:t></w:r>
</w:p>
<w:p>
<w:pPr><w:pStyle w:val="Normal"/></w:pPr>
<w:r><w:t xml:space="preserve">which by further dehydration yield nitriles, R.CN.  The</w:t></w:r>
</w:p>
<w:p>
<w:pPr><w:pStyle w:val="Normal"/></w:pPr>
<w:r><w:t xml:space="preserve">calcium salts distilled with calcium formate yield aldehydes</w:t></w:r>
</w:p>
<w:p>
<w:pPr><w:pStyle w:val="Normal"/></w:pPr>
<w:r><w:t xml:space="preserve">(q.v.); distilled with soda-lime, ketones (q.v.) result.</w:t></w:r>
</w:p>
<w:p>
<w:pPr><w:pStyle w:val="Normal"/></w:pPr>
<w:r><w:t xml:space="preserve">ACIDALIUS, VALENS (1567-1595), German scholar and critic,</w:t></w:r>
</w:p>
<w:p>
<w:pPr><w:pStyle w:val="Normal"/></w:pPr>
<w:r><w:t xml:space="preserve">was born at Wittstock in Brandenburg.  After studying at</w:t></w:r>
</w:p>
<w:p>
<w:pPr><w:pStyle w:val="Normal"/></w:pPr>
<w:r><w:t xml:space="preserve">Rostock, Grelfswald and Helmstedt, and residing about</w:t></w:r>
</w:p>
<w:p>
<w:pPr><w:pStyle w:val="Normal"/></w:pPr>
<w:r><w:t xml:space="preserve">three years in Italy, he settled at Breslau, where he is</w:t></w:r>
</w:p>
<w:p>
<w:pPr><w:pStyle w:val="Normal"/></w:pPr>
<w:r><w:t xml:space="preserve">said to have embraced the Roman Catholic religion.  Early</w:t></w:r>
</w:p>
<w:p>
<w:pPr><w:pStyle w:val="Normal"/></w:pPr>
<w:r><w:t xml:space="preserve">in 1595 he accepted an invitation to Neisse, about fifty</w:t></w:r>
</w:p>
<w:p>
<w:pPr><w:pStyle w:val="Normal"/></w:pPr>
<w:r><w:t xml:space="preserve">miles from Breslau, where he died of brain fever on the</w:t></w:r>
</w:p>
<w:p>
<w:pPr><w:pStyle w:val="Normal"/></w:pPr>
<w:r><w:t xml:space="preserve">25th of May, at the age of twenty-eight.  His excessive</w:t></w:r>
</w:p>
<w:p>
<w:pPr><w:pStyle w:val="Normal"/></w:pPr>
<w:r><w:t xml:space="preserve">application to study, and the attacks made upon him in</w:t></w:r>
</w:p>
<w:p>
<w:pPr><w:pStyle w:val="Normal"/></w:pPr>
<w:r><w:t xml:space="preserve">connexion with a pamphlet of which he was reputed the</w:t></w:r>
</w:p>
<w:p>
<w:pPr><w:pStyle w:val="Normal"/></w:pPr>
<w:r><w:t xml:space="preserve">author, doubtless hastened his premature end. Acidalius wrote</w:t></w:r>
</w:p>
<w:p>
<w:pPr><w:pStyle w:val="Normal"/></w:pPr>
<w:r><w:t xml:space="preserve">notes on Velleius Paterculus (1590), Curtius (1594), the</w:t></w:r>
</w:p>
<w:p>
<w:pPr><w:pStyle w:val="Normal"/></w:pPr>
<w:r><w:t xml:space="preserve">panegyrists, Tacitus and Plautus, published after his death.</w:t></w:r>
</w:p>
<w:p>
<w:pPr><w:pStyle w:val="Normal"/></w:pPr>
<w:r><w:t xml:space="preserve">See Leuschner, Commeutatio de A. V. Vita, Moribus,</w:t></w:r>
</w:p>
<w:p>
<w:pPr><w:pStyle w:val="Normal"/></w:pPr>
<w:r><w:t xml:space="preserve">et Scriptis (1757); F. Adam, ``Der Neisser Rektor,&apos;&apos;</w:t></w:r>
</w:p>
<w:p>
<w:pPr><w:pStyle w:val="Normal"/></w:pPr>
<w:r><w:t xml:space="preserve">in Bericht der Philomathic in Neisse (1872).</w:t></w:r>
</w:p>
<w:p>
<w:pPr><w:pStyle w:val="Normal"/></w:pPr>
<w:r><w:t xml:space="preserve">ACID-AMIDES, chemical compounds which may be considered</w:t></w:r>
</w:p>
<w:p>
<w:pPr><w:pStyle w:val="Normal"/></w:pPr>
<w:r><w:t xml:space="preserve">as derived from ammonia by replacement of its hydrogen with</w:t></w:r>
</w:p>
<w:p>
<w:pPr><w:pStyle w:val="Normal"/></w:pPr>
<w:r><w:t xml:space="preserve">acidyl residues, the substances produced being known as</w:t></w:r>
</w:p>
<w:p>
<w:pPr><w:pStyle w:val="Normal"/></w:pPr>
<w:r><w:t xml:space="preserve">primary, secondary or tertiary amides, according to the</w:t></w:r>
</w:p>
<w:p>
<w:pPr><w:pStyle w:val="Normal"/></w:pPr>
<w:r><w:t xml:space="preserve">number of hydrogen atoms replaced.  Of these compounds,</w:t></w:r>
</w:p>
<w:p>
<w:pPr><w:pStyle w:val="Normal"/></w:pPr>
<w:r><w:t xml:space="preserve">the primary amides of the type R.CO.NH2 are the most</w:t></w:r>
</w:p>
<w:p>
<w:pPr><w:pStyle w:val="Normal"/></w:pPr>
<w:r><w:t xml:space="preserve">important.  They may be prepared by the dry distillation of</w:t></w:r>
</w:p>
<w:p>
<w:pPr><w:pStyle w:val="Normal"/></w:pPr>
<w:r><w:t xml:space="preserve">the ammonium salts of the acids (A. W. Hofmann, Ber., 1882,</w:t></w:r>
</w:p>
<w:p>
<w:pPr><w:pStyle w:val="Normal"/></w:pPr>
<w:r><w:t xml:space="preserve">15, p. 977), by the partial hydrolysis of the nitriles, by</w:t></w:r>
</w:p>
<w:p>
<w:pPr><w:pStyle w:val="Normal"/></w:pPr>
<w:r><w:t xml:space="preserve">the action of ammonia or ammonium carbonate on acid chlorides</w:t></w:r>
</w:p>
<w:p>
<w:pPr><w:pStyle w:val="Normal"/></w:pPr>
<w:r><w:t xml:space="preserve">or anhydrides, or by heating the esters (q.v.) with</w:t></w:r>
</w:p>
<w:p>
<w:pPr><w:pStyle w:val="Normal"/></w:pPr>
<w:r><w:t xml:space="preserve">ammonia.  They are solid crystalline compounds (formamide</w:t></w:r>
</w:p>
<w:p>
<w:pPr><w:pStyle w:val="Normal"/></w:pPr>
<w:r><w:t xml:space="preserve">excepted) which are at first soluble in water, the solubility,</w:t></w:r>
</w:p>
<w:p>
<w:pPr><w:pStyle w:val="Normal"/></w:pPr>
<w:r><w:t xml:space="preserve">however, decreasing as the carbon content of the molecule</w:t></w:r>
</w:p>
<w:p>
<w:pPr><w:pStyle w:val="Normal"/></w:pPr>
<w:r><w:t xml:space="preserve">increases.  They are easily hydrolysed, breaking up into</w:t></w:r>
</w:p>
<w:p>
<w:pPr><w:pStyle w:val="Normal"/></w:pPr>
<w:r><w:t xml:space="preserve">their components when boiled with acids or alkanes.  They</w:t></w:r>
</w:p>
<w:p>
<w:pPr><w:pStyle w:val="Normal"/></w:pPr>
<w:r><w:t xml:space="preserve">form compounds with hydrochloric acid when this gas is</w:t></w:r>
</w:p>
<w:p>
<w:pPr><w:pStyle w:val="Normal"/></w:pPr>
<w:r><w:t xml:space="preserve">passed into their ethereal solution; these compounds,</w:t></w:r>
</w:p>
<w:p>
<w:pPr><w:pStyle w:val="Normal"/></w:pPr>
<w:r><w:t xml:space="preserve">however, are very unstable, being readily decomposed by</w:t></w:r>
</w:p>
<w:p>
<w:pPr><w:pStyle w:val="Normal"/></w:pPr>
<w:r><w:t xml:space="preserve">water.  On the other hand, they show faintly acid properties</w:t></w:r>
</w:p>
<w:p>
<w:pPr><w:pStyle w:val="Normal"/></w:pPr>
<w:r><w:t xml:space="preserve">since the hydrogen of the amide group can be replaced</w:t></w:r>
</w:p>
<w:p>
<w:pPr><w:pStyle w:val="Normal"/></w:pPr>
<w:r><w:t xml:space="preserve">by metals to give such compounds as mercury acetamide</w:t></w:r>
</w:p>
<w:p>
<w:pPr><w:pStyle w:val="Normal"/></w:pPr>
<w:r><w:t xml:space="preserve">(CH3CONH)2Hg.  Nitrous acid decomposes them, with elimination</w:t></w:r>
</w:p>
<w:p>
<w:pPr><w:pStyle w:val="Normal"/></w:pPr>
<w:r><w:t xml:space="preserve">of nitrogen and the formation of the corresponding acid,</w:t></w:r>
</w:p>
<w:p>
<w:pPr><w:pStyle w:val="Normal"/></w:pPr>
<w:r><w:t xml:space="preserve">RCO.NH2 + ONOH = R.COOH + N2 + H2O.</w:t></w:r>
</w:p>
<w:p>
<w:pPr><w:pStyle w:val="Normal"/></w:pPr>
<w:r><w:t xml:space="preserve">When distilled with phosphoric anhydride they yield</w:t></w:r>
</w:p>
<w:p>
<w:pPr><w:pStyle w:val="Normal"/></w:pPr>
<w:r><w:t xml:space="preserve">nitriles. By the action of bromine and alcoholic potash on</w:t></w:r>
</w:p>
<w:p>
<w:pPr><w:pStyle w:val="Normal"/></w:pPr>
<w:r><w:t xml:space="preserve">the amides, they are converted into amines containing one</w:t></w:r>
</w:p>
<w:p>
<w:pPr><w:pStyle w:val="Normal"/></w:pPr>
<w:r><w:t xml:space="preserve">carbon atom less than the original amide, a reaction which</w:t></w:r>
</w:p>
<w:p>
<w:pPr><w:pStyle w:val="Normal"/></w:pPr>
<w:r><w:t xml:space="preserve">possesses great theoretical importance (A. W. Hofmann),</w:t></w:r>
</w:p>
<w:p>
<w:pPr><w:pStyle w:val="Normal"/></w:pPr>
<w:r><w:t xml:space="preserve">R.CONH2 -&gt; R.CONHBr -&gt; R.NH2 + K2CO3 + KBr + H2O.</w:t></w:r>
</w:p>
<w:p>
<w:pPr><w:pStyle w:val="Normal"/></w:pPr>
<w:r><w:t xml:space="preserve">Formamide, H.CONH2, is a liquid readily soluble in water,</w:t></w:r>
</w:p>
<w:p>
<w:pPr><w:pStyle w:val="Normal"/></w:pPr>
<w:r><w:t xml:space="preserve">boillng at about 195 deg.  C. with partial decomposition.</w:t></w:r>
</w:p>
<w:p>
<w:pPr><w:pStyle w:val="Normal"/></w:pPr>
<w:r><w:t xml:space="preserve">Acetamide, CH3.CONH2, is a white deliquescent crystalline</w:t></w:r>
</w:p>
<w:p>
<w:pPr><w:pStyle w:val="Normal"/></w:pPr>
<w:r><w:t xml:space="preserve">solid, which melts at 82-83 deg.  C. and boils at 222 deg.  C. It</w:t></w:r>
</w:p>
<w:p>
<w:pPr><w:pStyle w:val="Normal"/></w:pPr>
<w:r><w:t xml:space="preserve">is usually prepared by distilling ammonium acetate.  It</w:t></w:r>
</w:p>
<w:p>
<w:pPr><w:pStyle w:val="Normal"/></w:pPr>
<w:r><w:t xml:space="preserve">is readily soluble in water and alcohol, but insoluble in</w:t></w:r>
</w:p>
<w:p>
<w:pPr><w:pStyle w:val="Normal"/></w:pPr>
<w:r><w:t xml:space="preserve">ether.  Benzamide, C6H5.CONH2, crystallizes in leaflets</w:t></w:r>
</w:p>
<w:p>
<w:pPr><w:pStyle w:val="Normal"/></w:pPr>
<w:r><w:t xml:space="preserve">which melt at 130 deg.  C. It is prepared by the action of</w:t></w:r>
</w:p>
<w:p>
<w:pPr><w:pStyle w:val="Normal"/></w:pPr>
<w:r><w:t xml:space="preserve">ammonium carbonate on benzoyl chloride.  It yields a silver</w:t></w:r>
</w:p>
<w:p>
<w:pPr><w:pStyle w:val="Normal"/></w:pPr>
<w:r><w:t xml:space="preserve">salt which with ethyl iodide forms benzimidoethyl ether,</w:t></w:r>
</w:p>
<w:p>
<w:pPr><w:pStyle w:val="Normal"/></w:pPr>
<w:r><w:t xml:space="preserve">C6H5C: (NH).OC2H5, a behaviour which points to the</w:t></w:r>
</w:p>
<w:p>
<w:pPr><w:pStyle w:val="Normal"/></w:pPr>
<w:r><w:t xml:space="preserve">silver salt as being derived from the tautomeric imidobenzoic</w:t></w:r>
</w:p>
<w:p>
<w:pPr><w:pStyle w:val="Normal"/></w:pPr>
<w:r><w:t xml:space="preserve">acid, C6H5C: (NH).OH (J. Tafel, Ber., 1890, 23, p.</w:t></w:r>
</w:p>
<w:p>
<w:pPr><w:pStyle w:val="Normal"/></w:pPr>
<w:r><w:t xml:space="preserve">104). On the preparation of the substituted amides from</w:t></w:r>
</w:p>
<w:p>
<w:pPr><w:pStyle w:val="Normal"/></w:pPr>
<w:r><w:t xml:space="preserve">the corresponding sodamides see A. W. Titherley (Journ.</w:t></w:r>
</w:p>
<w:p>
<w:pPr><w:pStyle w:val="Normal"/></w:pPr>
<w:r><w:t xml:space="preserve">Chem.  Soc., 1901, 59, p. 391).  The secondary and tertiary</w:t></w:r>
</w:p>
<w:p>
<w:pPr><w:pStyle w:val="Normal"/></w:pPr>
<w:r><w:t xml:space="preserve">amides of the types (RCO)2NH and (RCO)3N may be prepared</w:t></w:r>
</w:p>
<w:p>
<w:pPr><w:pStyle w:val="Normal"/></w:pPr>
<w:r><w:t xml:space="preserve">by heating the primary amides or the nitriles with acids or</w:t></w:r>
</w:p>
<w:p>
<w:pPr><w:pStyle w:val="Normal"/></w:pPr>
<w:r><w:t xml:space="preserve">acid anhydrides to 200 deg.  C. Thiamides of the type R.CSNH2</w:t></w:r>
</w:p>
<w:p>
<w:pPr><w:pStyle w:val="Normal"/></w:pPr>
<w:r><w:t xml:space="preserve">are known, and result by the addition of sulphuretted</w:t></w:r>
</w:p>
<w:p>
<w:pPr><w:pStyle w:val="Normal"/></w:pPr>
<w:r><w:t xml:space="preserve">hydrogen to the nitriles, or by the action of phosphorus</w:t></w:r>
</w:p>
<w:p>
<w:pPr><w:pStyle w:val="Normal"/></w:pPr>
<w:r><w:t xml:space="preserve">pentasulphide on the acid-amides. They readily decompose on</w:t></w:r>
</w:p>
<w:p>
<w:pPr><w:pStyle w:val="Normal"/></w:pPr>
<w:r><w:t xml:space="preserve">heating, and are easily hydrolysed by alkanes; they possess</w:t></w:r>
</w:p>
<w:p>
<w:pPr><w:pStyle w:val="Normal"/></w:pPr>
<w:r><w:t xml:space="preserve">a somewhat more acid character than the acid-amides.</w:t></w:r>
</w:p>
<w:p>
<w:pPr><w:pStyle w:val="Normal"/></w:pPr>
<w:r><w:t xml:space="preserve">ACINACES (from the Greek), an ancient Persian sword, short</w:t></w:r>
</w:p>
<w:p>
<w:pPr><w:pStyle w:val="Normal"/></w:pPr>
<w:r><w:t xml:space="preserve">and straight, and worn, contrary to the Roman fashion, on</w:t></w:r>
</w:p>
<w:p>
<w:pPr><w:pStyle w:val="Normal"/></w:pPr>
<w:r><w:t xml:space="preserve">the right side, or sometimes in front of the body, as shown</w:t></w:r>
</w:p>
<w:p>
<w:pPr><w:pStyle w:val="Normal"/></w:pPr>
<w:r><w:t xml:space="preserve">in the bas-reliefs found at Persepolis.  Among the Persian</w:t></w:r>
</w:p>
<w:p>
<w:pPr><w:pStyle w:val="Normal"/></w:pPr>
<w:r><w:t xml:space="preserve">nobility it was frequently made of gold, being worn as a</w:t></w:r>
</w:p>
<w:p>
<w:pPr><w:pStyle w:val="Normal"/></w:pPr>
<w:r><w:t xml:space="preserve">badge of distinction.  The acinaces was an object of religious</w:t></w:r>
</w:p>
<w:p>
<w:pPr><w:pStyle w:val="Normal"/></w:pPr>
<w:r><w:t xml:space="preserve">worship with the Scythians and others (Herod. iv. 62).</w:t></w:r>
</w:p>
<w:p>
<w:pPr><w:pStyle w:val="Normal"/></w:pPr>
<w:r><w:t xml:space="preserve">ACINETA (so named by C. G. Ehrenberg), a genus of suctorial</w:t></w:r>
</w:p>
<w:p>
<w:pPr><w:pStyle w:val="Normal"/></w:pPr>
<w:r><w:t xml:space="preserve">Infusoria characterized by the possession of a stalk and</w:t></w:r>
</w:p>
<w:p>
<w:pPr><w:pStyle w:val="Normal"/></w:pPr>
<w:r><w:t xml:space="preserve">cup-shaped sheath or theca for the body, and endogenous budding.</w:t></w:r>
</w:p>
<w:p>
<w:pPr><w:pStyle w:val="Normal"/></w:pPr>
<w:r><w:t xml:space="preserve">O. Butschli has separated off the genus Metacineta (for</w:t></w:r>
</w:p>
<w:p>
<w:pPr><w:pStyle w:val="Normal"/></w:pPr>
<w:r><w:t xml:space="preserve">A. mystacina), which reproduces by direct bud-fission.</w:t></w:r>
</w:p>
<w:p>
<w:pPr><w:pStyle w:val="Normal"/></w:pPr>
<w:r><w:t xml:space="preserve">ACINUS (Lat. for a berry), a term in botany applied to such</w:t></w:r>
</w:p>
<w:p>
<w:pPr><w:pStyle w:val="Normal"/></w:pPr>
<w:r><w:t xml:space="preserve">fruits as the blackberry or raspberry, composed of small</w:t></w:r>
</w:p>
<w:p>
<w:pPr><w:pStyle w:val="Normal"/></w:pPr>
<w:r><w:t xml:space="preserve">seedlike berries, and also to those berries themselves, or to</w:t></w:r>
</w:p>
<w:p>
<w:pPr><w:pStyle w:val="Normal"/></w:pPr>
<w:r><w:t xml:space="preserve">grapestones.  By analogy, acinus is applied in anatomy</w:t></w:r>
</w:p>
<w:p>
<w:pPr><w:pStyle w:val="Normal"/></w:pPr>
<w:r><w:t xml:space="preserve">to similar granules or glands, or lobules of a gland.</w:t></w:r>
</w:p>
<w:p>
<w:pPr><w:pStyle w:val="Normal"/></w:pPr>
<w:r><w:t xml:space="preserve">ACIREALE, a town and episcopal see of the province of</w:t></w:r>
</w:p>
<w:p>
<w:pPr><w:pStyle w:val="Normal"/></w:pPr>
<w:r><w:t xml:space="preserve">Catania, Sicily; from the town of the same name it is distant 9</w:t></w:r>
</w:p>
<w:p>
<w:pPr><w:pStyle w:val="Normal"/></w:pPr>
<w:r><w:t xml:space="preserve">m.  N. by E. Pop. (1901) 35,418.  It has some importance as</w:t></w:r>
</w:p>
<w:p>
<w:pPr><w:pStyle w:val="Normal"/></w:pPr>
<w:r><w:t xml:space="preserve">a thermal station, and the springs were used by the Romans.</w:t></w:r>
</w:p>
<w:p>
<w:pPr><w:pStyle w:val="Normal"/></w:pPr>
<w:r><w:t xml:space="preserve">It takes its name from the river Acis, into which, according</w:t></w:r>
</w:p>
<w:p>
<w:pPr><w:pStyle w:val="Normal"/></w:pPr>
<w:r><w:t xml:space="preserve">to the legend, Acis, the lover of Galatea, was changed after</w:t></w:r>
</w:p>
<w:p>
<w:pPr><w:pStyle w:val="Normal"/></w:pPr>
<w:r><w:t xml:space="preserve">he had been slain by Polyphemus.  The rocks which Polyphemus</w:t></w:r>
</w:p>
<w:p>
<w:pPr><w:pStyle w:val="Normal"/></w:pPr>
<w:r><w:t xml:space="preserve">hurled at Ulysses are identified with the seven Scogli de&apos;</w:t></w:r>
</w:p>
<w:p>
<w:pPr><w:pStyle w:val="Normal"/></w:pPr>
<w:r><w:t xml:space="preserve">Ciclopi, or Faraglioni, a little to the south of Acireale.</w:t></w:r>
</w:p>
<w:p>
<w:pPr><w:pStyle w:val="Normal"/></w:pPr>
<w:r><w:t xml:space="preserve">ACIS, in Greek mythology, the son of Pan (Faunus) and the</w:t></w:r>
</w:p>
<w:p>
<w:pPr><w:pStyle w:val="Normal"/></w:pPr>
<w:r><w:t xml:space="preserve">nymph Syntaethis, a beautiful shepherd of Sicily, was the lover</w:t></w:r>
</w:p>
<w:p>
<w:pPr><w:pStyle w:val="Normal"/></w:pPr>
<w:r><w:t xml:space="preserve">of the Nereid Galatea.  His rival the Cyclops Polyphemus</w:t></w:r>
</w:p>
<w:p>
<w:pPr><w:pStyle w:val="Normal"/></w:pPr>
<w:r><w:t xml:space="preserve">surprised them together, and crushed him to pieces with a rock.</w:t></w:r>
</w:p>
<w:p>
<w:pPr><w:pStyle w:val="Normal"/></w:pPr>
<w:r><w:t xml:space="preserve">His blood, gushing forth from beneath, was metamorphosed by</w:t></w:r>
</w:p>
<w:p>
<w:pPr><w:pStyle w:val="Normal"/></w:pPr>
<w:r><w:t xml:space="preserve">Galatea into the river bearing his name (now Fiume di Jaci),</w:t></w:r>
</w:p>
<w:p>
<w:pPr><w:pStyle w:val="Normal"/></w:pPr>
<w:r><w:t xml:space="preserve">which was celebrated for the coldness of its waters (Ovid,</w:t></w:r>
</w:p>
<w:p>
<w:pPr><w:pStyle w:val="Normal"/></w:pPr>
<w:r><w:t xml:space="preserve">Met. xiii. 750; Silius Italicus, Punica, xiv. 221).</w:t></w:r>
</w:p>
<w:p>
<w:pPr><w:pStyle w:val="Normal"/></w:pPr>
<w:r><w:t xml:space="preserve">ACKERMAN, FRANCIS (c. 1335--1387), Flemish soldier and</w:t></w:r>
</w:p>
<w:p>
<w:pPr><w:pStyle w:val="Normal"/></w:pPr>
<w:r><w:t xml:space="preserve">diplomatist, was born at Ghent, and about 1380 became prominent</w:t></w:r>
</w:p>
<w:p>
<w:pPr><w:pStyle w:val="Normal"/></w:pPr>
<w:r><w:t xml:space="preserve">during the struggle between the burghers of that town and</w:t></w:r>
</w:p>
<w:p>
<w:pPr><w:pStyle w:val="Normal"/></w:pPr>
<w:r><w:t xml:space="preserve">Louis II. (de Male), count of Flanders.  He was partly</w:t></w:r>
</w:p>
<w:p>
<w:pPr><w:pStyle w:val="Normal"/></w:pPr>
<w:r><w:t xml:space="preserve">responsible for inducing Philip van Artevelde to become first</w:t></w:r>
</w:p>
<w:p>
<w:pPr><w:pStyle w:val="Normal"/></w:pPr>
<w:r><w:t xml:space="preserve">captain of the city of Ghent in 1382, and at the head of</w:t></w:r>
</w:p>
<w:p>
<w:pPr><w:pStyle w:val="Normal"/></w:pPr>
<w:r><w:t xml:space="preserve">some troops scoured the surrounding country for provisions</w:t></w:r>
</w:p>
<w:p>
<w:pPr><w:pStyle w:val="Normal"/></w:pPr>
<w:r><w:t xml:space="preserve">and thus saved Ghent from being starved into submission.</w:t></w:r>
</w:p>
<w:p>
<w:pPr><w:pStyle w:val="Normal"/></w:pPr>
<w:r><w:t xml:space="preserve">By his diplomatic abilities he secured the assistance of</w:t></w:r>
</w:p>
<w:p>
<w:pPr><w:pStyle w:val="Normal"/></w:pPr>
<w:r><w:t xml:space="preserve">the citizens of Brussels, Louvain and Liege, and, having</w:t></w:r>
</w:p>
<w:p>
<w:pPr><w:pStyle w:val="Normal"/></w:pPr>
<w:r><w:t xml:space="preserve">been made admiral of the Flemish fleet, visited England</w:t></w:r>
</w:p>
<w:p>
<w:pPr><w:pStyle w:val="Normal"/></w:pPr>
<w:r><w:t xml:space="preserve">and obtained a promise of help from King Richard II. After</w:t></w:r>
</w:p>
<w:p>
<w:pPr><w:pStyle w:val="Normal"/></w:pPr>
<w:r><w:t xml:space="preserve">Artevelde&apos;s death in November 1382, he acted as leader of the</w:t></w:r>
</w:p>
<w:p>
<w:pPr><w:pStyle w:val="Normal"/></w:pPr>
<w:r><w:t xml:space="preserve">Flemings, gained several victories and increased his fame by</w:t></w:r>
</w:p>
<w:p>
<w:pPr><w:pStyle w:val="Normal"/></w:pPr>
<w:r><w:t xml:space="preserve">skilfully conducting a retreat from Damme to Ghent in August</w:t></w:r>
</w:p>
<w:p>
<w:pPr><w:pStyle w:val="Normal"/></w:pPr>
<w:r><w:t xml:space="preserve">1385.  He took part in the conclusion of the treaty of peace</w:t></w:r>
</w:p>
<w:p>
<w:pPr><w:pStyle w:val="Normal"/></w:pPr>
<w:r><w:t xml:space="preserve">between Ghent and Philip the Bold, duke of Burgundy, the</w:t></w:r>
</w:p>
<w:p>
<w:pPr><w:pStyle w:val="Normal"/></w:pPr>
<w:r><w:t xml:space="preserve">successor of Count Louis, in December 1385.  Trusting in</w:t></w:r>
</w:p>
<w:p>
<w:pPr><w:pStyle w:val="Normal"/></w:pPr>
<w:r><w:t xml:space="preserve">Philip, and ignoring the warnings of his friends, Ackerman</w:t></w:r>
</w:p>
<w:p>
<w:pPr><w:pStyle w:val="Normal"/></w:pPr>
<w:r><w:t xml:space="preserve">remained in Flanders, and was murdered at Ghent on the 22nd</w:t></w:r>
</w:p>
<w:p>
<w:pPr><w:pStyle w:val="Normal"/></w:pPr>
<w:r><w:t xml:space="preserve">of July 1387, leaving a memory of chivalry and generosity.</w:t></w:r>
</w:p>
<w:p>
<w:pPr><w:pStyle w:val="Normal"/></w:pPr>
<w:r><w:t xml:space="preserve">See Jean Froissart, Chroniques, edited by S. Luce</w:t></w:r>
</w:p>
<w:p>
<w:pPr><w:pStyle w:val="Normal"/></w:pPr>
<w:r><w:t xml:space="preserve">and G. Raynaud (Paris, 1869-1897); Johannes Brandon,</w:t></w:r>
</w:p>
<w:p>
<w:pPr><w:pStyle w:val="Normal"/></w:pPr>
<w:r><w:t xml:space="preserve">Chronodromon, edited hy K. de Lettenhove in the</w:t></w:r>
</w:p>
<w:p>
<w:pPr><w:pStyle w:val="Normal"/></w:pPr>
<w:r><w:t xml:space="preserve">Chroniques rotatives a L&apos;histoire de La Belgique sous</w:t></w:r>
</w:p>
<w:p>
<w:pPr><w:pStyle w:val="Normal"/></w:pPr>
<w:r><w:t xml:space="preserve">la domination des ducs de Bourgogne (Brussels, 1870).</w:t></w:r>
</w:p>
<w:p>
<w:pPr><w:pStyle w:val="Normal"/></w:pPr>
<w:r><w:t xml:space="preserve">ACKERMANN, JOHANN CHRISTIAN GOTTLIEB (1756-1801), German</w:t></w:r>
</w:p>
<w:p>
<w:pPr><w:pStyle w:val="Normal"/></w:pPr>
<w:r><w:t xml:space="preserve">physician, was born at Zeillenroda, in Upper Saxony, on the</w:t></w:r>
</w:p>
<w:p>
<w:pPr><w:pStyle w:val="Normal"/></w:pPr>
<w:r><w:t xml:space="preserve">17th of February 1756, and died at Altdorf on the 9th of March</w:t></w:r>
</w:p>
<w:p>
<w:pPr><w:pStyle w:val="Normal"/></w:pPr>
<w:r><w:t xml:space="preserve">1801.  At the age of fifteen he became a student of medicine</w:t></w:r>
</w:p>
<w:p>
<w:pPr><w:pStyle w:val="Normal"/></w:pPr>
<w:r><w:t xml:space="preserve">at Jena under E. G. Baldinger, whom he followed to Gottingen</w:t></w:r>
</w:p>
<w:p>
<w:pPr><w:pStyle w:val="Normal"/></w:pPr>
<w:r><w:t xml:space="preserve">in 1773, and afterwards he studied for two years at Halle.</w:t></w:r>
</w:p>
<w:p>
<w:pPr><w:pStyle w:val="Normal"/></w:pPr>
<w:r><w:t xml:space="preserve">A few years&apos; practice at Stendal (1778-1799), where there</w:t></w:r>
</w:p>
<w:p>
<w:pPr><w:pStyle w:val="Normal"/></w:pPr>
<w:r><w:t xml:space="preserve">were numerous factories, enabled him to add many valuable</w:t></w:r>
</w:p>
<w:p>
<w:pPr><w:pStyle w:val="Normal"/></w:pPr>
<w:r><w:t xml:space="preserve">original observations to his translation (1780-1783) of</w:t></w:r>
</w:p>
<w:p>
<w:pPr><w:pStyle w:val="Normal"/></w:pPr>
<w:r><w:t xml:space="preserve">Bernardino Ramazzini&apos;s (1633-1714) treatise on diseases of</w:t></w:r>
</w:p>
<w:p>
<w:pPr><w:pStyle w:val="Normal"/></w:pPr>
<w:r><w:t xml:space="preserve">artificers.  In 1786 he became professor of medicine at</w:t></w:r>
</w:p>
<w:p>
<w:pPr><w:pStyle w:val="Normal"/></w:pPr>
<w:r><w:t xml:space="preserve">the university of Altdorf, in Franconia, occupying first</w:t></w:r>
</w:p>
<w:p>
<w:pPr><w:pStyle w:val="Normal"/></w:pPr>
<w:r><w:t xml:space="preserve">the chair of chemistry, and then, from 1794 till his death</w:t></w:r>
</w:p>
<w:p>
<w:pPr><w:pStyle w:val="Normal"/></w:pPr>
<w:r><w:t xml:space="preserve">in 1801, that of pathology and therapeutics. He wrote</w:t></w:r>
</w:p>
<w:p>
<w:pPr><w:pStyle w:val="Normal"/></w:pPr>
<w:r><w:t xml:space="preserve">Institutiones Historiae Medicinae (Nuremberg, 1792) and</w:t></w:r>
</w:p>
<w:p>
<w:pPr><w:pStyle w:val="Normal"/></w:pPr>
<w:r><w:t xml:space="preserve">Institutiones Therapiae Generalls (Nuremberg and Altdorf,</w:t></w:r>
</w:p>
<w:p>
<w:pPr><w:pStyle w:val="Normal"/></w:pPr>
<w:r><w:t xml:space="preserve">1784-1795), besides various handbooks and translations.</w:t></w:r>
</w:p>
<w:p>
<w:pPr><w:pStyle w:val="Normal"/></w:pPr>
<w:r><w:t xml:space="preserve">ACKERMANN, LOUISE VICTORINE CHOQUET (1813-1890), French poet,</w:t></w:r>
</w:p>
<w:p>
<w:pPr><w:pStyle w:val="Normal"/></w:pPr>
<w:r><w:t xml:space="preserve">was born in Paris on the 30th of November 1813. Educated by</w:t></w:r>
</w:p>
<w:p>
<w:pPr><w:pStyle w:val="Normal"/></w:pPr>
<w:r><w:t xml:space="preserve">her father in the philosophy of the Encyclopaedists, Victorine</w:t></w:r>
</w:p>
<w:p>
<w:pPr><w:pStyle w:val="Normal"/></w:pPr>
<w:r><w:t xml:space="preserve">Choquet went to Berlin in 1838 to study German, and there</w:t></w:r>
</w:p>
<w:p>
<w:pPr><w:pStyle w:val="Normal"/></w:pPr>
<w:r><w:t xml:space="preserve">married in 1843 Paul Ackermann, an Alsatian philologist. After</w:t></w:r>
</w:p>
<w:p>
<w:pPr><w:pStyle w:val="Normal"/></w:pPr>
<w:r><w:t xml:space="preserve">little more than two years of happy married life her husband</w:t></w:r>
</w:p>
<w:p>
<w:pPr><w:pStyle w:val="Normal"/></w:pPr>
<w:r><w:t xml:space="preserve">died, and Madame Ackermann went to live at Nice with a favourite</w:t></w:r>
</w:p>
<w:p>
<w:pPr><w:pStyle w:val="Normal"/></w:pPr>
<w:r><w:t xml:space="preserve">sister.  In 1855 she published Contes en vers, and in 1862</w:t></w:r>
</w:p>
<w:p>
<w:pPr><w:pStyle w:val="Normal"/></w:pPr>
<w:r><w:t xml:space="preserve">Contes et poesies. Very different from these simple and</w:t></w:r>
</w:p>
<w:p>
<w:pPr><w:pStyle w:val="Normal"/></w:pPr>
<w:r><w:t xml:space="preserve">charming contes is the work on which Madame Ackermann&apos;s</w:t></w:r>
</w:p>
<w:p>
<w:pPr><w:pStyle w:val="Normal"/></w:pPr>
<w:r><w:t xml:space="preserve">real reputation rests.  She published in 1874 Poesies,</w:t></w:r>
</w:p>
<w:p>
<w:pPr><w:pStyle w:val="Normal"/></w:pPr>
<w:r><w:t xml:space="preserve">premieres poesies, poesies philosophiques, a volume of</w:t></w:r>
</w:p>
<w:p>
<w:pPr><w:pStyle w:val="Normal"/></w:pPr>
<w:r><w:t xml:space="preserve">sombre and powerful verse, expressing her revolt against human</w:t></w:r>
</w:p>
<w:p>
<w:pPr><w:pStyle w:val="Normal"/></w:pPr>
<w:r><w:t xml:space="preserve">suffering.  The volume was enthusiastically reviewed in the</w:t></w:r>
</w:p>
<w:p>
<w:pPr><w:pStyle w:val="Normal"/></w:pPr>
<w:r><w:t xml:space="preserve">Revue des deux mondes for May 1871 by E. Caro, who, though</w:t></w:r>
</w:p>
<w:p>
<w:pPr><w:pStyle w:val="Normal"/></w:pPr>
<w:r><w:t xml:space="preserve">he deprecated the impiete desesperee of the verses,</w:t></w:r>
</w:p>
<w:p>
<w:pPr><w:pStyle w:val="Normal"/></w:pPr>
<w:r><w:t xml:space="preserve">did full justice to their vigour and the excellence of their</w:t></w:r>
</w:p>
<w:p>
<w:pPr><w:pStyle w:val="Normal"/></w:pPr>
<w:r><w:t xml:space="preserve">form.  Soon after the publication of this volume Madame Ackermann</w:t></w:r>
</w:p>
<w:p>
<w:pPr><w:pStyle w:val="Normal"/></w:pPr>
<w:r><w:t xml:space="preserve">removed to Paris,where she gathered round her a circle of</w:t></w:r>
</w:p>
<w:p>
<w:pPr><w:pStyle w:val="Normal"/></w:pPr>
<w:r><w:t xml:space="preserve">friends, but published nothing further except a prose volume, the</w:t></w:r>
</w:p>
<w:p>
<w:pPr><w:pStyle w:val="Normal"/></w:pPr>
<w:r><w:t xml:space="preserve">Pensees d&apos;un solitaire (1883), to which she prefixed a short</w:t></w:r>
</w:p>
<w:p>
<w:pPr><w:pStyle w:val="Normal"/></w:pPr>
<w:r><w:t xml:space="preserve">autobiography.  She died at Nice on the 2nd of August 1890.</w:t></w:r>
</w:p>
<w:p>
<w:pPr><w:pStyle w:val="Normal"/></w:pPr>
<w:r><w:t xml:space="preserve">See also Anatole France, La vie litteraire, 4th series (1892);</w:t></w:r>
</w:p>
<w:p>
<w:pPr><w:pStyle w:val="Normal"/></w:pPr>
<w:r><w:t xml:space="preserve">the comte d&apos;Haussonville, Mme. Ackermann (1882); M. Citoleux,</w:t></w:r>
</w:p>
<w:p>
<w:pPr><w:pStyle w:val="Normal"/></w:pPr>
<w:r><w:t xml:space="preserve">La poesie philosophique au XIXe. siecle (vol. i., Mme.</w:t></w:r>
</w:p>
<w:p>
<w:pPr><w:pStyle w:val="Normal"/></w:pPr>
<w:r><w:t xml:space="preserve">Ackermann d&apos;apres de nombreux documents inedits, Paris, 1906).</w:t></w:r>
</w:p>
<w:p>
<w:pPr><w:pStyle w:val="Normal"/></w:pPr>
<w:r><w:t xml:space="preserve">ACKERMANN, RUDOLPH (1764-1834), Anglo-German inventor and</w:t></w:r>
</w:p>
<w:p>
<w:pPr><w:pStyle w:val="Normal"/></w:pPr>
<w:r><w:t xml:space="preserve">publisher, was born on the 20th of April 1764 at Schneeberg, in</w:t></w:r>
</w:p>
<w:p>
<w:pPr><w:pStyle w:val="Normal"/></w:pPr>
<w:r><w:t xml:space="preserve">Saxony.  He had been a saddler and coachbuilder in different</w:t></w:r>
</w:p>
<w:p>
<w:pPr><w:pStyle w:val="Normal"/></w:pPr>
<w:r><w:t xml:space="preserve">German cities, Paris and London for ten years before, in</w:t></w:r>
</w:p>
<w:p>
<w:pPr><w:pStyle w:val="Normal"/></w:pPr>
<w:r><w:t xml:space="preserve">1795, he established a print-shop and drawing-school in the</w:t></w:r>
</w:p>
<w:p>
<w:pPr><w:pStyle w:val="Normal"/></w:pPr>
<w:r><w:t xml:space="preserve">Strand.  Ackermann set up a lithographic press, and applied</w:t></w:r>
</w:p>
<w:p>
<w:pPr><w:pStyle w:val="Normal"/></w:pPr>
<w:r><w:t xml:space="preserve">it in 1817 to the illustration of his Repository of Arts,</w:t></w:r>
</w:p>
<w:p>
<w:pPr><w:pStyle w:val="Normal"/></w:pPr>
<w:r><w:t xml:space="preserve">Literature, Fashions,; &amp;c. (monthly until 1828 when forty</w:t></w:r>
</w:p>
<w:p>
<w:pPr><w:pStyle w:val="Normal"/></w:pPr>
<w:r><w:t xml:space="preserve">volumes had appeared).  Rowlandson and other distinguished</w:t></w:r>
</w:p>
<w:p>
<w:pPr><w:pStyle w:val="Normal"/></w:pPr>
<w:r><w:t xml:space="preserve">artists were regular contributors.  He also introduced the</w:t></w:r>
</w:p>
<w:p>
<w:pPr><w:pStyle w:val="Normal"/></w:pPr>
<w:r><w:t xml:space="preserve">fashion of the once popular English Annuals, beginning in</w:t></w:r>
</w:p>
<w:p>
<w:pPr><w:pStyle w:val="Normal"/></w:pPr>
<w:r><w:t xml:space="preserve">1825 with Forget-me-not; and he published many illustrated</w:t></w:r>
</w:p>
<w:p>
<w:pPr><w:pStyle w:val="Normal"/></w:pPr>
<w:r><w:t xml:space="preserve">volumes of topography and travel, The Microcosm of London</w:t></w:r>
</w:p>
<w:p>
<w:pPr><w:pStyle w:val="Normal"/></w:pPr>
<w:r><w:t xml:space="preserve">(3 vols., 1808-1811), Westminster Abbey (2 vols., 1812),</w:t></w:r>
</w:p>
<w:p>
<w:pPr><w:pStyle w:val="Normal"/></w:pPr>
<w:r><w:t xml:space="preserve">Pine Rhine (1820), The World in Miniature (43 vols.,</w:t></w:r>
</w:p>
<w:p>
<w:pPr><w:pStyle w:val="Normal"/></w:pPr>
<w:r><w:t xml:space="preserve">1821--1826), &amp;c. Ackermann was an enterprising man; he</w:t></w:r>
</w:p>
<w:p>
<w:pPr><w:pStyle w:val="Normal"/></w:pPr>
<w:r><w:t xml:space="preserve">patented (1801) a method for rendering paper and cloth</w:t></w:r>
</w:p>
<w:p>
<w:pPr><w:pStyle w:val="Normal"/></w:pPr>
<w:r><w:t xml:space="preserve">waterproof, erected a factory at Chelsea for the purpose</w:t></w:r>
</w:p>
<w:p>
<w:pPr><w:pStyle w:val="Normal"/></w:pPr>
<w:r><w:t xml:space="preserve">and was one of the first to illuminate his own premises with</w:t></w:r>
</w:p>
<w:p>
<w:pPr><w:pStyle w:val="Normal"/></w:pPr>
<w:r><w:t xml:space="preserve">gas.  Indeed the introduction of lighting by gas owed much to</w:t></w:r>
</w:p>
<w:p>
<w:pPr><w:pStyle w:val="Normal"/></w:pPr>
<w:r><w:t xml:space="preserve">him.  After the battle of Leipzig Ackermann collected nearly</w:t></w:r>
</w:p>
<w:p>
<w:pPr><w:pStyle w:val="Normal"/></w:pPr>
<w:r><w:t xml:space="preserve">a quarter of a million sterling for the German sufferers.</w:t></w:r>
</w:p>
<w:p>
<w:pPr><w:pStyle w:val="Normal"/></w:pPr>
<w:r><w:t xml:space="preserve">He died at Finchley, near London, on the 30th of March 1834.</w:t></w:r>
</w:p>
<w:p>
<w:pPr><w:pStyle w:val="Normal"/></w:pPr>
<w:r><w:t xml:space="preserve">ACKNOWLEDGMENT (from the old acknow, a compound of on-</w:t></w:r>
</w:p>
<w:p>
<w:pPr><w:pStyle w:val="Normal"/></w:pPr>
<w:r><w:t xml:space="preserve">and know, to know by the senses, which passed through the</w:t></w:r>
</w:p>
<w:p>
<w:pPr><w:pStyle w:val="Normal"/></w:pPr>
<w:r><w:t xml:space="preserve">forms oknow, aknow and acknow; acknowledge is formed on</w:t></w:r>
</w:p>
<w:p>
<w:pPr><w:pStyle w:val="Normal"/></w:pPr>
<w:r><w:t xml:space="preserve">analogy of ``knowledge&apos;&apos;), an admission that something has been</w:t></w:r>
</w:p>
<w:p>
<w:pPr><w:pStyle w:val="Normal"/></w:pPr>
<w:r><w:t xml:space="preserve">given or done, a term used in law in various connexions. The</w:t></w:r>
</w:p>
<w:p>
<w:pPr><w:pStyle w:val="Normal"/></w:pPr>
<w:r><w:t xml:space="preserve">acknowledgment of a debt, if in writing signed by the debtor</w:t></w:r>
</w:p>
<w:p>
<w:pPr><w:pStyle w:val="Normal"/></w:pPr>
<w:r><w:t xml:space="preserve">or his agent, is sufficient to take it out of the Statutes of</w:t></w:r>
</w:p>
<w:p>
<w:pPr><w:pStyle w:val="Normal"/></w:pPr>
<w:r><w:t xml:space="preserve">Limitations.  The signature to a will by a testator, if not</w:t></w:r>
</w:p>
<w:p>
<w:pPr><w:pStyle w:val="Normal"/></w:pPr>
<w:r><w:t xml:space="preserve">made in the presence of two witnesses, may be afterwards</w:t></w:r>
</w:p>
<w:p>
<w:pPr><w:pStyle w:val="Normal"/></w:pPr>
<w:r><w:t xml:space="preserve">acknowledged in their presence.  The acknowledgment by a</w:t></w:r>
</w:p>
<w:p>
<w:pPr><w:pStyle w:val="Normal"/></w:pPr>
<w:r><w:t xml:space="preserve">woman married before 1882 of deeds for the conveyance of real</w:t></w:r>
</w:p>
<w:p>
<w:pPr><w:pStyle w:val="Normal"/></w:pPr>
<w:r><w:t xml:space="preserve">property not her separate property, requires to be made by</w:t></w:r>
</w:p>
<w:p>
<w:pPr><w:pStyle w:val="Normal"/></w:pPr>
<w:r><w:t xml:space="preserve">her before a judge of the High Court or of a county court or</w:t></w:r>
</w:p>
<w:p>
<w:pPr><w:pStyle w:val="Normal"/></w:pPr>
<w:r><w:t xml:space="preserve">before a perpetual or special commissioner.  Before such an</w:t></w:r>
</w:p>
<w:p>
<w:pPr><w:pStyle w:val="Normal"/></w:pPr>
<w:r><w:t xml:space="preserve">acknowledgment can be received, the judge or commissioner is</w:t></w:r>
</w:p>
<w:p>
<w:pPr><w:pStyle w:val="Normal"/></w:pPr>
<w:r><w:t xml:space="preserve">required to examine her apart from her husband, touching her</w:t></w:r>
</w:p>
<w:p>
<w:pPr><w:pStyle w:val="Normal"/></w:pPr>
<w:r><w:t xml:space="preserve">knowledge of the deed, and to ascertain whether she freely and</w:t></w:r>
</w:p>
<w:p>
<w:pPr><w:pStyle w:val="Normal"/></w:pPr>
<w:r><w:t xml:space="preserve">voluntarily consents to it.  An acknowledgment to the right</w:t></w:r>
</w:p>
<w:p>
<w:pPr><w:pStyle w:val="Normal"/></w:pPr>
<w:r><w:t xml:space="preserve">of the production of deeds of conveyance is an obligation</w:t></w:r>
</w:p>
<w:p>
<w:pPr><w:pStyle w:val="Normal"/></w:pPr>
<w:r><w:t xml:space="preserve">on the vendor, when he retains any portion of the property</w:t></w:r>
</w:p>
<w:p>
<w:pPr><w:pStyle w:val="Normal"/></w:pPr>
<w:r><w:t xml:space="preserve">to which the deeds relate, and is entitled to retain the</w:t></w:r>
</w:p>
<w:p>
<w:pPr><w:pStyle w:val="Normal"/></w:pPr>
<w:r><w:t xml:space="preserve">deeds, to produce them from time to time at the request of</w:t></w:r>
</w:p>
<w:p>
<w:pPr><w:pStyle w:val="Normal"/></w:pPr>
<w:r><w:t xml:space="preserve">the person to whom the acknowledgment is given, to allow</w:t></w:r>
</w:p>
<w:p>
<w:pPr><w:pStyle w:val="Normal"/></w:pPr>
<w:r><w:t xml:space="preserve">copies to be made, and to undertake for their safe custody</w:t></w:r>
</w:p>
<w:p>
<w:pPr><w:pStyle w:val="Normal"/></w:pPr>
<w:r><w:t xml:space="preserve">(Conveyancing Act 1881, s. 9). The term ``acknowledgment&apos;&apos;</w:t></w:r>
</w:p>
<w:p>
<w:pPr><w:pStyle w:val="Normal"/></w:pPr>
<w:r><w:t xml:space="preserve">is, in the United States, applied to the certificate of a</w:t></w:r>
</w:p>
<w:p>
<w:pPr><w:pStyle w:val="Normal"/></w:pPr>
<w:r><w:t xml:space="preserve">public officer that an instrument was acknowledged before</w:t></w:r>
</w:p>
<w:p>
<w:pPr><w:pStyle w:val="Normal"/></w:pPr>
<w:r><w:t xml:space="preserve">him to be the deed or act of the person who executed it. .</w:t></w:r>
</w:p>
<w:p>
<w:pPr><w:pStyle w:val="Normal"/></w:pPr>
<w:r><w:t xml:space="preserve">``Acknowledgment money&apos;&apos; is the sum paid in some parts of England</w:t></w:r>
</w:p>
<w:p>
<w:pPr><w:pStyle w:val="Normal"/></w:pPr>
<w:r><w:t xml:space="preserve">by copyhold tenants on the death of the lord of the manor.</w:t></w:r>
</w:p>
<w:p>
<w:pPr><w:pStyle w:val="Normal"/></w:pPr>
<w:r><w:t xml:space="preserve">ACLAND, CHRISTIAN HENRIETTA CAROLINE (1750-1815), usually</w:t></w:r>
</w:p>
<w:p>
<w:pPr><w:pStyle w:val="Normal"/></w:pPr>
<w:r><w:t xml:space="preserve">called Lady Harriet Acland, was born on the 3rd of January</w:t></w:r>
</w:p>
<w:p>
<w:pPr><w:pStyle w:val="Normal"/></w:pPr>
<w:r><w:t xml:space="preserve">1750, the daughter of the first earl of Ilchester.  In 1770</w:t></w:r>
</w:p>
<w:p>
<w:pPr><w:pStyle w:val="Normal"/></w:pPr>
<w:r><w:t xml:space="preserve">she married John Dyke Acland, who as a member of parliament</w:t></w:r>
</w:p>
<w:p>
<w:pPr><w:pStyle w:val="Normal"/></w:pPr>
<w:r><w:t xml:space="preserve">became a vigorous supporter of Lord North&apos;s policy towards</w:t></w:r>
</w:p>
<w:p>
<w:pPr><w:pStyle w:val="Normal"/></w:pPr>
<w:r><w:t xml:space="preserve">the American colonies, and, entering the British army in</w:t></w:r>
</w:p>
<w:p>
<w:pPr><w:pStyle w:val="Normal"/></w:pPr>
<w:r><w:t xml:space="preserve">1774, served with Burgoyne&apos;s expedition as major in the 20th</w:t></w:r>
</w:p>
<w:p>
<w:pPr><w:pStyle w:val="Normal"/></w:pPr>
<w:r><w:t xml:space="preserve">regiment of foot.  Lady Hurriet accompanied her husband,</w:t></w:r>
</w:p>
<w:p>
<w:pPr><w:pStyle w:val="Normal"/></w:pPr>
<w:r><w:t xml:space="preserve">and, when he was wounded at Ticonderoga, nursed him in</w:t></w:r>
</w:p>
<w:p>
<w:pPr><w:pStyle w:val="Normal"/></w:pPr>
<w:r><w:t xml:space="preserve">his tent at the front.  In the second battle of Saratoga</w:t></w:r>
</w:p>
<w:p>
<w:pPr><w:pStyle w:val="Normal"/></w:pPr>
<w:r><w:t xml:space="preserve">Major Acland was again badly wounded and subsequently taken</w:t></w:r>
</w:p>
<w:p>
<w:pPr><w:pStyle w:val="Normal"/></w:pPr>
<w:r><w:t xml:space="preserve">prisoner.  Lady Harriet was determined to be with him, and</w:t></w:r>
</w:p>
<w:p>
<w:pPr><w:pStyle w:val="Normal"/></w:pPr>
<w:r><w:t xml:space="preserve">underwent great hardship to accomplish her object, proving</w:t></w:r>
</w:p>
<w:p>
<w:pPr><w:pStyle w:val="Normal"/></w:pPr>
<w:r><w:t xml:space="preserve">herself a courageous and devoted wife.  A story has been</w:t></w:r>
</w:p>
<w:p>
<w:pPr><w:pStyle w:val="Normal"/></w:pPr>
<w:r><w:t xml:space="preserve">told that being provided with a letter from General Burgoyne</w:t></w:r>
</w:p>
<w:p>
<w:pPr><w:pStyle w:val="Normal"/></w:pPr>
<w:r><w:t xml:space="preserve">to the American general Gates, she went up the Hudson river</w:t></w:r>
</w:p>
<w:p>
<w:pPr><w:pStyle w:val="Normal"/></w:pPr>
<w:r><w:t xml:space="preserve">in an open boat to the enemy&apos;s lines, arriving late in the</w:t></w:r>
</w:p>
<w:p>
<w:pPr><w:pStyle w:val="Normal"/></w:pPr>
<w:r><w:t xml:space="preserve">evening.  The American outposts threatened to fire into the</w:t></w:r>
</w:p>
<w:p>
<w:pPr><w:pStyle w:val="Normal"/></w:pPr>
<w:r><w:t xml:space="preserve">boat if its occupants stirred, and Lady Hnrriet had to wait</w:t></w:r>
</w:p>
<w:p>
<w:pPr><w:pStyle w:val="Normal"/></w:pPr>
<w:r><w:t xml:space="preserve">eight ``dark and cold hours,&apos;&apos; until the sun rose, when she</w:t></w:r>
</w:p>
<w:p>
<w:pPr><w:pStyle w:val="Normal"/></w:pPr>
<w:r><w:t xml:space="preserve">at last received permission to join her husband.  Major Acland</w:t></w:r>
</w:p>
<w:p>
<w:pPr><w:pStyle w:val="Normal"/></w:pPr>
<w:r><w:t xml:space="preserve">died in 1778, and Lady Harriet on the 21st of July 1815.</w:t></w:r>
</w:p>
<w:p>
<w:pPr><w:pStyle w:val="Normal"/></w:pPr>
<w:r><w:t xml:space="preserve">ACLAND, SIR HENRY WENTWORTH, BART. (1815-1900), English</w:t></w:r>
</w:p>
<w:p>
<w:pPr><w:pStyle w:val="Normal"/></w:pPr>
<w:r><w:t xml:space="preserve">physician and man of learning, was born near Exeter on the</w:t></w:r>
</w:p>
<w:p>
<w:pPr><w:pStyle w:val="Normal"/></w:pPr>
<w:r><w:t xml:space="preserve">23rd of August 1815, and was the fourth son of Sir Thomas</w:t></w:r>
</w:p>
<w:p>
<w:pPr><w:pStyle w:val="Normal"/></w:pPr>
<w:r><w:t xml:space="preserve">Dyke Acland (1787-1871).  Educated at Harrow and at Christ</w:t></w:r>
</w:p>
<w:p>
<w:pPr><w:pStyle w:val="Normal"/></w:pPr>
<w:r><w:t xml:space="preserve">Church, Oxford, he was elected fellow of All Souls in 1840, and</w:t></w:r>
</w:p>
<w:p>
<w:pPr><w:pStyle w:val="Normal"/></w:pPr>
<w:r><w:t xml:space="preserve">then studied medicine in London and Edinburgh.  Returning to</w:t></w:r>
</w:p>
<w:p>
<w:pPr><w:pStyle w:val="Normal"/></w:pPr>
<w:r><w:t xml:space="preserve">Oxford, he was appointed Lee&apos;s reader in anatomy at Christ</w:t></w:r>
</w:p>
<w:p>
<w:pPr><w:pStyle w:val="Normal"/></w:pPr>
<w:r><w:t xml:space="preserve">Church in 1845, and in 1851 Radcliffe librarian and physician</w:t></w:r>
</w:p>
<w:p>
<w:pPr><w:pStyle w:val="Normal"/></w:pPr>
<w:r><w:t xml:space="preserve">to the Radcliffe infirmary.  Seven years later he became</w:t></w:r>
</w:p>
<w:p>
<w:pPr><w:pStyle w:val="Normal"/></w:pPr>
<w:r><w:t xml:space="preserve">regius professor of medicine, a post which he retained till</w:t></w:r>
</w:p>
<w:p>
<w:pPr><w:pStyle w:val="Normal"/></w:pPr>
<w:r><w:t xml:space="preserve">1894.  He was also a curator of the university galleries</w:t></w:r>
</w:p>
<w:p>
<w:pPr><w:pStyle w:val="Normal"/></w:pPr>
<w:r><w:t xml:space="preserve">and of the Bodleian Library, and from 1858 to 1887 he</w:t></w:r>
</w:p>
<w:p>
<w:pPr><w:pStyle w:val="Normal"/></w:pPr>
<w:r><w:t xml:space="preserve">represented his university on the General Medical Council,</w:t></w:r>
</w:p>
<w:p>
<w:pPr><w:pStyle w:val="Normal"/></w:pPr>
<w:r><w:t xml:space="preserve">of which he served as president from 1874 to 1887.  Hn</w:t></w:r>
</w:p>
<w:p>
<w:pPr><w:pStyle w:val="Normal"/></w:pPr>
<w:r><w:t xml:space="preserve">was created a baronet in 1890, and ten years later, on the</w:t></w:r>
</w:p>
<w:p>
<w:pPr><w:pStyle w:val="Normal"/></w:pPr>
<w:r><w:t xml:space="preserve">16th of October 1900, he died at his house in Broad Street,</w:t></w:r>
</w:p>
<w:p>
<w:pPr><w:pStyle w:val="Normal"/></w:pPr>
<w:r><w:t xml:space="preserve">Oxford.  Acland took a leading part in the revival of the</w:t></w:r>
</w:p>
<w:p>
<w:pPr><w:pStyle w:val="Normal"/></w:pPr>
<w:r><w:t xml:space="preserve">Oxford medical school and in introducing the study of natural</w:t></w:r>
</w:p>
<w:p>
<w:pPr><w:pStyle w:val="Normal"/></w:pPr>
<w:r><w:t xml:space="preserve">science into the university.  As Lee&apos;s reader he began to</w:t></w:r>
</w:p>
<w:p>
<w:pPr><w:pStyle w:val="Normal"/></w:pPr>
<w:r><w:t xml:space="preserve">form a collection of anatomical and physiological preparations</w:t></w:r>
</w:p>
<w:p>
<w:pPr><w:pStyle w:val="Normal"/></w:pPr>
<w:r><w:t xml:space="preserve">on the plan of John Hunter, and the establishment of the</w:t></w:r>
</w:p>
<w:p>
<w:pPr><w:pStyle w:val="Normal"/></w:pPr>
<w:r><w:t xml:space="preserve">Oxford University museum, opened in 1861, as a centre for</w:t></w:r>
</w:p>
<w:p>
<w:pPr><w:pStyle w:val="Normal"/></w:pPr>
<w:r><w:t xml:space="preserve">the encouragement of the study of science, especially in</w:t></w:r>
</w:p>
<w:p>
<w:pPr><w:pStyle w:val="Normal"/></w:pPr>
<w:r><w:t xml:space="preserve">relation to medicine, was largely due to his efforts. ``To</w:t></w:r>
</w:p>
<w:p>
<w:pPr><w:pStyle w:val="Normal"/></w:pPr>
<w:r><w:t xml:space="preserve">Henry Acland,&apos;&apos; said his lifelong friend, John Ruskin,</w:t></w:r>
</w:p>
<w:p>
<w:pPr><w:pStyle w:val="Normal"/></w:pPr>
<w:r><w:t xml:space="preserve">``physiology was an entrusted gospel of which he was the</w:t></w:r>
</w:p>
<w:p>
<w:pPr><w:pStyle w:val="Normal"/></w:pPr>
<w:r><w:t xml:space="preserve">solitary preacher to the heathen,&apos;&apos; but on the other hand his</w:t></w:r>
</w:p>
<w:p>
<w:pPr><w:pStyle w:val="Normal"/></w:pPr>
<w:r><w:t xml:space="preserve">thorough classical training preserved science at Oxford from</w:t></w:r>
</w:p>
<w:p>
<w:pPr><w:pStyle w:val="Normal"/></w:pPr>
<w:r><w:t xml:space="preserve">too abrupt a severance from the humanities.  In conjunction</w:t></w:r>
</w:p>
<w:p>
<w:pPr><w:pStyle w:val="Normal"/></w:pPr>
<w:r><w:t xml:space="preserve">with Dean Liddell, he revolutionized the study of art and</w:t></w:r>
</w:p>
<w:p>
<w:pPr><w:pStyle w:val="Normal"/></w:pPr>
<w:r><w:t xml:space="preserve">archaeology, so that the cultivation of these subjects, for</w:t></w:r>
</w:p>
<w:p>
<w:pPr><w:pStyle w:val="Normal"/></w:pPr>
<w:r><w:t xml:space="preserve">which, as Ruskin declared, no one at Oxford cared before that</w:t></w:r>
</w:p>
<w:p>
<w:pPr><w:pStyle w:val="Normal"/></w:pPr>
<w:r><w:t xml:space="preserve">time, began to flourish in the university. Acland was also</w:t></w:r>
</w:p>
<w:p>
<w:pPr><w:pStyle w:val="Normal"/></w:pPr>
<w:r><w:t xml:space="preserve">interested in questions of public health.  He served on the</w:t></w:r>
</w:p>
<w:p>
<w:pPr><w:pStyle w:val="Normal"/></w:pPr>
<w:r><w:t xml:space="preserve">royal commission on sanitary laws in England and Wales in</w:t></w:r>
</w:p>
<w:p>
<w:pPr><w:pStyle w:val="Normal"/></w:pPr>
<w:r><w:t xml:space="preserve">1869, and published a study of the outbreak of cholera at</w:t></w:r>
</w:p>
<w:p>
<w:pPr><w:pStyle w:val="Normal"/></w:pPr>
<w:r><w:t xml:space="preserve">Oxford in 1854, together with various pamphlets on sanitary</w:t></w:r>
</w:p>
<w:p>
<w:pPr><w:pStyle w:val="Normal"/></w:pPr>
<w:r><w:t xml:space="preserve">matters.  His memoir on the topography of the Troad, with</w:t></w:r>
</w:p>
<w:p>
<w:pPr><w:pStyle w:val="Normal"/></w:pPr>
<w:r><w:t xml:space="preserve">panoramic plan (1839), was among the fruits of a cruise which</w:t></w:r>
</w:p>
<w:p>
<w:pPr><w:pStyle w:val="Normal"/></w:pPr>
<w:r><w:t xml:space="preserve">he made in the Mediterranean for the sake of his health.</w:t></w:r>
</w:p>
<w:p>
<w:pPr><w:pStyle w:val="Normal"/></w:pPr>
<w:r><w:t xml:space="preserve">ACME (Gr. akme, point), the highest point</w:t></w:r>
</w:p>
<w:p>
<w:pPr><w:pStyle w:val="Normal"/></w:pPr>
<w:r><w:t xml:space="preserve">attainable; first used as an English word by Ben Jonson.</w:t></w:r>
</w:p>
<w:p>
<w:pPr><w:pStyle w:val="Normal"/></w:pPr>
<w:r><w:t xml:space="preserve">ACMITE, or AEGIRITE, a mineral of the pyroxene (q.v.)</w:t></w:r>
</w:p>
<w:p>
<w:pPr><w:pStyle w:val="Normal"/></w:pPr>
<w:r><w:t xml:space="preserve">group, which may be described as a soda-pyroxene, being</w:t></w:r>
</w:p>
<w:p>
<w:pPr><w:pStyle w:val="Normal"/></w:pPr>
<w:r><w:t xml:space="preserve">essentially a sodium and ferric metasilicate, NAFe(SiO3)2.</w:t></w:r>
</w:p>
<w:p>
<w:pPr><w:pStyle w:val="Normal"/></w:pPr>
<w:r><w:t xml:space="preserve">In its crystallographic characters it is close to ordinary</w:t></w:r>
</w:p>
<w:p>
<w:pPr><w:pStyle w:val="Normal"/></w:pPr>
<w:r><w:t xml:space="preserve">pyroxene (augite and diopside), being monoclinic and having</w:t></w:r>
</w:p>
<w:p>
<w:pPr><w:pStyle w:val="Normal"/></w:pPr>
<w:r><w:t xml:space="preserve">nearly the same angle between the prismatic cleavages.  There</w:t></w:r>
</w:p>
<w:p>
<w:pPr><w:pStyle w:val="Normal"/></w:pPr>
<w:r><w:t xml:space="preserve">are, however, important differences in the optical characters:</w:t></w:r>
</w:p>
<w:p>
<w:pPr><w:pStyle w:val="Normal"/></w:pPr>
<w:r><w:t xml:space="preserve">the birefringence of acmite is negative, the pleochroism is</w:t></w:r>
</w:p>
<w:p>
<w:pPr><w:pStyle w:val="Normal"/></w:pPr>
<w:r><w:t xml:space="preserve">strong and the extinction angle on the plane of symmetry measured</w:t></w:r>
</w:p>
<w:p>
<w:pPr><w:pStyle w:val="Normal"/></w:pPr>
<w:r><w:t xml:space="preserve">to the vertical axis is small (3 deg. -5 deg. ). (The hardness is</w:t></w:r>
</w:p>
<w:p>
<w:pPr><w:pStyle w:val="Normal"/></w:pPr>
<w:r><w:t xml:space="preserve">6-6 1/2, and the specific gravity 3.55. Crystals are elongated</w:t></w:r>
</w:p>
<w:p>
<w:pPr><w:pStyle w:val="Normal"/></w:pPr>
<w:r><w:t xml:space="preserve">in the direction of the vertical axis, and are blackish</w:t></w:r>
</w:p>
<w:p>
<w:pPr><w:pStyle w:val="Normal"/></w:pPr>
<w:r><w:t xml:space="preserve">green (aegirite) or dark brown (acmite) in colour. Being</w:t></w:r>
</w:p>
<w:p>
<w:pPr><w:pStyle w:val="Normal"/></w:pPr>
<w:r><w:t xml:space="preserve">isomorphous with augite, crystals intermediate in composition</w:t></w:r>
</w:p>
<w:p>
<w:pPr><w:pStyle w:val="Normal"/></w:pPr>
<w:r><w:t xml:space="preserve">between augite or diopside and aegirite are not uncommon,</w:t></w:r>
</w:p>
<w:p>
<w:pPr><w:pStyle w:val="Normal"/></w:pPr>
<w:r><w:t xml:space="preserve">and these are known as aegirine-augite or aegirine-diopside.</w:t></w:r>
</w:p>
<w:p>
<w:pPr><w:pStyle w:val="Normal"/></w:pPr>
<w:r><w:t xml:space="preserve">Acmite is a characteristic constituent of igneous rocks</w:t></w:r>
</w:p>
<w:p>
<w:pPr><w:pStyle w:val="Normal"/></w:pPr>
<w:r><w:t xml:space="preserve">rich in soda, such as nepheline-syenites, phonolites, &amp;c.</w:t></w:r>
</w:p>
<w:p>
<w:pPr><w:pStyle w:val="Normal"/></w:pPr>
<w:r><w:t xml:space="preserve">It was first discovered as slender crystals, sometimes</w:t></w:r>
</w:p>
<w:p>
<w:pPr><w:pStyle w:val="Normal"/></w:pPr>
<w:r><w:t xml:space="preserve">a foot in length, in the pegmatite veins of the granite</w:t></w:r>
</w:p>
<w:p>
<w:pPr><w:pStyle w:val="Normal"/></w:pPr>
<w:r><w:t xml:space="preserve">of Rundemyr, near Kongsbeig in Rorway, and was named by</w:t></w:r>
</w:p>
<w:p>
<w:pPr><w:pStyle w:val="Normal"/></w:pPr>
<w:r><w:t xml:space="preserve">F. Stromeyer in 1821 from the Gr. akme, a point, in</w:t></w:r>
</w:p>
<w:p>
<w:pPr><w:pStyle w:val="Normal"/></w:pPr>
<w:r><w:t xml:space="preserve">allusion to the pointed terminations of the crystals.</w:t></w:r>
</w:p>
<w:p>
<w:pPr><w:pStyle w:val="Normal"/></w:pPr>
<w:r><w:t xml:space="preserve">Aegirite (named from Aegir, the Scandinavian sea-god) was</w:t></w:r>
</w:p>
<w:p>
<w:pPr><w:pStyle w:val="Normal"/></w:pPr>
<w:r><w:t xml:space="preserve">described in 1835 from the elaeolite-syenite of southern</w:t></w:r>
</w:p>
<w:p>
<w:pPr><w:pStyle w:val="Normal"/></w:pPr>
<w:r><w:t xml:space="preserve">Norway.  Although exhibiting certain varietal differences,</w:t></w:r>
</w:p>
<w:p>
<w:pPr><w:pStyle w:val="Normal"/></w:pPr>
<w:r><w:t xml:space="preserve">the essential identity of acmite and aegirite has long been</w:t></w:r>
</w:p>
<w:p>
<w:pPr><w:pStyle w:val="Normal"/></w:pPr>
<w:r><w:t xml:space="preserve">established, but the latter and more recent name is pethaps</w:t></w:r>
</w:p>
<w:p>
<w:pPr><w:pStyle w:val="Normal"/></w:pPr>
<w:r><w:t xml:space="preserve">in more general use, especially among petrologists.</w:t></w:r>
</w:p>
<w:p>
<w:pPr><w:pStyle w:val="Normal"/></w:pPr>
<w:r><w:t xml:space="preserve">ACNE, a skin eruption produced by inflammation of the sebaceous</w:t></w:r>
</w:p>
<w:p>
<w:pPr><w:pStyle w:val="Normal"/></w:pPr>
<w:r><w:t xml:space="preserve">glands and hair follicles, the essential point in the disease</w:t></w:r>
</w:p>
<w:p>
<w:pPr><w:pStyle w:val="Normal"/></w:pPr>
<w:r><w:t xml:space="preserve">being the plugging of the mouths of the sebaceous follicles</w:t></w:r>
</w:p>
<w:p>
<w:pPr><w:pStyle w:val="Normal"/></w:pPr>
<w:r><w:t xml:space="preserve">by a ``comedo,&apos;&apos; familiarly known as ``blackhead.&apos;&apos; It is</w:t></w:r>
</w:p>
<w:p>
<w:pPr><w:pStyle w:val="Normal"/></w:pPr>
<w:r><w:t xml:space="preserve">now generally acknowledged that the cause of this disease is</w:t></w:r>
</w:p>
<w:p>
<w:pPr><w:pStyle w:val="Normal"/></w:pPr>
<w:r><w:t xml:space="preserve">the organism known as bacillus acnes.  It shows itself in the</w:t></w:r>
</w:p>
<w:p>
<w:pPr><w:pStyle w:val="Normal"/></w:pPr>
<w:r><w:t xml:space="preserve">form of red pimples or papules, which may become pustular and</w:t></w:r>
</w:p>
<w:p>
<w:pPr><w:pStyle w:val="Normal"/></w:pPr>
<w:r><w:t xml:space="preserve">be attended with considerable surrounding irritation of the</w:t></w:r>
</w:p>
<w:p>
<w:pPr><w:pStyle w:val="Normal"/></w:pPr>
<w:r><w:t xml:space="preserve">skin.  This affection is likewise most common in early adult</w:t></w:r>
</w:p>
<w:p>
<w:pPr><w:pStyle w:val="Normal"/></w:pPr>
<w:r><w:t xml:space="preserve">life, and occurs on the chest and back as well as on the</w:t></w:r>
</w:p>
<w:p>
<w:pPr><w:pStyle w:val="Normal"/></w:pPr>
<w:r><w:t xml:space="preserve">face, where it may, when of much extent, produce considerable</w:t></w:r>
</w:p>
<w:p>
<w:pPr><w:pStyle w:val="Normal"/></w:pPr>
<w:r><w:t xml:space="preserve">disfigurement. It is apt to persist for months or even years,</w:t></w:r>
</w:p>
<w:p>
<w:pPr><w:pStyle w:val="Normal"/></w:pPr>
<w:r><w:t xml:space="preserve">but usually in time disappears entirely, although slight</w:t></w:r>
</w:p>
<w:p>
<w:pPr><w:pStyle w:val="Normal"/></w:pPr>
<w:r><w:t xml:space="preserve">traces may remain in the form of scars or stains upon the</w:t></w:r>
</w:p>
<w:p>
<w:pPr><w:pStyle w:val="Normal"/></w:pPr>
<w:r><w:t xml:space="preserve">skin.  Eruptions of this kind are sometimes produced by the</w:t></w:r>
</w:p>
<w:p>
<w:pPr><w:pStyle w:val="Normal"/></w:pPr>
<w:r><w:t xml:space="preserve">continued internal use of certain drugs, such as the iodide</w:t></w:r>
</w:p>
<w:p>
<w:pPr><w:pStyle w:val="Normal"/></w:pPr>
<w:r><w:t xml:space="preserve">or bromide of potassium.  In treating this condition the</w:t></w:r>
</w:p>
<w:p>
<w:pPr><w:pStyle w:val="Normal"/></w:pPr>
<w:r><w:t xml:space="preserve">face should first of all be held over steaming water for</w:t></w:r>
</w:p>
<w:p>
<w:pPr><w:pStyle w:val="Normal"/></w:pPr>
<w:r><w:t xml:space="preserve">several minutes, and then thoroughly bathed.  The blackheads</w:t></w:r>
</w:p>
<w:p>
<w:pPr><w:pStyle w:val="Normal"/></w:pPr>
<w:r><w:t xml:space="preserve">should next be removed, not with the finger-nail, but with</w:t></w:r>
</w:p>
<w:p>
<w:pPr><w:pStyle w:val="Normal"/></w:pPr>
<w:r><w:t xml:space="preserve">an inexpensive little instrument known as the ``comedo</w:t></w:r>
</w:p>
<w:p>
<w:pPr><w:pStyle w:val="Normal"/></w:pPr>
<w:r><w:t xml:space="preserve">expressor.&apos;&apos; When the more noticeable of the blackheads</w:t></w:r>
</w:p>
<w:p>
<w:pPr><w:pStyle w:val="Normal"/></w:pPr>
<w:r><w:t xml:space="preserve">have been expressed, the face should be firmly rubbed for</w:t></w:r>
</w:p>
<w:p>
<w:pPr><w:pStyle w:val="Normal"/></w:pPr>
<w:r><w:t xml:space="preserve">three or four minutes with a lather made from a special</w:t></w:r>
</w:p>
<w:p>
<w:pPr><w:pStyle w:val="Normal"/></w:pPr>
<w:r><w:t xml:space="preserve">soap composed of sulphur, camphor and balsam of Peru.  Any</w:t></w:r>
</w:p>
<w:p>
<w:pPr><w:pStyle w:val="Normal"/></w:pPr>
<w:r><w:t xml:space="preserve">lather remaining on the face at the end of this time should</w:t></w:r>
</w:p>
<w:p>
<w:pPr><w:pStyle w:val="Normal"/></w:pPr>
<w:r><w:t xml:space="preserve">be wiped off with a soft handkerchief.  As this treatment</w:t></w:r>
</w:p>
<w:p>
<w:pPr><w:pStyle w:val="Normal"/></w:pPr>
<w:r><w:t xml:space="preserve">might give rise to some irritation of the skin, it should be</w:t></w:r>
</w:p>
<w:p>
<w:pPr><w:pStyle w:val="Normal"/></w:pPr>
<w:r><w:t xml:space="preserve">replaced every fourth night by a simple application of cold</w:t></w:r>
</w:p>
<w:p>
<w:pPr><w:pStyle w:val="Normal"/></w:pPr>
<w:r><w:t xml:space="preserve">cream.  Of drugs used internally sulphate of calcium, in pill,</w:t></w:r>
</w:p>
<w:p>
<w:pPr><w:pStyle w:val="Normal"/></w:pPr>
<w:r><w:t xml:space="preserve">1/6 grain three times a day, is a very useful adjunct to the</w:t></w:r>
</w:p>
<w:p>
<w:pPr><w:pStyle w:val="Normal"/></w:pPr>
<w:r><w:t xml:space="preserve">preceding.  The patient should take plenty of exercise in</w:t></w:r>
</w:p>
<w:p>
<w:pPr><w:pStyle w:val="Normal"/></w:pPr>
<w:r><w:t xml:space="preserve">the fresh air, a very simple but nourishing diet, and, if</w:t></w:r>
</w:p>
<w:p>
<w:pPr><w:pStyle w:val="Normal"/></w:pPr>
<w:r><w:t xml:space="preserve">present, constipation and anaemia must be suitably treated.</w:t></w:r>
</w:p>
<w:p>
<w:pPr><w:pStyle w:val="Normal"/></w:pPr>
<w:r><w:t xml:space="preserve">Rosacea, popularly known as acne rosacea, is a more</w:t></w:r>
</w:p>
<w:p>
<w:pPr><w:pStyle w:val="Normal"/></w:pPr>
<w:r><w:t xml:space="preserve">severe and troublesome disorder, a true dermatitis with</w:t></w:r>
</w:p>
<w:p>
<w:pPr><w:pStyle w:val="Normal"/></w:pPr>
<w:r><w:t xml:space="preserve">no relation to the foregoing, and in most cases secondary</w:t></w:r>
</w:p>
<w:p>
<w:pPr><w:pStyle w:val="Normal"/></w:pPr>
<w:r><w:t xml:space="preserve">to seborrhea of the scalp.  It is characterized by great</w:t></w:r>
</w:p>
<w:p>
<w:pPr><w:pStyle w:val="Normal"/></w:pPr>
<w:r><w:t xml:space="preserve">redness of the nose and cheeks, accompanied by pustular</w:t></w:r>
</w:p>
<w:p>
<w:pPr><w:pStyle w:val="Normal"/></w:pPr>
<w:r><w:t xml:space="preserve">enlargements on the surface of the skin, which produce marked</w:t></w:r>
</w:p>
<w:p>
<w:pPr><w:pStyle w:val="Normal"/></w:pPr>
<w:r><w:t xml:space="preserve">disfigurement.  Although often seen in persons who live too</w:t></w:r>
</w:p>
<w:p>
<w:pPr><w:pStyle w:val="Normal"/></w:pPr>
<w:r><w:t xml:space="preserve">freely, it is by no means confined to such, but may arise in</w:t></w:r>
</w:p>
<w:p>
<w:pPr><w:pStyle w:val="Normal"/></w:pPr>
<w:r><w:t xml:space="preserve">connexion with disturbances of the general health, especially</w:t></w:r>
</w:p>
<w:p>
<w:pPr><w:pStyle w:val="Normal"/></w:pPr>
<w:r><w:t xml:space="preserve">of the function of digestion, and in females with menstrual</w:t></w:r>
</w:p>
<w:p>
<w:pPr><w:pStyle w:val="Normal"/></w:pPr>
<w:r><w:t xml:space="preserve">disorders.  It is apt to be exceedingly intractable to treatment,</w:t></w:r>
</w:p>
<w:p>
<w:pPr><w:pStyle w:val="Normal"/></w:pPr>
<w:r><w:t xml:space="preserve">which is here too, as in the preceding form, partly local</w:t></w:r>
</w:p>
<w:p>
<w:pPr><w:pStyle w:val="Normal"/></w:pPr>
<w:r><w:t xml:space="preserve">and partly constitutional.  Of internal remedies preparations</w:t></w:r>
</w:p>
<w:p>
<w:pPr><w:pStyle w:val="Normal"/></w:pPr>
<w:r><w:t xml:space="preserve">of iodine and of arsenic are sometimes found of service.</w:t></w:r>
</w:p>
<w:p>
<w:pPr><w:pStyle w:val="Normal"/></w:pPr>
<w:r><w:t xml:space="preserve">ACOEMETI (Gr. akoimetos, sleepless), an order of Eastern</w:t></w:r>
</w:p>
<w:p>
<w:pPr><w:pStyle w:val="Normal"/></w:pPr>
<w:r><w:t xml:space="preserve">monks who celebrated the divine service without intermission</w:t></w:r>
</w:p>
<w:p>
<w:pPr><w:pStyle w:val="Normal"/></w:pPr>
<w:r><w:t xml:space="preserve">day or night.  This was done by dividing the communities into</w:t></w:r>
</w:p>
<w:p>
<w:pPr><w:pStyle w:val="Normal"/></w:pPr>
<w:r><w:t xml:space="preserve">choirs, which relieved each other by turn in the church.</w:t></w:r>
</w:p>
<w:p>
<w:pPr><w:pStyle w:val="Normal"/></w:pPr>
<w:r><w:t xml:space="preserve">Their first monastery was established on the Euphrates, in</w:t></w:r>
</w:p>
<w:p>
<w:pPr><w:pStyle w:val="Normal"/></w:pPr>
<w:r><w:t xml:space="preserve">the beginning of the 5th century, and soon afterwards one</w:t></w:r>
</w:p>
<w:p>
<w:pPr><w:pStyle w:val="Normal"/></w:pPr>
<w:r><w:t xml:space="preserve">was founded in Constantinople.  Here also, c. 460, was</w:t></w:r>
</w:p>
<w:p>
<w:pPr><w:pStyle w:val="Normal"/></w:pPr>
<w:r><w:t xml:space="preserve">founded by the consular Studius the famous monastery of the</w:t></w:r>
</w:p>
<w:p>
<w:pPr><w:pStyle w:val="Normal"/></w:pPr>
<w:r><w:t xml:space="preserve">Studium, which was put in the hands of the Acoemeti and</w:t></w:r>
</w:p>
<w:p>
<w:pPr><w:pStyle w:val="Normal"/></w:pPr>
<w:r><w:t xml:space="preserve">became their chief house, so that they were sometimes called</w:t></w:r>
</w:p>
<w:p>
<w:pPr><w:pStyle w:val="Normal"/></w:pPr>
<w:r><w:t xml:space="preserve">Studites.  At Agaunum (St Maurice in the Valais) a monastery</w:t></w:r>
</w:p>
<w:p>
<w:pPr><w:pStyle w:val="Normal"/></w:pPr>
<w:r><w:t xml:space="preserve">was founded by the Burgundian king Sigismund, in 515, in</w:t></w:r>
</w:p>
<w:p>
<w:pPr><w:pStyle w:val="Normal"/></w:pPr>
<w:r><w:t xml:space="preserve">which the perpetual office was kept up; but it is doubtful</w:t></w:r>
</w:p>
<w:p>
<w:pPr><w:pStyle w:val="Normal"/></w:pPr>
<w:r><w:t xml:space="preserve">whether this had any connexion with the Eastern Acoemeti.</w:t></w:r>
</w:p>
<w:p>
<w:pPr><w:pStyle w:val="Normal"/></w:pPr>
<w:r><w:t xml:space="preserve">The Constantinopolitan Acoemeti took a prominent part</w:t></w:r>
</w:p>
<w:p>
<w:pPr><w:pStyle w:val="Normal"/></w:pPr>
<w:r><w:t xml:space="preserve">in the Christological controversies of the 5th and 6th</w:t></w:r>
</w:p>
<w:p>
<w:pPr><w:pStyle w:val="Normal"/></w:pPr>
<w:r><w:t xml:space="preserve">centuries, at first strenuously opposing Acacius, patriarch</w:t></w:r>
</w:p>
<w:p>
<w:pPr><w:pStyle w:val="Normal"/></w:pPr>
<w:r><w:t xml:space="preserve">of Constantinople, in his attempted compromise with the</w:t></w:r>
</w:p>
<w:p>
<w:pPr><w:pStyle w:val="Normal"/></w:pPr>
<w:r><w:t xml:space="preserve">monophysites; but afterwards, in Justinian&apos;s reign, falling</w:t></w:r>
</w:p>
<w:p>
<w:pPr><w:pStyle w:val="Normal"/></w:pPr>
<w:r><w:t xml:space="preserve">under ecclesiastical censure for Nestorian tendencies.</w:t></w:r>
</w:p>
<w:p>
<w:pPr><w:pStyle w:val="Normal"/></w:pPr>
<w:r><w:t xml:space="preserve">See the article in Dictionary of Christian Antiquities; Wetzer und</w:t></w:r>
</w:p>
<w:p>
<w:pPr><w:pStyle w:val="Normal"/></w:pPr>
<w:r><w:t xml:space="preserve">Welte, Kirchenlexicon (2nd ed.); and Herzog-Hauck, Realencyklopadie</w:t></w:r>
</w:p>
<w:p>
<w:pPr><w:pStyle w:val="Normal"/></w:pPr>
<w:r><w:t xml:space="preserve">(3rd ed.); also the general histories of the time. (E. C. B.)</w:t></w:r>
</w:p>
<w:p>
<w:pPr><w:pStyle w:val="Normal"/></w:pPr>
<w:r><w:t xml:space="preserve">ACOLYTE (Gr.akolouthos, follower), the last of the four</w:t></w:r>
</w:p>
<w:p>
<w:pPr><w:pStyle w:val="Normal"/></w:pPr>
<w:r><w:t xml:space="preserve">minor orders in the Roman Church.  As an office it appears</w:t></w:r>
</w:p>
<w:p>
<w:pPr><w:pStyle w:val="Normal"/></w:pPr>
<w:r><w:t xml:space="preserve">to be of local origin, and is entirely unknown in the Eastern</w:t></w:r>
</w:p>
<w:p>
<w:pPr><w:pStyle w:val="Normal"/></w:pPr>
<w:r><w:t xml:space="preserve">Church, with the exception of the Armenians who borrowed</w:t></w:r>
</w:p>
<w:p>
<w:pPr><w:pStyle w:val="Normal"/></w:pPr>
<w:r><w:t xml:space="preserve">it from the West. Before the council of Nicaea (325) it was</w:t></w:r>
</w:p>
<w:p>
<w:pPr><w:pStyle w:val="Normal"/></w:pPr>
<w:r><w:t xml:space="preserve">only to be found at Rome and Carthage.  When in 251 Pope</w:t></w:r>
</w:p>
<w:p>
<w:pPr><w:pStyle w:val="Normal"/></w:pPr>
<w:r><w:t xml:space="preserve">Cornelius, in a letter to Fabius of Antioch, mentions among</w:t></w:r>
</w:p>
<w:p>
<w:pPr><w:pStyle w:val="Normal"/></w:pPr>
<w:r><w:t xml:space="preserve">the Roman clergy forty-two acolytes, placing them after</w:t></w:r>
</w:p>
<w:p>
<w:pPr><w:pStyle w:val="Normal"/></w:pPr>
<w:r><w:t xml:space="preserve">the subdeacons and before the other minor officials (see</w:t></w:r>
</w:p>
<w:p>
<w:pPr><w:pStyle w:val="Normal"/></w:pPr>
<w:r><w:t xml:space="preserve">Eusebius, Hist.  Ecc. lib. v. cap. 43), he gives no</w:t></w:r>
</w:p>
<w:p>
<w:pPr><w:pStyle w:val="Normal"/></w:pPr>
<w:r><w:t xml:space="preserve">hint that the office was a new one, but speaks of them as</w:t></w:r>
</w:p>
<w:p>
<w:pPr><w:pStyle w:val="Normal"/></w:pPr>
<w:r><w:t xml:space="preserve">holding an already established position.  Their institution</w:t></w:r>
</w:p>
<w:p>
<w:pPr><w:pStyle w:val="Normal"/></w:pPr>
<w:r><w:t xml:space="preserve">has therefore to be sought for at an earlier date than his</w:t></w:r>
</w:p>
<w:p>
<w:pPr><w:pStyle w:val="Normal"/></w:pPr>
<w:r><w:t xml:space="preserve">pontificate.  It is possible that the Liber Pontificalis</w:t></w:r>
</w:p>
<w:p>
<w:pPr><w:pStyle w:val="Normal"/></w:pPr>
<w:r><w:t xml:space="preserve">refers to the office under the Latin synonym, when it says</w:t></w:r>
</w:p>
<w:p>
<w:pPr><w:pStyle w:val="Normal"/></w:pPr>
<w:r><w:t xml:space="preserve">of Pope Victor (186--197) that he made sequentes cleros,</w:t></w:r>
</w:p>
<w:p>
<w:pPr><w:pStyle w:val="Normal"/></w:pPr>
<w:r><w:t xml:space="preserve">a term---sequens---which Pope Gaius (283--293) uses in the</w:t></w:r>
</w:p>
<w:p>
<w:pPr><w:pStyle w:val="Normal"/></w:pPr>
<w:r><w:t xml:space="preserve">sense of acolyte.  While the office was well known in Rome,</w:t></w:r>
</w:p>
<w:p>
<w:pPr><w:pStyle w:val="Normal"/></w:pPr>
<w:r><w:t xml:space="preserve">there is nothing to prove that it was also an order through</w:t></w:r>
</w:p>
<w:p>
<w:pPr><w:pStyle w:val="Normal"/></w:pPr>
<w:r><w:t xml:space="preserve">which, as to-day, every candidate to the priesthood must</w:t></w:r>
</w:p>
<w:p>
<w:pPr><w:pStyle w:val="Normal"/></w:pPr>
<w:r><w:t xml:space="preserve">pass.  The contrary is a fact proved by many monumental</w:t></w:r>
</w:p>
<w:p>
<w:pPr><w:pStyle w:val="Normal"/></w:pPr>
<w:r><w:t xml:space="preserve">inscriptions and authentic statements.  Though the office</w:t></w:r>
</w:p>
<w:p>
<w:pPr><w:pStyle w:val="Normal"/></w:pPr>
<w:r><w:t xml:space="preserve">is found at Carthage, and St Cyprian (200?-258) makes many</w:t></w:r>
</w:p>
<w:p>
<w:pPr><w:pStyle w:val="Normal"/></w:pPr>
<w:r><w:t xml:space="preserve">references to acolytes, whom he used to carry his letters,</w:t></w:r>
</w:p>
<w:p>
<w:pPr><w:pStyle w:val="Normal"/></w:pPr>
<w:r><w:t xml:space="preserve">this seems to be the only place in Africa where they were</w:t></w:r>
</w:p>
<w:p>
<w:pPr><w:pStyle w:val="Normal"/></w:pPr>
<w:r><w:t xml:space="preserve">known. Tertullian, while speaking of readers and exorcists,</w:t></w:r>
</w:p>
<w:p>
<w:pPr><w:pStyle w:val="Normal"/></w:pPr>
<w:r><w:t xml:space="preserve">says nothing about acolytes; neither does St Augustine.  The</w:t></w:r>
</w:p>
<w:p>
<w:pPr><w:pStyle w:val="Normal"/></w:pPr>
<w:r><w:t xml:space="preserve">Irish Church did not know them; and in Spain the council of</w:t></w:r>
</w:p>
<w:p>
<w:pPr><w:pStyle w:val="Normal"/></w:pPr>
<w:r><w:t xml:space="preserve">Toledo (400) makes no mention either of the office or of the</w:t></w:r>
</w:p>
<w:p>
<w:pPr><w:pStyle w:val="Normal"/></w:pPr>
<w:r><w:t xml:space="preserve">order.  The Statuta Ecclesiae Antiqua (falsely called the</w:t></w:r>
</w:p>
<w:p>
<w:pPr><w:pStyle w:val="Normal"/></w:pPr>
<w:r><w:t xml:space="preserve">Canons of the Fourth Council of Carthage in 397), a Gallican</w:t></w:r>
</w:p>
<w:p>
<w:pPr><w:pStyle w:val="Normal"/></w:pPr>
<w:r><w:t xml:space="preserve">collection, originating in the province of Arles at the</w:t></w:r>
</w:p>
<w:p>
<w:pPr><w:pStyle w:val="Normal"/></w:pPr>
<w:r><w:t xml:space="preserve">beginning of the 6th century, mentions the acolyte, but does</w:t></w:r>
</w:p>
<w:p>
<w:pPr><w:pStyle w:val="Normal"/></w:pPr>
<w:r><w:t xml:space="preserve">not give, as in the case of the other orders, any form for</w:t></w:r>
</w:p>
<w:p>
<w:pPr><w:pStyle w:val="Normal"/></w:pPr>
<w:r><w:t xml:space="preserve">the ordination.  The Roman books are silent, and there is</w:t></w:r>
</w:p>
<w:p>
<w:pPr><w:pStyle w:val="Normal"/></w:pPr>
<w:r><w:t xml:space="preserve">no mention of it in the collection known as the Leonine</w:t></w:r>
</w:p>
<w:p>
<w:pPr><w:pStyle w:val="Normal"/></w:pPr>
<w:r><w:t xml:space="preserve">Sacramentary; while in the so-called Gelasian Massbook,</w:t></w:r>
</w:p>
<w:p>
<w:pPr><w:pStyle w:val="Normal"/></w:pPr>
<w:r><w:t xml:space="preserve">which as we have it, is full of Gallican additions made to</w:t></w:r>
</w:p>
<w:p>
<w:pPr><w:pStyle w:val="Normal"/></w:pPr>
<w:r><w:t xml:space="preserve">St Gregory&apos;s reform, there is the same silence, though in</w:t></w:r>
</w:p>
<w:p>
<w:pPr><w:pStyle w:val="Normal"/></w:pPr>
<w:r><w:t xml:space="preserve">one MS. of the 10th century given by Muratori we find a form</w:t></w:r>
</w:p>
<w:p>
<w:pPr><w:pStyle w:val="Normal"/></w:pPr>
<w:r><w:t xml:space="preserve">for the ordination of an acolyte.  While there is frequent</w:t></w:r>
</w:p>
<w:p>
<w:pPr><w:pStyle w:val="Normal"/></w:pPr>
<w:r><w:t xml:space="preserve">mention of the acolyte&apos;s office in the Ordines Romani, it</w:t></w:r>
</w:p>
<w:p>
<w:pPr><w:pStyle w:val="Normal"/></w:pPr>
<w:r><w:t xml:space="preserve">is only in the Ordo VIII. (which is not earlier than the</w:t></w:r>
</w:p>
<w:p>
<w:pPr><w:pStyle w:val="Normal"/></w:pPr>
<w:r><w:t xml:space="preserve">7th century) that we find the very simple form for admitting</w:t></w:r>
</w:p>
<w:p>
<w:pPr><w:pStyle w:val="Normal"/></w:pPr>
<w:r><w:t xml:space="preserve">an acolyte to his office.  At the end of the mass the</w:t></w:r>
</w:p>
<w:p>
<w:pPr><w:pStyle w:val="Normal"/></w:pPr>
<w:r><w:t xml:space="preserve">cleric, clad in chasuble and stole and bearing a linen bag</w:t></w:r>
</w:p>
<w:p>
<w:pPr><w:pStyle w:val="Normal"/></w:pPr>
<w:r><w:t xml:space="preserve">on one arm, comes before the pope or bishop and receives a</w:t></w:r>
</w:p>
<w:p>
<w:pPr><w:pStyle w:val="Normal"/></w:pPr>
<w:r><w:t xml:space="preserve">blessing.  There is no collation of power or order but a</w:t></w:r>
</w:p>
<w:p>
<w:pPr><w:pStyle w:val="Normal"/></w:pPr>
<w:r><w:t xml:space="preserve">simple admission to an office.  The evidence available,</w:t></w:r>
</w:p>
<w:p>
<w:pPr><w:pStyle w:val="Normal"/></w:pPr>
<w:r><w:t xml:space="preserve">therefore, points to the fact that the acolyte was only a</w:t></w:r>
</w:p>
<w:p>
<w:pPr><w:pStyle w:val="Normal"/></w:pPr>
<w:r><w:t xml:space="preserve">local office and was not a necessary step or order for every</w:t></w:r>
</w:p>
<w:p>
<w:pPr><w:pStyle w:val="Normal"/></w:pPr>
<w:r><w:t xml:space="preserve">candidate. In England, though the ecclesiastical organization</w:t></w:r>
</w:p>
<w:p>
<w:pPr><w:pStyle w:val="Normal"/></w:pPr>
<w:r><w:t xml:space="preserve">came from Rome and was directed by Romans, we find no trace</w:t></w:r>
</w:p>
<w:p>
<w:pPr><w:pStyle w:val="Normal"/></w:pPr>
<w:r><w:t xml:space="preserve">of such an office or order until the time of Ecgbert of York</w:t></w:r>
</w:p>
<w:p>
<w:pPr><w:pStyle w:val="Normal"/></w:pPr>
<w:r><w:t xml:space="preserve">(767), the friand of Alcuin and therefore subject to Gallican</w:t></w:r>
</w:p>
<w:p>
<w:pPr><w:pStyle w:val="Normal"/></w:pPr>
<w:r><w:t xml:space="preserve">influence.  The Pontifical known as Ecgbert&apos;s shows that it</w:t></w:r>
</w:p>
<w:p>
<w:pPr><w:pStyle w:val="Normal"/></w:pPr>
<w:r><w:t xml:space="preserve">was then in use both as an office and as an order, and Aelfric</w:t></w:r>
</w:p>
<w:p>
<w:pPr><w:pStyle w:val="Normal"/></w:pPr>
<w:r><w:t xml:space="preserve">(1006) in both his pastoral epistle and canons mentions the</w:t></w:r>
</w:p>
<w:p>
<w:pPr><w:pStyle w:val="Normal"/></w:pPr>
<w:r><w:t xml:space="preserve">acolyte.  The conclusion, then, which seems warranted by</w:t></w:r>
</w:p>
<w:p>
<w:pPr><w:pStyle w:val="Normal"/></w:pPr>
<w:r><w:t xml:space="preserve">the evidence, is that the acolyte was an office only at</w:t></w:r>
</w:p>
<w:p>
<w:pPr><w:pStyle w:val="Normal"/></w:pPr>
<w:r><w:t xml:space="preserve">Rome, and, becoming an order in the Gallican Church,</w:t></w:r>
</w:p>
<w:p>
<w:pPr><w:pStyle w:val="Normal"/></w:pPr>
<w:r><w:t xml:space="preserve">found its way as such into the Roman books at some period</w:t></w:r>
</w:p>
<w:p>
<w:pPr><w:pStyle w:val="Normal"/></w:pPr>
<w:r><w:t xml:space="preserve">before the fusion of the two rites under Charlemagne.</w:t></w:r>
</w:p>
<w:p>
<w:pPr><w:pStyle w:val="Normal"/></w:pPr>
<w:r><w:t xml:space="preserve">The duties of the acolyte, as given in the Roman Pontifical,</w:t></w:r>
</w:p>
<w:p>
<w:pPr><w:pStyle w:val="Normal"/></w:pPr>
<w:r><w:t xml:space="preserve">are identical with those mentioned in the Statuta Ecclesiae</w:t></w:r>
</w:p>
<w:p>
<w:pPr><w:pStyle w:val="Normal"/></w:pPr>
<w:r><w:t xml:space="preserve">Antiqua of Arles: ``It is the duty of acolytes to carry</w:t></w:r>
</w:p>
<w:p>
<w:pPr><w:pStyle w:val="Normal"/></w:pPr>
<w:r><w:t xml:space="preserve">the candlesticks, to light the lamps of the church, to</w:t></w:r>
</w:p>
<w:p>
<w:pPr><w:pStyle w:val="Normal"/></w:pPr>
<w:r><w:t xml:space="preserve">administer wine and water for the Eucharist.&apos;&apos; It might</w:t></w:r>
</w:p>
<w:p>
<w:pPr><w:pStyle w:val="Normal"/></w:pPr>
<w:r><w:t xml:space="preserve">seem, from the number forty-two mentioned by Pope Cornelius,</w:t></w:r>
</w:p>
<w:p>
<w:pPr><w:pStyle w:val="Normal"/></w:pPr>
<w:r><w:t xml:space="preserve">that at Rome the acolytes were divided among the seven</w:t></w:r>
</w:p>
<w:p>
<w:pPr><w:pStyle w:val="Normal"/></w:pPr>
<w:r><w:t xml:space="preserve">ecclesiastical regions of the city; but we have no proof</w:t></w:r>
</w:p>
<w:p>
<w:pPr><w:pStyle w:val="Normal"/></w:pPr>
<w:r><w:t xml:space="preserve">that, at that date, there were six acolytes attached to each</w:t></w:r>
</w:p>
<w:p>
<w:pPr><w:pStyle w:val="Normal"/></w:pPr>
<w:r><w:t xml:space="preserve">region.  From the ancient division of the Roman acolytes</w:t></w:r>
</w:p>
<w:p>
<w:pPr><w:pStyle w:val="Normal"/></w:pPr>
<w:r><w:t xml:space="preserve">into Dalatini, or those in attendance on the pope at the</w:t></w:r>
</w:p>
<w:p>
<w:pPr><w:pStyle w:val="Normal"/></w:pPr>
<w:r><w:t xml:space="preserve">Lateran palace, Stationarii, or those who served at the</w:t></w:r>
</w:p>
<w:p>
<w:pPr><w:pStyle w:val="Normal"/></w:pPr>
<w:r><w:t xml:space="preserve">churches where there was a ``station,&apos;&apos; and Regionarii,</w:t></w:r>
</w:p>
<w:p>
<w:pPr><w:pStyle w:val="Normal"/></w:pPr>
<w:r><w:t xml:space="preserve">or those attached directly to the regiona, it would seem</w:t></w:r>
</w:p>
<w:p>
<w:pPr><w:pStyle w:val="Normal"/></w:pPr>
<w:r><w:t xml:space="preserve">that the number forty-two was only the actual number then</w:t></w:r>
</w:p>
<w:p>
<w:pPr><w:pStyle w:val="Normal"/></w:pPr>
<w:r><w:t xml:space="preserve">existing and not an official number.  We get a glimpse of</w:t></w:r>
</w:p>
<w:p>
<w:pPr><w:pStyle w:val="Normal"/></w:pPr>
<w:r><w:t xml:space="preserve">their duties from the Ordines Romani. When the pope</w:t></w:r>
</w:p>
<w:p>
<w:pPr><w:pStyle w:val="Normal"/></w:pPr>
<w:r><w:t xml:space="preserve">rode in procession to the station an acolyte, on foot,</w:t></w:r>
</w:p>
<w:p>
<w:pPr><w:pStyle w:val="Normal"/></w:pPr>
<w:r><w:t xml:space="preserve">preceded him, bearing the holy chrism; and at the church</w:t></w:r>
</w:p>
<w:p>
<w:pPr><w:pStyle w:val="Normal"/></w:pPr>
<w:r><w:t xml:space="preserve">seven regionary acolytes with candles went before him in the</w:t></w:r>
</w:p>
<w:p>
<w:pPr><w:pStyle w:val="Normal"/></w:pPr>
<w:r><w:t xml:space="preserve">procession to the altar, while two others, bearing the vessel</w:t></w:r>
</w:p>
<w:p>
<w:pPr><w:pStyle w:val="Normal"/></w:pPr>
<w:r><w:t xml:space="preserve">that contained a pre-consecrated Host, presented it for his</w:t></w:r>
</w:p>
<w:p>
<w:pPr><w:pStyle w:val="Normal"/></w:pPr>
<w:r><w:t xml:space="preserve">adoration.  During the mass an acolyte bore the thurible</w:t></w:r>
</w:p>
<w:p>
<w:pPr><w:pStyle w:val="Normal"/></w:pPr>
<w:r><w:t xml:space="preserve">(Ordo VI.) and three assisted at the washing of the</w:t></w:r>
</w:p>
<w:p>
<w:pPr><w:pStyle w:val="Normal"/></w:pPr>
<w:r><w:t xml:space="preserve">hands.  At the moment of communion the acolytes received in</w:t></w:r>
</w:p>
<w:p>
<w:pPr><w:pStyle w:val="Normal"/></w:pPr>
<w:r><w:t xml:space="preserve">linen bags the consecrated Hosts to carry to the assisting</w:t></w:r>
</w:p>
<w:p>
<w:pPr><w:pStyle w:val="Normal"/></w:pPr>
<w:r><w:t xml:space="preserve">priests.  This office of bearing the sacrament is an ancient</w:t></w:r>
</w:p>
<w:p>
<w:pPr><w:pStyle w:val="Normal"/></w:pPr>
<w:r><w:t xml:space="preserve">one, and is mentioned in the legend of Tarcisius, the Roman</w:t></w:r>
</w:p>
<w:p>
<w:pPr><w:pStyle w:val="Normal"/></w:pPr>
<w:r><w:t xml:space="preserve">acolyte, who was martyred on the Appian Way while carrying the</w:t></w:r>
</w:p>
<w:p>
<w:pPr><w:pStyle w:val="Normal"/></w:pPr>
<w:r><w:t xml:space="preserve">Hosts from the catacombs.  The official dress of the acolyte,</w:t></w:r>
</w:p>
<w:p>
<w:pPr><w:pStyle w:val="Normal"/></w:pPr>
<w:r><w:t xml:space="preserve">according to Ordo V., was a close-fitting linen garment</w:t></w:r>
</w:p>
<w:p>
<w:pPr><w:pStyle w:val="Normal"/></w:pPr>
<w:r><w:t xml:space="preserve">(camisia) girt about him, a napkin hanging from the left side,</w:t></w:r>
</w:p>
<w:p>
<w:pPr><w:pStyle w:val="Normal"/></w:pPr>
<w:r><w:t xml:space="preserve">a white tunic, a stole (orarium) and a chasuble (planeta)</w:t></w:r>
</w:p>
<w:p>
<w:pPr><w:pStyle w:val="Normal"/></w:pPr>
<w:r><w:t xml:space="preserve">which he took off when he sang on the steps of the ambone.</w:t></w:r>
</w:p>
<w:p>
<w:pPr><w:pStyle w:val="Normal"/></w:pPr>
<w:r><w:t xml:space="preserve">At the present day, despite the earnest wish of the council</w:t></w:r>
</w:p>
<w:p>
<w:pPr><w:pStyle w:val="Normal"/></w:pPr>
<w:r><w:t xml:space="preserve">of Trent (Sess. xxiii. cap. 17 d.r.), the acolyte, while</w:t></w:r>
</w:p>
<w:p>
<w:pPr><w:pStyle w:val="Normal"/></w:pPr>
<w:r><w:t xml:space="preserve">remaining an order, has ceased to be essentially a clerical</w:t></w:r>
</w:p>
<w:p>
<w:pPr><w:pStyle w:val="Normal"/></w:pPr>
<w:r><w:t xml:space="preserve">office, since the duties are now performed, almost everywhere, by</w:t></w:r>
</w:p>
<w:p>
<w:pPr><w:pStyle w:val="Normal"/></w:pPr>
<w:r><w:t xml:space="preserve">laymen.  The office has been revived, though unofficially, in</w:t></w:r>
</w:p>
<w:p>
<w:pPr><w:pStyle w:val="Normal"/></w:pPr>
<w:r><w:t xml:space="preserve">the Church of England, as a result of the Tractarian movement.</w:t></w:r>
</w:p>
<w:p>
<w:pPr><w:pStyle w:val="Normal"/></w:pPr>
<w:r><w:t xml:space="preserve">See Morin, Commentarius in sacris Ecclesiae ordinationibus</w:t></w:r>
</w:p>
<w:p>
<w:pPr><w:pStyle w:val="Normal"/></w:pPr>
<w:r><w:t xml:space="preserve">(Antwerp, 1685), ii. p. 209, iii. p. 152; Martene, De Antiquis</w:t></w:r>
</w:p>
<w:p>
<w:pPr><w:pStyle w:val="Normal"/></w:pPr>
<w:r><w:t xml:space="preserve">Ecclesiae ritibus (Antwerp, 1739), ii. pp. 47 and 86; Mabillon,</w:t></w:r>
</w:p>
<w:p>
<w:pPr><w:pStyle w:val="Normal"/></w:pPr>
<w:r><w:t xml:space="preserve">Musaeum Italicum II. for the Ordines Romani; Muratori,</w:t></w:r>
</w:p>
<w:p>
<w:pPr><w:pStyle w:val="Normal"/></w:pPr>
<w:r><w:t xml:space="preserve">Liturgia Romana Vetus; Cabrol, Dictionnaire d&apos;archeologie</w:t></w:r>
</w:p>
<w:p>
<w:pPr><w:pStyle w:val="Normal"/></w:pPr>
<w:r><w:t xml:space="preserve">chretisnne et de liturgie, vol. i. col. 348-536.-. (E. TN.)</w:t></w:r>
</w:p>
<w:p>
<w:pPr><w:pStyle w:val="Normal"/></w:pPr>
<w:r><w:t xml:space="preserve">ACOMINATUS (AKOMINATOS), MICHAEL (c. 1140-1220),</w:t></w:r>
</w:p>
<w:p>
<w:pPr><w:pStyle w:val="Normal"/></w:pPr>
<w:r><w:t xml:space="preserve">Byzantine writer and ecclesiastic, was born at Chonae</w:t></w:r>
</w:p>
<w:p>
<w:pPr><w:pStyle w:val="Normal"/></w:pPr>
<w:r><w:t xml:space="preserve">(the ancient Colossae).  At an early age he studied at</w:t></w:r>
</w:p>
<w:p>
<w:pPr><w:pStyle w:val="Normal"/></w:pPr>
<w:r><w:t xml:space="preserve">Constantinople, and about 1175 was appointed archbishop of</w:t></w:r>
</w:p>
<w:p>
<w:pPr><w:pStyle w:val="Normal"/></w:pPr>
<w:r><w:t xml:space="preserve">Athens.  After the capture of Constantinople by the Franks</w:t></w:r>
</w:p>
<w:p>
<w:pPr><w:pStyle w:val="Normal"/></w:pPr>
<w:r><w:t xml:space="preserve">and the establishment of the Latin empire (1204), he retired</w:t></w:r>
</w:p>
<w:p>
<w:pPr><w:pStyle w:val="Normal"/></w:pPr>
<w:r><w:t xml:space="preserve">to the island of Coos, where he died.  He was a versatile</w:t></w:r>
</w:p>
<w:p>
<w:pPr><w:pStyle w:val="Normal"/></w:pPr>
<w:r><w:t xml:space="preserve">writer, and composed homilies, speeches and poems, which,</w:t></w:r>
</w:p>
<w:p>
<w:pPr><w:pStyle w:val="Normal"/></w:pPr>
<w:r><w:t xml:space="preserve">with his correspondence, throw considerable light upon the</w:t></w:r>
</w:p>
<w:p>
<w:pPr><w:pStyle w:val="Normal"/></w:pPr>
<w:r><w:t xml:space="preserve">miserable condition of Attica and Athens at the time.  His</w:t></w:r>
</w:p>
<w:p>
<w:pPr><w:pStyle w:val="Normal"/></w:pPr>
<w:r><w:t xml:space="preserve">memorial to Alexis III. Angelus on the abuses of Byzantine</w:t></w:r>
</w:p>
<w:p>
<w:pPr><w:pStyle w:val="Normal"/></w:pPr>
<w:r><w:t xml:space="preserve">administration, the poetical lament over the degeneracy of</w:t></w:r>
</w:p>
<w:p>
<w:pPr><w:pStyle w:val="Normal"/></w:pPr>
<w:r><w:t xml:space="preserve">Athens and the monodes on his brother Nicetas and Eustathius,</w:t></w:r>
</w:p>
<w:p>
<w:pPr><w:pStyle w:val="Normal"/></w:pPr>
<w:r><w:t xml:space="preserve">archbishop of Thessalonica, deserve special mention.</w:t></w:r>
</w:p>
<w:p>
<w:pPr><w:pStyle w:val="Normal"/></w:pPr>
<w:r><w:t xml:space="preserve">Edition of his works by S. Lambros (1879--1880); Migne, Patrologia</w:t></w:r>
</w:p>
<w:p>
<w:pPr><w:pStyle w:val="Normal"/></w:pPr>
<w:r><w:t xml:space="preserve">Graeca, cxl.; see also A. Ellissen, Michael Akominatos</w:t></w:r>
</w:p>
<w:p>
<w:pPr><w:pStyle w:val="Normal"/></w:pPr>
<w:r><w:t xml:space="preserve">(1886), containing several pieces with German translation; F.</w:t></w:r>
</w:p>
<w:p>
<w:pPr><w:pStyle w:val="Normal"/></w:pPr>
<w:r><w:t xml:space="preserve">Gregorovius, Geschichte der Stadt Athen im Mittelalter, i.</w:t></w:r>
</w:p>
<w:p>
<w:pPr><w:pStyle w:val="Normal"/></w:pPr>
<w:r><w:t xml:space="preserve">(1889); G. Finlay, History of Greece, iv. pp. 133-134 (1877).</w:t></w:r>
</w:p>
<w:p>
<w:pPr><w:pStyle w:val="Normal"/></w:pPr>
<w:r><w:t xml:space="preserve">His younger brother NICETAS (Niketas), sometimes called</w:t></w:r>
</w:p>
<w:p>
<w:pPr><w:pStyle w:val="Normal"/></w:pPr>
<w:r><w:t xml:space="preserve">CHONIATES, who accompanied him to Constantinople, took up</w:t></w:r>
</w:p>
<w:p>
<w:pPr><w:pStyle w:val="Normal"/></w:pPr>
<w:r><w:t xml:space="preserve">politics as a career.  He held several appointments</w:t></w:r>
</w:p>
<w:p>
<w:pPr><w:pStyle w:val="Normal"/></w:pPr>
<w:r><w:t xml:space="preserve">under the Angelus emperors (amongst them that of ``great</w:t></w:r>
</w:p>
<w:p>
<w:pPr><w:pStyle w:val="Normal"/></w:pPr>
<w:r><w:t xml:space="preserve">logothete&apos;&apos; or chancellor) and was governor of the ``theme&apos;&apos;</w:t></w:r>
</w:p>
<w:p>
<w:pPr><w:pStyle w:val="Normal"/></w:pPr>
<w:r><w:t xml:space="preserve">of Philippopolis at a critical period.  After the fall of</w:t></w:r>
</w:p>
<w:p>
<w:pPr><w:pStyle w:val="Normal"/></w:pPr>
<w:r><w:t xml:space="preserve">Constantinople he fled to Nicaea, where he settled at the</w:t></w:r>
</w:p>
<w:p>
<w:pPr><w:pStyle w:val="Normal"/></w:pPr>
<w:r><w:t xml:space="preserve">court of the emperor Theodorus Lascaris, and devoted himself to</w:t></w:r>
</w:p>
<w:p>
<w:pPr><w:pStyle w:val="Normal"/></w:pPr>
<w:r><w:t xml:space="preserve">literature.  He died between 1210 and 1220.  His chief work</w:t></w:r>
</w:p>
<w:p>
<w:pPr><w:pStyle w:val="Normal"/></w:pPr>
<w:r><w:t xml:space="preserve">is his History, in 21 books, of the period from 1180 to</w:t></w:r>
</w:p>
<w:p>
<w:pPr><w:pStyle w:val="Normal"/></w:pPr>
<w:r><w:t xml:space="preserve">1206.  In spite of its florid and bombastic style, it is of</w:t></w:r>
</w:p>
<w:p>
<w:pPr><w:pStyle w:val="Normal"/></w:pPr>
<w:r><w:t xml:space="preserve">considerable value as a record (on the whole impartial) of</w:t></w:r>
</w:p>
<w:p>
<w:pPr><w:pStyle w:val="Normal"/></w:pPr>
<w:r><w:t xml:space="preserve">events of which he was either an eye-witness or had heard at</w:t></w:r>
</w:p>
<w:p>
<w:pPr><w:pStyle w:val="Normal"/></w:pPr>
<w:r><w:t xml:space="preserve">first hand.  Its most interesting portion is the description</w:t></w:r>
</w:p>
<w:p>
<w:pPr><w:pStyle w:val="Normal"/></w:pPr>
<w:r><w:t xml:space="preserve">of the capture of Constantinople, which should be read</w:t></w:r>
</w:p>
<w:p>
<w:pPr><w:pStyle w:val="Normal"/></w:pPr>
<w:r><w:t xml:space="preserve">with Villehardouin&apos;s and Paolo Rannusio&apos;s works on the same</w:t></w:r>
</w:p>
<w:p>
<w:pPr><w:pStyle w:val="Normal"/></w:pPr>
<w:r><w:t xml:space="preserve">subject.  The little treatise On the Statues destroyed by thc</w:t></w:r>
</w:p>
<w:p>
<w:pPr><w:pStyle w:val="Normal"/></w:pPr>
<w:r><w:t xml:space="preserve">Latins (perhaps, as we have it, altered by a later writer) is</w:t></w:r>
</w:p>
<w:p>
<w:pPr><w:pStyle w:val="Normal"/></w:pPr>
<w:r><w:t xml:space="preserve">of special interest to the archaeologist.  His dogmatic work(</w:t></w:r>
</w:p>
<w:p>
<w:pPr><w:pStyle w:val="Normal"/></w:pPr>
<w:r><w:t xml:space="preserve">Thesauros &apos;Orthodoxias, Thesaurus Orthodoxae Fidei),</w:t></w:r>
</w:p>
<w:p>
<w:pPr><w:pStyle w:val="Normal"/></w:pPr>
<w:r><w:t xml:space="preserve">although it is extant in a complete form in MS., has only</w:t></w:r>
</w:p>
<w:p>
<w:pPr><w:pStyle w:val="Normal"/></w:pPr>
<w:r><w:t xml:space="preserve">been published in part.  It is one of the chief authorities</w:t></w:r>
</w:p>
<w:p>
<w:pPr><w:pStyle w:val="Normal"/></w:pPr>
<w:r><w:t xml:space="preserve">for the heresies and heretical writers of the 12th century.</w:t></w:r>
</w:p>
<w:p>
<w:pPr><w:pStyle w:val="Normal"/></w:pPr>
<w:r><w:t xml:space="preserve">Editions: History, editio princeps, H. Wolf (1557); and in</w:t></w:r>
</w:p>
<w:p>
<w:pPr><w:pStyle w:val="Normal"/></w:pPr>
<w:r><w:t xml:space="preserve">the Bonn Corpus Scriptorum Hist.  Byz., 1st ed.,Bekker (1835);</w:t></w:r>
</w:p>
<w:p>
<w:pPr><w:pStyle w:val="Normal"/></w:pPr>
<w:r><w:t xml:space="preserve">Rhetorical Pieces in C. Sathas, Mesaionike Bibliotheke, i.</w:t></w:r>
</w:p>
<w:p>
<w:pPr><w:pStyle w:val="Normal"/></w:pPr>
<w:r><w:t xml:space="preserve">(1872); Thesaurus in Migne, Patrologia Graeca, cxxxix., cxl.;</w:t></w:r>
</w:p>
<w:p>
<w:pPr><w:pStyle w:val="Normal"/></w:pPr>
<w:r><w:t xml:space="preserve">see also C. A. Sainte-Beuve, ``Geoffroy de Villehardouin&apos;&apos; in</w:t></w:r>
</w:p>
<w:p>
<w:pPr><w:pStyle w:val="Normal"/></w:pPr>
<w:r><w:t xml:space="preserve">Causeries du Lundi, ix.; S. Reinach, ``La fin de l&apos;empire grec&apos;&apos;</w:t></w:r>
</w:p>
<w:p>
<w:pPr><w:pStyle w:val="Normal"/></w:pPr>
<w:r><w:t xml:space="preserve">in Esquisses Archeologiques (1888); C. Neumann, Griechische</w:t></w:r>
</w:p>
<w:p>
<w:pPr><w:pStyle w:val="Normal"/></w:pPr>
<w:r><w:t xml:space="preserve">Geschichtsschreiber im 12. Jahrhundert (1888); Gibbon, Decline</w:t></w:r>
</w:p>
<w:p>
<w:pPr><w:pStyle w:val="Normal"/></w:pPr>
<w:r><w:t xml:space="preserve">and Fall, ch. lx.; and (for both Michael and Nicetas) C.</w:t></w:r>
</w:p>
<w:p>
<w:pPr><w:pStyle w:val="Normal"/></w:pPr>
<w:r><w:t xml:space="preserve">Krumbacher, Geschichte der byzantinischen Litteratur (1897).</w:t></w:r>
</w:p>
<w:p>
<w:pPr><w:pStyle w:val="Normal"/></w:pPr>
<w:r><w:t xml:space="preserve">ACONCAGUA, a small northern province of central Chile,</w:t></w:r>
</w:p>
<w:p>
<w:pPr><w:pStyle w:val="Normal"/></w:pPr>
<w:r><w:t xml:space="preserve">bounded N. by Coquimbo, E. by Argentina, S. by Santiago and</w:t></w:r>
</w:p>
<w:p>
<w:pPr><w:pStyle w:val="Normal"/></w:pPr>
<w:r><w:t xml:space="preserve">Valparaiso and W. by the Pacific.  Its area is officially</w:t></w:r>
</w:p>
<w:p>
<w:pPr><w:pStyle w:val="Normal"/></w:pPr>
<w:r><w:t xml:space="preserve">computed at 5487 sq. m.  Pop. (1895) 113,165; (1902, official</w:t></w:r>
</w:p>
<w:p>
<w:pPr><w:pStyle w:val="Normal"/></w:pPr>
<w:r><w:t xml:space="preserve">estimate based on civil registry returns) 131,255.  The province</w:t></w:r>
</w:p>
<w:p>
<w:pPr><w:pStyle w:val="Normal"/></w:pPr>
<w:r><w:t xml:space="preserve">is very mountainous, and is traversed from east to west by</w:t></w:r>
</w:p>
<w:p>
<w:pPr><w:pStyle w:val="Normal"/></w:pPr>
<w:r><w:t xml:space="preserve">the broad valley of the Aconcagua river.  The climate is hot</w:t></w:r>
</w:p>
<w:p>
<w:pPr><w:pStyle w:val="Normal"/></w:pPr>
<w:r><w:t xml:space="preserve">and dry, the rainfall being too small to influence climatic</w:t></w:r>
</w:p>
<w:p>
<w:pPr><w:pStyle w:val="Normal"/></w:pPr>
<w:r><w:t xml:space="preserve">conditions.  The valleys are highly fertile, and where irrigation</w:t></w:r>
</w:p>
<w:p>
<w:pPr><w:pStyle w:val="Normal"/></w:pPr>
<w:r><w:t xml:space="preserve">is employed large crops are easily raised.  Beyond the limits</w:t></w:r>
</w:p>
<w:p>
<w:pPr><w:pStyle w:val="Normal"/></w:pPr>
<w:r><w:t xml:space="preserve">of irrigation the country is semi-barren.  Alfalfa and grapes</w:t></w:r>
</w:p>
<w:p>
<w:pPr><w:pStyle w:val="Normal"/></w:pPr>
<w:r><w:t xml:space="preserve">are the principal products, and considerable attention is given</w:t></w:r>
</w:p>
<w:p>
<w:pPr><w:pStyle w:val="Normal"/></w:pPr>
<w:r><w:t xml:space="preserve">to the cultivation of other fruits, such as figs, peaches and</w:t></w:r>
</w:p>
<w:p>
<w:pPr><w:pStyle w:val="Normal"/></w:pPr>
<w:r><w:t xml:space="preserve">melons.  The ``Vale of Quillota,&apos;&apos; through which the railway</w:t></w:r>
</w:p>
<w:p>
<w:pPr><w:pStyle w:val="Normal"/></w:pPr>
<w:r><w:t xml:space="preserve">passes between Valparaiso and Santiago, is celebrated for its</w:t></w:r>
</w:p>
<w:p>
<w:pPr><w:pStyle w:val="Normal"/></w:pPr>
<w:r><w:t xml:space="preserve">gardens.  The Aconcagua river rises on the southern slope of</w:t></w:r>
</w:p>
<w:p>
<w:pPr><w:pStyle w:val="Normal"/></w:pPr>
<w:r><w:t xml:space="preserve">the volcano Aconcagua, flows eastward through a broad valley,</w:t></w:r>
</w:p>
<w:p>
<w:pPr><w:pStyle w:val="Normal"/></w:pPr>
<w:r><w:t xml:space="preserve">or bay in the mountains, and enters the Pacific 12 m. north of</w:t></w:r>
</w:p>
<w:p>
<w:pPr><w:pStyle w:val="Normal"/></w:pPr>
<w:r><w:t xml:space="preserve">Valparaiso.  The river has a course of about 200 m., and</w:t></w:r>
</w:p>
<w:p>
<w:pPr><w:pStyle w:val="Normal"/></w:pPr>
<w:r><w:t xml:space="preserve">its waters irrigate the best and most populous part of the</w:t></w:r>
</w:p>
<w:p>
<w:pPr><w:pStyle w:val="Normal"/></w:pPr>
<w:r><w:t xml:space="preserve">province.  Two other rivers--the Ligua and Choapa--traverse</w:t></w:r>
</w:p>
<w:p>
<w:pPr><w:pStyle w:val="Normal"/></w:pPr>
<w:r><w:t xml:space="preserve">the province, the latter forming the northern boundary</w:t></w:r>
</w:p>
<w:p>
<w:pPr><w:pStyle w:val="Normal"/></w:pPr>
<w:r><w:t xml:space="preserve">line.  The capital is San Felipe, on the Aconcagua river;</w:t></w:r>
</w:p>
<w:p>
<w:pPr><w:pStyle w:val="Normal"/></w:pPr>
<w:r><w:t xml:space="preserve">it had a population of 11,313 in 1895, and an estimated</w:t></w:r>
</w:p>
<w:p>
<w:pPr><w:pStyle w:val="Normal"/></w:pPr>
<w:r><w:t xml:space="preserve">population of 11,660 in 1902.  The other chief town is</w:t></w:r>
</w:p>
<w:p>
<w:pPr><w:pStyle w:val="Normal"/></w:pPr>
<w:r><w:t xml:space="preserve">Santa Rosa de los Andes (est. pop. 6854), which is a</w:t></w:r>
</w:p>
<w:p>
<w:pPr><w:pStyle w:val="Normal"/></w:pPr>
<w:r><w:t xml:space="preserve">principal station on the Transandine branch of the state</w:t></w:r>
</w:p>
<w:p>
<w:pPr><w:pStyle w:val="Normal"/></w:pPr>
<w:r><w:t xml:space="preserve">railway.  The only port in the province is Los Vilos, in</w:t></w:r>
</w:p>
<w:p>
<w:pPr><w:pStyle w:val="Normal"/></w:pPr>
<w:r><w:t xml:space="preserve">lat. 32 deg.  S., from which a railway 40 m. long runs north-east</w:t></w:r>
</w:p>
<w:p>
<w:pPr><w:pStyle w:val="Normal"/></w:pPr>
<w:r><w:t xml:space="preserve">to the valley of the Choapa.  Another short line connects</w:t></w:r>
</w:p>
<w:p>
<w:pPr><w:pStyle w:val="Normal"/></w:pPr>
<w:r><w:t xml:space="preserve">Cabildo, in the valley of the Ligua, with the state railway.</w:t></w:r>
</w:p>
<w:p>
<w:pPr><w:pStyle w:val="Normal"/></w:pPr>
<w:r><w:t xml:space="preserve">ACONCIO, GIACOMO (1492-1566?), pioneer of religious toleration,</w:t></w:r>
</w:p>
<w:p>
<w:pPr><w:pStyle w:val="Normal"/></w:pPr>
<w:r><w:t xml:space="preserve">was born at Trent, it is said, on the 7th of September 1492.</w:t></w:r>
</w:p>
<w:p>
<w:pPr><w:pStyle w:val="Normal"/></w:pPr>
<w:r><w:t xml:space="preserve">He was one of the Italians like Peter Martyr and Bernardino</w:t></w:r>
</w:p>
<w:p>
<w:pPr><w:pStyle w:val="Normal"/></w:pPr>
<w:r><w:t xml:space="preserve">Ochino who repudiated papal doctrine and ultimately found</w:t></w:r>
</w:p>
<w:p>
<w:pPr><w:pStyle w:val="Normal"/></w:pPr>
<w:r><w:t xml:space="preserve">refuge in England.  Like them, his revolt against Romanism</w:t></w:r>
</w:p>
<w:p>
<w:pPr><w:pStyle w:val="Normal"/></w:pPr>
<w:r><w:t xml:space="preserve">took an extremer form than Lutheranism, and after a temporary</w:t></w:r>
</w:p>
<w:p>
<w:pPr><w:pStyle w:val="Normal"/></w:pPr>
<w:r><w:t xml:space="preserve">residence in Switzerland and at Strassburg, he arrived in</w:t></w:r>
</w:p>
<w:p>
<w:pPr><w:pStyle w:val="Normal"/></w:pPr>
<w:r><w:t xml:space="preserve">England soon after Elizabeth&apos;s accession.  He had studied</w:t></w:r>
</w:p>
<w:p>
<w:pPr><w:pStyle w:val="Normal"/></w:pPr>
<w:r><w:t xml:space="preserve">law and theology, but his profession was that of an engineer,</w:t></w:r>
</w:p>
<w:p>
<w:pPr><w:pStyle w:val="Normal"/></w:pPr>
<w:r><w:t xml:space="preserve">and in this capacity he found employment with the English</w:t></w:r>
</w:p>
<w:p>
<w:pPr><w:pStyle w:val="Normal"/></w:pPr>
<w:r><w:t xml:space="preserve">government.  He was granted an annuity of L. 60 on the 27th of</w:t></w:r>
</w:p>
<w:p>
<w:pPr><w:pStyle w:val="Normal"/></w:pPr>
<w:r><w:t xml:space="preserve">February 1560, and letters of naturalization on the 8th of October</w:t></w:r>
</w:p>
<w:p>
<w:pPr><w:pStyle w:val="Normal"/></w:pPr>
<w:r><w:t xml:space="preserve">1561 (Cal. State Papers, Dom. Ser., Addenda, 1547--1566, p.</w:t></w:r>
</w:p>
<w:p>
<w:pPr><w:pStyle w:val="Normal"/></w:pPr>
<w:r><w:t xml:space="preserve">495), and was for some time occupied with draining Plumstead</w:t></w:r>
</w:p>
<w:p>
<w:pPr><w:pStyle w:val="Normal"/></w:pPr>
<w:r><w:t xml:space="preserve">marshes, for which object various acts of parliament were</w:t></w:r>
</w:p>
<w:p>
<w:pPr><w:pStyle w:val="Normal"/></w:pPr>
<w:r><w:t xml:space="preserve">passed at this time (Lords&apos; Journals, vol. i., and Commons&apos;</w:t></w:r>
</w:p>
<w:p>
<w:pPr><w:pStyle w:val="Normal"/></w:pPr>
<w:r><w:t xml:space="preserve">Journals, vol. i., passim). In 1564 he was sent to report</w:t></w:r>
</w:p>
<w:p>
<w:pPr><w:pStyle w:val="Normal"/></w:pPr>
<w:r><w:t xml:space="preserve">on the fortifications of Berwick (Cal. St. Pap. For Ser.</w:t></w:r>
</w:p>
<w:p>
<w:pPr><w:pStyle w:val="Normal"/></w:pPr>
<w:r><w:t xml:space="preserve">1564-1565, passim; Acts P.C., 1558-1570, p. 146); his report</w:t></w:r>
</w:p>
<w:p>
<w:pPr><w:pStyle w:val="Normal"/></w:pPr>
<w:r><w:t xml:space="preserve">is now in thc Record Office (C.S.P. For., 1564-1565, No. 512).</w:t></w:r>
</w:p>
<w:p>
<w:pPr><w:pStyle w:val="Normal"/></w:pPr>
<w:r><w:t xml:space="preserve">But his real importance depends upon his contribution to the</w:t></w:r>
</w:p>
<w:p>
<w:pPr><w:pStyle w:val="Normal"/></w:pPr>
<w:r><w:t xml:space="preserve">history of religious toleration.  Before reaching England he</w:t></w:r>
</w:p>
<w:p>
<w:pPr><w:pStyle w:val="Normal"/></w:pPr>
<w:r><w:t xml:space="preserve">had published a treatise on the methods of investigation, De</w:t></w:r>
</w:p>
<w:p>
<w:pPr><w:pStyle w:val="Normal"/></w:pPr>
<w:r><w:t xml:space="preserve">Methodo, hoc est, de recte investigandarum tradendarumque</w:t></w:r>
</w:p>
<w:p>
<w:pPr><w:pStyle w:val="Normal"/></w:pPr>
<w:r><w:t xml:space="preserve">Scientiarum ratione (Basel, 1558, 8vo); and his critical</w:t></w:r>
</w:p>
<w:p>
<w:pPr><w:pStyle w:val="Normal"/></w:pPr>
<w:r><w:t xml:space="preserve">spirit placed him outside all the recognized religious societies</w:t></w:r>
</w:p>
<w:p>
<w:pPr><w:pStyle w:val="Normal"/></w:pPr>
<w:r><w:t xml:space="preserve">of his time.  On his arrival in London he had joined the Dutch</w:t></w:r>
</w:p>
<w:p>
<w:pPr><w:pStyle w:val="Normal"/></w:pPr>
<w:r><w:t xml:space="preserve">Reformed Church in Austin Friars, but he was ``infected with</w:t></w:r>
</w:p>
<w:p>
<w:pPr><w:pStyle w:val="Normal"/></w:pPr>
<w:r><w:t xml:space="preserve">Anabaptistical and Arian opinions&apos;&apos; and was excluded from the</w:t></w:r>
</w:p>
<w:p>
<w:pPr><w:pStyle w:val="Normal"/></w:pPr>
<w:r><w:t xml:space="preserve">sacrament by Grindal, bishop of London.  The real nature of his</w:t></w:r>
</w:p>
<w:p>
<w:pPr><w:pStyle w:val="Normal"/></w:pPr>
<w:r><w:t xml:space="preserve">heterodoxy is revealed in his Stratagemata Satanae, published</w:t></w:r>
</w:p>
<w:p>
<w:pPr><w:pStyle w:val="Normal"/></w:pPr>
<w:r><w:t xml:space="preserve">in 1565 and translated into various languages.  The ``stratagems</w:t></w:r>
</w:p>
<w:p>
<w:pPr><w:pStyle w:val="Normal"/></w:pPr>
<w:r><w:t xml:space="preserve">of Satan&apos;&apos; are the dogmatic creeds which rent the Christian</w:t></w:r>
</w:p>
<w:p>
<w:pPr><w:pStyle w:val="Normal"/></w:pPr>
<w:r><w:t xml:space="preserve">church.  Aconcio sought to find the common denominator of</w:t></w:r>
</w:p>
<w:p>
<w:pPr><w:pStyle w:val="Normal"/></w:pPr>
<w:r><w:t xml:space="preserve">the various creeds; this was essential doctrine, the rest was</w:t></w:r>
</w:p>
<w:p>
<w:pPr><w:pStyle w:val="Normal"/></w:pPr>
<w:r><w:t xml:space="preserve">immaterial.  To arrive at this common basis, he had to</w:t></w:r>
</w:p>
<w:p>
<w:pPr><w:pStyle w:val="Normal"/></w:pPr>
<w:r><w:t xml:space="preserve">reduce dogma to a low level, and his result was generally</w:t></w:r>
</w:p>
<w:p>
<w:pPr><w:pStyle w:val="Normal"/></w:pPr>
<w:r><w:t xml:space="preserve">repudiated.  Even Selden applied to Aconcio the remark ubi bene,</w:t></w:r>
</w:p>
<w:p>
<w:pPr><w:pStyle w:val="Normal"/></w:pPr>
<w:r><w:t xml:space="preserve">nil melius; ubi male, nemo pejus. The dedication of such a</w:t></w:r>
</w:p>
<w:p>
<w:pPr><w:pStyle w:val="Normal"/></w:pPr>
<w:r><w:t xml:space="preserve">work to Queen Elizabeth illustrates the tolerance or religious</w:t></w:r>
</w:p>
<w:p>
<w:pPr><w:pStyle w:val="Normal"/></w:pPr>
<w:r><w:t xml:space="preserve">laxity during the early years of her reign.  Aconcio found</w:t></w:r>
</w:p>
<w:p>
<w:pPr><w:pStyle w:val="Normal"/></w:pPr>
<w:r><w:t xml:space="preserve">another patron in the earl of Leicester, and died about 1566.</w:t></w:r>
</w:p>
<w:p>
<w:pPr><w:pStyle w:val="Normal"/></w:pPr>
<w:r><w:t xml:space="preserve">AUTHORITIES.--Gough&apos;s Index to Parker Soc. Publ.;</w:t></w:r>
</w:p>
<w:p>
<w:pPr><w:pStyle w:val="Normal"/></w:pPr>
<w:r><w:t xml:space="preserve">Strype&apos;s Grindal, pp. 62, 66; Bayle&apos;s Dictionnaire; G.</w:t></w:r>
</w:p>
<w:p>
<w:pPr><w:pStyle w:val="Normal"/></w:pPr>
<w:r><w:t xml:space="preserve">Tiraboschi, Storia della lett. italiana (Florence,</w:t></w:r>
</w:p>
<w:p>
<w:pPr><w:pStyle w:val="Normal"/></w:pPr>
<w:r><w:t xml:space="preserve">1805--1813); Osterreichisches Biogr. Lexikon;</w:t></w:r>
</w:p>
<w:p>
<w:pPr><w:pStyle w:val="Normal"/></w:pPr>
<w:r><w:t xml:space="preserve">Nouvelle biogr. generale; Dict.  Nat. Biogr. (A. F. P.)</w:t></w:r>
</w:p>
<w:p>
<w:pPr><w:pStyle w:val="Normal"/></w:pPr>
<w:r><w:t xml:space="preserve">ACONITE (Aconitum), a genus of plants belonging to the</w:t></w:r>
</w:p>
<w:p>
<w:pPr><w:pStyle w:val="Normal"/></w:pPr>
<w:r><w:t xml:space="preserve">natural order Ranunculaceae, the buttercup family, commonly</w:t></w:r>
</w:p>
<w:p>
<w:pPr><w:pStyle w:val="Normal"/></w:pPr>
<w:r><w:t xml:space="preserve">known as aconite, monkshood or wolfsbane, and embracing</w:t></w:r>
</w:p>
<w:p>
<w:pPr><w:pStyle w:val="Normal"/></w:pPr>
<w:r><w:t xml:space="preserve">about 60 species, chiefly natives of the mountainous parts</w:t></w:r>
</w:p>
<w:p>
<w:pPr><w:pStyle w:val="Normal"/></w:pPr>
<w:r><w:t xml:space="preserve">of the northern hemisphere.  They are distinguished by</w:t></w:r>
</w:p>
<w:p>
<w:pPr><w:pStyle w:val="Normal"/></w:pPr>
<w:r><w:t xml:space="preserve">having one of the five blue or yellow coloured sepals (the</w:t></w:r>
</w:p>
<w:p>
<w:pPr><w:pStyle w:val="Normal"/></w:pPr>
<w:r><w:t xml:space="preserve">posterior one) in the form of a helmet; hence the English name</w:t></w:r>
</w:p>
<w:p>
<w:pPr><w:pStyle w:val="Normal"/></w:pPr>
<w:r><w:t xml:space="preserve">monkshood.  Two of the petals placed under the hood of</w:t></w:r>
</w:p>
<w:p>
<w:pPr><w:pStyle w:val="Normal"/></w:pPr>
<w:r><w:t xml:space="preserve">the calyx are supported on long stalks, and have a hollow</w:t></w:r>
</w:p>
<w:p>
<w:pPr><w:pStyle w:val="Normal"/></w:pPr>
<w:r><w:t xml:space="preserve">spur at their apex, containing honey.  They are handsome</w:t></w:r>
</w:p>
<w:p>
<w:pPr><w:pStyle w:val="Normal"/></w:pPr>
<w:r><w:t xml:space="preserve">plants, the tall stem being crowned by racemes of showy</w:t></w:r>
</w:p>
<w:p>
<w:pPr><w:pStyle w:val="Normal"/></w:pPr>
<w:r><w:t xml:space="preserve">flowers. Aconitum Napellus, common monkshood, is a doubtful</w:t></w:r>
</w:p>
<w:p>
<w:pPr><w:pStyle w:val="Normal"/></w:pPr>
<w:r><w:t xml:space="preserve">native of Britain, and is of therapeutic and toxicological</w:t></w:r>
</w:p>
<w:p>
<w:pPr><w:pStyle w:val="Normal"/></w:pPr>
<w:r><w:t xml:space="preserve">importance.  Its roots have occasionally been mistaken for</w:t></w:r>
</w:p>
<w:p>
<w:pPr><w:pStyle w:val="Normal"/></w:pPr>
<w:r><w:t xml:space="preserve">horse-radish.  The aconite has a short underground stem, from</w:t></w:r>
</w:p>
<w:p>
<w:pPr><w:pStyle w:val="Normal"/></w:pPr>
<w:r><w:t xml:space="preserve">which dark-coloured tapering roots descend.  The crown or upper</w:t></w:r>
</w:p>
<w:p>
<w:pPr><w:pStyle w:val="Normal"/></w:pPr>
<w:r><w:t xml:space="preserve">portion of the root gives rise to new plants.  When put to</w:t></w:r>
</w:p>
<w:p>
<w:pPr><w:pStyle w:val="Normal"/></w:pPr>
<w:r><w:t xml:space="preserve">the lip, the juice of the aconite root produces a feeling of</w:t></w:r>
</w:p>
<w:p>
<w:pPr><w:pStyle w:val="Normal"/></w:pPr>
<w:r><w:t xml:space="preserve">numbness and tingling.  The horse-radish root, which belongs</w:t></w:r>
</w:p>
<w:p>
<w:pPr><w:pStyle w:val="Normal"/></w:pPr>
<w:r><w:t xml:space="preserve">to the natural order Cruciferae, is much longer than that of</w:t></w:r>
</w:p>
<w:p>
<w:pPr><w:pStyle w:val="Normal"/></w:pPr>
<w:r><w:t xml:space="preserve">the aconite, and it is not tapering; its colour is yellowish,</w:t></w:r>
</w:p>
<w:p>
<w:pPr><w:pStyle w:val="Normal"/></w:pPr>
<w:r><w:t xml:space="preserve">and the top of the root has the remains of the leaves on it.</w:t></w:r>
</w:p>
<w:p>
<w:pPr><w:pStyle w:val="Normal"/></w:pPr>
<w:r><w:t xml:space="preserve">Many species of aconite are cultivated in gardens, some</w:t></w:r>
</w:p>
<w:p>
<w:pPr><w:pStyle w:val="Normal"/></w:pPr>
<w:r><w:t xml:space="preserve">having blue and others yellow flowers. Aconitum lycoctonum,</w:t></w:r>
</w:p>
<w:p>
<w:pPr><w:pStyle w:val="Normal"/></w:pPr>
<w:r><w:t xml:space="preserve">wolfsbane, is a yellow-flowered species common on the Alps of</w:t></w:r>
</w:p>
<w:p>
<w:pPr><w:pStyle w:val="Normal"/></w:pPr>
<w:r><w:t xml:space="preserve">Switzerland.  The roots of Aconitum ferox supply the famous</w:t></w:r>
</w:p>
<w:p>
<w:pPr><w:pStyle w:val="Normal"/></w:pPr>
<w:r><w:t xml:space="preserve">Indian (Nepal) poison called bikh, bish or nabee.  It contains</w:t></w:r>
</w:p>
<w:p>
<w:pPr><w:pStyle w:val="Normal"/></w:pPr>
<w:r><w:t xml:space="preserve">considerable quantities of the alkaloid pseudaconitine, which</w:t></w:r>
</w:p>
<w:p>
<w:pPr><w:pStyle w:val="Normal"/></w:pPr>
<w:r><w:t xml:space="preserve">is the most deadly poison known. Aconitum palmatum yields</w:t></w:r>
</w:p>
<w:p>
<w:pPr><w:pStyle w:val="Normal"/></w:pPr>
<w:r><w:t xml:space="preserve">another of the celebrated bikh poisons.  The root of Aconitum</w:t></w:r>
</w:p>
<w:p>
<w:pPr><w:pStyle w:val="Normal"/></w:pPr>
<w:r><w:t xml:space="preserve">luridum, of the Himalayas, is said to be as virulent as that</w:t></w:r>
</w:p>
<w:p>
<w:pPr><w:pStyle w:val="Normal"/></w:pPr>
<w:r><w:t xml:space="preserve">of A. ferox or A. Napellus. As garden plants the aconites</w:t></w:r>
</w:p>
<w:p>
<w:pPr><w:pStyle w:val="Normal"/></w:pPr>
<w:r><w:t xml:space="preserve">are very ornamental, hardy perennials.  They thrive well in</w:t></w:r>
</w:p>
<w:p>
<w:pPr><w:pStyle w:val="Normal"/></w:pPr>
<w:r><w:t xml:space="preserve">any ordinary garden soil, and will grow beneath the shade of</w:t></w:r>
</w:p>
<w:p>
<w:pPr><w:pStyle w:val="Normal"/></w:pPr>
<w:r><w:t xml:space="preserve">trees.  They are easily propagated by divisions of the root</w:t></w:r>
</w:p>
<w:p>
<w:pPr><w:pStyle w:val="Normal"/></w:pPr>
<w:r><w:t xml:space="preserve">or by seeds; great care should be taken not to leave pieces</w:t></w:r>
</w:p>
<w:p>
<w:pPr><w:pStyle w:val="Normal"/></w:pPr>
<w:r><w:t xml:space="preserve">of the root about owing to its very poisonous character.</w:t></w:r>
</w:p>
<w:p>
<w:pPr><w:pStyle w:val="Normal"/></w:pPr>
<w:r><w:t xml:space="preserve">Chemistry.---The active principle of Aconitum Napellus</w:t></w:r>
</w:p>
<w:p>
<w:pPr><w:pStyle w:val="Normal"/></w:pPr>
<w:r><w:t xml:space="preserve">is the alkaloid aconitine, first examined by P. L. Geiger and</w:t></w:r>
</w:p>
<w:p>
<w:pPr><w:pStyle w:val="Normal"/></w:pPr>
<w:r><w:t xml:space="preserve">Hesse (Ann., 1834, 7, p. 267), Alder Wright and A. B, Luff</w:t></w:r>
</w:p>
<w:p>
<w:pPr><w:pStyle w:val="Normal"/></w:pPr>
<w:r><w:t xml:space="preserve">obtained apoaconitine, aconine and benzoic acid by hydrolysis;</w:t></w:r>
</w:p>
<w:p>
<w:pPr><w:pStyle w:val="Normal"/></w:pPr>
<w:r><w:t xml:space="preserve">while, in 1802, C. Ehrenberg and A. Purfurst (Journ.</w:t></w:r>
</w:p>
<w:p>
<w:pPr><w:pStyle w:val="Normal"/></w:pPr>
<w:r><w:t xml:space="preserve">Prat.  Chem., 1892, 45, p. 604) observed acetic acid as a</w:t></w:r>
</w:p>
<w:p>
<w:pPr><w:pStyle w:val="Normal"/></w:pPr>
<w:r><w:t xml:space="preserve">hydrolytic product.  This, and allied alkaloids, have formed</w:t></w:r>
</w:p>
<w:p>
<w:pPr><w:pStyle w:val="Normal"/></w:pPr>
<w:r><w:t xml:space="preserve">the subject of many investigations by Wyndham Dunstan and</w:t></w:r>
</w:p>
<w:p>
<w:pPr><w:pStyle w:val="Normal"/></w:pPr>
<w:r><w:t xml:space="preserve">his pupils in England, and by Martin Freund and Paul Beck in</w:t></w:r>
</w:p>
<w:p>
<w:pPr><w:pStyle w:val="Normal"/></w:pPr>
<w:r><w:t xml:space="preserve">Berlin.  But their constitution is not yet solved, there</w:t></w:r>
</w:p>
<w:p>
<w:pPr><w:pStyle w:val="Normal"/></w:pPr>
<w:r><w:t xml:space="preserve">even being some divergence of opinion as to their empirical</w:t></w:r>
</w:p>
<w:p>
<w:pPr><w:pStyle w:val="Normal"/></w:pPr>
<w:r><w:t xml:space="preserve">formulae, Aconitine (C33H45NO13, according to Dunstan;</w:t></w:r>
</w:p>
<w:p>
<w:pPr><w:pStyle w:val="Normal"/></w:pPr>
<w:r><w:t xml:space="preserve">C34H47NO11, according to Freund) is a crystalline base,</w:t></w:r>
</w:p>
<w:p>
<w:pPr><w:pStyle w:val="Normal"/></w:pPr>
<w:r><w:t xml:space="preserve">soluble in alcohol, but very sparingly in water; its alcoholic</w:t></w:r>
</w:p>
<w:p>
<w:pPr><w:pStyle w:val="Normal"/></w:pPr>
<w:r><w:t xml:space="preserve">solution is dextrorotatory, but its salts are laevorotatory.</w:t></w:r>
</w:p>
<w:p>
<w:pPr><w:pStyle w:val="Normal"/></w:pPr>
<w:r><w:t xml:space="preserve">When heated it loses water and forms pyraconitine.  Hydrolysis</w:t></w:r>
</w:p>
<w:p>
<w:pPr><w:pStyle w:val="Normal"/></w:pPr>
<w:r><w:t xml:space="preserve">gives acetic acid and benzaconine, the chief constituent of the</w:t></w:r>
</w:p>
<w:p>
<w:pPr><w:pStyle w:val="Normal"/></w:pPr>
<w:r><w:t xml:space="preserve">alkaloids picraconitine and napelline; further hydrolysis gives</w:t></w:r>
</w:p>
<w:p>
<w:pPr><w:pStyle w:val="Normal"/></w:pPr>
<w:r><w:t xml:space="preserve">aconine.  Pseudaconitine, obtained from Aconitum ferox,</w:t></w:r>
</w:p>
<w:p>
<w:pPr><w:pStyle w:val="Normal"/></w:pPr>
<w:r><w:t xml:space="preserve">gives on hydrolysis acetic acid and veratrylpseudaconine, the</w:t></w:r>
</w:p>
<w:p>
<w:pPr><w:pStyle w:val="Normal"/></w:pPr>
<w:r><w:t xml:space="preserve">latter of which suffers further hydrolysis to veratric acid and</w:t></w:r>
</w:p>
<w:p>
<w:pPr><w:pStyle w:val="Normal"/></w:pPr>
<w:r><w:t xml:space="preserve">pseudaconine.  Japaconitine, obtained from the Japanese</w:t></w:r>
</w:p>
<w:p>
<w:pPr><w:pStyle w:val="Normal"/></w:pPr>
<w:r><w:t xml:space="preserve">aconites, known locally as ``kuza-uzu,&apos;&apos; hydrolyses to</w:t></w:r>
</w:p>
<w:p>
<w:pPr><w:pStyle w:val="Normal"/></w:pPr>
<w:r><w:t xml:space="preserve">japbenzaconine, which further breaks down to benzoic acid and</w:t></w:r>
</w:p>
<w:p>
<w:pPr><w:pStyle w:val="Normal"/></w:pPr>
<w:r><w:t xml:space="preserve">japaconine.  Other related alkaloids are lycaconitine and</w:t></w:r>
</w:p>
<w:p>
<w:pPr><w:pStyle w:val="Normal"/></w:pPr>
<w:r><w:t xml:space="preserve">myoctonine which occur in wolfsbane, Aconitum lycoctonum.</w:t></w:r>
</w:p>
<w:p>
<w:pPr><w:pStyle w:val="Normal"/></w:pPr>
<w:r><w:t xml:space="preserve">The usual test for solutions of aconitine consists in slight</w:t></w:r>
</w:p>
<w:p>
<w:pPr><w:pStyle w:val="Normal"/></w:pPr>
<w:r><w:t xml:space="preserve">acidulation with acetic acid and addition of potassium</w:t></w:r>
</w:p>
<w:p>
<w:pPr><w:pStyle w:val="Normal"/></w:pPr>
<w:r><w:t xml:space="preserve">permanganate, which causes the formation of a red crystalline</w:t></w:r>
</w:p>
<w:p>
<w:pPr><w:pStyle w:val="Normal"/></w:pPr>
<w:r><w:t xml:space="preserve">precipitate.  In 1905, Dunstan and his collaborators discovered</w:t></w:r>
</w:p>
<w:p>
<w:pPr><w:pStyle w:val="Normal"/></w:pPr>
<w:r><w:t xml:space="preserve">two new aconite alkaloids, indaconitine in ``mohri&apos;&apos; (Aconitum</w:t></w:r>
</w:p>
<w:p>
<w:pPr><w:pStyle w:val="Normal"/></w:pPr>
<w:r><w:t xml:space="preserve">chasmanthum, Stapf), and bikhaconitine in ``bikh&apos;&apos; (Aconitum</w:t></w:r>
</w:p>
<w:p>
<w:pPr><w:pStyle w:val="Normal"/></w:pPr>
<w:r><w:t xml:space="preserve">spicatum); he also proposes to classify these alkaloids</w:t></w:r>
</w:p>
<w:p>
<w:pPr><w:pStyle w:val="Normal"/></w:pPr>
<w:r><w:t xml:space="preserve">according to whether they yield benzoic or veratric acid on</w:t></w:r>
</w:p>
<w:p>
<w:pPr><w:pStyle w:val="Normal"/></w:pPr>
<w:r><w:t xml:space="preserve">hydrolysis (Jour.  Chem.  Soc., 1905, 87, pp. 1620, 1650).</w:t></w:r>
</w:p>
<w:p>
<w:pPr><w:pStyle w:val="Normal"/></w:pPr>
<w:r><w:t xml:space="preserve">From the root of Aconitum Napellus are prepared a liniment</w:t></w:r>
</w:p>
<w:p>
<w:pPr><w:pStyle w:val="Normal"/></w:pPr>
<w:r><w:t xml:space="preserve">and a tincture.  The dose of the latter (Brit.  Pharmacop.)</w:t></w:r>
</w:p>
<w:p>
<w:pPr><w:pStyle w:val="Normal"/></w:pPr>
<w:r><w:t xml:space="preserve">is of importance as being exceptionally small, for it is</w:t></w:r>
</w:p>
<w:p>
<w:pPr><w:pStyle w:val="Normal"/></w:pPr>
<w:r><w:t xml:space="preserve">not advisable to give more than at most five drops at a</w:t></w:r>
</w:p>
<w:p>
<w:pPr><w:pStyle w:val="Normal"/></w:pPr>
<w:r><w:t xml:space="preserve">time.  The official preparation is an ointment which contains</w:t></w:r>
</w:p>
<w:p>
<w:pPr><w:pStyle w:val="Normal"/></w:pPr>
<w:r><w:t xml:space="preserve">one part of the alkaloid in fifty.  It must be used with</w:t></w:r>
</w:p>
<w:p>
<w:pPr><w:pStyle w:val="Normal"/></w:pPr>
<w:r><w:t xml:space="preserve">extreme care, and in small quantities, and it must not be</w:t></w:r>
</w:p>
<w:p>
<w:pPr><w:pStyle w:val="Normal"/></w:pPr>
<w:r><w:t xml:space="preserve">used at all where cuts or cracks are present in the skin.</w:t></w:r>
</w:p>
<w:p>
<w:pPr><w:pStyle w:val="Normal"/></w:pPr>
<w:r><w:t xml:space="preserve">Pharmacology of Aconite and Aconitine.---Aconite first</w:t></w:r>
</w:p>
<w:p>
<w:pPr><w:pStyle w:val="Normal"/></w:pPr>
<w:r><w:t xml:space="preserve">stimulates and later paralyses the nerves of pain, touch and</w:t></w:r>
</w:p>
<w:p>
<w:pPr><w:pStyle w:val="Normal"/></w:pPr>
<w:r><w:t xml:space="preserve">temperature, if applied to the skin, broken or unbroken, or</w:t></w:r>
</w:p>
<w:p>
<w:pPr><w:pStyle w:val="Normal"/></w:pPr>
<w:r><w:t xml:space="preserve">to a mucous membrane; the initial tingling therefore gives</w:t></w:r>
</w:p>
<w:p>
<w:pPr><w:pStyle w:val="Normal"/></w:pPr>
<w:r><w:t xml:space="preserve">place to a long-continued anaesthetic action.  Taken internally</w:t></w:r>
</w:p>
<w:p>
<w:pPr><w:pStyle w:val="Normal"/></w:pPr>
<w:r><w:t xml:space="preserve">aconite acts very notably on the circulation, the respiration</w:t></w:r>
</w:p>
<w:p>
<w:pPr><w:pStyle w:val="Normal"/></w:pPr>
<w:r><w:t xml:space="preserve">and the nervous system.  The pulse is slowed, the number of</w:t></w:r>
</w:p>
<w:p>
<w:pPr><w:pStyle w:val="Normal"/></w:pPr>
<w:r><w:t xml:space="preserve">beats per minute being actually reduced, under considerable</w:t></w:r>
</w:p>
<w:p>
<w:pPr><w:pStyle w:val="Normal"/></w:pPr>
<w:r><w:t xml:space="preserve">doses, to forty, or even thirty, per minute.  The blood-pressure</w:t></w:r>
</w:p>
<w:p>
<w:pPr><w:pStyle w:val="Normal"/></w:pPr>
<w:r><w:t xml:space="preserve">synchronously falls, and the heart is arrested in diastole.</w:t></w:r>
</w:p>
<w:p>
<w:pPr><w:pStyle w:val="Normal"/></w:pPr>
<w:r><w:t xml:space="preserve">Immediately before arrest the heart may beat much faster than</w:t></w:r>
</w:p>
<w:p>
<w:pPr><w:pStyle w:val="Normal"/></w:pPr>
<w:r><w:t xml:space="preserve">normally, though with extreme irregularity, and in the lower</w:t></w:r>
</w:p>
<w:p>
<w:pPr><w:pStyle w:val="Normal"/></w:pPr>
<w:r><w:t xml:space="preserve">animals the auricles may be observed occasionally to miss</w:t></w:r>
</w:p>
<w:p>
<w:pPr><w:pStyle w:val="Normal"/></w:pPr>
<w:r><w:t xml:space="preserve">a beat, as in poisoning by veratrine and colchicum.  The</w:t></w:r>
</w:p>
<w:p>
<w:pPr><w:pStyle w:val="Normal"/></w:pPr>
<w:r><w:t xml:space="preserve">action of aconitine on the circulation is due to an initial</w:t></w:r>
</w:p>
<w:p>
<w:pPr><w:pStyle w:val="Normal"/></w:pPr>
<w:r><w:t xml:space="preserve">stimulation of the cardio-inhibitory centre in the medulla</w:t></w:r>
</w:p>
<w:p>
<w:pPr><w:pStyle w:val="Normal"/></w:pPr>
<w:r><w:t xml:space="preserve">oblongata (at the root of the vagus nerves), and later to a</w:t></w:r>
</w:p>
<w:p>
<w:pPr><w:pStyle w:val="Normal"/></w:pPr>
<w:r><w:t xml:space="preserve">directly toxic influence on the nerve-ganglia and muscular</w:t></w:r>
</w:p>
<w:p>
<w:pPr><w:pStyle w:val="Normal"/></w:pPr>
<w:r><w:t xml:space="preserve">fibres of the heart itself.  The fall in blood-pressure is not</w:t></w:r>
</w:p>
<w:p>
<w:pPr><w:pStyle w:val="Normal"/></w:pPr>
<w:r><w:t xml:space="preserve">due to any direct influence on the vessels.  The respiration</w:t></w:r>
</w:p>
<w:p>
<w:pPr><w:pStyle w:val="Normal"/></w:pPr>
<w:r><w:t xml:space="preserve">becomes slower owing to a paralytic action on the respiratory</w:t></w:r>
</w:p>
<w:p>
<w:pPr><w:pStyle w:val="Normal"/></w:pPr>
<w:r><w:t xml:space="preserve">centre and, in warm-blooded animals, death is due to this</w:t></w:r>
</w:p>
<w:p>
<w:pPr><w:pStyle w:val="Normal"/></w:pPr>
<w:r><w:t xml:space="preserve">action, the respiration being arrested before the action</w:t></w:r>
</w:p>
<w:p>
<w:pPr><w:pStyle w:val="Normal"/></w:pPr>
<w:r><w:t xml:space="preserve">of the heart.  Aconite further depresses the activity of</w:t></w:r>
</w:p>
<w:p>
<w:pPr><w:pStyle w:val="Normal"/></w:pPr>
<w:r><w:t xml:space="preserve">all nerve-terminals, the sensory being affected before the</w:t></w:r>
</w:p>
<w:p>
<w:pPr><w:pStyle w:val="Normal"/></w:pPr>
<w:r><w:t xml:space="preserve">motor.  In small doses it therefore tends to relieve pain, if</w:t></w:r>
</w:p>
<w:p>
<w:pPr><w:pStyle w:val="Normal"/></w:pPr>
<w:r><w:t xml:space="preserve">this be present.  The activity of the spinal cord is similarly</w:t></w:r>
</w:p>
<w:p>
<w:pPr><w:pStyle w:val="Normal"/></w:pPr>
<w:r><w:t xml:space="preserve">depressed.  The pupil is at first contracted, and afterwards</w:t></w:r>
</w:p>
<w:p>
<w:pPr><w:pStyle w:val="Normal"/></w:pPr>
<w:r><w:t xml:space="preserve">dilated.  The cerebrum is totally unaffected by aconite,</w:t></w:r>
</w:p>
<w:p>
<w:pPr><w:pStyle w:val="Normal"/></w:pPr>
<w:r><w:t xml:space="preserve">consciousness and the intelligence remaining normal to the</w:t></w:r>
</w:p>
<w:p>
<w:pPr><w:pStyle w:val="Normal"/></w:pPr>
<w:r><w:t xml:space="preserve">last.  The antipyretic action which considerable doses of aconite</w:t></w:r>
</w:p>
<w:p>
<w:pPr><w:pStyle w:val="Normal"/></w:pPr>
<w:r><w:t xml:space="preserve">display is not specific, but is the result of its influence on the</w:t></w:r>
</w:p>
<w:p>
<w:pPr><w:pStyle w:val="Normal"/></w:pPr>
<w:r><w:t xml:space="preserve">circulation and respiration and of its slight diaphoretic action.</w:t></w:r>
</w:p>
<w:p>
<w:pPr><w:pStyle w:val="Normal"/></w:pPr>
<w:r><w:t xml:space="preserve">Therapeutics.---The indications for its employment are</w:t></w:r>
</w:p>
<w:p>
<w:pPr><w:pStyle w:val="Normal"/></w:pPr>
<w:r><w:t xml:space="preserve">limited, but definite.  It is of undoubted value as a local</w:t></w:r>
</w:p>
<w:p>
<w:pPr><w:pStyle w:val="Normal"/></w:pPr>
<w:r><w:t xml:space="preserve">anodyne in sciatica and neuralgia, especially in ordinary</w:t></w:r>
</w:p>
<w:p>
<w:pPr><w:pStyle w:val="Normal"/></w:pPr>
<w:r><w:t xml:space="preserve">facial or trigeminal neuralgia.  The best method of application</w:t></w:r>
</w:p>
<w:p>
<w:pPr><w:pStyle w:val="Normal"/></w:pPr>
<w:r><w:t xml:space="preserve">is by rubbing in a small quantity of the aconitine ointment</w:t></w:r>
</w:p>
<w:p>
<w:pPr><w:pStyle w:val="Normal"/></w:pPr>
<w:r><w:t xml:space="preserve">until numbness is felt, but the costliness of this preparation</w:t></w:r>
</w:p>
<w:p>
<w:pPr><w:pStyle w:val="Normal"/></w:pPr>
<w:r><w:t xml:space="preserve">causes the use of the aconite liniment to be commonly resorted</w:t></w:r>
</w:p>
<w:p>
<w:pPr><w:pStyle w:val="Normal"/></w:pPr>
<w:r><w:t xml:space="preserve">to.  This should be painted on the affected part with a</w:t></w:r>
</w:p>
<w:p>
<w:pPr><w:pStyle w:val="Normal"/></w:pPr>
<w:r><w:t xml:space="preserve">camel&apos;s hair brush dipped in chloroform, which facilitates the</w:t></w:r>
</w:p>
<w:p>
<w:pPr><w:pStyle w:val="Normal"/></w:pPr>
<w:r><w:t xml:space="preserve">absorption of the alkaloid.  Aconite is indicated for internal</w:t></w:r>
</w:p>
<w:p>
<w:pPr><w:pStyle w:val="Normal"/></w:pPr>
<w:r><w:t xml:space="preserve">administration whenever it is desirable to depress the action</w:t></w:r>
</w:p>
<w:p>
<w:pPr><w:pStyle w:val="Normal"/></w:pPr>
<w:r><w:t xml:space="preserve">of the heart in the course of a fever.  Formerly used in every</w:t></w:r>
</w:p>
<w:p>
<w:pPr><w:pStyle w:val="Normal"/></w:pPr>
<w:r><w:t xml:space="preserve">fever, and even in the septic states that constantly followed</w:t></w:r>
</w:p>
<w:p>
<w:pPr><w:pStyle w:val="Normal"/></w:pPr>
<w:r><w:t xml:space="preserve">surgical operations in the pre-Listerian epoch, aconite is</w:t></w:r>
</w:p>
<w:p>
<w:pPr><w:pStyle w:val="Normal"/></w:pPr>
<w:r><w:t xml:space="preserve">now employed only in the earliest stage of the less serious</w:t></w:r>
</w:p>
<w:p>
<w:pPr><w:pStyle w:val="Normal"/></w:pPr>
<w:r><w:t xml:space="preserve">fevers, such as acute tonsilitis, bronchitis and, notably,</w:t></w:r>
</w:p>
<w:p>
<w:pPr><w:pStyle w:val="Normal"/></w:pPr>
<w:r><w:t xml:space="preserve">laryngitis.  The extreme pain and rapid swelling of the</w:t></w:r>
</w:p>
<w:p>
<w:pPr><w:pStyle w:val="Normal"/></w:pPr>
<w:r><w:t xml:space="preserve">vocal cords---with threatened obstruction to the respiration</w:t></w:r>
</w:p>
<w:p>
<w:pPr><w:pStyle w:val="Normal"/></w:pPr>
<w:r><w:t xml:space="preserve">that characterize acute laryngitis may often be relieved</w:t></w:r>
</w:p>
<w:p>
<w:pPr><w:pStyle w:val="Normal"/></w:pPr>
<w:r><w:t xml:space="preserve">by the sedative action of this drug upon the circulation.</w:t></w:r>
</w:p>
<w:p>
<w:pPr><w:pStyle w:val="Normal"/></w:pPr>
<w:r><w:t xml:space="preserve">In order to reduce the pulse to its normal rate in these</w:t></w:r>
</w:p>
<w:p>
<w:pPr><w:pStyle w:val="Normal"/></w:pPr>
<w:r><w:t xml:space="preserve">cases, without at the same time lessening the power of the</w:t></w:r>
</w:p>
<w:p>
<w:pPr><w:pStyle w:val="Normal"/></w:pPr>
<w:r><w:t xml:space="preserve">heart, the drug must be given in doses of about two minims</w:t></w:r>
</w:p>
<w:p>
<w:pPr><w:pStyle w:val="Normal"/></w:pPr>
<w:r><w:t xml:space="preserve">of the tincture every half-hour and then every hour until the</w:t></w:r>
</w:p>
<w:p>
<w:pPr><w:pStyle w:val="Normal"/></w:pPr>
<w:r><w:t xml:space="preserve">pulse falls to the normal rate.  Thereafter the drug must be</w:t></w:r>
</w:p>
<w:p>
<w:pPr><w:pStyle w:val="Normal"/></w:pPr>
<w:r><w:t xml:space="preserve">discontinued.  It is probably never right to give aconite in</w:t></w:r>
</w:p>
<w:p>
<w:pPr><w:pStyle w:val="Normal"/></w:pPr>
<w:r><w:t xml:space="preserve">doses much larger than that named.  There is one condition</w:t></w:r>
</w:p>
<w:p>
<w:pPr><w:pStyle w:val="Normal"/></w:pPr>
<w:r><w:t xml:space="preserve">of the heart itself in which aconite is sometimes useful.</w:t></w:r>
</w:p>
<w:p>
<w:pPr><w:pStyle w:val="Normal"/></w:pPr>
<w:r><w:t xml:space="preserve">Whilst absolutely contra-indicated in all cases of valvular</w:t></w:r>
</w:p>
<w:p>
<w:pPr><w:pStyle w:val="Normal"/></w:pPr>
<w:r><w:t xml:space="preserve">disease, it is of value in cases of cardiac hypertrophy with</w:t></w:r>
</w:p>
<w:p>
<w:pPr><w:pStyle w:val="Normal"/></w:pPr>
<w:r><w:t xml:space="preserve">over-action.  But the practitioner must be assured that neither</w:t></w:r>
</w:p>
<w:p>
<w:pPr><w:pStyle w:val="Normal"/></w:pPr>
<w:r><w:t xml:space="preserve">valvular lesion nor degeneration of the myocardium is present.</w:t></w:r>
</w:p>
<w:p>
<w:pPr><w:pStyle w:val="Normal"/></w:pPr>
<w:r><w:t xml:space="preserve">Toxicology.---In a few minutes after the introduction of</w:t></w:r>
</w:p>
<w:p>
<w:pPr><w:pStyle w:val="Normal"/></w:pPr>
<w:r><w:t xml:space="preserve">a poisonous dose of aconite, marked symptoms supervene.  The</w:t></w:r>
</w:p>
<w:p>
<w:pPr><w:pStyle w:val="Normal"/></w:pPr>
<w:r><w:t xml:space="preserve">initial signs of poisoning are referable to the alimentary</w:t></w:r>
</w:p>
<w:p>
<w:pPr><w:pStyle w:val="Normal"/></w:pPr>
<w:r><w:t xml:space="preserve">canal.  There is a sensation of burning, tingling and numbness</w:t></w:r>
</w:p>
<w:p>
<w:pPr><w:pStyle w:val="Normal"/></w:pPr>
<w:r><w:t xml:space="preserve">in the mouth, and of burning in the abdomen.  Death usually</w:t></w:r>
</w:p>
<w:p>
<w:pPr><w:pStyle w:val="Normal"/></w:pPr>
<w:r><w:t xml:space="preserve">supervenes before a numbing effect on the intestine can be</w:t></w:r>
</w:p>
<w:p>
<w:pPr><w:pStyle w:val="Normal"/></w:pPr>
<w:r><w:t xml:space="preserve">observed.  After about an hour there is severe vomiting.  Much</w:t></w:r>
</w:p>
<w:p>
<w:pPr><w:pStyle w:val="Normal"/></w:pPr>
<w:r><w:t xml:space="preserve">motor weakness and cutaneous sensations similar to those above</w:t></w:r>
</w:p>
<w:p>
<w:pPr><w:pStyle w:val="Normal"/></w:pPr>
<w:r><w:t xml:space="preserve">described soon follow.  The pulse and respiration steadily</w:t></w:r>
</w:p>
<w:p>
<w:pPr><w:pStyle w:val="Normal"/></w:pPr>
<w:r><w:t xml:space="preserve">fail, death occurring from asphyxia.  As in strychnine</w:t></w:r>
</w:p>
<w:p>
<w:pPr><w:pStyle w:val="Normal"/></w:pPr>
<w:r><w:t xml:space="preserve">poisoning, the patient is conscious and clear-minded to the</w:t></w:r>
</w:p>
<w:p>
<w:pPr><w:pStyle w:val="Normal"/></w:pPr>
<w:r><w:t xml:space="preserve">last.  The only post-mortem signs are those of asphyxia.  The</w:t></w:r>
</w:p>
<w:p>
<w:pPr><w:pStyle w:val="Normal"/></w:pPr>
<w:r><w:t xml:space="preserve">treatment is to empty the stomach by tube or by a non-depressant</w:t></w:r>
</w:p>
<w:p>
<w:pPr><w:pStyle w:val="Normal"/></w:pPr>
<w:r><w:t xml:space="preserve">emetic.  The physiological antidotes are atropine and digitalin or</w:t></w:r>
</w:p>
<w:p>
<w:pPr><w:pStyle w:val="Normal"/></w:pPr>
<w:r><w:t xml:space="preserve">strophanthin, which should be injected subcutaneously in maximal</w:t></w:r>
</w:p>
<w:p>
<w:pPr><w:pStyle w:val="Normal"/></w:pPr>
<w:r><w:t xml:space="preserve">doses.  Alcohol, strychnine and warmth must also be employed.</w:t></w:r>
</w:p>
<w:p>
<w:pPr><w:pStyle w:val="Normal"/></w:pPr>
<w:r><w:t xml:space="preserve">ACONTIUS (Gr. Akontios), in Greek legend, a beautiful</w:t></w:r>
</w:p>
<w:p>
<w:pPr><w:pStyle w:val="Normal"/></w:pPr>
<w:r><w:t xml:space="preserve">youth of the island of Ceos, the hero of a love-story told</w:t></w:r>
</w:p>
<w:p>
<w:pPr><w:pStyle w:val="Normal"/></w:pPr>
<w:r><w:t xml:space="preserve">by Callimachus in a poem now lost, which forms the subject of</w:t></w:r>
</w:p>
<w:p>
<w:pPr><w:pStyle w:val="Normal"/></w:pPr>
<w:r><w:t xml:space="preserve">two of Ovid&apos;s Heroides (xx., xxi.).  During the festival of</w:t></w:r>
</w:p>
<w:p>
<w:pPr><w:pStyle w:val="Normal"/></w:pPr>
<w:r><w:t xml:space="preserve">Artemis at Deles, Acontius saw Cydippe, a well-born Athenian</w:t></w:r>
</w:p>
<w:p>
<w:pPr><w:pStyle w:val="Normal"/></w:pPr>
<w:r><w:t xml:space="preserve">maiden of whom he was enamoured, sitting in the temple of the</w:t></w:r>
</w:p>
<w:p>
<w:pPr><w:pStyle w:val="Normal"/></w:pPr>
<w:r><w:t xml:space="preserve">goddess.  He wrote on an apple the words, ``I swear by the sacred</w:t></w:r>
</w:p>
<w:p>
<w:pPr><w:pStyle w:val="Normal"/></w:pPr>
<w:r><w:t xml:space="preserve">shrine of the goddess that I will marry you,&apos;&apos; and threw it at</w:t></w:r>
</w:p>
<w:p>
<w:pPr><w:pStyle w:val="Normal"/></w:pPr>
<w:r><w:t xml:space="preserve">her feet.  She picked it up, and mechanically read the words</w:t></w:r>
</w:p>
<w:p>
<w:pPr><w:pStyle w:val="Normal"/></w:pPr>
<w:r><w:t xml:space="preserve">aloud, which amounted to a solemn undertaking to carry them</w:t></w:r>
</w:p>
<w:p>
<w:pPr><w:pStyle w:val="Normal"/></w:pPr>
<w:r><w:t xml:space="preserve">out.  Unaware of this, she treated Acontius with contempt;</w:t></w:r>
</w:p>
<w:p>
<w:pPr><w:pStyle w:val="Normal"/></w:pPr>
<w:r><w:t xml:space="preserve">but, although she was betrothed more than once, she always fell</w:t></w:r>
</w:p>
<w:p>
<w:pPr><w:pStyle w:val="Normal"/></w:pPr>
<w:r><w:t xml:space="preserve">ill before the wedding took place.  The Delphic oracle at last</w:t></w:r>
</w:p>
<w:p>
<w:pPr><w:pStyle w:val="Normal"/></w:pPr>
<w:r><w:t xml:space="preserve">declared the cause of her illnesses to be the wrath of the offended</w:t></w:r>
</w:p>
<w:p>
<w:pPr><w:pStyle w:val="Normal"/></w:pPr>
<w:r><w:t xml:space="preserve">goddess; whereupon her father consented to her marriage with</w:t></w:r>
</w:p>
<w:p>
<w:pPr><w:pStyle w:val="Normal"/></w:pPr>
<w:r><w:t xml:space="preserve">Acontius (Aristaenetus, Epistolae, i. 10; Antoninus Liberalis,</w:t></w:r>
</w:p>
<w:p>
<w:pPr><w:pStyle w:val="Normal"/></w:pPr>
<w:r><w:t xml:space="preserve">Metamorphoses, i., tells the story with different names).</w:t></w:r>
</w:p>
<w:p>
<w:pPr><w:pStyle w:val="Normal"/></w:pPr>
<w:r><w:t xml:space="preserve">ACORN, the fruit of the oak-tree; a word also used, by</w:t></w:r>
</w:p>
<w:p>
<w:pPr><w:pStyle w:val="Normal"/></w:pPr>
<w:r><w:t xml:space="preserve">analogy with the shape, in nautical language, for a piece of</w:t></w:r>
</w:p>
<w:p>
<w:pPr><w:pStyle w:val="Normal"/></w:pPr>
<w:r><w:t xml:space="preserve">wood keeping the vane on the mast-head.  The etymology of the</w:t></w:r>
</w:p>
<w:p>
<w:pPr><w:pStyle w:val="Normal"/></w:pPr>
<w:r><w:t xml:space="preserve">word (earlier akerne, and acharn) is well discussed in the</w:t></w:r>
</w:p>
<w:p>
<w:pPr><w:pStyle w:val="Normal"/></w:pPr>
<w:r><w:t xml:space="preserve">New English Dictionary. It is derived from a word (Goth.</w:t></w:r>
</w:p>
<w:p>
<w:pPr><w:pStyle w:val="Normal"/></w:pPr>
<w:r><w:t xml:space="preserve">akran) which meant ``fruit,&apos;&apos; originally ``of the unenclosed</w:t></w:r>
</w:p>
<w:p>
<w:pPr><w:pStyle w:val="Normal"/></w:pPr>
<w:r><w:t xml:space="preserve">land,&apos;&apos; and so of the most important forest produce, thc</w:t></w:r>
</w:p>
<w:p>
<w:pPr><w:pStyle w:val="Normal"/></w:pPr>
<w:r><w:t xml:space="preserve">oak.  Chaucer speaks of ``achornes of okes.&apos;&apos; By degrees,</w:t></w:r>
</w:p>
<w:p>
<w:pPr><w:pStyle w:val="Normal"/></w:pPr>
<w:r><w:t xml:space="preserve">popular etymology connected the word both with ``corn&apos;&apos;</w:t></w:r>
</w:p>
<w:p>
<w:pPr><w:pStyle w:val="Normal"/></w:pPr>
<w:r><w:t xml:space="preserve">and ``oak-horn,&apos;&apos; and the spelling changed accordingly.</w:t></w:r>
</w:p>
<w:p>
<w:pPr><w:pStyle w:val="Normal"/></w:pPr>
<w:r><w:t xml:space="preserve">ACORUS CALAMUS, sweet-sedge or sweet-flag, a plant of the</w:t></w:r>
</w:p>
<w:p>
<w:pPr><w:pStyle w:val="Normal"/></w:pPr>
<w:r><w:t xml:space="preserve">natural order Araceae, which shares with the Cuckoo Pint</w:t></w:r>
</w:p>
<w:p>
<w:pPr><w:pStyle w:val="Normal"/></w:pPr>
<w:r><w:t xml:space="preserve">(Arum) the representation in Britain of that order of</w:t></w:r>
</w:p>
<w:p>
<w:pPr><w:pStyle w:val="Normal"/></w:pPr>
<w:r><w:t xml:space="preserve">Monocotyledons.  The name is derived from acorus, Gr.</w:t></w:r>
</w:p>
<w:p>
<w:pPr><w:pStyle w:val="Normal"/></w:pPr>
<w:r><w:t xml:space="preserve">akoros, the classical name for the plant.  It was the</w:t></w:r>
</w:p>
<w:p>
<w:pPr><w:pStyle w:val="Normal"/></w:pPr>
<w:r><w:t xml:space="preserve">Calamus aromaticus of the medieval druggists and perhaps of</w:t></w:r>
</w:p>
<w:p>
<w:pPr><w:pStyle w:val="Normal"/></w:pPr>
<w:r><w:t xml:space="preserve">the ancients, though the latter has been referred by some to</w:t></w:r>
</w:p>
<w:p>
<w:pPr><w:pStyle w:val="Normal"/></w:pPr>
<w:r><w:t xml:space="preserve">the Citron grass, Andropogon Nardus. The spice ``Calamus&apos;&apos;</w:t></w:r>
</w:p>
<w:p>
<w:pPr><w:pStyle w:val="Normal"/></w:pPr>
<w:r><w:t xml:space="preserve">or ``Sweet-cane&apos;&apos; of the Scriptures, one of the ingredients</w:t></w:r>
</w:p>
<w:p>
<w:pPr><w:pStyle w:val="Normal"/></w:pPr>
<w:r><w:t xml:space="preserve">of the holy anointing oil of the Jews, was perhaps one of the</w:t></w:r>
</w:p>
<w:p>
<w:pPr><w:pStyle w:val="Normal"/></w:pPr>
<w:r><w:t xml:space="preserve">fragrant species of Andropogon. The plant is a herbaceous</w:t></w:r>
</w:p>
<w:p>
<w:pPr><w:pStyle w:val="Normal"/></w:pPr>
<w:r><w:t xml:space="preserve">perennial with a long, branched root-stock creeping through</w:t></w:r>
</w:p>
<w:p>
<w:pPr><w:pStyle w:val="Normal"/></w:pPr>
<w:r><w:t xml:space="preserve">the mud, about  3/4 inch thick, with short joints and large</w:t></w:r>
</w:p>
<w:p>
<w:pPr><w:pStyle w:val="Normal"/></w:pPr>
<w:r><w:t xml:space="preserve">brownish leaf-scars.  At the ends of the branches are tufts</w:t></w:r>
</w:p>
<w:p>
<w:pPr><w:pStyle w:val="Normal"/></w:pPr>
<w:r><w:t xml:space="preserve">of flat, sword-like, sweet-scented leaves 3 or 4 ft. long</w:t></w:r>
</w:p>
<w:p>
<w:pPr><w:pStyle w:val="Normal"/></w:pPr>
<w:r><w:t xml:space="preserve">and about an inch wide, closely arranged in two rows as in</w:t></w:r>
</w:p>
<w:p>
<w:pPr><w:pStyle w:val="Normal"/></w:pPr>
<w:r><w:t xml:space="preserve">the true Flag (Iris); the tall, flowering stems (scapes),</w:t></w:r>
</w:p>
<w:p>
<w:pPr><w:pStyle w:val="Normal"/></w:pPr>
<w:r><w:t xml:space="preserve">which very much resemble the leaves, bear an apparently</w:t></w:r>
</w:p>
<w:p>
<w:pPr><w:pStyle w:val="Normal"/></w:pPr>
<w:r><w:t xml:space="preserve">lateral, blunt, tapering spike of densely packed, very small</w:t></w:r>
</w:p>
<w:p>
<w:pPr><w:pStyle w:val="Normal"/></w:pPr>
<w:r><w:t xml:space="preserve">flowers.  A long leaf (spathe) borne immediately below the</w:t></w:r>
</w:p>
<w:p>
<w:pPr><w:pStyle w:val="Normal"/></w:pPr>
<w:r><w:t xml:space="preserve">spike forms an apparent continuation of the scape, though</w:t></w:r>
</w:p>
<w:p>
<w:pPr><w:pStyle w:val="Normal"/></w:pPr>
<w:r><w:t xml:space="preserve">really a lateral outgrowth from it, the spike of flowers being</w:t></w:r>
</w:p>
<w:p>
<w:pPr><w:pStyle w:val="Normal"/></w:pPr>
<w:r><w:t xml:space="preserve">terminal.  The plant has a wide distribution, growing in wet</w:t></w:r>
</w:p>
<w:p>
<w:pPr><w:pStyle w:val="Normal"/></w:pPr>
<w:r><w:t xml:space="preserve">situations in the Himalayas, North America, Siberia and various</w:t></w:r>
</w:p>
<w:p>
<w:pPr><w:pStyle w:val="Normal"/></w:pPr>
<w:r><w:t xml:space="preserve">parts of Europe, including England, and has been naturalized</w:t></w:r>
</w:p>
<w:p>
<w:pPr><w:pStyle w:val="Normal"/></w:pPr>
<w:r><w:t xml:space="preserve">in Scotland and Ireland.  Though regarded as a native in most</w:t></w:r>
</w:p>
<w:p>
<w:pPr><w:pStyle w:val="Normal"/></w:pPr>
<w:r><w:t xml:space="preserve">counties of England at the present day, where it is now found</w:t></w:r>
</w:p>
<w:p>
<w:pPr><w:pStyle w:val="Normal"/></w:pPr>
<w:r><w:t xml:space="preserve">thoroughly wild on sides of ditches, ponds and rivers, and very</w:t></w:r>
</w:p>
<w:p>
<w:pPr><w:pStyle w:val="Normal"/></w:pPr>
<w:r><w:t xml:space="preserve">abundantly in some districts, it is probably not indigenous.</w:t></w:r>
</w:p>
<w:p>
<w:pPr><w:pStyle w:val="Normal"/></w:pPr>
<w:r><w:t xml:space="preserve">It seems to have been spread in western and central Europe</w:t></w:r>
</w:p>
<w:p>
<w:pPr><w:pStyle w:val="Normal"/></w:pPr>
<w:r><w:t xml:space="preserve">from about the end of the 16th century by means of botanic</w:t></w:r>
</w:p>
<w:p>
<w:pPr><w:pStyle w:val="Normal"/></w:pPr>
<w:r><w:t xml:space="preserve">gardens.  The botanist Clusius (Charles de l&apos;Escluse or</w:t></w:r>
</w:p>
<w:p>
<w:pPr><w:pStyle w:val="Normal"/></w:pPr>
<w:r><w:t xml:space="preserve">Lecluse, 1526-1609) first cultivated it at Vienna from a</w:t></w:r>
</w:p>
<w:p>
<w:pPr><w:pStyle w:val="Normal"/></w:pPr>
<w:r><w:t xml:space="preserve">root received from Asia Minor in 1574, and distributed it</w:t></w:r>
</w:p>
<w:p>
<w:pPr><w:pStyle w:val="Normal"/></w:pPr>
<w:r><w:t xml:space="preserve">to other botanists in central and western Europe, and it was</w:t></w:r>
</w:p>
<w:p>
<w:pPr><w:pStyle w:val="Normal"/></w:pPr>
<w:r><w:t xml:space="preserve">probably introduced into England about 1596 by the herbalist</w:t></w:r>
</w:p>
<w:p>
<w:pPr><w:pStyle w:val="Normal"/></w:pPr>
<w:r><w:t xml:space="preserve">Gerard.  It is very readily propagated by means of its branching</w:t></w:r>
</w:p>
<w:p>
<w:pPr><w:pStyle w:val="Normal"/></w:pPr>
<w:r><w:t xml:space="preserve">root-stock.  It has an agreeable odour, and has been used</w:t></w:r>
</w:p>
<w:p>
<w:pPr><w:pStyle w:val="Normal"/></w:pPr>
<w:r><w:t xml:space="preserve">medicinally.  The starchy matter contained in its rhizome is</w:t></w:r>
</w:p>
<w:p>
<w:pPr><w:pStyle w:val="Normal"/></w:pPr>
<w:r><w:t xml:space="preserve">associated with a fragrant oil, and it is used as hair-powder.</w:t></w:r>
</w:p>
<w:p>
<w:pPr><w:pStyle w:val="Normal"/></w:pPr>
<w:r><w:t xml:space="preserve">Sir J. E. Smith (Eng. Flora, ii. 158, 2nd ed., 1828) mentions</w:t></w:r>
</w:p>
<w:p>
<w:pPr><w:pStyle w:val="Normal"/></w:pPr>
<w:r><w:t xml:space="preserve">it as a popular remedy in Norfolk for ague.  In India it</w:t></w:r>
</w:p>
<w:p>
<w:pPr><w:pStyle w:val="Normal"/></w:pPr>
<w:r><w:t xml:space="preserve">is used as an insectifuge, and is administered in infantile</w:t></w:r>
</w:p>
<w:p>
<w:pPr><w:pStyle w:val="Normal"/></w:pPr>
<w:r><w:t xml:space="preserve">diarrhoea.  It is an ingredient in pot-pourri, is employed</w:t></w:r>
</w:p>
<w:p>
<w:pPr><w:pStyle w:val="Normal"/></w:pPr>
<w:r><w:t xml:space="preserve">for flavouring beer and is chewed to clear the voice; and its</w:t></w:r>
</w:p>
<w:p>
<w:pPr><w:pStyle w:val="Normal"/></w:pPr>
<w:r><w:t xml:space="preserve">volatile oil is employed by makers of snuff and aromatic vinegar.</w:t></w:r>
</w:p>
<w:p>
<w:pPr><w:pStyle w:val="Normal"/></w:pPr>
<w:r><w:t xml:space="preserve">The rhizome of Acorus Calamus is sometimes adulterated with</w:t></w:r>
</w:p>
<w:p>
<w:pPr><w:pStyle w:val="Normal"/></w:pPr>
<w:r><w:t xml:space="preserve">that of Iris Pseudacorus, which, however, is distinguishable</w:t></w:r>
</w:p>
<w:p>
<w:pPr><w:pStyle w:val="Normal"/></w:pPr>
<w:r><w:t xml:space="preserve">by its lack of odour, a stringent taste and dark colour.</w:t></w:r>
</w:p>
<w:p>
<w:pPr><w:pStyle w:val="Normal"/></w:pPr>
<w:r><w:t xml:space="preserve">ACOSTA, JOSE DE (1539?--1600), Spanish author, was born at</w:t></w:r>
</w:p>
<w:p>
<w:pPr><w:pStyle w:val="Normal"/></w:pPr>
<w:r><w:t xml:space="preserve">Medina del Campo about the year 1539.  He joined the Jesuits</w:t></w:r>
</w:p>
<w:p>
<w:pPr><w:pStyle w:val="Normal"/></w:pPr>
<w:r><w:t xml:space="preserve">in 1551, and in 1571 was sent as a missionary to Peru; he</w:t></w:r>
</w:p>
<w:p>
<w:pPr><w:pStyle w:val="Normal"/></w:pPr>
<w:r><w:t xml:space="preserve">acted as provincial of his order from 1576 to 1581, was</w:t></w:r>
</w:p>
<w:p>
<w:pPr><w:pStyle w:val="Normal"/></w:pPr>
<w:r><w:t xml:space="preserve">appointed theological adviser to the council of Lima in 1582,</w:t></w:r>
</w:p>
<w:p>
<w:pPr><w:pStyle w:val="Normal"/></w:pPr>
<w:r><w:t xml:space="preserve">and in 1583 published a catechism in Quichua and Aymara--the</w:t></w:r>
</w:p>
<w:p>
<w:pPr><w:pStyle w:val="Normal"/></w:pPr>
<w:r><w:t xml:space="preserve">first book printed in Peru.  Returning to Spain in 1587, and</w:t></w:r>
</w:p>
<w:p>
<w:pPr><w:pStyle w:val="Normal"/></w:pPr>
<w:r><w:t xml:space="preserve">placing himself at the head of the opposition to Acquaviva,</w:t></w:r>
</w:p>
<w:p>
<w:pPr><w:pStyle w:val="Normal"/></w:pPr>
<w:r><w:t xml:space="preserve">Acosta was imprisoned in 1592--1593; on his submission in</w:t></w:r>
</w:p>
<w:p>
<w:pPr><w:pStyle w:val="Normal"/></w:pPr>
<w:r><w:t xml:space="preserve">1594 he became superior of the Jesuits at Valladolid, and</w:t></w:r>
</w:p>
<w:p>
<w:pPr><w:pStyle w:val="Normal"/></w:pPr>
<w:r><w:t xml:space="preserve">in 1598 rector of the Jesuit college at Salamanca, where</w:t></w:r>
</w:p>
<w:p>
<w:pPr><w:pStyle w:val="Normal"/></w:pPr>
<w:r><w:t xml:space="preserve">he died on the 15th of February 1600.  His treatise De</w:t></w:r>
</w:p>
<w:p>
<w:pPr><w:pStyle w:val="Normal"/></w:pPr>
<w:r><w:t xml:space="preserve">natura novi orbis libri duo (Salamanca, 1588-1589) may be</w:t></w:r>
</w:p>
<w:p>
<w:pPr><w:pStyle w:val="Normal"/></w:pPr>
<w:r><w:t xml:space="preserve">regarded as the preliminary draft of his celebrated Historia</w:t></w:r>
</w:p>
<w:p>
<w:pPr><w:pStyle w:val="Normal"/></w:pPr>
<w:r><w:t xml:space="preserve">natural y moral de las Indias (Seville, 1590) which was</w:t></w:r>
</w:p>
<w:p>
<w:pPr><w:pStyle w:val="Normal"/></w:pPr>
<w:r><w:t xml:space="preserve">speedily translated into Italian (1596), French (1597), Dutch</w:t></w:r>
</w:p>
<w:p>
<w:pPr><w:pStyle w:val="Normal"/></w:pPr>
<w:r><w:t xml:space="preserve">(1598), German (1601), Latin (1602) and English (1604) The</w:t></w:r>
</w:p>
<w:p>
<w:pPr><w:pStyle w:val="Normal"/></w:pPr>
<w:r><w:t xml:space="preserve">Historia is in three sections: books I. and II. deal with</w:t></w:r>
</w:p>
<w:p>
<w:pPr><w:pStyle w:val="Normal"/></w:pPr>
<w:r><w:t xml:space="preserve">generalities; books III. and IV. with the physical geography</w:t></w:r>
</w:p>
<w:p>
<w:pPr><w:pStyle w:val="Normal"/></w:pPr>
<w:r><w:t xml:space="preserve">and natural history of Mexico and Peru; books V., VI. and</w:t></w:r>
</w:p>
<w:p>
<w:pPr><w:pStyle w:val="Heading1"/></w:pPr>
<w:r><w:t>VII. with the religious and political institutions of the</w:t></w:r>
</w:p>
<w:p>
<w:pPr><w:pStyle w:val="Normal"/></w:pPr>
<w:r><w:t xml:space="preserve">aborigines.  Apart from his sophistical defence of Spanish</w:t></w:r>
</w:p>
<w:p>
<w:pPr><w:pStyle w:val="Normal"/></w:pPr>
<w:r><w:t xml:space="preserve">colonial policy, Acosta deserves high praise as an acute and</w:t></w:r>
</w:p>
<w:p>
<w:pPr><w:pStyle w:val="Normal"/></w:pPr>
<w:r><w:t xml:space="preserve">diligent observer whose numerous new and valuable data are</w:t></w:r>
</w:p>
<w:p>
<w:pPr><w:pStyle w:val="Normal"/></w:pPr>
<w:r><w:t xml:space="preserve">set forth in a vivid style.  Among his other publications</w:t></w:r>
</w:p>
<w:p>
<w:pPr><w:pStyle w:val="Normal"/></w:pPr>
<w:r><w:t xml:space="preserve">are De procuranda salute Indorum libri sex (Salamanca,</w:t></w:r>
</w:p>
<w:p>
<w:pPr><w:pStyle w:val="Normal"/></w:pPr>
<w:r><w:t xml:space="preserve">1588), De Christo revelato libri novem (Rome, 1590), De</w:t></w:r>
</w:p>
<w:p>
<w:pPr><w:pStyle w:val="Normal"/></w:pPr>
<w:r><w:t xml:space="preserve">temporibus novissimis libri quatuor (Rome, 1590), and three</w:t></w:r>
</w:p>
<w:p>
<w:pPr><w:pStyle w:val="Normal"/></w:pPr>
<w:r><w:t xml:space="preserve">volumes of sermons issued respectively in 1596, 1597 and 1599.</w:t></w:r>
</w:p>
<w:p>
<w:pPr><w:pStyle w:val="Normal"/></w:pPr>
<w:r><w:t xml:space="preserve">AUTHORITIES.---Jose R. Carricido, El P. Jose de Acosta</w:t></w:r>
</w:p>
<w:p>
<w:pPr><w:pStyle w:val="Normal"/></w:pPr>
<w:r><w:t xml:space="preserve">y su importancia en La literatura cientifica espanola</w:t></w:r>
</w:p>
<w:p>
<w:pPr><w:pStyle w:val="Normal"/></w:pPr>
<w:r><w:t xml:space="preserve">(Madrid, 1899); C. Sommervogel, Bibliotheque de La Compagnie</w:t></w:r>
</w:p>
<w:p>
<w:pPr><w:pStyle w:val="Normal"/></w:pPr>
<w:r><w:t xml:space="preserve">de Jesus, Premiere Partie (Brussels and Paris, 1890),</w:t></w:r>
</w:p>
<w:p>
<w:pPr><w:pStyle w:val="Normal"/></w:pPr>
<w:r><w:t xml:space="preserve">vol. i., col. 31-42; and Edward Grimston&apos;s translation of</w:t></w:r>
</w:p>
<w:p>
<w:pPr><w:pStyle w:val="Normal"/></w:pPr>
<w:r><w:t xml:space="preserve">the Historia reprinted (1880) for the Hakluyt Society with</w:t></w:r>
</w:p>
<w:p>
<w:pPr><w:pStyle w:val="Normal"/></w:pPr>
<w:r><w:t xml:space="preserve">introduction and notes by Sir Clements R. Markham. (J. F.-K.)</w:t></w:r>
</w:p>
<w:p>
<w:pPr><w:pStyle w:val="Normal"/></w:pPr>
<w:r><w:t xml:space="preserve">ACOSTA, URIEL (d. 1647), a Portuguese Jew of noble family,</w:t></w:r>
</w:p>
<w:p>
<w:pPr><w:pStyle w:val="Normal"/></w:pPr>
<w:r><w:t xml:space="preserve">was born at Oporto towards the close of the 16th century.  His</w:t></w:r>
</w:p>
<w:p>
<w:pPr><w:pStyle w:val="Normal"/></w:pPr>
<w:r><w:t xml:space="preserve">father being a convert to Christianity, Uriel was brought up</w:t></w:r>
</w:p>
<w:p>
<w:pPr><w:pStyle w:val="Normal"/></w:pPr>
<w:r><w:t xml:space="preserve">in the Roman Catholic faith, and strictly observed the rites</w:t></w:r>
</w:p>
<w:p>
<w:pPr><w:pStyle w:val="Normal"/></w:pPr>
<w:r><w:t xml:space="preserve">of the church till the course of his inquiries led him, after</w:t></w:r>
</w:p>
<w:p>
<w:pPr><w:pStyle w:val="Normal"/></w:pPr>
<w:r><w:t xml:space="preserve">much painful doubt, to abandon the religion of his youth for</w:t></w:r>
</w:p>
<w:p>
<w:pPr><w:pStyle w:val="Normal"/></w:pPr>
<w:r><w:t xml:space="preserve">Judaism.  Passing over to Amsterdam, he was received into the</w:t></w:r>
</w:p>
<w:p>
<w:pPr><w:pStyle w:val="Normal"/></w:pPr>
<w:r><w:t xml:space="preserve">synagogue, having his name changed from Gabriel to Uriel.</w:t></w:r>
</w:p>
<w:p>
<w:pPr><w:pStyle w:val="Normal"/></w:pPr>
<w:r><w:t xml:space="preserve">His wayward disposition found, however, no satisfaction in</w:t></w:r>
</w:p>
<w:p>
<w:pPr><w:pStyle w:val="Normal"/></w:pPr>
<w:r><w:t xml:space="preserve">the Jewish fold.  He came into conflict with the authorities</w:t></w:r>
</w:p>
<w:p>
<w:pPr><w:pStyle w:val="Normal"/></w:pPr>
<w:r><w:t xml:space="preserve">of the synagogue and was excommunicated.  Unlike Spinoza (who</w:t></w:r>
</w:p>
<w:p>
<w:pPr><w:pStyle w:val="Normal"/></w:pPr>
<w:r><w:t xml:space="preserve">was about fifteen at the time of Acosta&apos;s death), Acosta was</w:t></w:r>
</w:p>
<w:p>
<w:pPr><w:pStyle w:val="Normal"/></w:pPr>
<w:r><w:t xml:space="preserve">not strong enough to stand alone.  Wearied by his melancholy</w:t></w:r>
</w:p>
<w:p>
<w:pPr><w:pStyle w:val="Normal"/></w:pPr>
<w:r><w:t xml:space="preserve">isolation, he was driven to seek a return to the Jewish</w:t></w:r>
</w:p>
<w:p>
<w:pPr><w:pStyle w:val="Normal"/></w:pPr>
<w:r><w:t xml:space="preserve">communion.  Having recanted his heresies, he was readmitted</w:t></w:r>
</w:p>
<w:p>
<w:pPr><w:pStyle w:val="Normal"/></w:pPr>
<w:r><w:t xml:space="preserve">after an excommunication of fifteen years, but was soon</w:t></w:r>
</w:p>
<w:p>
<w:pPr><w:pStyle w:val="Normal"/></w:pPr>
<w:r><w:t xml:space="preserve">excommunicated a second time.  After seven years of exclusion,</w:t></w:r>
</w:p>
<w:p>
<w:pPr><w:pStyle w:val="Normal"/></w:pPr>
<w:r><w:t xml:space="preserve">he once more sought admission, and, on passing through a</w:t></w:r>
</w:p>
<w:p>
<w:pPr><w:pStyle w:val="Normal"/></w:pPr>
<w:r><w:t xml:space="preserve">humiliating penance, was again received.  His vacillating</w:t></w:r>
</w:p>
<w:p>
<w:pPr><w:pStyle w:val="Normal"/></w:pPr>
<w:r><w:t xml:space="preserve">autobiography, Exemplar Humanae Vitae, was published</w:t></w:r>
</w:p>
<w:p>
<w:pPr><w:pStyle w:val="Normal"/></w:pPr>
<w:r><w:t xml:space="preserve">with a ``refutation&apos;&apos; by Limborch in 1687, and republished in</w:t></w:r>
</w:p>
<w:p>
<w:pPr><w:pStyle w:val="Normal"/></w:pPr>
<w:r><w:t xml:space="preserve">1847.  In this brief work Acosta declares his opposition both</w:t></w:r>
</w:p>
<w:p>
<w:pPr><w:pStyle w:val="Normal"/></w:pPr>
<w:r><w:t xml:space="preserve">to Christianity and Judaism, though he speaks with the more</w:t></w:r>
</w:p>
<w:p>
<w:pPr><w:pStyle w:val="Normal"/></w:pPr>
<w:r><w:t xml:space="preserve">bitterness of the latter religion.  The only authority which</w:t></w:r>
</w:p>
<w:p>
<w:pPr><w:pStyle w:val="Normal"/></w:pPr>
<w:r><w:t xml:space="preserve">he admits is the lex naturae. Acosta was not an original</w:t></w:r>
</w:p>
<w:p>
<w:pPr><w:pStyle w:val="Normal"/></w:pPr>
<w:r><w:t xml:space="preserve">thinker, but he stands in the direct line of the rational</w:t></w:r>
</w:p>
<w:p>
<w:pPr><w:pStyle w:val="Normal"/></w:pPr>
<w:r><w:t xml:space="preserve">Deists.  His history forms the subject of a tale and of</w:t></w:r>
</w:p>
<w:p>
<w:pPr><w:pStyle w:val="Normal"/></w:pPr>
<w:r><w:t xml:space="preserve">a tragedy by Gutzkow.  Acosta committed suicide in 1647.</w:t></w:r>
</w:p>
<w:p>
<w:pPr><w:pStyle w:val="Normal"/></w:pPr>
<w:r><w:t xml:space="preserve">The significance of his career has been much exaggerated.</w:t></w:r>
</w:p>
<w:p>
<w:pPr><w:pStyle w:val="Normal"/></w:pPr>
<w:r><w:t xml:space="preserve">ACOTYLEDONES, the name given by Antoine Laurent de Jussieu</w:t></w:r>
</w:p>
<w:p>
<w:pPr><w:pStyle w:val="Normal"/></w:pPr>
<w:r><w:t xml:space="preserve">in 1789 to the lowest class in his Natural System of Botany,</w:t></w:r>
</w:p>
<w:p>
<w:pPr><w:pStyle w:val="Normal"/></w:pPr>
<w:r><w:t xml:space="preserve">embracing flowerless plants, such as ferns, lycopods,</w:t></w:r>
</w:p>
<w:p>
<w:pPr><w:pStyle w:val="Normal"/></w:pPr>
<w:r><w:t xml:space="preserve">horse-tails, mosses, liverworts, sea-weeds, lichens and</w:t></w:r>
</w:p>
<w:p>
<w:pPr><w:pStyle w:val="Normal"/></w:pPr>
<w:r><w:t xml:space="preserve">fungi.  The name is derived from the absence of a seed-leaf or</w:t></w:r>
</w:p>
<w:p>
<w:pPr><w:pStyle w:val="Normal"/></w:pPr>
<w:r><w:t xml:space="preserve">cotyledon.  Flowering plants bear a seed containing an embryo,</w:t></w:r>
</w:p>
<w:p>
<w:pPr><w:pStyle w:val="Normal"/></w:pPr>
<w:r><w:t xml:space="preserve">with usually one or two cotyledons, or seed-leaves; while</w:t></w:r>
</w:p>
<w:p>
<w:pPr><w:pStyle w:val="Normal"/></w:pPr>
<w:r><w:t xml:space="preserve">in flowerless plants there is no seed and therefore no true</w:t></w:r>
</w:p>
<w:p>
<w:pPr><w:pStyle w:val="Normal"/></w:pPr>
<w:r><w:t xml:space="preserve">cotyledon.  The term is synonymous with Cryptogams, by</w:t></w:r>
</w:p>
<w:p>
<w:pPr><w:pStyle w:val="Normal"/></w:pPr>
<w:r><w:t xml:space="preserve">which it was replaced in later systems of classification.</w:t></w:r>
</w:p>
<w:p>
<w:pPr><w:pStyle w:val="Normal"/></w:pPr>
<w:r><w:t xml:space="preserve">ACOUSTICS (from the Gr. akouein to hear), a title</w:t></w:r>
</w:p>
<w:p>
<w:pPr><w:pStyle w:val="Normal"/></w:pPr>
<w:r><w:t xml:space="preserve">frequently given to the science of sound, that is, to the</w:t></w:r>
</w:p>
<w:p>
<w:pPr><w:pStyle w:val="Normal"/></w:pPr>
<w:r><w:t xml:space="preserve">description and theory of the phenomena which give rise to</w:t></w:r>
</w:p>
<w:p>
<w:pPr><w:pStyle w:val="Normal"/></w:pPr>
<w:r><w:t xml:space="preserve">the sensation of sound (q.v.).  The term ``acoustics&apos;&apos;</w:t></w:r>
</w:p>
<w:p>
<w:pPr><w:pStyle w:val="Normal"/></w:pPr>
<w:r><w:t xml:space="preserve">might, however, with advantage be reserved for the aspect of</w:t></w:r>
</w:p>
<w:p>
<w:pPr><w:pStyle w:val="Normal"/></w:pPr>
<w:r><w:t xml:space="preserve">the subject more immediately connected with hearing.  Thus we</w:t></w:r>
</w:p>
<w:p>
<w:pPr><w:pStyle w:val="Normal"/></w:pPr>
<w:r><w:t xml:space="preserve">may speak appropriately of the acoustic quality of a room or</w:t></w:r>
</w:p>
<w:p>
<w:pPr><w:pStyle w:val="Normal"/></w:pPr>
<w:r><w:t xml:space="preserve">hall, describing it as good or bad acoustically, according</w:t></w:r>
</w:p>
<w:p>
<w:pPr><w:pStyle w:val="Normal"/></w:pPr>
<w:r><w:t xml:space="preserve">as speaking is heard in it easily or with difficulty.  When</w:t></w:r>
</w:p>
<w:p>
<w:pPr><w:pStyle w:val="Normal"/></w:pPr>
<w:r><w:t xml:space="preserve">a room has bad acoustic quality we can almost always assign</w:t></w:r>
</w:p>
<w:p>
<w:pPr><w:pStyle w:val="Normal"/></w:pPr>
<w:r><w:t xml:space="preserve">the fault to large smooth surfaces on the walls, floor or</w:t></w:r>
</w:p>
<w:p>
<w:pPr><w:pStyle w:val="Normal"/></w:pPr>
<w:r><w:t xml:space="preserve">ceiling, which reflect or echo the voice of the speaker so that</w:t></w:r>
</w:p>
<w:p>
<w:pPr><w:pStyle w:val="Normal"/></w:pPr>
<w:r><w:t xml:space="preserve">the direct waves sent out by him at any instant are received</w:t></w:r>
</w:p>
<w:p>
<w:pPr><w:pStyle w:val="Normal"/></w:pPr>
<w:r><w:t xml:space="preserve">by a hearer with the waves sent out previously and reflected</w:t></w:r>
</w:p>
<w:p>
<w:pPr><w:pStyle w:val="Normal"/></w:pPr>
<w:r><w:t xml:space="preserve">at these smooth surfaces.  The syllables overlap, and the</w:t></w:r>
</w:p>
<w:p>
<w:pPr><w:pStyle w:val="Normal"/></w:pPr>
<w:r><w:t xml:space="preserve">hearing is confused.  The acoustic quality of a room may be</w:t></w:r>
</w:p>
<w:p>
<w:pPr><w:pStyle w:val="Normal"/></w:pPr>
<w:r><w:t xml:space="preserve">improved by breaking up the smooth surfaces by curtains or</w:t></w:r>
</w:p>
<w:p>
<w:pPr><w:pStyle w:val="Normal"/></w:pPr>
<w:r><w:t xml:space="preserve">by arrangement of furniture.  The echo is then broken up into</w:t></w:r>
</w:p>
<w:p>
<w:pPr><w:pStyle w:val="Normal"/></w:pPr>
<w:r><w:t xml:space="preserve">small waves, none of which may be sufficiently distinct to</w:t></w:r>
</w:p>
<w:p>
<w:pPr><w:pStyle w:val="Normal"/></w:pPr>
<w:r><w:t xml:space="preserve">interfere with the direct voice.  Sometimes a sounding-board</w:t></w:r>
</w:p>
<w:p>
<w:pPr><w:pStyle w:val="Normal"/></w:pPr>
<w:r><w:t xml:space="preserve">over the head of a speaker improves the hearing probably by</w:t></w:r>
</w:p>
<w:p>
<w:pPr><w:pStyle w:val="Normal"/></w:pPr>
<w:r><w:t xml:space="preserve">preventing echo from a smooth wall behind him.  A large bare</w:t></w:r>
</w:p>
<w:p>
<w:pPr><w:pStyle w:val="Normal"/></w:pPr>
<w:r><w:t xml:space="preserve">floor is undoubtedly bad for acoustics, for when a room is</w:t></w:r>
</w:p>
<w:p>
<w:pPr><w:pStyle w:val="Normal"/></w:pPr>
<w:r><w:t xml:space="preserve">filled by an audience the hearing is much improved Wires are</w:t></w:r>
</w:p>
<w:p>
<w:pPr><w:pStyle w:val="Normal"/></w:pPr>
<w:r><w:t xml:space="preserve">frequently stretched across a room overhead, probably with</w:t></w:r>
</w:p>
<w:p>
<w:pPr><w:pStyle w:val="Normal"/></w:pPr>
<w:r><w:t xml:space="preserve">the idea that they will prevent the voice from reaching the</w:t></w:r>
</w:p>
<w:p>
<w:pPr><w:pStyle w:val="Normal"/></w:pPr>
<w:r><w:t xml:space="preserve">roof and being reflected there, but there is no reason to</w:t></w:r>
</w:p>
<w:p>
<w:pPr><w:pStyle w:val="Normal"/></w:pPr>
<w:r><w:t xml:space="preserve">suppose that they are efficient.  The only cure appears to</w:t></w:r>
</w:p>
<w:p>
<w:pPr><w:pStyle w:val="Normal"/></w:pPr>
<w:r><w:t xml:space="preserve">consist in breaking up the reflecting surfaces so that the</w:t></w:r>
</w:p>
<w:p>
<w:pPr><w:pStyle w:val="Normal"/></w:pPr>
<w:r><w:t xml:space="preserve">reflexion shall be much less regular and distinct.  Probably</w:t></w:r>
</w:p>
<w:p>
<w:pPr><w:pStyle w:val="Normal"/></w:pPr>
<w:r><w:t xml:space="preserve">drapery assists by absorbing the sound to some extent, and</w:t></w:r>
</w:p>
<w:p>
<w:pPr><w:pStyle w:val="Normal"/></w:pPr>
<w:r><w:t xml:space="preserve">thus it lessens the echo besides breaking it up. (J. H. P.)</w:t></w:r>
</w:p>
<w:p>
<w:pPr><w:pStyle w:val="Normal"/></w:pPr>
<w:r><w:t xml:space="preserve">ACQUI, a city and episcopal see of Piedmont, Italy, in the</w:t></w:r>
</w:p>
<w:p>
<w:pPr><w:pStyle w:val="Normal"/></w:pPr>
<w:r><w:t xml:space="preserve">province of Alessandria; from the town of that name it is 21</w:t></w:r>
</w:p>
<w:p>
<w:pPr><w:pStyle w:val="Normal"/></w:pPr>
<w:r><w:t xml:space="preserve">m.  S.S.W. by rail.  Pop. (1901) 13,786.  Its warm sulphur</w:t></w:r>
</w:p>
<w:p>
<w:pPr><w:pStyle w:val="Normal"/></w:pPr>
<w:r><w:t xml:space="preserve">springs are still resorted to; under the name of Aquae</w:t></w:r>
</w:p>
<w:p>
<w:pPr><w:pStyle w:val="Normal"/></w:pPr>
<w:r><w:t xml:space="preserve">Statiellae they were famous in Roman times, and Paulus Diaconus</w:t></w:r>
</w:p>
<w:p>
<w:pPr><w:pStyle w:val="Normal"/></w:pPr>
<w:r><w:t xml:space="preserve">and Liutprand speak of the ancient bath establishment.  In</w:t></w:r>
</w:p>
<w:p>
<w:pPr><w:pStyle w:val="Normal"/></w:pPr>
<w:r><w:t xml:space="preserve">the neighbourhood of the town are remains of the aqueduct</w:t></w:r>
</w:p>
<w:p>
<w:pPr><w:pStyle w:val="Normal"/></w:pPr>
<w:r><w:t xml:space="preserve">which supplied it.  The place was connected by road with Alba</w:t></w:r>
</w:p>
<w:p>
<w:pPr><w:pStyle w:val="Normal"/></w:pPr>
<w:r><w:t xml:space="preserve">Pompeia and Augusta Taurinorum.  The tribe of the Statielli, to</w:t></w:r>
</w:p>
<w:p>
<w:pPr><w:pStyle w:val="Normal"/></w:pPr>
<w:r><w:t xml:space="preserve">whom the district belonged, had joined the Romans at an early</w:t></w:r>
</w:p>
<w:p>
<w:pPr><w:pStyle w:val="Normal"/></w:pPr>
<w:r><w:t xml:space="preserve">period, but was attacked in 173 and in part transferred to the</w:t></w:r>
</w:p>
<w:p>
<w:pPr><w:pStyle w:val="Normal"/></w:pPr>
<w:r><w:t xml:space="preserve">north of the Po. The town possesses a fine Gothic cathedral.</w:t></w:r>
</w:p>
<w:p>
<w:pPr><w:pStyle w:val="Normal"/></w:pPr>
<w:r><w:t xml:space="preserve">ACRE, or AQUIRY, a river of Brazil and principal tributary</w:t></w:r>
</w:p>
<w:p>
<w:pPr><w:pStyle w:val="Normal"/></w:pPr>
<w:r><w:t xml:space="preserve">of the Purus, rising on the Bolivian frontier and flowing</w:t></w:r>
</w:p>
<w:p>
<w:pPr><w:pStyle w:val="Normal"/></w:pPr>
<w:r><w:t xml:space="preserve">easterly and northerly to a junction with the Purus at 8 deg.</w:t></w:r>
</w:p>
<w:p>
<w:pPr><w:pStyle w:val="Normal"/></w:pPr>
<w:r><w:t xml:space="preserve">45&apos; S. lat.  The name is also applied to a district situated</w:t></w:r>
</w:p>
<w:p>
<w:pPr><w:pStyle w:val="Normal"/></w:pPr>
<w:r><w:t xml:space="preserve">on the same river and on the former (1867) boundary line</w:t></w:r>
</w:p>
<w:p>
<w:pPr><w:pStyle w:val="Normal"/></w:pPr>
<w:r><w:t xml:space="preserve">between Bolivia and Brazil.  The region, which abounds in</w:t></w:r>
</w:p>
<w:p>
<w:pPr><w:pStyle w:val="Normal"/></w:pPr>
<w:r><w:t xml:space="preserve">valuable rubber forests, was settled by Bolivians between</w:t></w:r>
</w:p>
<w:p>
<w:pPr><w:pStyle w:val="Normal"/></w:pPr>
<w:r><w:t xml:space="preserve">1870 and 1878, but was invaded by Brazilian rubber collectors</w:t></w:r>
</w:p>
<w:p>
<w:pPr><w:pStyle w:val="Normal"/></w:pPr>
<w:r><w:t xml:space="preserve">during the next decade and became tributary to the rubber</w:t></w:r>
</w:p>
<w:p>
<w:pPr><w:pStyle w:val="Normal"/></w:pPr>
<w:r><w:t xml:space="preserve">markets of Manaos and Para.  In 1899 the Bolivian government</w:t></w:r>
</w:p>
<w:p>
<w:pPr><w:pStyle w:val="Normal"/></w:pPr>
<w:r><w:t xml:space="preserve">established a custom-house at Puerto Alonso, on the Acre</w:t></w:r>
</w:p>
<w:p>
<w:pPr><w:pStyle w:val="Normal"/></w:pPr>
<w:r><w:t xml:space="preserve">river, for the collection of export duties on rubber, which</w:t></w:r>
</w:p>
<w:p>
<w:pPr><w:pStyle w:val="Normal"/></w:pPr>
<w:r><w:t xml:space="preserve">precipitated a conflict with the Brazilian settlers and finally</w:t></w:r>
</w:p>
<w:p>
<w:pPr><w:pStyle w:val="Normal"/></w:pPr>
<w:r><w:t xml:space="preserve">brought about a boundary dispute between the two republics.</w:t></w:r>
</w:p>
<w:p>
<w:pPr><w:pStyle w:val="Normal"/></w:pPr>
<w:r><w:t xml:space="preserve">In July 1899 the Acreanos declared their independence and</w:t></w:r>
</w:p>
<w:p>
<w:pPr><w:pStyle w:val="Normal"/></w:pPr>
<w:r><w:t xml:space="preserve">set up a republic of their own, but in the following March</w:t></w:r>
</w:p>
<w:p>
<w:pPr><w:pStyle w:val="Normal"/></w:pPr>
<w:r><w:t xml:space="preserve">they were reduced to submission by Brazil.  Various disorders</w:t></w:r>
</w:p>
<w:p>
<w:pPr><w:pStyle w:val="Normal"/></w:pPr>
<w:r><w:t xml:space="preserve">followed until Brazil decided to occupy Puerto Alonso with a</w:t></w:r>
</w:p>
<w:p>
<w:pPr><w:pStyle w:val="Normal"/></w:pPr>
<w:r><w:t xml:space="preserve">military force.  The boundary dispute was finally settled at</w:t></w:r>
</w:p>
<w:p>
<w:pPr><w:pStyle w:val="Normal"/></w:pPr>
<w:r><w:t xml:space="preserve">Petropolis on the 17th of November 1903 through the purchase</w:t></w:r>
</w:p>
<w:p>
<w:pPr><w:pStyle w:val="Normal"/></w:pPr>
<w:r><w:t xml:space="preserve">by Brazil of the rubber-producing territory south to about</w:t></w:r>
</w:p>
<w:p>
<w:pPr><w:pStyle w:val="Normal"/></w:pPr>
<w:r><w:t xml:space="preserve">the 11th parallel, estimated at more than 60,000 sq. m.</w:t></w:r>
</w:p>
<w:p>
<w:pPr><w:pStyle w:val="Normal"/></w:pPr>
<w:r><w:t xml:space="preserve">ACRE, Akka, or ST JEAN D&apos;ACRE, the chief town of a</w:t></w:r>
</w:p>
<w:p>
<w:pPr><w:pStyle w:val="Normal"/></w:pPr>
<w:r><w:t xml:space="preserve">governmental district of Palestine which includes Haifa,</w:t></w:r>
</w:p>
<w:p>
<w:pPr><w:pStyle w:val="Normal"/></w:pPr>
<w:r><w:t xml:space="preserve">Nazareth and Tiberias.  It stands on a low promontory at the</w:t></w:r>
</w:p>
<w:p>
<w:pPr><w:pStyle w:val="Normal"/></w:pPr>
<w:r><w:t xml:space="preserve">northern extremity of the Bay of Acre, 80 m.  N. N.W. from</w:t></w:r>
</w:p>
<w:p>
<w:pPr><w:pStyle w:val="Normal"/></w:pPr>
<w:r><w:t xml:space="preserve">Jerusalem, and 25 m.  S. of Tyre.  The population is about</w:t></w:r>
</w:p>
<w:p>
<w:pPr><w:pStyle w:val="Normal"/></w:pPr>
<w:r><w:t xml:space="preserve">11,000; 8000 being Moslems, the remainder Christians, Jews,</w:t></w:r>
</w:p>
<w:p>
<w:pPr><w:pStyle w:val="Normal"/></w:pPr>
<w:r><w:t xml:space="preserve">&amp;c. It was long regarded as the ``Key of Palestine,&apos;&apos; on</w:t></w:r>
</w:p>
<w:p>
<w:pPr><w:pStyle w:val="Normal"/></w:pPr>
<w:r><w:t xml:space="preserve">account of its commanding position on the shore of the broad</w:t></w:r>
</w:p>
<w:p>
<w:pPr><w:pStyle w:val="Normal"/></w:pPr>
<w:r><w:t xml:space="preserve">plain that joins the inland plain of Esdraelon, and so affords</w:t></w:r>
</w:p>
<w:p>
<w:pPr><w:pStyle w:val="Normal"/></w:pPr>
<w:r><w:t xml:space="preserve">the easiest entrance to the interior of the country.  But</w:t></w:r>
</w:p>
<w:p>
<w:pPr><w:pStyle w:val="Normal"/></w:pPr>
<w:r><w:t xml:space="preserve">trade is now passing over to Haifa, at the south side of the</w:t></w:r>
</w:p>
<w:p>
<w:pPr><w:pStyle w:val="Normal"/></w:pPr>
<w:r><w:t xml:space="preserve">bay, as its harbour offers a safer roadstead, and is a regular</w:t></w:r>
</w:p>
<w:p>
<w:pPr><w:pStyle w:val="Normal"/></w:pPr>
<w:r><w:t xml:space="preserve">calling.place for steamers.  Business, rapidly declining, is</w:t></w:r>
</w:p>
<w:p>
<w:pPr><w:pStyle w:val="Normal"/></w:pPr>
<w:r><w:t xml:space="preserve">still carried on in wheat, maize, oil, sesame, &amp;c., in the town</w:t></w:r>
</w:p>
<w:p>
<w:pPr><w:pStyle w:val="Normal"/></w:pPr>
<w:r><w:t xml:space="preserve">market.  There are few buildings of interest, owing to the</w:t></w:r>
</w:p>
<w:p>
<w:pPr><w:pStyle w:val="Normal"/></w:pPr>
<w:r><w:t xml:space="preserve">frequent destructions the town has undergone.  The wall,</w:t></w:r>
</w:p>
<w:p>
<w:pPr><w:pStyle w:val="Normal"/></w:pPr>
<w:r><w:t xml:space="preserve">which is now ruinous and has but one gate, dates from the</w:t></w:r>
</w:p>
<w:p>
<w:pPr><w:pStyle w:val="Normal"/></w:pPr>
<w:r><w:t xml:space="preserve">crusaders: the mosque was built by Jezzar Pasha (d. 1804)</w:t></w:r>
</w:p>
<w:p>
<w:pPr><w:pStyle w:val="Normal"/></w:pPr>
<w:r><w:t xml:space="preserve">from materials taken from Caesarea Palaestina: his tomb is</w:t></w:r>
</w:p>
<w:p>
<w:pPr><w:pStyle w:val="Normal"/></w:pPr>
<w:r><w:t xml:space="preserve">within.  Acre is the seat of the head of the Babist religion.</w:t></w:r>
</w:p>
<w:p>
<w:pPr><w:pStyle w:val="Normal"/></w:pPr>
<w:r><w:t xml:space="preserve">History.--Few towns have had a more chequered or calamitous</w:t></w:r>
</w:p>
<w:p>
<w:pPr><w:pStyle w:val="Normal"/></w:pPr>
<w:r><w:t xml:space="preserve">history.  Of great antiquity, it is probably to be identified</w:t></w:r>
</w:p>
<w:p>
<w:pPr><w:pStyle w:val="Normal"/></w:pPr>
<w:r><w:t xml:space="preserve">with the Aak of the tribute-lists of Tethmosis (Thothmes)</w:t></w:r>
</w:p>
<w:p>
<w:pPr><w:pStyle w:val="Heading1"/></w:pPr>
<w:r><w:t>III (c. 1500 B.C.), and it is certainly the Akka</w:t></w:r>
</w:p>
<w:p>
<w:pPr><w:pStyle w:val="Normal"/></w:pPr>
<w:r><w:t xml:space="preserve">of the Tell el-Amarna correspondence.  To the Hebrews it</w:t></w:r>
</w:p>
<w:p>
<w:pPr><w:pStyle w:val="Normal"/></w:pPr>
<w:r><w:t xml:space="preserve">was known as Acco (Revised Version spelling), but it is</w:t></w:r>
</w:p>
<w:p>
<w:pPr><w:pStyle w:val="Normal"/></w:pPr>
<w:r><w:t xml:space="preserve">mentioned only once in the Old Testament, namely Judges i.</w:t></w:r>
</w:p>
<w:p>
<w:pPr><w:pStyle w:val="Normal"/></w:pPr>
<w:r><w:t xml:space="preserve">31, as one of the places from which the Israelites did not</w:t></w:r>
</w:p>
<w:p>
<w:pPr><w:pStyle w:val="Normal"/></w:pPr>
<w:r><w:t xml:space="preserve">drive out the Canaanite inhabitants.  Theoretically it was</w:t></w:r>
</w:p>
<w:p>
<w:pPr><w:pStyle w:val="Normal"/></w:pPr>
<w:r><w:t xml:space="preserve">in the territory of the tribe of Asher, and Josephus assigns</w:t></w:r>
</w:p>
<w:p>
<w:pPr><w:pStyle w:val="Normal"/></w:pPr>
<w:r><w:t xml:space="preserve">it by name to the district of one of Solomon&apos;s provincial</w:t></w:r>
</w:p>
<w:p>
<w:pPr><w:pStyle w:val="Normal"/></w:pPr>
<w:r><w:t xml:space="preserve">governors.  Throughout the period of Hebrew domination, however,</w:t></w:r>
</w:p>
<w:p>
<w:pPr><w:pStyle w:val="Normal"/></w:pPr>
<w:r><w:t xml:space="preserve">its political connexions were always with Syria rather than</w:t></w:r>
</w:p>
<w:p>
<w:pPr><w:pStyle w:val="Normal"/></w:pPr>
<w:r><w:t xml:space="preserve">with Palestine proper: thus, about 725 B.C. it joined Sidon</w:t></w:r>
</w:p>
<w:p>
<w:pPr><w:pStyle w:val="Normal"/></w:pPr>
<w:r><w:t xml:space="preserve">and Tyre in a revolt against Shalmaneser IV. It had a stormy</w:t></w:r>
</w:p>
<w:p>
<w:pPr><w:pStyle w:val="Normal"/></w:pPr>
<w:r><w:t xml:space="preserve">experience during the three centuries preceding the Christian</w:t></w:r>
</w:p>
<w:p>
<w:pPr><w:pStyle w:val="Normal"/></w:pPr>
<w:r><w:t xml:space="preserve">era.  The Greek historians name it Ake (Josephus calls</w:t></w:r>
</w:p>
<w:p>
<w:pPr><w:pStyle w:val="Normal"/></w:pPr>
<w:r><w:t xml:space="preserve">it also Akre); but the name was changed to Ptolemais,</w:t></w:r>
</w:p>
<w:p>
<w:pPr><w:pStyle w:val="Normal"/></w:pPr>
<w:r><w:t xml:space="preserve">probably by Ptolemy Soter, after the partition of the kingdom of</w:t></w:r>
</w:p>
<w:p>
<w:pPr><w:pStyle w:val="Normal"/></w:pPr>
<w:r><w:t xml:space="preserve">Alexander.  Strabo refers to the city as once a rendezvous for</w:t></w:r>
</w:p>
<w:p>
<w:pPr><w:pStyle w:val="Normal"/></w:pPr>
<w:r><w:t xml:space="preserve">the Persians in their expeditions against Egypt.  About 165</w:t></w:r>
</w:p>
<w:p>
<w:pPr><w:pStyle w:val="Normal"/></w:pPr>
<w:r><w:t xml:space="preserve">B.C. Simon Maccabaeus defeated the Syrians in many battles</w:t></w:r>
</w:p>
<w:p>
<w:pPr><w:pStyle w:val="Normal"/></w:pPr>
<w:r><w:t xml:space="preserve">in Galilee, and drove them into Ptolemais.  About 153 B.C.</w:t></w:r>
</w:p>
<w:p>
<w:pPr><w:pStyle w:val="Normal"/></w:pPr>
<w:r><w:t xml:space="preserve">Alexander Balas, son of Antiochus Epiphanes, contesting the</w:t></w:r>
</w:p>
<w:p>
<w:pPr><w:pStyle w:val="Normal"/></w:pPr>
<w:r><w:t xml:space="preserve">Syrian crown with Demetrius, seized the city, which opened its</w:t></w:r>
</w:p>
<w:p>
<w:pPr><w:pStyle w:val="Normal"/></w:pPr>
<w:r><w:t xml:space="preserve">gates to him.  Demetrius offered many bribes to the Maccabees</w:t></w:r>
</w:p>
<w:p>
<w:pPr><w:pStyle w:val="Normal"/></w:pPr>
<w:r><w:t xml:space="preserve">to obtain Jewish support against his rival, including the</w:t></w:r>
</w:p>
<w:p>
<w:pPr><w:pStyle w:val="Normal"/></w:pPr>
<w:r><w:t xml:space="preserve">revenues of Ptolemais for the benefit of the Temple, but in</w:t></w:r>
</w:p>
<w:p>
<w:pPr><w:pStyle w:val="Normal"/></w:pPr>
<w:r><w:t xml:space="preserve">vain.  Jonathan threw in his lot with Alexander, and in</w:t></w:r>
</w:p>
<w:p>
<w:pPr><w:pStyle w:val="Normal"/></w:pPr>
<w:r><w:t xml:space="preserve">150 B.C. he was received by him with great honour in</w:t></w:r>
</w:p>
<w:p>
<w:pPr><w:pStyle w:val="Normal"/></w:pPr>
<w:r><w:t xml:space="preserve">Ptolemais.  Some years later, however, Tryphon, an officer</w:t></w:r>
</w:p>
<w:p>
<w:pPr><w:pStyle w:val="Normal"/></w:pPr>
<w:r><w:t xml:space="preserve">of the Syrians, who had grown suspicious of the Maccabees,</w:t></w:r>
</w:p>
<w:p>
<w:pPr><w:pStyle w:val="Normal"/></w:pPr>
<w:r><w:t xml:space="preserve">enticed Jonathan into Ptolemais and there treacherously took him</w:t></w:r>
</w:p>
<w:p>
<w:pPr><w:pStyle w:val="Normal"/></w:pPr>
<w:r><w:t xml:space="preserve">prisoner.  The city was also assaulted and captured by Alexander</w:t></w:r>
</w:p>
<w:p>
<w:pPr><w:pStyle w:val="Normal"/></w:pPr>
<w:r><w:t xml:space="preserve">Jannaeus, by Cleopatra and by Tigranes.  Here Herod built a</w:t></w:r>
</w:p>
<w:p>
<w:pPr><w:pStyle w:val="Normal"/></w:pPr>
<w:r><w:t xml:space="preserve">gymnasium, and here the Jews met Petronius, sent to set up</w:t></w:r>
</w:p>
<w:p>
<w:pPr><w:pStyle w:val="Normal"/></w:pPr>
<w:r><w:t xml:space="preserve">statues of the emperor in the Temple, and persuaded him to turn</w:t></w:r>
</w:p>
<w:p>
<w:pPr><w:pStyle w:val="Normal"/></w:pPr>
<w:r><w:t xml:space="preserve">back.  St Paul spent a day in Ptolemais.  The Arabs captured</w:t></w:r>
</w:p>
<w:p>
<w:pPr><w:pStyle w:val="Normal"/></w:pPr>
<w:r><w:t xml:space="preserve">the city in A.D. 638, and lost it to the crusaders in</w:t></w:r>
</w:p>
<w:p>
<w:pPr><w:pStyle w:val="Normal"/></w:pPr>
<w:r><w:t xml:space="preserve">1110.  The latter made the town their chief port in</w:t></w:r>
</w:p>
<w:p>
<w:pPr><w:pStyle w:val="Normal"/></w:pPr>
<w:r><w:t xml:space="preserve">Palestine.  It was re-taken by Saladin in 1187, besieged</w:t></w:r>
</w:p>
<w:p>
<w:pPr><w:pStyle w:val="Normal"/></w:pPr>
<w:r><w:t xml:space="preserve">by Guy de Lusignan in 1189 (see below), and again captured</w:t></w:r>
</w:p>
<w:p>
<w:pPr><w:pStyle w:val="Normal"/></w:pPr>
<w:r><w:t xml:space="preserve">by Richard Coeur de Lion in 1191.  In 1229 it was placed</w:t></w:r>
</w:p>
<w:p>
<w:pPr><w:pStyle w:val="Normal"/></w:pPr>
<w:r><w:t xml:space="preserve">under the control of the knights of St John (whence one of</w:t></w:r>
</w:p>
<w:p>
<w:pPr><w:pStyle w:val="Normal"/></w:pPr>
<w:r><w:t xml:space="preserve">its alternative names), but finally lost by the Franks in</w:t></w:r>
</w:p>
<w:p>
<w:pPr><w:pStyle w:val="Normal"/></w:pPr>
<w:r><w:t xml:space="preserve">1291.  The Turks under Sultan Selim I. captured the city</w:t></w:r>
</w:p>
<w:p>
<w:pPr><w:pStyle w:val="Normal"/></w:pPr>
<w:r><w:t xml:space="preserve">in 1517, after which it fell into almost total decay.</w:t></w:r>
</w:p>
<w:p>
<w:pPr><w:pStyle w:val="Normal"/></w:pPr>
<w:r><w:t xml:space="preserve">Maundrell in 1697 found it a complete ruin, save for a khan</w:t></w:r>
</w:p>
<w:p>
<w:pPr><w:pStyle w:val="Normal"/></w:pPr>
<w:r><w:t xml:space="preserve">occupied by some French merchants, a mosque and a few poor</w:t></w:r>
</w:p>
<w:p>
<w:pPr><w:pStyle w:val="Normal"/></w:pPr>
<w:r><w:t xml:space="preserve">cottages.  Towards the end of the 18th century it seems to</w:t></w:r>
</w:p>
<w:p>
<w:pPr><w:pStyle w:val="Normal"/></w:pPr>
<w:r><w:t xml:space="preserve">have revived under the comparatively beneficent rule of Dhahar</w:t></w:r>
</w:p>
<w:p>
<w:pPr><w:pStyle w:val="Normal"/></w:pPr>
<w:r><w:t xml:space="preserve">el-Amir, the local sheikh: his successor, Jezzar Pasha,</w:t></w:r>
</w:p>
<w:p>
<w:pPr><w:pStyle w:val="Normal"/></w:pPr>
<w:r><w:t xml:space="preserve">governor of Damascus, improved and fortified it, but by heavy</w:t></w:r>
</w:p>
<w:p>
<w:pPr><w:pStyle w:val="Normal"/></w:pPr>
<w:r><w:t xml:space="preserve">imposts secured for himself all the benefits derived from his</w:t></w:r>
</w:p>
<w:p>
<w:pPr><w:pStyle w:val="Normal"/></w:pPr>
<w:r><w:t xml:space="preserve">improvements.  About 1780 Jezzar peremptorily banished the</w:t></w:r>
</w:p>
<w:p>
<w:pPr><w:pStyle w:val="Normal"/></w:pPr>
<w:r><w:t xml:space="preserve">French trading colony, in spite of protests from the French</w:t></w:r>
</w:p>
<w:p>
<w:pPr><w:pStyle w:val="Normal"/></w:pPr>
<w:r><w:t xml:space="preserve">government, and refused to receive a consul.  In 1799 Napoleon,</w:t></w:r>
</w:p>
<w:p>
<w:pPr><w:pStyle w:val="Normal"/></w:pPr>
<w:r><w:t xml:space="preserve">in pursuance of his scheme for raising a Syrian rebellion</w:t></w:r>
</w:p>
<w:p>
<w:pPr><w:pStyle w:val="Normal"/></w:pPr>
<w:r><w:t xml:space="preserve">against Turkish domination, appeared before Acre, but after</w:t></w:r>
</w:p>
<w:p>
<w:pPr><w:pStyle w:val="Normal"/></w:pPr>
<w:r><w:t xml:space="preserve">a siege of two months (March--May) was repulsed by the</w:t></w:r>
</w:p>
<w:p>
<w:pPr><w:pStyle w:val="Normal"/></w:pPr>
<w:r><w:t xml:space="preserve">Turks, aided by Sir W. Sidney Smith and a force of British</w:t></w:r>
</w:p>
<w:p>
<w:pPr><w:pStyle w:val="Normal"/></w:pPr>
<w:r><w:t xml:space="preserve">sailors.  Jezzar was succeeded on his death by his son Suleiman,</w:t></w:r>
</w:p>
<w:p>
<w:pPr><w:pStyle w:val="Normal"/></w:pPr>
<w:r><w:t xml:space="preserve">under whose milder rule the town advanced in prosperity till</w:t></w:r>
</w:p>
<w:p>
<w:pPr><w:pStyle w:val="Normal"/></w:pPr>
<w:r><w:t xml:space="preserve">1831, when Ibrahim Pasha besieged and reduced the town and</w:t></w:r>
</w:p>
<w:p>
<w:pPr><w:pStyle w:val="Normal"/></w:pPr>
<w:r><w:t xml:space="preserve">destroyed its buildings.  On the 4th of November 1840 it</w:t></w:r>
</w:p>
<w:p>
<w:pPr><w:pStyle w:val="Normal"/></w:pPr>
<w:r><w:t xml:space="preserve">was bombarded by the allied British, Austrian and French</w:t></w:r>
</w:p>
<w:p>
<w:pPr><w:pStyle w:val="Normal"/></w:pPr>
<w:r><w:t xml:space="preserve">squadrons, and in the following year restored to Turkish rule.</w:t></w:r>
</w:p>
<w:p>
<w:pPr><w:pStyle w:val="Normal"/></w:pPr>
<w:r><w:t xml:space="preserve">Battle of Acre.---The battle of 1189, fought on the ground</w:t></w:r>
</w:p>
<w:p>
<w:pPr><w:pStyle w:val="Normal"/></w:pPr>
<w:r><w:t xml:space="preserve">to the east of Acre, affords a good example of battles of the</w:t></w:r>
</w:p>
<w:p>
<w:pPr><w:pStyle w:val="Normal"/></w:pPr>
<w:r><w:t xml:space="preserve">Crusades.  The crusading army under Guy of Lusignan, king</w:t></w:r>
</w:p>
<w:p>
<w:pPr><w:pStyle w:val="Normal"/></w:pPr>
<w:r><w:t xml:space="preserve">of Jerusalem, which was besieging Acre, gave battle on the</w:t></w:r>
</w:p>
<w:p>
<w:pPr><w:pStyle w:val="Normal"/></w:pPr>
<w:r><w:t xml:space="preserve">4th of October 1189 to the relieving army which Saladin had</w:t></w:r>
</w:p>
<w:p>
<w:pPr><w:pStyle w:val="Normal"/></w:pPr>
<w:r><w:t xml:space="preserve">collected.  The Christian army consisted of the feudatories</w:t></w:r>
</w:p>
<w:p>
<w:pPr><w:pStyle w:val="Normal"/></w:pPr>
<w:r><w:t xml:space="preserve">of the kingdom of Jerusalem, numerous small contingents of</w:t></w:r>
</w:p>
<w:p>
<w:pPr><w:pStyle w:val="Normal"/></w:pPr>
<w:r><w:t xml:space="preserve">European crusaders and the military orders, and contingents</w:t></w:r>
</w:p>
<w:p>
<w:pPr><w:pStyle w:val="Normal"/></w:pPr>
<w:r><w:t xml:space="preserve">from Egypt, Turkestan, Syria and Mesopotamia fought under</w:t></w:r>
</w:p>
<w:p>
<w:pPr><w:pStyle w:val="Normal"/></w:pPr>
<w:r><w:t xml:space="preserve">Saladin.  The Saracens lay in a semicircle east of the town</w:t></w:r>
</w:p>
<w:p>
<w:pPr><w:pStyle w:val="Normal"/></w:pPr>
<w:r><w:t xml:space="preserve">facing inwards towards Acre.  The Christians opposed them</w:t></w:r>
</w:p>
<w:p>
<w:pPr><w:pStyle w:val="Normal"/></w:pPr>
<w:r><w:t xml:space="preserve">with crossbowmen in first line and the heavy cavalry in</w:t></w:r>
</w:p>
<w:p>
<w:pPr><w:pStyle w:val="Normal"/></w:pPr>
<w:r><w:t xml:space="preserve">second.  At Arsuf the Christians fought coherently; here</w:t></w:r>
</w:p>
<w:p>
<w:pPr><w:pStyle w:val="Normal"/></w:pPr>
<w:r><w:t xml:space="preserve">the battle began with a disjointed combat between the</w:t></w:r>
</w:p>
<w:p>
<w:pPr><w:pStyle w:val="Normal"/></w:pPr>
<w:r><w:t xml:space="preserve">Templars and Saladin&apos;s right wing.  The crusaders were so far</w:t></w:r>
</w:p>
<w:p>
<w:pPr><w:pStyle w:val="Normal"/></w:pPr>
<w:r><w:t xml:space="preserve">successful that the enemy had to send up reinforcements from</w:t></w:r>
</w:p>
<w:p>
<w:pPr><w:pStyle w:val="Normal"/></w:pPr>
<w:r><w:t xml:space="preserve">other parts of the field.  Thus the steady advance of the</w:t></w:r>
</w:p>
<w:p>
<w:pPr><w:pStyle w:val="Normal"/></w:pPr>
<w:r><w:t xml:space="preserve">Christian centre against Saladin&apos;s own corps, in which the</w:t></w:r>
</w:p>
<w:p>
<w:pPr><w:pStyle w:val="Normal"/></w:pPr>
<w:r><w:t xml:space="preserve">crossbows prepared the way for the charge of the men-at-arms,</w:t></w:r>
</w:p>
<w:p>
<w:pPr><w:pStyle w:val="Normal"/></w:pPr>
<w:r><w:t xml:space="preserve">met with no great resistance.  But the victors scattered to</w:t></w:r>
</w:p>
<w:p>
<w:pPr><w:pStyle w:val="Normal"/></w:pPr>
<w:r><w:t xml:space="preserve">plunder.  Sajadin rallied his men, and, when the Christians</w:t></w:r>
</w:p>
<w:p>
<w:pPr><w:pStyle w:val="Normal"/></w:pPr>
<w:r><w:t xml:space="preserve">began to retire with their booty, let loose his light horse</w:t></w:r>
</w:p>
<w:p>
<w:pPr><w:pStyle w:val="Normal"/></w:pPr>
<w:r><w:t xml:space="preserve">upon them.  No connected resistance was offered, and the</w:t></w:r>
</w:p>
<w:p>
<w:pPr><w:pStyle w:val="Normal"/></w:pPr>
<w:r><w:t xml:space="preserve">Turks slaughtered the fugitives until checked by the fresh</w:t></w:r>
</w:p>
<w:p>
<w:pPr><w:pStyle w:val="Normal"/></w:pPr>
<w:r><w:t xml:space="preserve">troops of the Christian right wing.  Into this fight Guy&apos;s</w:t></w:r>
</w:p>
<w:p>
<w:pPr><w:pStyle w:val="Normal"/></w:pPr>
<w:r><w:t xml:space="preserve">reserve, charged with holding back the Saracens in Acre, was</w:t></w:r>
</w:p>
<w:p>
<w:pPr><w:pStyle w:val="Normal"/></w:pPr>
<w:r><w:t xml:space="preserve">also drawn, and, thus freed, 5000 men sallied out from the</w:t></w:r>
</w:p>
<w:p>
<w:pPr><w:pStyle w:val="Normal"/></w:pPr>
<w:r><w:t xml:space="preserve">town to the northward; uniting with the Saracen right wing,</w:t></w:r>
</w:p>
<w:p>
<w:pPr><w:pStyle w:val="Normal"/></w:pPr>
<w:r><w:t xml:space="preserve">they fell upon the Templars, who suffered severely in their</w:t></w:r>
</w:p>
<w:p>
<w:pPr><w:pStyle w:val="Normal"/></w:pPr>
<w:r><w:t xml:space="preserve">retreat.  In the end the crusaders repulsed the relieving</w:t></w:r>
</w:p>
<w:p>
<w:pPr><w:pStyle w:val="Normal"/></w:pPr>
<w:r><w:t xml:space="preserve">army, but only at the cost of 7000 men. (R. A. S. M.)</w:t></w:r>
</w:p>
<w:p>
<w:pPr><w:pStyle w:val="Normal"/></w:pPr>
<w:r><w:t xml:space="preserve">ACRE, a land measure used by English-speaking races.  Derived</w:t></w:r>
</w:p>
<w:p>
<w:pPr><w:pStyle w:val="Normal"/></w:pPr>
<w:r><w:t xml:space="preserve">from the Old Eng. acer and cognate with the Lat. ager, Gr.</w:t></w:r>
</w:p>
<w:p>
<w:pPr><w:pStyle w:val="Normal"/></w:pPr>
<w:r><w:t xml:space="preserve">agros, Sans. ajras, it has retained its original meaning</w:t></w:r>
</w:p>
<w:p>
<w:pPr><w:pStyle w:val="Normal"/></w:pPr>
<w:r><w:t xml:space="preserve">``open country,&apos;&apos; in such phrases as ``God&apos;s acre,&apos;&apos; or a</w:t></w:r>
</w:p>
<w:p>
<w:pPr><w:pStyle w:val="Normal"/></w:pPr>
<w:r><w:t xml:space="preserve">churchyard, ``broad acres,&apos;&apos; &amp;c. As a measure of land, it was</w:t></w:r>
</w:p>
<w:p>
<w:pPr><w:pStyle w:val="Normal"/></w:pPr>
<w:r><w:t xml:space="preserve">first defined as the amount a yoke of oxen could plough in a</w:t></w:r>
</w:p>
<w:p>
<w:pPr><w:pStyle w:val="Normal"/></w:pPr>
<w:r><w:t xml:space="preserve">day; statutory values were enacted in England by acts of Edward</w:t></w:r>
</w:p>
<w:p>
<w:pPr><w:pStyle w:val="Normal"/></w:pPr>
<w:r><w:t xml:space="preserve">I., Edward III., Henry VIII. and George IV., and the Weights</w:t></w:r>
</w:p>
<w:p>
<w:pPr><w:pStyle w:val="Normal"/></w:pPr>
<w:r><w:t xml:space="preserve">and Measures Act 1878 now defines it as containing 4840 sq.</w:t></w:r>
</w:p>
<w:p>
<w:pPr><w:pStyle w:val="Normal"/></w:pPr>
<w:r><w:t xml:space="preserve">yds.  In addition to this ``statute&apos;&apos; or ``imperial acre,&apos;&apos;</w:t></w:r>
</w:p>
<w:p>
<w:pPr><w:pStyle w:val="Normal"/></w:pPr>
<w:r><w:t xml:space="preserve">other ``acres&apos;&apos; are still, though rarely, used in Scotland,</w:t></w:r>
</w:p>
<w:p>
<w:pPr><w:pStyle w:val="Normal"/></w:pPr>
<w:r><w:t xml:space="preserve">Ireland, Wales and certain English counties.  The Scottish</w:t></w:r>
</w:p>
<w:p>
<w:pPr><w:pStyle w:val="Normal"/></w:pPr>
<w:r><w:t xml:space="preserve">acre contains 6150.4 sq. yds.; the Irish acre 7840 sq. yds.; in</w:t></w:r>
</w:p>
<w:p>
<w:pPr><w:pStyle w:val="Normal"/></w:pPr>
<w:r><w:t xml:space="preserve">Wales, the land measures erw (4320 sq. yds.), stang (3240</w:t></w:r>
</w:p>
<w:p>
<w:pPr><w:pStyle w:val="Normal"/></w:pPr>
<w:r><w:t xml:space="preserve">sq. yds.) and paladr are called ``acres&apos;&apos;; the Leicestershire</w:t></w:r>
</w:p>
<w:p>
<w:pPr><w:pStyle w:val="Normal"/></w:pPr>
<w:r><w:t xml:space="preserve">acre (2308 3/4 sq. yds.), Westmoreland acre (6760 sq. yds.) and</w:t></w:r>
</w:p>
<w:p>
<w:pPr><w:pStyle w:val="Normal"/></w:pPr>
<w:r><w:t xml:space="preserve">Cheshire acre (10,240 sq. yds) are examples of local values.</w:t></w:r>
</w:p>
<w:p>
<w:pPr><w:pStyle w:val="Normal"/></w:pPr>
<w:r><w:t xml:space="preserve">ACRIDINE, C13H9N, in chemistry, a heterocyclic ring</w:t></w:r>
</w:p>
<w:p>
<w:pPr><w:pStyle w:val="Normal"/></w:pPr>
<w:r><w:t xml:space="preserve">compound found in crude coal-tar anthracene.  It may be</w:t></w:r>
</w:p>
<w:p>
<w:pPr><w:pStyle w:val="Normal"/></w:pPr>
<w:r><w:t xml:space="preserve">separated by shaking out with dilute sulphuric acid, and</w:t></w:r>
</w:p>
<w:p>
<w:pPr><w:pStyle w:val="Normal"/></w:pPr>
<w:r><w:t xml:space="preserve">then precipitating the sulphuric acid solution with potassium</w:t></w:r>
</w:p>
<w:p>
<w:pPr><w:pStyle w:val="Normal"/></w:pPr>
<w:r><w:t xml:space="preserve">bichromate, the resulting acridine bichromate being decomposed</w:t></w:r>
</w:p>
<w:p>
<w:pPr><w:pStyle w:val="Normal"/></w:pPr>
<w:r><w:t xml:space="preserve">by ammonia.  It was first isolated in 1890 by C. Graebe</w:t></w:r>
</w:p>
<w:p>
<w:pPr><w:pStyle w:val="Normal"/></w:pPr>
<w:r><w:t xml:space="preserve">and H. Caro (Ann., 1871, 158, p. 265).  Many synthetic</w:t></w:r>
</w:p>
<w:p>
<w:pPr><w:pStyle w:val="Normal"/></w:pPr>
<w:r><w:t xml:space="preserve">processes are known for the production of acridine and its</w:t></w:r>
</w:p>
<w:p>
<w:pPr><w:pStyle w:val="Normal"/></w:pPr>
<w:r><w:t xml:space="preserve">derivatives.  A. Bernthsen (Ann., 1884, 224, p. 1) condensed</w:t></w:r>
</w:p>
<w:p>
<w:pPr><w:pStyle w:val="Normal"/></w:pPr>
<w:r><w:t xml:space="preserve">diphenylamine with fatty acids, in the presence of zinc</w:t></w:r>
</w:p>
<w:p>
<w:pPr><w:pStyle w:val="Normal"/></w:pPr>
<w:r><w:t xml:space="preserve">chloride.  Formic acid yields acridine, and the higher homologues</w:t></w:r>
</w:p>
<w:p>
<w:pPr><w:pStyle w:val="Normal"/></w:pPr>
<w:r><w:t xml:space="preserve">give derivatives substituted at the meso carbon atom,</w:t></w:r>
</w:p>
<w:p>
<w:pPr><w:pStyle w:val="Normal"/></w:pPr>
<w:r><w:t xml:space="preserve">FIG.</w:t></w:r>
</w:p>
<w:p>
<w:pPr><w:pStyle w:val="Normal"/></w:pPr>
<w:r><w:t xml:space="preserve">Acridine may also be obtained by passing the vapour of</w:t></w:r>
</w:p>
<w:p>
<w:pPr><w:pStyle w:val="Normal"/></w:pPr>
<w:r><w:t xml:space="preserve">phenylortho-toluidine through a red-hot tube (C. Graebe, Ber.,</w:t></w:r>
</w:p>
<w:p>
<w:pPr><w:pStyle w:val="Normal"/></w:pPr>
<w:r><w:t xml:space="preserve">1884, 17, p. 1370); by condensing diphenylamine with chloroform,</w:t></w:r>
</w:p>
<w:p>
<w:pPr><w:pStyle w:val="Normal"/></w:pPr>
<w:r><w:t xml:space="preserve">in presence of aluminium chloride (O. Fischer, Ber., 1884,</w:t></w:r>
</w:p>
<w:p>
<w:pPr><w:pStyle w:val="Normal"/></w:pPr>
<w:r><w:t xml:space="preserve">17, p. 102); by passing the vapours of orthoaminodiphenylmethane</w:t></w:r>
</w:p>
<w:p>
<w:pPr><w:pStyle w:val="Normal"/></w:pPr>
<w:r><w:t xml:space="preserve">over heated litharge (O. Fischer); by heating salicylic</w:t></w:r>
</w:p>
<w:p>
<w:pPr><w:pStyle w:val="Normal"/></w:pPr>
<w:r><w:t xml:space="preserve">aldehyde with aniline and zinc chloride to 260 deg.  C. (R.</w:t></w:r>
</w:p>
<w:p>
<w:pPr><w:pStyle w:val="Normal"/></w:pPr>
<w:r><w:t xml:space="preserve">Mohlau, Ber., 1886, 19, p. 2452); and by distilling acridone</w:t></w:r>
</w:p>
<w:p>
<w:pPr><w:pStyle w:val="Normal"/></w:pPr>
<w:r><w:t xml:space="preserve">over zinc dust (C. Graebe, Ber., 1892, 25, p. 1735).</w:t></w:r>
</w:p>
<w:p>
<w:pPr><w:pStyle w:val="Normal"/></w:pPr>
<w:r><w:t xml:space="preserve">Acridine and its homologues are very stable compounds of feebly</w:t></w:r>
</w:p>
<w:p>
<w:pPr><w:pStyle w:val="Normal"/></w:pPr>
<w:r><w:t xml:space="preserve">basic character.  They combine readily with the alkyl iodides</w:t></w:r>
</w:p>
<w:p>
<w:pPr><w:pStyle w:val="Normal"/></w:pPr>
<w:r><w:t xml:space="preserve">to form alkyl acridinium iodides, which are readily transformed</w:t></w:r>
</w:p>
<w:p>
<w:pPr><w:pStyle w:val="Normal"/></w:pPr>
<w:r><w:t xml:space="preserve">by the action of alkaline potassium ferricyanide to N-alkyl</w:t></w:r>
</w:p>
<w:p>
<w:pPr><w:pStyle w:val="Normal"/></w:pPr>
<w:r><w:t xml:space="preserve">acridones.  Acridine crystallizes in needles which melt at</w:t></w:r>
</w:p>
<w:p>
<w:pPr><w:pStyle w:val="Normal"/></w:pPr>
<w:r><w:t xml:space="preserve">110 deg.  C. It is characterized by its irritating action on</w:t></w:r>
</w:p>
<w:p>
<w:pPr><w:pStyle w:val="Normal"/></w:pPr>
<w:r><w:t xml:space="preserve">the skin, and by the blue fluorescence shown by solutions</w:t></w:r>
</w:p>
<w:p>
<w:pPr><w:pStyle w:val="Normal"/></w:pPr>
<w:r><w:t xml:space="preserve">of its salts.  On oxidation with potassium permanganate it</w:t></w:r>
</w:p>
<w:p>
<w:pPr><w:pStyle w:val="Normal"/></w:pPr>
<w:r><w:t xml:space="preserve">yields acridinic acid (quinoline -a-b-dicarboxylic acid)</w:t></w:r>
</w:p>
<w:p>
<w:pPr><w:pStyle w:val="Normal"/></w:pPr>
<w:r><w:t xml:space="preserve">C9H5N(COOH)2.  Numerous derivatives of acridine are known</w:t></w:r>
</w:p>
<w:p>
<w:pPr><w:pStyle w:val="Normal"/></w:pPr>
<w:r><w:t xml:space="preserve">and may be prepared by methods analogous to those used for</w:t></w:r>
</w:p>
<w:p>
<w:pPr><w:pStyle w:val="Normal"/></w:pPr>
<w:r><w:t xml:space="preserve">the formation of the parent base.  For the preparation of</w:t></w:r>
</w:p>
<w:p>
<w:pPr><w:pStyle w:val="Normal"/></w:pPr>
<w:r><w:t xml:space="preserve">the naphthacridines, see F.Ullmann, German patents 117472,</w:t></w:r>
</w:p>
<w:p>
<w:pPr><w:pStyle w:val="Normal"/></w:pPr>
<w:r><w:t xml:space="preserve">118439, 127586, 128754, and also Ber., 1902, 35, pp. 316,</w:t></w:r>
</w:p>
<w:p>
<w:pPr><w:pStyle w:val="Normal"/></w:pPr>
<w:r><w:t xml:space="preserve">2670.  Phenyl-acridine is the parent base of chrysaniline,</w:t></w:r>
</w:p>
<w:p>
<w:pPr><w:pStyle w:val="Normal"/></w:pPr>
<w:r><w:t xml:space="preserve">which is the chief constituent of the dyestuff phosphine (a</w:t></w:r>
</w:p>
<w:p>
<w:pPr><w:pStyle w:val="Normal"/></w:pPr>
<w:r><w:t xml:space="preserve">bye-product in the manufacture of rosaniline).  Chrysaniline</w:t></w:r>
</w:p>
<w:p>
<w:pPr><w:pStyle w:val="Normal"/></w:pPr>
<w:r><w:t xml:space="preserve">(diamino-phenylacridine) forms red-coloured salts, which dye</w:t></w:r>
</w:p>
<w:p>
<w:pPr><w:pStyle w:val="Normal"/></w:pPr>
<w:r><w:t xml:space="preserve">silk and wool a fine yellow; and the solutions of the salts</w:t></w:r>
</w:p>
<w:p>
<w:pPr><w:pStyle w:val="Normal"/></w:pPr>
<w:r><w:t xml:space="preserve">are characterized by their fine yellowish-green fluorescence.</w:t></w:r>
</w:p>
<w:p>
<w:pPr><w:pStyle w:val="Normal"/></w:pPr>
<w:r><w:t xml:space="preserve">It was synthesized by O. Fischer and G. Koerner (Ber.,</w:t></w:r>
</w:p>
<w:p>
<w:pPr><w:pStyle w:val="Normal"/></w:pPr>
<w:r><w:t xml:space="preserve">1884, 17, p. 203) by condensing ortho-nitrobenzaldehyde with</w:t></w:r>
</w:p>
<w:p>
<w:pPr><w:pStyle w:val="Normal"/></w:pPr>
<w:r><w:t xml:space="preserve">aniline, the resulting ortho-nitro-para-diamino-triphenylmethane</w:t></w:r>
</w:p>
<w:p>
<w:pPr><w:pStyle w:val="Normal"/></w:pPr>
<w:r><w:t xml:space="preserve">being reduced to the corresponding orthoamino compound, which</w:t></w:r>
</w:p>
<w:p>
<w:pPr><w:pStyle w:val="Normal"/></w:pPr>
<w:r><w:t xml:space="preserve">on oxidation yields chrysaniline.  Benzoflavin, an isomer of</w:t></w:r>
</w:p>
<w:p>
<w:pPr><w:pStyle w:val="Normal"/></w:pPr>
<w:r><w:t xml:space="preserve">chrysaniline, is also a dye-stuff, and has been prepared by</w:t></w:r>
</w:p>
<w:p>
<w:pPr><w:pStyle w:val="Normal"/></w:pPr>
<w:r><w:t xml:space="preserve">K. Oehler (English Patent9614) from meta-phenylenediamine</w:t></w:r>
</w:p>
<w:p>
<w:pPr><w:pStyle w:val="Normal"/></w:pPr>
<w:r><w:t xml:space="preserve">and benzaldehyde.  These substances condense to form</w:t></w:r>
</w:p>
<w:p>
<w:pPr><w:pStyle w:val="Normal"/></w:pPr>
<w:r><w:t xml:space="preserve">tetra-aminotriphenylmethane, which, on heating with acids, loses</w:t></w:r>
</w:p>
<w:p>
<w:pPr><w:pStyle w:val="Normal"/></w:pPr>
<w:r><w:t xml:space="preserve">ammonia and yields diaminodihydrophenylacridine, from which</w:t></w:r>
</w:p>
<w:p>
<w:pPr><w:pStyle w:val="Normal"/></w:pPr>
<w:r><w:t xml:space="preserve">benzoflavin is obtained by oxidation.  It is a yellow powder,</w:t></w:r>
</w:p>
<w:p>
<w:pPr><w:pStyle w:val="Normal"/></w:pPr>
<w:r><w:t xml:space="preserve">soluble in hot water.  The formulae of these substances are:--</w:t></w:r>
</w:p>
<w:p>
<w:pPr><w:pStyle w:val="Normal"/></w:pPr>
<w:r><w:t xml:space="preserve">FIG.</w:t></w:r>
</w:p>
<w:p>
<w:pPr><w:pStyle w:val="Normal"/></w:pPr>
<w:r><w:t xml:space="preserve">ACRO (or ACRON), HELENIUS, Roman grammarian and</w:t></w:r>
</w:p>
<w:p>
<w:pPr><w:pStyle w:val="Normal"/></w:pPr>
<w:r><w:t xml:space="preserve">commentator, probably flourished at the end of the 2nd century</w:t></w:r>
</w:p>
<w:p>
<w:pPr><w:pStyle w:val="Normal"/></w:pPr>
<w:r><w:t xml:space="preserve">A.D. He wrote commentaries on Terence and perhaps Persius.</w:t></w:r>
</w:p>
<w:p>
<w:pPr><w:pStyle w:val="Normal"/></w:pPr>
<w:r><w:t xml:space="preserve">A collection of scholia on Horace, originally anonymous in</w:t></w:r>
</w:p>
<w:p>
<w:pPr><w:pStyle w:val="Normal"/></w:pPr>
<w:r><w:t xml:space="preserve">the earlier MSS., and on the whole not of great value, was</w:t></w:r>
</w:p>
<w:p>
<w:pPr><w:pStyle w:val="Normal"/></w:pPr>
<w:r><w:t xml:space="preserve">wrongly attributed to him at a much later date, probably</w:t></w:r>
</w:p>
<w:p>
<w:pPr><w:pStyle w:val="Normal"/></w:pPr>
<w:r><w:t xml:space="preserve">during the 15th century.  It has been published by Pauly (1861)</w:t></w:r>
</w:p>
<w:p>
<w:pPr><w:pStyle w:val="Normal"/></w:pPr>
<w:r><w:t xml:space="preserve">and Hauthal (1866), together with the other Horace scholia.</w:t></w:r>
</w:p>
<w:p>
<w:pPr><w:pStyle w:val="Normal"/></w:pPr>
<w:r><w:t xml:space="preserve">See Pseudoacronis Scholia in Horatium</w:t></w:r>
</w:p>
<w:p>
<w:pPr><w:pStyle w:val="Normal"/></w:pPr>
<w:r><w:t xml:space="preserve">Vetustiora, ed.  O. Keller (1902-1904).</w:t></w:r>
</w:p>
<w:p>
<w:pPr><w:pStyle w:val="Normal"/></w:pPr>
<w:r><w:t xml:space="preserve">ACROBAT (Gr. akrobatein, to walk on tiptoe), originally a</w:t></w:r>
</w:p>
<w:p>
<w:pPr><w:pStyle w:val="Normal"/></w:pPr>
<w:r><w:t xml:space="preserve">rope-dancer; the word is now used generally to cover professional</w:t></w:r>
</w:p>
<w:p>
<w:pPr><w:pStyle w:val="Normal"/></w:pPr>
<w:r><w:t xml:space="preserve">performers on the trapeze, &amp;c., contortionists, balancers and</w:t></w:r>
</w:p>
<w:p>
<w:pPr><w:pStyle w:val="Normal"/></w:pPr>
<w:r><w:t xml:space="preserve">tumblers.  Evidence exists that there were very skilful</w:t></w:r>
</w:p>
<w:p>
<w:pPr><w:pStyle w:val="Normal"/></w:pPr>
<w:r><w:t xml:space="preserve">performers on the tight-rope (funambuli) among the ancient</w:t></w:r>
</w:p>
<w:p>
<w:pPr><w:pStyle w:val="Normal"/></w:pPr>
<w:r><w:t xml:space="preserve">Romans.  Modern rope-walkers (e.g. Blondin) or wire-dancers</w:t></w:r>
</w:p>
<w:p>
<w:pPr><w:pStyle w:val="Normal"/></w:pPr>
<w:r><w:t xml:space="preserve">generally use a pole, loaded at the ends, or some such</w:t></w:r>
</w:p>
<w:p>
<w:pPr><w:pStyle w:val="Normal"/></w:pPr>
<w:r><w:t xml:space="preserve">assistance in balancing, and by shifting this are enabled</w:t></w:r>
</w:p>
<w:p>
<w:pPr><w:pStyle w:val="Normal"/></w:pPr>
<w:r><w:t xml:space="preserve">to maintain, or readily to recover, their equilibrium.</w:t></w:r>
</w:p>
<w:p>
<w:pPr><w:pStyle w:val="Normal"/></w:pPr>
<w:r><w:t xml:space="preserve">ACROGENAE (``growing at the apex&apos;&apos;), an obsolete botanical</w:t></w:r>
</w:p>
<w:p>
<w:pPr><w:pStyle w:val="Normal"/></w:pPr>
<w:r><w:t xml:space="preserve">term, originally applied to the higher Cryptogams (mosses and</w:t></w:r>
</w:p>
<w:p>
<w:pPr><w:pStyle w:val="Normal"/></w:pPr>
<w:r><w:t xml:space="preserve">ferns), which were erroneously distinguished from the lower</w:t></w:r>
</w:p>
<w:p>
<w:pPr><w:pStyle w:val="Normal"/></w:pPr>
<w:r><w:t xml:space="preserve">(Algae and Fungi) by apical growth of the stem.  The lower</w:t></w:r>
</w:p>
<w:p>
<w:pPr><w:pStyle w:val="Normal"/></w:pPr>
<w:r><w:t xml:space="preserve">Cryptogams were contrasted as Amphigenae (``growing all</w:t></w:r>
</w:p>
<w:p>
<w:pPr><w:pStyle w:val="Normal"/></w:pPr>
<w:r><w:t xml:space="preserve">over&apos;&apos;), a misnomer, as apical growth is common among them.</w:t></w:r>
</w:p>
<w:p>
<w:pPr><w:pStyle w:val="Normal"/></w:pPr>
<w:r><w:t xml:space="preserve">ACROLITHS (Gr. akrolithoi, i.e. ending in stone), statues</w:t></w:r>
</w:p>
<w:p>
<w:pPr><w:pStyle w:val="Normal"/></w:pPr>
<w:r><w:t xml:space="preserve">of a transition period in the history of plastic art, in which</w:t></w:r>
</w:p>
<w:p>
<w:pPr><w:pStyle w:val="Normal"/></w:pPr>
<w:r><w:t xml:space="preserve">the trunk of the figure was of wood, and the head, hands and</w:t></w:r>
</w:p>
<w:p>
<w:pPr><w:pStyle w:val="Normal"/></w:pPr>
<w:r><w:t xml:space="preserve">feet of marble.  The wood was concealed either by gilding</w:t></w:r>
</w:p>
<w:p>
<w:pPr><w:pStyle w:val="Normal"/></w:pPr>
<w:r><w:t xml:space="preserve">or, more commonly, by drapery, and the marble parts alone were</w:t></w:r>
</w:p>
<w:p>
<w:pPr><w:pStyle w:val="Normal"/></w:pPr>
<w:r><w:t xml:space="preserve">exposed.  Acroliths are frequently mentioned by Pausanias, the</w:t></w:r>
</w:p>
<w:p>
<w:pPr><w:pStyle w:val="Normal"/></w:pPr>
<w:r><w:t xml:space="preserve">best known specimen being the Athene Areia of the Plataeans.</w:t></w:r>
</w:p>
<w:p>
<w:pPr><w:pStyle w:val="Normal"/></w:pPr>
<w:r><w:t xml:space="preserve">ACROMEGALY, the name given to a disease characterized by</w:t></w:r>
</w:p>
<w:p>
<w:pPr><w:pStyle w:val="Normal"/></w:pPr>
<w:r><w:t xml:space="preserve">a true hypertrophy (an overgrowth involving both bony and</w:t></w:r>
</w:p>
<w:p>
<w:pPr><w:pStyle w:val="Normal"/></w:pPr>
<w:r><w:t xml:space="preserve">soft parts) of the terminal parts of the body, especially of</w:t></w:r>
</w:p>
<w:p>
<w:pPr><w:pStyle w:val="Normal"/></w:pPr>
<w:r><w:t xml:space="preserve">the face and extremities (Gr. akron, point, and megas,</w:t></w:r>
</w:p>
<w:p>
<w:pPr><w:pStyle w:val="Normal"/></w:pPr>
<w:r><w:t xml:space="preserve">large).  It is more frequent in the female sex, between the</w:t></w:r>
</w:p>
<w:p>
<w:pPr><w:pStyle w:val="Normal"/></w:pPr>
<w:r><w:t xml:space="preserve">ages of 25 and 40. Its causation is generally associated</w:t></w:r>
</w:p>
<w:p>
<w:pPr><w:pStyle w:val="Normal"/></w:pPr>
<w:r><w:t xml:space="preserve">with disturbances in the pituitary gland, and an extract</w:t></w:r>
</w:p>
<w:p>
<w:pPr><w:pStyle w:val="Normal"/></w:pPr>
<w:r><w:t xml:space="preserve">of this body has been tried in the treatment, as one of</w:t></w:r>
</w:p>
<w:p>
<w:pPr><w:pStyle w:val="Normal"/></w:pPr>
<w:r><w:t xml:space="preserve">the recent developments in organotherapeutics; thyroid</w:t></w:r>
</w:p>
<w:p>
<w:pPr><w:pStyle w:val="Normal"/></w:pPr>
<w:r><w:t xml:space="preserve">extract has also been used, but without marked success,</w:t></w:r>
</w:p>
<w:p>
<w:pPr><w:pStyle w:val="Normal"/></w:pPr>
<w:r><w:t xml:space="preserve">On the apparent analogy of acromegaly with myxoedema.</w:t></w:r>
</w:p>
<w:p>
<w:pPr><w:pStyle w:val="Normal"/></w:pPr>
<w:r><w:t xml:space="preserve">ACRON, a Greek physician, born at Agrigentum in Sicily, was</w:t></w:r>
</w:p>
<w:p>
<w:pPr><w:pStyle w:val="Normal"/></w:pPr>
<w:r><w:t xml:space="preserve">contemporary with Empedocles, and must therefore have lived</w:t></w:r>
</w:p>
<w:p>
<w:pPr><w:pStyle w:val="Normal"/></w:pPr>
<w:r><w:t xml:space="preserve">in the 5th century before Christ.  The successful measure of</w:t></w:r>
</w:p>
<w:p>
<w:pPr><w:pStyle w:val="Normal"/></w:pPr>
<w:r><w:t xml:space="preserve">lighting large fires, and purifying the air with perfumes,</w:t></w:r>
</w:p>
<w:p>
<w:pPr><w:pStyle w:val="Normal"/></w:pPr>
<w:r><w:t xml:space="preserve">to put a stop to the plague in Athens (430 B.C.), is said</w:t></w:r>
</w:p>
<w:p>
<w:pPr><w:pStyle w:val="Normal"/></w:pPr>
<w:r><w:t xml:space="preserve">to have originated with him; but this has been questioned</w:t></w:r>
</w:p>
<w:p>
<w:pPr><w:pStyle w:val="Normal"/></w:pPr>
<w:r><w:t xml:space="preserve">on chronological grounds.  Suidas gives the titles of</w:t></w:r>
</w:p>
<w:p>
<w:pPr><w:pStyle w:val="Normal"/></w:pPr>
<w:r><w:t xml:space="preserve">several medical works written by him in the Doric dialect.</w:t></w:r>
</w:p>
<w:p>
<w:pPr><w:pStyle w:val="Normal"/></w:pPr>
<w:r><w:t xml:space="preserve">ACROPOLIS (Gr. akros, top, polis, city), literally</w:t></w:r>
</w:p>
<w:p>
<w:pPr><w:pStyle w:val="Normal"/></w:pPr>
<w:r><w:t xml:space="preserve">the upper part of a town.  For purposes of defence early</w:t></w:r>
</w:p>
<w:p>
<w:pPr><w:pStyle w:val="Normal"/></w:pPr>
<w:r><w:t xml:space="preserve">settlers naturally chose elevated ground, frequently a hill</w:t></w:r>
</w:p>
<w:p>
<w:pPr><w:pStyle w:val="Normal"/></w:pPr>
<w:r><w:t xml:space="preserve">with precipitous sides, and these early citadels became in many</w:t></w:r>
</w:p>
<w:p>
<w:pPr><w:pStyle w:val="Normal"/></w:pPr>
<w:r><w:t xml:space="preserve">parts of the world the nuclei of large cities which grew up</w:t></w:r>
</w:p>
<w:p>
<w:pPr><w:pStyle w:val="Normal"/></w:pPr>
<w:r><w:t xml:space="preserve">on the surrounding lower ground.  The word Acropolis, though</w:t></w:r>
</w:p>
<w:p>
<w:pPr><w:pStyle w:val="Normal"/></w:pPr>
<w:r><w:t xml:space="preserve">Greek in origin and associated primarily with Greek towns</w:t></w:r>
</w:p>
<w:p>
<w:pPr><w:pStyle w:val="Normal"/></w:pPr>
<w:r><w:t xml:space="preserve">(Athens, Argos, Thebes, Corinth), may be applied generically</w:t></w:r>
</w:p>
<w:p>
<w:pPr><w:pStyle w:val="Normal"/></w:pPr>
<w:r><w:t xml:space="preserve">to all such citadels (Rome, Jerusalem, many in Asia Minor,</w:t></w:r>
</w:p>
<w:p>
<w:pPr><w:pStyle w:val="Normal"/></w:pPr>
<w:r><w:t xml:space="preserve">or even Castle Hill at Edinburgh).  The most famous is that</w:t></w:r>
</w:p>
<w:p>
<w:pPr><w:pStyle w:val="Normal"/></w:pPr>
<w:r><w:t xml:space="preserve">of Athens, which, by reason of its historical associations</w:t></w:r>
</w:p>
<w:p>
<w:pPr><w:pStyle w:val="Normal"/></w:pPr>
<w:r><w:t xml:space="preserve">and the famous buildings erected upon it, is generally known</w:t></w:r>
</w:p>
<w:p>
<w:pPr><w:pStyle w:val="Normal"/></w:pPr>
<w:r><w:t xml:space="preserve">without qualification as the Acropolis (see ATHENS).</w:t></w:r>
</w:p>
<w:p>
<w:pPr><w:pStyle w:val="Normal"/></w:pPr>
<w:r><w:t xml:space="preserve">ACROPOLITA (AKROPOLITES), GEORGE (1217-1282),</w:t></w:r>
</w:p>
<w:p>
<w:pPr><w:pStyle w:val="Normal"/></w:pPr>
<w:r><w:t xml:space="preserve">Byzantine historian and statesman, was born at Constantinople.</w:t></w:r>
</w:p>
<w:p>
<w:pPr><w:pStyle w:val="Normal"/></w:pPr>
<w:r><w:t xml:space="preserve">At an early age he was sent by his father to the court of</w:t></w:r>
</w:p>
<w:p>
<w:pPr><w:pStyle w:val="Normal"/></w:pPr>
<w:r><w:t xml:space="preserve">John Ducas Batatzes (Vatatzes), emperor of Nicaea, by whom</w:t></w:r>
</w:p>
<w:p>
<w:pPr><w:pStyle w:val="Normal"/></w:pPr>
<w:r><w:t xml:space="preserve">and by his successors (Theodorus II. Lascaris and Michael</w:t></w:r>
</w:p>
<w:p>
<w:pPr><w:pStyle w:val="Heading1"/></w:pPr>
<w:r><w:t>VIII.  Palaeologus) he was entrusted with important state</w:t></w:r>
</w:p>
<w:p>
<w:pPr><w:pStyle w:val="Normal"/></w:pPr>
<w:r><w:t xml:space="preserve">missions.  The office of ``great logothete&apos;&apos; or chancellor</w:t></w:r>
</w:p>
<w:p>
<w:pPr><w:pStyle w:val="Normal"/></w:pPr>
<w:r><w:t xml:space="preserve">was bestowed upon him in 1244.  As commander in the field</w:t></w:r>
</w:p>
<w:p>
<w:pPr><w:pStyle w:val="Normal"/></w:pPr>
<w:r><w:t xml:space="preserve">in 1257 against Michael Angelus, despot of Epirus, he showed</w:t></w:r>
</w:p>
<w:p>
<w:pPr><w:pStyle w:val="Normal"/></w:pPr>
<w:r><w:t xml:space="preserve">little military capacity.  He was captured and kept for</w:t></w:r>
</w:p>
<w:p>
<w:pPr><w:pStyle w:val="Normal"/></w:pPr>
<w:r><w:t xml:space="preserve">two years in prison, from which he was released by Michael</w:t></w:r>
</w:p>
<w:p>
<w:pPr><w:pStyle w:val="Normal"/></w:pPr>
<w:r><w:t xml:space="preserve">Palaeologus.  Acropolita&apos;s most important political task</w:t></w:r>
</w:p>
<w:p>
<w:pPr><w:pStyle w:val="Normal"/></w:pPr>
<w:r><w:t xml:space="preserve">was that of effecting a reconciliation between the Greek and</w:t></w:r>
</w:p>
<w:p>
<w:pPr><w:pStyle w:val="Normal"/></w:pPr>
<w:r><w:t xml:space="preserve">Latin Churches, to which he had been formerly opposed.  In</w:t></w:r>
</w:p>
<w:p>
<w:pPr><w:pStyle w:val="Normal"/></w:pPr>
<w:r><w:t xml:space="preserve">1273 he was sent to Pope Gregory X., and in the following</w:t></w:r>
</w:p>
<w:p>
<w:pPr><w:pStyle w:val="Normal"/></w:pPr>
<w:r><w:t xml:space="preserve">year, at the council of Lyons, in the emperor&apos;s name he</w:t></w:r>
</w:p>
<w:p>
<w:pPr><w:pStyle w:val="Normal"/></w:pPr>
<w:r><w:t xml:space="preserve">recognized the spiritual supremacy of Rome.  In 1282 he was</w:t></w:r>
</w:p>
<w:p>
<w:pPr><w:pStyle w:val="Normal"/></w:pPr>
<w:r><w:t xml:space="preserve">sent on an embassy to John II, emperor of Trebizond, and</w:t></w:r>
</w:p>
<w:p>
<w:pPr><w:pStyle w:val="Normal"/></w:pPr>
<w:r><w:t xml:space="preserve">died in the same year soon after his return.  His historical</w:t></w:r>
</w:p>
<w:p>
<w:pPr><w:pStyle w:val="Normal"/></w:pPr>
<w:r><w:t xml:space="preserve">work (Xronike Supsgrafe, Annales) embraces the period</w:t></w:r>
</w:p>
<w:p>
<w:pPr><w:pStyle w:val="Normal"/></w:pPr>
<w:r><w:t xml:space="preserve">from the capture of Constantinople by the Latins (1204) to</w:t></w:r>
</w:p>
<w:p>
<w:pPr><w:pStyle w:val="Normal"/></w:pPr>
<w:r><w:t xml:space="preserve">its recovery by Michael Palaeologus (1261), thus forming a</w:t></w:r>
</w:p>
<w:p>
<w:pPr><w:pStyle w:val="Normal"/></w:pPr>
<w:r><w:t xml:space="preserve">continuation of the work of Nicetas Acominatus.  It is valuable</w:t></w:r>
</w:p>
<w:p>
<w:pPr><w:pStyle w:val="Normal"/></w:pPr>
<w:r><w:t xml:space="preserve">as written by a contemporary, whose official position as great</w:t></w:r>
</w:p>
<w:p>
<w:pPr><w:pStyle w:val="Normal"/></w:pPr>
<w:r><w:t xml:space="preserve">logothete, military commander and confidential ambassador</w:t></w:r>
</w:p>
<w:p>
<w:pPr><w:pStyle w:val="Normal"/></w:pPr>
<w:r><w:t xml:space="preserve">afforded him frequent opportunities of observing the course of</w:t></w:r>
</w:p>
<w:p>
<w:pPr><w:pStyle w:val="Normal"/></w:pPr>
<w:r><w:t xml:space="preserve">events.  Acropolita is considered a trustworthy authority as</w:t></w:r>
</w:p>
<w:p>
<w:pPr><w:pStyle w:val="Normal"/></w:pPr>
<w:r><w:t xml:space="preserve">far as the statement of facts is concerned, and he is easy to</w:t></w:r>
</w:p>
<w:p>
<w:pPr><w:pStyle w:val="Normal"/></w:pPr>
<w:r><w:t xml:space="preserve">understand, although he exhibits special carelessness in the</w:t></w:r>
</w:p>
<w:p>
<w:pPr><w:pStyle w:val="Normal"/></w:pPr>
<w:r><w:t xml:space="preserve">construction of his sentences.  He was also the author of</w:t></w:r>
</w:p>
<w:p>
<w:pPr><w:pStyle w:val="Normal"/></w:pPr>
<w:r><w:t xml:space="preserve">several shorter works, amongst them being a funeral oration on</w:t></w:r>
</w:p>
<w:p>
<w:pPr><w:pStyle w:val="Normal"/></w:pPr>
<w:r><w:t xml:space="preserve">John Batatzes, an epitaph on his wife Eirene and a panegyric</w:t></w:r>
</w:p>
<w:p>
<w:pPr><w:pStyle w:val="Normal"/></w:pPr>
<w:r><w:t xml:space="preserve">of Theodorus II. Lascaris of Nicaea.  While a prisoner</w:t></w:r>
</w:p>
<w:p>
<w:pPr><w:pStyle w:val="Normal"/></w:pPr>
<w:r><w:t xml:space="preserve">at Epirus he wrote two treatises on the procession of the</w:t></w:r>
</w:p>
<w:p>
<w:pPr><w:pStyle w:val="Normal"/></w:pPr>
<w:r><w:t xml:space="preserve">Holy Ghost (&apos;Ekporeusis, Processio Spiritus Sancti).</w:t></w:r>
</w:p>
<w:p>
<w:pPr><w:pStyle w:val="Normal"/></w:pPr>
<w:r><w:t xml:space="preserve">Editio princeps by Leo Allatius (1651), with the editor&apos;s</w:t></w:r>
</w:p>
<w:p>
<w:pPr><w:pStyle w:val="Normal"/></w:pPr>
<w:r><w:t xml:space="preserve">famous teatise De Georgiis eorumque Scriptis; editions in</w:t></w:r>
</w:p>
<w:p>
<w:pPr><w:pStyle w:val="Normal"/></w:pPr>
<w:r><w:t xml:space="preserve">the Bonn Corpus Scriptoruin Hist.  Byz., by I. Bekker</w:t></w:r>
</w:p>
<w:p>
<w:pPr><w:pStyle w:val="Normal"/></w:pPr>
<w:r><w:t xml:space="preserve">(1836), and Migne, Patrologia Graeca, cxl.; in the</w:t></w:r>
</w:p>
<w:p>
<w:pPr><w:pStyle w:val="Normal"/></w:pPr>
<w:r><w:t xml:space="preserve">Teubner series by A. Heisenberg (1903), the second volume of</w:t></w:r>
</w:p>
<w:p>
<w:pPr><w:pStyle w:val="Normal"/></w:pPr>
<w:r><w:t xml:space="preserve">which contains a full life, with bibliography; see also C.</w:t></w:r>
</w:p>
<w:p>
<w:pPr><w:pStyle w:val="Normal"/></w:pPr>
<w:r><w:t xml:space="preserve">Krumbacher, Geschichte der byzantinischen Litteratur (1897).</w:t></w:r>
</w:p>
<w:p>
<w:pPr><w:pStyle w:val="Normal"/></w:pPr>
<w:r><w:t xml:space="preserve">ACROSTIC (Gr. akros, at the end, and stichos, line</w:t></w:r>
</w:p>
<w:p>
<w:pPr><w:pStyle w:val="Normal"/></w:pPr>
<w:r><w:t xml:space="preserve">or verse), a short verse composition, so constructed that</w:t></w:r>
</w:p>
<w:p>
<w:pPr><w:pStyle w:val="Normal"/></w:pPr>
<w:r><w:t xml:space="preserve">the initial letters of the lines, taken consecutively, form</w:t></w:r>
</w:p>
<w:p>
<w:pPr><w:pStyle w:val="Normal"/></w:pPr>
<w:r><w:t xml:space="preserve">words.  The fancy for writing acrostics is of great antiquity,</w:t></w:r>
</w:p>
<w:p>
<w:pPr><w:pStyle w:val="Normal"/></w:pPr>
<w:r><w:t xml:space="preserve">having been common among the Greeks of the Alexandrine</w:t></w:r>
</w:p>
<w:p>
<w:pPr><w:pStyle w:val="Normal"/></w:pPr>
<w:r><w:t xml:space="preserve">period, as well as with the Latin writers since Ennius and</w:t></w:r>
</w:p>
<w:p>
<w:pPr><w:pStyle w:val="Normal"/></w:pPr>
<w:r><w:t xml:space="preserve">Plautus, many of the arguments of whose plays were written</w:t></w:r>
</w:p>
<w:p>
<w:pPr><w:pStyle w:val="Normal"/></w:pPr>
<w:r><w:t xml:space="preserve">with acrostics on their respective titles.  One of the most</w:t></w:r>
</w:p>
<w:p>
<w:pPr><w:pStyle w:val="Normal"/></w:pPr>
<w:r><w:t xml:space="preserve">remarkable acrostics was contained in the verses cited by</w:t></w:r>
</w:p>
<w:p>
<w:pPr><w:pStyle w:val="Normal"/></w:pPr>
<w:r><w:t xml:space="preserve">Lactantius and Eusebius in the 4th century, and attributed to</w:t></w:r>
</w:p>
<w:p>
<w:pPr><w:pStyle w:val="Normal"/></w:pPr>
<w:r><w:t xml:space="preserve">the Erythraean sibyl, the initial letters of which form the</w:t></w:r>
</w:p>
<w:p>
<w:pPr><w:pStyle w:val="Normal"/></w:pPr>
<w:r><w:t xml:space="preserve">words &apos;Insous Arist.os Theou uios sozer: ``Jesus Christ,</w:t></w:r>
</w:p>
<w:p>
<w:pPr><w:pStyle w:val="Normal"/></w:pPr>
<w:r><w:t xml:space="preserve">the Son of God, the Saviour.&apos;&apos; The initials of the shorter</w:t></w:r>
</w:p>
<w:p>
<w:pPr><w:pStyle w:val="Normal"/></w:pPr>
<w:r><w:t xml:space="preserve">form of this again make up the word ichthbs (fish), to which</w:t></w:r>
</w:p>
<w:p>
<w:pPr><w:pStyle w:val="Normal"/></w:pPr>
<w:r><w:t xml:space="preserve">a mystical meaning has been attached (Augustine, De Civitale</w:t></w:r>
</w:p>
<w:p>
<w:pPr><w:pStyle w:val="Normal"/></w:pPr>
<w:r><w:t xml:space="preserve">Dei, 18, 23), thus constituting another kind of acrostic.</w:t></w:r>
</w:p>
<w:p>
<w:pPr><w:pStyle w:val="Normal"/></w:pPr>
<w:r><w:t xml:space="preserve">The monks of the middle ages, who wrote in Latin, were fond</w:t></w:r>
</w:p>
<w:p>
<w:pPr><w:pStyle w:val="Normal"/></w:pPr>
<w:r><w:t xml:space="preserve">of acrostics, as well as the poets of the Middle High German</w:t></w:r>
</w:p>
<w:p>
<w:pPr><w:pStyle w:val="Normal"/></w:pPr>
<w:r><w:t xml:space="preserve">period, notably Gottfried of Strassburg and Rudolph of</w:t></w:r>
</w:p>
<w:p>
<w:pPr><w:pStyle w:val="Normal"/></w:pPr>
<w:r><w:t xml:space="preserve">Ems. The great poets of the Italian renaissance, among them</w:t></w:r>
</w:p>
<w:p>
<w:pPr><w:pStyle w:val="Normal"/></w:pPr>
<w:r><w:t xml:space="preserve">Boccaccio, indulged in them, as did also the early Slavic</w:t></w:r>
</w:p>
<w:p>
<w:pPr><w:pStyle w:val="Normal"/></w:pPr>
<w:r><w:t xml:space="preserve">writers.  Sir John Davies (1569-1626) wrote twenty-six</w:t></w:r>
</w:p>
<w:p>
<w:pPr><w:pStyle w:val="Normal"/></w:pPr>
<w:r><w:t xml:space="preserve">elegant Hymns to Astraea, each an acrostic on ``Elisabetha</w:t></w:r>
</w:p>
<w:p>
<w:pPr><w:pStyle w:val="Normal"/></w:pPr>
<w:r><w:t xml:space="preserve">Regina&apos;&apos;; and Mistress Mary Fage, in Fame&apos;s Roule,</w:t></w:r>
</w:p>
<w:p>
<w:pPr><w:pStyle w:val="Normal"/></w:pPr>
<w:r><w:t xml:space="preserve">1637, commemorated 420 celebrities of her time in acrostic</w:t></w:r>
</w:p>
<w:p>
<w:pPr><w:pStyle w:val="Normal"/></w:pPr>
<w:r><w:t xml:space="preserve">verses.  The same trick of composition is often to be met</w:t></w:r>
</w:p>
<w:p>
<w:pPr><w:pStyle w:val="Normal"/></w:pPr>
<w:r><w:t xml:space="preserve">with in the writings of more recent versifiers.  Sometimes</w:t></w:r>
</w:p>
<w:p>
<w:pPr><w:pStyle w:val="Normal"/></w:pPr>
<w:r><w:t xml:space="preserve">the lines are so combined that the final letters as well as</w:t></w:r>
</w:p>
<w:p>
<w:pPr><w:pStyle w:val="Normal"/></w:pPr>
<w:r><w:t xml:space="preserve">the initials are significant.  Edgar Allan Poe worked two</w:t></w:r>
</w:p>
<w:p>
<w:pPr><w:pStyle w:val="Normal"/></w:pPr>
<w:r><w:t xml:space="preserve">names---one of them that of Frances Sargent Osgood--into</w:t></w:r>
</w:p>
<w:p>
<w:pPr><w:pStyle w:val="Normal"/></w:pPr>
<w:r><w:t xml:space="preserve">verses in such a way that the letters of the names corresponded</w:t></w:r>
</w:p>
<w:p>
<w:pPr><w:pStyle w:val="Normal"/></w:pPr>
<w:r><w:t xml:space="preserve">to the first letter of the first line, the second letter</w:t></w:r>
</w:p>
<w:p>
<w:pPr><w:pStyle w:val="Normal"/></w:pPr>
<w:r><w:t xml:space="preserve">of the second, the third letter of the third, and so on.</w:t></w:r>
</w:p>
<w:p>
<w:pPr><w:pStyle w:val="Normal"/></w:pPr>
<w:r><w:t xml:space="preserve">Acrostic verse has always been held in slight estimation</w:t></w:r>
</w:p>
<w:p>
<w:pPr><w:pStyle w:val="Normal"/></w:pPr>
<w:r><w:t xml:space="preserve">from a literary standpoint.  Dr Samuel Butler says, in his</w:t></w:r>
</w:p>
<w:p>
<w:pPr><w:pStyle w:val="Normal"/></w:pPr>
<w:r><w:t xml:space="preserve">``Character of a Small Poet,&apos;&apos; ``He uses to lay the outsides</w:t></w:r>
</w:p>
<w:p>
<w:pPr><w:pStyle w:val="Normal"/></w:pPr>
<w:r><w:t xml:space="preserve">of his verses even, like a bricklayer, by a line of rhyme</w:t></w:r>
</w:p>
<w:p>
<w:pPr><w:pStyle w:val="Normal"/></w:pPr>
<w:r><w:t xml:space="preserve">and acrostic, and fill the middle with rubbish.&apos;&apos; Addison</w:t></w:r>
</w:p>
<w:p>
<w:pPr><w:pStyle w:val="Normal"/></w:pPr>
<w:r><w:t xml:space="preserve">(Spectator, No. 60) found it impossible to decide whether</w:t></w:r>
</w:p>
<w:p>
<w:pPr><w:pStyle w:val="Normal"/></w:pPr>
<w:r><w:t xml:space="preserve">the inventor of the anagram or the acrostic were the greater</w:t></w:r>
</w:p>
<w:p>
<w:pPr><w:pStyle w:val="Normal"/></w:pPr>
<w:r><w:t xml:space="preserve">blockhead; and, in describing the latter, says, ``I have seen</w:t></w:r>
</w:p>
<w:p>
<w:pPr><w:pStyle w:val="Normal"/></w:pPr>
<w:r><w:t xml:space="preserve">some of them where the verses have not only been edged by a</w:t></w:r>
</w:p>
<w:p>
<w:pPr><w:pStyle w:val="Normal"/></w:pPr>
<w:r><w:t xml:space="preserve">name at each extremity, but have had the same name running</w:t></w:r>
</w:p>
<w:p>
<w:pPr><w:pStyle w:val="Normal"/></w:pPr>
<w:r><w:t xml:space="preserve">down like a seam through the middle of the poem.&apos;&apos; And Dryden,</w:t></w:r>
</w:p>
<w:p>
<w:pPr><w:pStyle w:val="Normal"/></w:pPr>
<w:r><w:t xml:space="preserve">in Mac Flecknoe, scornfully assigned Shadwell the rule</w:t></w:r>
</w:p>
<w:p>
<w:pPr><w:pStyle w:val="Normal"/></w:pPr>
<w:r><w:t xml:space="preserve">Some peaceful province in acrostic land.</w:t></w:r>
</w:p>
<w:p>
<w:pPr><w:pStyle w:val="Normal"/></w:pPr>
<w:r><w:t xml:space="preserve">The name acrostic is also applied to alphabetical or ``abecedarian&apos;&apos;</w:t></w:r>
</w:p>
<w:p>
<w:pPr><w:pStyle w:val="Normal"/></w:pPr>
<w:r><w:t xml:space="preserve">verses.  Of these we have instances in the Hebrew psalms</w:t></w:r>
</w:p>
<w:p>
<w:pPr><w:pStyle w:val="Normal"/></w:pPr>
<w:r><w:t xml:space="preserve">(e.g. Ps. xxv. and xxxiv.), where successive verses begin</w:t></w:r>
</w:p>
<w:p>
<w:pPr><w:pStyle w:val="Normal"/></w:pPr>
<w:r><w:t xml:space="preserve">with the letters of the alphabet in their order.  The structure</w:t></w:r>
</w:p>
<w:p>
<w:pPr><w:pStyle w:val="Normal"/></w:pPr>
<w:r><w:t xml:space="preserve">of Ps. cxix. is still more elaborate, each of the verses of</w:t></w:r>
</w:p>
<w:p>
<w:pPr><w:pStyle w:val="Normal"/></w:pPr>
<w:r><w:t xml:space="preserve">each of the twenty-two parts commencing with the letter which</w:t></w:r>
</w:p>
<w:p>
<w:pPr><w:pStyle w:val="Normal"/></w:pPr>
<w:r><w:t xml:space="preserve">stands at the head of the part in our English translation.</w:t></w:r>
</w:p>
<w:p>
<w:pPr><w:pStyle w:val="Normal"/></w:pPr>
<w:r><w:t xml:space="preserve">At one period much religious verse was written in a form</w:t></w:r>
</w:p>
<w:p>
<w:pPr><w:pStyle w:val="Normal"/></w:pPr>
<w:r><w:t xml:space="preserve">imitative of this alphabetical method, possibly as an aid to the</w:t></w:r>
</w:p>
<w:p>
<w:pPr><w:pStyle w:val="Normal"/></w:pPr>
<w:r><w:t xml:space="preserve">memory.  The term acrostic is also applied to the formation</w:t></w:r>
</w:p>
<w:p>
<w:pPr><w:pStyle w:val="Normal"/></w:pPr>
<w:r><w:t xml:space="preserve">of words from the initial letters of other words. &apos;Ichthbs,</w:t></w:r>
</w:p>
<w:p>
<w:pPr><w:pStyle w:val="Normal"/></w:pPr>
<w:r><w:t xml:space="preserve">referred to above, is an illustration of this.  So also is</w:t></w:r>
</w:p>
<w:p>
<w:pPr><w:pStyle w:val="Normal"/></w:pPr>
<w:r><w:t xml:space="preserve">the word ``Cabal,&apos;&apos; which, though it was in use before, with</w:t></w:r>
</w:p>
<w:p>
<w:pPr><w:pStyle w:val="Normal"/></w:pPr>
<w:r><w:t xml:space="preserve">a similar meaning, has, from the time of Charles II., been</w:t></w:r>
</w:p>
<w:p>
<w:pPr><w:pStyle w:val="Normal"/></w:pPr>
<w:r><w:t xml:space="preserve">associated with a particular ministry, from the accident of its</w:t></w:r>
</w:p>
<w:p>
<w:pPr><w:pStyle w:val="Normal"/></w:pPr>
<w:r><w:t xml:space="preserve">being composed of Clifford, Ashley, Buckingham, Arlington and</w:t></w:r>
</w:p>
<w:p>
<w:pPr><w:pStyle w:val="Normal"/></w:pPr>
<w:r><w:t xml:space="preserve">Lauderdale.  Akin to this are the names by which the Jews</w:t></w:r>
</w:p>
<w:p>
<w:pPr><w:pStyle w:val="Normal"/></w:pPr>
<w:r><w:t xml:space="preserve">designated their Rabbis; thus Rabbi Moses ben Maimon (better</w:t></w:r>
</w:p>
<w:p>
<w:pPr><w:pStyle w:val="Normal"/></w:pPr>
<w:r><w:t xml:space="preserve">known as Maimonides) was styled ``Rambam,&apos;&apos; from the initials</w:t></w:r>
</w:p>
<w:p>
<w:pPr><w:pStyle w:val="Normal"/></w:pPr>
<w:r><w:t xml:space="preserve">R.M.B.M.; Rabbi David Kimchi (R.D.K.), ``Radak,&apos;&apos; &amp;c.</w:t></w:r>
</w:p>
<w:p>
<w:pPr><w:pStyle w:val="Normal"/></w:pPr>
<w:r><w:t xml:space="preserve">Double acrostics are such as are so constructed, that not</w:t></w:r>
</w:p>
<w:p>
<w:pPr><w:pStyle w:val="Normal"/></w:pPr>
<w:r><w:t xml:space="preserve">only initial letters of the lines, but also the middle or last</w:t></w:r>
</w:p>
<w:p>
<w:pPr><w:pStyle w:val="Normal"/></w:pPr>
<w:r><w:t xml:space="preserve">letters, form words.  For example:---1.  By Apollo was my</w:t></w:r>
</w:p>
<w:p>
<w:pPr><w:pStyle w:val="Normal"/></w:pPr>
<w:r><w:t xml:space="preserve">first made. 2. A shoemaker&apos;s tool. 3. An Italian patriot. 4. A</w:t></w:r>
</w:p>
<w:p>
<w:pPr><w:pStyle w:val="Normal"/></w:pPr>
<w:r><w:t xml:space="preserve">tropical fruit.  The initials and finals, read downwards, give</w:t></w:r>
</w:p>
<w:p>
<w:pPr><w:pStyle w:val="Normal"/></w:pPr>
<w:r><w:t xml:space="preserve">the name of a writer and his nom de plume. Answer: Lamb,</w:t></w:r>
</w:p>
<w:p>
<w:pPr><w:pStyle w:val="Normal"/></w:pPr>
<w:r><w:t xml:space="preserve">1. L   yr  E</w:t></w:r>
</w:p>
<w:p>
<w:pPr><w:pStyle w:val="Normal"/></w:pPr>
<w:r><w:t xml:space="preserve">2. A   w   L</w:t></w:r>
</w:p>
<w:p>
<w:pPr><w:pStyle w:val="Normal"/></w:pPr>
<w:r><w:t xml:space="preserve">3. M azzin I</w:t></w:r>
</w:p>
<w:p>
<w:pPr><w:pStyle w:val="Normal"/></w:pPr>
<w:r><w:t xml:space="preserve">4. B anan  A</w:t></w:r>
</w:p>
<w:p>
<w:pPr><w:pStyle w:val="Normal"/></w:pPr>
<w:r><w:t xml:space="preserve">ACROTERIUM (Gr. akroterion the summit or vertex), in</w:t></w:r>
</w:p>
<w:p>
<w:pPr><w:pStyle w:val="Normal"/></w:pPr>
<w:r><w:t xml:space="preserve">architecture, a statue or ornament of any kind placed on</w:t></w:r>
</w:p>
<w:p>
<w:pPr><w:pStyle w:val="Normal"/></w:pPr>
<w:r><w:t xml:space="preserve">the apex of a pediment.  The term is often restricted to the</w:t></w:r>
</w:p>
<w:p>
<w:pPr><w:pStyle w:val="Normal"/></w:pPr>
<w:r><w:t xml:space="preserve">plinth, which forms the podium merely for the acroterium.</w:t></w:r>
</w:p>
<w:p>
<w:pPr><w:pStyle w:val="Normal"/></w:pPr>
<w:r><w:t xml:space="preserve">ACT (Lat. actus, actum), something done, primarily a voluntary</w:t></w:r>
</w:p>
<w:p>
<w:pPr><w:pStyle w:val="Normal"/></w:pPr>
<w:r><w:t xml:space="preserve">deed or performance, though any accomplished fact is often</w:t></w:r>
</w:p>
<w:p>
<w:pPr><w:pStyle w:val="Normal"/></w:pPr>
<w:r><w:t xml:space="preserve">included.  The signification of the word varies according to</w:t></w:r>
</w:p>
<w:p>
<w:pPr><w:pStyle w:val="Normal"/></w:pPr>
<w:r><w:t xml:space="preserve">the sense in which it is employed.  It is often synonymous with</w:t></w:r>
</w:p>
<w:p>
<w:pPr><w:pStyle w:val="Normal"/></w:pPr>
<w:r><w:t xml:space="preserve">``statute&apos;&apos; (see ACT OF PARLIAMENT). It may also refer to the</w:t></w:r>
</w:p>
<w:p>
<w:pPr><w:pStyle w:val="Normal"/></w:pPr>
<w:r><w:t xml:space="preserve">result of the vote or deliberation of any legislature, the decision</w:t></w:r>
</w:p>
<w:p>
<w:pPr><w:pStyle w:val="Normal"/></w:pPr>
<w:r><w:t xml:space="preserve">of a court of justice or magistrate, in which sense records,</w:t></w:r>
</w:p>
<w:p>
<w:pPr><w:pStyle w:val="Normal"/></w:pPr>
<w:r><w:t xml:space="preserve">decrees, sentences, reports, certificates, &amp;c., are called acts.</w:t></w:r>
</w:p>
<w:p>
<w:pPr><w:pStyle w:val="Normal"/></w:pPr>
<w:r><w:t xml:space="preserve">In law it means any instrument in writing, for declaring or</w:t></w:r>
</w:p>
<w:p>
<w:pPr><w:pStyle w:val="Normal"/></w:pPr>
<w:r><w:t xml:space="preserve">justifying the truth of a bargain or transaction, as: ``I</w:t></w:r>
</w:p>
<w:p>
<w:pPr><w:pStyle w:val="Normal"/></w:pPr>
<w:r><w:t xml:space="preserve">deliver this as my act and deed.&apos;&apos; The origin of the legal use</w:t></w:r>
</w:p>
<w:p>
<w:pPr><w:pStyle w:val="Normal"/></w:pPr>
<w:r><w:t xml:space="preserve">of the word ``act&apos;&apos; is in the acta of the Roman magistrates</w:t></w:r>
</w:p>
<w:p>
<w:pPr><w:pStyle w:val="Normal"/></w:pPr>
<w:r><w:t xml:space="preserve">or people, of their courts of law, or of the senate, meaning</w:t></w:r>
</w:p>
<w:p>
<w:pPr><w:pStyle w:val="Normal"/></w:pPr>
<w:r><w:t xml:space="preserve">(1) what was done before the magistrates, the people or</w:t></w:r>
</w:p>
<w:p>
<w:pPr><w:pStyle w:val="Normal"/></w:pPr>
<w:r><w:t xml:space="preserve">the senate; (2) the records of such public proceedings.</w:t></w:r>
</w:p>
<w:p>
<w:pPr><w:pStyle w:val="Normal"/></w:pPr>
<w:r><w:t xml:space="preserve">In connexion with other words ``act&apos;&apos; is employed in many</w:t></w:r>
</w:p>
<w:p>
<w:pPr><w:pStyle w:val="Normal"/></w:pPr>
<w:r><w:t xml:space="preserve">phrases, e.g. act of God, any event, such as the sudden,</w:t></w:r>
</w:p>
<w:p>
<w:pPr><w:pStyle w:val="Normal"/></w:pPr>
<w:r><w:t xml:space="preserve">violent or overwhelming occurrence of natural forces, which</w:t></w:r>
</w:p>
<w:p>
<w:pPr><w:pStyle w:val="Normal"/></w:pPr>
<w:r><w:t xml:space="preserve">cannot be foreseen or provided against.  This is a good</w:t></w:r>
</w:p>
<w:p>
<w:pPr><w:pStyle w:val="Normal"/></w:pPr>
<w:r><w:t xml:space="preserve">defence to a suit for non-performance of a contract. Act of</w:t></w:r>
</w:p>
<w:p>
<w:pPr><w:pStyle w:val="Normal"/></w:pPr>
<w:r><w:t xml:space="preserve">honour denotes the acceptance by a third party of a protested</w:t></w:r>
</w:p>
<w:p>
<w:pPr><w:pStyle w:val="Normal"/></w:pPr>
<w:r><w:t xml:space="preserve">bill of exchange for the honour of any party thereto. Act</w:t></w:r>
</w:p>
<w:p>
<w:pPr><w:pStyle w:val="Normal"/></w:pPr>
<w:r><w:t xml:space="preserve">of grace denotes the granting of some special privilege.</w:t></w:r>
</w:p>
<w:p>
<w:pPr><w:pStyle w:val="Normal"/></w:pPr>
<w:r><w:t xml:space="preserve">In universities, the presenting and publicly maintaining a</w:t></w:r>
</w:p>
<w:p>
<w:pPr><w:pStyle w:val="Normal"/></w:pPr>
<w:r><w:t xml:space="preserve">thesis by a candidate for a degree, to show his proficiency,</w:t></w:r>
</w:p>
<w:p>
<w:pPr><w:pStyle w:val="Normal"/></w:pPr>
<w:r><w:t xml:space="preserve">is an act. ``The Act&apos;&apos; at Oxford, up to 1856 when it was</w:t></w:r>
</w:p>
<w:p>
<w:pPr><w:pStyle w:val="Normal"/></w:pPr>
<w:r><w:t xml:space="preserve">abolished, was the ceremony held early in July for this purpose,</w:t></w:r>
</w:p>
<w:p>
<w:pPr><w:pStyle w:val="Normal"/></w:pPr>
<w:r><w:t xml:space="preserve">and the expressions ``Act Sunday,&apos;&apos; ``Act Term&apos;&apos; still survive.</w:t></w:r>
</w:p>
<w:p>
<w:pPr><w:pStyle w:val="Normal"/></w:pPr>
<w:r><w:t xml:space="preserve">In dramatic literature, act signifies one of those parts</w:t></w:r>
</w:p>
<w:p>
<w:pPr><w:pStyle w:val="Normal"/></w:pPr>
<w:r><w:t xml:space="preserve">into which a play is divided to mark the change of time</w:t></w:r>
</w:p>
<w:p>
<w:pPr><w:pStyle w:val="Normal"/></w:pPr>
<w:r><w:t xml:space="preserve">or place, and to give a respite to the actors and to the</w:t></w:r>
</w:p>
<w:p>
<w:pPr><w:pStyle w:val="Normal"/></w:pPr>
<w:r><w:t xml:space="preserve">audience.  In Greek plays there are no separate acts, the</w:t></w:r>
</w:p>
<w:p>
<w:pPr><w:pStyle w:val="Normal"/></w:pPr>
<w:r><w:t xml:space="preserve">unities being strictly observed, and the action being continuous</w:t></w:r>
</w:p>
<w:p>
<w:pPr><w:pStyle w:val="Normal"/></w:pPr>
<w:r><w:t xml:space="preserve">from beginning to end.  If the principal actors left the</w:t></w:r>
</w:p>
<w:p>
<w:pPr><w:pStyle w:val="Normal"/></w:pPr>
<w:r><w:t xml:space="preserve">stage the chorus took up the argument, and contributed an</w:t></w:r>
</w:p>
<w:p>
<w:pPr><w:pStyle w:val="Normal"/></w:pPr>
<w:r><w:t xml:space="preserve">integral part of the play, though chiefly in the form of</w:t></w:r>
</w:p>
<w:p>
<w:pPr><w:pStyle w:val="Normal"/></w:pPr>
<w:r><w:t xml:space="preserve">comment upon the action.  When necessary, another droma,</w:t></w:r>
</w:p>
<w:p>
<w:pPr><w:pStyle w:val="Normal"/></w:pPr>
<w:r><w:t xml:space="preserve">which is etymologically the same as an act, carried on the</w:t></w:r>
</w:p>
<w:p>
<w:pPr><w:pStyle w:val="Normal"/></w:pPr>
<w:r><w:t xml:space="preserve">history to a later time or in a different place, and thus we</w:t></w:r>
</w:p>
<w:p>
<w:pPr><w:pStyle w:val="Normal"/></w:pPr>
<w:r><w:t xml:space="preserve">have the Greek trilogies or groups of three dramas, in which</w:t></w:r>
</w:p>
<w:p>
<w:pPr><w:pStyle w:val="Normal"/></w:pPr>
<w:r><w:t xml:space="preserve">the same characters reappear.  The Roman poets first adopted</w:t></w:r>
</w:p>
<w:p>
<w:pPr><w:pStyle w:val="Normal"/></w:pPr>
<w:r><w:t xml:space="preserve">the division into acts, and suspended the stage business in</w:t></w:r>
</w:p>
<w:p>
<w:pPr><w:pStyle w:val="Normal"/></w:pPr>
<w:r><w:t xml:space="preserve">the intervals between them.  Their number was usually five,</w:t></w:r>
</w:p>
<w:p>
<w:pPr><w:pStyle w:val="Normal"/></w:pPr>
<w:r><w:t xml:space="preserve">and the rule was at last laid down by Horace in the Ars</w:t></w:r>
</w:p>
<w:p>
<w:pPr><w:pStyle w:val="Normal"/></w:pPr>
<w:r><w:t xml:space="preserve">Neve minor, neu sit quinto productior actu</w:t></w:r>
</w:p>
<w:p>
<w:pPr><w:pStyle w:val="Normal"/></w:pPr>
<w:r><w:t xml:space="preserve">Fabula, quae posci vult, et spectata reponi.</w:t></w:r>
</w:p>
<w:p>
<w:pPr><w:pStyle w:val="Normal"/></w:pPr>
<w:r><w:t xml:space="preserve">``If you would have your play deserve success,</w:t></w:r>
</w:p>
<w:p>
<w:pPr><w:pStyle w:val="Normal"/></w:pPr>
<w:r><w:t xml:space="preserve">Give it five acts complete, nor more nor less.&apos;&apos; (Francis.)</w:t></w:r>
</w:p>
<w:p>
<w:pPr><w:pStyle w:val="Normal"/></w:pPr>
<w:r><w:t xml:space="preserve">On the revival of letters this rule was almost universally</w:t></w:r>
</w:p>
<w:p>
<w:pPr><w:pStyle w:val="Normal"/></w:pPr>
<w:r><w:t xml:space="preserve">observed by dramatists, and that there is an inherent convenience</w:t></w:r>
</w:p>
<w:p>
<w:pPr><w:pStyle w:val="Normal"/></w:pPr>
<w:r><w:t xml:space="preserve">and fitness in the number five is evident from the fact that</w:t></w:r>
</w:p>
<w:p>
<w:pPr><w:pStyle w:val="Normal"/></w:pPr>
<w:r><w:t xml:space="preserve">Shakespeare, who refused to be trammelled by merely arbitrary</w:t></w:r>
</w:p>
<w:p>
<w:pPr><w:pStyle w:val="Normal"/></w:pPr>
<w:r><w:t xml:space="preserve">rules, adopts it in all his plays.  Some critics have laid down</w:t></w:r>
</w:p>
<w:p>
<w:pPr><w:pStyle w:val="Normal"/></w:pPr>
<w:r><w:t xml:space="preserve">rules as to the part each act should sustain in the development</w:t></w:r>
</w:p>
<w:p>
<w:pPr><w:pStyle w:val="Normal"/></w:pPr>
<w:r><w:t xml:space="preserve">of the plot, but these are not essential, and are by no means</w:t></w:r>
</w:p>
<w:p>
<w:pPr><w:pStyle w:val="Normal"/></w:pPr>
<w:r><w:t xml:space="preserve">universally recognized.  In comedy the rule as to the number</w:t></w:r>
</w:p>
<w:p>
<w:pPr><w:pStyle w:val="Normal"/></w:pPr>
<w:r><w:t xml:space="preserve">of acts has not been so strictly adhered to as in tragedy, a</w:t></w:r>
</w:p>
<w:p>
<w:pPr><w:pStyle w:val="Normal"/></w:pPr>
<w:r><w:t xml:space="preserve">division into two acts or three acts being quite usual since</w:t></w:r>
</w:p>
<w:p>
<w:pPr><w:pStyle w:val="Normal"/></w:pPr>
<w:r><w:t xml:space="preserve">the time of Moliere, who first introduced it.  It may be well</w:t></w:r>
</w:p>
<w:p>
<w:pPr><w:pStyle w:val="Normal"/></w:pPr>
<w:r><w:t xml:space="preserve">to mention here Milton&apos;s Samson Agonistes as a specimen in</w:t></w:r>
</w:p>
<w:p>
<w:pPr><w:pStyle w:val="Normal"/></w:pPr>
<w:r><w:t xml:space="preserve">English literature of a dramatic work founded on a purely Greek</w:t></w:r>
</w:p>
<w:p>
<w:pPr><w:pStyle w:val="Normal"/></w:pPr>
<w:r><w:t xml:space="preserve">model, in which, consequently, there is no division into acts.</w:t></w:r>
</w:p>
<w:p>
<w:pPr><w:pStyle w:val="Normal"/></w:pPr>
<w:r><w:t xml:space="preserve">For ``acting,&apos;&apos; as the art and theory of dramatic representation (or</w:t></w:r>
</w:p>
<w:p>
<w:pPr><w:pStyle w:val="Normal"/></w:pPr>
<w:r><w:t xml:space="preserve">histrionics, from Lat. histrio, an actor), see the article DRAMA.</w:t></w:r>
</w:p>
<w:p>
<w:pPr><w:pStyle w:val="Normal"/></w:pPr>
<w:r><w:t xml:space="preserve">ACTA DIURNA (Lat. acta, public acts or records; diurnius,</w:t></w:r>
</w:p>
<w:p>
<w:pPr><w:pStyle w:val="Normal"/></w:pPr>
<w:r><w:t xml:space="preserve">daily, from dies), called also Acta Fopuli, Acta Publica</w:t></w:r>
</w:p>
<w:p>
<w:pPr><w:pStyle w:val="Normal"/></w:pPr>
<w:r><w:t xml:space="preserve">and simply Acta or Diurna, in ancient Rome a sort of</w:t></w:r>
</w:p>
<w:p>
<w:pPr><w:pStyle w:val="Normal"/></w:pPr>
<w:r><w:t xml:space="preserve">daily gazette, containing an officially authorized narrative</w:t></w:r>
</w:p>
<w:p>
<w:pPr><w:pStyle w:val="Normal"/></w:pPr>
<w:r><w:t xml:space="preserve">of noteworthy eventsat Rome.  Its contents were partly</w:t></w:r>
</w:p>
<w:p>
<w:pPr><w:pStyle w:val="Normal"/></w:pPr>
<w:r><w:t xml:space="preserve">official (court news, decrees of the emperor, senate and</w:t></w:r>
</w:p>
<w:p>
<w:pPr><w:pStyle w:val="Normal"/></w:pPr>
<w:r><w:t xml:space="preserve">magistrates), partly private (notices of births, marriages and</w:t></w:r>
</w:p>
<w:p>
<w:pPr><w:pStyle w:val="Normal"/></w:pPr>
<w:r><w:t xml:space="preserve">deaths).  Thus to some extent it filled the place of the</w:t></w:r>
</w:p>
<w:p>
<w:pPr><w:pStyle w:val="Normal"/></w:pPr>
<w:r><w:t xml:space="preserve">modern newspaper (q.v.).  The origin of the Acta is</w:t></w:r>
</w:p>
<w:p>
<w:pPr><w:pStyle w:val="Normal"/></w:pPr>
<w:r><w:t xml:space="preserve">attributed to Julius Caesar, who first ordered the keeping</w:t></w:r>
</w:p>
<w:p>
<w:pPr><w:pStyle w:val="Normal"/></w:pPr>
<w:r><w:t xml:space="preserve">and publishing of the acts of the people by public officers</w:t></w:r>
</w:p>
<w:p>
<w:pPr><w:pStyle w:val="Normal"/></w:pPr>
<w:r><w:t xml:space="preserve">(59 B.C.; Suetonius, Caesar, 20). The Acta were drawn up</w:t></w:r>
</w:p>
<w:p>
<w:pPr><w:pStyle w:val="Normal"/></w:pPr>
<w:r><w:t xml:space="preserve">from day to day, and exposed in a public place on a whitened</w:t></w:r>
</w:p>
<w:p>
<w:pPr><w:pStyle w:val="Normal"/></w:pPr>
<w:r><w:t xml:space="preserve">board (see ALBUM).  After remaining there for a reasonable</w:t></w:r>
</w:p>
<w:p>
<w:pPr><w:pStyle w:val="Normal"/></w:pPr>
<w:r><w:t xml:space="preserve">time they were taken down and preserved with other public</w:t></w:r>
</w:p>
<w:p>
<w:pPr><w:pStyle w:val="Normal"/></w:pPr>
<w:r><w:t xml:space="preserve">documents, so that they might be available for purposes of</w:t></w:r>
</w:p>
<w:p>
<w:pPr><w:pStyle w:val="Normal"/></w:pPr>
<w:r><w:t xml:space="preserve">research.  The Acta differed from the Annals (which were</w:t></w:r>
</w:p>
<w:p>
<w:pPr><w:pStyle w:val="Normal"/></w:pPr>
<w:r><w:t xml:space="preserve">discontinued in 133 B.C.) in that only the greater and</w:t></w:r>
</w:p>
<w:p>
<w:pPr><w:pStyle w:val="Normal"/></w:pPr>
<w:r><w:t xml:space="preserve">more important matters were given in the latter, while in the</w:t></w:r>
</w:p>
<w:p>
<w:pPr><w:pStyle w:val="Normal"/></w:pPr>
<w:r><w:t xml:space="preserve">former things of less note were recorded.  Their publication</w:t></w:r>
</w:p>
<w:p>
<w:pPr><w:pStyle w:val="Normal"/></w:pPr>
<w:r><w:t xml:space="preserve">continued till the transference of the seat of the empire to</w:t></w:r>
</w:p>
<w:p>
<w:pPr><w:pStyle w:val="Normal"/></w:pPr>
<w:r><w:t xml:space="preserve">Constantinople.  There are no genuine fragments extant.</w:t></w:r>
</w:p>
<w:p>
<w:pPr><w:pStyle w:val="Normal"/></w:pPr>
<w:r><w:t xml:space="preserve">Leclerc, Des Journaux chez les Romains (1838); Renssen, De</w:t></w:r>
</w:p>
<w:p>
<w:pPr><w:pStyle w:val="Normal"/></w:pPr>
<w:r><w:t xml:space="preserve">Diurnis aliisque Romanorum Actis (1857); Hubner, De Senatus</w:t></w:r>
</w:p>
<w:p>
<w:pPr><w:pStyle w:val="Normal"/></w:pPr>
<w:r><w:t xml:space="preserve">Populique Romani Actis (1860); Gaston Boissier, Tacitus and other</w:t></w:r>
</w:p>
<w:p>
<w:pPr><w:pStyle w:val="Normal"/></w:pPr>
<w:r><w:t xml:space="preserve">Roman Studies (Eng. trans., W. G. Hutchison, 1906), pp. 197-229.</w:t></w:r>
</w:p>
<w:p>
<w:pPr><w:pStyle w:val="Normal"/></w:pPr>
<w:r><w:t xml:space="preserve">ACTAEON, son of Aristaeus and Autonoe, a famous Theban hero</w:t></w:r>
</w:p>
<w:p>
<w:pPr><w:pStyle w:val="Normal"/></w:pPr>
<w:r><w:t xml:space="preserve">and hunter, trained by the centaur Cheiron.  According to the</w:t></w:r>
</w:p>
<w:p>
<w:pPr><w:pStyle w:val="Normal"/></w:pPr>
<w:r><w:t xml:space="preserve">story told by Ovid (Metam. iii. 131; see also Apollod iii.</w:t></w:r>
</w:p>
<w:p>
<w:pPr><w:pStyle w:val="Normal"/></w:pPr>
<w:r><w:t xml:space="preserve">4), having accidentally seen Artemis (Diana) on Mount Cithaeron</w:t></w:r>
</w:p>
<w:p>
<w:pPr><w:pStyle w:val="Normal"/></w:pPr>
<w:r><w:t xml:space="preserve">while she was bathing, he was changed by her into a stag, and</w:t></w:r>
</w:p>
<w:p>
<w:pPr><w:pStyle w:val="Normal"/></w:pPr>
<w:r><w:t xml:space="preserve">pursued and killed by his fifty hounds.  His statue was often</w:t></w:r>
</w:p>
<w:p>
<w:pPr><w:pStyle w:val="Normal"/></w:pPr>
<w:r><w:t xml:space="preserve">set up on rocks and mountains as a protection against excessive</w:t></w:r>
</w:p>
<w:p>
<w:pPr><w:pStyle w:val="Normal"/></w:pPr>
<w:r><w:t xml:space="preserve">heat.  The myth itself probably represents the destruction</w:t></w:r>
</w:p>
<w:p>
<w:pPr><w:pStyle w:val="Normal"/></w:pPr>
<w:r><w:t xml:space="preserve">of vegetation during the fifty dog-days.  Aeschylus and other</w:t></w:r>
</w:p>
<w:p>
<w:pPr><w:pStyle w:val="Normal"/></w:pPr>
<w:r><w:t xml:space="preserve">tragic poets made use of the story, which was a favourite</w:t></w:r>
</w:p>
<w:p>
<w:pPr><w:pStyle w:val="Normal"/></w:pPr>
<w:r><w:t xml:space="preserve">subject in ancient works of art.  There is a well-known small</w:t></w:r>
</w:p>
<w:p>
<w:pPr><w:pStyle w:val="Normal"/></w:pPr>
<w:r><w:t xml:space="preserve">marble group in the British Museum illustrative of the story.</w:t></w:r>
</w:p>
<w:p>
<w:pPr><w:pStyle w:val="Normal"/></w:pPr>
<w:r><w:t xml:space="preserve">ACTA SENATUS, or COMMENTARII SENATUS, minutes of the</w:t></w:r>
</w:p>
<w:p>
<w:pPr><w:pStyle w:val="Normal"/></w:pPr>
<w:r><w:t xml:space="preserve">discussions and decisions of the Roman senate.  Before the</w:t></w:r>
</w:p>
<w:p>
<w:pPr><w:pStyle w:val="Normal"/></w:pPr>
<w:r><w:t xml:space="preserve">first consulship of Julius Caesar (59 B.C.), minutes of</w:t></w:r>
</w:p>
<w:p>
<w:pPr><w:pStyle w:val="Normal"/></w:pPr>
<w:r><w:t xml:space="preserve">the proceedings of the senate were written and occasionally</w:t></w:r>
</w:p>
<w:p>
<w:pPr><w:pStyle w:val="Normal"/></w:pPr>
<w:r><w:t xml:space="preserve">published, but unofficially; Caesar, desiring to tear away the</w:t></w:r>
</w:p>
<w:p>
<w:pPr><w:pStyle w:val="Normal"/></w:pPr>
<w:r><w:t xml:space="preserve">veil of mystery which gave an unreal importance to the senate&apos;s</w:t></w:r>
</w:p>
<w:p>
<w:pPr><w:pStyle w:val="Normal"/></w:pPr>
<w:r><w:t xml:space="preserve">deliberations, first ordered them to be recorded and issued</w:t></w:r>
</w:p>
<w:p>
<w:pPr><w:pStyle w:val="Normal"/></w:pPr>
<w:r><w:t xml:space="preserve">authoritatively.  The keeping of them was continued by</w:t></w:r>
</w:p>
<w:p>
<w:pPr><w:pStyle w:val="Normal"/></w:pPr>
<w:r><w:t xml:space="preserve">Augustus, but their publication was forbidden (Suetonius,</w:t></w:r>
</w:p>
<w:p>
<w:pPr><w:pStyle w:val="Normal"/></w:pPr>
<w:r><w:t xml:space="preserve">Augustus, 36). A young senator (ab actis senatus) was</w:t></w:r>
</w:p>
<w:p>
<w:pPr><w:pStyle w:val="Normal"/></w:pPr>
<w:r><w:t xml:space="preserve">chosen to draw up these Acta, which were kept in the imperial</w:t></w:r>
</w:p>
<w:p>
<w:pPr><w:pStyle w:val="Normal"/></w:pPr>
<w:r><w:t xml:space="preserve">archives and public libraries (Tacitus, Ann. v. 4).</w:t></w:r>
</w:p>
<w:p>
<w:pPr><w:pStyle w:val="Normal"/></w:pPr>
<w:r><w:t xml:space="preserve">Special permission from the city praefect was necessary in</w:t></w:r>
</w:p>
<w:p>
<w:pPr><w:pStyle w:val="Normal"/></w:pPr>
<w:r><w:t xml:space="preserve">order to examine them.  For authorities see ACTA DIURNA.</w:t></w:r>
</w:p>
<w:p>
<w:pPr><w:pStyle w:val="Normal"/></w:pPr>
<w:r><w:t xml:space="preserve">ACTINOMETER (Gr. aktis, ray, metron, measure), an</w:t></w:r>
</w:p>
<w:p>
<w:pPr><w:pStyle w:val="Normal"/></w:pPr>
<w:r><w:t xml:space="preserve">instrument for measuring the heating and chemical effects of</w:t></w:r>
</w:p>
<w:p>
<w:pPr><w:pStyle w:val="Normal"/></w:pPr>
<w:r><w:t xml:space="preserve">light.  The name was first given by Sir John Herschel to an</w:t></w:r>
</w:p>
<w:p>
<w:pPr><w:pStyle w:val="Normal"/></w:pPr>
<w:r><w:t xml:space="preserve">apparatus for measuring the heating effect of solar rays (Edin.</w:t></w:r>
</w:p>
<w:p>
<w:pPr><w:pStyle w:val="Normal"/></w:pPr>
<w:r><w:t xml:space="preserve">Journ. Science, 1825); Herschel&apos;s instrument has since been</w:t></w:r>
</w:p>
<w:p>
<w:pPr><w:pStyle w:val="Normal"/></w:pPr>
<w:r><w:t xml:space="preserve">discarded in favour of the pyrheliometer (Gr. tur, fire,</w:t></w:r>
</w:p>
<w:p>
<w:pPr><w:pStyle w:val="Normal"/></w:pPr>
<w:r><w:t xml:space="preserve">elios, sun). (See RADIATION.) The word actinometer is now</w:t></w:r>
</w:p>
<w:p>
<w:pPr><w:pStyle w:val="Normal"/></w:pPr>
<w:r><w:t xml:space="preserve">usually applied to instruments for measuring the actinic or</w:t></w:r>
</w:p>
<w:p>
<w:pPr><w:pStyle w:val="Normal"/></w:pPr>
<w:r><w:t xml:space="preserve">chemical effect of luminous rays; their action generally depends</w:t></w:r>
</w:p>
<w:p>
<w:pPr><w:pStyle w:val="Normal"/></w:pPr>
<w:r><w:t xml:space="preserve">upon photochemical changes (see PHOTO-CHEMISTRY).  Certain</w:t></w:r>
</w:p>
<w:p>
<w:pPr><w:pStyle w:val="Normal"/></w:pPr>
<w:r><w:t xml:space="preserve">practical forms are described in the article PHOTOGRAPHY.</w:t></w:r>
</w:p>
<w:p>
<w:pPr><w:pStyle w:val="Normal"/></w:pPr>
<w:r><w:t xml:space="preserve">ACTINOMYCOSIS (STREPTOTRICHOSIS), a chronic infective</w:t></w:r>
</w:p>
<w:p>
<w:pPr><w:pStyle w:val="Normal"/></w:pPr>
<w:r><w:t xml:space="preserve">disease occurring in both cattle and man.  In both these groups</w:t></w:r>
</w:p>
<w:p>
<w:pPr><w:pStyle w:val="Normal"/></w:pPr>
<w:r><w:t xml:space="preserve">it presents the same clinical course, being characterized</w:t></w:r>
</w:p>
<w:p>
<w:pPr><w:pStyle w:val="Normal"/></w:pPr>
<w:r><w:t xml:space="preserve">by chronic inflammation with the formation of granulomatous</w:t></w:r>
</w:p>
<w:p>
<w:pPr><w:pStyle w:val="Normal"/></w:pPr>
<w:r><w:t xml:space="preserve">tumours, which tend to undergo suppuration, fibrosis or</w:t></w:r>
</w:p>
<w:p>
<w:pPr><w:pStyle w:val="Normal"/></w:pPr>
<w:r><w:t xml:space="preserve">calcification.  It used to be believed that this disease was</w:t></w:r>
</w:p>
<w:p>
<w:pPr><w:pStyle w:val="Normal"/></w:pPr>
<w:r><w:t xml:space="preserve">caused by a single vegetable parasite, the Ray-Fungus, but</w:t></w:r>
</w:p>
<w:p>
<w:pPr><w:pStyle w:val="Normal"/></w:pPr>
<w:r><w:t xml:space="preserve">there is now an overwhelming mass of observations to show that</w:t></w:r>
</w:p>
<w:p>
<w:pPr><w:pStyle w:val="Normal"/></w:pPr>
<w:r><w:t xml:space="preserve">the clinical features may be produced by a number of different</w:t></w:r>
</w:p>
<w:p>
<w:pPr><w:pStyle w:val="Normal"/></w:pPr>
<w:r><w:t xml:space="preserve">species of parasites, for which the generic name Streptothrix</w:t></w:r>
</w:p>
<w:p>
<w:pPr><w:pStyle w:val="Normal"/></w:pPr>
<w:r><w:t xml:space="preserve">has been generally adopted.  In 1899 the committee of the</w:t></w:r>
</w:p>
<w:p>
<w:pPr><w:pStyle w:val="Normal"/></w:pPr>
<w:r><w:t xml:space="preserve">Pathological Society of London recommended that the term</w:t></w:r>
</w:p>
<w:p>
<w:pPr><w:pStyle w:val="Normal"/></w:pPr>
<w:r><w:t xml:space="preserve">Streptotrichosis should be used as the appropriate clinical</w:t></w:r>
</w:p>
<w:p>
<w:pPr><w:pStyle w:val="Normal"/></w:pPr>
<w:r><w:t xml:space="preserve">epithet of the large class of Streptothrix infections.</w:t></w:r>
</w:p>
<w:p>
<w:pPr><w:pStyle w:val="Normal"/></w:pPr>
<w:r><w:t xml:space="preserve">And since that year the name Actinomycosis has been falling</w:t></w:r>
</w:p>
<w:p>
<w:pPr><w:pStyle w:val="Normal"/></w:pPr>
<w:r><w:t xml:space="preserve">into disuse, and in any case is only used synonymously with</w:t></w:r>
</w:p>
<w:p>
<w:pPr><w:pStyle w:val="Normal"/></w:pPr>
<w:r><w:t xml:space="preserve">Streitotrichosis.  For a further account of these parasites</w:t></w:r>
</w:p>
<w:p>
<w:pPr><w:pStyle w:val="Normal"/></w:pPr>
<w:r><w:t xml:space="preserve">see the articles on BACTERIOLOGY and on PARASITIC DISEASES.</w:t></w:r>
</w:p>
<w:p>
<w:pPr><w:pStyle w:val="Normal"/></w:pPr>
<w:r><w:t xml:space="preserve">Pathological Anatomy.---The naked-eye appearance of the</w:t></w:r>
</w:p>
<w:p>
<w:pPr><w:pStyle w:val="Normal"/></w:pPr>
<w:r><w:t xml:space="preserve">different organs affected by Streptothrix infection varies</w:t></w:r>
</w:p>
<w:p>
<w:pPr><w:pStyle w:val="Normal"/></w:pPr>
<w:r><w:t xml:space="preserve">according to the duration and acuteness of the disease.  In</w:t></w:r>
</w:p>
<w:p>
<w:pPr><w:pStyle w:val="Normal"/></w:pPr>
<w:r><w:t xml:space="preserve">some tissues the appearance is that of simple inflammation,</w:t></w:r>
</w:p>
<w:p>
<w:pPr><w:pStyle w:val="Normal"/></w:pPr>
<w:r><w:t xml:space="preserve">whereas in others it may be characteristic.  The liver when</w:t></w:r>
</w:p>
<w:p>
<w:pPr><w:pStyle w:val="Normal"/></w:pPr>
<w:r><w:t xml:space="preserve">affected shows scattered foci of suppuration, which may become</w:t></w:r>
</w:p>
<w:p>
<w:pPr><w:pStyle w:val="Normal"/></w:pPr>
<w:r><w:t xml:space="preserve">aggregated into spheroidal masses, surrounded by a zone of</w:t></w:r>
</w:p>
<w:p>
<w:pPr><w:pStyle w:val="Normal"/></w:pPr>
<w:r><w:t xml:space="preserve">inflammation.  In the lungs the changes may be any that are</w:t></w:r>
</w:p>
<w:p>
<w:pPr><w:pStyle w:val="Normal"/></w:pPr>
<w:r><w:t xml:space="preserve">produced by the following conditions. (1) An acute bronchitis.</w:t></w:r>
</w:p>
<w:p>
<w:pPr><w:pStyle w:val="Normal"/></w:pPr>
<w:r><w:t xml:space="preserve">(2) A phthisical lung, grey nodules being scattered here and</w:t></w:r>
</w:p>
<w:p>
<w:pPr><w:pStyle w:val="Normal"/></w:pPr>
<w:r><w:t xml:space="preserve">there almost exactly simulating tuberculous nodules. (3) An acute</w:t></w:r>
</w:p>
<w:p>
<w:pPr><w:pStyle w:val="Normal"/></w:pPr>
<w:r><w:t xml:space="preserve">broncho-pneumonia with some interstitial fibrosis and a tendency</w:t></w:r>
</w:p>
<w:p>
<w:pPr><w:pStyle w:val="Normal"/></w:pPr>
<w:r><w:t xml:space="preserve">to abscess formation.  The most characteristic lesions are in the</w:t></w:r>
</w:p>
<w:p>
<w:pPr><w:pStyle w:val="Normal"/></w:pPr>
<w:r><w:t xml:space="preserve">skin.  These appear as nodules, sarcomatous-looking, soft and</w:t></w:r>
</w:p>
<w:p>
<w:pPr><w:pStyle w:val="Normal"/></w:pPr>
<w:r><w:t xml:space="preserve">pulpy.  Their colour is mottled, yellow and purplish red.  The</w:t></w:r>
</w:p>
<w:p>
<w:pPr><w:pStyle w:val="Normal"/></w:pPr>
<w:r><w:t xml:space="preserve">skin over them is thinned out, and broken down in places to</w:t></w:r>
</w:p>
<w:p>
<w:pPr><w:pStyle w:val="Normal"/></w:pPr>
<w:r><w:t xml:space="preserve">form one or two crateriform ulcers from which a clear sticky</w:t></w:r>
</w:p>
<w:p>
<w:pPr><w:pStyle w:val="Normal"/></w:pPr>
<w:r><w:t xml:space="preserve">fluid exudes.  The size varies from that of a pea to a small</w:t></w:r>
</w:p>
<w:p>
<w:pPr><w:pStyle w:val="Normal"/></w:pPr>
<w:r><w:t xml:space="preserve">orange.  The pus is characteristic, varying in consistency</w:t></w:r>
</w:p>
<w:p>
<w:pPr><w:pStyle w:val="Normal"/></w:pPr>
<w:r><w:t xml:space="preserve">though usually viscid, and containing numerous minute specks.</w:t></w:r>
</w:p>
<w:p>
<w:pPr><w:pStyle w:val="Normal"/></w:pPr>
<w:r><w:t xml:space="preserve">The disease is more common in males than in females, aod</w:t></w:r>
</w:p>
<w:p>
<w:pPr><w:pStyle w:val="Normal"/></w:pPr>
<w:r><w:t xml:space="preserve">more prevalent in Germany and Russia than in England.  The</w:t></w:r>
</w:p>
<w:p>
<w:pPr><w:pStyle w:val="Normal"/></w:pPr>
<w:r><w:t xml:space="preserve">infection is probably spread by grain (corn or barley), on</w:t></w:r>
</w:p>
<w:p>
<w:pPr><w:pStyle w:val="Normal"/></w:pPr>
<w:r><w:t xml:space="preserve">which the fungus may often be found.  In a great number of</w:t></w:r>
</w:p>
<w:p>
<w:pPr><w:pStyle w:val="Normal"/></w:pPr>
<w:r><w:t xml:space="preserve">recorded cases the patient has been following agricultural</w:t></w:r>
</w:p>
<w:p>
<w:pPr><w:pStyle w:val="Normal"/></w:pPr>
<w:r><w:t xml:space="preserve">pursuits.  The disease can only be transmitted from one</w:t></w:r>
</w:p>
<w:p>
<w:pPr><w:pStyle w:val="Normal"/></w:pPr>
<w:r><w:t xml:space="preserve">individual to another with considerable difficulty, and no case</w:t></w:r>
</w:p>
<w:p>
<w:pPr><w:pStyle w:val="Normal"/></w:pPr>
<w:r><w:t xml:space="preserve">of direct transmission from animal to man has yet been noted.</w:t></w:r>
</w:p>
<w:p>
<w:pPr><w:pStyle w:val="Normal"/></w:pPr>
<w:r><w:t xml:space="preserve">Clinical History.---The course of actinomycosis is usually a</w:t></w:r>
</w:p>
<w:p>
<w:pPr><w:pStyle w:val="Normal"/></w:pPr>
<w:r><w:t xml:space="preserve">chronic one, but occasionally the fungus gets into the blood,</w:t></w:r>
</w:p>
<w:p>
<w:pPr><w:pStyle w:val="Normal"/></w:pPr>
<w:r><w:t xml:space="preserve">when the course is that of an acute infective disease or even</w:t></w:r>
</w:p>
<w:p>
<w:pPr><w:pStyle w:val="Normal"/></w:pPr>
<w:r><w:t xml:space="preserve">pyaemia.  The symptoms are entirely dependent on the organ</w:t></w:r>
</w:p>
<w:p>
<w:pPr><w:pStyle w:val="Normal"/></w:pPr>
<w:r><w:t xml:space="preserve">attacked, and are in no way specially characteristic.  During</w:t></w:r>
</w:p>
<w:p>
<w:pPr><w:pStyle w:val="Normal"/></w:pPr>
<w:r><w:t xml:space="preserve">life a diagnosis of phthisis is continually made, and only a</w:t></w:r>
</w:p>
<w:p>
<w:pPr><w:pStyle w:val="Normal"/></w:pPr>
<w:r><w:t xml:space="preserve">microscopic examination after death renders the true nature</w:t></w:r>
</w:p>
<w:p>
<w:pPr><w:pStyle w:val="Normal"/></w:pPr>
<w:r><w:t xml:space="preserve">of the disease apparent.  The nature of the skin lesion is</w:t></w:r>
</w:p>
<w:p>
<w:pPr><w:pStyle w:val="Normal"/></w:pPr>
<w:r><w:t xml:space="preserve">the most evident, and here the parasite can be detected early</w:t></w:r>
</w:p>
<w:p>
<w:pPr><w:pStyle w:val="Normal"/></w:pPr>
<w:r><w:t xml:space="preserve">in the illness.  The only drug which appears to have any</w:t></w:r>
</w:p>
<w:p>
<w:pPr><w:pStyle w:val="Normal"/></w:pPr>
<w:r><w:t xml:space="preserve">beneficial influence on the course of the disease is potassium</w:t></w:r>
</w:p>
<w:p>
<w:pPr><w:pStyle w:val="Normal"/></w:pPr>
<w:r><w:t xml:space="preserve">iodide, and this has occasionally been used with great</w:t></w:r>
</w:p>
<w:p>
<w:pPr><w:pStyle w:val="Normal"/></w:pPr>
<w:r><w:t xml:space="preserve">benefit.  Surgical interference is usually needed, either</w:t></w:r>
</w:p>
<w:p>
<w:pPr><w:pStyle w:val="Normal"/></w:pPr>
<w:r><w:t xml:space="preserve">excision of the part affected, or, where possible, a thorough</w:t></w:r>
</w:p>
<w:p>
<w:pPr><w:pStyle w:val="Normal"/></w:pPr>
<w:r><w:t xml:space="preserve">scraping of the lesion and free application of antiseptics.</w:t></w:r>
</w:p>
<w:p>
<w:pPr><w:pStyle w:val="Normal"/></w:pPr>
<w:r><w:t xml:space="preserve">ACTINOZOA, a term in systematic zoology, first used by</w:t></w:r>
</w:p>
<w:p>
<w:pPr><w:pStyle w:val="Normal"/></w:pPr>
<w:r><w:t xml:space="preserve">H. M. D. de Blainville about 1834, to designate animals the</w:t></w:r>
</w:p>
<w:p>
<w:pPr><w:pStyle w:val="Normal"/></w:pPr>
<w:r><w:t xml:space="preserve">organs of which were disposed radially about a centre.  De</w:t></w:r>
</w:p>
<w:p>
<w:pPr><w:pStyle w:val="Normal"/></w:pPr>
<w:r><w:t xml:space="preserve">Blainville included in his group many unicellular forms such as</w:t></w:r>
</w:p>
<w:p>
<w:pPr><w:pStyle w:val="Normal"/></w:pPr>
<w:r><w:t xml:space="preserve">Noctiluca (see PROTOZOA), sea-anemones, corals, jelly-fish</w:t></w:r>
</w:p>
<w:p>
<w:pPr><w:pStyle w:val="Normal"/></w:pPr>
<w:r><w:t xml:space="preserve">and hydroid polyps, echinoderms, polyzoa and rotifera.  T.</w:t></w:r>
</w:p>
<w:p>
<w:pPr><w:pStyle w:val="Normal"/></w:pPr>
<w:r><w:t xml:space="preserve">H. Huxley afterwards restricted the term.  He showed that in</w:t></w:r>
</w:p>
<w:p>
<w:pPr><w:pStyle w:val="Normal"/></w:pPr>
<w:r><w:t xml:space="preserve">de Blainville&apos;s group there were associated with a number of</w:t></w:r>
</w:p>
<w:p>
<w:pPr><w:pStyle w:val="Normal"/></w:pPr>
<w:r><w:t xml:space="preserve">heterogeneous forms a group of animals characterized by being</w:t></w:r>
</w:p>
<w:p>
<w:pPr><w:pStyle w:val="Normal"/></w:pPr>
<w:r><w:t xml:space="preserve">composed of two layers of cells comparable with the first two</w:t></w:r>
</w:p>
<w:p>
<w:pPr><w:pStyle w:val="Normal"/></w:pPr>
<w:r><w:t xml:space="preserve">layers in the development of vertebrate animals.  Such forms</w:t></w:r>
</w:p>
<w:p>
<w:pPr><w:pStyle w:val="Normal"/></w:pPr>
<w:r><w:t xml:space="preserve">he distinguished as Coelentera, and showed that they had no</w:t></w:r>
</w:p>
<w:p>
<w:pPr><w:pStyle w:val="Normal"/></w:pPr>
<w:r><w:t xml:space="preserve">special affinity with echinoderms, polyzoa, &amp;c. He divided</w:t></w:r>
</w:p>
<w:p>
<w:pPr><w:pStyle w:val="Normal"/></w:pPr>
<w:r><w:t xml:space="preserve">the Coelentera into a group Hydrozoa, in which the sexually</w:t></w:r>
</w:p>
<w:p>
<w:pPr><w:pStyle w:val="Normal"/></w:pPr>
<w:r><w:t xml:space="preserve">produced embryos were usually set free from the surface of the</w:t></w:r>
</w:p>
<w:p>
<w:pPr><w:pStyle w:val="Normal"/></w:pPr>
<w:r><w:t xml:space="preserve">body, and a group Actinozoa, in which the embryos are detached</w:t></w:r>
</w:p>
<w:p>
<w:pPr><w:pStyle w:val="Normal"/></w:pPr>
<w:r><w:t xml:space="preserve">from the interior of the body and escape generally by the oral</w:t></w:r>
</w:p>
<w:p>
<w:pPr><w:pStyle w:val="Normal"/></w:pPr>
<w:r><w:t xml:space="preserve">aperture.  Huxley&apos;s Actinozoa comprised the sea-anemones,</w:t></w:r>
</w:p>
<w:p>
<w:pPr><w:pStyle w:val="Normal"/></w:pPr>
<w:r><w:t xml:space="preserve">corals and sea-pens, on the one hand, and the Ctenophora on the</w:t></w:r>
</w:p>
<w:p>
<w:pPr><w:pStyle w:val="Normal"/></w:pPr>
<w:r><w:t xml:space="preserve">other.  Later investigations, whilst confirming the general</w:t></w:r>
</w:p>
<w:p>
<w:pPr><w:pStyle w:val="Normal"/></w:pPr>
<w:r><w:t xml:space="preserve">validity of Huxley&apos;s conclusions, have slightly altered</w:t></w:r>
</w:p>
<w:p>
<w:pPr><w:pStyle w:val="Normal"/></w:pPr>
<w:r><w:t xml:space="preserve">the limits and definitions of his groups. (See ANTHOZOA,</w:t></w:r>
</w:p>
<w:p>
<w:pPr><w:pStyle w:val="Normal"/></w:pPr>
<w:r><w:t xml:space="preserve">COELENTERA, CTENOPHORA and HYDROZOA.) (P. C. M.)</w:t></w:r>
</w:p>
<w:p>
<w:pPr><w:pStyle w:val="Normal"/></w:pPr>
<w:r><w:t xml:space="preserve">ACTION, in law, a term used by jurists in three different</w:t></w:r>
</w:p>
<w:p>
<w:pPr><w:pStyle w:val="Normal"/></w:pPr>
<w:r><w:t xml:space="preserve">senses: (1) a right to institute proceedings in a court of</w:t></w:r>
</w:p>
<w:p>
<w:pPr><w:pStyle w:val="Normal"/></w:pPr>
<w:r><w:t xml:space="preserve">justice to obtain redress for a wrong (actio nihil aliud</w:t></w:r>
</w:p>
<w:p>
<w:pPr><w:pStyle w:val="Normal"/></w:pPr>
<w:r><w:t xml:space="preserve">est quam jus prosequendi in judieio quod alicui debetur,</w:t></w:r>
</w:p>
<w:p>
<w:pPr><w:pStyle w:val="Normal"/></w:pPr>
<w:r><w:t xml:space="preserve">Bracton, de Legibus Angliae, bk. iii. ch. i., f. 98 b);</w:t></w:r>
</w:p>
<w:p>
<w:pPr><w:pStyle w:val="Normal"/></w:pPr>
<w:r><w:t xml:space="preserve">(2) the proceeding itself (actionn n&apos;est auter chose que</w:t></w:r>
</w:p>
<w:p>
<w:pPr><w:pStyle w:val="Normal"/></w:pPr>
<w:r><w:t xml:space="preserve">loyall demande de son droit, Co. Litt. 285 (a)); (3) the</w:t></w:r>
</w:p>
<w:p>
<w:pPr><w:pStyle w:val="Normal"/></w:pPr>
<w:r><w:t xml:space="preserve">particular form of the proceeding.  The term is derived from</w:t></w:r>
</w:p>
<w:p>
<w:pPr><w:pStyle w:val="Normal"/></w:pPr>
<w:r><w:t xml:space="preserve">the Roman law (actio), in which it is used in all three</w:t></w:r>
</w:p>
<w:p>
<w:pPr><w:pStyle w:val="Normal"/></w:pPr>
<w:r><w:t xml:space="preserve">senses.  In the history of Roman law, actions passed through three</w:t></w:r>
</w:p>
<w:p>
<w:pPr><w:pStyle w:val="Normal"/></w:pPr>
<w:r><w:t xml:space="preserve">stages.  The first period (terminated about 170 B.C. by the</w:t></w:r>
</w:p>
<w:p>
<w:pPr><w:pStyle w:val="Normal"/></w:pPr>
<w:r><w:t xml:space="preserve">Lex Aebutia) is known as the system of legis actiones, and</w:t></w:r>
</w:p>
<w:p>
<w:pPr><w:pStyle w:val="Normal"/></w:pPr>
<w:r><w:t xml:space="preserve">was based on the precepts of the XII. tables and used before</w:t></w:r>
</w:p>
<w:p>
<w:pPr><w:pStyle w:val="Normal"/></w:pPr>
<w:r><w:t xml:space="preserve">the praetor urbanus. These actiones were five in number</w:t></w:r>
</w:p>
<w:p>
<w:pPr><w:pStyle w:val="Normal"/></w:pPr>
<w:r><w:t xml:space="preserve">--sacramenti, per judicis postulationem, per condictionem,</w:t></w:r>
</w:p>
<w:p>
<w:pPr><w:pStyle w:val="Normal"/></w:pPr>
<w:r><w:t xml:space="preserve">per manus injectionem, per pignoris captionem. The first</w:t></w:r>
</w:p>
<w:p>
<w:pPr><w:pStyle w:val="Normal"/></w:pPr>
<w:r><w:t xml:space="preserve">was the primitive and characteristic action of the Roman</w:t></w:r>
</w:p>
<w:p>
<w:pPr><w:pStyle w:val="Normal"/></w:pPr>
<w:r><w:t xml:space="preserve">law, and the others were little more than modes of applying</w:t></w:r>
</w:p>
<w:p>
<w:pPr><w:pStyle w:val="Normal"/></w:pPr>
<w:r><w:t xml:space="preserve">it to cases not contemplated in the original form, or of</w:t></w:r>
</w:p>
<w:p>
<w:pPr><w:pStyle w:val="Normal"/></w:pPr>
<w:r><w:t xml:space="preserve">carrying the result of it into execution when the action had</w:t></w:r>
</w:p>
<w:p>
<w:pPr><w:pStyle w:val="Normal"/></w:pPr>
<w:r><w:t xml:space="preserve">been decided.  The legis actiones were superseded by the</w:t></w:r>
</w:p>
<w:p>
<w:pPr><w:pStyle w:val="Normal"/></w:pPr>
<w:r><w:t xml:space="preserve">formulae, originated by the praetor peregrinus for the</w:t></w:r>
</w:p>
<w:p>
<w:pPr><w:pStyle w:val="Normal"/></w:pPr>
<w:r><w:t xml:space="preserve">determination of controversies between foreigners, but found</w:t></w:r>
</w:p>
<w:p>
<w:pPr><w:pStyle w:val="Normal"/></w:pPr>
<w:r><w:t xml:space="preserve">more flexible than the earlier system and made available for</w:t></w:r>
</w:p>
<w:p>
<w:pPr><w:pStyle w:val="Normal"/></w:pPr>
<w:r><w:t xml:space="preserve">citizens by the Lex Aebutia. Under both these systems</w:t></w:r>
</w:p>
<w:p>
<w:pPr><w:pStyle w:val="Normal"/></w:pPr>
<w:r><w:t xml:space="preserve">the praetor referred the matter in dispute to an arbiter</w:t></w:r>
</w:p>
<w:p>
<w:pPr><w:pStyle w:val="Normal"/></w:pPr>
<w:r><w:t xml:space="preserve">(judex), but in the later he settled the formula (i.e.</w:t></w:r>
</w:p>
<w:p>
<w:pPr><w:pStyle w:val="Normal"/></w:pPr>
<w:r><w:t xml:space="preserve">the issues to be referred and the appropriate form of relief)</w:t></w:r>
</w:p>
<w:p>
<w:pPr><w:pStyle w:val="Normal"/></w:pPr>
<w:r><w:t xml:space="preserve">before making the order of reference.  In the third stage,</w:t></w:r>
</w:p>
<w:p>
<w:pPr><w:pStyle w:val="Normal"/></w:pPr>
<w:r><w:t xml:space="preserve">the formulary stage fell into disuse, and after A.D. 342 the</w:t></w:r>
</w:p>
<w:p>
<w:pPr><w:pStyle w:val="Normal"/></w:pPr>
<w:r><w:t xml:space="preserve">magistrate himself or his deputy decided the controversy after</w:t></w:r>
</w:p>
<w:p>
<w:pPr><w:pStyle w:val="Normal"/></w:pPr>
<w:r><w:t xml:space="preserve">the defending party had been duly summoned by a libellus.</w:t></w:r>
</w:p>
<w:p>
<w:pPr><w:pStyle w:val="Normal"/></w:pPr>
<w:r><w:t xml:space="preserve">The classifications of actiones in Roman law were very</w:t></w:r>
</w:p>
<w:p>
<w:pPr><w:pStyle w:val="Normal"/></w:pPr>
<w:r><w:t xml:space="preserve">numerous.  The division which is still most universally</w:t></w:r>
</w:p>
<w:p>
<w:pPr><w:pStyle w:val="Normal"/></w:pPr>
<w:r><w:t xml:space="preserve">recognized is that of actions in rem and actions in</w:t></w:r>
</w:p>
<w:p>
<w:pPr><w:pStyle w:val="Normal"/></w:pPr>
<w:r><w:t xml:space="preserve">personam (Sohm, Roman Law, tr. by Ledlie, 2nd ed.</w:t></w:r>
</w:p>
<w:p>
<w:pPr><w:pStyle w:val="Normal"/></w:pPr>
<w:r><w:t xml:space="preserve">277).  An action in rem asserts a right to a particular</w:t></w:r>
</w:p>
<w:p>
<w:pPr><w:pStyle w:val="Normal"/></w:pPr>
<w:r><w:t xml:space="preserve">thing against all the world.  An action in personam asserts</w:t></w:r>
</w:p>
<w:p>
<w:pPr><w:pStyle w:val="Normal"/></w:pPr>
<w:r><w:t xml:space="preserve">a right only against a particular person.  Perhaps the best</w:t></w:r>
</w:p>
<w:p>
<w:pPr><w:pStyle w:val="Normal"/></w:pPr>
<w:r><w:t xml:space="preserve">modern example of the distinction is that made in maritime</w:t></w:r>
</w:p>
<w:p>
<w:pPr><w:pStyle w:val="Normal"/></w:pPr>
<w:r><w:t xml:space="preserve">cases between an action against a ship after a collision</w:t></w:r>
</w:p>
<w:p>
<w:pPr><w:pStyle w:val="Normal"/></w:pPr>
<w:r><w:t xml:space="preserve">at sea, and an action against the owners of the ship.</w:t></w:r>
</w:p>
<w:p>
<w:pPr><w:pStyle w:val="Normal"/></w:pPr>
<w:r><w:t xml:space="preserve">In English law the term ``action&apos;&apos; at a very early date</w:t></w:r>
</w:p>
<w:p>
<w:pPr><w:pStyle w:val="Normal"/></w:pPr>
<w:r><w:t xml:space="preserve">became associated with civil proceedings in the Court of</w:t></w:r>
</w:p>
<w:p>
<w:pPr><w:pStyle w:val="Normal"/></w:pPr>
<w:r><w:t xml:space="preserve">Common Pleas, which were distinguished from pleas of the</w:t></w:r>
</w:p>
<w:p>
<w:pPr><w:pStyle w:val="Normal"/></w:pPr>
<w:r><w:t xml:space="preserve">crown, such as indictments or informations and for suits in</w:t></w:r>
</w:p>
<w:p>
<w:pPr><w:pStyle w:val="Normal"/></w:pPr>
<w:r><w:t xml:space="preserve">the Court of Chancery or in the Admiralty or ecclesiastical</w:t></w:r>
</w:p>
<w:p>
<w:pPr><w:pStyle w:val="Normal"/></w:pPr>
<w:r><w:t xml:space="preserve">courts.  The English action was a proceeding commenced by writ</w:t></w:r>
</w:p>
<w:p>
<w:pPr><w:pStyle w:val="Normal"/></w:pPr>
<w:r><w:t xml:space="preserve">original at the common law.  The remedy was of right and not of</w:t></w:r>
</w:p>
<w:p>
<w:pPr><w:pStyle w:val="Normal"/></w:pPr>
<w:r><w:t xml:space="preserve">grace.  The history of actions is the history of civil procedure</w:t></w:r>
</w:p>
<w:p>
<w:pPr><w:pStyle w:val="Normal"/></w:pPr>
<w:r><w:t xml:space="preserve">in the courts of common law.  As a result of the reform of</w:t></w:r>
</w:p>
<w:p>
<w:pPr><w:pStyle w:val="Normal"/></w:pPr>
<w:r><w:t xml:space="preserve">civil procedure by the Judicature Acts the term ``action&apos;&apos; in</w:t></w:r>
</w:p>
<w:p>
<w:pPr><w:pStyle w:val="Normal"/></w:pPr>
<w:r><w:t xml:space="preserve">English law now means at the High Court of Justice ``a civil</w:t></w:r>
</w:p>
<w:p>
<w:pPr><w:pStyle w:val="Normal"/></w:pPr>
<w:r><w:t xml:space="preserve">proceeding commenced by writ of summons or in such other manner</w:t></w:r>
</w:p>
<w:p>
<w:pPr><w:pStyle w:val="Normal"/></w:pPr>
<w:r><w:t xml:space="preserve">as may be prescribed by rules of court&apos;&apos; (e.g. by originating</w:t></w:r>
</w:p>
<w:p>
<w:pPr><w:pStyle w:val="Normal"/></w:pPr>
<w:r><w:t xml:space="preserve">summons).  The proceeding thus commenced ends by judgment and</w:t></w:r>
</w:p>
<w:p>
<w:pPr><w:pStyle w:val="Normal"/></w:pPr>
<w:r><w:t xml:space="preserve">execution.  This definition includes proceedings under the</w:t></w:r>
</w:p>
<w:p>
<w:pPr><w:pStyle w:val="Normal"/></w:pPr>
<w:r><w:t xml:space="preserve">Chancery, Admiralty and Probate jurisdiction of the High</w:t></w:r>
</w:p>
<w:p>
<w:pPr><w:pStyle w:val="Normal"/></w:pPr>
<w:r><w:t xml:space="preserve">Court, but excludes proceedings commenced by petition, such</w:t></w:r>
</w:p>
<w:p>
<w:pPr><w:pStyle w:val="Normal"/></w:pPr>
<w:r><w:t xml:space="preserve">as divorce suits and bankruptcy and winding-up matters, as</w:t></w:r>
</w:p>
<w:p>
<w:pPr><w:pStyle w:val="Normal"/></w:pPr>
<w:r><w:t xml:space="preserve">well as criminal proceedings in the High Court or applications</w:t></w:r>
</w:p>
<w:p>
<w:pPr><w:pStyle w:val="Normal"/></w:pPr>
<w:r><w:t xml:space="preserve">for the issue of the writs of mandamus, prohibition,</w:t></w:r>
</w:p>
<w:p>
<w:pPr><w:pStyle w:val="Normal"/></w:pPr>
<w:r><w:t xml:space="preserve">habeas corpus or certiorari. The Judicature Acts and</w:t></w:r>
</w:p>
<w:p>
<w:pPr><w:pStyle w:val="Normal"/></w:pPr>
<w:r><w:t xml:space="preserve">Rules have had the effect of abolishing all the forms of</w:t></w:r>
</w:p>
<w:p>
<w:pPr><w:pStyle w:val="Normal"/></w:pPr>
<w:r><w:t xml:space="preserve">``action&apos;&apos; used at the common law and of creating one common</w:t></w:r>
</w:p>
<w:p>
<w:pPr><w:pStyle w:val="Normal"/></w:pPr>
<w:r><w:t xml:space="preserve">form of legal proceeding for all ordinary controversies</w:t></w:r>
</w:p>
<w:p>
<w:pPr><w:pStyle w:val="Normal"/></w:pPr>
<w:r><w:t xml:space="preserve">between subjects in whatever division of the High Court.</w:t></w:r>
</w:p>
<w:p>
<w:pPr><w:pStyle w:val="Normal"/></w:pPr>
<w:r><w:t xml:space="preserve">The stages in an English action are the writ, by which the</w:t></w:r>
</w:p>
<w:p>
<w:pPr><w:pStyle w:val="Normal"/></w:pPr>
<w:r><w:t xml:space="preserve">persons against whom relief is claimed are summoned before</w:t></w:r>
</w:p>
<w:p>
<w:pPr><w:pStyle w:val="Normal"/></w:pPr>
<w:r><w:t xml:space="preserve">the court; the pleadings and interlocutory steps, by which</w:t></w:r>
</w:p>
<w:p>
<w:pPr><w:pStyle w:val="Normal"/></w:pPr>
<w:r><w:t xml:space="preserve">the issues between the parties are adjusted; the trial, at</w:t></w:r>
</w:p>
<w:p>
<w:pPr><w:pStyle w:val="Normal"/></w:pPr>
<w:r><w:t xml:space="preserve">which the issues of fact and law involved are brought before</w:t></w:r>
</w:p>
<w:p>
<w:pPr><w:pStyle w:val="Normal"/></w:pPr>
<w:r><w:t xml:space="preserve">the tribunal; the judgment, by which the relief sought</w:t></w:r>
</w:p>
<w:p>
<w:pPr><w:pStyle w:val="Normal"/></w:pPr>
<w:r><w:t xml:space="preserve">is granted or refused; and execution, by which the law</w:t></w:r>
</w:p>
<w:p>
<w:pPr><w:pStyle w:val="Normal"/></w:pPr>
<w:r><w:t xml:space="preserve">gives to the successful party the fruits of the judgment.</w:t></w:r>
</w:p>
<w:p>
<w:pPr><w:pStyle w:val="Normal"/></w:pPr>
<w:r><w:t xml:space="preserve">The procedure varies according as the action is in the High</w:t></w:r>
</w:p>
<w:p>
<w:pPr><w:pStyle w:val="Normal"/></w:pPr>
<w:r><w:t xml:space="preserve">Court, a county court or one of the other local courts of record</w:t></w:r>
</w:p>
<w:p>
<w:pPr><w:pStyle w:val="Normal"/></w:pPr>
<w:r><w:t xml:space="preserve">which still survive; but there is no substantial difference in</w:t></w:r>
</w:p>
<w:p>
<w:pPr><w:pStyle w:val="Normal"/></w:pPr>
<w:r><w:t xml:space="preserve">the incidents of trial, judgment and execution in any of these</w:t></w:r>
</w:p>
<w:p>
<w:pPr><w:pStyle w:val="Normal"/></w:pPr>
<w:r><w:t xml:space="preserve">courts.  The initial difference between actions in the High</w:t></w:r>
</w:p>
<w:p>
<w:pPr><w:pStyle w:val="Normal"/></w:pPr>
<w:r><w:t xml:space="preserve">Court and the county court is that the latter are commenced</w:t></w:r>
</w:p>
<w:p>
<w:pPr><w:pStyle w:val="Normal"/></w:pPr>
<w:r><w:t xml:space="preserve">by plaint lodged in the court, on which a summons is prepared</w:t></w:r>
</w:p>
<w:p>
<w:pPr><w:pStyle w:val="Normal"/></w:pPr>
<w:r><w:t xml:space="preserve">by the court and served by its bailiff, whereas in the High</w:t></w:r>
</w:p>
<w:p>
<w:pPr><w:pStyle w:val="Normal"/></w:pPr>
<w:r><w:t xml:space="preserve">Court the party prepares the writ and lodges it in court for</w:t></w:r>
</w:p>
<w:p>
<w:pPr><w:pStyle w:val="Normal"/></w:pPr>
<w:r><w:t xml:space="preserve">sealing, and when it is sealed, himself effects the service.</w:t></w:r>
</w:p>
<w:p>
<w:pPr><w:pStyle w:val="Normal"/></w:pPr>
<w:r><w:t xml:space="preserve">An action is said to ``lie&apos;&apos; when the law provides a remedy for</w:t></w:r>
</w:p>
<w:p>
<w:pPr><w:pStyle w:val="Normal"/></w:pPr>
<w:r><w:t xml:space="preserve">some particular act or omission by a subject which infringes</w:t></w:r>
</w:p>
<w:p>
<w:pPr><w:pStyle w:val="Normal"/></w:pPr>
<w:r><w:t xml:space="preserve">the legal rights of another subject.  An act of such a</w:t></w:r>
</w:p>
<w:p>
<w:pPr><w:pStyle w:val="Normal"/></w:pPr>
<w:r><w:t xml:space="preserve">character is said to give a ``cause of action.&apos;&apos; In the action</w:t></w:r>
</w:p>
<w:p>
<w:pPr><w:pStyle w:val="Normal"/></w:pPr>
<w:r><w:t xml:space="preserve">the person who alleges himself aggrieved claims a judgment</w:t></w:r>
</w:p>
<w:p>
<w:pPr><w:pStyle w:val="Normal"/></w:pPr>
<w:r><w:t xml:space="preserve">of the court in his favour giving an adequate and appropriate</w:t></w:r>
</w:p>
<w:p>
<w:pPr><w:pStyle w:val="Normal"/></w:pPr>
<w:r><w:t xml:space="preserve">remedy for the injury or damage which he has sustained by</w:t></w:r>
</w:p>
<w:p>
<w:pPr><w:pStyle w:val="Normal"/></w:pPr>
<w:r><w:t xml:space="preserve">the infraction of his rights.  As to the time within which an</w:t></w:r>
</w:p>
<w:p>
<w:pPr><w:pStyle w:val="Normal"/></w:pPr>
<w:r><w:t xml:space="preserve">action must be brought, see LIMITATION, STATUTES OF. When</w:t></w:r>
</w:p>
<w:p>
<w:pPr><w:pStyle w:val="Normal"/></w:pPr>
<w:r><w:t xml:space="preserve">the rights of a subject are infringed by the illegal action</w:t></w:r>
</w:p>
<w:p>
<w:pPr><w:pStyle w:val="Normal"/></w:pPr>
<w:r><w:t xml:space="preserve">of the state, an action lies in England against the officers</w:t></w:r>
</w:p>
<w:p>
<w:pPr><w:pStyle w:val="Normal"/></w:pPr>
<w:r><w:t xml:space="preserve">who have done the wrong, unless the claim be one arising out</w:t></w:r>
</w:p>
<w:p>
<w:pPr><w:pStyle w:val="Normal"/></w:pPr>
<w:r><w:t xml:space="preserve">of breach of a contract with the state, or out of an ``Act</w:t></w:r>
</w:p>
<w:p>
<w:pPr><w:pStyle w:val="Normal"/></w:pPr>
<w:r><w:t xml:space="preserve">of State.&apos;&apos; For a breach by the state of a contract made</w:t></w:r>
</w:p>
<w:p>
<w:pPr><w:pStyle w:val="Normal"/></w:pPr>
<w:r><w:t xml:space="preserve">between the state and a subject the remedy of the subject</w:t></w:r>
</w:p>
<w:p>
<w:pPr><w:pStyle w:val="Normal"/></w:pPr>
<w:r><w:t xml:space="preserve">is, as a general rule, not by action against the agents of</w:t></w:r>
</w:p>
<w:p>
<w:pPr><w:pStyle w:val="Normal"/></w:pPr>
<w:r><w:t xml:space="preserve">the state who acted for the state with reference to the making</w:t></w:r>
</w:p>
<w:p>
<w:pPr><w:pStyle w:val="Normal"/></w:pPr>
<w:r><w:t xml:space="preserve">or breach of the contract, but against the Crown itself by</w:t></w:r>
</w:p>
<w:p>
<w:pPr><w:pStyle w:val="Normal"/></w:pPr>
<w:r><w:t xml:space="preserve">the proceeding called Petition of Right (see PETITION).</w:t></w:r>
</w:p>
<w:p>
<w:pPr><w:pStyle w:val="Normal"/></w:pPr>
<w:r><w:t xml:space="preserve">While as a generic term ``action&apos;&apos; in its proper legal sense</w:t></w:r>
</w:p>
<w:p>
<w:pPr><w:pStyle w:val="Normal"/></w:pPr>
<w:r><w:t xml:space="preserve">includes suits by the Crown and ``criminal actions&apos;&apos; (see Co.</w:t></w:r>
</w:p>
<w:p>
<w:pPr><w:pStyle w:val="Normal"/></w:pPr>
<w:r><w:t xml:space="preserve">Litt. 284b; Bracton, de Legibus Angliae, bk. iii. ch. v.</w:t></w:r>
</w:p>
<w:p>
<w:pPr><w:pStyle w:val="Normal"/></w:pPr>
<w:r><w:t xml:space="preserve">f. 1046; Bradlaugh v. Clarke, 1883, 8 App. Cas. 354, 361,</w:t></w:r>
</w:p>
<w:p>
<w:pPr><w:pStyle w:val="Normal"/></w:pPr>
<w:r><w:t xml:space="preserve">374), in popular language it is taken to mean a proceeding</w:t></w:r>
</w:p>
<w:p>
<w:pPr><w:pStyle w:val="Normal"/></w:pPr>
<w:r><w:t xml:space="preserve">by a subject and is now rarely applied in England even by</w:t></w:r>
</w:p>
<w:p>
<w:pPr><w:pStyle w:val="Normal"/></w:pPr>
<w:r><w:t xml:space="preserve">lawyers to criminal proceedings.  What are now known as ``penal</w:t></w:r>
</w:p>
<w:p>
<w:pPr><w:pStyle w:val="Normal"/></w:pPr>
<w:r><w:t xml:space="preserve">actions,&apos;&apos; i.e. proceedings in which an individual who has</w:t></w:r>
</w:p>
<w:p>
<w:pPr><w:pStyle w:val="Normal"/></w:pPr>
<w:r><w:t xml:space="preserve">not suffered personally by a breach of the law sues as a common</w:t></w:r>
</w:p>
<w:p>
<w:pPr><w:pStyle w:val="Normal"/></w:pPr>
<w:r><w:t xml:space="preserve">informer for the statutory penalty either on his own benefit</w:t></w:r>
</w:p>
<w:p>
<w:pPr><w:pStyle w:val="Normal"/></w:pPr>
<w:r><w:t xml:space="preserve">or on behalf also of the Crown (qui tam pro rege quam pro se</w:t></w:r>
</w:p>
<w:p>
<w:pPr><w:pStyle w:val="Normal"/></w:pPr>
<w:r><w:t xml:space="preserve">ipso), bear some analogy to the actio popularis of Roman</w:t></w:r>
</w:p>
<w:p>
<w:pPr><w:pStyle w:val="Normal"/></w:pPr>
<w:r><w:t xml:space="preserve">law, from which they are derived (see the statute 4 Hen.</w:t></w:r>
</w:p>
<w:p>
<w:pPr><w:pStyle w:val="Heading1"/></w:pPr>
<w:r><w:t>VII. 1488); but they are now treated for most purposes as</w:t></w:r>
</w:p>
<w:p>
<w:pPr><w:pStyle w:val="Normal"/></w:pPr>
<w:r><w:t xml:space="preserve">civil and not as criminal proceedings.  The law of Scotland</w:t></w:r>
</w:p>
<w:p>
<w:pPr><w:pStyle w:val="Normal"/></w:pPr>
<w:r><w:t xml:space="preserve">follows the lines of the civil law, and the expression</w:t></w:r>
</w:p>
<w:p>
<w:pPr><w:pStyle w:val="Normal"/></w:pPr>
<w:r><w:t xml:space="preserve">``criminal action&apos;&apos; is in use to distinguish proceedings</w:t></w:r>
</w:p>
<w:p>
<w:pPr><w:pStyle w:val="Normal"/></w:pPr>
<w:r><w:t xml:space="preserve">to punish offences against the public as distinguished</w:t></w:r>
</w:p>
<w:p>
<w:pPr><w:pStyle w:val="Normal"/></w:pPr>
<w:r><w:t xml:space="preserve">from civil action, brought to enforce a private right.</w:t></w:r>
</w:p>
<w:p>
<w:pPr><w:pStyle w:val="Normal"/></w:pPr>
<w:r><w:t xml:space="preserve">In the United States, and the British colonies in which English</w:t></w:r>
</w:p>
<w:p>
<w:pPr><w:pStyle w:val="Normal"/></w:pPr>
<w:r><w:t xml:space="preserve">law runs by settlement, charter, proclamation or statute,</w:t></w:r>
</w:p>
<w:p>
<w:pPr><w:pStyle w:val="Normal"/></w:pPr>
<w:r><w:t xml:space="preserve">the nature of an action is substantially the same as in</w:t></w:r>
</w:p>
<w:p>
<w:pPr><w:pStyle w:val="Normal"/></w:pPr>
<w:r><w:t xml:space="preserve">England.  The differences between one state of the Union and</w:t></w:r>
</w:p>
<w:p>
<w:pPr><w:pStyle w:val="Normal"/></w:pPr>
<w:r><w:t xml:space="preserve">another, and one colony and another, depend mainly on the</w:t></w:r>
</w:p>
<w:p>
<w:pPr><w:pStyle w:val="Normal"/></w:pPr>
<w:r><w:t xml:space="preserve">extent to which the old procedure of the common law has been</w:t></w:r>
</w:p>
<w:p>
<w:pPr><w:pStyle w:val="Normal"/></w:pPr>
<w:r><w:t xml:space="preserve">abolished, simplified or reformed by local legislation.</w:t></w:r>
</w:p>
<w:p>
<w:pPr><w:pStyle w:val="Normal"/></w:pPr>
<w:r><w:t xml:space="preserve">AUTHORITIES.--Roman Law: Sohm, Institutes of Roman Law,</w:t></w:r>
</w:p>
<w:p>
<w:pPr><w:pStyle w:val="Normal"/></w:pPr>
<w:r><w:t xml:space="preserve">W. G. Ledlie (2nd ed., 1901).  English Law: Pollock and</w:t></w:r>
</w:p>
<w:p>
<w:pPr><w:pStyle w:val="Normal"/></w:pPr>
<w:r><w:t xml:space="preserve">Maitland, English Law; Holmes, The Common Law; Bullen</w:t></w:r>
</w:p>
<w:p>
<w:pPr><w:pStyle w:val="Normal"/></w:pPr>
<w:r><w:t xml:space="preserve">and Leake, Prec.  Pleadings (3rd ed.: 6th ed. 1905).</w:t></w:r>
</w:p>
<w:p>
<w:pPr><w:pStyle w:val="Normal"/></w:pPr>
<w:r><w:t xml:space="preserve">ACTIUM (mod. Punta), the ancient name of a promontory</w:t></w:r>
</w:p>
<w:p>
<w:pPr><w:pStyle w:val="Normal"/></w:pPr>
<w:r><w:t xml:space="preserve">in the north of Acarnania (Greece) at the mouth of the</w:t></w:r>
</w:p>
<w:p>
<w:pPr><w:pStyle w:val="Normal"/></w:pPr>
<w:r><w:t xml:space="preserve">Sinus Ambracius (Gulf of Arta) opposite Nicopolis, built</w:t></w:r>
</w:p>
<w:p>
<w:pPr><w:pStyle w:val="Normal"/></w:pPr>
<w:r><w:t xml:space="preserve">by Augustus on the north side of the strait.  On the</w:t></w:r>
</w:p>
<w:p>
<w:pPr><w:pStyle w:val="Normal"/></w:pPr>
<w:r><w:t xml:space="preserve">promontory was an ancient temple of Apollo Actius, which</w:t></w:r>
</w:p>
<w:p>
<w:pPr><w:pStyle w:val="Normal"/></w:pPr>
<w:r><w:t xml:space="preserve">was enlarged by Augustus, who also, in memory of the battle,</w:t></w:r>
</w:p>
<w:p>
<w:pPr><w:pStyle w:val="Normal"/></w:pPr>
<w:r><w:t xml:space="preserve">instituted or renewed the quinquennial games called Actia</w:t></w:r>
</w:p>
<w:p>
<w:pPr><w:pStyle w:val="Normal"/></w:pPr>
<w:r><w:t xml:space="preserve">or Ludi Actiaci. Actiaca Aera was a computation of time</w:t></w:r>
</w:p>
<w:p>
<w:pPr><w:pStyle w:val="Normal"/></w:pPr>
<w:r><w:t xml:space="preserve">from the battle of Actium.  There was on the promontory</w:t></w:r>
</w:p>
<w:p>
<w:pPr><w:pStyle w:val="Normal"/></w:pPr>
<w:r><w:t xml:space="preserve">a small town, or rather village, also called Actium.</w:t></w:r>
</w:p>
<w:p>
<w:pPr><w:pStyle w:val="Normal"/></w:pPr>
<w:r><w:t xml:space="preserve">History.-Actium belonged originally to the Corinthian</w:t></w:r>
</w:p>
<w:p>
<w:pPr><w:pStyle w:val="Normal"/></w:pPr>
<w:r><w:t xml:space="preserve">colonists of Anactorium, who probably founded the worship of</w:t></w:r>
</w:p>
<w:p>
<w:pPr><w:pStyle w:val="Normal"/></w:pPr>
<w:r><w:t xml:space="preserve">Apollo Actius and the Actia games; in the 3rd century it</w:t></w:r>
</w:p>
<w:p>
<w:pPr><w:pStyle w:val="Normal"/></w:pPr>
<w:r><w:t xml:space="preserve">fell to the Acarnanians, who subsequently held their synods</w:t></w:r>
</w:p>
<w:p>
<w:pPr><w:pStyle w:val="Normal"/></w:pPr>
<w:r><w:t xml:space="preserve">there.  Actium is chiefly famous as the site of Octavian&apos;s</w:t></w:r>
</w:p>
<w:p>
<w:pPr><w:pStyle w:val="Normal"/></w:pPr>
<w:r><w:t xml:space="preserve">decisive victory over Mark Antony (2nd of September 31 B.C.).</w:t></w:r>
</w:p>
<w:p>
<w:pPr><w:pStyle w:val="Normal"/></w:pPr>
<w:r><w:t xml:space="preserve">This battle ended a long series of ineffectual operations.</w:t></w:r>
</w:p>
<w:p>
<w:pPr><w:pStyle w:val="Normal"/></w:pPr>
<w:r><w:t xml:space="preserve">The final conflict was provoked by Antony, who is said to have</w:t></w:r>
</w:p>
<w:p>
<w:pPr><w:pStyle w:val="Normal"/></w:pPr>
<w:r><w:t xml:space="preserve">been persuaded by Cleopatra to retire to Egypt and give battle</w:t></w:r>
</w:p>
<w:p>
<w:pPr><w:pStyle w:val="Normal"/></w:pPr>
<w:r><w:t xml:space="preserve">to mask his retreat; but lack of provisions and the growing</w:t></w:r>
</w:p>
<w:p>
<w:pPr><w:pStyle w:val="Normal"/></w:pPr>
<w:r><w:t xml:space="preserve">demoralization of his army would sufficiently account for his</w:t></w:r>
</w:p>
<w:p>
<w:pPr><w:pStyle w:val="Normal"/></w:pPr>
<w:r><w:t xml:space="preserve">decision.  The fleets met outside the gulf, each over 200</w:t></w:r>
</w:p>
<w:p>
<w:pPr><w:pStyle w:val="Normal"/></w:pPr>
<w:r><w:t xml:space="preserve">strong (the totals given by ancient authorities are very</w:t></w:r>
</w:p>
<w:p>
<w:pPr><w:pStyle w:val="Normal"/></w:pPr>
<w:r><w:t xml:space="preserve">conflicting).  Antony&apos;s heavy battleships endeavoured to</w:t></w:r>
</w:p>
<w:p>
<w:pPr><w:pStyle w:val="Normal"/></w:pPr>
<w:r><w:t xml:space="preserve">close and crush the enemy with their artillery; Octavian&apos;s</w:t></w:r>
</w:p>
<w:p>
<w:pPr><w:pStyle w:val="Normal"/></w:pPr>
<w:r><w:t xml:space="preserve">light and mobile craft made skilful use of skirmishing</w:t></w:r>
</w:p>
<w:p>
<w:pPr><w:pStyle w:val="Normal"/></w:pPr>
<w:r><w:t xml:space="preserve">tactics.  During the engagement Cleopatra suddenly withdrew</w:t></w:r>
</w:p>
<w:p>
<w:pPr><w:pStyle w:val="Normal"/></w:pPr>
<w:r><w:t xml:space="preserve">her squadron and Antony slipped away behind her.  His</w:t></w:r>
</w:p>
<w:p>
<w:pPr><w:pStyle w:val="Normal"/></w:pPr>
<w:r><w:t xml:space="preserve">flight escaped notice, and the conflict remained undecided,</w:t></w:r>
</w:p>
<w:p>
<w:pPr><w:pStyle w:val="Normal"/></w:pPr>
<w:r><w:t xml:space="preserve">until Antony&apos;s fleet was set on fire and thus annihilated.</w:t></w:r>
</w:p>
<w:p>
<w:pPr><w:pStyle w:val="Normal"/></w:pPr>
<w:r><w:t xml:space="preserve">AUTHORITIES-- Dio Cassi us, 50.12-51.3; Plutarch, Antonius,</w:t></w:r>
</w:p>
<w:p>
<w:pPr><w:pStyle w:val="Normal"/></w:pPr>
<w:r><w:t xml:space="preserve">62-68; Velleius Paterculus, ii. 84-85.  C. Merivale, History</w:t></w:r>
</w:p>
<w:p>
<w:pPr><w:pStyle w:val="Normal"/></w:pPr>
<w:r><w:t xml:space="preserve">of the Romans under the Empire, iii. pp. 313-325 (London,</w:t></w:r>
</w:p>
<w:p>
<w:pPr><w:pStyle w:val="Normal"/></w:pPr>
<w:r><w:t xml:space="preserve">1851); V. Gardthausen, Augustus und seine Zeit, i. pp.</w:t></w:r>
</w:p>
<w:p>
<w:pPr><w:pStyle w:val="Normal"/></w:pPr>
<w:r><w:t xml:space="preserve">369-386, ii. pp. 189-201 (Leipzig, 1891 ): G. Ferrero</w:t></w:r>
</w:p>
<w:p>
<w:pPr><w:pStyle w:val="Normal"/></w:pPr>
<w:r><w:t xml:space="preserve">in the Revue de Paris, Mar. 15, 1906, pp. 225-243; b.</w:t></w:r>
</w:p>
<w:p>
<w:pPr><w:pStyle w:val="Normal"/></w:pPr>
<w:r><w:t xml:space="preserve">Kromayer, in Hermes, xxxiv. (1899), pp. 1-54. (M. O. B. C.)</w:t></w:r>
</w:p>
<w:p>
<w:pPr><w:pStyle w:val="Normal"/></w:pPr>
<w:r><w:t xml:space="preserve">ACT OF PARLIAMENT. An act of parliament may be regarded</w:t></w:r>
</w:p>
<w:p>
<w:pPr><w:pStyle w:val="Normal"/></w:pPr>
<w:r><w:t xml:space="preserve">as a declaration of the legislature, enforcing certain</w:t></w:r>
</w:p>
<w:p>
<w:pPr><w:pStyle w:val="Normal"/></w:pPr>
<w:r><w:t xml:space="preserve">rules of conduct, or defining rights and conferring them</w:t></w:r>
</w:p>
<w:p>
<w:pPr><w:pStyle w:val="Normal"/></w:pPr>
<w:r><w:t xml:space="preserve">upon or withholding them from certain persons or classes of</w:t></w:r>
</w:p>
<w:p>
<w:pPr><w:pStyle w:val="Normal"/></w:pPr>
<w:r><w:t xml:space="preserve">persons.  The collective body of such declarations constitutes</w:t></w:r>
</w:p>
<w:p>
<w:pPr><w:pStyle w:val="Normal"/></w:pPr>
<w:r><w:t xml:space="preserve">the statutes of the realm or written law of the British</w:t></w:r>
</w:p>
<w:p>
<w:pPr><w:pStyle w:val="Normal"/></w:pPr>
<w:r><w:t xml:space="preserve">nation, in the widest sense, from Anglo-Saxon times to the</w:t></w:r>
</w:p>
<w:p>
<w:pPr><w:pStyle w:val="Normal"/></w:pPr>
<w:r><w:t xml:space="preserve">present day.  It is not, however, till the earlier half</w:t></w:r>
</w:p>
<w:p>
<w:pPr><w:pStyle w:val="Normal"/></w:pPr>
<w:r><w:t xml:space="preserve">of the 13th century that, in a more limited constitutional</w:t></w:r>
</w:p>
<w:p>
<w:pPr><w:pStyle w:val="Normal"/></w:pPr>
<w:r><w:t xml:space="preserve">sense, the statute-book is generally held to open, and the</w:t></w:r>
</w:p>
<w:p>
<w:pPr><w:pStyle w:val="Normal"/></w:pPr>
<w:r><w:t xml:space="preserve">parliamentary records only begin to assume distinct outlines</w:t></w:r>
</w:p>
<w:p>
<w:pPr><w:pStyle w:val="Normal"/></w:pPr>
<w:r><w:t xml:space="preserve">late in the reign of Edward I. It gradually became a fixed</w:t></w:r>
</w:p>
<w:p>
<w:pPr><w:pStyle w:val="Normal"/></w:pPr>
<w:r><w:t xml:space="preserve">constitutional principle that an act of parliament, to be</w:t></w:r>
</w:p>
<w:p>
<w:pPr><w:pStyle w:val="Normal"/></w:pPr>
<w:r><w:t xml:space="preserve">valid, must express concurrently the will of the entire</w:t></w:r>
</w:p>
<w:p>
<w:pPr><w:pStyle w:val="Normal"/></w:pPr>
<w:r><w:t xml:space="preserve">legislature.  It was not, however, till the reign of Henry</w:t></w:r>
</w:p>
<w:p>
<w:pPr><w:pStyle w:val="Heading1"/></w:pPr>
<w:r><w:t>VI. that it became customary, as now, to introduce bills into</w:t></w:r>
</w:p>
<w:p>
<w:pPr><w:pStyle w:val="Normal"/></w:pPr>
<w:r><w:t xml:space="preserve">parliament in the form of finished acts; and the enacting</w:t></w:r>
</w:p>
<w:p>
<w:pPr><w:pStyle w:val="Normal"/></w:pPr>
<w:r><w:t xml:space="preserve">clause, regarded by constitutionalists as the first perfect</w:t></w:r>
</w:p>
<w:p>
<w:pPr><w:pStyle w:val="Normal"/></w:pPr>
<w:r><w:t xml:space="preserve">assertion, in words, of popular right, came into general</w:t></w:r>
</w:p>
<w:p>
<w:pPr><w:pStyle w:val="Normal"/></w:pPr>
<w:r><w:t xml:space="preserve">use as late as the reign of Charles II. It is thus expressed</w:t></w:r>
</w:p>
<w:p>
<w:pPr><w:pStyle w:val="Normal"/></w:pPr>
<w:r><w:t xml:space="preserve">in the case of all acts other than those granting money to</w:t></w:r>
</w:p>
<w:p>
<w:pPr><w:pStyle w:val="Normal"/></w:pPr>
<w:r><w:t xml:space="preserve">the crown:---``Be it enacted by the King&apos;s most excellent</w:t></w:r>
</w:p>
<w:p>
<w:pPr><w:pStyle w:val="Normal"/></w:pPr>
<w:r><w:t xml:space="preserve">Majesty, by and with the advice and consent of the Lords</w:t></w:r>
</w:p>
<w:p>
<w:pPr><w:pStyle w:val="Normal"/></w:pPr>
<w:r><w:t xml:space="preserve">Spiritual and Temporal and Commons in this present Parliament</w:t></w:r>
</w:p>
<w:p>
<w:pPr><w:pStyle w:val="Normal"/></w:pPr>
<w:r><w:t xml:space="preserve">assembled, and by the authority of the same.&apos;&apos; Where the</w:t></w:r>
</w:p>
<w:p>
<w:pPr><w:pStyle w:val="Normal"/></w:pPr>
<w:r><w:t xml:space="preserve">act is a money grant the enacting clause is prefaced by the</w:t></w:r>
</w:p>
<w:p>
<w:pPr><w:pStyle w:val="Normal"/></w:pPr>
<w:r><w:t xml:space="preserve">words, ``Most gracious Sovereign, we, Your Majesty&apos;s most</w:t></w:r>
</w:p>
<w:p>
<w:pPr><w:pStyle w:val="Normal"/></w:pPr>
<w:r><w:t xml:space="preserve">dutiful and loyal subjects, the Commons of the United Kingdom</w:t></w:r>
</w:p>
<w:p>
<w:pPr><w:pStyle w:val="Normal"/></w:pPr>
<w:r><w:t xml:space="preserve">of Great Britain and Ireland, in Parliament assembled, towards</w:t></w:r>
</w:p>
<w:p>
<w:pPr><w:pStyle w:val="Normal"/></w:pPr>
<w:r><w:t xml:space="preserve">making good the supply1 which we have cheerfully granted</w:t></w:r>
</w:p>
<w:p>
<w:pPr><w:pStyle w:val="Normal"/></w:pPr>
<w:r><w:t xml:space="preserve">to Your Majesty in this session of Parliament, have resolved</w:t></w:r>
</w:p>
<w:p>
<w:pPr><w:pStyle w:val="Normal"/></w:pPr>
<w:r><w:t xml:space="preserve">to grant unto Your Majesty the sums hereinafter mentioned;</w:t></w:r>
</w:p>
<w:p>
<w:pPr><w:pStyle w:val="Normal"/></w:pPr>
<w:r><w:t xml:space="preserve">and do therefore most humbly beseech Your Majesty that it</w:t></w:r>
</w:p>
<w:p>
<w:pPr><w:pStyle w:val="Normal"/></w:pPr>
<w:r><w:t xml:space="preserve">may be enacted, &amp;c.&apos;&apos; The use of the preamble with which</w:t></w:r>
</w:p>
<w:p>
<w:pPr><w:pStyle w:val="Normal"/></w:pPr>
<w:r><w:t xml:space="preserve">acts are usually prefaced is thus quaintly set forth by Lord</w:t></w:r>
</w:p>
<w:p>
<w:pPr><w:pStyle w:val="Normal"/></w:pPr>
<w:r><w:t xml:space="preserve">Coke: ``The rehearsal or preamble of the statute is a good</w:t></w:r>
</w:p>
<w:p>
<w:pPr><w:pStyle w:val="Normal"/></w:pPr>
<w:r><w:t xml:space="preserve">meane to find out the meaning of the statute, and, as it</w:t></w:r>
</w:p>
<w:p>
<w:pPr><w:pStyle w:val="Normal"/></w:pPr>
<w:r><w:t xml:space="preserve">were, a key to open the understanding thereof&apos;&apos; (Co. Litt.</w:t></w:r>
</w:p>
<w:p>
<w:pPr><w:pStyle w:val="Normal"/></w:pPr>
<w:r><w:t xml:space="preserve">79a).  Originally the collective acts of each session formed</w:t></w:r>
</w:p>
<w:p>
<w:pPr><w:pStyle w:val="Normal"/></w:pPr>
<w:r><w:t xml:space="preserve">but one statute, to which a general title was attached,</w:t></w:r>
</w:p>
<w:p>
<w:pPr><w:pStyle w:val="Normal"/></w:pPr>
<w:r><w:t xml:space="preserve">and for this reason an act of parliament was up to 1892</w:t></w:r>
</w:p>
<w:p>
<w:pPr><w:pStyle w:val="Normal"/></w:pPr>
<w:r><w:t xml:space="preserve">generally cited as the chapter of a particular statute, e.g.</w:t></w:r>
</w:p>
<w:p>
<w:pPr><w:pStyle w:val="Normal"/></w:pPr>
<w:r><w:t xml:space="preserve">24 and 25 Vict. c. 101. Titles were, however, prefixed to</w:t></w:r>
</w:p>
<w:p>
<w:pPr><w:pStyle w:val="Normal"/></w:pPr>
<w:r><w:t xml:space="preserve">individual acts as early as 1488.  Now, by the Short Titles</w:t></w:r>
</w:p>
<w:p>
<w:pPr><w:pStyle w:val="Normal"/></w:pPr>
<w:r><w:t xml:space="preserve">Act 1892, it is optional to cite most important acts up</w:t></w:r>
</w:p>
<w:p>
<w:pPr><w:pStyle w:val="Normal"/></w:pPr>
<w:r><w:t xml:space="preserve">to that date by their short titles, either individually or</w:t></w:r>
</w:p>
<w:p>
<w:pPr><w:pStyle w:val="Normal"/></w:pPr>
<w:r><w:t xml:space="preserve">collectively.  Most modern acts have borne short titles</w:t></w:r>
</w:p>
<w:p>
<w:pPr><w:pStyle w:val="Normal"/></w:pPr>
<w:r><w:t xml:space="preserve">independently of the act of 1892. (See PARLIAMENT; STATUTE.)</w:t></w:r>
</w:p>
<w:p>
<w:pPr><w:pStyle w:val="Normal"/></w:pPr>
<w:r><w:t xml:space="preserve">1 Where the grant is not of supply, the preamble varies a</w:t></w:r>
</w:p>
<w:p>
<w:pPr><w:pStyle w:val="Normal"/></w:pPr>
<w:r><w:t xml:space="preserve">little, e.g. in the Prince of Wales&apos;s Children Act 1889.</w:t></w:r>
</w:p>
<w:p>
<w:pPr><w:pStyle w:val="Normal"/></w:pPr>
<w:r><w:t xml:space="preserve">ACTON (JOHN EMERICH EDWARD DALBERG ACTON), IST BARON</w:t></w:r>
</w:p>
<w:p>
<w:pPr><w:pStyle w:val="Normal"/></w:pPr>
<w:r><w:t xml:space="preserve">(1834-1902), English historian, only son of Sir Richard Acton,</w:t></w:r>
</w:p>
<w:p>
<w:pPr><w:pStyle w:val="Normal"/></w:pPr>
<w:r><w:t xml:space="preserve">7th baronet, and grandson of the Neapolitan admiral, Sir J.</w:t></w:r>
</w:p>
<w:p>
<w:pPr><w:pStyle w:val="Normal"/></w:pPr>
<w:r><w:t xml:space="preserve">F. E. Acton, 6th baronet (q.v.), was born at Naples on the</w:t></w:r>
</w:p>
<w:p>
<w:pPr><w:pStyle w:val="Normal"/></w:pPr>
<w:r><w:t xml:space="preserve">10th of January 1834.  His grandfather, who had succeeded</w:t></w:r>
</w:p>
<w:p>
<w:pPr><w:pStyle w:val="Normal"/></w:pPr>
<w:r><w:t xml:space="preserve">in 1791 to the baronetcy and family estates in Shropshire,</w:t></w:r>
</w:p>
<w:p>
<w:pPr><w:pStyle w:val="Normal"/></w:pPr>
<w:r><w:t xml:space="preserve">previously held by the English branch of the Acton family,</w:t></w:r>
</w:p>
<w:p>
<w:pPr><w:pStyle w:val="Normal"/></w:pPr>
<w:r><w:t xml:space="preserve">represented a younger branch which had transferred itself</w:t></w:r>
</w:p>
<w:p>
<w:pPr><w:pStyle w:val="Normal"/></w:pPr>
<w:r><w:t xml:space="preserve">first to France and then to Italy, but by the extinction of the</w:t></w:r>
</w:p>
<w:p>
<w:pPr><w:pStyle w:val="Normal"/></w:pPr>
<w:r><w:t xml:space="preserve">elder branch the admiral became head of the family; his eldest</w:t></w:r>
</w:p>
<w:p>
<w:pPr><w:pStyle w:val="Normal"/></w:pPr>
<w:r><w:t xml:space="preserve">son, Richard, had married Marie Louise Pelline, the daughter</w:t></w:r>
</w:p>
<w:p>
<w:pPr><w:pStyle w:val="Normal"/></w:pPr>
<w:r><w:t xml:space="preserve">and heiress of Emerich Joseph, duc de Dalberg (q.v.), a</w:t></w:r>
</w:p>
<w:p>
<w:pPr><w:pStyle w:val="Normal"/></w:pPr>
<w:r><w:t xml:space="preserve">naturalized French noble of ancient German lineage who had</w:t></w:r>
</w:p>
<w:p>
<w:pPr><w:pStyle w:val="Normal"/></w:pPr>
<w:r><w:t xml:space="preserve">entered thc French service under Napoleon and represented</w:t></w:r>
</w:p>
<w:p>
<w:pPr><w:pStyle w:val="Normal"/></w:pPr>
<w:r><w:t xml:space="preserve">Louis XVIII. at the congress of Vienna in 1814, and after</w:t></w:r>
</w:p>
<w:p>
<w:pPr><w:pStyle w:val="Normal"/></w:pPr>
<w:r><w:t xml:space="preserve">Sir Richard Acton&apos;s death in 1837 she became (1840) the</w:t></w:r>
</w:p>
<w:p>
<w:pPr><w:pStyle w:val="Normal"/></w:pPr>
<w:r><w:t xml:space="preserve">wife of the 2nd Earl Granville.  Coming of a Roman Catholic</w:t></w:r>
</w:p>
<w:p>
<w:pPr><w:pStyle w:val="Normal"/></w:pPr>
<w:r><w:t xml:space="preserve">family, young Acton was educated at Oscott till 1848 under</w:t></w:r>
</w:p>
<w:p>
<w:pPr><w:pStyle w:val="Normal"/></w:pPr>
<w:r><w:t xml:space="preserve">Dr (afterwards Cardinal) Wiseman, and then at Edinburgh,</w:t></w:r>
</w:p>
<w:p>
<w:pPr><w:pStyle w:val="Normal"/></w:pPr>
<w:r><w:t xml:space="preserve">and at Munich under Dollinger, whose lifelong friend he</w:t></w:r>
</w:p>
<w:p>
<w:pPr><w:pStyle w:val="Normal"/></w:pPr>
<w:r><w:t xml:space="preserve">became.  He had wished to go to Cambridge, but for a Roman</w:t></w:r>
</w:p>
<w:p>
<w:pPr><w:pStyle w:val="Normal"/></w:pPr>
<w:r><w:t xml:space="preserve">Catholic this was then impossible.  By Dollinger he was</w:t></w:r>
</w:p>
<w:p>
<w:pPr><w:pStyle w:val="Normal"/></w:pPr>
<w:r><w:t xml:space="preserve">inspired with a deep love of historical research and a profound</w:t></w:r>
</w:p>
<w:p>
<w:pPr><w:pStyle w:val="Normal"/></w:pPr>
<w:r><w:t xml:space="preserve">conception of its functions as a critical instrument.  He was</w:t></w:r>
</w:p>
<w:p>
<w:pPr><w:pStyle w:val="Normal"/></w:pPr>
<w:r><w:t xml:space="preserve">a master of the chief foreign languages, and began at an early</w:t></w:r>
</w:p>
<w:p>
<w:pPr><w:pStyle w:val="Normal"/></w:pPr>
<w:r><w:t xml:space="preserve">age to collect a magnificent historical library, with the</w:t></w:r>
</w:p>
<w:p>
<w:pPr><w:pStyle w:val="Normal"/></w:pPr>
<w:r><w:t xml:space="preserve">object, never in fact realized, of writing a great History of</w:t></w:r>
</w:p>
<w:p>
<w:pPr><w:pStyle w:val="Normal"/></w:pPr>
<w:r><w:t xml:space="preserve">Liberty.  In politics he was always an ardent Liberal.  Without</w:t></w:r>
</w:p>
<w:p>
<w:pPr><w:pStyle w:val="Normal"/></w:pPr>
<w:r><w:t xml:space="preserve">being a notable traveller, he spent much time in the chief</w:t></w:r>
</w:p>
<w:p>
<w:pPr><w:pStyle w:val="Normal"/></w:pPr>
<w:r><w:t xml:space="preserve">intellectual centres of Europe, and in the United States,</w:t></w:r>
</w:p>
<w:p>
<w:pPr><w:pStyle w:val="Normal"/></w:pPr>
<w:r><w:t xml:space="preserve">and numbered among his friends such men as Montalembert, De</w:t></w:r>
</w:p>
<w:p>
<w:pPr><w:pStyle w:val="Normal"/></w:pPr>
<w:r><w:t xml:space="preserve">Tocqueville.  Fustel de Coulanges, Bluntschli, von Sybel and</w:t></w:r>
</w:p>
<w:p>
<w:pPr><w:pStyle w:val="Normal"/></w:pPr>
<w:r><w:t xml:space="preserve">Ranke.  He was attached to Lord Granville&apos;s mission to Moscow,</w:t></w:r>
</w:p>
<w:p>
<w:pPr><w:pStyle w:val="Normal"/></w:pPr>
<w:r><w:t xml:space="preserve">as British representative at the coronation of Alexander II. in</w:t></w:r>
</w:p>
<w:p>
<w:pPr><w:pStyle w:val="Normal"/></w:pPr>
<w:r><w:t xml:space="preserve">1856.  In 1859 Sir John Acton settled in England, at his country</w:t></w:r>
</w:p>
<w:p>
<w:pPr><w:pStyle w:val="Normal"/></w:pPr>
<w:r><w:t xml:space="preserve">house, Aldenham, in Shropshire.  He was returned to the House</w:t></w:r>
</w:p>
<w:p>
<w:pPr><w:pStyle w:val="Normal"/></w:pPr>
<w:r><w:t xml:space="preserve">of Commons in that year for the Irish borough of Carlow, and</w:t></w:r>
</w:p>
<w:p>
<w:pPr><w:pStyle w:val="Normal"/></w:pPr>
<w:r><w:t xml:space="preserve">became a devoted admirer and adherent of Mr Gladstone; but he</w:t></w:r>
</w:p>
<w:p>
<w:pPr><w:pStyle w:val="Normal"/></w:pPr>
<w:r><w:t xml:space="preserve">was practically a silent member, and his parliamentary career</w:t></w:r>
</w:p>
<w:p>
<w:pPr><w:pStyle w:val="Normal"/></w:pPr>
<w:r><w:t xml:space="preserve">came to an end after the general election of 1865, when,</w:t></w:r>
</w:p>
<w:p>
<w:pPr><w:pStyle w:val="Normal"/></w:pPr>
<w:r><w:t xml:space="preserve">having headed the poll for Bridgnorth, he was unseated on a</w:t></w:r>
</w:p>
<w:p>
<w:pPr><w:pStyle w:val="Normal"/></w:pPr>
<w:r><w:t xml:space="preserve">scrutiny; he contested Bridgnorth again in 1868, but without</w:t></w:r>
</w:p>
<w:p>
<w:pPr><w:pStyle w:val="Normal"/></w:pPr>
<w:r><w:t xml:space="preserve">success.  Meanwhile he had become editor of the Roman Catholic</w:t></w:r>
</w:p>
<w:p>
<w:pPr><w:pStyle w:val="Normal"/></w:pPr>
<w:r><w:t xml:space="preserve">monthly paper, the Rambler, in 1859, on J. H. Newman&apos;s</w:t></w:r>
</w:p>
<w:p>
<w:pPr><w:pStyle w:val="Normal"/></w:pPr>
<w:r><w:t xml:space="preserve">retirement from the editorship; and in 1862 he merged this</w:t></w:r>
</w:p>
<w:p>
<w:pPr><w:pStyle w:val="Normal"/></w:pPr>
<w:r><w:t xml:space="preserve">periodical in the Home and Foreign Review. His contributions</w:t></w:r>
</w:p>
<w:p>
<w:pPr><w:pStyle w:val="Normal"/></w:pPr>
<w:r><w:t xml:space="preserve">at once gave evidence of his remarkable wealth of historical</w:t></w:r>
</w:p>
<w:p>
<w:pPr><w:pStyle w:val="Normal"/></w:pPr>
<w:r><w:t xml:space="preserve">knowledge.  But though a sincere Roman Catholic, his whole</w:t></w:r>
</w:p>
<w:p>
<w:pPr><w:pStyle w:val="Normal"/></w:pPr>
<w:r><w:t xml:space="preserve">spirit as a historian was hostile to ultramontane pretensions,</w:t></w:r>
</w:p>
<w:p>
<w:pPr><w:pStyle w:val="Normal"/></w:pPr>
<w:r><w:t xml:space="preserve">and his independence of thought and liberalism of view</w:t></w:r>
</w:p>
<w:p>
<w:pPr><w:pStyle w:val="Normal"/></w:pPr>
<w:r><w:t xml:space="preserve">speedily brought him into conflict with the Roman Catholic</w:t></w:r>
</w:p>
<w:p>
<w:pPr><w:pStyle w:val="Normal"/></w:pPr>
<w:r><w:t xml:space="preserve">hierarchy.  As early as August 1862, Cardinal Wiseman publicly</w:t></w:r>
</w:p>
<w:p>
<w:pPr><w:pStyle w:val="Normal"/></w:pPr>
<w:r><w:t xml:space="preserve">censured the Review; and when in 1864, after Dollinger&apos;s</w:t></w:r>
</w:p>
<w:p>
<w:pPr><w:pStyle w:val="Normal"/></w:pPr>
<w:r><w:t xml:space="preserve">appeal at the Munich Congress for a less hostile attitude</w:t></w:r>
</w:p>
<w:p>
<w:pPr><w:pStyle w:val="Normal"/></w:pPr>
<w:r><w:t xml:space="preserve">towards historical criticism, the pope issued a declaration</w:t></w:r>
</w:p>
<w:p>
<w:pPr><w:pStyle w:val="Normal"/></w:pPr>
<w:r><w:t xml:space="preserve">that the opinions of Catholic writers were subject to the</w:t></w:r>
</w:p>
<w:p>
<w:pPr><w:pStyle w:val="Normal"/></w:pPr>
<w:r><w:t xml:space="preserve">authority of the Roman congregations, Acton felt that there</w:t></w:r>
</w:p>
<w:p>
<w:pPr><w:pStyle w:val="Normal"/></w:pPr>
<w:r><w:t xml:space="preserve">was only one way of reconciling his literary conscience with</w:t></w:r>
</w:p>
<w:p>
<w:pPr><w:pStyle w:val="Normal"/></w:pPr>
<w:r><w:t xml:space="preserve">his ecclesiastical loyalty, and he stopped the publication of</w:t></w:r>
</w:p>
<w:p>
<w:pPr><w:pStyle w:val="Normal"/></w:pPr>
<w:r><w:t xml:space="preserve">his monthly periodical.  He continued, however, to contribute</w:t></w:r>
</w:p>
<w:p>
<w:pPr><w:pStyle w:val="Normal"/></w:pPr>
<w:r><w:t xml:space="preserve">articles to the North British Review, which, previously</w:t></w:r>
</w:p>
<w:p>
<w:pPr><w:pStyle w:val="Normal"/></w:pPr>
<w:r><w:t xml:space="preserve">a Scottish Free Church organ, had been acquired by friends</w:t></w:r>
</w:p>
<w:p>
<w:pPr><w:pStyle w:val="Normal"/></w:pPr>
<w:r><w:t xml:space="preserve">in sympathy with him, and which for some years (until 1872,</w:t></w:r>
</w:p>
<w:p>
<w:pPr><w:pStyle w:val="Normal"/></w:pPr>
<w:r><w:t xml:space="preserve">when it ceased to appear) actively promoted the interests of</w:t></w:r>
</w:p>
<w:p>
<w:pPr><w:pStyle w:val="Normal"/></w:pPr>
<w:r><w:t xml:space="preserve">a high-class Liberalism in both temporal and ecclesiastical</w:t></w:r>
</w:p>
<w:p>
<w:pPr><w:pStyle w:val="Normal"/></w:pPr>
<w:r><w:t xml:space="preserve">matters; he also did a good deal of lecturing on historical</w:t></w:r>
</w:p>
<w:p>
<w:pPr><w:pStyle w:val="Normal"/></w:pPr>
<w:r><w:t xml:space="preserve">subjects.  In 1865 he married the Countess Marie, daughter</w:t></w:r>
</w:p>
<w:p>
<w:pPr><w:pStyle w:val="Normal"/></w:pPr>
<w:r><w:t xml:space="preserve">of the Bavarian Count Arco-Valley, by whom he had one son</w:t></w:r>
</w:p>
<w:p>
<w:pPr><w:pStyle w:val="Normal"/></w:pPr>
<w:r><w:t xml:space="preserve">and three daughters.  In 1869 he was raised to the peerage</w:t></w:r>
</w:p>
<w:p>
<w:pPr><w:pStyle w:val="Normal"/></w:pPr>
<w:r><w:t xml:space="preserve">by Gladstone as Baron Acton; he was an intimate friend and</w:t></w:r>
</w:p>
<w:p>
<w:pPr><w:pStyle w:val="Normal"/></w:pPr>
<w:r><w:t xml:space="preserve">constant correspondent of the Liberal leader, and the two</w:t></w:r>
</w:p>
<w:p>
<w:pPr><w:pStyle w:val="Normal"/></w:pPr>
<w:r><w:t xml:space="preserve">men had the very highest regard for one another.  Matthew</w:t></w:r>
</w:p>
<w:p>
<w:pPr><w:pStyle w:val="Normal"/></w:pPr>
<w:r><w:t xml:space="preserve">Arnold used to say that ``Gladstone influences all round</w:t></w:r>
</w:p>
<w:p>
<w:pPr><w:pStyle w:val="Normal"/></w:pPr>
<w:r><w:t xml:space="preserve">him but Acton; it is Acton who influences Gladstone.&apos;&apos;</w:t></w:r>
</w:p>
<w:p>
<w:pPr><w:pStyle w:val="Normal"/></w:pPr>
<w:r><w:t xml:space="preserve">In 1870 came the great crisis in the Roman Catholic world</w:t></w:r>
</w:p>
<w:p>
<w:pPr><w:pStyle w:val="Normal"/></w:pPr>
<w:r><w:t xml:space="preserve">over the promulgation by Pius IX. of the dogma of papal</w:t></w:r>
</w:p>
<w:p>
<w:pPr><w:pStyle w:val="Normal"/></w:pPr>
<w:r><w:t xml:space="preserve">infallibility.  Lord Acton, who was in complete sympathy on</w:t></w:r>
</w:p>
<w:p>
<w:pPr><w:pStyle w:val="Normal"/></w:pPr>
<w:r><w:t xml:space="preserve">this subject with Dollinger (q.v.), went to Rome in order</w:t></w:r>
</w:p>
<w:p>
<w:pPr><w:pStyle w:val="Normal"/></w:pPr>
<w:r><w:t xml:space="preserve">to throw all his influence against it, but the step he so much</w:t></w:r>
</w:p>
<w:p>
<w:pPr><w:pStyle w:val="Normal"/></w:pPr>
<w:r><w:t xml:space="preserve">dreaded was not to be averted.  The Old Catholic separation</w:t></w:r>
</w:p>
<w:p>
<w:pPr><w:pStyle w:val="Normal"/></w:pPr>
<w:r><w:t xml:space="preserve">followed, but Acton did not personally join the seceders,</w:t></w:r>
</w:p>
<w:p>
<w:pPr><w:pStyle w:val="Normal"/></w:pPr>
<w:r><w:t xml:space="preserve">and the authorities prudently refrained from forcing the</w:t></w:r>
</w:p>
<w:p>
<w:pPr><w:pStyle w:val="Normal"/></w:pPr>
<w:r><w:t xml:space="preserve">hands of so competent and influential an English layman.  In</w:t></w:r>
</w:p>
<w:p>
<w:pPr><w:pStyle w:val="Normal"/></w:pPr>
<w:r><w:t xml:space="preserve">1874, when Gladstone published his pamphlet on The Vatican</w:t></w:r>
</w:p>
<w:p>
<w:pPr><w:pStyle w:val="Normal"/></w:pPr>
<w:r><w:t xml:space="preserve">Decrees, Lord Acton wrote during November and December a</w:t></w:r>
</w:p>
<w:p>
<w:pPr><w:pStyle w:val="Normal"/></w:pPr>
<w:r><w:t xml:space="preserve">series of remarkable letters to The Times, illustrating</w:t></w:r>
</w:p>
<w:p>
<w:pPr><w:pStyle w:val="Normal"/></w:pPr>
<w:r><w:t xml:space="preserve">Gladstone&apos;s main theme by numerous historical examples of papal</w:t></w:r>
</w:p>
<w:p>
<w:pPr><w:pStyle w:val="Normal"/></w:pPr>
<w:r><w:t xml:space="preserve">inconsistency, in a way which must have been bitter enough</w:t></w:r>
</w:p>
<w:p>
<w:pPr><w:pStyle w:val="Normal"/></w:pPr>
<w:r><w:t xml:space="preserve">to the ultramontane party, but demurring nevertheless to</w:t></w:r>
</w:p>
<w:p>
<w:pPr><w:pStyle w:val="Normal"/></w:pPr>
<w:r><w:t xml:space="preserve">Gladstone&apos;s conclusion and insisting that the Church itself</w:t></w:r>
</w:p>
<w:p>
<w:pPr><w:pStyle w:val="Normal"/></w:pPr>
<w:r><w:t xml:space="preserve">was better than its premisses implied.  Acton&apos;s letters led</w:t></w:r>
</w:p>
<w:p>
<w:pPr><w:pStyle w:val="Normal"/></w:pPr>
<w:r><w:t xml:space="preserve">to another storm in the English Roman Catholic world, but once</w:t></w:r>
</w:p>
<w:p>
<w:pPr><w:pStyle w:val="Normal"/></w:pPr>
<w:r><w:t xml:space="preserve">more it was considered prudent by the Vatican to leave him</w:t></w:r>
</w:p>
<w:p>
<w:pPr><w:pStyle w:val="Normal"/></w:pPr>
<w:r><w:t xml:space="preserve">alone.  In spite of his reservations, he regarded ``communion</w:t></w:r>
</w:p>
<w:p>
<w:pPr><w:pStyle w:val="Normal"/></w:pPr>
<w:r><w:t xml:space="preserve">with Rome as dearer than life.&apos;&apos; Thenceforth he steered clear</w:t></w:r>
</w:p>
<w:p>
<w:pPr><w:pStyle w:val="Normal"/></w:pPr>
<w:r><w:t xml:space="preserve">of theological polemics.  He devoted himself to persistent</w:t></w:r>
</w:p>
<w:p>
<w:pPr><w:pStyle w:val="Normal"/></w:pPr>
<w:r><w:t xml:space="preserve">reading and study, combined with congenial society.  With</w:t></w:r>
</w:p>
<w:p>
<w:pPr><w:pStyle w:val="Normal"/></w:pPr>
<w:r><w:t xml:space="preserve">all his capacity for study he was a man of the world, and a</w:t></w:r>
</w:p>
<w:p>
<w:pPr><w:pStyle w:val="Normal"/></w:pPr>
<w:r><w:t xml:space="preserve">man of affairs, not a bookworm.  Little indeed came from his</w:t></w:r>
</w:p>
<w:p>
<w:pPr><w:pStyle w:val="Normal"/></w:pPr>
<w:r><w:t xml:space="preserve">pen, his only notable publications being a masterly essay</w:t></w:r>
</w:p>
<w:p>
<w:pPr><w:pStyle w:val="Normal"/></w:pPr>
<w:r><w:t xml:space="preserve">in the Quarterly Review of January 1878 on ``Democracy in</w:t></w:r>
</w:p>
<w:p>
<w:pPr><w:pStyle w:val="Normal"/></w:pPr>
<w:r><w:t xml:space="preserve">Europe&apos;&apos;; two lectures delivered at Bridgnorth in 1877 on ``The</w:t></w:r>
</w:p>
<w:p>
<w:pPr><w:pStyle w:val="Normal"/></w:pPr>
<w:r><w:t xml:space="preserve">History of Freedom in Antiquity&apos;&apos; and ``The History of Freedom</w:t></w:r>
</w:p>
<w:p>
<w:pPr><w:pStyle w:val="Normal"/></w:pPr>
<w:r><w:t xml:space="preserve">in Christianity&apos;&apos;--these last the only tangible portions put</w:t></w:r>
</w:p>
<w:p>
<w:pPr><w:pStyle w:val="Normal"/></w:pPr>
<w:r><w:t xml:space="preserve">together by him of his long-projected ``History of Liberty&apos;&apos;;</w:t></w:r>
</w:p>
<w:p>
<w:pPr><w:pStyle w:val="Normal"/></w:pPr>
<w:r><w:t xml:space="preserve">and an essay on modern German historians in the first number</w:t></w:r>
</w:p>
<w:p>
<w:pPr><w:pStyle w:val="Normal"/></w:pPr>
<w:r><w:t xml:space="preserve">of the English Historical Review, which he helped to found</w:t></w:r>
</w:p>
<w:p>
<w:pPr><w:pStyle w:val="Normal"/></w:pPr>
<w:r><w:t xml:space="preserve">(1886).  After 1879 he divided his time between London, Cannes</w:t></w:r>
</w:p>
<w:p>
<w:pPr><w:pStyle w:val="Normal"/></w:pPr>
<w:r><w:t xml:space="preserve">and Tegernsee in Bavaria, enjoying and reciprocating the</w:t></w:r>
</w:p>
<w:p>
<w:pPr><w:pStyle w:val="Normal"/></w:pPr>
<w:r><w:t xml:space="preserve">society of his friends.  In 1872 he had been given the honorary</w:t></w:r>
</w:p>
<w:p>
<w:pPr><w:pStyle w:val="Normal"/></w:pPr>
<w:r><w:t xml:space="preserve">degree of doctor of philosophy by Munich University; in 1888</w:t></w:r>
</w:p>
<w:p>
<w:pPr><w:pStyle w:val="Normal"/></w:pPr>
<w:r><w:t xml:space="preserve">Cambridge gave him the honorary degree of LL.D., and in 1889</w:t></w:r>
</w:p>
<w:p>
<w:pPr><w:pStyle w:val="Normal"/></w:pPr>
<w:r><w:t xml:space="preserve">Oxford the D.C.L.; and in 1890 he was made a fellow of All</w:t></w:r>
</w:p>
<w:p>
<w:pPr><w:pStyle w:val="Normal"/></w:pPr>
<w:r><w:t xml:space="preserve">Souls.  His reputation for learning had gradually been</w:t></w:r>
</w:p>
<w:p>
<w:pPr><w:pStyle w:val="Normal"/></w:pPr>
<w:r><w:t xml:space="preserve">spread abroad, largely through Gladstone&apos;s influence.  The</w:t></w:r>
</w:p>
<w:p>
<w:pPr><w:pStyle w:val="Normal"/></w:pPr>
<w:r><w:t xml:space="preserve">latter found him a valuable political adviser, and in 1892,</w:t></w:r>
</w:p>
<w:p>
<w:pPr><w:pStyle w:val="Normal"/></w:pPr>
<w:r><w:t xml:space="preserve">when the Liberal government came in, Lord Acton was made a</w:t></w:r>
</w:p>
<w:p>
<w:pPr><w:pStyle w:val="Normal"/></w:pPr>
<w:r><w:t xml:space="preserve">lord-in-waiting.  Finally, in 1895, on the death of Sir John</w:t></w:r>
</w:p>
<w:p>
<w:pPr><w:pStyle w:val="Normal"/></w:pPr>
<w:r><w:t xml:space="preserve">Seeley, Lord Rosebery appointed him to the Regius Professorship</w:t></w:r>
</w:p>
<w:p>
<w:pPr><w:pStyle w:val="Normal"/></w:pPr>
<w:r><w:t xml:space="preserve">of Modern History at Cambridge.  The choice was an excellent</w:t></w:r>
</w:p>
<w:p>
<w:pPr><w:pStyle w:val="Normal"/></w:pPr>
<w:r><w:t xml:space="preserve">one.  His inaugural lecture on ``The Study of History,&apos;&apos;</w:t></w:r>
</w:p>
<w:p>
<w:pPr><w:pStyle w:val="Normal"/></w:pPr>
<w:r><w:t xml:space="preserve">afterwards published with notes displaying a vast erudition,</w:t></w:r>
</w:p>
<w:p>
<w:pPr><w:pStyle w:val="Normal"/></w:pPr>
<w:r><w:t xml:space="preserve">made a great impression in the university, and the new</w:t></w:r>
</w:p>
<w:p>
<w:pPr><w:pStyle w:val="Normal"/></w:pPr>
<w:r><w:t xml:space="preserve">professor&apos;s influence on historical study was felt in many</w:t></w:r>
</w:p>
<w:p>
<w:pPr><w:pStyle w:val="Normal"/></w:pPr>
<w:r><w:t xml:space="preserve">important directions.  He delivered two valuable courses of</w:t></w:r>
</w:p>
<w:p>
<w:pPr><w:pStyle w:val="Normal"/></w:pPr>
<w:r><w:t xml:space="preserve">lectures, on the French Revolution and on Modern History,</w:t></w:r>
</w:p>
<w:p>
<w:pPr><w:pStyle w:val="Normal"/></w:pPr>
<w:r><w:t xml:space="preserve">but it was in private that the effects of his teaching</w:t></w:r>
</w:p>
<w:p>
<w:pPr><w:pStyle w:val="Normal"/></w:pPr>
<w:r><w:t xml:space="preserve">were most marked.  The great Cambridge Modern History,</w:t></w:r>
</w:p>
<w:p>
<w:pPr><w:pStyle w:val="Normal"/></w:pPr>
<w:r><w:t xml:space="preserve">though he did not live to see it, was planned under his</w:t></w:r>
</w:p>
<w:p>
<w:pPr><w:pStyle w:val="Normal"/></w:pPr>
<w:r><w:t xml:space="preserve">editorship, and all who came in contact with him testified</w:t></w:r>
</w:p>
<w:p>
<w:pPr><w:pStyle w:val="Normal"/></w:pPr>
<w:r><w:t xml:space="preserve">to his stimulating powers and his extraordinary range of</w:t></w:r>
</w:p>
<w:p>
<w:pPr><w:pStyle w:val="Normal"/></w:pPr>
<w:r><w:t xml:space="preserve">knowledge.  He was taken ill, however, in 1901, and died on</w:t></w:r>
</w:p>
<w:p>
<w:pPr><w:pStyle w:val="Normal"/></w:pPr>
<w:r><w:t xml:space="preserve">the 19th of June 1902, being succeeded in the title by his</w:t></w:r>
</w:p>
<w:p>
<w:pPr><w:pStyle w:val="Normal"/></w:pPr>
<w:r><w:t xml:space="preserve">son.  Richard Maximllian Dalberg Acton, 2nd Baron Acton</w:t></w:r>
</w:p>
<w:p>
<w:pPr><w:pStyle w:val="Normal"/></w:pPr>
<w:r><w:t xml:space="preserve">(b.1870).  Lord Acton has left too little completed original</w:t></w:r>
</w:p>
<w:p>
<w:pPr><w:pStyle w:val="Normal"/></w:pPr>
<w:r><w:t xml:space="preserve">work to rank among the great historians; his very learning</w:t></w:r>
</w:p>
<w:p>
<w:pPr><w:pStyle w:val="Normal"/></w:pPr>
<w:r><w:t xml:space="preserve">seems to have stood in his way; he knew too much and his</w:t></w:r>
</w:p>
<w:p>
<w:pPr><w:pStyle w:val="Normal"/></w:pPr>
<w:r><w:t xml:space="preserve">literary conscience was too acute for him to write easily,</w:t></w:r>
</w:p>
<w:p>
<w:pPr><w:pStyle w:val="Normal"/></w:pPr>
<w:r><w:t xml:space="preserve">and his copiousness of information overloads his literary</w:t></w:r>
</w:p>
<w:p>
<w:pPr><w:pStyle w:val="Normal"/></w:pPr>
<w:r><w:t xml:space="preserve">style.  But he was one of the most deeply learned men of his</w:t></w:r>
</w:p>
<w:p>
<w:pPr><w:pStyle w:val="Normal"/></w:pPr>
<w:r><w:t xml:space="preserve">time, and he will certainly be remembered for his influence on</w:t></w:r>
</w:p>
<w:p>
<w:pPr><w:pStyle w:val="Normal"/></w:pPr>
<w:r><w:t xml:space="preserve">others.  His extensive library, formed for use and not for</w:t></w:r>
</w:p>
<w:p>
<w:pPr><w:pStyle w:val="Normal"/></w:pPr>
<w:r><w:t xml:space="preserve">display, and composed largely of books full of his own</w:t></w:r>
</w:p>
<w:p>
<w:pPr><w:pStyle w:val="Normal"/></w:pPr>
<w:r><w:t xml:space="preserve">annotations, was bought immediately after his death by Mr</w:t></w:r>
</w:p>
<w:p>
<w:pPr><w:pStyle w:val="Normal"/></w:pPr>
<w:r><w:t xml:space="preserve">Andrew Carnegie, and presented to Mr John Morley, by whom</w:t></w:r>
</w:p>
<w:p>
<w:pPr><w:pStyle w:val="Normal"/></w:pPr>
<w:r><w:t xml:space="preserve">it was forthwith given to the university of Cambridge.</w:t></w:r>
</w:p>
<w:p>
<w:pPr><w:pStyle w:val="Normal"/></w:pPr>
<w:r><w:t xml:space="preserve">See Mr Herbert Paul&apos;s excellent Introductory Memoir to the</w:t></w:r>
</w:p>
<w:p>
<w:pPr><w:pStyle w:val="Normal"/></w:pPr>
<w:r><w:t xml:space="preserve">interesting volume of Lord Acton&apos;s Letters to Mrs Drew</w:t></w:r>
</w:p>
<w:p>
<w:pPr><w:pStyle w:val="Normal"/></w:pPr>
<w:r><w:t xml:space="preserve">(1904), and the authorities cited there; also Dom Gasquet&apos;s</w:t></w:r>
</w:p>
<w:p>
<w:pPr><w:pStyle w:val="Normal"/></w:pPr>
<w:r><w:t xml:space="preserve">Lord Acton and his Circle (1906).  A Bibliography of</w:t></w:r>
</w:p>
<w:p>
<w:pPr><w:pStyle w:val="Normal"/></w:pPr>
<w:r><w:t xml:space="preserve">the works of Lord Acton, by W. A. Shaw, was published by</w:t></w:r>
</w:p>
<w:p>
<w:pPr><w:pStyle w:val="Normal"/></w:pPr>
<w:r><w:t xml:space="preserve">the Royal Historical Society in 1903.  The Edinburgh Review</w:t></w:r>
</w:p>
<w:p>
<w:pPr><w:pStyle w:val="Normal"/></w:pPr>
<w:r><w:t xml:space="preserve">of April 1903 contains a luminous essay; and Mr Bryce has a</w:t></w:r>
</w:p>
<w:p>
<w:pPr><w:pStyle w:val="Heading1"/></w:pPr>
<w:r><w:t>chapter on Acton in his Studies of Contemporary Biography</w:t></w:r>
</w:p>
<w:p>
<w:pPr><w:pStyle w:val="Normal"/></w:pPr>
<w:r><w:t xml:space="preserve">(1903).  Lord Acton&apos;s Lectures on Modern History, edited</w:t></w:r>
</w:p>
<w:p>
<w:pPr><w:pStyle w:val="Normal"/></w:pPr>
<w:r><w:t xml:space="preserve">by J. N. Figgis and R. V. Laurence, appeared in 1906; and</w:t></w:r>
</w:p>
<w:p>
<w:pPr><w:pStyle w:val="Normal"/></w:pPr>
<w:r><w:t xml:space="preserve">his History of Freedom and other Essays and Historical</w:t></w:r>
</w:p>
<w:p>
<w:pPr><w:pStyle w:val="Normal"/></w:pPr>
<w:r><w:t xml:space="preserve">Essay&apos;s and Studies (by the same editors) in 1907. (H. CH.)</w:t></w:r>
</w:p>
<w:p>
<w:pPr><w:pStyle w:val="Normal"/></w:pPr>
<w:r><w:t xml:space="preserve">ACTON, SIR JOHN FRANCIS EDWARD, BART. (1736--1811). prime</w:t></w:r>
</w:p>
<w:p>
<w:pPr><w:pStyle w:val="Normal"/></w:pPr>
<w:r><w:t xml:space="preserve">minister of Naples under Ferdinand IV., was the son of Edward</w:t></w:r>
</w:p>
<w:p>
<w:pPr><w:pStyle w:val="Normal"/></w:pPr>
<w:r><w:t xml:space="preserve">Acton, a physician at Besancon, and was born there in 1736,</w:t></w:r>
</w:p>
<w:p>
<w:pPr><w:pStyle w:val="Normal"/></w:pPr>
<w:r><w:t xml:space="preserve">succeeding to the title and estates in 1791, on the death of</w:t></w:r>
</w:p>
<w:p>
<w:pPr><w:pStyle w:val="Normal"/></w:pPr>
<w:r><w:t xml:space="preserve">his cousin in the third degree, Sir Richard Acton of Aldenham</w:t></w:r>
</w:p>
<w:p>
<w:pPr><w:pStyle w:val="Normal"/></w:pPr>
<w:r><w:t xml:space="preserve">Hall, Shropshire.  He served in the navy of Tuscany, and in</w:t></w:r>
</w:p>
<w:p>
<w:pPr><w:pStyle w:val="Normal"/></w:pPr>
<w:r><w:t xml:space="preserve">1775 commanded a frigate in the joint expedition of Spain and</w:t></w:r>
</w:p>
<w:p>
<w:pPr><w:pStyle w:val="Normal"/></w:pPr>
<w:r><w:t xml:space="preserve">Tuscany against Algiers, in which he displayed such courage and</w:t></w:r>
</w:p>
<w:p>
<w:pPr><w:pStyle w:val="Normal"/></w:pPr>
<w:r><w:t xml:space="preserve">resource that he was promoted to high command.  In 1779 Queen</w:t></w:r>
</w:p>
<w:p>
<w:pPr><w:pStyle w:val="Normal"/></w:pPr>
<w:r><w:t xml:space="preserve">Maria Carolina of Naples persuaded her brother the Grand-Duke</w:t></w:r>
</w:p>
<w:p>
<w:pPr><w:pStyle w:val="Normal"/></w:pPr>
<w:r><w:t xml:space="preserve">Leopold of Tuscany to allow Acton, who had been recommended</w:t></w:r>
</w:p>
<w:p>
<w:pPr><w:pStyle w:val="Normal"/></w:pPr>
<w:r><w:t xml:space="preserve">to her by Prince Caramenico, to undertake the reorganization</w:t></w:r>
</w:p>
<w:p>
<w:pPr><w:pStyle w:val="Normal"/></w:pPr>
<w:r><w:t xml:space="preserve">of the Neapolitan navy.  The ability displayed by him in this</w:t></w:r>
</w:p>
<w:p>
<w:pPr><w:pStyle w:val="Normal"/></w:pPr>
<w:r><w:t xml:space="preserve">led to his rapid advancement.  He became commander-in-chief</w:t></w:r>
</w:p>
<w:p>
<w:pPr><w:pStyle w:val="Normal"/></w:pPr>
<w:r><w:t xml:space="preserve">of both services, minister of finance, and finally prime</w:t></w:r>
</w:p>
<w:p>
<w:pPr><w:pStyle w:val="Normal"/></w:pPr>
<w:r><w:t xml:space="preserve">minister.  His policy was devised in concert with the English</w:t></w:r>
</w:p>
<w:p>
<w:pPr><w:pStyle w:val="Normal"/></w:pPr>
<w:r><w:t xml:space="preserve">ambassador, Sir William Hamilton, and aimed at substituting the</w:t></w:r>
</w:p>
<w:p>
<w:pPr><w:pStyle w:val="Normal"/></w:pPr>
<w:r><w:t xml:space="preserve">influence of Austria and Great Britain for that or Spain, at</w:t></w:r>
</w:p>
<w:p>
<w:pPr><w:pStyle w:val="Normal"/></w:pPr>
<w:r><w:t xml:space="preserve">Naples, and consequently involved open opposition to France and</w:t></w:r>
</w:p>
<w:p>
<w:pPr><w:pStyle w:val="Normal"/></w:pPr>
<w:r><w:t xml:space="preserve">the French party in Italy.  The financial and administrative</w:t></w:r>
</w:p>
<w:p>
<w:pPr><w:pStyle w:val="Normal"/></w:pPr>
<w:r><w:t xml:space="preserve">measures which were the outcome of a policy which necessitated</w:t></w:r>
</w:p>
<w:p>
<w:pPr><w:pStyle w:val="Normal"/></w:pPr>
<w:r><w:t xml:space="preserve">a great increase of armament made him intensely unpopular,</w:t></w:r>
</w:p>
<w:p>
<w:pPr><w:pStyle w:val="Normal"/></w:pPr>
<w:r><w:t xml:space="preserve">and in December 1798 he shared the flight of the king and</w:t></w:r>
</w:p>
<w:p>
<w:pPr><w:pStyle w:val="Normal"/></w:pPr>
<w:r><w:t xml:space="preserve">queen.  For the reign of terror which followed the downfall</w:t></w:r>
</w:p>
<w:p>
<w:pPr><w:pStyle w:val="Normal"/></w:pPr>
<w:r><w:t xml:space="preserve">of the Parthenopean Republic, five months later, Acton has</w:t></w:r>
</w:p>
<w:p>
<w:pPr><w:pStyle w:val="Normal"/></w:pPr>
<w:r><w:t xml:space="preserve">been held responsible.  In 1804 he was for a short time</w:t></w:r>
</w:p>
<w:p>
<w:pPr><w:pStyle w:val="Normal"/></w:pPr>
<w:r><w:t xml:space="preserve">deprived of the reins of government at the demand of France;</w:t></w:r>
</w:p>
<w:p>
<w:pPr><w:pStyle w:val="Normal"/></w:pPr>
<w:r><w:t xml:space="preserve">but he was speedily restored to his former position, which</w:t></w:r>
</w:p>
<w:p>
<w:pPr><w:pStyle w:val="Normal"/></w:pPr>
<w:r><w:t xml:space="preserve">he held till, in February 1806, on the entry of the French</w:t></w:r>
</w:p>
<w:p>
<w:pPr><w:pStyle w:val="Normal"/></w:pPr>
<w:r><w:t xml:space="preserve">into Naples, he had to flee with the royal family into</w:t></w:r>
</w:p>
<w:p>
<w:pPr><w:pStyle w:val="Normal"/></w:pPr>
<w:r><w:t xml:space="preserve">Sicily.  He died at Palermo on the 12th of August 1811.</w:t></w:r>
</w:p>
<w:p>
<w:pPr><w:pStyle w:val="Normal"/></w:pPr>
<w:r><w:t xml:space="preserve">He had married, by papal dispensation, the eldest daughter</w:t></w:r>
</w:p>
<w:p>
<w:pPr><w:pStyle w:val="Normal"/></w:pPr>
<w:r><w:t xml:space="preserve">of his brother, General Joseph Edward Acton (b. 1737), who</w:t></w:r>
</w:p>
<w:p>
<w:pPr><w:pStyle w:val="Normal"/></w:pPr>
<w:r><w:t xml:space="preserve">was in the Neapolitan service, and left three children, the</w:t></w:r>
</w:p>
<w:p>
<w:pPr><w:pStyle w:val="Normal"/></w:pPr>
<w:r><w:t xml:space="preserve">elder son, Sir Richard, being the father of the first Lord</w:t></w:r>
</w:p>
<w:p>
<w:pPr><w:pStyle w:val="Normal"/></w:pPr>
<w:r><w:t xml:space="preserve">Acton.  The second son, Charles Januarius Edward (1803-1847),</w:t></w:r>
</w:p>
<w:p>
<w:pPr><w:pStyle w:val="Normal"/></w:pPr>
<w:r><w:t xml:space="preserve">after being educated in England and taking his degree at</w:t></w:r>
</w:p>
<w:p>
<w:pPr><w:pStyle w:val="Normal"/></w:pPr>
<w:r><w:t xml:space="preserve">Magdalene College, Cambridge, in 1823, entered the Academia</w:t></w:r>
</w:p>
<w:p>
<w:pPr><w:pStyle w:val="Normal"/></w:pPr>
<w:r><w:t xml:space="preserve">Ecclesiastica at Rome.  He left this with the rank of prolate,</w:t></w:r>
</w:p>
<w:p>
<w:pPr><w:pStyle w:val="Normal"/></w:pPr>
<w:r><w:t xml:space="preserve">in 1828 was secretary to the nuncio at Paris and was made</w:t></w:r>
</w:p>
<w:p>
<w:pPr><w:pStyle w:val="Normal"/></w:pPr>
<w:r><w:t xml:space="preserve">vice-legate of Bologna shortly afterwards.  He became secretary</w:t></w:r>
</w:p>
<w:p>
<w:pPr><w:pStyle w:val="Normal"/></w:pPr>
<w:r><w:t xml:space="preserve">of the congregation of the Disciplina Regolare, and auditor</w:t></w:r>
</w:p>
<w:p>
<w:pPr><w:pStyle w:val="Normal"/></w:pPr>
<w:r><w:t xml:space="preserve">of the Apostolic Chamber under Gregory XVI., by whom he was</w:t></w:r>
</w:p>
<w:p>
<w:pPr><w:pStyle w:val="Normal"/></w:pPr>
<w:r><w:t xml:space="preserve">made a cardinal in 1842.  Cardinal Acton was protector of the</w:t></w:r>
</w:p>
<w:p>
<w:pPr><w:pStyle w:val="Normal"/></w:pPr>
<w:r><w:t xml:space="preserve">English College at Rome, and had been mainly instrumental in</w:t></w:r>
</w:p>
<w:p>
<w:pPr><w:pStyle w:val="Normal"/></w:pPr>
<w:r><w:t xml:space="preserve">the increase, in 1840, of the English vicariates-general to</w:t></w:r>
</w:p>
<w:p>
<w:pPr><w:pStyle w:val="Normal"/></w:pPr>
<w:r><w:t xml:space="preserve">eight, which paved the way for the restoration of the hierarchy</w:t></w:r>
</w:p>
<w:p>
<w:pPr><w:pStyle w:val="Normal"/></w:pPr>
<w:r><w:t xml:space="preserve">by Pius IX. in 1850.  He died on the 23rd of June 1847.</w:t></w:r>
</w:p>
<w:p>
<w:pPr><w:pStyle w:val="Normal"/></w:pPr>
<w:r><w:t xml:space="preserve">ACTON, an urban district in the Ealing parliamentary</w:t></w:r>
</w:p>
<w:p>
<w:pPr><w:pStyle w:val="Normal"/></w:pPr>
<w:r><w:t xml:space="preserve">division of Middlesex, England, suburban to London, 9 m.  W.</w:t></w:r>
</w:p>
<w:p>
<w:pPr><w:pStyle w:val="Normal"/></w:pPr>
<w:r><w:t xml:space="preserve">of St. Paul&apos;s Cathedral.  Pop. (1861) 3151; (1901) 37,744.</w:t></w:r>
</w:p>
<w:p>
<w:pPr><w:pStyle w:val="Normal"/></w:pPr>
<w:r><w:t xml:space="preserve">Its appearance is now wholly that of a modern residential</w:t></w:r>
</w:p>
<w:p>
<w:pPr><w:pStyle w:val="Normal"/></w:pPr>
<w:r><w:t xml:space="preserve">suburb.  The derivation offered for its name is from Oak-town,</w:t></w:r>
</w:p>
<w:p>
<w:pPr><w:pStyle w:val="Normal"/></w:pPr>
<w:r><w:t xml:space="preserve">in reference to the extensive forest which formerly covered the</w:t></w:r>
</w:p>
<w:p>
<w:pPr><w:pStyle w:val="Normal"/></w:pPr>
<w:r><w:t xml:space="preserve">locality.  The land belonged from early times to the see of</w:t></w:r>
</w:p>
<w:p>
<w:pPr><w:pStyle w:val="Normal"/></w:pPr>
<w:r><w:t xml:space="preserve">London, a grant being recorded in 1220.  Henry III. had a</w:t></w:r>
</w:p>
<w:p>
<w:pPr><w:pStyle w:val="Normal"/></w:pPr>
<w:r><w:t xml:space="preserve">residence here.  At the time of the Commonwealth Acton was</w:t></w:r>
</w:p>
<w:p>
<w:pPr><w:pStyle w:val="Normal"/></w:pPr>
<w:r><w:t xml:space="preserve">a centre of Puritanism.  Philip Nye (d. 1672) was rector;</w:t></w:r>
</w:p>
<w:p>
<w:pPr><w:pStyle w:val="Normal"/></w:pPr>
<w:r><w:t xml:space="preserve">Richard Baxter, Sir Matthew Hale (Lord Chief-Justice), Henry</w:t></w:r>
</w:p>
<w:p>
<w:pPr><w:pStyle w:val="Normal"/></w:pPr>
<w:r><w:t xml:space="preserve">Fielding the novelist and John Lindley the botanist (d. 1865)</w:t></w:r>
</w:p>
<w:p>
<w:pPr><w:pStyle w:val="Normal"/></w:pPr>
<w:r><w:t xml:space="preserve">are famous names among residents here.  Acton Wells, of saline</w:t></w:r>
</w:p>
<w:p>
<w:pPr><w:pStyle w:val="Normal"/></w:pPr>
<w:r><w:t xml:space="preserve">waters, had considerable reputation in the 18th century.</w:t></w:r>
</w:p>
<w:p>
<w:pPr><w:pStyle w:val="Normal"/></w:pPr>
<w:r><w:t xml:space="preserve">ACT ON PETITION, the term for a part of the procedure in the</w:t></w:r>
</w:p>
<w:p>
<w:pPr><w:pStyle w:val="Normal"/></w:pPr>
<w:r><w:t xml:space="preserve">Probate, Divorce and Admiralty Division, now of infrequent</w:t></w:r>
</w:p>
<w:p>
<w:pPr><w:pStyle w:val="Normal"/></w:pPr>
<w:r><w:t xml:space="preserve">occurrence.  It was more freely used in the old Admiralty and</w:t></w:r>
</w:p>
<w:p>
<w:pPr><w:pStyle w:val="Normal"/></w:pPr>
<w:r><w:t xml:space="preserve">Divorce courts before the Judicature Acts. (See PLEADING.)</w:t></w:r>
</w:p>
<w:p>
<w:pPr><w:pStyle w:val="Normal"/></w:pPr>
<w:r><w:t xml:space="preserve">ACTS OF THE APOSTLES. This book of the Bible, which now</w:t></w:r>
</w:p>
<w:p>
<w:pPr><w:pStyle w:val="Normal"/></w:pPr>
<w:r><w:t xml:space="preserve">stands fifth in the New Testament, was read at first as the</w:t></w:r>
</w:p>
<w:p>
<w:pPr><w:pStyle w:val="Normal"/></w:pPr>
<w:r><w:t xml:space="preserve">companion and sequel of the Gospel of Luke.  Its separation</w:t></w:r>
</w:p>
<w:p>
<w:pPr><w:pStyle w:val="Normal"/></w:pPr>
<w:r><w:t xml:space="preserve">was due to growing consciousness of the Gospels as a unit</w:t></w:r>
</w:p>
<w:p>
<w:pPr><w:pStyle w:val="Normal"/></w:pPr>
<w:r><w:t xml:space="preserve">of sacred records, to which Acts stood as a sort of</w:t></w:r>
</w:p>
<w:p>
<w:pPr><w:pStyle w:val="Normal"/></w:pPr>
<w:r><w:t xml:space="preserve">appendix.  Historically it is of unique interest and</w:t></w:r>
</w:p>
<w:p>
<w:pPr><w:pStyle w:val="Normal"/></w:pPr>
<w:r><w:t xml:space="preserve">value: it has no fellow within the New Testament or without</w:t></w:r>
</w:p>
<w:p>
<w:pPr><w:pStyle w:val="Normal"/></w:pPr>
<w:r><w:t xml:space="preserve">it.  The so-called Apocryphal Acts of certain apostles, while</w:t></w:r>
</w:p>
<w:p>
<w:pPr><w:pStyle w:val="Normal"/></w:pPr>
<w:r><w:t xml:space="preserve">witnessing to the impression produced by our Acts as a type</w:t></w:r>
</w:p>
<w:p>
<w:pPr><w:pStyle w:val="Normal"/></w:pPr>
<w:r><w:t xml:space="preserve">of edifying literature, only emphasize this fact.  It is the</w:t></w:r>
</w:p>
<w:p>
<w:pPr><w:pStyle w:val="Normal"/></w:pPr>
<w:r><w:t xml:space="preserve">one really primitive Church history, primitive in spirit as in</w:t></w:r>
</w:p>
<w:p>
<w:pPr><w:pStyle w:val="Normal"/></w:pPr>
<w:r><w:t xml:space="preserve">substance; apart from it a connected picture of the Apostolic</w:t></w:r>
</w:p>
<w:p>
<w:pPr><w:pStyle w:val="Normal"/></w:pPr>
<w:r><w:t xml:space="preserve">Age would be impossible.  With it, the Pauline Epistles are</w:t></w:r>
</w:p>
<w:p>
<w:pPr><w:pStyle w:val="Normal"/></w:pPr>
<w:r><w:t xml:space="preserve">of priceless historical value; without it, they would remain</w:t></w:r>
</w:p>
<w:p>
<w:pPr><w:pStyle w:val="Normal"/></w:pPr>
<w:r><w:t xml:space="preserve">bafflingly fragmentary and incomplete, often even misleading.</w:t></w:r>
</w:p>
<w:p>
<w:pPr><w:pStyle w:val="Normal"/></w:pPr>
<w:r><w:t xml:space="preserve">1. Plan and Aim.---All agree that the Acts of the Apostles</w:t></w:r>
</w:p>
<w:p>
<w:pPr><w:pStyle w:val="Normal"/></w:pPr>
<w:r><w:t xml:space="preserve">is the work of an author of no mean skill, and that he has</w:t></w:r>
</w:p>
<w:p>
<w:pPr><w:pStyle w:val="Normal"/></w:pPr>
<w:r><w:t xml:space="preserve">exercised careful selection in the use of his materials, in</w:t></w:r>
</w:p>
<w:p>
<w:pPr><w:pStyle w:val="Normal"/></w:pPr>
<w:r><w:t xml:space="preserve">keeping with a definite purpose and plan.  It is of moment,</w:t></w:r>
</w:p>
<w:p>
<w:pPr><w:pStyle w:val="Normal"/></w:pPr>
<w:r><w:t xml:space="preserve">then, to discover from his emphasis, whether by iteration</w:t></w:r>
</w:p>
<w:p>
<w:pPr><w:pStyle w:val="Normal"/></w:pPr>
<w:r><w:t xml:space="preserve">or by fulness of scale, what objects he had in mind in</w:t></w:r>
</w:p>
<w:p>
<w:pPr><w:pStyle w:val="Normal"/></w:pPr>
<w:r><w:t xml:space="preserve">writing.  Here it is not needful to go farther back than F.</w:t></w:r>
</w:p>
<w:p>
<w:pPr><w:pStyle w:val="Heading1"/></w:pPr>
<w:r><w:t>C. Baur and the Tubingen school, with its theory of sharp</w:t></w:r>
</w:p>
<w:p>
<w:pPr><w:pStyle w:val="Normal"/></w:pPr>
<w:r><w:t xml:space="preserve">antitheses between Judaic and Gentile Christianity, of which</w:t></w:r>
</w:p>
<w:p>
<w:pPr><w:pStyle w:val="Normal"/></w:pPr>
<w:r><w:t xml:space="preserve">they took the original apostles and Paul respectively as</w:t></w:r>
</w:p>
<w:p>
<w:pPr><w:pStyle w:val="Normal"/></w:pPr>
<w:r><w:t xml:space="preserve">typical.  Gradually their statement of this position underwent</w:t></w:r>
</w:p>
<w:p>
<w:pPr><w:pStyle w:val="Normal"/></w:pPr>
<w:r><w:t xml:space="preserve">serious modifications, as it became realized that neither</w:t></w:r>
</w:p>
<w:p>
<w:pPr><w:pStyle w:val="Normal"/></w:pPr>
<w:r><w:t xml:space="preserve">Jewish nor Gentile Christianity was a uniform genus, but</w:t></w:r>
</w:p>
<w:p>
<w:pPr><w:pStyle w:val="Normal"/></w:pPr>
<w:r><w:t xml:space="preserve">included several species, and that the apostolic leaders from</w:t></w:r>
</w:p>
<w:p>
<w:pPr><w:pStyle w:val="Normal"/></w:pPr>
<w:r><w:t xml:space="preserve">the first stood for mutual understanding and unity.  Hence</w:t></w:r>
</w:p>
<w:p>
<w:pPr><w:pStyle w:val="Normal"/></w:pPr>
<w:r><w:t xml:space="preserve">the Tubingen school did its chief work in putting the needful</w:t></w:r>
</w:p>
<w:p>
<w:pPr><w:pStyle w:val="Normal"/></w:pPr>
<w:r><w:t xml:space="preserve">question, not in returning the correct answer.  Their answer</w:t></w:r>
</w:p>
<w:p>
<w:pPr><w:pStyle w:val="Normal"/></w:pPr>
<w:r><w:t xml:space="preserve">could not be correct, because, as Ritschl showed (in his</w:t></w:r>
</w:p>
<w:p>
<w:pPr><w:pStyle w:val="Normal"/></w:pPr>
<w:r><w:t xml:space="preserve">Altkath. Kirche, 2nd ed., 1857 ), their premisses were</w:t></w:r>
</w:p>
<w:p>
<w:pPr><w:pStyle w:val="Normal"/></w:pPr>
<w:r><w:t xml:space="preserve">inadequate.  Still the attitude created by the Tubingen</w:t></w:r>
</w:p>
<w:p>
<w:pPr><w:pStyle w:val="Normal"/></w:pPr>
<w:r><w:t xml:space="preserve">theory largely persists as a biassing element in much that</w:t></w:r>
</w:p>
<w:p>
<w:pPr><w:pStyle w:val="Normal"/></w:pPr>
<w:r><w:t xml:space="preserve">is written about Acts. On the whole, however, there is a</w:t></w:r>
</w:p>
<w:p>
<w:pPr><w:pStyle w:val="Normal"/></w:pPr>
<w:r><w:t xml:space="preserve">disposition to look at the book more objectively and to follow</w:t></w:r>
</w:p>
<w:p>
<w:pPr><w:pStyle w:val="Normal"/></w:pPr>
<w:r><w:t xml:space="preserve">up the hints as to its aim given by the author in his opening</w:t></w:r>
</w:p>
<w:p>
<w:pPr><w:pStyle w:val="Normal"/></w:pPr>
<w:r><w:t xml:space="preserve">verses.  Thus (1) his second narrative is the natural sequel</w:t></w:r>
</w:p>
<w:p>
<w:pPr><w:pStyle w:val="Normal"/></w:pPr>
<w:r><w:t xml:space="preserve">to his first.  As the earlier one set forth in orderly sequence</w:t></w:r>
</w:p>
<w:p>
<w:pPr><w:pStyle w:val="Normal"/></w:pPr>
<w:r><w:t xml:space="preserve">(kathexes) the providential stages by which Jesus was led,</w:t></w:r>
</w:p>
<w:p>
<w:pPr><w:pStyle w:val="Normal"/></w:pPr>
<w:r><w:t xml:space="preserve">``in the power of the Spirit,&apos;&apos; to begin the establishment</w:t></w:r>
</w:p>
<w:p>
<w:pPr><w:pStyle w:val="Normal"/></w:pPr>
<w:r><w:t xml:space="preserve">of the consummated Kingdom of God, so the later work aims at</w:t></w:r>
</w:p>
<w:p>
<w:pPr><w:pStyle w:val="Normal"/></w:pPr>
<w:r><w:t xml:space="preserve">setting forth on similar principles its extension by means</w:t></w:r>
</w:p>
<w:p>
<w:pPr><w:pStyle w:val="Normal"/></w:pPr>
<w:r><w:t xml:space="preserve">of His chosen representatives or apostles.  This involves</w:t></w:r>
</w:p>
<w:p>
<w:pPr><w:pStyle w:val="Normal"/></w:pPr>
<w:r><w:t xml:space="preserve">emphasis on the identity of the power, Divine and not merely</w:t></w:r>
</w:p>
<w:p>
<w:pPr><w:pStyle w:val="Normal"/></w:pPr>
<w:r><w:t xml:space="preserve">human, expressed in the great series of facts from first to</w:t></w:r>
</w:p>
<w:p>
<w:pPr><w:pStyle w:val="Normal"/></w:pPr>
<w:r><w:t xml:space="preserve">last.  Thus (2) the Holy Spirit appears as directing and</w:t></w:r>
</w:p>
<w:p>
<w:pPr><w:pStyle w:val="Normal"/></w:pPr>
<w:r><w:t xml:space="preserve">energizing throughout the whole struggle with the powers</w:t></w:r>
</w:p>
<w:p>
<w:pPr><w:pStyle w:val="Normal"/></w:pPr>
<w:r><w:t xml:space="preserve">of evil to be overcome in either ministry, of Master or</w:t></w:r>
</w:p>
<w:p>
<w:pPr><w:pStyle w:val="Normal"/></w:pPr>
<w:r><w:t xml:space="preserve">disciples.  But (3) the continuity is more than similarity of</w:t></w:r>
</w:p>
<w:p>
<w:pPr><w:pStyle w:val="Normal"/></w:pPr>
<w:r><w:t xml:space="preserve">activity resting on the same Divine energy.  The working of</w:t></w:r>
</w:p>
<w:p>
<w:pPr><w:pStyle w:val="Normal"/></w:pPr>
<w:r><w:t xml:space="preserve">the energy in the disciples is conditioned by the continued</w:t></w:r>
</w:p>
<w:p>
<w:pPr><w:pStyle w:val="Normal"/></w:pPr>
<w:r><w:t xml:space="preserve">life and volition of their Master at His Father&apos;s right</w:t></w:r>
</w:p>
<w:p>
<w:pPr><w:pStyle w:val="Normal"/></w:pPr>
<w:r><w:t xml:space="preserve">hand in heaven.  The Holy Spirit, ``the Spirit of Jesus,&apos;&apos;</w:t></w:r>
</w:p>
<w:p>
<w:pPr><w:pStyle w:val="Normal"/></w:pPr>
<w:r><w:t xml:space="preserve">is the living link between Master and disciples.  Hence</w:t></w:r>
</w:p>
<w:p>
<w:pPr><w:pStyle w:val="Normal"/></w:pPr>
<w:r><w:t xml:space="preserve">the pains taken to exhibit (i. 2, 4 f. 8, ii. I ff.,</w:t></w:r>
</w:p>
<w:p>
<w:pPr><w:pStyle w:val="Normal"/></w:pPr>
<w:r><w:t xml:space="preserve">cf.  Luke xxiv. 49) the fact of such spiritual solidarity,</w:t></w:r>
</w:p>
<w:p>
<w:pPr><w:pStyle w:val="Normal"/></w:pPr>
<w:r><w:t xml:space="preserve">whereby their activity means His continued action in the</w:t></w:r>
</w:p>
<w:p>
<w:pPr><w:pStyle w:val="Normal"/></w:pPr>
<w:r><w:t xml:space="preserve">world.  And (4) the scope of this action is nothing less than</w:t></w:r>
</w:p>
<w:p>
<w:pPr><w:pStyle w:val="Normal"/></w:pPr>
<w:r><w:t xml:space="preserve">humanity (ii. 5 ff.), especially within the Roman empire.</w:t></w:r>
</w:p>
<w:p>
<w:pPr><w:pStyle w:val="Normal"/></w:pPr>
<w:r><w:t xml:space="preserve">It was foreordained that Messiah&apos;s witnesses should be borne</w:t></w:r>
</w:p>
<w:p>
<w:pPr><w:pStyle w:val="Normal"/></w:pPr>
<w:r><w:t xml:space="preserve">by Divine power through all obstacles and to ever-widening</w:t></w:r>
</w:p>
<w:p>
<w:pPr><w:pStyle w:val="Normal"/></w:pPr>
<w:r><w:t xml:space="preserve">circles, until they reached and occupied Rome itself for the God</w:t></w:r>
</w:p>
<w:p>
<w:pPr><w:pStyle w:val="Normal"/></w:pPr>
<w:r><w:t xml:space="preserve">of Israel--now manifest (as foretold by Israel&apos;s own prophets)</w:t></w:r>
</w:p>
<w:p>
<w:pPr><w:pStyle w:val="Normal"/></w:pPr>
<w:r><w:t xml:space="preserve">as the one God of the one race of mankind. (5) Finally, as</w:t></w:r>
</w:p>
<w:p>
<w:pPr><w:pStyle w:val="Normal"/></w:pPr>
<w:r><w:t xml:space="preserve">we gather from the parallel account in Luke xxiv.46-48, the</w:t></w:r>
</w:p>
<w:p>
<w:pPr><w:pStyle w:val="Normal"/></w:pPr>
<w:r><w:t xml:space="preserve">divinely appointed method of victory is through suffering</w:t></w:r>
</w:p>
<w:p>
<w:pPr><w:pStyle w:val="Normal"/></w:pPr>
<w:r><w:t xml:space="preserve">(Acts xiv. 22). This explains the large space devoted to the</w:t></w:r>
</w:p>
<w:p>
<w:pPr><w:pStyle w:val="Normal"/></w:pPr>
<w:r><w:t xml:space="preserve">tribulations of the witnesses, and their constancy amid them,</w:t></w:r>
</w:p>
<w:p>
<w:pPr><w:pStyle w:val="Normal"/></w:pPr>
<w:r><w:t xml:space="preserve">after the type of their Lord Himself.  It forms one side of the</w:t></w:r>
</w:p>
<w:p>
<w:pPr><w:pStyle w:val="Normal"/></w:pPr>
<w:r><w:t xml:space="preserve">virtual apologia for the absence of that earthly prosperity</w:t></w:r>
</w:p>
<w:p>
<w:pPr><w:pStyle w:val="Normal"/></w:pPr>
<w:r><w:t xml:space="preserve">in which the pagan mind was apt to see the token of Divine</w:t></w:r>
</w:p>
<w:p>
<w:pPr><w:pStyle w:val="Normal"/></w:pPr>
<w:r><w:t xml:space="preserve">approval.  Another side is the recurring exhibition of the</w:t></w:r>
</w:p>
<w:p>
<w:pPr><w:pStyle w:val="Normal"/></w:pPr>
<w:r><w:t xml:space="preserve">fact that these witnesses were persecuted only by those whose</w:t></w:r>
</w:p>
<w:p>
<w:pPr><w:pStyle w:val="Normal"/></w:pPr>
<w:r><w:t xml:space="preserve">action should create no bias against the persecuted.  Their</w:t></w:r>
</w:p>
<w:p>
<w:pPr><w:pStyle w:val="Normal"/></w:pPr>
<w:r><w:t xml:space="preserve">foes were chiefly Jews, whose opposition was due partly to</w:t></w:r>
</w:p>
<w:p>
<w:pPr><w:pStyle w:val="Normal"/></w:pPr>
<w:r><w:t xml:space="preserve">a stiff-necked disinclination to bow to the wider reading</w:t></w:r>
</w:p>
<w:p>
<w:pPr><w:pStyle w:val="Normal"/></w:pPr>
<w:r><w:t xml:space="preserve">of their own religion --to which the Holy Spirit had from of</w:t></w:r>
</w:p>
<w:p>
<w:pPr><w:pStyle w:val="Normal"/></w:pPr>
<w:r><w:t xml:space="preserve">old been pointing (cf. the prominence given to this idea in</w:t></w:r>
</w:p>
<w:p>
<w:pPr><w:pStyle w:val="Normal"/></w:pPr>
<w:r><w:t xml:space="preserve">Stephen&apos;s long speech)--and partly to jealousy of those who,</w:t></w:r>
</w:p>
<w:p>
<w:pPr><w:pStyle w:val="Normal"/></w:pPr>
<w:r><w:t xml:space="preserve">by preaching the wider Messianic Evangel, were winning over the</w:t></w:r>
</w:p>
<w:p>
<w:pPr><w:pStyle w:val="Normal"/></w:pPr>
<w:r><w:t xml:space="preserve">Gentiles, and particularly proselytes, in such great numbers.</w:t></w:r>
</w:p>
<w:p>
<w:pPr><w:pStyle w:val="Normal"/></w:pPr>
<w:r><w:t xml:space="preserve">Such, then, seem to be the author&apos;s main motifs. They make</w:t></w:r>
</w:p>
<w:p>
<w:pPr><w:pStyle w:val="Normal"/></w:pPr>
<w:r><w:t xml:space="preserve">up an account fairly adequate to the manifoldness of the</w:t></w:r>
</w:p>
<w:p>
<w:pPr><w:pStyle w:val="Normal"/></w:pPr>
<w:r><w:t xml:space="preserve">book; yet they may be summed up in three ideas, together</w:t></w:r>
</w:p>
<w:p>
<w:pPr><w:pStyle w:val="Normal"/></w:pPr>
<w:r><w:t xml:space="preserve">constituting the moral which this history of the expansion</w:t></w:r>
</w:p>
<w:p>
<w:pPr><w:pStyle w:val="Normal"/></w:pPr>
<w:r><w:t xml:space="preserve">of Christianity aims at bringing home to its readers.  These</w:t></w:r>
</w:p>
<w:p>
<w:pPr><w:pStyle w:val="Normal"/></w:pPr>
<w:r><w:t xml:space="preserve">are the universality of the Gospel, the jealousy of</w:t></w:r>
</w:p>
<w:p>
<w:pPr><w:pStyle w:val="Normal"/></w:pPr>
<w:r><w:t xml:space="preserve">national Judaism, and the Divine initiative manifest</w:t></w:r>
</w:p>
<w:p>
<w:pPr><w:pStyle w:val="Normal"/></w:pPr>
<w:r><w:t xml:space="preserve">in the gradual stages by which men of Jewish birth were</w:t></w:r>
</w:p>
<w:p>
<w:pPr><w:pStyle w:val="Normal"/></w:pPr>
<w:r><w:t xml:space="preserve">led to recognize the Divine will in the setting aside of</w:t></w:r>
</w:p>
<w:p>
<w:pPr><w:pStyle w:val="Normal"/></w:pPr>
<w:r><w:t xml:space="preserve">national restrictions, alien to the universal destiny of the</w:t></w:r>
</w:p>
<w:p>
<w:pPr><w:pStyle w:val="Normal"/></w:pPr>
<w:r><w:t xml:space="preserve">Church.  The practical moral is the Divine character of the</w:t></w:r>
</w:p>
<w:p>
<w:pPr><w:pStyle w:val="Normal"/></w:pPr>
<w:r><w:t xml:space="preserve">Christian religion, as evinced by the manner of its extension</w:t></w:r>
</w:p>
<w:p>
<w:pPr><w:pStyle w:val="Normal"/></w:pPr>
<w:r><w:t xml:space="preserve">in the empire, no less than by its original embodiment</w:t></w:r>
</w:p>
<w:p>
<w:pPr><w:pStyle w:val="Normal"/></w:pPr>
<w:r><w:t xml:space="preserve">in the Founder&apos;s life and death.  Thus both parts of the</w:t></w:r>
</w:p>
<w:p>
<w:pPr><w:pStyle w:val="Normal"/></w:pPr>
<w:r><w:t xml:space="preserve">author&apos;s work alike tend to produce assured conviction of</w:t></w:r>
</w:p>
<w:p>
<w:pPr><w:pStyle w:val="Normal"/></w:pPr>
<w:r><w:t xml:space="preserve">Christianity as of Divine origin (Luke i. 1, 4; Acts i. 1 f.).</w:t></w:r>
</w:p>
<w:p>
<w:pPr><w:pStyle w:val="Normal"/></w:pPr>
<w:r><w:t xml:space="preserve">This view has the merit of giving the book a practical religious</w:t></w:r>
</w:p>
<w:p>
<w:pPr><w:pStyle w:val="Normal"/></w:pPr>
<w:r><w:t xml:space="preserve">aim--a sine qua non to any theory of an early Christian</w:t></w:r>
</w:p>
<w:p>
<w:pPr><w:pStyle w:val="Normal"/></w:pPr>
<w:r><w:t xml:space="preserve">writing. though meant for men of pagan birth in the first</w:t></w:r>
</w:p>
<w:p>
<w:pPr><w:pStyle w:val="Normal"/></w:pPr>
<w:r><w:t xml:space="preserve">instance, it is to them as inquirers or even converts, such</w:t></w:r>
</w:p>
<w:p>
<w:pPr><w:pStyle w:val="Normal"/></w:pPr>
<w:r><w:t xml:space="preserve">as ``Theophilus,&apos;&apos; that the argument is addressed.  In spite</w:t></w:r>
</w:p>
<w:p>
<w:pPr><w:pStyle w:val="Normal"/></w:pPr>
<w:r><w:t xml:space="preserve">of all difficulties, this religion is worthy of personal</w:t></w:r>
</w:p>
<w:p>
<w:pPr><w:pStyle w:val="Normal"/></w:pPr>
<w:r><w:t xml:space="preserve">belief, even though it mean opposition and suffering.  Among</w:t></w:r>
</w:p>
<w:p>
<w:pPr><w:pStyle w:val="Normal"/></w:pPr>
<w:r><w:t xml:space="preserve">the features of the occasion which suggested the need of such</w:t></w:r>
</w:p>
<w:p>
<w:pPr><w:pStyle w:val="Normal"/></w:pPr>
<w:r><w:t xml:space="preserve">an appeal was doubtless the existence of persecution by the</w:t></w:r>
</w:p>
<w:p>
<w:pPr><w:pStyle w:val="Normal"/></w:pPr>
<w:r><w:t xml:space="preserve">Roman authorites, perhaps largely at the instigation of local</w:t></w:r>
</w:p>
<w:p>
<w:pPr><w:pStyle w:val="Normal"/></w:pPr>
<w:r><w:t xml:space="preserve">Judaism.  To meet this special perplexity, the author holds</w:t></w:r>
</w:p>
<w:p>
<w:pPr><w:pStyle w:val="Normal"/></w:pPr>
<w:r><w:t xml:space="preserve">up the picture of early days, when the great protagonist of</w:t></w:r>
</w:p>
<w:p>
<w:pPr><w:pStyle w:val="Normal"/></w:pPr>
<w:r><w:t xml:space="preserve">the Gospel constantly enjoyed protection at the hands of Roman</w:t></w:r>
</w:p>
<w:p>
<w:pPr><w:pStyle w:val="Normal"/></w:pPr>
<w:r><w:t xml:space="preserve">justice.  It is implied that the present distress is but a</w:t></w:r>
</w:p>
<w:p>
<w:pPr><w:pStyle w:val="Normal"/></w:pPr>
<w:r><w:t xml:space="preserve">passing phase, resting on some misunderstanding; meantime,</w:t></w:r>
</w:p>
<w:p>
<w:pPr><w:pStyle w:val="Normal"/></w:pPr>
<w:r><w:t xml:space="preserve">the example of apostolic constancy should yield strong</w:t></w:r>
</w:p>
<w:p>
<w:pPr><w:pStyle w:val="Normal"/></w:pPr>
<w:r><w:t xml:space="preserve">reassurance.  The Acts of the Apostles is in fact an Apology</w:t></w:r>
</w:p>
<w:p>
<w:pPr><w:pStyle w:val="Normal"/></w:pPr>
<w:r><w:t xml:space="preserve">for the Church as distinct from Judaism, the breach with</w:t></w:r>
</w:p>
<w:p>
<w:pPr><w:pStyle w:val="Normal"/></w:pPr>
<w:r><w:t xml:space="preserve">which is accordingly traced with great fulness and care.</w:t></w:r>
</w:p>
<w:p>
<w:pPr><w:pStyle w:val="Normal"/></w:pPr>
<w:r><w:t xml:space="preserve">From this standpoint Acts no longer seems to end</w:t></w:r>
</w:p>
<w:p>
<w:pPr><w:pStyle w:val="Normal"/></w:pPr>
<w:r><w:t xml:space="preserve">abruptly.  Whether as exhibiting the Divine leading and</w:t></w:r>
</w:p>
<w:p>
<w:pPr><w:pStyle w:val="Normal"/></w:pPr>
<w:r><w:t xml:space="preserve">aid, or as recording the impartial and even kindly attitude</w:t></w:r>
</w:p>
<w:p>
<w:pPr><w:pStyle w:val="Normal"/></w:pPr>
<w:r><w:t xml:space="preserve">of the Roman State towards the Christians, the writer has</w:t></w:r>
</w:p>
<w:p>
<w:pPr><w:pStyle w:val="Normal"/></w:pPr>
<w:r><w:t xml:space="preserve">reached a climax. ``He wished,&apos;&apos; as Harnack well remarks,</w:t></w:r>
</w:p>
<w:p>
<w:pPr><w:pStyle w:val="Normal"/></w:pPr>
<w:r><w:t xml:space="preserve">``to point out the might of the Holy Spirit in the apostles,</w:t></w:r>
</w:p>
<w:p>
<w:pPr><w:pStyle w:val="Normal"/></w:pPr>
<w:r><w:t xml:space="preserve">Christ&apos;s witnesses; and to show how this might carried the</w:t></w:r>
</w:p>
<w:p>
<w:pPr><w:pStyle w:val="Normal"/></w:pPr>
<w:r><w:t xml:space="preserve">Gospel from Jerusalem to Rome and gained for it entrance</w:t></w:r>
</w:p>
<w:p>
<w:pPr><w:pStyle w:val="Normal"/></w:pPr>
<w:r><w:t xml:space="preserve">into the pagan world, whilst the Jews in growing degree</w:t></w:r>
</w:p>
<w:p>
<w:pPr><w:pStyle w:val="Normal"/></w:pPr>
<w:r><w:t xml:space="preserve">incurred rejection.  In keeping with this, verses 26-28</w:t></w:r>
</w:p>
<w:p>
<w:pPr><w:pStyle w:val="Normal"/></w:pPr>
<w:r><w:t xml:space="preserve">of chapter xxviii. are the solemn closing verses of the</w:t></w:r>
</w:p>
<w:p>
<w:pPr><w:pStyle w:val="Normal"/></w:pPr>
<w:r><w:t xml:space="preserve">work.  But verses 30, 31 are an appended observation.&apos;&apos;</w:t></w:r>
</w:p>
<w:p>
<w:pPr><w:pStyle w:val="Normal"/></w:pPr>
<w:r><w:t xml:space="preserve">Yet the writer is, in fact, ending up most fitly on one</w:t></w:r>
</w:p>
<w:p>
<w:pPr><w:pStyle w:val="Normal"/></w:pPr>
<w:r><w:t xml:space="preserve">of his keynotes, in that he leaves Paul preaching in Rome</w:t></w:r>
</w:p>
<w:p>
<w:pPr><w:pStyle w:val="Normal"/></w:pPr>
<w:r><w:t xml:space="preserve">itself, ``unmolested.&apos;&apos; ``Paulus Romae, apex Evangelii.&apos;&apos;</w:t></w:r>
</w:p>
<w:p>
<w:pPr><w:pStyle w:val="Normal"/></w:pPr>
<w:r><w:t xml:space="preserve">The full force of this is missed by those who, while rejecting</w:t></w:r>
</w:p>
<w:p>
<w:pPr><w:pStyle w:val="Normal"/></w:pPr>
<w:r><w:t xml:space="preserve">the idea that the author had in reserve enough Pauline history</w:t></w:r>
</w:p>
<w:p>
<w:pPr><w:pStyle w:val="Normal"/></w:pPr>
<w:r><w:t xml:space="preserve">to furnish another work, yet hold that Paul was freed from the</w:t></w:r>
</w:p>
<w:p>
<w:pPr><w:pStyle w:val="Normal"/></w:pPr>
<w:r><w:t xml:space="preserve">imprisonment amid which Acts leaves him (see PAUL).  But for</w:t></w:r>
</w:p>
<w:p>
<w:pPr><w:pStyle w:val="Normal"/></w:pPr>
<w:r><w:t xml:space="preserve">those, on the other hand, who see in the writer&apos;s own words in</w:t></w:r>
</w:p>
<w:p>
<w:pPr><w:pStyle w:val="Normal"/></w:pPr>
<w:r><w:t xml:space="preserve">xx. 38, uncontradicted by anything in the sequel, a broad hint</w:t></w:r>
</w:p>
<w:p>
<w:pPr><w:pStyle w:val="Normal"/></w:pPr>
<w:r><w:t xml:space="preserve">that Paul never saw his Ephesian friends again, the natural</w:t></w:r>
</w:p>
<w:p>
<w:pPr><w:pStyle w:val="Normal"/></w:pPr>
<w:r><w:t xml:space="preserve">view is open that the sequel to the two years&apos; preaching was</w:t></w:r>
</w:p>
<w:p>
<w:pPr><w:pStyle w:val="Normal"/></w:pPr>
<w:r><w:t xml:space="preserve">too well known to call for explicit record.  Nor would such</w:t></w:r>
</w:p>
<w:p>
<w:pPr><w:pStyle w:val="Normal"/></w:pPr>
<w:r><w:t xml:space="preserve">silence touching Paul&apos;s speedy martyrdom be disingenuous, any</w:t></w:r>
</w:p>
<w:p>
<w:pPr><w:pStyle w:val="Normal"/></w:pPr>
<w:r><w:t xml:space="preserve">more than on the theory that martyrdom overtook him several years</w:t></w:r>
</w:p>
<w:p>
<w:pPr><w:pStyle w:val="Normal"/></w:pPr>
<w:r><w:t xml:space="preserve">later.  The writer views Paul&apos;s death (like the horrors of</w:t></w:r>
</w:p>
<w:p>
<w:pPr><w:pStyle w:val="Normal"/></w:pPr>
<w:r><w:t xml:space="preserve">Nero&apos;s Vatican Gardens in 64) as a mere exception to the rule</w:t></w:r>
</w:p>
<w:p>
<w:pPr><w:pStyle w:val="Normal"/></w:pPr>
<w:r><w:t xml:space="preserve">of Roman policy heretofore illustrated.  Not even by the Roman</w:t></w:r>
</w:p>
<w:p>
<w:pPr><w:pStyle w:val="Normal"/></w:pPr>
<w:r><w:t xml:space="preserve">authorities were some of Nero&apos;s acts regarded as precedents.</w:t></w:r>
</w:p>
<w:p>
<w:pPr><w:pStyle w:val="Normal"/></w:pPr>
<w:r><w:t xml:space="preserve">2. Authorship.--External evidence, which is relatively</w:t></w:r>
</w:p>
<w:p>
<w:pPr><w:pStyle w:val="Normal"/></w:pPr>
<w:r><w:t xml:space="preserve">early and widespread (e.g. Muratorian Canon, Irenaeus,</w:t></w:r>
</w:p>
<w:p>
<w:pPr><w:pStyle w:val="Normal"/></w:pPr>
<w:r><w:t xml:space="preserve">Tertullian,Clement and Origen), all points to Luke, the</w:t></w:r>
</w:p>
<w:p>
<w:pPr><w:pStyle w:val="Normal"/></w:pPr>
<w:r><w:t xml:space="preserve">companion and fellow-worker of Paul (Philem. 24), who probably</w:t></w:r>
</w:p>
<w:p>
<w:pPr><w:pStyle w:val="Normal"/></w:pPr>
<w:r><w:t xml:space="preserve">accompanied him as physician also (Col. iv. 14). It must be</w:t></w:r>
</w:p>
<w:p>
<w:pPr><w:pStyle w:val="Normal"/></w:pPr>
<w:r><w:t xml:space="preserve">noted too that evidence for his authorship of the third Gospel</w:t></w:r>
</w:p>
<w:p>
<w:pPr><w:pStyle w:val="Normal"/></w:pPr>
<w:r><w:t xml:space="preserve">counts also for Acts. This carries us back at least to the</w:t></w:r>
</w:p>
<w:p>
<w:pPr><w:pStyle w:val="Normal"/></w:pPr>
<w:r><w:t xml:space="preserve">second quarter of the 2nd century (Justin, Dial. 103, and</w:t></w:r>
</w:p>
<w:p>
<w:pPr><w:pStyle w:val="Normal"/></w:pPr>
<w:r><w:t xml:space="preserve">most probably Marcion), when Loukan no doubt stood at the</w:t></w:r>
</w:p>
<w:p>
<w:pPr><w:pStyle w:val="Normal"/></w:pPr>
<w:r><w:t xml:space="preserve">head of the Gospel, especially where it was used side by side</w:t></w:r>
</w:p>
<w:p>
<w:pPr><w:pStyle w:val="Normal"/></w:pPr>
<w:r><w:t xml:space="preserve">with the others.  We have every reason to trust the Church&apos;s</w:t></w:r>
</w:p>
<w:p>
<w:pPr><w:pStyle w:val="Normal"/></w:pPr>
<w:r><w:t xml:space="preserve">tradition at this time, particularly as Luke was not prominent</w:t></w:r>
</w:p>
<w:p>
<w:pPr><w:pStyle w:val="Normal"/></w:pPr>
<w:r><w:t xml:space="preserve">enough as an associate of Paul to suggest the theory as a</w:t></w:r>
</w:p>
<w:p>
<w:pPr><w:pStyle w:val="Normal"/></w:pPr>
<w:r><w:t xml:space="preserve">guess.  Nor does Eusebius, who knew the ante-Nicene literature</w:t></w:r>
</w:p>
<w:p>
<w:pPr><w:pStyle w:val="Normal"/></w:pPr>
<w:r><w:t xml:space="preserve">intimately, seem to know of any other view ever having been</w:t></w:r>
</w:p>
<w:p>
<w:pPr><w:pStyle w:val="Normal"/></w:pPr>
<w:r><w:t xml:space="preserve">held.  If, then, the traditional Lucan authorship is to be</w:t></w:r>
</w:p>
<w:p>
<w:pPr><w:pStyle w:val="Normal"/></w:pPr>
<w:r><w:t xml:space="preserve">doubted, it must be on internal evidence only.  The form of</w:t></w:r>
</w:p>
<w:p>
<w:pPr><w:pStyle w:val="Normal"/></w:pPr>
<w:r><w:t xml:space="preserve">the book, however, in all respects favours Luke, who was of</w:t></w:r>
</w:p>
<w:p>
<w:pPr><w:pStyle w:val="Normal"/></w:pPr>
<w:r><w:t xml:space="preserve">non-Jewish birth (see Col. iv. 12-14 compared with 10 f.), and</w:t></w:r>
</w:p>
<w:p>
<w:pPr><w:pStyle w:val="Normal"/></w:pPr>
<w:r><w:t xml:space="preserve">as a physician presumably a man of culture.  The medical cast</w:t></w:r>
</w:p>
<w:p>
<w:pPr><w:pStyle w:val="Normal"/></w:pPr>
<w:r><w:t xml:space="preserve">of much of its language, which is often of a highly technical</w:t></w:r>
</w:p>
<w:p>
<w:pPr><w:pStyle w:val="Normal"/></w:pPr>
<w:r><w:t xml:space="preserve">nature, points strongly the same way;1 while the early tradition</w:t></w:r>
</w:p>
<w:p>
<w:pPr><w:pStyle w:val="Normal"/></w:pPr>
<w:r><w:t xml:space="preserve">that Luke was born in the Syrian Antioch admirably suits the</w:t></w:r>
</w:p>
<w:p>
<w:pPr><w:pStyle w:val="Normal"/></w:pPr>
<w:r><w:t xml:space="preserve">fulness with which the origin of the Antiochene Church and</w:t></w:r>
</w:p>
<w:p>
<w:pPr><w:pStyle w:val="Normal"/></w:pPr>
<w:r><w:t xml:space="preserve">its place in the further extension of the Gospel are described</w:t></w:r>
</w:p>
<w:p>
<w:pPr><w:pStyle w:val="Normal"/></w:pPr>
<w:r><w:t xml:space="preserve">(see LUKE).  Again, the attitude of Acts towards the Roman</w:t></w:r>
</w:p>
<w:p>
<w:pPr><w:pStyle w:val="Normal"/></w:pPr>
<w:r><w:t xml:space="preserve">Empire is just what would be expected from a close comrade of</w:t></w:r>
</w:p>
<w:p>
<w:pPr><w:pStyle w:val="Normal"/></w:pPr>
<w:r><w:t xml:space="preserve">Paul (cf. Sir W. M. Ramsay, St Paul the Traveller and Roman</w:t></w:r>
</w:p>
<w:p>
<w:pPr><w:pStyle w:val="Normal"/></w:pPr>
<w:r><w:t xml:space="preserve">Citizen, 1895), but was hardly likely to be shared by one of</w:t></w:r>
</w:p>
<w:p>
<w:pPr><w:pStyle w:val="Normal"/></w:pPr>
<w:r><w:t xml:space="preserve">the next generation, reared in an atmosphere of resentment,</w:t></w:r>
</w:p>
<w:p>
<w:pPr><w:pStyle w:val="Normal"/></w:pPr>
<w:r><w:t xml:space="preserve">first at Nero&apos;s conduct and then at the persecuting policy</w:t></w:r>
</w:p>
<w:p>
<w:pPr><w:pStyle w:val="Normal"/></w:pPr>
<w:r><w:t xml:space="preserve">of the Flavian Caesars (see REVELATION).  Finally, the</w:t></w:r>
</w:p>
<w:p>
<w:pPr><w:pStyle w:val="Normal"/></w:pPr>
<w:r><w:t xml:space="preserve">book itself seems to claim to be written by a companion of</w:t></w:r>
</w:p>
<w:p>
<w:pPr><w:pStyle w:val="Normal"/></w:pPr>
<w:r><w:t xml:space="preserve">Paul.  In chap. xvi. 10 the writer, without any previous</w:t></w:r>
</w:p>
<w:p>
<w:pPr><w:pStyle w:val="Normal"/></w:pPr>
<w:r><w:t xml:space="preserve">warning, passes from the third person to the first.  Paul</w:t></w:r>
</w:p>
<w:p>
<w:pPr><w:pStyle w:val="Normal"/></w:pPr>
<w:r><w:t xml:space="preserve">had reached Troas.  There he saw a vision inviting him to</w:t></w:r>
</w:p>
<w:p>
<w:pPr><w:pStyle w:val="Normal"/></w:pPr>
<w:r><w:t xml:space="preserve">go to Macedonia. ``But when he saw the vision, straightway</w:t></w:r>
</w:p>
<w:p>
<w:pPr><w:pStyle w:val="Normal"/></w:pPr>
<w:r><w:t xml:space="preserve">we sought to go forth into Macedonia.&apos;&apos; Thenceforth ``we&apos;&apos;</w:t></w:r>
</w:p>
<w:p>
<w:pPr><w:pStyle w:val="Normal"/></w:pPr>
<w:r><w:t xml:space="preserve">re-emerges at certain points in the narrative until Rome is</w:t></w:r>
</w:p>
<w:p>
<w:pPr><w:pStyle w:val="Normal"/></w:pPr>
<w:r><w:t xml:space="preserve">reached.  Irenaeus (iii. 14. 1) quotes these passages as proof</w:t></w:r>
</w:p>
<w:p>
<w:pPr><w:pStyle w:val="Normal"/></w:pPr>
<w:r><w:t xml:space="preserve">that Luke, the author, was a companion of the apostle.  The</w:t></w:r>
</w:p>
<w:p>
<w:pPr><w:pStyle w:val="Normal"/></w:pPr>
<w:r><w:t xml:space="preserve">minute character of the narrative, the accurate description</w:t></w:r>
</w:p>
<w:p>
<w:pPr><w:pStyle w:val="Normal"/></w:pPr>
<w:r><w:t xml:space="preserve">of the various journeyings, the unimportance of some of the</w:t></w:r>
</w:p>
<w:p>
<w:pPr><w:pStyle w:val="Normal"/></w:pPr>
<w:r><w:t xml:space="preserve">details, especially some of the incidents of the shipwreck,</w:t></w:r>
</w:p>
<w:p>
<w:pPr><w:pStyle w:val="Normal"/></w:pPr>
<w:r><w:t xml:space="preserve">are strong reasons for believing that the narrative is that</w:t></w:r>
</w:p>
<w:p>
<w:pPr><w:pStyle w:val="Normal"/></w:pPr>
<w:r><w:t xml:space="preserve">of an eyewitness.  If so, we can scarcely help coming to the</w:t></w:r>
</w:p>
<w:p>
<w:pPr><w:pStyle w:val="Normal"/></w:pPr>
<w:r><w:t xml:space="preserve">conclusion that this eye-witness was the author of the work;</w:t></w:r>
</w:p>
<w:p>
<w:pPr><w:pStyle w:val="Normal"/></w:pPr>
<w:r><w:t xml:space="preserve">for the style of this eye-witness is exactly the style of the</w:t></w:r>
</w:p>
<w:p>
<w:pPr><w:pStyle w:val="Normal"/></w:pPr>
<w:r><w:t xml:space="preserve">writer who composed the previous portions (see Harnack, op.</w:t></w:r>
</w:p>
<w:p>
<w:pPr><w:pStyle w:val="Normal"/></w:pPr>
<w:r><w:t xml:space="preserve">cit., reinforcing the argument as already worked out by B.</w:t></w:r>
</w:p>
<w:p>
<w:pPr><w:pStyle w:val="Normal"/></w:pPr>
<w:r><w:t xml:space="preserve">Weiss, 1893, and especially by Sir J. C. Hawkins in Horae</w:t></w:r>
</w:p>
<w:p>
<w:pPr><w:pStyle w:val="Normal"/></w:pPr>
<w:r><w:t xml:space="preserve">Synopticae, 1899, pp. 143-147).  Most scholars admit that</w:t></w:r>
</w:p>
<w:p>
<w:pPr><w:pStyle w:val="Normal"/></w:pPr>
<w:r><w:t xml:space="preserve">the ``we&apos;&apos; narrative is that of a personal companion of</w:t></w:r>
</w:p>
<w:p>
<w:pPr><w:pStyle w:val="Normal"/></w:pPr>
<w:r><w:t xml:space="preserve">Paul, who was probably none other than Luke, in view of his</w:t></w:r>
</w:p>
<w:p>
<w:pPr><w:pStyle w:val="Normal"/></w:pPr>
<w:r><w:t xml:space="preserve">traditional authorship of Acts. But many suppose that the</w:t></w:r>
</w:p>
<w:p>
<w:pPr><w:pStyle w:val="Normal"/></w:pPr>
<w:r><w:t xml:space="preserve">tradition arose from confused remembrance of the use by a</w:t></w:r>
</w:p>
<w:p>
<w:pPr><w:pStyle w:val="Normal"/></w:pPr>
<w:r><w:t xml:space="preserve">later author of Luke&apos;s ``we&apos;&apos; document or travel-diary.  This</w:t></w:r>
</w:p>
<w:p>
<w:pPr><w:pStyle w:val="Normal"/></w:pPr>
<w:r><w:t xml:space="preserve">supposition would compel us to believe either that the skilful</w:t></w:r>
</w:p>
<w:p>
<w:pPr><w:pStyle w:val="Normal"/></w:pPr>
<w:r><w:t xml:space="preserve">writer of Acts was so careless as to incorporate a document</w:t></w:r>
</w:p>
<w:p>
<w:pPr><w:pStyle w:val="Normal"/></w:pPr>
<w:r><w:t xml:space="preserve">without altering its form, or that ``we&apos;&apos; is introduced</w:t></w:r>
</w:p>
<w:p>
<w:pPr><w:pStyle w:val="Normal"/></w:pPr>
<w:r><w:t xml:space="preserve">intentionally.  In the latter case we must suppose either that</w:t></w:r>
</w:p>
<w:p>
<w:pPr><w:pStyle w:val="Normal"/></w:pPr>
<w:r><w:t xml:space="preserve">the writer was an eye-witness, or that he wished to be thought an</w:t></w:r>
</w:p>
<w:p>
<w:pPr><w:pStyle w:val="Normal"/></w:pPr>
<w:r><w:t xml:space="preserve">eye-witness.  E. Zeller, a follower of Baur, adopted this latter</w:t></w:r>
</w:p>
<w:p>
<w:pPr><w:pStyle w:val="Normal"/></w:pPr>
<w:r><w:t xml:space="preserve">alternative, and P. W. Schmiedel adheres to it.  Indeed it</w:t></w:r>
</w:p>
<w:p>
<w:pPr><w:pStyle w:val="Normal"/></w:pPr>
<w:r><w:t xml:space="preserve">is hard to see how it can be avoided on the theory that the</w:t></w:r>
</w:p>
<w:p>
<w:pPr><w:pStyle w:val="Normal"/></w:pPr>
<w:r><w:t xml:space="preserve">author of Acts used a travel-document by another hand (see</w:t></w:r>
</w:p>
<w:p>
<w:pPr><w:pStyle w:val="Normal"/></w:pPr>
<w:r><w:t xml:space="preserve">below, Sources). On the whole, then, the most tenable theory</w:t></w:r>
</w:p>
<w:p>
<w:pPr><w:pStyle w:val="Normal"/></w:pPr>
<w:r><w:t xml:space="preserve">is that the writer of the ``we&apos;&apos; sections was also the author</w:t></w:r>
</w:p>
<w:p>
<w:pPr><w:pStyle w:val="Normal"/></w:pPr>
<w:r><w:t xml:space="preserve">of Acts; and that he was Luke, Paul&apos;s companion during most</w:t></w:r>
</w:p>
<w:p>
<w:pPr><w:pStyle w:val="Normal"/></w:pPr>
<w:r><w:t xml:space="preserve">of his later ministry, and also his ``counterpart,&apos;&apos; ``as a</w:t></w:r>
</w:p>
<w:p>
<w:pPr><w:pStyle w:val="Normal"/></w:pPr>
<w:r><w:t xml:space="preserve">Hellene, who yet had personal sympathy with Jewish primitive</w:t></w:r>
</w:p>
<w:p>
<w:pPr><w:pStyle w:val="Normal"/></w:pPr>
<w:r><w:t xml:space="preserve">Christianity&apos;&apos; (Harnack, op. cit. p. 103; see also LUKE).</w:t></w:r>
</w:p>
<w:p>
<w:pPr><w:pStyle w:val="Normal"/></w:pPr>
<w:r><w:t xml:space="preserve">3. Sources.--So far from the recognition of a plan in Acts</w:t></w:r>
</w:p>
<w:p>
<w:pPr><w:pStyle w:val="Normal"/></w:pPr>
<w:r><w:t xml:space="preserve">being inimical to a quest after the materials used in its</w:t></w:r>
</w:p>
<w:p>
<w:pPr><w:pStyle w:val="Normal"/></w:pPr>
<w:r><w:t xml:space="preserve">composition, one may say that it points the way thereto, while</w:t></w:r>
</w:p>
<w:p>
<w:pPr><w:pStyle w:val="Normal"/></w:pPr>
<w:r><w:t xml:space="preserve">it keeps the literary analysis within scientific limits.</w:t></w:r>
</w:p>
<w:p>
<w:pPr><w:pStyle w:val="Normal"/></w:pPr>
<w:r><w:t xml:space="preserve">The more one realizes the standpoint of the mind pervading</w:t></w:r>
</w:p>
<w:p>
<w:pPr><w:pStyle w:val="Normal"/></w:pPr>
<w:r><w:t xml:space="preserve">the book as a whole, the more one feels that the speeches in</w:t></w:r>
</w:p>
<w:p>
<w:pPr><w:pStyle w:val="Normal"/></w:pPr>
<w:r><w:t xml:space="preserve">the first part of Acts (e.g. that of Stephen)---and indeed</w:t></w:r>
</w:p>
<w:p>
<w:pPr><w:pStyle w:val="Normal"/></w:pPr>
<w:r><w:t xml:space="preserve">elsewhere, too--are not ``free compositions&apos;&apos; of our author,</w:t></w:r>
</w:p>
<w:p>
<w:pPr><w:pStyle w:val="Normal"/></w:pPr>
<w:r><w:t xml:space="preserve">the mere outcome of dramatic idealization such as ancient</w:t></w:r>
</w:p>
<w:p>
<w:pPr><w:pStyle w:val="Normal"/></w:pPr>
<w:r><w:t xml:space="preserve">historians like Thucydides or Polybius allowed themselves.</w:t></w:r>
</w:p>
<w:p>
<w:pPr><w:pStyle w:val="Normal"/></w:pPr>
<w:r><w:t xml:space="preserve">The Christology, for instance of the early Petrine speeches</w:t></w:r>
</w:p>
<w:p>
<w:pPr><w:pStyle w:val="Normal"/></w:pPr>
<w:r><w:t xml:space="preserve">is such as a Gentile Christian writing c. 80 A.D. simply</w:t></w:r>
</w:p>
<w:p>
<w:pPr><w:pStyle w:val="Normal"/></w:pPr>
<w:r><w:t xml:space="preserve">could not have imagined.  Thus we are forced to assume the</w:t></w:r>
</w:p>
<w:p>
<w:pPr><w:pStyle w:val="Normal"/></w:pPr>
<w:r><w:t xml:space="preserve">use of a certain amount of early Judaeo-Christian material,</w:t></w:r>
</w:p>
<w:p>
<w:pPr><w:pStyle w:val="Normal"/></w:pPr>
<w:r><w:t xml:space="preserve">akin to that implied also in the special parts of the Third</w:t></w:r>
</w:p>
<w:p>
<w:pPr><w:pStyle w:val="Normal"/></w:pPr>
<w:r><w:t xml:space="preserve">Gospel.  Paul Feine (Eine vorkanonische Ueberlieferung des</w:t></w:r>
</w:p>
<w:p>
<w:pPr><w:pStyle w:val="Normal"/></w:pPr>
<w:r><w:t xml:space="preserve">Lukas, 1891) suggested that a single document explains this</w:t></w:r>
</w:p>
<w:p>
<w:pPr><w:pStyle w:val="Normal"/></w:pPr>
<w:r><w:t xml:space="preserve">material in both works, as far as Acts xii.  Others maintain</w:t></w:r>
</w:p>
<w:p>
<w:pPr><w:pStyle w:val="Normal"/></w:pPr>
<w:r><w:t xml:space="preserve">that at any rate two sources underlie Acts i.-xii., or even</w:t></w:r>
</w:p>
<w:p>
<w:pPr><w:pStyle w:val="Normal"/></w:pPr>
<w:r><w:t xml:space="preserve">i.-xv. (see A. Harnack, Die Apostelgeschichte, p. 131</w:t></w:r>
</w:p>
<w:p>
<w:pPr><w:pStyle w:val="Normal"/></w:pPr>
<w:r><w:t xml:space="preserve">ff.).  In particular we can recognize a source embodying the</w:t></w:r>
</w:p>
<w:p>
<w:pPr><w:pStyle w:val="Normal"/></w:pPr>
<w:r><w:t xml:space="preserve">traditions of the largely Hellenistic Church of Antioch, a</w:t></w:r>
</w:p>
<w:p>
<w:pPr><w:pStyle w:val="Normal"/></w:pPr>
<w:r><w:t xml:space="preserve">secondary gloss from which may survive in the Bezan addition</w:t></w:r>
</w:p>
<w:p>
<w:pPr><w:pStyle w:val="Normal"/></w:pPr>
<w:r><w:t xml:space="preserve">to xi. 27, ``when we were assembled.&apos;&apos; Further, if our</w:t></w:r>
</w:p>
<w:p>
<w:pPr><w:pStyle w:val="Normal"/></w:pPr>
<w:r><w:t xml:space="preserve">author was a careful inquirer (Luke i. 3), especially if</w:t></w:r>
</w:p>
<w:p>
<w:pPr><w:pStyle w:val="Normal"/></w:pPr>
<w:r><w:t xml:space="preserve">he was in the habit of taking down in writing what he heard</w:t></w:r>
</w:p>
<w:p>
<w:pPr><w:pStyle w:val="Normal"/></w:pPr>
<w:r><w:t xml:space="preserve">from different witnesses, this may explain some of the</w:t></w:r>
</w:p>
<w:p>
<w:pPr><w:pStyle w:val="Normal"/></w:pPr>
<w:r><w:t xml:space="preserve">phenomena.  Such a man as Luke would have rare faculties</w:t></w:r>
</w:p>
<w:p>
<w:pPr><w:pStyle w:val="Normal"/></w:pPr>
<w:r><w:t xml:space="preserve">for collecting Palestinian materials, varying no doubt in</w:t></w:r>
</w:p>
<w:p>
<w:pPr><w:pStyle w:val="Normal"/></w:pPr>
<w:r><w:t xml:space="preserve">accuracy, but all relatively primitive, whether in Antioch or</w:t></w:r>
</w:p>
<w:p>
<w:pPr><w:pStyle w:val="Normal"/></w:pPr>
<w:r><w:t xml:space="preserve">in Caesarea, where he probably resided for some two years in</w:t></w:r>
</w:p>
<w:p>
<w:pPr><w:pStyle w:val="Normal"/></w:pPr>
<w:r><w:t xml:space="preserve">contact with men like Philip the Evangelist (xxi. 8). There</w:t></w:r>
</w:p>
<w:p>
<w:pPr><w:pStyle w:val="Normal"/></w:pPr>
<w:r><w:t xml:space="preserve">and elsewhere he might also learn a good deal from John Mark,</w:t></w:r>
</w:p>
<w:p>
<w:pPr><w:pStyle w:val="Normal"/></w:pPr>
<w:r><w:t xml:space="preserve">Peter&apos;s friend (1 Pet. v. 13; Acts xii. 12). In any case the</w:t></w:r>
</w:p>
<w:p>
<w:pPr><w:pStyle w:val="Normal"/></w:pPr>
<w:r><w:t xml:space="preserve">study of sources (Quellenkritik) is a comparatively new</w:t></w:r>
</w:p>
<w:p>
<w:pPr><w:pStyle w:val="Normal"/></w:pPr>
<w:r><w:t xml:space="preserve">one, and the resources of analysis, linguistic in particular,</w:t></w:r>
</w:p>
<w:p>
<w:pPr><w:pStyle w:val="Normal"/></w:pPr>
<w:r><w:t xml:space="preserve">are by no means exhausted.  One important analogy exists</w:t></w:r>
</w:p>
<w:p>
<w:pPr><w:pStyle w:val="Normal"/></w:pPr>
<w:r><w:t xml:space="preserve">for the way in which our author would handle any written</w:t></w:r>
</w:p>
<w:p>
<w:pPr><w:pStyle w:val="Normal"/></w:pPr>
<w:r><w:t xml:space="preserve">sources he may have had by him, namely, the manner in</w:t></w:r>
</w:p>
<w:p>
<w:pPr><w:pStyle w:val="Normal"/></w:pPr>
<w:r><w:t xml:space="preserve">which he uses Mark&apos;s Gospel narrative in compiling his own</w:t></w:r>
</w:p>
<w:p>
<w:pPr><w:pStyle w:val="Normal"/></w:pPr>
<w:r><w:t xml:space="preserve">Gospel.  Guided by this objective criterion, and safeguarded</w:t></w:r>
</w:p>
<w:p>
<w:pPr><w:pStyle w:val="Normal"/></w:pPr>
<w:r><w:t xml:space="preserve">by growing insight into the author&apos;s plastic aim, we need</w:t></w:r>
</w:p>
<w:p>
<w:pPr><w:pStyle w:val="Normal"/></w:pPr>
<w:r><w:t xml:space="preserve">not despair of reaching large agreement as to the nature</w:t></w:r>
</w:p>
<w:p>
<w:pPr><w:pStyle w:val="Normal"/></w:pPr>
<w:r><w:t xml:space="preserve">of the sources lying behind the first half of Acts.</w:t></w:r>
</w:p>
<w:p>
<w:pPr><w:pStyle w:val="Normal"/></w:pPr>
<w:r><w:t xml:space="preserve">In the second or strictly Pauline half we are confronted by</w:t></w:r>
</w:p>
<w:p>
<w:pPr><w:pStyle w:val="Normal"/></w:pPr>
<w:r><w:t xml:space="preserve">the so-called ``we&apos;&apos; passages.  Of these two main theories</w:t></w:r>
</w:p>
<w:p>
<w:pPr><w:pStyle w:val="Normal"/></w:pPr>
<w:r><w:t xml:space="preserve">are possible: (1) that which sees in them traces of an</w:t></w:r>
</w:p>
<w:p>
<w:pPr><w:pStyle w:val="Normal"/></w:pPr>
<w:r><w:t xml:space="preserve">earlier document--whether entries in a travel-diary, or a</w:t></w:r>
</w:p>
<w:p>
<w:pPr><w:pStyle w:val="Normal"/></w:pPr>
<w:r><w:t xml:space="preserve">more or less consecutive narrative written later; and (2)</w:t></w:r>
</w:p>
<w:p>
<w:pPr><w:pStyle w:val="Normal"/></w:pPr>
<w:r><w:t xml:space="preserve">that which would regard the ``we&apos;&apos; as due to the author&apos;s</w:t></w:r>
</w:p>
<w:p>
<w:pPr><w:pStyle w:val="Normal"/></w:pPr>
<w:r><w:t xml:space="preserve">breaking instinctively into the first person plural at certain</w:t></w:r>
</w:p>
<w:p>
<w:pPr><w:pStyle w:val="Normal"/></w:pPr>
<w:r><w:t xml:space="preserve">points where he felt himself specially identified with the</w:t></w:r>
</w:p>
<w:p>
<w:pPr><w:pStyle w:val="Normal"/></w:pPr>
<w:r><w:t xml:space="preserve">history.  On the former hypothesis, it is still in debate</w:t></w:r>
</w:p>
<w:p>
<w:pPr><w:pStyle w:val="Normal"/></w:pPr>
<w:r><w:t xml:space="preserve">whether the ``we&apos;&apos; document does or does not lie behind more</w:t></w:r>
</w:p>
<w:p>
<w:pPr><w:pStyle w:val="Normal"/></w:pPr>
<w:r><w:t xml:space="preserve">of the narrative than is definitely indicated by the formula</w:t></w:r>
</w:p>
<w:p>
<w:pPr><w:pStyle w:val="Normal"/></w:pPr>
<w:r><w:t xml:space="preserve">in question (e.g. cc. xiii.-xv., xxi. 19-xxvi.).  On the</w:t></w:r>
</w:p>
<w:p>
<w:pPr><w:pStyle w:val="Normal"/></w:pPr>
<w:r><w:t xml:space="preserve">latter, it may well be questioned whether the presence or</w:t></w:r>
</w:p>
<w:p>
<w:pPr><w:pStyle w:val="Normal"/></w:pPr>
<w:r><w:t xml:space="preserve">absence of ``we&apos;&apos; be not due to psychological causes, rather</w:t></w:r>
</w:p>
<w:p>
<w:pPr><w:pStyle w:val="Normal"/></w:pPr>
<w:r><w:t xml:space="preserve">than to the writer&apos;s mere presence or absence.2 That is,</w:t></w:r>
</w:p>
<w:p>
<w:pPr><w:pStyle w:val="Normal"/></w:pPr>
<w:r><w:t xml:space="preserve">he may be writing sometimes as a member of Paul&apos;s mission at</w:t></w:r>
</w:p>
<w:p>
<w:pPr><w:pStyle w:val="Normal"/></w:pPr>
<w:r><w:t xml:space="preserve">the critical stages of onward advance, sometimes rather as</w:t></w:r>
</w:p>
<w:p>
<w:pPr><w:pStyle w:val="Normal"/></w:pPr>
<w:r><w:t xml:space="preserve">a witness absorbed in his hero&apos;s words and deeds (so ``we&apos;&apos;</w:t></w:r>
</w:p>
<w:p>
<w:pPr><w:pStyle w:val="Normal"/></w:pPr>
<w:r><w:t xml:space="preserve">ceases between xx. 15 and xxi. 1). Naturally he would fall</w:t></w:r>
</w:p>
<w:p>
<w:pPr><w:pStyle w:val="Normal"/></w:pPr>
<w:r><w:t xml:space="preserve">into the former attitude mostly when recording the definitive</w:t></w:r>
</w:p>
<w:p>
<w:pPr><w:pStyle w:val="Normal"/></w:pPr>
<w:r><w:t xml:space="preserve">transition of Paul and his party from one sphere of work</w:t></w:r>
</w:p>
<w:p>
<w:pPr><w:pStyle w:val="Normal"/></w:pPr>
<w:r><w:t xml:space="preserve">to another (xvi. 10 ff., xx. 5 ff., xxvii. 1 ff.).  At such</w:t></w:r>
</w:p>
<w:p>
<w:pPr><w:pStyle w:val="Normal"/></w:pPr>
<w:r><w:t xml:space="preserve">times the whole ``mission&apos;&apos; was as one man in its movements.</w:t></w:r>
</w:p>
<w:p>
<w:pPr><w:pStyle w:val="Normal"/></w:pPr>
<w:r><w:t xml:space="preserve">4. Historical Value.---The question of authorship is</w:t></w:r>
</w:p>
<w:p>
<w:pPr><w:pStyle w:val="Normal"/></w:pPr>
<w:r><w:t xml:space="preserve">largely bound up with that as to the quality of the contents</w:t></w:r>
</w:p>
<w:p>
<w:pPr><w:pStyle w:val="Normal"/></w:pPr>
<w:r><w:t xml:space="preserve">as history. Acts is divided into two distinct parts.  The</w:t></w:r>
</w:p>
<w:p>
<w:pPr><w:pStyle w:val="Normal"/></w:pPr>
<w:r><w:t xml:space="preserve">first (i.-xii.) deals with the church in Jerusalem and Judaea,</w:t></w:r>
</w:p>
<w:p>
<w:pPr><w:pStyle w:val="Normal"/></w:pPr>
<w:r><w:t xml:space="preserve">and with Peter as central figure---at any rate in cc. i.-v.</w:t></w:r>
</w:p>
<w:p>
<w:pPr><w:pStyle w:val="Normal"/></w:pPr>
<w:r><w:t xml:space="preserve">``Yet in cc. vi.-xii.,&apos;&apos; as Harnack3 observes, ``the author</w:t></w:r>
</w:p>
<w:p>
<w:pPr><w:pStyle w:val="Normal"/></w:pPr>
<w:r><w:t xml:space="preserve">pursues several lines at once. (1) He has still in view the</w:t></w:r>
</w:p>
<w:p>
<w:pPr><w:pStyle w:val="Normal"/></w:pPr>
<w:r><w:t xml:space="preserve">history of the Jerusalem community and the original apostles</w:t></w:r>
</w:p>
<w:p>
<w:pPr><w:pStyle w:val="Normal"/></w:pPr>
<w:r><w:t xml:space="preserve">(especially of Peter and his missionary labours); (2) he</w:t></w:r>
</w:p>
<w:p>
<w:pPr><w:pStyle w:val="Normal"/></w:pPr>
<w:r><w:t xml:space="preserve">inserts in vi. 1 ff. a history of the Hellenistic Christians</w:t></w:r>
</w:p>
<w:p>
<w:pPr><w:pStyle w:val="Normal"/></w:pPr>
<w:r><w:t xml:space="preserve">in Jerusalem and of the Seven Men, which from the first tends</w:t></w:r>
</w:p>
<w:p>
<w:pPr><w:pStyle w:val="Normal"/></w:pPr>
<w:r><w:t xml:space="preserve">towards the Gentile Mission and the founding of the Antiochene</w:t></w:r>
</w:p>
<w:p>
<w:pPr><w:pStyle w:val="Normal"/></w:pPr>
<w:r><w:t xml:space="preserve">community; (3) he pursues the activity of Philip in Samaria</w:t></w:r>
</w:p>
<w:p>
<w:pPr><w:pStyle w:val="Normal"/></w:pPr>
<w:r><w:t xml:space="preserve">and on the coast . . .; (4) lastly, he relates the history of</w:t></w:r>
</w:p>
<w:p>
<w:pPr><w:pStyle w:val="Normal"/></w:pPr>
<w:r><w:t xml:space="preserve">Paul up to his entrance on the service of the young Antiochene</w:t></w:r>
</w:p>
<w:p>
<w:pPr><w:pStyle w:val="Normal"/></w:pPr>
<w:r><w:t xml:space="preserve">church.  In the small space of seven chapters he pursues all</w:t></w:r>
</w:p>
<w:p>
<w:pPr><w:pStyle w:val="Normal"/></w:pPr>
<w:r><w:t xml:space="preserve">these lines and tries also to connect them together, at the</w:t></w:r>
</w:p>
<w:p>
<w:pPr><w:pStyle w:val="Normal"/></w:pPr>
<w:r><w:t xml:space="preserve">same time preparing and sketching the great transition of</w:t></w:r>
</w:p>
<w:p>
<w:pPr><w:pStyle w:val="Normal"/></w:pPr>
<w:r><w:t xml:space="preserve">the Gospel from Judaism to the Greek world.  As historian,</w:t></w:r>
</w:p>
<w:p>
<w:pPr><w:pStyle w:val="Normal"/></w:pPr>
<w:r><w:t xml:space="preserve">he has here set himself the greatest task.&apos;&apos; No doubt gaps</w:t></w:r>
</w:p>
<w:p>
<w:pPr><w:pStyle w:val="Normal"/></w:pPr>
<w:r><w:t xml:space="preserve">abound in these seven chapters. ``But the inquiry as to</w:t></w:r>
</w:p>
<w:p>
<w:pPr><w:pStyle w:val="Normal"/></w:pPr>
<w:r><w:t xml:space="preserve">whether what is narrated does not even in these parts still</w:t></w:r>
</w:p>
<w:p>
<w:pPr><w:pStyle w:val="Normal"/></w:pPr>
<w:r><w:t xml:space="preserve">contain the main facts, and is not substantially trustworthy,</w:t></w:r>
</w:p>
<w:p>
<w:pPr><w:pStyle w:val="Normal"/></w:pPr>
<w:r><w:t xml:space="preserve">is not yet concluded.&apos;&apos; The difficulty is that we have but</w:t></w:r>
</w:p>
<w:p>
<w:pPr><w:pStyle w:val="Normal"/></w:pPr>
<w:r><w:t xml:space="preserve">few external means of testing this portion of the narrative</w:t></w:r>
</w:p>
<w:p>
<w:pPr><w:pStyle w:val="Normal"/></w:pPr>
<w:r><w:t xml:space="preserve">(see below, Date).  Some of it may well have suffered</w:t></w:r>
</w:p>
<w:p>
<w:pPr><w:pStyle w:val="Normal"/></w:pPr>
<w:r><w:t xml:space="preserve">partial transformation in oral tradition belore reaching</w:t></w:r>
</w:p>
<w:p>
<w:pPr><w:pStyle w:val="Normal"/></w:pPr>
<w:r><w:t xml:space="preserve">our author; e.g. the nature of the Tongues at Pentecost</w:t></w:r>
</w:p>
<w:p>
<w:pPr><w:pStyle w:val="Normal"/></w:pPr>
<w:r><w:t xml:space="preserve">does not accord with what we know of the gift of ``tongues&apos;&apos;</w:t></w:r>
</w:p>
<w:p>
<w:pPr><w:pStyle w:val="Normal"/></w:pPr>
<w:r><w:t xml:space="preserve">generally.  The second part pursues the history of the</w:t></w:r>
</w:p>
<w:p>
<w:pPr><w:pStyle w:val="Normal"/></w:pPr>
<w:r><w:t xml:space="preserve">apostle Paul; and here we can compare the statements made</w:t></w:r>
</w:p>
<w:p>
<w:pPr><w:pStyle w:val="Normal"/></w:pPr>
<w:r><w:t xml:space="preserve">in the Acts with the Epistles.  The result is a general</w:t></w:r>
</w:p>
<w:p>
<w:pPr><w:pStyle w:val="Normal"/></w:pPr>
<w:r><w:t xml:space="preserve">harmony, without any trace of direct use of these letters; and</w:t></w:r>
</w:p>
<w:p>
<w:pPr><w:pStyle w:val="Normal"/></w:pPr>
<w:r><w:t xml:space="preserve">there are many minute coincidences.  But attention has been</w:t></w:r>
</w:p>
<w:p>
<w:pPr><w:pStyle w:val="Normal"/></w:pPr>
<w:r><w:t xml:space="preserve">drawn to two remarkable exceptions.  These are, the account</w:t></w:r>
</w:p>
<w:p>
<w:pPr><w:pStyle w:val="Normal"/></w:pPr>
<w:r><w:t xml:space="preserve">given by Paul of his visits to Jerusalem in Galatians as</w:t></w:r>
</w:p>
<w:p>
<w:pPr><w:pStyle w:val="Normal"/></w:pPr>
<w:r><w:t xml:space="preserve">compared with Acts; and the character and mission of the</w:t></w:r>
</w:p>
<w:p>
<w:pPr><w:pStyle w:val="Normal"/></w:pPr>
<w:r><w:t xml:space="preserve">apostle Paul, as they appear in his letters and in Acts.</w:t></w:r>
</w:p>
<w:p>
<w:pPr><w:pStyle w:val="Normal"/></w:pPr>
<w:r><w:t xml:space="preserve">In regard to the first point, the differences as to Paul&apos;s</w:t></w:r>
</w:p>
<w:p>
<w:pPr><w:pStyle w:val="Normal"/></w:pPr>
<w:r><w:t xml:space="preserve">movements until he returns to his native province of</w:t></w:r>
</w:p>
<w:p>
<w:pPr><w:pStyle w:val="Normal"/></w:pPr>
<w:r><w:t xml:space="preserve">Syria-Cilicia (see PAUL) do not really amount to more than can</w:t></w:r>
</w:p>
<w:p>
<w:pPr><w:pStyle w:val="Normal"/></w:pPr>
<w:r><w:t xml:space="preserve">be explained by the different interests of Paul and our author</w:t></w:r>
</w:p>
<w:p>
<w:pPr><w:pStyle w:val="Normal"/></w:pPr>
<w:r><w:t xml:space="preserve">respectively.  But it is otherwise as regards the visits of</w:t></w:r>
</w:p>
<w:p>
<w:pPr><w:pStyle w:val="Normal"/></w:pPr>
<w:r><w:t xml:space="preserve">Gal. ii. 1-10 and Acts xv.  If they are meant to refer to</w:t></w:r>
</w:p>
<w:p>
<w:pPr><w:pStyle w:val="Normal"/></w:pPr>
<w:r><w:t xml:space="preserve">the same occasion, as is usually assumed,4 it is hard to</w:t></w:r>
</w:p>
<w:p>
<w:pPr><w:pStyle w:val="Normal"/></w:pPr>
<w:r><w:t xml:space="preserve">see why Paul should omit reference to the public occasion</w:t></w:r>
</w:p>
<w:p>
<w:pPr><w:pStyle w:val="Normal"/></w:pPr>
<w:r><w:t xml:space="preserve">of the visit, as also to the public vindication of his</w:t></w:r>
</w:p>
<w:p>
<w:pPr><w:pStyle w:val="Normal"/></w:pPr>
<w:r><w:t xml:space="preserve">policy.  But in fact the issues of the two visits, as given</w:t></w:r>
</w:p>
<w:p>
<w:pPr><w:pStyle w:val="Normal"/></w:pPr>
<w:r><w:t xml:space="preserve">in Gal. ii. 9 f. and Acts xv. 20 f., are not at all the</w:t></w:r>
</w:p>
<w:p>
<w:pPr><w:pStyle w:val="Normal"/></w:pPr>
<w:r><w:t xml:space="preserve">same.5 Nay more, if Gal. ii. 1-10=Acts xv., the historicity</w:t></w:r>
</w:p>
<w:p>
<w:pPr><w:pStyle w:val="Normal"/></w:pPr>
<w:r><w:t xml:space="preserve">of the ``Relief visit&apos;&apos; of Acts xi. 30, xii. 25, seems</w:t></w:r>
</w:p>
<w:p>
<w:pPr><w:pStyle w:val="Normal"/></w:pPr>
<w:r><w:t xml:space="preserve">definitely excluded by Paul&apos;s narrative of events before the</w:t></w:r>
</w:p>
<w:p>
<w:pPr><w:pStyle w:val="Normal"/></w:pPr>
<w:r><w:t xml:space="preserve">visit of Gal. ii. 1 ff.  Accordingly, Sir W. M. Ramsay and</w:t></w:r>
</w:p>
<w:p>
<w:pPr><w:pStyle w:val="Normal"/></w:pPr>
<w:r><w:t xml:space="preserve">others argue that the latter visit itself coincided with the</w:t></w:r>
</w:p>
<w:p>
<w:pPr><w:pStyle w:val="Normal"/></w:pPr>
<w:r><w:t xml:space="preserve">Relief visit, and even see in Gal. ii. 10 witness thereto.</w:t></w:r>
</w:p>
<w:p>
<w:pPr><w:pStyle w:val="Normal"/></w:pPr>
<w:r><w:t xml:space="preserve">But why, then, does not Paul refer to the public charitable</w:t></w:r>
</w:p>
<w:p>
<w:pPr><w:pStyle w:val="Normal"/></w:pPr>
<w:r><w:t xml:space="preserve">object of his visit? It seems easier therefore to admit that</w:t></w:r>
</w:p>
<w:p>
<w:pPr><w:pStyle w:val="Normal"/></w:pPr>
<w:r><w:t xml:space="preserve">the visit of Gal. ii. 1 ff. is one altogether unrecorded</w:t></w:r>
</w:p>
<w:p>
<w:pPr><w:pStyle w:val="Normal"/></w:pPr>
<w:r><w:t xml:space="preserve">in Acts, owing to its private nature as preparing the</w:t></w:r>
</w:p>
<w:p>
<w:pPr><w:pStyle w:val="Normal"/></w:pPr>
<w:r><w:t xml:space="preserve">way for public developments---with which Acts is mainly</w:t></w:r>
</w:p>
<w:p>
<w:pPr><w:pStyle w:val="Normal"/></w:pPr>
<w:r><w:t xml:space="preserve">concerned.  In that case it would fall shortly before the Relief</w:t></w:r>
</w:p>
<w:p>
<w:pPr><w:pStyle w:val="Normal"/></w:pPr>
<w:r><w:t xml:space="preserve">visit, to which there may be tacit explanatory allusion, in</w:t></w:r>
</w:p>
<w:p>
<w:pPr><w:pStyle w:val="Normal"/></w:pPr>
<w:r><w:t xml:space="preserve">Gal. ii. 10 (see further PAUL); and it will be shown below</w:t></w:r>
</w:p>
<w:p>
<w:pPr><w:pStyle w:val="Normal"/></w:pPr>
<w:r><w:t xml:space="preserve">that such a conference of leaders in Gal. ii. 1 ff. leads up</w:t></w:r>
</w:p>
<w:p>
<w:pPr><w:pStyle w:val="Normal"/></w:pPr>
<w:r><w:t xml:space="preserve">excellently both to the First Mission Journey and to Acts xv.</w:t></w:r>
</w:p>
<w:p>
<w:pPr><w:pStyle w:val="Normal"/></w:pPr>
<w:r><w:t xml:space="preserve">We pass next to the Paul of Acts. Paul insists that he</w:t></w:r>
</w:p>
<w:p>
<w:pPr><w:pStyle w:val="Normal"/></w:pPr>
<w:r><w:t xml:space="preserve">was appointed the apostle to the Gentiles, as Peter was to</w:t></w:r>
</w:p>
<w:p>
<w:pPr><w:pStyle w:val="Normal"/></w:pPr>
<w:r><w:t xml:space="preserve">the Circumcision; and that circumcision and the observance</w:t></w:r>
</w:p>
<w:p>
<w:pPr><w:pStyle w:val="Normal"/></w:pPr>
<w:r><w:t xml:space="preserve">of the Jewish law were of no importance to the Christian as</w:t></w:r>
</w:p>
<w:p>
<w:pPr><w:pStyle w:val="Normal"/></w:pPr>
<w:r><w:t xml:space="preserve">such.  His words on these points in all his letters are</w:t></w:r>
</w:p>
<w:p>
<w:pPr><w:pStyle w:val="Normal"/></w:pPr>
<w:r><w:t xml:space="preserve">strong and decided.  But in Acts it is Peter who first</w:t></w:r>
</w:p>
<w:p>
<w:pPr><w:pStyle w:val="Normal"/></w:pPr>
<w:r><w:t xml:space="preserve">opens up the way for the Gentiles.  It is Peter who uses</w:t></w:r>
</w:p>
<w:p>
<w:pPr><w:pStyle w:val="Normal"/></w:pPr>
<w:r><w:t xml:space="preserve">the strongest language in regard to the intolerable burden</w:t></w:r>
</w:p>
<w:p>
<w:pPr><w:pStyle w:val="Normal"/></w:pPr>
<w:r><w:t xml:space="preserve">of the Law as a means of salvation(xv. 10 f., cf. 1). Not a</w:t></w:r>
</w:p>
<w:p>
<w:pPr><w:pStyle w:val="Normal"/></w:pPr>
<w:r><w:t xml:space="preserve">word is said of any difference of opinion between Peter and</w:t></w:r>
</w:p>
<w:p>
<w:pPr><w:pStyle w:val="Normal"/></w:pPr>
<w:r><w:t xml:space="preserve">Paul at Antioch (Gal. ii. 11 ff.).  The brethren in Antioch</w:t></w:r>
</w:p>
<w:p>
<w:pPr><w:pStyle w:val="Normal"/></w:pPr>
<w:r><w:t xml:space="preserve">send Paul and Barnabas up to Jerusalem to ask the opinion</w:t></w:r>
</w:p>
<w:p>
<w:pPr><w:pStyle w:val="Normal"/></w:pPr>
<w:r><w:t xml:space="preserve">of the apostles and elders: they state their case, and carry</w:t></w:r>
</w:p>
<w:p>
<w:pPr><w:pStyle w:val="Normal"/></w:pPr>
<w:r><w:t xml:space="preserve">back the decision to Antioch.  Throughout the whole of Acts</w:t></w:r>
</w:p>
<w:p>
<w:pPr><w:pStyle w:val="Normal"/></w:pPr>
<w:r><w:t xml:space="preserve">Paul never stands forth as the unbending champion of the</w:t></w:r>
</w:p>
<w:p>
<w:pPr><w:pStyle w:val="Normal"/></w:pPr>
<w:r><w:t xml:space="preserve">Gentiles.  He seems continually anxious to reconcile the</w:t></w:r>
</w:p>
<w:p>
<w:pPr><w:pStyle w:val="Normal"/></w:pPr>
<w:r><w:t xml:space="preserve">Jewish Christians to himself by personally observing the law of</w:t></w:r>
</w:p>
<w:p>
<w:pPr><w:pStyle w:val="Normal"/></w:pPr>
<w:r><w:t xml:space="preserve">Moses.  He circumcises the semi-Jew, Timothy; and he performs</w:t></w:r>
</w:p>
<w:p>
<w:pPr><w:pStyle w:val="Normal"/></w:pPr>
<w:r><w:t xml:space="preserve">his vows in the temple.  He is particularly careful in his</w:t></w:r>
</w:p>
<w:p>
<w:pPr><w:pStyle w:val="Normal"/></w:pPr>
<w:r><w:t xml:space="preserve">speeches to show how deep is his respect for the law of</w:t></w:r>
</w:p>
<w:p>
<w:pPr><w:pStyle w:val="Normal"/></w:pPr>
<w:r><w:t xml:space="preserve">Moses.  In all this the letters of Paul are very different</w:t></w:r>
</w:p>
<w:p>
<w:pPr><w:pStyle w:val="Normal"/></w:pPr>
<w:r><w:t xml:space="preserve">from Acts. In Galatians he claims perfect freedom in</w:t></w:r>
</w:p>
<w:p>
<w:pPr><w:pStyle w:val="Normal"/></w:pPr>
<w:r><w:t xml:space="preserve">principle, for himself as for the Gentiles, from the</w:t></w:r>
</w:p>
<w:p>
<w:pPr><w:pStyle w:val="Normal"/></w:pPr>
<w:r><w:t xml:space="preserve">obligatory observance of the law; and neither in it nor in</w:t></w:r>
</w:p>
<w:p>
<w:pPr><w:pStyle w:val="Normal"/></w:pPr>
<w:r><w:t xml:space="preserve">Corinthians does he take any notice of a decision to which</w:t></w:r>
</w:p>
<w:p>
<w:pPr><w:pStyle w:val="Normal"/></w:pPr>
<w:r><w:t xml:space="preserve">the apostles had come in their meeting at Jerusalem.  The</w:t></w:r>
</w:p>
<w:p>
<w:pPr><w:pStyle w:val="Normal"/></w:pPr>
<w:r><w:t xml:space="preserve">narrative of Acts, too, itself implies something other than</w:t></w:r>
</w:p>
<w:p>
<w:pPr><w:pStyle w:val="Normal"/></w:pPr>
<w:r><w:t xml:space="preserve">what it sets in relief; for why should the Jews hate Paul so</w:t></w:r>
</w:p>
<w:p>
<w:pPr><w:pStyle w:val="Normal"/></w:pPr>
<w:r><w:t xml:space="preserve">much, if he was not in some sense disloyal to their Law?</w:t></w:r>
</w:p>
<w:p>
<w:pPr><w:pStyle w:val="Normal"/></w:pPr>
<w:r><w:t xml:space="preserve">There is, nevertheless, no essential contradiction here, only</w:t></w:r>
</w:p>
<w:p>
<w:pPr><w:pStyle w:val="Normal"/></w:pPr>
<w:r><w:t xml:space="preserve">such a difference of emphasis as belongs to the standpoints</w:t></w:r>
</w:p>
<w:p>
<w:pPr><w:pStyle w:val="Normal"/></w:pPr>
<w:r><w:t xml:space="preserve">and aims of the two writers amid their respective historical</w:t></w:r>
</w:p>
<w:p>
<w:pPr><w:pStyle w:val="Normal"/></w:pPr>
<w:r><w:t xml:space="preserve">conditions.  Peter&apos;s function in relation to the Gentiles belongs</w:t></w:r>
</w:p>
<w:p>
<w:pPr><w:pStyle w:val="Normal"/></w:pPr>
<w:r><w:t xml:space="preserve">to the early Palestinian conditions, before Paul&apos;s distinctive</w:t></w:r>
</w:p>
<w:p>
<w:pPr><w:pStyle w:val="Normal"/></w:pPr>
<w:r><w:t xml:space="preserve">mission had taken shape.  Once Paul&apos;s apostolate---a personal</w:t></w:r>
</w:p>
<w:p>
<w:pPr><w:pStyle w:val="Normal"/></w:pPr>
<w:r><w:t xml:space="preserve">one, parallel with the more collective apostolate of ``the</w:t></w:r>
</w:p>
<w:p>
<w:pPr><w:pStyle w:val="Normal"/></w:pPr>
<w:r><w:t xml:space="preserve">Twelve&apos;&apos;--has proved itself by tokens of Divine approval,</w:t></w:r>
</w:p>
<w:p>
<w:pPr><w:pStyle w:val="Normal"/></w:pPr>
<w:r><w:t xml:space="preserve">Peter and his colleagues frankly recognize the distinction of</w:t></w:r>
</w:p>
<w:p>
<w:pPr><w:pStyle w:val="Normal"/></w:pPr>
<w:r><w:t xml:space="preserve">the two missions, and are anxious only to arrange that the two</w:t></w:r>
</w:p>
<w:p>
<w:pPr><w:pStyle w:val="Normal"/></w:pPr>
<w:r><w:t xml:space="preserve">shall not fall apart by religiously and morally incompatible</w:t></w:r>
</w:p>
<w:p>
<w:pPr><w:pStyle w:val="Normal"/></w:pPr>
<w:r><w:t xml:space="preserve">usages (Acts xv.).  Paul, on his side, clearly implies that</w:t></w:r>
</w:p>
<w:p>
<w:pPr><w:pStyle w:val="Normal"/></w:pPr>
<w:r><w:t xml:space="preserve">Peter felt with him that the Law could not justify (Gal. ii.</w:t></w:r>
</w:p>
<w:p>
<w:pPr><w:pStyle w:val="Normal"/></w:pPr>
<w:r><w:t xml:space="preserve">15 ff.), and argues that it could not now be made obligatory</w:t></w:r>
</w:p>
<w:p>
<w:pPr><w:pStyle w:val="Normal"/></w:pPr>
<w:r><w:t xml:space="preserve">in principle (cf. ``a yoke,&apos;&apos; Acts xv. 10); yet for Jews</w:t></w:r>
</w:p>
<w:p>
<w:pPr><w:pStyle w:val="Normal"/></w:pPr>
<w:r><w:t xml:space="preserve">it might continue for the time (pending the Parousia) to be</w:t></w:r>
</w:p>
<w:p>
<w:pPr><w:pStyle w:val="Normal"/></w:pPr>
<w:r><w:t xml:space="preserve">seemly and expedient, especially for the sake of non-believing</w:t></w:r>
</w:p>
<w:p>
<w:pPr><w:pStyle w:val="Normal"/></w:pPr>
<w:r><w:t xml:space="preserve">Judaism.  To this he conformed his own conduct as a Jew, so</w:t></w:r>
</w:p>
<w:p>
<w:pPr><w:pStyle w:val="Normal"/></w:pPr>
<w:r><w:t xml:space="preserve">far as his Gentile apostolate was not involved (1 Cor. ix. 19</w:t></w:r>
</w:p>
<w:p>
<w:pPr><w:pStyle w:val="Normal"/></w:pPr>
<w:r><w:t xml:space="preserve">ff.).  There is no reason to doubt that Peter largely agreed</w:t></w:r>
</w:p>
<w:p>
<w:pPr><w:pStyle w:val="Normal"/></w:pPr>
<w:r><w:t xml:space="preserve">with him, since he acted in this spirit in Gal. ii. 11 f., until</w:t></w:r>
</w:p>
<w:p>
<w:pPr><w:pStyle w:val="Normal"/></w:pPr>
<w:r><w:t xml:space="preserve">coerced by Jerusalem sentiment to draw back for expediency&apos;s</w:t></w:r>
</w:p>
<w:p>
<w:pPr><w:pStyle w:val="Normal"/></w:pPr>
<w:r><w:t xml:space="preserve">sake.  This incident it simply did not fall within the scope of</w:t></w:r>
</w:p>
<w:p>
<w:pPr><w:pStyle w:val="Normal"/></w:pPr>
<w:r><w:t xml:space="preserve">Acts (see below) to narrate, since it had no abiding effect</w:t></w:r>
</w:p>
<w:p>
<w:pPr><w:pStyle w:val="Normal"/></w:pPr>
<w:r><w:t xml:space="preserve">on the Church&apos;s extension.  As to Paul&apos;s submission of the</w:t></w:r>
</w:p>
<w:p>
<w:pPr><w:pStyle w:val="Normal"/></w:pPr>
<w:r><w:t xml:space="preserve">issue in Acts xv. to the Jerusalem conference, Acts does not</w:t></w:r>
</w:p>
<w:p>
<w:pPr><w:pStyle w:val="Normal"/></w:pPr>
<w:r><w:t xml:space="preserve">imply that Paul would have accepted a decision in favour of the</w:t></w:r>
</w:p>
<w:p>
<w:pPr><w:pStyle w:val="Normal"/></w:pPr>
<w:r><w:t xml:space="preserve">Judaizers, though he saw the value of getting a decision for</w:t></w:r>
</w:p>
<w:p>
<w:pPr><w:pStyle w:val="Normal"/></w:pPr>
<w:r><w:t xml:space="preserve">his own policy in the quarter to which they were most likely to</w:t></w:r>
</w:p>
<w:p>
<w:pPr><w:pStyle w:val="Normal"/></w:pPr>
<w:r><w:t xml:space="preserve">defer.  If the view that he already had an understanding with</w:t></w:r>
</w:p>
<w:p>
<w:pPr><w:pStyle w:val="Normal"/></w:pPr>
<w:r><w:t xml:space="preserve">the ``Pillar&apos;&apos; Apostles, as recorded in Gal. ii. 1-10 (see</w:t></w:r>
</w:p>
<w:p>
<w:pPr><w:pStyle w:val="Normal"/></w:pPr>
<w:r><w:t xml:space="preserve">further PAUL), be correct, it gives the best of reasons</w:t></w:r>
</w:p>
<w:p>
<w:pPr><w:pStyle w:val="Normal"/></w:pPr>
<w:r><w:t xml:space="preserve">why he was ready to enter the later public Conference of Acts</w:t></w:r>
</w:p>
<w:p>
<w:pPr><w:pStyle w:val="Normal"/></w:pPr>
<w:r><w:t xml:space="preserve">xv.  Paul&apos;s own ``free&apos;&apos; attitude to the Law, when on Gentile</w:t></w:r>
</w:p>
<w:p>
<w:pPr><w:pStyle w:val="Normal"/></w:pPr>
<w:r><w:t xml:space="preserve">soil, is just what is implied by the hostile rumours as to his</w:t></w:r>
</w:p>
<w:p>
<w:pPr><w:pStyle w:val="Normal"/></w:pPr>
<w:r><w:t xml:space="preserve">conduct in Acts xxi. 21, which he would be glad to disprove</w:t></w:r>
</w:p>
<w:p>
<w:pPr><w:pStyle w:val="Normal"/></w:pPr>
<w:r><w:t xml:space="preserve">as at least exaggerated (ib. 24 and 26). What is clear is</w:t></w:r>
</w:p>
<w:p>
<w:pPr><w:pStyle w:val="Normal"/></w:pPr>
<w:r><w:t xml:space="preserve">that such lack of formal accord as here exists between Acts</w:t></w:r>
</w:p>
<w:p>
<w:pPr><w:pStyle w:val="Normal"/></w:pPr>
<w:r><w:t xml:space="preserve">and the Epistles, tells against its author&apos;s dependence on the</w:t></w:r>
</w:p>
<w:p>
<w:pPr><w:pStyle w:val="Normal"/></w:pPr>
<w:r><w:t xml:space="preserve">latter, and so favours his having been a comrade of Paul himself.</w:t></w:r>
</w:p>
<w:p>
<w:pPr><w:pStyle w:val="Normal"/></w:pPr>
<w:r><w:t xml:space="preserve">Speeches.</w:t></w:r>
</w:p>
<w:p>
<w:pPr><w:pStyle w:val="Normal"/></w:pPr>
<w:r><w:t xml:space="preserve">The speeches in Acts deserve special notice.  Did its author</w:t></w:r>
</w:p>
<w:p>
<w:pPr><w:pStyle w:val="Normal"/></w:pPr>
<w:r><w:t xml:space="preserve">follow the plan adopted by all historians of his age, or</w:t></w:r>
</w:p>
<w:p>
<w:pPr><w:pStyle w:val="Normal"/></w:pPr>
<w:r><w:t xml:space="preserve">is he an exception? Ancient historians (like many of modern</w:t></w:r>
</w:p>
<w:p>
<w:pPr><w:pStyle w:val="Normal"/></w:pPr>
<w:r><w:t xml:space="preserve">times) used the liberty of working up in their own language</w:t></w:r>
</w:p>
<w:p>
<w:pPr><w:pStyle w:val="Normal"/></w:pPr>
<w:r><w:t xml:space="preserve">the speeches recorded by them.  They did not dream of verbal</w:t></w:r>
</w:p>
<w:p>
<w:pPr><w:pStyle w:val="Normal"/></w:pPr>
<w:r><w:t xml:space="preserve">fidelity; even when they had more exact reports before them, they</w:t></w:r>
</w:p>
<w:p>
<w:pPr><w:pStyle w:val="Normal"/></w:pPr>
<w:r><w:t xml:space="preserve">preferred to mould a speaker&apos;s thoughts to their own methods of</w:t></w:r>
</w:p>
<w:p>
<w:pPr><w:pStyle w:val="Normal"/></w:pPr>
<w:r><w:t xml:space="preserve">presentation.  Besides this, some did not hesitate to give</w:t></w:r>
</w:p>
<w:p>
<w:pPr><w:pStyle w:val="Normal"/></w:pPr>
<w:r><w:t xml:space="preserve">to the characters of their history speeches which were never</w:t></w:r>
</w:p>
<w:p>
<w:pPr><w:pStyle w:val="Normal"/></w:pPr>
<w:r><w:t xml:space="preserve">uttered.  The method of direct speech, so useful in producing</w:t></w:r>
</w:p>
<w:p>
<w:pPr><w:pStyle w:val="Normal"/></w:pPr>
<w:r><w:t xml:space="preserve">a vivid idea of what is supposed to have passed through the</w:t></w:r>
</w:p>
<w:p>
<w:pPr><w:pStyle w:val="Normal"/></w:pPr>
<w:r><w:t xml:space="preserve">mind of the speaker, was used to give force to the narrative.</w:t></w:r>
</w:p>
<w:p>
<w:pPr><w:pStyle w:val="Normal"/></w:pPr>
<w:r><w:t xml:space="preserve">Now how far has the author of Acts followed the practice</w:t></w:r>
</w:p>
<w:p>
<w:pPr><w:pStyle w:val="Normal"/></w:pPr>
<w:r><w:t xml:space="preserve">of his contemporaries? Some of his speeches are evidently</w:t></w:r>
</w:p>
<w:p>
<w:pPr><w:pStyle w:val="Normal"/></w:pPr>
<w:r><w:t xml:space="preserve">but summaries of thoughts which occurred to individuals or</w:t></w:r>
</w:p>
<w:p>
<w:pPr><w:pStyle w:val="Normal"/></w:pPr>
<w:r><w:t xml:space="preserve">multitudes.  Others claim to be reports of speeches really</w:t></w:r>
</w:p>
<w:p>
<w:pPr><w:pStyle w:val="Normal"/></w:pPr>
<w:r><w:t xml:space="preserve">delivered.  But all these speeches have to a large extent the</w:t></w:r>
</w:p>
<w:p>
<w:pPr><w:pStyle w:val="Normal"/></w:pPr>
<w:r><w:t xml:space="preserve">same style, the style also of the narrative.  They have been</w:t></w:r>
</w:p>
<w:p>
<w:pPr><w:pStyle w:val="Normal"/></w:pPr>
<w:r><w:t xml:space="preserve">passed though one editorial mind, and some mutual assimilation</w:t></w:r>
</w:p>
<w:p>
<w:pPr><w:pStyle w:val="Normal"/></w:pPr>
<w:r><w:t xml:space="preserve">in phraseology and idea may well have resulted.  They are,</w:t></w:r>
</w:p>
<w:p>
<w:pPr><w:pStyle w:val="Normal"/></w:pPr>
<w:r><w:t xml:space="preserve">moreover, all of them, the merest abstracts.  The speech of</w:t></w:r>
</w:p>
<w:p>
<w:pPr><w:pStyle w:val="Normal"/></w:pPr>
<w:r><w:t xml:space="preserve">Paul at Athens, as given by Luke, would not occupy more than</w:t></w:r>
</w:p>
<w:p>
<w:pPr><w:pStyle w:val="Normal"/></w:pPr>
<w:r><w:t xml:space="preserve">a minute or two in delivery.  But these circumstances, while</w:t></w:r>
</w:p>
<w:p>
<w:pPr><w:pStyle w:val="Normal"/></w:pPr>
<w:r><w:t xml:space="preserve">inconsistent with verbal accuracy, do not destroy authenticity;</w:t></w:r>
</w:p>
<w:p>
<w:pPr><w:pStyle w:val="Normal"/></w:pPr>
<w:r><w:t xml:space="preserve">and in most of the speeches (e.g. xiv. 15-17 ) there is a</w:t></w:r>
</w:p>
<w:p>
<w:pPr><w:pStyle w:val="Normal"/></w:pPr>
<w:r><w:t xml:space="preserve">varied appropriateness as well as an allusiveness, pointing to</w:t></w:r>
</w:p>
<w:p>
<w:pPr><w:pStyle w:val="Normal"/></w:pPr>
<w:r><w:t xml:space="preserve">good information (see under Sources). There is no evidence</w:t></w:r>
</w:p>
<w:p>
<w:pPr><w:pStyle w:val="Normal"/></w:pPr>
<w:r><w:t xml:space="preserve">that any speech in Acts is the free composition of its author,</w:t></w:r>
</w:p>
<w:p>
<w:pPr><w:pStyle w:val="Normal"/></w:pPr>
<w:r><w:t xml:space="preserve">without either written or oral basis; and in general he seems</w:t></w:r>
</w:p>
<w:p>
<w:pPr><w:pStyle w:val="Normal"/></w:pPr>
<w:r><w:t xml:space="preserve">more conscientious than most ancient historians touching the</w:t></w:r>
</w:p>
<w:p>
<w:pPr><w:pStyle w:val="Normal"/></w:pPr>
<w:r><w:t xml:space="preserve">essentials of historical accuracy, even as now understood.</w:t></w:r>
</w:p>
<w:p>
<w:pPr><w:pStyle w:val="Normal"/></w:pPr>
<w:r><w:t xml:space="preserve">Miracles. Objections to the trustworthiness of Acts on the</w:t></w:r>
</w:p>
<w:p>
<w:pPr><w:pStyle w:val="Normal"/></w:pPr>
<w:r><w:t xml:space="preserve">ground of its miracles require to be stated more discriminately</w:t></w:r>
</w:p>
<w:p>
<w:pPr><w:pStyle w:val="Normal"/></w:pPr>
<w:r><w:t xml:space="preserve">than has sometimes been the case.  Particularly is this so</w:t></w:r>
</w:p>
<w:p>
<w:pPr><w:pStyle w:val="Normal"/></w:pPr>
<w:r><w:t xml:space="preserve">as regards the question of authorship.  As Harnack observes</w:t></w:r>
</w:p>
<w:p>
<w:pPr><w:pStyle w:val="Normal"/></w:pPr>
<w:r><w:t xml:space="preserve">(Lukas der Arzt, p. 24), the ``miraculous&apos;&apos; or supernormal</w:t></w:r>
</w:p>
<w:p>
<w:pPr><w:pStyle w:val="Normal"/></w:pPr>
<w:r><w:t xml:space="preserve">element is hardly, if at all, less marked in the ``we&apos;&apos;</w:t></w:r>
</w:p>
<w:p>
<w:pPr><w:pStyle w:val="Normal"/></w:pPr>
<w:r><w:t xml:space="preserve">sections, which are substantially the witness of a companion</w:t></w:r>
</w:p>
<w:p>
<w:pPr><w:pStyle w:val="Normal"/></w:pPr>
<w:r><w:t xml:space="preserve">of Paul (and where efforts to dissect out the miracles are</w:t></w:r>
</w:p>
<w:p>
<w:pPr><w:pStyle w:val="Normal"/></w:pPr>
<w:r><w:t xml:space="preserve">fruitless), than in the rest of the work.  The scientific</w:t></w:r>
</w:p>
<w:p>
<w:pPr><w:pStyle w:val="Normal"/></w:pPr>
<w:r><w:t xml:space="preserve">method, then, is to consider each ``miracle&apos;&apos; on its own merits,</w:t></w:r>
</w:p>
<w:p>
<w:pPr><w:pStyle w:val="Normal"/></w:pPr>
<w:r><w:t xml:space="preserve">according as we find reason to suppose that it has reached our</w:t></w:r>
</w:p>
<w:p>
<w:pPr><w:pStyle w:val="Normal"/></w:pPr>
<w:r><w:t xml:space="preserve">author more or less directly.  But the record of miracle as</w:t></w:r>
</w:p>
<w:p>
<w:pPr><w:pStyle w:val="Normal"/></w:pPr>
<w:r><w:t xml:space="preserve">such cannot prejudice the question of authorship.  Even the</w:t></w:r>
</w:p>
<w:p>
<w:pPr><w:pStyle w:val="Normal"/></w:pPr>
<w:r><w:t xml:space="preserve">form in which the gift of Tongues at Pentecost is conceived</w:t></w:r>
</w:p>
<w:p>
<w:pPr><w:pStyle w:val="Normal"/></w:pPr>
<w:r><w:t xml:space="preserve">does not tell against a companion of Paul, since it may have</w:t></w:r>
</w:p>
<w:p>
<w:pPr><w:pStyle w:val="Normal"/></w:pPr>
<w:r><w:t xml:space="preserve">stood in his source, and the first outpouring of the Messianic</w:t></w:r>
</w:p>
<w:p>
<w:pPr><w:pStyle w:val="Normal"/></w:pPr>
<w:r><w:t xml:space="preserve">Spirit may soon have come to be thought of as unique in some</w:t></w:r>
</w:p>
<w:p>
<w:pPr><w:pStyle w:val="Normal"/></w:pPr>
<w:r><w:t xml:space="preserve">respects, parallel in fact to the Rabbinic tradition as to</w:t></w:r>
</w:p>
<w:p>
<w:pPr><w:pStyle w:val="Normal"/></w:pPr>
<w:r><w:t xml:space="preserve">the inauguration of the Old Covenant at Sinai (cf. Philo, De</w:t></w:r>
</w:p>
<w:p>
<w:pPr><w:pStyle w:val="Normal"/></w:pPr>
<w:r><w:t xml:space="preserve">decem oraculis, 9, 11, and the Midrash on Ps. lxviii. 11).</w:t></w:r>
</w:p>
<w:p>
<w:pPr><w:pStyle w:val="Normal"/></w:pPr>
<w:r><w:t xml:space="preserve">Finally as to such historical difficulties in Acts as still</w:t></w:r>
</w:p>
<w:p>
<w:pPr><w:pStyle w:val="Normal"/></w:pPr>
<w:r><w:t xml:space="preserve">perplex the student of the Apostolic age, one must remember</w:t></w:r>
</w:p>
<w:p>
<w:pPr><w:pStyle w:val="Normal"/></w:pPr>
<w:r><w:t xml:space="preserve">the possibilities of mistake intervening between the facts</w:t></w:r>
</w:p>
<w:p>
<w:pPr><w:pStyle w:val="Normal"/></w:pPr>
<w:r><w:t xml:space="preserve">and the accounts reaching its author, at second or even third</w:t></w:r>
</w:p>
<w:p>
<w:pPr><w:pStyle w:val="Normal"/></w:pPr>
<w:r><w:t xml:space="preserve">hand.  Yet it must be strongly emphasized, that recent historical</w:t></w:r>
</w:p>
<w:p>
<w:pPr><w:pStyle w:val="Normal"/></w:pPr>
<w:r><w:t xml:space="preserve">research at the hands of experts in classical antiquity has</w:t></w:r>
</w:p>
<w:p>
<w:pPr><w:pStyle w:val="Normal"/></w:pPr>
<w:r><w:t xml:space="preserve">tended steadily to verify such parts of the narrative as it can</w:t></w:r>
</w:p>
<w:p>
<w:pPr><w:pStyle w:val="Normal"/></w:pPr>
<w:r><w:t xml:space="preserve">test, especially those connected with Paul&apos;s missions in the Roman</w:t></w:r>
</w:p>
<w:p>
<w:pPr><w:pStyle w:val="Normal"/></w:pPr>
<w:r><w:t xml:space="preserve">Empire.  That is no new result; but it has come to light in</w:t></w:r>
</w:p>
<w:p>
<w:pPr><w:pStyle w:val="Normal"/></w:pPr>
<w:r><w:t xml:space="preserve">greater degree of recent years, notably through Sir W. M. Ramsay&apos;s</w:t></w:r>
</w:p>
<w:p>
<w:pPr><w:pStyle w:val="Normal"/></w:pPr>
<w:r><w:t xml:space="preserve">researches.  The proofs of trustworthiness extend also to the</w:t></w:r>
</w:p>
<w:p>
<w:pPr><w:pStyle w:val="Normal"/></w:pPr>
<w:r><w:t xml:space="preserve">theological sphere.  What was said above of the Christology</w:t></w:r>
</w:p>
<w:p>
<w:pPr><w:pStyle w:val="Normal"/></w:pPr>
<w:r><w:t xml:space="preserve">of the Petrine speeches applies to the whole conception of</w:t></w:r>
</w:p>
<w:p>
<w:pPr><w:pStyle w:val="Normal"/></w:pPr>
<w:r><w:t xml:space="preserve">Messianic salvation, the eschatology, the idea of Jesus as</w:t></w:r>
</w:p>
<w:p>
<w:pPr><w:pStyle w:val="Normal"/></w:pPr>
<w:r><w:t xml:space="preserve">equipped by the Holy Spirit for His Messianic work, found in</w:t></w:r>
</w:p>
<w:p>
<w:pPr><w:pStyle w:val="Normal"/></w:pPr>
<w:r><w:t xml:space="preserve">these speeches, as also to titles like ``Jesus the Nazarene&apos;&apos;</w:t></w:r>
</w:p>
<w:p>
<w:pPr><w:pStyle w:val="Normal"/></w:pPr>
<w:r><w:t xml:space="preserve">and ``the Righteous One&apos;&apos; both in and beyond the Petrine</w:t></w:r>
</w:p>
<w:p>
<w:pPr><w:pStyle w:val="Normal"/></w:pPr>
<w:r><w:t xml:space="preserve">speeches.  These and other cases in which we are led to</w:t></w:r>
</w:p>
<w:p>
<w:pPr><w:pStyle w:val="Normal"/></w:pPr>
<w:r><w:t xml:space="preserve">discern very primitive witness behind Acts, do not indeed</w:t></w:r>
</w:p>
<w:p>
<w:pPr><w:pStyle w:val="Normal"/></w:pPr>
<w:r><w:t xml:space="preserve">give to such witness the value of shorthand notes or even of</w:t></w:r>
</w:p>
<w:p>
<w:pPr><w:pStyle w:val="Normal"/></w:pPr>
<w:r><w:t xml:space="preserve">abstracts based thereon.  But they do support the theory that</w:t></w:r>
</w:p>
<w:p>
<w:pPr><w:pStyle w:val="Normal"/></w:pPr>
<w:r><w:t xml:space="preserve">our author meant to give an unvarnished account of such words</w:t></w:r>
</w:p>
<w:p>
<w:pPr><w:pStyle w:val="Normal"/></w:pPr>
<w:r><w:t xml:space="preserve">and deeds as had come to his knowledge.  The perspective of</w:t></w:r>
</w:p>
<w:p>
<w:pPr><w:pStyle w:val="Normal"/></w:pPr>
<w:r><w:t xml:space="preserve">the whole is no doubt his own; and as his witnesses probably</w:t></w:r>
</w:p>
<w:p>
<w:pPr><w:pStyle w:val="Normal"/></w:pPr>
<w:r><w:t xml:space="preserve">furnished but few hints for a continuous narrative, this</w:t></w:r>
</w:p>
<w:p>
<w:pPr><w:pStyle w:val="Normal"/></w:pPr>
<w:r><w:t xml:space="preserve">perspective, especially in things chronological, may sometimes be</w:t></w:r>
</w:p>
<w:p>
<w:pPr><w:pStyle w:val="Normal"/></w:pPr>
<w:r><w:t xml:space="preserve">faulty.  Yet when one remembers that by 70-80 A.D. it must</w:t></w:r>
</w:p>
<w:p>
<w:pPr><w:pStyle w:val="Normal"/></w:pPr>
<w:r><w:t xml:space="preserve">have been a matter of small interest by what tentative stages</w:t></w:r>
</w:p>
<w:p>
<w:pPr><w:pStyle w:val="Normal"/></w:pPr>
<w:r><w:t xml:space="preserve">the Messianic salvation first extended to the Gentiles, it</w:t></w:r>
</w:p>
<w:p>
<w:pPr><w:pStyle w:val="Normal"/></w:pPr>
<w:r><w:t xml:space="preserve">is surely surprising that Acts enters into such detail</w:t></w:r>
</w:p>
<w:p>
<w:pPr><w:pStyle w:val="Normal"/></w:pPr>
<w:r><w:t xml:space="preserve">on the subject, and is not content with a summary account</w:t></w:r>
</w:p>
<w:p>
<w:pPr><w:pStyle w:val="Normal"/></w:pPr>
<w:r><w:t xml:space="preserve">of the matter such as the mere logic of the subject would</w:t></w:r>
</w:p>
<w:p>
<w:pPr><w:pStyle w:val="Normal"/></w:pPr>
<w:r><w:t xml:space="preserve">naturally suggest.  In any case, the very difference of the</w:t></w:r>
</w:p>
<w:p>
<w:pPr><w:pStyle w:val="Normal"/></w:pPr>
<w:r><w:t xml:space="preserve">perspective of Acts and of Galatians, in recording the</w:t></w:r>
</w:p>
<w:p>
<w:pPr><w:pStyle w:val="Normal"/></w:pPr>
<w:r><w:t xml:space="preserve">same epochs in Paul&apos;s history, argues such an independence</w:t></w:r>
</w:p>
<w:p>
<w:pPr><w:pStyle w:val="Normal"/></w:pPr>
<w:r><w:t xml:space="preserve">in the former as is compatible only with an early date.</w:t></w:r>
</w:p>
<w:p>
<w:pPr><w:pStyle w:val="Normal"/></w:pPr>
<w:r><w:t xml:space="preserve">Quellenkritik, then, a distinctive feature of recent</w:t></w:r>
</w:p>
<w:p>
<w:pPr><w:pStyle w:val="Normal"/></w:pPr>
<w:r><w:t xml:space="preserve">research upon Acts, solves many difficulties in the way</w:t></w:r>
</w:p>
<w:p>
<w:pPr><w:pStyle w:val="Normal"/></w:pPr>
<w:r><w:t xml:space="preserve">of treating it as an honest narrative by a companion of</w:t></w:r>
</w:p>
<w:p>
<w:pPr><w:pStyle w:val="Normal"/></w:pPr>
<w:r><w:t xml:space="preserve">Paul.  In addition, we may also count among recent gains</w:t></w:r>
</w:p>
<w:p>
<w:pPr><w:pStyle w:val="Normal"/></w:pPr>
<w:r><w:t xml:space="preserve">a juster method of judging such a book.  For among the</w:t></w:r>
</w:p>
<w:p>
<w:pPr><w:pStyle w:val="Normal"/></w:pPr>
<w:r><w:t xml:space="preserve">results of the Tubingen criticism was what Dr W. Sanday</w:t></w:r>
</w:p>
<w:p>
<w:pPr><w:pStyle w:val="Normal"/></w:pPr>
<w:r><w:t xml:space="preserve">calls ``an unreal and artificial standard, the standard of</w:t></w:r>
</w:p>
<w:p>
<w:pPr><w:pStyle w:val="Normal"/></w:pPr>
<w:r><w:t xml:space="preserve">the 19th century rather than the 1st, of Germany rather than</w:t></w:r>
</w:p>
<w:p>
<w:pPr><w:pStyle w:val="Normal"/></w:pPr>
<w:r><w:t xml:space="preserve">Palestine, of the lamp and the study rather than of active</w:t></w:r>
</w:p>
<w:p>
<w:pPr><w:pStyle w:val="Normal"/></w:pPr>
<w:r><w:t xml:space="preserve">life.&apos;&apos; This has a bearing, for instance, on the differences</w:t></w:r>
</w:p>
<w:p>
<w:pPr><w:pStyle w:val="Normal"/></w:pPr>
<w:r><w:t xml:space="preserve">between the three accounts of Paul&apos;s conversion in Acts.</w:t></w:r>
</w:p>
<w:p>
<w:pPr><w:pStyle w:val="Normal"/></w:pPr>
<w:r><w:t xml:space="preserve">In the recovery of a more real standard, we owe much to</w:t></w:r>
</w:p>
<w:p>
<w:pPr><w:pStyle w:val="Normal"/></w:pPr>
<w:r><w:t xml:space="preserve">men like Mommsen, Ramsay, Blass and Harnack, trained amid</w:t></w:r>
</w:p>
<w:p>
<w:pPr><w:pStyle w:val="Normal"/></w:pPr>
<w:r><w:t xml:space="preserve">other methods and traditions than those which had brought</w:t></w:r>
</w:p>
<w:p>
<w:pPr><w:pStyle w:val="Normal"/></w:pPr>
<w:r><w:t xml:space="preserve">the constructive study of Acts almost to a deadlock.</w:t></w:r>
</w:p>
<w:p>
<w:pPr><w:pStyle w:val="Normal"/></w:pPr>
<w:r><w:t xml:space="preserve">5. Date.--External evidence now points to the existence</w:t></w:r>
</w:p>
<w:p>
<w:pPr><w:pStyle w:val="Normal"/></w:pPr>
<w:r><w:t xml:space="preserve">of Acts at least as early as the opening years of the 2nd</w:t></w:r>
</w:p>
<w:p>
<w:pPr><w:pStyle w:val="Normal"/></w:pPr>
<w:r><w:t xml:space="preserve">century.  As evidence for the Third Gospel holds equally</w:t></w:r>
</w:p>
<w:p>
<w:pPr><w:pStyle w:val="Normal"/></w:pPr>
<w:r><w:t xml:space="preserve">for Acts, its existence in Marcion&apos;s day (120-140) is now</w:t></w:r>
</w:p>
<w:p>
<w:pPr><w:pStyle w:val="Normal"/></w:pPr>
<w:r><w:t xml:space="preserve">assured.  Further, the traces of it in Polycarp 6 and Ignatius</w:t></w:r>
</w:p>
<w:p>
<w:pPr><w:pStyle w:val="Normal"/></w:pPr>
<w:r><w:t xml:space="preserve">7 when taken together, are highly probable; and it is even</w:t></w:r>
</w:p>
<w:p>
<w:pPr><w:pStyle w:val="Normal"/></w:pPr>
<w:r><w:t xml:space="preserve">widely admitted that the resemblance of Acts xiii. 22, and 1</w:t></w:r>
</w:p>
<w:p>
<w:pPr><w:pStyle w:val="Normal"/></w:pPr>
<w:r><w:t xml:space="preserve">Cicm. xviii. 1, in features not found in the Psalm (lxxxix.</w:t></w:r>
</w:p>
<w:p>
<w:pPr><w:pStyle w:val="Normal"/></w:pPr>
<w:r><w:t xml:space="preserve">20) quoted by each, can hardly be accidental.  That is, Acts</w:t></w:r>
</w:p>
<w:p>
<w:pPr><w:pStyle w:val="Normal"/></w:pPr>
<w:r><w:t xml:space="preserve">was probably current in Antioch and Smyrna not later than c.</w:t></w:r>
</w:p>
<w:p>
<w:pPr><w:pStyle w:val="Normal"/></w:pPr>
<w:r><w:t xml:space="preserve">A.D. 115, and perhaps in Rome as early as c. A.D. 96.</w:t></w:r>
</w:p>
<w:p>
<w:pPr><w:pStyle w:val="Normal"/></w:pPr>
<w:r><w:t xml:space="preserve">With this view internal evidence agrees.  In spite of some</w:t></w:r>
</w:p>
<w:p>
<w:pPr><w:pStyle w:val="Normal"/></w:pPr>
<w:r><w:t xml:space="preserve">advocacy of a date prior to A.D. 70, the bulk of critical</w:t></w:r>
</w:p>
<w:p>
<w:pPr><w:pStyle w:val="Normal"/></w:pPr>
<w:r><w:t xml:space="preserve">opinion is decidedly against it.  The prologue to Luke&apos;s Gospel</w:t></w:r>
</w:p>
<w:p>
<w:pPr><w:pStyle w:val="Normal"/></w:pPr>
<w:r><w:t xml:space="preserve">itself implies the dying out of the generation of eye-witnesses</w:t></w:r>
</w:p>
<w:p>
<w:pPr><w:pStyle w:val="Normal"/></w:pPr>
<w:r><w:t xml:space="preserve">as a class.  A strong consensus of opinion supports a date</w:t></w:r>
</w:p>
<w:p>
<w:pPr><w:pStyle w:val="Normal"/></w:pPr>
<w:r><w:t xml:space="preserve">about A.D. 80; some prefer 75 to 80; while a date between</w:t></w:r>
</w:p>
<w:p>
<w:pPr><w:pStyle w:val="Normal"/></w:pPr>
<w:r><w:t xml:space="preserve">70 and 75 seems no less possible.  Of the reasons for a</w:t></w:r>
</w:p>
<w:p>
<w:pPr><w:pStyle w:val="Normal"/></w:pPr>
<w:r><w:t xml:space="preserve">date in one of the earlier decades of the 2nd century, as</w:t></w:r>
</w:p>
<w:p>
<w:pPr><w:pStyle w:val="Normal"/></w:pPr>
<w:r><w:t xml:space="preserve">argued by the Tubingen school and its heirs, several are now</w:t></w:r>
</w:p>
<w:p>
<w:pPr><w:pStyle w:val="Normal"/></w:pPr>
<w:r><w:t xml:space="preserve">untenable.  Among these are the supposed traces of 2nd-century</w:t></w:r>
</w:p>
<w:p>
<w:pPr><w:pStyle w:val="Normal"/></w:pPr>
<w:r><w:t xml:space="preserve">Gnosticism and ``hierarchical&apos;&apos; ideas of organization; but</w:t></w:r>
</w:p>
<w:p>
<w:pPr><w:pStyle w:val="Normal"/></w:pPr>
<w:r><w:t xml:space="preserve">especially the argument from the relation of the Roman state</w:t></w:r>
</w:p>
<w:p>
<w:pPr><w:pStyle w:val="Normal"/></w:pPr>
<w:r><w:t xml:space="preserve">to the Christians, which Ramsay has reversed and turned</w:t></w:r>
</w:p>
<w:p>
<w:pPr><w:pStyle w:val="Normal"/></w:pPr>
<w:r><w:t xml:space="preserve">into proof of an origin prior to Pliny&apos;s correspondence with</w:t></w:r>
</w:p>
<w:p>
<w:pPr><w:pStyle w:val="Normal"/></w:pPr>
<w:r><w:t xml:space="preserve">Trajan on the subject.  Another fact, now generally admitted,</w:t></w:r>
</w:p>
<w:p>
<w:pPr><w:pStyle w:val="Normal"/></w:pPr>
<w:r><w:t xml:space="preserve">renders a 2nd-century date yet more incredible; and that</w:t></w:r>
</w:p>
<w:p>
<w:pPr><w:pStyle w:val="Normal"/></w:pPr>
<w:r><w:t xml:space="preserve">is the failure of a writer devoted to Paul&apos;s memory to make</w:t></w:r>
</w:p>
<w:p>
<w:pPr><w:pStyle w:val="Normal"/></w:pPr>
<w:r><w:t xml:space="preserve">palpable use of his Epistles.  Instead of this he writes in</w:t></w:r>
</w:p>
<w:p>
<w:pPr><w:pStyle w:val="Normal"/></w:pPr>
<w:r><w:t xml:space="preserve">a fashion that seems to traverse certain things recorded in</w:t></w:r>
</w:p>
<w:p>
<w:pPr><w:pStyle w:val="Normal"/></w:pPr>
<w:r><w:t xml:space="preserve">them.  If, indeed, it were proved that Acts uses the</w:t></w:r>
</w:p>
<w:p>
<w:pPr><w:pStyle w:val="Normal"/></w:pPr>
<w:r><w:t xml:space="preserve">later works of Josephus, we should have to place the book</w:t></w:r>
</w:p>
<w:p>
<w:pPr><w:pStyle w:val="Normal"/></w:pPr>
<w:r><w:t xml:space="preserve">about A.D. 100. But this is far from being the case.</w:t></w:r>
</w:p>
<w:p>
<w:pPr><w:pStyle w:val="Normal"/></w:pPr>
<w:r><w:t xml:space="preserve">Three points of contact with Josephus in particular are cited.</w:t></w:r>
</w:p>
<w:p>
<w:pPr><w:pStyle w:val="Normal"/></w:pPr>
<w:r><w:t xml:space="preserve">(1) The circumstances attending the death of Herod Agrippa</w:t></w:r>
</w:p>
<w:p>
<w:pPr><w:pStyle w:val="Heading1"/></w:pPr>
<w:r><w:t>I. in A.D. 44. Here Acts xii. 21-23 is largely parallel to</w:t></w:r>
</w:p>
<w:p>
<w:pPr><w:pStyle w:val="Normal"/></w:pPr>
<w:r><w:t xml:space="preserve">Jos. Antt. xix. 8. 2; but the latter adds an omen of coming</w:t></w:r>
</w:p>
<w:p>
<w:pPr><w:pStyle w:val="Normal"/></w:pPr>
<w:r><w:t xml:space="preserve">doom, while Acts alone gives a circumstantial account of the</w:t></w:r>
</w:p>
<w:p>
<w:pPr><w:pStyle w:val="Normal"/></w:pPr>
<w:r><w:t xml:space="preserve">occasion of Herod&apos;s public appearance.  Hence the parallel,</w:t></w:r>
</w:p>
<w:p>
<w:pPr><w:pStyle w:val="Normal"/></w:pPr>
<w:r><w:t xml:space="preserve">when analysed, tells against dependence on Josephus.  So</w:t></w:r>
</w:p>
<w:p>
<w:pPr><w:pStyle w:val="Normal"/></w:pPr>
<w:r><w:t xml:space="preserve">also with (2) the cause of the Egyptian pseudo-prophet in</w:t></w:r>
</w:p>
<w:p>
<w:pPr><w:pStyle w:val="Normal"/></w:pPr>
<w:r><w:t xml:space="preserve">Acts xxi. 37, f., Jos. Jewish War, ii. 13. 5, Antt. xx.</w:t></w:r>
</w:p>
<w:p>
<w:pPr><w:pStyle w:val="Normal"/></w:pPr>
<w:r><w:t xml:space="preserve">8. 6; for the numbers of his followers do not agree with</w:t></w:r>
</w:p>
<w:p>
<w:pPr><w:pStyle w:val="Normal"/></w:pPr>
<w:r><w:t xml:space="preserve">either of Josephus&apos;s rather divergent accounts, while Acts</w:t></w:r>
</w:p>
<w:p>
<w:pPr><w:pStyle w:val="Normal"/></w:pPr>
<w:r><w:t xml:space="preserve">alone calls them Sicarii. With these instances in mind, it</w:t></w:r>
</w:p>
<w:p>
<w:pPr><w:pStyle w:val="Normal"/></w:pPr>
<w:r><w:t xml:space="preserve">is natural to regard (3) the curious resemblance as to the</w:t></w:r>
</w:p>
<w:p>
<w:pPr><w:pStyle w:val="Normal"/></w:pPr>
<w:r><w:t xml:space="preserve">(non-historical) order in which Theudas and Judas of Galilee</w:t></w:r>
</w:p>
<w:p>
<w:pPr><w:pStyle w:val="Normal"/></w:pPr>
<w:r><w:t xml:space="preserve">are referred to in both as accidental, the more so that again</w:t></w:r>
</w:p>
<w:p>
<w:pPr><w:pStyle w:val="Normal"/></w:pPr>
<w:r><w:t xml:space="preserve">there is difference as to numbers.  Further, to make out</w:t></w:r>
</w:p>
<w:p>
<w:pPr><w:pStyle w:val="Normal"/></w:pPr>
<w:r><w:t xml:space="preserve">a case for dependence at all, one must assume the mistaken</w:t></w:r>
</w:p>
<w:p>
<w:pPr><w:pStyle w:val="Normal"/></w:pPr>
<w:r><w:t xml:space="preserve">order (as it may be) in Gamaliel&apos;s speech as due to gross</w:t></w:r>
</w:p>
<w:p>
<w:pPr><w:pStyle w:val="Normal"/></w:pPr>
<w:r><w:t xml:space="preserve">carelessness in the author of Acts--an hypothesis unlikely in</w:t></w:r>
</w:p>
<w:p>
<w:pPr><w:pStyle w:val="Normal"/></w:pPr>
<w:r><w:t xml:space="preserve">itself.  Such a mistake was far more likely to arise in oral</w:t></w:r>
</w:p>
<w:p>
<w:pPr><w:pStyle w:val="Normal"/></w:pPr>
<w:r><w:t xml:space="preserve">transmission of the speech, before it reached Luke at all.</w:t></w:r>
</w:p>
<w:p>
<w:pPr><w:pStyle w:val="Normal"/></w:pPr>
<w:r><w:t xml:space="preserve">6 Place.---The place of composition is still an open</w:t></w:r>
</w:p>
<w:p>
<w:pPr><w:pStyle w:val="Normal"/></w:pPr>
<w:r><w:t xml:space="preserve">question.  For some time Rome and Antioch have been in favour;</w:t></w:r>
</w:p>
<w:p>
<w:pPr><w:pStyle w:val="Normal"/></w:pPr>
<w:r><w:t xml:space="preserve">and Blass combined both views in his theory of two editions</w:t></w:r>
</w:p>
<w:p>
<w:pPr><w:pStyle w:val="Normal"/></w:pPr>
<w:r><w:t xml:space="preserve">(see below, Text). But internal evidence points strongly to</w:t></w:r>
</w:p>
<w:p>
<w:pPr><w:pStyle w:val="Normal"/></w:pPr>
<w:r><w:t xml:space="preserve">the Roman province of Asia, particularly the neighbourhood of</w:t></w:r>
</w:p>
<w:p>
<w:pPr><w:pStyle w:val="Normal"/></w:pPr>
<w:r><w:t xml:space="preserve">Ephesus.  Note the confident local allusion in xix. 9 to ``the</w:t></w:r>
</w:p>
<w:p>
<w:pPr><w:pStyle w:val="Normal"/></w:pPr>
<w:r><w:t xml:space="preserve">school of Tyrannus&apos;&apos;---not ``a certain Tyrannus,&apos;&apos; as in the</w:t></w:r>
</w:p>
<w:p>
<w:pPr><w:pStyle w:val="Normal"/></w:pPr>
<w:r><w:t xml:space="preserve">inferior text--and in xix. 33 to ``Alexander&apos;&apos;; also the very</w:t></w:r>
</w:p>
<w:p>
<w:pPr><w:pStyle w:val="Normal"/></w:pPr>
<w:r><w:t xml:space="preserve">minute topography in xx. 13-15.  At any rate affairs in that</w:t></w:r>
</w:p>
<w:p>
<w:pPr><w:pStyle w:val="Normal"/></w:pPr>
<w:r><w:t xml:space="preserve">region, including the future of the church of Ephesus (xx.</w:t></w:r>
</w:p>
<w:p>
<w:pPr><w:pStyle w:val="Normal"/></w:pPr>
<w:r><w:t xml:space="preserve">28-30), are treated as though they would specially interest</w:t></w:r>
</w:p>
<w:p>
<w:pPr><w:pStyle w:val="Normal"/></w:pPr>
<w:r><w:t xml:space="preserve">``Theophilus&apos;&apos; and his circle; also an early tradition makes</w:t></w:r>
</w:p>
<w:p>
<w:pPr><w:pStyle w:val="Normal"/></w:pPr>
<w:r><w:t xml:space="preserve">Luke die in the adjacent Bithynia.  Finally it was in this</w:t></w:r>
</w:p>
<w:p>
<w:pPr><w:pStyle w:val="Normal"/></w:pPr>
<w:r><w:t xml:space="preserve">region that there arose certain early glosses e.g. on</w:t></w:r>
</w:p>
<w:p>
<w:pPr><w:pStyle w:val="Normal"/></w:pPr>
<w:r><w:t xml:space="preserve">xix. 9, xx. 15), probably the earliest of those referred to</w:t></w:r>
</w:p>
<w:p>
<w:pPr><w:pStyle w:val="Normal"/></w:pPr>
<w:r><w:t xml:space="preserve">below.  How fully in correspondeoce with such an environment</w:t></w:r>
</w:p>
<w:p>
<w:pPr><w:pStyle w:val="Normal"/></w:pPr>
<w:r><w:t xml:space="preserve">the work would be, as apologia for the Church against</w:t></w:r>
</w:p>
<w:p>
<w:pPr><w:pStyle w:val="Normal"/></w:pPr>
<w:r><w:t xml:space="preserve">the Synagogue&apos;s attempts to influence Roman policy to its</w:t></w:r>
</w:p>
<w:p>
<w:pPr><w:pStyle w:val="Normal"/></w:pPr>
<w:r><w:t xml:space="preserve">harm, must be clear to all familiar with the strength of</w:t></w:r>
</w:p>
<w:p>
<w:pPr><w:pStyle w:val="Normal"/></w:pPr>
<w:r><w:t xml:space="preserve">Judaism in ``Asia&apos;&apos; (cf. Rev. ii. 9, iii. 9, and see Sir W.</w:t></w:r>
</w:p>
<w:p>
<w:pPr><w:pStyle w:val="Normal"/></w:pPr>
<w:r><w:t xml:space="preserve">M. Ramsay, The Letters to the Seven Churches, ch. xii.).</w:t></w:r>
</w:p>
<w:p>
<w:pPr><w:pStyle w:val="Normal"/></w:pPr>
<w:r><w:t xml:space="preserve">7. Text.---The apparatus criticus of Acts has grown</w:t></w:r>
</w:p>
<w:p>
<w:pPr><w:pStyle w:val="Normal"/></w:pPr>
<w:r><w:t xml:space="preserve">considerably of recent years; yet mainly in one direction,</w:t></w:r>
</w:p>
<w:p>
<w:pPr><w:pStyle w:val="Normal"/></w:pPr>
<w:r><w:t xml:space="preserve">that of the so-called ``Western text.&apos;&apos; This term, which our</w:t></w:r>
</w:p>
<w:p>
<w:pPr><w:pStyle w:val="Normal"/></w:pPr>
<w:r><w:t xml:space="preserve">growing knowledge, especially of the Syriac and other Eastern</w:t></w:r>
</w:p>
<w:p>
<w:pPr><w:pStyle w:val="Normal"/></w:pPr>
<w:r><w:t xml:space="preserve">versions, is rendering more and more unsatisfactory, stands</w:t></w:r>
</w:p>
<w:p>
<w:pPr><w:pStyle w:val="Normal"/></w:pPr>
<w:r><w:t xml:space="preserve">for a text which used to be connected almost exclusively with</w:t></w:r>
</w:p>
<w:p>
<w:pPr><w:pStyle w:val="Normal"/></w:pPr>
<w:r><w:t xml:space="preserve">the ``eccentric&apos;&apos; Codex Bezae, and is comparable to a</w:t></w:r>
</w:p>
<w:p>
<w:pPr><w:pStyle w:val="Normal"/></w:pPr>
<w:r><w:t xml:space="preserve">Targum on an Old Testament book.  But it is now recognized</w:t></w:r>
</w:p>
<w:p>
<w:pPr><w:pStyle w:val="Normal"/></w:pPr>
<w:r><w:t xml:space="preserve">to have been very widespread, in both east and west, for</w:t></w:r>
</w:p>
<w:p>
<w:pPr><w:pStyle w:val="Normal"/></w:pPr>
<w:r><w:t xml:space="preserve">some 200 years or more from as early as the middle of the 2nd</w:t></w:r>
</w:p>
<w:p>
<w:pPr><w:pStyle w:val="Normal"/></w:pPr>
<w:r><w:t xml:space="preserve">century.  The process, however, of sitting out the readings of</w:t></w:r>
</w:p>
<w:p>
<w:pPr><w:pStyle w:val="Normal"/></w:pPr>
<w:r><w:t xml:space="preserve">all our present witnesses--(Aleph MSS.), versions, Fathers</w:t></w:r>
</w:p>
<w:p>
<w:pPr><w:pStyle w:val="Normal"/></w:pPr>
<w:r><w:t xml:space="preserve">--has not yet gone far enough to yield any sure or final result</w:t></w:r>
</w:p>
<w:p>
<w:pPr><w:pStyle w:val="Normal"/></w:pPr>
<w:r><w:t xml:space="preserve">as to the history of this text, so as to show what in its extant</w:t></w:r>
</w:p>
<w:p>
<w:pPr><w:pStyle w:val="Normal"/></w:pPr>
<w:r><w:t xml:space="preserve">forms is primary, secondary, and so on.  Beginnings have been</w:t></w:r>
</w:p>
<w:p>
<w:pPr><w:pStyle w:val="Normal"/></w:pPr>
<w:r><w:t xml:space="preserve">made towards grouping our authorities; but the work must go</w:t></w:r>
</w:p>
<w:p>
<w:pPr><w:pStyle w:val="Normal"/></w:pPr>
<w:r><w:t xml:space="preserve">on much further before a solid basis for the reconstruction</w:t></w:r>
</w:p>
<w:p>
<w:pPr><w:pStyle w:val="Normal"/></w:pPr>
<w:r><w:t xml:space="preserve">of its primitive form can be said to exist.  The attempts</w:t></w:r>
</w:p>
<w:p>
<w:pPr><w:pStyle w:val="Normal"/></w:pPr>
<w:r><w:t xml:space="preserve">made at such a reconstruction, as by Blass (1895, 1897) and</w:t></w:r>
</w:p>
<w:p>
<w:pPr><w:pStyle w:val="Normal"/></w:pPr>
<w:r><w:t xml:space="preserve">Hilgenfeld (1899), are quite arbitrary.  The like must be said</w:t></w:r>
</w:p>
<w:p>
<w:pPr><w:pStyle w:val="Normal"/></w:pPr>
<w:r><w:t xml:space="preserve">even of the contribution to the problem made by August Pott,8</w:t></w:r>
</w:p>
<w:p>
<w:pPr><w:pStyle w:val="Normal"/></w:pPr>
<w:r><w:t xml:space="preserve">though he has helped to define one condition of success---the</w:t></w:r>
</w:p>
<w:p>
<w:pPr><w:pStyle w:val="Normal"/></w:pPr>
<w:r><w:t xml:space="preserve">classification of the strata in ``Western&apos;&apos; texts---and has</w:t></w:r>
</w:p>
<w:p>
<w:pPr><w:pStyle w:val="Normal"/></w:pPr>
<w:r><w:t xml:space="preserve">taken some steps in the right direction, in connexion with</w:t></w:r>
</w:p>
<w:p>
<w:pPr><w:pStyle w:val="Normal"/></w:pPr>
<w:r><w:t xml:space="preserve">the complex phenomena of one witness, the Harklean Syriac.</w:t></w:r>
</w:p>
<w:p>
<w:pPr><w:pStyle w:val="Normal"/></w:pPr>
<w:r><w:t xml:space="preserve">Assuming, however, that the original form of the ``Western&apos;&apos;</w:t></w:r>
</w:p>
<w:p>
<w:pPr><w:pStyle w:val="Normal"/></w:pPr>
<w:r><w:t xml:space="preserve">text had been reached, the question of its historical value,</w:t></w:r>
</w:p>
<w:p>
<w:pPr><w:pStyle w:val="Normal"/></w:pPr>
<w:r><w:t xml:space="preserve">i.e. its relation to the original text of Acts, would yet</w:t></w:r>
</w:p>
<w:p>
<w:pPr><w:pStyle w:val="Normal"/></w:pPr>
<w:r><w:t xml:space="preserve">remain.  On this point the highest claims have been made by</w:t></w:r>
</w:p>
<w:p>
<w:pPr><w:pStyle w:val="Normal"/></w:pPr>
<w:r><w:t xml:space="preserve">Blass.  Ever since 1894 he held that both the ``Western&apos;&apos;</w:t></w:r>
</w:p>
<w:p>
<w:pPr><w:pStyle w:val="Normal"/></w:pPr>
<w:r><w:t xml:space="preserve">text of Acts (which he styles the b text) and its rival,</w:t></w:r>
</w:p>
<w:p>
<w:pPr><w:pStyle w:val="Normal"/></w:pPr>
<w:r><w:t xml:space="preserve">the text of the great uncials (which he styles the a text),</w:t></w:r>
</w:p>
<w:p>
<w:pPr><w:pStyle w:val="Normal"/></w:pPr>
<w:r><w:t xml:space="preserve">are due to the author&apos;s own hand.  Further, that the former</w:t></w:r>
</w:p>
<w:p>
<w:pPr><w:pStyle w:val="Normal"/></w:pPr>
<w:r><w:t xml:space="preserve">(Roman) is the more original of the two, being related to the</w:t></w:r>
</w:p>
<w:p>
<w:pPr><w:pStyle w:val="Normal"/></w:pPr>
<w:r><w:t xml:space="preserve">latter (Antiochene) as fuller first draft to severely pruned</w:t></w:r>
</w:p>
<w:p>
<w:pPr><w:pStyle w:val="Normal"/></w:pPr>
<w:r><w:t xml:space="preserve">copy.  But even in its later form, that ``b stands nearer</w:t></w:r>
</w:p>
<w:p>
<w:pPr><w:pStyle w:val="Normal"/></w:pPr>
<w:r><w:t xml:space="preserve">the Grundschrift than a, but yet is, like a, a copy</w:t></w:r>
</w:p>
<w:p>
<w:pPr><w:pStyle w:val="Normal"/></w:pPr>
<w:r><w:t xml:space="preserve">from it,&apos;&apos; the theory is really untenable.  In sober contrast</w:t></w:r>
</w:p>
<w:p>
<w:pPr><w:pStyle w:val="Normal"/></w:pPr>
<w:r><w:t xml:space="preserve">of Blass&apos;s sweeping theory stand the views of Sir W. M.</w:t></w:r>
</w:p>
<w:p>
<w:pPr><w:pStyle w:val="Normal"/></w:pPr>
<w:r><w:t xml:space="preserve">Ramsay.  Already in The Church in the Roman Empire ( 1893</w:t></w:r>
</w:p>
<w:p>
<w:pPr><w:pStyle w:val="Normal"/></w:pPr>
<w:r><w:t xml:space="preserve">) he held that the Codex Bezae rested on a recension made</w:t></w:r>
</w:p>
<w:p>
<w:pPr><w:pStyle w:val="Normal"/></w:pPr>
<w:r><w:t xml:space="preserve">in Asia Minor (somewhere between Ephesus and S. Galatia),</w:t></w:r>
</w:p>
<w:p>
<w:pPr><w:pStyle w:val="Normal"/></w:pPr>
<w:r><w:t xml:space="preserve">not later than about the middle of the 2nd century.  Though</w:t></w:r>
</w:p>
<w:p>
<w:pPr><w:pStyle w:val="Normal"/></w:pPr>
<w:r><w:t xml:space="preserve">``some at least of the alterations in Codex Bezae arose</w:t></w:r>
</w:p>
<w:p>
<w:pPr><w:pStyle w:val="Normal"/></w:pPr>
<w:r><w:t xml:space="preserve">through a gradual process, and not through the action of</w:t></w:r>
</w:p>
<w:p>
<w:pPr><w:pStyle w:val="Normal"/></w:pPr>
<w:r><w:t xml:space="preserve">an individual reviser,&apos;&apos; the revision in question was the</w:t></w:r>
</w:p>
<w:p>
<w:pPr><w:pStyle w:val="Normal"/></w:pPr>
<w:r><w:t xml:space="preserve">work of a single reviser, who in his changes and additions</w:t></w:r>
</w:p>
<w:p>
<w:pPr><w:pStyle w:val="Normal"/></w:pPr>
<w:r><w:t xml:space="preserve">expressed the local interpretation put upon Acts in his own</w:t></w:r>
</w:p>
<w:p>
<w:pPr><w:pStyle w:val="Normal"/></w:pPr>
<w:r><w:t xml:space="preserve">time.  His aim, in suiting the text to the views of his day,</w:t></w:r>
</w:p>
<w:p>
<w:pPr><w:pStyle w:val="Normal"/></w:pPr>
<w:r><w:t xml:space="preserve">was partly to make it more intelligible to the public, and</w:t></w:r>
</w:p>
<w:p>
<w:pPr><w:pStyle w:val="Normal"/></w:pPr>
<w:r><w:t xml:space="preserve">partly to make it more complete.  To this end he ``added some</w:t></w:r>
</w:p>
<w:p>
<w:pPr><w:pStyle w:val="Normal"/></w:pPr>
<w:r><w:t xml:space="preserve">touches where surviving tradition seemed to contain trustworthy</w:t></w:r>
</w:p>
<w:p>
<w:pPr><w:pStyle w:val="Normal"/></w:pPr>
<w:r><w:t xml:space="preserve">additional particulars,&apos;&apos; such as the statement that Paul</w:t></w:r>
</w:p>
<w:p>
<w:pPr><w:pStyle w:val="Normal"/></w:pPr>
<w:r><w:t xml:space="preserve">taught in the lecture-room of Tyrannus ``from the fifth to</w:t></w:r>
</w:p>
<w:p>
<w:pPr><w:pStyle w:val="Normal"/></w:pPr>
<w:r><w:t xml:space="preserve">the tenth hour.&apos;&apos; In his later work, on St Paul the Traveller</w:t></w:r>
</w:p>
<w:p>
<w:pPr><w:pStyle w:val="Normal"/></w:pPr>
<w:r><w:t xml:space="preserve">and the Roman Citizen (1895), Ramsay&apos;s views gain both in</w:t></w:r>
</w:p>
<w:p>
<w:pPr><w:pStyle w:val="Normal"/></w:pPr>
<w:r><w:t xml:space="preserve">precision and in breadth.  The gain lies chiefly in seeing</w:t></w:r>
</w:p>
<w:p>
<w:pPr><w:pStyle w:val="Normal"/></w:pPr>
<w:r><w:t xml:space="preserve">beyond the Bezan text to the ``Western&apos;&apos; text as a whole.</w:t></w:r>
</w:p>
<w:p>
<w:pPr><w:pStyle w:val="Normal"/></w:pPr>
<w:r><w:t xml:space="preserve">Generally speaking, then, the text of Acts as printed</w:t></w:r>
</w:p>
<w:p>
<w:pPr><w:pStyle w:val="Normal"/></w:pPr>
<w:r><w:t xml:space="preserve">by Westcott and Hort, on the basis of the earliest MSS.</w:t></w:r>
</w:p>
<w:p>
<w:pPr><w:pStyle w:val="Normal"/></w:pPr>
<w:r><w:t xml:space="preserve">(alephB), seems as near the autograph as that of any</w:t></w:r>
</w:p>
<w:p>
<w:pPr><w:pStyle w:val="Normal"/></w:pPr>
<w:r><w:t xml:space="preserve">other part of the New Testament; whereas the ``Western&apos;&apos;</w:t></w:r>
</w:p>
<w:p>
<w:pPr><w:pStyle w:val="Normal"/></w:pPr>
<w:r><w:t xml:space="preserve">text, even in its earliest traceable forms, is secondary.</w:t></w:r>
</w:p>
<w:p>
<w:pPr><w:pStyle w:val="Normal"/></w:pPr>
<w:r><w:t xml:space="preserve">This does not mean that it has no historical value of its</w:t></w:r>
</w:p>
<w:p>
<w:pPr><w:pStyle w:val="Normal"/></w:pPr>
<w:r><w:t xml:space="preserve">own.  It may well contain some true supplements to the original</w:t></w:r>
</w:p>
<w:p>
<w:pPr><w:pStyle w:val="Normal"/></w:pPr>
<w:r><w:t xml:space="preserve">text, derived from local tradition or happy inference---a</w:t></w:r>
</w:p>
<w:p>
<w:pPr><w:pStyle w:val="Normal"/></w:pPr>
<w:r><w:t xml:space="preserve">few perhaps from a written source used by Luke.  Certain of</w:t></w:r>
</w:p>
<w:p>
<w:pPr><w:pStyle w:val="Normal"/></w:pPr>
<w:r><w:t xml:space="preserve">these may even date from the end of the 1st century, and the</w:t></w:r>
</w:p>
<w:p>
<w:pPr><w:pStyle w:val="Normal"/></w:pPr>
<w:r><w:t xml:space="preserve">larger part of them are probably not later than the middle</w:t></w:r>
</w:p>
<w:p>
<w:pPr><w:pStyle w:val="Normal"/></w:pPr>
<w:r><w:t xml:space="preserve">of the 2nd. But its value lies mainly in the light cast on</w:t></w:r>
</w:p>
<w:p>
<w:pPr><w:pStyle w:val="Normal"/></w:pPr>
<w:r><w:t xml:space="preserve">ecclesiastical thought in certain quarters during the epoch in</w:t></w:r>
</w:p>
<w:p>
<w:pPr><w:pStyle w:val="Normal"/></w:pPr>
<w:r><w:t xml:space="preserve">question.  The nature of the readings themselves, and the</w:t></w:r>
</w:p>
<w:p>
<w:pPr><w:pStyle w:val="Normal"/></w:pPr>
<w:r><w:t xml:space="preserve">distribution of the witness for them, alike point to a process</w:t></w:r>
</w:p>
<w:p>
<w:pPr><w:pStyle w:val="Normal"/></w:pPr>
<w:r><w:t xml:space="preserve">involving several stages and several originating centres of</w:t></w:r>
</w:p>
<w:p>
<w:pPr><w:pStyle w:val="Normal"/></w:pPr>
<w:r><w:t xml:space="preserve">diffusion.  The classification of groups of ``Western&apos;&apos;</w:t></w:r>
</w:p>
<w:p>
<w:pPr><w:pStyle w:val="Normal"/></w:pPr>
<w:r><w:t xml:space="preserve">witnesses has already begun.  When completed, it will cast</w:t></w:r>
</w:p>
<w:p>
<w:pPr><w:pStyle w:val="Normal"/></w:pPr>
<w:r><w:t xml:space="preserve">light, not only on the origin and growth of this type of text,</w:t></w:r>
</w:p>
<w:p>
<w:pPr><w:pStyle w:val="Normal"/></w:pPr>
<w:r><w:t xml:space="preserve">but also on the exact value of the remaining witnesses to the</w:t></w:r>
</w:p>
<w:p>
<w:pPr><w:pStyle w:val="Normal"/></w:pPr>
<w:r><w:t xml:space="preserve">original text of Acts---and further on the early handling of</w:t></w:r>
</w:p>
<w:p>
<w:pPr><w:pStyle w:val="Normal"/></w:pPr>
<w:r><w:t xml:space="preserve">New Testament writings generally. Acts, from its very scope,</w:t></w:r>
</w:p>
<w:p>
<w:pPr><w:pStyle w:val="Normal"/></w:pPr>
<w:r><w:t xml:space="preserve">was least likely to be viewed as sacrosanct as regards its</w:t></w:r>
</w:p>
<w:p>
<w:pPr><w:pStyle w:val="Normal"/></w:pPr>
<w:r><w:t xml:space="preserve">text.  Indeed there are signs that its undogmatic nature</w:t></w:r>
</w:p>
<w:p>
<w:pPr><w:pStyle w:val="Normal"/></w:pPr>
<w:r><w:t xml:space="preserve">caused it to be comparatively neglected at certain times</w:t></w:r>
</w:p>
<w:p>
<w:pPr><w:pStyle w:val="Normal"/></w:pPr>
<w:r><w:t xml:space="preserve">and places, as, e.g., Chrysostom explicitly witnesses.</w:t></w:r>
</w:p>
<w:p>
<w:pPr><w:pStyle w:val="Normal"/></w:pPr>
<w:r><w:t xml:space="preserve">LITERATURE.--An account of the extensive and varied literature</w:t></w:r>
</w:p>
<w:p>
<w:pPr><w:pStyle w:val="Normal"/></w:pPr>
<w:r><w:t xml:space="preserve">that has gathered round Acts may be found in two representative</w:t></w:r>
</w:p>
<w:p>
<w:pPr><w:pStyle w:val="Normal"/></w:pPr>
<w:r><w:t xml:space="preserve">commentaries, viz., H. H. Wendt&apos;s edition of Meyer (1899), and</w:t></w:r>
</w:p>
<w:p>
<w:pPr><w:pStyle w:val="Normal"/></w:pPr>
<w:r><w:t xml:space="preserve">that by R. J. Knowling in The Expositor&apos;s Greek Testament,</w:t></w:r>
</w:p>
<w:p>
<w:pPr><w:pStyle w:val="Normal"/></w:pPr>
<w:r><w:t xml:space="preserve">vol. ii. (1900), supplemented by his Testimony of St Paul</w:t></w:r>
</w:p>
<w:p>
<w:pPr><w:pStyle w:val="Normal"/></w:pPr>
<w:r><w:t xml:space="preserve">to Christ (1905).  See also J. Moffatt, The Historical</w:t></w:r>
</w:p>
<w:p>
<w:pPr><w:pStyle w:val="Normal"/></w:pPr>
<w:r><w:t xml:space="preserve">New Testament (1901). 412 ff., 655 ff.: C. Clemen, Die</w:t></w:r>
</w:p>
<w:p>
<w:pPr><w:pStyle w:val="Normal"/></w:pPr>
<w:r><w:t xml:space="preserve">Apostelgesch. im Lichte der neueren Forschungen (Giessen,</w:t></w:r>
</w:p>
<w:p>
<w:pPr><w:pStyle w:val="Normal"/></w:pPr>
<w:r><w:t xml:space="preserve">1905); and A. Harnack, Die Apostelgeschichte (1908). (J. V. B.)</w:t></w:r>
</w:p>
<w:p>
<w:pPr><w:pStyle w:val="Normal"/></w:pPr>
<w:r><w:t xml:space="preserve">1 This argument, first worked out by Dr W. K. Hobart,</w:t></w:r>
</w:p>
<w:p>
<w:pPr><w:pStyle w:val="Normal"/></w:pPr>
<w:r><w:t xml:space="preserve">The Medical Language of St Luke (Dublin, 1882), but</w:t></w:r>
</w:p>
<w:p>
<w:pPr><w:pStyle w:val="Normal"/></w:pPr>
<w:r><w:t xml:space="preserve">hitherto neglected by many Continental scholars, has been</w:t></w:r>
</w:p>
<w:p>
<w:pPr><w:pStyle w:val="Normal"/></w:pPr>
<w:r><w:t xml:space="preserve">urged afresh by Harnack, Lukas der Arzt (Leipzig, 1906;</w:t></w:r>
</w:p>
<w:p>
<w:pPr><w:pStyle w:val="Normal"/></w:pPr>
<w:r><w:t xml:space="preserve">Eng. trans., London, 1907), to which reference may be made</w:t></w:r>
</w:p>
<w:p>
<w:pPr><w:pStyle w:val="Normal"/></w:pPr>
<w:r><w:t xml:space="preserve">for all matters connected with Lucan authorship; comp.</w:t></w:r>
</w:p>
<w:p>
<w:pPr><w:pStyle w:val="Normal"/></w:pPr>
<w:r><w:t xml:space="preserve">also R. J. Knowling in The Expositor&apos;s Greek Testament.</w:t></w:r>
</w:p>
<w:p>
<w:pPr><w:pStyle w:val="Normal"/></w:pPr>
<w:r><w:t xml:space="preserve">2 This view has received Harnack&apos;s support, op. cit. 89 f.</w:t></w:r>
</w:p>
<w:p>
<w:pPr><w:pStyle w:val="Normal"/></w:pPr>
<w:r><w:t xml:space="preserve">3 Apostelgeschichte (1908), p46.  Harnack finds that our sense</w:t></w:r>
</w:p>
<w:p>
<w:pPr><w:pStyle w:val="Normal"/></w:pPr>
<w:r><w:t xml:space="preserve">of the trustworthiness of the book ``is enhanced by a thorough</w:t></w:r>
</w:p>
<w:p>
<w:pPr><w:pStyle w:val="Normal"/></w:pPr>
<w:r><w:t xml:space="preserve">study of the chronological procedure of its author, both where</w:t></w:r>
</w:p>
<w:p>
<w:pPr><w:pStyle w:val="Normal"/></w:pPr>
<w:r><w:t xml:space="preserve">he speaks and where he keeps silence.&apos;&apos; In this aspect the</w:t></w:r>
</w:p>
<w:p>
<w:pPr><w:pStyle w:val="Normal"/></w:pPr>
<w:r><w:t xml:space="preserve">book ``as a whole is according to the aims of the author and</w:t></w:r>
</w:p>
<w:p>
<w:pPr><w:pStyle w:val="Normal"/></w:pPr>
<w:r><w:t xml:space="preserve">in reality a historical work&apos;&apos; (p. 41; cf. pp. 1-20, 222 ff.).</w:t></w:r>
</w:p>
<w:p>
<w:pPr><w:pStyle w:val="Normal"/></w:pPr>
<w:r><w:t xml:space="preserve">4 Though this view had the support of J. B. Lightfoot, it should</w:t></w:r>
</w:p>
<w:p>
<w:pPr><w:pStyle w:val="Normal"/></w:pPr>
<w:r><w:t xml:space="preserve">be remembered that this was before the ``South Galatian&apos;&apos; theory</w:t></w:r>
</w:p>
<w:p>
<w:pPr><w:pStyle w:val="Normal"/></w:pPr>
<w:r><w:t xml:space="preserve">as to the date of Paul&apos;s work among the Galatians came to prevail.</w:t></w:r>
</w:p>
<w:p>
<w:pPr><w:pStyle w:val="Normal"/></w:pPr>
<w:r><w:t xml:space="preserve">5 Harnack, indeed, argues (op. cit. pp. 188 ff.) that the</w:t></w:r>
</w:p>
<w:p>
<w:pPr><w:pStyle w:val="Normal"/></w:pPr>
<w:r><w:t xml:space="preserve">Abstinences defined for Gentiles were in the original text</w:t></w:r>
</w:p>
<w:p>
<w:pPr><w:pStyle w:val="Normal"/></w:pPr>
<w:r><w:t xml:space="preserve">of Acts xv. 20 purely moral, and had no reference to Jewish</w:t></w:r>
</w:p>
<w:p>
<w:pPr><w:pStyle w:val="Normal"/></w:pPr>
<w:r><w:t xml:space="preserve">scruples as to eating blood.  He regards ``what is strangled&apos;&apos;</w:t></w:r>
</w:p>
<w:p>
<w:pPr><w:pStyle w:val="Normal"/></w:pPr>
<w:r><w:t xml:space="preserve">(pnikton) as originally a mistaken gloss, which crept into the</w:t></w:r>
</w:p>
<w:p>
<w:pPr><w:pStyle w:val="Normal"/></w:pPr>
<w:r><w:t xml:space="preserve">text.  External evidence is against this, nor does it seem</w:t></w:r>
</w:p>
<w:p>
<w:pPr><w:pStyle w:val="Normal"/></w:pPr>
<w:r><w:t xml:space="preserve">demanded by the context; in fact xv. 21 rather goes against it.</w:t></w:r>
</w:p>
<w:p>
<w:pPr><w:pStyle w:val="Normal"/></w:pPr>
<w:r><w:t xml:space="preserve">6 Polyc. ad Philipp. i. 2, Acts ii. 24; ii. 1,</w:t></w:r>
</w:p>
<w:p>
<w:pPr><w:pStyle w:val="Normal"/></w:pPr>
<w:r><w:t xml:space="preserve">Acts x. 42; ii. 3, Acts xx. 35; vi. 3, Acts vii. 52.</w:t></w:r>
</w:p>
<w:p>
<w:pPr><w:pStyle w:val="Normal"/></w:pPr>
<w:r><w:t xml:space="preserve">7 Ign. ad Magn. v. 1, Acts i 25; ad Smyrn. iii. 3, Acts x. 41.</w:t></w:r>
</w:p>
<w:p>
<w:pPr><w:pStyle w:val="Normal"/></w:pPr>
<w:r><w:t xml:space="preserve">8 Der abendlandische Text der Apostelgeschichte</w:t></w:r>
</w:p>
<w:p>
<w:pPr><w:pStyle w:val="Normal"/></w:pPr>
<w:r><w:t xml:space="preserve">u. die Wir-quelle (Leipzig, 1900).  See a review</w:t></w:r>
</w:p>
<w:p>
<w:pPr><w:pStyle w:val="Normal"/></w:pPr>
<w:r><w:t xml:space="preserve">in the Journal of Theol.  Studies, ii. 439 ff.</w:t></w:r>
</w:p>
<w:p>
<w:pPr><w:pStyle w:val="Normal"/></w:pPr>
<w:r><w:t xml:space="preserve">ACTUARY. The name of actuarius, sc. scriba, in ancient</w:t></w:r>
</w:p>
<w:p>
<w:pPr><w:pStyle w:val="Normal"/></w:pPr>
<w:r><w:t xml:space="preserve">Rome, was given to the clerks who recorded the Acta Publica</w:t></w:r>
</w:p>
<w:p>
<w:pPr><w:pStyle w:val="Normal"/></w:pPr>
<w:r><w:t xml:space="preserve">of the senate, and also to the officers who kept the military</w:t></w:r>
</w:p>
<w:p>
<w:pPr><w:pStyle w:val="Normal"/></w:pPr>
<w:r><w:t xml:space="preserve">accounts and enforced the due fulfilment of contracts for military</w:t></w:r>
</w:p>
<w:p>
<w:pPr><w:pStyle w:val="Normal"/></w:pPr>
<w:r><w:t xml:space="preserve">supplies.  In its English form the word has undergone a gradual</w:t></w:r>
</w:p>
<w:p>
<w:pPr><w:pStyle w:val="Normal"/></w:pPr>
<w:r><w:t xml:space="preserve">limitation of meaning.  At first it seems to have denoted</w:t></w:r>
</w:p>
<w:p>
<w:pPr><w:pStyle w:val="Normal"/></w:pPr>
<w:r><w:t xml:space="preserve">any clerk or registrar; then more particularly the secretary</w:t></w:r>
</w:p>
<w:p>
<w:pPr><w:pStyle w:val="Normal"/></w:pPr>
<w:r><w:t xml:space="preserve">and adviser of any joint-stock company, but especially of</w:t></w:r>
</w:p>
<w:p>
<w:pPr><w:pStyle w:val="Normal"/></w:pPr>
<w:r><w:t xml:space="preserve">an insurance company; and it is now applied specifically to</w:t></w:r>
</w:p>
<w:p>
<w:pPr><w:pStyle w:val="Normal"/></w:pPr>
<w:r><w:t xml:space="preserve">one who makes those calculations as to the probabilities of</w:t></w:r>
</w:p>
<w:p>
<w:pPr><w:pStyle w:val="Normal"/></w:pPr>
<w:r><w:t xml:space="preserve">human life, on which the practice of life assurance and the</w:t></w:r>
</w:p>
<w:p>
<w:pPr><w:pStyle w:val="Normal"/></w:pPr>
<w:r><w:t xml:space="preserve">valuation of reversionary interests, deferred annuities, &amp;c.,</w:t></w:r>
</w:p>
<w:p>
<w:pPr><w:pStyle w:val="Normal"/></w:pPr>
<w:r><w:t xml:space="preserve">are based.  The first mention of the word in law is in the</w:t></w:r>
</w:p>
<w:p>
<w:pPr><w:pStyle w:val="Normal"/></w:pPr>
<w:r><w:t xml:space="preserve">Friendly Societies Act of 1819, where it is used in the vague</w:t></w:r>
</w:p>
<w:p>
<w:pPr><w:pStyle w:val="Normal"/></w:pPr>
<w:r><w:t xml:space="preserve">sense, ``actuaries, or persons skilled in calculation,&apos;&apos; but</w:t></w:r>
</w:p>
<w:p>
<w:pPr><w:pStyle w:val="Normal"/></w:pPr>
<w:r><w:t xml:space="preserve">it has received still further recognition in the Friendly</w:t></w:r>
</w:p>
<w:p>
<w:pPr><w:pStyle w:val="Normal"/></w:pPr>
<w:r><w:t xml:space="preserve">Societies Act of 1875 and the Life Assurance Companies Act of</w:t></w:r>
</w:p>
<w:p>
<w:pPr><w:pStyle w:val="Normal"/></w:pPr>
<w:r><w:t xml:space="preserve">1870.  The word has been used with precision since the</w:t></w:r>
</w:p>
<w:p>
<w:pPr><w:pStyle w:val="Normal"/></w:pPr>
<w:r><w:t xml:space="preserve">establishment of the ``Institute of Actuaries of Great</w:t></w:r>
</w:p>
<w:p>
<w:pPr><w:pStyle w:val="Normal"/></w:pPr>
<w:r><w:t xml:space="preserve">Britain and Ireland&apos;&apos; in 1848.  The Quarterly Journal,</w:t></w:r>
</w:p>
<w:p>
<w:pPr><w:pStyle w:val="Normal"/></w:pPr>
<w:r><w:t xml:space="preserve">Charter of Incorporation, and by-laws of this society may</w:t></w:r>
</w:p>
<w:p>
<w:pPr><w:pStyle w:val="Normal"/></w:pPr>
<w:r><w:t xml:space="preserve">be usefully consulted for particulars as to the requirements</w:t></w:r>
</w:p>
<w:p>
<w:pPr><w:pStyle w:val="Normal"/></w:pPr>
<w:r><w:t xml:space="preserve">for membership (see also ANNUITY). The registrar in the</w:t></w:r>
</w:p>
<w:p>
<w:pPr><w:pStyle w:val="Normal"/></w:pPr>
<w:r><w:t xml:space="preserve">Lower House of Convocation is also called the actuary.</w:t></w:r>
</w:p>
<w:p>
<w:pPr><w:pStyle w:val="Normal"/></w:pPr>
<w:r><w:t xml:space="preserve">ACUMINATE (from Lat. acumen, point), sharpened or pointed,</w:t></w:r>
</w:p>
<w:p>
<w:pPr><w:pStyle w:val="Normal"/></w:pPr>
<w:r><w:t xml:space="preserve">a word used principally in botany and ornithology, to denote the</w:t></w:r>
</w:p>
<w:p>
<w:pPr><w:pStyle w:val="Normal"/></w:pPr>
<w:r><w:t xml:space="preserve">narrowing or lance-shaping of a leaf or of a bird&apos;s feather into</w:t></w:r>
</w:p>
<w:p>
<w:pPr><w:pStyle w:val="Normal"/></w:pPr>
<w:r><w:t xml:space="preserve">a point, generally at the tip, though sometimes (with regard to</w:t></w:r>
</w:p>
<w:p>
<w:pPr><w:pStyle w:val="Normal"/></w:pPr>
<w:r><w:t xml:space="preserve">a leaf) at the base.  The poet William Cowper used the word to</w:t></w:r>
</w:p>
<w:p>
<w:pPr><w:pStyle w:val="Normal"/></w:pPr>
<w:r><w:t xml:space="preserve">denote sharp and keen despair, but other authors, Sir T. Browne,</w:t></w:r>
</w:p>
<w:p>
<w:pPr><w:pStyle w:val="Normal"/></w:pPr>
<w:r><w:t xml:space="preserve">Bacon, Bulwer, &amp;c., use it to explain a material pointed shape.</w:t></w:r>
</w:p>
<w:p>
<w:pPr><w:pStyle w:val="Normal"/></w:pPr>
<w:r><w:t xml:space="preserve">ACUNA, CHRISTOVAL DE (1597--c.1676), Spanish missionary</w:t></w:r>
</w:p>
<w:p>
<w:pPr><w:pStyle w:val="Normal"/></w:pPr>
<w:r><w:t xml:space="preserve">and explorer, was born at Burgos in 1597.  He was admitted</w:t></w:r>
</w:p>
<w:p>
<w:pPr><w:pStyle w:val="Normal"/></w:pPr>
<w:r><w:t xml:space="preserve">a Jesuit in 1612, and afterwards sent on mission work to</w:t></w:r>
</w:p>
<w:p>
<w:pPr><w:pStyle w:val="Normal"/></w:pPr>
<w:r><w:t xml:space="preserve">Chile and Peru, where he became rector of the college of</w:t></w:r>
</w:p>
<w:p>
<w:pPr><w:pStyle w:val="Normal"/></w:pPr>
<w:r><w:t xml:space="preserve">Cuenca.  In 1639 he accompanied Pedro Texiera in his second</w:t></w:r>
</w:p>
<w:p>
<w:pPr><w:pStyle w:val="Normal"/></w:pPr>
<w:r><w:t xml:space="preserve">exploration of the Amazon, in order to take scientific</w:t></w:r>
</w:p>
<w:p>
<w:pPr><w:pStyle w:val="Normal"/></w:pPr>
<w:r><w:t xml:space="preserve">observations, and dtaw up a report for the Spanish government.</w:t></w:r>
</w:p>
<w:p>
<w:pPr><w:pStyle w:val="Normal"/></w:pPr>
<w:r><w:t xml:space="preserve">The journey lasted ten months; and on the explorer&apos;s arrival in</w:t></w:r>
</w:p>
<w:p>
<w:pPr><w:pStyle w:val="Normal"/></w:pPr>
<w:r><w:t xml:space="preserve">Peru, Acuna prepared his narrative, while awaiting a ship for</w:t></w:r>
</w:p>
<w:p>
<w:pPr><w:pStyle w:val="Normal"/></w:pPr>
<w:r><w:t xml:space="preserve">Europe.  The king of Spain, Philip IV., received the author</w:t></w:r>
</w:p>
<w:p>
<w:pPr><w:pStyle w:val="Normal"/></w:pPr>
<w:r><w:t xml:space="preserve">coldly, and it is said even tried to suppress his book,</w:t></w:r>
</w:p>
<w:p>
<w:pPr><w:pStyle w:val="Normal"/></w:pPr>
<w:r><w:t xml:space="preserve">fearing that the Portuguese, who had just revolted from Spain</w:t></w:r>
</w:p>
<w:p>
<w:pPr><w:pStyle w:val="Normal"/></w:pPr>
<w:r><w:t xml:space="preserve">(1640), would profit by its information.  After occupying</w:t></w:r>
</w:p>
<w:p>
<w:pPr><w:pStyle w:val="Normal"/></w:pPr>
<w:r><w:t xml:space="preserve">the positions of procurator of the Jesuits at Rome and censor</w:t></w:r>
</w:p>
<w:p>
<w:pPr><w:pStyle w:val="Normal"/></w:pPr>
<w:r><w:t xml:space="preserve">(calificador) of the Inquisition at Madrid, Acuna returned</w:t></w:r>
</w:p>
<w:p>
<w:pPr><w:pStyle w:val="Normal"/></w:pPr>
<w:r><w:t xml:space="preserve">to South America, where he died, probably soon after 1675.</w:t></w:r>
</w:p>
<w:p>
<w:pPr><w:pStyle w:val="Normal"/></w:pPr>
<w:r><w:t xml:space="preserve">His Nuevo Descubrimiento del Gran Rio de las Amazonas was</w:t></w:r>
</w:p>
<w:p>
<w:pPr><w:pStyle w:val="Normal"/></w:pPr>
<w:r><w:t xml:space="preserve">published at Madrid in 1641; French and English translations</w:t></w:r>
</w:p>
<w:p>
<w:pPr><w:pStyle w:val="Normal"/></w:pPr>
<w:r><w:t xml:space="preserve">(the latter from the French, appeared in 1682 and 1698.</w:t></w:r>
</w:p>
<w:p>
<w:pPr><w:pStyle w:val="Normal"/></w:pPr>
<w:r><w:t xml:space="preserve">ACUPRESSURE (from Lat. acus, a needle, and premere, to</w:t></w:r>
</w:p>
<w:p>
<w:pPr><w:pStyle w:val="Normal"/></w:pPr>
<w:r><w:t xml:space="preserve">press), the name given to a method of restraining haemorrhage,</w:t></w:r>
</w:p>
<w:p>
<w:pPr><w:pStyle w:val="Normal"/></w:pPr>
<w:r><w:t xml:space="preserve">introduced by Sir J. Y. Simpson, the direct pressure of</w:t></w:r>
</w:p>
<w:p>
<w:pPr><w:pStyle w:val="Normal"/></w:pPr>
<w:r><w:t xml:space="preserve">a metallic needle, either alone or assisted by a loop of</w:t></w:r>
</w:p>
<w:p>
<w:pPr><w:pStyle w:val="Normal"/></w:pPr>
<w:r><w:t xml:space="preserve">wire, being used to close the vessel near the bleeding point.</w:t></w:r>
</w:p>
<w:p>
<w:pPr><w:pStyle w:val="Normal"/></w:pPr>
<w:r><w:t xml:space="preserve">ACUPUNCTURE (from Lat. acus, a needle, and pungere,</w:t></w:r>
</w:p>
<w:p>
<w:pPr><w:pStyle w:val="Normal"/></w:pPr>
<w:r><w:t xml:space="preserve">to prick), a form of surgical operation, performed</w:t></w:r>
</w:p>
<w:p>
<w:pPr><w:pStyle w:val="Normal"/></w:pPr>
<w:r><w:t xml:space="preserve">by pricking the part affected with a needle.  It has</w:t></w:r>
</w:p>
<w:p>
<w:pPr><w:pStyle w:val="Normal"/></w:pPr>
<w:r><w:t xml:space="preserve">long been used by the Chinese in cases of headaches,</w:t></w:r>
</w:p>
<w:p>
<w:pPr><w:pStyle w:val="Normal"/></w:pPr>
<w:r><w:t xml:space="preserve">lethargies, convulsions, colics, &amp;c. (See SURGERY.)</w:t></w:r>
</w:p>
<w:p>
<w:pPr><w:pStyle w:val="Normal"/></w:pPr>
<w:r><w:t xml:space="preserve">ADABAZAR, an important commercial town in the Khoja Ili</w:t></w:r>
</w:p>
<w:p>
<w:pPr><w:pStyle w:val="Normal"/></w:pPr>
<w:r><w:t xml:space="preserve">sanjak of Asia Minor, situated on the old military road from</w:t></w:r>
</w:p>
<w:p>
<w:pPr><w:pStyle w:val="Normal"/></w:pPr>
<w:r><w:t xml:space="preserve">Constantinople to the east and connected by a branch line</w:t></w:r>
</w:p>
<w:p>
<w:pPr><w:pStyle w:val="Normal"/></w:pPr>
<w:r><w:t xml:space="preserve">with the Anatolian railway.  Pop. 18,000 (Moslems, 10,000;</w:t></w:r>
</w:p>
<w:p>
<w:pPr><w:pStyle w:val="Normal"/></w:pPr>
<w:r><w:t xml:space="preserve">Christians, 8000).  It was founded in 1540 and enlarged in</w:t></w:r>
</w:p>
<w:p>
<w:pPr><w:pStyle w:val="Normal"/></w:pPr>
<w:r><w:t xml:space="preserve">1608 by the settlement in it of an Armenian colony.  There</w:t></w:r>
</w:p>
<w:p>
<w:pPr><w:pStyle w:val="Normal"/></w:pPr>
<w:r><w:t xml:space="preserve">are silk and linen industries, and an export of tobacco,</w:t></w:r>
</w:p>
<w:p>
<w:pPr><w:pStyle w:val="Normal"/></w:pPr>
<w:r><w:t xml:space="preserve">walnut-wood, cocoons and vegetables for the Constantinople</w:t></w:r>
</w:p>
<w:p>
<w:pPr><w:pStyle w:val="Normal"/></w:pPr>
<w:r><w:t xml:space="preserve">market.  Imports are valued at L. 80,000 and exports at</w:t></w:r>
</w:p>
<w:p>
<w:pPr><w:pStyle w:val="Normal"/></w:pPr>
<w:r><w:t xml:space="preserve">See V. Cuinet, Turquie d&apos;Asie (Paris, 1890--1900).</w:t></w:r>
</w:p>
<w:p>
<w:pPr><w:pStyle w:val="Normal"/></w:pPr>
<w:r><w:t xml:space="preserve">ADAD, the name of the storm-god in the Babylonian-Assyrian</w:t></w:r>
</w:p>
<w:p>
<w:pPr><w:pStyle w:val="Normal"/></w:pPr>
<w:r><w:t xml:space="preserve">pantheon, who is also known as Ramman (``the thunderer&apos;&apos;).  The</w:t></w:r>
</w:p>
<w:p>
<w:pPr><w:pStyle w:val="Normal"/></w:pPr>
<w:r><w:t xml:space="preserve">problem involved in this double name has not yet been definitely</w:t></w:r>
</w:p>
<w:p>
<w:pPr><w:pStyle w:val="Normal"/></w:pPr>
<w:r><w:t xml:space="preserve">solved.  Evidence seems to favour the view that Ramman was</w:t></w:r>
</w:p>
<w:p>
<w:pPr><w:pStyle w:val="Normal"/></w:pPr>
<w:r><w:t xml:space="preserve">the name current in Babylonia, whereas Adad was more common in</w:t></w:r>
</w:p>
<w:p>
<w:pPr><w:pStyle w:val="Normal"/></w:pPr>
<w:r><w:t xml:space="preserve">Assyria.  To judge from analogous instances of a double</w:t></w:r>
</w:p>
<w:p>
<w:pPr><w:pStyle w:val="Normal"/></w:pPr>
<w:r><w:t xml:space="preserve">nomenclature, the two names revert to two different centres</w:t></w:r>
</w:p>
<w:p>
<w:pPr><w:pStyle w:val="Normal"/></w:pPr>
<w:r><w:t xml:space="preserve">for the cult of a storm-god, though it must be confessed</w:t></w:r>
</w:p>
<w:p>
<w:pPr><w:pStyle w:val="Normal"/></w:pPr>
<w:r><w:t xml:space="preserve">that up to the present it has been impossible to determine</w:t></w:r>
</w:p>
<w:p>
<w:pPr><w:pStyle w:val="Normal"/></w:pPr>
<w:r><w:t xml:space="preserve">where these centres were.  A god Hadad who was a prominent</w:t></w:r>
</w:p>
<w:p>
<w:pPr><w:pStyle w:val="Normal"/></w:pPr>
<w:r><w:t xml:space="preserve">deity in ancient Syria is identical with Adad, and in view</w:t></w:r>
</w:p>
<w:p>
<w:pPr><w:pStyle w:val="Normal"/></w:pPr>
<w:r><w:t xml:space="preserve">of this it is plausible to assume---for which there is also</w:t></w:r>
</w:p>
<w:p>
<w:pPr><w:pStyle w:val="Normal"/></w:pPr>
<w:r><w:t xml:space="preserve">other evidence --that the name Adad represents an importation</w:t></w:r>
</w:p>
<w:p>
<w:pPr><w:pStyle w:val="Normal"/></w:pPr>
<w:r><w:t xml:space="preserve">into Assyria from Aramaic districts.  Whether the same is</w:t></w:r>
</w:p>
<w:p>
<w:pPr><w:pStyle w:val="Normal"/></w:pPr>
<w:r><w:t xml:space="preserve">the case with Ramman, identical with Rimmon, known to us</w:t></w:r>
</w:p>
<w:p>
<w:pPr><w:pStyle w:val="Normal"/></w:pPr>
<w:r><w:t xml:space="preserve">from the Old Testament as the chief deity of Damascus, is</w:t></w:r>
</w:p>
<w:p>
<w:pPr><w:pStyle w:val="Normal"/></w:pPr>
<w:r><w:t xml:space="preserve">not certain though probable.  On the other hand the cult</w:t></w:r>
</w:p>
<w:p>
<w:pPr><w:pStyle w:val="Normal"/></w:pPr>
<w:r><w:t xml:space="preserve">of a specific storm-god in ancient Babylonia is vouched</w:t></w:r>
</w:p>
<w:p>
<w:pPr><w:pStyle w:val="Normal"/></w:pPr>
<w:r><w:t xml:space="preserve">for by the occurrence of the sign Im--the ``Sumerian&apos;&apos; or</w:t></w:r>
</w:p>
<w:p>
<w:pPr><w:pStyle w:val="Normal"/></w:pPr>
<w:r><w:t xml:space="preserve">ideographic writing for Adad-Ramman --as an element in proper</w:t></w:r>
</w:p>
<w:p>
<w:pPr><w:pStyle w:val="Normal"/></w:pPr>
<w:r><w:t xml:space="preserve">names of the old Babylonian period.  However this name may</w:t></w:r>
</w:p>
<w:p>
<w:pPr><w:pStyle w:val="Normal"/></w:pPr>
<w:r><w:t xml:space="preserve">have originally been pronounced, so much is certain,---that</w:t></w:r>
</w:p>
<w:p>
<w:pPr><w:pStyle w:val="Normal"/></w:pPr>
<w:r><w:t xml:space="preserve">through Aramaic influences in Babylonia and Assyria he was</w:t></w:r>
</w:p>
<w:p>
<w:pPr><w:pStyle w:val="Normal"/></w:pPr>
<w:r><w:t xml:space="preserve">identified with the storm-god of the western Semites, and</w:t></w:r>
</w:p>
<w:p>
<w:pPr><w:pStyle w:val="Normal"/></w:pPr>
<w:r><w:t xml:space="preserve">a trace of this influence is to be seen in the designation</w:t></w:r>
</w:p>
<w:p>
<w:pPr><w:pStyle w:val="Normal"/></w:pPr>
<w:r><w:t xml:space="preserve">Amurru, also given to this god in the religious literature of</w:t></w:r>
</w:p>
<w:p>
<w:pPr><w:pStyle w:val="Normal"/></w:pPr>
<w:r><w:t xml:space="preserve">Babylonia, which as an early name for Palestine and Syria</w:t></w:r>
</w:p>
<w:p>
<w:pPr><w:pStyle w:val="Normal"/></w:pPr>
<w:r><w:t xml:space="preserve">describes the god as belonging to the Amorite district.</w:t></w:r>
</w:p>
<w:p>
<w:pPr><w:pStyle w:val="Normal"/></w:pPr>
<w:r><w:t xml:space="preserve">The Babylonian storm-god presents two aspects in the hymns,</w:t></w:r>
</w:p>
<w:p>
<w:pPr><w:pStyle w:val="Normal"/></w:pPr>
<w:r><w:t xml:space="preserve">incantations and votive inscriptions.  On the one hand he</w:t></w:r>
</w:p>
<w:p>
<w:pPr><w:pStyle w:val="Normal"/></w:pPr>
<w:r><w:t xml:space="preserve">is the god who, through bringing on the rain in due season,</w:t></w:r>
</w:p>
<w:p>
<w:pPr><w:pStyle w:val="Normal"/></w:pPr>
<w:r><w:t xml:space="preserve">causes the land to become fertile, and, on the other hand, the</w:t></w:r>
</w:p>
<w:p>
<w:pPr><w:pStyle w:val="Normal"/></w:pPr>
<w:r><w:t xml:space="preserve">storms that he sends out bring havoc and destruction.  He is</w:t></w:r>
</w:p>
<w:p>
<w:pPr><w:pStyle w:val="Normal"/></w:pPr>
<w:r><w:t xml:space="preserve">pictured on monuments and seal cylinders with the lightning</w:t></w:r>
</w:p>
<w:p>
<w:pPr><w:pStyle w:val="Normal"/></w:pPr>
<w:r><w:t xml:space="preserve">and the thunderbolt, and in the hymns the sombre aspects of</w:t></w:r>
</w:p>
<w:p>
<w:pPr><w:pStyle w:val="Normal"/></w:pPr>
<w:r><w:t xml:space="preserve">the god on the whole predominate.  His association with the</w:t></w:r>
</w:p>
<w:p>
<w:pPr><w:pStyle w:val="Normal"/></w:pPr>
<w:r><w:t xml:space="preserve">sun-god, Shamash, due to the natural combination of the two</w:t></w:r>
</w:p>
<w:p>
<w:pPr><w:pStyle w:val="Normal"/></w:pPr>
<w:r><w:t xml:space="preserve">deities who alternate in the control of nature, leads to</w:t></w:r>
</w:p>
<w:p>
<w:pPr><w:pStyle w:val="Normal"/></w:pPr>
<w:r><w:t xml:space="preserve">imbuing him with some of the traits belonging to a solar</w:t></w:r>
</w:p>
<w:p>
<w:pPr><w:pStyle w:val="Normal"/></w:pPr>
<w:r><w:t xml:space="preserve">deity.  In Syria Hadad is hardly to be distinguished from</w:t></w:r>
</w:p>
<w:p>
<w:pPr><w:pStyle w:val="Normal"/></w:pPr>
<w:r><w:t xml:space="preserve">a solar deity.  The process of assimilation did not proceed</w:t></w:r>
</w:p>
<w:p>
<w:pPr><w:pStyle w:val="Normal"/></w:pPr>
<w:r><w:t xml:space="preserve">so far in Babylonia and Assyria, but Shamash and Adad became</w:t></w:r>
</w:p>
<w:p>
<w:pPr><w:pStyle w:val="Normal"/></w:pPr>
<w:r><w:t xml:space="preserve">in combination the gods of oracles and of divination in</w:t></w:r>
</w:p>
<w:p>
<w:pPr><w:pStyle w:val="Normal"/></w:pPr>
<w:r><w:t xml:space="preserve">general.  Whether the will of the gods is determined through</w:t></w:r>
</w:p>
<w:p>
<w:pPr><w:pStyle w:val="Normal"/></w:pPr>
<w:r><w:t xml:space="preserve">the inspection of the liver of the sacrificial animal, through</w:t></w:r>
</w:p>
<w:p>
<w:pPr><w:pStyle w:val="Normal"/></w:pPr>
<w:r><w:t xml:space="preserve">observing the action of oil bubbles in a basin of water or</w:t></w:r>
</w:p>
<w:p>
<w:pPr><w:pStyle w:val="Normal"/></w:pPr>
<w:r><w:t xml:space="preserve">through the observation of the movements of the heavenly</w:t></w:r>
</w:p>
<w:p>
<w:pPr><w:pStyle w:val="Normal"/></w:pPr>
<w:r><w:t xml:space="preserve">bodies, it is Shamash and Adad who, in the ritual connected</w:t></w:r>
</w:p>
<w:p>
<w:pPr><w:pStyle w:val="Normal"/></w:pPr>
<w:r><w:t xml:space="preserve">with divination, are invariably invoked.  Similarly in the</w:t></w:r>
</w:p>
<w:p>
<w:pPr><w:pStyle w:val="Normal"/></w:pPr>
<w:r><w:t xml:space="preserve">annals and votive inscriptions of the kings, when oracles are</w:t></w:r>
</w:p>
<w:p>
<w:pPr><w:pStyle w:val="Normal"/></w:pPr>
<w:r><w:t xml:space="preserve">referred to, Shamash and Adad are always named as the gods</w:t></w:r>
</w:p>
<w:p>
<w:pPr><w:pStyle w:val="Normal"/></w:pPr>
<w:r><w:t xml:space="preserve">addressed, and their ordinary designation in such instances</w:t></w:r>
</w:p>
<w:p>
<w:pPr><w:pStyle w:val="Normal"/></w:pPr>
<w:r><w:t xml:space="preserve">is bele biri, ``lords of divination.&apos;&apos; The consort of</w:t></w:r>
</w:p>
<w:p>
<w:pPr><w:pStyle w:val="Normal"/></w:pPr>
<w:r><w:t xml:space="preserve">Adad-Ramman is Shala, while as Amurru his consort is called</w:t></w:r>
</w:p>
<w:p>
<w:pPr><w:pStyle w:val="Normal"/></w:pPr>
<w:r><w:t xml:space="preserve">Aschratum. (See BABYLONIAN AND ASSYRIAN RELIGION.) (M. JA.)</w:t></w:r>
</w:p>
<w:p>
<w:pPr><w:pStyle w:val="Normal"/></w:pPr>
<w:r><w:t xml:space="preserve">ADAGIO (Ital. ad agio, at ease), a term in music to indicate</w:t></w:r>
</w:p>
<w:p>
<w:pPr><w:pStyle w:val="Normal"/></w:pPr>
<w:r><w:t xml:space="preserve">slow time; also a slow movement in a symphony, sonata, &amp;c., or an</w:t></w:r>
</w:p>
<w:p>
<w:pPr><w:pStyle w:val="Normal"/></w:pPr>
<w:r><w:t xml:space="preserve">independent piece, such as Mozart&apos;s pianoforte ``Adagio in B minor.&apos;&apos;</w:t></w:r>
</w:p>
<w:p>
<w:pPr><w:pStyle w:val="Normal"/></w:pPr>
<w:r><w:t xml:space="preserve">ADAIR, JOHN (d. 1722), Scottish surveyor and map-maker</w:t></w:r>
</w:p>
<w:p>
<w:pPr><w:pStyle w:val="Normal"/></w:pPr>
<w:r><w:t xml:space="preserve">of the 17th century.  Nothing is known of his parentage,</w:t></w:r>
</w:p>
<w:p>
<w:pPr><w:pStyle w:val="Normal"/></w:pPr>
<w:r><w:t xml:space="preserve">birthplace or early life.  His name first came before the</w:t></w:r>
</w:p>
<w:p>
<w:pPr><w:pStyle w:val="Normal"/></w:pPr>
<w:r><w:t xml:space="preserve">public in 1683, when a prospectus was published in Edinburgh</w:t></w:r>
</w:p>
<w:p>
<w:pPr><w:pStyle w:val="Normal"/></w:pPr>
<w:r><w:t xml:space="preserve">entitled An Account of the Scottish Atlas, stating</w:t></w:r>
</w:p>
<w:p>
<w:pPr><w:pStyle w:val="Normal"/></w:pPr>
<w:r><w:t xml:space="preserve">that ``the Privy Council of Scotland has appointed John</w:t></w:r>
</w:p>
<w:p>
<w:pPr><w:pStyle w:val="Normal"/></w:pPr>
<w:r><w:t xml:space="preserve">Adair, mathematician and skilfull mechanick, to survey the</w:t></w:r>
</w:p>
<w:p>
<w:pPr><w:pStyle w:val="Normal"/></w:pPr>
<w:r><w:t xml:space="preserve">shires.&apos;&apos; In 1686 an act of tonnage was passed in Adair&apos;s</w:t></w:r>
</w:p>
<w:p>
<w:pPr><w:pStyle w:val="Normal"/></w:pPr>
<w:r><w:t xml:space="preserve">favour.  He was then employed on a survey of the Scottish</w:t></w:r>
</w:p>
<w:p>
<w:pPr><w:pStyle w:val="Normal"/></w:pPr>
<w:r><w:t xml:space="preserve">coast and two years later was made a fellow of the Royal</w:t></w:r>
</w:p>
<w:p>
<w:pPr><w:pStyle w:val="Normal"/></w:pPr>
<w:r><w:t xml:space="preserve">Society.  Two other acts of tonnage were passed for Adair,</w:t></w:r>
</w:p>
<w:p>
<w:pPr><w:pStyle w:val="Normal"/></w:pPr>
<w:r><w:t xml:space="preserve">one in 1695 and the other in 1705.  In 1703 he published the</w:t></w:r>
</w:p>
<w:p>
<w:pPr><w:pStyle w:val="Normal"/></w:pPr>
<w:r><w:t xml:space="preserve">first part of his Description of the Sea Coasts and Islands</w:t></w:r>
</w:p>
<w:p>
<w:pPr><w:pStyle w:val="Normal"/></w:pPr>
<w:r><w:t xml:space="preserve">of Scotland, for the use of seamen.  The second part never</w:t></w:r>
</w:p>
<w:p>
<w:pPr><w:pStyle w:val="Normal"/></w:pPr>
<w:r><w:t xml:space="preserve">appeared.  He is thought to have died in London about the end of</w:t></w:r>
</w:p>
<w:p>
<w:pPr><w:pStyle w:val="Normal"/></w:pPr>
<w:r><w:t xml:space="preserve">1722.  He must have lost a considerable amount of money in</w:t></w:r>
</w:p>
<w:p>
<w:pPr><w:pStyle w:val="Normal"/></w:pPr>
<w:r><w:t xml:space="preserve">the execution of his work, and in 1723 some remuneration</w:t></w:r>
</w:p>
<w:p>
<w:pPr><w:pStyle w:val="Normal"/></w:pPr>
<w:r><w:t xml:space="preserve">was made to his widow by the government.  Some of his</w:t></w:r>
</w:p>
<w:p>
<w:pPr><w:pStyle w:val="Normal"/></w:pPr>
<w:r><w:t xml:space="preserve">work is preserved in the Advocates&apos; Library at Edinburgh</w:t></w:r>
</w:p>
<w:p>
<w:pPr><w:pStyle w:val="Normal"/></w:pPr>
<w:r><w:t xml:space="preserve">and in the King&apos;s Library of the British Museum, London.</w:t></w:r>
</w:p>
<w:p>
<w:pPr><w:pStyle w:val="Normal"/></w:pPr>
<w:r><w:t xml:space="preserve">ADALBERON, or ASCELIN (d. 1030 or 1031), French bishop and</w:t></w:r>
</w:p>
<w:p>
<w:pPr><w:pStyle w:val="Normal"/></w:pPr>
<w:r><w:t xml:space="preserve">poet, studied at Reims and became bishop of Laon in 977. When</w:t></w:r>
</w:p>
<w:p>
<w:pPr><w:pStyle w:val="Normal"/></w:pPr>
<w:r><w:t xml:space="preserve">Laon was taken by Charles, duke of Lorraine, in 988, he was</w:t></w:r>
</w:p>
<w:p>
<w:pPr><w:pStyle w:val="Normal"/></w:pPr>
<w:r><w:t xml:space="preserve">put into prison, whence he escaped and sought the protection</w:t></w:r>
</w:p>
<w:p>
<w:pPr><w:pStyle w:val="Normal"/></w:pPr>
<w:r><w:t xml:space="preserve">of Hugh Capet, king of France.  Winning the confidence of</w:t></w:r>
</w:p>
<w:p>
<w:pPr><w:pStyle w:val="Normal"/></w:pPr>
<w:r><w:t xml:space="preserve">Charles of Lorraine and of Arnulf, archbishop of Reims, he</w:t></w:r>
</w:p>
<w:p>
<w:pPr><w:pStyle w:val="Normal"/></w:pPr>
<w:r><w:t xml:space="preserve">was restored to his see; but he soon took the opportunity</w:t></w:r>
</w:p>
<w:p>
<w:pPr><w:pStyle w:val="Normal"/></w:pPr>
<w:r><w:t xml:space="preserve">to betray Laon, together with Charles and Arnulf, into the</w:t></w:r>
</w:p>
<w:p>
<w:pPr><w:pStyle w:val="Normal"/></w:pPr>
<w:r><w:t xml:space="preserve">hands of Hugh Capet.  Subsequently he took an active part in</w:t></w:r>
</w:p>
<w:p>
<w:pPr><w:pStyle w:val="Normal"/></w:pPr>
<w:r><w:t xml:space="preserve">ecclesiastical affairs, and died on the 19th of July 1030 or</w:t></w:r>
</w:p>
<w:p>
<w:pPr><w:pStyle w:val="Normal"/></w:pPr>
<w:r><w:t xml:space="preserve">1031.  Adalberon wrote a satirical poem in the form of a</w:t></w:r>
</w:p>
<w:p>
<w:pPr><w:pStyle w:val="Normal"/></w:pPr>
<w:r><w:t xml:space="preserve">dialogue dedicated to Robert, king of France, in which he</w:t></w:r>
</w:p>
<w:p>
<w:pPr><w:pStyle w:val="Normal"/></w:pPr>
<w:r><w:t xml:space="preserve">showed his dislike of Odilo, abbot of Cluny, and his followers,</w:t></w:r>
</w:p>
<w:p>
<w:pPr><w:pStyle w:val="Normal"/></w:pPr>
<w:r><w:t xml:space="preserve">and his objection to persons of humble birth being made</w:t></w:r>
</w:p>
<w:p>
<w:pPr><w:pStyle w:val="Normal"/></w:pPr>
<w:r><w:t xml:space="preserve">bishops.  The poem was first published by H. Valois in the</w:t></w:r>
</w:p>
<w:p>
<w:pPr><w:pStyle w:val="Normal"/></w:pPr>
<w:r><w:t xml:space="preserve">Carmen panegyricum in laudem Berengarii (Paris, 1663), and</w:t></w:r>
</w:p>
<w:p>
<w:pPr><w:pStyle w:val="Normal"/></w:pPr>
<w:r><w:t xml:space="preserve">in modern times by J. P. Migne in the Patrologia Latina, tome</w:t></w:r>
</w:p>
<w:p>
<w:pPr><w:pStyle w:val="Normal"/></w:pPr>
<w:r><w:t xml:space="preserve">cxli. (Paris, 1844).  Adalberon must not be confounded with</w:t></w:r>
</w:p>
<w:p>
<w:pPr><w:pStyle w:val="Normal"/></w:pPr>
<w:r><w:t xml:space="preserve">his namesake, Adalberon, archbishop of Reims (d. 988 or 989).</w:t></w:r>
</w:p>
<w:p>
<w:pPr><w:pStyle w:val="Normal"/></w:pPr>
<w:r><w:t xml:space="preserve">See Richer, Historiarum Libri III. et IV., which appears in</w:t></w:r>
</w:p>
<w:p>
<w:pPr><w:pStyle w:val="Normal"/></w:pPr>
<w:r><w:t xml:space="preserve">the Monumenta Germaniae historica.  Scriptores. Band iii.</w:t></w:r>
</w:p>
<w:p>
<w:pPr><w:pStyle w:val="Normal"/></w:pPr>
<w:r><w:t xml:space="preserve">(Hanover and Berlin, 1826--1892); A. Olleris, OEuvres de Gerbert</w:t></w:r>
</w:p>
<w:p>
<w:pPr><w:pStyle w:val="Normal"/></w:pPr>
<w:r><w:t xml:space="preserve">pape sous le nom de Sylvestre II. (Paris, 1867); Histoire</w:t></w:r>
</w:p>
<w:p>
<w:pPr><w:pStyle w:val="Normal"/></w:pPr>
<w:r><w:t xml:space="preserve">litteraire de la France, tome vii. (Paris, 1865-1869).</w:t></w:r>
</w:p>
<w:p>
<w:pPr><w:pStyle w:val="Normal"/></w:pPr>
<w:r><w:t xml:space="preserve">ADALBERT, or ADELBERT (c. 1000-1072), German archbishop,</w:t></w:r>
</w:p>
<w:p>
<w:pPr><w:pStyle w:val="Normal"/></w:pPr>
<w:r><w:t xml:space="preserve">the most famous ecclesiastic of the 11th century, was the</w:t></w:r>
</w:p>
<w:p>
<w:pPr><w:pStyle w:val="Normal"/></w:pPr>
<w:r><w:t xml:space="preserve">son of Frederick, count of Goseck, a member of a noble Saxon</w:t></w:r>
</w:p>
<w:p>
<w:pPr><w:pStyle w:val="Normal"/></w:pPr>
<w:r><w:t xml:space="preserve">family.  He was educated for the church, and began his clerical</w:t></w:r>
</w:p>
<w:p>
<w:pPr><w:pStyle w:val="Normal"/></w:pPr>
<w:r><w:t xml:space="preserve">career at Halberstadt, where he attained to the dignity of</w:t></w:r>
</w:p>
<w:p>
<w:pPr><w:pStyle w:val="Normal"/></w:pPr>
<w:r><w:t xml:space="preserve">provost.  Having attracted the notice of the German king, Henry</w:t></w:r>
</w:p>
<w:p>
<w:pPr><w:pStyle w:val="Normal"/></w:pPr>
<w:r><w:t xml:space="preserve">III., Adalbert probably served as chancellor of the kingdom of</w:t></w:r>
</w:p>
<w:p>
<w:pPr><w:pStyle w:val="Normal"/></w:pPr>
<w:r><w:t xml:space="preserve">Italy, and in 1045 was appointed archbishop of Hamburg-Bremen,</w:t></w:r>
</w:p>
<w:p>
<w:pPr><w:pStyle w:val="Normal"/></w:pPr>
<w:r><w:t xml:space="preserve">his province including the Scandinavian countries, as well as a</w:t></w:r>
</w:p>
<w:p>
<w:pPr><w:pStyle w:val="Normal"/></w:pPr>
<w:r><w:t xml:space="preserve">larger part of North Germany.  In 1046 he accompanied Henry to</w:t></w:r>
</w:p>
<w:p>
<w:pPr><w:pStyle w:val="Normal"/></w:pPr>
<w:r><w:t xml:space="preserve">Rome, where he is said to have refused the papal chair; and in</w:t></w:r>
</w:p>
<w:p>
<w:pPr><w:pStyle w:val="Normal"/></w:pPr>
<w:r><w:t xml:space="preserve">1052 he was made legate by Pope Leo IX., and given the right</w:t></w:r>
</w:p>
<w:p>
<w:pPr><w:pStyle w:val="Normal"/></w:pPr>
<w:r><w:t xml:space="preserve">to nominate bishops in his province.  He sought to increase the</w:t></w:r>
</w:p>
<w:p>
<w:pPr><w:pStyle w:val="Normal"/></w:pPr>
<w:r><w:t xml:space="preserve">influence of his archbishopric, sent missionaries to Finland,</w:t></w:r>
</w:p>
<w:p>
<w:pPr><w:pStyle w:val="Normal"/></w:pPr>
<w:r><w:t xml:space="preserve">Greenland and the Orkney Islands, and aimed at making Bremen</w:t></w:r>
</w:p>
<w:p>
<w:pPr><w:pStyle w:val="Normal"/></w:pPr>
<w:r><w:t xml:space="preserve">a patriarchal see for northern Europe, with twelve suffragan</w:t></w:r>
</w:p>
<w:p>
<w:pPr><w:pStyle w:val="Normal"/></w:pPr>
<w:r><w:t xml:space="preserve">bishoprics.  He consolidated and increased the estates of the</w:t></w:r>
</w:p>
<w:p>
<w:pPr><w:pStyle w:val="Normal"/></w:pPr>
<w:r><w:t xml:space="preserve">church, exercised the powers of a count, denounced simony and</w:t></w:r>
</w:p>
<w:p>
<w:pPr><w:pStyle w:val="Normal"/></w:pPr>
<w:r><w:t xml:space="preserve">initiated financial reforms.  The presence of this powerful</w:t></w:r>
</w:p>
<w:p>
<w:pPr><w:pStyle w:val="Normal"/></w:pPr>
<w:r><w:t xml:space="preserve">and active personality, who was moreover a close friend</w:t></w:r>
</w:p>
<w:p>
<w:pPr><w:pStyle w:val="Normal"/></w:pPr>
<w:r><w:t xml:space="preserve">of the emperor, was greatly resented by the Saxon duke,</w:t></w:r>
</w:p>
<w:p>
<w:pPr><w:pStyle w:val="Normal"/></w:pPr>
<w:r><w:t xml:space="preserve">Bernard II., who regarded him as a spy sent by Henry into</w:t></w:r>
</w:p>
<w:p>
<w:pPr><w:pStyle w:val="Normal"/></w:pPr>
<w:r><w:t xml:space="preserve">Saxony.  Adalbert, who wished to free his lands entirely</w:t></w:r>
</w:p>
<w:p>
<w:pPr><w:pStyle w:val="Normal"/></w:pPr>
<w:r><w:t xml:space="preserve">from the authority of the duke, aroused further hostility</w:t></w:r>
</w:p>
<w:p>
<w:pPr><w:pStyle w:val="Normal"/></w:pPr>
<w:r><w:t xml:space="preserve">by an attack on the privileges of the great abbeys, and</w:t></w:r>
</w:p>
<w:p>
<w:pPr><w:pStyle w:val="Normal"/></w:pPr>
<w:r><w:t xml:space="preserve">after the emperor&apos;s death in 1056 his lands were ravaged by</w:t></w:r>
</w:p>
<w:p>
<w:pPr><w:pStyle w:val="Normal"/></w:pPr>
<w:r><w:t xml:space="preserve">Bernard.  He took a leading part in the government of</w:t></w:r>
</w:p>
<w:p>
<w:pPr><w:pStyle w:val="Normal"/></w:pPr>
<w:r><w:t xml:space="preserve">Germany during the minority of King Henry IV., and was styled</w:t></w:r>
</w:p>
<w:p>
<w:pPr><w:pStyle w:val="Normal"/></w:pPr>
<w:r><w:t xml:space="preserve">patronus of the young king, over whom he appears to have</w:t></w:r>
</w:p>
<w:p>
<w:pPr><w:pStyle w:val="Normal"/></w:pPr>
<w:r><w:t xml:space="preserve">exercised considerable influence.  Having accompanied Henry</w:t></w:r>
</w:p>
<w:p>
<w:pPr><w:pStyle w:val="Normal"/></w:pPr>
<w:r><w:t xml:space="preserve">on a campaign into Hungary in 1063, he received large gifts</w:t></w:r>
</w:p>
<w:p>
<w:pPr><w:pStyle w:val="Normal"/></w:pPr>
<w:r><w:t xml:space="preserve">of crown estates, and obtained the office of count palatine in</w:t></w:r>
</w:p>
<w:p>
<w:pPr><w:pStyle w:val="Normal"/></w:pPr>
<w:r><w:t xml:space="preserve">Saxony.  His power aroused so much opposition that in 1066 the</w:t></w:r>
</w:p>
<w:p>
<w:pPr><w:pStyle w:val="Normal"/></w:pPr>
<w:r><w:t xml:space="preserve">king was compelled to assent to his removal from court.  In</w:t></w:r>
</w:p>
<w:p>
<w:pPr><w:pStyle w:val="Normal"/></w:pPr>
<w:r><w:t xml:space="preserve">1069 he was recalled by Henry, when he made a further attempt</w:t></w:r>
</w:p>
<w:p>
<w:pPr><w:pStyle w:val="Normal"/></w:pPr>
<w:r><w:t xml:space="preserve">to establish a northern patriarchate, which failed owing to</w:t></w:r>
</w:p>
<w:p>
<w:pPr><w:pStyle w:val="Normal"/></w:pPr>
<w:r><w:t xml:space="preserve">the hostility of the papacy and the condition of affairs in</w:t></w:r>
</w:p>
<w:p>
<w:pPr><w:pStyle w:val="Normal"/></w:pPr>
<w:r><w:t xml:space="preserve">the Scandinavian kingdoms.  He died at Goslar on the 16th</w:t></w:r>
</w:p>
<w:p>
<w:pPr><w:pStyle w:val="Normal"/></w:pPr>
<w:r><w:t xml:space="preserve">or 17th of March 1072, and was buried in the cathedral which</w:t></w:r>
</w:p>
<w:p>
<w:pPr><w:pStyle w:val="Normal"/></w:pPr>
<w:r><w:t xml:space="preserve">he had built at Bremen.  Adalbert was a man of proud and</w:t></w:r>
</w:p>
<w:p>
<w:pPr><w:pStyle w:val="Normal"/></w:pPr>
<w:r><w:t xml:space="preserve">haughty bearing, with large ideas and a strong, energetic</w:t></w:r>
</w:p>
<w:p>
<w:pPr><w:pStyle w:val="Normal"/></w:pPr>
<w:r><w:t xml:space="preserve">character.  He made Bremen a city of importance, and it was</w:t></w:r>
</w:p>
<w:p>
<w:pPr><w:pStyle w:val="Normal"/></w:pPr>
<w:r><w:t xml:space="preserve">called by his biographer, Adam of Bremen, the New Rome.</w:t></w:r>
</w:p>
<w:p>
<w:pPr><w:pStyle w:val="Normal"/></w:pPr>
<w:r><w:t xml:space="preserve">See Adam of Bremen, Gesta Hammenburgensis ecclesiae pontificum,</w:t></w:r>
</w:p>
<w:p>
<w:pPr><w:pStyle w:val="Normal"/></w:pPr>
<w:r><w:t xml:space="preserve">edited by J. M. Lappenberg, in the Monumenta Germaniae</w:t></w:r>
</w:p>
<w:p>
<w:pPr><w:pStyle w:val="Normal"/></w:pPr>
<w:r><w:t xml:space="preserve">historica. Scriptores. Band vii. (Hanover and Berlin,</w:t></w:r>
</w:p>
<w:p>
<w:pPr><w:pStyle w:val="Normal"/></w:pPr>
<w:r><w:t xml:space="preserve">1826-1892); C. Grunhagen, Adalbert Erzbischof von Hamburg</w:t></w:r>
</w:p>
<w:p>
<w:pPr><w:pStyle w:val="Normal"/></w:pPr>
<w:r><w:t xml:space="preserve">und die Idee eines Nordischen Patriarchats (Leipzig, 1854).</w:t></w:r>
</w:p>
<w:p>
<w:pPr><w:pStyle w:val="Normal"/></w:pPr>
<w:r><w:t xml:space="preserve">ADALBERT (originally VOYTECH), (c. 950-997), known as</w:t></w:r>
</w:p>
<w:p>
<w:pPr><w:pStyle w:val="Normal"/></w:pPr>
<w:r><w:t xml:space="preserve">the apostle of the Prussians, the son of a Bohemian prince,</w:t></w:r>
</w:p>
<w:p>
<w:pPr><w:pStyle w:val="Normal"/></w:pPr>
<w:r><w:t xml:space="preserve">was born at Libice (Lobnik, Lubik), the ancestral seat near</w:t></w:r>
</w:p>
<w:p>
<w:pPr><w:pStyle w:val="Normal"/></w:pPr>
<w:r><w:t xml:space="preserve">the junction of the Cidlina and the Elbe.  He was educated at</w:t></w:r>
</w:p>
<w:p>
<w:pPr><w:pStyle w:val="Normal"/></w:pPr>
<w:r><w:t xml:space="preserve">the monastery of Magdeburg; and in 983 was chosen bishop of</w:t></w:r>
</w:p>
<w:p>
<w:pPr><w:pStyle w:val="Normal"/></w:pPr>
<w:r><w:t xml:space="preserve">Prague.  The extreme severity of his rule repelled the</w:t></w:r>
</w:p>
<w:p>
<w:pPr><w:pStyle w:val="Normal"/></w:pPr>
<w:r><w:t xml:space="preserve">Bohemians, whom he vainly strove to wean from their national</w:t></w:r>
</w:p>
<w:p>
<w:pPr><w:pStyle w:val="Normal"/></w:pPr>
<w:r><w:t xml:space="preserve">customs and pagan rites.  Discouraged by the ill-success of his</w:t></w:r>
</w:p>
<w:p>
<w:pPr><w:pStyle w:val="Normal"/></w:pPr>
<w:r><w:t xml:space="preserve">ministry, he withdrew to Rome until 993, when, in obedience</w:t></w:r>
</w:p>
<w:p>
<w:pPr><w:pStyle w:val="Normal"/></w:pPr>
<w:r><w:t xml:space="preserve">to the command 0f the pope, he returned to his own people.</w:t></w:r>
</w:p>
<w:p>
<w:pPr><w:pStyle w:val="Normal"/></w:pPr>
<w:r><w:t xml:space="preserve">Finding little amendment, however, in their course of living,</w:t></w:r>
</w:p>
<w:p>
<w:pPr><w:pStyle w:val="Normal"/></w:pPr>
<w:r><w:t xml:space="preserve">he soon afterwards went again to Rome, and obtained permission</w:t></w:r>
</w:p>
<w:p>
<w:pPr><w:pStyle w:val="Normal"/></w:pPr>
<w:r><w:t xml:space="preserve">from the pope to devote himself to missionary labours, which he</w:t></w:r>
</w:p>
<w:p>
<w:pPr><w:pStyle w:val="Normal"/></w:pPr>
<w:r><w:t xml:space="preserve">carried on chiefly in North Germany and Poland.  While preaching</w:t></w:r>
</w:p>
<w:p>
<w:pPr><w:pStyle w:val="Normal"/></w:pPr>
<w:r><w:t xml:space="preserve">in Pomerania (997) he was assassinated by a heathen priest.</w:t></w:r>
</w:p>
<w:p>
<w:pPr><w:pStyle w:val="Normal"/></w:pPr>
<w:r><w:t xml:space="preserve">See U. Chevalier, Repertoire des sources historiques du moyen</w:t></w:r>
</w:p>
<w:p>
<w:pPr><w:pStyle w:val="Normal"/></w:pPr>
<w:r><w:t xml:space="preserve">age, Bio.-Bibl. (1905); Bolland, Acta Sanctorum, April 23; H. G.</w:t></w:r>
</w:p>
<w:p>
<w:pPr><w:pStyle w:val="Normal"/></w:pPr>
<w:r><w:t xml:space="preserve">Voigt, Adalbert von Prag (1898), a thoroughly exhaustive monograph.</w:t></w:r>
</w:p>
<w:p>
<w:pPr><w:pStyle w:val="Normal"/></w:pPr>
<w:r><w:t xml:space="preserve">ADALIA (med. Antaliyah; the crusaders&apos; Satalia), the</w:t></w:r>
</w:p>
<w:p>
<w:pPr><w:pStyle w:val="Normal"/></w:pPr>
<w:r><w:t xml:space="preserve">ancient Attalia (q.v.), the largest seaport on the south</w:t></w:r>
</w:p>
<w:p>
<w:pPr><w:pStyle w:val="Normal"/></w:pPr>
<w:r><w:t xml:space="preserve">coast of Asia Minor, though in point of trade it is now</w:t></w:r>
</w:p>
<w:p>
<w:pPr><w:pStyle w:val="Normal"/></w:pPr>
<w:r><w:t xml:space="preserve">second to Mersina.  The unsuitability of the harbour for</w:t></w:r>
</w:p>
<w:p>
<w:pPr><w:pStyle w:val="Normal"/></w:pPr>
<w:r><w:t xml:space="preserve">modern steamers, the bad anchorage outside and the extension</w:t></w:r>
</w:p>
<w:p>
<w:pPr><w:pStyle w:val="Normal"/></w:pPr>
<w:r><w:t xml:space="preserve">of railways from Smyrna have greatly lessened its former</w:t></w:r>
</w:p>
<w:p>
<w:pPr><w:pStyle w:val="Normal"/></w:pPr>
<w:r><w:t xml:space="preserve">importance as an emporium for west central Anatolia.  It is</w:t></w:r>
</w:p>
<w:p>
<w:pPr><w:pStyle w:val="Normal"/></w:pPr>
<w:r><w:t xml:space="preserve">not connected by a chaussee with any point outside its</w:t></w:r>
</w:p>
<w:p>
<w:pPr><w:pStyle w:val="Normal"/></w:pPr>
<w:r><w:t xml:space="preserve">immediate province, but it has considerable importance as the</w:t></w:r>
</w:p>
<w:p>
<w:pPr><w:pStyle w:val="Normal"/></w:pPr>
<w:r><w:t xml:space="preserve">administrative capital of a rich and isolated sanjak. Adalia</w:t></w:r>
</w:p>
<w:p>
<w:pPr><w:pStyle w:val="Normal"/></w:pPr>
<w:r><w:t xml:space="preserve">played a considerable part in the medieval history of the</w:t></w:r>
</w:p>
<w:p>
<w:pPr><w:pStyle w:val="Normal"/></w:pPr>
<w:r><w:t xml:space="preserve">Levant.  Kilij Arslan had a palace there.  The army of Louis</w:t></w:r>
</w:p>
<w:p>
<w:pPr><w:pStyle w:val="Heading1"/></w:pPr>
<w:r><w:t>VII. sailed thence for Syria in 1148, and the fleet of Richard</w:t></w:r>
</w:p>
<w:p>
<w:pPr><w:pStyle w:val="Normal"/></w:pPr>
<w:r><w:t xml:space="preserve">of England rallied there before the conquest of Cyprus.</w:t></w:r>
</w:p>
<w:p>
<w:pPr><w:pStyle w:val="Normal"/></w:pPr>
<w:r><w:t xml:space="preserve">Conquered by the Seljuks of Konia, and made the capital of the</w:t></w:r>
</w:p>
<w:p>
<w:pPr><w:pStyle w:val="Normal"/></w:pPr>
<w:r><w:t xml:space="preserve">province of Tekke, it passed after their fall through many</w:t></w:r>
</w:p>
<w:p>
<w:pPr><w:pStyle w:val="Normal"/></w:pPr>
<w:r><w:t xml:space="preserve">hands, including those of the Venetians and Genoese, before</w:t></w:r>
</w:p>
<w:p>
<w:pPr><w:pStyle w:val="Normal"/></w:pPr>
<w:r><w:t xml:space="preserve">its final occupation by the Ottoman Turks under Murad II.</w:t></w:r>
</w:p>
<w:p>
<w:pPr><w:pStyle w:val="Normal"/></w:pPr>
<w:r><w:t xml:space="preserve">(1432).  In the 18th century, in common with most of Anatolia,</w:t></w:r>
</w:p>
<w:p>
<w:pPr><w:pStyle w:val="Normal"/></w:pPr>
<w:r><w:t xml:space="preserve">its actual lord was a Dere Bey. The family of Tekke Oglu,</w:t></w:r>
</w:p>
<w:p>
<w:pPr><w:pStyle w:val="Normal"/></w:pPr>
<w:r><w:t xml:space="preserve">domiciled near Perga, though reduced to submission in 1812</w:t></w:r>
</w:p>
<w:p>
<w:pPr><w:pStyle w:val="Normal"/></w:pPr>
<w:r><w:t xml:space="preserve">by Mahmud II., continued to be a rival power to the Ottoman</w:t></w:r>
</w:p>
<w:p>
<w:pPr><w:pStyle w:val="Normal"/></w:pPr>
<w:r><w:t xml:space="preserve">governor till within the present generation, surviving by</w:t></w:r>
</w:p>
<w:p>
<w:pPr><w:pStyle w:val="Normal"/></w:pPr>
<w:r><w:t xml:space="preserve">many years the fall of the other great Beys of Anatolia.  The</w:t></w:r>
</w:p>
<w:p>
<w:pPr><w:pStyle w:val="Normal"/></w:pPr>
<w:r><w:t xml:space="preserve">records of the Levant (Turkey) Company, which maintained an</w:t></w:r>
</w:p>
<w:p>
<w:pPr><w:pStyle w:val="Normal"/></w:pPr>
<w:r><w:t xml:space="preserve">important agency here till 1825, contain curious information</w:t></w:r>
</w:p>
<w:p>
<w:pPr><w:pStyle w:val="Normal"/></w:pPr>
<w:r><w:t xml:space="preserve">as to the local Dere Beys.  The present population of Adalia,</w:t></w:r>
</w:p>
<w:p>
<w:pPr><w:pStyle w:val="Normal"/></w:pPr>
<w:r><w:t xml:space="preserve">which includes many Christians and Jews, still living, as in</w:t></w:r>
</w:p>
<w:p>
<w:pPr><w:pStyle w:val="Normal"/></w:pPr>
<w:r><w:t xml:space="preserve">the middle ages, in separate quarters, the former round the</w:t></w:r>
</w:p>
<w:p>
<w:pPr><w:pStyle w:val="Normal"/></w:pPr>
<w:r><w:t xml:space="preserve">walled mina or port, is about 25,000.  The port is served</w:t></w:r>
</w:p>
<w:p>
<w:pPr><w:pStyle w:val="Normal"/></w:pPr>
<w:r><w:t xml:space="preserve">by coasting steamers of the local companies only.  Adalia</w:t></w:r>
</w:p>
<w:p>
<w:pPr><w:pStyle w:val="Normal"/></w:pPr>
<w:r><w:t xml:space="preserve">is an extremely picturesque, but ill-built and backward</w:t></w:r>
</w:p>
<w:p>
<w:pPr><w:pStyle w:val="Normal"/></w:pPr>
<w:r><w:t xml:space="preserve">place.  The chief thing to see is the city wall, outside which</w:t></w:r>
</w:p>
<w:p>
<w:pPr><w:pStyle w:val="Normal"/></w:pPr>
<w:r><w:t xml:space="preserve">runs a good and clean promenade.  The government offices and</w:t></w:r>
</w:p>
<w:p>
<w:pPr><w:pStyle w:val="Normal"/></w:pPr>
<w:r><w:t xml:space="preserve">the houses of the better class are all outside the walls.</w:t></w:r>
</w:p>
<w:p>
<w:pPr><w:pStyle w:val="Normal"/></w:pPr>
<w:r><w:t xml:space="preserve">See C. Lanckoronski, Villes de la Pamphylie</w:t></w:r>
</w:p>
<w:p>
<w:pPr><w:pStyle w:val="Normal"/></w:pPr>
<w:r><w:t xml:space="preserve">et de La Pisidie, i. (1890). (D.G.H.)</w:t></w:r>
</w:p>
<w:p>
<w:pPr><w:pStyle w:val="Normal"/></w:pPr>
<w:r><w:t xml:space="preserve">ADAM, the conventional name of the first created man according to the Bible.</w:t></w:r>
</w:p>
<w:p>
<w:pPr><w:pStyle w:val="Normal"/></w:pPr>
<w:r><w:t xml:space="preserve">1. The Name.---The use of ``Adam&apos;&apos; (mem kamatz daleth kamatz</w:t></w:r>
</w:p>
<w:p>
<w:pPr><w:pStyle w:val="Normal"/></w:pPr>
<w:r><w:t xml:space="preserve">aleph) as a proper name is an early error.  Properly the</w:t></w:r>
</w:p>
<w:p>
<w:pPr><w:pStyle w:val="Normal"/></w:pPr>
<w:r><w:t xml:space="preserve">word adam designated man as a species; with the article</w:t></w:r>
</w:p>
<w:p>
<w:pPr><w:pStyle w:val="Normal"/></w:pPr>
<w:r><w:t xml:space="preserve">prefixed (Gen. ii. 7, 8, 16, iv. 1; and doubtless il. 20, iii.</w:t></w:r>
</w:p>
<w:p>
<w:pPr><w:pStyle w:val="Normal"/></w:pPr>
<w:r><w:t xml:space="preserve">17) it means the first man.  Only in Gen. iv. 25 and v. 3-5</w:t></w:r>
</w:p>
<w:p>
<w:pPr><w:pStyle w:val="Normal"/></w:pPr>
<w:r><w:t xml:space="preserve">is adam a quasi-proper name, though LXX. and Vulgate use</w:t></w:r>
</w:p>
<w:p>
<w:pPr><w:pStyle w:val="Normal"/></w:pPr>
<w:r><w:t xml:space="preserve">``Adam&apos;&apos; (Adam) in this way freely.  Gen. ii. 7 suggests</w:t></w:r>
</w:p>
<w:p>
<w:pPr><w:pStyle w:val="Normal"/></w:pPr>
<w:r><w:t xml:space="preserve">a popular Hebrew derivation from adamah, ``the ground.&apos;&apos;</w:t></w:r>
</w:p>
<w:p>
<w:pPr><w:pStyle w:val="Normal"/></w:pPr>
<w:r><w:t xml:space="preserve">Into the question whether the original story did not give</w:t></w:r>
</w:p>
<w:p>
<w:pPr><w:pStyle w:val="Normal"/></w:pPr>
<w:r><w:t xml:space="preserve">a proper name which was afterwards modified into ``Adam&apos;&apos;</w:t></w:r>
</w:p>
<w:p>
<w:pPr><w:pStyle w:val="Normal"/></w:pPr>
<w:r><w:t xml:space="preserve">---important as this question is---we cannot here enter.</w:t></w:r>
</w:p>
<w:p>
<w:pPr><w:pStyle w:val="Normal"/></w:pPr>
<w:r><w:t xml:space="preserve">2. Creation of Adam.--For convenience, we shall take</w:t></w:r>
</w:p>
<w:p>
<w:pPr><w:pStyle w:val="Normal"/></w:pPr>
<w:r><w:t xml:space="preserve">``Adam&apos;&apos; as a symbol for ``the first man,&apos;&apos; and inquire</w:t></w:r>
</w:p>
<w:p>
<w:pPr><w:pStyle w:val="Normal"/></w:pPr>
<w:r><w:t xml:space="preserve">first, what does tradition say of his creation? In Gen. ii.</w:t></w:r>
</w:p>
<w:p>
<w:pPr><w:pStyle w:val="Normal"/></w:pPr>
<w:r><w:t xml:space="preserve">4b-8 we read thus: -``At the time when Yahweh-Elohim1</w:t></w:r>
</w:p>
<w:p>
<w:pPr><w:pStyle w:val="Normal"/></w:pPr>
<w:r><w:t xml:space="preserve">made earth and heaven,--earth was as yet without bushes, no</w:t></w:r>
</w:p>
<w:p>
<w:pPr><w:pStyle w:val="Normal"/></w:pPr>
<w:r><w:t xml:space="preserve">herbage was as yet sprouting, because Yahweh-Elohim had not</w:t></w:r>
</w:p>
<w:p>
<w:pPr><w:pStyle w:val="Normal"/></w:pPr>
<w:r><w:t xml:space="preserve">caused it to rain upon the earth, and no men were there to</w:t></w:r>
</w:p>
<w:p>
<w:pPr><w:pStyle w:val="Normal"/></w:pPr>
<w:r><w:t xml:space="preserve">till the ground, but a stream2 used to go up from the earth,</w:t></w:r>
</w:p>
<w:p>
<w:pPr><w:pStyle w:val="Normal"/></w:pPr>
<w:r><w:t xml:space="preserve">and water all the face of the ground,---then Yahweh-Elohim</w:t></w:r>
</w:p>
<w:p>
<w:pPr><w:pStyle w:val="Normal"/></w:pPr>
<w:r><w:t xml:space="preserve">formed the man of dust of the ground,3 and blew into his</w:t></w:r>
</w:p>
<w:p>
<w:pPr><w:pStyle w:val="Normal"/></w:pPr>
<w:r><w:t xml:space="preserve">nostrils breath of life,4 and the man became a living</w:t></w:r>
</w:p>
<w:p>
<w:pPr><w:pStyle w:val="Normal"/></w:pPr>
<w:r><w:t xml:space="preserve">being.  And Yahweh-Elohim planted a garden5 in Eden, eastward;</w:t></w:r>
</w:p>
<w:p>
<w:pPr><w:pStyle w:val="Normal"/></w:pPr>
<w:r><w:t xml:space="preserve">and there he put the man whom he had formed.&apos;&apos; (See Eve.)</w:t></w:r>
</w:p>
<w:p>
<w:pPr><w:pStyle w:val="Normal"/></w:pPr>
<w:r><w:t xml:space="preserve">How greatly this simple and fragmentary tale of Creation differs</w:t></w:r>
</w:p>
<w:p>
<w:pPr><w:pStyle w:val="Normal"/></w:pPr>
<w:r><w:t xml:space="preserve">from that in Gen. i. 1-ii. 4a (see COSMOGONY) need hardly be</w:t></w:r>
</w:p>
<w:p>
<w:pPr><w:pStyle w:val="Normal"/></w:pPr>
<w:r><w:t xml:space="preserve">mentioned.  Certainly the priestly writer who produced the</w:t></w:r>
</w:p>
<w:p>
<w:pPr><w:pStyle w:val="Normal"/></w:pPr>
<w:r><w:t xml:space="preserve">latter could not have said that God modelled the first man out</w:t></w:r>
</w:p>
<w:p>
<w:pPr><w:pStyle w:val="Normal"/></w:pPr>
<w:r><w:t xml:space="preserve">of moistened clay, or have adopted the singular account of the</w:t></w:r>
</w:p>
<w:p>
<w:pPr><w:pStyle w:val="Normal"/></w:pPr>
<w:r><w:t xml:space="preserve">formation of Eve in ii. 21-23.  The latter story in particular</w:t></w:r>
</w:p>
<w:p>
<w:pPr><w:pStyle w:val="Normal"/></w:pPr>
<w:r><w:t xml:space="preserve">(see Eve) shows us how childlike was the mind of the early</w:t></w:r>
</w:p>
<w:p>
<w:pPr><w:pStyle w:val="Normal"/></w:pPr>
<w:r><w:t xml:space="preserve">men, whose God is not ``wonderful in counsel&apos;&apos; (Isa. xxviii.</w:t></w:r>
</w:p>
<w:p>
<w:pPr><w:pStyle w:val="Normal"/></w:pPr>
<w:r><w:t xml:space="preserve">29), and fails in his first attempt to relieve the loneliness</w:t></w:r>
</w:p>
<w:p>
<w:pPr><w:pStyle w:val="Normal"/></w:pPr>
<w:r><w:t xml:space="preserve">of his favourite.  For no beast however mighty, no bird however</w:t></w:r>
</w:p>
<w:p>
<w:pPr><w:pStyle w:val="Normal"/></w:pPr>
<w:r><w:t xml:space="preserve">graceful, was a fit companion for God&apos;s masterpiece, and, apart</w:t></w:r>
</w:p>
<w:p>
<w:pPr><w:pStyle w:val="Normal"/></w:pPr>
<w:r><w:t xml:space="preserve">from the serpent, the animals had no faculty of speech.  All</w:t></w:r>
</w:p>
<w:p>
<w:pPr><w:pStyle w:val="Normal"/></w:pPr>
<w:r><w:t xml:space="preserve">therefore that Adam could do, as they passed before him, was</w:t></w:r>
</w:p>
<w:p>
<w:pPr><w:pStyle w:val="Normal"/></w:pPr>
<w:r><w:t xml:space="preserve">to name them, as a lord names his vassals.  But here arises a</w:t></w:r>
</w:p>
<w:p>
<w:pPr><w:pStyle w:val="Normal"/></w:pPr>
<w:r><w:t xml:space="preserve">difficulty.  How came Adam by the requisite insight and power</w:t></w:r>
</w:p>
<w:p>
<w:pPr><w:pStyle w:val="Normal"/></w:pPr>
<w:r><w:t xml:space="preserve">of observation? For as yet he had not snatched the perilous</w:t></w:r>
</w:p>
<w:p>
<w:pPr><w:pStyle w:val="Normal"/></w:pPr>
<w:r><w:t xml:space="preserve">boon of wisdom.  Clearly the Paradise story is not homogeneous.</w:t></w:r>
</w:p>
<w:p>
<w:pPr><w:pStyle w:val="Normal"/></w:pPr>
<w:r><w:t xml:space="preserve">3. How the Animals were named.---Some moderns, e.g. von</w:t></w:r>
</w:p>
<w:p>
<w:pPr><w:pStyle w:val="Normal"/></w:pPr>
<w:r><w:t xml:space="preserve">Bohlen, Ewald, Driver (in Genesis, p. 55, but cp. p. 42),</w:t></w:r>
</w:p>
<w:p>
<w:pPr><w:pStyle w:val="Normal"/></w:pPr>
<w:r><w:t xml:space="preserve">have found in ii. 19, 20 an early explanation of the origin of</w:t></w:r>
</w:p>
<w:p>
<w:pPr><w:pStyle w:val="Normal"/></w:pPr>
<w:r><w:t xml:space="preserve">language.  This is hardly right.  The narrator assumes that</w:t></w:r>
</w:p>
<w:p>
<w:pPr><w:pStyle w:val="Normal"/></w:pPr>
<w:r><w:t xml:space="preserve">Adam and Eve had an innate faculty of speech.6 They spoke just</w:t></w:r>
</w:p>
<w:p>
<w:pPr><w:pStyle w:val="Normal"/></w:pPr>
<w:r><w:t xml:space="preserve">as the birds sing, and their language was that of the race or</w:t></w:r>
</w:p>
<w:p>
<w:pPr><w:pStyle w:val="Normal"/></w:pPr>
<w:r><w:t xml:space="preserve">people which descended from them.  Most probably the object of</w:t></w:r>
</w:p>
<w:p>
<w:pPr><w:pStyle w:val="Normal"/></w:pPr>
<w:r><w:t xml:space="preserve">the story is, not to answer any curious question (such as, how</w:t></w:r>
</w:p>
<w:p>
<w:pPr><w:pStyle w:val="Normal"/></w:pPr>
<w:r><w:t xml:space="preserve">did human speech arise, or how came the animals by their names?),</w:t></w:r>
</w:p>
<w:p>
<w:pPr><w:pStyle w:val="Normal"/></w:pPr>
<w:r><w:t xml:space="preserve">but to dehort its readers or hearers from the abominable vice</w:t></w:r>
</w:p>
<w:p>
<w:pPr><w:pStyle w:val="Normal"/></w:pPr>
<w:r><w:t xml:space="preserve">referred to in Lev. xviii. 23.7 There may have been stories</w:t></w:r>
</w:p>
<w:p>
<w:pPr><w:pStyle w:val="Normal"/></w:pPr>
<w:r><w:t xml:space="preserve">in circulation like that of Ea-bani (sec.  8), and even such as</w:t></w:r>
</w:p>
<w:p>
<w:pPr><w:pStyle w:val="Normal"/></w:pPr>
<w:r><w:t xml:space="preserve">those of the Skidi Pawnee, in which ``people&apos;&apos; marry animals,</w:t></w:r>
</w:p>
<w:p>
<w:pPr><w:pStyle w:val="Normal"/></w:pPr>
<w:r><w:t xml:space="preserve">or become animals.  Against these it is said (ver. 20b)</w:t></w:r>
</w:p>
<w:p>
<w:pPr><w:pStyle w:val="Normal"/></w:pPr>
<w:r><w:t xml:space="preserve">that ``for Adam he found no helper (qualified) to match him.&apos;&apos;</w:t></w:r>
</w:p>
<w:p>
<w:pPr><w:pStyle w:val="Normal"/></w:pPr>
<w:r><w:t xml:space="preserve">4. Three Riddles.---Manifold are the problems suggested</w:t></w:r>
</w:p>
<w:p>
<w:pPr><w:pStyle w:val="Normal"/></w:pPr>
<w:r><w:t xml:space="preserve">by the Eden-story (see EDEN; PARADISE). For instance, did</w:t></w:r>
</w:p>
<w:p>
<w:pPr><w:pStyle w:val="Normal"/></w:pPr>
<w:r><w:t xml:space="preserve">the original story mention two trees, or only one, of which</w:t></w:r>
</w:p>
<w:p>
<w:pPr><w:pStyle w:val="Normal"/></w:pPr>
<w:r><w:t xml:space="preserve">the fruit was taboo? bn iii. 3(cp. vv. 6, 11) only ``the</w:t></w:r>
</w:p>
<w:p>
<w:pPr><w:pStyle w:val="Normal"/></w:pPr>
<w:r><w:t xml:space="preserve">tree in the midst of the garden&apos;&apos; is spoken of, but in ii.</w:t></w:r>
</w:p>
<w:p>
<w:pPr><w:pStyle w:val="Normal"/></w:pPr>
<w:r><w:t xml:space="preserve">9 and iii. 22 two trees are referred to, the fruit of both</w:t></w:r>
</w:p>
<w:p>
<w:pPr><w:pStyle w:val="Normal"/></w:pPr>
<w:r><w:t xml:space="preserve">of which would appear to be taboo.  To this we must add that</w:t></w:r>
</w:p>
<w:p>
<w:pPr><w:pStyle w:val="Normal"/></w:pPr>
<w:r><w:t xml:space="preserve">in ii. 17 ``the tree of the knowledge of good and evil&apos;&apos;</w:t></w:r>
</w:p>
<w:p>
<w:pPr><w:pStyle w:val="Normal"/></w:pPr>
<w:r><w:t xml:space="preserve">appears to have the qualities of a ``tree of life,&apos;&apos; except</w:t></w:r>
</w:p>
<w:p>
<w:pPr><w:pStyle w:val="Normal"/></w:pPr>
<w:r><w:t xml:space="preserve">indeed to Adam.  This passage seems to give us the key to the</w:t></w:r>
</w:p>
<w:p>
<w:pPr><w:pStyle w:val="Normal"/></w:pPr>
<w:r><w:t xml:space="preserve">mystery.  There was only one tree whose fruit was forbidden;</w:t></w:r>
</w:p>
<w:p>
<w:pPr><w:pStyle w:val="Normal"/></w:pPr>
<w:r><w:t xml:space="preserve">it might be called either ``the tree of life&apos;&apos; or ``the tree</w:t></w:r>
</w:p>
<w:p>
<w:pPr><w:pStyle w:val="Normal"/></w:pPr>
<w:r><w:t xml:space="preserve">of knowledge,&apos;&apos; but certainly not ``the tree of knowledge</w:t></w:r>
</w:p>
<w:p>
<w:pPr><w:pStyle w:val="Normal"/></w:pPr>
<w:r><w:t xml:space="preserve">of good and evil.&apos;&apos; 8 The words ``life&apos;&apos; and ``knowledge&apos;&apos;</w:t></w:r>
</w:p>
<w:p>
<w:pPr><w:pStyle w:val="Normal"/></w:pPr>
<w:r><w:t xml:space="preserve">(= ``wisdom&apos;&apos;) are practically equivalent; perfect knowledge</w:t></w:r>
</w:p>
<w:p>
<w:pPr><w:pStyle w:val="Normal"/></w:pPr>
<w:r><w:t xml:space="preserve">(so primitive man believed) would enable any being to</w:t></w:r>
</w:p>
<w:p>
<w:pPr><w:pStyle w:val="Normal"/></w:pPr>
<w:r><w:t xml:space="preserve">escape death (an idea spiritualized in Prov. iii. 18).</w:t></w:r>
</w:p>
<w:p>
<w:pPr><w:pStyle w:val="Normal"/></w:pPr>
<w:r><w:t xml:space="preserve">Next, which of the trees is the ``tree of life&apos;&apos;? Various sacred</w:t></w:r>
</w:p>
<w:p>
<w:pPr><w:pStyle w:val="Normal"/></w:pPr>
<w:r><w:t xml:space="preserve">trees were known to the Semitic peoples, such as the fig-tree</w:t></w:r>
</w:p>
<w:p>
<w:pPr><w:pStyle w:val="Normal"/></w:pPr>
<w:r><w:t xml:space="preserve">(cp. iii. 7), which sometimes appears, conventionalized, as</w:t></w:r>
</w:p>
<w:p>
<w:pPr><w:pStyle w:val="Normal"/></w:pPr>
<w:r><w:t xml:space="preserve">a sacred tree.9 But clearly the tree referred to was more</w:t></w:r>
</w:p>
<w:p>
<w:pPr><w:pStyle w:val="Normal"/></w:pPr>
<w:r><w:t xml:space="preserve">than a ``sacred tree&apos;&apos;; it was a tree from whose fruit or</w:t></w:r>
</w:p>
<w:p>
<w:pPr><w:pStyle w:val="Normal"/></w:pPr>
<w:r><w:t xml:space="preserve">juice, as culture advanced, some intoxicating drink was</w:t></w:r>
</w:p>
<w:p>
<w:pPr><w:pStyle w:val="Normal"/></w:pPr>
<w:r><w:t xml:space="preserve">produced.  The Gaokerena of the Iranians 10 is exactly</w:t></w:r>
</w:p>
<w:p>
<w:pPr><w:pStyle w:val="Normal"/></w:pPr>
<w:r><w:t xml:space="preserve">parallel.  At the resurrection, those who drink of the life-giving</w:t></w:r>
</w:p>
<w:p>
<w:pPr><w:pStyle w:val="Normal"/></w:pPr>
<w:r><w:t xml:space="preserve">juice of this plant will obtain ``perfect welfare,&apos;&apos; including</w:t></w:r>
</w:p>
<w:p>
<w:pPr><w:pStyle w:val="Normal"/></w:pPr>
<w:r><w:t xml:space="preserve">deathlessness.  It is not, however, either from Iran or</w:t></w:r>
</w:p>
<w:p>
<w:pPr><w:pStyle w:val="Normal"/></w:pPr>
<w:r><w:t xml:space="preserve">from India that the Hebrew tree of life is derived, but from</w:t></w:r>
</w:p>
<w:p>
<w:pPr><w:pStyle w:val="Normal"/></w:pPr>
<w:r><w:t xml:space="preserve">Arabia and Babylonia, where date-wine (cp. Enoch xxiv. 4)</w:t></w:r>
</w:p>
<w:p>
<w:pPr><w:pStyle w:val="Normal"/></w:pPr>
<w:r><w:t xml:space="preserve">is the earliest intoxicant.  Of this drink it may well have</w:t></w:r>
</w:p>
<w:p>
<w:pPr><w:pStyle w:val="Normal"/></w:pPr>
<w:r><w:t xml:space="preserve">been said in primitive times (cp. Rig Veda, ix. 90. 5, of</w:t></w:r>
</w:p>
<w:p>
<w:pPr><w:pStyle w:val="Normal"/></w:pPr>
<w:r><w:t xml:space="preserve">Soma) that it ``cheers the heart of gods&apos;&apos; (in the speech</w:t></w:r>
</w:p>
<w:p>
<w:pPr><w:pStyle w:val="Normal"/></w:pPr>
<w:r><w:t xml:space="preserve">of the vine, Judg. ix. 13). Later writers spoke of a ``tree</w:t></w:r>
</w:p>
<w:p>
<w:pPr><w:pStyle w:val="Normal"/></w:pPr>
<w:r><w:t xml:space="preserve">of mercy,&apos;&apos; distilling the ``oil of life,&apos;&apos; 11 i.e. the</w:t></w:r>
</w:p>
<w:p>
<w:pPr><w:pStyle w:val="Normal"/></w:pPr>
<w:r><w:t xml:space="preserve">oil that heals, but 4 Esdr. ii. 12 (cp. viii. 53) speaks</w:t></w:r>
</w:p>
<w:p>
<w:pPr><w:pStyle w:val="Normal"/></w:pPr>
<w:r><w:t xml:space="preserve">of the ``tree of life,&apos;&apos; and Rev. xxii. 2 (virtually) of</w:t></w:r>
</w:p>
<w:p>
<w:pPr><w:pStyle w:val="Normal"/></w:pPr>
<w:r><w:t xml:space="preserve">``trees of life,&apos;&apos; whose leaves have a healing virtue (cp.</w:t></w:r>
</w:p>
<w:p>
<w:pPr><w:pStyle w:val="Normal"/></w:pPr>
<w:r><w:t xml:space="preserve">Ezek. xlvii. 12). The oil-tree should doubtless be grouped</w:t></w:r>
</w:p>
<w:p>
<w:pPr><w:pStyle w:val="Normal"/></w:pPr>
<w:r><w:t xml:space="preserve">with the river of oil in later writings (see PARADISE).</w:t></w:r>
</w:p>
<w:p>
<w:pPr><w:pStyle w:val="Normal"/></w:pPr>
<w:r><w:t xml:space="preserve">Originally it was enough that there should be one tree</w:t></w:r>
</w:p>
<w:p>
<w:pPr><w:pStyle w:val="Normal"/></w:pPr>
<w:r><w:t xml:space="preserve">of life, i.e. that heightened and preserved vitality.</w:t></w:r>
</w:p>
<w:p>
<w:pPr><w:pStyle w:val="Normal"/></w:pPr>
<w:r><w:t xml:space="preserve">A third enigma---why no ``fountain of life&apos;&apos;? The references</w:t></w:r>
</w:p>
<w:p>
<w:pPr><w:pStyle w:val="Normal"/></w:pPr>
<w:r><w:t xml:space="preserve">to such a fountain in Proverbs (xiii. 14, &amp;c.) prove that the</w:t></w:r>
</w:p>
<w:p>
<w:pPr><w:pStyle w:val="Normal"/></w:pPr>
<w:r><w:t xml:space="preserve">idea was familiar,12 and in Rev. xxii. 1 we are told that</w:t></w:r>
</w:p>
<w:p>
<w:pPr><w:pStyle w:val="Normal"/></w:pPr>
<w:r><w:t xml:space="preserve">the river of Paradise was a ``river of water of life&apos;&apos; (see</w:t></w:r>
</w:p>
<w:p>
<w:pPr><w:pStyle w:val="Normal"/></w:pPr>
<w:r><w:t xml:space="preserve">PARADISE).  The serpent, too, in mythology is a regular symbol of</w:t></w:r>
</w:p>
<w:p>
<w:pPr><w:pStyle w:val="Normal"/></w:pPr>
<w:r><w:t xml:space="preserve">water.  Possibly the narrator, or redactor, desired to tone</w:t></w:r>
</w:p>
<w:p>
<w:pPr><w:pStyle w:val="Normal"/></w:pPr>
<w:r><w:t xml:space="preserve">down the traces of mythology.  Just as the Gathas (the ancient</w:t></w:r>
</w:p>
<w:p>
<w:pPr><w:pStyle w:val="Normal"/></w:pPr>
<w:r><w:t xml:space="preserve">Zoroastrian hymns) omit Gaokerena, and the Hebrew prophets</w:t></w:r>
</w:p>
<w:p>
<w:pPr><w:pStyle w:val="Normal"/></w:pPr>
<w:r><w:t xml:space="preserve">on the whole avoid mythological phrases, so this old Hebrew</w:t></w:r>
</w:p>
<w:p>
<w:pPr><w:pStyle w:val="Normal"/></w:pPr>
<w:r><w:t xml:space="preserve">thinker prunes the primitive exuberance of the traditional myth.</w:t></w:r>
</w:p>
<w:p>
<w:pPr><w:pStyle w:val="Normal"/></w:pPr>
<w:r><w:t xml:space="preserve">5. The Serpent.---The keen-witted, fluently speaking serpent</w:t></w:r>
</w:p>
<w:p>
<w:pPr><w:pStyle w:val="Normal"/></w:pPr>
<w:r><w:t xml:space="preserve">gives rise to fresh riddles.  How comes it that Adam&apos;s ruin</w:t></w:r>
</w:p>
<w:p>
<w:pPr><w:pStyle w:val="Normal"/></w:pPr>
<w:r><w:t xml:space="preserve">is effected by one of those very ``beasts of the field&apos;&apos;</w:t></w:r>
</w:p>
<w:p>
<w:pPr><w:pStyle w:val="Normal"/></w:pPr>
<w:r><w:t xml:space="preserve">which he had but lately named (ii. 19), that in speech he is</w:t></w:r>
</w:p>
<w:p>
<w:pPr><w:pStyle w:val="Normal"/></w:pPr>
<w:r><w:t xml:space="preserve">Adam&apos;s equal and in wisdom his superior? Is he a pale form</w:t></w:r>
</w:p>
<w:p>
<w:pPr><w:pStyle w:val="Normal"/></w:pPr>
<w:r><w:t xml:space="preserve">of the Babylonian chaos-dragon, or of the serpent of Iranian</w:t></w:r>
</w:p>
<w:p>
<w:pPr><w:pStyle w:val="Normal"/></w:pPr>
<w:r><w:t xml:space="preserve">mythology who sprang from heaven to earth to blight the ``good</w:t></w:r>
</w:p>
<w:p>
<w:pPr><w:pStyle w:val="Normal"/></w:pPr>
<w:r><w:t xml:space="preserve">creation&apos;&apos;? It is true that the serpent of Eden has mythological</w:t></w:r>
</w:p>
<w:p>
<w:pPr><w:pStyle w:val="Normal"/></w:pPr>
<w:r><w:t xml:space="preserve">affinities.  In iii. 14, 15, indeed, he is degraded into a</w:t></w:r>
</w:p>
<w:p>
<w:pPr><w:pStyle w:val="Normal"/></w:pPr>
<w:r><w:t xml:space="preserve">mere typical snake, but iii. 1-5 shows that he was not so</w:t></w:r>
</w:p>
<w:p>
<w:pPr><w:pStyle w:val="Normal"/></w:pPr>
<w:r><w:t xml:space="preserve">originally.  He is perhaps best regarded, in the light of</w:t></w:r>
</w:p>
<w:p>
<w:pPr><w:pStyle w:val="Normal"/></w:pPr>
<w:r><w:t xml:space="preserve">Arabian folk-lore, as the manifestation of a demon residing in</w:t></w:r>
</w:p>
<w:p>
<w:pPr><w:pStyle w:val="Normal"/></w:pPr>
<w:r><w:t xml:space="preserve">the tree with the magic fruit.13 He may have been a prince</w:t></w:r>
</w:p>
<w:p>
<w:pPr><w:pStyle w:val="Normal"/></w:pPr>
<w:r><w:t xml:space="preserve">among the demons, as the magic tree was a prince among the</w:t></w:r>
</w:p>
<w:p>
<w:pPr><w:pStyle w:val="Normal"/></w:pPr>
<w:r><w:t xml:space="preserve">plants.  Hence perhaps his strange boldness.  For some unknown</w:t></w:r>
</w:p>
<w:p>
<w:pPr><w:pStyle w:val="Normal"/></w:pPr>
<w:r><w:t xml:space="preserve">reason he was ill disposed towards Yahweh Elohim (See iii.</w:t></w:r>
</w:p>
<w:p>
<w:pPr><w:pStyle w:val="Normal"/></w:pPr>
<w:r><w:t xml:space="preserve">3b), which has suggested to some that he may be akin to the</w:t></w:r>
</w:p>
<w:p>
<w:pPr><w:pStyle w:val="Normal"/></w:pPr>
<w:r><w:t xml:space="preserve">great enemy of Creation.  To Adam and Eve, however, he is not</w:t></w:r>
</w:p>
<w:p>
<w:pPr><w:pStyle w:val="Normal"/></w:pPr>
<w:r><w:t xml:space="preserve">unkind.  He bids them raise themselves in the scale of being</w:t></w:r>
</w:p>
<w:p>
<w:pPr><w:pStyle w:val="Normal"/></w:pPr>
<w:r><w:t xml:space="preserve">by eating the forbidden fruit, which he declares to be not</w:t></w:r>
</w:p>
<w:p>
<w:pPr><w:pStyle w:val="Normal"/></w:pPr>
<w:r><w:t xml:space="preserve">fatal to life but an opener of the eyes, and capable of</w:t></w:r>
</w:p>
<w:p>
<w:pPr><w:pStyle w:val="Normal"/></w:pPr>
<w:r><w:t xml:space="preserve">equalizing men with gods (iii. 4, 5). To the phrase ``ye shall</w:t></w:r>
</w:p>
<w:p>
<w:pPr><w:pStyle w:val="Normal"/></w:pPr>
<w:r><w:t xml:space="preserve">be as gods&apos;&apos; a later writer may have added ``knowing good</w:t></w:r>
</w:p>
<w:p>
<w:pPr><w:pStyle w:val="Normal"/></w:pPr>
<w:r><w:t xml:space="preserve">and evil,&apos;&apos; but ``to be as gods&apos;&apos; originally meant ``to live</w:t></w:r>
</w:p>
<w:p>
<w:pPr><w:pStyle w:val="Normal"/></w:pPr>
<w:r><w:t xml:space="preserve">the life of gods--wise, powerful, happy.&apos;&apos; The serpent was</w:t></w:r>
</w:p>
<w:p>
<w:pPr><w:pStyle w:val="Normal"/></w:pPr>
<w:r><w:t xml:space="preserve">in the main right, but there is one point which he did not</w:t></w:r>
</w:p>
<w:p>
<w:pPr><w:pStyle w:val="Normal"/></w:pPr>
<w:r><w:t xml:space="preserve">mention, viz. that for any being to retain this intensified</w:t></w:r>
</w:p>
<w:p>
<w:pPr><w:pStyle w:val="Normal"/></w:pPr>
<w:r><w:t xml:space="preserve">vitality the eating of the fruit would have to be constantly</w:t></w:r>
</w:p>
<w:p>
<w:pPr><w:pStyle w:val="Normal"/></w:pPr>
<w:r><w:t xml:space="preserve">renewed.  Only thus could even the gods escape death.14</w:t></w:r>
</w:p>
<w:p>
<w:pPr><w:pStyle w:val="Normal"/></w:pPr>
<w:r><w:t xml:space="preserve">6. The Divine Command broken.---The serpent has gone the</w:t></w:r>
</w:p>
<w:p>
<w:pPr><w:pStyle w:val="Normal"/></w:pPr>
<w:r><w:t xml:space="preserve">right way to work; he comprehends woman&apos;s nature better than</w:t></w:r>
</w:p>
<w:p>
<w:pPr><w:pStyle w:val="Normal"/></w:pPr>
<w:r><w:t xml:space="preserve">Adam comprehends that of the serpent.  By her curiosity Eve is</w:t></w:r>
</w:p>
<w:p>
<w:pPr><w:pStyle w:val="Normal"/></w:pPr>
<w:r><w:t xml:space="preserve">undone.  She looks at the fruit; then she takes and eats;</w:t></w:r>
</w:p>
<w:p>
<w:pPr><w:pStyle w:val="Normal"/></w:pPr>
<w:r><w:t xml:space="preserve">her husband does the same (iii. 6). The consequence (ver. 7)</w:t></w:r>
</w:p>
<w:p>
<w:pPr><w:pStyle w:val="Normal"/></w:pPr>
<w:r><w:t xml:space="preserve">may seem to us rather slight: ``they knew (became sensible)</w:t></w:r>
</w:p>
<w:p>
<w:pPr><w:pStyle w:val="Normal"/></w:pPr>
<w:r><w:t xml:space="preserve">that they were naked, and sewed fig-leaves together, and</w:t></w:r>
</w:p>
<w:p>
<w:pPr><w:pStyle w:val="Normal"/></w:pPr>
<w:r><w:t xml:space="preserve">made themselves girdles (aprons).&apos;&apos; But the real meaning is</w:t></w:r>
</w:p>
<w:p>
<w:pPr><w:pStyle w:val="Normal"/></w:pPr>
<w:r><w:t xml:space="preserve">not slight; the sexual distinction has been discovered, and</w:t></w:r>
</w:p>
<w:p>
<w:pPr><w:pStyle w:val="Normal"/></w:pPr>
<w:r><w:t xml:space="preserve">a new sense of shame sends the human pair into the thickest</w:t></w:r>
</w:p>
<w:p>
<w:pPr><w:pStyle w:val="Normal"/></w:pPr>
<w:r><w:t xml:space="preserve">shades, when Yahweh-Elohim walks abroad.  The God of these</w:t></w:r>
</w:p>
<w:p>
<w:pPr><w:pStyle w:val="Normal"/></w:pPr>
<w:r><w:t xml:space="preserve">primitive men is surprised: ``Where art thou?&apos;&apos; By degrees,</w:t></w:r>
</w:p>
<w:p>
<w:pPr><w:pStyle w:val="Normal"/></w:pPr>
<w:r><w:t xml:space="preserve">he obtains a full confession---not from the serpent, whose</w:t></w:r>
</w:p>
<w:p>
<w:pPr><w:pStyle w:val="Normal"/></w:pPr>
<w:r><w:t xml:space="preserve">speech might not have been edifying, but from Adam and Eve.</w:t></w:r>
</w:p>
<w:p>
<w:pPr><w:pStyle w:val="Normal"/></w:pPr>
<w:r><w:t xml:space="preserve">The sentences which he passes are decisive, not only for</w:t></w:r>
</w:p>
<w:p>
<w:pPr><w:pStyle w:val="Normal"/></w:pPr>
<w:r><w:t xml:space="preserve">the human pair and the serpent, but for their respective</w:t></w:r>
</w:p>
<w:p>
<w:pPr><w:pStyle w:val="Normal"/></w:pPr>
<w:r><w:t xml:space="preserve">races.  Painful toil shall be the lot of man; subjection</w:t></w:r>
</w:p>
<w:p>
<w:pPr><w:pStyle w:val="Normal"/></w:pPr>
<w:r><w:t xml:space="preserve">and pangs that of woman.15 The serpent too (whose unique</w:t></w:r>
</w:p>
<w:p>
<w:pPr><w:pStyle w:val="Normal"/></w:pPr>
<w:r><w:t xml:space="preserve">form preoccupied the early men) shall be humiliated, as a</w:t></w:r>
</w:p>
<w:p>
<w:pPr><w:pStyle w:val="Normal"/></w:pPr>
<w:r><w:t xml:space="preserve">perpetual warning to man--who is henceforth his enemy---of</w:t></w:r>
</w:p>
<w:p>
<w:pPr><w:pStyle w:val="Normal"/></w:pPr>
<w:r><w:t xml:space="preserve">the danger of reasoning on and disobeying the will of God.</w:t></w:r>
</w:p>
<w:p>
<w:pPr><w:pStyle w:val="Normal"/></w:pPr>
<w:r><w:t xml:space="preserve">7. Versions of the Adam-story.--Theologians in all ages have</w:t></w:r>
</w:p>
<w:p>
<w:pPr><w:pStyle w:val="Normal"/></w:pPr>
<w:r><w:t xml:space="preserve">allegorized this strange narrative.16 The serpent becomes the</w:t></w:r>
</w:p>
<w:p>
<w:pPr><w:pStyle w:val="Normal"/></w:pPr>
<w:r><w:t xml:space="preserve">inner voice of temptation, and the saying in iii. 15 becomes</w:t></w:r>
</w:p>
<w:p>
<w:pPr><w:pStyle w:val="Normal"/></w:pPr>
<w:r><w:t xml:space="preserve">an anticipation of the final victory of good over evil--a view</w:t></w:r>
</w:p>
<w:p>
<w:pPr><w:pStyle w:val="Normal"/></w:pPr>
<w:r><w:t xml:space="preserve">which probably arose in Jewish circles directly or indirectly</w:t></w:r>
</w:p>
<w:p>
<w:pPr><w:pStyle w:val="Normal"/></w:pPr>
<w:r><w:t xml:space="preserve">affected by the Zoroastrian eschatology.  But allegory was</w:t></w:r>
</w:p>
<w:p>
<w:pPr><w:pStyle w:val="Normal"/></w:pPr>
<w:r><w:t xml:space="preserve">far from the thoughts of the original narrators.  Another</w:t></w:r>
</w:p>
<w:p>
<w:pPr><w:pStyle w:val="Normal"/></w:pPr>
<w:r><w:t xml:space="preserve">version of the Adam-story is given by Ezekiel (xxviii. 11-19),</w:t></w:r>
</w:p>
<w:p>
<w:pPr><w:pStyle w:val="Normal"/></w:pPr>
<w:r><w:t xml:space="preserve">for underneath the king of Tyre (or perhaps Missor)17</w:t></w:r>
</w:p>
<w:p>
<w:pPr><w:pStyle w:val="Normal"/></w:pPr>
<w:r><w:t xml:space="preserve">we can trace the majestic figure of the first man. This</w:t></w:r>
</w:p>
<w:p>
<w:pPr><w:pStyle w:val="Normal"/></w:pPr>
<w:r><w:t xml:space="preserve">Adam, indeed, is not like the first man of Gen. ii.-iii., but</w:t></w:r>
</w:p>
<w:p>
<w:pPr><w:pStyle w:val="Normal"/></w:pPr>
<w:r><w:t xml:space="preserve">more iike the ``bright angel&apos;&apos; who is the first man in the</w:t></w:r>
</w:p>
<w:p>
<w:pPr><w:pStyle w:val="Normal"/></w:pPr>
<w:r><w:t xml:space="preserve">Christian Book of Adam (i. 10; Malan, p. 12). He dwells on</w:t></w:r>
</w:p>
<w:p>
<w:pPr><w:pStyle w:val="Normal"/></w:pPr>
<w:r><w:t xml:space="preserve">a glorious forest-mountain (cp. Ezekiel xxxi. 8, 18), and is</w:t></w:r>
</w:p>
<w:p>
<w:pPr><w:pStyle w:val="Normal"/></w:pPr>
<w:r><w:t xml:space="preserve">led away by pride to equalize himself with Elohim (cp. xxviii.</w:t></w:r>
</w:p>
<w:p>
<w:pPr><w:pStyle w:val="Normal"/></w:pPr>
<w:r><w:t xml:space="preserve">2, 2 Thess. ii. 4), and punished.  And with this passage let</w:t></w:r>
</w:p>
<w:p>
<w:pPr><w:pStyle w:val="Normal"/></w:pPr>
<w:r><w:t xml:space="preserve">us group Job xv. 7, 8, where Job is ironically described as</w:t></w:r>
</w:p>
<w:p>
<w:pPr><w:pStyle w:val="Normal"/></w:pPr>
<w:r><w:t xml:space="preserve">vying with the first man, who was ``brought forth before the</w:t></w:r>
</w:p>
<w:p>
<w:pPr><w:pStyle w:val="Normal"/></w:pPr>
<w:r><w:t xml:space="preserve">hills&apos;&apos; (cp. Prov. viii. 25) and ``drew wisdom to himself&apos;&apos;</w:t></w:r>
</w:p>
<w:p>
<w:pPr><w:pStyle w:val="Normal"/></w:pPr>
<w:r><w:t xml:space="preserve">by ``hearkening in the council of Elohim.&apos;&apos; No reference is</w:t></w:r>
</w:p>
<w:p>
<w:pPr><w:pStyle w:val="Normal"/></w:pPr>
<w:r><w:t xml:space="preserve">made in Job to this hero&apos;s fall.  The omission, however, is</w:t></w:r>
</w:p>
<w:p>
<w:pPr><w:pStyle w:val="Normal"/></w:pPr>
<w:r><w:t xml:space="preserve">repaired, not only in Ezek. xxviii. 16, but also in Isa. xiv.</w:t></w:r>
</w:p>
<w:p>
<w:pPr><w:pStyle w:val="Normal"/></w:pPr>
<w:r><w:t xml:space="preserve">12-15, where the king, whose name is given in the English</w:t></w:r>
</w:p>
<w:p>
<w:pPr><w:pStyle w:val="Normal"/></w:pPr>
<w:r><w:t xml:space="preserve">Bible as ``Lucifer&apos;&apos; (or margin, ``day-star&apos;&apos;), ``son of</w:t></w:r>
</w:p>
<w:p>
<w:pPr><w:pStyle w:val="Normal"/></w:pPr>
<w:r><w:t xml:space="preserve">the morning,&apos;&apos; and who, like the other king in Ezekiel,</w:t></w:r>
</w:p>
<w:p>
<w:pPr><w:pStyle w:val="Normal"/></w:pPr>
<w:r><w:t xml:space="preserve">is threatened with death, is a copy of the mythical Adam.</w:t></w:r>
</w:p>
<w:p>
<w:pPr><w:pStyle w:val="Normal"/></w:pPr>
<w:r><w:t xml:space="preserve">The two conceptions Of the first man are widely different.</w:t></w:r>
</w:p>
<w:p>
<w:pPr><w:pStyle w:val="Normal"/></w:pPr>
<w:r><w:t xml:space="preserve">The passages last referred to harmonize with the account</w:t></w:r>
</w:p>
<w:p>
<w:pPr><w:pStyle w:val="Normal"/></w:pPr>
<w:r><w:t xml:space="preserve">given in Gen. i. 26, for ``in our image&apos;&apos; certainly suggests</w:t></w:r>
</w:p>
<w:p>
<w:pPr><w:pStyle w:val="Normal"/></w:pPr>
<w:r><w:t xml:space="preserve">a being equal in brightness and in capacities to the</w:t></w:r>
</w:p>
<w:p>
<w:pPr><w:pStyle w:val="Normal"/></w:pPr>
<w:r><w:t xml:space="preserve">angels---a view which, as we know, became the favourite one</w:t></w:r>
</w:p>
<w:p>
<w:pPr><w:pStyle w:val="Normal"/></w:pPr>
<w:r><w:t xml:space="preserve">in apocryphal and Haggadic descriptions of the Adam before the</w:t></w:r>
</w:p>
<w:p>
<w:pPr><w:pStyle w:val="Normal"/></w:pPr>
<w:r><w:t xml:space="preserve">Fall.  And though the priestly writer, to whom the first</w:t></w:r>
</w:p>
<w:p>
<w:pPr><w:pStyle w:val="Normal"/></w:pPr>
<w:r><w:t xml:space="preserve">Creation-story in its present form is due, says nothing about</w:t></w:r>
</w:p>
<w:p>
<w:pPr><w:pStyle w:val="Normal"/></w:pPr>
<w:r><w:t xml:space="preserve">a sacred mountain as the dwelling-place of the first-created</w:t></w:r>
</w:p>
<w:p>
<w:pPr><w:pStyle w:val="Normal"/></w:pPr>
<w:r><w:t xml:space="preserve">man, yet this mountain belongs to the type of tradition</w:t></w:r>
</w:p>
<w:p>
<w:pPr><w:pStyle w:val="Normal"/></w:pPr>
<w:r><w:t xml:space="preserve">which the passage, Gen. i. 26-28, imperfectly but truly</w:t></w:r>
</w:p>
<w:p>
<w:pPr><w:pStyle w:val="Normal"/></w:pPr>
<w:r><w:t xml:space="preserve">represents.  The glorious first man of Ezekiel, and the</w:t></w:r>
</w:p>
<w:p>
<w:pPr><w:pStyle w:val="Normal"/></w:pPr>
<w:r><w:t xml:space="preserve">god-like first men of the cosmogony (cp. Ps. viii. 5) who held</w:t></w:r>
</w:p>
<w:p>
<w:pPr><w:pStyle w:val="Normal"/></w:pPr>
<w:r><w:t xml:space="preserve">the regency of the earth,18 require a dwelling-place as far</w:t></w:r>
</w:p>
<w:p>
<w:pPr><w:pStyle w:val="Normal"/></w:pPr>
<w:r><w:t xml:space="preserve">above the common level of the earth as they are themselves</w:t></w:r>
</w:p>
<w:p>
<w:pPr><w:pStyle w:val="Normal"/></w:pPr>
<w:r><w:t xml:space="preserve">above the childlike Adam of the second creation-narrative</w:t></w:r>
</w:p>
<w:p>
<w:pPr><w:pStyle w:val="Normal"/></w:pPr>
<w:r><w:t xml:space="preserve">(Gen. ii.).  On this sacred mountain, see COSMOGONY.</w:t></w:r>
</w:p>
<w:p>
<w:pPr><w:pStyle w:val="Normal"/></w:pPr>
<w:r><w:t xml:space="preserve">8. Origin of the Adam-story---That the Hebrew story of the</w:t></w:r>
</w:p>
<w:p>
<w:pPr><w:pStyle w:val="Normal"/></w:pPr>
<w:r><w:t xml:space="preserve">first man in both its forms is no mere recast of a Babylonian</w:t></w:r>
</w:p>
<w:p>
<w:pPr><w:pStyle w:val="Normal"/></w:pPr>
<w:r><w:t xml:space="preserve">myth, is generally admitted.  The holy mountain is no doubt</w:t></w:r>
</w:p>
<w:p>
<w:pPr><w:pStyle w:val="Normal"/></w:pPr>
<w:r><w:t xml:space="preserve">Babylonian, and the plantations of sacred trees, one of</w:t></w:r>
</w:p>
<w:p>
<w:pPr><w:pStyle w:val="Normal"/></w:pPr>
<w:r><w:t xml:space="preserve">which at least has magic virtue, can be paralleled from the</w:t></w:r>
</w:p>
<w:p>
<w:pPr><w:pStyle w:val="Normal"/></w:pPr>
<w:r><w:t xml:space="preserve">monuments (see EDEN).  But there is no complete parallel</w:t></w:r>
</w:p>
<w:p>
<w:pPr><w:pStyle w:val="Normal"/></w:pPr>
<w:r><w:t xml:space="preserve">to the description of Paradise in Gen. ii., or to the story</w:t></w:r>
</w:p>
<w:p>
<w:pPr><w:pStyle w:val="Normal"/></w:pPr>
<w:r><w:t xml:space="preserve">of the rib, or to that of the serpent.  The first part of</w:t></w:r>
</w:p>
<w:p>
<w:pPr><w:pStyle w:val="Normal"/></w:pPr>
<w:r><w:t xml:space="preserve">the latter has definite Arabian affinities; the second is</w:t></w:r>
</w:p>
<w:p>
<w:pPr><w:pStyle w:val="Normal"/></w:pPr>
<w:r><w:t xml:space="preserve">as definitely Hebrew.  We may now add that the insertion</w:t></w:r>
</w:p>
<w:p>
<w:pPr><w:pStyle w:val="Normal"/></w:pPr>
<w:r><w:t xml:space="preserve">of iii. 7 (from ``were opened&apos;&apos;) to 19---a passage which</w:t></w:r>
</w:p>
<w:p>
<w:pPr><w:pStyle w:val="Normal"/></w:pPr>
<w:r><w:t xml:space="preserve">has probably supplanted a more archaic and definitely</w:t></w:r>
</w:p>
<w:p>
<w:pPr><w:pStyle w:val="Normal"/></w:pPr>
<w:r><w:t xml:space="preserve">mythological passage---may well have been the consequence</w:t></w:r>
</w:p>
<w:p>
<w:pPr><w:pStyle w:val="Normal"/></w:pPr>
<w:r><w:t xml:space="preserve">of the change in the conception of the first man referred to</w:t></w:r>
</w:p>
<w:p>
<w:pPr><w:pStyle w:val="Normal"/></w:pPr>
<w:r><w:t xml:space="preserve">above.  Still there are four Babylonian stories which may</w:t></w:r>
</w:p>
<w:p>
<w:pPr><w:pStyle w:val="Normal"/></w:pPr>
<w:r><w:t xml:space="preserve">serve as partial illustrations of the Hebrew Adam-story.</w:t></w:r>
</w:p>
<w:p>
<w:pPr><w:pStyle w:val="Normal"/></w:pPr>
<w:r><w:t xml:space="preserve">The first is contained in a fragment of a cosmogony in</w:t></w:r>
</w:p>
<w:p>
<w:pPr><w:pStyle w:val="Normal"/></w:pPr>
<w:r><w:t xml:space="preserve">Berossus, now confirmed in the main by the sixth tablet of the</w:t></w:r>
</w:p>
<w:p>
<w:pPr><w:pStyle w:val="Normal"/></w:pPr>
<w:r><w:t xml:space="preserve">Creation-epic.  It represents the creation of man as due</w:t></w:r>
</w:p>
<w:p>
<w:pPr><w:pStyle w:val="Normal"/></w:pPr>
<w:r><w:t xml:space="preserve">to one of the inferior gods who (at Bel&apos;s command) mingled</w:t></w:r>
</w:p>
<w:p>
<w:pPr><w:pStyle w:val="Normal"/></w:pPr>
<w:r><w:t xml:space="preserve">with clay the blood which flowed from the severed head of</w:t></w:r>
</w:p>
<w:p>
<w:pPr><w:pStyle w:val="Normal"/></w:pPr>
<w:r><w:t xml:space="preserve">Bel (see COSMOGONY). The three others are the myths of</w:t></w:r>
</w:p>
<w:p>
<w:pPr><w:pStyle w:val="Normal"/></w:pPr>
<w:r><w:t xml:space="preserve">Adapa,19 Ea-bani and Etana.  As to Adapa, it may be mentioned</w:t></w:r>
</w:p>
<w:p>
<w:pPr><w:pStyle w:val="Normal"/></w:pPr>
<w:r><w:t xml:space="preserve">here that Fossey has shown reason for holding that the true</w:t></w:r>
</w:p>
<w:p>
<w:pPr><w:pStyle w:val="Normal"/></w:pPr>
<w:r><w:t xml:space="preserve">reading of the name is Adamu.  It thus becomes plausible to</w:t></w:r>
</w:p>
<w:p>
<w:pPr><w:pStyle w:val="Normal"/></w:pPr>
<w:r><w:t xml:space="preserve">hold that ``Adam&apos;&apos; in Gen. ii.-iii. was originally a proper</w:t></w:r>
</w:p>
<w:p>
<w:pPr><w:pStyle w:val="Normal"/></w:pPr>
<w:r><w:t xml:space="preserve">name, and that it was derived from Babylonia.  More probably,</w:t></w:r>
</w:p>
<w:p>
<w:pPr><w:pStyle w:val="Normal"/></w:pPr>
<w:r><w:t xml:space="preserve">however, this is but an accidental coincidence; both adam</w:t></w:r>
</w:p>
<w:p>
<w:pPr><w:pStyle w:val="Normal"/></w:pPr>
<w:r><w:t xml:space="preserve">and adamu may come from the same Semitic root meaning ``to</w:t></w:r>
</w:p>
<w:p>
<w:pPr><w:pStyle w:val="Normal"/></w:pPr>
<w:r><w:t xml:space="preserve">make.&apos;&apos; Certainly Adamu (if it is not more convenient to</w:t></w:r>
</w:p>
<w:p>
<w:pPr><w:pStyle w:val="Normal"/></w:pPr>
<w:r><w:t xml:space="preserve">write ``Adapa&apos;&apos;) was not regarded as the progenitor of the</w:t></w:r>
</w:p>
<w:p>
<w:pPr><w:pStyle w:val="Normal"/></w:pPr>
<w:r><w:t xml:space="preserve">human race, like the Hebrew Adam.  He was, however, certainly</w:t></w:r>
</w:p>
<w:p>
<w:pPr><w:pStyle w:val="Normal"/></w:pPr>
<w:r><w:t xml:space="preserve">a man--one of those men who were not, of course, rival</w:t></w:r>
</w:p>
<w:p>
<w:pPr><w:pStyle w:val="Normal"/></w:pPr>
<w:r><w:t xml:space="preserve">first-men, but were specially created and endowed.  Adamu or</w:t></w:r>
</w:p>
<w:p>
<w:pPr><w:pStyle w:val="Normal"/></w:pPr>
<w:r><w:t xml:space="preserve">Adapa, we are told, received from his divine father the gift</w:t></w:r>
</w:p>
<w:p>
<w:pPr><w:pStyle w:val="Normal"/></w:pPr>
<w:r><w:t xml:space="preserve">of wisdom,20 but not that of everlasting life.  He had a</w:t></w:r>
</w:p>
<w:p>
<w:pPr><w:pStyle w:val="Normal"/></w:pPr>
<w:r><w:t xml:space="preserve">chance, however, of obtaining the gift, or at least of eating</w:t></w:r>
</w:p>
<w:p>
<w:pPr><w:pStyle w:val="Normal"/></w:pPr>
<w:r><w:t xml:space="preserve">the food and drinking the water which makes the gods ageless and</w:t></w:r>
</w:p>
<w:p>
<w:pPr><w:pStyle w:val="Normal"/></w:pPr>
<w:r><w:t xml:space="preserve">immortal.  But through a deceit practised upon him by his divine</w:t></w:r>
</w:p>
<w:p>
<w:pPr><w:pStyle w:val="Normal"/></w:pPr>
<w:r><w:t xml:space="preserve">father Ea, he supposed the food and drink offered to him on a</w:t></w:r>
</w:p>
<w:p>
<w:pPr><w:pStyle w:val="Normal"/></w:pPr>
<w:r><w:t xml:space="preserve">certain occasion by the gods to be ``food of death,&apos;&apos; ``water</w:t></w:r>
</w:p>
<w:p>
<w:pPr><w:pStyle w:val="Normal"/></w:pPr>
<w:r><w:t xml:space="preserve">of death,&apos;&apos; just as Adam and Eve at first believed that the</w:t></w:r>
</w:p>
<w:p>
<w:pPr><w:pStyle w:val="Normal"/></w:pPr>
<w:r><w:t xml:space="preserve">fruit of the magic tree would produce death (Gen. iii. 4, 5).</w:t></w:r>
</w:p>
<w:p>
<w:pPr><w:pStyle w:val="Normal"/></w:pPr>
<w:r><w:t xml:space="preserve">The second story is that of Ea-bani,21 who was formed by the</w:t></w:r>
</w:p>
<w:p>
<w:pPr><w:pStyle w:val="Normal"/></w:pPr>
<w:r><w:t xml:space="preserve">goddess Arusu (=the mother-goddess Ishtar) of a lump of clay (cp.</w:t></w:r>
</w:p>
<w:p>
<w:pPr><w:pStyle w:val="Normal"/></w:pPr>
<w:r><w:t xml:space="preserve">Gen. ii. 7). This human creature, long-haired and sensual, was</w:t></w:r>
</w:p>
<w:p>
<w:pPr><w:pStyle w:val="Normal"/></w:pPr>
<w:r><w:t xml:space="preserve">drawn away from a savage mode of life by a harlot, and Jastrow,</w:t></w:r>
</w:p>
<w:p>
<w:pPr><w:pStyle w:val="Normal"/></w:pPr>
<w:r><w:t xml:space="preserve">followed by G. A. Barton, Worcester and Tennant, considers this</w:t></w:r>
</w:p>
<w:p>
<w:pPr><w:pStyle w:val="Normal"/></w:pPr>
<w:r><w:t xml:space="preserve">to be parallel to the story which may underlie the account of</w:t></w:r>
</w:p>
<w:p>
<w:pPr><w:pStyle w:val="Normal"/></w:pPr>
<w:r><w:t xml:space="preserve">the failure of the beasts, and the success of the woman Eve,</w:t></w:r>
</w:p>
<w:p>
<w:pPr><w:pStyle w:val="Normal"/></w:pPr>
<w:r><w:t xml:space="preserve">as a ``help-meet&apos;&apos; for Adam.  This, however, is most uncertain.</w:t></w:r>
</w:p>
<w:p>
<w:pPr><w:pStyle w:val="Normal"/></w:pPr>
<w:r><w:t xml:space="preserve">The third is that of Etana.22 Here the main points are</w:t></w:r>
</w:p>
<w:p>
<w:pPr><w:pStyle w:val="Normal"/></w:pPr>
<w:r><w:t xml:space="preserve">that Etana is induced by an eagle to mount up to heaven,</w:t></w:r>
</w:p>
<w:p>
<w:pPr><w:pStyle w:val="Normal"/></w:pPr>
<w:r><w:t xml:space="preserve">that he may win a boon from the kindly goddess Ishtar.</w:t></w:r>
</w:p>
<w:p>
<w:pPr><w:pStyle w:val="Normal"/></w:pPr>
<w:r><w:t xml:space="preserve">Borne by the eagle, he soared high up into the ether, but</w:t></w:r>
</w:p>
<w:p>
<w:pPr><w:pStyle w:val="Normal"/></w:pPr>
<w:r><w:t xml:space="preserve">became afraid.  Downward the eagle and his burden fell,</w:t></w:r>
</w:p>
<w:p>
<w:pPr><w:pStyle w:val="Normal"/></w:pPr>
<w:r><w:t xml:space="preserve">and in the epic of Gilgamesh we find Etana in the nether</w:t></w:r>
</w:p>
<w:p>
<w:pPr><w:pStyle w:val="Normal"/></w:pPr>
<w:r><w:t xml:space="preserve">world.  According to Jastrow, this attempted ascension was an</w:t></w:r>
</w:p>
<w:p>
<w:pPr><w:pStyle w:val="Normal"/></w:pPr>
<w:r><w:t xml:space="preserve">offence against the gods, and his fall was his punishment.</w:t></w:r>
</w:p>
<w:p>
<w:pPr><w:pStyle w:val="Normal"/></w:pPr>
<w:r><w:t xml:space="preserve">We are not told, however, that Etana had the impious desire</w:t></w:r>
</w:p>
<w:p>
<w:pPr><w:pStyle w:val="Normal"/></w:pPr>
<w:r><w:t xml:space="preserve">of Ezekiel&apos;s first man, and if he fell, it was through his</w:t></w:r>
</w:p>
<w:p>
<w:pPr><w:pStyle w:val="Normal"/></w:pPr>
<w:r><w:t xml:space="preserve">own timidity (contrast Ezek. xxviii. 16). But certainly the</w:t></w:r>
</w:p>
<w:p>
<w:pPr><w:pStyle w:val="Normal"/></w:pPr>
<w:r><w:t xml:space="preserve">myth does help us to imagine a story in which, for some sin</w:t></w:r>
</w:p>
<w:p>
<w:pPr><w:pStyle w:val="Normal"/></w:pPr>
<w:r><w:t xml:space="preserve">against the gods, some favoured hero was hurled down from the</w:t></w:r>
</w:p>
<w:p>
<w:pPr><w:pStyle w:val="Normal"/></w:pPr>
<w:r><w:t xml:space="preserve">divine abode, and such a story may some day be discovered.</w:t></w:r>
</w:p>
<w:p>
<w:pPr><w:pStyle w:val="Normal"/></w:pPr>
<w:r><w:t xml:space="preserve">To these illustrations it is unsafe to add the scene on a</w:t></w:r>
</w:p>
<w:p>
<w:pPr><w:pStyle w:val="Normal"/></w:pPr>
<w:r><w:t xml:space="preserve">cylinder preserved in the British Museum, representing two</w:t></w:r>
</w:p>
<w:p>
<w:pPr><w:pStyle w:val="Normal"/></w:pPr>
<w:r><w:t xml:space="preserve">figures, a man (with horns) and perhaps a woman, both clothed,</w:t></w:r>
</w:p>
<w:p>
<w:pPr><w:pStyle w:val="Normal"/></w:pPr>
<w:r><w:t xml:space="preserve">on either side of a fruit-tree, towards which they stretch</w:t></w:r>
</w:p>
<w:p>
<w:pPr><w:pStyle w:val="Normal"/></w:pPr>
<w:r><w:t xml:space="preserve">out their hands.23 For the meaning of this is extremely</w:t></w:r>
</w:p>
<w:p>
<w:pPr><w:pStyle w:val="Normal"/></w:pPr>
<w:r><w:t xml:space="preserve">problematical.  Some better monumental illustration may some day be</w:t></w:r>
</w:p>
<w:p>
<w:pPr><w:pStyle w:val="Normal"/></w:pPr>
<w:r><w:t xml:space="preserve">found, for it is clear that the Babylonian sacred literature had</w:t></w:r>
</w:p>
<w:p>
<w:pPr><w:pStyle w:val="Normal"/></w:pPr>
<w:r><w:t xml:space="preserve">much to tell of offences against the gods in the primeval age.</w:t></w:r>
</w:p>
<w:p>
<w:pPr><w:pStyle w:val="Normal"/></w:pPr>
<w:r><w:t xml:space="preserve">The student may naturally ask, Whence did the Israelites (a</w:t></w:r>
</w:p>
<w:p>
<w:pPr><w:pStyle w:val="Normal"/></w:pPr>
<w:r><w:t xml:space="preserve">comparatively young people) obtain the original myth? It is most</w:t></w:r>
</w:p>
<w:p>
<w:pPr><w:pStyle w:val="Normal"/></w:pPr>
<w:r><w:t xml:space="preserve">probable that they obtained it through the mediation either of</w:t></w:r>
</w:p>
<w:p>
<w:pPr><w:pStyle w:val="Normal"/></w:pPr>
<w:r><w:t xml:space="preserve">the Canaanites or of the North Arabians.  Babylonian influence,</w:t></w:r>
</w:p>
<w:p>
<w:pPr><w:pStyle w:val="Normal"/></w:pPr>
<w:r><w:t xml:space="preserve">as is now well known, was strongly felt for many centuries</w:t></w:r>
</w:p>
<w:p>
<w:pPr><w:pStyle w:val="Normal"/></w:pPr>
<w:r><w:t xml:space="preserve">in Canaan, and even the cuneiform script was in common use</w:t></w:r>
</w:p>
<w:p>
<w:pPr><w:pStyle w:val="Normal"/></w:pPr>
<w:r><w:t xml:space="preserve">among the high officials of the country.  When the Israelites</w:t></w:r>
</w:p>
<w:p>
<w:pPr><w:pStyle w:val="Normal"/></w:pPr>
<w:r><w:t xml:space="preserve">entered Canaan, they would learn myths partly of Babylonian</w:t></w:r>
</w:p>
<w:p>
<w:pPr><w:pStyle w:val="Normal"/></w:pPr>
<w:r><w:t xml:space="preserve">origin.  North Arabian influence must also have been strong</w:t></w:r>
</w:p>
<w:p>
<w:pPr><w:pStyle w:val="Normal"/></w:pPr>
<w:r><w:t xml:space="preserve">among the Israelites, at least while they sojourned in North</w:t></w:r>
</w:p>
<w:p>
<w:pPr><w:pStyle w:val="Normal"/></w:pPr>
<w:r><w:t xml:space="preserve">Arabia.  From the Kenites, at any rate, they may have received,</w:t></w:r>
</w:p>
<w:p>
<w:pPr><w:pStyle w:val="Normal"/></w:pPr>
<w:r><w:t xml:space="preserve">not only a strong religious impulse, but a store of tales of</w:t></w:r>
</w:p>
<w:p>
<w:pPr><w:pStyle w:val="Normal"/></w:pPr>
<w:r><w:t xml:space="preserve">the primitive age, and these stoties too may have been partly</w:t></w:r>
</w:p>
<w:p>
<w:pPr><w:pStyle w:val="Normal"/></w:pPr>
<w:r><w:t xml:space="preserve">influenced by Babylonian traditions.  We must allow for stages</w:t></w:r>
</w:p>
<w:p>
<w:pPr><w:pStyle w:val="Normal"/></w:pPr>
<w:r><w:t xml:space="preserve">of development both among the Israelites and among their tutors.</w:t></w:r>
</w:p>
<w:p>
<w:pPr><w:pStyle w:val="Normal"/></w:pPr>
<w:r><w:t xml:space="preserve">9. Biblical References to the Adam-story.---It is remarkable</w:t></w:r>
</w:p>
<w:p>
<w:pPr><w:pStyle w:val="Normal"/></w:pPr>
<w:r><w:t xml:space="preserve">how little influence the Adam-story has had on the earlier</w:t></w:r>
</w:p>
<w:p>
<w:pPr><w:pStyle w:val="Normal"/></w:pPr>
<w:r><w:t xml:space="preserve">parts of the Old Testament.  The garden of Eden is referred</w:t></w:r>
</w:p>
<w:p>
<w:pPr><w:pStyle w:val="Normal"/></w:pPr>
<w:r><w:t xml:space="preserve">to in Isa. li. 3, Ezek. xxxvi, 35. Joel ii. 5; cp.  Ezek.</w:t></w:r>
</w:p>
<w:p>
<w:pPr><w:pStyle w:val="Normal"/></w:pPr>
<w:r><w:t xml:space="preserve">xxviii. 13, xxxi. 8, 9, 16, 18, all of which are later.  And</w:t></w:r>
</w:p>
<w:p>
<w:pPr><w:pStyle w:val="Normal"/></w:pPr>
<w:r><w:t xml:space="preserve">it is mostly in the ``humanistic&apos;&apos; book of Proverbs that we</w:t></w:r>
</w:p>
<w:p>
<w:pPr><w:pStyle w:val="Normal"/></w:pPr>
<w:r><w:t xml:space="preserve">find allusions to the ``tree of life&apos;&apos; (Prov. iii. 18, xi.</w:t></w:r>
</w:p>
<w:p>
<w:pPr><w:pStyle w:val="Normal"/></w:pPr>
<w:r><w:t xml:space="preserve">30, xiii. 12, xv. 4), and to the ``fountain of life&apos;&apos;--perhaps</w:t></w:r>
</w:p>
<w:p>
<w:pPr><w:pStyle w:val="Normal"/></w:pPr>
<w:r><w:t xml:space="preserve">(see sec.  4) an omitted portion of the old Paradise story</w:t></w:r>
</w:p>
<w:p>
<w:pPr><w:pStyle w:val="Normal"/></w:pPr>
<w:r><w:t xml:space="preserve">(Prov. x. 11, xiii. 14, xiv. 27, xvi. 22),--the only other</w:t></w:r>
</w:p>
<w:p>
<w:pPr><w:pStyle w:val="Normal"/></w:pPr>
<w:r><w:t xml:space="preserve">Biblical reference (apart from Rev. xxi. 6) being in that</w:t></w:r>
</w:p>
<w:p>
<w:pPr><w:pStyle w:val="Normal"/></w:pPr>
<w:r><w:t xml:space="preserve">exquisite passage, Ps. xxxvi. 9. One can hardly be surprised at</w:t></w:r>
</w:p>
<w:p>
<w:pPr><w:pStyle w:val="Normal"/></w:pPr>
<w:r><w:t xml:space="preserve">this.  The Adam-story is plainly of foreign origin, and</w:t></w:r>
</w:p>
<w:p>
<w:pPr><w:pStyle w:val="Normal"/></w:pPr>
<w:r><w:t xml:space="preserve">could not please the greater pre-exilic prophets.  In late</w:t></w:r>
</w:p>
<w:p>
<w:pPr><w:pStyle w:val="Normal"/></w:pPr>
<w:r><w:t xml:space="preserve">post-exilic times, however, foreign tales, even if of mythical</w:t></w:r>
</w:p>
<w:p>
<w:pPr><w:pStyle w:val="Normal"/></w:pPr>
<w:r><w:t xml:space="preserve">origin, naturally came into favour, especially as religious</w:t></w:r>
</w:p>
<w:p>
<w:pPr><w:pStyle w:val="Normal"/></w:pPr>
<w:r><w:t xml:space="preserve">symbols.  If even now philosophers and theologians cannot</w:t></w:r>
</w:p>
<w:p>
<w:pPr><w:pStyle w:val="Normal"/></w:pPr>
<w:r><w:t xml:space="preserve">resist the temptation to allegorize, how inevitable was it</w:t></w:r>
</w:p>
<w:p>
<w:pPr><w:pStyle w:val="Normal"/></w:pPr>
<w:r><w:t xml:space="preserve">that this course should be pursued by early Jewish theologians!</w:t></w:r>
</w:p>
<w:p>
<w:pPr><w:pStyle w:val="Normal"/></w:pPr>
<w:r><w:t xml:space="preserve">10. Incipient Reflexion on the Story.--Let us give some</w:t></w:r>
</w:p>
<w:p>
<w:pPr><w:pStyle w:val="Normal"/></w:pPr>
<w:r><w:t xml:space="preserve">instances of this.  In Enoch lxix. 6 we find the story of</w:t></w:r>
</w:p>
<w:p>
<w:pPr><w:pStyle w:val="Normal"/></w:pPr>
<w:r><w:t xml:space="preserve">Eve&apos;s temptation read in the light of that of the fallen angels</w:t></w:r>
</w:p>
<w:p>
<w:pPr><w:pStyle w:val="Normal"/></w:pPr>
<w:r><w:t xml:space="preserve">(Gen. vi. 1, 2, 4) who conveyed an evil knowledge to men,</w:t></w:r>
</w:p>
<w:p>
<w:pPr><w:pStyle w:val="Normal"/></w:pPr>
<w:r><w:t xml:space="preserve">and so subjected mankind to mortality.  Evidently the writer</w:t></w:r>
</w:p>
<w:p>
<w:pPr><w:pStyle w:val="Normal"/></w:pPr>
<w:r><w:t xml:space="preserve">fears culture.  Elsewhere eating the fruit of the ``tree of</w:t></w:r>
</w:p>
<w:p>
<w:pPr><w:pStyle w:val="Normal"/></w:pPr>
<w:r><w:t xml:space="preserve">wisdom&apos;&apos; is given as the cause of the expulsion of the human</w:t></w:r>
</w:p>
<w:p>
<w:pPr><w:pStyle w:val="Normal"/></w:pPr>
<w:r><w:t xml:space="preserve">pair.  In the Wisdom of Solomon (x. 1, 2) we find another</w:t></w:r>
</w:p>
<w:p>
<w:pPr><w:pStyle w:val="Normal"/></w:pPr>
<w:r><w:t xml:space="preserve">view.  Here, as in Ezekiel, the first man is pre-eminently wise</w:t></w:r>
</w:p>
<w:p>
<w:pPr><w:pStyle w:val="Normal"/></w:pPr>
<w:r><w:t xml:space="preserve">and strong; though he transgressed, wisdom rescued him, i.e.</w:t></w:r>
</w:p>
<w:p>
<w:pPr><w:pStyle w:val="Normal"/></w:pPr>
<w:r><w:t xml:space="preserve">taught him repentance (cp. Life of Adam and Eve, sec. sec.  1-8).</w:t></w:r>
</w:p>
<w:p>
<w:pPr><w:pStyle w:val="Normal"/></w:pPr>
<w:r><w:t xml:space="preserve">Elsewhere (ii. 24; cp.  Jos. Ant. i. 1, 4) death is traced</w:t></w:r>
</w:p>
<w:p>
<w:pPr><w:pStyle w:val="Normal"/></w:pPr>
<w:r><w:t xml:space="preserve">to the envy of the devil, still implying an exalted view of</w:t></w:r>
</w:p>
<w:p>
<w:pPr><w:pStyle w:val="Normal"/></w:pPr>
<w:r><w:t xml:space="preserve">Adam.  It is held that, but for his sin, Adam would have been</w:t></w:r>
</w:p>
<w:p>
<w:pPr><w:pStyle w:val="Normal"/></w:pPr>
<w:r><w:t xml:space="preserve">immortal.  Clearly the Jewish mind is exposed to some fresh</w:t></w:r>
</w:p>
<w:p>
<w:pPr><w:pStyle w:val="Normal"/></w:pPr>
<w:r><w:t xml:space="preserve">foreign influences.  As in the Talmud and the Jerusalem</w:t></w:r>
</w:p>
<w:p>
<w:pPr><w:pStyle w:val="Normal"/></w:pPr>
<w:r><w:t xml:space="preserve">Targum, the serpent has even become the devil, i.e.</w:t></w:r>
</w:p>
<w:p>
<w:pPr><w:pStyle w:val="Normal"/></w:pPr>
<w:r><w:t xml:space="preserve">Satan.  The period of syncretism has fully come, and</w:t></w:r>
</w:p>
<w:p>
<w:pPr><w:pStyle w:val="Normal"/></w:pPr>
<w:r><w:t xml:space="preserve">Zoroastrianism in particular, more indirectly than directly,</w:t></w:r>
</w:p>
<w:p>
<w:pPr><w:pStyle w:val="Normal"/></w:pPr>
<w:r><w:t xml:space="preserve">is exercising an attractive power upon the Jews.  For all</w:t></w:r>
</w:p>
<w:p>
<w:pPr><w:pStyle w:val="Normal"/></w:pPr>
<w:r><w:t xml:space="preserve">that, the theological thinking is characteristically Jewish,</w:t></w:r>
</w:p>
<w:p>
<w:pPr><w:pStyle w:val="Normal"/></w:pPr>
<w:r><w:t xml:space="preserve">and such guidance as Jewish thinkers required was mainly given</w:t></w:r>
</w:p>
<w:p>
<w:pPr><w:pStyle w:val="Normal"/></w:pPr>
<w:r><w:t xml:space="preserve">by Greek culture.  On this subject see further EVE, sec.  5.</w:t></w:r>
</w:p>
<w:p>
<w:pPr><w:pStyle w:val="Normal"/></w:pPr>
<w:r><w:t xml:space="preserve">11. Growth of a Theology.---Let us now turn to the Apocalypses</w:t></w:r>
</w:p>
<w:p>
<w:pPr><w:pStyle w:val="Normal"/></w:pPr>
<w:r><w:t xml:space="preserve">of Baruch and of Ezra (both about 70 A.D.). Different views</w:t></w:r>
</w:p>
<w:p>
<w:pPr><w:pStyle w:val="Normal"/></w:pPr>
<w:r><w:t xml:space="preserve">are here expressed.  According to one (xvii. 3, xix. 8, xxiii.</w:t></w:r>
</w:p>
<w:p>
<w:pPr><w:pStyle w:val="Normal"/></w:pPr>
<w:r><w:t xml:space="preserve">4) the sin of Adam was the cause of physical death; according</w:t></w:r>
</w:p>
<w:p>
<w:pPr><w:pStyle w:val="Normal"/></w:pPr>
<w:r><w:t xml:space="preserve">to another (liv. 15, lvi. 6), only of premature physical</w:t></w:r>
</w:p>
<w:p>
<w:pPr><w:pStyle w:val="Normal"/></w:pPr>
<w:r><w:t xml:space="preserve">death, while according to a third (xlviii. 42, 43) it is</w:t></w:r>
</w:p>
<w:p>
<w:pPr><w:pStyle w:val="Normal"/></w:pPr>
<w:r><w:t xml:space="preserve">spiritual death which is to be laid to his account.  Of these</w:t></w:r>
</w:p>
<w:p>
<w:pPr><w:pStyle w:val="Normal"/></w:pPr>
<w:r><w:t xml:space="preserve">three views, it is only the second which harmonizes with Gen.</w:t></w:r>
</w:p>
<w:p>
<w:pPr><w:pStyle w:val="Normal"/></w:pPr>
<w:r><w:t xml:space="preserve">ii.-iii.  In one of the two passages which express it we are</w:t></w:r>
</w:p>
<w:p>
<w:pPr><w:pStyle w:val="Normal"/></w:pPr>
<w:r><w:t xml:space="preserve">also told that each member of thc human race is ``the Adam</w:t></w:r>
</w:p>
<w:p>
<w:pPr><w:pStyle w:val="Normal"/></w:pPr>
<w:r><w:t xml:space="preserve">of his own soul.&apos;&apos; Adam, like Satan in Ecclus. xxi; 27, has</w:t></w:r>
</w:p>
<w:p>
<w:pPr><w:pStyle w:val="Normal"/></w:pPr>
<w:r><w:t xml:space="preserve">become a psychological symbol.  Truly, a worthy development</w:t></w:r>
</w:p>
<w:p>
<w:pPr><w:pStyle w:val="Normal"/></w:pPr>
<w:r><w:t xml:space="preserve">of the seed-thoughts of the original narrator, and (must we</w:t></w:r>
</w:p>
<w:p>
<w:pPr><w:pStyle w:val="Normal"/></w:pPr>
<w:r><w:t xml:space="preserve">not add?) entirely opposed to any doctrine of Original Sin.</w:t></w:r>
</w:p>
<w:p>
<w:pPr><w:pStyle w:val="Normal"/></w:pPr>
<w:r><w:t xml:space="preserve">In 4 Ezra, too, we find no real endorsement of such a</w:t></w:r>
</w:p>
<w:p>
<w:pPr><w:pStyle w:val="Normal"/></w:pPr>
<w:r><w:t xml:space="preserve">doctrine.  It is true, not only physical death (iii. 7), but</w:t></w:r>
</w:p>
<w:p>
<w:pPr><w:pStyle w:val="Normal"/></w:pPr>
<w:r><w:t xml:space="preserve">spiritual, is traced to the act of Adam (iii. 21, 22, iv.</w:t></w:r>
</w:p>
<w:p>
<w:pPr><w:pStyle w:val="Normal"/></w:pPr>
<w:r><w:t xml:space="preserve">30, 31, vii. 118-121).  But two modifying facts should be</w:t></w:r>
</w:p>
<w:p>
<w:pPr><w:pStyle w:val="Normal"/></w:pPr>
<w:r><w:t xml:space="preserve">noticed.  One is that Adam is said to have had from the first</w:t></w:r>
</w:p>
<w:p>
<w:pPr><w:pStyle w:val="Normal"/></w:pPr>
<w:r><w:t xml:space="preserve">a wicked heart, owing to which he fell, and his posterity</w:t></w:r>
</w:p>
<w:p>
<w:pPr><w:pStyle w:val="Normal"/></w:pPr>
<w:r><w:t xml:space="preserve">likewise, into sin and guilt.  All men have the same seed of</w:t></w:r>
</w:p>
<w:p>
<w:pPr><w:pStyle w:val="Normal"/></w:pPr>
<w:r><w:t xml:space="preserve">evil in them that Adam had; they sin and die, like him.  The</w:t></w:r>
</w:p>
<w:p>
<w:pPr><w:pStyle w:val="Normal"/></w:pPr>
<w:r><w:t xml:space="preserve">other is that, according to iii. 7-12, there are at least two</w:t></w:r>
</w:p>
<w:p>
<w:pPr><w:pStyle w:val="Normal"/></w:pPr>
<w:r><w:t xml:space="preserve">ages of the world.  The first ended with the Flood, so that any</w:t></w:r>
</w:p>
<w:p>
<w:pPr><w:pStyle w:val="Normal"/></w:pPr>
<w:r><w:t xml:space="preserve">consequences of Adam&apos;s sin were, strictly speaking, of limited</w:t></w:r>
</w:p>
<w:p>
<w:pPr><w:pStyle w:val="Normal"/></w:pPr>
<w:r><w:t xml:space="preserve">duration.  The second began with righteous Noah and his</w:t></w:r>
</w:p>
<w:p>
<w:pPr><w:pStyle w:val="Normal"/></w:pPr>
<w:r><w:t xml:space="preserve">household, ``of whom came all righteous men.&apos;&apos; It was the</w:t></w:r>
</w:p>
<w:p>
<w:pPr><w:pStyle w:val="Normal"/></w:pPr>
<w:r><w:t xml:space="preserve">descendants of these who ``began again to do ungodliness</w:t></w:r>
</w:p>
<w:p>
<w:pPr><w:pStyle w:val="Normal"/></w:pPr>
<w:r><w:t xml:space="preserve">more than the former ones.&apos;&apos; Doubtless the problem of evil</w:t></w:r>
</w:p>
<w:p>
<w:pPr><w:pStyle w:val="Normal"/></w:pPr>
<w:r><w:t xml:space="preserve">is most imperfectly treated, even from the writer&apos;s point of</w:t></w:r>
</w:p>
<w:p>
<w:pPr><w:pStyle w:val="Normal"/></w:pPr>
<w:r><w:t xml:space="preserve">view.  But it would be cruel to pick holes in a writer whose</w:t></w:r>
</w:p>
<w:p>
<w:pPr><w:pStyle w:val="Normal"/></w:pPr>
<w:r><w:t xml:space="preserve">thinking, like that of St Paul, is coloured by emotion.</w:t></w:r>
</w:p>
<w:p>
<w:pPr><w:pStyle w:val="Normal"/></w:pPr>
<w:r><w:t xml:space="preserve">At this point we might well make more than a passing reference to</w:t></w:r>
</w:p>
<w:p>
<w:pPr><w:pStyle w:val="Normal"/></w:pPr>
<w:r><w:t xml:space="preserve">St Paul (Rom. v. 14; 1 Cor. xv. 22, 45, 47), whose doctrine of sin</w:t></w:r>
</w:p>
<w:p>
<w:pPr><w:pStyle w:val="Normal"/></w:pPr>
<w:r><w:t xml:space="preserve">is evidently of mixed origin.  But we cannot find space for this</w:t></w:r>
</w:p>
<w:p>
<w:pPr><w:pStyle w:val="Normal"/></w:pPr>
<w:r><w:t xml:space="preserve">here.  In compensation let it be mentioned that in Rev. xii.</w:t></w:r>
</w:p>
<w:p>
<w:pPr><w:pStyle w:val="Normal"/></w:pPr>
<w:r><w:t xml:space="preserve">9 (cp. xx. 2) the ``great dragon,&apos;&apos; who persecuted the woman</w:t></w:r>
</w:p>
<w:p>
<w:pPr><w:pStyle w:val="Normal"/></w:pPr>
<w:r><w:t xml:space="preserve">``clothed with the sun,&apos;&apos; is identified with ``the old serpent,</w:t></w:r>
</w:p>
<w:p>
<w:pPr><w:pStyle w:val="Normal"/></w:pPr>
<w:r><w:t xml:space="preserve">that is called the Devil and Satan.&apos;&apos; The identification is</w:t></w:r>
</w:p>
<w:p>
<w:pPr><w:pStyle w:val="Normal"/></w:pPr>
<w:r><w:t xml:space="preserve">incorrect.  But it may be noticed here that the phrase ``the</w:t></w:r>
</w:p>
<w:p>
<w:pPr><w:pStyle w:val="Normal"/></w:pPr>
<w:r><w:t xml:space="preserve">old serpent&apos;&apos; sheds some light on the Pauline phrases ``the</w:t></w:r>
</w:p>
<w:p>
<w:pPr><w:pStyle w:val="Normal"/></w:pPr>
<w:r><w:t xml:space="preserve">first man Adam&apos;&apos; and ``the last Adam&apos;&apos; (1 Cor. xv. 45, 47).</w:t></w:r>
</w:p>
<w:p>
<w:pPr><w:pStyle w:val="Normal"/></w:pPr>
<w:r><w:t xml:space="preserve">The underlying idea is that the new age (that of the new</w:t></w:r>
</w:p>
<w:p>
<w:pPr><w:pStyle w:val="Normal"/></w:pPr>
<w:r><w:t xml:space="preserve">heaven and earth) will be opened by events parallel to those</w:t></w:r>
</w:p>
<w:p>
<w:pPr><w:pStyle w:val="Normal"/></w:pPr>
<w:r><w:t xml:space="preserve">which opened the first age.  As the old serpent deceived</w:t></w:r>
</w:p>
<w:p>
<w:pPr><w:pStyle w:val="Normal"/></w:pPr>
<w:r><w:t xml:space="preserve">man of old, so shall it be again.  And as at the head of the</w:t></w:r>
</w:p>
<w:p>
<w:pPr><w:pStyle w:val="Normal"/></w:pPr>
<w:r><w:t xml:space="preserve">first age stands the first Adam, whose doings affected all</w:t></w:r>
</w:p>
<w:p>
<w:pPr><w:pStyle w:val="Normal"/></w:pPr>
<w:r><w:t xml:space="preserve">his descendants to their harm, so at the head of the second</w:t></w:r>
</w:p>
<w:p>
<w:pPr><w:pStyle w:val="Normal"/></w:pPr>
<w:r><w:t xml:space="preserve">shall stand the second Adam, whose actions shall be potent for</w:t></w:r>
</w:p>
<w:p>
<w:pPr><w:pStyle w:val="Normal"/></w:pPr>
<w:r><w:t xml:space="preserve">good.  There is reason to suspect that the expression ``the</w:t></w:r>
</w:p>
<w:p>
<w:pPr><w:pStyle w:val="Normal"/></w:pPr>
<w:r><w:t xml:space="preserve">second Adam&apos;&apos; is the coinage either of St Paul or of some one</w:t></w:r>
</w:p>
<w:p>
<w:pPr><w:pStyle w:val="Normal"/></w:pPr>
<w:r><w:t xml:space="preserve">closely connected with him (as Prof.  G. F. Moore has shown),</w:t></w:r>
</w:p>
<w:p>
<w:pPr><w:pStyle w:val="Normal"/></w:pPr>
<w:r><w:t xml:space="preserve">for there is no proof that such terms as ``the last,&apos;&apos; or</w:t></w:r>
</w:p>
<w:p>
<w:pPr><w:pStyle w:val="Normal"/></w:pPr>
<w:r><w:t xml:space="preserve">``the second Adam,&apos;&apos; were generally current among the Jews.</w:t></w:r>
</w:p>
<w:p>
<w:pPr><w:pStyle w:val="Normal"/></w:pPr>
<w:r><w:t xml:space="preserve">12. Jewish Legends.---The parallelism between the first and</w:t></w:r>
</w:p>
<w:p>
<w:pPr><w:pStyle w:val="Normal"/></w:pPr>
<w:r><w:t xml:space="preserve">second Adam in 1 Cor. xv. 45 is a parallelism of contrast.</w:t></w:r>
</w:p>
<w:p>
<w:pPr><w:pStyle w:val="Normal"/></w:pPr>
<w:r><w:t xml:space="preserve">Jewish legends, however, suggest another sort of parallelism.</w:t></w:r>
</w:p>
<w:p>
<w:pPr><w:pStyle w:val="Normal"/></w:pPr>
<w:r><w:t xml:space="preserve">The Haggadah gives the most extravagant descriptions of the</w:t></w:r>
</w:p>
<w:p>
<w:pPr><w:pStyle w:val="Normal"/></w:pPr>
<w:r><w:t xml:space="preserve">glory of Adam before his fall.  The most prominent idea is that</w:t></w:r>
</w:p>
<w:p>
<w:pPr><w:pStyle w:val="Normal"/></w:pPr>
<w:r><w:t xml:space="preserve">being in the image of God--the God whose essence is light--he</w:t></w:r>
</w:p>
<w:p>
<w:pPr><w:pStyle w:val="Normal"/></w:pPr>
<w:r><w:t xml:space="preserve">must have had a luminous body (like the angels). ``I made</w:t></w:r>
</w:p>
<w:p>
<w:pPr><w:pStyle w:val="Normal"/></w:pPr>
<w:r><w:t xml:space="preserve">thee of the light,&apos;&apos; says God in the Book of Adam and Eve</w:t></w:r>
</w:p>
<w:p>
<w:pPr><w:pStyle w:val="Normal"/></w:pPr>
<w:r><w:t xml:space="preserve">(Malan, p. 16), ``and I willed to bring children of light from</w:t></w:r>
</w:p>
<w:p>
<w:pPr><w:pStyle w:val="Normal"/></w:pPr>
<w:r><w:t xml:space="preserve">thee.&apos;&apos; Similarly in Baba batra, 58a, we read, ``he was of</w:t></w:r>
</w:p>
<w:p>
<w:pPr><w:pStyle w:val="Normal"/></w:pPr>
<w:r><w:t xml:space="preserve">extraordinary beauty and sun-like brightness.&apos;&apos; So glorious</w:t></w:r>
</w:p>
<w:p>
<w:pPr><w:pStyle w:val="Normal"/></w:pPr>
<w:r><w:t xml:space="preserve">was he that even the angels were commanded through Michael</w:t></w:r>
</w:p>
<w:p>
<w:pPr><w:pStyle w:val="Normal"/></w:pPr>
<w:r><w:t xml:space="preserve">to pay homage to Adam.  Satan, disobeying, was cast out of</w:t></w:r>
</w:p>
<w:p>
<w:pPr><w:pStyle w:val="Normal"/></w:pPr>
<w:r><w:t xml:space="preserve">heaven; hence his ill-will towards Adam (Life of Adam and</w:t></w:r>
</w:p>
<w:p>
<w:pPr><w:pStyle w:val="Normal"/></w:pPr>
<w:r><w:t xml:space="preserve">Eve, sec. sec.  13-17; cp. Koran, xvii. 63, xx. 115, xxxviii. 74).</w:t></w:r>
</w:p>
<w:p>
<w:pPr><w:pStyle w:val="Normal"/></w:pPr>
<w:r><w:t xml:space="preserve">It only remains to give due honour to one of the most</w:t></w:r>
</w:p>
<w:p>
<w:pPr><w:pStyle w:val="Normal"/></w:pPr>
<w:r><w:t xml:space="preserve">beautiful of legends, that of the deliverance of Adam&apos;s</w:t></w:r>
</w:p>
<w:p>
<w:pPr><w:pStyle w:val="Normal"/></w:pPr>
<w:r><w:t xml:space="preserve">spirit from the nether world by the Christ, the earliest</w:t></w:r>
</w:p>
<w:p>
<w:pPr><w:pStyle w:val="Normal"/></w:pPr>
<w:r><w:t xml:space="preserve">form of which is a Christian interpolation in Apoc.</w:t></w:r>
</w:p>
<w:p>
<w:pPr><w:pStyle w:val="Normal"/></w:pPr>
<w:r><w:t xml:space="preserve">Moses, sec.  42 (cp. Malan, Adam and Eve, iv. 15,</w:t></w:r>
</w:p>
<w:p>
<w:pPr><w:pStyle w:val="Normal"/></w:pPr>
<w:r><w:t xml:space="preserve">end).  We may compare a partly parallel passage in sec.  37,</w:t></w:r>
</w:p>
<w:p>
<w:pPr><w:pStyle w:val="Normal"/></w:pPr>
<w:r><w:t xml:space="preserve">where the agent is Michael, and notice that such legendary</w:t></w:r>
</w:p>
<w:p>
<w:pPr><w:pStyle w:val="Normal"/></w:pPr>
<w:r><w:t xml:space="preserve">developments were equally popular among Jews and Christians.</w:t></w:r>
</w:p>
<w:p>
<w:pPr><w:pStyle w:val="Normal"/></w:pPr>
<w:r><w:t xml:space="preserve">AUTHORITIES-- On the apocryphal Books of Adam, see Hort,</w:t></w:r>
</w:p>
<w:p>
<w:pPr><w:pStyle w:val="Normal"/></w:pPr>
<w:r><w:t xml:space="preserve">Dict. of Chr. Biography, i. 37 ff.  In English we have Malan&apos;s</w:t></w:r>
</w:p>
<w:p>
<w:pPr><w:pStyle w:val="Normal"/></w:pPr>
<w:r><w:t xml:space="preserve">translation of the Ethiopic Book of Adam (1882), and Issaverden&apos;s</w:t></w:r>
</w:p>
<w:p>
<w:pPr><w:pStyle w:val="Normal"/></w:pPr>
<w:r><w:t xml:space="preserve">translation of another Book of Adam from the Armenian (Venice,</w:t></w:r>
</w:p>
<w:p>
<w:pPr><w:pStyle w:val="Normal"/></w:pPr>
<w:r><w:t xml:space="preserve">1901).  In German, see Fuchs&apos;s translations in Kautzsch&apos;s Die</w:t></w:r>
</w:p>
<w:p>
<w:pPr><w:pStyle w:val="Normal"/></w:pPr>
<w:r><w:t xml:space="preserve">Apokryphen, ii. 506 ff.  For full bibliography see Schurer,</w:t></w:r>
</w:p>
<w:p>
<w:pPr><w:pStyle w:val="Normal"/></w:pPr>
<w:r><w:t xml:space="preserve">Gesch. des jud. Folkes, ed. 3, iii. 288 f.  On Jewish</w:t></w:r>
</w:p>
<w:p>
<w:pPr><w:pStyle w:val="Normal"/></w:pPr>
<w:r><w:t xml:space="preserve">and Mahommedan legends, see Jewish Cyclopaedia, ``Adam.&apos;&apos;</w:t></w:r>
</w:p>
<w:p>
<w:pPr><w:pStyle w:val="Normal"/></w:pPr>
<w:r><w:t xml:space="preserve">On the belief in the Fall, see Tennant, The Sources of the</w:t></w:r>
</w:p>
<w:p>
<w:pPr><w:pStyle w:val="Normal"/></w:pPr>
<w:r><w:t xml:space="preserve">Doctrine of the Fall and Original Sin (1903). (T. K. C.)</w:t></w:r>
</w:p>
<w:p>
<w:pPr><w:pStyle w:val="Normal"/></w:pPr>
<w:r><w:t xml:space="preserve">1 The English Bible gives ``the LORD GOD.&apos;&apos; This,</w:t></w:r>
</w:p>
<w:p>
<w:pPr><w:pStyle w:val="Normal"/></w:pPr>
<w:r><w:t xml:space="preserve">however, does not adequately represent the Hebrew.</w:t></w:r>
</w:p>
<w:p>
<w:pPr><w:pStyle w:val="Normal"/></w:pPr>
<w:r><w:t xml:space="preserve">2 See commentaries of Gunkel and Cheyne.  As in</w:t></w:r>
</w:p>
<w:p>
<w:pPr><w:pStyle w:val="Normal"/></w:pPr>
<w:r><w:t xml:space="preserve">v.10, the oceanstream is meant. (See EDEN.)</w:t></w:r>
</w:p>
<w:p>
<w:pPr><w:pStyle w:val="Normal"/></w:pPr>
<w:r><w:t xml:space="preserve">3 A widely spread mythic representation. (Cp. COSMOGONY.)</w:t></w:r>
</w:p>
<w:p>
<w:pPr><w:pStyle w:val="Normal"/></w:pPr>
<w:r><w:t xml:space="preserve">4 See an illustration from Naville&apos;s Book of the</w:t></w:r>
</w:p>
<w:p>
<w:pPr><w:pStyle w:val="Normal"/></w:pPr>
<w:r><w:t xml:space="preserve">Dead (Egyptian) in Jewish Cyclopaedia, i. 174a.</w:t></w:r>
</w:p>
<w:p>
<w:pPr><w:pStyle w:val="Normal"/></w:pPr>
<w:r><w:t xml:space="preserve">5 Or park. (See PARADISE.)</w:t></w:r>
</w:p>
<w:p>
<w:pPr><w:pStyle w:val="Normal"/></w:pPr>
<w:r><w:t xml:space="preserve">6 The later Jews, however, supposed that before the Fall</w:t></w:r>
</w:p>
<w:p>
<w:pPr><w:pStyle w:val="Normal"/></w:pPr>
<w:r><w:t xml:space="preserve">the animals could speak, and that they had all one language</w:t></w:r>
</w:p>
<w:p>
<w:pPr><w:pStyle w:val="Normal"/></w:pPr>
<w:r><w:t xml:space="preserve">(Jubilees, iii. 28; Jos. Antiquities, i. I, 4).</w:t></w:r>
</w:p>
<w:p>
<w:pPr><w:pStyle w:val="Normal"/></w:pPr>
<w:r><w:t xml:space="preserve">7 Cheyne, Genesis and Exodus, referring to</w:t></w:r>
</w:p>
<w:p>
<w:pPr><w:pStyle w:val="Normal"/></w:pPr>
<w:r><w:t xml:space="preserve">Dorsey, Traditions of the Skidi Pawnee, pp. 280 ff.</w:t></w:r>
</w:p>
<w:p>
<w:pPr><w:pStyle w:val="Normal"/></w:pPr>
<w:r><w:t xml:space="preserve">8 ``Good and evil&apos;&apos; may be a late marginal gloss.  See</w:t></w:r>
</w:p>
<w:p>
<w:pPr><w:pStyle w:val="Normal"/></w:pPr>
<w:r><w:t xml:space="preserve">further Ency.  Bib. col. 3578, and the commentaries</w:t></w:r>
</w:p>
<w:p>
<w:pPr><w:pStyle w:val="Normal"/></w:pPr>
<w:r><w:t xml:space="preserve">(Driver leaves the phrase); also Jastrow, Relig. of.</w:t></w:r>
</w:p>
<w:p>
<w:pPr><w:pStyle w:val="Normal"/></w:pPr>
<w:r><w:t xml:space="preserve">Bab. and Ass. p. 553; Sayce, Hibbert Lectures, p. 242.</w:t></w:r>
</w:p>
<w:p>
<w:pPr><w:pStyle w:val="Normal"/></w:pPr>
<w:r><w:t xml:space="preserve">9 See illustration in Toy&apos;s Ezekiel (Sacred</w:t></w:r>
</w:p>
<w:p>
<w:pPr><w:pStyle w:val="Normal"/></w:pPr>
<w:r><w:t xml:space="preserve">Books of the Old Testament), p. 182.</w:t></w:r>
</w:p>
<w:p>
<w:pPr><w:pStyle w:val="Normal"/></w:pPr>
<w:r><w:t xml:space="preserve">10 Gaokerena is the mythic white haoma plant (Zendavesta,</w:t></w:r>
</w:p>
<w:p>
<w:pPr><w:pStyle w:val="Normal"/></w:pPr>
<w:r><w:t xml:space="preserve">Vendidad, xx. 4; Bundahish, xxvii. 4). It is an idealization</w:t></w:r>
</w:p>
<w:p>
<w:pPr><w:pStyle w:val="Normal"/></w:pPr>
<w:r><w:t xml:space="preserve">of the yellow haoma of the mountains which was used in sacrifices</w:t></w:r>
</w:p>
<w:p>
<w:pPr><w:pStyle w:val="Normal"/></w:pPr>
<w:r><w:t xml:space="preserve">(Yasna, x. 6-10).  It corresponds to the soma plant Asclepias</w:t></w:r>
</w:p>
<w:p>
<w:pPr><w:pStyle w:val="Normal"/></w:pPr>
<w:r><w:t xml:space="preserve">acida of the ancient Aryans of India.  On the illustrative value</w:t></w:r>
</w:p>
<w:p>
<w:pPr><w:pStyle w:val="Normal"/></w:pPr>
<w:r><w:t xml:space="preserve">of Gaokerena see Cheyne, Origin of the Psalter, pp. 400-439.</w:t></w:r>
</w:p>
<w:p>
<w:pPr><w:pStyle w:val="Normal"/></w:pPr>
<w:r><w:t xml:space="preserve">11 See Life of Adam and Eve (apocryphal), sec. sec.  36,</w:t></w:r>
</w:p>
<w:p>
<w:pPr><w:pStyle w:val="Normal"/></w:pPr>
<w:r><w:t xml:space="preserve">40; Apocal.  Mos. sec. 9; Secrets of Enoch, viii.</w:t></w:r>
</w:p>
<w:p>
<w:pPr><w:pStyle w:val="Normal"/></w:pPr>
<w:r><w:t xml:space="preserve">7, xxii. 8, 9. ``Oil of life,&apos;&apos; in a Bab. hymn, Die</w:t></w:r>
</w:p>
<w:p>
<w:pPr><w:pStyle w:val="Normal"/></w:pPr>
<w:r><w:t xml:space="preserve">Keilinschriften und das Alte Testament, ed. 3, p. 526.</w:t></w:r>
</w:p>
<w:p>
<w:pPr><w:pStyle w:val="Normal"/></w:pPr>
<w:r><w:t xml:space="preserve">12 Cp. the Bab. myths of Adapa and of the Descent of Ishtar.</w:t></w:r>
</w:p>
<w:p>
<w:pPr><w:pStyle w:val="Normal"/></w:pPr>
<w:r><w:t xml:space="preserve">13 W. R. Smith, Relig. of Semites, pp.</w:t></w:r>
</w:p>
<w:p>
<w:pPr><w:pStyle w:val="Normal"/></w:pPr>
<w:r><w:t xml:space="preserve">133, 442; Ency.  Bib., ``Serpent,&apos;&apos;</w:t></w:r>
</w:p>
<w:p>
<w:pPr><w:pStyle w:val="Normal"/></w:pPr>
<w:r><w:t xml:space="preserve">14 Note the food and drink of the gods</w:t></w:r>
</w:p>
<w:p>
<w:pPr><w:pStyle w:val="Normal"/></w:pPr>
<w:r><w:t xml:space="preserve">in the Babylonian Adapa (or Adamu?) myth.</w:t></w:r>
</w:p>
<w:p>
<w:pPr><w:pStyle w:val="Normal"/></w:pPr>
<w:r><w:t xml:space="preserve">15 The mortality of man forms no part of</w:t></w:r>
</w:p>
<w:p>
<w:pPr><w:pStyle w:val="Normal"/></w:pPr>
<w:r><w:t xml:space="preserve">the curse (cp. iii. 19, ``dust thou art&apos;&apos;).</w:t></w:r>
</w:p>
<w:p>
<w:pPr><w:pStyle w:val="Normal"/></w:pPr>
<w:r><w:t xml:space="preserve">16 See H. Schultz, Alttest.  Theologie, ed.</w:t></w:r>
</w:p>
<w:p>
<w:pPr><w:pStyle w:val="Normal"/></w:pPr>
<w:r><w:t xml:space="preserve">4, pp. 679 ff., 720; Driver, Genesis, p. a4.</w:t></w:r>
</w:p>
<w:p>
<w:pPr><w:pStyle w:val="Normal"/></w:pPr>
<w:r><w:t xml:space="preserve">17 See Cheyne, Genesis and Exodus.</w:t></w:r>
</w:p>
<w:p>
<w:pPr><w:pStyle w:val="Normal"/></w:pPr>
<w:r><w:t xml:space="preserve">18 The ``fair shepherd&apos;&apos; Yima of the Avesta (Vend.</w:t></w:r>
</w:p>
<w:p>
<w:pPr><w:pStyle w:val="Normal"/></w:pPr>
<w:r><w:t xml:space="preserve">ii.), the first man and the founder of civilization</w:t></w:r>
</w:p>
<w:p>
<w:pPr><w:pStyle w:val="Normal"/></w:pPr>
<w:r><w:t xml:space="preserve">to the Iranians,though not like the Yama of the Vedas.</w:t></w:r>
</w:p>
<w:p>
<w:pPr><w:pStyle w:val="Normal"/></w:pPr>
<w:r><w:t xml:space="preserve">19 See Jastrow, Rel. of Bab. and Ass. pp. 548-554; R. J. Harper, in</w:t></w:r>
</w:p>
<w:p>
<w:pPr><w:pStyle w:val="Normal"/></w:pPr>
<w:r><w:t xml:space="preserve">Academy, May 30, 1891; Jensen, Keilinschr.  Bibliothek, vi. 93 ff.</w:t></w:r>
</w:p>
<w:p>
<w:pPr><w:pStyle w:val="Normal"/></w:pPr>
<w:r><w:t xml:space="preserve">20 The wisdom was probably to qualify him as a</w:t></w:r>
</w:p>
<w:p>
<w:pPr><w:pStyle w:val="Normal"/></w:pPr>
<w:r><w:t xml:space="preserve">ruler.  It is too much to say with Hommel that</w:t></w:r>
</w:p>
<w:p>
<w:pPr><w:pStyle w:val="Normal"/></w:pPr>
<w:r><w:t xml:space="preserve">``Adapa is the archetype of the Johannine Logos.&apos;&apos;</w:t></w:r>
</w:p>
<w:p>
<w:pPr><w:pStyle w:val="Normal"/></w:pPr>
<w:r><w:t xml:space="preserve">21 Jastrow, op. cit. p. 474 ff.; Jensen, Keil.  Bibl. vi. 120 ff.</w:t></w:r>
</w:p>
<w:p>
<w:pPr><w:pStyle w:val="Normal"/></w:pPr>
<w:r><w:t xml:space="preserve">22 Jastrow, p. 522 f.; Jensen, vi. 112 ff.</w:t></w:r>
</w:p>
<w:p>
<w:pPr><w:pStyle w:val="Normal"/></w:pPr>
<w:r><w:t xml:space="preserve">23 See Smith and Sayce, Chaldaean Genesis, p. 88;</w:t></w:r>
</w:p>
<w:p>
<w:pPr><w:pStyle w:val="Normal"/></w:pPr>
<w:r><w:t xml:space="preserve">Delitzsch, Wo lag das Paradies? p. 90; Babel and Bible,</w:t></w:r>
</w:p>
<w:p>
<w:pPr><w:pStyle w:val="Normal"/></w:pPr>
<w:r><w:t xml:space="preserve">Eng. trans., p. 56, with note on pp. 114-118; Zimmern,</w:t></w:r>
</w:p>
<w:p>
<w:pPr><w:pStyle w:val="Normal"/></w:pPr>
<w:r><w:t xml:space="preserve">Die Keilinschr. und das A.T., ed. 3, p. 529; Jeremias,</w:t></w:r>
</w:p>
<w:p>
<w:pPr><w:pStyle w:val="Normal"/></w:pPr>
<w:r><w:t xml:space="preserve">Das Alte Test. im Lichte d.  Alten Orient. pp. 104-106.</w:t></w:r>
</w:p>
<w:p>
<w:pPr><w:pStyle w:val="Normal"/></w:pPr>
<w:r><w:t xml:space="preserve">ADAM OF BREMEN, historian and geographer, was probably born</w:t></w:r>
</w:p>
<w:p>
<w:pPr><w:pStyle w:val="Normal"/></w:pPr>
<w:r><w:t xml:space="preserve">in Upper Saxony (at Meissen, according to one tradition) before</w:t></w:r>
</w:p>
<w:p>
<w:pPr><w:pStyle w:val="Normal"/></w:pPr>
<w:r><w:t xml:space="preserve">1045.  He came to Bremen about 1067-1068, most likely on</w:t></w:r>
</w:p>
<w:p>
<w:pPr><w:pStyle w:val="Normal"/></w:pPr>
<w:r><w:t xml:space="preserve">the invitation of Archbishop Adalbert, and in the 24th year</w:t></w:r>
</w:p>
<w:p>
<w:pPr><w:pStyle w:val="Normal"/></w:pPr>
<w:r><w:t xml:space="preserve">of the latter&apos;s episcopate (1043?-1072); in 1069 he appears</w:t></w:r>
</w:p>
<w:p>
<w:pPr><w:pStyle w:val="Normal"/></w:pPr>
<w:r><w:t xml:space="preserve">as a canon of this cathedral and master of the cathedral</w:t></w:r>
</w:p>
<w:p>
<w:pPr><w:pStyle w:val="Normal"/></w:pPr>
<w:r><w:t xml:space="preserve">school.  Not long after this he visited the king of Denmark,</w:t></w:r>
</w:p>
<w:p>
<w:pPr><w:pStyle w:val="Normal"/></w:pPr>
<w:r><w:t xml:space="preserve">Sweyn Estrithson, in Zealand; on the death of Adalbert, in</w:t></w:r>
</w:p>
<w:p>
<w:pPr><w:pStyle w:val="Normal"/></w:pPr>
<w:r><w:t xml:space="preserve">1072, he began the Historia Hammaburgenisis Ecclesiae, which</w:t></w:r>
</w:p>
<w:p>
<w:pPr><w:pStyle w:val="Normal"/></w:pPr>
<w:r><w:t xml:space="preserve">he finished about 1075.  He died on the 12th of October of a</w:t></w:r>
</w:p>
<w:p>
<w:pPr><w:pStyle w:val="Normal"/></w:pPr>
<w:r><w:t xml:space="preserve">year unknown, perhaps 1076.  Adam&apos;s Historia---known also</w:t></w:r>
</w:p>
<w:p>
<w:pPr><w:pStyle w:val="Normal"/></w:pPr>
<w:r><w:t xml:space="preserve">as Gesta Hammaburgensis Ecclesiae Pontificum, Bremensium</w:t></w:r>
</w:p>
<w:p>
<w:pPr><w:pStyle w:val="Normal"/></w:pPr>
<w:r><w:t xml:space="preserve">praesulum Historia, and Historia ecclesiastica--is</w:t></w:r>
</w:p>
<w:p>
<w:pPr><w:pStyle w:val="Normal"/></w:pPr>
<w:r><w:t xml:space="preserve">a primary authority, not only for the great diocese of</w:t></w:r>
</w:p>
<w:p>
<w:pPr><w:pStyle w:val="Normal"/></w:pPr>
<w:r><w:t xml:space="preserve">Hamburg-and-Bremen, but for all North German and Baltic lands</w:t></w:r>
</w:p>
<w:p>
<w:pPr><w:pStyle w:val="Normal"/></w:pPr>
<w:r><w:t xml:space="preserve">(down to 1072), and for the Scandinavian colonies as far as</w:t></w:r>
</w:p>
<w:p>
<w:pPr><w:pStyle w:val="Normal"/></w:pPr>
<w:r><w:t xml:space="preserve">America.  Here occurs the earliest mention of Vinland, and here</w:t></w:r>
</w:p>
<w:p>
<w:pPr><w:pStyle w:val="Normal"/></w:pPr>
<w:r><w:t xml:space="preserve">are also references of great interest to Russia and Kiev, to</w:t></w:r>
</w:p>
<w:p>
<w:pPr><w:pStyle w:val="Normal"/></w:pPr>
<w:r><w:t xml:space="preserve">the heathen Prussians, the Wends and other Slav races of the</w:t></w:r>
</w:p>
<w:p>
<w:pPr><w:pStyle w:val="Normal"/></w:pPr>
<w:r><w:t xml:space="preserve">South Baltic coast, and to Finland, Thule or Iceland, Greenland</w:t></w:r>
</w:p>
<w:p>
<w:pPr><w:pStyle w:val="Normal"/></w:pPr>
<w:r><w:t xml:space="preserve">and the Polar seas which Harald Hardrada and the nobles of</w:t></w:r>
</w:p>
<w:p>
<w:pPr><w:pStyle w:val="Normal"/></w:pPr>
<w:r><w:t xml:space="preserve">Frisia had attempted to explore in Adam&apos;s own day (before</w:t></w:r>
</w:p>
<w:p>
<w:pPr><w:pStyle w:val="Normal"/></w:pPr>
<w:r><w:t xml:space="preserve">1066).  Adam&apos;s account of North European trade at this time,</w:t></w:r>
</w:p>
<w:p>
<w:pPr><w:pStyle w:val="Normal"/></w:pPr>
<w:r><w:t xml:space="preserve">and especially of the great markets of Jumne at the mouth of</w:t></w:r>
</w:p>
<w:p>
<w:pPr><w:pStyle w:val="Normal"/></w:pPr>
<w:r><w:t xml:space="preserve">the Oder, of Birka in Sweden and of Ostrogard (Old Novgorod?)</w:t></w:r>
</w:p>
<w:p>
<w:pPr><w:pStyle w:val="Normal"/></w:pPr>
<w:r><w:t xml:space="preserve">in Russia, is also of much value.  His work, which places</w:t></w:r>
</w:p>
<w:p>
<w:pPr><w:pStyle w:val="Normal"/></w:pPr>
<w:r><w:t xml:space="preserve">him among the first and best of German annalists, consists</w:t></w:r>
</w:p>
<w:p>
<w:pPr><w:pStyle w:val="Normal"/></w:pPr>
<w:r><w:t xml:space="preserve">of four books or parts, and is compiled partly from written</w:t></w:r>
</w:p>
<w:p>
<w:pPr><w:pStyle w:val="Normal"/></w:pPr>
<w:r><w:t xml:space="preserve">records and partly from oral information, the latter mainly</w:t></w:r>
</w:p>
<w:p>
<w:pPr><w:pStyle w:val="Normal"/></w:pPr>
<w:r><w:t xml:space="preserve">gathered from experience or at the courts of Adalbert and Sweyn</w:t></w:r>
</w:p>
<w:p>
<w:pPr><w:pStyle w:val="Normal"/></w:pPr>
<w:r><w:t xml:space="preserve">Estrithson.  Of his minor informants he names several, such as</w:t></w:r>
</w:p>
<w:p>
<w:pPr><w:pStyle w:val="Normal"/></w:pPr>
<w:r><w:t xml:space="preserve">Adelward, dean of Bremen, and William the Englishman, ``bishop</w:t></w:r>
</w:p>
<w:p>
<w:pPr><w:pStyle w:val="Normal"/></w:pPr>
<w:r><w:t xml:space="preserve">of Zealand,&apos;&apos; formerly chancellor of Canute the Great, and</w:t></w:r>
</w:p>
<w:p>
<w:pPr><w:pStyle w:val="Normal"/></w:pPr>
<w:r><w:t xml:space="preserve">an intimate of Sweyn Estrithson.  The fourth (perhaps the</w:t></w:r>
</w:p>
<w:p>
<w:pPr><w:pStyle w:val="Normal"/></w:pPr>
<w:r><w:t xml:space="preserve">most important) book of Adam&apos;s History, Variously entitled</w:t></w:r>
</w:p>
<w:p>
<w:pPr><w:pStyle w:val="Normal"/></w:pPr>
<w:r><w:t xml:space="preserve">Libellus de Situ Daniae et reliquarum quae trans Daniam</w:t></w:r>
</w:p>
<w:p>
<w:pPr><w:pStyle w:val="Normal"/></w:pPr>
<w:r><w:t xml:space="preserve">sunt regionum, Descriptio Insularum Aquilonis, &amp;c., has</w:t></w:r>
</w:p>
<w:p>
<w:pPr><w:pStyle w:val="Normal"/></w:pPr>
<w:r><w:t xml:space="preserve">often been considered, but wrongly, as a separate work.</w:t></w:r>
</w:p>
<w:p>
<w:pPr><w:pStyle w:val="Normal"/></w:pPr>
<w:r><w:t xml:space="preserve">Ten MSS. exist, of which the chief are (1-2) Copenhagen,</w:t></w:r>
</w:p>
<w:p>
<w:pPr><w:pStyle w:val="Normal"/></w:pPr>
<w:r><w:t xml:space="preserve">Royal Library, Old Royal Collection, No. 2296, of 12th to</w:t></w:r>
</w:p>
<w:p>
<w:pPr><w:pStyle w:val="Normal"/></w:pPr>
<w:r><w:t xml:space="preserve">13th cents.; No. 718, of 15th cent.; (3) Leyden University,</w:t></w:r>
</w:p>
<w:p>
<w:pPr><w:pStyle w:val="Normal"/></w:pPr>
<w:r><w:t xml:space="preserve">Voss.  Lat. 123, of 11th cent.; (4) Rome, Vatican Library,</w:t></w:r>
</w:p>
<w:p>
<w:pPr><w:pStyle w:val="Normal"/></w:pPr>
<w:r><w:t xml:space="preserve">2010; (5) Vienna, Hofu.  Staatsbibliothek, 413, of 13th cent.;</w:t></w:r>
</w:p>
<w:p>
<w:pPr><w:pStyle w:val="Normal"/></w:pPr>
<w:r><w:t xml:space="preserve">(6) Wolfenbuttel, Ducal Library, Gud. 83, of 15th cent.</w:t></w:r>
</w:p>
<w:p>
<w:pPr><w:pStyle w:val="Normal"/></w:pPr>
<w:r><w:t xml:space="preserve">There are 15 editions of the Historia, in whole or part; the</w:t></w:r>
</w:p>
<w:p>
<w:pPr><w:pStyle w:val="Normal"/></w:pPr>
<w:r><w:t xml:space="preserve">first published at Copenhagen, 1579 (the first of the Libellus</w:t></w:r>
</w:p>
<w:p>
<w:pPr><w:pStyle w:val="Normal"/></w:pPr>
<w:r><w:t xml:space="preserve">or Descriptio Ins. Aquil. appeared at Stockholm in 1615),</w:t></w:r>
</w:p>
<w:p>
<w:pPr><w:pStyle w:val="Normal"/></w:pPr>
<w:r><w:t xml:space="preserve">the best at Hanover, 1846 (by Lappenberg, in Scriptores Rerum</w:t></w:r>
</w:p>
<w:p>
<w:pPr><w:pStyle w:val="Normal"/></w:pPr>
<w:r><w:t xml:space="preserve">Germanicarum; reissued by L. Weiland, 1876), and at Paris,</w:t></w:r>
</w:p>
<w:p>
<w:pPr><w:pStyle w:val="Normal"/></w:pPr>
<w:r><w:t xml:space="preserve">1884 (in Migne&apos;s Patrologia Latina, cxlvi.).  There are</w:t></w:r>
</w:p>
<w:p>
<w:pPr><w:pStyle w:val="Normal"/></w:pPr>
<w:r><w:t xml:space="preserve">also three German versions, and one Danish; the best is by J.</w:t></w:r>
</w:p>
<w:p>
<w:pPr><w:pStyle w:val="Heading1"/></w:pPr>
<w:r><w:t>C. M. Laurent (and W. Wattenbach) in Geschichtsschreiber d.</w:t></w:r>
</w:p>
<w:p>
<w:pPr><w:pStyle w:val="Normal"/></w:pPr>
<w:r><w:t xml:space="preserve">deutsch.  Vorzeit, part vii. (1850 and 1888) . See also J.</w:t></w:r>
</w:p>
<w:p>
<w:pPr><w:pStyle w:val="Normal"/></w:pPr>
<w:r><w:t xml:space="preserve">Asmussen, De fontibus Adami Bremensis, 1834; Lappenberg in</w:t></w:r>
</w:p>
<w:p>
<w:pPr><w:pStyle w:val="Normal"/></w:pPr>
<w:r><w:t xml:space="preserve">Pertz, Archiv, vi, 770; Aug. Bernard, De Adamo Bremensi (Paris,</w:t></w:r>
</w:p>
<w:p>
<w:pPr><w:pStyle w:val="Normal"/></w:pPr>
<w:r><w:t xml:space="preserve">1895); Beazley, Dawn of Modern Geography, ii. 514-548 (1901).</w:t></w:r>
</w:p>
<w:p>
<w:pPr><w:pStyle w:val="Normal"/></w:pPr>
<w:r><w:t xml:space="preserve">ADAM (or ADAN) DE LE HALE (died c. 1288), French</w:t></w:r>
</w:p>
<w:p>
<w:pPr><w:pStyle w:val="Normal"/></w:pPr>
<w:r><w:t xml:space="preserve">trouvere, was born at Arras.  His patronymic is generally</w:t></w:r>
</w:p>
<w:p>
<w:pPr><w:pStyle w:val="Normal"/></w:pPr>
<w:r><w:t xml:space="preserve">modernized to La Halle, and he was commonly known to his</w:t></w:r>
</w:p>
<w:p>
<w:pPr><w:pStyle w:val="Normal"/></w:pPr>
<w:r><w:t xml:space="preserve">contemporaries as Adam d&apos;Arras or Adam le Bossu, sometimes</w:t></w:r>
</w:p>
<w:p>
<w:pPr><w:pStyle w:val="Normal"/></w:pPr>
<w:r><w:t xml:space="preserve">simply as Le Bossu d&apos;Arras.  His father, Henri de le Hale,</w:t></w:r>
</w:p>
<w:p>
<w:pPr><w:pStyle w:val="Normal"/></w:pPr>
<w:r><w:t xml:space="preserve">was a well-known Citizen of Arras, and Adam studied grammar,</w:t></w:r>
</w:p>
<w:p>
<w:pPr><w:pStyle w:val="Normal"/></w:pPr>
<w:r><w:t xml:space="preserve">theology and music at the Cistercian abbey of Vaucelles, near</w:t></w:r>
</w:p>
<w:p>
<w:pPr><w:pStyle w:val="Normal"/></w:pPr>
<w:r><w:t xml:space="preserve">Cambrai.  Father and son had their share in the civil</w:t></w:r>
</w:p>
<w:p>
<w:pPr><w:pStyle w:val="Normal"/></w:pPr>
<w:r><w:t xml:space="preserve">discords in Arras, and for a short time took refuge in</w:t></w:r>
</w:p>
<w:p>
<w:pPr><w:pStyle w:val="Normal"/></w:pPr>
<w:r><w:t xml:space="preserve">Douai.  Adam had been destined for the church, but renounced</w:t></w:r>
</w:p>
<w:p>
<w:pPr><w:pStyle w:val="Normal"/></w:pPr>
<w:r><w:t xml:space="preserve">this intention, and married a certain Marie, who figures</w:t></w:r>
</w:p>
<w:p>
<w:pPr><w:pStyle w:val="Normal"/></w:pPr>
<w:r><w:t xml:space="preserve">in many of his songs, rondeaux, motets and jeux-partis.</w:t></w:r>
</w:p>
<w:p>
<w:pPr><w:pStyle w:val="Normal"/></w:pPr>
<w:r><w:t xml:space="preserve">Afterwards he joined the household of Robert II., count of</w:t></w:r>
</w:p>
<w:p>
<w:pPr><w:pStyle w:val="Normal"/></w:pPr>
<w:r><w:t xml:space="preserve">Artois; and then was attached to Charles of Anjou, brother</w:t></w:r>
</w:p>
<w:p>
<w:pPr><w:pStyle w:val="Normal"/></w:pPr>
<w:r><w:t xml:space="preserve">of Charles IX., whose fortunes he followed in Egypt, Syria,</w:t></w:r>
</w:p>
<w:p>
<w:pPr><w:pStyle w:val="Normal"/></w:pPr>
<w:r><w:t xml:space="preserve">Palestine and Italy.  At the court of Charles, after he</w:t></w:r>
</w:p>
<w:p>
<w:pPr><w:pStyle w:val="Normal"/></w:pPr>
<w:r><w:t xml:space="preserve">became king of Naples, he wrote his Jeu de Robin et Marion,</w:t></w:r>
</w:p>
<w:p>
<w:pPr><w:pStyle w:val="Normal"/></w:pPr>
<w:r><w:t xml:space="preserve">the most famous of his works.  He died between 1285 and</w:t></w:r>
</w:p>
<w:p>
<w:pPr><w:pStyle w:val="Normal"/></w:pPr>
<w:r><w:t xml:space="preserve">1288.  Adam&apos;s shorter pieces are accompanied by music, of which</w:t></w:r>
</w:p>
<w:p>
<w:pPr><w:pStyle w:val="Normal"/></w:pPr>
<w:r><w:t xml:space="preserve">a transcript in modern notation, with the original score, is</w:t></w:r>
</w:p>
<w:p>
<w:pPr><w:pStyle w:val="Normal"/></w:pPr>
<w:r><w:t xml:space="preserve">given in Coussemaker&apos;s edition.  His Jeu de Robin et Marion</w:t></w:r>
</w:p>
<w:p>
<w:pPr><w:pStyle w:val="Normal"/></w:pPr>
<w:r><w:t xml:space="preserve">is cited as the earliest French play with music on a secular</w:t></w:r>
</w:p>
<w:p>
<w:pPr><w:pStyle w:val="Normal"/></w:pPr>
<w:r><w:t xml:space="preserve">subject.  The pastoral, which tells how Marion resisted the</w:t></w:r>
</w:p>
<w:p>
<w:pPr><w:pStyle w:val="Normal"/></w:pPr>
<w:r><w:t xml:space="preserve">knight, and remained faithful to Robert the shepherd, is based</w:t></w:r>
</w:p>
<w:p>
<w:pPr><w:pStyle w:val="Normal"/></w:pPr>
<w:r><w:t xml:space="preserve">on an old chanson, Robin m&apos;aime, Robin m&apos;a. It consists</w:t></w:r>
</w:p>
<w:p>
<w:pPr><w:pStyle w:val="Normal"/></w:pPr>
<w:r><w:t xml:space="preserve">of dialogue varied by refrains already current in popular</w:t></w:r>
</w:p>
<w:p>
<w:pPr><w:pStyle w:val="Normal"/></w:pPr>
<w:r><w:t xml:space="preserve">song.  The melodies to which these are set have the character</w:t></w:r>
</w:p>
<w:p>
<w:pPr><w:pStyle w:val="Normal"/></w:pPr>
<w:r><w:t xml:space="preserve">of folk-music, and are more spontaneous and melodious than</w:t></w:r>
</w:p>
<w:p>
<w:pPr><w:pStyle w:val="Normal"/></w:pPr>
<w:r><w:t xml:space="preserve">the more elaborate music of his songs and motets.  A modern</w:t></w:r>
</w:p>
<w:p>
<w:pPr><w:pStyle w:val="Normal"/></w:pPr>
<w:r><w:t xml:space="preserve">adaptation, by Julien Tiersot, was played at Arras by a</w:t></w:r>
</w:p>
<w:p>
<w:pPr><w:pStyle w:val="Normal"/></w:pPr>
<w:r><w:t xml:space="preserve">company from the Paris Opera Comique on the occasion of a</w:t></w:r>
</w:p>
<w:p>
<w:pPr><w:pStyle w:val="Normal"/></w:pPr>
<w:r><w:t xml:space="preserve">festival in 1896 in honour of Adam de le Hale.  His other</w:t></w:r>
</w:p>
<w:p>
<w:pPr><w:pStyle w:val="Normal"/></w:pPr>
<w:r><w:t xml:space="preserve">play, Le jeu Adan or Le jeu de la Feuillee (c. 1262),</w:t></w:r>
</w:p>
<w:p>
<w:pPr><w:pStyle w:val="Normal"/></w:pPr>
<w:r><w:t xml:space="preserve">is a satirical drama in which he introduces himself, his father</w:t></w:r>
</w:p>
<w:p>
<w:pPr><w:pStyle w:val="Normal"/></w:pPr>
<w:r><w:t xml:space="preserve">and the citizens of Arras with their peculiarities.  His works</w:t></w:r>
</w:p>
<w:p>
<w:pPr><w:pStyle w:val="Normal"/></w:pPr>
<w:r><w:t xml:space="preserve">include a Conge, or satirical farewell to the city of Arras,</w:t></w:r>
</w:p>
<w:p>
<w:pPr><w:pStyle w:val="Normal"/></w:pPr>
<w:r><w:t xml:space="preserve">and an unfinished chanson de geste in honour of Charles</w:t></w:r>
</w:p>
<w:p>
<w:pPr><w:pStyle w:val="Normal"/></w:pPr>
<w:r><w:t xml:space="preserve">of Anjou, Le roi de Sicile, begun in 1282; another short</w:t></w:r>
</w:p>
<w:p>
<w:pPr><w:pStyle w:val="Normal"/></w:pPr>
<w:r><w:t xml:space="preserve">piece, Le jeu du pelerin, is sometimes attributed to him.</w:t></w:r>
</w:p>
<w:p>
<w:pPr><w:pStyle w:val="Normal"/></w:pPr>
<w:r><w:t xml:space="preserve">The only MS. which contains the whole of Adam&apos;s work is</w:t></w:r>
</w:p>
<w:p>
<w:pPr><w:pStyle w:val="Normal"/></w:pPr>
<w:r><w:t xml:space="preserve">the La Valliere MS. (No. 25,566) in the Bibliotheque</w:t></w:r>
</w:p>
<w:p>
<w:pPr><w:pStyle w:val="Normal"/></w:pPr>
<w:r><w:t xml:space="preserve">Nationale, Paris, dating from the latter half of the 13th</w:t></w:r>
</w:p>
<w:p>
<w:pPr><w:pStyle w:val="Normal"/></w:pPr>
<w:r><w:t xml:space="preserve">century.  Many of his pieces are also contained in Douce MS.</w:t></w:r>
</w:p>
<w:p>
<w:pPr><w:pStyle w:val="Normal"/></w:pPr>
<w:r><w:t xml:space="preserve">308, in the Bodleian Library, Oxford.  His OEuvres completes</w:t></w:r>
</w:p>
<w:p>
<w:pPr><w:pStyle w:val="Normal"/></w:pPr>
<w:r><w:t xml:space="preserve">(1872) were edited by E. de Coussemaker.  See also an article</w:t></w:r>
</w:p>
<w:p>
<w:pPr><w:pStyle w:val="Normal"/></w:pPr>
<w:r><w:t xml:space="preserve">by Paulin Paris in the Histoire litteraire de La France</w:t></w:r>
</w:p>
<w:p>
<w:pPr><w:pStyle w:val="Normal"/></w:pPr>
<w:r><w:t xml:space="preserve">(vol. xx. pp. 638-675); G. Raynaud, Recueil des motets</w:t></w:r>
</w:p>
<w:p>
<w:pPr><w:pStyle w:val="Normal"/></w:pPr>
<w:r><w:t xml:space="preserve">francais des XIIe et XIIIe siecles (1882); Canchons</w:t></w:r>
</w:p>
<w:p>
<w:pPr><w:pStyle w:val="Normal"/></w:pPr>
<w:r><w:t xml:space="preserve">et Partures des . . . Adan delle Hale (Halle, 1900),</w:t></w:r>
</w:p>
<w:p>
<w:pPr><w:pStyle w:val="Normal"/></w:pPr>
<w:r><w:t xml:space="preserve">a critical edition by Rudolf Berger; an edition of Adam&apos;s</w:t></w:r>
</w:p>
<w:p>
<w:pPr><w:pStyle w:val="Normal"/></w:pPr>
<w:r><w:t xml:space="preserve">two jeux in Monmerque and Michel&apos;s Theatre francais</w:t></w:r>
</w:p>
<w:p>
<w:pPr><w:pStyle w:val="Normal"/></w:pPr>
<w:r><w:t xml:space="preserve">au moyen age (1842); E. Langlois, Le jeu de Robin et</w:t></w:r>
</w:p>
<w:p>
<w:pPr><w:pStyle w:val="Normal"/></w:pPr>
<w:r><w:t xml:space="preserve">Marion (1896), with a translation in modern French; A.</w:t></w:r>
</w:p>
<w:p>
<w:pPr><w:pStyle w:val="Normal"/></w:pPr>
<w:r><w:t xml:space="preserve">Guesnon, La Satire a Arras au XIIIe, siecle (1900); and</w:t></w:r>
</w:p>
<w:p>
<w:pPr><w:pStyle w:val="Normal"/></w:pPr>
<w:r><w:t xml:space="preserve">a full bibliography of works on the subject in No. 6 of the</w:t></w:r>
</w:p>
<w:p>
<w:pPr><w:pStyle w:val="Normal"/></w:pPr>
<w:r><w:t xml:space="preserve">Bibliotheque de bibliographies critiques, by Henri Guy.</w:t></w:r>
</w:p>
<w:p>
<w:pPr><w:pStyle w:val="Normal"/></w:pPr>
<w:r><w:t xml:space="preserve">ADAM, ALEXANDER (1741-1809), Scottish writer on Roman</w:t></w:r>
</w:p>
<w:p>
<w:pPr><w:pStyle w:val="Normal"/></w:pPr>
<w:r><w:t xml:space="preserve">antiquities, was born on the 24th of June 1741, near Forres, in</w:t></w:r>
</w:p>
<w:p>
<w:pPr><w:pStyle w:val="Normal"/></w:pPr>
<w:r><w:t xml:space="preserve">Morayshire.  From his earliest years he showed uncommon diligence</w:t></w:r>
</w:p>
<w:p>
<w:pPr><w:pStyle w:val="Normal"/></w:pPr>
<w:r><w:t xml:space="preserve">and perseverance in classical studies, notwithstanding many</w:t></w:r>
</w:p>
<w:p>
<w:pPr><w:pStyle w:val="Normal"/></w:pPr>
<w:r><w:t xml:space="preserve">difficulties and privations.  In 1757 he went to Edinburgh,</w:t></w:r>
</w:p>
<w:p>
<w:pPr><w:pStyle w:val="Normal"/></w:pPr>
<w:r><w:t xml:space="preserve">where he studied at the university.  His reputation as a</w:t></w:r>
</w:p>
<w:p>
<w:pPr><w:pStyle w:val="Normal"/></w:pPr>
<w:r><w:t xml:space="preserve">classical scholar secured him a post as assistant at Watson&apos;s</w:t></w:r>
</w:p>
<w:p>
<w:pPr><w:pStyle w:val="Normal"/></w:pPr>
<w:r><w:t xml:space="preserve">Hospital and the headmastership in 1761.  In 1764 he became</w:t></w:r>
</w:p>
<w:p>
<w:pPr><w:pStyle w:val="Normal"/></w:pPr>
<w:r><w:t xml:space="preserve">private tutor to Mr Kincaid, afterwards Lord Provost of</w:t></w:r>
</w:p>
<w:p>
<w:pPr><w:pStyle w:val="Normal"/></w:pPr>
<w:r><w:t xml:space="preserve">Edinburgh, by whose influence he was appointed (in 1768) to the</w:t></w:r>
</w:p>
<w:p>
<w:pPr><w:pStyle w:val="Normal"/></w:pPr>
<w:r><w:t xml:space="preserve">rectorship of the High School on the retirement of Mr Matheson,</w:t></w:r>
</w:p>
<w:p>
<w:pPr><w:pStyle w:val="Normal"/></w:pPr>
<w:r><w:t xml:space="preserve">whose substitute he had been for some time before.  From this</w:t></w:r>
</w:p>
<w:p>
<w:pPr><w:pStyle w:val="Normal"/></w:pPr>
<w:r><w:t xml:space="preserve">period he devoted himself entirely to the duties of his office</w:t></w:r>
</w:p>
<w:p>
<w:pPr><w:pStyle w:val="Normal"/></w:pPr>
<w:r><w:t xml:space="preserve">and to the preparation of his numerous works on classical</w:t></w:r>
</w:p>
<w:p>
<w:pPr><w:pStyle w:val="Normal"/></w:pPr>
<w:r><w:t xml:space="preserve">literature.  His popularity and success as a teacher are</w:t></w:r>
</w:p>
<w:p>
<w:pPr><w:pStyle w:val="Normal"/></w:pPr>
<w:r><w:t xml:space="preserve">strikingly illustrated by the great increase in the number</w:t></w:r>
</w:p>
<w:p>
<w:pPr><w:pStyle w:val="Normal"/></w:pPr>
<w:r><w:t xml:space="preserve">of his pupils, many of whom subsequently became distinguished</w:t></w:r>
</w:p>
<w:p>
<w:pPr><w:pStyle w:val="Normal"/></w:pPr>
<w:r><w:t xml:space="preserve">men, among them being Sir Walter Scott, Lord Brougham and</w:t></w:r>
</w:p>
<w:p>
<w:pPr><w:pStyle w:val="Normal"/></w:pPr>
<w:r><w:t xml:space="preserve">Jeffrey.  He succeeded in introducing the study of Greek into</w:t></w:r>
</w:p>
<w:p>
<w:pPr><w:pStyle w:val="Normal"/></w:pPr>
<w:r><w:t xml:space="preserve">the curriculum of the school, notwithstanding the opposition</w:t></w:r>
</w:p>
<w:p>
<w:pPr><w:pStyle w:val="Normal"/></w:pPr>
<w:r><w:t xml:space="preserve">of the university headed by Principal Robertson.  In 1780 the</w:t></w:r>
</w:p>
<w:p>
<w:pPr><w:pStyle w:val="Normal"/></w:pPr>
<w:r><w:t xml:space="preserve">university of Edinburgh conferred upon him the honorary degree</w:t></w:r>
</w:p>
<w:p>
<w:pPr><w:pStyle w:val="Normal"/></w:pPr>
<w:r><w:t xml:space="preserve">of Doctor of Laws.  He died on the 18th of December 1809,</w:t></w:r>
</w:p>
<w:p>
<w:pPr><w:pStyle w:val="Normal"/></w:pPr>
<w:r><w:t xml:space="preserve">after an illness of five days, during which he occasionally</w:t></w:r>
</w:p>
<w:p>
<w:pPr><w:pStyle w:val="Normal"/></w:pPr>
<w:r><w:t xml:space="preserve">imagined himself still at work, his last words being, ``It</w:t></w:r>
</w:p>
<w:p>
<w:pPr><w:pStyle w:val="Normal"/></w:pPr>
<w:r><w:t xml:space="preserve">grows dark, boys, you may go.&apos;&apos; Dr Adam&apos;s first publication</w:t></w:r>
</w:p>
<w:p>
<w:pPr><w:pStyle w:val="Normal"/></w:pPr>
<w:r><w:t xml:space="preserve">was his Principles of Latin and English Grammar (1772),</w:t></w:r>
</w:p>
<w:p>
<w:pPr><w:pStyle w:val="Normal"/></w:pPr>
<w:r><w:t xml:space="preserve">which, being written in English instead of Latin, brought down</w:t></w:r>
</w:p>
<w:p>
<w:pPr><w:pStyle w:val="Normal"/></w:pPr>
<w:r><w:t xml:space="preserve">a storm of abuse upon him.  This was followed by his Roman</w:t></w:r>
</w:p>
<w:p>
<w:pPr><w:pStyle w:val="Normal"/></w:pPr>
<w:r><w:t xml:space="preserve">Antiquities (1791), A Summary of Geography and History</w:t></w:r>
</w:p>
<w:p>
<w:pPr><w:pStyle w:val="Normal"/></w:pPr>
<w:r><w:t xml:space="preserve">(1794) and a Compendious Dictionary of the Latin Tongue</w:t></w:r>
</w:p>
<w:p>
<w:pPr><w:pStyle w:val="Normal"/></w:pPr>
<w:r><w:t xml:space="preserve">(1805).  The MS. of a projected larger Latin dictionary,</w:t></w:r>
</w:p>
<w:p>
<w:pPr><w:pStyle w:val="Normal"/></w:pPr>
<w:r><w:t xml:space="preserve">which he did not live to complete, lies in the library of</w:t></w:r>
</w:p>
<w:p>
<w:pPr><w:pStyle w:val="Normal"/></w:pPr>
<w:r><w:t xml:space="preserve">the High School.  His best work was his Roman Antiquities,</w:t></w:r>
</w:p>
<w:p>
<w:pPr><w:pStyle w:val="Normal"/></w:pPr>
<w:r><w:t xml:space="preserve">which has passed through a large number of editions and</w:t></w:r>
</w:p>
<w:p>
<w:pPr><w:pStyle w:val="Normal"/></w:pPr>
<w:r><w:t xml:space="preserve">received the unusual compliment of a German translation.</w:t></w:r>
</w:p>
<w:p>
<w:pPr><w:pStyle w:val="Normal"/></w:pPr>
<w:r><w:t xml:space="preserve">See An Account of the Life and Character of A. A., by A. Henderson (1810).</w:t></w:r>
</w:p>
<w:p>
<w:pPr><w:pStyle w:val="Normal"/></w:pPr>
<w:r><w:t xml:space="preserve">ADAM, SIR FREDERICK (1781--1853), British general, was the</w:t></w:r>
</w:p>
<w:p>
<w:pPr><w:pStyle w:val="Normal"/></w:pPr>
<w:r><w:t xml:space="preserve">son of the Rt. Hon. W. Adam of Blair-Adam, lord-lieutenant of</w:t></w:r>
</w:p>
<w:p>
<w:pPr><w:pStyle w:val="Normal"/></w:pPr>
<w:r><w:t xml:space="preserve">Kinross-shire.  He was gazetted an ensign at the age of</w:t></w:r>
</w:p>
<w:p>
<w:pPr><w:pStyle w:val="Normal"/></w:pPr>
<w:r><w:t xml:space="preserve">fourteen and was subsequently educated at Woolwich.  He became</w:t></w:r>
</w:p>
<w:p>
<w:pPr><w:pStyle w:val="Normal"/></w:pPr>
<w:r><w:t xml:space="preserve">captain in 1799, and served with the Coldstream Guards in Egypt</w:t></w:r>
</w:p>
<w:p>
<w:pPr><w:pStyle w:val="Normal"/></w:pPr>
<w:r><w:t xml:space="preserve">(1801).  In 1805, having purchased the intermediate steps of</w:t></w:r>
</w:p>
<w:p>
<w:pPr><w:pStyle w:val="Normal"/></w:pPr>
<w:r><w:t xml:space="preserve">promotion, he obtained command of the 21st Foot, with which</w:t></w:r>
</w:p>
<w:p>
<w:pPr><w:pStyle w:val="Normal"/></w:pPr>
<w:r><w:t xml:space="preserve">regiment he served in the Mediterranean from 1805 to 1813, taking</w:t></w:r>
</w:p>
<w:p>
<w:pPr><w:pStyle w:val="Heading1"/></w:pPr>
<w:r><w:t>part in the battle of Maida in 1806.  In 1813 he accompanied</w:t></w:r>
</w:p>
<w:p>
<w:pPr><w:pStyle w:val="Normal"/></w:pPr>
<w:r><w:t xml:space="preserve">the British corps sent to Catalonia, in which he commanded a</w:t></w:r>
</w:p>
<w:p>
<w:pPr><w:pStyle w:val="Normal"/></w:pPr>
<w:r><w:t xml:space="preserve">brigade.  He fought a gallant action at Biar (April 12,</w:t></w:r>
</w:p>
<w:p>
<w:pPr><w:pStyle w:val="Normal"/></w:pPr>
<w:r><w:t xml:space="preserve">1813), and on the following day won further distinction at</w:t></w:r>
</w:p>
<w:p>
<w:pPr><w:pStyle w:val="Normal"/></w:pPr>
<w:r><w:t xml:space="preserve">Castalla.  In the action of Ordal, on the 12th of September,</w:t></w:r>
</w:p>
<w:p>
<w:pPr><w:pStyle w:val="Normal"/></w:pPr>
<w:r><w:t xml:space="preserve">Adam received two severe wounds.  He returned to England</w:t></w:r>
</w:p>
<w:p>
<w:pPr><w:pStyle w:val="Normal"/></w:pPr>
<w:r><w:t xml:space="preserve">to recover, and was made a major-general in 1814.  At</w:t></w:r>
</w:p>
<w:p>
<w:pPr><w:pStyle w:val="Normal"/></w:pPr>
<w:r><w:t xml:space="preserve">Waterloo, Adam&apos;s brigade, of which the 52nd under Colborne</w:t></w:r>
</w:p>
<w:p>
<w:pPr><w:pStyle w:val="Normal"/></w:pPr>
<w:r><w:t xml:space="preserve">(see SEATON, LORD) formed part, shared with the Guards</w:t></w:r>
</w:p>
<w:p>
<w:pPr><w:pStyle w:val="Normal"/></w:pPr>
<w:r><w:t xml:space="preserve">the honour of repulsing the Old Guard.  For his services he</w:t></w:r>
</w:p>
<w:p>
<w:pPr><w:pStyle w:val="Normal"/></w:pPr>
<w:r><w:t xml:space="preserve">was made a K.C.B., and received also Austrian and Russian</w:t></w:r>
</w:p>
<w:p>
<w:pPr><w:pStyle w:val="Normal"/></w:pPr>
<w:r><w:t xml:space="preserve">orders.  During the long peace which followed, Sir Frederick</w:t></w:r>
</w:p>
<w:p>
<w:pPr><w:pStyle w:val="Normal"/></w:pPr>
<w:r><w:t xml:space="preserve">Adam was successively employed at Malta, in the Ionian</w:t></w:r>
</w:p>
<w:p>
<w:pPr><w:pStyle w:val="Normal"/></w:pPr>
<w:r><w:t xml:space="preserve">Islands as lord high commissioner (1824-1831) and from 1832</w:t></w:r>
</w:p>
<w:p>
<w:pPr><w:pStyle w:val="Normal"/></w:pPr>
<w:r><w:t xml:space="preserve">to 1837 as governor of Madras.  He became K.C.M.G. in 1820,</w:t></w:r>
</w:p>
<w:p>
<w:pPr><w:pStyle w:val="Normal"/></w:pPr>
<w:r><w:t xml:space="preserve">G.C.M.G. four years later, lieutenant-general in 1830, a</w:t></w:r>
</w:p>
<w:p>
<w:pPr><w:pStyle w:val="Normal"/></w:pPr>
<w:r><w:t xml:space="preserve">privy councillor in 1831, G.C.B. in 1840, and full general</w:t></w:r>
</w:p>
<w:p>
<w:pPr><w:pStyle w:val="Normal"/></w:pPr>
<w:r><w:t xml:space="preserve">in 1846.  He died suddenly on the 17th of August 1853.</w:t></w:r>
</w:p>
<w:p>
<w:pPr><w:pStyle w:val="Normal"/></w:pPr>
<w:r><w:t xml:space="preserve">ADAM, JULIETTE (1836-- ), Freneh writer, known also by her</w:t></w:r>
</w:p>
<w:p>
<w:pPr><w:pStyle w:val="Normal"/></w:pPr>
<w:r><w:t xml:space="preserve">maiden name of Juliette Lamber, was born at Verberie (Oise)</w:t></w:r>
</w:p>
<w:p>
<w:pPr><w:pStyle w:val="Normal"/></w:pPr>
<w:r><w:t xml:space="preserve">on the 4th of October 1836.  She has given an account of</w:t></w:r>
</w:p>
<w:p>
<w:pPr><w:pStyle w:val="Normal"/></w:pPr>
<w:r><w:t xml:space="preserve">her childhood, rendered unhappy by the dissensions of her</w:t></w:r>
</w:p>
<w:p>
<w:pPr><w:pStyle w:val="Normal"/></w:pPr>
<w:r><w:t xml:space="preserve">parents, in Le roman de mon enfance et de ma jeunesse (Eng.</w:t></w:r>
</w:p>
<w:p>
<w:pPr><w:pStyle w:val="Normal"/></w:pPr>
<w:r><w:t xml:space="preserve">trans., London and New York, 1902).  In 1852 she married a</w:t></w:r>
</w:p>
<w:p>
<w:pPr><w:pStyle w:val="Normal"/></w:pPr>
<w:r><w:t xml:space="preserve">doctor named La Messine, and published in 1858 her Idees</w:t></w:r>
</w:p>
<w:p>
<w:pPr><w:pStyle w:val="Normal"/></w:pPr>
<w:r><w:t xml:space="preserve">antiproudhoniennes sur l&apos;amour, la femme et le mariage,</w:t></w:r>
</w:p>
<w:p>
<w:pPr><w:pStyle w:val="Normal"/></w:pPr>
<w:r><w:t xml:space="preserve">in defence of Daniel Stern (Mme. d&apos;Agoult) and George</w:t></w:r>
</w:p>
<w:p>
<w:pPr><w:pStyle w:val="Normal"/></w:pPr>
<w:r><w:t xml:space="preserve">Sand.  On her husband&apos;s death she married in 1868 Antoine</w:t></w:r>
</w:p>
<w:p>
<w:pPr><w:pStyle w:val="Normal"/></w:pPr>
<w:r><w:t xml:space="preserve">Edmond Adam (1816--1877), prefect of police in 1870, and</w:t></w:r>
</w:p>
<w:p>
<w:pPr><w:pStyle w:val="Normal"/></w:pPr>
<w:r><w:t xml:space="preserve">subsequently life-senator; and she established a salon which</w:t></w:r>
</w:p>
<w:p>
<w:pPr><w:pStyle w:val="Normal"/></w:pPr>
<w:r><w:t xml:space="preserve">was frequented by Gambetta and the other republican leaders</w:t></w:r>
</w:p>
<w:p>
<w:pPr><w:pStyle w:val="Normal"/></w:pPr>
<w:r><w:t xml:space="preserve">against the conservative reaction of the &apos;seventies.  In the</w:t></w:r>
</w:p>
<w:p>
<w:pPr><w:pStyle w:val="Normal"/></w:pPr>
<w:r><w:t xml:space="preserve">same interest she founded in 1879 the Nouvelle Revue, which</w:t></w:r>
</w:p>
<w:p>
<w:pPr><w:pStyle w:val="Normal"/></w:pPr>
<w:r><w:t xml:space="preserve">she edited for the first eight years, and in the administration</w:t></w:r>
</w:p>
<w:p>
<w:pPr><w:pStyle w:val="Normal"/></w:pPr>
<w:r><w:t xml:space="preserve">of which she retained a preponderating influence until</w:t></w:r>
</w:p>
<w:p>
<w:pPr><w:pStyle w:val="Normal"/></w:pPr>
<w:r><w:t xml:space="preserve">1899.  She wrote the notes on foreign politics, and was</w:t></w:r>
</w:p>
<w:p>
<w:pPr><w:pStyle w:val="Normal"/></w:pPr>
<w:r><w:t xml:space="preserve">unremitting in her attacks on Bismarck and in her advocacy</w:t></w:r>
</w:p>
<w:p>
<w:pPr><w:pStyle w:val="Normal"/></w:pPr>
<w:r><w:t xml:space="preserve">of a policy of revanche. Mme. Adam was also generally</w:t></w:r>
</w:p>
<w:p>
<w:pPr><w:pStyle w:val="Normal"/></w:pPr>
<w:r><w:t xml:space="preserve">credited with the authorship of papers on various European</w:t></w:r>
</w:p>
<w:p>
<w:pPr><w:pStyle w:val="Normal"/></w:pPr>
<w:r><w:t xml:space="preserve">capitals signed ``Paul Vasili,&apos;&apos; which were in reality the</w:t></w:r>
</w:p>
<w:p>
<w:pPr><w:pStyle w:val="Normal"/></w:pPr>
<w:r><w:t xml:space="preserve">work of various writers.  The most famous of her numerous</w:t></w:r>
</w:p>
<w:p>
<w:pPr><w:pStyle w:val="Normal"/></w:pPr>
<w:r><w:t xml:space="preserve">novels is Paienne (1883).  Her reminiscences, Mes</w:t></w:r>
</w:p>
<w:p>
<w:pPr><w:pStyle w:val="Normal"/></w:pPr>
<w:r><w:t xml:space="preserve">premieres armes litteraires et politiques (1904) and Mes</w:t></w:r>
</w:p>
<w:p>
<w:pPr><w:pStyle w:val="Normal"/></w:pPr>
<w:r><w:t xml:space="preserve">sentiments et nos idees avant 1870 (1905), contain much</w:t></w:r>
</w:p>
<w:p>
<w:pPr><w:pStyle w:val="Normal"/></w:pPr>
<w:r><w:t xml:space="preserve">interesting gossip about her distinguished contemporaries.</w:t></w:r>
</w:p>
<w:p>
<w:pPr><w:pStyle w:val="Normal"/></w:pPr>
<w:r><w:t xml:space="preserve">ADAM, LAMBERT SIGISBERT (1700-1759), French sculptor, known</w:t></w:r>
</w:p>
<w:p>
<w:pPr><w:pStyle w:val="Normal"/></w:pPr>
<w:r><w:t xml:space="preserve">as Adam l&apos;aine, was born in Nancy, son of Jacob Sigisbert</w:t></w:r>
</w:p>
<w:p>
<w:pPr><w:pStyle w:val="Normal"/></w:pPr>
<w:r><w:t xml:space="preserve">Adam, a sculptor of little repute.  Adam was thirty-seven</w:t></w:r>
</w:p>
<w:p>
<w:pPr><w:pStyle w:val="Normal"/></w:pPr>
<w:r><w:t xml:space="preserve">when, on his election to the Academy, he exhibited at the Salon</w:t></w:r>
</w:p>
<w:p>
<w:pPr><w:pStyle w:val="Normal"/></w:pPr>
<w:r><w:t xml:space="preserve">the model of the group of ``Neptune and Amphitrite&apos;&apos; for the</w:t></w:r>
</w:p>
<w:p>
<w:pPr><w:pStyle w:val="Normal"/></w:pPr>
<w:r><w:t xml:space="preserve">centre of the fountain at Versailles, and thereafter found</w:t></w:r>
</w:p>
<w:p>
<w:pPr><w:pStyle w:val="Normal"/></w:pPr>
<w:r><w:t xml:space="preserve">much employment in the decoration of the royal residences.</w:t></w:r>
</w:p>
<w:p>
<w:pPr><w:pStyle w:val="Normal"/></w:pPr>
<w:r><w:t xml:space="preserve">Among his more important works are ``Nymphs and Tritons,&apos;&apos;</w:t></w:r>
</w:p>
<w:p>
<w:pPr><w:pStyle w:val="Normal"/></w:pPr>
<w:r><w:t xml:space="preserve">``The Triumph of Neptune stilling the Waves,&apos;&apos; ``Hunter with</w:t></w:r>
</w:p>
<w:p>
<w:pPr><w:pStyle w:val="Normal"/></w:pPr>
<w:r><w:t xml:space="preserve">Lion in his Net,&apos;&apos; a relief for the chapel of St Adelaide,</w:t></w:r>
</w:p>
<w:p>
<w:pPr><w:pStyle w:val="Normal"/></w:pPr>
<w:r><w:t xml:space="preserve">``The Seine and the Marne&apos;&apos; in stone for St Cloud, ``Hunting&apos;&apos;</w:t></w:r>
</w:p>
<w:p>
<w:pPr><w:pStyle w:val="Normal"/></w:pPr>
<w:r><w:t xml:space="preserve">and ``Fishing,&apos;&apos; marble groups for Berlin, ``Mars embraced</w:t></w:r>
</w:p>
<w:p>
<w:pPr><w:pStyle w:val="Normal"/></w:pPr>
<w:r><w:t xml:space="preserve">by Love&apos;&apos; and ``The enthusiasm of Poetry.&apos;&apos; Adam restored</w:t></w:r>
</w:p>
<w:p>
<w:pPr><w:pStyle w:val="Normal"/></w:pPr>
<w:r><w:t xml:space="preserve">with much ability the twelve statues (Lycomedes) found in the</w:t></w:r>
</w:p>
<w:p>
<w:pPr><w:pStyle w:val="Normal"/></w:pPr>
<w:r><w:t xml:space="preserve">so-called Villa of Marius at Rome, and was elected a member</w:t></w:r>
</w:p>
<w:p>
<w:pPr><w:pStyle w:val="Normal"/></w:pPr>
<w:r><w:t xml:space="preserve">of the Academy of St Luke.  Several of his most important</w:t></w:r>
</w:p>
<w:p>
<w:pPr><w:pStyle w:val="Normal"/></w:pPr>
<w:r><w:t xml:space="preserve">works were executed for Frederick the Great in Prussia.</w:t></w:r>
</w:p>
<w:p>
<w:pPr><w:pStyle w:val="Normal"/></w:pPr>
<w:r><w:t xml:space="preserve">His brother, also a sculptor, NICOLAS SEBASTIEN ADAM</w:t></w:r>
</w:p>
<w:p>
<w:pPr><w:pStyle w:val="Normal"/></w:pPr>
<w:r><w:t xml:space="preserve">(1705-1778), known as Adam le jeune, born in Nancy, worked</w:t></w:r>
</w:p>
<w:p>
<w:pPr><w:pStyle w:val="Normal"/></w:pPr>
<w:r><w:t xml:space="preserve">under equal encouragement.  His first work of importance was</w:t></w:r>
</w:p>
<w:p>
<w:pPr><w:pStyle w:val="Normal"/></w:pPr>
<w:r><w:t xml:space="preserve">his ``Prometheus chained, devoured by a Vulture,&apos;, executed in</w:t></w:r>
</w:p>
<w:p>
<w:pPr><w:pStyle w:val="Normal"/></w:pPr>
<w:r><w:t xml:space="preserve">plaster in 1738, and carved in marble in 1763 as his ``reception</w:t></w:r>
</w:p>
<w:p>
<w:pPr><w:pStyle w:val="Normal"/></w:pPr>
<w:r><w:t xml:space="preserve">piece&apos;&apos; when he was elected into the Academy.  He produced</w:t></w:r>
</w:p>
<w:p>
<w:pPr><w:pStyle w:val="Normal"/></w:pPr>
<w:r><w:t xml:space="preserve">the reliefs of the ``Birth&apos;&apos; and ``Agony of Christ&apos;&apos; for the</w:t></w:r>
</w:p>
<w:p>
<w:pPr><w:pStyle w:val="Normal"/></w:pPr>
<w:r><w:t xml:space="preserve">Oratory in Paris, but his chief works are the ``Mausoleum of</w:t></w:r>
</w:p>
<w:p>
<w:pPr><w:pStyle w:val="Normal"/></w:pPr>
<w:r><w:t xml:space="preserve">Cardinal de Fleury&apos;&apos; and, in particular, the tomb of Catherine</w:t></w:r>
</w:p>
<w:p>
<w:pPr><w:pStyle w:val="Normal"/></w:pPr>
<w:r><w:t xml:space="preserve">Opalinska, queen of Poland (wife of King Stanislaus), at Nancy.</w:t></w:r>
</w:p>
<w:p>
<w:pPr><w:pStyle w:val="Normal"/></w:pPr>
<w:r><w:t xml:space="preserve">A third brother, FRANCOIS GASPARD BALTHASAR ADAM (1710-1761),</w:t></w:r>
</w:p>
<w:p>
<w:pPr><w:pStyle w:val="Normal"/></w:pPr>
<w:r><w:t xml:space="preserve">born in Nancy, became the first sculptor of Frederick the Great</w:t></w:r>
</w:p>
<w:p>
<w:pPr><w:pStyle w:val="Normal"/></w:pPr>
<w:r><w:t xml:space="preserve">and the head of the atelier of sculpture founded by that monarch,</w:t></w:r>
</w:p>
<w:p>
<w:pPr><w:pStyle w:val="Normal"/></w:pPr>
<w:r><w:t xml:space="preserve">and passed the greater part of his life in Berlin.  His chief</w:t></w:r>
</w:p>
<w:p>
<w:pPr><w:pStyle w:val="Normal"/></w:pPr>
<w:r><w:t xml:space="preserve">works adorn the gardens and palaces of Sans Souci and Potsdam.</w:t></w:r>
</w:p>
<w:p>
<w:pPr><w:pStyle w:val="Normal"/></w:pPr>
<w:r><w:t xml:space="preserve">The work of the brothers Adam was too ornate in style to win</w:t></w:r>
</w:p>
<w:p>
<w:pPr><w:pStyle w:val="Normal"/></w:pPr>
<w:r><w:t xml:space="preserve">the approval of the school that immediately followed them,</w:t></w:r>
</w:p>
<w:p>
<w:pPr><w:pStyle w:val="Normal"/></w:pPr>
<w:r><w:t xml:space="preserve">and found its principal opponents in Bouchardon and Pigalle.</w:t></w:r>
</w:p>
<w:p>
<w:pPr><w:pStyle w:val="Normal"/></w:pPr>
<w:r><w:t xml:space="preserve">See Dussieux, Artistes francais a l&apos;etranger (Paris, 1855,</w:t></w:r>
</w:p>
<w:p>
<w:pPr><w:pStyle w:val="Normal"/></w:pPr>
<w:r><w:t xml:space="preserve">8vo); Archives de l&apos;art francais, documents, vol. i. pp.</w:t></w:r>
</w:p>
<w:p>
<w:pPr><w:pStyle w:val="Normal"/></w:pPr>
<w:r><w:t xml:space="preserve">117-180, chiefly for; works executed for the king of Prussia;</w:t></w:r>
</w:p>
<w:p>
<w:pPr><w:pStyle w:val="Normal"/></w:pPr>
<w:r><w:t xml:space="preserve">Mariette, Abecedario; Emile de la Chavignerie and Auvray,</w:t></w:r>
</w:p>
<w:p>
<w:pPr><w:pStyle w:val="Normal"/></w:pPr>
<w:r><w:t xml:space="preserve">Dictionnaire general des artistes de l&apos;ecole francaise</w:t></w:r>
</w:p>
<w:p>
<w:pPr><w:pStyle w:val="Normal"/></w:pPr>
<w:r><w:t xml:space="preserve">(Paris, 1882), mainly for works executed; Lady Dilke, French</w:t></w:r>
</w:p>
<w:p>
<w:pPr><w:pStyle w:val="Normal"/></w:pPr>
<w:r><w:t xml:space="preserve">Architects and Sculptors of the 18th century (London, 4to, 1900).</w:t></w:r>
</w:p>
<w:p>
<w:pPr><w:pStyle w:val="Normal"/></w:pPr>
<w:r><w:t xml:space="preserve">ADAM, MELCHIOR (d. 1622), German divine and biographer, was</w:t></w:r>
</w:p>
<w:p>
<w:pPr><w:pStyle w:val="Normal"/></w:pPr>
<w:r><w:t xml:space="preserve">born at Grotkau in Silesia after 1550, and educated in the</w:t></w:r>
</w:p>
<w:p>
<w:pPr><w:pStyle w:val="Normal"/></w:pPr>
<w:r><w:t xml:space="preserve">college of Brieg, where he became a Protestant.  In 1598 he went</w:t></w:r>
</w:p>
<w:p>
<w:pPr><w:pStyle w:val="Normal"/></w:pPr>
<w:r><w:t xml:space="preserve">to Heidelberg, where he held various scholastic appointments.</w:t></w:r>
</w:p>
<w:p>
<w:pPr><w:pStyle w:val="Normal"/></w:pPr>
<w:r><w:t xml:space="preserve">He wrote the biographies of a number of German scholars of</w:t></w:r>
</w:p>
<w:p>
<w:pPr><w:pStyle w:val="Normal"/></w:pPr>
<w:r><w:t xml:space="preserve">the 16th century, mostly theologians, which were published in</w:t></w:r>
</w:p>
<w:p>
<w:pPr><w:pStyle w:val="Normal"/></w:pPr>
<w:r><w:t xml:space="preserve">Heidelberg and Frankfort (5 vols., 1615--1620).  He dealt with</w:t></w:r>
</w:p>
<w:p>
<w:pPr><w:pStyle w:val="Normal"/></w:pPr>
<w:r><w:t xml:space="preserve">only twenty divines of other countries.  All his divines are</w:t></w:r>
</w:p>
<w:p>
<w:pPr><w:pStyle w:val="Normal"/></w:pPr>
<w:r><w:t xml:space="preserve">Protestants.  His industry as a biographer is commended by P.</w:t></w:r>
</w:p>
<w:p>
<w:pPr><w:pStyle w:val="Normal"/></w:pPr>
<w:r><w:t xml:space="preserve">Bayle, who acknowledges his obligations to Adam&apos;s labours; and</w:t></w:r>
</w:p>
<w:p>
<w:pPr><w:pStyle w:val="Normal"/></w:pPr>
<w:r><w:t xml:space="preserve">his biographies, though they have faults, are still useful.</w:t></w:r>
</w:p>
<w:p>
<w:pPr><w:pStyle w:val="Normal"/></w:pPr>
<w:r><w:t xml:space="preserve">ADAM, PAUL (1862- ), French novelist, was born in Paris on</w:t></w:r>
</w:p>
<w:p>
<w:pPr><w:pStyle w:val="Normal"/></w:pPr>
<w:r><w:t xml:space="preserve">the 7th of December 1862.  He was prosecuted for his first</w:t></w:r>
</w:p>
<w:p>
<w:pPr><w:pStyle w:val="Normal"/></w:pPr>
<w:r><w:t xml:space="preserve">novel, Chair molle (1885), but was acquitted.  He collaborated</w:t></w:r>
</w:p>
<w:p>
<w:pPr><w:pStyle w:val="Normal"/></w:pPr>
<w:r><w:t xml:space="preserve">with Jean Moreas in Le the chez Miranda (1886), and with</w:t></w:r>
</w:p>
<w:p>
<w:pPr><w:pStyle w:val="Normal"/></w:pPr>
<w:r><w:t xml:space="preserve">Moreas and Gustave Kahn he founded the Symboliste, coming</w:t></w:r>
</w:p>
<w:p>
<w:pPr><w:pStyle w:val="Normal"/></w:pPr>
<w:r><w:t xml:space="preserve">forward as one of the earliest defenders of symbolism.  Among</w:t></w:r>
</w:p>
<w:p>
<w:pPr><w:pStyle w:val="Normal"/></w:pPr>
<w:r><w:t xml:space="preserve">his numerous novels should be noted Le mystere des foules</w:t></w:r>
</w:p>
<w:p>
<w:pPr><w:pStyle w:val="Normal"/></w:pPr>
<w:r><w:t xml:space="preserve">(2 vols., 1895), a study in Boulangism, Lettres de Malaisie</w:t></w:r>
</w:p>
<w:p>
<w:pPr><w:pStyle w:val="Normal"/></w:pPr>
<w:r><w:t xml:space="preserve">(1897), a fantastic romance of imaginary future politics.</w:t></w:r>
</w:p>
<w:p>
<w:pPr><w:pStyle w:val="Normal"/></w:pPr>
<w:r><w:t xml:space="preserve">In 1899 he began a novel-sequence, giving the history of the</w:t></w:r>
</w:p>
<w:p>
<w:pPr><w:pStyle w:val="Normal"/></w:pPr>
<w:r><w:t xml:space="preserve">Napoleonic campaigns, the restoration and the government of Louis</w:t></w:r>
</w:p>
<w:p>
<w:pPr><w:pStyle w:val="Normal"/></w:pPr>
<w:r><w:t xml:space="preserve">Philippe, comprising La force (1899), L&apos;enfant d&apos;Austerlitz</w:t></w:r>
</w:p>
<w:p>
<w:pPr><w:pStyle w:val="Normal"/></w:pPr>
<w:r><w:t xml:space="preserve">(1901), La ruse (1902), and Au soleil de Juillet (1903).</w:t></w:r>
</w:p>
<w:p>
<w:pPr><w:pStyle w:val="Normal"/></w:pPr>
<w:r><w:t xml:space="preserve">In 1900 he wrote a Byzantine romance, Basile et Sophia.</w:t></w:r>
</w:p>
<w:p>
<w:pPr><w:pStyle w:val="Normal"/></w:pPr>
<w:r><w:t xml:space="preserve">ADAM, ROBERT (1728--1792), British architect, the second</w:t></w:r>
</w:p>
<w:p>
<w:pPr><w:pStyle w:val="Normal"/></w:pPr>
<w:r><w:t xml:space="preserve">son of William Adam of Maryburgh, in Fife, and the most</w:t></w:r>
</w:p>
<w:p>
<w:pPr><w:pStyle w:val="Normal"/></w:pPr>
<w:r><w:t xml:space="preserve">celebrated of four brothers, John, Robert, James and William</w:t></w:r>
</w:p>
<w:p>
<w:pPr><w:pStyle w:val="Normal"/></w:pPr>
<w:r><w:t xml:space="preserve">Adam, was born at Kirkcaldy in 1728.  For few famous men</w:t></w:r>
</w:p>
<w:p>
<w:pPr><w:pStyle w:val="Normal"/></w:pPr>
<w:r><w:t xml:space="preserve">have we so little biographical material, and contemporary</w:t></w:r>
</w:p>
<w:p>
<w:pPr><w:pStyle w:val="Normal"/></w:pPr>
<w:r><w:t xml:space="preserve">references to him are sparse.  He certainly studied at the</w:t></w:r>
</w:p>
<w:p>
<w:pPr><w:pStyle w:val="Normal"/></w:pPr>
<w:r><w:t xml:space="preserve">university of Edinburgh, and probably received his first</w:t></w:r>
</w:p>
<w:p>
<w:pPr><w:pStyle w:val="Normal"/></w:pPr>
<w:r><w:t xml:space="preserve">instruction in architecture from his father, who gave proofs of</w:t></w:r>
</w:p>
<w:p>
<w:pPr><w:pStyle w:val="Normal"/></w:pPr>
<w:r><w:t xml:space="preserve">his own skill and taste in the Edinburgh Royal Infirmary (now</w:t></w:r>
</w:p>
<w:p>
<w:pPr><w:pStyle w:val="Normal"/></w:pPr>
<w:r><w:t xml:space="preserve">demolished).  His mother was the aunt of Dr W. Robertson,</w:t></w:r>
</w:p>
<w:p>
<w:pPr><w:pStyle w:val="Normal"/></w:pPr>
<w:r><w:t xml:space="preserve">the first English historian of Charles V., and in 1750 we</w:t></w:r>
</w:p>
<w:p>
<w:pPr><w:pStyle w:val="Normal"/></w:pPr>
<w:r><w:t xml:space="preserve">find Robert Adam living with her in Edinburgh, and making one</w:t></w:r>
</w:p>
<w:p>
<w:pPr><w:pStyle w:val="Normal"/></w:pPr>
<w:r><w:t xml:space="preserve">of the brilliant literary coterie which adorned it at that</w:t></w:r>
</w:p>
<w:p>
<w:pPr><w:pStyle w:val="Normal"/></w:pPr>
<w:r><w:t xml:space="preserve">period.  Somewhere between 1750 and 1754 he visited Italy,</w:t></w:r>
</w:p>
<w:p>
<w:pPr><w:pStyle w:val="Normal"/></w:pPr>
<w:r><w:t xml:space="preserve">where he spent three years studying the remains of Roman</w:t></w:r>
</w:p>
<w:p>
<w:pPr><w:pStyle w:val="Normal"/></w:pPr>
<w:r><w:t xml:space="preserve">architecture.  There he was struck with the circumstance</w:t></w:r>
</w:p>
<w:p>
<w:pPr><w:pStyle w:val="Normal"/></w:pPr>
<w:r><w:t xml:space="preserve">that practically nothing bad survived of the Greek and Roman</w:t></w:r>
</w:p>
<w:p>
<w:pPr><w:pStyle w:val="Normal"/></w:pPr>
<w:r><w:t xml:space="preserve">masterpieces except public buildings, and; that the private</w:t></w:r>
</w:p>
<w:p>
<w:pPr><w:pStyle w:val="Normal"/></w:pPr>
<w:r><w:t xml:space="preserve">palaces, which Vitruvius and Pliny esteemed so highly, had</w:t></w:r>
</w:p>
<w:p>
<w:pPr><w:pStyle w:val="Normal"/></w:pPr>
<w:r><w:t xml:space="preserve">practically vanished.  One example of such work. however,</w:t></w:r>
</w:p>
<w:p>
<w:pPr><w:pStyle w:val="Normal"/></w:pPr>
<w:r><w:t xml:space="preserve">was extant in the ruins of Diocletian&apos;s palace at Spalato in</w:t></w:r>
</w:p>
<w:p>
<w:pPr><w:pStyle w:val="Normal"/></w:pPr>
<w:r><w:t xml:space="preserve">Dalmatia, and this he visited in July 1757, taking with him</w:t></w:r>
</w:p>
<w:p>
<w:pPr><w:pStyle w:val="Normal"/></w:pPr>
<w:r><w:t xml:space="preserve">the famous French architect and antiquary, C. L. Clerisseau,</w:t></w:r>
</w:p>
<w:p>
<w:pPr><w:pStyle w:val="Normal"/></w:pPr>
<w:r><w:t xml:space="preserve">and two experienced draughtsmen, with whose assistance,</w:t></w:r>
</w:p>
<w:p>
<w:pPr><w:pStyle w:val="Normal"/></w:pPr>
<w:r><w:t xml:space="preserve">after being arrested as a spy, he managed in five weeks to</w:t></w:r>
</w:p>
<w:p>
<w:pPr><w:pStyle w:val="Normal"/></w:pPr>
<w:r><w:t xml:space="preserve">accumulate a sufficient number of measurements and careful</w:t></w:r>
</w:p>
<w:p>
<w:pPr><w:pStyle w:val="Normal"/></w:pPr>
<w:r><w:t xml:space="preserve">plans and surveys to produce a restoration of the entire</w:t></w:r>
</w:p>
<w:p>
<w:pPr><w:pStyle w:val="Normal"/></w:pPr>
<w:r><w:t xml:space="preserve">building in a fine work which he published in 1764, The</w:t></w:r>
</w:p>
<w:p>
<w:pPr><w:pStyle w:val="Normal"/></w:pPr>
<w:r><w:t xml:space="preserve">Ruins of the Palace of Diocletian, &amp;c. Considering the</w:t></w:r>
</w:p>
<w:p>
<w:pPr><w:pStyle w:val="Normal"/></w:pPr>
<w:r><w:t xml:space="preserve">shortness of the time occupied and the obstacles placed in</w:t></w:r>
</w:p>
<w:p>
<w:pPr><w:pStyle w:val="Normal"/></w:pPr>
<w:r><w:t xml:space="preserve">his way by the Venetian governor and the population of the</w:t></w:r>
</w:p>
<w:p>
<w:pPr><w:pStyle w:val="Normal"/></w:pPr>
<w:r><w:t xml:space="preserve">place, the result was amazing.  The influence of these studies</w:t></w:r>
</w:p>
<w:p>
<w:pPr><w:pStyle w:val="Normal"/></w:pPr>
<w:r><w:t xml:space="preserve">was apparent directly and indirectly in much of his subsequent</w:t></w:r>
</w:p>
<w:p>
<w:pPr><w:pStyle w:val="Normal"/></w:pPr>
<w:r><w:t xml:space="preserve">work, which, indeed, was in great measure founded upon them.</w:t></w:r>
</w:p>
<w:p>
<w:pPr><w:pStyle w:val="Normal"/></w:pPr>
<w:r><w:t xml:space="preserve">After his return to England he seems to have come rapidly to</w:t></w:r>
</w:p>
<w:p>
<w:pPr><w:pStyle w:val="Normal"/></w:pPr>
<w:r><w:t xml:space="preserve">the front, and in 1762 he was appointed sole architect to the</w:t></w:r>
</w:p>
<w:p>
<w:pPr><w:pStyle w:val="Normal"/></w:pPr>
<w:r><w:t xml:space="preserve">king and the Board of Works.  Six years later he resigned this</w:t></w:r>
</w:p>
<w:p>
<w:pPr><w:pStyle w:val="Normal"/></w:pPr>
<w:r><w:t xml:space="preserve">office, in which he was succeeded by his brother James,---who</w:t></w:r>
</w:p>
<w:p>
<w:pPr><w:pStyle w:val="Normal"/></w:pPr>
<w:r><w:t xml:space="preserve">however, held the office jointly with another,---and entered</w:t></w:r>
</w:p>
<w:p>
<w:pPr><w:pStyle w:val="Normal"/></w:pPr>
<w:r><w:t xml:space="preserve">parliament as member for the county of Kinross.  In 1768 he</w:t></w:r>
</w:p>
<w:p>
<w:pPr><w:pStyle w:val="Normal"/></w:pPr>
<w:r><w:t xml:space="preserve">and his three brothers leased the ground fronting the Thames,</w:t></w:r>
</w:p>
<w:p>
<w:pPr><w:pStyle w:val="Normal"/></w:pPr>
<w:r><w:t xml:space="preserve">upon which the Adelphi now stands, for L. 1200 on a ninety-nine</w:t></w:r>
</w:p>
<w:p>
<w:pPr><w:pStyle w:val="Normal"/></w:pPr>
<w:r><w:t xml:space="preserve">years&apos; lease, and having obtained, with the assistance of</w:t></w:r>
</w:p>
<w:p>
<w:pPr><w:pStyle w:val="Normal"/></w:pPr>
<w:r><w:t xml:space="preserve">Lord Bute, the needful act of parliament, proceeded, in the</w:t></w:r>
</w:p>
<w:p>
<w:pPr><w:pStyle w:val="Normal"/></w:pPr>
<w:r><w:t xml:space="preserve">teeth of public opposition, to erect the ambitious block of</w:t></w:r>
</w:p>
<w:p>
<w:pPr><w:pStyle w:val="Normal"/></w:pPr>
<w:r><w:t xml:space="preserve">buildings which is imperishably associated with their name,</w:t></w:r>
</w:p>
<w:p>
<w:pPr><w:pStyle w:val="Normal"/></w:pPr>
<w:r><w:t xml:space="preserve">indicating its joint origin by the title Adelphi, from the</w:t></w:r>
</w:p>
<w:p>
<w:pPr><w:pStyle w:val="Normal"/></w:pPr>
<w:r><w:t xml:space="preserve">Greek adelfoi, the Brothers.  The site presented attractive</w:t></w:r>
</w:p>
<w:p>
<w:pPr><w:pStyle w:val="Normal"/></w:pPr>
<w:r><w:t xml:space="preserve">possibilities.  A steep hill led down Buckingham Street to</w:t></w:r>
</w:p>
<w:p>
<w:pPr><w:pStyle w:val="Normal"/></w:pPr>
<w:r><w:t xml:space="preserve">the river-side, and the plan was to raise against it, upon</w:t></w:r>
</w:p>
<w:p>
<w:pPr><w:pStyle w:val="Normal"/></w:pPr>
<w:r><w:t xml:space="preserve">a terrace formed of massive arches and vaults and facing</w:t></w:r>
</w:p>
<w:p>
<w:pPr><w:pStyle w:val="Normal"/></w:pPr>
<w:r><w:t xml:space="preserve">the river, a dignified quarter of fine streets and stately</w:t></w:r>
</w:p>
<w:p>
<w:pPr><w:pStyle w:val="Normal"/></w:pPr>
<w:r><w:t xml:space="preserve">buildings, suggestive of the Spalato ruins.  In spite of many</w:t></w:r>
</w:p>
<w:p>
<w:pPr><w:pStyle w:val="Normal"/></w:pPr>
<w:r><w:t xml:space="preserve">difficulties, pecuniary and otherwise (the undertaking was</w:t></w:r>
</w:p>
<w:p>
<w:pPr><w:pStyle w:val="Normal"/></w:pPr>
<w:r><w:t xml:space="preserve">completed from the proceeds of a lottery), money was raised</w:t></w:r>
</w:p>
<w:p>
<w:pPr><w:pStyle w:val="Normal"/></w:pPr>
<w:r><w:t xml:space="preserve">and the work pushed on; in five years the Adelphi terrace stood</w:t></w:r>
</w:p>
<w:p>
<w:pPr><w:pStyle w:val="Normal"/></w:pPr>
<w:r><w:t xml:space="preserve">complete, and the fine houses were eagerly sought after by</w:t></w:r>
</w:p>
<w:p>
<w:pPr><w:pStyle w:val="Normal"/></w:pPr>
<w:r><w:t xml:space="preserve">artists and men of letters.  Splendid, however, as the terrace</w:t></w:r>
</w:p>
<w:p>
<w:pPr><w:pStyle w:val="Normal"/></w:pPr>
<w:r><w:t xml:space="preserve">and its houses are, both in conception and execution, the</w:t></w:r>
</w:p>
<w:p>
<w:pPr><w:pStyle w:val="Normal"/></w:pPr>
<w:r><w:t xml:space="preserve">underground work which upholds them is perhaps more remarkable</w:t></w:r>
</w:p>
<w:p>
<w:pPr><w:pStyle w:val="Normal"/></w:pPr>
<w:r><w:t xml:space="preserve">still.  The vast series of arched vaults has been described</w:t></w:r>
</w:p>
<w:p>
<w:pPr><w:pStyle w:val="Normal"/></w:pPr>
<w:r><w:t xml:space="preserve">by a modern writer as a very town, which, during the years</w:t></w:r>
</w:p>
<w:p>
<w:pPr><w:pStyle w:val="Normal"/></w:pPr>
<w:r><w:t xml:space="preserve">that they were open, formed subterranean streets leading to</w:t></w:r>
</w:p>
<w:p>
<w:pPr><w:pStyle w:val="Normal"/></w:pPr>
<w:r><w:t xml:space="preserve">the river and its wharves.  In many places the arches stand</w:t></w:r>
</w:p>
<w:p>
<w:pPr><w:pStyle w:val="Normal"/></w:pPr>
<w:r><w:t xml:space="preserve">in double tiers.  In time these ``streets&apos;&apos; obtained a bad</w:t></w:r>
</w:p>
<w:p>
<w:pPr><w:pStyle w:val="Normal"/></w:pPr>
<w:r><w:t xml:space="preserve">name as the haunt of suspicious characters, and they have</w:t></w:r>
</w:p>
<w:p>
<w:pPr><w:pStyle w:val="Normal"/></w:pPr>
<w:r><w:t xml:space="preserve">long been enclosed and let as cellars.  Between 1773 and 1778</w:t></w:r>
</w:p>
<w:p>
<w:pPr><w:pStyle w:val="Normal"/></w:pPr>
<w:r><w:t xml:space="preserve">the brothers issued a fine series of folio engravings and</w:t></w:r>
</w:p>
<w:p>
<w:pPr><w:pStyle w:val="Normal"/></w:pPr>
<w:r><w:t xml:space="preserve">descriptions of the designs for many of their most important</w:t></w:r>
</w:p>
<w:p>
<w:pPr><w:pStyle w:val="Normal"/></w:pPr>
<w:r><w:t xml:space="preserve">works, which included several great public buildings and</w:t></w:r>
</w:p>
<w:p>
<w:pPr><w:pStyle w:val="Normal"/></w:pPr>
<w:r><w:t xml:space="preserve">numberless large private houses; a fine volume was published in</w:t></w:r>
</w:p>
<w:p>
<w:pPr><w:pStyle w:val="Normal"/></w:pPr>
<w:r><w:t xml:space="preserve">1822.  For the remaining years of Robert&apos;s life the practice</w:t></w:r>
</w:p>
<w:p>
<w:pPr><w:pStyle w:val="Normal"/></w:pPr>
<w:r><w:t xml:space="preserve">of the firm was the most extensive in the country; his position</w:t></w:r>
</w:p>
<w:p>
<w:pPr><w:pStyle w:val="Normal"/></w:pPr>
<w:r><w:t xml:space="preserve">was unquestioned, and when he died in 1792 he was laid to</w:t></w:r>
</w:p>
<w:p>
<w:pPr><w:pStyle w:val="Normal"/></w:pPr>
<w:r><w:t xml:space="preserve">rest in Westminster Abbey almost as a matter of course.</w:t></w:r>
</w:p>
<w:p>
<w:pPr><w:pStyle w:val="Normal"/></w:pPr>
<w:r><w:t xml:space="preserve">The art of Robert Adam was extraordinarily many-sided and</w:t></w:r>
</w:p>
<w:p>
<w:pPr><w:pStyle w:val="Normal"/></w:pPr>
<w:r><w:t xml:space="preserve">prolific, and it is difficult to give a condensed appreciation of</w:t></w:r>
</w:p>
<w:p>
<w:pPr><w:pStyle w:val="Normal"/></w:pPr>
<w:r><w:t xml:space="preserve">it.  As an architect he was strongly under Roman and Italian</w:t></w:r>
</w:p>
<w:p>
<w:pPr><w:pStyle w:val="Normal"/></w:pPr>
<w:r><w:t xml:space="preserve">influences, and his style and aims were exotic rather than</w:t></w:r>
</w:p>
<w:p>
<w:pPr><w:pStyle w:val="Normal"/></w:pPr>
<w:r><w:t xml:space="preserve">native.  But this does not detract from their merit, nor</w:t></w:r>
</w:p>
<w:p>
<w:pPr><w:pStyle w:val="Normal"/></w:pPr>
<w:r><w:t xml:space="preserve">need it diminish our estimate of his genius.  It was,</w:t></w:r>
</w:p>
<w:p>
<w:pPr><w:pStyle w:val="Normal"/></w:pPr>
<w:r><w:t xml:space="preserve">indeed, the most signal triumph of that genius that he was</w:t></w:r>
</w:p>
<w:p>
<w:pPr><w:pStyle w:val="Normal"/></w:pPr>
<w:r><w:t xml:space="preserve">able so to mould and adapt classical models as to create</w:t></w:r>
</w:p>
<w:p>
<w:pPr><w:pStyle w:val="Normal"/></w:pPr>
<w:r><w:t xml:space="preserve">a new manner of the highest charm and distinction.  Out of</w:t></w:r>
</w:p>
<w:p>
<w:pPr><w:pStyle w:val="Normal"/></w:pPr>
<w:r><w:t xml:space="preserve">simple curvilinear forms, of which he principally preferred</w:t></w:r>
</w:p>
<w:p>
<w:pPr><w:pStyle w:val="Normal"/></w:pPr>
<w:r><w:t xml:space="preserve">the oval, he evolved combinations of extraordinary grace</w:t></w:r>
</w:p>
<w:p>
<w:pPr><w:pStyle w:val="Normal"/></w:pPr>
<w:r><w:t xml:space="preserve">and variety, and these entered into every detail of his</w:t></w:r>
</w:p>
<w:p>
<w:pPr><w:pStyle w:val="Normal"/></w:pPr>
<w:r><w:t xml:space="preserve">work.  In his view the architect was intimately concerned</w:t></w:r>
</w:p>
<w:p>
<w:pPr><w:pStyle w:val="Normal"/></w:pPr>
<w:r><w:t xml:space="preserve">with the furniture and the decorations of a building, as well</w:t></w:r>
</w:p>
<w:p>
<w:pPr><w:pStyle w:val="Normal"/></w:pPr>
<w:r><w:t xml:space="preserve">as with its form and construction, and this view he carried</w:t></w:r>
</w:p>
<w:p>
<w:pPr><w:pStyle w:val="Normal"/></w:pPr>
<w:r><w:t xml:space="preserve">rigorously into practice, and with astonishing success.</w:t></w:r>
</w:p>
<w:p>
<w:pPr><w:pStyle w:val="Normal"/></w:pPr>
<w:r><w:t xml:space="preserve">Nothing was too small and unimportant for him--summer-houses</w:t></w:r>
</w:p>
<w:p>
<w:pPr><w:pStyle w:val="Normal"/></w:pPr>
<w:r><w:t xml:space="preserve">and dog-kennels came as readily to him as the vast facades</w:t></w:r>
</w:p>
<w:p>
<w:pPr><w:pStyle w:val="Normal"/></w:pPr>
<w:r><w:t xml:space="preserve">of a terrace in town or a great country house.  But he never</w:t></w:r>
</w:p>
<w:p>
<w:pPr><w:pStyle w:val="Normal"/></w:pPr>
<w:r><w:t xml:space="preserve">permitted minute details to obscure the main lines of a noble</w:t></w:r>
</w:p>
<w:p>
<w:pPr><w:pStyle w:val="Normal"/></w:pPr>
<w:r><w:t xml:space="preserve">design.  Whatever care he might have expended upon the flowing</w:t></w:r>
</w:p>
<w:p>
<w:pPr><w:pStyle w:val="Normal"/></w:pPr>
<w:r><w:t xml:space="preserve">curves of a moulding or a decoration, it was strictly kept in</w:t></w:r>
</w:p>
<w:p>
<w:pPr><w:pStyle w:val="Normal"/></w:pPr>
<w:r><w:t xml:space="preserve">its place; it contributed its share and no more to the total</w:t></w:r>
</w:p>
<w:p>
<w:pPr><w:pStyle w:val="Normal"/></w:pPr>
<w:r><w:t xml:space="preserve">effect.  He made a distinct step forward in giving shape to</w:t></w:r>
</w:p>
<w:p>
<w:pPr><w:pStyle w:val="Normal"/></w:pPr>
<w:r><w:t xml:space="preserve">the idea of imparting the unity of a single imposing structure</w:t></w:r>
</w:p>
<w:p>
<w:pPr><w:pStyle w:val="Normal"/></w:pPr>
<w:r><w:t xml:space="preserve">to a number of private houses grouped in a block which is</w:t></w:r>
</w:p>
<w:p>
<w:pPr><w:pStyle w:val="Normal"/></w:pPr>
<w:r><w:t xml:space="preserve">so characteristic a feature of modern town building, and</w:t></w:r>
</w:p>
<w:p>
<w:pPr><w:pStyle w:val="Normal"/></w:pPr>
<w:r><w:t xml:space="preserve">though at times he failed in the breadth of grasp needful</w:t></w:r>
</w:p>
<w:p>
<w:pPr><w:pStyle w:val="Normal"/></w:pPr>
<w:r><w:t xml:space="preserve">to carry out such an idea on a large scale, he has left</w:t></w:r>
</w:p>
<w:p>
<w:pPr><w:pStyle w:val="Normal"/></w:pPr>
<w:r><w:t xml:space="preserve">us some fine examples of what can be accomplished in this</w:t></w:r>
</w:p>
<w:p>
<w:pPr><w:pStyle w:val="Normal"/></w:pPr>
<w:r><w:t xml:space="preserve">direction.  A delightful but theoretically undesirable</w:t></w:r>
</w:p>
<w:p>
<w:pPr><w:pStyle w:val="Normal"/></w:pPr>
<w:r><w:t xml:space="preserve">characteristic of his work is the use of stucco.  Upon it he</w:t></w:r>
</w:p>
<w:p>
<w:pPr><w:pStyle w:val="Normal"/></w:pPr>
<w:r><w:t xml:space="preserve">moulded delicate forms in subtle and beautiful proportions.</w:t></w:r>
</w:p>
<w:p>
<w:pPr><w:pStyle w:val="Normal"/></w:pPr>
<w:r><w:t xml:space="preserve">His ``compo&apos;&apos; was used so successfully that the patent was</w:t></w:r>
</w:p>
<w:p>
<w:pPr><w:pStyle w:val="Normal"/></w:pPr>
<w:r><w:t xml:space="preserve">infringed: many of his moulds still exist and are in constant</w:t></w:r>
</w:p>
<w:p>
<w:pPr><w:pStyle w:val="Normal"/></w:pPr>
<w:r><w:t xml:space="preserve">use.  That most difficult feature, the column, he handled</w:t></w:r>
</w:p>
<w:p>
<w:pPr><w:pStyle w:val="Normal"/></w:pPr>
<w:r><w:t xml:space="preserve">with enthusiasm and perfect mastery; he studied and wrote of</w:t></w:r>
</w:p>
<w:p>
<w:pPr><w:pStyle w:val="Normal"/></w:pPr>
<w:r><w:t xml:space="preserve">it with minute pains, while his practice showed his graslp of</w:t></w:r>
</w:p>
<w:p>
<w:pPr><w:pStyle w:val="Normal"/></w:pPr>
<w:r><w:t xml:space="preserve">the subject by all avoidance of bare imitation of the classic</w:t></w:r>
</w:p>
<w:p>
<w:pPr><w:pStyle w:val="Normal"/></w:pPr>
<w:r><w:t xml:space="preserve">masters who first brought it to perfection.  His work might</w:t></w:r>
</w:p>
<w:p>
<w:pPr><w:pStyle w:val="Normal"/></w:pPr>
<w:r><w:t xml:space="preserve">be classic in form, but it was independently developed by</w:t></w:r>
</w:p>
<w:p>
<w:pPr><w:pStyle w:val="Normal"/></w:pPr>
<w:r><w:t xml:space="preserve">himself.  It would be impossible here to give a list of the</w:t></w:r>
</w:p>
<w:p>
<w:pPr><w:pStyle w:val="Normal"/></w:pPr>
<w:r><w:t xml:space="preserve">innumerable works which he executed.  In London, of course,</w:t></w:r>
</w:p>
<w:p>
<w:pPr><w:pStyle w:val="Normal"/></w:pPr>
<w:r><w:t xml:space="preserve">the Adelphi stands pre-eminent; the screen and gate of the</w:t></w:r>
</w:p>
<w:p>
<w:pPr><w:pStyle w:val="Normal"/></w:pPr>
<w:r><w:t xml:space="preserve">Admiralty and part of Fitzroy Square are by him, Portland</w:t></w:r>
</w:p>
<w:p>
<w:pPr><w:pStyle w:val="Normal"/></w:pPr>
<w:r><w:t xml:space="preserve">Place, and much of the older portion of Finsbury Circus,</w:t></w:r>
</w:p>
<w:p>
<w:pPr><w:pStyle w:val="Normal"/></w:pPr>
<w:r><w:t xml:space="preserve">besides whole streets of houses in the west end.  There are the</w:t></w:r>
</w:p>
<w:p>
<w:pPr><w:pStyle w:val="Normal"/></w:pPr>
<w:r><w:t xml:space="preserve">famous country houses of Lord Mansfield at Caen Wood, Highgate</w:t></w:r>
</w:p>
<w:p>
<w:pPr><w:pStyle w:val="Normal"/></w:pPr>
<w:r><w:t xml:space="preserve">and Luton Hoo, and decorations and additions to many more.</w:t></w:r>
</w:p>
<w:p>
<w:pPr><w:pStyle w:val="Normal"/></w:pPr>
<w:r><w:t xml:space="preserve">Robert Adam--with, there is reason to suspect, some help</w:t></w:r>
</w:p>
<w:p>
<w:pPr><w:pStyle w:val="Normal"/></w:pPr>
<w:r><w:t xml:space="preserve">from his brother James--has left as deep and enduring a mark</w:t></w:r>
</w:p>
<w:p>
<w:pPr><w:pStyle w:val="Normal"/></w:pPr>
<w:r><w:t xml:space="preserve">upon English furniture as upon English architecture.  Down</w:t></w:r>
</w:p>
<w:p>
<w:pPr><w:pStyle w:val="Normal"/></w:pPr>
<w:r><w:t xml:space="preserve">to his time carving was the dominant characteristic of the</w:t></w:r>
</w:p>
<w:p>
<w:pPr><w:pStyle w:val="Normal"/></w:pPr>
<w:r><w:t xml:space="preserve">mobiliary art, but thenceforward the wood-worker declined in</w:t></w:r>
</w:p>
<w:p>
<w:pPr><w:pStyle w:val="Normal"/></w:pPr>
<w:r><w:t xml:space="preserve">importance.  French influence disposed Robert Adam to the</w:t></w:r>
</w:p>
<w:p>
<w:pPr><w:pStyle w:val="Normal"/></w:pPr>
<w:r><w:t xml:space="preserve">development of painted furniture with inlays of beautiful exotic</w:t></w:r>
</w:p>
<w:p>
<w:pPr><w:pStyle w:val="Normal"/></w:pPr>
<w:r><w:t xml:space="preserve">woods, and many of his designs, especially for sideboards,</w:t></w:r>
</w:p>
<w:p>
<w:pPr><w:pStyle w:val="Normal"/></w:pPr>
<w:r><w:t xml:space="preserve">are extremely attractive, mainly by reason of their austere</w:t></w:r>
</w:p>
<w:p>
<w:pPr><w:pStyle w:val="Normal"/></w:pPr>
<w:r><w:t xml:space="preserve">simplicity.  Robert Adam was no doubt at first led to turn</w:t></w:r>
</w:p>
<w:p>
<w:pPr><w:pStyle w:val="Normal"/></w:pPr>
<w:r><w:t xml:space="preserve">his thoughts towards furniture by his desire to see his</w:t></w:r>
</w:p>
<w:p>
<w:pPr><w:pStyle w:val="Normal"/></w:pPr>
<w:r><w:t xml:space="preserve">light, delicate, graceful interiors, with their large sense</w:t></w:r>
</w:p>
<w:p>
<w:pPr><w:pStyle w:val="Normal"/></w:pPr>
<w:r><w:t xml:space="preserve">of atmosphere and their refined and finished detail, filled</w:t></w:r>
</w:p>
<w:p>
<w:pPr><w:pStyle w:val="Normal"/></w:pPr>
<w:r><w:t xml:space="preserve">with plenishings which fitted naturally into his scheme.</w:t></w:r>
</w:p>
<w:p>
<w:pPr><w:pStyle w:val="Normal"/></w:pPr>
<w:r><w:t xml:space="preserve">His own taste developed as he went on, but he was usually</w:t></w:r>
</w:p>
<w:p>
<w:pPr><w:pStyle w:val="Normal"/></w:pPr>
<w:r><w:t xml:space="preserve">extremely successful, and cabinetmakers are still reproducing</w:t></w:r>
</w:p>
<w:p>
<w:pPr><w:pStyle w:val="Normal"/></w:pPr>
<w:r><w:t xml:space="preserve">his most effective designs.  In his furniture he made lavish</w:t></w:r>
</w:p>
<w:p>
<w:pPr><w:pStyle w:val="Normal"/></w:pPr>
<w:r><w:t xml:space="preserve">use of his favourite decorative motives---wreaths and paterae,</w:t></w:r>
</w:p>
<w:p>
<w:pPr><w:pStyle w:val="Normal"/></w:pPr>
<w:r><w:t xml:space="preserve">the honeysuckle, and that fan ornament which he used so</w:t></w:r>
</w:p>
<w:p>
<w:pPr><w:pStyle w:val="Normal"/></w:pPr>
<w:r><w:t xml:space="preserve">constantly.  Thus an Adam house is a unique product of English</w:t></w:r>
</w:p>
<w:p>
<w:pPr><w:pStyle w:val="Normal"/></w:pPr>
<w:r><w:t xml:space="preserve">art.  From facade to fire-irons, from the chimneys to the</w:t></w:r>
</w:p>
<w:p>
<w:pPr><w:pStyle w:val="Normal"/></w:pPr>
<w:r><w:t xml:space="preserve">carpets, everything originated in the same order of ideas,</w:t></w:r>
</w:p>
<w:p>
<w:pPr><w:pStyle w:val="Normal"/></w:pPr>
<w:r><w:t xml:space="preserve">and to this day an Adam drawing-room is to English what</w:t></w:r>
</w:p>
<w:p>
<w:pPr><w:pStyle w:val="Normal"/></w:pPr>
<w:r><w:t xml:space="preserve">a Louis Seize room is to French art.  In nothing were the</w:t></w:r>
</w:p>
<w:p>
<w:pPr><w:pStyle w:val="Normal"/></w:pPr>
<w:r><w:t xml:space="preserve">Adams more successful than in mantelpieces and doors.  The</w:t></w:r>
</w:p>
<w:p>
<w:pPr><w:pStyle w:val="Normal"/></w:pPr>
<w:r><w:t xml:space="preserve">former, by reason of their simplicity and the readiness with</w:t></w:r>
</w:p>
<w:p>
<w:pPr><w:pStyle w:val="Normal"/></w:pPr>
<w:r><w:t xml:space="preserve">which the ``compo&apos;&apos; ornaments can be applied and painted,</w:t></w:r>
</w:p>
<w:p>
<w:pPr><w:pStyle w:val="Normal"/></w:pPr>
<w:r><w:t xml:space="preserve">are still made in cheap forms in great number.  The latter</w:t></w:r>
</w:p>
<w:p>
<w:pPr><w:pStyle w:val="Normal"/></w:pPr>
<w:r><w:t xml:space="preserve">were most commonly executed in a rich mahogany and are now</w:t></w:r>
</w:p>
<w:p>
<w:pPr><w:pStyle w:val="Normal"/></w:pPr>
<w:r><w:t xml:space="preserve">greatly sought after.  The extent to which the brothers</w:t></w:r>
</w:p>
<w:p>
<w:pPr><w:pStyle w:val="Normal"/></w:pPr>
<w:r><w:t xml:space="preserve">worked together is by no means clear--indeed, there is an</w:t></w:r>
</w:p>
<w:p>
<w:pPr><w:pStyle w:val="Normal"/></w:pPr>
<w:r><w:t xml:space="preserve">astonishing dearth of information regarding this remarkable</w:t></w:r>
</w:p>
<w:p>
<w:pPr><w:pStyle w:val="Normal"/></w:pPr>
<w:r><w:t xml:space="preserve">family, and it is a reproach to English art literature that</w:t></w:r>
</w:p>
<w:p>
<w:pPr><w:pStyle w:val="Normal"/></w:pPr>
<w:r><w:t xml:space="preserve">no biography of Robert Adam has ever been published.  John</w:t></w:r>
</w:p>
<w:p>
<w:pPr><w:pStyle w:val="Normal"/></w:pPr>
<w:r><w:t xml:space="preserve">Adam succeeded to his father&apos;s practice as an architect in</w:t></w:r>
</w:p>
<w:p>
<w:pPr><w:pStyle w:val="Normal"/></w:pPr>
<w:r><w:t xml:space="preserve">Edinburgh.  James Adam studied in Rome, and eventually</w:t></w:r>
</w:p>
<w:p>
<w:pPr><w:pStyle w:val="Normal"/></w:pPr>
<w:r><w:t xml:space="preserve">was closely associated with Robert; William is variously</w:t></w:r>
</w:p>
<w:p>
<w:pPr><w:pStyle w:val="Normal"/></w:pPr>
<w:r><w:t xml:space="preserve">said to have been a banker and an architect. (J. P.-B.)</w:t></w:r>
</w:p>
<w:p>
<w:pPr><w:pStyle w:val="Normal"/></w:pPr>
<w:r><w:t xml:space="preserve">ADAM, WILLIAM (1751--1839), British lawyer and politician,</w:t></w:r>
</w:p>
<w:p>
<w:pPr><w:pStyle w:val="Normal"/></w:pPr>
<w:r><w:t xml:space="preserve">eldest son of John Adam of Blair-Adam, Kinross-shire, and</w:t></w:r>
</w:p>
<w:p>
<w:pPr><w:pStyle w:val="Normal"/></w:pPr>
<w:r><w:t xml:space="preserve">nephew of the architect noticed above, was born on the 2nd</w:t></w:r>
</w:p>
<w:p>
<w:pPr><w:pStyle w:val="Normal"/></w:pPr>
<w:r><w:t xml:space="preserve">of August 1751, studied at the universities of Edinburgh</w:t></w:r>
</w:p>
<w:p>
<w:pPr><w:pStyle w:val="Normal"/></w:pPr>
<w:r><w:t xml:space="preserve">and Glasgow, and passed at the Scottish bar in 1773.  Soon</w:t></w:r>
</w:p>
<w:p>
<w:pPr><w:pStyle w:val="Normal"/></w:pPr>
<w:r><w:t xml:space="preserve">afterwards he removed to England, where he entered parliament</w:t></w:r>
</w:p>
<w:p>
<w:pPr><w:pStyle w:val="Normal"/></w:pPr>
<w:r><w:t xml:space="preserve">in 1774, and in 1782 was called to the common law bar.  He</w:t></w:r>
</w:p>
<w:p>
<w:pPr><w:pStyle w:val="Normal"/></w:pPr>
<w:r><w:t xml:space="preserve">withdrew from parliament in 1795, entered it again in 1806</w:t></w:r>
</w:p>
<w:p>
<w:pPr><w:pStyle w:val="Normal"/></w:pPr>
<w:r><w:t xml:space="preserve">as representative of the united counties of Clackmannan and</w:t></w:r>
</w:p>
<w:p>
<w:pPr><w:pStyle w:val="Normal"/></w:pPr>
<w:r><w:t xml:space="preserve">Kinross, and continued a member, with some interruptions, till</w:t></w:r>
</w:p>
<w:p>
<w:pPr><w:pStyle w:val="Normal"/></w:pPr>
<w:r><w:t xml:space="preserve">1811.  He was a Whig and a supporter of the policy of Fox. At</w:t></w:r>
</w:p>
<w:p>
<w:pPr><w:pStyle w:val="Normal"/></w:pPr>
<w:r><w:t xml:space="preserve">the English bar he obtained a very considerable practice.  He</w:t></w:r>
</w:p>
<w:p>
<w:pPr><w:pStyle w:val="Normal"/></w:pPr>
<w:r><w:t xml:space="preserve">was successively attorney and solicitor-general to the prince</w:t></w:r>
</w:p>
<w:p>
<w:pPr><w:pStyle w:val="Normal"/></w:pPr>
<w:r><w:t xml:space="preserve">of Wales, one of the managers of the impeachment of Warren</w:t></w:r>
</w:p>
<w:p>
<w:pPr><w:pStyle w:val="Normal"/></w:pPr>
<w:r><w:t xml:space="preserve">Hastings, and one of the counsel who defended the first Lord</w:t></w:r>
</w:p>
<w:p>
<w:pPr><w:pStyle w:val="Normal"/></w:pPr>
<w:r><w:t xml:space="preserve">Melville when impeached.  During his party&apos;s brief tenure of</w:t></w:r>
</w:p>
<w:p>
<w:pPr><w:pStyle w:val="Normal"/></w:pPr>
<w:r><w:t xml:space="preserve">office in 1806 he was chancellor of the duchy of Cornwall,</w:t></w:r>
</w:p>
<w:p>
<w:pPr><w:pStyle w:val="Normal"/></w:pPr>
<w:r><w:t xml:space="preserve">and was afterwards a privy councillor and lord-lieutenant of</w:t></w:r>
</w:p>
<w:p>
<w:pPr><w:pStyle w:val="Normal"/></w:pPr>
<w:r><w:t xml:space="preserve">Kinrossshire.  In 1814 he became a baron of Exchequer</w:t></w:r>
</w:p>
<w:p>
<w:pPr><w:pStyle w:val="Normal"/></w:pPr>
<w:r><w:t xml:space="preserve">in Scotland, and was chief commissioner of the newly</w:t></w:r>
</w:p>
<w:p>
<w:pPr><w:pStyle w:val="Normal"/></w:pPr>
<w:r><w:t xml:space="preserve">established jury-court for the trial of civil causes, from</w:t></w:r>
</w:p>
<w:p>
<w:pPr><w:pStyle w:val="Normal"/></w:pPr>
<w:r><w:t xml:space="preserve">1815 to 1830, when it was merged in the permanent supreme</w:t></w:r>
</w:p>
<w:p>
<w:pPr><w:pStyle w:val="Normal"/></w:pPr>
<w:r><w:t xml:space="preserve">tribunal.  He died at Edinburgh on the 17th of February 1839.</w:t></w:r>
</w:p>
<w:p>
<w:pPr><w:pStyle w:val="Normal"/></w:pPr>
<w:r><w:t xml:space="preserve">ADAMANT (from Gr. adamas, untameable), the modern diamond</w:t></w:r>
</w:p>
<w:p>
<w:pPr><w:pStyle w:val="Normal"/></w:pPr>
<w:r><w:t xml:space="preserve">(q.v.), but also a name given to any very hard substance.  The</w:t></w:r>
</w:p>
<w:p>
<w:pPr><w:pStyle w:val="Normal"/></w:pPr>
<w:r><w:t xml:space="preserve">Greek word is used by Homer as a personal epithet, and by Hesiod</w:t></w:r>
</w:p>
<w:p>
<w:pPr><w:pStyle w:val="Normal"/></w:pPr>
<w:r><w:t xml:space="preserve">for the hard metal in armour, while Theophrastus applies it</w:t></w:r>
</w:p>
<w:p>
<w:pPr><w:pStyle w:val="Normal"/></w:pPr>
<w:r><w:t xml:space="preserve">to the hardest crystal.  By an etymological confusion with the</w:t></w:r>
</w:p>
<w:p>
<w:pPr><w:pStyle w:val="Normal"/></w:pPr>
<w:r><w:t xml:space="preserve">Lat. adamare, to have an attraction for, it also came to be</w:t></w:r>
</w:p>
<w:p>
<w:pPr><w:pStyle w:val="Normal"/></w:pPr>
<w:r><w:t xml:space="preserve">associated with the loadstone; but since the term was displaced</w:t></w:r>
</w:p>
<w:p>
<w:pPr><w:pStyle w:val="Normal"/></w:pPr>
<w:r><w:t xml:space="preserve">by ``diamond&apos;&apos; it has had only a figurative and poetical use.</w:t></w:r>
</w:p>
<w:p>
<w:pPr><w:pStyle w:val="Normal"/></w:pPr>
<w:r><w:t xml:space="preserve">ADAMAWA, a country of West Africa, which lies roughly</w:t></w:r>
</w:p>
<w:p>
<w:pPr><w:pStyle w:val="Normal"/></w:pPr>
<w:r><w:t xml:space="preserve">between 6 deg.  and 11 deg.  N., and 11 deg.  and 15 deg.  E., about midway</w:t></w:r>
</w:p>
<w:p>
<w:pPr><w:pStyle w:val="Normal"/></w:pPr>
<w:r><w:t xml:space="preserve">between the Bight of Biafra and Lake Chad.  It is now divided</w:t></w:r>
</w:p>
<w:p>
<w:pPr><w:pStyle w:val="Normal"/></w:pPr>
<w:r><w:t xml:space="preserve">between the British protectorate of Nigeria (which includes</w:t></w:r>
</w:p>
<w:p>
<w:pPr><w:pStyle w:val="Normal"/></w:pPr>
<w:r><w:t xml:space="preserve">the chief town Yola, q.v.) and the German colony of</w:t></w:r>
</w:p>
<w:p>
<w:pPr><w:pStyle w:val="Normal"/></w:pPr>
<w:r><w:t xml:space="preserve">Cameroon.  This region is watered by the Benue, the chief</w:t></w:r>
</w:p>
<w:p>
<w:pPr><w:pStyle w:val="Normal"/></w:pPr>
<w:r><w:t xml:space="preserve">affluent of the Niger, and its tributary the Faro.  Another</w:t></w:r>
</w:p>
<w:p>
<w:pPr><w:pStyle w:val="Normal"/></w:pPr>
<w:r><w:t xml:space="preserve">stream, the Yedseram, flows north-east to Lake Chad.  The</w:t></w:r>
</w:p>
<w:p>
<w:pPr><w:pStyle w:val="Normal"/></w:pPr>
<w:r><w:t xml:space="preserve">most fertile parts of the country are the plains near the</w:t></w:r>
</w:p>
<w:p>
<w:pPr><w:pStyle w:val="Normal"/></w:pPr>
<w:r><w:t xml:space="preserve">Benue, about 800 ft. above the sea.  South and east of the</w:t></w:r>
</w:p>
<w:p>
<w:pPr><w:pStyle w:val="Normal"/></w:pPr>
<w:r><w:t xml:space="preserve">river the land rises to an elevation of 1600 ft., and is</w:t></w:r>
</w:p>
<w:p>
<w:pPr><w:pStyle w:val="Normal"/></w:pPr>
<w:r><w:t xml:space="preserve">diversified by numerous hills and groups of mountains.</w:t></w:r>
</w:p>
<w:p>
<w:pPr><w:pStyle w:val="Normal"/></w:pPr>
<w:r><w:t xml:space="preserve">These ranges contain remarkable rock formations, towers,</w:t></w:r>
</w:p>
<w:p>
<w:pPr><w:pStyle w:val="Normal"/></w:pPr>
<w:r><w:t xml:space="preserve">battlements and pinnacles crowning the hills.  Chief of these</w:t></w:r>
</w:p>
<w:p>
<w:pPr><w:pStyle w:val="Normal"/></w:pPr>
<w:r><w:t xml:space="preserve">formations is a gigantic pillar some 450 ft. high and 150 ft.</w:t></w:r>
</w:p>
<w:p>
<w:pPr><w:pStyle w:val="Normal"/></w:pPr>
<w:r><w:t xml:space="preserve">thick at the base.  It stands on the summit of a high conical</w:t></w:r>
</w:p>
<w:p>
<w:pPr><w:pStyle w:val="Normal"/></w:pPr>
<w:r><w:t xml:space="preserve">hill.  Mount Alantika, about 25 miles south-south-east of</w:t></w:r>
</w:p>
<w:p>
<w:pPr><w:pStyle w:val="Normal"/></w:pPr>
<w:r><w:t xml:space="preserve">Yola, rises from the plain, an isolated granite mass, to</w:t></w:r>
</w:p>
<w:p>
<w:pPr><w:pStyle w:val="Normal"/></w:pPr>
<w:r><w:t xml:space="preserve">the height of 6000 ft.  The country, which is very fertile</w:t></w:r>
</w:p>
<w:p>
<w:pPr><w:pStyle w:val="Normal"/></w:pPr>
<w:r><w:t xml:space="preserve">and is covered with luxuriant herbage, has many villages</w:t></w:r>
</w:p>
<w:p>
<w:pPr><w:pStyle w:val="Normal"/></w:pPr>
<w:r><w:t xml:space="preserve">and a considerable population.  Durra, ground-nuts, yams and</w:t></w:r>
</w:p>
<w:p>
<w:pPr><w:pStyle w:val="Normal"/></w:pPr>
<w:r><w:t xml:space="preserve">cotton are the principal products, and the palm and banana</w:t></w:r>
</w:p>
<w:p>
<w:pPr><w:pStyle w:val="Normal"/></w:pPr>
<w:r><w:t xml:space="preserve">abound.  Elephants are numerous and ivory is exported.  In</w:t></w:r>
</w:p>
<w:p>
<w:pPr><w:pStyle w:val="Normal"/></w:pPr>
<w:r><w:t xml:space="preserve">the eastern part of the country the rhinoceros is met with,</w:t></w:r>
</w:p>
<w:p>
<w:pPr><w:pStyle w:val="Normal"/></w:pPr>
<w:r><w:t xml:space="preserve">and the rivers swarm with crocodiles and with a curious</w:t></w:r>
</w:p>
<w:p>
<w:pPr><w:pStyle w:val="Normal"/></w:pPr>
<w:r><w:t xml:space="preserve">mammal called the ayu, bearing some resemblance to the seal.</w:t></w:r>
</w:p>
<w:p>
<w:pPr><w:pStyle w:val="Normal"/></w:pPr>
<w:r><w:t xml:space="preserve">Adamawa is named after a Fula Emir Adama, who in the early</w:t></w:r>
</w:p>
<w:p>
<w:pPr><w:pStyle w:val="Normal"/></w:pPr>
<w:r><w:t xml:space="preserve">years of the 19th century conquered the country.  To the</w:t></w:r>
</w:p>
<w:p>
<w:pPr><w:pStyle w:val="Normal"/></w:pPr>
<w:r><w:t xml:space="preserve">Hausa and Bornuese it was previously known as Fumbina (or</w:t></w:r>
</w:p>
<w:p>
<w:pPr><w:pStyle w:val="Normal"/></w:pPr>
<w:r><w:t xml:space="preserve">South-land).  The inhabitants are mainly pure negroes such</w:t></w:r>
</w:p>
<w:p>
<w:pPr><w:pStyle w:val="Normal"/></w:pPr>
<w:r><w:t xml:space="preserve">as the Durra, Batta and Dekka, speaking different languages,</w:t></w:r>
</w:p>
<w:p>
<w:pPr><w:pStyle w:val="Normal"/></w:pPr>
<w:r><w:t xml:space="preserve">and all fetish-worshippers.  They are often of a very low</w:t></w:r>
</w:p>
<w:p>
<w:pPr><w:pStyle w:val="Normal"/></w:pPr>
<w:r><w:t xml:space="preserve">type, and some of the tribes are cannibals.  Slave-trading</w:t></w:r>
</w:p>
<w:p>
<w:pPr><w:pStyle w:val="Normal"/></w:pPr>
<w:r><w:t xml:space="preserve">was still active among them in the early years of the 20th</w:t></w:r>
</w:p>
<w:p>
<w:pPr><w:pStyle w:val="Normal"/></w:pPr>
<w:r><w:t xml:space="preserve">century.  The Fula (q.v.), who first came into the country</w:t></w:r>
</w:p>
<w:p>
<w:pPr><w:pStyle w:val="Normal"/></w:pPr>
<w:r><w:t xml:space="preserve">about the 15th century as nomad herdsmen, are found chiefly</w:t></w:r>
</w:p>
<w:p>
<w:pPr><w:pStyle w:val="Normal"/></w:pPr>
<w:r><w:t xml:space="preserve">in the valleys, the pagan tribes holding the mountainous</w:t></w:r>
</w:p>
<w:p>
<w:pPr><w:pStyle w:val="Normal"/></w:pPr>
<w:r><w:t xml:space="preserve">districts.  There are also in the country numbers of Hausa,</w:t></w:r>
</w:p>
<w:p>
<w:pPr><w:pStyle w:val="Normal"/></w:pPr>
<w:r><w:t xml:space="preserve">who are chiefly traders, as well as Arabs and Kanuri from</w:t></w:r>
</w:p>
<w:p>
<w:pPr><w:pStyle w:val="Normal"/></w:pPr>
<w:r><w:t xml:space="preserve">Bornu.  The emir of Yola, in the period of Fula lordship, claimed</w:t></w:r>
</w:p>
<w:p>
<w:pPr><w:pStyle w:val="Normal"/></w:pPr>
<w:r><w:t xml:space="preserve">rights of suzerainty over the whole of Adamawa, but the country,</w:t></w:r>
</w:p>
<w:p>
<w:pPr><w:pStyle w:val="Normal"/></w:pPr>
<w:r><w:t xml:space="preserve">since the subjection of the Fula (e. 1900), has consisted of</w:t></w:r>
</w:p>
<w:p>
<w:pPr><w:pStyle w:val="Normal"/></w:pPr>
<w:r><w:t xml:space="preserve">a number of small states under the control of the British and</w:t></w:r>
</w:p>
<w:p>
<w:pPr><w:pStyle w:val="Normal"/></w:pPr>
<w:r><w:t xml:space="preserve">Germans.  Garua on the upper Benne, 65 m. east of Yola, is</w:t></w:r>
</w:p>
<w:p>
<w:pPr><w:pStyle w:val="Normal"/></w:pPr>
<w:r><w:t xml:space="preserve">the headquarters of the German administration for the region</w:t></w:r>
</w:p>
<w:p>
<w:pPr><w:pStyle w:val="Normal"/></w:pPr>
<w:r><w:t xml:space="preserve">and the chief trade centre in the north of Adamawa.  Yoko is</w:t></w:r>
</w:p>
<w:p>
<w:pPr><w:pStyle w:val="Normal"/></w:pPr>
<w:r><w:t xml:space="preserve">one of the principal towns in the south of the country, and in</w:t></w:r>
</w:p>
<w:p>
<w:pPr><w:pStyle w:val="Normal"/></w:pPr>
<w:r><w:t xml:space="preserve">the centre is the important town of Ngaundere.  After Heinrich</w:t></w:r>
</w:p>
<w:p>
<w:pPr><w:pStyle w:val="Normal"/></w:pPr>
<w:r><w:t xml:space="preserve">Barth, who explored the country in 1851, the first traveller</w:t></w:r>
</w:p>
<w:p>
<w:pPr><w:pStyle w:val="Normal"/></w:pPr>
<w:r><w:t xml:space="preserve">to penetrate Adamawa was the German, E. R. Flegel (1882).  It</w:t></w:r>
</w:p>
<w:p>
<w:pPr><w:pStyle w:val="Normal"/></w:pPr>
<w:r><w:t xml:space="preserve">has since been traversed by many expeditions, notably that of</w:t></w:r>
</w:p>
<w:p>
<w:pPr><w:pStyle w:val="Normal"/></w:pPr>
<w:r><w:t xml:space="preserve">Baron von Uechtritz and Dr Siegfried Passarge (1893--1894).</w:t></w:r>
</w:p>
<w:p>
<w:pPr><w:pStyle w:val="Normal"/></w:pPr>
<w:r><w:t xml:space="preserve">An interesting account of Adamawa, its peoples and history, is</w:t></w:r>
</w:p>
<w:p>
<w:pPr><w:pStyle w:val="Normal"/></w:pPr>
<w:r><w:t xml:space="preserve">given by Heinrich Barth in his Travels in North and Central</w:t></w:r>
</w:p>
<w:p>
<w:pPr><w:pStyle w:val="Normal"/></w:pPr>
<w:r><w:t xml:space="preserve">Africa (new edition, London, 1890), and later information is</w:t></w:r>
</w:p>
<w:p>
<w:pPr><w:pStyle w:val="Normal"/></w:pPr>
<w:r><w:t xml:space="preserve">contained in S. Passarge&apos;s Adamawa (Berlin, 1895). (See also</w:t></w:r>
</w:p>
<w:p>
<w:pPr><w:pStyle w:val="Normal"/></w:pPr>
<w:r><w:t xml:space="preserve">CAMEROON and NIGERIA, and the bibliographies there given.)</w:t></w:r>
</w:p>
<w:p>
<w:pPr><w:pStyle w:val="Normal"/></w:pPr>
<w:r><w:t xml:space="preserve">ADAMITES, or ADAMIANS, a sect of heretics that flourished</w:t></w:r>
</w:p>
<w:p>
<w:pPr><w:pStyle w:val="Normal"/></w:pPr>
<w:r><w:t xml:space="preserve">in North Africa in the 2nd and 3rd centuries.  Basing itself</w:t></w:r>
</w:p>
<w:p>
<w:pPr><w:pStyle w:val="Normal"/></w:pPr>
<w:r><w:t xml:space="preserve">probably on a union of certain gnostic and ascetic doctrines,</w:t></w:r>
</w:p>
<w:p>
<w:pPr><w:pStyle w:val="Normal"/></w:pPr>
<w:r><w:t xml:space="preserve">this sect pretended that its members were re-established</w:t></w:r>
</w:p>
<w:p>
<w:pPr><w:pStyle w:val="Normal"/></w:pPr>
<w:r><w:t xml:space="preserve">in Adam&apos;s state of original innocency.  They accordingly</w:t></w:r>
</w:p>
<w:p>
<w:pPr><w:pStyle w:val="Normal"/></w:pPr>
<w:r><w:t xml:space="preserve">rejected the form of marriage, which, they said, would never</w:t></w:r>
</w:p>
<w:p>
<w:pPr><w:pStyle w:val="Normal"/></w:pPr>
<w:r><w:t xml:space="preserve">have existed but for sin, and lived in absolute lawlessness,</w:t></w:r>
</w:p>
<w:p>
<w:pPr><w:pStyle w:val="Normal"/></w:pPr>
<w:r><w:t xml:space="preserve">holding that, whatever they did, their actions could be neither</w:t></w:r>
</w:p>
<w:p>
<w:pPr><w:pStyle w:val="Normal"/></w:pPr>
<w:r><w:t xml:space="preserve">good nor bad.  During the middle ages the doctrines of this</w:t></w:r>
</w:p>
<w:p>
<w:pPr><w:pStyle w:val="Normal"/></w:pPr>
<w:r><w:t xml:space="preserve">obscure sect, which did not itself exist long, were revived</w:t></w:r>
</w:p>
<w:p>
<w:pPr><w:pStyle w:val="Normal"/></w:pPr>
<w:r><w:t xml:space="preserve">in Europe by the Brethren and Sisters of the Free Spirit.</w:t></w:r>
</w:p>
<w:p>
<w:pPr><w:pStyle w:val="Normal"/></w:pPr>
<w:r><w:t xml:space="preserve">ADAMNAN, or ADOMNAN (c. 624-704), Irish saint and</w:t></w:r>
</w:p>
<w:p>
<w:pPr><w:pStyle w:val="Normal"/></w:pPr>
<w:r><w:t xml:space="preserve">historian, was born at Raphoe, Donegal, Ireland, about the</w:t></w:r>
</w:p>
<w:p>
<w:pPr><w:pStyle w:val="Normal"/></w:pPr>
<w:r><w:t xml:space="preserve">year 624. In 679 he was elected abbot of Hy or Iona, being</w:t></w:r>
</w:p>
<w:p>
<w:pPr><w:pStyle w:val="Normal"/></w:pPr>
<w:r><w:t xml:space="preserve">ninth in succession from the founder, St Columba.  While on</w:t></w:r>
</w:p>
<w:p>
<w:pPr><w:pStyle w:val="Normal"/></w:pPr>
<w:r><w:t xml:space="preserve">a mission to the court of King Aldfrith of Northumberland in</w:t></w:r>
</w:p>
<w:p>
<w:pPr><w:pStyle w:val="Normal"/></w:pPr>
<w:r><w:t xml:space="preserve">686, he was led to adopt the Roman rules with regard to the</w:t></w:r>
</w:p>
<w:p>
<w:pPr><w:pStyle w:val="Normal"/></w:pPr>
<w:r><w:t xml:space="preserve">time for celebrating Easter and the tonsure, and on his return</w:t></w:r>
</w:p>
<w:p>
<w:pPr><w:pStyle w:val="Normal"/></w:pPr>
<w:r><w:t xml:space="preserve">to Iona he tried without success to enforce the change upon the</w:t></w:r>
</w:p>
<w:p>
<w:pPr><w:pStyle w:val="Normal"/></w:pPr>
<w:r><w:t xml:space="preserve">monks.  He died on the 23rd of September 704. Adamnan wrote</w:t></w:r>
</w:p>
<w:p>
<w:pPr><w:pStyle w:val="Normal"/></w:pPr>
<w:r><w:t xml:space="preserve">a Life of St Columba, which, though abounding in fabulous</w:t></w:r>
</w:p>
<w:p>
<w:pPr><w:pStyle w:val="Normal"/></w:pPr>
<w:r><w:t xml:space="preserve">matter, is of great interest and value.  The best editions</w:t></w:r>
</w:p>
<w:p>
<w:pPr><w:pStyle w:val="Normal"/></w:pPr>
<w:r><w:t xml:space="preserve">are those published by W. Reeves (1857, new edit.  Edinburgh,</w:t></w:r>
</w:p>
<w:p>
<w:pPr><w:pStyle w:val="Normal"/></w:pPr>
<w:r><w:t xml:space="preserve">1874) and by J. T. Fowler (Oxford, 1894).  Adamnan&apos;s other</w:t></w:r>
</w:p>
<w:p>
<w:pPr><w:pStyle w:val="Normal"/></w:pPr>
<w:r><w:t xml:space="preserve">well-known work, De Locis Sanctis (edited by P. Geyer,</w:t></w:r>
</w:p>
<w:p>
<w:pPr><w:pStyle w:val="Normal"/></w:pPr>
<w:r><w:t xml:space="preserve">Itinera Hierosolymitana saeculi, iii.-viii., &amp;c., 1898;</w:t></w:r>
</w:p>
<w:p>
<w:pPr><w:pStyle w:val="Normal"/></w:pPr>
<w:r><w:t xml:space="preserve">vol. 39 of Bienna Corpus Script.  Ecc. Latin) was based,</w:t></w:r>
</w:p>
<w:p>
<w:pPr><w:pStyle w:val="Normal"/></w:pPr>
<w:r><w:t xml:space="preserve">according to Bede, on information received from Arculf, a French</w:t></w:r>
</w:p>
<w:p>
<w:pPr><w:pStyle w:val="Normal"/></w:pPr>
<w:r><w:t xml:space="preserve">bishop, who, on his return from the Holy Land, was wrecked on</w:t></w:r>
</w:p>
<w:p>
<w:pPr><w:pStyle w:val="Normal"/></w:pPr>
<w:r><w:t xml:space="preserve">the west coast of Britain, and was entertained for a time at</w:t></w:r>
</w:p>
<w:p>
<w:pPr><w:pStyle w:val="Normal"/></w:pPr>
<w:r><w:t xml:space="preserve">Iona.  This was first published at Ingolstadt in 1619 by J.</w:t></w:r>
</w:p>
<w:p>
<w:pPr><w:pStyle w:val="Normal"/></w:pPr>
<w:r><w:t xml:space="preserve">Gretser, who also defended Baronius&apos; acceptance of Arculf&apos;s</w:t></w:r>
</w:p>
<w:p>
<w:pPr><w:pStyle w:val="Normal"/></w:pPr>
<w:r><w:t xml:space="preserve">narrative against Casaubon.  An English translation by G.</w:t></w:r>
</w:p>
<w:p>
<w:pPr><w:pStyle w:val="Normal"/></w:pPr>
<w:r><w:t xml:space="preserve">J. R. Macpherson, Arculfus&apos; Pilgrimage in the Holy Land.</w:t></w:r>
</w:p>
<w:p>
<w:pPr><w:pStyle w:val="Normal"/></w:pPr>
<w:r><w:t xml:space="preserve">was published by the Pilgrim&apos;s Text Society (London, 1889).</w:t></w:r>
</w:p>
<w:p>
<w:pPr><w:pStyle w:val="Normal"/></w:pPr>
<w:r><w:t xml:space="preserve">For full bibliography see U. Chevalier, Repert</w:t></w:r>
</w:p>
<w:p>
<w:pPr><w:pStyle w:val="Normal"/></w:pPr>
<w:r><w:t xml:space="preserve">de sources Historiques (1903), p. 40.</w:t></w:r>
</w:p>
<w:p>
<w:pPr><w:pStyle w:val="Normal"/></w:pPr>
<w:r><w:t xml:space="preserve">ADAMS, ANDREW LEITH (1827-1882), Scottish naturalist and</w:t></w:r>
</w:p>
<w:p>
<w:pPr><w:pStyle w:val="Normal"/></w:pPr>
<w:r><w:t xml:space="preserve">palaeontologist, the second son of Francis Adams of Banchory,</w:t></w:r>
</w:p>
<w:p>
<w:pPr><w:pStyle w:val="Normal"/></w:pPr>
<w:r><w:t xml:space="preserve">Aberdeen, was born on the 21st of March 1827, and was educated</w:t></w:r>
</w:p>
<w:p>
<w:pPr><w:pStyle w:val="Normal"/></w:pPr>
<w:r><w:t xml:space="preserve">to the medical profession.  As surgeon in the Army Medical</w:t></w:r>
</w:p>
<w:p>
<w:pPr><w:pStyle w:val="Normal"/></w:pPr>
<w:r><w:t xml:space="preserve">Department from 1848 to 1873, he utilized his opportunities</w:t></w:r>
</w:p>
<w:p>
<w:pPr><w:pStyle w:val="Normal"/></w:pPr>
<w:r><w:t xml:space="preserve">for the study of natural history in India and Kashmir, in</w:t></w:r>
</w:p>
<w:p>
<w:pPr><w:pStyle w:val="Normal"/></w:pPr>
<w:r><w:t xml:space="preserve">Egypt, Malta, Gibraltar and Canada.  His observations on the</w:t></w:r>
</w:p>
<w:p>
<w:pPr><w:pStyle w:val="Normal"/></w:pPr>
<w:r><w:t xml:space="preserve">fossil vertebrata of the Maltese Islands led him eventually</w:t></w:r>
</w:p>
<w:p>
<w:pPr><w:pStyle w:val="Normal"/></w:pPr>
<w:r><w:t xml:space="preserve">to give special study to fossil elephants, on which he became</w:t></w:r>
</w:p>
<w:p>
<w:pPr><w:pStyle w:val="Normal"/></w:pPr>
<w:r><w:t xml:space="preserve">an acknowledged authority.  In 1872 he was elected F.R.S.  In</w:t></w:r>
</w:p>
<w:p>
<w:pPr><w:pStyle w:val="Normal"/></w:pPr>
<w:r><w:t xml:space="preserve">1873 he was chosen professor of zoology in the Royal College of</w:t></w:r>
</w:p>
<w:p>
<w:pPr><w:pStyle w:val="Normal"/></w:pPr>
<w:r><w:t xml:space="preserve">Science, Dublin, and in 1878 professor of natural history in</w:t></w:r>
</w:p>
<w:p>
<w:pPr><w:pStyle w:val="Normal"/></w:pPr>
<w:r><w:t xml:space="preserve">Queen&apos;s College, Cork, a post which he held until the close</w:t></w:r>
</w:p>
<w:p>
<w:pPr><w:pStyle w:val="Normal"/></w:pPr>
<w:r><w:t xml:space="preserve">of his life.  He died at Queenstown on the 29th of July 1882.</w:t></w:r>
</w:p>
<w:p>
<w:pPr><w:pStyle w:val="Normal"/></w:pPr>
<w:r><w:t xml:space="preserve">PUBLICATIONS.--Notes of a Naturalist in the Nile Valley and Malta</w:t></w:r>
</w:p>
<w:p>
<w:pPr><w:pStyle w:val="Normal"/></w:pPr>
<w:r><w:t xml:space="preserve">(London, 1870); other works of travel; Monograph on the British</w:t></w:r>
</w:p>
<w:p>
<w:pPr><w:pStyle w:val="Normal"/></w:pPr>
<w:r><w:t xml:space="preserve">Fossil Elephants (Palaeontographical Soc.), (London, 1877-1881).</w:t></w:r>
</w:p>
<w:p>
<w:pPr><w:pStyle w:val="Normal"/></w:pPr>
<w:r><w:t xml:space="preserve">ADAMS, CHARLES FRANCIS (1807-1886), American diplomatist,</w:t></w:r>
</w:p>
<w:p>
<w:pPr><w:pStyle w:val="Normal"/></w:pPr>
<w:r><w:t xml:space="preserve">son of John Quincy Adams, and grandson of John Adams, was</w:t></w:r>
</w:p>
<w:p>
<w:pPr><w:pStyle w:val="Normal"/></w:pPr>
<w:r><w:t xml:space="preserve">born in Boston on the 18th of August 1807.  His father, having</w:t></w:r>
</w:p>
<w:p>
<w:pPr><w:pStyle w:val="Normal"/></w:pPr>
<w:r><w:t xml:space="preserve">been appointed minister to Russia, took him in 1809 to St</w:t></w:r>
</w:p>
<w:p>
<w:pPr><w:pStyle w:val="Normal"/></w:pPr>
<w:r><w:t xml:space="preserve">Petersburg, where he acquired a perfect familiarity with</w:t></w:r>
</w:p>
<w:p>
<w:pPr><w:pStyle w:val="Normal"/></w:pPr>
<w:r><w:t xml:space="preserve">French, learning it as his native tongue.  After eight years</w:t></w:r>
</w:p>
<w:p>
<w:pPr><w:pStyle w:val="Normal"/></w:pPr>
<w:r><w:t xml:space="preserve">spent in Russia and England, he attended the Boston Latin</w:t></w:r>
</w:p>
<w:p>
<w:pPr><w:pStyle w:val="Normal"/></w:pPr>
<w:r><w:t xml:space="preserve">School for four years, and in 1825 graduated at Harvard.  He</w:t></w:r>
</w:p>
<w:p>
<w:pPr><w:pStyle w:val="Normal"/></w:pPr>
<w:r><w:t xml:space="preserve">lived two years in the executive mansion, Washington, during</w:t></w:r>
</w:p>
<w:p>
<w:pPr><w:pStyle w:val="Normal"/></w:pPr>
<w:r><w:t xml:space="preserve">his father&apos;s presidential term, studying law and moving in</w:t></w:r>
</w:p>
<w:p>
<w:pPr><w:pStyle w:val="Normal"/></w:pPr>
<w:r><w:t xml:space="preserve">a society where he met Webster, Clay, Jackson and Randolph.</w:t></w:r>
</w:p>
<w:p>
<w:pPr><w:pStyle w:val="Normal"/></w:pPr>
<w:r><w:t xml:space="preserve">Returning to Boston, he devoted ten years to business and</w:t></w:r>
</w:p>
<w:p>
<w:pPr><w:pStyle w:val="Normal"/></w:pPr>
<w:r><w:t xml:space="preserve">study, and wrote for the North American Review. He also</w:t></w:r>
</w:p>
<w:p>
<w:pPr><w:pStyle w:val="Normal"/></w:pPr>
<w:r><w:t xml:space="preserve">undertook the management of his father&apos;s pecuniary affairs,</w:t></w:r>
</w:p>
<w:p>
<w:pPr><w:pStyle w:val="Normal"/></w:pPr>
<w:r><w:t xml:space="preserve">and actively supported him in his contest in the House of</w:t></w:r>
</w:p>
<w:p>
<w:pPr><w:pStyle w:val="Normal"/></w:pPr>
<w:r><w:t xml:space="preserve">Representatives for the right of petition and the anti-slavery</w:t></w:r>
</w:p>
<w:p>
<w:pPr><w:pStyle w:val="Normal"/></w:pPr>
<w:r><w:t xml:space="preserve">cause.  In 1835 he wrote an effective and widely read political</w:t></w:r>
</w:p>
<w:p>
<w:pPr><w:pStyle w:val="Normal"/></w:pPr>
<w:r><w:t xml:space="preserve">pamphlet, entitled, after Edmund Burke&apos;s more famous work, An</w:t></w:r>
</w:p>
<w:p>
<w:pPr><w:pStyle w:val="Normal"/></w:pPr>
<w:r><w:t xml:space="preserve">Appeal from the New to the Old Whigs. He was a member of</w:t></w:r>
</w:p>
<w:p>
<w:pPr><w:pStyle w:val="Normal"/></w:pPr>
<w:r><w:t xml:space="preserve">the Massachusetts general court from 1840 to 1845, sitting for</w:t></w:r>
</w:p>
<w:p>
<w:pPr><w:pStyle w:val="Normal"/></w:pPr>
<w:r><w:t xml:space="preserve">three years in the House of Representatives and for two years</w:t></w:r>
</w:p>
<w:p>
<w:pPr><w:pStyle w:val="Normal"/></w:pPr>
<w:r><w:t xml:space="preserve">in the Senate; and in 1846-1848 he edited a party Journal,</w:t></w:r>
</w:p>
<w:p>
<w:pPr><w:pStyle w:val="Normal"/></w:pPr>
<w:r><w:t xml:space="preserve">the Boston Whig. In 1848 he was prominent in politics as</w:t></w:r>
</w:p>
<w:p>
<w:pPr><w:pStyle w:val="Normal"/></w:pPr>
<w:r><w:t xml:space="preserve">a ``Conscience Whig,&apos;&apos; presiding over the Buffalo Convention</w:t></w:r>
</w:p>
<w:p>
<w:pPr><w:pStyle w:val="Normal"/></w:pPr>
<w:r><w:t xml:space="preserve">which formed the Free Soil party and nominated Martin van</w:t></w:r>
</w:p>
<w:p>
<w:pPr><w:pStyle w:val="Normal"/></w:pPr>
<w:r><w:t xml:space="preserve">Buren for president and himself for vice-president.  He was a</w:t></w:r>
</w:p>
<w:p>
<w:pPr><w:pStyle w:val="Normal"/></w:pPr>
<w:r><w:t xml:space="preserve">Republican member of the Thirty-Sixth Congress, which assembled</w:t></w:r>
</w:p>
<w:p>
<w:pPr><w:pStyle w:val="Normal"/></w:pPr>
<w:r><w:t xml:space="preserve">on the 5th of December 1859, and during the second session,</w:t></w:r>
</w:p>
<w:p>
<w:pPr><w:pStyle w:val="Normal"/></w:pPr>
<w:r><w:t xml:space="preserve">from the 3rd of December 1860 to the 4th of March 1861, he</w:t></w:r>
</w:p>
<w:p>
<w:pPr><w:pStyle w:val="Normal"/></w:pPr>
<w:r><w:t xml:space="preserve">represented Massachusetts in the Congressional Committee of</w:t></w:r>
</w:p>
<w:p>
<w:pPr><w:pStyle w:val="Normal"/></w:pPr>
<w:r><w:t xml:space="preserve">Thirty-three at the time of the secession of seven of the Southern</w:t></w:r>
</w:p>
<w:p>
<w:pPr><w:pStyle w:val="Normal"/></w:pPr>
<w:r><w:t xml:space="preserve">states.  His selection by the chairman of this committee, Thomas</w:t></w:r>
</w:p>
<w:p>
<w:pPr><w:pStyle w:val="Normal"/></w:pPr>
<w:r><w:t xml:space="preserve">Corwin, to present to the full committee certain propositions</w:t></w:r>
</w:p>
<w:p>
<w:pPr><w:pStyle w:val="Normal"/></w:pPr>
<w:r><w:t xml:space="preserve">agreed upon by two-thirds of the Republican members, and</w:t></w:r>
</w:p>
<w:p>
<w:pPr><w:pStyle w:val="Normal"/></w:pPr>
<w:r><w:t xml:space="preserve">his calm and able speech of the 31st of January 1861 in the</w:t></w:r>
</w:p>
<w:p>
<w:pPr><w:pStyle w:val="Normal"/></w:pPr>
<w:r><w:t xml:space="preserve">House, served to make him conspicuous before congress and the</w:t></w:r>
</w:p>
<w:p>
<w:pPr><w:pStyle w:val="Normal"/></w:pPr>
<w:r><w:t xml:space="preserve">country.  Together with William H. Seward, he stood for the</w:t></w:r>
</w:p>
<w:p>
<w:pPr><w:pStyle w:val="Normal"/></w:pPr>
<w:r><w:t xml:space="preserve">Republican policy of concession; and, while he was criticized</w:t></w:r>
</w:p>
<w:p>
<w:pPr><w:pStyle w:val="Normal"/></w:pPr>
<w:r><w:t xml:space="preserve">severely and charged with inconsistency in view of his record</w:t></w:r>
</w:p>
<w:p>
<w:pPr><w:pStyle w:val="Normal"/></w:pPr>
<w:r><w:t xml:space="preserve">as a ``Conscience Whig,&apos;&apos; he was of the same mind as President</w:t></w:r>
</w:p>
<w:p>
<w:pPr><w:pStyle w:val="Normal"/></w:pPr>
<w:r><w:t xml:space="preserve">Lincoln, willing to concede non-essentials, but holding rigidly</w:t></w:r>
</w:p>
<w:p>
<w:pPr><w:pStyle w:val="Normal"/></w:pPr>
<w:r><w:t xml:space="preserve">to the principle, properly understood, that there must be no</w:t></w:r>
</w:p>
<w:p>
<w:pPr><w:pStyle w:val="Normal"/></w:pPr>
<w:r><w:t xml:space="preserve">extension of slavery.  He believed that as the Republicans</w:t></w:r>
</w:p>
<w:p>
<w:pPr><w:pStyle w:val="Normal"/></w:pPr>
<w:r><w:t xml:space="preserve">were the victors they ought to show a spirit of conciliation,</w:t></w:r>
</w:p>
<w:p>
<w:pPr><w:pStyle w:val="Normal"/></w:pPr>
<w:r><w:t xml:space="preserve">and that the policy of righteousness was likewise one of</w:t></w:r>
</w:p>
<w:p>
<w:pPr><w:pStyle w:val="Normal"/></w:pPr>
<w:r><w:t xml:space="preserve">expediency, since it would have for its result the holding of</w:t></w:r>
</w:p>
<w:p>
<w:pPr><w:pStyle w:val="Normal"/></w:pPr>
<w:r><w:t xml:space="preserve">the border slave states with the North until the 4th of March,</w:t></w:r>
</w:p>
<w:p>
<w:pPr><w:pStyle w:val="Normal"/></w:pPr>
<w:r><w:t xml:space="preserve">when the Republicans could take possession of the government at</w:t></w:r>
</w:p>
<w:p>
<w:pPr><w:pStyle w:val="Normal"/></w:pPr>
<w:r><w:t xml:space="preserve">Washington.  With the incoming of the new administration Secretary</w:t></w:r>
</w:p>
<w:p>
<w:pPr><w:pStyle w:val="Normal"/></w:pPr>
<w:r><w:t xml:space="preserve">Seward secured for Adams the appointment of minister to Great</w:t></w:r>
</w:p>
<w:p>
<w:pPr><w:pStyle w:val="Normal"/></w:pPr>
<w:r><w:t xml:space="preserve">Britain.  So much sympathy was shown in England for the South</w:t></w:r>
</w:p>
<w:p>
<w:pPr><w:pStyle w:val="Normal"/></w:pPr>
<w:r><w:t xml:space="preserve">that his path was beset with difficulties; but his mission</w:t></w:r>
</w:p>
<w:p>
<w:pPr><w:pStyle w:val="Normal"/></w:pPr>
<w:r><w:t xml:space="preserve">was to prevent the interference of Great Britain in the</w:t></w:r>
</w:p>
<w:p>
<w:pPr><w:pStyle w:val="Normal"/></w:pPr>
<w:r><w:t xml:space="preserve">struggle; and while the work of Lincoln, Seward and Sumner,</w:t></w:r>
</w:p>
<w:p>
<w:pPr><w:pStyle w:val="Normal"/></w:pPr>
<w:r><w:t xml:space="preserve">and the cause of emancipation, tended to this end, the American</w:t></w:r>
</w:p>
<w:p>
<w:pPr><w:pStyle w:val="Normal"/></w:pPr>
<w:r><w:t xml:space="preserve">minister was insistent and unyielding, and knew how to present</w:t></w:r>
</w:p>
<w:p>
<w:pPr><w:pStyle w:val="Normal"/></w:pPr>
<w:r><w:t xml:space="preserve">his case forcibly and with dignity.  He laboured with energy</w:t></w:r>
</w:p>
<w:p>
<w:pPr><w:pStyle w:val="Normal"/></w:pPr>
<w:r><w:t xml:space="preserve">and discretion to prevent the sailing of the ``Alabama&apos;&apos;;</w:t></w:r>
</w:p>
<w:p>
<w:pPr><w:pStyle w:val="Normal"/></w:pPr>
<w:r><w:t xml:space="preserve">and, when unsuccessful in this, he persistently urged upon</w:t></w:r>
</w:p>
<w:p>
<w:pPr><w:pStyle w:val="Normal"/></w:pPr>
<w:r><w:t xml:space="preserve">the British government its responsibility for the destruction</w:t></w:r>
</w:p>
<w:p>
<w:pPr><w:pStyle w:val="Normal"/></w:pPr>
<w:r><w:t xml:space="preserve">of American merchant vessels by the privateer.  In his own</w:t></w:r>
</w:p>
<w:p>
<w:pPr><w:pStyle w:val="Normal"/></w:pPr>
<w:r><w:t xml:space="preserve">diary he shows that underneath his calm exterior were serious</w:t></w:r>
</w:p>
<w:p>
<w:pPr><w:pStyle w:val="Normal"/></w:pPr>
<w:r><w:t xml:space="preserve">trouble and keen anxiety; and, in fact, the strain which</w:t></w:r>
</w:p>
<w:p>
<w:pPr><w:pStyle w:val="Normal"/></w:pPr>
<w:r><w:t xml:space="preserve">he underwent during the Civil War made itself felt in later</w:t></w:r>
</w:p>
<w:p>
<w:pPr><w:pStyle w:val="Normal"/></w:pPr>
<w:r><w:t xml:space="preserve">years.  Adams was instrumental in getting Lord John Russell to</w:t></w:r>
</w:p>
<w:p>
<w:pPr><w:pStyle w:val="Normal"/></w:pPr>
<w:r><w:t xml:space="preserve">stop the ``Alexandra,&apos;&apos; and it was his industry and pertinacity</w:t></w:r>
</w:p>
<w:p>
<w:pPr><w:pStyle w:val="Normal"/></w:pPr>
<w:r><w:t xml:space="preserve">in argument and remonstrance that induced Russell to order</w:t></w:r>
</w:p>
<w:p>
<w:pPr><w:pStyle w:val="Normal"/></w:pPr>
<w:r><w:t xml:space="preserve">the detention in September 1863 of the two ironclad rams</w:t></w:r>
</w:p>
<w:p>
<w:pPr><w:pStyle w:val="Normal"/></w:pPr>
<w:r><w:t xml:space="preserve">intended for the Confederate States.  Adams remained in England</w:t></w:r>
</w:p>
<w:p>
<w:pPr><w:pStyle w:val="Normal"/></w:pPr>
<w:r><w:t xml:space="preserve">until May 1868.  His last important work was as a member, in</w:t></w:r>
</w:p>
<w:p>
<w:pPr><w:pStyle w:val="Normal"/></w:pPr>
<w:r><w:t xml:space="preserve">1871--1872, of the tribunal of arbitration at Geneva which</w:t></w:r>
</w:p>
<w:p>
<w:pPr><w:pStyle w:val="Normal"/></w:pPr>
<w:r><w:t xml:space="preserve">disposed of the ``Alabama&apos;&apos; claims.  His knowledge of the</w:t></w:r>
</w:p>
<w:p>
<w:pPr><w:pStyle w:val="Normal"/></w:pPr>
<w:r><w:t xml:space="preserve">subject and his fairness of mind enabled him to render his</w:t></w:r>
</w:p>
<w:p>
<w:pPr><w:pStyle w:val="Normal"/></w:pPr>
<w:r><w:t xml:space="preserve">country and the cause of international arbitration valuable</w:t></w:r>
</w:p>
<w:p>
<w:pPr><w:pStyle w:val="Normal"/></w:pPr>
<w:r><w:t xml:space="preserve">service.  He died at Boston on the 21st of November 1886.</w:t></w:r>
</w:p>
<w:p>
<w:pPr><w:pStyle w:val="Normal"/></w:pPr>
<w:r><w:t xml:space="preserve">He edited the works of John Adams (10 vols.. 1850-1856), and</w:t></w:r>
</w:p>
<w:p>
<w:pPr><w:pStyle w:val="Normal"/></w:pPr>
<w:r><w:t xml:space="preserve">the Memoirs of John Quincy Adams (12 vols., 1874-1877).  See the</w:t></w:r>
</w:p>
<w:p>
<w:pPr><w:pStyle w:val="Normal"/></w:pPr>
<w:r><w:t xml:space="preserve">excellent biography (Boston, 1900), in the ``American Statesmen</w:t></w:r>
</w:p>
<w:p>
<w:pPr><w:pStyle w:val="Normal"/></w:pPr>
<w:r><w:t xml:space="preserve">Series,&apos;&apos; by his son, Charles Francis Adams, Jr. (J. F. R.)</w:t></w:r>
</w:p>
<w:p>
<w:pPr><w:pStyle w:val="Normal"/></w:pPr>
<w:r><w:t xml:space="preserve">ADAMS, HENRY (1838-- ), American historian, son of Charles</w:t></w:r>
</w:p>
<w:p>
<w:pPr><w:pStyle w:val="Normal"/></w:pPr>
<w:r><w:t xml:space="preserve">Francis Adams and grandson of John Quincy Adams, was born</w:t></w:r>
</w:p>
<w:p>
<w:pPr><w:pStyle w:val="Normal"/></w:pPr>
<w:r><w:t xml:space="preserve">in Boston, Massachusetts, on the 16th of February 1838.</w:t></w:r>
</w:p>
<w:p>
<w:pPr><w:pStyle w:val="Normal"/></w:pPr>
<w:r><w:t xml:space="preserve">He graduated at Harvard in 1858, and from 1861 to 1868 was</w:t></w:r>
</w:p>
<w:p>
<w:pPr><w:pStyle w:val="Normal"/></w:pPr>
<w:r><w:t xml:space="preserve">private secretary to his father.  From 1870 to 1877 he was</w:t></w:r>
</w:p>
<w:p>
<w:pPr><w:pStyle w:val="Normal"/></w:pPr>
<w:r><w:t xml:space="preserve">assistant professor of history at Harvard and from 1870 to 1876</w:t></w:r>
</w:p>
<w:p>
<w:pPr><w:pStyle w:val="Normal"/></w:pPr>
<w:r><w:t xml:space="preserve">was editor of the North American Review. He is considered</w:t></w:r>
</w:p>
<w:p>
<w:pPr><w:pStyle w:val="Normal"/></w:pPr>
<w:r><w:t xml:space="preserve">to have been the first (in 1874-1876) to conduct historical</w:t></w:r>
</w:p>
<w:p>
<w:pPr><w:pStyle w:val="Normal"/></w:pPr>
<w:r><w:t xml:space="preserve">seminary work in the United States.  His great work is his</w:t></w:r>
</w:p>
<w:p>
<w:pPr><w:pStyle w:val="Normal"/></w:pPr>
<w:r><w:t xml:space="preserve">History of the United States (1801 to 1817) (9 vols.,</w:t></w:r>
</w:p>
<w:p>
<w:pPr><w:pStyle w:val="Normal"/></w:pPr>
<w:r><w:t xml:space="preserve">1889--1891), which is incomparably the best work yet published</w:t></w:r>
</w:p>
<w:p>
<w:pPr><w:pStyle w:val="Normal"/></w:pPr>
<w:r><w:t xml:space="preserve">dealing with the administrations of Presidents Jefferson and</w:t></w:r>
</w:p>
<w:p>
<w:pPr><w:pStyle w:val="Normal"/></w:pPr>
<w:r><w:t xml:space="preserve">Madison.  It is particularly notable for its account of the</w:t></w:r>
</w:p>
<w:p>
<w:pPr><w:pStyle w:val="Normal"/></w:pPr>
<w:r><w:t xml:space="preserve">diplomatic relations of the United States during this period,</w:t></w:r>
</w:p>
<w:p>
<w:pPr><w:pStyle w:val="Normal"/></w:pPr>
<w:r><w:t xml:space="preserve">and for its essential impartiality.  Adams also published:</w:t></w:r>
</w:p>
<w:p>
<w:pPr><w:pStyle w:val="Normal"/></w:pPr>
<w:r><w:t xml:space="preserve">Life of Albert Gallatin (1879), John Randolph (1882)</w:t></w:r>
</w:p>
<w:p>
<w:pPr><w:pStyle w:val="Normal"/></w:pPr>
<w:r><w:t xml:space="preserve">in the ``American Statesmen Series,&apos;&apos; and Historical Essays</w:t></w:r>
</w:p>
<w:p>
<w:pPr><w:pStyle w:val="Normal"/></w:pPr>
<w:r><w:t xml:space="preserve">(1891); besides editing Documents Relating to New England</w:t></w:r>
</w:p>
<w:p>
<w:pPr><w:pStyle w:val="Normal"/></w:pPr>
<w:r><w:t xml:space="preserve">Federalism (1877), and the Writings of Albert Gallatin</w:t></w:r>
</w:p>
<w:p>
<w:pPr><w:pStyle w:val="Normal"/></w:pPr>
<w:r><w:t xml:space="preserve">(3 volumes, 1879).  In collaboration with his elder brother</w:t></w:r>
</w:p>
<w:p>
<w:pPr><w:pStyle w:val="Normal"/></w:pPr>
<w:r><w:t xml:space="preserve">Charles Francis Adams, Jr., he published Chapters of Erie</w:t></w:r>
</w:p>
<w:p>
<w:pPr><w:pStyle w:val="Normal"/></w:pPr>
<w:r><w:t xml:space="preserve">and Other Essays (1871), and, with H. C. Lodge, Ernest</w:t></w:r>
</w:p>
<w:p>
<w:pPr><w:pStyle w:val="Normal"/></w:pPr>
<w:r><w:t xml:space="preserve">Young and J. L. Laughlin, Essays in Anglo-Saxon Law (1876).</w:t></w:r>
</w:p>
<w:p>
<w:pPr><w:pStyle w:val="Normal"/></w:pPr>
<w:r><w:t xml:space="preserve">His elder brother, JOHN QUINCY ADAMS (1833-1894), a graduate</w:t></w:r>
</w:p>
<w:p>
<w:pPr><w:pStyle w:val="Normal"/></w:pPr>
<w:r><w:t xml:space="preserve">of Harvard (1853), practised law, and was a Democratic</w:t></w:r>
</w:p>
<w:p>
<w:pPr><w:pStyle w:val="Normal"/></w:pPr>
<w:r><w:t xml:space="preserve">member for several terms of the Massachusetts general</w:t></w:r>
</w:p>
<w:p>
<w:pPr><w:pStyle w:val="Normal"/></w:pPr>
<w:r><w:t xml:space="preserve">court.  In 1872 he was nominated for vice-president by the</w:t></w:r>
</w:p>
<w:p>
<w:pPr><w:pStyle w:val="Normal"/></w:pPr>
<w:r><w:t xml:space="preserve">Democratic faction that refused to support Horace Greeley.</w:t></w:r>
</w:p>
<w:p>
<w:pPr><w:pStyle w:val="Normal"/></w:pPr>
<w:r><w:t xml:space="preserve">Another brother, CHARLES FRANCIS ADAMS, Jr. (1835- ), born</w:t></w:r>
</w:p>
<w:p>
<w:pPr><w:pStyle w:val="Normal"/></w:pPr>
<w:r><w:t xml:space="preserve">in Boston on the 27th of May 1835, graduated at Harvard in</w:t></w:r>
</w:p>
<w:p>
<w:pPr><w:pStyle w:val="Normal"/></w:pPr>
<w:r><w:t xml:space="preserve">1856, and served on the Union side in the Civil War, receiving</w:t></w:r>
</w:p>
<w:p>
<w:pPr><w:pStyle w:val="Normal"/></w:pPr>
<w:r><w:t xml:space="preserve">in 1865 the brevet of brigadier-general in the regular</w:t></w:r>
</w:p>
<w:p>
<w:pPr><w:pStyle w:val="Normal"/></w:pPr>
<w:r><w:t xml:space="preserve">army.  He was president of the Union Pacific railroad from</w:t></w:r>
</w:p>
<w:p>
<w:pPr><w:pStyle w:val="Normal"/></w:pPr>
<w:r><w:t xml:space="preserve">1884 to 1890, having previously become widely known as an</w:t></w:r>
</w:p>
<w:p>
<w:pPr><w:pStyle w:val="Normal"/></w:pPr>
<w:r><w:t xml:space="preserve">authority on the management of railways.  In 1900-1901 he</w:t></w:r>
</w:p>
<w:p>
<w:pPr><w:pStyle w:val="Normal"/></w:pPr>
<w:r><w:t xml:space="preserve">was president of the American Historical Association.  Among</w:t></w:r>
</w:p>
<w:p>
<w:pPr><w:pStyle w:val="Normal"/></w:pPr>
<w:r><w:t xml:space="preserve">his writings are: Railroads, Their Origin and Problems</w:t></w:r>
</w:p>
<w:p>
<w:pPr><w:pStyle w:val="Normal"/></w:pPr>
<w:r><w:t xml:space="preserve">(1878); Three Episodes of Massachusetts History (1892);</w:t></w:r>
</w:p>
<w:p>
<w:pPr><w:pStyle w:val="Normal"/></w:pPr>
<w:r><w:t xml:space="preserve">a biography of his father, Charles Francis Adams (1900);</w:t></w:r>
</w:p>
<w:p>
<w:pPr><w:pStyle w:val="Normal"/></w:pPr>
<w:r><w:t xml:space="preserve">Lee at Appomattox and Other Papers (1902); Theodore</w:t></w:r>
</w:p>
<w:p>
<w:pPr><w:pStyle w:val="Normal"/></w:pPr>
<w:r><w:t xml:space="preserve">Lyman and Robert Charles Winthrop, Jr., Two Memoirs</w:t></w:r>
</w:p>
<w:p>
<w:pPr><w:pStyle w:val="Normal"/></w:pPr>
<w:r><w:t xml:space="preserve">(1906); and Three Phi Beta Kappa Addresses (1907).</w:t></w:r>
</w:p>
<w:p>
<w:pPr><w:pStyle w:val="Normal"/></w:pPr>
<w:r><w:t xml:space="preserve">Another brother, BROOKS ADAMS (1848-- ), born in Quincy,</w:t></w:r>
</w:p>
<w:p>
<w:pPr><w:pStyle w:val="Normal"/></w:pPr>
<w:r><w:t xml:space="preserve">Massachusetts, on the 24th of June 1848, graduated at</w:t></w:r>
</w:p>
<w:p>
<w:pPr><w:pStyle w:val="Normal"/></w:pPr>
<w:r><w:t xml:space="preserve">Harvard in 1870, and until 1881 practised law.  His writings</w:t></w:r>
</w:p>
<w:p>
<w:pPr><w:pStyle w:val="Normal"/></w:pPr>
<w:r><w:t xml:space="preserve">include: The Emancipation of Massachusetts (1887);</w:t></w:r>
</w:p>
<w:p>
<w:pPr><w:pStyle w:val="Normal"/></w:pPr>
<w:r><w:t xml:space="preserve">The Law of Civilization and Decay (1895); America&apos;s</w:t></w:r>
</w:p>
<w:p>
<w:pPr><w:pStyle w:val="Normal"/></w:pPr>
<w:r><w:t xml:space="preserve">Economic Supremacy (1900); and The New Empire (1902).</w:t></w:r>
</w:p>
<w:p>
<w:pPr><w:pStyle w:val="Normal"/></w:pPr>
<w:r><w:t xml:space="preserve">ADAMS, HENRY CARTER (1852-- ), American economist,</w:t></w:r>
</w:p>
<w:p>
<w:pPr><w:pStyle w:val="Normal"/></w:pPr>
<w:r><w:t xml:space="preserve">was born at Davenport, Iowa, on the 31st of December</w:t></w:r>
</w:p>
<w:p>
<w:pPr><w:pStyle w:val="Normal"/></w:pPr>
<w:r><w:t xml:space="preserve">1852.  He was educated at Iowa College and Johns Hopkins</w:t></w:r>
</w:p>
<w:p>
<w:pPr><w:pStyle w:val="Normal"/></w:pPr>
<w:r><w:t xml:space="preserve">University, of which latter he was fellow and lecturer</w:t></w:r>
</w:p>
<w:p>
<w:pPr><w:pStyle w:val="Normal"/></w:pPr>
<w:r><w:t xml:space="preserve">(1880--1882).  He was afterwards a lecturer in Cornell</w:t></w:r>
</w:p>
<w:p>
<w:pPr><w:pStyle w:val="Normal"/></w:pPr>
<w:r><w:t xml:space="preserve">University, and in 1887 became professor of political economy</w:t></w:r>
</w:p>
<w:p>
<w:pPr><w:pStyle w:val="Normal"/></w:pPr>
<w:r><w:t xml:space="preserve">and finance in the university of Michigan.  He also became</w:t></w:r>
</w:p>
<w:p>
<w:pPr><w:pStyle w:val="Normal"/></w:pPr>
<w:r><w:t xml:space="preserve">statistician to the Interstate Commerce Committee and was</w:t></w:r>
</w:p>
<w:p>
<w:pPr><w:pStyle w:val="Normal"/></w:pPr>
<w:r><w:t xml:space="preserve">in charge of the transportation department in the 1900</w:t></w:r>
</w:p>
<w:p>
<w:pPr><w:pStyle w:val="Normal"/></w:pPr>
<w:r><w:t xml:space="preserve">census.  His principal works are The State in Relation to</w:t></w:r>
</w:p>
<w:p>
<w:pPr><w:pStyle w:val="Normal"/></w:pPr>
<w:r><w:t xml:space="preserve">Industrial Action (1887); Taxation in the United States,</w:t></w:r>
</w:p>
<w:p>
<w:pPr><w:pStyle w:val="Normal"/></w:pPr>
<w:r><w:t xml:space="preserve">1787 to 1816 (1884); Public Debts (1887); The Science</w:t></w:r>
</w:p>
<w:p>
<w:pPr><w:pStyle w:val="Normal"/></w:pPr>
<w:r><w:t xml:space="preserve">of Finance (1888); Economics and Jurisprudence (1897).</w:t></w:r>
</w:p>
<w:p>
<w:pPr><w:pStyle w:val="Normal"/></w:pPr>
<w:r><w:t xml:space="preserve">ADAMS, HERBERT (1858- ), American sculptor, was born at West</w:t></w:r>
</w:p>
<w:p>
<w:pPr><w:pStyle w:val="Normal"/></w:pPr>
<w:r><w:t xml:space="preserve">Concord, Vermont, on the 28th of January 1858.  He was educated</w:t></w:r>
</w:p>
<w:p>
<w:pPr><w:pStyle w:val="Normal"/></w:pPr>
<w:r><w:t xml:space="preserve">at the Worcester (Massachusetts) Institute of Technology,</w:t></w:r>
</w:p>
<w:p>
<w:pPr><w:pStyle w:val="Normal"/></w:pPr>
<w:r><w:t xml:space="preserve">and at the Massachusetts Normal Art School, and in 1885-1890</w:t></w:r>
</w:p>
<w:p>
<w:pPr><w:pStyle w:val="Normal"/></w:pPr>
<w:r><w:t xml:space="preserve">he was a pupil of Antonin Mercie in Paris.  In 1890-1898</w:t></w:r>
</w:p>
<w:p>
<w:pPr><w:pStyle w:val="Normal"/></w:pPr>
<w:r><w:t xml:space="preserve">he was an instructor in the art school of Pratt Institute,</w:t></w:r>
</w:p>
<w:p>
<w:pPr><w:pStyle w:val="Normal"/></w:pPr>
<w:r><w:t xml:space="preserve">Brooklyn, New York.  In 1906 he was elected vice-president</w:t></w:r>
</w:p>
<w:p>
<w:pPr><w:pStyle w:val="Normal"/></w:pPr>
<w:r><w:t xml:space="preserve">of the National Academy of Design, New York.  He experimented</w:t></w:r>
</w:p>
<w:p>
<w:pPr><w:pStyle w:val="Normal"/></w:pPr>
<w:r><w:t xml:space="preserve">successfully with some polychrome busts and tinted marbles,</w:t></w:r>
</w:p>
<w:p>
<w:pPr><w:pStyle w:val="Normal"/></w:pPr>
<w:r><w:t xml:space="preserve">notably in the ``Rabbi&apos;s Daughter&apos;&apos; and a portrait of Miss</w:t></w:r>
</w:p>
<w:p>
<w:pPr><w:pStyle w:val="Normal"/></w:pPr>
<w:r><w:t xml:space="preserve">Julia Marlowe, the actress; and he is at his best in his</w:t></w:r>
</w:p>
<w:p>
<w:pPr><w:pStyle w:val="Normal"/></w:pPr>
<w:r><w:t xml:space="preserve">portrait busts of women, the best example being the study,</w:t></w:r>
</w:p>
<w:p>
<w:pPr><w:pStyle w:val="Normal"/></w:pPr>
<w:r><w:t xml:space="preserve">completed in 1887, of Miss A. V. Pond, whom he afterwards</w:t></w:r>
</w:p>
<w:p>
<w:pPr><w:pStyle w:val="Normal"/></w:pPr>
<w:r><w:t xml:space="preserve">married.  Among his other productions are a fountain for</w:t></w:r>
</w:p>
<w:p>
<w:pPr><w:pStyle w:val="Normal"/></w:pPr>
<w:r><w:t xml:space="preserve">Fitchburg, Massachusetts (1888); a number of works for the</w:t></w:r>
</w:p>
<w:p>
<w:pPr><w:pStyle w:val="Normal"/></w:pPr>
<w:r><w:t xml:space="preserve">Congressional Library, Washington, including the bronze doors</w:t></w:r>
</w:p>
<w:p>
<w:pPr><w:pStyle w:val="Normal"/></w:pPr>
<w:r><w:t xml:space="preserve">(``Writing&apos;&apos;) begun by Olin Warner, and the statue of Professor</w:t></w:r>
</w:p>
<w:p>
<w:pPr><w:pStyle w:val="Normal"/></w:pPr>
<w:r><w:t xml:space="preserve">Joseph Henry; memorial tablets for the Boston State House; a</w:t></w:r>
</w:p>
<w:p>
<w:pPr><w:pStyle w:val="Normal"/></w:pPr>
<w:r><w:t xml:space="preserve">memorial to Jonathan Edwards, at Northampton, Mass.; statues</w:t></w:r>
</w:p>
<w:p>
<w:pPr><w:pStyle w:val="Normal"/></w:pPr>
<w:r><w:t xml:space="preserve">of Richard Smith, the type-founder, in Philadelphia, and of</w:t></w:r>
</w:p>
<w:p>
<w:pPr><w:pStyle w:val="Normal"/></w:pPr>
<w:r><w:t xml:space="preserve">William Ellery Channing, in Boston (1902); and the Vanderbilt</w:t></w:r>
</w:p>
<w:p>
<w:pPr><w:pStyle w:val="Normal"/></w:pPr>
<w:r><w:t xml:space="preserve">memorial bronze doors for St Bartholomew&apos;s Church, New York.</w:t></w:r>
</w:p>
<w:p>
<w:pPr><w:pStyle w:val="Normal"/></w:pPr>
<w:r><w:t xml:space="preserve">ADAMS, HERBERT BAXTER (1850-1901), American historian and</w:t></w:r>
</w:p>
<w:p>
<w:pPr><w:pStyle w:val="Normal"/></w:pPr>
<w:r><w:t xml:space="preserve">educationalist, was born at Shutesbury (near Amherst),</w:t></w:r>
</w:p>
<w:p>
<w:pPr><w:pStyle w:val="Normal"/></w:pPr>
<w:r><w:t xml:space="preserve">Massachusetts, on the 16th of April 1850.  He graduated at</w:t></w:r>
</w:p>
<w:p>
<w:pPr><w:pStyle w:val="Normal"/></w:pPr>
<w:r><w:t xml:space="preserve">Amherst, at the head of his class, in 1872; and between 1873</w:t></w:r>
</w:p>
<w:p>
<w:pPr><w:pStyle w:val="Normal"/></w:pPr>
<w:r><w:t xml:space="preserve">and 1876 he studied political science, history and economics</w:t></w:r>
</w:p>
<w:p>
<w:pPr><w:pStyle w:val="Normal"/></w:pPr>
<w:r><w:t xml:space="preserve">at Gottingen, Berlin and Heidelberg, Germany, receiving</w:t></w:r>
</w:p>
<w:p>
<w:pPr><w:pStyle w:val="Normal"/></w:pPr>
<w:r><w:t xml:space="preserve">the degree of Ph.D.at Heidelberg in 1876, with the highest</w:t></w:r>
</w:p>
<w:p>
<w:pPr><w:pStyle w:val="Normal"/></w:pPr>
<w:r><w:t xml:space="preserve">honours (summa cum lande). From 1876 almost until his</w:t></w:r>
</w:p>
<w:p>
<w:pPr><w:pStyle w:val="Normal"/></w:pPr>
<w:r><w:t xml:space="preserve">death he was connected with the Johns Hopkins University,</w:t></w:r>
</w:p>
<w:p>
<w:pPr><w:pStyle w:val="Normal"/></w:pPr>
<w:r><w:t xml:space="preserve">Baltimore, Maryland, being in turn a fellow, an associate</w:t></w:r>
</w:p>
<w:p>
<w:pPr><w:pStyle w:val="Normal"/></w:pPr>
<w:r><w:t xml:space="preserve">in history (1878--1883), an associate professor (1883--1891)</w:t></w:r>
</w:p>
<w:p>
<w:pPr><w:pStyle w:val="Normal"/></w:pPr>
<w:r><w:t xml:space="preserve">and after 1891 professor of American and institutional</w:t></w:r>
</w:p>
<w:p>
<w:pPr><w:pStyle w:val="Normal"/></w:pPr>
<w:r><w:t xml:space="preserve">history, In addition he was lecturer on history in Smith</w:t></w:r>
</w:p>
<w:p>
<w:pPr><w:pStyle w:val="Normal"/></w:pPr>
<w:r><w:t xml:space="preserve">College, Northampton, Massachusetts, in 1878-1881, and for</w:t></w:r>
</w:p>
<w:p>
<w:pPr><w:pStyle w:val="Normal"/></w:pPr>
<w:r><w:t xml:space="preserve">many years took an active part in Chautauqua work.  In 1884,</w:t></w:r>
</w:p>
<w:p>
<w:pPr><w:pStyle w:val="Normal"/></w:pPr>
<w:r><w:t xml:space="preserve">also, he was one of the founders of the American Historical</w:t></w:r>
</w:p>
<w:p>
<w:pPr><w:pStyle w:val="Normal"/></w:pPr>
<w:r><w:t xml:space="preserve">Association, of which he was secretary until 1900.  In 1882 he</w:t></w:r>
</w:p>
<w:p>
<w:pPr><w:pStyle w:val="Normal"/></w:pPr>
<w:r><w:t xml:space="preserve">founded the ``Johns Hopkins University Studies in Historical</w:t></w:r>
</w:p>
<w:p>
<w:pPr><w:pStyle w:val="Normal"/></w:pPr>
<w:r><w:t xml:space="preserve">and Political Science,&apos;&apos; and at the time of his death some</w:t></w:r>
</w:p>
<w:p>
<w:pPr><w:pStyle w:val="Normal"/></w:pPr>
<w:r><w:t xml:space="preserve">forty volumes had been issued under his editorship.  After</w:t></w:r>
</w:p>
<w:p>
<w:pPr><w:pStyle w:val="Normal"/></w:pPr>
<w:r><w:t xml:space="preserve">1887 he also edited for the United States Bureau of Education</w:t></w:r>
</w:p>
<w:p>
<w:pPr><w:pStyle w:val="Normal"/></w:pPr>
<w:r><w:t xml:space="preserve">the series of monographs entitled ``Contributions to American</w:t></w:r>
</w:p>
<w:p>
<w:pPr><w:pStyle w:val="Normal"/></w:pPr>
<w:r><w:t xml:space="preserve">Educational History,&apos;&apos; he himself preparing the College</w:t></w:r>
</w:p>
<w:p>
<w:pPr><w:pStyle w:val="Normal"/></w:pPr>
<w:r><w:t xml:space="preserve">of William and Mary (1887), and Thomas Jefferson and</w:t></w:r>
</w:p>
<w:p>
<w:pPr><w:pStyle w:val="Normal"/></w:pPr>
<w:r><w:t xml:space="preserve">the University of Virginia (1888).  It was as a teacher,</w:t></w:r>
</w:p>
<w:p>
<w:pPr><w:pStyle w:val="Normal"/></w:pPr>
<w:r><w:t xml:space="preserve">however, that Adams rendered his most valuable services,</w:t></w:r>
</w:p>
<w:p>
<w:pPr><w:pStyle w:val="Normal"/></w:pPr>
<w:r><w:t xml:space="preserve">and many American historical scholars owe their training</w:t></w:r>
</w:p>
<w:p>
<w:pPr><w:pStyle w:val="Normal"/></w:pPr>
<w:r><w:t xml:space="preserve">and to a considerable extent their enthusiasm to him.  He</w:t></w:r>
</w:p>
<w:p>
<w:pPr><w:pStyle w:val="Normal"/></w:pPr>
<w:r><w:t xml:space="preserve">died at Amherst, Massachusetts, on the 30th of July 1901.</w:t></w:r>
</w:p>
<w:p>
<w:pPr><w:pStyle w:val="Normal"/></w:pPr>
<w:r><w:t xml:space="preserve">In addition to the monographs mentioned above, he</w:t></w:r>
</w:p>
<w:p>
<w:pPr><w:pStyle w:val="Normal"/></w:pPr>
<w:r><w:t xml:space="preserve">published: Maryland&apos;s Influence in Founding a National</w:t></w:r>
</w:p>
<w:p>
<w:pPr><w:pStyle w:val="Normal"/></w:pPr>
<w:r><w:t xml:space="preserve">Commonwealth (1877); Methods of Historical Study</w:t></w:r>
</w:p>
<w:p>
<w:pPr><w:pStyle w:val="Normal"/></w:pPr>
<w:r><w:t xml:space="preserve">(1884); Maryland&apos;s Influence upon Land Cessions to the</w:t></w:r>
</w:p>
<w:p>
<w:pPr><w:pStyle w:val="Normal"/></w:pPr>
<w:r><w:t xml:space="preserve">United States (1885); and the Life and Writings of Jared</w:t></w:r>
</w:p>
<w:p>
<w:pPr><w:pStyle w:val="Normal"/></w:pPr>
<w:r><w:t xml:space="preserve">Sparks (2 vols., Boston, 1893), his most important work.</w:t></w:r>
</w:p>
<w:p>
<w:pPr><w:pStyle w:val="Normal"/></w:pPr>
<w:r><w:t xml:space="preserve">See Herbert B. Adams: Tributes of Friends (Baltimore, 1902), extra</w:t></w:r>
</w:p>
<w:p>
<w:pPr><w:pStyle w:val="Normal"/></w:pPr>
<w:r><w:t xml:space="preserve">volume (xxiii.) of ``Studies in Historical and Political Science.&apos;&apos;</w:t></w:r>
</w:p>
<w:p>
<w:pPr><w:pStyle w:val="Normal"/></w:pPr>
<w:r><w:t xml:space="preserve">ADAMS, JOHN (1735-1826), second president of the United</w:t></w:r>
</w:p>
<w:p>
<w:pPr><w:pStyle w:val="Normal"/></w:pPr>
<w:r><w:t xml:space="preserve">States of America, was born on the 30th of October 1735 in</w:t></w:r>
</w:p>
<w:p>
<w:pPr><w:pStyle w:val="Normal"/></w:pPr>
<w:r><w:t xml:space="preserve">what is now the town of Quincy, Massachusetts.  His father, a</w:t></w:r>
</w:p>
<w:p>
<w:pPr><w:pStyle w:val="Normal"/></w:pPr>
<w:r><w:t xml:space="preserve">farmer, also named John, was of the fourth generation in descent</w:t></w:r>
</w:p>
<w:p>
<w:pPr><w:pStyle w:val="Normal"/></w:pPr>
<w:r><w:t xml:space="preserve">from Henry Adams, who emigrated from Devonshire, England,</w:t></w:r>
</w:p>
<w:p>
<w:pPr><w:pStyle w:val="Normal"/></w:pPr>
<w:r><w:t xml:space="preserve">to Massachusetts about 1636; his mother was Susanna Boylston</w:t></w:r>
</w:p>
<w:p>
<w:pPr><w:pStyle w:val="Normal"/></w:pPr>
<w:r><w:t xml:space="preserve">Adams.  Young Adams graduated from Harvard College in 1755,</w:t></w:r>
</w:p>
<w:p>
<w:pPr><w:pStyle w:val="Normal"/></w:pPr>
<w:r><w:t xml:space="preserve">and for a time taught school at Worcester and studied law in</w:t></w:r>
</w:p>
<w:p>
<w:pPr><w:pStyle w:val="Normal"/></w:pPr>
<w:r><w:t xml:space="preserve">the office of Rufus Putnam.  In 1758 he was admitted to the</w:t></w:r>
</w:p>
<w:p>
<w:pPr><w:pStyle w:val="Normal"/></w:pPr>
<w:r><w:t xml:space="preserve">bar.  From an early age he developed the habit of writing</w:t></w:r>
</w:p>
<w:p>
<w:pPr><w:pStyle w:val="Normal"/></w:pPr>
<w:r><w:t xml:space="preserve">descriptions of events and impressions of men.  The earliest</w:t></w:r>
</w:p>
<w:p>
<w:pPr><w:pStyle w:val="Normal"/></w:pPr>
<w:r><w:t xml:space="preserve">of these is his report of the argument of James Otis in the</w:t></w:r>
</w:p>
<w:p>
<w:pPr><w:pStyle w:val="Normal"/></w:pPr>
<w:r><w:t xml:space="preserve">superior court of Massachusetts as to the constitutionality</w:t></w:r>
</w:p>
<w:p>
<w:pPr><w:pStyle w:val="Normal"/></w:pPr>
<w:r><w:t xml:space="preserve">of writs of assistance.  This was in 1761, and the argument</w:t></w:r>
</w:p>
<w:p>
<w:pPr><w:pStyle w:val="Normal"/></w:pPr>
<w:r><w:t xml:space="preserve">inspired him with zeal for the cause of the American</w:t></w:r>
</w:p>
<w:p>
<w:pPr><w:pStyle w:val="Normal"/></w:pPr>
<w:r><w:t xml:space="preserve">colonies.  Years afterwards, when an old man, Adams undertook</w:t></w:r>
</w:p>
<w:p>
<w:pPr><w:pStyle w:val="Normal"/></w:pPr>
<w:r><w:t xml:space="preserve">to write out at length his recollections of this scene; it is</w:t></w:r>
</w:p>
<w:p>
<w:pPr><w:pStyle w:val="Normal"/></w:pPr>
<w:r><w:t xml:space="preserve">instructive to compare the two accounts.  John Adams had none</w:t></w:r>
</w:p>
<w:p>
<w:pPr><w:pStyle w:val="Normal"/></w:pPr>
<w:r><w:t xml:space="preserve">of the qualities of popular leadership which were so marked a</w:t></w:r>
</w:p>
<w:p>
<w:pPr><w:pStyle w:val="Normal"/></w:pPr>
<w:r><w:t xml:space="preserve">characteristic of his second cousin, Samuel Adams; it was rather</w:t></w:r>
</w:p>
<w:p>
<w:pPr><w:pStyle w:val="Normal"/></w:pPr>
<w:r><w:t xml:space="preserve">as a constitutional lawyer that he influenced the course of</w:t></w:r>
</w:p>
<w:p>
<w:pPr><w:pStyle w:val="Normal"/></w:pPr>
<w:r><w:t xml:space="preserve">events.  He was impetuous, intense and often vehement,</w:t></w:r>
</w:p>
<w:p>
<w:pPr><w:pStyle w:val="Normal"/></w:pPr>
<w:r><w:t xml:space="preserve">unflinchingly courageous, devoted with his whole soul to the</w:t></w:r>
</w:p>
<w:p>
<w:pPr><w:pStyle w:val="Normal"/></w:pPr>
<w:r><w:t xml:space="preserve">cause he had espoused; but his vanity, his pride of opinion</w:t></w:r>
</w:p>
<w:p>
<w:pPr><w:pStyle w:val="Normal"/></w:pPr>
<w:r><w:t xml:space="preserve">and his inborn contentiousness were serious handicaps to him</w:t></w:r>
</w:p>
<w:p>
<w:pPr><w:pStyle w:val="Normal"/></w:pPr>
<w:r><w:t xml:space="preserve">in his political career.  These qualities were particularly</w:t></w:r>
</w:p>
<w:p>
<w:pPr><w:pStyle w:val="Normal"/></w:pPr>
<w:r><w:t xml:space="preserve">manifested at a later period---as, for example, during his</w:t></w:r>
</w:p>
<w:p>
<w:pPr><w:pStyle w:val="Normal"/></w:pPr>
<w:r><w:t xml:space="preserve">term as president.  He first made his influence widely felt</w:t></w:r>
</w:p>
<w:p>
<w:pPr><w:pStyle w:val="Normal"/></w:pPr>
<w:r><w:t xml:space="preserve">and became conspicuous as a leader of the Massachusetts Whigs</w:t></w:r>
</w:p>
<w:p>
<w:pPr><w:pStyle w:val="Normal"/></w:pPr>
<w:r><w:t xml:space="preserve">during the discussions with regard to the Stamp Act of 1765.</w:t></w:r>
</w:p>
<w:p>
<w:pPr><w:pStyle w:val="Normal"/></w:pPr>
<w:r><w:t xml:space="preserve">In that year he drafted the instructions which were sent by the</w:t></w:r>
</w:p>
<w:p>
<w:pPr><w:pStyle w:val="Normal"/></w:pPr>
<w:r><w:t xml:space="preserve">town of Braintree to its representatives in the Massachusetts</w:t></w:r>
</w:p>
<w:p>
<w:pPr><w:pStyle w:val="Normal"/></w:pPr>
<w:r><w:t xml:space="preserve">legislature, and which served as a model for other towns in</w:t></w:r>
</w:p>
<w:p>
<w:pPr><w:pStyle w:val="Normal"/></w:pPr>
<w:r><w:t xml:space="preserve">drawing up instructions to their representatives; in August</w:t></w:r>
</w:p>
<w:p>
<w:pPr><w:pStyle w:val="Normal"/></w:pPr>
<w:r><w:t xml:space="preserve">1765 he contributed anonymously four notable articles to the</w:t></w:r>
</w:p>
<w:p>
<w:pPr><w:pStyle w:val="Normal"/></w:pPr>
<w:r><w:t xml:space="preserve">Boston Gazette (republished separately in London in 1768</w:t></w:r>
</w:p>
<w:p>
<w:pPr><w:pStyle w:val="Normal"/></w:pPr>
<w:r><w:t xml:space="preserve">as A Dissertation on the Canon and Feudal Law), in which he</w:t></w:r>
</w:p>
<w:p>
<w:pPr><w:pStyle w:val="Normal"/></w:pPr>
<w:r><w:t xml:space="preserve">argued that the opposition of the colonies to the Stamp Act</w:t></w:r>
</w:p>
<w:p>
<w:pPr><w:pStyle w:val="Normal"/></w:pPr>
<w:r><w:t xml:space="preserve">was a part of the never-ending struggle between individualism</w:t></w:r>
</w:p>
<w:p>
<w:pPr><w:pStyle w:val="Normal"/></w:pPr>
<w:r><w:t xml:space="preserve">and corporate authority; and in December 1765 he delivered a</w:t></w:r>
</w:p>
<w:p>
<w:pPr><w:pStyle w:val="Normal"/></w:pPr>
<w:r><w:t xml:space="preserve">speech before the governor and council in which he pronounced</w:t></w:r>
</w:p>
<w:p>
<w:pPr><w:pStyle w:val="Normal"/></w:pPr>
<w:r><w:t xml:space="preserve">the Stamp Act invalid on the ground that Massachusetts being</w:t></w:r>
</w:p>
<w:p>
<w:pPr><w:pStyle w:val="Normal"/></w:pPr>
<w:r><w:t xml:space="preserve">without representation in parliament, had not assented to</w:t></w:r>
</w:p>
<w:p>
<w:pPr><w:pStyle w:val="Normal"/></w:pPr>
<w:r><w:t xml:space="preserve">it.  In 1768 fee removed to Boston, Two years later, with that</w:t></w:r>
</w:p>
<w:p>
<w:pPr><w:pStyle w:val="Normal"/></w:pPr>
<w:r><w:t xml:space="preserve">degree of moral courage which was one of his distinguishing</w:t></w:r>
</w:p>
<w:p>
<w:pPr><w:pStyle w:val="Normal"/></w:pPr>
<w:r><w:t xml:space="preserve">characteristics, as it has been of his descendants, he,</w:t></w:r>
</w:p>
<w:p>
<w:pPr><w:pStyle w:val="Normal"/></w:pPr>
<w:r><w:t xml:space="preserve">aided by Josiah Quincy, Jr., defended the British soldiers</w:t></w:r>
</w:p>
<w:p>
<w:pPr><w:pStyle w:val="Normal"/></w:pPr>
<w:r><w:t xml:space="preserve">who were arrested after the ``Boston Massacre,&apos;&apos; charged</w:t></w:r>
</w:p>
<w:p>
<w:pPr><w:pStyle w:val="Normal"/></w:pPr>
<w:r><w:t xml:space="preserve">with causing the death of four persons, inhabitants of the</w:t></w:r>
</w:p>
<w:p>
<w:pPr><w:pStyle w:val="Normal"/></w:pPr>
<w:r><w:t xml:space="preserve">colony.  The trial resulted in an acquittal of the officer</w:t></w:r>
</w:p>
<w:p>
<w:pPr><w:pStyle w:val="Normal"/></w:pPr>
<w:r><w:t xml:space="preserve">who commanded the detachment, and most of the soldiers;</w:t></w:r>
</w:p>
<w:p>
<w:pPr><w:pStyle w:val="Normal"/></w:pPr>
<w:r><w:t xml:space="preserve">but two soldiers were found guilty of manslaughter.  These</w:t></w:r>
</w:p>
<w:p>
<w:pPr><w:pStyle w:val="Normal"/></w:pPr>
<w:r><w:t xml:space="preserve">claimed benefit of clergy and were branded in the hand and</w:t></w:r>
</w:p>
<w:p>
<w:pPr><w:pStyle w:val="Normal"/></w:pPr>
<w:r><w:t xml:space="preserve">released.  Adams&apos;s upright and patriotic conduct in taking</w:t></w:r>
</w:p>
<w:p>
<w:pPr><w:pStyle w:val="Normal"/></w:pPr>
<w:r><w:t xml:space="preserve">the unpopular side in this case met with its just reward</w:t></w:r>
</w:p>
<w:p>
<w:pPr><w:pStyle w:val="Normal"/></w:pPr>
<w:r><w:t xml:space="preserve">in the following year, in the shape of his election to the</w:t></w:r>
</w:p>
<w:p>
<w:pPr><w:pStyle w:val="Normal"/></w:pPr>
<w:r><w:t xml:space="preserve">Massachusetts House of Representatives by a vote of 418 to 118.</w:t></w:r>
</w:p>
<w:p>
<w:pPr><w:pStyle w:val="Normal"/></w:pPr>
<w:r><w:t xml:space="preserve">John Adams was a member of the Continental Congress from 1774 to</w:t></w:r>
</w:p>
<w:p>
<w:pPr><w:pStyle w:val="Normal"/></w:pPr>
<w:r><w:t xml:space="preserve">1778.  In June 1775, with a view to promoting the union of</w:t></w:r>
</w:p>
<w:p>
<w:pPr><w:pStyle w:val="Normal"/></w:pPr>
<w:r><w:t xml:space="preserve">the colonies, he seconded the nomination of Washington as</w:t></w:r>
</w:p>
<w:p>
<w:pPr><w:pStyle w:val="Normal"/></w:pPr>
<w:r><w:t xml:space="preserve">commander-in-chief of the army.  His influence in congress was</w:t></w:r>
</w:p>
<w:p>
<w:pPr><w:pStyle w:val="Normal"/></w:pPr>
<w:r><w:t xml:space="preserve">great, and almost from the beginning he was impatient for a</w:t></w:r>
</w:p>
<w:p>
<w:pPr><w:pStyle w:val="Normal"/></w:pPr>
<w:r><w:t xml:space="preserve">separation of the colonies from Great Britain.  On the 7th</w:t></w:r>
</w:p>
<w:p>
<w:pPr><w:pStyle w:val="Normal"/></w:pPr>
<w:r><w:t xml:space="preserve">of June 1776 he seconded the famous resolution introduced by</w:t></w:r>
</w:p>
<w:p>
<w:pPr><w:pStyle w:val="Normal"/></w:pPr>
<w:r><w:t xml:space="preserve">Richard Henry Lee (q.v.) that ``these colonies are, and of</w:t></w:r>
</w:p>
<w:p>
<w:pPr><w:pStyle w:val="Normal"/></w:pPr>
<w:r><w:t xml:space="preserve">a right ought to be, free and independent states,&apos;&apos; and no</w:t></w:r>
</w:p>
<w:p>
<w:pPr><w:pStyle w:val="Normal"/></w:pPr>
<w:r><w:t xml:space="preserve">man championed these resolutions (adopted on the 2nd of July)</w:t></w:r>
</w:p>
<w:p>
<w:pPr><w:pStyle w:val="Normal"/></w:pPr>
<w:r><w:t xml:space="preserve">so eloquently and effectively before the congress.  On the</w:t></w:r>
</w:p>
<w:p>
<w:pPr><w:pStyle w:val="Normal"/></w:pPr>
<w:r><w:t xml:space="preserve">8th of June he was appointed on a committee with Jefferson,</w:t></w:r>
</w:p>
<w:p>
<w:pPr><w:pStyle w:val="Normal"/></w:pPr>
<w:r><w:t xml:space="preserve">Franklin, Livingston and Sherman to draft a Declaration of</w:t></w:r>
</w:p>
<w:p>
<w:pPr><w:pStyle w:val="Normal"/></w:pPr>
<w:r><w:t xml:space="preserve">Independence; and although that document was by the request</w:t></w:r>
</w:p>
<w:p>
<w:pPr><w:pStyle w:val="Normal"/></w:pPr>
<w:r><w:t xml:space="preserve">of the committee written by Thomas Jefferson, it was John</w:t></w:r>
</w:p>
<w:p>
<w:pPr><w:pStyle w:val="Normal"/></w:pPr>
<w:r><w:t xml:space="preserve">Adams who occupied the foremost place in the debate on its</w:t></w:r>
</w:p>
<w:p>
<w:pPr><w:pStyle w:val="Normal"/></w:pPr>
<w:r><w:t xml:space="preserve">adoption.  Before this question had been disposed of, Adams</w:t></w:r>
</w:p>
<w:p>
<w:pPr><w:pStyle w:val="Normal"/></w:pPr>
<w:r><w:t xml:space="preserve">was placed at the head of the Board of War and Ordnance,</w:t></w:r>
</w:p>
<w:p>
<w:pPr><w:pStyle w:val="Normal"/></w:pPr>
<w:r><w:t xml:space="preserve">and he also served on many other important committees.</w:t></w:r>
</w:p>
<w:p>
<w:pPr><w:pStyle w:val="Normal"/></w:pPr>
<w:r><w:t xml:space="preserve">In 1778 John Adams sailed for France to supersede Silas Deane</w:t></w:r>
</w:p>
<w:p>
<w:pPr><w:pStyle w:val="Normal"/></w:pPr>
<w:r><w:t xml:space="preserve">in the American commission there.  But just as he embarked that</w:t></w:r>
</w:p>
<w:p>
<w:pPr><w:pStyle w:val="Normal"/></w:pPr>
<w:r><w:t xml:space="preserve">commission concluded the desired treaty of alliance, and soon</w:t></w:r>
</w:p>
<w:p>
<w:pPr><w:pStyle w:val="Normal"/></w:pPr>
<w:r><w:t xml:space="preserve">after his arrival he advised that the number of commissioners</w:t></w:r>
</w:p>
<w:p>
<w:pPr><w:pStyle w:val="Normal"/></w:pPr>
<w:r><w:t xml:space="preserve">be reduced to one.  His advice was followed and he returned home</w:t></w:r>
</w:p>
<w:p>
<w:pPr><w:pStyle w:val="Normal"/></w:pPr>
<w:r><w:t xml:space="preserve">in time to be elected a member of the convention which framed</w:t></w:r>
</w:p>
<w:p>
<w:pPr><w:pStyle w:val="Normal"/></w:pPr>
<w:r><w:t xml:space="preserve">the Massachusetts constitution of 1780, still the organic law</w:t></w:r>
</w:p>
<w:p>
<w:pPr><w:pStyle w:val="Normal"/></w:pPr>
<w:r><w:t xml:space="preserve">of that commonwealth.  With James Bowdoin and Samuel Adams, he</w:t></w:r>
</w:p>
<w:p>
<w:pPr><w:pStyle w:val="Normal"/></w:pPr>
<w:r><w:t xml:space="preserve">formed a sub-committee which drew up the first draft of that</w:t></w:r>
</w:p>
<w:p>
<w:pPr><w:pStyle w:val="Normal"/></w:pPr>
<w:r><w:t xml:space="preserve">instrument, and most of it probably came from John Adams&apos;s</w:t></w:r>
</w:p>
<w:p>
<w:pPr><w:pStyle w:val="Normal"/></w:pPr>
<w:r><w:t xml:space="preserve">pen.  Before this work had been completed he was again sent to</w:t></w:r>
</w:p>
<w:p>
<w:pPr><w:pStyle w:val="Normal"/></w:pPr>
<w:r><w:t xml:space="preserve">Europe, having been chosen on the 27th of September 1779 as</w:t></w:r>
</w:p>
<w:p>
<w:pPr><w:pStyle w:val="Normal"/></w:pPr>
<w:r><w:t xml:space="preserve">minister plenipotentiary for negotiating a treaty of peace</w:t></w:r>
</w:p>
<w:p>
<w:pPr><w:pStyle w:val="Normal"/></w:pPr>
<w:r><w:t xml:space="preserve">and a treaty of commerce with Great Britain.  Conditions were</w:t></w:r>
</w:p>
<w:p>
<w:pPr><w:pStyle w:val="Normal"/></w:pPr>
<w:r><w:t xml:space="preserve">not then favourable for peace, however; the French government,</w:t></w:r>
</w:p>
<w:p>
<w:pPr><w:pStyle w:val="Normal"/></w:pPr>
<w:r><w:t xml:space="preserve">moreover, did not approve of the choice, inasmuch as Adams</w:t></w:r>
</w:p>
<w:p>
<w:pPr><w:pStyle w:val="Normal"/></w:pPr>
<w:r><w:t xml:space="preserve">was not sufficiently pliant and tractable and was from the</w:t></w:r>
</w:p>
<w:p>
<w:pPr><w:pStyle w:val="Normal"/></w:pPr>
<w:r><w:t xml:space="preserve">first suspicious of Vergennes; and subsequently Benjamin</w:t></w:r>
</w:p>
<w:p>
<w:pPr><w:pStyle w:val="Normal"/></w:pPr>
<w:r><w:t xml:space="preserve">Franklin, Thomas Jefferson, John Jay and Henry Laurens were</w:t></w:r>
</w:p>
<w:p>
<w:pPr><w:pStyle w:val="Normal"/></w:pPr>
<w:r><w:t xml:space="preserve">appointed to co-operate with Adams.  Jefferson, however, did</w:t></w:r>
</w:p>
<w:p>
<w:pPr><w:pStyle w:val="Normal"/></w:pPr>
<w:r><w:t xml:space="preserve">not cross the Atlantic, and Laurens took little part in the</w:t></w:r>
</w:p>
<w:p>
<w:pPr><w:pStyle w:val="Normal"/></w:pPr>
<w:r><w:t xml:space="preserve">negotiations.  This left the management of the business to the other</w:t></w:r>
</w:p>
<w:p>
<w:pPr><w:pStyle w:val="Normal"/></w:pPr>
<w:r><w:t xml:space="preserve">three.  Jay and Adams distrusted thc good faith of the French</w:t></w:r>
</w:p>
<w:p>
<w:pPr><w:pStyle w:val="Normal"/></w:pPr>
<w:r><w:t xml:space="preserve">government.  Outvoting Franklin, they decided to break their</w:t></w:r>
</w:p>
<w:p>
<w:pPr><w:pStyle w:val="Normal"/></w:pPr>
<w:r><w:t xml:space="preserve">instructions, which required them to ``make the most candid</w:t></w:r>
</w:p>
<w:p>
<w:pPr><w:pStyle w:val="Normal"/></w:pPr>
<w:r><w:t xml:space="preserve">confidential communications on all subjects to the ministers</w:t></w:r>
</w:p>
<w:p>
<w:pPr><w:pStyle w:val="Normal"/></w:pPr>
<w:r><w:t xml:space="preserve">of our generous ally, the king of France; to undertake</w:t></w:r>
</w:p>
<w:p>
<w:pPr><w:pStyle w:val="Normal"/></w:pPr>
<w:r><w:t xml:space="preserve">nothing in the negotiations for peace or truce without their</w:t></w:r>
</w:p>
<w:p>
<w:pPr><w:pStyle w:val="Normal"/></w:pPr>
<w:r><w:t xml:space="preserve">knowledge or concurrence; and ultimately to govern yourself</w:t></w:r>
</w:p>
<w:p>
<w:pPr><w:pStyle w:val="Normal"/></w:pPr>
<w:r><w:t xml:space="preserve">by their advice and opinion&apos;&apos;; and, instead, they dealt</w:t></w:r>
</w:p>
<w:p>
<w:pPr><w:pStyle w:val="Normal"/></w:pPr>
<w:r><w:t xml:space="preserve">directly with the British commissioners, without consulting</w:t></w:r>
</w:p>
<w:p>
<w:pPr><w:pStyle w:val="Normal"/></w:pPr>
<w:r><w:t xml:space="preserve">the French ministers.  Throughout the negotiations Adams was</w:t></w:r>
</w:p>
<w:p>
<w:pPr><w:pStyle w:val="Normal"/></w:pPr>
<w:r><w:t xml:space="preserve">especially determined that the right of the United States</w:t></w:r>
</w:p>
<w:p>
<w:pPr><w:pStyle w:val="Normal"/></w:pPr>
<w:r><w:t xml:space="preserve">to the fisheries along the British-American coast should be</w:t></w:r>
</w:p>
<w:p>
<w:pPr><w:pStyle w:val="Normal"/></w:pPr>
<w:r><w:t xml:space="preserve">recognized.  Political conditions in Great Britain, at the</w:t></w:r>
</w:p>
<w:p>
<w:pPr><w:pStyle w:val="Normal"/></w:pPr>
<w:r><w:t xml:space="preserve">moment, made the conclusion of peace almost a necessity</w:t></w:r>
</w:p>
<w:p>
<w:pPr><w:pStyle w:val="Normal"/></w:pPr>
<w:r><w:t xml:space="preserve">with the British ministry, and eventually the American</w:t></w:r>
</w:p>
<w:p>
<w:pPr><w:pStyle w:val="Normal"/></w:pPr>
<w:r><w:t xml:space="preserve">negotiators were able to secure a peculiarly favourable</w:t></w:r>
</w:p>
<w:p>
<w:pPr><w:pStyle w:val="Normal"/></w:pPr>
<w:r><w:t xml:space="preserve">treaty.  This preliminary treaty was signed on the 30th of</w:t></w:r>
</w:p>
<w:p>
<w:pPr><w:pStyle w:val="Normal"/></w:pPr>
<w:r><w:t xml:space="preserve">November 1782.  Before these negotiations began, Adams had</w:t></w:r>
</w:p>
<w:p>
<w:pPr><w:pStyle w:val="Normal"/></w:pPr>
<w:r><w:t xml:space="preserve">spent some time in the Netherlands.  In July 1780 he had been</w:t></w:r>
</w:p>
<w:p>
<w:pPr><w:pStyle w:val="Normal"/></w:pPr>
<w:r><w:t xml:space="preserve">authorized to execute the duties previously assigned to Henry</w:t></w:r>
</w:p>
<w:p>
<w:pPr><w:pStyle w:val="Normal"/></w:pPr>
<w:r><w:t xml:space="preserve">Laurens, and at the Hague was eminently successful, securing</w:t></w:r>
</w:p>
<w:p>
<w:pPr><w:pStyle w:val="Normal"/></w:pPr>
<w:r><w:t xml:space="preserve">there recognition of the United States as an independent</w:t></w:r>
</w:p>
<w:p>
<w:pPr><w:pStyle w:val="Normal"/></w:pPr>
<w:r><w:t xml:space="preserve">government (April 19, 1782), and negotiating both a loan</w:t></w:r>
</w:p>
<w:p>
<w:pPr><w:pStyle w:val="Normal"/></w:pPr>
<w:r><w:t xml:space="preserve">and, in October 1782, a treaty of amity and commerce,</w:t></w:r>
</w:p>
<w:p>
<w:pPr><w:pStyle w:val="Normal"/></w:pPr>
<w:r><w:t xml:space="preserve">the first of such treaties between the United States and</w:t></w:r>
</w:p>
<w:p>
<w:pPr><w:pStyle w:val="Normal"/></w:pPr>
<w:r><w:t xml:space="preserve">foreign powers after that of February 1778 with France.</w:t></w:r>
</w:p>
<w:p>
<w:pPr><w:pStyle w:val="Normal"/></w:pPr>
<w:r><w:t xml:space="preserve">In 1785 John Adams was appointed the first of a long line of</w:t></w:r>
</w:p>
<w:p>
<w:pPr><w:pStyle w:val="Normal"/></w:pPr>
<w:r><w:t xml:space="preserve">able and distinguished American ministers to the court of St</w:t></w:r>
</w:p>
<w:p>
<w:pPr><w:pStyle w:val="Normal"/></w:pPr>
<w:r><w:t xml:space="preserve">James&apos;s.  When he was presented to his former sovereign,</w:t></w:r>
</w:p>
<w:p>
<w:pPr><w:pStyle w:val="Normal"/></w:pPr>
<w:r><w:t xml:space="preserve">George III. intimated that he was aware of Mr Adams&apos;s lack</w:t></w:r>
</w:p>
<w:p>
<w:pPr><w:pStyle w:val="Normal"/></w:pPr>
<w:r><w:t xml:space="preserve">of confidence in the French government.  Replying, Mr Adams</w:t></w:r>
</w:p>
<w:p>
<w:pPr><w:pStyle w:val="Normal"/></w:pPr>
<w:r><w:t xml:space="preserve">admitted it, closing with the outspoken sentiment: ``I must</w:t></w:r>
</w:p>
<w:p>
<w:pPr><w:pStyle w:val="Normal"/></w:pPr>
<w:r><w:t xml:space="preserve">avow to your Majesty that I have no attachment but to my own</w:t></w:r>
</w:p>
<w:p>
<w:pPr><w:pStyle w:val="Normal"/></w:pPr>
<w:r><w:t xml:space="preserve">country&apos;&apos;--a phrase which must have jarred upon the monarch&apos;s</w:t></w:r>
</w:p>
<w:p>
<w:pPr><w:pStyle w:val="Normal"/></w:pPr>
<w:r><w:t xml:space="preserve">sensibilities.  While in London Adams published a work</w:t></w:r>
</w:p>
<w:p>
<w:pPr><w:pStyle w:val="Normal"/></w:pPr>
<w:r><w:t xml:space="preserve">entitled A Defence of the Constitution of Government of</w:t></w:r>
</w:p>
<w:p>
<w:pPr><w:pStyle w:val="Normal"/></w:pPr>
<w:r><w:t xml:space="preserve">the United States (1787).  In this work he ably combated</w:t></w:r>
</w:p>
<w:p>
<w:pPr><w:pStyle w:val="Normal"/></w:pPr>
<w:r><w:t xml:space="preserve">the views of Turgot and other European writers as to the</w:t></w:r>
</w:p>
<w:p>
<w:pPr><w:pStyle w:val="Normal"/></w:pPr>
<w:r><w:t xml:space="preserve">viciousness of the frame-work of the state governments.</w:t></w:r>
</w:p>
<w:p>
<w:pPr><w:pStyle w:val="Normal"/></w:pPr>
<w:r><w:t xml:space="preserve">Unfortunately, in so doing, he used phrases savouring of</w:t></w:r>
</w:p>
<w:p>
<w:pPr><w:pStyle w:val="Normal"/></w:pPr>
<w:r><w:t xml:space="preserve">aristocracy which offended many of his countrymen,---as in the</w:t></w:r>
</w:p>
<w:p>
<w:pPr><w:pStyle w:val="Normal"/></w:pPr>
<w:r><w:t xml:space="preserve">sentence in which he suggested that ``the rich, the well-born</w:t></w:r>
</w:p>
<w:p>
<w:pPr><w:pStyle w:val="Normal"/></w:pPr>
<w:r><w:t xml:space="preserve">and the able&apos;&apos; should be set apart from other men in a</w:t></w:r>
</w:p>
<w:p>
<w:pPr><w:pStyle w:val="Normal"/></w:pPr>
<w:r><w:t xml:space="preserve">senate.  Partly for this reason, while Washington had the vote</w:t></w:r>
</w:p>
<w:p>
<w:pPr><w:pStyle w:val="Normal"/></w:pPr>
<w:r><w:t xml:space="preserve">of every elector in the first presidential election of 1789,</w:t></w:r>
</w:p>
<w:p>
<w:pPr><w:pStyle w:val="Normal"/></w:pPr>
<w:r><w:t xml:space="preserve">Adams received only thirty-four out of sixty-nine.  As this</w:t></w:r>
</w:p>
<w:p>
<w:pPr><w:pStyle w:val="Normal"/></w:pPr>
<w:r><w:t xml:space="preserve">was the second largest number he was declared vice-president,</w:t></w:r>
</w:p>
<w:p>
<w:pPr><w:pStyle w:val="Normal"/></w:pPr>
<w:r><w:t xml:space="preserve">but he began his eight years in that office (1789-- 1797) with</w:t></w:r>
</w:p>
<w:p>
<w:pPr><w:pStyle w:val="Normal"/></w:pPr>
<w:r><w:t xml:space="preserve">a sense of grievance and of suspicion of many of the leading</w:t></w:r>
</w:p>
<w:p>
<w:pPr><w:pStyle w:val="Normal"/></w:pPr>
<w:r><w:t xml:space="preserve">men.  Differences of opinion with regard to the policies to be</w:t></w:r>
</w:p>
<w:p>
<w:pPr><w:pStyle w:val="Normal"/></w:pPr>
<w:r><w:t xml:space="preserve">pursued by the new government gradually led to the formation</w:t></w:r>
</w:p>
<w:p>
<w:pPr><w:pStyle w:val="Normal"/></w:pPr>
<w:r><w:t xml:space="preserve">of two well-defined political groups---the Federalists and the</w:t></w:r>
</w:p>
<w:p>
<w:pPr><w:pStyle w:val="Normal"/></w:pPr>
<w:r><w:t xml:space="preserve">Democratic-Republicans--and Adams became recognized as one of</w:t></w:r>
</w:p>
<w:p>
<w:pPr><w:pStyle w:val="Normal"/></w:pPr>
<w:r><w:t xml:space="preserve">the leaders, second only to Alexander Hamilton, of the former.</w:t></w:r>
</w:p>
<w:p>
<w:pPr><w:pStyle w:val="Normal"/></w:pPr>
<w:r><w:t xml:space="preserve">In 1796, on the refusal of Washington to accept another</w:t></w:r>
</w:p>
<w:p>
<w:pPr><w:pStyle w:val="Normal"/></w:pPr>
<w:r><w:t xml:space="preserve">election, Adams was chosen president, defeating Thomas Jefferson;</w:t></w:r>
</w:p>
<w:p>
<w:pPr><w:pStyle w:val="Normal"/></w:pPr>
<w:r><w:t xml:space="preserve">though Alexander Hamilton and other Federalists had asked that</w:t></w:r>
</w:p>
<w:p>
<w:pPr><w:pStyle w:val="Normal"/></w:pPr>
<w:r><w:t xml:space="preserve">an equal vote should be cast for Adams and Thomas Pinckney,</w:t></w:r>
</w:p>
<w:p>
<w:pPr><w:pStyle w:val="Normal"/></w:pPr>
<w:r><w:t xml:space="preserve">the other Federalist in the contest, partly in order that</w:t></w:r>
</w:p>
<w:p>
<w:pPr><w:pStyle w:val="Normal"/></w:pPr>
<w:r><w:t xml:space="preserve">Jefferson, who was elected vice-president, might be excluded</w:t></w:r>
</w:p>
<w:p>
<w:pPr><w:pStyle w:val="Normal"/></w:pPr>
<w:r><w:t xml:space="preserve">altogether, and partly, it seems, in the hope that Pinckney</w:t></w:r>
</w:p>
<w:p>
<w:pPr><w:pStyle w:val="Normal"/></w:pPr>
<w:r><w:t xml:space="preserve">should in fact receive more votes than Adams, and thus, in</w:t></w:r>
</w:p>
<w:p>
<w:pPr><w:pStyle w:val="Normal"/></w:pPr>
<w:r><w:t xml:space="preserve">accordance with the system then obtaining, be elected president,</w:t></w:r>
</w:p>
<w:p>
<w:pPr><w:pStyle w:val="Normal"/></w:pPr>
<w:r><w:t xml:space="preserve">though he was intended for the second place on the Federalist</w:t></w:r>
</w:p>
<w:p>
<w:pPr><w:pStyle w:val="Normal"/></w:pPr>
<w:r><w:t xml:space="preserve">ticket.  Adams&apos;s four years as chief magistrate (1797--1801)</w:t></w:r>
</w:p>
<w:p>
<w:pPr><w:pStyle w:val="Normal"/></w:pPr>
<w:r><w:t xml:space="preserve">were marked by a succession of intrigues which embittered</w:t></w:r>
</w:p>
<w:p>
<w:pPr><w:pStyle w:val="Normal"/></w:pPr>
<w:r><w:t xml:space="preserve">all his later life; they were marked, also, by events, such</w:t></w:r>
</w:p>
<w:p>
<w:pPr><w:pStyle w:val="Normal"/></w:pPr>
<w:r><w:t xml:space="preserve">as the passage of the Alien and Sedition Acts, which brought</w:t></w:r>
</w:p>
<w:p>
<w:pPr><w:pStyle w:val="Normal"/></w:pPr>
<w:r><w:t xml:space="preserve">discredit on the Federalist party.  Moreover, factional strife</w:t></w:r>
</w:p>
<w:p>
<w:pPr><w:pStyle w:val="Normal"/></w:pPr>
<w:r><w:t xml:space="preserve">broke out within the party itself; Adams and Hamilton became</w:t></w:r>
</w:p>
<w:p>
<w:pPr><w:pStyle w:val="Normal"/></w:pPr>
<w:r><w:t xml:space="preserve">alienated, and members of Adams&apos;s own cabinet virtually looked</w:t></w:r>
</w:p>
<w:p>
<w:pPr><w:pStyle w:val="Normal"/></w:pPr>
<w:r><w:t xml:space="preserve">to Hamilton rather than to the president as their political</w:t></w:r>
</w:p>
<w:p>
<w:pPr><w:pStyle w:val="Normal"/></w:pPr>
<w:r><w:t xml:space="preserve">chief.  The United States was, at this time, drawn into the</w:t></w:r>
</w:p>
<w:p>
<w:pPr><w:pStyle w:val="Normal"/></w:pPr>
<w:r><w:t xml:space="preserve">vortex of European complications, and Adams, instead of taking</w:t></w:r>
</w:p>
<w:p>
<w:pPr><w:pStyle w:val="Normal"/></w:pPr>
<w:r><w:t xml:space="preserve">advantage of the militant spirit which was aroused, patriotically</w:t></w:r>
</w:p>
<w:p>
<w:pPr><w:pStyle w:val="Normal"/></w:pPr>
<w:r><w:t xml:space="preserve">devoted himself to securing peace with France, much against</w:t></w:r>
</w:p>
<w:p>
<w:pPr><w:pStyle w:val="Normal"/></w:pPr>
<w:r><w:t xml:space="preserve">the wishes of Hamilton and of Hamilton&apos;s adherents in the</w:t></w:r>
</w:p>
<w:p>
<w:pPr><w:pStyle w:val="Normal"/></w:pPr>
<w:r><w:t xml:space="preserve">cabinet.  In 1800, Adams was again the Federalist candidate</w:t></w:r>
</w:p>
<w:p>
<w:pPr><w:pStyle w:val="Normal"/></w:pPr>
<w:r><w:t xml:space="preserve">for the presidency, but the distrust of him in his own</w:t></w:r>
</w:p>
<w:p>
<w:pPr><w:pStyle w:val="Normal"/></w:pPr>
<w:r><w:t xml:space="preserve">party, the popular disapproval of the Alien and Sedition</w:t></w:r>
</w:p>
<w:p>
<w:pPr><w:pStyle w:val="Normal"/></w:pPr>
<w:r><w:t xml:space="preserve">Acts and the popularity of his opponent, Thomas Jefferson,</w:t></w:r>
</w:p>
<w:p>
<w:pPr><w:pStyle w:val="Normal"/></w:pPr>
<w:r><w:t xml:space="preserve">combined to cause his defeat.  He then retired into private</w:t></w:r>
</w:p>
<w:p>
<w:pPr><w:pStyle w:val="Normal"/></w:pPr>
<w:r><w:t xml:space="preserve">life.  On the 4th of July 1826, on the fiftieth anniversary</w:t></w:r>
</w:p>
<w:p>
<w:pPr><w:pStyle w:val="Normal"/></w:pPr>
<w:r><w:t xml:space="preserve">of the adoption of the Declaration of Independence, he died at</w:t></w:r>
</w:p>
<w:p>
<w:pPr><w:pStyle w:val="Normal"/></w:pPr>
<w:r><w:t xml:space="preserve">Quincy.  Jefferson died on the same day.  In 1764 Adams had married</w:t></w:r>
</w:p>
<w:p>
<w:pPr><w:pStyle w:val="Normal"/></w:pPr>
<w:r><w:t xml:space="preserve">Miss Abigail Smith (1744-1818), the daughter of a Congregational</w:t></w:r>
</w:p>
<w:p>
<w:pPr><w:pStyle w:val="Normal"/></w:pPr>
<w:r><w:t xml:space="preserve">minister at Weymouth, Massachusetts.  She was a woman of much</w:t></w:r>
</w:p>
<w:p>
<w:pPr><w:pStyle w:val="Normal"/></w:pPr>
<w:r><w:t xml:space="preserve">ability, and her letters, written in an excellent English</w:t></w:r>
</w:p>
<w:p>
<w:pPr><w:pStyle w:val="Normal"/></w:pPr>
<w:r><w:t xml:space="preserve">style, are of great value to students of the period in which she</w:t></w:r>
</w:p>
<w:p>
<w:pPr><w:pStyle w:val="Normal"/></w:pPr>
<w:r><w:t xml:space="preserve">lived.  President John Quincy Adams was their eldest son.</w:t></w:r>
</w:p>
<w:p>
<w:pPr><w:pStyle w:val="Normal"/></w:pPr>
<w:r><w:t xml:space="preserve">AUTHORITIES.--C.  F. Adams, The Works of John Aadms, with</w:t></w:r>
</w:p>
<w:p>
<w:pPr><w:pStyle w:val="Normal"/></w:pPr>
<w:r><w:t xml:space="preserve">Life (10 vols., Boston, 1850-1856); John and Abigail Adams,</w:t></w:r>
</w:p>
<w:p>
<w:pPr><w:pStyle w:val="Normal"/></w:pPr>
<w:r><w:t xml:space="preserve">Familiar Letters during thc Revolution (Boston, 1875);</w:t></w:r>
</w:p>
<w:p>
<w:pPr><w:pStyle w:val="Normal"/></w:pPr>
<w:r><w:t xml:space="preserve">J. T. Morse, John Adams (Boston, 1885: later edition,</w:t></w:r>
</w:p>
<w:p>
<w:pPr><w:pStyle w:val="Normal"/></w:pPr>
<w:r><w:t xml:space="preserve">1899), in the ``American Statesmen Series&apos;&apos;; and Mellen</w:t></w:r>
</w:p>
<w:p>
<w:pPr><w:pStyle w:val="Normal"/></w:pPr>
<w:r><w:t xml:space="preserve">Chamberlain, John Adams, the Statesman of the Revolution;</w:t></w:r>
</w:p>
<w:p>
<w:pPr><w:pStyle w:val="Normal"/></w:pPr>
<w:r><w:t xml:space="preserve">with other Essays and Addresses (Boston, 1898). (E. CH.)</w:t></w:r>
</w:p>
<w:p>
<w:pPr><w:pStyle w:val="Normal"/></w:pPr>
<w:r><w:t xml:space="preserve">ADAMS, JOHN COUCH (1819--1892), British astronomer, was born</w:t></w:r>
</w:p>
<w:p>
<w:pPr><w:pStyle w:val="Normal"/></w:pPr>
<w:r><w:t xml:space="preserve">at Lidcot farmhouse, Laneast, Cornwall, on the 5th of June</w:t></w:r>
</w:p>
<w:p>
<w:pPr><w:pStyle w:val="Normal"/></w:pPr>
<w:r><w:t xml:space="preserve">1819.  His father, Thomas Adams, was a tenant farmer; his</w:t></w:r>
</w:p>
<w:p>
<w:pPr><w:pStyle w:val="Normal"/></w:pPr>
<w:r><w:t xml:space="preserve">mother, Tabitha Knill Grylls, inherited a small estate at</w:t></w:r>
</w:p>
<w:p>
<w:pPr><w:pStyle w:val="Normal"/></w:pPr>
<w:r><w:t xml:space="preserve">Badharlick.  From the village school at Laneast he went, at</w:t></w:r>
</w:p>
<w:p>
<w:pPr><w:pStyle w:val="Normal"/></w:pPr>
<w:r><w:t xml:space="preserve">the age of twelve, to Devonport, where his mother&apos;s cousin,</w:t></w:r>
</w:p>
<w:p>
<w:pPr><w:pStyle w:val="Normal"/></w:pPr>
<w:r><w:t xml:space="preserve">the Rev. John Couch Grylls, kept a private school.  His</w:t></w:r>
</w:p>
<w:p>
<w:pPr><w:pStyle w:val="Normal"/></w:pPr>
<w:r><w:t xml:space="preserve">promise as a mathematician induced his parents to send him to</w:t></w:r>
</w:p>
<w:p>
<w:pPr><w:pStyle w:val="Normal"/></w:pPr>
<w:r><w:t xml:space="preserve">the university of Cambridge, and in October 1839 he entered</w:t></w:r>
</w:p>
<w:p>
<w:pPr><w:pStyle w:val="Normal"/></w:pPr>
<w:r><w:t xml:space="preserve">as a sizar at St John&apos;s College.  He graduated B.A. in 1843</w:t></w:r>
</w:p>
<w:p>
<w:pPr><w:pStyle w:val="Normal"/></w:pPr>
<w:r><w:t xml:space="preserve">as the senior wrangler and first Smith&apos;s prizeman of his</w:t></w:r>
</w:p>
<w:p>
<w:pPr><w:pStyle w:val="Normal"/></w:pPr>
<w:r><w:t xml:space="preserve">year.  While still an undergraduate he happened to read</w:t></w:r>
</w:p>
<w:p>
<w:pPr><w:pStyle w:val="Normal"/></w:pPr>
<w:r><w:t xml:space="preserve">of certain unexplained irregularities in the motion of</w:t></w:r>
</w:p>
<w:p>
<w:pPr><w:pStyle w:val="Normal"/></w:pPr>
<w:r><w:t xml:space="preserve">the planet Uranus, and determined to investigate them as</w:t></w:r>
</w:p>
<w:p>
<w:pPr><w:pStyle w:val="Normal"/></w:pPr>
<w:r><w:t xml:space="preserve">soon as possible, with a view to ascertaining whether they</w:t></w:r>
</w:p>
<w:p>
<w:pPr><w:pStyle w:val="Normal"/></w:pPr>
<w:r><w:t xml:space="preserve">might not be due to the action of a remote undiscovered</w:t></w:r>
</w:p>
<w:p>
<w:pPr><w:pStyle w:val="Normal"/></w:pPr>
<w:r><w:t xml:space="preserve">planet.  Elected fellow of his college in 1843, he at once</w:t></w:r>
</w:p>
<w:p>
<w:pPr><w:pStyle w:val="Normal"/></w:pPr>
<w:r><w:t xml:space="preserve">proceeded to attack the novel problem.  It was this: from</w:t></w:r>
</w:p>
<w:p>
<w:pPr><w:pStyle w:val="Normal"/></w:pPr>
<w:r><w:t xml:space="preserve">the observed perturbations of a known planet to deduce by</w:t></w:r>
</w:p>
<w:p>
<w:pPr><w:pStyle w:val="Normal"/></w:pPr>
<w:r><w:t xml:space="preserve">calculation, assuming only Newton&apos;s law of gravitation, the</w:t></w:r>
</w:p>
<w:p>
<w:pPr><w:pStyle w:val="Normal"/></w:pPr>
<w:r><w:t xml:space="preserve">mass and orbit of an unknown disturbing body.  By September</w:t></w:r>
</w:p>
<w:p>
<w:pPr><w:pStyle w:val="Normal"/></w:pPr>
<w:r><w:t xml:space="preserve">1845 he obtained his first solution, and handed to Professor</w:t></w:r>
</w:p>
<w:p>
<w:pPr><w:pStyle w:val="Normal"/></w:pPr>
<w:r><w:t xml:space="preserve">Challis, the director of the Cambridge Observatory, a paper</w:t></w:r>
</w:p>
<w:p>
<w:pPr><w:pStyle w:val="Normal"/></w:pPr>
<w:r><w:t xml:space="preserve">giving the elements of what he described as ``the new planet.&apos;&apos;</w:t></w:r>
</w:p>
<w:p>
<w:pPr><w:pStyle w:val="Normal"/></w:pPr>
<w:r><w:t xml:space="preserve">On the 21st of October 1845 he left at Greenwich Observatory,</w:t></w:r>
</w:p>
<w:p>
<w:pPr><w:pStyle w:val="Normal"/></w:pPr>
<w:r><w:t xml:space="preserve">for the information of Sir George Airy, the astronomer-royal, a</w:t></w:r>
</w:p>
<w:p>
<w:pPr><w:pStyle w:val="Normal"/></w:pPr>
<w:r><w:t xml:space="preserve">similar document, still preserved among the archives.  A fortnight</w:t></w:r>
</w:p>
<w:p>
<w:pPr><w:pStyle w:val="Normal"/></w:pPr>
<w:r><w:t xml:space="preserve">afterwards Airy wrote asking for information about a point in the</w:t></w:r>
</w:p>
<w:p>
<w:pPr><w:pStyle w:val="Normal"/></w:pPr>
<w:r><w:t xml:space="preserve">solution.  Adams, who thought the query unessential, did not</w:t></w:r>
</w:p>
<w:p>
<w:pPr><w:pStyle w:val="Normal"/></w:pPr>
<w:r><w:t xml:space="preserve">reply, and Airy for some months took no steps to verify by</w:t></w:r>
</w:p>
<w:p>
<w:pPr><w:pStyle w:val="Normal"/></w:pPr>
<w:r><w:t xml:space="preserve">telescopic search the results of the young mathematician&apos;s</w:t></w:r>
</w:p>
<w:p>
<w:pPr><w:pStyle w:val="Normal"/></w:pPr>
<w:r><w:t xml:space="preserve">investiation.  Meanwhile, Leverrier, on the 10th of November</w:t></w:r>
</w:p>
<w:p>
<w:pPr><w:pStyle w:val="Normal"/></w:pPr>
<w:r><w:t xml:space="preserve">1845, presented to the French Academy a memoir on Uranus,</w:t></w:r>
</w:p>
<w:p>
<w:pPr><w:pStyle w:val="Normal"/></w:pPr>
<w:r><w:t xml:space="preserve">showing that the existing theory failed to account for its</w:t></w:r>
</w:p>
<w:p>
<w:pPr><w:pStyle w:val="Normal"/></w:pPr>
<w:r><w:t xml:space="preserve">motion.  Unaware of Adams&apos;s work, he attempted a like inquiry,</w:t></w:r>
</w:p>
<w:p>
<w:pPr><w:pStyle w:val="Normal"/></w:pPr>
<w:r><w:t xml:space="preserve">and on the 1st of June 1846, in a second memoir, gave the</w:t></w:r>
</w:p>
<w:p>
<w:pPr><w:pStyle w:val="Normal"/></w:pPr>
<w:r><w:t xml:space="preserve">position, but not the mass or orbit, of the disturbing body</w:t></w:r>
</w:p>
<w:p>
<w:pPr><w:pStyle w:val="Normal"/></w:pPr>
<w:r><w:t xml:space="preserve">whose existence was presumed.  The longitude he assigned</w:t></w:r>
</w:p>
<w:p>
<w:pPr><w:pStyle w:val="Normal"/></w:pPr>
<w:r><w:t xml:space="preserve">differed by only 1 deg.  from that predicted by Adams in the</w:t></w:r>
</w:p>
<w:p>
<w:pPr><w:pStyle w:val="Normal"/></w:pPr>
<w:r><w:t xml:space="preserve">document which Airy possessed.  The latter was struck by the</w:t></w:r>
</w:p>
<w:p>
<w:pPr><w:pStyle w:val="Normal"/></w:pPr>
<w:r><w:t xml:space="preserve">coincidence, and mentioned it to the Board of Visitors of</w:t></w:r>
</w:p>
<w:p>
<w:pPr><w:pStyle w:val="Normal"/></w:pPr>
<w:r><w:t xml:space="preserve">the Observatory, James Challis and Sir John Herschel being</w:t></w:r>
</w:p>
<w:p>
<w:pPr><w:pStyle w:val="Normal"/></w:pPr>
<w:r><w:t xml:space="preserve">present.  Herschel, at the ensuing meeting of the British</w:t></w:r>
</w:p>
<w:p>
<w:pPr><w:pStyle w:val="Normal"/></w:pPr>
<w:r><w:t xml:space="preserve">Association early in September, ventured accordingly to</w:t></w:r>
</w:p>
<w:p>
<w:pPr><w:pStyle w:val="Normal"/></w:pPr>
<w:r><w:t xml:space="preserve">predict that a new planet would shortly be discovered.</w:t></w:r>
</w:p>
<w:p>
<w:pPr><w:pStyle w:val="Normal"/></w:pPr>
<w:r><w:t xml:space="preserve">Meanwhile Airy had in July suggested to Challis that the</w:t></w:r>
</w:p>
<w:p>
<w:pPr><w:pStyle w:val="Normal"/></w:pPr>
<w:r><w:t xml:space="preserve">planet should be sought for with the Cambridge equatorial.</w:t></w:r>
</w:p>
<w:p>
<w:pPr><w:pStyle w:val="Normal"/></w:pPr>
<w:r><w:t xml:space="preserve">The search was begun by a laborious method at the end of the</w:t></w:r>
</w:p>
<w:p>
<w:pPr><w:pStyle w:val="Normal"/></w:pPr>
<w:r><w:t xml:space="preserve">month.  On the 8th and 12th of August, as afterwards</w:t></w:r>
</w:p>
<w:p>
<w:pPr><w:pStyle w:val="Normal"/></w:pPr>
<w:r><w:t xml:space="preserve">appeared, the planet was actually observed; but owing to</w:t></w:r>
</w:p>
<w:p>
<w:pPr><w:pStyle w:val="Normal"/></w:pPr>
<w:r><w:t xml:space="preserve">the want of a proper star-map it was not then recognized as</w:t></w:r>
</w:p>
<w:p>
<w:pPr><w:pStyle w:val="Normal"/></w:pPr>
<w:r><w:t xml:space="preserve">planetary.  Leverrier, still ignorant of these occurrences,</w:t></w:r>
</w:p>
<w:p>
<w:pPr><w:pStyle w:val="Normal"/></w:pPr>
<w:r><w:t xml:space="preserve">presented on the 31st of August 1846 a third memoir, giving</w:t></w:r>
</w:p>
<w:p>
<w:pPr><w:pStyle w:val="Normal"/></w:pPr>
<w:r><w:t xml:space="preserve">for the first time the mass and orbit of the new body.  He</w:t></w:r>
</w:p>
<w:p>
<w:pPr><w:pStyle w:val="Normal"/></w:pPr>
<w:r><w:t xml:space="preserve">communicated his results by letter to Dr Gane, of the Berlin</w:t></w:r>
</w:p>
<w:p>
<w:pPr><w:pStyle w:val="Normal"/></w:pPr>
<w:r><w:t xml:space="preserve">Observatory, who at once examined the suggested region of the</w:t></w:r>
</w:p>
<w:p>
<w:pPr><w:pStyle w:val="Normal"/></w:pPr>
<w:r><w:t xml:space="preserve">heavens.  On the 23rd of September he detected near the</w:t></w:r>
</w:p>
<w:p>
<w:pPr><w:pStyle w:val="Normal"/></w:pPr>
<w:r><w:t xml:space="preserve">predicted place a small star unrecorded in the map, and next</w:t></w:r>
</w:p>
<w:p>
<w:pPr><w:pStyle w:val="Normal"/></w:pPr>
<w:r><w:t xml:space="preserve">evening found that it had a proper motion.  No doubt remained</w:t></w:r>
</w:p>
<w:p>
<w:pPr><w:pStyle w:val="Normal"/></w:pPr>
<w:r><w:t xml:space="preserve">that ``Leverrier&apos;s planet&apos;&apos; had been discovered.  On the</w:t></w:r>
</w:p>
<w:p>
<w:pPr><w:pStyle w:val="Normal"/></w:pPr>
<w:r><w:t xml:space="preserve">announcement of the fact, Herschel and Challis made known</w:t></w:r>
</w:p>
<w:p>
<w:pPr><w:pStyle w:val="Normal"/></w:pPr>
<w:r><w:t xml:space="preserve">that Adams had already calculated the planet&apos;s elements and</w:t></w:r>
</w:p>
<w:p>
<w:pPr><w:pStyle w:val="Normal"/></w:pPr>
<w:r><w:t xml:space="preserve">position.  Airy then at length published an account of the</w:t></w:r>
</w:p>
<w:p>
<w:pPr><w:pStyle w:val="Normal"/></w:pPr>
<w:r><w:t xml:space="preserve">circumstances, and Adams&apos;s memoir was printed as an appendix</w:t></w:r>
</w:p>
<w:p>
<w:pPr><w:pStyle w:val="Normal"/></w:pPr>
<w:r><w:t xml:space="preserve">to the Nautical Almanac. A keen controversy arose in France</w:t></w:r>
</w:p>
<w:p>
<w:pPr><w:pStyle w:val="Normal"/></w:pPr>
<w:r><w:t xml:space="preserve">and England as to the merits of the two astronomers.  In the</w:t></w:r>
</w:p>
<w:p>
<w:pPr><w:pStyle w:val="Normal"/></w:pPr>
<w:r><w:t xml:space="preserve">latter country much surprise was expressed at the apathy of</w:t></w:r>
</w:p>
<w:p>
<w:pPr><w:pStyle w:val="Normal"/></w:pPr>
<w:r><w:t xml:space="preserve">Airy; in France the claims made for an unknown Englishman</w:t></w:r>
</w:p>
<w:p>
<w:pPr><w:pStyle w:val="Normal"/></w:pPr>
<w:r><w:t xml:space="preserve">were resented as detracting from the credit due to Leverrier&apos;s</w:t></w:r>
</w:p>
<w:p>
<w:pPr><w:pStyle w:val="Normal"/></w:pPr>
<w:r><w:t xml:space="preserve">achievement.  As the indisputable facts became known, the</w:t></w:r>
</w:p>
<w:p>
<w:pPr><w:pStyle w:val="Normal"/></w:pPr>
<w:r><w:t xml:space="preserve">world recognized that the two astronomers had independently</w:t></w:r>
</w:p>
<w:p>
<w:pPr><w:pStyle w:val="Normal"/></w:pPr>
<w:r><w:t xml:space="preserve">solved the problem of Uranus, and ascribed to each equal</w:t></w:r>
</w:p>
<w:p>
<w:pPr><w:pStyle w:val="Normal"/></w:pPr>
<w:r><w:t xml:space="preserve">glory.  The new planet, at first called Leverrier by F.</w:t></w:r>
</w:p>
<w:p>
<w:pPr><w:pStyle w:val="Normal"/></w:pPr>
<w:r><w:t xml:space="preserve">Arago, received by general consent the neutral name of</w:t></w:r>
</w:p>
<w:p>
<w:pPr><w:pStyle w:val="Normal"/></w:pPr>
<w:r><w:t xml:space="preserve">Neptune. Its mathematical prediction was not only an</w:t></w:r>
</w:p>
<w:p>
<w:pPr><w:pStyle w:val="Normal"/></w:pPr>
<w:r><w:t xml:space="preserve">unsurpassed intellectual feat; it showed also that Newton&apos;s</w:t></w:r>
</w:p>
<w:p>
<w:pPr><w:pStyle w:val="Normal"/></w:pPr>
<w:r><w:t xml:space="preserve">law of gravitation, which Airy had almost called in question,</w:t></w:r>
</w:p>
<w:p>
<w:pPr><w:pStyle w:val="Normal"/></w:pPr>
<w:r><w:t xml:space="preserve">prevailed even to the utmost bounds of the solar system.</w:t></w:r>
</w:p>
<w:p>
<w:pPr><w:pStyle w:val="Normal"/></w:pPr>
<w:r><w:t xml:space="preserve">The honour of knighthood was offered to Adams when Queen</w:t></w:r>
</w:p>
<w:p>
<w:pPr><w:pStyle w:val="Normal"/></w:pPr>
<w:r><w:t xml:space="preserve">Victoria visited Cambridge in 1847; but then, as on a</w:t></w:r>
</w:p>
<w:p>
<w:pPr><w:pStyle w:val="Normal"/></w:pPr>
<w:r><w:t xml:space="preserve">subsequent occasion, his modesty led him to decline it.</w:t></w:r>
</w:p>
<w:p>
<w:pPr><w:pStyle w:val="Normal"/></w:pPr>
<w:r><w:t xml:space="preserve">The Royal Society awarded him its Copley medal in 1848.  In</w:t></w:r>
</w:p>
<w:p>
<w:pPr><w:pStyle w:val="Normal"/></w:pPr>
<w:r><w:t xml:space="preserve">the same year the members of St John&apos;s College commemorated</w:t></w:r>
</w:p>
<w:p>
<w:pPr><w:pStyle w:val="Normal"/></w:pPr>
<w:r><w:t xml:space="preserve">his success by founding in the university an Adams prize, to</w:t></w:r>
</w:p>
<w:p>
<w:pPr><w:pStyle w:val="Normal"/></w:pPr>
<w:r><w:t xml:space="preserve">be given biennially for the best treatise on a mathematical</w:t></w:r>
</w:p>
<w:p>
<w:pPr><w:pStyle w:val="Normal"/></w:pPr>
<w:r><w:t xml:space="preserve">subject.  In 1851 he became president of the Royal Astronomical</w:t></w:r>
</w:p>
<w:p>
<w:pPr><w:pStyle w:val="Normal"/></w:pPr>
<w:r><w:t xml:space="preserve">Society.  His lay fellowship at St John&apos;s College came to</w:t></w:r>
</w:p>
<w:p>
<w:pPr><w:pStyle w:val="Normal"/></w:pPr>
<w:r><w:t xml:space="preserve">an end in 1852, and the existing statutes did not permit</w:t></w:r>
</w:p>
<w:p>
<w:pPr><w:pStyle w:val="Normal"/></w:pPr>
<w:r><w:t xml:space="preserve">of his re-election.  But Pembroke College, which possessed</w:t></w:r>
</w:p>
<w:p>
<w:pPr><w:pStyle w:val="Normal"/></w:pPr>
<w:r><w:t xml:space="preserve">greater freedom, elected him in the following year to a lay</w:t></w:r>
</w:p>
<w:p>
<w:pPr><w:pStyle w:val="Normal"/></w:pPr>
<w:r><w:t xml:space="preserve">fellowship, and this he held for the rest of his life.  In</w:t></w:r>
</w:p>
<w:p>
<w:pPr><w:pStyle w:val="Normal"/></w:pPr>
<w:r><w:t xml:space="preserve">1858 he became professor of mathematics at St Andrews, but</w:t></w:r>
</w:p>
<w:p>
<w:pPr><w:pStyle w:val="Normal"/></w:pPr>
<w:r><w:t xml:space="preserve">lectured only for a session, when he vacated the chair for</w:t></w:r>
</w:p>
<w:p>
<w:pPr><w:pStyle w:val="Normal"/></w:pPr>
<w:r><w:t xml:space="preserve">the Lowndean professorship of astronomy and geometry at</w:t></w:r>
</w:p>
<w:p>
<w:pPr><w:pStyle w:val="Normal"/></w:pPr>
<w:r><w:t xml:space="preserve">Cambridge.  Two years later he succeeded Challis as director</w:t></w:r>
</w:p>
<w:p>
<w:pPr><w:pStyle w:val="Normal"/></w:pPr>
<w:r><w:t xml:space="preserve">of the Observatory, where he resided until his death.</w:t></w:r>
</w:p>
<w:p>
<w:pPr><w:pStyle w:val="Normal"/></w:pPr>
<w:r><w:t xml:space="preserve">Although Adams&apos;s researches on Neptune were those which attracted</w:t></w:r>
</w:p>
<w:p>
<w:pPr><w:pStyle w:val="Normal"/></w:pPr>
<w:r><w:t xml:space="preserve">widest notice, the work he subsequently performed in relation to</w:t></w:r>
</w:p>
<w:p>
<w:pPr><w:pStyle w:val="Normal"/></w:pPr>
<w:r><w:t xml:space="preserve">gravitational astronomy and terrestrial magnetism was not less</w:t></w:r>
</w:p>
<w:p>
<w:pPr><w:pStyle w:val="Normal"/></w:pPr>
<w:r><w:t xml:space="preserve">remarkable.  Several of his most striking contributions to</w:t></w:r>
</w:p>
<w:p>
<w:pPr><w:pStyle w:val="Normal"/></w:pPr>
<w:r><w:t xml:space="preserve">knowledge originated in the discovery of errors or fallacies</w:t></w:r>
</w:p>
<w:p>
<w:pPr><w:pStyle w:val="Normal"/></w:pPr>
<w:r><w:t xml:space="preserve">in the work of his great predecessors in astronomy.  Thus</w:t></w:r>
</w:p>
<w:p>
<w:pPr><w:pStyle w:val="Normal"/></w:pPr>
<w:r><w:t xml:space="preserve">in 1852 he published new and accurate tables of the moon&apos;s</w:t></w:r>
</w:p>
<w:p>
<w:pPr><w:pStyle w:val="Normal"/></w:pPr>
<w:r><w:t xml:space="preserve">parallax, which superseded J. K. Burckhardt&apos;s, and supplied</w:t></w:r>
</w:p>
<w:p>
<w:pPr><w:pStyle w:val="Normal"/></w:pPr>
<w:r><w:t xml:space="preserve">corrections to the theories of M. C. T. Damoiseau, G. A. A.</w:t></w:r>
</w:p>
<w:p>
<w:pPr><w:pStyle w:val="Normal"/></w:pPr>
<w:r><w:t xml:space="preserve">Plana and P. G. D. de Pontecoulant.  In the following year his</w:t></w:r>
</w:p>
<w:p>
<w:pPr><w:pStyle w:val="Normal"/></w:pPr>
<w:r><w:t xml:space="preserve">memoir on the secular acceleration of the moon&apos;s mean motion</w:t></w:r>
</w:p>
<w:p>
<w:pPr><w:pStyle w:val="Normal"/></w:pPr>
<w:r><w:t xml:space="preserve">partially invalidated Laplace&apos;s famous explanation, which</w:t></w:r>
</w:p>
<w:p>
<w:pPr><w:pStyle w:val="Normal"/></w:pPr>
<w:r><w:t xml:space="preserve">had held its place unchallenged for sixty years.  At first,</w:t></w:r>
</w:p>
<w:p>
<w:pPr><w:pStyle w:val="Normal"/></w:pPr>
<w:r><w:t xml:space="preserve">Leverrier, Plana and other foreign astronomersi controverted</w:t></w:r>
</w:p>
<w:p>
<w:pPr><w:pStyle w:val="Normal"/></w:pPr>
<w:r><w:t xml:space="preserve">Adams&apos;s result; but its soundness was ultimately established,</w:t></w:r>
</w:p>
<w:p>
<w:pPr><w:pStyle w:val="Normal"/></w:pPr>
<w:r><w:t xml:space="preserve">and its fundamental importance to this branch of celestial theory</w:t></w:r>
</w:p>
<w:p>
<w:pPr><w:pStyle w:val="Normal"/></w:pPr>
<w:r><w:t xml:space="preserve">has only developed further with time.  For these researches</w:t></w:r>
</w:p>
<w:p>
<w:pPr><w:pStyle w:val="Normal"/></w:pPr>
<w:r><w:t xml:space="preserve">the Royal Astronomical Society awarded him its gold medal in</w:t></w:r>
</w:p>
<w:p>
<w:pPr><w:pStyle w:val="Normal"/></w:pPr>
<w:r><w:t xml:space="preserve">1866.  The great meteor shower of 1866 turned his attention</w:t></w:r>
</w:p>
<w:p>
<w:pPr><w:pStyle w:val="Normal"/></w:pPr>
<w:r><w:t xml:space="preserve">to the Leonids, whose probable path and period had already</w:t></w:r>
</w:p>
<w:p>
<w:pPr><w:pStyle w:val="Normal"/></w:pPr>
<w:r><w:t xml:space="preserve">been discussed by Professor H. A. Newton.  Using a powerful</w:t></w:r>
</w:p>
<w:p>
<w:pPr><w:pStyle w:val="Normal"/></w:pPr>
<w:r><w:t xml:space="preserve">and elaborate analysis, Adams ascertained that this cluster</w:t></w:r>
</w:p>
<w:p>
<w:pPr><w:pStyle w:val="Normal"/></w:pPr>
<w:r><w:t xml:space="preserve">of meteors, which belongs to the solar system, traverses an</w:t></w:r>
</w:p>
<w:p>
<w:pPr><w:pStyle w:val="Normal"/></w:pPr>
<w:r><w:t xml:space="preserve">elongated ellipse in 33 1/4 years, and is subject to definite</w:t></w:r>
</w:p>
<w:p>
<w:pPr><w:pStyle w:val="Normal"/></w:pPr>
<w:r><w:t xml:space="preserve">perturbations from the larger planets, Jupiter, Saturn and</w:t></w:r>
</w:p>
<w:p>
<w:pPr><w:pStyle w:val="Normal"/></w:pPr>
<w:r><w:t xml:space="preserve">Uranus.  These results were published in 1867.  Ten years</w:t></w:r>
</w:p>
<w:p>
<w:pPr><w:pStyle w:val="Normal"/></w:pPr>
<w:r><w:t xml:space="preserve">later, when Mr. G. W. Hill of Washington expounded a new and</w:t></w:r>
</w:p>
<w:p>
<w:pPr><w:pStyle w:val="Normal"/></w:pPr>
<w:r><w:t xml:space="preserve">beautiful method for dealing with the problem of the lunar</w:t></w:r>
</w:p>
<w:p>
<w:pPr><w:pStyle w:val="Normal"/></w:pPr>
<w:r><w:t xml:space="preserve">motions, Adams briefly announced his own unpublished work</w:t></w:r>
</w:p>
<w:p>
<w:pPr><w:pStyle w:val="Normal"/></w:pPr>
<w:r><w:t xml:space="preserve">in the same field, which, following a parallel course had</w:t></w:r>
</w:p>
<w:p>
<w:pPr><w:pStyle w:val="Normal"/></w:pPr>
<w:r><w:t xml:space="preserve">confirmed and supplemented Hill&apos;s.  In 1874-1876 he was</w:t></w:r>
</w:p>
<w:p>
<w:pPr><w:pStyle w:val="Normal"/></w:pPr>
<w:r><w:t xml:space="preserve">president of the Royal Astronomical Society for the second time,</w:t></w:r>
</w:p>
<w:p>
<w:pPr><w:pStyle w:val="Normal"/></w:pPr>
<w:r><w:t xml:space="preserve">when it fell to him to present the gold medal of the year to</w:t></w:r>
</w:p>
<w:p>
<w:pPr><w:pStyle w:val="Normal"/></w:pPr>
<w:r><w:t xml:space="preserve">Leverrier.  The determination of the constants in Gauss&apos;s</w:t></w:r>
</w:p>
<w:p>
<w:pPr><w:pStyle w:val="Normal"/></w:pPr>
<w:r><w:t xml:space="preserve">theory of terrestrial magnetism occupied him at intervals for</w:t></w:r>
</w:p>
<w:p>
<w:pPr><w:pStyle w:val="Normal"/></w:pPr>
<w:r><w:t xml:space="preserve">over forty years.  The calculations involved great labour,</w:t></w:r>
</w:p>
<w:p>
<w:pPr><w:pStyle w:val="Normal"/></w:pPr>
<w:r><w:t xml:space="preserve">and were not published during his lifetime.  They were edited</w:t></w:r>
</w:p>
<w:p>
<w:pPr><w:pStyle w:val="Normal"/></w:pPr>
<w:r><w:t xml:space="preserve">by his brother, Professor W. Grylls Adams, and appear in the</w:t></w:r>
</w:p>
<w:p>
<w:pPr><w:pStyle w:val="Normal"/></w:pPr>
<w:r><w:t xml:space="preserve">second volume of the collected Scientific Papers. Numerical</w:t></w:r>
</w:p>
<w:p>
<w:pPr><w:pStyle w:val="Normal"/></w:pPr>
<w:r><w:t xml:space="preserve">computation of this kind might almost be described as his</w:t></w:r>
</w:p>
<w:p>
<w:pPr><w:pStyle w:val="Normal"/></w:pPr>
<w:r><w:t xml:space="preserve">pastime.  The value of the constant known as Euler&apos;s, and</w:t></w:r>
</w:p>
<w:p>
<w:pPr><w:pStyle w:val="Normal"/></w:pPr>
<w:r><w:t xml:space="preserve">the Bernoullian numbers up to the 62nd, he worked out to an</w:t></w:r>
</w:p>
<w:p>
<w:pPr><w:pStyle w:val="Normal"/></w:pPr>
<w:r><w:t xml:space="preserve">unimagined degree of accuracy.  For Newton and his writings he</w:t></w:r>
</w:p>
<w:p>
<w:pPr><w:pStyle w:val="Normal"/></w:pPr>
<w:r><w:t xml:space="preserve">had a boundless admiration; many of his papers, indeed, bear</w:t></w:r>
</w:p>
<w:p>
<w:pPr><w:pStyle w:val="Normal"/></w:pPr>
<w:r><w:t xml:space="preserve">the cast of Newton&apos;s thought.  He laboured for many years at</w:t></w:r>
</w:p>
<w:p>
<w:pPr><w:pStyle w:val="Normal"/></w:pPr>
<w:r><w:t xml:space="preserve">the task of arranging and cataloguing the great collection</w:t></w:r>
</w:p>
<w:p>
<w:pPr><w:pStyle w:val="Normal"/></w:pPr>
<w:r><w:t xml:space="preserve">of Newton&apos;s unpublished mathematical writings, presented</w:t></w:r>
</w:p>
<w:p>
<w:pPr><w:pStyle w:val="Normal"/></w:pPr>
<w:r><w:t xml:space="preserve">in 1872 to the university by Lord Portsmouth, and wrote the</w:t></w:r>
</w:p>
<w:p>
<w:pPr><w:pStyle w:val="Normal"/></w:pPr>
<w:r><w:t xml:space="preserve">account of them issued in a volume by the University Press in</w:t></w:r>
</w:p>
<w:p>
<w:pPr><w:pStyle w:val="Normal"/></w:pPr>
<w:r><w:t xml:space="preserve">1888.  The post of astronomer-royal was offered him in 1881,</w:t></w:r>
</w:p>
<w:p>
<w:pPr><w:pStyle w:val="Normal"/></w:pPr>
<w:r><w:t xml:space="preserve">but he preferred to pursue his peaceful course of teaching</w:t></w:r>
</w:p>
<w:p>
<w:pPr><w:pStyle w:val="Normal"/></w:pPr>
<w:r><w:t xml:space="preserve">and research in Cambridge.  He was British delegate to the</w:t></w:r>
</w:p>
<w:p>
<w:pPr><w:pStyle w:val="Normal"/></w:pPr>
<w:r><w:t xml:space="preserve">International Prime Meridian Conference at Washington in</w:t></w:r>
</w:p>
<w:p>
<w:pPr><w:pStyle w:val="Normal"/></w:pPr>
<w:r><w:t xml:space="preserve">1884, when he also attended the meetings of the British</w:t></w:r>
</w:p>
<w:p>
<w:pPr><w:pStyle w:val="Normal"/></w:pPr>
<w:r><w:t xml:space="preserve">Association at Montreal and of the American Association at</w:t></w:r>
</w:p>
<w:p>
<w:pPr><w:pStyle w:val="Normal"/></w:pPr>
<w:r><w:t xml:space="preserve">Philadelphia.  Five years later his health gave way, and</w:t></w:r>
</w:p>
<w:p>
<w:pPr><w:pStyle w:val="Normal"/></w:pPr>
<w:r><w:t xml:space="preserve">after a long illness he died at the Cambridge Observatory</w:t></w:r>
</w:p>
<w:p>
<w:pPr><w:pStyle w:val="Normal"/></w:pPr>
<w:r><w:t xml:space="preserve">on the 21st of January 1892, and was buried in St Giles&apos;s</w:t></w:r>
</w:p>
<w:p>
<w:pPr><w:pStyle w:val="Normal"/></w:pPr>
<w:r><w:t xml:space="preserve">cemetery, near his home.  He married in 1863 Miss Eliza Bruce,</w:t></w:r>
</w:p>
<w:p>
<w:pPr><w:pStyle w:val="Normal"/></w:pPr>
<w:r><w:t xml:space="preserve">of Dublin, who survived him.  An international committee was</w:t></w:r>
</w:p>
<w:p>
<w:pPr><w:pStyle w:val="Normal"/></w:pPr>
<w:r><w:t xml:space="preserve">formed for the purpose of erecting a monument to his memory</w:t></w:r>
</w:p>
<w:p>
<w:pPr><w:pStyle w:val="Normal"/></w:pPr>
<w:r><w:t xml:space="preserve">in Westminster Abbey; and there, in May 1895, a portrait</w:t></w:r>
</w:p>
<w:p>
<w:pPr><w:pStyle w:val="Normal"/></w:pPr>
<w:r><w:t xml:space="preserve">medallion, by Albert Bruce Joy, was placed near the grave</w:t></w:r>
</w:p>
<w:p>
<w:pPr><w:pStyle w:val="Normal"/></w:pPr>
<w:r><w:t xml:space="preserve">of Newton, and adjoining the memorials of Darwin and of</w:t></w:r>
</w:p>
<w:p>
<w:pPr><w:pStyle w:val="Normal"/></w:pPr>
<w:r><w:t xml:space="preserve">Joule.  His bust, by the same sculptor, stands opposite</w:t></w:r>
</w:p>
<w:p>
<w:pPr><w:pStyle w:val="Normal"/></w:pPr>
<w:r><w:t xml:space="preserve">that of Sir John Herschel in the hall of St John&apos;s College,</w:t></w:r>
</w:p>
<w:p>
<w:pPr><w:pStyle w:val="Normal"/></w:pPr>
<w:r><w:t xml:space="preserve">Cambridge.  Herkomer&apos;s portrait is in Pembroke College; and</w:t></w:r>
</w:p>
<w:p>
<w:pPr><w:pStyle w:val="Normal"/></w:pPr>
<w:r><w:t xml:space="preserve">Mogford&apos;s, painted in 1851, is in the combination room of St</w:t></w:r>
</w:p>
<w:p>
<w:pPr><w:pStyle w:val="Normal"/></w:pPr>
<w:r><w:t xml:space="preserve">John&apos;s.  Another bust, taken in his youth, belongs to</w:t></w:r>
</w:p>
<w:p>
<w:pPr><w:pStyle w:val="Normal"/></w:pPr>
<w:r><w:t xml:space="preserve">the Royal Astronomical Society.  A memorial tablet, with</w:t></w:r>
</w:p>
<w:p>
<w:pPr><w:pStyle w:val="Normal"/></w:pPr>
<w:r><w:t xml:space="preserve">an inscription by Archbishop Benson, is placed in the</w:t></w:r>
</w:p>
<w:p>
<w:pPr><w:pStyle w:val="Normal"/></w:pPr>
<w:r><w:t xml:space="preserve">Cathedral at Truro; and Mr Passmore Edwards erected a public</w:t></w:r>
</w:p>
<w:p>
<w:pPr><w:pStyle w:val="Normal"/></w:pPr>
<w:r><w:t xml:space="preserve">institute in his honour at Launceston, near his birthplace.</w:t></w:r>
</w:p>
<w:p>
<w:pPr><w:pStyle w:val="Normal"/></w:pPr>
<w:r><w:t xml:space="preserve">The Scientific Papers of John Couch Adams, 4to, vol. i.</w:t></w:r>
</w:p>
<w:p>
<w:pPr><w:pStyle w:val="Normal"/></w:pPr>
<w:r><w:t xml:space="preserve">(1896), and vol. ii. (1900), edited by William Grylls</w:t></w:r>
</w:p>
<w:p>
<w:pPr><w:pStyle w:val="Normal"/></w:pPr>
<w:r><w:t xml:space="preserve">Adams and Ralph Allen Sampson, with a memoir by Dr J. W. L.</w:t></w:r>
</w:p>
<w:p>
<w:pPr><w:pStyle w:val="Normal"/></w:pPr>
<w:r><w:t xml:space="preserve">Glaisher, were published by the Cambridge University Press.</w:t></w:r>
</w:p>
<w:p>
<w:pPr><w:pStyle w:val="Normal"/></w:pPr>
<w:r><w:t xml:space="preserve">The first volume contains his previously published writings;</w:t></w:r>
</w:p>
<w:p>
<w:pPr><w:pStyle w:val="Normal"/></w:pPr>
<w:r><w:t xml:space="preserve">the second those left in manuscript, including the substance</w:t></w:r>
</w:p>
<w:p>
<w:pPr><w:pStyle w:val="Normal"/></w:pPr>
<w:r><w:t xml:space="preserve">of his lectures on the Lunar Theory.  A collection, virtually</w:t></w:r>
</w:p>
<w:p>
<w:pPr><w:pStyle w:val="Normal"/></w:pPr>
<w:r><w:t xml:space="preserve">complete, of Adams&apos;s papers regarding the discovery of</w:t></w:r>
</w:p>
<w:p>
<w:pPr><w:pStyle w:val="Normal"/></w:pPr>
<w:r><w:t xml:space="preserve">Neptune was presented by Mrs Adams to the library of St John&apos;s</w:t></w:r>
</w:p>
<w:p>
<w:pPr><w:pStyle w:val="Normal"/></w:pPr>
<w:r><w:t xml:space="preserve">College.  A description of them by Professor Sampson was</w:t></w:r>
</w:p>
<w:p>
<w:pPr><w:pStyle w:val="Normal"/></w:pPr>
<w:r><w:t xml:space="preserve">inserted in the Memoirs of the Royal Astronomical Society</w:t></w:r>
</w:p>
<w:p>
<w:pPr><w:pStyle w:val="Normal"/></w:pPr>
<w:r><w:t xml:space="preserve">(vol. liv. p. 143).  Consult: Month.  Notices Roy. Astr.</w:t></w:r>
</w:p>
<w:p>
<w:pPr><w:pStyle w:val="Normal"/></w:pPr>
<w:r><w:t xml:space="preserve">Soc., liii. 184; Observatory, xv. 174; Nature, xxxiv.</w:t></w:r>
</w:p>
<w:p>
<w:pPr><w:pStyle w:val="Normal"/></w:pPr>
<w:r><w:t xml:space="preserve">565, xlv. 301; Astr. Journal, No. 254; R. Grant, Hist. of</w:t></w:r>
</w:p>
<w:p>
<w:pPr><w:pStyle w:val="Normal"/></w:pPr>
<w:r><w:t xml:space="preserve">Physical Astronomy, p. 168; Edinburgh Review, No. 381, p. 72.</w:t></w:r>
</w:p>
<w:p>
<w:pPr><w:pStyle w:val="Normal"/></w:pPr>
<w:r><w:t xml:space="preserve">ADAMS, JOHN QUINCY (1767-1848), eldest son of President</w:t></w:r>
</w:p>
<w:p>
<w:pPr><w:pStyle w:val="Normal"/></w:pPr>
<w:r><w:t xml:space="preserve">John Adams, sixth president of the United States, was born</w:t></w:r>
</w:p>
<w:p>
<w:pPr><w:pStyle w:val="Normal"/></w:pPr>
<w:r><w:t xml:space="preserve">on the 11th of July 1767, in that part of Braintree that is</w:t></w:r>
</w:p>
<w:p>
<w:pPr><w:pStyle w:val="Normal"/></w:pPr>
<w:r><w:t xml:space="preserve">now Quincy, Massachusetts, and was named after John Quincy</w:t></w:r>
</w:p>
<w:p>
<w:pPr><w:pStyle w:val="Normal"/></w:pPr>
<w:r><w:t xml:space="preserve">(1689--1767), his mother&apos;s grandfather, who was for many</w:t></w:r>
</w:p>
<w:p>
<w:pPr><w:pStyle w:val="Normal"/></w:pPr>
<w:r><w:t xml:space="preserve">years a prominent member of the Massachusetts legislature.</w:t></w:r>
</w:p>
<w:p>
<w:pPr><w:pStyle w:val="Normal"/></w:pPr>
<w:r><w:t xml:space="preserve">In 1778, and again in 1780, young Adams accompanied his</w:t></w:r>
</w:p>
<w:p>
<w:pPr><w:pStyle w:val="Normal"/></w:pPr>
<w:r><w:t xml:space="preserve">father to Europe; studying in Paris in 1778-1779 and at the</w:t></w:r>
</w:p>
<w:p>
<w:pPr><w:pStyle w:val="Normal"/></w:pPr>
<w:r><w:t xml:space="preserve">university of Leiden in 1780.  In 1780, also, he began to</w:t></w:r>
</w:p>
<w:p>
<w:pPr><w:pStyle w:val="Normal"/></w:pPr>
<w:r><w:t xml:space="preserve">keep that diary which forms so conspicuous a record of the</w:t></w:r>
</w:p>
<w:p>
<w:pPr><w:pStyle w:val="Normal"/></w:pPr>
<w:r><w:t xml:space="preserve">doings of himself and his contemporaries.  In 1781, at the</w:t></w:r>
</w:p>
<w:p>
<w:pPr><w:pStyle w:val="Normal"/></w:pPr>
<w:r><w:t xml:space="preserve">age of fourteen, he accompanied Francis Dana (1743-1811),</w:t></w:r>
</w:p>
<w:p>
<w:pPr><w:pStyle w:val="Normal"/></w:pPr>
<w:r><w:t xml:space="preserve">American envoy to Russia, as his private secretary; but Dana</w:t></w:r>
</w:p>
<w:p>
<w:pPr><w:pStyle w:val="Normal"/></w:pPr>
<w:r><w:t xml:space="preserve">was not received by the Russian government, and in 1782 Adams</w:t></w:r>
</w:p>
<w:p>
<w:pPr><w:pStyle w:val="Normal"/></w:pPr>
<w:r><w:t xml:space="preserve">joined his father at Paris, where he acted as ``additional</w:t></w:r>
</w:p>
<w:p>
<w:pPr><w:pStyle w:val="Normal"/></w:pPr>
<w:r><w:t xml:space="preserve">secretary&apos;&apos; to the American commissioners in the negotiation</w:t></w:r>
</w:p>
<w:p>
<w:pPr><w:pStyle w:val="Normal"/></w:pPr>
<w:r><w:t xml:space="preserve">of the treaty of peace which concluded the War of American</w:t></w:r>
</w:p>
<w:p>
<w:pPr><w:pStyle w:val="Normal"/></w:pPr>
<w:r><w:t xml:space="preserve">Independence.  Instead of accompanying his father to London,</w:t></w:r>
</w:p>
<w:p>
<w:pPr><w:pStyle w:val="Normal"/></w:pPr>
<w:r><w:t xml:space="preserve">he, of his own choice, returned to Massachusetts, graduated</w:t></w:r>
</w:p>
<w:p>
<w:pPr><w:pStyle w:val="Normal"/></w:pPr>
<w:r><w:t xml:space="preserve">at Harvard College in 1787, three years later was admitted</w:t></w:r>
</w:p>
<w:p>
<w:pPr><w:pStyle w:val="Normal"/></w:pPr>
<w:r><w:t xml:space="preserve">to practise at the bar and at once opened an office in</w:t></w:r>
</w:p>
<w:p>
<w:pPr><w:pStyle w:val="Normal"/></w:pPr>
<w:r><w:t xml:space="preserve">Boston.  A series of papers written by him in which he</w:t></w:r>
</w:p>
<w:p>
<w:pPr><w:pStyle w:val="Normal"/></w:pPr>
<w:r><w:t xml:space="preserve">controverted some of Thomas Paine&apos;s doctrines in the Rights</w:t></w:r>
</w:p>
<w:p>
<w:pPr><w:pStyle w:val="Normal"/></w:pPr>
<w:r><w:t xml:space="preserve">of Man, and later another series in which he ably supported</w:t></w:r>
</w:p>
<w:p>
<w:pPr><w:pStyle w:val="Normal"/></w:pPr>
<w:r><w:t xml:space="preserve">the neutral policy of the administration toward France and</w:t></w:r>
</w:p>
<w:p>
<w:pPr><w:pStyle w:val="Normal"/></w:pPr>
<w:r><w:t xml:space="preserve">England, led to his appointment by Wnshington as minister to</w:t></w:r>
</w:p>
<w:p>
<w:pPr><w:pStyle w:val="Normal"/></w:pPr>
<w:r><w:t xml:space="preserve">the Netherlands in May 1794.  There was little for him to do</w:t></w:r>
</w:p>
<w:p>
<w:pPr><w:pStyle w:val="Normal"/></w:pPr>
<w:r><w:t xml:space="preserve">at the Hague, but in the absence of a minister at London, he</w:t></w:r>
</w:p>
<w:p>
<w:pPr><w:pStyle w:val="Normal"/></w:pPr>
<w:r><w:t xml:space="preserve">transacted certain public business with the English foreign</w:t></w:r>
</w:p>
<w:p>
<w:pPr><w:pStyle w:val="Normal"/></w:pPr>
<w:r><w:t xml:space="preserve">secretary.  In 1796 Washington appointed him minister to</w:t></w:r>
</w:p>
<w:p>
<w:pPr><w:pStyle w:val="Normal"/></w:pPr>
<w:r><w:t xml:space="preserve">Portugal, but before his departure thither his father John</w:t></w:r>
</w:p>
<w:p>
<w:pPr><w:pStyle w:val="Normal"/></w:pPr>
<w:r><w:t xml:space="preserve">Adams became president and changed his destination to Berlin</w:t></w:r>
</w:p>
<w:p>
<w:pPr><w:pStyle w:val="Normal"/></w:pPr>
<w:r><w:t xml:space="preserve">(1797).  While there, he negotiated (1799) a treaty of amity</w:t></w:r>
</w:p>
<w:p>
<w:pPr><w:pStyle w:val="Normal"/></w:pPr>
<w:r><w:t xml:space="preserve">and commerce with Prussia.  On Thomas Jefferson&apos;s election</w:t></w:r>
</w:p>
<w:p>
<w:pPr><w:pStyle w:val="Normal"/></w:pPr>
<w:r><w:t xml:space="preserve">to the presidency in 1800, the elder Adams recalled his</w:t></w:r>
</w:p>
<w:p>
<w:pPr><w:pStyle w:val="Normal"/></w:pPr>
<w:r><w:t xml:space="preserve">son, who returned home in 1801.  The next year, he was</w:t></w:r>
</w:p>
<w:p>
<w:pPr><w:pStyle w:val="Normal"/></w:pPr>
<w:r><w:t xml:space="preserve">elected to the Massachusetts senate, and in 1803 was sent to</w:t></w:r>
</w:p>
<w:p>
<w:pPr><w:pStyle w:val="Normal"/></w:pPr>
<w:r><w:t xml:space="preserve">Washington as a member of the Senate of the United States.</w:t></w:r>
</w:p>
<w:p>
<w:pPr><w:pStyle w:val="Normal"/></w:pPr>
<w:r><w:t xml:space="preserve">Up to this time, John Quincy Adams was regarded as belonging</w:t></w:r>
</w:p>
<w:p>
<w:pPr><w:pStyle w:val="Normal"/></w:pPr>
<w:r><w:t xml:space="preserve">to the Federalist party, but he now found its general policy</w:t></w:r>
</w:p>
<w:p>
<w:pPr><w:pStyle w:val="Normal"/></w:pPr>
<w:r><w:t xml:space="preserve">displeasing to him, was frowned upon, as the son of his</w:t></w:r>
</w:p>
<w:p>
<w:pPr><w:pStyle w:val="Normal"/></w:pPr>
<w:r><w:t xml:space="preserve">father, by the followers of Alexander Hamilton, and found</w:t></w:r>
</w:p>
<w:p>
<w:pPr><w:pStyle w:val="Normal"/></w:pPr>
<w:r><w:t xml:space="preserve">himself nearly powerless as an unpopular member of an unpopular</w:t></w:r>
</w:p>
<w:p>
<w:pPr><w:pStyle w:val="Normal"/></w:pPr>
<w:r><w:t xml:space="preserve">minority.  He was not now, and indeed never was, a strict party</w:t></w:r>
</w:p>
<w:p>
<w:pPr><w:pStyle w:val="Normal"/></w:pPr>
<w:r><w:t xml:space="preserve">man.  On the first important question that came before him</w:t></w:r>
</w:p>
<w:p>
<w:pPr><w:pStyle w:val="Normal"/></w:pPr>
<w:r><w:t xml:space="preserve">in the Senate, the acquisition of Louisiana, he voted with</w:t></w:r>
</w:p>
<w:p>
<w:pPr><w:pStyle w:val="Normal"/></w:pPr>
<w:r><w:t xml:space="preserve">the Republicans, regardless of the opposition of his own</w:t></w:r>
</w:p>
<w:p>
<w:pPr><w:pStyle w:val="Normal"/></w:pPr>
<w:r><w:t xml:space="preserve">section.  In December 1807 he warmly seconded Jefferson&apos;s</w:t></w:r>
</w:p>
<w:p>
<w:pPr><w:pStyle w:val="Normal"/></w:pPr>
<w:r><w:t xml:space="preserve">suggestion of an embargo and vigorously urged instant action,</w:t></w:r>
</w:p>
<w:p>
<w:pPr><w:pStyle w:val="Normal"/></w:pPr>
<w:r><w:t xml:space="preserve">saying: ``The president has recommended the measure on his high</w:t></w:r>
</w:p>
<w:p>
<w:pPr><w:pStyle w:val="Normal"/></w:pPr>
<w:r><w:t xml:space="preserve">responsibility.  I would not consider, I would not deliberate;</w:t></w:r>
</w:p>
<w:p>
<w:pPr><w:pStyle w:val="Heading1"/></w:pPr>
<w:r><w:t>I would act!&apos;&apos; Within five hours the Senate had passed the</w:t></w:r>
</w:p>
<w:p>
<w:pPr><w:pStyle w:val="Normal"/></w:pPr>
<w:r><w:t xml:space="preserve">Embargo Bill and sent it to the House.  The support of a</w:t></w:r>
</w:p>
<w:p>
<w:pPr><w:pStyle w:val="Normal"/></w:pPr>
<w:r><w:t xml:space="preserve">measure so unpopular in New England caused him to be hated by</w:t></w:r>
</w:p>
<w:p>
<w:pPr><w:pStyle w:val="Normal"/></w:pPr>
<w:r><w:t xml:space="preserve">the Federalists there and cost him his seat in the Senate; his</w:t></w:r>
</w:p>
<w:p>
<w:pPr><w:pStyle w:val="Normal"/></w:pPr>
<w:r><w:t xml:space="preserve">successor was chosen on the 3rd of June 1808, several months</w:t></w:r>
</w:p>
<w:p>
<w:pPr><w:pStyle w:val="Normal"/></w:pPr>
<w:r><w:t xml:space="preserve">before the usual time of filling the vacancy, and five days later</w:t></w:r>
</w:p>
<w:p>
<w:pPr><w:pStyle w:val="Normal"/></w:pPr>
<w:r><w:t xml:space="preserve">Adams resigned.  In the same year he attended the Republican</w:t></w:r>
</w:p>
<w:p>
<w:pPr><w:pStyle w:val="Normal"/></w:pPr>
<w:r><w:t xml:space="preserve">congressional caucus which nominated Madison for the presidency,</w:t></w:r>
</w:p>
<w:p>
<w:pPr><w:pStyle w:val="Normal"/></w:pPr>
<w:r><w:t xml:space="preserve">and thus definitely joined the Republicans.  From 1806 to</w:t></w:r>
</w:p>
<w:p>
<w:pPr><w:pStyle w:val="Normal"/></w:pPr>
<w:r><w:t xml:space="preserve">1809 Adams was professor of rhetoric and oratory at Harvard.</w:t></w:r>
</w:p>
<w:p>
<w:pPr><w:pStyle w:val="Normal"/></w:pPr>
<w:r><w:t xml:space="preserve">In 1809 President Madison sent Adams to Russia to represent the</w:t></w:r>
</w:p>
<w:p>
<w:pPr><w:pStyle w:val="Normal"/></w:pPr>
<w:r><w:t xml:space="preserve">United States.  He arrived at St Petersburg at the psychological</w:t></w:r>
</w:p>
<w:p>
<w:pPr><w:pStyle w:val="Normal"/></w:pPr>
<w:r><w:t xml:space="preserve">moment when the tsar had made up his mind to break with</w:t></w:r>
</w:p>
<w:p>
<w:pPr><w:pStyle w:val="Normal"/></w:pPr>
<w:r><w:t xml:space="preserve">Napoleon.  Adams therefore met with a favourable reception and</w:t></w:r>
</w:p>
<w:p>
<w:pPr><w:pStyle w:val="Normal"/></w:pPr>
<w:r><w:t xml:space="preserve">a disposition to further the interests of American commerce</w:t></w:r>
</w:p>
<w:p>
<w:pPr><w:pStyle w:val="Normal"/></w:pPr>
<w:r><w:t xml:space="preserve">in every possible way.  On the outbreak of the war between</w:t></w:r>
</w:p>
<w:p>
<w:pPr><w:pStyle w:val="Normal"/></w:pPr>
<w:r><w:t xml:space="preserve">the United States and England in 1812, he was still at St</w:t></w:r>
</w:p>
<w:p>
<w:pPr><w:pStyle w:val="Normal"/></w:pPr>
<w:r><w:t xml:space="preserve">Petersburg.  In September of that year, the Russian government</w:t></w:r>
</w:p>
<w:p>
<w:pPr><w:pStyle w:val="Normal"/></w:pPr>
<w:r><w:t xml:space="preserve">suggested that the tsar was willing to act as mediator between</w:t></w:r>
</w:p>
<w:p>
<w:pPr><w:pStyle w:val="Normal"/></w:pPr>
<w:r><w:t xml:space="preserve">the two belligerents.  Madison precipitately accepted this</w:t></w:r>
</w:p>
<w:p>
<w:pPr><w:pStyle w:val="Normal"/></w:pPr>
<w:r><w:t xml:space="preserve">proposition and sent Albert Gallatin and James Bayard to act</w:t></w:r>
</w:p>
<w:p>
<w:pPr><w:pStyle w:val="Normal"/></w:pPr>
<w:r><w:t xml:space="preserve">as commissioners with Mr Adams; but England would have nothing</w:t></w:r>
</w:p>
<w:p>
<w:pPr><w:pStyle w:val="Normal"/></w:pPr>
<w:r><w:t xml:space="preserve">to do with it.  In August 1814, however, these gentlemen,</w:t></w:r>
</w:p>
<w:p>
<w:pPr><w:pStyle w:val="Normal"/></w:pPr>
<w:r><w:t xml:space="preserve">with Henry Clay and Jonathan Russell, began negotiations</w:t></w:r>
</w:p>
<w:p>
<w:pPr><w:pStyle w:val="Normal"/></w:pPr>
<w:r><w:t xml:space="preserve">with English commissioners which resulted in the signature</w:t></w:r>
</w:p>
<w:p>
<w:pPr><w:pStyle w:val="Normal"/></w:pPr>
<w:r><w:t xml:space="preserve">of the treaty of Ghent on the 24th of December of that</w:t></w:r>
</w:p>
<w:p>
<w:pPr><w:pStyle w:val="Normal"/></w:pPr>
<w:r><w:t xml:space="preserve">year.  After this Adams visited Paris, where he witnessed the</w:t></w:r>
</w:p>
<w:p>
<w:pPr><w:pStyle w:val="Normal"/></w:pPr>
<w:r><w:t xml:space="preserve">return of Napoleon from Elba, and then went to London, where,</w:t></w:r>
</w:p>
<w:p>
<w:pPr><w:pStyle w:val="Normal"/></w:pPr>
<w:r><w:t xml:space="preserve">with Henry Clay and Albert Gallatin, he negotiated (1815)</w:t></w:r>
</w:p>
<w:p>
<w:pPr><w:pStyle w:val="Normal"/></w:pPr>
<w:r><w:t xml:space="preserve">a ``Convention to Regulate Commerce and Navigation.&apos;&apos; Soon</w:t></w:r>
</w:p>
<w:p>
<w:pPr><w:pStyle w:val="Normal"/></w:pPr>
<w:r><w:t xml:space="preserve">afterwards he became U.S. minister to Great Britain, as his</w:t></w:r>
</w:p>
<w:p>
<w:pPr><w:pStyle w:val="Normal"/></w:pPr>
<w:r><w:t xml:space="preserve">father had been before him, and as his son, Charles Francis</w:t></w:r>
</w:p>
<w:p>
<w:pPr><w:pStyle w:val="Normal"/></w:pPr>
<w:r><w:t xml:space="preserve">Adams, was after him.  After accomplishing little in London,</w:t></w:r>
</w:p>
<w:p>
<w:pPr><w:pStyle w:val="Normal"/></w:pPr>
<w:r><w:t xml:space="preserve">he returned to the United States in the summer of 1817 to</w:t></w:r>
</w:p>
<w:p>
<w:pPr><w:pStyle w:val="Normal"/></w:pPr>
<w:r><w:t xml:space="preserve">become secretary of state in the cabinet of President Monroe.</w:t></w:r>
</w:p>
<w:p>
<w:pPr><w:pStyle w:val="Normal"/></w:pPr>
<w:r><w:t xml:space="preserve">As secretary of state, Adams played the leading part in</w:t></w:r>
</w:p>
<w:p>
<w:pPr><w:pStyle w:val="Normal"/></w:pPr>
<w:r><w:t xml:space="preserve">two most important episodes--the acquisition of Florida</w:t></w:r>
</w:p>
<w:p>
<w:pPr><w:pStyle w:val="Normal"/></w:pPr>
<w:r><w:t xml:space="preserve">and the promulgation of the Monroe Doctrine.  Ever since</w:t></w:r>
</w:p>
<w:p>
<w:pPr><w:pStyle w:val="Normal"/></w:pPr>
<w:r><w:t xml:space="preserve">the acquisition of Louisiana successive administrations</w:t></w:r>
</w:p>
<w:p>
<w:pPr><w:pStyle w:val="Normal"/></w:pPr>
<w:r><w:t xml:space="preserve">had sought to include a part at least of Florida in that</w:t></w:r>
</w:p>
<w:p>
<w:pPr><w:pStyle w:val="Normal"/></w:pPr>
<w:r><w:t xml:space="preserve">purchase.  In 1819, after long negotiations, Adams succeeded</w:t></w:r>
</w:p>
<w:p>
<w:pPr><w:pStyle w:val="Normal"/></w:pPr>
<w:r><w:t xml:space="preserve">in bringing the Spanish minister to the point of signing</w:t></w:r>
</w:p>
<w:p>
<w:pPr><w:pStyle w:val="Normal"/></w:pPr>
<w:r><w:t xml:space="preserve">a treaty in which the Spaniards abandoned all claims to</w:t></w:r>
</w:p>
<w:p>
<w:pPr><w:pStyle w:val="Normal"/></w:pPr>
<w:r><w:t xml:space="preserve">territory east of the Mississippi, and the United States</w:t></w:r>
</w:p>
<w:p>
<w:pPr><w:pStyle w:val="Normal"/></w:pPr>
<w:r><w:t xml:space="preserve">relinquished all claim to what is now known as Texas.  Before</w:t></w:r>
</w:p>
<w:p>
<w:pPr><w:pStyle w:val="Normal"/></w:pPr>
<w:r><w:t xml:space="preserve">the Spanish government ratified the treaty in 1820, Mexico,</w:t></w:r>
</w:p>
<w:p>
<w:pPr><w:pStyle w:val="Normal"/></w:pPr>
<w:r><w:t xml:space="preserve">including Texas, had thrown off allegiance to the mother</w:t></w:r>
</w:p>
<w:p>
<w:pPr><w:pStyle w:val="Normal"/></w:pPr>
<w:r><w:t xml:space="preserve">country, and the United States had occupied Florida by force of</w:t></w:r>
</w:p>
<w:p>
<w:pPr><w:pStyle w:val="Normal"/></w:pPr>
<w:r><w:t xml:space="preserve">arms.  The Monroe Doctrine (q.v.) rightly bears the name of</w:t></w:r>
</w:p>
<w:p>
<w:pPr><w:pStyle w:val="Normal"/></w:pPr>
<w:r><w:t xml:space="preserve">the president who in 1823 assumed the responsibility for its</w:t></w:r>
</w:p>
<w:p>
<w:pPr><w:pStyle w:val="Normal"/></w:pPr>
<w:r><w:t xml:space="preserve">promulgation; but it was primarily the work of John Quincy</w:t></w:r>
</w:p>
<w:p>
<w:pPr><w:pStyle w:val="Normal"/></w:pPr>
<w:r><w:t xml:space="preserve">Adams.  The eight years of Monroe&apos;s presidency (1817-1825)</w:t></w:r>
</w:p>
<w:p>
<w:pPr><w:pStyle w:val="Normal"/></w:pPr>
<w:r><w:t xml:space="preserve">are known as the ``Era of Good Feeling.&apos;&apos; As his second term</w:t></w:r>
</w:p>
<w:p>
<w:pPr><w:pStyle w:val="Normal"/></w:pPr>
<w:r><w:t xml:space="preserve">drew to a close, there was a great lack of good feeling among</w:t></w:r>
</w:p>
<w:p>
<w:pPr><w:pStyle w:val="Normal"/></w:pPr>
<w:r><w:t xml:space="preserve">his official advisers, three of whom--Adams, secretary of</w:t></w:r>
</w:p>
<w:p>
<w:pPr><w:pStyle w:val="Normal"/></w:pPr>
<w:r><w:t xml:space="preserve">state, Calhoun, secretary of war, and Crawford, secretary of</w:t></w:r>
</w:p>
<w:p>
<w:pPr><w:pStyle w:val="Normal"/></w:pPr>
<w:r><w:t xml:space="preserve">the treasury--aspired to succeed him in his high office.  In</w:t></w:r>
</w:p>
<w:p>
<w:pPr><w:pStyle w:val="Normal"/></w:pPr>
<w:r><w:t xml:space="preserve">addition, Henry Clay and Andrew Jackson were also candidates.</w:t></w:r>
</w:p>
<w:p>
<w:pPr><w:pStyle w:val="Normal"/></w:pPr>
<w:r><w:t xml:space="preserve">Calhoun was nominated for the Vice-presidency.  Of the other</w:t></w:r>
</w:p>
<w:p>
<w:pPr><w:pStyle w:val="Normal"/></w:pPr>
<w:r><w:t xml:space="preserve">four, Jackson received 99 electoral votes, Adams 84, Crawford</w:t></w:r>
</w:p>
<w:p>
<w:pPr><w:pStyle w:val="Normal"/></w:pPr>
<w:r><w:t xml:space="preserve">41, and Clay 37; as no one had a majority, the decision was</w:t></w:r>
</w:p>
<w:p>
<w:pPr><w:pStyle w:val="Normal"/></w:pPr>
<w:r><w:t xml:space="preserve">made by the House of Representatives, which was confined</w:t></w:r>
</w:p>
<w:p>
<w:pPr><w:pStyle w:val="Normal"/></w:pPr>
<w:r><w:t xml:space="preserve">in its choice to the three candidates who had received the</w:t></w:r>
</w:p>
<w:p>
<w:pPr><w:pStyle w:val="Normal"/></w:pPr>
<w:r><w:t xml:space="preserve">largest number of votes.  Clay, who was speaker of the House</w:t></w:r>
</w:p>
<w:p>
<w:pPr><w:pStyle w:val="Normal"/></w:pPr>
<w:r><w:t xml:space="preserve">of Representatives, and had for years assumed a censorious</w:t></w:r>
</w:p>
<w:p>
<w:pPr><w:pStyle w:val="Normal"/></w:pPr>
<w:r><w:t xml:space="preserve">attitude toward Jackson, cast his influence for Adams and</w:t></w:r>
</w:p>
<w:p>
<w:pPr><w:pStyle w:val="Normal"/></w:pPr>
<w:r><w:t xml:space="preserve">thereby secured his election on the first ballot.  A few days</w:t></w:r>
</w:p>
<w:p>
<w:pPr><w:pStyle w:val="Normal"/></w:pPr>
<w:r><w:t xml:space="preserve">later Adams offered Clay the secretaryship of state, which was</w:t></w:r>
</w:p>
<w:p>
<w:pPr><w:pStyle w:val="Normal"/></w:pPr>
<w:r><w:t xml:space="preserve">accepted.  The wholly unjust and baseless charge of ``bargain and</w:t></w:r>
</w:p>
<w:p>
<w:pPr><w:pStyle w:val="Normal"/></w:pPr>
<w:r><w:t xml:space="preserve">corruption&apos;&apos; followed, and the feud thus created between Adams</w:t></w:r>
</w:p>
<w:p>
<w:pPr><w:pStyle w:val="Normal"/></w:pPr>
<w:r><w:t xml:space="preserve">and Jackson greatly influenced the history of the United States.</w:t></w:r>
</w:p>
<w:p>
<w:pPr><w:pStyle w:val="Normal"/></w:pPr>
<w:r><w:t xml:space="preserve">Up to this point Adams&apos;s career had been almost uniformly</w:t></w:r>
</w:p>
<w:p>
<w:pPr><w:pStyle w:val="Normal"/></w:pPr>
<w:r><w:t xml:space="preserve">successful, but his presidency (1825--1829) was in most</w:t></w:r>
</w:p>
<w:p>
<w:pPr><w:pStyle w:val="Normal"/></w:pPr>
<w:r><w:t xml:space="preserve">respects a failure, owing to the virulent opposition of</w:t></w:r>
</w:p>
<w:p>
<w:pPr><w:pStyle w:val="Normal"/></w:pPr>
<w:r><w:t xml:space="preserve">the Jacksonians; in 1828 Jackson was elected president over</w:t></w:r>
</w:p>
<w:p>
<w:pPr><w:pStyle w:val="Normal"/></w:pPr>
<w:r><w:t xml:space="preserve">Adams.  It was during his administration that irreconcilable</w:t></w:r>
</w:p>
<w:p>
<w:pPr><w:pStyle w:val="Normal"/></w:pPr>
<w:r><w:t xml:space="preserve">differences developed between the followers of Adams and the</w:t></w:r>
</w:p>
<w:p>
<w:pPr><w:pStyle w:val="Normal"/></w:pPr>
<w:r><w:t xml:space="preserve">followers of Jackson, the former becoming known as the National</w:t></w:r>
</w:p>
<w:p>
<w:pPr><w:pStyle w:val="Normal"/></w:pPr>
<w:r><w:t xml:space="preserve">Republicans, who with the Anti-Masons were the precursors</w:t></w:r>
</w:p>
<w:p>
<w:pPr><w:pStyle w:val="Normal"/></w:pPr>
<w:r><w:t xml:space="preserve">of the Whigs.  In 1829 Adams retired to private life in the</w:t></w:r>
</w:p>
<w:p>
<w:pPr><w:pStyle w:val="Normal"/></w:pPr>
<w:r><w:t xml:space="preserve">town of Quincy; but only for a brief period, for in 1830,</w:t></w:r>
</w:p>
<w:p>
<w:pPr><w:pStyle w:val="Normal"/></w:pPr>
<w:r><w:t xml:space="preserve">largely by Anti-Masonic votes, he was elected a member of the</w:t></w:r>
</w:p>
<w:p>
<w:pPr><w:pStyle w:val="Normal"/></w:pPr>
<w:r><w:t xml:space="preserve">national House of Representatives.  On its being suggested</w:t></w:r>
</w:p>
<w:p>
<w:pPr><w:pStyle w:val="Normal"/></w:pPr>
<w:r><w:t xml:space="preserve">to him that his acceptance of this position would degrade an</w:t></w:r>
</w:p>
<w:p>
<w:pPr><w:pStyle w:val="Normal"/></w:pPr>
<w:r><w:t xml:space="preserve">ex-president, Adams replied that no person could be degraded</w:t></w:r>
</w:p>
<w:p>
<w:pPr><w:pStyle w:val="Normal"/></w:pPr>
<w:r><w:t xml:space="preserve">by serving the people as a representative in congress or, he</w:t></w:r>
</w:p>
<w:p>
<w:pPr><w:pStyle w:val="Normal"/></w:pPr>
<w:r><w:t xml:space="preserve">added, as a selectman of his town.  His service in congress</w:t></w:r>
</w:p>
<w:p>
<w:pPr><w:pStyle w:val="Normal"/></w:pPr>
<w:r><w:t xml:space="preserve">from 1831 until his death is, in some respects, the most</w:t></w:r>
</w:p>
<w:p>
<w:pPr><w:pStyle w:val="Normal"/></w:pPr>
<w:r><w:t xml:space="preserve">noteworthy part of his career.  Throughout he was conspicuous</w:t></w:r>
</w:p>
<w:p>
<w:pPr><w:pStyle w:val="Normal"/></w:pPr>
<w:r><w:t xml:space="preserve">as an opponent of the extension of slavery, though he was</w:t></w:r>
</w:p>
<w:p>
<w:pPr><w:pStyle w:val="Normal"/></w:pPr>
<w:r><w:t xml:space="preserve">never technically an abolitionist, and in particular he was</w:t></w:r>
</w:p>
<w:p>
<w:pPr><w:pStyle w:val="Normal"/></w:pPr>
<w:r><w:t xml:space="preserve">the champion in the House of Representatives of the right</w:t></w:r>
</w:p>
<w:p>
<w:pPr><w:pStyle w:val="Normal"/></w:pPr>
<w:r><w:t xml:space="preserve">of petition at a time when, through the influence of the</w:t></w:r>
</w:p>
<w:p>
<w:pPr><w:pStyle w:val="Normal"/></w:pPr>
<w:r><w:t xml:space="preserve">Southern members, this right was, in practice, denied by that</w:t></w:r>
</w:p>
<w:p>
<w:pPr><w:pStyle w:val="Normal"/></w:pPr>
<w:r><w:t xml:space="preserve">body.  His prolonged fight for the repeal of the so-called</w:t></w:r>
</w:p>
<w:p>
<w:pPr><w:pStyle w:val="Normal"/></w:pPr>
<w:r><w:t xml:space="preserve">``Gag Laws&apos;&apos; is one of the most dramatic contests in the</w:t></w:r>
</w:p>
<w:p>
<w:pPr><w:pStyle w:val="Normal"/></w:pPr>
<w:r><w:t xml:space="preserve">history of congress.  The agitation for the abolition of</w:t></w:r>
</w:p>
<w:p>
<w:pPr><w:pStyle w:val="Normal"/></w:pPr>
<w:r><w:t xml:space="preserve">slavery, which really began in earnest with the establishment</w:t></w:r>
</w:p>
<w:p>
<w:pPr><w:pStyle w:val="Normal"/></w:pPr>
<w:r><w:t xml:space="preserve">of the Liberator by William Lloyd Garrison in 1831, soon led</w:t></w:r>
</w:p>
<w:p>
<w:pPr><w:pStyle w:val="Normal"/></w:pPr>
<w:r><w:t xml:space="preserve">to the sending of innumerable petitions to congress for the</w:t></w:r>
</w:p>
<w:p>
<w:pPr><w:pStyle w:val="Normal"/></w:pPr>
<w:r><w:t xml:space="preserve">abolition of slavery in the District of Columbia, over which</w:t></w:r>
</w:p>
<w:p>
<w:pPr><w:pStyle w:val="Normal"/></w:pPr>
<w:r><w:t xml:space="preserve">the Federal government had jurisdiction, and for other action</w:t></w:r>
</w:p>
<w:p>
<w:pPr><w:pStyle w:val="Normal"/></w:pPr>
<w:r><w:t xml:space="preserve">by congress with respect to that institution.  These petitions</w:t></w:r>
</w:p>
<w:p>
<w:pPr><w:pStyle w:val="Normal"/></w:pPr>
<w:r><w:t xml:space="preserve">were generally sent to Adams for presentation.  They aroused</w:t></w:r>
</w:p>
<w:p>
<w:pPr><w:pStyle w:val="Normal"/></w:pPr>
<w:r><w:t xml:space="preserve">the anger of the proslavery members of congress, who, in</w:t></w:r>
</w:p>
<w:p>
<w:pPr><w:pStyle w:val="Normal"/></w:pPr>
<w:r><w:t xml:space="preserve">1836, brought about the passage of the first ``Gag Rule,&apos;&apos; the</w:t></w:r>
</w:p>
<w:p>
<w:pPr><w:pStyle w:val="Normal"/></w:pPr>
<w:r><w:t xml:space="preserve">Pinckney Resolution, presented by Henry L. Pinckney, of South</w:t></w:r>
</w:p>
<w:p>
<w:pPr><w:pStyle w:val="Normal"/></w:pPr>
<w:r><w:t xml:space="preserve">Carolina.  It provided that all petitions relating to slavery</w:t></w:r>
</w:p>
<w:p>
<w:pPr><w:pStyle w:val="Normal"/></w:pPr>
<w:r><w:t xml:space="preserve">should be laid on the table without being referred to committee</w:t></w:r>
</w:p>
<w:p>
<w:pPr><w:pStyle w:val="Normal"/></w:pPr>
<w:r><w:t xml:space="preserve">or printed; and, in substance, this resolution was re-adopted</w:t></w:r>
</w:p>
<w:p>
<w:pPr><w:pStyle w:val="Normal"/></w:pPr>
<w:r><w:t xml:space="preserve">at the beginning of each of the immediately succeeding</w:t></w:r>
</w:p>
<w:p>
<w:pPr><w:pStyle w:val="Normal"/></w:pPr>
<w:r><w:t xml:space="preserve">sessions of congress, the Patton Resolution being adopted in</w:t></w:r>
</w:p>
<w:p>
<w:pPr><w:pStyle w:val="Normal"/></w:pPr>
<w:r><w:t xml:space="preserve">1837, the Atherton Resolution, or ``Atherton Gag,&apos;&apos; in 1838,</w:t></w:r>
</w:p>
<w:p>
<w:pPr><w:pStyle w:val="Normal"/></w:pPr>
<w:r><w:t xml:space="preserve">and the Twenty-first Rule in 1840 and subsequently until</w:t></w:r>
</w:p>
<w:p>
<w:pPr><w:pStyle w:val="Normal"/></w:pPr>
<w:r><w:t xml:space="preserve">repealed.  Adams contended that these ``Gag Rules&apos;&apos; were</w:t></w:r>
</w:p>
<w:p>
<w:pPr><w:pStyle w:val="Normal"/></w:pPr>
<w:r><w:t xml:space="preserve">a direct violation of the First Amendment to the Federal</w:t></w:r>
</w:p>
<w:p>
<w:pPr><w:pStyle w:val="Normal"/></w:pPr>
<w:r><w:t xml:space="preserve">Constitution, and refused to be silenced on the question,</w:t></w:r>
</w:p>
<w:p>
<w:pPr><w:pStyle w:val="Normal"/></w:pPr>
<w:r><w:t xml:space="preserve">fighting for repeal with indomitable courage, in spite of the</w:t></w:r>
</w:p>
<w:p>
<w:pPr><w:pStyle w:val="Normal"/></w:pPr>
<w:r><w:t xml:space="preserve">bitter denunciation of his opponents.  Each year the number of</w:t></w:r>
</w:p>
<w:p>
<w:pPr><w:pStyle w:val="Normal"/></w:pPr>
<w:r><w:t xml:space="preserve">anti-slavery petitions received and presented by him increased;</w:t></w:r>
</w:p>
<w:p>
<w:pPr><w:pStyle w:val="Normal"/></w:pPr>
<w:r><w:t xml:space="preserve">perhaps the climax was in 1837, when Adams presented a petition</w:t></w:r>
</w:p>
<w:p>
<w:pPr><w:pStyle w:val="Normal"/></w:pPr>
<w:r><w:t xml:space="preserve">from twenty-two slaves, and, when threatened by his opponents</w:t></w:r>
</w:p>
<w:p>
<w:pPr><w:pStyle w:val="Normal"/></w:pPr>
<w:r><w:t xml:space="preserve">with censure, defended himself with remarkable keenness and</w:t></w:r>
</w:p>
<w:p>
<w:pPr><w:pStyle w:val="Normal"/></w:pPr>
<w:r><w:t xml:space="preserve">ability.  At each session, also, the majority against him</w:t></w:r>
</w:p>
<w:p>
<w:pPr><w:pStyle w:val="Normal"/></w:pPr>
<w:r><w:t xml:space="preserve">decreased until in 1844 his motion to repeal the Twenty-first</w:t></w:r>
</w:p>
<w:p>
<w:pPr><w:pStyle w:val="Normal"/></w:pPr>
<w:r><w:t xml:space="preserve">Rule was carried by a vote of 108 to 80 and his battle was</w:t></w:r>
</w:p>
<w:p>
<w:pPr><w:pStyle w:val="Normal"/></w:pPr>
<w:r><w:t xml:space="preserve">won.  On the 21st of February 1848, after having suffered</w:t></w:r>
</w:p>
<w:p>
<w:pPr><w:pStyle w:val="Normal"/></w:pPr>
<w:r><w:t xml:space="preserve">a previous stroke of apoplexy, he fell insensible on the</w:t></w:r>
</w:p>
<w:p>
<w:pPr><w:pStyle w:val="Normal"/></w:pPr>
<w:r><w:t xml:space="preserve">floor of the Representatives&apos; chamber, and two days later</w:t></w:r>
</w:p>
<w:p>
<w:pPr><w:pStyle w:val="Normal"/></w:pPr>
<w:r><w:t xml:space="preserve">died.  Few men in American public life have possessed more</w:t></w:r>
</w:p>
<w:p>
<w:pPr><w:pStyle w:val="Normal"/></w:pPr>
<w:r><w:t xml:space="preserve">intrinsic worth, more independence, more public spirit and</w:t></w:r>
</w:p>
<w:p>
<w:pPr><w:pStyle w:val="Normal"/></w:pPr>
<w:r><w:t xml:space="preserve">more ability than Adams, but throughout his political career</w:t></w:r>
</w:p>
<w:p>
<w:pPr><w:pStyle w:val="Normal"/></w:pPr>
<w:r><w:t xml:space="preserve">he was handicapped by a certain reserve, a certain austerity</w:t></w:r>
</w:p>
<w:p>
<w:pPr><w:pStyle w:val="Normal"/></w:pPr>
<w:r><w:t xml:space="preserve">and coolness of manner, and by his consequent inability to</w:t></w:r>
</w:p>
<w:p>
<w:pPr><w:pStyle w:val="Normal"/></w:pPr>
<w:r><w:t xml:space="preserve">appeal to the imaginations and affections of the people as a</w:t></w:r>
</w:p>
<w:p>
<w:pPr><w:pStyle w:val="Normal"/></w:pPr>
<w:r><w:t xml:space="preserve">whole.  He had, indeed, few intimate political or personal</w:t></w:r>
</w:p>
<w:p>
<w:pPr><w:pStyle w:val="Normal"/></w:pPr>
<w:r><w:t xml:space="preserve">friends, and few men in American history have, during</w:t></w:r>
</w:p>
<w:p>
<w:pPr><w:pStyle w:val="Normal"/></w:pPr>
<w:r><w:t xml:space="preserve">their lifetime, been regarded with so much hostility and</w:t></w:r>
</w:p>
<w:p>
<w:pPr><w:pStyle w:val="Normal"/></w:pPr>
<w:r><w:t xml:space="preserve">attacked with so much rancour hy their political opponents.</w:t></w:r>
</w:p>
<w:p>
<w:pPr><w:pStyle w:val="Normal"/></w:pPr>
<w:r><w:t xml:space="preserve">AUTHORITIES.--J.  T. Morse, John Quincy Adams (Boston, 1883;</w:t></w:r>
</w:p>
<w:p>
<w:pPr><w:pStyle w:val="Normal"/></w:pPr>
<w:r><w:t xml:space="preserve">new edition, 1899); Josiah Quincy, Memoir of the Life of, John</w:t></w:r>
</w:p>
<w:p>
<w:pPr><w:pStyle w:val="Normal"/></w:pPr>
<w:r><w:t xml:space="preserve">Quincy Adams (Boston, 1858); C. F. Adams (ed.), Memoirs of</w:t></w:r>
</w:p>
<w:p>
<w:pPr><w:pStyle w:val="Normal"/></w:pPr>
<w:r><w:t xml:space="preserve">John Quincy Adams, comprising portions of his diary from</w:t></w:r>
</w:p>
<w:p>
<w:pPr><w:pStyle w:val="Normal"/></w:pPr>
<w:r><w:t xml:space="preserve">1795 to 1848 (12 vols., Philadelphia. 1874-1877). (E. CH.)</w:t></w:r>
</w:p>
<w:p>
<w:pPr><w:pStyle w:val="Normal"/></w:pPr>
<w:r><w:t xml:space="preserve">ADAMS, SAMUEL (1722--1803), American statesman, was</w:t></w:r>
</w:p>
<w:p>
<w:pPr><w:pStyle w:val="Normal"/></w:pPr>
<w:r><w:t xml:space="preserve">born at Boston, Massachusetts, on the 27th of September</w:t></w:r>
</w:p>
<w:p>
<w:pPr><w:pStyle w:val="Normal"/></w:pPr>
<w:r><w:t xml:space="preserve">1722.  He was a second cousin to the elder John Adams.</w:t></w:r>
</w:p>
<w:p>
<w:pPr><w:pStyle w:val="Normal"/></w:pPr>
<w:r><w:t xml:space="preserve">His father, whose Christian name was also Samuel, was a</w:t></w:r>
</w:p>
<w:p>
<w:pPr><w:pStyle w:val="Normal"/></w:pPr>
<w:r><w:t xml:space="preserve">wealthy and prominent citizen of Boston, who took an active</w:t></w:r>
</w:p>
<w:p>
<w:pPr><w:pStyle w:val="Heading1"/></w:pPr>
<w:r><w:t>part in the politics of the town, and was a member of the</w:t></w:r>
</w:p>
<w:p>
<w:pPr><w:pStyle w:val="Normal"/></w:pPr>
<w:r><w:t xml:space="preserve">Caucus (or Caulker&apos;s) Club, with which the political term</w:t></w:r>
</w:p>
<w:p>
<w:pPr><w:pStyle w:val="Normal"/></w:pPr>
<w:r><w:t xml:space="preserve">``caucus&apos;&apos; is said to have originated; his mother was Mary</w:t></w:r>
</w:p>
<w:p>
<w:pPr><w:pStyle w:val="Normal"/></w:pPr>
<w:r><w:t xml:space="preserve">Fifield.  Young Adams graduated from Harvard College in 1740,</w:t></w:r>
</w:p>
<w:p>
<w:pPr><w:pStyle w:val="Normal"/></w:pPr>
<w:r><w:t xml:space="preserve">and three years later, on attaining the degree of A.M., chose</w:t></w:r>
</w:p>
<w:p>
<w:pPr><w:pStyle w:val="Normal"/></w:pPr>
<w:r><w:t xml:space="preserve">for his thesis, ``Whether it be Lawful to resist the Supreme</w:t></w:r>
</w:p>
<w:p>
<w:pPr><w:pStyle w:val="Normal"/></w:pPr>
<w:r><w:t xml:space="preserve">Magistrate, if the Commonwealth cannot otherwise be preserved.&apos;&apos;</w:t></w:r>
</w:p>
<w:p>
<w:pPr><w:pStyle w:val="Normal"/></w:pPr>
<w:r><w:t xml:space="preserve">Which side he took, and how the argument proceeded, is not</w:t></w:r>
</w:p>
<w:p>
<w:pPr><w:pStyle w:val="Normal"/></w:pPr>
<w:r><w:t xml:space="preserve">known, but the subject was one which well forecasted his</w:t></w:r>
</w:p>
<w:p>
<w:pPr><w:pStyle w:val="Normal"/></w:pPr>
<w:r><w:t xml:space="preserve">career.  He began the study of law in response to his father&apos;s</w:t></w:r>
</w:p>
<w:p>
<w:pPr><w:pStyle w:val="Normal"/></w:pPr>
<w:r><w:t xml:space="preserve">advice; he discontinued it in response to his mother&apos;s</w:t></w:r>
</w:p>
<w:p>
<w:pPr><w:pStyle w:val="Normal"/></w:pPr>
<w:r><w:t xml:space="preserve">disapproval.  He repeatedly failed in business, notably as</w:t></w:r>
</w:p>
<w:p>
<w:pPr><w:pStyle w:val="Normal"/></w:pPr>
<w:r><w:t xml:space="preserve">manager of a malt-house, largely because of his incessant</w:t></w:r>
</w:p>
<w:p>
<w:pPr><w:pStyle w:val="Normal"/></w:pPr>
<w:r><w:t xml:space="preserve">attention to politics; but in the Boston town-meeting he</w:t></w:r>
</w:p>
<w:p>
<w:pPr><w:pStyle w:val="Normal"/></w:pPr>
<w:r><w:t xml:space="preserve">became a conspicuous example of the efficiency of that</w:t></w:r>
</w:p>
<w:p>
<w:pPr><w:pStyle w:val="Normal"/></w:pPr>
<w:r><w:t xml:space="preserve">institution for training in statecraft.  He has, indeed, been</w:t></w:r>
</w:p>
<w:p>
<w:pPr><w:pStyle w:val="Normal"/></w:pPr>
<w:r><w:t xml:space="preserve">called the ``Man of the Town Meeting.&apos;&apos; About 1748 he began</w:t></w:r>
</w:p>
<w:p>
<w:pPr><w:pStyle w:val="Normal"/></w:pPr>
<w:r><w:t xml:space="preserve">to take an important part in the affairs of the town, and</w:t></w:r>
</w:p>
<w:p>
<w:pPr><w:pStyle w:val="Normal"/></w:pPr>
<w:r><w:t xml:space="preserve">became a leader in the debates of a political club which he</w:t></w:r>
</w:p>
<w:p>
<w:pPr><w:pStyle w:val="Normal"/></w:pPr>
<w:r><w:t xml:space="preserve">was largely instrumental in organizing, and to whose weekly</w:t></w:r>
</w:p>
<w:p>
<w:pPr><w:pStyle w:val="Normal"/></w:pPr>
<w:r><w:t xml:space="preserve">publication, the Public Advertiser, he contributed numerous</w:t></w:r>
</w:p>
<w:p>
<w:pPr><w:pStyle w:val="Normal"/></w:pPr>
<w:r><w:t xml:space="preserve">articles.  From 1756 to 1764 he was one of the town&apos;s</w:t></w:r>
</w:p>
<w:p>
<w:pPr><w:pStyle w:val="Normal"/></w:pPr>
<w:r><w:t xml:space="preserve">tax-collectors, but in this office he was unsuccessful,</w:t></w:r>
</w:p>
<w:p>
<w:pPr><w:pStyle w:val="Normal"/></w:pPr>
<w:r><w:t xml:space="preserve">his easy business methods resulting in heavy arrears.</w:t></w:r>
</w:p>
<w:p>
<w:pPr><w:pStyle w:val="Normal"/></w:pPr>
<w:r><w:t xml:space="preserve">Samuel Adams first came into wider prominence at the beginning</w:t></w:r>
</w:p>
<w:p>
<w:pPr><w:pStyle w:val="Normal"/></w:pPr>
<w:r><w:t xml:space="preserve">of the Stamp Act episode, in 1764, when as author of Boston&apos;s</w:t></w:r>
</w:p>
<w:p>
<w:pPr><w:pStyle w:val="Normal"/></w:pPr>
<w:r><w:t xml:space="preserve">instructions to its representatives in the general court of</w:t></w:r>
</w:p>
<w:p>
<w:pPr><w:pStyle w:val="Normal"/></w:pPr>
<w:r><w:t xml:space="preserve">Massachusetts he urged strenuous opposition to taxation by act of</w:t></w:r>
</w:p>
<w:p>
<w:pPr><w:pStyle w:val="Normal"/></w:pPr>
<w:r><w:t xml:space="preserve">parliament.  The next year he was for the first time elected to</w:t></w:r>
</w:p>
<w:p>
<w:pPr><w:pStyle w:val="Normal"/></w:pPr>
<w:r><w:t xml:space="preserve">the lower house of the general court, in which he served until</w:t></w:r>
</w:p>
<w:p>
<w:pPr><w:pStyle w:val="Normal"/></w:pPr>
<w:r><w:t xml:space="preserve">1774, after 1766 as clerk.  As James Otis&apos;s vigour and influence</w:t></w:r>
</w:p>
<w:p>
<w:pPr><w:pStyle w:val="Normal"/></w:pPr>
<w:r><w:t xml:space="preserve">declined, Adams took a more and more prominent place in the</w:t></w:r>
</w:p>
<w:p>
<w:pPr><w:pStyle w:val="Normal"/></w:pPr>
<w:r><w:t xml:space="preserve">revolutionary councils; and, contrary to the opinion of Otis</w:t></w:r>
</w:p>
<w:p>
<w:pPr><w:pStyle w:val="Normal"/></w:pPr>
<w:r><w:t xml:space="preserve">and Benjamin Franklin, he declared that colonial representation</w:t></w:r>
</w:p>
<w:p>
<w:pPr><w:pStyle w:val="Normal"/></w:pPr>
<w:r><w:t xml:space="preserve">in parliament was out of the question and advised against any</w:t></w:r>
</w:p>
<w:p>
<w:pPr><w:pStyle w:val="Normal"/></w:pPr>
<w:r><w:t xml:space="preserve">form of compromise.  Many of the Massachusetts revolutionary</w:t></w:r>
</w:p>
<w:p>
<w:pPr><w:pStyle w:val="Normal"/></w:pPr>
<w:r><w:t xml:space="preserve">documents, including the famous ``Massachusetts Resolves&apos;&apos;</w:t></w:r>
</w:p>
<w:p>
<w:pPr><w:pStyle w:val="Normal"/></w:pPr>
<w:r><w:t xml:space="preserve">and the circular letter to the legislatures of the other</w:t></w:r>
</w:p>
<w:p>
<w:pPr><w:pStyle w:val="Normal"/></w:pPr>
<w:r><w:t xml:space="preserve">colonies, are from his pen; but owing to the fact that he</w:t></w:r>
</w:p>
<w:p>
<w:pPr><w:pStyle w:val="Normal"/></w:pPr>
<w:r><w:t xml:space="preserve">usually acted as clerk to the House of Representatives and to</w:t></w:r>
</w:p>
<w:p>
<w:pPr><w:pStyle w:val="Normal"/></w:pPr>
<w:r><w:t xml:space="preserve">the several committees of which he was a member, documents were</w:t></w:r>
</w:p>
<w:p>
<w:pPr><w:pStyle w:val="Normal"/></w:pPr>
<w:r><w:t xml:space="preserve">written by him which expressed the ideas of the committee as a</w:t></w:r>
</w:p>
<w:p>
<w:pPr><w:pStyle w:val="Normal"/></w:pPr>
<w:r><w:t xml:space="preserve">whole.  There can be no question, however, that Samuel Adams</w:t></w:r>
</w:p>
<w:p>
<w:pPr><w:pStyle w:val="Normal"/></w:pPr>
<w:r><w:t xml:space="preserve">was one of the first, if not the first, of American political</w:t></w:r>
</w:p>
<w:p>
<w:pPr><w:pStyle w:val="Normal"/></w:pPr>
<w:r><w:t xml:space="preserve">leaders to deny the legislative power of parliament and</w:t></w:r>
</w:p>
<w:p>
<w:pPr><w:pStyle w:val="Normal"/></w:pPr>
<w:r><w:t xml:space="preserve">to desire and advocate separation from the mother country.</w:t></w:r>
</w:p>
<w:p>
<w:pPr><w:pStyle w:val="Normal"/></w:pPr>
<w:r><w:t xml:space="preserve">To promote the ends he had in view he suggested non-importation,</w:t></w:r>
</w:p>
<w:p>
<w:pPr><w:pStyle w:val="Normal"/></w:pPr>
<w:r><w:t xml:space="preserve">instituted the Boston committees ofcorrespondence, urged that</w:t></w:r>
</w:p>
<w:p>
<w:pPr><w:pStyle w:val="Normal"/></w:pPr>
<w:r><w:t xml:space="preserve">a Continental Congress be called, sought out and introduced</w:t></w:r>
</w:p>
<w:p>
<w:pPr><w:pStyle w:val="Normal"/></w:pPr>
<w:r><w:t xml:space="preserve">into public service such allies as John Hancock, Joseph Warren</w:t></w:r>
</w:p>
<w:p>
<w:pPr><w:pStyle w:val="Normal"/></w:pPr>
<w:r><w:t xml:space="preserve">and Josiah Quincy, and wrote a vast number of articles for the</w:t></w:r>
</w:p>
<w:p>
<w:pPr><w:pStyle w:val="Normal"/></w:pPr>
<w:r><w:t xml:space="preserve">newspapers, especially the Boston Gazette, over a multitude of</w:t></w:r>
</w:p>
<w:p>
<w:pPr><w:pStyle w:val="Normal"/></w:pPr>
<w:r><w:t xml:space="preserve">signatures.  He was, in fact, one of the most voluminous and</w:t></w:r>
</w:p>
<w:p>
<w:pPr><w:pStyle w:val="Normal"/></w:pPr>
<w:r><w:t xml:space="preserve">influential political writers of his time.  His style is clear,</w:t></w:r>
</w:p>
<w:p>
<w:pPr><w:pStyle w:val="Normal"/></w:pPr>
<w:r><w:t xml:space="preserve">vigorous and epigrammatic; his arguments are characterized by</w:t></w:r>
</w:p>
<w:p>
<w:pPr><w:pStyle w:val="Normal"/></w:pPr>
<w:r><w:t xml:space="preserve">strength of logic, and, like those of other patriots, are, as</w:t></w:r>
</w:p>
<w:p>
<w:pPr><w:pStyle w:val="Normal"/></w:pPr>
<w:r><w:t xml:space="preserve">the dispute advances, based less on precedent and documentary</w:t></w:r>
</w:p>
<w:p>
<w:pPr><w:pStyle w:val="Normal"/></w:pPr>
<w:r><w:t xml:space="preserve">authorities and more on ``natural right.&apos;&apos; Although he lacked</w:t></w:r>
</w:p>
<w:p>
<w:pPr><w:pStyle w:val="Normal"/></w:pPr>
<w:r><w:t xml:space="preserve">oratorical fluency, his short speeches, like his writings,</w:t></w:r>
</w:p>
<w:p>
<w:pPr><w:pStyle w:val="Normal"/></w:pPr>
<w:r><w:t xml:space="preserve">were forceful; his plain dress and unassuming ways helped to</w:t></w:r>
</w:p>
<w:p>
<w:pPr><w:pStyle w:val="Normal"/></w:pPr>
<w:r><w:t xml:space="preserve">make him extremely popular with the common people, in whom he</w:t></w:r>
</w:p>
<w:p>
<w:pPr><w:pStyle w:val="Normal"/></w:pPr>
<w:r><w:t xml:space="preserve">had much greater faith than his cousin John had; and, above</w:t></w:r>
</w:p>
<w:p>
<w:pPr><w:pStyle w:val="Normal"/></w:pPr>
<w:r><w:t xml:space="preserve">all, he was an eminently successful manager of men.  Shrewd,</w:t></w:r>
</w:p>
<w:p>
<w:pPr><w:pStyle w:val="Normal"/></w:pPr>
<w:r><w:t xml:space="preserve">wily, adroit, unfailingly tactful, an adept in all the arts</w:t></w:r>
</w:p>
<w:p>
<w:pPr><w:pStyle w:val="Normal"/></w:pPr>
<w:r><w:t xml:space="preserve">of the politician, he is considered to have done more than any</w:t></w:r>
</w:p>
<w:p>
<w:pPr><w:pStyle w:val="Normal"/></w:pPr>
<w:r><w:t xml:space="preserve">other one man, in the years immediately preceding the War of</w:t></w:r>
</w:p>
<w:p>
<w:pPr><w:pStyle w:val="Normal"/></w:pPr>
<w:r><w:t xml:space="preserve">Independence, to mould and direct public opinion in his community.</w:t></w:r>
</w:p>
<w:p>
<w:pPr><w:pStyle w:val="Normal"/></w:pPr>
<w:r><w:t xml:space="preserve">The intense excitement which followed the ``Boston Massacre&apos;&apos;</w:t></w:r>
</w:p>
<w:p>
<w:pPr><w:pStyle w:val="Normal"/></w:pPr>
<w:r><w:t xml:space="preserve">Adams skilfully used to secure the removal of the soldiers</w:t></w:r>
</w:p>
<w:p>
<w:pPr><w:pStyle w:val="Normal"/></w:pPr>
<w:r><w:t xml:space="preserve">from the town to a fort in the harbour.  He it was, also,</w:t></w:r>
</w:p>
<w:p>
<w:pPr><w:pStyle w:val="Normal"/></w:pPr>
<w:r><w:t xml:space="preserve">who managed the proceedings of the ``Boston Tea Party,&apos;&apos; and</w:t></w:r>
</w:p>
<w:p>
<w:pPr><w:pStyle w:val="Normal"/></w:pPr>
<w:r><w:t xml:space="preserve">later he was moderator of the convention of Massachusetts</w:t></w:r>
</w:p>
<w:p>
<w:pPr><w:pStyle w:val="Normal"/></w:pPr>
<w:r><w:t xml:space="preserve">towns called to protest against the Boston Port Bill.  One</w:t></w:r>
</w:p>
<w:p>
<w:pPr><w:pStyle w:val="Normal"/></w:pPr>
<w:r><w:t xml:space="preserve">of the objects of the expedition sent by Governor Thomas</w:t></w:r>
</w:p>
<w:p>
<w:pPr><w:pStyle w:val="Normal"/></w:pPr>
<w:r><w:t xml:space="preserve">Gage to Lexington (q.v.) and Concord on April 18-19,</w:t></w:r>
</w:p>
<w:p>
<w:pPr><w:pStyle w:val="Normal"/></w:pPr>
<w:r><w:t xml:space="preserve">1775, was the capture of Adams and John Hancock, temporarily</w:t></w:r>
</w:p>
<w:p>
<w:pPr><w:pStyle w:val="Normal"/></w:pPr>
<w:r><w:t xml:space="preserve">staying in Lexington, and when Gage issued his proclamation</w:t></w:r>
</w:p>
<w:p>
<w:pPr><w:pStyle w:val="Normal"/></w:pPr>
<w:r><w:t xml:space="preserve">of pardon on June 12 he excepted these two, whose offences,</w:t></w:r>
</w:p>
<w:p>
<w:pPr><w:pStyle w:val="Normal"/></w:pPr>
<w:r><w:t xml:space="preserve">he said, were ``of too flagitious a Nature to admit of</w:t></w:r>
</w:p>
<w:p>
<w:pPr><w:pStyle w:val="Normal"/></w:pPr>
<w:r><w:t xml:space="preserve">any other Consideration than that of condign Punishment.&apos;&apos;</w:t></w:r>
</w:p>
<w:p>
<w:pPr><w:pStyle w:val="Normal"/></w:pPr>
<w:r><w:t xml:space="preserve">As a delegate to the Continental Congress, from 1774 to 1781,</w:t></w:r>
</w:p>
<w:p>
<w:pPr><w:pStyle w:val="Normal"/></w:pPr>
<w:r><w:t xml:space="preserve">Samuel Adams continued vigorously to oppose any concession to</w:t></w:r>
</w:p>
<w:p>
<w:pPr><w:pStyle w:val="Normal"/></w:pPr>
<w:r><w:t xml:space="preserve">the British government; strove for harmony among the several</w:t></w:r>
</w:p>
<w:p>
<w:pPr><w:pStyle w:val="Normal"/></w:pPr>
<w:r><w:t xml:space="preserve">colonies in the common cause; served on numerous committees,</w:t></w:r>
</w:p>
<w:p>
<w:pPr><w:pStyle w:val="Normal"/></w:pPr>
<w:r><w:t xml:space="preserve">among them that to prepare a plan of confederation; and</w:t></w:r>
</w:p>
<w:p>
<w:pPr><w:pStyle w:val="Normal"/></w:pPr>
<w:r><w:t xml:space="preserve">signed the Declaration of Independence.  But he was rather</w:t></w:r>
</w:p>
<w:p>
<w:pPr><w:pStyle w:val="Normal"/></w:pPr>
<w:r><w:t xml:space="preserve">a destructive than a constructive statesman, and his most</w:t></w:r>
</w:p>
<w:p>
<w:pPr><w:pStyle w:val="Normal"/></w:pPr>
<w:r><w:t xml:space="preserve">important service was in organizing the forces of revolution</w:t></w:r>
</w:p>
<w:p>
<w:pPr><w:pStyle w:val="Normal"/></w:pPr>
<w:r><w:t xml:space="preserve">before 1775.  In 1779 he was a member of the convention which</w:t></w:r>
</w:p>
<w:p>
<w:pPr><w:pStyle w:val="Normal"/></w:pPr>
<w:r><w:t xml:space="preserve">framed the constitution of Massachusetts that was adopted in</w:t></w:r>
</w:p>
<w:p>
<w:pPr><w:pStyle w:val="Normal"/></w:pPr>
<w:r><w:t xml:space="preserve">1780, and is still, with some amendments, the organic law of</w:t></w:r>
</w:p>
<w:p>
<w:pPr><w:pStyle w:val="Normal"/></w:pPr>
<w:r><w:t xml:space="preserve">the commonwealth and one of the oldest fundamental laws in</w:t></w:r>
</w:p>
<w:p>
<w:pPr><w:pStyle w:val="Normal"/></w:pPr>
<w:r><w:t xml:space="preserve">existence.  He was one of the three members of the sub-committee</w:t></w:r>
</w:p>
<w:p>
<w:pPr><w:pStyle w:val="Normal"/></w:pPr>
<w:r><w:t xml:space="preserve">which actually drafted that instrument; and although John Adams</w:t></w:r>
</w:p>
<w:p>
<w:pPr><w:pStyle w:val="Normal"/></w:pPr>
<w:r><w:t xml:space="preserve">is generally credited with having performed the principal part</w:t></w:r>
</w:p>
<w:p>
<w:pPr><w:pStyle w:val="Normal"/></w:pPr>
<w:r><w:t xml:space="preserve">of that task, Samuel Adams was probably the author of most of</w:t></w:r>
</w:p>
<w:p>
<w:pPr><w:pStyle w:val="Normal"/></w:pPr>
<w:r><w:t xml:space="preserve">the bill of rights.  In 1788, Samuel Adams was a member of the</w:t></w:r>
</w:p>
<w:p>
<w:pPr><w:pStyle w:val="Normal"/></w:pPr>
<w:r><w:t xml:space="preserve">Massachusetts convention to ratify the Constitution of the United</w:t></w:r>
</w:p>
<w:p>
<w:pPr><w:pStyle w:val="Normal"/></w:pPr>
<w:r><w:t xml:space="preserve">States.  When he first read that instrument he was very much</w:t></w:r>
</w:p>
<w:p>
<w:pPr><w:pStyle w:val="Normal"/></w:pPr>
<w:r><w:t xml:space="preserve">opposed to the consolidated government which it provided, but</w:t></w:r>
</w:p>
<w:p>
<w:pPr><w:pStyle w:val="Normal"/></w:pPr>
<w:r><w:t xml:space="preserve">was induced to befriend it by resolutions which were passed</w:t></w:r>
</w:p>
<w:p>
<w:pPr><w:pStyle w:val="Normal"/></w:pPr>
<w:r><w:t xml:space="preserve">at a mass meeting of Boston mechanics or ``tradesmen&apos;&apos;---his</w:t></w:r>
</w:p>
<w:p>
<w:pPr><w:pStyle w:val="Normal"/></w:pPr>
<w:r><w:t xml:space="preserve">own firmest supporters---and by the suggestion that its</w:t></w:r>
</w:p>
<w:p>
<w:pPr><w:pStyle w:val="Normal"/></w:pPr>
<w:r><w:t xml:space="preserve">ratification should be accompanied by a recommendation of</w:t></w:r>
</w:p>
<w:p>
<w:pPr><w:pStyle w:val="Normal"/></w:pPr>
<w:r><w:t xml:space="preserve">amendments designed chiefly to supply the omission of a bill of</w:t></w:r>
</w:p>
<w:p>
<w:pPr><w:pStyle w:val="Normal"/></w:pPr>
<w:r><w:t xml:space="preserve">rights.  Without his aid it is probable that the constitution</w:t></w:r>
</w:p>
<w:p>
<w:pPr><w:pStyle w:val="Normal"/></w:pPr>
<w:r><w:t xml:space="preserve">would not have been ratified by Massachusetts.  From 1789 to</w:t></w:r>
</w:p>
<w:p>
<w:pPr><w:pStyle w:val="Normal"/></w:pPr>
<w:r><w:t xml:space="preserve">1794 Adams was lieutenant-governor of his state, and from 1794</w:t></w:r>
</w:p>
<w:p>
<w:pPr><w:pStyle w:val="Normal"/></w:pPr>
<w:r><w:t xml:space="preserve">to 1797 was governor.  After the formation of parties he became</w:t></w:r>
</w:p>
<w:p>
<w:pPr><w:pStyle w:val="Normal"/></w:pPr>
<w:r><w:t xml:space="preserve">allied with the Democratic-Republicans rather than with the</w:t></w:r>
</w:p>
<w:p>
<w:pPr><w:pStyle w:val="Normal"/></w:pPr>
<w:r><w:t xml:space="preserve">Federalists.  He died on the 2nd of October 1803, at Boston.</w:t></w:r>
</w:p>
<w:p>
<w:pPr><w:pStyle w:val="Normal"/></w:pPr>
<w:r><w:t xml:space="preserve">AUTHORITIES.--Life, and Public Services of Samuel Adams (3</w:t></w:r>
</w:p>
<w:p>
<w:pPr><w:pStyle w:val="Normal"/></w:pPr>
<w:r><w:t xml:space="preserve">vols., Boston, 1863), by W. V. Wells, Adams&apos;s great-grandson--a</w:t></w:r>
</w:p>
<w:p>
<w:pPr><w:pStyle w:val="Normal"/></w:pPr>
<w:r><w:t xml:space="preserve">valuable biography, containing a mass of information, but</w:t></w:r>
</w:p>
<w:p>
<w:pPr><w:pStyle w:val="Normal"/></w:pPr>
<w:r><w:t xml:space="preserve">noticeably biassed: J. K. Hosmer&apos;s Samuel Adams (Boston, 1885),</w:t></w:r>
</w:p>
<w:p>
<w:pPr><w:pStyle w:val="Normal"/></w:pPr>
<w:r><w:t xml:space="preserve">an excellent short biography in the ``American Statesmen Series&apos;&apos;:</w:t></w:r>
</w:p>
<w:p>
<w:pPr><w:pStyle w:val="Normal"/></w:pPr>
<w:r><w:t xml:space="preserve">M. C. Tyler&apos;s Literary History of the American Revolution (2</w:t></w:r>
</w:p>
<w:p>
<w:pPr><w:pStyle w:val="Normal"/></w:pPr>
<w:r><w:t xml:space="preserve">vols.,New Vork, 1897): and H. A. Cushing (ed.), The Writings</w:t></w:r>
</w:p>
<w:p>
<w:pPr><w:pStyle w:val="Normal"/></w:pPr>
<w:r><w:t xml:space="preserve">of Samuel Adams (4 vols., New York, 1904-1908). (E. CH.)</w:t></w:r>
</w:p>
<w:p>
<w:pPr><w:pStyle w:val="Normal"/></w:pPr>
<w:r><w:t xml:space="preserve">ADAMS, THOMAS (d. c. 1655), English divine, was, in 1612,</w:t></w:r>
</w:p>
<w:p>
<w:pPr><w:pStyle w:val="Normal"/></w:pPr>
<w:r><w:t xml:space="preserve">``a preacher of the gospel at Willington,&apos;&apos; in Bedfordshire,</w:t></w:r>
</w:p>
<w:p>
<w:pPr><w:pStyle w:val="Normal"/></w:pPr>
<w:r><w:t xml:space="preserve">where he is found until 1614, and whence issued his Heaven</w:t></w:r>
</w:p>
<w:p>
<w:pPr><w:pStyle w:val="Normal"/></w:pPr>
<w:r><w:t xml:space="preserve">and Earth Reconciled, The Devil&apos;s Banquet and other</w:t></w:r>
</w:p>
<w:p>
<w:pPr><w:pStyle w:val="Normal"/></w:pPr>
<w:r><w:t xml:space="preserve">works.  In 1614-1615 he was at Wingrave, in Buckinghamshire,</w:t></w:r>
</w:p>
<w:p>
<w:pPr><w:pStyle w:val="Normal"/></w:pPr>
<w:r><w:t xml:space="preserve">probably as vicar, and published a number of works in</w:t></w:r>
</w:p>
<w:p>
<w:pPr><w:pStyle w:val="Normal"/></w:pPr>
<w:r><w:t xml:space="preserve">quick succession; in 1618 he held the preachership at St</w:t></w:r>
</w:p>
<w:p>
<w:pPr><w:pStyle w:val="Normal"/></w:pPr>
<w:r><w:t xml:space="preserve">Gregory&apos;s, under St Paul&apos;s Cathedral, and was ``observant</w:t></w:r>
</w:p>
<w:p>
<w:pPr><w:pStyle w:val="Normal"/></w:pPr>
<w:r><w:t xml:space="preserve">chaplain&apos;&apos; to Sir Henry Montague, the lord chief justice of</w:t></w:r>
</w:p>
<w:p>
<w:pPr><w:pStyle w:val="Normal"/></w:pPr>
<w:r><w:t xml:space="preserve">England.  These bare facts we gather from epistles-dedicatory</w:t></w:r>
</w:p>
<w:p>
<w:pPr><w:pStyle w:val="Normal"/></w:pPr>
<w:r><w:t xml:space="preserve">and epistles to the reader, and title-pages.  These epistles</w:t></w:r>
</w:p>
<w:p>
<w:pPr><w:pStyle w:val="Normal"/></w:pPr>
<w:r><w:t xml:space="preserve">show him to have been on the most friendly terms with some</w:t></w:r>
</w:p>
<w:p>
<w:pPr><w:pStyle w:val="Normal"/></w:pPr>
<w:r><w:t xml:space="preserve">of the foremost men in state and church, though his ardent</w:t></w:r>
</w:p>
<w:p>
<w:pPr><w:pStyle w:val="Normal"/></w:pPr>
<w:r><w:t xml:space="preserve">protestantism offended Laud and hindered his preferment.</w:t></w:r>
</w:p>
<w:p>
<w:pPr><w:pStyle w:val="Normal"/></w:pPr>
<w:r><w:t xml:space="preserve">his ``occasionally&apos;&apos; printed sermons, when collected in</w:t></w:r>
</w:p>
<w:p>
<w:pPr><w:pStyle w:val="Normal"/></w:pPr>
<w:r><w:t xml:space="preserve">1629, placed him beyond all comparison in the van of the</w:t></w:r>
</w:p>
<w:p>
<w:pPr><w:pStyle w:val="Normal"/></w:pPr>
<w:r><w:t xml:space="preserve">preachers of England, and had something to do with shaping John</w:t></w:r>
</w:p>
<w:p>
<w:pPr><w:pStyle w:val="Normal"/></w:pPr>
<w:r><w:t xml:space="preserve">Bunyan.  He equals Jeremy Taylor in brilliance of fancies,</w:t></w:r>
</w:p>
<w:p>
<w:pPr><w:pStyle w:val="Normal"/></w:pPr>
<w:r><w:t xml:space="preserve">and Thomas Fuller in wit.  Robert Southey calls him ``the</w:t></w:r>
</w:p>
<w:p>
<w:pPr><w:pStyle w:val="Normal"/></w:pPr>
<w:r><w:t xml:space="preserve">prose Shakespeare of Puritan theologians.&apos;&apos; His numerous works</w:t></w:r>
</w:p>
<w:p>
<w:pPr><w:pStyle w:val="Normal"/></w:pPr>
<w:r><w:t xml:space="preserve">display great learning, classical and patristic, and are unique</w:t></w:r>
</w:p>
<w:p>
<w:pPr><w:pStyle w:val="Normal"/></w:pPr>
<w:r><w:t xml:space="preserve">in their abundance of stories, anecdotes, aphorisms and puns.</w:t></w:r>
</w:p>
<w:p>
<w:pPr><w:pStyle w:val="Normal"/></w:pPr>
<w:r><w:t xml:space="preserve">His worns were edited in J. P. Nichol&apos;s Puritan</w:t></w:r>
</w:p>
<w:p>
<w:pPr><w:pStyle w:val="Normal"/></w:pPr>
<w:r><w:t xml:space="preserve">Divines, by J. Angus and T. Smith (3 vols. 8vo, 1862).</w:t></w:r>
</w:p>
<w:p>
<w:pPr><w:pStyle w:val="Normal"/></w:pPr>
<w:r><w:t xml:space="preserve">ADAMS, WILLIAM (d. 1620), English navigator, was born</w:t></w:r>
</w:p>
<w:p>
<w:pPr><w:pStyle w:val="Normal"/></w:pPr>
<w:r><w:t xml:space="preserve">at Gillingham, near Chatham, England.  When twelve years</w:t></w:r>
</w:p>
<w:p>
<w:pPr><w:pStyle w:val="Normal"/></w:pPr>
<w:r><w:t xml:space="preserve">old he was apprenticed to the seafaring life, afterwards</w:t></w:r>
</w:p>
<w:p>
<w:pPr><w:pStyle w:val="Normal"/></w:pPr>
<w:r><w:t xml:space="preserve">entering the British navy, and later serving the Company</w:t></w:r>
</w:p>
<w:p>
<w:pPr><w:pStyle w:val="Normal"/></w:pPr>
<w:r><w:t xml:space="preserve">of Barbary merchants for a number of years as master and</w:t></w:r>
</w:p>
<w:p>
<w:pPr><w:pStyle w:val="Normal"/></w:pPr>
<w:r><w:t xml:space="preserve">pilot.  Attracted by the Dutch trade with India, he shipped</w:t></w:r>
</w:p>
<w:p>
<w:pPr><w:pStyle w:val="Normal"/></w:pPr>
<w:r><w:t xml:space="preserve">as pilot major with a little fleet of five ships despatched</w:t></w:r>
</w:p>
<w:p>
<w:pPr><w:pStyle w:val="Normal"/></w:pPr>
<w:r><w:t xml:space="preserve">from the Texel in 1598 by a company of Rotterdam merchants.</w:t></w:r>
</w:p>
<w:p>
<w:pPr><w:pStyle w:val="Normal"/></w:pPr>
<w:r><w:t xml:space="preserve">The vessels, boats ranging from 75 to 250 tons and crowded</w:t></w:r>
</w:p>
<w:p>
<w:pPr><w:pStyle w:val="Normal"/></w:pPr>
<w:r><w:t xml:space="preserve">with men, were driven to the coast of Guinea, where the</w:t></w:r>
</w:p>
<w:p>
<w:pPr><w:pStyle w:val="Normal"/></w:pPr>
<w:r><w:t xml:space="preserve">adventurers attacked the island of Annabon for supplies,</w:t></w:r>
</w:p>
<w:p>
<w:pPr><w:pStyle w:val="Normal"/></w:pPr>
<w:r><w:t xml:space="preserve">and finally reached the straits of Magellan.  Scattered</w:t></w:r>
</w:p>
<w:p>
<w:pPr><w:pStyle w:val="Normal"/></w:pPr>
<w:r><w:t xml:space="preserve">by stress of weather the following spring the ``Charity,&apos;&apos;</w:t></w:r>
</w:p>
<w:p>
<w:pPr><w:pStyle w:val="Normal"/></w:pPr>
<w:r><w:t xml:space="preserve">with Adams on board, and the ``Hope,&apos;&apos; met at length off</w:t></w:r>
</w:p>
<w:p>
<w:pPr><w:pStyle w:val="Normal"/></w:pPr>
<w:r><w:t xml:space="preserve">the coast of Chile, where the captains of both vessels lost</w:t></w:r>
</w:p>
<w:p>
<w:pPr><w:pStyle w:val="Normal"/></w:pPr>
<w:r><w:t xml:space="preserve">their lives in an encounter with the Indians.  In fear of the</w:t></w:r>
</w:p>
<w:p>
<w:pPr><w:pStyle w:val="Normal"/></w:pPr>
<w:r><w:t xml:space="preserve">Spaniards, the remaining crews determined to sail across the</w:t></w:r>
</w:p>
<w:p>
<w:pPr><w:pStyle w:val="Normal"/></w:pPr>
<w:r><w:t xml:space="preserve">Pacific.  On this voyage the ``Hope&apos;&apos; was lost, but in April</w:t></w:r>
</w:p>
<w:p>
<w:pPr><w:pStyle w:val="Normal"/></w:pPr>
<w:r><w:t xml:space="preserve">1600 the ``Charity,&apos;&apos; with a crew of sick and dying men, was</w:t></w:r>
</w:p>
<w:p>
<w:pPr><w:pStyle w:val="Normal"/></w:pPr>
<w:r><w:t xml:space="preserve">brought to anchor off the island of Kiushiu, Japan.  Adams was</w:t></w:r>
</w:p>
<w:p>
<w:pPr><w:pStyle w:val="Normal"/></w:pPr>
<w:r><w:t xml:space="preserve">summoned to Osaka and there examined by Iyeyasu, the guardian</w:t></w:r>
</w:p>
<w:p>
<w:pPr><w:pStyle w:val="Normal"/></w:pPr>
<w:r><w:t xml:space="preserve">of the young son of Taiko Sama, the ruler, who had just</w:t></w:r>
</w:p>
<w:p>
<w:pPr><w:pStyle w:val="Normal"/></w:pPr>
<w:r><w:t xml:space="preserve">died.  His knowledge of ships and shipbuilding, and his nautical</w:t></w:r>
</w:p>
<w:p>
<w:pPr><w:pStyle w:val="Normal"/></w:pPr>
<w:r><w:t xml:space="preserve">smattering of mathematics, raised him in the estimation of the</w:t></w:r>
</w:p>
<w:p>
<w:pPr><w:pStyle w:val="Normal"/></w:pPr>
<w:r><w:t xml:space="preserve">shogun, and he was subsequently presented with an estate at</w:t></w:r>
</w:p>
<w:p>
<w:pPr><w:pStyle w:val="Normal"/></w:pPr>
<w:r><w:t xml:space="preserve">Hemi near Yokosuka; but was refused permission to return to</w:t></w:r>
</w:p>
<w:p>
<w:pPr><w:pStyle w:val="Normal"/></w:pPr>
<w:r><w:t xml:space="preserve">England.  In 1611 news came to him of an English settlement</w:t></w:r>
</w:p>
<w:p>
<w:pPr><w:pStyle w:val="Normal"/></w:pPr>
<w:r><w:t xml:space="preserve">in Bantam, and he wrote asking for help.  In 1613 Captain</w:t></w:r>
</w:p>
<w:p>
<w:pPr><w:pStyle w:val="Normal"/></w:pPr>
<w:r><w:t xml:space="preserve">John Saris arrived at Hirado in the ship ``Clove&apos;&apos; with the</w:t></w:r>
</w:p>
<w:p>
<w:pPr><w:pStyle w:val="Normal"/></w:pPr>
<w:r><w:t xml:space="preserve">object of establishing a trading factory for the East India</w:t></w:r>
</w:p>
<w:p>
<w:pPr><w:pStyle w:val="Normal"/></w:pPr>
<w:r><w:t xml:space="preserve">Company, and after obtaining the necessary concessions from</w:t></w:r>
</w:p>
<w:p>
<w:pPr><w:pStyle w:val="Normal"/></w:pPr>
<w:r><w:t xml:space="preserve">the shogun, Adams postponed his voyage home (permission for</w:t></w:r>
</w:p>
<w:p>
<w:pPr><w:pStyle w:val="Normal"/></w:pPr>
<w:r><w:t xml:space="preserve">which had now been given him) in order to take a leading part,</w:t></w:r>
</w:p>
<w:p>
<w:pPr><w:pStyle w:val="Normal"/></w:pPr>
<w:r><w:t xml:space="preserve">under Richard Cocks, in the organization of this new English</w:t></w:r>
</w:p>
<w:p>
<w:pPr><w:pStyle w:val="Normal"/></w:pPr>
<w:r><w:t xml:space="preserve">settlement.  He had already married a Japanese woman, by</w:t></w:r>
</w:p>
<w:p>
<w:pPr><w:pStyle w:val="Normal"/></w:pPr>
<w:r><w:t xml:space="preserve">whom he had a family, and the latter part of his life was</w:t></w:r>
</w:p>
<w:p>
<w:pPr><w:pStyle w:val="Normal"/></w:pPr>
<w:r><w:t xml:space="preserve">spent in the service of the English trading company, for</w:t></w:r>
</w:p>
<w:p>
<w:pPr><w:pStyle w:val="Normal"/></w:pPr>
<w:r><w:t xml:space="preserve">whom he undertook a number of voyages to Siam in 1616, and</w:t></w:r>
</w:p>
<w:p>
<w:pPr><w:pStyle w:val="Normal"/></w:pPr>
<w:r><w:t xml:space="preserve">Cochin China in 1617 and 1618.  He died on the 16th of May</w:t></w:r>
</w:p>
<w:p>
<w:pPr><w:pStyle w:val="Normal"/></w:pPr>
<w:r><w:t xml:space="preserve">1620, some three years before the dissolution of the English</w:t></w:r>
</w:p>
<w:p>
<w:pPr><w:pStyle w:val="Normal"/></w:pPr>
<w:r><w:t xml:space="preserve">factory.  His Japanese title was Anjin Sama, and his memory was</w:t></w:r>
</w:p>
<w:p>
<w:pPr><w:pStyle w:val="Normal"/></w:pPr>
<w:r><w:t xml:space="preserve">preserved in the naming of a street in Yedo, Anjin Cho (Pilot</w:t></w:r>
</w:p>
<w:p>
<w:pPr><w:pStyle w:val="Normal"/></w:pPr>
<w:r><w:t xml:space="preserve">Street), and by an annual celebration on June 15 in his honour.</w:t></w:r>
</w:p>
<w:p>
<w:pPr><w:pStyle w:val="Normal"/></w:pPr>
<w:r><w:t xml:space="preserve">See England&apos;s Earliest Intercourse with Japan, by C. W.</w:t></w:r>
</w:p>
<w:p>
<w:pPr><w:pStyle w:val="Normal"/></w:pPr>
<w:r><w:t xml:space="preserve">Hillary (1905; Letters written by the English Residents in</w:t></w:r>
</w:p>
<w:p>
<w:pPr><w:pStyle w:val="Normal"/></w:pPr>
<w:r><w:t xml:space="preserve">Japan, ed. by N. Murakami (1900, containing Adams&apos;s Letters</w:t></w:r>
</w:p>
<w:p>
<w:pPr><w:pStyle w:val="Normal"/></w:pPr>
<w:r><w:t xml:space="preserve">reprinted from Memorials of the Empire of Japan, ed. by T.</w:t></w:r>
</w:p>
<w:p>
<w:pPr><w:pStyle w:val="Normal"/></w:pPr>
<w:r><w:t xml:space="preserve">Rundall, Hakluyt Society, 1850); Diary of Richard Cocks,</w:t></w:r>
</w:p>
<w:p>
<w:pPr><w:pStyle w:val="Normal"/></w:pPr>
<w:r><w:t xml:space="preserve">with preface by N. Murakami (1899, reprinted from the Hakluyt</w:t></w:r>
</w:p>
<w:p>
<w:pPr><w:pStyle w:val="Normal"/></w:pPr>
<w:r><w:t xml:space="preserve">Society ed. 1883); R. Hildreth&apos;s Japan (1835); J. Harris&apos;s</w:t></w:r>
</w:p>
<w:p>
<w:pPr><w:pStyle w:val="Normal"/></w:pPr>
<w:r><w:t xml:space="preserve">Navigantium atque Itinerantium Bibliotheca (1764), i.</w:t></w:r>
</w:p>
<w:p>
<w:pPr><w:pStyle w:val="Normal"/></w:pPr>
<w:r><w:t xml:space="preserve">856; Voyage of John Saris, ed. by Sir E. M. Satow (Hakluyt</w:t></w:r>
</w:p>
<w:p>
<w:pPr><w:pStyle w:val="Normal"/></w:pPr>
<w:r><w:t xml:space="preserve">Society, 1900); Asiatic Society of Japan Transactions, xxvi.</w:t></w:r>
</w:p>
<w:p>
<w:pPr><w:pStyle w:val="Normal"/></w:pPr>
<w:r><w:t xml:space="preserve">(sec. 1898) pp. 1 and 194, where four more hitherto unpublished</w:t></w:r>
</w:p>
<w:p>
<w:pPr><w:pStyle w:val="Normal"/></w:pPr>
<w:r><w:t xml:space="preserve">letters of Adams are given; Collection of State Papers; East</w:t></w:r>
</w:p>
<w:p>
<w:pPr><w:pStyle w:val="Normal"/></w:pPr>
<w:r><w:t xml:space="preserve">Indies, China and Japan. The MS. of his logs written during his</w:t></w:r>
</w:p>
<w:p>
<w:pPr><w:pStyle w:val="Normal"/></w:pPr>
<w:r><w:t xml:space="preserve">voyages to Siam and China is in the Bodleian Library at Oxford.</w:t></w:r>
</w:p>
<w:p>
<w:pPr><w:pStyle w:val="Normal"/></w:pPr>
<w:r><w:t xml:space="preserve">ADAMS, a township in the extreme N. of Berkshire county,</w:t></w:r>
</w:p>
<w:p>
<w:pPr><w:pStyle w:val="Normal"/></w:pPr>
<w:r><w:t xml:space="preserve">N.W. Massachusetts, U.S.A., having an area of 23 sq. m.  Pop.</w:t></w:r>
</w:p>
<w:p>
<w:pPr><w:pStyle w:val="Normal"/></w:pPr>
<w:r><w:t xml:space="preserve">(1880) 5591; (1890) 9213; (1900) 11,134, of whom 4376 were</w:t></w:r>
</w:p>
<w:p>
<w:pPr><w:pStyle w:val="Normal"/></w:pPr>
<w:r><w:t xml:space="preserve">foreign-born; (1910, census) 13,026.  It includes a portion</w:t></w:r>
</w:p>
<w:p>
<w:pPr><w:pStyle w:val="Normal"/></w:pPr>
<w:r><w:t xml:space="preserve">of the valley of the Hoosac river, extending to the Hoosac</w:t></w:r>
</w:p>
<w:p>
<w:pPr><w:pStyle w:val="Normal"/></w:pPr>
<w:r><w:t xml:space="preserve">Range on the E., and on the W. to Mt. Williams (3040 ft.),</w:t></w:r>
</w:p>
<w:p>
<w:pPr><w:pStyle w:val="Normal"/></w:pPr>
<w:r><w:t xml:space="preserve">and Grey&apos;lock Mountain (3535 ft ), partly in Williamstown,</w:t></w:r>
</w:p>
<w:p>
<w:pPr><w:pStyle w:val="Normal"/></w:pPr>
<w:r><w:t xml:space="preserve">and the highest point in the state.  The valley portion is</w:t></w:r>
</w:p>
<w:p>
<w:pPr><w:pStyle w:val="Normal"/></w:pPr>
<w:r><w:t xml:space="preserve">level and contains several settlement centres, the largest</w:t></w:r>
</w:p>
<w:p>
<w:pPr><w:pStyle w:val="Normal"/></w:pPr>
<w:r><w:t xml:space="preserve">of which, a busy industrial village (manufactures of cotton</w:t></w:r>
</w:p>
<w:p>
<w:pPr><w:pStyle w:val="Normal"/></w:pPr>
<w:r><w:t xml:space="preserve">and paper), bears the same name as the township, and is on</w:t></w:r>
</w:p>
<w:p>
<w:pPr><w:pStyle w:val="Normal"/></w:pPr>
<w:r><w:t xml:space="preserve">a branch of the Boston and Albany railroad.  The village</w:t></w:r>
</w:p>
<w:p>
<w:pPr><w:pStyle w:val="Normal"/></w:pPr>
<w:r><w:t xml:space="preserve">is the nearest station to Greylock, which can be easily</w:t></w:r>
</w:p>
<w:p>
<w:pPr><w:pStyle w:val="Normal"/></w:pPr>
<w:r><w:t xml:space="preserve">ascended, and affords fine views of the Hoosac and Housatonic</w:t></w:r>
</w:p>
<w:p>
<w:pPr><w:pStyle w:val="Normal"/></w:pPr>
<w:r><w:t xml:space="preserve">valleys, the Berkshire Hills and the Green Mountains;</w:t></w:r>
</w:p>
<w:p>
<w:pPr><w:pStyle w:val="Normal"/></w:pPr>
<w:r><w:t xml:space="preserve">the mountain has been a state timber reservation since</w:t></w:r>
</w:p>
<w:p>
<w:pPr><w:pStyle w:val="Normal"/></w:pPr>
<w:r><w:t xml:space="preserve">1898.  The township&apos;s principal industry is the manufacture</w:t></w:r>
</w:p>
<w:p>
<w:pPr><w:pStyle w:val="Normal"/></w:pPr>
<w:r><w:t xml:space="preserve">of cotton goods, the value of which in 1905 ($4,621,261) was</w:t></w:r>
</w:p>
<w:p>
<w:pPr><w:pStyle w:val="Normal"/></w:pPr>
<w:r><w:t xml:space="preserve">84.1% of the value of the township&apos;s total factory products;</w:t></w:r>
</w:p>
<w:p>
<w:pPr><w:pStyle w:val="Normal"/></w:pPr>
<w:r><w:t xml:space="preserve">in 1905 no other place in the United States showed so high</w:t></w:r>
</w:p>
<w:p>
<w:pPr><w:pStyle w:val="Normal"/></w:pPr>
<w:r><w:t xml:space="preserve">a degree of specialization in this industry.  The township</w:t></w:r>
</w:p>
<w:p>
<w:pPr><w:pStyle w:val="Normal"/></w:pPr>
<w:r><w:t xml:space="preserve">(originally ``East Hoosuck&apos;&apos;) was surveyed and defined in</w:t></w:r>
</w:p>
<w:p>
<w:pPr><w:pStyle w:val="Normal"/></w:pPr>
<w:r><w:t xml:space="preserve">1749.  Fort Massachusetts, at one time within its bounds,</w:t></w:r>
</w:p>
<w:p>
<w:pPr><w:pStyle w:val="Normal"/></w:pPr>
<w:r><w:t xml:space="preserve">was destroyed in 1746 by the French.  An old Indian trail</w:t></w:r>
</w:p>
<w:p>
<w:pPr><w:pStyle w:val="Normal"/></w:pPr>
<w:r><w:t xml:space="preserve">between the Hudson and Connecticut valley ran through the</w:t></w:r>
</w:p>
<w:p>
<w:pPr><w:pStyle w:val="Normal"/></w:pPr>
<w:r><w:t xml:space="preserve">township, and was once a leading outlet of the Berkshire</w:t></w:r>
</w:p>
<w:p>
<w:pPr><w:pStyle w:val="Normal"/></w:pPr>
<w:r><w:t xml:space="preserve">country.  Adams was incorporated in 1778, and was named in</w:t></w:r>
</w:p>
<w:p>
<w:pPr><w:pStyle w:val="Normal"/></w:pPr>
<w:r><w:t xml:space="preserve">honour of Samuel Adams, the revolutionary leader.  Part of</w:t></w:r>
</w:p>
<w:p>
<w:pPr><w:pStyle w:val="Normal"/></w:pPr>
<w:r><w:t xml:space="preserve">Adams was included in the new township of Cheshire in 1793,</w:t></w:r>
</w:p>
<w:p>
<w:pPr><w:pStyle w:val="Normal"/></w:pPr>
<w:r><w:t xml:space="preserve">and North Adams was set off as a separate township in 1878.</w:t></w:r>
</w:p>
<w:p>
<w:pPr><w:pStyle w:val="Normal"/></w:pPr>
<w:r><w:t xml:space="preserve">ADAM&apos;S APPLE, the movable projection, more prominent in</w:t></w:r>
</w:p>
<w:p>
<w:pPr><w:pStyle w:val="Normal"/></w:pPr>
<w:r><w:t xml:space="preserve">males than females, formed in the front part of the throat by</w:t></w:r>
</w:p>
<w:p>
<w:pPr><w:pStyle w:val="Normal"/></w:pPr>
<w:r><w:t xml:space="preserve">the thyroid cartilage of the larynx.  The name was given from</w:t></w:r>
</w:p>
<w:p>
<w:pPr><w:pStyle w:val="Normal"/></w:pPr>
<w:r><w:t xml:space="preserve">a legend that a piece of the forbidden fruit lodged in Adam&apos;s</w:t></w:r>
</w:p>
<w:p>
<w:pPr><w:pStyle w:val="Normal"/></w:pPr>
<w:r><w:t xml:space="preserve">throat.  The ``Adam&apos;s apple&apos;&apos; is one of the particular points of</w:t></w:r>
</w:p>
<w:p>
<w:pPr><w:pStyle w:val="Normal"/></w:pPr>
<w:r><w:t xml:space="preserve">attack in the Japanese system of self-defence known as jiu-jitsu.</w:t></w:r>
</w:p>
<w:p>
<w:pPr><w:pStyle w:val="Normal"/></w:pPr>
<w:r><w:t xml:space="preserve">ADAM&apos;S BRIDGE, or RAMA&apos;S BRIDGE, a chain of sandbanks</w:t></w:r>
</w:p>
<w:p>
<w:pPr><w:pStyle w:val="Normal"/></w:pPr>
<w:r><w:t xml:space="preserve">extending from the island of Manaar, near the N.W. coast of</w:t></w:r>
</w:p>
<w:p>
<w:pPr><w:pStyle w:val="Normal"/></w:pPr>
<w:r><w:t xml:space="preserve">Ceylon to the island of Rameswaram, off the Indian coast,</w:t></w:r>
</w:p>
<w:p>
<w:pPr><w:pStyle w:val="Normal"/></w:pPr>
<w:r><w:t xml:space="preserve">and lying between the Gulf of Manaar on the S.W. and Palk</w:t></w:r>
</w:p>
<w:p>
<w:pPr><w:pStyle w:val="Normal"/></w:pPr>
<w:r><w:t xml:space="preserve">Strait on the N.E. It is more than 30 m. long and offers</w:t></w:r>
</w:p>
<w:p>
<w:pPr><w:pStyle w:val="Normal"/></w:pPr>
<w:r><w:t xml:space="preserve">a serious impediment to navigation.  Some of the sandbanks</w:t></w:r>
</w:p>
<w:p>
<w:pPr><w:pStyle w:val="Normal"/></w:pPr>
<w:r><w:t xml:space="preserve">are dry; and no part of the shoal has a greater depth than 3</w:t></w:r>
</w:p>
<w:p>
<w:pPr><w:pStyle w:val="Normal"/></w:pPr>
<w:r><w:t xml:space="preserve">or 4 ft. at high water, except three tortuous and intricate</w:t></w:r>
</w:p>
<w:p>
<w:pPr><w:pStyle w:val="Normal"/></w:pPr>
<w:r><w:t xml:space="preserve">channels which have recently been dredged to a sufficient</w:t></w:r>
</w:p>
<w:p>
<w:pPr><w:pStyle w:val="Normal"/></w:pPr>
<w:r><w:t xml:space="preserve">depth to admit the passage of vessels, so as to obviate the</w:t></w:r>
</w:p>
<w:p>
<w:pPr><w:pStyle w:val="Normal"/></w:pPr>
<w:r><w:t xml:space="preserve">long journey round the island of Ceylon which was previously</w:t></w:r>
</w:p>
<w:p>
<w:pPr><w:pStyle w:val="Normal"/></w:pPr>
<w:r><w:t xml:space="preserve">necessary.  Geological evidence shows that this gap was</w:t></w:r>
</w:p>
<w:p>
<w:pPr><w:pStyle w:val="Normal"/></w:pPr>
<w:r><w:t xml:space="preserve">once bridged by a continuous isthmus which according to</w:t></w:r>
</w:p>
<w:p>
<w:pPr><w:pStyle w:val="Normal"/></w:pPr>
<w:r><w:t xml:space="preserve">the temple records was breached by a violent storm in</w:t></w:r>
</w:p>
<w:p>
<w:pPr><w:pStyle w:val="Normal"/></w:pPr>
<w:r><w:t xml:space="preserve">1480.  Operations for removing the obstacles in the channel</w:t></w:r>
</w:p>
<w:p>
<w:pPr><w:pStyle w:val="Normal"/></w:pPr>
<w:r><w:t xml:space="preserve">and for deepening and widening it were begun as long ago as</w:t></w:r>
</w:p>
<w:p>
<w:pPr><w:pStyle w:val="Normal"/></w:pPr>
<w:r><w:t xml:space="preserve">1838.  A service of the British India Steam Navigation</w:t></w:r>
</w:p>
<w:p>
<w:pPr><w:pStyle w:val="Normal"/></w:pPr>
<w:r><w:t xml:space="preserve">Company&apos;s steamers has been established between Negapatam</w:t></w:r>
</w:p>
<w:p>
<w:pPr><w:pStyle w:val="Normal"/></w:pPr>
<w:r><w:t xml:space="preserve">and Colombo through Palk Strait and this narrow passage.</w:t></w:r>
</w:p>
<w:p>
<w:pPr><w:pStyle w:val="Normal"/></w:pPr>
<w:r><w:t xml:space="preserve">ADAM SCOTUS (d. 1180), theological writer, sometimes called</w:t></w:r>
</w:p>
<w:p>
<w:pPr><w:pStyle w:val="Normal"/></w:pPr>
<w:r><w:t xml:space="preserve">Adam Anglicus or Anglo-Scotus, was born in the south of</w:t></w:r>
</w:p>
<w:p>
<w:pPr><w:pStyle w:val="Normal"/></w:pPr>
<w:r><w:t xml:space="preserve">Scotland in the first half of the 12th century.  About 1150 he</w:t></w:r>
</w:p>
<w:p>
<w:pPr><w:pStyle w:val="Normal"/></w:pPr>
<w:r><w:t xml:space="preserve">was a Premonstratensian canon at St Andrews, and some twenty</w:t></w:r>
</w:p>
<w:p>
<w:pPr><w:pStyle w:val="Normal"/></w:pPr>
<w:r><w:t xml:space="preserve">years later abbot and bishop of Candida Casa (Whithorn) in</w:t></w:r>
</w:p>
<w:p>
<w:pPr><w:pStyle w:val="Normal"/></w:pPr>
<w:r><w:t xml:space="preserve">Galloway.  He gained a European reputation for his writings,</w:t></w:r>
</w:p>
<w:p>
<w:pPr><w:pStyle w:val="Normal"/></w:pPr>
<w:r><w:t xml:space="preserve">which are of mystico-ascetic type, and include an account</w:t></w:r>
</w:p>
<w:p>
<w:pPr><w:pStyle w:val="Normal"/></w:pPr>
<w:r><w:t xml:space="preserve">of the Premonstratensian order, a collection of festival</w:t></w:r>
</w:p>
<w:p>
<w:pPr><w:pStyle w:val="Normal"/></w:pPr>
<w:r><w:t xml:space="preserve">sermons, and a Soliloquia de instructione discipuli,</w:t></w:r>
</w:p>
<w:p>
<w:pPr><w:pStyle w:val="Normal"/></w:pPr>
<w:r><w:t xml:space="preserve">formerly attributed to his contemporary, Adam of St Victor.</w:t></w:r>
</w:p>
<w:p>
<w:pPr><w:pStyle w:val="Normal"/></w:pPr>
<w:r><w:t xml:space="preserve">ADAMSON, PATRICK (1537--1592), Scottish divine, archbishop</w:t></w:r>
</w:p>
<w:p>
<w:pPr><w:pStyle w:val="Normal"/></w:pPr>
<w:r><w:t xml:space="preserve">of St Andrews, was born at Perth.  He studied philosophy, and</w:t></w:r>
</w:p>
<w:p>
<w:pPr><w:pStyle w:val="Normal"/></w:pPr>
<w:r><w:t xml:space="preserve">took the degree of M.A. at St Andrews.  After being minister</w:t></w:r>
</w:p>
<w:p>
<w:pPr><w:pStyle w:val="Normal"/></w:pPr>
<w:r><w:t xml:space="preserve">of Ceres in Fife for three years, in 1566 he set out for</w:t></w:r>
</w:p>
<w:p>
<w:pPr><w:pStyle w:val="Normal"/></w:pPr>
<w:r><w:t xml:space="preserve">Paris as tutor to the eldest son of Sir James Macgill, the</w:t></w:r>
</w:p>
<w:p>
<w:pPr><w:pStyle w:val="Normal"/></w:pPr>
<w:r><w:t xml:space="preserve">clerk-general.  In June of the same year he wrote a Latin poem</w:t></w:r>
</w:p>
<w:p>
<w:pPr><w:pStyle w:val="Normal"/></w:pPr>
<w:r><w:t xml:space="preserve">on the birth of the young prince James, whom he described as</w:t></w:r>
</w:p>
<w:p>
<w:pPr><w:pStyle w:val="Normal"/></w:pPr>
<w:r><w:t xml:space="preserve">serenissimus princeps of France and England.  The French</w:t></w:r>
</w:p>
<w:p>
<w:pPr><w:pStyle w:val="Normal"/></w:pPr>
<w:r><w:t xml:space="preserve">court was offended, and he was confined for six months.  He</w:t></w:r>
</w:p>
<w:p>
<w:pPr><w:pStyle w:val="Normal"/></w:pPr>
<w:r><w:t xml:space="preserve">was released only through the intercession of Queen Mary of</w:t></w:r>
</w:p>
<w:p>
<w:pPr><w:pStyle w:val="Normal"/></w:pPr>
<w:r><w:t xml:space="preserve">Scotland and some of the principal nobility, and retired with</w:t></w:r>
</w:p>
<w:p>
<w:pPr><w:pStyle w:val="Normal"/></w:pPr>
<w:r><w:t xml:space="preserve">his pupil to Bourges.  He was in this city at the time of</w:t></w:r>
</w:p>
<w:p>
<w:pPr><w:pStyle w:val="Normal"/></w:pPr>
<w:r><w:t xml:space="preserve">the massacre of St Bartholomew at Paris, and lived concealed</w:t></w:r>
</w:p>
<w:p>
<w:pPr><w:pStyle w:val="Normal"/></w:pPr>
<w:r><w:t xml:space="preserve">for seven months in a public-house, the aged master of which,</w:t></w:r>
</w:p>
<w:p>
<w:pPr><w:pStyle w:val="Normal"/></w:pPr>
<w:r><w:t xml:space="preserve">in reward for his charity to a heretic, was thrown from the</w:t></w:r>
</w:p>
<w:p>
<w:pPr><w:pStyle w:val="Normal"/></w:pPr>
<w:r><w:t xml:space="preserve">roof.  While in this ``Sepulchre,&apos;, he wrote his Latin</w:t></w:r>
</w:p>
<w:p>
<w:pPr><w:pStyle w:val="Normal"/></w:pPr>
<w:r><w:t xml:space="preserve">poetical version of the book of Job, and his tragedy of</w:t></w:r>
</w:p>
<w:p>
<w:pPr><w:pStyle w:val="Normal"/></w:pPr>
<w:r><w:t xml:space="preserve">Herod in the same language.  In 1572 or 1573 he returned to</w:t></w:r>
</w:p>
<w:p>
<w:pPr><w:pStyle w:val="Normal"/></w:pPr>
<w:r><w:t xml:space="preserve">Scotland, and became minister of Paisley.  In 1575 he was</w:t></w:r>
</w:p>
<w:p>
<w:pPr><w:pStyle w:val="Normal"/></w:pPr>
<w:r><w:t xml:space="preserve">appointed by the General Assembly one of the commissioners</w:t></w:r>
</w:p>
<w:p>
<w:pPr><w:pStyle w:val="Normal"/></w:pPr>
<w:r><w:t xml:space="preserve">to settle the jurisdiction and policy of the church; and the</w:t></w:r>
</w:p>
<w:p>
<w:pPr><w:pStyle w:val="Normal"/></w:pPr>
<w:r><w:t xml:space="preserve">following year he was named, with David Lindsay, to report</w:t></w:r>
</w:p>
<w:p>
<w:pPr><w:pStyle w:val="Normal"/></w:pPr>
<w:r><w:t xml:space="preserve">their proceedings to the earl of Morton, then regent.  In</w:t></w:r>
</w:p>
<w:p>
<w:pPr><w:pStyle w:val="Normal"/></w:pPr>
<w:r><w:t xml:space="preserve">1576 his appointment as archbishop of St Andrews gave rise</w:t></w:r>
</w:p>
<w:p>
<w:pPr><w:pStyle w:val="Normal"/></w:pPr>
<w:r><w:t xml:space="preserve">to a protracted conflict with the Presbyterian party in the</w:t></w:r>
</w:p>
<w:p>
<w:pPr><w:pStyle w:val="Normal"/></w:pPr>
<w:r><w:t xml:space="preserve">Assembly.  He had previously published a catechism in Latin</w:t></w:r>
</w:p>
<w:p>
<w:pPr><w:pStyle w:val="Normal"/></w:pPr>
<w:r><w:t xml:space="preserve">verse dedicated to the king, a work highly approved even by</w:t></w:r>
</w:p>
<w:p>
<w:pPr><w:pStyle w:val="Normal"/></w:pPr>
<w:r><w:t xml:space="preserve">his opponents, and also a Latin translation of the Scottish</w:t></w:r>
</w:p>
<w:p>
<w:pPr><w:pStyle w:val="Normal"/></w:pPr>
<w:r><w:t xml:space="preserve">Confession of Faith.  In 1578 he submitted himself to the</w:t></w:r>
</w:p>
<w:p>
<w:pPr><w:pStyle w:val="Normal"/></w:pPr>
<w:r><w:t xml:space="preserve">General Assembly, which procured him peace for a little time,</w:t></w:r>
</w:p>
<w:p>
<w:pPr><w:pStyle w:val="Normal"/></w:pPr>
<w:r><w:t xml:space="preserve">but next year fresh accusations were brought against him.  He</w:t></w:r>
</w:p>
<w:p>
<w:pPr><w:pStyle w:val="Normal"/></w:pPr>
<w:r><w:t xml:space="preserve">took refuge in St Andrews Castle, where ``a wise woman,&apos;&apos; Alison</w:t></w:r>
</w:p>
<w:p>
<w:pPr><w:pStyle w:val="Normal"/></w:pPr>
<w:r><w:t xml:space="preserve">Pearson, who was ultimately burned for witchcraft, cured him</w:t></w:r>
</w:p>
<w:p>
<w:pPr><w:pStyle w:val="Normal"/></w:pPr>
<w:r><w:t xml:space="preserve">of a serious illness.  In 1583 he went as James&apos;s ambassador</w:t></w:r>
</w:p>
<w:p>
<w:pPr><w:pStyle w:val="Normal"/></w:pPr>
<w:r><w:t xml:space="preserve">to the court of Elizabeth, and is said to have behaved rather</w:t></w:r>
</w:p>
<w:p>
<w:pPr><w:pStyle w:val="Normal"/></w:pPr>
<w:r><w:t xml:space="preserve">badly.  On his return he took strong parliamentary measures</w:t></w:r>
</w:p>
<w:p>
<w:pPr><w:pStyle w:val="Normal"/></w:pPr>
<w:r><w:t xml:space="preserve">against Presbyterians, and consequently, at a provincial</w:t></w:r>
</w:p>
<w:p>
<w:pPr><w:pStyle w:val="Normal"/></w:pPr>
<w:r><w:t xml:space="preserve">synod held at St Andrews in April 1586, he was accused of</w:t></w:r>
</w:p>
<w:p>
<w:pPr><w:pStyle w:val="Normal"/></w:pPr>
<w:r><w:t xml:space="preserve">heresy and excommunicated, but at the next General Assembly</w:t></w:r>
</w:p>
<w:p>
<w:pPr><w:pStyle w:val="Normal"/></w:pPr>
<w:r><w:t xml:space="preserve">the sentence was remitted as illegal.  In 1587 and 1588,</w:t></w:r>
</w:p>
<w:p>
<w:pPr><w:pStyle w:val="Normal"/></w:pPr>
<w:r><w:t xml:space="preserve">however, fresh accusations were brought against him, and he</w:t></w:r>
</w:p>
<w:p>
<w:pPr><w:pStyle w:val="Normal"/></w:pPr>
<w:r><w:t xml:space="preserve">was again excommunicated, though afterwards on the inducement</w:t></w:r>
</w:p>
<w:p>
<w:pPr><w:pStyle w:val="Normal"/></w:pPr>
<w:r><w:t xml:space="preserve">of his old opponent, Andrew Melville, the sentence was again</w:t></w:r>
</w:p>
<w:p>
<w:pPr><w:pStyle w:val="Normal"/></w:pPr>
<w:r><w:t xml:space="preserve">remitted.  Meanwhile he had published the Lamentations of</w:t></w:r>
</w:p>
<w:p>
<w:pPr><w:pStyle w:val="Normal"/></w:pPr>
<w:r><w:t xml:space="preserve">Jeremiah, and the book of Revelation in Latin verse, which</w:t></w:r>
</w:p>
<w:p>
<w:pPr><w:pStyle w:val="Normal"/></w:pPr>
<w:r><w:t xml:space="preserve">he dedicated to the king, complaining of his hard usage.</w:t></w:r>
</w:p>
<w:p>
<w:pPr><w:pStyle w:val="Normal"/></w:pPr>
<w:r><w:t xml:space="preserve">But James was unmoved by his application, and granted the</w:t></w:r>
</w:p>
<w:p>
<w:pPr><w:pStyle w:val="Normal"/></w:pPr>
<w:r><w:t xml:space="preserve">revenue of his see to the duke of Lennox.  For the rest</w:t></w:r>
</w:p>
<w:p>
<w:pPr><w:pStyle w:val="Normal"/></w:pPr>
<w:r><w:t xml:space="preserve">of his life Adamson was supported by charity; he died in</w:t></w:r>
</w:p>
<w:p>
<w:pPr><w:pStyle w:val="Normal"/></w:pPr>
<w:r><w:t xml:space="preserve">1592.  His recantation of Episcopacy (1590) is probably</w:t></w:r>
</w:p>
<w:p>
<w:pPr><w:pStyle w:val="Normal"/></w:pPr>
<w:r><w:t xml:space="preserve">spurious.  Adamson was a man of many gifts, learned and</w:t></w:r>
</w:p>
<w:p>
<w:pPr><w:pStyle w:val="Normal"/></w:pPr>
<w:r><w:t xml:space="preserve">eloquent, but with grave defects of character.  His collected</w:t></w:r>
</w:p>
<w:p>
<w:pPr><w:pStyle w:val="Normal"/></w:pPr>
<w:r><w:t xml:space="preserve">works, prefaced by a fulsome panegyric, in the course of which</w:t></w:r>
</w:p>
<w:p>
<w:pPr><w:pStyle w:val="Normal"/></w:pPr>
<w:r><w:t xml:space="preserve">it is said that ``he was a miracle of nature, and rather seemed</w:t></w:r>
</w:p>
<w:p>
<w:pPr><w:pStyle w:val="Normal"/></w:pPr>
<w:r><w:t xml:space="preserve">to be the immediate production of God Almighty than born of a</w:t></w:r>
</w:p>
<w:p>
<w:pPr><w:pStyle w:val="Normal"/></w:pPr>
<w:r><w:t xml:space="preserve">woman,&apos;&apos; were produced by his son-in-law, Thomas Wilson, in 1619.</w:t></w:r>
</w:p>
<w:p>
<w:pPr><w:pStyle w:val="Normal"/></w:pPr>
<w:r><w:t xml:space="preserve">ADAMSON, ROBERT (1852-1902), Scottish philosopher, was born</w:t></w:r>
</w:p>
<w:p>
<w:pPr><w:pStyle w:val="Normal"/></w:pPr>
<w:r><w:t xml:space="preserve">in Edinburgh on the 19th of January 1852.  His father was a</w:t></w:r>
</w:p>
<w:p>
<w:pPr><w:pStyle w:val="Normal"/></w:pPr>
<w:r><w:t xml:space="preserve">solicitor, and his mother was the daughter of Matthew Buist,</w:t></w:r>
</w:p>
<w:p>
<w:pPr><w:pStyle w:val="Normal"/></w:pPr>
<w:r><w:t xml:space="preserve">factor to Lord Haddington.  In 1855 Mrs Adamson was left a</w:t></w:r>
</w:p>
<w:p>
<w:pPr><w:pStyle w:val="Normal"/></w:pPr>
<w:r><w:t xml:space="preserve">widow with small means, and devoted herself entirely to the</w:t></w:r>
</w:p>
<w:p>
<w:pPr><w:pStyle w:val="Normal"/></w:pPr>
<w:r><w:t xml:space="preserve">education of her six children.  Of these, Robert was successful</w:t></w:r>
</w:p>
<w:p>
<w:pPr><w:pStyle w:val="Normal"/></w:pPr>
<w:r><w:t xml:space="preserve">from the first.  At the end of his school career he entered</w:t></w:r>
</w:p>
<w:p>
<w:pPr><w:pStyle w:val="Normal"/></w:pPr>
<w:r><w:t xml:space="preserve">the university of Edinburgh at the age of fourteen, and four</w:t></w:r>
</w:p>
<w:p>
<w:pPr><w:pStyle w:val="Normal"/></w:pPr>
<w:r><w:t xml:space="preserve">years later graduated with first-class honours in mental</w:t></w:r>
</w:p>
<w:p>
<w:pPr><w:pStyle w:val="Normal"/></w:pPr>
<w:r><w:t xml:space="preserve">philosophy, with prizes in every department of the faculty of</w:t></w:r>
</w:p>
<w:p>
<w:pPr><w:pStyle w:val="Normal"/></w:pPr>
<w:r><w:t xml:space="preserve">Arts.  He completed his university successes by winning the</w:t></w:r>
</w:p>
<w:p>
<w:pPr><w:pStyle w:val="Normal"/></w:pPr>
<w:r><w:t xml:space="preserve">Tyndall-Bruce scholarship, the Hamilton fellowship (1872),</w:t></w:r>
</w:p>
<w:p>
<w:pPr><w:pStyle w:val="Normal"/></w:pPr>
<w:r><w:t xml:space="preserve">the Ferguson scholarship (1872) and the Shaw fellowship</w:t></w:r>
</w:p>
<w:p>
<w:pPr><w:pStyle w:val="Normal"/></w:pPr>
<w:r><w:t xml:space="preserve">(1873).  After a short residence at Heidelberg (1871), where</w:t></w:r>
</w:p>
<w:p>
<w:pPr><w:pStyle w:val="Normal"/></w:pPr>
<w:r><w:t xml:space="preserve">he began his study of German philosophy, he returned to</w:t></w:r>
</w:p>
<w:p>
<w:pPr><w:pStyle w:val="Normal"/></w:pPr>
<w:r><w:t xml:space="preserve">Edinburgh as assistant first to Henry Calderwood and later to</w:t></w:r>
</w:p>
<w:p>
<w:pPr><w:pStyle w:val="Normal"/></w:pPr>
<w:r><w:t xml:space="preserve">A. Campbell Fraser; he joined the staff of the Encyclopaedia</w:t></w:r>
</w:p>
<w:p>
<w:pPr><w:pStyle w:val="Normal"/></w:pPr>
<w:r><w:t xml:space="preserve">Britannica (9th ed.) (1874) and studied widely in the Advocates&apos;</w:t></w:r>
</w:p>
<w:p>
<w:pPr><w:pStyle w:val="Normal"/></w:pPr>
<w:r><w:t xml:space="preserve">Library.  In 1876 he came to England as successor to W. S.</w:t></w:r>
</w:p>
<w:p>
<w:pPr><w:pStyle w:val="Normal"/></w:pPr>
<w:r><w:t xml:space="preserve">Jevons in the chair of logic and philosophy, at Owens College,</w:t></w:r>
</w:p>
<w:p>
<w:pPr><w:pStyle w:val="Normal"/></w:pPr>
<w:r><w:t xml:space="preserve">Manchester.  In 1883 he received the honorary degree of</w:t></w:r>
</w:p>
<w:p>
<w:pPr><w:pStyle w:val="Normal"/></w:pPr>
<w:r><w:t xml:space="preserve">LL.D.  In 1893 he went to Aberdeen, and finally in 1895</w:t></w:r>
</w:p>
<w:p>
<w:pPr><w:pStyle w:val="Normal"/></w:pPr>
<w:r><w:t xml:space="preserve">to the chair of logic at Glasgow, which he held till his</w:t></w:r>
</w:p>
<w:p>
<w:pPr><w:pStyle w:val="Normal"/></w:pPr>
<w:r><w:t xml:space="preserve">death on the 5th of February 1902.  His wife, Margaret</w:t></w:r>
</w:p>
<w:p>
<w:pPr><w:pStyle w:val="Normal"/></w:pPr>
<w:r><w:t xml:space="preserve">Duncan, the daughter of a Manchester merchant, was a woman</w:t></w:r>
</w:p>
<w:p>
<w:pPr><w:pStyle w:val="Normal"/></w:pPr>
<w:r><w:t xml:space="preserve">of kindred tastes, and their union was entirely happy.</w:t></w:r>
</w:p>
<w:p>
<w:pPr><w:pStyle w:val="Normal"/></w:pPr>
<w:r><w:t xml:space="preserve">It is matter for regret to the student that Adamson&apos;s active</w:t></w:r>
</w:p>
<w:p>
<w:pPr><w:pStyle w:val="Normal"/></w:pPr>
<w:r><w:t xml:space="preserve">labours in the lecture room precluded him from systematic</w:t></w:r>
</w:p>
<w:p>
<w:pPr><w:pStyle w:val="Normal"/></w:pPr>
<w:r><w:t xml:space="preserve">production.  His writings consisted of short articles, of which</w:t></w:r>
</w:p>
<w:p>
<w:pPr><w:pStyle w:val="Normal"/></w:pPr>
<w:r><w:t xml:space="preserve">many appeared in the Encyclopaedia Britannica (9th ed.) and</w:t></w:r>
</w:p>
<w:p>
<w:pPr><w:pStyle w:val="Normal"/></w:pPr>
<w:r><w:t xml:space="preserve">in Mind, a volume on Kant and another on Fichte.  At the</w:t></w:r>
</w:p>
<w:p>
<w:pPr><w:pStyle w:val="Normal"/></w:pPr>
<w:r><w:t xml:space="preserve">time of his death he was writing a History of Psychology,</w:t></w:r>
</w:p>
<w:p>
<w:pPr><w:pStyle w:val="Normal"/></w:pPr>
<w:r><w:t xml:space="preserve">and had promised a work on Kant and the Modern Naturalists.</w:t></w:r>
</w:p>
<w:p>
<w:pPr><w:pStyle w:val="Normal"/></w:pPr>
<w:r><w:t xml:space="preserve">Both in his life and in his writings he was remarkable for</w:t></w:r>
</w:p>
<w:p>
<w:pPr><w:pStyle w:val="Normal"/></w:pPr>
<w:r><w:t xml:space="preserve">impartiality.  It was his peculiar virtue that he could quote</w:t></w:r>
</w:p>
<w:p>
<w:pPr><w:pStyle w:val="Normal"/></w:pPr>
<w:r><w:t xml:space="preserve">his opponents without warping their meaning.  From this point</w:t></w:r>
</w:p>
<w:p>
<w:pPr><w:pStyle w:val="Normal"/></w:pPr>
<w:r><w:t xml:space="preserve">of view he would have been perhaps the first historian of</w:t></w:r>
</w:p>
<w:p>
<w:pPr><w:pStyle w:val="Normal"/></w:pPr>
<w:r><w:t xml:space="preserve">philosophy of his time, had his professional labours been less</w:t></w:r>
</w:p>
<w:p>
<w:pPr><w:pStyle w:val="Normal"/></w:pPr>
<w:r><w:t xml:space="preserve">exacting.  Except during the first few years at Manchester,</w:t></w:r>
</w:p>
<w:p>
<w:pPr><w:pStyle w:val="Normal"/></w:pPr>
<w:r><w:t xml:space="preserve">he delivered his lectures without manuscripts.  In 1903,</w:t></w:r>
</w:p>
<w:p>
<w:pPr><w:pStyle w:val="Normal"/></w:pPr>
<w:r><w:t xml:space="preserve">under the title The Development of Modern Philosophy and</w:t></w:r>
</w:p>
<w:p>
<w:pPr><w:pStyle w:val="Normal"/></w:pPr>
<w:r><w:t xml:space="preserve">Other Essays, his more important lectures were published</w:t></w:r>
</w:p>
<w:p>
<w:pPr><w:pStyle w:val="Normal"/></w:pPr>
<w:r><w:t xml:space="preserve">with a short biographical introduction by Prof.  W. R.</w:t></w:r>
</w:p>
<w:p>
<w:pPr><w:pStyle w:val="Normal"/></w:pPr>
<w:r><w:t xml:space="preserve">Sorley of Cambridge University (see Mind, xiii. 1904, p. 73</w:t></w:r>
</w:p>
<w:p>
<w:pPr><w:pStyle w:val="Normal"/></w:pPr>
<w:r><w:t xml:space="preserve">foll.).  Most of the matter is taken verbatim from the</w:t></w:r>
</w:p>
<w:p>
<w:pPr><w:pStyle w:val="Normal"/></w:pPr>
<w:r><w:t xml:space="preserve">note-book of one of his students.  Under the same editorship</w:t></w:r>
</w:p>
<w:p>
<w:pPr><w:pStyle w:val="Normal"/></w:pPr>
<w:r><w:t xml:space="preserve">there appeared, three years later, his Development of Greek</w:t></w:r>
</w:p>
<w:p>
<w:pPr><w:pStyle w:val="Normal"/></w:pPr>
<w:r><w:t xml:space="preserve">Philosophy. In addition to his professional work, he did much</w:t></w:r>
</w:p>
<w:p>
<w:pPr><w:pStyle w:val="Normal"/></w:pPr>
<w:r><w:t xml:space="preserve">administrative work for Victoria University and the university of</w:t></w:r>
</w:p>
<w:p>
<w:pPr><w:pStyle w:val="Normal"/></w:pPr>
<w:r><w:t xml:space="preserve">Glasgow.  In the organization of Victoria University he took</w:t></w:r>
</w:p>
<w:p>
<w:pPr><w:pStyle w:val="Normal"/></w:pPr>
<w:r><w:t xml:space="preserve">a foremost part, and, as chairman of the Board of Studies</w:t></w:r>
</w:p>
<w:p>
<w:pPr><w:pStyle w:val="Normal"/></w:pPr>
<w:r><w:t xml:space="preserve">at Owens College, he presided over the general academical</w:t></w:r>
</w:p>
<w:p>
<w:pPr><w:pStyle w:val="Normal"/></w:pPr>
<w:r><w:t xml:space="preserve">board of the Victoria University.  At Glasgow he was soon</w:t></w:r>
</w:p>
<w:p>
<w:pPr><w:pStyle w:val="Normal"/></w:pPr>
<w:r><w:t xml:space="preserve">elected one of the representatives on the court, and to him</w:t></w:r>
</w:p>
<w:p>
<w:pPr><w:pStyle w:val="Normal"/></w:pPr>
<w:r><w:t xml:space="preserve">were due in large measure the extension of the academical</w:t></w:r>
</w:p>
<w:p>
<w:pPr><w:pStyle w:val="Normal"/></w:pPr>
<w:r><w:t xml:space="preserve">session and the improved equipment of the university.</w:t></w:r>
</w:p>
<w:p>
<w:pPr><w:pStyle w:val="Normal"/></w:pPr>
<w:r><w:t xml:space="preserve">Throughout his lectures, Adamson pursued the critical and</w:t></w:r>
</w:p>
<w:p>
<w:pPr><w:pStyle w:val="Normal"/></w:pPr>
<w:r><w:t xml:space="preserve">historical method without formulating a constructive theory of his</w:t></w:r>
</w:p>
<w:p>
<w:pPr><w:pStyle w:val="Normal"/></w:pPr>
<w:r><w:t xml:space="preserve">own.  He felt that any philosophical advance must be based on</w:t></w:r>
</w:p>
<w:p>
<w:pPr><w:pStyle w:val="Normal"/></w:pPr>
<w:r><w:t xml:space="preserve">the Kantian methods.  It was his habit to make straight for</w:t></w:r>
</w:p>
<w:p>
<w:pPr><w:pStyle w:val="Normal"/></w:pPr>
<w:r><w:t xml:space="preserve">the ultimate issue, disregarding half-truths and declining</w:t></w:r>
</w:p>
<w:p>
<w:pPr><w:pStyle w:val="Normal"/></w:pPr>
<w:r><w:t xml:space="preserve">compromise.  He left a hypothesis to be worked out by</w:t></w:r>
</w:p>
<w:p>
<w:pPr><w:pStyle w:val="Normal"/></w:pPr>
<w:r><w:t xml:space="preserve">others; this done, he would criticize with all the rigour of</w:t></w:r>
</w:p>
<w:p>
<w:pPr><w:pStyle w:val="Normal"/></w:pPr>
<w:r><w:t xml:space="preserve">logic, and with a profound distrust of imagination, metaphor</w:t></w:r>
</w:p>
<w:p>
<w:pPr><w:pStyle w:val="Normal"/></w:pPr>
<w:r><w:t xml:space="preserve">and the attitude known as the will-to-believe.  As he grew</w:t></w:r>
</w:p>
<w:p>
<w:pPr><w:pStyle w:val="Normal"/></w:pPr>
<w:r><w:t xml:space="preserve">older his metaphysical optimism waned.  He felt that the</w:t></w:r>
</w:p>
<w:p>
<w:pPr><w:pStyle w:val="Normal"/></w:pPr>
<w:r><w:t xml:space="preserve">increase of knowledge must come in the domains of physical</w:t></w:r>
</w:p>
<w:p>
<w:pPr><w:pStyle w:val="Normal"/></w:pPr>
<w:r><w:t xml:space="preserve">science.  But this empirical tendency as regards science</w:t></w:r>
</w:p>
<w:p>
<w:pPr><w:pStyle w:val="Normal"/></w:pPr>
<w:r><w:t xml:space="preserve">never modified his metaphysical outlook.  He has been called</w:t></w:r>
</w:p>
<w:p>
<w:pPr><w:pStyle w:val="Normal"/></w:pPr>
<w:r><w:t xml:space="preserve">Kantian and Neo-Kantian, Realist and Idealist (by himself,</w:t></w:r>
</w:p>
<w:p>
<w:pPr><w:pStyle w:val="Normal"/></w:pPr>
<w:r><w:t xml:space="preserve">for he held that appearance and reality are co-extensive and</w:t></w:r>
</w:p>
<w:p>
<w:pPr><w:pStyle w:val="Normal"/></w:pPr>
<w:r><w:t xml:space="preserve">coincident).  At the same time, in his criticism of other views</w:t></w:r>
</w:p>
<w:p>
<w:pPr><w:pStyle w:val="Normal"/></w:pPr>
<w:r><w:t xml:space="preserve">he was almost typical of Hegelian idealism.  All processes</w:t></w:r>
</w:p>
<w:p>
<w:pPr><w:pStyle w:val="Normal"/></w:pPr>
<w:r><w:t xml:space="preserve">of reasoning or judgment (i.e. all units of thought) are</w:t></w:r>
</w:p>
<w:p>
<w:pPr><w:pStyle w:val="Normal"/></w:pPr>
<w:r><w:t xml:space="preserve">(1) analysable only by abstraction, and (2) are compound of</w:t></w:r>
</w:p>
<w:p>
<w:pPr><w:pStyle w:val="Normal"/></w:pPr>
<w:r><w:t xml:space="preserve">deduction and induction, i.e. rational and empirical.  An</w:t></w:r>
</w:p>
<w:p>
<w:pPr><w:pStyle w:val="Normal"/></w:pPr>
<w:r><w:t xml:space="preserve">illustration of his empirical tendency is found in his attitude</w:t></w:r>
</w:p>
<w:p>
<w:pPr><w:pStyle w:val="Normal"/></w:pPr>
<w:r><w:t xml:space="preserve">to the Absolute and the Self.  The ``Absolute&apos;&apos; doctrines he</w:t></w:r>
</w:p>
<w:p>
<w:pPr><w:pStyle w:val="Normal"/></w:pPr>
<w:r><w:t xml:space="preserve">regarded as a mere disguise of failure, a dishonest attempt</w:t></w:r>
</w:p>
<w:p>
<w:pPr><w:pStyle w:val="Normal"/></w:pPr>
<w:r><w:t xml:space="preserve">to clothe ignorance in the pretentious garb of mystery.  The</w:t></w:r>
</w:p>
<w:p>
<w:pPr><w:pStyle w:val="Normal"/></w:pPr>
<w:r><w:t xml:space="preserve">Self as a primary, determining entity, he would not therefore</w:t></w:r>
</w:p>
<w:p>
<w:pPr><w:pStyle w:val="Normal"/></w:pPr>
<w:r><w:t xml:space="preserve">admit.  He represented an empiricism which, so far from</w:t></w:r>
</w:p>
<w:p>
<w:pPr><w:pStyle w:val="Normal"/></w:pPr>
<w:r><w:t xml:space="preserve">refuting, was actually based on, idealism, and yet was alert to</w:t></w:r>
</w:p>
<w:p>
<w:pPr><w:pStyle w:val="Normal"/></w:pPr>
<w:r><w:t xml:space="preserve">expose the fallacies of a particular idealist construction (see</w:t></w:r>
</w:p>
<w:p>
<w:pPr><w:pStyle w:val="Normal"/></w:pPr>
<w:r><w:t xml:space="preserve">his essay in Ethical Democracy, edited by Dr Stanton Coit).</w:t></w:r>
</w:p>
<w:p>
<w:pPr><w:pStyle w:val="Normal"/></w:pPr>
<w:r><w:t xml:space="preserve">ADAM&apos;S PEAK, a mountain in Ceylon, about 45 miles E. from</w:t></w:r>
</w:p>
<w:p>
<w:pPr><w:pStyle w:val="Normal"/></w:pPr>
<w:r><w:t xml:space="preserve">Colombo, in N. lat. 6 deg.  55&apos;, E. long. 80 deg.  30&apos;. It rises</w:t></w:r>
</w:p>
<w:p>
<w:pPr><w:pStyle w:val="Normal"/></w:pPr>
<w:r><w:t xml:space="preserve">steeply to a height of 7352 feet, and commands a magnificent</w:t></w:r>
</w:p>
<w:p>
<w:pPr><w:pStyle w:val="Normal"/></w:pPr>
<w:r><w:t xml:space="preserve">prospect.  Its conical summit terminates in an oblong platform,</w:t></w:r>
</w:p>
<w:p>
<w:pPr><w:pStyle w:val="Normal"/></w:pPr>
<w:r><w:t xml:space="preserve">74 ft. by 24, on which there is a hollow, resembling the form</w:t></w:r>
</w:p>
<w:p>
<w:pPr><w:pStyle w:val="Normal"/></w:pPr>
<w:r><w:t xml:space="preserve">of a human foot, 5 ft. 4 in. by 2 ft. 6 in.; and this has been</w:t></w:r>
</w:p>
<w:p>
<w:pPr><w:pStyle w:val="Normal"/></w:pPr>
<w:r><w:t xml:space="preserve">consecrated as the footprint of Buddha.  The margin of this</w:t></w:r>
</w:p>
<w:p>
<w:pPr><w:pStyle w:val="Normal"/></w:pPr>
<w:r><w:t xml:space="preserve">supposed footprint is ornamented with gems, and a wooden canopy</w:t></w:r>
</w:p>
<w:p>
<w:pPr><w:pStyle w:val="Normal"/></w:pPr>
<w:r><w:t xml:space="preserve">protects it from the weather.  It is held in high veneration</w:t></w:r>
</w:p>
<w:p>
<w:pPr><w:pStyle w:val="Normal"/></w:pPr>
<w:r><w:t xml:space="preserve">by the Sinhalese, and numerous pilgrims ascend to the sacred</w:t></w:r>
</w:p>
<w:p>
<w:pPr><w:pStyle w:val="Normal"/></w:pPr>
<w:r><w:t xml:space="preserve">spot, where a priest resides to receive their offerings and</w:t></w:r>
</w:p>
<w:p>
<w:pPr><w:pStyle w:val="Normal"/></w:pPr>
<w:r><w:t xml:space="preserve">bless them on their departure.  By the Mahommedans the impression</w:t></w:r>
</w:p>
<w:p>
<w:pPr><w:pStyle w:val="Normal"/></w:pPr>
<w:r><w:t xml:space="preserve">is regarded as that of the foot of Adam, who here, according</w:t></w:r>
</w:p>
<w:p>
<w:pPr><w:pStyle w:val="Normal"/></w:pPr>
<w:r><w:t xml:space="preserve">to their tradition, fulfilled a penance of one thousand</w:t></w:r>
</w:p>
<w:p>
<w:pPr><w:pStyle w:val="Normal"/></w:pPr>
<w:r><w:t xml:space="preserve">years; while the Hindus claim it as that of their god Siva.</w:t></w:r>
</w:p>
<w:p>
<w:pPr><w:pStyle w:val="Normal"/></w:pPr>
<w:r><w:t xml:space="preserve">ADANA. (1) A vilayet in the S.E. of Asia Minor, which</w:t></w:r>
</w:p>
<w:p>
<w:pPr><w:pStyle w:val="Normal"/></w:pPr>
<w:r><w:t xml:space="preserve">includes the ancient Cilicia.  The mountain districts are rich</w:t></w:r>
</w:p>
<w:p>
<w:pPr><w:pStyle w:val="Normal"/></w:pPr>
<w:r><w:t xml:space="preserve">in unexploited mineral wealth, and the fertile coast-plain,</w:t></w:r>
</w:p>
<w:p>
<w:pPr><w:pStyle w:val="Normal"/></w:pPr>
<w:r><w:t xml:space="preserve">which produces cotton, rice, cereals, sugar and much fruit,</w:t></w:r>
</w:p>
<w:p>
<w:pPr><w:pStyle w:val="Normal"/></w:pPr>
<w:r><w:t xml:space="preserve">and affords abundant pasturage, is well watered by the rivers</w:t></w:r>
</w:p>
<w:p>
<w:pPr><w:pStyle w:val="Normal"/></w:pPr>
<w:r><w:t xml:space="preserve">that descend from the Taurus range.  Imports and exports pass</w:t></w:r>
</w:p>
<w:p>
<w:pPr><w:pStyle w:val="Normal"/></w:pPr>
<w:r><w:t xml:space="preserve">through Mersina (q.v.). (2) The chief town of the vilayet,</w:t></w:r>
</w:p>
<w:p>
<w:pPr><w:pStyle w:val="Normal"/></w:pPr>
<w:r><w:t xml:space="preserve">situated in the alluvial plain about 30 m. from the sea in</w:t></w:r>
</w:p>
<w:p>
<w:pPr><w:pStyle w:val="Normal"/></w:pPr>
<w:r><w:t xml:space="preserve">N. lat. 37 deg.  1&apos;, E. long. 35 deg.  18&apos;, on the right bank of</w:t></w:r>
</w:p>
<w:p>
<w:pPr><w:pStyle w:val="Normal"/></w:pPr>
<w:r><w:t xml:space="preserve">the Seihan (Sihun, anc.  Sarus), which is navigable by small</w:t></w:r>
</w:p>
<w:p>
<w:pPr><w:pStyle w:val="Normal"/></w:pPr>
<w:r><w:t xml:space="preserve">craft as far as the town.  Adana is connected with Tersus and</w:t></w:r>
</w:p>
<w:p>
<w:pPr><w:pStyle w:val="Normal"/></w:pPr>
<w:r><w:t xml:space="preserve">Mersina by a railway built in 1887, and has a magnificent stone</w:t></w:r>
</w:p>
<w:p>
<w:pPr><w:pStyle w:val="Normal"/></w:pPr>
<w:r><w:t xml:space="preserve">bridge, which carries the road to Missis and the east, and</w:t></w:r>
</w:p>
<w:p>
<w:pPr><w:pStyle w:val="Normal"/></w:pPr>
<w:r><w:t xml:space="preserve">dates in parts from the time of Justinian, but was restored</w:t></w:r>
</w:p>
<w:p>
<w:pPr><w:pStyle w:val="Normal"/></w:pPr>
<w:r><w:t xml:space="preserve">first in 743 A.D. and called Jisr al-Walid after the</w:t></w:r>
</w:p>
<w:p>
<w:pPr><w:pStyle w:val="Normal"/></w:pPr>
<w:r><w:t xml:space="preserve">Omayyad caliph of that name, and again in 840 hy the Caliph</w:t></w:r>
</w:p>
<w:p>
<w:pPr><w:pStyle w:val="Normal"/></w:pPr>
<w:r><w:t xml:space="preserve">Mutasim.  There are, also, a ruined castle founded by Harun</w:t></w:r>
</w:p>
<w:p>
<w:pPr><w:pStyle w:val="Normal"/></w:pPr>
<w:r><w:t xml:space="preserve">al-Rashid in 782, fine fountains, good buildings, river-side</w:t></w:r>
</w:p>
<w:p>
<w:pPr><w:pStyle w:val="Normal"/></w:pPr>
<w:r><w:t xml:space="preserve">quays, cotton mills and an American mission with church and</w:t></w:r>
</w:p>
<w:p>
<w:pPr><w:pStyle w:val="Normal"/></w:pPr>
<w:r><w:t xml:space="preserve">schools.  Adana, which retains its ancient name, rose to</w:t></w:r>
</w:p>
<w:p>
<w:pPr><w:pStyle w:val="Normal"/></w:pPr>
<w:r><w:t xml:space="preserve">importance as a station on the Roman military road to the East,</w:t></w:r>
</w:p>
<w:p>
<w:pPr><w:pStyle w:val="Normal"/></w:pPr>
<w:r><w:t xml:space="preserve">and was at one time a rival of Tarsus.  The town was largely</w:t></w:r>
</w:p>
<w:p>
<w:pPr><w:pStyle w:val="Normal"/></w:pPr>
<w:r><w:t xml:space="preserve">rebuilt by Mansur in 758, and during subsequent centuries</w:t></w:r>
</w:p>
<w:p>
<w:pPr><w:pStyle w:val="Normal"/></w:pPr>
<w:r><w:t xml:space="preserve">it often changed hands and suffered many vicissitudes.  Its</w:t></w:r>
</w:p>
<w:p>
<w:pPr><w:pStyle w:val="Normal"/></w:pPr>
<w:r><w:t xml:space="preserve">position, commanding the passage of the mountains to the north</w:t></w:r>
</w:p>
<w:p>
<w:pPr><w:pStyle w:val="Normal"/></w:pPr>
<w:r><w:t xml:space="preserve">of Syria, rendered it important as a military station in the</w:t></w:r>
</w:p>
<w:p>
<w:pPr><w:pStyle w:val="Normal"/></w:pPr>
<w:r><w:t xml:space="preserve">contest between the Egyptians and the Turks in 1832.  After the</w:t></w:r>
</w:p>
<w:p>
<w:pPr><w:pStyle w:val="Normal"/></w:pPr>
<w:r><w:t xml:space="preserve">defeat of the Turkish army at Konia it was granted to Ibrahim</w:t></w:r>
</w:p>
<w:p>
<w:pPr><w:pStyle w:val="Normal"/></w:pPr>
<w:r><w:t xml:space="preserve">Pasha, and though the firman announcing his appointment named</w:t></w:r>
</w:p>
<w:p>
<w:pPr><w:pStyle w:val="Normal"/></w:pPr>
<w:r><w:t xml:space="preserve">him only muhassil, or collector of the crown revenue, it</w:t></w:r>
</w:p>
<w:p>
<w:pPr><w:pStyle w:val="Normal"/></w:pPr>
<w:r><w:t xml:space="preserve">continued to be held by the Egyptians till the treaty of July</w:t></w:r>
</w:p>
<w:p>
<w:pPr><w:pStyle w:val="Normal"/></w:pPr>
<w:r><w:t xml:space="preserve">1840 restored it to the Porte.  The chief productions of the</w:t></w:r>
</w:p>
<w:p>
<w:pPr><w:pStyle w:val="Normal"/></w:pPr>
<w:r><w:t xml:space="preserve">province are cotton, corn, sesame and wool, which are largely</w:t></w:r>
</w:p>
<w:p>
<w:pPr><w:pStyle w:val="Normal"/></w:pPr>
<w:r><w:t xml:space="preserve">exported.  The population of the town is greatly mixed, and,</w:t></w:r>
</w:p>
<w:p>
<w:pPr><w:pStyle w:val="Normal"/></w:pPr>
<w:r><w:t xml:space="preserve">having a large element of nomads in it, varies much from time to</w:t></w:r>
</w:p>
<w:p>
<w:pPr><w:pStyle w:val="Normal"/></w:pPr>
<w:r><w:t xml:space="preserve">time.  At its maximum it reaches nearly 50,000. (D. G. H.)</w:t></w:r>
</w:p>
<w:p>
<w:pPr><w:pStyle w:val="Normal"/></w:pPr>
<w:r><w:t xml:space="preserve">ADANSON, MICHEL (1727-1806), French naturalist, of Scottish</w:t></w:r>
</w:p>
<w:p>
<w:pPr><w:pStyle w:val="Normal"/></w:pPr>
<w:r><w:t xml:space="preserve">descent, was born on the 7th of April 1727, at Aix, in</w:t></w:r>
</w:p>
<w:p>
<w:pPr><w:pStyle w:val="Normal"/></w:pPr>
<w:r><w:t xml:space="preserve">Provence.  After leaving the College Sainte Barbe in</w:t></w:r>
</w:p>
<w:p>
<w:pPr><w:pStyle w:val="Normal"/></w:pPr>
<w:r><w:t xml:space="preserve">Paris, he was employed in the cabinets of R. A. F. Reaumur</w:t></w:r>
</w:p>
<w:p>
<w:pPr><w:pStyle w:val="Normal"/></w:pPr>
<w:r><w:t xml:space="preserve">and Bernard de Jussieu, as well as in the Jardin des</w:t></w:r>
</w:p>
<w:p>
<w:pPr><w:pStyle w:val="Normal"/></w:pPr>
<w:r><w:t xml:space="preserve">Plantes.  At the end of 1748 he left France on an exploring</w:t></w:r>
</w:p>
<w:p>
<w:pPr><w:pStyle w:val="Normal"/></w:pPr>
<w:r><w:t xml:space="preserve">expedition to Senegal, which from the unhealthiness of its</w:t></w:r>
</w:p>
<w:p>
<w:pPr><w:pStyle w:val="Normal"/></w:pPr>
<w:r><w:t xml:space="preserve">climate was a terra incognita to naturalists.  His ardour</w:t></w:r>
</w:p>
<w:p>
<w:pPr><w:pStyle w:val="Normal"/></w:pPr>
<w:r><w:t xml:space="preserve">remained unabated during the five years of his residence in</w:t></w:r>
</w:p>
<w:p>
<w:pPr><w:pStyle w:val="Normal"/></w:pPr>
<w:r><w:t xml:space="preserve">Africa.  He collected and described, in greater or less detail,</w:t></w:r>
</w:p>
<w:p>
<w:pPr><w:pStyle w:val="Normal"/></w:pPr>
<w:r><w:t xml:space="preserve">an immense number of animals and plants; collected specimens</w:t></w:r>
</w:p>
<w:p>
<w:pPr><w:pStyle w:val="Normal"/></w:pPr>
<w:r><w:t xml:space="preserve">of every object of commerce; delineated maps of the country;</w:t></w:r>
</w:p>
<w:p>
<w:pPr><w:pStyle w:val="Normal"/></w:pPr>
<w:r><w:t xml:space="preserve">made systematic meteorological and astronomical observations;</w:t></w:r>
</w:p>
<w:p>
<w:pPr><w:pStyle w:val="Normal"/></w:pPr>
<w:r><w:t xml:space="preserve">and prepared grammars and dictionaries of the languages spoken</w:t></w:r>
</w:p>
<w:p>
<w:pPr><w:pStyle w:val="Normal"/></w:pPr>
<w:r><w:t xml:space="preserve">on the banks of the Senegal.  After his return to Paris in</w:t></w:r>
</w:p>
<w:p>
<w:pPr><w:pStyle w:val="Normal"/></w:pPr>
<w:r><w:t xml:space="preserve">1754 he made use of a small portion of the materials he had</w:t></w:r>
</w:p>
<w:p>
<w:pPr><w:pStyle w:val="Normal"/></w:pPr>
<w:r><w:t xml:space="preserve">collected in his Histoire naturelle du Senegal (Paris,</w:t></w:r>
</w:p>
<w:p>
<w:pPr><w:pStyle w:val="Normal"/></w:pPr>
<w:r><w:t xml:space="preserve">1757).  This work has a special interest from the essay on</w:t></w:r>
</w:p>
<w:p>
<w:pPr><w:pStyle w:val="Normal"/></w:pPr>
<w:r><w:t xml:space="preserve">shells, printed at the end of it, where Adanson proposed his</w:t></w:r>
</w:p>
<w:p>
<w:pPr><w:pStyle w:val="Normal"/></w:pPr>
<w:r><w:t xml:space="preserve">universal method, a system of classification distinct from</w:t></w:r>
</w:p>
<w:p>
<w:pPr><w:pStyle w:val="Normal"/></w:pPr>
<w:r><w:t xml:space="preserve">those of Buffon and Linnaeus.  He founded his classification</w:t></w:r>
</w:p>
<w:p>
<w:pPr><w:pStyle w:val="Normal"/></w:pPr>
<w:r><w:t xml:space="preserve">of all organized beings on the consideration of each individual</w:t></w:r>
</w:p>
<w:p>
<w:pPr><w:pStyle w:val="Normal"/></w:pPr>
<w:r><w:t xml:space="preserve">organ.  As each organ gave birth to new relations, so he</w:t></w:r>
</w:p>
<w:p>
<w:pPr><w:pStyle w:val="Normal"/></w:pPr>
<w:r><w:t xml:space="preserve">established a corresponding number of arbitrary arrangements.</w:t></w:r>
</w:p>
<w:p>
<w:pPr><w:pStyle w:val="Normal"/></w:pPr>
<w:r><w:t xml:space="preserve">Those beings possessing the greatest number of similar organs</w:t></w:r>
</w:p>
<w:p>
<w:pPr><w:pStyle w:val="Normal"/></w:pPr>
<w:r><w:t xml:space="preserve">were referred to one great division, and the relationship was</w:t></w:r>
</w:p>
<w:p>
<w:pPr><w:pStyle w:val="Normal"/></w:pPr>
<w:r><w:t xml:space="preserve">considered more remote in proportion to the dissimilarity of</w:t></w:r>
</w:p>
<w:p>
<w:pPr><w:pStyle w:val="Normal"/></w:pPr>
<w:r><w:t xml:space="preserve">organs.  In 1763 he published his Familles naturelles des</w:t></w:r>
</w:p>
<w:p>
<w:pPr><w:pStyle w:val="Normal"/></w:pPr>
<w:r><w:t xml:space="preserve">plantes. In this work he developed the principle of arrangement</w:t></w:r>
</w:p>
<w:p>
<w:pPr><w:pStyle w:val="Normal"/></w:pPr>
<w:r><w:t xml:space="preserve">above mentioned, which, in its adherence to natural botanical</w:t></w:r>
</w:p>
<w:p>
<w:pPr><w:pStyle w:val="Normal"/></w:pPr>
<w:r><w:t xml:space="preserve">relations, was based on the system of J. P. Tournefort, and</w:t></w:r>
</w:p>
<w:p>
<w:pPr><w:pStyle w:val="Normal"/></w:pPr>
<w:r><w:t xml:space="preserve">had been anticipated to some extent nearly a century before</w:t></w:r>
</w:p>
<w:p>
<w:pPr><w:pStyle w:val="Normal"/></w:pPr>
<w:r><w:t xml:space="preserve">by John Ray. The success of this work was hindered by its</w:t></w:r>
</w:p>
<w:p>
<w:pPr><w:pStyle w:val="Normal"/></w:pPr>
<w:r><w:t xml:space="preserve">innovations in the use of terms, which were ridiculed by</w:t></w:r>
</w:p>
<w:p>
<w:pPr><w:pStyle w:val="Normal"/></w:pPr>
<w:r><w:t xml:space="preserve">the defenders of the popular sexual system of Linnaeus; but</w:t></w:r>
</w:p>
<w:p>
<w:pPr><w:pStyle w:val="Normal"/></w:pPr>
<w:r><w:t xml:space="preserve">it did much to open the way for the establishment, by means</w:t></w:r>
</w:p>
<w:p>
<w:pPr><w:pStyle w:val="Normal"/></w:pPr>
<w:r><w:t xml:space="preserve">principally of A. L. de Jussieu&apos;s Genera Plantarum (1789),</w:t></w:r>
</w:p>
<w:p>
<w:pPr><w:pStyle w:val="Normal"/></w:pPr>
<w:r><w:t xml:space="preserve">of the natural method of the classification of plants.  In</w:t></w:r>
</w:p>
<w:p>
<w:pPr><w:pStyle w:val="Normal"/></w:pPr>
<w:r><w:t xml:space="preserve">1774 Adanson submitted to the consideration of the Academy of</w:t></w:r>
</w:p>
<w:p>
<w:pPr><w:pStyle w:val="Normal"/></w:pPr>
<w:r><w:t xml:space="preserve">Sciences an immense work, extending to all known beings and</w:t></w:r>
</w:p>
<w:p>
<w:pPr><w:pStyle w:val="Normal"/></w:pPr>
<w:r><w:t xml:space="preserve">substances.  It consisted of 27 large volumes of manuscript,</w:t></w:r>
</w:p>
<w:p>
<w:pPr><w:pStyle w:val="Normal"/></w:pPr>
<w:r><w:t xml:space="preserve">employed in displaying the general relations of all these</w:t></w:r>
</w:p>
<w:p>
<w:pPr><w:pStyle w:val="Normal"/></w:pPr>
<w:r><w:t xml:space="preserve">matters, and their distribution; 150 volumes more, occupied</w:t></w:r>
</w:p>
<w:p>
<w:pPr><w:pStyle w:val="Normal"/></w:pPr>
<w:r><w:t xml:space="preserve">with the alphabetical arrangement of 40,000 species; a</w:t></w:r>
</w:p>
<w:p>
<w:pPr><w:pStyle w:val="Normal"/></w:pPr>
<w:r><w:t xml:space="preserve">vocabulary, containing 200,000 words, with their explanations;</w:t></w:r>
</w:p>
<w:p>
<w:pPr><w:pStyle w:val="Normal"/></w:pPr>
<w:r><w:t xml:space="preserve">and a number of detached memoirs, 40,000 figures and 30,000</w:t></w:r>
</w:p>
<w:p>
<w:pPr><w:pStyle w:val="Normal"/></w:pPr>
<w:r><w:t xml:space="preserve">specimens of the three kingdoms of nature.  The committee</w:t></w:r>
</w:p>
<w:p>
<w:pPr><w:pStyle w:val="Normal"/></w:pPr>
<w:r><w:t xml:space="preserve">to which the inspection of this enormous mass was entrusted</w:t></w:r>
</w:p>
<w:p>
<w:pPr><w:pStyle w:val="Normal"/></w:pPr>
<w:r><w:t xml:space="preserve">strongly recommended Adanson to separate and publish all</w:t></w:r>
</w:p>
<w:p>
<w:pPr><w:pStyle w:val="Normal"/></w:pPr>
<w:r><w:t xml:space="preserve">that was peculiarly his own, leaving out what was merely</w:t></w:r>
</w:p>
<w:p>
<w:pPr><w:pStyle w:val="Normal"/></w:pPr>
<w:r><w:t xml:space="preserve">compilation.  He obstinately rejected this advice; and</w:t></w:r>
</w:p>
<w:p>
<w:pPr><w:pStyle w:val="Normal"/></w:pPr>
<w:r><w:t xml:space="preserve">the huge work, at which he continued to labour, was never</w:t></w:r>
</w:p>
<w:p>
<w:pPr><w:pStyle w:val="Normal"/></w:pPr>
<w:r><w:t xml:space="preserve">published.  He had been elected a member of the Academy</w:t></w:r>
</w:p>
<w:p>
<w:pPr><w:pStyle w:val="Normal"/></w:pPr>
<w:r><w:t xml:space="preserve">of Sciences in 1759, and he latterly subsisted on a small</w:t></w:r>
</w:p>
<w:p>
<w:pPr><w:pStyle w:val="Normal"/></w:pPr>
<w:r><w:t xml:space="preserve">pension it had conferred on him.  Of this he was deprived in</w:t></w:r>
</w:p>
<w:p>
<w:pPr><w:pStyle w:val="Normal"/></w:pPr>
<w:r><w:t xml:space="preserve">the dissolution of the Academy by the Constituent Assembly,</w:t></w:r>
</w:p>
<w:p>
<w:pPr><w:pStyle w:val="Normal"/></w:pPr>
<w:r><w:t xml:space="preserve">and was consequently reduced to such a depth of poverty as</w:t></w:r>
</w:p>
<w:p>
<w:pPr><w:pStyle w:val="Normal"/></w:pPr>
<w:r><w:t xml:space="preserve">to be unable to appear before the French Institute when it</w:t></w:r>
</w:p>
<w:p>
<w:pPr><w:pStyle w:val="Normal"/></w:pPr>
<w:r><w:t xml:space="preserve">invited him to take his place among its members.  Afterwards</w:t></w:r>
</w:p>
<w:p>
<w:pPr><w:pStyle w:val="Normal"/></w:pPr>
<w:r><w:t xml:space="preserve">he was granted a pension sufficient to relieve his simple</w:t></w:r>
</w:p>
<w:p>
<w:pPr><w:pStyle w:val="Normal"/></w:pPr>
<w:r><w:t xml:space="preserve">wants.  He died at Paris after months of severe suffering, on</w:t></w:r>
</w:p>
<w:p>
<w:pPr><w:pStyle w:val="Normal"/></w:pPr>
<w:r><w:t xml:space="preserve">the 3rd of August 1806, requesting, as the only decoration of</w:t></w:r>
</w:p>
<w:p>
<w:pPr><w:pStyle w:val="Normal"/></w:pPr>
<w:r><w:t xml:space="preserve">his grave, a garland of flowers gathered from the fifty-eight</w:t></w:r>
</w:p>
<w:p>
<w:pPr><w:pStyle w:val="Normal"/></w:pPr>
<w:r><w:t xml:space="preserve">families he had differentiated--``a touching though transitory</w:t></w:r>
</w:p>
<w:p>
<w:pPr><w:pStyle w:val="Normal"/></w:pPr>
<w:r><w:t xml:space="preserve">image,&apos;&apos; says Cuvier, ``of the more durable monument which</w:t></w:r>
</w:p>
<w:p>
<w:pPr><w:pStyle w:val="Normal"/></w:pPr>
<w:r><w:t xml:space="preserve">he has erected to himself in his works.&apos;&apos; Besides the books</w:t></w:r>
</w:p>
<w:p>
<w:pPr><w:pStyle w:val="Normal"/></w:pPr>
<w:r><w:t xml:space="preserve">already mentioned he published papers on the ship-worm, the</w:t></w:r>
</w:p>
<w:p>
<w:pPr><w:pStyle w:val="Normal"/></w:pPr>
<w:r><w:t xml:space="preserve">baobab tree, the Adansonia digitata of Linnaeus, the origin</w:t></w:r>
</w:p>
<w:p>
<w:pPr><w:pStyle w:val="Normal"/></w:pPr>
<w:r><w:t xml:space="preserve">of the varieties of cultivated plants, and gum-producing trees.</w:t></w:r>
</w:p>
<w:p>
<w:pPr><w:pStyle w:val="Normal"/></w:pPr>
<w:r><w:t xml:space="preserve">ADAPTATION (from Lat. adaptare, to fit to), a process of</w:t></w:r>
</w:p>
<w:p>
<w:pPr><w:pStyle w:val="Normal"/></w:pPr>
<w:r><w:t xml:space="preserve">fitting, or modifying, a thing to other uses, and so altering</w:t></w:r>
</w:p>
<w:p>
<w:pPr><w:pStyle w:val="Normal"/></w:pPr>
<w:r><w:t xml:space="preserve">its form or original purpose.  In literature there may be,</w:t></w:r>
</w:p>
<w:p>
<w:pPr><w:pStyle w:val="Normal"/></w:pPr>
<w:r><w:t xml:space="preserve">e.g., an adaptation of a novel for a drama, or in music an</w:t></w:r>
</w:p>
<w:p>
<w:pPr><w:pStyle w:val="Normal"/></w:pPr>
<w:r><w:t xml:space="preserve">arrangement of a piece for two hands into one for four, &amp;c. In</w:t></w:r>
</w:p>
<w:p>
<w:pPr><w:pStyle w:val="Normal"/></w:pPr>
<w:r><w:t xml:space="preserve">biology, according to the doctrine of evolution, adaptation</w:t></w:r>
</w:p>
<w:p>
<w:pPr><w:pStyle w:val="Normal"/></w:pPr>
<w:r><w:t xml:space="preserve">plays a prominent part as the process by which an organism or</w:t></w:r>
</w:p>
<w:p>
<w:pPr><w:pStyle w:val="Normal"/></w:pPr>
<w:r><w:t xml:space="preserve">species of organisms becomes modified to suit the conditions</w:t></w:r>
</w:p>
<w:p>
<w:pPr><w:pStyle w:val="Normal"/></w:pPr>
<w:r><w:t xml:space="preserve">of its life.  Every change in a living organism involves</w:t></w:r>
</w:p>
<w:p>
<w:pPr><w:pStyle w:val="Normal"/></w:pPr>
<w:r><w:t xml:space="preserve">adaptation; for in all cases life consists in a continuous</w:t></w:r>
</w:p>
<w:p>
<w:pPr><w:pStyle w:val="Normal"/></w:pPr>
<w:r><w:t xml:space="preserve">adjustment of internal to external relations.  Every living</w:t></w:r>
</w:p>
<w:p>
<w:pPr><w:pStyle w:val="Normal"/></w:pPr>
<w:r><w:t xml:space="preserve">organism reacts to its environment; if the reaction is</w:t></w:r>
</w:p>
<w:p>
<w:pPr><w:pStyle w:val="Normal"/></w:pPr>
<w:r><w:t xml:space="preserve">unfavourable, disability leading to ultimate extinction is the</w:t></w:r>
</w:p>
<w:p>
<w:pPr><w:pStyle w:val="Normal"/></w:pPr>
<w:r><w:t xml:space="preserve">result.  If the reaction is favourable, its result is called an</w:t></w:r>
</w:p>
<w:p>
<w:pPr><w:pStyle w:val="Normal"/></w:pPr>
<w:r><w:t xml:space="preserve">adaptation.  How far such adaptations are produced afresh in</w:t></w:r>
</w:p>
<w:p>
<w:pPr><w:pStyle w:val="Normal"/></w:pPr>
<w:r><w:t xml:space="preserve">each generation, whether or no their effects are transmitted</w:t></w:r>
</w:p>
<w:p>
<w:pPr><w:pStyle w:val="Normal"/></w:pPr>
<w:r><w:t xml:space="preserve">to descendants and so directly modify the stock, to what extent</w:t></w:r>
</w:p>
<w:p>
<w:pPr><w:pStyle w:val="Normal"/></w:pPr>
<w:r><w:t xml:space="preserve">adaptations characteristic of a species or variety have come</w:t></w:r>
</w:p>
<w:p>
<w:pPr><w:pStyle w:val="Normal"/></w:pPr>
<w:r><w:t xml:space="preserve">about by selection of individuals capable, in each generation,</w:t></w:r>
</w:p>
<w:p>
<w:pPr><w:pStyle w:val="Normal"/></w:pPr>
<w:r><w:t xml:space="preserve">of responding favourably, or how far by the selection of</w:t></w:r>
</w:p>
<w:p>
<w:pPr><w:pStyle w:val="Normal"/></w:pPr>
<w:r><w:t xml:space="preserve">individuals fortuitously suitable to the environment, or, how</w:t></w:r>
</w:p>
<w:p>
<w:pPr><w:pStyle w:val="Normal"/></w:pPr>
<w:r><w:t xml:space="preserve">far, possibly by the inheritance of the responses to the</w:t></w:r>
</w:p>
<w:p>
<w:pPr><w:pStyle w:val="Normal"/></w:pPr>
<w:r><w:t xml:space="preserve">environment, are problems of biology not yet definitely solved.</w:t></w:r>
</w:p>
<w:p>
<w:pPr><w:pStyle w:val="Normal"/></w:pPr>
<w:r><w:t xml:space="preserve">ADDA (anc. Addua), a river of North Italy.  Its true</w:t></w:r>
</w:p>
<w:p>
<w:pPr><w:pStyle w:val="Normal"/></w:pPr>
<w:r><w:t xml:space="preserve">source is in some small lakes near the head of the Fraele</w:t></w:r>
</w:p>
<w:p>
<w:pPr><w:pStyle w:val="Normal"/></w:pPr>
<w:r><w:t xml:space="preserve">glen, but its volume is increased by the union with several</w:t></w:r>
</w:p>
<w:p>
<w:pPr><w:pStyle w:val="Normal"/></w:pPr>
<w:r><w:t xml:space="preserve">smaller streams, near the town of Bormio, at the Raetian</w:t></w:r>
</w:p>
<w:p>
<w:pPr><w:pStyle w:val="Normal"/></w:pPr>
<w:r><w:t xml:space="preserve">Alps.  Thence it flows first S.W., then due W., through</w:t></w:r>
</w:p>
<w:p>
<w:pPr><w:pStyle w:val="Normal"/></w:pPr>
<w:r><w:t xml:space="preserve">the fertile Valtellina (q.v.), passing Tirano, where the</w:t></w:r>
</w:p>
<w:p>
<w:pPr><w:pStyle w:val="Normal"/></w:pPr>
<w:r><w:t xml:space="preserve">Poschiavino falls in on the right, and Sondrio, where is</w:t></w:r>
</w:p>
<w:p>
<w:pPr><w:pStyle w:val="Normal"/></w:pPr>
<w:r><w:t xml:space="preserve">the junction with the Malero, right.  It falls into the</w:t></w:r>
</w:p>
<w:p>
<w:pPr><w:pStyle w:val="Normal"/></w:pPr>
<w:r><w:t xml:space="preserve">Lake of Como, at its northern end, and mainly forms that</w:t></w:r>
</w:p>
<w:p>
<w:pPr><w:pStyle w:val="Normal"/></w:pPr>
<w:r><w:t xml:space="preserve">fake.  On issuing from its south-eastern or Lecco arm, it</w:t></w:r>
</w:p>
<w:p>
<w:pPr><w:pStyle w:val="Normal"/></w:pPr>
<w:r><w:t xml:space="preserve">crosses the plain of Lombardy, and finally, after a course</w:t></w:r>
</w:p>
<w:p>
<w:pPr><w:pStyle w:val="Normal"/></w:pPr>
<w:r><w:t xml:space="preserve">of about 150 m., joins the Po, 8 m. above Cremona.  The lower</w:t></w:r>
</w:p>
<w:p>
<w:pPr><w:pStyle w:val="Normal"/></w:pPr>
<w:r><w:t xml:space="preserve">course of the Adda was formerly the boundary between the</w:t></w:r>
</w:p>
<w:p>
<w:pPr><w:pStyle w:val="Normal"/></w:pPr>
<w:r><w:t xml:space="preserve">territories of Venice and of Milan; and on its banks several</w:t></w:r>
</w:p>
<w:p>
<w:pPr><w:pStyle w:val="Normal"/></w:pPr>
<w:r><w:t xml:space="preserve">important battles have been fought, notably that of Lodi,</w:t></w:r>
</w:p>
<w:p>
<w:pPr><w:pStyle w:val="Normal"/></w:pPr>
<w:r><w:t xml:space="preserve">where Napoleon defeated the Austrians in 1796. (W. A. B. C.)</w:t></w:r>
</w:p>
<w:p>
<w:pPr><w:pStyle w:val="Normal"/></w:pPr>
<w:r><w:t xml:space="preserve">ADDAMS, JANE (1860- ), American sociologist, was born at</w:t></w:r>
</w:p>
<w:p>
<w:pPr><w:pStyle w:val="Normal"/></w:pPr>
<w:r><w:t xml:space="preserve">Cedarville, Illinois, on the 6th of September 1860.  After</w:t></w:r>
</w:p>
<w:p>
<w:pPr><w:pStyle w:val="Normal"/></w:pPr>
<w:r><w:t xml:space="preserve">graduating at Rockford (Illinois) Female Seminary (now</w:t></w:r>
</w:p>
<w:p>
<w:pPr><w:pStyle w:val="Normal"/></w:pPr>
<w:r><w:t xml:space="preserve">Rockford College) in 1881, she spent several years in the</w:t></w:r>
</w:p>
<w:p>
<w:pPr><w:pStyle w:val="Normal"/></w:pPr>
<w:r><w:t xml:space="preserve">study of economic and sociological questions in both Europe and</w:t></w:r>
</w:p>
<w:p>
<w:pPr><w:pStyle w:val="Normal"/></w:pPr>
<w:r><w:t xml:space="preserve">America, and in 1889 with Miss Ellen Gates Starr established</w:t></w:r>
</w:p>
<w:p>
<w:pPr><w:pStyle w:val="Normal"/></w:pPr>
<w:r><w:t xml:space="preserve">in Chicago, Illinois, the social settlement known as Hull</w:t></w:r>
</w:p>
<w:p>
<w:pPr><w:pStyle w:val="Normal"/></w:pPr>
<w:r><w:t xml:space="preserve">House, of which she became the head-worker.  The success of</w:t></w:r>
</w:p>
<w:p>
<w:pPr><w:pStyle w:val="Normal"/></w:pPr>
<w:r><w:t xml:space="preserve">this settlement, which became a great factor for good in the</w:t></w:r>
</w:p>
<w:p>
<w:pPr><w:pStyle w:val="Normal"/></w:pPr>
<w:r><w:t xml:space="preserve">city, was principally due to Miss Addams&apos;s rare executive</w:t></w:r>
</w:p>
<w:p>
<w:pPr><w:pStyle w:val="Normal"/></w:pPr>
<w:r><w:t xml:space="preserve">skill and practical common-sense methods.  Her personal</w:t></w:r>
</w:p>
<w:p>
<w:pPr><w:pStyle w:val="Normal"/></w:pPr>
<w:r><w:t xml:space="preserve">participation in the life of the community is exemplified</w:t></w:r>
</w:p>
<w:p>
<w:pPr><w:pStyle w:val="Normal"/></w:pPr>
<w:r><w:t xml:space="preserve">in her acceptance of the office of inspector of streets and</w:t></w:r>
</w:p>
<w:p>
<w:pPr><w:pStyle w:val="Normal"/></w:pPr>
<w:r><w:t xml:space="preserve">alleys under the municipal government.  She became widely</w:t></w:r>
</w:p>
<w:p>
<w:pPr><w:pStyle w:val="Normal"/></w:pPr>
<w:r><w:t xml:space="preserve">known as a lecturer and writer on social problems and published</w:t></w:r>
</w:p>
<w:p>
<w:pPr><w:pStyle w:val="Normal"/></w:pPr>
<w:r><w:t xml:space="preserve">Democracy and Social Ethics (1902), Newer Ideals of Peace</w:t></w:r>
</w:p>
<w:p>
<w:pPr><w:pStyle w:val="Normal"/></w:pPr>
<w:r><w:t xml:space="preserve">(1907), and The Spirit of Youth and the City Streets (1909).</w:t></w:r>
</w:p>
<w:p>
<w:pPr><w:pStyle w:val="Normal"/></w:pPr>
<w:r><w:t xml:space="preserve">ADDAX, a genus of antelopes, with one species (A.</w:t></w:r>
</w:p>
<w:p>
<w:pPr><w:pStyle w:val="Normal"/></w:pPr>
<w:r><w:t xml:space="preserve">nasomaculatus) from North Africa and Arabia.  It is a little</w:t></w:r>
</w:p>
<w:p>
<w:pPr><w:pStyle w:val="Normal"/></w:pPr>
<w:r><w:t xml:space="preserve">over 3 ft. high, yellowish white in colour, with a brown mane</w:t></w:r>
</w:p>
<w:p>
<w:pPr><w:pStyle w:val="Normal"/></w:pPr>
<w:r><w:t xml:space="preserve">and a fringe of the same hue on the throat.  Both sexes carry</w:t></w:r>
</w:p>
<w:p>
<w:pPr><w:pStyle w:val="Normal"/></w:pPr>
<w:r><w:t xml:space="preserve">horns, which are ringed and form an open spiral.  The addax</w:t></w:r>
</w:p>
<w:p>
<w:pPr><w:pStyle w:val="Normal"/></w:pPr>
<w:r><w:t xml:space="preserve">is a desert antelope, and in habits probably resembles the</w:t></w:r>
</w:p>
<w:p>
<w:pPr><w:pStyle w:val="Normal"/></w:pPr>
<w:r><w:t xml:space="preserve">gemsbuck.  It is hunted by the Arabs for its flesh and to test</w:t></w:r>
</w:p>
<w:p>
<w:pPr><w:pStyle w:val="Normal"/></w:pPr>
<w:r><w:t xml:space="preserve">the speed of their horses and greyhounds; it is during these</w:t></w:r>
</w:p>
<w:p>
<w:pPr><w:pStyle w:val="Normal"/></w:pPr>
<w:r><w:t xml:space="preserve">hunting parties that the young are captured for menagerie purposes.</w:t></w:r>
</w:p>
<w:p>
<w:pPr><w:pStyle w:val="Normal"/></w:pPr>
<w:r><w:t xml:space="preserve">ADDER, a name for the common viper ( Vipera cevus), ranging</w:t></w:r>
</w:p>
<w:p>
<w:pPr><w:pStyle w:val="Normal"/></w:pPr>
<w:r><w:t xml:space="preserve">from Wales to Saghalien island, and from Caithness to the north</w:t></w:r>
</w:p>
<w:p>
<w:pPr><w:pStyle w:val="Normal"/></w:pPr>
<w:r><w:t xml:space="preserve">of Spain.  The puff-adder (Bitis s.  Echidna arietans) of</w:t></w:r>
</w:p>
<w:p>
<w:pPr><w:pStyle w:val="Normal"/></w:pPr>
<w:r><w:t xml:space="preserve">nearly the whole of Africa, and the death-adder (Acanthophis</w:t></w:r>
</w:p>
<w:p>
<w:pPr><w:pStyle w:val="Normal"/></w:pPr>
<w:r><w:t xml:space="preserve">antarcticus) from Australia to the Moluccas, are both very</w:t></w:r>
</w:p>
<w:p>
<w:pPr><w:pStyle w:val="Normal"/></w:pPr>
<w:r><w:t xml:space="preserve">poisonous (see VIPER). The word was in Old Eng. noedre,</w:t></w:r>
</w:p>
<w:p>
<w:pPr><w:pStyle w:val="Normal"/></w:pPr>
<w:r><w:t xml:space="preserve">later nadder or naddre; in the 14th century ``a nadder&apos;&apos;</w:t></w:r>
</w:p>
<w:p>
<w:pPr><w:pStyle w:val="Normal"/></w:pPr>
<w:r><w:t xml:space="preserve">was, like ``a napron,&apos;&apos; wrongly divided into ``an adder.&apos;&apos; It</w:t></w:r>
</w:p>
<w:p>
<w:pPr><w:pStyle w:val="Normal"/></w:pPr>
<w:r><w:t xml:space="preserve">appears with the generic meaning of ``serpent&apos;&apos; in the older</w:t></w:r>
</w:p>
<w:p>
<w:pPr><w:pStyle w:val="Normal"/></w:pPr>
<w:r><w:t xml:space="preserve">forms of many Teutonic languages, cf.  Old High Ger. natra;</w:t></w:r>
</w:p>
<w:p>
<w:pPr><w:pStyle w:val="Normal"/></w:pPr>
<w:r><w:t xml:space="preserve">Goth. nadrs. It is thus used in the Old Eng. version of</w:t></w:r>
</w:p>
<w:p>
<w:pPr><w:pStyle w:val="Normal"/></w:pPr>
<w:r><w:t xml:space="preserve">the Scriptures for the devil, the ``serpent&apos;&apos; of Genesis.</w:t></w:r>
</w:p>
<w:p>
<w:pPr><w:pStyle w:val="Normal"/></w:pPr>
<w:r><w:t xml:space="preserve">ADDISON, JOSEPH (1672-1719), English essayist, poet and</w:t></w:r>
</w:p>
<w:p>
<w:pPr><w:pStyle w:val="Normal"/></w:pPr>
<w:r><w:t xml:space="preserve">man of letters, eldest son of Lancelot Addison, later dean of</w:t></w:r>
</w:p>
<w:p>
<w:pPr><w:pStyle w:val="Normal"/></w:pPr>
<w:r><w:t xml:space="preserve">Lichfield, was born at his father&apos;s rectory of Milston in</w:t></w:r>
</w:p>
<w:p>
<w:pPr><w:pStyle w:val="Normal"/></w:pPr>
<w:r><w:t xml:space="preserve">Wiltshire, on the 1st of May 1672.  After having passed through</w:t></w:r>
</w:p>
<w:p>
<w:pPr><w:pStyle w:val="Normal"/></w:pPr>
<w:r><w:t xml:space="preserve">several schools, the last of which was the Charterhouse, he</w:t></w:r>
</w:p>
<w:p>
<w:pPr><w:pStyle w:val="Normal"/></w:pPr>
<w:r><w:t xml:space="preserve">went to Oxford when he was about fifteen years old.  He was</w:t></w:r>
</w:p>
<w:p>
<w:pPr><w:pStyle w:val="Normal"/></w:pPr>
<w:r><w:t xml:space="preserve">first entered a commoner of Queen&apos;s College, but after two</w:t></w:r>
</w:p>
<w:p>
<w:pPr><w:pStyle w:val="Normal"/></w:pPr>
<w:r><w:t xml:space="preserve">years was elected to a demyship of Magdalen College, having</w:t></w:r>
</w:p>
<w:p>
<w:pPr><w:pStyle w:val="Normal"/></w:pPr>
<w:r><w:t xml:space="preserve">been recommended by his skill in Latin versification.  He</w:t></w:r>
</w:p>
<w:p>
<w:pPr><w:pStyle w:val="Normal"/></w:pPr>
<w:r><w:t xml:space="preserve">took his master&apos;s degree in 1693, and subsequently obtained</w:t></w:r>
</w:p>
<w:p>
<w:pPr><w:pStyle w:val="Normal"/></w:pPr>
<w:r><w:t xml:space="preserve">a fellowship which he held until 1711.  His first literary</w:t></w:r>
</w:p>
<w:p>
<w:pPr><w:pStyle w:val="Normal"/></w:pPr>
<w:r><w:t xml:space="preserve">efforts were poetical, and, after the fashion of his day, in</w:t></w:r>
</w:p>
<w:p>
<w:pPr><w:pStyle w:val="Normal"/></w:pPr>
<w:r><w:t xml:space="preserve">Latin.  Many of these are preserved in the Musae Anglicanae</w:t></w:r>
</w:p>
<w:p>
<w:pPr><w:pStyle w:val="Normal"/></w:pPr>
<w:r><w:t xml:space="preserve">(1691-1699), and obtained academic commendation from academic</w:t></w:r>
</w:p>
<w:p>
<w:pPr><w:pStyle w:val="Normal"/></w:pPr>
<w:r><w:t xml:space="preserve">sources.  But it was a poem in the third volume of Dryden&apos;s</w:t></w:r>
</w:p>
<w:p>
<w:pPr><w:pStyle w:val="Normal"/></w:pPr>
<w:r><w:t xml:space="preserve">Miscellanies, followed in the next series by a translation</w:t></w:r>
</w:p>
<w:p>
<w:pPr><w:pStyle w:val="Normal"/></w:pPr>
<w:r><w:t xml:space="preserve">of the fourth Georgic, which brought about his introduction</w:t></w:r>
</w:p>
<w:p>
<w:pPr><w:pStyle w:val="Normal"/></w:pPr>
<w:r><w:t xml:space="preserve">to Tonson the bookseller, and (probably through Tonson) to Lord</w:t></w:r>
</w:p>
<w:p>
<w:pPr><w:pStyle w:val="Normal"/></w:pPr>
<w:r><w:t xml:space="preserve">Somers and Charles Montagu.  To both of these distinguished</w:t></w:r>
</w:p>
<w:p>
<w:pPr><w:pStyle w:val="Normal"/></w:pPr>
<w:r><w:t xml:space="preserve">persons he contrived to commend himself by An Account of the</w:t></w:r>
</w:p>
<w:p>
<w:pPr><w:pStyle w:val="Normal"/></w:pPr>
<w:r><w:t xml:space="preserve">Greatest English Poets (1694), An Address to King William</w:t></w:r>
</w:p>
<w:p>
<w:pPr><w:pStyle w:val="Normal"/></w:pPr>
<w:r><w:t xml:space="preserve">(1695), after Namur, and a Latin poem entitled Pax Gulielmi</w:t></w:r>
</w:p>
<w:p>
<w:pPr><w:pStyle w:val="Normal"/></w:pPr>
<w:r><w:t xml:space="preserve">(1697), on the peace of Ryswick, with the result that in 1699</w:t></w:r>
</w:p>
<w:p>
<w:pPr><w:pStyle w:val="Normal"/></w:pPr>
<w:r><w:t xml:space="preserve">he obtained a pension of L. 300 a year, to enable him (as he</w:t></w:r>
</w:p>
<w:p>
<w:pPr><w:pStyle w:val="Normal"/></w:pPr>
<w:r><w:t xml:space="preserve">afterwards said in a memorial addressed to the crown) ``to</w:t></w:r>
</w:p>
<w:p>
<w:pPr><w:pStyle w:val="Normal"/></w:pPr>
<w:r><w:t xml:space="preserve">travel and qualify himself to serve his Majesty.&apos;&apos; In the</w:t></w:r>
</w:p>
<w:p>
<w:pPr><w:pStyle w:val="Normal"/></w:pPr>
<w:r><w:t xml:space="preserve">summer of 1699 he crossed into France, where, chiefly for</w:t></w:r>
</w:p>
<w:p>
<w:pPr><w:pStyle w:val="Normal"/></w:pPr>
<w:r><w:t xml:space="preserve">the purpose of learning the language, he remained till the</w:t></w:r>
</w:p>
<w:p>
<w:pPr><w:pStyle w:val="Normal"/></w:pPr>
<w:r><w:t xml:space="preserve">end of 1700; and after this he spent a year in Italy.  In</w:t></w:r>
</w:p>
<w:p>
<w:pPr><w:pStyle w:val="Normal"/></w:pPr>
<w:r><w:t xml:space="preserve">Switzerland, on his way home, he was stopped by receiving</w:t></w:r>
</w:p>
<w:p>
<w:pPr><w:pStyle w:val="Normal"/></w:pPr>
<w:r><w:t xml:space="preserve">notice that he was to attend the army under Prince Eugene,</w:t></w:r>
</w:p>
<w:p>
<w:pPr><w:pStyle w:val="Normal"/></w:pPr>
<w:r><w:t xml:space="preserve">then engaged in the war in Italy, as secretary from the</w:t></w:r>
</w:p>
<w:p>
<w:pPr><w:pStyle w:val="Normal"/></w:pPr>
<w:r><w:t xml:space="preserve">king.  But his Whig friends were already tottering in their</w:t></w:r>
</w:p>
<w:p>
<w:pPr><w:pStyle w:val="Normal"/></w:pPr>
<w:r><w:t xml:space="preserve">places; and in March 1702 the death of King William at once drove</w:t></w:r>
</w:p>
<w:p>
<w:pPr><w:pStyle w:val="Normal"/></w:pPr>
<w:r><w:t xml:space="preserve">them from power and put an end to the pension.  Indeed Addison</w:t></w:r>
</w:p>
<w:p>
<w:pPr><w:pStyle w:val="Normal"/></w:pPr>
<w:r><w:t xml:space="preserve">asserted that he never received but one year&apos;s payment of it,</w:t></w:r>
</w:p>
<w:p>
<w:pPr><w:pStyle w:val="Normal"/></w:pPr>
<w:r><w:t xml:space="preserve">and that all the other expenses of his travels were defrayed by</w:t></w:r>
</w:p>
<w:p>
<w:pPr><w:pStyle w:val="Normal"/></w:pPr>
<w:r><w:t xml:space="preserve">himself.  He was able, however, to visit a great part of</w:t></w:r>
</w:p>
<w:p>
<w:pPr><w:pStyle w:val="Normal"/></w:pPr>
<w:r><w:t xml:space="preserve">Germany, and did not reach Holland till the spring of 1703.  His</w:t></w:r>
</w:p>
<w:p>
<w:pPr><w:pStyle w:val="Normal"/></w:pPr>
<w:r><w:t xml:space="preserve">prospects were now sufficiently gloomy: he entered into treaty,</w:t></w:r>
</w:p>
<w:p>
<w:pPr><w:pStyle w:val="Normal"/></w:pPr>
<w:r><w:t xml:space="preserve">oftener than once, for an engagement as a travelling tutor;</w:t></w:r>
</w:p>
<w:p>
<w:pPr><w:pStyle w:val="Normal"/></w:pPr>
<w:r><w:t xml:space="preserve">and the correspondence in one of these negotiations has been</w:t></w:r>
</w:p>
<w:p>
<w:pPr><w:pStyle w:val="Normal"/></w:pPr>
<w:r><w:t xml:space="preserve">preserved.  Tonson had recommended him as the best person</w:t></w:r>
</w:p>
<w:p>
<w:pPr><w:pStyle w:val="Normal"/></w:pPr>
<w:r><w:t xml:space="preserve">to attend in this character Lord Hertford, the son of the</w:t></w:r>
</w:p>
<w:p>
<w:pPr><w:pStyle w:val="Normal"/></w:pPr>
<w:r><w:t xml:space="preserve">duke of Somerset, commonly called ``The Proud.&apos;&apos; The duke, a</w:t></w:r>
</w:p>
<w:p>
<w:pPr><w:pStyle w:val="Normal"/></w:pPr>
<w:r><w:t xml:space="preserve">profuse man in matters of pomp, was economical in questions of</w:t></w:r>
</w:p>
<w:p>
<w:pPr><w:pStyle w:val="Normal"/></w:pPr>
<w:r><w:t xml:space="preserve">education.  He wished Addison to name the salary he expected;</w:t></w:r>
</w:p>
<w:p>
<w:pPr><w:pStyle w:val="Normal"/></w:pPr>
<w:r><w:t xml:space="preserve">this being declined, he announced, with great dignity, that</w:t></w:r>
</w:p>
<w:p>
<w:pPr><w:pStyle w:val="Normal"/></w:pPr>
<w:r><w:t xml:space="preserve">in addition to travelling expenses he would give a hundred</w:t></w:r>
</w:p>
<w:p>
<w:pPr><w:pStyle w:val="Normal"/></w:pPr>
<w:r><w:t xml:space="preserve">guineas a year; Addison accepted the munificent offer, saying,</w:t></w:r>
</w:p>
<w:p>
<w:pPr><w:pStyle w:val="Normal"/></w:pPr>
<w:r><w:t xml:space="preserve">however, that he could not find his account in it otherwise</w:t></w:r>
</w:p>
<w:p>
<w:pPr><w:pStyle w:val="Normal"/></w:pPr>
<w:r><w:t xml:space="preserve">than by relying on his Grace&apos;s future patronage; and his Grace</w:t></w:r>
</w:p>
<w:p>
<w:pPr><w:pStyle w:val="Normal"/></w:pPr>
<w:r><w:t xml:space="preserve">immediately intimated that he would look out for some one</w:t></w:r>
</w:p>
<w:p>
<w:pPr><w:pStyle w:val="Normal"/></w:pPr>
<w:r><w:t xml:space="preserve">else.  In the autumn of 1703 Addison returned to England.</w:t></w:r>
</w:p>
<w:p>
<w:pPr><w:pStyle w:val="Normal"/></w:pPr>
<w:r><w:t xml:space="preserve">The works which belong to his residence on the continent were the</w:t></w:r>
</w:p>
<w:p>
<w:pPr><w:pStyle w:val="Normal"/></w:pPr>
<w:r><w:t xml:space="preserve">earliest that showed hm to have attained maturity of skill and</w:t></w:r>
</w:p>
<w:p>
<w:pPr><w:pStyle w:val="Normal"/></w:pPr>
<w:r><w:t xml:space="preserve">genius.  There is good reason for believing that his tragedy of</w:t></w:r>
</w:p>
<w:p>
<w:pPr><w:pStyle w:val="Normal"/></w:pPr>
<w:r><w:t xml:space="preserve">Cato, whatever changes it may afterwards have suffered, was</w:t></w:r>
</w:p>
<w:p>
<w:pPr><w:pStyle w:val="Normal"/></w:pPr>
<w:r><w:t xml:space="preserve">in great part written while he lived in France, that is, when</w:t></w:r>
</w:p>
<w:p>
<w:pPr><w:pStyle w:val="Normal"/></w:pPr>
<w:r><w:t xml:space="preserve">he was about twenty-eight years of age.  In the winter of 1701,</w:t></w:r>
</w:p>
<w:p>
<w:pPr><w:pStyle w:val="Normal"/></w:pPr>
<w:r><w:t xml:space="preserve">amidst the stoppages and discomforts of a journey across Mt.</w:t></w:r>
</w:p>
<w:p>
<w:pPr><w:pStyle w:val="Normal"/></w:pPr>
<w:r><w:t xml:space="preserve">Cenis, he composed, wholly or partly, his rhymed Letter from</w:t></w:r>
</w:p>
<w:p>
<w:pPr><w:pStyle w:val="Normal"/></w:pPr>
<w:r><w:t xml:space="preserve">Italy to Charles Montagu.  This contains some fine touches</w:t></w:r>
</w:p>
<w:p>
<w:pPr><w:pStyle w:val="Normal"/></w:pPr>
<w:r><w:t xml:space="preserve">of description, and is animated by a noble tone of classical</w:t></w:r>
</w:p>
<w:p>
<w:pPr><w:pStyle w:val="Normal"/></w:pPr>
<w:r><w:t xml:space="preserve">enthusiasm.  While in Germany he wrote his Dialogues on</w:t></w:r>
</w:p>
<w:p>
<w:pPr><w:pStyle w:val="Normal"/></w:pPr>
<w:r><w:t xml:space="preserve">Medals, which, however, were not published till after his</w:t></w:r>
</w:p>
<w:p>
<w:pPr><w:pStyle w:val="Normal"/></w:pPr>
<w:r><w:t xml:space="preserve">death.  These have much liveliness of style and something of</w:t></w:r>
</w:p>
<w:p>
<w:pPr><w:pStyle w:val="Normal"/></w:pPr>
<w:r><w:t xml:space="preserve">the gay humour which the author was afterwards to exhibit more</w:t></w:r>
</w:p>
<w:p>
<w:pPr><w:pStyle w:val="Normal"/></w:pPr>
<w:r><w:t xml:space="preserve">strongly; but they show little either of antiquarian learning</w:t></w:r>
</w:p>
<w:p>
<w:pPr><w:pStyle w:val="Normal"/></w:pPr>
<w:r><w:t xml:space="preserve">or of critical ingenuity.  In tracing out parallels between</w:t></w:r>
</w:p>
<w:p>
<w:pPr><w:pStyle w:val="Normal"/></w:pPr>
<w:r><w:t xml:space="preserve">passages of the Roman poets and figures or scenes which appear</w:t></w:r>
</w:p>
<w:p>
<w:pPr><w:pStyle w:val="Normal"/></w:pPr>
<w:r><w:t xml:space="preserve">in ancient sculptures, Addison opened the easy course of</w:t></w:r>
</w:p>
<w:p>
<w:pPr><w:pStyle w:val="Normal"/></w:pPr>
<w:r><w:t xml:space="preserve">inquiry which was afterwards prosecuted by Spence; and this,</w:t></w:r>
</w:p>
<w:p>
<w:pPr><w:pStyle w:val="Normal"/></w:pPr>
<w:r><w:t xml:space="preserve">with the apparatus of spirited metrical translations from the</w:t></w:r>
</w:p>
<w:p>
<w:pPr><w:pStyle w:val="Normal"/></w:pPr>
<w:r><w:t xml:space="preserve">classics, gave the work a likeness to his account of his</w:t></w:r>
</w:p>
<w:p>
<w:pPr><w:pStyle w:val="Normal"/></w:pPr>
<w:r><w:t xml:space="preserve">travels.  This account, entitled Remarks on Several Parts of</w:t></w:r>
</w:p>
<w:p>
<w:pPr><w:pStyle w:val="Normal"/></w:pPr>
<w:r><w:t xml:space="preserve">Italy, &amp;c. (1705), he sent home for publication before his own</w:t></w:r>
</w:p>
<w:p>
<w:pPr><w:pStyle w:val="Normal"/></w:pPr>
<w:r><w:t xml:space="preserve">return.  It wants altogether the interest of personal narrative:</w:t></w:r>
</w:p>
<w:p>
<w:pPr><w:pStyle w:val="Normal"/></w:pPr>
<w:r><w:t xml:space="preserve">the author hardly ever appears.  The task in which he chiefly</w:t></w:r>
</w:p>
<w:p>
<w:pPr><w:pStyle w:val="Normal"/></w:pPr>
<w:r><w:t xml:space="preserve">busies himsell is that of exhibiting the illustrations which the</w:t></w:r>
</w:p>
<w:p>
<w:pPr><w:pStyle w:val="Normal"/></w:pPr>
<w:r><w:t xml:space="preserve">writings of the Latin poets, and the antiquities and scenery of</w:t></w:r>
</w:p>
<w:p>
<w:pPr><w:pStyle w:val="Normal"/></w:pPr>
<w:r><w:t xml:space="preserve">Italy, mutually give and receive.  Christian antiquities and</w:t></w:r>
</w:p>
<w:p>
<w:pPr><w:pStyle w:val="Normal"/></w:pPr>
<w:r><w:t xml:space="preserve">the monuments of later Italian history had no interest for him.</w:t></w:r>
</w:p>
<w:p>
<w:pPr><w:pStyle w:val="Normal"/></w:pPr>
<w:r><w:t xml:space="preserve">With the year 1704 begins a second era in Addison&apos;s life, which</w:t></w:r>
</w:p>
<w:p>
<w:pPr><w:pStyle w:val="Normal"/></w:pPr>
<w:r><w:t xml:space="preserve">extends to the summer of 1710, when his age was thirty-eight.</w:t></w:r>
</w:p>
<w:p>
<w:pPr><w:pStyle w:val="Normal"/></w:pPr>
<w:r><w:t xml:space="preserve">This was the first term of his official career; and though very</w:t></w:r>
</w:p>
<w:p>
<w:pPr><w:pStyle w:val="Normal"/></w:pPr>
<w:r><w:t xml:space="preserve">barren of literary performance, it not only raised him from</w:t></w:r>
</w:p>
<w:p>
<w:pPr><w:pStyle w:val="Normal"/></w:pPr>
<w:r><w:t xml:space="preserve">indigence, but settled definitely his position as a public</w:t></w:r>
</w:p>
<w:p>
<w:pPr><w:pStyle w:val="Normal"/></w:pPr>
<w:r><w:t xml:space="preserve">man.  His correspondence shows that, while on the continent,</w:t></w:r>
</w:p>
<w:p>
<w:pPr><w:pStyle w:val="Normal"/></w:pPr>
<w:r><w:t xml:space="preserve">he had been admitted to confidential intimacy by diplomatists</w:t></w:r>
</w:p>
<w:p>
<w:pPr><w:pStyle w:val="Normal"/></w:pPr>
<w:r><w:t xml:space="preserve">and men of rank; immediately on his return he was enrolled</w:t></w:r>
</w:p>
<w:p>
<w:pPr><w:pStyle w:val="Normal"/></w:pPr>
<w:r><w:t xml:space="preserve">in the Kit-Cat Club, and brought thus and otherwise into</w:t></w:r>
</w:p>
<w:p>
<w:pPr><w:pStyle w:val="Normal"/></w:pPr>
<w:r><w:t xml:space="preserve">communication with the gentry of the Whig party.  Although</w:t></w:r>
</w:p>
<w:p>
<w:pPr><w:pStyle w:val="Normal"/></w:pPr>
<w:r><w:t xml:space="preserve">all accounts agree in representing him as a shy man, he was</w:t></w:r>
</w:p>
<w:p>
<w:pPr><w:pStyle w:val="Normal"/></w:pPr>
<w:r><w:t xml:space="preserve">at least saved from all risk of making himself disagreeable</w:t></w:r>
</w:p>
<w:p>
<w:pPr><w:pStyle w:val="Normal"/></w:pPr>
<w:r><w:t xml:space="preserve">in society, by his unassuming manners, his extreme caution</w:t></w:r>
</w:p>
<w:p>
<w:pPr><w:pStyle w:val="Normal"/></w:pPr>
<w:r><w:t xml:space="preserve">and that sedulous desire to oblige, which his satirist Pope</w:t></w:r>
</w:p>
<w:p>
<w:pPr><w:pStyle w:val="Normal"/></w:pPr>
<w:r><w:t xml:space="preserve">exaggerated into a positive fault.  His knowledge and ability</w:t></w:r>
</w:p>
<w:p>
<w:pPr><w:pStyle w:val="Normal"/></w:pPr>
<w:r><w:t xml:space="preserve">were esteemed so highly as to confirm the expectations formerly</w:t></w:r>
</w:p>
<w:p>
<w:pPr><w:pStyle w:val="Normal"/></w:pPr>
<w:r><w:t xml:space="preserve">entertained of his usefulness in public business; and the</w:t></w:r>
</w:p>
<w:p>
<w:pPr><w:pStyle w:val="Normal"/></w:pPr>
<w:r><w:t xml:space="preserve">literary fame he had already acquired soon furnished an occasion</w:t></w:r>
</w:p>
<w:p>
<w:pPr><w:pStyle w:val="Normal"/></w:pPr>
<w:r><w:t xml:space="preserve">for recommending him to public employment.  Though the Whigs</w:t></w:r>
</w:p>
<w:p>
<w:pPr><w:pStyle w:val="Normal"/></w:pPr>
<w:r><w:t xml:space="preserve">were out of office, the administration which succeeded them</w:t></w:r>
</w:p>
<w:p>
<w:pPr><w:pStyle w:val="Normal"/></w:pPr>
<w:r><w:t xml:space="preserve">was, in all its earlier changes, of a complexion so mixed and</w:t></w:r>
</w:p>
<w:p>
<w:pPr><w:pStyle w:val="Normal"/></w:pPr>
<w:r><w:t xml:space="preserve">uncertain that the influence of their leaders was not entirely</w:t></w:r>
</w:p>
<w:p>
<w:pPr><w:pStyle w:val="Normal"/></w:pPr>
<w:r><w:t xml:space="preserve">lost.  Not long after Marlborough&apos;s great victory at Blenheim,</w:t></w:r>
</w:p>
<w:p>
<w:pPr><w:pStyle w:val="Normal"/></w:pPr>
<w:r><w:t xml:space="preserve">it is said that Godolphin, the lord treasurer, expressed to</w:t></w:r>
</w:p>
<w:p>
<w:pPr><w:pStyle w:val="Normal"/></w:pPr>
<w:r><w:t xml:space="preserve">Lord Halifax a desire to have the great duke&apos;s fame extended</w:t></w:r>
</w:p>
<w:p>
<w:pPr><w:pStyle w:val="Normal"/></w:pPr>
<w:r><w:t xml:space="preserve">by a poetical tribute.  Halifax seized the opportunity</w:t></w:r>
</w:p>
<w:p>
<w:pPr><w:pStyle w:val="Normal"/></w:pPr>
<w:r><w:t xml:space="preserve">of recommending Addison as the fittest man for the duty;</w:t></w:r>
</w:p>
<w:p>
<w:pPr><w:pStyle w:val="Normal"/></w:pPr>
<w:r><w:t xml:space="preserve">stipulating, we are told, that the service should not be</w:t></w:r>
</w:p>
<w:p>
<w:pPr><w:pStyle w:val="Normal"/></w:pPr>
<w:r><w:t xml:space="preserve">unrewarded, and doubtless satisfying the minister that his</w:t></w:r>
</w:p>
<w:p>
<w:pPr><w:pStyle w:val="Normal"/></w:pPr>
<w:r><w:t xml:space="preserve">protege possessed other qualifications for office besides</w:t></w:r>
</w:p>
<w:p>
<w:pPr><w:pStyle w:val="Normal"/></w:pPr>
<w:r><w:t xml:space="preserve">dexterity in framing heroic verse. The Campaign (December</w:t></w:r>
</w:p>
<w:p>
<w:pPr><w:pStyle w:val="Normal"/></w:pPr>
<w:r><w:t xml:space="preserve">1704), the poem thus written to order, was received with</w:t></w:r>
</w:p>
<w:p>
<w:pPr><w:pStyle w:val="Normal"/></w:pPr>
<w:r><w:t xml:space="preserve">extraordinary applause; and it is probably as good as any</w:t></w:r>
</w:p>
<w:p>
<w:pPr><w:pStyle w:val="Normal"/></w:pPr>
<w:r><w:t xml:space="preserve">that ever was prompted by no more worthy inspiration.  It</w:t></w:r>
</w:p>
<w:p>
<w:pPr><w:pStyle w:val="Normal"/></w:pPr>
<w:r><w:t xml:space="preserve">has, indeed, neither the fiery spirit which Dryden threw into</w:t></w:r>
</w:p>
<w:p>
<w:pPr><w:pStyle w:val="Normal"/></w:pPr>
<w:r><w:t xml:space="preserve">occasional pieces of the sort, nor the exquisite polish that</w:t></w:r>
</w:p>
<w:p>
<w:pPr><w:pStyle w:val="Normal"/></w:pPr>
<w:r><w:t xml:space="preserve">would have been given by Pope, if he had stooped to make such</w:t></w:r>
</w:p>
<w:p>
<w:pPr><w:pStyle w:val="Normal"/></w:pPr>
<w:r><w:t xml:space="preserve">uses of his genius; but many of the details are pleasing;</w:t></w:r>
</w:p>
<w:p>
<w:pPr><w:pStyle w:val="Normal"/></w:pPr>
<w:r><w:t xml:space="preserve">and in the famous passage of the Angel, as well as in several</w:t></w:r>
</w:p>
<w:p>
<w:pPr><w:pStyle w:val="Normal"/></w:pPr>
<w:r><w:t xml:space="preserve">others, there is even something of force and imagination.</w:t></w:r>
</w:p>
<w:p>
<w:pPr><w:pStyle w:val="Normal"/></w:pPr>
<w:r><w:t xml:space="preserve">The consideration covenanted for by the poet&apos;s friends was</w:t></w:r>
</w:p>
<w:p>
<w:pPr><w:pStyle w:val="Normal"/></w:pPr>
<w:r><w:t xml:space="preserve">faithfully paid.  A vacancy occurred by the death of another</w:t></w:r>
</w:p>
<w:p>
<w:pPr><w:pStyle w:val="Normal"/></w:pPr>
<w:r><w:t xml:space="preserve">celebrated man, John Locke; and Addison was appointed one</w:t></w:r>
</w:p>
<w:p>
<w:pPr><w:pStyle w:val="Normal"/></w:pPr>
<w:r><w:t xml:space="preserve">of the five commissioners of appeal in Excise.  The duties</w:t></w:r>
</w:p>
<w:p>
<w:pPr><w:pStyle w:val="Normal"/></w:pPr>
<w:r><w:t xml:space="preserve">of the place must have been as light for him as they had</w:t></w:r>
</w:p>
<w:p>
<w:pPr><w:pStyle w:val="Normal"/></w:pPr>
<w:r><w:t xml:space="preserve">been for his predecessor, for he continued to hold it with</w:t></w:r>
</w:p>
<w:p>
<w:pPr><w:pStyle w:val="Normal"/></w:pPr>
<w:r><w:t xml:space="preserve">all the appointments he subsequently received from the same</w:t></w:r>
</w:p>
<w:p>
<w:pPr><w:pStyle w:val="Normal"/></w:pPr>
<w:r><w:t xml:space="preserve">ministry.  But there is no reason for believing that he</w:t></w:r>
</w:p>
<w:p>
<w:pPr><w:pStyle w:val="Normal"/></w:pPr>
<w:r><w:t xml:space="preserve">was more careless than other public servants in his time;</w:t></w:r>
</w:p>
<w:p>
<w:pPr><w:pStyle w:val="Normal"/></w:pPr>
<w:r><w:t xml:space="preserve">and the charge of incompetency as a man of business, which</w:t></w:r>
</w:p>
<w:p>
<w:pPr><w:pStyle w:val="Normal"/></w:pPr>
<w:r><w:t xml:space="preserve">has been brought so positively against him, cannot easily</w:t></w:r>
</w:p>
<w:p>
<w:pPr><w:pStyle w:val="Normal"/></w:pPr>
<w:r><w:t xml:space="preserve">be true as to this first period of his official career.</w:t></w:r>
</w:p>
<w:p>
<w:pPr><w:pStyle w:val="Normal"/></w:pPr>
<w:r><w:t xml:space="preserve">Indeed, the specific allegations refer exclusively to the last</w:t></w:r>
</w:p>
<w:p>
<w:pPr><w:pStyle w:val="Normal"/></w:pPr>
<w:r><w:t xml:space="preserve">years of his life; and, if he had not really shown practical</w:t></w:r>
</w:p>
<w:p>
<w:pPr><w:pStyle w:val="Normal"/></w:pPr>
<w:r><w:t xml:space="preserve">ability in the period now in question, it is not easy to</w:t></w:r>
</w:p>
<w:p>
<w:pPr><w:pStyle w:val="Normal"/></w:pPr>
<w:r><w:t xml:space="preserve">see how he, a man destitute alike of wealth, of social or</w:t></w:r>
</w:p>
<w:p>
<w:pPr><w:pStyle w:val="Normal"/></w:pPr>
<w:r><w:t xml:space="preserve">fashionable liveliness and of family interest, could have been</w:t></w:r>
</w:p>
<w:p>
<w:pPr><w:pStyle w:val="Normal"/></w:pPr>
<w:r><w:t xml:space="preserve">promoted, for several years, from office to office, as he</w:t></w:r>
</w:p>
<w:p>
<w:pPr><w:pStyle w:val="Normal"/></w:pPr>
<w:r><w:t xml:space="preserve">was, till the fall of the administration to which he was</w:t></w:r>
</w:p>
<w:p>
<w:pPr><w:pStyle w:val="Normal"/></w:pPr>
<w:r><w:t xml:space="preserve">attached.  In 1706 he became one of the under-secretaries of</w:t></w:r>
</w:p>
<w:p>
<w:pPr><w:pStyle w:val="Normal"/></w:pPr>
<w:r><w:t xml:space="preserve">state, serving first under Sir Charles Hedges, who belonged to</w:t></w:r>
</w:p>
<w:p>
<w:pPr><w:pStyle w:val="Normal"/></w:pPr>
<w:r><w:t xml:space="preserve">the Tory section of the government, and afterwards under Lord</w:t></w:r>
</w:p>
<w:p>
<w:pPr><w:pStyle w:val="Normal"/></w:pPr>
<w:r><w:t xml:space="preserve">Sunderland, Marlborough&apos;s son-in-law, and a zealous follower</w:t></w:r>
</w:p>
<w:p>
<w:pPr><w:pStyle w:val="Normal"/></w:pPr>
<w:r><w:t xml:space="preserve">of Addison&apos;s early patron, Somers.  The work of this office,</w:t></w:r>
</w:p>
<w:p>
<w:pPr><w:pStyle w:val="Normal"/></w:pPr>
<w:r><w:t xml:space="preserve">however, like that of the commissionership, must often have</w:t></w:r>
</w:p>
<w:p>
<w:pPr><w:pStyle w:val="Normal"/></w:pPr>
<w:r><w:t xml:space="preserve">admitted of performance by deputy; for in 1707, the Whigs</w:t></w:r>
</w:p>
<w:p>
<w:pPr><w:pStyle w:val="Normal"/></w:pPr>
<w:r><w:t xml:space="preserve">having become stronger, Lord Halifax was sent on a mission</w:t></w:r>
</w:p>
<w:p>
<w:pPr><w:pStyle w:val="Normal"/></w:pPr>
<w:r><w:t xml:space="preserve">to the elector of Hanover; and, besides taking Vanbrugh the</w:t></w:r>
</w:p>
<w:p>
<w:pPr><w:pStyle w:val="Normal"/></w:pPr>
<w:r><w:t xml:space="preserve">dramatist with him as king-at-arms, he selected Addison as his</w:t></w:r>
</w:p>
<w:p>
<w:pPr><w:pStyle w:val="Normal"/></w:pPr>
<w:r><w:t xml:space="preserve">secretary.  In 1708 Addison entered parliament, sitting at</w:t></w:r>
</w:p>
<w:p>
<w:pPr><w:pStyle w:val="Normal"/></w:pPr>
<w:r><w:t xml:space="preserve">first for Lostwithiel, but afterwards for Malmesbury, which</w:t></w:r>
</w:p>
<w:p>
<w:pPr><w:pStyle w:val="Normal"/></w:pPr>
<w:r><w:t xml:space="preserve">he represented from 1710 till his death.  Here unquestionably</w:t></w:r>
</w:p>
<w:p>
<w:pPr><w:pStyle w:val="Normal"/></w:pPr>
<w:r><w:t xml:space="preserve">he did fail.  What part he may have taken in the details</w:t></w:r>
</w:p>
<w:p>
<w:pPr><w:pStyle w:val="Normal"/></w:pPr>
<w:r><w:t xml:space="preserve">of business we are not informed; but he was always a silent</w:t></w:r>
</w:p>
<w:p>
<w:pPr><w:pStyle w:val="Normal"/></w:pPr>
<w:r><w:t xml:space="preserve">member, unless it be true that he once attempted to speak</w:t></w:r>
</w:p>
<w:p>
<w:pPr><w:pStyle w:val="Normal"/></w:pPr>
<w:r><w:t xml:space="preserve">and sat down in confusion.  In 1708 Lord Wharton, the father</w:t></w:r>
</w:p>
<w:p>
<w:pPr><w:pStyle w:val="Normal"/></w:pPr>
<w:r><w:t xml:space="preserve">of the notorious duke, having been named lord-lieutenant of</w:t></w:r>
</w:p>
<w:p>
<w:pPr><w:pStyle w:val="Normal"/></w:pPr>
<w:r><w:t xml:space="preserve">Ireland, Addison became his secretary, receiving also an</w:t></w:r>
</w:p>
<w:p>
<w:pPr><w:pStyle w:val="Normal"/></w:pPr>
<w:r><w:t xml:space="preserve">appointment as keeper of records.  This event happened only</w:t></w:r>
</w:p>
<w:p>
<w:pPr><w:pStyle w:val="Normal"/></w:pPr>
<w:r><w:t xml:space="preserve">about a year and a half before the dismissal of the ministry.</w:t></w:r>
</w:p>
<w:p>
<w:pPr><w:pStyle w:val="Normal"/></w:pPr>
<w:r><w:t xml:space="preserve">But there are letters showing that Addison made himself</w:t></w:r>
</w:p>
<w:p>
<w:pPr><w:pStyle w:val="Normal"/></w:pPr>
<w:r><w:t xml:space="preserve">acceptable to some of the best and most distinguished persons</w:t></w:r>
</w:p>
<w:p>
<w:pPr><w:pStyle w:val="Normal"/></w:pPr>
<w:r><w:t xml:space="preserve">in Dublin; and he escaped without having any quarrel with</w:t></w:r>
</w:p>
<w:p>
<w:pPr><w:pStyle w:val="Normal"/></w:pPr>
<w:r><w:t xml:space="preserve">Swift, his acquaintance with whom had begun some time before.</w:t></w:r>
</w:p>
<w:p>
<w:pPr><w:pStyle w:val="Normal"/></w:pPr>
<w:r><w:t xml:space="preserve">In his literary history those years of official service are</w:t></w:r>
</w:p>
<w:p>
<w:pPr><w:pStyle w:val="Normal"/></w:pPr>
<w:r><w:t xml:space="preserve">almost a blank, till we approach their close.  Besides furnishing</w:t></w:r>
</w:p>
<w:p>
<w:pPr><w:pStyle w:val="Normal"/></w:pPr>
<w:r><w:t xml:space="preserve">a prologue to Steele&apos;s comedy of The Tender Husband (1705),</w:t></w:r>
</w:p>
<w:p>
<w:pPr><w:pStyle w:val="Normal"/></w:pPr>
<w:r><w:t xml:space="preserve">he admittedly gave him some assistance in its composition;</w:t></w:r>
</w:p>
<w:p>
<w:pPr><w:pStyle w:val="Normal"/></w:pPr>
<w:r><w:t xml:space="preserve">he defended the government in an anonymous pamphlet on The</w:t></w:r>
</w:p>
<w:p>
<w:pPr><w:pStyle w:val="Normal"/></w:pPr>
<w:r><w:t xml:space="preserve">Present State of the War (1707); he united compliments</w:t></w:r>
</w:p>
<w:p>
<w:pPr><w:pStyle w:val="Normal"/></w:pPr>
<w:r><w:t xml:space="preserve">to the all-powerful Marlborough with indifferent attempts</w:t></w:r>
</w:p>
<w:p>
<w:pPr><w:pStyle w:val="Normal"/></w:pPr>
<w:r><w:t xml:space="preserve">at lyrical poetry in his opera of Rosamond; and during</w:t></w:r>
</w:p>
<w:p>
<w:pPr><w:pStyle w:val="Normal"/></w:pPr>
<w:r><w:t xml:space="preserve">the last few months of his tenure of office he contributed</w:t></w:r>
</w:p>
<w:p>
<w:pPr><w:pStyle w:val="Normal"/></w:pPr>
<w:r><w:t xml:space="preserve">largely to the Tatler. His entrance on this new field</w:t></w:r>
</w:p>
<w:p>
<w:pPr><w:pStyle w:val="Normal"/></w:pPr>
<w:r><w:t xml:space="preserve">nearly coincides with the beginning of a new period in his</w:t></w:r>
</w:p>
<w:p>
<w:pPr><w:pStyle w:val="Normal"/></w:pPr>
<w:r><w:t xml:space="preserve">life.  Even the coalition-ministry of Godolphin was too</w:t></w:r>
</w:p>
<w:p>
<w:pPr><w:pStyle w:val="Normal"/></w:pPr>
<w:r><w:t xml:space="preserve">Whiggish for the taste of Queen Anne; and the Tories, the</w:t></w:r>
</w:p>
<w:p>
<w:pPr><w:pStyle w:val="Normal"/></w:pPr>
<w:r><w:t xml:space="preserve">favourites of the court, gained, both in parliamentary power</w:t></w:r>
</w:p>
<w:p>
<w:pPr><w:pStyle w:val="Normal"/></w:pPr>
<w:r><w:t xml:space="preserve">and in popularity out of doors, by a combination of lucky</w:t></w:r>
</w:p>
<w:p>
<w:pPr><w:pStyle w:val="Normal"/></w:pPr>
<w:r><w:t xml:space="preserve">accidents, dexterous management and divisions and double-dealing</w:t></w:r>
</w:p>
<w:p>
<w:pPr><w:pStyle w:val="Normal"/></w:pPr>
<w:r><w:t xml:space="preserve">among their adversaries.  The real failure of the prosecution</w:t></w:r>
</w:p>
<w:p>
<w:pPr><w:pStyle w:val="Normal"/></w:pPr>
<w:r><w:t xml:space="preserve">of Addison&apos;s old friend Sacheverell completed the ruin of</w:t></w:r>
</w:p>
<w:p>
<w:pPr><w:pStyle w:val="Normal"/></w:pPr>
<w:r><w:t xml:space="preserve">the Whigs; and in August 1710 an entire revolution in the</w:t></w:r>
</w:p>
<w:p>
<w:pPr><w:pStyle w:val="Normal"/></w:pPr>
<w:r><w:t xml:space="preserve">ministry had been completed.  The Tory administration which</w:t></w:r>
</w:p>
<w:p>
<w:pPr><w:pStyle w:val="Normal"/></w:pPr>
<w:r><w:t xml:space="preserve">succeeded kept its place till the queen&apos;s death in 1714,</w:t></w:r>
</w:p>
<w:p>
<w:pPr><w:pStyle w:val="Normal"/></w:pPr>
<w:r><w:t xml:space="preserve">and Addison was thus left to devote four of the best years</w:t></w:r>
</w:p>
<w:p>
<w:pPr><w:pStyle w:val="Normal"/></w:pPr>
<w:r><w:t xml:space="preserve">of his life, from his thirty-ninth year to his forty-third,</w:t></w:r>
</w:p>
<w:p>
<w:pPr><w:pStyle w:val="Normal"/></w:pPr>
<w:r><w:t xml:space="preserve">to occupations less lucrative than those in which his time</w:t></w:r>
</w:p>
<w:p>
<w:pPr><w:pStyle w:val="Normal"/></w:pPr>
<w:r><w:t xml:space="preserve">had recently been frittered away, but much more conducive to</w:t></w:r>
</w:p>
<w:p>
<w:pPr><w:pStyle w:val="Normal"/></w:pPr>
<w:r><w:t xml:space="preserve">the extension of his own fame and to the benefit of English</w:t></w:r>
</w:p>
<w:p>
<w:pPr><w:pStyle w:val="Normal"/></w:pPr>
<w:r><w:t xml:space="preserve">literature.  Although our information as to his pecuniary</w:t></w:r>
</w:p>
<w:p>
<w:pPr><w:pStyle w:val="Normal"/></w:pPr>
<w:r><w:t xml:space="preserve">affairs is very scanty, we are entitled to believe that he</w:t></w:r>
</w:p>
<w:p>
<w:pPr><w:pStyle w:val="Normal"/></w:pPr>
<w:r><w:t xml:space="preserve">was now independent of literary labour.  He speaks, in an</w:t></w:r>
</w:p>
<w:p>
<w:pPr><w:pStyle w:val="Normal"/></w:pPr>
<w:r><w:t xml:space="preserve">extant paper, of having had (but lost) property in the West</w:t></w:r>
</w:p>
<w:p>
<w:pPr><w:pStyle w:val="Normal"/></w:pPr>
<w:r><w:t xml:space="preserve">Indies; and he is understood to have inherited something</w:t></w:r>
</w:p>
<w:p>
<w:pPr><w:pStyle w:val="Normal"/></w:pPr>
<w:r><w:t xml:space="preserve">from a younger brother, who had been governor of Madras.  In</w:t></w:r>
</w:p>
<w:p>
<w:pPr><w:pStyle w:val="Normal"/></w:pPr>
<w:r><w:t xml:space="preserve">1711 he purchased, for L. 10,000, the estate of Bilton, near</w:t></w:r>
</w:p>
<w:p>
<w:pPr><w:pStyle w:val="Normal"/></w:pPr>
<w:r><w:t xml:space="preserve">Rugby--the place which afterwards became the residence of Mr</w:t></w:r>
</w:p>
<w:p>
<w:pPr><w:pStyle w:val="Normal"/></w:pPr>
<w:r><w:t xml:space="preserve">Apperley, better known by his assumed name of ``Nimrod.&apos;&apos;</w:t></w:r>
</w:p>
<w:p>
<w:pPr><w:pStyle w:val="Normal"/></w:pPr>
<w:r><w:t xml:space="preserve">During those four years he produced a few political</w:t></w:r>
</w:p>
<w:p>
<w:pPr><w:pStyle w:val="Normal"/></w:pPr>
<w:r><w:t xml:space="preserve">writings.  Soon after the fall of the ministry, he started</w:t></w:r>
</w:p>
<w:p>
<w:pPr><w:pStyle w:val="Normal"/></w:pPr>
<w:r><w:t xml:space="preserve">the Whig Examiner in opposition to the Tory Examiner, then</w:t></w:r>
</w:p>
<w:p>
<w:pPr><w:pStyle w:val="Normal"/></w:pPr>
<w:r><w:t xml:space="preserve">conducted by Prior, and afterwards the vehicle of Swift&apos;s most</w:t></w:r>
</w:p>
<w:p>
<w:pPr><w:pStyle w:val="Normal"/></w:pPr>
<w:r><w:t xml:space="preserve">vehement invectives against the party he had once belonged</w:t></w:r>
</w:p>
<w:p>
<w:pPr><w:pStyle w:val="Normal"/></w:pPr>
<w:r><w:t xml:space="preserve">to.  These are certainly the most ill-natured of Addison&apos;s</w:t></w:r>
</w:p>
<w:p>
<w:pPr><w:pStyle w:val="Normal"/></w:pPr>
<w:r><w:t xml:space="preserve">writings, but they are neither lively nor vigorous, and</w:t></w:r>
</w:p>
<w:p>
<w:pPr><w:pStyle w:val="Normal"/></w:pPr>
<w:r><w:t xml:space="preserve">the paper died after five numbers (14th September to 12th</w:t></w:r>
</w:p>
<w:p>
<w:pPr><w:pStyle w:val="Normal"/></w:pPr>
<w:r><w:t xml:space="preserve">October 1710).  There is more spirit in his allegorical</w:t></w:r>
</w:p>
<w:p>
<w:pPr><w:pStyle w:val="Normal"/></w:pPr>
<w:r><w:t xml:space="preserve">pamphlet, The Trial and Conviction of Count Tariff.</w:t></w:r>
</w:p>
<w:p>
<w:pPr><w:pStyle w:val="Normal"/></w:pPr>
<w:r><w:t xml:space="preserve">But from the autumn of 1710 till the end of 1714 his principal</w:t></w:r>
</w:p>
<w:p>
<w:pPr><w:pStyle w:val="Normal"/></w:pPr>
<w:r><w:t xml:space="preserve">employment was the composition of his celebrated periodical</w:t></w:r>
</w:p>
<w:p>
<w:pPr><w:pStyle w:val="Normal"/></w:pPr>
<w:r><w:t xml:space="preserve">essays.  The honour of inventing the plan of such compositions,</w:t></w:r>
</w:p>
<w:p>
<w:pPr><w:pStyle w:val="Normal"/></w:pPr>
<w:r><w:t xml:space="preserve">as well as that of first carrying the idea into execution,</w:t></w:r>
</w:p>
<w:p>
<w:pPr><w:pStyle w:val="Normal"/></w:pPr>
<w:r><w:t xml:space="preserve">belongs to Richard Steele, who had been a schoolfellow of</w:t></w:r>
</w:p>
<w:p>
<w:pPr><w:pStyle w:val="Normal"/></w:pPr>
<w:r><w:t xml:space="preserve">Addison at the Charterhouse, continued to be on intimate</w:t></w:r>
</w:p>
<w:p>
<w:pPr><w:pStyle w:val="Normal"/></w:pPr>
<w:r><w:t xml:space="preserve">terms with him afterwards and attached himself with his</w:t></w:r>
</w:p>
<w:p>
<w:pPr><w:pStyle w:val="Normal"/></w:pPr>
<w:r><w:t xml:space="preserve">characteristic ardour to the same political party.  When,</w:t></w:r>
</w:p>
<w:p>
<w:pPr><w:pStyle w:val="Normal"/></w:pPr>
<w:r><w:t xml:space="preserve">in April 1709, Steele published the first number of the</w:t></w:r>
</w:p>
<w:p>
<w:pPr><w:pStyle w:val="Normal"/></w:pPr>
<w:r><w:t xml:space="preserve">Tatler, Addison was in Dublin, and knew nothing of the</w:t></w:r>
</w:p>
<w:p>
<w:pPr><w:pStyle w:val="Normal"/></w:pPr>
<w:r><w:t xml:space="preserve">design.  He is said to have detected his friend&apos;s authorship</w:t></w:r>
</w:p>
<w:p>
<w:pPr><w:pStyle w:val="Normal"/></w:pPr>
<w:r><w:t xml:space="preserve">only by recognizing, in the sixth number, a critical remark</w:t></w:r>
</w:p>
<w:p>
<w:pPr><w:pStyle w:val="Normal"/></w:pPr>
<w:r><w:t xml:space="preserve">which he remembered having himself communicated to Steele.</w:t></w:r>
</w:p>
<w:p>
<w:pPr><w:pStyle w:val="Normal"/></w:pPr>
<w:r><w:t xml:space="preserve">Shortly afterwards he began to furnish hints and suggestions,</w:t></w:r>
</w:p>
<w:p>
<w:pPr><w:pStyle w:val="Normal"/></w:pPr>
<w:r><w:t xml:space="preserve">assisted occasionally and finally wrote regularly.  According</w:t></w:r>
</w:p>
<w:p>
<w:pPr><w:pStyle w:val="Normal"/></w:pPr>
<w:r><w:t xml:space="preserve">to Mr Aitken (Life of Steele, i. 248), he contributed 42</w:t></w:r>
</w:p>
<w:p>
<w:pPr><w:pStyle w:val="Normal"/></w:pPr>
<w:r><w:t xml:space="preserve">out of the total of 271 numbers, and was part-author of 36</w:t></w:r>
</w:p>
<w:p>
<w:pPr><w:pStyle w:val="Normal"/></w:pPr>
<w:r><w:t xml:space="preserve">more.  The Tatler exhibited, in more ways than one, symptoms</w:t></w:r>
</w:p>
<w:p>
<w:pPr><w:pStyle w:val="Normal"/></w:pPr>
<w:r><w:t xml:space="preserve">of being an experiment.  For some time the projector, imitating</w:t></w:r>
</w:p>
<w:p>
<w:pPr><w:pStyle w:val="Normal"/></w:pPr>
<w:r><w:t xml:space="preserve">the news-sheets in form, thought it prudent to give, in</w:t></w:r>
</w:p>
<w:p>
<w:pPr><w:pStyle w:val="Normal"/></w:pPr>
<w:r><w:t xml:space="preserve">each number, news in addition to the essay; and there was a</w:t></w:r>
</w:p>
<w:p>
<w:pPr><w:pStyle w:val="Normal"/></w:pPr>
<w:r><w:t xml:space="preserve">want, both of unity and of correct finishing, in the putting</w:t></w:r>
</w:p>
<w:p>
<w:pPr><w:pStyle w:val="Normal"/></w:pPr>
<w:r><w:t xml:space="preserve">together of the literary materials.  Addison&apos;s contributions,</w:t></w:r>
</w:p>
<w:p>
<w:pPr><w:pStyle w:val="Normal"/></w:pPr>
<w:r><w:t xml:space="preserve">in particular, are in many places as lively as anything he</w:t></w:r>
</w:p>
<w:p>
<w:pPr><w:pStyle w:val="Normal"/></w:pPr>
<w:r><w:t xml:space="preserve">ever wrote; and his style, in its more familiar moods at</w:t></w:r>
</w:p>
<w:p>
<w:pPr><w:pStyle w:val="Normal"/></w:pPr>
<w:r><w:t xml:space="preserve">least, had been fully formed before he returned from the</w:t></w:r>
</w:p>
<w:p>
<w:pPr><w:pStyle w:val="Normal"/></w:pPr>
<w:r><w:t xml:space="preserve">continent.  But, as compared with his later pieces, these</w:t></w:r>
</w:p>
<w:p>
<w:pPr><w:pStyle w:val="Normal"/></w:pPr>
<w:r><w:t xml:space="preserve">are only what the painter&apos;s loose studies and sketches are</w:t></w:r>
</w:p>
<w:p>
<w:pPr><w:pStyle w:val="Normal"/></w:pPr>
<w:r><w:t xml:space="preserve">to the landscapes which he afterwards constructs out of</w:t></w:r>
</w:p>
<w:p>
<w:pPr><w:pStyle w:val="Normal"/></w:pPr>
<w:r><w:t xml:space="preserve">them.  In his invention of incidents and characters, one</w:t></w:r>
</w:p>
<w:p>
<w:pPr><w:pStyle w:val="Normal"/></w:pPr>
<w:r><w:t xml:space="preserve">thought after another is hastily used and hastily dismissed,</w:t></w:r>
</w:p>
<w:p>
<w:pPr><w:pStyle w:val="Normal"/></w:pPr>
<w:r><w:t xml:space="preserve">as if he were putting his own powers to the test or trying the</w:t></w:r>
</w:p>
<w:p>
<w:pPr><w:pStyle w:val="Normal"/></w:pPr>
<w:r><w:t xml:space="preserve">effect of various kinds of objects on his readers; his most</w:t></w:r>
</w:p>
<w:p>
<w:pPr><w:pStyle w:val="Normal"/></w:pPr>
<w:r><w:t xml:space="preserve">ambitious flights, in the shape of allegories and the like,</w:t></w:r>
</w:p>
<w:p>
<w:pPr><w:pStyle w:val="Normal"/></w:pPr>
<w:r><w:t xml:space="preserve">are stiff and inanimate; and his favourite field of literary</w:t></w:r>
</w:p>
<w:p>
<w:pPr><w:pStyle w:val="Normal"/></w:pPr>
<w:r><w:t xml:space="preserve">criticism is touched so slightly, as to show that he still</w:t></w:r>
</w:p>
<w:p>
<w:pPr><w:pStyle w:val="Normal"/></w:pPr>
<w:r><w:t xml:space="preserve">wanted confidence in the taste and knowledge of the Public.</w:t></w:r>
</w:p>
<w:p>
<w:pPr><w:pStyle w:val="Normal"/></w:pPr>
<w:r><w:t xml:space="preserve">The Tatler was dropped in January 1711, but only to be</w:t></w:r>
</w:p>
<w:p>
<w:pPr><w:pStyle w:val="Normal"/></w:pPr>
<w:r><w:t xml:space="preserve">followed by the Spectator, which was begun on the 1st day of</w:t></w:r>
</w:p>
<w:p>
<w:pPr><w:pStyle w:val="Normal"/></w:pPr>
<w:r><w:t xml:space="preserve">March, and appeared every week-day till the 6th day of December</w:t></w:r>
</w:p>
<w:p>
<w:pPr><w:pStyle w:val="Normal"/></w:pPr>
<w:r><w:t xml:space="preserve">1712.  It had then completed the 555 numbers usually collected</w:t></w:r>
</w:p>
<w:p>
<w:pPr><w:pStyle w:val="Normal"/></w:pPr>
<w:r><w:t xml:space="preserve">in its first seven volumes, and of these Addison wrote 274</w:t></w:r>
</w:p>
<w:p>
<w:pPr><w:pStyle w:val="Normal"/></w:pPr>
<w:r><w:t xml:space="preserve">to Steele&apos;s 236. He co-operated with Steele constantly from</w:t></w:r>
</w:p>
<w:p>
<w:pPr><w:pStyle w:val="Normal"/></w:pPr>
<w:r><w:t xml:space="preserve">the very opening of the series; and they devoted their whole</w:t></w:r>
</w:p>
<w:p>
<w:pPr><w:pStyle w:val="Normal"/></w:pPr>
<w:r><w:t xml:space="preserve">space to the essays.  They relied, with a confidence which</w:t></w:r>
</w:p>
<w:p>
<w:pPr><w:pStyle w:val="Normal"/></w:pPr>
<w:r><w:t xml:space="preserve">the extraordinary popularity of the work fully justified,</w:t></w:r>
</w:p>
<w:p>
<w:pPr><w:pStyle w:val="Normal"/></w:pPr>
<w:r><w:t xml:space="preserve">on their power of exciting the interest of a wide audience</w:t></w:r>
</w:p>
<w:p>
<w:pPr><w:pStyle w:val="Normal"/></w:pPr>
<w:r><w:t xml:space="preserve">by pictures and reflexions drawn from a field which embraced</w:t></w:r>
</w:p>
<w:p>
<w:pPr><w:pStyle w:val="Normal"/></w:pPr>
<w:r><w:t xml:space="preserve">the whole compass of ordinary life and ordinary knowledge,</w:t></w:r>
</w:p>
<w:p>
<w:pPr><w:pStyle w:val="Normal"/></w:pPr>
<w:r><w:t xml:space="preserve">no kind of practical themes being positively excluded except</w:t></w:r>
</w:p>
<w:p>
<w:pPr><w:pStyle w:val="Normal"/></w:pPr>
<w:r><w:t xml:space="preserve">such as were political, and all literary topics being held</w:t></w:r>
</w:p>
<w:p>
<w:pPr><w:pStyle w:val="Normal"/></w:pPr>
<w:r><w:t xml:space="preserve">admissible, for which it seemed possible to command attention</w:t></w:r>
</w:p>
<w:p>
<w:pPr><w:pStyle w:val="Normal"/></w:pPr>
<w:r><w:t xml:space="preserve">from persons of average taste and information.  A seeming</w:t></w:r>
</w:p>
<w:p>
<w:pPr><w:pStyle w:val="Normal"/></w:pPr>
<w:r><w:t xml:space="preserve">unity was given to the undertaking, and curiosity and interest</w:t></w:r>
</w:p>
<w:p>
<w:pPr><w:pStyle w:val="Normal"/></w:pPr>
<w:r><w:t xml:space="preserve">awakened on behalf of the conductors, by the happy invention</w:t></w:r>
</w:p>
<w:p>
<w:pPr><w:pStyle w:val="Normal"/></w:pPr>
<w:r><w:t xml:space="preserve">of the Spectator&apos;s Club, for which Steele made the first</w:t></w:r>
</w:p>
<w:p>
<w:pPr><w:pStyle w:val="Normal"/></w:pPr>
<w:r><w:t xml:space="preserve">sketch.  The figure of Sir Roger de Coverley, however, the best</w:t></w:r>
</w:p>
<w:p>
<w:pPr><w:pStyle w:val="Normal"/></w:pPr>
<w:r><w:t xml:space="preserve">even in the opening group, is the only one that was afterwards</w:t></w:r>
</w:p>
<w:p>
<w:pPr><w:pStyle w:val="Normal"/></w:pPr>
<w:r><w:t xml:space="preserve">elaborately depicted; and Addison was the author of most of the</w:t></w:r>
</w:p>
<w:p>
<w:pPr><w:pStyle w:val="Normal"/></w:pPr>
<w:r><w:t xml:space="preserve">papers in which his oddities and amiabilities are so admirably</w:t></w:r>
</w:p>
<w:p>
<w:pPr><w:pStyle w:val="Normal"/></w:pPr>
<w:r><w:t xml:space="preserve">delineated.  Six essays are by Steele, who gives Sir Roger&apos;s</w:t></w:r>
</w:p>
<w:p>
<w:pPr><w:pStyle w:val="Normal"/></w:pPr>
<w:r><w:t xml:space="preserve">love-story, and one paper by Budgell describes a hunting party.</w:t></w:r>
</w:p>
<w:p>
<w:pPr><w:pStyle w:val="Normal"/></w:pPr>
<w:r><w:t xml:space="preserve">To Addison the Spectator owed the most natural and elegant,</w:t></w:r>
</w:p>
<w:p>
<w:pPr><w:pStyle w:val="Normal"/></w:pPr>
<w:r><w:t xml:space="preserve">if not the most original, of its humorous sketches of human</w:t></w:r>
</w:p>
<w:p>
<w:pPr><w:pStyle w:val="Normal"/></w:pPr>
<w:r><w:t xml:space="preserve">character and social eccentricities, its good-humoured satires</w:t></w:r>
</w:p>
<w:p>
<w:pPr><w:pStyle w:val="Normal"/></w:pPr>
<w:r><w:t xml:space="preserve">on ridiculous features in manners and on corrupt symptoms in</w:t></w:r>
</w:p>
<w:p>
<w:pPr><w:pStyle w:val="Normal"/></w:pPr>
<w:r><w:t xml:space="preserve">public taste; these topics, however, making up a department</w:t></w:r>
</w:p>
<w:p>
<w:pPr><w:pStyle w:val="Normal"/></w:pPr>
<w:r><w:t xml:space="preserve">in which Steele was fairly on a level with his more famous</w:t></w:r>
</w:p>
<w:p>
<w:pPr><w:pStyle w:val="Normal"/></w:pPr>
<w:r><w:t xml:space="preserve">co-adjutor.  But Steele had neither learning, nor taste, nor</w:t></w:r>
</w:p>
<w:p>
<w:pPr><w:pStyle w:val="Normal"/></w:pPr>
<w:r><w:t xml:space="preserve">critical acuteness sufficient to qualify him for enriching</w:t></w:r>
</w:p>
<w:p>
<w:pPr><w:pStyle w:val="Normal"/></w:pPr>
<w:r><w:t xml:space="preserve">the series with such literary disquisitions as those which</w:t></w:r>
</w:p>
<w:p>
<w:pPr><w:pStyle w:val="Normal"/></w:pPr>
<w:r><w:t xml:space="preserve">Addison insinuated so often into the lighter matter of his</w:t></w:r>
</w:p>
<w:p>
<w:pPr><w:pStyle w:val="Normal"/></w:pPr>
<w:r><w:t xml:space="preserve">essays, and of which he gave an elaborate specimen in his</w:t></w:r>
</w:p>
<w:p>
<w:pPr><w:pStyle w:val="Normal"/></w:pPr>
<w:r><w:t xml:space="preserve">criticism on Paradise Lost. Still farther beyond the powers</w:t></w:r>
</w:p>
<w:p>
<w:pPr><w:pStyle w:val="Normal"/></w:pPr>
<w:r><w:t xml:space="preserve">of Steele were those speculations on the theory of literature</w:t></w:r>
</w:p>
<w:p>
<w:pPr><w:pStyle w:val="Normal"/></w:pPr>
<w:r><w:t xml:space="preserve">and of the processes of thought analogous to it, which, in</w:t></w:r>
</w:p>
<w:p>
<w:pPr><w:pStyle w:val="Normal"/></w:pPr>
<w:r><w:t xml:space="preserve">the essays ``On the Pleasures of the Imagination,&apos;&apos; Addison</w:t></w:r>
</w:p>
<w:p>
<w:pPr><w:pStyle w:val="Normal"/></w:pPr>
<w:r><w:t xml:space="preserve">prosecuted, not, indeed, with much of philosophical depth,</w:t></w:r>
</w:p>
<w:p>
<w:pPr><w:pStyle w:val="Normal"/></w:pPr>
<w:r><w:t xml:space="preserve">but with a sagacity and comprehensiveness which we shall</w:t></w:r>
</w:p>
<w:p>
<w:pPr><w:pStyle w:val="Normal"/></w:pPr>
<w:r><w:t xml:space="preserve">undervalue much unless we remember how little of philosophy</w:t></w:r>
</w:p>
<w:p>
<w:pPr><w:pStyle w:val="Normal"/></w:pPr>
<w:r><w:t xml:space="preserve">was to be found in any critical views previously propounded in</w:t></w:r>
</w:p>
<w:p>
<w:pPr><w:pStyle w:val="Normal"/></w:pPr>
<w:r><w:t xml:space="preserve">England.  To Addison, further, belong those essays which (most</w:t></w:r>
</w:p>
<w:p>
<w:pPr><w:pStyle w:val="Normal"/></w:pPr>
<w:r><w:t xml:space="preserve">frequently introduced in regular alternation in the papers</w:t></w:r>
</w:p>
<w:p>
<w:pPr><w:pStyle w:val="Normal"/></w:pPr>
<w:r><w:t xml:space="preserve">of Saturday) rise into the region of moral and religious</w:t></w:r>
</w:p>
<w:p>
<w:pPr><w:pStyle w:val="Normal"/></w:pPr>
<w:r><w:t xml:space="preserve">meditation, and tread the elevated ground with a step so graceful</w:t></w:r>
</w:p>
<w:p>
<w:pPr><w:pStyle w:val="Normal"/></w:pPr>
<w:r><w:t xml:space="preserve">as to allure the reader irresistibly to follow; sometimes, as</w:t></w:r>
</w:p>
<w:p>
<w:pPr><w:pStyle w:val="Normal"/></w:pPr>
<w:r><w:t xml:space="preserve">in the ``Walk through Westminster Abbey,&apos;, enlivening solemn</w:t></w:r>
</w:p>
<w:p>
<w:pPr><w:pStyle w:val="Normal"/></w:pPr>
<w:r><w:t xml:space="preserve">thought by gentle sportiveness; sometimes flowing on with an</w:t></w:r>
</w:p>
<w:p>
<w:pPr><w:pStyle w:val="Normal"/></w:pPr>
<w:r><w:t xml:space="preserve">uninterrupted sedateness of didactic eloquence, and sometimes</w:t></w:r>
</w:p>
<w:p>
<w:pPr><w:pStyle w:val="Normal"/></w:pPr>
<w:r><w:t xml:space="preserve">shrouding sacred truths in the veil of ingenious allegory, as</w:t></w:r>
</w:p>
<w:p>
<w:pPr><w:pStyle w:val="Normal"/></w:pPr>
<w:r><w:t xml:space="preserve">in the ``Vision of Mirza.&apos;&apos; While, in short, the Spectator,</w:t></w:r>
</w:p>
<w:p>
<w:pPr><w:pStyle w:val="Normal"/></w:pPr>
<w:r><w:t xml:space="preserve">if Addison had not taken part in it, would probably have</w:t></w:r>
</w:p>
<w:p>
<w:pPr><w:pStyle w:val="Normal"/></w:pPr>
<w:r><w:t xml:space="preserve">been as lively and humorous as it was, and not less popular</w:t></w:r>
</w:p>
<w:p>
<w:pPr><w:pStyle w:val="Normal"/></w:pPr>
<w:r><w:t xml:space="preserve">in its own day, it would have wanted some of its strongest</w:t></w:r>
</w:p>
<w:p>
<w:pPr><w:pStyle w:val="Normal"/></w:pPr>
<w:r><w:t xml:space="preserve">claims on the respect of posterity, by being at once lower</w:t></w:r>
</w:p>
<w:p>
<w:pPr><w:pStyle w:val="Normal"/></w:pPr>
<w:r><w:t xml:space="preserve">in its moral tone, far less abundant in literary knowledge</w:t></w:r>
</w:p>
<w:p>
<w:pPr><w:pStyle w:val="Normal"/></w:pPr>
<w:r><w:t xml:space="preserve">and much less vigorous and expanded in thinking.  In point of</w:t></w:r>
</w:p>
<w:p>
<w:pPr><w:pStyle w:val="Normal"/></w:pPr>
<w:r><w:t xml:space="preserve">style, again, the two friends resemble each other so closely</w:t></w:r>
</w:p>
<w:p>
<w:pPr><w:pStyle w:val="Normal"/></w:pPr>
<w:r><w:t xml:space="preserve">as to be hardly distinguishable, when both are dealing with</w:t></w:r>
</w:p>
<w:p>
<w:pPr><w:pStyle w:val="Normal"/></w:pPr>
<w:r><w:t xml:space="preserve">familiar objects, and writing in a key not rising above that</w:t></w:r>
</w:p>
<w:p>
<w:pPr><w:pStyle w:val="Normal"/></w:pPr>
<w:r><w:t xml:space="preserve">of conversation.  But in the higher tones of thought and</w:t></w:r>
</w:p>
<w:p>
<w:pPr><w:pStyle w:val="Normal"/></w:pPr>
<w:r><w:t xml:space="preserve">composition Addison showed a mastery of language raising him</w:t></w:r>
</w:p>
<w:p>
<w:pPr><w:pStyle w:val="Normal"/></w:pPr>
<w:r><w:t xml:space="preserve">very decisively, not above Steele only, but above all his</w:t></w:r>
</w:p>
<w:p>
<w:pPr><w:pStyle w:val="Normal"/></w:pPr>
<w:r><w:t xml:space="preserve">contemporaries.  Indeed, it may safely be said, that no one,</w:t></w:r>
</w:p>
<w:p>
<w:pPr><w:pStyle w:val="Normal"/></w:pPr>
<w:r><w:t xml:space="preserve">in any age of English literature, has united, so strikingly</w:t></w:r>
</w:p>
<w:p>
<w:pPr><w:pStyle w:val="Normal"/></w:pPr>
<w:r><w:t xml:space="preserve">as he did, the colloquial grace and ease which mark the</w:t></w:r>
</w:p>
<w:p>
<w:pPr><w:pStyle w:val="Normal"/></w:pPr>
<w:r><w:t xml:space="preserve">style of an accomplished gentleman, with the power of soaring</w:t></w:r>
</w:p>
<w:p>
<w:pPr><w:pStyle w:val="Normal"/></w:pPr>
<w:r><w:t xml:space="preserve">into a strain of expression nobly and eloquently dignified.</w:t></w:r>
</w:p>
<w:p>
<w:pPr><w:pStyle w:val="Normal"/></w:pPr>
<w:r><w:t xml:space="preserve">On the cessation of the Spectator, Steele set on foot the</w:t></w:r>
</w:p>
<w:p>
<w:pPr><w:pStyle w:val="Normal"/></w:pPr>
<w:r><w:t xml:space="preserve">Guardian, which, started in March 1713, came to an end in</w:t></w:r>
</w:p>
<w:p>
<w:pPr><w:pStyle w:val="Normal"/></w:pPr>
<w:r><w:t xml:space="preserve">October, with its 175th number.  To this series Addison gave 53</w:t></w:r>
</w:p>
<w:p>
<w:pPr><w:pStyle w:val="Normal"/></w:pPr>
<w:r><w:t xml:space="preserve">papers, being a very frequent writer during the latter half</w:t></w:r>
</w:p>
<w:p>
<w:pPr><w:pStyle w:val="Normal"/></w:pPr>
<w:r><w:t xml:space="preserve">of its progress.  None of his essays here aim so high as the</w:t></w:r>
</w:p>
<w:p>
<w:pPr><w:pStyle w:val="Normal"/></w:pPr>
<w:r><w:t xml:space="preserve">best of those in the Spectator; but he often exhibits both</w:t></w:r>
</w:p>
<w:p>
<w:pPr><w:pStyle w:val="Normal"/></w:pPr>
<w:r><w:t xml:space="preserve">his cheerful and well-balanced humour and his earnest desire</w:t></w:r>
</w:p>
<w:p>
<w:pPr><w:pStyle w:val="Normal"/></w:pPr>
<w:r><w:t xml:space="preserve">to inculcate sound principles of literary judgment.  In the</w:t></w:r>
</w:p>
<w:p>
<w:pPr><w:pStyle w:val="Normal"/></w:pPr>
<w:r><w:t xml:space="preserve">last six months of the year 1714, the Spectator received its</w:t></w:r>
</w:p>
<w:p>
<w:pPr><w:pStyle w:val="Normal"/></w:pPr>
<w:r><w:t xml:space="preserve">eighth and last volume; for which Steele appears not to have</w:t></w:r>
</w:p>
<w:p>
<w:pPr><w:pStyle w:val="Normal"/></w:pPr>
<w:r><w:t xml:space="preserve">written at all, and Addison to have contributed 24 of the 80</w:t></w:r>
</w:p>
<w:p>
<w:pPr><w:pStyle w:val="Normal"/></w:pPr>
<w:r><w:t xml:space="preserve">papers.  Most of these form, in the unbroken seriousness both</w:t></w:r>
</w:p>
<w:p>
<w:pPr><w:pStyle w:val="Normal"/></w:pPr>
<w:r><w:t xml:space="preserve">of their topics and of their manner, a contrast to the majority</w:t></w:r>
</w:p>
<w:p>
<w:pPr><w:pStyle w:val="Normal"/></w:pPr>
<w:r><w:t xml:space="preserve">of his essays in the earlier volumes; but several of them, both</w:t></w:r>
</w:p>
<w:p>
<w:pPr><w:pStyle w:val="Normal"/></w:pPr>
<w:r><w:t xml:space="preserve">in this vein and in one less lofty, are among the best known,</w:t></w:r>
</w:p>
<w:p>
<w:pPr><w:pStyle w:val="Normal"/></w:pPr>
<w:r><w:t xml:space="preserve">if not the finest, of all his essays.  Such are the ``Mountain</w:t></w:r>
</w:p>
<w:p>
<w:pPr><w:pStyle w:val="Normal"/></w:pPr>
<w:r><w:t xml:space="preserve">of Miseries&apos;&apos;; the antediluvian novel of ``Shalum and Hilpa&apos;&apos;;</w:t></w:r>
</w:p>
<w:p>
<w:pPr><w:pStyle w:val="Normal"/></w:pPr>
<w:r><w:t xml:space="preserve">the ``Reflections by Moonlight on the Divine Perfections.&apos;&apos;</w:t></w:r>
</w:p>
<w:p>
<w:pPr><w:pStyle w:val="Normal"/></w:pPr>
<w:r><w:t xml:space="preserve">In April 1713 Addison brought on the stage, very reluctantly,</w:t></w:r>
</w:p>
<w:p>
<w:pPr><w:pStyle w:val="Normal"/></w:pPr>
<w:r><w:t xml:space="preserve">as we are assured, and can easily believe, his tragedy of</w:t></w:r>
</w:p>
<w:p>
<w:pPr><w:pStyle w:val="Normal"/></w:pPr>
<w:r><w:t xml:space="preserve">Cato. Its success was dazzling; but this issue was mainly</w:t></w:r>
</w:p>
<w:p>
<w:pPr><w:pStyle w:val="Normal"/></w:pPr>
<w:r><w:t xml:space="preserve">owing to the concern which the politicians took in the</w:t></w:r>
</w:p>
<w:p>
<w:pPr><w:pStyle w:val="Normal"/></w:pPr>
<w:r><w:t xml:space="preserve">exhibition.  The Whigs hailed it as a brilliant manifesto</w:t></w:r>
</w:p>
<w:p>
<w:pPr><w:pStyle w:val="Normal"/></w:pPr>
<w:r><w:t xml:space="preserve">in favour of constitutional freedom.  The Tories echoed</w:t></w:r>
</w:p>
<w:p>
<w:pPr><w:pStyle w:val="Normal"/></w:pPr>
<w:r><w:t xml:space="preserve">the applause, to show themselves enemies of despotism,</w:t></w:r>
</w:p>
<w:p>
<w:pPr><w:pStyle w:val="Normal"/></w:pPr>
<w:r><w:t xml:space="preserve">and professed to find in Julius Caesar a parallel to the</w:t></w:r>
</w:p>
<w:p>
<w:pPr><w:pStyle w:val="Normal"/></w:pPr>
<w:r><w:t xml:space="preserve">formidable Marlborough.  Even with such extrinsic aids,</w:t></w:r>
</w:p>
<w:p>
<w:pPr><w:pStyle w:val="Normal"/></w:pPr>
<w:r><w:t xml:space="preserve">and the advantage derived from the established fame of the</w:t></w:r>
</w:p>
<w:p>
<w:pPr><w:pStyle w:val="Normal"/></w:pPr>
<w:r><w:t xml:space="preserve">author, Cato could never have been esteemed a good dramatic</w:t></w:r>
</w:p>
<w:p>
<w:pPr><w:pStyle w:val="Normal"/></w:pPr>
<w:r><w:t xml:space="preserve">work, unless in an age in which dramatic power and insight</w:t></w:r>
</w:p>
<w:p>
<w:pPr><w:pStyle w:val="Normal"/></w:pPr>
<w:r><w:t xml:space="preserve">were almost extinct.  It is poor even in its poetical</w:t></w:r>
</w:p>
<w:p>
<w:pPr><w:pStyle w:val="Normal"/></w:pPr>
<w:r><w:t xml:space="preserve">elements, and is redeemed only by the finely solemn tone of</w:t></w:r>
</w:p>
<w:p>
<w:pPr><w:pStyle w:val="Normal"/></w:pPr>
<w:r><w:t xml:space="preserve">its moral reflexions and the singular refinement and equable</w:t></w:r>
</w:p>
<w:p>
<w:pPr><w:pStyle w:val="Normal"/></w:pPr>
<w:r><w:t xml:space="preserve">smoothness of its diction.  That it obtained the applause</w:t></w:r>
</w:p>
<w:p>
<w:pPr><w:pStyle w:val="Normal"/></w:pPr>
<w:r><w:t xml:space="preserve">of Voltaire must be ascribed to the fact that it was written</w:t></w:r>
</w:p>
<w:p>
<w:pPr><w:pStyle w:val="Normal"/></w:pPr>
<w:r><w:t xml:space="preserve">in accordance with the rules of French classical drama.</w:t></w:r>
</w:p>
<w:p>
<w:pPr><w:pStyle w:val="Normal"/></w:pPr>
<w:r><w:t xml:space="preserve">The literary career of Addison might almost be held as closed</w:t></w:r>
</w:p>
<w:p>
<w:pPr><w:pStyle w:val="Normal"/></w:pPr>
<w:r><w:t xml:space="preserve">soon after the death of Queen Anne, which occurred in August</w:t></w:r>
</w:p>
<w:p>
<w:pPr><w:pStyle w:val="Normal"/></w:pPr>
<w:r><w:t xml:space="preserve">1714, when he had lately completed his 42nd year.  His own life</w:t></w:r>
</w:p>
<w:p>
<w:pPr><w:pStyle w:val="Normal"/></w:pPr>
<w:r><w:t xml:space="preserve">extended only five years longer; and in this closing portion of</w:t></w:r>
</w:p>
<w:p>
<w:pPr><w:pStyle w:val="Normal"/></w:pPr>
<w:r><w:t xml:space="preserve">it we are reminded of his more vigorous days by nothing but a</w:t></w:r>
</w:p>
<w:p>
<w:pPr><w:pStyle w:val="Normal"/></w:pPr>
<w:r><w:t xml:space="preserve">few happy inventions interspersed in political pamphlets, and the</w:t></w:r>
</w:p>
<w:p>
<w:pPr><w:pStyle w:val="Normal"/></w:pPr>
<w:r><w:t xml:space="preserve">gay fancy of a trifling poem on Kneller&apos;s portrait of George I.</w:t></w:r>
</w:p>
<w:p>
<w:pPr><w:pStyle w:val="Normal"/></w:pPr>
<w:r><w:t xml:space="preserve">The lord justices who, previously chosen secretly by the elector</w:t></w:r>
</w:p>
<w:p>
<w:pPr><w:pStyle w:val="Normal"/></w:pPr>
<w:r><w:t xml:space="preserve">of Hanover, assumed the government on the queen&apos;s demise,</w:t></w:r>
</w:p>
<w:p>
<w:pPr><w:pStyle w:val="Normal"/></w:pPr>
<w:r><w:t xml:space="preserve">were, as a matter of course, the leading Whigs.  They appointed</w:t></w:r>
</w:p>
<w:p>
<w:pPr><w:pStyle w:val="Normal"/></w:pPr>
<w:r><w:t xml:space="preserve">Addison to act as their secretary.  He next held, for a very</w:t></w:r>
</w:p>
<w:p>
<w:pPr><w:pStyle w:val="Normal"/></w:pPr>
<w:r><w:t xml:space="preserve">short time, his former office under the Irish lord-lieutenant;</w:t></w:r>
</w:p>
<w:p>
<w:pPr><w:pStyle w:val="Normal"/></w:pPr>
<w:r><w:t xml:space="preserve">and, late in 1716, he was made one of the lords of trade.</w:t></w:r>
</w:p>
<w:p>
<w:pPr><w:pStyle w:val="Normal"/></w:pPr>
<w:r><w:t xml:space="preserve">In the course of the previous year had occurred the first of</w:t></w:r>
</w:p>
<w:p>
<w:pPr><w:pStyle w:val="Normal"/></w:pPr>
<w:r><w:t xml:space="preserve">the only two quarrels with friends, into which the prudent,</w:t></w:r>
</w:p>
<w:p>
<w:pPr><w:pStyle w:val="Normal"/></w:pPr>
<w:r><w:t xml:space="preserve">good-tempered and modest Addison is said to have ever been</w:t></w:r>
</w:p>
<w:p>
<w:pPr><w:pStyle w:val="Normal"/></w:pPr>
<w:r><w:t xml:space="preserve">betrayed.  His adversary on this occasion was Pope, who, a</w:t></w:r>
</w:p>
<w:p>
<w:pPr><w:pStyle w:val="Normal"/></w:pPr>
<w:r><w:t xml:space="preserve">few years before, had received, with an appearance of humble</w:t></w:r>
</w:p>
<w:p>
<w:pPr><w:pStyle w:val="Normal"/></w:pPr>
<w:r><w:t xml:space="preserve">thankfulness, Addison&apos;s friendly remarks on his Essay</w:t></w:r>
</w:p>
<w:p>
<w:pPr><w:pStyle w:val="Normal"/></w:pPr>
<w:r><w:t xml:space="preserve">on Criticism (Spectator, No. 253); but who, though still</w:t></w:r>
</w:p>
<w:p>
<w:pPr><w:pStyle w:val="Normal"/></w:pPr>
<w:r><w:t xml:space="preserve">very young, was already very famous, and beginning to show</w:t></w:r>
</w:p>
<w:p>
<w:pPr><w:pStyle w:val="Normal"/></w:pPr>
<w:r><w:t xml:space="preserve">incessantly his literary jealousies and his personal and party</w:t></w:r>
</w:p>
<w:p>
<w:pPr><w:pStyle w:val="Normal"/></w:pPr>
<w:r><w:t xml:space="preserve">hatreds.  Several little misunderstandings had paved the way</w:t></w:r>
</w:p>
<w:p>
<w:pPr><w:pStyle w:val="Normal"/></w:pPr>
<w:r><w:t xml:space="preserve">for a breach, when, at the same time with the first volume of</w:t></w:r>
</w:p>
<w:p>
<w:pPr><w:pStyle w:val="Normal"/></w:pPr>
<w:r><w:t xml:space="preserve">Pope&apos;s Iliad, there appeared a translation of the first book</w:t></w:r>
</w:p>
<w:p>
<w:pPr><w:pStyle w:val="Normal"/></w:pPr>
<w:r><w:t xml:space="preserve">of the poem bearing the name of Thomas Tickell.  Tickell, in</w:t></w:r>
</w:p>
<w:p>
<w:pPr><w:pStyle w:val="Normal"/></w:pPr>
<w:r><w:t xml:space="preserve">his preface, disclaimed all rivalry with Pope, and declared</w:t></w:r>
</w:p>
<w:p>
<w:pPr><w:pStyle w:val="Normal"/></w:pPr>
<w:r><w:t xml:space="preserve">that he wished only to bespeak favourable attention for his</w:t></w:r>
</w:p>
<w:p>
<w:pPr><w:pStyle w:val="Normal"/></w:pPr>
<w:r><w:t xml:space="preserve">contemplated version of the Odyssey. But the simultaneous</w:t></w:r>
</w:p>
<w:p>
<w:pPr><w:pStyle w:val="Normal"/></w:pPr>
<w:r><w:t xml:space="preserve">publication was awkward; and Tickell, though not so good a</w:t></w:r>
</w:p>
<w:p>
<w:pPr><w:pStyle w:val="Normal"/></w:pPr>
<w:r><w:t xml:space="preserve">versifier as Pope, was a dangerous rival, as being a good</w:t></w:r>
</w:p>
<w:p>
<w:pPr><w:pStyle w:val="Normal"/></w:pPr>
<w:r><w:t xml:space="preserve">Greek scholar.  Further, he was Addison&apos;s under-secretary</w:t></w:r>
</w:p>
<w:p>
<w:pPr><w:pStyle w:val="Normal"/></w:pPr>
<w:r><w:t xml:space="preserve">and confidential friend; and Addison, cautious though he</w:t></w:r>
</w:p>
<w:p>
<w:pPr><w:pStyle w:val="Normal"/></w:pPr>
<w:r><w:t xml:space="preserve">was, does appear to have said (quite truly) that Tickell&apos;s</w:t></w:r>
</w:p>
<w:p>
<w:pPr><w:pStyle w:val="Normal"/></w:pPr>
<w:r><w:t xml:space="preserve">translation was more faithful than the other.  Pope&apos;s anger</w:t></w:r>
</w:p>
<w:p>
<w:pPr><w:pStyle w:val="Normal"/></w:pPr>
<w:r><w:t xml:space="preserve">could not be restrained.  He wrote those famous lines in</w:t></w:r>
</w:p>
<w:p>
<w:pPr><w:pStyle w:val="Normal"/></w:pPr>
<w:r><w:t xml:space="preserve">which he describes Addison under the name of Atticus, and</w:t></w:r>
</w:p>
<w:p>
<w:pPr><w:pStyle w:val="Normal"/></w:pPr>
<w:r><w:t xml:space="preserve">although it seems doubtful whether he really sent a copy</w:t></w:r>
</w:p>
<w:p>
<w:pPr><w:pStyle w:val="Normal"/></w:pPr>
<w:r><w:t xml:space="preserve">to Addison himself, he afterwards went so far as to profess</w:t></w:r>
</w:p>
<w:p>
<w:pPr><w:pStyle w:val="Normal"/></w:pPr>
<w:r><w:t xml:space="preserve">a belief that the rival translation was really Addison&apos;s</w:t></w:r>
</w:p>
<w:p>
<w:pPr><w:pStyle w:val="Normal"/></w:pPr>
<w:r><w:t xml:space="preserve">own.  Addison, it is pleasant to observe, was at the pains,</w:t></w:r>
</w:p>
<w:p>
<w:pPr><w:pStyle w:val="Normal"/></w:pPr>
<w:r><w:t xml:space="preserve">in his Freeholder, to express hearty approbation of the</w:t></w:r>
</w:p>
<w:p>
<w:pPr><w:pStyle w:val="Normal"/></w:pPr>
<w:r><w:t xml:space="preserve">Iliad of Pope, who, on the contrary, after Addison&apos;s</w:t></w:r>
</w:p>
<w:p>
<w:pPr><w:pStyle w:val="Normal"/></w:pPr>
<w:r><w:t xml:space="preserve">death, deliberately printed his matchlessly malignant verses</w:t></w:r>
</w:p>
<w:p>
<w:pPr><w:pStyle w:val="Normal"/></w:pPr>
<w:r><w:t xml:space="preserve">in the ``Epistle to Dr Arbuthnot.&apos;&apos; In 1716 there was acted,</w:t></w:r>
</w:p>
<w:p>
<w:pPr><w:pStyle w:val="Normal"/></w:pPr>
<w:r><w:t xml:space="preserve">with little success, Addison&apos;s comedy of The Drummer, or</w:t></w:r>
</w:p>
<w:p>
<w:pPr><w:pStyle w:val="Normal"/></w:pPr>
<w:r><w:t xml:space="preserve">the Haunted House. It contributes very little to his</w:t></w:r>
</w:p>
<w:p>
<w:pPr><w:pStyle w:val="Normal"/></w:pPr>
<w:r><w:t xml:space="preserve">fame.  From September 1715 to June 1716 he defended the</w:t></w:r>
</w:p>
<w:p>
<w:pPr><w:pStyle w:val="Normal"/></w:pPr>
<w:r><w:t xml:space="preserve">Hanoverian succession, and the proceedings of the government</w:t></w:r>
</w:p>
<w:p>
<w:pPr><w:pStyle w:val="Normal"/></w:pPr>
<w:r><w:t xml:space="preserve">in regard to the rebellion, in a paper called the Freeholder,</w:t></w:r>
</w:p>
<w:p>
<w:pPr><w:pStyle w:val="Normal"/></w:pPr>
<w:r><w:t xml:space="preserve">which he wrote entirely himself, dropping it with the 55th</w:t></w:r>
</w:p>
<w:p>
<w:pPr><w:pStyle w:val="Normal"/></w:pPr>
<w:r><w:t xml:space="preserve">number.  It is much better tempered, not less spirited and</w:t></w:r>
</w:p>
<w:p>
<w:pPr><w:pStyle w:val="Normal"/></w:pPr>
<w:r><w:t xml:space="preserve">much more able in thinking than his Examiner. The finical</w:t></w:r>
</w:p>
<w:p>
<w:pPr><w:pStyle w:val="Normal"/></w:pPr>
<w:r><w:t xml:space="preserve">man of taste does indeed show himself to be sometimes weary of</w:t></w:r>
</w:p>
<w:p>
<w:pPr><w:pStyle w:val="Normal"/></w:pPr>
<w:r><w:t xml:space="preserve">discussing constitutional questions; but he aims many enlivening</w:t></w:r>
</w:p>
<w:p>
<w:pPr><w:pStyle w:val="Normal"/></w:pPr>
<w:r><w:t xml:space="preserve">thrusts at weak points of social life and manners; and the</w:t></w:r>
</w:p>
<w:p>
<w:pPr><w:pStyle w:val="Normal"/></w:pPr>
<w:r><w:t xml:space="preserve">character of the Fox-hunting Squire, who is introduced as the</w:t></w:r>
</w:p>
<w:p>
<w:pPr><w:pStyle w:val="Normal"/></w:pPr>
<w:r><w:t xml:space="preserve">representative of the Jacobites, is drawn with so much humour</w:t></w:r>
</w:p>
<w:p>
<w:pPr><w:pStyle w:val="Normal"/></w:pPr>
<w:r><w:t xml:space="preserve">and force that we regret not being allowed to see more of him.</w:t></w:r>
</w:p>
<w:p>
<w:pPr><w:pStyle w:val="Normal"/></w:pPr>
<w:r><w:t xml:space="preserve">In August 1716, when he had completed his 44th year, Addison</w:t></w:r>
</w:p>
<w:p>
<w:pPr><w:pStyle w:val="Normal"/></w:pPr>
<w:r><w:t xml:space="preserve">married Charlotte, countess-dowager of Warwick, a widow of</w:t></w:r>
</w:p>
<w:p>
<w:pPr><w:pStyle w:val="Normal"/></w:pPr>
<w:r><w:t xml:space="preserve">fifteen years&apos; standing.  She seems to have forfeited her</w:t></w:r>
</w:p>
<w:p>
<w:pPr><w:pStyle w:val="Normal"/></w:pPr>
<w:r><w:t xml:space="preserve">jointure by the marriage, and to have brought her husband</w:t></w:r>
</w:p>
<w:p>
<w:pPr><w:pStyle w:val="Normal"/></w:pPr>
<w:r><w:t xml:space="preserve">nothing but the occupancy of Holland House at Kensington.</w:t></w:r>
</w:p>
<w:p>
<w:pPr><w:pStyle w:val="Normal"/></w:pPr>
<w:r><w:t xml:space="preserve">The assertion that the courtship was a long one is probably</w:t></w:r>
</w:p>
<w:p>
<w:pPr><w:pStyle w:val="Normal"/></w:pPr>
<w:r><w:t xml:space="preserve">as erroneous as the contemporary rumour that the marriage was</w:t></w:r>
</w:p>
<w:p>
<w:pPr><w:pStyle w:val="Normal"/></w:pPr>
<w:r><w:t xml:space="preserve">unhappy.  Such positive evidence as exists tends rather to the</w:t></w:r>
</w:p>
<w:p>
<w:pPr><w:pStyle w:val="Normal"/></w:pPr>
<w:r><w:t xml:space="preserve">contrary.  What seems clear is, that, from obscure causes,--among</w:t></w:r>
</w:p>
<w:p>
<w:pPr><w:pStyle w:val="Normal"/></w:pPr>
<w:r><w:t xml:space="preserve">which it is alleged a growing habit of intemperance was</w:t></w:r>
</w:p>
<w:p>
<w:pPr><w:pStyle w:val="Normal"/></w:pPr>
<w:r><w:t xml:space="preserve">one---Addison&apos;s health was shattered before he took the last, and</w:t></w:r>
</w:p>
<w:p>
<w:pPr><w:pStyle w:val="Normal"/></w:pPr>
<w:r><w:t xml:space="preserve">certainly the most unwise, step in his ascent to political power.</w:t></w:r>
</w:p>
<w:p>
<w:pPr><w:pStyle w:val="Normal"/></w:pPr>
<w:r><w:t xml:space="preserve">For a considerable time dissensions had existed in the</w:t></w:r>
</w:p>
<w:p>
<w:pPr><w:pStyle w:val="Normal"/></w:pPr>
<w:r><w:t xml:space="preserve">ministry; and these came to a crisis in April 1717, when those</w:t></w:r>
</w:p>
<w:p>
<w:pPr><w:pStyle w:val="Normal"/></w:pPr>
<w:r><w:t xml:space="preserve">who had been the real chiefs passed into the ranks of the</w:t></w:r>
</w:p>
<w:p>
<w:pPr><w:pStyle w:val="Normal"/></w:pPr>
<w:r><w:t xml:space="preserve">opposition.  Townshend was dismissed, and Walpole anticipated</w:t></w:r>
</w:p>
<w:p>
<w:pPr><w:pStyle w:val="Normal"/></w:pPr>
<w:r><w:t xml:space="preserve">dismissal by resignation.  There was now formed, under</w:t></w:r>
</w:p>
<w:p>
<w:pPr><w:pStyle w:val="Normal"/></w:pPr>
<w:r><w:t xml:space="preserve">the leadership of General Stanhope and Lord Sunderland, an</w:t></w:r>
</w:p>
<w:p>
<w:pPr><w:pStyle w:val="Normal"/></w:pPr>
<w:r><w:t xml:space="preserve">administration which, as resting on court-influence, was</w:t></w:r>
</w:p>
<w:p>
<w:pPr><w:pStyle w:val="Normal"/></w:pPr>
<w:r><w:t xml:space="preserve">nicknamed the ``German ministry.&apos;&apos; Sunderland, Addison&apos;s</w:t></w:r>
</w:p>
<w:p>
<w:pPr><w:pStyle w:val="Normal"/></w:pPr>
<w:r><w:t xml:space="preserve">former superior, became one of the two principal secretaries</w:t></w:r>
</w:p>
<w:p>
<w:pPr><w:pStyle w:val="Normal"/></w:pPr>
<w:r><w:t xml:space="preserve">of state; and Addison himself was appointed as the other.</w:t></w:r>
</w:p>
<w:p>
<w:pPr><w:pStyle w:val="Normal"/></w:pPr>
<w:r><w:t xml:space="preserve">His elevation to such a post had been contemplated on the</w:t></w:r>
</w:p>
<w:p>
<w:pPr><w:pStyle w:val="Normal"/></w:pPr>
<w:r><w:t xml:space="preserve">accession of George I., and prevented, we are told, by his</w:t></w:r>
</w:p>
<w:p>
<w:pPr><w:pStyle w:val="Normal"/></w:pPr>
<w:r><w:t xml:space="preserve">own refusal; and it is asserted, on the authority of Pope,</w:t></w:r>
</w:p>
<w:p>
<w:pPr><w:pStyle w:val="Normal"/></w:pPr>
<w:r><w:t xml:space="preserve">that his acceptance now was owing only to the influence of his</w:t></w:r>
</w:p>
<w:p>
<w:pPr><w:pStyle w:val="Normal"/></w:pPr>
<w:r><w:t xml:space="preserve">wife.  Even if there is no ground, as there probably is</w:t></w:r>
</w:p>
<w:p>
<w:pPr><w:pStyle w:val="Normal"/></w:pPr>
<w:r><w:t xml:space="preserve">not, for the allegation of Addison&apos;s inefficiency in the</w:t></w:r>
</w:p>
<w:p>
<w:pPr><w:pStyle w:val="Normal"/></w:pPr>
<w:r><w:t xml:space="preserve">details of business, his unfitness for such an office in such</w:t></w:r>
</w:p>
<w:p>
<w:pPr><w:pStyle w:val="Normal"/></w:pPr>
<w:r><w:t xml:space="preserve">circumstances was undeniable and glaring.  It was impossible</w:t></w:r>
</w:p>
<w:p>
<w:pPr><w:pStyle w:val="Normal"/></w:pPr>
<w:r><w:t xml:space="preserve">that a government, whose secretary of state could not open his</w:t></w:r>
</w:p>
<w:p>
<w:pPr><w:pStyle w:val="Normal"/></w:pPr>
<w:r><w:t xml:space="preserve">lips in debate, should long face an opposition headed by Robert</w:t></w:r>
</w:p>
<w:p>
<w:pPr><w:pStyle w:val="Normal"/></w:pPr>
<w:r><w:t xml:space="preserve">Walpole.  The decay of Addison&apos;s health, too, was going on</w:t></w:r>
</w:p>
<w:p>
<w:pPr><w:pStyle w:val="Normal"/></w:pPr>
<w:r><w:t xml:space="preserve">rapidly, being, we may readily conjecture, precipitated by</w:t></w:r>
</w:p>
<w:p>
<w:pPr><w:pStyle w:val="Normal"/></w:pPr>
<w:r><w:t xml:space="preserve">anxiety, if no worse causes were at work.  Ill-health was the</w:t></w:r>
</w:p>
<w:p>
<w:pPr><w:pStyle w:val="Normal"/></w:pPr>
<w:r><w:t xml:space="preserve">reason assigned for retirement, in the letter of resignation</w:t></w:r>
</w:p>
<w:p>
<w:pPr><w:pStyle w:val="Normal"/></w:pPr>
<w:r><w:t xml:space="preserve">which he laid before the king in March 1718, eleven months</w:t></w:r>
</w:p>
<w:p>
<w:pPr><w:pStyle w:val="Normal"/></w:pPr>
<w:r><w:t xml:space="preserve">after his appointment.  He received a pension of L. 1500 a year.</w:t></w:r>
</w:p>
<w:p>
<w:pPr><w:pStyle w:val="Normal"/></w:pPr>
<w:r><w:t xml:space="preserve">Not long afterwards the divisions in the Whig party alienated</w:t></w:r>
</w:p>
<w:p>
<w:pPr><w:pStyle w:val="Normal"/></w:pPr>
<w:r><w:t xml:space="preserve">him from his oldest friend.  The Peerage Bill, introduced</w:t></w:r>
</w:p>
<w:p>
<w:pPr><w:pStyle w:val="Normal"/></w:pPr>
<w:r><w:t xml:space="preserve">in February 1719, was attacked, on behalf of the opposition,</w:t></w:r>
</w:p>
<w:p>
<w:pPr><w:pStyle w:val="Normal"/></w:pPr>
<w:r><w:t xml:space="preserve">in a weekly paper called the Plebeian, written by</w:t></w:r>
</w:p>
<w:p>
<w:pPr><w:pStyle w:val="Normal"/></w:pPr>
<w:r><w:t xml:space="preserve">Steele.  Addison answered the attack in the Old VVhig,</w:t></w:r>
</w:p>
<w:p>
<w:pPr><w:pStyle w:val="Normal"/></w:pPr>
<w:r><w:t xml:space="preserve">and this belum plusquam civile--as Johnson calls it--was</w:t></w:r>
</w:p>
<w:p>
<w:pPr><w:pStyle w:val="Normal"/></w:pPr>
<w:r><w:t xml:space="preserve">continued, with increased acrimony, through two or three</w:t></w:r>
</w:p>
<w:p>
<w:pPr><w:pStyle w:val="Normal"/></w:pPr>
<w:r><w:t xml:space="preserve">numbers.  How Addison, who was dying, felt after this painful</w:t></w:r>
</w:p>
<w:p>
<w:pPr><w:pStyle w:val="Normal"/></w:pPr>
<w:r><w:t xml:space="preserve">controversy we are not told directly; but the Old Whig</w:t></w:r>
</w:p>
<w:p>
<w:pPr><w:pStyle w:val="Normal"/></w:pPr>
<w:r><w:t xml:space="preserve">was excluded from that posthumous collection of his works</w:t></w:r>
</w:p>
<w:p>
<w:pPr><w:pStyle w:val="Normal"/></w:pPr>
<w:r><w:t xml:space="preserve">(1721-1726) for which his executor Tickell had received from</w:t></w:r>
</w:p>
<w:p>
<w:pPr><w:pStyle w:val="Normal"/></w:pPr>
<w:r><w:t xml:space="preserve">him authority and directions.  It is said that the quarrel</w:t></w:r>
</w:p>
<w:p>
<w:pPr><w:pStyle w:val="Normal"/></w:pPr>
<w:r><w:t xml:space="preserve">in politics rested on an estrangement which had been growing</w:t></w:r>
</w:p>
<w:p>
<w:pPr><w:pStyle w:val="Normal"/></w:pPr>
<w:r><w:t xml:space="preserve">for some years.  According to a rather nebulous story, for</w:t></w:r>
</w:p>
<w:p>
<w:pPr><w:pStyle w:val="Normal"/></w:pPr>
<w:r><w:t xml:space="preserve">which Johnson is the popular authority, Addison, or Addison&apos;s</w:t></w:r>
</w:p>
<w:p>
<w:pPr><w:pStyle w:val="Normal"/></w:pPr>
<w:r><w:t xml:space="preserve">lawyer, put an execution for L. 100 in Steele&apos;s house by</w:t></w:r>
</w:p>
<w:p>
<w:pPr><w:pStyle w:val="Normal"/></w:pPr>
<w:r><w:t xml:space="preserve">way of reading his friend a lesson on his extravagance.</w:t></w:r>
</w:p>
<w:p>
<w:pPr><w:pStyle w:val="Normal"/></w:pPr>
<w:r><w:t xml:space="preserve">This well-meant interference seems to have been pardoned by</w:t></w:r>
</w:p>
<w:p>
<w:pPr><w:pStyle w:val="Normal"/></w:pPr>
<w:r><w:t xml:space="preserve">Steele, but his letters show that he resented the favour</w:t></w:r>
</w:p>
<w:p>
<w:pPr><w:pStyle w:val="Normal"/></w:pPr>
<w:r><w:t xml:space="preserve">shown to Tickell by Addison and his own neglect by the Whigs.</w:t></w:r>
</w:p>
<w:p>
<w:pPr><w:pStyle w:val="Normal"/></w:pPr>
<w:r><w:t xml:space="preserve">The disease under which Addison laboured appears to have been</w:t></w:r>
</w:p>
<w:p>
<w:pPr><w:pStyle w:val="Normal"/></w:pPr>
<w:r><w:t xml:space="preserve">asthma.  It became more violent after his retirement from</w:t></w:r>
</w:p>
<w:p>
<w:pPr><w:pStyle w:val="Normal"/></w:pPr>
<w:r><w:t xml:space="preserve">office, and was now accompanied by dropsy.  His deathbed was</w:t></w:r>
</w:p>
<w:p>
<w:pPr><w:pStyle w:val="Normal"/></w:pPr>
<w:r><w:t xml:space="preserve">placid and resigned, and comforted by those religious hopes</w:t></w:r>
</w:p>
<w:p>
<w:pPr><w:pStyle w:val="Normal"/></w:pPr>
<w:r><w:t xml:space="preserve">which he had so often suggested to others, and the value of</w:t></w:r>
</w:p>
<w:p>
<w:pPr><w:pStyle w:val="Normal"/></w:pPr>
<w:r><w:t xml:space="preserve">which he is said, in an anecdote of doubtful authority, to</w:t></w:r>
</w:p>
<w:p>
<w:pPr><w:pStyle w:val="Normal"/></w:pPr>
<w:r><w:t xml:space="preserve">have now inculcated in a parting interview with his step-son.</w:t></w:r>
</w:p>
<w:p>
<w:pPr><w:pStyle w:val="Normal"/></w:pPr>
<w:r><w:t xml:space="preserve">He died at Holland House on the 17th of June 1719, six weeks</w:t></w:r>
</w:p>
<w:p>
<w:pPr><w:pStyle w:val="Normal"/></w:pPr>
<w:r><w:t xml:space="preserve">after having completed his 47th year.  His body, after lying in</w:t></w:r>
</w:p>
<w:p>
<w:pPr><w:pStyle w:val="Normal"/></w:pPr>
<w:r><w:t xml:space="preserve">state, was interred in the Poets&apos; Corner of Westminster Abbey.</w:t></w:r>
</w:p>
<w:p>
<w:pPr><w:pStyle w:val="Normal"/></w:pPr>
<w:r><w:t xml:space="preserve">Addison&apos;s life was written in 1843 by Lucy Aikin.  This</w:t></w:r>
</w:p>
<w:p>
<w:pPr><w:pStyle w:val="Normal"/></w:pPr>
<w:r><w:t xml:space="preserve">was reviewed by Macaulay in July of the same year.  A more</w:t></w:r>
</w:p>
<w:p>
<w:pPr><w:pStyle w:val="Normal"/></w:pPr>
<w:r><w:t xml:space="preserve">modern study is that m the ``Men of Letters&apos;&apos; series by W. J.</w:t></w:r>
</w:p>
<w:p>
<w:pPr><w:pStyle w:val="Normal"/></w:pPr>
<w:r><w:t xml:space="preserve">Courthope (1884).  There is a convenient one-volume edition</w:t></w:r>
</w:p>
<w:p>
<w:pPr><w:pStyle w:val="Normal"/></w:pPr>
<w:r><w:t xml:space="preserve">of the Spectator, by Henry Morley (Routledge, 1868), and</w:t></w:r>
</w:p>
<w:p>
<w:pPr><w:pStyle w:val="Normal"/></w:pPr>
<w:r><w:t xml:space="preserve">another in 8 vols. (1897-1898) by G. Gregory Smith.  Of</w:t></w:r>
</w:p>
<w:p>
<w:pPr><w:pStyle w:val="Normal"/></w:pPr>
<w:r><w:t xml:space="preserve">the Tatler there is an edition by G. A. Aitken in 8 vols.</w:t></w:r>
</w:p>
<w:p>
<w:pPr><w:pStyle w:val="Normal"/></w:pPr>
<w:r><w:t xml:space="preserve">(1898).  A complete edition of Addison&apos;s works (based upon</w:t></w:r>
</w:p>
<w:p>
<w:pPr><w:pStyle w:val="Normal"/></w:pPr>
<w:r><w:t xml:space="preserve">Hurd) is included in Bohn&apos;s British Classics. (W. S.; A. D.)</w:t></w:r>
</w:p>
<w:p>
<w:pPr><w:pStyle w:val="Normal"/></w:pPr>
<w:r><w:t xml:space="preserve">ADDISON&apos;S DISEASE, a constitutional affection manifesting</w:t></w:r>
</w:p>
<w:p>
<w:pPr><w:pStyle w:val="Normal"/></w:pPr>
<w:r><w:t xml:space="preserve">itself in an exaggeration of the normal pigment of the skin,</w:t></w:r>
</w:p>
<w:p>
<w:pPr><w:pStyle w:val="Normal"/></w:pPr>
<w:r><w:t xml:space="preserve">asthenia, irritability of the gastro-intestinal tract, and</w:t></w:r>
</w:p>
<w:p>
<w:pPr><w:pStyle w:val="Normal"/></w:pPr>
<w:r><w:t xml:space="preserve">weakness and irregularity of the heart&apos;s action: these symptoms</w:t></w:r>
</w:p>
<w:p>
<w:pPr><w:pStyle w:val="Normal"/></w:pPr>
<w:r><w:t xml:space="preserve">being due to loss of function of the suprarenal glands.  It</w:t></w:r>
</w:p>
<w:p>
<w:pPr><w:pStyle w:val="Normal"/></w:pPr>
<w:r><w:t xml:space="preserve">is important to note, however, that Addison&apos;s Disease may</w:t></w:r>
</w:p>
<w:p>
<w:pPr><w:pStyle w:val="Normal"/></w:pPr>
<w:r><w:t xml:space="preserve">occur without pigmentation, and pigmentation without Addison&apos;s</w:t></w:r>
</w:p>
<w:p>
<w:pPr><w:pStyle w:val="Normal"/></w:pPr>
<w:r><w:t xml:space="preserve">Disease.  The condition was first recognized by Dr Thomas</w:t></w:r>
</w:p>
<w:p>
<w:pPr><w:pStyle w:val="Normal"/></w:pPr>
<w:r><w:t xml:space="preserve">Addison of Guy&apos;s Hospital, who in 1855 published an important</w:t></w:r>
</w:p>
<w:p>
<w:pPr><w:pStyle w:val="Normal"/></w:pPr>
<w:r><w:t xml:space="preserve">work on The Constitutional and Local Effects of Diseases of</w:t></w:r>
</w:p>
<w:p>
<w:pPr><w:pStyle w:val="Normal"/></w:pPr>
<w:r><w:t xml:space="preserve">the Suprarenal Capsules. Sir Samuel Wilks worked zealously</w:t></w:r>
</w:p>
<w:p>
<w:pPr><w:pStyle w:val="Normal"/></w:pPr>
<w:r><w:t xml:space="preserve">in obtaining recognition for these observations in England,</w:t></w:r>
</w:p>
<w:p>
<w:pPr><w:pStyle w:val="Normal"/></w:pPr>
<w:r><w:t xml:space="preserve">and Brown-Sequard in France was stimulated by this paper to</w:t></w:r>
</w:p>
<w:p>
<w:pPr><w:pStyle w:val="Normal"/></w:pPr>
<w:r><w:t xml:space="preserve">investigate the physiology of these glands.  Dr Trousseau,</w:t></w:r>
</w:p>
<w:p>
<w:pPr><w:pStyle w:val="Normal"/></w:pPr>
<w:r><w:t xml:space="preserve">many years later, first called the condition by Addison&apos;s</w:t></w:r>
</w:p>
<w:p>
<w:pPr><w:pStyle w:val="Normal"/></w:pPr>
<w:r><w:t xml:space="preserve">name.  Dr Headlam Greenhow worked at the subject for many</w:t></w:r>
</w:p>
<w:p>
<w:pPr><w:pStyle w:val="Normal"/></w:pPr>
<w:r><w:t xml:space="preserve">years and embodied his observations in the Croonian Lectures of</w:t></w:r>
</w:p>
<w:p>
<w:pPr><w:pStyle w:val="Normal"/></w:pPr>
<w:r><w:t xml:space="preserve">1875.  But from this time on no further work was undertaken</w:t></w:r>
</w:p>
<w:p>
<w:pPr><w:pStyle w:val="Normal"/></w:pPr>
<w:r><w:t xml:space="preserve">until the discovery of the treatment of myxoedema by thyroid</w:t></w:r>
</w:p>
<w:p>
<w:pPr><w:pStyle w:val="Normal"/></w:pPr>
<w:r><w:t xml:space="preserve">extract, and the consequent researches into the physiology of</w:t></w:r>
</w:p>
<w:p>
<w:pPr><w:pStyle w:val="Normal"/></w:pPr>
<w:r><w:t xml:space="preserve">the ductless glands.  This stimulated renewed interest in the</w:t></w:r>
</w:p>
<w:p>
<w:pPr><w:pStyle w:val="Normal"/></w:pPr>
<w:r><w:t xml:space="preserve">subject, and work was carried on in many countries.  But it</w:t></w:r>
</w:p>
<w:p>
<w:pPr><w:pStyle w:val="Normal"/></w:pPr>
<w:r><w:t xml:space="preserve">remained for Schafer and Oliver of University College, London,</w:t></w:r>
</w:p>
<w:p>
<w:pPr><w:pStyle w:val="Normal"/></w:pPr>
<w:r><w:t xml:space="preserve">to demonstrate the internal secretion of the suprarenals,</w:t></w:r>
</w:p>
<w:p>
<w:pPr><w:pStyle w:val="Normal"/></w:pPr>
<w:r><w:t xml:space="preserve">and its importance in normal metabolism, thereby confirming</w:t></w:r>
</w:p>
<w:p>
<w:pPr><w:pStyle w:val="Normal"/></w:pPr>
<w:r><w:t xml:space="preserve">Addison&apos;s original view that the disease was due to loss of</w:t></w:r>
</w:p>
<w:p>
<w:pPr><w:pStyle w:val="Normal"/></w:pPr>
<w:r><w:t xml:space="preserve">function of these glands.  They demonstrated that these glands</w:t></w:r>
</w:p>
<w:p>
<w:pPr><w:pStyle w:val="Normal"/></w:pPr>
<w:r><w:t xml:space="preserve">contain a very powerful extract which produces toxic effects</w:t></w:r>
</w:p>
<w:p>
<w:pPr><w:pStyle w:val="Normal"/></w:pPr>
<w:r><w:t xml:space="preserve">when administered to animals, and that an active principle</w:t></w:r>
</w:p>
<w:p>
<w:pPr><w:pStyle w:val="Normal"/></w:pPr>
<w:r><w:t xml:space="preserve">``adrenalin&apos;&apos; can be separated, which excites contraction</w:t></w:r>
</w:p>
<w:p>
<w:pPr><w:pStyle w:val="Normal"/></w:pPr>
<w:r><w:t xml:space="preserve">of the small blood vessels and thus raises blood pressure.</w:t></w:r>
</w:p>
<w:p>
<w:pPr><w:pStyle w:val="Normal"/></w:pPr>
<w:r><w:t xml:space="preserve">The latest views of this disease thus stand: (1) that it is</w:t></w:r>
</w:p>
<w:p>
<w:pPr><w:pStyle w:val="Normal"/></w:pPr>
<w:r><w:t xml:space="preserve">entirely dependent on suprarenal disease, being the result of</w:t></w:r>
</w:p>
<w:p>
<w:pPr><w:pStyle w:val="Normal"/></w:pPr>
<w:r><w:t xml:space="preserve">a diminution or absence of their internal secretion, or else of</w:t></w:r>
</w:p>
<w:p>
<w:pPr><w:pStyle w:val="Normal"/></w:pPr>
<w:r><w:t xml:space="preserve">a perversion of their secretion; or (2) that it is of nervous</w:t></w:r>
</w:p>
<w:p>
<w:pPr><w:pStyle w:val="Normal"/></w:pPr>
<w:r><w:t xml:space="preserve">origin, being the result of changes in or irritation of the large</w:t></w:r>
</w:p>
<w:p>
<w:pPr><w:pStyle w:val="Normal"/></w:pPr>
<w:r><w:t xml:space="preserve">sympathetic plexuses in the abdomen; or else (3) that it is a</w:t></w:r>
</w:p>
<w:p>
<w:pPr><w:pStyle w:val="Normal"/></w:pPr>
<w:r><w:t xml:space="preserve">combination of glandular inadequacy and sympathetic irritation.</w:t></w:r>
</w:p>
<w:p>
<w:pPr><w:pStyle w:val="Normal"/></w:pPr>
<w:r><w:t xml:space="preserve">The morbid anatomy shows (1) that in over 80% of the cases</w:t></w:r>
</w:p>
<w:p>
<w:pPr><w:pStyle w:val="Normal"/></w:pPr>
<w:r><w:t xml:space="preserve">the changes in the suprarenals are those due to tuberculosis,</w:t></w:r>
</w:p>
<w:p>
<w:pPr><w:pStyle w:val="Normal"/></w:pPr>
<w:r><w:t xml:space="preserve">usually beginning in the medulla and resulting in more or</w:t></w:r>
</w:p>
<w:p>
<w:pPr><w:pStyle w:val="Normal"/></w:pPr>
<w:r><w:t xml:space="preserve">less caseation; and that this lesion is bilateral and usually</w:t></w:r>
</w:p>
<w:p>
<w:pPr><w:pStyle w:val="Normal"/></w:pPr>
<w:r><w:t xml:space="preserve">secondary to tuberculous disease elsewhere, especially of</w:t></w:r>
</w:p>
<w:p>
<w:pPr><w:pStyle w:val="Normal"/></w:pPr>
<w:r><w:t xml:space="preserve">the spinal column.  In the remaining cases (2) simple atrophy</w:t></w:r>
</w:p>
<w:p>
<w:pPr><w:pStyle w:val="Normal"/></w:pPr>
<w:r><w:t xml:space="preserve">has been noted, or (3) chronic interstitial inflammation</w:t></w:r>
</w:p>
<w:p>
<w:pPr><w:pStyle w:val="Normal"/></w:pPr>
<w:r><w:t xml:space="preserve">which would lead to atrophy; and finally (4) an apparently</w:t></w:r>
</w:p>
<w:p>
<w:pPr><w:pStyle w:val="Normal"/></w:pPr>
<w:r><w:t xml:space="preserve">normal condition of the glands, but the neighbouring</w:t></w:r>
</w:p>
<w:p>
<w:pPr><w:pStyle w:val="Normal"/></w:pPr>
<w:r><w:t xml:space="preserve">sympathetic ganglia diseased or involved in a mass of fibrous</w:t></w:r>
</w:p>
<w:p>
<w:pPr><w:pStyle w:val="Normal"/></w:pPr>
<w:r><w:t xml:space="preserve">tissue.  Other morbid conditions of the suprarenals</w:t></w:r>
</w:p>
<w:p>
<w:pPr><w:pStyle w:val="Normal"/></w:pPr>
<w:r><w:t xml:space="preserve">do not give rise to the symptoms of Addison&apos;s Disease.</w:t></w:r>
</w:p>
<w:p>
<w:pPr><w:pStyle w:val="Normal"/></w:pPr>
<w:r><w:t xml:space="preserve">The onset of the disease is extremely insidious, a slow but</w:t></w:r>
</w:p>
<w:p>
<w:pPr><w:pStyle w:val="Normal"/></w:pPr>
<w:r><w:t xml:space="preserve">increasing condition of weakness being complained of by the</w:t></w:r>
</w:p>
<w:p>
<w:pPr><w:pStyle w:val="Normal"/></w:pPr>
<w:r><w:t xml:space="preserve">patient.  There is a feeble and irregular action of the heart</w:t></w:r>
</w:p>
<w:p>
<w:pPr><w:pStyle w:val="Normal"/></w:pPr>
<w:r><w:t xml:space="preserve">resulting in attacks of syncope which may prove fatal.  Blood</w:t></w:r>
</w:p>
<w:p>
<w:pPr><w:pStyle w:val="Normal"/></w:pPr>
<w:r><w:t xml:space="preserve">pressure is extremely low.  From time to time there may be</w:t></w:r>
</w:p>
<w:p>
<w:pPr><w:pStyle w:val="Normal"/></w:pPr>
<w:r><w:t xml:space="preserve">severe attacks of nausea, vomiting or diarrhoea.  The best</w:t></w:r>
</w:p>
<w:p>
<w:pPr><w:pStyle w:val="Normal"/></w:pPr>
<w:r><w:t xml:space="preserve">known symptom, but one which only occurs after the disease</w:t></w:r>
</w:p>
<w:p>
<w:pPr><w:pStyle w:val="Normal"/></w:pPr>
<w:r><w:t xml:space="preserve">has made considerable progress, is a gradually increasing</w:t></w:r>
</w:p>
<w:p>
<w:pPr><w:pStyle w:val="Normal"/></w:pPr>
<w:r><w:t xml:space="preserve">pigmentation of the skin, ranging from a bronzy yellow to</w:t></w:r>
</w:p>
<w:p>
<w:pPr><w:pStyle w:val="Normal"/></w:pPr>
<w:r><w:t xml:space="preserve">brown or even occasionally black.  This pigmentation shows</w:t></w:r>
</w:p>
<w:p>
<w:pPr><w:pStyle w:val="Normal"/></w:pPr>
<w:r><w:t xml:space="preserve">itself (1) over exposed parts, as face and hands; (2) wherever</w:t></w:r>
</w:p>
<w:p>
<w:pPr><w:pStyle w:val="Normal"/></w:pPr>
<w:r><w:t xml:space="preserve">pigment appears normally, as in the axillae and round the</w:t></w:r>
</w:p>
<w:p>
<w:pPr><w:pStyle w:val="Normal"/></w:pPr>
<w:r><w:t xml:space="preserve">nipples; (3) wherever pressure is applied, as round the waist;</w:t></w:r>
</w:p>
<w:p>
<w:pPr><w:pStyle w:val="Normal"/></w:pPr>
<w:r><w:t xml:space="preserve">and (4) occasionally on mucous membranes, as in the mouth.</w:t></w:r>
</w:p>
<w:p>
<w:pPr><w:pStyle w:val="Normal"/></w:pPr>
<w:r><w:t xml:space="preserve">The patient&apos;s temperature is uqually somewhat subnormal.  The</w:t></w:r>
</w:p>
<w:p>
<w:pPr><w:pStyle w:val="Normal"/></w:pPr>
<w:r><w:t xml:space="preserve">disease is found in males far more commonly than in females, and</w:t></w:r>
</w:p>
<w:p>
<w:pPr><w:pStyle w:val="Normal"/></w:pPr>
<w:r><w:t xml:space="preserve">among the lower classes more than the upper.  But this latter fact</w:t></w:r>
</w:p>
<w:p>
<w:pPr><w:pStyle w:val="Normal"/></w:pPr>
<w:r><w:t xml:space="preserve">is probably due to poor nourishment and bad hygienic conditions</w:t></w:r>
</w:p>
<w:p>
<w:pPr><w:pStyle w:val="Normal"/></w:pPr>
<w:r><w:t xml:space="preserve">rendering the poorer classes more susceptible to tuberculosis.</w:t></w:r>
</w:p>
<w:p>
<w:pPr><w:pStyle w:val="Normal"/></w:pPr>
<w:r><w:t xml:space="preserve">The diagnosis, certainly in the early stages of the disease,</w:t></w:r>
</w:p>
<w:p>
<w:pPr><w:pStyle w:val="Normal"/></w:pPr>
<w:r><w:t xml:space="preserve">and often in the later, is by no means easy.  Pigmentation of</w:t></w:r>
</w:p>
<w:p>
<w:pPr><w:pStyle w:val="Normal"/></w:pPr>
<w:r><w:t xml:space="preserve">the skin occurs in many conditions---as in normal pregnancy,</w:t></w:r>
</w:p>
<w:p>
<w:pPr><w:pStyle w:val="Normal"/></w:pPr>
<w:r><w:t xml:space="preserve">uterine fibroids, abdominal growths, certain cases of heart</w:t></w:r>
</w:p>
<w:p>
<w:pPr><w:pStyle w:val="Normal"/></w:pPr>
<w:r><w:t xml:space="preserve">disease, exophthalmic goitre, &amp;c., and after the prolonged use</w:t></w:r>
</w:p>
<w:p>
<w:pPr><w:pStyle w:val="Normal"/></w:pPr>
<w:r><w:t xml:space="preserve">of certain drugs---as arsenic and silver.  But the presence</w:t></w:r>
</w:p>
<w:p>
<w:pPr><w:pStyle w:val="Normal"/></w:pPr>
<w:r><w:t xml:space="preserve">of a low blood pressure with weakness and irritability of the</w:t></w:r>
</w:p>
<w:p>
<w:pPr><w:pStyle w:val="Normal"/></w:pPr>
<w:r><w:t xml:space="preserve">heart and some of the preceding symptoms render the diagnosis</w:t></w:r>
</w:p>
<w:p>
<w:pPr><w:pStyle w:val="Normal"/></w:pPr>
<w:r><w:t xml:space="preserve">fairly certain.  The latest researches on the subject tend</w:t></w:r>
</w:p>
<w:p>
<w:pPr><w:pStyle w:val="Normal"/></w:pPr>
<w:r><w:t xml:space="preserve">to indicate a more certain diagnosis in the effect on the</w:t></w:r>
</w:p>
<w:p>
<w:pPr><w:pStyle w:val="Normal"/></w:pPr>
<w:r><w:t xml:space="preserve">blood pressure of administering suprarenal extract, the blood</w:t></w:r>
</w:p>
<w:p>
<w:pPr><w:pStyle w:val="Normal"/></w:pPr>
<w:r><w:t xml:space="preserve">pressure of the normal subject being unaffected thereby,</w:t></w:r>
</w:p>
<w:p>
<w:pPr><w:pStyle w:val="Normal"/></w:pPr>
<w:r><w:t xml:space="preserve">that of the man suffering from suprarenal inadequacy being</w:t></w:r>
</w:p>
<w:p>
<w:pPr><w:pStyle w:val="Normal"/></w:pPr>
<w:r><w:t xml:space="preserve">markedly raised.  The disease is treated by promoting the</w:t></w:r>
</w:p>
<w:p>
<w:pPr><w:pStyle w:val="Normal"/></w:pPr>
<w:r><w:t xml:space="preserve">general health in every possible way; by diet; by tonics,</w:t></w:r>
</w:p>
<w:p>
<w:pPr><w:pStyle w:val="Normal"/></w:pPr>
<w:r><w:t xml:space="preserve">especially arsenic and strychnine; by attention to the</w:t></w:r>
</w:p>
<w:p>
<w:pPr><w:pStyle w:val="Normal"/></w:pPr>
<w:r><w:t xml:space="preserve">hygienic conditions; and always by the administration of one</w:t></w:r>
</w:p>
<w:p>
<w:pPr><w:pStyle w:val="Normal"/></w:pPr>
<w:r><w:t xml:space="preserve">of the many preparations of the suprarenal gland extract.</w:t></w:r>
</w:p>
<w:p>
<w:pPr><w:pStyle w:val="Normal"/></w:pPr>
<w:r><w:t xml:space="preserve">``ADDRESS, THE&apos;&apos;, an English parliamentary term for the</w:t></w:r>
</w:p>
<w:p>
<w:pPr><w:pStyle w:val="Normal"/></w:pPr>
<w:r><w:t xml:space="preserve">reply of the Houses of Parliament (and particularly of the</w:t></w:r>
</w:p>
<w:p>
<w:pPr><w:pStyle w:val="Normal"/></w:pPr>
<w:r><w:t xml:space="preserve">House of Commons) to the speech of the sovereign at the</w:t></w:r>
</w:p>
<w:p>
<w:pPr><w:pStyle w:val="Normal"/></w:pPr>
<w:r><w:t xml:space="preserve">opening of a new parliament or session.  There are certain</w:t></w:r>
</w:p>
<w:p>
<w:pPr><w:pStyle w:val="Normal"/></w:pPr>
<w:r><w:t xml:space="preserve">formalities which distinguish this stage of parliamentary</w:t></w:r>
</w:p>
<w:p>
<w:pPr><w:pStyle w:val="Normal"/></w:pPr>
<w:r><w:t xml:space="preserve">proceedings.  The ``king&apos;s speech&apos;&apos; itself is divided into three</w:t></w:r>
</w:p>
<w:p>
<w:pPr><w:pStyle w:val="Normal"/></w:pPr>
<w:r><w:t xml:space="preserve">sections: the first, addressed to ``My Lords and Gentlemen,&apos;&apos;</w:t></w:r>
</w:p>
<w:p>
<w:pPr><w:pStyle w:val="Normal"/></w:pPr>
<w:r><w:t xml:space="preserve">touches on foreign affairs; the second, to the ``Gentlemen of</w:t></w:r>
</w:p>
<w:p>
<w:pPr><w:pStyle w:val="Normal"/></w:pPr>
<w:r><w:t xml:space="preserve">the House of Commons,&apos;&apos; has reference to the estimates; the</w:t></w:r>
</w:p>
<w:p>
<w:pPr><w:pStyle w:val="Normal"/></w:pPr>
<w:r><w:t xml:space="preserve">third, to ``My Lords and Gentlemen,&apos;&apos; outlines the proposed</w:t></w:r>
</w:p>
<w:p>
<w:pPr><w:pStyle w:val="Normal"/></w:pPr>
<w:r><w:t xml:space="preserve">legislation for the session.  Should the sovereign in person</w:t></w:r>
</w:p>
<w:p>
<w:pPr><w:pStyle w:val="Normal"/></w:pPr>
<w:r><w:t xml:space="preserve">open parliament, he does so in the House of Lords in full</w:t></w:r>
</w:p>
<w:p>
<w:pPr><w:pStyle w:val="Normal"/></w:pPr>
<w:r><w:t xml:space="preserve">state, and the speaker and members of the House of Commons</w:t></w:r>
</w:p>
<w:p>
<w:pPr><w:pStyle w:val="Normal"/></w:pPr>
<w:r><w:t xml:space="preserve">are summoned there into the royal presence.  The sovereign</w:t></w:r>
</w:p>
<w:p>
<w:pPr><w:pStyle w:val="Normal"/></w:pPr>
<w:r><w:t xml:space="preserve">then reads his speech.  If the sovereign is not present in</w:t></w:r>
</w:p>
<w:p>
<w:pPr><w:pStyle w:val="Normal"/></w:pPr>
<w:r><w:t xml:space="preserve">person, the speech is read by commission.  The Commons then</w:t></w:r>
</w:p>
<w:p>
<w:pPr><w:pStyle w:val="Normal"/></w:pPr>
<w:r><w:t xml:space="preserve">return to their House, and an address in answer is moved in</w:t></w:r>
</w:p>
<w:p>
<w:pPr><w:pStyle w:val="Normal"/></w:pPr>
<w:r><w:t xml:space="preserve">both Houses.  The government of the day selects two of its</w:t></w:r>
</w:p>
<w:p>
<w:pPr><w:pStyle w:val="Normal"/></w:pPr>
<w:r><w:t xml:space="preserve">supporters in each House to move and second the address, and</w:t></w:r>
</w:p>
<w:p>
<w:pPr><w:pStyle w:val="Normal"/></w:pPr>
<w:r><w:t xml:space="preserve">when carrying out this honourable task they appear in levee</w:t></w:r>
</w:p>
<w:p>
<w:pPr><w:pStyle w:val="Normal"/></w:pPr>
<w:r><w:t xml:space="preserve">dress.  Previous to the session of 1890-1891, the royal speech</w:t></w:r>
</w:p>
<w:p>
<w:pPr><w:pStyle w:val="Normal"/></w:pPr>
<w:r><w:t xml:space="preserve">was answered paragraph by paragraph, but ``the address&apos;&apos; is</w:t></w:r>
</w:p>
<w:p>
<w:pPr><w:pStyle w:val="Normal"/></w:pPr>
<w:r><w:t xml:space="preserve">now moved in the form of a single resolution, thanking the</w:t></w:r>
</w:p>
<w:p>
<w:pPr><w:pStyle w:val="Normal"/></w:pPr>
<w:r><w:t xml:space="preserve">sovereign for his most gracious speech.  The debate on the</w:t></w:r>
</w:p>
<w:p>
<w:pPr><w:pStyle w:val="Normal"/></w:pPr>
<w:r><w:t xml:space="preserve">address is used as a means of ranging over the whole government</w:t></w:r>
</w:p>
<w:p>
<w:pPr><w:pStyle w:val="Normal"/></w:pPr>
<w:r><w:t xml:space="preserve">policy, amendments being introduced by the opposition.  A</w:t></w:r>
</w:p>
<w:p>
<w:pPr><w:pStyle w:val="Normal"/></w:pPr>
<w:r><w:t xml:space="preserve">defeat on an amendment to the address is generally regarded</w:t></w:r>
</w:p>
<w:p>
<w:pPr><w:pStyle w:val="Normal"/></w:pPr>
<w:r><w:t xml:space="preserve">by the government as a vote of no-confidence.  After the</w:t></w:r>
</w:p>
<w:p>
<w:pPr><w:pStyle w:val="Normal"/></w:pPr>
<w:r><w:t xml:space="preserve">address is agreed to it is ordered to be presented to the</w:t></w:r>
</w:p>
<w:p>
<w:pPr><w:pStyle w:val="Normal"/></w:pPr>
<w:r><w:t xml:space="preserve">sovereign.  The thanks of the sovereign for the address are</w:t></w:r>
</w:p>
<w:p>
<w:pPr><w:pStyle w:val="Normal"/></w:pPr>
<w:r><w:t xml:space="preserve">then conveyed to the Lords by the lord steward of the household</w:t></w:r>
</w:p>
<w:p>
<w:pPr><w:pStyle w:val="Normal"/></w:pPr>
<w:r><w:t xml:space="preserve">and to the Commons by the comptroller of the household.</w:t></w:r>
</w:p>
<w:p>
<w:pPr><w:pStyle w:val="Normal"/></w:pPr>
<w:r><w:t xml:space="preserve">ADELAER, or ADELER (Norwegian for ``eagle&apos;&apos;), the</w:t></w:r>
</w:p>
<w:p>
<w:pPr><w:pStyle w:val="Normal"/></w:pPr>
<w:r><w:t xml:space="preserve">surname of honour given on his ennoblement to Kurt Sivertsen</w:t></w:r>
</w:p>
<w:p>
<w:pPr><w:pStyle w:val="Normal"/></w:pPr>
<w:r><w:t xml:space="preserve">(1622-1675), the famous Norwegian-Danish naval commander.</w:t></w:r>
</w:p>
<w:p>
<w:pPr><w:pStyle w:val="Normal"/></w:pPr>
<w:r><w:t xml:space="preserve">He was born at Brevig in Norway, and at the age of fifteen</w:t></w:r>
</w:p>
<w:p>
<w:pPr><w:pStyle w:val="Normal"/></w:pPr>
<w:r><w:t xml:space="preserve">became a cadet in the Dutch fleet under van Tromp, after a</w:t></w:r>
</w:p>
<w:p>
<w:pPr><w:pStyle w:val="Normal"/></w:pPr>
<w:r><w:t xml:space="preserve">few years entering the service of the Venetian Republic, which</w:t></w:r>
</w:p>
<w:p>
<w:pPr><w:pStyle w:val="Normal"/></w:pPr>
<w:r><w:t xml:space="preserve">was engaged at the time in a war with Turkey.  In 1645 he had</w:t></w:r>
</w:p>
<w:p>
<w:pPr><w:pStyle w:val="Normal"/></w:pPr>
<w:r><w:t xml:space="preserve">risen to the rank of captain; and after sharing in various</w:t></w:r>
</w:p>
<w:p>
<w:pPr><w:pStyle w:val="Normal"/></w:pPr>
<w:r><w:t xml:space="preserve">victories as commander of a squadron, he achieved his most</w:t></w:r>
</w:p>
<w:p>
<w:pPr><w:pStyle w:val="Normal"/></w:pPr>
<w:r><w:t xml:space="preserve">brilliant success at the Dardanelles, on the 13th of May 1654,</w:t></w:r>
</w:p>
<w:p>
<w:pPr><w:pStyle w:val="Normal"/></w:pPr>
<w:r><w:t xml:space="preserve">when, with his own vessel alone, he broke through the line</w:t></w:r>
</w:p>
<w:p>
<w:pPr><w:pStyle w:val="Normal"/></w:pPr>
<w:r><w:t xml:space="preserve">of Turkish galleys, sank fifteen of them, and burned others,</w:t></w:r>
</w:p>
<w:p>
<w:pPr><w:pStyle w:val="Normal"/></w:pPr>
<w:r><w:t xml:space="preserve">causing a loss to the enemy of 5000 men.  The following day he</w:t></w:r>
</w:p>
<w:p>
<w:pPr><w:pStyle w:val="Normal"/></w:pPr>
<w:r><w:t xml:space="preserve">entered Tenedos, and compelled the complete surrender of the</w:t></w:r>
</w:p>
<w:p>
<w:pPr><w:pStyle w:val="Normal"/></w:pPr>
<w:r><w:t xml:space="preserve">Turks.  On returning to Venice he was crowned with honours,</w:t></w:r>
</w:p>
<w:p>
<w:pPr><w:pStyle w:val="Normal"/></w:pPr>
<w:r><w:t xml:space="preserve">and became admiral-lieutenant in 1660.  Numerous tempting</w:t></w:r>
</w:p>
<w:p>
<w:pPr><w:pStyle w:val="Normal"/></w:pPr>
<w:r><w:t xml:space="preserve">offers were made to him by other naval powers, and in 1661</w:t></w:r>
</w:p>
<w:p>
<w:pPr><w:pStyle w:val="Normal"/></w:pPr>
<w:r><w:t xml:space="preserve">he left Venice to return to the Netherlands.  Next year he</w:t></w:r>
</w:p>
<w:p>
<w:pPr><w:pStyle w:val="Normal"/></w:pPr>
<w:r><w:t xml:space="preserve">was induced, by the offer of a title and an enormous salary,</w:t></w:r>
</w:p>
<w:p>
<w:pPr><w:pStyle w:val="Normal"/></w:pPr>
<w:r><w:t xml:space="preserve">to accept the command of the Danish fleet from Frederick</w:t></w:r>
</w:p>
<w:p>
<w:pPr><w:pStyle w:val="Heading1"/></w:pPr>
<w:r><w:t>III. Under Christian V. he took the command of the combined</w:t></w:r>
</w:p>
<w:p>
<w:pPr><w:pStyle w:val="Normal"/></w:pPr>
<w:r><w:t xml:space="preserve">Danish fleets against Sweden, but died suddenly on the 5th of</w:t></w:r>
</w:p>
<w:p>
<w:pPr><w:pStyle w:val="Normal"/></w:pPr>
<w:r><w:t xml:space="preserve">November 1675 at Copenhagen, before the expedition set out.</w:t></w:r>
</w:p>
<w:p>
<w:pPr><w:pStyle w:val="Normal"/></w:pPr>
<w:r><w:t xml:space="preserve">When in the Venetian service, Adelaer was known by the name of</w:t></w:r>
</w:p>
<w:p>
<w:pPr><w:pStyle w:val="Normal"/></w:pPr>
<w:r><w:t xml:space="preserve">Curzio Suffrido Adelborst (i.e. Dutch for ``naval cadet&apos;&apos;).</w:t></w:r>
</w:p>
<w:p>
<w:pPr><w:pStyle w:val="Normal"/></w:pPr>
<w:r><w:t xml:space="preserve">ADELAIDE (Ger. Adelheid) (931--999), queen of Italy and</w:t></w:r>
</w:p>
<w:p>
<w:pPr><w:pStyle w:val="Normal"/></w:pPr>
<w:r><w:t xml:space="preserve">empress, was the daughter of Rudolph II. of Burgundy and of</w:t></w:r>
</w:p>
<w:p>
<w:pPr><w:pStyle w:val="Normal"/></w:pPr>
<w:r><w:t xml:space="preserve">Bertha, daughter of Duke Burchard of Swabia.  On the death</w:t></w:r>
</w:p>
<w:p>
<w:pPr><w:pStyle w:val="Normal"/></w:pPr>
<w:r><w:t xml:space="preserve">of Rudolph in 937, his widow married Hugh, king of Italy, to</w:t></w:r>
</w:p>
<w:p>
<w:pPr><w:pStyle w:val="Normal"/></w:pPr>
<w:r><w:t xml:space="preserve">whose son Lothair Adelaide was at the same time betrothed.</w:t></w:r>
</w:p>
<w:p>
<w:pPr><w:pStyle w:val="Normal"/></w:pPr>
<w:r><w:t xml:space="preserve">She was married to him in 947; but after an unhappy union</w:t></w:r>
</w:p>
<w:p>
<w:pPr><w:pStyle w:val="Normal"/></w:pPr>
<w:r><w:t xml:space="preserve">of three years Lothair died (November 22, 950).  The young</w:t></w:r>
</w:p>
<w:p>
<w:pPr><w:pStyle w:val="Normal"/></w:pPr>
<w:r><w:t xml:space="preserve">widow, remarkable for her character and beauty, was seized</w:t></w:r>
</w:p>
<w:p>
<w:pPr><w:pStyle w:val="Normal"/></w:pPr>
<w:r><w:t xml:space="preserve">by Lothair&apos;s successor, Berengar II., margrave of Ivrea,</w:t></w:r>
</w:p>
<w:p>
<w:pPr><w:pStyle w:val="Normal"/></w:pPr>
<w:r><w:t xml:space="preserve">who, angered probably at her refusal to marry his son Adalbert</w:t></w:r>
</w:p>
<w:p>
<w:pPr><w:pStyle w:val="Normal"/></w:pPr>
<w:r><w:t xml:space="preserve">and thus secure his title to the Italian kingdom, kept her</w:t></w:r>
</w:p>
<w:p>
<w:pPr><w:pStyle w:val="Normal"/></w:pPr>
<w:r><w:t xml:space="preserve">in close confinement at Como.  After four months (August</w:t></w:r>
</w:p>
<w:p>
<w:pPr><w:pStyle w:val="Normal"/></w:pPr>
<w:r><w:t xml:space="preserve">951), she escaped, and took refuge at Canossa with Atto, count</w:t></w:r>
</w:p>
<w:p>
<w:pPr><w:pStyle w:val="Normal"/></w:pPr>
<w:r><w:t xml:space="preserve">of Modena-Reggio (d. 981).  Meanwhile Otto I., the German</w:t></w:r>
</w:p>
<w:p>
<w:pPr><w:pStyle w:val="Normal"/></w:pPr>
<w:r><w:t xml:space="preserve">king, whose English wife Edgitha had died in 946, had formed</w:t></w:r>
</w:p>
<w:p>
<w:pPr><w:pStyle w:val="Normal"/></w:pPr>
<w:r><w:t xml:space="preserve">the design of marrying her and claiming the Italian kingdom</w:t></w:r>
</w:p>
<w:p>
<w:pPr><w:pStyle w:val="Normal"/></w:pPr>
<w:r><w:t xml:space="preserve">in her right, as a step towards the revival of the empire of</w:t></w:r>
</w:p>
<w:p>
<w:pPr><w:pStyle w:val="Normal"/></w:pPr>
<w:r><w:t xml:space="preserve">Charlemagne.  In September 951, accordingly, he appeared in</w:t></w:r>
</w:p>
<w:p>
<w:pPr><w:pStyle w:val="Normal"/></w:pPr>
<w:r><w:t xml:space="preserve">Italy, Adelaide willingly accepted his invitation to meet him</w:t></w:r>
</w:p>
<w:p>
<w:pPr><w:pStyle w:val="Normal"/></w:pPr>
<w:r><w:t xml:space="preserve">at Pavia and at the close of the year the fateful union was</w:t></w:r>
</w:p>
<w:p>
<w:pPr><w:pStyle w:val="Normal"/></w:pPr>
<w:r><w:t xml:space="preserve">celebrated.  From the first her part in German affairs was</w:t></w:r>
</w:p>
<w:p>
<w:pPr><w:pStyle w:val="Normal"/></w:pPr>
<w:r><w:t xml:space="preserve">important.  To her are ascribed the influences which led in 953</w:t></w:r>
</w:p>
<w:p>
<w:pPr><w:pStyle w:val="Normal"/></w:pPr>
<w:r><w:t xml:space="preserve">to the revolt of Ludolf, Otto&apos;s son by his first marriage, the</w:t></w:r>
</w:p>
<w:p>
<w:pPr><w:pStyle w:val="Normal"/></w:pPr>
<w:r><w:t xml:space="preserve">crushing of which in the following year established Adelaide&apos;s</w:t></w:r>
</w:p>
<w:p>
<w:pPr><w:pStyle w:val="Normal"/></w:pPr>
<w:r><w:t xml:space="preserve">power.  On the 2nd of February 962 she was crowned empress</w:t></w:r>
</w:p>
<w:p>
<w:pPr><w:pStyle w:val="Normal"/></w:pPr>
<w:r><w:t xml:space="preserve">at Rome by Pope John XII. immediately after her husband,</w:t></w:r>
</w:p>
<w:p>
<w:pPr><w:pStyle w:val="Normal"/></w:pPr>
<w:r><w:t xml:space="preserve">and she accompanied Otto in 966 on his third expedition to</w:t></w:r>
</w:p>
<w:p>
<w:pPr><w:pStyle w:val="Normal"/></w:pPr>
<w:r><w:t xml:space="preserve">Italy, where she remained with him for six years.  After</w:t></w:r>
</w:p>
<w:p>
<w:pPr><w:pStyle w:val="Normal"/></w:pPr>
<w:r><w:t xml:space="preserve">Otto I.&apos;s death (May 7, 973), Adelaide exercised for some</w:t></w:r>
</w:p>
<w:p>
<w:pPr><w:pStyle w:val="Normal"/></w:pPr>
<w:r><w:t xml:space="preserve">years a controlling influence over her son, the new emperor,</w:t></w:r>
</w:p>
<w:p>
<w:pPr><w:pStyle w:val="Normal"/></w:pPr>
<w:r><w:t xml:space="preserve">Otto II. The causes of their subsequent estrangement are</w:t></w:r>
</w:p>
<w:p>
<w:pPr><w:pStyle w:val="Normal"/></w:pPr>
<w:r><w:t xml:space="preserve">obscure, but it was possibly due to the empress&apos;s lavish</w:t></w:r>
</w:p>
<w:p>
<w:pPr><w:pStyle w:val="Normal"/></w:pPr>
<w:r><w:t xml:space="preserve">expenditure in charity and church building, which endeared</w:t></w:r>
</w:p>
<w:p>
<w:pPr><w:pStyle w:val="Normal"/></w:pPr>
<w:r><w:t xml:space="preserve">her to ecclesiastics but was a serious drain on the imperial</w:t></w:r>
</w:p>
<w:p>
<w:pPr><w:pStyle w:val="Normal"/></w:pPr>
<w:r><w:t xml:space="preserve">finances.  In 978 she left the court and lived partly in</w:t></w:r>
</w:p>
<w:p>
<w:pPr><w:pStyle w:val="Normal"/></w:pPr>
<w:r><w:t xml:space="preserve">Italy, partly with her brother Conrad, king of Burgundy,</w:t></w:r>
</w:p>
<w:p>
<w:pPr><w:pStyle w:val="Normal"/></w:pPr>
<w:r><w:t xml:space="preserve">by whose mediation she was ultimately reconciled to her</w:t></w:r>
</w:p>
<w:p>
<w:pPr><w:pStyle w:val="Normal"/></w:pPr>
<w:r><w:t xml:space="preserve">son.  In 983, shortly before his death, she was appointed</w:t></w:r>
</w:p>
<w:p>
<w:pPr><w:pStyle w:val="Normal"/></w:pPr>
<w:r><w:t xml:space="preserve">his viceroy in Italy; and was successful, in concert with the</w:t></w:r>
</w:p>
<w:p>
<w:pPr><w:pStyle w:val="Normal"/></w:pPr>
<w:r><w:t xml:space="preserve">empress Theophano, widow of Otto II., and Archbishop Willigis</w:t></w:r>
</w:p>
<w:p>
<w:pPr><w:pStyle w:val="Normal"/></w:pPr>
<w:r><w:t xml:space="preserve">of Mainz, in defending the right of her infant grandson,</w:t></w:r>
</w:p>
<w:p>
<w:pPr><w:pStyle w:val="Normal"/></w:pPr>
<w:r><w:t xml:space="preserve">Otto III., to the German crown against the pretensions of</w:t></w:r>
</w:p>
<w:p>
<w:pPr><w:pStyle w:val="Normal"/></w:pPr>
<w:r><w:t xml:space="preserve">Henry the Quarrelsome, duke of Bavaria.  In June 984 the</w:t></w:r>
</w:p>
<w:p>
<w:pPr><w:pStyle w:val="Normal"/></w:pPr>
<w:r><w:t xml:space="preserve">infant king was handed over by Henry to the care of the two</w:t></w:r>
</w:p>
<w:p>
<w:pPr><w:pStyle w:val="Normal"/></w:pPr>
<w:r><w:t xml:space="preserve">empresses; but the masterful will of Theophano soon obtained</w:t></w:r>
</w:p>
<w:p>
<w:pPr><w:pStyle w:val="Normal"/></w:pPr>
<w:r><w:t xml:space="preserve">the upper hand, and until the death of the Greek empress,</w:t></w:r>
</w:p>
<w:p>
<w:pPr><w:pStyle w:val="Normal"/></w:pPr>
<w:r><w:t xml:space="preserve">on the 15th of June 991, Adelaide had no voice in German</w:t></w:r>
</w:p>
<w:p>
<w:pPr><w:pStyle w:val="Normal"/></w:pPr>
<w:r><w:t xml:space="preserve">affairs.  She now assumed the regency, in concert with Bishop</w:t></w:r>
</w:p>
<w:p>
<w:pPr><w:pStyle w:val="Normal"/></w:pPr>
<w:r><w:t xml:space="preserve">Willigis and a council of princes of the Empire, and held</w:t></w:r>
</w:p>
<w:p>
<w:pPr><w:pStyle w:val="Normal"/></w:pPr>
<w:r><w:t xml:space="preserve">it until in 995 Otto was declared of age.  In 996 the young</w:t></w:r>
</w:p>
<w:p>
<w:pPr><w:pStyle w:val="Normal"/></w:pPr>
<w:r><w:t xml:space="preserve">king went to Italy to receive the imperial crown; and from</w:t></w:r>
</w:p>
<w:p>
<w:pPr><w:pStyle w:val="Normal"/></w:pPr>
<w:r><w:t xml:space="preserve">this date Adelaide ceased to concern herself with worldly</w:t></w:r>
</w:p>
<w:p>
<w:pPr><w:pStyle w:val="Normal"/></w:pPr>
<w:r><w:t xml:space="preserve">affairs, but devoted herself to pious exercises, to intimate</w:t></w:r>
</w:p>
<w:p>
<w:pPr><w:pStyle w:val="Normal"/></w:pPr>
<w:r><w:t xml:space="preserve">correspondence with the abbots Majolus and Odilo of Cluny,</w:t></w:r>
</w:p>
<w:p>
<w:pPr><w:pStyle w:val="Normal"/></w:pPr>
<w:r><w:t xml:space="preserve">and the foundation of churches and religious houses.  She died</w:t></w:r>
</w:p>
<w:p>
<w:pPr><w:pStyle w:val="Normal"/></w:pPr>
<w:r><w:t xml:space="preserve">on the 17th of December 999, and was buried in the convent</w:t></w:r>
</w:p>
<w:p>
<w:pPr><w:pStyle w:val="Normal"/></w:pPr>
<w:r><w:t xml:space="preserve">of SS. Peter and Paul, her favourite foundation, at Salz in</w:t></w:r>
</w:p>
<w:p>
<w:pPr><w:pStyle w:val="Normal"/></w:pPr>
<w:r><w:t xml:space="preserve">Alsace.  She was proclaimed a saint by the grateful German</w:t></w:r>
</w:p>
<w:p>
<w:pPr><w:pStyle w:val="Normal"/></w:pPr>
<w:r><w:t xml:space="preserve">clergy; but her name has never found a place in the Roman</w:t></w:r>
</w:p>
<w:p>
<w:pPr><w:pStyle w:val="Normal"/></w:pPr>
<w:r><w:t xml:space="preserve">calendar.  Like her daughter-in-law Theophano and other</w:t></w:r>
</w:p>
<w:p>
<w:pPr><w:pStyle w:val="Normal"/></w:pPr>
<w:r><w:t xml:space="preserve">exalted ladies of this period, Adelaide possessed considerable</w:t></w:r>
</w:p>
<w:p>
<w:pPr><w:pStyle w:val="Normal"/></w:pPr>
<w:r><w:t xml:space="preserve">literary attainments (literatissima erat), and her</w:t></w:r>
</w:p>
<w:p>
<w:pPr><w:pStyle w:val="Normal"/></w:pPr>
<w:r><w:t xml:space="preserve">knowledge of Latin was of use to Otto I., who only learned the</w:t></w:r>
</w:p>
<w:p>
<w:pPr><w:pStyle w:val="Normal"/></w:pPr>
<w:r><w:t xml:space="preserve">language late in life and remained to the end a poor scholar.</w:t></w:r>
</w:p>
<w:p>
<w:pPr><w:pStyle w:val="Normal"/></w:pPr>
<w:r><w:t xml:space="preserve">By the emperor Otto I. she had four children: Otto II. (d.</w:t></w:r>
</w:p>
<w:p>
<w:pPr><w:pStyle w:val="Normal"/></w:pPr>
<w:r><w:t xml:space="preserve">983), Mathilda, abbess of Quedlinburg (d. 999), Adelheid</w:t></w:r>
</w:p>
<w:p>
<w:pPr><w:pStyle w:val="Normal"/></w:pPr>
<w:r><w:t xml:space="preserve">(Adelaide), abbess of Essen (d. 974), and Liutgard, who</w:t></w:r>
</w:p>
<w:p>
<w:pPr><w:pStyle w:val="Normal"/></w:pPr>
<w:r><w:t xml:space="preserve">married Conrad II., duke of Franconia, and died in 955.</w:t></w:r>
</w:p>
<w:p>
<w:pPr><w:pStyle w:val="Normal"/></w:pPr>
<w:r><w:t xml:space="preserve">Adelaide&apos;s life (Vita or Epitaphium Adalheidae imperatricis)</w:t></w:r>
</w:p>
<w:p>
<w:pPr><w:pStyle w:val="Normal"/></w:pPr>
<w:r><w:t xml:space="preserve">was written by St Odilo of Cluny.  It is valuable only for</w:t></w:r>
</w:p>
<w:p>
<w:pPr><w:pStyle w:val="Normal"/></w:pPr>
<w:r><w:t xml:space="preserve">the latter years of the empress, after she had retired from</w:t></w:r>
</w:p>
<w:p>
<w:pPr><w:pStyle w:val="Normal"/></w:pPr>
<w:r><w:t xml:space="preserve">any active share in the world&apos;s affairs.  The rest of her life</w:t></w:r>
</w:p>
<w:p>
<w:pPr><w:pStyle w:val="Normal"/></w:pPr>
<w:r><w:t xml:space="preserve">is merely outlined, though her adventures in escaping from</w:t></w:r>
</w:p>
<w:p>
<w:pPr><w:pStyle w:val="Normal"/></w:pPr>
<w:r><w:t xml:space="preserve">Berengar are treated in more detail.  The best edition is in</w:t></w:r>
</w:p>
<w:p>
<w:pPr><w:pStyle w:val="Normal"/></w:pPr>
<w:r><w:t xml:space="preserve">Duchesne, Bibliotheca Cluniacensis, pp. 353. 362., see</w:t></w:r>
</w:p>
<w:p>
<w:pPr><w:pStyle w:val="Normal"/></w:pPr>
<w:r><w:t xml:space="preserve">Giov.  Batt.  Semeria, Vita politico-religiosa di s.</w:t></w:r>
</w:p>
<w:p>
<w:pPr><w:pStyle w:val="Normal"/></w:pPr>
<w:r><w:t xml:space="preserve">Adeleida, &amp;c. (Turin, 1842); Jul. Bentzinger, Das Leben</w:t></w:r>
</w:p>
<w:p>
<w:pPr><w:pStyle w:val="Normal"/></w:pPr>
<w:r><w:t xml:space="preserve">der Kaiserin Adelheid ...weahrend der Regierung Ottos III.,</w:t></w:r>
</w:p>
<w:p>
<w:pPr><w:pStyle w:val="Normal"/></w:pPr>
<w:r><w:t xml:space="preserve">Inaug.  Dissertation (Breslau, 1883); J. J. Dey, Hist. de</w:t></w:r>
</w:p>
<w:p>
<w:pPr><w:pStyle w:val="Normal"/></w:pPr>
<w:r><w:t xml:space="preserve">s.  Adelaide, &amp;c. (Geneva, 1862); F. P. Wimmer, Kaiserin</w:t></w:r>
</w:p>
<w:p>
<w:pPr><w:pStyle w:val="Normal"/></w:pPr>
<w:r><w:t xml:space="preserve">Adelheid, Gemahlin Ottos I. des Grossen (Regensb. 1889);</w:t></w:r>
</w:p>
<w:p>
<w:pPr><w:pStyle w:val="Normal"/></w:pPr>
<w:r><w:t xml:space="preserve">Wattenbach, Deutschlands Geschichtsquellen (Stuttgart</w:t></w:r>
</w:p>
<w:p>
<w:pPr><w:pStyle w:val="Normal"/></w:pPr>
<w:r><w:t xml:space="preserve">and Berlin, 1904).  Further references in Chevalier,</w:t></w:r>
</w:p>
<w:p>
<w:pPr><w:pStyle w:val="Normal"/></w:pPr>
<w:r><w:t xml:space="preserve">Repertoire des sources historiques (Paris, 1903).</w:t></w:r>
</w:p>
<w:p>
<w:pPr><w:pStyle w:val="Normal"/></w:pPr>
<w:r><w:t xml:space="preserve">ADELAIDE, the capital of South Australia.  It is situated in</w:t></w:r>
</w:p>
<w:p>
<w:pPr><w:pStyle w:val="Normal"/></w:pPr>
<w:r><w:t xml:space="preserve">the county to which it gives name, on the banks of the river</w:t></w:r>
</w:p>
<w:p>
<w:pPr><w:pStyle w:val="Normal"/></w:pPr>
<w:r><w:t xml:space="preserve">Torrens, 7 m. from its mouth.  Its site is a level plain, near</w:t></w:r>
</w:p>
<w:p>
<w:pPr><w:pStyle w:val="Normal"/></w:pPr>
<w:r><w:t xml:space="preserve">the foot of the Mount Lofty range, in which Mount Lofty itself</w:t></w:r>
</w:p>
<w:p>
<w:pPr><w:pStyle w:val="Normal"/></w:pPr>
<w:r><w:t xml:space="preserve">reaches 2334 ft.  The broad streets of the city intersect at right</w:t></w:r>
</w:p>
<w:p>
<w:pPr><w:pStyle w:val="Normal"/></w:pPr>
<w:r><w:t xml:space="preserve">angles.  It is divided into North Adelaide, the residential,</w:t></w:r>
</w:p>
<w:p>
<w:pPr><w:pStyle w:val="Normal"/></w:pPr>
<w:r><w:t xml:space="preserve">and South Adelaide, the business quarter.  A broad strip of</w:t></w:r>
</w:p>
<w:p>
<w:pPr><w:pStyle w:val="Normal"/></w:pPr>
<w:r><w:t xml:space="preserve">park lands lies between them, through which runs the river</w:t></w:r>
</w:p>
<w:p>
<w:pPr><w:pStyle w:val="Normal"/></w:pPr>
<w:r><w:t xml:space="preserve">Torrens, crossed by five bridges and greatly improved by a</w:t></w:r>
</w:p>
<w:p>
<w:pPr><w:pStyle w:val="Normal"/></w:pPr>
<w:r><w:t xml:space="preserve">dam on the west of the city.  The banks are beautifully laid</w:t></w:r>
</w:p>
<w:p>
<w:pPr><w:pStyle w:val="Normal"/></w:pPr>
<w:r><w:t xml:space="preserve">out.  Broad belts of park lands surround both North and South</w:t></w:r>
</w:p>
<w:p>
<w:pPr><w:pStyle w:val="Normal"/></w:pPr>
<w:r><w:t xml:space="preserve">Adelaide, and as the greater portion of these lands is planted</w:t></w:r>
</w:p>
<w:p>
<w:pPr><w:pStyle w:val="Normal"/></w:pPr>
<w:r><w:t xml:space="preserve">with fine shady trees, this feature renders Adelaide one of</w:t></w:r>
</w:p>
<w:p>
<w:pPr><w:pStyle w:val="Normal"/></w:pPr>
<w:r><w:t xml:space="preserve">the most attractive cities in Australasia.  South Adelaide is</w:t></w:r>
</w:p>
<w:p>
<w:pPr><w:pStyle w:val="Normal"/></w:pPr>
<w:r><w:t xml:space="preserve">bounded by four broad terraces facing north, south, east and</w:t></w:r>
</w:p>
<w:p>
<w:pPr><w:pStyle w:val="Normal"/></w:pPr>
<w:r><w:t xml:space="preserve">west.  The main thoroughfare, King William Street, runs north</w:t></w:r>
</w:p>
<w:p>
<w:pPr><w:pStyle w:val="Normal"/></w:pPr>
<w:r><w:t xml:space="preserve">and south, passing through Victoria Square, a small park</w:t></w:r>
</w:p>
<w:p>
<w:pPr><w:pStyle w:val="Normal"/></w:pPr>
<w:r><w:t xml:space="preserve">in the centre of the city.  Handsome public buildings are</w:t></w:r>
</w:p>
<w:p>
<w:pPr><w:pStyle w:val="Normal"/></w:pPr>
<w:r><w:t xml:space="preserve">numerous.  Government House stands in grounds on the north</w:t></w:r>
</w:p>
<w:p>
<w:pPr><w:pStyle w:val="Normal"/></w:pPr>
<w:r><w:t xml:space="preserve">side of North Terrace, with several other official buildings</w:t></w:r>
</w:p>
<w:p>
<w:pPr><w:pStyle w:val="Normal"/></w:pPr>
<w:r><w:t xml:space="preserve">in the vicinity; but the majority are in King William Street.</w:t></w:r>
</w:p>
<w:p>
<w:pPr><w:pStyle w:val="Normal"/></w:pPr>
<w:r><w:t xml:space="preserve">Here are the town hall, with the lofty Albert Tower, and the</w:t></w:r>
</w:p>
<w:p>
<w:pPr><w:pStyle w:val="Normal"/></w:pPr>
<w:r><w:t xml:space="preserve">general post office, with the Victoria Tower--which, with the</w:t></w:r>
</w:p>
<w:p>
<w:pPr><w:pStyle w:val="Normal"/></w:pPr>
<w:r><w:t xml:space="preserve">old and new Government offices, the Roman Catholic cathedral</w:t></w:r>
</w:p>
<w:p>
<w:pPr><w:pStyle w:val="Normal"/></w:pPr>
<w:r><w:t xml:space="preserve">of St Francis Xavier and the court houses, surround Victoria</w:t></w:r>
</w:p>
<w:p>
<w:pPr><w:pStyle w:val="Normal"/></w:pPr>
<w:r><w:t xml:space="preserve">Square.  On North Terrace are the houses of parliament, and</w:t></w:r>
</w:p>
<w:p>
<w:pPr><w:pStyle w:val="Normal"/></w:pPr>
<w:r><w:t xml:space="preserve">the institute, containing a public library and museum.  Here</w:t></w:r>
</w:p>
<w:p>
<w:pPr><w:pStyle w:val="Normal"/></w:pPr>
<w:r><w:t xml:space="preserve">is also Adelaide University, established by an act of 1874,</w:t></w:r>
</w:p>
<w:p>
<w:pPr><w:pStyle w:val="Normal"/></w:pPr>
<w:r><w:t xml:space="preserve">and opened in 1876.  The existing buildings were opened in</w:t></w:r>
</w:p>
<w:p>
<w:pPr><w:pStyle w:val="Normal"/></w:pPr>
<w:r><w:t xml:space="preserve">1882.  Munificent gifts have from time to time assisted in the</w:t></w:r>
</w:p>
<w:p>
<w:pPr><w:pStyle w:val="Normal"/></w:pPr>
<w:r><w:t xml:space="preserve">extension of its scope, as for example that of Sir Thomas Elder</w:t></w:r>
</w:p>
<w:p>
<w:pPr><w:pStyle w:val="Normal"/></w:pPr>
<w:r><w:t xml:space="preserve">(d. 1897), who took a leading part in the foundation of the</w:t></w:r>
</w:p>
<w:p>
<w:pPr><w:pStyle w:val="Normal"/></w:pPr>
<w:r><w:t xml:space="preserve">university.  This gift, among other provisions, enabled the</w:t></w:r>
</w:p>
<w:p>
<w:pPr><w:pStyle w:val="Normal"/></w:pPr>
<w:r><w:t xml:space="preserve">Elder Conservatorium of Music to be established, the building</w:t></w:r>
</w:p>
<w:p>
<w:pPr><w:pStyle w:val="Normal"/></w:pPr>
<w:r><w:t xml:space="preserve">for which was opened in 1900.  In 1903 a building for the</w:t></w:r>
</w:p>
<w:p>
<w:pPr><w:pStyle w:val="Normal"/></w:pPr>
<w:r><w:t xml:space="preserve">schools of engineering and science was opened.  The total</w:t></w:r>
</w:p>
<w:p>
<w:pPr><w:pStyle w:val="Normal"/></w:pPr>
<w:r><w:t xml:space="preserve">number of students in the university approaches 1000.  To the</w:t></w:r>
</w:p>
<w:p>
<w:pPr><w:pStyle w:val="Normal"/></w:pPr>
<w:r><w:t xml:space="preserve">east of the university is the building in which the exhibition</w:t></w:r>
</w:p>
<w:p>
<w:pPr><w:pStyle w:val="Normal"/></w:pPr>
<w:r><w:t xml:space="preserve">was held in commemoration of the jubilee of the colony in</w:t></w:r>
</w:p>
<w:p>
<w:pPr><w:pStyle w:val="Normal"/></w:pPr>
<w:r><w:t xml:space="preserve">1887.  This building is occupied by the Royal Agricultural</w:t></w:r>
</w:p>
<w:p>
<w:pPr><w:pStyle w:val="Normal"/></w:pPr>
<w:r><w:t xml:space="preserve">and Horticultural Society, a technical museum, &amp;c. The</w:t></w:r>
</w:p>
<w:p>
<w:pPr><w:pStyle w:val="Normal"/></w:pPr>
<w:r><w:t xml:space="preserve">school of mines and industries (1903) stands east of this</w:t></w:r>
</w:p>
<w:p>
<w:pPr><w:pStyle w:val="Normal"/></w:pPr>
<w:r><w:t xml:space="preserve">again.  The buildings of the numerous important commercial,</w:t></w:r>
</w:p>
<w:p>
<w:pPr><w:pStyle w:val="Normal"/></w:pPr>
<w:r><w:t xml:space="preserve">social and charitable institutions add to the dignity of the</w:t></w:r>
</w:p>
<w:p>
<w:pPr><w:pStyle w:val="Normal"/></w:pPr>
<w:r><w:t xml:space="preserve">city.  The Anglican cathedral of St Peter (1878) is in North</w:t></w:r>
</w:p>
<w:p>
<w:pPr><w:pStyle w:val="Normal"/></w:pPr>
<w:r><w:t xml:space="preserve">Adelaide.  The Botanical Park, which has an area of 84 acres,</w:t></w:r>
</w:p>
<w:p>
<w:pPr><w:pStyle w:val="Normal"/></w:pPr>
<w:r><w:t xml:space="preserve">lies on the south bank of the Torrens, on the east of the</w:t></w:r>
</w:p>
<w:p>
<w:pPr><w:pStyle w:val="Normal"/></w:pPr>
<w:r><w:t xml:space="preserve">city.  It includes the Zoological Garden, is beautifully</w:t></w:r>
</w:p>
<w:p>
<w:pPr><w:pStyle w:val="Normal"/></w:pPr>
<w:r><w:t xml:space="preserve">laid out and forms one of the most attractive features of</w:t></w:r>
</w:p>
<w:p>
<w:pPr><w:pStyle w:val="Normal"/></w:pPr>
<w:r><w:t xml:space="preserve">Adelaide.  The city has a number of good statues, chief among</w:t></w:r>
</w:p>
<w:p>
<w:pPr><w:pStyle w:val="Normal"/></w:pPr>
<w:r><w:t xml:space="preserve">which are copies of the Farnese Hercules (Victoria Square)</w:t></w:r>
</w:p>
<w:p>
<w:pPr><w:pStyle w:val="Normal"/></w:pPr>
<w:r><w:t xml:space="preserve">and of Canova&apos;s Venus (North Terrace), statues of Queen</w:t></w:r>
</w:p>
<w:p>
<w:pPr><w:pStyle w:val="Normal"/></w:pPr>
<w:r><w:t xml:space="preserve">Victoria and Robert Burns, Sir Thomas Elder&apos;s statue at the</w:t></w:r>
</w:p>
<w:p>
<w:pPr><w:pStyle w:val="Normal"/></w:pPr>
<w:r><w:t xml:space="preserve">university, and a memorial (1905) over the grave of Colonel</w:t></w:r>
</w:p>
<w:p>
<w:pPr><w:pStyle w:val="Normal"/></w:pPr>
<w:r><w:t xml:space="preserve">Light, founder of the colony, in Light Square.  Adelaide is</w:t></w:r>
</w:p>
<w:p>
<w:pPr><w:pStyle w:val="Normal"/></w:pPr>
<w:r><w:t xml:space="preserve">governed by a mayor and six aldermen elected by the whole</w:t></w:r>
</w:p>
<w:p>
<w:pPr><w:pStyle w:val="Normal"/></w:pPr>
<w:r><w:t xml:space="preserve">body of the ratepayers, and is the only Australian city in</w:t></w:r>
</w:p>
<w:p>
<w:pPr><w:pStyle w:val="Normal"/></w:pPr>
<w:r><w:t xml:space="preserve">which the mayor is so elected.  The chief industries are the</w:t></w:r>
</w:p>
<w:p>
<w:pPr><w:pStyle w:val="Normal"/></w:pPr>
<w:r><w:t xml:space="preserve">manufacture of woollen, earthenware and iron goods, brewing,</w:t></w:r>
</w:p>
<w:p>
<w:pPr><w:pStyle w:val="Normal"/></w:pPr>
<w:r><w:t xml:space="preserve">starch-making, flour-milling and soap-boiling.  Adelaide</w:t></w:r>
</w:p>
<w:p>
<w:pPr><w:pStyle w:val="Normal"/></w:pPr>
<w:r><w:t xml:space="preserve">is also the central share market of Australia, for West</w:t></w:r>
</w:p>
<w:p>
<w:pPr><w:pStyle w:val="Normal"/></w:pPr>
<w:r><w:t xml:space="preserve">Australian goldmines, for the silver-mines at Broken Hill,</w:t></w:r>
</w:p>
<w:p>
<w:pPr><w:pStyle w:val="Normal"/></w:pPr>
<w:r><w:t xml:space="preserve">and for the coppermines at Wallaroo, Burra Burra and Moonta;</w:t></w:r>
</w:p>
<w:p>
<w:pPr><w:pStyle w:val="Normal"/></w:pPr>
<w:r><w:t xml:space="preserve">while Port Adelaide, on the neighbouring shore of St Vincent</w:t></w:r>
</w:p>
<w:p>
<w:pPr><w:pStyle w:val="Normal"/></w:pPr>
<w:r><w:t xml:space="preserve">Gulf, ranks as the third in the Commonwealth.  Adelaide is</w:t></w:r>
</w:p>
<w:p>
<w:pPr><w:pStyle w:val="Normal"/></w:pPr>
<w:r><w:t xml:space="preserve">the terminus of an extensive railway system, the main line</w:t></w:r>
</w:p>
<w:p>
<w:pPr><w:pStyle w:val="Normal"/></w:pPr>
<w:r><w:t xml:space="preserve">of which runs through Melbourne, Sydney and Brisbane to</w:t></w:r>
</w:p>
<w:p>
<w:pPr><w:pStyle w:val="Normal"/></w:pPr>
<w:r><w:t xml:space="preserve">Rockhampton.  In summer the climate is often oppressively hot</w:t></w:r>
</w:p>
<w:p>
<w:pPr><w:pStyle w:val="Normal"/></w:pPr>
<w:r><w:t xml:space="preserve">under the influence of winds blowing from the interior, but the</w:t></w:r>
</w:p>
<w:p>
<w:pPr><w:pStyle w:val="Normal"/></w:pPr>
<w:r><w:t xml:space="preserve">proximity of the sea on the one side and of the mountains on</w:t></w:r>
</w:p>
<w:p>
<w:pPr><w:pStyle w:val="Normal"/></w:pPr>
<w:r><w:t xml:space="preserve">the other allows the inhabitants to avoid the excessive heat;</w:t></w:r>
</w:p>
<w:p>
<w:pPr><w:pStyle w:val="Normal"/></w:pPr>
<w:r><w:t xml:space="preserve">at other seasons, however, the climate is mild and pleasant;</w:t></w:r>
</w:p>
<w:p>
<w:pPr><w:pStyle w:val="Normal"/></w:pPr>
<w:r><w:t xml:space="preserve">with a mean annual rainfall of 20.4 ins.  The vice-regal</w:t></w:r>
</w:p>
<w:p>
<w:pPr><w:pStyle w:val="Normal"/></w:pPr>
<w:r><w:t xml:space="preserve">summer residence is at Marble Hill, on the Mount Lofty</w:t></w:r>
</w:p>
<w:p>
<w:pPr><w:pStyle w:val="Normal"/></w:pPr>
<w:r><w:t xml:space="preserve">range.  Adelaide was founded in 1836 and incorporated in</w:t></w:r>
</w:p>
<w:p>
<w:pPr><w:pStyle w:val="Normal"/></w:pPr>
<w:r><w:t xml:space="preserve">1843.  It received its name at the desire of King William</w:t></w:r>
</w:p>
<w:p>
<w:pPr><w:pStyle w:val="Normal"/></w:pPr>
<w:r><w:t xml:space="preserve">IV., in honour of Queen Adelaide.  Round the city are many</w:t></w:r>
</w:p>
<w:p>
<w:pPr><w:pStyle w:val="Normal"/></w:pPr>
<w:r><w:t xml:space="preserve">pleasant suburbs, connected with it by rail and tramways;</w:t></w:r>
</w:p>
<w:p>
<w:pPr><w:pStyle w:val="Normal"/></w:pPr>
<w:r><w:t xml:space="preserve">the chief of these are Burnside, Beaumont, Unley, Mitcham,</w:t></w:r>
</w:p>
<w:p>
<w:pPr><w:pStyle w:val="Normal"/></w:pPr>
<w:r><w:t xml:space="preserve">Goodwood, Plymton, Hindmarsh, Prospect, St Peters, Norwood</w:t></w:r>
</w:p>
<w:p>
<w:pPr><w:pStyle w:val="Normal"/></w:pPr>
<w:r><w:t xml:space="preserve">and Kensington.  Glenelg is a favourite watering-place.</w:t></w:r>
</w:p>
<w:p>
<w:pPr><w:pStyle w:val="Normal"/></w:pPr>
<w:r><w:t xml:space="preserve">The population of the city proper was 39,240 in 1901; of</w:t></w:r>
</w:p>
<w:p>
<w:pPr><w:pStyle w:val="Normal"/></w:pPr>
<w:r><w:t xml:space="preserve">the city and suburbs within a 10-miles radius, 162,261.</w:t></w:r>
</w:p>
<w:p>
<w:pPr><w:pStyle w:val="Normal"/></w:pPr>
<w:r><w:t xml:space="preserve">ADELARD (or AETHELARD) of Bath (12th century), English</w:t></w:r>
</w:p>
<w:p>
<w:pPr><w:pStyle w:val="Normal"/></w:pPr>
<w:r><w:t xml:space="preserve">scholastic philosopher, and one of the greatest savants of</w:t></w:r>
</w:p>
<w:p>
<w:pPr><w:pStyle w:val="Normal"/></w:pPr>
<w:r><w:t xml:space="preserve">medieval England.  He studied in France at Laon and Tours, and</w:t></w:r>
</w:p>
<w:p>
<w:pPr><w:pStyle w:val="Normal"/></w:pPr>
<w:r><w:t xml:space="preserve">travelled, it is said, through Spain, Italy, North Africa and</w:t></w:r>
</w:p>
<w:p>
<w:pPr><w:pStyle w:val="Normal"/></w:pPr>
<w:r><w:t xml:space="preserve">Asia Minor, during a period of seven years.  At a time when</w:t></w:r>
</w:p>
<w:p>
<w:pPr><w:pStyle w:val="Normal"/></w:pPr>
<w:r><w:t xml:space="preserve">Western Europe was rich in men of wide knowledge and intellectual</w:t></w:r>
</w:p>
<w:p>
<w:pPr><w:pStyle w:val="Normal"/></w:pPr>
<w:r><w:t xml:space="preserve">eminence, he gained so high a reputation that he was described</w:t></w:r>
</w:p>
<w:p>
<w:pPr><w:pStyle w:val="Normal"/></w:pPr>
<w:r><w:t xml:space="preserve">by Vincent de Beauvais as Philosophus Anglorum. He lived</w:t></w:r>
</w:p>
<w:p>
<w:pPr><w:pStyle w:val="Normal"/></w:pPr>
<w:r><w:t xml:space="preserve">for a time in the Norman kingdom of Sicily and returned to</w:t></w:r>
</w:p>
<w:p>
<w:pPr><w:pStyle w:val="Normal"/></w:pPr>
<w:r><w:t xml:space="preserve">England in the reign of Henry I. From the Pipe Roll (31 Henry</w:t></w:r>
</w:p>
<w:p>
<w:pPr><w:pStyle w:val="Heading1"/></w:pPr>
<w:r><w:t>I. 1130) it appears that he was awarded an annual grant of</w:t></w:r>
</w:p>
<w:p>
<w:pPr><w:pStyle w:val="Normal"/></w:pPr>
<w:r><w:t xml:space="preserve">money from the revenues of Wiltshire.  The great interest of</w:t></w:r>
</w:p>
<w:p>
<w:pPr><w:pStyle w:val="Normal"/></w:pPr>
<w:r><w:t xml:space="preserve">Adelard in the history of philosophy lies in the fact that</w:t></w:r>
</w:p>
<w:p>
<w:pPr><w:pStyle w:val="Normal"/></w:pPr>
<w:r><w:t xml:space="preserve">he made a special study of Arabian philosophy during his</w:t></w:r>
</w:p>
<w:p>
<w:pPr><w:pStyle w:val="Normal"/></w:pPr>
<w:r><w:t xml:space="preserve">travels, and, on his return to England, brought his knowledge</w:t></w:r>
</w:p>
<w:p>
<w:pPr><w:pStyle w:val="Normal"/></w:pPr>
<w:r><w:t xml:space="preserve">to bear on the current scholasticism of the time.  He has been</w:t></w:r>
</w:p>
<w:p>
<w:pPr><w:pStyle w:val="Normal"/></w:pPr>
<w:r><w:t xml:space="preserve">credited with a knowledge of Greek, and it is said that his</w:t></w:r>
</w:p>
<w:p>
<w:pPr><w:pStyle w:val="Normal"/></w:pPr>
<w:r><w:t xml:space="preserve">translation of Euclid&apos;s Elements was made from the original</w:t></w:r>
</w:p>
<w:p>
<w:pPr><w:pStyle w:val="Normal"/></w:pPr>
<w:r><w:t xml:space="preserve">Greek.  It is probable, however, from the nature of the text,</w:t></w:r>
</w:p>
<w:p>
<w:pPr><w:pStyle w:val="Normal"/></w:pPr>
<w:r><w:t xml:space="preserve">that his authority was an Arabic version.  This important</w:t></w:r>
</w:p>
<w:p>
<w:pPr><w:pStyle w:val="Normal"/></w:pPr>
<w:r><w:t xml:space="preserve">work was published first at Venice in 1482 under the name</w:t></w:r>
</w:p>
<w:p>
<w:pPr><w:pStyle w:val="Normal"/></w:pPr>
<w:r><w:t xml:space="preserve">of Campanus of Novara, but the work is always attributed to</w:t></w:r>
</w:p>
<w:p>
<w:pPr><w:pStyle w:val="Normal"/></w:pPr>
<w:r><w:t xml:space="preserve">Adelard.  Campanus may be responsible for some of the notes.</w:t></w:r>
</w:p>
<w:p>
<w:pPr><w:pStyle w:val="Normal"/></w:pPr>
<w:r><w:t xml:space="preserve">It became at once the text-book of the chief mathematical</w:t></w:r>
</w:p>
<w:p>
<w:pPr><w:pStyle w:val="Normal"/></w:pPr>
<w:r><w:t xml:space="preserve">schools of Europe, though its critical notes were of little</w:t></w:r>
</w:p>
<w:p>
<w:pPr><w:pStyle w:val="Normal"/></w:pPr>
<w:r><w:t xml:space="preserve">value.  His Arabic studies he collected under the title</w:t></w:r>
</w:p>
<w:p>
<w:pPr><w:pStyle w:val="Normal"/></w:pPr>
<w:r><w:t xml:space="preserve">Perdifficiles Quaestiones Naturales, printed after</w:t></w:r>
</w:p>
<w:p>
<w:pPr><w:pStyle w:val="Normal"/></w:pPr>
<w:r><w:t xml:space="preserve">1472.  It is in the form of a dialogue between himself and</w:t></w:r>
</w:p>
<w:p>
<w:pPr><w:pStyle w:val="Normal"/></w:pPr>
<w:r><w:t xml:space="preserve">his favourite nephew, and was dedicated to Richard, bishop</w:t></w:r>
</w:p>
<w:p>
<w:pPr><w:pStyle w:val="Normal"/></w:pPr>
<w:r><w:t xml:space="preserve">of Bayeux from 1113 to 1133.  He wrote also treatises on</w:t></w:r>
</w:p>
<w:p>
<w:pPr><w:pStyle w:val="Normal"/></w:pPr>
<w:r><w:t xml:space="preserve">the astrolabe (a copy of this is in the British Museum), on</w:t></w:r>
</w:p>
<w:p>
<w:pPr><w:pStyle w:val="Normal"/></w:pPr>
<w:r><w:t xml:space="preserve">the abacus (three copies exist in the Vatican library, the</w:t></w:r>
</w:p>
<w:p>
<w:pPr><w:pStyle w:val="Normal"/></w:pPr>
<w:r><w:t xml:space="preserve">library of Leiden University and the Bibliotheque Nationale</w:t></w:r>
</w:p>
<w:p>
<w:pPr><w:pStyle w:val="Normal"/></w:pPr>
<w:r><w:t xml:space="preserve">in Paris), translations of the Kharismian tables and an</w:t></w:r>
</w:p>
<w:p>
<w:pPr><w:pStyle w:val="Normal"/></w:pPr>
<w:r><w:t xml:space="preserve">Arabic Introduction to Astronomy. His great contribution to</w:t></w:r>
</w:p>
<w:p>
<w:pPr><w:pStyle w:val="Normal"/></w:pPr>
<w:r><w:t xml:space="preserve">philosophy proper was the De Eodem et Diverso (On Identity</w:t></w:r>
</w:p>
<w:p>
<w:pPr><w:pStyle w:val="Normal"/></w:pPr>
<w:r><w:t xml:space="preserve">and Difference), which is in the form of letters addressed</w:t></w:r>
</w:p>
<w:p>
<w:pPr><w:pStyle w:val="Normal"/></w:pPr>
<w:r><w:t xml:space="preserve">to his nephew.  In this work philosophy and the world are</w:t></w:r>
</w:p>
<w:p>
<w:pPr><w:pStyle w:val="Normal"/></w:pPr>
<w:r><w:t xml:space="preserve">personified as Philosophia and Philocosmia in conflict for</w:t></w:r>
</w:p>
<w:p>
<w:pPr><w:pStyle w:val="Normal"/></w:pPr>
<w:r><w:t xml:space="preserve">the soul of man.  Philosophia is accompanied by the liberal</w:t></w:r>
</w:p>
<w:p>
<w:pPr><w:pStyle w:val="Normal"/></w:pPr>
<w:r><w:t xml:space="preserve">arts, represented as Seven Wise Virgins; the world by Power,</w:t></w:r>
</w:p>
<w:p>
<w:pPr><w:pStyle w:val="Normal"/></w:pPr>
<w:r><w:t xml:space="preserve">Pleasure, Dignity, Fame and Fortune.  The work deals with</w:t></w:r>
</w:p>
<w:p>
<w:pPr><w:pStyle w:val="Normal"/></w:pPr>
<w:r><w:t xml:space="preserve">the current difficulties between nominalism and realism, the</w:t></w:r>
</w:p>
<w:p>
<w:pPr><w:pStyle w:val="Normal"/></w:pPr>
<w:r><w:t xml:space="preserve">relation between the individual and the genus or species.</w:t></w:r>
</w:p>
<w:p>
<w:pPr><w:pStyle w:val="Normal"/></w:pPr>
<w:r><w:t xml:space="preserve">Adelard regarded the individual as the really existent, and</w:t></w:r>
</w:p>
<w:p>
<w:pPr><w:pStyle w:val="Normal"/></w:pPr>
<w:r><w:t xml:space="preserve">yet, from different points of view, as being himself the genus</w:t></w:r>
</w:p>
<w:p>
<w:pPr><w:pStyle w:val="Normal"/></w:pPr>
<w:r><w:t xml:space="preserve">and the species.  He was either the founder or the formulator</w:t></w:r>
</w:p>
<w:p>
<w:pPr><w:pStyle w:val="Normal"/></w:pPr>
<w:r><w:t xml:space="preserve">of the doctrine of indifference, according to which genus</w:t></w:r>
</w:p>
<w:p>
<w:pPr><w:pStyle w:val="Normal"/></w:pPr>
<w:r><w:t xml:space="preserve">and species retain their identity in the individual apart</w:t></w:r>
</w:p>
<w:p>
<w:pPr><w:pStyle w:val="Normal"/></w:pPr>
<w:r><w:t xml:space="preserve">altogether from particular idiosyncrasies.  For the relative</w:t></w:r>
</w:p>
<w:p>
<w:pPr><w:pStyle w:val="Normal"/></w:pPr>
<w:r><w:t xml:space="preserve">importance of this doctrine see article SCHOLASTICISM.</w:t></w:r>
</w:p>
<w:p>
<w:pPr><w:pStyle w:val="Normal"/></w:pPr>
<w:r><w:t xml:space="preserve">See Jourdain, Recherches sur Les traductions d&apos;Aristote</w:t></w:r>
</w:p>
<w:p>
<w:pPr><w:pStyle w:val="Normal"/></w:pPr>
<w:r><w:t xml:space="preserve">(2nd ed., 1843); Haureau, Philosophie Scholastique (2nd</w:t></w:r>
</w:p>
<w:p>
<w:pPr><w:pStyle w:val="Normal"/></w:pPr>
<w:r><w:t xml:space="preserve">ed., 1872), and works appended to art. SCHOLASTICISM.</w:t></w:r>
</w:p>
<w:p>
<w:pPr><w:pStyle w:val="Normal"/></w:pPr>
<w:r><w:t xml:space="preserve">ADELSBERG (Slovene Postojina), a market-town in Carniola,</w:t></w:r>
</w:p>
<w:p>
<w:pPr><w:pStyle w:val="Normal"/></w:pPr>
<w:r><w:t xml:space="preserve">Austria, 30 m.  S.S.W. of Laibach by rail, Pop. (1900) 3636,</w:t></w:r>
</w:p>
<w:p>
<w:pPr><w:pStyle w:val="Normal"/></w:pPr>
<w:r><w:t xml:space="preserve">mostly Slovene.  About a mile from the town is the entrance</w:t></w:r>
</w:p>
<w:p>
<w:pPr><w:pStyle w:val="Normal"/></w:pPr>
<w:r><w:t xml:space="preserve">to the famous stalactite cavern of Adelsberg, the largest and</w:t></w:r>
</w:p>
<w:p>
<w:pPr><w:pStyle w:val="Normal"/></w:pPr>
<w:r><w:t xml:space="preserve">most magnificent in Europe.  The cavern is divided into four</w:t></w:r>
</w:p>
<w:p>
<w:pPr><w:pStyle w:val="Normal"/></w:pPr>
<w:r><w:t xml:space="preserve">grottoes, with two lateral ramifications which reach to the</w:t></w:r>
</w:p>
<w:p>
<w:pPr><w:pStyle w:val="Normal"/></w:pPr>
<w:r><w:t xml:space="preserve">distance of about a mile and a half from the entrance.  The</w:t></w:r>
</w:p>
<w:p>
<w:pPr><w:pStyle w:val="Normal"/></w:pPr>
<w:r><w:t xml:space="preserve">river Poik enters the cavern 60 ft. below its mouth, and is</w:t></w:r>
</w:p>
<w:p>
<w:pPr><w:pStyle w:val="Normal"/></w:pPr>
<w:r><w:t xml:space="preserve">heard murmuring in its recesses.  In the Kaiser-Ferdinand</w:t></w:r>
</w:p>
<w:p>
<w:pPr><w:pStyle w:val="Normal"/></w:pPr>
<w:r><w:t xml:space="preserve">grotto, the third of the chain, a great ball is annually held</w:t></w:r>
</w:p>
<w:p>
<w:pPr><w:pStyle w:val="Normal"/></w:pPr>
<w:r><w:t xml:space="preserve">on Whit-Monday, when the chamber is brilliantly illuminated.</w:t></w:r>
</w:p>
<w:p>
<w:pPr><w:pStyle w:val="Normal"/></w:pPr>
<w:r><w:t xml:space="preserve">The Franz-Joseph-Elisabeth grotto, the largest of the four, and</w:t></w:r>
</w:p>
<w:p>
<w:pPr><w:pStyle w:val="Normal"/></w:pPr>
<w:r><w:t xml:space="preserve">the farthest from the entrance, is 665 ft. in length, 640 ft.</w:t></w:r>
</w:p>
<w:p>
<w:pPr><w:pStyle w:val="Normal"/></w:pPr>
<w:r><w:t xml:space="preserve">in breadth and more than 100 ft. high.  Besides the imposing</w:t></w:r>
</w:p>
<w:p>
<w:pPr><w:pStyle w:val="Normal"/></w:pPr>
<w:r><w:t xml:space="preserve">proportions of its chambers, the cavern is remarkable for the</w:t></w:r>
</w:p>
<w:p>
<w:pPr><w:pStyle w:val="Normal"/></w:pPr>
<w:r><w:t xml:space="preserve">variegated beauty of its stalactite formations, some resembling</w:t></w:r>
</w:p>
<w:p>
<w:pPr><w:pStyle w:val="Normal"/></w:pPr>
<w:r><w:t xml:space="preserve">transparent drapery, others waterfalls, trees, animals or human</w:t></w:r>
</w:p>
<w:p>
<w:pPr><w:pStyle w:val="Normal"/></w:pPr>
<w:r><w:t xml:space="preserve">beings, the more grotesque being called by various fanciful</w:t></w:r>
</w:p>
<w:p>
<w:pPr><w:pStyle w:val="Normal"/></w:pPr>
<w:r><w:t xml:space="preserve">appellations.  These subterranean wonders were known as far</w:t></w:r>
</w:p>
<w:p>
<w:pPr><w:pStyle w:val="Normal"/></w:pPr>
<w:r><w:t xml:space="preserve">back as 1213, but the cavern remained undiscovered in modern</w:t></w:r>
</w:p>
<w:p>
<w:pPr><w:pStyle w:val="Normal"/></w:pPr>
<w:r><w:t xml:space="preserve">times until 1816, and it is only in still more recent times</w:t></w:r>
</w:p>
<w:p>
<w:pPr><w:pStyle w:val="Normal"/></w:pPr>
<w:r><w:t xml:space="preserve">that its vast extent has been fully ascertained and explored.</w:t></w:r>
</w:p>
<w:p>
<w:pPr><w:pStyle w:val="Normal"/></w:pPr>
<w:r><w:t xml:space="preserve">The total length of the passages is now estimated at over 5 1/2</w:t></w:r>
</w:p>
<w:p>
<w:pPr><w:pStyle w:val="Normal"/></w:pPr>
<w:r><w:t xml:space="preserve">m.  The connexion with the Ottokar grotto was established in</w:t></w:r>
</w:p>
<w:p>
<w:pPr><w:pStyle w:val="Normal"/></w:pPr>
<w:r><w:t xml:space="preserve">1890.  The Magdalene grotto, about an hour&apos;s walk to the</w:t></w:r>
</w:p>
<w:p>
<w:pPr><w:pStyle w:val="Normal"/></w:pPr>
<w:r><w:t xml:space="preserve">north, is celebrated for the extraordinary subterranean</w:t></w:r>
</w:p>
<w:p>
<w:pPr><w:pStyle w:val="Normal"/></w:pPr>
<w:r><w:t xml:space="preserve">amphibian, the proteus anguinus, first discovered</w:t></w:r>
</w:p>
<w:p>
<w:pPr><w:pStyle w:val="Normal"/></w:pPr>
<w:r><w:t xml:space="preserve">there.  It is about a foot in length, lives on snails</w:t></w:r>
</w:p>
<w:p>
<w:pPr><w:pStyle w:val="Normal"/></w:pPr>
<w:r><w:t xml:space="preserve">and worms and is provided with both lungs and gills.</w:t></w:r>
</w:p>
<w:p>
<w:pPr><w:pStyle w:val="Normal"/></w:pPr>
<w:r><w:t xml:space="preserve">ADELUNG, JOHANN CHRISTOPH (1732-1806), German grammarian and</w:t></w:r>
</w:p>
<w:p>
<w:pPr><w:pStyle w:val="Normal"/></w:pPr>
<w:r><w:t xml:space="preserve">philologist, was born at Spantekow, in Pomerania, on the 8th of</w:t></w:r>
</w:p>
<w:p>
<w:pPr><w:pStyle w:val="Normal"/></w:pPr>
<w:r><w:t xml:space="preserve">August 1732, and educated at the public schools of Anklam and</w:t></w:r>
</w:p>
<w:p>
<w:pPr><w:pStyle w:val="Normal"/></w:pPr>
<w:r><w:t xml:space="preserve">Klosterbergen, and the university of Halle.  In 1759 he was</w:t></w:r>
</w:p>
<w:p>
<w:pPr><w:pStyle w:val="Normal"/></w:pPr>
<w:r><w:t xml:space="preserve">appointed professor at the gymnasium of Erfurt, but relinquished</w:t></w:r>
</w:p>
<w:p>
<w:pPr><w:pStyle w:val="Normal"/></w:pPr>
<w:r><w:t xml:space="preserve">this situation two years later and went to reside in a private</w:t></w:r>
</w:p>
<w:p>
<w:pPr><w:pStyle w:val="Normal"/></w:pPr>
<w:r><w:t xml:space="preserve">capacity at Leipzig, where he devoted himself to philological</w:t></w:r>
</w:p>
<w:p>
<w:pPr><w:pStyle w:val="Normal"/></w:pPr>
<w:r><w:t xml:space="preserve">researches.  In 1787 he received the appointment of principal</w:t></w:r>
</w:p>
<w:p>
<w:pPr><w:pStyle w:val="Normal"/></w:pPr>
<w:r><w:t xml:space="preserve">librarian to the elector of Saxony at Dresden, where he continued</w:t></w:r>
</w:p>
<w:p>
<w:pPr><w:pStyle w:val="Normal"/></w:pPr>
<w:r><w:t xml:space="preserve">to reside until his death on the 10th of September 1806.</w:t></w:r>
</w:p>
<w:p>
<w:pPr><w:pStyle w:val="Normal"/></w:pPr>
<w:r><w:t xml:space="preserve">The writings of Adelung are very voluminous, and there</w:t></w:r>
</w:p>
<w:p>
<w:pPr><w:pStyle w:val="Normal"/></w:pPr>
<w:r><w:t xml:space="preserve">is not one of them, perhaps, which does not exhibit</w:t></w:r>
</w:p>
<w:p>
<w:pPr><w:pStyle w:val="Normal"/></w:pPr>
<w:r><w:t xml:space="preserve">some proofs of the genius, industry and erudition of the</w:t></w:r>
</w:p>
<w:p>
<w:pPr><w:pStyle w:val="Normal"/></w:pPr>
<w:r><w:t xml:space="preserve">author.  By means of his excellent grammars, dictionary and</w:t></w:r>
</w:p>
<w:p>
<w:pPr><w:pStyle w:val="Normal"/></w:pPr>
<w:r><w:t xml:space="preserve">various works on German style, he contributed greatly towards</w:t></w:r>
</w:p>
<w:p>
<w:pPr><w:pStyle w:val="Normal"/></w:pPr>
<w:r><w:t xml:space="preserve">rectifying the orthography, refining the idiom and fixing</w:t></w:r>
</w:p>
<w:p>
<w:pPr><w:pStyle w:val="Normal"/></w:pPr>
<w:r><w:t xml:space="preserve">the standard of his native tongue.  His German dictionary--</w:t></w:r>
</w:p>
<w:p>
<w:pPr><w:pStyle w:val="Normal"/></w:pPr>
<w:r><w:t xml:space="preserve">Grammatisch-kritisches Worterbuch der hochdeutschen</w:t></w:r>
</w:p>
<w:p>
<w:pPr><w:pStyle w:val="Normal"/></w:pPr>
<w:r><w:t xml:space="preserve">Mundart (1774-1786)--bears witness to the patient spirit</w:t></w:r>
</w:p>
<w:p>
<w:pPr><w:pStyle w:val="Normal"/></w:pPr>
<w:r><w:t xml:space="preserve">of investigation which Adelung possessed in so remarkable a</w:t></w:r>
</w:p>
<w:p>
<w:pPr><w:pStyle w:val="Normal"/></w:pPr>
<w:r><w:t xml:space="preserve">degree, and to his intimate knowledge of the history of the</w:t></w:r>
</w:p>
<w:p>
<w:pPr><w:pStyle w:val="Normal"/></w:pPr>
<w:r><w:t xml:space="preserve">different dialects on which modern German is based.  No man</w:t></w:r>
</w:p>
<w:p>
<w:pPr><w:pStyle w:val="Normal"/></w:pPr>
<w:r><w:t xml:space="preserve">before Jakob Grimm (q.v.) did so much for the language of</w:t></w:r>
</w:p>
<w:p>
<w:pPr><w:pStyle w:val="Normal"/></w:pPr>
<w:r><w:t xml:space="preserve">Germany.  Shortly before his death he issued Mithridates,</w:t></w:r>
</w:p>
<w:p>
<w:pPr><w:pStyle w:val="Normal"/></w:pPr>
<w:r><w:t xml:space="preserve">oder allgemeine Sprachenkunde (1806).  The hint of this work</w:t></w:r>
</w:p>
<w:p>
<w:pPr><w:pStyle w:val="Normal"/></w:pPr>
<w:r><w:t xml:space="preserve">appears to have been taken from a publication, with a similar</w:t></w:r>
</w:p>
<w:p>
<w:pPr><w:pStyle w:val="Normal"/></w:pPr>
<w:r><w:t xml:space="preserve">title, published by Konrad von Gesner (1516-1565) in 1555;</w:t></w:r>
</w:p>
<w:p>
<w:pPr><w:pStyle w:val="Normal"/></w:pPr>
<w:r><w:t xml:space="preserve">but the plan of Adelung is much more extensive.  Unfortunately</w:t></w:r>
</w:p>
<w:p>
<w:pPr><w:pStyle w:val="Normal"/></w:pPr>
<w:r><w:t xml:space="preserve">he did not live to finish what he had undertaken.  The first</w:t></w:r>
</w:p>
<w:p>
<w:pPr><w:pStyle w:val="Normal"/></w:pPr>
<w:r><w:t xml:space="preserve">volume, which contains the Asiatic languages, was published</w:t></w:r>
</w:p>
<w:p>
<w:pPr><w:pStyle w:val="Normal"/></w:pPr>
<w:r><w:t xml:space="preserve">immediately after his death; the other two were issued under</w:t></w:r>
</w:p>
<w:p>
<w:pPr><w:pStyle w:val="Normal"/></w:pPr>
<w:r><w:t xml:space="preserve">the superintendence of Johann Severin Vater (1771-1826).</w:t></w:r>
</w:p>
<w:p>
<w:pPr><w:pStyle w:val="Normal"/></w:pPr>
<w:r><w:t xml:space="preserve">Of the very numerous works by Adelung the following may be</w:t></w:r>
</w:p>
<w:p>
<w:pPr><w:pStyle w:val="Normal"/></w:pPr>
<w:r><w:t xml:space="preserve">noted: Directorium diplomaticum (Meissen, 1802); Deutsche</w:t></w:r>
</w:p>
<w:p>
<w:pPr><w:pStyle w:val="Normal"/></w:pPr>
<w:r><w:t xml:space="preserve">Sprachlehre fur Schulen (Berlin, 1781), and the periodical,</w:t></w:r>
</w:p>
<w:p>
<w:pPr><w:pStyle w:val="Normal"/></w:pPr>
<w:r><w:t xml:space="preserve">Magazin fur die deutsche Sprache (Leipzig, 1782-1784).</w:t></w:r>
</w:p>
<w:p>
<w:pPr><w:pStyle w:val="Normal"/></w:pPr>
<w:r><w:t xml:space="preserve">ADEMPTION (Lat. ademptio, from adimere, a taking away),</w:t></w:r>
</w:p>
<w:p>
<w:pPr><w:pStyle w:val="Normal"/></w:pPr>
<w:r><w:t xml:space="preserve">in law, a revocation of a grant or bequest (see LEGACY.)</w:t></w:r>
</w:p>
<w:p>
<w:pPr><w:pStyle w:val="Normal"/></w:pPr>
<w:r><w:t xml:space="preserve">ADEN, a seaport and territory in Arabia, politically</w:t></w:r>
</w:p>
<w:p>
<w:pPr><w:pStyle w:val="Heading1"/></w:pPr>
<w:r><w:t>part of British India, under the governor of Bombay.  The</w:t></w:r>
</w:p>
<w:p>
<w:pPr><w:pStyle w:val="Normal"/></w:pPr>
<w:r><w:t xml:space="preserve">seaport is situated in 12 deg.  45&apos; N. lat., and 45 deg.  4&apos; E.</w:t></w:r>
</w:p>
<w:p>
<w:pPr><w:pStyle w:val="Normal"/></w:pPr>
<w:r><w:t xml:space="preserve">long., on a peninsula near the entrance to the Red Sea, 100</w:t></w:r>
</w:p>
<w:p>
<w:pPr><w:pStyle w:val="Normal"/></w:pPr>
<w:r><w:t xml:space="preserve">m.  E. of the strait of Bab-el-Mandeb.  The peninsula of Aden</w:t></w:r>
</w:p>
<w:p>
<w:pPr><w:pStyle w:val="Normal"/></w:pPr>
<w:r><w:t xml:space="preserve">consists chiefly of a mass of barren and desolate volcanic</w:t></w:r>
</w:p>
<w:p>
<w:pPr><w:pStyle w:val="Normal"/></w:pPr>
<w:r><w:t xml:space="preserve">rocks, extending five miles from east to west, and three</w:t></w:r>
</w:p>
<w:p>
<w:pPr><w:pStyle w:val="Normal"/></w:pPr>
<w:r><w:t xml:space="preserve">from its northern shore to Ras Sanailah or Cape Aden, its</w:t></w:r>
</w:p>
<w:p>
<w:pPr><w:pStyle w:val="Normal"/></w:pPr>
<w:r><w:t xml:space="preserve">most southerly point; it is connected with the mainland by</w:t></w:r>
</w:p>
<w:p>
<w:pPr><w:pStyle w:val="Normal"/></w:pPr>
<w:r><w:t xml:space="preserve">a neck of flat sandy ground only a few feet high; and its</w:t></w:r>
</w:p>
<w:p>
<w:pPr><w:pStyle w:val="Normal"/></w:pPr>
<w:r><w:t xml:space="preserve">greatest elevation is Jebel Shamshan, 1776 ft. above the</w:t></w:r>
</w:p>
<w:p>
<w:pPr><w:pStyle w:val="Normal"/></w:pPr>
<w:r><w:t xml:space="preserve">level of the sea.  The town is built on the eastern coast,</w:t></w:r>
</w:p>
<w:p>
<w:pPr><w:pStyle w:val="Normal"/></w:pPr>
<w:r><w:t xml:space="preserve">in what is probably the crater of an extinct volcano, and is</w:t></w:r>
</w:p>
<w:p>
<w:pPr><w:pStyle w:val="Normal"/></w:pPr>
<w:r><w:t xml:space="preserve">surrounded by precipitous rocks that form an admirable natural</w:t></w:r>
</w:p>
<w:p>
<w:pPr><w:pStyle w:val="Normal"/></w:pPr>
<w:r><w:t xml:space="preserve">defence.  There are two harbours, an outer, facing the</w:t></w:r>
</w:p>
<w:p>
<w:pPr><w:pStyle w:val="Normal"/></w:pPr>
<w:r><w:t xml:space="preserve">town, protected by the island of Sirah, but now partially</w:t></w:r>
</w:p>
<w:p>
<w:pPr><w:pStyle w:val="Normal"/></w:pPr>
<w:r><w:t xml:space="preserve">choked with mud; and an inner, called Aden Back-bay, or,</w:t></w:r>
</w:p>
<w:p>
<w:pPr><w:pStyle w:val="Normal"/></w:pPr>
<w:r><w:t xml:space="preserve">by the Arabs, Bandar Tawayih, on the western side of the</w:t></w:r>
</w:p>
<w:p>
<w:pPr><w:pStyle w:val="Normal"/></w:pPr>
<w:r><w:t xml:space="preserve">peninsula, which at all periods of the year admits vessels</w:t></w:r>
</w:p>
<w:p>
<w:pPr><w:pStyle w:val="Normal"/></w:pPr>
<w:r><w:t xml:space="preserve">drawing less than 20 ft.  On the whole, Aden is a healthy</w:t></w:r>
</w:p>
<w:p>
<w:pPr><w:pStyle w:val="Normal"/></w:pPr>
<w:r><w:t xml:space="preserve">place, although it suffers considerably from the want of good</w:t></w:r>
</w:p>
<w:p>
<w:pPr><w:pStyle w:val="Normal"/></w:pPr>
<w:r><w:t xml:space="preserve">water, and the heat is often very intense.  From time to time</w:t></w:r>
</w:p>
<w:p>
<w:pPr><w:pStyle w:val="Normal"/></w:pPr>
<w:r><w:t xml:space="preserve">additional land on the mainland has been acquired by cession</w:t></w:r>
</w:p>
<w:p>
<w:pPr><w:pStyle w:val="Normal"/></w:pPr>
<w:r><w:t xml:space="preserve">or purchase, and the adjoining island of Perim, lying in</w:t></w:r>
</w:p>
<w:p>
<w:pPr><w:pStyle w:val="Normal"/></w:pPr>
<w:r><w:t xml:space="preserve">the actual mouth of the strait, was permanently occupied in</w:t></w:r>
</w:p>
<w:p>
<w:pPr><w:pStyle w:val="Normal"/></w:pPr>
<w:r><w:t xml:space="preserve">1857.  Farther inland, and along the coast, most of the</w:t></w:r>
</w:p>
<w:p>
<w:pPr><w:pStyle w:val="Normal"/></w:pPr>
<w:r><w:t xml:space="preserve">Arab chiefs are under the political control of the British</w:t></w:r>
</w:p>
<w:p>
<w:pPr><w:pStyle w:val="Normal"/></w:pPr>
<w:r><w:t xml:space="preserve">government, which pays them regular allowances.  The area of</w:t></w:r>
</w:p>
<w:p>
<w:pPr><w:pStyle w:val="Normal"/></w:pPr>
<w:r><w:t xml:space="preserve">the peninsula is only 15 sq. m., but the total area of British</w:t></w:r>
</w:p>
<w:p>
<w:pPr><w:pStyle w:val="Normal"/></w:pPr>
<w:r><w:t xml:space="preserve">territory is returned at 80 sq. m., including Perim (5 sq.</w:t></w:r>
</w:p>
<w:p>
<w:pPr><w:pStyle w:val="Normal"/></w:pPr>
<w:r><w:t xml:space="preserve">m.), and that of the Aden Protectorate is about 9000 sq.</w:t></w:r>
</w:p>
<w:p>
<w:pPr><w:pStyle w:val="Normal"/></w:pPr>
<w:r><w:t xml:space="preserve">m.  The seaport of Aden is strongly fortified.  Modern science</w:t></w:r>
</w:p>
<w:p>
<w:pPr><w:pStyle w:val="Normal"/></w:pPr>
<w:r><w:t xml:space="preserve">has converted ``Steamer Point&apos;&apos; into a seemingly impregnable</w:t></w:r>
</w:p>
<w:p>
<w:pPr><w:pStyle w:val="Normal"/></w:pPr>
<w:r><w:t xml:space="preserve">position, the peninsula which the ``Point&apos;&apos; forms to the</w:t></w:r>
</w:p>
<w:p>
<w:pPr><w:pStyle w:val="Normal"/></w:pPr>
<w:r><w:t xml:space="preserve">whole crater being cut off by a fortified line which runs</w:t></w:r>
</w:p>
<w:p>
<w:pPr><w:pStyle w:val="Normal"/></w:pPr>
<w:r><w:t xml:space="preserve">from north to south, just to the east of the coal wharfs.</w:t></w:r>
</w:p>
<w:p>
<w:pPr><w:pStyle w:val="Normal"/></w:pPr>
<w:r><w:t xml:space="preserve">The administration is conducted by a political resident,</w:t></w:r>
</w:p>
<w:p>
<w:pPr><w:pStyle w:val="Normal"/></w:pPr>
<w:r><w:t xml:space="preserve">who is also the military commandant.  All food requires to</w:t></w:r>
</w:p>
<w:p>
<w:pPr><w:pStyle w:val="Normal"/></w:pPr>
<w:r><w:t xml:space="preserve">be imported, and the water-supply is largely derived from</w:t></w:r>
</w:p>
<w:p>
<w:pPr><w:pStyle w:val="Normal"/></w:pPr>
<w:r><w:t xml:space="preserve">condensation.  A little water is obtained from wells, and some</w:t></w:r>
</w:p>
<w:p>
<w:pPr><w:pStyle w:val="Normal"/></w:pPr>
<w:r><w:t xml:space="preserve">from an aqueduct 7 m. long, constructed in 1867 at a cost of</w:t></w:r>
</w:p>
<w:p>
<w:pPr><w:pStyle w:val="Heading1"/></w:pPr>
<w:r><w:t>L. 30,000, besides an irregular supply from the old reservoirs.</w:t></w:r>
</w:p>
<w:p>
<w:pPr><w:pStyle w:val="Normal"/></w:pPr>
<w:r><w:t xml:space="preserve">From its admirable commercial and military position, Aden early</w:t></w:r>
</w:p>
<w:p>
<w:pPr><w:pStyle w:val="Normal"/></w:pPr>
<w:r><w:t xml:space="preserve">became the chief entrepot of the trade between Europe and</w:t></w:r>
</w:p>
<w:p>
<w:pPr><w:pStyle w:val="Normal"/></w:pPr>
<w:r><w:t xml:space="preserve">Asia.  It is the &apos;Arabia eudaimon of the Periplus.</w:t></w:r>
</w:p>
<w:p>
<w:pPr><w:pStyle w:val="Normal"/></w:pPr>
<w:r><w:t xml:space="preserve">It was known to the Romans as Arabia Felix and Attanae,</w:t></w:r>
</w:p>
<w:p>
<w:pPr><w:pStyle w:val="Normal"/></w:pPr>
<w:r><w:t xml:space="preserve">and was captured by them, probably in the year 24 B.C.</w:t></w:r>
</w:p>
<w:p>
<w:pPr><w:pStyle w:val="Normal"/></w:pPr>
<w:r><w:t xml:space="preserve">In 1513 it was unsuccessfully attacked by the Portuguese</w:t></w:r>
</w:p>
<w:p>
<w:pPr><w:pStyle w:val="Normal"/></w:pPr>
<w:r><w:t xml:space="preserve">under Albuquerque, but subsequently it fell into the hands</w:t></w:r>
</w:p>
<w:p>
<w:pPr><w:pStyle w:val="Normal"/></w:pPr>
<w:r><w:t xml:space="preserve">of the Turks in 1538.  In the following century the Turks</w:t></w:r>
</w:p>
<w:p>
<w:pPr><w:pStyle w:val="Normal"/></w:pPr>
<w:r><w:t xml:space="preserve">themselves relinquished their conquests in Yemen, and the</w:t></w:r>
</w:p>
<w:p>
<w:pPr><w:pStyle w:val="Normal"/></w:pPr>
<w:r><w:t xml:space="preserve">sultan of Sana established a supremacy over Aden, which was</w:t></w:r>
</w:p>
<w:p>
<w:pPr><w:pStyle w:val="Normal"/></w:pPr>
<w:r><w:t xml:space="preserve">maintained until the year 1735, when the sheikh of Lahej,</w:t></w:r>
</w:p>
<w:p>
<w:pPr><w:pStyle w:val="Normal"/></w:pPr>
<w:r><w:t xml:space="preserve">throwing off his allegiance, founded a line of independent</w:t></w:r>
</w:p>
<w:p>
<w:pPr><w:pStyle w:val="Normal"/></w:pPr>
<w:r><w:t xml:space="preserve">sultans.  In 1837 a ship under British colours was wrecked near</w:t></w:r>
</w:p>
<w:p>
<w:pPr><w:pStyle w:val="Normal"/></w:pPr>
<w:r><w:t xml:space="preserve">Aden, and the crew and passengers grievously maltreated by the</w:t></w:r>
</w:p>
<w:p>
<w:pPr><w:pStyle w:val="Normal"/></w:pPr>
<w:r><w:t xml:space="preserve">Arabs.  An explanation of the outrage being demanded by the</w:t></w:r>
</w:p>
<w:p>
<w:pPr><w:pStyle w:val="Normal"/></w:pPr>
<w:r><w:t xml:space="preserve">Bombay government, the sultan undertook to make compensation</w:t></w:r>
</w:p>
<w:p>
<w:pPr><w:pStyle w:val="Normal"/></w:pPr>
<w:r><w:t xml:space="preserve">for the plunder of the vessel, and also agreed to sell his</w:t></w:r>
</w:p>
<w:p>
<w:pPr><w:pStyle w:val="Normal"/></w:pPr>
<w:r><w:t xml:space="preserve">town and port to the English.  Captain Haines of the Indian</w:t></w:r>
</w:p>
<w:p>
<w:pPr><w:pStyle w:val="Normal"/></w:pPr>
<w:r><w:t xml:space="preserve">navy was sent to complete these arrangements, but the sultan&apos;s</w:t></w:r>
</w:p>
<w:p>
<w:pPr><w:pStyle w:val="Normal"/></w:pPr>
<w:r><w:t xml:space="preserve">son refused to fulfil the promises that his father had</w:t></w:r>
</w:p>
<w:p>
<w:pPr><w:pStyle w:val="Normal"/></w:pPr>
<w:r><w:t xml:space="preserve">made.  A combined naval and miltary force was thereupon</w:t></w:r>
</w:p>
<w:p>
<w:pPr><w:pStyle w:val="Normal"/></w:pPr>
<w:r><w:t xml:space="preserve">despatched, and the place was captured and annexed to</w:t></w:r>
</w:p>
<w:p>
<w:pPr><w:pStyle w:val="Normal"/></w:pPr>
<w:r><w:t xml:space="preserve">British India on the 16th of January 1839.  The withdrawal</w:t></w:r>
</w:p>
<w:p>
<w:pPr><w:pStyle w:val="Normal"/></w:pPr>
<w:r><w:t xml:space="preserve">of the trade between Europe and the East, caused by the</w:t></w:r>
</w:p>
<w:p>
<w:pPr><w:pStyle w:val="Normal"/></w:pPr>
<w:r><w:t xml:space="preserve">discovery of the passage round the Cape of Good Hope, and</w:t></w:r>
</w:p>
<w:p>
<w:pPr><w:pStyle w:val="Normal"/></w:pPr>
<w:r><w:t xml:space="preserve">the misgovernment of the native rulers, had gradually reduced</w:t></w:r>
</w:p>
<w:p>
<w:pPr><w:pStyle w:val="Normal"/></w:pPr>
<w:r><w:t xml:space="preserve">Aden to a state of comparative insignificance; but about the</w:t></w:r>
</w:p>
<w:p>
<w:pPr><w:pStyle w:val="Normal"/></w:pPr>
<w:r><w:t xml:space="preserve">time of its capture by the British the Red Sea route to India</w:t></w:r>
</w:p>
<w:p>
<w:pPr><w:pStyle w:val="Normal"/></w:pPr>
<w:r><w:t xml:space="preserve">was reopened, and commerce soon began to flow in its former</w:t></w:r>
</w:p>
<w:p>
<w:pPr><w:pStyle w:val="Normal"/></w:pPr>
<w:r><w:t xml:space="preserve">channel.  Aden was made a free port, and was chosen as one of</w:t></w:r>
</w:p>
<w:p>
<w:pPr><w:pStyle w:val="Normal"/></w:pPr>
<w:r><w:t xml:space="preserve">the coaling stations of the Peninsular and Oriental Steamship</w:t></w:r>
</w:p>
<w:p>
<w:pPr><w:pStyle w:val="Normal"/></w:pPr>
<w:r><w:t xml:space="preserve">Company.  Its importance as a port of call for steamers and a</w:t></w:r>
</w:p>
<w:p>
<w:pPr><w:pStyle w:val="Normal"/></w:pPr>
<w:r><w:t xml:space="preserve">coaling station has grown immensely since the opening of the Suez</w:t></w:r>
</w:p>
<w:p>
<w:pPr><w:pStyle w:val="Normal"/></w:pPr>
<w:r><w:t xml:space="preserve">Canal.  It also conducts a considerable trade with the interior of</w:t></w:r>
</w:p>
<w:p>
<w:pPr><w:pStyle w:val="Normal"/></w:pPr>
<w:r><w:t xml:space="preserve">Arabia, and with the Somali coast of Africa on the opposite side</w:t></w:r>
</w:p>
<w:p>
<w:pPr><w:pStyle w:val="Normal"/></w:pPr>
<w:r><w:t xml:space="preserve">of the Red Sea. The submarine cables of the Eastern Telegraph</w:t></w:r>
</w:p>
<w:p>
<w:pPr><w:pStyle w:val="Normal"/></w:pPr>
<w:r><w:t xml:space="preserve">Company here diverge--on the one hand to India, the Far East</w:t></w:r>
</w:p>
<w:p>
<w:pPr><w:pStyle w:val="Normal"/></w:pPr>
<w:r><w:t xml:space="preserve">and Australia, and on the other hand to Zanzibar and the Cape.</w:t></w:r>
</w:p>
<w:p>
<w:pPr><w:pStyle w:val="Normal"/></w:pPr>
<w:r><w:t xml:space="preserve">In 1839 the population was less than 1000, but in 1901 it</w:t></w:r>
</w:p>
<w:p>
<w:pPr><w:pStyle w:val="Normal"/></w:pPr>
<w:r><w:t xml:space="preserve">had grown to 43,974.  The gross revenue (1901-1902) was Rs.</w:t></w:r>
</w:p>
<w:p>
<w:pPr><w:pStyle w:val="Normal"/></w:pPr>
<w:r><w:t xml:space="preserve">37,25,915.  There are three printing-presses, of which one</w:t></w:r>
</w:p>
<w:p>
<w:pPr><w:pStyle w:val="Normal"/></w:pPr>
<w:r><w:t xml:space="preserve">is in the gaol and the other two belong to a European and</w:t></w:r>
</w:p>
<w:p>
<w:pPr><w:pStyle w:val="Normal"/></w:pPr>
<w:r><w:t xml:space="preserve">a Parsee firm of merchants.  The port is visited yearly by</w:t></w:r>
</w:p>
<w:p>
<w:pPr><w:pStyle w:val="Normal"/></w:pPr>
<w:r><w:t xml:space="preserve">some 1300 steamers with a tonnage of 2 1/2 million tons.  The</w:t></w:r>
</w:p>
<w:p>
<w:pPr><w:pStyle w:val="Normal"/></w:pPr>
<w:r><w:t xml:space="preserve">principal articles of import are coffee, Cotton-piece goods,</w:t></w:r>
</w:p>
<w:p>
<w:pPr><w:pStyle w:val="Normal"/></w:pPr>
<w:r><w:t xml:space="preserve">&amp;c., grain, hides, coal, opium, cotton- twist and yarn.  The</w:t></w:r>
</w:p>
<w:p>
<w:pPr><w:pStyle w:val="Normal"/></w:pPr>
<w:r><w:t xml:space="preserve">exports are, in the main, a repetition of the imports.  Of</w:t></w:r>
</w:p>
<w:p>
<w:pPr><w:pStyle w:val="Normal"/></w:pPr>
<w:r><w:t xml:space="preserve">the total imports nearly one-third come from the east coast of</w:t></w:r>
</w:p>
<w:p>
<w:pPr><w:pStyle w:val="Normal"/></w:pPr>
<w:r><w:t xml:space="preserve">Africa, and another third from Arabia.  Of the total exports,</w:t></w:r>
</w:p>
<w:p>
<w:pPr><w:pStyle w:val="Normal"/></w:pPr>
<w:r><w:t xml:space="preserve">nearly one-third again go to the east coast of Africa.  The</w:t></w:r>
</w:p>
<w:p>
<w:pPr><w:pStyle w:val="Normal"/></w:pPr>
<w:r><w:t xml:space="preserve">Aden brigade belongs to the western army corps of India.</w:t></w:r>
</w:p>
<w:p>
<w:pPr><w:pStyle w:val="Normal"/></w:pPr>
<w:r><w:t xml:space="preserve">ADENES (ADENEZ or ADANS), surnamed LE ROI, French</w:t></w:r>
</w:p>
<w:p>
<w:pPr><w:pStyle w:val="Normal"/></w:pPr>
<w:r><w:t xml:space="preserve">trouvere, was born in Brabant about 1240.  He owed his</w:t></w:r>
</w:p>
<w:p>
<w:pPr><w:pStyle w:val="Normal"/></w:pPr>
<w:r><w:t xml:space="preserve">education to the kindness of Henry III., duke of Brabant,</w:t></w:r>
</w:p>
<w:p>
<w:pPr><w:pStyle w:val="Normal"/></w:pPr>
<w:r><w:t xml:space="preserve">and he remained in favour at court for some time after the</w:t></w:r>
</w:p>
<w:p>
<w:pPr><w:pStyle w:val="Normal"/></w:pPr>
<w:r><w:t xml:space="preserve">death (1261) of his patron.  In 1269 he entered the service</w:t></w:r>
</w:p>
<w:p>
<w:pPr><w:pStyle w:val="Normal"/></w:pPr>
<w:r><w:t xml:space="preserve">of Guy de Dampierre, afterwards count of Flanders, probably</w:t></w:r>
</w:p>
<w:p>
<w:pPr><w:pStyle w:val="Normal"/></w:pPr>
<w:r><w:t xml:space="preserve">as roi des menestrels, and followed him in the next year</w:t></w:r>
</w:p>
<w:p>
<w:pPr><w:pStyle w:val="Normal"/></w:pPr>
<w:r><w:t xml:space="preserve">on the abortive crusade in Tunis in which Louis IX. lost his</w:t></w:r>
</w:p>
<w:p>
<w:pPr><w:pStyle w:val="Normal"/></w:pPr>
<w:r><w:t xml:space="preserve">life.  The expedition returned by way of Sicily and Italy,</w:t></w:r>
</w:p>
<w:p>
<w:pPr><w:pStyle w:val="Normal"/></w:pPr>
<w:r><w:t xml:space="preserve">and Adenes has left in his poems some very exact descriptions</w:t></w:r>
</w:p>
<w:p>
<w:pPr><w:pStyle w:val="Normal"/></w:pPr>
<w:r><w:t xml:space="preserve">of the places through which he passed.  The purity of his</w:t></w:r>
</w:p>
<w:p>
<w:pPr><w:pStyle w:val="Normal"/></w:pPr>
<w:r><w:t xml:space="preserve">French and the absence of provincialisms point to a long</w:t></w:r>
</w:p>
<w:p>
<w:pPr><w:pStyle w:val="Normal"/></w:pPr>
<w:r><w:t xml:space="preserve">residence in France, and it has been suggested that Adenes</w:t></w:r>
</w:p>
<w:p>
<w:pPr><w:pStyle w:val="Normal"/></w:pPr>
<w:r><w:t xml:space="preserve">may have followed Mary of Brabant thither on her marriage</w:t></w:r>
</w:p>
<w:p>
<w:pPr><w:pStyle w:val="Normal"/></w:pPr>
<w:r><w:t xml:space="preserve">with Philip the Bold.  He seems, however, to have remained</w:t></w:r>
</w:p>
<w:p>
<w:pPr><w:pStyle w:val="Normal"/></w:pPr>
<w:r><w:t xml:space="preserve">in the service of Count Guy, although he made frequent visits</w:t></w:r>
</w:p>
<w:p>
<w:pPr><w:pStyle w:val="Normal"/></w:pPr>
<w:r><w:t xml:space="preserve">to Paris to consult the annals preserved in the abbey of St</w:t></w:r>
</w:p>
<w:p>
<w:pPr><w:pStyle w:val="Normal"/></w:pPr>
<w:r><w:t xml:space="preserve">Denis.  The poems written by Adenes are four: the Enfances</w:t></w:r>
</w:p>
<w:p>
<w:pPr><w:pStyle w:val="Normal"/></w:pPr>
<w:r><w:t xml:space="preserve">Ogier, an enfeebled version of the Chevalerie Ogier de</w:t></w:r>
</w:p>
<w:p>
<w:pPr><w:pStyle w:val="Normal"/></w:pPr>
<w:r><w:t xml:space="preserve">Danemarche written by Raimbert de Paris at the beginning</w:t></w:r>
</w:p>
<w:p>
<w:pPr><w:pStyle w:val="Normal"/></w:pPr>
<w:r><w:t xml:space="preserve">of the century; Berte aus granspies, the history of the</w:t></w:r>
</w:p>
<w:p>
<w:pPr><w:pStyle w:val="Normal"/></w:pPr>
<w:r><w:t xml:space="preserve">mother of Charlemagne, founded on well-known traditions which</w:t></w:r>
</w:p>
<w:p>
<w:pPr><w:pStyle w:val="Normal"/></w:pPr>
<w:r><w:t xml:space="preserve">are also preserved in the anonymous Chronique de France,</w:t></w:r>
</w:p>
<w:p>
<w:pPr><w:pStyle w:val="Normal"/></w:pPr>
<w:r><w:t xml:space="preserve">and in the Chronique rimee of Philippe Mousket; Bueves de</w:t></w:r>
</w:p>
<w:p>
<w:pPr><w:pStyle w:val="Normal"/></w:pPr>
<w:r><w:t xml:space="preserve">Comarchis, belonging to the cycle of romance gathered round the</w:t></w:r>
</w:p>
<w:p>
<w:pPr><w:pStyle w:val="Normal"/></w:pPr>
<w:r><w:t xml:space="preserve">history of Aimeri de Narbonne; and a long roman d&apos;aventures,</w:t></w:r>
</w:p>
<w:p>
<w:pPr><w:pStyle w:val="Normal"/></w:pPr>
<w:r><w:t xml:space="preserve">Cleomades, borrowed from Spanish and Moorish traditions</w:t></w:r>
</w:p>
<w:p>
<w:pPr><w:pStyle w:val="Normal"/></w:pPr>
<w:r><w:t xml:space="preserve">brought into France by Blanche, daughter of Louis IX., who</w:t></w:r>
</w:p>
<w:p>
<w:pPr><w:pStyle w:val="Normal"/></w:pPr>
<w:r><w:t xml:space="preserve">after the death of her Spanish husband returned to the French</w:t></w:r>
</w:p>
<w:p>
<w:pPr><w:pStyle w:val="Normal"/></w:pPr>
<w:r><w:t xml:space="preserve">court.  Adenes probably died before the end of the 13th century.</w:t></w:r>
</w:p>
<w:p>
<w:pPr><w:pStyle w:val="Normal"/></w:pPr>
<w:r><w:t xml:space="preserve">The romances of Adenes were edited for the Academie</w:t></w:r>
</w:p>
<w:p>
<w:pPr><w:pStyle w:val="Normal"/></w:pPr>
<w:r><w:t xml:space="preserve">Imperiale et Royale of Brussels by A. Scheler and A. van</w:t></w:r>
</w:p>
<w:p>
<w:pPr><w:pStyle w:val="Normal"/></w:pPr>
<w:r><w:t xml:space="preserve">Hasseh in 1874; Berte was rendered into modern French by</w:t></w:r>
</w:p>
<w:p>
<w:pPr><w:pStyle w:val="Normal"/></w:pPr>
<w:r><w:t xml:space="preserve">G. Hecq (1897) and by R. Perie(1900); Cleomades, by</w:t></w:r>
</w:p>
<w:p>
<w:pPr><w:pStyle w:val="Normal"/></w:pPr>
<w:r><w:t xml:space="preserve">Le Chevalier de Chatelain (1859).  See also the edition of</w:t></w:r>
</w:p>
<w:p>
<w:pPr><w:pStyle w:val="Normal"/></w:pPr>
<w:r><w:t xml:space="preserve">Berte by Paulin Paris (1832); an article by the same writer</w:t></w:r>
</w:p>
<w:p>
<w:pPr><w:pStyle w:val="Normal"/></w:pPr>
<w:r><w:t xml:space="preserve">in the Hist. litt. de la France, vol. xx. pp. 679-718;</w:t></w:r>
</w:p>
<w:p>
<w:pPr><w:pStyle w:val="Normal"/></w:pPr>
<w:r><w:t xml:space="preserve">Leon Gautier, Les epopees francaises, vol. iii., &amp;c.</w:t></w:r>
</w:p>
<w:p>
<w:pPr><w:pStyle w:val="Normal"/></w:pPr>
<w:r><w:t xml:space="preserve">ADENINE, or 6-AMINO-PURIN, C5H5N5, in chemistry, a</w:t></w:r>
</w:p>
<w:p>
<w:pPr><w:pStyle w:val="Normal"/></w:pPr>
<w:r><w:t xml:space="preserve">basic substance which has been obtained as a decomposition</w:t></w:r>
</w:p>
<w:p>
<w:pPr><w:pStyle w:val="Normal"/></w:pPr>
<w:r><w:t xml:space="preserve">product of nuclein, and also from the pancreatic glands of</w:t></w:r>
</w:p>
<w:p>
<w:pPr><w:pStyle w:val="Normal"/></w:pPr>
<w:r><w:t xml:space="preserve">oxen.  It has been synthesized by E. Fischer (Berichte,</w:t></w:r>
</w:p>
<w:p>
<w:pPr><w:pStyle w:val="Normal"/></w:pPr>
<w:r><w:t xml:space="preserve">1897, 30, p. 2238) by heating 2.6.8-trichlorpurin with 10</w:t></w:r>
</w:p>
<w:p>
<w:pPr><w:pStyle w:val="Normal"/></w:pPr>
<w:r><w:t xml:space="preserve">times its weight of ammonia for six hours at 100 deg.  C.; by</w:t></w:r>
</w:p>
<w:p>
<w:pPr><w:pStyle w:val="Normal"/></w:pPr>
<w:r><w:t xml:space="preserve">this means 6-amino-2.8-dichlorpurin is obtained, which on</w:t></w:r>
</w:p>
<w:p>
<w:pPr><w:pStyle w:val="Normal"/></w:pPr>
<w:r><w:t xml:space="preserve">reduction by means of hydriodic acid and phosphonium iodide</w:t></w:r>
</w:p>
<w:p>
<w:pPr><w:pStyle w:val="Normal"/></w:pPr>
<w:r><w:t xml:space="preserve">is converted into adenine.  In 1898 E. Fischer also obtained</w:t></w:r>
</w:p>
<w:p>
<w:pPr><w:pStyle w:val="Normal"/></w:pPr>
<w:r><w:t xml:space="preserve">it from 8-oxy-2.6-dichlorpurin Berichte, 1898, 31, p. 104).</w:t></w:r>
</w:p>
<w:p>
<w:pPr><w:pStyle w:val="Normal"/></w:pPr>
<w:r><w:t xml:space="preserve">It crystallizes in long needles; forms salts C5H5N5.2HI and</w:t></w:r>
</w:p>
<w:p>
<w:pPr><w:pStyle w:val="Normal"/></w:pPr>
<w:r><w:t xml:space="preserve">(C5H5N5)2.H2SO4.2H2O, and is converted by nitrous acid</w:t></w:r>
</w:p>
<w:p>
<w:pPr><w:pStyle w:val="Normal"/></w:pPr>
<w:r><w:t xml:space="preserve">into hypoxanthine or 6-oxypurin.  On heating with hydrochloric</w:t></w:r>
</w:p>
<w:p>
<w:pPr><w:pStyle w:val="Normal"/></w:pPr>
<w:r><w:t xml:space="preserve">acid at 180-200 deg.  C. it is decomposed; the products of the</w:t></w:r>
</w:p>
<w:p>
<w:pPr><w:pStyle w:val="Normal"/></w:pPr>
<w:r><w:t xml:space="preserve">reaction being glycocoll, ammonia, formic acid and carbon</w:t></w:r>
</w:p>
<w:p>
<w:pPr><w:pStyle w:val="Normal"/></w:pPr>
<w:r><w:t xml:space="preserve">dioxide.  Various methyl derivatives of adenine have been</w:t></w:r>
</w:p>
<w:p>
<w:pPr><w:pStyle w:val="Normal"/></w:pPr>
<w:r><w:t xml:space="preserve">described by E. Fischer (Berichte, 1898, 31, on 104) and</w:t></w:r>
</w:p>
<w:p>
<w:pPr><w:pStyle w:val="Normal"/></w:pPr>
<w:r><w:t xml:space="preserve">by M. Kruger (Zeit. fur physiol.  Chemie, 1894, 18, p.</w:t></w:r>
</w:p>
<w:p>
<w:pPr><w:pStyle w:val="Normal"/></w:pPr>
<w:r><w:t xml:space="preserve">434).  For the constitution of adenine see PURIN.</w:t></w:r>
</w:p>
<w:p>
<w:pPr><w:pStyle w:val="Normal"/></w:pPr>
<w:r><w:t xml:space="preserve">ADENOIDS, or ADENOID GROWTHS (from Gr. adenoeides, glandular),</w:t></w:r>
</w:p>
<w:p>
<w:pPr><w:pStyle w:val="Normal"/></w:pPr>
<w:r><w:t xml:space="preserve">masses of soft, spongy tissue between the back of the nose</w:t></w:r>
</w:p>
<w:p>
<w:pPr><w:pStyle w:val="Normal"/></w:pPr>
<w:r><w:t xml:space="preserve">and throat, occurring mostly in young children; blocking the</w:t></w:r>
</w:p>
<w:p>
<w:pPr><w:pStyle w:val="Normal"/></w:pPr>
<w:r><w:t xml:space="preserve">air-way, they prevent the due inflation of the lungs and the</w:t></w:r>
</w:p>
<w:p>
<w:pPr><w:pStyle w:val="Normal"/></w:pPr>
<w:r><w:t xml:space="preserve">proper development of the chest.  The growths are apt to keep</w:t></w:r>
</w:p>
<w:p>
<w:pPr><w:pStyle w:val="Normal"/></w:pPr>
<w:r><w:t xml:space="preserve">up a constant catarrh near the orifice of the ventilating</w:t></w:r>
</w:p>
<w:p>
<w:pPr><w:pStyle w:val="Normal"/></w:pPr>
<w:r><w:t xml:space="preserve">tubes which pass from the throat to the ear, and so render</w:t></w:r>
</w:p>
<w:p>
<w:pPr><w:pStyle w:val="Normal"/></w:pPr>
<w:r><w:t xml:space="preserve">the child dull of hearing or even deaf.  They also give</w:t></w:r>
</w:p>
<w:p>
<w:pPr><w:pStyle w:val="Normal"/></w:pPr>
<w:r><w:t xml:space="preserve">rise to asthma, and like enlarged tonsils--with which they</w:t></w:r>
</w:p>
<w:p>
<w:pPr><w:pStyle w:val="Normal"/></w:pPr>
<w:r><w:t xml:space="preserve">are often associated-- they impart to the child a vacant,</w:t></w:r>
</w:p>
<w:p>
<w:pPr><w:pStyle w:val="Normal"/></w:pPr>
<w:r><w:t xml:space="preserve">stupid expression, and hinder his physical and intellectual</w:t></w:r>
</w:p>
<w:p>
<w:pPr><w:pStyle w:val="Normal"/></w:pPr>
<w:r><w:t xml:space="preserve">development.  They cause his voice to be ``stuffy,&apos;&apos; thick, and</w:t></w:r>
</w:p>
<w:p>
<w:pPr><w:pStyle w:val="Normal"/></w:pPr>
<w:r><w:t xml:space="preserve">unmusical.  Though, except in the case of a cleft palate,</w:t></w:r>
</w:p>
<w:p>
<w:pPr><w:pStyle w:val="Normal"/></w:pPr>
<w:r><w:t xml:space="preserve">they cannot be seen with the naked eye, they are often</w:t></w:r>
</w:p>
<w:p>
<w:pPr><w:pStyle w:val="Normal"/></w:pPr>
<w:r><w:t xml:space="preserve">accompanied by a visible and suggestive granular condition</w:t></w:r>
</w:p>
<w:p>
<w:pPr><w:pStyle w:val="Normal"/></w:pPr>
<w:r><w:t xml:space="preserve">of the wall at the back of the throat.  Their presence may</w:t></w:r>
</w:p>
<w:p>
<w:pPr><w:pStyle w:val="Normal"/></w:pPr>
<w:r><w:t xml:space="preserve">easily be determined by the medical attendant gently hooking</w:t></w:r>
</w:p>
<w:p>
<w:pPr><w:pStyle w:val="Normal"/></w:pPr>
<w:r><w:t xml:space="preserve">the end of the index-finger round the back of the soft</w:t></w:r>
</w:p>
<w:p>
<w:pPr><w:pStyle w:val="Normal"/></w:pPr>
<w:r><w:t xml:space="preserve">palate.  If the tonsils are enlarged it is kinder to postpone</w:t></w:r>
</w:p>
<w:p>
<w:pPr><w:pStyle w:val="Normal"/></w:pPr>
<w:r><w:t xml:space="preserve">this digital examination of the throat until the child is</w:t></w:r>
</w:p>
<w:p>
<w:pPr><w:pStyle w:val="Normal"/></w:pPr>
<w:r><w:t xml:space="preserve">under the influence of an anaesthetic for operation upon the</w:t></w:r>
</w:p>
<w:p>
<w:pPr><w:pStyle w:val="Normal"/></w:pPr>
<w:r><w:t xml:space="preserve">tonsils, and if adenoids are present they can be removed at</w:t></w:r>
</w:p>
<w:p>
<w:pPr><w:pStyle w:val="Normal"/></w:pPr>
<w:r><w:t xml:space="preserve">the same time that the tonsils are dealt with.  Though the</w:t></w:r>
</w:p>
<w:p>
<w:pPr><w:pStyle w:val="Normal"/></w:pPr>
<w:r><w:t xml:space="preserve">disease is a comparatively recent discovery, the pioneer</w:t></w:r>
</w:p>
<w:p>
<w:pPr><w:pStyle w:val="Normal"/></w:pPr>
<w:r><w:t xml:space="preserve">in its treatment being Meyer of Copenhagen, it has probably</w:t></w:r>
</w:p>
<w:p>
<w:pPr><w:pStyle w:val="Normal"/></w:pPr>
<w:r><w:t xml:space="preserve">existed as long as tuberculosis itself, with which affection</w:t></w:r>
</w:p>
<w:p>
<w:pPr><w:pStyle w:val="Normal"/></w:pPr>
<w:r><w:t xml:space="preserve">it is somewhat distantly connected.  In the unenlightened</w:t></w:r>
</w:p>
<w:p>
<w:pPr><w:pStyle w:val="Normal"/></w:pPr>
<w:r><w:t xml:space="preserve">days many children must have got well of adenoids without</w:t></w:r>
</w:p>
<w:p>
<w:pPr><w:pStyle w:val="Normal"/></w:pPr>
<w:r><w:t xml:space="preserve">operation, and even at the present time it by no means follows</w:t></w:r>
</w:p>
<w:p>
<w:pPr><w:pStyle w:val="Normal"/></w:pPr>
<w:r><w:t xml:space="preserve">that because a child has these postnasal vegetations he must</w:t></w:r>
</w:p>
<w:p>
<w:pPr><w:pStyle w:val="Normal"/></w:pPr>
<w:r><w:t xml:space="preserve">forthwith be operated on.  The condition is very similar</w:t></w:r>
</w:p>
<w:p>
<w:pPr><w:pStyle w:val="Normal"/></w:pPr>
<w:r><w:t xml:space="preserve">to that of enlarged tonsils, where with time, patience and</w:t></w:r>
</w:p>
<w:p>
<w:pPr><w:pStyle w:val="Normal"/></w:pPr>
<w:r><w:t xml:space="preserve">attention to general measures, operation is often rendered</w:t></w:r>
</w:p>
<w:p>
<w:pPr><w:pStyle w:val="Normal"/></w:pPr>
<w:r><w:t xml:space="preserve">unnecessary.  But if the child continues to breathe with</w:t></w:r>
</w:p>
<w:p>
<w:pPr><w:pStyle w:val="Normal"/></w:pPr>
<w:r><w:t xml:space="preserve">his mouth open and to snore at night, if he remains deaf and</w:t></w:r>
</w:p>
<w:p>
<w:pPr><w:pStyle w:val="Normal"/></w:pPr>
<w:r><w:t xml:space="preserve">dull, and is troubled with a chronic ``cold in his head,&apos;&apos;</w:t></w:r>
</w:p>
<w:p>
<w:pPr><w:pStyle w:val="Normal"/></w:pPr>
<w:r><w:t xml:space="preserve">the question of thorough exploration of the naso-pharynx</w:t></w:r>
</w:p>
<w:p>
<w:pPr><w:pStyle w:val="Normal"/></w:pPr>
<w:r><w:t xml:space="preserve">and of a surgical operation should most certainly be</w:t></w:r>
</w:p>
<w:p>
<w:pPr><w:pStyle w:val="Normal"/></w:pPr>
<w:r><w:t xml:space="preserve">considered.  In recent years the comparatively simple operation</w:t></w:r>
</w:p>
<w:p>
<w:pPr><w:pStyle w:val="Normal"/></w:pPr>
<w:r><w:t xml:space="preserve">for their removal has been very frequently performed, and,</w:t></w:r>
</w:p>
<w:p>
<w:pPr><w:pStyle w:val="Normal"/></w:pPr>
<w:r><w:t xml:space="preserve">as a rule, with marked benefit, but this treatment should</w:t></w:r>
</w:p>
<w:p>
<w:pPr><w:pStyle w:val="Normal"/></w:pPr>
<w:r><w:t xml:space="preserve">always be followed by a course of instruction in respiratory</w:t></w:r>
</w:p>
<w:p>
<w:pPr><w:pStyle w:val="Normal"/></w:pPr>
<w:r><w:t xml:space="preserve">exercises; the child must be taught regularly to fill his</w:t></w:r>
</w:p>
<w:p>
<w:pPr><w:pStyle w:val="Normal"/></w:pPr>
<w:r><w:t xml:space="preserve">lungs and make the tidal air pass through the nostrils.  These</w:t></w:r>
</w:p>
<w:p>
<w:pPr><w:pStyle w:val="Normal"/></w:pPr>
<w:r><w:t xml:space="preserve">respiratory exercises may be resorted to before operation is</w:t></w:r>
</w:p>
<w:p>
<w:pPr><w:pStyle w:val="Normal"/></w:pPr>
<w:r><w:t xml:space="preserve">proposed, and in some cases they may render operative treatment</w:t></w:r>
</w:p>
<w:p>
<w:pPr><w:pStyle w:val="Normal"/></w:pPr>
<w:r><w:t xml:space="preserve">unnecessary.  Operations should not be performed in cold</w:t></w:r>
</w:p>
<w:p>
<w:pPr><w:pStyle w:val="Normal"/></w:pPr>
<w:r><w:t xml:space="preserve">weather or in piercing east winds, and it is advisable to</w:t></w:r>
</w:p>
<w:p>
<w:pPr><w:pStyle w:val="Normal"/></w:pPr>
<w:r><w:t xml:space="preserve">keep the child indoors for a day or two subsequent to its</w:t></w:r>
</w:p>
<w:p>
<w:pPr><w:pStyle w:val="Normal"/></w:pPr>
<w:r><w:t xml:space="preserve">performance.  To expose a child just after operating on his</w:t></w:r>
</w:p>
<w:p>
<w:pPr><w:pStyle w:val="Normal"/></w:pPr>
<w:r><w:t xml:space="preserve">throat to the risks of a journey by train or omnibus is highly</w:t></w:r>
</w:p>
<w:p>
<w:pPr><w:pStyle w:val="Normal"/></w:pPr>
<w:r><w:t xml:space="preserve">inadvisable.  Although the operation is not a very painful one, it</w:t></w:r>
</w:p>
<w:p>
<w:pPr><w:pStyle w:val="Normal"/></w:pPr>
<w:r><w:t xml:space="preserve">ought not to be performed upon a child except under the influence</w:t></w:r>
</w:p>
<w:p>
<w:pPr><w:pStyle w:val="Normal"/></w:pPr>
<w:r><w:t xml:space="preserve">of chloroform or some other general anaesthetic. (F. O.*)</w:t></w:r>
</w:p>
<w:p>
<w:pPr><w:pStyle w:val="Normal"/></w:pPr>
<w:r><w:t xml:space="preserve">ADEPT (if used as a substantive pronounced adept, if</w:t></w:r>
</w:p>
<w:p>
<w:pPr><w:pStyle w:val="Normal"/></w:pPr>
<w:r><w:t xml:space="preserve">as an adjective adept; from Lat. adeptus, one who has</w:t></w:r>
</w:p>
<w:p>
<w:pPr><w:pStyle w:val="Normal"/></w:pPr>
<w:r><w:t xml:space="preserve">attained), completely and fully acquainted with one&apos;s</w:t></w:r>
</w:p>
<w:p>
<w:pPr><w:pStyle w:val="Normal"/></w:pPr>
<w:r><w:t xml:space="preserve">subject, an expert.  The word implies more than acquired</w:t></w:r>
</w:p>
<w:p>
<w:pPr><w:pStyle w:val="Normal"/></w:pPr>
<w:r><w:t xml:space="preserve">proficiency, a natural inborn aptitude.  In olden times</w:t></w:r>
</w:p>
<w:p>
<w:pPr><w:pStyle w:val="Normal"/></w:pPr>
<w:r><w:t xml:space="preserve">an adept was one who was versed in magic, an alchemist,</w:t></w:r>
</w:p>
<w:p>
<w:pPr><w:pStyle w:val="Normal"/></w:pPr>
<w:r><w:t xml:space="preserve">one who had attained the great secrets of the unknown.</w:t></w:r>
</w:p>
<w:p>
<w:pPr><w:pStyle w:val="Normal"/></w:pPr>
<w:r><w:t xml:space="preserve">ADERNO, a town of the province of Catania, Sicily, 22</w:t></w:r>
</w:p>
<w:p>
<w:pPr><w:pStyle w:val="Normal"/></w:pPr>
<w:r><w:t xml:space="preserve">m.  N.W. of the town of that name.  Pop. (1901) 25,859.  It</w:t></w:r>
</w:p>
<w:p>
<w:pPr><w:pStyle w:val="Normal"/></w:pPr>
<w:r><w:t xml:space="preserve">occupies the site of the ancient Adranon, which took its name</w:t></w:r>
</w:p>
<w:p>
<w:pPr><w:pStyle w:val="Normal"/></w:pPr>
<w:r><w:t xml:space="preserve">from Adranos, a god probably of Phoenician origin, in Roman</w:t></w:r>
</w:p>
<w:p>
<w:pPr><w:pStyle w:val="Normal"/></w:pPr>
<w:r><w:t xml:space="preserve">times identified with Vulcan, whose chief temple was situated</w:t></w:r>
</w:p>
<w:p>
<w:pPr><w:pStyle w:val="Normal"/></w:pPr>
<w:r><w:t xml:space="preserve">here, and was guarded by a thousand huge gods; there are perhaps</w:t></w:r>
</w:p>
<w:p>
<w:pPr><w:pStyle w:val="Normal"/></w:pPr>
<w:r><w:t xml:space="preserve">some substructures of this building still extant outside the</w:t></w:r>
</w:p>
<w:p>
<w:pPr><w:pStyle w:val="Normal"/></w:pPr>
<w:r><w:t xml:space="preserve">town.  The latter was founded about 400 B.C. by Dionysius</w:t></w:r>
</w:p>
<w:p>
<w:pPr><w:pStyle w:val="Normal"/></w:pPr>
<w:r><w:t xml:space="preserve">I.; very fine remains of its walls are preserved.  For a time</w:t></w:r>
</w:p>
<w:p>
<w:pPr><w:pStyle w:val="Normal"/></w:pPr>
<w:r><w:t xml:space="preserve">it was the headquarters of Timoleon, and it was the first town</w:t></w:r>
</w:p>
<w:p>
<w:pPr><w:pStyle w:val="Normal"/></w:pPr>
<w:r><w:t xml:space="preserve">taken by the Romans in the First Punic War (263 B.C..) In</w:t></w:r>
</w:p>
<w:p>
<w:pPr><w:pStyle w:val="Normal"/></w:pPr>
<w:r><w:t xml:space="preserve">the centre of the modern town rises the castle, built by Roger</w:t></w:r>
</w:p>
<w:p>
<w:pPr><w:pStyle w:val="Normal"/></w:pPr>
<w:r><w:t xml:space="preserve">I.; in the chapel are frescoes representing his granddaughter,</w:t></w:r>
</w:p>
<w:p>
<w:pPr><w:pStyle w:val="Normal"/></w:pPr>
<w:r><w:t xml:space="preserve">Adelasia, who founded the convent of St Lucia in 1157, taking the</w:t></w:r>
</w:p>
<w:p>
<w:pPr><w:pStyle w:val="Normal"/></w:pPr>
<w:r><w:t xml:space="preserve">veil.  The columns in the principal church are of black lava.</w:t></w:r>
</w:p>
<w:p>
<w:pPr><w:pStyle w:val="Normal"/></w:pPr>
<w:r><w:t xml:space="preserve">See P. Russo, Illustrazione storica di Aderno (Adorno, 1897).</w:t></w:r>
</w:p>
<w:p>
<w:pPr><w:pStyle w:val="Normal"/></w:pPr>
<w:r><w:t xml:space="preserve">ADEVISM, a term introduced by Max Muller to imply the</w:t></w:r>
</w:p>
<w:p>
<w:pPr><w:pStyle w:val="Normal"/></w:pPr>
<w:r><w:t xml:space="preserve">denial of gods (Sans. deva), on the analogy of Atheism,</w:t></w:r>
</w:p>
<w:p>
<w:pPr><w:pStyle w:val="Normal"/></w:pPr>
<w:r><w:t xml:space="preserve">the denial of God. Max Muller used it particularly in</w:t></w:r>
</w:p>
<w:p>
<w:pPr><w:pStyle w:val="Normal"/></w:pPr>
<w:r><w:t xml:space="preserve">connexion with the Vedanta philosophy for the correlative</w:t></w:r>
</w:p>
<w:p>
<w:pPr><w:pStyle w:val="Normal"/></w:pPr>
<w:r><w:t xml:space="preserve">of ignorance or nescience (Gifford lectures, 1892, c. ix.).</w:t></w:r>
</w:p>
<w:p>
<w:pPr><w:pStyle w:val="Normal"/></w:pPr>
<w:r><w:t xml:space="preserve">ADHEMAR DE CHABANNES (c. 988-c. 1030), medieval</w:t></w:r>
</w:p>
<w:p>
<w:pPr><w:pStyle w:val="Normal"/></w:pPr>
<w:r><w:t xml:space="preserve">historian, was born about 988 at Chabannes, a village in</w:t></w:r>
</w:p>
<w:p>
<w:pPr><w:pStyle w:val="Normal"/></w:pPr>
<w:r><w:t xml:space="preserve">the French department of Haute-Vienne.  Educated at the</w:t></w:r>
</w:p>
<w:p>
<w:pPr><w:pStyle w:val="Normal"/></w:pPr>
<w:r><w:t xml:space="preserve">monastery of St Martial at Limoges, he passed his life as a</w:t></w:r>
</w:p>
<w:p>
<w:pPr><w:pStyle w:val="Normal"/></w:pPr>
<w:r><w:t xml:space="preserve">monk, either at this place or at the monastery of St Cybard at</w:t></w:r>
</w:p>
<w:p>
<w:pPr><w:pStyle w:val="Normal"/></w:pPr>
<w:r><w:t xml:space="preserve">Angouleme.  He died about 1030, most probably at Jerusalem,</w:t></w:r>
</w:p>
<w:p>
<w:pPr><w:pStyle w:val="Normal"/></w:pPr>
<w:r><w:t xml:space="preserve">whither he had gone on a pilgrimage.  Adinemar&apos;s life</w:t></w:r>
</w:p>
<w:p>
<w:pPr><w:pStyle w:val="Normal"/></w:pPr>
<w:r><w:t xml:space="preserve">was mainly spent in writing and transcribing chronicles,</w:t></w:r>
</w:p>
<w:p>
<w:pPr><w:pStyle w:val="Normal"/></w:pPr>
<w:r><w:t xml:space="preserve">and his principal work is a history entitled Chronicon</w:t></w:r>
</w:p>
<w:p>
<w:pPr><w:pStyle w:val="Normal"/></w:pPr>
<w:r><w:t xml:space="preserve">Aquitanicum et Francicum or Historia Francorum. This</w:t></w:r>
</w:p>
<w:p>
<w:pPr><w:pStyle w:val="Normal"/></w:pPr>
<w:r><w:t xml:space="preserve">is in three books and deals with Frankish history from the</w:t></w:r>
</w:p>
<w:p>
<w:pPr><w:pStyle w:val="Normal"/></w:pPr>
<w:r><w:t xml:space="preserve">fabulous reign of Pharamond, king of the Franks, to A.D.</w:t></w:r>
</w:p>
<w:p>
<w:pPr><w:pStyle w:val="Normal"/></w:pPr>
<w:r><w:t xml:space="preserve">1028.  The two earlier books are scarcely more than a copy of</w:t></w:r>
</w:p>
<w:p>
<w:pPr><w:pStyle w:val="Normal"/></w:pPr>
<w:r><w:t xml:space="preserve">the Gesta regum Francorum, but the third book, which deals</w:t></w:r>
</w:p>
<w:p>
<w:pPr><w:pStyle w:val="Normal"/></w:pPr>
<w:r><w:t xml:space="preserve">with the period from 814 to 1028, is of considerable historical</w:t></w:r>
</w:p>
<w:p>
<w:pPr><w:pStyle w:val="Normal"/></w:pPr>
<w:r><w:t xml:space="preserve">importance.  This is published in the Monumenta Germaniac</w:t></w:r>
</w:p>
<w:p>
<w:pPr><w:pStyle w:val="Normal"/></w:pPr>
<w:r><w:t xml:space="preserve">historica.  Scriptores. Band iv. (Hanover and Berlin,</w:t></w:r>
</w:p>
<w:p>
<w:pPr><w:pStyle w:val="Normal"/></w:pPr>
<w:r><w:t xml:space="preserve">1826-1892).  He also wrote Commemoratio abbatum Lemovicensium</w:t></w:r>
</w:p>
<w:p>
<w:pPr><w:pStyle w:val="Normal"/></w:pPr>
<w:r><w:t xml:space="preserve">basilicae S. Martialis apostoli (848-1029) and Epistola</w:t></w:r>
</w:p>
<w:p>
<w:pPr><w:pStyle w:val="Normal"/></w:pPr>
<w:r><w:t xml:space="preserve">ad Jordanum Lemovicensem episcopum et alios de apostolatu</w:t></w:r>
</w:p>
<w:p>
<w:pPr><w:pStyle w:val="Normal"/></w:pPr>
<w:r><w:t xml:space="preserve">S. Martialis, both of which are published by J. P. Migne</w:t></w:r>
</w:p>
<w:p>
<w:pPr><w:pStyle w:val="Normal"/></w:pPr>
<w:r><w:t xml:space="preserve">in the Patrologia Latinia, tome cxli. (Paris, 1844-1855).</w:t></w:r>
</w:p>
<w:p>
<w:pPr><w:pStyle w:val="Normal"/></w:pPr>
<w:r><w:t xml:space="preserve">See F. Arbellot, Etude historique et litteraire sur Ademar de</w:t></w:r>
</w:p>
<w:p>
<w:pPr><w:pStyle w:val="Normal"/></w:pPr>
<w:r><w:t xml:space="preserve">Chabannes (Limoges, 1873); J. F. E. Castaigne, Dissertation sur</w:t></w:r>
</w:p>
<w:p>
<w:pPr><w:pStyle w:val="Normal"/></w:pPr>
<w:r><w:t xml:space="preserve">le lieu de naissance et sur la famille du chroniqueur Ademar,</w:t></w:r>
</w:p>
<w:p>
<w:pPr><w:pStyle w:val="Normal"/></w:pPr>
<w:r><w:t xml:space="preserve">moine de l&apos;abbaye de St Cybard d&apos;Angouleme (Angouleine, 1850).</w:t></w:r>
</w:p>
<w:p>
<w:pPr><w:pStyle w:val="Normal"/></w:pPr>
<w:r><w:t xml:space="preserve">ADHEMAR (ADEMAR, AIMAR, AELARZ) DE MONTEIL (d. 1098),</w:t></w:r>
</w:p>
<w:p>
<w:pPr><w:pStyle w:val="Normal"/></w:pPr>
<w:r><w:t xml:space="preserve">one of the principal personages of the first crusade, was bishop</w:t></w:r>
</w:p>
<w:p>
<w:pPr><w:pStyle w:val="Normal"/></w:pPr>
<w:r><w:t xml:space="preserve">of Puy en Velay from before 1087.  At the council of Clermont in</w:t></w:r>
</w:p>
<w:p>
<w:pPr><w:pStyle w:val="Normal"/></w:pPr>
<w:r><w:t xml:space="preserve">1095 he showed great zeal for the crusade, and having been named</w:t></w:r>
</w:p>
<w:p>
<w:pPr><w:pStyle w:val="Normal"/></w:pPr>
<w:r><w:t xml:space="preserve">apostolic legate by the pope, he accompanied Raymond IV., count</w:t></w:r>
</w:p>
<w:p>
<w:pPr><w:pStyle w:val="Normal"/></w:pPr>
<w:r><w:t xml:space="preserve">of Toulouse, to the east.  He negotiated with Alexis Comnenus</w:t></w:r>
</w:p>
<w:p>
<w:pPr><w:pStyle w:val="Normal"/></w:pPr>
<w:r><w:t xml:space="preserve">at Constantinople, re-established at Nicaea some discipline</w:t></w:r>
</w:p>
<w:p>
<w:pPr><w:pStyle w:val="Normal"/></w:pPr>
<w:r><w:t xml:space="preserve">among the crusaders, caused the siege of Antioch to be raised</w:t></w:r>
</w:p>
<w:p>
<w:pPr><w:pStyle w:val="Normal"/></w:pPr>
<w:r><w:t xml:space="preserve">and died in that city of the plague on the 1st of August 1098.</w:t></w:r>
</w:p>
<w:p>
<w:pPr><w:pStyle w:val="Normal"/></w:pPr>
<w:r><w:t xml:space="preserve">See the article by C. Kohler in La Grande</w:t></w:r>
</w:p>
<w:p>
<w:pPr><w:pStyle w:val="Normal"/></w:pPr>
<w:r><w:t xml:space="preserve">Encyclopedie; Bibliographie du Velay (1902), 640-650.</w:t></w:r>
</w:p>
<w:p>
<w:pPr><w:pStyle w:val="Normal"/></w:pPr>
<w:r><w:t xml:space="preserve">ADHESION (from Lat. adhaerere, to adhere), the process</w:t></w:r>
</w:p>
<w:p>
<w:pPr><w:pStyle w:val="Normal"/></w:pPr>
<w:r><w:t xml:space="preserve">of adhering or clinging to anything.  In a figurative sense,</w:t></w:r>
</w:p>
<w:p>
<w:pPr><w:pStyle w:val="Normal"/></w:pPr>
<w:r><w:t xml:space="preserve">adhesion (like ``adherent&apos;&apos;) is used of any attachment to a</w:t></w:r>
</w:p>
<w:p>
<w:pPr><w:pStyle w:val="Normal"/></w:pPr>
<w:r><w:t xml:space="preserve">party or movement; but the word is also employed technically</w:t></w:r>
</w:p>
<w:p>
<w:pPr><w:pStyle w:val="Normal"/></w:pPr>
<w:r><w:t xml:space="preserve">in psychology, pathology and botany.  In psychology Bain</w:t></w:r>
</w:p>
<w:p>
<w:pPr><w:pStyle w:val="Normal"/></w:pPr>
<w:r><w:t xml:space="preserve">and others use it of association of ideas and action; in</w:t></w:r>
</w:p>
<w:p>
<w:pPr><w:pStyle w:val="Normal"/></w:pPr>
<w:r><w:t xml:space="preserve">pathology an adhesion is an abnormal union of surfaces;</w:t></w:r>
</w:p>
<w:p>
<w:pPr><w:pStyle w:val="Normal"/></w:pPr>
<w:r><w:t xml:space="preserve">and in botany ``adhesion&apos;&apos; is used of dissimilar parts,</w:t></w:r>
</w:p>
<w:p>
<w:pPr><w:pStyle w:val="Normal"/></w:pPr>
<w:r><w:t xml:space="preserve">e.g. in floral whorls, in opposition to ``cohesion,&apos;&apos;</w:t></w:r>
</w:p>
<w:p>
<w:pPr><w:pStyle w:val="Normal"/></w:pPr>
<w:r><w:t xml:space="preserve">which applies to similar parts, e.g. of the same whorl.</w:t></w:r>
</w:p>
<w:p>
<w:pPr><w:pStyle w:val="Normal"/></w:pPr>
<w:r><w:t xml:space="preserve">ADIAPHORISTS (Gr. adiaforos, indifferent).  The Adiaphorist</w:t></w:r>
</w:p>
<w:p>
<w:pPr><w:pStyle w:val="Normal"/></w:pPr>
<w:r><w:t xml:space="preserve">controversy among Lutherans was an issue of the provisional</w:t></w:r>
</w:p>
<w:p>
<w:pPr><w:pStyle w:val="Normal"/></w:pPr>
<w:r><w:t xml:space="preserve">scheme of compromise between religious parties, pending a</w:t></w:r>
</w:p>
<w:p>
<w:pPr><w:pStyle w:val="Normal"/></w:pPr>
<w:r><w:t xml:space="preserve">general council, drawn up by Charles V., sanctioned at the</w:t></w:r>
</w:p>
<w:p>
<w:pPr><w:pStyle w:val="Normal"/></w:pPr>
<w:r><w:t xml:space="preserve">diet of Augsburg, 15th of May 1548, and known as the Augsburg</w:t></w:r>
</w:p>
<w:p>
<w:pPr><w:pStyle w:val="Normal"/></w:pPr>
<w:r><w:t xml:space="preserve">Interim.  It satisfied neither Catholics nor Protestants.</w:t></w:r>
</w:p>
<w:p>
<w:pPr><w:pStyle w:val="Normal"/></w:pPr>
<w:r><w:t xml:space="preserve">As head of the Protestant party the young elector Maurice of</w:t></w:r>
</w:p>
<w:p>
<w:pPr><w:pStyle w:val="Normal"/></w:pPr>
<w:r><w:t xml:space="preserve">Saxony negotiated with Melanchthon and others, and at Leipzig,</w:t></w:r>
</w:p>
<w:p>
<w:pPr><w:pStyle w:val="Normal"/></w:pPr>
<w:r><w:t xml:space="preserve">on the 22nd of December 1548, secured their acceptance of the</w:t></w:r>
</w:p>
<w:p>
<w:pPr><w:pStyle w:val="Normal"/></w:pPr>
<w:r><w:t xml:space="preserve">Interim as regards adiaphora (things indifferent), points</w:t></w:r>
</w:p>
<w:p>
<w:pPr><w:pStyle w:val="Normal"/></w:pPr>
<w:r><w:t xml:space="preserve">neither enjoined nor forbidden in Scripture.  This sanctioned</w:t></w:r>
</w:p>
<w:p>
<w:pPr><w:pStyle w:val="Normal"/></w:pPr>
<w:r><w:t xml:space="preserve">jurisdiction of Catholic bishops, and observance of certain</w:t></w:r>
</w:p>
<w:p>
<w:pPr><w:pStyle w:val="Normal"/></w:pPr>
<w:r><w:t xml:space="preserve">rites, while all were to accept justification by faith</w:t></w:r>
</w:p>
<w:p>
<w:pPr><w:pStyle w:val="Normal"/></w:pPr>
<w:r><w:t xml:space="preserve">(relegating sola to the adiaphora.) This modification was</w:t></w:r>
</w:p>
<w:p>
<w:pPr><w:pStyle w:val="Normal"/></w:pPr>
<w:r><w:t xml:space="preserve">known as the Leipzig Interim; its advocates were stigmatized as</w:t></w:r>
</w:p>
<w:p>
<w:pPr><w:pStyle w:val="Normal"/></w:pPr>
<w:r><w:t xml:space="preserve">Adiaphorists.  Passionate opposition was led by Melanchthon&apos;s</w:t></w:r>
</w:p>
<w:p>
<w:pPr><w:pStyle w:val="Normal"/></w:pPr>
<w:r><w:t xml:space="preserve">colleague, Matth.  Flacius, on the grounds that the imperial</w:t></w:r>
</w:p>
<w:p>
<w:pPr><w:pStyle w:val="Normal"/></w:pPr>
<w:r><w:t xml:space="preserve">power was not the judge of adiaphora, and that the measure</w:t></w:r>
</w:p>
<w:p>
<w:pPr><w:pStyle w:val="Normal"/></w:pPr>
<w:r><w:t xml:space="preserve">was a trick to bring back popery.  From Wittenberg he fled,</w:t></w:r>
</w:p>
<w:p>
<w:pPr><w:pStyle w:val="Normal"/></w:pPr>
<w:r><w:t xml:space="preserve">April 1549, to Magdeburg, making it the headquarters of rigid</w:t></w:r>
</w:p>
<w:p>
<w:pPr><w:pStyle w:val="Normal"/></w:pPr>
<w:r><w:t xml:space="preserve">Lutheranism.  Practically the controversy was concluded by the</w:t></w:r>
</w:p>
<w:p>
<w:pPr><w:pStyle w:val="Normal"/></w:pPr>
<w:r><w:t xml:space="preserve">religious peace ratified at Augsburg (Sept. 25, 1555), which</w:t></w:r>
</w:p>
<w:p>
<w:pPr><w:pStyle w:val="Normal"/></w:pPr>
<w:r><w:t xml:space="preserve">left princes a free choice between the rival confessions,</w:t></w:r>
</w:p>
<w:p>
<w:pPr><w:pStyle w:val="Normal"/></w:pPr>
<w:r><w:t xml:space="preserve">with the right to impose either on their subjects; but much</w:t></w:r>
</w:p>
<w:p>
<w:pPr><w:pStyle w:val="Normal"/></w:pPr>
<w:r><w:t xml:space="preserve">bitter internal strife was kept up by Protestants on the</w:t></w:r>
</w:p>
<w:p>
<w:pPr><w:pStyle w:val="Normal"/></w:pPr>
<w:r><w:t xml:space="preserve">theoretical question of adiaphora; to appease this was one</w:t></w:r>
</w:p>
<w:p>
<w:pPr><w:pStyle w:val="Normal"/></w:pPr>
<w:r><w:t xml:space="preserve">object of the Formula Concordiae, 1577.  Another Adiaphorist</w:t></w:r>
</w:p>
<w:p>
<w:pPr><w:pStyle w:val="Normal"/></w:pPr>
<w:r><w:t xml:space="preserve">controversy between Pietists and their opponents, respecting</w:t></w:r>
</w:p>
<w:p>
<w:pPr><w:pStyle w:val="Normal"/></w:pPr>
<w:r><w:t xml:space="preserve">the lawfulness of amusements, arose in 1681, when Anton</w:t></w:r>
</w:p>
<w:p>
<w:pPr><w:pStyle w:val="Normal"/></w:pPr>
<w:r><w:t xml:space="preserve">Reiser (1628-1686) denounced the opera as antichristian.</w:t></w:r>
</w:p>
<w:p>
<w:pPr><w:pStyle w:val="Normal"/></w:pPr>
<w:r><w:t xml:space="preserve">See arts. by J. Gottschick in A. Hauck&apos;s Realencyklopadie</w:t></w:r>
</w:p>
<w:p>
<w:pPr><w:pStyle w:val="Normal"/></w:pPr>
<w:r><w:t xml:space="preserve">(1896); by Fritz in I. Goschler&apos;s Dict.  Encyclop. de la</w:t></w:r>
</w:p>
<w:p>
<w:pPr><w:pStyle w:val="Normal"/></w:pPr>
<w:r><w:t xml:space="preserve">Theol.  Cath. (1858); other authorities in J. C. L. Gieseler,</w:t></w:r>
</w:p>
<w:p>
<w:pPr><w:pStyle w:val="Normal"/></w:pPr>
<w:r><w:t xml:space="preserve">Ch. Hist. (N. York ed., 1868, vol. iv.); monograph by</w:t></w:r>
</w:p>
<w:p>
<w:pPr><w:pStyle w:val="Normal"/></w:pPr>
<w:r><w:t xml:space="preserve">Erh. Schmid, Adiaphora, wissenschaftlich und historisch</w:t></w:r>
</w:p>
<w:p>
<w:pPr><w:pStyle w:val="Normal"/></w:pPr>
<w:r><w:t xml:space="preserve">untersucht (1809), from the rigorist point of view.</w:t></w:r>
</w:p>
<w:p>
<w:pPr><w:pStyle w:val="Normal"/></w:pPr>
<w:r><w:t xml:space="preserve">ADIGE (Ger. Etsch, anc. Athesis), a considerable river</w:t></w:r>
</w:p>
<w:p>
<w:pPr><w:pStyle w:val="Normal"/></w:pPr>
<w:r><w:t xml:space="preserve">in North Italy.  The true source of the Adige is in some</w:t></w:r>
</w:p>
<w:p>
<w:pPr><w:pStyle w:val="Normal"/></w:pPr>
<w:r><w:t xml:space="preserve">small lakes on the summit of the Reschen Scheideck Pass (4902</w:t></w:r>
</w:p>
<w:p>
<w:pPr><w:pStyle w:val="Normal"/></w:pPr>
<w:r><w:t xml:space="preserve">ft.), and it is swollen by several other streams, near Glurns,</w:t></w:r>
</w:p>
<w:p>
<w:pPr><w:pStyle w:val="Normal"/></w:pPr>
<w:r><w:t xml:space="preserve">where the roads over the Ofen and the Stelvio Passes fall</w:t></w:r>
</w:p>
<w:p>
<w:pPr><w:pStyle w:val="Normal"/></w:pPr>
<w:r><w:t xml:space="preserve">in.  It thence flows east to Meran, and then south-east to</w:t></w:r>
</w:p>
<w:p>
<w:pPr><w:pStyle w:val="Normal"/></w:pPr>
<w:r><w:t xml:space="preserve">Botzen, where it receives the Eisak (6 ft.), and becomes</w:t></w:r>
</w:p>
<w:p>
<w:pPr><w:pStyle w:val="Normal"/></w:pPr>
<w:r><w:t xml:space="preserve">navigable.  It then turns south-west, and, after receiving the</w:t></w:r>
</w:p>
<w:p>
<w:pPr><w:pStyle w:val="Normal"/></w:pPr>
<w:r><w:t xml:space="preserve">Noce (right) and the Avisio (left), leaves Tirol, and enters</w:t></w:r>
</w:p>
<w:p>
<w:pPr><w:pStyle w:val="Normal"/></w:pPr>
<w:r><w:t xml:space="preserve">Lombardy, 13 m. south of Rovereto.  After traversing North</w:t></w:r>
</w:p>
<w:p>
<w:pPr><w:pStyle w:val="Normal"/></w:pPr>
<w:r><w:t xml:space="preserve">Italy, in a direction first southerly and then easterly, it</w:t></w:r>
</w:p>
<w:p>
<w:pPr><w:pStyle w:val="Normal"/></w:pPr>
<w:r><w:t xml:space="preserve">falls into the Adriatic at Porto Fossone, a few miles north</w:t></w:r>
</w:p>
<w:p>
<w:pPr><w:pStyle w:val="Normal"/></w:pPr>
<w:r><w:t xml:space="preserve">of the mouth of the Po. The most considerable towns on its</w:t></w:r>
</w:p>
<w:p>
<w:pPr><w:pStyle w:val="Normal"/></w:pPr>
<w:r><w:t xml:space="preserve">banks (south of Botzen) are Trent and Rovereto, in Tirol,</w:t></w:r>
</w:p>
<w:p>
<w:pPr><w:pStyle w:val="Normal"/></w:pPr>
<w:r><w:t xml:space="preserve">and Verona and Legnago, in Italy.  It is a very rapid river,</w:t></w:r>
</w:p>
<w:p>
<w:pPr><w:pStyle w:val="Normal"/></w:pPr>
<w:r><w:t xml:space="preserve">and subject to sudden swellings and overflowings, which cause</w:t></w:r>
</w:p>
<w:p>
<w:pPr><w:pStyle w:val="Normal"/></w:pPr>
<w:r><w:t xml:space="preserve">great damage to the surrounding country.  It is navigable from</w:t></w:r>
</w:p>
<w:p>
<w:pPr><w:pStyle w:val="Normal"/></w:pPr>
<w:r><w:t xml:space="preserve">the heart of Tirol to the sea.  In Lombardy it has a breadth</w:t></w:r>
</w:p>
<w:p>
<w:pPr><w:pStyle w:val="Normal"/></w:pPr>
<w:r><w:t xml:space="preserve">of 200 yds., and a depth of 10 to 16 ft., but the strength</w:t></w:r>
</w:p>
<w:p>
<w:pPr><w:pStyle w:val="Normal"/></w:pPr>
<w:r><w:t xml:space="preserve">of the current renders its navigation very difficult, and</w:t></w:r>
</w:p>
<w:p>
<w:pPr><w:pStyle w:val="Normal"/></w:pPr>
<w:r><w:t xml:space="preserve">lessens its value as a means of transit between Germany and</w:t></w:r>
</w:p>
<w:p>
<w:pPr><w:pStyle w:val="Normal"/></w:pPr>
<w:r><w:t xml:space="preserve">Italy.  The Adige has a course of about 220 m., and, after the</w:t></w:r>
</w:p>
<w:p>
<w:pPr><w:pStyle w:val="Normal"/></w:pPr>
<w:r><w:t xml:space="preserve">Po, is the most important river in Italy.  In Roman times</w:t></w:r>
</w:p>
<w:p>
<w:pPr><w:pStyle w:val="Normal"/></w:pPr>
<w:r><w:t xml:space="preserve">it flowed, in its lower course, much farther north than at</w:t></w:r>
</w:p>
<w:p>
<w:pPr><w:pStyle w:val="Normal"/></w:pPr>
<w:r><w:t xml:space="preserve">present, along the base of the Euganean hills, and entered</w:t></w:r>
</w:p>
<w:p>
<w:pPr><w:pStyle w:val="Normal"/></w:pPr>
<w:r><w:t xml:space="preserve">the sea at Brondolo.  In A.D. 587 the river broke its</w:t></w:r>
</w:p>
<w:p>
<w:pPr><w:pStyle w:val="Normal"/></w:pPr>
<w:r><w:t xml:space="preserve">banks, and the main stream took its present course, but</w:t></w:r>
</w:p>
<w:p>
<w:pPr><w:pStyle w:val="Normal"/></w:pPr>
<w:r><w:t xml:space="preserve">new streams opened repeatedly to the south, until now the</w:t></w:r>
</w:p>
<w:p>
<w:pPr><w:pStyle w:val="Normal"/></w:pPr>
<w:r><w:t xml:space="preserve">Adige and the Po form conjointly one delta. (W. A. B. C.)</w:t></w:r>
</w:p>
<w:p>
<w:pPr><w:pStyle w:val="Normal"/></w:pPr>
<w:r><w:t xml:space="preserve">ADIPOCERE (from the Lat. adeps, fat, and cera, wax), a</w:t></w:r>
</w:p>
<w:p>
<w:pPr><w:pStyle w:val="Normal"/></w:pPr>
<w:r><w:t xml:space="preserve">substance into which animal matter is sometimes converted, and</w:t></w:r>
</w:p>
<w:p>
<w:pPr><w:pStyle w:val="Normal"/></w:pPr>
<w:r><w:t xml:space="preserve">so named by A. F. Fourcroy, from its resemblance to both fat and</w:t></w:r>
</w:p>
<w:p>
<w:pPr><w:pStyle w:val="Normal"/></w:pPr>
<w:r><w:t xml:space="preserve">wax.  When the Cimetiere des Innocens at Paris was removed in</w:t></w:r>
</w:p>
<w:p>
<w:pPr><w:pStyle w:val="Normal"/></w:pPr>
<w:r><w:t xml:space="preserve">1786-1787, great masses of this substance were found where the</w:t></w:r>
</w:p>
<w:p>
<w:pPr><w:pStyle w:val="Normal"/></w:pPr>
<w:r><w:t xml:space="preserve">coffins containing the dead bodies had been placed very closely</w:t></w:r>
</w:p>
<w:p>
<w:pPr><w:pStyle w:val="Normal"/></w:pPr>
<w:r><w:t xml:space="preserve">together.  The whole body had been converted into this fatty</w:t></w:r>
</w:p>
<w:p>
<w:pPr><w:pStyle w:val="Normal"/></w:pPr>
<w:r><w:t xml:space="preserve">matter, except the bones, which remained, but were extremely</w:t></w:r>
</w:p>
<w:p>
<w:pPr><w:pStyle w:val="Normal"/></w:pPr>
<w:r><w:t xml:space="preserve">brittle.  Chemically, adipocere consists principally of a</w:t></w:r>
</w:p>
<w:p>
<w:pPr><w:pStyle w:val="Normal"/></w:pPr>
<w:r><w:t xml:space="preserve">mixture of fatty acids, glycerine being absent.  Saponification</w:t></w:r>
</w:p>
<w:p>
<w:pPr><w:pStyle w:val="Normal"/></w:pPr>
<w:r><w:t xml:space="preserve">with potash liberates a little ammonia (about 1%), and gives</w:t></w:r>
</w:p>
<w:p>
<w:pPr><w:pStyle w:val="Normal"/></w:pPr>
<w:r><w:t xml:space="preserve">a mixture of the potassium salts of palmitic, margaric and</w:t></w:r>
</w:p>
<w:p>
<w:pPr><w:pStyle w:val="Normal"/></w:pPr>
<w:r><w:t xml:space="preserve">oxymargaric acids.  The insoluble residue consists of lime,</w:t></w:r>
</w:p>
<w:p>
<w:pPr><w:pStyle w:val="Normal"/></w:pPr>
<w:r><w:t xml:space="preserve">&amp;c., derived from the tissues.  The artificial formation</w:t></w:r>
</w:p>
<w:p>
<w:pPr><w:pStyle w:val="Normal"/></w:pPr>
<w:r><w:t xml:space="preserve">of adipocere has been studied; it appears that it is not</w:t></w:r>
</w:p>
<w:p>
<w:pPr><w:pStyle w:val="Normal"/></w:pPr>
<w:r><w:t xml:space="preserve">formed from albuminous matter, but from the various fats in</w:t></w:r>
</w:p>
<w:p>
<w:pPr><w:pStyle w:val="Normal"/></w:pPr>
<w:r><w:t xml:space="preserve">the body collecting together and undergoing decomposition.</w:t></w:r>
</w:p>
<w:p>
<w:pPr><w:pStyle w:val="Normal"/></w:pPr>
<w:r><w:t xml:space="preserve">ADIRONDACKS, a group of mountains in north-eastern New York,</w:t></w:r>
</w:p>
<w:p>
<w:pPr><w:pStyle w:val="Normal"/></w:pPr>
<w:r><w:t xml:space="preserve">U.S.A., in Clinton, Essex, Franklin and Hamilton counties,</w:t></w:r>
</w:p>
<w:p>
<w:pPr><w:pStyle w:val="Normal"/></w:pPr>
<w:r><w:t xml:space="preserve">often included by geographers in the Appalachian system,</w:t></w:r>
</w:p>
<w:p>
<w:pPr><w:pStyle w:val="Normal"/></w:pPr>
<w:r><w:t xml:space="preserve">but pertaining geologically to the Laurentian highlands of</w:t></w:r>
</w:p>
<w:p>
<w:pPr><w:pStyle w:val="Normal"/></w:pPr>
<w:r><w:t xml:space="preserve">Canada.  They are bordered on the E. by Lake Champlain,</w:t></w:r>
</w:p>
<w:p>
<w:pPr><w:pStyle w:val="Normal"/></w:pPr>
<w:r><w:t xml:space="preserve">which separates them from tho Green Mountains.  Unlike the</w:t></w:r>
</w:p>
<w:p>
<w:pPr><w:pStyle w:val="Normal"/></w:pPr>
<w:r><w:t xml:space="preserve">Appalachians, the Adirondacks do not form a connected</w:t></w:r>
</w:p>
<w:p>
<w:pPr><w:pStyle w:val="Normal"/></w:pPr>
<w:r><w:t xml:space="preserve">range, but consist of many summits, isolated or in groups,</w:t></w:r>
</w:p>
<w:p>
<w:pPr><w:pStyle w:val="Normal"/></w:pPr>
<w:r><w:t xml:space="preserve">arranged with little appearance of system.  There are about</w:t></w:r>
</w:p>
<w:p>
<w:pPr><w:pStyle w:val="Normal"/></w:pPr>
<w:r><w:t xml:space="preserve">one hundred peaks, ranging from 1200 to 5000 ft. in height;</w:t></w:r>
</w:p>
<w:p>
<w:pPr><w:pStyle w:val="Normal"/></w:pPr>
<w:r><w:t xml:space="preserve">the highest peak, Mt. Marcy (called by the Indians Tahawus or</w:t></w:r>
</w:p>
<w:p>
<w:pPr><w:pStyle w:val="Normal"/></w:pPr>
<w:r><w:t xml:space="preserve">``cloud-splitter&apos;&apos;), is near the eastern part of the group</w:t></w:r>
</w:p>
<w:p>
<w:pPr><w:pStyle w:val="Normal"/></w:pPr>
<w:r><w:t xml:space="preserve">and attains an elevation of 5344 ft.  Other noted peaks are</w:t></w:r>
</w:p>
<w:p>
<w:pPr><w:pStyle w:val="Normal"/></w:pPr>
<w:r><w:t xml:space="preserve">M`Intyre (5210 ft,), Haystack (4918), Dix (4916) and Whiteface</w:t></w:r>
</w:p>
<w:p>
<w:pPr><w:pStyle w:val="Normal"/></w:pPr>
<w:r><w:t xml:space="preserve">(4871).  These mountains, consisting of various sorts of</w:t></w:r>
</w:p>
<w:p>
<w:pPr><w:pStyle w:val="Normal"/></w:pPr>
<w:r><w:t xml:space="preserve">gneiss, intrusive granite and gabbro, have been formed partly</w:t></w:r>
</w:p>
<w:p>
<w:pPr><w:pStyle w:val="Normal"/></w:pPr>
<w:r><w:t xml:space="preserve">by faulting but mainly by erosion, the lines of which have</w:t></w:r>
</w:p>
<w:p>
<w:pPr><w:pStyle w:val="Normal"/></w:pPr>
<w:r><w:t xml:space="preserve">been determined by the presence of faults or the presence of</w:t></w:r>
</w:p>
<w:p>
<w:pPr><w:pStyle w:val="Normal"/></w:pPr>
<w:r><w:t xml:space="preserve">relatively soft rocks.  Lower Palaeozoic strata lap up on to</w:t></w:r>
</w:p>
<w:p>
<w:pPr><w:pStyle w:val="Normal"/></w:pPr>
<w:r><w:t xml:space="preserve">the crystalline rocks on all sides of the mountain group.  The</w:t></w:r>
</w:p>
<w:p>
<w:pPr><w:pStyle w:val="Normal"/></w:pPr>
<w:r><w:t xml:space="preserve">region is rich in magnetic iron ores, which though mined for</w:t></w:r>
</w:p>
<w:p>
<w:pPr><w:pStyle w:val="Normal"/></w:pPr>
<w:r><w:t xml:space="preserve">many years are not yet fully developed.  Other mineral products</w:t></w:r>
</w:p>
<w:p>
<w:pPr><w:pStyle w:val="Normal"/></w:pPr>
<w:r><w:t xml:space="preserve">are graphite, garnet used as an abrasive, pyrite and zinc</w:t></w:r>
</w:p>
<w:p>
<w:pPr><w:pStyle w:val="Normal"/></w:pPr>
<w:r><w:t xml:space="preserve">ore.  The mountains form the water-parting between the Hudson</w:t></w:r>
</w:p>
<w:p>
<w:pPr><w:pStyle w:val="Normal"/></w:pPr>
<w:r><w:t xml:space="preserve">and the St Lawrence rivers.  On the south and south-west</w:t></w:r>
</w:p>
<w:p>
<w:pPr><w:pStyle w:val="Normal"/></w:pPr>
<w:r><w:t xml:space="preserve">the waters flow either directly into the Hudson, which rises</w:t></w:r>
</w:p>
<w:p>
<w:pPr><w:pStyle w:val="Normal"/></w:pPr>
<w:r><w:t xml:space="preserve">in the centre of the group, or else reach it through the</w:t></w:r>
</w:p>
<w:p>
<w:pPr><w:pStyle w:val="Normal"/></w:pPr>
<w:r><w:t xml:space="preserve">Mohawk.  On the north and east the waters reach the St Lawrence</w:t></w:r>
</w:p>
<w:p>
<w:pPr><w:pStyle w:val="Normal"/></w:pPr>
<w:r><w:t xml:space="preserve">by way of Lakes George and Champlain, and on the west they</w:t></w:r>
</w:p>
<w:p>
<w:pPr><w:pStyle w:val="Normal"/></w:pPr>
<w:r><w:t xml:space="preserve">flow directly into that stream or reach it through Lake</w:t></w:r>
</w:p>
<w:p>
<w:pPr><w:pStyle w:val="Normal"/></w:pPr>
<w:r><w:t xml:space="preserve">Ontario.  The most important streams within the area are the</w:t></w:r>
</w:p>
<w:p>
<w:pPr><w:pStyle w:val="Normal"/></w:pPr>
<w:r><w:t xml:space="preserve">Hudson, Black, Oswegatchie, Grass, Raquette, Saranac and Ausable</w:t></w:r>
</w:p>
<w:p>
<w:pPr><w:pStyle w:val="Normal"/></w:pPr>
<w:r><w:t xml:space="preserve">rivers.  The region was once covered, with the exception of</w:t></w:r>
</w:p>
<w:p>
<w:pPr><w:pStyle w:val="Normal"/></w:pPr>
<w:r><w:t xml:space="preserve">the higher summits, by the Laurentian glacier, whose erosion,</w:t></w:r>
</w:p>
<w:p>
<w:pPr><w:pStyle w:val="Normal"/></w:pPr>
<w:r><w:t xml:space="preserve">while perhaps having little effect on the larger features of the</w:t></w:r>
</w:p>
<w:p>
<w:pPr><w:pStyle w:val="Normal"/></w:pPr>
<w:r><w:t xml:space="preserve">country, has greatly modified it in detail, producing lakes and</w:t></w:r>
</w:p>
<w:p>
<w:pPr><w:pStyle w:val="Normal"/></w:pPr>
<w:r><w:t xml:space="preserve">ponds, whose number is said to exceed 1300, and causing many</w:t></w:r>
</w:p>
<w:p>
<w:pPr><w:pStyle w:val="Normal"/></w:pPr>
<w:r><w:t xml:space="preserve">falls and rapids in the streams.  Among the larger lakes are</w:t></w:r>
</w:p>
<w:p>
<w:pPr><w:pStyle w:val="Normal"/></w:pPr>
<w:r><w:t xml:space="preserve">the Upper and Lower Saranac, Big and Little Tupper, Schroon,</w:t></w:r>
</w:p>
<w:p>
<w:pPr><w:pStyle w:val="Normal"/></w:pPr>
<w:r><w:t xml:space="preserve">Placid, Long, Raquette and Blue Mountain.  The region known as</w:t></w:r>
</w:p>
<w:p>
<w:pPr><w:pStyle w:val="Normal"/></w:pPr>
<w:r><w:t xml:space="preserve">the Adirondack Wilderness, or the Great North Woods, embraces</w:t></w:r>
</w:p>
<w:p>
<w:pPr><w:pStyle w:val="Normal"/></w:pPr>
<w:r><w:t xml:space="preserve">between 5000 and 6000 sq. m. of mountain, lake, plateau and</w:t></w:r>
</w:p>
<w:p>
<w:pPr><w:pStyle w:val="Normal"/></w:pPr>
<w:r><w:t xml:space="preserve">forest, which for scenic grandeur is almost unequalled in</w:t></w:r>
</w:p>
<w:p>
<w:pPr><w:pStyle w:val="Normal"/></w:pPr>
<w:r><w:t xml:space="preserve">any other part of the United States.  The mountain peaks are</w:t></w:r>
</w:p>
<w:p>
<w:pPr><w:pStyle w:val="Normal"/></w:pPr>
<w:r><w:t xml:space="preserve">usually rounded and easily scaled, and as roads have been</w:t></w:r>
</w:p>
<w:p>
<w:pPr><w:pStyle w:val="Normal"/></w:pPr>
<w:r><w:t xml:space="preserve">constructed over their slopes and in every direction through</w:t></w:r>
</w:p>
<w:p>
<w:pPr><w:pStyle w:val="Normal"/></w:pPr>
<w:r><w:t xml:space="preserve">the forests, all points of interest may be easily reached by</w:t></w:r>
</w:p>
<w:p>
<w:pPr><w:pStyle w:val="Normal"/></w:pPr>
<w:r><w:t xml:space="preserve">stage.  Railways penetrate the heart of the region, and small</w:t></w:r>
</w:p>
<w:p>
<w:pPr><w:pStyle w:val="Normal"/></w:pPr>
<w:r><w:t xml:space="preserve">steamboats ply upon the larger lakes.  The surface of most</w:t></w:r>
</w:p>
<w:p>
<w:pPr><w:pStyle w:val="Normal"/></w:pPr>
<w:r><w:t xml:space="preserve">of the lakes lies at an elevation of over 1500 ft. above</w:t></w:r>
</w:p>
<w:p>
<w:pPr><w:pStyle w:val="Normal"/></w:pPr>
<w:r><w:t xml:space="preserve">the sea; their shores are usually rocky and irregular, and</w:t></w:r>
</w:p>
<w:p>
<w:pPr><w:pStyle w:val="Normal"/></w:pPr>
<w:r><w:t xml:space="preserve">the wild scenery within their vicinity has made them very</w:t></w:r>
</w:p>
<w:p>
<w:pPr><w:pStyle w:val="Normal"/></w:pPr>
<w:r><w:t xml:space="preserve">attractive to the tourist.  The mountains are easily reached</w:t></w:r>
</w:p>
<w:p>
<w:pPr><w:pStyle w:val="Normal"/></w:pPr>
<w:r><w:t xml:space="preserve">from Plattsburgh, Port Kent, Herkimer, Malone and Saratoga</w:t></w:r>
</w:p>
<w:p>
<w:pPr><w:pStyle w:val="Normal"/></w:pPr>
<w:r><w:t xml:space="preserve">Springs.  Every year thousands spend the summer months in the</w:t></w:r>
</w:p>
<w:p>
<w:pPr><w:pStyle w:val="Normal"/></w:pPr>
<w:r><w:t xml:space="preserve">wilderness, where cabins, hunting lodges, villas and hotels are</w:t></w:r>
</w:p>
<w:p>
<w:pPr><w:pStyle w:val="Normal"/></w:pPr>
<w:r><w:t xml:space="preserve">numerous.  The resorts most frequented are in the vicinity</w:t></w:r>
</w:p>
<w:p>
<w:pPr><w:pStyle w:val="Normal"/></w:pPr>
<w:r><w:t xml:space="preserve">of the Saranac and St Regis lakes and Lake Placid.  In the</w:t></w:r>
</w:p>
<w:p>
<w:pPr><w:pStyle w:val="Normal"/></w:pPr>
<w:r><w:t xml:space="preserve">Adirondacks are some of the best hunting and fishing grounds</w:t></w:r>
</w:p>
<w:p>
<w:pPr><w:pStyle w:val="Normal"/></w:pPr>
<w:r><w:t xml:space="preserve">in the eastern United States.  Owing to the restricted period</w:t></w:r>
</w:p>
<w:p>
<w:pPr><w:pStyle w:val="Normal"/></w:pPr>
<w:r><w:t xml:space="preserve">allowed for hunting, deer and small game are abundant, and the</w:t></w:r>
</w:p>
<w:p>
<w:pPr><w:pStyle w:val="Normal"/></w:pPr>
<w:r><w:t xml:space="preserve">brooks, rivers, ponds and lakes are well stocked with trout</w:t></w:r>
</w:p>
<w:p>
<w:pPr><w:pStyle w:val="Normal"/></w:pPr>
<w:r><w:t xml:space="preserve">and black bass.  At the head of Lake Placid stands Whiteface</w:t></w:r>
</w:p>
<w:p>
<w:pPr><w:pStyle w:val="Normal"/></w:pPr>
<w:r><w:t xml:space="preserve">Mountain, from whose summit one of the finest views of the</w:t></w:r>
</w:p>
<w:p>
<w:pPr><w:pStyle w:val="Normal"/></w:pPr>
<w:r><w:t xml:space="preserve">Adirondacks may be obtained.  Two miles south-east of this</w:t></w:r>
</w:p>
<w:p>
<w:pPr><w:pStyle w:val="Normal"/></w:pPr>
<w:r><w:t xml:space="preserve">lake, at North Elba, is the old farm of the abolitionist John</w:t></w:r>
</w:p>
<w:p>
<w:pPr><w:pStyle w:val="Normal"/></w:pPr>
<w:r><w:t xml:space="preserve">Brown, which contains his grave and is much frequented by</w:t></w:r>
</w:p>
<w:p>
<w:pPr><w:pStyle w:val="Normal"/></w:pPr>
<w:r><w:t xml:space="preserve">visitors.  Lake Placid is the principal source of the Ausable</w:t></w:r>
</w:p>
<w:p>
<w:pPr><w:pStyle w:val="Normal"/></w:pPr>
<w:r><w:t xml:space="preserve">river, which for a part of its course flows through a</w:t></w:r>
</w:p>
<w:p>
<w:pPr><w:pStyle w:val="Normal"/></w:pPr>
<w:r><w:t xml:space="preserve">rocky chasm from 100 to 175 ft. deep and rarely over 30 ft.</w:t></w:r>
</w:p>
<w:p>
<w:pPr><w:pStyle w:val="Normal"/></w:pPr>
<w:r><w:t xml:space="preserve">wide.  At the head of the Ausable Chasm are the Rainbow Falls,</w:t></w:r>
</w:p>
<w:p>
<w:pPr><w:pStyle w:val="Normal"/></w:pPr>
<w:r><w:t xml:space="preserve">where the stream makes a vertical leap of 70 ft.  Another</w:t></w:r>
</w:p>
<w:p>
<w:pPr><w:pStyle w:val="Normal"/></w:pPr>
<w:r><w:t xml:space="preserve">impressive feature of the Adirondacks is Indian Pass, a gorge</w:t></w:r>
</w:p>
<w:p>
<w:pPr><w:pStyle w:val="Normal"/></w:pPr>
<w:r><w:t xml:space="preserve">about eleven miles long, between Mt. M`Intyre and Wallface</w:t></w:r>
</w:p>
<w:p>
<w:pPr><w:pStyle w:val="Normal"/></w:pPr>
<w:r><w:t xml:space="preserve">Mountain.  The latter is a majestic cliff rising vertically</w:t></w:r>
</w:p>
<w:p>
<w:pPr><w:pStyle w:val="Normal"/></w:pPr>
<w:r><w:t xml:space="preserve">from the pass to a height of 1300 ft.  Keene Valley, in</w:t></w:r>
</w:p>
<w:p>
<w:pPr><w:pStyle w:val="Normal"/></w:pPr>
<w:r><w:t xml:space="preserve">the centre of Essex county, is another picturesque region,</w:t></w:r>
</w:p>
<w:p>
<w:pPr><w:pStyle w:val="Normal"/></w:pPr>
<w:r><w:t xml:space="preserve">presenting a pleasing combination of peaceful valley and</w:t></w:r>
</w:p>
<w:p>
<w:pPr><w:pStyle w:val="Normal"/></w:pPr>
<w:r><w:t xml:space="preserve">rugged hills.  Though the climate during the winter months</w:t></w:r>
</w:p>
<w:p>
<w:pPr><w:pStyle w:val="Normal"/></w:pPr>
<w:r><w:t xml:space="preserve">is very severe--the temperature sometimes falling as low</w:t></w:r>
</w:p>
<w:p>
<w:pPr><w:pStyle w:val="Normal"/></w:pPr>
<w:r><w:t xml:space="preserve">as -42 deg.  F.--it is beneficial to persons suffering from</w:t></w:r>
</w:p>
<w:p>
<w:pPr><w:pStyle w:val="Normal"/></w:pPr>
<w:r><w:t xml:space="preserve">pulmonary troubles, and a number of sanitariums have been</w:t></w:r>
</w:p>
<w:p>
<w:pPr><w:pStyle w:val="Normal"/></w:pPr>
<w:r><w:t xml:space="preserve">established.  The region is heavily forested with spruce,</w:t></w:r>
</w:p>
<w:p>
<w:pPr><w:pStyle w:val="Normal"/></w:pPr>
<w:r><w:t xml:space="preserve">pine and broad-leaved trees.  Lumbering is an important</w:t></w:r>
</w:p>
<w:p>
<w:pPr><w:pStyle w:val="Normal"/></w:pPr>
<w:r><w:t xml:space="preserve">industry, but it has been much restricted by the creation of</w:t></w:r>
</w:p>
<w:p>
<w:pPr><w:pStyle w:val="Normal"/></w:pPr>
<w:r><w:t xml:space="preserve">a state forest preserve, containing in 1907, 1,401,482 acres,</w:t></w:r>
</w:p>
<w:p>
<w:pPr><w:pStyle w:val="Normal"/></w:pPr>
<w:r><w:t xml:space="preserve">and by the purchase of large tracts for game preserves and</w:t></w:r>
</w:p>
<w:p>
<w:pPr><w:pStyle w:val="Normal"/></w:pPr>
<w:r><w:t xml:space="preserve">recreation grounds by private clubs.  The so-called Adirondack</w:t></w:r>
</w:p>
<w:p>
<w:pPr><w:pStyle w:val="Normal"/></w:pPr>
<w:r><w:t xml:space="preserve">Park, containing over 3,000,000 acres, includes most of the</w:t></w:r>
</w:p>
<w:p>
<w:pPr><w:pStyle w:val="Normal"/></w:pPr>
<w:r><w:t xml:space="preserve">state preserve and large areas held in private ownership.</w:t></w:r>
</w:p>
<w:p>
<w:pPr><w:pStyle w:val="Normal"/></w:pPr>
<w:r><w:t xml:space="preserve">For a description of the Adirondacks, see S. R. Stoddard,</w:t></w:r>
</w:p>
<w:p>
<w:pPr><w:pStyle w:val="Normal"/></w:pPr>
<w:r><w:t xml:space="preserve">The Adirondacks Illustrated (24th ed., Glen Falls,</w:t></w:r>
</w:p>
<w:p>
<w:pPr><w:pStyle w:val="Normal"/></w:pPr>
<w:r><w:t xml:space="preserve">1894); and E. R. Wallace, Descriptive Guide to the</w:t></w:r>
</w:p>
<w:p>
<w:pPr><w:pStyle w:val="Normal"/></w:pPr>
<w:r><w:t xml:space="preserve">Adirondacks (Syracuse, 1894).  For geology and mineral</w:t></w:r>
</w:p>
<w:p>
<w:pPr><w:pStyle w:val="Normal"/></w:pPr>
<w:r><w:t xml:space="preserve">resources consult the Reports of the New York State</w:t></w:r>
</w:p>
<w:p>
<w:pPr><w:pStyle w:val="Normal"/></w:pPr>
<w:r><w:t xml:space="preserve">Geologist and the Bulletins of the New York State Museum.</w:t></w:r>
</w:p>
<w:p>
<w:pPr><w:pStyle w:val="Normal"/></w:pPr>
<w:r><w:t xml:space="preserve">ADIS ABABA (``the new flower&apos;&apos;), the capital of Abyssinia</w:t></w:r>
</w:p>
<w:p>
<w:pPr><w:pStyle w:val="Normal"/></w:pPr>
<w:r><w:t xml:space="preserve">and of the kingdom of Shoa, in 9 deg.  1&apos; N., 38 deg.  56&apos; E., 220</w:t></w:r>
</w:p>
<w:p>
<w:pPr><w:pStyle w:val="Normal"/></w:pPr>
<w:r><w:t xml:space="preserve">m.  W. by S. of Harrar, and about 450 m.  S.W. of Jibuti on</w:t></w:r>
</w:p>
<w:p>
<w:pPr><w:pStyle w:val="Normal"/></w:pPr>
<w:r><w:t xml:space="preserve">the Gulf of Aden.  Adis Ababa stands on the southern slopes</w:t></w:r>
</w:p>
<w:p>
<w:pPr><w:pStyle w:val="Normal"/></w:pPr>
<w:r><w:t xml:space="preserve">of the Entotto range, at an altitude of over 8000 ft., on</w:t></w:r>
</w:p>
<w:p>
<w:pPr><w:pStyle w:val="Normal"/></w:pPr>
<w:r><w:t xml:space="preserve">bare, grassy undulations, watered by small streams flowing</w:t></w:r>
</w:p>
<w:p>
<w:pPr><w:pStyle w:val="Normal"/></w:pPr>
<w:r><w:t xml:space="preserve">S.S.E. to the Hawash.  It is a large straggling encampment</w:t></w:r>
</w:p>
<w:p>
<w:pPr><w:pStyle w:val="Normal"/></w:pPr>
<w:r><w:t xml:space="preserve">rather than a town, with few buildings of any architectural</w:t></w:r>
</w:p>
<w:p>
<w:pPr><w:pStyle w:val="Normal"/></w:pPr>
<w:r><w:t xml:space="preserve">merit.  The Gobi or royal enclosure completely covers a small</w:t></w:r>
</w:p>
<w:p>
<w:pPr><w:pStyle w:val="Normal"/></w:pPr>
<w:r><w:t xml:space="preserve">hill overlooking the whole neighbourhood, while around it</w:t></w:r>
</w:p>
<w:p>
<w:pPr><w:pStyle w:val="Normal"/></w:pPr>
<w:r><w:t xml:space="preserve">are the enclosures of the abuna and principal nobles, and the</w:t></w:r>
</w:p>
<w:p>
<w:pPr><w:pStyle w:val="Normal"/></w:pPr>
<w:r><w:t xml:space="preserve">residences of the foreign ministers.  The principal traders</w:t></w:r>
</w:p>
<w:p>
<w:pPr><w:pStyle w:val="Normal"/></w:pPr>
<w:r><w:t xml:space="preserve">are Armenians and Hindus.  About a mile north-east of the</w:t></w:r>
</w:p>
<w:p>
<w:pPr><w:pStyle w:val="Normal"/></w:pPr>
<w:r><w:t xml:space="preserve">palace is the military camp.  On the hills some five miles to</w:t></w:r>
</w:p>
<w:p>
<w:pPr><w:pStyle w:val="Normal"/></w:pPr>
<w:r><w:t xml:space="preserve">the north, 1500 ft. above the camp, are the ruins of an old</w:t></w:r>
</w:p>
<w:p>
<w:pPr><w:pStyle w:val="Normal"/></w:pPr>
<w:r><w:t xml:space="preserve">fortress, and the churches of St Raguel and St Mariam.  The</w:t></w:r>
</w:p>
<w:p>
<w:pPr><w:pStyle w:val="Normal"/></w:pPr>
<w:r><w:t xml:space="preserve">town is in telegraphic communication with Massawa, Harrar and</w:t></w:r>
</w:p>
<w:p>
<w:pPr><w:pStyle w:val="Normal"/></w:pPr>
<w:r><w:t xml:space="preserve">Jibuti.  It was founded by Menelek II. in 1892 as the</w:t></w:r>
</w:p>
<w:p>
<w:pPr><w:pStyle w:val="Normal"/></w:pPr>
<w:r><w:t xml:space="preserve">capital of his kingdom in succession to Entotto, a deserted</w:t></w:r>
</w:p>
<w:p>
<w:pPr><w:pStyle w:val="Normal"/></w:pPr>
<w:r><w:t xml:space="preserve">settlement some ten or twelve miles north of Adis Ababa.</w:t></w:r>
</w:p>
<w:p>
<w:pPr><w:pStyle w:val="Normal"/></w:pPr>
<w:r><w:t xml:space="preserve">ADJECTIVE (from the Lat. adjectivus, added), a word used</w:t></w:r>
</w:p>
<w:p>
<w:pPr><w:pStyle w:val="Normal"/></w:pPr>
<w:r><w:t xml:space="preserve">chiefly in its grammatical sense of limiting or defining the</w:t></w:r>
</w:p>
<w:p>
<w:pPr><w:pStyle w:val="Normal"/></w:pPr>
<w:r><w:t xml:space="preserve">noun to which it refers.  Formerly grammarians used not to</w:t></w:r>
</w:p>
<w:p>
<w:pPr><w:pStyle w:val="Normal"/></w:pPr>
<w:r><w:t xml:space="preserve">separate a noun from its adjective, or attribute, but spoke of</w:t></w:r>
</w:p>
<w:p>
<w:pPr><w:pStyle w:val="Normal"/></w:pPr>
<w:r><w:t xml:space="preserve">them together as a noun-adjective.  In the art of dyeing, certain</w:t></w:r>
</w:p>
<w:p>
<w:pPr><w:pStyle w:val="Normal"/></w:pPr>
<w:r><w:t xml:space="preserve">colours are known as adjective colours, as they require mixing</w:t></w:r>
</w:p>
<w:p>
<w:pPr><w:pStyle w:val="Normal"/></w:pPr>
<w:r><w:t xml:space="preserve">with some basis to render them permanent. ``Adjective law&apos;&apos;</w:t></w:r>
</w:p>
<w:p>
<w:pPr><w:pStyle w:val="Normal"/></w:pPr>
<w:r><w:t xml:space="preserve">is that which relates to the forms of procedure, as opposed to</w:t></w:r>
</w:p>
<w:p>
<w:pPr><w:pStyle w:val="Normal"/></w:pPr>
<w:r><w:t xml:space="preserve">``substantive law,&apos;&apos; the rules of right administered by a court.</w:t></w:r>
</w:p>
<w:p>
<w:pPr><w:pStyle w:val="Normal"/></w:pPr>
<w:r><w:t xml:space="preserve">ADJOURNMENT (through the French from the Late Lat.</w:t></w:r>
</w:p>
<w:p>
<w:pPr><w:pStyle w:val="Normal"/></w:pPr>
<w:r><w:t xml:space="preserve">adjurnare, to put off until or summon for another day),</w:t></w:r>
</w:p>
<w:p>
<w:pPr><w:pStyle w:val="Normal"/></w:pPr>
<w:r><w:t xml:space="preserve">the act of postponing a meeting of any private or public</w:t></w:r>
</w:p>
<w:p>
<w:pPr><w:pStyle w:val="Normal"/></w:pPr>
<w:r><w:t xml:space="preserve">body, particularly of parliament, or any business, until</w:t></w:r>
</w:p>
<w:p>
<w:pPr><w:pStyle w:val="Normal"/></w:pPr>
<w:r><w:t xml:space="preserve">another time, or indefinitely (in which case it is an</w:t></w:r>
</w:p>
<w:p>
<w:pPr><w:pStyle w:val="Normal"/></w:pPr>
<w:r><w:t xml:space="preserve">adjournment sine die.) The word applies also to the period</w:t></w:r>
</w:p>
<w:p>
<w:pPr><w:pStyle w:val="Normal"/></w:pPr>
<w:r><w:t xml:space="preserve">during which the meeting or business stands adjourned.</w:t></w:r>
</w:p>
<w:p>
<w:pPr><w:pStyle w:val="Normal"/></w:pPr>
<w:r><w:t xml:space="preserve">ADJUDICATION (Lat. adjudicatio; adjudicare, to award),</w:t></w:r>
</w:p>
<w:p>
<w:pPr><w:pStyle w:val="Normal"/></w:pPr>
<w:r><w:t xml:space="preserve">generally, a trying or determining of a case by the exercise</w:t></w:r>
</w:p>
<w:p>
<w:pPr><w:pStyle w:val="Normal"/></w:pPr>
<w:r><w:t xml:space="preserve">of judicial power; a judgment.  In a more technical sense,</w:t></w:r>
</w:p>
<w:p>
<w:pPr><w:pStyle w:val="Normal"/></w:pPr>
<w:r><w:t xml:space="preserve">in English and American law, an adjudication is an order of</w:t></w:r>
</w:p>
<w:p>
<w:pPr><w:pStyle w:val="Normal"/></w:pPr>
<w:r><w:t xml:space="preserve">the bankruptcy courts by which a debtor is adjudged bankrupt</w:t></w:r>
</w:p>
<w:p>
<w:pPr><w:pStyle w:val="Normal"/></w:pPr>
<w:r><w:t xml:space="preserve">and his property vested in a trustee.  It usually proceeds</w:t></w:r>
</w:p>
<w:p>
<w:pPr><w:pStyle w:val="Normal"/></w:pPr>
<w:r><w:t xml:space="preserve">from a resolution of the creditors or where no composition</w:t></w:r>
</w:p>
<w:p>
<w:pPr><w:pStyle w:val="Normal"/></w:pPr>
<w:r><w:t xml:space="preserve">or scheme of arrangement has been proposed by the debtor.  It</w:t></w:r>
</w:p>
<w:p>
<w:pPr><w:pStyle w:val="Normal"/></w:pPr>
<w:r><w:t xml:space="preserve">may be said to consummate bankruptcy, for not till then does</w:t></w:r>
</w:p>
<w:p>
<w:pPr><w:pStyle w:val="Normal"/></w:pPr>
<w:r><w:t xml:space="preserve">a debtor&apos;s property actually vest in a trustee for division</w:t></w:r>
</w:p>
<w:p>
<w:pPr><w:pStyle w:val="Normal"/></w:pPr>
<w:r><w:t xml:space="preserve">among the creditors, though from the first act of bankruptcy</w:t></w:r>
</w:p>
<w:p>
<w:pPr><w:pStyle w:val="Normal"/></w:pPr>
<w:r><w:t xml:space="preserve">till adjudication it is protected by a receiving order.</w:t></w:r>
</w:p>
<w:p>
<w:pPr><w:pStyle w:val="Normal"/></w:pPr>
<w:r><w:t xml:space="preserve">As to the effect which adjudication has on the bankrupt, see</w:t></w:r>
</w:p>
<w:p>
<w:pPr><w:pStyle w:val="Normal"/></w:pPr>
<w:r><w:t xml:space="preserve">under BANKRUPTCY. The same process in Scots law is called</w:t></w:r>
</w:p>
<w:p>
<w:pPr><w:pStyle w:val="Normal"/></w:pPr>
<w:r><w:t xml:space="preserve">sequestration.  In Scots law the term ``adjudication&apos;&apos; has quite</w:t></w:r>
</w:p>
<w:p>
<w:pPr><w:pStyle w:val="Normal"/></w:pPr>
<w:r><w:t xml:space="preserve">a different meaning, being the name of that action by which a</w:t></w:r>
</w:p>
<w:p>
<w:pPr><w:pStyle w:val="Normal"/></w:pPr>
<w:r><w:t xml:space="preserve">creditor attaches the heritable, i.e. the real, estate of his</w:t></w:r>
</w:p>
<w:p>
<w:pPr><w:pStyle w:val="Normal"/></w:pPr>
<w:r><w:t xml:space="preserve">debtor, or his debtor&apos;s heir, in order to appropriate it to</w:t></w:r>
</w:p>
<w:p>
<w:pPr><w:pStyle w:val="Normal"/></w:pPr>
<w:r><w:t xml:space="preserve">himself either in payment or security of his debt.  The term</w:t></w:r>
</w:p>
<w:p>
<w:pPr><w:pStyle w:val="Normal"/></w:pPr>
<w:r><w:t xml:space="preserve">is also applied to a proceeding of the same nature by which</w:t></w:r>
</w:p>
<w:p>
<w:pPr><w:pStyle w:val="Normal"/></w:pPr>
<w:r><w:t xml:space="preserve">the holder of a heritable right, labouring under any defect in</w:t></w:r>
</w:p>
<w:p>
<w:pPr><w:pStyle w:val="Normal"/></w:pPr>
<w:r><w:t xml:space="preserve">point of form, gets that defect supplied by decree of a court.</w:t></w:r>
</w:p>
<w:p>
<w:pPr><w:pStyle w:val="Normal"/></w:pPr>
<w:r><w:t xml:space="preserve">ADJUNCT (from Lat. ad, to, and jungere, to join), that which</w:t></w:r>
</w:p>
<w:p>
<w:pPr><w:pStyle w:val="Normal"/></w:pPr>
<w:r><w:t xml:space="preserve">is joined on to another, not an essential part, and inferior to it</w:t></w:r>
</w:p>
<w:p>
<w:pPr><w:pStyle w:val="Normal"/></w:pPr>
<w:r><w:t xml:space="preserve">in mind or function, but which nevertheless amplifies or modifies</w:t></w:r>
</w:p>
<w:p>
<w:pPr><w:pStyle w:val="Normal"/></w:pPr>
<w:r><w:t xml:space="preserve">it.  Adverbs and adjectives are adjuncts to the words they</w:t></w:r>
</w:p>
<w:p>
<w:pPr><w:pStyle w:val="Normal"/></w:pPr>
<w:r><w:t xml:space="preserve">qualify.  Learning, says Shakespeare, is an ``adjunct to ourself&apos;&apos;</w:t></w:r>
</w:p>
<w:p>
<w:pPr><w:pStyle w:val="Normal"/></w:pPr>
<w:r><w:t xml:space="preserve">(Love&apos;s Labour&apos;s Lost, IV. iii. 314).  Twelve members of the</w:t></w:r>
</w:p>
<w:p>
<w:pPr><w:pStyle w:val="Normal"/></w:pPr>
<w:r><w:t xml:space="preserve">Royal Academy of Sciences in Paris are called ``adjuncts.&apos;&apos;</w:t></w:r>
</w:p>
<w:p>
<w:pPr><w:pStyle w:val="Normal"/></w:pPr>
<w:r><w:t xml:space="preserve">ADJUSTMENT (from late Lat. ad-juxtare, derived from</w:t></w:r>
</w:p>
<w:p>
<w:pPr><w:pStyle w:val="Normal"/></w:pPr>
<w:r><w:t xml:space="preserve">juxta. near, but early confounded with a supposed derivation</w:t></w:r>
</w:p>
<w:p>
<w:pPr><w:pStyle w:val="Normal"/></w:pPr>
<w:r><w:t xml:space="preserve">from justus, right), regulating, adapting or settling; in</w:t></w:r>
</w:p>
<w:p>
<w:pPr><w:pStyle w:val="Normal"/></w:pPr>
<w:r><w:t xml:space="preserve">commercial law, the settlement of a loss incurred at sea on</w:t></w:r>
</w:p>
<w:p>
<w:pPr><w:pStyle w:val="Normal"/></w:pPr>
<w:r><w:t xml:space="preserve">insured goods.  The calculation of the amounts to be made</w:t></w:r>
</w:p>
<w:p>
<w:pPr><w:pStyle w:val="Normal"/></w:pPr>
<w:r><w:t xml:space="preserve">good to and paid by the several interests is a complicated</w:t></w:r>
</w:p>
<w:p>
<w:pPr><w:pStyle w:val="Normal"/></w:pPr>
<w:r><w:t xml:space="preserve">matter.  It involves much detail and arithmetic, and requires</w:t></w:r>
</w:p>
<w:p>
<w:pPr><w:pStyle w:val="Normal"/></w:pPr>
<w:r><w:t xml:space="preserve">a full and accurate knowledge of the principles of the</w:t></w:r>
</w:p>
<w:p>
<w:pPr><w:pStyle w:val="Normal"/></w:pPr>
<w:r><w:t xml:space="preserve">subject.  Such adjustments are made by men called adjusters,</w:t></w:r>
</w:p>
<w:p>
<w:pPr><w:pStyle w:val="Normal"/></w:pPr>
<w:r><w:t xml:space="preserve">who make the subject their profession.  In Great Britain</w:t></w:r>
</w:p>
<w:p>
<w:pPr><w:pStyle w:val="Normal"/></w:pPr>
<w:r><w:t xml:space="preserve">they are for the most part members of the Average Adjusters&apos;</w:t></w:r>
</w:p>
<w:p>
<w:pPr><w:pStyle w:val="Normal"/></w:pPr>
<w:r><w:t xml:space="preserve">Association (1870), a body which has done much careful</w:t></w:r>
</w:p>
<w:p>
<w:pPr><w:pStyle w:val="Normal"/></w:pPr>
<w:r><w:t xml:space="preserve">work with a view to making and keeping the practice uniform</w:t></w:r>
</w:p>
<w:p>
<w:pPr><w:pStyle w:val="Normal"/></w:pPr>
<w:r><w:t xml:space="preserve">and in accord with right principles.  This association</w:t></w:r>
</w:p>
<w:p>
<w:pPr><w:pStyle w:val="Normal"/></w:pPr>
<w:r><w:t xml:space="preserve">has gradually formulated, at their annual meetings, a body</w:t></w:r>
</w:p>
<w:p>
<w:pPr><w:pStyle w:val="Normal"/></w:pPr>
<w:r><w:t xml:space="preserve">of practical rules which the individual members undertake</w:t></w:r>
</w:p>
<w:p>
<w:pPr><w:pStyle w:val="Normal"/></w:pPr>
<w:r><w:t xml:space="preserve">to observe. (See AVERAGE and INSURANCE, Marine.)</w:t></w:r>
</w:p>
<w:p>
<w:pPr><w:pStyle w:val="Normal"/></w:pPr>
<w:r><w:t xml:space="preserve">ADJUTAGE (from Fr. ajutage, from ajouter, to join</w:t></w:r>
</w:p>
<w:p>
<w:pPr><w:pStyle w:val="Normal"/></w:pPr>
<w:r><w:t xml:space="preserve">on; an older English form was ``adjustage&apos;&apos;), a mouthpiece</w:t></w:r>
</w:p>
<w:p>
<w:pPr><w:pStyle w:val="Normal"/></w:pPr>
<w:r><w:t xml:space="preserve">or nozzle, so formed as to facilitate the outflow of</w:t></w:r>
</w:p>
<w:p>
<w:pPr><w:pStyle w:val="Normal"/></w:pPr>
<w:r><w:t xml:space="preserve">liquids from a vessel or pipe. (See HYDRAULICS.)</w:t></w:r>
</w:p>
<w:p>
<w:pPr><w:pStyle w:val="Normal"/></w:pPr>
<w:r><w:t xml:space="preserve">ADJUTANT (from Lat. adjutare, to aid), a helper or junior in</w:t></w:r>
</w:p>
<w:p>
<w:pPr><w:pStyle w:val="Normal"/></w:pPr>
<w:r><w:t xml:space="preserve">command, one who assists his superior, especially an officer</w:t></w:r>
</w:p>
<w:p>
<w:pPr><w:pStyle w:val="Normal"/></w:pPr>
<w:r><w:t xml:space="preserve">who acts as an assistant to the officer commanding a corps of</w:t></w:r>
</w:p>
<w:p>
<w:pPr><w:pStyle w:val="Normal"/></w:pPr>
<w:r><w:t xml:space="preserve">troops.  In the British army the appointment of adjutant is held</w:t></w:r>
</w:p>
<w:p>
<w:pPr><w:pStyle w:val="Normal"/></w:pPr>
<w:r><w:t xml:space="preserve">by a captain or lieutenant.  The adjutant acts as staff officer</w:t></w:r>
</w:p>
<w:p>
<w:pPr><w:pStyle w:val="Normal"/></w:pPr>
<w:r><w:t xml:space="preserve">to the commanding officer, issues his orders, superintends the</w:t></w:r>
</w:p>
<w:p>
<w:pPr><w:pStyle w:val="Normal"/></w:pPr>
<w:r><w:t xml:space="preserve">work of the orderly room and the general administration of the</w:t></w:r>
</w:p>
<w:p>
<w:pPr><w:pStyle w:val="Normal"/></w:pPr>
<w:r><w:t xml:space="preserve">corps, and is responsible for musketry duties and the training of</w:t></w:r>
</w:p>
<w:p>
<w:pPr><w:pStyle w:val="Normal"/></w:pPr>
<w:r><w:t xml:space="preserve">recruits.  Regular officers are appointed as adjutants to all</w:t></w:r>
</w:p>
<w:p>
<w:pPr><w:pStyle w:val="Normal"/></w:pPr>
<w:r><w:t xml:space="preserve">units of the auxiliary forces.  On the European continent the</w:t></w:r>
</w:p>
<w:p>
<w:pPr><w:pStyle w:val="Normal"/></w:pPr>
<w:r><w:t xml:space="preserve">word is not restricted to the lower units of organization; for</w:t></w:r>
</w:p>
<w:p>
<w:pPr><w:pStyle w:val="Normal"/></w:pPr>
<w:r><w:t xml:space="preserve">example, in Germany the Adjutantur includes all ``routine&apos;&apos;</w:t></w:r>
</w:p>
<w:p>
<w:pPr><w:pStyle w:val="Normal"/></w:pPr>
<w:r><w:t xml:space="preserve">as distinct from ``general&apos;&apos; staff officers in the higher</w:t></w:r>
</w:p>
<w:p>
<w:pPr><w:pStyle w:val="Normal"/></w:pPr>
<w:r><w:t xml:space="preserve">units, and the aides-decamp of royal persons and of the higher</w:t></w:r>
</w:p>
<w:p>
<w:pPr><w:pStyle w:val="Normal"/></w:pPr>
<w:r><w:t xml:space="preserve">commanders are also styled adjutant-generals, flugel-adj</w:t></w:r>
</w:p>
<w:p>
<w:pPr><w:pStyle w:val="Normal"/></w:pPr>
<w:r><w:t xml:space="preserve">utanten, &amp;c . For the so-called adjutant bird see JABIRU.</w:t></w:r>
</w:p>
<w:p>
<w:pPr><w:pStyle w:val="Normal"/></w:pPr>
<w:r><w:t xml:space="preserve">ADJUTANT-GENERAL, an army official, originally (as indicated</w:t></w:r>
</w:p>
<w:p>
<w:pPr><w:pStyle w:val="Normal"/></w:pPr>
<w:r><w:t xml:space="preserve">by the word) the chief assistant (Lat. adjuvare) staff-officer</w:t></w:r>
</w:p>
<w:p>
<w:pPr><w:pStyle w:val="Normal"/></w:pPr>
<w:r><w:t xml:space="preserve">to a general in command, but now a distinct high functionary</w:t></w:r>
</w:p>
<w:p>
<w:pPr><w:pStyle w:val="Normal"/></w:pPr>
<w:r><w:t xml:space="preserve">at the head of a special office in the British and American war</w:t></w:r>
</w:p>
<w:p>
<w:pPr><w:pStyle w:val="Normal"/></w:pPr>
<w:r><w:t xml:space="preserve">departments.  In England the second military member of the</w:t></w:r>
</w:p>
<w:p>
<w:pPr><w:pStyle w:val="Normal"/></w:pPr>
<w:r><w:t xml:space="preserve">Army Council is styled adjutant-general to the forces.  He</w:t></w:r>
</w:p>
<w:p>
<w:pPr><w:pStyle w:val="Normal"/></w:pPr>
<w:r><w:t xml:space="preserve">is a general officer and at the head of his department of</w:t></w:r>
</w:p>
<w:p>
<w:pPr><w:pStyle w:val="Normal"/></w:pPr>
<w:r><w:t xml:space="preserve">the War Office, which is charged with all duties relative to</w:t></w:r>
</w:p>
<w:p>
<w:pPr><w:pStyle w:val="Normal"/></w:pPr>
<w:r><w:t xml:space="preserve">personnel.  The adjutant-general of the United States army is</w:t></w:r>
</w:p>
<w:p>
<w:pPr><w:pStyle w:val="Normal"/></w:pPr>
<w:r><w:t xml:space="preserve">one of the principal officers in the war department, the head</w:t></w:r>
</w:p>
<w:p>
<w:pPr><w:pStyle w:val="Normal"/></w:pPr>
<w:r><w:t xml:space="preserve">of the bureau for army correspondence, with the charge of the</w:t></w:r>
</w:p>
<w:p>
<w:pPr><w:pStyle w:val="Normal"/></w:pPr>
<w:r><w:t xml:space="preserve">records, recruiting, issue of commissions, &amp;c. Individual</w:t></w:r>
</w:p>
<w:p>
<w:pPr><w:pStyle w:val="Normal"/></w:pPr>
<w:r><w:t xml:space="preserve">American states also have their own adjutant-general, with</w:t></w:r>
</w:p>
<w:p>
<w:pPr><w:pStyle w:val="Normal"/></w:pPr>
<w:r><w:t xml:space="preserve">cognate duties regarding the state militia.  In many countries,</w:t></w:r>
</w:p>
<w:p>
<w:pPr><w:pStyle w:val="Normal"/></w:pPr>
<w:r><w:t xml:space="preserve">such as Germany and Russia, the term has retained its original</w:t></w:r>
</w:p>
<w:p>
<w:pPr><w:pStyle w:val="Normal"/></w:pPr>
<w:r><w:t xml:space="preserve">meaning of an officer on the personal staff, and is the</w:t></w:r>
</w:p>
<w:p>
<w:pPr><w:pStyle w:val="Normal"/></w:pPr>
<w:r><w:t xml:space="preserve">designation of personal aides-de-camp to the sovereign.</w:t></w:r>
</w:p>
<w:p>
<w:pPr><w:pStyle w:val="Normal"/></w:pPr>
<w:r><w:t xml:space="preserve">By a looseness of translation, the superintendents of</w:t></w:r>
</w:p>
<w:p>
<w:pPr><w:pStyle w:val="Normal"/></w:pPr>
<w:r><w:t xml:space="preserve">provinces, in the order of Jesuits, who act as officials</w:t></w:r>
</w:p>
<w:p>
<w:pPr><w:pStyle w:val="Normal"/></w:pPr>
<w:r><w:t xml:space="preserve">under the superintendence of and auxiliary to the</w:t></w:r>
</w:p>
<w:p>
<w:pPr><w:pStyle w:val="Normal"/></w:pPr>
<w:r><w:t xml:space="preserve">general, are sometimes called adjutants-general.</w:t></w:r>
</w:p>
<w:p>
<w:pPr><w:pStyle w:val="Normal"/></w:pPr>
<w:r><w:t xml:space="preserve">ADLER, FELIX (1851- ), American educationalist, was born</w:t></w:r>
</w:p>
<w:p>
<w:pPr><w:pStyle w:val="Normal"/></w:pPr>
<w:r><w:t xml:space="preserve">at Alzey, Germany, on the 13th of August 1851.  His father,</w:t></w:r>
</w:p>
<w:p>
<w:pPr><w:pStyle w:val="Normal"/></w:pPr>
<w:r><w:t xml:space="preserve">a Jewish rabbi, emigrated to the United States in 1857,</w:t></w:r>
</w:p>
<w:p>
<w:pPr><w:pStyle w:val="Normal"/></w:pPr>
<w:r><w:t xml:space="preserve">and the son graduated at Columbia College in 1870.  After</w:t></w:r>
</w:p>
<w:p>
<w:pPr><w:pStyle w:val="Normal"/></w:pPr>
<w:r><w:t xml:space="preserve">completing his studies at Berlin and Heidelberg, he became, in</w:t></w:r>
</w:p>
<w:p>
<w:pPr><w:pStyle w:val="Normal"/></w:pPr>
<w:r><w:t xml:space="preserve">1874, professor of Hebrew and Oriental Literature at Cornell</w:t></w:r>
</w:p>
<w:p>
<w:pPr><w:pStyle w:val="Normal"/></w:pPr>
<w:r><w:t xml:space="preserve">University.  In 1876 he established in New York City the</w:t></w:r>
</w:p>
<w:p>
<w:pPr><w:pStyle w:val="Normal"/></w:pPr>
<w:r><w:t xml:space="preserve">Society for Ethical Culture, to the development and extension</w:t></w:r>
</w:p>
<w:p>
<w:pPr><w:pStyle w:val="Normal"/></w:pPr>
<w:r><w:t xml:space="preserve">of which he devoted a great deal of time and energy, and</w:t></w:r>
</w:p>
<w:p>
<w:pPr><w:pStyle w:val="Normal"/></w:pPr>
<w:r><w:t xml:space="preserve">before which he delivered a regular Sunday lecture.  In 1902</w:t></w:r>
</w:p>
<w:p>
<w:pPr><w:pStyle w:val="Normal"/></w:pPr>
<w:r><w:t xml:space="preserve">he became professor of political and social ethics at Columbia</w:t></w:r>
</w:p>
<w:p>
<w:pPr><w:pStyle w:val="Normal"/></w:pPr>
<w:r><w:t xml:space="preserve">University.  He also acted as one of the editors of the</w:t></w:r>
</w:p>
<w:p>
<w:pPr><w:pStyle w:val="Normal"/></w:pPr>
<w:r><w:t xml:space="preserve">International Journal of Ethics. Under his direction the</w:t></w:r>
</w:p>
<w:p>
<w:pPr><w:pStyle w:val="Normal"/></w:pPr>
<w:r><w:t xml:space="preserve">Society for Ethical Culture became an important factor in</w:t></w:r>
</w:p>
<w:p>
<w:pPr><w:pStyle w:val="Normal"/></w:pPr>
<w:r><w:t xml:space="preserve">educational reform in New York City, exercising through its</w:t></w:r>
</w:p>
<w:p>
<w:pPr><w:pStyle w:val="Normal"/></w:pPr>
<w:r><w:t xml:space="preserve">technical training school and kindergarten (established in</w:t></w:r>
</w:p>
<w:p>
<w:pPr><w:pStyle w:val="Normal"/></w:pPr>
<w:r><w:t xml:space="preserve">January 1878) a wide influence.  Dr Adler also took a prominent</w:t></w:r>
</w:p>
<w:p>
<w:pPr><w:pStyle w:val="Heading1"/></w:pPr>
<w:r><w:t>part in philanthropic and social reform movements, such as the</w:t></w:r>
</w:p>
<w:p>
<w:pPr><w:pStyle w:val="Normal"/></w:pPr>
<w:r><w:t xml:space="preserve">establishment of a system of district nursing, the erection</w:t></w:r>
</w:p>
<w:p>
<w:pPr><w:pStyle w:val="Normal"/></w:pPr>
<w:r><w:t xml:space="preserve">of model tenement houses, and tenement house reform.  He</w:t></w:r>
</w:p>
<w:p>
<w:pPr><w:pStyle w:val="Normal"/></w:pPr>
<w:r><w:t xml:space="preserve">published Creed and Deed (1877), The Moral Instruction</w:t></w:r>
</w:p>
<w:p>
<w:pPr><w:pStyle w:val="Normal"/></w:pPr>
<w:r><w:t xml:space="preserve">of Children (1892), Life and Destiny (1903), Marriage</w:t></w:r>
</w:p>
<w:p>
<w:pPr><w:pStyle w:val="Normal"/></w:pPr>
<w:r><w:t xml:space="preserve">and Divorce (1905), and The Religion of Duty (1905).</w:t></w:r>
</w:p>
<w:p>
<w:pPr><w:pStyle w:val="Normal"/></w:pPr>
<w:r><w:t xml:space="preserve">ADMETUS, in Greek legend, son of Pheres, king of Pherae in</w:t></w:r>
</w:p>
<w:p>
<w:pPr><w:pStyle w:val="Normal"/></w:pPr>
<w:r><w:t xml:space="preserve">Thessaly.  By the aid of Apollo, who served him as a slave--</w:t></w:r>
</w:p>
<w:p>
<w:pPr><w:pStyle w:val="Normal"/></w:pPr>
<w:r><w:t xml:space="preserve">either as a punishment for having slain the Cyclopes, or out of</w:t></w:r>
</w:p>
<w:p>
<w:pPr><w:pStyle w:val="Normal"/></w:pPr>
<w:r><w:t xml:space="preserve">affection for his mortal master--he won the hand of Alcestis,</w:t></w:r>
</w:p>
<w:p>
<w:pPr><w:pStyle w:val="Normal"/></w:pPr>
<w:r><w:t xml:space="preserve">the most beautiful of the daughters of Pelias, king of Iolcus.</w:t></w:r>
</w:p>
<w:p>
<w:pPr><w:pStyle w:val="Normal"/></w:pPr>
<w:r><w:t xml:space="preserve">When Admetus was attacked by an illness that threatened to lead</w:t></w:r>
</w:p>
<w:p>
<w:pPr><w:pStyle w:val="Normal"/></w:pPr>
<w:r><w:t xml:space="preserve">to his premature death, Apollo persuaded the Moerae (Fates) to</w:t></w:r>
</w:p>
<w:p>
<w:pPr><w:pStyle w:val="Normal"/></w:pPr>
<w:r><w:t xml:space="preserve">prolong his life, provided any one could be found to die in his</w:t></w:r>
</w:p>
<w:p>
<w:pPr><w:pStyle w:val="Normal"/></w:pPr>
<w:r><w:t xml:space="preserve">place.  His parents refused, but Alcestis consented.  She is</w:t></w:r>
</w:p>
<w:p>
<w:pPr><w:pStyle w:val="Normal"/></w:pPr>
<w:r><w:t xml:space="preserve">said to have been rescued from the hands of Death by Heracles,</w:t></w:r>
</w:p>
<w:p>
<w:pPr><w:pStyle w:val="Normal"/></w:pPr>
<w:r><w:t xml:space="preserve">who arrived upon the scene at an opportune moment; a later story</w:t></w:r>
</w:p>
<w:p>
<w:pPr><w:pStyle w:val="Normal"/></w:pPr>
<w:r><w:t xml:space="preserve">represents her as cured of a dangerous illness by his skill.</w:t></w:r>
</w:p>
<w:p>
<w:pPr><w:pStyle w:val="Normal"/></w:pPr>
<w:r><w:t xml:space="preserve">Homer, Iliad, ii. 715; Apollodorus, i. 9; Euripides,</w:t></w:r>
</w:p>
<w:p>
<w:pPr><w:pStyle w:val="Normal"/></w:pPr>
<w:r><w:t xml:space="preserve">Alcestis; Plutarch, Amatorius, 17; Dissel, Der Mythus</w:t></w:r>
</w:p>
<w:p>
<w:pPr><w:pStyle w:val="Normal"/></w:pPr>
<w:r><w:t xml:space="preserve">von Admetos und Alkestis, progr.  Brandenburg, 1882.</w:t></w:r>
</w:p>
<w:p>
<w:pPr><w:pStyle w:val="Normal"/></w:pPr>
<w:r><w:t xml:space="preserve">ADMINISTRATION (Lat. administrare, to serve), the performance</w:t></w:r>
</w:p>
<w:p>
<w:pPr><w:pStyle w:val="Normal"/></w:pPr>
<w:r><w:t xml:space="preserve">or management of affairs, a term specifically used in law for</w:t></w:r>
</w:p>
<w:p>
<w:pPr><w:pStyle w:val="Normal"/></w:pPr>
<w:r><w:t xml:space="preserve">the administration or disposal of the estate of a deceased person</w:t></w:r>
</w:p>
<w:p>
<w:pPr><w:pStyle w:val="Normal"/></w:pPr>
<w:r><w:t xml:space="preserve">(see WILL OR TESTAMENT.) It is also used generally for</w:t></w:r>
</w:p>
<w:p>
<w:pPr><w:pStyle w:val="Normal"/></w:pPr>
<w:r><w:t xml:space="preserve">``government,&apos;&apos; and specifically for ``the government&apos;&apos; or the executive</w:t></w:r>
</w:p>
<w:p>
<w:pPr><w:pStyle w:val="Normal"/></w:pPr>
<w:r><w:t xml:space="preserve">ministry, and in such connexions as the administration (administering</w:t></w:r>
</w:p>
<w:p>
<w:pPr><w:pStyle w:val="Normal"/></w:pPr>
<w:r><w:t xml:space="preserve">or tendering) of the sacraments, justice, oaths, medicines, &amp;c.</w:t></w:r>
</w:p>
<w:p>
<w:pPr><w:pStyle w:val="Normal"/></w:pPr>
<w:r><w:t xml:space="preserve">Letters of administration.--Upon the death of a person</w:t></w:r>
</w:p>
<w:p>
<w:pPr><w:pStyle w:val="Normal"/></w:pPr>
<w:r><w:t xml:space="preserve">intestate or leaving a will to which no executors are appointed,</w:t></w:r>
</w:p>
<w:p>
<w:pPr><w:pStyle w:val="Normal"/></w:pPr>
<w:r><w:t xml:space="preserve">or when the executors appointed by the will cannot or will</w:t></w:r>
</w:p>
<w:p>
<w:pPr><w:pStyle w:val="Normal"/></w:pPr>
<w:r><w:t xml:space="preserve">not act, the Probate Division of the High Court is obliged</w:t></w:r>
</w:p>
<w:p>
<w:pPr><w:pStyle w:val="Normal"/></w:pPr>
<w:r><w:t xml:space="preserve">to appoint an administrator who performs the duties of an</w:t></w:r>
</w:p>
<w:p>
<w:pPr><w:pStyle w:val="Normal"/></w:pPr>
<w:r><w:t xml:space="preserve">executor.  This is done by the court granting letters of</w:t></w:r>
</w:p>
<w:p>
<w:pPr><w:pStyle w:val="Normal"/></w:pPr>
<w:r><w:t xml:space="preserve">administration to the person entitled.  Grants of administration</w:t></w:r>
</w:p>
<w:p>
<w:pPr><w:pStyle w:val="Normal"/></w:pPr>
<w:r><w:t xml:space="preserve">may be either general or limited.  A general grant is made</w:t></w:r>
</w:p>
<w:p>
<w:pPr><w:pStyle w:val="Normal"/></w:pPr>
<w:r><w:t xml:space="preserve">where the deceased has died intestate.  The order in which</w:t></w:r>
</w:p>
<w:p>
<w:pPr><w:pStyle w:val="Normal"/></w:pPr>
<w:r><w:t xml:space="preserve">general grants of letters will be made by the court is as</w:t></w:r>
</w:p>
<w:p>
<w:pPr><w:pStyle w:val="Normal"/></w:pPr>
<w:r><w:t xml:space="preserve">follows: (1) The husband, or widow, as the case may be;</w:t></w:r>
</w:p>
<w:p>
<w:pPr><w:pStyle w:val="Normal"/></w:pPr>
<w:r><w:t xml:space="preserve">(2) the next of kin; (3) the crown; (4) a creditor; (5) a</w:t></w:r>
</w:p>
<w:p>
<w:pPr><w:pStyle w:val="Normal"/></w:pPr>
<w:r><w:t xml:space="preserve">stranger.  Since the Land Transfer Act 1897, the administrator</w:t></w:r>
</w:p>
<w:p>
<w:pPr><w:pStyle w:val="Normal"/></w:pPr>
<w:r><w:t xml:space="preserve">is the real as well as the personal representative of the</w:t></w:r>
</w:p>
<w:p>
<w:pPr><w:pStyle w:val="Normal"/></w:pPr>
<w:r><w:t xml:space="preserve">deceased, and consequently when the estate to be administered</w:t></w:r>
</w:p>
<w:p>
<w:pPr><w:pStyle w:val="Normal"/></w:pPr>
<w:r><w:t xml:space="preserve">consists wholly or mainly of reality the court will grant</w:t></w:r>
</w:p>
<w:p>
<w:pPr><w:pStyle w:val="Normal"/></w:pPr>
<w:r><w:t xml:space="preserve">administration to the heir to the exclusion of the next of</w:t></w:r>
</w:p>
<w:p>
<w:pPr><w:pStyle w:val="Normal"/></w:pPr>
<w:r><w:t xml:space="preserve">kin.  In the absence of any heir or next of kin the crown</w:t></w:r>
</w:p>
<w:p>
<w:pPr><w:pStyle w:val="Normal"/></w:pPr>
<w:r><w:t xml:space="preserve">is entitled to the personality as bona vacantia, and to</w:t></w:r>
</w:p>
<w:p>
<w:pPr><w:pStyle w:val="Normal"/></w:pPr>
<w:r><w:t xml:space="preserve">the reality by escheat.  If a creditor claims and obtains</w:t></w:r>
</w:p>
<w:p>
<w:pPr><w:pStyle w:val="Normal"/></w:pPr>
<w:r><w:t xml:space="preserve">a grant he is compelled by the court to enter into a bond</w:t></w:r>
</w:p>
<w:p>
<w:pPr><w:pStyle w:val="Normal"/></w:pPr>
<w:r><w:t xml:space="preserve">with two sureties that he will not prefer his own debt to</w:t></w:r>
</w:p>
<w:p>
<w:pPr><w:pStyle w:val="Normal"/></w:pPr>
<w:r><w:t xml:space="preserve">those of other creditors.  The more important cases of grants</w:t></w:r>
</w:p>
<w:p>
<w:pPr><w:pStyle w:val="Normal"/></w:pPr>
<w:r><w:t xml:space="preserve">of special letters of administration are the following:--</w:t></w:r>
</w:p>
<w:p>
<w:pPr><w:pStyle w:val="Normal"/></w:pPr>
<w:r><w:t xml:space="preserve">Administration cum testamento annexo, where the deceased</w:t></w:r>
</w:p>
<w:p>
<w:pPr><w:pStyle w:val="Normal"/></w:pPr>
<w:r><w:t xml:space="preserve">has left a will but has appointed no executor to it, or the</w:t></w:r>
</w:p>
<w:p>
<w:pPr><w:pStyle w:val="Normal"/></w:pPr>
<w:r><w:t xml:space="preserve">executor appointed has died or refuses to act.  In this case the</w:t></w:r>
</w:p>
<w:p>
<w:pPr><w:pStyle w:val="Normal"/></w:pPr>
<w:r><w:t xml:space="preserve">court will make the grant to the person (usually the residuary</w:t></w:r>
</w:p>
<w:p>
<w:pPr><w:pStyle w:val="Normal"/></w:pPr>
<w:r><w:t xml:space="preserve">legatee) with the largest beneficial interest in the estate.</w:t></w:r>
</w:p>
<w:p>
<w:pPr><w:pStyle w:val="Normal"/></w:pPr>
<w:r><w:t xml:space="preserve">Administration de bonis non administratis: this occurs</w:t></w:r>
</w:p>
<w:p>
<w:pPr><w:pStyle w:val="Normal"/></w:pPr>
<w:r><w:t xml:space="preserve">in two cases--(a) where the executor dies intestate</w:t></w:r>
</w:p>
<w:p>
<w:pPr><w:pStyle w:val="Normal"/></w:pPr>
<w:r><w:t xml:space="preserve">after probate without having completely administered the</w:t></w:r>
</w:p>
<w:p>
<w:pPr><w:pStyle w:val="Normal"/></w:pPr>
<w:r><w:t xml:space="preserve">estate; (b) where an administrator dies.  In the first</w:t></w:r>
</w:p>
<w:p>
<w:pPr><w:pStyle w:val="Normal"/></w:pPr>
<w:r><w:t xml:space="preserve">case the principle of administration cum testamento is</w:t></w:r>
</w:p>
<w:p>
<w:pPr><w:pStyle w:val="Normal"/></w:pPr>
<w:r><w:t xml:space="preserve">followed, in the second that of general grants in the</w:t></w:r>
</w:p>
<w:p>
<w:pPr><w:pStyle w:val="Normal"/></w:pPr>
<w:r><w:t xml:space="preserve">selection of the person to whom letters are granted.</w:t></w:r>
</w:p>
<w:p>
<w:pPr><w:pStyle w:val="Normal"/></w:pPr>
<w:r><w:t xml:space="preserve">Administration durante minore aetate, when the executor</w:t></w:r>
</w:p>
<w:p>
<w:pPr><w:pStyle w:val="Normal"/></w:pPr>
<w:r><w:t xml:space="preserve">or the person entitled to the general grant is under age.</w:t></w:r>
</w:p>
<w:p>
<w:pPr><w:pStyle w:val="Normal"/></w:pPr>
<w:r><w:t xml:space="preserve">Administration durante absentia, when the executor or</w:t></w:r>
</w:p>
<w:p>
<w:pPr><w:pStyle w:val="Normal"/></w:pPr>
<w:r><w:t xml:space="preserve">administrator is out of the jurisdiction for more than a year.</w:t></w:r>
</w:p>
<w:p>
<w:pPr><w:pStyle w:val="Normal"/></w:pPr>
<w:r><w:t xml:space="preserve">Administration pendente lite, where there is a dispute as to</w:t></w:r>
</w:p>
<w:p>
<w:pPr><w:pStyle w:val="Normal"/></w:pPr>
<w:r><w:t xml:space="preserve">the person entitled to probate or a general grant of letters the</w:t></w:r>
</w:p>
<w:p>
<w:pPr><w:pStyle w:val="Normal"/></w:pPr>
<w:r><w:t xml:space="preserve">court appoints an administrator till the question has been decided.</w:t></w:r>
</w:p>
<w:p>
<w:pPr><w:pStyle w:val="Normal"/></w:pPr>
<w:r><w:t xml:space="preserve">ADMINISTRATOR, in English law, the person to whom the</w:t></w:r>
</w:p>
<w:p>
<w:pPr><w:pStyle w:val="Normal"/></w:pPr>
<w:r><w:t xml:space="preserve">Probate Division of the High Court of Justice (formerly the</w:t></w:r>
</w:p>
<w:p>
<w:pPr><w:pStyle w:val="Normal"/></w:pPr>
<w:r><w:t xml:space="preserve">ordinary or judge of the ecclesiastical court) acting in the</w:t></w:r>
</w:p>
<w:p>
<w:pPr><w:pStyle w:val="Normal"/></w:pPr>
<w:r><w:t xml:space="preserve">sovereign&apos;s name, commits the administration (q.v.) of the</w:t></w:r>
</w:p>
<w:p>
<w:pPr><w:pStyle w:val="Normal"/></w:pPr>
<w:r><w:t xml:space="preserve">goods of a person deceased, in default of an executor.  The</w:t></w:r>
</w:p>
<w:p>
<w:pPr><w:pStyle w:val="Normal"/></w:pPr>
<w:r><w:t xml:space="preserve">origin of administrators is derived from the civil law.  Their</w:t></w:r>
</w:p>
<w:p>
<w:pPr><w:pStyle w:val="Normal"/></w:pPr>
<w:r><w:t xml:space="preserve">establishment in England is owing to a statute made in the 31st</w:t></w:r>
</w:p>
<w:p>
<w:pPr><w:pStyle w:val="Normal"/></w:pPr>
<w:r><w:t xml:space="preserve">year of Edward I. (1303).  Till then no office of this kind</w:t></w:r>
</w:p>
<w:p>
<w:pPr><w:pStyle w:val="Normal"/></w:pPr>
<w:r><w:t xml:space="preserve">was known besides that of executor; in default of whom, the</w:t></w:r>
</w:p>
<w:p>
<w:pPr><w:pStyle w:val="Normal"/></w:pPr>
<w:r><w:t xml:space="preserve">ordinary had the disposal of goods of persons intestate, &amp;c.</w:t></w:r>
</w:p>
<w:p>
<w:pPr><w:pStyle w:val="Normal"/></w:pPr>
<w:r><w:t xml:space="preserve">(See also EXECUTORS, and, for intestate estates, INTESTACY.)</w:t></w:r>
</w:p>
<w:p>
<w:pPr><w:pStyle w:val="Normal"/></w:pPr>
<w:r><w:t xml:space="preserve">ADMINISTRATOR, in Scots law, is a person legally</w:t></w:r>
</w:p>
<w:p>
<w:pPr><w:pStyle w:val="Normal"/></w:pPr>
<w:r><w:t xml:space="preserve">empowered to act for another whom the law presumes incapable</w:t></w:r>
</w:p>
<w:p>
<w:pPr><w:pStyle w:val="Normal"/></w:pPr>
<w:r><w:t xml:space="preserve">of acting for himself, as a father for a pupil child.</w:t></w:r>
</w:p>
<w:p>
<w:pPr><w:pStyle w:val="Normal"/></w:pPr>
<w:r><w:t xml:space="preserve">ADMIRAL, the title of the general officer who commands a</w:t></w:r>
</w:p>
<w:p>
<w:pPr><w:pStyle w:val="Normal"/></w:pPr>
<w:r><w:t xml:space="preserve">fleet, or subdivision of a fleet.  The origin of the word is</w:t></w:r>
</w:p>
<w:p>
<w:pPr><w:pStyle w:val="Normal"/></w:pPr>
<w:r><w:t xml:space="preserve">undoubtedly Arabic.  In the 12th century the Mediterranean</w:t></w:r>
</w:p>
<w:p>
<w:pPr><w:pStyle w:val="Normal"/></w:pPr>
<w:r><w:t xml:space="preserve">states which had close relations with the Moslem powers</w:t></w:r>
</w:p>
<w:p>
<w:pPr><w:pStyle w:val="Normal"/></w:pPr>
<w:r><w:t xml:space="preserve">on the shores or in the islands of that sea, found the</w:t></w:r>
</w:p>
<w:p>
<w:pPr><w:pStyle w:val="Normal"/></w:pPr>
<w:r><w:t xml:space="preserve">title amir or emir in combination with other words used</w:t></w:r>
</w:p>
<w:p>
<w:pPr><w:pStyle w:val="Normal"/></w:pPr>
<w:r><w:t xml:space="preserve">to describe men in authority; the amir-al-mumenin--prince</w:t></w:r>
</w:p>
<w:p>
<w:pPr><w:pStyle w:val="Normal"/></w:pPr>
<w:r><w:t xml:space="preserve">of the faithful--or al-bahr--commander of the sea.  They</w:t></w:r>
</w:p>
<w:p>
<w:pPr><w:pStyle w:val="Normal"/></w:pPr>
<w:r><w:t xml:space="preserve">took the substantive ``amir&apos;&apos; and the article ``al&apos;&apos; to</w:t></w:r>
</w:p>
<w:p>
<w:pPr><w:pStyle w:val="Normal"/></w:pPr>
<w:r><w:t xml:space="preserve">form one word, ``amiral&apos;&apos; or ``ammiral&apos;&apos; or ``almirante.&apos;&apos;</w:t></w:r>
</w:p>
<w:p>
<w:pPr><w:pStyle w:val="Normal"/></w:pPr>
<w:r><w:t xml:space="preserve">The Spaniards made miramamolin, out of amiral-mumenin, in</w:t></w:r>
</w:p>
<w:p>
<w:pPr><w:pStyle w:val="Normal"/></w:pPr>
<w:r><w:t xml:space="preserve">the same way. ``Amiral,&apos;&apos; as the name of an eastern ruler,</w:t></w:r>
</w:p>
<w:p>
<w:pPr><w:pStyle w:val="Normal"/></w:pPr>
<w:r><w:t xml:space="preserve">became familiar to the northern nations during the crusades.</w:t></w:r>
</w:p>
<w:p>
<w:pPr><w:pStyle w:val="Normal"/></w:pPr>
<w:r><w:t xml:space="preserve">Layamon, writing in the early years of the 13th century,</w:t></w:r>
</w:p>
<w:p>
<w:pPr><w:pStyle w:val="Normal"/></w:pPr>
<w:r><w:t xml:space="preserve">speaks of the ``ammiral of Babilon,&apos;&apos; and the word was for</w:t></w:r>
</w:p>
<w:p>
<w:pPr><w:pStyle w:val="Normal"/></w:pPr>
<w:r><w:t xml:space="preserve">long employed in this sense.  As a naval title it was first</w:t></w:r>
</w:p>
<w:p>
<w:pPr><w:pStyle w:val="Normal"/></w:pPr>
<w:r><w:t xml:space="preserve">taken by the French from the Genoese during the crusade of</w:t></w:r>
</w:p>
<w:p>
<w:pPr><w:pStyle w:val="Normal"/></w:pPr>
<w:r><w:t xml:space="preserve">1249.  By the end of the 13th century it had come to be used</w:t></w:r>
</w:p>
<w:p>
<w:pPr><w:pStyle w:val="Normal"/></w:pPr>
<w:r><w:t xml:space="preserve">in England as the name of the officer who commanded the Cinque</w:t></w:r>
</w:p>
<w:p>
<w:pPr><w:pStyle w:val="Normal"/></w:pPr>
<w:r><w:t xml:space="preserve">Port ships.  The English form ``admiral&apos;&apos; arose from popular</w:t></w:r>
</w:p>
<w:p>
<w:pPr><w:pStyle w:val="Normal"/></w:pPr>
<w:r><w:t xml:space="preserve">confusion with the Latin admirabilis. Such errors were</w:t></w:r>
</w:p>
<w:p>
<w:pPr><w:pStyle w:val="Normal"/></w:pPr>
<w:r><w:t xml:space="preserve">naturally produced by the fantastic etymology of the middle</w:t></w:r>
</w:p>
<w:p>
<w:pPr><w:pStyle w:val="Normal"/></w:pPr>
<w:r><w:t xml:space="preserve">ages.  In Spain, Alphonso the Wise of Castile, in his code of</w:t></w:r>
</w:p>
<w:p>
<w:pPr><w:pStyle w:val="Normal"/></w:pPr>
<w:r><w:t xml:space="preserve">laws, the Siete Partidas (Seven Divisions), accounts for</w:t></w:r>
</w:p>
<w:p>
<w:pPr><w:pStyle w:val="Normal"/></w:pPr>
<w:r><w:t xml:space="preserve">the Spanish form ``almirante&apos;&apos; by its supposed derivation</w:t></w:r>
</w:p>
<w:p>
<w:pPr><w:pStyle w:val="Normal"/></w:pPr>
<w:r><w:t xml:space="preserve">from the Latin admirari, since the admiral is ``to be</w:t></w:r>
</w:p>
<w:p>
<w:pPr><w:pStyle w:val="Normal"/></w:pPr>
<w:r><w:t xml:space="preserve">admired&apos;&apos; for the difficulties and dangers he overcomes, and</w:t></w:r>
</w:p>
<w:p>
<w:pPr><w:pStyle w:val="Normal"/></w:pPr>
<w:r><w:t xml:space="preserve">because he is the chief of those who see the wonders of the</w:t></w:r>
</w:p>
<w:p>
<w:pPr><w:pStyle w:val="Normal"/></w:pPr>
<w:r><w:t xml:space="preserve">Lord in the deep--mirabilia ejus (sc. Domini) in profundo.</w:t></w:r>
</w:p>
<w:p>
<w:pPr><w:pStyle w:val="Normal"/></w:pPr>
<w:r><w:t xml:space="preserve">Both in Spanish and in Elizabethan English the word has</w:t></w:r>
</w:p>
<w:p>
<w:pPr><w:pStyle w:val="Normal"/></w:pPr>
<w:r><w:t xml:space="preserve">been applied to the flagship of an officer commanding a</w:t></w:r>
</w:p>
<w:p>
<w:pPr><w:pStyle w:val="Normal"/></w:pPr>
<w:r><w:t xml:space="preserve">fleet or part of one.  The Spanish almiranta is the ship</w:t></w:r>
</w:p>
<w:p>
<w:pPr><w:pStyle w:val="Normal"/></w:pPr>
<w:r><w:t xml:space="preserve">of the second in command, and the capitana of the first.</w:t></w:r>
</w:p>
<w:p>
<w:pPr><w:pStyle w:val="Normal"/></w:pPr>
<w:r><w:t xml:space="preserve">In this sense it is not uncommonly found in the narratives</w:t></w:r>
</w:p>
<w:p>
<w:pPr><w:pStyle w:val="Normal"/></w:pPr>
<w:r><w:t xml:space="preserve">of Elizabethan voyages or campaigns, and it is so used by</w:t></w:r>
</w:p>
<w:p>
<w:pPr><w:pStyle w:val="Normal"/></w:pPr>
<w:r><w:t xml:space="preserve">Milton in Paradise Lost--``the mast of some tall ammiral.&apos;&apos;</w:t></w:r>
</w:p>
<w:p>
<w:pPr><w:pStyle w:val="Normal"/></w:pPr>
<w:r><w:t xml:space="preserve">As the title of an office it was borne by the great military,</w:t></w:r>
</w:p>
<w:p>
<w:pPr><w:pStyle w:val="Normal"/></w:pPr>
<w:r><w:t xml:space="preserve">judicial and administrative officer known in France as grand</w:t></w:r>
</w:p>
<w:p>
<w:pPr><w:pStyle w:val="Normal"/></w:pPr>
<w:r><w:t xml:space="preserve">amiral; in England as lord high admiral; in Spain as almirante</w:t></w:r>
</w:p>
<w:p>
<w:pPr><w:pStyle w:val="Normal"/></w:pPr>
<w:r><w:t xml:space="preserve">mayor. His functions, which were wide, have been generally</w:t></w:r>
</w:p>
<w:p>
<w:pPr><w:pStyle w:val="Normal"/></w:pPr>
<w:r><w:t xml:space="preserve">absorbed by the crown, or the state, and have been divided among</w:t></w:r>
</w:p>
<w:p>
<w:pPr><w:pStyle w:val="Normal"/></w:pPr>
<w:r><w:t xml:space="preserve">judicial and administrative officials (see NAVY, History;</w:t></w:r>
</w:p>
<w:p>
<w:pPr><w:pStyle w:val="Normal"/></w:pPr>
<w:r><w:t xml:space="preserve">ADMIRALTY ADMINISTRATION; and ADMIRALTY JURISDICTION.)</w:t></w:r>
</w:p>
<w:p>
<w:pPr><w:pStyle w:val="Normal"/></w:pPr>
<w:r><w:t xml:space="preserve">The title of admiral is still borne as an hereditary honour</w:t></w:r>
</w:p>
<w:p>
<w:pPr><w:pStyle w:val="Normal"/></w:pPr>
<w:r><w:t xml:space="preserve">by the descendants of Columbus, the dukes of Veraqua, in</w:t></w:r>
</w:p>
<w:p>
<w:pPr><w:pStyle w:val="Normal"/></w:pPr>
<w:r><w:t xml:space="preserve">Spain.  It is a purely honorific distinction representing the</w:t></w:r>
</w:p>
<w:p>
<w:pPr><w:pStyle w:val="Normal"/></w:pPr>
<w:r><w:t xml:space="preserve">admiralship of the islands and Ocean Sea, conferred on the</w:t></w:r>
</w:p>
<w:p>
<w:pPr><w:pStyle w:val="Normal"/></w:pPr>
<w:r><w:t xml:space="preserve">discoverer by the Catholic sovereigns, Ferdinand and Isabella.</w:t></w:r>
</w:p>
<w:p>
<w:pPr><w:pStyle w:val="Normal"/></w:pPr>
<w:r><w:t xml:space="preserve">In the staff of a modern navy the admirals correspond to</w:t></w:r>
</w:p>
<w:p>
<w:pPr><w:pStyle w:val="Normal"/></w:pPr>
<w:r><w:t xml:space="preserve">the general officers in the army.  Where, as in Russia, the</w:t></w:r>
</w:p>
<w:p>
<w:pPr><w:pStyle w:val="Normal"/></w:pPr>
<w:r><w:t xml:space="preserve">grand admiralship is annexed to the crown, the highest rank</w:t></w:r>
</w:p>
<w:p>
<w:pPr><w:pStyle w:val="Normal"/></w:pPr>
<w:r><w:t xml:space="preserve">is that of lieutenant admiral general.  In Great Britain</w:t></w:r>
</w:p>
<w:p>
<w:pPr><w:pStyle w:val="Normal"/></w:pPr>
<w:r><w:t xml:space="preserve">there is the rank of admiral of the fleet, corresponding to</w:t></w:r>
</w:p>
<w:p>
<w:pPr><w:pStyle w:val="Normal"/></w:pPr>
<w:r><w:t xml:space="preserve">field-marshal.  It is, however, little more than an honorary</w:t></w:r>
</w:p>
<w:p>
<w:pPr><w:pStyle w:val="Normal"/></w:pPr>
<w:r><w:t xml:space="preserve">distinction.  The three active ranks are those of admiral,</w:t></w:r>
</w:p>
<w:p>
<w:pPr><w:pStyle w:val="Normal"/></w:pPr>
<w:r><w:t xml:space="preserve">vice-admiral and rear-admiral, corresponding to general,</w:t></w:r>
</w:p>
<w:p>
<w:pPr><w:pStyle w:val="Normal"/></w:pPr>
<w:r><w:t xml:space="preserve">lieutenant-general and major-general in the army.  They are</w:t></w:r>
</w:p>
<w:p>
<w:pPr><w:pStyle w:val="Normal"/></w:pPr>
<w:r><w:t xml:space="preserve">found in all navies under very slightly varied forms.  The</w:t></w:r>
</w:p>
<w:p>
<w:pPr><w:pStyle w:val="Normal"/></w:pPr>
<w:r><w:t xml:space="preserve">only difference which is not one of mere spelling is in the</w:t></w:r>
</w:p>
<w:p>
<w:pPr><w:pStyle w:val="Normal"/></w:pPr>
<w:r><w:t xml:space="preserve">equivalent for rear-admiral, which is contre amiral in</w:t></w:r>
</w:p>
<w:p>
<w:pPr><w:pStyle w:val="Normal"/></w:pPr>
<w:r><w:t xml:space="preserve">French, and in other navies of the continent of Europe</w:t></w:r>
</w:p>
<w:p>
<w:pPr><w:pStyle w:val="Normal"/></w:pPr>
<w:r><w:t xml:space="preserve">involves some slight variation of the word ``contre&apos;&apos; (first</w:t></w:r>
</w:p>
<w:p>
<w:pPr><w:pStyle w:val="Normal"/></w:pPr>
<w:r><w:t xml:space="preserve">used at the time of the French Revolution).  The vice- and</w:t></w:r>
</w:p>
<w:p>
<w:pPr><w:pStyle w:val="Normal"/></w:pPr>
<w:r><w:t xml:space="preserve">rear-admiral of Great Britain are again honorary titles,</w:t></w:r>
</w:p>
<w:p>
<w:pPr><w:pStyle w:val="Normal"/></w:pPr>
<w:r><w:t xml:space="preserve">without the active functions, conferred in compliment on</w:t></w:r>
</w:p>
<w:p>
<w:pPr><w:pStyle w:val="Normal"/></w:pPr>
<w:r><w:t xml:space="preserve">senior naval officers. ``Admiral&apos;&apos; is also the name given to</w:t></w:r>
</w:p>
<w:p>
<w:pPr><w:pStyle w:val="Normal"/></w:pPr>
<w:r><w:t xml:space="preserve">the chief of fishery fleets.  On the banks of Newfoundland</w:t></w:r>
</w:p>
<w:p>
<w:pPr><w:pStyle w:val="Normal"/></w:pPr>
<w:r><w:t xml:space="preserve">it was given to officials who had powers conferred by the</w:t></w:r>
</w:p>
<w:p>
<w:pPr><w:pStyle w:val="Normal"/></w:pPr>
<w:r><w:t xml:space="preserve">state.  In the case of an ordinary fishing-fleet in European</w:t></w:r>
</w:p>
<w:p>
<w:pPr><w:pStyle w:val="Normal"/></w:pPr>
<w:r><w:t xml:space="preserve">waters, it is of private origin, and is of merely customary use.</w:t></w:r>
</w:p>
<w:p>
<w:pPr><w:pStyle w:val="Normal"/></w:pPr>
<w:r><w:t xml:space="preserve">AUTHORITIES.--Sir N. Harris Nicolas, History of the Royal</w:t></w:r>
</w:p>
<w:p>
<w:pPr><w:pStyle w:val="Normal"/></w:pPr>
<w:r><w:t xml:space="preserve">Navy; La Ronciere, Histoire de la marine francarse;</w:t></w:r>
</w:p>
<w:p>
<w:pPr><w:pStyle w:val="Normal"/></w:pPr>
<w:r><w:t xml:space="preserve">Youge, Geschiedenis van het Nederlandsche Zeewezen; C.</w:t></w:r>
</w:p>
<w:p>
<w:pPr><w:pStyle w:val="Normal"/></w:pPr>
<w:r><w:t xml:space="preserve">Fernandez Duro, Historia de la Armada de Castilea. (D. H.)</w:t></w:r>
</w:p>
<w:p>
<w:pPr><w:pStyle w:val="Normal"/></w:pPr>
<w:r><w:t xml:space="preserve">ADMIRALTY ADMINISTRATION. 1. The Administrative System.--</w:t></w:r>
</w:p>
<w:p>
<w:pPr><w:pStyle w:val="Normal"/></w:pPr>
<w:r><w:t xml:space="preserve">British Empire.</w:t></w:r>
</w:p>
<w:p>
<w:pPr><w:pStyle w:val="Normal"/></w:pPr>
<w:r><w:t xml:space="preserve">That the navy (q.v.) is the only real defence of the</w:t></w:r>
</w:p>
<w:p>
<w:pPr><w:pStyle w:val="Normal"/></w:pPr>
<w:r><w:t xml:space="preserve">British islands has been recognized by English people ever</w:t></w:r>
</w:p>
<w:p>
<w:pPr><w:pStyle w:val="Normal"/></w:pPr>
<w:r><w:t xml:space="preserve">since the days of King Offa, who died in 796, leaving to his</w:t></w:r>
</w:p>
<w:p>
<w:pPr><w:pStyle w:val="Normal"/></w:pPr>
<w:r><w:t xml:space="preserve">successors the admirable lesson that ``he who would be secure</w:t></w:r>
</w:p>
<w:p>
<w:pPr><w:pStyle w:val="Normal"/></w:pPr>
<w:r><w:t xml:space="preserve">on land must be supreme at sea.&apos;&apos; The truth of the lesson</w:t></w:r>
</w:p>
<w:p>
<w:pPr><w:pStyle w:val="Normal"/></w:pPr>
<w:r><w:t xml:space="preserve">thus learnt is sanctioned by all the experience of English</w:t></w:r>
</w:p>
<w:p>
<w:pPr><w:pStyle w:val="Normal"/></w:pPr>
<w:r><w:t xml:space="preserve">history, and parliament has repeatedly enforced the fact.  The</w:t></w:r>
</w:p>
<w:p>
<w:pPr><w:pStyle w:val="Normal"/></w:pPr>
<w:r><w:t xml:space="preserve">navy is the only force that can safeguard the British islands</w:t></w:r>
</w:p>
<w:p>
<w:pPr><w:pStyle w:val="Normal"/></w:pPr>
<w:r><w:t xml:space="preserve">from hostile descents; it is the only force that can protect</w:t></w:r>
</w:p>
<w:p>
<w:pPr><w:pStyle w:val="Normal"/></w:pPr>
<w:r><w:t xml:space="preserve">their vast sea-borne commerce and food supplies; by giving</w:t></w:r>
</w:p>
<w:p>
<w:pPr><w:pStyle w:val="Normal"/></w:pPr>
<w:r><w:t xml:space="preserve">safety to the home country it sets British troops free for</w:t></w:r>
</w:p>
<w:p>
<w:pPr><w:pStyle w:val="Normal"/></w:pPr>
<w:r><w:t xml:space="preserve">operations abroad, and makes their passage secure; and thus,</w:t></w:r>
</w:p>
<w:p>
<w:pPr><w:pStyle w:val="Normal"/></w:pPr>
<w:r><w:t xml:space="preserve">as also by giving command of the sea, the fleet is the means</w:t></w:r>
</w:p>
<w:p>
<w:pPr><w:pStyle w:val="Normal"/></w:pPr>
<w:r><w:t xml:space="preserve">by which the empire is guarded and has become a true imperial</w:t></w:r>
</w:p>
<w:p>
<w:pPr><w:pStyle w:val="Normal"/></w:pPr>
<w:r><w:t xml:space="preserve">bond.  It is natural for British admiralty administration</w:t></w:r>
</w:p>
<w:p>
<w:pPr><w:pStyle w:val="Normal"/></w:pPr>
<w:r><w:t xml:space="preserve">to be taken here as the type of an efficient system.</w:t></w:r>
</w:p>
<w:p>
<w:pPr><w:pStyle w:val="Normal"/></w:pPr>
<w:r><w:t xml:space="preserve">The Board of Admiralty.</w:t></w:r>
</w:p>
<w:p>
<w:pPr><w:pStyle w:val="Normal"/></w:pPr>
<w:r><w:t xml:space="preserve">British naval administration is conducted by the Board of</w:t></w:r>
</w:p>
<w:p>
<w:pPr><w:pStyle w:val="Normal"/></w:pPr>
<w:r><w:t xml:space="preserve">Admiralty, and the function of that board is the maintenance</w:t></w:r>
</w:p>
<w:p>
<w:pPr><w:pStyle w:val="Normal"/></w:pPr>
<w:r><w:t xml:space="preserve">and expansion of the fleet in accordance with the policy of</w:t></w:r>
</w:p>
<w:p>
<w:pPr><w:pStyle w:val="Normal"/></w:pPr>
<w:r><w:t xml:space="preserve">the government, and the supplying of it with trained officers</w:t></w:r>
</w:p>
<w:p>
<w:pPr><w:pStyle w:val="Normal"/></w:pPr>
<w:r><w:t xml:space="preserve">and men; its distribution throughout the world; and its</w:t></w:r>
</w:p>
<w:p>
<w:pPr><w:pStyle w:val="Normal"/></w:pPr>
<w:r><w:t xml:space="preserve">preservation in readiness and efficiency in all material and</w:t></w:r>
</w:p>
<w:p>
<w:pPr><w:pStyle w:val="Normal"/></w:pPr>
<w:r><w:t xml:space="preserve">personal respects.  The character of the Admiralty Board is</w:t></w:r>
</w:p>
<w:p>
<w:pPr><w:pStyle w:val="Normal"/></w:pPr>
<w:r><w:t xml:space="preserve">peculiar to the British constitution, and it possesses certain</w:t></w:r>
</w:p>
<w:p>
<w:pPr><w:pStyle w:val="Normal"/></w:pPr>
<w:r><w:t xml:space="preserve">features which distinguish it from other departments of the</w:t></w:r>
</w:p>
<w:p>
<w:pPr><w:pStyle w:val="Normal"/></w:pPr>
<w:r><w:t xml:space="preserve">state.  The business it conducts is very great and complex,</w:t></w:r>
</w:p>
<w:p>
<w:pPr><w:pStyle w:val="Normal"/></w:pPr>
<w:r><w:t xml:space="preserve">and the machinery by which its work is done has grown with</w:t></w:r>
</w:p>
<w:p>
<w:pPr><w:pStyle w:val="Normal"/></w:pPr>
<w:r><w:t xml:space="preserve">the expansion of that business.  The whole system of naval</w:t></w:r>
</w:p>
<w:p>
<w:pPr><w:pStyle w:val="Normal"/></w:pPr>
<w:r><w:t xml:space="preserve">administration has been developed historically, and is</w:t></w:r>
</w:p>
<w:p>
<w:pPr><w:pStyle w:val="Normal"/></w:pPr>
<w:r><w:t xml:space="preserve">not the product of the organizing skill of one or a few</w:t></w:r>
</w:p>
<w:p>
<w:pPr><w:pStyle w:val="Normal"/></w:pPr>
<w:r><w:t xml:space="preserve">individuals, but an organic growth possessing marked and special</w:t></w:r>
</w:p>
<w:p>
<w:pPr><w:pStyle w:val="Normal"/></w:pPr>
<w:r><w:t xml:space="preserve">characteristics.  The Admiralty Board derives its character</w:t></w:r>
</w:p>
<w:p>
<w:pPr><w:pStyle w:val="Normal"/></w:pPr>
<w:r><w:t xml:space="preserve">from the fact that it represents the lord high admiral, and</w:t></w:r>
</w:p>
<w:p>
<w:pPr><w:pStyle w:val="Normal"/></w:pPr>
<w:r><w:t xml:space="preserve">that its powers and operation depend much more upon usage</w:t></w:r>
</w:p>
<w:p>
<w:pPr><w:pStyle w:val="Normal"/></w:pPr>
<w:r><w:t xml:space="preserve">than upon those instruments which actually give it authority,</w:t></w:r>
</w:p>
<w:p>
<w:pPr><w:pStyle w:val="Normal"/></w:pPr>
<w:r><w:t xml:space="preserve">and which, it may be remarked, are not in harmony among</w:t></w:r>
</w:p>
<w:p>
<w:pPr><w:pStyle w:val="Normal"/></w:pPr>
<w:r><w:t xml:space="preserve">themselves.  The executive operations are conducted by a</w:t></w:r>
</w:p>
<w:p>
<w:pPr><w:pStyle w:val="Normal"/></w:pPr>
<w:r><w:t xml:space="preserve">series of civil departments which have undergone many changes</w:t></w:r>
</w:p>
<w:p>
<w:pPr><w:pStyle w:val="Normal"/></w:pPr>
<w:r><w:t xml:space="preserve">before reaching their present constitution and relation</w:t></w:r>
</w:p>
<w:p>
<w:pPr><w:pStyle w:val="Normal"/></w:pPr>
<w:r><w:t xml:space="preserve">to the Board.  The salient characteristic of the admiralty</w:t></w:r>
</w:p>
<w:p>
<w:pPr><w:pStyle w:val="Normal"/></w:pPr>
<w:r><w:t xml:space="preserve">is a certain flexibility and elasticity with which it</w:t></w:r>
</w:p>
<w:p>
<w:pPr><w:pStyle w:val="Normal"/></w:pPr>
<w:r><w:t xml:space="preserve">works.  Its members are not, in a rigid sense, heads of</w:t></w:r>
</w:p>
<w:p>
<w:pPr><w:pStyle w:val="Normal"/></w:pPr>
<w:r><w:t xml:space="preserve">departments.  Subject to the necessary and constitutional</w:t></w:r>
</w:p>
<w:p>
<w:pPr><w:pStyle w:val="Normal"/></w:pPr>
<w:r><w:t xml:space="preserve">supremacy of tho cabinet minister at their head, they are</w:t></w:r>
</w:p>
<w:p>
<w:pPr><w:pStyle w:val="Normal"/></w:pPr>
<w:r><w:t xml:space="preserve">jointly and co-equally ``commissioners for executing the</w:t></w:r>
</w:p>
<w:p>
<w:pPr><w:pStyle w:val="Normal"/></w:pPr>
<w:r><w:t xml:space="preserve">office of high admiral of the United Kingdom, and of the</w:t></w:r>
</w:p>
<w:p>
<w:pPr><w:pStyle w:val="Normal"/></w:pPr>
<w:r><w:t xml:space="preserve">territories thereunto belonging, and of high admiral of the</w:t></w:r>
</w:p>
<w:p>
<w:pPr><w:pStyle w:val="Normal"/></w:pPr>
<w:r><w:t xml:space="preserve">colonies and other dominions.&apos;&apos; The members of the Board are</w:t></w:r>
</w:p>
<w:p>
<w:pPr><w:pStyle w:val="Normal"/></w:pPr>
<w:r><w:t xml:space="preserve">in direct and constant communication with the first lord and</w:t></w:r>
</w:p>
<w:p>
<w:pPr><w:pStyle w:val="Normal"/></w:pPr>
<w:r><w:t xml:space="preserve">with one another, as also with the civil departments which</w:t></w:r>
</w:p>
<w:p>
<w:pPr><w:pStyle w:val="Normal"/></w:pPr>
<w:r><w:t xml:space="preserve">work under their control.  It was enjoined by James I. that</w:t></w:r>
</w:p>
<w:p>
<w:pPr><w:pStyle w:val="Normal"/></w:pPr>
<w:r><w:t xml:space="preserve">the principal officers and commissioners of the navy should</w:t></w:r>
</w:p>
<w:p>
<w:pPr><w:pStyle w:val="Normal"/></w:pPr>
<w:r><w:t xml:space="preserve">be in constant communication among themselves, consulting and</w:t></w:r>
</w:p>
<w:p>
<w:pPr><w:pStyle w:val="Normal"/></w:pPr>
<w:r><w:t xml:space="preserve">advising ``by common council and argument of most voices,&apos;&apos;</w:t></w:r>
</w:p>
<w:p>
<w:pPr><w:pStyle w:val="Normal"/></w:pPr>
<w:r><w:t xml:space="preserve">and should live as near together as could conveniently</w:t></w:r>
</w:p>
<w:p>
<w:pPr><w:pStyle w:val="Normal"/></w:pPr>
<w:r><w:t xml:space="preserve">be, and should meet at the navy office at least twice a</w:t></w:r>
</w:p>
<w:p>
<w:pPr><w:pStyle w:val="Normal"/></w:pPr>
<w:r><w:t xml:space="preserve">week.  This system of intercommunication still exists in a</w:t></w:r>
</w:p>
<w:p>
<w:pPr><w:pStyle w:val="Normal"/></w:pPr>
<w:r><w:t xml:space="preserve">manner which no system of minutes could give; and it may be</w:t></w:r>
</w:p>
<w:p>
<w:pPr><w:pStyle w:val="Normal"/></w:pPr>
<w:r><w:t xml:space="preserve">remarked, as illustrative of the flexibility of the system,</w:t></w:r>
</w:p>
<w:p>
<w:pPr><w:pStyle w:val="Normal"/></w:pPr>
<w:r><w:t xml:space="preserve">that a Board may be formed on any emergency by two lords and a</w:t></w:r>
</w:p>
<w:p>
<w:pPr><w:pStyle w:val="Normal"/></w:pPr>
<w:r><w:t xml:space="preserve">secretary, and a decision arrived at then and there.  Such</w:t></w:r>
</w:p>
<w:p>
<w:pPr><w:pStyle w:val="Normal"/></w:pPr>
<w:r><w:t xml:space="preserve">an emergency board was actually constituted some years ago</w:t></w:r>
</w:p>
<w:p>
<w:pPr><w:pStyle w:val="Normal"/></w:pPr>
<w:r><w:t xml:space="preserve">on board the admiralty yacht in order to deal on the instant</w:t></w:r>
</w:p>
<w:p>
<w:pPr><w:pStyle w:val="Normal"/></w:pPr>
<w:r><w:t xml:space="preserve">with an event which had just occurred in the fleet.  At the</w:t></w:r>
</w:p>
<w:p>
<w:pPr><w:pStyle w:val="Normal"/></w:pPr>
<w:r><w:t xml:space="preserve">same time it must be remarked that, in practice, the first</w:t></w:r>
</w:p>
<w:p>
<w:pPr><w:pStyle w:val="Normal"/></w:pPr>
<w:r><w:t xml:space="preserve">lord being personally responsible under the orders in council,</w:t></w:r>
</w:p>
<w:p>
<w:pPr><w:pStyle w:val="Normal"/></w:pPr>
<w:r><w:t xml:space="preserve">the operations of the Board are dependent upon his direction.</w:t></w:r>
</w:p>
<w:p>
<w:pPr><w:pStyle w:val="Normal"/></w:pPr>
<w:r><w:t xml:space="preserve">History.</w:t></w:r>
</w:p>
<w:p>
<w:pPr><w:pStyle w:val="Normal"/></w:pPr>
<w:r><w:t xml:space="preserve">The present system of administering the navy dates from the</w:t></w:r>
</w:p>
<w:p>
<w:pPr><w:pStyle w:val="Normal"/></w:pPr>
<w:r><w:t xml:space="preserve">time of Henry VIII.  The naval business of the country had</w:t></w:r>
</w:p>
<w:p>
<w:pPr><w:pStyle w:val="Normal"/></w:pPr>
<w:r><w:t xml:space="preserve">so greatly expanded in his reign that we find the Admiralty</w:t></w:r>
</w:p>
<w:p>
<w:pPr><w:pStyle w:val="Normal"/></w:pPr>
<w:r><w:t xml:space="preserve">and Navy Board reorganized or established; and it is worthy</w:t></w:r>
</w:p>
<w:p>
<w:pPr><w:pStyle w:val="Normal"/></w:pPr>
<w:r><w:t xml:space="preserve">of remark that there existed at the time an ordnance branch,</w:t></w:r>
</w:p>
<w:p>
<w:pPr><w:pStyle w:val="Normal"/></w:pPr>
<w:r><w:t xml:space="preserve">the navy not yet being dependent in that matter upon the</w:t></w:r>
</w:p>
<w:p>
<w:pPr><w:pStyle w:val="Normal"/></w:pPr>
<w:r><w:t xml:space="preserve">War Department.1 The Navy Board administered the civil</w:t></w:r>
</w:p>
<w:p>
<w:pPr><w:pStyle w:val="Normal"/></w:pPr>
<w:r><w:t xml:space="preserve">departments under the admiralty, the directive and executive</w:t></w:r>
</w:p>
<w:p>
<w:pPr><w:pStyle w:val="Normal"/></w:pPr>
<w:r><w:t xml:space="preserve">duties of the lord high admiral remaining with the admiralty</w:t></w:r>
</w:p>
<w:p>
<w:pPr><w:pStyle w:val="Normal"/></w:pPr>
<w:r><w:t xml:space="preserve">office.  A little later the civil administration was vested</w:t></w:r>
</w:p>
<w:p>
<w:pPr><w:pStyle w:val="Normal"/></w:pPr>
<w:r><w:t xml:space="preserve">in a board of principal officers subordinate to the lord</w:t></w:r>
</w:p>
<w:p>
<w:pPr><w:pStyle w:val="Normal"/></w:pPr>
<w:r><w:t xml:space="preserve">high admiral, and we can henceforth trace the work of civil</w:t></w:r>
</w:p>
<w:p>
<w:pPr><w:pStyle w:val="Normal"/></w:pPr>
<w:r><w:t xml:space="preserve">administration being conducted under the navy and victualling</w:t></w:r>
</w:p>
<w:p>
<w:pPr><w:pStyle w:val="Normal"/></w:pPr>
<w:r><w:t xml:space="preserve">boards apart from, but yet subject to, the admiralty itself.</w:t></w:r>
</w:p>
<w:p>
<w:pPr><w:pStyle w:val="Normal"/></w:pPr>
<w:r><w:t xml:space="preserve">This was a system which continued during the time of all the</w:t></w:r>
</w:p>
<w:p>
<w:pPr><w:pStyle w:val="Normal"/></w:pPr>
<w:r><w:t xml:space="preserve">great wars, and was not abolished until 1832, when Sir James</w:t></w:r>
</w:p>
<w:p>
<w:pPr><w:pStyle w:val="Normal"/></w:pPr>
<w:r><w:t xml:space="preserve">Graham, by his reforms, put an end to what appeared a divided</w:t></w:r>
</w:p>
<w:p>
<w:pPr><w:pStyle w:val="Normal"/></w:pPr>
<w:r><w:t xml:space="preserve">control.  Whatever may have been the demerits of that system,</w:t></w:r>
</w:p>
<w:p>
<w:pPr><w:pStyle w:val="Normal"/></w:pPr>
<w:r><w:t xml:space="preserve">it sufficed to maintain the navy in the time of its greatest</w:t></w:r>
</w:p>
<w:p>
<w:pPr><w:pStyle w:val="Normal"/></w:pPr>
<w:r><w:t xml:space="preserve">achievements, and through all the wars which were waged with the</w:t></w:r>
</w:p>
<w:p>
<w:pPr><w:pStyle w:val="Normal"/></w:pPr>
<w:r><w:t xml:space="preserve">Spaniards, the Dutch and the French.  The original authority</w:t></w:r>
</w:p>
<w:p>
<w:pPr><w:pStyle w:val="Normal"/></w:pPr>
<w:r><w:t xml:space="preserve">for the present constitution of the Admiralty Board is found</w:t></w:r>
</w:p>
<w:p>
<w:pPr><w:pStyle w:val="Normal"/></w:pPr>
<w:r><w:t xml:space="preserve">in a declaratory act (Admiralty Act 1690), in which it is</w:t></w:r>
</w:p>
<w:p>
<w:pPr><w:pStyle w:val="Normal"/></w:pPr>
<w:r><w:t xml:space="preserve">enacted that ``all and singular authorities, jurisdictions</w:t></w:r>
</w:p>
<w:p>
<w:pPr><w:pStyle w:val="Normal"/></w:pPr>
<w:r><w:t xml:space="preserve">and powers which, by act of parliament or otherwise, had been</w:t></w:r>
</w:p>
<w:p>
<w:pPr><w:pStyle w:val="Normal"/></w:pPr>
<w:r><w:t xml:space="preserve">lawfully vested&apos;&apos; in the lord high admiral of England had always</w:t></w:r>
</w:p>
<w:p>
<w:pPr><w:pStyle w:val="Normal"/></w:pPr>
<w:r><w:t xml:space="preserve">appertained, and did and should appertain, to the commissioners</w:t></w:r>
</w:p>
<w:p>
<w:pPr><w:pStyle w:val="Normal"/></w:pPr>
<w:r><w:t xml:space="preserve">for executing the office for the time being ``to all intents</w:t></w:r>
</w:p>
<w:p>
<w:pPr><w:pStyle w:val="Normal"/></w:pPr>
<w:r><w:t xml:space="preserve">and purposes as if the said commissioners were lord high</w:t></w:r>
</w:p>
<w:p>
<w:pPr><w:pStyle w:val="Normal"/></w:pPr>
<w:r><w:t xml:space="preserve">admiral of England.&apos;&apos; The admiralty commission was dissolved</w:t></w:r>
</w:p>
<w:p>
<w:pPr><w:pStyle w:val="Normal"/></w:pPr>
<w:r><w:t xml:space="preserve">in 1701, and reconstituted on the death of Prince George of</w:t></w:r>
</w:p>
<w:p>
<w:pPr><w:pStyle w:val="Normal"/></w:pPr>
<w:r><w:t xml:space="preserve">Denmark, lord high admiral in 1709.  From that time forward,</w:t></w:r>
</w:p>
<w:p>
<w:pPr><w:pStyle w:val="Normal"/></w:pPr>
<w:r><w:t xml:space="preserve">save for a short period in 1827-1828, when the duke of Clarence</w:t></w:r>
</w:p>
<w:p>
<w:pPr><w:pStyle w:val="Normal"/></w:pPr>
<w:r><w:t xml:space="preserve">was lord high admiral, the office has remained in commission.</w:t></w:r>
</w:p>
<w:p>
<w:pPr><w:pStyle w:val="Normal"/></w:pPr>
<w:r><w:t xml:space="preserve">A number of changes have been made since the amalgamation of</w:t></w:r>
</w:p>
<w:p>
<w:pPr><w:pStyle w:val="Normal"/></w:pPr>
<w:r><w:t xml:space="preserve">the admiralty and the Navy Board by Sir James Graham in 1832</w:t></w:r>
</w:p>
<w:p>
<w:pPr><w:pStyle w:val="Normal"/></w:pPr>
<w:r><w:t xml:space="preserve">(see NAVY, History), but the general principle remains the</w:t></w:r>
</w:p>
<w:p>
<w:pPr><w:pStyle w:val="Normal"/></w:pPr>
<w:r><w:t xml:space="preserve">same, and the constitution of the Admiralty Board and civil</w:t></w:r>
</w:p>
<w:p>
<w:pPr><w:pStyle w:val="Normal"/></w:pPr>
<w:r><w:t xml:space="preserve">departments is described below.  The Board consists of the</w:t></w:r>
</w:p>
<w:p>
<w:pPr><w:pStyle w:val="Normal"/></w:pPr>
<w:r><w:t xml:space="preserve">first lord and four naval lords with a civil lord, who in</w:t></w:r>
</w:p>
<w:p>
<w:pPr><w:pStyle w:val="Normal"/></w:pPr>
<w:r><w:t xml:space="preserve">theory are jointly responsible, and are accustomed to meet</w:t></w:r>
</w:p>
<w:p>
<w:pPr><w:pStyle w:val="Normal"/></w:pPr>
<w:r><w:t xml:space="preserve">sometimes daily, but at all times frequently; and the system</w:t></w:r>
</w:p>
<w:p>
<w:pPr><w:pStyle w:val="Normal"/></w:pPr>
<w:r><w:t xml:space="preserve">developed provides for the subdivision of labour, and yet for</w:t></w:r>
</w:p>
<w:p>
<w:pPr><w:pStyle w:val="Normal"/></w:pPr>
<w:r><w:t xml:space="preserve">the co-ordinated exertion of effort.  The system has worked</w:t></w:r>
</w:p>
<w:p>
<w:pPr><w:pStyle w:val="Normal"/></w:pPr>
<w:r><w:t xml:space="preserve">well in practice, and has certainly won the approval and the</w:t></w:r>
</w:p>
<w:p>
<w:pPr><w:pStyle w:val="Normal"/></w:pPr>
<w:r><w:t xml:space="preserve">admiration of many statesmen.  Lord George Hamilton said,</w:t></w:r>
</w:p>
<w:p>
<w:pPr><w:pStyle w:val="Normal"/></w:pPr>
<w:r><w:t xml:space="preserve">before the Royal Commission on Civil Establishments, 1887,</w:t></w:r>
</w:p>
<w:p>
<w:pPr><w:pStyle w:val="Normal"/></w:pPr>
<w:r><w:t xml:space="preserve">that ``It has this advantage, that you have all departments</w:t></w:r>
</w:p>
<w:p>
<w:pPr><w:pStyle w:val="Normal"/></w:pPr>
<w:r><w:t xml:space="preserve">represented round a table, and that if it is necessary to take</w:t></w:r>
</w:p>
<w:p>
<w:pPr><w:pStyle w:val="Normal"/></w:pPr>
<w:r><w:t xml:space="preserve">quick action, you can do in a few minutes that which it would</w:t></w:r>
</w:p>
<w:p>
<w:pPr><w:pStyle w:val="Normal"/></w:pPr>
<w:r><w:t xml:space="preserve">take hours under another system to do&apos;&apos;; and the report of the</w:t></w:r>
</w:p>
<w:p>
<w:pPr><w:pStyle w:val="Normal"/></w:pPr>
<w:r><w:t xml:space="preserve">Royal Commission of 1889 remarked that ``The constitution of</w:t></w:r>
</w:p>
<w:p>
<w:pPr><w:pStyle w:val="Normal"/></w:pPr>
<w:r><w:t xml:space="preserve">the Board of Admiralty appears to us well designed, and to be</w:t></w:r>
</w:p>
<w:p>
<w:pPr><w:pStyle w:val="Normal"/></w:pPr>
<w:r><w:t xml:space="preserve">placed under present regulations on a satisfactory footing.&apos;&apos;</w:t></w:r>
</w:p>
<w:p>
<w:pPr><w:pStyle w:val="Normal"/></w:pPr>
<w:r><w:t xml:space="preserve">Powers.</w:t></w:r>
</w:p>
<w:p>
<w:pPr><w:pStyle w:val="Normal"/></w:pPr>
<w:r><w:t xml:space="preserve">The special characteristics of the Admiralty Board which have</w:t></w:r>
</w:p>
<w:p>
<w:pPr><w:pStyle w:val="Normal"/></w:pPr>
<w:r><w:t xml:space="preserve">been described are accompanied by a very peculiar and noteworthy</w:t></w:r>
</w:p>
<w:p>
<w:pPr><w:pStyle w:val="Normal"/></w:pPr>
<w:r><w:t xml:space="preserve">feature, which is not without relation to the untrammelled and</w:t></w:r>
</w:p>
<w:p>
<w:pPr><w:pStyle w:val="Normal"/></w:pPr>
<w:r><w:t xml:space="preserve">undefined operations of the admiralty.  This feature arises from</w:t></w:r>
</w:p>
<w:p>
<w:pPr><w:pStyle w:val="Normal"/></w:pPr>
<w:r><w:t xml:space="preserve">the discrepancy between the admiralty patent and the orders in</w:t></w:r>
</w:p>
<w:p>
<w:pPr><w:pStyle w:val="Normal"/></w:pPr>
<w:r><w:t xml:space="preserve">council, for the admiralty is not administered according to</w:t></w:r>
</w:p>
<w:p>
<w:pPr><w:pStyle w:val="Normal"/></w:pPr>
<w:r><w:t xml:space="preserve">the terms of the patent which invests it with authority, and</w:t></w:r>
</w:p>
<w:p>
<w:pPr><w:pStyle w:val="Normal"/></w:pPr>
<w:r><w:t xml:space="preserve">its operations raise a singular point in constitutional law.</w:t></w:r>
</w:p>
<w:p>
<w:pPr><w:pStyle w:val="Normal"/></w:pPr>
<w:r><w:t xml:space="preserve">The legal origin of the powers exercised by the first lord</w:t></w:r>
</w:p>
<w:p>
<w:pPr><w:pStyle w:val="Normal"/></w:pPr>
<w:r><w:t xml:space="preserve">and the Board itself is indeed curiously obscure.  Under</w:t></w:r>
</w:p>
<w:p>
<w:pPr><w:pStyle w:val="Normal"/></w:pPr>
<w:r><w:t xml:space="preserve">the patent the full power and authority are conferred upon</w:t></w:r>
</w:p>
<w:p>
<w:pPr><w:pStyle w:val="Normal"/></w:pPr>
<w:r><w:t xml:space="preserve">``any two or more&apos;&apos; of the commissioners, though, in the</w:t></w:r>
</w:p>
<w:p>
<w:pPr><w:pStyle w:val="Normal"/></w:pPr>
<w:r><w:t xml:space="preserve">patent of Queen Anne, the grant was to ``any three or more</w:t></w:r>
</w:p>
<w:p>
<w:pPr><w:pStyle w:val="Normal"/></w:pPr>
<w:r><w:t xml:space="preserve">of you.&apos;&apos; It was under the Admiralty Act 1832 that two lords</w:t></w:r>
</w:p>
<w:p>
<w:pPr><w:pStyle w:val="Normal"/></w:pPr>
<w:r><w:t xml:space="preserve">received the necessary authority to legalize any action of</w:t></w:r>
</w:p>
<w:p>
<w:pPr><w:pStyle w:val="Normal"/></w:pPr>
<w:r><w:t xml:space="preserve">the Board; but already, under an act of 1822, two lords had</w:t></w:r>
</w:p>
<w:p>
<w:pPr><w:pStyle w:val="Normal"/></w:pPr>
<w:r><w:t xml:space="preserve">been empowered to sign so long as the Board consisted of six</w:t></w:r>
</w:p>
<w:p>
<w:pPr><w:pStyle w:val="Normal"/></w:pPr>
<w:r><w:t xml:space="preserve">members.  We therefore find that the legal authority of</w:t></w:r>
</w:p>
<w:p>
<w:pPr><w:pStyle w:val="Normal"/></w:pPr>
<w:r><w:t xml:space="preserve">the Board under the patent is vested in the Board; but in</w:t></w:r>
</w:p>
<w:p>
<w:pPr><w:pStyle w:val="Normal"/></w:pPr>
<w:r><w:t xml:space="preserve">the order in council of the 14th of January 1869 the sole</w:t></w:r>
</w:p>
<w:p>
<w:pPr><w:pStyle w:val="Normal"/></w:pPr>
<w:r><w:t xml:space="preserve">responsibility of the first lord was officially laid down, and</w:t></w:r>
</w:p>
<w:p>
<w:pPr><w:pStyle w:val="Normal"/></w:pPr>
<w:r><w:t xml:space="preserve">in the order in council of the 19th of March 1872 the first</w:t></w:r>
</w:p>
<w:p>
<w:pPr><w:pStyle w:val="Normal"/></w:pPr>
<w:r><w:t xml:space="preserve">lord was made ``responsible to your Majesty and to parliament</w:t></w:r>
</w:p>
<w:p>
<w:pPr><w:pStyle w:val="Normal"/></w:pPr>
<w:r><w:t xml:space="preserve">for all the business of the admiralty.&apos;&apos; As a matter of</w:t></w:r>
</w:p>
<w:p>
<w:pPr><w:pStyle w:val="Normal"/></w:pPr>
<w:r><w:t xml:space="preserve">fact, the authority of the first lord, independent of his</w:t></w:r>
</w:p>
<w:p>
<w:pPr><w:pStyle w:val="Normal"/></w:pPr>
<w:r><w:t xml:space="preserve">colleagues, had existed in an undefined manner from ancient</w:t></w:r>
</w:p>
<w:p>
<w:pPr><w:pStyle w:val="Normal"/></w:pPr>
<w:r><w:t xml:space="preserve">times.  Before a select committee of the House of Commons</w:t></w:r>
</w:p>
<w:p>
<w:pPr><w:pStyle w:val="Normal"/></w:pPr>
<w:r><w:t xml:space="preserve">in 1861 the duke of Somerset stated that he considered the</w:t></w:r>
</w:p>
<w:p>
<w:pPr><w:pStyle w:val="Normal"/></w:pPr>
<w:r><w:t xml:space="preserve">first lord responsible, that he had always ``acted under that</w:t></w:r>
</w:p>
<w:p>
<w:pPr><w:pStyle w:val="Normal"/></w:pPr>
<w:r><w:t xml:space="preserve">impression,&apos;&apos; and that he believed ``all former first lords</w:t></w:r>
</w:p>
<w:p>
<w:pPr><w:pStyle w:val="Normal"/></w:pPr>
<w:r><w:t xml:space="preserve">were of this opinion&apos;&apos;; while Sir James Graham said that ``the</w:t></w:r>
</w:p>
<w:p>
<w:pPr><w:pStyle w:val="Normal"/></w:pPr>
<w:r><w:t xml:space="preserve">Board of Admiralty could never work, whatever the patent might</w:t></w:r>
</w:p>
<w:p>
<w:pPr><w:pStyle w:val="Normal"/></w:pPr>
<w:r><w:t xml:space="preserve">be, unless the first lord were supreme, and did exercise</w:t></w:r>
</w:p>
<w:p>
<w:pPr><w:pStyle w:val="Normal"/></w:pPr>
<w:r><w:t xml:space="preserve">constantly supreme and controlling authority.&apos;&apos; It is not,</w:t></w:r>
</w:p>
<w:p>
<w:pPr><w:pStyle w:val="Normal"/></w:pPr>
<w:r><w:t xml:space="preserve">therefore, surprising to find that there has been undoubtedly</w:t></w:r>
</w:p>
<w:p>
<w:pPr><w:pStyle w:val="Normal"/></w:pPr>
<w:r><w:t xml:space="preserve">direct government without a Board.  Thus, in the operations</w:t></w:r>
</w:p>
<w:p>
<w:pPr><w:pStyle w:val="Normal"/></w:pPr>
<w:r><w:t xml:space="preserve">conducted against the French channel ports in 1803-1804, Lord</w:t></w:r>
</w:p>
<w:p>
<w:pPr><w:pStyle w:val="Normal"/></w:pPr>
<w:r><w:t xml:space="preserve">Melville, then first lord, took steps of great importance</w:t></w:r>
</w:p>
<w:p>
<w:pPr><w:pStyle w:val="Normal"/></w:pPr>
<w:r><w:t xml:space="preserve">without the knowledge of his colleagues, though he afterwards</w:t></w:r>
</w:p>
<w:p>
<w:pPr><w:pStyle w:val="Normal"/></w:pPr>
<w:r><w:t xml:space="preserve">bowed to their views, which did not coincide with his own.</w:t></w:r>
</w:p>
<w:p>
<w:pPr><w:pStyle w:val="Normal"/></w:pPr>
<w:r><w:t xml:space="preserve">Again, when Lord Gambier was sent to Copenhagen in 1807, he</w:t></w:r>
</w:p>
<w:p>
<w:pPr><w:pStyle w:val="Normal"/></w:pPr>
<w:r><w:t xml:space="preserve">was instructed to obey all orders from the king, through the</w:t></w:r>
</w:p>
<w:p>
<w:pPr><w:pStyle w:val="Normal"/></w:pPr>
<w:r><w:t xml:space="preserve">principal secretary of state for war, and in this way received</w:t></w:r>
</w:p>
<w:p>
<w:pPr><w:pStyle w:val="Normal"/></w:pPr>
<w:r><w:t xml:space="preserve">orders to attack Copenhagen, which were unknown to all but the</w:t></w:r>
</w:p>
<w:p>
<w:pPr><w:pStyle w:val="Normal"/></w:pPr>
<w:r><w:t xml:space="preserve">first lord.  In a similar way the secretary of the admiralty</w:t></w:r>
</w:p>
<w:p>
<w:pPr><w:pStyle w:val="Normal"/></w:pPr>
<w:r><w:t xml:space="preserve">was despatched to Paris in 1815 with instructions to issue</w:t></w:r>
</w:p>
<w:p>
<w:pPr><w:pStyle w:val="Normal"/></w:pPr>
<w:r><w:t xml:space="preserve">orders as if from the Board of Admiralty when directed to do</w:t></w:r>
</w:p>
<w:p>
<w:pPr><w:pStyle w:val="Normal"/></w:pPr>
<w:r><w:t xml:space="preserve">so by the foreign secretary who accompanied him, and these</w:t></w:r>
</w:p>
<w:p>
<w:pPr><w:pStyle w:val="Normal"/></w:pPr>
<w:r><w:t xml:space="preserve">orders resulted in Napoleon&apos;s capture.  These instances were</w:t></w:r>
</w:p>
<w:p>
<w:pPr><w:pStyle w:val="Normal"/></w:pPr>
<w:r><w:t xml:space="preserve">cited, except the first of them, by Sir James Graham before</w:t></w:r>
</w:p>
<w:p>
<w:pPr><w:pStyle w:val="Normal"/></w:pPr>
<w:r><w:t xml:space="preserve">the select committee of the House of Commons in 1861, in</w:t></w:r>
</w:p>
<w:p>
<w:pPr><w:pStyle w:val="Normal"/></w:pPr>
<w:r><w:t xml:space="preserve">order to illustrate the elastic powers under the patent which</w:t></w:r>
</w:p>
<w:p>
<w:pPr><w:pStyle w:val="Normal"/></w:pPr>
<w:r><w:t xml:space="preserve">enabled the first lord to take immediate action in matters</w:t></w:r>
</w:p>
<w:p>
<w:pPr><w:pStyle w:val="Normal"/></w:pPr>
<w:r><w:t xml:space="preserve">that concerned the public safety.  It is not surprising that</w:t></w:r>
</w:p>
<w:p>
<w:pPr><w:pStyle w:val="Normal"/></w:pPr>
<w:r><w:t xml:space="preserve">this peculiar feature of admiralty administration should</w:t></w:r>
</w:p>
<w:p>
<w:pPr><w:pStyle w:val="Normal"/></w:pPr>
<w:r><w:t xml:space="preserve">have attracted adverse criticism, and have led some minds</w:t></w:r>
</w:p>
<w:p>
<w:pPr><w:pStyle w:val="Normal"/></w:pPr>
<w:r><w:t xml:space="preserve">to regard the Board as ``a fiction not worth keeping up.&apos;&apos;</w:t></w:r>
</w:p>
<w:p>
<w:pPr><w:pStyle w:val="Normal"/></w:pPr>
<w:r><w:t xml:space="preserve">Between 1860 and 1870 the sittings of the Board ceased</w:t></w:r>
</w:p>
<w:p>
<w:pPr><w:pStyle w:val="Normal"/></w:pPr>
<w:r><w:t xml:space="preserve">to have the effective character they had once possessed.</w:t></w:r>
</w:p>
<w:p>
<w:pPr><w:pStyle w:val="Normal"/></w:pPr>
<w:r><w:t xml:space="preserve">During the administration of Mr Childers,2 first lord</w:t></w:r>
</w:p>
<w:p>
<w:pPr><w:pStyle w:val="Normal"/></w:pPr>
<w:r><w:t xml:space="preserve">from 1868 to 1871 in Mr Gladstone&apos;s cabinet, a new system</w:t></w:r>
</w:p>
<w:p>
<w:pPr><w:pStyle w:val="Normal"/></w:pPr>
<w:r><w:t xml:space="preserve">was introduced by which the free intercommunication of the</w:t></w:r>
</w:p>
<w:p>
<w:pPr><w:pStyle w:val="Normal"/></w:pPr>
<w:r><w:t xml:space="preserve">members of the Board was hampered, and its sittings were quite</w:t></w:r>
</w:p>
<w:p>
<w:pPr><w:pStyle w:val="Normal"/></w:pPr>
<w:r><w:t xml:space="preserve">discontinued.  The case of the ``Captain&apos;&apos; led, however, to</w:t></w:r>
</w:p>
<w:p>
<w:pPr><w:pStyle w:val="Normal"/></w:pPr>
<w:r><w:t xml:space="preserve">a return to the older practice.  The ``Captain&apos;&apos; was a low</w:t></w:r>
</w:p>
<w:p>
<w:pPr><w:pStyle w:val="Normal"/></w:pPr>
<w:r><w:t xml:space="preserve">freeboard masted turret ship, designed by Captain Cowper Phipps</w:t></w:r>
</w:p>
<w:p>
<w:pPr><w:pStyle w:val="Normal"/></w:pPr>
<w:r><w:t xml:space="preserve">Coles, R.N. Competent critics believed that she would be</w:t></w:r>
</w:p>
<w:p>
<w:pPr><w:pStyle w:val="Normal"/></w:pPr>
<w:r><w:t xml:space="preserve">unsafe, and said so before she was built; but the admiralty</w:t></w:r>
</w:p>
<w:p>
<w:pPr><w:pStyle w:val="Normal"/></w:pPr>
<w:r><w:t xml:space="preserve">of Lord Derby&apos;s cabinet of 1866 gave their consent to her</w:t></w:r>
</w:p>
<w:p>
<w:pPr><w:pStyle w:val="Normal"/></w:pPr>
<w:r><w:t xml:space="preserve">construction.  She was commissioned early in 1870, and</w:t></w:r>
</w:p>
<w:p>
<w:pPr><w:pStyle w:val="Normal"/></w:pPr>
<w:r><w:t xml:space="preserve">capsized in the Bay of Biscay on the 7th of September of that</w:t></w:r>
</w:p>
<w:p>
<w:pPr><w:pStyle w:val="Normal"/></w:pPr>
<w:r><w:t xml:space="preserve">year.  Mr Childers, who was nominally responsible for</w:t></w:r>
</w:p>
<w:p>
<w:pPr><w:pStyle w:val="Normal"/></w:pPr>
<w:r><w:t xml:space="preserve">allowing her to be commissioned, distributed blame right and</w:t></w:r>
</w:p>
<w:p>
<w:pPr><w:pStyle w:val="Normal"/></w:pPr>
<w:r><w:t xml:space="preserve">left, largely upon men who had not approved of the ship at</w:t></w:r>
</w:p>
<w:p>
<w:pPr><w:pStyle w:val="Normal"/></w:pPr>
<w:r><w:t xml:space="preserve">all, and had been exonerated from all share of responsibility</w:t></w:r>
</w:p>
<w:p>
<w:pPr><w:pStyle w:val="Normal"/></w:pPr>
<w:r><w:t xml:space="preserve">for allowing her to be built.  The disaster was justly held</w:t></w:r>
</w:p>
<w:p>
<w:pPr><w:pStyle w:val="Normal"/></w:pPr>
<w:r><w:t xml:space="preserve">to show that a civilian first lord cannot dispense with the</w:t></w:r>
</w:p>
<w:p>
<w:pPr><w:pStyle w:val="Normal"/></w:pPr>
<w:r><w:t xml:space="preserve">advantage of constant communication with his professional</w:t></w:r>
</w:p>
<w:p>
<w:pPr><w:pStyle w:val="Normal"/></w:pPr>
<w:r><w:t xml:space="preserve">advisers.  When Mr Childers retired from the admiralty in</w:t></w:r>
</w:p>
<w:p>
<w:pPr><w:pStyle w:val="Normal"/></w:pPr>
<w:r><w:t xml:space="preserve">March 1871, his successor, Mr Goschen (Viscount Goschen),</w:t></w:r>
</w:p>
<w:p>
<w:pPr><w:pStyle w:val="Normal"/></w:pPr>
<w:r><w:t xml:space="preserve">reverted to the original system.  It cannot be said,</w:t></w:r>
</w:p>
<w:p>
<w:pPr><w:pStyle w:val="Normal"/></w:pPr>
<w:r><w:t xml:space="preserve">however, that the question of ultimate responsibility is well</w:t></w:r>
</w:p>
<w:p>
<w:pPr><w:pStyle w:val="Normal"/></w:pPr>
<w:r><w:t xml:space="preserve">defined.  The duke of Somerset, Sir James Graham and Sir</w:t></w:r>
</w:p>
<w:p>
<w:pPr><w:pStyle w:val="Normal"/></w:pPr>
<w:r><w:t xml:space="preserve">Charles Wood, afterwards Lord Halifax, held the view that</w:t></w:r>
</w:p>
<w:p>
<w:pPr><w:pStyle w:val="Normal"/></w:pPr>
<w:r><w:t xml:space="preserve">the first lord was singly and personally responsible for the</w:t></w:r>
</w:p>
<w:p>
<w:pPr><w:pStyle w:val="Normal"/></w:pPr>
<w:r><w:t xml:space="preserve">sufficiency of the fleet.  Sir Arthur Hood expressed before</w:t></w:r>
</w:p>
<w:p>
<w:pPr><w:pStyle w:val="Normal"/></w:pPr>
<w:r><w:t xml:space="preserve">the House of Commons committee in 1888 the view that the Board</w:t></w:r>
</w:p>
<w:p>
<w:pPr><w:pStyle w:val="Normal"/></w:pPr>
<w:r><w:t xml:space="preserve">collectively were responsible; whilst Sir Anthony Hoskins</w:t></w:r>
</w:p>
<w:p>
<w:pPr><w:pStyle w:val="Normal"/></w:pPr>
<w:r><w:t xml:space="preserve">assigned the responsibility to the first lord alone with</w:t></w:r>
</w:p>
<w:p>
<w:pPr><w:pStyle w:val="Normal"/></w:pPr>
<w:r><w:t xml:space="preserve">certain qualifications, which is a just and reasonable view.</w:t></w:r>
</w:p>
<w:p>
<w:pPr><w:pStyle w:val="Normal"/></w:pPr>
<w:r><w:t xml:space="preserve">2. Admiralty Organization.--Under the organization which now</w:t></w:r>
</w:p>
<w:p>
<w:pPr><w:pStyle w:val="Normal"/></w:pPr>
<w:r><w:t xml:space="preserve">exists, the Board of Admiralty consists of the first lord, the</w:t></w:r>
</w:p>
<w:p>
<w:pPr><w:pStyle w:val="Normal"/></w:pPr>
<w:r><w:t xml:space="preserve">first and second naval lords, the additional naval lord and</w:t></w:r>
</w:p>
<w:p>
<w:pPr><w:pStyle w:val="Normal"/></w:pPr>
<w:r><w:t xml:space="preserve">controller, the junior naval lord and the civil lord, who are</w:t></w:r>
</w:p>
<w:p>
<w:pPr><w:pStyle w:val="Normal"/></w:pPr>
<w:r><w:t xml:space="preserve">commissioners for executing the office of lord high admiral,</w:t></w:r>
</w:p>
<w:p>
<w:pPr><w:pStyle w:val="Normal"/></w:pPr>
<w:r><w:t xml:space="preserve">and with them are the parliamentary and financial secretary</w:t></w:r>
</w:p>
<w:p>
<w:pPr><w:pStyle w:val="Normal"/></w:pPr>
<w:r><w:t xml:space="preserve">and the permanent secretary.  As has been explained, the first</w:t></w:r>
</w:p>
<w:p>
<w:pPr><w:pStyle w:val="Normal"/></w:pPr>
<w:r><w:t xml:space="preserve">lord is responsible under the orders in council to the crown</w:t></w:r>
</w:p>
<w:p>
<w:pPr><w:pStyle w:val="Normal"/></w:pPr>
<w:r><w:t xml:space="preserve">and to parliament for all admiralty business.  In the hands</w:t></w:r>
</w:p>
<w:p>
<w:pPr><w:pStyle w:val="Normal"/></w:pPr>
<w:r><w:t xml:space="preserve">of the other lords and secretaries rest duties very carefully</w:t></w:r>
</w:p>
<w:p>
<w:pPr><w:pStyle w:val="Normal"/></w:pPr>
<w:r><w:t xml:space="preserve">defined, and they direct the civil departments which are the</w:t></w:r>
</w:p>
<w:p>
<w:pPr><w:pStyle w:val="Normal"/></w:pPr>
<w:r><w:t xml:space="preserve">machinery of naval administration.  The first naval lord, the</w:t></w:r>
</w:p>
<w:p>
<w:pPr><w:pStyle w:val="Normal"/></w:pPr>
<w:r><w:t xml:space="preserve">second naval lord and the junior naval lord are responsible</w:t></w:r>
</w:p>
<w:p>
<w:pPr><w:pStyle w:val="Normal"/></w:pPr>
<w:r><w:t xml:space="preserve">to the first lord in relation to so much of the business</w:t></w:r>
</w:p>
<w:p>
<w:pPr><w:pStyle w:val="Normal"/></w:pPr>
<w:r><w:t xml:space="preserve">concerning the personnel of the navy and the movements and</w:t></w:r>
</w:p>
<w:p>
<w:pPr><w:pStyle w:val="Normal"/></w:pPr>
<w:r><w:t xml:space="preserve">condition of the fleet as is confided to them, and the additional</w:t></w:r>
</w:p>
<w:p>
<w:pPr><w:pStyle w:val="Normal"/></w:pPr>
<w:r><w:t xml:space="preserve">naval lord or controller is responsible in the same way for</w:t></w:r>
</w:p>
<w:p>
<w:pPr><w:pStyle w:val="Normal"/></w:pPr>
<w:r><w:t xml:space="preserve">the material of the navy; while the parliamentary secretary</w:t></w:r>
</w:p>
<w:p>
<w:pPr><w:pStyle w:val="Normal"/></w:pPr>
<w:r><w:t xml:space="preserve">has charge of finance and some other business, and the civil</w:t></w:r>
</w:p>
<w:p>
<w:pPr><w:pStyle w:val="Normal"/></w:pPr>
<w:r><w:t xml:space="preserve">lord of all shore works--i.e. docks, buildings, &amp;c.--and</w:t></w:r>
</w:p>
<w:p>
<w:pPr><w:pStyle w:val="Normal"/></w:pPr>
<w:r><w:t xml:space="preserve">the permanent secretary of special duties.  The first lord of</w:t></w:r>
</w:p>
<w:p>
<w:pPr><w:pStyle w:val="Normal"/></w:pPr>
<w:r><w:t xml:space="preserve">the admiralty is the cabinet minister through whom the navy</w:t></w:r>
</w:p>
<w:p>
<w:pPr><w:pStyle w:val="Normal"/></w:pPr>
<w:r><w:t xml:space="preserve">receives its political direction in accordance with imperial</w:t></w:r>
</w:p>
<w:p>
<w:pPr><w:pStyle w:val="Normal"/></w:pPr>
<w:r><w:t xml:space="preserve">policy.  He is the representative of the navy in parliament,</w:t></w:r>
</w:p>
<w:p>
<w:pPr><w:pStyle w:val="Normal"/></w:pPr>
<w:r><w:t xml:space="preserve">which looks to him for everything concerned with naval</w:t></w:r>
</w:p>
<w:p>
<w:pPr><w:pStyle w:val="Normal"/></w:pPr>
<w:r><w:t xml:space="preserve">affairs.  The members of the Board are his advisers; but if their</w:t></w:r>
</w:p>
<w:p>
<w:pPr><w:pStyle w:val="Normal"/></w:pPr>
<w:r><w:t xml:space="preserve">advice is not accepted, they have no remedy except protest or</w:t></w:r>
</w:p>
<w:p>
<w:pPr><w:pStyle w:val="Normal"/></w:pPr>
<w:r><w:t xml:space="preserve">resignation.  It cannot be denied that the responsibility</w:t></w:r>
</w:p>
<w:p>
<w:pPr><w:pStyle w:val="Normal"/></w:pPr>
<w:r><w:t xml:space="preserve">of the members of the Board, if their advice should be</w:t></w:r>
</w:p>
<w:p>
<w:pPr><w:pStyle w:val="Normal"/></w:pPr>
<w:r><w:t xml:space="preserve">disregarded, must cease, and it is sufficiently obvious that the</w:t></w:r>
</w:p>
<w:p>
<w:pPr><w:pStyle w:val="Normal"/></w:pPr>
<w:r><w:t xml:space="preserve">remedy of resignation will not always commend itself to those</w:t></w:r>
</w:p>
<w:p>
<w:pPr><w:pStyle w:val="Normal"/></w:pPr>
<w:r><w:t xml:space="preserve">whose position and advancement depend upon the favour of the</w:t></w:r>
</w:p>
<w:p>
<w:pPr><w:pStyle w:val="Normal"/></w:pPr>
<w:r><w:t xml:space="preserve">government.  Something will be said a little later concerning</w:t></w:r>
</w:p>
<w:p>
<w:pPr><w:pStyle w:val="Normal"/></w:pPr>
<w:r><w:t xml:space="preserve">the working of the system and the relation of the first lord</w:t></w:r>
</w:p>
<w:p>
<w:pPr><w:pStyle w:val="Normal"/></w:pPr>
<w:r><w:t xml:space="preserve">to the Board in regard to the navy estimates.  In addition</w:t></w:r>
</w:p>
<w:p>
<w:pPr><w:pStyle w:val="Normal"/></w:pPr>
<w:r><w:t xml:space="preserve">to general direction and supervision, the first lord has</w:t></w:r>
</w:p>
<w:p>
<w:pPr><w:pStyle w:val="Normal"/></w:pPr>
<w:r><w:t xml:space="preserve">special charge of promotions and removals from the service,</w:t></w:r>
</w:p>
<w:p>
<w:pPr><w:pStyle w:val="Normal"/></w:pPr>
<w:r><w:t xml:space="preserve">and of matters relating to honours and rewards, as well as</w:t></w:r>
</w:p>
<w:p>
<w:pPr><w:pStyle w:val="Normal"/></w:pPr>
<w:r><w:t xml:space="preserve">the appointments of flag officers, captains and other officers</w:t></w:r>
</w:p>
<w:p>
<w:pPr><w:pStyle w:val="Normal"/></w:pPr>
<w:r><w:t xml:space="preserve">of the higher ranks.  With him rests also the nomination for</w:t></w:r>
</w:p>
<w:p>
<w:pPr><w:pStyle w:val="Normal"/></w:pPr>
<w:r><w:t xml:space="preserve">the major part to naval cadetships and assistant clerkships.</w:t></w:r>
</w:p>
<w:p>
<w:pPr><w:pStyle w:val="Normal"/></w:pPr>
<w:r><w:t xml:space="preserve">Apart from the first lord, the first naval lord is the most</w:t></w:r>
</w:p>
<w:p>
<w:pPr><w:pStyle w:val="Normal"/></w:pPr>
<w:r><w:t xml:space="preserve">important officer of the Board of Admiralty.  It seems to be</w:t></w:r>
</w:p>
<w:p>
<w:pPr><w:pStyle w:val="Normal"/></w:pPr>
<w:r><w:t xml:space="preserve">unquestionable that Sir James Graham was right in describing</w:t></w:r>
</w:p>
<w:p>
<w:pPr><w:pStyle w:val="Normal"/></w:pPr>
<w:r><w:t xml:space="preserve">the senior naval lord as his ``first naval adviser.&apos;&apos;</w:t></w:r>
</w:p>
<w:p>
<w:pPr><w:pStyle w:val="Normal"/></w:pPr>
<w:r><w:t xml:space="preserve">Theoretically, the first naval lord is responsible for the</w:t></w:r>
</w:p>
<w:p>
<w:pPr><w:pStyle w:val="Normal"/></w:pPr>
<w:r><w:t xml:space="preserve">personnel of the fleet; but in practice he is necessarily</w:t></w:r>
</w:p>
<w:p>
<w:pPr><w:pStyle w:val="Normal"/></w:pPr>
<w:r><w:t xml:space="preserve">concerned with the material also as soon as it is put into</w:t></w:r>
</w:p>
<w:p>
<w:pPr><w:pStyle w:val="Normal"/></w:pPr>
<w:r><w:t xml:space="preserve">commission, and with the actual commissioning of it.  It</w:t></w:r>
</w:p>
<w:p>
<w:pPr><w:pStyle w:val="Normal"/></w:pPr>
<w:r><w:t xml:space="preserve">is correct to say that he is chiefly concerned with the</w:t></w:r>
</w:p>
<w:p>
<w:pPr><w:pStyle w:val="Normal"/></w:pPr>
<w:r><w:t xml:space="preserve">employment of the fleet, though his advice has weight in</w:t></w:r>
</w:p>
<w:p>
<w:pPr><w:pStyle w:val="Normal"/></w:pPr>
<w:r><w:t xml:space="preserve">regard to its character and sufficiency, and is always sought</w:t></w:r>
</w:p>
<w:p>
<w:pPr><w:pStyle w:val="Normal"/></w:pPr>
<w:r><w:t xml:space="preserve">in relation to the shipbuilding programme.  Broadly speaking,</w:t></w:r>
</w:p>
<w:p>
<w:pPr><w:pStyle w:val="Normal"/></w:pPr>
<w:r><w:t xml:space="preserve">the first naval lord&apos;s duties and authority cover the fighting</w:t></w:r>
</w:p>
<w:p>
<w:pPr><w:pStyle w:val="Normal"/></w:pPr>
<w:r><w:t xml:space="preserve">efficiency and employment of the fleet, and upon him and</w:t></w:r>
</w:p>
<w:p>
<w:pPr><w:pStyle w:val="Normal"/></w:pPr>
<w:r><w:t xml:space="preserve">upon the controller the naval business of the country largely</w:t></w:r>
</w:p>
<w:p>
<w:pPr><w:pStyle w:val="Normal"/></w:pPr>
<w:r><w:t xml:space="preserve">falls.  He directs the operations of the admiral superintendent</w:t></w:r>
</w:p>
<w:p>
<w:pPr><w:pStyle w:val="Normal"/></w:pPr>
<w:r><w:t xml:space="preserve">of naval reserves in regard to ships, the hydrographer, the</w:t></w:r>
</w:p>
<w:p>
<w:pPr><w:pStyle w:val="Normal"/></w:pPr>
<w:r><w:t xml:space="preserve">director of naval ordnance, so far as the gunnery and torpedo</w:t></w:r>
</w:p>
<w:p>
<w:pPr><w:pStyle w:val="Normal"/></w:pPr>
<w:r><w:t xml:space="preserve">training establishments are concerned, and the naval intelligence</w:t></w:r>
</w:p>
<w:p>
<w:pPr><w:pStyle w:val="Normal"/></w:pPr>
<w:r><w:t xml:space="preserve">department, and he has charge of all matters relating to</w:t></w:r>
</w:p>
<w:p>
<w:pPr><w:pStyle w:val="Normal"/></w:pPr>
<w:r><w:t xml:space="preserve">discipline.  The mobilization of the fleet, both in regard</w:t></w:r>
</w:p>
<w:p>
<w:pPr><w:pStyle w:val="Normal"/></w:pPr>
<w:r><w:t xml:space="preserve">to personnel and material, also falls to him, and among</w:t></w:r>
</w:p>
<w:p>
<w:pPr><w:pStyle w:val="Normal"/></w:pPr>
<w:r><w:t xml:space="preserve">a mass of other business in his department are necessary</w:t></w:r>
</w:p>
<w:p>
<w:pPr><w:pStyle w:val="Normal"/></w:pPr>
<w:r><w:t xml:space="preserve">preparations for the protection of trade and the fisheries.</w:t></w:r>
</w:p>
<w:p>
<w:pPr><w:pStyle w:val="Normal"/></w:pPr>
<w:r><w:t xml:space="preserve">It will thus be seen that the first naval lord is the chief</w:t></w:r>
</w:p>
<w:p>
<w:pPr><w:pStyle w:val="Normal"/></w:pPr>
<w:r><w:t xml:space="preserve">officer of the Board of Admiralty, and that the operations of</w:t></w:r>
</w:p>
<w:p>
<w:pPr><w:pStyle w:val="Normal"/></w:pPr>
<w:r><w:t xml:space="preserve">the other members of the Board all have relation to his work,</w:t></w:r>
</w:p>
<w:p>
<w:pPr><w:pStyle w:val="Normal"/></w:pPr>
<w:r><w:t xml:space="preserve">which is no other than preparation for war.  It may here be</w:t></w:r>
</w:p>
<w:p>
<w:pPr><w:pStyle w:val="Normal"/></w:pPr>
<w:r><w:t xml:space="preserve">remarked that it appears most necessary to change the naval</w:t></w:r>
</w:p>
<w:p>
<w:pPr><w:pStyle w:val="Normal"/></w:pPr>
<w:r><w:t xml:space="preserve">lords frequently, so that there may always be in the Board</w:t></w:r>
</w:p>
<w:p>
<w:pPr><w:pStyle w:val="Normal"/></w:pPr>
<w:r><w:t xml:space="preserve">some one who possesses recent touch with the service afloat.</w:t></w:r>
</w:p>
<w:p>
<w:pPr><w:pStyle w:val="Normal"/></w:pPr>
<w:r><w:t xml:space="preserve">The second naval lord may be regarded as the coadjutor of</w:t></w:r>
</w:p>
<w:p>
<w:pPr><w:pStyle w:val="Normal"/></w:pPr>
<w:r><w:t xml:space="preserve">the first naval lord, with whose operations his duties are</w:t></w:r>
</w:p>
<w:p>
<w:pPr><w:pStyle w:val="Normal"/></w:pPr>
<w:r><w:t xml:space="preserve">very closely related, though, like every other member of the</w:t></w:r>
</w:p>
<w:p>
<w:pPr><w:pStyle w:val="Normal"/></w:pPr>
<w:r><w:t xml:space="preserve">Board, he is subordinate only to the first lord.  The duties of</w:t></w:r>
</w:p>
<w:p>
<w:pPr><w:pStyle w:val="Normal"/></w:pPr>
<w:r><w:t xml:space="preserve">the second naval lord are wholly concerned with the personnel</w:t></w:r>
</w:p>
<w:p>
<w:pPr><w:pStyle w:val="Normal"/></w:pPr>
<w:r><w:t xml:space="preserve">of the fleet, the manning of the navy and mobilization.  In</w:t></w:r>
</w:p>
<w:p>
<w:pPr><w:pStyle w:val="Normal"/></w:pPr>
<w:r><w:t xml:space="preserve">his hands rests the direction of naval education, training</w:t></w:r>
</w:p>
<w:p>
<w:pPr><w:pStyle w:val="Normal"/></w:pPr>
<w:r><w:t xml:space="preserve">and the affairs of the royal marine forces.  The training</w:t></w:r>
</w:p>
<w:p>
<w:pPr><w:pStyle w:val="Normal"/></w:pPr>
<w:r><w:t xml:space="preserve">establishments and colleges are in his hands.  He appoints</w:t></w:r>
</w:p>
<w:p>
<w:pPr><w:pStyle w:val="Normal"/></w:pPr>
<w:r><w:t xml:space="preserve">navigating officers and lieutenants to ships (unless they be</w:t></w:r>
</w:p>
<w:p>
<w:pPr><w:pStyle w:val="Normal"/></w:pPr>
<w:r><w:t xml:space="preserve">to command), sub-lieutenants, midshipmen and cadets, engineer</w:t></w:r>
</w:p>
<w:p>
<w:pPr><w:pStyle w:val="Normal"/></w:pPr>
<w:r><w:t xml:space="preserve">officers, gunners and boatswains, and supervises the management</w:t></w:r>
</w:p>
<w:p>
<w:pPr><w:pStyle w:val="Normal"/></w:pPr>
<w:r><w:t xml:space="preserve">of the reserve.  In his province is the mobilization of the</w:t></w:r>
</w:p>
<w:p>
<w:pPr><w:pStyle w:val="Normal"/></w:pPr>
<w:r><w:t xml:space="preserve">personnel, including the coastguard and the royal naval</w:t></w:r>
</w:p>
<w:p>
<w:pPr><w:pStyle w:val="Normal"/></w:pPr>
<w:r><w:t xml:space="preserve">reserve.  Necessarily, the first and second naval lords</w:t></w:r>
</w:p>
<w:p>
<w:pPr><w:pStyle w:val="Normal"/></w:pPr>
<w:r><w:t xml:space="preserve">work together, and upon occasion can replace each other.3</w:t></w:r>
</w:p>
<w:p>
<w:pPr><w:pStyle w:val="Normal"/></w:pPr>
<w:r><w:t xml:space="preserve">Most important are the duties that fall to the additional</w:t></w:r>
</w:p>
<w:p>
<w:pPr><w:pStyle w:val="Normal"/></w:pPr>
<w:r><w:t xml:space="preserve">naval lord and controller.  He has charge of everything that</w:t></w:r>
</w:p>
<w:p>
<w:pPr><w:pStyle w:val="Normal"/></w:pPr>
<w:r><w:t xml:space="preserve">concerns the material of the fleet, and his operations are the</w:t></w:r>
</w:p>
<w:p>
<w:pPr><w:pStyle w:val="Normal"/></w:pPr>
<w:r><w:t xml:space="preserve">complement of the work of the first naval lord.  A great number</w:t></w:r>
</w:p>
<w:p>
<w:pPr><w:pStyle w:val="Normal"/></w:pPr>
<w:r><w:t xml:space="preserve">of civil departments are directed by the controller, and his</w:t></w:r>
</w:p>
<w:p>
<w:pPr><w:pStyle w:val="Normal"/></w:pPr>
<w:r><w:t xml:space="preserve">survey and supervision extend to the dockyards and building</w:t></w:r>
</w:p>
<w:p>
<w:pPr><w:pStyle w:val="Normal"/></w:pPr>
<w:r><w:t xml:space="preserve">establishments of the fleet.  He submits plans to the Board</w:t></w:r>
</w:p>
<w:p>
<w:pPr><w:pStyle w:val="Normal"/></w:pPr>
<w:r><w:t xml:space="preserve">for new ships, and is responsible for carrying into effect</w:t></w:r>
</w:p>
<w:p>
<w:pPr><w:pStyle w:val="Normal"/></w:pPr>
<w:r><w:t xml:space="preserve">its decisions in regard to all matters of construction and</w:t></w:r>
</w:p>
<w:p>
<w:pPr><w:pStyle w:val="Normal"/></w:pPr>
<w:r><w:t xml:space="preserve">equipment.  The building operations both in the dockyards and</w:t></w:r>
</w:p>
<w:p>
<w:pPr><w:pStyle w:val="Normal"/></w:pPr>
<w:r><w:t xml:space="preserve">in private yards are therefore under his supervision.  In regard</w:t></w:r>
</w:p>
<w:p>
<w:pPr><w:pStyle w:val="Normal"/></w:pPr>
<w:r><w:t xml:space="preserve">to all these matters the director of naval construction and</w:t></w:r>
</w:p>
<w:p>
<w:pPr><w:pStyle w:val="Normal"/></w:pPr>
<w:r><w:t xml:space="preserve">the engineer-in-chief are the heads of the civil departments</w:t></w:r>
</w:p>
<w:p>
<w:pPr><w:pStyle w:val="Normal"/></w:pPr>
<w:r><w:t xml:space="preserve">that carry on the work.  Again, the controller is responsible</w:t></w:r>
</w:p>
<w:p>
<w:pPr><w:pStyle w:val="Normal"/></w:pPr>
<w:r><w:t xml:space="preserve">in regard to armament--both gunnery and torpedo--and it</w:t></w:r>
</w:p>
<w:p>
<w:pPr><w:pStyle w:val="Normal"/></w:pPr>
<w:r><w:t xml:space="preserve">is the work of his department to see to all gunnery and</w:t></w:r>
</w:p>
<w:p>
<w:pPr><w:pStyle w:val="Normal"/></w:pPr>
<w:r><w:t xml:space="preserve">torpedo fittings, and to magazines, shell-rooms and electric</w:t></w:r>
</w:p>
<w:p>
<w:pPr><w:pStyle w:val="Normal"/></w:pPr>
<w:r><w:t xml:space="preserve">apparatus.  The officer in immediate charge of this branch of</w:t></w:r>
</w:p>
<w:p>
<w:pPr><w:pStyle w:val="Normal"/></w:pPr>
<w:r><w:t xml:space="preserve">the controller&apos;s work, under his direction, is the director of</w:t></w:r>
</w:p>
<w:p>
<w:pPr><w:pStyle w:val="Normal"/></w:pPr>
<w:r><w:t xml:space="preserve">naval ordnance.  In regard to work at the dockyards (q.v.)</w:t></w:r>
</w:p>
<w:p>
<w:pPr><w:pStyle w:val="Normal"/></w:pPr>
<w:r><w:t xml:space="preserve">the controller is aided by the director of dockyards.  He</w:t></w:r>
</w:p>
<w:p>
<w:pPr><w:pStyle w:val="Normal"/></w:pPr>
<w:r><w:t xml:space="preserve">supervises this officer in preparing the programme of work done</w:t></w:r>
</w:p>
<w:p>
<w:pPr><w:pStyle w:val="Normal"/></w:pPr>
<w:r><w:t xml:space="preserve">in the dockyards, the provision of the material required and</w:t></w:r>
</w:p>
<w:p>
<w:pPr><w:pStyle w:val="Normal"/></w:pPr>
<w:r><w:t xml:space="preserve">its appropriation to particular work in accordance with the</w:t></w:r>
</w:p>
<w:p>
<w:pPr><w:pStyle w:val="Normal"/></w:pPr>
<w:r><w:t xml:space="preserve">programme.  Other officers who conduct great operations under</w:t></w:r>
</w:p>
<w:p>
<w:pPr><w:pStyle w:val="Normal"/></w:pPr>
<w:r><w:t xml:space="preserve">the authority and responsibility of the controller are the</w:t></w:r>
</w:p>
<w:p>
<w:pPr><w:pStyle w:val="Normal"/></w:pPr>
<w:r><w:t xml:space="preserve">director of stores, who maintains all necessary supplies of</w:t></w:r>
</w:p>
<w:p>
<w:pPr><w:pStyle w:val="Normal"/></w:pPr>
<w:r><w:t xml:space="preserve">coal and stores at home and abroad, and examines the store</w:t></w:r>
</w:p>
<w:p>
<w:pPr><w:pStyle w:val="Normal"/></w:pPr>
<w:r><w:t xml:space="preserve">accounts of ships, and the inspector of dockyard expense</w:t></w:r>
</w:p>
<w:p>
<w:pPr><w:pStyle w:val="Normal"/></w:pPr>
<w:r><w:t xml:space="preserve">accounts, who has charge of the accounts of dockyard expenditure</w:t></w:r>
</w:p>
<w:p>
<w:pPr><w:pStyle w:val="Normal"/></w:pPr>
<w:r><w:t xml:space="preserve">and seeing that outlay is charged as directed.  In regard to</w:t></w:r>
</w:p>
<w:p>
<w:pPr><w:pStyle w:val="Normal"/></w:pPr>
<w:r><w:t xml:space="preserve">the navy estimates, the controller, through his subordinates,</w:t></w:r>
</w:p>
<w:p>
<w:pPr><w:pStyle w:val="Normal"/></w:pPr>
<w:r><w:t xml:space="preserve">is responsible for the preparation and administration of the</w:t></w:r>
</w:p>
<w:p>
<w:pPr><w:pStyle w:val="Normal"/></w:pPr>
<w:r><w:t xml:space="preserve">votes for shipbuilding and naval armaments, except in regard</w:t></w:r>
</w:p>
<w:p>
<w:pPr><w:pStyle w:val="Normal"/></w:pPr>
<w:r><w:t xml:space="preserve">to some sub-headings of the former, and thus in recent years</w:t></w:r>
</w:p>
<w:p>
<w:pPr><w:pStyle w:val="Normal"/></w:pPr>
<w:r><w:t xml:space="preserve">for the expenditure of something like L. 15,000,000 or over.</w:t></w:r>
</w:p>
<w:p>
<w:pPr><w:pStyle w:val="Normal"/></w:pPr>
<w:r><w:t xml:space="preserve">The junior naval lord has in his hands the very important</w:t></w:r>
</w:p>
<w:p>
<w:pPr><w:pStyle w:val="Normal"/></w:pPr>
<w:r><w:t xml:space="preserve">duties that are concerned with the transport, medical and</w:t></w:r>
</w:p>
<w:p>
<w:pPr><w:pStyle w:val="Normal"/></w:pPr>
<w:r><w:t xml:space="preserve">victualling services, as well as the regulation of hospitals,</w:t></w:r>
</w:p>
<w:p>
<w:pPr><w:pStyle w:val="Normal"/></w:pPr>
<w:r><w:t xml:space="preserve">the charge of coaling arrangements for the fleet and other</w:t></w:r>
</w:p>
<w:p>
<w:pPr><w:pStyle w:val="Normal"/></w:pPr>
<w:r><w:t xml:space="preserve">duties that conduce to the practical efficiency of the</w:t></w:r>
</w:p>
<w:p>
<w:pPr><w:pStyle w:val="Normal"/></w:pPr>
<w:r><w:t xml:space="preserve">navy.  He also appoints chaplains, naval instructors,</w:t></w:r>
</w:p>
<w:p>
<w:pPr><w:pStyle w:val="Normal"/></w:pPr>
<w:r><w:t xml:space="preserve">medical officers (except in special cases) and officers</w:t></w:r>
</w:p>
<w:p>
<w:pPr><w:pStyle w:val="Normal"/></w:pPr>
<w:r><w:t xml:space="preserve">of the accountant branch.  A vast business in regard to</w:t></w:r>
</w:p>
<w:p>
<w:pPr><w:pStyle w:val="Normal"/></w:pPr>
<w:r><w:t xml:space="preserve">the internal economy of ships greatly occupies the junior</w:t></w:r>
</w:p>
<w:p>
<w:pPr><w:pStyle w:val="Normal"/></w:pPr>
<w:r><w:t xml:space="preserve">lord.  He has charge, for example, of uniforms, prize-money,</w:t></w:r>
</w:p>
<w:p>
<w:pPr><w:pStyle w:val="Normal"/></w:pPr>
<w:r><w:t xml:space="preserve">bounties, naval savings banks, and pensions to seamen and</w:t></w:r>
</w:p>
<w:p>
<w:pPr><w:pStyle w:val="Normal"/></w:pPr>
<w:r><w:t xml:space="preserve">marines and the widows of naval and marine officers.  The</w:t></w:r>
</w:p>
<w:p>
<w:pPr><w:pStyle w:val="Normal"/></w:pPr>
<w:r><w:t xml:space="preserve">work of the junior naval lord places under his direction the</w:t></w:r>
</w:p>
<w:p>
<w:pPr><w:pStyle w:val="Normal"/></w:pPr>
<w:r><w:t xml:space="preserve">director of transports, the director-general of the medical</w:t></w:r>
</w:p>
<w:p>
<w:pPr><w:pStyle w:val="Normal"/></w:pPr>
<w:r><w:t xml:space="preserve">department, the director of victualling, and, in regard to</w:t></w:r>
</w:p>
<w:p>
<w:pPr><w:pStyle w:val="Normal"/></w:pPr>
<w:r><w:t xml:space="preserve">particular matters, the director of stores, the accountant-</w:t></w:r>
</w:p>
<w:p>
<w:pPr><w:pStyle w:val="Normal"/></w:pPr>
<w:r><w:t xml:space="preserve">general, the chaplain of the fleet, and the Intelligence</w:t></w:r>
</w:p>
<w:p>
<w:pPr><w:pStyle w:val="Normal"/></w:pPr>
<w:r><w:t xml:space="preserve">Department, so far as the junior lord&apos;s department is concerned.</w:t></w:r>
</w:p>
<w:p>
<w:pPr><w:pStyle w:val="Normal"/></w:pPr>
<w:r><w:t xml:space="preserve">The civil lord supervises, through the director of works,</w:t></w:r>
</w:p>
<w:p>
<w:pPr><w:pStyle w:val="Normal"/></w:pPr>
<w:r><w:t xml:space="preserve">the Department of Works, dealing with admiralty buildings and</w:t></w:r>
</w:p>
<w:p>
<w:pPr><w:pStyle w:val="Normal"/></w:pPr>
<w:r><w:t xml:space="preserve">works, construction and labour, contracts and purchases of</w:t></w:r>
</w:p>
<w:p>
<w:pPr><w:pStyle w:val="Normal"/></w:pPr>
<w:r><w:t xml:space="preserve">building stores and land.  He is also responsible for the</w:t></w:r>
</w:p>
<w:p>
<w:pPr><w:pStyle w:val="Normal"/></w:pPr>
<w:r><w:t xml:space="preserve">civil staff of the naval establishments, except in regard to</w:t></w:r>
</w:p>
<w:p>
<w:pPr><w:pStyle w:val="Normal"/></w:pPr>
<w:r><w:t xml:space="preserve">certain officials, and for duties connected with Greenwich</w:t></w:r>
</w:p>
<w:p>
<w:pPr><w:pStyle w:val="Normal"/></w:pPr>
<w:r><w:t xml:space="preserve">Hospital, compassionate allowances, charitable funds,</w:t></w:r>
</w:p>
<w:p>
<w:pPr><w:pStyle w:val="Normal"/></w:pPr>
<w:r><w:t xml:space="preserve">and business of like character.  The accountant-general,</w:t></w:r>
</w:p>
<w:p>
<w:pPr><w:pStyle w:val="Normal"/></w:pPr>
<w:r><w:t xml:space="preserve">in regard to these matters, is directed by him, and the</w:t></w:r>
</w:p>
<w:p>
<w:pPr><w:pStyle w:val="Normal"/></w:pPr>
<w:r><w:t xml:space="preserve">director of Greenwich Hospital is under his authority.</w:t></w:r>
</w:p>
<w:p>
<w:pPr><w:pStyle w:val="Normal"/></w:pPr>
<w:r><w:t xml:space="preserve">The parliamentary and financial secretary is responsible</w:t></w:r>
</w:p>
<w:p>
<w:pPr><w:pStyle w:val="Normal"/></w:pPr>
<w:r><w:t xml:space="preserve">for the finance of the department, the navy estimates and</w:t></w:r>
</w:p>
<w:p>
<w:pPr><w:pStyle w:val="Normal"/></w:pPr>
<w:r><w:t xml:space="preserve">matters of expenditure generally, and is consulted in regard</w:t></w:r>
</w:p>
<w:p>
<w:pPr><w:pStyle w:val="Normal"/></w:pPr>
<w:r><w:t xml:space="preserve">to all matters involving reference to the treasury.  His</w:t></w:r>
</w:p>
<w:p>
<w:pPr><w:pStyle w:val="Normal"/></w:pPr>
<w:r><w:t xml:space="preserve">position in regard to estimates and expenditure is very</w:t></w:r>
</w:p>
<w:p>
<w:pPr><w:pStyle w:val="Normal"/></w:pPr>
<w:r><w:t xml:space="preserve">important, and the accountant- general is his officer, while</w:t></w:r>
</w:p>
<w:p>
<w:pPr><w:pStyle w:val="Normal"/></w:pPr>
<w:r><w:t xml:space="preserve">he has financial control over the director of contracts.  The</w:t></w:r>
</w:p>
<w:p>
<w:pPr><w:pStyle w:val="Normal"/></w:pPr>
<w:r><w:t xml:space="preserve">financial secretary also examines proposals for new expenditure.</w:t></w:r>
</w:p>
<w:p>
<w:pPr><w:pStyle w:val="Normal"/></w:pPr>
<w:r><w:t xml:space="preserve">A most important official of the Board is the permanent secretary,</w:t></w:r>
</w:p>
<w:p>
<w:pPr><w:pStyle w:val="Normal"/></w:pPr>
<w:r><w:t xml:space="preserve">whose office has been described as the ``nerve-centre&apos;&apos; of the</w:t></w:r>
</w:p>
<w:p>
<w:pPr><w:pStyle w:val="Normal"/></w:pPr>
<w:r><w:t xml:space="preserve">admiralty, since it is the channel through which papers for</w:t></w:r>
</w:p>
<w:p>
<w:pPr><w:pStyle w:val="Normal"/></w:pPr>
<w:r><w:t xml:space="preserve">the lords of the admiralty pass for the intercommunication</w:t></w:r>
</w:p>
<w:p>
<w:pPr><w:pStyle w:val="Normal"/></w:pPr>
<w:r><w:t xml:space="preserve">of departments and for the correspondence of the Board.</w:t></w:r>
</w:p>
<w:p>
<w:pPr><w:pStyle w:val="Normal"/></w:pPr>
<w:r><w:t xml:space="preserve">The tradition of admiralty procedure largely rests with the</w:t></w:r>
</w:p>
<w:p>
<w:pPr><w:pStyle w:val="Normal"/></w:pPr>
<w:r><w:t xml:space="preserve">permanent secretary, and it is most important that he should</w:t></w:r>
</w:p>
<w:p>
<w:pPr><w:pStyle w:val="Normal"/></w:pPr>
<w:r><w:t xml:space="preserve">be chosen from one of the branches, and should have served in</w:t></w:r>
</w:p>
<w:p>
<w:pPr><w:pStyle w:val="Normal"/></w:pPr>
<w:r><w:t xml:space="preserve">as many of them at possible, in order that he may possess a</w:t></w:r>
</w:p>
<w:p>
<w:pPr><w:pStyle w:val="Normal"/></w:pPr>
<w:r><w:t xml:space="preserve">thorough knowledge of the theory and practice of the admiralty</w:t></w:r>
</w:p>
<w:p>
<w:pPr><w:pStyle w:val="Normal"/></w:pPr>
<w:r><w:t xml:space="preserve">system.  In addition to the secretarial duties of the</w:t></w:r>
</w:p>
<w:p>
<w:pPr><w:pStyle w:val="Normal"/></w:pPr>
<w:r><w:t xml:space="preserve">permanent secretary&apos;s department, the permanent secretary</w:t></w:r>
</w:p>
<w:p>
<w:pPr><w:pStyle w:val="Normal"/></w:pPr>
<w:r><w:t xml:space="preserve">has charge of the military, naval and legal branches, each</w:t></w:r>
</w:p>
<w:p>
<w:pPr><w:pStyle w:val="Normal"/></w:pPr>
<w:r><w:t xml:space="preserve">under a principal clerk, the civil branch and the record</w:t></w:r>
</w:p>
<w:p>
<w:pPr><w:pStyle w:val="Normal"/></w:pPr>
<w:r><w:t xml:space="preserve">office.  The various branches deal with matters concerning the</w:t></w:r>
</w:p>
<w:p>
<w:pPr><w:pStyle w:val="Normal"/></w:pPr>
<w:r><w:t xml:space="preserve">commissioning of ships and the distribution of the fleet, and</w:t></w:r>
</w:p>
<w:p>
<w:pPr><w:pStyle w:val="Normal"/></w:pPr>
<w:r><w:t xml:space="preserve">the manning and discipline of the navy, with other associated</w:t></w:r>
</w:p>
<w:p>
<w:pPr><w:pStyle w:val="Normal"/></w:pPr>
<w:r><w:t xml:space="preserve">matters, being the channels for the operations of the naval</w:t></w:r>
</w:p>
<w:p>
<w:pPr><w:pStyle w:val="Normal"/></w:pPr>
<w:r><w:t xml:space="preserve">lords.  It is a highly important function of the department</w:t></w:r>
</w:p>
<w:p>
<w:pPr><w:pStyle w:val="Normal"/></w:pPr>
<w:r><w:t xml:space="preserve">of the permanent secretary to preserve the inter-related</w:t></w:r>
</w:p>
<w:p>
<w:pPr><w:pStyle w:val="Normal"/></w:pPr>
<w:r><w:t xml:space="preserve">working of the various departments, and to keep unbroken the</w:t></w:r>
</w:p>
<w:p>
<w:pPr><w:pStyle w:val="Normal"/></w:pPr>
<w:r><w:t xml:space="preserve">thread of administration when a new Board is constituted.</w:t></w:r>
</w:p>
<w:p>
<w:pPr><w:pStyle w:val="Normal"/></w:pPr>
<w:r><w:t xml:space="preserve">3. Business and Responsibility.--The manner in which the</w:t></w:r>
</w:p>
<w:p>
<w:pPr><w:pStyle w:val="Normal"/></w:pPr>
<w:r><w:t xml:space="preserve">Admiralty Board conducts the great operations under its</w:t></w:r>
</w:p>
<w:p>
<w:pPr><w:pStyle w:val="Normal"/></w:pPr>
<w:r><w:t xml:space="preserve">charge has been indicated.  It would be impossible here to</w:t></w:r>
</w:p>
<w:p>
<w:pPr><w:pStyle w:val="Normal"/></w:pPr>
<w:r><w:t xml:space="preserve">describe it in detail, though something concerning the civil</w:t></w:r>
</w:p>
<w:p>
<w:pPr><w:pStyle w:val="Normal"/></w:pPr>
<w:r><w:t xml:space="preserve">departments, which are the machinery of naval administration,</w:t></w:r>
</w:p>
<w:p>
<w:pPr><w:pStyle w:val="Normal"/></w:pPr>
<w:r><w:t xml:space="preserve">will be found below.  It will, however, indicate the character</w:t></w:r>
</w:p>
<w:p>
<w:pPr><w:pStyle w:val="Normal"/></w:pPr>
<w:r><w:t xml:space="preserve">of admiralty administration if we explain to some extent the</w:t></w:r>
</w:p>
<w:p>
<w:pPr><w:pStyle w:val="Normal"/></w:pPr>
<w:r><w:t xml:space="preserve">conditions which surround the preparation of the estimates and</w:t></w:r>
</w:p>
<w:p>
<w:pPr><w:pStyle w:val="Normal"/></w:pPr>
<w:r><w:t xml:space="preserve">the shipbuilding programme, the more so because this matter</w:t></w:r>
</w:p>
<w:p>
<w:pPr><w:pStyle w:val="Normal"/></w:pPr>
<w:r><w:t xml:space="preserve">has been the battle-ground of critics and supporters of the</w:t></w:r>
</w:p>
<w:p>
<w:pPr><w:pStyle w:val="Normal"/></w:pPr>
<w:r><w:t xml:space="preserve">admiralty.  It has already been pointed out that the naval</w:t></w:r>
</w:p>
<w:p>
<w:pPr><w:pStyle w:val="Normal"/></w:pPr>
<w:r><w:t xml:space="preserve">lords, if they dissent from the estimates that are presented,</w:t></w:r>
</w:p>
<w:p>
<w:pPr><w:pStyle w:val="Normal"/></w:pPr>
<w:r><w:t xml:space="preserve">have no remedy but that of protest or resignation.  Into the</w:t></w:r>
</w:p>
<w:p>
<w:pPr><w:pStyle w:val="Normal"/></w:pPr>
<w:r><w:t xml:space="preserve">controversies that have arisen as to the responsibility of the</w:t></w:r>
</w:p>
<w:p>
<w:pPr><w:pStyle w:val="Normal"/></w:pPr>
<w:r><w:t xml:space="preserve">several lords it is unnecessary to enter here.  The Admiralty</w:t></w:r>
</w:p>
<w:p>
<w:pPr><w:pStyle w:val="Normal"/></w:pPr>
<w:r><w:t xml:space="preserve">Board possesses, in fact, the character of a council, and its</w:t></w:r>
</w:p>
<w:p>
<w:pPr><w:pStyle w:val="Normal"/></w:pPr>
<w:r><w:t xml:space="preserve">members can only be held responsible for their advice.  It</w:t></w:r>
</w:p>
<w:p>
<w:pPr><w:pStyle w:val="Normal"/></w:pPr>
<w:r><w:t xml:space="preserve">has even been contended that, in the circumstances, it should</w:t></w:r>
</w:p>
<w:p>
<w:pPr><w:pStyle w:val="Normal"/></w:pPr>
<w:r><w:t xml:space="preserve">not be incumbent upon them to sign the navy estimates, and</w:t></w:r>
</w:p>
<w:p>
<w:pPr><w:pStyle w:val="Normal"/></w:pPr>
<w:r><w:t xml:space="preserve">there have been instances in which the estimates have been</w:t></w:r>
</w:p>
<w:p>
<w:pPr><w:pStyle w:val="Normal"/></w:pPr>
<w:r><w:t xml:space="preserve">presented to parliament without the signature of certain naval</w:t></w:r>
</w:p>
<w:p>
<w:pPr><w:pStyle w:val="Normal"/></w:pPr>
<w:r><w:t xml:space="preserve">lords.  It is in any case obvious, as has been explained</w:t></w:r>
</w:p>
<w:p>
<w:pPr><w:pStyle w:val="Normal"/></w:pPr>
<w:r><w:t xml:space="preserve">above, that the ultimate responsibility must always rest</w:t></w:r>
</w:p>
<w:p>
<w:pPr><w:pStyle w:val="Normal"/></w:pPr>
<w:r><w:t xml:space="preserve">with the first lord and the cabinet, by whom the policy</w:t></w:r>
</w:p>
<w:p>
<w:pPr><w:pStyle w:val="Normal"/></w:pPr>
<w:r><w:t xml:space="preserve">of the country is shaped and directed.  In the report of</w:t></w:r>
</w:p>
<w:p>
<w:pPr><w:pStyle w:val="Normal"/></w:pPr>
<w:r><w:t xml:space="preserve">the Hartington Commission in 1890 (the chairman of which</w:t></w:r>
</w:p>
<w:p>
<w:pPr><w:pStyle w:val="Normal"/></w:pPr>
<w:r><w:t xml:space="preserve">became 8th duke of Devonshire) to inquire into the civil</w:t></w:r>
</w:p>
<w:p>
<w:pPr><w:pStyle w:val="Normal"/></w:pPr>
<w:r><w:t xml:space="preserve">and professional administration of the Naval and Military</w:t></w:r>
</w:p>
<w:p>
<w:pPr><w:pStyle w:val="Normal"/></w:pPr>
<w:r><w:t xml:space="preserve">Departments, and the relation of these departments to each</w:t></w:r>
</w:p>
<w:p>
<w:pPr><w:pStyle w:val="Normal"/></w:pPr>
<w:r><w:t xml:space="preserve">other and to the treasury, the following recommendation occurs:</w:t></w:r>
</w:p>
<w:p>
<w:pPr><w:pStyle w:val="Normal"/></w:pPr>
<w:r><w:t xml:space="preserve">``On the first lord alone should rest the responsibility</w:t></w:r>
</w:p>
<w:p>
<w:pPr><w:pStyle w:val="Normal"/></w:pPr>
<w:r><w:t xml:space="preserve">of deciding on the provision to be made for the naval</w:t></w:r>
</w:p>
<w:p>
<w:pPr><w:pStyle w:val="Normal"/></w:pPr>
<w:r><w:t xml:space="preserve">requirements of the empire, and the existence of a council</w:t></w:r>
</w:p>
<w:p>
<w:pPr><w:pStyle w:val="Normal"/></w:pPr>
<w:r><w:t xml:space="preserve">should be held in no degree to diminish that responsibility.&apos;&apos;</w:t></w:r>
</w:p>
<w:p>
<w:pPr><w:pStyle w:val="Normal"/></w:pPr>
<w:r><w:t xml:space="preserve">Two conditions primarily rule the determination as to the</w:t></w:r>
</w:p>
<w:p>
<w:pPr><w:pStyle w:val="Normal"/></w:pPr>
<w:r><w:t xml:space="preserve">strength of the navy.  They are, the foreign policy of the</w:t></w:r>
</w:p>
<w:p>
<w:pPr><w:pStyle w:val="Normal"/></w:pPr>
<w:r><w:t xml:space="preserve">Cabinet, and, on the ground of practical expediency, the</w:t></w:r>
</w:p>
<w:p>
<w:pPr><w:pStyle w:val="Normal"/></w:pPr>
<w:r><w:t xml:space="preserve">amount of money available. ``The estimates and strength</w:t></w:r>
</w:p>
<w:p>
<w:pPr><w:pStyle w:val="Normal"/></w:pPr>
<w:r><w:t xml:space="preserve">of the navy,&apos;&apos; said Rear-Admiral Hotham before the select</w:t></w:r>
</w:p>
<w:p>
<w:pPr><w:pStyle w:val="Normal"/></w:pPr>
<w:r><w:t xml:space="preserve">committee on the navy estimates, 1888, ``are matters for</w:t></w:r>
</w:p>
<w:p>
<w:pPr><w:pStyle w:val="Normal"/></w:pPr>
<w:r><w:t xml:space="preserve">the cabinet to determine.&apos;&apos; ``Expense,&apos;&apos; said Sir Anthony</w:t></w:r>
</w:p>
<w:p>
<w:pPr><w:pStyle w:val="Normal"/></w:pPr>
<w:r><w:t xml:space="preserve">Hoskins, ``governs everything.&apos;&apos; The needs of the empire and</w:t></w:r>
</w:p>
<w:p>
<w:pPr><w:pStyle w:val="Normal"/></w:pPr>
<w:r><w:t xml:space="preserve">financial considerations, as it is scarcely necessary to remark,</w:t></w:r>
</w:p>
<w:p>
<w:pPr><w:pStyle w:val="Normal"/></w:pPr>
<w:r><w:t xml:space="preserve">may prove to be antithetical conditions governing the same</w:t></w:r>
</w:p>
<w:p>
<w:pPr><w:pStyle w:val="Normal"/></w:pPr>
<w:r><w:t xml:space="preserve">problem, and in practice it follows that the Admiralty Board</w:t></w:r>
</w:p>
<w:p>
<w:pPr><w:pStyle w:val="Normal"/></w:pPr>
<w:r><w:t xml:space="preserve">directs its operations in accordance with the views of the</w:t></w:r>
</w:p>
<w:p>
<w:pPr><w:pStyle w:val="Normal"/></w:pPr>
<w:r><w:t xml:space="preserve">government, but limited by the public funds which are known</w:t></w:r>
</w:p>
<w:p>
<w:pPr><w:pStyle w:val="Normal"/></w:pPr>
<w:r><w:t xml:space="preserve">to be available.  Such considerations suggest a practical</w:t></w:r>
</w:p>
<w:p>
<w:pPr><w:pStyle w:val="Normal"/></w:pPr>
<w:r><w:t xml:space="preserve">limitation of responsibility, so far as the several lords</w:t></w:r>
</w:p>
<w:p>
<w:pPr><w:pStyle w:val="Normal"/></w:pPr>
<w:r><w:t xml:space="preserve">of the admiralty are concerned, but it may be presumed to</w:t></w:r>
</w:p>
<w:p>
<w:pPr><w:pStyle w:val="Normal"/></w:pPr>
<w:r><w:t xml:space="preserve">be their duty individually or collectively to place their</w:t></w:r>
</w:p>
<w:p>
<w:pPr><w:pStyle w:val="Normal"/></w:pPr>
<w:r><w:t xml:space="preserve">views before the first lord; and Lord George Hamilton told</w:t></w:r>
</w:p>
<w:p>
<w:pPr><w:pStyle w:val="Normal"/></w:pPr>
<w:r><w:t xml:space="preserve">the select committee of 1888 that, if his colleagues should</w:t></w:r>
</w:p>
<w:p>
<w:pPr><w:pStyle w:val="Normal"/></w:pPr>
<w:r><w:t xml:space="preserve">represent to him that a certain expenditure was indispensable</w:t></w:r>
</w:p>
<w:p>
<w:pPr><w:pStyle w:val="Normal"/></w:pPr>
<w:r><w:t xml:space="preserve">for the efficiency of the service, he would recognize</w:t></w:r>
</w:p>
<w:p>
<w:pPr><w:pStyle w:val="Normal"/></w:pPr>
<w:r><w:t xml:space="preserve">that all financial considerations should be put on one</w:t></w:r>
</w:p>
<w:p>
<w:pPr><w:pStyle w:val="Normal"/></w:pPr>
<w:r><w:t xml:space="preserve">side.  The commissioners reported that this was the only</w:t></w:r>
</w:p>
<w:p>
<w:pPr><w:pStyle w:val="Normal"/></w:pPr>
<w:r><w:t xml:space="preserve">common-sense view of the matter, and that it was difficult</w:t></w:r>
</w:p>
<w:p>
<w:pPr><w:pStyle w:val="Normal"/></w:pPr>
<w:r><w:t xml:space="preserve">to see on what other footing the control of navy expenditure,</w:t></w:r>
</w:p>
<w:p>
<w:pPr><w:pStyle w:val="Normal"/></w:pPr>
<w:r><w:t xml:space="preserve">consistently with responsibility to parliament, could be placed.</w:t></w:r>
</w:p>
<w:p>
<w:pPr><w:pStyle w:val="Normal"/></w:pPr>
<w:r><w:t xml:space="preserve">Two practical considerations are bound up with the shipbuilding</w:t></w:r>
</w:p>
<w:p>
<w:pPr><w:pStyle w:val="Normal"/></w:pPr>
<w:r><w:t xml:space="preserve">programme--the carrying forward of the work in hand and the</w:t></w:r>
</w:p>
<w:p>
<w:pPr><w:pStyle w:val="Normal"/></w:pPr>
<w:r><w:t xml:space="preserve">new construction to be begun, since it is absolutely necessary</w:t></w:r>
</w:p>
<w:p>
<w:pPr><w:pStyle w:val="Normal"/></w:pPr>
<w:r><w:t xml:space="preserve">that proper provision should be made for the employment and</w:t></w:r>
</w:p>
<w:p>
<w:pPr><w:pStyle w:val="Normal"/></w:pPr>
<w:r><w:t xml:space="preserve">distribution of labour in the dockyards, and for the purchase</w:t></w:r>
</w:p>
<w:p>
<w:pPr><w:pStyle w:val="Normal"/></w:pPr>
<w:r><w:t xml:space="preserve">of necessary materials.  Through the director of naval</w:t></w:r>
</w:p>
<w:p>
<w:pPr><w:pStyle w:val="Normal"/></w:pPr>
<w:r><w:t xml:space="preserve">construction and the director of dockyards, the controller</w:t></w:r>
</w:p>
<w:p>
<w:pPr><w:pStyle w:val="Normal"/></w:pPr>
<w:r><w:t xml:space="preserve">is kept informed as to the progress of work and the amount of</w:t></w:r>
</w:p>
<w:p>
<w:pPr><w:pStyle w:val="Normal"/></w:pPr>
<w:r><w:t xml:space="preserve">labour required, as also in regard to the building facilities</w:t></w:r>
</w:p>
<w:p>
<w:pPr><w:pStyle w:val="Normal"/></w:pPr>
<w:r><w:t xml:space="preserve">of the yards.  These matters, in a general way, must form a</w:t></w:r>
</w:p>
<w:p>
<w:pPr><w:pStyle w:val="Normal"/></w:pPr>
<w:r><w:t xml:space="preserve">subject of discussion between the first naval lord and the</w:t></w:r>
</w:p>
<w:p>
<w:pPr><w:pStyle w:val="Normal"/></w:pPr>
<w:r><w:t xml:space="preserve">controller, who will report on the subject to the first</w:t></w:r>
</w:p>
<w:p>
<w:pPr><w:pStyle w:val="Normal"/></w:pPr>
<w:r><w:t xml:space="preserve">lord.  The accountant-general, as the financial officer of the</w:t></w:r>
</w:p>
<w:p>
<w:pPr><w:pStyle w:val="Normal"/></w:pPr>
<w:r><w:t xml:space="preserve">Board, will be called upon to place the proposed estimates</w:t></w:r>
</w:p>
<w:p>
<w:pPr><w:pStyle w:val="Normal"/></w:pPr>
<w:r><w:t xml:space="preserve">upon a financial basis, and when the views of the cabinet</w:t></w:r>
</w:p>
<w:p>
<w:pPr><w:pStyle w:val="Normal"/></w:pPr>
<w:r><w:t xml:space="preserve">are known as to the amount of money available, the several</w:t></w:r>
</w:p>
<w:p>
<w:pPr><w:pStyle w:val="Normal"/></w:pPr>
<w:r><w:t xml:space="preserve">departments charged with the duty of preparing the various</w:t></w:r>
</w:p>
<w:p>
<w:pPr><w:pStyle w:val="Normal"/></w:pPr>
<w:r><w:t xml:space="preserve">votes will proceed with that work.  The financial basis alluded</w:t></w:r>
</w:p>
<w:p>
<w:pPr><w:pStyle w:val="Normal"/></w:pPr>
<w:r><w:t xml:space="preserve">to is, of course, found in the estimates of the previous</w:t></w:r>
</w:p>
<w:p>
<w:pPr><w:pStyle w:val="Normal"/></w:pPr>
<w:r><w:t xml:space="preserve">year, modified by the new conditions that arise.  There has</w:t></w:r>
</w:p>
<w:p>
<w:pPr><w:pStyle w:val="Normal"/></w:pPr>
<w:r><w:t xml:space="preserve">been in past times a haphazard character in our shipbuilding</w:t></w:r>
</w:p>
<w:p>
<w:pPr><w:pStyle w:val="Normal"/></w:pPr>
<w:r><w:t xml:space="preserve">programmes, but with the introduction of the Naval Defence</w:t></w:r>
</w:p>
<w:p>
<w:pPr><w:pStyle w:val="Normal"/></w:pPr>
<w:r><w:t xml:space="preserve">Act of 1889, which looked ahead and was not content with</w:t></w:r>
</w:p>
<w:p>
<w:pPr><w:pStyle w:val="Normal"/></w:pPr>
<w:r><w:t xml:space="preserve">hand-to-mouth provision, a better state of things has grown</w:t></w:r>
</w:p>
<w:p>
<w:pPr><w:pStyle w:val="Normal"/></w:pPr>
<w:r><w:t xml:space="preserve">up, and with a larger sense of responsibility, a policy</w:t></w:r>
</w:p>
<w:p>
<w:pPr><w:pStyle w:val="Normal"/></w:pPr>
<w:r><w:t xml:space="preserve">characterized by something of continuity has been developed.</w:t></w:r>
</w:p>
<w:p>
<w:pPr><w:pStyle w:val="Normal"/></w:pPr>
<w:r><w:t xml:space="preserve">Certainly the largest factor in the better state of things has</w:t></w:r>
</w:p>
<w:p>
<w:pPr><w:pStyle w:val="Normal"/></w:pPr>
<w:r><w:t xml:space="preserve">been the growth of a strong body of public opinion as to the</w:t></w:r>
</w:p>
<w:p>
<w:pPr><w:pStyle w:val="Normal"/></w:pPr>
<w:r><w:t xml:space="preserve">supreme value of the navy for national and imperial welfare.</w:t></w:r>
</w:p>
<w:p>
<w:pPr><w:pStyle w:val="Normal"/></w:pPr>
<w:r><w:t xml:space="preserve">Another important and related matter that comes before</w:t></w:r>
</w:p>
<w:p>
<w:pPr><w:pStyle w:val="Normal"/></w:pPr>
<w:r><w:t xml:space="preserve">the Board of Admiralty is the character and design of</w:t></w:r>
</w:p>
<w:p>
<w:pPr><w:pStyle w:val="Normal"/></w:pPr>
<w:r><w:t xml:space="preserve">ships.  The naval members of the Board indicate the classes</w:t></w:r>
</w:p>
<w:p>
<w:pPr><w:pStyle w:val="Normal"/></w:pPr>
<w:r><w:t xml:space="preserve">and qualities desired, and it is the practice that the</w:t></w:r>
</w:p>
<w:p>
<w:pPr><w:pStyle w:val="Normal"/></w:pPr>
<w:r><w:t xml:space="preserve">sketch-design, presented in accordance with the instructions,</w:t></w:r>
</w:p>
<w:p>
<w:pPr><w:pStyle w:val="Normal"/></w:pPr>
<w:r><w:t xml:space="preserve">is fully discussed by the first naval lord and the controller,</w:t></w:r>
</w:p>
<w:p>
<w:pPr><w:pStyle w:val="Normal"/></w:pPr>
<w:r><w:t xml:space="preserve">and afterwards by the Board.  The design then takes further</w:t></w:r>
</w:p>
<w:p>
<w:pPr><w:pStyle w:val="Normal"/></w:pPr>
<w:r><w:t xml:space="preserve">shape, and when it has received the final sanction of the</w:t></w:r>
</w:p>
<w:p>
<w:pPr><w:pStyle w:val="Normal"/></w:pPr>
<w:r><w:t xml:space="preserve">Board it cannot be altered without the sanction of the same</w:t></w:r>
</w:p>
<w:p>
<w:pPr><w:pStyle w:val="Normal"/></w:pPr>
<w:r><w:t xml:space="preserve">authority.  A similar procedure is found in the other business</w:t></w:r>
</w:p>
<w:p>
<w:pPr><w:pStyle w:val="Normal"/></w:pPr>
<w:r><w:t xml:space="preserve">of the Admiralty Board, such as shore-works, docks and the</w:t></w:r>
</w:p>
<w:p>
<w:pPr><w:pStyle w:val="Normal"/></w:pPr>
<w:r><w:t xml:space="preserve">preparation of offensive and defensive plans of warfare--the</w:t></w:r>
</w:p>
<w:p>
<w:pPr><w:pStyle w:val="Normal"/></w:pPr>
<w:r><w:t xml:space="preserve">last being a very important matter that falls into the</w:t></w:r>
</w:p>
<w:p>
<w:pPr><w:pStyle w:val="Normal"/></w:pPr>
<w:r><w:t xml:space="preserve">operations of the Naval Intelligence Department, which has been</w:t></w:r>
</w:p>
<w:p>
<w:pPr><w:pStyle w:val="Normal"/></w:pPr>
<w:r><w:t xml:space="preserve">described, though not with perfect accuracy, and certainly</w:t></w:r>
</w:p>
<w:p>
<w:pPr><w:pStyle w:val="Normal"/></w:pPr>
<w:r><w:t xml:space="preserve">in no large sense, as ``the brain of the navy.&apos;&apos; That</w:t></w:r>
</w:p>
<w:p>
<w:pPr><w:pStyle w:val="Normal"/></w:pPr>
<w:r><w:t xml:space="preserve">department is under the direction of the first naval lord.</w:t></w:r>
</w:p>
<w:p>
<w:pPr><w:pStyle w:val="Normal"/></w:pPr>
<w:r><w:t xml:space="preserve">The shipbuilding programme may be described as the cornerstone</w:t></w:r>
</w:p>
<w:p>
<w:pPr><w:pStyle w:val="Normal"/></w:pPr>
<w:r><w:t xml:space="preserve">of the executive business of the admiralty, because upon it</w:t></w:r>
</w:p>
<w:p>
<w:pPr><w:pStyle w:val="Normal"/></w:pPr>
<w:r><w:t xml:space="preserve">depends very largely the preparation of all the other votes</w:t></w:r>
</w:p>
<w:p>
<w:pPr><w:pStyle w:val="Normal"/></w:pPr>
<w:r><w:t xml:space="preserve">relating to numbers, stores, victualling, clothing, &amp;c. But</w:t></w:r>
</w:p>
<w:p>
<w:pPr><w:pStyle w:val="Normal"/></w:pPr>
<w:r><w:t xml:space="preserve">if the Admiralty Board is responsible through the first lord</w:t></w:r>
</w:p>
<w:p>
<w:pPr><w:pStyle w:val="Normal"/></w:pPr>
<w:r><w:t xml:space="preserve">for the preparation of the estimates, it is also charged</w:t></w:r>
</w:p>
<w:p>
<w:pPr><w:pStyle w:val="Normal"/></w:pPr>
<w:r><w:t xml:space="preserve">with the business of supervising expenditure.  In this matter</w:t></w:r>
</w:p>
<w:p>
<w:pPr><w:pStyle w:val="Normal"/></w:pPr>
<w:r><w:t xml:space="preserve">the financial secretary plays a large part, and is directed</w:t></w:r>
</w:p>
<w:p>
<w:pPr><w:pStyle w:val="Normal"/></w:pPr>
<w:r><w:t xml:space="preserve">to assist the spending department of the admiralty in their</w:t></w:r>
</w:p>
<w:p>
<w:pPr><w:pStyle w:val="Normal"/></w:pPr>
<w:r><w:t xml:space="preserve">duty of watching the progress of their liabilities and</w:t></w:r>
</w:p>
<w:p>
<w:pPr><w:pStyle w:val="Normal"/></w:pPr>
<w:r><w:t xml:space="preserve">disbursements.  Some notes on admiralty finance will be</w:t></w:r>
</w:p>
<w:p>
<w:pPr><w:pStyle w:val="Normal"/></w:pPr>
<w:r><w:t xml:space="preserve">found below (section 4). The shipbuilding votes set the</w:t></w:r>
</w:p>
<w:p>
<w:pPr><w:pStyle w:val="Normal"/></w:pPr>
<w:r><w:t xml:space="preserve">larger machinery of the admiralty in motion.  The executive</w:t></w:r>
</w:p>
<w:p>
<w:pPr><w:pStyle w:val="Normal"/></w:pPr>
<w:r><w:t xml:space="preserve">departments, except in regard to the hulls and machinery of</w:t></w:r>
</w:p>
<w:p>
<w:pPr><w:pStyle w:val="Normal"/></w:pPr>
<w:r><w:t xml:space="preserve">ships and the special requirements of the director of works,</w:t></w:r>
</w:p>
<w:p>
<w:pPr><w:pStyle w:val="Normal"/></w:pPr>
<w:r><w:t xml:space="preserve">do not make purchases of stores, that work resting with the</w:t></w:r>
</w:p>
<w:p>
<w:pPr><w:pStyle w:val="Normal"/></w:pPr>
<w:r><w:t xml:space="preserve">director of navy contracts.  Most of the important executive</w:t></w:r>
</w:p>
<w:p>
<w:pPr><w:pStyle w:val="Normal"/></w:pPr>
<w:r><w:t xml:space="preserve">and spending branches are in the department of the controller,</w:t></w:r>
</w:p>
<w:p>
<w:pPr><w:pStyle w:val="Normal"/></w:pPr>
<w:r><w:t xml:space="preserve">and it will be well, while we are dealing with the material</w:t></w:r>
</w:p>
<w:p>
<w:pPr><w:pStyle w:val="Normal"/></w:pPr>
<w:r><w:t xml:space="preserve">side of the navy, to describe briefly their character and</w:t></w:r>
</w:p>
<w:p>
<w:pPr><w:pStyle w:val="Normal"/></w:pPr>
<w:r><w:t xml:space="preserve">duties.  The civil branches of the navy tributary to the</w:t></w:r>
</w:p>
<w:p>
<w:pPr><w:pStyle w:val="Normal"/></w:pPr>
<w:r><w:t xml:space="preserve">controller are those of the director of naval construction,</w:t></w:r>
</w:p>
<w:p>
<w:pPr><w:pStyle w:val="Normal"/></w:pPr>
<w:r><w:t xml:space="preserve">the engineer-in-chief, the directors of naval ordnance, of</w:t></w:r>
</w:p>
<w:p>
<w:pPr><w:pStyle w:val="Normal"/></w:pPr>
<w:r><w:t xml:space="preserve">dockyards and of stores, and the inspector of dockyard expense</w:t></w:r>
</w:p>
<w:p>
<w:pPr><w:pStyle w:val="Normal"/></w:pPr>
<w:r><w:t xml:space="preserve">accounts.  The first duty of the controller is, as has been</w:t></w:r>
</w:p>
<w:p>
<w:pPr><w:pStyle w:val="Normal"/></w:pPr>
<w:r><w:t xml:space="preserve">explained, in relation to the design and construction of ships</w:t></w:r>
</w:p>
<w:p>
<w:pPr><w:pStyle w:val="Normal"/></w:pPr>
<w:r><w:t xml:space="preserve">and their machinery, and the executive officials who have</w:t></w:r>
</w:p>
<w:p>
<w:pPr><w:pStyle w:val="Normal"/></w:pPr>
<w:r><w:t xml:space="preserve">charge of that work are the director of naval construction</w:t></w:r>
</w:p>
<w:p>
<w:pPr><w:pStyle w:val="Normal"/></w:pPr>
<w:r><w:t xml:space="preserve">and the engineer-in-chief, whose operations are closely</w:t></w:r>
</w:p>
<w:p>
<w:pPr><w:pStyle w:val="Normal"/></w:pPr>
<w:r><w:t xml:space="preserve">interrelated.  A vast administrative stride has been made in</w:t></w:r>
</w:p>
<w:p>
<w:pPr><w:pStyle w:val="Normal"/></w:pPr>
<w:r><w:t xml:space="preserve">this particular branch of the admiralty.  The work of design</w:t></w:r>
</w:p>
<w:p>
<w:pPr><w:pStyle w:val="Normal"/></w:pPr>
<w:r><w:t xml:space="preserve">and construction now go forward together, and the admiralty</w:t></w:r>
</w:p>
<w:p>
<w:pPr><w:pStyle w:val="Normal"/></w:pPr>
<w:r><w:t xml:space="preserve">designers are in close touch with the work in hand at the</w:t></w:r>
</w:p>
<w:p>
<w:pPr><w:pStyle w:val="Normal"/></w:pPr>
<w:r><w:t xml:space="preserve">dockyards.  This has been largely brought about by the</w:t></w:r>
</w:p>
<w:p>
<w:pPr><w:pStyle w:val="Normal"/></w:pPr>
<w:r><w:t xml:space="preserve">institution, in 1883, of the royal corps of naval constructors,</w:t></w:r>
</w:p>
<w:p>
<w:pPr><w:pStyle w:val="Normal"/></w:pPr>
<w:r><w:t xml:space="preserve">whose members interchange their duties between the designing</w:t></w:r>
</w:p>
<w:p>
<w:pPr><w:pStyle w:val="Normal"/></w:pPr>
<w:r><w:t xml:space="preserve">of ships at the admiralty and practical work at the</w:t></w:r>
</w:p>
<w:p>
<w:pPr><w:pStyle w:val="Normal"/></w:pPr>
<w:r><w:t xml:space="preserve">dockyards.  It is through the director of naval construction</w:t></w:r>
</w:p>
<w:p>
<w:pPr><w:pStyle w:val="Normal"/></w:pPr>
<w:r><w:t xml:space="preserve">that many of the spending departments are set in motion, since</w:t></w:r>
</w:p>
<w:p>
<w:pPr><w:pStyle w:val="Normal"/></w:pPr>
<w:r><w:t xml:space="preserve">he is responsible both for the design of ships and for their</w:t></w:r>
</w:p>
<w:p>
<w:pPr><w:pStyle w:val="Normal"/></w:pPr>
<w:r><w:t xml:space="preserve">construction.  It deserves to be noticed, however, that a</w:t></w:r>
</w:p>
<w:p>
<w:pPr><w:pStyle w:val="Normal"/></w:pPr>
<w:r><w:t xml:space="preserve">certain obscurity exists in regard to the relative duties of</w:t></w:r>
</w:p>
<w:p>
<w:pPr><w:pStyle w:val="Normal"/></w:pPr>
<w:r><w:t xml:space="preserve">the director of naval construction and the director of dockyards</w:t></w:r>
</w:p>
<w:p>
<w:pPr><w:pStyle w:val="Normal"/></w:pPr>
<w:r><w:t xml:space="preserve">touching constructive works in the yards.  The former officer</w:t></w:r>
</w:p>
<w:p>
<w:pPr><w:pStyle w:val="Normal"/></w:pPr>
<w:r><w:t xml:space="preserve">has also charge of all the work given out to contract, though</w:t></w:r>
</w:p>
<w:p>
<w:pPr><w:pStyle w:val="Normal"/></w:pPr>
<w:r><w:t xml:space="preserve">it is the business of the dockyard officials to certify that</w:t></w:r>
</w:p>
<w:p>
<w:pPr><w:pStyle w:val="Normal"/></w:pPr>
<w:r><w:t xml:space="preserve">the conditions of the contract have been fulfilled.  In all</w:t></w:r>
</w:p>
<w:p>
<w:pPr><w:pStyle w:val="Normal"/></w:pPr>
<w:r><w:t xml:space="preserve">this work the director of naval construction collaborates with</w:t></w:r>
</w:p>
<w:p>
<w:pPr><w:pStyle w:val="Normal"/></w:pPr>
<w:r><w:t xml:space="preserve">the engineer-in-chief, who is an independent officer and not a</w:t></w:r>
</w:p>
<w:p>
<w:pPr><w:pStyle w:val="Normal"/></w:pPr>
<w:r><w:t xml:space="preserve">subordinate, and whose procedure in regard to machinery closely</w:t></w:r>
</w:p>
<w:p>
<w:pPr><w:pStyle w:val="Normal"/></w:pPr>
<w:r><w:t xml:space="preserve">resembles that adopted in the matter of contract-built ships.</w:t></w:r>
</w:p>
<w:p>
<w:pPr><w:pStyle w:val="Normal"/></w:pPr>
<w:r><w:t xml:space="preserve">The director of naval ordnance is another officer of the</w:t></w:r>
</w:p>
<w:p>
<w:pPr><w:pStyle w:val="Normal"/></w:pPr>
<w:r><w:t xml:space="preserve">Controller&apos;s Department whose operations are very closely</w:t></w:r>
</w:p>
<w:p>
<w:pPr><w:pStyle w:val="Normal"/></w:pPr>
<w:r><w:t xml:space="preserve">related to the duties of the director of naval construction,</w:t></w:r>
</w:p>
<w:p>
<w:pPr><w:pStyle w:val="Normal"/></w:pPr>
<w:r><w:t xml:space="preserve">and the relation is both intimate and sustained, for in</w:t></w:r>
</w:p>
<w:p>
<w:pPr><w:pStyle w:val="Normal"/></w:pPr>
<w:r><w:t xml:space="preserve">the Ordnance Department everything that relates to guns,</w:t></w:r>
</w:p>
<w:p>
<w:pPr><w:pStyle w:val="Normal"/></w:pPr>
<w:r><w:t xml:space="preserve">gun-mountings, magazines, torpedo apparatus, electrical</w:t></w:r>
</w:p>
<w:p>
<w:pPr><w:pStyle w:val="Normal"/></w:pPr>
<w:r><w:t xml:space="preserve">fittings for guns, and other electrical fittings is centred.</w:t></w:r>
</w:p>
<w:p>
<w:pPr><w:pStyle w:val="Normal"/></w:pPr>
<w:r><w:t xml:space="preserve">A singular feature of this branch of administration is that</w:t></w:r>
</w:p>
<w:p>
<w:pPr><w:pStyle w:val="Normal"/></w:pPr>
<w:r><w:t xml:space="preserve">the navy long since lost direct control of ordnance matters,</w:t></w:r>
</w:p>
<w:p>
<w:pPr><w:pStyle w:val="Normal"/></w:pPr>
<w:r><w:t xml:space="preserve">through the duties connected with naval gunnery, formerly in</w:t></w:r>
</w:p>
<w:p>
<w:pPr><w:pStyle w:val="Normal"/></w:pPr>
<w:r><w:t xml:space="preserve">the hands of the master-general of the ordnance, and those of</w:t></w:r>
</w:p>
<w:p>
<w:pPr><w:pStyle w:val="Normal"/></w:pPr>
<w:r><w:t xml:space="preserve">the Board of Ordnance--a department common to the sea and land</w:t></w:r>
</w:p>
<w:p>
<w:pPr><w:pStyle w:val="Normal"/></w:pPr>
<w:r><w:t xml:space="preserve">services--being vested in 1855 in the secretary of state for</w:t></w:r>
</w:p>
<w:p>
<w:pPr><w:pStyle w:val="Normal"/></w:pPr>
<w:r><w:t xml:space="preserve">war.  A more satisfactory state of things has grown up through</w:t></w:r>
</w:p>
<w:p>
<w:pPr><w:pStyle w:val="Normal"/></w:pPr>
<w:r><w:t xml:space="preserve">the appointment of the director of naval ordnance, taking the</w:t></w:r>
</w:p>
<w:p>
<w:pPr><w:pStyle w:val="Normal"/></w:pPr>
<w:r><w:t xml:space="preserve">place of the naval officer who formerly advised the director</w:t></w:r>
</w:p>
<w:p>
<w:pPr><w:pStyle w:val="Normal"/></w:pPr>
<w:r><w:t xml:space="preserve">of artillery at the War Office.  Expenditure on ordnance has</w:t></w:r>
</w:p>
<w:p>
<w:pPr><w:pStyle w:val="Normal"/></w:pPr>
<w:r><w:t xml:space="preserve">also been transferred from the army to the navy estimates, and</w:t></w:r>
</w:p>
<w:p>
<w:pPr><w:pStyle w:val="Normal"/></w:pPr>
<w:r><w:t xml:space="preserve">a Naval Ordnance Store Department has been created.  It cannot</w:t></w:r>
</w:p>
<w:p>
<w:pPr><w:pStyle w:val="Normal"/></w:pPr>
<w:r><w:t xml:space="preserve">be said that the condition is yet satisfactory, nor can it be</w:t></w:r>
</w:p>
<w:p>
<w:pPr><w:pStyle w:val="Normal"/></w:pPr>
<w:r><w:t xml:space="preserve">until the navy has control of and responsibility for its own</w:t></w:r>
</w:p>
<w:p>
<w:pPr><w:pStyle w:val="Normal"/></w:pPr>
<w:r><w:t xml:space="preserve">ordnance.  The assistant-director of torpedoes is an officer</w:t></w:r>
</w:p>
<w:p>
<w:pPr><w:pStyle w:val="Normal"/></w:pPr>
<w:r><w:t xml:space="preserve">instituted at the admiralty within recent years, and his duty is</w:t></w:r>
</w:p>
<w:p>
<w:pPr><w:pStyle w:val="Normal"/></w:pPr>
<w:r><w:t xml:space="preserve">to assist the director of naval ordnance in all torpedo matters.</w:t></w:r>
</w:p>
<w:p>
<w:pPr><w:pStyle w:val="Normal"/></w:pPr>
<w:r><w:t xml:space="preserve">The director of dockyards replaced the surveyor of dockyards in</w:t></w:r>
</w:p>
<w:p>
<w:pPr><w:pStyle w:val="Normal"/></w:pPr>
<w:r><w:t xml:space="preserve">1885, at about which time the inspector of dockyard expense</w:t></w:r>
</w:p>
<w:p>
<w:pPr><w:pStyle w:val="Normal"/></w:pPr>
<w:r><w:t xml:space="preserve">accounts was instituted.  It is upon the director of dockyards</w:t></w:r>
</w:p>
<w:p>
<w:pPr><w:pStyle w:val="Normal"/></w:pPr>
<w:r><w:t xml:space="preserve">(q.v.) that the responsibility of the controller devolves in</w:t></w:r>
</w:p>
<w:p>
<w:pPr><w:pStyle w:val="Normal"/></w:pPr>
<w:r><w:t xml:space="preserve">regard to the management of dockyards and naval establishments</w:t></w:r>
</w:p>
<w:p>
<w:pPr><w:pStyle w:val="Normal"/></w:pPr>
<w:r><w:t xml:space="preserve">at home and abroad, and to the performance of work in these</w:t></w:r>
</w:p>
<w:p>
<w:pPr><w:pStyle w:val="Normal"/></w:pPr>
<w:r><w:t xml:space="preserve">establishments, ship and boat building, maintenance, repairs and</w:t></w:r>
</w:p>
<w:p>
<w:pPr><w:pStyle w:val="Normal"/></w:pPr>
<w:r><w:t xml:space="preserve">refits.  In this department the programme for work in the dockyards</w:t></w:r>
</w:p>
<w:p>
<w:pPr><w:pStyle w:val="Normal"/></w:pPr>
<w:r><w:t xml:space="preserve">is prepared, as well as certain sections of the navy estimates.</w:t></w:r>
</w:p>
<w:p>
<w:pPr><w:pStyle w:val="Normal"/></w:pPr>
<w:r><w:t xml:space="preserve">We now come to the Stores Department, with the director of</w:t></w:r>
</w:p>
<w:p>
<w:pPr><w:pStyle w:val="Normal"/></w:pPr>
<w:r><w:t xml:space="preserve">stores as its chief.  This officer, about the year 1869,</w:t></w:r>
</w:p>
<w:p>
<w:pPr><w:pStyle w:val="Normal"/></w:pPr>
<w:r><w:t xml:space="preserve">took over the storekeeping duties previously vested in the</w:t></w:r>
</w:p>
<w:p>
<w:pPr><w:pStyle w:val="Normal"/></w:pPr>
<w:r><w:t xml:space="preserve">storekeeper- general.  The Naval Store Department is charged</w:t></w:r>
</w:p>
<w:p>
<w:pPr><w:pStyle w:val="Normal"/></w:pPr>
<w:r><w:t xml:space="preserve">with the custody and issue of naval, as distinguished from</w:t></w:r>
</w:p>
<w:p>
<w:pPr><w:pStyle w:val="Normal"/></w:pPr>
<w:r><w:t xml:space="preserve">victualling and ordnance stores, to be used in naval dockyards</w:t></w:r>
</w:p>
<w:p>
<w:pPr><w:pStyle w:val="Normal"/></w:pPr>
<w:r><w:t xml:space="preserve">and establishments for the building, fitting and repairing of</w:t></w:r>
</w:p>
<w:p>
<w:pPr><w:pStyle w:val="Normal"/></w:pPr>
<w:r><w:t xml:space="preserve">warships.  It has, however, no concern with stores that</w:t></w:r>
</w:p>
<w:p>
<w:pPr><w:pStyle w:val="Normal"/></w:pPr>
<w:r><w:t xml:space="preserve">belong to the Department of Works.  The business of the</w:t></w:r>
</w:p>
<w:p>
<w:pPr><w:pStyle w:val="Normal"/></w:pPr>
<w:r><w:t xml:space="preserve">director of stores is also to receive and issue the stores</w:t></w:r>
</w:p>
<w:p>
<w:pPr><w:pStyle w:val="Normal"/></w:pPr>
<w:r><w:t xml:space="preserve">for ships of all classes in commission and reserve, and he</w:t></w:r>
</w:p>
<w:p>
<w:pPr><w:pStyle w:val="Normal"/></w:pPr>
<w:r><w:t xml:space="preserve">deals with a vast array of objects and materials necessary</w:t></w:r>
</w:p>
<w:p>
<w:pPr><w:pStyle w:val="Normal"/></w:pPr>
<w:r><w:t xml:space="preserve">for the fleet, and with coals and coaling.  He frames the</w:t></w:r>
</w:p>
<w:p>
<w:pPr><w:pStyle w:val="Normal"/></w:pPr>
<w:r><w:t xml:space="preserve">estimates for his department, but his purchases are made</w:t></w:r>
</w:p>
<w:p>
<w:pPr><w:pStyle w:val="Normal"/></w:pPr>
<w:r><w:t xml:space="preserve">through the director of navy contracts.  In practice the</w:t></w:r>
</w:p>
<w:p>
<w:pPr><w:pStyle w:val="Normal"/></w:pPr>
<w:r><w:t xml:space="preserve">main business of the Stores Department is to see to the</w:t></w:r>
</w:p>
<w:p>
<w:pPr><w:pStyle w:val="Normal"/></w:pPr>
<w:r><w:t xml:space="preserve">provision of stores for the navy, and to the proper supply</w:t></w:r>
</w:p>
<w:p>
<w:pPr><w:pStyle w:val="Normal"/></w:pPr>
<w:r><w:t xml:space="preserve">of these at all the establishments, and for this purpose its</w:t></w:r>
</w:p>
<w:p>
<w:pPr><w:pStyle w:val="Normal"/></w:pPr>
<w:r><w:t xml:space="preserve">officials direct the movements of storeships, and arrange</w:t></w:r>
</w:p>
<w:p>
<w:pPr><w:pStyle w:val="Normal"/></w:pPr>
<w:r><w:t xml:space="preserve">for the despatch of colliers, the director being charged to</w:t></w:r>
</w:p>
<w:p>
<w:pPr><w:pStyle w:val="Normal"/></w:pPr>
<w:r><w:t xml:space="preserve">be ``careful to provide for His Majesty&apos;s ships on foreign</w:t></w:r>
</w:p>
<w:p>
<w:pPr><w:pStyle w:val="Normal"/></w:pPr>
<w:r><w:t xml:space="preserve">stations, and for the necessary supplies to foreign yards.&apos;&apos;</w:t></w:r>
</w:p>
<w:p>
<w:pPr><w:pStyle w:val="Normal"/></w:pPr>
<w:r><w:t xml:space="preserve">Another important business of the director of stores is the</w:t></w:r>
</w:p>
<w:p>
<w:pPr><w:pStyle w:val="Normal"/></w:pPr>
<w:r><w:t xml:space="preserve">examination of the store accounts of ships as well as some other</w:t></w:r>
</w:p>
<w:p>
<w:pPr><w:pStyle w:val="Normal"/></w:pPr>
<w:r><w:t xml:space="preserve">accounts.  Although the director of stores is really in the</w:t></w:r>
</w:p>
<w:p>
<w:pPr><w:pStyle w:val="Normal"/></w:pPr>
<w:r><w:t xml:space="preserve">department of the controller, he is supervised in regard</w:t></w:r>
</w:p>
<w:p>
<w:pPr><w:pStyle w:val="Normal"/></w:pPr>
<w:r><w:t xml:space="preserve">to the coaling of the fleet by the junior naval lord.  The</w:t></w:r>
</w:p>
<w:p>
<w:pPr><w:pStyle w:val="Normal"/></w:pPr>
<w:r><w:t xml:space="preserve">inspector of dockyard expense accounts has been alluded</w:t></w:r>
</w:p>
<w:p>
<w:pPr><w:pStyle w:val="Normal"/></w:pPr>
<w:r><w:t xml:space="preserve">to.  He is the officer charged with keeping a record of</w:t></w:r>
</w:p>
<w:p>
<w:pPr><w:pStyle w:val="Normal"/></w:pPr>
<w:r><w:t xml:space="preserve">expenditure at the dockyards and of supervising expense accounts.</w:t></w:r>
</w:p>
<w:p>
<w:pPr><w:pStyle w:val="Normal"/></w:pPr>
<w:r><w:t xml:space="preserve">Expenditure.</w:t></w:r>
</w:p>
<w:p>
<w:pPr><w:pStyle w:val="Normal"/></w:pPr>
<w:r><w:t xml:space="preserve">It may be useful to add a note concerning the spending of the</w:t></w:r>
</w:p>
<w:p>
<w:pPr><w:pStyle w:val="Normal"/></w:pPr>
<w:r><w:t xml:space="preserve">money.  Within the controller&apos;s department, as has been</w:t></w:r>
</w:p>
<w:p>
<w:pPr><w:pStyle w:val="Normal"/></w:pPr>
<w:r><w:t xml:space="preserve">explained, are centred the more important spending branches of the</w:t></w:r>
</w:p>
<w:p>
<w:pPr><w:pStyle w:val="Normal"/></w:pPr>
<w:r><w:t xml:space="preserve">admiralty.  While the work of designing ships and preparing</w:t></w:r>
</w:p>
<w:p>
<w:pPr><w:pStyle w:val="Normal"/></w:pPr>
<w:r><w:t xml:space="preserve">plans is in progress, the director of stores, the director</w:t></w:r>
</w:p>
<w:p>
<w:pPr><w:pStyle w:val="Normal"/></w:pPr>
<w:r><w:t xml:space="preserve">of dockyards and other officials of that department concerned</w:t></w:r>
</w:p>
<w:p>
<w:pPr><w:pStyle w:val="Normal"/></w:pPr>
<w:r><w:t xml:space="preserve">are making preparation for the work.  The necessary stores,</w:t></w:r>
</w:p>
<w:p>
<w:pPr><w:pStyle w:val="Normal"/></w:pPr>
<w:r><w:t xml:space="preserve">comprising almost every imaginable class of materials, are</w:t></w:r>
</w:p>
<w:p>
<w:pPr><w:pStyle w:val="Normal"/></w:pPr>
<w:r><w:t xml:space="preserve">brought together, and the director of stores is specially charged</w:t></w:r>
</w:p>
<w:p>
<w:pPr><w:pStyle w:val="Normal"/></w:pPr>
<w:r><w:t xml:space="preserve">to obtain accurate information in regard to requirements.</w:t></w:r>
</w:p>
<w:p>
<w:pPr><w:pStyle w:val="Normal"/></w:pPr>
<w:r><w:t xml:space="preserve">He is not, however, a purchasing officer, that work being</w:t></w:r>
</w:p>
<w:p>
<w:pPr><w:pStyle w:val="Normal"/></w:pPr>
<w:r><w:t xml:space="preserve">undertaken by the director of navy contracts, who is concerned</w:t></w:r>
</w:p>
<w:p>
<w:pPr><w:pStyle w:val="Normal"/></w:pPr>
<w:r><w:t xml:space="preserve">with the whole business of supply, except in regard to hulls</w:t></w:r>
</w:p>
<w:p>
<w:pPr><w:pStyle w:val="Normal"/></w:pPr>
<w:r><w:t xml:space="preserve">and machinery of ships built by contract, and the special</w:t></w:r>
</w:p>
<w:p>
<w:pPr><w:pStyle w:val="Normal"/></w:pPr>
<w:r><w:t xml:space="preserve">requirements of the director of works.  At the same time,</w:t></w:r>
</w:p>
<w:p>
<w:pPr><w:pStyle w:val="Normal"/></w:pPr>
<w:r><w:t xml:space="preserve">the civil departments of the admiralty being held responsible</w:t></w:r>
</w:p>
<w:p>
<w:pPr><w:pStyle w:val="Normal"/></w:pPr>
<w:r><w:t xml:space="preserve">for the administration of the votes they compile, it is their</w:t></w:r>
</w:p>
<w:p>
<w:pPr><w:pStyle w:val="Normal"/></w:pPr>
<w:r><w:t xml:space="preserve">duty to watch the outlay of money, and to see that it is well</w:t></w:r>
</w:p>
<w:p>
<w:pPr><w:pStyle w:val="Normal"/></w:pPr>
<w:r><w:t xml:space="preserve">expended, the accountant-general being directed to assist</w:t></w:r>
</w:p>
<w:p>
<w:pPr><w:pStyle w:val="Normal"/></w:pPr>
<w:r><w:t xml:space="preserve">them in this work.  The system is closely jointed and well</w:t></w:r>
</w:p>
<w:p>
<w:pPr><w:pStyle w:val="Normal"/></w:pPr>
<w:r><w:t xml:space="preserve">administered, but it possesses a very centralized character,</w:t></w:r>
</w:p>
<w:p>
<w:pPr><w:pStyle w:val="Normal"/></w:pPr>
<w:r><w:t xml:space="preserve">which interferes to some extent with flexible working, and</w:t></w:r>
</w:p>
<w:p>
<w:pPr><w:pStyle w:val="Normal"/></w:pPr>
<w:r><w:t xml:space="preserve">with the progress of necessary repairs, especially in foreign</w:t></w:r>
</w:p>
<w:p>
<w:pPr><w:pStyle w:val="Normal"/></w:pPr>
<w:r><w:t xml:space="preserve">yards.  In so far as ships given out to contract are concerned</w:t></w:r>
</w:p>
<w:p>
<w:pPr><w:pStyle w:val="Normal"/></w:pPr>
<w:r><w:t xml:space="preserve">(and the same is the case in regard to propelling machinery</w:t></w:r>
</w:p>
<w:p>
<w:pPr><w:pStyle w:val="Normal"/></w:pPr>
<w:r><w:t xml:space="preserve">built by contract), the director of navy contracts plays no</w:t></w:r>
</w:p>
<w:p>
<w:pPr><w:pStyle w:val="Normal"/></w:pPr>
<w:r><w:t xml:space="preserve">part, the professional business being conducted through the</w:t></w:r>
</w:p>
<w:p>
<w:pPr><w:pStyle w:val="Normal"/></w:pPr>
<w:r><w:t xml:space="preserve">controller of the navy, who is advised thereon by the director</w:t></w:r>
</w:p>
<w:p>
<w:pPr><w:pStyle w:val="Normal"/></w:pPr>
<w:r><w:t xml:space="preserve">of naval construction and the engineer-in-chief.  The work</w:t></w:r>
</w:p>
<w:p>
<w:pPr><w:pStyle w:val="Normal"/></w:pPr>
<w:r><w:t xml:space="preserve">conducted in private establishments is closely watched by the</w:t></w:r>
</w:p>
<w:p>
<w:pPr><w:pStyle w:val="Normal"/></w:pPr>
<w:r><w:t xml:space="preserve">admiralty officials, and is thoroughly tested, but, mutatis</w:t></w:r>
</w:p>
<w:p>
<w:pPr><w:pStyle w:val="Normal"/></w:pPr>
<w:r><w:t xml:space="preserve">mutandis, the system in regard to contract-built ships is</w:t></w:r>
</w:p>
<w:p>
<w:pPr><w:pStyle w:val="Normal"/></w:pPr>
<w:r><w:t xml:space="preserve">practically the same as that which prevails in the dockyards.</w:t></w:r>
</w:p>
<w:p>
<w:pPr><w:pStyle w:val="Normal"/></w:pPr>
<w:r><w:t xml:space="preserve">4. Naval Finance: The Accountant-General&apos;s Department.-- The</w:t></w:r>
</w:p>
<w:p>
<w:pPr><w:pStyle w:val="Normal"/></w:pPr>
<w:r><w:t xml:space="preserve">subject of naval finance is one of great complexity and of vast</w:t></w:r>
</w:p>
<w:p>
<w:pPr><w:pStyle w:val="Normal"/></w:pPr>
<w:r><w:t xml:space="preserve">importance.  The large sums of money with which the admiralty</w:t></w:r>
</w:p>
<w:p>
<w:pPr><w:pStyle w:val="Normal"/></w:pPr>
<w:r><w:t xml:space="preserve">deals in the way of both estimates and expenditure, amounting</w:t></w:r>
</w:p>
<w:p>
<w:pPr><w:pStyle w:val="Normal"/></w:pPr>
<w:r><w:t xml:space="preserve">recently to about L. 30,000,000 annually, implies the existence</w:t></w:r>
</w:p>
<w:p>
<w:pPr><w:pStyle w:val="Normal"/></w:pPr>
<w:r><w:t xml:space="preserve">of the great organization which is found in the department of</w:t></w:r>
</w:p>
<w:p>
<w:pPr><w:pStyle w:val="Normal"/></w:pPr>
<w:r><w:t xml:space="preserve">the accountant-general of the navy.  Under the authority of</w:t></w:r>
</w:p>
<w:p>
<w:pPr><w:pStyle w:val="Normal"/></w:pPr>
<w:r><w:t xml:space="preserve">the first lord, the parliamentary and financial secretary is</w:t></w:r>
</w:p>
<w:p>
<w:pPr><w:pStyle w:val="Normal"/></w:pPr>
<w:r><w:t xml:space="preserve">responsible for the finance of the admiralty in general, and</w:t></w:r>
</w:p>
<w:p>
<w:pPr><w:pStyle w:val="Normal"/></w:pPr>
<w:r><w:t xml:space="preserve">for the estimates and the expenditure, the accounts and the</w:t></w:r>
</w:p>
<w:p>
<w:pPr><w:pStyle w:val="Normal"/></w:pPr>
<w:r><w:t xml:space="preserve">purchases, and for all matters which concern the relations</w:t></w:r>
</w:p>
<w:p>
<w:pPr><w:pStyle w:val="Normal"/></w:pPr>
<w:r><w:t xml:space="preserve">of the admiralty to the treasury and to other departments</w:t></w:r>
</w:p>
<w:p>
<w:pPr><w:pStyle w:val="Normal"/></w:pPr>
<w:r><w:t xml:space="preserve">of the government; and in all the practical and advisory</w:t></w:r>
</w:p>
<w:p>
<w:pPr><w:pStyle w:val="Normal"/></w:pPr>
<w:r><w:t xml:space="preserve">work the accountant-general is his officer, acting as his</w:t></w:r>
</w:p>
<w:p>
<w:pPr><w:pStyle w:val="Normal"/></w:pPr>
<w:r><w:t xml:space="preserve">assistant, with the director of naval contracts who, under</w:t></w:r>
</w:p>
<w:p>
<w:pPr><w:pStyle w:val="Normal"/></w:pPr>
<w:r><w:t xml:space="preserve">the several lords, is concerned with the business of purchase.</w:t></w:r>
</w:p>
<w:p>
<w:pPr><w:pStyle w:val="Normal"/></w:pPr>
<w:r><w:t xml:space="preserve">The organization of the accountant-general&apos;s department has</w:t></w:r>
</w:p>
<w:p>
<w:pPr><w:pStyle w:val="Normal"/></w:pPr>
<w:r><w:t xml:space="preserve">undergone many changes, and the resulting condition is the</w:t></w:r>
</w:p>
<w:p>
<w:pPr><w:pStyle w:val="Normal"/></w:pPr>
<w:r><w:t xml:space="preserve">outcome of various modifications which have had for their</w:t></w:r>
</w:p>
<w:p>
<w:pPr><w:pStyle w:val="Normal"/></w:pPr>
<w:r><w:t xml:space="preserve">purpose to give to this officer a measure of financial</w:t></w:r>
</w:p>
<w:p>
<w:pPr><w:pStyle w:val="Normal"/></w:pPr>
<w:r><w:t xml:space="preserve">control.  There have been various views as to what the</w:t></w:r>
</w:p>
<w:p>
<w:pPr><w:pStyle w:val="Normal"/></w:pPr>
<w:r><w:t xml:space="preserve">duties of the accountant- general should be.  After the</w:t></w:r>
</w:p>
<w:p>
<w:pPr><w:pStyle w:val="Normal"/></w:pPr>
<w:r><w:t xml:space="preserve">reorganization of the admiralty by Sir James Graham in</w:t></w:r>
</w:p>
<w:p>
<w:pPr><w:pStyle w:val="Normal"/></w:pPr>
<w:r><w:t xml:space="preserve">1832, the accountant-general was regarded as a recording</w:t></w:r>
</w:p>
<w:p>
<w:pPr><w:pStyle w:val="Normal"/></w:pPr>
<w:r><w:t xml:space="preserve">and accounting officer, wholly concerned with receipt and</w:t></w:r>
</w:p>
<w:p>
<w:pPr><w:pStyle w:val="Normal"/></w:pPr>
<w:r><w:t xml:space="preserve">expenditure.  His duties were limited to the auditing of</w:t></w:r>
</w:p>
<w:p>
<w:pPr><w:pStyle w:val="Normal"/></w:pPr>
<w:r><w:t xml:space="preserve">accounts, payments and expenditure generally.  Owing to changes</w:t></w:r>
</w:p>
<w:p>
<w:pPr><w:pStyle w:val="Normal"/></w:pPr>
<w:r><w:t xml:space="preserve">effected in 1869, which made the parliamentary secretary,</w:t></w:r>
</w:p>
<w:p>
<w:pPr><w:pStyle w:val="Normal"/></w:pPr>
<w:r><w:t xml:space="preserve">assisted by the civil lord, responsible for finance at the</w:t></w:r>
</w:p>
<w:p>
<w:pPr><w:pStyle w:val="Normal"/></w:pPr>
<w:r><w:t xml:space="preserve">admiralty, bringing the naval and victualling store departments</w:t></w:r>
</w:p>
<w:p>
<w:pPr><w:pStyle w:val="Normal"/></w:pPr>
<w:r><w:t xml:space="preserve">into his charge. the accountant-general was invested with</w:t></w:r>
</w:p>
<w:p>
<w:pPr><w:pStyle w:val="Normal"/></w:pPr>
<w:r><w:t xml:space="preserve">the power of criticizing these accounts financially, though</w:t></w:r>
</w:p>
<w:p>
<w:pPr><w:pStyle w:val="Normal"/></w:pPr>
<w:r><w:t xml:space="preserve">he did not as yet possess any financial control, and the</w:t></w:r>
</w:p>
<w:p>
<w:pPr><w:pStyle w:val="Normal"/></w:pPr>
<w:r><w:t xml:space="preserve">position was little changed by fresh rules made in 1876.  It</w:t></w:r>
</w:p>
<w:p>
<w:pPr><w:pStyle w:val="Normal"/></w:pPr>
<w:r><w:t xml:space="preserve">was not until 1880 that the powers of the accountant-general</w:t></w:r>
</w:p>
<w:p>
<w:pPr><w:pStyle w:val="Normal"/></w:pPr>
<w:r><w:t xml:space="preserve">were enlarged in this direction.  It was then ordered that he</w:t></w:r>
</w:p>
<w:p>
<w:pPr><w:pStyle w:val="Normal"/></w:pPr>
<w:r><w:t xml:space="preserve">should be consulted before any expenditure which the estimates</w:t></w:r>
</w:p>
<w:p>
<w:pPr><w:pStyle w:val="Normal"/></w:pPr>
<w:r><w:t xml:space="preserve">had not provided for was incurred, and before any money voted</w:t></w:r>
</w:p>
<w:p>
<w:pPr><w:pStyle w:val="Normal"/></w:pPr>
<w:r><w:t xml:space="preserve">was applied to other purposes than those for which it was</w:t></w:r>
</w:p>
<w:p>
<w:pPr><w:pStyle w:val="Normal"/></w:pPr>
<w:r><w:t xml:space="preserve">provided.  The effect of this order was not happy, for the</w:t></w:r>
</w:p>
<w:p>
<w:pPr><w:pStyle w:val="Normal"/></w:pPr>
<w:r><w:t xml:space="preserve">accountant-general could not undertake these duties without</w:t></w:r>
</w:p>
<w:p>
<w:pPr><w:pStyle w:val="Normal"/></w:pPr>
<w:r><w:t xml:space="preserve">setting up friction with the departments whose accounts he</w:t></w:r>
</w:p>
<w:p>
<w:pPr><w:pStyle w:val="Normal"/></w:pPr>
<w:r><w:t xml:space="preserve">criticized.  It was contemplated by the admiralty in 1885 to</w:t></w:r>
</w:p>
<w:p>
<w:pPr><w:pStyle w:val="Normal"/></w:pPr>
<w:r><w:t xml:space="preserve">make the accountant-general the assistant of the financial</w:t></w:r>
</w:p>
<w:p>
<w:pPr><w:pStyle w:val="Normal"/></w:pPr>
<w:r><w:t xml:space="preserve">secretary, and to raise him to the position of a permanent</w:t></w:r>
</w:p>
<w:p>
<w:pPr><w:pStyle w:val="Normal"/></w:pPr>
<w:r><w:t xml:space="preserve">officer of finance instead of being an officer of account</w:t></w:r>
</w:p>
<w:p>
<w:pPr><w:pStyle w:val="Normal"/></w:pPr>
<w:r><w:t xml:space="preserve">invested with imperfect authority in the direction of</w:t></w:r>
</w:p>
<w:p>
<w:pPr><w:pStyle w:val="Normal"/></w:pPr>
<w:r><w:t xml:space="preserve">control.  A select committee of the House of Commons reported</w:t></w:r>
</w:p>
<w:p>
<w:pPr><w:pStyle w:val="Normal"/></w:pPr>
<w:r><w:t xml:space="preserve">that the accountant-general possessed no financial control</w:t></w:r>
</w:p>
<w:p>
<w:pPr><w:pStyle w:val="Normal"/></w:pPr>
<w:r><w:t xml:space="preserve">over the departments, and that there was an urgent need for</w:t></w:r>
</w:p>
<w:p>
<w:pPr><w:pStyle w:val="Normal"/></w:pPr>
<w:r><w:t xml:space="preserve">establishing such a control.  At the time the position of</w:t></w:r>
</w:p>
<w:p>
<w:pPr><w:pStyle w:val="Normal"/></w:pPr>
<w:r><w:t xml:space="preserve">that officer did not enable him to exercise any sufficient</w:t></w:r>
</w:p>
<w:p>
<w:pPr><w:pStyle w:val="Normal"/></w:pPr>
<w:r><w:t xml:space="preserve">general supervision over expenditure, and there was no</w:t></w:r>
</w:p>
<w:p>
<w:pPr><w:pStyle w:val="Normal"/></w:pPr>
<w:r><w:t xml:space="preserve">permanent high official expressly charged with finance.</w:t></w:r>
</w:p>
<w:p>
<w:pPr><w:pStyle w:val="Normal"/></w:pPr>
<w:r><w:t xml:space="preserve">Accordingly, after being submitted to a departmental committee,</w:t></w:r>
</w:p>
<w:p>
<w:pPr><w:pStyle w:val="Normal"/></w:pPr>
<w:r><w:t xml:space="preserve">a fresh arrangement was made in November 1885, whereby the</w:t></w:r>
</w:p>
<w:p>
<w:pPr><w:pStyle w:val="Normal"/></w:pPr>
<w:r><w:t xml:space="preserve">accountant-general, under the authority of the financial</w:t></w:r>
</w:p>
<w:p>
<w:pPr><w:pStyle w:val="Normal"/></w:pPr>
<w:r><w:t xml:space="preserve">secretary, was given a direct share in the preparation of the</w:t></w:r>
</w:p>
<w:p>
<w:pPr><w:pStyle w:val="Normal"/></w:pPr>
<w:r><w:t xml:space="preserve">estimates.  His written concurrence was required before the</w:t></w:r>
</w:p>
<w:p>
<w:pPr><w:pStyle w:val="Normal"/></w:pPr>
<w:r><w:t xml:space="preserve">final approval of the votes, and each vote was referred to</w:t></w:r>
</w:p>
<w:p>
<w:pPr><w:pStyle w:val="Normal"/></w:pPr>
<w:r><w:t xml:space="preserve">him for his approval or observations, and he was to exercise</w:t></w:r>
</w:p>
<w:p>
<w:pPr><w:pStyle w:val="Normal"/></w:pPr>
<w:r><w:t xml:space="preserve">a financial review of expenditure and to see that it was</w:t></w:r>
</w:p>
<w:p>
<w:pPr><w:pStyle w:val="Normal"/></w:pPr>
<w:r><w:t xml:space="preserve">properly accounted for.  He became, in fact, ``the officer</w:t></w:r>
</w:p>
<w:p>
<w:pPr><w:pStyle w:val="Normal"/></w:pPr>
<w:r><w:t xml:space="preserve">to be consulted on all matters involving an expenditure of</w:t></w:r>
</w:p>
<w:p>
<w:pPr><w:pStyle w:val="Normal"/></w:pPr>
<w:r><w:t xml:space="preserve">naval funds.&apos;&apos; It was believed that economical administration</w:t></w:r>
</w:p>
<w:p>
<w:pPr><w:pStyle w:val="Normal"/></w:pPr>
<w:r><w:t xml:space="preserve">would result; but much opposition was raised to the principle</w:t></w:r>
</w:p>
<w:p>
<w:pPr><w:pStyle w:val="Normal"/></w:pPr>
<w:r><w:t xml:space="preserve">that was involved of submitting the proposals of responsible</w:t></w:r>
</w:p>
<w:p>
<w:pPr><w:pStyle w:val="Normal"/></w:pPr>
<w:r><w:t xml:space="preserve">departments to the inexpert criticism of a financial</w:t></w:r>
</w:p>
<w:p>
<w:pPr><w:pStyle w:val="Normal"/></w:pPr>
<w:r><w:t xml:space="preserve">authority.  Mr Main, assistant accountant-general, stated</w:t></w:r>
</w:p>
<w:p>
<w:pPr><w:pStyle w:val="Normal"/></w:pPr>
<w:r><w:t xml:space="preserve">before the Royal Commission on Civil Establishments, 1887,</w:t></w:r>
</w:p>
<w:p>
<w:pPr><w:pStyle w:val="Normal"/></w:pPr>
<w:r><w:t xml:space="preserve">that the effect had been to develop a tendency to withhold</w:t></w:r>
</w:p>
<w:p>
<w:pPr><w:pStyle w:val="Normal"/></w:pPr>
<w:r><w:t xml:space="preserve">information or to afford only partial information, as well</w:t></w:r>
</w:p>
<w:p>
<w:pPr><w:pStyle w:val="Normal"/></w:pPr>
<w:r><w:t xml:space="preserve">as to cause friction when questions were raised affecting</w:t></w:r>
</w:p>
<w:p>
<w:pPr><w:pStyle w:val="Normal"/></w:pPr>
<w:r><w:t xml:space="preserve">expenditure, accompanied by protests, even in those cases</w:t></w:r>
</w:p>
<w:p>
<w:pPr><w:pStyle w:val="Normal"/></w:pPr>
<w:r><w:t xml:space="preserve">in which these questions were manifestly of a legitimate</w:t></w:r>
</w:p>
<w:p>
<w:pPr><w:pStyle w:val="Normal"/></w:pPr>
<w:r><w:t xml:space="preserve">character.  The result was discouraging, and in the opinion</w:t></w:r>
</w:p>
<w:p>
<w:pPr><w:pStyle w:val="Normal"/></w:pPr>
<w:r><w:t xml:space="preserve">of Mr Main had done much to weaken financial control and to</w:t></w:r>
</w:p>
<w:p>
<w:pPr><w:pStyle w:val="Normal"/></w:pPr>
<w:r><w:t xml:space="preserve">defeat the purpose of the order.  It is unnecessary to detail</w:t></w:r>
</w:p>
<w:p>
<w:pPr><w:pStyle w:val="Normal"/></w:pPr>
<w:r><w:t xml:space="preserve">the various changes that have been made by the institution of</w:t></w:r>
</w:p>
<w:p>
<w:pPr><w:pStyle w:val="Normal"/></w:pPr>
<w:r><w:t xml:space="preserve">dockyard expense accounts in the department of the controller,</w:t></w:r>
</w:p>
<w:p>
<w:pPr><w:pStyle w:val="Normal"/></w:pPr>
<w:r><w:t xml:space="preserve">and by various other alterations introduced.  The treasury</w:t></w:r>
</w:p>
<w:p>
<w:pPr><w:pStyle w:val="Normal"/></w:pPr>
<w:r><w:t xml:space="preserve">instituted an independent audit of store accounts which greatly</w:t></w:r>
</w:p>
<w:p>
<w:pPr><w:pStyle w:val="Normal"/></w:pPr>
<w:r><w:t xml:space="preserve">affected the position of the accountant-general, and the Royal</w:t></w:r>
</w:p>
<w:p>
<w:pPr><w:pStyle w:val="Normal"/></w:pPr>
<w:r><w:t xml:space="preserve">Commission on Civil Establishments reported that the Board</w:t></w:r>
</w:p>
<w:p>
<w:pPr><w:pStyle w:val="Normal"/></w:pPr>
<w:r><w:t xml:space="preserve">of Admiralty were of opinion that they could dispense with</w:t></w:r>
</w:p>
<w:p>
<w:pPr><w:pStyle w:val="Normal"/></w:pPr>
<w:r><w:t xml:space="preserve">the accountant- general&apos;s review altogether.  The commission</w:t></w:r>
</w:p>
<w:p>
<w:pPr><w:pStyle w:val="Normal"/></w:pPr>
<w:r><w:t xml:space="preserve">was, however, of opinion that the accountant-general should be</w:t></w:r>
</w:p>
<w:p>
<w:pPr><w:pStyle w:val="Normal"/></w:pPr>
<w:r><w:t xml:space="preserve">the permanent assistant and adviser, on all matters involving</w:t></w:r>
</w:p>
<w:p>
<w:pPr><w:pStyle w:val="Normal"/></w:pPr>
<w:r><w:t xml:space="preserve">the outlay of public money, of the financial secretary.</w:t></w:r>
</w:p>
<w:p>
<w:pPr><w:pStyle w:val="Normal"/></w:pPr>
<w:r><w:t xml:space="preserve">The operations of the accountant-general are now conducted</w:t></w:r>
</w:p>
<w:p>
<w:pPr><w:pStyle w:val="Normal"/></w:pPr>
<w:r><w:t xml:space="preserve">in accordance with the order in council of the 18th of</w:t></w:r>
</w:p>
<w:p>
<w:pPr><w:pStyle w:val="Normal"/></w:pPr>
<w:r><w:t xml:space="preserve">November 1885, and of an office memorandum issued shortly</w:t></w:r>
</w:p>
<w:p>
<w:pPr><w:pStyle w:val="Normal"/></w:pPr>
<w:r><w:t xml:space="preserve">afterwards.  He thus acts as deputy and assistant of the</w:t></w:r>
</w:p>
<w:p>
<w:pPr><w:pStyle w:val="Normal"/></w:pPr>
<w:r><w:t xml:space="preserve">parliamentary and financial secretary, and works with a</w:t></w:r>
</w:p>
<w:p>
<w:pPr><w:pStyle w:val="Normal"/></w:pPr>
<w:r><w:t xml:space="preserve">finance committee within the admiralty, of which the financial</w:t></w:r>
</w:p>
<w:p>
<w:pPr><w:pStyle w:val="Normal"/></w:pPr>
<w:r><w:t xml:space="preserve">secretary is president and the accountant-general himself</w:t></w:r>
</w:p>
<w:p>
<w:pPr><w:pStyle w:val="Normal"/></w:pPr>
<w:r><w:t xml:space="preserve">vice-president.  The duties of the department are precisely</w:t></w:r>
</w:p>
<w:p>
<w:pPr><w:pStyle w:val="Normal"/></w:pPr>
<w:r><w:t xml:space="preserve">defined as consisting in the criticism of the annual estimates</w:t></w:r>
</w:p>
<w:p>
<w:pPr><w:pStyle w:val="Normal"/></w:pPr>
<w:r><w:t xml:space="preserve">as to their sufficiency before they are passed, and in advising</w:t></w:r>
</w:p>
<w:p>
<w:pPr><w:pStyle w:val="Normal"/></w:pPr>
<w:r><w:t xml:space="preserve">the financial and parliamentary secretary as to their satisfying</w:t></w:r>
</w:p>
<w:p>
<w:pPr><w:pStyle w:val="Normal"/></w:pPr>
<w:r><w:t xml:space="preserve">the ordinary conditions of economy.  The accountant-general</w:t></w:r>
</w:p>
<w:p>
<w:pPr><w:pStyle w:val="Normal"/></w:pPr>
<w:r><w:t xml:space="preserve">also reviews the progress of liabilities and expenditure, and</w:t></w:r>
</w:p>
<w:p>
<w:pPr><w:pStyle w:val="Normal"/></w:pPr>
<w:r><w:t xml:space="preserve">in relation to dockyard expenditure he considers the proposed</w:t></w:r>
</w:p>
<w:p>
<w:pPr><w:pStyle w:val="Normal"/></w:pPr>
<w:r><w:t xml:space="preserve">programme of construction as it affects labour, material and</w:t></w:r>
</w:p>
<w:p>
<w:pPr><w:pStyle w:val="Normal"/></w:pPr>
<w:r><w:t xml:space="preserve">machinery.  He further reviews current expenditure, or the</w:t></w:r>
</w:p>
<w:p>
<w:pPr><w:pStyle w:val="Normal"/></w:pPr>
<w:r><w:t xml:space="preserve">employment of labour and material, as distinguished from cash</w:t></w:r>
</w:p>
<w:p>
<w:pPr><w:pStyle w:val="Normal"/></w:pPr>
<w:r><w:t xml:space="preserve">payments of the yard, as well as proposals for the spending of</w:t></w:r>
</w:p>
<w:p>
<w:pPr><w:pStyle w:val="Normal"/></w:pPr>
<w:r><w:t xml:space="preserve">money on new work or repairs of any kind for which estimates</w:t></w:r>
</w:p>
<w:p>
<w:pPr><w:pStyle w:val="Normal"/></w:pPr>
<w:r><w:t xml:space="preserve">are currently proposed.  The accountant-general&apos;s department</w:t></w:r>
</w:p>
<w:p>
<w:pPr><w:pStyle w:val="Normal"/></w:pPr>
<w:r><w:t xml:space="preserve">has three principal divisions: the estimates division, the</w:t></w:r>
</w:p>
<w:p>
<w:pPr><w:pStyle w:val="Normal"/></w:pPr>
<w:r><w:t xml:space="preserve">navy pay division, and the invoices and claims division.  In</w:t></w:r>
</w:p>
<w:p>
<w:pPr><w:pStyle w:val="Normal"/></w:pPr>
<w:r><w:t xml:space="preserve">the first of these is the ledger branch, occupied with the</w:t></w:r>
</w:p>
<w:p>
<w:pPr><w:pStyle w:val="Normal"/></w:pPr>
<w:r><w:t xml:space="preserve">work of accounts under the several votes and sub-heads of</w:t></w:r>
</w:p>
<w:p>
<w:pPr><w:pStyle w:val="Normal"/></w:pPr>
<w:r><w:t xml:space="preserve">votes, and with preparing the navy appropriation account,</w:t></w:r>
</w:p>
<w:p>
<w:pPr><w:pStyle w:val="Normal"/></w:pPr>
<w:r><w:t xml:space="preserve">as well as the estimates and liabilities branch, in which</w:t></w:r>
</w:p>
<w:p>
<w:pPr><w:pStyle w:val="Normal"/></w:pPr>
<w:r><w:t xml:space="preserve">the navy estimates are largely prepared after having been</w:t></w:r>
</w:p>
<w:p>
<w:pPr><w:pStyle w:val="Normal"/></w:pPr>
<w:r><w:t xml:space="preserve">proposed and worked out in the executive departments of the</w:t></w:r>
</w:p>
<w:p>
<w:pPr><w:pStyle w:val="Normal"/></w:pPr>
<w:r><w:t xml:space="preserve">admiralty.  There are also ships&apos; establishments and salaries</w:t></w:r>
</w:p>
<w:p>
<w:pPr><w:pStyle w:val="Normal"/></w:pPr>
<w:r><w:t xml:space="preserve">branches.  The navy pay division includes the full and half-pay</w:t></w:r>
</w:p>
<w:p>
<w:pPr><w:pStyle w:val="Normal"/></w:pPr>
<w:r><w:t xml:space="preserve">branch and a registry section.  There is also the seamen&apos;s pay</w:t></w:r>
</w:p>
<w:p>
<w:pPr><w:pStyle w:val="Normal"/></w:pPr>
<w:r><w:t xml:space="preserve">branch, which audits ships&apos; ledgers and wages, and has charge</w:t></w:r>
</w:p>
<w:p>
<w:pPr><w:pStyle w:val="Normal"/></w:pPr>
<w:r><w:t xml:space="preserve">of all matters concerning the wages of seamen.  The victualling</w:t></w:r>
</w:p>
<w:p>
<w:pPr><w:pStyle w:val="Normal"/></w:pPr>
<w:r><w:t xml:space="preserve">audit is also in this branch, and is concerned with payments</w:t></w:r>
</w:p>
<w:p>
<w:pPr><w:pStyle w:val="Normal"/></w:pPr>
<w:r><w:t xml:space="preserve">for savings in lieu of victualling and some other matters.</w:t></w:r>
</w:p>
<w:p>
<w:pPr><w:pStyle w:val="Normal"/></w:pPr>
<w:r><w:t xml:space="preserve">Further, the navy pay division examines ships&apos; ledgers, and</w:t></w:r>
</w:p>
<w:p>
<w:pPr><w:pStyle w:val="Normal"/></w:pPr>
<w:r><w:t xml:space="preserve">is concerned with the service, characters, ages, &amp;c., of men</w:t></w:r>
</w:p>
<w:p>
<w:pPr><w:pStyle w:val="Normal"/></w:pPr>
<w:r><w:t xml:space="preserve">as well as with allotments and pensions The third division of</w:t></w:r>
</w:p>
<w:p>
<w:pPr><w:pStyle w:val="Normal"/></w:pPr>
<w:r><w:t xml:space="preserve">the accountant-general&apos;s department, known as that of invoices</w:t></w:r>
</w:p>
<w:p>
<w:pPr><w:pStyle w:val="Normal"/></w:pPr>
<w:r><w:t xml:space="preserve">and claims, conducts a vast amount of clerical work through</w:t></w:r>
</w:p>
<w:p>
<w:pPr><w:pStyle w:val="Normal"/></w:pPr>
<w:r><w:t xml:space="preserve">many branches, and is concerned with the management of naval</w:t></w:r>
</w:p>
<w:p>
<w:pPr><w:pStyle w:val="Normal"/></w:pPr>
<w:r><w:t xml:space="preserve">savings banks and matters touching prize-money and bounties.</w:t></w:r>
</w:p>
<w:p>
<w:pPr><w:pStyle w:val="Normal"/></w:pPr>
<w:r><w:t xml:space="preserve">The importance of this great department of the admiralty</w:t></w:r>
</w:p>
<w:p>
<w:pPr><w:pStyle w:val="Normal"/></w:pPr>
<w:r><w:t xml:space="preserve">cannot be overrated.  It is, in the first place, of supreme</w:t></w:r>
</w:p>
<w:p>
<w:pPr><w:pStyle w:val="Normal"/></w:pPr>
<w:r><w:t xml:space="preserve">importance that the navy estimates should be placed upon a</w:t></w:r>
</w:p>
<w:p>
<w:pPr><w:pStyle w:val="Normal"/></w:pPr>
<w:r><w:t xml:space="preserve">sound financial basis; and in practice the Board requires</w:t></w:r>
</w:p>
<w:p>
<w:pPr><w:pStyle w:val="Normal"/></w:pPr>
<w:r><w:t xml:space="preserve">the concurrence of the accountant-general to the votes before</w:t></w:r>
</w:p>
<w:p>
<w:pPr><w:pStyle w:val="Normal"/></w:pPr>
<w:r><w:t xml:space="preserve">they are approved, and thus in greater or less degree this</w:t></w:r>
</w:p>
<w:p>
<w:pPr><w:pStyle w:val="Normal"/></w:pPr>
<w:r><w:t xml:space="preserve">officer is concerned in the preparation of every one of the</w:t></w:r>
</w:p>
<w:p>
<w:pPr><w:pStyle w:val="Normal"/></w:pPr>
<w:r><w:t xml:space="preserve">votes.  He does not concern himself with matters of larger</w:t></w:r>
</w:p>
<w:p>
<w:pPr><w:pStyle w:val="Normal"/></w:pPr>
<w:r><w:t xml:space="preserve">policy outside the domain of finance, and it must be</w:t></w:r>
</w:p>
<w:p>
<w:pPr><w:pStyle w:val="Normal"/></w:pPr>
<w:r><w:t xml:space="preserve">confessed that there appears to be something anomalous in</w:t></w:r>
</w:p>
<w:p>
<w:pPr><w:pStyle w:val="Normal"/></w:pPr>
<w:r><w:t xml:space="preserve">his ``review&apos;&apos; of naval expenditure.  It is, however, a mark</w:t></w:r>
</w:p>
<w:p>
<w:pPr><w:pStyle w:val="Normal"/></w:pPr>
<w:r><w:t xml:space="preserve">of the flexibility or elasticity of the admiralty system</w:t></w:r>
</w:p>
<w:p>
<w:pPr><w:pStyle w:val="Normal"/></w:pPr>
<w:r><w:t xml:space="preserve">that in practice the operations of the accountant- general&apos;s</w:t></w:r>
</w:p>
<w:p>
<w:pPr><w:pStyle w:val="Normal"/></w:pPr>
<w:r><w:t xml:space="preserve">department work easily, and that admiralty finance is</w:t></w:r>
</w:p>
<w:p>
<w:pPr><w:pStyle w:val="Normal"/></w:pPr>
<w:r><w:t xml:space="preserve">recognized as having been placed upon a sound and efficient</w:t></w:r>
</w:p>
<w:p>
<w:pPr><w:pStyle w:val="Normal"/></w:pPr>
<w:r><w:t xml:space="preserve">basis.  There are important financial officers outside the</w:t></w:r>
</w:p>
<w:p>
<w:pPr><w:pStyle w:val="Normal"/></w:pPr>
<w:r><w:t xml:space="preserve">accountant-general&apos;s department concerned with assisting the</w:t></w:r>
</w:p>
<w:p>
<w:pPr><w:pStyle w:val="Normal"/></w:pPr>
<w:r><w:t xml:space="preserve">controller.  The inspector of dockyard expense accounts,</w:t></w:r>
</w:p>
<w:p>
<w:pPr><w:pStyle w:val="Normal"/></w:pPr>
<w:r><w:t xml:space="preserve">who is entirely in the controller&apos;s department, enables</w:t></w:r>
</w:p>
<w:p>
<w:pPr><w:pStyle w:val="Normal"/></w:pPr>
<w:r><w:t xml:space="preserve">him to exercise careful supervision over expenditure and</w:t></w:r>
</w:p>
<w:p>
<w:pPr><w:pStyle w:val="Normal"/></w:pPr>
<w:r><w:t xml:space="preserve">the distribution of funds to special purposes.  This work,</w:t></w:r>
</w:p>
<w:p>
<w:pPr><w:pStyle w:val="Normal"/></w:pPr>
<w:r><w:t xml:space="preserve">however, though highly important, is merely one part of the</w:t></w:r>
</w:p>
<w:p>
<w:pPr><w:pStyle w:val="Normal"/></w:pPr>
<w:r><w:t xml:space="preserve">system of financial control.  Within recent years the bonds</w:t></w:r>
</w:p>
<w:p>
<w:pPr><w:pStyle w:val="Normal"/></w:pPr>
<w:r><w:t xml:space="preserve">have been considerably tightened, and the work is untainted by</w:t></w:r>
</w:p>
<w:p>
<w:pPr><w:pStyle w:val="Normal"/></w:pPr>
<w:r><w:t xml:space="preserve">corruption.  It is true that in exercising rigid supervision</w:t></w:r>
</w:p>
<w:p>
<w:pPr><w:pStyle w:val="Normal"/></w:pPr>
<w:r><w:t xml:space="preserve">over expenditure the work has become more centralized than is</w:t></w:r>
</w:p>
<w:p>
<w:pPr><w:pStyle w:val="Normal"/></w:pPr>
<w:r><w:t xml:space="preserve">desirable, and it is a mark of change within recent years</w:t></w:r>
</w:p>
<w:p>
<w:pPr><w:pStyle w:val="Normal"/></w:pPr>
<w:r><w:t xml:space="preserve">that local officers have been in larger measure deprived of</w:t></w:r>
</w:p>
<w:p>
<w:pPr><w:pStyle w:val="Normal"/></w:pPr>
<w:r><w:t xml:space="preserve">independent powers.  This, indeed, is a necessary condition</w:t></w:r>
</w:p>
<w:p>
<w:pPr><w:pStyle w:val="Normal"/></w:pPr>
<w:r><w:t xml:space="preserve">of financial control, or at least a condition which it</w:t></w:r>
</w:p>
<w:p>
<w:pPr><w:pStyle w:val="Normal"/></w:pPr>
<w:r><w:t xml:space="preserve">is not easy to change where rigid control is necessary.</w:t></w:r>
</w:p>
<w:p>
<w:pPr><w:pStyle w:val="Normal"/></w:pPr>
<w:r><w:t xml:space="preserve">5. Mobilization of the Fleet.--By the mobilization of the</w:t></w:r>
</w:p>
<w:p>
<w:pPr><w:pStyle w:val="Normal"/></w:pPr>
<w:r><w:t xml:space="preserve">fleet is meant the placing of naval resources upon a war footing,</w:t></w:r>
</w:p>
<w:p>
<w:pPr><w:pStyle w:val="Normal"/></w:pPr>
<w:r><w:t xml:space="preserve">in readiness in all material and personal respects for hostile</w:t></w:r>
</w:p>
<w:p>
<w:pPr><w:pStyle w:val="Normal"/></w:pPr>
<w:r><w:t xml:space="preserve">operations.  A complete mobilization for purposes of practice</w:t></w:r>
</w:p>
<w:p>
<w:pPr><w:pStyle w:val="Normal"/></w:pPr>
<w:r><w:t xml:space="preserve">in peace time would dislocate seafaring life in a manner which</w:t></w:r>
</w:p>
<w:p>
<w:pPr><w:pStyle w:val="Normal"/></w:pPr>
<w:r><w:t xml:space="preserve">would be justifiable only by actual war.  Thus no country in</w:t></w:r>
</w:p>
<w:p>
<w:pPr><w:pStyle w:val="Normal"/></w:pPr>
<w:r><w:t xml:space="preserve">peace manoeuvres calls out all its naval reserves, or makes</w:t></w:r>
</w:p>
<w:p>
<w:pPr><w:pStyle w:val="Normal"/></w:pPr>
<w:r><w:t xml:space="preserve">use of the auxiliary cruisers--merchant ships for which a</w:t></w:r>
</w:p>
<w:p>
<w:pPr><w:pStyle w:val="Normal"/></w:pPr>
<w:r><w:t xml:space="preserve">subvention is paid, and which are constructed with a view to</w:t></w:r>
</w:p>
<w:p>
<w:pPr><w:pStyle w:val="Normal"/></w:pPr>
<w:r><w:t xml:space="preserve">use in warfare.  Experience has shown that when vessels are</w:t></w:r>
</w:p>
<w:p>
<w:pPr><w:pStyle w:val="Normal"/></w:pPr>
<w:r><w:t xml:space="preserve">commissioned they are liable to numerous small breakdowns</w:t></w:r>
</w:p>
<w:p>
<w:pPr><w:pStyle w:val="Normal"/></w:pPr>
<w:r><w:t xml:space="preserve">of their machinery if they are manned by crews who have</w:t></w:r>
</w:p>
<w:p>
<w:pPr><w:pStyle w:val="Normal"/></w:pPr>
<w:r><w:t xml:space="preserve">no familiarity with them.  Many accidents of this kind had</w:t></w:r>
</w:p>
<w:p>
<w:pPr><w:pStyle w:val="Normal"/></w:pPr>
<w:r><w:t xml:space="preserve">occurred in the British navy at manoeuvres, though it could</w:t></w:r>
</w:p>
<w:p>
<w:pPr><w:pStyle w:val="Normal"/></w:pPr>
<w:r><w:t xml:space="preserve">not be shown that the vessel was defective, or that the crew</w:t></w:r>
</w:p>
<w:p>
<w:pPr><w:pStyle w:val="Normal"/></w:pPr>
<w:r><w:t xml:space="preserve">was either untrained or negligent.  These experiments led the</w:t></w:r>
</w:p>
<w:p>
<w:pPr><w:pStyle w:val="Normal"/></w:pPr>
<w:r><w:t xml:space="preserve">admiralty to adopt a new system in 1904, designed to obviate</w:t></w:r>
</w:p>
<w:p>
<w:pPr><w:pStyle w:val="Normal"/></w:pPr>
<w:r><w:t xml:space="preserve">the risk that vessels would be crippled at a critical moment</w:t></w:r>
</w:p>
<w:p>
<w:pPr><w:pStyle w:val="Normal"/></w:pPr>
<w:r><w:t xml:space="preserve">by want of acquaintance on the part of the crew with their</w:t></w:r>
</w:p>
<w:p>
<w:pPr><w:pStyle w:val="Normal"/></w:pPr>
<w:r><w:t xml:space="preserve">machinery.  Under this system all vessels which are considered</w:t></w:r>
</w:p>
<w:p>
<w:pPr><w:pStyle w:val="Normal"/></w:pPr>
<w:r><w:t xml:space="preserve">to be available for war are divided into two classes:--first,</w:t></w:r>
</w:p>
<w:p>
<w:pPr><w:pStyle w:val="Normal"/></w:pPr>
<w:r><w:t xml:space="preserve">those in full commission which constitute the different</w:t></w:r>
</w:p>
<w:p>
<w:pPr><w:pStyle w:val="Normal"/></w:pPr>
<w:r><w:t xml:space="preserve">squadrons maintained at all times; and secondly, those which</w:t></w:r>
</w:p>
<w:p>
<w:pPr><w:pStyle w:val="Normal"/></w:pPr>
<w:r><w:t xml:space="preserve">form the reserve and are kept in partial commission--or rather</w:t></w:r>
</w:p>
<w:p>
<w:pPr><w:pStyle w:val="Normal"/></w:pPr>
<w:r><w:t xml:space="preserve">partially manned though in commission.  These are kept at</w:t></w:r>
</w:p>
<w:p>
<w:pPr><w:pStyle w:val="Normal"/></w:pPr>
<w:r><w:t xml:space="preserve">the home ports--Chatham, Portsmouth, Plymouth--in reserve</w:t></w:r>
</w:p>
<w:p>
<w:pPr><w:pStyle w:val="Normal"/></w:pPr>
<w:r><w:t xml:space="preserve">squadrons under a flag-officer who will command them in</w:t></w:r>
</w:p>
<w:p>
<w:pPr><w:pStyle w:val="Normal"/></w:pPr>
<w:r><w:t xml:space="preserve">war.  Each vessel has a captain, a second in command, and a</w:t></w:r>
</w:p>
<w:p>
<w:pPr><w:pStyle w:val="Normal"/></w:pPr>
<w:r><w:t xml:space="preserve">proportion of other officers including engineer, navigating</w:t></w:r>
</w:p>
<w:p>
<w:pPr><w:pStyle w:val="Normal"/></w:pPr>
<w:r><w:t xml:space="preserve">and torpedo officers.  Two-fifths of her full complement of</w:t></w:r>
</w:p>
<w:p>
<w:pPr><w:pStyle w:val="Normal"/></w:pPr>
<w:r><w:t xml:space="preserve">crew are always on board, and they include the most skilled</w:t></w:r>
</w:p>
<w:p>
<w:pPr><w:pStyle w:val="Normal"/></w:pPr>
<w:r><w:t xml:space="preserve">men needed for the proper management of the machinery</w:t></w:r>
</w:p>
<w:p>
<w:pPr><w:pStyle w:val="Normal"/></w:pPr>
<w:r><w:t xml:space="preserve">of all kinds--more especially that of the torpedoes and</w:t></w:r>
</w:p>
<w:p>
<w:pPr><w:pStyle w:val="Normal"/></w:pPr>
<w:r><w:t xml:space="preserve">guns.  These vessels go to sea for periodical practice.  When</w:t></w:r>
</w:p>
<w:p>
<w:pPr><w:pStyle w:val="Normal"/></w:pPr>
<w:r><w:t xml:space="preserve">therefore line fleet must be mobilized for war it will only</w:t></w:r>
</w:p>
<w:p>
<w:pPr><w:pStyle w:val="Normal"/></w:pPr>
<w:r><w:t xml:space="preserve">be necessary to fill up the number of trained men by the less</w:t></w:r>
</w:p>
<w:p>
<w:pPr><w:pStyle w:val="Normal"/></w:pPr>
<w:r><w:t xml:space="preserve">skilled hands from the naval barracks occupied by the sailors</w:t></w:r>
</w:p>
<w:p>
<w:pPr><w:pStyle w:val="Normal"/></w:pPr>
<w:r><w:t xml:space="preserve">not belonging to any particular ship, or from the naval</w:t></w:r>
</w:p>
<w:p>
<w:pPr><w:pStyle w:val="Normal"/></w:pPr>
<w:r><w:t xml:space="preserve">reserve.  All ranks of the navy are placed on a roster by</w:t></w:r>
</w:p>
<w:p>
<w:pPr><w:pStyle w:val="Normal"/></w:pPr>
<w:r><w:t xml:space="preserve">which they successively serve in ships in full commission, are</w:t></w:r>
</w:p>
<w:p>
<w:pPr><w:pStyle w:val="Normal"/></w:pPr>
<w:r><w:t xml:space="preserve">quartered in the naval barracks and drafted from them to the</w:t></w:r>
</w:p>
<w:p>
<w:pPr><w:pStyle w:val="Normal"/></w:pPr>
<w:r><w:t xml:space="preserve">ships of the reserve, from which they return to the sea-going</w:t></w:r>
</w:p>
<w:p>
<w:pPr><w:pStyle w:val="Normal"/></w:pPr>
<w:r><w:t xml:space="preserve">ships.  It is calculated that there are always men enough in</w:t></w:r>
</w:p>
<w:p>
<w:pPr><w:pStyle w:val="Normal"/></w:pPr>
<w:r><w:t xml:space="preserve">the barracks to complete the crews of a small squadron for</w:t></w:r>
</w:p>
<w:p>
<w:pPr><w:pStyle w:val="Normal"/></w:pPr>
<w:r><w:t xml:space="preserve">emergency service without disturbing the regular routine of</w:t></w:r>
</w:p>
<w:p>
<w:pPr><w:pStyle w:val="Normal"/></w:pPr>
<w:r><w:t xml:space="preserve">the peace establishment.  The British admiralty may claim</w:t></w:r>
</w:p>
<w:p>
<w:pPr><w:pStyle w:val="Normal"/></w:pPr>
<w:r><w:t xml:space="preserve">that though the machinery at its command in the past was not</w:t></w:r>
</w:p>
<w:p>
<w:pPr><w:pStyle w:val="Normal"/></w:pPr>
<w:r><w:t xml:space="preserve">perfect it has commonly been able to send a squadron to sea</w:t></w:r>
</w:p>
<w:p>
<w:pPr><w:pStyle w:val="Normal"/></w:pPr>
<w:r><w:t xml:space="preserve">more rapidly than any other power in Europe.  Much depends on</w:t></w:r>
</w:p>
<w:p>
<w:pPr><w:pStyle w:val="Normal"/></w:pPr>
<w:r><w:t xml:space="preserve">the arrangement of the stores as well as the disposition of the</w:t></w:r>
</w:p>
<w:p>
<w:pPr><w:pStyle w:val="Normal"/></w:pPr>
<w:r><w:t xml:space="preserve">men.  The introduction at the end of the 18th century of the</w:t></w:r>
</w:p>
<w:p>
<w:pPr><w:pStyle w:val="Normal"/></w:pPr>
<w:r><w:t xml:space="preserve">businesslike practice of keeping the fittings of each ship</w:t></w:r>
</w:p>
<w:p>
<w:pPr><w:pStyle w:val="Normal"/></w:pPr>
<w:r><w:t xml:space="preserve">together by themselves, did much to facilitate the rapid</w:t></w:r>
</w:p>
<w:p>
<w:pPr><w:pStyle w:val="Normal"/></w:pPr>
<w:r><w:t xml:space="preserve">mobilization of a portion of the British fleet in 1790 which</w:t></w:r>
</w:p>
<w:p>
<w:pPr><w:pStyle w:val="Normal"/></w:pPr>
<w:r><w:t xml:space="preserve">impressed all Europe.  The prompt manning of a special service</w:t></w:r>
</w:p>
<w:p>
<w:pPr><w:pStyle w:val="Normal"/></w:pPr>
<w:r><w:t xml:space="preserve">squadron in 1895 in consequence of the troubles then arising</w:t></w:r>
</w:p>
<w:p>
<w:pPr><w:pStyle w:val="Normal"/></w:pPr>
<w:r><w:t xml:space="preserve">in connexion with the former South African Republic, showed</w:t></w:r>
</w:p>
<w:p>
<w:pPr><w:pStyle w:val="Normal"/></w:pPr>
<w:r><w:t xml:space="preserve">that even before its plans for mobilization were completed</w:t></w:r>
</w:p>
<w:p>
<w:pPr><w:pStyle w:val="Normal"/></w:pPr>
<w:r><w:t xml:space="preserve">the admiralty had its resources well in hand. (R. V. H.)</w:t></w:r>
</w:p>
<w:p>
<w:pPr><w:pStyle w:val="Normal"/></w:pPr>
<w:r><w:t xml:space="preserve">Other countries.</w:t></w:r>
</w:p>
<w:p>
<w:pPr><w:pStyle w:val="Normal"/></w:pPr>
<w:r><w:t xml:space="preserve">As regards the navies of countries other than Great Britain,</w:t></w:r>
</w:p>
<w:p>
<w:pPr><w:pStyle w:val="Normal"/></w:pPr>
<w:r><w:t xml:space="preserve">their government is in the hands of ministers or departments</w:t></w:r>
</w:p>
<w:p>
<w:pPr><w:pStyle w:val="Normal"/></w:pPr>
<w:r><w:t xml:space="preserve">variously constituted.  The Russian admiralty is a highly</w:t></w:r>
</w:p>
<w:p>
<w:pPr><w:pStyle w:val="Normal"/></w:pPr>
<w:r><w:t xml:space="preserve">organized bureau, divided into departments, and under the supreme</w:t></w:r>
</w:p>
<w:p>
<w:pPr><w:pStyle w:val="Normal"/></w:pPr>
<w:r><w:t xml:space="preserve">control of a high admiral, usually a grand duke of the Imperial</w:t></w:r>
</w:p>
<w:p>
<w:pPr><w:pStyle w:val="Normal"/></w:pPr>
<w:r><w:t xml:space="preserve">House.  The German admiralty was, till 1872, a branch of the War</w:t></w:r>
</w:p>
<w:p>
<w:pPr><w:pStyle w:val="Normal"/></w:pPr>
<w:r><w:t xml:space="preserve">Office, though governed by a vice-admiral under a naval prince</w:t></w:r>
</w:p>
<w:p>
<w:pPr><w:pStyle w:val="Normal"/></w:pPr>
<w:r><w:t xml:space="preserve">of the reigning family.  In 1872 it was severed from the War</w:t></w:r>
</w:p>
<w:p>
<w:pPr><w:pStyle w:val="Normal"/></w:pPr>
<w:r><w:t xml:space="preserve">Office, though remaining an appanage thereof, and a general</w:t></w:r>
</w:p>
<w:p>
<w:pPr><w:pStyle w:val="Normal"/></w:pPr>
<w:r><w:t xml:space="preserve">of the army was placed at its head.  The French minister of</w:t></w:r>
</w:p>
<w:p>
<w:pPr><w:pStyle w:val="Normal"/></w:pPr>
<w:r><w:t xml:space="preserve">marine, assisted by a permanent staff, controls the navy</w:t></w:r>
</w:p>
<w:p>
<w:pPr><w:pStyle w:val="Normal"/></w:pPr>
<w:r><w:t xml:space="preserve">of France on a highly centralized system of administration;</w:t></w:r>
</w:p>
<w:p>
<w:pPr><w:pStyle w:val="Normal"/></w:pPr>
<w:r><w:t xml:space="preserve">but the departments are well organized, and work well.  The</w:t></w:r>
</w:p>
<w:p>
<w:pPr><w:pStyle w:val="Normal"/></w:pPr>
<w:r><w:t xml:space="preserve">Italian fleet is governed on principles analogous to the</w:t></w:r>
</w:p>
<w:p>
<w:pPr><w:pStyle w:val="Normal"/></w:pPr>
<w:r><w:t xml:space="preserve">French, but with a large admixture of the English representative</w:t></w:r>
</w:p>
<w:p>
<w:pPr><w:pStyle w:val="Normal"/></w:pPr>
<w:r><w:t xml:space="preserve">element.  The American system is worth describing in more detail.</w:t></w:r>
</w:p>
<w:p>
<w:pPr><w:pStyle w:val="Normal"/></w:pPr>
<w:r><w:t xml:space="preserve">United States Navy Department.</w:t></w:r>
</w:p>
<w:p>
<w:pPr><w:pStyle w:val="Normal"/></w:pPr>
<w:r><w:t xml:space="preserve">The president of the United States is commander-in-chief</w:t></w:r>
</w:p>
<w:p>
<w:pPr><w:pStyle w:val="Normal"/></w:pPr>
<w:r><w:t xml:space="preserve">of the navy--a constitutional prerogative which he seldom</w:t></w:r>
</w:p>
<w:p>
<w:pPr><w:pStyle w:val="Normal"/></w:pPr>
<w:r><w:t xml:space="preserve">asserts.  The Navy Department is administered by a civilian</w:t></w:r>
</w:p>
<w:p>
<w:pPr><w:pStyle w:val="Normal"/></w:pPr>
<w:r><w:t xml:space="preserve">secretary of the navy--a cabinet officer appointed by the</w:t></w:r>
</w:p>
<w:p>
<w:pPr><w:pStyle w:val="Normal"/></w:pPr>
<w:r><w:t xml:space="preserve">president--who exercises general supervision.  Next in</w:t></w:r>
</w:p>
<w:p>
<w:pPr><w:pStyle w:val="Normal"/></w:pPr>
<w:r><w:t xml:space="preserve">authority is the assistant-secretary, also a civilian nominee,</w:t></w:r>
</w:p>
<w:p>
<w:pPr><w:pStyle w:val="Normal"/></w:pPr>
<w:r><w:t xml:space="preserve">who acts as an assistant, and has, besides, certain specific</w:t></w:r>
</w:p>
<w:p>
<w:pPr><w:pStyle w:val="Normal"/></w:pPr>
<w:r><w:t xml:space="preserve">duties, including general supervision of the marine corps,</w:t></w:r>
</w:p>
<w:p>
<w:pPr><w:pStyle w:val="Normal"/></w:pPr>
<w:r><w:t xml:space="preserve">naval militia and naval stations beyond the continental</w:t></w:r>
</w:p>
<w:p>
<w:pPr><w:pStyle w:val="Normal"/></w:pPr>
<w:r><w:t xml:space="preserve">limits of the United States.  The details of administration</w:t></w:r>
</w:p>
<w:p>
<w:pPr><w:pStyle w:val="Normal"/></w:pPr>
<w:r><w:t xml:space="preserve">are supervised by the chiefs of bureaus, of which there are</w:t></w:r>
</w:p>
<w:p>
<w:pPr><w:pStyle w:val="Normal"/></w:pPr>
<w:r><w:t xml:space="preserve">eight.  They are appointed by the president from the navy</w:t></w:r>
</w:p>
<w:p>
<w:pPr><w:pStyle w:val="Normal"/></w:pPr>
<w:r><w:t xml:space="preserve">list for a period of four years, and have the rank of</w:t></w:r>
</w:p>
<w:p>
<w:pPr><w:pStyle w:val="Normal"/></w:pPr>
<w:r><w:t xml:space="preserve">rear-admiral while serving in this capacity.  They have</w:t></w:r>
</w:p>
<w:p>
<w:pPr><w:pStyle w:val="Normal"/></w:pPr>
<w:r><w:t xml:space="preserve">direct control of the business and correspondence pertaining</w:t></w:r>
</w:p>
<w:p>
<w:pPr><w:pStyle w:val="Normal"/></w:pPr>
<w:r><w:t xml:space="preserve">to their respective bureaus; and orders emanating from</w:t></w:r>
</w:p>
<w:p>
<w:pPr><w:pStyle w:val="Normal"/></w:pPr>
<w:r><w:t xml:space="preserve">them have the same force as though issued by the secretary.</w:t></w:r>
</w:p>
<w:p>
<w:pPr><w:pStyle w:val="Normal"/></w:pPr>
<w:r><w:t xml:space="preserve">The bureau of navigation is the executive, or military, bureau,</w:t></w:r>
</w:p>
<w:p>
<w:pPr><w:pStyle w:val="Normal"/></w:pPr>
<w:r><w:t xml:space="preserve">and as such promulgates and enforces the orders and regulations</w:t></w:r>
</w:p>
<w:p>
<w:pPr><w:pStyle w:val="Normal"/></w:pPr>
<w:r><w:t xml:space="preserve">prescribed by the secretary; it has general direction of the</w:t></w:r>
</w:p>
<w:p>
<w:pPr><w:pStyle w:val="Normal"/></w:pPr>
<w:r><w:t xml:space="preserve">procurement, education, assignment and discipline of the</w:t></w:r>
</w:p>
<w:p>
<w:pPr><w:pStyle w:val="Normal"/></w:pPr>
<w:r><w:t xml:space="preserve">personnel.  It also controls the movements of ships, including</w:t></w:r>
</w:p>
<w:p>
<w:pPr><w:pStyle w:val="Normal"/></w:pPr>
<w:r><w:t xml:space="preserve">the authorization of manoeuvres and drills, such as target</w:t></w:r>
</w:p>
<w:p>
<w:pPr><w:pStyle w:val="Normal"/></w:pPr>
<w:r><w:t xml:space="preserve">practice.  The bureau of equipment has charge of all electrical</w:t></w:r>
</w:p>
<w:p>
<w:pPr><w:pStyle w:val="Normal"/></w:pPr>
<w:r><w:t xml:space="preserve">appliances, compasses, charts and fuel, and generally all</w:t></w:r>
</w:p>
<w:p>
<w:pPr><w:pStyle w:val="Normal"/></w:pPr>
<w:r><w:t xml:space="preserve">that relates to the equipment of vessels, exclusive of those</w:t></w:r>
</w:p>
<w:p>
<w:pPr><w:pStyle w:val="Normal"/></w:pPr>
<w:r><w:t xml:space="preserve">articles that come naturally under the cognizance of other</w:t></w:r>
</w:p>
<w:p>
<w:pPr><w:pStyle w:val="Normal"/></w:pPr>
<w:r><w:t xml:space="preserve">bureaus.  It has charge of the naval observatory, where the</w:t></w:r>
</w:p>
<w:p>
<w:pPr><w:pStyle w:val="Normal"/></w:pPr>
<w:r><w:t xml:space="preserve">Ephemeris is prepared annually, and of the hydrographic</w:t></w:r>
</w:p>
<w:p>
<w:pPr><w:pStyle w:val="Normal"/></w:pPr>
<w:r><w:t xml:space="preserve">office, where charts, sailing directions, notices to mariners,</w:t></w:r>
</w:p>
<w:p>
<w:pPr><w:pStyle w:val="Normal"/></w:pPr>
<w:r><w:t xml:space="preserve">&amp;c., are issued.  The bureau of ordnance has charge of the gun</w:t></w:r>
</w:p>
<w:p>
<w:pPr><w:pStyle w:val="Normal"/></w:pPr>
<w:r><w:t xml:space="preserve">factory, proving ground, and torpedo station, and all naval</w:t></w:r>
</w:p>
<w:p>
<w:pPr><w:pStyle w:val="Normal"/></w:pPr>
<w:r><w:t xml:space="preserve">magazines; all the details that pertain to the manufacture,</w:t></w:r>
</w:p>
<w:p>
<w:pPr><w:pStyle w:val="Normal"/></w:pPr>
<w:r><w:t xml:space="preserve">tests, installation or storage of all offensive and defensive</w:t></w:r>
</w:p>
<w:p>
<w:pPr><w:pStyle w:val="Normal"/></w:pPr>
<w:r><w:t xml:space="preserve">apparatus, including armour, ammunition hoists, ammunition rooms,</w:t></w:r>
</w:p>
<w:p>
<w:pPr><w:pStyle w:val="Normal"/></w:pPr>
<w:r><w:t xml:space="preserve">&amp;c., though much of the actual installation is performed by the</w:t></w:r>
</w:p>
<w:p>
<w:pPr><w:pStyle w:val="Normal"/></w:pPr>
<w:r><w:t xml:space="preserve">bureau of construction after consultation with the bureau of</w:t></w:r>
</w:p>
<w:p>
<w:pPr><w:pStyle w:val="Normal"/></w:pPr>
<w:r><w:t xml:space="preserve">ordnance.  The bureau of construction and repair has charge</w:t></w:r>
</w:p>
<w:p>
<w:pPr><w:pStyle w:val="Normal"/></w:pPr>
<w:r><w:t xml:space="preserve">of the designing, building and repairing of hulls of ships,</w:t></w:r>
</w:p>
<w:p>
<w:pPr><w:pStyle w:val="Normal"/></w:pPr>
<w:r><w:t xml:space="preserve">including turrets, spars and many other accessories.  It builds</w:t></w:r>
</w:p>
<w:p>
<w:pPr><w:pStyle w:val="Normal"/></w:pPr>
<w:r><w:t xml:space="preserve">all boats, has charge of the docking of vessels and the care of</w:t></w:r>
</w:p>
<w:p>
<w:pPr><w:pStyle w:val="Normal"/></w:pPr>
<w:r><w:t xml:space="preserve">ships in reserve.  The chief of this bureau is usually a naval</w:t></w:r>
</w:p>
<w:p>
<w:pPr><w:pStyle w:val="Normal"/></w:pPr>
<w:r><w:t xml:space="preserve">constructor.  The bureau of steam engineering has charge of all</w:t></w:r>
</w:p>
<w:p>
<w:pPr><w:pStyle w:val="Normal"/></w:pPr>
<w:r><w:t xml:space="preserve">that relates to the designing, building and repairing of steam</w:t></w:r>
</w:p>
<w:p>
<w:pPr><w:pStyle w:val="Normal"/></w:pPr>
<w:r><w:t xml:space="preserve">machinery, and of all the steam connexions on board ship.</w:t></w:r>
</w:p>
<w:p>
<w:pPr><w:pStyle w:val="Normal"/></w:pPr>
<w:r><w:t xml:space="preserve">The bureau of supplies and accounts procures and distributes</w:t></w:r>
</w:p>
<w:p>
<w:pPr><w:pStyle w:val="Normal"/></w:pPr>
<w:r><w:t xml:space="preserve">provisions, clothing and supplies of the pay department afloat,</w:t></w:r>
</w:p>
<w:p>
<w:pPr><w:pStyle w:val="Normal"/></w:pPr>
<w:r><w:t xml:space="preserve">and acts as the purchasing agent for all materials used at</w:t></w:r>
</w:p>
<w:p>
<w:pPr><w:pStyle w:val="Normal"/></w:pPr>
<w:r><w:t xml:space="preserve">naval stations, except for the medical department and marine</w:t></w:r>
</w:p>
<w:p>
<w:pPr><w:pStyle w:val="Normal"/></w:pPr>
<w:r><w:t xml:space="preserve">corps.  It also has charge of the disbursement of money</w:t></w:r>
</w:p>
<w:p>
<w:pPr><w:pStyle w:val="Normal"/></w:pPr>
<w:r><w:t xml:space="preserve">and keeping of accounts.  The chief of this bureau is a pay</w:t></w:r>
</w:p>
<w:p>
<w:pPr><w:pStyle w:val="Normal"/></w:pPr>
<w:r><w:t xml:space="preserve">officer.  The bureau of medicine and surgery has charge</w:t></w:r>
</w:p>
<w:p>
<w:pPr><w:pStyle w:val="Normal"/></w:pPr>
<w:r><w:t xml:space="preserve">of all naval hospitals, dispensaries and laboratories,</w:t></w:r>
</w:p>
<w:p>
<w:pPr><w:pStyle w:val="Normal"/></w:pPr>
<w:r><w:t xml:space="preserve">and of all that pertains to the care of sick afloat and</w:t></w:r>
</w:p>
<w:p>
<w:pPr><w:pStyle w:val="Normal"/></w:pPr>
<w:r><w:t xml:space="preserve">ashore.  The chief of this bureau is a medical officer.</w:t></w:r>
</w:p>
<w:p>
<w:pPr><w:pStyle w:val="Normal"/></w:pPr>
<w:r><w:t xml:space="preserve">The bureau of yards and docks has charge of construction</w:t></w:r>
</w:p>
<w:p>
<w:pPr><w:pStyle w:val="Normal"/></w:pPr>
<w:r><w:t xml:space="preserve">and maintenance of wet and dry docks, buildings, railways,</w:t></w:r>
</w:p>
<w:p>
<w:pPr><w:pStyle w:val="Normal"/></w:pPr>
<w:r><w:t xml:space="preserve">cranes, and generally all permanent constructions at naval</w:t></w:r>
</w:p>
<w:p>
<w:pPr><w:pStyle w:val="Normal"/></w:pPr>
<w:r><w:t xml:space="preserve">stations.  The chief of this bureau is often a civil engineer.</w:t></w:r>
</w:p>
<w:p>
<w:pPr><w:pStyle w:val="Normal"/></w:pPr>
<w:r><w:t xml:space="preserve">Under the cognizance of the secretary&apos;s office is the office</w:t></w:r>
</w:p>
<w:p>
<w:pPr><w:pStyle w:val="Normal"/></w:pPr>
<w:r><w:t xml:space="preserve">of the judge-advocate-general, an officer selected by the</w:t></w:r>
</w:p>
<w:p>
<w:pPr><w:pStyle w:val="Normal"/></w:pPr>
<w:r><w:t xml:space="preserve">president from the navy list for a term of four years, with the</w:t></w:r>
</w:p>
<w:p>
<w:pPr><w:pStyle w:val="Normal"/></w:pPr>
<w:r><w:t xml:space="preserve">rank of captain while so serving.  He is legal adviser to the</w:t></w:r>
</w:p>
<w:p>
<w:pPr><w:pStyle w:val="Normal"/></w:pPr>
<w:r><w:t xml:space="preserve">department, and reviews the records of all courts and statutory</w:t></w:r>
</w:p>
<w:p>
<w:pPr><w:pStyle w:val="Normal"/></w:pPr>
<w:r><w:t xml:space="preserve">boards.  Under the cognizance of the assistant-secretary&apos;s</w:t></w:r>
</w:p>
<w:p>
<w:pPr><w:pStyle w:val="Normal"/></w:pPr>
<w:r><w:t xml:space="preserve">office is the office of naval intelligence, which collates</w:t></w:r>
</w:p>
<w:p>
<w:pPr><w:pStyle w:val="Normal"/></w:pPr>
<w:r><w:t xml:space="preserve">information on naval matters obtainable at home and</w:t></w:r>
</w:p>
<w:p>
<w:pPr><w:pStyle w:val="Normal"/></w:pPr>
<w:r><w:t xml:space="preserve">abroad.  The staff is composed of naval officers on shore</w:t></w:r>
</w:p>
<w:p>
<w:pPr><w:pStyle w:val="Normal"/></w:pPr>
<w:r><w:t xml:space="preserve">duty, the senior in charge being usually a captain, and known</w:t></w:r>
</w:p>
<w:p>
<w:pPr><w:pStyle w:val="Normal"/></w:pPr>
<w:r><w:t xml:space="preserve">as chief intelligence officer.  Several boards are employed</w:t></w:r>
</w:p>
<w:p>
<w:pPr><w:pStyle w:val="Normal"/></w:pPr>
<w:r><w:t xml:space="preserve">under the various bureaus, or directly as advisers to the</w:t></w:r>
</w:p>
<w:p>
<w:pPr><w:pStyle w:val="Normal"/></w:pPr>
<w:r><w:t xml:space="preserve">secretary.  Some are permanent in character, while others</w:t></w:r>
</w:p>
<w:p>
<w:pPr><w:pStyle w:val="Normal"/></w:pPr>
<w:r><w:t xml:space="preserve">are composed of officers employed on other duty, and are</w:t></w:r>
</w:p>
<w:p>
<w:pPr><w:pStyle w:val="Normal"/></w:pPr>
<w:r><w:t xml:space="preserve">convoked periodically or when required.  The naval policy</w:t></w:r>
</w:p>
<w:p>
<w:pPr><w:pStyle w:val="Normal"/></w:pPr>
<w:r><w:t xml:space="preserve">board is composed of officers of high rank, and meets once</w:t></w:r>
</w:p>
<w:p>
<w:pPr><w:pStyle w:val="Normal"/></w:pPr>
<w:r><w:t xml:space="preserve">a month; its duties conform to those of the general staff in</w:t></w:r>
</w:p>
<w:p>
<w:pPr><w:pStyle w:val="Normal"/></w:pPr>
<w:r><w:t xml:space="preserve">armies.  The board of construction consists of the chiefs of</w:t></w:r>
</w:p>
<w:p>
<w:pPr><w:pStyle w:val="Normal"/></w:pPr>
<w:r><w:t xml:space="preserve">bureaus of ordnance, equipment, construction and repair, steam</w:t></w:r>
</w:p>
<w:p>
<w:pPr><w:pStyle w:val="Normal"/></w:pPr>
<w:r><w:t xml:space="preserve">engineering, and the chief intelligence officer.  Its duty</w:t></w:r>
</w:p>
<w:p>
<w:pPr><w:pStyle w:val="Normal"/></w:pPr>
<w:r><w:t xml:space="preserve">is to advise the secretary in all matters relating to the</w:t></w:r>
</w:p>
<w:p>
<w:pPr><w:pStyle w:val="Normal"/></w:pPr>
<w:r><w:t xml:space="preserve">construction policy in detail.  The general construction policy</w:t></w:r>
</w:p>
<w:p>
<w:pPr><w:pStyle w:val="Normal"/></w:pPr>
<w:r><w:t xml:space="preserve">is suggested by the naval policy board.  The board of inspection</w:t></w:r>
</w:p>
<w:p>
<w:pPr><w:pStyle w:val="Normal"/></w:pPr>
<w:r><w:t xml:space="preserve">and survey is composed of representatives of all bureaus, who</w:t></w:r>
</w:p>
<w:p>
<w:pPr><w:pStyle w:val="Normal"/></w:pPr>
<w:r><w:t xml:space="preserve">inspect vessels soon after commission and on return from a</w:t></w:r>
</w:p>
<w:p>
<w:pPr><w:pStyle w:val="Normal"/></w:pPr>
<w:r><w:t xml:space="preserve">cruise, and report on the condition of the ship and efficiency</w:t></w:r>
</w:p>
<w:p>
<w:pPr><w:pStyle w:val="Normal"/></w:pPr>
<w:r><w:t xml:space="preserve">of its personnel; it also conducts the official trials of new</w:t></w:r>
</w:p>
<w:p>
<w:pPr><w:pStyle w:val="Normal"/></w:pPr>
<w:r><w:t xml:space="preserve">vessels.  The boards for the examination of officers for</w:t></w:r>
</w:p>
<w:p>
<w:pPr><w:pStyle w:val="Normal"/></w:pPr>
<w:r><w:t xml:space="preserve">promotion are composed of officers of the corps to which the</w:t></w:r>
</w:p>
<w:p>
<w:pPr><w:pStyle w:val="Normal"/></w:pPr>
<w:r><w:t xml:space="preserve">candidate belongs and of medical officers.  Every officer</w:t></w:r>
</w:p>
<w:p>
<w:pPr><w:pStyle w:val="Normal"/></w:pPr>
<w:r><w:t xml:space="preserve">is examined professionally, morally and physically at each</w:t></w:r>
</w:p>
<w:p>
<w:pPr><w:pStyle w:val="Normal"/></w:pPr>
<w:r><w:t xml:space="preserve">promotion.  The Navy Department is located at Washington,</w:t></w:r>
</w:p>
<w:p>
<w:pPr><w:pStyle w:val="Normal"/></w:pPr>
<w:r><w:t xml:space="preserve">D.C., and occupies a building together with the State and War</w:t></w:r>
</w:p>
<w:p>
<w:pPr><w:pStyle w:val="Normal"/></w:pPr>
<w:r><w:t xml:space="preserve">Departments (the latter being charged solely with army affairs).</w:t></w:r>
</w:p>
<w:p>
<w:pPr><w:pStyle w:val="Normal"/></w:pPr>
<w:r><w:t xml:space="preserve">The personnel (see also under NAVY) is limited in number by</w:t></w:r>
</w:p>
<w:p>
<w:pPr><w:pStyle w:val="Normal"/></w:pPr>
<w:r><w:t xml:space="preserve">law.  The engineer corps was abolished in 1899, the then</w:t></w:r>
</w:p>
<w:p>
<w:pPr><w:pStyle w:val="Normal"/></w:pPr>
<w:r><w:t xml:space="preserve">engineer-officers becoming line officers in their respective</w:t></w:r>
</w:p>
<w:p>
<w:pPr><w:pStyle w:val="Normal"/></w:pPr>
<w:r><w:t xml:space="preserve">relative grades.  Line officers are the military and executive</w:t></w:r>
</w:p>
<w:p>
<w:pPr><w:pStyle w:val="Normal"/></w:pPr>
<w:r><w:t xml:space="preserve">branch, and are required besides to perform engineer duties.</w:t></w:r>
</w:p>
<w:p>
<w:pPr><w:pStyle w:val="Normal"/></w:pPr>
<w:r><w:t xml:space="preserve">They are graduates of the Naval Academy.  Vacancies occurring</w:t></w:r>
</w:p>
<w:p>
<w:pPr><w:pStyle w:val="Normal"/></w:pPr>
<w:r><w:t xml:space="preserve">in the construction corps are filled from the graduates of</w:t></w:r>
</w:p>
<w:p>
<w:pPr><w:pStyle w:val="Normal"/></w:pPr>
<w:r><w:t xml:space="preserve">the Naval Academy having the highest standing in scholarship,</w:t></w:r>
</w:p>
<w:p>
<w:pPr><w:pStyle w:val="Normal"/></w:pPr>
<w:r><w:t xml:space="preserve">who are given a two years&apos; graduate course, generally abroad,</w:t></w:r>
</w:p>
<w:p>
<w:pPr><w:pStyle w:val="Normal"/></w:pPr>
<w:r><w:t xml:space="preserve">on being graduated from the Academy, and are then appointed</w:t></w:r>
</w:p>
<w:p>
<w:pPr><w:pStyle w:val="Normal"/></w:pPr>
<w:r><w:t xml:space="preserve">assistant naval constructors.  All other staff officers are</w:t></w:r>
</w:p>
<w:p>
<w:pPr><w:pStyle w:val="Normal"/></w:pPr>
<w:r><w:t xml:space="preserve">appointed directly from civil life by the president, from</w:t></w:r>
</w:p>
<w:p>
<w:pPr><w:pStyle w:val="Normal"/></w:pPr>
<w:r><w:t xml:space="preserve">candidates passing prescribed examinations.  Each representative</w:t></w:r>
</w:p>
<w:p>
<w:pPr><w:pStyle w:val="Normal"/></w:pPr>
<w:r><w:t xml:space="preserve">and delegate in Congress has authority to nominate a candidate</w:t></w:r>
</w:p>
<w:p>
<w:pPr><w:pStyle w:val="Normal"/></w:pPr>
<w:r><w:t xml:space="preserve">for naval cadet whenever his congressional district has no</w:t></w:r>
</w:p>
<w:p>
<w:pPr><w:pStyle w:val="Normal"/></w:pPr>
<w:r><w:t xml:space="preserve">representative in the Naval Academy.  The candidate must be</w:t></w:r>
</w:p>
<w:p>
<w:pPr><w:pStyle w:val="Normal"/></w:pPr>
<w:r><w:t xml:space="preserve">a resident of the district which the congressman represents,</w:t></w:r>
</w:p>
<w:p>
<w:pPr><w:pStyle w:val="Normal"/></w:pPr>
<w:r><w:t xml:space="preserve">between fifteen and twenty years old, and must pass prescribed</w:t></w:r>
</w:p>
<w:p>
<w:pPr><w:pStyle w:val="Normal"/></w:pPr>
<w:r><w:t xml:space="preserve">mental and physical examinations.  The president is allowed</w:t></w:r>
</w:p>
<w:p>
<w:pPr><w:pStyle w:val="Normal"/></w:pPr>
<w:r><w:t xml:space="preserve">ten representatives at the Academy at all times, appointed</w:t></w:r>
</w:p>
<w:p>
<w:pPr><w:pStyle w:val="Normal"/></w:pPr>
<w:r><w:t xml:space="preserve">``at large,&apos;&apos; and one appointed from the District of Columbia.</w:t></w:r>
</w:p>
<w:p>
<w:pPr><w:pStyle w:val="Normal"/></w:pPr>
<w:r><w:t xml:space="preserve">The course of instruction at the Academy is four years,</w:t></w:r>
</w:p>
<w:p>
<w:pPr><w:pStyle w:val="Normal"/></w:pPr>
<w:r><w:t xml:space="preserve">each comprising eight months&apos; study, three months&apos; practice</w:t></w:r>
</w:p>
<w:p>
<w:pPr><w:pStyle w:val="Normal"/></w:pPr>
<w:r><w:t xml:space="preserve">cruise, and one month&apos;s furlough.  At the expiration of four</w:t></w:r>
</w:p>
<w:p>
<w:pPr><w:pStyle w:val="Normal"/></w:pPr>
<w:r><w:t xml:space="preserve">years, cadets are sent to cruising ships for two years&apos;</w:t></w:r>
</w:p>
<w:p>
<w:pPr><w:pStyle w:val="Normal"/></w:pPr>
<w:r><w:t xml:space="preserve">further instruction, and are then commissioned ensigns.</w:t></w:r>
</w:p>
<w:p>
<w:pPr><w:pStyle w:val="Normal"/></w:pPr>
<w:r><w:t xml:space="preserve">After three years&apos; further sea service, ensigns are promoted</w:t></w:r>
</w:p>
<w:p>
<w:pPr><w:pStyle w:val="Normal"/></w:pPr>
<w:r><w:t xml:space="preserve">to lieutenants (junior grade).  After this, promotion is</w:t></w:r>
</w:p>
<w:p>
<w:pPr><w:pStyle w:val="Normal"/></w:pPr>
<w:r><w:t xml:space="preserve">dependent upon seniority alone, the senior officer in any</w:t></w:r>
</w:p>
<w:p>
<w:pPr><w:pStyle w:val="Normal"/></w:pPr>
<w:r><w:t xml:space="preserve">grade being promoted to the lowest number in the next higher</w:t></w:r>
</w:p>
<w:p>
<w:pPr><w:pStyle w:val="Normal"/></w:pPr>
<w:r><w:t xml:space="preserve">grade when a vacancy occurs in the higher grade, and not</w:t></w:r>
</w:p>
<w:p>
<w:pPr><w:pStyle w:val="Normal"/></w:pPr>
<w:r><w:t xml:space="preserve">before.  All officers are retired on three-fourths sea pay at</w:t></w:r>
</w:p>
<w:p>
<w:pPr><w:pStyle w:val="Normal"/></w:pPr>
<w:r><w:t xml:space="preserve">the age of sixty-two, or whenever a board of medical officers</w:t></w:r>
</w:p>
<w:p>
<w:pPr><w:pStyle w:val="Normal"/></w:pPr>
<w:r><w:t xml:space="preserve">certifies that an officer is not physically qualified to</w:t></w:r>
</w:p>
<w:p>
<w:pPr><w:pStyle w:val="Normal"/></w:pPr>
<w:r><w:t xml:space="preserve">perform all duties of his grade.  A few officers are allowed</w:t></w:r>
</w:p>
<w:p>
<w:pPr><w:pStyle w:val="Normal"/></w:pPr>
<w:r><w:t xml:space="preserve">to retire voluntarily in certain circumstances, to stimulate</w:t></w:r>
</w:p>
<w:p>
<w:pPr><w:pStyle w:val="Normal"/></w:pPr>
<w:r><w:t xml:space="preserve">promotion.  Any officer on the retired list may be ordered by</w:t></w:r>
</w:p>
<w:p>
<w:pPr><w:pStyle w:val="Normal"/></w:pPr>
<w:r><w:t xml:space="preserve">the secretary to such duty as he may be able to perform: this</w:t></w:r>
</w:p>
<w:p>
<w:pPr><w:pStyle w:val="Normal"/></w:pPr>
<w:r><w:t xml:space="preserve">is a legal provision to provide for emergencies.  Promotion in</w:t></w:r>
</w:p>
<w:p>
<w:pPr><w:pStyle w:val="Normal"/></w:pPr>
<w:r><w:t xml:space="preserve">the staff corps is dependent upon seniority, though relative</w:t></w:r>
</w:p>
<w:p>
<w:pPr><w:pStyle w:val="Normal"/></w:pPr>
<w:r><w:t xml:space="preserve">rank in the lower grades in some corps somewhat depends upon</w:t></w:r>
</w:p>
<w:p>
<w:pPr><w:pStyle w:val="Normal"/></w:pPr>
<w:r><w:t xml:space="preserve">promotion of line officers of the same length of service,</w:t></w:r>
</w:p>
<w:p>
<w:pPr><w:pStyle w:val="Normal"/></w:pPr>
<w:r><w:t xml:space="preserve">and accounts for the existence of staff officers in the same</w:t></w:r>
</w:p>
<w:p>
<w:pPr><w:pStyle w:val="Normal"/></w:pPr>
<w:r><w:t xml:space="preserve">grade having different ranks.  All sea-going officers, after</w:t></w:r>
</w:p>
<w:p>
<w:pPr><w:pStyle w:val="Normal"/></w:pPr>
<w:r><w:t xml:space="preserve">commission, are required to spend three years at sea, and are</w:t></w:r>
</w:p>
<w:p>
<w:pPr><w:pStyle w:val="Normal"/></w:pPr>
<w:r><w:t xml:space="preserve">then usually employed on shore-duty for a time, according to</w:t></w:r>
</w:p>
<w:p>
<w:pPr><w:pStyle w:val="Normal"/></w:pPr>
<w:r><w:t xml:space="preserve">the needs of the service--short terms of shore-duty thereafter</w:t></w:r>
</w:p>
<w:p>
<w:pPr><w:pStyle w:val="Normal"/></w:pPr>
<w:r><w:t xml:space="preserve">alternating with three-year cruises.  This rule is adhered</w:t></w:r>
</w:p>
<w:p>
<w:pPr><w:pStyle w:val="Normal"/></w:pPr>
<w:r><w:t xml:space="preserve">to as strictly as circumstances will permit.  Shore-duty</w:t></w:r>
</w:p>
<w:p>
<w:pPr><w:pStyle w:val="Normal"/></w:pPr>
<w:r><w:t xml:space="preserve">includes executive or distinctly professional duties in the</w:t></w:r>
</w:p>
<w:p>
<w:pPr><w:pStyle w:val="Normal"/></w:pPr>
<w:r><w:t xml:space="preserve">Navy Department, under its bureaus, and at navy yards and</w:t></w:r>
</w:p>
<w:p>
<w:pPr><w:pStyle w:val="Normal"/></w:pPr>
<w:r><w:t xml:space="preserve">stations; inspection of ordnance, machinery, dynamos, &amp;c., under</w:t></w:r>
</w:p>
<w:p>
<w:pPr><w:pStyle w:val="Normal"/></w:pPr>
<w:r><w:t xml:space="preserve">construction by private firms; duty on numerous temporary or</w:t></w:r>
</w:p>
<w:p>
<w:pPr><w:pStyle w:val="Normal"/></w:pPr>
<w:r><w:t xml:space="preserve">permanent boards; instructors at the Naval Academy; recruiting</w:t></w:r>
</w:p>
<w:p>
<w:pPr><w:pStyle w:val="Normal"/></w:pPr>
<w:r><w:t xml:space="preserve">duty; charge of branch hydrographic offices; inspection duty</w:t></w:r>
</w:p>
<w:p>
<w:pPr><w:pStyle w:val="Normal"/></w:pPr>
<w:r><w:t xml:space="preserve">in the lighthouse establishment; at state nautical schools;</w:t></w:r>
</w:p>
<w:p>
<w:pPr><w:pStyle w:val="Normal"/></w:pPr>
<w:r><w:t xml:space="preserve">as attaches with United States legations; and many others.</w:t></w:r>
</w:p>
<w:p>
<w:pPr><w:pStyle w:val="Normal"/></w:pPr>
<w:r><w:t xml:space="preserve">Naval constructors (usually), civil engineers and professors of</w:t></w:r>
</w:p>
<w:p>
<w:pPr><w:pStyle w:val="Normal"/></w:pPr>
<w:r><w:t xml:space="preserve">mathematics are continuously employed on shore-duty connected</w:t></w:r>
</w:p>
<w:p>
<w:pPr><w:pStyle w:val="Normal"/></w:pPr>
<w:r><w:t xml:space="preserve">with their professions, the Naval Observatory, Nautical</w:t></w:r>
</w:p>
<w:p>
<w:pPr><w:pStyle w:val="Normal"/></w:pPr>
<w:r><w:t xml:space="preserve">Almanac and the Naval Academy employing most of the last.</w:t></w:r>
</w:p>
<w:p>
<w:pPr><w:pStyle w:val="Normal"/></w:pPr>
<w:r><w:t xml:space="preserve">Warrant officers (boatswains, gunners, carpenters, sailmakers,</w:t></w:r>
</w:p>
<w:p>
<w:pPr><w:pStyle w:val="Normal"/></w:pPr>
<w:r><w:t xml:space="preserve">warrant machinists and pharmacists) are appointed by the</w:t></w:r>
</w:p>
<w:p>
<w:pPr><w:pStyle w:val="Normal"/></w:pPr>
<w:r><w:t xml:space="preserve">secretary, preference being given to enlisted men in the navy</w:t></w:r>
</w:p>
<w:p>
<w:pPr><w:pStyle w:val="Normal"/></w:pPr>
<w:r><w:t xml:space="preserve">who have shown marked ability for the positions.  They must be</w:t></w:r>
</w:p>
<w:p>
<w:pPr><w:pStyle w:val="Normal"/></w:pPr>
<w:r><w:t xml:space="preserve">between twenty-one and thirty-five years of age, and pass an</w:t></w:r>
</w:p>
<w:p>
<w:pPr><w:pStyle w:val="Normal"/></w:pPr>
<w:r><w:t xml:space="preserve">examination.  After serving satisfactorily for one year under</w:t></w:r>
</w:p>
<w:p>
<w:pPr><w:pStyle w:val="Normal"/></w:pPr>
<w:r><w:t xml:space="preserve">an acting appointment, they receive warrants that secure the</w:t></w:r>
</w:p>
<w:p>
<w:pPr><w:pStyle w:val="Normal"/></w:pPr>
<w:r><w:t xml:space="preserve">permanency of their office.  Ten years after appointment,</w:t></w:r>
</w:p>
<w:p>
<w:pPr><w:pStyle w:val="Normal"/></w:pPr>
<w:r><w:t xml:space="preserve">boatswains, gunners, carpenters and sailmakers are eligible</w:t></w:r>
</w:p>
<w:p>
<w:pPr><w:pStyle w:val="Normal"/></w:pPr>
<w:r><w:t xml:space="preserve">for examination for a commission as chief-boatswain,</w:t></w:r>
</w:p>
<w:p>
<w:pPr><w:pStyle w:val="Normal"/></w:pPr>
<w:r><w:t xml:space="preserve">&amp;c., and as such they rank with, but next after, ensigns.</w:t></w:r>
</w:p>
<w:p>
<w:pPr><w:pStyle w:val="Normal"/></w:pPr>
<w:r><w:t xml:space="preserve">Mates are rated by the secretary from seamen or ordinary</w:t></w:r>
</w:p>
<w:p>
<w:pPr><w:pStyle w:val="Normal"/></w:pPr>
<w:r><w:t xml:space="preserve">seamen.  They have no relative rank, but take precedence</w:t></w:r>
</w:p>
<w:p>
<w:pPr><w:pStyle w:val="Normal"/></w:pPr>
<w:r><w:t xml:space="preserve">of all petty officers.  Their duties approximate to those</w:t></w:r>
</w:p>
<w:p>
<w:pPr><w:pStyle w:val="Normal"/></w:pPr>
<w:r><w:t xml:space="preserve">of boatswains, though they seldom serve on large cruising</w:t></w:r>
</w:p>
<w:p>
<w:pPr><w:pStyle w:val="Normal"/></w:pPr>
<w:r><w:t xml:space="preserve">vessels.  Clerks to pay officers are appointed by the</w:t></w:r>
</w:p>
<w:p>
<w:pPr><w:pStyle w:val="Normal"/></w:pPr>
<w:r><w:t xml:space="preserve">secretary on the nominations of the pay officers.  They have</w:t></w:r>
</w:p>
<w:p>
<w:pPr><w:pStyle w:val="Normal"/></w:pPr>
<w:r><w:t xml:space="preserve">no rank and are not promoted or retired.  Their appointments</w:t></w:r>
</w:p>
<w:p>
<w:pPr><w:pStyle w:val="Normal"/></w:pPr>
<w:r><w:t xml:space="preserve">are revoked when their services are no longer needed.</w:t></w:r>
</w:p>
<w:p>
<w:pPr><w:pStyle w:val="Normal"/></w:pPr>
<w:r><w:t xml:space="preserve">Boys between fifteen and seventeen years old of good character,</w:t></w:r>
</w:p>
<w:p>
<w:pPr><w:pStyle w:val="Normal"/></w:pPr>
<w:r><w:t xml:space="preserve">who can read and write and pass the physical examination, may</w:t></w:r>
</w:p>
<w:p>
<w:pPr><w:pStyle w:val="Normal"/></w:pPr>
<w:r><w:t xml:space="preserve">enlist for the term of their minority.  They enlist as third-</w:t></w:r>
</w:p>
<w:p>
<w:pPr><w:pStyle w:val="Normal"/></w:pPr>
<w:r><w:t xml:space="preserve">class apprentices, and are given six months&apos; instruction at a</w:t></w:r>
</w:p>
<w:p>
<w:pPr><w:pStyle w:val="Normal"/></w:pPr>
<w:r><w:t xml:space="preserve">training station, and thence go to sea in apprentice training</w:t></w:r>
</w:p>
<w:p>
<w:pPr><w:pStyle w:val="Normal"/></w:pPr>
<w:r><w:t xml:space="preserve">vessels.  When proficient they are transferred to regular</w:t></w:r>
</w:p>
<w:p>
<w:pPr><w:pStyle w:val="Normal"/></w:pPr>
<w:r><w:t xml:space="preserve">cruising vessels as second class, and when further qualified</w:t></w:r>
</w:p>
<w:p>
<w:pPr><w:pStyle w:val="Normal"/></w:pPr>
<w:r><w:t xml:space="preserve">are rated first class.  All other enlistments are for four</w:t></w:r>
</w:p>
<w:p>
<w:pPr><w:pStyle w:val="Normal"/></w:pPr>
<w:r><w:t xml:space="preserve">years.  Recruits must speak English.  Landsmen are usually</w:t></w:r>
</w:p>
<w:p>
<w:pPr><w:pStyle w:val="Normal"/></w:pPr>
<w:r><w:t xml:space="preserve">sent to sea on special training-ships until proficient,</w:t></w:r>
</w:p>
<w:p>
<w:pPr><w:pStyle w:val="Normal"/></w:pPr>
<w:r><w:t xml:space="preserve">and are then sent into general service.  Raw recruits may</w:t></w:r>
</w:p>
<w:p>
<w:pPr><w:pStyle w:val="Normal"/></w:pPr>
<w:r><w:t xml:space="preserve">enlist as landsmen, or coal-passers or mess attendants.</w:t></w:r>
</w:p>
<w:p>
<w:pPr><w:pStyle w:val="Normal"/></w:pPr>
<w:r><w:t xml:space="preserve">Ordinary seamen must have served two years, and seamen four</w:t></w:r>
</w:p>
<w:p>
<w:pPr><w:pStyle w:val="Normal"/></w:pPr>
<w:r><w:t xml:space="preserve">years before the mast, prior to first enlistment as such;</w:t></w:r>
</w:p>
<w:p>
<w:pPr><w:pStyle w:val="Normal"/></w:pPr>
<w:r><w:t xml:space="preserve">and before enlistment in any other rating allowed on first</w:t></w:r>
</w:p>
<w:p>
<w:pPr><w:pStyle w:val="Normal"/></w:pPr>
<w:r><w:t xml:space="preserve">enlistment, applicants must prove their ability to hold such</w:t></w:r>
</w:p>
<w:p>
<w:pPr><w:pStyle w:val="Normal"/></w:pPr>
<w:r><w:t xml:space="preserve">rating.  Landsmen, coal-passers, &amp;c., as soon as they become</w:t></w:r>
</w:p>
<w:p>
<w:pPr><w:pStyle w:val="Normal"/></w:pPr>
<w:r><w:t xml:space="preserve">proficient, are advanced to higher grades, and, if American</w:t></w:r>
</w:p>
<w:p>
<w:pPr><w:pStyle w:val="Normal"/></w:pPr>
<w:r><w:t xml:space="preserve">citizens, may eventually become petty officers (ranking with</w:t></w:r>
</w:p>
<w:p>
<w:pPr><w:pStyle w:val="Normal"/></w:pPr>
<w:r><w:t xml:space="preserve">army non-commissioned officers), with acting appointments.</w:t></w:r>
</w:p>
<w:p>
<w:pPr><w:pStyle w:val="Normal"/></w:pPr>
<w:r><w:t xml:space="preserve">In twelve months, or as soon thereafter as proficiency is</w:t></w:r>
</w:p>
<w:p>
<w:pPr><w:pStyle w:val="Normal"/></w:pPr>
<w:r><w:t xml:space="preserve">established, the acting appointment is made permanent, and an</w:t></w:r>
</w:p>
<w:p>
<w:pPr><w:pStyle w:val="Normal"/></w:pPr>
<w:r><w:t xml:space="preserve">acting appointment for the next higher grade is issued, &amp;c.</w:t></w:r>
</w:p>
<w:p>
<w:pPr><w:pStyle w:val="Normal"/></w:pPr>
<w:r><w:t xml:space="preserve">Permanent appointments are not revokable except by sentence of</w:t></w:r>
</w:p>
<w:p>
<w:pPr><w:pStyle w:val="Normal"/></w:pPr>
<w:r><w:t xml:space="preserve">court-martial, and a man re-enlists in that rating for which</w:t></w:r>
</w:p>
<w:p>
<w:pPr><w:pStyle w:val="Normal"/></w:pPr>
<w:r><w:t xml:space="preserve">he held a permanent appointment in his previous enlistment.</w:t></w:r>
</w:p>
<w:p>
<w:pPr><w:pStyle w:val="Normal"/></w:pPr>
<w:r><w:t xml:space="preserve">All persons re-enlisting within four months after expiration</w:t></w:r>
</w:p>
<w:p>
<w:pPr><w:pStyle w:val="Normal"/></w:pPr>
<w:r><w:t xml:space="preserve">of previous enlistment are entitled to a bounty equal to four</w:t></w:r>
</w:p>
<w:p>
<w:pPr><w:pStyle w:val="Normal"/></w:pPr>
<w:r><w:t xml:space="preserve">months&apos; pay, and in addition receive a ``continuous service</w:t></w:r>
</w:p>
<w:p>
<w:pPr><w:pStyle w:val="Normal"/></w:pPr>
<w:r><w:t xml:space="preserve">certificate,&apos;&apos; which entitles them to higher pay and to other</w:t></w:r>
</w:p>
<w:p>
<w:pPr><w:pStyle w:val="Normal"/></w:pPr>
<w:r><w:t xml:space="preserve">special considerations.  The same is true for each re-enlistment.</w:t></w:r>
</w:p>
<w:p>
<w:pPr><w:pStyle w:val="Normal"/></w:pPr>
<w:r><w:t xml:space="preserve">When an enlisted man completes thirty years&apos; service and is</w:t></w:r>
</w:p>
<w:p>
<w:pPr><w:pStyle w:val="Normal"/></w:pPr>
<w:r><w:t xml:space="preserve">over fifty years of age he may retire on three-fourths pay.</w:t></w:r>
</w:p>
<w:p>
<w:pPr><w:pStyle w:val="Normal"/></w:pPr>
<w:r><w:t xml:space="preserve">The Marine corps (see MARINES) is a wholly separate military</w:t></w:r>
</w:p>
<w:p>
<w:pPr><w:pStyle w:val="Normal"/></w:pPr>
<w:r><w:t xml:space="preserve">body, but it is under the control of the Navy Department.</w:t></w:r>
</w:p>
<w:p>
<w:pPr><w:pStyle w:val="Normal"/></w:pPr>
<w:r><w:t xml:space="preserve">United States naval vessels are, as a rule, built at</w:t></w:r>
</w:p>
<w:p>
<w:pPr><w:pStyle w:val="Normal"/></w:pPr>
<w:r><w:t xml:space="preserve">private yards under contracts awarded after competition.</w:t></w:r>
</w:p>
<w:p>
<w:pPr><w:pStyle w:val="Normal"/></w:pPr>
<w:r><w:t xml:space="preserve">The government is not committed to any fixed policy or</w:t></w:r>
</w:p>
<w:p>
<w:pPr><w:pStyle w:val="Normal"/></w:pPr>
<w:r><w:t xml:space="preserve">building programme.  Each year the secretary recommends</w:t></w:r>
</w:p>
<w:p>
<w:pPr><w:pStyle w:val="Normal"/></w:pPr>
<w:r><w:t xml:space="preserve">certain new construction.  The final action rests with</w:t></w:r>
</w:p>
<w:p>
<w:pPr><w:pStyle w:val="Normal"/></w:pPr>
<w:r><w:t xml:space="preserve">Congress, which must appropriate money for the new ships</w:t></w:r>
</w:p>
<w:p>
<w:pPr><w:pStyle w:val="Normal"/></w:pPr>
<w:r><w:t xml:space="preserve">before the construction can be commenced.  Repairing and</w:t></w:r>
</w:p>
<w:p>
<w:pPr><w:pStyle w:val="Normal"/></w:pPr>
<w:r><w:t xml:space="preserve">reconstruction are usually done at government navy yards.</w:t></w:r>
</w:p>
<w:p>
<w:pPr><w:pStyle w:val="Normal"/></w:pPr>
<w:r><w:t xml:space="preserve">Ships in commission are distributed among five stations: (1)</w:t></w:r>
</w:p>
<w:p>
<w:pPr><w:pStyle w:val="Normal"/></w:pPr>
<w:r><w:t xml:space="preserve">the North Atlantic, i.e. the Atlantic coast of the United</w:t></w:r>
</w:p>
<w:p>
<w:pPr><w:pStyle w:val="Normal"/></w:pPr>
<w:r><w:t xml:space="preserve">States, Central America, and South America as far as the</w:t></w:r>
</w:p>
<w:p>
<w:pPr><w:pStyle w:val="Normal"/></w:pPr>
<w:r><w:t xml:space="preserve">Amazon, also the West Indies; (2) the South Atlantic, i.e.</w:t></w:r>
</w:p>
<w:p>
<w:pPr><w:pStyle w:val="Normal"/></w:pPr>
<w:r><w:t xml:space="preserve">the remainder of the Atlantic coast of South America and both</w:t></w:r>
</w:p>
<w:p>
<w:pPr><w:pStyle w:val="Normal"/></w:pPr>
<w:r><w:t xml:space="preserve">coasts of South Africa; (3) the European, comprising the coast</w:t></w:r>
</w:p>
<w:p>
<w:pPr><w:pStyle w:val="Normal"/></w:pPr>
<w:r><w:t xml:space="preserve">of Europe, including the inland seas, and the North Atlantic</w:t></w:r>
</w:p>
<w:p>
<w:pPr><w:pStyle w:val="Normal"/></w:pPr>
<w:r><w:t xml:space="preserve">coast of Africa; (4) the Asiatic station, comprising the</w:t></w:r>
</w:p>
<w:p>
<w:pPr><w:pStyle w:val="Normal"/></w:pPr>
<w:r><w:t xml:space="preserve">coast of Asia, including the islands north of the equator,</w:t></w:r>
</w:p>
<w:p>
<w:pPr><w:pStyle w:val="Normal"/></w:pPr>
<w:r><w:t xml:space="preserve">also the east coast of North Africa; (5) the Pacific station,</w:t></w:r>
</w:p>
<w:p>
<w:pPr><w:pStyle w:val="Normal"/></w:pPr>
<w:r><w:t xml:space="preserve">comprising the Pacific coast of North and South America,</w:t></w:r>
</w:p>
<w:p>
<w:pPr><w:pStyle w:val="Normal"/></w:pPr>
<w:r><w:t xml:space="preserve">and Australia and the adjacent islands lying south of the</w:t></w:r>
</w:p>
<w:p>
<w:pPr><w:pStyle w:val="Normal"/></w:pPr>
<w:r><w:t xml:space="preserve">equator.  Each station is commanded by a flag officer, and</w:t></w:r>
</w:p>
<w:p>
<w:pPr><w:pStyle w:val="Normal"/></w:pPr>
<w:r><w:t xml:space="preserve">the number of ships under the command varies according to</w:t></w:r>
</w:p>
<w:p>
<w:pPr><w:pStyle w:val="Normal"/></w:pPr>
<w:r><w:t xml:space="preserve">circumstances.  Ships in commission on special service,</w:t></w:r>
</w:p>
<w:p>
<w:pPr><w:pStyle w:val="Normal"/></w:pPr>
<w:r><w:t xml:space="preserve">such as training, gunnery, surveying ships, &amp;c., are not</w:t></w:r>
</w:p>
<w:p>
<w:pPr><w:pStyle w:val="Normal"/></w:pPr>
<w:r><w:t xml:space="preserve">attached to stations.  The shore stations of the navy</w:t></w:r>
</w:p>
<w:p>
<w:pPr><w:pStyle w:val="Normal"/></w:pPr>
<w:r><w:t xml:space="preserve">are enumerated in the article on DOCKYARDS. (W. T. S.)</w:t></w:r>
</w:p>
<w:p>
<w:pPr><w:pStyle w:val="Normal"/></w:pPr>
<w:r><w:t xml:space="preserve">ADMIRALTY, HIGH COURT OF. The High Court of Admiralty of</w:t></w:r>
</w:p>
<w:p>
<w:pPr><w:pStyle w:val="Normal"/></w:pPr>
<w:r><w:t xml:space="preserve">England was the court of the deputy or lieutenant of the</w:t></w:r>
</w:p>
<w:p>
<w:pPr><w:pStyle w:val="Normal"/></w:pPr>
<w:r><w:t xml:space="preserve">admiral.  It is supposed in the Black Book of the Admiralty</w:t></w:r>
</w:p>
<w:p>
<w:pPr><w:pStyle w:val="Normal"/></w:pPr>
<w:r><w:t xml:space="preserve">to have been founded in the reign of Edward I.; but it would</w:t></w:r>
</w:p>
<w:p>
<w:pPr><w:pStyle w:val="Normal"/></w:pPr>
<w:r><w:t xml:space="preserve">appear, from the learned discussion of R. G. Marsden, that</w:t></w:r>
</w:p>
<w:p>
<w:pPr><w:pStyle w:val="Normal"/></w:pPr>
<w:r><w:t xml:space="preserve">it was established as a civil court by Edward III. in the</w:t></w:r>
</w:p>
<w:p>
<w:pPr><w:pStyle w:val="Normal"/></w:pPr>
<w:r><w:t xml:space="preserve">year 1360; the power of the admiral to determine matters of</w:t></w:r>
</w:p>
<w:p>
<w:pPr><w:pStyle w:val="Normal"/></w:pPr>
<w:r><w:t xml:space="preserve">discipline in the fleet, and possibly questions of piracy and</w:t></w:r>
</w:p>
<w:p>
<w:pPr><w:pStyle w:val="Normal"/></w:pPr>
<w:r><w:t xml:space="preserve">prize, being somewhat earlier.  Even then the court as such</w:t></w:r>
</w:p>
<w:p>
<w:pPr><w:pStyle w:val="Normal"/></w:pPr>
<w:r><w:t xml:space="preserve">took no formal shape; but the various admirals began to receive</w:t></w:r>
</w:p>
<w:p>
<w:pPr><w:pStyle w:val="Normal"/></w:pPr>
<w:r><w:t xml:space="preserve">in their patents express grants of jurisdiction with powers to</w:t></w:r>
</w:p>
<w:p>
<w:pPr><w:pStyle w:val="Normal"/></w:pPr>
<w:r><w:t xml:space="preserve">appoint lieutenants or deputies.  At first there were separate</w:t></w:r>
</w:p>
<w:p>
<w:pPr><w:pStyle w:val="Normal"/></w:pPr>
<w:r><w:t xml:space="preserve">admirals or rear-admirals of the north, south and west, each</w:t></w:r>
</w:p>
<w:p>
<w:pPr><w:pStyle w:val="Normal"/></w:pPr>
<w:r><w:t xml:space="preserve">with deputies and courts.  A list of them was collected by Sir H.</w:t></w:r>
</w:p>
<w:p>
<w:pPr><w:pStyle w:val="Normal"/></w:pPr>
<w:r><w:t xml:space="preserve">Spelman.  These were merged in or absorbed by one high court</w:t></w:r>
</w:p>
<w:p>
<w:pPr><w:pStyle w:val="Normal"/></w:pPr>
<w:r><w:t xml:space="preserve">early in the 15th century.  Sir Thomas Beaufort, afterwards</w:t></w:r>
</w:p>
<w:p>
<w:pPr><w:pStyle w:val="Normal"/></w:pPr>
<w:r><w:t xml:space="preserve">earl of Dorset and duke of Exeter (appointed admiral of the</w:t></w:r>
</w:p>
<w:p>
<w:pPr><w:pStyle w:val="Normal"/></w:pPr>
<w:r><w:t xml:space="preserve">fleet 1407, and admiral of England, Ireland and Aquitaine 1412,</w:t></w:r>
</w:p>
<w:p>
<w:pPr><w:pStyle w:val="Normal"/></w:pPr>
<w:r><w:t xml:space="preserve">which latter office he held till his death in 1426), certainly</w:t></w:r>
</w:p>
<w:p>
<w:pPr><w:pStyle w:val="Normal"/></w:pPr>
<w:r><w:t xml:space="preserve">had a court, with a marshal and other officers, and forms of</w:t></w:r>
</w:p>
<w:p>
<w:pPr><w:pStyle w:val="Normal"/></w:pPr>
<w:r><w:t xml:space="preserve">legal process--mandates, warrants, citations, compulsories,</w:t></w:r>
</w:p>
<w:p>
<w:pPr><w:pStyle w:val="Normal"/></w:pPr>
<w:r><w:t xml:space="preserve">proxies, &amp;c. Complaints of encroachment of jurisdiction by the</w:t></w:r>
</w:p>
<w:p>
<w:pPr><w:pStyle w:val="Normal"/></w:pPr>
<w:r><w:t xml:space="preserve">Admiralty Courts led to the restraining acts, 13 Ric. II. c. 5</w:t></w:r>
</w:p>
<w:p>
<w:pPr><w:pStyle w:val="Normal"/></w:pPr>
<w:r><w:t xml:space="preserve">(1389), 15 Ric. II. c. 3 (1391) and 2 Hen. IV. c. 11 (1400).</w:t></w:r>
</w:p>
<w:p>
<w:pPr><w:pStyle w:val="Normal"/></w:pPr>
<w:r><w:t xml:space="preserve">Jurisdiction.</w:t></w:r>
</w:p>
<w:p>
<w:pPr><w:pStyle w:val="Normal"/></w:pPr>
<w:r><w:t xml:space="preserve">The original object of the institution of the courts or court</w:t></w:r>
</w:p>
<w:p>
<w:pPr><w:pStyle w:val="Normal"/></w:pPr>
<w:r><w:t xml:space="preserve">seems to have been to prevent or punish piracy and other</w:t></w:r>
</w:p>
<w:p>
<w:pPr><w:pStyle w:val="Normal"/></w:pPr>
<w:r><w:t xml:space="preserve">crimes upon the narrow seas and to deal with questions of</w:t></w:r>
</w:p>
<w:p>
<w:pPr><w:pStyle w:val="Normal"/></w:pPr>
<w:r><w:t xml:space="preserve">prize; but civil jurisdiction soon followed.  The jurisdiction</w:t></w:r>
</w:p>
<w:p>
<w:pPr><w:pStyle w:val="Normal"/></w:pPr>
<w:r><w:t xml:space="preserve">in criminal matters was transferred by the Offences at Sea</w:t></w:r>
</w:p>
<w:p>
<w:pPr><w:pStyle w:val="Normal"/></w:pPr>
<w:r><w:t xml:space="preserve">Act 1536 to the admiral or his deputy and three or four</w:t></w:r>
</w:p>
<w:p>
<w:pPr><w:pStyle w:val="Normal"/></w:pPr>
<w:r><w:t xml:space="preserve">other substantial persons appointed by the lord chancellor,</w:t></w:r>
</w:p>
<w:p>
<w:pPr><w:pStyle w:val="Normal"/></w:pPr>
<w:r><w:t xml:space="preserve">who were to proceed according to the course of the common</w:t></w:r>
</w:p>
<w:p>
<w:pPr><w:pStyle w:val="Normal"/></w:pPr>
<w:r><w:t xml:space="preserve">law.  By the Central Criminal Court Act 1834, cognizance of</w:t></w:r>
</w:p>
<w:p>
<w:pPr><w:pStyle w:val="Normal"/></w:pPr>
<w:r><w:t xml:space="preserve">crimes committed within the jurisdiction of the admiralty</w:t></w:r>
</w:p>
<w:p>
<w:pPr><w:pStyle w:val="Normal"/></w:pPr>
<w:r><w:t xml:space="preserve">was given to the central criminal court.  By an act of</w:t></w:r>
</w:p>
<w:p>
<w:pPr><w:pStyle w:val="Normal"/></w:pPr>
<w:r><w:t xml:space="preserve">1844 it has been also given to the justices of assize;</w:t></w:r>
</w:p>
<w:p>
<w:pPr><w:pStyle w:val="Normal"/></w:pPr>
<w:r><w:t xml:space="preserve">and crimes done within the jurisdiction of the admiralty</w:t></w:r>
</w:p>
<w:p>
<w:pPr><w:pStyle w:val="Normal"/></w:pPr>
<w:r><w:t xml:space="preserve">are now tried as crimes committed within the body of a</w:t></w:r>
</w:p>
<w:p>
<w:pPr><w:pStyle w:val="Normal"/></w:pPr>
<w:r><w:t xml:space="preserve">county.  See also the Criminal Law Consolidation Acts of 1861.</w:t></w:r>
</w:p>
<w:p>
<w:pPr><w:pStyle w:val="Normal"/></w:pPr>
<w:r><w:t xml:space="preserve">From the time of Henry IV. the only legislation affecting</w:t></w:r>
</w:p>
<w:p>
<w:pPr><w:pStyle w:val="Normal"/></w:pPr>
<w:r><w:t xml:space="preserve">the civil jurisdiction of the High Court of Admiralty till</w:t></w:r>
</w:p>
<w:p>
<w:pPr><w:pStyle w:val="Normal"/></w:pPr>
<w:r><w:t xml:space="preserve">the time of Queen Victoria is to be found in an act of 1540,</w:t></w:r>
</w:p>
<w:p>
<w:pPr><w:pStyle w:val="Normal"/></w:pPr>
<w:r><w:t xml:space="preserve">enabling the admiral or his lieutenant to decide on certain</w:t></w:r>
</w:p>
<w:p>
<w:pPr><w:pStyle w:val="Normal"/></w:pPr>
<w:r><w:t xml:space="preserve">complaints of freighters against shipmasters for delay in</w:t></w:r>
</w:p>
<w:p>
<w:pPr><w:pStyle w:val="Normal"/></w:pPr>
<w:r><w:t xml:space="preserve">sailing, and one of 1562, giving the lord high admiral of</w:t></w:r>
</w:p>
<w:p>
<w:pPr><w:pStyle w:val="Normal"/></w:pPr>
<w:r><w:t xml:space="preserve">England, the lord warden of the Cinque Ports, their lieutenants</w:t></w:r>
</w:p>
<w:p>
<w:pPr><w:pStyle w:val="Normal"/></w:pPr>
<w:r><w:t xml:space="preserve">and judges, co-ordinate power with other judges to enforce</w:t></w:r>
</w:p>
<w:p>
<w:pPr><w:pStyle w:val="Normal"/></w:pPr>
<w:r><w:t xml:space="preserve">forfeitures under that act--a very curious and miscellaneous</w:t></w:r>
</w:p>
<w:p>
<w:pPr><w:pStyle w:val="Normal"/></w:pPr>
<w:r><w:t xml:space="preserve">statute called ``An Act for the Maintenance of the Navy.&apos;&apos;</w:t></w:r>
</w:p>
<w:p>
<w:pPr><w:pStyle w:val="Normal"/></w:pPr>
<w:r><w:t xml:space="preserve">In an act of 1534, with regard to ecclesiastical appeals from</w:t></w:r>
</w:p>
<w:p>
<w:pPr><w:pStyle w:val="Normal"/></w:pPr>
<w:r><w:t xml:space="preserve">the courts of the archbishops to the crown, it is provided</w:t></w:r>
</w:p>
<w:p>
<w:pPr><w:pStyle w:val="Normal"/></w:pPr>
<w:r><w:t xml:space="preserve">that the appeal shall be to the king in Chancery, ``and</w:t></w:r>
</w:p>
<w:p>
<w:pPr><w:pStyle w:val="Normal"/></w:pPr>
<w:r><w:t xml:space="preserve">that upon every such appeal a commission shall be directed</w:t></w:r>
</w:p>
<w:p>
<w:pPr><w:pStyle w:val="Normal"/></w:pPr>
<w:r><w:t xml:space="preserve">under the great seal to such persons as shall be named by</w:t></w:r>
</w:p>
<w:p>
<w:pPr><w:pStyle w:val="Normal"/></w:pPr>
<w:r><w:t xml:space="preserve">the king&apos;s highness, his heirs or successors, like as in</w:t></w:r>
</w:p>
<w:p>
<w:pPr><w:pStyle w:val="Normal"/></w:pPr>
<w:r><w:t xml:space="preserve">cases of appeal from the Admiralty Court.&apos;&apos; The appeal to</w:t></w:r>
</w:p>
<w:p>
<w:pPr><w:pStyle w:val="Normal"/></w:pPr>
<w:r><w:t xml:space="preserve">these ``persons,&apos;&apos; called delegates, continued until it was</w:t></w:r>
</w:p>
<w:p>
<w:pPr><w:pStyle w:val="Normal"/></w:pPr>
<w:r><w:t xml:space="preserve">transferred first to the privy council and then to the judicial</w:t></w:r>
</w:p>
<w:p>
<w:pPr><w:pStyle w:val="Normal"/></w:pPr>
<w:r><w:t xml:space="preserve">committee of the privy council by acts of 1832 and 1833.</w:t></w:r>
</w:p>
<w:p>
<w:pPr><w:pStyle w:val="Normal"/></w:pPr>
<w:r><w:t xml:space="preserve">The early jurisdiction of the court appears to have been</w:t></w:r>
</w:p>
<w:p>
<w:pPr><w:pStyle w:val="Normal"/></w:pPr>
<w:r><w:t xml:space="preserve">exercised very much under the same procedure as that</w:t></w:r>
</w:p>
<w:p>
<w:pPr><w:pStyle w:val="Normal"/></w:pPr>
<w:r><w:t xml:space="preserve">used by the courts of common law.  Juries are mentioned,</w:t></w:r>
</w:p>
<w:p>
<w:pPr><w:pStyle w:val="Normal"/></w:pPr>
<w:r><w:t xml:space="preserve">sometimes of the county and sometimes of the county and</w:t></w:r>
</w:p>
<w:p>
<w:pPr><w:pStyle w:val="Normal"/></w:pPr>
<w:r><w:t xml:space="preserve">merchants.  But the connexion with foreign parts led to the</w:t></w:r>
</w:p>
<w:p>
<w:pPr><w:pStyle w:val="Normal"/></w:pPr>
<w:r><w:t xml:space="preserve">gradual introduction of a procedure resembling that coming</w:t></w:r>
</w:p>
<w:p>
<w:pPr><w:pStyle w:val="Normal"/></w:pPr>
<w:r><w:t xml:space="preserve">into use on the continent and based on the Roman civil</w:t></w:r>
</w:p>
<w:p>
<w:pPr><w:pStyle w:val="Normal"/></w:pPr>
<w:r><w:t xml:space="preserve">law.  The Offences at Sea Act 1536 states the objection to</w:t></w:r>
</w:p>
<w:p>
<w:pPr><w:pStyle w:val="Normal"/></w:pPr>
<w:r><w:t xml:space="preserve">this application of the civil law to the trial of criminal</w:t></w:r>
</w:p>
<w:p>
<w:pPr><w:pStyle w:val="Normal"/></w:pPr>
<w:r><w:t xml:space="preserve">cases with much force: ``After the course of the civil laws,</w:t></w:r>
</w:p>
<w:p>
<w:pPr><w:pStyle w:val="Normal"/></w:pPr>
<w:r><w:t xml:space="preserve">the nature whereof is that before any judgment of death can be</w:t></w:r>
</w:p>
<w:p>
<w:pPr><w:pStyle w:val="Normal"/></w:pPr>
<w:r><w:t xml:space="preserve">given against the offenders, either they must plainly confess</w:t></w:r>
</w:p>
<w:p>
<w:pPr><w:pStyle w:val="Normal"/></w:pPr>
<w:r><w:t xml:space="preserve">their offences (which they will never do without torture or</w:t></w:r>
</w:p>
<w:p>
<w:pPr><w:pStyle w:val="Normal"/></w:pPr>
<w:r><w:t xml:space="preserve">pain), or else their offences be so plainly and directly</w:t></w:r>
</w:p>
<w:p>
<w:pPr><w:pStyle w:val="Normal"/></w:pPr>
<w:r><w:t xml:space="preserve">proved by witness indifferent such as saw their offences</w:t></w:r>
</w:p>
<w:p>
<w:pPr><w:pStyle w:val="Normal"/></w:pPr>
<w:r><w:t xml:space="preserve">committed, which cannot be gotten but by chance at few times.&apos;&apos;</w:t></w:r>
</w:p>
<w:p>
<w:pPr><w:pStyle w:val="Normal"/></w:pPr>
<w:r><w:t xml:space="preserve">Restraining Acts.</w:t></w:r>
</w:p>
<w:p>
<w:pPr><w:pStyle w:val="Normal"/></w:pPr>
<w:r><w:t xml:space="preserve">The material enactments of the restraining statutes were as</w:t></w:r>
</w:p>
<w:p>
<w:pPr><w:pStyle w:val="Normal"/></w:pPr>
<w:r><w:t xml:space="preserve">follows:--An act of 1389 (13 Ric. II. c. 5) provided that ``the</w:t></w:r>
</w:p>
<w:p>
<w:pPr><w:pStyle w:val="Normal"/></w:pPr>
<w:r><w:t xml:space="preserve">admirals and their deputies shall not meddle from henceforth</w:t></w:r>
</w:p>
<w:p>
<w:pPr><w:pStyle w:val="Normal"/></w:pPr>
<w:r><w:t xml:space="preserve">of anything done within the realm, but only of a thing done</w:t></w:r>
</w:p>
<w:p>
<w:pPr><w:pStyle w:val="Normal"/></w:pPr>
<w:r><w:t xml:space="preserve">upon the sea, as it hath been used in the time of the noble</w:t></w:r>
</w:p>
<w:p>
<w:pPr><w:pStyle w:val="Normal"/></w:pPr>
<w:r><w:t xml:space="preserve">prince king Edward, grandfather of our lord the king that now</w:t></w:r>
</w:p>
<w:p>
<w:pPr><w:pStyle w:val="Normal"/></w:pPr>
<w:r><w:t xml:space="preserve">is.&apos;&apos; The act of 1391 (15 Ric. II. c. 3) provided that ``of</w:t></w:r>
</w:p>
<w:p>
<w:pPr><w:pStyle w:val="Normal"/></w:pPr>
<w:r><w:t xml:space="preserve">all manner of contracts, pleas and quarrels, and other things</w:t></w:r>
</w:p>
<w:p>
<w:pPr><w:pStyle w:val="Normal"/></w:pPr>
<w:r><w:t xml:space="preserve">rising within the bodies of the counties as well by land as by</w:t></w:r>
</w:p>
<w:p>
<w:pPr><w:pStyle w:val="Normal"/></w:pPr>
<w:r><w:t xml:space="preserve">water, and also of wreck of the sea, the admiral&apos;s court shall</w:t></w:r>
</w:p>
<w:p>
<w:pPr><w:pStyle w:val="Normal"/></w:pPr>
<w:r><w:t xml:space="preserve">have no manner of cognizance, power, nor jurisdiction; but all</w:t></w:r>
</w:p>
<w:p>
<w:pPr><w:pStyle w:val="Normal"/></w:pPr>
<w:r><w:t xml:space="preserve">such manner of contracts, pleas and quarrels, and all other</w:t></w:r>
</w:p>
<w:p>
<w:pPr><w:pStyle w:val="Normal"/></w:pPr>
<w:r><w:t xml:space="preserve">things rising within the bodies of counties, as well by land</w:t></w:r>
</w:p>
<w:p>
<w:pPr><w:pStyle w:val="Normal"/></w:pPr>
<w:r><w:t xml:space="preserve">as by water, as afore, and also wreck of the sea, shall be</w:t></w:r>
</w:p>
<w:p>
<w:pPr><w:pStyle w:val="Normal"/></w:pPr>
<w:r><w:t xml:space="preserve">tried, determined, discussed and remedied by the laws of the</w:t></w:r>
</w:p>
<w:p>
<w:pPr><w:pStyle w:val="Normal"/></w:pPr>
<w:r><w:t xml:space="preserve">land, and not before nor by the admiral, nor his lieutenant in</w:t></w:r>
</w:p>
<w:p>
<w:pPr><w:pStyle w:val="Normal"/></w:pPr>
<w:r><w:t xml:space="preserve">anywise.  Nevertheless, of the death of a man, and of a</w:t></w:r>
</w:p>
<w:p>
<w:pPr><w:pStyle w:val="Normal"/></w:pPr>
<w:r><w:t xml:space="preserve">maihem done in great ships, being and hovering in the main</w:t></w:r>
</w:p>
<w:p>
<w:pPr><w:pStyle w:val="Normal"/></w:pPr>
<w:r><w:t xml:space="preserve">stream of great rivers, only beneath the [bridges] of the</w:t></w:r>
</w:p>
<w:p>
<w:pPr><w:pStyle w:val="Normal"/></w:pPr>
<w:r><w:t xml:space="preserve">same rivers [nigh] to the sea, and in none other places of</w:t></w:r>
</w:p>
<w:p>
<w:pPr><w:pStyle w:val="Normal"/></w:pPr>
<w:r><w:t xml:space="preserve">the same rivers, the admiral shall have cognizance, and also</w:t></w:r>
</w:p>
<w:p>
<w:pPr><w:pStyle w:val="Normal"/></w:pPr>
<w:r><w:t xml:space="preserve">to arrest ships in the great flotes for the great voyages</w:t></w:r>
</w:p>
<w:p>
<w:pPr><w:pStyle w:val="Normal"/></w:pPr>
<w:r><w:t xml:space="preserve">of the king and of the realm; saving always to the king all</w:t></w:r>
</w:p>
<w:p>
<w:pPr><w:pStyle w:val="Normal"/></w:pPr>
<w:r><w:t xml:space="preserve">manner of forfeitures and profits thereof coming; and he shall</w:t></w:r>
</w:p>
<w:p>
<w:pPr><w:pStyle w:val="Normal"/></w:pPr>
<w:r><w:t xml:space="preserve">have also jurisdiction upon the said flotes, during the said</w:t></w:r>
</w:p>
<w:p>
<w:pPr><w:pStyle w:val="Normal"/></w:pPr>
<w:r><w:t xml:space="preserve">voyages only; saving always to the lords, cities, and boroughs,</w:t></w:r>
</w:p>
<w:p>
<w:pPr><w:pStyle w:val="Normal"/></w:pPr>
<w:r><w:t xml:space="preserve">their liberties and franchises.&apos;&apos; The act of 1400 (2 Hen.</w:t></w:r>
</w:p>
<w:p>
<w:pPr><w:pStyle w:val="Heading1"/></w:pPr>
<w:r><w:t>IV. c. 11) adds nothing by way of definition or restriction,</w:t></w:r>
</w:p>
<w:p>
<w:pPr><w:pStyle w:val="Normal"/></w:pPr>
<w:r><w:t xml:space="preserve">but merely gives additional remedies against encroachments,</w:t></w:r>
</w:p>
<w:p>
<w:pPr><w:pStyle w:val="Normal"/></w:pPr>
<w:r><w:t xml:space="preserve">providing heavy fines for those who improperly sue in the</w:t></w:r>
</w:p>
<w:p>
<w:pPr><w:pStyle w:val="Normal"/></w:pPr>
<w:r><w:t xml:space="preserve">court, and those officials of the court who improperly assert</w:t></w:r>
</w:p>
<w:p>
<w:pPr><w:pStyle w:val="Normal"/></w:pPr>
<w:r><w:t xml:space="preserve">jurisdiction.  It was repealed by the Admiralty Court Act</w:t></w:r>
</w:p>
<w:p>
<w:pPr><w:pStyle w:val="Normal"/></w:pPr>
<w:r><w:t xml:space="preserve">1861.  The statutes of Richard, except the enabling part of the</w:t></w:r>
</w:p>
<w:p>
<w:pPr><w:pStyle w:val="Normal"/></w:pPr>
<w:r><w:t xml:space="preserve">second, were repealed by the Civil Procedure Acts Repeal Act 1879.</w:t></w:r>
</w:p>
<w:p>
<w:pPr><w:pStyle w:val="Normal"/></w:pPr>
<w:r><w:t xml:space="preserve">The formation of a High Court of Justice rendered them obsolete.</w:t></w:r>
</w:p>
<w:p>
<w:pPr><w:pStyle w:val="Normal"/></w:pPr>
<w:r><w:t xml:space="preserve">In the reign of James I. the chronic controversies between</w:t></w:r>
</w:p>
<w:p>
<w:pPr><w:pStyle w:val="Normal"/></w:pPr>
<w:r><w:t xml:space="preserve">the courts of common law and the Admiralty Court as to the</w:t></w:r>
</w:p>
<w:p>
<w:pPr><w:pStyle w:val="Normal"/></w:pPr>
<w:r><w:t xml:space="preserve">limits of their respective jurisdictions reached an acute</w:t></w:r>
</w:p>
<w:p>
<w:pPr><w:pStyle w:val="Normal"/></w:pPr>
<w:r><w:t xml:space="preserve">stage.  We find the records of it in the second volume of</w:t></w:r>
</w:p>
<w:p>
<w:pPr><w:pStyle w:val="Normal"/></w:pPr>
<w:r><w:t xml:space="preserve">Marsden&apos;s Select Pleas in the Court of Admiralty, and in</w:t></w:r>
</w:p>
<w:p>
<w:pPr><w:pStyle w:val="Normal"/></w:pPr>
<w:r><w:t xml:space="preserve">Lord Coke&apos;s writings: Reports, part xiii. 51; Institutes,</w:t></w:r>
</w:p>
<w:p>
<w:pPr><w:pStyle w:val="Heading1"/></w:pPr>
<w:r><w:t>part iv. chap. 22. In this latter passage Lord Coke records</w:t></w:r>
</w:p>
<w:p>
<w:pPr><w:pStyle w:val="Normal"/></w:pPr>
<w:r><w:t xml:space="preserve">how, notwithstanding an agreement asserted to have been made</w:t></w:r>
</w:p>
<w:p>
<w:pPr><w:pStyle w:val="Normal"/></w:pPr>
<w:r><w:t xml:space="preserve">in 1575 between the justices of the King&apos;s Bench and the</w:t></w:r>
</w:p>
<w:p>
<w:pPr><w:pStyle w:val="Normal"/></w:pPr>
<w:r><w:t xml:space="preserve">judge of the admiralty, the judges of the common law courts</w:t></w:r>
</w:p>
<w:p>
<w:pPr><w:pStyle w:val="Normal"/></w:pPr>
<w:r><w:t xml:space="preserve">successfully maintained their right to prohibit suits in</w:t></w:r>
</w:p>
<w:p>
<w:pPr><w:pStyle w:val="Normal"/></w:pPr>
<w:r><w:t xml:space="preserve">admiralty upon contracts made on shore, or within havens, or</w:t></w:r>
</w:p>
<w:p>
<w:pPr><w:pStyle w:val="Normal"/></w:pPr>
<w:r><w:t xml:space="preserve">creeks, or tidal rivers, if the waters were within the body</w:t></w:r>
</w:p>
<w:p>
<w:pPr><w:pStyle w:val="Normal"/></w:pPr>
<w:r><w:t xml:space="preserve">of any county, wheresoever such contracts were broken, for</w:t></w:r>
</w:p>
<w:p>
<w:pPr><w:pStyle w:val="Normal"/></w:pPr>
<w:r><w:t xml:space="preserve">torts committed within the body of a county, whether on land</w:t></w:r>
</w:p>
<w:p>
<w:pPr><w:pStyle w:val="Normal"/></w:pPr>
<w:r><w:t xml:space="preserve">or water, and for contracts made in parts beyond the seas.</w:t></w:r>
</w:p>
<w:p>
<w:pPr><w:pStyle w:val="Normal"/></w:pPr>
<w:r><w:t xml:space="preserve">It is due to the memory of the judges of Lord Coke&apos;s time to</w:t></w:r>
</w:p>
<w:p>
<w:pPr><w:pStyle w:val="Normal"/></w:pPr>
<w:r><w:t xml:space="preserve">say that, at any rate as regards contracts made in partibus</w:t></w:r>
</w:p>
<w:p>
<w:pPr><w:pStyle w:val="Normal"/></w:pPr>
<w:r><w:t xml:space="preserve">transmarinis, the same rule appears to have been applied at</w:t></w:r>
</w:p>
<w:p>
<w:pPr><w:pStyle w:val="Normal"/></w:pPr>
<w:r><w:t xml:space="preserve">least as early as 1544, the judges then holding that ``for</w:t></w:r>
</w:p>
<w:p>
<w:pPr><w:pStyle w:val="Normal"/></w:pPr>
<w:r><w:t xml:space="preserve">actions transitory abroad action may lie at common law.&apos;&apos;</w:t></w:r>
</w:p>
<w:p>
<w:pPr><w:pStyle w:val="Normal"/></w:pPr>
<w:r><w:t xml:space="preserve">Judge&apos;s patent.</w:t></w:r>
</w:p>
<w:p>
<w:pPr><w:pStyle w:val="Normal"/></w:pPr>
<w:r><w:t xml:space="preserve">All the while, however, the patents of the admiralty</w:t></w:r>
</w:p>
<w:p>
<w:pPr><w:pStyle w:val="Normal"/></w:pPr>
<w:r><w:t xml:space="preserve">judge purported to confer on him a far ampler jurisdiction</w:t></w:r>
</w:p>
<w:p>
<w:pPr><w:pStyle w:val="Normal"/></w:pPr>
<w:r><w:t xml:space="preserve">than the jealousy of the other courts would concede to</w:t></w:r>
</w:p>
<w:p>
<w:pPr><w:pStyle w:val="Normal"/></w:pPr>
<w:r><w:t xml:space="preserve">him.  The patent of the last judge of the court, Sir Robert</w:t></w:r>
</w:p>
<w:p>
<w:pPr><w:pStyle w:val="Normal"/></w:pPr>
<w:r><w:t xml:space="preserve">Joseph Phillimore, dated the 23rd of August 1867, styles him</w:t></w:r>
</w:p>
<w:p>
<w:pPr><w:pStyle w:val="Normal"/></w:pPr>
<w:r><w:t xml:space="preserve">``Lieut.  Off. Princ. and Commissary Gen. and Special in</w:t></w:r>
</w:p>
<w:p>
<w:pPr><w:pStyle w:val="Normal"/></w:pPr>
<w:r><w:t xml:space="preserve">our High Court of Admiralty of Eng. and President and Judge</w:t></w:r>
</w:p>
<w:p>
<w:pPr><w:pStyle w:val="Normal"/></w:pPr>
<w:r><w:t xml:space="preserve">of the same,&apos;&apos; and gives to him power to take cognizance</w:t></w:r>
</w:p>
<w:p>
<w:pPr><w:pStyle w:val="Normal"/></w:pPr>
<w:r><w:t xml:space="preserve">of ``all causes, civil and maritime, also all contracts,</w:t></w:r>
</w:p>
<w:p>
<w:pPr><w:pStyle w:val="Normal"/></w:pPr>
<w:r><w:t xml:space="preserve">complaints, offences or suspected offences, crimes, pleas,</w:t></w:r>
</w:p>
<w:p>
<w:pPr><w:pStyle w:val="Normal"/></w:pPr>
<w:r><w:t xml:space="preserve">debts, exchanges, accounts, policies of assurance, loading of</w:t></w:r>
</w:p>
<w:p>
<w:pPr><w:pStyle w:val="Normal"/></w:pPr>
<w:r><w:t xml:space="preserve">ships, and all other matters and contracts which relate to</w:t></w:r>
</w:p>
<w:p>
<w:pPr><w:pStyle w:val="Normal"/></w:pPr>
<w:r><w:t xml:space="preserve">freight due for the use of ships, transportation, money or</w:t></w:r>
</w:p>
<w:p>
<w:pPr><w:pStyle w:val="Normal"/></w:pPr>
<w:r><w:t xml:space="preserve">bottomry; also all suits civil and maritime between merchants</w:t></w:r>
</w:p>
<w:p>
<w:pPr><w:pStyle w:val="Normal"/></w:pPr>
<w:r><w:t xml:space="preserve">or between proprietors of ships and other vessels for matters</w:t></w:r>
</w:p>
<w:p>
<w:pPr><w:pStyle w:val="Normal"/></w:pPr>
<w:r><w:t xml:space="preserve">in, upon, or by the sea, or public streams, or fresh-water</w:t></w:r>
</w:p>
<w:p>
<w:pPr><w:pStyle w:val="Normal"/></w:pPr>
<w:r><w:t xml:space="preserve">ports, rivers, nooks and places overflown whatsoever within</w:t></w:r>
</w:p>
<w:p>
<w:pPr><w:pStyle w:val="Normal"/></w:pPr>
<w:r><w:t xml:space="preserve">the ebbing and flowing of the sea and high-water mark, or</w:t></w:r>
</w:p>
<w:p>
<w:pPr><w:pStyle w:val="Normal"/></w:pPr>
<w:r><w:t xml:space="preserve">upon any of the shores or banks adjacent from any of the</w:t></w:r>
</w:p>
<w:p>
<w:pPr><w:pStyle w:val="Normal"/></w:pPr>
<w:r><w:t xml:space="preserve">first bridges towards the sea through England and Ireland</w:t></w:r>
</w:p>
<w:p>
<w:pPr><w:pStyle w:val="Normal"/></w:pPr>
<w:r><w:t xml:space="preserve">and the dominions thereof, or elsewhere beyond the seas.&apos;&apos;</w:t></w:r>
</w:p>
<w:p>
<w:pPr><w:pStyle w:val="Normal"/></w:pPr>
<w:r><w:t xml:space="preserve">Power is also given to hear appeals from vice-admirals; also</w:t></w:r>
</w:p>
<w:p>
<w:pPr><w:pStyle w:val="Normal"/></w:pPr>
<w:r><w:t xml:space="preserve">``to arrest . . . according to the civil laws and ancient</w:t></w:r>
</w:p>
<w:p>
<w:pPr><w:pStyle w:val="Normal"/></w:pPr>
<w:r><w:t xml:space="preserve">customs of our high court . . . all ships, persons, things,</w:t></w:r>
</w:p>
<w:p>
<w:pPr><w:pStyle w:val="Normal"/></w:pPr>
<w:r><w:t xml:space="preserve">goods, wares and merchandise&apos;&apos;; also ``to enquire by the</w:t></w:r>
</w:p>
<w:p>
<w:pPr><w:pStyle w:val="Normal"/></w:pPr>
<w:r><w:t xml:space="preserve">oaths of honest and lawful men . . . of all . . . things</w:t></w:r>
</w:p>
<w:p>
<w:pPr><w:pStyle w:val="Normal"/></w:pPr>
<w:r><w:t xml:space="preserve">which . . . ought to be enquired after, and to mulct, arrest,</w:t></w:r>
</w:p>
<w:p>
<w:pPr><w:pStyle w:val="Normal"/></w:pPr>
<w:r><w:t xml:space="preserve">punish, chastise and reform&apos;&apos;; also ``to preserve the public</w:t></w:r>
</w:p>
<w:p>
<w:pPr><w:pStyle w:val="Normal"/></w:pPr>
<w:r><w:t xml:space="preserve">streams of our admiralty as well for the preservation of our</w:t></w:r>
</w:p>
<w:p>
<w:pPr><w:pStyle w:val="Normal"/></w:pPr>
<w:r><w:t xml:space="preserve">royal navy, and of the fleets and vessels of our kingdom .</w:t></w:r>
</w:p>
<w:p>
<w:pPr><w:pStyle w:val="Normal"/></w:pPr>
<w:r><w:t xml:space="preserve">. . as of whatsoever fishes increasing in the rivers&apos;&apos;; also</w:t></w:r>
</w:p>
<w:p>
<w:pPr><w:pStyle w:val="Normal"/></w:pPr>
<w:r><w:t xml:space="preserve">``to reform nets too straight and other unlawful engines and</w:t></w:r>
</w:p>
<w:p>
<w:pPr><w:pStyle w:val="Normal"/></w:pPr>
<w:r><w:t xml:space="preserve">instruments whatsoever for the catching of fishes&apos;&apos;; also to</w:t></w:r>
</w:p>
<w:p>
<w:pPr><w:pStyle w:val="Normal"/></w:pPr>
<w:r><w:t xml:space="preserve">take cognizance ``of the wreck of the sea . . . and of the</w:t></w:r>
</w:p>
<w:p>
<w:pPr><w:pStyle w:val="Normal"/></w:pPr>
<w:r><w:t xml:space="preserve">death, drowning and view of dead bodies,&apos;&apos; and the conservation</w:t></w:r>
</w:p>
<w:p>
<w:pPr><w:pStyle w:val="Normal"/></w:pPr>
<w:r><w:t xml:space="preserve">of the statutes concerning wreck of the sea and the office</w:t></w:r>
</w:p>
<w:p>
<w:pPr><w:pStyle w:val="Normal"/></w:pPr>
<w:r><w:t xml:space="preserve">of coroner [1276], and concerning pillages [1353], and ``the</w:t></w:r>
</w:p>
<w:p>
<w:pPr><w:pStyle w:val="Normal"/></w:pPr>
<w:r><w:t xml:space="preserve">cognizance of mayhem&apos;&apos; within the ebb and flow of the tide;</w:t></w:r>
</w:p>
<w:p>
<w:pPr><w:pStyle w:val="Normal"/></w:pPr>
<w:r><w:t xml:space="preserve">all in as ample manner and form as they were enjoyed by Dr</w:t></w:r>
</w:p>
<w:p>
<w:pPr><w:pStyle w:val="Normal"/></w:pPr>
<w:r><w:t xml:space="preserve">David Lewis [judge from 1558 to 1584], Sir Julius Caesar,</w:t></w:r>
</w:p>
<w:p>
<w:pPr><w:pStyle w:val="Normal"/></w:pPr>
<w:r><w:t xml:space="preserve">and the other judges in order (22 in all) before Sir Robert</w:t></w:r>
</w:p>
<w:p>
<w:pPr><w:pStyle w:val="Normal"/></w:pPr>
<w:r><w:t xml:space="preserve">Phillimore.  This form of patent differs in but few respects</w:t></w:r>
</w:p>
<w:p>
<w:pPr><w:pStyle w:val="Normal"/></w:pPr>
<w:r><w:t xml:space="preserve">from the earlier Latin patents --tempore Henry VIII.--except</w:t></w:r>
</w:p>
<w:p>
<w:pPr><w:pStyle w:val="Normal"/></w:pPr>
<w:r><w:t xml:space="preserve">that they have a clause non obstantibus statutis.</w:t></w:r>
</w:p>
<w:p>
<w:pPr><w:pStyle w:val="Normal"/></w:pPr>
<w:r><w:t xml:space="preserve">Modern progress.</w:t></w:r>
</w:p>
<w:p>
<w:pPr><w:pStyle w:val="Normal"/></w:pPr>
<w:r><w:t xml:space="preserve">As has been said, however, the contention of the common</w:t></w:r>
</w:p>
<w:p>
<w:pPr><w:pStyle w:val="Normal"/></w:pPr>
<w:r><w:t xml:space="preserve">law judges prevailed, and the Admiralty Court (except for</w:t></w:r>
</w:p>
<w:p>
<w:pPr><w:pStyle w:val="Normal"/></w:pPr>
<w:r><w:t xml:space="preserve">a temporary revival under Cromwell) sank into comparative</w:t></w:r>
</w:p>
<w:p>
<w:pPr><w:pStyle w:val="Normal"/></w:pPr>
<w:r><w:t xml:space="preserve">insignificance during the 17th century.  The great maritime</w:t></w:r>
</w:p>
<w:p>
<w:pPr><w:pStyle w:val="Normal"/></w:pPr>
<w:r><w:t xml:space="preserve">wars of the 18th century gave scope to the exercise of its</w:t></w:r>
</w:p>
<w:p>
<w:pPr><w:pStyle w:val="Normal"/></w:pPr>
<w:r><w:t xml:space="preserve">prize jurisdiction; and its international importance as a</w:t></w:r>
</w:p>
<w:p>
<w:pPr><w:pStyle w:val="Normal"/></w:pPr>
<w:r><w:t xml:space="preserve">prize court in the latter half of the 18th and the first</w:t></w:r>
</w:p>
<w:p>
<w:pPr><w:pStyle w:val="Heading1"/></w:pPr>
<w:r><w:t>part of the 19th centuries is a matter of common historical</w:t></w:r>
</w:p>
<w:p>
<w:pPr><w:pStyle w:val="Normal"/></w:pPr>
<w:r><w:t xml:space="preserve">knowledge.  There were upwards of 1000 prize causes each</w:t></w:r>
</w:p>
<w:p>
<w:pPr><w:pStyle w:val="Normal"/></w:pPr>
<w:r><w:t xml:space="preserve">year between 1803 and 1811, in some years upwards of 2000.</w:t></w:r>
</w:p>
<w:p>
<w:pPr><w:pStyle w:val="Normal"/></w:pPr>
<w:r><w:t xml:space="preserve">There were other great judges; but Sir William Scott, afterwards</w:t></w:r>
</w:p>
<w:p>
<w:pPr><w:pStyle w:val="Normal"/></w:pPr>
<w:r><w:t xml:space="preserve">Lord Stowell, is the most famous.  Before his time there were</w:t></w:r>
</w:p>
<w:p>
<w:pPr><w:pStyle w:val="Normal"/></w:pPr>
<w:r><w:t xml:space="preserve">no reports of admiralty cases, except Hay and Marriott&apos;s prize</w:t></w:r>
</w:p>
<w:p>
<w:pPr><w:pStyle w:val="Normal"/></w:pPr>
<w:r><w:t xml:space="preserve">decisions.  But from his time onwards there has been a continuous</w:t></w:r>
</w:p>
<w:p>
<w:pPr><w:pStyle w:val="Normal"/></w:pPr>
<w:r><w:t xml:space="preserve">stream of admiralty reports, and we begin to find important</w:t></w:r>
</w:p>
<w:p>
<w:pPr><w:pStyle w:val="Normal"/></w:pPr>
<w:r><w:t xml:space="preserve">cases decided on the instance as well as on the prize side.</w:t></w:r>
</w:p>
<w:p>
<w:pPr><w:pStyle w:val="Normal"/></w:pPr>
<w:r><w:t xml:space="preserve">In the reign of Queen Victoria, two enabling statutes, 1840 and</w:t></w:r>
</w:p>
<w:p>
<w:pPr><w:pStyle w:val="Normal"/></w:pPr>
<w:r><w:t xml:space="preserve">1861, were passed and greatly enlarged the jurisdiction of the</w:t></w:r>
</w:p>
<w:p>
<w:pPr><w:pStyle w:val="Normal"/></w:pPr>
<w:r><w:t xml:space="preserve">court.  The manner in which these statutes were administered</w:t></w:r>
</w:p>
<w:p>
<w:pPr><w:pStyle w:val="Normal"/></w:pPr>
<w:r><w:t xml:space="preserve">by Dr Stephen Lushington and Sir R. J. Phillimore, whose</w:t></w:r>
</w:p>
<w:p>
<w:pPr><w:pStyle w:val="Normal"/></w:pPr>
<w:r><w:t xml:space="preserve">tenure of office covered the whole period of the queen&apos;s reign</w:t></w:r>
</w:p>
<w:p>
<w:pPr><w:pStyle w:val="Normal"/></w:pPr>
<w:r><w:t xml:space="preserve">till the creation of the High Court of Justice, the valuable</w:t></w:r>
</w:p>
<w:p>
<w:pPr><w:pStyle w:val="Normal"/></w:pPr>
<w:r><w:t xml:space="preserve">assistance rendered by the nautical assessors from the Trinity</w:t></w:r>
</w:p>
<w:p>
<w:pPr><w:pStyle w:val="Normal"/></w:pPr>
<w:r><w:t xml:space="preserve">House, the great increase of shipping, especially of steam</w:t></w:r>
</w:p>
<w:p>
<w:pPr><w:pStyle w:val="Normal"/></w:pPr>
<w:r><w:t xml:space="preserve">shipping, and the number and gravity of cases of collision,</w:t></w:r>
</w:p>
<w:p>
<w:pPr><w:pStyle w:val="Normal"/></w:pPr>
<w:r><w:t xml:space="preserve">salvage and damage to cargo, restored the activity of the</w:t></w:r>
</w:p>
<w:p>
<w:pPr><w:pStyle w:val="Normal"/></w:pPr>
<w:r><w:t xml:space="preserve">court and made it one of the most important tribunals of the</w:t></w:r>
</w:p>
<w:p>
<w:pPr><w:pStyle w:val="Normal"/></w:pPr>
<w:r><w:t xml:space="preserve">country.  In 1875, by the operation of the Judicature Acts</w:t></w:r>
</w:p>
<w:p>
<w:pPr><w:pStyle w:val="Normal"/></w:pPr>
<w:r><w:t xml:space="preserve">of 1873 and 1875, the High Court of Admiralty was with the</w:t></w:r>
</w:p>
<w:p>
<w:pPr><w:pStyle w:val="Normal"/></w:pPr>
<w:r><w:t xml:space="preserve">other great courts of England formed into the High Court of</w:t></w:r>
</w:p>
<w:p>
<w:pPr><w:pStyle w:val="Normal"/></w:pPr>
<w:r><w:t xml:space="preserve">Justice.  The principal officers of the court in subordination</w:t></w:r>
</w:p>
<w:p>
<w:pPr><w:pStyle w:val="Normal"/></w:pPr>
<w:r><w:t xml:space="preserve">to the judge were the registrar (an office which always points</w:t></w:r>
</w:p>
<w:p>
<w:pPr><w:pStyle w:val="Normal"/></w:pPr>
<w:r><w:t xml:space="preserve">to a connexion with canon or civil law), and the marshal, who</w:t></w:r>
</w:p>
<w:p>
<w:pPr><w:pStyle w:val="Normal"/></w:pPr>
<w:r><w:t xml:space="preserve">acted as the maritime sheriff, having for his baton of office</w:t></w:r>
</w:p>
<w:p>
<w:pPr><w:pStyle w:val="Normal"/></w:pPr>
<w:r><w:t xml:space="preserve">a silver oar.  The assistance of the Trinity Masters, which</w:t></w:r>
</w:p>
<w:p>
<w:pPr><w:pStyle w:val="Normal"/></w:pPr>
<w:r><w:t xml:space="preserve">has been already mentioned, was provided for in the charter of</w:t></w:r>
</w:p>
<w:p>
<w:pPr><w:pStyle w:val="Normal"/></w:pPr>
<w:r><w:t xml:space="preserve">incorporation of the Trinity House.  These officers and their</w:t></w:r>
</w:p>
<w:p>
<w:pPr><w:pStyle w:val="Normal"/></w:pPr>
<w:r><w:t xml:space="preserve">assistance have been preserved in the High Court of Justice.</w:t></w:r>
</w:p>
<w:p>
<w:pPr><w:pStyle w:val="Normal"/></w:pPr>
<w:r><w:t xml:space="preserve">Practitioners in the court.</w:t></w:r>
</w:p>
<w:p>
<w:pPr><w:pStyle w:val="Normal"/></w:pPr>
<w:r><w:t xml:space="preserve">Till the year 1859 the practitioners in the High Court</w:t></w:r>
</w:p>
<w:p>
<w:pPr><w:pStyle w:val="Normal"/></w:pPr>
<w:r><w:t xml:space="preserve">of Admiralty were the same as those in the ecclesiastical</w:t></w:r>
</w:p>
<w:p>
<w:pPr><w:pStyle w:val="Normal"/></w:pPr>
<w:r><w:t xml:space="preserve">courts and distinct from those who practised in the ordinary</w:t></w:r>
</w:p>
<w:p>
<w:pPr><w:pStyle w:val="Normal"/></w:pPr>
<w:r><w:t xml:space="preserve">courts.  Advocates took the place of barristers, and proctors of</w:t></w:r>
</w:p>
<w:p>
<w:pPr><w:pStyle w:val="Normal"/></w:pPr>
<w:r><w:t xml:space="preserve">solicitors.  The place of the attorney-general was taken</w:t></w:r>
</w:p>
<w:p>
<w:pPr><w:pStyle w:val="Normal"/></w:pPr>
<w:r><w:t xml:space="preserve">by the king&apos;s or queen&apos;s advocate-general, and that of the</w:t></w:r>
</w:p>
<w:p>
<w:pPr><w:pStyle w:val="Normal"/></w:pPr>
<w:r><w:t xml:space="preserve">treasury solicitor by the king&apos;s or queen&apos;s procurator or</w:t></w:r>
</w:p>
<w:p>
<w:pPr><w:pStyle w:val="Normal"/></w:pPr>
<w:r><w:t xml:space="preserve">proctor.  There were also an admiralty advocate and an admiralty</w:t></w:r>
</w:p>
<w:p>
<w:pPr><w:pStyle w:val="Normal"/></w:pPr>
<w:r><w:t xml:space="preserve">proctor.  The king&apos;s advocate also represented the crown in</w:t></w:r>
</w:p>
<w:p>
<w:pPr><w:pStyle w:val="Normal"/></w:pPr>
<w:r><w:t xml:space="preserve">the ecclesiastical courts, and was its standing adviser in</w:t></w:r>
</w:p>
<w:p>
<w:pPr><w:pStyle w:val="Normal"/></w:pPr>
<w:r><w:t xml:space="preserve">matters of international and foreign law.  The king&apos;s advocate</w:t></w:r>
</w:p>
<w:p>
<w:pPr><w:pStyle w:val="Normal"/></w:pPr>
<w:r><w:t xml:space="preserve">led the bar of his courts, and before the privy council took</w:t></w:r>
</w:p>
<w:p>
<w:pPr><w:pStyle w:val="Normal"/></w:pPr>
<w:r><w:t xml:space="preserve">precedence of the attorney-general.  The admiralty advocate</w:t></w:r>
</w:p>
<w:p>
<w:pPr><w:pStyle w:val="Normal"/></w:pPr>
<w:r><w:t xml:space="preserve">or advocate to his majesty in his office of admiralty</w:t></w:r>
</w:p>
<w:p>
<w:pPr><w:pStyle w:val="Normal"/></w:pPr>
<w:r><w:t xml:space="preserve">represented specially the lords of the admiralty.  In the</w:t></w:r>
</w:p>
<w:p>
<w:pPr><w:pStyle w:val="Normal"/></w:pPr>
<w:r><w:t xml:space="preserve">Admiralty Court he ranked next after the king&apos;s advocate.</w:t></w:r>
</w:p>
<w:p>
<w:pPr><w:pStyle w:val="Normal"/></w:pPr>
<w:r><w:t xml:space="preserve">In an act of 1859 the practice was thrown open</w:t></w:r>
</w:p>
<w:p>
<w:pPr><w:pStyle w:val="Normal"/></w:pPr>
<w:r><w:t xml:space="preserve">to barristers and to attorneys and solicitors.</w:t></w:r>
</w:p>
<w:p>
<w:pPr><w:pStyle w:val="Normal"/></w:pPr>
<w:r><w:t xml:space="preserve">Upon the next vacancy after the courts were thrown open, the</w:t></w:r>
</w:p>
<w:p>
<w:pPr><w:pStyle w:val="Normal"/></w:pPr>
<w:r><w:t xml:space="preserve">crown altered the precedence and placed the queen&apos;s advocate</w:t></w:r>
</w:p>
<w:p>
<w:pPr><w:pStyle w:val="Normal"/></w:pPr>
<w:r><w:t xml:space="preserve">after the attorney- and solicitor-general.  There were two</w:t></w:r>
</w:p>
<w:p>
<w:pPr><w:pStyle w:val="Normal"/></w:pPr>
<w:r><w:t xml:space="preserve">holders of the office under these conditions, Sir R. J.</w:t></w:r>
</w:p>
<w:p>
<w:pPr><w:pStyle w:val="Normal"/></w:pPr>
<w:r><w:t xml:space="preserve">Phillimore and Sir Travers Twiss.  The office was not filled</w:t></w:r>
</w:p>
<w:p>
<w:pPr><w:pStyle w:val="Normal"/></w:pPr>
<w:r><w:t xml:space="preserve">up after the resignation of the latter.  The admiralty had,</w:t></w:r>
</w:p>
<w:p>
<w:pPr><w:pStyle w:val="Normal"/></w:pPr>
<w:r><w:t xml:space="preserve">when the courts were thrown open, a standing counsel for the</w:t></w:r>
</w:p>
<w:p>
<w:pPr><w:pStyle w:val="Normal"/></w:pPr>
<w:r><w:t xml:space="preserve">ordinary courts and a solicitor.  Questions soon arose as to</w:t></w:r>
</w:p>
<w:p>
<w:pPr><w:pStyle w:val="Normal"/></w:pPr>
<w:r><w:t xml:space="preserve">the respective claims of the admiralty advocate and the counsel</w:t></w:r>
</w:p>
<w:p>
<w:pPr><w:pStyle w:val="Normal"/></w:pPr>
<w:r><w:t xml:space="preserve">to the admiralty, and their acuteness was increased when the</w:t></w:r>
</w:p>
<w:p>
<w:pPr><w:pStyle w:val="Normal"/></w:pPr>
<w:r><w:t xml:space="preserve">courts were fused into one High Court of Justice.  Upon the</w:t></w:r>
</w:p>
<w:p>
<w:pPr><w:pStyle w:val="Normal"/></w:pPr>
<w:r><w:t xml:space="preserve">resignation of Sir James Parker Deane the office of admiralty</w:t></w:r>
</w:p>
<w:p>
<w:pPr><w:pStyle w:val="Normal"/></w:pPr>
<w:r><w:t xml:space="preserve">advocate was not filled up.  In like manner the proctor to the</w:t></w:r>
</w:p>
<w:p>
<w:pPr><w:pStyle w:val="Normal"/></w:pPr>
<w:r><w:t xml:space="preserve">admiralty has disappeared.  The office of king&apos;s or queen&apos;s</w:t></w:r>
</w:p>
<w:p>
<w:pPr><w:pStyle w:val="Normal"/></w:pPr>
<w:r><w:t xml:space="preserve">proctor has been kept alive but amalgamated with that of the</w:t></w:r>
</w:p>
<w:p>
<w:pPr><w:pStyle w:val="Normal"/></w:pPr>
<w:r><w:t xml:space="preserve">solicitor for the treasury.  That officer uses the title of</w:t></w:r>
</w:p>
<w:p>
<w:pPr><w:pStyle w:val="Normal"/></w:pPr>
<w:r><w:t xml:space="preserve">king&apos;s proctor when he appears in certain matrimonial causes.</w:t></w:r>
</w:p>
<w:p>
<w:pPr><w:pStyle w:val="Normal"/></w:pPr>
<w:r><w:t xml:space="preserve">The last holder of the office of standing counsel to the</w:t></w:r>
</w:p>
<w:p>
<w:pPr><w:pStyle w:val="Normal"/></w:pPr>
<w:r><w:t xml:space="preserve">admiralty was Alexander Staveley Hill, K.C.,M.P.  Since his</w:t></w:r>
</w:p>
<w:p>
<w:pPr><w:pStyle w:val="Normal"/></w:pPr>
<w:r><w:t xml:space="preserve">death the office, like those of the king&apos;s or queen&apos;s advocate</w:t></w:r>
</w:p>
<w:p>
<w:pPr><w:pStyle w:val="Normal"/></w:pPr>
<w:r><w:t xml:space="preserve">and the admiralty advocate, has not been filled up; and the</w:t></w:r>
</w:p>
<w:p>
<w:pPr><w:pStyle w:val="Normal"/></w:pPr>
<w:r><w:t xml:space="preserve">ordinary law officers of the crown with the assistance of a</w:t></w:r>
</w:p>
<w:p>
<w:pPr><w:pStyle w:val="Normal"/></w:pPr>
<w:r><w:t xml:space="preserve">junior counsel to the admiralty (a barrister appointed by the</w:t></w:r>
</w:p>
<w:p>
<w:pPr><w:pStyle w:val="Normal"/></w:pPr>
<w:r><w:t xml:space="preserve">attorney-general) perform the duties of all these offices.</w:t></w:r>
</w:p>
<w:p>
<w:pPr><w:pStyle w:val="Normal"/></w:pPr>
<w:r><w:t xml:space="preserve">Judge advocate of the Fleet.</w:t></w:r>
</w:p>
<w:p>
<w:pPr><w:pStyle w:val="Normal"/></w:pPr>
<w:r><w:t xml:space="preserve">The judge advocate of the fleet is a practising barrister</w:t></w:r>
</w:p>
<w:p>
<w:pPr><w:pStyle w:val="Normal"/></w:pPr>
<w:r><w:t xml:space="preserve">whose function it is to advise the admiralty on all matters</w:t></w:r>
</w:p>
<w:p>
<w:pPr><w:pStyle w:val="Normal"/></w:pPr>
<w:r><w:t xml:space="preserve">connected with courts-martial.  Though section 61 of the</w:t></w:r>
</w:p>
<w:p>
<w:pPr><w:pStyle w:val="Normal"/></w:pPr>
<w:r><w:t xml:space="preserve">Naval Discipline Act 1866 recognizes the possibility of his</w:t></w:r>
</w:p>
<w:p>
<w:pPr><w:pStyle w:val="Normal"/></w:pPr>
<w:r><w:t xml:space="preserve">presence at a court-martial, he does not nowadays attend,</w:t></w:r>
</w:p>
<w:p>
<w:pPr><w:pStyle w:val="Normal"/></w:pPr>
<w:r><w:t xml:space="preserve">but is represented by his deputy or by an officiating deputy</w:t></w:r>
</w:p>
<w:p>
<w:pPr><w:pStyle w:val="Normal"/></w:pPr>
<w:r><w:t xml:space="preserve">judge advocate appointed ad hoc by the admiralty, the</w:t></w:r>
</w:p>
<w:p>
<w:pPr><w:pStyle w:val="Normal"/></w:pPr>
<w:r><w:t xml:space="preserve">commander-in-chief of the fleet or squadron who convenes</w:t></w:r>
</w:p>
<w:p>
<w:pPr><w:pStyle w:val="Normal"/></w:pPr>
<w:r><w:t xml:space="preserve">the court-martial, or, if no such appointment is made,</w:t></w:r>
</w:p>
<w:p>
<w:pPr><w:pStyle w:val="Normal"/></w:pPr>
<w:r><w:t xml:space="preserve">by the president of the court-martial.  But though the</w:t></w:r>
</w:p>
<w:p>
<w:pPr><w:pStyle w:val="Normal"/></w:pPr>
<w:r><w:t xml:space="preserve">judge advocate of the fleet does not actually attend the</w:t></w:r>
</w:p>
<w:p>
<w:pPr><w:pStyle w:val="Normal"/></w:pPr>
<w:r><w:t xml:space="preserve">courts-martial very responsible duties are imposed upon</w:t></w:r>
</w:p>
<w:p>
<w:pPr><w:pStyle w:val="Normal"/></w:pPr>
<w:r><w:t xml:space="preserve">him.  By a minute of the Board passed in 1884 (which is still</w:t></w:r>
</w:p>
<w:p>
<w:pPr><w:pStyle w:val="Normal"/></w:pPr>
<w:r><w:t xml:space="preserve">in force) all proceedings of courts-martial on officers and</w:t></w:r>
</w:p>
<w:p>
<w:pPr><w:pStyle w:val="Normal"/></w:pPr>
<w:r><w:t xml:space="preserve">men of the royal navy, excepting those where the prisoner</w:t></w:r>
</w:p>
<w:p>
<w:pPr><w:pStyle w:val="Normal"/></w:pPr>
<w:r><w:t xml:space="preserve">pleads guilty and no evidence is taken, are to be referred to</w:t></w:r>
</w:p>
<w:p>
<w:pPr><w:pStyle w:val="Normal"/></w:pPr>
<w:r><w:t xml:space="preserve">him, with a view to the consideration of (a) the charge,</w:t></w:r>
</w:p>
<w:p>
<w:pPr><w:pStyle w:val="Normal"/></w:pPr>
<w:r><w:t xml:space="preserve">(b) the evidence on which the finding is based, and (c)</w:t></w:r>
</w:p>
<w:p>
<w:pPr><w:pStyle w:val="Normal"/></w:pPr>
<w:r><w:t xml:space="preserve">the legality of the sentence, and he writes a minute on each</w:t></w:r>
</w:p>
<w:p>
<w:pPr><w:pStyle w:val="Normal"/></w:pPr>
<w:r><w:t xml:space="preserve">case for the information of the lords commissioners of the</w:t></w:r>
</w:p>
<w:p>
<w:pPr><w:pStyle w:val="Normal"/></w:pPr>
<w:r><w:t xml:space="preserve">admiralty with regard to these points.  He has no power to</w:t></w:r>
</w:p>
<w:p>
<w:pPr><w:pStyle w:val="Normal"/></w:pPr>
<w:r><w:t xml:space="preserve">modify a sentence, a power which is reserved to the admiralty</w:t></w:r>
</w:p>
<w:p>
<w:pPr><w:pStyle w:val="Normal"/></w:pPr>
<w:r><w:t xml:space="preserve">by sec.  53 (1) of the Naval Discipline Act 1866, except in the</w:t></w:r>
</w:p>
<w:p>
<w:pPr><w:pStyle w:val="Normal"/></w:pPr>
<w:r><w:t xml:space="preserve">case of a death sentence, which can only be remitted by the</w:t></w:r>
</w:p>
<w:p>
<w:pPr><w:pStyle w:val="Normal"/></w:pPr>
<w:r><w:t xml:space="preserve">crown.  All cases where the prisoner has pleaded guilty are</w:t></w:r>
</w:p>
<w:p>
<w:pPr><w:pStyle w:val="Normal"/></w:pPr>
<w:r><w:t xml:space="preserve">examined in the admiralty, and if in any case there is any</w:t></w:r>
</w:p>
<w:p>
<w:pPr><w:pStyle w:val="Normal"/></w:pPr>
<w:r><w:t xml:space="preserve">reason to think that there has been any informality or that</w:t></w:r>
</w:p>
<w:p>
<w:pPr><w:pStyle w:val="Normal"/></w:pPr>
<w:r><w:t xml:space="preserve">the prisoner has not understood the effect of his plea, such</w:t></w:r>
</w:p>
<w:p>
<w:pPr><w:pStyle w:val="Normal"/></w:pPr>
<w:r><w:t xml:space="preserve">case is submitted to the judge advocate of the fleet for his</w:t></w:r>
</w:p>
<w:p>
<w:pPr><w:pStyle w:val="Normal"/></w:pPr>
<w:r><w:t xml:space="preserve">opinion.  The judge advocate of the fleet receives no</w:t></w:r>
</w:p>
<w:p>
<w:pPr><w:pStyle w:val="Normal"/></w:pPr>
<w:r><w:t xml:space="preserve">fees but is remunerated by a salary of L. 500 per annum.</w:t></w:r>
</w:p>
<w:p>
<w:pPr><w:pStyle w:val="Normal"/></w:pPr>
<w:r><w:t xml:space="preserve">The existence of a deputy judge of the fleet appointed by</w:t></w:r>
</w:p>
<w:p>
<w:pPr><w:pStyle w:val="Normal"/></w:pPr>
<w:r><w:t xml:space="preserve">the admiralty has been recognized by the king&apos;s regulations,</w:t></w:r>
</w:p>
<w:p>
<w:pPr><w:pStyle w:val="Normal"/></w:pPr>
<w:r><w:t xml:space="preserve">but no such officer had been appointed up to 1908.</w:t></w:r>
</w:p>
<w:p>
<w:pPr><w:pStyle w:val="Normal"/></w:pPr>
<w:r><w:t xml:space="preserve">In accordance with the provisions of sec.  61 of the Naval Discipline</w:t></w:r>
</w:p>
<w:p>
<w:pPr><w:pStyle w:val="Normal"/></w:pPr>
<w:r><w:t xml:space="preserve">Act 1866, in the absence of the judge advocate of the fleet and</w:t></w:r>
</w:p>
<w:p>
<w:pPr><w:pStyle w:val="Normal"/></w:pPr>
<w:r><w:t xml:space="preserve">his deputy, an officiating judge advocate is appointed for each</w:t></w:r>
</w:p>
<w:p>
<w:pPr><w:pStyle w:val="Normal"/></w:pPr>
<w:r><w:t xml:space="preserve">court-martial.  His duties are described in detail by the king&apos;s</w:t></w:r>
</w:p>
<w:p>
<w:pPr><w:pStyle w:val="Normal"/></w:pPr>
<w:r><w:t xml:space="preserve">regulations, but may be summed up as consisting of seeing that</w:t></w:r>
</w:p>
<w:p>
<w:pPr><w:pStyle w:val="Normal"/></w:pPr>
<w:r><w:t xml:space="preserve">the charges are in order, pointing out any informalities or</w:t></w:r>
</w:p>
<w:p>
<w:pPr><w:pStyle w:val="Normal"/></w:pPr>
<w:r><w:t xml:space="preserve">defects in the charges or in the constitution of the court,</w:t></w:r>
</w:p>
<w:p>
<w:pPr><w:pStyle w:val="Normal"/></w:pPr>
<w:r><w:t xml:space="preserve">seeing that any witness required by prosecutor or prisoner is</w:t></w:r>
</w:p>
<w:p>
<w:pPr><w:pStyle w:val="Normal"/></w:pPr>
<w:r><w:t xml:space="preserve">summoned, keeping the minutes of the proceedings, advising</w:t></w:r>
</w:p>
<w:p>
<w:pPr><w:pStyle w:val="Normal"/></w:pPr>
<w:r><w:t xml:space="preserve">on matters of law which arise at any time after the warrant</w:t></w:r>
</w:p>
<w:p>
<w:pPr><w:pStyle w:val="Normal"/></w:pPr>
<w:r><w:t xml:space="preserve">for the court-martial is issued, drawing up the findings and</w:t></w:r>
</w:p>
<w:p>
<w:pPr><w:pStyle w:val="Normal"/></w:pPr>
<w:r><w:t xml:space="preserve">sentence, and forwarding the minutes when completed to the</w:t></w:r>
</w:p>
<w:p>
<w:pPr><w:pStyle w:val="Normal"/></w:pPr>
<w:r><w:t xml:space="preserve">admiralty.  The officiating judge advocate is usually the</w:t></w:r>
</w:p>
<w:p>
<w:pPr><w:pStyle w:val="Normal"/></w:pPr>
<w:r><w:t xml:space="preserve">secretary of the flag-officer convening the court-martial or</w:t></w:r>
</w:p>
<w:p>
<w:pPr><w:pStyle w:val="Normal"/></w:pPr>
<w:r><w:t xml:space="preserve">some other officer of the accountancy branch.  He is remunerated</w:t></w:r>
</w:p>
<w:p>
<w:pPr><w:pStyle w:val="Normal"/></w:pPr>
<w:r><w:t xml:space="preserve">for his services by a fixed fee for each day the court sits.</w:t></w:r>
</w:p>
<w:p>
<w:pPr><w:pStyle w:val="Normal"/></w:pPr>
<w:r><w:t xml:space="preserve">Ireland. --The High Court of Admiralty of Ireland, being</w:t></w:r>
</w:p>
<w:p>
<w:pPr><w:pStyle w:val="Normal"/></w:pPr>
<w:r><w:t xml:space="preserve">formed on the same pattern as the High Court in England, sat in</w:t></w:r>
</w:p>
<w:p>
<w:pPr><w:pStyle w:val="Normal"/></w:pPr>
<w:r><w:t xml:space="preserve">the Four Courts, Dublin, having a judge, a registrar, a marshal</w:t></w:r>
</w:p>
<w:p>
<w:pPr><w:pStyle w:val="Normal"/></w:pPr>
<w:r><w:t xml:space="preserve">and a king&apos;s or queen&apos;s advocate.  In peace time and war time</w:t></w:r>
</w:p>
<w:p>
<w:pPr><w:pStyle w:val="Normal"/></w:pPr>
<w:r><w:t xml:space="preserve">alike it exercised only an instance jurisdiction, though in</w:t></w:r>
</w:p>
<w:p>
<w:pPr><w:pStyle w:val="Normal"/></w:pPr>
<w:r><w:t xml:space="preserve">1793 it claimed to exercise prize jurisdiction (see ADMIRALTY</w:t></w:r>
</w:p>
<w:p>
<w:pPr><w:pStyle w:val="Normal"/></w:pPr>
<w:r><w:t xml:space="preserve">JURISDICTION.) No prize commission ever issued to it.  By the</w:t></w:r>
</w:p>
<w:p>
<w:pPr><w:pStyle w:val="Normal"/></w:pPr>
<w:r><w:t xml:space="preserve">Irish Judicature Act of 1877 it was directed that it should</w:t></w:r>
</w:p>
<w:p>
<w:pPr><w:pStyle w:val="Normal"/></w:pPr>
<w:r><w:t xml:space="preserve">be amalgamated with the Irish High Court of Justice upon the</w:t></w:r>
</w:p>
<w:p>
<w:pPr><w:pStyle w:val="Normal"/></w:pPr>
<w:r><w:t xml:space="preserve">next vacancy in the office of judge, and this subsequently took</w:t></w:r>
</w:p>
<w:p>
<w:pPr><w:pStyle w:val="Normal"/></w:pPr>
<w:r><w:t xml:space="preserve">place.  There was no separate lord high admiral for Ireland.</w:t></w:r>
</w:p>
<w:p>
<w:pPr><w:pStyle w:val="Normal"/></w:pPr>
<w:r><w:t xml:space="preserve">Scotland.--At the Union, while the national functions of</w:t></w:r>
</w:p>
<w:p>
<w:pPr><w:pStyle w:val="Normal"/></w:pPr>
<w:r><w:t xml:space="preserve">the lord high admiral were merged in the English office it was</w:t></w:r>
</w:p>
<w:p>
<w:pPr><w:pStyle w:val="Normal"/></w:pPr>
<w:r><w:t xml:space="preserve">provided by the Act of Union that the Court of Admiralty in</w:t></w:r>
</w:p>
<w:p>
<w:pPr><w:pStyle w:val="Normal"/></w:pPr>
<w:r><w:t xml:space="preserve">Scotland should be continued ``for determination of all maritime</w:t></w:r>
</w:p>
<w:p>
<w:pPr><w:pStyle w:val="Normal"/></w:pPr>
<w:r><w:t xml:space="preserve">cases relating to private rights in Scotland competent to the</w:t></w:r>
</w:p>
<w:p>
<w:pPr><w:pStyle w:val="Normal"/></w:pPr>
<w:r><w:t xml:space="preserve">jurisdiction of the Admiralty Court.&apos;&apos; This court continued till</w:t></w:r>
</w:p>
<w:p>
<w:pPr><w:pStyle w:val="Normal"/></w:pPr>
<w:r><w:t xml:space="preserve">1831, when its civil jurisdiction was given to the Court of</w:t></w:r>
</w:p>
<w:p>
<w:pPr><w:pStyle w:val="Normal"/></w:pPr>
<w:r><w:t xml:space="preserve">Session and the Sheriffs&apos; Courts (see ADMIRALTY JURISDICTION),</w:t></w:r>
</w:p>
<w:p>
<w:pPr><w:pStyle w:val="Normal"/></w:pPr>
<w:r><w:t xml:space="preserve">See Sir Travers Twiss, Black Book of the Admiralty,</w:t></w:r>
</w:p>
<w:p>
<w:pPr><w:pStyle w:val="Normal"/></w:pPr>
<w:r><w:t xml:space="preserve">Rolls series; R. G. Marsden, Select Pleas in the Court of</w:t></w:r>
</w:p>
<w:p>
<w:pPr><w:pStyle w:val="Normal"/></w:pPr>
<w:r><w:t xml:space="preserve">Admiralty, published by the Selden Society; Godolphin,</w:t></w:r>
</w:p>
<w:p>
<w:pPr><w:pStyle w:val="Normal"/></w:pPr>
<w:r><w:t xml:space="preserve">View of the Admiral Jurisdiction. (W. G. F. P.)</w:t></w:r>
</w:p>
<w:p>
<w:pPr><w:pStyle w:val="Normal"/></w:pPr>
<w:r><w:t xml:space="preserve">1 The Board of Ordnance was originally instituted for the</w:t></w:r>
</w:p>
<w:p>
<w:pPr><w:pStyle w:val="Normal"/></w:pPr>
<w:r><w:t xml:space="preserve">navy, but eventually fell into military hands, to the detriment</w:t></w:r>
</w:p>
<w:p>
<w:pPr><w:pStyle w:val="Normal"/></w:pPr>
<w:r><w:t xml:space="preserve">of the navy --the only navy of any nation that has not full</w:t></w:r>
</w:p>
<w:p>
<w:pPr><w:pStyle w:val="Normal"/></w:pPr>
<w:r><w:t xml:space="preserve">authority over its own ordnance.  In 1653, according to</w:t></w:r>
</w:p>
<w:p>
<w:pPr><w:pStyle w:val="Normal"/></w:pPr>
<w:r><w:t xml:space="preserve">Oppenheim, it was, owing to its inefficiency, placed under the</w:t></w:r>
</w:p>
<w:p>
<w:pPr><w:pStyle w:val="Normal"/></w:pPr>
<w:r><w:t xml:space="preserve">admiralty.  In 1632 it appears to have been independent,</w:t></w:r>
</w:p>
<w:p>
<w:pPr><w:pStyle w:val="Normal"/></w:pPr>
<w:r><w:t xml:space="preserve">but ``still retained that evil pre-eminence in sloth and</w:t></w:r>
</w:p>
<w:p>
<w:pPr><w:pStyle w:val="Normal"/></w:pPr>
<w:r><w:t xml:space="preserve">incapacity it had already earned and has never since lost.&apos;&apos;</w:t></w:r>
</w:p>
<w:p>
<w:pPr><w:pStyle w:val="Normal"/></w:pPr>
<w:r><w:t xml:space="preserve">2 Admiral Sir Cooper Key, when director of naval ordnance</w:t></w:r>
</w:p>
<w:p>
<w:pPr><w:pStyle w:val="Normal"/></w:pPr>
<w:r><w:t xml:space="preserve">during Mr Childers&apos; administration, observed to the writer</w:t></w:r>
</w:p>
<w:p>
<w:pPr><w:pStyle w:val="Normal"/></w:pPr>
<w:r><w:t xml:space="preserve">that no first lord of the admiralty knew so little of</w:t></w:r>
</w:p>
<w:p>
<w:pPr><w:pStyle w:val="Normal"/></w:pPr>
<w:r><w:t xml:space="preserve">the working of the admiralty as Mr Childers, because,</w:t></w:r>
</w:p>
<w:p>
<w:pPr><w:pStyle w:val="Normal"/></w:pPr>
<w:r><w:t xml:space="preserve">owing to the discontinuance of board meetings, he lost</w:t></w:r>
</w:p>
<w:p>
<w:pPr><w:pStyle w:val="Normal"/></w:pPr>
<w:r><w:t xml:space="preserve">the great advantage of hearing the discussion. (R. V. H.)</w:t></w:r>
</w:p>
<w:p>
<w:pPr><w:pStyle w:val="Normal"/></w:pPr>
<w:r><w:t xml:space="preserve">3 The drawback is, that a naval lord can only go on leave by</w:t></w:r>
</w:p>
<w:p>
<w:pPr><w:pStyle w:val="Normal"/></w:pPr>
<w:r><w:t xml:space="preserve">throwing all his work on a colleague already overweighted with work.</w:t></w:r>
</w:p>
<w:p>
<w:pPr><w:pStyle w:val="Normal"/></w:pPr>
<w:r><w:t xml:space="preserve">ADMIRALTY ISLANDS, a group of about forty islands lying north</w:t></w:r>
</w:p>
<w:p>
<w:pPr><w:pStyle w:val="Normal"/></w:pPr>
<w:r><w:t xml:space="preserve">of New Guinea, between 1 deg.  and 3 deg.  S., and 146 deg.  and 148 deg.</w:t></w:r>
</w:p>
<w:p>
<w:pPr><w:pStyle w:val="Normal"/></w:pPr>
<w:r><w:t xml:space="preserve">E., within the Bismarck Archipelago, belonging to Germany.</w:t></w:r>
</w:p>
<w:p>
<w:pPr><w:pStyle w:val="Normal"/></w:pPr>
<w:r><w:t xml:space="preserve">The largest, Manus, is about 60 m. in length, and its highest</w:t></w:r>
</w:p>
<w:p>
<w:pPr><w:pStyle w:val="Normal"/></w:pPr>
<w:r><w:t xml:space="preserve">point is about 3000 ft. above the sea; the others are very</w:t></w:r>
</w:p>
<w:p>
<w:pPr><w:pStyle w:val="Normal"/></w:pPr>
<w:r><w:t xml:space="preserve">small, and rise little above sea-level.  Most are of coral</w:t></w:r>
</w:p>
<w:p>
<w:pPr><w:pStyle w:val="Normal"/></w:pPr>
<w:r><w:t xml:space="preserve">formation, but the hills of Manus are believed to be extinct</w:t></w:r>
</w:p>
<w:p>
<w:pPr><w:pStyle w:val="Normal"/></w:pPr>
<w:r><w:t xml:space="preserve">volcanoes.  The islands were discovered by the Dutch in 1616,</w:t></w:r>
</w:p>
<w:p>
<w:pPr><w:pStyle w:val="Normal"/></w:pPr>
<w:r><w:t xml:space="preserve">and visited in 1767 by Philip Carteret; but no landing seems</w:t></w:r>
</w:p>
<w:p>
<w:pPr><w:pStyle w:val="Normal"/></w:pPr>
<w:r><w:t xml:space="preserve">to have been effected, owing to the surrounding reefs, until</w:t></w:r>
</w:p>
<w:p>
<w:pPr><w:pStyle w:val="Normal"/></w:pPr>
<w:r><w:t xml:space="preserve">the arrival of the ``Challenger&apos;&apos; in 1875.  The natives are</w:t></w:r>
</w:p>
<w:p>
<w:pPr><w:pStyle w:val="Normal"/></w:pPr>
<w:r><w:t xml:space="preserve">of the Papuan type, but show signs of mixed origin.  They</w:t></w:r>
</w:p>
<w:p>
<w:pPr><w:pStyle w:val="Normal"/></w:pPr>
<w:r><w:t xml:space="preserve">are cannibals, and many murders of whites have taken place.</w:t></w:r>
</w:p>
<w:p>
<w:pPr><w:pStyle w:val="Normal"/></w:pPr>
<w:r><w:t xml:space="preserve">ADMIRALTY JURISDICTION. The courts by which, as far as we</w:t></w:r>
</w:p>
<w:p>
<w:pPr><w:pStyle w:val="Normal"/></w:pPr>
<w:r><w:t xml:space="preserve">know, admiralty jurisdiction in civil matters was first</w:t></w:r>
</w:p>
<w:p>
<w:pPr><w:pStyle w:val="Normal"/></w:pPr>
<w:r><w:t xml:space="preserve">exercised were the following.  In and throughout England the</w:t></w:r>
</w:p>
<w:p>
<w:pPr><w:pStyle w:val="Normal"/></w:pPr>
<w:r><w:t xml:space="preserve">courts of the several admirals soon combined into one High</w:t></w:r>
</w:p>
<w:p>
<w:pPr><w:pStyle w:val="Normal"/></w:pPr>
<w:r><w:t xml:space="preserve">Court of Admiralty (see ADMIRALTY, HIGH COURT OF.) Within</w:t></w:r>
</w:p>
<w:p>
<w:pPr><w:pStyle w:val="Normal"/></w:pPr>
<w:r><w:t xml:space="preserve">the territories of the Cinque Ports the Court of Admiralty</w:t></w:r>
</w:p>
<w:p>
<w:pPr><w:pStyle w:val="Normal"/></w:pPr>
<w:r><w:t xml:space="preserve">of the Cinque Ports exercised a co-ordinate jurisdiction.</w:t></w:r>
</w:p>
<w:p>
<w:pPr><w:pStyle w:val="Normal"/></w:pPr>
<w:r><w:t xml:space="preserve">In certain towns and places there were local courts of</w:t></w:r>
</w:p>
<w:p>
<w:pPr><w:pStyle w:val="Normal"/></w:pPr>
<w:r><w:t xml:space="preserve">vice-admiralty.  In Scotland there existed the Scottish</w:t></w:r>
</w:p>
<w:p>
<w:pPr><w:pStyle w:val="Normal"/></w:pPr>
<w:r><w:t xml:space="preserve">High Court of Admiralty, in Ireland the Irish High Court of</w:t></w:r>
</w:p>
<w:p>
<w:pPr><w:pStyle w:val="Normal"/></w:pPr>
<w:r><w:t xml:space="preserve">Admiralty.  Of these courts that of the Cinque Ports alone</w:t></w:r>
</w:p>
<w:p>
<w:pPr><w:pStyle w:val="Normal"/></w:pPr>
<w:r><w:t xml:space="preserve">remains untouched.  The Scottish court was abolished, and</w:t></w:r>
</w:p>
<w:p>
<w:pPr><w:pStyle w:val="Normal"/></w:pPr>
<w:r><w:t xml:space="preserve">its civil jurisdiction given to the Court of Session and</w:t></w:r>
</w:p>
<w:p>
<w:pPr><w:pStyle w:val="Normal"/></w:pPr>
<w:r><w:t xml:space="preserve">to the courts of the sheriffs by the Court of Session Act</w:t></w:r>
</w:p>
<w:p>
<w:pPr><w:pStyle w:val="Normal"/></w:pPr>
<w:r><w:t xml:space="preserve">1830--not, however, till a decision given by it and the appeal</w:t></w:r>
</w:p>
<w:p>
<w:pPr><w:pStyle w:val="Normal"/></w:pPr>
<w:r><w:t xml:space="preserve">therefrom to the House of Lords had established a remarkable</w:t></w:r>
</w:p>
<w:p>
<w:pPr><w:pStyle w:val="Normal"/></w:pPr>
<w:r><w:t xml:space="preserve">rule of admiralty law in cases of collision (Hay v. le</w:t></w:r>
</w:p>
<w:p>
<w:pPr><w:pStyle w:val="Normal"/></w:pPr>
<w:r><w:t xml:space="preserve">Neve, 1824, 2 Shaw, Sc. App. Cas. 395).  The act states</w:t></w:r>
</w:p>
<w:p>
<w:pPr><w:pStyle w:val="Normal"/></w:pPr>
<w:r><w:t xml:space="preserve">that the Court of Justiciary held cumulative jurisdiction</w:t></w:r>
</w:p>
<w:p>
<w:pPr><w:pStyle w:val="Normal"/></w:pPr>
<w:r><w:t xml:space="preserve">with the Court of Admiralty in criminal matters.  The local</w:t></w:r>
</w:p>
<w:p>
<w:pPr><w:pStyle w:val="Normal"/></w:pPr>
<w:r><w:t xml:space="preserve">vice-admiralty courts in England had ceased to do much work</w:t></w:r>
</w:p>
<w:p>
<w:pPr><w:pStyle w:val="Normal"/></w:pPr>
<w:r><w:t xml:space="preserve">when they were abolished by the Municipal Corporations Act</w:t></w:r>
</w:p>
<w:p>
<w:pPr><w:pStyle w:val="Normal"/></w:pPr>
<w:r><w:t xml:space="preserve">1835; the High Court became, with the other superior courts,</w:t></w:r>
</w:p>
<w:p>
<w:pPr><w:pStyle w:val="Normal"/></w:pPr>
<w:r><w:t xml:space="preserve">a component part of the High Court of Justice by virtue of</w:t></w:r>
</w:p>
<w:p>
<w:pPr><w:pStyle w:val="Normal"/></w:pPr>
<w:r><w:t xml:space="preserve">the Judicature Acts 1873 and 1875.  And the Irish court has</w:t></w:r>
</w:p>
<w:p>
<w:pPr><w:pStyle w:val="Normal"/></w:pPr>
<w:r><w:t xml:space="preserve">in like manner become a part of the High Court of Justice</w:t></w:r>
</w:p>
<w:p>
<w:pPr><w:pStyle w:val="Normal"/></w:pPr>
<w:r><w:t xml:space="preserve">in Ireland by virtue of the Judicature Act passed in 1877.</w:t></w:r>
</w:p>
<w:p>
<w:pPr><w:pStyle w:val="Normal"/></w:pPr>
<w:r><w:t xml:space="preserve">Vice-Admiralty Courts.</w:t></w:r>
</w:p>
<w:p>
<w:pPr><w:pStyle w:val="Normal"/></w:pPr>
<w:r><w:t xml:space="preserve">As England first, and Great Britain afterwards, acquired</w:t></w:r>
</w:p>
<w:p>
<w:pPr><w:pStyle w:val="Normal"/></w:pPr>
<w:r><w:t xml:space="preserve">colonies and possessions beyond seas, vice-admiralty courts</w:t></w:r>
</w:p>
<w:p>
<w:pPr><w:pStyle w:val="Normal"/></w:pPr>
<w:r><w:t xml:space="preserve">were established.  The earliest known was that in Jamaica,</w:t></w:r>
</w:p>
<w:p>
<w:pPr><w:pStyle w:val="Normal"/></w:pPr>
<w:r><w:t xml:space="preserve">established in the year 1662.  Some vice- admiralty courts</w:t></w:r>
</w:p>
<w:p>
<w:pPr><w:pStyle w:val="Normal"/></w:pPr>
<w:r><w:t xml:space="preserve">which were created for prize purposes in the last century were</w:t></w:r>
</w:p>
<w:p>
<w:pPr><w:pStyle w:val="Normal"/></w:pPr>
<w:r><w:t xml:space="preserve">suffered to expire after 1815.  In the year 1863, when the</w:t></w:r>
</w:p>
<w:p>
<w:pPr><w:pStyle w:val="Normal"/></w:pPr>
<w:r><w:t xml:space="preserve">act regulating the vice-admiralty courts was passed, there</w:t></w:r>
</w:p>
<w:p>
<w:pPr><w:pStyle w:val="Normal"/></w:pPr>
<w:r><w:t xml:space="preserve">were vice-admiralty courts at Antigua, Bahamas, Barbadoes,</w:t></w:r>
</w:p>
<w:p>
<w:pPr><w:pStyle w:val="Normal"/></w:pPr>
<w:r><w:t xml:space="preserve">Bermuda, British Columbia, British Guiana, British Honduras,</w:t></w:r>
</w:p>
<w:p>
<w:pPr><w:pStyle w:val="Normal"/></w:pPr>
<w:r><w:t xml:space="preserve">Cape of Good Hope, Ceylon, Dominica, Falkland Islands,</w:t></w:r>
</w:p>
<w:p>
<w:pPr><w:pStyle w:val="Normal"/></w:pPr>
<w:r><w:t xml:space="preserve">Gambia River, Gibraltar, Gold Coast, Grenada, Hong Kong,</w:t></w:r>
</w:p>
<w:p>
<w:pPr><w:pStyle w:val="Normal"/></w:pPr>
<w:r><w:t xml:space="preserve">Jamaica, Labuan, Lagos, Lower Canada (otherwise Quebec),</w:t></w:r>
</w:p>
<w:p>
<w:pPr><w:pStyle w:val="Normal"/></w:pPr>
<w:r><w:t xml:space="preserve">Malta, Mauritius, Montserrat, Natal, Nevis, New Brunswick,</w:t></w:r>
</w:p>
<w:p>
<w:pPr><w:pStyle w:val="Normal"/></w:pPr>
<w:r><w:t xml:space="preserve">Newfoundland, New South Wales, New Zealand, Nova Scotia</w:t></w:r>
</w:p>
<w:p>
<w:pPr><w:pStyle w:val="Normal"/></w:pPr>
<w:r><w:t xml:space="preserve">(otherwise Halifax), Prince Edward Island, Queensland, St</w:t></w:r>
</w:p>
<w:p>
<w:pPr><w:pStyle w:val="Normal"/></w:pPr>
<w:r><w:t xml:space="preserve">Christopher, St Helena, St Lucia, St Vincent, Sierra Leone,</w:t></w:r>
</w:p>
<w:p>
<w:pPr><w:pStyle w:val="Normal"/></w:pPr>
<w:r><w:t xml:space="preserve">South Australia, Tasmania, Tobago, Trinidad, Vancouver&apos;s</w:t></w:r>
</w:p>
<w:p>
<w:pPr><w:pStyle w:val="Normal"/></w:pPr>
<w:r><w:t xml:space="preserve">Island, Victoria, Virgin Islands (otherwise Tortola), and</w:t></w:r>
</w:p>
<w:p>
<w:pPr><w:pStyle w:val="Normal"/></w:pPr>
<w:r><w:t xml:space="preserve">Western Australia, and (for matters of the slave trade only)</w:t></w:r>
</w:p>
<w:p>
<w:pPr><w:pStyle w:val="Normal"/></w:pPr>
<w:r><w:t xml:space="preserve">Aden.  By the act of 1867 one for the Straits Settlements was</w:t></w:r>
</w:p>
<w:p>
<w:pPr><w:pStyle w:val="Normal"/></w:pPr>
<w:r><w:t xml:space="preserve">added.  These courts have been regulated from time to time</w:t></w:r>
</w:p>
<w:p>
<w:pPr><w:pStyle w:val="Normal"/></w:pPr>
<w:r><w:t xml:space="preserve">by the following statutes: 2 and 3 Will.  IV. c. 51, 26 and</w:t></w:r>
</w:p>
<w:p>
<w:pPr><w:pStyle w:val="Normal"/></w:pPr>
<w:r><w:t xml:space="preserve">27 Vict. c. 24 (Vice-Admiralty Courts Act 1863), already</w:t></w:r>
</w:p>
<w:p>
<w:pPr><w:pStyle w:val="Normal"/></w:pPr>
<w:r><w:t xml:space="preserve">cited, and 30 and 31 Vict. c. 45 (Vice-Admiralty Courts</w:t></w:r>
</w:p>
<w:p>
<w:pPr><w:pStyle w:val="Normal"/></w:pPr>
<w:r><w:t xml:space="preserve">Act Amendment Act 1867); and by the slave trade acts, of</w:t></w:r>
</w:p>
<w:p>
<w:pPr><w:pStyle w:val="Normal"/></w:pPr>
<w:r><w:t xml:space="preserve">which the last and consolidating act was that of 1873.</w:t></w:r>
</w:p>
<w:p>
<w:pPr><w:pStyle w:val="Normal"/></w:pPr>
<w:r><w:t xml:space="preserve">In 1890 the Colonial Courts of Admiralty Act provided that,</w:t></w:r>
</w:p>
<w:p>
<w:pPr><w:pStyle w:val="Normal"/></w:pPr>
<w:r><w:t xml:space="preserve">except in the colonies of New South Wales, Victoria, St</w:t></w:r>
</w:p>
<w:p>
<w:pPr><w:pStyle w:val="Normal"/></w:pPr>
<w:r><w:t xml:space="preserve">Helena and British Honduras, vice-admiralty courts should be</w:t></w:r>
</w:p>
<w:p>
<w:pPr><w:pStyle w:val="Normal"/></w:pPr>
<w:r><w:t xml:space="preserve">abolished, and a substitution made of colonial courts of</w:t></w:r>
</w:p>
<w:p>
<w:pPr><w:pStyle w:val="Normal"/></w:pPr>
<w:r><w:t xml:space="preserve">admiralty.  There is power, however, reserved to the crown</w:t></w:r>
</w:p>
<w:p>
<w:pPr><w:pStyle w:val="Normal"/></w:pPr>
<w:r><w:t xml:space="preserve">to erect through the admiralty in any British possession any</w:t></w:r>
</w:p>
<w:p>
<w:pPr><w:pStyle w:val="Normal"/></w:pPr>
<w:r><w:t xml:space="preserve">vice-admiralty court, except in India or any British possession</w:t></w:r>
</w:p>
<w:p>
<w:pPr><w:pStyle w:val="Normal"/></w:pPr>
<w:r><w:t xml:space="preserve">having a representative legislature.  No vice-admiralty</w:t></w:r>
</w:p>
<w:p>
<w:pPr><w:pStyle w:val="Normal"/></w:pPr>
<w:r><w:t xml:space="preserve">court so established can exercise any jurisdiction except</w:t></w:r>
</w:p>
<w:p>
<w:pPr><w:pStyle w:val="Normal"/></w:pPr>
<w:r><w:t xml:space="preserve">for some purpose relating to prize, the royal navy, the slave</w:t></w:r>
</w:p>
<w:p>
<w:pPr><w:pStyle w:val="Normal"/></w:pPr>
<w:r><w:t xml:space="preserve">trade, foreign enlistment, Pacific Islanders&apos; protection, and</w:t></w:r>
</w:p>
<w:p>
<w:pPr><w:pStyle w:val="Normal"/></w:pPr>
<w:r><w:t xml:space="preserve">questions relating to treaties or conventions on international</w:t></w:r>
</w:p>
<w:p>
<w:pPr><w:pStyle w:val="Normal"/></w:pPr>
<w:r><w:t xml:space="preserve">law.  Vice-admiralty courts exercised all usual admiralty</w:t></w:r>
</w:p>
<w:p>
<w:pPr><w:pStyle w:val="Normal"/></w:pPr>
<w:r><w:t xml:space="preserve">jurisdiction, and in addition a certain revenue jurisdiction,</w:t></w:r>
</w:p>
<w:p>
<w:pPr><w:pStyle w:val="Normal"/></w:pPr>
<w:r><w:t xml:space="preserve">and jurisdiction over matters of slave trade and prize and</w:t></w:r>
</w:p>
<w:p>
<w:pPr><w:pStyle w:val="Normal"/></w:pPr>
<w:r><w:t xml:space="preserve">under the Pacific Islanders&apos; Protection Act. The appeal from</w:t></w:r>
</w:p>
<w:p>
<w:pPr><w:pStyle w:val="Normal"/></w:pPr>
<w:r><w:t xml:space="preserve">vice-admiralty courts used to lie to the High Court of Admiralty</w:t></w:r>
</w:p>
<w:p>
<w:pPr><w:pStyle w:val="Normal"/></w:pPr>
<w:r><w:t xml:space="preserve">of England, but has been transferred to the king in council.</w:t></w:r>
</w:p>
<w:p>
<w:pPr><w:pStyle w:val="Normal"/></w:pPr>
<w:r><w:t xml:space="preserve">Colonial Courts of Admiralty.</w:t></w:r>
</w:p>
<w:p>
<w:pPr><w:pStyle w:val="Normal"/></w:pPr>
<w:r><w:t xml:space="preserve">By the Colonial Courts of Admiralty Act 1890, already</w:t></w:r>
</w:p>
<w:p>
<w:pPr><w:pStyle w:val="Normal"/></w:pPr>
<w:r><w:t xml:space="preserve">referred to, every court of law in a British possession</w:t></w:r>
</w:p>
<w:p>
<w:pPr><w:pStyle w:val="Normal"/></w:pPr>
<w:r><w:t xml:space="preserve">which is declared by its legislature to be such, or if</w:t></w:r>
</w:p>
<w:p>
<w:pPr><w:pStyle w:val="Normal"/></w:pPr>
<w:r><w:t xml:space="preserve">there be no such declaration, which has original unlimited</w:t></w:r>
</w:p>
<w:p>
<w:pPr><w:pStyle w:val="Normal"/></w:pPr>
<w:r><w:t xml:space="preserve">civil jurisdiction, shall be a court of admiralty.</w:t></w:r>
</w:p>
<w:p>
<w:pPr><w:pStyle w:val="Normal"/></w:pPr>
<w:r><w:t xml:space="preserve">India.</w:t></w:r>
</w:p>
<w:p>
<w:pPr><w:pStyle w:val="Normal"/></w:pPr>
<w:r><w:t xml:space="preserve">There used at one time to be vice-admiralty courts for Calcutta,</w:t></w:r>
</w:p>
<w:p>
<w:pPr><w:pStyle w:val="Normal"/></w:pPr>
<w:r><w:t xml:space="preserve">Madras and Bombay; but by the India High Courts Act 1861, sec.  9, the</w:t></w:r>
</w:p>
<w:p>
<w:pPr><w:pStyle w:val="Normal"/></w:pPr>
<w:r><w:t xml:space="preserve">admiralty jurisdiction is given to the High Courts of these places.</w:t></w:r>
</w:p>
<w:p>
<w:pPr><w:pStyle w:val="Normal"/></w:pPr>
<w:r><w:t xml:space="preserve">Consular Courts.</w:t></w:r>
</w:p>
<w:p>
<w:pPr><w:pStyle w:val="Normal"/></w:pPr>
<w:r><w:t xml:space="preserve">Consular courts established in Turkey, China and Japan have</w:t></w:r>
</w:p>
<w:p>
<w:pPr><w:pStyle w:val="Normal"/></w:pPr>
<w:r><w:t xml:space="preserve">had admiralty jurisdiction given to them, and by sec.  12 of</w:t></w:r>
</w:p>
<w:p>
<w:pPr><w:pStyle w:val="Normal"/></w:pPr>
<w:r><w:t xml:space="preserve">the Colonial Admiralty Courts Act any court established by</w:t></w:r>
</w:p>
<w:p>
<w:pPr><w:pStyle w:val="Normal"/></w:pPr>
<w:r><w:t xml:space="preserve">H.M. for the exercise of jurisdiction in any place outside</w:t></w:r>
</w:p>
<w:p>
<w:pPr><w:pStyle w:val="Normal"/></w:pPr>
<w:r><w:t xml:space="preserve">H.M.&apos;s dominion may have admiralty jurisdiction granted to it.</w:t></w:r>
</w:p>
<w:p>
<w:pPr><w:pStyle w:val="Normal"/></w:pPr>
<w:r><w:t xml:space="preserve">Australia.</w:t></w:r>
</w:p>
<w:p>
<w:pPr><w:pStyle w:val="Normal"/></w:pPr>
<w:r><w:t xml:space="preserve">By the Commonwealth of Australia Constitution Act 1900</w:t></w:r>
</w:p>
<w:p>
<w:pPr><w:pStyle w:val="Normal"/></w:pPr>
<w:r><w:t xml:space="preserve">a federal supreme court, to be called the High Court of</w:t></w:r>
</w:p>
<w:p>
<w:pPr><w:pStyle w:val="Normal"/></w:pPr>
<w:r><w:t xml:space="preserve">Australia, is created, and the parliament of the Commonwealth</w:t></w:r>
</w:p>
<w:p>
<w:pPr><w:pStyle w:val="Normal"/></w:pPr>
<w:r><w:t xml:space="preserve">may make laws conferring original jurisdiction on the High</w:t></w:r>
</w:p>
<w:p>
<w:pPr><w:pStyle w:val="Normal"/></w:pPr>
<w:r><w:t xml:space="preserve">Court in matters of admiralty and maritime jurisdiction,</w:t></w:r>
</w:p>
<w:p>
<w:pPr><w:pStyle w:val="Normal"/></w:pPr>
<w:r><w:t xml:space="preserve">The Isle of Man.</w:t></w:r>
</w:p>
<w:p>
<w:pPr><w:pStyle w:val="Normal"/></w:pPr>
<w:r><w:t xml:space="preserve">There is a court of admiralty in the Isle of Man of which</w:t></w:r>
</w:p>
<w:p>
<w:pPr><w:pStyle w:val="Normal"/></w:pPr>
<w:r><w:t xml:space="preserve">the water-bailiff is judae.  He is also styled admiral.</w:t></w:r>
</w:p>
<w:p>
<w:pPr><w:pStyle w:val="Normal"/></w:pPr>
<w:r><w:t xml:space="preserve">It is said to have jurisdiction in salvage and over other</w:t></w:r>
</w:p>
<w:p>
<w:pPr><w:pStyle w:val="Normal"/></w:pPr>
<w:r><w:t xml:space="preserve">maritime matters occurring within 3 leagues from the shore.</w:t></w:r>
</w:p>
<w:p>
<w:pPr><w:pStyle w:val="Normal"/></w:pPr>
<w:r><w:t xml:space="preserve">County Local Courts.</w:t></w:r>
</w:p>
<w:p>
<w:pPr><w:pStyle w:val="Normal"/></w:pPr>
<w:r><w:t xml:space="preserve">Modern statutes have given admiralty jurisdiction to the City</w:t></w:r>
</w:p>
<w:p>
<w:pPr><w:pStyle w:val="Normal"/></w:pPr>
<w:r><w:t xml:space="preserve">of London Court, the Court of Passage and to the county courts</w:t></w:r>
</w:p>
<w:p>
<w:pPr><w:pStyle w:val="Normal"/></w:pPr>
<w:r><w:t xml:space="preserve">in the following matters: Salvage, where the value of the</w:t></w:r>
</w:p>
<w:p>
<w:pPr><w:pStyle w:val="Normal"/></w:pPr>
<w:r><w:t xml:space="preserve">salved property does not exceed L. 1000, or the claim for reward</w:t></w:r>
</w:p>
<w:p>
<w:pPr><w:pStyle w:val="Heading1"/></w:pPr>
<w:r><w:t>L. 300; towage, necessaries and wages, where the claim does</w:t></w:r>
</w:p>
<w:p>
<w:pPr><w:pStyle w:val="Normal"/></w:pPr>
<w:r><w:t xml:space="preserve">not exceed L. 150; claims for damage to cargo, or by collision,</w:t></w:r>
</w:p>
<w:p>
<w:pPr><w:pStyle w:val="Normal"/></w:pPr>
<w:r><w:t xml:space="preserve">up to L. 300 (and for sums above these prescribed limits by</w:t></w:r>
</w:p>
<w:p>
<w:pPr><w:pStyle w:val="Normal"/></w:pPr>
<w:r><w:t xml:space="preserve">agreement between the parties); and claims arising out of</w:t></w:r>
</w:p>
<w:p>
<w:pPr><w:pStyle w:val="Normal"/></w:pPr>
<w:r><w:t xml:space="preserve">breaches of charter parties and other contracts for carriage</w:t></w:r>
</w:p>
<w:p>
<w:pPr><w:pStyle w:val="Normal"/></w:pPr>
<w:r><w:t xml:space="preserve">of goods in foreign ships, or torts in respect thereof, up to</w:t></w:r>
</w:p>
<w:p>
<w:pPr><w:pStyle w:val="Heading1"/></w:pPr>
<w:r><w:t>L. 300.  This jurisdiction is restricted to subjects over which</w:t></w:r>
</w:p>
<w:p>
<w:pPr><w:pStyle w:val="Normal"/></w:pPr>
<w:r><w:t xml:space="preserve">jurisdiction was possessed by the High Court of Admiralty at</w:t></w:r>
</w:p>
<w:p>
<w:pPr><w:pStyle w:val="Normal"/></w:pPr>
<w:r><w:t xml:space="preserve">the time when the first of these acts was passed, except as</w:t></w:r>
</w:p>
<w:p>
<w:pPr><w:pStyle w:val="Normal"/></w:pPr>
<w:r><w:t xml:space="preserve">regards the last branch of it (the ``Aline,&apos;&apos; 1880, 5 Ex.</w:t></w:r>
</w:p>
<w:p>
<w:pPr><w:pStyle w:val="Normal"/></w:pPr>
<w:r><w:t xml:space="preserve">Div. 227; R. v. Judge of City of London Court, 1892, 1 Q.B.</w:t></w:r>
</w:p>
<w:p>
<w:pPr><w:pStyle w:val="Normal"/></w:pPr>
<w:r><w:t xml:space="preserve">272).  In analogy with the county court admiralty jurisdiction</w:t></w:r>
</w:p>
<w:p>
<w:pPr><w:pStyle w:val="Normal"/></w:pPr>
<w:r><w:t xml:space="preserve">created in England, a limited admiralty jurisdiction has</w:t></w:r>
</w:p>
<w:p>
<w:pPr><w:pStyle w:val="Normal"/></w:pPr>
<w:r><w:t xml:space="preserve">been given in Ireland to the recorders of certain boroughs</w:t></w:r>
</w:p>
<w:p>
<w:pPr><w:pStyle w:val="Normal"/></w:pPr>
<w:r><w:t xml:space="preserve">and the chairmen of certain quarter sessions; and in salvage</w:t></w:r>
</w:p>
<w:p>
<w:pPr><w:pStyle w:val="Normal"/></w:pPr>
<w:r><w:t xml:space="preserve">cases, where a county court in England would have jurisdiction,</w:t></w:r>
</w:p>
<w:p>
<w:pPr><w:pStyle w:val="Normal"/></w:pPr>
<w:r><w:t xml:space="preserve">magistrates, recorders and chairmen of quarter sessions may</w:t></w:r>
</w:p>
<w:p>
<w:pPr><w:pStyle w:val="Normal"/></w:pPr>
<w:r><w:t xml:space="preserve">have jurisdiction as official arbitrators (Merchant Shipping</w:t></w:r>
</w:p>
<w:p>
<w:pPr><w:pStyle w:val="Normal"/></w:pPr>
<w:r><w:t xml:space="preserve">Act 1894, sec.  547).  In Scotland, admiralty suits in cases</w:t></w:r>
</w:p>
<w:p>
<w:pPr><w:pStyle w:val="Normal"/></w:pPr>
<w:r><w:t xml:space="preserve">not exceeding the value of L. 25 are exclusively tried in the</w:t></w:r>
</w:p>
<w:p>
<w:pPr><w:pStyle w:val="Normal"/></w:pPr>
<w:r><w:t xml:space="preserve">sheriff&apos;s court; while over that limit the sheriff&apos;s court</w:t></w:r>
</w:p>
<w:p>
<w:pPr><w:pStyle w:val="Normal"/></w:pPr>
<w:r><w:t xml:space="preserve">and the Court of Session have concurrent jurisdiction.  The</w:t></w:r>
</w:p>
<w:p>
<w:pPr><w:pStyle w:val="Normal"/></w:pPr>
<w:r><w:t xml:space="preserve">sheriff has also criminal admiralty jurisdiction, but only</w:t></w:r>
</w:p>
<w:p>
<w:pPr><w:pStyle w:val="Normal"/></w:pPr>
<w:r><w:t xml:space="preserve">as to crimes which he would be competent to try if committed</w:t></w:r>
</w:p>
<w:p>
<w:pPr><w:pStyle w:val="Normal"/></w:pPr>
<w:r><w:t xml:space="preserve">on land (The Court of Session Act 1830, sec. sec.  21 and 22).</w:t></w:r>
</w:p>
<w:p>
<w:pPr><w:pStyle w:val="Normal"/></w:pPr>
<w:r><w:t xml:space="preserve">By an act of 1821 an arbitral jurisdiction in cases of salvage</w:t></w:r>
</w:p>
<w:p>
<w:pPr><w:pStyle w:val="Normal"/></w:pPr>
<w:r><w:t xml:space="preserve">was given to certain commissioners of the Cinque Ports.</w:t></w:r>
</w:p>
<w:p>
<w:pPr><w:pStyle w:val="Normal"/></w:pPr>
<w:r><w:t xml:space="preserve">Appeals.</w:t></w:r>
</w:p>
<w:p>
<w:pPr><w:pStyle w:val="Normal"/></w:pPr>
<w:r><w:t xml:space="preserve">The appeal from county courts and commissioners is to the</w:t></w:r>
</w:p>
<w:p>
<w:pPr><w:pStyle w:val="Normal"/></w:pPr>
<w:r><w:t xml:space="preserve">High Court of Justice, and is exercised by a divisional court</w:t></w:r>
</w:p>
<w:p>
<w:pPr><w:pStyle w:val="Normal"/></w:pPr>
<w:r><w:t xml:space="preserve">of the Probate, Divorce and Admiralty Division.  In cases</w:t></w:r>
</w:p>
<w:p>
<w:pPr><w:pStyle w:val="Normal"/></w:pPr>
<w:r><w:t xml:space="preserve">arising within the Cinque Ports there is an optional appeal</w:t></w:r>
</w:p>
<w:p>
<w:pPr><w:pStyle w:val="Normal"/></w:pPr>
<w:r><w:t xml:space="preserve">to the Admiralty Court of the Cinque Ports.  The appeal from</w:t></w:r>
</w:p>
<w:p>
<w:pPr><w:pStyle w:val="Normal"/></w:pPr>
<w:r><w:t xml:space="preserve">the High Court of Justice is in ordinary admiralty matters,</w:t></w:r>
</w:p>
<w:p>
<w:pPr><w:pStyle w:val="Normal"/></w:pPr>
<w:r><w:t xml:space="preserve">as in others, to the Court of Appeal, and from thence to</w:t></w:r>
</w:p>
<w:p>
<w:pPr><w:pStyle w:val="Normal"/></w:pPr>
<w:r><w:t xml:space="preserve">the House of Lords.  But it is specially provided by the</w:t></w:r>
</w:p>
<w:p>
<w:pPr><w:pStyle w:val="Normal"/></w:pPr>
<w:r><w:t xml:space="preserve">Judicature Act 1891, as it was by the Prize Act 1864, that the</w:t></w:r>
</w:p>
<w:p>
<w:pPr><w:pStyle w:val="Normal"/></w:pPr>
<w:r><w:t xml:space="preserve">appeal in prize cases shall be to the sovereign in council.</w:t></w:r>
</w:p>
<w:p>
<w:pPr><w:pStyle w:val="Normal"/></w:pPr>
<w:r><w:t xml:space="preserve">The unfortunate provisions of the legislature, giving to</w:t></w:r>
</w:p>
<w:p>
<w:pPr><w:pStyle w:val="Normal"/></w:pPr>
<w:r><w:t xml:space="preserve">the jurisdiction of county courts different money limits in</w:t></w:r>
</w:p>
<w:p>
<w:pPr><w:pStyle w:val="Normal"/></w:pPr>
<w:r><w:t xml:space="preserve">admiralty equity and common law cases, make the distinction</w:t></w:r>
</w:p>
<w:p>
<w:pPr><w:pStyle w:val="Normal"/></w:pPr>
<w:r><w:t xml:space="preserve">between cases coming under the admiralty jurisdiction and other</w:t></w:r>
</w:p>
<w:p>
<w:pPr><w:pStyle w:val="Normal"/></w:pPr>
<w:r><w:t xml:space="preserve">civil cases of practical moment in those courts.  Arguments</w:t></w:r>
</w:p>
<w:p>
<w:pPr><w:pStyle w:val="Normal"/></w:pPr>
<w:r><w:t xml:space="preserve">full of learning and research have been addressed to the</w:t></w:r>
</w:p>
<w:p>
<w:pPr><w:pStyle w:val="Normal"/></w:pPr>
<w:r><w:t xml:space="preserve">courts, and weighty decisions have been given, upon questions</w:t></w:r>
</w:p>
<w:p>
<w:pPr><w:pStyle w:val="Normal"/></w:pPr>
<w:r><w:t xml:space="preserve">which would never have arisen if the county courts had not a</w:t></w:r>
</w:p>
<w:p>
<w:pPr><w:pStyle w:val="Normal"/></w:pPr>
<w:r><w:t xml:space="preserve">larger money area of jurisdiction in admiralty cases than they</w:t></w:r>
</w:p>
<w:p>
<w:pPr><w:pStyle w:val="Normal"/></w:pPr>
<w:r><w:t xml:space="preserve">have in in other matters (R. v. Judge of City of London</w:t></w:r>
</w:p>
<w:p>
<w:pPr><w:pStyle w:val="Normal"/></w:pPr>
<w:r><w:t xml:space="preserve">Court, 1892, 1 Q.B. 273; the ``Zeta,&apos;&apos; 1893, App. Cas.</w:t></w:r>
</w:p>
<w:p>
<w:pPr><w:pStyle w:val="Normal"/></w:pPr>
<w:r><w:t xml:space="preserve">468).  But as regards the high courts, whether in England,</w:t></w:r>
</w:p>
<w:p>
<w:pPr><w:pStyle w:val="Normal"/></w:pPr>
<w:r><w:t xml:space="preserve">Scotland or Ireland, it is not now necessary to distinguish</w:t></w:r>
</w:p>
<w:p>
<w:pPr><w:pStyle w:val="Normal"/></w:pPr>
<w:r><w:t xml:space="preserve">their civil admiralty jurisdiction from their ordinary civil</w:t></w:r>
</w:p>
<w:p>
<w:pPr><w:pStyle w:val="Normal"/></w:pPr>
<w:r><w:t xml:space="preserve">jurisdiction, except for the purpose of seeing whether there</w:t></w:r>
</w:p>
<w:p>
<w:pPr><w:pStyle w:val="Normal"/></w:pPr>
<w:r><w:t xml:space="preserve">can or cannot be process in rem. Not that every admiralty</w:t></w:r>
</w:p>
<w:p>
<w:pPr><w:pStyle w:val="Normal"/></w:pPr>
<w:r><w:t xml:space="preserve">action can of right be brought in rem, but that no process</w:t></w:r>
</w:p>
<w:p>
<w:pPr><w:pStyle w:val="Normal"/></w:pPr>
<w:r><w:t xml:space="preserve">in rem lies at the suit of a subject unless it be for a matter</w:t></w:r>
</w:p>
<w:p>
<w:pPr><w:pStyle w:val="Normal"/></w:pPr>
<w:r><w:t xml:space="preserve">of admiralty jurisdiction--one, for instance, that could in</w:t></w:r>
</w:p>
<w:p>
<w:pPr><w:pStyle w:val="Normal"/></w:pPr>
<w:r><w:t xml:space="preserve">England have been tried in the High Court of Admiralty.  Now</w:t></w:r>
</w:p>
<w:p>
<w:pPr><w:pStyle w:val="Normal"/></w:pPr>
<w:r><w:t xml:space="preserve">these matters of admiralty jurisdiction with process in rem</w:t></w:r>
</w:p>
<w:p>
<w:pPr><w:pStyle w:val="Normal"/></w:pPr>
<w:r><w:t xml:space="preserve">range themselves under four primary and four supplementary</w:t></w:r>
</w:p>
<w:p>
<w:pPr><w:pStyle w:val="Normal"/></w:pPr>
<w:r><w:t xml:space="preserve">heads.  The four primary are damage, salvage, bottomry,</w:t></w:r>
</w:p>
<w:p>
<w:pPr><w:pStyle w:val="Normal"/></w:pPr>
<w:r><w:t xml:space="preserve">wages; and the four supplementary are extensions due to one</w:t></w:r>
</w:p>
<w:p>
<w:pPr><w:pStyle w:val="Normal"/></w:pPr>
<w:r><w:t xml:space="preserve">or other of the statutes of 1840 (Admiralty Court) and 1861</w:t></w:r>
</w:p>
<w:p>
<w:pPr><w:pStyle w:val="Normal"/></w:pPr>
<w:r><w:t xml:space="preserve">(Admiralty Court Act).  They are damage to cargo carried in a</w:t></w:r>
</w:p>
<w:p>
<w:pPr><w:pStyle w:val="Normal"/></w:pPr>
<w:r><w:t xml:space="preserve">ship, necessaries supplied to a ship, mortgage of ship, and</w:t></w:r>
</w:p>
<w:p>
<w:pPr><w:pStyle w:val="Normal"/></w:pPr>
<w:r><w:t xml:space="preserve">master&apos;s claim for wages and disbursements on account of a</w:t></w:r>
</w:p>
<w:p>
<w:pPr><w:pStyle w:val="Normal"/></w:pPr>
<w:r><w:t xml:space="preserve">ship.  In all these cases, primary and secondary, the process</w:t></w:r>
</w:p>
<w:p>
<w:pPr><w:pStyle w:val="Normal"/></w:pPr>
<w:r><w:t xml:space="preserve">of which a plaintiff can avail himself for redress, may be</w:t></w:r>
</w:p>
<w:p>
<w:pPr><w:pStyle w:val="Normal"/></w:pPr>
<w:r><w:t xml:space="preserve">either in personam as in other civil suits, or by arrest</w:t></w:r>
</w:p>
<w:p>
<w:pPr><w:pStyle w:val="Normal"/></w:pPr>
<w:r><w:t xml:space="preserve">of the ship, and, in cases of salvage and bottomry, the</w:t></w:r>
</w:p>
<w:p>
<w:pPr><w:pStyle w:val="Normal"/></w:pPr>
<w:r><w:t xml:space="preserve">cargo.  Whenever, also, the ship can be arrested, any freight</w:t></w:r>
</w:p>
<w:p>
<w:pPr><w:pStyle w:val="Normal"/></w:pPr>
<w:r><w:t xml:space="preserve">due can also be attached, by arrest of the cargo to the extent</w:t></w:r>
</w:p>
<w:p>
<w:pPr><w:pStyle w:val="Normal"/></w:pPr>
<w:r><w:t xml:space="preserve">only of the freight which it has to pay.  For the purpose of</w:t></w:r>
</w:p>
<w:p>
<w:pPr><w:pStyle w:val="Normal"/></w:pPr>
<w:r><w:t xml:space="preserve">ascertaining whether or not process in rem would lie, there</w:t></w:r>
</w:p>
<w:p>
<w:pPr><w:pStyle w:val="Normal"/></w:pPr>
<w:r><w:t xml:space="preserve">have been distinctions as nice, and the line of admiralty</w:t></w:r>
</w:p>
<w:p>
<w:pPr><w:pStyle w:val="Normal"/></w:pPr>
<w:r><w:t xml:space="preserve">jurisdiction has been drawn as carefully, as in the cases of the</w:t></w:r>
</w:p>
<w:p>
<w:pPr><w:pStyle w:val="Normal"/></w:pPr>
<w:r><w:t xml:space="preserve">admiralty jurisdiction of the county courts (the ``Theta,&apos;&apos;</w:t></w:r>
</w:p>
<w:p>
<w:pPr><w:pStyle w:val="Normal"/></w:pPr>
<w:r><w:t xml:space="preserve">1894, Prob. 280; the ``Gas Float Whitton,&apos;&apos; 1897, App. Cas.</w:t></w:r>
</w:p>
<w:p>
<w:pPr><w:pStyle w:val="Normal"/></w:pPr>
<w:r><w:t xml:space="preserve">337).  There have been similar questions raised in the United</w:t></w:r>
</w:p>
<w:p>
<w:pPr><w:pStyle w:val="Normal"/></w:pPr>
<w:r><w:t xml:space="preserve">States, from De Lovio v. Boit (1815, 2 Gallison, 398),</w:t></w:r>
</w:p>
<w:p>
<w:pPr><w:pStyle w:val="Normal"/></w:pPr>
<w:r><w:t xml:space="preserve">and Ramsay v. Allegre (1827, 12 Wheaton, 611), down to</w:t></w:r>
</w:p>
<w:p>
<w:pPr><w:pStyle w:val="Normal"/></w:pPr>
<w:r><w:t xml:space="preserve">the quite modern cases which will be found quoted in the</w:t></w:r>
</w:p>
<w:p>
<w:pPr><w:pStyle w:val="Normal"/></w:pPr>
<w:r><w:t xml:space="preserve">arguments and judgments in the ``Gas Float Whitton.&apos;&apos;</w:t></w:r>
</w:p>
<w:p>
<w:pPr><w:pStyle w:val="Normal"/></w:pPr>
<w:r><w:t xml:space="preserve">Disciplinary.</w:t></w:r>
</w:p>
<w:p>
<w:pPr><w:pStyle w:val="Normal"/></w:pPr>
<w:r><w:t xml:space="preserve">The disciplinary jurisdiction at one time exercised by</w:t></w:r>
</w:p>
<w:p>
<w:pPr><w:pStyle w:val="Normal"/></w:pPr>
<w:r><w:t xml:space="preserve">the Admiralty Court, over both the royal navy and merchant</w:t></w:r>
</w:p>
<w:p>
<w:pPr><w:pStyle w:val="Normal"/></w:pPr>
<w:r><w:t xml:space="preserve">vessels, may be said to be obsolete in time of peace, the</w:t></w:r>
</w:p>
<w:p>
<w:pPr><w:pStyle w:val="Normal"/></w:pPr>
<w:r><w:t xml:space="preserve">last remnant of it being suits against merchantmen for</w:t></w:r>
</w:p>
<w:p>
<w:pPr><w:pStyle w:val="Normal"/></w:pPr>
<w:r><w:t xml:space="preserve">flying flags appropriate to men-of-war (the ``Minerva,&apos;&apos;</w:t></w:r>
</w:p>
<w:p>
<w:pPr><w:pStyle w:val="Normal"/></w:pPr>
<w:r><w:t xml:space="preserve">1800, 3 C. Rob. 34), a matter now more effectively provided</w:t></w:r>
</w:p>
<w:p>
<w:pPr><w:pStyle w:val="Normal"/></w:pPr>
<w:r><w:t xml:space="preserve">against by the Merchant Shipping Act 1894.  In time of war,</w:t></w:r>
</w:p>
<w:p>
<w:pPr><w:pStyle w:val="Normal"/></w:pPr>
<w:r><w:t xml:space="preserve">however, it was exercised in some instances as long as the</w:t></w:r>
</w:p>
<w:p>
<w:pPr><w:pStyle w:val="Normal"/></w:pPr>
<w:r><w:t xml:space="preserve">Admiralty Court lasted, and is now in consequence exercisable</w:t></w:r>
</w:p>
<w:p>
<w:pPr><w:pStyle w:val="Normal"/></w:pPr>
<w:r><w:t xml:space="preserve">by the High Court of Justice (see Prize below).  It</w:t></w:r>
</w:p>
<w:p>
<w:pPr><w:pStyle w:val="Normal"/></w:pPr>
<w:r><w:t xml:space="preserve">was, perhaps, in consequence of its ancient disciplinary</w:t></w:r>
</w:p>
<w:p>
<w:pPr><w:pStyle w:val="Normal"/></w:pPr>
<w:r><w:t xml:space="preserve">jurisdiction that the Admiralty Court was made the court to</w:t></w:r>
</w:p>
<w:p>
<w:pPr><w:pStyle w:val="Normal"/></w:pPr>
<w:r><w:t xml:space="preserve">enforce certain portions of the Foreign Enlistment Act 1870.</w:t></w:r>
</w:p>
<w:p>
<w:pPr><w:pStyle w:val="Normal"/></w:pPr>
<w:r><w:t xml:space="preserve">Finally, appeals from decisions of courts of inquiry, under the</w:t></w:r>
</w:p>
<w:p>
<w:pPr><w:pStyle w:val="Normal"/></w:pPr>
<w:r><w:t xml:space="preserve">Merchant Shipping Act, cancelling or suspending the certificates</w:t></w:r>
</w:p>
<w:p>
<w:pPr><w:pStyle w:val="Normal"/></w:pPr>
<w:r><w:t xml:space="preserve">of officers in the merchant service, may be made to the Probate,</w:t></w:r>
</w:p>
<w:p>
<w:pPr><w:pStyle w:val="Normal"/></w:pPr>
<w:r><w:t xml:space="preserve">Divorce and Admiralty Division of the High Court of Justice.</w:t></w:r>
</w:p>
<w:p>
<w:pPr><w:pStyle w:val="Normal"/></w:pPr>
<w:r><w:t xml:space="preserve">Criminal cases.</w:t></w:r>
</w:p>
<w:p>
<w:pPr><w:pStyle w:val="Normal"/></w:pPr>
<w:r><w:t xml:space="preserve">The admiralty jurisdiction in criminal matters extends over</w:t></w:r>
</w:p>
<w:p>
<w:pPr><w:pStyle w:val="Normal"/></w:pPr>
<w:r><w:t xml:space="preserve">all crimes committed on board British ships at sea or in</w:t></w:r>
</w:p>
<w:p>
<w:pPr><w:pStyle w:val="Normal"/></w:pPr>
<w:r><w:t xml:space="preserve">tidal waters, even though such tidal waters be well within</w:t></w:r>
</w:p>
<w:p>
<w:pPr><w:pStyle w:val="Normal"/></w:pPr>
<w:r><w:t xml:space="preserve">foreign territory (R. v. Anderson, 1868, L.R. 1 C.C.R.</w:t></w:r>
</w:p>
<w:p>
<w:pPr><w:pStyle w:val="Normal"/></w:pPr>
<w:r><w:t xml:space="preserve">161), but not over crimes committed on board foreign vessels</w:t></w:r>
</w:p>
<w:p>
<w:pPr><w:pStyle w:val="Normal"/></w:pPr>
<w:r><w:t xml:space="preserve">upon the high seas (R. v. Serva, 1845, 1 Denison C.C.</w:t></w:r>
</w:p>
<w:p>
<w:pPr><w:pStyle w:val="Normal"/></w:pPr>
<w:r><w:t xml:space="preserve">104).  Whether it extended over crimes committed on foreign</w:t></w:r>
</w:p>
<w:p>
<w:pPr><w:pStyle w:val="Normal"/></w:pPr>
<w:r><w:t xml:space="preserve">ships within territorial waters of the United Kingdom, and</w:t></w:r>
</w:p>
<w:p>
<w:pPr><w:pStyle w:val="Normal"/></w:pPr>
<w:r><w:t xml:space="preserve">whether a zone of three miles round the shores of the United</w:t></w:r>
</w:p>
<w:p>
<w:pPr><w:pStyle w:val="Normal"/></w:pPr>
<w:r><w:t xml:space="preserve">Kingdom was for such purpose territorial water, were the</w:t></w:r>
</w:p>
<w:p>
<w:pPr><w:pStyle w:val="Normal"/></w:pPr>
<w:r><w:t xml:space="preserve">great questions raised in R. v. Keyn (the ``Franconia,&apos;&apos;</w:t></w:r>
</w:p>
<w:p>
<w:pPr><w:pStyle w:val="Normal"/></w:pPr>
<w:r><w:t xml:space="preserve">L.R. 2 Ex. Div. 126), and decided in the negative by the</w:t></w:r>
</w:p>
<w:p>
<w:pPr><w:pStyle w:val="Normal"/></w:pPr>
<w:r><w:t xml:space="preserve">majority of the judges, rightly, as the writer of this</w:t></w:r>
</w:p>
<w:p>
<w:pPr><w:pStyle w:val="Normal"/></w:pPr>
<w:r><w:t xml:space="preserve">article respectfully thinks.  Since then, however, the</w:t></w:r>
</w:p>
<w:p>
<w:pPr><w:pStyle w:val="Normal"/></w:pPr>
<w:r><w:t xml:space="preserve">legislature has brought these waters within the jurisdiction</w:t></w:r>
</w:p>
<w:p>
<w:pPr><w:pStyle w:val="Normal"/></w:pPr>
<w:r><w:t xml:space="preserve">of the admiralty by the Territorial Waters Jurisdiction Act</w:t></w:r>
</w:p>
<w:p>
<w:pPr><w:pStyle w:val="Normal"/></w:pPr>
<w:r><w:t xml:space="preserve">1878.  Section 2 runs as follows: ``An offence committed</w:t></w:r>
</w:p>
<w:p>
<w:pPr><w:pStyle w:val="Normal"/></w:pPr>
<w:r><w:t xml:space="preserve">by a person, whether he is or is not a British subject,</w:t></w:r>
</w:p>
<w:p>
<w:pPr><w:pStyle w:val="Normal"/></w:pPr>
<w:r><w:t xml:space="preserve">on the open sea within the territorial waters of British</w:t></w:r>
</w:p>
<w:p>
<w:pPr><w:pStyle w:val="Normal"/></w:pPr>
<w:r><w:t xml:space="preserve">dominions, is an offence within the jurisdiction of the</w:t></w:r>
</w:p>
<w:p>
<w:pPr><w:pStyle w:val="Normal"/></w:pPr>
<w:r><w:t xml:space="preserve">admiral, although it may have been committed on board or by</w:t></w:r>
</w:p>
<w:p>
<w:pPr><w:pStyle w:val="Normal"/></w:pPr>
<w:r><w:t xml:space="preserve">means of a foreign ship, and the person who committed such</w:t></w:r>
</w:p>
<w:p>
<w:pPr><w:pStyle w:val="Normal"/></w:pPr>
<w:r><w:t xml:space="preserve">offence may be arrested, tried and punished accordingly.&apos;&apos;</w:t></w:r>
</w:p>
<w:p>
<w:pPr><w:pStyle w:val="Normal"/></w:pPr>
<w:r><w:t xml:space="preserve">By sec.  7 the ``jurisdiction of the admiral&apos;&apos; is defined as</w:t></w:r>
</w:p>
<w:p>
<w:pPr><w:pStyle w:val="Normal"/></w:pPr>
<w:r><w:t xml:space="preserve">``including the jurisdiction of the admiralty of England or</w:t></w:r>
</w:p>
<w:p>
<w:pPr><w:pStyle w:val="Normal"/></w:pPr>
<w:r><w:t xml:space="preserve">Ireland, or either of such jurisdictions as used in any act</w:t></w:r>
</w:p>
<w:p>
<w:pPr><w:pStyle w:val="Normal"/></w:pPr>
<w:r><w:t xml:space="preserve">of parliament; and for the purpose or arresting any person</w:t></w:r>
</w:p>
<w:p>
<w:pPr><w:pStyle w:val="Normal"/></w:pPr>
<w:r><w:t xml:space="preserve">charged with an offence declared by this act to be within the</w:t></w:r>
</w:p>
<w:p>
<w:pPr><w:pStyle w:val="Normal"/></w:pPr>
<w:r><w:t xml:space="preserve">jurisdiction of the admiral, the territorial waters adjacent</w:t></w:r>
</w:p>
<w:p>
<w:pPr><w:pStyle w:val="Normal"/></w:pPr>
<w:r><w:t xml:space="preserve">to the United Kingdom, or any other part of her majesty&apos;s</w:t></w:r>
</w:p>
<w:p>
<w:pPr><w:pStyle w:val="Normal"/></w:pPr>
<w:r><w:t xml:space="preserve">dominions, shall be deemed to be within the jurisdiction of any</w:t></w:r>
</w:p>
<w:p>
<w:pPr><w:pStyle w:val="Normal"/></w:pPr>
<w:r><w:t xml:space="preserve">judge, magistrate or officer.&apos;&apos; And ``territorial waters of</w:t></w:r>
</w:p>
<w:p>
<w:pPr><w:pStyle w:val="Normal"/></w:pPr>
<w:r><w:t xml:space="preserve">her majesty&apos;s dominions&apos;&apos; are defined as ``in reference to the</w:t></w:r>
</w:p>
<w:p>
<w:pPr><w:pStyle w:val="Normal"/></w:pPr>
<w:r><w:t xml:space="preserve">sea, meaning such part of the sea adjacent to the coast of</w:t></w:r>
</w:p>
<w:p>
<w:pPr><w:pStyle w:val="Normal"/></w:pPr>
<w:r><w:t xml:space="preserve">the United Kingdom, or the coast of some other part of her</w:t></w:r>
</w:p>
<w:p>
<w:pPr><w:pStyle w:val="Normal"/></w:pPr>
<w:r><w:t xml:space="preserve">majesty&apos;s dominions, as is deemed by international law to be</w:t></w:r>
</w:p>
<w:p>
<w:pPr><w:pStyle w:val="Normal"/></w:pPr>
<w:r><w:t xml:space="preserve">within the territorial sovereignty of her majesty; and for</w:t></w:r>
</w:p>
<w:p>
<w:pPr><w:pStyle w:val="Normal"/></w:pPr>
<w:r><w:t xml:space="preserve">the purpose of any offence declared by this act to be within</w:t></w:r>
</w:p>
<w:p>
<w:pPr><w:pStyle w:val="Normal"/></w:pPr>
<w:r><w:t xml:space="preserve">the jurisdiction of the admiral, any part of the open sea</w:t></w:r>
</w:p>
<w:p>
<w:pPr><w:pStyle w:val="Normal"/></w:pPr>
<w:r><w:t xml:space="preserve">within one marine league of the coast, measured from low-water</w:t></w:r>
</w:p>
<w:p>
<w:pPr><w:pStyle w:val="Normal"/></w:pPr>
<w:r><w:t xml:space="preserve">mark, shall be deemed to be open sea within the territorial</w:t></w:r>
</w:p>
<w:p>
<w:pPr><w:pStyle w:val="Normal"/></w:pPr>
<w:r><w:t xml:space="preserve">waters of her majesty&apos;s dominions.&apos;&apos; As to those portions of</w:t></w:r>
</w:p>
<w:p>
<w:pPr><w:pStyle w:val="Normal"/></w:pPr>
<w:r><w:t xml:space="preserve">the sea and tidal waters which, by reason of their partially</w:t></w:r>
</w:p>
<w:p>
<w:pPr><w:pStyle w:val="Normal"/></w:pPr>
<w:r><w:t xml:space="preserve">land-locked positions, are deemed to be in the body of a</w:t></w:r>
</w:p>
<w:p>
<w:pPr><w:pStyle w:val="Normal"/></w:pPr>
<w:r><w:t xml:space="preserve">county, there is not admiralty jurisdiction, but crimes are</w:t></w:r>
</w:p>
<w:p>
<w:pPr><w:pStyle w:val="Normal"/></w:pPr>
<w:r><w:t xml:space="preserve">tried as if they were committed on land within the same county.</w:t></w:r>
</w:p>
<w:p>
<w:pPr><w:pStyle w:val="Normal"/></w:pPr>
<w:r><w:t xml:space="preserve">Pirates, whatever flag they pretended to fly, were, from</w:t></w:r>
</w:p>
<w:p>
<w:pPr><w:pStyle w:val="Normal"/></w:pPr>
<w:r><w:t xml:space="preserve">1360 onwards, wherever their crimes were committed, subject</w:t></w:r>
</w:p>
<w:p>
<w:pPr><w:pStyle w:val="Normal"/></w:pPr>
<w:r><w:t xml:space="preserve">to the admiralty jurisdiction.  The criminal jurisdiction</w:t></w:r>
</w:p>
<w:p>
<w:pPr><w:pStyle w:val="Normal"/></w:pPr>
<w:r><w:t xml:space="preserve">of the admiralty was first exercised by the High Court of</w:t></w:r>
</w:p>
<w:p>
<w:pPr><w:pStyle w:val="Normal"/></w:pPr>
<w:r><w:t xml:space="preserve">Admiralty; and then, by virtue of the Offences at Sea Act 1536,</w:t></w:r>
</w:p>
<w:p>
<w:pPr><w:pStyle w:val="Normal"/></w:pPr>
<w:r><w:t xml:space="preserve">transferred to commissioners appointed under the great seal,</w:t></w:r>
</w:p>
<w:p>
<w:pPr><w:pStyle w:val="Normal"/></w:pPr>
<w:r><w:t xml:space="preserve">among whom were to be the admiral or admirals, his or their</w:t></w:r>
</w:p>
<w:p>
<w:pPr><w:pStyle w:val="Normal"/></w:pPr>
<w:r><w:t xml:space="preserve">deputies.  Admiralty sessions were held for this purpose till</w:t></w:r>
</w:p>
<w:p>
<w:pPr><w:pStyle w:val="Normal"/></w:pPr>
<w:r><w:t xml:space="preserve">1834.  Admiralty criminal jurisdiction is now, by virtue</w:t></w:r>
</w:p>
<w:p>
<w:pPr><w:pStyle w:val="Normal"/></w:pPr>
<w:r><w:t xml:space="preserve">of the series of statutes, the Offences at Sea Act 1799,</w:t></w:r>
</w:p>
<w:p>
<w:pPr><w:pStyle w:val="Normal"/></w:pPr>
<w:r><w:t xml:space="preserve">the Central Criminal Court Act 1834, Offences at Sea Act</w:t></w:r>
</w:p>
<w:p>
<w:pPr><w:pStyle w:val="Normal"/></w:pPr>
<w:r><w:t xml:space="preserve">1844, and the criminal law consolidation acts passed in</w:t></w:r>
</w:p>
<w:p>
<w:pPr><w:pStyle w:val="Normal"/></w:pPr>
<w:r><w:t xml:space="preserve">1861, exercised by the Central Criminal Court and by the</w:t></w:r>
</w:p>
<w:p>
<w:pPr><w:pStyle w:val="Normal"/></w:pPr>
<w:r><w:t xml:space="preserve">ordinary courts of assize.  Special provision for trial</w:t></w:r>
</w:p>
<w:p>
<w:pPr><w:pStyle w:val="Normal"/></w:pPr>
<w:r><w:t xml:space="preserve">in the colonies of offences committed at sea has been made</w:t></w:r>
</w:p>
<w:p>
<w:pPr><w:pStyle w:val="Normal"/></w:pPr>
<w:r><w:t xml:space="preserve">by an act of William III. (1698-1699), the Offences at Sea</w:t></w:r>
</w:p>
<w:p>
<w:pPr><w:pStyle w:val="Normal"/></w:pPr>
<w:r><w:t xml:space="preserve">Act 1806, and the Admiralty Offences (Colonial) Act 1849.</w:t></w:r>
</w:p>
<w:p>
<w:pPr><w:pStyle w:val="Normal"/></w:pPr>
<w:r><w:t xml:space="preserve">Prize.</w:t></w:r>
</w:p>
<w:p>
<w:pPr><w:pStyle w:val="Normal"/></w:pPr>
<w:r><w:t xml:space="preserve">The Admiralty Court had jurisdiction in matters of prize from</w:t></w:r>
</w:p>
<w:p>
<w:pPr><w:pStyle w:val="Normal"/></w:pPr>
<w:r><w:t xml:space="preserve">very early times; and although since the middle of the 17th</w:t></w:r>
</w:p>
<w:p>
<w:pPr><w:pStyle w:val="Normal"/></w:pPr>
<w:r><w:t xml:space="preserve">century the instance, or ordinary civil jurisdiction of the</w:t></w:r>
</w:p>
<w:p>
<w:pPr><w:pStyle w:val="Normal"/></w:pPr>
<w:r><w:t xml:space="preserve">court, has been kept distinct from the prize jurisdiction,</w:t></w:r>
</w:p>
<w:p>
<w:pPr><w:pStyle w:val="Normal"/></w:pPr>
<w:r><w:t xml:space="preserve">they were originally both administered and regarded as</w:t></w:r>
</w:p>
<w:p>
<w:pPr><w:pStyle w:val="Normal"/></w:pPr>
<w:r><w:t xml:space="preserve">being within the ordinary jurisdiction of the lord high</w:t></w:r>
</w:p>
<w:p>
<w:pPr><w:pStyle w:val="Normal"/></w:pPr>
<w:r><w:t xml:space="preserve">admiral.  The early records of the admiralty show that the</w:t></w:r>
</w:p>
<w:p>
<w:pPr><w:pStyle w:val="Normal"/></w:pPr>
<w:r><w:t xml:space="preserve">origin of the prize jurisdiction is to be traced to the power</w:t></w:r>
</w:p>
<w:p>
<w:pPr><w:pStyle w:val="Normal"/></w:pPr>
<w:r><w:t xml:space="preserve">given to the court of the admiral to try cases of piracy</w:t></w:r>
</w:p>
<w:p>
<w:pPr><w:pStyle w:val="Normal"/></w:pPr>
<w:r><w:t xml:space="preserve">and ``spoil,&apos;&apos; i.e. captures of foreign ships by English</w:t></w:r>
</w:p>
<w:p>
<w:pPr><w:pStyle w:val="Normal"/></w:pPr>
<w:r><w:t xml:space="preserve">ships.  The earliest recorded case of spoil tried before the</w:t></w:r>
</w:p>
<w:p>
<w:pPr><w:pStyle w:val="Normal"/></w:pPr>
<w:r><w:t xml:space="preserve">admiral is in 1357, when the goods of a Portuguese subject,</w:t></w:r>
</w:p>
<w:p>
<w:pPr><w:pStyle w:val="Normal"/></w:pPr>
<w:r><w:t xml:space="preserve">taken at sea by Englishmen from a French ship which had</w:t></w:r>
</w:p>
<w:p>
<w:pPr><w:pStyle w:val="Normal"/></w:pPr>
<w:r><w:t xml:space="preserve">previously spoiled a Portuguese, were awarded by the admiral as</w:t></w:r>
</w:p>
<w:p>
<w:pPr><w:pStyle w:val="Normal"/></w:pPr>
<w:r><w:t xml:space="preserve">good prize to the English captors; and Edward III. in a letter</w:t></w:r>
</w:p>
<w:p>
<w:pPr><w:pStyle w:val="Normal"/></w:pPr>
<w:r><w:t xml:space="preserve">to the king of Portugal answering a complaint on the subject</w:t></w:r>
</w:p>
<w:p>
<w:pPr><w:pStyle w:val="Normal"/></w:pPr>
<w:r><w:t xml:space="preserve">gives the admiral&apos;s decision as a reason for refusing their</w:t></w:r>
</w:p>
<w:p>
<w:pPr><w:pStyle w:val="Normal"/></w:pPr>
<w:r><w:t xml:space="preserve">restoration.  During the 16th century a very large part of</w:t></w:r>
</w:p>
<w:p>
<w:pPr><w:pStyle w:val="Normal"/></w:pPr>
<w:r><w:t xml:space="preserve">the business of the Admiralty Court related to spoil and</w:t></w:r>
</w:p>
<w:p>
<w:pPr><w:pStyle w:val="Normal"/></w:pPr>
<w:r><w:t xml:space="preserve">piracy, and the privy council often directed the judge of the</w:t></w:r>
</w:p>
<w:p>
<w:pPr><w:pStyle w:val="Normal"/></w:pPr>
<w:r><w:t xml:space="preserve">court how to deal with the spoil cases, with regard to which</w:t></w:r>
</w:p>
<w:p>
<w:pPr><w:pStyle w:val="Normal"/></w:pPr>
<w:r><w:t xml:space="preserve">foreigners who had suffered from attacks by English ships</w:t></w:r>
</w:p>
<w:p>
<w:pPr><w:pStyle w:val="Normal"/></w:pPr>
<w:r><w:t xml:space="preserve">made petition for redress to the admiral or the council.</w:t></w:r>
</w:p>
<w:p>
<w:pPr><w:pStyle w:val="Normal"/></w:pPr>
<w:r><w:t xml:space="preserve">The spoil suit at this time (causa spolii) was a civil</w:t></w:r>
</w:p>
<w:p>
<w:pPr><w:pStyle w:val="Normal"/></w:pPr>
<w:r><w:t xml:space="preserve">proceeding resulting in a decree absolutoria, dismissing</w:t></w:r>
</w:p>
<w:p>
<w:pPr><w:pStyle w:val="Normal"/></w:pPr>
<w:r><w:t xml:space="preserve">the defendant, or condemnatoria, ordering restoration</w:t></w:r>
</w:p>
<w:p>
<w:pPr><w:pStyle w:val="Normal"/></w:pPr>
<w:r><w:t xml:space="preserve">to be made by him.  In 1585 the patent of Howard, the lord</w:t></w:r>
</w:p>
<w:p>
<w:pPr><w:pStyle w:val="Normal"/></w:pPr>
<w:r><w:t xml:space="preserve">high admiral, authorized him to issue letters of reprisal</w:t></w:r>
</w:p>
<w:p>
<w:pPr><w:pStyle w:val="Normal"/></w:pPr>
<w:r><w:t xml:space="preserve">against Spain; and an order in council regulating the conduct</w:t></w:r>
</w:p>
<w:p>
<w:pPr><w:pStyle w:val="Normal"/></w:pPr>
<w:r><w:t xml:space="preserve">of those to whom such letters were issued provided by an</w:t></w:r>
</w:p>
<w:p>
<w:pPr><w:pStyle w:val="Normal"/></w:pPr>
<w:r><w:t xml:space="preserve">additional article (1859) that all prizes were to be brought</w:t></w:r>
</w:p>
<w:p>
<w:pPr><w:pStyle w:val="Normal"/></w:pPr>
<w:r><w:t xml:space="preserve">in without breaking of bulk for adjudication by the Admiralty</w:t></w:r>
</w:p>
<w:p>
<w:pPr><w:pStyle w:val="Normal"/></w:pPr>
<w:r><w:t xml:space="preserve">Court.  The court was also resorted to at this time by</w:t></w:r>
</w:p>
<w:p>
<w:pPr><w:pStyle w:val="Normal"/></w:pPr>
<w:r><w:t xml:space="preserve">captors, sailing under commissions granted by the allies of</w:t></w:r>
</w:p>
<w:p>
<w:pPr><w:pStyle w:val="Normal"/></w:pPr>
<w:r><w:t xml:space="preserve">England, such as the king of France and the Dutch.  About</w:t></w:r>
</w:p>
<w:p>
<w:pPr><w:pStyle w:val="Normal"/></w:pPr>
<w:r><w:t xml:space="preserve">the middle of the 17th century separate sittings of the court</w:t></w:r>
</w:p>
<w:p>
<w:pPr><w:pStyle w:val="Normal"/></w:pPr>
<w:r><w:t xml:space="preserve">for instance and prize business began, perhaps because of</w:t></w:r>
</w:p>
<w:p>
<w:pPr><w:pStyle w:val="Normal"/></w:pPr>
<w:r><w:t xml:space="preserve">the conflicting claims to droits of Charles II. and the</w:t></w:r>
</w:p>
<w:p>
<w:pPr><w:pStyle w:val="Normal"/></w:pPr>
<w:r><w:t xml:space="preserve">duke of York as lord high admiral; and privateering under</w:t></w:r>
</w:p>
<w:p>
<w:pPr><w:pStyle w:val="Normal"/></w:pPr>
<w:r><w:t xml:space="preserve">royal commission took the place of the former irregular</w:t></w:r>
</w:p>
<w:p>
<w:pPr><w:pStyle w:val="Normal"/></w:pPr>
<w:r><w:t xml:space="preserve">``spoiling.&apos;&apos; The account which Lord Mansfield gave of the</w:t></w:r>
</w:p>
<w:p>
<w:pPr><w:pStyle w:val="Normal"/></w:pPr>
<w:r><w:t xml:space="preserve">records of the Admiralty Court, that there were no prize</w:t></w:r>
</w:p>
<w:p>
<w:pPr><w:pStyle w:val="Normal"/></w:pPr>
<w:r><w:t xml:space="preserve">act books earlier than 1641, or prize sentences earlier than</w:t></w:r>
</w:p>
<w:p>
<w:pPr><w:pStyle w:val="Normal"/></w:pPr>
<w:r><w:t xml:space="preserve">1648, and that before 1690 the records were in confusion, must</w:t></w:r>
</w:p>
<w:p>
<w:pPr><w:pStyle w:val="Normal"/></w:pPr>
<w:r><w:t xml:space="preserve">be qualified by the correction that there are in existence</w:t></w:r>
</w:p>
<w:p>
<w:pPr><w:pStyle w:val="Normal"/></w:pPr>
<w:r><w:t xml:space="preserve">prize sentences (on paper, not parchment) as early as 1589.</w:t></w:r>
</w:p>
<w:p>
<w:pPr><w:pStyle w:val="Normal"/></w:pPr>
<w:r><w:t xml:space="preserve">Although the courts of common law hardly ever seem to have</w:t></w:r>
</w:p>
<w:p>
<w:pPr><w:pStyle w:val="Normal"/></w:pPr>
<w:r><w:t xml:space="preserve">interfered with or disputed the admiralty prize jurisdiction,</w:t></w:r>
</w:p>
<w:p>
<w:pPr><w:pStyle w:val="Normal"/></w:pPr>
<w:r><w:t xml:space="preserve">its exclusive nature was not finally admitted till 1782; but</w:t></w:r>
</w:p>
<w:p>
<w:pPr><w:pStyle w:val="Normal"/></w:pPr>
<w:r><w:t xml:space="preserve">long previously royal ordinances (1512, 1602) and statutes</w:t></w:r>
</w:p>
<w:p>
<w:pPr><w:pStyle w:val="Normal"/></w:pPr>
<w:r><w:t xml:space="preserve">(1661, giving an alternative of commissioners, 1670, 1706) had</w:t></w:r>
</w:p>
<w:p>
<w:pPr><w:pStyle w:val="Normal"/></w:pPr>
<w:r><w:t xml:space="preserve">given the Admiralty Court the only express jurisdiction over</w:t></w:r>
</w:p>
<w:p>
<w:pPr><w:pStyle w:val="Normal"/></w:pPr>
<w:r><w:t xml:space="preserve">prize.  The same statute of Anne and acts of 1739 and 1744 give</w:t></w:r>
</w:p>
<w:p>
<w:pPr><w:pStyle w:val="Normal"/></w:pPr>
<w:r><w:t xml:space="preserve">prize jurisdiction to any court of admiralty, and the courts</w:t></w:r>
</w:p>
<w:p>
<w:pPr><w:pStyle w:val="Normal"/></w:pPr>
<w:r><w:t xml:space="preserve">of admiralty for the colonies and plantations in North America.</w:t></w:r>
</w:p>
<w:p>
<w:pPr><w:pStyle w:val="Normal"/></w:pPr>
<w:r><w:t xml:space="preserve">It has been a disputed question whether the prize jurisdiction</w:t></w:r>
</w:p>
<w:p>
<w:pPr><w:pStyle w:val="Normal"/></w:pPr>
<w:r><w:t xml:space="preserve">of the court was inherent, i.e. coming within the powers</w:t></w:r>
</w:p>
<w:p>
<w:pPr><w:pStyle w:val="Normal"/></w:pPr>
<w:r><w:t xml:space="preserve">given by the general patent of the judge, in which no express</w:t></w:r>
</w:p>
<w:p>
<w:pPr><w:pStyle w:val="Normal"/></w:pPr>
<w:r><w:t xml:space="preserve">mention of it is made, or whether it required a special</w:t></w:r>
</w:p>
<w:p>
<w:pPr><w:pStyle w:val="Normal"/></w:pPr>
<w:r><w:t xml:space="preserve">commission.  Upon this subject the judgment of Lord Mansfield</w:t></w:r>
</w:p>
<w:p>
<w:pPr><w:pStyle w:val="Normal"/></w:pPr>
<w:r><w:t xml:space="preserve">in Lindo v. Rodney (1782, Dougl. 612), the judgment</w:t></w:r>
</w:p>
<w:p>
<w:pPr><w:pStyle w:val="Normal"/></w:pPr>
<w:r><w:t xml:space="preserve">of Mr Justice Story in De Lovio v. Boit (1815, 2</w:t></w:r>
</w:p>
<w:p>
<w:pPr><w:pStyle w:val="Normal"/></w:pPr>
<w:r><w:t xml:space="preserve">Gallison, 398), and Marsden&apos;s Select Pleas of the Court</w:t></w:r>
</w:p>
<w:p>
<w:pPr><w:pStyle w:val="Normal"/></w:pPr>
<w:r><w:t xml:space="preserve">of Admiralty (introduction), may be consulted.  But the</w:t></w:r>
</w:p>
<w:p>
<w:pPr><w:pStyle w:val="Normal"/></w:pPr>
<w:r><w:t xml:space="preserve">settled practice now and for a long time past has been</w:t></w:r>
</w:p>
<w:p>
<w:pPr><w:pStyle w:val="Normal"/></w:pPr>
<w:r><w:t xml:space="preserve">for a special commission and warrant to be issued for this</w:t></w:r>
</w:p>
<w:p>
<w:pPr><w:pStyle w:val="Normal"/></w:pPr>
<w:r><w:t xml:space="preserve">purpose.  In connexion with this it is observable that in</w:t></w:r>
</w:p>
<w:p>
<w:pPr><w:pStyle w:val="Normal"/></w:pPr>
<w:r><w:t xml:space="preserve">1793 the Admiralty Court of Ireland claimed to exercise</w:t></w:r>
</w:p>
<w:p>
<w:pPr><w:pStyle w:val="Normal"/></w:pPr>
<w:r><w:t xml:space="preserve">prize jurisdiction under its general patent; and it is said</w:t></w:r>
</w:p>
<w:p>
<w:pPr><w:pStyle w:val="Normal"/></w:pPr>
<w:r><w:t xml:space="preserve">to have been the opinion of Sir W. Wynne that the Admiralty</w:t></w:r>
</w:p>
<w:p>
<w:pPr><w:pStyle w:val="Normal"/></w:pPr>
<w:r><w:t xml:space="preserve">Court of Scotland had a similar right (Brown, Civil Law of</w:t></w:r>
</w:p>
<w:p>
<w:pPr><w:pStyle w:val="Normal"/></w:pPr>
<w:r><w:t xml:space="preserve">Admiralty, vol. ii. 211, 212).  Any jurisdiction of the</w:t></w:r>
</w:p>
<w:p>
<w:pPr><w:pStyle w:val="Normal"/></w:pPr>
<w:r><w:t xml:space="preserve">Scottish court over prize of war was transferred to the</w:t></w:r>
</w:p>
<w:p>
<w:pPr><w:pStyle w:val="Normal"/></w:pPr>
<w:r><w:t xml:space="preserve">English court by the Court of Session Act 1825, sec.  57. As</w:t></w:r>
</w:p>
<w:p>
<w:pPr><w:pStyle w:val="Normal"/></w:pPr>
<w:r><w:t xml:space="preserve">to the Irish court, by the Act of Union it was provided that</w:t></w:r>
</w:p>
<w:p>
<w:pPr><w:pStyle w:val="Normal"/></w:pPr>
<w:r><w:t xml:space="preserve">there should remain in Ireland an instance court of admiralty</w:t></w:r>
</w:p>
<w:p>
<w:pPr><w:pStyle w:val="Normal"/></w:pPr>
<w:r><w:t xml:space="preserve">for the determination of causes civil and maritime only.</w:t></w:r>
</w:p>
<w:p>
<w:pPr><w:pStyle w:val="Normal"/></w:pPr>
<w:r><w:t xml:space="preserve">In 1864 the constitution and procedure of prize courts,</w:t></w:r>
</w:p>
<w:p>
<w:pPr><w:pStyle w:val="Normal"/></w:pPr>
<w:r><w:t xml:space="preserve">which had until then been prescribed by occasional acts</w:t></w:r>
</w:p>
<w:p>
<w:pPr><w:pStyle w:val="Normal"/></w:pPr>
<w:r><w:t xml:space="preserve">passed for each war as it arose, were for the first time made</w:t></w:r>
</w:p>
<w:p>
<w:pPr><w:pStyle w:val="Normal"/></w:pPr>
<w:r><w:t xml:space="preserve">permanent by the Naval Prize Act, by which the High Court</w:t></w:r>
</w:p>
<w:p>
<w:pPr><w:pStyle w:val="Normal"/></w:pPr>
<w:r><w:t xml:space="preserve">of Admiralty and every admiralty or vice-admiralty court, or</w:t></w:r>
</w:p>
<w:p>
<w:pPr><w:pStyle w:val="Normal"/></w:pPr>
<w:r><w:t xml:space="preserve">any other court exercising admiralty jurisdiction in British</w:t></w:r>
</w:p>
<w:p>
<w:pPr><w:pStyle w:val="Normal"/></w:pPr>
<w:r><w:t xml:space="preserve">dominions, if for the time being authorized to exercise prize</w:t></w:r>
</w:p>
<w:p>
<w:pPr><w:pStyle w:val="Normal"/></w:pPr>
<w:r><w:t xml:space="preserve">jurisdiction, were made prize courts.  The High Court of</w:t></w:r>
</w:p>
<w:p>
<w:pPr><w:pStyle w:val="Normal"/></w:pPr>
<w:r><w:t xml:space="preserve">Admiralty was given jurisdiction throughout British dominions</w:t></w:r>
</w:p>
<w:p>
<w:pPr><w:pStyle w:val="Normal"/></w:pPr>
<w:r><w:t xml:space="preserve">as a prize court, and, as such, power to enforce any order</w:t></w:r>
</w:p>
<w:p>
<w:pPr><w:pStyle w:val="Normal"/></w:pPr>
<w:r><w:t xml:space="preserve">of a vice-admiralty prize court and the judicial committee</w:t></w:r>
</w:p>
<w:p>
<w:pPr><w:pStyle w:val="Normal"/></w:pPr>
<w:r><w:t xml:space="preserve">of the privy council in prize appeals-- this power mutatis</w:t></w:r>
</w:p>
<w:p>
<w:pPr><w:pStyle w:val="Normal"/></w:pPr>
<w:r><w:t xml:space="preserve">mutandis being also given to vice-admiralty prize courts.</w:t></w:r>
</w:p>
<w:p>
<w:pPr><w:pStyle w:val="Normal"/></w:pPr>
<w:r><w:t xml:space="preserve">An appeal was given from any prize court to the sovereign in</w:t></w:r>
</w:p>
<w:p>
<w:pPr><w:pStyle w:val="Normal"/></w:pPr>
<w:r><w:t xml:space="preserve">council.  Prize courts were given jurisdiction in cases of</w:t></w:r>
</w:p>
<w:p>
<w:pPr><w:pStyle w:val="Normal"/></w:pPr>
<w:r><w:t xml:space="preserve">captures made in a land expedition or an expedition made</w:t></w:r>
</w:p>
<w:p>
<w:pPr><w:pStyle w:val="Normal"/></w:pPr>
<w:r><w:t xml:space="preserve">conjointly with allied forces, and power to give prize salvage</w:t></w:r>
</w:p>
<w:p>
<w:pPr><w:pStyle w:val="Normal"/></w:pPr>
<w:r><w:t xml:space="preserve">on recaptured ships and prize bounty; and a form of procedure</w:t></w:r>
</w:p>
<w:p>
<w:pPr><w:pStyle w:val="Normal"/></w:pPr>
<w:r><w:t xml:space="preserve">was prescribed.  The High Court was also given exclusive</w:t></w:r>
</w:p>
<w:p>
<w:pPr><w:pStyle w:val="Normal"/></w:pPr>
<w:r><w:t xml:space="preserve">jurisdiction as a prize court over questions of ransom</w:t></w:r>
</w:p>
<w:p>
<w:pPr><w:pStyle w:val="Normal"/></w:pPr>
<w:r><w:t xml:space="preserve">and petitions of right in prize cases, and power to punish</w:t></w:r>
</w:p>
<w:p>
<w:pPr><w:pStyle w:val="Normal"/></w:pPr>
<w:r><w:t xml:space="preserve">masters of ships under convoy disobeying orders or deserting</w:t></w:r>
</w:p>
<w:p>
<w:pPr><w:pStyle w:val="Normal"/></w:pPr>
<w:r><w:t xml:space="preserve">convoy.  By the Naval Discipline Act 1866, power to award</w:t></w:r>
</w:p>
<w:p>
<w:pPr><w:pStyle w:val="Normal"/></w:pPr>
<w:r><w:t xml:space="preserve">damages to convoyed ships exposed to danger by the fault of</w:t></w:r>
</w:p>
<w:p>
<w:pPr><w:pStyle w:val="Normal"/></w:pPr>
<w:r><w:t xml:space="preserve">the officer in charge of the convoy was also given to the High</w:t></w:r>
</w:p>
<w:p>
<w:pPr><w:pStyle w:val="Normal"/></w:pPr>
<w:r><w:t xml:space="preserve">Court.  Under other statutes it had power to try questions</w:t></w:r>
</w:p>
<w:p>
<w:pPr><w:pStyle w:val="Normal"/></w:pPr>
<w:r><w:t xml:space="preserve">of booty of war when referred to it by the crown, in the</w:t></w:r>
</w:p>
<w:p>
<w:pPr><w:pStyle w:val="Normal"/></w:pPr>
<w:r><w:t xml:space="preserve">same way as prize causes, and claims of king&apos;s ships for</w:t></w:r>
</w:p>
<w:p>
<w:pPr><w:pStyle w:val="Normal"/></w:pPr>
<w:r><w:t xml:space="preserve">salvage on recaptures from pirates, which could be condemned</w:t></w:r>
</w:p>
<w:p>
<w:pPr><w:pStyle w:val="Normal"/></w:pPr>
<w:r><w:t xml:space="preserve">as droits of admiralty, subject to the owner&apos;s right to</w:t></w:r>
</w:p>
<w:p>
<w:pPr><w:pStyle w:val="Normal"/></w:pPr>
<w:r><w:t xml:space="preserve">receive them on paying one-eighth of the value, and also</w:t></w:r>
</w:p>
<w:p>
<w:pPr><w:pStyle w:val="Normal"/></w:pPr>
<w:r><w:t xml:space="preserve">power to seize and restore prizes captured by belligerents</w:t></w:r>
</w:p>
<w:p>
<w:pPr><w:pStyle w:val="Normal"/></w:pPr>
<w:r><w:t xml:space="preserve">in violation of British neutrality, or by a ship equipped in</w:t></w:r>
</w:p>
<w:p>
<w:pPr><w:pStyle w:val="Normal"/></w:pPr>
<w:r><w:t xml:space="preserve">British ports contrary to British obligations of neutrality.</w:t></w:r>
</w:p>
<w:p>
<w:pPr><w:pStyle w:val="Normal"/></w:pPr>
<w:r><w:t xml:space="preserve">All jurisdiction of the High Court of Admiralty has since</w:t></w:r>
</w:p>
<w:p>
<w:pPr><w:pStyle w:val="Normal"/></w:pPr>
<w:r><w:t xml:space="preserve">passed to the High Court of Justice, which is made a prize</w:t></w:r>
</w:p>
<w:p>
<w:pPr><w:pStyle w:val="Normal"/></w:pPr>
<w:r><w:t xml:space="preserve">court under the Naval Prize Act, with all the powers of the</w:t></w:r>
</w:p>
<w:p>
<w:pPr><w:pStyle w:val="Normal"/></w:pPr>
<w:r><w:t xml:space="preserve">Admiralty Court in that respect; and all prize causes and</w:t></w:r>
</w:p>
<w:p>
<w:pPr><w:pStyle w:val="Normal"/></w:pPr>
<w:r><w:t xml:space="preserve">matters within the jurisdiction of that court as a prize</w:t></w:r>
</w:p>
<w:p>
<w:pPr><w:pStyle w:val="Normal"/></w:pPr>
<w:r><w:t xml:space="preserve">court are assigned to the Probate, Divorce and Admiralty</w:t></w:r>
</w:p>
<w:p>
<w:pPr><w:pStyle w:val="Normal"/></w:pPr>
<w:r><w:t xml:space="preserve">Division; and an appeal from it as a prize court lies only</w:t></w:r>
</w:p>
<w:p>
<w:pPr><w:pStyle w:val="Normal"/></w:pPr>
<w:r><w:t xml:space="preserve">to the king in council (Judicature Acts 1873 and 1891).</w:t></w:r>
</w:p>
<w:p>
<w:pPr><w:pStyle w:val="Normal"/></w:pPr>
<w:r><w:t xml:space="preserve">By an act of 1894 further provision is made for the constitution</w:t></w:r>
</w:p>
<w:p>
<w:pPr><w:pStyle w:val="Normal"/></w:pPr>
<w:r><w:t xml:space="preserve">of prize courts in British possessions.  A commission, warrant</w:t></w:r>
</w:p>
<w:p>
<w:pPr><w:pStyle w:val="Normal"/></w:pPr>
<w:r><w:t xml:space="preserve">or instruction from the crown or the admiralty may be issued</w:t></w:r>
</w:p>
<w:p>
<w:pPr><w:pStyle w:val="Normal"/></w:pPr>
<w:r><w:t xml:space="preserve">at any time, even in peace; and upon such issue, subject to</w:t></w:r>
</w:p>
<w:p>
<w:pPr><w:pStyle w:val="Normal"/></w:pPr>
<w:r><w:t xml:space="preserve">instructions from the crown, the vice-admiral of the possessions</w:t></w:r>
</w:p>
<w:p>
<w:pPr><w:pStyle w:val="Normal"/></w:pPr>
<w:r><w:t xml:space="preserve">on being satisfied by information from a secretary of state</w:t></w:r>
</w:p>
<w:p>
<w:pPr><w:pStyle w:val="Normal"/></w:pPr>
<w:r><w:t xml:space="preserve">that war has broken out between Great Britain and a foreign</w:t></w:r>
</w:p>
<w:p>
<w:pPr><w:pStyle w:val="Normal"/></w:pPr>
<w:r><w:t xml:space="preserve">state, may make proclamation to that effect, and the commission</w:t></w:r>
</w:p>
<w:p>
<w:pPr><w:pStyle w:val="Normal"/></w:pPr>
<w:r><w:t xml:space="preserve">or warrant comes into effect.  The commission or warrant</w:t></w:r>
</w:p>
<w:p>
<w:pPr><w:pStyle w:val="Normal"/></w:pPr>
<w:r><w:t xml:space="preserve">may authorize a vice-admiralty court or colonial court of</w:t></w:r>
</w:p>
<w:p>
<w:pPr><w:pStyle w:val="Normal"/></w:pPr>
<w:r><w:t xml:space="preserve">admiralty to act as a prize court, or establish a vice-admiralty</w:t></w:r>
</w:p>
<w:p>
<w:pPr><w:pStyle w:val="Normal"/></w:pPr>
<w:r><w:t xml:space="preserve">court for that purpose, and may be revoked or altered at any</w:t></w:r>
</w:p>
<w:p>
<w:pPr><w:pStyle w:val="Normal"/></w:pPr>
<w:r><w:t xml:space="preserve">time.  The court is authorized to act as a prize court during</w:t></w:r>
</w:p>
<w:p>
<w:pPr><w:pStyle w:val="Normal"/></w:pPr>
<w:r><w:t xml:space="preserve">the war, and shall after its conclusion continue to act as</w:t></w:r>
</w:p>
<w:p>
<w:pPr><w:pStyle w:val="Normal"/></w:pPr>
<w:r><w:t xml:space="preserve">such, and finally dispose of all matters and things arising</w:t></w:r>
</w:p>
<w:p>
<w:pPr><w:pStyle w:val="Normal"/></w:pPr>
<w:r><w:t xml:space="preserve">during the war, including all penalties and forfeitures incurred</w:t></w:r>
</w:p>
<w:p>
<w:pPr><w:pStyle w:val="Normal"/></w:pPr>
<w:r><w:t xml:space="preserve">therein.  Rules of court may also be made by order in council</w:t></w:r>
</w:p>
<w:p>
<w:pPr><w:pStyle w:val="Normal"/></w:pPr>
<w:r><w:t xml:space="preserve">for regulating, subject to the Naval Prize Act, the procedure</w:t></w:r>
</w:p>
<w:p>
<w:pPr><w:pStyle w:val="Normal"/></w:pPr>
<w:r><w:t xml:space="preserve">and practice of prize courts under that act, the duties and</w:t></w:r>
</w:p>
<w:p>
<w:pPr><w:pStyle w:val="Normal"/></w:pPr>
<w:r><w:t xml:space="preserve">conduct of their officers and practitioners, and the fees</w:t></w:r>
</w:p>
<w:p>
<w:pPr><w:pStyle w:val="Normal"/></w:pPr>
<w:r><w:t xml:space="preserve">and costs therein (Prize Courts Act 1894, sec. sec. 2, 3). This</w:t></w:r>
</w:p>
<w:p>
<w:pPr><w:pStyle w:val="Normal"/></w:pPr>
<w:r><w:t xml:space="preserve">latter power has been exercised; and prize rules for the</w:t></w:r>
</w:p>
<w:p>
<w:pPr><w:pStyle w:val="Normal"/></w:pPr>
<w:r><w:t xml:space="preserve">High Court of Justice and the vice- admiralty prize courts</w:t></w:r>
</w:p>
<w:p>
<w:pPr><w:pStyle w:val="Normal"/></w:pPr>
<w:r><w:t xml:space="preserve">were framed in 1898 (Statutory Rules and Orders, 1898).</w:t></w:r>
</w:p>
<w:p>
<w:pPr><w:pStyle w:val="Normal"/></w:pPr>
<w:r><w:t xml:space="preserve">AUTHORITIES.--Marsden, Select Pleas of the Court of</w:t></w:r>
</w:p>
<w:p>
<w:pPr><w:pStyle w:val="Normal"/></w:pPr>
<w:r><w:t xml:space="preserve">Admiralty, Selden Society, London, 1892 and 1897; Zouch,</w:t></w:r>
</w:p>
<w:p>
<w:pPr><w:pStyle w:val="Normal"/></w:pPr>
<w:r><w:t xml:space="preserve">Jurisdiction of the Admiralty of England asserted; Robinson,</w:t></w:r>
</w:p>
<w:p>
<w:pPr><w:pStyle w:val="Normal"/></w:pPr>
<w:r><w:t xml:space="preserve">Collectanea Maritima; Brown, Admiralty; Edwardes, Admiralty;</w:t></w:r>
</w:p>
<w:p>
<w:pPr><w:pStyle w:val="Normal"/></w:pPr>
<w:r><w:t xml:space="preserve">Phillimore, International Law, vol. i., vol. iii. part xi.;</w:t></w:r>
</w:p>
<w:p>
<w:pPr><w:pStyle w:val="Normal"/></w:pPr>
<w:r><w:t xml:space="preserve">Pritchard, Admiralty Digest, tit.  Jurisdiction. (W. G. F. P.)</w:t></w:r>
</w:p>
<w:p>
<w:pPr><w:pStyle w:val="Normal"/></w:pPr>
<w:r><w:t xml:space="preserve">UNITED STATES The source of admiralty jurisdiction in</w:t></w:r>
</w:p>
<w:p>
<w:pPr><w:pStyle w:val="Normal"/></w:pPr>
<w:r><w:t xml:space="preserve">the United States is Article 3, sec.  2 of the United States</w:t></w:r>
</w:p>
<w:p>
<w:pPr><w:pStyle w:val="Normal"/></w:pPr>
<w:r><w:t xml:space="preserve">Constitution:--``The judicial power shall extend to all</w:t></w:r>
</w:p>
<w:p>
<w:pPr><w:pStyle w:val="Normal"/></w:pPr>
<w:r><w:t xml:space="preserve">cases of admiralty and maritime jurisdiction.&apos;&apos; The United</w:t></w:r>
</w:p>
<w:p>
<w:pPr><w:pStyle w:val="Normal"/></w:pPr>
<w:r><w:t xml:space="preserve">States Supreme Court has declared that by virtue of these</w:t></w:r>
</w:p>
<w:p>
<w:pPr><w:pStyle w:val="Normal"/></w:pPr>
<w:r><w:t xml:space="preserve">words the admiralty jurisdiction extends not only to the</w:t></w:r>
</w:p>
<w:p>
<w:pPr><w:pStyle w:val="Normal"/></w:pPr>
<w:r><w:t xml:space="preserve">high seas but to the great lakes and the rivers connecting</w:t></w:r>
</w:p>
<w:p>
<w:pPr><w:pStyle w:val="Normal"/></w:pPr>
<w:r><w:t xml:space="preserve">them, and to all public navigable waters in the United</w:t></w:r>
</w:p>
<w:p>
<w:pPr><w:pStyle w:val="Normal"/></w:pPr>
<w:r><w:t xml:space="preserve">States (the ``Genesee Chief&apos;&apos; v. Fitz Hugh, 12 Howards</w:t></w:r>
</w:p>
<w:p>
<w:pPr><w:pStyle w:val="Normal"/></w:pPr>
<w:r><w:t xml:space="preserve">U.S. Rep. 443), including even interstate canals (Ex.</w:t></w:r>
</w:p>
<w:p>
<w:pPr><w:pStyle w:val="Normal"/></w:pPr>
<w:r><w:t xml:space="preserve">p.  Boyer, 109 U.S. Rep. 629, the ``Robert W. Parsons,&apos;&apos;</w:t></w:r>
</w:p>
<w:p>
<w:pPr><w:pStyle w:val="Normal"/></w:pPr>
<w:r><w:t xml:space="preserve">[1903] 191 U.S. 17), and is not confined to tide waters.  The</w:t></w:r>
</w:p>
<w:p>
<w:pPr><w:pStyle w:val="Normal"/></w:pPr>
<w:r><w:t xml:space="preserve">American colonies had vice-admiralty courts with an admiralty</w:t></w:r>
</w:p>
<w:p>
<w:pPr><w:pStyle w:val="Normal"/></w:pPr>
<w:r><w:t xml:space="preserve">jurisdiction equal to the largest claimed by the English</w:t></w:r>
</w:p>
<w:p>
<w:pPr><w:pStyle w:val="Normal"/></w:pPr>
<w:r><w:t xml:space="preserve">admiralty courts even under Edward III. When they became</w:t></w:r>
</w:p>
<w:p>
<w:pPr><w:pStyle w:val="Normal"/></w:pPr>
<w:r><w:t xml:space="preserve">states they delegated to the federal government their several</w:t></w:r>
</w:p>
<w:p>
<w:pPr><w:pStyle w:val="Normal"/></w:pPr>
<w:r><w:t xml:space="preserve">``admiralty and maritime jurisdiction,&apos;&apos; using these words</w:t></w:r>
</w:p>
<w:p>
<w:pPr><w:pStyle w:val="Normal"/></w:pPr>
<w:r><w:t xml:space="preserve">in the sense understood in every country in Europe, England</w:t></w:r>
</w:p>
<w:p>
<w:pPr><w:pStyle w:val="Normal"/></w:pPr>
<w:r><w:t xml:space="preserve">excepted, and in the sense in which they had then been used</w:t></w:r>
</w:p>
<w:p>
<w:pPr><w:pStyle w:val="Normal"/></w:pPr>
<w:r><w:t xml:space="preserve">in the colonies for a long time, and without reference to</w:t></w:r>
</w:p>
<w:p>
<w:pPr><w:pStyle w:val="Normal"/></w:pPr>
<w:r><w:t xml:space="preserve">the very narrow jurisdiction of the English admiralty courts</w:t></w:r>
</w:p>
<w:p>
<w:pPr><w:pStyle w:val="Normal"/></w:pPr>
<w:r><w:t xml:space="preserve">then existing (Waring v. Clark, 5 Howards U.S. Rep. 441).</w:t></w:r>
</w:p>
<w:p>
<w:pPr><w:pStyle w:val="Normal"/></w:pPr>
<w:r><w:t xml:space="preserve">It is settled as to the United States admiralty jurisdiction</w:t></w:r>
</w:p>
<w:p>
<w:pPr><w:pStyle w:val="Normal"/></w:pPr>
<w:r><w:t xml:space="preserve">not that it is ``co-equal with that of the original English,</w:t></w:r>
</w:p>
<w:p>
<w:pPr><w:pStyle w:val="Normal"/></w:pPr>
<w:r><w:t xml:space="preserve">or that of continental European admiralty, but is rather that</w:t></w:r>
</w:p>
<w:p>
<w:pPr><w:pStyle w:val="Normal"/></w:pPr>
<w:r><w:t xml:space="preserve">defined by the statutes of Richard II., under the construction</w:t></w:r>
</w:p>
<w:p>
<w:pPr><w:pStyle w:val="Normal"/></w:pPr>
<w:r><w:t xml:space="preserve">given to them by contemporary or immediately subsequent courts</w:t></w:r>
</w:p>
<w:p>
<w:pPr><w:pStyle w:val="Normal"/></w:pPr>
<w:r><w:t xml:space="preserve">of admiralty&apos;&apos; (2 Parsons Adm. 176), and that it embraced all</w:t></w:r>
</w:p>
<w:p>
<w:pPr><w:pStyle w:val="Normal"/></w:pPr>
<w:r><w:t xml:space="preserve">maritime contracts, torts, injuries or offences (De Lovio v.</w:t></w:r>
</w:p>
<w:p>
<w:pPr><w:pStyle w:val="Normal"/></w:pPr>
<w:r><w:t xml:space="preserve">Boit, 2 Gallisons Rep. 398; Waring v. Clark, 5 Howards</w:t></w:r>
</w:p>
<w:p>
<w:pPr><w:pStyle w:val="Normal"/></w:pPr>
<w:r><w:t xml:space="preserve">U.S. Rep. 441), and that it has never been restricted by the</w:t></w:r>
</w:p>
<w:p>
<w:pPr><w:pStyle w:val="Normal"/></w:pPr>
<w:r><w:t xml:space="preserve">action of the common law courts as in England under Lord Coke (2</w:t></w:r>
</w:p>
<w:p>
<w:pPr><w:pStyle w:val="Normal"/></w:pPr>
<w:r><w:t xml:space="preserve">Parsons Adm. 166 n.; Waring v. Clark; De Lovio v. Bolt.)</w:t></w:r>
</w:p>
<w:p>
<w:pPr><w:pStyle w:val="Normal"/></w:pPr>
<w:r><w:t xml:space="preserve">Original admiralty jurisdiction was by the Judiciary Act of 1789</w:t></w:r>
</w:p>
<w:p>
<w:pPr><w:pStyle w:val="Normal"/></w:pPr>
<w:r><w:t xml:space="preserve">(U.S.  Rev. Stats. sec.  563) granted to the United States district</w:t></w:r>
</w:p>
<w:p>
<w:pPr><w:pStyle w:val="Normal"/></w:pPr>
<w:r><w:t xml:space="preserve">courts exclusively, except that concurrent original jurisdiction</w:t></w:r>
</w:p>
<w:p>
<w:pPr><w:pStyle w:val="Normal"/></w:pPr>
<w:r><w:t xml:space="preserve">was given to United States circuit courts over seizures for</w:t></w:r>
</w:p>
<w:p>
<w:pPr><w:pStyle w:val="Normal"/></w:pPr>
<w:r><w:t xml:space="preserve">slave trading, and condemnations of property used by persons</w:t></w:r>
</w:p>
<w:p>
<w:pPr><w:pStyle w:val="Normal"/></w:pPr>
<w:r><w:t xml:space="preserve">in insurrection (sec.  629; sec.  5309), and in the coolie trade</w:t></w:r>
</w:p>
<w:p>
<w:pPr><w:pStyle w:val="Normal"/></w:pPr>
<w:r><w:t xml:space="preserve">(sec.  2159), and by the act of the 3rd of March 1901; the supreme</w:t></w:r>
</w:p>
<w:p>
<w:pPr><w:pStyle w:val="Normal"/></w:pPr>
<w:r><w:t xml:space="preserve">court of the District of Columbia is given the same jurisdiction</w:t></w:r>
</w:p>
<w:p>
<w:pPr><w:pStyle w:val="Normal"/></w:pPr>
<w:r><w:t xml:space="preserve">as the district and circuit courts.  The Supreme Court of</w:t></w:r>
</w:p>
<w:p>
<w:pPr><w:pStyle w:val="Normal"/></w:pPr>
<w:r><w:t xml:space="preserve">the United States has no original jurisdiction in admiralty.</w:t></w:r>
</w:p>
<w:p>
<w:pPr><w:pStyle w:val="Normal"/></w:pPr>
<w:r><w:t xml:space="preserve">All suits are brought in the first instance in the district</w:t></w:r>
</w:p>
<w:p>
<w:pPr><w:pStyle w:val="Normal"/></w:pPr>
<w:r><w:t xml:space="preserve">court.  Appeals lie, both on the law and on the facts, from</w:t></w:r>
</w:p>
<w:p>
<w:pPr><w:pStyle w:val="Normal"/></w:pPr>
<w:r><w:t xml:space="preserve">a final decree of that court to the circuit court of appeals</w:t></w:r>
</w:p>
<w:p>
<w:pPr><w:pStyle w:val="Normal"/></w:pPr>
<w:r><w:t xml:space="preserve">only, except in cases involving the jurisdiction of the court,</w:t></w:r>
</w:p>
<w:p>
<w:pPr><w:pStyle w:val="Normal"/></w:pPr>
<w:r><w:t xml:space="preserve">the constitutionality of a law of any state or of the United</w:t></w:r>
</w:p>
<w:p>
<w:pPr><w:pStyle w:val="Normal"/></w:pPr>
<w:r><w:t xml:space="preserve">States, or the validity or construction of any treaty of the</w:t></w:r>
</w:p>
<w:p>
<w:pPr><w:pStyle w:val="Normal"/></w:pPr>
<w:r><w:t xml:space="preserve">United States, and except cases of prize and capital or infamous</w:t></w:r>
</w:p>
<w:p>
<w:pPr><w:pStyle w:val="Normal"/></w:pPr>
<w:r><w:t xml:space="preserve">crime, in which cases of appeal lies directly to the supreme</w:t></w:r>
</w:p>
<w:p>
<w:pPr><w:pStyle w:val="Normal"/></w:pPr>
<w:r><w:t xml:space="preserve">court.  In cases of gravity and importance the Supreme Court</w:t></w:r>
</w:p>
<w:p>
<w:pPr><w:pStyle w:val="Normal"/></w:pPr>
<w:r><w:t xml:space="preserve">may by certiorari review the judgment of the circuit court</w:t></w:r>
</w:p>
<w:p>
<w:pPr><w:pStyle w:val="Normal"/></w:pPr>
<w:r><w:t xml:space="preserve">of appeals, but such cases are rare (re Lau Ow Bew, 141</w:t></w:r>
</w:p>
<w:p>
<w:pPr><w:pStyle w:val="Normal"/></w:pPr>
<w:r><w:t xml:space="preserve">U.S. Rep 587; Benedict&apos;s The American Admiralty, sec.  607).</w:t></w:r>
</w:p>
<w:p>
<w:pPr><w:pStyle w:val="Normal"/></w:pPr>
<w:r><w:t xml:space="preserve">Formerly the Judiciary Act authorized an appeal from the</w:t></w:r>
</w:p>
<w:p>
<w:pPr><w:pStyle w:val="Normal"/></w:pPr>
<w:r><w:t xml:space="preserve">district court to the circuit court, and thence to the Supreme</w:t></w:r>
</w:p>
<w:p>
<w:pPr><w:pStyle w:val="Normal"/></w:pPr>
<w:r><w:t xml:space="preserve">Court.  But the act of the 3rd of March 1891 (Ch. 517)</w:t></w:r>
</w:p>
<w:p>
<w:pPr><w:pStyle w:val="Normal"/></w:pPr>
<w:r><w:t xml:space="preserve">abolished this and created the circuit court of appeals, making</w:t></w:r>
</w:p>
<w:p>
<w:pPr><w:pStyle w:val="Normal"/></w:pPr>
<w:r><w:t xml:space="preserve">it the final appellate court in admiralty, except as above</w:t></w:r>
</w:p>
<w:p>
<w:pPr><w:pStyle w:val="Normal"/></w:pPr>
<w:r><w:t xml:space="preserve">stated.  In any case where the district judge is unable to</w:t></w:r>
</w:p>
<w:p>
<w:pPr><w:pStyle w:val="Normal"/></w:pPr>
<w:r><w:t xml:space="preserve">perform his duties or is disqualified by reason of interest</w:t></w:r>
</w:p>
<w:p>
<w:pPr><w:pStyle w:val="Normal"/></w:pPr>
<w:r><w:t xml:space="preserve">or of relationship, or has acted as counsel for one of the</w:t></w:r>
</w:p>
<w:p>
<w:pPr><w:pStyle w:val="Normal"/></w:pPr>
<w:r><w:t xml:space="preserve">parties to the action, it may be removed to the circuit</w:t></w:r>
</w:p>
<w:p>
<w:pPr><w:pStyle w:val="Normal"/></w:pPr>
<w:r><w:t xml:space="preserve">court in that district (U.S.  Rev. Stats. sec. sec.  587, 589 and</w:t></w:r>
</w:p>
<w:p>
<w:pPr><w:pStyle w:val="Normal"/></w:pPr>
<w:r><w:t xml:space="preserve">601).  These are now the only cases in which admiralty suits</w:t></w:r>
</w:p>
<w:p>
<w:pPr><w:pStyle w:val="Normal"/></w:pPr>
<w:r><w:t xml:space="preserve">can come before the circuit court (Benedict&apos;s Adm. sec.  321).</w:t></w:r>
</w:p>
<w:p>
<w:pPr><w:pStyle w:val="Normal"/></w:pPr>
<w:r><w:t xml:space="preserve">The subject matter in cases of contract determines the</w:t></w:r>
</w:p>
<w:p>
<w:pPr><w:pStyle w:val="Normal"/></w:pPr>
<w:r><w:t xml:space="preserve">jurisdiction (the ``General Smith,&apos;&apos; 4 Wheaton U.S. Rep.</w:t></w:r>
</w:p>
<w:p>
<w:pPr><w:pStyle w:val="Normal"/></w:pPr>
<w:r><w:t xml:space="preserve">438), and not the presence or absence of tide, salt water,</w:t></w:r>
</w:p>
<w:p>
<w:pPr><w:pStyle w:val="Normal"/></w:pPr>
<w:r><w:t xml:space="preserve">current, nor that the water be an inland basin or land-locked,</w:t></w:r>
</w:p>
<w:p>
<w:pPr><w:pStyle w:val="Normal"/></w:pPr>
<w:r><w:t xml:space="preserve">or a river, nor by its being a harbour, or a port within</w:t></w:r>
</w:p>
<w:p>
<w:pPr><w:pStyle w:val="Normal"/></w:pPr>
<w:r><w:t xml:space="preserve">the body of the county, nor that a remedy exists at common</w:t></w:r>
</w:p>
<w:p>
<w:pPr><w:pStyle w:val="Normal"/></w:pPr>
<w:r><w:t xml:space="preserve">law.  The admiralty courts have jurisdiction over all</w:t></w:r>
</w:p>
<w:p>
<w:pPr><w:pStyle w:val="Normal"/></w:pPr>
<w:r><w:t xml:space="preserve">matters that concern owners and proprietors of ships as</w:t></w:r>
</w:p>
<w:p>
<w:pPr><w:pStyle w:val="Normal"/></w:pPr>
<w:r><w:t xml:space="preserve">such; possessory actions and petitory actions to try title</w:t></w:r>
</w:p>
<w:p>
<w:pPr><w:pStyle w:val="Normal"/></w:pPr>
<w:r><w:t xml:space="preserve">of a ship; cases of mariners&apos; wages, wharfage, dockage,</w:t></w:r>
</w:p>
<w:p>
<w:pPr><w:pStyle w:val="Normal"/></w:pPr>
<w:r><w:t xml:space="preserve">lighterage, stevedores, contracts of affreightment, charter</w:t></w:r>
</w:p>
<w:p>
<w:pPr><w:pStyle w:val="Normal"/></w:pPr>
<w:r><w:t xml:space="preserve">parties, rights of passengers as such (the ``Moses Taylor,&apos;&apos;</w:t></w:r>
</w:p>
<w:p>
<w:pPr><w:pStyle w:val="Normal"/></w:pPr>
<w:r><w:t xml:space="preserve">71 U.S. Rep. 411), pilotage, towage, maritime liens and</w:t></w:r>
</w:p>
<w:p>
<w:pPr><w:pStyle w:val="Normal"/></w:pPr>
<w:r><w:t xml:space="preserve">loans, bottomry, respondentia and hypothecation of ship and</w:t></w:r>
</w:p>
<w:p>
<w:pPr><w:pStyle w:val="Normal"/></w:pPr>
<w:r><w:t xml:space="preserve">cargo, marine insurance, average, jettison, demurrage,</w:t></w:r>
</w:p>
<w:p>
<w:pPr><w:pStyle w:val="Normal"/></w:pPr>
<w:r><w:t xml:space="preserve">collisions, consortship, bounties, survey and sale of vessel,</w:t></w:r>
</w:p>
<w:p>
<w:pPr><w:pStyle w:val="Normal"/></w:pPr>
<w:r><w:t xml:space="preserve">salvage; seizures under the laws of impost navigation or</w:t></w:r>
</w:p>
<w:p>
<w:pPr><w:pStyle w:val="Normal"/></w:pPr>
<w:r><w:t xml:space="preserve">trade, cases of prize, ransom, condemnation, restitution</w:t></w:r>
</w:p>
<w:p>
<w:pPr><w:pStyle w:val="Normal"/></w:pPr>
<w:r><w:t xml:space="preserve">and damages; assaults, batteries, damages and trespasses on</w:t></w:r>
</w:p>
<w:p>
<w:pPr><w:pStyle w:val="Normal"/></w:pPr>
<w:r><w:t xml:space="preserve">the high seas and navigable waters of the United States; but</w:t></w:r>
</w:p>
<w:p>
<w:pPr><w:pStyle w:val="Normal"/></w:pPr>
<w:r><w:t xml:space="preserve">not suits in rem for duties (Benedict&apos;s Adm. sec.  303a).</w:t></w:r>
</w:p>
<w:p>
<w:pPr><w:pStyle w:val="Normal"/></w:pPr>
<w:r><w:t xml:space="preserve">The U.S. Supreme Court has held in Peoples Ferry Co. v. Beers,</w:t></w:r>
</w:p>
<w:p>
<w:pPr><w:pStyle w:val="Normal"/></w:pPr>
<w:r><w:t xml:space="preserve">20 Howards U.S. Rep. 393, and in a series of subsequent cases</w:t></w:r>
</w:p>
<w:p>
<w:pPr><w:pStyle w:val="Normal"/></w:pPr>
<w:r><w:t xml:space="preserve">that a contract to build a vessel is not a maritime contract (the</w:t></w:r>
</w:p>
<w:p>
<w:pPr><w:pStyle w:val="Normal"/></w:pPr>
<w:r><w:t xml:space="preserve">``Robert W. Parsons&apos;&apos;).  Contracts to furnish cargo for ships</w:t></w:r>
</w:p>
<w:p>
<w:pPr><w:pStyle w:val="Normal"/></w:pPr>
<w:r><w:t xml:space="preserve">and to furnish ships to carry the cargoes are maritime contracts</w:t></w:r>
</w:p>
<w:p>
<w:pPr><w:pStyle w:val="Normal"/></w:pPr>
<w:r><w:t xml:space="preserve">(Graham v. Oregon R. &amp; N. Co., [1905] 135 Fed. Rep. 608).</w:t></w:r>
</w:p>
<w:p>
<w:pPr><w:pStyle w:val="Normal"/></w:pPr>
<w:r><w:t xml:space="preserve">Whenever there is a maritime lien, even though created by</w:t></w:r>
</w:p>
<w:p>
<w:pPr><w:pStyle w:val="Normal"/></w:pPr>
<w:r><w:t xml:space="preserve">state statute as to a ship in her home port, it may be enforced</w:t></w:r>
</w:p>
<w:p>
<w:pPr><w:pStyle w:val="Normal"/></w:pPr>
<w:r><w:t xml:space="preserve">by suit in rem in admiralty in the federal courts (the ``</w:t></w:r>
</w:p>
<w:p>
<w:pPr><w:pStyle w:val="Normal"/></w:pPr>
<w:r><w:t xml:space="preserve">General . Smith&apos;&apos;; the ``Lottawanna,&apos;&apos; 21 Wallace Rep.</w:t></w:r>
</w:p>
<w:p>
<w:pPr><w:pStyle w:val="Normal"/></w:pPr>
<w:r><w:t xml:space="preserve">558, Benedict&apos;s Adm. sec.  270).  In all suits by material men</w:t></w:r>
</w:p>
<w:p>
<w:pPr><w:pStyle w:val="Normal"/></w:pPr>
<w:r><w:t xml:space="preserve">for supplies and repairs or other necessaries for a foreign</w:t></w:r>
</w:p>
<w:p>
<w:pPr><w:pStyle w:val="Normal"/></w:pPr>
<w:r><w:t xml:space="preserve">ship, the libellant may proceed against the ship and freight</w:t></w:r>
</w:p>
<w:p>
<w:pPr><w:pStyle w:val="Normal"/></w:pPr>
<w:r><w:t xml:space="preserve">in rem or against the master or owner in personam (12th</w:t></w:r>
</w:p>
<w:p>
<w:pPr><w:pStyle w:val="Normal"/></w:pPr>
<w:r><w:t xml:space="preserve">Admiralty Rule; Benedict&apos;s Adm. sec.  268; the ``General</w:t></w:r>
</w:p>
<w:p>
<w:pPr><w:pStyle w:val="Normal"/></w:pPr>
<w:r><w:t xml:space="preserve">Smith&apos;&apos;).  Actions in rem and in personam may be joined</w:t></w:r>
</w:p>
<w:p>
<w:pPr><w:pStyle w:val="Normal"/></w:pPr>
<w:r><w:t xml:space="preserve">in the same libel (Newell v. Norton, 3 Wallace 257; the</w:t></w:r>
</w:p>
<w:p>
<w:pPr><w:pStyle w:val="Normal"/></w:pPr>
<w:r><w:t xml:space="preserve">``Normandie,&apos;&apos; 40 Fed. Rep. 590).  But a contract to furnish</w:t></w:r>
</w:p>
<w:p>
<w:pPr><w:pStyle w:val="Normal"/></w:pPr>
<w:r><w:t xml:space="preserve">fishermen with clothing, tobacco and other personal effects</w:t></w:r>
</w:p>
<w:p>
<w:pPr><w:pStyle w:val="Normal"/></w:pPr>
<w:r><w:t xml:space="preserve">for use on a voyage is not a maritime contract, and a court</w:t></w:r>
</w:p>
<w:p>
<w:pPr><w:pStyle w:val="Normal"/></w:pPr>
<w:r><w:t xml:space="preserve">of admiralty has no jurisdiction to enforce it in rem (the</w:t></w:r>
</w:p>
<w:p>
<w:pPr><w:pStyle w:val="Normal"/></w:pPr>
<w:r><w:t xml:space="preserve">``May F. Chisholm,&apos;&apos; 1904; 129 Fed. Rep. 814).  The state</w:t></w:r>
</w:p>
<w:p>
<w:pPr><w:pStyle w:val="Normal"/></w:pPr>
<w:r><w:t xml:space="preserve">courts have no jurisdiction in rem over any maritime contract</w:t></w:r>
</w:p>
<w:p>
<w:pPr><w:pStyle w:val="Normal"/></w:pPr>
<w:r><w:t xml:space="preserve">or tort (the ``Lottawanna,&apos;&apos; the ``Belfast,&apos;&apos; 7 Wallace Rep.</w:t></w:r>
</w:p>
<w:p>
<w:pPr><w:pStyle w:val="Normal"/></w:pPr>
<w:r><w:t xml:space="preserve">624).  Admiralty jurisdiction in tort depends on locality;</w:t></w:r>
</w:p>
<w:p>
<w:pPr><w:pStyle w:val="Normal"/></w:pPr>
<w:r><w:t xml:space="preserve">it must have occurred on the high seas or other navigable</w:t></w:r>
</w:p>
<w:p>
<w:pPr><w:pStyle w:val="Normal"/></w:pPr>
<w:r><w:t xml:space="preserve">waters within admiralty cognizance (2 Farsons Adm. 347; the</w:t></w:r>
</w:p>
<w:p>
<w:pPr><w:pStyle w:val="Normal"/></w:pPr>
<w:r><w:t xml:space="preserve">``Plymouth,&apos;&apos; 3 Wallace Rep. 20; the ``Genesee Chief&apos;&apos; v.</w:t></w:r>
</w:p>
<w:p>
<w:pPr><w:pStyle w:val="Normal"/></w:pPr>
<w:r><w:t xml:space="preserve">Fitz-Hugh, the ``Blackheath,&apos;&apos; [1903] 122 Fed. Rep. 112).</w:t></w:r>
</w:p>
<w:p>
<w:pPr><w:pStyle w:val="Normal"/></w:pPr>
<w:r><w:t xml:space="preserve">The U.S. Supreme Court in the ``Harrisburg&apos;&apos; (119 U.S. 199)</w:t></w:r>
</w:p>
<w:p>
<w:pPr><w:pStyle w:val="Normal"/></w:pPr>
<w:r><w:t xml:space="preserve">and the ``Alaska&apos;&apos; (130 U.S. 207), after some conflict of</w:t></w:r>
</w:p>
<w:p>
<w:pPr><w:pStyle w:val="Normal"/></w:pPr>
<w:r><w:t xml:space="preserve">opinion, held that the admiralty courts have no jurisdiction</w:t></w:r>
</w:p>
<w:p>
<w:pPr><w:pStyle w:val="Normal"/></w:pPr>
<w:r><w:t xml:space="preserve">under the general admiralty law to try an action for damages</w:t></w:r>
</w:p>
<w:p>
<w:pPr><w:pStyle w:val="Normal"/></w:pPr>
<w:r><w:t xml:space="preserve">for negligence on the high seas, causing death of a human</w:t></w:r>
</w:p>
<w:p>
<w:pPr><w:pStyle w:val="Normal"/></w:pPr>
<w:r><w:t xml:space="preserve">being, while there was no act of Congress and no statute</w:t></w:r>
</w:p>
<w:p>
<w:pPr><w:pStyle w:val="Normal"/></w:pPr>
<w:r><w:t xml:space="preserve">of the state to which the vessel belonged giving such</w:t></w:r>
</w:p>
<w:p>
<w:pPr><w:pStyle w:val="Normal"/></w:pPr>
<w:r><w:t xml:space="preserve">right of action (Benedict&apos;s Adm. sec. sec.  275-309a), nor</w:t></w:r>
</w:p>
<w:p>
<w:pPr><w:pStyle w:val="Normal"/></w:pPr>
<w:r><w:t xml:space="preserve">where such statute is that of a foreign country (Rundell</w:t></w:r>
</w:p>
<w:p>
<w:pPr><w:pStyle w:val="Normal"/></w:pPr>
<w:r><w:t xml:space="preserve">v. Compagnie Generale, [1899] 94 Fed. Rep. 366).</w:t></w:r>
</w:p>
<w:p>
<w:pPr><w:pStyle w:val="Normal"/></w:pPr>
<w:r><w:t xml:space="preserve">Admiralty has jurisdiction in cases of spoliation and</w:t></w:r>
</w:p>
<w:p>
<w:pPr><w:pStyle w:val="Normal"/></w:pPr>
<w:r><w:t xml:space="preserve">piracy, collision and proceedings by owners to limit</w:t></w:r>
</w:p>
<w:p>
<w:pPr><w:pStyle w:val="Normal"/></w:pPr>
<w:r><w:t xml:space="preserve">their liability under U.S. Rev. Stats. sec. sec.  4281-9.</w:t></w:r>
</w:p>
<w:p>
<w:pPr><w:pStyle w:val="Normal"/></w:pPr>
<w:r><w:t xml:space="preserve">The United States admiralty courts have always had jurisdiction</w:t></w:r>
</w:p>
<w:p>
<w:pPr><w:pStyle w:val="Normal"/></w:pPr>
<w:r><w:t xml:space="preserve">in matters of prize (The Prize Cases, 2 Black U.S. Rep.</w:t></w:r>
</w:p>
<w:p>
<w:pPr><w:pStyle w:val="Normal"/></w:pPr>
<w:r><w:t xml:space="preserve">635).  The district courts have exclusive original jurisdiction</w:t></w:r>
</w:p>
<w:p>
<w:pPr><w:pStyle w:val="Normal"/></w:pPr>
<w:r><w:t xml:space="preserve">(except that circuit courts also have jurisdiction when prize</w:t></w:r>
</w:p>
<w:p>
<w:pPr><w:pStyle w:val="Normal"/></w:pPr>
<w:r><w:t xml:space="preserve">is taken from persons in insurrection), and the supreme court</w:t></w:r>
</w:p>
<w:p>
<w:pPr><w:pStyle w:val="Normal"/></w:pPr>
<w:r><w:t xml:space="preserve">of the District of Columbia now has concurrent jurisdiction</w:t></w:r>
</w:p>
<w:p>
<w:pPr><w:pStyle w:val="Normal"/></w:pPr>
<w:r><w:t xml:space="preserve">(U.S. v. Sampson, 1902, 187 U.S. 436) and appeals are direct</w:t></w:r>
</w:p>
<w:p>
<w:pPr><w:pStyle w:val="Normal"/></w:pPr>
<w:r><w:t xml:space="preserve">to the Supreme Court.  Special commissioners are appointed</w:t></w:r>
</w:p>
<w:p>
<w:pPr><w:pStyle w:val="Normal"/></w:pPr>
<w:r><w:t xml:space="preserve">on the breaking out of hostilities to act under the orders of</w:t></w:r>
</w:p>
<w:p>
<w:pPr><w:pStyle w:val="Normal"/></w:pPr>
<w:r><w:t xml:space="preserve">the district courts (U.S.  Rev. Stats. sec.  4621, Prize Rule 9;</w:t></w:r>
</w:p>
<w:p>
<w:pPr><w:pStyle w:val="Normal"/></w:pPr>
<w:r><w:t xml:space="preserve">Benedict&apos;s Adm. sec. 509; 680 Pieces Merchandise, 2 Sprague</w:t></w:r>
</w:p>
<w:p>
<w:pPr><w:pStyle w:val="Normal"/></w:pPr>
<w:r><w:t xml:space="preserve">233).  These commissioners take the depositions of witnesses</w:t></w:r>
</w:p>
<w:p>
<w:pPr><w:pStyle w:val="Normal"/></w:pPr>
<w:r><w:t xml:space="preserve">and report to the court the evidence upon which it adjudicates.</w:t></w:r>
</w:p>
<w:p>
<w:pPr><w:pStyle w:val="Normal"/></w:pPr>
<w:r><w:t xml:space="preserve">Proceedings in prize cases must be in conformity with admiralty</w:t></w:r>
</w:p>
<w:p>
<w:pPr><w:pStyle w:val="Normal"/></w:pPr>
<w:r><w:t xml:space="preserve">proceedings, where the seizure is on land (Union Insurance Co.</w:t></w:r>
</w:p>
<w:p>
<w:pPr><w:pStyle w:val="Normal"/></w:pPr>
<w:r><w:t xml:space="preserve">v. U.S., 6 Wallace 759; 2 Parsons Adm. 174).  The district</w:t></w:r>
</w:p>
<w:p>
<w:pPr><w:pStyle w:val="Normal"/></w:pPr>
<w:r><w:t xml:space="preserve">courts have all the powers of a court of admiralty whether</w:t></w:r>
</w:p>
<w:p>
<w:pPr><w:pStyle w:val="Normal"/></w:pPr>
<w:r><w:t xml:space="preserve">as instance or prize courts (Glass v. sloop ``Betsy,&apos;&apos;</w:t></w:r>
</w:p>
<w:p>
<w:pPr><w:pStyle w:val="Normal"/></w:pPr>
<w:r><w:t xml:space="preserve">3 Dallas 6). To adjudicate in matters of prize is one of the</w:t></w:r>
</w:p>
<w:p>
<w:pPr><w:pStyle w:val="Normal"/></w:pPr>
<w:r><w:t xml:space="preserve">ordinary functions of that court (Benedict&apos;s Adm. sec.  509).</w:t></w:r>
</w:p>
<w:p>
<w:pPr><w:pStyle w:val="Normal"/></w:pPr>
<w:r><w:t xml:space="preserve">The admiralty courts have jurisdiction over crimes and offences</w:t></w:r>
</w:p>
<w:p>
<w:pPr><w:pStyle w:val="Normal"/></w:pPr>
<w:r><w:t xml:space="preserve">committed upon vessels belonging to citizens of the United States</w:t></w:r>
</w:p>
<w:p>
<w:pPr><w:pStyle w:val="Normal"/></w:pPr>
<w:r><w:t xml:space="preserve">on the high seas or any arm of the sea or any waters within</w:t></w:r>
</w:p>
<w:p>
<w:pPr><w:pStyle w:val="Normal"/></w:pPr>
<w:r><w:t xml:space="preserve">the admiralty and maritime jurisdiction of the United States</w:t></w:r>
</w:p>
<w:p>
<w:pPr><w:pStyle w:val="Normal"/></w:pPr>
<w:r><w:t xml:space="preserve">(U.S.  Rev. Stats. sec.  5339).  High seas include the great</w:t></w:r>
</w:p>
<w:p>
<w:pPr><w:pStyle w:val="Normal"/></w:pPr>
<w:r><w:t xml:space="preserve">lakes ( U.S. v. Rogers, 150 U.S. 249). (J. A. BA.)</w:t></w:r>
</w:p>
<w:p>
<w:pPr><w:pStyle w:val="Normal"/></w:pPr>
<w:r><w:t xml:space="preserve">OTHER COUNTRIES</w:t></w:r>
</w:p>
<w:p>
<w:pPr><w:pStyle w:val="Normal"/></w:pPr>
<w:r><w:t xml:space="preserve">France, and countries following France.</w:t></w:r>
</w:p>
<w:p>
<w:pPr><w:pStyle w:val="Normal"/></w:pPr>
<w:r><w:t xml:space="preserve">In France, and in Belgium, Spain, Portugal, Italy and Greece</w:t></w:r>
</w:p>
<w:p>
<w:pPr><w:pStyle w:val="Normal"/></w:pPr>
<w:r><w:t xml:space="preserve">--countries which have adopted codes based on the Code</w:t></w:r>
</w:p>
<w:p>
<w:pPr><w:pStyle w:val="Normal"/></w:pPr>
<w:r><w:t xml:space="preserve">Napoleon--the civil, or, as it would have been formerly called</w:t></w:r>
</w:p>
<w:p>
<w:pPr><w:pStyle w:val="Normal"/></w:pPr>
<w:r><w:t xml:space="preserve">in England, the ``instance,&apos;&apos; jurisdiction of the admiralty</w:t></w:r>
</w:p>
<w:p>
<w:pPr><w:pStyle w:val="Normal"/></w:pPr>
<w:r><w:t xml:space="preserve">is exercised by the ordinary tribunals, and there are no</w:t></w:r>
</w:p>
<w:p>
<w:pPr><w:pStyle w:val="Normal"/></w:pPr>
<w:r><w:t xml:space="preserve">separate courts of admiralty for this purpose.  France and</w:t></w:r>
</w:p>
<w:p>
<w:pPr><w:pStyle w:val="Normal"/></w:pPr>
<w:r><w:t xml:space="preserve">some other countries have special commercial tribunals, which</w:t></w:r>
</w:p>
<w:p>
<w:pPr><w:pStyle w:val="Normal"/></w:pPr>
<w:r><w:t xml:space="preserve">deal with shipping matters, but also with ordinary commercial</w:t></w:r>
</w:p>
<w:p>
<w:pPr><w:pStyle w:val="Normal"/></w:pPr>
<w:r><w:t xml:space="preserve">cases.  France has also tribunaux maritimes commerciaux</w:t></w:r>
</w:p>
<w:p>
<w:pPr><w:pStyle w:val="Normal"/></w:pPr>
<w:r><w:t xml:space="preserve">(Code disciplinaire et penal de la marine marchande du 24</w:t></w:r>
</w:p>
<w:p>
<w:pPr><w:pStyle w:val="Normal"/></w:pPr>
<w:r><w:t xml:space="preserve">mars 1852, loi du 11 mars 1891) to deal with maritime</w:t></w:r>
</w:p>
<w:p>
<w:pPr><w:pStyle w:val="Normal"/></w:pPr>
<w:r><w:t xml:space="preserve">offences.  Austria adopts the French law in commercial</w:t></w:r>
</w:p>
<w:p>
<w:pPr><w:pStyle w:val="Normal"/></w:pPr>
<w:r><w:t xml:space="preserve">matters.  Italy had tribunals of commerce, but has given them</w:t></w:r>
</w:p>
<w:p>
<w:pPr><w:pStyle w:val="Normal"/></w:pPr>
<w:r><w:t xml:space="preserve">up.  She has, however, by Art. 14 of her Merchant Shipping Code,</w:t></w:r>
</w:p>
<w:p>
<w:pPr><w:pStyle w:val="Normal"/></w:pPr>
<w:r><w:t xml:space="preserve">given jurisdiction to captains of ports to decide collision</w:t></w:r>
</w:p>
<w:p>
<w:pPr><w:pStyle w:val="Normal"/></w:pPr>
<w:r><w:t xml:space="preserve">cases when the sum in dispute does not exceed 200 lire.</w:t></w:r>
</w:p>
<w:p>
<w:pPr><w:pStyle w:val="Normal"/></w:pPr>
<w:r><w:t xml:space="preserve">Germany.</w:t></w:r>
</w:p>
<w:p>
<w:pPr><w:pStyle w:val="Normal"/></w:pPr>
<w:r><w:t xml:space="preserve">In Germany there are no special tribunals for admiralty matters.</w:t></w:r>
</w:p>
<w:p>
<w:pPr><w:pStyle w:val="Normal"/></w:pPr>
<w:r><w:t xml:space="preserve">Kammern fur Handelssachen, commercial courts, have been</w:t></w:r>
</w:p>
<w:p>
<w:pPr><w:pStyle w:val="Normal"/></w:pPr>
<w:r><w:t xml:space="preserve">established in Berlin and some of the principal seaports.  These</w:t></w:r>
</w:p>
<w:p>
<w:pPr><w:pStyle w:val="Normal"/></w:pPr>
<w:r><w:t xml:space="preserve">deal with shipping matters, but also with all other commercial suits.</w:t></w:r>
</w:p>
<w:p>
<w:pPr><w:pStyle w:val="Normal"/></w:pPr>
<w:r><w:t xml:space="preserve">Scandinavian nations.</w:t></w:r>
</w:p>
<w:p>
<w:pPr><w:pStyle w:val="Normal"/></w:pPr>
<w:r><w:t xml:space="preserve">In Denmark, Sweden and Norway there is a maritime code which</w:t></w:r>
</w:p>
<w:p>
<w:pPr><w:pStyle w:val="Normal"/></w:pPr>
<w:r><w:t xml:space="preserve">came into force in Sweden in 1891, in Denmark in 1892, and</w:t></w:r>
</w:p>
<w:p>
<w:pPr><w:pStyle w:val="Normal"/></w:pPr>
<w:r><w:t xml:space="preserve">in Norway in 1893.  This was intended to be one code for the</w:t></w:r>
</w:p>
<w:p>
<w:pPr><w:pStyle w:val="Normal"/></w:pPr>
<w:r><w:t xml:space="preserve">three countries; but each country as it finally adopted the</w:t></w:r>
</w:p>
<w:p>
<w:pPr><w:pStyle w:val="Normal"/></w:pPr>
<w:r><w:t xml:space="preserve">code made some modifications of its own.  Under this code</w:t></w:r>
</w:p>
<w:p>
<w:pPr><w:pStyle w:val="Normal"/></w:pPr>
<w:r><w:t xml:space="preserve">there are in Norway permanent maritime courts for each town</w:t></w:r>
</w:p>
<w:p>
<w:pPr><w:pStyle w:val="Normal"/></w:pPr>
<w:r><w:t xml:space="preserve">presided over by the judge of the inferior local civil court</w:t></w:r>
</w:p>
<w:p>
<w:pPr><w:pStyle w:val="Normal"/></w:pPr>
<w:r><w:t xml:space="preserve">(civile underdommer), or if there be more than one such</w:t></w:r>
</w:p>
<w:p>
<w:pPr><w:pStyle w:val="Normal"/></w:pPr>
<w:r><w:t xml:space="preserve">judge then by the president, with two assessors chosen out of a</w:t></w:r>
</w:p>
<w:p>
<w:pPr><w:pStyle w:val="Normal"/></w:pPr>
<w:r><w:t xml:space="preserve">list.  Temporary local courts, consisting of the same judge</w:t></w:r>
</w:p>
<w:p>
<w:pPr><w:pStyle w:val="Normal"/></w:pPr>
<w:r><w:t xml:space="preserve">with two other members of nautical skill and knowledge, can</w:t></w:r>
</w:p>
<w:p>
<w:pPr><w:pStyle w:val="Normal"/></w:pPr>
<w:r><w:t xml:space="preserve">be constituted in districts where there are no permanent</w:t></w:r>
</w:p>
<w:p>
<w:pPr><w:pStyle w:val="Normal"/></w:pPr>
<w:r><w:t xml:space="preserve">courts.  Appeals lie to the supreme court (Hoiesterei.)</w:t></w:r>
</w:p>
<w:p>
<w:pPr><w:pStyle w:val="Normal"/></w:pPr>
<w:r><w:t xml:space="preserve">In Denmark maritime cases are brought before the local</w:t></w:r>
</w:p>
<w:p>
<w:pPr><w:pStyle w:val="Normal"/></w:pPr>
<w:r><w:t xml:space="preserve">courts constituted for maritime and commercial causes</w:t></w:r>
</w:p>
<w:p>
<w:pPr><w:pStyle w:val="Normal"/></w:pPr>
<w:r><w:t xml:space="preserve">(So-og-Handelsret.) In Sweden maritime cases are brought</w:t></w:r>
</w:p>
<w:p>
<w:pPr><w:pStyle w:val="Normal"/></w:pPr>
<w:r><w:t xml:space="preserve">before local courts of first instance consisting of a</w:t></w:r>
</w:p>
<w:p>
<w:pPr><w:pStyle w:val="Normal"/></w:pPr>
<w:r><w:t xml:space="preserve">judge and assessors.  There is an intermediate appeal to</w:t></w:r>
</w:p>
<w:p>
<w:pPr><w:pStyle w:val="Normal"/></w:pPr>
<w:r><w:t xml:space="preserve">courts of second instance, and then to the supreme court,</w:t></w:r>
</w:p>
<w:p>
<w:pPr><w:pStyle w:val="Normal"/></w:pPr>
<w:r><w:t xml:space="preserve">which finally decides upon all causes civil and commercial.</w:t></w:r>
</w:p>
<w:p>
<w:pPr><w:pStyle w:val="Normal"/></w:pPr>
<w:r><w:t xml:space="preserve">Maritime cases in Holland are tried by the ordinary</w:t></w:r>
</w:p>
<w:p>
<w:pPr><w:pStyle w:val="Normal"/></w:pPr>
<w:r><w:t xml:space="preserve">civil tribunals, with the same right of appeal.</w:t></w:r>
</w:p>
<w:p>
<w:pPr><w:pStyle w:val="Normal"/></w:pPr>
<w:r><w:t xml:space="preserve">Prize jurisdiction.</w:t></w:r>
</w:p>
<w:p>
<w:pPr><w:pStyle w:val="Normal"/></w:pPr>
<w:r><w:t xml:space="preserve">``By the maritime law of nations universally and immemorially</w:t></w:r>
</w:p>
<w:p>
<w:pPr><w:pStyle w:val="Normal"/></w:pPr>
<w:r><w:t xml:space="preserve">received there is an established method of determination</w:t></w:r>
</w:p>
<w:p>
<w:pPr><w:pStyle w:val="Normal"/></w:pPr>
<w:r><w:t xml:space="preserve">whether the capture be or be not lawful prize.  Before the</w:t></w:r>
</w:p>
<w:p>
<w:pPr><w:pStyle w:val="Normal"/></w:pPr>
<w:r><w:t xml:space="preserve">ship or goods can be disposed of by the captor there must</w:t></w:r>
</w:p>
<w:p>
<w:pPr><w:pStyle w:val="Normal"/></w:pPr>
<w:r><w:t xml:space="preserve">be a regular judicial proceeding wherein both parties may</w:t></w:r>
</w:p>
<w:p>
<w:pPr><w:pStyle w:val="Normal"/></w:pPr>
<w:r><w:t xml:space="preserve">be heard and condemnation thereupon as prize in a court of</w:t></w:r>
</w:p>
<w:p>
<w:pPr><w:pStyle w:val="Normal"/></w:pPr>
<w:r><w:t xml:space="preserve">admiralty judging by the law of nations and treaties. . . .</w:t></w:r>
</w:p>
<w:p>
<w:pPr><w:pStyle w:val="Normal"/></w:pPr>
<w:r><w:t xml:space="preserve">If the sentence of the court of admiralty is thought to be</w:t></w:r>
</w:p>
<w:p>
<w:pPr><w:pStyle w:val="Normal"/></w:pPr>
<w:r><w:t xml:space="preserve">erroneous, there is in every maritime country a superior court</w:t></w:r>
</w:p>
<w:p>
<w:pPr><w:pStyle w:val="Normal"/></w:pPr>
<w:r><w:t xml:space="preserve">of review. . . .&apos;&apos; (duke of Newcastle&apos;s letter to M. Michell,</w:t></w:r>
</w:p>
<w:p>
<w:pPr><w:pStyle w:val="Normal"/></w:pPr>
<w:r><w:t xml:space="preserve">secretary to the embassy of the king of Prussia, 1753). ``So</w:t></w:r>
</w:p>
<w:p>
<w:pPr><w:pStyle w:val="Normal"/></w:pPr>
<w:r><w:t xml:space="preserve">far as belligerent states do not make a practice of giving</w:t></w:r>
</w:p>
<w:p>
<w:pPr><w:pStyle w:val="Normal"/></w:pPr>
<w:r><w:t xml:space="preserve">up the taking of booty at sea . . . they are required by</w:t></w:r>
</w:p>
<w:p>
<w:pPr><w:pStyle w:val="Normal"/></w:pPr>
<w:r><w:t xml:space="preserve">international law to establish prize tribunals and thus give to</w:t></w:r>
</w:p>
<w:p>
<w:pPr><w:pStyle w:val="Normal"/></w:pPr>
<w:r><w:t xml:space="preserve">their proceedings in the matter of prize a judicial character&apos;&apos;</w:t></w:r>
</w:p>
<w:p>
<w:pPr><w:pStyle w:val="Normal"/></w:pPr>
<w:r><w:t xml:space="preserve">(v . Holtzendorff, Rechtslexikon, tit. ``Prisengerichte&apos;&apos;).</w:t></w:r>
</w:p>
<w:p>
<w:pPr><w:pStyle w:val="Normal"/></w:pPr>
<w:r><w:t xml:space="preserve">In France till the death of the duke of Montmorency in 1632</w:t></w:r>
</w:p>
<w:p>
<w:pPr><w:pStyle w:val="Normal"/></w:pPr>
<w:r><w:t xml:space="preserve">prize matters were adjudicated upon by the admiral.  The duke</w:t></w:r>
</w:p>
<w:p>
<w:pPr><w:pStyle w:val="Normal"/></w:pPr>
<w:r><w:t xml:space="preserve">had sold the office of admiral some years before his death to</w:t></w:r>
</w:p>
<w:p>
<w:pPr><w:pStyle w:val="Normal"/></w:pPr>
<w:r><w:t xml:space="preserve">Cardinal Richelieu; but about the period of the duke&apos;s death</w:t></w:r>
</w:p>
<w:p>
<w:pPr><w:pStyle w:val="Normal"/></w:pPr>
<w:r><w:t xml:space="preserve">the office of admiral appears to have been abolished, and one</w:t></w:r>
</w:p>
<w:p>
<w:pPr><w:pStyle w:val="Normal"/></w:pPr>
<w:r><w:t xml:space="preserve">of grand master of navigation established in lieu.  This new</w:t></w:r>
</w:p>
<w:p>
<w:pPr><w:pStyle w:val="Normal"/></w:pPr>
<w:r><w:t xml:space="preserve">office was first held by Cardinal Richelieu and continued till</w:t></w:r>
</w:p>
<w:p>
<w:pPr><w:pStyle w:val="Normal"/></w:pPr>
<w:r><w:t xml:space="preserve">1695.  The grand master took the admiral&apos;s place in matters</w:t></w:r>
</w:p>
<w:p>
<w:pPr><w:pStyle w:val="Normal"/></w:pPr>
<w:r><w:t xml:space="preserve">of prize; but in 1659 a commission of councillors of state</w:t></w:r>
</w:p>
<w:p>
<w:pPr><w:pStyle w:val="Normal"/></w:pPr>
<w:r><w:t xml:space="preserve">and masters of requests was appointed to assist the grand</w:t></w:r>
</w:p>
<w:p>
<w:pPr><w:pStyle w:val="Normal"/></w:pPr>
<w:r><w:t xml:space="preserve">master and form a Conseil des Prises. From this conseil</w:t></w:r>
</w:p>
<w:p>
<w:pPr><w:pStyle w:val="Normal"/></w:pPr>
<w:r><w:t xml:space="preserve">there was an appeal to the Conseil d&apos;Etat. When the office</w:t></w:r>
</w:p>
<w:p>
<w:pPr><w:pStyle w:val="Normal"/></w:pPr>
<w:r><w:t xml:space="preserve">of admiral was restored in 1695 he exercised his jurisdiction</w:t></w:r>
</w:p>
<w:p>
<w:pPr><w:pStyle w:val="Normal"/></w:pPr>
<w:r><w:t xml:space="preserve">in prize matters with the assistance of the Conseil des</w:t></w:r>
</w:p>
<w:p>
<w:pPr><w:pStyle w:val="Normal"/></w:pPr>
<w:r><w:t xml:space="preserve">Prises. The appeal was then given to the Conseil Royal des</w:t></w:r>
</w:p>
<w:p>
<w:pPr><w:pStyle w:val="Normal"/></w:pPr>
<w:r><w:t xml:space="preserve">Finances. The Ordonnance sur la marine of August 1681</w:t></w:r>
</w:p>
<w:p>
<w:pPr><w:pStyle w:val="Normal"/></w:pPr>
<w:r><w:t xml:space="preserve">regulated the procedure.  This system continued till the</w:t></w:r>
</w:p>
<w:p>
<w:pPr><w:pStyle w:val="Normal"/></w:pPr>
<w:r><w:t xml:space="preserve">Revolution.  The last Conseil des Prises was appointed in</w:t></w:r>
</w:p>
<w:p>
<w:pPr><w:pStyle w:val="Normal"/></w:pPr>
<w:r><w:t xml:space="preserve">1778.  A law of the 14th of February 1793 abolished the</w:t></w:r>
</w:p>
<w:p>
<w:pPr><w:pStyle w:val="Normal"/></w:pPr>
<w:r><w:t xml:space="preserve">Conseil des Prises and gave cognizance of prize matters</w:t></w:r>
</w:p>
<w:p>
<w:pPr><w:pStyle w:val="Normal"/></w:pPr>
<w:r><w:t xml:space="preserve">``provisionally&apos;&apos; to the tribunals of commerce.  On the 8th</w:t></w:r>
</w:p>
<w:p>
<w:pPr><w:pStyle w:val="Normal"/></w:pPr>
<w:r><w:t xml:space="preserve">of November 1793 (18 Brumaire, an II.) this jurisdiction</w:t></w:r>
</w:p>
<w:p>
<w:pPr><w:pStyle w:val="Normal"/></w:pPr>
<w:r><w:t xml:space="preserve">was taken from the tribunals of commerce and given to the</w:t></w:r>
</w:p>
<w:p>
<w:pPr><w:pStyle w:val="Normal"/></w:pPr>
<w:r><w:t xml:space="preserve">Conseil Executif. Later it was given to the Comite de</w:t></w:r>
</w:p>
<w:p>
<w:pPr><w:pStyle w:val="Normal"/></w:pPr>
<w:r><w:t xml:space="preserve">Salut Public. On the 25th of October 1795 (3 Brumaire,</w:t></w:r>
</w:p>
<w:p>
<w:pPr><w:pStyle w:val="Normal"/></w:pPr>
<w:r><w:t xml:space="preserve">an IV.) the jurisdiction was restored to the tribunals of</w:t></w:r>
</w:p>
<w:p>
<w:pPr><w:pStyle w:val="Normal"/></w:pPr>
<w:r><w:t xml:space="preserve">commerce.  This was again altered on the 27th of March 1800 (6</w:t></w:r>
</w:p>
<w:p>
<w:pPr><w:pStyle w:val="Normal"/></w:pPr>
<w:r><w:t xml:space="preserve">Germinal, an VIII.), when a Conseil des Prises was established,</w:t></w:r>
</w:p>
<w:p>
<w:pPr><w:pStyle w:val="Normal"/></w:pPr>
<w:r><w:t xml:space="preserve">consisting of nine councillors of state, a commissary of the</w:t></w:r>
</w:p>
<w:p>
<w:pPr><w:pStyle w:val="Normal"/></w:pPr>
<w:r><w:t xml:space="preserve">government and a secretary, all nominated by the First Consul.</w:t></w:r>
</w:p>
<w:p>
<w:pPr><w:pStyle w:val="Normal"/></w:pPr>
<w:r><w:t xml:space="preserve">On the 11th of June 1806 an appeal was given to the Conseil</w:t></w:r>
</w:p>
<w:p>
<w:pPr><w:pStyle w:val="Normal"/></w:pPr>
<w:r><w:t xml:space="preserve">d&apos;Etat. It was disputed among French jurists whether the</w:t></w:r>
</w:p>
<w:p>
<w:pPr><w:pStyle w:val="Normal"/></w:pPr>
<w:r><w:t xml:space="preserve">Conseil des Prises was to be considered as a body actuated</w:t></w:r>
</w:p>
<w:p>
<w:pPr><w:pStyle w:val="Normal"/></w:pPr>
<w:r><w:t xml:space="preserve">only by political considerations or one exercising what</w:t></w:r>
</w:p>
<w:p>
<w:pPr><w:pStyle w:val="Normal"/></w:pPr>
<w:r><w:t xml:space="preserve">the French term an ``administrative jurisdiction&apos;&apos;; which</w:t></w:r>
</w:p>
<w:p>
<w:pPr><w:pStyle w:val="Normal"/></w:pPr>
<w:r><w:t xml:space="preserve">is, as nearly as a parallel to it can be found in England,</w:t></w:r>
</w:p>
<w:p>
<w:pPr><w:pStyle w:val="Normal"/></w:pPr>
<w:r><w:t xml:space="preserve">administration of justice between individuals and the state.</w:t></w:r>
</w:p>
<w:p>
<w:pPr><w:pStyle w:val="Normal"/></w:pPr>
<w:r><w:t xml:space="preserve">As most of the cases arising out of the great wars had</w:t></w:r>
</w:p>
<w:p>
<w:pPr><w:pStyle w:val="Normal"/></w:pPr>
<w:r><w:t xml:space="preserve">been dealt with, an ordinance of the 9th of January 1815</w:t></w:r>
</w:p>
<w:p>
<w:pPr><w:pStyle w:val="Normal"/></w:pPr>
<w:r><w:t xml:space="preserve">suppressed the Conseil des Prises and directed the Comite</w:t></w:r>
</w:p>
<w:p>
<w:pPr><w:pStyle w:val="Normal"/></w:pPr>
<w:r><w:t xml:space="preserve">du contentieux of the Conseil d&apos;Etat to prepare the</w:t></w:r>
</w:p>
<w:p>
<w:pPr><w:pStyle w:val="Normal"/></w:pPr>
<w:r><w:t xml:space="preserve">remaining prize matters for decision by the Conseil d&apos;Etat.</w:t></w:r>
</w:p>
<w:p>
<w:pPr><w:pStyle w:val="Normal"/></w:pPr>
<w:r><w:t xml:space="preserve">Such prize matters (probably including captures for trading</w:t></w:r>
</w:p>
<w:p>
<w:pPr><w:pStyle w:val="Normal"/></w:pPr>
<w:r><w:t xml:space="preserve">in slaves) as required to be dealt with till 1854, appear</w:t></w:r>
</w:p>
<w:p>
<w:pPr><w:pStyle w:val="Normal"/></w:pPr>
<w:r><w:t xml:space="preserve">to have been dealt with by this body; an ordinance of the</w:t></w:r>
</w:p>
<w:p>
<w:pPr><w:pStyle w:val="Normal"/></w:pPr>
<w:r><w:t xml:space="preserve">9th of September 1831 directing that the proceedings before</w:t></w:r>
</w:p>
<w:p>
<w:pPr><w:pStyle w:val="Normal"/></w:pPr>
<w:r><w:t xml:space="preserve">the Conseil d&apos;Etat should be private, was held to show</w:t></w:r>
</w:p>
<w:p>
<w:pPr><w:pStyle w:val="Normal"/></w:pPr>
<w:r><w:t xml:space="preserve">that the jurisdiction was not political but administrative.</w:t></w:r>
</w:p>
<w:p>
<w:pPr><w:pStyle w:val="Normal"/></w:pPr>
<w:r><w:t xml:space="preserve">An Imperial decree, however, of the 18th of July 1854 restored</w:t></w:r>
</w:p>
<w:p>
<w:pPr><w:pStyle w:val="Normal"/></w:pPr>
<w:r><w:t xml:space="preserve">the Conseil des Prises, with appeal to the Conseil d&apos;Etat.</w:t></w:r>
</w:p>
<w:p>
<w:pPr><w:pStyle w:val="Normal"/></w:pPr>
<w:r><w:t xml:space="preserve">This was for the war with Russia.  A similar decree was published</w:t></w:r>
</w:p>
<w:p>
<w:pPr><w:pStyle w:val="Normal"/></w:pPr>
<w:r><w:t xml:space="preserve">on the 9th of May 1859 for the war with Austria in Italy.</w:t></w:r>
</w:p>
<w:p>
<w:pPr><w:pStyle w:val="Normal"/></w:pPr>
<w:r><w:t xml:space="preserve">On the 28th of November 1861 a further decree ordered that</w:t></w:r>
</w:p>
<w:p>
<w:pPr><w:pStyle w:val="Normal"/></w:pPr>
<w:r><w:t xml:space="preserve">the Conseil instituted in 1859 should so long as it was</w:t></w:r>
</w:p>
<w:p>
<w:pPr><w:pStyle w:val="Normal"/></w:pPr>
<w:r><w:t xml:space="preserve">kept in being decide all prize matters; and this Conseil</w:t></w:r>
</w:p>
<w:p>
<w:pPr><w:pStyle w:val="Normal"/></w:pPr>
<w:r><w:t xml:space="preserve">has decided on prizes taken in the wars with Mexico and</w:t></w:r>
</w:p>
<w:p>
<w:pPr><w:pStyle w:val="Normal"/></w:pPr>
<w:r><w:t xml:space="preserve">Germany and in Cochin China.  It consists of seven judges and</w:t></w:r>
</w:p>
<w:p>
<w:pPr><w:pStyle w:val="Normal"/></w:pPr>
<w:r><w:t xml:space="preserve">a commissary of the government.  An appeal to the government</w:t></w:r>
</w:p>
<w:p>
<w:pPr><w:pStyle w:val="Normal"/></w:pPr>
<w:r><w:t xml:space="preserve">in the Conseil d&apos;Etat can be brought within three months.</w:t></w:r>
</w:p>
<w:p>
<w:pPr><w:pStyle w:val="Normal"/></w:pPr>
<w:r><w:t xml:space="preserve">It is then decided by l&apos;Assemblee du Conseil d&apos;Etat.</w:t></w:r>
</w:p>
<w:p>
<w:pPr><w:pStyle w:val="Normal"/></w:pPr>
<w:r><w:t xml:space="preserve">Under the First Empire there were commissions des ports,</w:t></w:r>
</w:p>
<w:p>
<w:pPr><w:pStyle w:val="Normal"/></w:pPr>
<w:r><w:t xml:space="preserve">commissions colonials and commissions consulaires,</w:t></w:r>
</w:p>
<w:p>
<w:pPr><w:pStyle w:val="Normal"/></w:pPr>
<w:r><w:t xml:space="preserve">established mainly to collect materials for the Conseil des</w:t></w:r>
</w:p>
<w:p>
<w:pPr><w:pStyle w:val="Normal"/></w:pPr>
<w:r><w:t xml:space="preserve">Prises, but sometimes, when the ship and cargo were clearly</w:t></w:r>
</w:p>
<w:p>
<w:pPr><w:pStyle w:val="Normal"/></w:pPr>
<w:r><w:t xml:space="preserve">those of the enemy, proceeding to actual condemnation.</w:t></w:r>
</w:p>
<w:p>
<w:pPr><w:pStyle w:val="Normal"/></w:pPr>
<w:r><w:t xml:space="preserve">In Prussia Regulations of the 20th of June 1864 established a</w:t></w:r>
</w:p>
<w:p>
<w:pPr><w:pStyle w:val="Normal"/></w:pPr>
<w:r><w:t xml:space="preserve">prize council consisting of a president and six associates with</w:t></w:r>
</w:p>
<w:p>
<w:pPr><w:pStyle w:val="Normal"/></w:pPr>
<w:r><w:t xml:space="preserve">a law officer.  An appeal was given to an upper prize council</w:t></w:r>
</w:p>
<w:p>
<w:pPr><w:pStyle w:val="Normal"/></w:pPr>
<w:r><w:t xml:space="preserve">(v. Holtzendorff, Rechtslexikon, tit. ``Prisengerichte&apos;&apos;).</w:t></w:r>
</w:p>
<w:p>
<w:pPr><w:pStyle w:val="Normal"/></w:pPr>
<w:r><w:t xml:space="preserve">By a law of the German empire of the 3rd of May 1884 the</w:t></w:r>
</w:p>
<w:p>
<w:pPr><w:pStyle w:val="Normal"/></w:pPr>
<w:r><w:t xml:space="preserve">legality of prizes made during war has to be decided by prize</w:t></w:r>
</w:p>
<w:p>
<w:pPr><w:pStyle w:val="Normal"/></w:pPr>
<w:r><w:t xml:space="preserve">courts, and the imperial government is authorized to determine</w:t></w:r>
</w:p>
<w:p>
<w:pPr><w:pStyle w:val="Normal"/></w:pPr>
<w:r><w:t xml:space="preserve">the particulars as to the seat of such courts, their members and</w:t></w:r>
</w:p>
<w:p>
<w:pPr><w:pStyle w:val="Normal"/></w:pPr>
<w:r><w:t xml:space="preserve">their proceedings (Reichsgesetzblatt of 1884, p. 49). Prize</w:t></w:r>
</w:p>
<w:p>
<w:pPr><w:pStyle w:val="Normal"/></w:pPr>
<w:r><w:t xml:space="preserve">courts were established under this law on the occasion of the East</w:t></w:r>
</w:p>
<w:p>
<w:pPr><w:pStyle w:val="Normal"/></w:pPr>
<w:r><w:t xml:space="preserve">African blockade in 1889 (Reichsgesetzblatt of 1889, pp. 5 sqq.).</w:t></w:r>
</w:p>
<w:p>
<w:pPr><w:pStyle w:val="Normal"/></w:pPr>
<w:r><w:t xml:space="preserve">In Italy Art. 14 of the Merchant Shipping Code provides</w:t></w:r>
</w:p>
<w:p>
<w:pPr><w:pStyle w:val="Normal"/></w:pPr>
<w:r><w:t xml:space="preserve">that prize matters shall be tried by a special commission</w:t></w:r>
</w:p>
<w:p>
<w:pPr><w:pStyle w:val="Normal"/></w:pPr>
<w:r><w:t xml:space="preserve">established by royal decree.  On the occasion of the war with</w:t></w:r>
</w:p>
<w:p>
<w:pPr><w:pStyle w:val="Normal"/></w:pPr>
<w:r><w:t xml:space="preserve">Austria such a special commission was established by royal</w:t></w:r>
</w:p>
<w:p>
<w:pPr><w:pStyle w:val="Normal"/></w:pPr>
<w:r><w:t xml:space="preserve">decree of the 20th of June 1866.  For the war with Abyssinia</w:t></w:r>
</w:p>
<w:p>
<w:pPr><w:pStyle w:val="Normal"/></w:pPr>
<w:r><w:t xml:space="preserve">a fresh commission was established by royal decree of the 16th</w:t></w:r>
</w:p>
<w:p>
<w:pPr><w:pStyle w:val="Normal"/></w:pPr>
<w:r><w:t xml:space="preserve">of August 1896.  The composition of this commission, which</w:t></w:r>
</w:p>
<w:p>
<w:pPr><w:pStyle w:val="Normal"/></w:pPr>
<w:r><w:t xml:space="preserve">was slightly different in character from that established in</w:t></w:r>
</w:p>
<w:p>
<w:pPr><w:pStyle w:val="Normal"/></w:pPr>
<w:r><w:t xml:space="preserve">1866, was as follows: (a) a first president of a court of</w:t></w:r>
</w:p>
<w:p>
<w:pPr><w:pStyle w:val="Normal"/></w:pPr>
<w:r><w:t xml:space="preserve">appeal or a retired one, or a president of a section of the</w:t></w:r>
</w:p>
<w:p>
<w:pPr><w:pStyle w:val="Normal"/></w:pPr>
<w:r><w:t xml:space="preserve">council of state or of cassation; (b) two general officers</w:t></w:r>
</w:p>
<w:p>
<w:pPr><w:pStyle w:val="Normal"/></w:pPr>
<w:r><w:t xml:space="preserve">of the navy; (c) a member of the ``contentious part&apos;&apos; of</w:t></w:r>
</w:p>
<w:p>
<w:pPr><w:pStyle w:val="Normal"/></w:pPr>
<w:r><w:t xml:space="preserve">the diplomatic service; (d) two councillors of a court of</w:t></w:r>
</w:p>
<w:p>
<w:pPr><w:pStyle w:val="Normal"/></w:pPr>
<w:r><w:t xml:space="preserve">appeal; (e) a captain of a port, with a commissary of the</w:t></w:r>
</w:p>
<w:p>
<w:pPr><w:pStyle w:val="Normal"/></w:pPr>
<w:r><w:t xml:space="preserve">government and a secretary; five to be a quorum.  There was no</w:t></w:r>
</w:p>
<w:p>
<w:pPr><w:pStyle w:val="Normal"/></w:pPr>
<w:r><w:t xml:space="preserve">appeal; but the ordinary right to have recourse to the Court</w:t></w:r>
</w:p>
<w:p>
<w:pPr><w:pStyle w:val="Normal"/></w:pPr>
<w:r><w:t xml:space="preserve">of Cassation at Rome, if the prize commission proceeded without</w:t></w:r>
</w:p>
<w:p>
<w:pPr><w:pStyle w:val="Normal"/></w:pPr>
<w:r><w:t xml:space="preserve">jurisdiction or in excess of jurisdiction, was preserved.</w:t></w:r>
</w:p>
<w:p>
<w:pPr><w:pStyle w:val="Normal"/></w:pPr>
<w:r><w:t xml:space="preserve">By an ordinance of the 27th of March 1895 regulating the whole</w:t></w:r>
</w:p>
<w:p>
<w:pPr><w:pStyle w:val="Normal"/></w:pPr>
<w:r><w:t xml:space="preserve">matter of prize in Russia, two sorts of prize tribunals of</w:t></w:r>
</w:p>
<w:p>
<w:pPr><w:pStyle w:val="Normal"/></w:pPr>
<w:r><w:t xml:space="preserve">first instance were contemplated--port tribunals and fleet</w:t></w:r>
</w:p>
<w:p>
<w:pPr><w:pStyle w:val="Normal"/></w:pPr>
<w:r><w:t xml:space="preserve">tribunals.  The latter are for captures made by ships of the</w:t></w:r>
</w:p>
<w:p>
<w:pPr><w:pStyle w:val="Normal"/></w:pPr>
<w:r><w:t xml:space="preserve">fleet, and are to be composed of some of the principal officers</w:t></w:r>
</w:p>
<w:p>
<w:pPr><w:pStyle w:val="Normal"/></w:pPr>
<w:r><w:t xml:space="preserve">of the fleet.  The former are to have presidents named by the</w:t></w:r>
</w:p>
<w:p>
<w:pPr><w:pStyle w:val="Normal"/></w:pPr>
<w:r><w:t xml:space="preserve">emperor from among those ``qui font partie de l&apos;administration</w:t></w:r>
</w:p>
<w:p>
<w:pPr><w:pStyle w:val="Normal"/></w:pPr>
<w:r><w:t xml:space="preserve">maritime judiciaire&apos;&apos;; the other members are to be appointed</w:t></w:r>
</w:p>
<w:p>
<w:pPr><w:pStyle w:val="Normal"/></w:pPr>
<w:r><w:t xml:space="preserve">by the ministers of the navy, justice and foreign affairs.</w:t></w:r>
</w:p>
<w:p>
<w:pPr><w:pStyle w:val="Normal"/></w:pPr>
<w:r><w:t xml:space="preserve">The court of appeal is formed by the council of the admiralty</w:t></w:r>
</w:p>
<w:p>
<w:pPr><w:pStyle w:val="Normal"/></w:pPr>
<w:r><w:t xml:space="preserve">with the addition of two members of the senate and a nominee</w:t></w:r>
</w:p>
<w:p>
<w:pPr><w:pStyle w:val="Normal"/></w:pPr>
<w:r><w:t xml:space="preserve">of the minister of foreign affairs (Clunet, 1904, p. 271).</w:t></w:r>
</w:p>
<w:p>
<w:pPr><w:pStyle w:val="Normal"/></w:pPr>
<w:r><w:t xml:space="preserve">On the occasion of the Russo-Japanese war, port tribunals were</w:t></w:r>
</w:p>
<w:p>
<w:pPr><w:pStyle w:val="Normal"/></w:pPr>
<w:r><w:t xml:space="preserve">established under the authority of this ordinance by the lord</w:t></w:r>
</w:p>
<w:p>
<w:pPr><w:pStyle w:val="Normal"/></w:pPr>
<w:r><w:t xml:space="preserve">high admiral, the Grand Duke Alexis, on the 13th of March 1904,</w:t></w:r>
</w:p>
<w:p>
<w:pPr><w:pStyle w:val="Normal"/></w:pPr>
<w:r><w:t xml:space="preserve">at Sebastopol--Port Alexander III., Port Arthur and Vladivostock</w:t></w:r>
</w:p>
<w:p>
<w:pPr><w:pStyle w:val="Normal"/></w:pPr>
<w:r><w:t xml:space="preserve">(Clunet, 1904, p. 479; London Gazette, 22nd March 1904).</w:t></w:r>
</w:p>
<w:p>
<w:pPr><w:pStyle w:val="Normal"/></w:pPr>
<w:r><w:t xml:space="preserve">Many cases were heard before these tribunals and on appeal.</w:t></w:r>
</w:p>
<w:p>
<w:pPr><w:pStyle w:val="Normal"/></w:pPr>
<w:r><w:t xml:space="preserve">The procedure in prize cases under the old law of Spain</w:t></w:r>
</w:p>
<w:p>
<w:pPr><w:pStyle w:val="Normal"/></w:pPr>
<w:r><w:t xml:space="preserve">is described in Abreu (Felix Joseph de Abreu y Bertodano),</w:t></w:r>
</w:p>
<w:p>
<w:pPr><w:pStyle w:val="Normal"/></w:pPr>
<w:r><w:t xml:space="preserve">Tratado juridico Politico sobre Presas de Mar (Cadiz,</w:t></w:r>
</w:p>
<w:p>
<w:pPr><w:pStyle w:val="Normal"/></w:pPr>
<w:r><w:t xml:space="preserve">1746).  On the occasion of the war with the United States</w:t></w:r>
</w:p>
<w:p>
<w:pPr><w:pStyle w:val="Normal"/></w:pPr>
<w:r><w:t xml:space="preserve">the Spanish government published a proclamation stating</w:t></w:r>
</w:p>
<w:p>
<w:pPr><w:pStyle w:val="Normal"/></w:pPr>
<w:r><w:t xml:space="preserve">the circumstances in which captures were to be made</w:t></w:r>
</w:p>
<w:p>
<w:pPr><w:pStyle w:val="Normal"/></w:pPr>
<w:r><w:t xml:space="preserve">and prizes taken; but information is lacking as to the</w:t></w:r>
</w:p>
<w:p>
<w:pPr><w:pStyle w:val="Normal"/></w:pPr>
<w:r><w:t xml:space="preserve">particular constitution of the prize court or courts.</w:t></w:r>
</w:p>
<w:p>
<w:pPr><w:pStyle w:val="Normal"/></w:pPr>
<w:r><w:t xml:space="preserve">In Greece prize questions are apparently left to be tried</w:t></w:r>
</w:p>
<w:p>
<w:pPr><w:pStyle w:val="Normal"/></w:pPr>
<w:r><w:t xml:space="preserve">by the ordinary tribunals.  See decision of Civil Tribunal</w:t></w:r>
</w:p>
<w:p>
<w:pPr><w:pStyle w:val="Normal"/></w:pPr>
<w:r><w:t xml:space="preserve">of Athens, 1898, No. 3385 (reported Clunet, 1900, p. 826).</w:t></w:r>
</w:p>
<w:p>
<w:pPr><w:pStyle w:val="Normal"/></w:pPr>
<w:r><w:t xml:space="preserve">Turkey during her war of 1877 with Russia established a prize</w:t></w:r>
</w:p>
<w:p>
<w:pPr><w:pStyle w:val="Normal"/></w:pPr>
<w:r><w:t xml:space="preserve">court and a court of appeal.  The ordinance establishing these</w:t></w:r>
</w:p>
<w:p>
<w:pPr><w:pStyle w:val="Normal"/></w:pPr>
<w:r><w:t xml:space="preserve">courts is set out in the London Gazette of the 6th of July 1877.</w:t></w:r>
</w:p>
<w:p>
<w:pPr><w:pStyle w:val="Normal"/></w:pPr>
<w:r><w:t xml:space="preserve">Japan established, in the war (1904-5) with Russia, prize</w:t></w:r>
</w:p>
<w:p>
<w:pPr><w:pStyle w:val="Normal"/></w:pPr>
<w:r><w:t xml:space="preserve">courts at Sasebo and Yokosco with a court of appeal at Tokyo.</w:t></w:r>
</w:p>
<w:p>
<w:pPr><w:pStyle w:val="Normal"/></w:pPr>
<w:r><w:t xml:space="preserve">Advocates were heard before these courts, and the procedure</w:t></w:r>
</w:p>
<w:p>
<w:pPr><w:pStyle w:val="Normal"/></w:pPr>
<w:r><w:t xml:space="preserve">seems generally to have been modelled upon European patterns.</w:t></w:r>
</w:p>
<w:p>
<w:pPr><w:pStyle w:val="Normal"/></w:pPr>
<w:r><w:t xml:space="preserve">AUTHORITIES.--Clunet, Journal du droit international prive,</w:t></w:r>
</w:p>
<w:p>
<w:pPr><w:pStyle w:val="Normal"/></w:pPr>
<w:r><w:t xml:space="preserve">cited shortly as Clunet; v.  Holzendorff, Rechtslexikon,</w:t></w:r>
</w:p>
<w:p>
<w:pPr><w:pStyle w:val="Normal"/></w:pPr>
<w:r><w:t xml:space="preserve">Leipzig, 1881; De Pistoye et Duverdy, Traite des prises</w:t></w:r>
</w:p>
<w:p>
<w:pPr><w:pStyle w:val="Normal"/></w:pPr>
<w:r><w:t xml:space="preserve">maritimes, Paris, 1855, vol. ii., tit. viii.; Phillimore,</w:t></w:r>
</w:p>
<w:p>
<w:pPr><w:pStyle w:val="Normal"/></w:pPr>
<w:r><w:t xml:space="preserve">International Law, vol. i., vol. iii. part xi.; Autran,</w:t></w:r>
</w:p>
<w:p>
<w:pPr><w:pStyle w:val="Normal"/></w:pPr>
<w:r><w:t xml:space="preserve">Code international de l&apos;abordage, de l&apos;assistance, et du</w:t></w:r>
</w:p>
<w:p>
<w:pPr><w:pStyle w:val="Normal"/></w:pPr>
<w:r><w:t xml:space="preserve">sauvetage maritimes, Paris, 1902; Raikes, The Maritime</w:t></w:r>
</w:p>
<w:p>
<w:pPr><w:pStyle w:val="Normal"/></w:pPr>
<w:r><w:t xml:space="preserve">Codes of Spain and Portugal (1896), of Holland and</w:t></w:r>
</w:p>
<w:p>
<w:pPr><w:pStyle w:val="Normal"/></w:pPr>
<w:r><w:t xml:space="preserve">Belgium (1898), of Italy (1900), London. (W. G. F. P.)</w:t></w:r>
</w:p>
<w:p>
<w:pPr><w:pStyle w:val="Normal"/></w:pPr>
<w:r><w:t xml:space="preserve">ADMISSION, in law, a statement made out of the witness-box</w:t></w:r>
</w:p>
<w:p>
<w:pPr><w:pStyle w:val="Normal"/></w:pPr>
<w:r><w:t xml:space="preserve">by a party to legal proceedings, whether civil or criminal,</w:t></w:r>
</w:p>
<w:p>
<w:pPr><w:pStyle w:val="Normal"/></w:pPr>
<w:r><w:t xml:space="preserve">or by some person whose statements are binding on that</w:t></w:r>
</w:p>
<w:p>
<w:pPr><w:pStyle w:val="Normal"/></w:pPr>
<w:r><w:t xml:space="preserve">party against the interest of that party. (See EVIDENCE.)</w:t></w:r>
</w:p>
<w:p>
<w:pPr><w:pStyle w:val="Normal"/></w:pPr>
<w:r><w:t xml:space="preserve">ADO (d. 874), archbishop of Vienne in Lotharingia, belonged</w:t></w:r>
</w:p>
<w:p>
<w:pPr><w:pStyle w:val="Normal"/></w:pPr>
<w:r><w:t xml:space="preserve">to a famous Frankish house, and spent much of his middle life in</w:t></w:r>
</w:p>
<w:p>
<w:pPr><w:pStyle w:val="Normal"/></w:pPr>
<w:r><w:t xml:space="preserve">Italy.  He held his archiepiscopal see from 850 till his</w:t></w:r>
</w:p>
<w:p>
<w:pPr><w:pStyle w:val="Normal"/></w:pPr>
<w:r><w:t xml:space="preserve">death on the 16th of December 874. Several of his letters</w:t></w:r>
</w:p>
<w:p>
<w:pPr><w:pStyle w:val="Normal"/></w:pPr>
<w:r><w:t xml:space="preserve">are extant and reveal their writer as an energetic man of</w:t></w:r>
</w:p>
<w:p>
<w:pPr><w:pStyle w:val="Normal"/></w:pPr>
<w:r><w:t xml:space="preserve">wide sympathies and considerable influence.  Ado&apos;s principal</w:t></w:r>
</w:p>
<w:p>
<w:pPr><w:pStyle w:val="Normal"/></w:pPr>
<w:r><w:t xml:space="preserve">works are a Martyrologium (printed inter al. in Migne,</w:t></w:r>
</w:p>
<w:p>
<w:pPr><w:pStyle w:val="Normal"/></w:pPr>
<w:r><w:t xml:space="preserve">Patrolog. lat. cxxiii. pp. 181-420; append. pp. 419-436),</w:t></w:r>
</w:p>
<w:p>
<w:pPr><w:pStyle w:val="Normal"/></w:pPr>
<w:r><w:t xml:space="preserve">and chronicle, Chronicon sive Breviarium chronicorum de sex</w:t></w:r>
</w:p>
<w:p>
<w:pPr><w:pStyle w:val="Normal"/></w:pPr>
<w:r><w:t xml:space="preserve">mundi aetalibus de Adamo usque ad ann. 869 (in Migne, cxxiii.</w:t></w:r>
</w:p>
<w:p>
<w:pPr><w:pStyle w:val="Normal"/></w:pPr>
<w:r><w:t xml:space="preserve">pp. 20-138, and Pertzn Monumenta Germ. ii. pp. 315-323,</w:t></w:r>
</w:p>
<w:p>
<w:pPr><w:pStyle w:val="Normal"/></w:pPr>
<w:r><w:t xml:space="preserve">&amp;c.).  Ado&apos;s chronicle is based on that of Bede, with which he</w:t></w:r>
</w:p>
<w:p>
<w:pPr><w:pStyle w:val="Normal"/></w:pPr>
<w:r><w:t xml:space="preserve">combines extracts from the ordinary sources, forming the whole</w:t></w:r>
</w:p>
<w:p>
<w:pPr><w:pStyle w:val="Normal"/></w:pPr>
<w:r><w:t xml:space="preserve">into a consecutive narrative founded on the conception of the</w:t></w:r>
</w:p>
<w:p>
<w:pPr><w:pStyle w:val="Normal"/></w:pPr>
<w:r><w:t xml:space="preserve">unity of the Roman empire, which he traces in the succession of</w:t></w:r>
</w:p>
<w:p>
<w:pPr><w:pStyle w:val="Normal"/></w:pPr>
<w:r><w:t xml:space="preserve">the emperors, Charlemagne and his heirs following immediately</w:t></w:r>
</w:p>
<w:p>
<w:pPr><w:pStyle w:val="Normal"/></w:pPr>
<w:r><w:t xml:space="preserve">after Constantine and Irene. ``It is,&apos;&apos; says Wattenbach,</w:t></w:r>
</w:p>
<w:p>
<w:pPr><w:pStyle w:val="Normal"/></w:pPr>
<w:r><w:t xml:space="preserve">``history from the point of view of authority and preconceived</w:t></w:r>
</w:p>
<w:p>
<w:pPr><w:pStyle w:val="Normal"/></w:pPr>
<w:r><w:t xml:space="preserve">opinion, which exclude any independent judgment of events.&apos;&apos;</w:t></w:r>
</w:p>
<w:p>
<w:pPr><w:pStyle w:val="Normal"/></w:pPr>
<w:r><w:t xml:space="preserve">Ado wrote also a book on the miracles (Miracula) of St</w:t></w:r>
</w:p>
<w:p>
<w:pPr><w:pStyle w:val="Normal"/></w:pPr>
<w:r><w:t xml:space="preserve">Bernard, archbishop of Vienne (9th century), published in</w:t></w:r>
</w:p>
<w:p>
<w:pPr><w:pStyle w:val="Normal"/></w:pPr>
<w:r><w:t xml:space="preserve">the Bollandist Acta Sanctorum; a life or Martyrium of St</w:t></w:r>
</w:p>
<w:p>
<w:pPr><w:pStyle w:val="Normal"/></w:pPr>
<w:r><w:t xml:space="preserve">Desiderius, bishop of Vienne (d. 608), written about 870 and</w:t></w:r>
</w:p>
<w:p>
<w:pPr><w:pStyle w:val="Normal"/></w:pPr>
<w:r><w:t xml:space="preserve">published in Migne, cxxiii. pp. 435-442; and a life of St</w:t></w:r>
</w:p>
<w:p>
<w:pPr><w:pStyle w:val="Normal"/></w:pPr>
<w:r><w:t xml:space="preserve">Theudericus, abbot of Vienne (563), published in Mabillon,</w:t></w:r>
</w:p>
<w:p>
<w:pPr><w:pStyle w:val="Normal"/></w:pPr>
<w:r><w:t xml:space="preserve">Acta Sanct. i. pp. 678-681, Migne, cxxiii. pp. 443-450, and</w:t></w:r>
</w:p>
<w:p>
<w:pPr><w:pStyle w:val="Normal"/></w:pPr>
<w:r><w:t xml:space="preserve">revised in Bollandist Acta Sanct. 29th Oct. xii. pp. 840-843.</w:t></w:r>
</w:p>
<w:p>
<w:pPr><w:pStyle w:val="Normal"/></w:pPr>
<w:r><w:t xml:space="preserve">See W. Wattenbach, Deutschlands Geschichtsquellen,</w:t></w:r>
</w:p>
<w:p>
<w:pPr><w:pStyle w:val="Normal"/></w:pPr>
<w:r><w:t xml:space="preserve">vol. i. (Stuttgart and Berlin, 1904).</w:t></w:r>
</w:p>
<w:p>
<w:pPr><w:pStyle w:val="Normal"/></w:pPr>
<w:r><w:t xml:space="preserve">ADOBE (pronounced a-do-be; also corrupted to dobie;</w:t></w:r>
</w:p>
<w:p>
<w:pPr><w:pStyle w:val="Normal"/></w:pPr>
<w:r><w:t xml:space="preserve">from the Span. adobar, to plaster, traceable through</w:t></w:r>
</w:p>
<w:p>
<w:pPr><w:pStyle w:val="Normal"/></w:pPr>
<w:r><w:t xml:space="preserve">Arabic to an Egyptian hieroglyph meaning ``brick&apos;&apos;), a</w:t></w:r>
</w:p>
<w:p>
<w:pPr><w:pStyle w:val="Normal"/></w:pPr>
<w:r><w:t xml:space="preserve">Spanish-American word for the sun-dried clay used by the</w:t></w:r>
</w:p>
<w:p>
<w:pPr><w:pStyle w:val="Normal"/></w:pPr>
<w:r><w:t xml:space="preserve">Indians for building in some of the south-western states of</w:t></w:r>
</w:p>
<w:p>
<w:pPr><w:pStyle w:val="Normal"/></w:pPr>
<w:r><w:t xml:space="preserve">the American Union, this method having been imported in the</w:t></w:r>
</w:p>
<w:p>
<w:pPr><w:pStyle w:val="Normal"/></w:pPr>
<w:r><w:t xml:space="preserve">16th century by Spaniards from Mexico, Peru, &amp;c. A distinction</w:t></w:r>
</w:p>
<w:p>
<w:pPr><w:pStyle w:val="Normal"/></w:pPr>
<w:r><w:t xml:space="preserve">is made between the smaller ``adobes,&apos;&apos; which are about the</w:t></w:r>
</w:p>
<w:p>
<w:pPr><w:pStyle w:val="Normal"/></w:pPr>
<w:r><w:t xml:space="preserve">size of ordinary baked bricks, and the larger ``adobines,&apos;&apos;</w:t></w:r>
</w:p>
<w:p>
<w:pPr><w:pStyle w:val="Normal"/></w:pPr>
<w:r><w:t xml:space="preserve">some of which are as much as from one to two yards long.</w:t></w:r>
</w:p>
<w:p>
<w:pPr><w:pStyle w:val="Normal"/></w:pPr>
<w:r><w:t xml:space="preserve">ADOLESCENCE (Lat. adolescentia, from adolescere, to</w:t></w:r>
</w:p>
<w:p>
<w:pPr><w:pStyle w:val="Normal"/></w:pPr>
<w:r><w:t xml:space="preserve">grow up, past part. adultus, grown up, Eng. ``adult&apos;&apos;), the</w:t></w:r>
</w:p>
<w:p>
<w:pPr><w:pStyle w:val="Normal"/></w:pPr>
<w:r><w:t xml:space="preserve">term now commonly adopted for the period between childhood</w:t></w:r>
</w:p>
<w:p>
<w:pPr><w:pStyle w:val="Normal"/></w:pPr>
<w:r><w:t xml:space="preserve">and maturity, during which the characteristics--mental,</w:t></w:r>
</w:p>
<w:p>
<w:pPr><w:pStyle w:val="Normal"/></w:pPr>
<w:r><w:t xml:space="preserve">physical and moral--that are to make or mar the individual</w:t></w:r>
</w:p>
<w:p>
<w:pPr><w:pStyle w:val="Normal"/></w:pPr>
<w:r><w:t xml:space="preserve">disclose themselves, and then mature, in some cases by</w:t></w:r>
</w:p>
<w:p>
<w:pPr><w:pStyle w:val="Normal"/></w:pPr>
<w:r><w:t xml:space="preserve">leaps and bounds, in others by more gradual evolution.</w:t></w:r>
</w:p>
<w:p>
<w:pPr><w:pStyle w:val="Normal"/></w:pPr>
<w:r><w:t xml:space="preserve">The annual rate of growth, in height, weight and strength,</w:t></w:r>
</w:p>
<w:p>
<w:pPr><w:pStyle w:val="Normal"/></w:pPr>
<w:r><w:t xml:space="preserve">increases to a marked extent and may even be doubled.  The</w:t></w:r>
</w:p>
<w:p>
<w:pPr><w:pStyle w:val="Normal"/></w:pPr>
<w:r><w:t xml:space="preserve">development in the man takes place in the direction of a</w:t></w:r>
</w:p>
<w:p>
<w:pPr><w:pStyle w:val="Normal"/></w:pPr>
<w:r><w:t xml:space="preserve">greater strength, in the woman towards a fitter form for</w:t></w:r>
</w:p>
<w:p>
<w:pPr><w:pStyle w:val="Normal"/></w:pPr>
<w:r><w:t xml:space="preserve">maternity.  The sex sense develops, the love of nature and</w:t></w:r>
</w:p>
<w:p>
<w:pPr><w:pStyle w:val="Normal"/></w:pPr>
<w:r><w:t xml:space="preserve">religion, and an overmastering curiosity both individual and</w:t></w:r>
</w:p>
<w:p>
<w:pPr><w:pStyle w:val="Normal"/></w:pPr>
<w:r><w:t xml:space="preserve">general.  This period of life, so fraught with its power for</w:t></w:r>
</w:p>
<w:p>
<w:pPr><w:pStyle w:val="Normal"/></w:pPr>
<w:r><w:t xml:space="preserve">good and ill, is accordingly the most important and by far</w:t></w:r>
</w:p>
<w:p>
<w:pPr><w:pStyle w:val="Normal"/></w:pPr>
<w:r><w:t xml:space="preserve">the most difficult for parents and educationists to deal with</w:t></w:r>
</w:p>
<w:p>
<w:pPr><w:pStyle w:val="Normal"/></w:pPr>
<w:r><w:t xml:space="preserve">efficiently.  The chief points for attention may be briefly</w:t></w:r>
</w:p>
<w:p>
<w:pPr><w:pStyle w:val="Normal"/></w:pPr>
<w:r><w:t xml:space="preserve">indicated.  Health depends mainly on two factors, heredity,</w:t></w:r>
</w:p>
<w:p>
<w:pPr><w:pStyle w:val="Normal"/></w:pPr>
<w:r><w:t xml:space="preserve">or the sum total of physical and mental leanings of the</w:t></w:r>
</w:p>
<w:p>
<w:pPr><w:pStyle w:val="Normal"/></w:pPr>
<w:r><w:t xml:space="preserve">individual, and environment.  In an ideal system of</w:t></w:r>
</w:p>
<w:p>
<w:pPr><w:pStyle w:val="Normal"/></w:pPr>
<w:r><w:t xml:space="preserve">training these two factors will be so fitted in and adapted</w:t></w:r>
</w:p>
<w:p>
<w:pPr><w:pStyle w:val="Normal"/></w:pPr>
<w:r><w:t xml:space="preserve">to one another, that what is weak or unprovided for in</w:t></w:r>
</w:p>
<w:p>
<w:pPr><w:pStyle w:val="Normal"/></w:pPr>
<w:r><w:t xml:space="preserve">the first will be amply compensated for in the second.</w:t></w:r>
</w:p>
<w:p>
<w:pPr><w:pStyle w:val="Normal"/></w:pPr>
<w:r><w:t xml:space="preserve">In an ideal condition children should be brought up in the</w:t></w:r>
</w:p>
<w:p>
<w:pPr><w:pStyle w:val="Normal"/></w:pPr>
<w:r><w:t xml:space="preserve">country as much as possible rather than in the town.  Though</w:t></w:r>
</w:p>
<w:p>
<w:pPr><w:pStyle w:val="Normal"/></w:pPr>
<w:r><w:t xml:space="preserve">adults may live where they like within very wide limits and</w:t></w:r>
</w:p>
<w:p>
<w:pPr><w:pStyle w:val="Normal"/></w:pPr>
<w:r><w:t xml:space="preserve">take no harm, children, even of healthy stock, living in towns,</w:t></w:r>
</w:p>
<w:p>
<w:pPr><w:pStyle w:val="Normal"/></w:pPr>
<w:r><w:t xml:space="preserve">are continually subject to many minor ills, such as chronic</w:t></w:r>
</w:p>
<w:p>
<w:pPr><w:pStyle w:val="Normal"/></w:pPr>
<w:r><w:t xml:space="preserve">catarrh, tonsillitis, bronchitis,and even the far graver</w:t></w:r>
</w:p>
<w:p>
<w:pPr><w:pStyle w:val="Normal"/></w:pPr>
<w:r><w:t xml:space="preserve">pneumonia.  Removed to healthier conditions in the country their</w:t></w:r>
</w:p>
<w:p>
<w:pPr><w:pStyle w:val="Normal"/></w:pPr>
<w:r><w:t xml:space="preserve">ailments tend to disappear, and normal physical development</w:t></w:r>
</w:p>
<w:p>
<w:pPr><w:pStyle w:val="Normal"/></w:pPr>
<w:r><w:t xml:space="preserve">supervenes.  The residence should be on a well-drained soil,</w:t></w:r>
</w:p>
<w:p>
<w:pPr><w:pStyle w:val="Normal"/></w:pPr>
<w:r><w:t xml:space="preserve">preferably near the sea in the case of a delicate child, on</w:t></w:r>
</w:p>
<w:p>
<w:pPr><w:pStyle w:val="Normal"/></w:pPr>
<w:r><w:t xml:space="preserve">higher ground for those of more robust constitution.  The</w:t></w:r>
</w:p>
<w:p>
<w:pPr><w:pStyle w:val="Normal"/></w:pPr>
<w:r><w:t xml:space="preserve">child should be lightly clad in woollen garments all the year</w:t></w:r>
</w:p>
<w:p>
<w:pPr><w:pStyle w:val="Normal"/></w:pPr>
<w:r><w:t xml:space="preserve">round, their thickness being slightly greater in winter than in</w:t></w:r>
</w:p>
<w:p>
<w:pPr><w:pStyle w:val="Normal"/></w:pPr>
<w:r><w:t xml:space="preserve">summer.  An abundance of simple well-cooked food in sufficient</w:t></w:r>
</w:p>
<w:p>
<w:pPr><w:pStyle w:val="Normal"/></w:pPr>
<w:r><w:t xml:space="preserve">variety, ample time at table, where an atmosphere of light</w:t></w:r>
</w:p>
<w:p>
<w:pPr><w:pStyle w:val="Normal"/></w:pPr>
<w:r><w:t xml:space="preserve">gaiety should be cultivated, and a period free from restraint</w:t></w:r>
</w:p>
<w:p>
<w:pPr><w:pStyle w:val="Normal"/></w:pPr>
<w:r><w:t xml:space="preserve">both before and after meals, should be considered fundamental</w:t></w:r>
</w:p>
<w:p>
<w:pPr><w:pStyle w:val="Normal"/></w:pPr>
<w:r><w:t xml:space="preserve">essentials.  As regards the most suitable kinds of food--milk</w:t></w:r>
</w:p>
<w:p>
<w:pPr><w:pStyle w:val="Normal"/></w:pPr>
<w:r><w:t xml:space="preserve">and fruit should be given in abundance, fresh meat once a</w:t></w:r>
</w:p>
<w:p>
<w:pPr><w:pStyle w:val="Normal"/></w:pPr>
<w:r><w:t xml:space="preserve">day, and fish or eggs once a day.  Bread had better be three</w:t></w:r>
</w:p>
<w:p>
<w:pPr><w:pStyle w:val="Normal"/></w:pPr>
<w:r><w:t xml:space="preserve">days old, and baked in the form of small rolls to increase</w:t></w:r>
</w:p>
<w:p>
<w:pPr><w:pStyle w:val="Normal"/></w:pPr>
<w:r><w:t xml:space="preserve">the ratio of crust to crumb.  Both butter and sugar are good</w:t></w:r>
</w:p>
<w:p>
<w:pPr><w:pStyle w:val="Normal"/></w:pPr>
<w:r><w:t xml:space="preserve">foods, and should be freely allowed in many forms.  The</w:t></w:r>
</w:p>
<w:p>
<w:pPr><w:pStyle w:val="Normal"/></w:pPr>
<w:r><w:t xml:space="preserve">exercise of the body must be duly attended to.  Nowadays this</w:t></w:r>
</w:p>
<w:p>
<w:pPr><w:pStyle w:val="Normal"/></w:pPr>
<w:r><w:t xml:space="preserve">is provided for in the shape of games, some being optional,</w:t></w:r>
</w:p>
<w:p>
<w:pPr><w:pStyle w:val="Normal"/></w:pPr>
<w:r><w:t xml:space="preserve">others prescribed, and such sports as boating, swimming,</w:t></w:r>
</w:p>
<w:p>
<w:pPr><w:pStyle w:val="Normal"/></w:pPr>
<w:r><w:t xml:space="preserve">fencing, &amp;c. But severe exercise should only be allowed</w:t></w:r>
</w:p>
<w:p>
<w:pPr><w:pStyle w:val="Normal"/></w:pPr>
<w:r><w:t xml:space="preserve">under adequate medical control, and should be increased very</w:t></w:r>
</w:p>
<w:p>
<w:pPr><w:pStyle w:val="Normal"/></w:pPr>
<w:r><w:t xml:space="preserve">gradually.  In the case of girls, let them run, leap and</w:t></w:r>
</w:p>
<w:p>
<w:pPr><w:pStyle w:val="Normal"/></w:pPr>
<w:r><w:t xml:space="preserve">climb with their brothers for the first twelve years or so of</w:t></w:r>
</w:p>
<w:p>
<w:pPr><w:pStyle w:val="Normal"/></w:pPr>
<w:r><w:t xml:space="preserve">life.  But as puberty approaches, with all the change, stress</w:t></w:r>
</w:p>
<w:p>
<w:pPr><w:pStyle w:val="Normal"/></w:pPr>
<w:r><w:t xml:space="preserve">and strain dependent thereon, their lives should be appropriately</w:t></w:r>
</w:p>
<w:p>
<w:pPr><w:pStyle w:val="Normal"/></w:pPr>
<w:r><w:t xml:space="preserve">modified.  Rest should be enforced during the menstrual</w:t></w:r>
</w:p>
<w:p>
<w:pPr><w:pStyle w:val="Normal"/></w:pPr>
<w:r><w:t xml:space="preserve">periods of these earlier years, and milder, more graduated</w:t></w:r>
</w:p>
<w:p>
<w:pPr><w:pStyle w:val="Normal"/></w:pPr>
<w:r><w:t xml:space="preserve">exercise taken at other times.  In the same way all mental</w:t></w:r>
</w:p>
<w:p>
<w:pPr><w:pStyle w:val="Normal"/></w:pPr>
<w:r><w:t xml:space="preserve">strain should be diminished.  Instead of pressure being put</w:t></w:r>
</w:p>
<w:p>
<w:pPr><w:pStyle w:val="Normal"/></w:pPr>
<w:r><w:t xml:space="preserve">on a girl&apos;s intellectual education at about this time, as</w:t></w:r>
</w:p>
<w:p>
<w:pPr><w:pStyle w:val="Normal"/></w:pPr>
<w:r><w:t xml:space="preserve">is too often the case, the time devoted to school and books</w:t></w:r>
</w:p>
<w:p>
<w:pPr><w:pStyle w:val="Normal"/></w:pPr>
<w:r><w:t xml:space="preserve">should be diminished.  Education should be on broader, more</w:t></w:r>
</w:p>
<w:p>
<w:pPr><w:pStyle w:val="Normal"/></w:pPr>
<w:r><w:t xml:space="preserve">fundamental lines, and much time should be passed in the open</w:t></w:r>
</w:p>
<w:p>
<w:pPr><w:pStyle w:val="Normal"/></w:pPr>
<w:r><w:t xml:space="preserve">air.  With regard to the mental training of both sexes two</w:t></w:r>
</w:p>
<w:p>
<w:pPr><w:pStyle w:val="Normal"/></w:pPr>
<w:r><w:t xml:space="preserve">points must be borne in mind.  First, that an ample number</w:t></w:r>
</w:p>
<w:p>
<w:pPr><w:pStyle w:val="Normal"/></w:pPr>
<w:r><w:t xml:space="preserve">of hours should be set on one side for sleep, up to ten</w:t></w:r>
</w:p>
<w:p>
<w:pPr><w:pStyle w:val="Normal"/></w:pPr>
<w:r><w:t xml:space="preserve">years of age not less than eleven, and up to twenty years</w:t></w:r>
</w:p>
<w:p>
<w:pPr><w:pStyle w:val="Normal"/></w:pPr>
<w:r><w:t xml:space="preserve">not less than nine.  Secondly, that the time devoted to</w:t></w:r>
</w:p>
<w:p>
<w:pPr><w:pStyle w:val="Normal"/></w:pPr>
<w:r><w:t xml:space="preserve">``bookwork&apos;&apos; should be broken up into a number of short</w:t></w:r>
</w:p>
<w:p>
<w:pPr><w:pStyle w:val="Normal"/></w:pPr>
<w:r><w:t xml:space="preserve">periods, very carefully graduated to the individual child.</w:t></w:r>
</w:p>
<w:p>
<w:pPr><w:pStyle w:val="Normal"/></w:pPr>
<w:r><w:t xml:space="preserve">In every case where there is a family tendency towards any</w:t></w:r>
</w:p>
<w:p>
<w:pPr><w:pStyle w:val="Normal"/></w:pPr>
<w:r><w:t xml:space="preserve">certain disease or weakness, that tendency must determine</w:t></w:r>
</w:p>
<w:p>
<w:pPr><w:pStyle w:val="Normal"/></w:pPr>
<w:r><w:t xml:space="preserve">the whole circumstances of the child&apos;s life.  That diathesis</w:t></w:r>
</w:p>
<w:p>
<w:pPr><w:pStyle w:val="Normal"/></w:pPr>
<w:r><w:t xml:space="preserve">which is most serious and usually least regarded, the nervous</w:t></w:r>
</w:p>
<w:p>
<w:pPr><w:pStyle w:val="Normal"/></w:pPr>
<w:r><w:t xml:space="preserve">excitable one, is by far the most important and the most</w:t></w:r>
</w:p>
<w:p>
<w:pPr><w:pStyle w:val="Normal"/></w:pPr>
<w:r><w:t xml:space="preserve">difficult to deal with.  Every effort should be made to</w:t></w:r>
</w:p>
<w:p>
<w:pPr><w:pStyle w:val="Normal"/></w:pPr>
<w:r><w:t xml:space="preserve">avoid the conditions in which the hereditary predisposition</w:t></w:r>
</w:p>
<w:p>
<w:pPr><w:pStyle w:val="Normal"/></w:pPr>
<w:r><w:t xml:space="preserve">would be aroused into mischievous action, and to encourage</w:t></w:r>
</w:p>
<w:p>
<w:pPr><w:pStyle w:val="Normal"/></w:pPr>
<w:r><w:t xml:space="preserve">development on simple unexciting lines.  The child should be</w:t></w:r>
</w:p>
<w:p>
<w:pPr><w:pStyle w:val="Normal"/></w:pPr>
<w:r><w:t xml:space="preserve">confined to the schoolroom but little and receive most of his</w:t></w:r>
</w:p>
<w:p>
<w:pPr><w:pStyle w:val="Normal"/></w:pPr>
<w:r><w:t xml:space="preserve">training in wood and field.  Other diatheses--the tuberculous,</w:t></w:r>
</w:p>
<w:p>
<w:pPr><w:pStyle w:val="Normal"/></w:pPr>
<w:r><w:t xml:space="preserve">rheumatic, &amp;c.---must be dealt with in appropriate ways.</w:t></w:r>
</w:p>
<w:p>
<w:pPr><w:pStyle w:val="Normal"/></w:pPr>
<w:r><w:t xml:space="preserve">The adolescent is prone to special weaknesses and moral</w:t></w:r>
</w:p>
<w:p>
<w:pPr><w:pStyle w:val="Normal"/></w:pPr>
<w:r><w:t xml:space="preserve">perversions.  The emotions are extremely unstable, and any</w:t></w:r>
</w:p>
<w:p>
<w:pPr><w:pStyle w:val="Normal"/></w:pPr>
<w:r><w:t xml:space="preserve">stress put on them may lead to undesirable results.  Warm</w:t></w:r>
</w:p>
<w:p>
<w:pPr><w:pStyle w:val="Normal"/></w:pPr>
<w:r><w:t xml:space="preserve">climates, tight-fitting clothes, corsets, rich foods, soft</w:t></w:r>
</w:p>
<w:p>
<w:pPr><w:pStyle w:val="Normal"/></w:pPr>
<w:r><w:t xml:space="preserve">mattresses, or indulgences of any kind, and also mental</w:t></w:r>
</w:p>
<w:p>
<w:pPr><w:pStyle w:val="Normal"/></w:pPr>
<w:r><w:t xml:space="preserve">over-stimulation, are especially to be guarded against.</w:t></w:r>
</w:p>
<w:p>
<w:pPr><w:pStyle w:val="Normal"/></w:pPr>
<w:r><w:t xml:space="preserve">The day should be filled with interests of an objective--in</w:t></w:r>
</w:p>
<w:p>
<w:pPr><w:pStyle w:val="Normal"/></w:pPr>
<w:r><w:t xml:space="preserve">contradistinction to subjective--kind, and the child should</w:t></w:r>
</w:p>
<w:p>
<w:pPr><w:pStyle w:val="Normal"/></w:pPr>
<w:r><w:t xml:space="preserve">retire to bed at night healthily fatigued in mind and body.</w:t></w:r>
</w:p>
<w:p>
<w:pPr><w:pStyle w:val="Normal"/></w:pPr>
<w:r><w:t xml:space="preserve">Let there be confidence between mother and daughter, father</w:t></w:r>
</w:p>
<w:p>
<w:pPr><w:pStyle w:val="Normal"/></w:pPr>
<w:r><w:t xml:space="preserve">and son, and, as the years bring the bodily changes, those</w:t></w:r>
</w:p>
<w:p>
<w:pPr><w:pStyle w:val="Normal"/></w:pPr>
<w:r><w:t xml:space="preserve">in whom the children trust can choose the fitting moments</w:t></w:r>
</w:p>
<w:p>
<w:pPr><w:pStyle w:val="Normal"/></w:pPr>
<w:r><w:t xml:space="preserve">for explaining their meaning and effect, and warning against</w:t></w:r>
</w:p>
<w:p>
<w:pPr><w:pStyle w:val="Normal"/></w:pPr>
<w:r><w:t xml:space="preserve">abuses of the natural functions.  For bibliography see CHILD.</w:t></w:r>
</w:p>
<w:p>
<w:pPr><w:pStyle w:val="Normal"/></w:pPr>
<w:r><w:t xml:space="preserve">ADOLPH OF NASSAU (c. 1255-.1298), German king, son of</w:t></w:r>
</w:p>
<w:p>
<w:pPr><w:pStyle w:val="Normal"/></w:pPr>
<w:r><w:t xml:space="preserve">Walram, count of Nassau.  He appears to have received a good</w:t></w:r>
</w:p>
<w:p>
<w:pPr><w:pStyle w:val="Normal"/></w:pPr>
<w:r><w:t xml:space="preserve">education, and inherited his father&apos;s lands around Wiesbaden in</w:t></w:r>
</w:p>
<w:p>
<w:pPr><w:pStyle w:val="Normal"/></w:pPr>
<w:r><w:t xml:space="preserve">1276.  He won considerable fame as a mercenary in many of the</w:t></w:r>
</w:p>
<w:p>
<w:pPr><w:pStyle w:val="Normal"/></w:pPr>
<w:r><w:t xml:space="preserve">feuds of the time, and on the 5th of May 1292 was chosen German</w:t></w:r>
</w:p>
<w:p>
<w:pPr><w:pStyle w:val="Normal"/></w:pPr>
<w:r><w:t xml:space="preserve">king, in succession to Rudolph I., an election due rather</w:t></w:r>
</w:p>
<w:p>
<w:pPr><w:pStyle w:val="Normal"/></w:pPr>
<w:r><w:t xml:space="preserve">to the political conditions of the time than to his personal</w:t></w:r>
</w:p>
<w:p>
<w:pPr><w:pStyle w:val="Normal"/></w:pPr>
<w:r><w:t xml:space="preserve">abilities.  He made large promises to his supporters, and</w:t></w:r>
</w:p>
<w:p>
<w:pPr><w:pStyle w:val="Normal"/></w:pPr>
<w:r><w:t xml:space="preserve">was crowned on the 1st of July at Aix-la-Chapelle.  Princes</w:t></w:r>
</w:p>
<w:p>
<w:pPr><w:pStyle w:val="Normal"/></w:pPr>
<w:r><w:t xml:space="preserve">and towns did homage to him, but his position was unstable,</w:t></w:r>
</w:p>
<w:p>
<w:pPr><w:pStyle w:val="Normal"/></w:pPr>
<w:r><w:t xml:space="preserve">and the allegiance of many of the princes, among them Albert</w:t></w:r>
</w:p>
<w:p>
<w:pPr><w:pStyle w:val="Normal"/></w:pPr>
<w:r><w:t xml:space="preserve">I., duke of Austria, son of the late king Rudolph, was merely</w:t></w:r>
</w:p>
<w:p>
<w:pPr><w:pStyle w:val="Normal"/></w:pPr>
<w:r><w:t xml:space="preserve">nominal.  Seeking at once to strengthen the royal position,</w:t></w:r>
</w:p>
<w:p>
<w:pPr><w:pStyle w:val="Normal"/></w:pPr>
<w:r><w:t xml:space="preserve">he claimed Meissen as a vacant fief of the Empire, and in</w:t></w:r>
</w:p>
<w:p>
<w:pPr><w:pStyle w:val="Normal"/></w:pPr>
<w:r><w:t xml:space="preserve">1294 allied himself with Edward I., king of England, against</w:t></w:r>
</w:p>
<w:p>
<w:pPr><w:pStyle w:val="Normal"/></w:pPr>
<w:r><w:t xml:space="preserve">France.  Edward granted him a subsidy, but owing to a</w:t></w:r>
</w:p>
<w:p>
<w:pPr><w:pStyle w:val="Normal"/></w:pPr>
<w:r><w:t xml:space="preserve">variety of reasons Adolph did not take the field against</w:t></w:r>
</w:p>
<w:p>
<w:pPr><w:pStyle w:val="Normal"/></w:pPr>
<w:r><w:t xml:space="preserve">France, but turned his arms against Thuringia, which he</w:t></w:r>
</w:p>
<w:p>
<w:pPr><w:pStyle w:val="Normal"/></w:pPr>
<w:r><w:t xml:space="preserve">had purchased from the landgrave Albert II. This bargain</w:t></w:r>
</w:p>
<w:p>
<w:pPr><w:pStyle w:val="Normal"/></w:pPr>
<w:r><w:t xml:space="preserve">was resisted by the sons of Albert, and from 1294 to 1296</w:t></w:r>
</w:p>
<w:p>
<w:pPr><w:pStyle w:val="Normal"/></w:pPr>
<w:r><w:t xml:space="preserve">Adolph was campaigning in Meissen and Thuringia.  Meissen was</w:t></w:r>
</w:p>
<w:p>
<w:pPr><w:pStyle w:val="Normal"/></w:pPr>
<w:r><w:t xml:space="preserve">conquered, but he was not equally successful in Thuringia,</w:t></w:r>
</w:p>
<w:p>
<w:pPr><w:pStyle w:val="Normal"/></w:pPr>
<w:r><w:t xml:space="preserve">and his relations with Albert of Austria were becoming more</w:t></w:r>
</w:p>
<w:p>
<w:pPr><w:pStyle w:val="Normal"/></w:pPr>
<w:r><w:t xml:space="preserve">strained.  He had been unable to fulfil the promises made at his</w:t></w:r>
</w:p>
<w:p>
<w:pPr><w:pStyle w:val="Normal"/></w:pPr>
<w:r><w:t xml:space="preserve">election, and the princes began to look with suspicion upon his</w:t></w:r>
</w:p>
<w:p>
<w:pPr><w:pStyle w:val="Normal"/></w:pPr>
<w:r><w:t xml:space="preserve">designs.  Wenceslaus II., king of Bohemia, fell away from his</w:t></w:r>
</w:p>
<w:p>
<w:pPr><w:pStyle w:val="Normal"/></w:pPr>
<w:r><w:t xml:space="preserve">allegiance, and his deposition was decided on, and was carried</w:t></w:r>
</w:p>
<w:p>
<w:pPr><w:pStyle w:val="Normal"/></w:pPr>
<w:r><w:t xml:space="preserve">out at Mainz, on the 23rd of May 1298, when Albert of Austria</w:t></w:r>
</w:p>
<w:p>
<w:pPr><w:pStyle w:val="Normal"/></w:pPr>
<w:r><w:t xml:space="preserve">was elected his successor.  The forces of the rival kings</w:t></w:r>
</w:p>
<w:p>
<w:pPr><w:pStyle w:val="Normal"/></w:pPr>
<w:r><w:t xml:space="preserve">met at Gollheim on the 2nd of July 1298, where Adolph was</w:t></w:r>
</w:p>
<w:p>
<w:pPr><w:pStyle w:val="Normal"/></w:pPr>
<w:r><w:t xml:space="preserve">killed, it is said by the hand of Albert.  He was buried at</w:t></w:r>
</w:p>
<w:p>
<w:pPr><w:pStyle w:val="Normal"/></w:pPr>
<w:r><w:t xml:space="preserve">Rosenthal, and in 1309 his remains were removed to Spires.</w:t></w:r>
</w:p>
<w:p>
<w:pPr><w:pStyle w:val="Normal"/></w:pPr>
<w:r><w:t xml:space="preserve">See F. W. E. Roth, Geschichte des Romischen Konigs Adolf I.</w:t></w:r>
</w:p>
<w:p>
<w:pPr><w:pStyle w:val="Normal"/></w:pPr>
<w:r><w:t xml:space="preserve">von Nassau (Wiesbaden, 1879); V. Domeier, Die Absetzung Adolf</w:t></w:r>
</w:p>
<w:p>
<w:pPr><w:pStyle w:val="Normal"/></w:pPr>
<w:r><w:t xml:space="preserve">von Nassau (Berlin, 1889); L. Ennen, Die Wahl des Konigs</w:t></w:r>
</w:p>
<w:p>
<w:pPr><w:pStyle w:val="Normal"/></w:pPr>
<w:r><w:t xml:space="preserve">Adolf von Nassau (Cologne, 1866); L. Schmid, Die Wahl des</w:t></w:r>
</w:p>
<w:p>
<w:pPr><w:pStyle w:val="Normal"/></w:pPr>
<w:r><w:t xml:space="preserve">Grossen Adolf von Nassau zum Romischen Konig; B. Gebhardt,</w:t></w:r>
</w:p>
<w:p>
<w:pPr><w:pStyle w:val="Normal"/></w:pPr>
<w:r><w:t xml:space="preserve">Handbuch der deutschen Geschichte, Band i. (Berlin, 1901).</w:t></w:r>
</w:p>
<w:p>
<w:pPr><w:pStyle w:val="Normal"/></w:pPr>
<w:r><w:t xml:space="preserve">ADOLPHUS, JOHN LEYCESTER (1795-1862), English lawyer and</w:t></w:r>
</w:p>
<w:p>
<w:pPr><w:pStyle w:val="Normal"/></w:pPr>
<w:r><w:t xml:space="preserve">author, was the son of John Adolphus (1768--1845), a well-known</w:t></w:r>
</w:p>
<w:p>
<w:pPr><w:pStyle w:val="Normal"/></w:pPr>
<w:r><w:t xml:space="preserve">London barrister who wrote a History of England to 1783</w:t></w:r>
</w:p>
<w:p>
<w:pPr><w:pStyle w:val="Normal"/></w:pPr>
<w:r><w:t xml:space="preserve">(1802), a History of France from 1790 (1803) and other</w:t></w:r>
</w:p>
<w:p>
<w:pPr><w:pStyle w:val="Normal"/></w:pPr>
<w:r><w:t xml:space="preserve">works.  He was educated at Merchant Taylors&apos; School and at</w:t></w:r>
</w:p>
<w:p>
<w:pPr><w:pStyle w:val="Normal"/></w:pPr>
<w:r><w:t xml:space="preserve">St. John&apos;s College, Oxford.  In 1821 he published Letters to</w:t></w:r>
</w:p>
<w:p>
<w:pPr><w:pStyle w:val="Normal"/></w:pPr>
<w:r><w:t xml:space="preserve">Richard Heber, Esq., in which he discussed the authorship of</w:t></w:r>
</w:p>
<w:p>
<w:pPr><w:pStyle w:val="Normal"/></w:pPr>
<w:r><w:t xml:space="preserve">the then anonymous Waverley novels, and fixed it upon Sir Walter</w:t></w:r>
</w:p>
<w:p>
<w:pPr><w:pStyle w:val="Normal"/></w:pPr>
<w:r><w:t xml:space="preserve">Scott.  This conclusion was based on the resemblance of the</w:t></w:r>
</w:p>
<w:p>
<w:pPr><w:pStyle w:val="Normal"/></w:pPr>
<w:r><w:t xml:space="preserve">novels in general style and method to the poems acknowledged</w:t></w:r>
</w:p>
<w:p>
<w:pPr><w:pStyle w:val="Normal"/></w:pPr>
<w:r><w:t xml:space="preserve">by Scott.  Scott thought at first that the letters were</w:t></w:r>
</w:p>
<w:p>
<w:pPr><w:pStyle w:val="Normal"/></w:pPr>
<w:r><w:t xml:space="preserve">written by Reginald Heber, afterwards bishop of Calcutta,</w:t></w:r>
</w:p>
<w:p>
<w:pPr><w:pStyle w:val="Normal"/></w:pPr>
<w:r><w:t xml:space="preserve">and the discovery of J. L. Adolphus&apos;s identity led to a warm</w:t></w:r>
</w:p>
<w:p>
<w:pPr><w:pStyle w:val="Normal"/></w:pPr>
<w:r><w:t xml:space="preserve">friendship.  Adolphus was called to the bar in 1822, and his</w:t></w:r>
</w:p>
<w:p>
<w:pPr><w:pStyle w:val="Normal"/></w:pPr>
<w:r><w:t xml:space="preserve">Circuiteers, an Eclogue, is a parody of the style of two of</w:t></w:r>
</w:p>
<w:p>
<w:pPr><w:pStyle w:val="Normal"/></w:pPr>
<w:r><w:t xml:space="preserve">his colleagues on the northern circuit.  He became judge of the</w:t></w:r>
</w:p>
<w:p>
<w:pPr><w:pStyle w:val="Normal"/></w:pPr>
<w:r><w:t xml:space="preserve">Marylebone County Court in 1852, and was a bencher of the Inner</w:t></w:r>
</w:p>
<w:p>
<w:pPr><w:pStyle w:val="Normal"/></w:pPr>
<w:r><w:t xml:space="preserve">Temple.  He was the author of Letters from Spain in 1816</w:t></w:r>
</w:p>
<w:p>
<w:pPr><w:pStyle w:val="Normal"/></w:pPr>
<w:r><w:t xml:space="preserve">and 1817 (1858), and was completing his father&apos;s History of</w:t></w:r>
</w:p>
<w:p>
<w:pPr><w:pStyle w:val="Normal"/></w:pPr>
<w:r><w:t xml:space="preserve">England at the time of his death on the 24th of December 1862.</w:t></w:r>
</w:p>
<w:p>
<w:pPr><w:pStyle w:val="Normal"/></w:pPr>
<w:r><w:t xml:space="preserve">ADOLPHUS FREDERICK (1710-1771), king of Sweden, was born</w:t></w:r>
</w:p>
<w:p>
<w:pPr><w:pStyle w:val="Normal"/></w:pPr>
<w:r><w:t xml:space="preserve">at Gottorp on the 14th of May 1710.  His father was Christian</w:t></w:r>
</w:p>
<w:p>
<w:pPr><w:pStyle w:val="Normal"/></w:pPr>
<w:r><w:t xml:space="preserve">Augustus (1673--1726), duke of Schleswig-Holstein-Gottorp,</w:t></w:r>
</w:p>
<w:p>
<w:pPr><w:pStyle w:val="Normal"/></w:pPr>
<w:r><w:t xml:space="preserve">bishop of Lubeck, and administrator, during the war of</w:t></w:r>
</w:p>
<w:p>
<w:pPr><w:pStyle w:val="Normal"/></w:pPr>
<w:r><w:t xml:space="preserve">1700--1721, of the duchies of Holstein-Gottorp for his nephew</w:t></w:r>
</w:p>
<w:p>
<w:pPr><w:pStyle w:val="Normal"/></w:pPr>
<w:r><w:t xml:space="preserve">Charles Frederick; his mother was Albertina Frederica of</w:t></w:r>
</w:p>
<w:p>
<w:pPr><w:pStyle w:val="Normal"/></w:pPr>
<w:r><w:t xml:space="preserve">Baden-Durlach.  From 1727 to 1750 he was bishop of Lubeck,</w:t></w:r>
</w:p>
<w:p>
<w:pPr><w:pStyle w:val="Normal"/></w:pPr>
<w:r><w:t xml:space="preserve">and administrator of Holstein-Kiel during the minority of Duke</w:t></w:r>
</w:p>
<w:p>
<w:pPr><w:pStyle w:val="Normal"/></w:pPr>
<w:r><w:t xml:space="preserve">Charles Peter Ulrich, afterwards Peter III. of Russia.  In</w:t></w:r>
</w:p>
<w:p>
<w:pPr><w:pStyle w:val="Normal"/></w:pPr>
<w:r><w:t xml:space="preserve">1743 he was elected heir to the throne of Sweden by the ``Hat&apos;&apos;</w:t></w:r>
</w:p>
<w:p>
<w:pPr><w:pStyle w:val="Normal"/></w:pPr>
<w:r><w:t xml:space="preserve">faction in order that they might obtain better conditions of</w:t></w:r>
</w:p>
<w:p>
<w:pPr><w:pStyle w:val="Normal"/></w:pPr>
<w:r><w:t xml:space="preserve">peace from the empress Elizabeth, whose fondness for the house</w:t></w:r>
</w:p>
<w:p>
<w:pPr><w:pStyle w:val="Normal"/></w:pPr>
<w:r><w:t xml:space="preserve">of Holstein was notorious (see SWEDEN, History). During</w:t></w:r>
</w:p>
<w:p>
<w:pPr><w:pStyle w:val="Normal"/></w:pPr>
<w:r><w:t xml:space="preserve">his whole reign (1751-1771) Adolphus Frederick was little more</w:t></w:r>
</w:p>
<w:p>
<w:pPr><w:pStyle w:val="Normal"/></w:pPr>
<w:r><w:t xml:space="preserve">than a state decoration, the real power being lodged in the</w:t></w:r>
</w:p>
<w:p>
<w:pPr><w:pStyle w:val="Normal"/></w:pPr>
<w:r><w:t xml:space="preserve">hands of an omnipotent riksdag, distracted by fierce party</w:t></w:r>
</w:p>
<w:p>
<w:pPr><w:pStyle w:val="Normal"/></w:pPr>
<w:r><w:t xml:space="preserve">strife.  Twice he endeavoured to free himself from the</w:t></w:r>
</w:p>
<w:p>
<w:pPr><w:pStyle w:val="Normal"/></w:pPr>
<w:r><w:t xml:space="preserve">intolerable tutelage of the estates.  The first occasion</w:t></w:r>
</w:p>
<w:p>
<w:pPr><w:pStyle w:val="Normal"/></w:pPr>
<w:r><w:t xml:space="preserve">was in 1755 when, stimulated by his imperious consort Louisa</w:t></w:r>
</w:p>
<w:p>
<w:pPr><w:pStyle w:val="Normal"/></w:pPr>
<w:r><w:t xml:space="preserve">Ulrica, sister of Frederick the Great, he tried to regain</w:t></w:r>
</w:p>
<w:p>
<w:pPr><w:pStyle w:val="Normal"/></w:pPr>
<w:r><w:t xml:space="preserve">a portion of the attenuated prerogative, and nearly lost</w:t></w:r>
</w:p>
<w:p>
<w:pPr><w:pStyle w:val="Normal"/></w:pPr>
<w:r><w:t xml:space="preserve">his throne in consequence.  On the second occasion, under</w:t></w:r>
</w:p>
<w:p>
<w:pPr><w:pStyle w:val="Normal"/></w:pPr>
<w:r><w:t xml:space="preserve">the guidance of his eldest son, the crown prince Gustavus,</w:t></w:r>
</w:p>
<w:p>
<w:pPr><w:pStyle w:val="Normal"/></w:pPr>
<w:r><w:t xml:space="preserve">afterwards Gustavus III., he succeeded in overthrowing the</w:t></w:r>
</w:p>
<w:p>
<w:pPr><w:pStyle w:val="Normal"/></w:pPr>
<w:r><w:t xml:space="preserve">tyrannous ``Cap&apos;&apos; senate, but was unable to make any use of</w:t></w:r>
</w:p>
<w:p>
<w:pPr><w:pStyle w:val="Normal"/></w:pPr>
<w:r><w:t xml:space="preserve">his victory.  He died of surfeit at Stockholm on the 12th</w:t></w:r>
</w:p>
<w:p>
<w:pPr><w:pStyle w:val="Normal"/></w:pPr>
<w:r><w:t xml:space="preserve">of February 1771.  See R. Nisbet Bain, Gustavus III. and</w:t></w:r>
</w:p>
<w:p>
<w:pPr><w:pStyle w:val="Normal"/></w:pPr>
<w:r><w:t xml:space="preserve">his Contemporaries, vol. i. (London, 1895). (R. N. B.)</w:t></w:r>
</w:p>
<w:p>
<w:pPr><w:pStyle w:val="Normal"/></w:pPr>
<w:r><w:t xml:space="preserve">ADONI, a town of British India, in the Bellary district of</w:t></w:r>
</w:p>
<w:p>
<w:pPr><w:pStyle w:val="Normal"/></w:pPr>
<w:r><w:t xml:space="preserve">Madras, 307 m. from Madras by rail.  It has manufactures of</w:t></w:r>
</w:p>
<w:p>
<w:pPr><w:pStyle w:val="Normal"/></w:pPr>
<w:r><w:t xml:space="preserve">carpets, silk and cotton goods, and several factories for ginning</w:t></w:r>
</w:p>
<w:p>
<w:pPr><w:pStyle w:val="Normal"/></w:pPr>
<w:r><w:t xml:space="preserve">and pressing cotton.  The hill-fort above, now in ruins, was an</w:t></w:r>
</w:p>
<w:p>
<w:pPr><w:pStyle w:val="Normal"/></w:pPr>
<w:r><w:t xml:space="preserve">important seat of government in Mahommedan times and is frequently</w:t></w:r>
</w:p>
<w:p>
<w:pPr><w:pStyle w:val="Normal"/></w:pPr>
<w:r><w:t xml:space="preserve">mentioned in the wars of the 18th century.  Pop. (1901) 30,416.</w:t></w:r>
</w:p>
<w:p>
<w:pPr><w:pStyle w:val="Normal"/></w:pPr>
<w:r><w:t xml:space="preserve">ADONIJAH (Heb. Adoniyyah or Adoniyyahu, ``Yah is</w:t></w:r>
</w:p>
<w:p>
<w:pPr><w:pStyle w:val="Normal"/></w:pPr>
<w:r><w:t xml:space="preserve">Lord&apos;&apos;), a name borne by several persons in the Old</w:t></w:r>
</w:p>
<w:p>
<w:pPr><w:pStyle w:val="Normal"/></w:pPr>
<w:r><w:t xml:space="preserve">Testament, the most noteworthy of whom was the fourth son of</w:t></w:r>
</w:p>
<w:p>
<w:pPr><w:pStyle w:val="Normal"/></w:pPr>
<w:r><w:t xml:space="preserve">David.  He was born to Haggith at Hebron (2 Sam. iii. 4; 1</w:t></w:r>
</w:p>
<w:p>
<w:pPr><w:pStyle w:val="Normal"/></w:pPr>
<w:r><w:t xml:space="preserve">Ch. iii. 2). The natural heir to the throne, on the death of</w:t></w:r>
</w:p>
<w:p>
<w:pPr><w:pStyle w:val="Normal"/></w:pPr>
<w:r><w:t xml:space="preserve">Absalom, he sought with the help of Joab and Abiathar to seize</w:t></w:r>
</w:p>
<w:p>
<w:pPr><w:pStyle w:val="Normal"/></w:pPr>
<w:r><w:t xml:space="preserve">his birthright, and made arrangements for his coronation (1</w:t></w:r>
</w:p>
<w:p>
<w:pPr><w:pStyle w:val="Normal"/></w:pPr>
<w:r><w:t xml:space="preserve">Kings i. 5 ff.).  Hearing, however, that Solomon, with the</w:t></w:r>
</w:p>
<w:p>
<w:pPr><w:pStyle w:val="Normal"/></w:pPr>
<w:r><w:t xml:space="preserve">help of Nathan the prophet and Bathsheba, and apparently</w:t></w:r>
</w:p>
<w:p>
<w:pPr><w:pStyle w:val="Normal"/></w:pPr>
<w:r><w:t xml:space="preserve">with the consent of David, had ascended the throne, he fled</w:t></w:r>
</w:p>
<w:p>
<w:pPr><w:pStyle w:val="Normal"/></w:pPr>
<w:r><w:t xml:space="preserve">for safety to the horns of the altar.  Solomon spared him</w:t></w:r>
</w:p>
<w:p>
<w:pPr><w:pStyle w:val="Normal"/></w:pPr>
<w:r><w:t xml:space="preserve">on this occasion (1 Kings i. 50 ff.), but later commanded</w:t></w:r>
</w:p>
<w:p>
<w:pPr><w:pStyle w:val="Normal"/></w:pPr>
<w:r><w:t xml:space="preserve">Benaiah to slay him (ii. 13 ff.), because with the approval</w:t></w:r>
</w:p>
<w:p>
<w:pPr><w:pStyle w:val="Normal"/></w:pPr>
<w:r><w:t xml:space="preserve">of Bathsheba he wished to marry Abishag, formerly David&apos;s</w:t></w:r>
</w:p>
<w:p>
<w:pPr><w:pStyle w:val="Normal"/></w:pPr>
<w:r><w:t xml:space="preserve">concubine, and thus seemed to have designs on the throne.</w:t></w:r>
</w:p>
<w:p>
<w:pPr><w:pStyle w:val="Normal"/></w:pPr>
<w:r><w:t xml:space="preserve">ADONIS, in classical mythology, a youth of remarkable</w:t></w:r>
</w:p>
<w:p>
<w:pPr><w:pStyle w:val="Normal"/></w:pPr>
<w:r><w:t xml:space="preserve">beauty, the favourite of Aphrodite.  According to the story</w:t></w:r>
</w:p>
<w:p>
<w:pPr><w:pStyle w:val="Normal"/></w:pPr>
<w:r><w:t xml:space="preserve">in Apollodorus (iii. 14. 4), he was the son of the Syrian king</w:t></w:r>
</w:p>
<w:p>
<w:pPr><w:pStyle w:val="Normal"/></w:pPr>
<w:r><w:t xml:space="preserve">Theias by his daughter Smyrna (Myrrha), who had been inspired</w:t></w:r>
</w:p>
<w:p>
<w:pPr><w:pStyle w:val="Normal"/></w:pPr>
<w:r><w:t xml:space="preserve">by Aphrodite with unnatural love.  When Theias discovered the</w:t></w:r>
</w:p>
<w:p>
<w:pPr><w:pStyle w:val="Normal"/></w:pPr>
<w:r><w:t xml:space="preserve">truth he would have slain his daughter, but the gods in pity</w:t></w:r>
</w:p>
<w:p>
<w:pPr><w:pStyle w:val="Normal"/></w:pPr>
<w:r><w:t xml:space="preserve">changed her into a tree of the same name.  After ten months the</w:t></w:r>
</w:p>
<w:p>
<w:pPr><w:pStyle w:val="Normal"/></w:pPr>
<w:r><w:t xml:space="preserve">tree burst asunder and from it came forth Adonis.  Aphrodite,</w:t></w:r>
</w:p>
<w:p>
<w:pPr><w:pStyle w:val="Normal"/></w:pPr>
<w:r><w:t xml:space="preserve">charmed by his beauty, hid the infant in a box and handed</w:t></w:r>
</w:p>
<w:p>
<w:pPr><w:pStyle w:val="Normal"/></w:pPr>
<w:r><w:t xml:space="preserve">him over to the care of Persephone, who afterwards refused to</w:t></w:r>
</w:p>
<w:p>
<w:pPr><w:pStyle w:val="Normal"/></w:pPr>
<w:r><w:t xml:space="preserve">give him up.  On an appeal being made to Zeus, he decided that</w:t></w:r>
</w:p>
<w:p>
<w:pPr><w:pStyle w:val="Normal"/></w:pPr>
<w:r><w:t xml:space="preserve">Adonis should spend a third of the year with Persephone and</w:t></w:r>
</w:p>
<w:p>
<w:pPr><w:pStyle w:val="Normal"/></w:pPr>
<w:r><w:t xml:space="preserve">a third with Aphrodite, the remaining third being at his own</w:t></w:r>
</w:p>
<w:p>
<w:pPr><w:pStyle w:val="Normal"/></w:pPr>
<w:r><w:t xml:space="preserve">disposal.  Adonis was afterwards killed by a boar sent by</w:t></w:r>
</w:p>
<w:p>
<w:pPr><w:pStyle w:val="Normal"/></w:pPr>
<w:r><w:t xml:space="preserve">Artemis.  There are many variations in the later forms of the</w:t></w:r>
</w:p>
<w:p>
<w:pPr><w:pStyle w:val="Normal"/></w:pPr>
<w:r><w:t xml:space="preserve">story (notably in Ovid, Metam. x. 298).  The name is generally</w:t></w:r>
</w:p>
<w:p>
<w:pPr><w:pStyle w:val="Normal"/></w:pPr>
<w:r><w:t xml:space="preserve">supposed to be of Phoenician origin (from adon--``lord&apos;&apos;),</w:t></w:r>
</w:p>
<w:p>
<w:pPr><w:pStyle w:val="Normal"/></w:pPr>
<w:r><w:t xml:space="preserve">Adonis himself being identified with Tammuz (but see F.</w:t></w:r>
</w:p>
<w:p>
<w:pPr><w:pStyle w:val="Normal"/></w:pPr>
<w:r><w:t xml:space="preserve">Dummler in Pauly-Wissowa&apos;s Realencyklopadie, who does not</w:t></w:r>
</w:p>
<w:p>
<w:pPr><w:pStyle w:val="Normal"/></w:pPr>
<w:r><w:t xml:space="preserve">admit a Semitic origin for either name or cult).  The name</w:t></w:r>
</w:p>
<w:p>
<w:pPr><w:pStyle w:val="Normal"/></w:pPr>
<w:r><w:t xml:space="preserve">Abobas, by which he was known at Perga in Pamphyha, certainly</w:t></w:r>
</w:p>
<w:p>
<w:pPr><w:pStyle w:val="Normal"/></w:pPr>
<w:r><w:t xml:space="preserve">seems connected with abub (a Semitic word for ``flute&apos;&apos;; cf.</w:t></w:r>
</w:p>
<w:p>
<w:pPr><w:pStyle w:val="Normal"/></w:pPr>
<w:r><w:t xml:space="preserve">``ambubaiarum collegia&apos;&apos; in Horace, Satires, i. 2. 1). (See</w:t></w:r>
</w:p>
<w:p>
<w:pPr><w:pStyle w:val="Normal"/></w:pPr>
<w:r><w:t xml:space="preserve">also ATTIS.) Annual festivals, called Adonia, were held in</w:t></w:r>
</w:p>
<w:p>
<w:pPr><w:pStyle w:val="Normal"/></w:pPr>
<w:r><w:t xml:space="preserve">his honour at Byblus, Alexandria, Athens and other places.</w:t></w:r>
</w:p>
<w:p>
<w:pPr><w:pStyle w:val="Normal"/></w:pPr>
<w:r><w:t xml:space="preserve">Although there were variations in the ceremony itself and in</w:t></w:r>
</w:p>
<w:p>
<w:pPr><w:pStyle w:val="Normal"/></w:pPr>
<w:r><w:t xml:space="preserve">its date, the central idea was the death and resurrection of</w:t></w:r>
</w:p>
<w:p>
<w:pPr><w:pStyle w:val="Normal"/></w:pPr>
<w:r><w:t xml:space="preserve">Adonis.  A vivid description of the festival at Alexandria</w:t></w:r>
</w:p>
<w:p>
<w:pPr><w:pStyle w:val="Normal"/></w:pPr>
<w:r><w:t xml:space="preserve">(for which Bion probably wrote his Dirge cf. Adonis) is</w:t></w:r>
</w:p>
<w:p>
<w:pPr><w:pStyle w:val="Normal"/></w:pPr>
<w:r><w:t xml:space="preserve">given by Theocritus in his fifteenth idyll, the Adoniazusae.</w:t></w:r>
</w:p>
<w:p>
<w:pPr><w:pStyle w:val="Normal"/></w:pPr>
<w:r><w:t xml:space="preserve">On the first day, which celebrated the union of Adonis and</w:t></w:r>
</w:p>
<w:p>
<w:pPr><w:pStyle w:val="Normal"/></w:pPr>
<w:r><w:t xml:space="preserve">Aphrodite, their images were placed side by side on a silver</w:t></w:r>
</w:p>
<w:p>
<w:pPr><w:pStyle w:val="Normal"/></w:pPr>
<w:r><w:t xml:space="preserve">couch, around them all the fruits of the season, ``Adonis</w:t></w:r>
</w:p>
<w:p>
<w:pPr><w:pStyle w:val="Normal"/></w:pPr>
<w:r><w:t xml:space="preserve">gardens&apos;&apos; in silver baskets, golden boxes of myrrh, cakes of</w:t></w:r>
</w:p>
<w:p>
<w:pPr><w:pStyle w:val="Normal"/></w:pPr>
<w:r><w:t xml:space="preserve">meal, honey and oil, made in the likeness of things that</w:t></w:r>
</w:p>
<w:p>
<w:pPr><w:pStyle w:val="Normal"/></w:pPr>
<w:r><w:t xml:space="preserve">creep and things that fly.  On the day following the image</w:t></w:r>
</w:p>
<w:p>
<w:pPr><w:pStyle w:val="Normal"/></w:pPr>
<w:r><w:t xml:space="preserve">of Adonis was carried down to the shore and cast into the</w:t></w:r>
</w:p>
<w:p>
<w:pPr><w:pStyle w:val="Normal"/></w:pPr>
<w:r><w:t xml:space="preserve">sea by women with dishevelled hair and bared breasts.  At</w:t></w:r>
</w:p>
<w:p>
<w:pPr><w:pStyle w:val="Normal"/></w:pPr>
<w:r><w:t xml:space="preserve">the same time a song was sung, in which the god was entreated</w:t></w:r>
</w:p>
<w:p>
<w:pPr><w:pStyle w:val="Normal"/></w:pPr>
<w:r><w:t xml:space="preserve">to be propitious in the coming year.  This festival, like</w:t></w:r>
</w:p>
<w:p>
<w:pPr><w:pStyle w:val="Normal"/></w:pPr>
<w:r><w:t xml:space="preserve">that at Athens, was held late in summer; at Byblus, where</w:t></w:r>
</w:p>
<w:p>
<w:pPr><w:pStyle w:val="Normal"/></w:pPr>
<w:r><w:t xml:space="preserve">the mourning . ceremony preceded, it took place in spring.</w:t></w:r>
</w:p>
<w:p>
<w:pPr><w:pStyle w:val="Normal"/></w:pPr>
<w:r><w:t xml:space="preserve">It is now generally agreed that Adonis is a vegetation spirit,</w:t></w:r>
</w:p>
<w:p>
<w:pPr><w:pStyle w:val="Normal"/></w:pPr>
<w:r><w:t xml:space="preserve">whose death and return to life represent the decay of nature</w:t></w:r>
</w:p>
<w:p>
<w:pPr><w:pStyle w:val="Normal"/></w:pPr>
<w:r><w:t xml:space="preserve">in winter and its revival in spring.  He is born from the</w:t></w:r>
</w:p>
<w:p>
<w:pPr><w:pStyle w:val="Normal"/></w:pPr>
<w:r><w:t xml:space="preserve">myrrh-tree, the oil of which is used at his festival; he is</w:t></w:r>
</w:p>
<w:p>
<w:pPr><w:pStyle w:val="Normal"/></w:pPr>
<w:r><w:t xml:space="preserve">connected with Aphrodite in her character of vegetation-goddess.</w:t></w:r>
</w:p>
<w:p>
<w:pPr><w:pStyle w:val="Normal"/></w:pPr>
<w:r><w:t xml:space="preserve">A special feature of the Athenian festival was the ``Adonis</w:t></w:r>
</w:p>
<w:p>
<w:pPr><w:pStyle w:val="Normal"/></w:pPr>
<w:r><w:t xml:space="preserve">gardens,&apos;&apos; small pots of flowers forced to grow artificially,</w:t></w:r>
</w:p>
<w:p>
<w:pPr><w:pStyle w:val="Normal"/></w:pPr>
<w:r><w:t xml:space="preserve">which rapidly faded (hence the expression was used to denote</w:t></w:r>
</w:p>
<w:p>
<w:pPr><w:pStyle w:val="Normal"/></w:pPr>
<w:r><w:t xml:space="preserve">any transitory pleasure).  The dispute between Aphrodite</w:t></w:r>
</w:p>
<w:p>
<w:pPr><w:pStyle w:val="Normal"/></w:pPr>
<w:r><w:t xml:space="preserve">and Persephone for the possession of Adonis, settled by the</w:t></w:r>
</w:p>
<w:p>
<w:pPr><w:pStyle w:val="Normal"/></w:pPr>
<w:r><w:t xml:space="preserve">agreement that he is to spend a third (or half) of the year</w:t></w:r>
</w:p>
<w:p>
<w:pPr><w:pStyle w:val="Normal"/></w:pPr>
<w:r><w:t xml:space="preserve">in the lower-world (the seed at first underground and then</w:t></w:r>
</w:p>
<w:p>
<w:pPr><w:pStyle w:val="Normal"/></w:pPr>
<w:r><w:t xml:space="preserve">reappearing above it), finds a parallel in the story of Tammuz</w:t></w:r>
</w:p>
<w:p>
<w:pPr><w:pStyle w:val="Normal"/></w:pPr>
<w:r><w:t xml:space="preserve">and Ishtar (see APHRODITE) The ceremony of the Adonia was</w:t></w:r>
</w:p>
<w:p>
<w:pPr><w:pStyle w:val="Normal"/></w:pPr>
<w:r><w:t xml:space="preserve">intended as a charm to promote the growth of vegetation,</w:t></w:r>
</w:p>
<w:p>
<w:pPr><w:pStyle w:val="Normal"/></w:pPr>
<w:r><w:t xml:space="preserve">the throwing of the gardens and images into the water being</w:t></w:r>
</w:p>
<w:p>
<w:pPr><w:pStyle w:val="Normal"/></w:pPr>
<w:r><w:t xml:space="preserve">supposed to procure a supply of rain (for European parallels see</w:t></w:r>
</w:p>
<w:p>
<w:pPr><w:pStyle w:val="Normal"/></w:pPr>
<w:r><w:t xml:space="preserve">Mannhardt).  It is suggested (Frazer) that Adonis is not a</w:t></w:r>
</w:p>
<w:p>
<w:pPr><w:pStyle w:val="Normal"/></w:pPr>
<w:r><w:t xml:space="preserve">god of vegetation generally, but specially a corn-spirit,</w:t></w:r>
</w:p>
<w:p>
<w:pPr><w:pStyle w:val="Normal"/></w:pPr>
<w:r><w:t xml:space="preserve">and that the lamentation is not for the decay of vegetation</w:t></w:r>
</w:p>
<w:p>
<w:pPr><w:pStyle w:val="Normal"/></w:pPr>
<w:r><w:t xml:space="preserve">in winter, but for the cruel treatment of the corn by the</w:t></w:r>
</w:p>
<w:p>
<w:pPr><w:pStyle w:val="Normal"/></w:pPr>
<w:r><w:t xml:space="preserve">reaper and miller (cf. Robert Burns&apos;s John Barleycorn.)</w:t></w:r>
</w:p>
<w:p>
<w:pPr><w:pStyle w:val="Normal"/></w:pPr>
<w:r><w:t xml:space="preserve">All important element in the story is the connexion of</w:t></w:r>
</w:p>
<w:p>
<w:pPr><w:pStyle w:val="Normal"/></w:pPr>
<w:r><w:t xml:space="preserve">Adonis with the boar, which (according to one version) brings</w:t></w:r>
</w:p>
<w:p>
<w:pPr><w:pStyle w:val="Normal"/></w:pPr>
<w:r><w:t xml:space="preserve">him into the world by splitting with his tusk the bark of</w:t></w:r>
</w:p>
<w:p>
<w:pPr><w:pStyle w:val="Normal"/></w:pPr>
<w:r><w:t xml:space="preserve">the tree into which Smyrna was changed, and finally kills</w:t></w:r>
</w:p>
<w:p>
<w:pPr><w:pStyle w:val="Normal"/></w:pPr>
<w:r><w:t xml:space="preserve">him.  It is probable that Adonis himself was looked upon</w:t></w:r>
</w:p>
<w:p>
<w:pPr><w:pStyle w:val="Normal"/></w:pPr>
<w:r><w:t xml:space="preserve">as incarnate in the swine, so that the sacrifice to him by</w:t></w:r>
</w:p>
<w:p>
<w:pPr><w:pStyle w:val="Normal"/></w:pPr>
<w:r><w:t xml:space="preserve">way of expiation on special occasions of an animal which</w:t></w:r>
</w:p>
<w:p>
<w:pPr><w:pStyle w:val="Normal"/></w:pPr>
<w:r><w:t xml:space="preserve">otherwise was specially sacred, and its consumption by its</w:t></w:r>
</w:p>
<w:p>
<w:pPr><w:pStyle w:val="Normal"/></w:pPr>
<w:r><w:t xml:space="preserve">worshippers, was a sacramental act.  Other instances of a</w:t></w:r>
</w:p>
<w:p>
<w:pPr><w:pStyle w:val="Normal"/></w:pPr>
<w:r><w:t xml:space="preserve">god being sacrificed to himself as his own enemy are the</w:t></w:r>
</w:p>
<w:p>
<w:pPr><w:pStyle w:val="Normal"/></w:pPr>
<w:r><w:t xml:space="preserve">sacrifice of the goat and bull to Dionysus and of the bear to</w:t></w:r>
</w:p>
<w:p>
<w:pPr><w:pStyle w:val="Normal"/></w:pPr>
<w:r><w:t xml:space="preserve">Artemis.  The swine would be sacrificed as having caused the</w:t></w:r>
</w:p>
<w:p>
<w:pPr><w:pStyle w:val="Normal"/></w:pPr>
<w:r><w:t xml:space="preserve">death of Adonis, which explains the dislike of Aphrodite for that</w:t></w:r>
</w:p>
<w:p>
<w:pPr><w:pStyle w:val="Normal"/></w:pPr>
<w:r><w:t xml:space="preserve">animal.  It has been observed that whenever swine sacrifices</w:t></w:r>
</w:p>
<w:p>
<w:pPr><w:pStyle w:val="Normal"/></w:pPr>
<w:r><w:t xml:space="preserve">occur in the ritual of Aphrodite there is reference to Adonis.</w:t></w:r>
</w:p>
<w:p>
<w:pPr><w:pStyle w:val="Normal"/></w:pPr>
<w:r><w:t xml:space="preserve">In any vase, the conception of Adonis as a swine-god does not</w:t></w:r>
</w:p>
<w:p>
<w:pPr><w:pStyle w:val="Normal"/></w:pPr>
<w:r><w:t xml:space="preserve">contradict the idea of him as a vegetation or corn spirit, which</w:t></w:r>
</w:p>
<w:p>
<w:pPr><w:pStyle w:val="Normal"/></w:pPr>
<w:r><w:t xml:space="preserve">in many parts of Europe appears in the form of a boar or sow.</w:t></w:r>
</w:p>
<w:p>
<w:pPr><w:pStyle w:val="Normal"/></w:pPr>
<w:r><w:t xml:space="preserve">AUTHORITIES.--H.  Brugsch, Die Adonisklage und das</w:t></w:r>
</w:p>
<w:p>
<w:pPr><w:pStyle w:val="Normal"/></w:pPr>
<w:r><w:t xml:space="preserve">Linoslied (Berlin, 1852); Grove, De Adonide (Leipzig,</w:t></w:r>
</w:p>
<w:p>
<w:pPr><w:pStyle w:val="Normal"/></w:pPr>
<w:r><w:t xml:space="preserve">1877); W. H. Engel, Kypros, ii. (1841), still valuable;</w:t></w:r>
</w:p>
<w:p>
<w:pPr><w:pStyle w:val="Normal"/></w:pPr>
<w:r><w:t xml:space="preserve">W. Mannhardt, Wald- und Feldkulte, ii. (1905); M. P.</w:t></w:r>
</w:p>
<w:p>
<w:pPr><w:pStyle w:val="Normal"/></w:pPr>
<w:r><w:t xml:space="preserve">Nilsson, Griechische Feste (Leipzig, 1906); articles in</w:t></w:r>
</w:p>
<w:p>
<w:pPr><w:pStyle w:val="Normal"/></w:pPr>
<w:r><w:t xml:space="preserve">Roscher&apos;s Lexikon and Pauly-Wissowa&apos;s Encyklopadie J.</w:t></w:r>
</w:p>
<w:p>
<w:pPr><w:pStyle w:val="Normal"/></w:pPr>
<w:r><w:t xml:space="preserve">G. Frazer, The Golden Bough, ii. (2nd ed.), p. 113, and</w:t></w:r>
</w:p>
<w:p>
<w:pPr><w:pStyle w:val="Normal"/></w:pPr>
<w:r><w:t xml:space="preserve">Adonis, Attis and Osiris (1906); L. R. Farnell, Cults of</w:t></w:r>
</w:p>
<w:p>
<w:pPr><w:pStyle w:val="Normal"/></w:pPr>
<w:r><w:t xml:space="preserve">the Greek States, ii. p. 646; W. Robertson Smith (Religion</w:t></w:r>
</w:p>
<w:p>
<w:pPr><w:pStyle w:val="Normal"/></w:pPr>
<w:r><w:t xml:space="preserve">of the Semites, new ed., 1894, pp. 191, 290, 411), who,</w:t></w:r>
</w:p>
<w:p>
<w:pPr><w:pStyle w:val="Normal"/></w:pPr>
<w:r><w:t xml:space="preserve">regarding Adonis as the swine-god, characterizes the Adonia</w:t></w:r>
</w:p>
<w:p>
<w:pPr><w:pStyle w:val="Normal"/></w:pPr>
<w:r><w:t xml:space="preserve">as an annual piacular sacrifice (of swine), ``in which the</w:t></w:r>
</w:p>
<w:p>
<w:pPr><w:pStyle w:val="Normal"/></w:pPr>
<w:r><w:t xml:space="preserve">sacrifice has come to be overshadowed by its popular and</w:t></w:r>
</w:p>
<w:p>
<w:pPr><w:pStyle w:val="Normal"/></w:pPr>
<w:r><w:t xml:space="preserve">dramatic accompaniments, to which the Greek celebration,</w:t></w:r>
</w:p>
<w:p>
<w:pPr><w:pStyle w:val="Normal"/></w:pPr>
<w:r><w:t xml:space="preserve">not forming part of the state religion, was limited.&apos;&apos;</w:t></w:r>
</w:p>
<w:p>
<w:pPr><w:pStyle w:val="Normal"/></w:pPr>
<w:r><w:t xml:space="preserve">ADONIS, a genus of plants belonging to the natural order</w:t></w:r>
</w:p>
<w:p>
<w:pPr><w:pStyle w:val="Normal"/></w:pPr>
<w:r><w:t xml:space="preserve">Ranunculaceae, known commonly by the nomes of pheasant&apos;s</w:t></w:r>
</w:p>
<w:p>
<w:pPr><w:pStyle w:val="Normal"/></w:pPr>
<w:r><w:t xml:space="preserve">eye and Flos Adonis. They are annual or perennial</w:t></w:r>
</w:p>
<w:p>
<w:pPr><w:pStyle w:val="Normal"/></w:pPr>
<w:r><w:t xml:space="preserve">herbs with much divided leaves and yellow or red flowers.</w:t></w:r>
</w:p>
<w:p>
<w:pPr><w:pStyle w:val="Normal"/></w:pPr>
<w:r><w:t xml:space="preserve">Adonis autumnalis has become naturalized in some parts</w:t></w:r>
</w:p>
<w:p>
<w:pPr><w:pStyle w:val="Normal"/></w:pPr>
<w:r><w:t xml:space="preserve">of England; the petals are scarlet with a dark spot at the</w:t></w:r>
</w:p>
<w:p>
<w:pPr><w:pStyle w:val="Normal"/></w:pPr>
<w:r><w:t xml:space="preserve">base.  An early flowering species, Adonis vernalis, with</w:t></w:r>
</w:p>
<w:p>
<w:pPr><w:pStyle w:val="Normal"/></w:pPr>
<w:r><w:t xml:space="preserve">large bright yellow flowers, is well worthy of cultivation.</w:t></w:r>
</w:p>
<w:p>
<w:pPr><w:pStyle w:val="Normal"/></w:pPr>
<w:r><w:t xml:space="preserve">It prefers a deep light soil.  The name is also given to the</w:t></w:r>
</w:p>
<w:p>
<w:pPr><w:pStyle w:val="Normal"/></w:pPr>
<w:r><w:t xml:space="preserve">butterfly, Mazarine or Clifton Blue (Polyomreatus Adonis).</w:t></w:r>
</w:p>
<w:p>
<w:pPr><w:pStyle w:val="Normal"/></w:pPr>
<w:r><w:t xml:space="preserve">ADOPTIANISM. As the theological doctrine of the Logos which</w:t></w:r>
</w:p>
<w:p>
<w:pPr><w:pStyle w:val="Normal"/></w:pPr>
<w:r><w:t xml:space="preserve">bulks so largely in the writings of the apologists of the</w:t></w:r>
</w:p>
<w:p>
<w:pPr><w:pStyle w:val="Normal"/></w:pPr>
<w:r><w:t xml:space="preserve">2nd century came to the front, the trinitarian problem became</w:t></w:r>
</w:p>
<w:p>
<w:pPr><w:pStyle w:val="Normal"/></w:pPr>
<w:r><w:t xml:space="preserve">acute.  The necessity of a constant protest against polytheism</w:t></w:r>
</w:p>
<w:p>
<w:pPr><w:pStyle w:val="Normal"/></w:pPr>
<w:r><w:t xml:space="preserve">led to a tenacious insistence on the divine unity, and the</w:t></w:r>
</w:p>
<w:p>
<w:pPr><w:pStyle w:val="Normal"/></w:pPr>
<w:r><w:t xml:space="preserve">task was to reconcile this unity with the deity of Jesus</w:t></w:r>
</w:p>
<w:p>
<w:pPr><w:pStyle w:val="Normal"/></w:pPr>
<w:r><w:t xml:space="preserve">Christ.  Some thinkers fell back on the ``modalistic&apos;&apos; solution</w:t></w:r>
</w:p>
<w:p>
<w:pPr><w:pStyle w:val="Normal"/></w:pPr>
<w:r><w:t xml:space="preserve">which regards ``Father&apos;&apos; and ``Son&apos;&apos; as two aspects of the</w:t></w:r>
</w:p>
<w:p>
<w:pPr><w:pStyle w:val="Normal"/></w:pPr>
<w:r><w:t xml:space="preserve">same subject, but a simpler and more popular method was the</w:t></w:r>
</w:p>
<w:p>
<w:pPr><w:pStyle w:val="Normal"/></w:pPr>
<w:r><w:t xml:space="preserve">``adoptionist&apos;&apos; or humanitarian.  Basing their views on the</w:t></w:r>
</w:p>
<w:p>
<w:pPr><w:pStyle w:val="Normal"/></w:pPr>
<w:r><w:t xml:space="preserve">synoptic Gospels, and tracing descent from the obscure sect</w:t></w:r>
</w:p>
<w:p>
<w:pPr><w:pStyle w:val="Normal"/></w:pPr>
<w:r><w:t xml:space="preserve">of the Alogi, the Adoptianists under Theodotus of Byzantium</w:t></w:r>
</w:p>
<w:p>
<w:pPr><w:pStyle w:val="Normal"/></w:pPr>
<w:r><w:t xml:space="preserve">tried to found a school at Rome c. 185, asserting that</w:t></w:r>
</w:p>
<w:p>
<w:pPr><w:pStyle w:val="Normal"/></w:pPr>
<w:r><w:t xml:space="preserve">Jesus was a man, filled with the Holy Spirit&apos;s inspiration</w:t></w:r>
</w:p>
<w:p>
<w:pPr><w:pStyle w:val="Normal"/></w:pPr>
<w:r><w:t xml:space="preserve">from his baptism; and sa attaining such a perfection of</w:t></w:r>
</w:p>
<w:p>
<w:pPr><w:pStyle w:val="Normal"/></w:pPr>
<w:r><w:t xml:space="preserve">holiness that he was adopted by God and exalted to divine</w:t></w:r>
</w:p>
<w:p>
<w:pPr><w:pStyle w:val="Normal"/></w:pPr>
<w:r><w:t xml:space="preserve">dignity.  Theodotus was excommunicated by the bishop of</w:t></w:r>
</w:p>
<w:p>
<w:pPr><w:pStyle w:val="Normal"/></w:pPr>
<w:r><w:t xml:space="preserve">Rome, Victor, c. 195, but his followers lived on under a</w:t></w:r>
</w:p>
<w:p>
<w:pPr><w:pStyle w:val="Normal"/></w:pPr>
<w:r><w:t xml:space="preserve">younger teacher of the same name and under Artemon. while</w:t></w:r>
</w:p>
<w:p>
<w:pPr><w:pStyle w:val="Normal"/></w:pPr>
<w:r><w:t xml:space="preserve">in the Fast similar views were expounded by Beryllus of</w:t></w:r>
</w:p>
<w:p>
<w:pPr><w:pStyle w:val="Normal"/></w:pPr>
<w:r><w:t xml:space="preserve">Bostra and Paul of Samosata, who undoubtedly influenced</w:t></w:r>
</w:p>
<w:p>
<w:pPr><w:pStyle w:val="Normal"/></w:pPr>
<w:r><w:t xml:space="preserve">Lucian of Antioch and his school, including Arius and, later,</w:t></w:r>
</w:p>
<w:p>
<w:pPr><w:pStyle w:val="Normal"/></w:pPr>
<w:r><w:t xml:space="preserve">Nestorius.  There is thus a traceable historical connexion</w:t></w:r>
</w:p>
<w:p>
<w:pPr><w:pStyle w:val="Normal"/></w:pPr>
<w:r><w:t xml:space="preserve">between the early adoptian controversy and the struggle</w:t></w:r>
</w:p>
<w:p>
<w:pPr><w:pStyle w:val="Normal"/></w:pPr>
<w:r><w:t xml:space="preserve">in Spain at the end of the 8th century, to which that name</w:t></w:r>
</w:p>
<w:p>
<w:pPr><w:pStyle w:val="Normal"/></w:pPr>
<w:r><w:t xml:space="preserve">is usually given.  It was indeed only a renewal, under new</w:t></w:r>
</w:p>
<w:p>
<w:pPr><w:pStyle w:val="Normal"/></w:pPr>
<w:r><w:t xml:space="preserve">conditions, of the conflict between two types of thought, the</w:t></w:r>
</w:p>
<w:p>
<w:pPr><w:pStyle w:val="Normal"/></w:pPr>
<w:r><w:t xml:space="preserve">rational and the mystical, the school of Antioch and that of</w:t></w:r>
</w:p>
<w:p>
<w:pPr><w:pStyle w:val="Normal"/></w:pPr>
<w:r><w:t xml:space="preserve">Alexandria.  The writings of Theodore of Mopsuestia had</w:t></w:r>
</w:p>
<w:p>
<w:pPr><w:pStyle w:val="Normal"/></w:pPr>
<w:r><w:t xml:space="preserve">become well known in the West, especially since the strife</w:t></w:r>
</w:p>
<w:p>
<w:pPr><w:pStyle w:val="Normal"/></w:pPr>
<w:r><w:t xml:space="preserve">over the ``three chapters&apos;&apos; (544-553), and the opposition</w:t></w:r>
</w:p>
<w:p>
<w:pPr><w:pStyle w:val="Normal"/></w:pPr>
<w:r><w:t xml:space="preserve">of Islam also partly determined the form of men&apos;s views on</w:t></w:r>
</w:p>
<w:p>
<w:pPr><w:pStyle w:val="Normal"/></w:pPr>
<w:r><w:t xml:space="preserve">the doctrine of Christ&apos;s person.  We must further remember</w:t></w:r>
</w:p>
<w:p>
<w:pPr><w:pStyle w:val="Normal"/></w:pPr>
<w:r><w:t xml:space="preserve">the dyophysitism which had been sanctioned at the council of</w:t></w:r>
</w:p>
<w:p>
<w:pPr><w:pStyle w:val="Normal"/></w:pPr>
<w:r><w:t xml:space="preserve">Chalcedon.  About 780 Ehpandus (b. 718), archbishop of</w:t></w:r>
</w:p>
<w:p>
<w:pPr><w:pStyle w:val="Normal"/></w:pPr>
<w:r><w:t xml:space="preserve">Toledo, revived and vehemently defended the expression</w:t></w:r>
</w:p>
<w:p>
<w:pPr><w:pStyle w:val="Normal"/></w:pPr>
<w:r><w:t xml:space="preserve">Christus Filius Dei adoptivus, and was aided by his much</w:t></w:r>
</w:p>
<w:p>
<w:pPr><w:pStyle w:val="Normal"/></w:pPr>
<w:r><w:t xml:space="preserve">more gifted friend Felix, bishop of Urgella.  They held that</w:t></w:r>
</w:p>
<w:p>
<w:pPr><w:pStyle w:val="Normal"/></w:pPr>
<w:r><w:t xml:space="preserve">the duality of natutes implied a distinction between two</w:t></w:r>
</w:p>
<w:p>
<w:pPr><w:pStyle w:val="Normal"/></w:pPr>
<w:r><w:t xml:space="preserve">modes of sonship in Christ---the natural or proper, and the</w:t></w:r>
</w:p>
<w:p>
<w:pPr><w:pStyle w:val="Normal"/></w:pPr>
<w:r><w:t xml:space="preserve">adoptive.  In support of their views they appealed to scripture</w:t></w:r>
</w:p>
<w:p>
<w:pPr><w:pStyle w:val="Normal"/></w:pPr>
<w:r><w:t xml:space="preserve">and to the Western Fathers, who had used the term ``adoption&apos;&apos;</w:t></w:r>
</w:p>
<w:p>
<w:pPr><w:pStyle w:val="Normal"/></w:pPr>
<w:r><w:t xml:space="preserve">as synonymous with ``assumption&apos;&apos; in the orthodox sense; and</w:t></w:r>
</w:p>
<w:p>
<w:pPr><w:pStyle w:val="Normal"/></w:pPr>
<w:r><w:t xml:space="preserve">especially to Christ&apos;s fraternal relation to Christians--the</w:t></w:r>
</w:p>
<w:p>
<w:pPr><w:pStyle w:val="Normal"/></w:pPr>
<w:r><w:t xml:space="preserve">brother of God&apos;s adopted sons.  Christ, the firstborn among</w:t></w:r>
</w:p>
<w:p>
<w:pPr><w:pStyle w:val="Normal"/></w:pPr>
<w:r><w:t xml:space="preserve">many brethren, had a natural birth at Bethlehem and also a</w:t></w:r>
</w:p>
<w:p>
<w:pPr><w:pStyle w:val="Normal"/></w:pPr>
<w:r><w:t xml:space="preserve">spiritual birth begun at his baptism and consummated at his</w:t></w:r>
</w:p>
<w:p>
<w:pPr><w:pStyle w:val="Normal"/></w:pPr>
<w:r><w:t xml:space="preserve">resurrection.  Thus they did not teach a dual personality,</w:t></w:r>
</w:p>
<w:p>
<w:pPr><w:pStyle w:val="Normal"/></w:pPr>
<w:r><w:t xml:space="preserve">nor the old Antiochene view that Christ&apos;s divine exaltation was</w:t></w:r>
</w:p>
<w:p>
<w:pPr><w:pStyle w:val="Normal"/></w:pPr>
<w:r><w:t xml:space="preserve">due to his sinless virtue; they were less concerned with old</w:t></w:r>
</w:p>
<w:p>
<w:pPr><w:pStyle w:val="Normal"/></w:pPr>
<w:r><w:t xml:space="preserve">disputes than with the problem as the Chalcedon decision had left</w:t></w:r>
</w:p>
<w:p>
<w:pPr><w:pStyle w:val="Normal"/></w:pPr>
<w:r><w:t xml:space="preserve">it--the relation of Christ&apos;s one personality to his two natures.</w:t></w:r>
</w:p>
<w:p>
<w:pPr><w:pStyle w:val="Normal"/></w:pPr>
<w:r><w:t xml:space="preserve">Felix introduced adoptian views into that part of Spain which</w:t></w:r>
</w:p>
<w:p>
<w:pPr><w:pStyle w:val="Normal"/></w:pPr>
<w:r><w:t xml:space="preserve">belonged to the Franks, and Charlemagne thought it necessary</w:t></w:r>
</w:p>
<w:p>
<w:pPr><w:pStyle w:val="Normal"/></w:pPr>
<w:r><w:t xml:space="preserve">to assemble a synod at Regensburg (Ratisbon), in 792, before</w:t></w:r>
</w:p>
<w:p>
<w:pPr><w:pStyle w:val="Normal"/></w:pPr>
<w:r><w:t xml:space="preserve">which the bishop was summoned to explain and justify the new</w:t></w:r>
</w:p>
<w:p>
<w:pPr><w:pStyle w:val="Normal"/></w:pPr>
<w:r><w:t xml:space="preserve">doctrine.  Instead of this he renounced it, and confirmed</w:t></w:r>
</w:p>
<w:p>
<w:pPr><w:pStyle w:val="Normal"/></w:pPr>
<w:r><w:t xml:space="preserve">his renunciation by a solemn oath to Pope Adrian, to whom</w:t></w:r>
</w:p>
<w:p>
<w:pPr><w:pStyle w:val="Normal"/></w:pPr>
<w:r><w:t xml:space="preserve">the synod sent him.  The recantation was probably insincere,</w:t></w:r>
</w:p>
<w:p>
<w:pPr><w:pStyle w:val="Normal"/></w:pPr>
<w:r><w:t xml:space="preserve">for on returning to his diocese he taught adoptianism as</w:t></w:r>
</w:p>
<w:p>
<w:pPr><w:pStyle w:val="Normal"/></w:pPr>
<w:r><w:t xml:space="preserve">before.  Another synod was held at Frankfort in 794,</w:t></w:r>
</w:p>
<w:p>
<w:pPr><w:pStyle w:val="Normal"/></w:pPr>
<w:r><w:t xml:space="preserve">by which the new doctrine was again formally condemned,</w:t></w:r>
</w:p>
<w:p>
<w:pPr><w:pStyle w:val="Normal"/></w:pPr>
<w:r><w:t xml:space="preserve">though neither Felix nor any of his followers appeared.</w:t></w:r>
</w:p>
<w:p>
<w:pPr><w:pStyle w:val="Normal"/></w:pPr>
<w:r><w:t xml:space="preserve">In this synod Alcuin of York took part.  A friendly letter from</w:t></w:r>
</w:p>
<w:p>
<w:pPr><w:pStyle w:val="Normal"/></w:pPr>
<w:r><w:t xml:space="preserve">Alcuin, and a controversial pamphlet, to which Felix replied,</w:t></w:r>
</w:p>
<w:p>
<w:pPr><w:pStyle w:val="Normal"/></w:pPr>
<w:r><w:t xml:space="preserve">were followed by the sending of several commissions of clergy</w:t></w:r>
</w:p>
<w:p>
<w:pPr><w:pStyle w:val="Normal"/></w:pPr>
<w:r><w:t xml:space="preserve">to Spain to endeavour to put down the heresy.  Archbishop</w:t></w:r>
</w:p>
<w:p>
<w:pPr><w:pStyle w:val="Normal"/></w:pPr>
<w:r><w:t xml:space="preserve">Leidrad (d. 816) of Lyons, being on one of these commissions,</w:t></w:r>
</w:p>
<w:p>
<w:pPr><w:pStyle w:val="Normal"/></w:pPr>
<w:r><w:t xml:space="preserve">persuaded Felix to appear before a synod at Aix-la-Chapelle</w:t></w:r>
</w:p>
<w:p>
<w:pPr><w:pStyle w:val="Normal"/></w:pPr>
<w:r><w:t xml:space="preserve">in 799. There, after six days&apos; disputing with Alcuin, he again</w:t></w:r>
</w:p>
<w:p>
<w:pPr><w:pStyle w:val="Normal"/></w:pPr>
<w:r><w:t xml:space="preserve">recanted his heresy.  The rest of his life was spent under the</w:t></w:r>
</w:p>
<w:p>
<w:pPr><w:pStyle w:val="Normal"/></w:pPr>
<w:r><w:t xml:space="preserve">supervision of the archbishop at Lyons, where he died in 816.</w:t></w:r>
</w:p>
<w:p>
<w:pPr><w:pStyle w:val="Normal"/></w:pPr>
<w:r><w:t xml:space="preserve">Elipapdus, secure in his see at Toledo, never swerved from</w:t></w:r>
</w:p>
<w:p>
<w:pPr><w:pStyle w:val="Normal"/></w:pPr>
<w:r><w:t xml:space="preserve">the adoptian views, which, however, were almost universally</w:t></w:r>
</w:p>
<w:p>
<w:pPr><w:pStyle w:val="Normal"/></w:pPr>
<w:r><w:t xml:space="preserve">abandoned after the two leaders died.  In the scholastic</w:t></w:r>
</w:p>
<w:p>
<w:pPr><w:pStyle w:val="Normal"/></w:pPr>
<w:r><w:t xml:space="preserve">discussions of the 12th century the question came to the front</w:t></w:r>
</w:p>
<w:p>
<w:pPr><w:pStyle w:val="Normal"/></w:pPr>
<w:r><w:t xml:space="preserve">again, for the doctrine as framed by Alcuin was not universally</w:t></w:r>
</w:p>
<w:p>
<w:pPr><w:pStyle w:val="Normal"/></w:pPr>
<w:r><w:t xml:space="preserve">accepted.  Thus both Abelard and Peter Lombard, in the interest</w:t></w:r>
</w:p>
<w:p>
<w:pPr><w:pStyle w:val="Normal"/></w:pPr>
<w:r><w:t xml:space="preserve">of the immutability of the divine substance (holding that God</w:t></w:r>
</w:p>
<w:p>
<w:pPr><w:pStyle w:val="Normal"/></w:pPr>
<w:r><w:t xml:space="preserve">could not ``become&apos;, anything), gravitated towards a Nestorian</w:t></w:r>
</w:p>
<w:p>
<w:pPr><w:pStyle w:val="Normal"/></w:pPr>
<w:r><w:t xml:space="preserve">position.  The great opponent of their Christology, which</w:t></w:r>
</w:p>
<w:p>
<w:pPr><w:pStyle w:val="Normal"/></w:pPr>
<w:r><w:t xml:space="preserve">was known as Nihilianism, was the German scholar Gerhoch,</w:t></w:r>
</w:p>
<w:p>
<w:pPr><w:pStyle w:val="Normal"/></w:pPr>
<w:r><w:t xml:space="preserve">who, for his bold assertion of the perfect interpenetration</w:t></w:r>
</w:p>
<w:p>
<w:pPr><w:pStyle w:val="Normal"/></w:pPr>
<w:r><w:t xml:space="preserve">of deity and humanity in Christ, was accused of Eutychianism.</w:t></w:r>
</w:p>
<w:p>
<w:pPr><w:pStyle w:val="Normal"/></w:pPr>
<w:r><w:t xml:space="preserve">The proposition Deus non factus est aliquid secundum quod</w:t></w:r>
</w:p>
<w:p>
<w:pPr><w:pStyle w:val="Normal"/></w:pPr>
<w:r><w:t xml:space="preserve">est homo was condemned by a synod of Tours in 1163 and again</w:t></w:r>
</w:p>
<w:p>
<w:pPr><w:pStyle w:val="Normal"/></w:pPr>
<w:r><w:t xml:space="preserve">by the Lateran synod of 1179, but Adoptianism continued all</w:t></w:r>
</w:p>
<w:p>
<w:pPr><w:pStyle w:val="Normal"/></w:pPr>
<w:r><w:t xml:space="preserve">through the middle ages to be a source of theological dispute.</w:t></w:r>
</w:p>
<w:p>
<w:pPr><w:pStyle w:val="Normal"/></w:pPr>
<w:r><w:t xml:space="preserve">See A. Harnack, Hist. of Dogma, esp. vol. v. pp.</w:t></w:r>
</w:p>
<w:p>
<w:pPr><w:pStyle w:val="Normal"/></w:pPr>
<w:r><w:t xml:space="preserve">279-292; R. Ottley, The Doctrine of the Incarnation,</w:t></w:r>
</w:p>
<w:p>
<w:pPr><w:pStyle w:val="Normal"/></w:pPr>
<w:r><w:t xml:space="preserve">vol. i. p. 228 ff, vol. ii. pp. 151-161; Herzog-Hauck,</w:t></w:r>
</w:p>
<w:p>
<w:pPr><w:pStyle w:val="Normal"/></w:pPr>
<w:r><w:t xml:space="preserve">Realenclyk., art. ``Adoptianismus.&apos;&apos; (A. J. G.)</w:t></w:r>
</w:p>
<w:p>
<w:pPr><w:pStyle w:val="Normal"/></w:pPr>
<w:r><w:t xml:space="preserve">ADOPTION (Lat. adoptio, for adoptatio, from adoptare,</w:t></w:r>
</w:p>
<w:p>
<w:pPr><w:pStyle w:val="Normal"/></w:pPr>
<w:r><w:t xml:space="preserve">to choose for oneself), the act by which the relations of</w:t></w:r>
</w:p>
<w:p>
<w:pPr><w:pStyle w:val="Normal"/></w:pPr>
<w:r><w:t xml:space="preserve">paternity and filiation are recognized as legally existing</w:t></w:r>
</w:p>
<w:p>
<w:pPr><w:pStyle w:val="Normal"/></w:pPr>
<w:r><w:t xml:space="preserve">between persons not so related by nature.  Cases of adoption</w:t></w:r>
</w:p>
<w:p>
<w:pPr><w:pStyle w:val="Normal"/></w:pPr>
<w:r><w:t xml:space="preserve">were very frequent among the Greeks and Romans, and the custom</w:t></w:r>
</w:p>
<w:p>
<w:pPr><w:pStyle w:val="Normal"/></w:pPr>
<w:r><w:t xml:space="preserve">was accordingly very strictly regulated in their laws.  In</w:t></w:r>
</w:p>
<w:p>
<w:pPr><w:pStyle w:val="Normal"/></w:pPr>
<w:r><w:t xml:space="preserve">Athens the power of adoption was allowed to all citizens who</w:t></w:r>
</w:p>
<w:p>
<w:pPr><w:pStyle w:val="Normal"/></w:pPr>
<w:r><w:t xml:space="preserve">were of sound mind, and who possessed no male offspring of their</w:t></w:r>
</w:p>
<w:p>
<w:pPr><w:pStyle w:val="Normal"/></w:pPr>
<w:r><w:t xml:space="preserve">own, and it could be exercised either during lifetime or by</w:t></w:r>
</w:p>
<w:p>
<w:pPr><w:pStyle w:val="Normal"/></w:pPr>
<w:r><w:t xml:space="preserve">testament.  The person adopted, who required to be himself</w:t></w:r>
</w:p>
<w:p>
<w:pPr><w:pStyle w:val="Normal"/></w:pPr>
<w:r><w:t xml:space="preserve">a citizen, was enrolled in the family and demus of the</w:t></w:r>
</w:p>
<w:p>
<w:pPr><w:pStyle w:val="Normal"/></w:pPr>
<w:r><w:t xml:space="preserve">adoptive father, whose name, however, he did not necessarily</w:t></w:r>
</w:p>
<w:p>
<w:pPr><w:pStyle w:val="Normal"/></w:pPr>
<w:r><w:t xml:space="preserve">assume.  In the interest of the next of kin, whose rights</w:t></w:r>
</w:p>
<w:p>
<w:pPr><w:pStyle w:val="Normal"/></w:pPr>
<w:r><w:t xml:space="preserve">were affected by a case of adoption, it was provided that the</w:t></w:r>
</w:p>
<w:p>
<w:pPr><w:pStyle w:val="Normal"/></w:pPr>
<w:r><w:t xml:space="preserve">registration should be attended with certain formalities, and</w:t></w:r>
</w:p>
<w:p>
<w:pPr><w:pStyle w:val="Normal"/></w:pPr>
<w:r><w:t xml:space="preserve">that it should take place at a fixed time--the festival of the</w:t></w:r>
</w:p>
<w:p>
<w:pPr><w:pStyle w:val="Normal"/></w:pPr>
<w:r><w:t xml:space="preserve">Thargelia. The rights and duties of adopted children were</w:t></w:r>
</w:p>
<w:p>
<w:pPr><w:pStyle w:val="Normal"/></w:pPr>
<w:r><w:t xml:space="preserve">almost identical with those of natural offspring, and could</w:t></w:r>
</w:p>
<w:p>
<w:pPr><w:pStyle w:val="Normal"/></w:pPr>
<w:r><w:t xml:space="preserve">not be renounced except in the case of one who had begotten</w:t></w:r>
</w:p>
<w:p>
<w:pPr><w:pStyle w:val="Normal"/></w:pPr>
<w:r><w:t xml:space="preserve">children to take his place in the family of his adoptive</w:t></w:r>
</w:p>
<w:p>
<w:pPr><w:pStyle w:val="Normal"/></w:pPr>
<w:r><w:t xml:space="preserve">father.  Adopted into another family, children ceased to</w:t></w:r>
</w:p>
<w:p>
<w:pPr><w:pStyle w:val="Normal"/></w:pPr>
<w:r><w:t xml:space="preserve">have any claim of kindred or inheritance through their</w:t></w:r>
</w:p>
<w:p>
<w:pPr><w:pStyle w:val="Normal"/></w:pPr>
<w:r><w:t xml:space="preserve">natural father, though any rights they might have through</w:t></w:r>
</w:p>
<w:p>
<w:pPr><w:pStyle w:val="Normal"/></w:pPr>
<w:r><w:t xml:space="preserve">their mother were not similarly affected.  Among the Romans</w:t></w:r>
</w:p>
<w:p>
<w:pPr><w:pStyle w:val="Normal"/></w:pPr>
<w:r><w:t xml:space="preserve">the existence of the patria potestas gave a peculiar</w:t></w:r>
</w:p>
<w:p>
<w:pPr><w:pStyle w:val="Normal"/></w:pPr>
<w:r><w:t xml:space="preserve">significance to the custom of adoption.  The motive to the</w:t></w:r>
</w:p>
<w:p>
<w:pPr><w:pStyle w:val="Normal"/></w:pPr>
<w:r><w:t xml:space="preserve">act was not so generally childlessness, or the gratification</w:t></w:r>
</w:p>
<w:p>
<w:pPr><w:pStyle w:val="Normal"/></w:pPr>
<w:r><w:t xml:space="preserve">of affection, as the desire to acquire those civil and</w:t></w:r>
</w:p>
<w:p>
<w:pPr><w:pStyle w:val="Normal"/></w:pPr>
<w:r><w:t xml:space="preserve">agnate rights which were founded on the patria potestas.</w:t></w:r>
</w:p>
<w:p>
<w:pPr><w:pStyle w:val="Normal"/></w:pPr>
<w:r><w:t xml:space="preserve">It was necessary, however, that the adopter should have no</w:t></w:r>
</w:p>
<w:p>
<w:pPr><w:pStyle w:val="Normal"/></w:pPr>
<w:r><w:t xml:space="preserve">children of his own, and that he should be of such an age</w:t></w:r>
</w:p>
<w:p>
<w:pPr><w:pStyle w:val="Normal"/></w:pPr>
<w:r><w:t xml:space="preserve">as to preclude reasonable expectation of any being born to</w:t></w:r>
</w:p>
<w:p>
<w:pPr><w:pStyle w:val="Normal"/></w:pPr>
<w:r><w:t xml:space="preserve">him.  Another limitation as to age was imposed by the maxim</w:t></w:r>
</w:p>
<w:p>
<w:pPr><w:pStyle w:val="Normal"/></w:pPr>
<w:r><w:t xml:space="preserve">adoptio imitatur naturam, which required the adoptive</w:t></w:r>
</w:p>
<w:p>
<w:pPr><w:pStyle w:val="Normal"/></w:pPr>
<w:r><w:t xml:space="preserve">father to be at least eighteen years older than the adopted</w:t></w:r>
</w:p>
<w:p>
<w:pPr><w:pStyle w:val="Normal"/></w:pPr>
<w:r><w:t xml:space="preserve">children.  According to the same maxim eunuchs were not</w:t></w:r>
</w:p>
<w:p>
<w:pPr><w:pStyle w:val="Normal"/></w:pPr>
<w:r><w:t xml:space="preserve">permitted to adopt, as being impotent to beget children for</w:t></w:r>
</w:p>
<w:p>
<w:pPr><w:pStyle w:val="Normal"/></w:pPr>
<w:r><w:t xml:space="preserve">themselves.  Adoption was of two kinds according to the state</w:t></w:r>
</w:p>
<w:p>
<w:pPr><w:pStyle w:val="Normal"/></w:pPr>
<w:r><w:t xml:space="preserve">of the person adopted, who might be either still under the</w:t></w:r>
</w:p>
<w:p>
<w:pPr><w:pStyle w:val="Normal"/></w:pPr>
<w:r><w:t xml:space="preserve">patria potestas (alieni juris), or his own master (sui</w:t></w:r>
</w:p>
<w:p>
<w:pPr><w:pStyle w:val="Normal"/></w:pPr>
<w:r><w:t xml:space="preserve">juris).  In the former case the act was one of adoption</w:t></w:r>
</w:p>
<w:p>
<w:pPr><w:pStyle w:val="Normal"/></w:pPr>
<w:r><w:t xml:space="preserve">proper, in the latter case it was styled adrogation,</w:t></w:r>
</w:p>
<w:p>
<w:pPr><w:pStyle w:val="Normal"/></w:pPr>
<w:r><w:t xml:space="preserve">though the term adoption was also used in a general sense to</w:t></w:r>
</w:p>
<w:p>
<w:pPr><w:pStyle w:val="Normal"/></w:pPr>
<w:r><w:t xml:space="preserve">describe both species.  In adoption proper the natural father</w:t></w:r>
</w:p>
<w:p>
<w:pPr><w:pStyle w:val="Normal"/></w:pPr>
<w:r><w:t xml:space="preserve">publicly sold his child to the adoptive father, and the sale</w:t></w:r>
</w:p>
<w:p>
<w:pPr><w:pStyle w:val="Normal"/></w:pPr>
<w:r><w:t xml:space="preserve">being thrice repeated, the maxim of the Twelve Tables took</w:t></w:r>
</w:p>
<w:p>
<w:pPr><w:pStyle w:val="Normal"/></w:pPr>
<w:r><w:t xml:space="preserve">effect, Si pater filium ter venunduit, filius a patre liber</w:t></w:r>
</w:p>
<w:p>
<w:pPr><w:pStyle w:val="Normal"/></w:pPr>
<w:r><w:t xml:space="preserve">esto. The process was ratified and completed by a fictitious</w:t></w:r>
</w:p>
<w:p>
<w:pPr><w:pStyle w:val="Normal"/></w:pPr>
<w:r><w:t xml:space="preserve">action of recovery brought by the adoptive father against the</w:t></w:r>
</w:p>
<w:p>
<w:pPr><w:pStyle w:val="Normal"/></w:pPr>
<w:r><w:t xml:space="preserve">natural parent, which the latter did not defend, and which was</w:t></w:r>
</w:p>
<w:p>
<w:pPr><w:pStyle w:val="Normal"/></w:pPr>
<w:r><w:t xml:space="preserve">therefore known as the cessio in jure. Adrogation could</w:t></w:r>
</w:p>
<w:p>
<w:pPr><w:pStyle w:val="Normal"/></w:pPr>
<w:r><w:t xml:space="preserve">be accomplished originally only by the authority of the people</w:t></w:r>
</w:p>
<w:p>
<w:pPr><w:pStyle w:val="Normal"/></w:pPr>
<w:r><w:t xml:space="preserve">assembled in the Comitia, but from the time of Diocletian</w:t></w:r>
</w:p>
<w:p>
<w:pPr><w:pStyle w:val="Normal"/></w:pPr>
<w:r><w:t xml:space="preserve">it was effected by an imperial rescript.  Females could not be</w:t></w:r>
</w:p>
<w:p>
<w:pPr><w:pStyle w:val="Normal"/></w:pPr>
<w:r><w:t xml:space="preserve">adrogated, and, as they did not possess the patria potestas,</w:t></w:r>
</w:p>
<w:p>
<w:pPr><w:pStyle w:val="Normal"/></w:pPr>
<w:r><w:t xml:space="preserve">they could not exercise the right of adoption in either</w:t></w:r>
</w:p>
<w:p>
<w:pPr><w:pStyle w:val="Normal"/></w:pPr>
<w:r><w:t xml:space="preserve">kind.  The whole Roman law on the subject of adoption will</w:t></w:r>
</w:p>
<w:p>
<w:pPr><w:pStyle w:val="Normal"/></w:pPr>
<w:r><w:t xml:space="preserve">be found in Justinian&apos;s Institutes, lib. i. tit. II.</w:t></w:r>
</w:p>
<w:p>
<w:pPr><w:pStyle w:val="Normal"/></w:pPr>
<w:r><w:t xml:space="preserve">In Hindu law, as in nearly every ancient system, wills</w:t></w:r>
</w:p>
<w:p>
<w:pPr><w:pStyle w:val="Normal"/></w:pPr>
<w:r><w:t xml:space="preserve">were formerly unknown, and adoptions took their place. (See</w:t></w:r>
</w:p>
<w:p>
<w:pPr><w:pStyle w:val="Normal"/></w:pPr>
<w:r><w:t xml:space="preserve">INDIAN LAW.) Adoption is not recognized in the laws of</w:t></w:r>
</w:p>
<w:p>
<w:pPr><w:pStyle w:val="Normal"/></w:pPr>
<w:r><w:t xml:space="preserve">England, Scotland or the Netherlands, though there are legal</w:t></w:r>
</w:p>
<w:p>
<w:pPr><w:pStyle w:val="Normal"/></w:pPr>
<w:r><w:t xml:space="preserve">means by which one may be enabled to assume the name and</w:t></w:r>
</w:p>
<w:p>
<w:pPr><w:pStyle w:val="Normal"/></w:pPr>
<w:r><w:t xml:space="preserve">arms and to inherit the property of a stranger. (See NAME.)</w:t></w:r>
</w:p>
<w:p>
<w:pPr><w:pStyle w:val="Normal"/></w:pPr>
<w:r><w:t xml:space="preserve">In France and Germany, countries which may he said to have</w:t></w:r>
</w:p>
<w:p>
<w:pPr><w:pStyle w:val="Normal"/></w:pPr>
<w:r><w:t xml:space="preserve">embodied the Roman law in their jurisprudence, adoption is</w:t></w:r>
</w:p>
<w:p>
<w:pPr><w:pStyle w:val="Normal"/></w:pPr>
<w:r><w:t xml:space="preserve">regulated according to the principles of Justinian, though</w:t></w:r>
</w:p>
<w:p>
<w:pPr><w:pStyle w:val="Normal"/></w:pPr>
<w:r><w:t xml:space="preserve">with several more or less important modifications, rendered</w:t></w:r>
</w:p>
<w:p>
<w:pPr><w:pStyle w:val="Normal"/></w:pPr>
<w:r><w:t xml:space="preserve">necessary by the usages of these countries respectively.  Under</w:t></w:r>
</w:p>
<w:p>
<w:pPr><w:pStyle w:val="Normal"/></w:pPr>
<w:r><w:t xml:space="preserve">French law the rights of adoption can be exercised only by</w:t></w:r>
</w:p>
<w:p>
<w:pPr><w:pStyle w:val="Normal"/></w:pPr>
<w:r><w:t xml:space="preserve">those who are over fifty years of age, and who, at the time of</w:t></w:r>
</w:p>
<w:p>
<w:pPr><w:pStyle w:val="Normal"/></w:pPr>
<w:r><w:t xml:space="preserve">adoption, have neither children nor legitimate descendants.</w:t></w:r>
</w:p>
<w:p>
<w:pPr><w:pStyle w:val="Normal"/></w:pPr>
<w:r><w:t xml:space="preserve">They must also be fifteen years older than the person adopted.</w:t></w:r>
</w:p>
<w:p>
<w:pPr><w:pStyle w:val="Normal"/></w:pPr>
<w:r><w:t xml:space="preserve">In German law the person adopting must either be fifty years of</w:t></w:r>
</w:p>
<w:p>
<w:pPr><w:pStyle w:val="Normal"/></w:pPr>
<w:r><w:t xml:space="preserve">age, or at least eighteen years older than the adopted, unless</w:t></w:r>
</w:p>
<w:p>
<w:pPr><w:pStyle w:val="Normal"/></w:pPr>
<w:r><w:t xml:space="preserve">a special dispensation is obtained.  If the person adopted</w:t></w:r>
</w:p>
<w:p>
<w:pPr><w:pStyle w:val="Normal"/></w:pPr>
<w:r><w:t xml:space="preserve">is a legitimate child, the consent of his parents must be</w:t></w:r>
</w:p>
<w:p>
<w:pPr><w:pStyle w:val="Normal"/></w:pPr>
<w:r><w:t xml:space="preserve">obtained; if illegitimate, the consent of the mother.  Both in</w:t></w:r>
</w:p>
<w:p>
<w:pPr><w:pStyle w:val="Normal"/></w:pPr>
<w:r><w:t xml:space="preserve">Germany and France the adopted child remains a member of his</w:t></w:r>
</w:p>
<w:p>
<w:pPr><w:pStyle w:val="Normal"/></w:pPr>
<w:r><w:t xml:space="preserve">original family, and acquires no rights in the family of the</w:t></w:r>
</w:p>
<w:p>
<w:pPr><w:pStyle w:val="Normal"/></w:pPr>
<w:r><w:t xml:space="preserve">adopter other than that of succession to the person adopting.</w:t></w:r>
</w:p>
<w:p>
<w:pPr><w:pStyle w:val="Normal"/></w:pPr>
<w:r><w:t xml:space="preserve">In the United States adoption is regulated by the statutes</w:t></w:r>
</w:p>
<w:p>
<w:pPr><w:pStyle w:val="Normal"/></w:pPr>
<w:r><w:t xml:space="preserve">of the several states.  Adoption of minors is permitted by</w:t></w:r>
</w:p>
<w:p>
<w:pPr><w:pStyle w:val="Normal"/></w:pPr>
<w:r><w:t xml:space="preserve">statute in many of the states.  These statutes generally require</w:t></w:r>
</w:p>
<w:p>
<w:pPr><w:pStyle w:val="Normal"/></w:pPr>
<w:r><w:t xml:space="preserve">some public notice to be given of the intention to adopt,</w:t></w:r>
</w:p>
<w:p>
<w:pPr><w:pStyle w:val="Normal"/></w:pPr>
<w:r><w:t xml:space="preserve">and an order of approval after a hearing before some public</w:t></w:r>
</w:p>
<w:p>
<w:pPr><w:pStyle w:val="Normal"/></w:pPr>
<w:r><w:t xml:space="preserve">authority.  The consequence commonly is that the person adopted</w:t></w:r>
</w:p>
<w:p>
<w:pPr><w:pStyle w:val="Normal"/></w:pPr>
<w:r><w:t xml:space="preserve">becomes, in the eyes of the law, the child of the person</w:t></w:r>
</w:p>
<w:p>
<w:pPr><w:pStyle w:val="Normal"/></w:pPr>
<w:r><w:t xml:space="preserve">adopting, for all purposes.  Such an adoption, if consummated</w:t></w:r>
</w:p>
<w:p>
<w:pPr><w:pStyle w:val="Normal"/></w:pPr>
<w:r><w:t xml:space="preserve">according to the law of the domicile, is equally effectual</w:t></w:r>
</w:p>
<w:p>
<w:pPr><w:pStyle w:val="Normal"/></w:pPr>
<w:r><w:t xml:space="preserve">in any other state into which the parties may remove.  The</w:t></w:r>
</w:p>
<w:p>
<w:pPr><w:pStyle w:val="Normal"/></w:pPr>
<w:r><w:t xml:space="preserve">relative status thus newly acquired is ubiquitous. (See Whitmore,</w:t></w:r>
</w:p>
<w:p>
<w:pPr><w:pStyle w:val="Normal"/></w:pPr>
<w:r><w:t xml:space="preserve">Laws of Adoption; Ross v. Ross, 129 Massachusetts Reports,</w:t></w:r>
</w:p>
<w:p>
<w:pPr><w:pStyle w:val="Normal"/></w:pPr>
<w:r><w:t xml:space="preserve">243.) The part played by the legal fiction of adoption in the</w:t></w:r>
</w:p>
<w:p>
<w:pPr><w:pStyle w:val="Normal"/></w:pPr>
<w:r><w:t xml:space="preserve">constitution of primitive society and the civilization of the</w:t></w:r>
</w:p>
<w:p>
<w:pPr><w:pStyle w:val="Normal"/></w:pPr>
<w:r><w:t xml:space="preserve">race is so important, that Sir Henry S. Maine, in his Ancient</w:t></w:r>
</w:p>
<w:p>
<w:pPr><w:pStyle w:val="Normal"/></w:pPr>
<w:r><w:t xml:space="preserve">Law, expresses the opinion that, had it never existed, the</w:t></w:r>
</w:p>
<w:p>
<w:pPr><w:pStyle w:val="Normal"/></w:pPr>
<w:r><w:t xml:space="preserve">primitive groups of mankind could not have coalesced except</w:t></w:r>
</w:p>
<w:p>
<w:pPr><w:pStyle w:val="Normal"/></w:pPr>
<w:r><w:t xml:space="preserve">on terms of absolute superiority on the one side and absolute</w:t></w:r>
</w:p>
<w:p>
<w:pPr><w:pStyle w:val="Normal"/></w:pPr>
<w:r><w:t xml:space="preserve">subjection on the other.  With the institution of adoption,</w:t></w:r>
</w:p>
<w:p>
<w:pPr><w:pStyle w:val="Normal"/></w:pPr>
<w:r><w:t xml:space="preserve">however, one people might feign itself as descended from the</w:t></w:r>
</w:p>
<w:p>
<w:pPr><w:pStyle w:val="Normal"/></w:pPr>
<w:r><w:t xml:space="preserve">same stock as the people to whose sacra gentilicia it was</w:t></w:r>
</w:p>
<w:p>
<w:pPr><w:pStyle w:val="Normal"/></w:pPr>
<w:r><w:t xml:space="preserve">admitted; and amicable relations were thus established between</w:t></w:r>
</w:p>
<w:p>
<w:pPr><w:pStyle w:val="Normal"/></w:pPr>
<w:r><w:t xml:space="preserve">stocks which, but for this expedient, must have submitted</w:t></w:r>
</w:p>
<w:p>
<w:pPr><w:pStyle w:val="Normal"/></w:pPr>
<w:r><w:t xml:space="preserve">to the arbitrament of the sword with all its consequences.</w:t></w:r>
</w:p>
<w:p>
<w:pPr><w:pStyle w:val="Normal"/></w:pPr>
<w:r><w:t xml:space="preserve">ADORATION (Lat. ad, to, and os, mouth; i.e. ``carrying</w:t></w:r>
</w:p>
<w:p>
<w:pPr><w:pStyle w:val="Normal"/></w:pPr>
<w:r><w:t xml:space="preserve">to one&apos;s mouth&apos;&apos;), primarily an act of homage or worship,</w:t></w:r>
</w:p>
<w:p>
<w:pPr><w:pStyle w:val="Normal"/></w:pPr>
<w:r><w:t xml:space="preserve">which, among the Romans, was performed by raising the hand</w:t></w:r>
</w:p>
<w:p>
<w:pPr><w:pStyle w:val="Normal"/></w:pPr>
<w:r><w:t xml:space="preserve">to the mouth, kissing it and then waving it in the direction</w:t></w:r>
</w:p>
<w:p>
<w:pPr><w:pStyle w:val="Normal"/></w:pPr>
<w:r><w:t xml:space="preserve">of the adored object.  The devotee had his head covered,</w:t></w:r>
</w:p>
<w:p>
<w:pPr><w:pStyle w:val="Normal"/></w:pPr>
<w:r><w:t xml:space="preserve">and after the act turned himself round from left to right.</w:t></w:r>
</w:p>
<w:p>
<w:pPr><w:pStyle w:val="Normal"/></w:pPr>
<w:r><w:t xml:space="preserve">Sometimes he kissed the feet or knees of the images of the gods</w:t></w:r>
</w:p>
<w:p>
<w:pPr><w:pStyle w:val="Normal"/></w:pPr>
<w:r><w:t xml:space="preserve">themselves, and Saturn and Hercules were adored with the head</w:t></w:r>
</w:p>
<w:p>
<w:pPr><w:pStyle w:val="Normal"/></w:pPr>
<w:r><w:t xml:space="preserve">bare.  By a natural transition the homage, at first paid to</w:t></w:r>
</w:p>
<w:p>
<w:pPr><w:pStyle w:val="Normal"/></w:pPr>
<w:r><w:t xml:space="preserve">divine beings alone, came to be paid to monarchs.  Thus the</w:t></w:r>
</w:p>
<w:p>
<w:pPr><w:pStyle w:val="Normal"/></w:pPr>
<w:r><w:t xml:space="preserve">Greek and Roman emperors were adored by bowing or kneeling,</w:t></w:r>
</w:p>
<w:p>
<w:pPr><w:pStyle w:val="Normal"/></w:pPr>
<w:r><w:t xml:space="preserve">laying hold of the imperial robe, and presently withdrawing</w:t></w:r>
</w:p>
<w:p>
<w:pPr><w:pStyle w:val="Normal"/></w:pPr>
<w:r><w:t xml:space="preserve">the hand and pressing it to the lips, or by putting the royal</w:t></w:r>
</w:p>
<w:p>
<w:pPr><w:pStyle w:val="Normal"/></w:pPr>
<w:r><w:t xml:space="preserve">robe itself to the lips.  In Eastern countries adoration has</w:t></w:r>
</w:p>
<w:p>
<w:pPr><w:pStyle w:val="Normal"/></w:pPr>
<w:r><w:t xml:space="preserve">ever been performed in an attitude still more lowly.  The</w:t></w:r>
</w:p>
<w:p>
<w:pPr><w:pStyle w:val="Normal"/></w:pPr>
<w:r><w:t xml:space="preserve">Persian method, introduced by Cyrus, was to bend the knee</w:t></w:r>
</w:p>
<w:p>
<w:pPr><w:pStyle w:val="Normal"/></w:pPr>
<w:r><w:t xml:space="preserve">and fall on the face at the prince&apos;s feet, striking the earth</w:t></w:r>
</w:p>
<w:p>
<w:pPr><w:pStyle w:val="Normal"/></w:pPr>
<w:r><w:t xml:space="preserve">with the forehead and kissing the ground.  This striking of</w:t></w:r>
</w:p>
<w:p>
<w:pPr><w:pStyle w:val="Normal"/></w:pPr>
<w:r><w:t xml:space="preserve">the earth with the forehead, usually a fixed number of times,</w:t></w:r>
</w:p>
<w:p>
<w:pPr><w:pStyle w:val="Normal"/></w:pPr>
<w:r><w:t xml:space="preserve">is the form of adoration usually paid to Eastern potentates</w:t></w:r>
</w:p>
<w:p>
<w:pPr><w:pStyle w:val="Normal"/></w:pPr>
<w:r><w:t xml:space="preserve">to-day.  The Jews kissed in homage.  Thus in 1 Kings xix.</w:t></w:r>
</w:p>
<w:p>
<w:pPr><w:pStyle w:val="Normal"/></w:pPr>
<w:r><w:t xml:space="preserve">18, God is made to say, ``Yet I have left me seven thousand</w:t></w:r>
</w:p>
<w:p>
<w:pPr><w:pStyle w:val="Normal"/></w:pPr>
<w:r><w:t xml:space="preserve">in Israel, all the knees which have not bowed unto Baal,</w:t></w:r>
</w:p>
<w:p>
<w:pPr><w:pStyle w:val="Normal"/></w:pPr>
<w:r><w:t xml:space="preserve">and every mouth which hath not kissed him.&apos;&apos; And in Psalms</w:t></w:r>
</w:p>
<w:p>
<w:pPr><w:pStyle w:val="Normal"/></w:pPr>
<w:r><w:t xml:space="preserve">ii. 12, ``Kiss the Son, lest he be angry, and ye perish</w:t></w:r>
</w:p>
<w:p>
<w:pPr><w:pStyle w:val="Normal"/></w:pPr>
<w:r><w:t xml:space="preserve">from the way.&apos;&apos; (See also Hosea xiii. 2.) In England the</w:t></w:r>
</w:p>
<w:p>
<w:pPr><w:pStyle w:val="Normal"/></w:pPr>
<w:r><w:t xml:space="preserve">ceremony of kissing the sovereign&apos;s hand, and some other acts</w:t></w:r>
</w:p>
<w:p>
<w:pPr><w:pStyle w:val="Normal"/></w:pPr>
<w:r><w:t xml:space="preserve">which are performed kneeling, may be described as forms of</w:t></w:r>
</w:p>
<w:p>
<w:pPr><w:pStyle w:val="Normal"/></w:pPr>
<w:r><w:t xml:space="preserve">adoration.  Adoration is applied in the Roman Church to the</w:t></w:r>
</w:p>
<w:p>
<w:pPr><w:pStyle w:val="Normal"/></w:pPr>
<w:r><w:t xml:space="preserve">ceremony of kissing the pope&apos;s foot, a custom which is said</w:t></w:r>
</w:p>
<w:p>
<w:pPr><w:pStyle w:val="Normal"/></w:pPr>
<w:r><w:t xml:space="preserve">to have been introduced by the popes following the example</w:t></w:r>
</w:p>
<w:p>
<w:pPr><w:pStyle w:val="Normal"/></w:pPr>
<w:r><w:t xml:space="preserve">of the emperor Diocletian.  The toe of the famous statue of</w:t></w:r>
</w:p>
<w:p>
<w:pPr><w:pStyle w:val="Normal"/></w:pPr>
<w:r><w:t xml:space="preserve">the apostle in St Peter&apos;s, Rome, shows marked wear caused by</w:t></w:r>
</w:p>
<w:p>
<w:pPr><w:pStyle w:val="Normal"/></w:pPr>
<w:r><w:t xml:space="preserve">the kisses of pilgrims.  In the Roman Church a distinction</w:t></w:r>
</w:p>
<w:p>
<w:pPr><w:pStyle w:val="Normal"/></w:pPr>
<w:r><w:t xml:space="preserve">is made between Latria, a worship due to God alone, and</w:t></w:r>
</w:p>
<w:p>
<w:pPr><w:pStyle w:val="Normal"/></w:pPr>
<w:r><w:t xml:space="preserve">Dulia or Hyperdulia, the adoration paid to the Virgin,</w:t></w:r>
</w:p>
<w:p>
<w:pPr><w:pStyle w:val="Normal"/></w:pPr>
<w:r><w:t xml:space="preserve">saints, martyrs, crucifixes, &amp;c. (See further HOMAGE.)</w:t></w:r>
</w:p>
<w:p>
<w:pPr><w:pStyle w:val="Normal"/></w:pPr>
<w:r><w:t xml:space="preserve">ADORF, a town of Germany, in the kingdom of Saxony, 3 m. from</w:t></w:r>
</w:p>
<w:p>
<w:pPr><w:pStyle w:val="Normal"/></w:pPr>
<w:r><w:t xml:space="preserve">the Bohemian frontier, at an elevation of 1400 ft. above the</w:t></w:r>
</w:p>
<w:p>
<w:pPr><w:pStyle w:val="Normal"/></w:pPr>
<w:r><w:t xml:space="preserve">sea, on the Plauen-Eger and Aue-Adorf lines of railway.  Pop.</w:t></w:r>
</w:p>
<w:p>
<w:pPr><w:pStyle w:val="Normal"/></w:pPr>
<w:r><w:t xml:space="preserve">5000.  It has lace, dyeing and tanning industries, and</w:t></w:r>
</w:p>
<w:p>
<w:pPr><w:pStyle w:val="Normal"/></w:pPr>
<w:r><w:t xml:space="preserve">manufactures of toys and musical instruments; and there is</w:t></w:r>
</w:p>
<w:p>
<w:pPr><w:pStyle w:val="Normal"/></w:pPr>
<w:r><w:t xml:space="preserve">a convalescent home for the poor of the city of Leipzig.</w:t></w:r>
</w:p>
<w:p>
<w:pPr><w:pStyle w:val="Normal"/></w:pPr>
<w:r><w:t xml:space="preserve">ADOUR (anc. Aturrus or Adurus, from Celtic dour,</w:t></w:r>
</w:p>
<w:p>
<w:pPr><w:pStyle w:val="Normal"/></w:pPr>
<w:r><w:t xml:space="preserve">water), a river of south-west France, rising in the department</w:t></w:r>
</w:p>
<w:p>
<w:pPr><w:pStyle w:val="Normal"/></w:pPr>
<w:r><w:t xml:space="preserve">of Hautes Pyrenees, and flowing in a wide curve to the Bay of</w:t></w:r>
</w:p>
<w:p>
<w:pPr><w:pStyle w:val="Normal"/></w:pPr>
<w:r><w:t xml:space="preserve">Biscay.  It is formed of several streams having their origin</w:t></w:r>
</w:p>
<w:p>
<w:pPr><w:pStyle w:val="Normal"/></w:pPr>
<w:r><w:t xml:space="preserve">in the massif of the Pic d&apos;Arbizon and the Pic du Midi de</w:t></w:r>
</w:p>
<w:p>
<w:pPr><w:pStyle w:val="Normal"/></w:pPr>
<w:r><w:t xml:space="preserve">Bigorre, but during the first half of its course remains an</w:t></w:r>
</w:p>
<w:p>
<w:pPr><w:pStyle w:val="Normal"/></w:pPr>
<w:r><w:t xml:space="preserve">inconsiderable river.  In traversing the beautiful valley of</w:t></w:r>
</w:p>
<w:p>
<w:pPr><w:pStyle w:val="Normal"/></w:pPr>
<w:r><w:t xml:space="preserve">Campan it is artificially augmented in summer by the waters</w:t></w:r>
</w:p>
<w:p>
<w:pPr><w:pStyle w:val="Normal"/></w:pPr>
<w:r><w:t xml:space="preserve">of the Lac Bleu, which are drawn off by means of a siphon, and</w:t></w:r>
</w:p>
<w:p>
<w:pPr><w:pStyle w:val="Normal"/></w:pPr>
<w:r><w:t xml:space="preserve">flow down the valley of I esponne.  After passing Bagneres</w:t></w:r>
</w:p>
<w:p>
<w:pPr><w:pStyle w:val="Normal"/></w:pPr>
<w:r><w:t xml:space="preserve">de Bigorre the Adour enters the plain of Tarbes, and for the</w:t></w:r>
</w:p>
<w:p>
<w:pPr><w:pStyle w:val="Normal"/></w:pPr>
<w:r><w:t xml:space="preserve">remainder of its course in the department of Hautes Pyrenees</w:t></w:r>
</w:p>
<w:p>
<w:pPr><w:pStyle w:val="Normal"/></w:pPr>
<w:r><w:t xml:space="preserve">is of much less importance as a waterway than as a means</w:t></w:r>
</w:p>
<w:p>
<w:pPr><w:pStyle w:val="Normal"/></w:pPr>
<w:r><w:t xml:space="preserve">of feeding the numerous irrigation canals which cover the</w:t></w:r>
</w:p>
<w:p>
<w:pPr><w:pStyle w:val="Normal"/></w:pPr>
<w:r><w:t xml:space="preserve">plains on each side.  Of these the oldest and most important</w:t></w:r>
</w:p>
<w:p>
<w:pPr><w:pStyle w:val="Normal"/></w:pPr>
<w:r><w:t xml:space="preserve">is the Canal d&apos;Alaric, which follows the right bank for 36</w:t></w:r>
</w:p>
<w:p>
<w:pPr><w:pStyle w:val="Normal"/></w:pPr>
<w:r><w:t xml:space="preserve">m.  Entering the department of Gers, the Adour receives the</w:t></w:r>
</w:p>
<w:p>
<w:pPr><w:pStyle w:val="Normal"/></w:pPr>
<w:r><w:t xml:space="preserve">Arros on the right bank and begins to describe the large westward</w:t></w:r>
</w:p>
<w:p>
<w:pPr><w:pStyle w:val="Normal"/></w:pPr>
<w:r><w:t xml:space="preserve">curve which takes it through the department of Landes to the</w:t></w:r>
</w:p>
<w:p>
<w:pPr><w:pStyle w:val="Normal"/></w:pPr>
<w:r><w:t xml:space="preserve">sea.  In the last-named department it soon becomes navigable,</w:t></w:r>
</w:p>
<w:p>
<w:pPr><w:pStyle w:val="Normal"/></w:pPr>
<w:r><w:t xml:space="preserve">namely, at St Sever, after passing which it is joined on the</w:t></w:r>
</w:p>
<w:p>
<w:pPr><w:pStyle w:val="Normal"/></w:pPr>
<w:r><w:t xml:space="preserve">left by the Larcis, Gabas, Louts and Luy, and on the right</w:t></w:r>
</w:p>
<w:p>
<w:pPr><w:pStyle w:val="Normal"/></w:pPr>
<w:r><w:t xml:space="preserve">by the Midouze, which is formed by the union of the Douze</w:t></w:r>
</w:p>
<w:p>
<w:pPr><w:pStyle w:val="Normal"/></w:pPr>
<w:r><w:t xml:space="preserve">and the Midour, and is navigable for 27 m.; now taking a</w:t></w:r>
</w:p>
<w:p>
<w:pPr><w:pStyle w:val="Normal"/></w:pPr>
<w:r><w:t xml:space="preserve">south-westerly course it receives on the left the Gave de</w:t></w:r>
</w:p>
<w:p>
<w:pPr><w:pStyle w:val="Normal"/></w:pPr>
<w:r><w:t xml:space="preserve">Pau, which is a more voluminous river than the Adour itself,</w:t></w:r>
</w:p>
<w:p>
<w:pPr><w:pStyle w:val="Normal"/></w:pPr>
<w:r><w:t xml:space="preserve">and flowing past Bayonne enters the sea through a dangerous</w:t></w:r>
</w:p>
<w:p>
<w:pPr><w:pStyle w:val="Normal"/></w:pPr>
<w:r><w:t xml:space="preserve">estuary, in which sandbars are formed, after a total course</w:t></w:r>
</w:p>
<w:p>
<w:pPr><w:pStyle w:val="Normal"/></w:pPr>
<w:r><w:t xml:space="preserve">of 208 m., of which 82 are navigable.  The mouth of the</w:t></w:r>
</w:p>
<w:p>
<w:pPr><w:pStyle w:val="Normal"/></w:pPr>
<w:r><w:t xml:space="preserve">Adout has repeatedly shifted. its old bed being represented</w:t></w:r>
</w:p>
<w:p>
<w:pPr><w:pStyle w:val="Normal"/></w:pPr>
<w:r><w:t xml:space="preserve">by the series of etangs and lagoons extending northward</w:t></w:r>
</w:p>
<w:p>
<w:pPr><w:pStyle w:val="Normal"/></w:pPr>
<w:r><w:t xml:space="preserve">as far as the village of Vieux Boucau, 22 1/2 m. north of</w:t></w:r>
</w:p>
<w:p>
<w:pPr><w:pStyle w:val="Normal"/></w:pPr>
<w:r><w:t xml:space="preserve">Bayonne, where it found a new entrance into the sea at the</w:t></w:r>
</w:p>
<w:p>
<w:pPr><w:pStyle w:val="Normal"/></w:pPr>
<w:r><w:t xml:space="preserve">end of the 14th century.  Its previous mouth had been 10 m.</w:t></w:r>
</w:p>
<w:p>
<w:pPr><w:pStyle w:val="Normal"/></w:pPr>
<w:r><w:t xml:space="preserve">south of Vieux Boucau.  The present channel was constructed</w:t></w:r>
</w:p>
<w:p>
<w:pPr><w:pStyle w:val="Normal"/></w:pPr>
<w:r><w:t xml:space="preserve">by the engineer Louis de Foix in 1579.  There is a depth</w:t></w:r>
</w:p>
<w:p>
<w:pPr><w:pStyle w:val="Normal"/></w:pPr>
<w:r><w:t xml:space="preserve">over the bar at the entrance of 10 1/2 to 16 ft. at high</w:t></w:r>
</w:p>
<w:p>
<w:pPr><w:pStyle w:val="Normal"/></w:pPr>
<w:r><w:t xml:space="preserve">tide.  The area of the basin of the Adour is 6565 sq. m.</w:t></w:r>
</w:p>
<w:p>
<w:pPr><w:pStyle w:val="Normal"/></w:pPr>
<w:r><w:t xml:space="preserve">ADOWA (properly ADUA), the capital of Tigre, northern</w:t></w:r>
</w:p>
<w:p>
<w:pPr><w:pStyle w:val="Normal"/></w:pPr>
<w:r><w:t xml:space="preserve">Abyssinia, 145 m.  N.E. of Gondar and 17 m.  E. by N. of Axum,</w:t></w:r>
</w:p>
<w:p>
<w:pPr><w:pStyle w:val="Normal"/></w:pPr>
<w:r><w:t xml:space="preserve">the ancient capital of Abyssinia.  Adowa is built on the slope</w:t></w:r>
</w:p>
<w:p>
<w:pPr><w:pStyle w:val="Normal"/></w:pPr>
<w:r><w:t xml:space="preserve">of a hill at an elevation of 6500 ft., in the midst of a rich</w:t></w:r>
</w:p>
<w:p>
<w:pPr><w:pStyle w:val="Normal"/></w:pPr>
<w:r><w:t xml:space="preserve">agricultural district.  Being on the high road from Massawa</w:t></w:r>
</w:p>
<w:p>
<w:pPr><w:pStyle w:val="Normal"/></w:pPr>
<w:r><w:t xml:space="preserve">to central Abyssinia, it is a meeting-place of merchants from</w:t></w:r>
</w:p>
<w:p>
<w:pPr><w:pStyle w:val="Normal"/></w:pPr>
<w:r><w:t xml:space="preserve">Arabia and the Sudan for the exchange of foreign merchandise</w:t></w:r>
</w:p>
<w:p>
<w:pPr><w:pStyle w:val="Normal"/></w:pPr>
<w:r><w:t xml:space="preserve">with the products of the country.  During the wars between</w:t></w:r>
</w:p>
<w:p>
<w:pPr><w:pStyle w:val="Normal"/></w:pPr>
<w:r><w:t xml:space="preserve">the Italians and Abyssinia (1887-96) Adowa was on three or</w:t></w:r>
</w:p>
<w:p>
<w:pPr><w:pStyle w:val="Normal"/></w:pPr>
<w:r><w:t xml:space="preserve">four occasions looted and burnt; but the churches escaped</w:t></w:r>
</w:p>
<w:p>
<w:pPr><w:pStyle w:val="Normal"/></w:pPr>
<w:r><w:t xml:space="preserve">destruction.  The church of the Holy Trinity, one of the</w:t></w:r>
</w:p>
<w:p>
<w:pPr><w:pStyle w:val="Normal"/></w:pPr>
<w:r><w:t xml:space="preserve">largest in Abyssinia, contains numerous wall-paintings of</w:t></w:r>
</w:p>
<w:p>
<w:pPr><w:pStyle w:val="Normal"/></w:pPr>
<w:r><w:t xml:space="preserve">native art.  On a hill about 2 1/2 m. north-west of Adowa are</w:t></w:r>
</w:p>
<w:p>
<w:pPr><w:pStyle w:val="Normal"/></w:pPr>
<w:r><w:t xml:space="preserve">the ruins of Fremona, the headquarters of the Portuguese</w:t></w:r>
</w:p>
<w:p>
<w:pPr><w:pStyle w:val="Normal"/></w:pPr>
<w:r><w:t xml:space="preserve">Jesuits who lived in Abyssinia during the 16th and 17th</w:t></w:r>
</w:p>
<w:p>
<w:pPr><w:pStyle w:val="Normal"/></w:pPr>
<w:r><w:t xml:space="preserve">centuries.  On the 1st of March 1896, in the hills north</w:t></w:r>
</w:p>
<w:p>
<w:pPr><w:pStyle w:val="Normal"/></w:pPr>
<w:r><w:t xml:space="preserve">of the town, was fought the battle of Adowa, in which the</w:t></w:r>
</w:p>
<w:p>
<w:pPr><w:pStyle w:val="Normal"/></w:pPr>
<w:r><w:t xml:space="preserve">Abyssinians inflicted a crushing defeat on the Italian</w:t></w:r>
</w:p>
<w:p>
<w:pPr><w:pStyle w:val="Normal"/></w:pPr>
<w:r><w:t xml:space="preserve">forces (see ITALY, History, and ABYSSINIA, History).</w:t></w:r>
</w:p>
<w:p>
<w:pPr><w:pStyle w:val="Normal"/></w:pPr>
<w:r><w:t xml:space="preserve">ADRA (anc. Abdera), a seaport of southern Spain, in the</w:t></w:r>
</w:p>
<w:p>
<w:pPr><w:pStyle w:val="Normal"/></w:pPr>
<w:r><w:t xml:space="preserve">province of Almeria; at the mouth of the Rio Grande de Adra, and</w:t></w:r>
</w:p>
<w:p>
<w:pPr><w:pStyle w:val="Normal"/></w:pPr>
<w:r><w:t xml:space="preserve">on the Mediterranean Sea. Pop. (1900) 11,188.  Adra is the port</w:t></w:r>
</w:p>
<w:p>
<w:pPr><w:pStyle w:val="Normal"/></w:pPr>
<w:r><w:t xml:space="preserve">of shipment for the lead obtained near Berja, 10 m. north-east;</w:t></w:r>
</w:p>
<w:p>
<w:pPr><w:pStyle w:val="Normal"/></w:pPr>
<w:r><w:t xml:space="preserve">but its commercial development is retarded by the lack of a</w:t></w:r>
</w:p>
<w:p>
<w:pPr><w:pStyle w:val="Normal"/></w:pPr>
<w:r><w:t xml:space="preserve">railway.  Besides lead, the exports include grapes, sugar and</w:t></w:r>
</w:p>
<w:p>
<w:pPr><w:pStyle w:val="Normal"/></w:pPr>
<w:r><w:t xml:space="preserve">esparto.  Fuel is imported, chieffly from the United Kingdom.</w:t></w:r>
</w:p>
<w:p>
<w:pPr><w:pStyle w:val="Normal"/></w:pPr>
<w:r><w:t xml:space="preserve">ADRAR (Berber for ``uplands&apos;&apos;), the name of various</w:t></w:r>
</w:p>
<w:p>
<w:pPr><w:pStyle w:val="Normal"/></w:pPr>
<w:r><w:t xml:space="preserve">districts of the Saharan desert, Northern Africa.  Adrar</w:t></w:r>
</w:p>
<w:p>
<w:pPr><w:pStyle w:val="Normal"/></w:pPr>
<w:r><w:t xml:space="preserve">Suttuf is a hilly region forming the southern part of the</w:t></w:r>
</w:p>
<w:p>
<w:pPr><w:pStyle w:val="Normal"/></w:pPr>
<w:r><w:t xml:space="preserve">Spanish protectorate of the Rio de Oro (q.v.). Adrar or</w:t></w:r>
</w:p>
<w:p>
<w:pPr><w:pStyle w:val="Normal"/></w:pPr>
<w:r><w:t xml:space="preserve">Adrar el Jebli, otherwise Adghagh, is a plateau north-east of</w:t></w:r>
</w:p>
<w:p>
<w:pPr><w:pStyle w:val="Normal"/></w:pPr>
<w:r><w:t xml:space="preserve">Timbuktu.  It is the headquarters of the Awellimiden</w:t></w:r>
</w:p>
<w:p>
<w:pPr><w:pStyle w:val="Normal"/></w:pPr>
<w:r><w:t xml:space="preserve">Tuareg (see TUAREG and SAHARA). Adrar n&apos;Ahnet and Adrar</w:t></w:r>
</w:p>
<w:p>
<w:pPr><w:pStyle w:val="Normal"/></w:pPr>
<w:r><w:t xml:space="preserve">Adhafar are smaller regions in the Ahnet country south of</w:t></w:r>
</w:p>
<w:p>
<w:pPr><w:pStyle w:val="Normal"/></w:pPr>
<w:r><w:t xml:space="preserve">Insalah.  Adrar Temur, the country usually referred to when</w:t></w:r>
</w:p>
<w:p>
<w:pPr><w:pStyle w:val="Normal"/></w:pPr>
<w:r><w:t xml:space="preserve">Adrar is spoken of, is in the western Sahara, 300 m. north</w:t></w:r>
</w:p>
<w:p>
<w:pPr><w:pStyle w:val="Normal"/></w:pPr>
<w:r><w:t xml:space="preserve">of the Senegal and separated on the north-west from Adrar</w:t></w:r>
</w:p>
<w:p>
<w:pPr><w:pStyle w:val="Normal"/></w:pPr>
<w:r><w:t xml:space="preserve">Suttuf by wide valleys and sand dunes.  Adrar is within the</w:t></w:r>
</w:p>
<w:p>
<w:pPr><w:pStyle w:val="Normal"/></w:pPr>
<w:r><w:t xml:space="preserve">French sphere of influence.  In general barren, the country</w:t></w:r>
</w:p>
<w:p>
<w:pPr><w:pStyle w:val="Normal"/></w:pPr>
<w:r><w:t xml:space="preserve">contains several oases, with a total population of about</w:t></w:r>
</w:p>
<w:p>
<w:pPr><w:pStyle w:val="Normal"/></w:pPr>
<w:r><w:t xml:space="preserve">10,000.  In 1900 the oasis of Atar, on the western borders</w:t></w:r>
</w:p>
<w:p>
<w:pPr><w:pStyle w:val="Normal"/></w:pPr>
<w:r><w:t xml:space="preserve">of the territory, was reached by Paul Blanchet, previously</w:t></w:r>
</w:p>
<w:p>
<w:pPr><w:pStyle w:val="Normal"/></w:pPr>
<w:r><w:t xml:space="preserve">known for his researches on ancient Berber remains in Algeria.</w:t></w:r>
</w:p>
<w:p>
<w:pPr><w:pStyle w:val="Normal"/></w:pPr>
<w:r><w:t xml:space="preserve">(Blanchet died in Senegal on the 6th of October 1900, a</w:t></w:r>
</w:p>
<w:p>
<w:pPr><w:pStyle w:val="Normal"/></w:pPr>
<w:r><w:t xml:space="preserve">few days after his return from Adrar.) Atar is inhabited</w:t></w:r>
</w:p>
<w:p>
<w:pPr><w:pStyle w:val="Normal"/></w:pPr>
<w:r><w:t xml:space="preserve">by Yrab and Berber tribes, and is described as a wretched</w:t></w:r>
</w:p>
<w:p>
<w:pPr><w:pStyle w:val="Normal"/></w:pPr>
<w:r><w:t xml:space="preserve">spot.  The other centres of population are Shingeti, Wadan and</w:t></w:r>
</w:p>
<w:p>
<w:pPr><w:pStyle w:val="Normal"/></w:pPr>
<w:r><w:t xml:space="preserve">Ujeft, Shingeti being the chief commercial centre, whence</w:t></w:r>
</w:p>
<w:p>
<w:pPr><w:pStyle w:val="Normal"/></w:pPr>
<w:r><w:t xml:space="preserve">caravans take to St Louis gold-dust, ostrich feathers and</w:t></w:r>
</w:p>
<w:p>
<w:pPr><w:pStyle w:val="Normal"/></w:pPr>
<w:r><w:t xml:space="preserve">dates.  A considerable trade is also done in salt from the</w:t></w:r>
</w:p>
<w:p>
<w:pPr><w:pStyle w:val="Normal"/></w:pPr>
<w:r><w:t xml:space="preserve">sebkha of Ijil, in the north-west.  Adrar occupies the most</w:t></w:r>
</w:p>
<w:p>
<w:pPr><w:pStyle w:val="Normal"/></w:pPr>
<w:r><w:t xml:space="preserve">elevated part of a plateau which ends westwards in a steep</w:t></w:r>
</w:p>
<w:p>
<w:pPr><w:pStyle w:val="Normal"/></w:pPr>
<w:r><w:t xml:space="preserve">escarpment and falls to the east in a succession of steps.</w:t></w:r>
</w:p>
<w:p>
<w:pPr><w:pStyle w:val="Normal"/></w:pPr>
<w:r><w:t xml:space="preserve">Adrar or Adgar is also the name sometimes given to the chief</w:t></w:r>
</w:p>
<w:p>
<w:pPr><w:pStyle w:val="Normal"/></w:pPr>
<w:r><w:t xml:space="preserve">settlement in the oasis of Tuat in the Algerian Sahara.</w:t></w:r>
</w:p>
<w:p>
<w:pPr><w:pStyle w:val="Normal"/></w:pPr>
<w:r><w:t xml:space="preserve">ADRASTUS, in Greek legend, was the son of Talaus, king of</w:t></w:r>
</w:p>
<w:p>
<w:pPr><w:pStyle w:val="Normal"/></w:pPr>
<w:r><w:t xml:space="preserve">Argos, and Lysianassa, daughter of Polybus, king of Sicyon.</w:t></w:r>
</w:p>
<w:p>
<w:pPr><w:pStyle w:val="Normal"/></w:pPr>
<w:r><w:t xml:space="preserve">Having been driven from Argos by Amphiaraus, Adrastus fled to</w:t></w:r>
</w:p>
<w:p>
<w:pPr><w:pStyle w:val="Normal"/></w:pPr>
<w:r><w:t xml:space="preserve">Sicyon, where he became king on the death of Polybus.  After</w:t></w:r>
</w:p>
<w:p>
<w:pPr><w:pStyle w:val="Normal"/></w:pPr>
<w:r><w:t xml:space="preserve">a time he became reconciled to Amphiaraus, gave him his sister</w:t></w:r>
</w:p>
<w:p>
<w:pPr><w:pStyle w:val="Normal"/></w:pPr>
<w:r><w:t xml:space="preserve">Eriphyle in marriage, and returned to Argos and occupied the</w:t></w:r>
</w:p>
<w:p>
<w:pPr><w:pStyle w:val="Normal"/></w:pPr>
<w:r><w:t xml:space="preserve">throne.  In consequence of an oracle which had commanded him</w:t></w:r>
</w:p>
<w:p>
<w:pPr><w:pStyle w:val="Normal"/></w:pPr>
<w:r><w:t xml:space="preserve">to marry his daughters to a lion and a boar, he wedded them</w:t></w:r>
</w:p>
<w:p>
<w:pPr><w:pStyle w:val="Normal"/></w:pPr>
<w:r><w:t xml:space="preserve">to Polyneices and Tydeus, two fugitives, clad in the skins of</w:t></w:r>
</w:p>
<w:p>
<w:pPr><w:pStyle w:val="Normal"/></w:pPr>
<w:r><w:t xml:space="preserve">these animals or carrying shields with their figures on them,</w:t></w:r>
</w:p>
<w:p>
<w:pPr><w:pStyle w:val="Normal"/></w:pPr>
<w:r><w:t xml:space="preserve">who claimed his hospitality.  He was the instigator of the</w:t></w:r>
</w:p>
<w:p>
<w:pPr><w:pStyle w:val="Normal"/></w:pPr>
<w:r><w:t xml:space="preserve">famous war against Thebes for the restoration of his son-in-law</w:t></w:r>
</w:p>
<w:p>
<w:pPr><w:pStyle w:val="Normal"/></w:pPr>
<w:r><w:t xml:space="preserve">Polyneices, who had been deprived of his rights by his brother</w:t></w:r>
</w:p>
<w:p>
<w:pPr><w:pStyle w:val="Normal"/></w:pPr>
<w:r><w:t xml:space="preserve">Eteocles.  Adrastus, followed by Polyneices and Tydeus, his two</w:t></w:r>
</w:p>
<w:p>
<w:pPr><w:pStyle w:val="Normal"/></w:pPr>
<w:r><w:t xml:space="preserve">sons-inlaw, Amphiaraus, his brother-in-law, Capaneus, Hippomedon</w:t></w:r>
</w:p>
<w:p>
<w:pPr><w:pStyle w:val="Normal"/></w:pPr>
<w:r><w:t xml:space="preserve">and Parthenopaeus, marched against the city of Thebes, and</w:t></w:r>
</w:p>
<w:p>
<w:pPr><w:pStyle w:val="Normal"/></w:pPr>
<w:r><w:t xml:space="preserve">on his way is said to have founded the Nemean games.  This</w:t></w:r>
</w:p>
<w:p>
<w:pPr><w:pStyle w:val="Normal"/></w:pPr>
<w:r><w:t xml:space="preserve">is the expedition of the ``Seven against Thebes,&apos;&apos; which the</w:t></w:r>
</w:p>
<w:p>
<w:pPr><w:pStyle w:val="Normal"/></w:pPr>
<w:r><w:t xml:space="preserve">poets have made nearly as famous as the siege of Troy.  As</w:t></w:r>
</w:p>
<w:p>
<w:pPr><w:pStyle w:val="Normal"/></w:pPr>
<w:r><w:t xml:space="preserve">Amphiaraus had foretold, they all lost their lives in this war</w:t></w:r>
</w:p>
<w:p>
<w:pPr><w:pStyle w:val="Normal"/></w:pPr>
<w:r><w:t xml:space="preserve">except Adrastus, who was saved by the speed of his horse Arion</w:t></w:r>
</w:p>
<w:p>
<w:pPr><w:pStyle w:val="Normal"/></w:pPr>
<w:r><w:t xml:space="preserve">(Iliad, xxiii. 346).  Ten years later, at the instigation of</w:t></w:r>
</w:p>
<w:p>
<w:pPr><w:pStyle w:val="Normal"/></w:pPr>
<w:r><w:t xml:space="preserve">Adrastus, the war was renewed by the sons of the chiefs who had</w:t></w:r>
</w:p>
<w:p>
<w:pPr><w:pStyle w:val="Normal"/></w:pPr>
<w:r><w:t xml:space="preserve">fallen.  This expedition was called the war of the ``Epigoni&apos;&apos;</w:t></w:r>
</w:p>
<w:p>
<w:pPr><w:pStyle w:val="Normal"/></w:pPr>
<w:r><w:t xml:space="preserve">or descendants, and ended in the taking and destruction of</w:t></w:r>
</w:p>
<w:p>
<w:pPr><w:pStyle w:val="Normal"/></w:pPr>
<w:r><w:t xml:space="preserve">Thebes.  None of the followers of Adrastus perished except his</w:t></w:r>
</w:p>
<w:p>
<w:pPr><w:pStyle w:val="Normal"/></w:pPr>
<w:r><w:t xml:space="preserve">son Aegialeus, and this affected him so greatly that he died</w:t></w:r>
</w:p>
<w:p>
<w:pPr><w:pStyle w:val="Normal"/></w:pPr>
<w:r><w:t xml:space="preserve">of grief at Megara, as he was leading back his victorious army.</w:t></w:r>
</w:p>
<w:p>
<w:pPr><w:pStyle w:val="Normal"/></w:pPr>
<w:r><w:t xml:space="preserve">Apollodorus iii. 6, 7; Aeschylus, Septem contra Thebes; Euripides,</w:t></w:r>
</w:p>
<w:p>
<w:pPr><w:pStyle w:val="Normal"/></w:pPr>
<w:r><w:t xml:space="preserve">Phoenissae, Supplices; Statius, Thebais; Herodotus v. 67.</w:t></w:r>
</w:p>
<w:p>
<w:pPr><w:pStyle w:val="Normal"/></w:pPr>
<w:r><w:t xml:space="preserve">ADRIA (anc. Atria; the form Adria or Hadria is less</w:t></w:r>
</w:p>
<w:p>
<w:pPr><w:pStyle w:val="Normal"/></w:pPr>
<w:r><w:t xml:space="preserve">correct: Hatria was a town in Picenum, the modern Atri), a</w:t></w:r>
</w:p>
<w:p>
<w:pPr><w:pStyle w:val="Normal"/></w:pPr>
<w:r><w:t xml:space="preserve">town and episcopal see of Venetia, Italy, in the province of</w:t></w:r>
</w:p>
<w:p>
<w:pPr><w:pStyle w:val="Normal"/></w:pPr>
<w:r><w:t xml:space="preserve">Rovigo, 15 m.  F. by rail from the town of Rovigo.  It is</w:t></w:r>
</w:p>
<w:p>
<w:pPr><w:pStyle w:val="Normal"/></w:pPr>
<w:r><w:t xml:space="preserve">situated between the mouths of the Adige and the Po, about</w:t></w:r>
</w:p>
<w:p>
<w:pPr><w:pStyle w:val="Normal"/></w:pPr>
<w:r><w:t xml:space="preserve">13 1/2 m. from the sea and but 13ft. above it.  Pop. (1901)</w:t></w:r>
</w:p>
<w:p>
<w:pPr><w:pStyle w:val="Normal"/></w:pPr>
<w:r><w:t xml:space="preserve">15,678.  The town occupies the site of the ancient Atria,</w:t></w:r>
</w:p>
<w:p>
<w:pPr><w:pStyle w:val="Normal"/></w:pPr>
<w:r><w:t xml:space="preserve">which gave its name to the Adriatic.  Its origin is variously</w:t></w:r>
</w:p>
<w:p>
<w:pPr><w:pStyle w:val="Normal"/></w:pPr>
<w:r><w:t xml:space="preserve">ascribed by ancient writers, but it was probably a Venetian,</w:t></w:r>
</w:p>
<w:p>
<w:pPr><w:pStyle w:val="Normal"/></w:pPr>
<w:r><w:t xml:space="preserve">i.e. Illyrian, not an Etruscan, foundation--still less a</w:t></w:r>
</w:p>
<w:p>
<w:pPr><w:pStyle w:val="Normal"/></w:pPr>
<w:r><w:t xml:space="preserve">foundation of Dionysius I. of Syracuse.  Imported vases of</w:t></w:r>
</w:p>
<w:p>
<w:pPr><w:pStyle w:val="Normal"/></w:pPr>
<w:r><w:t xml:space="preserve">the second half of the 5th century B.C. prove the existence</w:t></w:r>
</w:p>
<w:p>
<w:pPr><w:pStyle w:val="Normal"/></w:pPr>
<w:r><w:t xml:space="preserve">of trade with Greece at that period; and the town was famous</w:t></w:r>
</w:p>
<w:p>
<w:pPr><w:pStyle w:val="Normal"/></w:pPr>
<w:r><w:t xml:space="preserve">in Aristotle&apos;s day for a special breed of fowls.  Even at</w:t></w:r>
</w:p>
<w:p>
<w:pPr><w:pStyle w:val="Normal"/></w:pPr>
<w:r><w:t xml:space="preserve">that period, however, the silt brought down by the rivers</w:t></w:r>
</w:p>
<w:p>
<w:pPr><w:pStyle w:val="Normal"/></w:pPr>
<w:r><w:t xml:space="preserve">rendered access to the harbour difficult, and the historian</w:t></w:r>
</w:p>
<w:p>
<w:pPr><w:pStyle w:val="Normal"/></w:pPr>
<w:r><w:t xml:space="preserve">Philistus excavated a canal to give free access to the</w:t></w:r>
</w:p>
<w:p>
<w:pPr><w:pStyle w:val="Normal"/></w:pPr>
<w:r><w:t xml:space="preserve">sea.  This was still open in the imperial period, and the</w:t></w:r>
</w:p>
<w:p>
<w:pPr><w:pStyle w:val="Normal"/></w:pPr>
<w:r><w:t xml:space="preserve">town, which was a municipium, possessed its own gild</w:t></w:r>
</w:p>
<w:p>
<w:pPr><w:pStyle w:val="Normal"/></w:pPr>
<w:r><w:t xml:space="preserve">of sailors; but its importance gradually decreased.  Its</w:t></w:r>
</w:p>
<w:p>
<w:pPr><w:pStyle w:val="Normal"/></w:pPr>
<w:r><w:t xml:space="preserve">remains lie from 10 to 20 ft. below the modern level.  The</w:t></w:r>
</w:p>
<w:p>
<w:pPr><w:pStyle w:val="Normal"/></w:pPr>
<w:r><w:t xml:space="preserve">Museo Civico and the Bocchi collection contain antiquities.</w:t></w:r>
</w:p>
<w:p>
<w:pPr><w:pStyle w:val="Normal"/></w:pPr>
<w:r><w:t xml:space="preserve">See R. Schone, Le antichita del Museo</w:t></w:r>
</w:p>
<w:p>
<w:pPr><w:pStyle w:val="Normal"/></w:pPr>
<w:r><w:t xml:space="preserve">Bocchi di Adria (Rome, 1878). (T. As.)</w:t></w:r>
</w:p>
<w:p>
<w:pPr><w:pStyle w:val="Normal"/></w:pPr>
<w:r><w:t xml:space="preserve">ADRIAN, or HADRIAN (Lat. Hadrianus), the name of six</w:t></w:r>
</w:p>
<w:p>
<w:pPr><w:pStyle w:val="Normal"/></w:pPr>
<w:r><w:t xml:space="preserve">popes. ADRIAN I., pope from 772 to 705, was the son of</w:t></w:r>
</w:p>
<w:p>
<w:pPr><w:pStyle w:val="Normal"/></w:pPr>
<w:r><w:t xml:space="preserve">Theodore, a Roman nobleman.  Soon after his accession the</w:t></w:r>
</w:p>
<w:p>
<w:pPr><w:pStyle w:val="Normal"/></w:pPr>
<w:r><w:t xml:space="preserve">territory that had been bestowed on the popes by Pippin was</w:t></w:r>
</w:p>
<w:p>
<w:pPr><w:pStyle w:val="Normal"/></w:pPr>
<w:r><w:t xml:space="preserve">invaded by Desiderius, king of the Lombards, and Adrian found</w:t></w:r>
</w:p>
<w:p>
<w:pPr><w:pStyle w:val="Normal"/></w:pPr>
<w:r><w:t xml:space="preserve">it necessary to invoke the aid of Charlemagne, who entered</w:t></w:r>
</w:p>
<w:p>
<w:pPr><w:pStyle w:val="Normal"/></w:pPr>
<w:r><w:t xml:space="preserve">Italy with a large army, besieged Desiderius in his capital of</w:t></w:r>
</w:p>
<w:p>
<w:pPr><w:pStyle w:val="Normal"/></w:pPr>
<w:r><w:t xml:space="preserve">Pavia, took that town, banished the Lombard king to Corbie in</w:t></w:r>
</w:p>
<w:p>
<w:pPr><w:pStyle w:val="Normal"/></w:pPr>
<w:r><w:t xml:space="preserve">France and united the Lombard kingdom with the other Frankish</w:t></w:r>
</w:p>
<w:p>
<w:pPr><w:pStyle w:val="Normal"/></w:pPr>
<w:r><w:t xml:space="preserve">possessions.  The pope, whose expectations had been aroused,</w:t></w:r>
</w:p>
<w:p>
<w:pPr><w:pStyle w:val="Normal"/></w:pPr>
<w:r><w:t xml:space="preserve">had to content himself with some additions to the duchy of</w:t></w:r>
</w:p>
<w:p>
<w:pPr><w:pStyle w:val="Normal"/></w:pPr>
<w:r><w:t xml:space="preserve">Rome, and to the Exarchate, and the Pentapolis.  In his</w:t></w:r>
</w:p>
<w:p>
<w:pPr><w:pStyle w:val="Normal"/></w:pPr>
<w:r><w:t xml:space="preserve">contest with the Greek empire and the Lombard princes of</w:t></w:r>
</w:p>
<w:p>
<w:pPr><w:pStyle w:val="Normal"/></w:pPr>
<w:r><w:t xml:space="preserve">Benevento, Adrian remained faithful to the Frankish alliance,</w:t></w:r>
</w:p>
<w:p>
<w:pPr><w:pStyle w:val="Normal"/></w:pPr>
<w:r><w:t xml:space="preserve">and the friendly relations between pope and emperor were</w:t></w:r>
</w:p>
<w:p>
<w:pPr><w:pStyle w:val="Normal"/></w:pPr>
<w:r><w:t xml:space="preserve">not disturbed by the difference which arose between them on</w:t></w:r>
</w:p>
<w:p>
<w:pPr><w:pStyle w:val="Normal"/></w:pPr>
<w:r><w:t xml:space="preserve">the question of the worship of images, to which Charlemagne</w:t></w:r>
</w:p>
<w:p>
<w:pPr><w:pStyle w:val="Normal"/></w:pPr>
<w:r><w:t xml:space="preserve">and the Gallican Church were strongly opposed, while Adrian</w:t></w:r>
</w:p>
<w:p>
<w:pPr><w:pStyle w:val="Normal"/></w:pPr>
<w:r><w:t xml:space="preserve">favoured the views of the Eastern Church, and approved the</w:t></w:r>
</w:p>
<w:p>
<w:pPr><w:pStyle w:val="Normal"/></w:pPr>
<w:r><w:t xml:space="preserve">decree of the council of Nicaea (787), confirming the practice</w:t></w:r>
</w:p>
<w:p>
<w:pPr><w:pStyle w:val="Normal"/></w:pPr>
<w:r><w:t xml:space="preserve">and excommunicating the iconoclasts.  It was in connexion with</w:t></w:r>
</w:p>
<w:p>
<w:pPr><w:pStyle w:val="Normal"/></w:pPr>
<w:r><w:t xml:space="preserve">this controversy that Charlemagne wrote the so-called Libri</w:t></w:r>
</w:p>
<w:p>
<w:pPr><w:pStyle w:val="Normal"/></w:pPr>
<w:r><w:t xml:space="preserve">Carolini, to which Adrian replied by letter, anathematizing</w:t></w:r>
</w:p>
<w:p>
<w:pPr><w:pStyle w:val="Normal"/></w:pPr>
<w:r><w:t xml:space="preserve">all who refused to worship the images of Christ, or the</w:t></w:r>
</w:p>
<w:p>
<w:pPr><w:pStyle w:val="Normal"/></w:pPr>
<w:r><w:t xml:space="preserve">Virgin, or saints.  Notwithstanding this, a synod, held</w:t></w:r>
</w:p>
<w:p>
<w:pPr><w:pStyle w:val="Normal"/></w:pPr>
<w:r><w:t xml:space="preserve">at Frankfort in 794, anew condemned the practice, and the</w:t></w:r>
</w:p>
<w:p>
<w:pPr><w:pStyle w:val="Normal"/></w:pPr>
<w:r><w:t xml:space="preserve">dispute remained unsettled at Adrian&apos;s death.  An epitaph</w:t></w:r>
</w:p>
<w:p>
<w:pPr><w:pStyle w:val="Normal"/></w:pPr>
<w:r><w:t xml:space="preserve">written by Charlemagne in verse, in which he styles Adrian</w:t></w:r>
</w:p>
<w:p>
<w:pPr><w:pStyle w:val="Normal"/></w:pPr>
<w:r><w:t xml:space="preserve">``father,&apos;&apos; is still to be seen at the door of the Vatican</w:t></w:r>
</w:p>
<w:p>
<w:pPr><w:pStyle w:val="Normal"/></w:pPr>
<w:r><w:t xml:space="preserve">basilica.  Adrian restored the ancient aqueducts of Rome,</w:t></w:r>
</w:p>
<w:p>
<w:pPr><w:pStyle w:val="Normal"/></w:pPr>
<w:r><w:t xml:space="preserve">and governed his little state with a firm and skilful hand.</w:t></w:r>
</w:p>
<w:p>
<w:pPr><w:pStyle w:val="Normal"/></w:pPr>
<w:r><w:t xml:space="preserve">ADRIAN II., pope from 867 to 872, was a member of a</w:t></w:r>
</w:p>
<w:p>
<w:pPr><w:pStyle w:val="Normal"/></w:pPr>
<w:r><w:t xml:space="preserve">noble Roman family, and became pope in 867, at an advanced</w:t></w:r>
</w:p>
<w:p>
<w:pPr><w:pStyle w:val="Normal"/></w:pPr>
<w:r><w:t xml:space="preserve">age.  He maintained, but with less energy, the attitude of his</w:t></w:r>
</w:p>
<w:p>
<w:pPr><w:pStyle w:val="Normal"/></w:pPr>
<w:r><w:t xml:space="preserve">predecessor.  Rid of the affair of Lothair, king of Lorraine,</w:t></w:r>
</w:p>
<w:p>
<w:pPr><w:pStyle w:val="Normal"/></w:pPr>
<w:r><w:t xml:space="preserve">by the death of that prince (869), he endeavoured in vain to</w:t></w:r>
</w:p>
<w:p>
<w:pPr><w:pStyle w:val="Normal"/></w:pPr>
<w:r><w:t xml:space="preserve">mediate between the Frankish princes with a view to assuring</w:t></w:r>
</w:p>
<w:p>
<w:pPr><w:pStyle w:val="Normal"/></w:pPr>
<w:r><w:t xml:space="preserve">to the emperor, Louis II., the heritage of the king of</w:t></w:r>
</w:p>
<w:p>
<w:pPr><w:pStyle w:val="Normal"/></w:pPr>
<w:r><w:t xml:space="preserve">Lorraine.  Photius, shortly after the council in which he</w:t></w:r>
</w:p>
<w:p>
<w:pPr><w:pStyle w:val="Normal"/></w:pPr>
<w:r><w:t xml:space="preserve">had pronounced sentence of deposition against Pope Nicholas,</w:t></w:r>
</w:p>
<w:p>
<w:pPr><w:pStyle w:val="Normal"/></w:pPr>
<w:r><w:t xml:space="preserve">was driven from the patriarchate by a new emperor, Basil the</w:t></w:r>
</w:p>
<w:p>
<w:pPr><w:pStyle w:val="Normal"/></w:pPr>
<w:r><w:t xml:space="preserve">Macedonian, who favoured his rival Ignatius.  An oecumenical</w:t></w:r>
</w:p>
<w:p>
<w:pPr><w:pStyle w:val="Normal"/></w:pPr>
<w:r><w:t xml:space="preserve">council (called by the Latins the 8th) was convoked at</w:t></w:r>
</w:p>
<w:p>
<w:pPr><w:pStyle w:val="Normal"/></w:pPr>
<w:r><w:t xml:space="preserve">Constantinople to decide this matter.  At this council Adrian</w:t></w:r>
</w:p>
<w:p>
<w:pPr><w:pStyle w:val="Normal"/></w:pPr>
<w:r><w:t xml:space="preserve">was represented by legates, who presided at the condemnation</w:t></w:r>
</w:p>
<w:p>
<w:pPr><w:pStyle w:val="Normal"/></w:pPr>
<w:r><w:t xml:space="preserve">of Photius, but did not succeed in coming to an understanding</w:t></w:r>
</w:p>
<w:p>
<w:pPr><w:pStyle w:val="Normal"/></w:pPr>
<w:r><w:t xml:space="preserve">with Ignatius on the subject of the jurisdiction over the</w:t></w:r>
</w:p>
<w:p>
<w:pPr><w:pStyle w:val="Normal"/></w:pPr>
<w:r><w:t xml:space="preserve">Bulgarian converts.  Like his predecessor Nicholas, Adrian</w:t></w:r>
</w:p>
<w:p>
<w:pPr><w:pStyle w:val="Heading1"/></w:pPr>
<w:r><w:t>II. was forced to submit, at least in temporal affairs, to</w:t></w:r>
</w:p>
<w:p>
<w:pPr><w:pStyle w:val="Normal"/></w:pPr>
<w:r><w:t xml:space="preserve">the tutelage of the emperor, Louis II., who placed him under</w:t></w:r>
</w:p>
<w:p>
<w:pPr><w:pStyle w:val="Normal"/></w:pPr>
<w:r><w:t xml:space="preserve">the surveillance of Arsenius, bishop of Orta, his confidential</w:t></w:r>
</w:p>
<w:p>
<w:pPr><w:pStyle w:val="Normal"/></w:pPr>
<w:r><w:t xml:space="preserve">adviser, and Arsenius&apos;s son Anastasius, the librarian.</w:t></w:r>
</w:p>
<w:p>
<w:pPr><w:pStyle w:val="Normal"/></w:pPr>
<w:r><w:t xml:space="preserve">Adrian had married in his youth, and his wife and daughter</w:t></w:r>
</w:p>
<w:p>
<w:pPr><w:pStyle w:val="Normal"/></w:pPr>
<w:r><w:t xml:space="preserve">were still living.  They were carried off and assassinated</w:t></w:r>
</w:p>
<w:p>
<w:pPr><w:pStyle w:val="Normal"/></w:pPr>
<w:r><w:t xml:space="preserve">by Anastasius&apos;s brother, Eleutherius, whose reputation,</w:t></w:r>
</w:p>
<w:p>
<w:pPr><w:pStyle w:val="Normal"/></w:pPr>
<w:r><w:t xml:space="preserve">however, suffered but a momentary eclipse.  Adrian died in 872.</w:t></w:r>
</w:p>
<w:p>
<w:pPr><w:pStyle w:val="Normal"/></w:pPr>
<w:r><w:t xml:space="preserve">ADRIAN III., pope, was born at Rome.  He succeeded Martin</w:t></w:r>
</w:p>
<w:p>
<w:pPr><w:pStyle w:val="Heading1"/></w:pPr>
<w:r><w:t>II. in 884, and died in 885, on a journey to Worms. (L. D.*)</w:t></w:r>
</w:p>
<w:p>
<w:pPr><w:pStyle w:val="Normal"/></w:pPr>
<w:r><w:t xml:space="preserve">ADRIAN IV. (Nicholas Breakspear), pope from 1154 to</w:t></w:r>
</w:p>
<w:p>
<w:pPr><w:pStyle w:val="Normal"/></w:pPr>
<w:r><w:t xml:space="preserve">1159, the only Englishman who has occupied the papal chair,</w:t></w:r>
</w:p>
<w:p>
<w:pPr><w:pStyle w:val="Normal"/></w:pPr>
<w:r><w:t xml:space="preserve">was born before A.D. 1100 at Langley near St Albans in</w:t></w:r>
</w:p>
<w:p>
<w:pPr><w:pStyle w:val="Normal"/></w:pPr>
<w:r><w:t xml:space="preserve">Hertfordshire, His father was Robert, a priest of the diocese</w:t></w:r>
</w:p>
<w:p>
<w:pPr><w:pStyle w:val="Normal"/></w:pPr>
<w:r><w:t xml:space="preserve">of Bath, who entered a monastery and left the boy to his own</w:t></w:r>
</w:p>
<w:p>
<w:pPr><w:pStyle w:val="Normal"/></w:pPr>
<w:r><w:t xml:space="preserve">resources.  Nicholas went to Paris and finally became a monk</w:t></w:r>
</w:p>
<w:p>
<w:pPr><w:pStyle w:val="Normal"/></w:pPr>
<w:r><w:t xml:space="preserve">of the cloister of St Rufus near Arles.  He rose to be prior</w:t></w:r>
</w:p>
<w:p>
<w:pPr><w:pStyle w:val="Normal"/></w:pPr>
<w:r><w:t xml:space="preserve">and in 1137 was unanimously elected abbot.  His reforming</w:t></w:r>
</w:p>
<w:p>
<w:pPr><w:pStyle w:val="Normal"/></w:pPr>
<w:r><w:t xml:space="preserve">zeal led to the lodging of complaints against him at Rome;</w:t></w:r>
</w:p>
<w:p>
<w:pPr><w:pStyle w:val="Normal"/></w:pPr>
<w:r><w:t xml:space="preserve">but these merely attracted to him the favourable attention</w:t></w:r>
</w:p>
<w:p>
<w:pPr><w:pStyle w:val="Normal"/></w:pPr>
<w:r><w:t xml:space="preserve">of Eugenius III., who created him cardinal bishop of Albano.</w:t></w:r>
</w:p>
<w:p>
<w:pPr><w:pStyle w:val="Normal"/></w:pPr>
<w:r><w:t xml:space="preserve">From 1152 to 1154 Nlicholas was in Scandinavia as legate,</w:t></w:r>
</w:p>
<w:p>
<w:pPr><w:pStyle w:val="Normal"/></w:pPr>
<w:r><w:t xml:space="preserve">organizing the affairs of the new Norwegian archbishopric of</w:t></w:r>
</w:p>
<w:p>
<w:pPr><w:pStyle w:val="Normal"/></w:pPr>
<w:r><w:t xml:space="preserve">Trondhjem, and making arrangements which resulted in the</w:t></w:r>
</w:p>
<w:p>
<w:pPr><w:pStyle w:val="Normal"/></w:pPr>
<w:r><w:t xml:space="preserve">recognition of Upsala as seat of the Swedish metropolitan in</w:t></w:r>
</w:p>
<w:p>
<w:pPr><w:pStyle w:val="Normal"/></w:pPr>
<w:r><w:t xml:space="preserve">1164.  As a compensation for territory thus withdrawn the</w:t></w:r>
</w:p>
<w:p>
<w:pPr><w:pStyle w:val="Normal"/></w:pPr>
<w:r><w:t xml:space="preserve">Danish archbishop of Lund was made legate and perpetual</w:t></w:r>
</w:p>
<w:p>
<w:pPr><w:pStyle w:val="Normal"/></w:pPr>
<w:r><w:t xml:space="preserve">vicar and given the title of primate of Denmark and Sweden.</w:t></w:r>
</w:p>
<w:p>
<w:pPr><w:pStyle w:val="Normal"/></w:pPr>
<w:r><w:t xml:space="preserve">On his return Nicholas was received with great honour by</w:t></w:r>
</w:p>
<w:p>
<w:pPr><w:pStyle w:val="Normal"/></w:pPr>
<w:r><w:t xml:space="preserve">Anastasius IV., and on the death of the latter was elected</w:t></w:r>
</w:p>
<w:p>
<w:pPr><w:pStyle w:val="Normal"/></w:pPr>
<w:r><w:t xml:space="preserve">pope on the 4th of December 1154.  He at once endeavoured</w:t></w:r>
</w:p>
<w:p>
<w:pPr><w:pStyle w:val="Normal"/></w:pPr>
<w:r><w:t xml:space="preserve">to compass the overthrow of Arnold of Brescia, the leader</w:t></w:r>
</w:p>
<w:p>
<w:pPr><w:pStyle w:val="Normal"/></w:pPr>
<w:r><w:t xml:space="preserve">of anti-papal sentiment in Rome.  Disorders ending with the</w:t></w:r>
</w:p>
<w:p>
<w:pPr><w:pStyle w:val="Normal"/></w:pPr>
<w:r><w:t xml:space="preserve">murder of a cardinal led Adrian shortly before Palm Sunday</w:t></w:r>
</w:p>
<w:p>
<w:pPr><w:pStyle w:val="Normal"/></w:pPr>
<w:r><w:t xml:space="preserve">1155 to take the previously-unheard-of step of putting</w:t></w:r>
</w:p>
<w:p>
<w:pPr><w:pStyle w:val="Normal"/></w:pPr>
<w:r><w:t xml:space="preserve">Rome under the interdict.  The senate thereupon exiled</w:t></w:r>
</w:p>
<w:p>
<w:pPr><w:pStyle w:val="Normal"/></w:pPr>
<w:r><w:t xml:space="preserve">Arnold, and the pope, with the impolitic co-operation of</w:t></w:r>
</w:p>
<w:p>
<w:pPr><w:pStyle w:val="Normal"/></w:pPr>
<w:r><w:t xml:space="preserve">Frederick I. Barbarossa, was instrumental in procuring his</w:t></w:r>
</w:p>
<w:p>
<w:pPr><w:pStyle w:val="Normal"/></w:pPr>
<w:r><w:t xml:space="preserve">execution.  Adrian crowned the emperor at St Peter&apos;s on the</w:t></w:r>
</w:p>
<w:p>
<w:pPr><w:pStyle w:val="Normal"/></w:pPr>
<w:r><w:t xml:space="preserve">18th of June 1155, a ceremony which so incensed the Romans</w:t></w:r>
</w:p>
<w:p>
<w:pPr><w:pStyle w:val="Normal"/></w:pPr>
<w:r><w:t xml:space="preserve">that the pope had to leave the city promptly, not returning</w:t></w:r>
</w:p>
<w:p>
<w:pPr><w:pStyle w:val="Normal"/></w:pPr>
<w:r><w:t xml:space="preserve">till November 1156.  With the aid of dissatisfied barons,</w:t></w:r>
</w:p>
<w:p>
<w:pPr><w:pStyle w:val="Normal"/></w:pPr>
<w:r><w:t xml:space="preserve">Adrian brought William I. of Sicily into dire straits; but</w:t></w:r>
</w:p>
<w:p>
<w:pPr><w:pStyle w:val="Normal"/></w:pPr>
<w:r><w:t xml:space="preserve">a change in the fortunes of war led to a settlement (June</w:t></w:r>
</w:p>
<w:p>
<w:pPr><w:pStyle w:val="Normal"/></w:pPr>
<w:r><w:t xml:space="preserve">1156) not advantageous to the papacy and displeasing to the</w:t></w:r>
</w:p>
<w:p>
<w:pPr><w:pStyle w:val="Normal"/></w:pPr>
<w:r><w:t xml:space="preserve">emperor.  At the diet of Besancon in October 1157, the</w:t></w:r>
</w:p>
<w:p>
<w:pPr><w:pStyle w:val="Normal"/></w:pPr>
<w:r><w:t xml:space="preserve">legates presented to Barbarossa a letter from Adrian which</w:t></w:r>
</w:p>
<w:p>
<w:pPr><w:pStyle w:val="Normal"/></w:pPr>
<w:r><w:t xml:space="preserve">alluded to the beneficia conferred upon the emperor, and the</w:t></w:r>
</w:p>
<w:p>
<w:pPr><w:pStyle w:val="Normal"/></w:pPr>
<w:r><w:t xml:space="preserve">German chancellor translated this beneficia in the feudal</w:t></w:r>
</w:p>
<w:p>
<w:pPr><w:pStyle w:val="Normal"/></w:pPr>
<w:r><w:t xml:space="preserve">sense.  In the storm which ensued the legates were glad to</w:t></w:r>
</w:p>
<w:p>
<w:pPr><w:pStyle w:val="Normal"/></w:pPr>
<w:r><w:t xml:space="preserve">escape with their lives, and the incident at length closed</w:t></w:r>
</w:p>
<w:p>
<w:pPr><w:pStyle w:val="Normal"/></w:pPr>
<w:r><w:t xml:space="preserve">with a letter from the pope, declaring that by beneficium</w:t></w:r>
</w:p>
<w:p>
<w:pPr><w:pStyle w:val="Normal"/></w:pPr>
<w:r><w:t xml:space="preserve">he meant merely bonum factum. The breach subsequently</w:t></w:r>
</w:p>
<w:p>
<w:pPr><w:pStyle w:val="Normal"/></w:pPr>
<w:r><w:t xml:space="preserve">became wider, and Adrian was about to excommunicate the</w:t></w:r>
</w:p>
<w:p>
<w:pPr><w:pStyle w:val="Normal"/></w:pPr>
<w:r><w:t xml:space="preserve">emperor when he died at Anagnia on the 1st of September</w:t></w:r>
</w:p>
<w:p>
<w:pPr><w:pStyle w:val="Normal"/></w:pPr>
<w:r><w:t xml:space="preserve">1159.  A controversy exists concerning an embassy sent by</w:t></w:r>
</w:p>
<w:p>
<w:pPr><w:pStyle w:val="Normal"/></w:pPr>
<w:r><w:t xml:space="preserve">Henry II. of England to Adrian in 1155.  According to the</w:t></w:r>
</w:p>
<w:p>
<w:pPr><w:pStyle w:val="Normal"/></w:pPr>
<w:r><w:t xml:space="preserve">elaborate investigation of Thatcher, the facts seem to be as</w:t></w:r>
</w:p>
<w:p>
<w:pPr><w:pStyle w:val="Normal"/></w:pPr>
<w:r><w:t xml:space="preserve">follows.  Henry asked for permission to invade and subjugate</w:t></w:r>
</w:p>
<w:p>
<w:pPr><w:pStyle w:val="Normal"/></w:pPr>
<w:r><w:t xml:space="preserve">Ireland, in order to gain absolute ownership of that isle.</w:t></w:r>
</w:p>
<w:p>
<w:pPr><w:pStyle w:val="Normal"/></w:pPr>
<w:r><w:t xml:space="preserve">Unwilling to grant a request counter to the papal claim</w:t></w:r>
</w:p>
<w:p>
<w:pPr><w:pStyle w:val="Normal"/></w:pPr>
<w:r><w:t xml:space="preserve">(based on the forged Donation of Constantine) to dominion</w:t></w:r>
</w:p>
<w:p>
<w:pPr><w:pStyle w:val="Normal"/></w:pPr>
<w:r><w:t xml:space="preserve">over the islands of the sea, Adrian made Henry a conciliatory</w:t></w:r>
</w:p>
<w:p>
<w:pPr><w:pStyle w:val="Normal"/></w:pPr>
<w:r><w:t xml:space="preserve">proposal, namely, that the king should become hereditary</w:t></w:r>
</w:p>
<w:p>
<w:pPr><w:pStyle w:val="Normal"/></w:pPr>
<w:r><w:t xml:space="preserve">feudal possessor of Ireland while recognizing the pope as</w:t></w:r>
</w:p>
<w:p>
<w:pPr><w:pStyle w:val="Normal"/></w:pPr>
<w:r><w:t xml:space="preserve">overlord.  This compromise did not satisfy Henry, so the matter</w:t></w:r>
</w:p>
<w:p>
<w:pPr><w:pStyle w:val="Normal"/></w:pPr>
<w:r><w:t xml:space="preserve">dropped; Henry&apos;s subsequent title to Ireland rested on conquest,</w:t></w:r>
</w:p>
<w:p>
<w:pPr><w:pStyle w:val="Normal"/></w:pPr>
<w:r><w:t xml:space="preserve">not on papal concession, and was therefore absolute.  The</w:t></w:r>
</w:p>
<w:p>
<w:pPr><w:pStyle w:val="Normal"/></w:pPr>
<w:r><w:t xml:space="preserve">much-discussed bull Laudabiliter is, however, not genuine.</w:t></w:r>
</w:p>
<w:p>
<w:pPr><w:pStyle w:val="Normal"/></w:pPr>
<w:r><w:t xml:space="preserve">See Herzog-Hauck, Realencyklopadie, 3rd ed. (excellent</w:t></w:r>
</w:p>
<w:p>
<w:pPr><w:pStyle w:val="Normal"/></w:pPr>
<w:r><w:t xml:space="preserve">bibliography), and Wetzer and Welte, Kirchenlexikon, 2nd</w:t></w:r>
</w:p>
<w:p>
<w:pPr><w:pStyle w:val="Normal"/></w:pPr>
<w:r><w:t xml:space="preserve">ed., under ``Hadrian IV.&apos;&apos;; also Oliver J. Thatcher, Studies</w:t></w:r>
</w:p>
<w:p>
<w:pPr><w:pStyle w:val="Normal"/></w:pPr>
<w:r><w:t xml:space="preserve">concerning Adriani IV`. (The University of Chicago: Decennial</w:t></w:r>
</w:p>
<w:p>
<w:pPr><w:pStyle w:val="Normal"/></w:pPr>
<w:r><w:t xml:space="preserve">Publications, 1st series, vol. iv., Chicago, 1903); R. Raby,</w:t></w:r>
</w:p>
<w:p>
<w:pPr><w:pStyle w:val="Normal"/></w:pPr>
<w:r><w:t xml:space="preserve">Pope Adrian IV.: An Historical Sketch (London, 1849); and</w:t></w:r>
</w:p>
<w:p>
<w:pPr><w:pStyle w:val="Normal"/></w:pPr>
<w:r><w:t xml:space="preserve">A. H.Tarleton, Life of Nicholas Breakspear (London, 1896)</w:t></w:r>
</w:p>
<w:p>
<w:pPr><w:pStyle w:val="Normal"/></w:pPr>
<w:r><w:t xml:space="preserve">ADRIAN V. (Ottobuono de&apos; Fieschi), pope in 1276, was a Genoese</w:t></w:r>
</w:p>
<w:p>
<w:pPr><w:pStyle w:val="Normal"/></w:pPr>
<w:r><w:t xml:space="preserve">who was created cardinal deacon by his uncle Innocent IV.</w:t></w:r>
</w:p>
<w:p>
<w:pPr><w:pStyle w:val="Normal"/></w:pPr>
<w:r><w:t xml:space="preserve">In 1264 he was sent to England to mediate between Henry III.</w:t></w:r>
</w:p>
<w:p>
<w:pPr><w:pStyle w:val="Normal"/></w:pPr>
<w:r><w:t xml:space="preserve">and his barons.  He was elected pope to succeed Innocent V.</w:t></w:r>
</w:p>
<w:p>
<w:pPr><w:pStyle w:val="Normal"/></w:pPr>
<w:r><w:t xml:space="preserve">on the 11th of July 1276, but died at Viterbo on the 18th of</w:t></w:r>
</w:p>
<w:p>
<w:pPr><w:pStyle w:val="Normal"/></w:pPr>
<w:r><w:t xml:space="preserve">August, without having been ordained even to the priesthood.</w:t></w:r>
</w:p>
<w:p>
<w:pPr><w:pStyle w:val="Normal"/></w:pPr>
<w:r><w:t xml:space="preserve">ADRIAN VI. (Adrian Dedel, not Boyens, probably not Rodenburgh,</w:t></w:r>
</w:p>
<w:p>
<w:pPr><w:pStyle w:val="Normal"/></w:pPr>
<w:r><w:t xml:space="preserve">1459-1523), pope from 1522 to 1523, was born at Utrecht in</w:t></w:r>
</w:p>
<w:p>
<w:pPr><w:pStyle w:val="Normal"/></w:pPr>
<w:r><w:t xml:space="preserve">March 1459, and studied under the Brethren of the Common</w:t></w:r>
</w:p>
<w:p>
<w:pPr><w:pStyle w:val="Normal"/></w:pPr>
<w:r><w:t xml:space="preserve">Life either at Zwolle or Deventer.  At Louvain he pursued</w:t></w:r>
</w:p>
<w:p>
<w:pPr><w:pStyle w:val="Normal"/></w:pPr>
<w:r><w:t xml:space="preserve">philosophy, theology and canon law, becoming a doctor of</w:t></w:r>
</w:p>
<w:p>
<w:pPr><w:pStyle w:val="Normal"/></w:pPr>
<w:r><w:t xml:space="preserve">theology (1491), dean of St Peter&apos;s and vice-chancellor of the</w:t></w:r>
</w:p>
<w:p>
<w:pPr><w:pStyle w:val="Normal"/></w:pPr>
<w:r><w:t xml:space="preserve">university.  In 1507 he was appointed tutor to the seven-year</w:t></w:r>
</w:p>
<w:p>
<w:pPr><w:pStyle w:val="Normal"/></w:pPr>
<w:r><w:t xml:space="preserve">old Charles V. He was sent to Spain in 1515 on a very important</w:t></w:r>
</w:p>
<w:p>
<w:pPr><w:pStyle w:val="Normal"/></w:pPr>
<w:r><w:t xml:space="preserve">diplomatic errand; Charles secured his succession to the see</w:t></w:r>
</w:p>
<w:p>
<w:pPr><w:pStyle w:val="Normal"/></w:pPr>
<w:r><w:t xml:space="preserve">of Tortosa, and on the 14th of November 1516 commissioned him</w:t></w:r>
</w:p>
<w:p>
<w:pPr><w:pStyle w:val="Normal"/></w:pPr>
<w:r><w:t xml:space="preserve">inquisitor-general of Aragon.  During the minority of Charles,</w:t></w:r>
</w:p>
<w:p>
<w:pPr><w:pStyle w:val="Normal"/></w:pPr>
<w:r><w:t xml:space="preserve">Adrian was associated with Cardinal Jimenes in governing</w:t></w:r>
</w:p>
<w:p>
<w:pPr><w:pStyle w:val="Normal"/></w:pPr>
<w:r><w:t xml:space="preserve">Spain.  After the death of the latter Adrian was appointed, on</w:t></w:r>
</w:p>
<w:p>
<w:pPr><w:pStyle w:val="Normal"/></w:pPr>
<w:r><w:t xml:space="preserve">the 14th of March 1518, general of the reunited inquisitions</w:t></w:r>
</w:p>
<w:p>
<w:pPr><w:pStyle w:val="Normal"/></w:pPr>
<w:r><w:t xml:space="preserve">of Castile and Aragon, in which capacity he acted till his</w:t></w:r>
</w:p>
<w:p>
<w:pPr><w:pStyle w:val="Normal"/></w:pPr>
<w:r><w:t xml:space="preserve">departure from Tarragona for Rome on the 4th of August 1522: he</w:t></w:r>
</w:p>
<w:p>
<w:pPr><w:pStyle w:val="Normal"/></w:pPr>
<w:r><w:t xml:space="preserve">was, however, too weak and confiding to cope with abuses which</w:t></w:r>
</w:p>
<w:p>
<w:pPr><w:pStyle w:val="Normal"/></w:pPr>
<w:r><w:t xml:space="preserve">Jimenes had been able in some degree to check.  When Charles</w:t></w:r>
</w:p>
<w:p>
<w:pPr><w:pStyle w:val="Normal"/></w:pPr>
<w:r><w:t xml:space="preserve">left for the Netherlands in 1520 he made Adrian regent of Spain:</w:t></w:r>
</w:p>
<w:p>
<w:pPr><w:pStyle w:val="Normal"/></w:pPr>
<w:r><w:t xml:space="preserve">as such he had to cope with a very serious revolt.  In 1517</w:t></w:r>
</w:p>
<w:p>
<w:pPr><w:pStyle w:val="Normal"/></w:pPr>
<w:r><w:t xml:space="preserve">Leo X. had created him cardinal priest SS. Ioannis et Pauli;</w:t></w:r>
</w:p>
<w:p>
<w:pPr><w:pStyle w:val="Normal"/></w:pPr>
<w:r><w:t xml:space="preserve">on the 9th of January 1522 he was almost unanimously elected</w:t></w:r>
</w:p>
<w:p>
<w:pPr><w:pStyle w:val="Normal"/></w:pPr>
<w:r><w:t xml:space="preserve">pope.  Crowned in St Peter&apos;s on the 31st of August at the</w:t></w:r>
</w:p>
<w:p>
<w:pPr><w:pStyle w:val="Normal"/></w:pPr>
<w:r><w:t xml:space="preserve">age of sixty-three, he entered upon the lonely path of the</w:t></w:r>
</w:p>
<w:p>
<w:pPr><w:pStyle w:val="Normal"/></w:pPr>
<w:r><w:t xml:space="preserve">reformer.  His programme was to attack notorious abuses one</w:t></w:r>
</w:p>
<w:p>
<w:pPr><w:pStyle w:val="Normal"/></w:pPr>
<w:r><w:t xml:space="preserve">by one; but in his attempt to improve the system of granting</w:t></w:r>
</w:p>
<w:p>
<w:pPr><w:pStyle w:val="Normal"/></w:pPr>
<w:r><w:t xml:space="preserve">indulgences he was hampered by his cardinals; and reducing</w:t></w:r>
</w:p>
<w:p>
<w:pPr><w:pStyle w:val="Normal"/></w:pPr>
<w:r><w:t xml:space="preserve">the number of matrimonial dispensations was impossible, for</w:t></w:r>
</w:p>
<w:p>
<w:pPr><w:pStyle w:val="Normal"/></w:pPr>
<w:r><w:t xml:space="preserve">the income had been farmed out for years in advance by Leo X.</w:t></w:r>
</w:p>
<w:p>
<w:pPr><w:pStyle w:val="Normal"/></w:pPr>
<w:r><w:t xml:space="preserve">The Italians saw in him a pedantic foreign professor, blind</w:t></w:r>
</w:p>
<w:p>
<w:pPr><w:pStyle w:val="Normal"/></w:pPr>
<w:r><w:t xml:space="preserve">to the beauty of classical antiquity, penuriously docking the</w:t></w:r>
</w:p>
<w:p>
<w:pPr><w:pStyle w:val="Normal"/></w:pPr>
<w:r><w:t xml:space="preserve">stipends of great artists.  As a peacemaker among Christian</w:t></w:r>
</w:p>
<w:p>
<w:pPr><w:pStyle w:val="Normal"/></w:pPr>
<w:r><w:t xml:space="preserve">princes, whom he hoped to unite in a protective war against</w:t></w:r>
</w:p>
<w:p>
<w:pPr><w:pStyle w:val="Normal"/></w:pPr>
<w:r><w:t xml:space="preserve">the Turk, he was a failure: in August 1523 he was forced</w:t></w:r>
</w:p>
<w:p>
<w:pPr><w:pStyle w:val="Normal"/></w:pPr>
<w:r><w:t xml:space="preserve">openly to ally himself with the Empire, England, Venice,</w:t></w:r>
</w:p>
<w:p>
<w:pPr><w:pStyle w:val="Normal"/></w:pPr>
<w:r><w:t xml:space="preserve">&amp;c., against France; meanwhile in 1522 the sultan Suleiman</w:t></w:r>
</w:p>
<w:p>
<w:pPr><w:pStyle w:val="Heading1"/></w:pPr>
<w:r><w:t>I. had conquered Rhodes.  In dealing with the early stages</w:t></w:r>
</w:p>
<w:p>
<w:pPr><w:pStyle w:val="Normal"/></w:pPr>
<w:r><w:t xml:space="preserve">of the Protestant revolt in Germany Adrian did not fully</w:t></w:r>
</w:p>
<w:p>
<w:pPr><w:pStyle w:val="Normal"/></w:pPr>
<w:r><w:t xml:space="preserve">recognize the gravity of the situation.  At the diet which</w:t></w:r>
</w:p>
<w:p>
<w:pPr><w:pStyle w:val="Normal"/></w:pPr>
<w:r><w:t xml:space="preserve">opened in December 1522 at Nuremberg he was represented by</w:t></w:r>
</w:p>
<w:p>
<w:pPr><w:pStyle w:val="Normal"/></w:pPr>
<w:r><w:t xml:space="preserve">Chieregati, whose instructions contain the frank admission</w:t></w:r>
</w:p>
<w:p>
<w:pPr><w:pStyle w:val="Normal"/></w:pPr>
<w:r><w:t xml:space="preserve">that the whole disorder of the church had perchance proceeded</w:t></w:r>
</w:p>
<w:p>
<w:pPr><w:pStyle w:val="Normal"/></w:pPr>
<w:r><w:t xml:space="preserve">from the Curia itself, and that there the reform should</w:t></w:r>
</w:p>
<w:p>
<w:pPr><w:pStyle w:val="Normal"/></w:pPr>
<w:r><w:t xml:space="preserve">begin.  However, the former professor and inquisitor-general</w:t></w:r>
</w:p>
<w:p>
<w:pPr><w:pStyle w:val="Normal"/></w:pPr>
<w:r><w:t xml:space="preserve">was stoutly opposed to doctrinal changes, and demanded that</w:t></w:r>
</w:p>
<w:p>
<w:pPr><w:pStyle w:val="Normal"/></w:pPr>
<w:r><w:t xml:space="preserve">Luther be punished for heresy.  The statement in one of his</w:t></w:r>
</w:p>
<w:p>
<w:pPr><w:pStyle w:val="Normal"/></w:pPr>
<w:r><w:t xml:space="preserve">works that the pope could err in matters of faith (``haeresim</w:t></w:r>
</w:p>
<w:p>
<w:pPr><w:pStyle w:val="Normal"/></w:pPr>
<w:r><w:t xml:space="preserve">per suam determinationem aut Decretalem assurondo&apos;&apos;) has</w:t></w:r>
</w:p>
<w:p>
<w:pPr><w:pStyle w:val="Normal"/></w:pPr>
<w:r><w:t xml:space="preserve">attracted attention; but as it is a private opinion, not</w:t></w:r>
</w:p>
<w:p>
<w:pPr><w:pStyle w:val="Normal"/></w:pPr>
<w:r><w:t xml:space="preserve">an ex cathedra pronouncement, it is held not to prejudice</w:t></w:r>
</w:p>
<w:p>
<w:pPr><w:pStyle w:val="Normal"/></w:pPr>
<w:r><w:t xml:space="preserve">the dogma of papal infallibility.  On the 14th of September</w:t></w:r>
</w:p>
<w:p>
<w:pPr><w:pStyle w:val="Normal"/></w:pPr>
<w:r><w:t xml:space="preserve">1523 he died, after a pontificate too short to be effective.</w:t></w:r>
</w:p>
<w:p>
<w:pPr><w:pStyle w:val="Normal"/></w:pPr>
<w:r><w:t xml:space="preserve">Most of Adrian VI&apos;s official papers disappeared soon after his</w:t></w:r>
</w:p>
<w:p>
<w:pPr><w:pStyle w:val="Normal"/></w:pPr>
<w:r><w:t xml:space="preserve">death.  He published Quaestiones in quartum sententiarum</w:t></w:r>
</w:p>
<w:p>
<w:pPr><w:pStyle w:val="Normal"/></w:pPr>
<w:r><w:t xml:space="preserve">praesertim circa sacrementa (Paris, 1512, 1516, 1518,</w:t></w:r>
</w:p>
<w:p>
<w:pPr><w:pStyle w:val="Normal"/></w:pPr>
<w:r><w:t xml:space="preserve">1537; Rome, 1522), and Quaestiones quodlibeticae XII. (1st</w:t></w:r>
</w:p>
<w:p>
<w:pPr><w:pStyle w:val="Normal"/></w:pPr>
<w:r><w:t xml:space="preserve">ed., Louvain, 1515).  See L. Pastor, in Geschichte der</w:t></w:r>
</w:p>
<w:p>
<w:pPr><w:pStyle w:val="Normal"/></w:pPr>
<w:r><w:t xml:space="preserve">Papste, vol. iv. pt. ii.; Adrian VI und Klemens VII.</w:t></w:r>
</w:p>
<w:p>
<w:pPr><w:pStyle w:val="Normal"/></w:pPr>
<w:r><w:t xml:space="preserve">(Freiburg, 1907); also Wetzer and Welte, Kirchenlexikon,</w:t></w:r>
</w:p>
<w:p>
<w:pPr><w:pStyle w:val="Normal"/></w:pPr>
<w:r><w:t xml:space="preserve">2nd ed., and Herzog-Hauck, Realencyklopadie, 3rd ed.,</w:t></w:r>
</w:p>
<w:p>
<w:pPr><w:pStyle w:val="Normal"/></w:pPr>
<w:r><w:t xml:space="preserve">under ``Hadrian VI.&apos;&apos;; H. Hurter, Nomenclator literarius</w:t></w:r>
</w:p>
<w:p>
<w:pPr><w:pStyle w:val="Normal"/></w:pPr>
<w:r><w:t xml:space="preserve">recentioris theologiae catholicae, tom. iv. (Innsbruck.</w:t></w:r>
</w:p>
<w:p>
<w:pPr><w:pStyle w:val="Normal"/></w:pPr>
<w:r><w:t xml:space="preserve">1899), 1027; The Cambridge Modern History, vol. ii.</w:t></w:r>
</w:p>
<w:p>
<w:pPr><w:pStyle w:val="Normal"/></w:pPr>
<w:r><w:t xml:space="preserve">(1904), 19-21; H. C. Lea, A History of the Inquisition of</w:t></w:r>
</w:p>
<w:p>
<w:pPr><w:pStyle w:val="Normal"/></w:pPr>
<w:r><w:t xml:space="preserve">Spain, vol. i. (1906); Janus, The Pope and the Council,</w:t></w:r>
</w:p>
<w:p>
<w:pPr><w:pStyle w:val="Normal"/></w:pPr>
<w:r><w:t xml:space="preserve">2nd ed. (London, 1869), 376. Biographies--A.  Lepitre,</w:t></w:r>
</w:p>
<w:p>
<w:pPr><w:pStyle w:val="Normal"/></w:pPr>
<w:r><w:t xml:space="preserve">Adrien VI. (Paris, 1880); C. A. C. von Hofler, Papst</w:t></w:r>
</w:p>
<w:p>
<w:pPr><w:pStyle w:val="Normal"/></w:pPr>
<w:r><w:t xml:space="preserve">Adrian VI. (Vienna, 1880); L. Casartelli, ``The Dutch</w:t></w:r>
</w:p>
<w:p>
<w:pPr><w:pStyle w:val="Normal"/></w:pPr>
<w:r><w:t xml:space="preserve">Pope,&apos;&apos; in Miscellaneous Essays (London, 1906). (W. W. R.*)</w:t></w:r>
</w:p>
<w:p>
<w:pPr><w:pStyle w:val="Normal"/></w:pPr>
<w:r><w:t xml:space="preserve">ADRIAN, SAINT, one of the praetorian guards of the emperor</w:t></w:r>
</w:p>
<w:p>
<w:pPr><w:pStyle w:val="Normal"/></w:pPr>
<w:r><w:t xml:space="preserve">Galerius Maximian, who, becoming a convert to Christianity, was</w:t></w:r>
</w:p>
<w:p>
<w:pPr><w:pStyle w:val="Normal"/></w:pPr>
<w:r><w:t xml:space="preserve">martyred at Nicomedia on the 4th of March 303. It is said that</w:t></w:r>
</w:p>
<w:p>
<w:pPr><w:pStyle w:val="Normal"/></w:pPr>
<w:r><w:t xml:space="preserve">while presiding over the torture of a band of Christians he</w:t></w:r>
</w:p>
<w:p>
<w:pPr><w:pStyle w:val="Normal"/></w:pPr>
<w:r><w:t xml:space="preserve">was so amazed at their courage that he publicly confessed his</w:t></w:r>
</w:p>
<w:p>
<w:pPr><w:pStyle w:val="Normal"/></w:pPr>
<w:r><w:t xml:space="preserve">faith.  He was imprisoned, and the next day his limbs were</w:t></w:r>
</w:p>
<w:p>
<w:pPr><w:pStyle w:val="Normal"/></w:pPr>
<w:r><w:t xml:space="preserve">struck off on an anvil, and he was then beheaded, dying in</w:t></w:r>
</w:p>
<w:p>
<w:pPr><w:pStyle w:val="Normal"/></w:pPr>
<w:r><w:t xml:space="preserve">his wife&apos;s, St Natalia&apos;s, arms.  St Adrian&apos;s festival, with</w:t></w:r>
</w:p>
<w:p>
<w:pPr><w:pStyle w:val="Normal"/></w:pPr>
<w:r><w:t xml:space="preserve">that of his wife, is kept on the 8th of September.  He is</w:t></w:r>
</w:p>
<w:p>
<w:pPr><w:pStyle w:val="Normal"/></w:pPr>
<w:r><w:t xml:space="preserve">specially a patron of soldiers, and is much reverenced in</w:t></w:r>
</w:p>
<w:p>
<w:pPr><w:pStyle w:val="Normal"/></w:pPr>
<w:r><w:t xml:space="preserve">Flanders, Germany and the north of France.  He is usually</w:t></w:r>
</w:p>
<w:p>
<w:pPr><w:pStyle w:val="Normal"/></w:pPr>
<w:r><w:t xml:space="preserve">represented armed, with an anvil in his hands or at his feet.</w:t></w:r>
</w:p>
<w:p>
<w:pPr><w:pStyle w:val="Normal"/></w:pPr>
<w:r><w:t xml:space="preserve">ADRIAN, a city and the county-seat of Lenawee county,</w:t></w:r>
</w:p>
<w:p>
<w:pPr><w:pStyle w:val="Normal"/></w:pPr>
<w:r><w:t xml:space="preserve">Michigan, U.S.A., on the S. branch of Raisin river, near the</w:t></w:r>
</w:p>
<w:p>
<w:pPr><w:pStyle w:val="Normal"/></w:pPr>
<w:r><w:t xml:space="preserve">S.E. corner of the state.  Pop.(1890) 8736; (1900) 9654, of</w:t></w:r>
</w:p>
<w:p>
<w:pPr><w:pStyle w:val="Normal"/></w:pPr>
<w:r><w:t xml:space="preserve">whom 1186 were foreign-born: (1910 census) 10,763.  It is</w:t></w:r>
</w:p>
<w:p>
<w:pPr><w:pStyle w:val="Normal"/></w:pPr>
<w:r><w:t xml:space="preserve">served by five branches of the Lake Shore railway system, and</w:t></w:r>
</w:p>
<w:p>
<w:pPr><w:pStyle w:val="Normal"/></w:pPr>
<w:r><w:t xml:space="preserve">by the Wabash, the Toledo and Western, and the Toledo, Detroit</w:t></w:r>
</w:p>
<w:p>
<w:pPr><w:pStyle w:val="Normal"/></w:pPr>
<w:r><w:t xml:space="preserve">and Ironton railways.  Adrian is the seat of Adrian College</w:t></w:r>
</w:p>
<w:p>
<w:pPr><w:pStyle w:val="Normal"/></w:pPr>
<w:r><w:t xml:space="preserve">(1859; co-educational), controlled by the Wesleyan Methodist</w:t></w:r>
</w:p>
<w:p>
<w:pPr><w:pStyle w:val="Normal"/></w:pPr>
<w:r><w:t xml:space="preserve">Church in 1859-1867 and since 1867 by the Methodist Protestant</w:t></w:r>
</w:p>
<w:p>
<w:pPr><w:pStyle w:val="Normal"/></w:pPr>
<w:r><w:t xml:space="preserve">Church, and having departments of literature, theology, music,</w:t></w:r>
</w:p>
<w:p>
<w:pPr><w:pStyle w:val="Normal"/></w:pPr>
<w:r><w:t xml:space="preserve">fine arts, commerce and pedagogy, and a preparatory school;</w:t></w:r>
</w:p>
<w:p>
<w:pPr><w:pStyle w:val="Normal"/></w:pPr>
<w:r><w:t xml:space="preserve">and of St Joseph&apos;s Academy (Roman Catholic) for girls; and 1</w:t></w:r>
</w:p>
<w:p>
<w:pPr><w:pStyle w:val="Normal"/></w:pPr>
<w:r><w:t xml:space="preserve">m. north of the city is the State Industrial Home for Girls</w:t></w:r>
</w:p>
<w:p>
<w:pPr><w:pStyle w:val="Normal"/></w:pPr>
<w:r><w:t xml:space="preserve">(1879), for the reformation of juvenile offenders between the</w:t></w:r>
</w:p>
<w:p>
<w:pPr><w:pStyle w:val="Normal"/></w:pPr>
<w:r><w:t xml:space="preserve">ages of ten and seventeen.  Adrian has a public library.  The</w:t></w:r>
</w:p>
<w:p>
<w:pPr><w:pStyle w:val="Normal"/></w:pPr>
<w:r><w:t xml:space="preserve">city is situated in a rich farming region; is an important</w:t></w:r>
</w:p>
<w:p>
<w:pPr><w:pStyle w:val="Normal"/></w:pPr>
<w:r><w:t xml:space="preserve">shipping point for livestock, grain and other farm products;</w:t></w:r>
</w:p>
<w:p>
<w:pPr><w:pStyle w:val="Normal"/></w:pPr>
<w:r><w:t xml:space="preserve">and is especially known as a centre for the manufacture of</w:t></w:r>
</w:p>
<w:p>
<w:pPr><w:pStyle w:val="Normal"/></w:pPr>
<w:r><w:t xml:space="preserve">wire-fences.  Among the other manufactories are flouring</w:t></w:r>
</w:p>
<w:p>
<w:pPr><w:pStyle w:val="Normal"/></w:pPr>
<w:r><w:t xml:space="preserve">and grist mills, planing mills, foundries, and factories for</w:t></w:r>
</w:p>
<w:p>
<w:pPr><w:pStyle w:val="Normal"/></w:pPr>
<w:r><w:t xml:space="preserve">making agricultural implements, United States mail boxes,</w:t></w:r>
</w:p>
<w:p>
<w:pPr><w:pStyle w:val="Normal"/></w:pPr>
<w:r><w:t xml:space="preserve">furniture, pianos, organs, automobiles, toys and electrical</w:t></w:r>
</w:p>
<w:p>
<w:pPr><w:pStyle w:val="Normal"/></w:pPr>
<w:r><w:t xml:space="preserve">supplies.  The value of the city&apos;s factory products increased</w:t></w:r>
</w:p>
<w:p>
<w:pPr><w:pStyle w:val="Normal"/></w:pPr>
<w:r><w:t xml:space="preserve">from $2,124,923 in 1900 to $4,897,426 in 1904, or 130.5%;</w:t></w:r>
</w:p>
<w:p>
<w:pPr><w:pStyle w:val="Normal"/></w:pPr>
<w:r><w:t xml:space="preserve">of the total value in 1904, $2,849,648 was the value of</w:t></w:r>
</w:p>
<w:p>
<w:pPr><w:pStyle w:val="Normal"/></w:pPr>
<w:r><w:t xml:space="preserve">wire-work.  The place was laid out as a town in 1828, and</w:t></w:r>
</w:p>
<w:p>
<w:pPr><w:pStyle w:val="Normal"/></w:pPr>
<w:r><w:t xml:space="preserve">according to tradition was named in honour of the Roman emperor</w:t></w:r>
</w:p>
<w:p>
<w:pPr><w:pStyle w:val="Normal"/></w:pPr>
<w:r><w:t xml:space="preserve">Hadrian.  It was incorporated as a village in 1836, was made</w:t></w:r>
</w:p>
<w:p>
<w:pPr><w:pStyle w:val="Normal"/></w:pPr>
<w:r><w:t xml:space="preserve">the county-seat in 1838 and was chartered as a city in 1853.</w:t></w:r>
</w:p>
<w:p>
<w:pPr><w:pStyle w:val="Normal"/></w:pPr>
<w:r><w:t xml:space="preserve">ADRIANI, GIOVANNI BATTISTA (1513-1579), Italian historian,</w:t></w:r>
</w:p>
<w:p>
<w:pPr><w:pStyle w:val="Normal"/></w:pPr>
<w:r><w:t xml:space="preserve">was born of a patrician family of Florence, and was secretary</w:t></w:r>
</w:p>
<w:p>
<w:pPr><w:pStyle w:val="Normal"/></w:pPr>
<w:r><w:t xml:space="preserve">to the republic of Florence.  He was among the defenders of</w:t></w:r>
</w:p>
<w:p>
<w:pPr><w:pStyle w:val="Normal"/></w:pPr>
<w:r><w:t xml:space="preserve">the city during the siege of 1530, but subsequently joined the</w:t></w:r>
</w:p>
<w:p>
<w:pPr><w:pStyle w:val="Normal"/></w:pPr>
<w:r><w:t xml:space="preserve">Medici party and was appointed professor of rhetoric at the</w:t></w:r>
</w:p>
<w:p>
<w:pPr><w:pStyle w:val="Normal"/></w:pPr>
<w:r><w:t xml:space="preserve">university.  At the instance of Cosimo I. he wrote a history</w:t></w:r>
</w:p>
<w:p>
<w:pPr><w:pStyle w:val="Normal"/></w:pPr>
<w:r><w:t xml:space="preserve">of his own times, from 1536 to 1574, in Italian, which is</w:t></w:r>
</w:p>
<w:p>
<w:pPr><w:pStyle w:val="Normal"/></w:pPr>
<w:r><w:t xml:space="preserve">generally, but according to Brunet erroneously, considered a</w:t></w:r>
</w:p>
<w:p>
<w:pPr><w:pStyle w:val="Normal"/></w:pPr>
<w:r><w:t xml:space="preserve">continuation of Guicciardini.  De Thou acknowledges himself</w:t></w:r>
</w:p>
<w:p>
<w:pPr><w:pStyle w:val="Normal"/></w:pPr>
<w:r><w:t xml:space="preserve">greatly indebted to this history, praising it especially for its</w:t></w:r>
</w:p>
<w:p>
<w:pPr><w:pStyle w:val="Normal"/></w:pPr>
<w:r><w:t xml:space="preserve">accuracy.  Adriani composed funeral orations in Latin on the</w:t></w:r>
</w:p>
<w:p>
<w:pPr><w:pStyle w:val="Normal"/></w:pPr>
<w:r><w:t xml:space="preserve">emperor Charles V. and other noble personages, and was the</w:t></w:r>
</w:p>
<w:p>
<w:pPr><w:pStyle w:val="Normal"/></w:pPr>
<w:r><w:t xml:space="preserve">author of a long letter on ancient painters and sculptors</w:t></w:r>
</w:p>
<w:p>
<w:pPr><w:pStyle w:val="Normal"/></w:pPr>
<w:r><w:t xml:space="preserve">prefixed to the third volume of Vasari.  His Istoria dei</w:t></w:r>
</w:p>
<w:p>
<w:pPr><w:pStyle w:val="Normal"/></w:pPr>
<w:r><w:t xml:space="preserve">suoi tempi was published in Florence in 1583; a new edition</w:t></w:r>
</w:p>
<w:p>
<w:pPr><w:pStyle w:val="Normal"/></w:pPr>
<w:r><w:t xml:space="preserve">appeared also in Florence in 1872.  See G. M. Mazzucchelli,</w:t></w:r>
</w:p>
<w:p>
<w:pPr><w:pStyle w:val="Normal"/></w:pPr>
<w:r><w:t xml:space="preserve">Gli Scrittori d&apos; Italia, i. p. 151 (Brescia, 1753).</w:t></w:r>
</w:p>
<w:p>
<w:pPr><w:pStyle w:val="Normal"/></w:pPr>
<w:r><w:t xml:space="preserve">ADRIANOPLE, a vilayet of European Turkey, corresponding with</w:t></w:r>
</w:p>
<w:p>
<w:pPr><w:pStyle w:val="Heading1"/></w:pPr>
<w:r><w:t>part of the ancient Thrace, and bounded on the N. by Bulgaria</w:t></w:r>
</w:p>
<w:p>
<w:pPr><w:pStyle w:val="Normal"/></w:pPr>
<w:r><w:t xml:space="preserve">(Eastern Rumeha), E. by the Black Sea and the vilayet of</w:t></w:r>
</w:p>
<w:p>
<w:pPr><w:pStyle w:val="Normal"/></w:pPr>
<w:r><w:t xml:space="preserve">Constantinople, S. by the Sea of Marmora and the Aegean Sea and</w:t></w:r>
</w:p>
<w:p>
<w:pPr><w:pStyle w:val="Normal"/></w:pPr>
<w:r><w:t xml:space="preserve">W. by Macedonia.  Pop. (1905) about 1,000,000; area, 15,000 sq.</w:t></w:r>
</w:p>
<w:p>
<w:pPr><w:pStyle w:val="Normal"/></w:pPr>
<w:r><w:t xml:space="preserve">m.  The surface of the vilayet is generally mountainous,</w:t></w:r>
</w:p>
<w:p>
<w:pPr><w:pStyle w:val="Normal"/></w:pPr>
<w:r><w:t xml:space="preserve">except in the central valley of the Maritza, and along the</w:t></w:r>
</w:p>
<w:p>
<w:pPr><w:pStyle w:val="Normal"/></w:pPr>
<w:r><w:t xml:space="preserve">banks of its tributaries, the Tunja, Arda, Ergene, &amp;c. On the</w:t></w:r>
</w:p>
<w:p>
<w:pPr><w:pStyle w:val="Normal"/></w:pPr>
<w:r><w:t xml:space="preserve">west, the great Rhodope range and its outlying ridges extend</w:t></w:r>
</w:p>
<w:p>
<w:pPr><w:pStyle w:val="Normal"/></w:pPr>
<w:r><w:t xml:space="preserve">as far as the Maritza, and attain an altitude of more than 7000</w:t></w:r>
</w:p>
<w:p>
<w:pPr><w:pStyle w:val="Normal"/></w:pPr>
<w:r><w:t xml:space="preserve">ft. in the summits of the Kushlar Dagh, Karluk Dagh and the</w:t></w:r>
</w:p>
<w:p>
<w:pPr><w:pStyle w:val="Normal"/></w:pPr>
<w:r><w:t xml:space="preserve">Balkan.  Towards the Black Sea, the less elevated Istranja</w:t></w:r>
</w:p>
<w:p>
<w:pPr><w:pStyle w:val="Normal"/></w:pPr>
<w:r><w:t xml:space="preserve">Dagh stretches from north-west to south-east; and the entire</w:t></w:r>
</w:p>
<w:p>
<w:pPr><w:pStyle w:val="Normal"/></w:pPr>
<w:r><w:t xml:space="preserve">south coast, which includes the promontory of Gallipoli and</w:t></w:r>
</w:p>
<w:p>
<w:pPr><w:pStyle w:val="Normal"/></w:pPr>
<w:r><w:t xml:space="preserve">the western shore of the Dardanelles, is everywhere hilly or</w:t></w:r>
</w:p>
<w:p>
<w:pPr><w:pStyle w:val="Normal"/></w:pPr>
<w:r><w:t xml:space="preserve">mountainous, except near the estuaries of the Maritza, and</w:t></w:r>
</w:p>
<w:p>
<w:pPr><w:pStyle w:val="Normal"/></w:pPr>
<w:r><w:t xml:space="preserve">of the Mesta, a western frontier stream.  The climate is</w:t></w:r>
</w:p>
<w:p>
<w:pPr><w:pStyle w:val="Normal"/></w:pPr>
<w:r><w:t xml:space="preserve">mild and the soil fertile; but political disturbances and</w:t></w:r>
</w:p>
<w:p>
<w:pPr><w:pStyle w:val="Normal"/></w:pPr>
<w:r><w:t xml:space="preserve">the conservative character of the people tend to thwart the</w:t></w:r>
</w:p>
<w:p>
<w:pPr><w:pStyle w:val="Normal"/></w:pPr>
<w:r><w:t xml:space="preserve">progress of agriculture and other industries.  The vilayet</w:t></w:r>
</w:p>
<w:p>
<w:pPr><w:pStyle w:val="Normal"/></w:pPr>
<w:r><w:t xml:space="preserve">suffered severely during the Russian occupation of 1878,</w:t></w:r>
</w:p>
<w:p>
<w:pPr><w:pStyle w:val="Normal"/></w:pPr>
<w:r><w:t xml:space="preserve">when, apart from the natural dislocation of commerce, many</w:t></w:r>
</w:p>
<w:p>
<w:pPr><w:pStyle w:val="Normal"/></w:pPr>
<w:r><w:t xml:space="preserve">of the Moslem cultivators emigrated to Asia Minor, to be</w:t></w:r>
</w:p>
<w:p>
<w:pPr><w:pStyle w:val="Normal"/></w:pPr>
<w:r><w:t xml:space="preserve">free from their alien rulers.  Through the resultant scarcity</w:t></w:r>
</w:p>
<w:p>
<w:pPr><w:pStyle w:val="Normal"/></w:pPr>
<w:r><w:t xml:space="preserve">of labour, much land fell out of cultivation.  This was</w:t></w:r>
</w:p>
<w:p>
<w:pPr><w:pStyle w:val="Normal"/></w:pPr>
<w:r><w:t xml:space="preserve">partially remedied after the Bulgarian annexation of Eastern</w:t></w:r>
</w:p>
<w:p>
<w:pPr><w:pStyle w:val="Normal"/></w:pPr>
<w:r><w:t xml:space="preserve">Rumella, in 1885, had driven the Moslems of that country to</w:t></w:r>
</w:p>
<w:p>
<w:pPr><w:pStyle w:val="Normal"/></w:pPr>
<w:r><w:t xml:space="preserve">emigrate in like manner to Adrianople; but the advantage was</w:t></w:r>
</w:p>
<w:p>
<w:pPr><w:pStyle w:val="Normal"/></w:pPr>
<w:r><w:t xml:space="preserve">counterbalanced by the establishment of hostile Bulgarian</w:t></w:r>
</w:p>
<w:p>
<w:pPr><w:pStyle w:val="Normal"/></w:pPr>
<w:r><w:t xml:space="preserve">tariffs.  The important silk industry, however, began to</w:t></w:r>
</w:p>
<w:p>
<w:pPr><w:pStyle w:val="Normal"/></w:pPr>
<w:r><w:t xml:space="preserve">revive about 1890, and dairy farming is prosperous; but the</w:t></w:r>
</w:p>
<w:p>
<w:pPr><w:pStyle w:val="Normal"/></w:pPr>
<w:r><w:t xml:space="preserve">condition of the vilayet is far less unsettled than that of</w:t></w:r>
</w:p>
<w:p>
<w:pPr><w:pStyle w:val="Normal"/></w:pPr>
<w:r><w:t xml:space="preserve">Macedonia, owing partly to the preponderance of Moslems among</w:t></w:r>
</w:p>
<w:p>
<w:pPr><w:pStyle w:val="Normal"/></w:pPr>
<w:r><w:t xml:space="preserve">the peasantry, and partly to the nearness of Constantinople,</w:t></w:r>
</w:p>
<w:p>
<w:pPr><w:pStyle w:val="Normal"/></w:pPr>
<w:r><w:t xml:space="preserve">with its Western influences.  The main railway from Belgrade</w:t></w:r>
</w:p>
<w:p>
<w:pPr><w:pStyle w:val="Normal"/></w:pPr>
<w:r><w:t xml:space="preserve">to Constantinople skirts the Maritza and Ergene valleys, and</w:t></w:r>
</w:p>
<w:p>
<w:pPr><w:pStyle w:val="Normal"/></w:pPr>
<w:r><w:t xml:space="preserve">there is an important branch line down the Maritza valley to</w:t></w:r>
</w:p>
<w:p>
<w:pPr><w:pStyle w:val="Normal"/></w:pPr>
<w:r><w:t xml:space="preserve">Dedeagatch, and thence coastwise to Salonica.  After the city</w:t></w:r>
</w:p>
<w:p>
<w:pPr><w:pStyle w:val="Normal"/></w:pPr>
<w:r><w:t xml:space="preserve">of Adrianople (pop. 1905, about 80,000), which is the capital,</w:t></w:r>
</w:p>
<w:p>
<w:pPr><w:pStyle w:val="Normal"/></w:pPr>
<w:r><w:t xml:space="preserve">the principal towns are Rodosto (35,000), Gallipoli (25,000),</w:t></w:r>
</w:p>
<w:p>
<w:pPr><w:pStyle w:val="Normal"/></w:pPr>
<w:r><w:t xml:space="preserve">Kirk-Kilisseh (16,000), Xanthi (14,000), Chorlu (11,500), Demotica</w:t></w:r>
</w:p>
<w:p>
<w:pPr><w:pStyle w:val="Normal"/></w:pPr>
<w:r><w:t xml:space="preserve">(10,000), Enos (8000), Gumuljina (8000) and Dedeagatch (3000).</w:t></w:r>
</w:p>
<w:p>
<w:pPr><w:pStyle w:val="Normal"/></w:pPr>
<w:r><w:t xml:space="preserve">ADRIANOPLE (anc. Hadrianopolis; Turk. Edirne, or</w:t></w:r>
</w:p>
<w:p>
<w:pPr><w:pStyle w:val="Normal"/></w:pPr>
<w:r><w:t xml:space="preserve">Edreneh; Slav. Odrin), the capital of the vilayet of</w:t></w:r>
</w:p>
<w:p>
<w:pPr><w:pStyle w:val="Normal"/></w:pPr>
<w:r><w:t xml:space="preserve">Adrianople, Turkey in Europe; 137 m. by rail W.N.W. of</w:t></w:r>
</w:p>
<w:p>
<w:pPr><w:pStyle w:val="Normal"/></w:pPr>
<w:r><w:t xml:space="preserve">Constantinople.  Pop. (1905) about 80,000, of whom half are</w:t></w:r>
</w:p>
<w:p>
<w:pPr><w:pStyle w:val="Normal"/></w:pPr>
<w:r><w:t xml:space="preserve">Turks, and half Jews, Greeks, Bulgars, Armenians, &amp;c. Adrianople</w:t></w:r>
</w:p>
<w:p>
<w:pPr><w:pStyle w:val="Normal"/></w:pPr>
<w:r><w:t xml:space="preserve">ranks, after Constantinople and Salonica, third in size and</w:t></w:r>
</w:p>
<w:p>
<w:pPr><w:pStyle w:val="Normal"/></w:pPr>
<w:r><w:t xml:space="preserve">importance among the cities of European Turkey.  It is the see</w:t></w:r>
</w:p>
<w:p>
<w:pPr><w:pStyle w:val="Normal"/></w:pPr>
<w:r><w:t xml:space="preserve">of a Greek archbishop, and of one Armenian and two Bulgarian</w:t></w:r>
</w:p>
<w:p>
<w:pPr><w:pStyle w:val="Normal"/></w:pPr>
<w:r><w:t xml:space="preserve">bishops.  It is the chief fortress near the Bulgarian frontier,</w:t></w:r>
</w:p>
<w:p>
<w:pPr><w:pStyle w:val="Normal"/></w:pPr>
<w:r><w:t xml:space="preserve">being defended by a ring of powerful modern forts.  It occupies</w:t></w:r>
</w:p>
<w:p>
<w:pPr><w:pStyle w:val="Normal"/></w:pPr>
<w:r><w:t xml:space="preserve">both banks of the river Tunja, at its confluence with the</w:t></w:r>
</w:p>
<w:p>
<w:pPr><w:pStyle w:val="Normal"/></w:pPr>
<w:r><w:t xml:space="preserve">Maritza, which is navigable to this point in spring and</w:t></w:r>
</w:p>
<w:p>
<w:pPr><w:pStyle w:val="Normal"/></w:pPr>
<w:r><w:t xml:space="preserve">winter.  The nearest seaport by rail is Dedeagatch, west</w:t></w:r>
</w:p>
<w:p>
<w:pPr><w:pStyle w:val="Normal"/></w:pPr>
<w:r><w:t xml:space="preserve">of the Maritza; Enos, at the river-mouth, is the nearest by</w:t></w:r>
</w:p>
<w:p>
<w:pPr><w:pStyle w:val="Normal"/></w:pPr>
<w:r><w:t xml:space="preserve">water.  Adrianople is on the railway from Belgrade and</w:t></w:r>
</w:p>
<w:p>
<w:pPr><w:pStyle w:val="Normal"/></w:pPr>
<w:r><w:t xml:space="preserve">Sofia to Constantinople and Salonica.  In appearance it is</w:t></w:r>
</w:p>
<w:p>
<w:pPr><w:pStyle w:val="Normal"/></w:pPr>
<w:r><w:t xml:space="preserve">thoroughly Oriental--a mass of mean, irregular wooden buildings,</w:t></w:r>
</w:p>
<w:p>
<w:pPr><w:pStyle w:val="Normal"/></w:pPr>
<w:r><w:t xml:space="preserve">threaded by narrow tortuous streets, . with a few better</w:t></w:r>
</w:p>
<w:p>
<w:pPr><w:pStyle w:val="Normal"/></w:pPr>
<w:r><w:t xml:space="preserve">buildings.  Of these the most important are the Idadieh</w:t></w:r>
</w:p>
<w:p>
<w:pPr><w:pStyle w:val="Normal"/></w:pPr>
<w:r><w:t xml:space="preserve">school, the school of arts and crafts, the Jewish communal</w:t></w:r>
</w:p>
<w:p>
<w:pPr><w:pStyle w:val="Normal"/></w:pPr>
<w:r><w:t xml:space="preserve">school; the Greek college, Zappeion; the Imperial Ottoman</w:t></w:r>
</w:p>
<w:p>
<w:pPr><w:pStyle w:val="Normal"/></w:pPr>
<w:r><w:t xml:space="preserve">Bank and Tobacco Regie; a fire-tower; a theatre; palaces</w:t></w:r>
</w:p>
<w:p>
<w:pPr><w:pStyle w:val="Normal"/></w:pPr>
<w:r><w:t xml:space="preserve">for the prefect of the city, the administrative staff of</w:t></w:r>
</w:p>
<w:p>
<w:pPr><w:pStyle w:val="Normal"/></w:pPr>
<w:r><w:t xml:space="preserve">the second army corps and the defence works commission; a</w:t></w:r>
</w:p>
<w:p>
<w:pPr><w:pStyle w:val="Normal"/></w:pPr>
<w:r><w:t xml:space="preserve">handsome row of barracks; a military hospital; and a French</w:t></w:r>
</w:p>
<w:p>
<w:pPr><w:pStyle w:val="Normal"/></w:pPr>
<w:r><w:t xml:space="preserve">hospital.  Of earlier buildings, the most distinguished are</w:t></w:r>
</w:p>
<w:p>
<w:pPr><w:pStyle w:val="Normal"/></w:pPr>
<w:r><w:t xml:space="preserve">the Eski Serai, an ancient and half-ruined palace of the</w:t></w:r>
</w:p>
<w:p>
<w:pPr><w:pStyle w:val="Normal"/></w:pPr>
<w:r><w:t xml:space="preserve">sultans; the bazaar of Ali Pasha; and the 16th-century mosque</w:t></w:r>
</w:p>
<w:p>
<w:pPr><w:pStyle w:val="Normal"/></w:pPr>
<w:r><w:t xml:space="preserve">of the sultan Selim II., a magnificent specimen of Turkish</w:t></w:r>
</w:p>
<w:p>
<w:pPr><w:pStyle w:val="Normal"/></w:pPr>
<w:r><w:t xml:space="preserve">architecture.  Adrianople has five suburbs, of which</w:t></w:r>
</w:p>
<w:p>
<w:pPr><w:pStyle w:val="Normal"/></w:pPr>
<w:r><w:t xml:space="preserve">Kiretchhane and Yilderim are on the left bank of the Maritza,</w:t></w:r>
</w:p>
<w:p>
<w:pPr><w:pStyle w:val="Normal"/></w:pPr>
<w:r><w:t xml:space="preserve">and Kirjikstands on a hill overlooking the city.  The two</w:t></w:r>
</w:p>
<w:p>
<w:pPr><w:pStyle w:val="Normal"/></w:pPr>
<w:r><w:t xml:space="preserve">last named are exclusively Greek, but a large proportion</w:t></w:r>
</w:p>
<w:p>
<w:pPr><w:pStyle w:val="Normal"/></w:pPr>
<w:r><w:t xml:space="preserve">of the inhabitants of Kiretchhane are Bulgarian.  These</w:t></w:r>
</w:p>
<w:p>
<w:pPr><w:pStyle w:val="Normal"/></w:pPr>
<w:r><w:t xml:space="preserve">three suburbs---as well as the little hamlet of Demirtash,</w:t></w:r>
</w:p>
<w:p>
<w:pPr><w:pStyle w:val="Normal"/></w:pPr>
<w:r><w:t xml:space="preserve">containing about 300 houses all occupied by Bulgars---are all</w:t></w:r>
</w:p>
<w:p>
<w:pPr><w:pStyle w:val="Normal"/></w:pPr>
<w:r><w:t xml:space="preserve">built in the native fashion; but the fifth suburb, Karagatch,</w:t></w:r>
</w:p>
<w:p>
<w:pPr><w:pStyle w:val="Normal"/></w:pPr>
<w:r><w:t xml:space="preserve">which is on the right bank of the Maritza, and occupies the</w:t></w:r>
</w:p>
<w:p>
<w:pPr><w:pStyle w:val="Normal"/></w:pPr>
<w:r><w:t xml:space="preserve">region between the railway station and the city, is Western</w:t></w:r>
</w:p>
<w:p>
<w:pPr><w:pStyle w:val="Normal"/></w:pPr>
<w:r><w:t xml:space="preserve">in its design, consisting of detached residences in gardens,</w:t></w:r>
</w:p>
<w:p>
<w:pPr><w:pStyle w:val="Normal"/></w:pPr>
<w:r><w:t xml:space="preserve">many of them handsome villas, and all of modern European</w:t></w:r>
</w:p>
<w:p>
<w:pPr><w:pStyle w:val="Normal"/></w:pPr>
<w:r><w:t xml:space="preserve">type.  In all the communities schools have multiplied, but</w:t></w:r>
</w:p>
<w:p>
<w:pPr><w:pStyle w:val="Normal"/></w:pPr>
<w:r><w:t xml:space="preserve">the new seminaries are of the old non-progressive type.  The</w:t></w:r>
</w:p>
<w:p>
<w:pPr><w:pStyle w:val="Normal"/></w:pPr>
<w:r><w:t xml:space="preserve">only exception is the Hamidieh school for boys---a government</w:t></w:r>
</w:p>
<w:p>
<w:pPr><w:pStyle w:val="Normal"/></w:pPr>
<w:r><w:t xml:space="preserve">institution which takes both boarders and day-scholars.</w:t></w:r>
</w:p>
<w:p>
<w:pPr><w:pStyle w:val="Normal"/></w:pPr>
<w:r><w:t xml:space="preserve">Like the Lyceum of Galata Serai in Constantinople, it has</w:t></w:r>
</w:p>
<w:p>
<w:pPr><w:pStyle w:val="Normal"/></w:pPr>
<w:r><w:t xml:space="preserve">two sets of professors, Turkish and French, and a full course</w:t></w:r>
</w:p>
<w:p>
<w:pPr><w:pStyle w:val="Normal"/></w:pPr>
<w:r><w:t xml:space="preserve">of education in each language, the pupils following both</w:t></w:r>
</w:p>
<w:p>
<w:pPr><w:pStyle w:val="Normal"/></w:pPr>
<w:r><w:t xml:space="preserve">courses.  The several communities have each their own</w:t></w:r>
</w:p>
<w:p>
<w:pPr><w:pStyle w:val="Normal"/></w:pPr>
<w:r><w:t xml:space="preserve">charitable institutions, the Jews being socially well endowed</w:t></w:r>
</w:p>
<w:p>
<w:pPr><w:pStyle w:val="Normal"/></w:pPr>
<w:r><w:t xml:space="preserve">in this respect, The Greeks have a literary society, and</w:t></w:r>
</w:p>
<w:p>
<w:pPr><w:pStyle w:val="Normal"/></w:pPr>
<w:r><w:t xml:space="preserve">there is a well-organized club to which members of all the</w:t></w:r>
</w:p>
<w:p>
<w:pPr><w:pStyle w:val="Normal"/></w:pPr>
<w:r><w:t xml:space="preserve">native communities, as well as many foreigners, belong.</w:t></w:r>
</w:p>
<w:p>
<w:pPr><w:pStyle w:val="Normal"/></w:pPr>
<w:r><w:t xml:space="preserve">The economic condition of Adrianople was much impaired by</w:t></w:r>
</w:p>
<w:p>
<w:pPr><w:pStyle w:val="Normal"/></w:pPr>
<w:r><w:t xml:space="preserve">the war of 1877-78, and was just showing signs of recovery</w:t></w:r>
</w:p>
<w:p>
<w:pPr><w:pStyle w:val="Normal"/></w:pPr>
<w:r><w:t xml:space="preserve">when, in 1885, the severance from it of Eastern Rumelia by</w:t></w:r>
</w:p>
<w:p>
<w:pPr><w:pStyle w:val="Normal"/></w:pPr>
<w:r><w:t xml:space="preserve">a Customs cordon rendered the situation more than ever.</w:t></w:r>
</w:p>
<w:p>
<w:pPr><w:pStyle w:val="Normal"/></w:pPr>
<w:r><w:t xml:space="preserve">Adrianople had previously been the commercial headquarters</w:t></w:r>
</w:p>
<w:p>
<w:pPr><w:pStyle w:val="Normal"/></w:pPr>
<w:r><w:t xml:space="preserve">of all Thrace, and of a large portion of the region between</w:t></w:r>
</w:p>
<w:p>
<w:pPr><w:pStyle w:val="Normal"/></w:pPr>
<w:r><w:t xml:space="preserve">the Balkans and the Danube, now Bulgaria.  But the separation</w:t></w:r>
</w:p>
<w:p>
<w:pPr><w:pStyle w:val="Normal"/></w:pPr>
<w:r><w:t xml:space="preserve">of Eastern Rumeha isolated Adrianople, and transferred to</w:t></w:r>
</w:p>
<w:p>
<w:pPr><w:pStyle w:val="Normal"/></w:pPr>
<w:r><w:t xml:space="preserve">Philippopolis at least two-thirds of its foreign trade which,</w:t></w:r>
</w:p>
<w:p>
<w:pPr><w:pStyle w:val="Normal"/></w:pPr>
<w:r><w:t xml:space="preserve">as regards sea-borne merchandise, is carried on through the</w:t></w:r>
</w:p>
<w:p>
<w:pPr><w:pStyle w:val="Normal"/></w:pPr>
<w:r><w:t xml:space="preserve">port of Burgas (q.v.). The city manufactures silk, leather,</w:t></w:r>
</w:p>
<w:p>
<w:pPr><w:pStyle w:val="Normal"/></w:pPr>
<w:r><w:t xml:space="preserve">tapestry, woollens, linen and cotton, and has an active general</w:t></w:r>
</w:p>
<w:p>
<w:pPr><w:pStyle w:val="Normal"/></w:pPr>
<w:r><w:t xml:space="preserve">trade.  Besides fruits and agricultural produce, its exports</w:t></w:r>
</w:p>
<w:p>
<w:pPr><w:pStyle w:val="Normal"/></w:pPr>
<w:r><w:t xml:space="preserve">include raw silk, cotton, opium, rose-water, attar of</w:t></w:r>
</w:p>
<w:p>
<w:pPr><w:pStyle w:val="Normal"/></w:pPr>
<w:r><w:t xml:space="preserve">roses, wax and the dye known as Turkey red.  The surrounding</w:t></w:r>
</w:p>
<w:p>
<w:pPr><w:pStyle w:val="Normal"/></w:pPr>
<w:r><w:t xml:space="preserve">country is extremely fertile, and its wines are the best</w:t></w:r>
</w:p>
<w:p>
<w:pPr><w:pStyle w:val="Normal"/></w:pPr>
<w:r><w:t xml:space="preserve">produced in Turkey.  The city is supplied with fresh water</w:t></w:r>
</w:p>
<w:p>
<w:pPr><w:pStyle w:val="Normal"/></w:pPr>
<w:r><w:t xml:space="preserve">by means of an aqueduct carried by arches over an extensive</w:t></w:r>
</w:p>
<w:p>
<w:pPr><w:pStyle w:val="Normal"/></w:pPr>
<w:r><w:t xml:space="preserve">valley.  There is also a fine stone bridge over the Tunja.</w:t></w:r>
</w:p>
<w:p>
<w:pPr><w:pStyle w:val="Normal"/></w:pPr>
<w:r><w:t xml:space="preserve">Adrianople was originally known as Uskadama, Uskudama or</w:t></w:r>
</w:p>
<w:p>
<w:pPr><w:pStyle w:val="Normal"/></w:pPr>
<w:r><w:t xml:space="preserve">Uskodama, but was renamed and enlarged by the Roman emperor</w:t></w:r>
</w:p>
<w:p>
<w:pPr><w:pStyle w:val="Normal"/></w:pPr>
<w:r><w:t xml:space="preserve">Hadrian (117-138).  In 378 the Romans were here defeated</w:t></w:r>
</w:p>
<w:p>
<w:pPr><w:pStyle w:val="Normal"/></w:pPr>
<w:r><w:t xml:space="preserve">by the Goths.  Adrianople was the residence of the Turkish</w:t></w:r>
</w:p>
<w:p>
<w:pPr><w:pStyle w:val="Normal"/></w:pPr>
<w:r><w:t xml:space="preserve">sultans from 1361, when it was captured by Murad I., until</w:t></w:r>
</w:p>
<w:p>
<w:pPr><w:pStyle w:val="Normal"/></w:pPr>
<w:r><w:t xml:space="preserve">1453, when Constantinople fell.  It was occupied by the</w:t></w:r>
</w:p>
<w:p>
<w:pPr><w:pStyle w:val="Normal"/></w:pPr>
<w:r><w:t xml:space="preserve">Russians in 1829 and 1878 (see RUSSO-TURKISH WARS).</w:t></w:r>
</w:p>
<w:p>
<w:pPr><w:pStyle w:val="Normal"/></w:pPr>
<w:r><w:t xml:space="preserve">ADRIATIC SEA (ancient Adria or Hadria), an arm of the</w:t></w:r>
</w:p>
<w:p>
<w:pPr><w:pStyle w:val="Normal"/></w:pPr>
<w:r><w:t xml:space="preserve">Mediterranean Sea separating Italy from the Austro-Hungarian,</w:t></w:r>
</w:p>
<w:p>
<w:pPr><w:pStyle w:val="Normal"/></w:pPr>
<w:r><w:t xml:space="preserve">Montenegrin and Albanian littorals, and the system of the</w:t></w:r>
</w:p>
<w:p>
<w:pPr><w:pStyle w:val="Normal"/></w:pPr>
<w:r><w:t xml:space="preserve">Apennine mountains from that of the Dinaric Alps and adjacent</w:t></w:r>
</w:p>
<w:p>
<w:pPr><w:pStyle w:val="Normal"/></w:pPr>
<w:r><w:t xml:space="preserve">ranges.  The name, derived from the town of Adria, belonged</w:t></w:r>
</w:p>
<w:p>
<w:pPr><w:pStyle w:val="Normal"/></w:pPr>
<w:r><w:t xml:space="preserve">originally only to the upper portion of the sea (Herodotus</w:t></w:r>
</w:p>
<w:p>
<w:pPr><w:pStyle w:val="Normal"/></w:pPr>
<w:r><w:t xml:space="preserve">vi. 127, vii. 20, ix. 92; Euripides, Hippolytus, 736), but</w:t></w:r>
</w:p>
<w:p>
<w:pPr><w:pStyle w:val="Normal"/></w:pPr>
<w:r><w:t xml:space="preserve">was gradually extended as the Syracusan colonies gained in</w:t></w:r>
</w:p>
<w:p>
<w:pPr><w:pStyle w:val="Normal"/></w:pPr>
<w:r><w:t xml:space="preserve">importance.  But even then the Adriatic in the narrower sense</w:t></w:r>
</w:p>
<w:p>
<w:pPr><w:pStyle w:val="Normal"/></w:pPr>
<w:r><w:t xml:space="preserve">only extended as far as the Mons Garganus, the outer portion</w:t></w:r>
</w:p>
<w:p>
<w:pPr><w:pStyle w:val="Normal"/></w:pPr>
<w:r><w:t xml:space="preserve">being called the Ionian Sea: the name was sometimes, however,</w:t></w:r>
</w:p>
<w:p>
<w:pPr><w:pStyle w:val="Normal"/></w:pPr>
<w:r><w:t xml:space="preserve">inaccurately used to include the Gulf of Tarentum, the Sea of</w:t></w:r>
</w:p>
<w:p>
<w:pPr><w:pStyle w:val="Normal"/></w:pPr>
<w:r><w:t xml:space="preserve">Sicily, the Gulf of Corinth and even the sea between Crete</w:t></w:r>
</w:p>
<w:p>
<w:pPr><w:pStyle w:val="Normal"/></w:pPr>
<w:r><w:t xml:space="preserve">and Malta (Acts xxvii. 27). The Adriatic extends N.W. from</w:t></w:r>
</w:p>
<w:p>
<w:pPr><w:pStyle w:val="Normal"/></w:pPr>
<w:r><w:t xml:space="preserve">40 deg.  to 45 deg.  45&apos; N., with an extreme length of nearly 500</w:t></w:r>
</w:p>
<w:p>
<w:pPr><w:pStyle w:val="Normal"/></w:pPr>
<w:r><w:t xml:space="preserve">m., and a mean breadth of about 110 m., but the Strait of</w:t></w:r>
</w:p>
<w:p>
<w:pPr><w:pStyle w:val="Normal"/></w:pPr>
<w:r><w:t xml:space="preserve">Otranto, through which it connects at the south with the</w:t></w:r>
</w:p>
<w:p>
<w:pPr><w:pStyle w:val="Normal"/></w:pPr>
<w:r><w:t xml:space="preserve">Ionian Sea, is only 45 m. wide.  Moreover, the chain of</w:t></w:r>
</w:p>
<w:p>
<w:pPr><w:pStyle w:val="Normal"/></w:pPr>
<w:r><w:t xml:space="preserve">islands which fringes the northern part of the eastern shore</w:t></w:r>
</w:p>
<w:p>
<w:pPr><w:pStyle w:val="Normal"/></w:pPr>
<w:r><w:t xml:space="preserve">reduces the extreme breadth of open sea in this part to 90</w:t></w:r>
</w:p>
<w:p>
<w:pPr><w:pStyle w:val="Normal"/></w:pPr>
<w:r><w:t xml:space="preserve">m.  The Italian shore is generally low, merging, in the</w:t></w:r>
</w:p>
<w:p>
<w:pPr><w:pStyle w:val="Normal"/></w:pPr>
<w:r><w:t xml:space="preserve">north-west, into the marshes and lagoons on either hand</w:t></w:r>
</w:p>
<w:p>
<w:pPr><w:pStyle w:val="Normal"/></w:pPr>
<w:r><w:t xml:space="preserve">of the protruding delta of the river Po, the sediment of</w:t></w:r>
</w:p>
<w:p>
<w:pPr><w:pStyle w:val="Normal"/></w:pPr>
<w:r><w:t xml:space="preserve">which has pushed forward the coast-line for several miles</w:t></w:r>
</w:p>
<w:p>
<w:pPr><w:pStyle w:val="Normal"/></w:pPr>
<w:r><w:t xml:space="preserve">within historic times.  On islands within one of the lagoons</w:t></w:r>
</w:p>
<w:p>
<w:pPr><w:pStyle w:val="Normal"/></w:pPr>
<w:r><w:t xml:space="preserve">opening from the Gulf of Venice, the city of that name has</w:t></w:r>
</w:p>
<w:p>
<w:pPr><w:pStyle w:val="Normal"/></w:pPr>
<w:r><w:t xml:space="preserve">its unique situation.  The east coast is generally bold and</w:t></w:r>
</w:p>
<w:p>
<w:pPr><w:pStyle w:val="Normal"/></w:pPr>
<w:r><w:t xml:space="preserve">rocky.  South of the Istrian peninsula, which separates the</w:t></w:r>
</w:p>
<w:p>
<w:pPr><w:pStyle w:val="Normal"/></w:pPr>
<w:r><w:t xml:space="preserve">Gulfs of Venice and Trieste from the Strait of Quarnero,</w:t></w:r>
</w:p>
<w:p>
<w:pPr><w:pStyle w:val="Normal"/></w:pPr>
<w:r><w:t xml:space="preserve">the island-fringe of the east coast extends as far south as</w:t></w:r>
</w:p>
<w:p>
<w:pPr><w:pStyle w:val="Normal"/></w:pPr>
<w:r><w:t xml:space="preserve">Ragusa.  The islands, which are long and narrow (the long axis</w:t></w:r>
</w:p>
<w:p>
<w:pPr><w:pStyle w:val="Normal"/></w:pPr>
<w:r><w:t xml:space="preserve">lying parallel with the coast of the mainland), rise rather</w:t></w:r>
</w:p>
<w:p>
<w:pPr><w:pStyle w:val="Normal"/></w:pPr>
<w:r><w:t xml:space="preserve">abruptly to elevations of a few hundred feet, while on the</w:t></w:r>
</w:p>
<w:p>
<w:pPr><w:pStyle w:val="Normal"/></w:pPr>
<w:r><w:t xml:space="preserve">mainland, notably in the magnificent inlet of the Bocche di</w:t></w:r>
</w:p>
<w:p>
<w:pPr><w:pStyle w:val="Normal"/></w:pPr>
<w:r><w:t xml:space="preserve">Cattaro, lofty mountains often fall directly to the sea.  This</w:t></w:r>
</w:p>
<w:p>
<w:pPr><w:pStyle w:val="Normal"/></w:pPr>
<w:r><w:t xml:space="preserve">coast, though beautiful, is somewhat sombre, the prevalent</w:t></w:r>
</w:p>
<w:p>
<w:pPr><w:pStyle w:val="Normal"/></w:pPr>
<w:r><w:t xml:space="preserve">colour of the rocks, a light, dead grey, contrasting harshly</w:t></w:r>
</w:p>
<w:p>
<w:pPr><w:pStyle w:val="Normal"/></w:pPr>
<w:r><w:t xml:space="preserve">with the dark vegetation, which on some of the islands is</w:t></w:r>
</w:p>
<w:p>
<w:pPr><w:pStyle w:val="Normal"/></w:pPr>
<w:r><w:t xml:space="preserve">luxuriant.  The north part of the sea is very shallow, and</w:t></w:r>
</w:p>
<w:p>
<w:pPr><w:pStyle w:val="Normal"/></w:pPr>
<w:r><w:t xml:space="preserve">between the southern promontory of Istria and Rimini the depth</w:t></w:r>
</w:p>
<w:p>
<w:pPr><w:pStyle w:val="Normal"/></w:pPr>
<w:r><w:t xml:space="preserve">rarely exceeds 25 fathoms.  Between Sebenico and Ortona a</w:t></w:r>
</w:p>
<w:p>
<w:pPr><w:pStyle w:val="Normal"/></w:pPr>
<w:r><w:t xml:space="preserve">well-marked depression occurs, a considerable area of which</w:t></w:r>
</w:p>
<w:p>
<w:pPr><w:pStyle w:val="Normal"/></w:pPr>
<w:r><w:t xml:space="preserve">exceeds 100 fathoms in depth.  From a point between Curzola</w:t></w:r>
</w:p>
<w:p>
<w:pPr><w:pStyle w:val="Normal"/></w:pPr>
<w:r><w:t xml:space="preserve">and the north shore of the spur of Monte Gargano there is</w:t></w:r>
</w:p>
<w:p>
<w:pPr><w:pStyle w:val="Normal"/></w:pPr>
<w:r><w:t xml:space="preserve">a ridge giving shallower water, and a broken chain of a few</w:t></w:r>
</w:p>
<w:p>
<w:pPr><w:pStyle w:val="Normal"/></w:pPr>
<w:r><w:t xml:space="preserve">islets extends across the sea.  The deepest part of the sea</w:t></w:r>
</w:p>
<w:p>
<w:pPr><w:pStyle w:val="Normal"/></w:pPr>
<w:r><w:t xml:space="preserve">lies east of Monte Gargano, south of Ragusa, and west of</w:t></w:r>
</w:p>
<w:p>
<w:pPr><w:pStyle w:val="Normal"/></w:pPr>
<w:r><w:t xml:space="preserve">Durazzo, where a large basin gives depths of 500 fathoms and</w:t></w:r>
</w:p>
<w:p>
<w:pPr><w:pStyle w:val="Normal"/></w:pPr>
<w:r><w:t xml:space="preserve">upwards, and a small area in the south of this basin falls</w:t></w:r>
</w:p>
<w:p>
<w:pPr><w:pStyle w:val="Normal"/></w:pPr>
<w:r><w:t xml:space="preserve">below 800. The mean depth of the sea is estimated at 133</w:t></w:r>
</w:p>
<w:p>
<w:pPr><w:pStyle w:val="Normal"/></w:pPr>
<w:r><w:t xml:space="preserve">fathoms.  The bora (north-east wind), and the prevalence</w:t></w:r>
</w:p>
<w:p>
<w:pPr><w:pStyle w:val="Normal"/></w:pPr>
<w:r><w:t xml:space="preserve">of sudden squalls from this quarter or the south-east, are</w:t></w:r>
</w:p>
<w:p>
<w:pPr><w:pStyle w:val="Normal"/></w:pPr>
<w:r><w:t xml:space="preserve">dangers to navigation in winter.  Tidal movement is slight.</w:t></w:r>
</w:p>
<w:p>
<w:pPr><w:pStyle w:val="Normal"/></w:pPr>
<w:r><w:t xml:space="preserve">(See also MEDITERRANEAN.) For the ``Marriage of the</w:t></w:r>
</w:p>
<w:p>
<w:pPr><w:pStyle w:val="Normal"/></w:pPr>
<w:r><w:t xml:space="preserve">Adriatic,&apos;&apos; or more properly ``of the sea,&apos;&apos; a ceremony formerly</w:t></w:r>
</w:p>
<w:p>
<w:pPr><w:pStyle w:val="Normal"/></w:pPr>
<w:r><w:t xml:space="preserve">performed by the doges of Venice, see the article BUCENTAUR.</w:t></w:r>
</w:p>
<w:p>
<w:pPr><w:pStyle w:val="Normal"/></w:pPr>
<w:r><w:t xml:space="preserve">ADSCRIPT (from Lat. ad, on or to, and scribere, to write),</w:t></w:r>
</w:p>
<w:p>
<w:pPr><w:pStyle w:val="Normal"/></w:pPr>
<w:r><w:t xml:space="preserve">something written ajier, as opposed to ``subscript,&apos;&apos; which</w:t></w:r>
</w:p>
<w:p>
<w:pPr><w:pStyle w:val="Normal"/></w:pPr>
<w:r><w:t xml:space="preserve">means written under. A labourer was called an ``adscript</w:t></w:r>
</w:p>
<w:p>
<w:pPr><w:pStyle w:val="Normal"/></w:pPr>
<w:r><w:t xml:space="preserve">of the soil&apos;&apos; (adscriptus glebae) when he could be sold or</w:t></w:r>
</w:p>
<w:p>
<w:pPr><w:pStyle w:val="Normal"/></w:pPr>
<w:r><w:t xml:space="preserve">transferred with it, as in feudal days, and as in Russia until</w:t></w:r>
</w:p>
<w:p>
<w:pPr><w:pStyle w:val="Normal"/></w:pPr>
<w:r><w:t xml:space="preserve">1861.  Carlyle speaks of the Java blacks as a kind of adscripts.</w:t></w:r>
</w:p>
<w:p>
<w:pPr><w:pStyle w:val="Normal"/></w:pPr>
<w:r><w:t xml:space="preserve">ADULLAM, a Canaanitish town in the territory of the tribe</w:t></w:r>
</w:p>
<w:p>
<w:pPr><w:pStyle w:val="Normal"/></w:pPr>
<w:r><w:t xml:space="preserve">of Judah, perhaps the modern Aid-el-Ma, 7 m.  N.E. of</w:t></w:r>
</w:p>
<w:p>
<w:pPr><w:pStyle w:val="Normal"/></w:pPr>
<w:r><w:t xml:space="preserve">Beit-Jibrin.  It was in the stronghold (``cave&apos;&apos; is a scribal</w:t></w:r>
</w:p>
<w:p>
<w:pPr><w:pStyle w:val="Normal"/></w:pPr>
<w:r><w:t xml:space="preserve">error) of this town that David took refuge on two occasions</w:t></w:r>
</w:p>
<w:p>
<w:pPr><w:pStyle w:val="Normal"/></w:pPr>
<w:r><w:t xml:space="preserve">(1 Sam. xxii. 1; 2 Sam. v. 17). The tradition that Adullam</w:t></w:r>
</w:p>
<w:p>
<w:pPr><w:pStyle w:val="Normal"/></w:pPr>
<w:r><w:t xml:space="preserve">is in the great cave of Rhareitun (St Chariton) is probably</w:t></w:r>
</w:p>
<w:p>
<w:pPr><w:pStyle w:val="Normal"/></w:pPr>
<w:r><w:t xml:space="preserve">due to the crusaders.  From the description of Adullam as the</w:t></w:r>
</w:p>
<w:p>
<w:pPr><w:pStyle w:val="Normal"/></w:pPr>
<w:r><w:t xml:space="preserve">resort of ``every one that was in distress,&apos;&apos; or ``in debt,&apos;&apos;</w:t></w:r>
</w:p>
<w:p>
<w:pPr><w:pStyle w:val="Normal"/></w:pPr>
<w:r><w:t xml:space="preserve">or ``discontented,&apos;&apos; it has often been humorously alluded</w:t></w:r>
</w:p>
<w:p>
<w:pPr><w:pStyle w:val="Normal"/></w:pPr>
<w:r><w:t xml:space="preserve">to, notably by Sir Walter Scott, who puts the expression into</w:t></w:r>
</w:p>
<w:p>
<w:pPr><w:pStyle w:val="Normal"/></w:pPr>
<w:r><w:t xml:space="preserve">the mouth of the Baron of Bradwardine in Waverley, chap.</w:t></w:r>
</w:p>
<w:p>
<w:pPr><w:pStyle w:val="Normal"/></w:pPr>
<w:r><w:t xml:space="preserve">lvii., and also of Balfour of Burley in Old Mortality. In</w:t></w:r>
</w:p>
<w:p>
<w:pPr><w:pStyle w:val="Normal"/></w:pPr>
<w:r><w:t xml:space="preserve">modern political history the expression ``cave of Adullam&apos;&apos;</w:t></w:r>
</w:p>
<w:p>
<w:pPr><w:pStyle w:val="Normal"/></w:pPr>
<w:r><w:t xml:space="preserve">(hence ``Adullamites&apos;&apos;) came into common use (being first</w:t></w:r>
</w:p>
<w:p>
<w:pPr><w:pStyle w:val="Normal"/></w:pPr>
<w:r><w:t xml:space="preserve">employed in a speech by John Bright on the 13th of March</w:t></w:r>
</w:p>
<w:p>
<w:pPr><w:pStyle w:val="Normal"/></w:pPr>
<w:r><w:t xml:space="preserve">1866) with regard to the independent attitude of Robert</w:t></w:r>
</w:p>
<w:p>
<w:pPr><w:pStyle w:val="Normal"/></w:pPr>
<w:r><w:t xml:space="preserve">Howe (Lord Sherbrooke), Edward Horsman and their Liberal</w:t></w:r>
</w:p>
<w:p>
<w:pPr><w:pStyle w:val="Normal"/></w:pPr>
<w:r><w:t xml:space="preserve">supporters in opposition to the Reform Bill of 1866.  But</w:t></w:r>
</w:p>
<w:p>
<w:pPr><w:pStyle w:val="Normal"/></w:pPr>
<w:r><w:t xml:space="preserve">others had previously used it in a similar connexion, e.g.</w:t></w:r>
</w:p>
<w:p>
<w:pPr><w:pStyle w:val="Normal"/></w:pPr>
<w:r><w:t xml:space="preserve">President Lincoln in his second electoral campaign (1864),</w:t></w:r>
</w:p>
<w:p>
<w:pPr><w:pStyle w:val="Normal"/></w:pPr>
<w:r><w:t xml:space="preserve">and the Tories in allusion to the Whig remnant who joined</w:t></w:r>
</w:p>
<w:p>
<w:pPr><w:pStyle w:val="Heading1"/></w:pPr>
<w:r><w:t>C. J. Fox in his temporary secession.  From the same usage</w:t></w:r>
</w:p>
<w:p>
<w:pPr><w:pStyle w:val="Normal"/></w:pPr>
<w:r><w:t xml:space="preserve">is derived the shorter political term ``cave&apos;&apos; for any body</w:t></w:r>
</w:p>
<w:p>
<w:pPr><w:pStyle w:val="Normal"/></w:pPr>
<w:r><w:t xml:space="preserve">of men who secede from their party on some special subject.</w:t></w:r>
</w:p>
<w:p>
<w:pPr><w:pStyle w:val="Normal"/></w:pPr>
<w:r><w:t xml:space="preserve">ADULTERATION (from Lat. adulterare, to defile or falsify),</w:t></w:r>
</w:p>
<w:p>
<w:pPr><w:pStyle w:val="Normal"/></w:pPr>
<w:r><w:t xml:space="preserve">the act of debasing a commercial commodity with the object</w:t></w:r>
</w:p>
<w:p>
<w:pPr><w:pStyle w:val="Normal"/></w:pPr>
<w:r><w:t xml:space="preserve">of passing it off as or under the name of a pure or genuine</w:t></w:r>
</w:p>
<w:p>
<w:pPr><w:pStyle w:val="Normal"/></w:pPr>
<w:r><w:t xml:space="preserve">commodity for illegitimate profit, or the substitution of an</w:t></w:r>
</w:p>
<w:p>
<w:pPr><w:pStyle w:val="Normal"/></w:pPr>
<w:r><w:t xml:space="preserve">inferior article for a superior one, to the detriment of the</w:t></w:r>
</w:p>
<w:p>
<w:pPr><w:pStyle w:val="Normal"/></w:pPr>
<w:r><w:t xml:space="preserve">purchaser.  Although the term is mainly used in connexion</w:t></w:r>
</w:p>
<w:p>
<w:pPr><w:pStyle w:val="Normal"/></w:pPr>
<w:r><w:t xml:space="preserve">with the falsification of articles of food, drink or</w:t></w:r>
</w:p>
<w:p>
<w:pPr><w:pStyle w:val="Normal"/></w:pPr>
<w:r><w:t xml:space="preserve">drugs, and is so dealt with in this article, the practice</w:t></w:r>
</w:p>
<w:p>
<w:pPr><w:pStyle w:val="Normal"/></w:pPr>
<w:r><w:t xml:space="preserve">of adulteration extends to almost all manufactured products</w:t></w:r>
</w:p>
<w:p>
<w:pPr><w:pStyle w:val="Normal"/></w:pPr>
<w:r><w:t xml:space="preserve">and even to unmanufactured natural substances, and (as was</w:t></w:r>
</w:p>
<w:p>
<w:pPr><w:pStyle w:val="Normal"/></w:pPr>
<w:r><w:t xml:space="preserve">once suggested by (John Bright) is an almost inseparable</w:t></w:r>
</w:p>
<w:p>
<w:pPr><w:pStyle w:val="Normal"/></w:pPr>
<w:r><w:t xml:space="preserve">--though none the less reprehensible---phase of keen trade</w:t></w:r>
</w:p>
<w:p>
<w:pPr><w:pStyle w:val="Normal"/></w:pPr>
<w:r><w:t xml:space="preserve">competition.  In its crudest forms as old as commerce</w:t></w:r>
</w:p>
<w:p>
<w:pPr><w:pStyle w:val="Normal"/></w:pPr>
<w:r><w:t xml:space="preserve">itself, it has progressed with the growth of knowledge and</w:t></w:r>
</w:p>
<w:p>
<w:pPr><w:pStyle w:val="Normal"/></w:pPr>
<w:r><w:t xml:space="preserve">of science, and is, in its most modern developments, almost</w:t></w:r>
</w:p>
<w:p>
<w:pPr><w:pStyle w:val="Normal"/></w:pPr>
<w:r><w:t xml:space="preserve">a branch--and that not the least vigorous one---of applied</w:t></w:r>
</w:p>
<w:p>
<w:pPr><w:pStyle w:val="Normal"/></w:pPr>
<w:r><w:t xml:space="preserve">science.  From the mere concealment of a piece of metal or a</w:t></w:r>
</w:p>
<w:p>
<w:pPr><w:pStyle w:val="Normal"/></w:pPr>
<w:r><w:t xml:space="preserve">stone in a loaf of bread or in a lump of butter, a bullet in</w:t></w:r>
</w:p>
<w:p>
<w:pPr><w:pStyle w:val="Normal"/></w:pPr>
<w:r><w:t xml:space="preserve">a musk baa or in a piece of opium, it has developed into the</w:t></w:r>
</w:p>
<w:p>
<w:pPr><w:pStyle w:val="Normal"/></w:pPr>
<w:r><w:t xml:space="preserve">use of aniline dyes, of antiseptic chemicals, of synthetic</w:t></w:r>
</w:p>
<w:p>
<w:pPr><w:pStyle w:val="Normal"/></w:pPr>
<w:r><w:t xml:space="preserve">sweetening agents in foods, the manufacture of butter from</w:t></w:r>
</w:p>
<w:p>
<w:pPr><w:pStyle w:val="Normal"/></w:pPr>
<w:r><w:t xml:space="preserve">cocoa-nuts, of lard from cotton-seed and of pepper from olive</w:t></w:r>
</w:p>
<w:p>
<w:pPr><w:pStyle w:val="Normal"/></w:pPr>
<w:r><w:t xml:space="preserve">stones.  Its growth and development has necessitated the</w:t></w:r>
</w:p>
<w:p>
<w:pPr><w:pStyle w:val="Normal"/></w:pPr>
<w:r><w:t xml:space="preserve">employment of multitudes of scientific officers charged with its</w:t></w:r>
</w:p>
<w:p>
<w:pPr><w:pStyle w:val="Normal"/></w:pPr>
<w:r><w:t xml:space="preserve">detection and the passing of numerous laws for its repression and</w:t></w:r>
</w:p>
<w:p>
<w:pPr><w:pStyle w:val="Normal"/></w:pPr>
<w:r><w:t xml:space="preserve">punishment.  While for all common forms of fraud the common</w:t></w:r>
</w:p>
<w:p>
<w:pPr><w:pStyle w:val="Normal"/></w:pPr>
<w:r><w:t xml:space="preserve">law is in most cases considered strong enough, special laws</w:t></w:r>
</w:p>
<w:p>
<w:pPr><w:pStyle w:val="Normal"/></w:pPr>
<w:r><w:t xml:space="preserve">against the adulteration of food have been found necessary</w:t></w:r>
</w:p>
<w:p>
<w:pPr><w:pStyle w:val="Normal"/></w:pPr>
<w:r><w:t xml:space="preserve">in all civilized countries.  A vigorous branch of chemical</w:t></w:r>
</w:p>
<w:p>
<w:pPr><w:pStyle w:val="Normal"/></w:pPr>
<w:r><w:t xml:space="preserve">literature deals with it; there exist scientific societies</w:t></w:r>
</w:p>
<w:p>
<w:pPr><w:pStyle w:val="Normal"/></w:pPr>
<w:r><w:t xml:space="preserve">specially devoted to its study; laboratories are maintained</w:t></w:r>
</w:p>
<w:p>
<w:pPr><w:pStyle w:val="Normal"/></w:pPr>
<w:r><w:t xml:space="preserve">by governments with staffs of highly trained chemists for</w:t></w:r>
</w:p>
<w:p>
<w:pPr><w:pStyle w:val="Normal"/></w:pPr>
<w:r><w:t xml:space="preserve">its detection; and yet it not only develops and flourishes,</w:t></w:r>
</w:p>
<w:p>
<w:pPr><w:pStyle w:val="Normal"/></w:pPr>
<w:r><w:t xml:space="preserve">but becomes more general, if less virulent and dangerous to</w:t></w:r>
</w:p>
<w:p>
<w:pPr><w:pStyle w:val="Normal"/></w:pPr>
<w:r><w:t xml:space="preserve">health.  There are numerous references to adulteration in the</w:t></w:r>
</w:p>
<w:p>
<w:pPr><w:pStyle w:val="Normal"/></w:pPr>
<w:r><w:t xml:space="preserve">classics.  The detection of the base metal by Archimedes in</w:t></w:r>
</w:p>
<w:p>
<w:pPr><w:pStyle w:val="Normal"/></w:pPr>
<w:r><w:t xml:space="preserve">Hiero&apos;s crown, by the light specific gravity of the latter, is</w:t></w:r>
</w:p>
<w:p>
<w:pPr><w:pStyle w:val="Normal"/></w:pPr>
<w:r><w:t xml:space="preserve">a well-known instance.  Vitruvius speaks of the adulteration</w:t></w:r>
</w:p>
<w:p>
<w:pPr><w:pStyle w:val="Normal"/></w:pPr>
<w:r><w:t xml:space="preserve">of minium with lime, Dioscorides of that of opium with other</w:t></w:r>
</w:p>
<w:p>
<w:pPr><w:pStyle w:val="Normal"/></w:pPr>
<w:r><w:t xml:space="preserve">plant juices and with gum, Pliny of that of flour with white</w:t></w:r>
</w:p>
<w:p>
<w:pPr><w:pStyle w:val="Normal"/></w:pPr>
<w:r><w:t xml:space="preserve">clay.  Both in Rome and in Athens wine was often adulterated</w:t></w:r>
</w:p>
<w:p>
<w:pPr><w:pStyle w:val="Normal"/></w:pPr>
<w:r><w:t xml:space="preserve">with colours and flavouring agents, and inspectors were</w:t></w:r>
</w:p>
<w:p>
<w:pPr><w:pStyle w:val="Normal"/></w:pPr>
<w:r><w:t xml:space="preserve">charged with looking after it.  In England, so far hack as the</w:t></w:r>
</w:p>
<w:p>
<w:pPr><w:pStyle w:val="Normal"/></w:pPr>
<w:r><w:t xml:space="preserve">reign of John (1203), a proclamation was made throughout the</w:t></w:r>
</w:p>
<w:p>
<w:pPr><w:pStyle w:val="Normal"/></w:pPr>
<w:r><w:t xml:space="preserve">kingdom, enforcing the legal obligations of assize as regards</w:t></w:r>
</w:p>
<w:p>
<w:pPr><w:pStyle w:val="Normal"/></w:pPr>
<w:r><w:t xml:space="preserve">bread; and in the following reign the statute (51 Hen. III.</w:t></w:r>
</w:p>
<w:p>
<w:pPr><w:pStyle w:val="Normal"/></w:pPr>
<w:r><w:t xml:space="preserve">Stat. 6) entitled ``the pillory and tumbrel&apos;&apos; was framed</w:t></w:r>
</w:p>
<w:p>
<w:pPr><w:pStyle w:val="Normal"/></w:pPr>
<w:r><w:t xml:space="preserve">for the express purpose of protecting the public from the</w:t></w:r>
</w:p>
<w:p>
<w:pPr><w:pStyle w:val="Normal"/></w:pPr>
<w:r><w:t xml:space="preserve">dishonest dealings of bakers, vintners, brewers, butchers and</w:t></w:r>
</w:p>
<w:p>
<w:pPr><w:pStyle w:val="Normal"/></w:pPr>
<w:r><w:t xml:space="preserve">others.  This statute is the first in which the adulteration</w:t></w:r>
</w:p>
<w:p>
<w:pPr><w:pStyle w:val="Normal"/></w:pPr>
<w:r><w:t xml:space="preserve">of human food is specially noticed and prohibited; it seems</w:t></w:r>
</w:p>
<w:p>
<w:pPr><w:pStyle w:val="Normal"/></w:pPr>
<w:r><w:t xml:space="preserve">to have been enforced with more or less rigour until the</w:t></w:r>
</w:p>
<w:p>
<w:pPr><w:pStyle w:val="Normal"/></w:pPr>
<w:r><w:t xml:space="preserve">time of Anne, when it was repealed (1709).  According to the</w:t></w:r>
</w:p>
<w:p>
<w:pPr><w:pStyle w:val="Normal"/></w:pPr>
<w:r><w:t xml:space="preserve">hiber Albus it was strictly observed in the days of Edward</w:t></w:r>
</w:p>
<w:p>
<w:pPr><w:pStyle w:val="Normal"/></w:pPr>
<w:r><w:t xml:space="preserve">I., for it states that: ``If any default shall be found in</w:t></w:r>
</w:p>
<w:p>
<w:pPr><w:pStyle w:val="Normal"/></w:pPr>
<w:r><w:t xml:space="preserve">the bread of a baker in the city, the first time, let him</w:t></w:r>
</w:p>
<w:p>
<w:pPr><w:pStyle w:val="Normal"/></w:pPr>
<w:r><w:t xml:space="preserve">be drawn upon a hurdle from the Guildhall to his own house</w:t></w:r>
</w:p>
<w:p>
<w:pPr><w:pStyle w:val="Normal"/></w:pPr>
<w:r><w:t xml:space="preserve">through the great street where there be most people assembled,</w:t></w:r>
</w:p>
<w:p>
<w:pPr><w:pStyle w:val="Normal"/></w:pPr>
<w:r><w:t xml:space="preserve">and through the great streets which are most dirty, with</w:t></w:r>
</w:p>
<w:p>
<w:pPr><w:pStyle w:val="Normal"/></w:pPr>
<w:r><w:t xml:space="preserve">the faulty loaf hanging from his neck; if a second time he</w:t></w:r>
</w:p>
<w:p>
<w:pPr><w:pStyle w:val="Normal"/></w:pPr>
<w:r><w:t xml:space="preserve">shall be found committing the same offence, let him be drawn</w:t></w:r>
</w:p>
<w:p>
<w:pPr><w:pStyle w:val="Normal"/></w:pPr>
<w:r><w:t xml:space="preserve">from the Guildhall through the great street of Cheepe in the</w:t></w:r>
</w:p>
<w:p>
<w:pPr><w:pStyle w:val="Normal"/></w:pPr>
<w:r><w:t xml:space="preserve">manner aforesaid to the pillory, and let him be put upon the</w:t></w:r>
</w:p>
<w:p>
<w:pPr><w:pStyle w:val="Normal"/></w:pPr>
<w:r><w:t xml:space="preserve">pillory, and remain there at least one hour in the day; and</w:t></w:r>
</w:p>
<w:p>
<w:pPr><w:pStyle w:val="Normal"/></w:pPr>
<w:r><w:t xml:space="preserve">the third time that such default shall be found, he shall be</w:t></w:r>
</w:p>
<w:p>
<w:pPr><w:pStyle w:val="Normal"/></w:pPr>
<w:r><w:t xml:space="preserve">drawn, and the oven shall be pulled down, and the baker made</w:t></w:r>
</w:p>
<w:p>
<w:pPr><w:pStyle w:val="Normal"/></w:pPr>
<w:r><w:t xml:space="preserve">to foreswear the trade in the city for ever.&apos;&apos; The assize</w:t></w:r>
</w:p>
<w:p>
<w:pPr><w:pStyle w:val="Normal"/></w:pPr>
<w:r><w:t xml:space="preserve">of 1634 provides that ``if there be any manner of person or</w:t></w:r>
</w:p>
<w:p>
<w:pPr><w:pStyle w:val="Normal"/></w:pPr>
<w:r><w:t xml:space="preserve">persons, which shall by any false wayes or meanes, sell</w:t></w:r>
</w:p>
<w:p>
<w:pPr><w:pStyle w:val="Normal"/></w:pPr>
<w:r><w:t xml:space="preserve">any meale under the kinge&apos;s subjects, either by mixing it</w:t></w:r>
</w:p>
<w:p>
<w:pPr><w:pStyle w:val="Normal"/></w:pPr>
<w:r><w:t xml:space="preserve">deceitfully or sell any musty or corrupted meal, which may</w:t></w:r>
</w:p>
<w:p>
<w:pPr><w:pStyle w:val="Normal"/></w:pPr>
<w:r><w:t xml:space="preserve">be to the hurte and infection of man&apos;s body, or use any false</w:t></w:r>
</w:p>
<w:p>
<w:pPr><w:pStyle w:val="Normal"/></w:pPr>
<w:r><w:t xml:space="preserve">weight, or any deceitful wayes or meanes, and so deceive the</w:t></w:r>
</w:p>
<w:p>
<w:pPr><w:pStyle w:val="Normal"/></w:pPr>
<w:r><w:t xml:space="preserve">subject, for the first offence he shall be grievously punished,</w:t></w:r>
</w:p>
<w:p>
<w:pPr><w:pStyle w:val="Normal"/></w:pPr>
<w:r><w:t xml:space="preserve">the second he shall loose his meale, for the third offence he</w:t></w:r>
</w:p>
<w:p>
<w:pPr><w:pStyle w:val="Normal"/></w:pPr>
<w:r><w:t xml:space="preserve">shall suffer the judgment of the pillory and the fourth time</w:t></w:r>
</w:p>
<w:p>
<w:pPr><w:pStyle w:val="Normal"/></w:pPr>
<w:r><w:t xml:space="preserve">he shall foreswore the town wherein he dwelleth.&apos;&apos; Vintners,</w:t></w:r>
</w:p>
<w:p>
<w:pPr><w:pStyle w:val="Normal"/></w:pPr>
<w:r><w:t xml:space="preserve">spicers, grocers, butchers, regrators and others were subject</w:t></w:r>
</w:p>
<w:p>
<w:pPr><w:pStyle w:val="Normal"/></w:pPr>
<w:r><w:t xml:space="preserve">to the like punishment for dishonesty in their commercial</w:t></w:r>
</w:p>
<w:p>
<w:pPr><w:pStyle w:val="Normal"/></w:pPr>
<w:r><w:t xml:space="preserve">dealings--it being thought that the pillory, by appealing to</w:t></w:r>
</w:p>
<w:p>
<w:pPr><w:pStyle w:val="Normal"/></w:pPr>
<w:r><w:t xml:space="preserve">the sense of shame, was far more deterrent of such crimes than</w:t></w:r>
</w:p>
<w:p>
<w:pPr><w:pStyle w:val="Normal"/></w:pPr>
<w:r><w:t xml:space="preserve">fine or imprisonment.  In the reign of Edward the Confessor</w:t></w:r>
</w:p>
<w:p>
<w:pPr><w:pStyle w:val="Normal"/></w:pPr>
<w:r><w:t xml:space="preserve">a knavish brewer of the city of Chester was taken round the</w:t></w:r>
</w:p>
<w:p>
<w:pPr><w:pStyle w:val="Normal"/></w:pPr>
<w:r><w:t xml:space="preserve">town in the cart in which the refuse of the privies had been</w:t></w:r>
</w:p>
<w:p>
<w:pPr><w:pStyle w:val="Normal"/></w:pPr>
<w:r><w:t xml:space="preserve">collected.  Ale-tasters had to look after the ale and test it</w:t></w:r>
</w:p>
<w:p>
<w:pPr><w:pStyle w:val="Normal"/></w:pPr>
<w:r><w:t xml:space="preserve">by spilling some on to a wooden seat, sitting on the wet place</w:t></w:r>
</w:p>
<w:p>
<w:pPr><w:pStyle w:val="Normal"/></w:pPr>
<w:r><w:t xml:space="preserve">in their leathern breeches, the stickiness of the ``residue</w:t></w:r>
</w:p>
<w:p>
<w:pPr><w:pStyle w:val="Normal"/></w:pPr>
<w:r><w:t xml:space="preserve">obtained by evaporation&apos;&apos; affording the evidence of purity or</w:t></w:r>
</w:p>
<w:p>
<w:pPr><w:pStyle w:val="Normal"/></w:pPr>
<w:r><w:t xml:space="preserve">otherwise.  If sugar had been added the taster adhered to</w:t></w:r>
</w:p>
<w:p>
<w:pPr><w:pStyle w:val="Normal"/></w:pPr>
<w:r><w:t xml:space="preserve">the bench; pure malt beer was not considered to yield an</w:t></w:r>
</w:p>
<w:p>
<w:pPr><w:pStyle w:val="Normal"/></w:pPr>
<w:r><w:t xml:space="preserve">adhesive extract.  In 1553, the lord mayor of London ordered</w:t></w:r>
</w:p>
<w:p>
<w:pPr><w:pStyle w:val="Normal"/></w:pPr>
<w:r><w:t xml:space="preserve">a jury of five or six vintners to rack and draw off the</w:t></w:r>
</w:p>
<w:p>
<w:pPr><w:pStyle w:val="Normal"/></w:pPr>
<w:r><w:t xml:space="preserve">suspected wine of another vintner, and to ascertain what</w:t></w:r>
</w:p>
<w:p>
<w:pPr><w:pStyle w:val="Normal"/></w:pPr>
<w:r><w:t xml:space="preserve">drugs or ingredients they found in the said wine or cask</w:t></w:r>
</w:p>
<w:p>
<w:pPr><w:pStyle w:val="Normal"/></w:pPr>
<w:r><w:t xml:space="preserve">to sophisticate the same.  At another time eight pipes of</w:t></w:r>
</w:p>
<w:p>
<w:pPr><w:pStyle w:val="Normal"/></w:pPr>
<w:r><w:t xml:space="preserve">wine were ordered to be destroyed because, on racking off,</w:t></w:r>
</w:p>
<w:p>
<w:pPr><w:pStyle w:val="Normal"/></w:pPr>
<w:r><w:t xml:space="preserve">bundles of weeds, pieces of sulphur match, and ``a kind</w:t></w:r>
</w:p>
<w:p>
<w:pPr><w:pStyle w:val="Normal"/></w:pPr>
<w:r><w:t xml:space="preserve">of gravel mixture sticking to the casks&apos;&apos; had been found.</w:t></w:r>
</w:p>
<w:p>
<w:pPr><w:pStyle w:val="Normal"/></w:pPr>
<w:r><w:t xml:space="preserve">Similar records have come down from the continental European</w:t></w:r>
</w:p>
<w:p>
<w:pPr><w:pStyle w:val="Normal"/></w:pPr>
<w:r><w:t xml:space="preserve">countries.  In 1390 an Augsburg wine-seller was sentenced</w:t></w:r>
</w:p>
<w:p>
<w:pPr><w:pStyle w:val="Normal"/></w:pPr>
<w:r><w:t xml:space="preserve">to be led out of the city with his hands bound and a rope</w:t></w:r>
</w:p>
<w:p>
<w:pPr><w:pStyle w:val="Normal"/></w:pPr>
<w:r><w:t xml:space="preserve">round his neck; in 1400 two others were branded and otherwise</w:t></w:r>
</w:p>
<w:p>
<w:pPr><w:pStyle w:val="Normal"/></w:pPr>
<w:r><w:t xml:space="preserve">severely punished; in 1435 ``were the taverner Christian</w:t></w:r>
</w:p>
<w:p>
<w:pPr><w:pStyle w:val="Normal"/></w:pPr>
<w:r><w:t xml:space="preserve">Corper and his wife put in a cask in which he sold false</w:t></w:r>
</w:p>
<w:p>
<w:pPr><w:pStyle w:val="Normal"/></w:pPr>
<w:r><w:t xml:space="preserve">wine, and then exposed in the pillory.  The punishment was</w:t></w:r>
</w:p>
<w:p>
<w:pPr><w:pStyle w:val="Normal"/></w:pPr>
<w:r><w:t xml:space="preserve">adjudged because they had roasted pears and put them into</w:t></w:r>
</w:p>
<w:p>
<w:pPr><w:pStyle w:val="Normal"/></w:pPr>
<w:r><w:t xml:space="preserve">new sour wine, in order to sweeten the wine.  Some pears</w:t></w:r>
</w:p>
<w:p>
<w:pPr><w:pStyle w:val="Normal"/></w:pPr>
<w:r><w:t xml:space="preserve">were hung round their necks like unto a Paternoster.&apos;&apos;</w:t></w:r>
</w:p>
<w:p>
<w:pPr><w:pStyle w:val="Normal"/></w:pPr>
<w:r><w:t xml:space="preserve">In Biebrich on the Rhine, in 1482, a wine-falsifier was</w:t></w:r>
</w:p>
<w:p>
<w:pPr><w:pStyle w:val="Normal"/></w:pPr>
<w:r><w:t xml:space="preserve">condemned to drink six quarts of his own wine; from this he</w:t></w:r>
</w:p>
<w:p>
<w:pPr><w:pStyle w:val="Normal"/></w:pPr>
<w:r><w:t xml:space="preserve">died.  In Frankfurt, casks in which false wine had been</w:t></w:r>
</w:p>
<w:p>
<w:pPr><w:pStyle w:val="Normal"/></w:pPr>
<w:r><w:t xml:space="preserve">found were placed with a red flag on the knacker&apos;s cart,</w:t></w:r>
</w:p>
<w:p>
<w:pPr><w:pStyle w:val="Normal"/></w:pPr>
<w:r><w:t xml:space="preserve">``the jailer marched before, the rabble after; and when they</w:t></w:r>
</w:p>
<w:p>
<w:pPr><w:pStyle w:val="Normal"/></w:pPr>
<w:r><w:t xml:space="preserve">came to the river they broke the casks and tumbled the stuff</w:t></w:r>
</w:p>
<w:p>
<w:pPr><w:pStyle w:val="Normal"/></w:pPr>
<w:r><w:t xml:space="preserve">into the stream.&apos;&apos; In France successive ordonnances from</w:t></w:r>
</w:p>
<w:p>
<w:pPr><w:pStyle w:val="Normal"/></w:pPr>
<w:r><w:t xml:space="preserve">1330 to 1672 forbade the mixing of two wines together under</w:t></w:r>
</w:p>
<w:p>
<w:pPr><w:pStyle w:val="Normal"/></w:pPr>
<w:r><w:t xml:space="preserve">the penalty of a fine and the confiscation of the wine.</w:t></w:r>
</w:p>
<w:p>
<w:pPr><w:pStyle w:val="Normal"/></w:pPr>
<w:r><w:t xml:space="preserve">Modern British Legislation.--In modern times the English</w:t></w:r>
</w:p>
<w:p>
<w:pPr><w:pStyle w:val="Normal"/></w:pPr>
<w:r><w:t xml:space="preserve">parliament has dealt frequently with the subject of food</w:t></w:r>
</w:p>
<w:p>
<w:pPr><w:pStyle w:val="Normal"/></w:pPr>
<w:r><w:t xml:space="preserve">adulteration.  In 1725 it was provided that ``no dealer in</w:t></w:r>
</w:p>
<w:p>
<w:pPr><w:pStyle w:val="Normal"/></w:pPr>
<w:r><w:t xml:space="preserve">tea or manufacturer or dyer thereof, or pretending so to</w:t></w:r>
</w:p>
<w:p>
<w:pPr><w:pStyle w:val="Normal"/></w:pPr>
<w:r><w:t xml:space="preserve">be, shall counterfeit or adulterate tea, or cause or procure</w:t></w:r>
</w:p>
<w:p>
<w:pPr><w:pStyle w:val="Normal"/></w:pPr>
<w:r><w:t xml:space="preserve">the same to be counterfeited or adulterated, or shall alter,</w:t></w:r>
</w:p>
<w:p>
<w:pPr><w:pStyle w:val="Normal"/></w:pPr>
<w:r><w:t xml:space="preserve">fabricate or manufacture tea with terra-japonica, or with any</w:t></w:r>
</w:p>
<w:p>
<w:pPr><w:pStyle w:val="Normal"/></w:pPr>
<w:r><w:t xml:space="preserve">drug or drugs whatsoever; nor shall mix or cause or procure</w:t></w:r>
</w:p>
<w:p>
<w:pPr><w:pStyle w:val="Normal"/></w:pPr>
<w:r><w:t xml:space="preserve">to be mixed with tea any leaves other than the leaves of</w:t></w:r>
</w:p>
<w:p>
<w:pPr><w:pStyle w:val="Normal"/></w:pPr>
<w:r><w:t xml:space="preserve">tea or other ingredients whatsoever, on pain of forfeiting</w:t></w:r>
</w:p>
<w:p>
<w:pPr><w:pStyle w:val="Normal"/></w:pPr>
<w:r><w:t xml:space="preserve">and losing the tea so counterfeited, adulterated, altered,</w:t></w:r>
</w:p>
<w:p>
<w:pPr><w:pStyle w:val="Normal"/></w:pPr>
<w:r><w:t xml:space="preserve">fabricated, manufactured or mixed, and any other thing or</w:t></w:r>
</w:p>
<w:p>
<w:pPr><w:pStyle w:val="Normal"/></w:pPr>
<w:r><w:t xml:space="preserve">things whatsoever added thereto, or mixed or used therewith,</w:t></w:r>
</w:p>
<w:p>
<w:pPr><w:pStyle w:val="Normal"/></w:pPr>
<w:r><w:t xml:space="preserve">and also the sum of L. 100.&apos;&apos; Six years afterwards, in</w:t></w:r>
</w:p>
<w:p>
<w:pPr><w:pStyle w:val="Normal"/></w:pPr>
<w:r><w:t xml:space="preserve">1730-173i, a further act was passed prescribing a penalty for</w:t></w:r>
</w:p>
<w:p>
<w:pPr><w:pStyle w:val="Normal"/></w:pPr>
<w:r><w:t xml:space="preserve">``sophisticating&apos;&apos; tea; it recites that several iii-disposed</w:t></w:r>
</w:p>
<w:p>
<w:pPr><w:pStyle w:val="Normal"/></w:pPr>
<w:r><w:t xml:space="preserve">persons do frequently dye, fabricate or manufacture very great</w:t></w:r>
</w:p>
<w:p>
<w:pPr><w:pStyle w:val="Normal"/></w:pPr>
<w:r><w:t xml:space="preserve">quantities of sloe leaves, liquorice leaves, and the leaves</w:t></w:r>
</w:p>
<w:p>
<w:pPr><w:pStyle w:val="Normal"/></w:pPr>
<w:r><w:t xml:space="preserve">of tea that have been before used, or the leaves of other</w:t></w:r>
</w:p>
<w:p>
<w:pPr><w:pStyle w:val="Normal"/></w:pPr>
<w:r><w:t xml:space="preserve">trees, shrubs or plants in imitation of tea, and do likewise</w:t></w:r>
</w:p>
<w:p>
<w:pPr><w:pStyle w:val="Normal"/></w:pPr>
<w:r><w:t xml:space="preserve">mix, colour, stain and dye such leaves and likewise tea with</w:t></w:r>
</w:p>
<w:p>
<w:pPr><w:pStyle w:val="Normal"/></w:pPr>
<w:r><w:t xml:space="preserve">terra-japonica, sugar, molasses, clay, logwood, and with other</w:t></w:r>
</w:p>
<w:p>
<w:pPr><w:pStyle w:val="Normal"/></w:pPr>
<w:r><w:t xml:space="preserve">ingredients, and do sell and vend the same as true and real</w:t></w:r>
</w:p>
<w:p>
<w:pPr><w:pStyle w:val="Normal"/></w:pPr>
<w:r><w:t xml:space="preserve">tea, to the prejudice of the health of his majesty&apos;s subjects,</w:t></w:r>
</w:p>
<w:p>
<w:pPr><w:pStyle w:val="Normal"/></w:pPr>
<w:r><w:t xml:space="preserve">the diminution of the revenue and to the ruin of the fair</w:t></w:r>
</w:p>
<w:p>
<w:pPr><w:pStyle w:val="Normal"/></w:pPr>
<w:r><w:t xml:space="preserve">trader.  This act provides that for every pound of adulterated</w:t></w:r>
</w:p>
<w:p>
<w:pPr><w:pStyle w:val="Normal"/></w:pPr>
<w:r><w:t xml:space="preserve">tea found in possession of any person, a sum of L. 10 shall be</w:t></w:r>
</w:p>
<w:p>
<w:pPr><w:pStyle w:val="Normal"/></w:pPr>
<w:r><w:t xml:space="preserve">forfeited.  It was followed by one passed in 1768-1767, which</w:t></w:r>
</w:p>
<w:p>
<w:pPr><w:pStyle w:val="Normal"/></w:pPr>
<w:r><w:t xml:space="preserve">increased the penalty to imprisonment for not less than six</w:t></w:r>
</w:p>
<w:p>
<w:pPr><w:pStyle w:val="Normal"/></w:pPr>
<w:r><w:t xml:space="preserve">nor more than twelve months.  As regards coffee, an act of</w:t></w:r>
</w:p>
<w:p>
<w:pPr><w:pStyle w:val="Normal"/></w:pPr>
<w:r><w:t xml:space="preserve">1718 recited that ``divers evil-disposed persons have at the</w:t></w:r>
</w:p>
<w:p>
<w:pPr><w:pStyle w:val="Normal"/></w:pPr>
<w:r><w:t xml:space="preserve">time or soon after the roasting of coffee made use of water,</w:t></w:r>
</w:p>
<w:p>
<w:pPr><w:pStyle w:val="Normal"/></w:pPr>
<w:r><w:t xml:space="preserve">grease, butter or such-like materials, whereby the same is</w:t></w:r>
</w:p>
<w:p>
<w:pPr><w:pStyle w:val="Normal"/></w:pPr>
<w:r><w:t xml:space="preserve">rendered unwholesome and greatly increased in weight,&apos;&apos; and</w:t></w:r>
</w:p>
<w:p>
<w:pPr><w:pStyle w:val="Normal"/></w:pPr>
<w:r><w:t xml:space="preserve">a penalty of L. 20 is enacted.  In 1803 an act refers to the</w:t></w:r>
</w:p>
<w:p>
<w:pPr><w:pStyle w:val="Normal"/></w:pPr>
<w:r><w:t xml:space="preserve">addition of burnt, scorched or roasted peas, beans or other</w:t></w:r>
</w:p>
<w:p>
<w:pPr><w:pStyle w:val="Normal"/></w:pPr>
<w:r><w:t xml:space="preserve">grains or vegetable substances prepared in imitation of coffee</w:t></w:r>
</w:p>
<w:p>
<w:pPr><w:pStyle w:val="Normal"/></w:pPr>
<w:r><w:t xml:space="preserve">or cocoa, to coffee or cocoa, and fixes the penalty for the</w:t></w:r>
</w:p>
<w:p>
<w:pPr><w:pStyle w:val="Normal"/></w:pPr>
<w:r><w:t xml:space="preserve">offence at L. 100, but subsequently permission was given to</w:t></w:r>
</w:p>
<w:p>
<w:pPr><w:pStyle w:val="Normal"/></w:pPr>
<w:r><w:t xml:space="preserve">coffee or cocoa dealers also to deal in scorched or roasted</w:t></w:r>
</w:p>
<w:p>
<w:pPr><w:pStyle w:val="Normal"/></w:pPr>
<w:r><w:t xml:space="preserve">corn, peas, beans or parsnips whole and not ground, crushed or</w:t></w:r>
</w:p>
<w:p>
<w:pPr><w:pStyle w:val="Normal"/></w:pPr>
<w:r><w:t xml:space="preserve">powdered, under certain excise restrictions.  An act passed</w:t></w:r>
</w:p>
<w:p>
<w:pPr><w:pStyle w:val="Normal"/></w:pPr>
<w:r><w:t xml:space="preserve">in 1816 relating to beer and porter provides that no brewer</w:t></w:r>
</w:p>
<w:p>
<w:pPr><w:pStyle w:val="Normal"/></w:pPr>
<w:r><w:t xml:space="preserve">of or dealer in or retailer of beer ``shall receive or have</w:t></w:r>
</w:p>
<w:p>
<w:pPr><w:pStyle w:val="Normal"/></w:pPr>
<w:r><w:t xml:space="preserve">in his possession, or make or mix with any worts or beer,</w:t></w:r>
</w:p>
<w:p>
<w:pPr><w:pStyle w:val="Normal"/></w:pPr>
<w:r><w:t xml:space="preserve">any liquor, extract or other preparation for the purpose</w:t></w:r>
</w:p>
<w:p>
<w:pPr><w:pStyle w:val="Normal"/></w:pPr>
<w:r><w:t xml:space="preserve">of darkening the colour of worts or beer, other than brown</w:t></w:r>
</w:p>
<w:p>
<w:pPr><w:pStyle w:val="Normal"/></w:pPr>
<w:r><w:t xml:space="preserve">malt, ground or unground, or shall have in his possession</w:t></w:r>
</w:p>
<w:p>
<w:pPr><w:pStyle w:val="Normal"/></w:pPr>
<w:r><w:t xml:space="preserve">or use, or mix with any worts or beer any molasses, honey,</w:t></w:r>
</w:p>
<w:p>
<w:pPr><w:pStyle w:val="Normal"/></w:pPr>
<w:r><w:t xml:space="preserve">liquorice, vitriol, quassia, coculus-indiae, grains of</w:t></w:r>
</w:p>
<w:p>
<w:pPr><w:pStyle w:val="Normal"/></w:pPr>
<w:r><w:t xml:space="preserve">paradise, guinea-pepper or opium, or any extracts of these, or</w:t></w:r>
</w:p>
<w:p>
<w:pPr><w:pStyle w:val="Normal"/></w:pPr>
<w:r><w:t xml:space="preserve">any articles or preparation whatsoever for or as a substitute</w:t></w:r>
</w:p>
<w:p>
<w:pPr><w:pStyle w:val="Normal"/></w:pPr>
<w:r><w:t xml:space="preserve">for malt or hops.&apos;&apos; Any person contravening was liable to a</w:t></w:r>
</w:p>
<w:p>
<w:pPr><w:pStyle w:val="Normal"/></w:pPr>
<w:r><w:t xml:space="preserve">penalty of L. 200, and any druggist selling to any brewer or</w:t></w:r>
</w:p>
<w:p>
<w:pPr><w:pStyle w:val="Normal"/></w:pPr>
<w:r><w:t xml:space="preserve">retail dealer any colouring or malt substitute was to be fined</w:t></w:r>
</w:p>
<w:p>
<w:pPr><w:pStyle w:val="Heading1"/></w:pPr>
<w:r><w:t>L. 500.  It was only in 1847 that brewers were allowed to</w:t></w:r>
</w:p>
<w:p>
<w:pPr><w:pStyle w:val="Normal"/></w:pPr>
<w:r><w:t xml:space="preserve">make for their own use, from sugar, a liquor for darkening</w:t></w:r>
</w:p>
<w:p>
<w:pPr><w:pStyle w:val="Normal"/></w:pPr>
<w:r><w:t xml:space="preserve">the colour of worts or beer and to use it in brewing.</w:t></w:r>
</w:p>
<w:p>
<w:pPr><w:pStyle w:val="Normal"/></w:pPr>
<w:r><w:t xml:space="preserve">All the laws hitherto referred to were mainly passed in the</w:t></w:r>
</w:p>
<w:p>
<w:pPr><w:pStyle w:val="Normal"/></w:pPr>
<w:r><w:t xml:space="preserve">interest of the inland revenue, and their execution was left</w:t></w:r>
</w:p>
<w:p>
<w:pPr><w:pStyle w:val="Normal"/></w:pPr>
<w:r><w:t xml:space="preserve">entirely in the hands of the revenue officers.  It was but</w:t></w:r>
</w:p>
<w:p>
<w:pPr><w:pStyle w:val="Normal"/></w:pPr>
<w:r><w:t xml:space="preserve">natural that they should look primarily after the dutiable</w:t></w:r>
</w:p>
<w:p>
<w:pPr><w:pStyle w:val="Normal"/></w:pPr>
<w:r><w:t xml:space="preserve">articles and not after those that brought no revenue to the</w:t></w:r>
</w:p>
<w:p>
<w:pPr><w:pStyle w:val="Normal"/></w:pPr>
<w:r><w:t xml:space="preserve">state.  About the middle of the 19th century many articles,</w:t></w:r>
</w:p>
<w:p>
<w:pPr><w:pStyle w:val="Normal"/></w:pPr>
<w:r><w:t xml:space="preserve">however, paid import duty; butter, for instance, paid 5s.</w:t></w:r>
</w:p>
<w:p>
<w:pPr><w:pStyle w:val="Normal"/></w:pPr>
<w:r><w:t xml:space="preserve">per hundredweight; cheese from 1s. 6d. to 2s. 6d.; flour</w:t></w:r>
</w:p>
<w:p>
<w:pPr><w:pStyle w:val="Normal"/></w:pPr>
<w:r><w:t xml:space="preserve">or meal of all kinds, 4 1/2d.; ginger, 10s.; isinglass, 5s.;</w:t></w:r>
</w:p>
<w:p>
<w:pPr><w:pStyle w:val="Normal"/></w:pPr>
<w:r><w:t xml:space="preserve">and so on.  Sensational and doubtless largely exaggerated</w:t></w:r>
</w:p>
<w:p>
<w:pPr><w:pStyle w:val="Normal"/></w:pPr>
<w:r><w:t xml:space="preserve">statements were from time to time published concerning the</w:t></w:r>
</w:p>
<w:p>
<w:pPr><w:pStyle w:val="Normal"/></w:pPr>
<w:r><w:t xml:space="preserve">food supply of the nation.  F. C. Accum (1769-1838) by his</w:t></w:r>
</w:p>
<w:p>
<w:pPr><w:pStyle w:val="Normal"/></w:pPr>
<w:r><w:t xml:space="preserve">Treatise on Adulterations of Food and Culinary Poisons</w:t></w:r>
</w:p>
<w:p>
<w:pPr><w:pStyle w:val="Normal"/></w:pPr>
<w:r><w:t xml:space="preserve">(1820), and particularly an anonymous writer of a book</w:t></w:r>
</w:p>
<w:p>
<w:pPr><w:pStyle w:val="Normal"/></w:pPr>
<w:r><w:t xml:space="preserve">entitled Deadly Adulteration and Slow Poisoning unmasked,</w:t></w:r>
</w:p>
<w:p>
<w:pPr><w:pStyle w:val="Normal"/></w:pPr>
<w:r><w:t xml:space="preserve">or Disease and Death in the Pot and the Bottle, in which</w:t></w:r>
</w:p>
<w:p>
<w:pPr><w:pStyle w:val="Normal"/></w:pPr>
<w:r><w:t xml:space="preserve">the blood empoisoning and life-destroying adulterations of</w:t></w:r>
</w:p>
<w:p>
<w:pPr><w:pStyle w:val="Normal"/></w:pPr>
<w:r><w:t xml:space="preserve">wines, spirits, beer, bread, flour, tea, sugar, spices,</w:t></w:r>
</w:p>
<w:p>
<w:pPr><w:pStyle w:val="Normal"/></w:pPr>
<w:r><w:t xml:space="preserve">cheesemongery, pastry, confectionery, medicines, etc.,</w:t></w:r>
</w:p>
<w:p>
<w:pPr><w:pStyle w:val="Normal"/></w:pPr>
<w:r><w:t xml:space="preserve">etc., are laid open to the public (1830), roused the public</w:t></w:r>
</w:p>
<w:p>
<w:pPr><w:pStyle w:val="Normal"/></w:pPr>
<w:r><w:t xml:space="preserve">attention.  In 1850 a physician, Dr. Arthur H. Hassall,</w:t></w:r>
</w:p>
<w:p>
<w:pPr><w:pStyle w:val="Normal"/></w:pPr>
<w:r><w:t xml:space="preserve">had the happy idea of looking at ground coffee through the</w:t></w:r>
</w:p>
<w:p>
<w:pPr><w:pStyle w:val="Normal"/></w:pPr>
<w:r><w:t xml:space="preserve">microscope.  Eminent chemists had previously found great</w:t></w:r>
</w:p>
<w:p>
<w:pPr><w:pStyle w:val="Normal"/></w:pPr>
<w:r><w:t xml:space="preserve">difficulty in establishing any satisfactory chemical distinction</w:t></w:r>
</w:p>
<w:p>
<w:pPr><w:pStyle w:val="Normal"/></w:pPr>
<w:r><w:t xml:space="preserve">between coffee, chicory and other adulterants of coffee;</w:t></w:r>
</w:p>
<w:p>
<w:pPr><w:pStyle w:val="Normal"/></w:pPr>
<w:r><w:t xml:space="preserve">the microscope immediately showed the structural difference</w:t></w:r>
</w:p>
<w:p>
<w:pPr><w:pStyle w:val="Normal"/></w:pPr>
<w:r><w:t xml:space="preserve">of the particles, however small.  The results of Hassall&apos;s</w:t></w:r>
</w:p>
<w:p>
<w:pPr><w:pStyle w:val="Normal"/></w:pPr>
<w:r><w:t xml:space="preserve">examinations were embodied in a paper which was read before the</w:t></w:r>
</w:p>
<w:p>
<w:pPr><w:pStyle w:val="Normal"/></w:pPr>
<w:r><w:t xml:space="preserve">Botanical Society of London and was reported in The Times,</w:t></w:r>
</w:p>
<w:p>
<w:pPr><w:pStyle w:val="Normal"/></w:pPr>
<w:r><w:t xml:space="preserve">1850.  A paper on the microscopic examination of sugar,</w:t></w:r>
</w:p>
<w:p>
<w:pPr><w:pStyle w:val="Normal"/></w:pPr>
<w:r><w:t xml:space="preserve">showing the presence in that article of innumerable living</w:t></w:r>
</w:p>
<w:p>
<w:pPr><w:pStyle w:val="Normal"/></w:pPr>
<w:r><w:t xml:space="preserve">mites, followed and attracted much attention.  Hassall was</w:t></w:r>
</w:p>
<w:p>
<w:pPr><w:pStyle w:val="Normal"/></w:pPr>
<w:r><w:t xml:space="preserve">in consequence commissioned by Thomas Wakley (1795--1862),</w:t></w:r>
</w:p>
<w:p>
<w:pPr><w:pStyle w:val="Normal"/></w:pPr>
<w:r><w:t xml:space="preserve">the owner of the Lancet, to extend his examination to other</w:t></w:r>
</w:p>
<w:p>
<w:pPr><w:pStyle w:val="Normal"/></w:pPr>
<w:r><w:t xml:space="preserve">articles of food, and for a period of nearly four years reports</w:t></w:r>
</w:p>
<w:p>
<w:pPr><w:pStyle w:val="Normal"/></w:pPr>
<w:r><w:t xml:space="preserve">of the Lancet Analytical Sanitary Commission were regularly</w:t></w:r>
</w:p>
<w:p>
<w:pPr><w:pStyle w:val="Normal"/></w:pPr>
<w:r><w:t xml:space="preserve">published, the names and addresses of hundreds of manufacturers</w:t></w:r>
</w:p>
<w:p>
<w:pPr><w:pStyle w:val="Normal"/></w:pPr>
<w:r><w:t xml:space="preserve">and tradesmen selling adulterated articles being fearlessly</w:t></w:r>
</w:p>
<w:p>
<w:pPr><w:pStyle w:val="Normal"/></w:pPr>
<w:r><w:t xml:space="preserve">given.  The responsibility incurred was immense, but the</w:t></w:r>
</w:p>
<w:p>
<w:pPr><w:pStyle w:val="Normal"/></w:pPr>
<w:r><w:t xml:space="preserve">assertions of the journal were so well founded upon fact that</w:t></w:r>
</w:p>
<w:p>
<w:pPr><w:pStyle w:val="Normal"/></w:pPr>
<w:r><w:t xml:space="preserve">they were universally accepted as accurately representing</w:t></w:r>
</w:p>
<w:p>
<w:pPr><w:pStyle w:val="Normal"/></w:pPr>
<w:r><w:t xml:space="preserve">the appalling state of the food supply.  As instances may be</w:t></w:r>
</w:p>
<w:p>
<w:pPr><w:pStyle w:val="Normal"/></w:pPr>
<w:r><w:t xml:space="preserve">cited, that of thirty-four samples of coffee only three were</w:t></w:r>
</w:p>
<w:p>
<w:pPr><w:pStyle w:val="Normal"/></w:pPr>
<w:r><w:t xml:space="preserve">pure, chicory being present in thirty-one, roasted corn in</w:t></w:r>
</w:p>
<w:p>
<w:pPr><w:pStyle w:val="Normal"/></w:pPr>
<w:r><w:t xml:space="preserve">twelve, beans and potato flour each in one; of thirty-four</w:t></w:r>
</w:p>
<w:p>
<w:pPr><w:pStyle w:val="Normal"/></w:pPr>
<w:r><w:t xml:space="preserve">samples of chicory, fourteen were adulterated with corn,</w:t></w:r>
</w:p>
<w:p>
<w:pPr><w:pStyle w:val="Normal"/></w:pPr>
<w:r><w:t xml:space="preserve">beans or acorns; of forty-nine samples of bread, every one</w:t></w:r>
</w:p>
<w:p>
<w:pPr><w:pStyle w:val="Normal"/></w:pPr>
<w:r><w:t xml:space="preserve">contained alum; of fifty-six samples of cocoa, only eight</w:t></w:r>
</w:p>
<w:p>
<w:pPr><w:pStyle w:val="Normal"/></w:pPr>
<w:r><w:t xml:space="preserve">were pure; of twenty-six milks, fourteen were adulterated; of</w:t></w:r>
</w:p>
<w:p>
<w:pPr><w:pStyle w:val="Normal"/></w:pPr>
<w:r><w:t xml:space="preserve">twenty-eight cayenne peppers, only four were genuine, thirteen</w:t></w:r>
</w:p>
<w:p>
<w:pPr><w:pStyle w:val="Normal"/></w:pPr>
<w:r><w:t xml:space="preserve">containing red-lead and one vermilion; of upwards of one</w:t></w:r>
</w:p>
<w:p>
<w:pPr><w:pStyle w:val="Normal"/></w:pPr>
<w:r><w:t xml:space="preserve">hundred samples of coloured sugar-confectionery, fifty-nine</w:t></w:r>
</w:p>
<w:p>
<w:pPr><w:pStyle w:val="Normal"/></w:pPr>
<w:r><w:t xml:space="preserve">contained chromate of lead, eleven gamboge, twelve red-lead,</w:t></w:r>
</w:p>
<w:p>
<w:pPr><w:pStyle w:val="Normal"/></w:pPr>
<w:r><w:t xml:space="preserve">six vermilion, nine arsenite of copper and four white-lead.</w:t></w:r>
</w:p>
<w:p>
<w:pPr><w:pStyle w:val="Normal"/></w:pPr>
<w:r><w:t xml:space="preserve">Act of 1860.</w:t></w:r>
</w:p>
<w:p>
<w:pPr><w:pStyle w:val="Normal"/></w:pPr>
<w:r><w:t xml:space="preserve">In consequence of the Lancet&apos;s disclosures a parliamentary</w:t></w:r>
</w:p>
<w:p>
<w:pPr><w:pStyle w:val="Normal"/></w:pPr>
<w:r><w:t xml:space="preserve">committee was appointed in 1855, the labours of which resulted</w:t></w:r>
</w:p>
<w:p>
<w:pPr><w:pStyle w:val="Normal"/></w:pPr>
<w:r><w:t xml:space="preserve">in 1860 in the Adulteration of Food and Drink Act, the first</w:t></w:r>
</w:p>
<w:p>
<w:pPr><w:pStyle w:val="Normal"/></w:pPr>
<w:r><w:t xml:space="preserve">act that dealt generally with the adulteration of food.  The</w:t></w:r>
</w:p>
<w:p>
<w:pPr><w:pStyle w:val="Normal"/></w:pPr>
<w:r><w:t xml:space="preserve">first section of this enacted ``that every person who shall</w:t></w:r>
</w:p>
<w:p>
<w:pPr><w:pStyle w:val="Normal"/></w:pPr>
<w:r><w:t xml:space="preserve">sell any article of food or drink with which, to the knowledge</w:t></w:r>
</w:p>
<w:p>
<w:pPr><w:pStyle w:val="Normal"/></w:pPr>
<w:r><w:t xml:space="preserve">of such person, any ingredient or material injurious to the</w:t></w:r>
</w:p>
<w:p>
<w:pPr><w:pStyle w:val="Normal"/></w:pPr>
<w:r><w:t xml:space="preserve">health of persons eating or drinking such article has been</w:t></w:r>
</w:p>
<w:p>
<w:pPr><w:pStyle w:val="Normal"/></w:pPr>
<w:r><w:t xml:space="preserve">mixed, and every person who shall sell as pure or unadulterated</w:t></w:r>
</w:p>
<w:p>
<w:pPr><w:pStyle w:val="Normal"/></w:pPr>
<w:r><w:t xml:space="preserve">any article of food or drink which is adulterated and not</w:t></w:r>
</w:p>
<w:p>
<w:pPr><w:pStyle w:val="Normal"/></w:pPr>
<w:r><w:t xml:space="preserve">pure, shall for every such offence, on summary conviction,</w:t></w:r>
</w:p>
<w:p>
<w:pPr><w:pStyle w:val="Normal"/></w:pPr>
<w:r><w:t xml:space="preserve">pay a penalty not exceeding L. 5 with costs.&apos;&apos; In the case of</w:t></w:r>
</w:p>
<w:p>
<w:pPr><w:pStyle w:val="Normal"/></w:pPr>
<w:r><w:t xml:space="preserve">a second offence the name, place of abode and offence might</w:t></w:r>
</w:p>
<w:p>
<w:pPr><w:pStyle w:val="Normal"/></w:pPr>
<w:r><w:t xml:space="preserve">be published in the newspapers at the offender&apos;s expense.</w:t></w:r>
</w:p>
<w:p>
<w:pPr><w:pStyle w:val="Normal"/></w:pPr>
<w:r><w:t xml:space="preserve">1872.</w:t></w:r>
</w:p>
<w:p>
<w:pPr><w:pStyle w:val="Normal"/></w:pPr>
<w:r><w:t xml:space="preserve">As the act, however, left it optional to the district authorities</w:t></w:r>
</w:p>
<w:p>
<w:pPr><w:pStyle w:val="Normal"/></w:pPr>
<w:r><w:t xml:space="preserve">to appoint analysts or not, and did not provide for the</w:t></w:r>
</w:p>
<w:p>
<w:pPr><w:pStyle w:val="Normal"/></w:pPr>
<w:r><w:t xml:space="preserve">appointment of any officer upon whom should rest the duty of</w:t></w:r>
</w:p>
<w:p>
<w:pPr><w:pStyle w:val="Normal"/></w:pPr>
<w:r><w:t xml:space="preserve">obtaining samples or of prosecuting offenders, it virtually</w:t></w:r>
</w:p>
<w:p>
<w:pPr><w:pStyle w:val="Normal"/></w:pPr>
<w:r><w:t xml:space="preserve">remained a dead letter till 1872, when the Adulteration of</w:t></w:r>
</w:p>
<w:p>
<w:pPr><w:pStyle w:val="Normal"/></w:pPr>
<w:r><w:t xml:space="preserve">Food and Drugs Act came into force, prescribing a penalty</w:t></w:r>
</w:p>
<w:p>
<w:pPr><w:pStyle w:val="Normal"/></w:pPr>
<w:r><w:t xml:space="preserve">not exceeding L. 50 for the sale of injurious food and, for a</w:t></w:r>
</w:p>
<w:p>
<w:pPr><w:pStyle w:val="Normal"/></w:pPr>
<w:r><w:t xml:space="preserve">second offence, imprisonment for six months with hard labour.</w:t></w:r>
</w:p>
<w:p>
<w:pPr><w:pStyle w:val="Normal"/></w:pPr>
<w:r><w:t xml:space="preserve">Inspectors were empowered to make purchases of samples to be</w:t></w:r>
</w:p>
<w:p>
<w:pPr><w:pStyle w:val="Normal"/></w:pPr>
<w:r><w:t xml:space="preserve">submitted for analysis, but appointment of analysts was still left</w:t></w:r>
</w:p>
<w:p>
<w:pPr><w:pStyle w:val="Normal"/></w:pPr>
<w:r><w:t xml:space="preserve">optional.  The definition of an adulterated article given in</w:t></w:r>
</w:p>
<w:p>
<w:pPr><w:pStyle w:val="Normal"/></w:pPr>
<w:r><w:t xml:space="preserve">that act was essentially that still accepted at the present</w:t></w:r>
</w:p>
<w:p>
<w:pPr><w:pStyle w:val="Normal"/></w:pPr>
<w:r><w:t xml:space="preserve">time, namely, ``any article of food or drink or any drug mixed</w:t></w:r>
</w:p>
<w:p>
<w:pPr><w:pStyle w:val="Normal"/></w:pPr>
<w:r><w:t xml:space="preserve">with any other substances, with intent fraudulently to increase</w:t></w:r>
</w:p>
<w:p>
<w:pPr><w:pStyle w:val="Normal"/></w:pPr>
<w:r><w:t xml:space="preserve">its weight or bulk, without declaration of such admixture</w:t></w:r>
</w:p>
<w:p>
<w:pPr><w:pStyle w:val="Normal"/></w:pPr>
<w:r><w:t xml:space="preserve">to any purchaser thereof before delivering the same.&apos;&apos; The</w:t></w:r>
</w:p>
<w:p>
<w:pPr><w:pStyle w:val="Normal"/></w:pPr>
<w:r><w:t xml:space="preserve">adoption of the act was sporadic, and, outside London and a</w:t></w:r>
</w:p>
<w:p>
<w:pPr><w:pStyle w:val="Normal"/></w:pPr>
<w:r><w:t xml:space="preserve">few large towns, the number of proceedings against offenders</w:t></w:r>
</w:p>
<w:p>
<w:pPr><w:pStyle w:val="Normal"/></w:pPr>
<w:r><w:t xml:space="preserve">remained exceedingly small.  Nevertheless complaints soon</w:t></w:r>
</w:p>
<w:p>
<w:pPr><w:pStyle w:val="Normal"/></w:pPr>
<w:r><w:t xml:space="preserve">arose that it inflicted considerable injury and imposed heavy</w:t></w:r>
</w:p>
<w:p>
<w:pPr><w:pStyle w:val="Normal"/></w:pPr>
<w:r><w:t xml:space="preserve">and undeserved penalties upon some respectable tradesmen,</w:t></w:r>
</w:p>
<w:p>
<w:pPr><w:pStyle w:val="Normal"/></w:pPr>
<w:r><w:t xml:space="preserve">mainly owing to the ``want of a clear understanding of what</w:t></w:r>
</w:p>
<w:p>
<w:pPr><w:pStyle w:val="Normal"/></w:pPr>
<w:r><w:t xml:space="preserve">does and does not constitute adulteration,&apos;&apos; and in some cases</w:t></w:r>
</w:p>
<w:p>
<w:pPr><w:pStyle w:val="Normal"/></w:pPr>
<w:r><w:t xml:space="preserve">to conflicting decisions and the inexperience of analysts.</w:t></w:r>
</w:p>
<w:p>
<w:pPr><w:pStyle w:val="Normal"/></w:pPr>
<w:r><w:t xml:space="preserve">Again a parliamentary committee was appointed which took a</w:t></w:r>
</w:p>
<w:p>
<w:pPr><w:pStyle w:val="Normal"/></w:pPr>
<w:r><w:t xml:space="preserve">mass of evidence, the outcome of its inquiries being the Sale</w:t></w:r>
</w:p>
<w:p>
<w:pPr><w:pStyle w:val="Normal"/></w:pPr>
<w:r><w:t xml:space="preserve">Of Food and Drugs Act 1875, which is in force at the present</w:t></w:r>
</w:p>
<w:p>
<w:pPr><w:pStyle w:val="Normal"/></w:pPr>
<w:r><w:t xml:space="preserve">day, subject to amendments and additions made at later</w:t></w:r>
</w:p>
<w:p>
<w:pPr><w:pStyle w:val="Normal"/></w:pPr>
<w:r><w:t xml:space="preserve">dates.  This act avoided the term ``adulteration&apos;&apos; altogether</w:t></w:r>
</w:p>
<w:p>
<w:pPr><w:pStyle w:val="Normal"/></w:pPr>
<w:r><w:t xml:space="preserve">and endeavoured to give a clearer description of punishable</w:t></w:r>
</w:p>
<w:p>
<w:pPr><w:pStyle w:val="Normal"/></w:pPr>
<w:r><w:t xml:space="preserve">offences:--Section 6. ``No person shall sell to the purchaser</w:t></w:r>
</w:p>
<w:p>
<w:pPr><w:pStyle w:val="Normal"/></w:pPr>
<w:r><w:t xml:space="preserve">any article of food or any drug which is not of the nature,</w:t></w:r>
</w:p>
<w:p>
<w:pPr><w:pStyle w:val="Normal"/></w:pPr>
<w:r><w:t xml:space="preserve">substance and quality of the article demanded by the purchaser</w:t></w:r>
</w:p>
<w:p>
<w:pPr><w:pStyle w:val="Normal"/></w:pPr>
<w:r><w:t xml:space="preserve">under a penalty not exceeding L. 20; provided that an offence</w:t></w:r>
</w:p>
<w:p>
<w:pPr><w:pStyle w:val="Normal"/></w:pPr>
<w:r><w:t xml:space="preserve">shall not be deemed to be committed under this section in</w:t></w:r>
</w:p>
<w:p>
<w:pPr><w:pStyle w:val="Normal"/></w:pPr>
<w:r><w:t xml:space="preserve">the following cases: (1) where any matter or ingredient not</w:t></w:r>
</w:p>
<w:p>
<w:pPr><w:pStyle w:val="Normal"/></w:pPr>
<w:r><w:t xml:space="preserve">injurious to health has been added to the food or drug because</w:t></w:r>
</w:p>
<w:p>
<w:pPr><w:pStyle w:val="Normal"/></w:pPr>
<w:r><w:t xml:space="preserve">the same is required for the production or preparation thereof</w:t></w:r>
</w:p>
<w:p>
<w:pPr><w:pStyle w:val="Normal"/></w:pPr>
<w:r><w:t xml:space="preserve">as an article of commerce, in a state fit for carriage or</w:t></w:r>
</w:p>
<w:p>
<w:pPr><w:pStyle w:val="Normal"/></w:pPr>
<w:r><w:t xml:space="preserve">consumption, and not fraudulently to increase the bulk, weight</w:t></w:r>
</w:p>
<w:p>
<w:pPr><w:pStyle w:val="Normal"/></w:pPr>
<w:r><w:t xml:space="preserve">or measure of the food or drug, or conceal the inferior quality</w:t></w:r>
</w:p>
<w:p>
<w:pPr><w:pStyle w:val="Normal"/></w:pPr>
<w:r><w:t xml:space="preserve">thereof; (2) where the food or drug is a proprietary medicine,</w:t></w:r>
</w:p>
<w:p>
<w:pPr><w:pStyle w:val="Normal"/></w:pPr>
<w:r><w:t xml:space="preserve">or is the subject of a patent in force and is supplied in</w:t></w:r>
</w:p>
<w:p>
<w:pPr><w:pStyle w:val="Normal"/></w:pPr>
<w:r><w:t xml:space="preserve">the state required by the specification of the patent; (3)</w:t></w:r>
</w:p>
<w:p>
<w:pPr><w:pStyle w:val="Normal"/></w:pPr>
<w:r><w:t xml:space="preserve">where the food or drug is compounded as in the act mentioned;</w:t></w:r>
</w:p>
<w:p>
<w:pPr><w:pStyle w:val="Normal"/></w:pPr>
<w:r><w:t xml:space="preserve">(4) where the food or drug is unavoidably mixed with some</w:t></w:r>
</w:p>
<w:p>
<w:pPr><w:pStyle w:val="Normal"/></w:pPr>
<w:r><w:t xml:space="preserve">extraneous matter in the process of collection or preparation.&apos;&apos;</w:t></w:r>
</w:p>
<w:p>
<w:pPr><w:pStyle w:val="Normal"/></w:pPr>
<w:r><w:t xml:space="preserve">Section 8. ``No person shall be guilty of any such offence</w:t></w:r>
</w:p>
<w:p>
<w:pPr><w:pStyle w:val="Normal"/></w:pPr>
<w:r><w:t xml:space="preserve">as aforesaid in respect to the sale of an article of food</w:t></w:r>
</w:p>
<w:p>
<w:pPr><w:pStyle w:val="Normal"/></w:pPr>
<w:r><w:t xml:space="preserve">or a drug mixed with any matter or ingredient not injurious</w:t></w:r>
</w:p>
<w:p>
<w:pPr><w:pStyle w:val="Normal"/></w:pPr>
<w:r><w:t xml:space="preserve">to health, and not intended fraudulently to increase its</w:t></w:r>
</w:p>
<w:p>
<w:pPr><w:pStyle w:val="Normal"/></w:pPr>
<w:r><w:t xml:space="preserve">bulk, weight or measure, or conceal its inferior quality,</w:t></w:r>
</w:p>
<w:p>
<w:pPr><w:pStyle w:val="Normal"/></w:pPr>
<w:r><w:t xml:space="preserve">if at the time of delivering such article or drug he shall</w:t></w:r>
</w:p>
<w:p>
<w:pPr><w:pStyle w:val="Normal"/></w:pPr>
<w:r><w:t xml:space="preserve">supply to the person receiving the same a notice, by a label</w:t></w:r>
</w:p>
<w:p>
<w:pPr><w:pStyle w:val="Normal"/></w:pPr>
<w:r><w:t xml:space="preserve">distinctly and legibly written or printed on or with the</w:t></w:r>
</w:p>
<w:p>
<w:pPr><w:pStyle w:val="Normal"/></w:pPr>
<w:r><w:t xml:space="preserve">article or drug, to the effect that the same is mixed.&apos;&apos;</w:t></w:r>
</w:p>
<w:p>
<w:pPr><w:pStyle w:val="Normal"/></w:pPr>
<w:r><w:t xml:space="preserve">The act made the appointment of analysts compulsory upon</w:t></w:r>
</w:p>
<w:p>
<w:pPr><w:pStyle w:val="Normal"/></w:pPr>
<w:r><w:t xml:space="preserve">the city of London, the vestries, county quarter sessions</w:t></w:r>
</w:p>
<w:p>
<w:pPr><w:pStyle w:val="Normal"/></w:pPr>
<w:r><w:t xml:space="preserve">and town councils or boroughs having a separate police</w:t></w:r>
</w:p>
<w:p>
<w:pPr><w:pStyle w:val="Normal"/></w:pPr>
<w:r><w:t xml:space="preserve">establishment.  For the protection of the vendor, samples that</w:t></w:r>
</w:p>
<w:p>
<w:pPr><w:pStyle w:val="Normal"/></w:pPr>
<w:r><w:t xml:space="preserve">had been purchased by the inspectors for analysis were to be</w:t></w:r>
</w:p>
<w:p>
<w:pPr><w:pStyle w:val="Normal"/></w:pPr>
<w:r><w:t xml:space="preserve">offered to be divided into three parts, one to be submitted</w:t></w:r>
</w:p>
<w:p>
<w:pPr><w:pStyle w:val="Normal"/></w:pPr>
<w:r><w:t xml:space="preserve">to the analyst, the second to be given to the vendor to be</w:t></w:r>
</w:p>
<w:p>
<w:pPr><w:pStyle w:val="Normal"/></w:pPr>
<w:r><w:t xml:space="preserve">dealt with by him as he might deem fit, and the third to</w:t></w:r>
</w:p>
<w:p>
<w:pPr><w:pStyle w:val="Normal"/></w:pPr>
<w:r><w:t xml:space="preserve">be retained by the inspector: and, at the discretion of the</w:t></w:r>
</w:p>
<w:p>
<w:pPr><w:pStyle w:val="Normal"/></w:pPr>
<w:r><w:t xml:space="preserve">magistrate hearing any summons, to be submitted, in case of</w:t></w:r>
</w:p>
<w:p>
<w:pPr><w:pStyle w:val="Normal"/></w:pPr>
<w:r><w:t xml:space="preserve">dispute, to the commissioners of inland revenue for analysis</w:t></w:r>
</w:p>
<w:p>
<w:pPr><w:pStyle w:val="Normal"/></w:pPr>
<w:r><w:t xml:space="preserve">by the chemical laboratory at Somerset House.  The public</w:t></w:r>
</w:p>
<w:p>
<w:pPr><w:pStyle w:val="Normal"/></w:pPr>
<w:r><w:t xml:space="preserve">analyst had to give a certificate, couched in a prescribed</w:t></w:r>
</w:p>
<w:p>
<w:pPr><w:pStyle w:val="Normal"/></w:pPr>
<w:r><w:t xml:space="preserve">form, to the person submitting any sample for analysis, which</w:t></w:r>
</w:p>
<w:p>
<w:pPr><w:pStyle w:val="Normal"/></w:pPr>
<w:r><w:t xml:space="preserve">certificate was to be taken as evidence of the facts therein</w:t></w:r>
</w:p>
<w:p>
<w:pPr><w:pStyle w:val="Normal"/></w:pPr>
<w:r><w:t xml:space="preserve">stated, in order to render the proceedings as inexpensive as</w:t></w:r>
</w:p>
<w:p>
<w:pPr><w:pStyle w:val="Normal"/></w:pPr>
<w:r><w:t xml:space="preserve">practicable.  If the defendant in any prosecution could prove</w:t></w:r>
</w:p>
<w:p>
<w:pPr><w:pStyle w:val="Normal"/></w:pPr>
<w:r><w:t xml:space="preserve">to the satisfaction of the court that he had purchased the</w:t></w:r>
</w:p>
<w:p>
<w:pPr><w:pStyle w:val="Normal"/></w:pPr>
<w:r><w:t xml:space="preserve">article under a warranty of genuineness, and that he sold it in</w:t></w:r>
</w:p>
<w:p>
<w:pPr><w:pStyle w:val="Normal"/></w:pPr>
<w:r><w:t xml:space="preserve">the same state as when he purchased it, he was to be discharged</w:t></w:r>
</w:p>
<w:p>
<w:pPr><w:pStyle w:val="Normal"/></w:pPr>
<w:r><w:t xml:space="preserve">from the prosecution, but no provision was made that in that</w:t></w:r>
</w:p>
<w:p>
<w:pPr><w:pStyle w:val="Normal"/></w:pPr>
<w:r><w:t xml:space="preserve">event the giver of the warranty should be proceeded against.</w:t></w:r>
</w:p>
<w:p>
<w:pPr><w:pStyle w:val="Normal"/></w:pPr>
<w:r><w:t xml:space="preserve">1879.</w:t></w:r>
</w:p>
<w:p>
<w:pPr><w:pStyle w:val="Normal"/></w:pPr>
<w:r><w:t xml:space="preserve">Section 6, quoted above, gave rise to an immense amount of</w:t></w:r>
</w:p>
<w:p>
<w:pPr><w:pStyle w:val="Normal"/></w:pPr>
<w:r><w:t xml:space="preserve">litigation, and already in 1879 it was found necessary to</w:t></w:r>
</w:p>
<w:p>
<w:pPr><w:pStyle w:val="Normal"/></w:pPr>
<w:r><w:t xml:space="preserve">pass an amending act, making it clear that if a purchase was</w:t></w:r>
</w:p>
<w:p>
<w:pPr><w:pStyle w:val="Normal"/></w:pPr>
<w:r><w:t xml:space="preserve">effected by an inspector with the intent to get the&apos; purchased</w:t></w:r>
</w:p>
<w:p>
<w:pPr><w:pStyle w:val="Normal"/></w:pPr>
<w:r><w:t xml:space="preserve">article analysed, he was as much ``prejudiced&apos;&apos; if obtaining</w:t></w:r>
</w:p>
<w:p>
<w:pPr><w:pStyle w:val="Normal"/></w:pPr>
<w:r><w:t xml:space="preserve">a sophisticated article as a private purchaser who purchased</w:t></w:r>
</w:p>
<w:p>
<w:pPr><w:pStyle w:val="Normal"/></w:pPr>
<w:r><w:t xml:space="preserve">for his own use and consumption.  The amending act also dealt</w:t></w:r>
</w:p>
<w:p>
<w:pPr><w:pStyle w:val="Normal"/></w:pPr>
<w:r><w:t xml:space="preserve">in some small measure with a difficulty which immediately</w:t></w:r>
</w:p>
<w:p>
<w:pPr><w:pStyle w:val="Normal"/></w:pPr>
<w:r><w:t xml:space="preserve">after passing the act was found to arise in ascertaining</w:t></w:r>
</w:p>
<w:p>
<w:pPr><w:pStyle w:val="Normal"/></w:pPr>
<w:r><w:t xml:space="preserve">whether any article was ``of the nature, substance and quality</w:t></w:r>
</w:p>
<w:p>
<w:pPr><w:pStyle w:val="Normal"/></w:pPr>
<w:r><w:t xml:space="preserve">demanded by the purchaser&apos;&apos;---``in determining whether an</w:t></w:r>
</w:p>
<w:p>
<w:pPr><w:pStyle w:val="Normal"/></w:pPr>
<w:r><w:t xml:space="preserve">offence has been committed under section 6 by selling spirits</w:t></w:r>
</w:p>
<w:p>
<w:pPr><w:pStyle w:val="Normal"/></w:pPr>
<w:r><w:t xml:space="preserve">not adulterated otherwise than by the admixture of water,</w:t></w:r>
</w:p>
<w:p>
<w:pPr><w:pStyle w:val="Normal"/></w:pPr>
<w:r><w:t xml:space="preserve">it shall be a good defence to prove that such admixture has</w:t></w:r>
</w:p>
<w:p>
<w:pPr><w:pStyle w:val="Normal"/></w:pPr>
<w:r><w:t xml:space="preserve">not reduced the spirit more than twenty-five degrees under</w:t></w:r>
</w:p>
<w:p>
<w:pPr><w:pStyle w:val="Normal"/></w:pPr>
<w:r><w:t xml:space="preserve">proof for brandy, whisky or rum, or thirty-five under proof</w:t></w:r>
</w:p>
<w:p>
<w:pPr><w:pStyle w:val="Normal"/></w:pPr>
<w:r><w:t xml:space="preserve">for gin.&apos;&apos; Almost insuperable difficulties as to the meaning</w:t></w:r>
</w:p>
<w:p>
<w:pPr><w:pStyle w:val="Normal"/></w:pPr>
<w:r><w:t xml:space="preserve">of ``nature, substance and quality&apos;&apos; subsequently arose as</w:t></w:r>
</w:p>
<w:p>
<w:pPr><w:pStyle w:val="Normal"/></w:pPr>
<w:r><w:t xml:space="preserve">regards every conceivable food material. its it was obviously</w:t></w:r>
</w:p>
<w:p>
<w:pPr><w:pStyle w:val="Normal"/></w:pPr>
<w:r><w:t xml:space="preserve">impossible for parliament to define every article, to lay down</w:t></w:r>
</w:p>
<w:p>
<w:pPr><w:pStyle w:val="Normal"/></w:pPr>
<w:r><w:t xml:space="preserve">limits of composition within which it might vary, to specify</w:t></w:r>
</w:p>
<w:p>
<w:pPr><w:pStyle w:val="Normal"/></w:pPr>
<w:r><w:t xml:space="preserve">the substances or ingredients that might enter into it, to</w:t></w:r>
</w:p>
<w:p>
<w:pPr><w:pStyle w:val="Normal"/></w:pPr>
<w:r><w:t xml:space="preserve">limit the proportions of the unavoidable impurities that might</w:t></w:r>
</w:p>
<w:p>
<w:pPr><w:pStyle w:val="Normal"/></w:pPr>
<w:r><w:t xml:space="preserve">be contained in it, the duty to do all this was left to the</w:t></w:r>
</w:p>
<w:p>
<w:pPr><w:pStyle w:val="Normal"/></w:pPr>
<w:r><w:t xml:space="preserve">individual analysts.  An enormous number of substances had</w:t></w:r>
</w:p>
<w:p>
<w:pPr><w:pStyle w:val="Normal"/></w:pPr>
<w:r><w:t xml:space="preserve">to be analysed until sufficient evidence had been accumulated</w:t></w:r>
</w:p>
<w:p>
<w:pPr><w:pStyle w:val="Normal"/></w:pPr>
<w:r><w:t xml:space="preserve">for the giving of correct opinions or certificates.  Endless</w:t></w:r>
</w:p>
<w:p>
<w:pPr><w:pStyle w:val="Normal"/></w:pPr>
<w:r><w:t xml:space="preserve">disputes unavoidably arose, friction with manufacturers and</w:t></w:r>
</w:p>
<w:p>
<w:pPr><w:pStyle w:val="Normal"/></w:pPr>
<w:r><w:t xml:space="preserve">traders, unfortunately also with the referees at the inland</w:t></w:r>
</w:p>
<w:p>
<w:pPr><w:pStyle w:val="Normal"/></w:pPr>
<w:r><w:t xml:space="preserve">revenue, who for many years were altogether out of touch with the</w:t></w:r>
</w:p>
<w:p>
<w:pPr><w:pStyle w:val="Normal"/></w:pPr>
<w:r><w:t xml:space="preserve">analysts.  Conflicting decisions come to by various benches</w:t></w:r>
</w:p>
<w:p>
<w:pPr><w:pStyle w:val="Normal"/></w:pPr>
<w:r><w:t xml:space="preserve">of magistrates upon similar cases, allowing of the legal</w:t></w:r>
</w:p>
<w:p>
<w:pPr><w:pStyle w:val="Normal"/></w:pPr>
<w:r><w:t xml:space="preserve">sale of an article in one district which in another had been</w:t></w:r>
</w:p>
<w:p>
<w:pPr><w:pStyle w:val="Normal"/></w:pPr>
<w:r><w:t xml:space="preserve">declared illegal, rendered the position of merchants often</w:t></w:r>
</w:p>
<w:p>
<w:pPr><w:pStyle w:val="Normal"/></w:pPr>
<w:r><w:t xml:space="preserve">unsatisfactory.  It was not recognized by parliament until almost</w:t></w:r>
</w:p>
<w:p>
<w:pPr><w:pStyle w:val="Normal"/></w:pPr>
<w:r><w:t xml:space="preserve">a quarter of a century had elapsed that it was not enough to</w:t></w:r>
</w:p>
<w:p>
<w:pPr><w:pStyle w:val="Normal"/></w:pPr>
<w:r><w:t xml:space="preserve">compel local authorities to get samples analysed, but that it</w:t></w:r>
</w:p>
<w:p>
<w:pPr><w:pStyle w:val="Normal"/></w:pPr>
<w:r><w:t xml:space="preserve">was also the duty of parliament to lay down specific and clear</w:t></w:r>
</w:p>
<w:p>
<w:pPr><w:pStyle w:val="Normal"/></w:pPr>
<w:r><w:t xml:space="preserve">instructions that might enable the officers to do their work.</w:t></w:r>
</w:p>
<w:p>
<w:pPr><w:pStyle w:val="Normal"/></w:pPr>
<w:r><w:t xml:space="preserve">This has only been very partially done even at the present time.</w:t></w:r>
</w:p>
<w:p>
<w:pPr><w:pStyle w:val="Normal"/></w:pPr>
<w:r><w:t xml:space="preserve">Difficulties of administration.</w:t></w:r>
</w:p>
<w:p>
<w:pPr><w:pStyle w:val="Normal"/></w:pPr>
<w:r><w:t xml:space="preserve">A curious condition of things arose out of the definition</w:t></w:r>
</w:p>
<w:p>
<w:pPr><w:pStyle w:val="Normal"/></w:pPr>
<w:r><w:t xml:space="preserve">of ``food&apos;&apos; given in the act of 1875: ``The term food shall</w:t></w:r>
</w:p>
<w:p>
<w:pPr><w:pStyle w:val="Normal"/></w:pPr>
<w:r><w:t xml:space="preserve">include every article used for food or drink by man, other</w:t></w:r>
</w:p>
<w:p>
<w:pPr><w:pStyle w:val="Normal"/></w:pPr>
<w:r><w:t xml:space="preserve">than drugs or water.&apos;&apos; It had been the practice of bakers to</w:t></w:r>
</w:p>
<w:p>
<w:pPr><w:pStyle w:val="Normal"/></w:pPr>
<w:r><w:t xml:space="preserve">add alum to the flour from which bread was manufactured, in</w:t></w:r>
</w:p>
<w:p>
<w:pPr><w:pStyle w:val="Normal"/></w:pPr>
<w:r><w:t xml:space="preserve">order to whiten the bread, and to permit the use of damaged</w:t></w:r>
</w:p>
<w:p>
<w:pPr><w:pStyle w:val="Normal"/></w:pPr>
<w:r><w:t xml:space="preserve">and discoloured flour.  This practice had been strongly</w:t></w:r>
</w:p>
<w:p>
<w:pPr><w:pStyle w:val="Normal"/></w:pPr>
<w:r><w:t xml:space="preserve">condemned by chemists and physicians, because it rendered the</w:t></w:r>
</w:p>
<w:p>
<w:pPr><w:pStyle w:val="Normal"/></w:pPr>
<w:r><w:t xml:space="preserve">bread indigestible and injurious to health.  Shortly after</w:t></w:r>
</w:p>
<w:p>
<w:pPr><w:pStyle w:val="Normal"/></w:pPr>
<w:r><w:t xml:space="preserve">the passing of the Food Act this objectionable practice was</w:t></w:r>
</w:p>
<w:p>
<w:pPr><w:pStyle w:val="Normal"/></w:pPr>
<w:r><w:t xml:space="preserve">stamped out by numerous prosecutions, and alumed bread now</w:t></w:r>
</w:p>
<w:p>
<w:pPr><w:pStyle w:val="Normal"/></w:pPr>
<w:r><w:t xml:space="preserve">no longer occurs.  A large trade, however, continued to be</w:t></w:r>
</w:p>
<w:p>
<w:pPr><w:pStyle w:val="Normal"/></w:pPr>
<w:r><w:t xml:space="preserve">carried on in baking powders consisting of alum and sodium</w:t></w:r>
</w:p>
<w:p>
<w:pPr><w:pStyle w:val="Normal"/></w:pPr>
<w:r><w:t xml:space="preserve">bicarbonate.  It was naturally thought that, as baking powder</w:t></w:r>
</w:p>
<w:p>
<w:pPr><w:pStyle w:val="Normal"/></w:pPr>
<w:r><w:t xml:space="preserve">is sold with the obvious intention that it may enter into</w:t></w:r>
</w:p>
<w:p>
<w:pPr><w:pStyle w:val="Normal"/></w:pPr>
<w:r><w:t xml:space="preserve">food, the vendors could also be proceeded against.  The high</w:t></w:r>
</w:p>
<w:p>
<w:pPr><w:pStyle w:val="Normal"/></w:pPr>
<w:r><w:t xml:space="preserve">court, however, held that, baking powder in itself not being</w:t></w:r>
</w:p>
<w:p>
<w:pPr><w:pStyle w:val="Normal"/></w:pPr>
<w:r><w:t xml:space="preserve">an article of food, its sale could not be an offence under</w:t></w:r>
</w:p>
<w:p>
<w:pPr><w:pStyle w:val="Normal"/></w:pPr>
<w:r><w:t xml:space="preserve">the Food Act. This anomaly was removed by a later act.  Under</w:t></w:r>
</w:p>
<w:p>
<w:pPr><w:pStyle w:val="Normal"/></w:pPr>
<w:r><w:t xml:space="preserve">section 6 of the act of 1875 a defendant could be convicted,</w:t></w:r>
</w:p>
<w:p>
<w:pPr><w:pStyle w:val="Normal"/></w:pPr>
<w:r><w:t xml:space="preserve">even if he had no guilty knowledge of the fact that the article</w:t></w:r>
</w:p>
<w:p>
<w:pPr><w:pStyle w:val="Normal"/></w:pPr>
<w:r><w:t xml:space="preserve">he had sold was adulterated.  In the repealed Adulteration</w:t></w:r>
</w:p>
<w:p>
<w:pPr><w:pStyle w:val="Normal"/></w:pPr>
<w:r><w:t xml:space="preserve">Act of 1872 the words ``to the knowledge of&apos;&apos; were inserted,</w:t></w:r>
</w:p>
<w:p>
<w:pPr><w:pStyle w:val="Normal"/></w:pPr>
<w:r><w:t xml:space="preserve">and they were found fatal to obtaining convictions.  The</w:t></w:r>
</w:p>
<w:p>
<w:pPr><w:pStyle w:val="Normal"/></w:pPr>
<w:r><w:t xml:space="preserve">general rule of the law is that the master is not criminally</w:t></w:r>
</w:p>
<w:p>
<w:pPr><w:pStyle w:val="Normal"/></w:pPr>
<w:r><w:t xml:space="preserve">responsible for the acts of his servants if they are done</w:t></w:r>
</w:p>
<w:p>
<w:pPr><w:pStyle w:val="Normal"/></w:pPr>
<w:r><w:t xml:space="preserve">without his knowledge or authority, but under the Food Act it</w:t></w:r>
</w:p>
<w:p>
<w:pPr><w:pStyle w:val="Normal"/></w:pPr>
<w:r><w:t xml:space="preserve">was held (Brown v. Foot, 1892, 66 L.T. 649) that a master</w:t></w:r>
</w:p>
<w:p>
<w:pPr><w:pStyle w:val="Normal"/></w:pPr>
<w:r><w:t xml:space="preserve">was liable for the watering of milk by one of his servants,</w:t></w:r>
</w:p>
<w:p>
<w:pPr><w:pStyle w:val="Normal"/></w:pPr>
<w:r><w:t xml:space="preserve">although he had published a warning to them that they would</w:t></w:r>
</w:p>
<w:p>
<w:pPr><w:pStyle w:val="Normal"/></w:pPr>
<w:r><w:t xml:space="preserve">be dismissed if found doing so.  Milk might be adulterated</w:t></w:r>
</w:p>
<w:p>
<w:pPr><w:pStyle w:val="Normal"/></w:pPr>
<w:r><w:t xml:space="preserve">during transit on the railway without the knowledge of the</w:t></w:r>
</w:p>
<w:p>
<w:pPr><w:pStyle w:val="Normal"/></w:pPr>
<w:r><w:t xml:space="preserve">owner or receiver, and yet the vendor was liable to conviction.</w:t></w:r>
</w:p>
<w:p>
<w:pPr><w:pStyle w:val="Normal"/></w:pPr>
<w:r><w:t xml:space="preserve">When it is brought to the knowledge of a purchaser that</w:t></w:r>
</w:p>
<w:p>
<w:pPr><w:pStyle w:val="Normal"/></w:pPr>
<w:r><w:t xml:space="preserve">the article sold to him is not of the nature, substance or</w:t></w:r>
</w:p>
<w:p>
<w:pPr><w:pStyle w:val="Normal"/></w:pPr>
<w:r><w:t xml:space="preserve">quality he demanded, the sale is not to the prejudice of the</w:t></w:r>
</w:p>
<w:p>
<w:pPr><w:pStyle w:val="Normal"/></w:pPr>
<w:r><w:t xml:space="preserve">purchaser.  The notice may be given verbally or by a label</w:t></w:r>
</w:p>
<w:p>
<w:pPr><w:pStyle w:val="Normal"/></w:pPr>
<w:r><w:t xml:space="preserve">supplied with the article.  A common law notice may also be</w:t></w:r>
</w:p>
<w:p>
<w:pPr><w:pStyle w:val="Normal"/></w:pPr>
<w:r><w:t xml:space="preserve">given.  In Sandys v. Small, 1878, 3 Q.B.D. 449, a publican</w:t></w:r>
</w:p>
<w:p>
<w:pPr><w:pStyle w:val="Normal"/></w:pPr>
<w:r><w:t xml:space="preserve">had displayed a placard within the inn to the effect that</w:t></w:r>
</w:p>
<w:p>
<w:pPr><w:pStyle w:val="Normal"/></w:pPr>
<w:r><w:t xml:space="preserve">the spirits sold in his establishment were watered.  This</w:t></w:r>
</w:p>
<w:p>
<w:pPr><w:pStyle w:val="Normal"/></w:pPr>
<w:r><w:t xml:space="preserve">was held, as it were, to contract him out of the Food Act.</w:t></w:r>
</w:p>
<w:p>
<w:pPr><w:pStyle w:val="Normal"/></w:pPr>
<w:r><w:t xml:space="preserve">Similarly, in the case of butters that had been adulterated</w:t></w:r>
</w:p>
<w:p>
<w:pPr><w:pStyle w:val="Normal"/></w:pPr>
<w:r><w:t xml:space="preserve">with milk, the vendors, by giving a general notice in the</w:t></w:r>
</w:p>
<w:p>
<w:pPr><w:pStyle w:val="Normal"/></w:pPr>
<w:r><w:t xml:space="preserve">shop, evaded punishment under the act.  A notice, is,</w:t></w:r>
</w:p>
<w:p>
<w:pPr><w:pStyle w:val="Normal"/></w:pPr>
<w:r><w:t xml:space="preserve">however, of no avail if given under section 8 of the act,</w:t></w:r>
</w:p>
<w:p>
<w:pPr><w:pStyle w:val="Normal"/></w:pPr>
<w:r><w:t xml:space="preserve">if the admixture has been made for fraudulent purposes.  In</w:t></w:r>
</w:p>
<w:p>
<w:pPr><w:pStyle w:val="Normal"/></w:pPr>
<w:r><w:t xml:space="preserve">Liddiart v. Reece, 44 J.P. 233, 1880, an inspector asked</w:t></w:r>
</w:p>
<w:p>
<w:pPr><w:pStyle w:val="Normal"/></w:pPr>
<w:r><w:t xml:space="preserve">for coffee and received a packet with a label describing it as</w:t></w:r>
</w:p>
<w:p>
<w:pPr><w:pStyle w:val="Normal"/></w:pPr>
<w:r><w:t xml:space="preserve">a mixture of coffee and chicory.  It was sold at the price of</w:t></w:r>
</w:p>
<w:p>
<w:pPr><w:pStyle w:val="Normal"/></w:pPr>
<w:r><w:t xml:space="preserve">coffee.  It turned out to be a mixture containing 40% of</w:t></w:r>
</w:p>
<w:p>
<w:pPr><w:pStyle w:val="Normal"/></w:pPr>
<w:r><w:t xml:space="preserve">chicory.  The high court held that this was an excessive</w:t></w:r>
</w:p>
<w:p>
<w:pPr><w:pStyle w:val="Normal"/></w:pPr>
<w:r><w:t xml:space="preserve">quantity, and was added for the purpose of fraudulently</w:t></w:r>
</w:p>
<w:p>
<w:pPr><w:pStyle w:val="Normal"/></w:pPr>
<w:r><w:t xml:space="preserve">increasing the bulk or weight.  In another case, however</w:t></w:r>
</w:p>
<w:p>
<w:pPr><w:pStyle w:val="Normal"/></w:pPr>
<w:r><w:t xml:space="preserve">(Otter v. Edgley, 1893, 57 J.P. 457), where an inspector</w:t></w:r>
</w:p>
<w:p>
<w:pPr><w:pStyle w:val="Normal"/></w:pPr>
<w:r><w:t xml:space="preserve">had asked for French coffee and had been supplied with a mixture</w:t></w:r>
</w:p>
<w:p>
<w:pPr><w:pStyle w:val="Normal"/></w:pPr>
<w:r><w:t xml:space="preserve">containing 60% of chicory, the article being labelled as a</w:t></w:r>
</w:p>
<w:p>
<w:pPr><w:pStyle w:val="Normal"/></w:pPr>
<w:r><w:t xml:space="preserve">mixture, the high court held that there was no evidence of</w:t></w:r>
</w:p>
<w:p>
<w:pPr><w:pStyle w:val="Normal"/></w:pPr>
<w:r><w:t xml:space="preserve">fraud, and, in the case of cocoa, a mixture containing as</w:t></w:r>
</w:p>
<w:p>
<w:pPr><w:pStyle w:val="Normal"/></w:pPr>
<w:r><w:t xml:space="preserve">little as 30% of cocoa and 70% of starch and sugar, the label</w:t></w:r>
</w:p>
<w:p>
<w:pPr><w:pStyle w:val="Normal"/></w:pPr>
<w:r><w:t xml:space="preserve">stating it to be a mixture, was held to have been legally</w:t></w:r>
</w:p>
<w:p>
<w:pPr><w:pStyle w:val="Normal"/></w:pPr>
<w:r><w:t xml:space="preserve">sold (Jones v. Jones, 1894, 58 J.P. 653).  In this case</w:t></w:r>
</w:p>
<w:p>
<w:pPr><w:pStyle w:val="Normal"/></w:pPr>
<w:r><w:t xml:space="preserve">the label notifying the admixture was hidden by a sheet of</w:t></w:r>
</w:p>
<w:p>
<w:pPr><w:pStyle w:val="Normal"/></w:pPr>
<w:r><w:t xml:space="preserve">opaque white paper, nor had the purchaser&apos;s attention been</w:t></w:r>
</w:p>
<w:p>
<w:pPr><w:pStyle w:val="Normal"/></w:pPr>
<w:r><w:t xml:space="preserve">called to it, but the price of the article was much lower</w:t></w:r>
</w:p>
<w:p>
<w:pPr><w:pStyle w:val="Normal"/></w:pPr>
<w:r><w:t xml:space="preserve">than that of pure cocoa.  It is seen from these few instances,</w:t></w:r>
</w:p>
<w:p>
<w:pPr><w:pStyle w:val="Normal"/></w:pPr>
<w:r><w:t xml:space="preserve">taken at random out of scores, that this clause of the act</w:t></w:r>
</w:p>
<w:p>
<w:pPr><w:pStyle w:val="Normal"/></w:pPr>
<w:r><w:t xml:space="preserve">was far from clear and was very variously interpreted at the</w:t></w:r>
</w:p>
<w:p>
<w:pPr><w:pStyle w:val="Normal"/></w:pPr>
<w:r><w:t xml:space="preserve">courts.  The warranty clause (clause 25) also gave rise to</w:t></w:r>
</w:p>
<w:p>
<w:pPr><w:pStyle w:val="Normal"/></w:pPr>
<w:r><w:t xml:space="preserve">an immense amount of litigation.  In the earlier high court</w:t></w:r>
</w:p>
<w:p>
<w:pPr><w:pStyle w:val="Normal"/></w:pPr>
<w:r><w:t xml:space="preserve">decisions a very narrow interpretation was given to the</w:t></w:r>
</w:p>
<w:p>
<w:pPr><w:pStyle w:val="Normal"/></w:pPr>
<w:r><w:t xml:space="preserve">term ``written warranty,&apos;&apos; but in later years a wider view</w:t></w:r>
</w:p>
<w:p>
<w:pPr><w:pStyle w:val="Normal"/></w:pPr>
<w:r><w:t xml:space="preserve">prevailed.  A general contract to supply a pure article</w:t></w:r>
</w:p>
<w:p>
<w:pPr><w:pStyle w:val="Normal"/></w:pPr>
<w:r><w:t xml:space="preserve">is not a sufficient warranty unless with every delivery</w:t></w:r>
</w:p>
<w:p>
<w:pPr><w:pStyle w:val="Normal"/></w:pPr>
<w:r><w:t xml:space="preserve">there is something to identify the delivery as part of the</w:t></w:r>
</w:p>
<w:p>
<w:pPr><w:pStyle w:val="Normal"/></w:pPr>
<w:r><w:t xml:space="preserve">contract.  An invoice containing merely a description of an</w:t></w:r>
</w:p>
<w:p>
<w:pPr><w:pStyle w:val="Normal"/></w:pPr>
<w:r><w:t xml:space="preserve">article as ``lard&apos;&apos; or ``pepper&apos;&apos; is not a warranty; but if</w:t></w:r>
</w:p>
<w:p>
<w:pPr><w:pStyle w:val="Normal"/></w:pPr>
<w:r><w:t xml:space="preserve">there be added the words ``guaranteed pure&apos;&apos; it is a sufficient</w:t></w:r>
</w:p>
<w:p>
<w:pPr><w:pStyle w:val="Normal"/></w:pPr>
<w:r><w:t xml:space="preserve">warranty.  A label upon an article is not in itself a warranty,</w:t></w:r>
</w:p>
<w:p>
<w:pPr><w:pStyle w:val="Normal"/></w:pPr>
<w:r><w:t xml:space="preserve">but a label bearing the words ``pure&apos;&apos; or ``unadulterated,&apos;&apos;</w:t></w:r>
</w:p>
<w:p>
<w:pPr><w:pStyle w:val="Normal"/></w:pPr>
<w:r><w:t xml:space="preserve">coupled with an invoice which could be identified with the</w:t></w:r>
</w:p>
<w:p>
<w:pPr><w:pStyle w:val="Normal"/></w:pPr>
<w:r><w:t xml:space="preserve">label, together were held to form an effective warranty.</w:t></w:r>
</w:p>
<w:p>
<w:pPr><w:pStyle w:val="Normal"/></w:pPr>
<w:r><w:t xml:space="preserve">As many thousands of samples were annually submitted by</w:t></w:r>
</w:p>
<w:p>
<w:pPr><w:pStyle w:val="Normal"/></w:pPr>
<w:r><w:t xml:space="preserve">inspectors under the act to the analysts who had been</w:t></w:r>
</w:p>
<w:p>
<w:pPr><w:pStyle w:val="Normal"/></w:pPr>
<w:r><w:t xml:space="preserve">appointed in 237 boroughs and districts, a very large number</w:t></w:r>
</w:p>
<w:p>
<w:pPr><w:pStyle w:val="Normal"/></w:pPr>
<w:r><w:t xml:space="preserve">of cases led to disputes of law or fact, about seventy</w:t></w:r>
</w:p>
<w:p>
<w:pPr><w:pStyle w:val="Normal"/></w:pPr>
<w:r><w:t xml:space="preserve">high court cases being decided within eighteen years of</w:t></w:r>
</w:p>
<w:p>
<w:pPr><w:pStyle w:val="Normal"/></w:pPr>
<w:r><w:t xml:space="preserve">the passing of the act.  While these cases related to a</w:t></w:r>
</w:p>
<w:p>
<w:pPr><w:pStyle w:val="Normal"/></w:pPr>
<w:r><w:t xml:space="preserve">variety of different articles and conditions, dairy produce,</w:t></w:r>
</w:p>
<w:p>
<w:pPr><w:pStyle w:val="Normal"/></w:pPr>
<w:r><w:t xml:space="preserve">namely milk and butter, led to the greatest amount of</w:t></w:r>
</w:p>
<w:p>
<w:pPr><w:pStyle w:val="Normal"/></w:pPr>
<w:r><w:t xml:space="preserve">litigation.  It may seem to be a simple matter to ascertain</w:t></w:r>
</w:p>
<w:p>
<w:pPr><w:pStyle w:val="Normal"/></w:pPr>
<w:r><w:t xml:space="preserve">whether a vendor of milk supplies his customer with milk of</w:t></w:r>
</w:p>
<w:p>
<w:pPr><w:pStyle w:val="Normal"/></w:pPr>
<w:r><w:t xml:space="preserve">the ``nature, substance and quality demanded,&apos;&apos; but milk is</w:t></w:r>
</w:p>
<w:p>
<w:pPr><w:pStyle w:val="Normal"/></w:pPr>
<w:r><w:t xml:space="preserve">subject to great variations in composition owing to a large</w:t></w:r>
</w:p>
<w:p>
<w:pPr><w:pStyle w:val="Normal"/></w:pPr>
<w:r><w:t xml:space="preserve">number of circumstances which will be considered below.</w:t></w:r>
</w:p>
<w:p>
<w:pPr><w:pStyle w:val="Normal"/></w:pPr>
<w:r><w:t xml:space="preserve">Margerine Act.</w:t></w:r>
</w:p>
<w:p>
<w:pPr><w:pStyle w:val="Normal"/></w:pPr>
<w:r><w:t xml:space="preserve">Not many years after the passing of the Food Act of 1875 the</w:t></w:r>
</w:p>
<w:p>
<w:pPr><w:pStyle w:val="Normal"/></w:pPr>
<w:r><w:t xml:space="preserve">sale of butter substitutes assumed very large proportions, and</w:t></w:r>
</w:p>
<w:p>
<w:pPr><w:pStyle w:val="Normal"/></w:pPr>
<w:r><w:t xml:space="preserve">so seriously prejudiced dairy-farmers that, as regards these,</w:t></w:r>
</w:p>
<w:p>
<w:pPr><w:pStyle w:val="Normal"/></w:pPr>
<w:r><w:t xml:space="preserve">an act was passed which was not exactly an amendment of the</w:t></w:r>
</w:p>
<w:p>
<w:pPr><w:pStyle w:val="Normal"/></w:pPr>
<w:r><w:t xml:space="preserve">Sale of Food and Drugs Act, although it embodied a good many</w:t></w:r>
</w:p>
<w:p>
<w:pPr><w:pStyle w:val="Normal"/></w:pPr>
<w:r><w:t xml:space="preserve">provisions of that act.  It was called the Margarine Act 1887.</w:t></w:r>
</w:p>
<w:p>
<w:pPr><w:pStyle w:val="Normal"/></w:pPr>
<w:r><w:t xml:space="preserve">It provided that every package of articles made in imitation of</w:t></w:r>
</w:p>
<w:p>
<w:pPr><w:pStyle w:val="Normal"/></w:pPr>
<w:r><w:t xml:space="preserve">butter should be labelled ``margarine&apos;&apos; in letters 1 1/2 inches</w:t></w:r>
</w:p>
<w:p>
<w:pPr><w:pStyle w:val="Normal"/></w:pPr>
<w:r><w:t xml:space="preserve">square.  The vendor, however, was protected if he could show</w:t></w:r>
</w:p>
<w:p>
<w:pPr><w:pStyle w:val="Normal"/></w:pPr>
<w:r><w:t xml:space="preserve">a warranty or invoice, whereas in the Sale of Food and Drugs</w:t></w:r>
</w:p>
<w:p>
<w:pPr><w:pStyle w:val="Normal"/></w:pPr>
<w:r><w:t xml:space="preserve">Act he was not protected by invoice merely.  Inspectors might</w:t></w:r>
</w:p>
<w:p>
<w:pPr><w:pStyle w:val="Normal"/></w:pPr>
<w:r><w:t xml:space="preserve">take samples of ``any butter or substitute purporting to be</w:t></w:r>
</w:p>
<w:p>
<w:pPr><w:pStyle w:val="Normal"/></w:pPr>
<w:r><w:t xml:space="preserve">butter&apos;&apos; without going through the form of purchase.  The</w:t></w:r>
</w:p>
<w:p>
<w:pPr><w:pStyle w:val="Normal"/></w:pPr>
<w:r><w:t xml:space="preserve">maximum penalty was raised from L. 20 as provided by the Food</w:t></w:r>
</w:p>
<w:p>
<w:pPr><w:pStyle w:val="Normal"/></w:pPr>
<w:r><w:t xml:space="preserve">Act, to L. 50 in the case of a first and to L. 100 in the case</w:t></w:r>
</w:p>
<w:p>
<w:pPr><w:pStyle w:val="Normal"/></w:pPr>
<w:r><w:t xml:space="preserve">of repeated conviction.  The Margarine Act is the first statute</w:t></w:r>
</w:p>
<w:p>
<w:pPr><w:pStyle w:val="Normal"/></w:pPr>
<w:r><w:t xml:space="preserve">that makes reference to and sanctions the use of preservatives,</w:t></w:r>
</w:p>
<w:p>
<w:pPr><w:pStyle w:val="Normal"/></w:pPr>
<w:r><w:t xml:space="preserve">concerning which a good deal will have to be said farther on.</w:t></w:r>
</w:p>
<w:p>
<w:pPr><w:pStyle w:val="Normal"/></w:pPr>
<w:r><w:t xml:space="preserve">Select committee, 1894.</w:t></w:r>
</w:p>
<w:p>
<w:pPr><w:pStyle w:val="Normal"/></w:pPr>
<w:r><w:t xml:space="preserve">In the course of twenty years of administration of the Food</w:t></w:r>
</w:p>
<w:p>
<w:pPr><w:pStyle w:val="Normal"/></w:pPr>
<w:r><w:t xml:space="preserve">Acts so many difficulties had arisen in reference to the</w:t></w:r>
</w:p>
<w:p>
<w:pPr><w:pStyle w:val="Normal"/></w:pPr>
<w:r><w:t xml:space="preserve">various points referred to, that in 1894 a select committee</w:t></w:r>
</w:p>
<w:p>
<w:pPr><w:pStyle w:val="Normal"/></w:pPr>
<w:r><w:t xml:space="preserve">was appointed to inquire into the working of the various acts</w:t></w:r>
</w:p>
<w:p>
<w:pPr><w:pStyle w:val="Normal"/></w:pPr>
<w:r><w:t xml:space="preserve">and to report whether any, and if so what, amendments were</w:t></w:r>
</w:p>
<w:p>
<w:pPr><w:pStyle w:val="Normal"/></w:pPr>
<w:r><w:t xml:space="preserve">desirable.  During three sessions the committee sat and</w:t></w:r>
</w:p>
<w:p>
<w:pPr><w:pStyle w:val="Normal"/></w:pPr>
<w:r><w:t xml:space="preserve">took voluminous evidence.  They reported that where the acts</w:t></w:r>
</w:p>
<w:p>
<w:pPr><w:pStyle w:val="Normal"/></w:pPr>
<w:r><w:t xml:space="preserve">had been well administered they had been most beneficial in</w:t></w:r>
</w:p>
<w:p>
<w:pPr><w:pStyle w:val="Normal"/></w:pPr>
<w:r><w:t xml:space="preserve">diminishing adulteration offences.  Forms of adulteration</w:t></w:r>
</w:p>
<w:p>
<w:pPr><w:pStyle w:val="Normal"/></w:pPr>
<w:r><w:t xml:space="preserve">which were common prior to the passing of the 1875 act, such</w:t></w:r>
</w:p>
<w:p>
<w:pPr><w:pStyle w:val="Normal"/></w:pPr>
<w:r><w:t xml:space="preserve">as the introouction of alum into bread and the colouring of</w:t></w:r>
</w:p>
<w:p>
<w:pPr><w:pStyle w:val="Normal"/></w:pPr>
<w:r><w:t xml:space="preserve">confectionery with poisonous material, had almost entirely</w:t></w:r>
</w:p>
<w:p>
<w:pPr><w:pStyle w:val="Normal"/></w:pPr>
<w:r><w:t xml:space="preserve">disappeared.  A close connexion had been shown to exist</w:t></w:r>
</w:p>
<w:p>
<w:pPr><w:pStyle w:val="Normal"/></w:pPr>
<w:r><w:t xml:space="preserve">between the extent of adulteration and the number of articles</w:t></w:r>
</w:p>
<w:p>
<w:pPr><w:pStyle w:val="Normal"/></w:pPr>
<w:r><w:t xml:space="preserve">submitted for analysis under the acts, the proportion of</w:t></w:r>
</w:p>
<w:p>
<w:pPr><w:pStyle w:val="Normal"/></w:pPr>
<w:r><w:t xml:space="preserve">adulterated samples being found to diminish as the number of</w:t></w:r>
</w:p>
<w:p>
<w:pPr><w:pStyle w:val="Normal"/></w:pPr>
<w:r><w:t xml:space="preserve">samples taken relatively to the population increased.  Thus, in</w:t></w:r>
</w:p>
<w:p>
<w:pPr><w:pStyle w:val="Normal"/></w:pPr>
<w:r><w:t xml:space="preserve">1890, in Somersetshire one sample had been analysed for every</w:t></w:r>
</w:p>
<w:p>
<w:pPr><w:pStyle w:val="Normal"/></w:pPr>
<w:r><w:t xml:space="preserve">379 persons, the percentage of adulterated samples in those</w:t></w:r>
</w:p>
<w:p>
<w:pPr><w:pStyle w:val="Normal"/></w:pPr>
<w:r><w:t xml:space="preserve">taken for analysis being as low as 3.6; in Gloucestershire</w:t></w:r>
</w:p>
<w:p>
<w:pPr><w:pStyle w:val="Normal"/></w:pPr>
<w:r><w:t xml:space="preserve">one to 770 persons with 6.2 of adulteration; in Bedfordshire</w:t></w:r>
</w:p>
<w:p>
<w:pPr><w:pStyle w:val="Normal"/></w:pPr>
<w:r><w:t xml:space="preserve">one to 821 with 7.1; in Derbyshire one to 3164 with 17.1%,</w:t></w:r>
</w:p>
<w:p>
<w:pPr><w:pStyle w:val="Normal"/></w:pPr>
<w:r><w:t xml:space="preserve">and in Oxford one sample to 14,963 inhabitants with no less</w:t></w:r>
</w:p>
<w:p>
<w:pPr><w:pStyle w:val="Normal"/></w:pPr>
<w:r><w:t xml:space="preserve">than 41.7% of adulterated samples.  The number of samples</w:t></w:r>
</w:p>
<w:p>
<w:pPr><w:pStyle w:val="Normal"/></w:pPr>
<w:r><w:t xml:space="preserve">of articles annually submitted to analysis, according</w:t></w:r>
</w:p>
<w:p>
<w:pPr><w:pStyle w:val="Normal"/></w:pPr>
<w:r><w:t xml:space="preserve">to the returns obtained by the Local Government Board,</w:t></w:r>
</w:p>
<w:p>
<w:pPr><w:pStyle w:val="Normal"/></w:pPr>
<w:r><w:t xml:space="preserve">steadily increased from the commencement onward.  Whereas</w:t></w:r>
</w:p>
<w:p>
<w:pPr><w:pStyle w:val="Normal"/></w:pPr>
<w:r><w:t xml:space="preserve">in 1877, 14,706 samples, and in 1883, 19,648 samples were</w:t></w:r>
</w:p>
<w:p>
<w:pPr><w:pStyle w:val="Normal"/></w:pPr>
<w:r><w:t xml:space="preserve">analysed, in 1904-1905 the number was no less than 84,678,</w:t></w:r>
</w:p>
<w:p>
<w:pPr><w:pStyle w:val="Normal"/></w:pPr>
<w:r><w:t xml:space="preserve">or an average of one sample to 384 inhabitants for the whole</w:t></w:r>
</w:p>
<w:p>
<w:pPr><w:pStyle w:val="Normal"/></w:pPr>
<w:r><w:t xml:space="preserve">country.  In the five years 1877--1881 the proportion found</w:t></w:r>
</w:p>
<w:p>
<w:pPr><w:pStyle w:val="Normal"/></w:pPr>
<w:r><w:t xml:space="preserve">adulterated was 16.2%; in the following five years ending with</w:t></w:r>
</w:p>
<w:p>
<w:pPr><w:pStyle w:val="Normal"/></w:pPr>
<w:r><w:t xml:space="preserve">1886, the percentage was 13.9; in the five years ending 1891,</w:t></w:r>
</w:p>
<w:p>
<w:pPr><w:pStyle w:val="Normal"/></w:pPr>
<w:r><w:t xml:space="preserve">the percentage was 11.7; and in the year 1904 the percentage</w:t></w:r>
</w:p>
<w:p>
<w:pPr><w:pStyle w:val="Normal"/></w:pPr>
<w:r><w:t xml:space="preserve">was only 8.5. The select committee found that wide local</w:t></w:r>
</w:p>
<w:p>
<w:pPr><w:pStyle w:val="Normal"/></w:pPr>
<w:r><w:t xml:space="preserve">differences in the administration of the acts existed, and</w:t></w:r>
</w:p>
<w:p>
<w:pPr><w:pStyle w:val="Normal"/></w:pPr>
<w:r><w:t xml:space="preserve">that in many parts of the country the local authorities had</w:t></w:r>
</w:p>
<w:p>
<w:pPr><w:pStyle w:val="Normal"/></w:pPr>
<w:r><w:t xml:space="preserve">failed to exercise their powers.  In one metropolitan district,</w:t></w:r>
</w:p>
<w:p>
<w:pPr><w:pStyle w:val="Normal"/></w:pPr>
<w:r><w:t xml:space="preserve">eight members of the local authority had been convicted of</w:t></w:r>
</w:p>
<w:p>
<w:pPr><w:pStyle w:val="Normal"/></w:pPr>
<w:r><w:t xml:space="preserve">offences under the acts, upon evidence obtained by their own</w:t></w:r>
</w:p>
<w:p>
<w:pPr><w:pStyle w:val="Normal"/></w:pPr>
<w:r><w:t xml:space="preserve">inspector.  The result was that the duties of the inspector</w:t></w:r>
</w:p>
<w:p>
<w:pPr><w:pStyle w:val="Normal"/></w:pPr>
<w:r><w:t xml:space="preserve">of the acts were afterwards controlled by a committee of that</w:t></w:r>
</w:p>
<w:p>
<w:pPr><w:pStyle w:val="Normal"/></w:pPr>
<w:r><w:t xml:space="preserve">local authority, who decided the cases in which prosecutions</w:t></w:r>
</w:p>
<w:p>
<w:pPr><w:pStyle w:val="Normal"/></w:pPr>
<w:r><w:t xml:space="preserve">should be.undertaken, and the administration of the acts was</w:t></w:r>
</w:p>
<w:p>
<w:pPr><w:pStyle w:val="Normal"/></w:pPr>
<w:r><w:t xml:space="preserve">``little better than a farce.&apos;&apos; No power existed to compel</w:t></w:r>
</w:p>
<w:p>
<w:pPr><w:pStyle w:val="Normal"/></w:pPr>
<w:r><w:t xml:space="preserve">local authorities to carry out the acts.  The committee came</w:t></w:r>
</w:p>
<w:p>
<w:pPr><w:pStyle w:val="Normal"/></w:pPr>
<w:r><w:t xml:space="preserve">to the conclusion that in many cases the responsibility for the</w:t></w:r>
</w:p>
<w:p>
<w:pPr><w:pStyle w:val="Normal"/></w:pPr>
<w:r><w:t xml:space="preserve">adulteration of articles of food did not rest with the retailer</w:t></w:r>
</w:p>
<w:p>
<w:pPr><w:pStyle w:val="Normal"/></w:pPr>
<w:r><w:t xml:space="preserve">but with the wholesale dealer or manufacturer; that the law</w:t></w:r>
</w:p>
<w:p>
<w:pPr><w:pStyle w:val="Normal"/></w:pPr>
<w:r><w:t xml:space="preserve">punished petty offences and left great ones untouched; that</w:t></w:r>
</w:p>
<w:p>
<w:pPr><w:pStyle w:val="Normal"/></w:pPr>
<w:r><w:t xml:space="preserve">it fined a small retailer and left the wholesale offender scot</w:t></w:r>
</w:p>
<w:p>
<w:pPr><w:pStyle w:val="Normal"/></w:pPr>
<w:r><w:t xml:space="preserve">free.  As regards warranty, they thought that the precedent</w:t></w:r>
</w:p>
<w:p>
<w:pPr><w:pStyle w:val="Normal"/></w:pPr>
<w:r><w:t xml:space="preserve">created by the Margarine Act should be followed generally, and</w:t></w:r>
</w:p>
<w:p>
<w:pPr><w:pStyle w:val="Normal"/></w:pPr>
<w:r><w:t xml:space="preserve">that invoices and equivalent documents should have the force of</w:t></w:r>
</w:p>
<w:p>
<w:pPr><w:pStyle w:val="Normal"/></w:pPr>
<w:r><w:t xml:space="preserve">warranties.  They found that a considerable proportion of the</w:t></w:r>
</w:p>
<w:p>
<w:pPr><w:pStyle w:val="Normal"/></w:pPr>
<w:r><w:t xml:space="preserve">food imports were adulterated, out of 890 samples of butter</w:t></w:r>
</w:p>
<w:p>
<w:pPr><w:pStyle w:val="Normal"/></w:pPr>
<w:r><w:t xml:space="preserve">taken by the customs in 1895 no less than 106 being impure,</w:t></w:r>
</w:p>
<w:p>
<w:pPr><w:pStyle w:val="Normal"/></w:pPr>
<w:r><w:t xml:space="preserve">and they recommended that in addition to tea, which by section</w:t></w:r>
</w:p>
<w:p>
<w:pPr><w:pStyle w:val="Normal"/></w:pPr>
<w:r><w:t xml:space="preserve">30 of the act of 1875 was to be systematically analysed by</w:t></w:r>
</w:p>
<w:p>
<w:pPr><w:pStyle w:val="Normal"/></w:pPr>
<w:r><w:t xml:space="preserve">the customs, prior to being passed for distribution, samples</w:t></w:r>
</w:p>
<w:p>
<w:pPr><w:pStyle w:val="Normal"/></w:pPr>
<w:r><w:t xml:space="preserve">of all food imports should be taken and examined by the</w:t></w:r>
</w:p>
<w:p>
<w:pPr><w:pStyle w:val="Normal"/></w:pPr>
<w:r><w:t xml:space="preserve">customs.  The committee further found that the penalties</w:t></w:r>
</w:p>
<w:p>
<w:pPr><w:pStyle w:val="Normal"/></w:pPr>
<w:r><w:t xml:space="preserve">imposed under the acts had for the most part been trifling and</w:t></w:r>
</w:p>
<w:p>
<w:pPr><w:pStyle w:val="Normal"/></w:pPr>
<w:r><w:t xml:space="preserve">quite insufficient to serve as deterrents, the profits derived</w:t></w:r>
</w:p>
<w:p>
<w:pPr><w:pStyle w:val="Normal"/></w:pPr>
<w:r><w:t xml:space="preserve">from the sale of adulterated articles being out of proportion</w:t></w:r>
</w:p>
<w:p>
<w:pPr><w:pStyle w:val="Normal"/></w:pPr>
<w:r><w:t xml:space="preserve">great to the insignificant fines imposed, and they recommended</w:t></w:r>
</w:p>
<w:p>
<w:pPr><w:pStyle w:val="Normal"/></w:pPr>
<w:r><w:t xml:space="preserve">that for the second offence the penalty of L. 5 should be</w:t></w:r>
</w:p>
<w:p>
<w:pPr><w:pStyle w:val="Normal"/></w:pPr>
<w:r><w:t xml:space="preserve">the minimum one, and that in respect to third or subsequent</w:t></w:r>
</w:p>
<w:p>
<w:pPr><w:pStyle w:val="Normal"/></w:pPr>
<w:r><w:t xml:space="preserve">offences imprisonment without the option of a fine might be</w:t></w:r>
</w:p>
<w:p>
<w:pPr><w:pStyle w:val="Normal"/></w:pPr>
<w:r><w:t xml:space="preserve">inflicted.  The important question of food standards was</w:t></w:r>
</w:p>
<w:p>
<w:pPr><w:pStyle w:val="Normal"/></w:pPr>
<w:r><w:t xml:space="preserve">considered at great length.  The absence of legal standards</w:t></w:r>
</w:p>
<w:p>
<w:pPr><w:pStyle w:val="Normal"/></w:pPr>
<w:r><w:t xml:space="preserve">or definitions of articles of food had occasioned great</w:t></w:r>
</w:p>
<w:p>
<w:pPr><w:pStyle w:val="Normal"/></w:pPr>
<w:r><w:t xml:space="preserve">difficulty in numerous cases, but as no authority was provided</w:t></w:r>
</w:p>
<w:p>
<w:pPr><w:pStyle w:val="Normal"/></w:pPr>
<w:r><w:t xml:space="preserve">by the existing acts that might fix such standards, they</w:t></w:r>
</w:p>
<w:p>
<w:pPr><w:pStyle w:val="Normal"/></w:pPr>
<w:r><w:t xml:space="preserve">recommended the formation of a scientific authority or court</w:t></w:r>
</w:p>
<w:p>
<w:pPr><w:pStyle w:val="Normal"/></w:pPr>
<w:r><w:t xml:space="preserve">of reference composed of representatives of the laboratory of</w:t></w:r>
</w:p>
<w:p>
<w:pPr><w:pStyle w:val="Normal"/></w:pPr>
<w:r><w:t xml:space="preserve">the Inland Revenue, of the Local Government Board, the Board</w:t></w:r>
</w:p>
<w:p>
<w:pPr><w:pStyle w:val="Normal"/></w:pPr>
<w:r><w:t xml:space="preserve">of Agriculture, the General Medical Council, the Institute of</w:t></w:r>
</w:p>
<w:p>
<w:pPr><w:pStyle w:val="Normal"/></w:pPr>
<w:r><w:t xml:space="preserve">Chemistry, the Pharmaceutical Society, of other scientific</w:t></w:r>
</w:p>
<w:p>
<w:pPr><w:pStyle w:val="Normal"/></w:pPr>
<w:r><w:t xml:space="preserve">men and of the trading and manufacturing community, who</w:t></w:r>
</w:p>
<w:p>
<w:pPr><w:pStyle w:val="Normal"/></w:pPr>
<w:r><w:t xml:space="preserve">should have the duty of fixing standards of quality and</w:t></w:r>
</w:p>
<w:p>
<w:pPr><w:pStyle w:val="Normal"/></w:pPr>
<w:r><w:t xml:space="preserve">purity of food to be confirmed by a secretary of state.</w:t></w:r>
</w:p>
<w:p>
<w:pPr><w:pStyle w:val="Normal"/></w:pPr>
<w:r><w:t xml:space="preserve">The committee&apos;s deliberations and recommendations resulted</w:t></w:r>
</w:p>
<w:p>
<w:pPr><w:pStyle w:val="Normal"/></w:pPr>
<w:r><w:t xml:space="preserve">in the Sale of Food and Drugs Act 1899.  This unfortunately</w:t></w:r>
</w:p>
<w:p>
<w:pPr><w:pStyle w:val="Normal"/></w:pPr>
<w:r><w:t xml:space="preserve">was not a comprehensive act superseding the previous acts,</w:t></w:r>
</w:p>
<w:p>
<w:pPr><w:pStyle w:val="Normal"/></w:pPr>
<w:r><w:t xml:space="preserve">but was an additional and amending one, so that at the</w:t></w:r>
</w:p>
<w:p>
<w:pPr><w:pStyle w:val="Normal"/></w:pPr>
<w:r><w:t xml:space="preserve">present time four food acts run parallel and are together in</w:t></w:r>
</w:p>
<w:p>
<w:pPr><w:pStyle w:val="Normal"/></w:pPr>
<w:r><w:t xml:space="preserve">force, rendering the subject from a legal point of view one</w:t></w:r>
</w:p>
<w:p>
<w:pPr><w:pStyle w:val="Normal"/></w:pPr>
<w:r><w:t xml:space="preserve">of extreme complexity.  In this act the growing influence</w:t></w:r>
</w:p>
<w:p>
<w:pPr><w:pStyle w:val="Normal"/></w:pPr>
<w:r><w:t xml:space="preserve">of the Board of Agriculture and the desire to assist farmers</w:t></w:r>
</w:p>
<w:p>
<w:pPr><w:pStyle w:val="Normal"/></w:pPr>
<w:r><w:t xml:space="preserve">and dairymen more decisively than previously are clearly</w:t></w:r>
</w:p>
<w:p>
<w:pPr><w:pStyle w:val="Normal"/></w:pPr>
<w:r><w:t xml:space="preserve">apparent.  Section 1 empowers the customs to take samples of</w:t></w:r>
</w:p>
<w:p>
<w:pPr><w:pStyle w:val="Normal"/></w:pPr>
<w:r><w:t xml:space="preserve">consignments of imported articles of food and enjoins them</w:t></w:r>
</w:p>
<w:p>
<w:pPr><w:pStyle w:val="Normal"/></w:pPr>
<w:r><w:t xml:space="preserve">to communicate to the Board of Agriculture the names of the</w:t></w:r>
</w:p>
<w:p>
<w:pPr><w:pStyle w:val="Normal"/></w:pPr>
<w:r><w:t xml:space="preserve">importers of adulterated goods, any article of food to be</w:t></w:r>
</w:p>
<w:p>
<w:pPr><w:pStyle w:val="Normal"/></w:pPr>
<w:r><w:t xml:space="preserve">considered adulterated or impoverished if it has been mixed</w:t></w:r>
</w:p>
<w:p>
<w:pPr><w:pStyle w:val="Normal"/></w:pPr>
<w:r><w:t xml:space="preserve">with any other substance (other than preservative or colouring</w:t></w:r>
</w:p>
<w:p>
<w:pPr><w:pStyle w:val="Normal"/></w:pPr>
<w:r><w:t xml:space="preserve">matter, of such a nature and such a quantity as not to render</w:t></w:r>
</w:p>
<w:p>
<w:pPr><w:pStyle w:val="Normal"/></w:pPr>
<w:r><w:t xml:space="preserve">the article injurious to health), or if any part of it has been</w:t></w:r>
</w:p>
<w:p>
<w:pPr><w:pStyle w:val="Normal"/></w:pPr>
<w:r><w:t xml:space="preserve">abstracted to the detriment of the article.  Margarine or cheese</w:t></w:r>
</w:p>
<w:p>
<w:pPr><w:pStyle w:val="Normal"/></w:pPr>
<w:r><w:t xml:space="preserve">containing margarine has to be conspicuously marked as such;</w:t></w:r>
</w:p>
<w:p>
<w:pPr><w:pStyle w:val="Normal"/></w:pPr>
<w:r><w:t xml:space="preserve">condensed, separated or skim milk has to be clearly labelled</w:t></w:r>
</w:p>
<w:p>
<w:pPr><w:pStyle w:val="Normal"/></w:pPr>
<w:r><w:t xml:space="preserve">``machine-skimmed milk&apos;&apos; or ``skimmed milk,&apos;&apos; as the case may</w:t></w:r>
</w:p>
<w:p>
<w:pPr><w:pStyle w:val="Normal"/></w:pPr>
<w:r><w:t xml:space="preserve">be.  The next sections give to the Local Government Board</w:t></w:r>
</w:p>
<w:p>
<w:pPr><w:pStyle w:val="Normal"/></w:pPr>
<w:r><w:t xml:space="preserve">and the Board of Agriculture a roving commission to see that</w:t></w:r>
</w:p>
<w:p>
<w:pPr><w:pStyle w:val="Normal"/></w:pPr>
<w:r><w:t xml:space="preserve">the acts are properly enforced throughout the kingdom so as</w:t></w:r>
</w:p>
<w:p>
<w:pPr><w:pStyle w:val="Normal"/></w:pPr>
<w:r><w:t xml:space="preserve">to apply the acts more equally throughout the country than</w:t></w:r>
</w:p>
<w:p>
<w:pPr><w:pStyle w:val="Normal"/></w:pPr>
<w:r><w:t xml:space="preserve">heretofore, and in default of local authorities carrying out</w:t></w:r>
</w:p>
<w:p>
<w:pPr><w:pStyle w:val="Normal"/></w:pPr>
<w:r><w:t xml:space="preserve">their duties empower the government departments mentioned</w:t></w:r>
</w:p>
<w:p>
<w:pPr><w:pStyle w:val="Normal"/></w:pPr>
<w:r><w:t xml:space="preserve">to execute and enforce the acts at the expense of the local</w:t></w:r>
</w:p>
<w:p>
<w:pPr><w:pStyle w:val="Normal"/></w:pPr>
<w:r><w:t xml:space="preserve">authorities.  The importance of a regular and conscientious</w:t></w:r>
</w:p>
<w:p>
<w:pPr><w:pStyle w:val="Normal"/></w:pPr>
<w:r><w:t xml:space="preserve">control of the public food supply by the local authorities</w:t></w:r>
</w:p>
<w:p>
<w:pPr><w:pStyle w:val="Normal"/></w:pPr>
<w:r><w:t xml:space="preserve">was thus for the first time, after forty years of experimental</w:t></w:r>
</w:p>
<w:p>
<w:pPr><w:pStyle w:val="Normal"/></w:pPr>
<w:r><w:t xml:space="preserve">legislation, fully acknowledged.  In recognition of the great</w:t></w:r>
</w:p>
<w:p>
<w:pPr><w:pStyle w:val="Normal"/></w:pPr>
<w:r><w:t xml:space="preserve">difficulties experienced for many years by analysts in their</w:t></w:r>
</w:p>
<w:p>
<w:pPr><w:pStyle w:val="Normal"/></w:pPr>
<w:r><w:t xml:space="preserve">endeavour to fix minimum percentages for the fat and other milk</w:t></w:r>
</w:p>
<w:p>
<w:pPr><w:pStyle w:val="Normal"/></w:pPr>
<w:r><w:t xml:space="preserve">constituents, and their inability to do so without statutory</w:t></w:r>
</w:p>
<w:p>
<w:pPr><w:pStyle w:val="Normal"/></w:pPr>
<w:r><w:t xml:space="preserve">powers, the Board of Agriculture is authorized by section 4</w:t></w:r>
</w:p>
<w:p>
<w:pPr><w:pStyle w:val="Normal"/></w:pPr>
<w:r><w:t xml:space="preserve">to make regulations ``for determining what deficiency in any</w:t></w:r>
</w:p>
<w:p>
<w:pPr><w:pStyle w:val="Normal"/></w:pPr>
<w:r><w:t xml:space="preserve">of the normal constituents of genuine milk, cream, butter or</w:t></w:r>
</w:p>
<w:p>
<w:pPr><w:pStyle w:val="Normal"/></w:pPr>
<w:r><w:t xml:space="preserve">cheese, or what addition of extraneous matter or proportion of</w:t></w:r>
</w:p>
<w:p>
<w:pPr><w:pStyle w:val="Normal"/></w:pPr>
<w:r><w:t xml:space="preserve">water&apos;&apos; in any of these materials shall raise a presumption,</w:t></w:r>
</w:p>
<w:p>
<w:pPr><w:pStyle w:val="Normal"/></w:pPr>
<w:r><w:t xml:space="preserve">until the contrary is proved, that these articles are not</w:t></w:r>
</w:p>
<w:p>
<w:pPr><w:pStyle w:val="Normal"/></w:pPr>
<w:r><w:t xml:space="preserve">genuine.  In pursuance of these powers the Board of Agriculture</w:t></w:r>
</w:p>
<w:p>
<w:pPr><w:pStyle w:val="Normal"/></w:pPr>
<w:r><w:t xml:space="preserve">did in 1901 issue their milk regulations, adopting officially</w:t></w:r>
</w:p>
<w:p>
<w:pPr><w:pStyle w:val="Normal"/></w:pPr>
<w:r><w:t xml:space="preserve">the minima agreed upon by public analysts, and in 1902 the</w:t></w:r>
</w:p>
<w:p>
<w:pPr><w:pStyle w:val="Normal"/></w:pPr>
<w:r><w:t xml:space="preserve">sale of butter regulations, which fixed 16% as the maximum</w:t></w:r>
</w:p>
<w:p>
<w:pPr><w:pStyle w:val="Normal"/></w:pPr>
<w:r><w:t xml:space="preserve">of water that might be contained in butter.  It is important</w:t></w:r>
</w:p>
<w:p>
<w:pPr><w:pStyle w:val="Normal"/></w:pPr>
<w:r><w:t xml:space="preserve">to note that the fact of a sample of milk falling short of</w:t></w:r>
</w:p>
<w:p>
<w:pPr><w:pStyle w:val="Normal"/></w:pPr>
<w:r><w:t xml:space="preserve">the standard is not conclusive evidence of adulteration,</w:t></w:r>
</w:p>
<w:p>
<w:pPr><w:pStyle w:val="Normal"/></w:pPr>
<w:r><w:t xml:space="preserve">but it justifies the institution of proceedings and casts</w:t></w:r>
</w:p>
<w:p>
<w:pPr><w:pStyle w:val="Normal"/></w:pPr>
<w:r><w:t xml:space="preserve">the onus of proving that the sample is genuine upon the</w:t></w:r>
</w:p>
<w:p>
<w:pPr><w:pStyle w:val="Normal"/></w:pPr>
<w:r><w:t xml:space="preserve">defendant.  The Margarine Act of 1887 was extended to margarine</w:t></w:r>
</w:p>
<w:p>
<w:pPr><w:pStyle w:val="Normal"/></w:pPr>
<w:r><w:t xml:space="preserve">cheese, the obligatory labelling of margarine packages was</w:t></w:r>
</w:p>
<w:p>
<w:pPr><w:pStyle w:val="Normal"/></w:pPr>
<w:r><w:t xml:space="preserve">more precisely regulated, margarine manufacturers and dealers</w:t></w:r>
</w:p>
<w:p>
<w:pPr><w:pStyle w:val="Normal"/></w:pPr>
<w:r><w:t xml:space="preserve">in that article were compelled to keep a register open to</w:t></w:r>
</w:p>
<w:p>
<w:pPr><w:pStyle w:val="Normal"/></w:pPr>
<w:r><w:t xml:space="preserve">inspection by the Board of Agriculture, showing the quantity</w:t></w:r>
</w:p>
<w:p>
<w:pPr><w:pStyle w:val="Normal"/></w:pPr>
<w:r><w:t xml:space="preserve">and designation of each consignment, and power was given</w:t></w:r>
</w:p>
<w:p>
<w:pPr><w:pStyle w:val="Normal"/></w:pPr>
<w:r><w:t xml:space="preserve">to officers of the board to enter at all reasonable times</w:t></w:r>
</w:p>
<w:p>
<w:pPr><w:pStyle w:val="Normal"/></w:pPr>
<w:r><w:t xml:space="preserve">manufactories of margarine and margarine cheese.  The amount</w:t></w:r>
</w:p>
<w:p>
<w:pPr><w:pStyle w:val="Normal"/></w:pPr>
<w:r><w:t xml:space="preserve">of butter-fat that might be present in margarine was limited</w:t></w:r>
</w:p>
<w:p>
<w:pPr><w:pStyle w:val="Normal"/></w:pPr>
<w:r><w:t xml:space="preserve">to 10%, while under the Margarine Act of 1887 an unlimited</w:t></w:r>
</w:p>
<w:p>
<w:pPr><w:pStyle w:val="Normal"/></w:pPr>
<w:r><w:t xml:space="preserve">admixture might have been made, provided that the mixture,</w:t></w:r>
</w:p>
<w:p>
<w:pPr><w:pStyle w:val="Normal"/></w:pPr>
<w:r><w:t xml:space="preserve">no matter how large the percentage of butter, was sold as</w:t></w:r>
</w:p>
<w:p>
<w:pPr><w:pStyle w:val="Normal"/></w:pPr>
<w:r><w:t xml:space="preserve">margarine.  As is further explained below, the difficulty</w:t></w:r>
</w:p>
<w:p>
<w:pPr><w:pStyle w:val="Normal"/></w:pPr>
<w:r><w:t xml:space="preserve">of distinguishing without chemical aid between pure butter</w:t></w:r>
</w:p>
<w:p>
<w:pPr><w:pStyle w:val="Normal"/></w:pPr>
<w:r><w:t xml:space="preserve">and margarine containing a considerable percentage of butter</w:t></w:r>
</w:p>
<w:p>
<w:pPr><w:pStyle w:val="Normal"/></w:pPr>
<w:r><w:t xml:space="preserve">is very great, and fraudulent sales continued to be common</w:t></w:r>
</w:p>
<w:p>
<w:pPr><w:pStyle w:val="Normal"/></w:pPr>
<w:r><w:t xml:space="preserve">after the passing of the Margarine Act. The labelling section</w:t></w:r>
</w:p>
<w:p>
<w:pPr><w:pStyle w:val="Normal"/></w:pPr>
<w:r><w:t xml:space="preserve">of the Food Act 1875 (sec.  8), which had been systematically</w:t></w:r>
</w:p>
<w:p>
<w:pPr><w:pStyle w:val="Normal"/></w:pPr>
<w:r><w:t xml:space="preserve">circumvented, was modified, a label being no longer recognized</w:t></w:r>
</w:p>
<w:p>
<w:pPr><w:pStyle w:val="Normal"/></w:pPr>
<w:r><w:t xml:space="preserve">as distinctly and legibly written or printed, unless it is</w:t></w:r>
</w:p>
<w:p>
<w:pPr><w:pStyle w:val="Normal"/></w:pPr>
<w:r><w:t xml:space="preserve">so written or printed that the notice of mixture given by the</w:t></w:r>
</w:p>
<w:p>
<w:pPr><w:pStyle w:val="Normal"/></w:pPr>
<w:r><w:t xml:space="preserve">label is not obscured by other matter on the label, though</w:t></w:r>
</w:p>
<w:p>
<w:pPr><w:pStyle w:val="Normal"/></w:pPr>
<w:r><w:t xml:space="preserve">labels that had been continuously in use for at least seven</w:t></w:r>
</w:p>
<w:p>
<w:pPr><w:pStyle w:val="Normal"/></w:pPr>
<w:r><w:t xml:space="preserve">years before the commencement of the act were not interfered</w:t></w:r>
</w:p>
<w:p>
<w:pPr><w:pStyle w:val="Normal"/></w:pPr>
<w:r><w:t xml:space="preserve">with.  In consequence of the admitted unfairness of asking</w:t></w:r>
</w:p>
<w:p>
<w:pPr><w:pStyle w:val="Normal"/></w:pPr>
<w:r><w:t xml:space="preserve">for a portion of the contents of a properly labelled tin</w:t></w:r>
</w:p>
<w:p>
<w:pPr><w:pStyle w:val="Normal"/></w:pPr>
<w:r><w:t xml:space="preserve">or package and then instituting proceedings because no</w:t></w:r>
</w:p>
<w:p>
<w:pPr><w:pStyle w:val="Normal"/></w:pPr>
<w:r><w:t xml:space="preserve">declaration of admixture had been made, it was enacted that</w:t></w:r>
</w:p>
<w:p>
<w:pPr><w:pStyle w:val="Normal"/></w:pPr>
<w:r><w:t xml:space="preserve">no person shall be required to sell any article exposed for</w:t></w:r>
</w:p>
<w:p>
<w:pPr><w:pStyle w:val="Normal"/></w:pPr>
<w:r><w:t xml:space="preserve">sale in an unopened tin or packet, except in the unopened</w:t></w:r>
</w:p>
<w:p>
<w:pPr><w:pStyle w:val="Normal"/></w:pPr>
<w:r><w:t xml:space="preserve">tin or packet in which it is contained.  This removed a</w:t></w:r>
</w:p>
<w:p>
<w:pPr><w:pStyle w:val="Normal"/></w:pPr>
<w:r><w:t xml:space="preserve">grievance which had long been felt both by retailers and</w:t></w:r>
</w:p>
<w:p>
<w:pPr><w:pStyle w:val="Normal"/></w:pPr>
<w:r><w:t xml:space="preserve">manufacturers, and is a provision of growing importance</w:t></w:r>
</w:p>
<w:p>
<w:pPr><w:pStyle w:val="Normal"/></w:pPr>
<w:r><w:t xml:space="preserve">with the continually increasing sale of articles put up in</w:t></w:r>
</w:p>
<w:p>
<w:pPr><w:pStyle w:val="Normal"/></w:pPr>
<w:r><w:t xml:space="preserve">factories.  The warranty provisions, which, as before stated,</w:t></w:r>
</w:p>
<w:p>
<w:pPr><w:pStyle w:val="Normal"/></w:pPr>
<w:r><w:t xml:space="preserve">had given rise to much litigation, were more clearly defined.</w:t></w:r>
</w:p>
<w:p>
<w:pPr><w:pStyle w:val="Normal"/></w:pPr>
<w:r><w:t xml:space="preserve">A notice that a defendant would rely for his defence upon a</w:t></w:r>
</w:p>
<w:p>
<w:pPr><w:pStyle w:val="Normal"/></w:pPr>
<w:r><w:t xml:space="preserve">warranty had to be given within seven days of the service of</w:t></w:r>
</w:p>
<w:p>
<w:pPr><w:pStyle w:val="Normal"/></w:pPr>
<w:r><w:t xml:space="preserve">the summons or the defence would not be available, and the</w:t></w:r>
</w:p>
<w:p>
<w:pPr><w:pStyle w:val="Normal"/></w:pPr>
<w:r><w:t xml:space="preserve">warrantor was empowered to appear at the hearing and to give</w:t></w:r>
</w:p>
<w:p>
<w:pPr><w:pStyle w:val="Normal"/></w:pPr>
<w:r><w:t xml:space="preserve">evidence so that no man&apos;s name could, as sometimes previously</w:t></w:r>
</w:p>
<w:p>
<w:pPr><w:pStyle w:val="Normal"/></w:pPr>
<w:r><w:t xml:space="preserve">happened, be dragged into a case without due notice to</w:t></w:r>
</w:p>
<w:p>
<w:pPr><w:pStyle w:val="Normal"/></w:pPr>
<w:r><w:t xml:space="preserve">him.  A warranty or invoice given by a person resident outside</w:t></w:r>
</w:p>
<w:p>
<w:pPr><w:pStyle w:val="Normal"/></w:pPr>
<w:r><w:t xml:space="preserve">the United Kingdom was no longer recognized as a defence,</w:t></w:r>
</w:p>
<w:p>
<w:pPr><w:pStyle w:val="Normal"/></w:pPr>
<w:r><w:t xml:space="preserve">unless the defendant could prove that he had taken reasonable</w:t></w:r>
</w:p>
<w:p>
<w:pPr><w:pStyle w:val="Normal"/></w:pPr>
<w:r><w:t xml:space="preserve">steps to ascertain and did in fact believe in the accuracy</w:t></w:r>
</w:p>
<w:p>
<w:pPr><w:pStyle w:val="Normal"/></w:pPr>
<w:r><w:t xml:space="preserve">of the statement contained in the warranty.  This prevented</w:t></w:r>
</w:p>
<w:p>
<w:pPr><w:pStyle w:val="Normal"/></w:pPr>
<w:r><w:t xml:space="preserve">collusion between a foreign shipper and an importer; and,</w:t></w:r>
</w:p>
<w:p>
<w:pPr><w:pStyle w:val="Normal"/></w:pPr>
<w:r><w:t xml:space="preserve">lastly, the definition of ``food&apos;&apos; was widened (in view of</w:t></w:r>
</w:p>
<w:p>
<w:pPr><w:pStyle w:val="Normal"/></w:pPr>
<w:r><w:t xml:space="preserve">the baking-powder decision) so that the term food ``shall</w:t></w:r>
</w:p>
<w:p>
<w:pPr><w:pStyle w:val="Normal"/></w:pPr>
<w:r><w:t xml:space="preserve">include every article used for food or drink by man, other</w:t></w:r>
</w:p>
<w:p>
<w:pPr><w:pStyle w:val="Normal"/></w:pPr>
<w:r><w:t xml:space="preserve">than drugs or water, and any article which ordinarily enters</w:t></w:r>
</w:p>
<w:p>
<w:pPr><w:pStyle w:val="Normal"/></w:pPr>
<w:r><w:t xml:space="preserve">into or is used in the composition or preparation of human</w:t></w:r>
</w:p>
<w:p>
<w:pPr><w:pStyle w:val="Normal"/></w:pPr>
<w:r><w:t xml:space="preserve">food, and shall also include flavoring matters and condiments.&apos;&apos;</w:t></w:r>
</w:p>
<w:p>
<w:pPr><w:pStyle w:val="Normal"/></w:pPr>
<w:r><w:t xml:space="preserve">The act of 1899 embodies, with one exception, the most</w:t></w:r>
</w:p>
<w:p>
<w:pPr><w:pStyle w:val="Normal"/></w:pPr>
<w:r><w:t xml:space="preserve">important recommendations of the Food Products Committee,</w:t></w:r>
</w:p>
<w:p>
<w:pPr><w:pStyle w:val="Normal"/></w:pPr>
<w:r><w:t xml:space="preserve">the exception being the omission of instituting a board of</w:t></w:r>
</w:p>
<w:p>
<w:pPr><w:pStyle w:val="Normal"/></w:pPr>
<w:r><w:t xml:space="preserve">reference that might deal with difficulties as they arose,</w:t></w:r>
</w:p>
<w:p>
<w:pPr><w:pStyle w:val="Normal"/></w:pPr>
<w:r><w:t xml:space="preserve">guide analysts and public authorities in fixing limits for</w:t></w:r>
</w:p>
<w:p>
<w:pPr><w:pStyle w:val="Normal"/></w:pPr>
<w:r><w:t xml:space="preserve">articles other than milk and butter, and take up the important</w:t></w:r>
</w:p>
<w:p>
<w:pPr><w:pStyle w:val="Normal"/></w:pPr>
<w:r><w:t xml:space="preserve">questions of preservatives and colouring matters and such</w:t></w:r>
</w:p>
<w:p>
<w:pPr><w:pStyle w:val="Normal"/></w:pPr>
<w:r><w:t xml:space="preserve">like.  An occurrence which almost immediately followed</w:t></w:r>
</w:p>
<w:p>
<w:pPr><w:pStyle w:val="Normal"/></w:pPr>
<w:r><w:t xml:space="preserve">the passing of the act showed in the strongest manner the</w:t></w:r>
</w:p>
<w:p>
<w:pPr><w:pStyle w:val="Normal"/></w:pPr>
<w:r><w:t xml:space="preserve">necessity of such guiding board--namely, the outbreak of</w:t></w:r>
</w:p>
<w:p>
<w:pPr><w:pStyle w:val="Normal"/></w:pPr>
<w:r><w:t xml:space="preserve">arsenical poisoning in the Midlands in the latter part of 1900.</w:t></w:r>
</w:p>
<w:p>
<w:pPr><w:pStyle w:val="Normal"/></w:pPr>
<w:r><w:t xml:space="preserve">Arsenic in foods.</w:t></w:r>
</w:p>
<w:p>
<w:pPr><w:pStyle w:val="Normal"/></w:pPr>
<w:r><w:t xml:space="preserve">In the month of June 1900 there occurred, mainly in the</w:t></w:r>
</w:p>
<w:p>
<w:pPr><w:pStyle w:val="Normal"/></w:pPr>
<w:r><w:t xml:space="preserve">Midlands but also in other parts of England and Wales, an</w:t></w:r>
</w:p>
<w:p>
<w:pPr><w:pStyle w:val="Normal"/></w:pPr>
<w:r><w:t xml:space="preserve">outbreak of an illness variously described as ``alcoholism,&apos;&apos;</w:t></w:r>
</w:p>
<w:p>
<w:pPr><w:pStyle w:val="Normal"/></w:pPr>
<w:r><w:t xml:space="preserve">``peripheral neuritis&apos;&apos; or ``multiple neuritis.&apos;&apos; This</w:t></w:r>
</w:p>
<w:p>
<w:pPr><w:pStyle w:val="Normal"/></w:pPr>
<w:r><w:t xml:space="preserve">affected about 6000 persons and resulted in about 70</w:t></w:r>
</w:p>
<w:p>
<w:pPr><w:pStyle w:val="Normal"/></w:pPr>
<w:r><w:t xml:space="preserve">deaths.  It was soon ascertained that the sufferers were all</w:t></w:r>
</w:p>
<w:p>
<w:pPr><w:pStyle w:val="Normal"/></w:pPr>
<w:r><w:t xml:space="preserve">beer drinkers, and several of them were employees of a local</w:t></w:r>
</w:p>
<w:p>
<w:pPr><w:pStyle w:val="Normal"/></w:pPr>
<w:r><w:t xml:space="preserve">brewery, the majority of whom had suffered for some months</w:t></w:r>
</w:p>
<w:p>
<w:pPr><w:pStyle w:val="Normal"/></w:pPr>
<w:r><w:t xml:space="preserve">past.  Although suspicion fell early upon beer, some</w:t></w:r>
</w:p>
<w:p>
<w:pPr><w:pStyle w:val="Normal"/></w:pPr>
<w:r><w:t xml:space="preserve">considerable time elapsed before Dr E. S. Reynolds of</w:t></w:r>
</w:p>
<w:p>
<w:pPr><w:pStyle w:val="Normal"/></w:pPr>
<w:r><w:t xml:space="preserve">Manchester discovered arsenic in dangerous proportions in the</w:t></w:r>
</w:p>
<w:p>
<w:pPr><w:pStyle w:val="Normal"/></w:pPr>
<w:r><w:t xml:space="preserve">beer.  Steps were immediately taken by brewers and sanitary</w:t></w:r>
</w:p>
<w:p>
<w:pPr><w:pStyle w:val="Normal"/></w:pPr>
<w:r><w:t xml:space="preserve">authorities to ensure that this arsenical beer was withdrawn</w:t></w:r>
</w:p>
<w:p>
<w:pPr><w:pStyle w:val="Normal"/></w:pPr>
<w:r><w:t xml:space="preserve">from sale, and, as a result, the epidemic came speedily to an</w:t></w:r>
</w:p>
<w:p>
<w:pPr><w:pStyle w:val="Normal"/></w:pPr>
<w:r><w:t xml:space="preserve">end.  In all instances where this epidemic of sickness had been</w:t></w:r>
</w:p>
<w:p>
<w:pPr><w:pStyle w:val="Normal"/></w:pPr>
<w:r><w:t xml:space="preserve">traced to particular breweries, the latter had been users of</w:t></w:r>
</w:p>
<w:p>
<w:pPr><w:pStyle w:val="Normal"/></w:pPr>
<w:r><w:t xml:space="preserve">brewing sugars-glucose and invert sugar--supplied by a single</w:t></w:r>
</w:p>
<w:p>
<w:pPr><w:pStyle w:val="Normal"/></w:pPr>
<w:r><w:t xml:space="preserve">firm.  The quantity of arsenic detected in specimens of</w:t></w:r>
</w:p>
<w:p>
<w:pPr><w:pStyle w:val="Normal"/></w:pPr>
<w:r><w:t xml:space="preserve">these brewing sugars was in some cases very large, amounting</w:t></w:r>
</w:p>
<w:p>
<w:pPr><w:pStyle w:val="Normal"/></w:pPr>
<w:r><w:t xml:space="preserve">to upward of four grains per pound.  The implicated brewing</w:t></w:r>
</w:p>
<w:p>
<w:pPr><w:pStyle w:val="Normal"/></w:pPr>
<w:r><w:t xml:space="preserve">sugars were found to have become contaminated by arsenic</w:t></w:r>
</w:p>
<w:p>
<w:pPr><w:pStyle w:val="Normal"/></w:pPr>
<w:r><w:t xml:space="preserve">in course of their manufacture through the use of sulphuric</w:t></w:r>
</w:p>
<w:p>
<w:pPr><w:pStyle w:val="Normal"/></w:pPr>
<w:r><w:t xml:space="preserve">acid, some specimens of which contained as much as 2.6% of</w:t></w:r>
</w:p>
<w:p>
<w:pPr><w:pStyle w:val="Normal"/></w:pPr>
<w:r><w:t xml:space="preserve">arsenic.  The acid had been made from highly arsenical iron</w:t></w:r>
</w:p>
<w:p>
<w:pPr><w:pStyle w:val="Normal"/></w:pPr>
<w:r><w:t xml:space="preserve">pyrites, and as the manufacturers of the glucose had not</w:t></w:r>
</w:p>
<w:p>
<w:pPr><w:pStyle w:val="Normal"/></w:pPr>
<w:r><w:t xml:space="preserve">specifically contracted with the acid makers for pure acid,</w:t></w:r>
</w:p>
<w:p>
<w:pPr><w:pStyle w:val="Normal"/></w:pPr>
<w:r><w:t xml:space="preserve">the latter, not knowing for what purpose the acid was to be</w:t></w:r>
</w:p>
<w:p>
<w:pPr><w:pStyle w:val="Normal"/></w:pPr>
<w:r><w:t xml:space="preserve">used, had felt themselves justified in supplying impure</w:t></w:r>
</w:p>
<w:p>
<w:pPr><w:pStyle w:val="Normal"/></w:pPr>
<w:r><w:t xml:space="preserve">acid.  A royal commission was appointed in February 1901,</w:t></w:r>
</w:p>
<w:p>
<w:pPr><w:pStyle w:val="Normal"/></w:pPr>
<w:r><w:t xml:space="preserve">with Lord Kelvin as chairman, to inquire into the matter,</w:t></w:r>
</w:p>
<w:p>
<w:pPr><w:pStyle w:val="Normal"/></w:pPr>
<w:r><w:t xml:space="preserve">and an enormous amount of attention was naturally given</w:t></w:r>
</w:p>
<w:p>
<w:pPr><w:pStyle w:val="Normal"/></w:pPr>
<w:r><w:t xml:space="preserve">to it by chemists and medical men.  It was soon found that</w:t></w:r>
</w:p>
<w:p>
<w:pPr><w:pStyle w:val="Normal"/></w:pPr>
<w:r><w:t xml:space="preserve">arsenic was very widely disseminated in two classes of food</w:t></w:r>
</w:p>
<w:p>
<w:pPr><w:pStyle w:val="Normal"/></w:pPr>
<w:r><w:t xml:space="preserve">materials, namely, such as had been dried or roasted in gases</w:t></w:r>
</w:p>
<w:p>
<w:pPr><w:pStyle w:val="Normal"/></w:pPr>
<w:r><w:t xml:space="preserve">resulting from the combustion of coal, and such as had been</w:t></w:r>
</w:p>
<w:p>
<w:pPr><w:pStyle w:val="Normal"/></w:pPr>
<w:r><w:t xml:space="preserve">more or less chemically manufactured.  All coal contains iron</w:t></w:r>
</w:p>
<w:p>
<w:pPr><w:pStyle w:val="Normal"/></w:pPr>
<w:r><w:t xml:space="preserve">pyrites, and this mineral again is contaminated with arsenic.</w:t></w:r>
</w:p>
<w:p>
<w:pPr><w:pStyle w:val="Normal"/></w:pPr>
<w:r><w:t xml:space="preserve">When the coal is burned the fumes are arsenical and part of</w:t></w:r>
</w:p>
<w:p>
<w:pPr><w:pStyle w:val="Normal"/></w:pPr>
<w:r><w:t xml:space="preserve">the arsenic condenses and deposits.  Malt dried in English malt</w:t></w:r>
</w:p>
<w:p>
<w:pPr><w:pStyle w:val="Normal"/></w:pPr>
<w:r><w:t xml:space="preserve">kilns was found to be almost invariably arsenical, and there</w:t></w:r>
</w:p>
<w:p>
<w:pPr><w:pStyle w:val="Normal"/></w:pPr>
<w:r><w:t xml:space="preserve">cannot be a doubt that English beers had for many years past</w:t></w:r>
</w:p>
<w:p>
<w:pPr><w:pStyle w:val="Normal"/></w:pPr>
<w:r><w:t xml:space="preserve">been thus contaminated.  At the present time coal virtually</w:t></w:r>
</w:p>
<w:p>
<w:pPr><w:pStyle w:val="Normal"/></w:pPr>
<w:r><w:t xml:space="preserve">free from arsenic is selected for malting, or Newlands&apos;</w:t></w:r>
</w:p>
<w:p>
<w:pPr><w:pStyle w:val="Normal"/></w:pPr>
<w:r><w:t xml:space="preserve">process, consisting of the admixture with coal of lime which</w:t></w:r>
</w:p>
<w:p>
<w:pPr><w:pStyle w:val="Normal"/></w:pPr>
<w:r><w:t xml:space="preserve">renders the arsenic non-volatile, is adopted, and malt free</w:t></w:r>
</w:p>
<w:p>
<w:pPr><w:pStyle w:val="Normal"/></w:pPr>
<w:r><w:t xml:space="preserve">from all but the merest traces of arsenic is manufactured.</w:t></w:r>
</w:p>
<w:p>
<w:pPr><w:pStyle w:val="Heading1"/></w:pPr>
<w:r><w:t>Part of the arsenic remains in the coalashes and wherever</w:t></w:r>
</w:p>
<w:p>
<w:pPr><w:pStyle w:val="Normal"/></w:pPr>
<w:r><w:t xml:space="preserve">these deposit arsenic can be traced.  Sir Edward Frankland</w:t></w:r>
</w:p>
<w:p>
<w:pPr><w:pStyle w:val="Normal"/></w:pPr>
<w:r><w:t xml:space="preserve">had, many years previously, detected arsenic in the London</w:t></w:r>
</w:p>
<w:p>
<w:pPr><w:pStyle w:val="Normal"/></w:pPr>
<w:r><w:t xml:space="preserve">atmosphere.  Chicory roasted with coal, steaks and chops</w:t></w:r>
</w:p>
<w:p>
<w:pPr><w:pStyle w:val="Normal"/></w:pPr>
<w:r><w:t xml:space="preserve">grilled over an open fire, thus obtain a minute arsenical</w:t></w:r>
</w:p>
<w:p>
<w:pPr><w:pStyle w:val="Normal"/></w:pPr>
<w:r><w:t xml:space="preserve">dosing.  In sugar refineries carbonic acid gas is, at one stage</w:t></w:r>
</w:p>
<w:p>
<w:pPr><w:pStyle w:val="Normal"/></w:pPr>
<w:r><w:t xml:space="preserve">of the process, passed through the liquor for the purpose of</w:t></w:r>
</w:p>
<w:p>
<w:pPr><w:pStyle w:val="Normal"/></w:pPr>
<w:r><w:t xml:space="preserve">precipitating lime or strontia.  When this carbonic acid is</w:t></w:r>
</w:p>
<w:p>
<w:pPr><w:pStyle w:val="Normal"/></w:pPr>
<w:r><w:t xml:space="preserve">derived from coal the sugar often shows traces of arsenic.</w:t></w:r>
</w:p>
<w:p>
<w:pPr><w:pStyle w:val="Normal"/></w:pPr>
<w:r><w:t xml:space="preserve">When arsenical malt or sugar infusion is fermented, as in</w:t></w:r>
</w:p>
<w:p>
<w:pPr><w:pStyle w:val="Normal"/></w:pPr>
<w:r><w:t xml:space="preserve">brewing, the yeast precipitates upon itself a considerable</w:t></w:r>
</w:p>
<w:p>
<w:pPr><w:pStyle w:val="Normal"/></w:pPr>
<w:r><w:t xml:space="preserve">proportion of the impurity, thus partly cleaning the beer,</w:t></w:r>
</w:p>
<w:p>
<w:pPr><w:pStyle w:val="Normal"/></w:pPr>
<w:r><w:t xml:space="preserve">but all preparations made from yeast-extracts resemble to some</w:t></w:r>
</w:p>
<w:p>
<w:pPr><w:pStyle w:val="Normal"/></w:pPr>
<w:r><w:t xml:space="preserve">extent meat extracts, with which they are sometimes fraudulently</w:t></w:r>
</w:p>
<w:p>
<w:pPr><w:pStyle w:val="Normal"/></w:pPr>
<w:r><w:t xml:space="preserve">mixed---are thus exposed to arsenical contamination.  On the</w:t></w:r>
</w:p>
<w:p>
<w:pPr><w:pStyle w:val="Normal"/></w:pPr>
<w:r><w:t xml:space="preserve">continent of Europe malt is not dried in kilns with direct</w:t></w:r>
</w:p>
<w:p>
<w:pPr><w:pStyle w:val="Normal"/></w:pPr>
<w:r><w:t xml:space="preserve">access of combustion gases but on floors heated from beneath,</w:t></w:r>
</w:p>
<w:p>
<w:pPr><w:pStyle w:val="Normal"/></w:pPr>
<w:r><w:t xml:space="preserve">and continental beers therefore have not been found arsenical.</w:t></w:r>
</w:p>
<w:p>
<w:pPr><w:pStyle w:val="Normal"/></w:pPr>
<w:r><w:t xml:space="preserve">The second class of causes of contamination consists of</w:t></w:r>
</w:p>
<w:p>
<w:pPr><w:pStyle w:val="Normal"/></w:pPr>
<w:r><w:t xml:space="preserve">chemicals.  The most important chemical product is sulphuric</w:t></w:r>
</w:p>
<w:p>
<w:pPr><w:pStyle w:val="Normal"/></w:pPr>
<w:r><w:t xml:space="preserve">acid.  This used to be made from brimstone or native volcanic</w:t></w:r>
</w:p>
<w:p>
<w:pPr><w:pStyle w:val="Normal"/></w:pPr>
<w:r><w:t xml:space="preserve">sulphur, which is virtually free from arsenic.  But since</w:t></w:r>
</w:p>
<w:p>
<w:pPr><w:pStyle w:val="Normal"/></w:pPr>
<w:r><w:t xml:space="preserve">about 1860 sulphuric acid has been more largely made from</w:t></w:r>
</w:p>
<w:p>
<w:pPr><w:pStyle w:val="Normal"/></w:pPr>
<w:r><w:t xml:space="preserve">iron or copper pyrites.  Pyrites-acid is always arsenical,</w:t></w:r>
</w:p>
<w:p>
<w:pPr><w:pStyle w:val="Normal"/></w:pPr>
<w:r><w:t xml:space="preserve">but can, by suitable treatment, be easily freed from that</w:t></w:r>
</w:p>
<w:p>
<w:pPr><w:pStyle w:val="Normal"/></w:pPr>
<w:r><w:t xml:space="preserve">impurity.  For many purposes acid that has not been purified is</w:t></w:r>
</w:p>
<w:p>
<w:pPr><w:pStyle w:val="Normal"/></w:pPr>
<w:r><w:t xml:space="preserve">employed.  In the Leblanc process of manufacture the first step</w:t></w:r>
</w:p>
<w:p>
<w:pPr><w:pStyle w:val="Normal"/></w:pPr>
<w:r><w:t xml:space="preserve">is the conversion of salt into sodium sulphate by sulphuric</w:t></w:r>
</w:p>
<w:p>
<w:pPr><w:pStyle w:val="Normal"/></w:pPr>
<w:r><w:t xml:space="preserve">acid.  The hydrochloric acid which is formed carries with</w:t></w:r>
</w:p>
<w:p>
<w:pPr><w:pStyle w:val="Normal"/></w:pPr>
<w:r><w:t xml:space="preserve">it most of the arsenic of the sulphuric acid.  Wherever such</w:t></w:r>
</w:p>
<w:p>
<w:pPr><w:pStyle w:val="Normal"/></w:pPr>
<w:r><w:t xml:space="preserve">hydrochloric acid is used it introduces arsenic; thus, in</w:t></w:r>
</w:p>
<w:p>
<w:pPr><w:pStyle w:val="Normal"/></w:pPr>
<w:r><w:t xml:space="preserve">the separation of glycerin from soap lyes, the alkali of the</w:t></w:r>
</w:p>
<w:p>
<w:pPr><w:pStyle w:val="Normal"/></w:pPr>
<w:r><w:t xml:space="preserve">latter is neutralized with hydrochloric acid and glycerin</w:t></w:r>
</w:p>
<w:p>
<w:pPr><w:pStyle w:val="Normal"/></w:pPr>
<w:r><w:t xml:space="preserve">is in consequence frequently highly arsenical.  So is the</w:t></w:r>
</w:p>
<w:p>
<w:pPr><w:pStyle w:val="Normal"/></w:pPr>
<w:r><w:t xml:space="preserve">soda produced in the Leblanc process, and every one of the</w:t></w:r>
</w:p>
<w:p>
<w:pPr><w:pStyle w:val="Normal"/></w:pPr>
<w:r><w:t xml:space="preserve">numerous soda salts made from soda is liable to receive its</w:t></w:r>
</w:p>
<w:p>
<w:pPr><w:pStyle w:val="Normal"/></w:pPr>
<w:r><w:t xml:space="preserve">share.  All acids liberated from their salts by sulphuric</w:t></w:r>
</w:p>
<w:p>
<w:pPr><w:pStyle w:val="Normal"/></w:pPr>
<w:r><w:t xml:space="preserve">acid, such as phosphoric, tartaric, citric, boracic, may be,</w:t></w:r>
</w:p>
<w:p>
<w:pPr><w:pStyle w:val="Normal"/></w:pPr>
<w:r><w:t xml:space="preserve">and sometimes are, thus contaminated.  All superphosphates,</w:t></w:r>
</w:p>
<w:p>
<w:pPr><w:pStyle w:val="Normal"/></w:pPr>
<w:r><w:t xml:space="preserve">made by the action of crude sulphuric acid upon bones or</w:t></w:r>
</w:p>
<w:p>
<w:pPr><w:pStyle w:val="Normal"/></w:pPr>
<w:r><w:t xml:space="preserve">other phosphatic materials, and sulphate of ammonia, made</w:t></w:r>
</w:p>
<w:p>
<w:pPr><w:pStyle w:val="Normal"/></w:pPr>
<w:r><w:t xml:space="preserve">from gas-liquor and acid, that is to say, two of the most</w:t></w:r>
</w:p>
<w:p>
<w:pPr><w:pStyle w:val="Normal"/></w:pPr>
<w:r><w:t xml:space="preserve">important manurial materials, are arsenical, and the poison</w:t></w:r>
</w:p>
<w:p>
<w:pPr><w:pStyle w:val="Normal"/></w:pPr>
<w:r><w:t xml:space="preserve">is thus spread far and wide over meadows and fields, and can</w:t></w:r>
</w:p>
<w:p>
<w:pPr><w:pStyle w:val="Normal"/></w:pPr>
<w:r><w:t xml:space="preserve">be traced in the soil wherever artificial manures have been</w:t></w:r>
</w:p>
<w:p>
<w:pPr><w:pStyle w:val="Normal"/></w:pPr>
<w:r><w:t xml:space="preserve">applied.  The crops sometimes take up arsenic to a slight</w:t></w:r>
</w:p>
<w:p>
<w:pPr><w:pStyle w:val="Normal"/></w:pPr>
<w:r><w:t xml:space="preserve">extent, but happily the plant is more selective than man,</w:t></w:r>
</w:p>
<w:p>
<w:pPr><w:pStyle w:val="Normal"/></w:pPr>
<w:r><w:t xml:space="preserve">and no serious amount of poison absorption appears to be</w:t></w:r>
</w:p>
<w:p>
<w:pPr><w:pStyle w:val="Normal"/></w:pPr>
<w:r><w:t xml:space="preserve">possible.  The risk of contamination is, of course, much</w:t></w:r>
</w:p>
<w:p>
<w:pPr><w:pStyle w:val="Normal"/></w:pPr>
<w:r><w:t xml:space="preserve">greater with substances which, like glucose, are not further</w:t></w:r>
</w:p>
<w:p>
<w:pPr><w:pStyle w:val="Normal"/></w:pPr>
<w:r><w:t xml:space="preserve">purified by crystallization, but retain whatever impurity</w:t></w:r>
</w:p>
<w:p>
<w:pPr><w:pStyle w:val="Normal"/></w:pPr>
<w:r><w:t xml:space="preserve">is introduced into them.  Glucose is not only used in beer,</w:t></w:r>
</w:p>
<w:p>
<w:pPr><w:pStyle w:val="Normal"/></w:pPr>
<w:r><w:t xml:space="preserve">in which by legal enactments it is permitted to be used, but</w:t></w:r>
</w:p>
<w:p>
<w:pPr><w:pStyle w:val="Normal"/></w:pPr>
<w:r><w:t xml:space="preserve">is also substituted for sugar in a number of food products,</w:t></w:r>
</w:p>
<w:p>
<w:pPr><w:pStyle w:val="Normal"/></w:pPr>
<w:r><w:t xml:space="preserve">and is liable to carry into them its contamination.  Sugar</w:t></w:r>
</w:p>
<w:p>
<w:pPr><w:pStyle w:val="Normal"/></w:pPr>
<w:r><w:t xml:space="preserve">confectionery, jams and marmalade, honey, and such like, are</w:t></w:r>
</w:p>
<w:p>
<w:pPr><w:pStyle w:val="Normal"/></w:pPr>
<w:r><w:t xml:space="preserve">often admixed with glucose.  It is difficult to say in the</w:t></w:r>
</w:p>
<w:p>
<w:pPr><w:pStyle w:val="Normal"/></w:pPr>
<w:r><w:t xml:space="preserve">present state of the law whether such admixture amounts to</w:t></w:r>
</w:p>
<w:p>
<w:pPr><w:pStyle w:val="Normal"/></w:pPr>
<w:r><w:t xml:space="preserve">adulteration.  It was clearly made originally for fraudulent</w:t></w:r>
</w:p>
<w:p>
<w:pPr><w:pStyle w:val="Normal"/></w:pPr>
<w:r><w:t xml:space="preserve">purposes, but usage and high court decisions have gradually</w:t></w:r>
</w:p>
<w:p>
<w:pPr><w:pStyle w:val="Normal"/></w:pPr>
<w:r><w:t xml:space="preserve">given the practice an air of respectability.  Vinegar of sorts</w:t></w:r>
</w:p>
<w:p>
<w:pPr><w:pStyle w:val="Normal"/></w:pPr>
<w:r><w:t xml:space="preserve">is also made from a glucose liquor produced by the action</w:t></w:r>
</w:p>
<w:p>
<w:pPr><w:pStyle w:val="Normal"/></w:pPr>
<w:r><w:t xml:space="preserve">of sulphuric acid upon maize or other starchy material, and</w:t></w:r>
</w:p>
<w:p>
<w:pPr><w:pStyle w:val="Normal"/></w:pPr>
<w:r><w:t xml:space="preserve">is, in its turn, exposed to arsenic contamination.  There is</w:t></w:r>
</w:p>
<w:p>
<w:pPr><w:pStyle w:val="Normal"/></w:pPr>
<w:r><w:t xml:space="preserve">hardly a chemical substance which has directly or indirectly</w:t></w:r>
</w:p>
<w:p>
<w:pPr><w:pStyle w:val="Normal"/></w:pPr>
<w:r><w:t xml:space="preserve">come into contact with sulphuric acid that is not at times</w:t></w:r>
</w:p>
<w:p>
<w:pPr><w:pStyle w:val="Normal"/></w:pPr>
<w:r><w:t xml:space="preserve">arsenical.  Thus, while artificial colours, now so much used</w:t></w:r>
</w:p>
<w:p>
<w:pPr><w:pStyle w:val="Normal"/></w:pPr>
<w:r><w:t xml:space="preserve">for the dyeing of food products, are no longer prepared---as</w:t></w:r>
</w:p>
<w:p>
<w:pPr><w:pStyle w:val="Normal"/></w:pPr>
<w:r><w:t xml:space="preserve">was rosaniline (the parent substance of so many aniline dyes)</w:t></w:r>
</w:p>
<w:p>
<w:pPr><w:pStyle w:val="Normal"/></w:pPr>
<w:r><w:t xml:space="preserve">at an early stage of its manufacture--with arsenic acid, yet</w:t></w:r>
</w:p>
<w:p>
<w:pPr><w:pStyle w:val="Normal"/></w:pPr>
<w:r><w:t xml:space="preserve">they are often contaminated indirectly from sulphuric acid.</w:t></w:r>
</w:p>
<w:p>
<w:pPr><w:pStyle w:val="Normal"/></w:pPr>
<w:r><w:t xml:space="preserve">Furthermore, hardly any metal that results from the smelting</w:t></w:r>
</w:p>
<w:p>
<w:pPr><w:pStyle w:val="Normal"/></w:pPr>
<w:r><w:t xml:space="preserve">of any ore with coal is free from arsenic, iron in particular,</w:t></w:r>
</w:p>
<w:p>
<w:pPr><w:pStyle w:val="Normal"/></w:pPr>
<w:r><w:t xml:space="preserve">as employed for pots and pans and implements, being highly</w:t></w:r>
</w:p>
<w:p>
<w:pPr><w:pStyle w:val="Normal"/></w:pPr>
<w:r><w:t xml:space="preserve">arsenical.  From the iron the many chemical preparations</w:t></w:r>
</w:p>
<w:p>
<w:pPr><w:pStyle w:val="Normal"/></w:pPr>
<w:r><w:t xml:space="preserve">which contain or are made with the aid of iron salts may be</w:t></w:r>
</w:p>
<w:p>
<w:pPr><w:pStyle w:val="Normal"/></w:pPr>
<w:r><w:t xml:space="preserve">arsenicated.  The general presence of arsenic from some of</w:t></w:r>
</w:p>
<w:p>
<w:pPr><w:pStyle w:val="Normal"/></w:pPr>
<w:r><w:t xml:space="preserve">these causes has been known for many years; outbreaks of</w:t></w:r>
</w:p>
<w:p>
<w:pPr><w:pStyle w:val="Normal"/></w:pPr>
<w:r><w:t xml:space="preserve">arsenical poisoning have been due to it at various times, but</w:t></w:r>
</w:p>
<w:p>
<w:pPr><w:pStyle w:val="Normal"/></w:pPr>
<w:r><w:t xml:space="preserve">neglect, forgetfulness and human shortsightedness let the</w:t></w:r>
</w:p>
<w:p>
<w:pPr><w:pStyle w:val="Normal"/></w:pPr>
<w:r><w:t xml:space="preserve">matter go into oblivion, and it is safe to predict, in spite</w:t></w:r>
</w:p>
<w:p>
<w:pPr><w:pStyle w:val="Normal"/></w:pPr>
<w:r><w:t xml:space="preserve">of all attention which has been given to the subject, of the</w:t></w:r>
</w:p>
<w:p>
<w:pPr><w:pStyle w:val="Normal"/></w:pPr>
<w:r><w:t xml:space="preserve">panic which was created by the beer-poisoning outbreak, of</w:t></w:r>
</w:p>
<w:p>
<w:pPr><w:pStyle w:val="Normal"/></w:pPr>
<w:r><w:t xml:space="preserve">the shock and injury caused to manufacturers of many kinds,</w:t></w:r>
</w:p>
<w:p>
<w:pPr><w:pStyle w:val="Normal"/></w:pPr>
<w:r><w:t xml:space="preserve">and of the watchfulness aroused in officers of health and</w:t></w:r>
</w:p>
<w:p>
<w:pPr><w:pStyle w:val="Normal"/></w:pPr>
<w:r><w:t xml:space="preserve">analysts, that as long as the production of food materials</w:t></w:r>
</w:p>
<w:p>
<w:pPr><w:pStyle w:val="Normal"/></w:pPr>
<w:r><w:t xml:space="preserve">or substances that go into food materials is not left to the</w:t></w:r>
</w:p>
<w:p>
<w:pPr><w:pStyle w:val="Normal"/></w:pPr>
<w:r><w:t xml:space="preserve">care of nature, and as long as man adds the products of his</w:t></w:r>
</w:p>
<w:p>
<w:pPr><w:pStyle w:val="Normal"/></w:pPr>
<w:r><w:t xml:space="preserve">ingenuity to our food and drink, so long will ``accidents,&apos;&apos;</w:t></w:r>
</w:p>
<w:p>
<w:pPr><w:pStyle w:val="Normal"/></w:pPr>
<w:r><w:t xml:space="preserve">like the Manchester poisoning, from time to time recur.</w:t></w:r>
</w:p>
<w:p>
<w:pPr><w:pStyle w:val="Normal"/></w:pPr>
<w:r><w:t xml:space="preserve">We now search for arsenic; some other time it is lead, or</w:t></w:r>
</w:p>
<w:p>
<w:pPr><w:pStyle w:val="Normal"/></w:pPr>
<w:r><w:t xml:space="preserve">antimony, or selenium, that will do the mischief.  Man does</w:t></w:r>
</w:p>
<w:p>
<w:pPr><w:pStyle w:val="Normal"/></w:pPr>
<w:r><w:t xml:space="preserve">what he can according to his light, but he sees but a little</w:t></w:r>
</w:p>
<w:p>
<w:pPr><w:pStyle w:val="Normal"/></w:pPr>
<w:r><w:t xml:space="preserve">patch of the sky of knowledge, while the plant or the animal</w:t></w:r>
</w:p>
<w:p>
<w:pPr><w:pStyle w:val="Normal"/></w:pPr>
<w:r><w:t xml:space="preserve">building up its body from the plant has learned by inheritance</w:t></w:r>
</w:p>
<w:p>
<w:pPr><w:pStyle w:val="Normal"/></w:pPr>
<w:r><w:t xml:space="preserve">to avoid the assimilation of matters noxious to it.  Strictly</w:t></w:r>
</w:p>
<w:p>
<w:pPr><w:pStyle w:val="Normal"/></w:pPr>
<w:r><w:t xml:space="preserve">speaking, arsenical poisoning does not belong to the subject of</w:t></w:r>
</w:p>
<w:p>
<w:pPr><w:pStyle w:val="Normal"/></w:pPr>
<w:r><w:t xml:space="preserve">adulteration.  It is not due to wilfulness but to stupidity,</w:t></w:r>
</w:p>
<w:p>
<w:pPr><w:pStyle w:val="Normal"/></w:pPr>
<w:r><w:t xml:space="preserve">but it affords a lesson which cannot be taken too much to</w:t></w:r>
</w:p>
<w:p>
<w:pPr><w:pStyle w:val="Normal"/></w:pPr>
<w:r><w:t xml:space="preserve">heart, that mankind, by relying too much upon ``science&apos;&apos;</w:t></w:r>
</w:p>
<w:p>
<w:pPr><w:pStyle w:val="Normal"/></w:pPr>
<w:r><w:t xml:space="preserve">in feeding, is on a path that is fraught with considerable</w:t></w:r>
</w:p>
<w:p>
<w:pPr><w:pStyle w:val="Normal"/></w:pPr>
<w:r><w:t xml:space="preserve">danger.  To safeguard consumers, as far as practicable, the</w:t></w:r>
</w:p>
<w:p>
<w:pPr><w:pStyle w:val="Normal"/></w:pPr>
<w:r><w:t xml:space="preserve">royal commission made important recommendations concerning</w:t></w:r>
</w:p>
<w:p>
<w:pPr><w:pStyle w:val="Normal"/></w:pPr>
<w:r><w:t xml:space="preserve">amendments of the Food Acts; these, as at present interpreted</w:t></w:r>
</w:p>
<w:p>
<w:pPr><w:pStyle w:val="Normal"/></w:pPr>
<w:r><w:t xml:space="preserve">and administered, were reported to be unsatisfactory for</w:t></w:r>
</w:p>
<w:p>
<w:pPr><w:pStyle w:val="Normal"/></w:pPr>
<w:r><w:t xml:space="preserve">the purpose of protecting the consumer against arsenic and</w:t></w:r>
</w:p>
<w:p>
<w:pPr><w:pStyle w:val="Normal"/></w:pPr>
<w:r><w:t xml:space="preserve">other deleterious substances in food. ``As a rule public</w:t></w:r>
</w:p>
<w:p>
<w:pPr><w:pStyle w:val="Normal"/></w:pPr>
<w:r><w:t xml:space="preserve">analysts receive samples in order that they may pronounce</w:t></w:r>
</w:p>
<w:p>
<w:pPr><w:pStyle w:val="Normal"/></w:pPr>
<w:r><w:t xml:space="preserve">upon their genuineness or otherwise, knowing nothing of the</w:t></w:r>
</w:p>
<w:p>
<w:pPr><w:pStyle w:val="Normal"/></w:pPr>
<w:r><w:t xml:space="preserve">local circumstances which led to their being taken, of their</w:t></w:r>
</w:p>
<w:p>
<w:pPr><w:pStyle w:val="Normal"/></w:pPr>
<w:r><w:t xml:space="preserve">origin or the reasons for sending them.  The term `genuine&apos;</w:t></w:r>
</w:p>
<w:p>
<w:pPr><w:pStyle w:val="Normal"/></w:pPr>
<w:r><w:t xml:space="preserve">in this sense means that the analyst has not detected such</w:t></w:r>
</w:p>
<w:p>
<w:pPr><w:pStyle w:val="Normal"/></w:pPr>
<w:r><w:t xml:space="preserve">objectionable substances as he has considered it necessary</w:t></w:r>
</w:p>
<w:p>
<w:pPr><w:pStyle w:val="Normal"/></w:pPr>
<w:r><w:t xml:space="preserve">to look for in the sample submitted to him.  Obviously, the</w:t></w:r>
</w:p>
<w:p>
<w:pPr><w:pStyle w:val="Normal"/></w:pPr>
<w:r><w:t xml:space="preserve">value of the statement that the sample is `genuine&apos; depends</w:t></w:r>
</w:p>
<w:p>
<w:pPr><w:pStyle w:val="Normal"/></w:pPr>
<w:r><w:t xml:space="preserve">upon the extent to which the analyst has means of knowing</w:t></w:r>
</w:p>
<w:p>
<w:pPr><w:pStyle w:val="Normal"/></w:pPr>
<w:r><w:t xml:space="preserve">what are the objectionable substances which it is liable to</w:t></w:r>
</w:p>
<w:p>
<w:pPr><w:pStyle w:val="Normal"/></w:pPr>
<w:r><w:t xml:space="preserve">contain.  In present circumstances he has not sufficient</w:t></w:r>
</w:p>
<w:p>
<w:pPr><w:pStyle w:val="Normal"/></w:pPr>
<w:r><w:t xml:space="preserve">information on this point.&apos;&apos; It was also pointed out that the</w:t></w:r>
</w:p>
<w:p>
<w:pPr><w:pStyle w:val="Normal"/></w:pPr>
<w:r><w:t xml:space="preserve">application of the Food Acts to prevention of contamination</w:t></w:r>
</w:p>
<w:p>
<w:pPr><w:pStyle w:val="Normal"/></w:pPr>
<w:r><w:t xml:space="preserve">of foods by deleterious substances was materially hindered</w:t></w:r>
</w:p>
<w:p>
<w:pPr><w:pStyle w:val="Normal"/></w:pPr>
<w:r><w:t xml:space="preserve">by want of an official authority with the duty of dealing</w:t></w:r>
</w:p>
<w:p>
<w:pPr><w:pStyle w:val="Normal"/></w:pPr>
<w:r><w:t xml:space="preserve">with the various medical, chemical and technical questions</w:t></w:r>
</w:p>
<w:p>
<w:pPr><w:pStyle w:val="Normal"/></w:pPr>
<w:r><w:t xml:space="preserve">involved, and that the absence of official standards militated</w:t></w:r>
</w:p>
<w:p>
<w:pPr><w:pStyle w:val="Normal"/></w:pPr>
<w:r><w:t xml:space="preserve">against the efficiency of the existing acts.  The commission</w:t></w:r>
</w:p>
<w:p>
<w:pPr><w:pStyle w:val="Normal"/></w:pPr>
<w:r><w:t xml:space="preserve">advised that a special officer be appointed by the Local</w:t></w:r>
</w:p>
<w:p>
<w:pPr><w:pStyle w:val="Normal"/></w:pPr>
<w:r><w:t xml:space="preserve">Government Board to obtain by inquiries from various sources,</w:t></w:r>
</w:p>
<w:p>
<w:pPr><w:pStyle w:val="Normal"/></w:pPr>
<w:r><w:t xml:space="preserve">such information as would enable the board to direct the work</w:t></w:r>
</w:p>
<w:p>
<w:pPr><w:pStyle w:val="Normal"/></w:pPr>
<w:r><w:t xml:space="preserve">of local authorities in securing greater purity of food; and</w:t></w:r>
</w:p>
<w:p>
<w:pPr><w:pStyle w:val="Normal"/></w:pPr>
<w:r><w:t xml:space="preserve">they further recommended that the board or court of reference,</w:t></w:r>
</w:p>
<w:p>
<w:pPr><w:pStyle w:val="Normal"/></w:pPr>
<w:r><w:t xml:space="preserve">which had been advised by the Committee on Food Products</w:t></w:r>
</w:p>
<w:p>
<w:pPr><w:pStyle w:val="Normal"/></w:pPr>
<w:r><w:t xml:space="preserve">Adulteration, should be established.  Pending the establishment</w:t></w:r>
</w:p>
<w:p>
<w:pPr><w:pStyle w:val="Normal"/></w:pPr>
<w:r><w:t xml:space="preserve">of official standards in respect of arsenic under the Food</w:t></w:r>
</w:p>
<w:p>
<w:pPr><w:pStyle w:val="Normal"/></w:pPr>
<w:r><w:t xml:space="preserve">Acts, they were of opinion that penalties should be imposed</w:t></w:r>
</w:p>
<w:p>
<w:pPr><w:pStyle w:val="Normal"/></w:pPr>
<w:r><w:t xml:space="preserve">upon any vendor of beer or any other liquid food, or of any</w:t></w:r>
</w:p>
<w:p>
<w:pPr><w:pStyle w:val="Normal"/></w:pPr>
<w:r><w:t xml:space="preserve">liquor entering into the composition of food, if that liquid</w:t></w:r>
</w:p>
<w:p>
<w:pPr><w:pStyle w:val="Normal"/></w:pPr>
<w:r><w:t xml:space="preserve">be shown by adequate test to contain one-hundredth of a grain</w:t></w:r>
</w:p>
<w:p>
<w:pPr><w:pStyle w:val="Normal"/></w:pPr>
<w:r><w:t xml:space="preserve">or more of arsenic in the gallon, and with regard to solid</w:t></w:r>
</w:p>
<w:p>
<w:pPr><w:pStyle w:val="Normal"/></w:pPr>
<w:r><w:t xml:space="preserve">food, no matter whether it be consumed habitually in large or</w:t></w:r>
</w:p>
<w:p>
<w:pPr><w:pStyle w:val="Normal"/></w:pPr>
<w:r><w:t xml:space="preserve">small quantities, or whether it be taken by itself (like golden</w:t></w:r>
</w:p>
<w:p>
<w:pPr><w:pStyle w:val="Normal"/></w:pPr>
<w:r><w:t xml:space="preserve">syrup), or mixed with water or other substances (like chicory</w:t></w:r>
</w:p>
<w:p>
<w:pPr><w:pStyle w:val="Normal"/></w:pPr>
<w:r><w:t xml:space="preserve">or yeast extract)--if the substance contain one-hundredth of a</w:t></w:r>
</w:p>
<w:p>
<w:pPr><w:pStyle w:val="Normal"/></w:pPr>
<w:r><w:t xml:space="preserve">grain of arsenic or more to the pound.  The board of reference,</w:t></w:r>
</w:p>
<w:p>
<w:pPr><w:pStyle w:val="Normal"/></w:pPr>
<w:r><w:t xml:space="preserve">most urgently needed for the protection of the public and</w:t></w:r>
</w:p>
<w:p>
<w:pPr><w:pStyle w:val="Normal"/></w:pPr>
<w:r><w:t xml:space="preserve">for the guidance of manufacturers and officers, has yet to be</w:t></w:r>
</w:p>
<w:p>
<w:pPr><w:pStyle w:val="Normal"/></w:pPr>
<w:r><w:t xml:space="preserve">created.  While from time immemorial certain articles of food</w:t></w:r>
</w:p>
<w:p>
<w:pPr><w:pStyle w:val="Normal"/></w:pPr>
<w:r><w:t xml:space="preserve">have been preserved by salting, smoking, drying, or by the</w:t></w:r>
</w:p>
<w:p>
<w:pPr><w:pStyle w:val="Normal"/></w:pPr>
<w:r><w:t xml:space="preserve">addition of sugar and in some cases of saltpetre, during the</w:t></w:r>
</w:p>
<w:p>
<w:pPr><w:pStyle w:val="Normal"/></w:pPr>
<w:r><w:t xml:space="preserve">last quarter of the 10th century the use of chemicals acting</w:t></w:r>
</w:p>
<w:p>
<w:pPr><w:pStyle w:val="Normal"/></w:pPr>
<w:r><w:t xml:space="preserve">more powerfully as antiseptics or preservatives extended</w:t></w:r>
</w:p>
<w:p>
<w:pPr><w:pStyle w:val="Normal"/></w:pPr>
<w:r><w:t xml:space="preserve">enormously, particularly in England.  A very large fraction</w:t></w:r>
</w:p>
<w:p>
<w:pPr><w:pStyle w:val="Normal"/></w:pPr>
<w:r><w:t xml:space="preserve">of the British food supply being obtained from abroad, a</w:t></w:r>
</w:p>
<w:p>
<w:pPr><w:pStyle w:val="Normal"/></w:pPr>
<w:r><w:t xml:space="preserve">proportionately great difficulty exists in obtaining the</w:t></w:r>
</w:p>
<w:p>
<w:pPr><w:pStyle w:val="Normal"/></w:pPr>
<w:r><w:t xml:space="preserve">food in an entirely fresh and untainted condition.  While</w:t></w:r>
</w:p>
<w:p>
<w:pPr><w:pStyle w:val="Normal"/></w:pPr>
<w:r><w:t xml:space="preserve">refrigeration and cold-storage has been the chief factor in</w:t></w:r>
</w:p>
<w:p>
<w:pPr><w:pStyle w:val="Normal"/></w:pPr>
<w:r><w:t xml:space="preserve">enabling the meat and other highly perishable foods to be</w:t></w:r>
</w:p>
<w:p>
<w:pPr><w:pStyle w:val="Normal"/></w:pPr>
<w:r><w:t xml:space="preserve">imported, other steps, ensuring preservation of goods that</w:t></w:r>
</w:p>
<w:p>
<w:pPr><w:pStyle w:val="Normal"/></w:pPr>
<w:r><w:t xml:space="preserve">are collected from farmers and brought together at shipping</w:t></w:r>
</w:p>
<w:p>
<w:pPr><w:pStyle w:val="Normal"/></w:pPr>
<w:r><w:t xml:space="preserve">ports, are necessary to prevent decomposition prior to such</w:t></w:r>
</w:p>
<w:p>
<w:pPr><w:pStyle w:val="Normal"/></w:pPr>
<w:r><w:t xml:space="preserve">goods coming into cold store.  Thus it is well-nigh impossible</w:t></w:r>
</w:p>
<w:p>
<w:pPr><w:pStyle w:val="Normal"/></w:pPr>
<w:r><w:t xml:space="preserve">to collect butter from farms in Australia or New Zealand far</w:t></w:r>
</w:p>
<w:p>
<w:pPr><w:pStyle w:val="Normal"/></w:pPr>
<w:r><w:t xml:space="preserve">distant from the coast without the addition of some chemical</w:t></w:r>
</w:p>
<w:p>
<w:pPr><w:pStyle w:val="Normal"/></w:pPr>
<w:r><w:t xml:space="preserve">preservative.  Heavily salted goods no longer appeal to the</w:t></w:r>
</w:p>
<w:p>
<w:pPr><w:pStyle w:val="Normal"/></w:pPr>
<w:r><w:t xml:space="preserve">modern palate, and, with the progress of specialized labour,</w:t></w:r>
</w:p>
<w:p>
<w:pPr><w:pStyle w:val="Normal"/></w:pPr>
<w:r><w:t xml:space="preserve">the inhabitants, especially of great towns, have become</w:t></w:r>
</w:p>
<w:p>
<w:pPr><w:pStyle w:val="Normal"/></w:pPr>
<w:r><w:t xml:space="preserve">accustomed to resort to manufactured provisions instead of</w:t></w:r>
</w:p>
<w:p>
<w:pPr><w:pStyle w:val="Normal"/></w:pPr>
<w:r><w:t xml:space="preserve">the home-made and home-cooked food.  Manufacturers of many</w:t></w:r>
</w:p>
<w:p>
<w:pPr><w:pStyle w:val="Normal"/></w:pPr>
<w:r><w:t xml:space="preserve">articles of preserved food gradually adopted the use of</w:t></w:r>
</w:p>
<w:p>
<w:pPr><w:pStyle w:val="Normal"/></w:pPr>
<w:r><w:t xml:space="preserve">chemical preservatives, and at the present time the practice</w:t></w:r>
</w:p>
<w:p>
<w:pPr><w:pStyle w:val="Normal"/></w:pPr>
<w:r><w:t xml:space="preserve">has become so general that it may be said that practically</w:t></w:r>
</w:p>
<w:p>
<w:pPr><w:pStyle w:val="Normal"/></w:pPr>
<w:r><w:t xml:space="preserve">every person in the United Kingdom who has passed the suckling</w:t></w:r>
</w:p>
<w:p>
<w:pPr><w:pStyle w:val="Normal"/></w:pPr>
<w:r><w:t xml:space="preserve">stage consumes daily more or less food containing chemical</w:t></w:r>
</w:p>
<w:p>
<w:pPr><w:pStyle w:val="Normal"/></w:pPr>
<w:r><w:t xml:space="preserve">preservatives.  The Food Act allows of the addition of any</w:t></w:r>
</w:p>
<w:p>
<w:pPr><w:pStyle w:val="Normal"/></w:pPr>
<w:r><w:t xml:space="preserve">ingredient, not injurious to health, if it be required for</w:t></w:r>
</w:p>
<w:p>
<w:pPr><w:pStyle w:val="Normal"/></w:pPr>
<w:r><w:t xml:space="preserve">the production or preparation of the food, or as an article</w:t></w:r>
</w:p>
<w:p>
<w:pPr><w:pStyle w:val="Normal"/></w:pPr>
<w:r><w:t xml:space="preserve">of commerce, in a state fit for carriage.  The legality or</w:t></w:r>
</w:p>
<w:p>
<w:pPr><w:pStyle w:val="Normal"/></w:pPr>
<w:r><w:t xml:space="preserve">otherwise of the use of chemical preservatives, therefore,</w:t></w:r>
</w:p>
<w:p>
<w:pPr><w:pStyle w:val="Normal"/></w:pPr>
<w:r><w:t xml:space="preserve">hinges upon their innocuousness.  Upon theoretical considerations</w:t></w:r>
</w:p>
<w:p>
<w:pPr><w:pStyle w:val="Normal"/></w:pPr>
<w:r><w:t xml:space="preserve">it is clear that a substance which is capable of acting as</w:t></w:r>
</w:p>
<w:p>
<w:pPr><w:pStyle w:val="Normal"/></w:pPr>
<w:r><w:t xml:space="preserve">an antiseptic mnst act injuriously upon bacteria, fungi or</w:t></w:r>
</w:p>
<w:p>
<w:pPr><w:pStyle w:val="Normal"/></w:pPr>
<w:r><w:t xml:space="preserve">yeasts, and as the human body is, generally speaking, less</w:t></w:r>
</w:p>
<w:p>
<w:pPr><w:pStyle w:val="Normal"/></w:pPr>
<w:r><w:t xml:space="preserve">resistant to poisons than the low organisms in question, it</w:t></w:r>
</w:p>
<w:p>
<w:pPr><w:pStyle w:val="Normal"/></w:pPr>
<w:r><w:t xml:space="preserve">would seem to follow that antiseptics are bound to affect it</w:t></w:r>
</w:p>
<w:p>
<w:pPr><w:pStyle w:val="Normal"/></w:pPr>
<w:r><w:t xml:space="preserve">injuriously.  It is, of course, a question of dose and</w:t></w:r>
</w:p>
<w:p>
<w:pPr><w:pStyle w:val="Normal"/></w:pPr>
<w:r><w:t xml:space="preserve">proportion.  It has further been said that all antiseptics</w:t></w:r>
</w:p>
<w:p>
<w:pPr><w:pStyle w:val="Normal"/></w:pPr>
<w:r><w:t xml:space="preserve">possess some sort of medicinal action, and however valuable</w:t></w:r>
</w:p>
<w:p>
<w:pPr><w:pStyle w:val="Normal"/></w:pPr>
<w:r><w:t xml:space="preserve">they may be in disease when administered under the control</w:t></w:r>
</w:p>
<w:p>
<w:pPr><w:pStyle w:val="Normal"/></w:pPr>
<w:r><w:t xml:space="preserve">of a competent physician, they have no business to be given</w:t></w:r>
</w:p>
<w:p>
<w:pPr><w:pStyle w:val="Normal"/></w:pPr>
<w:r><w:t xml:space="preserve">indiscriminately to sick and healthy alike by purveyors of</w:t></w:r>
</w:p>
<w:p>
<w:pPr><w:pStyle w:val="Normal"/></w:pPr>
<w:r><w:t xml:space="preserve">food.  The result of a general desire on the part of importers</w:t></w:r>
</w:p>
<w:p>
<w:pPr><w:pStyle w:val="Normal"/></w:pPr>
<w:r><w:t xml:space="preserve">and manufacturers of food materials, of the officers under</w:t></w:r>
</w:p>
<w:p>
<w:pPr><w:pStyle w:val="Normal"/></w:pPr>
<w:r><w:t xml:space="preserve">the Food Act, of the medical profession and of the public,</w:t></w:r>
</w:p>
<w:p>
<w:pPr><w:pStyle w:val="Normal"/></w:pPr>
<w:r><w:t xml:space="preserve">resulted after many years of agitation and complaint and</w:t></w:r>
</w:p>
<w:p>
<w:pPr><w:pStyle w:val="Normal"/></w:pPr>
<w:r><w:t xml:space="preserve">after numerous conflicting magisterial decisions, in the</w:t></w:r>
</w:p>
<w:p>
<w:pPr><w:pStyle w:val="Normal"/></w:pPr>
<w:r><w:t xml:space="preserve">appointment in 1899, by the president of the Local Government</w:t></w:r>
</w:p>
<w:p>
<w:pPr><w:pStyle w:val="Normal"/></w:pPr>
<w:r><w:t xml:space="preserve">Board, of a departmental committee to inquire into the use</w:t></w:r>
</w:p>
<w:p>
<w:pPr><w:pStyle w:val="Normal"/></w:pPr>
<w:r><w:t xml:space="preserve">of preservatives and colouring matters in food, with the</w:t></w:r>
</w:p>
<w:p>
<w:pPr><w:pStyle w:val="Normal"/></w:pPr>
<w:r><w:t xml:space="preserve">reference to report: first, whether the use of such materials</w:t></w:r>
</w:p>
<w:p>
<w:pPr><w:pStyle w:val="Normal"/></w:pPr>
<w:r><w:t xml:space="preserve">or any of them, in certain quantities, is injurious to</w:t></w:r>
</w:p>
<w:p>
<w:pPr><w:pStyle w:val="Normal"/></w:pPr>
<w:r><w:t xml:space="preserve">health, and, if so, in what proportion does their use become</w:t></w:r>
</w:p>
<w:p>
<w:pPr><w:pStyle w:val="Normal"/></w:pPr>
<w:r><w:t xml:space="preserve">injurious, and, second, to what extent and in what amounts</w:t></w:r>
</w:p>
<w:p>
<w:pPr><w:pStyle w:val="Normal"/></w:pPr>
<w:r><w:t xml:space="preserve">are they used at the present time.  After the examination</w:t></w:r>
</w:p>
<w:p>
<w:pPr><w:pStyle w:val="Normal"/></w:pPr>
<w:r><w:t xml:space="preserve">of a great number of witnesses a report was issued in</w:t></w:r>
</w:p>
<w:p>
<w:pPr><w:pStyle w:val="Normal"/></w:pPr>
<w:r><w:t xml:space="preserve">1901.  Perhaps the most important conclusion was that the</w:t></w:r>
</w:p>
<w:p>
<w:pPr><w:pStyle w:val="Normal"/></w:pPr>
<w:r><w:t xml:space="preserve">instances of actual harm which were alleged to have occurred</w:t></w:r>
</w:p>
<w:p>
<w:pPr><w:pStyle w:val="Normal"/></w:pPr>
<w:r><w:t xml:space="preserve">from the consumption of articles of food and drink chemically</w:t></w:r>
</w:p>
<w:p>
<w:pPr><w:pStyle w:val="Normal"/></w:pPr>
<w:r><w:t xml:space="preserve">preserved were few in number, and were not at all supported</w:t></w:r>
</w:p>
<w:p>
<w:pPr><w:pStyle w:val="Normal"/></w:pPr>
<w:r><w:t xml:space="preserve">by conclusive evidence.  During the period which has elapsed</w:t></w:r>
</w:p>
<w:p>
<w:pPr><w:pStyle w:val="Normal"/></w:pPr>
<w:r><w:t xml:space="preserve">since chemically preserved food has been used, the mortality</w:t></w:r>
</w:p>
<w:p>
<w:pPr><w:pStyle w:val="Normal"/></w:pPr>
<w:r><w:t xml:space="preserve">as a whole has . declined, and while this naturally cannot</w:t></w:r>
</w:p>
<w:p>
<w:pPr><w:pStyle w:val="Normal"/></w:pPr>
<w:r><w:t xml:space="preserve">be put to the credit of the preservatives but is largely</w:t></w:r>
</w:p>
<w:p>
<w:pPr><w:pStyle w:val="Normal"/></w:pPr>
<w:r><w:t xml:space="preserve">due to better feeding in consequence of the introduction of</w:t></w:r>
</w:p>
<w:p>
<w:pPr><w:pStyle w:val="Normal"/></w:pPr>
<w:r><w:t xml:space="preserve">cheaper foods, which are rendered possible to some extent</w:t></w:r>
</w:p>
<w:p>
<w:pPr><w:pStyle w:val="Normal"/></w:pPr>
<w:r><w:t xml:space="preserve">by the use of preservatives, it conclusively establishes the</w:t></w:r>
</w:p>
<w:p>
<w:pPr><w:pStyle w:val="Normal"/></w:pPr>
<w:r><w:t xml:space="preserve">fact that no obvious harm has been done to the health of the</w:t></w:r>
</w:p>
<w:p>
<w:pPr><w:pStyle w:val="Normal"/></w:pPr>
<w:r><w:t xml:space="preserve">community.  The committee made certain recommendations which</w:t></w:r>
</w:p>
<w:p>
<w:pPr><w:pStyle w:val="Normal"/></w:pPr>
<w:r><w:t xml:space="preserve">are the most authoritative pronouncements upon the subject.</w:t></w:r>
</w:p>
<w:p>
<w:pPr><w:pStyle w:val="Normal"/></w:pPr>
<w:r><w:t xml:space="preserve">They are as follows:--That the use of formaldehyde or formalin,</w:t></w:r>
</w:p>
<w:p>
<w:pPr><w:pStyle w:val="Normal"/></w:pPr>
<w:r><w:t xml:space="preserve">or preparations thereof, in food or drinks, be absolutely</w:t></w:r>
</w:p>
<w:p>
<w:pPr><w:pStyle w:val="Normal"/></w:pPr>
<w:r><w:t xml:space="preserve">prohibited, and that salicylic acid be not used in a greater</w:t></w:r>
</w:p>
<w:p>
<w:pPr><w:pStyle w:val="Normal"/></w:pPr>
<w:r><w:t xml:space="preserve">proportion than one grain per pint in liquid food and one</w:t></w:r>
</w:p>
<w:p>
<w:pPr><w:pStyle w:val="Normal"/></w:pPr>
<w:r><w:t xml:space="preserve">grain per pound in solid food, its presence in all cases to be</w:t></w:r>
</w:p>
<w:p>
<w:pPr><w:pStyle w:val="Normal"/></w:pPr>
<w:r><w:t xml:space="preserve">declared.  That the use of any preservatives or colouring</w:t></w:r>
</w:p>
<w:p>
<w:pPr><w:pStyle w:val="Normal"/></w:pPr>
<w:r><w:t xml:space="preserve">matter whatever in milk offered for sale in the United Kingdom</w:t></w:r>
</w:p>
<w:p>
<w:pPr><w:pStyle w:val="Normal"/></w:pPr>
<w:r><w:t xml:space="preserve">be constituted an offence under the Sale of Food and Drugs</w:t></w:r>
</w:p>
<w:p>
<w:pPr><w:pStyle w:val="Normal"/></w:pPr>
<w:r><w:t xml:space="preserve">Act. That the only preservative which it shall be lawful to</w:t></w:r>
</w:p>
<w:p>
<w:pPr><w:pStyle w:val="Normal"/></w:pPr>
<w:r><w:t xml:space="preserve">use in cream be boric acid, or mixtures of boric acid and</w:t></w:r>
</w:p>
<w:p>
<w:pPr><w:pStyle w:val="Normal"/></w:pPr>
<w:r><w:t xml:space="preserve">borax, and in amount not exceeding 0.25% expressed as boric</w:t></w:r>
</w:p>
<w:p>
<w:pPr><w:pStyle w:val="Normal"/></w:pPr>
<w:r><w:t xml:space="preserve">acid, the amount of such preservative to be notified by a</w:t></w:r>
</w:p>
<w:p>
<w:pPr><w:pStyle w:val="Normal"/></w:pPr>
<w:r><w:t xml:space="preserve">label upon the vessel.  That the only preservative permitted</w:t></w:r>
</w:p>
<w:p>
<w:pPr><w:pStyle w:val="Normal"/></w:pPr>
<w:r><w:t xml:space="preserve">to be used in butter and margarine be boric acid, or mixtures</w:t></w:r>
</w:p>
<w:p>
<w:pPr><w:pStyle w:val="Normal"/></w:pPr>
<w:r><w:t xml:space="preserve">of boric acid and borax, to be used in proportions not</w:t></w:r>
</w:p>
<w:p>
<w:pPr><w:pStyle w:val="Normal"/></w:pPr>
<w:r><w:t xml:space="preserve">exceeding 0.5% expressed as boric acid.  That in the case of</w:t></w:r>
</w:p>
<w:p>
<w:pPr><w:pStyle w:val="Normal"/></w:pPr>
<w:r><w:t xml:space="preserve">all dietetic preparations intended for the use of invalids or</w:t></w:r>
</w:p>
<w:p>
<w:pPr><w:pStyle w:val="Normal"/></w:pPr>
<w:r><w:t xml:space="preserve">infants, chemical preservatives of all kinds be prohibited.</w:t></w:r>
</w:p>
<w:p>
<w:pPr><w:pStyle w:val="Normal"/></w:pPr>
<w:r><w:t xml:space="preserve">Borax.</w:t></w:r>
</w:p>
<w:p>
<w:pPr><w:pStyle w:val="Normal"/></w:pPr>
<w:r><w:t xml:space="preserve">As the most commonly used chemical preservative is boric acid,</w:t></w:r>
</w:p>
<w:p>
<w:pPr><w:pStyle w:val="Normal"/></w:pPr>
<w:r><w:t xml:space="preserve">free or in the form of borax, which is extensively employed</w:t></w:r>
</w:p>
<w:p>
<w:pPr><w:pStyle w:val="Normal"/></w:pPr>
<w:r><w:t xml:space="preserve">in butter, cream, ham, sausages, potted meats, cured butter,</w:t></w:r>
</w:p>
<w:p>
<w:pPr><w:pStyle w:val="Normal"/></w:pPr>
<w:r><w:t xml:space="preserve">cream, ham, sausages, potted meats, cured fish, and sometimes</w:t></w:r>
</w:p>
<w:p>
<w:pPr><w:pStyle w:val="Normal"/></w:pPr>
<w:r><w:t xml:space="preserve">in jams and preserved fruit, the arguments for and against</w:t></w:r>
</w:p>
<w:p>
<w:pPr><w:pStyle w:val="Normal"/></w:pPr>
<w:r><w:t xml:space="preserve">its employment deserve more detailed attention.  It cannot be</w:t></w:r>
</w:p>
<w:p>
<w:pPr><w:pStyle w:val="Normal"/></w:pPr>
<w:r><w:t xml:space="preserve">looked upon in the light of common adulteration because, in any</w:t></w:r>
</w:p>
<w:p>
<w:pPr><w:pStyle w:val="Normal"/></w:pPr>
<w:r><w:t xml:space="preserve">case, the quantity used is but an inconsiderable fraction,</w:t></w:r>
</w:p>
<w:p>
<w:pPr><w:pStyle w:val="Normal"/></w:pPr>
<w:r><w:t xml:space="preserve">and the cost of it is generally greater than that of the food</w:t></w:r>
</w:p>
<w:p>
<w:pPr><w:pStyle w:val="Normal"/></w:pPr>
<w:r><w:t xml:space="preserve">itself.  It is not used to hide any traces of decomposition that</w:t></w:r>
</w:p>
<w:p>
<w:pPr><w:pStyle w:val="Normal"/></w:pPr>
<w:r><w:t xml:space="preserve">may have taken place or to efface its effects.  On the other</w:t></w:r>
</w:p>
<w:p>
<w:pPr><w:pStyle w:val="Normal"/></w:pPr>
<w:r><w:t xml:space="preserve">hand, it cannot be said to be ``required for the production</w:t></w:r>
</w:p>
<w:p>
<w:pPr><w:pStyle w:val="Normal"/></w:pPr>
<w:r><w:t xml:space="preserve">or preparation&apos;&apos; of the articles with which it is mixed,</w:t></w:r>
</w:p>
<w:p>
<w:pPr><w:pStyle w:val="Normal"/></w:pPr>
<w:r><w:t xml:space="preserve">since a fraction at least of similar articles are made without</w:t></w:r>
</w:p>
<w:p>
<w:pPr><w:pStyle w:val="Normal"/></w:pPr>
<w:r><w:t xml:space="preserve">preservative.  It enables food to be kept from decomposition,</w:t></w:r>
</w:p>
<w:p>
<w:pPr><w:pStyle w:val="Normal"/></w:pPr>
<w:r><w:t xml:space="preserve">but it also lessens the need for cleanliness and encourages</w:t></w:r>
</w:p>
<w:p>
<w:pPr><w:pStyle w:val="Normal"/></w:pPr>
<w:r><w:t xml:space="preserve">neglect and slovenliness in factories.  It has no taste, or</w:t></w:r>
</w:p>
<w:p>
<w:pPr><w:pStyle w:val="Normal"/></w:pPr>
<w:r><w:t xml:space="preserve">only a very slight one, hence does not manifest itself to</w:t></w:r>
</w:p>
<w:p>
<w:pPr><w:pStyle w:val="Normal"/></w:pPr>
<w:r><w:t xml:space="preserve">the consumer in the same way as does common salt, and cannot</w:t></w:r>
</w:p>
<w:p>
<w:pPr><w:pStyle w:val="Normal"/></w:pPr>
<w:r><w:t xml:space="preserve">therefore be avoided by him should he desire to do so.  Its</w:t></w:r>
</w:p>
<w:p>
<w:pPr><w:pStyle w:val="Normal"/></w:pPr>
<w:r><w:t xml:space="preserve">preservative action, that is, its potency, is very slight</w:t></w:r>
</w:p>
<w:p>
<w:pPr><w:pStyle w:val="Normal"/></w:pPr>
<w:r><w:t xml:space="preserve">in comparison with most other preservatives; its potential</w:t></w:r>
</w:p>
<w:p>
<w:pPr><w:pStyle w:val="Normal"/></w:pPr>
<w:r><w:t xml:space="preserve">injuriousness to man must be proportionately small.  It is</w:t></w:r>
</w:p>
<w:p>
<w:pPr><w:pStyle w:val="Normal"/></w:pPr>
<w:r><w:t xml:space="preserve">practically without interference upon salivary, peptic or tryptic</w:t></w:r>
</w:p>
<w:p>
<w:pPr><w:pStyle w:val="Normal"/></w:pPr>
<w:r><w:t xml:space="preserve">digestion, unless given in large quantities.  Experiments made</w:t></w:r>
</w:p>
<w:p>
<w:pPr><w:pStyle w:val="Normal"/></w:pPr>
<w:r><w:t xml:space="preserve">by F. W. Tunnicliffe and R. Rosenheim upon children showed</w:t></w:r>
</w:p>
<w:p>
<w:pPr><w:pStyle w:val="Normal"/></w:pPr>
<w:r><w:t xml:space="preserve">that neither boric acid nor borax, administered in doses of</w:t></w:r>
</w:p>
<w:p>
<w:pPr><w:pStyle w:val="Normal"/></w:pPr>
<w:r><w:t xml:space="preserve">from 15 to 23 grains per diem, exerted any influence upon</w:t></w:r>
</w:p>
<w:p>
<w:pPr><w:pStyle w:val="Normal"/></w:pPr>
<w:r><w:t xml:space="preserve">proteid metabolism or upon the assimilation of phosphatized</w:t></w:r>
</w:p>
<w:p>
<w:pPr><w:pStyle w:val="Normal"/></w:pPr>
<w:r><w:t xml:space="preserve">materials.  The fat assimilation was, if anything, improved,</w:t></w:r>
</w:p>
<w:p>
<w:pPr><w:pStyle w:val="Normal"/></w:pPr>
<w:r><w:t xml:space="preserve">and the body weight increased, and the general health and</w:t></w:r>
</w:p>
<w:p>
<w:pPr><w:pStyle w:val="Normal"/></w:pPr>
<w:r><w:t xml:space="preserve">well-being was in no way affected.  On the other hand, evidence</w:t></w:r>
</w:p>
<w:p>
<w:pPr><w:pStyle w:val="Normal"/></w:pPr>
<w:r><w:t xml:space="preserve">was adduced that in some cases digestive disturbances, after</w:t></w:r>
</w:p>
<w:p>
<w:pPr><w:pStyle w:val="Normal"/></w:pPr>
<w:r><w:t xml:space="preserve">continuous administration of from 15 to 40 grains, were</w:t></w:r>
</w:p>
<w:p>
<w:pPr><w:pStyle w:val="Normal"/></w:pPr>
<w:r><w:t xml:space="preserve">observable, nausea and vomiting in some, and skin irritation,</w:t></w:r>
</w:p>
<w:p>
<w:pPr><w:pStyle w:val="Normal"/></w:pPr>
<w:r><w:t xml:space="preserve">in one case resulting in complete baldness, in others.</w:t></w:r>
</w:p>
<w:p>
<w:pPr><w:pStyle w:val="Normal"/></w:pPr>
<w:r><w:t xml:space="preserve">Although it is in most cases very difficult to trace any gastric</w:t></w:r>
</w:p>
<w:p>
<w:pPr><w:pStyle w:val="Normal"/></w:pPr>
<w:r><w:t xml:space="preserve">disturbance to any particular article of food or one of its</w:t></w:r>
</w:p>
<w:p>
<w:pPr><w:pStyle w:val="Normal"/></w:pPr>
<w:r><w:t xml:space="preserve">ingredients, so as to exclude all other possible causes of</w:t></w:r>
</w:p>
<w:p>
<w:pPr><w:pStyle w:val="Normal"/></w:pPr>
<w:r><w:t xml:space="preserve">disturbance, a fairly good case has been made out by a number</w:t></w:r>
</w:p>
<w:p>
<w:pPr><w:pStyle w:val="Normal"/></w:pPr>
<w:r><w:t xml:space="preserve">of medical practitioners against boracic acid, taken in an</w:t></w:r>
</w:p>
<w:p>
<w:pPr><w:pStyle w:val="Normal"/></w:pPr>
<w:r><w:t xml:space="preserve">ordinary diet and not for experimental purposes.  The most</w:t></w:r>
</w:p>
<w:p>
<w:pPr><w:pStyle w:val="Normal"/></w:pPr>
<w:r><w:t xml:space="preserve">exhaustive investigation which has as yet been made was carried</w:t></w:r>
</w:p>
<w:p>
<w:pPr><w:pStyle w:val="Normal"/></w:pPr>
<w:r><w:t xml:space="preserve">out by Dr H. W. Wiley, chief chemist to the United States</w:t></w:r>
</w:p>
<w:p>
<w:pPr><w:pStyle w:val="Normal"/></w:pPr>
<w:r><w:t xml:space="preserve">department of agriculture.  A large number of young men who</w:t></w:r>
</w:p>
<w:p>
<w:pPr><w:pStyle w:val="Normal"/></w:pPr>
<w:r><w:t xml:space="preserve">had offered themselves as subjects for the investigations,</w:t></w:r>
</w:p>
<w:p>
<w:pPr><w:pStyle w:val="Normal"/></w:pPr>
<w:r><w:t xml:space="preserve">were boarded as a special ``hygienic table,&apos;&apos; but otherwise</w:t></w:r>
</w:p>
<w:p>
<w:pPr><w:pStyle w:val="Normal"/></w:pPr>
<w:r><w:t xml:space="preserve">continued their usual vocations during the whole period of the</w:t></w:r>
</w:p>
<w:p>
<w:pPr><w:pStyle w:val="Normal"/></w:pPr>
<w:r><w:t xml:space="preserve">experiment.  They were placed upon their honour to observe</w:t></w:r>
</w:p>
<w:p>
<w:pPr><w:pStyle w:val="Normal"/></w:pPr>
<w:r><w:t xml:space="preserve">the rules and regulations prepared by the department and to</w:t></w:r>
</w:p>
<w:p>
<w:pPr><w:pStyle w:val="Normal"/></w:pPr>
<w:r><w:t xml:space="preserve">use no other food or drink than that provided, water excepted,</w:t></w:r>
</w:p>
<w:p>
<w:pPr><w:pStyle w:val="Normal"/></w:pPr>
<w:r><w:t xml:space="preserve">and any water consumed away from the hygienic table was to be</w:t></w:r>
</w:p>
<w:p>
<w:pPr><w:pStyle w:val="Normal"/></w:pPr>
<w:r><w:t xml:space="preserve">measured and reported.  They were to continue their regular</w:t></w:r>
</w:p>
<w:p>
<w:pPr><w:pStyle w:val="Normal"/></w:pPr>
<w:r><w:t xml:space="preserve">habits and not to indulge in any excessive amount of labour or</w:t></w:r>
</w:p>
<w:p>
<w:pPr><w:pStyle w:val="Normal"/></w:pPr>
<w:r><w:t xml:space="preserve">exercise.  Weight, temperature and pulse rate were continuously</w:t></w:r>
</w:p>
<w:p>
<w:pPr><w:pStyle w:val="Normal"/></w:pPr>
<w:r><w:t xml:space="preserve">recorded.  The periods during which the subjects of the</w:t></w:r>
</w:p>
<w:p>
<w:pPr><w:pStyle w:val="Normal"/></w:pPr>
<w:r><w:t xml:space="preserve">experiment were kept under observation varied from thirty</w:t></w:r>
</w:p>
<w:p>
<w:pPr><w:pStyle w:val="Normal"/></w:pPr>
<w:r><w:t xml:space="preserve">to seventy days, periods of rest being given during which</w:t></w:r>
</w:p>
<w:p>
<w:pPr><w:pStyle w:val="Normal"/></w:pPr>
<w:r><w:t xml:space="preserve">they were permitted to eat moderately at tables other than</w:t></w:r>
</w:p>
<w:p>
<w:pPr><w:pStyle w:val="Normal"/></w:pPr>
<w:r><w:t xml:space="preserve">the experimental one.  There was a good and ample diet.</w:t></w:r>
</w:p>
<w:p>
<w:pPr><w:pStyle w:val="Normal"/></w:pPr>
<w:r><w:t xml:space="preserve">The observations were divided into three periods: the fore</w:t></w:r>
</w:p>
<w:p>
<w:pPr><w:pStyle w:val="Normal"/></w:pPr>
<w:r><w:t xml:space="preserve">period, the preservative period and the after period, during</w:t></w:r>
</w:p>
<w:p>
<w:pPr><w:pStyle w:val="Normal"/></w:pPr>
<w:r><w:t xml:space="preserve">the whole of which time the rations of each member were weighed</w:t></w:r>
</w:p>
<w:p>
<w:pPr><w:pStyle w:val="Normal"/></w:pPr>
<w:r><w:t xml:space="preserve">or measured and the excreta collected.  Before the ``fore&apos;&apos;</w:t></w:r>
</w:p>
<w:p>
<w:pPr><w:pStyle w:val="Normal"/></w:pPr>
<w:r><w:t xml:space="preserve">period was commenced a note was made of the quantities of</w:t></w:r>
</w:p>
<w:p>
<w:pPr><w:pStyle w:val="Normal"/></w:pPr>
<w:r><w:t xml:space="preserve">food voluntarily consumed by each of the candidates, and from</w:t></w:r>
</w:p>
<w:p>
<w:pPr><w:pStyle w:val="Normal"/></w:pPr>
<w:r><w:t xml:space="preserve">these the proper amount necessary in each case to maintain</w:t></w:r>
</w:p>
<w:p>
<w:pPr><w:pStyle w:val="Normal"/></w:pPr>
<w:r><w:t xml:space="preserve">a comparatively constant body weight was calculated.  When</w:t></w:r>
</w:p>
<w:p>
<w:pPr><w:pStyle w:val="Normal"/></w:pPr>
<w:r><w:t xml:space="preserve">a suitable result was thus arrived at, the same quantity of</w:t></w:r>
</w:p>
<w:p>
<w:pPr><w:pStyle w:val="Normal"/></w:pPr>
<w:r><w:t xml:space="preserve">food was given daily during the ``preservative&apos;&apos; and ``after&apos;&apos;</w:t></w:r>
</w:p>
<w:p>
<w:pPr><w:pStyle w:val="Normal"/></w:pPr>
<w:r><w:t xml:space="preserve">periods.  The preservative was given in the forms of borax and</w:t></w:r>
</w:p>
<w:p>
<w:pPr><w:pStyle w:val="Normal"/></w:pPr>
<w:r><w:t xml:space="preserve">of boric acid, at first mixed with butter, but subsequently</w:t></w:r>
</w:p>
<w:p>
<w:pPr><w:pStyle w:val="Normal"/></w:pPr>
<w:r><w:t xml:space="preserve">in gelatine capsules.  This was found to be necessary from</w:t></w:r>
</w:p>
<w:p>
<w:pPr><w:pStyle w:val="Normal"/></w:pPr>
<w:r><w:t xml:space="preserve">the fact that when the preservative was mixed with the</w:t></w:r>
</w:p>
<w:p>
<w:pPr><w:pStyle w:val="Normal"/></w:pPr>
<w:r><w:t xml:space="preserve">food and concealed in it some of the members of the table</w:t></w:r>
</w:p>
<w:p>
<w:pPr><w:pStyle w:val="Normal"/></w:pPr>
<w:r><w:t xml:space="preserve">evinced dislike of the food with which it was supposed to</w:t></w:r>
</w:p>
<w:p>
<w:pPr><w:pStyle w:val="Normal"/></w:pPr>
<w:r><w:t xml:space="preserve">be incorporated; those who thought that the preservative was</w:t></w:r>
</w:p>
<w:p>
<w:pPr><w:pStyle w:val="Normal"/></w:pPr>
<w:r><w:t xml:space="preserve">in the butter were disposed to find the butter unpalatable,</w:t></w:r>
</w:p>
<w:p>
<w:pPr><w:pStyle w:val="Normal"/></w:pPr>
<w:r><w:t xml:space="preserve">and the same was true with those who thought it might be in</w:t></w:r>
</w:p>
<w:p>
<w:pPr><w:pStyle w:val="Normal"/></w:pPr>
<w:r><w:t xml:space="preserve">the milk or coffee, while, when the preservative was given</w:t></w:r>
</w:p>
<w:p>
<w:pPr><w:pStyle w:val="Normal"/></w:pPr>
<w:r><w:t xml:space="preserve">openly, much less disturbance was created.  The preservative</w:t></w:r>
</w:p>
<w:p>
<w:pPr><w:pStyle w:val="Normal"/></w:pPr>
<w:r><w:t xml:space="preserve">was given at first in small doses such as might be consumed in</w:t></w:r>
</w:p>
<w:p>
<w:pPr><w:pStyle w:val="Normal"/></w:pPr>
<w:r><w:t xml:space="preserve">commercial food that had been preserved with borax; gradually</w:t></w:r>
</w:p>
<w:p>
<w:pPr><w:pStyle w:val="Normal"/></w:pPr>
<w:r><w:t xml:space="preserve">the quantities were increased in order to reach the limit</w:t></w:r>
</w:p>
<w:p>
<w:pPr><w:pStyle w:val="Normal"/></w:pPr>
<w:r><w:t xml:space="preserve">of toleration for each individual.  All food was weighed,</w:t></w:r>
</w:p>
<w:p>
<w:pPr><w:pStyle w:val="Normal"/></w:pPr>
<w:r><w:t xml:space="preserve">measured and analysed, the same being the case with the</w:t></w:r>
</w:p>
<w:p>
<w:pPr><w:pStyle w:val="Normal"/></w:pPr>
<w:r><w:t xml:space="preserve">excreta.  The blood was examined periodically as regards</w:t></w:r>
</w:p>
<w:p>
<w:pPr><w:pStyle w:val="Normal"/></w:pPr>
<w:r><w:t xml:space="preserve">colouring matter and number of corpuscles.  Everything was</w:t></w:r>
</w:p>
<w:p>
<w:pPr><w:pStyle w:val="Normal"/></w:pPr>
<w:r><w:t xml:space="preserve">done to keep up the general health of the members and to</w:t></w:r>
</w:p>
<w:p>
<w:pPr><w:pStyle w:val="Normal"/></w:pPr>
<w:r><w:t xml:space="preserve">do away with all unfavourable mental influences due to the</w:t></w:r>
</w:p>
<w:p>
<w:pPr><w:pStyle w:val="Normal"/></w:pPr>
<w:r><w:t xml:space="preserve">circumstances.  During the time of the experiment analyses were</w:t></w:r>
</w:p>
<w:p>
<w:pPr><w:pStyle w:val="Normal"/></w:pPr>
<w:r><w:t xml:space="preserve">made of 2550 food samples and 1175 samples each of urine and</w:t></w:r>
</w:p>
<w:p>
<w:pPr><w:pStyle w:val="Normal"/></w:pPr>
<w:r><w:t xml:space="preserve">faeces.  The general results were as follows: there was no</w:t></w:r>
</w:p>
<w:p>
<w:pPr><w:pStyle w:val="Normal"/></w:pPr>
<w:r><w:t xml:space="preserve">tendency to excite diarrhoea, and the nitrogen-metabolism</w:t></w:r>
</w:p>
<w:p>
<w:pPr><w:pStyle w:val="Normal"/></w:pPr>
<w:r><w:t xml:space="preserve">was but very little influenced, if anything being slightly</w:t></w:r>
</w:p>
<w:p>
<w:pPr><w:pStyle w:val="Normal"/></w:pPr>
<w:r><w:t xml:space="preserve">decreased.  As regards phosphorus the combined results of</w:t></w:r>
</w:p>
<w:p>
<w:pPr><w:pStyle w:val="Normal"/></w:pPr>
<w:r><w:t xml:space="preserve">all observations indicated that the preservative increased</w:t></w:r>
</w:p>
<w:p>
<w:pPr><w:pStyle w:val="Normal"/></w:pPr>
<w:r><w:t xml:space="preserve">the excretion of phosphorus to a small extent, from 97.3%</w:t></w:r>
</w:p>
<w:p>
<w:pPr><w:pStyle w:val="Normal"/></w:pPr>
<w:r><w:t xml:space="preserve">in the ``fore&apos;&apos; period, to 103.1 in the ``preservative&apos;&apos;</w:t></w:r>
</w:p>
<w:p>
<w:pPr><w:pStyle w:val="Normal"/></w:pPr>
<w:r><w:t xml:space="preserve">period.  The metabolism of fat was uninfluenced; there was</w:t></w:r>
</w:p>
<w:p>
<w:pPr><w:pStyle w:val="Normal"/></w:pPr>
<w:r><w:t xml:space="preserve">an increase of the solid matters in the faeces and a decrease</w:t></w:r>
</w:p>
<w:p>
<w:pPr><w:pStyle w:val="Normal"/></w:pPr>
<w:r><w:t xml:space="preserve">of those in the urine, from which Dr Wiley concluded that the</w:t></w:r>
</w:p>
<w:p>
<w:pPr><w:pStyle w:val="Normal"/></w:pPr>
<w:r><w:t xml:space="preserve">preservatives interfered with the process of digestion and</w:t></w:r>
</w:p>
<w:p>
<w:pPr><w:pStyle w:val="Normal"/></w:pPr>
<w:r><w:t xml:space="preserve">absorption.  No influence was exerted on the corpuscles</w:t></w:r>
</w:p>
<w:p>
<w:pPr><w:pStyle w:val="Normal"/></w:pPr>
<w:r><w:t xml:space="preserve">and the haemoglobin of the blood.  The effect of boracic</w:t></w:r>
</w:p>
<w:p>
<w:pPr><w:pStyle w:val="Normal"/></w:pPr>
<w:r><w:t xml:space="preserve">acid and borax on the general health Varied with the amount</w:t></w:r>
</w:p>
<w:p>
<w:pPr><w:pStyle w:val="Normal"/></w:pPr>
<w:r><w:t xml:space="preserve">administered, quantities not exceeding half a gramme (7 1/2</w:t></w:r>
</w:p>
<w:p>
<w:pPr><w:pStyle w:val="Normal"/></w:pPr>
<w:r><w:t xml:space="preserve">grains) of boracic acid, or its equivalent of borax, producing</w:t></w:r>
</w:p>
<w:p>
<w:pPr><w:pStyle w:val="Normal"/></w:pPr>
<w:r><w:t xml:space="preserve">no immediate effects, but the long-continued administration</w:t></w:r>
</w:p>
<w:p>
<w:pPr><w:pStyle w:val="Normal"/></w:pPr>
<w:r><w:t xml:space="preserve">of such small doses seemed to produce the same results as</w:t></w:r>
</w:p>
<w:p>
<w:pPr><w:pStyle w:val="Normal"/></w:pPr>
<w:r><w:t xml:space="preserve">the use of large doses over a shorter period.  There was a</w:t></w:r>
</w:p>
<w:p>
<w:pPr><w:pStyle w:val="Normal"/></w:pPr>
<w:r><w:t xml:space="preserve">tendency to diminish the appetite and to produce a fooling</w:t></w:r>
</w:p>
<w:p>
<w:pPr><w:pStyle w:val="Normal"/></w:pPr>
<w:r><w:t xml:space="preserve">of fulness and uneasiness in the stomach and sometimes actual</w:t></w:r>
</w:p>
<w:p>
<w:pPr><w:pStyle w:val="Normal"/></w:pPr>
<w:r><w:t xml:space="preserve">nausea, also one of fulness in the head manifested as a</w:t></w:r>
</w:p>
<w:p>
<w:pPr><w:pStyle w:val="Normal"/></w:pPr>
<w:r><w:t xml:space="preserve">dull headache which disappeared when the preservative was</w:t></w:r>
</w:p>
<w:p>
<w:pPr><w:pStyle w:val="Normal"/></w:pPr>
<w:r><w:t xml:space="preserve">dropped.  The continued administration of large doses, 60</w:t></w:r>
</w:p>
<w:p>
<w:pPr><w:pStyle w:val="Normal"/></w:pPr>
<w:r><w:t xml:space="preserve">to 75 grains per day, resulted in most cases in loss of</w:t></w:r>
</w:p>
<w:p>
<w:pPr><w:pStyle w:val="Normal"/></w:pPr>
<w:r><w:t xml:space="preserve">appetite, inability to perform work of any kind and general</w:t></w:r>
</w:p>
<w:p>
<w:pPr><w:pStyle w:val="Normal"/></w:pPr>
<w:r><w:t xml:space="preserve">unfitness.  In most cases 45 grains per day could be taken</w:t></w:r>
</w:p>
<w:p>
<w:pPr><w:pStyle w:val="Normal"/></w:pPr>
<w:r><w:t xml:space="preserve">for some time, but gradually injurious effects were observed.</w:t></w:r>
</w:p>
<w:p>
<w:pPr><w:pStyle w:val="Normal"/></w:pPr>
<w:r><w:t xml:space="preserve">In some cases 30 and even 15 grains per day appeared to cause</w:t></w:r>
</w:p>
<w:p>
<w:pPr><w:pStyle w:val="Normal"/></w:pPr>
<w:r><w:t xml:space="preserve">illness, but it is acknowledged that these persons may have</w:t></w:r>
</w:p>
<w:p>
<w:pPr><w:pStyle w:val="Normal"/></w:pPr>
<w:r><w:t xml:space="preserve">been suffering from influenza.  The administration of 7.5</w:t></w:r>
</w:p>
<w:p>
<w:pPr><w:pStyle w:val="Normal"/></w:pPr>
<w:r><w:t xml:space="preserve">grains was declared by Dr Wiley to be too much for the normal</w:t></w:r>
</w:p>
<w:p>
<w:pPr><w:pStyle w:val="Normal"/></w:pPr>
<w:r><w:t xml:space="preserve">man to receive regularly, although for a limited period</w:t></w:r>
</w:p>
<w:p>
<w:pPr><w:pStyle w:val="Normal"/></w:pPr>
<w:r><w:t xml:space="preserve">there might be no danger to health.  Dr Wiley concludes his</w:t></w:r>
</w:p>
<w:p>
<w:pPr><w:pStyle w:val="Normal"/></w:pPr>
<w:r><w:t xml:space="preserve">report: ``It appears, therefore, that both boric acid and</w:t></w:r>
</w:p>
<w:p>
<w:pPr><w:pStyle w:val="Normal"/></w:pPr>
<w:r><w:t xml:space="preserve">borax, when continuously administered in small doses for a long</w:t></w:r>
</w:p>
<w:p>
<w:pPr><w:pStyle w:val="Normal"/></w:pPr>
<w:r><w:t xml:space="preserve">period or when given in large quantities for a short period,</w:t></w:r>
</w:p>
<w:p>
<w:pPr><w:pStyle w:val="Normal"/></w:pPr>
<w:r><w:t xml:space="preserve">create disturbance of appetite, of digestion and of health.&apos;&apos;</w:t></w:r>
</w:p>
<w:p>
<w:pPr><w:pStyle w:val="Normal"/></w:pPr>
<w:r><w:t xml:space="preserve">Dr Wiley&apos;s conclusions were adversely criticized by Dr O.</w:t></w:r>
</w:p>
<w:p>
<w:pPr><w:pStyle w:val="Normal"/></w:pPr>
<w:r><w:t xml:space="preserve">Liebreich, who carefully studied on the spot all the conditions of</w:t></w:r>
</w:p>
<w:p>
<w:pPr><w:pStyle w:val="Normal"/></w:pPr>
<w:r><w:t xml:space="preserve">the experiment and the documents relating to the investigation.</w:t></w:r>
</w:p>
<w:p>
<w:pPr><w:pStyle w:val="Normal"/></w:pPr>
<w:r><w:t xml:space="preserve">He pointed out that the results were so indefinite and the</w:t></w:r>
</w:p>
<w:p>
<w:pPr><w:pStyle w:val="Normal"/></w:pPr>
<w:r><w:t xml:space="preserve">number of persons under control so small that ``one case</w:t></w:r>
</w:p>
<w:p>
<w:pPr><w:pStyle w:val="Normal"/></w:pPr>
<w:r><w:t xml:space="preserve">of self-deception or of forgetfulness only would throw into</w:t></w:r>
</w:p>
<w:p>
<w:pPr><w:pStyle w:val="Normal"/></w:pPr>
<w:r><w:t xml:space="preserve">absolute uncertainty the solution of the whole question&apos;&apos;; that</w:t></w:r>
</w:p>
<w:p>
<w:pPr><w:pStyle w:val="Normal"/></w:pPr>
<w:r><w:t xml:space="preserve">no lasting injury to health was found in spite of transient</w:t></w:r>
</w:p>
<w:p>
<w:pPr><w:pStyle w:val="Normal"/></w:pPr>
<w:r><w:t xml:space="preserve">disturbances attributed by Dr Liebreich to other causes, and</w:t></w:r>
</w:p>
<w:p>
<w:pPr><w:pStyle w:val="Normal"/></w:pPr>
<w:r><w:t xml:space="preserve">that all persons declared themselves to be in better physical</w:t></w:r>
</w:p>
<w:p>
<w:pPr><w:pStyle w:val="Normal"/></w:pPr>
<w:r><w:t xml:space="preserve">condition after seven months than they had been before.  On</w:t></w:r>
</w:p>
<w:p>
<w:pPr><w:pStyle w:val="Normal"/></w:pPr>
<w:r><w:t xml:space="preserve">the whole the balance of evidence seems to be that while no</w:t></w:r>
</w:p>
<w:p>
<w:pPr><w:pStyle w:val="Normal"/></w:pPr>
<w:r><w:t xml:space="preserve">acute injury is likely to result from boron compounds in food,</w:t></w:r>
</w:p>
<w:p>
<w:pPr><w:pStyle w:val="Normal"/></w:pPr>
<w:r><w:t xml:space="preserve">they are liable to produce slighter digestive interferences.</w:t></w:r>
</w:p>
<w:p>
<w:pPr><w:pStyle w:val="Normal"/></w:pPr>
<w:r><w:t xml:space="preserve">Formaldehyde.</w:t></w:r>
</w:p>
<w:p>
<w:pPr><w:pStyle w:val="Normal"/></w:pPr>
<w:r><w:t xml:space="preserve">Other chemical substances that are in use for the purpose</w:t></w:r>
</w:p>
<w:p>
<w:pPr><w:pStyle w:val="Normal"/></w:pPr>
<w:r><w:t xml:space="preserve">of preserving food materials may be treated more shortly.</w:t></w:r>
</w:p>
<w:p>
<w:pPr><w:pStyle w:val="Normal"/></w:pPr>
<w:r><w:t xml:space="preserve">Formaldehyde, coming into commerce in the form of a 40% solution</w:t></w:r>
</w:p>
<w:p>
<w:pPr><w:pStyle w:val="Normal"/></w:pPr>
<w:r><w:t xml:space="preserve">under the name of formalin, was for a time largely used in</w:t></w:r>
</w:p>
<w:p>
<w:pPr><w:pStyle w:val="Normal"/></w:pPr>
<w:r><w:t xml:space="preserve">milk.  It certainly has very great antiseptic properties,</w:t></w:r>
</w:p>
<w:p>
<w:pPr><w:pStyle w:val="Normal"/></w:pPr>
<w:r><w:t xml:space="preserve">as little as 1 part in 50,000 parts checking the growth of</w:t></w:r>
</w:p>
<w:p>
<w:pPr><w:pStyle w:val="Normal"/></w:pPr>
<w:r><w:t xml:space="preserve">organisms in milk for some hours, but as the substance combines</w:t></w:r>
</w:p>
<w:p>
<w:pPr><w:pStyle w:val="Normal"/></w:pPr>
<w:r><w:t xml:space="preserve">with albuminous matters and hardens them to an extraordinary</w:t></w:r>
</w:p>
<w:p>
<w:pPr><w:pStyle w:val="Normal"/></w:pPr>
<w:r><w:t xml:space="preserve">degree, rendering, for instance, gelatine perfectly insoluble</w:t></w:r>
</w:p>
<w:p>
<w:pPr><w:pStyle w:val="Normal"/></w:pPr>
<w:r><w:t xml:space="preserve">in water, it exerts an inhibitory effect on the digestive</w:t></w:r>
</w:p>
<w:p>
<w:pPr><w:pStyle w:val="Normal"/></w:pPr>
<w:r><w:t xml:space="preserve">ferments.  It injures salivary, peptic and pancreatic</w:t></w:r>
</w:p>
<w:p>
<w:pPr><w:pStyle w:val="Normal"/></w:pPr>
<w:r><w:t xml:space="preserve">digestion.  A set of five kittens fed with milk containing 1</w:t></w:r>
</w:p>
<w:p>
<w:pPr><w:pStyle w:val="Heading1"/></w:pPr>
<w:r><w:t>part in 50,000 of formaldehyde for seven weeks were strongly</w:t></w:r>
</w:p>
<w:p>
<w:pPr><w:pStyle w:val="Normal"/></w:pPr>
<w:r><w:t xml:space="preserve">retarded in growth, three ultimately dying, while four control</w:t></w:r>
</w:p>
<w:p>
<w:pPr><w:pStyle w:val="Normal"/></w:pPr>
<w:r><w:t xml:space="preserve">kittens fed on pure milk flourished.  In even moderate doses</w:t></w:r>
</w:p>
<w:p>
<w:pPr><w:pStyle w:val="Normal"/></w:pPr>
<w:r><w:t xml:space="preserve">formalin produces severe pains in the abdomen and has caused</w:t></w:r>
</w:p>
<w:p>
<w:pPr><w:pStyle w:val="Normal"/></w:pPr>
<w:r><w:t xml:space="preserve">death.  It is now generally recognized as a substance</w:t></w:r>
</w:p>
<w:p>
<w:pPr><w:pStyle w:val="Normal"/></w:pPr>
<w:r><w:t xml:space="preserve">that is admirably adapted for disinfecting a sick-room,</w:t></w:r>
</w:p>
<w:p>
<w:pPr><w:pStyle w:val="Normal"/></w:pPr>
<w:r><w:t xml:space="preserve">but quite improper and unsuitable for food preservation.</w:t></w:r>
</w:p>
<w:p>
<w:pPr><w:pStyle w:val="Normal"/></w:pPr>
<w:r><w:t xml:space="preserve">Salicylic acid.</w:t></w:r>
</w:p>
<w:p>
<w:pPr><w:pStyle w:val="Normal"/></w:pPr>
<w:r><w:t xml:space="preserve">Salicylic acid or orthohydroxybenzoic acid is either obtained</w:t></w:r>
</w:p>
<w:p>
<w:pPr><w:pStyle w:val="Normal"/></w:pPr>
<w:r><w:t xml:space="preserve">from oil of winter-green or is made synthetically by Kolbe&apos;s</w:t></w:r>
</w:p>
<w:p>
<w:pPr><w:pStyle w:val="Normal"/></w:pPr>
<w:r><w:t xml:space="preserve">process from phenol and carbonic acid.  Artificial salicylic</w:t></w:r>
</w:p>
<w:p>
<w:pPr><w:pStyle w:val="Normal"/></w:pPr>
<w:r><w:t xml:space="preserve">acid generally contains impurities (creasotic acids) which act</w:t></w:r>
</w:p>
<w:p>
<w:pPr><w:pStyle w:val="Normal"/></w:pPr>
<w:r><w:t xml:space="preserve">very injuriously upon health.  When pure, salicylic acid employed</w:t></w:r>
</w:p>
<w:p>
<w:pPr><w:pStyle w:val="Normal"/></w:pPr>
<w:r><w:t xml:space="preserve">as a food preservative has never produced decided injurious</w:t></w:r>
</w:p>
<w:p>
<w:pPr><w:pStyle w:val="Normal"/></w:pPr>
<w:r><w:t xml:space="preserve">effects, although administered by itself in fairly strong</w:t></w:r>
</w:p>
<w:p>
<w:pPr><w:pStyle w:val="Normal"/></w:pPr>
<w:r><w:t xml:space="preserve">solution it acts as an irritant to the stomach and kidneys,</w:t></w:r>
</w:p>
<w:p>
<w:pPr><w:pStyle w:val="Normal"/></w:pPr>
<w:r><w:t xml:space="preserve">and sometimes causes skin eruptions.  It is a powerful drug in</w:t></w:r>
</w:p>
<w:p>
<w:pPr><w:pStyle w:val="Normal"/></w:pPr>
<w:r><w:t xml:space="preserve">larger doses and requires careful administration, especially</w:t></w:r>
</w:p>
<w:p>
<w:pPr><w:pStyle w:val="Normal"/></w:pPr>
<w:r><w:t xml:space="preserve">as about 60% of the persons to whom it is administered show</w:t></w:r>
</w:p>
<w:p>
<w:pPr><w:pStyle w:val="Normal"/></w:pPr>
<w:r><w:t xml:space="preserve">symptoms known as ``salicylism,&apos;&apos; namely, deafness, headache,</w:t></w:r>
</w:p>
<w:p>
<w:pPr><w:pStyle w:val="Normal"/></w:pPr>
<w:r><w:t xml:space="preserve">delirium, vomiting, sometimes haemorrhage or heart-failure.</w:t></w:r>
</w:p>
<w:p>
<w:pPr><w:pStyle w:val="Normal"/></w:pPr>
<w:r><w:t xml:space="preserve">It is doubtful whether pure salicyiic acid produces these</w:t></w:r>
</w:p>
<w:p>
<w:pPr><w:pStyle w:val="Normal"/></w:pPr>
<w:r><w:t xml:space="preserve">symptoms.  When present in proportion of 1 to 1000 it inhibits</w:t></w:r>
</w:p>
<w:p>
<w:pPr><w:pStyle w:val="Normal"/></w:pPr>
<w:r><w:t xml:space="preserve">the growth of moulds and yeasts.  In jams 2 grains per pound</w:t></w:r>
</w:p>
<w:p>
<w:pPr><w:pStyle w:val="Normal"/></w:pPr>
<w:r><w:t xml:space="preserve">and in beverages 7 grains to a gallon are considered by</w:t></w:r>
</w:p>
<w:p>
<w:pPr><w:pStyle w:val="Normal"/></w:pPr>
<w:r><w:t xml:space="preserve">manufacturers to be sufficient for preservative purposes.</w:t></w:r>
</w:p>
<w:p>
<w:pPr><w:pStyle w:val="Normal"/></w:pPr>
<w:r><w:t xml:space="preserve">It is used mainly in articles of food or drink containing</w:t></w:r>
</w:p>
<w:p>
<w:pPr><w:pStyle w:val="Normal"/></w:pPr>
<w:r><w:t xml:space="preserve">sugar, that is to say, in jams and preserved fruit, lime</w:t></w:r>
</w:p>
<w:p>
<w:pPr><w:pStyle w:val="Normal"/></w:pPr>
<w:r><w:t xml:space="preserve">and lemon juices, syrups, cider, British wines and imported</w:t></w:r>
</w:p>
<w:p>
<w:pPr><w:pStyle w:val="Normal"/></w:pPr>
<w:r><w:t xml:space="preserve">lager.  Its use in butter, potted meat, milk or cream, in</w:t></w:r>
</w:p>
<w:p>
<w:pPr><w:pStyle w:val="Normal"/></w:pPr>
<w:r><w:t xml:space="preserve">which it was not infrequently met with formerly, is now quite</w:t></w:r>
</w:p>
<w:p>
<w:pPr><w:pStyle w:val="Normal"/></w:pPr>
<w:r><w:t xml:space="preserve">exceptional.  It has already been stated that the preservative</w:t></w:r>
</w:p>
<w:p>
<w:pPr><w:pStyle w:val="Normal"/></w:pPr>
<w:r><w:t xml:space="preserve">committee recommended its permissive use in small proportions.</w:t></w:r>
</w:p>
<w:p>
<w:pPr><w:pStyle w:val="Normal"/></w:pPr>
<w:r><w:t xml:space="preserve">To some extent benzoic acid and benzoates have taken the place</w:t></w:r>
</w:p>
<w:p>
<w:pPr><w:pStyle w:val="Normal"/></w:pPr>
<w:r><w:t xml:space="preserve">of salicylic acid and salicylates, partly because salicylic</w:t></w:r>
</w:p>
<w:p>
<w:pPr><w:pStyle w:val="Normal"/></w:pPr>
<w:r><w:t xml:space="preserve">acid can readily be detected analytically, while benzoic acid</w:t></w:r>
</w:p>
<w:p>
<w:pPr><w:pStyle w:val="Normal"/></w:pPr>
<w:r><w:t xml:space="preserve">is not quite easily discoverable.  Its antiseptic potency is</w:t></w:r>
</w:p>
<w:p>
<w:pPr><w:pStyle w:val="Normal"/></w:pPr>
<w:r><w:t xml:space="preserve">about equal to that of salicylic acid, and the arguments for</w:t></w:r>
</w:p>
<w:p>
<w:pPr><w:pStyle w:val="Normal"/></w:pPr>
<w:r><w:t xml:space="preserve">or against its use are similar to those relating to the latter.</w:t></w:r>
</w:p>
<w:p>
<w:pPr><w:pStyle w:val="Normal"/></w:pPr>
<w:r><w:t xml:space="preserve">For the preservation of meat and beer, lime juice and dried</w:t></w:r>
</w:p>
<w:p>
<w:pPr><w:pStyle w:val="Normal"/></w:pPr>
<w:r><w:t xml:space="preserve">fruit, sulphur dioxide (sulphurous acid) and some of the</w:t></w:r>
</w:p>
<w:p>
<w:pPr><w:pStyle w:val="Normal"/></w:pPr>
<w:r><w:t xml:space="preserve">sulphites have long been employed.  Sulphuring of hops and</w:t></w:r>
</w:p>
<w:p>
<w:pPr><w:pStyle w:val="Normal"/></w:pPr>
<w:r><w:t xml:space="preserve">disinfection of barrels by burning brimstone matches is an</w:t></w:r>
</w:p>
<w:p>
<w:pPr><w:pStyle w:val="Normal"/></w:pPr>
<w:r><w:t xml:space="preserve">exceedingly old practice.  Burning sulphur is well known as</w:t></w:r>
</w:p>
<w:p>
<w:pPr><w:pStyle w:val="Normal"/></w:pPr>
<w:r><w:t xml:space="preserve">a gaseous disinfectant of rooms, bacteria being killed in air</w:t></w:r>
</w:p>
<w:p>
<w:pPr><w:pStyle w:val="Normal"/></w:pPr>
<w:r><w:t xml:space="preserve">containing 1% of the gas.  As the taste and smell of sulphurous</w:t></w:r>
</w:p>
<w:p>
<w:pPr><w:pStyle w:val="Normal"/></w:pPr>
<w:r><w:t xml:space="preserve">acid and of sulphites are very pronounced it follows that but</w:t></w:r>
</w:p>
<w:p>
<w:pPr><w:pStyle w:val="Normal"/></w:pPr>
<w:r><w:t xml:space="preserve">small quantities can be added to food or drink.  About 1 part</w:t></w:r>
</w:p>
<w:p>
<w:pPr><w:pStyle w:val="Normal"/></w:pPr>
<w:r><w:t xml:space="preserve">in 4000 or 5000 of beer is the usual amount.  While, in larger</w:t></w:r>
</w:p>
<w:p>
<w:pPr><w:pStyle w:val="Normal"/></w:pPr>
<w:r><w:t xml:space="preserve">quantities, the sulphites have decided physiological activity</w:t></w:r>
</w:p>
<w:p>
<w:pPr><w:pStyle w:val="Normal"/></w:pPr>
<w:r><w:t xml:space="preserve">and are apt to produce nephritis, there is not any evidence</w:t></w:r>
</w:p>
<w:p>
<w:pPr><w:pStyle w:val="Normal"/></w:pPr>
<w:r><w:t xml:space="preserve">that they have ever caused injurious effects in alcoholic</w:t></w:r>
</w:p>
<w:p>
<w:pPr><w:pStyle w:val="Normal"/></w:pPr>
<w:r><w:t xml:space="preserve">liquors.  The excise authorities have tacitly sanctioned</w:t></w:r>
</w:p>
<w:p>
<w:pPr><w:pStyle w:val="Normal"/></w:pPr>
<w:r><w:t xml:space="preserve">their employment in breweries, although the Customs and Inland</w:t></w:r>
</w:p>
<w:p>
<w:pPr><w:pStyle w:val="Normal"/></w:pPr>
<w:r><w:t xml:space="preserve">Revenue Act 1885 declares that a brewer of beer shall not add</w:t></w:r>
</w:p>
<w:p>
<w:pPr><w:pStyle w:val="Normal"/></w:pPr>
<w:r><w:t xml:space="preserve">any matter or thing thereto except finings or other matter</w:t></w:r>
</w:p>
<w:p>
<w:pPr><w:pStyle w:val="Normal"/></w:pPr>
<w:r><w:t xml:space="preserve">or thing sanctioned by the commissioners of Inland Revenue,</w:t></w:r>
</w:p>
<w:p>
<w:pPr><w:pStyle w:val="Normal"/></w:pPr>
<w:r><w:t xml:space="preserve">and although sulphites are used in all breweries, the Board</w:t></w:r>
</w:p>
<w:p>
<w:pPr><w:pStyle w:val="Normal"/></w:pPr>
<w:r><w:t xml:space="preserve">of Inland Revenue do neither sanction nor interfere.  An</w:t></w:r>
</w:p>
<w:p>
<w:pPr><w:pStyle w:val="Normal"/></w:pPr>
<w:r><w:t xml:space="preserve">antiseptic with a pronounced taste is obviously a safer one in</w:t></w:r>
</w:p>
<w:p>
<w:pPr><w:pStyle w:val="Normal"/></w:pPr>
<w:r><w:t xml:space="preserve">the hands of a nonmedical person than one virtually devoid of</w:t></w:r>
</w:p>
<w:p>
<w:pPr><w:pStyle w:val="Normal"/></w:pPr>
<w:r><w:t xml:space="preserve">taste, like boric, salicylic or benzoic acids or their salts.</w:t></w:r>
</w:p>
<w:p>
<w:pPr><w:pStyle w:val="Normal"/></w:pPr>
<w:r><w:t xml:space="preserve">Other preservatives.</w:t></w:r>
</w:p>
<w:p>
<w:pPr><w:pStyle w:val="Normal"/></w:pPr>
<w:r><w:t xml:space="preserve">Sodium fluoride, a salt possessing powerfully antiseptic</w:t></w:r>
</w:p>
<w:p>
<w:pPr><w:pStyle w:val="Normal"/></w:pPr>
<w:r><w:t xml:space="preserve">properties, but also at the same time clearly injurious to health</w:t></w:r>
</w:p>
<w:p>
<w:pPr><w:pStyle w:val="Normal"/></w:pPr>
<w:r><w:t xml:space="preserve">and interfering with salivary and peptic digestion, has been</w:t></w:r>
</w:p>
<w:p>
<w:pPr><w:pStyle w:val="Normal"/></w:pPr>
<w:r><w:t xml:space="preserve">found in butter, imported mainly from Brittany, in quantities</w:t></w:r>
</w:p>
<w:p>
<w:pPr><w:pStyle w:val="Normal"/></w:pPr>
<w:r><w:t xml:space="preserve">quite inadmissible in food under any circumstances.  A few</w:t></w:r>
</w:p>
<w:p>
<w:pPr><w:pStyle w:val="Normal"/></w:pPr>
<w:r><w:t xml:space="preserve">other chemical preservatives are occasionally used.  Hydrogen</w:t></w:r>
</w:p>
<w:p>
<w:pPr><w:pStyle w:val="Normal"/></w:pPr>
<w:r><w:t xml:space="preserve">peroxide has been found effective in milk sterilization, and</w:t></w:r>
</w:p>
<w:p>
<w:pPr><w:pStyle w:val="Normal"/></w:pPr>
<w:r><w:t xml:space="preserve">if the substance is pure, no serious objection can be raised</w:t></w:r>
</w:p>
<w:p>
<w:pPr><w:pStyle w:val="Normal"/></w:pPr>
<w:r><w:t xml:space="preserve">against it.  Saccharine, and other artificial sweetening</w:t></w:r>
</w:p>
<w:p>
<w:pPr><w:pStyle w:val="Normal"/></w:pPr>
<w:r><w:t xml:space="preserve">agents, having antiseptic properties, are taking the place</w:t></w:r>
</w:p>
<w:p>
<w:pPr><w:pStyle w:val="Normal"/></w:pPr>
<w:r><w:t xml:space="preserve">of sugar in beverages like ginger-beer and lemonade, but the</w:t></w:r>
</w:p>
<w:p>
<w:pPr><w:pStyle w:val="Normal"/></w:pPr>
<w:r><w:t xml:space="preserve">substitution of a trace of a substance that provides sweetness</w:t></w:r>
</w:p>
<w:p>
<w:pPr><w:pStyle w:val="Normal"/></w:pPr>
<w:r><w:t xml:space="preserve">without at the same time giving the substance and food value</w:t></w:r>
</w:p>
<w:p>
<w:pPr><w:pStyle w:val="Normal"/></w:pPr>
<w:r><w:t xml:space="preserve">of sugar is strongly to be deprecated.  The employment of</w:t></w:r>
</w:p>
<w:p>
<w:pPr><w:pStyle w:val="Normal"/></w:pPr>
<w:r><w:t xml:space="preserve">chemical preservative matters in articles intended for human</w:t></w:r>
</w:p>
<w:p>
<w:pPr><w:pStyle w:val="Normal"/></w:pPr>
<w:r><w:t xml:space="preserve">consumption threatens to become a grave danger to health or</w:t></w:r>
</w:p>
<w:p>
<w:pPr><w:pStyle w:val="Normal"/></w:pPr>
<w:r><w:t xml:space="preserve">well-being.  Each dealer in food contributes but a little;</w:t></w:r>
</w:p>
<w:p>
<w:pPr><w:pStyle w:val="Normal"/></w:pPr>
<w:r><w:t xml:space="preserve">each one claims that his particular article of food cannot be</w:t></w:r>
</w:p>
<w:p>
<w:pPr><w:pStyle w:val="Normal"/></w:pPr>
<w:r><w:t xml:space="preserve">brought into commerce without preservative, and each condemns</w:t></w:r>
</w:p>
<w:p>
<w:pPr><w:pStyle w:val="Normal"/></w:pPr>
<w:r><w:t xml:space="preserve">the use of these substances by others.  There is doubtless</w:t></w:r>
</w:p>
<w:p>
<w:pPr><w:pStyle w:val="Normal"/></w:pPr>
<w:r><w:t xml:space="preserve">something to be said for the practice, but infinitely more</w:t></w:r>
</w:p>
<w:p>
<w:pPr><w:pStyle w:val="Normal"/></w:pPr>
<w:r><w:t xml:space="preserve">against it.  It cheapens food by allowing its collection</w:t></w:r>
</w:p>
<w:p>
<w:pPr><w:pStyle w:val="Normal"/></w:pPr>
<w:r><w:t xml:space="preserve">in districts far away, but the chief gainer is not the</w:t></w:r>
</w:p>
<w:p>
<w:pPr><w:pStyle w:val="Normal"/></w:pPr>
<w:r><w:t xml:space="preserve">public as a whole but the manufacturer and the wholesale</w:t></w:r>
</w:p>
<w:p>
<w:pPr><w:pStyle w:val="Normal"/></w:pPr>
<w:r><w:t xml:space="preserve">merchant.  Our body has by inheritance acquired habits and</w:t></w:r>
</w:p>
<w:p>
<w:pPr><w:pStyle w:val="Normal"/></w:pPr>
<w:r><w:t xml:space="preserve">needs that are quite foreign to chemical interference.</w:t></w:r>
</w:p>
<w:p>
<w:pPr><w:pStyle w:val="Normal"/></w:pPr>
<w:r><w:t xml:space="preserve">Some day, artificially prepared foods, containing liberal</w:t></w:r>
</w:p>
<w:p>
<w:pPr><w:pStyle w:val="Normal"/></w:pPr>
<w:r><w:t xml:space="preserve">quantities of matters that are not now food ingredients, may</w:t></w:r>
</w:p>
<w:p>
<w:pPr><w:pStyle w:val="Normal"/></w:pPr>
<w:r><w:t xml:space="preserve">conceivably compare with natural food products, but that day</w:t></w:r>
</w:p>
<w:p>
<w:pPr><w:pStyle w:val="Normal"/></w:pPr>
<w:r><w:t xml:space="preserve">is not yet, and meantime it ought to be clearly the duty of</w:t></w:r>
</w:p>
<w:p>
<w:pPr><w:pStyle w:val="Normal"/></w:pPr>
<w:r><w:t xml:space="preserve">the state to see that the evil is checked.  The intention</w:t></w:r>
</w:p>
<w:p>
<w:pPr><w:pStyle w:val="Normal"/></w:pPr>
<w:r><w:t xml:space="preserve">which has introduced this form of adulteration may be more</w:t></w:r>
</w:p>
<w:p>
<w:pPr><w:pStyle w:val="Normal"/></w:pPr>
<w:r><w:t xml:space="preserve">or less beneficent, but in practice it is almost wholly evil.</w:t></w:r>
</w:p>
<w:p>
<w:pPr><w:pStyle w:val="Normal"/></w:pPr>
<w:r><w:t xml:space="preserve">Colouring matter in food.</w:t></w:r>
</w:p>
<w:p>
<w:pPr><w:pStyle w:val="Normal"/></w:pPr>
<w:r><w:t xml:space="preserve">A similar criticism applies to the continually extending</w:t></w:r>
</w:p>
<w:p>
<w:pPr><w:pStyle w:val="Normal"/></w:pPr>
<w:r><w:t xml:space="preserve">use of colouring matter in food.  Civilized man requires his</w:t></w:r>
</w:p>
<w:p>
<w:pPr><w:pStyle w:val="Normal"/></w:pPr>
<w:r><w:t xml:space="preserve">food not only to be healthy and tasty. but also attractive in</w:t></w:r>
</w:p>
<w:p>
<w:pPr><w:pStyle w:val="Normal"/></w:pPr>
<w:r><w:t xml:space="preserve">appearance.  It is the art of the cook to prepare dishes that</w:t></w:r>
</w:p>
<w:p>
<w:pPr><w:pStyle w:val="Normal"/></w:pPr>
<w:r><w:t xml:space="preserve">please the eye.  This is a difficult art, for the various</w:t></w:r>
</w:p>
<w:p>
<w:pPr><w:pStyle w:val="Normal"/></w:pPr>
<w:r><w:t xml:space="preserve">colouring matters which are naturally present in meat and</w:t></w:r>
</w:p>
<w:p>
<w:pPr><w:pStyle w:val="Normal"/></w:pPr>
<w:r><w:t xml:space="preserve">fish, in fruit, legumes and green vegetables are of a delicate</w:t></w:r>
</w:p>
<w:p>
<w:pPr><w:pStyle w:val="Normal"/></w:pPr>
<w:r><w:t xml:space="preserve">and changeable nature and easily affected or destroyed by</w:t></w:r>
</w:p>
<w:p>
<w:pPr><w:pStyle w:val="Normal"/></w:pPr>
<w:r><w:t xml:space="preserve">cooking.  Many years ago some artful, if stupid, cook found that</w:t></w:r>
</w:p>
<w:p>
<w:pPr><w:pStyle w:val="Normal"/></w:pPr>
<w:r><w:t xml:space="preserve">green vegetables like peas or spinach, when cooked in a copper</w:t></w:r>
</w:p>
<w:p>
<w:pPr><w:pStyle w:val="Normal"/></w:pPr>
<w:r><w:t xml:space="preserve">pan, by preference a dirty one, showed a far more brilliant</w:t></w:r>
</w:p>
<w:p>
<w:pPr><w:pStyle w:val="Normal"/></w:pPr>
<w:r><w:t xml:space="preserve">colour than the same vegetables cooked in earthenware or</w:t></w:r>
</w:p>
<w:p>
<w:pPr><w:pStyle w:val="Normal"/></w:pPr>
<w:r><w:t xml:space="preserve">iron.  The manufacturer who puts up substances like peas</w:t></w:r>
</w:p>
<w:p>
<w:pPr><w:pStyle w:val="Normal"/></w:pPr>
<w:r><w:t xml:space="preserve">in pots or tins for sale produces the same effect which the</w:t></w:r>
</w:p>
<w:p>
<w:pPr><w:pStyle w:val="Normal"/></w:pPr>
<w:r><w:t xml:space="preserve">cook in her ignorance innocently obtained, by the wilful</w:t></w:r>
</w:p>
<w:p>
<w:pPr><w:pStyle w:val="Normal"/></w:pPr>
<w:r><w:t xml:space="preserve">addition of a substance known to be injurious to health,</w:t></w:r>
</w:p>
<w:p>
<w:pPr><w:pStyle w:val="Normal"/></w:pPr>
<w:r><w:t xml:space="preserve">namely, sulphate of copper.  The copper combines with the</w:t></w:r>
</w:p>
<w:p>
<w:pPr><w:pStyle w:val="Normal"/></w:pPr>
<w:r><w:t xml:space="preserve">chlorophyll, forming copper phyllocyanate, which, by reason</w:t></w:r>
</w:p>
<w:p>
<w:pPr><w:pStyle w:val="Normal"/></w:pPr>
<w:r><w:t xml:space="preserve">of its insolubility in the gastric juice, is comparatively</w:t></w:r>
</w:p>
<w:p>
<w:pPr><w:pStyle w:val="Normal"/></w:pPr>
<w:r><w:t xml:space="preserve">innocuous.  Preserved peas and beans have been for so many</w:t></w:r>
</w:p>
<w:p>
<w:pPr><w:pStyle w:val="Normal"/></w:pPr>
<w:r><w:t xml:space="preserve">years ``coppered&apos;&apos; in this manner that it is difficult to</w:t></w:r>
</w:p>
<w:p>
<w:pPr><w:pStyle w:val="Normal"/></w:pPr>
<w:r><w:t xml:space="preserve">induce the public to accept the vegetables when possessed of</w:t></w:r>
</w:p>
<w:p>
<w:pPr><w:pStyle w:val="Normal"/></w:pPr>
<w:r><w:t xml:space="preserve">their natural colour only.  Several countries endeavoured to</w:t></w:r>
</w:p>
<w:p>
<w:pPr><w:pStyle w:val="Normal"/></w:pPr>
<w:r><w:t xml:space="preserve">abolish the objectionable practice, but the public pressure</w:t></w:r>
</w:p>
<w:p>
<w:pPr><w:pStyle w:val="Normal"/></w:pPr>
<w:r><w:t xml:space="preserve">has been too great, and to-day the practice is almost</w:t></w:r>
</w:p>
<w:p>
<w:pPr><w:pStyle w:val="Normal"/></w:pPr>
<w:r><w:t xml:space="preserve">universal.  In England the amount of copper corresponds to</w:t></w:r>
</w:p>
<w:p>
<w:pPr><w:pStyle w:val="Normal"/></w:pPr>
<w:r><w:t xml:space="preserve">from one to two grains per pound of the vegetable calculated as</w:t></w:r>
</w:p>
<w:p>
<w:pPr><w:pStyle w:val="Normal"/></w:pPr>
<w:r><w:t xml:space="preserve">crystallized copper sulphate.  The opinion of the departmental</w:t></w:r>
</w:p>
<w:p>
<w:pPr><w:pStyle w:val="Normal"/></w:pPr>
<w:r><w:t xml:space="preserve">committee was clearly expressed that the practice should be</w:t></w:r>
</w:p>
<w:p>
<w:pPr><w:pStyle w:val="Normal"/></w:pPr>
<w:r><w:t xml:space="preserve">prohibited.  No effect has been given to the recommendation.</w:t></w:r>
</w:p>
<w:p>
<w:pPr><w:pStyle w:val="Normal"/></w:pPr>
<w:r><w:t xml:space="preserve">Milk is naturally almost white with a tint of cream colour.</w:t></w:r>
</w:p>
<w:p>
<w:pPr><w:pStyle w:val="Normal"/></w:pPr>
<w:r><w:t xml:space="preserve">When adulterated with water this tint changes to a bluish</w:t></w:r>
</w:p>
<w:p>
<w:pPr><w:pStyle w:val="Normal"/></w:pPr>
<w:r><w:t xml:space="preserve">one.  To hide this tell-tale of a fraud, a yellow colouring</w:t></w:r>
</w:p>
<w:p>
<w:pPr><w:pStyle w:val="Normal"/></w:pPr>
<w:r><w:t xml:space="preserve">matter used to be added by London milkmen.  Very gradually</w:t></w:r>
</w:p>
<w:p>
<w:pPr><w:pStyle w:val="Normal"/></w:pPr>
<w:r><w:t xml:space="preserve">this practice, which had its origin in fraud, has extended</w:t></w:r>
</w:p>
<w:p>
<w:pPr><w:pStyle w:val="Normal"/></w:pPr>
<w:r><w:t xml:space="preserve">to all milk sold in London.  The consumer, mis-educated into</w:t></w:r>
</w:p>
<w:p>
<w:pPr><w:pStyle w:val="Normal"/></w:pPr>
<w:r><w:t xml:space="preserve">believing milk to be yellow, now requires it to be so.  Large</w:t></w:r>
</w:p>
<w:p>
<w:pPr><w:pStyle w:val="Normal"/></w:pPr>
<w:r><w:t xml:space="preserve">dairy companies have endeavoured to wean the public of its</w:t></w:r>
</w:p>
<w:p>
<w:pPr><w:pStyle w:val="Normal"/></w:pPr>
<w:r><w:t xml:space="preserve">error, without success.  From milk the practice extended to</w:t></w:r>
</w:p>
<w:p>
<w:pPr><w:pStyle w:val="Normal"/></w:pPr>
<w:r><w:t xml:space="preserve">butter; natural butter is sometimes yellowish, mostly a faint</w:t></w:r>
</w:p>
<w:p>
<w:pPr><w:pStyle w:val="Normal"/></w:pPr>
<w:r><w:t xml:space="preserve">fawn, and sometimes almost white.  In agricultural districts</w:t></w:r>
</w:p>
<w:p>
<w:pPr><w:pStyle w:val="Normal"/></w:pPr>
<w:r><w:t xml:space="preserve">this is well known and taken as a matter of course.  In big</w:t></w:r>
</w:p>
<w:p>
<w:pPr><w:pStyle w:val="Normal"/></w:pPr>
<w:r><w:t xml:space="preserve">towns, where the connexion of butter and the cow is not well</w:t></w:r>
</w:p>
<w:p>
<w:pPr><w:pStyle w:val="Normal"/></w:pPr>
<w:r><w:t xml:space="preserve">known, the consumer requires butter to be of that colour</w:t></w:r>
</w:p>
<w:p>
<w:pPr><w:pStyle w:val="Normal"/></w:pPr>
<w:r><w:t xml:space="preserve">which he imagines to be butter-colour.  Anatto, turmeric,</w:t></w:r>
</w:p>
<w:p>
<w:pPr><w:pStyle w:val="Normal"/></w:pPr>
<w:r><w:t xml:space="preserve">carrot-juice used formerly to be employed for colouring</w:t></w:r>
</w:p>
<w:p>
<w:pPr><w:pStyle w:val="Normal"/></w:pPr>
<w:r><w:t xml:space="preserve">milk, butter and cheese, but of late certain aniline dyes,</w:t></w:r>
</w:p>
<w:p>
<w:pPr><w:pStyle w:val="Normal"/></w:pPr>
<w:r><w:t xml:space="preserve">mostly quite as harmless physiologically as the vegetable</w:t></w:r>
</w:p>
<w:p>
<w:pPr><w:pStyle w:val="Normal"/></w:pPr>
<w:r><w:t xml:space="preserve">dyes just mentioned, are largely being used.  The same aniline</w:t></w:r>
</w:p>
<w:p>
<w:pPr><w:pStyle w:val="Normal"/></w:pPr>
<w:r><w:t xml:space="preserve">dyes are also employed in the manufacture of an imitation</w:t></w:r>
</w:p>
<w:p>
<w:pPr><w:pStyle w:val="Normal"/></w:pPr>
<w:r><w:t xml:space="preserve">Demerara sugar from white beet sugar crystals.  Aniline</w:t></w:r>
</w:p>
<w:p>
<w:pPr><w:pStyle w:val="Normal"/></w:pPr>
<w:r><w:t xml:space="preserve">dyes are very frequently used by jam-makers; the natural</w:t></w:r>
</w:p>
<w:p>
<w:pPr><w:pStyle w:val="Normal"/></w:pPr>
<w:r><w:t xml:space="preserve">colour of the fruit is apt to suffer in the boiling-pan, and</w:t></w:r>
</w:p>
<w:p>
<w:pPr><w:pStyle w:val="Normal"/></w:pPr>
<w:r><w:t xml:space="preserve">unripe, discoloured or unsound fruit can be made brilliant</w:t></w:r>
</w:p>
<w:p>
<w:pPr><w:pStyle w:val="Normal"/></w:pPr>
<w:r><w:t xml:space="preserve">and enticing by dye.  The brilliant colours of cheap sugar</w:t></w:r>
</w:p>
<w:p>
<w:pPr><w:pStyle w:val="Normal"/></w:pPr>
<w:r><w:t xml:space="preserve">confectionery are almost invariably produced by artificial</w:t></w:r>
</w:p>
<w:p>
<w:pPr><w:pStyle w:val="Normal"/></w:pPr>
<w:r><w:t xml:space="preserve">tar-colours.  Most members of this class of colouring matters</w:t></w:r>
</w:p>
<w:p>
<w:pPr><w:pStyle w:val="Normal"/></w:pPr>
<w:r><w:t xml:space="preserve">are quite harmless, especially in the small quantities that</w:t></w:r>
</w:p>
<w:p>
<w:pPr><w:pStyle w:val="Normal"/></w:pPr>
<w:r><w:t xml:space="preserve">are required for colouring, but there are a few exceptions,</w:t></w:r>
</w:p>
<w:p>
<w:pPr><w:pStyle w:val="Normal"/></w:pPr>
<w:r><w:t xml:space="preserve">picric acid, dinitrocresol, Martius-yellow, Bismarck brown</w:t></w:r>
</w:p>
<w:p>
<w:pPr><w:pStyle w:val="Normal"/></w:pPr>
<w:r><w:t xml:space="preserve">and one of the tropaeolins being distinctly poisonous.  On</w:t></w:r>
</w:p>
<w:p>
<w:pPr><w:pStyle w:val="Normal"/></w:pPr>
<w:r><w:t xml:space="preserve">the whole, the employment of powerful aniline dyes is an</w:t></w:r>
</w:p>
<w:p>
<w:pPr><w:pStyle w:val="Normal"/></w:pPr>
<w:r><w:t xml:space="preserve">advance as compared with the use of the vicious and often</w:t></w:r>
</w:p>
<w:p>
<w:pPr><w:pStyle w:val="Normal"/></w:pPr>
<w:r><w:t xml:space="preserve">highly poisonous mineral colours which Hassall met with</w:t></w:r>
</w:p>
<w:p>
<w:pPr><w:pStyle w:val="Normal"/></w:pPr>
<w:r><w:t xml:space="preserve">so frequently in the middle of the 19th century.  Mineral</w:t></w:r>
</w:p>
<w:p>
<w:pPr><w:pStyle w:val="Normal"/></w:pPr>
<w:r><w:t xml:space="preserve">colours, with very few exceptions, are no longer used in</w:t></w:r>
</w:p>
<w:p>
<w:pPr><w:pStyle w:val="Normal"/></w:pPr>
<w:r><w:t xml:space="preserve">food.  Oxide of iron or ochre is still very often found in potted</w:t></w:r>
</w:p>
<w:p>
<w:pPr><w:pStyle w:val="Normal"/></w:pPr>
<w:r><w:t xml:space="preserve">meats, fish sauces and chocolates; dioxide of manganese is</w:t></w:r>
</w:p>
<w:p>
<w:pPr><w:pStyle w:val="Normal"/></w:pPr>
<w:r><w:t xml:space="preserve">admixed with cheap chocolates.  All lump sugar of commerce is</w:t></w:r>
</w:p>
<w:p>
<w:pPr><w:pStyle w:val="Normal"/></w:pPr>
<w:r><w:t xml:space="preserve">dyed.  Naturally it has a yellow tint.  Ultramarine is added</w:t></w:r>
</w:p>
<w:p>
<w:pPr><w:pStyle w:val="Normal"/></w:pPr>
<w:r><w:t xml:space="preserve">to it and counteracts the yellowness.  In the same way our</w:t></w:r>
</w:p>
<w:p>
<w:pPr><w:pStyle w:val="Normal"/></w:pPr>
<w:r><w:t xml:space="preserve">linen is naturally yellow and only made to look white by the</w:t></w:r>
</w:p>
<w:p>
<w:pPr><w:pStyle w:val="Normal"/></w:pPr>
<w:r><w:t xml:space="preserve">use of the blue-bag.  The same idea underlies both practices,</w:t></w:r>
</w:p>
<w:p>
<w:pPr><w:pStyle w:val="Normal"/></w:pPr>
<w:r><w:t xml:space="preserve">and indeed the use of all colouring matters in manufactured</w:t></w:r>
</w:p>
<w:p>
<w:pPr><w:pStyle w:val="Normal"/></w:pPr>
<w:r><w:t xml:space="preserve">articles, namely, to make them look better than they would</w:t></w:r>
</w:p>
<w:p>
<w:pPr><w:pStyle w:val="Normal"/></w:pPr>
<w:r><w:t xml:space="preserve">otherwise.  Within bounds, this is a reasonable and laudable</w:t></w:r>
</w:p>
<w:p>
<w:pPr><w:pStyle w:val="Normal"/></w:pPr>
<w:r><w:t xml:space="preserve">desire, but it also covers many sins--poor materials, bad</w:t></w:r>
</w:p>
<w:p>
<w:pPr><w:pStyle w:val="Normal"/></w:pPr>
<w:r><w:t xml:space="preserve">workmanship, faulty manufacturing and often fraud.  Like</w:t></w:r>
</w:p>
<w:p>
<w:pPr><w:pStyle w:val="Normal"/></w:pPr>
<w:r><w:t xml:space="preserve">sugar, flour and rice are sometimes blued to make them look</w:t></w:r>
</w:p>
<w:p>
<w:pPr><w:pStyle w:val="Normal"/></w:pPr>
<w:r><w:t xml:space="preserve">white.  All vinegar, most beers, all stout, are artificially</w:t></w:r>
</w:p>
<w:p>
<w:pPr><w:pStyle w:val="Normal"/></w:pPr>
<w:r><w:t xml:space="preserve">coloured with burnt sugar or caramel.  The line dividing the</w:t></w:r>
</w:p>
<w:p>
<w:pPr><w:pStyle w:val="Normal"/></w:pPr>
<w:r><w:t xml:space="preserve">legitimate and laudable from the fraudulent and punishable</w:t></w:r>
</w:p>
<w:p>
<w:pPr><w:pStyle w:val="Normal"/></w:pPr>
<w:r><w:t xml:space="preserve">is so thin and difficult to draw that neither the law nor</w:t></w:r>
</w:p>
<w:p>
<w:pPr><w:pStyle w:val="Normal"/></w:pPr>
<w:r><w:t xml:space="preserve">its officers have ventured to draw it, and yet it is a</w:t></w:r>
</w:p>
<w:p>
<w:pPr><w:pStyle w:val="Normal"/></w:pPr>
<w:r><w:t xml:space="preserve">matter which urgently requires regulation at the hands of the</w:t></w:r>
</w:p>
<w:p>
<w:pPr><w:pStyle w:val="Normal"/></w:pPr>
<w:r><w:t xml:space="preserve">state.  Practices which, when new, admit of regulation are</w:t></w:r>
</w:p>
<w:p>
<w:pPr><w:pStyle w:val="Normal"/></w:pPr>
<w:r><w:t xml:space="preserve">almost ineradicable when they have become old and possessed</w:t></w:r>
</w:p>
<w:p>
<w:pPr><w:pStyle w:val="Normal"/></w:pPr>
<w:r><w:t xml:space="preserve">of ``vested rights.&apos;&apos; Recognizing this, the departmental</w:t></w:r>
</w:p>
<w:p>
<w:pPr><w:pStyle w:val="Normal"/></w:pPr>
<w:r><w:t xml:space="preserve">committee, like the royal commission on arsenical poisons,</w:t></w:r>
</w:p>
<w:p>
<w:pPr><w:pStyle w:val="Normal"/></w:pPr>
<w:r><w:t xml:space="preserve">recommended that ``means be provided, either by the</w:t></w:r>
</w:p>
<w:p>
<w:pPr><w:pStyle w:val="Normal"/></w:pPr>
<w:r><w:t xml:space="preserve">establishment of a separate court of reference, or by the</w:t></w:r>
</w:p>
<w:p>
<w:pPr><w:pStyle w:val="Normal"/></w:pPr>
<w:r><w:t xml:space="preserve">imposition of more direct obligation on the Local Government</w:t></w:r>
</w:p>
<w:p>
<w:pPr><w:pStyle w:val="Normal"/></w:pPr>
<w:r><w:t xml:space="preserve">Board, to exercise supervision over the use of preservatives</w:t></w:r>
</w:p>
<w:p>
<w:pPr><w:pStyle w:val="Normal"/></w:pPr>
<w:r><w:t xml:space="preserve">and colouring matters in foods and to prepare schedules of</w:t></w:r>
</w:p>
<w:p>
<w:pPr><w:pStyle w:val="Normal"/></w:pPr>
<w:r><w:t xml:space="preserve">such as may be considered inimical to the public health.&apos;&apos;</w:t></w:r>
</w:p>
<w:p>
<w:pPr><w:pStyle w:val="Normal"/></w:pPr>
<w:r><w:t xml:space="preserve">In close connexion with this subject is the occasional</w:t></w:r>
</w:p>
<w:p>
<w:pPr><w:pStyle w:val="Normal"/></w:pPr>
<w:r><w:t xml:space="preserve">occurrence of injurious metallic impurities in food-materials.</w:t></w:r>
</w:p>
<w:p>
<w:pPr><w:pStyle w:val="Normal"/></w:pPr>
<w:r><w:t xml:space="preserve">Tin chloride is used in the West Indies to produce the yellow</w:t></w:r>
</w:p>
<w:p>
<w:pPr><w:pStyle w:val="Normal"/></w:pPr>
<w:r><w:t xml:space="preserve">colour of Demerara sugar.  The old processes of sugar-boiling</w:t></w:r>
</w:p>
<w:p>
<w:pPr><w:pStyle w:val="Normal"/></w:pPr>
<w:r><w:t xml:space="preserve">left some of the brown syrup attached to the crystals, giving</w:t></w:r>
</w:p>
<w:p>
<w:pPr><w:pStyle w:val="Normal"/></w:pPr>
<w:r><w:t xml:space="preserve">them both their colour and their delicious aroma; with the</w:t></w:r>
</w:p>
<w:p>
<w:pPr><w:pStyle w:val="Normal"/></w:pPr>
<w:r><w:t xml:space="preserve">introduction of modern processes affording a much greater</w:t></w:r>
</w:p>
<w:p>
<w:pPr><w:pStyle w:val="Normal"/></w:pPr>
<w:r><w:t xml:space="preserve">yield of highly refined sugar, white sugar only was the</w:t></w:r>
</w:p>
<w:p>
<w:pPr><w:pStyle w:val="Normal"/></w:pPr>
<w:r><w:t xml:space="preserve">result.  The consumer, accustomed to yellow sugar had the</w:t></w:r>
</w:p>
<w:p>
<w:pPr><w:pStyle w:val="Normal"/></w:pPr>
<w:r><w:t xml:space="preserve">colour artificially supplied by the action of the tin compound</w:t></w:r>
</w:p>
<w:p>
<w:pPr><w:pStyle w:val="Normal"/></w:pPr>
<w:r><w:t xml:space="preserve">upon the sugar.  At the present time all Demerara sugar,</w:t></w:r>
</w:p>
<w:p>
<w:pPr><w:pStyle w:val="Normal"/></w:pPr>
<w:r><w:t xml:space="preserve">with the exception of that portion that is dyed with aniline</w:t></w:r>
</w:p>
<w:p>
<w:pPr><w:pStyle w:val="Normal"/></w:pPr>
<w:r><w:t xml:space="preserve">dye, has had its colour artificially given it and consequently</w:t></w:r>
</w:p>
<w:p>
<w:pPr><w:pStyle w:val="Normal"/></w:pPr>
<w:r><w:t xml:space="preserve">contains strong traces of tin.  Soda-water, lemonade and</w:t></w:r>
</w:p>
<w:p>
<w:pPr><w:pStyle w:val="Normal"/></w:pPr>
<w:r><w:t xml:space="preserve">other artificial aerated liquors are liable to tin or lead</w:t></w:r>
</w:p>
<w:p>
<w:pPr><w:pStyle w:val="Normal"/></w:pPr>
<w:r><w:t xml:space="preserve">contamination, the former proceeding from the tin pipes and</w:t></w:r>
</w:p>
<w:p>
<w:pPr><w:pStyle w:val="Normal"/></w:pPr>
<w:r><w:t xml:space="preserve">vessels, the latter from citric and tartaric acids and cream</w:t></w:r>
</w:p>
<w:p>
<w:pPr><w:pStyle w:val="Normal"/></w:pPr>
<w:r><w:t xml:space="preserve">of tartar used as ingredients, these being crystallized by</w:t></w:r>
</w:p>
<w:p>
<w:pPr><w:pStyle w:val="Normal"/></w:pPr>
<w:r><w:t xml:space="preserve">their manufacturers in leaden pans.  Almost all ``canned&apos;&apos;</w:t></w:r>
</w:p>
<w:p>
<w:pPr><w:pStyle w:val="Normal"/></w:pPr>
<w:r><w:t xml:space="preserve">goods contain more or less tin as a contamination from the</w:t></w:r>
</w:p>
<w:p>
<w:pPr><w:pStyle w:val="Normal"/></w:pPr>
<w:r><w:t xml:space="preserve">tin-plate.  While animal foods do not attack the tin to any</w:t></w:r>
</w:p>
<w:p>
<w:pPr><w:pStyle w:val="Normal"/></w:pPr>
<w:r><w:t xml:space="preserve">great extent, their acidity being small, almost all vegetable</w:t></w:r>
</w:p>
<w:p>
<w:pPr><w:pStyle w:val="Normal"/></w:pPr>
<w:r><w:t xml:space="preserve">materials, especially fruits and tomatoes, powerfully corrode</w:t></w:r>
</w:p>
<w:p>
<w:pPr><w:pStyle w:val="Normal"/></w:pPr>
<w:r><w:t xml:space="preserve">the tin covering of the plate, dissolving it and becoming</w:t></w:r>
</w:p>
<w:p>
<w:pPr><w:pStyle w:val="Normal"/></w:pPr>
<w:r><w:t xml:space="preserve">impregnated with tin compounds.  It is quite easy to obtain</w:t></w:r>
</w:p>
<w:p>
<w:pPr><w:pStyle w:val="Normal"/></w:pPr>
<w:r><w:t xml:space="preserve">tin-reactions in abundance from every grain of tinned</w:t></w:r>
</w:p>
<w:p>
<w:pPr><w:pStyle w:val="Normal"/></w:pPr>
<w:r><w:t xml:space="preserve">peaches, apples or tomatoes.  These tin compounds are by no</w:t></w:r>
</w:p>
<w:p>
<w:pPr><w:pStyle w:val="Normal"/></w:pPr>
<w:r><w:t xml:space="preserve">means innocuous; yet poisoning from tinned vegetable foods</w:t></w:r>
</w:p>
<w:p>
<w:pPr><w:pStyle w:val="Normal"/></w:pPr>
<w:r><w:t xml:space="preserve">is of rare occurrence.  On the whole, tin-plate is a very</w:t></w:r>
</w:p>
<w:p>
<w:pPr><w:pStyle w:val="Normal"/></w:pPr>
<w:r><w:t xml:space="preserve">unsuitable material for the storage and preservation of acid</w:t></w:r>
</w:p>
<w:p>
<w:pPr><w:pStyle w:val="Normal"/></w:pPr>
<w:r><w:t xml:space="preserve">goods.  Certain enamels, used for glazing earthenware or for</w:t></w:r>
</w:p>
<w:p>
<w:pPr><w:pStyle w:val="Normal"/></w:pPr>
<w:r><w:t xml:space="preserve">coating metal cooking pots, contain lead, which they yield</w:t></w:r>
</w:p>
<w:p>
<w:pPr><w:pStyle w:val="Normal"/></w:pPr>
<w:r><w:t xml:space="preserve">to the food prepared in them.  Food materials that have been</w:t></w:r>
</w:p>
<w:p>
<w:pPr><w:pStyle w:val="Normal"/></w:pPr>
<w:r><w:t xml:space="preserve">in contact with galvanized vessels sometimes are contaminated</w:t></w:r>
</w:p>
<w:p>
<w:pPr><w:pStyle w:val="Normal"/></w:pPr>
<w:r><w:t xml:space="preserve">with zinc.  Zinc is also not infrequently present in wines.</w:t></w:r>
</w:p>
<w:p>
<w:pPr><w:pStyle w:val="Normal"/></w:pPr>
<w:r><w:t xml:space="preserve">Results of English Food Acts.</w:t></w:r>
</w:p>
<w:p>
<w:pPr><w:pStyle w:val="Normal"/></w:pPr>
<w:r><w:t xml:space="preserve">The effect of the application of the food laws has been entirely</w:t></w:r>
</w:p>
<w:p>
<w:pPr><w:pStyle w:val="Normal"/></w:pPr>
<w:r><w:t xml:space="preserve">beneficial.  Not only has the percentage proportion of samples found</w:t></w:r>
</w:p>
<w:p>
<w:pPr><w:pStyle w:val="Normal"/></w:pPr>
<w:r><w:t xml:space="preserve">adulterated largely declined, but the gross forms of adulteration</w:t></w:r>
</w:p>
<w:p>
<w:pPr><w:pStyle w:val="Normal"/></w:pPr>
<w:r><w:t xml:space="preserve">which prevailed in the middle of the 19th century have almost</w:t></w:r>
</w:p>
<w:p>
<w:pPr><w:pStyle w:val="Normal"/></w:pPr>
<w:r><w:t xml:space="preserve">vanished.  Plenty of fraud still prevails, but poisoning by</w:t></w:r>
</w:p>
<w:p>
<w:pPr><w:pStyle w:val="Normal"/></w:pPr>
<w:r><w:t xml:space="preserve">reckless admixture is of exceedingly rare occurrence.  Whilst</w:t></w:r>
</w:p>
<w:p>
<w:pPr><w:pStyle w:val="Normal"/></w:pPr>
<w:r><w:t xml:space="preserve">formerly milk was not infrequently adulterated with an equal</w:t></w:r>
</w:p>
<w:p>
<w:pPr><w:pStyle w:val="Normal"/></w:pPr>
<w:r><w:t xml:space="preserve">bulk of water, few fraudulent milkmen now venture to exceed</w:t></w:r>
</w:p>
<w:p>
<w:pPr><w:pStyle w:val="Normal"/></w:pPr>
<w:r><w:t xml:space="preserve">an addition of 10 or 15%. A bird&apos;s-eye view over the effect is</w:t></w:r>
</w:p>
<w:p>
<w:pPr><w:pStyle w:val="Normal"/></w:pPr>
<w:r><w:t xml:space="preserve">obtained from the following figures for England and Wales:--</w:t></w:r>
</w:p>
<w:p>
<w:pPr><w:pStyle w:val="Normal"/></w:pPr>
<w:r><w:t xml:space="preserve">Number of Samples</w:t></w:r>
</w:p>
<w:p>
<w:pPr><w:pStyle w:val="Normal"/></w:pPr>
<w:r><w:t xml:space="preserve">Year    Examined   Adulterated    Percentage of Adulteration</w:t></w:r>
</w:p>
<w:p>
<w:pPr><w:pStyle w:val="Normal"/></w:pPr>
<w:r><w:t xml:space="preserve">1877       14706          2826              19.2</w:t></w:r>
</w:p>
<w:p>
<w:pPr><w:pStyle w:val="Normal"/></w:pPr>
<w:r><w:t xml:space="preserve">1879       17049          2535              14.8</w:t></w:r>
</w:p>
<w:p>
<w:pPr><w:pStyle w:val="Normal"/></w:pPr>
<w:r><w:t xml:space="preserve">1884       22951          3311              14.4</w:t></w:r>
</w:p>
<w:p>
<w:pPr><w:pStyle w:val="Normal"/></w:pPr>
<w:r><w:t xml:space="preserve">1889       26956          3096              11.5</w:t></w:r>
</w:p>
<w:p>
<w:pPr><w:pStyle w:val="Normal"/></w:pPr>
<w:r><w:t xml:space="preserve">1894       39516          4060              10.3</w:t></w:r>
</w:p>
<w:p>
<w:pPr><w:pStyle w:val="Normal"/></w:pPr>
<w:r><w:t xml:space="preserve">1899       53056          4970               9.4</w:t></w:r>
</w:p>
<w:p>
<w:pPr><w:pStyle w:val="Normal"/></w:pPr>
<w:r><w:t xml:space="preserve">1904       84678          7173               8.5</w:t></w:r>
</w:p>
<w:p>
<w:pPr><w:pStyle w:val="Normal"/></w:pPr>
<w:r><w:t xml:space="preserve">The details of the working of the Food Acts in 1904 in</w:t></w:r>
</w:p>
<w:p>
<w:pPr><w:pStyle w:val="Normal"/></w:pPr>
<w:r><w:t xml:space="preserve">England and Wales are set out in the table on the next page.</w:t></w:r>
</w:p>
<w:p>
<w:pPr><w:pStyle w:val="Normal"/></w:pPr>
<w:r><w:t xml:space="preserve">United States.---Each separate state has food laws of its</w:t></w:r>
</w:p>
<w:p>
<w:pPr><w:pStyle w:val="Normal"/></w:pPr>
<w:r><w:t xml:space="preserve">own.  From the Ist of January 1907 the ``American National</w:t></w:r>
</w:p>
<w:p>
<w:pPr><w:pStyle w:val="Normal"/></w:pPr>
<w:r><w:t xml:space="preserve">Pure Food Law,&apos;&apos; applicable to the United States generally,</w:t></w:r>
</w:p>
<w:p>
<w:pPr><w:pStyle w:val="Normal"/></w:pPr>
<w:r><w:t xml:space="preserve">came into force, without superseding the State food laws,</w:t></w:r>
</w:p>
<w:p>
<w:pPr><w:pStyle w:val="Normal"/></w:pPr>
<w:r><w:t xml:space="preserve">the only effect of the National Law being the legalization</w:t></w:r>
</w:p>
<w:p>
<w:pPr><w:pStyle w:val="Normal"/></w:pPr>
<w:r><w:t xml:space="preserve">of shipments of any food which complies with the provisions</w:t></w:r>
</w:p>
<w:p>
<w:pPr><w:pStyle w:val="Normal"/></w:pPr>
<w:r><w:t xml:space="preserve">of the National Law into any state from another state, even</w:t></w:r>
</w:p>
<w:p>
<w:pPr><w:pStyle w:val="Normal"/></w:pPr>
<w:r><w:t xml:space="preserve">though the food is adulterated within the meaning of the state</w:t></w:r>
</w:p>
<w:p>
<w:pPr><w:pStyle w:val="Normal"/></w:pPr>
<w:r><w:t xml:space="preserve">law.  The law applies to every person in the United States</w:t></w:r>
</w:p>
<w:p>
<w:pPr><w:pStyle w:val="Normal"/></w:pPr>
<w:r><w:t xml:space="preserve">who receives food from another state and offers it for sale</w:t></w:r>
</w:p>
<w:p>
<w:pPr><w:pStyle w:val="Normal"/></w:pPr>
<w:r><w:t xml:space="preserve">in the original unbroken packages in which he receives it,</w:t></w:r>
</w:p>
<w:p>
<w:pPr><w:pStyle w:val="Normal"/></w:pPr>
<w:r><w:t xml:space="preserve">and if it is adulterated or misbranded within the meaning of</w:t></w:r>
</w:p>
<w:p>
<w:pPr><w:pStyle w:val="Normal"/></w:pPr>
<w:r><w:t xml:space="preserve">the National Law he can be punished for having received it</w:t></w:r>
</w:p>
<w:p>
<w:pPr><w:pStyle w:val="Normal"/></w:pPr>
<w:r><w:t xml:space="preserve">and offering it for sale in the original unbroken package to</w:t></w:r>
</w:p>
<w:p>
<w:pPr><w:pStyle w:val="Normal"/></w:pPr>
<w:r><w:t xml:space="preserve">the same extent as the person who shipped it to him can be</w:t></w:r>
</w:p>
<w:p>
<w:pPr><w:pStyle w:val="Normal"/></w:pPr>
<w:r><w:t xml:space="preserve">punished.  The mere fact that he is a citizen of a state soiling</w:t></w:r>
</w:p>
<w:p>
<w:pPr><w:pStyle w:val="Normal"/></w:pPr>
<w:r><w:t xml:space="preserve">food within that state will not excuse him; and he will be</w:t></w:r>
</w:p>
<w:p>
<w:pPr><w:pStyle w:val="Normal"/></w:pPr>
<w:r><w:t xml:space="preserve">subject to prosecution to the same extent as he would be if</w:t></w:r>
</w:p>
<w:p>
<w:pPr><w:pStyle w:val="Normal"/></w:pPr>
<w:r><w:t xml:space="preserve">he uttered counterfeit money.  Retailers, however, can protect</w:t></w:r>
</w:p>
<w:p>
<w:pPr><w:pStyle w:val="Normal"/></w:pPr>
<w:r><w:t xml:space="preserve">themselves from prosecution when they sell goods in original</w:t></w:r>
</w:p>
<w:p>
<w:pPr><w:pStyle w:val="Normal"/></w:pPr>
<w:r><w:t xml:space="preserve">unbroken packages by procuring a written guarantee, signed by</w:t></w:r>
</w:p>
<w:p>
<w:pPr><w:pStyle w:val="Normal"/></w:pPr>
<w:r><w:t xml:space="preserve">the person from whom they received the goods, such guarantee</w:t></w:r>
</w:p>
<w:p>
<w:pPr><w:pStyle w:val="Normal"/></w:pPr>
<w:r><w:t xml:space="preserve">stating that the goods are not adulterated within the meaning</w:t></w:r>
</w:p>
<w:p>
<w:pPr><w:pStyle w:val="Normal"/></w:pPr>
<w:r><w:t xml:space="preserve">of the National Law. The guarantee must also contain the name</w:t></w:r>
</w:p>
<w:p>
<w:pPr><w:pStyle w:val="Normal"/></w:pPr>
<w:r><w:t xml:space="preserve">and address of the wholesale vendor, but unless the parties</w:t></w:r>
</w:p>
<w:p>
<w:pPr><w:pStyle w:val="Normal"/></w:pPr>
<w:r><w:t xml:space="preserve">signing the guarantee are residents of the United States</w:t></w:r>
</w:p>
<w:p>
<w:pPr><w:pStyle w:val="Normal"/></w:pPr>
<w:r><w:t xml:space="preserve">the guarantee is void.  The law affects all foods shipped</w:t></w:r>
</w:p>
<w:p>
<w:pPr><w:pStyle w:val="Normal"/></w:pPr>
<w:r><w:t xml:space="preserve">from one state or district into another and also all foods</w:t></w:r>
</w:p>
<w:p>
<w:pPr><w:pStyle w:val="Normal"/></w:pPr>
<w:r><w:t xml:space="preserve">intended for export to a foreign country.  It also affects</w:t></w:r>
</w:p>
<w:p>
<w:pPr><w:pStyle w:val="Normal"/></w:pPr>
<w:r><w:t xml:space="preserve">all food products manufactured or offered for sale in any</w:t></w:r>
</w:p>
<w:p>
<w:pPr><w:pStyle w:val="Normal"/></w:pPr>
<w:r><w:t xml:space="preserve">Table showing working of British Food Acts, 1904.</w:t></w:r>
</w:p>
<w:p>
<w:pPr><w:pStyle w:val="Normal"/></w:pPr>
<w:r><w:t xml:space="preserve">Samples           Found           Percentage</w:t></w:r>
</w:p>
<w:p>
<w:pPr><w:pStyle w:val="Normal"/></w:pPr>
<w:r><w:t xml:space="preserve">Examined        Adulterated       Adulterated</w:t></w:r>
</w:p>
<w:p>
<w:pPr><w:pStyle w:val="Normal"/></w:pPr>
<w:r><w:t xml:space="preserve">Milk .   .   .   .   .    36,413              4,031              11.1</w:t></w:r>
</w:p>
<w:p>
<w:pPr><w:pStyle w:val="Normal"/></w:pPr>
<w:r><w:t xml:space="preserve">Butter   .   .   .   .    15,124                867               5.7</w:t></w:r>
</w:p>
<w:p>
<w:pPr><w:pStyle w:val="Normal"/></w:pPr>
<w:r><w:t xml:space="preserve">Cheese   .   .   .   .     2,176                 20               0.9</w:t></w:r>
</w:p>
<w:p>
<w:pPr><w:pStyle w:val="Normal"/></w:pPr>
<w:r><w:t xml:space="preserve">Margarine    .   .   .     1,169                 83               7.1</w:t></w:r>
</w:p>
<w:p>
<w:pPr><w:pStyle w:val="Normal"/></w:pPr>
<w:r><w:t xml:space="preserve">Lard .   .   .   .   .     2,489                  4               0.2</w:t></w:r>
</w:p>
<w:p>
<w:pPr><w:pStyle w:val="Normal"/></w:pPr>
<w:r><w:t xml:space="preserve">Bread    .   .   .   .       473                  1               0.2</w:t></w:r>
</w:p>
<w:p>
<w:pPr><w:pStyle w:val="Normal"/></w:pPr>
<w:r><w:t xml:space="preserve">Flour    .   .   .   .       476                  3               0.6</w:t></w:r>
</w:p>
<w:p>
<w:pPr><w:pStyle w:val="Normal"/></w:pPr>
<w:r><w:t xml:space="preserve">Tea  .   .   .   .   .       486                  .               . .</w:t></w:r>
</w:p>
<w:p>
<w:pPr><w:pStyle w:val="Normal"/></w:pPr>
<w:r><w:t xml:space="preserve">Coffee   .   .   .   .     2,550                161               6.3</w:t></w:r>
</w:p>
<w:p>
<w:pPr><w:pStyle w:val="Normal"/></w:pPr>
<w:r><w:t xml:space="preserve">Cocoa    .   .   .   .       477                 42               8.8</w:t></w:r>
</w:p>
<w:p>
<w:pPr><w:pStyle w:val="Normal"/></w:pPr>
<w:r><w:t xml:space="preserve">Sugar    .   .   .   .       901                 49               5.4</w:t></w:r>
</w:p>
<w:p>
<w:pPr><w:pStyle w:val="Normal"/></w:pPr>
<w:r><w:t xml:space="preserve">Mustard  .   .   .   .       812                 39               4.8</w:t></w:r>
</w:p>
<w:p>
<w:pPr><w:pStyle w:val="Normal"/></w:pPr>
<w:r><w:t xml:space="preserve">Confectionery and Jam      1,303                 72               5.5</w:t></w:r>
</w:p>
<w:p>
<w:pPr><w:pStyle w:val="Normal"/></w:pPr>
<w:r><w:t xml:space="preserve">Pepper   .   .   .   .     2,393                 43               1.8</w:t></w:r>
</w:p>
<w:p>
<w:pPr><w:pStyle w:val="Normal"/></w:pPr>
<w:r><w:t xml:space="preserve">Wine .   .   .   .   .       308                 54              17.5</w:t></w:r>
</w:p>
<w:p>
<w:pPr><w:pStyle w:val="Normal"/></w:pPr>
<w:r><w:t xml:space="preserve">Beer .   .   .   .   .     1,065                 75               7.0</w:t></w:r>
</w:p>
<w:p>
<w:pPr><w:pStyle w:val="Normal"/></w:pPr>
<w:r><w:t xml:space="preserve">Spirits  .   .   .   .     6,938                832              12.0</w:t></w:r>
</w:p>
<w:p>
<w:pPr><w:pStyle w:val="Normal"/></w:pPr>
<w:r><w:t xml:space="preserve">Drugs:--</w:t></w:r>
</w:p>
<w:p>
<w:pPr><w:pStyle w:val="Normal"/></w:pPr>
<w:r><w:t xml:space="preserve">Camphorated Oil    .  395                  24              6.1</w:t></w:r>
</w:p>
<w:p>
<w:pPr><w:pStyle w:val="Normal"/></w:pPr>
<w:r><w:t xml:space="preserve">Sweet Spirit of Nitre 243                  66             27.2</w:t></w:r>
</w:p>
<w:p>
<w:pPr><w:pStyle w:val="Normal"/></w:pPr>
<w:r><w:t xml:space="preserve">Sulphur    .   .   .  131                   7              5.3</w:t></w:r>
</w:p>
<w:p>
<w:pPr><w:pStyle w:val="Normal"/></w:pPr>
<w:r><w:t xml:space="preserve">Cream of Tartar       441                  88             20.0</w:t></w:r>
</w:p>
<w:p>
<w:pPr><w:pStyle w:val="Normal"/></w:pPr>
<w:r><w:t xml:space="preserve">Glycerine  .   .   .  192                  21             10.9</w:t></w:r>
</w:p>
<w:p>
<w:pPr><w:pStyle w:val="Normal"/></w:pPr>
<w:r><w:t xml:space="preserve">Rhubarb preparations   96                   5              5.2</w:t></w:r>
</w:p>
<w:p>
<w:pPr><w:pStyle w:val="Normal"/></w:pPr>
<w:r><w:t xml:space="preserve">Seidlitz Powders   .   81                   3              3.7</w:t></w:r>
</w:p>
<w:p>
<w:pPr><w:pStyle w:val="Normal"/></w:pPr>
<w:r><w:t xml:space="preserve">Linseed    .   .   .   70                   1              1.4</w:t></w:r>
</w:p>
<w:p>
<w:pPr><w:pStyle w:val="Normal"/></w:pPr>
<w:r><w:t xml:space="preserve">Magnesia   .   .   .   48                   9             18.8</w:t></w:r>
</w:p>
<w:p>
<w:pPr><w:pStyle w:val="Normal"/></w:pPr>
<w:r><w:t xml:space="preserve">Cod Liver Oil  .   .  245                   7              2.9</w:t></w:r>
</w:p>
<w:p>
<w:pPr><w:pStyle w:val="Normal"/></w:pPr>
<w:r><w:t xml:space="preserve">Iron Pills .   .   .   16                  ..               ..</w:t></w:r>
</w:p>
<w:p>
<w:pPr><w:pStyle w:val="Normal"/></w:pPr>
<w:r><w:t xml:space="preserve">Compound Liquorice</w:t></w:r>
</w:p>
<w:p>
<w:pPr><w:pStyle w:val="Normal"/></w:pPr>
<w:r><w:t xml:space="preserve">Powder   .   .   .  111                   2              1.8</w:t></w:r>
</w:p>
<w:p>
<w:pPr><w:pStyle w:val="Normal"/></w:pPr>
<w:r><w:t xml:space="preserve">Tincture of Iodine .   23                   4             17.4</w:t></w:r>
</w:p>
<w:p>
<w:pPr><w:pStyle w:val="Normal"/></w:pPr>
<w:r><w:t xml:space="preserve">Other Drugs    .    1,124                 124             11.0</w:t></w:r>
</w:p>
<w:p>
<w:pPr><w:pStyle w:val="Normal"/></w:pPr>
<w:r><w:t xml:space="preserve">Total Drugs  .   .   .     3,214                365              11.3</w:t></w:r>
</w:p>
<w:p>
<w:pPr><w:pStyle w:val="Normal"/></w:pPr>
<w:r><w:t xml:space="preserve">Other Articles:--</w:t></w:r>
</w:p>
<w:p>
<w:pPr><w:pStyle w:val="Normal"/></w:pPr>
<w:r><w:t xml:space="preserve">Ginger .   .   .   .  704                  ..               ..</w:t></w:r>
</w:p>
<w:p>
<w:pPr><w:pStyle w:val="Normal"/></w:pPr>
<w:r><w:t xml:space="preserve">Syrup and Treacle  .  183                   8              4.4</w:t></w:r>
</w:p>
<w:p>
<w:pPr><w:pStyle w:val="Normal"/></w:pPr>
<w:r><w:t xml:space="preserve">Baking Powder  .   .  281                  11              3.9</w:t></w:r>
</w:p>
<w:p>
<w:pPr><w:pStyle w:val="Normal"/></w:pPr>
<w:r><w:t xml:space="preserve">Vinegar    .   .   .  773                  57              7.4</w:t></w:r>
</w:p>
<w:p>
<w:pPr><w:pStyle w:val="Normal"/></w:pPr>
<w:r><w:t xml:space="preserve">Arrowroot  .   .   .  467                   3              0.6</w:t></w:r>
</w:p>
<w:p>
<w:pPr><w:pStyle w:val="Normal"/></w:pPr>
<w:r><w:t xml:space="preserve">Oatmeal    .   .   .  359                  ..               ..</w:t></w:r>
</w:p>
<w:p>
<w:pPr><w:pStyle w:val="Normal"/></w:pPr>
<w:r><w:t xml:space="preserve">Sago   .   .   .   .  227                  14              6.2</w:t></w:r>
</w:p>
<w:p>
<w:pPr><w:pStyle w:val="Normal"/></w:pPr>
<w:r><w:t xml:space="preserve">Olive Oil  .   .   .  306                   9              2.9</w:t></w:r>
</w:p>
<w:p>
<w:pPr><w:pStyle w:val="Normal"/></w:pPr>
<w:r><w:t xml:space="preserve">Dripping and Fat   .   85                   1              1.2</w:t></w:r>
</w:p>
<w:p>
<w:pPr><w:pStyle w:val="Normal"/></w:pPr>
<w:r><w:t xml:space="preserve">Sundries   .   .    2,496                 329             13.2</w:t></w:r>
</w:p>
<w:p>
<w:pPr><w:pStyle w:val="Normal"/></w:pPr>
<w:r><w:t xml:space="preserve">Total other Articles       5,881                432               7.3</w:t></w:r>
</w:p>
<w:p>
<w:pPr><w:pStyle w:val="Normal"/></w:pPr>
<w:r><w:t xml:space="preserve">All Articles .   .   .    84,678              7,173               8.5</w:t></w:r>
</w:p>
<w:p>
<w:pPr><w:pStyle w:val="Normal"/></w:pPr>
<w:r><w:t xml:space="preserve">territory or the District of Columbia, wherever such foods</w:t></w:r>
</w:p>
<w:p>
<w:pPr><w:pStyle w:val="Normal"/></w:pPr>
<w:r><w:t xml:space="preserve">may have been produced.  The law does not affect foods</w:t></w:r>
</w:p>
<w:p>
<w:pPr><w:pStyle w:val="Normal"/></w:pPr>
<w:r><w:t xml:space="preserve">manufactured and sold wholly within one state, nor such as</w:t></w:r>
</w:p>
<w:p>
<w:pPr><w:pStyle w:val="Normal"/></w:pPr>
<w:r><w:t xml:space="preserve">have been shipped from another state but not in the original</w:t></w:r>
</w:p>
<w:p>
<w:pPr><w:pStyle w:val="Normal"/></w:pPr>
<w:r><w:t xml:space="preserve">package.  While thus the National Food Law is mainly intended</w:t></w:r>
</w:p>
<w:p>
<w:pPr><w:pStyle w:val="Normal"/></w:pPr>
<w:r><w:t xml:space="preserve">to regulate the food traffic between the different states,</w:t></w:r>
</w:p>
<w:p>
<w:pPr><w:pStyle w:val="Normal"/></w:pPr>
<w:r><w:t xml:space="preserve">and leaves to the states freedom to regulate their internal</w:t></w:r>
</w:p>
<w:p>
<w:pPr><w:pStyle w:val="Normal"/></w:pPr>
<w:r><w:t xml:space="preserve">traffic, it must gradually tend to unify the present complicated</w:t></w:r>
</w:p>
<w:p>
<w:pPr><w:pStyle w:val="Normal"/></w:pPr>
<w:r><w:t xml:space="preserve">state food legislation, and it is therefore here more</w:t></w:r>
</w:p>
<w:p>
<w:pPr><w:pStyle w:val="Normal"/></w:pPr>
<w:r><w:t xml:space="preserve">usefully considered than would be the separate state laws.</w:t></w:r>
</w:p>
<w:p>
<w:pPr><w:pStyle w:val="Normal"/></w:pPr>
<w:r><w:t xml:space="preserve">The definition of adulteration as set forth in sec. 7 is as</w:t></w:r>
</w:p>
<w:p>
<w:pPr><w:pStyle w:val="Normal"/></w:pPr>
<w:r><w:t xml:space="preserve">follows:---``For the purpose of this act an article shall be</w:t></w:r>
</w:p>
<w:p>
<w:pPr><w:pStyle w:val="Normal"/></w:pPr>
<w:r><w:t xml:space="preserve">deemed to be adulterated: In the case of drugs: (1) If, when</w:t></w:r>
</w:p>
<w:p>
<w:pPr><w:pStyle w:val="Normal"/></w:pPr>
<w:r><w:t xml:space="preserve">a drug is sold under or by a name recognized in the United</w:t></w:r>
</w:p>
<w:p>
<w:pPr><w:pStyle w:val="Normal"/></w:pPr>
<w:r><w:t xml:space="preserve">States Pharmacopoeia or National Formulary, it differs from the</w:t></w:r>
</w:p>
<w:p>
<w:pPr><w:pStyle w:val="Normal"/></w:pPr>
<w:r><w:t xml:space="preserve">standard of strength, quality or purity, as determined by the</w:t></w:r>
</w:p>
<w:p>
<w:pPr><w:pStyle w:val="Normal"/></w:pPr>
<w:r><w:t xml:space="preserve">test laid down in the United States Pharmacopoeia or National</w:t></w:r>
</w:p>
<w:p>
<w:pPr><w:pStyle w:val="Normal"/></w:pPr>
<w:r><w:t xml:space="preserve">Formulary official at the time of investigation; provided</w:t></w:r>
</w:p>
<w:p>
<w:pPr><w:pStyle w:val="Normal"/></w:pPr>
<w:r><w:t xml:space="preserve">that no drug defined in the United States Pharmacopoeia or</w:t></w:r>
</w:p>
<w:p>
<w:pPr><w:pStyle w:val="Normal"/></w:pPr>
<w:r><w:t xml:space="preserve">National Formulary shall be deemed to be adulterated under</w:t></w:r>
</w:p>
<w:p>
<w:pPr><w:pStyle w:val="Normal"/></w:pPr>
<w:r><w:t xml:space="preserve">this provision if the standard of strength, quality or purity</w:t></w:r>
</w:p>
<w:p>
<w:pPr><w:pStyle w:val="Normal"/></w:pPr>
<w:r><w:t xml:space="preserve">be plainly stated upon the bottle, box or other container</w:t></w:r>
</w:p>
<w:p>
<w:pPr><w:pStyle w:val="Normal"/></w:pPr>
<w:r><w:t xml:space="preserve">thereof although the standard may differ from that determined</w:t></w:r>
</w:p>
<w:p>
<w:pPr><w:pStyle w:val="Normal"/></w:pPr>
<w:r><w:t xml:space="preserve">by the test laid down in the United States Pharmacopoeia or</w:t></w:r>
</w:p>
<w:p>
<w:pPr><w:pStyle w:val="Normal"/></w:pPr>
<w:r><w:t xml:space="preserve">National Formulary. (2) If its strength or purity fall below</w:t></w:r>
</w:p>
<w:p>
<w:pPr><w:pStyle w:val="Normal"/></w:pPr>
<w:r><w:t xml:space="preserve">the professed standard or quality under which it is sold.</w:t></w:r>
</w:p>
<w:p>
<w:pPr><w:pStyle w:val="Normal"/></w:pPr>
<w:r><w:t xml:space="preserve">In the case of confectionery: If it contains terra alba,</w:t></w:r>
</w:p>
<w:p>
<w:pPr><w:pStyle w:val="Normal"/></w:pPr>
<w:r><w:t xml:space="preserve">barytes, talc, chrome yellow or other mineral substance or</w:t></w:r>
</w:p>
<w:p>
<w:pPr><w:pStyle w:val="Normal"/></w:pPr>
<w:r><w:t xml:space="preserve">poisonous colour or flavour, or other ingredient deleterious</w:t></w:r>
</w:p>
<w:p>
<w:pPr><w:pStyle w:val="Normal"/></w:pPr>
<w:r><w:t xml:space="preserve">or detrimental to health, or any vinous, malt or spirituous</w:t></w:r>
</w:p>
<w:p>
<w:pPr><w:pStyle w:val="Normal"/></w:pPr>
<w:r><w:t xml:space="preserve">liquor or compound or narcotic drug. In the case of food:</w:t></w:r>
</w:p>
<w:p>
<w:pPr><w:pStyle w:val="Normal"/></w:pPr>
<w:r><w:t xml:space="preserve">(1) If any substance has been mixed and packed with it so</w:t></w:r>
</w:p>
<w:p>
<w:pPr><w:pStyle w:val="Normal"/></w:pPr>
<w:r><w:t xml:space="preserve">as to reduce or lower or injuriously affect its quality or</w:t></w:r>
</w:p>
<w:p>
<w:pPr><w:pStyle w:val="Normal"/></w:pPr>
<w:r><w:t xml:space="preserve">strength. (2) If any substance has been substituted wholly or</w:t></w:r>
</w:p>
<w:p>
<w:pPr><w:pStyle w:val="Normal"/></w:pPr>
<w:r><w:t xml:space="preserve">in part for the article. (3) If any valuable constituent of</w:t></w:r>
</w:p>
<w:p>
<w:pPr><w:pStyle w:val="Normal"/></w:pPr>
<w:r><w:t xml:space="preserve">the article has been wholly or in part abstracted. (4) If it</w:t></w:r>
</w:p>
<w:p>
<w:pPr><w:pStyle w:val="Normal"/></w:pPr>
<w:r><w:t xml:space="preserve">be mixed, coloured, powdered, coated or stained in a manner</w:t></w:r>
</w:p>
<w:p>
<w:pPr><w:pStyle w:val="Normal"/></w:pPr>
<w:r><w:t xml:space="preserve">whereby damage or inferiority is concealed. (5) If it contain</w:t></w:r>
</w:p>
<w:p>
<w:pPr><w:pStyle w:val="Normal"/></w:pPr>
<w:r><w:t xml:space="preserve">any added poisonous or other added deleterious ingredient</w:t></w:r>
</w:p>
<w:p>
<w:pPr><w:pStyle w:val="Normal"/></w:pPr>
<w:r><w:t xml:space="preserve">which may render such article injurious to health: provided</w:t></w:r>
</w:p>
<w:p>
<w:pPr><w:pStyle w:val="Normal"/></w:pPr>
<w:r><w:t xml:space="preserve">that when in the preparation of food products for shipment</w:t></w:r>
</w:p>
<w:p>
<w:pPr><w:pStyle w:val="Normal"/></w:pPr>
<w:r><w:t xml:space="preserve">they are preserved by any external application applied in</w:t></w:r>
</w:p>
<w:p>
<w:pPr><w:pStyle w:val="Normal"/></w:pPr>
<w:r><w:t xml:space="preserve">such manner that the preservation is necessarily removed</w:t></w:r>
</w:p>
<w:p>
<w:pPr><w:pStyle w:val="Normal"/></w:pPr>
<w:r><w:t xml:space="preserve">mechanically, or by maceration in water, or otherwise, and</w:t></w:r>
</w:p>
<w:p>
<w:pPr><w:pStyle w:val="Normal"/></w:pPr>
<w:r><w:t xml:space="preserve">directions for removal of said preservations shall be printed</w:t></w:r>
</w:p>
<w:p>
<w:pPr><w:pStyle w:val="Normal"/></w:pPr>
<w:r><w:t xml:space="preserve">on the covering of the package, the provisions of the act</w:t></w:r>
</w:p>
<w:p>
<w:pPr><w:pStyle w:val="Normal"/></w:pPr>
<w:r><w:t xml:space="preserve">shall be construed as applying only when said products are</w:t></w:r>
</w:p>
<w:p>
<w:pPr><w:pStyle w:val="Normal"/></w:pPr>
<w:r><w:t xml:space="preserve">ready for consumption. (6) If it consists in whole or in</w:t></w:r>
</w:p>
<w:p>
<w:pPr><w:pStyle w:val="Heading1"/></w:pPr>
<w:r><w:t>part of a filthy, decomposed or putrid animal or vegetable</w:t></w:r>
</w:p>
<w:p>
<w:pPr><w:pStyle w:val="Normal"/></w:pPr>
<w:r><w:t xml:space="preserve">substance, or any portion of an animal unfit for food, whether</w:t></w:r>
</w:p>
<w:p>
<w:pPr><w:pStyle w:val="Normal"/></w:pPr>
<w:r><w:t xml:space="preserve">manufactured or not, or if it is the product of a diseased</w:t></w:r>
</w:p>
<w:p>
<w:pPr><w:pStyle w:val="Normal"/></w:pPr>
<w:r><w:t xml:space="preserve">animal or one that has died otherwise than by slaughter. . . .&apos;&apos;</w:t></w:r>
</w:p>
<w:p>
<w:pPr><w:pStyle w:val="Normal"/></w:pPr>
<w:r><w:t xml:space="preserve">Whatever vagueness attaches to these definitions is intended</w:t></w:r>
</w:p>
<w:p>
<w:pPr><w:pStyle w:val="Normal"/></w:pPr>
<w:r><w:t xml:space="preserve">to be removed by secs. 3 and 4, which provide that the</w:t></w:r>
</w:p>
<w:p>
<w:pPr><w:pStyle w:val="Normal"/></w:pPr>
<w:r><w:t xml:space="preserve">secretaries of the Treasury, of Agriculture, and of Commerce</w:t></w:r>
</w:p>
<w:p>
<w:pPr><w:pStyle w:val="Normal"/></w:pPr>
<w:r><w:t xml:space="preserve">and Labour ``shall make uniform rules and regulations</w:t></w:r>
</w:p>
<w:p>
<w:pPr><w:pStyle w:val="Normal"/></w:pPr>
<w:r><w:t xml:space="preserve">for carrying out the provisions of the act, including the</w:t></w:r>
</w:p>
<w:p>
<w:pPr><w:pStyle w:val="Normal"/></w:pPr>
<w:r><w:t xml:space="preserve">collection and examination of specimens of food and drugs,&apos;&apos;</w:t></w:r>
</w:p>
<w:p>
<w:pPr><w:pStyle w:val="Normal"/></w:pPr>
<w:r><w:t xml:space="preserve">which examination ``shall be made in the bureau of chemistry</w:t></w:r>
</w:p>
<w:p>
<w:pPr><w:pStyle w:val="Normal"/></w:pPr>
<w:r><w:t xml:space="preserve">of the department of agriculture, or under the direction and</w:t></w:r>
</w:p>
<w:p>
<w:pPr><w:pStyle w:val="Normal"/></w:pPr>
<w:r><w:t xml:space="preserve">supervision of such bureau, for the purpose of determining</w:t></w:r>
</w:p>
<w:p>
<w:pPr><w:pStyle w:val="Normal"/></w:pPr>
<w:r><w:t xml:space="preserve">from such examinations whether such articles are adulterated</w:t></w:r>
</w:p>
<w:p>
<w:pPr><w:pStyle w:val="Normal"/></w:pPr>
<w:r><w:t xml:space="preserve">or misbranded within the meaning of the act.&apos;&apos; Contravention</w:t></w:r>
</w:p>
<w:p>
<w:pPr><w:pStyle w:val="Normal"/></w:pPr>
<w:r><w:t xml:space="preserve">of the act is punishable for the first offence by a fine not</w:t></w:r>
</w:p>
<w:p>
<w:pPr><w:pStyle w:val="Normal"/></w:pPr>
<w:r><w:t xml:space="preserve">exceeding 500 dollars or 1 year&apos;s imprisonment or both, and for</w:t></w:r>
</w:p>
<w:p>
<w:pPr><w:pStyle w:val="Normal"/></w:pPr>
<w:r><w:t xml:space="preserve">each subsequent offence by a fine not less than 1000 dollars</w:t></w:r>
</w:p>
<w:p>
<w:pPr><w:pStyle w:val="Normal"/></w:pPr>
<w:r><w:t xml:space="preserve">or 1 year&apos;s imprisonment or both.  Under an act of congress,</w:t></w:r>
</w:p>
<w:p>
<w:pPr><w:pStyle w:val="Normal"/></w:pPr>
<w:r><w:t xml:space="preserve">approved March 1903, the bureau of agriculture established</w:t></w:r>
</w:p>
<w:p>
<w:pPr><w:pStyle w:val="Normal"/></w:pPr>
<w:r><w:t xml:space="preserve">standards of purity for food products, ``to determine what</w:t></w:r>
</w:p>
<w:p>
<w:pPr><w:pStyle w:val="Normal"/></w:pPr>
<w:r><w:t xml:space="preserve">are regarded as adulterations therein for the guidance of the</w:t></w:r>
</w:p>
<w:p>
<w:pPr><w:pStyle w:val="Normal"/></w:pPr>
<w:r><w:t xml:space="preserve">officials of the various states and of the courts of justice.&apos;&apos;</w:t></w:r>
</w:p>
<w:p>
<w:pPr><w:pStyle w:val="Normal"/></w:pPr>
<w:r><w:t xml:space="preserve">The elaborate set of food definitions and standards worked</w:t></w:r>
</w:p>
<w:p>
<w:pPr><w:pStyle w:val="Normal"/></w:pPr>
<w:r><w:t xml:space="preserve">out under the guidance of the chief of the bureau, Dr H. W.</w:t></w:r>
</w:p>
<w:p>
<w:pPr><w:pStyle w:val="Normal"/></w:pPr>
<w:r><w:t xml:space="preserve">Wiley, have also received legal sanction and form a corollary</w:t></w:r>
</w:p>
<w:p>
<w:pPr><w:pStyle w:val="Normal"/></w:pPr>
<w:r><w:t xml:space="preserve">to the National Food Law. For each of the more important</w:t></w:r>
</w:p>
<w:p>
<w:pPr><w:pStyle w:val="Normal"/></w:pPr>
<w:r><w:t xml:space="preserve">articles of food an official definition of its nature and</w:t></w:r>
</w:p>
<w:p>
<w:pPr><w:pStyle w:val="Normal"/></w:pPr>
<w:r><w:t xml:space="preserve">composition has thus been established, of the utmost value</w:t></w:r>
</w:p>
<w:p>
<w:pPr><w:pStyle w:val="Normal"/></w:pPr>
<w:r><w:t xml:space="preserve">to food officers, manufacturers and merchants not only in</w:t></w:r>
</w:p>
<w:p>
<w:pPr><w:pStyle w:val="Normal"/></w:pPr>
<w:r><w:t xml:space="preserve">the United States but throughout the world.  A few of these</w:t></w:r>
</w:p>
<w:p>
<w:pPr><w:pStyle w:val="Normal"/></w:pPr>
<w:r><w:t xml:space="preserve">definitions may here find a place:-``Lard is the rendered</w:t></w:r>
</w:p>
<w:p>
<w:pPr><w:pStyle w:val="Normal"/></w:pPr>
<w:r><w:t xml:space="preserve">fresh fat from slaughtered healthy hogs.  Leaf-lard is the</w:t></w:r>
</w:p>
<w:p>
<w:pPr><w:pStyle w:val="Normal"/></w:pPr>
<w:r><w:t xml:space="preserve">lard rendered at moderately high temperatures from the internal</w:t></w:r>
</w:p>
<w:p>
<w:pPr><w:pStyle w:val="Normal"/></w:pPr>
<w:r><w:t xml:space="preserve">fat of the abdomen of the hog, excluding that adherent to the</w:t></w:r>
</w:p>
<w:p>
<w:pPr><w:pStyle w:val="Normal"/></w:pPr>
<w:r><w:t xml:space="preserve">intestines.  Standard lard and standard leaflard are lard</w:t></w:r>
</w:p>
<w:p>
<w:pPr><w:pStyle w:val="Normal"/></w:pPr>
<w:r><w:t xml:space="preserve">and leaf-lard respectively, free from rancidity, containing</w:t></w:r>
</w:p>
<w:p>
<w:pPr><w:pStyle w:val="Normal"/></w:pPr>
<w:r><w:t xml:space="preserve">not more than 1% of substances other than fatty acids, not</w:t></w:r>
</w:p>
<w:p>
<w:pPr><w:pStyle w:val="Normal"/></w:pPr>
<w:r><w:t xml:space="preserve">fat, necessarily incorporated therewith in the process of</w:t></w:r>
</w:p>
<w:p>
<w:pPr><w:pStyle w:val="Normal"/></w:pPr>
<w:r><w:t xml:space="preserve">rendering, and standard leaf-lard has an iodine number not</w:t></w:r>
</w:p>
<w:p>
<w:pPr><w:pStyle w:val="Normal"/></w:pPr>
<w:r><w:t xml:space="preserve">greater than 60. Milk is the lacteal secretion obtained by</w:t></w:r>
</w:p>
<w:p>
<w:pPr><w:pStyle w:val="Normal"/></w:pPr>
<w:r><w:t xml:space="preserve">the complete milking of one or more healthy cows, properly</w:t></w:r>
</w:p>
<w:p>
<w:pPr><w:pStyle w:val="Normal"/></w:pPr>
<w:r><w:t xml:space="preserve">fed and kept, excluding that obtained within 10 days before</w:t></w:r>
</w:p>
<w:p>
<w:pPr><w:pStyle w:val="Normal"/></w:pPr>
<w:r><w:t xml:space="preserve">and 5 days after calving.  Standard milk is milk containing</w:t></w:r>
</w:p>
<w:p>
<w:pPr><w:pStyle w:val="Normal"/></w:pPr>
<w:r><w:t xml:space="preserve">not less than 12% of total solids and not less than 8 1/2% of</w:t></w:r>
</w:p>
<w:p>
<w:pPr><w:pStyle w:val="Normal"/></w:pPr>
<w:r><w:t xml:space="preserve">solids not fat, nor less than 3 1/4% of milk-fat.  Standard</w:t></w:r>
</w:p>
<w:p>
<w:pPr><w:pStyle w:val="Normal"/></w:pPr>
<w:r><w:t xml:space="preserve">skim-milk is skim-milk containing not less than 9 1/4% of</w:t></w:r>
</w:p>
<w:p>
<w:pPr><w:pStyle w:val="Normal"/></w:pPr>
<w:r><w:t xml:space="preserve">milk-solids.  Standard condensed milk and standard sweetened</w:t></w:r>
</w:p>
<w:p>
<w:pPr><w:pStyle w:val="Normal"/></w:pPr>
<w:r><w:t xml:space="preserve">condensed milk are condensed milk and sweetened condensed milk</w:t></w:r>
</w:p>
<w:p>
<w:pPr><w:pStyle w:val="Normal"/></w:pPr>
<w:r><w:t xml:space="preserve">respectively, containing no less than 28% of milk-solids,</w:t></w:r>
</w:p>
<w:p>
<w:pPr><w:pStyle w:val="Normal"/></w:pPr>
<w:r><w:t xml:space="preserve">of which not less than one-fourth is milk-fat.  Standard</w:t></w:r>
</w:p>
<w:p>
<w:pPr><w:pStyle w:val="Normal"/></w:pPr>
<w:r><w:t xml:space="preserve">milk-fat or butter-fat has a Reichert-Meissl number not less</w:t></w:r>
</w:p>
<w:p>
<w:pPr><w:pStyle w:val="Normal"/></w:pPr>
<w:r><w:t xml:space="preserve">than 24 and a specific gravity at 40 C. not less than 0.905.</w:t></w:r>
</w:p>
<w:p>
<w:pPr><w:pStyle w:val="Normal"/></w:pPr>
<w:r><w:t xml:space="preserve">Standard butter is butter containing not less than 82.5% of</w:t></w:r>
</w:p>
<w:p>
<w:pPr><w:pStyle w:val="Normal"/></w:pPr>
<w:r><w:t xml:space="preserve">butter-fat.  Standard whole-milk cheese is cheese containing</w:t></w:r>
</w:p>
<w:p>
<w:pPr><w:pStyle w:val="Normal"/></w:pPr>
<w:r><w:t xml:space="preserve">in the water-free substance not less than 50% of butter-fat.</w:t></w:r>
</w:p>
<w:p>
<w:pPr><w:pStyle w:val="Normal"/></w:pPr>
<w:r><w:t xml:space="preserve">Standard sugar contains at least 99.5% of sucrose.  Standard</w:t></w:r>
</w:p>
<w:p>
<w:pPr><w:pStyle w:val="Normal"/></w:pPr>
<w:r><w:t xml:space="preserve">chocolate is chocolate containing not more than 3% of ash</w:t></w:r>
</w:p>
<w:p>
<w:pPr><w:pStyle w:val="Normal"/></w:pPr>
<w:r><w:t xml:space="preserve">insoluble in water, 3.5% of crude fibre, and 9% of starch, nor</w:t></w:r>
</w:p>
<w:p>
<w:pPr><w:pStyle w:val="Normal"/></w:pPr>
<w:r><w:t xml:space="preserve">less than 45% of cocoa-fat.&apos;&apos; Numerous other standards with</w:t></w:r>
</w:p>
<w:p>
<w:pPr><w:pStyle w:val="Normal"/></w:pPr>
<w:r><w:t xml:space="preserve">details too technical for reproduction here have also been fixed.</w:t></w:r>
</w:p>
<w:p>
<w:pPr><w:pStyle w:val="Normal"/></w:pPr>
<w:r><w:t xml:space="preserve">German Empire.--The law of the 14th of May 1879, largely</w:t></w:r>
</w:p>
<w:p>
<w:pPr><w:pStyle w:val="Normal"/></w:pPr>
<w:r><w:t xml:space="preserve">based upon the English Food and Drugs Act 1875, regulates</w:t></w:r>
</w:p>
<w:p>
<w:pPr><w:pStyle w:val="Normal"/></w:pPr>
<w:r><w:t xml:space="preserve">the trade in food.  Each town or district appoints a public</w:t></w:r>
</w:p>
<w:p>
<w:pPr><w:pStyle w:val="Normal"/></w:pPr>
<w:r><w:t xml:space="preserve">analyst, and there is a state laboratory in Berlin directly</w:t></w:r>
</w:p>
<w:p>
<w:pPr><w:pStyle w:val="Normal"/></w:pPr>
<w:r><w:t xml:space="preserve">under the control of the ministry of the interior with advisory</w:t></w:r>
</w:p>
<w:p>
<w:pPr><w:pStyle w:val="Normal"/></w:pPr>
<w:r><w:t xml:space="preserve">functions.  The ministry, under the advice of this department,</w:t></w:r>
</w:p>
<w:p>
<w:pPr><w:pStyle w:val="Normal"/></w:pPr>
<w:r><w:t xml:space="preserve">issues from time to time regulations concerning the sale of</w:t></w:r>
</w:p>
<w:p>
<w:pPr><w:pStyle w:val="Normal"/></w:pPr>
<w:r><w:t xml:space="preserve">or details specifying the mode of analysis of various products</w:t></w:r>
</w:p>
<w:p>
<w:pPr><w:pStyle w:val="Normal"/></w:pPr>
<w:r><w:t xml:space="preserve">of food or drink.  Both in the United States and in Germany,</w:t></w:r>
</w:p>
<w:p>
<w:pPr><w:pStyle w:val="Normal"/></w:pPr>
<w:r><w:t xml:space="preserve">therefore, the executive officers (public analysts) have some</w:t></w:r>
</w:p>
<w:p>
<w:pPr><w:pStyle w:val="Normal"/></w:pPr>
<w:r><w:t xml:space="preserve">authoritative official department for guidance and information.</w:t></w:r>
</w:p>
<w:p>
<w:pPr><w:pStyle w:val="Normal"/></w:pPr>
<w:r><w:t xml:space="preserve">PARTICULAR ARTICLES ADULTERATED</w:t></w:r>
</w:p>
<w:p>
<w:pPr><w:pStyle w:val="Normal"/></w:pPr>
<w:r><w:t xml:space="preserve">We now proceed to consider adulteration as practised</w:t></w:r>
</w:p>
<w:p>
<w:pPr><w:pStyle w:val="Normal"/></w:pPr>
<w:r><w:t xml:space="preserve">during recent years in the more important articles of food.</w:t></w:r>
</w:p>
<w:p>
<w:pPr><w:pStyle w:val="Normal"/></w:pPr>
<w:r><w:t xml:space="preserve">Milk.---Milk adulteration means in modern times either</w:t></w:r>
</w:p>
<w:p>
<w:pPr><w:pStyle w:val="Normal"/></w:pPr>
<w:r><w:t xml:space="preserve">addition of water, abstraction of cream, or both, or addition</w:t></w:r>
</w:p>
<w:p>
<w:pPr><w:pStyle w:val="Normal"/></w:pPr>
<w:r><w:t xml:space="preserve">of chemical preservative.  The old stories of the use of chalk</w:t></w:r>
</w:p>
<w:p>
<w:pPr><w:pStyle w:val="Normal"/></w:pPr>
<w:r><w:t xml:space="preserve">or of sheep&apos;s brains are fables.  Owing to the wide variation</w:t></w:r>
</w:p>
<w:p>
<w:pPr><w:pStyle w:val="Normal"/></w:pPr>
<w:r><w:t xml:space="preserve">to which milk is naturally subjected in composition, it is</w:t></w:r>
</w:p>
<w:p>
<w:pPr><w:pStyle w:val="Normal"/></w:pPr>
<w:r><w:t xml:space="preserve">exceedingly difficult to establish beyond doubt whether any</w:t></w:r>
</w:p>
<w:p>
<w:pPr><w:pStyle w:val="Normal"/></w:pPr>
<w:r><w:t xml:space="preserve">given sample is in the state in which it came from the cow or</w:t></w:r>
</w:p>
<w:p>
<w:pPr><w:pStyle w:val="Normal"/></w:pPr>
<w:r><w:t xml:space="preserve">has been impoverished.  The composition of cow&apos;s milk varies</w:t></w:r>
</w:p>
<w:p>
<w:pPr><w:pStyle w:val="Normal"/></w:pPr>
<w:r><w:t xml:space="preserve">with many conditions. (1) The race of the animal: the large</w:t></w:r>
</w:p>
<w:p>
<w:pPr><w:pStyle w:val="Normal"/></w:pPr>
<w:r><w:t xml:space="preserve">cows of the plains yielding a great quantity of poor milk,</w:t></w:r>
</w:p>
<w:p>
<w:pPr><w:pStyle w:val="Normal"/></w:pPr>
<w:r><w:t xml:space="preserve">the smaller cows from hilly districts less amount of rich</w:t></w:r>
</w:p>
<w:p>
<w:pPr><w:pStyle w:val="Normal"/></w:pPr>
<w:r><w:t xml:space="preserve">milk.  Hence, milk from Dutch cows compares very unfavourably</w:t></w:r>
</w:p>
<w:p>
<w:pPr><w:pStyle w:val="Normal"/></w:pPr>
<w:r><w:t xml:space="preserve">with that of Jerseys or short-horns.  Watery and acid foods</w:t></w:r>
</w:p>
<w:p>
<w:pPr><w:pStyle w:val="Normal"/></w:pPr>
<w:r><w:t xml:space="preserve">like mangolds and brewers&apos; grains produce a more aqueous</w:t></w:r>
</w:p>
<w:p>
<w:pPr><w:pStyle w:val="Normal"/></w:pPr>
<w:r><w:t xml:space="preserve">milk than do albuminous and fatty foods like oil-cakes. (2)</w:t></w:r>
</w:p>
<w:p>
<w:pPr><w:pStyle w:val="Normal"/></w:pPr>
<w:r><w:t xml:space="preserve">Sudden change of food, of weather and of temperature. (3)</w:t></w:r>
</w:p>
<w:p>
<w:pPr><w:pStyle w:val="Normal"/></w:pPr>
<w:r><w:t xml:space="preserve">Nervous disturbances to which even a cow is subject, as, for</w:t></w:r>
</w:p>
<w:p>
<w:pPr><w:pStyle w:val="Normal"/></w:pPr>
<w:r><w:t xml:space="preserve">instance, at shows, may greatly influence the composition</w:t></w:r>
</w:p>
<w:p>
<w:pPr><w:pStyle w:val="Normal"/></w:pPr>
<w:r><w:t xml:space="preserve">of the milk.  The portion obtained at the beginning of</w:t></w:r>
</w:p>
<w:p>
<w:pPr><w:pStyle w:val="Normal"/></w:pPr>
<w:r><w:t xml:space="preserve">a milking is poorer in fat than that yielded towards the</w:t></w:r>
</w:p>
<w:p>
<w:pPr><w:pStyle w:val="Normal"/></w:pPr>
<w:r><w:t xml:space="preserve">end.  Morning milk is as a rule poorer in fat than evening</w:t></w:r>
</w:p>
<w:p>
<w:pPr><w:pStyle w:val="Normal"/></w:pPr>
<w:r><w:t xml:space="preserve">milk.  Soon after calving the animal gives a richer product</w:t></w:r>
</w:p>
<w:p>
<w:pPr><w:pStyle w:val="Normal"/></w:pPr>
<w:r><w:t xml:space="preserve">than at later periods, both the quantity and the composition</w:t></w:r>
</w:p>
<w:p>
<w:pPr><w:pStyle w:val="Normal"/></w:pPr>
<w:r><w:t xml:space="preserve">declining towards the end of the lactation.  The variations due</w:t></w:r>
</w:p>
<w:p>
<w:pPr><w:pStyle w:val="Normal"/></w:pPr>
<w:r><w:t xml:space="preserve">to these different circumstances may be very great, as is seen</w:t></w:r>
</w:p>
<w:p>
<w:pPr><w:pStyle w:val="Normal"/></w:pPr>
<w:r><w:t xml:space="preserve">from the following analyses, fairly representing the maximum,</w:t></w:r>
</w:p>
<w:p>
<w:pPr><w:pStyle w:val="Normal"/></w:pPr>
<w:r><w:t xml:space="preserve">minimum and mean composition of the milk of single cows:--</w:t></w:r>
</w:p>
<w:p>
<w:pPr><w:pStyle w:val="Normal"/></w:pPr>
<w:r><w:t xml:space="preserve">Minimum   Maximum      Mean</w:t></w:r>
</w:p>
<w:p>
<w:pPr><w:pStyle w:val="Normal"/></w:pPr>
<w:r><w:t xml:space="preserve">Specific Gravity            1.0264    1.0370    1.0316</w:t></w:r>
</w:p>
<w:p>
<w:pPr><w:pStyle w:val="Normal"/></w:pPr>
<w:r><w:t xml:space="preserve">Fat                          1.67%     6.47%     3.59%</w:t></w:r>
</w:p>
<w:p>
<w:pPr><w:pStyle w:val="Normal"/></w:pPr>
<w:r><w:t xml:space="preserve">Casein                       1.79%     6.29%     3.02%</w:t></w:r>
</w:p>
<w:p>
<w:pPr><w:pStyle w:val="Normal"/></w:pPr>
<w:r><w:t xml:space="preserve">Albumen                      0.25%     1.44%     0.50%</w:t></w:r>
</w:p>
<w:p>
<w:pPr><w:pStyle w:val="Normal"/></w:pPr>
<w:r><w:t xml:space="preserve">Milk Sugar (lactose)         2.11%     6.12%     4.78%</w:t></w:r>
</w:p>
<w:p>
<w:pPr><w:pStyle w:val="Normal"/></w:pPr>
<w:r><w:t xml:space="preserve">Salts                        0.35%     1.21%     0.71%</w:t></w:r>
</w:p>
<w:p>
<w:pPr><w:pStyle w:val="Normal"/></w:pPr>
<w:r><w:t xml:space="preserve">Water                       80.32%    90.69%    87.40%</w:t></w:r>
</w:p>
<w:p>
<w:pPr><w:pStyle w:val="Normal"/></w:pPr>
<w:r><w:t xml:space="preserve">In market milk such wide variations are not so liable to</w:t></w:r>
</w:p>
<w:p>
<w:pPr><w:pStyle w:val="Normal"/></w:pPr>
<w:r><w:t xml:space="preserve">occur, as the milk from one animal tends to average that</w:t></w:r>
</w:p>
<w:p>
<w:pPr><w:pStyle w:val="Normal"/></w:pPr>
<w:r><w:t xml:space="preserve">from another, but even in the milk from herds of cows the</w:t></w:r>
</w:p>
<w:p>
<w:pPr><w:pStyle w:val="Normal"/></w:pPr>
<w:r><w:t xml:space="preserve">variations may be considerable.  The average composition of</w:t></w:r>
</w:p>
<w:p>
<w:pPr><w:pStyle w:val="Normal"/></w:pPr>
<w:r><w:t xml:space="preserve">genuine milk supplied by one of the largest dairy companies in</w:t></w:r>
</w:p>
<w:p>
<w:pPr><w:pStyle w:val="Normal"/></w:pPr>
<w:r><w:t xml:space="preserve">London, as established by the analysis of 120,000 separate</w:t></w:r>
</w:p>
<w:p>
<w:pPr><w:pStyle w:val="Normal"/></w:pPr>
<w:r><w:t xml:space="preserve">samples recorded by Dr P. Vieth, is fat 4.1%, other milk</w:t></w:r>
</w:p>
<w:p>
<w:pPr><w:pStyle w:val="Normal"/></w:pPr>
<w:r><w:t xml:space="preserve">solids (``solids not fat&apos;&apos; or ``nonfatty solids&apos;&apos;) 8.8%, total</w:t></w:r>
</w:p>
<w:p>
<w:pPr><w:pStyle w:val="Normal"/></w:pPr>
<w:r><w:t xml:space="preserve">dissolved matters (total solids) 12.9%, the variations being</w:t></w:r>
</w:p>
<w:p>
<w:pPr><w:pStyle w:val="Normal"/></w:pPr>
<w:r><w:t xml:space="preserve">from 3.6 to 4.6% in the fat and 8.6 to 9.1% in the solids not</w:t></w:r>
</w:p>
<w:p>
<w:pPr><w:pStyle w:val="Normal"/></w:pPr>
<w:r><w:t xml:space="preserve">fat.  It is clear that the 4.6% of fat could be reduced, by</w:t></w:r>
</w:p>
<w:p>
<w:pPr><w:pStyle w:val="Normal"/></w:pPr>
<w:r><w:t xml:space="preserve">skimming, to 3.0%, and the 9.1% of solids not fat to 8.5% by</w:t></w:r>
</w:p>
<w:p>
<w:pPr><w:pStyle w:val="Normal"/></w:pPr>
<w:r><w:t xml:space="preserve">addition of water, without bringing the composition of the</w:t></w:r>
</w:p>
<w:p>
<w:pPr><w:pStyle w:val="Normal"/></w:pPr>
<w:r><w:t xml:space="preserve">milk thus adulterated outside that of genuine milk.  In reality</w:t></w:r>
</w:p>
<w:p>
<w:pPr><w:pStyle w:val="Normal"/></w:pPr>
<w:r><w:t xml:space="preserve">even wider limits of variation must be reckoned with, because</w:t></w:r>
</w:p>
<w:p>
<w:pPr><w:pStyle w:val="Normal"/></w:pPr>
<w:r><w:t xml:space="preserve">small farmers self the milk of single cows, and this, as shown</w:t></w:r>
</w:p>
<w:p>
<w:pPr><w:pStyle w:val="Normal"/></w:pPr>
<w:r><w:t xml:space="preserve">above, may fluctuate enormously.  The Board of Agriculture,</w:t></w:r>
</w:p>
<w:p>
<w:pPr><w:pStyle w:val="Normal"/></w:pPr>
<w:r><w:t xml:space="preserve">in pursuance of the powers conferred upon it by the Food Act</w:t></w:r>
</w:p>
<w:p>
<w:pPr><w:pStyle w:val="Normal"/></w:pPr>
<w:r><w:t xml:space="preserve">1899, issued in 1901 ``The Sale of Milk Regulations,&apos;&apos; which</w:t></w:r>
</w:p>
<w:p>
<w:pPr><w:pStyle w:val="Normal"/></w:pPr>
<w:r><w:t xml:space="preserve">provide that where a sample of milk (not being milk sold as</w:t></w:r>
</w:p>
<w:p>
<w:pPr><w:pStyle w:val="Normal"/></w:pPr>
<w:r><w:t xml:space="preserve">skimmed or separated or condensed milk) contains less than 3% of</w:t></w:r>
</w:p>
<w:p>
<w:pPr><w:pStyle w:val="Normal"/></w:pPr>
<w:r><w:t xml:space="preserve">milk-fat, or less than 8.5% of non-fatty solids, it shall be</w:t></w:r>
</w:p>
<w:p>
<w:pPr><w:pStyle w:val="Normal"/></w:pPr>
<w:r><w:t xml:space="preserve">presumed, until the contrary is proved, that the milk is not</w:t></w:r>
</w:p>
<w:p>
<w:pPr><w:pStyle w:val="Normal"/></w:pPr>
<w:r><w:t xml:space="preserve">genuine.  But even in these cases it is open to the vendor</w:t></w:r>
</w:p>
<w:p>
<w:pPr><w:pStyle w:val="Normal"/></w:pPr>
<w:r><w:t xml:space="preserve">to show, if he can, that the deficiency was due to natural</w:t></w:r>
</w:p>
<w:p>
<w:pPr><w:pStyle w:val="Normal"/></w:pPr>
<w:r><w:t xml:space="preserve">causes or to unavoidable circumstances.  The courts have</w:t></w:r>
</w:p>
<w:p>
<w:pPr><w:pStyle w:val="Normal"/></w:pPr>
<w:r><w:t xml:space="preserve">held that when deviations are the result of negligence or</w:t></w:r>
</w:p>
<w:p>
<w:pPr><w:pStyle w:val="Normal"/></w:pPr>
<w:r><w:t xml:space="preserve">ignorance the vendor is nevertheless liable to punishment.</w:t></w:r>
</w:p>
<w:p>
<w:pPr><w:pStyle w:val="Normal"/></w:pPr>
<w:r><w:t xml:space="preserve">Thus, when a vendor omits to stir up the contents of a pan</w:t></w:r>
</w:p>
<w:p>
<w:pPr><w:pStyle w:val="Normal"/></w:pPr>
<w:r><w:t xml:space="preserve">so as to prevent the cream from rising to the top, he may be</w:t></w:r>
</w:p>
<w:p>
<w:pPr><w:pStyle w:val="Normal"/></w:pPr>
<w:r><w:t xml:space="preserve">punished, if by such omission the milk becomes altered in</w:t></w:r>
</w:p>
<w:p>
<w:pPr><w:pStyle w:val="Normal"/></w:pPr>
<w:r><w:t xml:space="preserve">composition so as no longer to comply with the regulations;</w:t></w:r>
</w:p>
<w:p>
<w:pPr><w:pStyle w:val="Normal"/></w:pPr>
<w:r><w:t xml:space="preserve">or, when a farmer allows an undue interval between the milkings</w:t></w:r>
</w:p>
<w:p>
<w:pPr><w:pStyle w:val="Normal"/></w:pPr>
<w:r><w:t xml:space="preserve">whereby the composition of the milk may be affected, he may</w:t></w:r>
</w:p>
<w:p>
<w:pPr><w:pStyle w:val="Normal"/></w:pPr>
<w:r><w:t xml:space="preserve">be liable for the consequences.  As the limits embodied in</w:t></w:r>
</w:p>
<w:p>
<w:pPr><w:pStyle w:val="Normal"/></w:pPr>
<w:r><w:t xml:space="preserve">the milk regulations were necessarily fixed at figures lower</w:t></w:r>
</w:p>
<w:p>
<w:pPr><w:pStyle w:val="Normal"/></w:pPr>
<w:r><w:t xml:space="preserve">than those which are usually afforded by genuine milk, and</w:t></w:r>
</w:p>
<w:p>
<w:pPr><w:pStyle w:val="Normal"/></w:pPr>
<w:r><w:t xml:space="preserve">as it is a comparatively simple matter to ascertain the</w:t></w:r>
</w:p>
<w:p>
<w:pPr><w:pStyle w:val="Normal"/></w:pPr>
<w:r><w:t xml:space="preserve">percentage of fatty and non-fatty solids, a strong tendency</w:t></w:r>
</w:p>
<w:p>
<w:pPr><w:pStyle w:val="Normal"/></w:pPr>
<w:r><w:t xml:space="preserve">exists to bring down commercial milk to the low limits</w:t></w:r>
</w:p>
<w:p>
<w:pPr><w:pStyle w:val="Normal"/></w:pPr>
<w:r><w:t xml:space="preserve">of the regulations without coming into collision with the</w:t></w:r>
</w:p>
<w:p>
<w:pPr><w:pStyle w:val="Normal"/></w:pPr>
<w:r><w:t xml:space="preserve">law.  The fat of milk is its most valuable and most important</w:t></w:r>
</w:p>
<w:p>
<w:pPr><w:pStyle w:val="Normal"/></w:pPr>
<w:r><w:t xml:space="preserve">constituent.  The exact determination of the percentage of</w:t></w:r>
</w:p>
<w:p>
<w:pPr><w:pStyle w:val="Normal"/></w:pPr>
<w:r><w:t xml:space="preserve">fat is therefore the chief problem of the milk-analyst.</w:t></w:r>
</w:p>
<w:p>
<w:pPr><w:pStyle w:val="Normal"/></w:pPr>
<w:r><w:t xml:space="preserve">All analyses made prior to the year 1885 are more or less</w:t></w:r>
</w:p>
<w:p>
<w:pPr><w:pStyle w:val="Normal"/></w:pPr>
<w:r><w:t xml:space="preserve">inexact, because a complete separation of the fat from the</w:t></w:r>
</w:p>
<w:p>
<w:pPr><w:pStyle w:val="Normal"/></w:pPr>
<w:r><w:t xml:space="preserve">other milk constituents had not been obtained.  In that</w:t></w:r>
</w:p>
<w:p>
<w:pPr><w:pStyle w:val="Normal"/></w:pPr>
<w:r><w:t xml:space="preserve">year M. A. Adams, by the simple and ingenious expedient of</w:t></w:r>
</w:p>
<w:p>
<w:pPr><w:pStyle w:val="Normal"/></w:pPr>
<w:r><w:t xml:space="preserve">spreading a known volume of the milk to be analysed upon a</w:t></w:r>
</w:p>
<w:p>
<w:pPr><w:pStyle w:val="Normal"/></w:pPr>
<w:r><w:t xml:space="preserve">strip of blotting-paper and extracting the paper, together</w:t></w:r>
</w:p>
<w:p>
<w:pPr><w:pStyle w:val="Normal"/></w:pPr>
<w:r><w:t xml:space="preserve">with the dried milk, by a fat solvent, such as ether or</w:t></w:r>
</w:p>
<w:p>
<w:pPr><w:pStyle w:val="Normal"/></w:pPr>
<w:r><w:t xml:space="preserve">benzene, succeeded in completely removing the fat from the</w:t></w:r>
</w:p>
<w:p>
<w:pPr><w:pStyle w:val="Normal"/></w:pPr>
<w:r><w:t xml:space="preserve">other constituents.  Since that time simpler and more rapid</w:t></w:r>
</w:p>
<w:p>
<w:pPr><w:pStyle w:val="Normal"/></w:pPr>
<w:r><w:t xml:space="preserve">means have been based upon centrifugal separation of the</w:t></w:r>
</w:p>
<w:p>
<w:pPr><w:pStyle w:val="Normal"/></w:pPr>
<w:r><w:t xml:space="preserve">fat.  When a measured quantity of milk is mixed with strong</w:t></w:r>
</w:p>
<w:p>
<w:pPr><w:pStyle w:val="Normal"/></w:pPr>
<w:r><w:t xml:space="preserve">sulphuric acid, which dissolves the casein and other nitrogenous</w:t></w:r>
</w:p>
<w:p>
<w:pPr><w:pStyle w:val="Normal"/></w:pPr>
<w:r><w:t xml:space="preserve">constituents of the milk, but leaves the fat-globules quite</w:t></w:r>
</w:p>
<w:p>
<w:pPr><w:pStyle w:val="Normal"/></w:pPr>
<w:r><w:t xml:space="preserve">untouched, the latter can easily be separated in a centrifugal,</w:t></w:r>
</w:p>
<w:p>
<w:pPr><w:pStyle w:val="Normal"/></w:pPr>
<w:r><w:t xml:space="preserve">in the form of an oil the volume of which can be ascertained</w:t></w:r>
</w:p>
<w:p>
<w:pPr><w:pStyle w:val="Normal"/></w:pPr>
<w:r><w:t xml:space="preserve">in a suitably constructed and graduated glass vessel, and thus</w:t></w:r>
</w:p>
<w:p>
<w:pPr><w:pStyle w:val="Normal"/></w:pPr>
<w:r><w:t xml:space="preserve">the percentage ascertained very rapidly and accurately; such</w:t></w:r>
</w:p>
<w:p>
<w:pPr><w:pStyle w:val="Normal"/></w:pPr>
<w:r><w:t xml:space="preserve">centrifugal contrivances constructed by H. Leffman, N. Gerber</w:t></w:r>
</w:p>
<w:p>
<w:pPr><w:pStyle w:val="Normal"/></w:pPr>
<w:r><w:t xml:space="preserve">and others are now in general use in dairies, and cheese and</w:t></w:r>
</w:p>
<w:p>
<w:pPr><w:pStyle w:val="Normal"/></w:pPr>
<w:r><w:t xml:space="preserve">butter factories.  The amount of ``total solids&apos;&apos; contained in</w:t></w:r>
</w:p>
<w:p>
<w:pPr><w:pStyle w:val="Normal"/></w:pPr>
<w:r><w:t xml:space="preserve">milk, that is to say, of all constituents other than water, is</w:t></w:r>
</w:p>
<w:p>
<w:pPr><w:pStyle w:val="Normal"/></w:pPr>
<w:r><w:t xml:space="preserve">speedily ascertained by evaporating the water from a measured</w:t></w:r>
</w:p>
<w:p>
<w:pPr><w:pStyle w:val="Normal"/></w:pPr>
<w:r><w:t xml:space="preserve">or weighed portion of milk and drying the residue obtained</w:t></w:r>
</w:p>
<w:p>
<w:pPr><w:pStyle w:val="Normal"/></w:pPr>
<w:r><w:t xml:space="preserve">in a water-oven to constant weight.  By subtracting from the</w:t></w:r>
</w:p>
<w:p>
<w:pPr><w:pStyle w:val="Normal"/></w:pPr>
<w:r><w:t xml:space="preserve">percentage of total solids that of the fat the amount of ``solids</w:t></w:r>
</w:p>
<w:p>
<w:pPr><w:pStyle w:val="Normal"/></w:pPr>
<w:r><w:t xml:space="preserve">not fat&apos;&apos; results, and by cautiously burning off the organic</w:t></w:r>
</w:p>
<w:p>
<w:pPr><w:pStyle w:val="Normal"/></w:pPr>
<w:r><w:t xml:space="preserve">substances, the salts or mineral matters are left.  When the</w:t></w:r>
</w:p>
<w:p>
<w:pPr><w:pStyle w:val="Normal"/></w:pPr>
<w:r><w:t xml:space="preserve">percentage of ``solids not fat&apos;&apos; is less than 8.5 a simple</w:t></w:r>
</w:p>
<w:p>
<w:pPr><w:pStyle w:val="Normal"/></w:pPr>
<w:r><w:t xml:space="preserve">proportion sum suffices to show what percentage of water must</w:t></w:r>
</w:p>
<w:p>
<w:pPr><w:pStyle w:val="Normal"/></w:pPr>
<w:r><w:t xml:space="preserve">be present to reduce the ``solids not fat&apos;&apos; to the amount</w:t></w:r>
</w:p>
<w:p>
<w:pPr><w:pStyle w:val="Normal"/></w:pPr>
<w:r><w:t xml:space="preserve">found.  As the added water also reduces proportionately the</w:t></w:r>
</w:p>
<w:p>
<w:pPr><w:pStyle w:val="Normal"/></w:pPr>
<w:r><w:t xml:space="preserve">percentage of mineral matter natural to normal milk (about</w:t></w:r>
</w:p>
<w:p>
<w:pPr><w:pStyle w:val="Normal"/></w:pPr>
<w:r><w:t xml:space="preserve">0.71 to 0.73%), the determination of the ash affords valuable</w:t></w:r>
</w:p>
<w:p>
<w:pPr><w:pStyle w:val="Normal"/></w:pPr>
<w:r><w:t xml:space="preserve">assistance to the analyst.  When the amount of ash is higher</w:t></w:r>
</w:p>
<w:p>
<w:pPr><w:pStyle w:val="Normal"/></w:pPr>
<w:r><w:t xml:space="preserve">than normal, tests must be made for borax, soda or other</w:t></w:r>
</w:p>
<w:p>
<w:pPr><w:pStyle w:val="Normal"/></w:pPr>
<w:r><w:t xml:space="preserve">mineral matters that are often added as preservatives or acid</w:t></w:r>
</w:p>
<w:p>
<w:pPr><w:pStyle w:val="Normal"/></w:pPr>
<w:r><w:t xml:space="preserve">neutralizers.  Borax is easily tested for by dissolving the milk</w:t></w:r>
</w:p>
<w:p>
<w:pPr><w:pStyle w:val="Normal"/></w:pPr>
<w:r><w:t xml:space="preserve">ash in a drop or two of dilute hydrochloric acid, moistening</w:t></w:r>
</w:p>
<w:p>
<w:pPr><w:pStyle w:val="Normal"/></w:pPr>
<w:r><w:t xml:space="preserve">a strip of yellow turmeric paper with the solution and drying</w:t></w:r>
</w:p>
<w:p>
<w:pPr><w:pStyle w:val="Normal"/></w:pPr>
<w:r><w:t xml:space="preserve">it, when, in the presence of even very minute quantities of</w:t></w:r>
</w:p>
<w:p>
<w:pPr><w:pStyle w:val="Normal"/></w:pPr>
<w:r><w:t xml:space="preserve">borax, the yellow colouring matter of the turmeric paper will</w:t></w:r>
</w:p>
<w:p>
<w:pPr><w:pStyle w:val="Normal"/></w:pPr>
<w:r><w:t xml:space="preserve">be changed into a brilliant red-brown.  Formaldehyde (which</w:t></w:r>
</w:p>
<w:p>
<w:pPr><w:pStyle w:val="Normal"/></w:pPr>
<w:r><w:t xml:space="preserve">in 40% water solution forms the formalin of commerce) in milk</w:t></w:r>
</w:p>
<w:p>
<w:pPr><w:pStyle w:val="Normal"/></w:pPr>
<w:r><w:t xml:space="preserve">affords a bright purple colour when the milk containing it is</w:t></w:r>
</w:p>
<w:p>
<w:pPr><w:pStyle w:val="Normal"/></w:pPr>
<w:r><w:t xml:space="preserve">mixed with sulphuric acid containing a trace of an iron salt.</w:t></w:r>
</w:p>
<w:p>
<w:pPr><w:pStyle w:val="Normal"/></w:pPr>
<w:r><w:t xml:space="preserve">Condensed milk is milk that has been evaporated under</w:t></w:r>
</w:p>
<w:p>
<w:pPr><w:pStyle w:val="Normal"/></w:pPr>
<w:r><w:t xml:space="preserve">reduced pressure with or without the addition of sugar.</w:t></w:r>
</w:p>
<w:p>
<w:pPr><w:pStyle w:val="Normal"/></w:pPr>
<w:r><w:t xml:space="preserve">Generally one part of condensed milk corresponds to three</w:t></w:r>
</w:p>
<w:p>
<w:pPr><w:pStyle w:val="Normal"/></w:pPr>
<w:r><w:t xml:space="preserve">parts of the original milk.  There is no case on record of</w:t></w:r>
</w:p>
<w:p>
<w:pPr><w:pStyle w:val="Normal"/></w:pPr>
<w:r><w:t xml:space="preserve">adulteration of unsweetened condensed milk, but sweetened</w:t></w:r>
</w:p>
<w:p>
<w:pPr><w:pStyle w:val="Normal"/></w:pPr>
<w:r><w:t xml:space="preserve">milk has in the past been frequently prepared either</w:t></w:r>
</w:p>
<w:p>
<w:pPr><w:pStyle w:val="Normal"/></w:pPr>
<w:r><w:t xml:space="preserve">from machine-skimmed or partly skimmed milk and sold as</w:t></w:r>
</w:p>
<w:p>
<w:pPr><w:pStyle w:val="Normal"/></w:pPr>
<w:r><w:t xml:space="preserve">whole-milk.  As sweetened condensed milk is largely used by</w:t></w:r>
</w:p>
<w:p>
<w:pPr><w:pStyle w:val="Normal"/></w:pPr>
<w:r><w:t xml:space="preserve">the poorer part of the population for the feeding of infants,</w:t></w:r>
</w:p>
<w:p>
<w:pPr><w:pStyle w:val="Normal"/></w:pPr>
<w:r><w:t xml:space="preserve">and as the fat of milk is, as stated before, its most valuable</w:t></w:r>
</w:p>
<w:p>
<w:pPr><w:pStyle w:val="Normal"/></w:pPr>
<w:r><w:t xml:space="preserve">constituent, this class of fraud was a particularly mischievous</w:t></w:r>
</w:p>
<w:p>
<w:pPr><w:pStyle w:val="Normal"/></w:pPr>
<w:r><w:t xml:space="preserve">one, and led to the inclusion in the Food Act of 1899 of a</w:t></w:r>
</w:p>
<w:p>
<w:pPr><w:pStyle w:val="Normal"/></w:pPr>
<w:r><w:t xml:space="preserve">special proviso that every tin or other receptacle containing</w:t></w:r>
</w:p>
<w:p>
<w:pPr><w:pStyle w:val="Normal"/></w:pPr>
<w:r><w:t xml:space="preserve">condensed, separated or skimmed milk must bear a conspicuous</w:t></w:r>
</w:p>
<w:p>
<w:pPr><w:pStyle w:val="Normal"/></w:pPr>
<w:r><w:t xml:space="preserve">label showing the nature of the contents.  As the bulk of</w:t></w:r>
</w:p>
<w:p>
<w:pPr><w:pStyle w:val="Normal"/></w:pPr>
<w:r><w:t xml:space="preserve">condensed milk consumed in England is imported from abroad,</w:t></w:r>
</w:p>
<w:p>
<w:pPr><w:pStyle w:val="Normal"/></w:pPr>
<w:r><w:t xml:space="preserve">the customs authorities now exercise a strict supervision over</w:t></w:r>
</w:p>
<w:p>
<w:pPr><w:pStyle w:val="Normal"/></w:pPr>
<w:r><w:t xml:space="preserve">the imports, and object to the importation of such condensed</w:t></w:r>
</w:p>
<w:p>
<w:pPr><w:pStyle w:val="Normal"/></w:pPr>
<w:r><w:t xml:space="preserve">milk as contains less than 9% of milk-fat.  The average</w:t></w:r>
</w:p>
<w:p>
<w:pPr><w:pStyle w:val="Normal"/></w:pPr>
<w:r><w:t xml:space="preserve">composition of sweetened condensed milk may be taken, with slight</w:t></w:r>
</w:p>
<w:p>
<w:pPr><w:pStyle w:val="Normal"/></w:pPr>
<w:r><w:t xml:space="preserve">variations, to be: water 24.6%, fat 11.4%, casein and albumen</w:t></w:r>
</w:p>
<w:p>
<w:pPr><w:pStyle w:val="Normal"/></w:pPr>
<w:r><w:t xml:space="preserve">10%, milk-sugar 11.7%, cane-sugar 40.3%, mineral matters 2.0%.</w:t></w:r>
</w:p>
<w:p>
<w:pPr><w:pStyle w:val="Normal"/></w:pPr>
<w:r><w:t xml:space="preserve">Cream.--There are not any regulations nor official standards</w:t></w:r>
</w:p>
<w:p>
<w:pPr><w:pStyle w:val="Normal"/></w:pPr>
<w:r><w:t xml:space="preserve">relating to this article, the value of which depends upon its</w:t></w:r>
</w:p>
<w:p>
<w:pPr><w:pStyle w:val="Normal"/></w:pPr>
<w:r><w:t xml:space="preserve">contents in fat.  Good stiff cream obtained by centrifugal</w:t></w:r>
</w:p>
<w:p>
<w:pPr><w:pStyle w:val="Normal"/></w:pPr>
<w:r><w:t xml:space="preserve">skimming may contain as much as 60% of milk-fat, but generally</w:t></w:r>
</w:p>
<w:p>
<w:pPr><w:pStyle w:val="Normal"/></w:pPr>
<w:r><w:t xml:space="preserve">dairymen&apos;s cream has only about 40%. On the other hand, milk</w:t></w:r>
</w:p>
<w:p>
<w:pPr><w:pStyle w:val="Normal"/></w:pPr>
<w:r><w:t xml:space="preserve">that is abnormally rich in fat is in some places sold as</w:t></w:r>
</w:p>
<w:p>
<w:pPr><w:pStyle w:val="Normal"/></w:pPr>
<w:r><w:t xml:space="preserve">cream.  Attempts to compel dairymen to work up to any stated</w:t></w:r>
</w:p>
<w:p>
<w:pPr><w:pStyle w:val="Normal"/></w:pPr>
<w:r><w:t xml:space="preserve">minimum of fat have failed, the English courts holding that</w:t></w:r>
</w:p>
<w:p>
<w:pPr><w:pStyle w:val="Normal"/></w:pPr>
<w:r><w:t xml:space="preserve">cream is not an article that has any standard of quality, but</w:t></w:r>
</w:p>
<w:p>
<w:pPr><w:pStyle w:val="Normal"/></w:pPr>
<w:r><w:t xml:space="preserve">varies with the character of the cows from which the milk is</w:t></w:r>
</w:p>
<w:p>
<w:pPr><w:pStyle w:val="Normal"/></w:pPr>
<w:r><w:t xml:space="preserve">obtained and the food on which they are fed.  Therefore, as</w:t></w:r>
</w:p>
<w:p>
<w:pPr><w:pStyle w:val="Normal"/></w:pPr>
<w:r><w:t xml:space="preserve">regards the most important portion of cream, the amount of</w:t></w:r>
</w:p>
<w:p>
<w:pPr><w:pStyle w:val="Normal"/></w:pPr>
<w:r><w:t xml:space="preserve">fat, adulteration does not exist unless there is a substitution</w:t></w:r>
</w:p>
<w:p>
<w:pPr><w:pStyle w:val="Normal"/></w:pPr>
<w:r><w:t xml:space="preserve">for the milk-fat by an emulsified foreign fat, but cases of</w:t></w:r>
</w:p>
<w:p>
<w:pPr><w:pStyle w:val="Normal"/></w:pPr>
<w:r><w:t xml:space="preserve">this description are exceedingly rare.  On the other hand,</w:t></w:r>
</w:p>
<w:p>
<w:pPr><w:pStyle w:val="Normal"/></w:pPr>
<w:r><w:t xml:space="preserve">such additions of foreign materials, like starch paste or</w:t></w:r>
</w:p>
<w:p>
<w:pPr><w:pStyle w:val="Normal"/></w:pPr>
<w:r><w:t xml:space="preserve">gelatine, which have for object the giving of an appearance</w:t></w:r>
</w:p>
<w:p>
<w:pPr><w:pStyle w:val="Normal"/></w:pPr>
<w:r><w:t xml:space="preserve">of richness to a naturally poor and dilute article, are not</w:t></w:r>
</w:p>
<w:p>
<w:pPr><w:pStyle w:val="Normal"/></w:pPr>
<w:r><w:t xml:space="preserve">uncommon.  While formerly the sale of cream was entirely in</w:t></w:r>
</w:p>
<w:p>
<w:pPr><w:pStyle w:val="Normal"/></w:pPr>
<w:r><w:t xml:space="preserve">the hands of milkmen, there has been of late a tendency to</w:t></w:r>
</w:p>
<w:p>
<w:pPr><w:pStyle w:val="Normal"/></w:pPr>
<w:r><w:t xml:space="preserve">regard cream as an article coming within the range of grocery</w:t></w:r>
</w:p>
<w:p>
<w:pPr><w:pStyle w:val="Normal"/></w:pPr>
<w:r><w:t xml:space="preserve">goods.  To enable this perishable article to be kept in a</w:t></w:r>
</w:p>
<w:p>
<w:pPr><w:pStyle w:val="Normal"/></w:pPr>
<w:r><w:t xml:space="preserve">grocery store it has to receive an addition of preservative, as</w:t></w:r>
</w:p>
<w:p>
<w:pPr><w:pStyle w:val="Normal"/></w:pPr>
<w:r><w:t xml:space="preserve">a rule boric preservative, in excessive amount.  The purchaser</w:t></w:r>
</w:p>
<w:p>
<w:pPr><w:pStyle w:val="Normal"/></w:pPr>
<w:r><w:t xml:space="preserve">may take it that all cream sold by others than milkmen, and</w:t></w:r>
</w:p>
<w:p>
<w:pPr><w:pStyle w:val="Normal"/></w:pPr>
<w:r><w:t xml:space="preserve">much of that even, is thus preserved and should be shunned.</w:t></w:r>
</w:p>
<w:p>
<w:pPr><w:pStyle w:val="Normal"/></w:pPr>
<w:r><w:t xml:space="preserve">The limit of boric preservative that might be permitted,</w:t></w:r>
</w:p>
<w:p>
<w:pPr><w:pStyle w:val="Normal"/></w:pPr>
<w:r><w:t xml:space="preserve">but which is nearly always exceeded, is one-quarter of 1%.</w:t></w:r>
</w:p>
<w:p>
<w:pPr><w:pStyle w:val="Normal"/></w:pPr>
<w:r><w:t xml:space="preserve">Butter.---Of all articles of food butter has most fully</w:t></w:r>
</w:p>
<w:p>
<w:pPr><w:pStyle w:val="Normal"/></w:pPr>
<w:r><w:t xml:space="preserve">received the attention of the sophisticator, because it</w:t></w:r>
</w:p>
<w:p>
<w:pPr><w:pStyle w:val="Normal"/></w:pPr>
<w:r><w:t xml:space="preserve">is the most costly of the ordinary articles of diet, and</w:t></w:r>
</w:p>
<w:p>
<w:pPr><w:pStyle w:val="Normal"/></w:pPr>
<w:r><w:t xml:space="preserve">because its composition is so intricate and variable that its</w:t></w:r>
</w:p>
<w:p>
<w:pPr><w:pStyle w:val="Normal"/></w:pPr>
<w:r><w:t xml:space="preserve">analysis presents extraordinary difficulties and its nature</w:t></w:r>
</w:p>
<w:p>
<w:pPr><w:pStyle w:val="Normal"/></w:pPr>
<w:r><w:t xml:space="preserve">exceptional and various opportunities for admixture with foreign</w:t></w:r>
</w:p>
<w:p>
<w:pPr><w:pStyle w:val="Normal"/></w:pPr>
<w:r><w:t xml:space="preserve">substances.  It is the intention of the producer of butter</w:t></w:r>
</w:p>
<w:p>
<w:pPr><w:pStyle w:val="Normal"/></w:pPr>
<w:r><w:t xml:space="preserve">to separate the fatty portion of the milk as completely</w:t></w:r>
</w:p>
<w:p>
<w:pPr><w:pStyle w:val="Normal"/></w:pPr>
<w:r><w:t xml:space="preserve">as is practicable from the other constituents of the milk</w:t></w:r>
</w:p>
<w:p>
<w:pPr><w:pStyle w:val="Normal"/></w:pPr>
<w:r><w:t xml:space="preserve">without destroying the fat-globules.  This can only be done</w:t></w:r>
</w:p>
<w:p>
<w:pPr><w:pStyle w:val="Normal"/></w:pPr>
<w:r><w:t xml:space="preserve">by churning. by which operation the milk-globules are caused</w:t></w:r>
</w:p>
<w:p>
<w:pPr><w:pStyle w:val="Normal"/></w:pPr>
<w:r><w:t xml:space="preserve">more or less to adhere to each other without losing their</w:t></w:r>
</w:p>
<w:p>
<w:pPr><w:pStyle w:val="Normal"/></w:pPr>
<w:r><w:t xml:space="preserve">individual existence.  Owing to this subdivision of the</w:t></w:r>
</w:p>
<w:p>
<w:pPr><w:pStyle w:val="Normal"/></w:pPr>
<w:r><w:t xml:space="preserve">fat, and perhaps to the composition of the fat itself, butter</w:t></w:r>
</w:p>
<w:p>
<w:pPr><w:pStyle w:val="Normal"/></w:pPr>
<w:r><w:t xml:space="preserve">is a more digestible fatty article of food than lard or</w:t></w:r>
</w:p>
<w:p>
<w:pPr><w:pStyle w:val="Normal"/></w:pPr>
<w:r><w:t xml:space="preserve">oil.  It is not possible by mechanical means to remove the</w:t></w:r>
</w:p>
<w:p>
<w:pPr><w:pStyle w:val="Normal"/></w:pPr>
<w:r><w:t xml:space="preserve">whole of the water and curd of the milk from the butter;</w:t></w:r>
</w:p>
<w:p>
<w:pPr><w:pStyle w:val="Normal"/></w:pPr>
<w:r><w:t xml:space="preserve">indeed ``overworking&apos;&apos; the butter with the object of removing</w:t></w:r>
</w:p>
<w:p>
<w:pPr><w:pStyle w:val="Normal"/></w:pPr>
<w:r><w:t xml:space="preserve">the water as completely as possible ruins the structure</w:t></w:r>
</w:p>
<w:p>
<w:pPr><w:pStyle w:val="Normal"/></w:pPr>
<w:r><w:t xml:space="preserve">to such an extent as to make the product unmerchantable.</w:t></w:r>
</w:p>
<w:p>
<w:pPr><w:pStyle w:val="Normal"/></w:pPr>
<w:r><w:t xml:space="preserve">In well-made butter there are contained about 85% of pure</w:t></w:r>
</w:p>
<w:p>
<w:pPr><w:pStyle w:val="Normal"/></w:pPr>
<w:r><w:t xml:space="preserve">milk-fat, from 12 to 13% of water, and 2 or 3% of curd and</w:t></w:r>
</w:p>
<w:p>
<w:pPr><w:pStyle w:val="Normal"/></w:pPr>
<w:r><w:t xml:space="preserve">albumen, milk-sugar or its product of transformation--lactic</w:t></w:r>
</w:p>
<w:p>
<w:pPr><w:pStyle w:val="Normal"/></w:pPr>
<w:r><w:t xml:space="preserve">acid,--and phosphates and other milk-salts.  In some kinds of</w:t></w:r>
</w:p>
<w:p>
<w:pPr><w:pStyle w:val="Normal"/></w:pPr>
<w:r><w:t xml:space="preserve">butter, Russian for instance, the percentage of water is rather</w:t></w:r>
</w:p>
<w:p>
<w:pPr><w:pStyle w:val="Normal"/></w:pPr>
<w:r><w:t xml:space="preserve">less.  Generally, by churning at a low temperature, a drier,</w:t></w:r>
</w:p>
<w:p>
<w:pPr><w:pStyle w:val="Normal"/></w:pPr>
<w:r><w:t xml:space="preserve">at higher temperatures a wetter, butter is obtained.  The</w:t></w:r>
</w:p>
<w:p>
<w:pPr><w:pStyle w:val="Normal"/></w:pPr>
<w:r><w:t xml:space="preserve">curd must be got rid of as completely as practicable if</w:t></w:r>
</w:p>
<w:p>
<w:pPr><w:pStyle w:val="Normal"/></w:pPr>
<w:r><w:t xml:space="preserve">the product is to have reasonable keeping properties.  To</w:t></w:r>
</w:p>
<w:p>
<w:pPr><w:pStyle w:val="Normal"/></w:pPr>
<w:r><w:t xml:space="preserve">prevent rapid decomposition salt in various quantities is</w:t></w:r>
</w:p>
<w:p>
<w:pPr><w:pStyle w:val="Normal"/></w:pPr>
<w:r><w:t xml:space="preserve">added.  Considering that 100 lb. (10 gallons) of milk yield</w:t></w:r>
</w:p>
<w:p>
<w:pPr><w:pStyle w:val="Normal"/></w:pPr>
<w:r><w:t xml:space="preserve">only from 3 1/2 to 4 lb. of properly made butter, it is obvious</w:t></w:r>
</w:p>
<w:p>
<w:pPr><w:pStyle w:val="Normal"/></w:pPr>
<w:r><w:t xml:space="preserve">that a great inducement exists to increase the yield either</w:t></w:r>
</w:p>
<w:p>
<w:pPr><w:pStyle w:val="Normal"/></w:pPr>
<w:r><w:t xml:space="preserve">by leaving an undue proportion of water or curd, or by adding</w:t></w:r>
</w:p>
<w:p>
<w:pPr><w:pStyle w:val="Normal"/></w:pPr>
<w:r><w:t xml:space="preserve">an excessive quantity of salt.  In some parts of Ireland the</w:t></w:r>
</w:p>
<w:p>
<w:pPr><w:pStyle w:val="Normal"/></w:pPr>
<w:r><w:t xml:space="preserve">butter is worked up with warm brine into so-called pickle</w:t></w:r>
</w:p>
<w:p>
<w:pPr><w:pStyle w:val="Normal"/></w:pPr>
<w:r><w:t xml:space="preserve">butter, whereby it becomes both watered and salted in one</w:t></w:r>
</w:p>
<w:p>
<w:pPr><w:pStyle w:val="Normal"/></w:pPr>
<w:r><w:t xml:space="preserve">operation.  Until lately, when the English Board of Agriculture</w:t></w:r>
</w:p>
<w:p>
<w:pPr><w:pStyle w:val="Normal"/></w:pPr>
<w:r><w:t xml:space="preserve">fixed a limit of 16 for the percentage of water that may</w:t></w:r>
</w:p>
<w:p>
<w:pPr><w:pStyle w:val="Normal"/></w:pPr>
<w:r><w:t xml:space="preserve">legitimately be present in butter, this kind of debasement could</w:t></w:r>
</w:p>
<w:p>
<w:pPr><w:pStyle w:val="Normal"/></w:pPr>
<w:r><w:t xml:space="preserve">not easily be dealt with, but even now, where a legal water-limit</w:t></w:r>
</w:p>
<w:p>
<w:pPr><w:pStyle w:val="Normal"/></w:pPr>
<w:r><w:t xml:space="preserve">exists, the addition of water either as such, or in the shape</w:t></w:r>
</w:p>
<w:p>
<w:pPr><w:pStyle w:val="Normal"/></w:pPr>
<w:r><w:t xml:space="preserve">of milk or of condensed milk, is very commonly practised,</w:t></w:r>
</w:p>
<w:p>
<w:pPr><w:pStyle w:val="Normal"/></w:pPr>
<w:r><w:t xml:space="preserve">more or less care being taken not to exceed the legalized</w:t></w:r>
</w:p>
<w:p>
<w:pPr><w:pStyle w:val="Normal"/></w:pPr>
<w:r><w:t xml:space="preserve">limit.  It is obvious that there is an ample margin of profit</w:t></w:r>
</w:p>
<w:p>
<w:pPr><w:pStyle w:val="Normal"/></w:pPr>
<w:r><w:t xml:space="preserve">for the mixer who starts with Russian butter containing 10%</w:t></w:r>
</w:p>
<w:p>
<w:pPr><w:pStyle w:val="Normal"/></w:pPr>
<w:r><w:t xml:space="preserve">of water and works it up with milk, fresh or condensed, to</w:t></w:r>
</w:p>
<w:p>
<w:pPr><w:pStyle w:val="Normal"/></w:pPr>
<w:r><w:t xml:space="preserve">16%, all the other milk-constituents, namely, sugar, curd and</w:t></w:r>
</w:p>
<w:p>
<w:pPr><w:pStyle w:val="Normal"/></w:pPr>
<w:r><w:t xml:space="preserve">salt, thus introduced counting as ``butter&apos;&apos; in the eyes of the</w:t></w:r>
</w:p>
<w:p>
<w:pPr><w:pStyle w:val="Normal"/></w:pPr>
<w:r><w:t xml:space="preserve">law.  A very considerable number of butter-factors in London</w:t></w:r>
</w:p>
<w:p>
<w:pPr><w:pStyle w:val="Normal"/></w:pPr>
<w:r><w:t xml:space="preserve">and in other parts of England thus dilute dry butter and</w:t></w:r>
</w:p>
<w:p>
<w:pPr><w:pStyle w:val="Normal"/></w:pPr>
<w:r><w:t xml:space="preserve">consider this a legitimate operation so long as they keep</w:t></w:r>
</w:p>
<w:p>
<w:pPr><w:pStyle w:val="Normal"/></w:pPr>
<w:r><w:t xml:space="preserve">within the legal water-limit.  Nay, they may even exceed this,</w:t></w:r>
</w:p>
<w:p>
<w:pPr><w:pStyle w:val="Normal"/></w:pPr>
<w:r><w:t xml:space="preserve">if only they give to their adulterated article a euphonious</w:t></w:r>
</w:p>
<w:p>
<w:pPr><w:pStyle w:val="Normal"/></w:pPr>
<w:r><w:t xml:space="preserve">name, which, while legally notifying the admixture, raises</w:t></w:r>
</w:p>
<w:p>
<w:pPr><w:pStyle w:val="Normal"/></w:pPr>
<w:r><w:t xml:space="preserve">in the mind of the ignorant purchaser the belief that he</w:t></w:r>
</w:p>
<w:p>
<w:pPr><w:pStyle w:val="Normal"/></w:pPr>
<w:r><w:t xml:space="preserve">is purchasing something particularly choice and excellent.</w:t></w:r>
</w:p>
<w:p>
<w:pPr><w:pStyle w:val="Normal"/></w:pPr>
<w:r><w:t xml:space="preserve">``Milk-blended butter,&apos;&apos; with as much as 24 or more per cent</w:t></w:r>
</w:p>
<w:p>
<w:pPr><w:pStyle w:val="Normal"/></w:pPr>
<w:r><w:t xml:space="preserve">of water and as little as 68% of fat, is still largely sold</w:t></w:r>
</w:p>
<w:p>
<w:pPr><w:pStyle w:val="Normal"/></w:pPr>
<w:r><w:t xml:space="preserve">to purchasers who think that they are obtaining extra value</w:t></w:r>
</w:p>
<w:p>
<w:pPr><w:pStyle w:val="Normal"/></w:pPr>
<w:r><w:t xml:space="preserve">for their money; several attempts to deal with the scandal by</w:t></w:r>
</w:p>
<w:p>
<w:pPr><w:pStyle w:val="Normal"/></w:pPr>
<w:r><w:t xml:space="preserve">legislature having led to no result.  The introduction of water</w:t></w:r>
</w:p>
<w:p>
<w:pPr><w:pStyle w:val="Normal"/></w:pPr>
<w:r><w:t xml:space="preserve">into butter is also practised on a large scale in the United</w:t></w:r>
</w:p>
<w:p>
<w:pPr><w:pStyle w:val="Normal"/></w:pPr>
<w:r><w:t xml:space="preserve">States, where a branch of trade in ``renovated&apos;&apos; butter has</w:t></w:r>
</w:p>
<w:p>
<w:pPr><w:pStyle w:val="Normal"/></w:pPr>
<w:r><w:t xml:space="preserve">sprung up.  In the States a considerable quantity of butter</w:t></w:r>
</w:p>
<w:p>
<w:pPr><w:pStyle w:val="Normal"/></w:pPr>
<w:r><w:t xml:space="preserve">is produced by small farmers, and by the time the product</w:t></w:r>
</w:p>
<w:p>
<w:pPr><w:pStyle w:val="Normal"/></w:pPr>
<w:r><w:t xml:space="preserve">comes into the market the addition of chemical preservatives</w:t></w:r>
</w:p>
<w:p>
<w:pPr><w:pStyle w:val="Normal"/></w:pPr>
<w:r><w:t xml:space="preserve">to prevent decomposition not being permitted--the butter has</w:t></w:r>
</w:p>
<w:p>
<w:pPr><w:pStyle w:val="Normal"/></w:pPr>
<w:r><w:t xml:space="preserve">so much deteriorated in quality that it fetches a very low</w:t></w:r>
</w:p>
<w:p>
<w:pPr><w:pStyle w:val="Normal"/></w:pPr>
<w:r><w:t xml:space="preserve">price.  It is bought up by factors, the fat melted out and</w:t></w:r>
</w:p>
<w:p>
<w:pPr><w:pStyle w:val="Normal"/></w:pPr>
<w:r><w:t xml:space="preserve">washed, then again worked up with water and salt, care</w:t></w:r>
</w:p>
<w:p>
<w:pPr><w:pStyle w:val="Normal"/></w:pPr>
<w:r><w:t xml:space="preserve">being generally taken to leave about 16% of water in the</w:t></w:r>
</w:p>
<w:p>
<w:pPr><w:pStyle w:val="Normal"/></w:pPr>
<w:r><w:t xml:space="preserve">product, which finds a ready sale in England.  It may here</w:t></w:r>
</w:p>
<w:p>
<w:pPr><w:pStyle w:val="Normal"/></w:pPr>
<w:r><w:t xml:space="preserve">be pointed out that England imports an enormous quantity of</w:t></w:r>
</w:p>
<w:p>
<w:pPr><w:pStyle w:val="Normal"/></w:pPr>
<w:r><w:t xml:space="preserve">butter from the continent of Europe, the colonies, Siberia</w:t></w:r>
</w:p>
<w:p>
<w:pPr><w:pStyle w:val="Normal"/></w:pPr>
<w:r><w:t xml:space="preserve">and America, the imports, less exports, averaging during</w:t></w:r>
</w:p>
<w:p>
<w:pPr><w:pStyle w:val="Normal"/></w:pPr>
<w:r><w:t xml:space="preserve">1903-1906 no less than 203,300 tons annually, and the total</w:t></w:r>
</w:p>
<w:p>
<w:pPr><w:pStyle w:val="Normal"/></w:pPr>
<w:r><w:t xml:space="preserve">consumption (home produce plus imports) 566,441 tons, the</w:t></w:r>
</w:p>
<w:p>
<w:pPr><w:pStyle w:val="Normal"/></w:pPr>
<w:r><w:t xml:space="preserve">consumption per head of population being 19.2 lb. per annum.  In</w:t></w:r>
</w:p>
<w:p>
<w:pPr><w:pStyle w:val="Normal"/></w:pPr>
<w:r><w:t xml:space="preserve">butter, as in most other articles of food, adulteration with</w:t></w:r>
</w:p>
<w:p>
<w:pPr><w:pStyle w:val="Normal"/></w:pPr>
<w:r><w:t xml:space="preserve">water is the most common, most profitable, and least risky</w:t></w:r>
</w:p>
<w:p>
<w:pPr><w:pStyle w:val="Normal"/></w:pPr>
<w:r><w:t xml:space="preserve">form of fraud.  Great fortunes are thus made out of water.</w:t></w:r>
</w:p>
<w:p>
<w:pPr><w:pStyle w:val="Normal"/></w:pPr>
<w:r><w:t xml:space="preserve">There is an altogether different class of butter adulteration</w:t></w:r>
</w:p>
<w:p>
<w:pPr><w:pStyle w:val="Normal"/></w:pPr>
<w:r><w:t xml:space="preserve">which concerns itself with the substitution of other fatty</w:t></w:r>
</w:p>
<w:p>
<w:pPr><w:pStyle w:val="Normal"/></w:pPr>
<w:r><w:t xml:space="preserve">matters for the whole or part of the really valuable portion</w:t></w:r>
</w:p>
<w:p>
<w:pPr><w:pStyle w:val="Normal"/></w:pPr>
<w:r><w:t xml:space="preserve">of the butter- fat.  Margarine is the legalized and therefore</w:t></w:r>
</w:p>
<w:p>
<w:pPr><w:pStyle w:val="Normal"/></w:pPr>
<w:r><w:t xml:space="preserve">legitimate butter surrogate, prepared by churning any</w:t></w:r>
</w:p>
<w:p>
<w:pPr><w:pStyle w:val="Normal"/></w:pPr>
<w:r><w:t xml:space="preserve">suitable fat with milk into a cream, solidifying the latter</w:t></w:r>
</w:p>
<w:p>
<w:pPr><w:pStyle w:val="Normal"/></w:pPr>
<w:r><w:t xml:space="preserve">by injection into cold water and working the lumps together,</w:t></w:r>
</w:p>
<w:p>
<w:pPr><w:pStyle w:val="Normal"/></w:pPr>
<w:r><w:t xml:space="preserve">precisely as is done in the case of the churned cream of</w:t></w:r>
</w:p>
<w:p>
<w:pPr><w:pStyle w:val="Normal"/></w:pPr>
<w:r><w:t xml:space="preserve">milk.  The substitution of margarine for butter is frequent,</w:t></w:r>
</w:p>
<w:p>
<w:pPr><w:pStyle w:val="Normal"/></w:pPr>
<w:r><w:t xml:space="preserve">in spite of all legal enactments directed against this fraud,</w:t></w:r>
</w:p>
<w:p>
<w:pPr><w:pStyle w:val="Normal"/></w:pPr>
<w:r><w:t xml:space="preserve">the semblance between butter and margarine being so great</w:t></w:r>
</w:p>
<w:p>
<w:pPr><w:pStyle w:val="Normal"/></w:pPr>
<w:r><w:t xml:space="preserve">that a trained palate is necessary to distinguish the two</w:t></w:r>
</w:p>
<w:p>
<w:pPr><w:pStyle w:val="Normal"/></w:pPr>
<w:r><w:t xml:space="preserve">articles.  Much more frequent and much more difficult to deal</w:t></w:r>
</w:p>
<w:p>
<w:pPr><w:pStyle w:val="Normal"/></w:pPr>
<w:r><w:t xml:space="preserve">with is the sale of mixtures of butter and of margarine.</w:t></w:r>
</w:p>
<w:p>
<w:pPr><w:pStyle w:val="Normal"/></w:pPr>
<w:r><w:t xml:space="preserve">In order to show the difficulties inherent to this subject,</w:t></w:r>
</w:p>
<w:p>
<w:pPr><w:pStyle w:val="Normal"/></w:pPr>
<w:r><w:t xml:space="preserve">it will be necessary to consider the chemical nature of</w:t></w:r>
</w:p>
<w:p>
<w:pPr><w:pStyle w:val="Normal"/></w:pPr>
<w:r><w:t xml:space="preserve">butter-fat, and to compare it with other fats that may enter</w:t></w:r>
</w:p>
<w:p>
<w:pPr><w:pStyle w:val="Normal"/></w:pPr>
<w:r><w:t xml:space="preserve">into the composition of margarine.  Butter-fat is butter freed</w:t></w:r>
</w:p>
<w:p>
<w:pPr><w:pStyle w:val="Normal"/></w:pPr>
<w:r><w:t xml:space="preserve">from water, curd and salt and extraneous matter.  Like the</w:t></w:r>
</w:p>
<w:p>
<w:pPr><w:pStyle w:val="Normal"/></w:pPr>
<w:r><w:t xml:space="preserve">greater number of natural fats it consists of a mixture of</w:t></w:r>
</w:p>
<w:p>
<w:pPr><w:pStyle w:val="Normal"/></w:pPr>
<w:r><w:t xml:space="preserve">triglycerides, that is, combinations of glycerin with substances</w:t></w:r>
</w:p>
<w:p>
<w:pPr><w:pStyle w:val="Normal"/></w:pPr>
<w:r><w:t xml:space="preserve">of the nature of acids.  These acids, in the case of fats</w:t></w:r>
</w:p>
<w:p>
<w:pPr><w:pStyle w:val="Normal"/></w:pPr>
<w:r><w:t xml:space="preserve">other than butter-fat, are mainly oleic, palmitic and stearic</w:t></w:r>
</w:p>
<w:p>
<w:pPr><w:pStyle w:val="Normal"/></w:pPr>
<w:r><w:t xml:space="preserve">acids.  Butter-fat, in addition to these, contains other</w:t></w:r>
</w:p>
<w:p>
<w:pPr><w:pStyle w:val="Normal"/></w:pPr>
<w:r><w:t xml:space="preserve">acids which sharply distinguish it from the vast majority</w:t></w:r>
</w:p>
<w:p>
<w:pPr><w:pStyle w:val="Normal"/></w:pPr>
<w:r><w:t xml:space="preserve">of other fats and, with the exception of cocoa-nut oil, from</w:t></w:r>
</w:p>
<w:p>
<w:pPr><w:pStyle w:val="Normal"/></w:pPr>
<w:r><w:t xml:space="preserve">those substances which are or may be used to mix with butter,</w:t></w:r>
</w:p>
<w:p>
<w:pPr><w:pStyle w:val="Normal"/></w:pPr>
<w:r><w:t xml:space="preserve">by the circumstance that a considerable proportion of its</w:t></w:r>
</w:p>
<w:p>
<w:pPr><w:pStyle w:val="Normal"/></w:pPr>
<w:r><w:t xml:space="preserve">acids, when separated by chemical means from the glycerin, are</w:t></w:r>
</w:p>
<w:p>
<w:pPr><w:pStyle w:val="Normal"/></w:pPr>
<w:r><w:t xml:space="preserve">readily soluble in water, or may be easily volatilized either</w:t></w:r>
</w:p>
<w:p>
<w:pPr><w:pStyle w:val="Normal"/></w:pPr>
<w:r><w:t xml:space="preserve">alone or in a current of steam, whereas the acids separated</w:t></w:r>
</w:p>
<w:p>
<w:pPr><w:pStyle w:val="Normal"/></w:pPr>
<w:r><w:t xml:space="preserve">from the foreign fats are practically both insoluble and</w:t></w:r>
</w:p>
<w:p>
<w:pPr><w:pStyle w:val="Normal"/></w:pPr>
<w:r><w:t xml:space="preserve">non-volatile.  This fundamental principle serves at once to</w:t></w:r>
</w:p>
<w:p>
<w:pPr><w:pStyle w:val="Normal"/></w:pPr>
<w:r><w:t xml:space="preserve">distinguish, for example, between butter and margarine, and</w:t></w:r>
</w:p>
<w:p>
<w:pPr><w:pStyle w:val="Normal"/></w:pPr>
<w:r><w:t xml:space="preserve">has been made use of by analysts not only for this purpose</w:t></w:r>
</w:p>
<w:p>
<w:pPr><w:pStyle w:val="Normal"/></w:pPr>
<w:r><w:t xml:space="preserve">but also with a view to determine the relative amounts of</w:t></w:r>
</w:p>
<w:p>
<w:pPr><w:pStyle w:val="Normal"/></w:pPr>
<w:r><w:t xml:space="preserve">butter and margarine in a mixture of these substances.  Thus</w:t></w:r>
</w:p>
<w:p>
<w:pPr><w:pStyle w:val="Normal"/></w:pPr>
<w:r><w:t xml:space="preserve">butter-fat contains about 88%, more or less, of ``insoluble</w:t></w:r>
</w:p>
<w:p>
<w:pPr><w:pStyle w:val="Normal"/></w:pPr>
<w:r><w:t xml:space="preserve">fatty acids,&apos;&apos; while margarine contains about 95.5%; 5</w:t></w:r>
</w:p>
<w:p>
<w:pPr><w:pStyle w:val="Normal"/></w:pPr>
<w:r><w:t xml:space="preserve">grammes of butter-fat when chemically decomposed yield an</w:t></w:r>
</w:p>
<w:p>
<w:pPr><w:pStyle w:val="Normal"/></w:pPr>
<w:r><w:t xml:space="preserve">amount of volatile fatty acids which requires about 26 cubic</w:t></w:r>
</w:p>
<w:p>
<w:pPr><w:pStyle w:val="Normal"/></w:pPr>
<w:r><w:t xml:space="preserve">centimetres (more or less) of deci-normal alkali solution for</w:t></w:r>
</w:p>
<w:p>
<w:pPr><w:pStyle w:val="Normal"/></w:pPr>
<w:r><w:t xml:space="preserve">neutralization, while margarine requires mostly less than 1</w:t></w:r>
</w:p>
<w:p>
<w:pPr><w:pStyle w:val="Normal"/></w:pPr>
<w:r><w:t xml:space="preserve">cubic centimetre (Wollny or Reichert-Meissl method).  There</w:t></w:r>
</w:p>
<w:p>
<w:pPr><w:pStyle w:val="Normal"/></w:pPr>
<w:r><w:t xml:space="preserve">are other differences between the two kinds of fat: the</w:t></w:r>
</w:p>
<w:p>
<w:pPr><w:pStyle w:val="Normal"/></w:pPr>
<w:r><w:t xml:space="preserve">specific gravity of butter-fat is higher than that of most</w:t></w:r>
</w:p>
<w:p>
<w:pPr><w:pStyle w:val="Normal"/></w:pPr>
<w:r><w:t xml:space="preserve">other fats; its power of refracting a ray of light is less;</w:t></w:r>
</w:p>
<w:p>
<w:pPr><w:pStyle w:val="Normal"/></w:pPr>
<w:r><w:t xml:space="preserve">the ``iodine absorption&apos;&apos; of butter-fat is smaller than that</w:t></w:r>
</w:p>
<w:p>
<w:pPr><w:pStyle w:val="Normal"/></w:pPr>
<w:r><w:t xml:space="preserve">of many other fatty matters, and so on.  But the composition</w:t></w:r>
</w:p>
<w:p>
<w:pPr><w:pStyle w:val="Normal"/></w:pPr>
<w:r><w:t xml:space="preserve">of perfectly genuine butter-fat varies within somewhat wide</w:t></w:r>
</w:p>
<w:p>
<w:pPr><w:pStyle w:val="Normal"/></w:pPr>
<w:r><w:t xml:space="preserve">limits.  The milk from a cow fed on good and ample food in</w:t></w:r>
</w:p>
<w:p>
<w:pPr><w:pStyle w:val="Normal"/></w:pPr>
<w:r><w:t xml:space="preserve">warm weather yields a fat that is rich in characteristic</w:t></w:r>
</w:p>
<w:p>
<w:pPr><w:pStyle w:val="Normal"/></w:pPr>
<w:r><w:t xml:space="preserve">butter-constituents, while a poorly fed animal, kept in the</w:t></w:r>
</w:p>
<w:p>
<w:pPr><w:pStyle w:val="Normal"/></w:pPr>
<w:r><w:t xml:space="preserve">open till late in the autumn, when the nights are cold, gives</w:t></w:r>
</w:p>
<w:p>
<w:pPr><w:pStyle w:val="Normal"/></w:pPr>
<w:r><w:t xml:space="preserve">milk exceptionally poor in fat, the differences expressed as</w:t></w:r>
</w:p>
<w:p>
<w:pPr><w:pStyle w:val="Normal"/></w:pPr>
<w:r><w:t xml:space="preserve">``insoluble fatty acids&apos;&apos; lying between 86 and 91%, and in</w:t></w:r>
</w:p>
<w:p>
<w:pPr><w:pStyle w:val="Normal"/></w:pPr>
<w:r><w:t xml:space="preserve">volatile acids, expressed as ``Wollny&apos;&apos; numbers, between 18</w:t></w:r>
</w:p>
<w:p>
<w:pPr><w:pStyle w:val="Normal"/></w:pPr>
<w:r><w:t xml:space="preserve">and 36. Generally, therefore, summer butter is rich and autumn</w:t></w:r>
</w:p>
<w:p>
<w:pPr><w:pStyle w:val="Normal"/></w:pPr>
<w:r><w:t xml:space="preserve">butter poor in volatile acids, or, geographically, Australian</w:t></w:r>
</w:p>
<w:p>
<w:pPr><w:pStyle w:val="Normal"/></w:pPr>
<w:r><w:t xml:space="preserve">butter is more frequently high, Siberian often exceedingly low</w:t></w:r>
</w:p>
<w:p>
<w:pPr><w:pStyle w:val="Normal"/></w:pPr>
<w:r><w:t xml:space="preserve">in these acids.  The food of the animal also may, under certain</w:t></w:r>
</w:p>
<w:p>
<w:pPr><w:pStyle w:val="Normal"/></w:pPr>
<w:r><w:t xml:space="preserve">conditions, yield a notable proportion of its fatty matter</w:t></w:r>
</w:p>
<w:p>
<w:pPr><w:pStyle w:val="Normal"/></w:pPr>
<w:r><w:t xml:space="preserve">to the butter; cows that have, for instance, been fed upon</w:t></w:r>
</w:p>
<w:p>
<w:pPr><w:pStyle w:val="Normal"/></w:pPr>
<w:r><w:t xml:space="preserve">large quantities of cotton-seed cake yield butter in which the</w:t></w:r>
</w:p>
<w:p>
<w:pPr><w:pStyle w:val="Normal"/></w:pPr>
<w:r><w:t xml:space="preserve">cotton-seed oil may be traced, and the same holds good with</w:t></w:r>
</w:p>
<w:p>
<w:pPr><w:pStyle w:val="Normal"/></w:pPr>
<w:r><w:t xml:space="preserve">other fatty foods.  All these, and other circumstances, combine</w:t></w:r>
</w:p>
<w:p>
<w:pPr><w:pStyle w:val="Normal"/></w:pPr>
<w:r><w:t xml:space="preserve">to render the detection of small quantities of foreign fats</w:t></w:r>
</w:p>
<w:p>
<w:pPr><w:pStyle w:val="Normal"/></w:pPr>
<w:r><w:t xml:space="preserve">that have been fraudulently added to butter almost a matter of</w:t></w:r>
</w:p>
<w:p>
<w:pPr><w:pStyle w:val="Normal"/></w:pPr>
<w:r><w:t xml:space="preserve">impossibility.  This is perfectly well known to unscrupulous</w:t></w:r>
</w:p>
<w:p>
<w:pPr><w:pStyle w:val="Normal"/></w:pPr>
<w:r><w:t xml:space="preserve">butter dealers, and an enormous amount of adulteration is known</w:t></w:r>
</w:p>
<w:p>
<w:pPr><w:pStyle w:val="Normal"/></w:pPr>
<w:r><w:t xml:space="preserve">to be practised.  Even small amounts of adulteration could,</w:t></w:r>
</w:p>
<w:p>
<w:pPr><w:pStyle w:val="Normal"/></w:pPr>
<w:r><w:t xml:space="preserve">nevertheless, often be discovered while margarine manufacturers</w:t></w:r>
</w:p>
<w:p>
<w:pPr><w:pStyle w:val="Normal"/></w:pPr>
<w:r><w:t xml:space="preserve">employed considerable proportions of vegetable oils in their</w:t></w:r>
</w:p>
<w:p>
<w:pPr><w:pStyle w:val="Normal"/></w:pPr>
<w:r><w:t xml:space="preserve">products, some of these oils furnishing characteristic chemical</w:t></w:r>
</w:p>
<w:p>
<w:pPr><w:pStyle w:val="Normal"/></w:pPr>
<w:r><w:t xml:space="preserve">reactions allowing of their discovery.  Here some firms of</w:t></w:r>
</w:p>
<w:p>
<w:pPr><w:pStyle w:val="Normal"/></w:pPr>
<w:r><w:t xml:space="preserve">margarine manufacturers came to the aid of the butter-mixer</w:t></w:r>
</w:p>
<w:p>
<w:pPr><w:pStyle w:val="Normal"/></w:pPr>
<w:r><w:t xml:space="preserve">and produced margarine containing nothing but animal fat,</w:t></w:r>
</w:p>
<w:p>
<w:pPr><w:pStyle w:val="Normal"/></w:pPr>
<w:r><w:t xml:space="preserve">so-called ``neutral&apos;&apos; margarine being freely offered for</w:t></w:r>
</w:p>
<w:p>
<w:pPr><w:pStyle w:val="Normal"/></w:pPr>
<w:r><w:t xml:space="preserve">fraudulent purposes.  There is one fat besides butter which</w:t></w:r>
</w:p>
<w:p>
<w:pPr><w:pStyle w:val="Normal"/></w:pPr>
<w:r><w:t xml:space="preserve">contains ``volatile fatty acids,&apos;&apos; namely, cocoa-nut oil.</w:t></w:r>
</w:p>
<w:p>
<w:pPr><w:pStyle w:val="Normal"/></w:pPr>
<w:r><w:t xml:space="preserve">Since means have been found to deprive this fat of its strong</w:t></w:r>
</w:p>
<w:p>
<w:pPr><w:pStyle w:val="Normal"/></w:pPr>
<w:r><w:t xml:space="preserve">cocoa-nut odour and taste, it has largely been used in the</w:t></w:r>
</w:p>
<w:p>
<w:pPr><w:pStyle w:val="Normal"/></w:pPr>
<w:r><w:t xml:space="preserve">adulteration of butter, and margarine containing Cocoa-nut</w:t></w:r>
</w:p>
<w:p>
<w:pPr><w:pStyle w:val="Normal"/></w:pPr>
<w:r><w:t xml:space="preserve">oil and other fatty substances has freely been manufactured</w:t></w:r>
</w:p>
<w:p>
<w:pPr><w:pStyle w:val="Normal"/></w:pPr>
<w:r><w:t xml:space="preserve">and sold specially for butter adulteration.  The seat of this</w:t></w:r>
</w:p>
<w:p>
<w:pPr><w:pStyle w:val="Normal"/></w:pPr>
<w:r><w:t xml:space="preserve">class of fraud is mainly in Holland.  Analysts happily found</w:t></w:r>
</w:p>
<w:p>
<w:pPr><w:pStyle w:val="Normal"/></w:pPr>
<w:r><w:t xml:space="preserve">means to detect this oil when present above 10%, and numerous</w:t></w:r>
</w:p>
<w:p>
<w:pPr><w:pStyle w:val="Normal"/></w:pPr>
<w:r><w:t xml:space="preserve">prosecutions made mixers more careful.  Abundant evidence,</w:t></w:r>
</w:p>
<w:p>
<w:pPr><w:pStyle w:val="Normal"/></w:pPr>
<w:r><w:t xml:space="preserve">however, exists showing that the simultaneous addition of</w:t></w:r>
</w:p>
<w:p>
<w:pPr><w:pStyle w:val="Normal"/></w:pPr>
<w:r><w:t xml:space="preserve">water or milk so as to keep the water limit below 16% and</w:t></w:r>
</w:p>
<w:p>
<w:pPr><w:pStyle w:val="Normal"/></w:pPr>
<w:r><w:t xml:space="preserve">that of margarine entirely composed of animal fats below 10%</w:t></w:r>
</w:p>
<w:p>
<w:pPr><w:pStyle w:val="Normal"/></w:pPr>
<w:r><w:t xml:space="preserve">leaves a large margin of profit with a very small chance of</w:t></w:r>
</w:p>
<w:p>
<w:pPr><w:pStyle w:val="Normal"/></w:pPr>
<w:r><w:t xml:space="preserve">detection.  For the moment at least analysis has had the worst</w:t></w:r>
</w:p>
<w:p>
<w:pPr><w:pStyle w:val="Normal"/></w:pPr>
<w:r><w:t xml:space="preserve">of it in the battle between honesty and ``business methods.&apos;&apos;</w:t></w:r>
</w:p>
<w:p>
<w:pPr><w:pStyle w:val="Normal"/></w:pPr>
<w:r><w:t xml:space="preserve">Margarine itself is a legitimate article of commerce (when</w:t></w:r>
</w:p>
<w:p>
<w:pPr><w:pStyle w:val="Normal"/></w:pPr>
<w:r><w:t xml:space="preserve">sold with due notice to the purchaser), but is frequently</w:t></w:r>
</w:p>
<w:p>
<w:pPr><w:pStyle w:val="Normal"/></w:pPr>
<w:r><w:t xml:space="preserve">adulterated.  As regards the fats used in its manufacture</w:t></w:r>
</w:p>
<w:p>
<w:pPr><w:pStyle w:val="Normal"/></w:pPr>
<w:r><w:t xml:space="preserve">there does not exist any legal restriction, and as long</w:t></w:r>
</w:p>
<w:p>
<w:pPr><w:pStyle w:val="Normal"/></w:pPr>
<w:r><w:t xml:space="preserve">as the fat is in a state fit for human consumption the</w:t></w:r>
</w:p>
<w:p>
<w:pPr><w:pStyle w:val="Normal"/></w:pPr>
<w:r><w:t xml:space="preserve">manufacturer can make whatever mixture he pleases.  In general</w:t></w:r>
</w:p>
<w:p>
<w:pPr><w:pStyle w:val="Normal"/></w:pPr>
<w:r><w:t xml:space="preserve">there is no reason to think that any bad or disgusting fats</w:t></w:r>
</w:p>
<w:p>
<w:pPr><w:pStyle w:val="Normal"/></w:pPr>
<w:r><w:t xml:space="preserve">are finding their way into the factories, which in most</w:t></w:r>
</w:p>
<w:p>
<w:pPr><w:pStyle w:val="Normal"/></w:pPr>
<w:r><w:t xml:space="preserve">countries are under proper supervision; the old stories about</w:t></w:r>
</w:p>
<w:p>
<w:pPr><w:pStyle w:val="Normal"/></w:pPr>
<w:r><w:t xml:space="preserve">recovered grease from all sorts of offal are quite without</w:t></w:r>
</w:p>
<w:p>
<w:pPr><w:pStyle w:val="Normal"/></w:pPr>
<w:r><w:t xml:space="preserve">foundation.  But a considerable percentage of solid paraffin</w:t></w:r>
</w:p>
<w:p>
<w:pPr><w:pStyle w:val="Normal"/></w:pPr>
<w:r><w:t xml:space="preserve">has been met with as an admixture of the fatty part of</w:t></w:r>
</w:p>
<w:p>
<w:pPr><w:pStyle w:val="Normal"/></w:pPr>
<w:r><w:t xml:space="preserve">margarine.  As the fatty portion of the article is the</w:t></w:r>
</w:p>
<w:p>
<w:pPr><w:pStyle w:val="Normal"/></w:pPr>
<w:r><w:t xml:space="preserve">only one of value, some manufacturers make great efforts</w:t></w:r>
</w:p>
<w:p>
<w:pPr><w:pStyle w:val="Normal"/></w:pPr>
<w:r><w:t xml:space="preserve">to produce margarine with as small a percentage of fatty</w:t></w:r>
</w:p>
<w:p>
<w:pPr><w:pStyle w:val="Normal"/></w:pPr>
<w:r><w:t xml:space="preserve">matter as possible, either by incorporating excessive amounts</w:t></w:r>
</w:p>
<w:p>
<w:pPr><w:pStyle w:val="Normal"/></w:pPr>
<w:r><w:t xml:space="preserve">of water or of milk--margarines with over 30% of water</w:t></w:r>
</w:p>
<w:p>
<w:pPr><w:pStyle w:val="Normal"/></w:pPr>
<w:r><w:t xml:space="preserve">being met with--or by introducing sugar, glucose, starch,</w:t></w:r>
</w:p>
<w:p>
<w:pPr><w:pStyle w:val="Normal"/></w:pPr>
<w:r><w:t xml:space="preserve">gelatinous matter, in fact anything that is cheaper than</w:t></w:r>
</w:p>
<w:p>
<w:pPr><w:pStyle w:val="Normal"/></w:pPr>
<w:r><w:t xml:space="preserve">fat.  The English law imposes a limitation upon the percentage</w:t></w:r>
</w:p>
<w:p>
<w:pPr><w:pStyle w:val="Normal"/></w:pPr>
<w:r><w:t xml:space="preserve">of butter-fat that may be contained in margarine, but at</w:t></w:r>
</w:p>
<w:p>
<w:pPr><w:pStyle w:val="Normal"/></w:pPr>
<w:r><w:t xml:space="preserve">present at least the tendency of manufacturers is all for</w:t></w:r>
</w:p>
<w:p>
<w:pPr><w:pStyle w:val="Normal"/></w:pPr>
<w:r><w:t xml:space="preserve">having as little butter or other valuable fat in margarine</w:t></w:r>
</w:p>
<w:p>
<w:pPr><w:pStyle w:val="Normal"/></w:pPr>
<w:r><w:t xml:space="preserve">as is practicable, and not to err on the other side.  For the</w:t></w:r>
</w:p>
<w:p>
<w:pPr><w:pStyle w:val="Normal"/></w:pPr>
<w:r><w:t xml:space="preserve">purpose of facilitating the discovery of margarine when it has</w:t></w:r>
</w:p>
<w:p>
<w:pPr><w:pStyle w:val="Normal"/></w:pPr>
<w:r><w:t xml:space="preserve">been fraudulently added to butter, some countries (Germany,</w:t></w:r>
</w:p>
<w:p>
<w:pPr><w:pStyle w:val="Normal"/></w:pPr>
<w:r><w:t xml:space="preserve">Belgium, Sweden) insist upon the use of from 5 to 10% of</w:t></w:r>
</w:p>
<w:p>
<w:pPr><w:pStyle w:val="Normal"/></w:pPr>
<w:r><w:t xml:space="preserve">sesame oil (from the seed of Sesamum orientale or indicum,</w:t></w:r>
</w:p>
<w:p>
<w:pPr><w:pStyle w:val="Normal"/></w:pPr>
<w:r><w:t xml:space="preserve">belonging to the family of Bignoniaceae) in the manufacture</w:t></w:r>
</w:p>
<w:p>
<w:pPr><w:pStyle w:val="Normal"/></w:pPr>
<w:r><w:t xml:space="preserve">of such margarine as is to be consumed within the countries in</w:t></w:r>
</w:p>
<w:p>
<w:pPr><w:pStyle w:val="Normal"/></w:pPr>
<w:r><w:t xml:space="preserve">question.  This oil yields a characteristic red colour when</w:t></w:r>
</w:p>
<w:p>
<w:pPr><w:pStyle w:val="Normal"/></w:pPr>
<w:r><w:t xml:space="preserve">it, or any mixture containing it, is shaken with an hydrochloric</w:t></w:r>
</w:p>
<w:p>
<w:pPr><w:pStyle w:val="Normal"/></w:pPr>
<w:r><w:t xml:space="preserve">solution of either sugar or furfurol, and is intended to serve</w:t></w:r>
</w:p>
<w:p>
<w:pPr><w:pStyle w:val="Normal"/></w:pPr>
<w:r><w:t xml:space="preserve">as an ``ear-marking&apos;&apos; substance.  The addition of a little</w:t></w:r>
</w:p>
<w:p>
<w:pPr><w:pStyle w:val="Normal"/></w:pPr>
<w:r><w:t xml:space="preserve">starch or arrowroot, easily discoverable chemically or by the</w:t></w:r>
</w:p>
<w:p>
<w:pPr><w:pStyle w:val="Normal"/></w:pPr>
<w:r><w:t xml:space="preserve">microscope, is also required by Belgium, but in the absence</w:t></w:r>
</w:p>
<w:p>
<w:pPr><w:pStyle w:val="Normal"/></w:pPr>
<w:r><w:t xml:space="preserve">of any international agreement these ear-marking additions</w:t></w:r>
</w:p>
<w:p>
<w:pPr><w:pStyle w:val="Normal"/></w:pPr>
<w:r><w:t xml:space="preserve">are of little practical use.  It is, however, interesting to</w:t></w:r>
</w:p>
<w:p>
<w:pPr><w:pStyle w:val="Normal"/></w:pPr>
<w:r><w:t xml:space="preserve">point out that, while complying with the regulations of the</w:t></w:r>
</w:p>
<w:p>
<w:pPr><w:pStyle w:val="Normal"/></w:pPr>
<w:r><w:t xml:space="preserve">governments, margarine manufacturers of the countries named</w:t></w:r>
</w:p>
<w:p>
<w:pPr><w:pStyle w:val="Normal"/></w:pPr>
<w:r><w:t xml:space="preserve">have found an easy way of rendering the regulations quite</w:t></w:r>
</w:p>
<w:p>
<w:pPr><w:pStyle w:val="Normal"/></w:pPr>
<w:r><w:t xml:space="preserve">nugatory: they add methyl-orange, a colouring matter which</w:t></w:r>
</w:p>
<w:p>
<w:pPr><w:pStyle w:val="Normal"/></w:pPr>
<w:r><w:t xml:space="preserve">itself produces a red colour with acid and quite obscures</w:t></w:r>
</w:p>
<w:p>
<w:pPr><w:pStyle w:val="Normal"/></w:pPr>
<w:r><w:t xml:space="preserve">the real colour obtained by the official test for sesame oil.</w:t></w:r>
</w:p>
<w:p>
<w:pPr><w:pStyle w:val="Normal"/></w:pPr>
<w:r><w:t xml:space="preserve">Cheese may be legitimately made from full-milk, milk that</w:t></w:r>
</w:p>
<w:p>
<w:pPr><w:pStyle w:val="Normal"/></w:pPr>
<w:r><w:t xml:space="preserve">has been enriched by addition of cream, or from milk that</w:t></w:r>
</w:p>
<w:p>
<w:pPr><w:pStyle w:val="Normal"/></w:pPr>
<w:r><w:t xml:space="preserve">has been more or less skimmed.  It varies consequently very</w:t></w:r>
</w:p>
<w:p>
<w:pPr><w:pStyle w:val="Normal"/></w:pPr>
<w:r><w:t xml:space="preserve">widely in composition, so-called cream cheese containing</w:t></w:r>
</w:p>
<w:p>
<w:pPr><w:pStyle w:val="Normal"/></w:pPr>
<w:r><w:t xml:space="preserve">not less than 60% of fat; Stilton upwards of 40%; Cheddar</w:t></w:r>
</w:p>
<w:p>
<w:pPr><w:pStyle w:val="Normal"/></w:pPr>
<w:r><w:t xml:space="preserve">about 30%; Dutch, Parmesan and some Swiss and Danish less</w:t></w:r>
</w:p>
<w:p>
<w:pPr><w:pStyle w:val="Normal"/></w:pPr>
<w:r><w:t xml:space="preserve">than 20%. The amount of water varies with the kind and age</w:t></w:r>
</w:p>
<w:p>
<w:pPr><w:pStyle w:val="Normal"/></w:pPr>
<w:r><w:t xml:space="preserve">of the cheese and may be as low as 20 and as high as 60%.</w:t></w:r>
</w:p>
<w:p>
<w:pPr><w:pStyle w:val="Normal"/></w:pPr>
<w:r><w:t xml:space="preserve">Under these circumstances it is impracticable to lay down</w:t></w:r>
</w:p>
<w:p>
<w:pPr><w:pStyle w:val="Normal"/></w:pPr>
<w:r><w:t xml:space="preserve">any hard-and-fast rules as to the composition of cheese.</w:t></w:r>
</w:p>
<w:p>
<w:pPr><w:pStyle w:val="Normal"/></w:pPr>
<w:r><w:t xml:space="preserve">When, however, cheese is made from skimmed milk and the</w:t></w:r>
</w:p>
<w:p>
<w:pPr><w:pStyle w:val="Normal"/></w:pPr>
<w:r><w:t xml:space="preserve">fat is replaced by margarine, as is the case in so-called</w:t></w:r>
</w:p>
<w:p>
<w:pPr><w:pStyle w:val="Normal"/></w:pPr>
<w:r><w:t xml:space="preserve">``filled&apos;&apos; or margarine cheeses, the sale of these amounts to an</w:t></w:r>
</w:p>
<w:p>
<w:pPr><w:pStyle w:val="Normal"/></w:pPr>
<w:r><w:t xml:space="preserve">adulteration, unless the presence of the foreign substance is</w:t></w:r>
</w:p>
<w:p>
<w:pPr><w:pStyle w:val="Normal"/></w:pPr>
<w:r><w:t xml:space="preserve">declared.  It may at first sight appear strange that the person</w:t></w:r>
</w:p>
<w:p>
<w:pPr><w:pStyle w:val="Normal"/></w:pPr>
<w:r><w:t xml:space="preserve">who robs milk of its most valuable portion, the cream, may</w:t></w:r>
</w:p>
<w:p>
<w:pPr><w:pStyle w:val="Normal"/></w:pPr>
<w:r><w:t xml:space="preserve">prepare a legitimate article of food from the remainder, while</w:t></w:r>
</w:p>
<w:p>
<w:pPr><w:pStyle w:val="Normal"/></w:pPr>
<w:r><w:t xml:space="preserve">he who to that remainder adds something to replace the fat does</w:t></w:r>
</w:p>
<w:p>
<w:pPr><w:pStyle w:val="Normal"/></w:pPr>
<w:r><w:t xml:space="preserve">an illegitimate act, but it must be taken into consideration</w:t></w:r>
</w:p>
<w:p>
<w:pPr><w:pStyle w:val="Normal"/></w:pPr>
<w:r><w:t xml:space="preserve">that the replacement is frequently made with fraudulent</w:t></w:r>
</w:p>
<w:p>
<w:pPr><w:pStyle w:val="Normal"/></w:pPr>
<w:r><w:t xml:space="preserve">intent and that the ordinary purchaser cannot by taste or</w:t></w:r>
</w:p>
<w:p>
<w:pPr><w:pStyle w:val="Normal"/></w:pPr>
<w:r><w:t xml:space="preserve">smell distinguish the adulterated from the genuine article,</w:t></w:r>
</w:p>
<w:p>
<w:pPr><w:pStyle w:val="Normal"/></w:pPr>
<w:r><w:t xml:space="preserve">while there is no difficulty in recognizing skim-milk cheese.</w:t></w:r>
</w:p>
<w:p>
<w:pPr><w:pStyle w:val="Normal"/></w:pPr>
<w:r><w:t xml:space="preserve">Lard.--Between the years 1880 and 1890 a gigantic fraudulent</w:t></w:r>
</w:p>
<w:p>
<w:pPr><w:pStyle w:val="Normal"/></w:pPr>
<w:r><w:t xml:space="preserve">trade in adulterated lard was carried on from the United</w:t></w:r>
</w:p>
<w:p>
<w:pPr><w:pStyle w:val="Normal"/></w:pPr>
<w:r><w:t xml:space="preserve">States.  A great proportion of the American lard imported into</w:t></w:r>
</w:p>
<w:p>
<w:pPr><w:pStyle w:val="Normal"/></w:pPr>
<w:r><w:t xml:space="preserve">England was found to consist of a mixture of more or less real</w:t></w:r>
</w:p>
<w:p>
<w:pPr><w:pStyle w:val="Normal"/></w:pPr>
<w:r><w:t xml:space="preserve">lard with cotton-seed oil and beef-stearine.  Cotton-seed oil</w:t></w:r>
</w:p>
<w:p>
<w:pPr><w:pStyle w:val="Normal"/></w:pPr>
<w:r><w:t xml:space="preserve">is one of the cheapest vegetable oils fit for human consumption,</w:t></w:r>
</w:p>
<w:p>
<w:pPr><w:pStyle w:val="Normal"/></w:pPr>
<w:r><w:t xml:space="preserve">beef-stearine the hard residue obtained in the manufacture</w:t></w:r>
</w:p>
<w:p>
<w:pPr><w:pStyle w:val="Normal"/></w:pPr>
<w:r><w:t xml:space="preserve">of oleo-margarine after the more fluid fat has been pressed</w:t></w:r>
</w:p>
<w:p>
<w:pPr><w:pStyle w:val="Normal"/></w:pPr>
<w:r><w:t xml:space="preserve">from the beef fat.  These mixtures were made so skilfully by</w:t></w:r>
</w:p>
<w:p>
<w:pPr><w:pStyle w:val="Normal"/></w:pPr>
<w:r><w:t xml:space="preserve">large Chicago manufacturers that for some years they escaped</w:t></w:r>
</w:p>
<w:p>
<w:pPr><w:pStyle w:val="Normal"/></w:pPr>
<w:r><w:t xml:space="preserve">detection.  A bill introduced in 1888 into the American</w:t></w:r>
</w:p>
<w:p>
<w:pPr><w:pStyle w:val="Normal"/></w:pPr>
<w:r><w:t xml:space="preserve">Senate to stop this imposture directed general attention to</w:t></w:r>
</w:p>
<w:p>
<w:pPr><w:pStyle w:val="Normal"/></w:pPr>
<w:r><w:t xml:space="preserve">the subject, and energetic measures, taken both in America</w:t></w:r>
</w:p>
<w:p>
<w:pPr><w:pStyle w:val="Normal"/></w:pPr>
<w:r><w:t xml:space="preserve">and in England, quickly put an end to it.  From the memorial</w:t></w:r>
</w:p>
<w:p>
<w:pPr><w:pStyle w:val="Normal"/></w:pPr>
<w:r><w:t xml:space="preserve">presented in the United States Senate in support of the</w:t></w:r>
</w:p>
<w:p>
<w:pPr><w:pStyle w:val="Normal"/></w:pPr>
<w:r><w:t xml:space="preserve">bill, it appeared that in about 1887 the annual production</w:t></w:r>
</w:p>
<w:p>
<w:pPr><w:pStyle w:val="Normal"/></w:pPr>
<w:r><w:t xml:space="preserve">of lard in the States was estimated at 600 million pounds,</w:t></w:r>
</w:p>
<w:p>
<w:pPr><w:pStyle w:val="Normal"/></w:pPr>
<w:r><w:t xml:space="preserve">of which more than 35% was adulterated.  Compounds were made</w:t></w:r>
</w:p>
<w:p>
<w:pPr><w:pStyle w:val="Normal"/></w:pPr>
<w:r><w:t xml:space="preserve">containing only a small quantity of lard or none at all, yet</w:t></w:r>
</w:p>
<w:p>
<w:pPr><w:pStyle w:val="Normal"/></w:pPr>
<w:r><w:t xml:space="preserve">were sold as ``choice refined lard&apos;&apos; or under other eulogistic</w:t></w:r>
</w:p>
<w:p>
<w:pPr><w:pStyle w:val="Normal"/></w:pPr>
<w:r><w:t xml:space="preserve">names.  Many lard substitutes, chiefly made from cotton-seed</w:t></w:r>
</w:p>
<w:p>
<w:pPr><w:pStyle w:val="Normal"/></w:pPr>
<w:r><w:t xml:space="preserve">oil, are still met with, but are mostly sold in a legitimate</w:t></w:r>
</w:p>
<w:p>
<w:pPr><w:pStyle w:val="Normal"/></w:pPr>
<w:r><w:t xml:space="preserve">manner.  From the germ of maize--which must be separated</w:t></w:r>
</w:p>
<w:p>
<w:pPr><w:pStyle w:val="Normal"/></w:pPr>
<w:r><w:t xml:space="preserve">from the starchy portion of the seed before the latter can be</w:t></w:r>
</w:p>
<w:p>
<w:pPr><w:pStyle w:val="Normal"/></w:pPr>
<w:r><w:t xml:space="preserve">manufactured into glucose--the oil (maize-oil) is expressed,</w:t></w:r>
</w:p>
<w:p>
<w:pPr><w:pStyle w:val="Normal"/></w:pPr>
<w:r><w:t xml:space="preserve">and this now is used as a lard adulterant, its detection</w:t></w:r>
</w:p>
<w:p>
<w:pPr><w:pStyle w:val="Normal"/></w:pPr>
<w:r><w:t xml:space="preserve">being far more difficult than that of cotton-seed oil.</w:t></w:r>
</w:p>
<w:p>
<w:pPr><w:pStyle w:val="Normal"/></w:pPr>
<w:r><w:t xml:space="preserve">Oils.--For very many years all oils were considered to</w:t></w:r>
</w:p>
<w:p>
<w:pPr><w:pStyle w:val="Normal"/></w:pPr>
<w:r><w:t xml:space="preserve">be composed of olein, that is to say, the triglyceride of</w:t></w:r>
</w:p>
<w:p>
<w:pPr><w:pStyle w:val="Normal"/></w:pPr>
<w:r><w:t xml:space="preserve">oleic acid, with small quantities of impurities; chemists,</w:t></w:r>
</w:p>
<w:p>
<w:pPr><w:pStyle w:val="Normal"/></w:pPr>
<w:r><w:t xml:space="preserve">therefore, to distinguish oils of various origin, confined</w:t></w:r>
</w:p>
<w:p>
<w:pPr><w:pStyle w:val="Normal"/></w:pPr>
<w:r><w:t xml:space="preserve">themselves to tests for these impurities, employing so-called</w:t></w:r>
</w:p>
<w:p>
<w:pPr><w:pStyle w:val="Normal"/></w:pPr>
<w:r><w:t xml:space="preserve">colour reactions based upon the change of colour of the oil</w:t></w:r>
</w:p>
<w:p>
<w:pPr><w:pStyle w:val="Normal"/></w:pPr>
<w:r><w:t xml:space="preserve">by various reagents such as sulphuric, nitric or phosphoric</w:t></w:r>
</w:p>
<w:p>
<w:pPr><w:pStyle w:val="Normal"/></w:pPr>
<w:r><w:t xml:space="preserve">acids.  These reactions were exceedingly indefinite and</w:t></w:r>
</w:p>
<w:p>
<w:pPr><w:pStyle w:val="Normal"/></w:pPr>
<w:r><w:t xml:space="preserve">unsatisfactory and oil adulteration was prevalent and almost</w:t></w:r>
</w:p>
<w:p>
<w:pPr><w:pStyle w:val="Normal"/></w:pPr>
<w:r><w:t xml:space="preserve">undiscoverable.  It has been found, however, that the old</w:t></w:r>
</w:p>
<w:p>
<w:pPr><w:pStyle w:val="Normal"/></w:pPr>
<w:r><w:t xml:space="preserve">ideas concerning the believed uniformity in the nature and</w:t></w:r>
</w:p>
<w:p>
<w:pPr><w:pStyle w:val="Normal"/></w:pPr>
<w:r><w:t xml:space="preserve">constitution of oils were erroneous.  Some oils, indeed, do</w:t></w:r>
</w:p>
<w:p>
<w:pPr><w:pStyle w:val="Normal"/></w:pPr>
<w:r><w:t xml:space="preserve">consist of olein, almond oil being a type, others contain a</w:t></w:r>
</w:p>
<w:p>
<w:pPr><w:pStyle w:val="Normal"/></w:pPr>
<w:r><w:t xml:space="preserve">glyceride of an acid which is distinguished from oleic acid</w:t></w:r>
</w:p>
<w:p>
<w:pPr><w:pStyle w:val="Normal"/></w:pPr>
<w:r><w:t xml:space="preserve">by containing one molecule less hydrogen, called linoleic</w:t></w:r>
</w:p>
<w:p>
<w:pPr><w:pStyle w:val="Normal"/></w:pPr>
<w:r><w:t xml:space="preserve">acid.  To this class belong cotton-seed and sesame oils.</w:t></w:r>
</w:p>
<w:p>
<w:pPr><w:pStyle w:val="Normal"/></w:pPr>
<w:r><w:t xml:space="preserve">Others again include a glyceride of an acid containing still</w:t></w:r>
</w:p>
<w:p>
<w:pPr><w:pStyle w:val="Normal"/></w:pPr>
<w:r><w:t xml:space="preserve">less hydrogen, linolenic acid (linseed and similar drying</w:t></w:r>
</w:p>
<w:p>
<w:pPr><w:pStyle w:val="Normal"/></w:pPr>
<w:r><w:t xml:space="preserve">oils), and lastly the liver oils are still poorer in hydrogen.</w:t></w:r>
</w:p>
<w:p>
<w:pPr><w:pStyle w:val="Normal"/></w:pPr>
<w:r><w:t xml:space="preserve">These various acids or the oils contained in them combine with</w:t></w:r>
</w:p>
<w:p>
<w:pPr><w:pStyle w:val="Normal"/></w:pPr>
<w:r><w:t xml:space="preserve">various percentages of iodine, oleic acid absorbing the smallest</w:t></w:r>
</w:p>
<w:p>
<w:pPr><w:pStyle w:val="Normal"/></w:pPr>
<w:r><w:t xml:space="preserve">proportion (about 80%); For each oil the iodine absorption</w:t></w:r>
</w:p>
<w:p>
<w:pPr><w:pStyle w:val="Normal"/></w:pPr>
<w:r><w:t xml:space="preserve">is a fairly constant quantity; this number, together with</w:t></w:r>
</w:p>
<w:p>
<w:pPr><w:pStyle w:val="Normal"/></w:pPr>
<w:r><w:t xml:space="preserve">the determination of the amount of caustic alkali needed for</w:t></w:r>
</w:p>
<w:p>
<w:pPr><w:pStyle w:val="Normal"/></w:pPr>
<w:r><w:t xml:space="preserve">complete saponification, the thermal rise with strong sulphuric</w:t></w:r>
</w:p>
<w:p>
<w:pPr><w:pStyle w:val="Normal"/></w:pPr>
<w:r><w:t xml:space="preserve">acid or with bromine, the refraction of light and the specific</w:t></w:r>
</w:p>
<w:p>
<w:pPr><w:pStyle w:val="Normal"/></w:pPr>
<w:r><w:t xml:space="preserve">gravity, now enable the analyst to form a fair idea of the</w:t></w:r>
</w:p>
<w:p>
<w:pPr><w:pStyle w:val="Normal"/></w:pPr>
<w:r><w:t xml:space="preserve">nature of any sample under examination, and, in consequence</w:t></w:r>
</w:p>
<w:p>
<w:pPr><w:pStyle w:val="Normal"/></w:pPr>
<w:r><w:t xml:space="preserve">of this advance in knowledge, adulteration of oils has much</w:t></w:r>
</w:p>
<w:p>
<w:pPr><w:pStyle w:val="Normal"/></w:pPr>
<w:r><w:t xml:space="preserve">declined.  The most common adulterant of the more valuable</w:t></w:r>
</w:p>
<w:p>
<w:pPr><w:pStyle w:val="Normal"/></w:pPr>
<w:r><w:t xml:space="preserve">oils, like olive oil, is cotton-seed oil.  The oils expressed</w:t></w:r>
</w:p>
<w:p>
<w:pPr><w:pStyle w:val="Normal"/></w:pPr>
<w:r><w:t xml:space="preserve">from the sesame seed or the earth-nut (arachis oil) are also</w:t></w:r>
</w:p>
<w:p>
<w:pPr><w:pStyle w:val="Normal"/></w:pPr>
<w:r><w:t xml:space="preserve">frequently admixed with olive oil.  Almond oil is adulterated</w:t></w:r>
</w:p>
<w:p>
<w:pPr><w:pStyle w:val="Normal"/></w:pPr>
<w:r><w:t xml:space="preserve">with the closely allied oils from the peach-kernel or the</w:t></w:r>
</w:p>
<w:p>
<w:pPr><w:pStyle w:val="Normal"/></w:pPr>
<w:r><w:t xml:space="preserve">pine-seed.  Deodorized paraffin hydrocarbons also enter</w:t></w:r>
</w:p>
<w:p>
<w:pPr><w:pStyle w:val="Normal"/></w:pPr>
<w:r><w:t xml:space="preserve">sometimes as adulterants into edible oils.  There is,</w:t></w:r>
</w:p>
<w:p>
<w:pPr><w:pStyle w:val="Normal"/></w:pPr>
<w:r><w:t xml:space="preserve">however, a marked improvement in the purity of oils generally.</w:t></w:r>
</w:p>
<w:p>
<w:pPr><w:pStyle w:val="Normal"/></w:pPr>
<w:r><w:t xml:space="preserve">Flour and bread as sold in England are almost invariably</w:t></w:r>
</w:p>
<w:p>
<w:pPr><w:pStyle w:val="Normal"/></w:pPr>
<w:r><w:t xml:space="preserve">genuine.  The old forms of adulteration, such as the use of</w:t></w:r>
</w:p>
<w:p>
<w:pPr><w:pStyle w:val="Normal"/></w:pPr>
<w:r><w:t xml:space="preserve">alum for the production of a white but indigestible loaf from</w:t></w:r>
</w:p>
<w:p>
<w:pPr><w:pStyle w:val="Normal"/></w:pPr>
<w:r><w:t xml:space="preserve">bad flour, have disappeared.  The only admixture which has</w:t></w:r>
</w:p>
<w:p>
<w:pPr><w:pStyle w:val="Normal"/></w:pPr>
<w:r><w:t xml:space="preserve">been met with during recent years is maize-meal in American</w:t></w:r>
</w:p>
<w:p>
<w:pPr><w:pStyle w:val="Normal"/></w:pPr>
<w:r><w:t xml:space="preserve">produce.  This is of inferior food value to wheat-meal.</w:t></w:r>
</w:p>
<w:p>
<w:pPr><w:pStyle w:val="Normal"/></w:pPr>
<w:r><w:t xml:space="preserve">Sugar in its various forms can hardly be said to be subject</w:t></w:r>
</w:p>
<w:p>
<w:pPr><w:pStyle w:val="Normal"/></w:pPr>
<w:r><w:t xml:space="preserve">to adulteration by the addition of inferior substitutes.  One</w:t></w:r>
</w:p>
<w:p>
<w:pPr><w:pStyle w:val="Normal"/></w:pPr>
<w:r><w:t xml:space="preserve">single case of such substitution analogous to the proverbial</w:t></w:r>
</w:p>
<w:p>
<w:pPr><w:pStyle w:val="Normal"/></w:pPr>
<w:r><w:t xml:space="preserve">but probably mythical sanding of sugar occurred between</w:t></w:r>
</w:p>
<w:p>
<w:pPr><w:pStyle w:val="Normal"/></w:pPr>
<w:r><w:t xml:space="preserve">1880 and 1905 in England, some crushed marble having been</w:t></w:r>
</w:p>
<w:p>
<w:pPr><w:pStyle w:val="Normal"/></w:pPr>
<w:r><w:t xml:space="preserve">found in a consignment of German sugar in a large British</w:t></w:r>
</w:p>
<w:p>
<w:pPr><w:pStyle w:val="Normal"/></w:pPr>
<w:r><w:t xml:space="preserve">establishment.  There have, however, been numerous prosecutions</w:t></w:r>
</w:p>
<w:p>
<w:pPr><w:pStyle w:val="Normal"/></w:pPr>
<w:r><w:t xml:space="preserve">for a fraud of another class, namely, the substitution</w:t></w:r>
</w:p>
<w:p>
<w:pPr><w:pStyle w:val="Normal"/></w:pPr>
<w:r><w:t xml:space="preserve">of dyed beetroot sugar for Demerara sugar.  Formerly the</w:t></w:r>
</w:p>
<w:p>
<w:pPr><w:pStyle w:val="Normal"/></w:pPr>
<w:r><w:t xml:space="preserve">sugar produced by the old imperfect and wasteful methods of</w:t></w:r>
</w:p>
<w:p>
<w:pPr><w:pStyle w:val="Normal"/></w:pPr>
<w:r><w:t xml:space="preserve">manufacture was more or less yellow or brown from adhering</w:t></w:r>
</w:p>
<w:p>
<w:pPr><w:pStyle w:val="Normal"/></w:pPr>
<w:r><w:t xml:space="preserve">molasses.  Sugar, as now obtained, be it from cane or beet, is</w:t></w:r>
</w:p>
<w:p>
<w:pPr><w:pStyle w:val="Normal"/></w:pPr>
<w:r><w:t xml:space="preserve">white; yet the public is so wedded to its customs that white</w:t></w:r>
</w:p>
<w:p>
<w:pPr><w:pStyle w:val="Normal"/></w:pPr>
<w:r><w:t xml:space="preserve">sugar except as lump or castor sugar does not,find a ready</w:t></w:r>
</w:p>
<w:p>
<w:pPr><w:pStyle w:val="Normal"/></w:pPr>
<w:r><w:t xml:space="preserve">sale.  The manufacturer is obliged to colour his product yellow</w:t></w:r>
</w:p>
<w:p>
<w:pPr><w:pStyle w:val="Normal"/></w:pPr>
<w:r><w:t xml:space="preserve">by artificial means, that is to say, either by the addition of</w:t></w:r>
</w:p>
<w:p>
<w:pPr><w:pStyle w:val="Normal"/></w:pPr>
<w:r><w:t xml:space="preserve">a little aniline dye, harmless in itself, or, as in the West</w:t></w:r>
</w:p>
<w:p>
<w:pPr><w:pStyle w:val="Normal"/></w:pPr>
<w:r><w:t xml:space="preserve">Indies, mostly by the use of a small quantity of chloride</w:t></w:r>
</w:p>
<w:p>
<w:pPr><w:pStyle w:val="Normal"/></w:pPr>
<w:r><w:t xml:space="preserve">of tin, so-called ``bloomer.&apos;&apos; European refined beet-sugar</w:t></w:r>
</w:p>
<w:p>
<w:pPr><w:pStyle w:val="Normal"/></w:pPr>
<w:r><w:t xml:space="preserve">coloured with aniline dye to distinguish it from Demerara cane</w:t></w:r>
</w:p>
<w:p>
<w:pPr><w:pStyle w:val="Normal"/></w:pPr>
<w:r><w:t xml:space="preserve">sugar is sold under the name of ``yellow crystals.&apos;&apos; These,</w:t></w:r>
</w:p>
<w:p>
<w:pPr><w:pStyle w:val="Normal"/></w:pPr>
<w:r><w:t xml:space="preserve">although richer in real sugar than Demerara, are without the</w:t></w:r>
</w:p>
<w:p>
<w:pPr><w:pStyle w:val="Normal"/></w:pPr>
<w:r><w:t xml:space="preserve">delicious aroma of cane syrup which belongs to the latter, and</w:t></w:r>
</w:p>
<w:p>
<w:pPr><w:pStyle w:val="Normal"/></w:pPr>
<w:r><w:t xml:space="preserve">are not infrequently fraudulently substituted for Demerara.</w:t></w:r>
</w:p>
<w:p>
<w:pPr><w:pStyle w:val="Normal"/></w:pPr>
<w:r><w:t xml:space="preserve">Marmalade and Jams.---In the preparation of marmalade</w:t></w:r>
</w:p>
<w:p>
<w:pPr><w:pStyle w:val="Normal"/></w:pPr>
<w:r><w:t xml:space="preserve">and jams, which articles were for a long time mado from</w:t></w:r>
</w:p>
<w:p>
<w:pPr><w:pStyle w:val="Normal"/></w:pPr>
<w:r><w:t xml:space="preserve">fruit and sugar only, a part of the sugar, from 10 to 15%,</w:t></w:r>
</w:p>
<w:p>
<w:pPr><w:pStyle w:val="Normal"/></w:pPr>
<w:r><w:t xml:space="preserve">is often now replaced by starch glucose.  This material,</w:t></w:r>
</w:p>
<w:p>
<w:pPr><w:pStyle w:val="Normal"/></w:pPr>
<w:r><w:t xml:space="preserve">consisting mainly of a mixture of dextrose and dextrin, is</w:t></w:r>
</w:p>
<w:p>
<w:pPr><w:pStyle w:val="Normal"/></w:pPr>
<w:r><w:t xml:space="preserve">of much less sweetening power than ordinary sugar and mostly</w:t></w:r>
</w:p>
<w:p>
<w:pPr><w:pStyle w:val="Normal"/></w:pPr>
<w:r><w:t xml:space="preserve">cheaper.  It is said to prevent the crystallization which</w:t></w:r>
</w:p>
<w:p>
<w:pPr><w:pStyle w:val="Normal"/></w:pPr>
<w:r><w:t xml:space="preserve">frequently used to occur in some jams.  The use of glucose</w:t></w:r>
</w:p>
<w:p>
<w:pPr><w:pStyle w:val="Normal"/></w:pPr>
<w:r><w:t xml:space="preserve">has been declared by the High Court (Smith v. Wisden,</w:t></w:r>
</w:p>
<w:p>
<w:pPr><w:pStyle w:val="Normal"/></w:pPr>
<w:r><w:t xml:space="preserve">1901) to be legitimate, the court holding that as there was</w:t></w:r>
</w:p>
<w:p>
<w:pPr><w:pStyle w:val="Normal"/></w:pPr>
<w:r><w:t xml:space="preserve">no recognized standard for the composition of marmalade the</w:t></w:r>
</w:p>
<w:p>
<w:pPr><w:pStyle w:val="Normal"/></w:pPr>
<w:r><w:t xml:space="preserve">addition of saccharine material not injurious to health could</w:t></w:r>
</w:p>
<w:p>
<w:pPr><w:pStyle w:val="Normal"/></w:pPr>
<w:r><w:t xml:space="preserve">not constitute an offence.  Artificial colouring matters and</w:t></w:r>
</w:p>
<w:p>
<w:pPr><w:pStyle w:val="Normal"/></w:pPr>
<w:r><w:t xml:space="preserve">chemical preservatives are almost constant ingredients of</w:t></w:r>
</w:p>
<w:p>
<w:pPr><w:pStyle w:val="Normal"/></w:pPr>
<w:r><w:t xml:space="preserve">jams.  To such fruits which, when boiled with sugar, do</w:t></w:r>
</w:p>
<w:p>
<w:pPr><w:pStyle w:val="Normal"/></w:pPr>
<w:r><w:t xml:space="preserve">not readily yield a jelly (strawberries, raspberries)</w:t></w:r>
</w:p>
<w:p>
<w:pPr><w:pStyle w:val="Normal"/></w:pPr>
<w:r><w:t xml:space="preserve">an addition of apple juice is frequently made in the</w:t></w:r>
</w:p>
<w:p>
<w:pPr><w:pStyle w:val="Normal"/></w:pPr>
<w:r><w:t xml:space="preserve">manufacture of jam, without much objection; the pulp of the</w:t></w:r>
</w:p>
<w:p>
<w:pPr><w:pStyle w:val="Normal"/></w:pPr>
<w:r><w:t xml:space="preserve">apple, however, is sometimes bodily added as an adulterant.</w:t></w:r>
</w:p>
<w:p>
<w:pPr><w:pStyle w:val="Normal"/></w:pPr>
<w:r><w:t xml:space="preserve">Tea.---In consequence of the proviso contained in the Food</w:t></w:r>
</w:p>
<w:p>
<w:pPr><w:pStyle w:val="Normal"/></w:pPr>
<w:r><w:t xml:space="preserve">Act of 1875 that tea was to be examined by the Customs on</w:t></w:r>
</w:p>
<w:p>
<w:pPr><w:pStyle w:val="Normal"/></w:pPr>
<w:r><w:t xml:space="preserve">importation, such tea as was found to be admixed with other</w:t></w:r>
</w:p>
<w:p>
<w:pPr><w:pStyle w:val="Normal"/></w:pPr>
<w:r><w:t xml:space="preserve">substance or exhausted tea being refused entry into England,</w:t></w:r>
</w:p>
<w:p>
<w:pPr><w:pStyle w:val="Normal"/></w:pPr>
<w:r><w:t xml:space="preserve">the adulteration of tea has been virtually suppressed.  Great</w:t></w:r>
</w:p>
<w:p>
<w:pPr><w:pStyle w:val="Normal"/></w:pPr>
<w:r><w:t xml:space="preserve">numbers of samples are annually examined by the Customs,</w:t></w:r>
</w:p>
<w:p>
<w:pPr><w:pStyle w:val="Normal"/></w:pPr>
<w:r><w:t xml:space="preserve">and a not inconsiderable proportion of these are condemned</w:t></w:r>
</w:p>
<w:p>
<w:pPr><w:pStyle w:val="Normal"/></w:pPr>
<w:r><w:t xml:space="preserve">because they are either damaged or dirty, their use for</w:t></w:r>
</w:p>
<w:p>
<w:pPr><w:pStyle w:val="Normal"/></w:pPr>
<w:r><w:t xml:space="preserve">the manufacture of theine being permitted, only sound and</w:t></w:r>
</w:p>
<w:p>
<w:pPr><w:pStyle w:val="Normal"/></w:pPr>
<w:r><w:t xml:space="preserve">genuine tea coming to the British public.  The practice, very</w:t></w:r>
</w:p>
<w:p>
<w:pPr><w:pStyle w:val="Normal"/></w:pPr>
<w:r><w:t xml:space="preserve">common a generation ago, of artificially colouring tea green</w:t></w:r>
</w:p>
<w:p>
<w:pPr><w:pStyle w:val="Normal"/></w:pPr>
<w:r><w:t xml:space="preserve">with, a mixture of Prussian blue and turmeric, has quite</w:t></w:r>
</w:p>
<w:p>
<w:pPr><w:pStyle w:val="Normal"/></w:pPr>
<w:r><w:t xml:space="preserve">vanished with the decline of the consumption of green tea.</w:t></w:r>
</w:p>
<w:p>
<w:pPr><w:pStyle w:val="Normal"/></w:pPr>
<w:r><w:t xml:space="preserve">Coffee.---A few cases of artificially manufactured coffee</w:t></w:r>
</w:p>
<w:p>
<w:pPr><w:pStyle w:val="Normal"/></w:pPr>
<w:r><w:t xml:space="preserve">berries, made from flour and chicory, have been observed, but</w:t></w:r>
</w:p>
<w:p>
<w:pPr><w:pStyle w:val="Normal"/></w:pPr>
<w:r><w:t xml:space="preserve">it would not be fair to speak of a practice of adulteration</w:t></w:r>
</w:p>
<w:p>
<w:pPr><w:pStyle w:val="Normal"/></w:pPr>
<w:r><w:t xml:space="preserve">regarding coffee berries.  Not infrequently coffee is roasted</w:t></w:r>
</w:p>
<w:p>
<w:pPr><w:pStyle w:val="Normal"/></w:pPr>
<w:r><w:t xml:space="preserve">with the addition of some fatty matter or paraffin or sugar,</w:t></w:r>
</w:p>
<w:p>
<w:pPr><w:pStyle w:val="Normal"/></w:pPr>
<w:r><w:t xml:space="preserve">to give to the roasted coffee a glossy appearance.  These</w:t></w:r>
</w:p>
<w:p>
<w:pPr><w:pStyle w:val="Normal"/></w:pPr>
<w:r><w:t xml:space="preserve">additions as a rule are small in amount.  Ground coffee is</w:t></w:r>
</w:p>
<w:p>
<w:pPr><w:pStyle w:val="Normal"/></w:pPr>
<w:r><w:t xml:space="preserve">often sold adulterated with chicory, sugar or caramel.  Other</w:t></w:r>
</w:p>
<w:p>
<w:pPr><w:pStyle w:val="Normal"/></w:pPr>
<w:r><w:t xml:space="preserve">adulterations, reference to which is found in literature relating</w:t></w:r>
</w:p>
<w:p>
<w:pPr><w:pStyle w:val="Normal"/></w:pPr>
<w:r><w:t xml:space="preserve">to the second half of the 19th century, do not seem now to occur.</w:t></w:r>
</w:p>
<w:p>
<w:pPr><w:pStyle w:val="Normal"/></w:pPr>
<w:r><w:t xml:space="preserve">Cocoa and chocolate are liable to a number of fraudulent</w:t></w:r>
</w:p>
<w:p>
<w:pPr><w:pStyle w:val="Normal"/></w:pPr>
<w:r><w:t xml:space="preserve">or questionable additions.  In the cheaper qualities of</w:t></w:r>
</w:p>
<w:p>
<w:pPr><w:pStyle w:val="Normal"/></w:pPr>
<w:r><w:t xml:space="preserve">cocoa-powder sugar and starch--the latter in the form</w:t></w:r>
</w:p>
<w:p>
<w:pPr><w:pStyle w:val="Normal"/></w:pPr>
<w:r><w:t xml:space="preserve">of sago flour or arrowroot--are admixed in very large</w:t></w:r>
</w:p>
<w:p>
<w:pPr><w:pStyle w:val="Normal"/></w:pPr>
<w:r><w:t xml:space="preserve">proportions, and, in order to give to such mixtures something</w:t></w:r>
</w:p>
<w:p>
<w:pPr><w:pStyle w:val="Normal"/></w:pPr>
<w:r><w:t xml:space="preserve">like the appearance of genuine cocoa, red oxide of iron is</w:t></w:r>
</w:p>
<w:p>
<w:pPr><w:pStyle w:val="Normal"/></w:pPr>
<w:r><w:t xml:space="preserve">added.  This almost invariably is more or less arsenical.</w:t></w:r>
</w:p>
<w:p>
<w:pPr><w:pStyle w:val="Normal"/></w:pPr>
<w:r><w:t xml:space="preserve">Cocoa-shell, a perfectly valueless material, is mixed in a</w:t></w:r>
</w:p>
<w:p>
<w:pPr><w:pStyle w:val="Normal"/></w:pPr>
<w:r><w:t xml:space="preserve">very finely ground state with cocoa of the commoner kind.</w:t></w:r>
</w:p>
<w:p>
<w:pPr><w:pStyle w:val="Normal"/></w:pPr>
<w:r><w:t xml:space="preserve">Owing to the enormous increase in the consumption of so-called</w:t></w:r>
</w:p>
<w:p>
<w:pPr><w:pStyle w:val="Normal"/></w:pPr>
<w:r><w:t xml:space="preserve">chocolate-creams, which are masses of sugar confectionery</w:t></w:r>
</w:p>
<w:p>
<w:pPr><w:pStyle w:val="Normal"/></w:pPr>
<w:r><w:t xml:space="preserve">coated with a cocoa-paste containing a large proportion of</w:t></w:r>
</w:p>
<w:p>
<w:pPr><w:pStyle w:val="Normal"/></w:pPr>
<w:r><w:t xml:space="preserve">the fat of cocoa (cocoa-butter), the quantity of cocoa-butter</w:t></w:r>
</w:p>
<w:p>
<w:pPr><w:pStyle w:val="Normal"/></w:pPr>
<w:r><w:t xml:space="preserve">that is obtained in the manufacture of cocoa-powders is</w:t></w:r>
</w:p>
<w:p>
<w:pPr><w:pStyle w:val="Normal"/></w:pPr>
<w:r><w:t xml:space="preserve">no longer sufficient to cover the demand.  Substitutes of</w:t></w:r>
</w:p>
<w:p>
<w:pPr><w:pStyle w:val="Normal"/></w:pPr>
<w:r><w:t xml:space="preserve">cocoa-butter prepared from cocoa-nut oil are manufactured</w:t></w:r>
</w:p>
<w:p>
<w:pPr><w:pStyle w:val="Normal"/></w:pPr>
<w:r><w:t xml:space="preserve">on a large scale, and all enter without acknowledgment</w:t></w:r>
</w:p>
<w:p>
<w:pPr><w:pStyle w:val="Normal"/></w:pPr>
<w:r><w:t xml:space="preserve">into chocolates or chocolate creams.  As there are not any</w:t></w:r>
</w:p>
<w:p>
<w:pPr><w:pStyle w:val="Normal"/></w:pPr>
<w:r><w:t xml:space="preserve">regulations touching the composition of chocolate, sugar</w:t></w:r>
</w:p>
<w:p>
<w:pPr><w:pStyle w:val="Normal"/></w:pPr>
<w:r><w:t xml:space="preserve">or starch or both are used in chocolate manufacture, and</w:t></w:r>
</w:p>
<w:p>
<w:pPr><w:pStyle w:val="Normal"/></w:pPr>
<w:r><w:t xml:space="preserve">especially in that of chocolate powders in often excessive</w:t></w:r>
</w:p>
<w:p>
<w:pPr><w:pStyle w:val="Normal"/></w:pPr>
<w:r><w:t xml:space="preserve">quantities.  In the Dutch mode of manufacture of cocoa-powders</w:t></w:r>
</w:p>
<w:p>
<w:pPr><w:pStyle w:val="Normal"/></w:pPr>
<w:r><w:t xml:space="preserve">an addition of from 3% to 4% of an alkaline salt is made</w:t></w:r>
</w:p>
<w:p>
<w:pPr><w:pStyle w:val="Normal"/></w:pPr>
<w:r><w:t xml:space="preserve">for the purpose of rendering the cocoa ``soluble,&apos;&apos; or, more</w:t></w:r>
</w:p>
<w:p>
<w:pPr><w:pStyle w:val="Normal"/></w:pPr>
<w:r><w:t xml:space="preserve">strictly, for putting it into such a physical condition that</w:t></w:r>
</w:p>
<w:p>
<w:pPr><w:pStyle w:val="Normal"/></w:pPr>
<w:r><w:t xml:space="preserve">it does not settle in the cup.  This addition does not, as</w:t></w:r>
</w:p>
<w:p>
<w:pPr><w:pStyle w:val="Normal"/></w:pPr>
<w:r><w:t xml:space="preserve">is often alleged, render the cocoa alkaline, and is not made</w:t></w:r>
</w:p>
<w:p>
<w:pPr><w:pStyle w:val="Normal"/></w:pPr>
<w:r><w:t xml:space="preserve">with any fraudulent object; several countries, however, have</w:t></w:r>
</w:p>
<w:p>
<w:pPr><w:pStyle w:val="Normal"/></w:pPr>
<w:r><w:t xml:space="preserve">passed regulations fixing the maximum of the addition which</w:t></w:r>
</w:p>
<w:p>
<w:pPr><w:pStyle w:val="Normal"/></w:pPr>
<w:r><w:t xml:space="preserve">may thus legitimately be made.  Most of the cocoa powders sold</w:t></w:r>
</w:p>
<w:p>
<w:pPr><w:pStyle w:val="Normal"/></w:pPr>
<w:r><w:t xml:space="preserve">in England are prepared in accordance with the Dutch method.</w:t></w:r>
</w:p>
<w:p>
<w:pPr><w:pStyle w:val="Normal"/></w:pPr>
<w:r><w:t xml:space="preserve">Wine.--If under this term a beverage is understood which</w:t></w:r>
</w:p>
<w:p>
<w:pPr><w:pStyle w:val="Normal"/></w:pPr>
<w:r><w:t xml:space="preserve">consists of nothing but fermented grape juice, a great</w:t></w:r>
</w:p>
<w:p>
<w:pPr><w:pStyle w:val="Normal"/></w:pPr>
<w:r><w:t xml:space="preserve">proportion of the wine consumed in England is not genuine</w:t></w:r>
</w:p>
<w:p>
<w:pPr><w:pStyle w:val="Normal"/></w:pPr>
<w:r><w:t xml:space="preserve">wine.  All port and sherry comes into commerce after</w:t></w:r>
</w:p>
<w:p>
<w:pPr><w:pStyle w:val="Normal"/></w:pPr>
<w:r><w:t xml:space="preserve">having received an addition of spirit, generally made from</w:t></w:r>
</w:p>
<w:p>
<w:pPr><w:pStyle w:val="Normal"/></w:pPr>
<w:r><w:t xml:space="preserve">potatoes; port and sherry would not be what they are and</w:t></w:r>
</w:p>
<w:p>
<w:pPr><w:pStyle w:val="Normal"/></w:pPr>
<w:r><w:t xml:space="preserve">as they have been for generations unless they were thus</w:t></w:r>
</w:p>
<w:p>
<w:pPr><w:pStyle w:val="Normal"/></w:pPr>
<w:r><w:t xml:space="preserve">fortified.  The practice can now hardly be classed among</w:t></w:r>
</w:p>
<w:p>
<w:pPr><w:pStyle w:val="Normal"/></w:pPr>
<w:r><w:t xml:space="preserve">adulterations.  A well-fermented wine made from the juice</w:t></w:r>
</w:p>
<w:p>
<w:pPr><w:pStyle w:val="Normal"/></w:pPr>
<w:r><w:t xml:space="preserve">of properly matured grapes does not require any added</w:t></w:r>
</w:p>
<w:p>
<w:pPr><w:pStyle w:val="Normal"/></w:pPr>
<w:r><w:t xml:space="preserve">alcohol in order that it should keep; imperfectly made wine</w:t></w:r>
</w:p>
<w:p>
<w:pPr><w:pStyle w:val="Normal"/></w:pPr>
<w:r><w:t xml:space="preserve">is liable to turn sour; the addition of alcohol prevents</w:t></w:r>
</w:p>
<w:p>
<w:pPr><w:pStyle w:val="Normal"/></w:pPr>
<w:r><w:t xml:space="preserve">this.  French wines, both red and white, are hardly subject to</w:t></w:r>
</w:p>
<w:p>
<w:pPr><w:pStyle w:val="Normal"/></w:pPr>
<w:r><w:t xml:space="preserve">adulteration.  In wine-growing countries like France wine is so</w:t></w:r>
</w:p>
<w:p>
<w:pPr><w:pStyle w:val="Normal"/></w:pPr>
<w:r><w:t xml:space="preserve">cheap and plentiful that it would be difficult to manufacture</w:t></w:r>
</w:p>
<w:p>
<w:pPr><w:pStyle w:val="Normal"/></w:pPr>
<w:r><w:t xml:space="preserve">an imitation beverage cheaper than genuine wine.  In Germany</w:t></w:r>
</w:p>
<w:p>
<w:pPr><w:pStyle w:val="Normal"/></w:pPr>
<w:r><w:t xml:space="preserve">the conditions are different, the districts from which those</w:t></w:r>
</w:p>
<w:p>
<w:pPr><w:pStyle w:val="Normal"/></w:pPr>
<w:r><w:t xml:space="preserve">wines that are exported are nominally derived being small and</w:t></w:r>
</w:p>
<w:p>
<w:pPr><w:pStyle w:val="Normal"/></w:pPr>
<w:r><w:t xml:space="preserve">insufficient to cover the world&apos;s demands.  The addition of</w:t></w:r>
</w:p>
<w:p>
<w:pPr><w:pStyle w:val="Normal"/></w:pPr>
<w:r><w:t xml:space="preserve">sugar solution or of starch sugar is allowed within limits</w:t></w:r>
</w:p>
<w:p>
<w:pPr><w:pStyle w:val="Normal"/></w:pPr>
<w:r><w:t xml:space="preserve">by German law, which not even requires that notification to</w:t></w:r>
</w:p>
<w:p>
<w:pPr><w:pStyle w:val="Normal"/></w:pPr>
<w:r><w:t xml:space="preserve">the purchaser be made of the addition, and it is notorious</w:t></w:r>
</w:p>
<w:p>
<w:pPr><w:pStyle w:val="Normal"/></w:pPr>
<w:r><w:t xml:space="preserve">that a very large proportion of the wine sold under the name</w:t></w:r>
</w:p>
<w:p>
<w:pPr><w:pStyle w:val="Normal"/></w:pPr>
<w:r><w:t xml:space="preserve">of ``hock&apos;&apos; and some of that coming from the Moselle are</w:t></w:r>
</w:p>
<w:p>
<w:pPr><w:pStyle w:val="Normal"/></w:pPr>
<w:r><w:t xml:space="preserve">thus diluted, sugared and lengthened, or, in plain terms,</w:t></w:r>
</w:p>
<w:p>
<w:pPr><w:pStyle w:val="Normal"/></w:pPr>
<w:r><w:t xml:space="preserve">adulterated.  Wines from the Palatinate which under their own</w:t></w:r>
</w:p>
<w:p>
<w:pPr><w:pStyle w:val="Normal"/></w:pPr>
<w:r><w:t xml:space="preserve">names would not sell out of Germany are often passed off as</w:t></w:r>
</w:p>
<w:p>
<w:pPr><w:pStyle w:val="Normal"/></w:pPr>
<w:r><w:t xml:space="preserve">hocks.  As there is but little German red wine the law</w:t></w:r>
</w:p>
<w:p>
<w:pPr><w:pStyle w:val="Normal"/></w:pPr>
<w:r><w:t xml:space="preserve">also permits this to be lengthened by the addition of white</w:t></w:r>
</w:p>
<w:p>
<w:pPr><w:pStyle w:val="Normal"/></w:pPr>
<w:r><w:t xml:space="preserve">wine.  For the removal of part of the acid from sour wine</w:t></w:r>
</w:p>
<w:p>
<w:pPr><w:pStyle w:val="Normal"/></w:pPr>
<w:r><w:t xml:space="preserve">produced in bad vintages the addition of precipitated chalk</w:t></w:r>
</w:p>
<w:p>
<w:pPr><w:pStyle w:val="Normal"/></w:pPr>
<w:r><w:t xml:space="preserve">is also permitted.  Attention has been drawn in England to</w:t></w:r>
</w:p>
<w:p>
<w:pPr><w:pStyle w:val="Normal"/></w:pPr>
<w:r><w:t xml:space="preserve">the very serious fact that German wines sometimes contain</w:t></w:r>
</w:p>
<w:p>
<w:pPr><w:pStyle w:val="Normal"/></w:pPr>
<w:r><w:t xml:space="preserve">salts of zinc in small quantities.  These are introduced by</w:t></w:r>
</w:p>
<w:p>
<w:pPr><w:pStyle w:val="Normal"/></w:pPr>
<w:r><w:t xml:space="preserve">a fining agent protected by a German patent, consisting of</w:t></w:r>
</w:p>
<w:p>
<w:pPr><w:pStyle w:val="Normal"/></w:pPr>
<w:r><w:t xml:space="preserve">solutions of sulphate of zinc and potassium ferrocyanide,</w:t></w:r>
</w:p>
<w:p>
<w:pPr><w:pStyle w:val="Normal"/></w:pPr>
<w:r><w:t xml:space="preserve">which, when added together in ``suitable proportions,&apos;&apos;</w:t></w:r>
</w:p>
<w:p>
<w:pPr><w:pStyle w:val="Normal"/></w:pPr>
<w:r><w:t xml:space="preserve">produce a precipitate of zinc-ferrocyanide which carries down</w:t></w:r>
</w:p>
<w:p>
<w:pPr><w:pStyle w:val="Normal"/></w:pPr>
<w:r><w:t xml:space="preserve">all turbidity in the wine and is supposed to leave neither</w:t></w:r>
</w:p>
<w:p>
<w:pPr><w:pStyle w:val="Normal"/></w:pPr>
<w:r><w:t xml:space="preserve">zinc nor ferrocyanide behind in solution.  As a matter of</w:t></w:r>
</w:p>
<w:p>
<w:pPr><w:pStyle w:val="Normal"/></w:pPr>
<w:r><w:t xml:space="preserve">fact, one or other of these highly objectionable substances</w:t></w:r>
</w:p>
<w:p>
<w:pPr><w:pStyle w:val="Normal"/></w:pPr>
<w:r><w:t xml:space="preserve">is almost invariably left behind.  The use of artificial</w:t></w:r>
</w:p>
<w:p>
<w:pPr><w:pStyle w:val="Normal"/></w:pPr>
<w:r><w:t xml:space="preserve">colouring matters in wines does not appear now to occur.</w:t></w:r>
</w:p>
<w:p>
<w:pPr><w:pStyle w:val="Normal"/></w:pPr>
<w:r><w:t xml:space="preserve">Beer cannot be said to be adulterated, although it is well</w:t></w:r>
</w:p>
<w:p>
<w:pPr><w:pStyle w:val="Normal"/></w:pPr>
<w:r><w:t xml:space="preserve">known that materials often very different from these which the</w:t></w:r>
</w:p>
<w:p>
<w:pPr><w:pStyle w:val="Normal"/></w:pPr>
<w:r><w:t xml:space="preserve">general public believe to be the proper raw materials for the</w:t></w:r>
</w:p>
<w:p>
<w:pPr><w:pStyle w:val="Normal"/></w:pPr>
<w:r><w:t xml:space="preserve">manufacture of beer, namely, water, malt and hops, are largely</w:t></w:r>
</w:p>
<w:p>
<w:pPr><w:pStyle w:val="Normal"/></w:pPr>
<w:r><w:t xml:space="preserve">used.  By the Customs and Inland Revenue Act 1885, sec. 4,</w:t></w:r>
</w:p>
<w:p>
<w:pPr><w:pStyle w:val="Normal"/></w:pPr>
<w:r><w:t xml:space="preserve">beer is defined as any liquor ``which is made or sold as a</w:t></w:r>
</w:p>
<w:p>
<w:pPr><w:pStyle w:val="Normal"/></w:pPr>
<w:r><w:t xml:space="preserve">description of beer, or as a substitute for beer, and which</w:t></w:r>
</w:p>
<w:p>
<w:pPr><w:pStyle w:val="Normal"/></w:pPr>
<w:r><w:t xml:space="preserve">on analysis of a sample thereof shall be found to contain more</w:t></w:r>
</w:p>
<w:p>
<w:pPr><w:pStyle w:val="Normal"/></w:pPr>
<w:r><w:t xml:space="preserve">than 2% of proof spirit.&apos;&apos; That is to say, beer is legally</w:t></w:r>
</w:p>
<w:p>
<w:pPr><w:pStyle w:val="Normal"/></w:pPr>
<w:r><w:t xml:space="preserve">anything that is sold as beer provided that it has 2% of proof</w:t></w:r>
</w:p>
<w:p>
<w:pPr><w:pStyle w:val="Normal"/></w:pPr>
<w:r><w:t xml:space="preserve">spirit.  There is not any restriction upon the materials</w:t></w:r>
</w:p>
<w:p>
<w:pPr><w:pStyle w:val="Normal"/></w:pPr>
<w:r><w:t xml:space="preserve">that are employed provided that they are not positively</w:t></w:r>
</w:p>
<w:p>
<w:pPr><w:pStyle w:val="Normal"/></w:pPr>
<w:r><w:t xml:space="preserve">poisonous.  For Inland Revenue purposes, however, a prohibition</w:t></w:r>
</w:p>
<w:p>
<w:pPr><w:pStyle w:val="Normal"/></w:pPr>
<w:r><w:t xml:space="preserve">has been made against the admixture of anything to beer</w:t></w:r>
</w:p>
<w:p>
<w:pPr><w:pStyle w:val="Normal"/></w:pPr>
<w:r><w:t xml:space="preserve">after it has been manufactured, and excise prosecutions of</w:t></w:r>
</w:p>
<w:p>
<w:pPr><w:pStyle w:val="Normal"/></w:pPr>
<w:r><w:t xml:space="preserve">publicans for watering beer are not infrequent.  Formerly</w:t></w:r>
</w:p>
<w:p>
<w:pPr><w:pStyle w:val="Normal"/></w:pPr>
<w:r><w:t xml:space="preserve">there was a restriction on the amount of salt that might be</w:t></w:r>
</w:p>
<w:p>
<w:pPr><w:pStyle w:val="Normal"/></w:pPr>
<w:r><w:t xml:space="preserve">present in beer; this no longer exists.  On the other hand it</w:t></w:r>
</w:p>
<w:p>
<w:pPr><w:pStyle w:val="Normal"/></w:pPr>
<w:r><w:t xml:space="preserve">cannot be said that any injurious materials are being used by</w:t></w:r>
</w:p>
<w:p>
<w:pPr><w:pStyle w:val="Normal"/></w:pPr>
<w:r><w:t xml:space="preserve">brewers, the brewing industry being, broadly speaking, most</w:t></w:r>
</w:p>
<w:p>
<w:pPr><w:pStyle w:val="Normal"/></w:pPr>
<w:r><w:t xml:space="preserve">efficiently supervised and controlled by scientifically trained</w:t></w:r>
</w:p>
<w:p>
<w:pPr><w:pStyle w:val="Normal"/></w:pPr>
<w:r><w:t xml:space="preserve">men.  The addition to beer of bisulphate of lime, which is</w:t></w:r>
</w:p>
<w:p>
<w:pPr><w:pStyle w:val="Normal"/></w:pPr>
<w:r><w:t xml:space="preserve">almost universally practised in England, is not an adulteration</w:t></w:r>
</w:p>
<w:p>
<w:pPr><w:pStyle w:val="Normal"/></w:pPr>
<w:r><w:t xml:space="preserve">in the ordinary acceptation of the term.  The thin beer which</w:t></w:r>
</w:p>
<w:p>
<w:pPr><w:pStyle w:val="Normal"/></w:pPr>
<w:r><w:t xml:space="preserve">has taken the place of the strong ales of the past generation</w:t></w:r>
</w:p>
<w:p>
<w:pPr><w:pStyle w:val="Normal"/></w:pPr>
<w:r><w:t xml:space="preserve">contains an insufficiency of alcohol to ensure keeping qualities,</w:t></w:r>
</w:p>
<w:p>
<w:pPr><w:pStyle w:val="Normal"/></w:pPr>
<w:r><w:t xml:space="preserve">and it is difficult to see how modern English beers could</w:t></w:r>
</w:p>
<w:p>
<w:pPr><w:pStyle w:val="Normal"/></w:pPr>
<w:r><w:t xml:space="preserve">be sold without the addition of some sort of preservative.</w:t></w:r>
</w:p>
<w:p>
<w:pPr><w:pStyle w:val="Normal"/></w:pPr>
<w:r><w:t xml:space="preserve">Non-Alcoholic Drinks.---The same remark applies to a good</w:t></w:r>
</w:p>
<w:p>
<w:pPr><w:pStyle w:val="Normal"/></w:pPr>
<w:r><w:t xml:space="preserve">many of so-called temperance beverages.  Of these again it is</w:t></w:r>
</w:p>
<w:p>
<w:pPr><w:pStyle w:val="Normal"/></w:pPr>
<w:r><w:t xml:space="preserve">hardly proper to speak as liable to adulteration.  So-called</w:t></w:r>
</w:p>
<w:p>
<w:pPr><w:pStyle w:val="Normal"/></w:pPr>
<w:r><w:t xml:space="preserve">sodawater is very often devoid of soda and is only carbonated</w:t></w:r>
</w:p>
<w:p>
<w:pPr><w:pStyle w:val="Normal"/></w:pPr>
<w:r><w:t xml:space="preserve">water, but the term ``soda-water&apos;&apos; is a survival from the times</w:t></w:r>
</w:p>
<w:p>
<w:pPr><w:pStyle w:val="Normal"/></w:pPr>
<w:r><w:t xml:space="preserve">when this was a medicinal beverage and when soda was prescribed</w:t></w:r>
</w:p>
<w:p>
<w:pPr><w:pStyle w:val="Normal"/></w:pPr>
<w:r><w:t xml:space="preserve">to be present in definite amount by the pharmacopoeia.  Potash</w:t></w:r>
</w:p>
<w:p>
<w:pPr><w:pStyle w:val="Normal"/></w:pPr>
<w:r><w:t xml:space="preserve">and especially lithia waters very frequently contain only</w:t></w:r>
</w:p>
<w:p>
<w:pPr><w:pStyle w:val="Normal"/></w:pPr>
<w:r><w:t xml:space="preserve">mere traces of the substances from which they derive their</w:t></w:r>
</w:p>
<w:p>
<w:pPr><w:pStyle w:val="Normal"/></w:pPr>
<w:r><w:t xml:space="preserve">names.  The sweetness of ginger-beer and often of lemonade is no</w:t></w:r>
</w:p>
<w:p>
<w:pPr><w:pStyle w:val="Normal"/></w:pPr>
<w:r><w:t xml:space="preserve">longer due to sugar, as used to be the case, but to saccharine</w:t></w:r>
</w:p>
<w:p>
<w:pPr><w:pStyle w:val="Normal"/></w:pPr>
<w:r><w:t xml:space="preserve">(the toluol derivative), which is possessed of sweetness but</w:t></w:r>
</w:p>
<w:p>
<w:pPr><w:pStyle w:val="Normal"/></w:pPr>
<w:r><w:t xml:space="preserve">not of nourishment; and since, as an antiseptic, it may affect</w:t></w:r>
</w:p>
<w:p>
<w:pPr><w:pStyle w:val="Normal"/></w:pPr>
<w:r><w:t xml:space="preserve">the digestion, its use in these beverages is to be deprecated.</w:t></w:r>
</w:p>
<w:p>
<w:pPr><w:pStyle w:val="Normal"/></w:pPr>
<w:r><w:t xml:space="preserve">Vinegar ought to be the product obtained by the successive</w:t></w:r>
</w:p>
<w:p>
<w:pPr><w:pStyle w:val="Normal"/></w:pPr>
<w:r><w:t xml:space="preserve">alcoholic and acetous fermentation of a sugary liquor.  When</w:t></w:r>
</w:p>
<w:p>
<w:pPr><w:pStyle w:val="Normal"/></w:pPr>
<w:r><w:t xml:space="preserve">this is obtained from malt or from malt admixed with other grain</w:t></w:r>
</w:p>
<w:p>
<w:pPr><w:pStyle w:val="Normal"/></w:pPr>
<w:r><w:t xml:space="preserve">the vinegar is called a malt vinegar.  Often, however, acid</w:t></w:r>
</w:p>
<w:p>
<w:pPr><w:pStyle w:val="Normal"/></w:pPr>
<w:r><w:t xml:space="preserve">liquors pass under that name which have been made by the action</w:t></w:r>
</w:p>
<w:p>
<w:pPr><w:pStyle w:val="Normal"/></w:pPr>
<w:r><w:t xml:space="preserve">of a mineral acid upon any starchy material such as maize or</w:t></w:r>
</w:p>
<w:p>
<w:pPr><w:pStyle w:val="Normal"/></w:pPr>
<w:r><w:t xml:space="preserve">tapioca, with or without the addition of neat sugar.  Dilute</w:t></w:r>
</w:p>
<w:p>
<w:pPr><w:pStyle w:val="Normal"/></w:pPr>
<w:r><w:t xml:space="preserve">acetic acid, obtained from wood, is very frequently used as</w:t></w:r>
</w:p>
<w:p>
<w:pPr><w:pStyle w:val="Normal"/></w:pPr>
<w:r><w:t xml:space="preserve">an adulterant of vinegar.  When properly purified such acid</w:t></w:r>
</w:p>
<w:p>
<w:pPr><w:pStyle w:val="Normal"/></w:pPr>
<w:r><w:t xml:space="preserve">is unobjectionable physiologically, but it is improper to sell</w:t></w:r>
</w:p>
<w:p>
<w:pPr><w:pStyle w:val="Normal"/></w:pPr>
<w:r><w:t xml:space="preserve">it as vinegar.  Adulteration of vinegar by sulphuric or other</w:t></w:r>
</w:p>
<w:p>
<w:pPr><w:pStyle w:val="Normal"/></w:pPr>
<w:r><w:t xml:space="preserve">acids, formerly a common practice, is now exceedingly rare.</w:t></w:r>
</w:p>
<w:p>
<w:pPr><w:pStyle w:val="Normal"/></w:pPr>
<w:r><w:t xml:space="preserve">Spirits.---By the Sale of Food and Drugs Act Amendment Act,</w:t></w:r>
</w:p>
<w:p>
<w:pPr><w:pStyle w:val="Normal"/></w:pPr>
<w:r><w:t xml:space="preserve">whisky, brandy and rum must not be sold of a less alcoholic</w:t></w:r>
</w:p>
<w:p>
<w:pPr><w:pStyle w:val="Normal"/></w:pPr>
<w:r><w:t xml:space="preserve">strength than 25 under proof (corresponding to 43% of alcohol</w:t></w:r>
</w:p>
<w:p>
<w:pPr><w:pStyle w:val="Normal"/></w:pPr>
<w:r><w:t xml:space="preserve">by volume), and gin 35 under proof (37% alcohol).  For many</w:t></w:r>
</w:p>
<w:p>
<w:pPr><w:pStyle w:val="Normal"/></w:pPr>
<w:r><w:t xml:space="preserve">years the only form of adulteration recorded by public analysts</w:t></w:r>
</w:p>
<w:p>
<w:pPr><w:pStyle w:val="Normal"/></w:pPr>
<w:r><w:t xml:space="preserve">related to the alcoholic strength, the undue dilution of</w:t></w:r>
</w:p>
<w:p>
<w:pPr><w:pStyle w:val="Normal"/></w:pPr>
<w:r><w:t xml:space="preserve">spirits with water being, of course, a profitable form of</w:t></w:r>
</w:p>
<w:p>
<w:pPr><w:pStyle w:val="Normal"/></w:pPr>
<w:r><w:t xml:space="preserve">fraud.  No addition of any injurious matters to commercial</w:t></w:r>
</w:p>
<w:p>
<w:pPr><w:pStyle w:val="Normal"/></w:pPr>
<w:r><w:t xml:space="preserve">spirits has been observed.  It was, however, well known that</w:t></w:r>
</w:p>
<w:p>
<w:pPr><w:pStyle w:val="Normal"/></w:pPr>
<w:r><w:t xml:space="preserve">a very considerable proportion of so-called brandies was not</w:t></w:r>
</w:p>
<w:p>
<w:pPr><w:pStyle w:val="Normal"/></w:pPr>
<w:r><w:t xml:space="preserve">the product of the grape, but that spirits of other origin</w:t></w:r>
</w:p>
<w:p>
<w:pPr><w:pStyle w:val="Normal"/></w:pPr>
<w:r><w:t xml:space="preserve">were frequently admixed with grape brandy.  A report which</w:t></w:r>
</w:p>
<w:p>
<w:pPr><w:pStyle w:val="Normal"/></w:pPr>
<w:r><w:t xml:space="preserve">appeared in 1902 in the Lancet on ``Brandy, its production</w:t></w:r>
</w:p>
<w:p>
<w:pPr><w:pStyle w:val="Normal"/></w:pPr>
<w:r><w:t xml:space="preserve">at Cognac and the supply of genuine brandy to this country,&apos;&apos;</w:t></w:r>
</w:p>
<w:p>
<w:pPr><w:pStyle w:val="Normal"/></w:pPr>
<w:r><w:t xml:space="preserve">served as a stimulus to public analysts to analyse commercial</w:t></w:r>
</w:p>
<w:p>
<w:pPr><w:pStyle w:val="Normal"/></w:pPr>
<w:r><w:t xml:space="preserve">brandies, and convictions of retailers for selling so-called</w:t></w:r>
</w:p>
<w:p>
<w:pPr><w:pStyle w:val="Normal"/></w:pPr>
<w:r><w:t xml:space="preserve">brandy followed.  It was shown that genuine brandy made</w:t></w:r>
</w:p>
<w:p>
<w:pPr><w:pStyle w:val="Normal"/></w:pPr>
<w:r><w:t xml:space="preserve">in the orthodox style from wine in pot-stills contained a</w:t></w:r>
</w:p>
<w:p>
<w:pPr><w:pStyle w:val="Normal"/></w:pPr>
<w:r><w:t xml:space="preserve">considerable proportion of substances other than alcohol to</w:t></w:r>
</w:p>
<w:p>
<w:pPr><w:pStyle w:val="Normal"/></w:pPr>
<w:r><w:t xml:space="preserve">which the flavour and character of brandy is due; among these</w:t></w:r>
</w:p>
<w:p>
<w:pPr><w:pStyle w:val="Normal"/></w:pPr>
<w:r><w:t xml:space="preserve">flavouring materials combinations of a variety of organic</w:t></w:r>
</w:p>
<w:p>
<w:pPr><w:pStyle w:val="Normal"/></w:pPr>
<w:r><w:t xml:space="preserve">acids with alcohols (chemically described as ``esters&apos;&apos;)</w:t></w:r>
</w:p>
<w:p>
<w:pPr><w:pStyle w:val="Normal"/></w:pPr>
<w:r><w:t xml:space="preserve">predominate.  For the present a brandy is not considered</w:t></w:r>
</w:p>
<w:p>
<w:pPr><w:pStyle w:val="Normal"/></w:pPr>
<w:r><w:t xml:space="preserve">genuine unless it contains in 100,000 parts (calculated free</w:t></w:r>
</w:p>
<w:p>
<w:pPr><w:pStyle w:val="Normal"/></w:pPr>
<w:r><w:t xml:space="preserve">from water) at least 60 parts of ``esters.&apos;, As a consequence</w:t></w:r>
</w:p>
<w:p>
<w:pPr><w:pStyle w:val="Normal"/></w:pPr>
<w:r><w:t xml:space="preserve">a trade has sprung up in artificially produced esters, sold</w:t></w:r>
</w:p>
<w:p>
<w:pPr><w:pStyle w:val="Normal"/></w:pPr>
<w:r><w:t xml:space="preserve">for the purpose of adding them to any spirit to fraudulently</w:t></w:r>
</w:p>
<w:p>
<w:pPr><w:pStyle w:val="Normal"/></w:pPr>
<w:r><w:t xml:space="preserve">convert it into a liquor passing as ``brandy.&apos;&apos; The inquiries</w:t></w:r>
</w:p>
<w:p>
<w:pPr><w:pStyle w:val="Normal"/></w:pPr>
<w:r><w:t xml:space="preserve">into the nature of brandy led to investigations into</w:t></w:r>
</w:p>
<w:p>
<w:pPr><w:pStyle w:val="Normal"/></w:pPr>
<w:r><w:t xml:space="preserve">whisky.  Formerly whisky was made from grain only and obtained</w:t></w:r>
</w:p>
<w:p>
<w:pPr><w:pStyle w:val="Normal"/></w:pPr>
<w:r><w:t xml:space="preserve">by pot-still distillation, that form of ``still&apos;&apos; yielding</w:t></w:r>
</w:p>
<w:p>
<w:pPr><w:pStyle w:val="Normal"/></w:pPr>
<w:r><w:t xml:space="preserve">a product containing a comparatively large proportion of</w:t></w:r>
</w:p>
<w:p>
<w:pPr><w:pStyle w:val="Normal"/></w:pPr>
<w:r><w:t xml:space="preserve">volatile matters other than alcohol.  For many years past,</w:t></w:r>
</w:p>
<w:p>
<w:pPr><w:pStyle w:val="Normal"/></w:pPr>
<w:r><w:t xml:space="preserve">however, improved stills--so-called patent stills--have been</w:t></w:r>
</w:p>
<w:p>
<w:pPr><w:pStyle w:val="Normal"/></w:pPr>
<w:r><w:t xml:space="preserve">adopted, enabling manufacturers to obtain a purer and far</w:t></w:r>
</w:p>
<w:p>
<w:pPr><w:pStyle w:val="Normal"/></w:pPr>
<w:r><w:t xml:space="preserve">stronger product, saving carriage and storage.  Attempts were</w:t></w:r>
</w:p>
<w:p>
<w:pPr><w:pStyle w:val="Normal"/></w:pPr>
<w:r><w:t xml:space="preserve">made in England in 1905-1907 to restrict the term ``whisky&apos;&apos;</w:t></w:r>
</w:p>
<w:p>
<w:pPr><w:pStyle w:val="Normal"/></w:pPr>
<w:r><w:t xml:space="preserve">solely to the pot-still product.  But the question was referred</w:t></w:r>
</w:p>
<w:p>
<w:pPr><w:pStyle w:val="Normal"/></w:pPr>
<w:r><w:t xml:space="preserve">in 1908 to a Royal Commission which reported against such a</w:t></w:r>
</w:p>
<w:p>
<w:pPr><w:pStyle w:val="Normal"/></w:pPr>
<w:r><w:t xml:space="preserve">restriction.  A common form of adulteration of whisky is the</w:t></w:r>
</w:p>
<w:p>
<w:pPr><w:pStyle w:val="Normal"/></w:pPr>
<w:r><w:t xml:space="preserve">addition to it of spirit made on the Continent mainly from</w:t></w:r>
</w:p>
<w:p>
<w:pPr><w:pStyle w:val="Normal"/></w:pPr>
<w:r><w:t xml:space="preserve">potatoes.  This spirit is almost pure alcohol and is quite devoid</w:t></w:r>
</w:p>
<w:p>
<w:pPr><w:pStyle w:val="Normal"/></w:pPr>
<w:r><w:t xml:space="preserve">of the injurious properties which are popularly but falsely</w:t></w:r>
</w:p>
<w:p>
<w:pPr><w:pStyle w:val="Normal"/></w:pPr>
<w:r><w:t xml:space="preserve">attributed to it.  The substitution of this--a very cheap and</w:t></w:r>
</w:p>
<w:p>
<w:pPr><w:pStyle w:val="Normal"/></w:pPr>
<w:r><w:t xml:space="preserve">quite flavourless material---for one which owes its value more to</w:t></w:r>
</w:p>
<w:p>
<w:pPr><w:pStyle w:val="Normal"/></w:pPr>
<w:r><w:t xml:space="preserve">its flavour than to its alcoholic contents, is clearly fraudulent.</w:t></w:r>
</w:p>
<w:p>
<w:pPr><w:pStyle w:val="Normal"/></w:pPr>
<w:r><w:t xml:space="preserve">Drugs.---To the adulteration of drugs but very brief reference</w:t></w:r>
</w:p>
<w:p>
<w:pPr><w:pStyle w:val="Normal"/></w:pPr>
<w:r><w:t xml:space="preserve">can here be made.  It is satisfactory to record that but very</w:t></w:r>
</w:p>
<w:p>
<w:pPr><w:pStyle w:val="Normal"/></w:pPr>
<w:r><w:t xml:space="preserve">few of the great number of drugs included in the pharmacopoeias</w:t></w:r>
</w:p>
<w:p>
<w:pPr><w:pStyle w:val="Normal"/></w:pPr>
<w:r><w:t xml:space="preserve">are liable to serious adulteration, and there are very few</w:t></w:r>
</w:p>
<w:p>
<w:pPr><w:pStyle w:val="Normal"/></w:pPr>
<w:r><w:t xml:space="preserve">cases on record during recent years where real fraudulent</w:t></w:r>
</w:p>
<w:p>
<w:pPr><w:pStyle w:val="Normal"/></w:pPr>
<w:r><w:t xml:space="preserve">adulteration was involved.  The numerous preparations used</w:t></w:r>
</w:p>
<w:p>
<w:pPr><w:pStyle w:val="Normal"/></w:pPr>
<w:r><w:t xml:space="preserve">by druggists are mostly prepared in factories under competent</w:t></w:r>
</w:p>
<w:p>
<w:pPr><w:pStyle w:val="Normal"/></w:pPr>
<w:r><w:t xml:space="preserve">and careful supervision, and the standards laid down in the</w:t></w:r>
</w:p>
<w:p>
<w:pPr><w:pStyle w:val="Normal"/></w:pPr>
<w:r><w:t xml:space="preserve">British Pharmacopoeia are, broadly speaking, carefully adhered</w:t></w:r>
</w:p>
<w:p>
<w:pPr><w:pStyle w:val="Normal"/></w:pPr>
<w:r><w:t xml:space="preserve">to.  The occurrence of unlooked-for impurities, such as that</w:t></w:r>
</w:p>
<w:p>
<w:pPr><w:pStyle w:val="Normal"/></w:pPr>
<w:r><w:t xml:space="preserve">of arsenic in sodium-phosphate or in various iron preparations,</w:t></w:r>
</w:p>
<w:p>
<w:pPr><w:pStyle w:val="Normal"/></w:pPr>
<w:r><w:t xml:space="preserve">can hardly be included in the list of adulterations.  In the</w:t></w:r>
</w:p>
<w:p>
<w:pPr><w:pStyle w:val="Normal"/></w:pPr>
<w:r><w:t xml:space="preserve">making up of prescriptions, however, a good deal of laxity</w:t></w:r>
</w:p>
<w:p>
<w:pPr><w:pStyle w:val="Normal"/></w:pPr>
<w:r><w:t xml:space="preserve">is displayed; thus, the Local Government Board report of the</w:t></w:r>
</w:p>
<w:p>
<w:pPr><w:pStyle w:val="Normal"/></w:pPr>
<w:r><w:t xml:space="preserve">years 1904-1905 refers to an instance of a quinine mixture</w:t></w:r>
</w:p>
<w:p>
<w:pPr><w:pStyle w:val="Normal"/></w:pPr>
<w:r><w:t xml:space="preserve">containing 23 grains of quinine-sulphate instead of 240</w:t></w:r>
</w:p>
<w:p>
<w:pPr><w:pStyle w:val="Normal"/></w:pPr>
<w:r><w:t xml:space="preserve">grains.  A certain latitude in the making up of physicians&apos;</w:t></w:r>
</w:p>
<w:p>
<w:pPr><w:pStyle w:val="Normal"/></w:pPr>
<w:r><w:t xml:space="preserve">prescriptions must necessarily be allowed, but much too frequently</w:t></w:r>
</w:p>
<w:p>
<w:pPr><w:pStyle w:val="Normal"/></w:pPr>
<w:r><w:t xml:space="preserve">the reasonable limit of a 10% error over or under the amount</w:t></w:r>
</w:p>
<w:p>
<w:pPr><w:pStyle w:val="Normal"/></w:pPr>
<w:r><w:t xml:space="preserve">of drug prescribed is exceeded.  Certain perishable drugs,</w:t></w:r>
</w:p>
<w:p>
<w:pPr><w:pStyle w:val="Normal"/></w:pPr>
<w:r><w:t xml:space="preserve">such as sweet spirits of nitre, or others liable to contain</w:t></w:r>
</w:p>
<w:p>
<w:pPr><w:pStyle w:val="Normal"/></w:pPr>
<w:r><w:t xml:space="preserve">from their mode of manufacture metallic impurities, form the</w:t></w:r>
</w:p>
<w:p>
<w:pPr><w:pStyle w:val="Normal"/></w:pPr>
<w:r><w:t xml:space="preserve">subjects of frequent prosecutions.  The element of intentional</w:t></w:r>
</w:p>
<w:p>
<w:pPr><w:pStyle w:val="Normal"/></w:pPr>
<w:r><w:t xml:space="preserve">fraud which characterizes many forms of food adulteration</w:t></w:r>
</w:p>
<w:p>
<w:pPr><w:pStyle w:val="Normal"/></w:pPr>
<w:r><w:t xml:space="preserve">is happily generally absent in the case of drugs. (O. H.*)</w:t></w:r>
</w:p>
<w:p>
<w:pPr><w:pStyle w:val="Normal"/></w:pPr>
<w:r><w:t xml:space="preserve">ADULTERY (from Lat. adultorium), the sexual intercourse of</w:t></w:r>
</w:p>
<w:p>
<w:pPr><w:pStyle w:val="Normal"/></w:pPr>
<w:r><w:t xml:space="preserve">a married person with another than the offender&apos;s husband or</w:t></w:r>
</w:p>
<w:p>
<w:pPr><w:pStyle w:val="Normal"/></w:pPr>
<w:r><w:t xml:space="preserve">wife.  Among the Greeks, and in the earlier period of Roman</w:t></w:r>
</w:p>
<w:p>
<w:pPr><w:pStyle w:val="Normal"/></w:pPr>
<w:r><w:t xml:space="preserve">law, it was not adultery unless a married woman was the</w:t></w:r>
</w:p>
<w:p>
<w:pPr><w:pStyle w:val="Normal"/></w:pPr>
<w:r><w:t xml:space="preserve">offender.  The foundation of the later Roman law with regard</w:t></w:r>
</w:p>
<w:p>
<w:pPr><w:pStyle w:val="Normal"/></w:pPr>
<w:r><w:t xml:space="preserve">to adultery was the lex Julia de adulteriis coercendis</w:t></w:r>
</w:p>
<w:p>
<w:pPr><w:pStyle w:val="Normal"/></w:pPr>
<w:r><w:t xml:space="preserve">passed by Augustus about 17 B.C. (See Dig. 48. 5; Paul.</w:t></w:r>
</w:p>
<w:p>
<w:pPr><w:pStyle w:val="Normal"/></w:pPr>
<w:r><w:t xml:space="preserve">Rec. Sent. ii. 26; Brisson, dit Leg. Jul. de Adult.)</w:t></w:r>
</w:p>
<w:p>
<w:pPr><w:pStyle w:val="Normal"/></w:pPr>
<w:r><w:t xml:space="preserve">In Great Britain it was reckoned a spiritual offence, that</w:t></w:r>
</w:p>
<w:p>
<w:pPr><w:pStyle w:val="Normal"/></w:pPr>
<w:r><w:t xml:space="preserve">is, cognizable by the spiritual courts only.  The common</w:t></w:r>
</w:p>
<w:p>
<w:pPr><w:pStyle w:val="Normal"/></w:pPr>
<w:r><w:t xml:space="preserve">law took no further notice of it than to allow the party</w:t></w:r>
</w:p>
<w:p>
<w:pPr><w:pStyle w:val="Normal"/></w:pPr>
<w:r><w:t xml:space="preserve">aggrieved an action of damages.  In England, however, the</w:t></w:r>
</w:p>
<w:p>
<w:pPr><w:pStyle w:val="Normal"/></w:pPr>
<w:r><w:t xml:space="preserve">action for ``criminal conversation,&apos;&apos; as it was called, was</w:t></w:r>
</w:p>
<w:p>
<w:pPr><w:pStyle w:val="Normal"/></w:pPr>
<w:r><w:t xml:space="preserve">nominally abolished by the Matrimonial Causes Act 1857; but</w:t></w:r>
</w:p>
<w:p>
<w:pPr><w:pStyle w:val="Normal"/></w:pPr>
<w:r><w:t xml:space="preserve">by the 33rd section of the same act, the husband may claim</w:t></w:r>
</w:p>
<w:p>
<w:pPr><w:pStyle w:val="Normal"/></w:pPr>
<w:r><w:t xml:space="preserve">damages from one who has committed adultery with his wife in</w:t></w:r>
</w:p>
<w:p>
<w:pPr><w:pStyle w:val="Normal"/></w:pPr>
<w:r><w:t xml:space="preserve">a petition for dissolution of the marriage, or for judicial</w:t></w:r>
</w:p>
<w:p>
<w:pPr><w:pStyle w:val="Normal"/></w:pPr>
<w:r><w:t xml:space="preserve">separation.  In Ireland the action for criminal conversation is</w:t></w:r>
</w:p>
<w:p>
<w:pPr><w:pStyle w:val="Normal"/></w:pPr>
<w:r><w:t xml:space="preserve">still retained.  In Scotland damages may be recovered against</w:t></w:r>
</w:p>
<w:p>
<w:pPr><w:pStyle w:val="Normal"/></w:pPr>
<w:r><w:t xml:space="preserve">an adulterer in an ordinary action of damages in the civil</w:t></w:r>
</w:p>
<w:p>
<w:pPr><w:pStyle w:val="Normal"/></w:pPr>
<w:r><w:t xml:space="preserve">court, and the latter may be found liable for the expenses</w:t></w:r>
</w:p>
<w:p>
<w:pPr><w:pStyle w:val="Normal"/></w:pPr>
<w:r><w:t xml:space="preserve">of an action of divorce if joined with the guilty spouse as a</w:t></w:r>
</w:p>
<w:p>
<w:pPr><w:pStyle w:val="Normal"/></w:pPr>
<w:r><w:t xml:space="preserve">co-defender.  Adultery on the part of the wife is, by the</w:t></w:r>
</w:p>
<w:p>
<w:pPr><w:pStyle w:val="Normal"/></w:pPr>
<w:r><w:t xml:space="preserve">law of England, a ground for divorce, but on the part of the</w:t></w:r>
</w:p>
<w:p>
<w:pPr><w:pStyle w:val="Normal"/></w:pPr>
<w:r><w:t xml:space="preserve">husband must be either incestuous or bigamous, or coupled with</w:t></w:r>
</w:p>
<w:p>
<w:pPr><w:pStyle w:val="Normal"/></w:pPr>
<w:r><w:t xml:space="preserve">cruelty or desertion for two or more years.  In the United</w:t></w:r>
</w:p>
<w:p>
<w:pPr><w:pStyle w:val="Normal"/></w:pPr>
<w:r><w:t xml:space="preserve">States adultery is everywhere ground of divorce, and there</w:t></w:r>
</w:p>
<w:p>
<w:pPr><w:pStyle w:val="Normal"/></w:pPr>
<w:r><w:t xml:space="preserve">is commonly no prohibition against marrying the paramour or</w:t></w:r>
</w:p>
<w:p>
<w:pPr><w:pStyle w:val="Normal"/></w:pPr>
<w:r><w:t xml:space="preserve">other re-marriage by the guilty party.  Even if there be such a</w:t></w:r>
</w:p>
<w:p>
<w:pPr><w:pStyle w:val="Normal"/></w:pPr>
<w:r><w:t xml:space="preserve">prohibition, it would be unavailing out of the state.in which</w:t></w:r>
</w:p>
<w:p>
<w:pPr><w:pStyle w:val="Normal"/></w:pPr>
<w:r><w:t xml:space="preserve">the divorce was granted; marriage being a contract which, if</w:t></w:r>
</w:p>
<w:p>
<w:pPr><w:pStyle w:val="Normal"/></w:pPr>
<w:r><w:t xml:space="preserve">valid where executed, is generally treated as valid everywhere.</w:t></w:r>
</w:p>
<w:p>
<w:pPr><w:pStyle w:val="Normal"/></w:pPr>
<w:r><w:t xml:space="preserve">Adultery gives a cause of action for damages to the wronged</w:t></w:r>
</w:p>
<w:p>
<w:pPr><w:pStyle w:val="Normal"/></w:pPr>
<w:r><w:t xml:space="preserve">husband.  It is in some states a criminal offence on the</w:t></w:r>
</w:p>
<w:p>
<w:pPr><w:pStyle w:val="Heading1"/></w:pPr>
<w:r><w:t>part of each party to the act, for which imprisonment in the</w:t></w:r>
</w:p>
<w:p>
<w:pPr><w:pStyle w:val="Normal"/></w:pPr>
<w:r><w:t xml:space="preserve">penitentiary or state prison for a term of years may be awarded.</w:t></w:r>
</w:p>
<w:p>
<w:pPr><w:pStyle w:val="Normal"/></w:pPr>
<w:r><w:t xml:space="preserve">In England, a complete divorce or dissolution of the</w:t></w:r>
</w:p>
<w:p>
<w:pPr><w:pStyle w:val="Normal"/></w:pPr>
<w:r><w:t xml:space="preserve">marriage could, until the creation of the Court of Probate</w:t></w:r>
</w:p>
<w:p>
<w:pPr><w:pStyle w:val="Normal"/></w:pPr>
<w:r><w:t xml:space="preserve">and Divorce, be obtained only by an act of parliament.</w:t></w:r>
</w:p>
<w:p>
<w:pPr><w:pStyle w:val="Normal"/></w:pPr>
<w:r><w:t xml:space="preserve">This procedure is still pursued in the case of Irish</w:t></w:r>
</w:p>
<w:p>
<w:pPr><w:pStyle w:val="Normal"/></w:pPr>
<w:r><w:t xml:space="preserve">divorces.  In Scotland a complete divorce may be effected by</w:t></w:r>
</w:p>
<w:p>
<w:pPr><w:pStyle w:val="Normal"/></w:pPr>
<w:r><w:t xml:space="preserve">proceedings in the Court of Session, as succeeding to the old</w:t></w:r>
</w:p>
<w:p>
<w:pPr><w:pStyle w:val="Normal"/></w:pPr>
<w:r><w:t xml:space="preserve">ecclesiastical jurisdiction of the commissioners.  A person</w:t></w:r>
</w:p>
<w:p>
<w:pPr><w:pStyle w:val="Normal"/></w:pPr>
<w:r><w:t xml:space="preserve">divorced for adultery is, by the law of Scotland, prohibited</w:t></w:r>
</w:p>
<w:p>
<w:pPr><w:pStyle w:val="Normal"/></w:pPr>
<w:r><w:t xml:space="preserve">from intermarrying with the paramour.  In France, Germany,</w:t></w:r>
</w:p>
<w:p>
<w:pPr><w:pStyle w:val="Normal"/></w:pPr>
<w:r><w:t xml:space="preserve">Austria and other countries in Europe, as well as in some</w:t></w:r>
</w:p>
<w:p>
<w:pPr><w:pStyle w:val="Normal"/></w:pPr>
<w:r><w:t xml:space="preserve">of the states of the United States, adultery is a criminal</w:t></w:r>
</w:p>
<w:p>
<w:pPr><w:pStyle w:val="Normal"/></w:pPr>
<w:r><w:t xml:space="preserve">offence, punishable by imprisonment or fine. (See DIVORCE.)</w:t></w:r>
</w:p>
<w:p>
<w:pPr><w:pStyle w:val="Normal"/></w:pPr>
<w:r><w:t xml:space="preserve">AD VALOREM (Lat. for ``according to value&apos;&apos;), the term</w:t></w:r>
</w:p>
<w:p>
<w:pPr><w:pStyle w:val="Normal"/></w:pPr>
<w:r><w:t xml:space="preserve">given in commerce to a duty which is levied by customs</w:t></w:r>
</w:p>
<w:p>
<w:pPr><w:pStyle w:val="Normal"/></w:pPr>
<w:r><w:t xml:space="preserve">authorities on goods or commodities in proportion to their</w:t></w:r>
</w:p>
<w:p>
<w:pPr><w:pStyle w:val="Normal"/></w:pPr>
<w:r><w:t xml:space="preserve">value.  An ad valorem duty is the opposite of a specific</w:t></w:r>
</w:p>
<w:p>
<w:pPr><w:pStyle w:val="Normal"/></w:pPr>
<w:r><w:t xml:space="preserve">duty, which is chargeable on the measure or weight of</w:t></w:r>
</w:p>
<w:p>
<w:pPr><w:pStyle w:val="Normal"/></w:pPr>
<w:r><w:t xml:space="preserve">goods.  The United States is the one important country which</w:t></w:r>
</w:p>
<w:p>
<w:pPr><w:pStyle w:val="Normal"/></w:pPr>
<w:r><w:t xml:space="preserve">has adopted in its tariff an extensive system of ad valorem</w:t></w:r>
</w:p>
<w:p>
<w:pPr><w:pStyle w:val="Normal"/></w:pPr>
<w:r><w:t xml:space="preserve">duties, though it has not altogether disregarded specific</w:t></w:r>
</w:p>
<w:p>
<w:pPr><w:pStyle w:val="Normal"/></w:pPr>
<w:r><w:t xml:space="preserve">duties; in some cases, indeed, the two are combined.  Ad</w:t></w:r>
</w:p>
<w:p>
<w:pPr><w:pStyle w:val="Normal"/></w:pPr>
<w:r><w:t xml:space="preserve">valorem duties, in the United States, are levied according</w:t></w:r>
</w:p>
<w:p>
<w:pPr><w:pStyle w:val="Normal"/></w:pPr>
<w:r><w:t xml:space="preserve">to the saleable value of the goods in the country of their</w:t></w:r>
</w:p>
<w:p>
<w:pPr><w:pStyle w:val="Normal"/></w:pPr>
<w:r><w:t xml:space="preserve">origin, and it is usual to require at the port of entry the</w:t></w:r>
</w:p>
<w:p>
<w:pPr><w:pStyle w:val="Normal"/></w:pPr>
<w:r><w:t xml:space="preserve">production of an invoice with full particulars as to the</w:t></w:r>
</w:p>
<w:p>
<w:pPr><w:pStyle w:val="Normal"/></w:pPr>
<w:r><w:t xml:space="preserve">place where, time when, and person from whom the goods were</w:t></w:r>
</w:p>
<w:p>
<w:pPr><w:pStyle w:val="Normal"/></w:pPr>
<w:r><w:t xml:space="preserve">purchased, and the actual cost of the goods and the charges on</w:t></w:r>
</w:p>
<w:p>
<w:pPr><w:pStyle w:val="Normal"/></w:pPr>
<w:r><w:t xml:space="preserve">them.  Such an invoice is countersigned by the consul of</w:t></w:r>
</w:p>
<w:p>
<w:pPr><w:pStyle w:val="Normal"/></w:pPr>
<w:r><w:t xml:space="preserve">the country for which the goods are intended.  On arrival</w:t></w:r>
</w:p>
<w:p>
<w:pPr><w:pStyle w:val="Normal"/></w:pPr>
<w:r><w:t xml:space="preserve">at the port of consignment the invoice is sworn to by the</w:t></w:r>
</w:p>
<w:p>
<w:pPr><w:pStyle w:val="Normal"/></w:pPr>
<w:r><w:t xml:space="preserve">importer.  The goods are then valued by an appraiser, and</w:t></w:r>
</w:p>
<w:p>
<w:pPr><w:pStyle w:val="Normal"/></w:pPr>
<w:r><w:t xml:space="preserve">if the valuation of the appraiser exceeds that which appears</w:t></w:r>
</w:p>
<w:p>
<w:pPr><w:pStyle w:val="Normal"/></w:pPr>
<w:r><w:t xml:space="preserve">on the invoice, double duty is levied, subject to appeal</w:t></w:r>
</w:p>
<w:p>
<w:pPr><w:pStyle w:val="Normal"/></w:pPr>
<w:r><w:t xml:space="preserve">to a general appraiser and to boards of general appraisers.</w:t></w:r>
</w:p>
<w:p>
<w:pPr><w:pStyle w:val="Normal"/></w:pPr>
<w:r><w:t xml:space="preserve">It has been argued that, theoretically, an ad valorem duty is</w:t></w:r>
</w:p>
<w:p>
<w:pPr><w:pStyle w:val="Normal"/></w:pPr>
<w:r><w:t xml:space="preserve">preferable to a specific duty, inasmuch as it falls in proper</w:t></w:r>
</w:p>
<w:p>
<w:pPr><w:pStyle w:val="Normal"/></w:pPr>
<w:r><w:t xml:space="preserve">proportion alike on the high-priced and low-priced grades of a</w:t></w:r>
</w:p>
<w:p>
<w:pPr><w:pStyle w:val="Normal"/></w:pPr>
<w:r><w:t xml:space="preserve">commodity, and, no matter how the value of any article fluctuates,</w:t></w:r>
</w:p>
<w:p>
<w:pPr><w:pStyle w:val="Normal"/></w:pPr>
<w:r><w:t xml:space="preserve">the rate of taxation automatically adjusts itself to the new</w:t></w:r>
</w:p>
<w:p>
<w:pPr><w:pStyle w:val="Normal"/></w:pPr>
<w:r><w:t xml:space="preserve">value.  In practice, however, ad valorem duties lead to great</w:t></w:r>
</w:p>
<w:p>
<w:pPr><w:pStyle w:val="Normal"/></w:pPr>
<w:r><w:t xml:space="preserve">inequalities, and are very difficult to levy; while the relative</w:t></w:r>
</w:p>
<w:p>
<w:pPr><w:pStyle w:val="Normal"/></w:pPr>
<w:r><w:t xml:space="preserve">value of two commodities may remain apparently unchanged under</w:t></w:r>
</w:p>
<w:p>
<w:pPr><w:pStyle w:val="Normal"/></w:pPr>
<w:r><w:t xml:space="preserve">an ad valorem duty, yet owing to the difference in the cost of</w:t></w:r>
</w:p>
<w:p>
<w:pPr><w:pStyle w:val="Normal"/></w:pPr>
<w:r><w:t xml:space="preserve">production, or through the different proportions of fixed and</w:t></w:r>
</w:p>
<w:p>
<w:pPr><w:pStyle w:val="Normal"/></w:pPr>
<w:r><w:t xml:space="preserve">circulating capital employed in their manufacture, an ad valorem</w:t></w:r>
</w:p>
<w:p>
<w:pPr><w:pStyle w:val="Normal"/></w:pPr>
<w:r><w:t xml:space="preserve">tax will be felt much more severely by one commodity than by</w:t></w:r>
</w:p>
<w:p>
<w:pPr><w:pStyle w:val="Normal"/></w:pPr>
<w:r><w:t xml:space="preserve">another.  Again, there is always a difficulty in obtaining a</w:t></w:r>
</w:p>
<w:p>
<w:pPr><w:pStyle w:val="Normal"/></w:pPr>
<w:r><w:t xml:space="preserve">true valuation on the exported goods, for values from their</w:t></w:r>
</w:p>
<w:p>
<w:pPr><w:pStyle w:val="Normal"/></w:pPr>
<w:r><w:t xml:space="preserve">very nature are variable; while specific duties remain steady,</w:t></w:r>
</w:p>
<w:p>
<w:pPr><w:pStyle w:val="Normal"/></w:pPr>
<w:r><w:t xml:space="preserve">and the buyer can always ascertain exactly what he will have to</w:t></w:r>
</w:p>
<w:p>
<w:pPr><w:pStyle w:val="Normal"/></w:pPr>
<w:r><w:t xml:space="preserve">pay.  The opening to fraud is also very great, for where, as</w:t></w:r>
</w:p>
<w:p>
<w:pPr><w:pStyle w:val="Normal"/></w:pPr>
<w:r><w:t xml:space="preserve">in the United States, the object of the duty is to keep out</w:t></w:r>
</w:p>
<w:p>
<w:pPr><w:pStyle w:val="Normal"/></w:pPr>
<w:r><w:t xml:space="preserve">foreign goods, every valuation at the port of shipment will be</w:t></w:r>
</w:p>
<w:p>
<w:pPr><w:pStyle w:val="Normal"/></w:pPr>
<w:r><w:t xml:space="preserve">looked upon with the utmost suspicion, while it will always be</w:t></w:r>
</w:p>
<w:p>
<w:pPr><w:pStyle w:val="Normal"/></w:pPr>
<w:r><w:t xml:space="preserve">a temptation to the foreign seller to undervalue, a temptation</w:t></w:r>
</w:p>
<w:p>
<w:pPr><w:pStyle w:val="Normal"/></w:pPr>
<w:r><w:t xml:space="preserve">in many cases encouraged by the importer, for it lessens his</w:t></w:r>
</w:p>
<w:p>
<w:pPr><w:pStyle w:val="Normal"/></w:pPr>
<w:r><w:t xml:space="preserve">tax, while the seller&apos;s market is increased.  The staff of</w:t></w:r>
</w:p>
<w:p>
<w:pPr><w:pStyle w:val="Normal"/></w:pPr>
<w:r><w:t xml:space="preserve">appraisers which must necessarily be kept at each port of entry</w:t></w:r>
</w:p>
<w:p>
<w:pPr><w:pStyle w:val="Normal"/></w:pPr>
<w:r><w:t xml:space="preserve">considerably raises the expense, to say nothing of the annoyance</w:t></w:r>
</w:p>
<w:p>
<w:pPr><w:pStyle w:val="Normal"/></w:pPr>
<w:r><w:t xml:space="preserve">and delay caused both to importers and foreign shippers.</w:t></w:r>
</w:p>
<w:p>
<w:pPr><w:pStyle w:val="Normal"/></w:pPr>
<w:r><w:t xml:space="preserve">The term ``ad valorem&apos;&apos; is used also of stamp duties.  By the</w:t></w:r>
</w:p>
<w:p>
<w:pPr><w:pStyle w:val="Normal"/></w:pPr>
<w:r><w:t xml:space="preserve">Stamp Act 1891 certain classes of instruments, e.g. awards,</w:t></w:r>
</w:p>
<w:p>
<w:pPr><w:pStyle w:val="Normal"/></w:pPr>
<w:r><w:t xml:space="preserve">bills of exchange, conveyances or transfers, leases, &amp;c., must</w:t></w:r>
</w:p>
<w:p>
<w:pPr><w:pStyle w:val="Normal"/></w:pPr>
<w:r><w:t xml:space="preserve">be stamped in England with the proper ad valorem duty, that is,</w:t></w:r>
</w:p>
<w:p>
<w:pPr><w:pStyle w:val="Normal"/></w:pPr>
<w:r><w:t xml:space="preserve">the duty chargeable according to the value of the subject matter</w:t></w:r>
</w:p>
<w:p>
<w:pPr><w:pStyle w:val="Normal"/></w:pPr>
<w:r><w:t xml:space="preserve">of the particular instruments or writings. (See STAMP DUTIES.)</w:t></w:r>
</w:p>
<w:p>
<w:pPr><w:pStyle w:val="Normal"/></w:pPr>
<w:r><w:t xml:space="preserve">ADVANCEMENT, a term technically used in English law for a</w:t></w:r>
</w:p>
<w:p>
<w:pPr><w:pStyle w:val="Normal"/></w:pPr>
<w:r><w:t xml:space="preserve">sum of money or other benefit, given by a father during his</w:t></w:r>
</w:p>
<w:p>
<w:pPr><w:pStyle w:val="Normal"/></w:pPr>
<w:r><w:t xml:space="preserve">lifetime to his child, which must be brought into account by</w:t></w:r>
</w:p>
<w:p>
<w:pPr><w:pStyle w:val="Normal"/></w:pPr>
<w:r><w:t xml:space="preserve">the child on a distribution of the father&apos;s estate upon an</w:t></w:r>
</w:p>
<w:p>
<w:pPr><w:pStyle w:val="Normal"/></w:pPr>
<w:r><w:t xml:space="preserve">intestacy on pain of his being excluded from participating</w:t></w:r>
</w:p>
<w:p>
<w:pPr><w:pStyle w:val="Normal"/></w:pPr>
<w:r><w:t xml:space="preserve">in such distribution.  The principle is of ancient origin;</w:t></w:r>
</w:p>
<w:p>
<w:pPr><w:pStyle w:val="Normal"/></w:pPr>
<w:r><w:t xml:space="preserve">as regards goods and chattels it was part of the ancient</w:t></w:r>
</w:p>
<w:p>
<w:pPr><w:pStyle w:val="Normal"/></w:pPr>
<w:r><w:t xml:space="preserve">customs of London and the province of York, and as regards</w:t></w:r>
</w:p>
<w:p>
<w:pPr><w:pStyle w:val="Normal"/></w:pPr>
<w:r><w:t xml:space="preserve">land descending in coparcenary it has always been part</w:t></w:r>
</w:p>
<w:p>
<w:pPr><w:pStyle w:val="Normal"/></w:pPr>
<w:r><w:t xml:space="preserve">of the common law of England under the name of hotch-pot</w:t></w:r>
</w:p>
<w:p>
<w:pPr><w:pStyle w:val="Normal"/></w:pPr>
<w:r><w:t xml:space="preserve">(q.v.). The general rule was established by the Statutes of</w:t></w:r>
</w:p>
<w:p>
<w:pPr><w:pStyle w:val="Normal"/></w:pPr>
<w:r><w:t xml:space="preserve">Distribution.  The conditions under which cases of advancement</w:t></w:r>
</w:p>
<w:p>
<w:pPr><w:pStyle w:val="Normal"/></w:pPr>
<w:r><w:t xml:space="preserve">arise are as follows: There must be a complete intestacy;</w:t></w:r>
</w:p>
<w:p>
<w:pPr><w:pStyle w:val="Normal"/></w:pPr>
<w:r><w:t xml:space="preserve">the intestate estate must be that of the father; and the</w:t></w:r>
</w:p>
<w:p>
<w:pPr><w:pStyle w:val="Normal"/></w:pPr>
<w:r><w:t xml:space="preserve">advancement must have been made in the lifetime of the</w:t></w:r>
</w:p>
<w:p>
<w:pPr><w:pStyle w:val="Normal"/></w:pPr>
<w:r><w:t xml:space="preserve">father.  Land which belongs or would belong to a child as</w:t></w:r>
</w:p>
<w:p>
<w:pPr><w:pStyle w:val="Normal"/></w:pPr>
<w:r><w:t xml:space="preserve">heir at law or customary heir need not be brought in to</w:t></w:r>
</w:p>
<w:p>
<w:pPr><w:pStyle w:val="Normal"/></w:pPr>
<w:r><w:t xml:space="preserve">the common fund, even though such land was given during the</w:t></w:r>
</w:p>
<w:p>
<w:pPr><w:pStyle w:val="Normal"/></w:pPr>
<w:r><w:t xml:space="preserve">father&apos;s life.  The widow can gain no advantage from any</w:t></w:r>
</w:p>
<w:p>
<w:pPr><w:pStyle w:val="Normal"/></w:pPr>
<w:r><w:t xml:space="preserve">advancement.  No child can be forced to account for his or</w:t></w:r>
</w:p>
<w:p>
<w:pPr><w:pStyle w:val="Normal"/></w:pPr>
<w:r><w:t xml:space="preserve">her advancement, but in default thereof he will be excluded</w:t></w:r>
</w:p>
<w:p>
<w:pPr><w:pStyle w:val="Normal"/></w:pPr>
<w:r><w:t xml:space="preserve">from a share in the intestate&apos;s estate.  As to what is an</w:t></w:r>
</w:p>
<w:p>
<w:pPr><w:pStyle w:val="Normal"/></w:pPr>
<w:r><w:t xml:space="preserve">advancement there has been much conflict of judicial opinion.</w:t></w:r>
</w:p>
<w:p>
<w:pPr><w:pStyle w:val="Normal"/></w:pPr>
<w:r><w:t xml:space="preserve">According to one view, nothing is an advancement unless it be</w:t></w:r>
</w:p>
<w:p>
<w:pPr><w:pStyle w:val="Normal"/></w:pPr>
<w:r><w:t xml:space="preserve">given ``on marriage or to establish the child in life.&apos;&apos; The</w:t></w:r>
</w:p>
<w:p>
<w:pPr><w:pStyle w:val="Normal"/></w:pPr>
<w:r><w:t xml:space="preserve">other and probably the correct view is that any considerable</w:t></w:r>
</w:p>
<w:p>
<w:pPr><w:pStyle w:val="Normal"/></w:pPr>
<w:r><w:t xml:space="preserve">sum of money paid to a child at that child&apos;s request is an</w:t></w:r>
</w:p>
<w:p>
<w:pPr><w:pStyle w:val="Normal"/></w:pPr>
<w:r><w:t xml:space="preserve">advancement; thus payment of a son&apos;s debts of honour has been</w:t></w:r>
</w:p>
<w:p>
<w:pPr><w:pStyle w:val="Normal"/></w:pPr>
<w:r><w:t xml:space="preserve">held to be an advancement.  On the other hand, trivial gifts</w:t></w:r>
</w:p>
<w:p>
<w:pPr><w:pStyle w:val="Normal"/></w:pPr>
<w:r><w:t xml:space="preserve">and presents to a child are undoubtedly not advancements.</w:t></w:r>
</w:p>
<w:p>
<w:pPr><w:pStyle w:val="Normal"/></w:pPr>
<w:r><w:t xml:space="preserve">ADVANTAGE, that which gives gain or helps forward in any</w:t></w:r>
</w:p>
<w:p>
<w:pPr><w:pStyle w:val="Normal"/></w:pPr>
<w:r><w:t xml:space="preserve">way.  The Fr. avant (before) shows the origin and meaning of</w:t></w:r>
</w:p>
<w:p>
<w:pPr><w:pStyle w:val="Normal"/></w:pPr>
<w:r><w:t xml:space="preserve">this word, the d having subsequently crept in and corrupted</w:t></w:r>
</w:p>
<w:p>
<w:pPr><w:pStyle w:val="Normal"/></w:pPr>
<w:r><w:t xml:space="preserve">the spelling.  It is often contracted to ``vantage.&apos;&apos; In</w:t></w:r>
</w:p>
<w:p>
<w:pPr><w:pStyle w:val="Normal"/></w:pPr>
<w:r><w:t xml:space="preserve">some games (e.g. lawn tennis) the term ``vantage&apos;&apos; is used</w:t></w:r>
</w:p>
<w:p>
<w:pPr><w:pStyle w:val="Normal"/></w:pPr>
<w:r><w:t xml:space="preserve">technically in scoring (``deuce&apos;&apos; and ``vantage&apos;&apos;; ``vantage</w:t></w:r>
</w:p>
<w:p>
<w:pPr><w:pStyle w:val="Normal"/></w:pPr>
<w:r><w:t xml:space="preserve">sets&apos;&apos;).  A position which gives a better chance of success</w:t></w:r>
</w:p>
<w:p>
<w:pPr><w:pStyle w:val="Normal"/></w:pPr>
<w:r><w:t xml:space="preserve">than its surroundings is called a ``vantage ground.&apos;&apos;</w:t></w:r>
</w:p>
<w:p>
<w:pPr><w:pStyle w:val="Normal"/></w:pPr>
<w:r><w:t xml:space="preserve">In an unfavourable sense the word ``advantage&apos;&apos; is used</w:t></w:r>
</w:p>
<w:p>
<w:pPr><w:pStyle w:val="Normal"/></w:pPr>
<w:r><w:t xml:space="preserve">to express a mean use made of some favourable condition</w:t></w:r>
</w:p>
<w:p>
<w:pPr><w:pStyle w:val="Normal"/></w:pPr>
<w:r><w:t xml:space="preserve">(e.g. to take advantage of another man&apos;s misfortunes).</w:t></w:r>
</w:p>
<w:p>
<w:pPr><w:pStyle w:val="Normal"/></w:pPr>
<w:r><w:t xml:space="preserve">ADVENT (Lat. Adventus, sc. Redemptoris, ``the coming</w:t></w:r>
</w:p>
<w:p>
<w:pPr><w:pStyle w:val="Normal"/></w:pPr>
<w:r><w:t xml:space="preserve">of the Saviour&apos;&apos;), a holy season of the Christian church, the</w:t></w:r>
</w:p>
<w:p>
<w:pPr><w:pStyle w:val="Normal"/></w:pPr>
<w:r><w:t xml:space="preserve">period of preparation for the celebration of the nativity or</w:t></w:r>
</w:p>
<w:p>
<w:pPr><w:pStyle w:val="Normal"/></w:pPr>
<w:r><w:t xml:space="preserve">Christmas.  In the Eastern church it lasts from St Martin&apos;s</w:t></w:r>
</w:p>
<w:p>
<w:pPr><w:pStyle w:val="Normal"/></w:pPr>
<w:r><w:t xml:space="preserve">Day (11th of November), and in other churches from the</w:t></w:r>
</w:p>
<w:p>
<w:pPr><w:pStyle w:val="Normal"/></w:pPr>
<w:r><w:t xml:space="preserve">Sunday nearest to St Andrew&apos;s Day (30th of November) till</w:t></w:r>
</w:p>
<w:p>
<w:pPr><w:pStyle w:val="Normal"/></w:pPr>
<w:r><w:t xml:space="preserve">Christmas.  It is uncertain at what date the season began to be</w:t></w:r>
</w:p>
<w:p>
<w:pPr><w:pStyle w:val="Normal"/></w:pPr>
<w:r><w:t xml:space="preserve">observed.  A canon of a council at Saragossa in 380, forbidding</w:t></w:r>
</w:p>
<w:p>
<w:pPr><w:pStyle w:val="Normal"/></w:pPr>
<w:r><w:t xml:space="preserve">the faithful to be absent from church during the three weeks</w:t></w:r>
</w:p>
<w:p>
<w:pPr><w:pStyle w:val="Normal"/></w:pPr>
<w:r><w:t xml:space="preserve">from the 17th of December to the Epiphany, is thought to be an</w:t></w:r>
</w:p>
<w:p>
<w:pPr><w:pStyle w:val="Normal"/></w:pPr>
<w:r><w:t xml:space="preserve">early reference to Advent.  The first authoritative mention of</w:t></w:r>
</w:p>
<w:p>
<w:pPr><w:pStyle w:val="Normal"/></w:pPr>
<w:r><w:t xml:space="preserve">it is in the Synod of Lerida (524), and since the 6th century</w:t></w:r>
</w:p>
<w:p>
<w:pPr><w:pStyle w:val="Normal"/></w:pPr>
<w:r><w:t xml:space="preserve">it has been recognized as the beginning of the ecclesiastical</w:t></w:r>
</w:p>
<w:p>
<w:pPr><w:pStyle w:val="Normal"/></w:pPr>
<w:r><w:t xml:space="preserve">year.  With the view of directing the thoughts of Christians</w:t></w:r>
</w:p>
<w:p>
<w:pPr><w:pStyle w:val="Normal"/></w:pPr>
<w:r><w:t xml:space="preserve">to the first coming of Christ as Saviour, and to his second</w:t></w:r>
</w:p>
<w:p>
<w:pPr><w:pStyle w:val="Normal"/></w:pPr>
<w:r><w:t xml:space="preserve">coming as Judge, special lessons are prescribed for the four</w:t></w:r>
</w:p>
<w:p>
<w:pPr><w:pStyle w:val="Normal"/></w:pPr>
<w:r><w:t xml:space="preserve">Sundays in Advent.  From the 6th century the season was kept</w:t></w:r>
</w:p>
<w:p>
<w:pPr><w:pStyle w:val="Normal"/></w:pPr>
<w:r><w:t xml:space="preserve">as a period of fasting as strict as that of Lent; but in the</w:t></w:r>
</w:p>
<w:p>
<w:pPr><w:pStyle w:val="Normal"/></w:pPr>
<w:r><w:t xml:space="preserve">Anglican and Lutheran churches the rule is now relaxed.  In</w:t></w:r>
</w:p>
<w:p>
<w:pPr><w:pStyle w:val="Normal"/></w:pPr>
<w:r><w:t xml:space="preserve">the Roman Catholic church Advent is still kept as a season of</w:t></w:r>
</w:p>
<w:p>
<w:pPr><w:pStyle w:val="Normal"/></w:pPr>
<w:r><w:t xml:space="preserve">penitence.  Dancing and festivities are forbidden, fasting</w:t></w:r>
</w:p>
<w:p>
<w:pPr><w:pStyle w:val="Normal"/></w:pPr>
<w:r><w:t xml:space="preserve">enjoined and purple vestments are worn in the church services.</w:t></w:r>
</w:p>
<w:p>
<w:pPr><w:pStyle w:val="Normal"/></w:pPr>
<w:r><w:t xml:space="preserve">In many countries Advent was long marked by diverse popular</w:t></w:r>
</w:p>
<w:p>
<w:pPr><w:pStyle w:val="Normal"/></w:pPr>
<w:r><w:t xml:space="preserve">observances, some of which even still survive.  Thus in England,</w:t></w:r>
</w:p>
<w:p>
<w:pPr><w:pStyle w:val="Normal"/></w:pPr>
<w:r><w:t xml:space="preserve">especially the northern counties, there was a custom (now</w:t></w:r>
</w:p>
<w:p>
<w:pPr><w:pStyle w:val="Normal"/></w:pPr>
<w:r><w:t xml:space="preserve">extinct) for poor women to carry round the ``Advent images,&apos;&apos; two</w:t></w:r>
</w:p>
<w:p>
<w:pPr><w:pStyle w:val="Normal"/></w:pPr>
<w:r><w:t xml:space="preserve">dolls dressed one to represent Christ and the other the Virgin</w:t></w:r>
</w:p>
<w:p>
<w:pPr><w:pStyle w:val="Normal"/></w:pPr>
<w:r><w:t xml:space="preserve">Mary.  A halfpenny was expected from every one to whom these were</w:t></w:r>
</w:p>
<w:p>
<w:pPr><w:pStyle w:val="Normal"/></w:pPr>
<w:r><w:t xml:space="preserve">exhibited, and bad luck was thought to menace the household not</w:t></w:r>
</w:p>
<w:p>
<w:pPr><w:pStyle w:val="Normal"/></w:pPr>
<w:r><w:t xml:space="preserve">visited by the doll-bearers before Christmas Eve at the latest.</w:t></w:r>
</w:p>
<w:p>
<w:pPr><w:pStyle w:val="Normal"/></w:pPr>
<w:r><w:t xml:space="preserve">In Normandy the farmers still employ children under twelve to</w:t></w:r>
</w:p>
<w:p>
<w:pPr><w:pStyle w:val="Normal"/></w:pPr>
<w:r><w:t xml:space="preserve">run through the fields and orchards armed with torches, setting</w:t></w:r>
</w:p>
<w:p>
<w:pPr><w:pStyle w:val="Normal"/></w:pPr>
<w:r><w:t xml:space="preserve">fire to bundles of straw, and thus it is believed driving out</w:t></w:r>
</w:p>
<w:p>
<w:pPr><w:pStyle w:val="Normal"/></w:pPr>
<w:r><w:t xml:space="preserve">such vermin as are likely to damage the crops. III Italy among</w:t></w:r>
</w:p>
<w:p>
<w:pPr><w:pStyle w:val="Normal"/></w:pPr>
<w:r><w:t xml:space="preserve">other Advent celebrations is the entry into Rome in the last</w:t></w:r>
</w:p>
<w:p>
<w:pPr><w:pStyle w:val="Normal"/></w:pPr>
<w:r><w:t xml:space="preserve">days of Advent of the Calabrian pifferari or bagpipe players,</w:t></w:r>
</w:p>
<w:p>
<w:pPr><w:pStyle w:val="Normal"/></w:pPr>
<w:r><w:t xml:space="preserve">who play before the shrines of the Holy Mother.  The Italian</w:t></w:r>
</w:p>
<w:p>
<w:pPr><w:pStyle w:val="Normal"/></w:pPr>
<w:r><w:t xml:space="preserve">tradition is that the shepherds played on these pipes when they</w:t></w:r>
</w:p>
<w:p>
<w:pPr><w:pStyle w:val="Normal"/></w:pPr>
<w:r><w:t xml:space="preserve">came to the manger at Bethlehem to do homage to the Saviour.</w:t></w:r>
</w:p>
<w:p>
<w:pPr><w:pStyle w:val="Normal"/></w:pPr>
<w:r><w:t xml:space="preserve">ADVENTISTS, SECOND, members of religious bodies whose</w:t></w:r>
</w:p>
<w:p>
<w:pPr><w:pStyle w:val="Normal"/></w:pPr>
<w:r><w:t xml:space="preserve">distinctive feature is a belief in the imminent physical</w:t></w:r>
</w:p>
<w:p>
<w:pPr><w:pStyle w:val="Normal"/></w:pPr>
<w:r><w:t xml:space="preserve">return of Jesus Christ.  The first to bear the name were the</w:t></w:r>
</w:p>
<w:p>
<w:pPr><w:pStyle w:val="Normal"/></w:pPr>
<w:r><w:t xml:space="preserve">followers of William Miller, and adherents have always been</w:t></w:r>
</w:p>
<w:p>
<w:pPr><w:pStyle w:val="Normal"/></w:pPr>
<w:r><w:t xml:space="preserve">more numerous in America than in Europe.  There is a body of</w:t></w:r>
</w:p>
<w:p>
<w:pPr><w:pStyle w:val="Normal"/></w:pPr>
<w:r><w:t xml:space="preserve">Seventh Day Adventists who observe the old Sabbath (Saturday)</w:t></w:r>
</w:p>
<w:p>
<w:pPr><w:pStyle w:val="Normal"/></w:pPr>
<w:r><w:t xml:space="preserve">rather than the Christian Sunday.  They counsel abstemious</w:t></w:r>
</w:p>
<w:p>
<w:pPr><w:pStyle w:val="Normal"/></w:pPr>
<w:r><w:t xml:space="preserve">habits, but set no time for the coming of Christ, and so are</w:t></w:r>
</w:p>
<w:p>
<w:pPr><w:pStyle w:val="Normal"/></w:pPr>
<w:r><w:t xml:space="preserve">spared the perpetual disappointments that overtake the ordinary</w:t></w:r>
</w:p>
<w:p>
<w:pPr><w:pStyle w:val="Normal"/></w:pPr>
<w:r><w:t xml:space="preserve">adventist.  They have some 400 ministers and 60,000 members.</w:t></w:r>
</w:p>
<w:p>
<w:pPr><w:pStyle w:val="Normal"/></w:pPr>
<w:r><w:t xml:space="preserve">ADVENTITIOUS (from Lat. adventicius, coming from</w:t></w:r>
</w:p>
<w:p>
<w:pPr><w:pStyle w:val="Normal"/></w:pPr>
<w:r><w:t xml:space="preserve">abroad), a quality from outside, in no sense part of the</w:t></w:r>
</w:p>
<w:p>
<w:pPr><w:pStyle w:val="Normal"/></w:pPr>
<w:r><w:t xml:space="preserve">substance or circumstance: a man&apos;s clothes, or condition</w:t></w:r>
</w:p>
<w:p>
<w:pPr><w:pStyle w:val="Normal"/></w:pPr>
<w:r><w:t xml:space="preserve">of life, his wealth or his poverty, are called by Carlyle</w:t></w:r>
</w:p>
<w:p>
<w:pPr><w:pStyle w:val="Normal"/></w:pPr>
<w:r><w:t xml:space="preserve">``adventitious wrappages,&apos;&apos; as being extrinsic, superadded</w:t></w:r>
</w:p>
<w:p>
<w:pPr><w:pStyle w:val="Normal"/></w:pPr>
<w:r><w:t xml:space="preserve">and not a natural part of him.  In botany the word means</w:t></w:r>
</w:p>
<w:p>
<w:pPr><w:pStyle w:val="Normal"/></w:pPr>
<w:r><w:t xml:space="preserve">that which is not normal to the plant, which appears</w:t></w:r>
</w:p>
<w:p>
<w:pPr><w:pStyle w:val="Normal"/></w:pPr>
<w:r><w:t xml:space="preserve">irregularly and accidentally, e.g. buds or roots out of</w:t></w:r>
</w:p>
<w:p>
<w:pPr><w:pStyle w:val="Normal"/></w:pPr>
<w:r><w:t xml:space="preserve">place, or strange spots and streaks not native to the flower.</w:t></w:r>
</w:p>
<w:p>
<w:pPr><w:pStyle w:val="Normal"/></w:pPr>
<w:r><w:t xml:space="preserve">ADVENTURE (from Lat. res adventura, a thing about to</w:t></w:r>
</w:p>
<w:p>
<w:pPr><w:pStyle w:val="Normal"/></w:pPr>
<w:r><w:t xml:space="preserve">happen), chance, and especially chance of danger; so a hazardous</w:t></w:r>
</w:p>
<w:p>
<w:pPr><w:pStyle w:val="Normal"/></w:pPr>
<w:r><w:t xml:space="preserve">enterprise or remarkable incident.  Thus an ``adventurer,&apos;&apos;</w:t></w:r>
</w:p>
<w:p>
<w:pPr><w:pStyle w:val="Normal"/></w:pPr>
<w:r><w:t xml:space="preserve">from meaning one who takes part in some speculative course</w:t></w:r>
</w:p>
<w:p>
<w:pPr><w:pStyle w:val="Normal"/></w:pPr>
<w:r><w:t xml:space="preserve">of action, came to mean one who lived by his wits and a</w:t></w:r>
</w:p>
<w:p>
<w:pPr><w:pStyle w:val="Normal"/></w:pPr>
<w:r><w:t xml:space="preserve">person of no character.  The word is also used in certain</w:t></w:r>
</w:p>
<w:p>
<w:pPr><w:pStyle w:val="Normal"/></w:pPr>
<w:r><w:t xml:space="preserve">restricted legal connexions. Joint adventure, for instance,</w:t></w:r>
</w:p>
<w:p>
<w:pPr><w:pStyle w:val="Normal"/></w:pPr>
<w:r><w:t xml:space="preserve">may be distinguished from partnership (q.v.). A bill</w:t></w:r>
</w:p>
<w:p>
<w:pPr><w:pStyle w:val="Normal"/></w:pPr>
<w:r><w:t xml:space="preserve">of adventure in maritime law (now apparently obsolete)</w:t></w:r>
</w:p>
<w:p>
<w:pPr><w:pStyle w:val="Normal"/></w:pPr>
<w:r><w:t xml:space="preserve">is a writing signed by the shipmaster declaring that goods</w:t></w:r>
</w:p>
<w:p>
<w:pPr><w:pStyle w:val="Normal"/></w:pPr>
<w:r><w:t xml:space="preserve">shipped in his name really belong to another, to whom he is</w:t></w:r>
</w:p>
<w:p>
<w:pPr><w:pStyle w:val="Normal"/></w:pPr>
<w:r><w:t xml:space="preserve">responsible.  The bill of gross adventure in French maritime</w:t></w:r>
</w:p>
<w:p>
<w:pPr><w:pStyle w:val="Normal"/></w:pPr>
<w:r><w:t xml:space="preserve">law is an instrument making a loan on maritime security.</w:t></w:r>
</w:p>
<w:p>
<w:pPr><w:pStyle w:val="Normal"/></w:pPr>
<w:r><w:t xml:space="preserve">ADVERTISEMENT, or ADVERTISING (Fr. avertissement,</w:t></w:r>
</w:p>
<w:p>
<w:pPr><w:pStyle w:val="Normal"/></w:pPr>
<w:r><w:t xml:space="preserve">warning, or notice), the process of obtaining and particularly</w:t></w:r>
</w:p>
<w:p>
<w:pPr><w:pStyle w:val="Normal"/></w:pPr>
<w:r><w:t xml:space="preserve">of purchasing publicity.  The business of advertising is of</w:t></w:r>
</w:p>
<w:p>
<w:pPr><w:pStyle w:val="Normal"/></w:pPr>
<w:r><w:t xml:space="preserve">very recent origin if it be regarded as a serious adjunct</w:t></w:r>
</w:p>
<w:p>
<w:pPr><w:pStyle w:val="Normal"/></w:pPr>
<w:r><w:t xml:space="preserve">to other phases of commercial activity.  In some rudimentary</w:t></w:r>
</w:p>
<w:p>
<w:pPr><w:pStyle w:val="Normal"/></w:pPr>
<w:r><w:t xml:space="preserve">form the seller&apos;s appeal to the buyer must, however, have</w:t></w:r>
</w:p>
<w:p>
<w:pPr><w:pStyle w:val="Normal"/></w:pPr>
<w:r><w:t xml:space="preserve">accompanied the earliest development of trade.  Under</w:t></w:r>
</w:p>
<w:p>
<w:pPr><w:pStyle w:val="Normal"/></w:pPr>
<w:r><w:t xml:space="preserve">conditions of primitive barter, communities were so small that</w:t></w:r>
</w:p>
<w:p>
<w:pPr><w:pStyle w:val="Normal"/></w:pPr>
<w:r><w:t xml:space="preserve">every producer was in immediate personal contact with every</w:t></w:r>
</w:p>
<w:p>
<w:pPr><w:pStyle w:val="Normal"/></w:pPr>
<w:r><w:t xml:space="preserve">consumer.  As the primeval man&apos;s wolfish antipathy to the</w:t></w:r>
</w:p>
<w:p>
<w:pPr><w:pStyle w:val="Normal"/></w:pPr>
<w:r><w:t xml:space="preserve">stranger of another pack gradually diminished, and as intercourse</w:t></w:r>
</w:p>
<w:p>
<w:pPr><w:pStyle w:val="Normal"/></w:pPr>
<w:r><w:t xml:space="preserve">spread the infection of larger desires, the trapper could</w:t></w:r>
</w:p>
<w:p>
<w:pPr><w:pStyle w:val="Normal"/></w:pPr>
<w:r><w:t xml:space="preserve">no longer satisfy his more complicated wants by the mere</w:t></w:r>
</w:p>
<w:p>
<w:pPr><w:pStyle w:val="Normal"/></w:pPr>
<w:r><w:t xml:space="preserve">exchange of his pelts for his lowland neighbour&apos;s corn and</w:t></w:r>
</w:p>
<w:p>
<w:pPr><w:pStyle w:val="Normal"/></w:pPr>
<w:r><w:t xml:space="preserve">oil.  A began to accept from B the commodity which he could</w:t></w:r>
</w:p>
<w:p>
<w:pPr><w:pStyle w:val="Normal"/></w:pPr>
<w:r><w:t xml:space="preserve">in turn deliver to C, while C in exchange for B&apos;s product</w:t></w:r>
</w:p>
<w:p>
<w:pPr><w:pStyle w:val="Normal"/></w:pPr>
<w:r><w:t xml:space="preserve">gave to A what D had produced and bartered to C. The mere</w:t></w:r>
</w:p>
<w:p>
<w:pPr><w:pStyle w:val="Normal"/></w:pPr>
<w:r><w:t xml:space="preserve">statement of such a transaction sufficiently presents its</w:t></w:r>
</w:p>
<w:p>
<w:pPr><w:pStyle w:val="Normal"/></w:pPr>
<w:r><w:t xml:space="preserve">clumsiness, and the use of primitive forms of coin soon</w:t></w:r>
</w:p>
<w:p>
<w:pPr><w:pStyle w:val="Normal"/></w:pPr>
<w:r><w:t xml:space="preserve">simplified the original process of bare barter.  It is</w:t></w:r>
</w:p>
<w:p>
<w:pPr><w:pStyle w:val="Normal"/></w:pPr>
<w:r><w:t xml:space="preserve">reasonable to suppose that as soon as the introduction of</w:t></w:r>
</w:p>
<w:p>
<w:pPr><w:pStyle w:val="Normal"/></w:pPr>
<w:r><w:t xml:space="preserve">currency marked the abandonment of direct relations between</w:t></w:r>
</w:p>
<w:p>
<w:pPr><w:pStyle w:val="Normal"/></w:pPr>
<w:r><w:t xml:space="preserve">purchaser and consumer an informal system of advertisement</w:t></w:r>
</w:p>
<w:p>
<w:pPr><w:pStyle w:val="Normal"/></w:pPr>
<w:r><w:t xml:space="preserve">in turn rose to meet the need of publicity.  At first the</w:t></w:r>
</w:p>
<w:p>
<w:pPr><w:pStyle w:val="Normal"/></w:pPr>
<w:r><w:t xml:space="preserve">offer of the producer must have been brought to the trader&apos;s</w:t></w:r>
</w:p>
<w:p>
<w:pPr><w:pStyle w:val="Normal"/></w:pPr>
<w:r><w:t xml:space="preserve">attention, and the trader&apos;s offer to the notice of the</w:t></w:r>
</w:p>
<w:p>
<w:pPr><w:pStyle w:val="Normal"/></w:pPr>
<w:r><w:t xml:space="preserve">consumer, by casual personal contact, supplemented by local</w:t></w:r>
</w:p>
<w:p>
<w:pPr><w:pStyle w:val="Normal"/></w:pPr>
<w:r><w:t xml:space="preserve">rumour.  The gradual growth of markets and their development</w:t></w:r>
</w:p>
<w:p>
<w:pPr><w:pStyle w:val="Normal"/></w:pPr>
<w:r><w:t xml:space="preserve">into periodical fairs, to which merchants from distant places</w:t></w:r>
</w:p>
<w:p>
<w:pPr><w:pStyle w:val="Normal"/></w:pPr>
<w:r><w:t xml:space="preserve">resorted, afforded, until printing was invented, the only</w:t></w:r>
</w:p>
<w:p>
<w:pPr><w:pStyle w:val="Normal"/></w:pPr>
<w:r><w:t xml:space="preserve">means of extended advertisement.  In England, during the 3rd</w:t></w:r>
</w:p>
<w:p>
<w:pPr><w:pStyle w:val="Normal"/></w:pPr>
<w:r><w:t xml:space="preserve">century, Stourbridge Fair attracted traders from abroad as</w:t></w:r>
</w:p>
<w:p>
<w:pPr><w:pStyle w:val="Normal"/></w:pPr>
<w:r><w:t xml:space="preserve">well as from all parts of England, and it may be conjectured</w:t></w:r>
</w:p>
<w:p>
<w:pPr><w:pStyle w:val="Normal"/></w:pPr>
<w:r><w:t xml:space="preserve">that the crying of wares before the booths on the banks of</w:t></w:r>
</w:p>
<w:p>
<w:pPr><w:pStyle w:val="Normal"/></w:pPr>
<w:r><w:t xml:space="preserve">the Stour was the first form of advertisement which had any</w:t></w:r>
</w:p>
<w:p>
<w:pPr><w:pStyle w:val="Normal"/></w:pPr>
<w:r><w:t xml:space="preserve">marked effect upon English commerce.  As the fairs of the</w:t></w:r>
</w:p>
<w:p>
<w:pPr><w:pStyle w:val="Normal"/></w:pPr>
<w:r><w:t xml:space="preserve">middle ages, with the tedious and hazardous journeys they</w:t></w:r>
</w:p>
<w:p>
<w:pPr><w:pStyle w:val="Normal"/></w:pPr>
<w:r><w:t xml:space="preserve">involved, gradually gave place to a more convenient system of</w:t></w:r>
</w:p>
<w:p>
<w:pPr><w:pStyle w:val="Normal"/></w:pPr>
<w:r><w:t xml:space="preserve">trade, the 15th century brought the invention of printing,</w:t></w:r>
</w:p>
<w:p>
<w:pPr><w:pStyle w:val="Normal"/></w:pPr>
<w:r><w:t xml:space="preserve">and led the Way to the modern development of advertising.  The</w:t></w:r>
</w:p>
<w:p>
<w:pPr><w:pStyle w:val="Normal"/></w:pPr>
<w:r><w:t xml:space="preserve">Americans, to whom the elaboration of newspaper advertising is</w:t></w:r>
</w:p>
<w:p>
<w:pPr><w:pStyle w:val="Normal"/></w:pPr>
<w:r><w:t xml:space="preserve">primarily due, had but just founded the first English-speaking</w:t></w:r>
</w:p>
<w:p>
<w:pPr><w:pStyle w:val="Normal"/></w:pPr>
<w:r><w:t xml:space="preserve">community in the western hemisphere when the first newspaper</w:t></w:r>
</w:p>
<w:p>
<w:pPr><w:pStyle w:val="Normal"/></w:pPr>
<w:r><w:t xml:space="preserve">was published in England.  But although the first periodical</w:t></w:r>
</w:p>
<w:p>
<w:pPr><w:pStyle w:val="Normal"/></w:pPr>
<w:r><w:t xml:space="preserve">publication containing news appeared in the month of May</w:t></w:r>
</w:p>
<w:p>
<w:pPr><w:pStyle w:val="Normal"/></w:pPr>
<w:r><w:t xml:space="preserve">1622, the first newspaper advertisement does not seem to</w:t></w:r>
</w:p>
<w:p>
<w:pPr><w:pStyle w:val="Normal"/></w:pPr>
<w:r><w:t xml:space="preserve">have been published until April 1647.  It formed a part of</w:t></w:r>
</w:p>
<w:p>
<w:pPr><w:pStyle w:val="Normal"/></w:pPr>
<w:r><w:t xml:space="preserve">No. 13 of Perfect Occurrences of Every Daie journall in</w:t></w:r>
</w:p>
<w:p>
<w:pPr><w:pStyle w:val="Normal"/></w:pPr>
<w:r><w:t xml:space="preserve">Parliament, and other Moderate Intelligence, and it read as</w:t></w:r>
</w:p>
<w:p>
<w:pPr><w:pStyle w:val="Normal"/></w:pPr>
<w:r><w:t xml:space="preserve">follows:-A Book applauded by the Clergy of England, called</w:t></w:r>
</w:p>
<w:p>
<w:pPr><w:pStyle w:val="Normal"/></w:pPr>
<w:r><w:t xml:space="preserve">The Divine Right of church Government, Collected by</w:t></w:r>
</w:p>
<w:p>
<w:pPr><w:pStyle w:val="Normal"/></w:pPr>
<w:r><w:t xml:space="preserve">sundry eminent Ministers in the Citie of London; Corrected</w:t></w:r>
</w:p>
<w:p>
<w:pPr><w:pStyle w:val="Normal"/></w:pPr>
<w:r><w:t xml:space="preserve">and augmented in many places, with a briefe Reply to certain</w:t></w:r>
</w:p>
<w:p>
<w:pPr><w:pStyle w:val="Normal"/></w:pPr>
<w:r><w:t xml:space="preserve">Queries against the Ministery of England; Is printed and</w:t></w:r>
</w:p>
<w:p>
<w:pPr><w:pStyle w:val="Normal"/></w:pPr>
<w:r><w:t xml:space="preserve">published for Joseph Hunscot and George Calvert, and</w:t></w:r>
</w:p>
<w:p>
<w:pPr><w:pStyle w:val="Normal"/></w:pPr>
<w:r><w:t xml:space="preserve">are to be sold at the Stationers&apos; Hall, and at the Golden</w:t></w:r>
</w:p>
<w:p>
<w:pPr><w:pStyle w:val="Normal"/></w:pPr>
<w:r><w:t xml:space="preserve">Fleece in the Old Change.  Among the Mercuries, as the</w:t></w:r>
</w:p>
<w:p>
<w:pPr><w:pStyle w:val="Normal"/></w:pPr>
<w:r><w:t xml:space="preserve">weekly newspapers of the day were called, was the Mercurius</w:t></w:r>
</w:p>
<w:p>
<w:pPr><w:pStyle w:val="Normal"/></w:pPr>
<w:r><w:t xml:space="preserve">Elencticus, and in its 45th number, published on the 4th of</w:t></w:r>
</w:p>
<w:p>
<w:pPr><w:pStyle w:val="Normal"/></w:pPr>
<w:r><w:t xml:space="preserve">October 1648, there appeared the following advertisement:--</w:t></w:r>
</w:p>
<w:p>
<w:pPr><w:pStyle w:val="Normal"/></w:pPr>
<w:r><w:t xml:space="preserve">The Reader is desired to peruse a Sermon,</w:t></w:r>
</w:p>
<w:p>
<w:pPr><w:pStyle w:val="Normal"/></w:pPr>
<w:r><w:t xml:space="preserve">Entituled A Looking-Glasse for Levellers,</w:t></w:r>
</w:p>
<w:p>
<w:pPr><w:pStyle w:val="Normal"/></w:pPr>
<w:r><w:t xml:space="preserve">Preached at St. Peters, Paules Wharf, on Sunday, Sept. 24th 1648,</w:t></w:r>
</w:p>
<w:p>
<w:pPr><w:pStyle w:val="Normal"/></w:pPr>
<w:r><w:t xml:space="preserve">by Paul Knell, Mr. of Arts. Another Tract called A Reflex</w:t></w:r>
</w:p>
<w:p>
<w:pPr><w:pStyle w:val="Normal"/></w:pPr>
<w:r><w:t xml:space="preserve">upon our Reformers, with a prayer for the Parliament</w:t></w:r>
</w:p>
<w:p>
<w:pPr><w:pStyle w:val="Normal"/></w:pPr>
<w:r><w:t xml:space="preserve">In an issue of the Mercurius Politicus, published by Marchmont</w:t></w:r>
</w:p>
<w:p>
<w:pPr><w:pStyle w:val="Normal"/></w:pPr>
<w:r><w:t xml:space="preserve">Nedham, who is described as ``perhaps both the ablest and the</w:t></w:r>
</w:p>
<w:p>
<w:pPr><w:pStyle w:val="Normal"/></w:pPr>
<w:r><w:t xml:space="preserve">readiest man that had yet tried his hand at a newspaper,&apos;&apos; there</w:t></w:r>
</w:p>
<w:p>
<w:pPr><w:pStyle w:val="Normal"/></w:pPr>
<w:r><w:t xml:space="preserve">appeared in January 1652 an advertisement, which has often</w:t></w:r>
</w:p>
<w:p>
<w:pPr><w:pStyle w:val="Normal"/></w:pPr>
<w:r><w:t xml:space="preserve">been erroneously cited as the first among newspaper</w:t></w:r>
</w:p>
<w:p>
<w:pPr><w:pStyle w:val="Normal"/></w:pPr>
<w:r><w:t xml:space="preserve">advertisements. It read as</w:t></w:r>
</w:p>
<w:p>
<w:pPr><w:pStyle w:val="Normal"/></w:pPr>
<w:r><w:t xml:space="preserve">follows:--</w:t></w:r>
</w:p>
<w:p>
<w:pPr><w:pStyle w:val="Normal"/></w:pPr>
<w:r><w:t xml:space="preserve">Irenodia Gratulatoria, a heroic poem, being a congratulatory</w:t></w:r>
</w:p>
<w:p>
<w:pPr><w:pStyle w:val="Normal"/></w:pPr>
<w:r><w:t xml:space="preserve">panegyrick for my Lord General&apos;s return, summing up his</w:t></w:r>
</w:p>
<w:p>
<w:pPr><w:pStyle w:val="Normal"/></w:pPr>
<w:r><w:t xml:space="preserve">successes in an exquisite manner.  To be sold by John Holden,</w:t></w:r>
</w:p>
<w:p>
<w:pPr><w:pStyle w:val="Normal"/></w:pPr>
<w:r><w:t xml:space="preserve">in the New Exchange, London, Printed by Thomas Newcourt,</w:t></w:r>
</w:p>
<w:p>
<w:pPr><w:pStyle w:val="Normal"/></w:pPr>
<w:r><w:t xml:space="preserve">1652.  The article ``On the Advertising System,&apos;&apos; published</w:t></w:r>
</w:p>
<w:p>
<w:pPr><w:pStyle w:val="Normal"/></w:pPr>
<w:r><w:t xml:space="preserve">in the Edinburgh Review for February 1843, contains the</w:t></w:r>
</w:p>
<w:p>
<w:pPr><w:pStyle w:val="Normal"/></w:pPr>
<w:r><w:t xml:space="preserve">fullest account of early English advertising that has ever been</w:t></w:r>
</w:p>
<w:p>
<w:pPr><w:pStyle w:val="Normal"/></w:pPr>
<w:r><w:t xml:space="preserve">given, and it has been very freely drawn upon by all writers</w:t></w:r>
</w:p>
<w:p>
<w:pPr><w:pStyle w:val="Normal"/></w:pPr>
<w:r><w:t xml:space="preserve">who have since discussed the subject.  But it describes this</w:t></w:r>
</w:p>
<w:p>
<w:pPr><w:pStyle w:val="Normal"/></w:pPr>
<w:r><w:t xml:space="preserve">advertisement in the Mercurius Politicus as ``the very first,&apos;&apos;</w:t></w:r>
</w:p>
<w:p>
<w:pPr><w:pStyle w:val="Normal"/></w:pPr>
<w:r><w:t xml:space="preserve">and the discovery of the two earlier instances above quoted was</w:t></w:r>
</w:p>
<w:p>
<w:pPr><w:pStyle w:val="Normal"/></w:pPr>
<w:r><w:t xml:space="preserve">due to the researches of a contributor to Notes and Queries.</w:t></w:r>
</w:p>
<w:p>
<w:pPr><w:pStyle w:val="Normal"/></w:pPr>
<w:r><w:t xml:space="preserve">In The Crosby Records, the commonplace-books of William</w:t></w:r>
</w:p>
<w:p>
<w:pPr><w:pStyle w:val="Normal"/></w:pPr>
<w:r><w:t xml:space="preserve">Blundell, there is an interesting comment, dated 1659, on</w:t></w:r>
</w:p>
<w:p>
<w:pPr><w:pStyle w:val="Normal"/></w:pPr>
<w:r><w:t xml:space="preserve">the lack of advertising facilities at that period--It would</w:t></w:r>
</w:p>
<w:p>
<w:pPr><w:pStyle w:val="Normal"/></w:pPr>
<w:r><w:t xml:space="preserve">be very expedient if each parish or village might have some</w:t></w:r>
</w:p>
<w:p>
<w:pPr><w:pStyle w:val="Normal"/></w:pPr>
<w:r><w:t xml:space="preserve">place, as the church or smithy, wherein to publish (by papers</w:t></w:r>
</w:p>
<w:p>
<w:pPr><w:pStyle w:val="Normal"/></w:pPr>
<w:r><w:t xml:space="preserve">posted up) the wants either of the buyer or the seller, as</w:t></w:r>
</w:p>
<w:p>
<w:pPr><w:pStyle w:val="Normal"/></w:pPr>
<w:r><w:t xml:space="preserve">such a field to be let, such a servant, or such a service,</w:t></w:r>
</w:p>
<w:p>
<w:pPr><w:pStyle w:val="Normal"/></w:pPr>
<w:r><w:t xml:space="preserve">to be had, &amp;c. There was a book published in London weekly</w:t></w:r>
</w:p>
<w:p>
<w:pPr><w:pStyle w:val="Normal"/></w:pPr>
<w:r><w:t xml:space="preserve">about the year 1657 which was called (as I remember) The</w:t></w:r>
</w:p>
<w:p>
<w:pPr><w:pStyle w:val="Normal"/></w:pPr>
<w:r><w:t xml:space="preserve">Publick Advice. At gave information in very many of these</w:t></w:r>
</w:p>
<w:p>
<w:pPr><w:pStyle w:val="Normal"/></w:pPr>
<w:r><w:t xml:space="preserve">particulars.  A year later the same diarist says--There is an</w:t></w:r>
</w:p>
<w:p>
<w:pPr><w:pStyle w:val="Normal"/></w:pPr>
<w:r><w:t xml:space="preserve">office near the Old Exchange in London called the office of Publick</w:t></w:r>
</w:p>
<w:p>
<w:pPr><w:pStyle w:val="Normal"/></w:pPr>
<w:r><w:t xml:space="preserve">Advice.  From thence both printed and private information of</w:t></w:r>
</w:p>
<w:p>
<w:pPr><w:pStyle w:val="Normal"/></w:pPr>
<w:r><w:t xml:space="preserve">this useful nature are always to be had.  But what they print</w:t></w:r>
</w:p>
<w:p>
<w:pPr><w:pStyle w:val="Normal"/></w:pPr>
<w:r><w:t xml:space="preserve">is no more than a leaf or less in a diurnal.  I was in this</w:t></w:r>
</w:p>
<w:p>
<w:pPr><w:pStyle w:val="Normal"/></w:pPr>
<w:r><w:t xml:space="preserve">office.  The diurnal consisted of sixteen pages quarto in</w:t></w:r>
</w:p>
<w:p>
<w:pPr><w:pStyle w:val="Normal"/></w:pPr>
<w:r><w:t xml:space="preserve">1689.  In No. 62 of the London Gazette, published in June</w:t></w:r>
</w:p>
<w:p>
<w:pPr><w:pStyle w:val="Normal"/></w:pPr>
<w:r><w:t xml:space="preserve">1666, the first advertisement supplement was announced--An</w:t></w:r>
</w:p>
<w:p>
<w:pPr><w:pStyle w:val="Normal"/></w:pPr>
<w:r><w:t xml:space="preserve">Advertisement--Being daily prest to the Publication of Books,</w:t></w:r>
</w:p>
<w:p>
<w:pPr><w:pStyle w:val="Normal"/></w:pPr>
<w:r><w:t xml:space="preserve">Medicines, and other things not properly the business of a Paper</w:t></w:r>
</w:p>
<w:p>
<w:pPr><w:pStyle w:val="Normal"/></w:pPr>
<w:r><w:t xml:space="preserve">of Intelligence, This is to notifie, once for all, that we will</w:t></w:r>
</w:p>
<w:p>
<w:pPr><w:pStyle w:val="Normal"/></w:pPr>
<w:r><w:t xml:space="preserve">not charge the Gazette with Advertisements, unless they be</w:t></w:r>
</w:p>
<w:p>
<w:pPr><w:pStyle w:val="Normal"/></w:pPr>
<w:r><w:t xml:space="preserve">matter of State: but that a Paper of Advertisements will be</w:t></w:r>
</w:p>
<w:p>
<w:pPr><w:pStyle w:val="Normal"/></w:pPr>
<w:r><w:t xml:space="preserve">forthwith printed apart, &amp; recommended to the Publick by another</w:t></w:r>
</w:p>
<w:p>
<w:pPr><w:pStyle w:val="Normal"/></w:pPr>
<w:r><w:t xml:space="preserve">hand.  In No. 94 of the same journal, published in October</w:t></w:r>
</w:p>
<w:p>
<w:pPr><w:pStyle w:val="Normal"/></w:pPr>
<w:r><w:t xml:space="preserve">1666, there appeared a suggestion that sufferers from the Great</w:t></w:r>
</w:p>
<w:p>
<w:pPr><w:pStyle w:val="Normal"/></w:pPr>
<w:r><w:t xml:space="preserve">Fire should avail themselves of this means of publicity--Such</w:t></w:r>
</w:p>
<w:p>
<w:pPr><w:pStyle w:val="Normal"/></w:pPr>
<w:r><w:t xml:space="preserve">as have settled in new habitations since the late Fire, and</w:t></w:r>
</w:p>
<w:p>
<w:pPr><w:pStyle w:val="Normal"/></w:pPr>
<w:r><w:t xml:space="preserve">desire for the convenience of their correspondence to publish</w:t></w:r>
</w:p>
<w:p>
<w:pPr><w:pStyle w:val="Normal"/></w:pPr>
<w:r><w:t xml:space="preserve">the place of their present abode, or to give notice of Goods</w:t></w:r>
</w:p>
<w:p>
<w:pPr><w:pStyle w:val="Normal"/></w:pPr>
<w:r><w:t xml:space="preserve">lost or found may repair to the corner House in Bloomsbury</w:t></w:r>
</w:p>
<w:p>
<w:pPr><w:pStyle w:val="Normal"/></w:pPr>
<w:r><w:t xml:space="preserve">on the East Side of the Great Square, before the House of</w:t></w:r>
</w:p>
<w:p>
<w:pPr><w:pStyle w:val="Normal"/></w:pPr>
<w:r><w:t xml:space="preserve">the Right Honourable the Lord Treasurer, where there is care</w:t></w:r>
</w:p>
<w:p>
<w:pPr><w:pStyle w:val="Normal"/></w:pPr>
<w:r><w:t xml:space="preserve">taken for the Receipt and Publication of such Advertisements.</w:t></w:r>
</w:p>
<w:p>
<w:pPr><w:pStyle w:val="Normal"/></w:pPr>
<w:r><w:t xml:space="preserve">The earlier advertisements, with the exception of formal</w:t></w:r>
</w:p>
<w:p>
<w:pPr><w:pStyle w:val="Normal"/></w:pPr>
<w:r><w:t xml:space="preserve">notices, seem to have been concerned exclusively with either</w:t></w:r>
</w:p>
<w:p>
<w:pPr><w:pStyle w:val="Normal"/></w:pPr>
<w:r><w:t xml:space="preserve">books or quack remedies.  The first trade advertisement,</w:t></w:r>
</w:p>
<w:p>
<w:pPr><w:pStyle w:val="Normal"/></w:pPr>
<w:r><w:t xml:space="preserve">which does not fall within either of these categories,</w:t></w:r>
</w:p>
<w:p>
<w:pPr><w:pStyle w:val="Normal"/></w:pPr>
<w:r><w:t xml:space="preserve">was curiously enough the first advertisement of a new</w:t></w:r>
</w:p>
<w:p>
<w:pPr><w:pStyle w:val="Normal"/></w:pPr>
<w:r><w:t xml:space="preserve">commodity, tea.  The following advertisement appeared in</w:t></w:r>
</w:p>
<w:p>
<w:pPr><w:pStyle w:val="Normal"/></w:pPr>
<w:r><w:t xml:space="preserve">the Mercurius Politicus, No. 435, for September 1658--</w:t></w:r>
</w:p>
<w:p>
<w:pPr><w:pStyle w:val="Normal"/></w:pPr>
<w:r><w:t xml:space="preserve">That excellent and by all Physitians approved China Drink,</w:t></w:r>
</w:p>
<w:p>
<w:pPr><w:pStyle w:val="Normal"/></w:pPr>
<w:r><w:t xml:space="preserve">called by the Chineans Tcha, by other nations Tay,</w:t></w:r>
</w:p>
<w:p>
<w:pPr><w:pStyle w:val="Normal"/></w:pPr>
<w:r><w:t xml:space="preserve">alias Tee, is sold at the Sultaness Head, a cophee-house</w:t></w:r>
</w:p>
<w:p>
<w:pPr><w:pStyle w:val="Normal"/></w:pPr>
<w:r><w:t xml:space="preserve">in Sweetings Rents, by the Royal Exchange, London.</w:t></w:r>
</w:p>
<w:p>
<w:pPr><w:pStyle w:val="Normal"/></w:pPr>
<w:r><w:t xml:space="preserve">The history of slavery, of privateering and of many other</w:t></w:r>
</w:p>
<w:p>
<w:pPr><w:pStyle w:val="Normal"/></w:pPr>
<w:r><w:t xml:space="preserve">curious incidents and episodes of English history during the</w:t></w:r>
</w:p>
<w:p>
<w:pPr><w:pStyle w:val="Normal"/></w:pPr>
<w:r><w:t xml:space="preserve">17th and 18th centuries might be traced by examination of the</w:t></w:r>
</w:p>
<w:p>
<w:pPr><w:pStyle w:val="Normal"/></w:pPr>
<w:r><w:t xml:space="preserve">antiquated advertisements which writers upon such subjects</w:t></w:r>
</w:p>
<w:p>
<w:pPr><w:pStyle w:val="Normal"/></w:pPr>
<w:r><w:t xml:space="preserve">have already collected.  In order that space may be found</w:t></w:r>
</w:p>
<w:p>
<w:pPr><w:pStyle w:val="Normal"/></w:pPr>
<w:r><w:t xml:space="preserve">for some consideration of the practical aspects of modern</w:t></w:r>
</w:p>
<w:p>
<w:pPr><w:pStyle w:val="Normal"/></w:pPr>
<w:r><w:t xml:space="preserve">advertising, the discussion of its gradual development must be</w:t></w:r>
</w:p>
<w:p>
<w:pPr><w:pStyle w:val="Normal"/></w:pPr>
<w:r><w:t xml:space="preserve">curtailed.  Nor is it necessary to preface this consideration by</w:t></w:r>
</w:p>
<w:p>
<w:pPr><w:pStyle w:val="Normal"/></w:pPr>
<w:r><w:t xml:space="preserve">any laboured statement of the importance which advertising has</w:t></w:r>
</w:p>
<w:p>
<w:pPr><w:pStyle w:val="Normal"/></w:pPr>
<w:r><w:t xml:space="preserve">assumed.  It is a matter of common knowledge that several</w:t></w:r>
</w:p>
<w:p>
<w:pPr><w:pStyle w:val="Normal"/></w:pPr>
<w:r><w:t xml:space="preserve">business houses are to be found in Great Britain, and a</w:t></w:r>
</w:p>
<w:p>
<w:pPr><w:pStyle w:val="Normal"/></w:pPr>
<w:r><w:t xml:space="preserve">larger number in the United States, who spend not less than</w:t></w:r>
</w:p>
<w:p>
<w:pPr><w:pStyle w:val="Heading1"/></w:pPr>
<w:r><w:t>L. 50,000 a year in advertising, while one patent medicine</w:t></w:r>
</w:p>
<w:p>
<w:pPr><w:pStyle w:val="Normal"/></w:pPr>
<w:r><w:t xml:space="preserve">company, operating both in England and the United States, has</w:t></w:r>
</w:p>
<w:p>
<w:pPr><w:pStyle w:val="Normal"/></w:pPr>
<w:r><w:t xml:space="preserve">probably spent not less than L. 200,000 in Great Britain in one</w:t></w:r>
</w:p>
<w:p>
<w:pPr><w:pStyle w:val="Normal"/></w:pPr>
<w:r><w:t xml:space="preserve">year, and an English cocoa manufacturer is supposed to have</w:t></w:r>
</w:p>
<w:p>
<w:pPr><w:pStyle w:val="Normal"/></w:pPr>
<w:r><w:t xml:space="preserve">spent L. 150,000 in Great Britain.  Some of the best works</w:t></w:r>
</w:p>
<w:p>
<w:pPr><w:pStyle w:val="Normal"/></w:pPr>
<w:r><w:t xml:space="preserve">of artists as distinguished as Sir John Millais, Sir H. von</w:t></w:r>
</w:p>
<w:p>
<w:pPr><w:pStyle w:val="Normal"/></w:pPr>
<w:r><w:t xml:space="preserve">Herkomer and Mr Stacy Marks have been scattered broadcast by</w:t></w:r>
</w:p>
<w:p>
<w:pPr><w:pStyle w:val="Normal"/></w:pPr>
<w:r><w:t xml:space="preserve">advertisers.  The purchase of Sir John Millais&apos; picture</w:t></w:r>
</w:p>
<w:p>
<w:pPr><w:pStyle w:val="Normal"/></w:pPr>
<w:r><w:t xml:space="preserve">``Bubbles&apos;&apos; for L. 2200 by the proprietors of a well-known</w:t></w:r>
</w:p>
<w:p>
<w:pPr><w:pStyle w:val="Normal"/></w:pPr>
<w:r><w:t xml:space="preserve">brand of soap is probably the most remarkable instance of the</w:t></w:r>
</w:p>
<w:p>
<w:pPr><w:pStyle w:val="Normal"/></w:pPr>
<w:r><w:t xml:space="preserve">expenditure in this direction which an advertiser may find</w:t></w:r>
</w:p>
<w:p>
<w:pPr><w:pStyle w:val="Normal"/></w:pPr>
<w:r><w:t xml:space="preserve">profitable.  There are in London alone more than 350 advertising</w:t></w:r>
</w:p>
<w:p>
<w:pPr><w:pStyle w:val="Normal"/></w:pPr>
<w:r><w:t xml:space="preserve">agents, of whom upwards of a hundred are known as men in</w:t></w:r>
</w:p>
<w:p>
<w:pPr><w:pStyle w:val="Normal"/></w:pPr>
<w:r><w:t xml:space="preserve">a considerable way of business.  The statements which from</w:t></w:r>
</w:p>
<w:p>
<w:pPr><w:pStyle w:val="Normal"/></w:pPr>
<w:r><w:t xml:space="preserve">time to time find currency in the newspapers with regard to</w:t></w:r>
</w:p>
<w:p>
<w:pPr><w:pStyle w:val="Normal"/></w:pPr>
<w:r><w:t xml:space="preserve">the total amount of money annually spent upon advertising</w:t></w:r>
</w:p>
<w:p>
<w:pPr><w:pStyle w:val="Normal"/></w:pPr>
<w:r><w:t xml:space="preserve">in Great Britain and in the United States are necessarily</w:t></w:r>
</w:p>
<w:p>
<w:pPr><w:pStyle w:val="Normal"/></w:pPr>
<w:r><w:t xml:space="preserve">no better than conjectures, but no detailed statistics are</w:t></w:r>
</w:p>
<w:p>
<w:pPr><w:pStyle w:val="Normal"/></w:pPr>
<w:r><w:t xml:space="preserve">required in order to demonstrate what every reader can plainly</w:t></w:r>
</w:p>
<w:p>
<w:pPr><w:pStyle w:val="Normal"/></w:pPr>
<w:r><w:t xml:space="preserve">see for himself, that advertising has definitely assumed</w:t></w:r>
</w:p>
<w:p>
<w:pPr><w:pStyle w:val="Normal"/></w:pPr>
<w:r><w:t xml:space="preserve">its position as a serious field of commercial enterprise.</w:t></w:r>
</w:p>
<w:p>
<w:pPr><w:pStyle w:val="Normal"/></w:pPr>
<w:r><w:t xml:space="preserve">Advertising, as practised at the beginning of the 20th century,</w:t></w:r>
</w:p>
<w:p>
<w:pPr><w:pStyle w:val="Normal"/></w:pPr>
<w:r><w:t xml:space="preserve">may be divided into three general classes:--1.  Advertising in</w:t></w:r>
</w:p>
<w:p>
<w:pPr><w:pStyle w:val="Normal"/></w:pPr>
<w:r><w:t xml:space="preserve">periodical publications. 2. Advertising by posters, signboards</w:t></w:r>
</w:p>
<w:p>
<w:pPr><w:pStyle w:val="Normal"/></w:pPr>
<w:r><w:t xml:space="preserve">(other than those placed upon premises where the advertised</w:t></w:r>
</w:p>
<w:p>
<w:pPr><w:pStyle w:val="Normal"/></w:pPr>
<w:r><w:t xml:space="preserve">business is conducted), transparencies and similar devices.</w:t></w:r>
</w:p>
<w:p>
<w:pPr><w:pStyle w:val="Normal"/></w:pPr>
<w:r><w:t xml:space="preserve">3. Circulars, sent in quantities to specific classes of</w:t></w:r>
</w:p>
<w:p>
<w:pPr><w:pStyle w:val="Normal"/></w:pPr>
<w:r><w:t xml:space="preserve">persons to whom the advertiser specially desired to address</w:t></w:r>
</w:p>
<w:p>
<w:pPr><w:pStyle w:val="Normal"/></w:pPr>
<w:r><w:t xml:space="preserve">himself.  It may be noted at the outset that advertising in</w:t></w:r>
</w:p>
<w:p>
<w:pPr><w:pStyle w:val="Normal"/></w:pPr>
<w:r><w:t xml:space="preserve">periodical publications exercises a reflex influence upon these</w:t></w:r>
</w:p>
<w:p>
<w:pPr><w:pStyle w:val="Normal"/></w:pPr>
<w:r><w:t xml:space="preserve">publications.  The dally, weekly and monthly publications of</w:t></w:r>
</w:p>
<w:p>
<w:pPr><w:pStyle w:val="Normal"/></w:pPr>
<w:r><w:t xml:space="preserve">the day are accustomed to look to advertisements for so large</w:t></w:r>
</w:p>
<w:p>
<w:pPr><w:pStyle w:val="Normal"/></w:pPr>
<w:r><w:t xml:space="preserve">a part of their revenue that the purchaser of a periodical</w:t></w:r>
</w:p>
<w:p>
<w:pPr><w:pStyle w:val="Normal"/></w:pPr>
<w:r><w:t xml:space="preserve">publication receives much greater value for his money than he</w:t></w:r>
</w:p>
<w:p>
<w:pPr><w:pStyle w:val="Normal"/></w:pPr>
<w:r><w:t xml:space="preserve">could reasonably expect from the publisher if the aggregate</w:t></w:r>
</w:p>
<w:p>
<w:pPr><w:pStyle w:val="Normal"/></w:pPr>
<w:r><w:t xml:space="preserve">advertising receipts did not constitute a perpetual subsidy</w:t></w:r>
</w:p>
<w:p>
<w:pPr><w:pStyle w:val="Normal"/></w:pPr>
<w:r><w:t xml:space="preserve">to the publisher.  It is not to be supposed, however, that</w:t></w:r>
</w:p>
<w:p>
<w:pPr><w:pStyle w:val="Normal"/></w:pPr>
<w:r><w:t xml:space="preserve">the receipts from the sale of a paper cover all its expenses</w:t></w:r>
</w:p>
<w:p>
<w:pPr><w:pStyle w:val="Normal"/></w:pPr>
<w:r><w:t xml:space="preserve">and that the advertising revenue is all clear profit.  The</w:t></w:r>
</w:p>
<w:p>
<w:pPr><w:pStyle w:val="Normal"/></w:pPr>
<w:r><w:t xml:space="preserve">average newspaper reader would be amazed if he knew at how</w:t></w:r>
</w:p>
<w:p>
<w:pPr><w:pStyle w:val="Normal"/></w:pPr>
<w:r><w:t xml:space="preserve">great a cost the day&apos;s news is laid before him.  A dignified</w:t></w:r>
</w:p>
<w:p>
<w:pPr><w:pStyle w:val="Normal"/></w:pPr>
<w:r><w:t xml:space="preserve">journal displays no inclination to cry from the housetops</w:t></w:r>
</w:p>
<w:p>
<w:pPr><w:pStyle w:val="Normal"/></w:pPr>
<w:r><w:t xml:space="preserve">the vastness of its expenditure, but from time to time an</w:t></w:r>
</w:p>
<w:p>
<w:pPr><w:pStyle w:val="Normal"/></w:pPr>
<w:r><w:t xml:space="preserve">accident enables the public to obtain information in this</w:t></w:r>
</w:p>
<w:p>
<w:pPr><w:pStyle w:val="Normal"/></w:pPr>
<w:r><w:t xml:space="preserve">connexion.  The evidence taken by a recent Copyright Commission</w:t></w:r>
</w:p>
<w:p>
<w:pPr><w:pStyle w:val="Normal"/></w:pPr>
<w:r><w:t xml:space="preserve">disclosed that the expenditure of the leading English journal</w:t></w:r>
</w:p>
<w:p>
<w:pPr><w:pStyle w:val="Normal"/></w:pPr>
<w:r><w:t xml:space="preserve">upon foreign news alone amounted to more than L. 50,000 in the</w:t></w:r>
</w:p>
<w:p>
<w:pPr><w:pStyle w:val="Normal"/></w:pPr>
<w:r><w:t xml:space="preserve">course of one year, and that a year not characterized by any</w:t></w:r>
</w:p>
<w:p>
<w:pPr><w:pStyle w:val="Normal"/></w:pPr>
<w:r><w:t xml:space="preserve">great war to swell the ordinary volume of cable despatches.</w:t></w:r>
</w:p>
<w:p>
<w:pPr><w:pStyle w:val="Normal"/></w:pPr>
<w:r><w:t xml:space="preserve">In the case of daily papers sold at the minimum price, it is</w:t></w:r>
</w:p>
<w:p>
<w:pPr><w:pStyle w:val="Normal"/></w:pPr>
<w:r><w:t xml:space="preserve">not less obvious that the costliness of news service renders</w:t></w:r>
</w:p>
<w:p>
<w:pPr><w:pStyle w:val="Normal"/></w:pPr>
<w:r><w:t xml:space="preserve">advertising revenue indispensable, for although these less</w:t></w:r>
</w:p>
<w:p>
<w:pPr><w:pStyle w:val="Normal"/></w:pPr>
<w:r><w:t xml:space="preserve">important journals spend less money, the price at which they</w:t></w:r>
</w:p>
<w:p>
<w:pPr><w:pStyle w:val="Normal"/></w:pPr>
<w:r><w:t xml:space="preserve">are supplied to the news agents is very small in proportion</w:t></w:r>
</w:p>
<w:p>
<w:pPr><w:pStyle w:val="Normal"/></w:pPr>
<w:r><w:t xml:space="preserve">to the cost of their production.  If, however, this thought</w:t></w:r>
</w:p>
<w:p>
<w:pPr><w:pStyle w:val="Normal"/></w:pPr>
<w:r><w:t xml:space="preserve">be pursued to its logical conclusion, the advertiser must</w:t></w:r>
</w:p>
<w:p>
<w:pPr><w:pStyle w:val="Normal"/></w:pPr>
<w:r><w:t xml:space="preserve">admit that he in turn receives, from those among newspaper</w:t></w:r>
</w:p>
<w:p>
<w:pPr><w:pStyle w:val="Normal"/></w:pPr>
<w:r><w:t xml:space="preserve">readers who purchase his wares, prices sufficiently high</w:t></w:r>
</w:p>
<w:p>
<w:pPr><w:pStyle w:val="Normal"/></w:pPr>
<w:r><w:t xml:space="preserve">to cover the cost of his advertising.  So that the reader</w:t></w:r>
</w:p>
<w:p>
<w:pPr><w:pStyle w:val="Normal"/></w:pPr>
<w:r><w:t xml:space="preserve">is in the curious position of directly paying a certain</w:t></w:r>
</w:p>
<w:p>
<w:pPr><w:pStyle w:val="Normal"/></w:pPr>
<w:r><w:t xml:space="preserve">price for his newspaper, receiving a newspaper fairly worth</w:t></w:r>
</w:p>
<w:p>
<w:pPr><w:pStyle w:val="Normal"/></w:pPr>
<w:r><w:t xml:space="preserve">more than that price, while this price is supplemented by</w:t></w:r>
</w:p>
<w:p>
<w:pPr><w:pStyle w:val="Normal"/></w:pPr>
<w:r><w:t xml:space="preserve">the indirect incidence of a sort of tax upon many of the</w:t></w:r>
</w:p>
<w:p>
<w:pPr><w:pStyle w:val="Normal"/></w:pPr>
<w:r><w:t xml:space="preserve">commodities he consumes.  On the other hand, a great part</w:t></w:r>
</w:p>
<w:p>
<w:pPr><w:pStyle w:val="Normal"/></w:pPr>
<w:r><w:t xml:space="preserve">of the advertisements in a daily newspaper have themselves</w:t></w:r>
</w:p>
<w:p>
<w:pPr><w:pStyle w:val="Normal"/></w:pPr>
<w:r><w:t xml:space="preserve">an interest and utility not less than that possessed by the</w:t></w:r>
</w:p>
<w:p>
<w:pPr><w:pStyle w:val="Normal"/></w:pPr>
<w:r><w:t xml:space="preserve">news.  The man who desires to hire a house turns to the</w:t></w:r>
</w:p>
<w:p>
<w:pPr><w:pStyle w:val="Normal"/></w:pPr>
<w:r><w:t xml:space="preserve">classified lists which the newspaper publishes day after</w:t></w:r>
</w:p>
<w:p>
<w:pPr><w:pStyle w:val="Normal"/></w:pPr>
<w:r><w:t xml:space="preserve">day, and servants and employers find one another by the same</w:t></w:r>
</w:p>
<w:p>
<w:pPr><w:pStyle w:val="Normal"/></w:pPr>
<w:r><w:t xml:space="preserve">means.  The theatrical announcements are so much a part</w:t></w:r>
</w:p>
<w:p>
<w:pPr><w:pStyle w:val="Normal"/></w:pPr>
<w:r><w:t xml:space="preserve">of the news that even if a journal were not paid for their</w:t></w:r>
</w:p>
<w:p>
<w:pPr><w:pStyle w:val="Normal"/></w:pPr>
<w:r><w:t xml:space="preserve">insertion they could not be altogether omitted without</w:t></w:r>
</w:p>
<w:p>
<w:pPr><w:pStyle w:val="Normal"/></w:pPr>
<w:r><w:t xml:space="preserve">inconvenience to the reader.  In the main, however, it is</w:t></w:r>
</w:p>
<w:p>
<w:pPr><w:pStyle w:val="Normal"/></w:pPr>
<w:r><w:t xml:space="preserve">the advertiser who seeks the reader, not the reader who seeks</w:t></w:r>
</w:p>
<w:p>
<w:pPr><w:pStyle w:val="Normal"/></w:pPr>
<w:r><w:t xml:space="preserve">the advertiser, and the care with which advertisements are</w:t></w:r>
</w:p>
<w:p>
<w:pPr><w:pStyle w:val="Normal"/></w:pPr>
<w:r><w:t xml:space="preserve">prepared, and the certainty with which the success or failure</w:t></w:r>
</w:p>
<w:p>
<w:pPr><w:pStyle w:val="Normal"/></w:pPr>
<w:r><w:t xml:space="preserve">of a trader may be traced to his skill or want of skill as an</w:t></w:r>
</w:p>
<w:p>
<w:pPr><w:pStyle w:val="Normal"/></w:pPr>
<w:r><w:t xml:space="preserve">advertiser, show that the proper use of advertising is one</w:t></w:r>
</w:p>
<w:p>
<w:pPr><w:pStyle w:val="Normal"/></w:pPr>
<w:r><w:t xml:space="preserve">of the most indispensable branches of commercial training.</w:t></w:r>
</w:p>
<w:p>
<w:pPr><w:pStyle w:val="Normal"/></w:pPr>
<w:r><w:t xml:space="preserve">Poster and sign advertisements.</w:t></w:r>
</w:p>
<w:p>
<w:pPr><w:pStyle w:val="Normal"/></w:pPr>
<w:r><w:t xml:space="preserve">Before discussing in detail the methods of advertising</w:t></w:r>
</w:p>
<w:p>
<w:pPr><w:pStyle w:val="Normal"/></w:pPr>
<w:r><w:t xml:space="preserve">in periodical publications it may be well to complete,</w:t></w:r>
</w:p>
<w:p>
<w:pPr><w:pStyle w:val="Normal"/></w:pPr>
<w:r><w:t xml:space="preserve">for the use of the general reader, a brief survey of</w:t></w:r>
</w:p>
<w:p>
<w:pPr><w:pStyle w:val="Normal"/></w:pPr>
<w:r><w:t xml:space="preserve">the whole subject by examining the two other classes of</w:t></w:r>
</w:p>
<w:p>
<w:pPr><w:pStyle w:val="Normal"/></w:pPr>
<w:r><w:t xml:space="preserve">advertisement.  The most enthusiastic partisan of advertising</w:t></w:r>
</w:p>
<w:p>
<w:pPr><w:pStyle w:val="Normal"/></w:pPr>
<w:r><w:t xml:space="preserve">will admit that posters and similar devices are very</w:t></w:r>
</w:p>
<w:p>
<w:pPr><w:pStyle w:val="Normal"/></w:pPr>
<w:r><w:t xml:space="preserve">generally regarded by the public as sources of annoyance.</w:t></w:r>
</w:p>
<w:p>
<w:pPr><w:pStyle w:val="Normal"/></w:pPr>
<w:r><w:t xml:space="preserve">A bold headline or a conspicuous illustration in a newspaper</w:t></w:r>
</w:p>
<w:p>
<w:pPr><w:pStyle w:val="Normal"/></w:pPr>
<w:r><w:t xml:space="preserve">advertisement may for a moment force itself upon the reader&apos;s</w:t></w:r>
</w:p>
<w:p>
<w:pPr><w:pStyle w:val="Normal"/></w:pPr>
<w:r><w:t xml:space="preserve">attention.  In the French, and in some English newspapers,</w:t></w:r>
</w:p>
<w:p>
<w:pPr><w:pStyle w:val="Normal"/></w:pPr>
<w:r><w:t xml:space="preserve">where an advertisement is often given the form of an item of</w:t></w:r>
</w:p>
<w:p>
<w:pPr><w:pStyle w:val="Normal"/></w:pPr>
<w:r><w:t xml:space="preserve">news, the reader is distressed by the constant fear of being</w:t></w:r>
</w:p>
<w:p>
<w:pPr><w:pStyle w:val="Normal"/></w:pPr>
<w:r><w:t xml:space="preserve">hoodwinked.  He begins to read an account of a street accident,</w:t></w:r>
</w:p>
<w:p>
<w:pPr><w:pStyle w:val="Normal"/></w:pPr>
<w:r><w:t xml:space="preserve">and finds at the end of the paragraph a puff of a panacea for</w:t></w:r>
</w:p>
<w:p>
<w:pPr><w:pStyle w:val="Normal"/></w:pPr>
<w:r><w:t xml:space="preserve">bruises.  The best English and American journals have refused</w:t></w:r>
</w:p>
<w:p>
<w:pPr><w:pStyle w:val="Normal"/></w:pPr>
<w:r><w:t xml:space="preserve">to lend themselves to this sort of trickery, and in no one</w:t></w:r>
</w:p>
<w:p>
<w:pPr><w:pStyle w:val="Normal"/></w:pPr>
<w:r><w:t xml:space="preserve">of the best journals printed in the English language will</w:t></w:r>
</w:p>
<w:p>
<w:pPr><w:pStyle w:val="Normal"/></w:pPr>
<w:r><w:t xml:space="preserve">there be found an advertisement which is not so plainly</w:t></w:r>
</w:p>
<w:p>
<w:pPr><w:pStyle w:val="Normal"/></w:pPr>
<w:r><w:t xml:space="preserve">differentiated from news matter that the reader may avoid</w:t></w:r>
</w:p>
<w:p>
<w:pPr><w:pStyle w:val="Normal"/></w:pPr>
<w:r><w:t xml:space="preserve">it if he sees fit to do so.  On the whole, then, newspaper</w:t></w:r>
</w:p>
<w:p>
<w:pPr><w:pStyle w:val="Normal"/></w:pPr>
<w:r><w:t xml:space="preserve">advertisements ask, but do not compel attention.  The whole</w:t></w:r>
</w:p>
<w:p>
<w:pPr><w:pStyle w:val="Normal"/></w:pPr>
<w:r><w:t xml:space="preserve">theory of poster advertising is, on the other hand, one of</w:t></w:r>
</w:p>
<w:p>
<w:pPr><w:pStyle w:val="Normal"/></w:pPr>
<w:r><w:t xml:space="preserve">tyranny.  The advertiser who pays for space upon a hoarding or</w:t></w:r>
</w:p>
<w:p>
<w:pPr><w:pStyle w:val="Normal"/></w:pPr>
<w:r><w:t xml:space="preserve">wall, although he may encourage a form of art, deliberately</w:t></w:r>
</w:p>
<w:p>
<w:pPr><w:pStyle w:val="Normal"/></w:pPr>
<w:r><w:t xml:space="preserve">violates the wayfarer&apos;s mind.  A trade-mark or a catch-word</w:t></w:r>
</w:p>
<w:p>
<w:pPr><w:pStyle w:val="Normal"/></w:pPr>
<w:r><w:t xml:space="preserve">presents itself when eye and thought are occupied with other</w:t></w:r>
</w:p>
<w:p>
<w:pPr><w:pStyle w:val="Normal"/></w:pPr>
<w:r><w:t xml:space="preserve">subjects.  Those who object to this class of advertisement</w:t></w:r>
</w:p>
<w:p>
<w:pPr><w:pStyle w:val="Normal"/></w:pPr>
<w:r><w:t xml:space="preserve">assert, with some show of reason, that an advertisement has</w:t></w:r>
</w:p>
<w:p>
<w:pPr><w:pStyle w:val="Normal"/></w:pPr>
<w:r><w:t xml:space="preserve">no more right to assault the eye in this fashion than to</w:t></w:r>
</w:p>
<w:p>
<w:pPr><w:pStyle w:val="Normal"/></w:pPr>
<w:r><w:t xml:space="preserve">storm the ear by an inordinate din; and a man who came up</w:t></w:r>
</w:p>
<w:p>
<w:pPr><w:pStyle w:val="Normal"/></w:pPr>
<w:r><w:t xml:space="preserve">behind another man in the street, placed his mouth close to</w:t></w:r>
</w:p>
<w:p>
<w:pPr><w:pStyle w:val="Normal"/></w:pPr>
<w:r><w:t xml:space="preserve">the other&apos;s ear, and bawled a recommendation of some brand</w:t></w:r>
</w:p>
<w:p>
<w:pPr><w:pStyle w:val="Normal"/></w:pPr>
<w:r><w:t xml:space="preserve">of soap or tobacco, would be regarded as an intolerable</w:t></w:r>
</w:p>
<w:p>
<w:pPr><w:pStyle w:val="Normal"/></w:pPr>
<w:r><w:t xml:space="preserve">disturber of public peace and comfort.  Yet if the owner of</w:t></w:r>
</w:p>
<w:p>
<w:pPr><w:pStyle w:val="Normal"/></w:pPr>
<w:r><w:t xml:space="preserve">a house sees fit to paint advertisements upon his walls, his</w:t></w:r>
</w:p>
<w:p>
<w:pPr><w:pStyle w:val="Normal"/></w:pPr>
<w:r><w:t xml:space="preserve">exercise of the jealously guarded rights of private property</w:t></w:r>
</w:p>
<w:p>
<w:pPr><w:pStyle w:val="Normal"/></w:pPr>
<w:r><w:t xml:space="preserve">may not lightly be disturbed.  For the most part, both law and</w:t></w:r>
</w:p>
<w:p>
<w:pPr><w:pStyle w:val="Normal"/></w:pPr>
<w:r><w:t xml:space="preserve">public opinion content themselves with restraining the worst</w:t></w:r>
</w:p>
<w:p>
<w:pPr><w:pStyle w:val="Normal"/></w:pPr>
<w:r><w:t xml:space="preserve">excesses of the advertiser, leaving many sensitive persons to</w:t></w:r>
</w:p>
<w:p>
<w:pPr><w:pStyle w:val="Normal"/></w:pPr>
<w:r><w:t xml:space="preserve">suffer.  The National Society for Checking the Abuses of Public</w:t></w:r>
</w:p>
<w:p>
<w:pPr><w:pStyle w:val="Normal"/></w:pPr>
<w:r><w:t xml:space="preserve">Advertising (known as SCARA), founded in 1803 in London,</w:t></w:r>
</w:p>
<w:p>
<w:pPr><w:pStyle w:val="Normal"/></w:pPr>
<w:r><w:t xml:space="preserve">was organized for purposes which it describes as follows:--</w:t></w:r>
</w:p>
<w:p>
<w:pPr><w:pStyle w:val="Normal"/></w:pPr>
<w:r><w:t xml:space="preserve">The society aims at protecting the picturesque simplicity</w:t></w:r>
</w:p>
<w:p>
<w:pPr><w:pStyle w:val="Normal"/></w:pPr>
<w:r><w:t xml:space="preserve">of rural and river scenery, and promoting a regard for</w:t></w:r>
</w:p>
<w:p>
<w:pPr><w:pStyle w:val="Normal"/></w:pPr>
<w:r><w:t xml:space="preserve">dignity and propriety of aspect in towns---with especial</w:t></w:r>
</w:p>
<w:p>
<w:pPr><w:pStyle w:val="Normal"/></w:pPr>
<w:r><w:t xml:space="preserve">reference to the abuses of spectacular advertising.</w:t></w:r>
</w:p>
<w:p>
<w:pPr><w:pStyle w:val="Normal"/></w:pPr>
<w:r><w:t xml:space="preserve">It seeks to procure legislation whereby local representative</w:t></w:r>
</w:p>
<w:p>
<w:pPr><w:pStyle w:val="Normal"/></w:pPr>
<w:r><w:t xml:space="preserve">bodies would be enabled to exercise control, by means of</w:t></w:r>
</w:p>
<w:p>
<w:pPr><w:pStyle w:val="Normal"/></w:pPr>
<w:r><w:t xml:space="preserve">by-laws framed with a view to enabling them, at any rate,</w:t></w:r>
</w:p>
<w:p>
<w:pPr><w:pStyle w:val="Normal"/></w:pPr>
<w:r><w:t xml:space="preserve">to grant relief in cases of flagrant and acknowledged abuse.</w:t></w:r>
</w:p>
<w:p>
<w:pPr><w:pStyle w:val="Normal"/></w:pPr>
<w:r><w:t xml:space="preserve">It is believed that, when regulation is applied in cases where</w:t></w:r>
</w:p>
<w:p>
<w:pPr><w:pStyle w:val="Normal"/></w:pPr>
<w:r><w:t xml:space="preserve">local conditions are peculiarly favourable, the advantage will</w:t></w:r>
</w:p>
<w:p>
<w:pPr><w:pStyle w:val="Normal"/></w:pPr>
<w:r><w:t xml:space="preserve">be so apparent that, by force of imitation and competition,</w:t></w:r>
</w:p>
<w:p>
<w:pPr><w:pStyle w:val="Normal"/></w:pPr>
<w:r><w:t xml:space="preserve">the enforcement of a reasonable standard will gradually become</w:t></w:r>
</w:p>
<w:p>
<w:pPr><w:pStyle w:val="Normal"/></w:pPr>
<w:r><w:t xml:space="preserve">common.  The degree of restraint will, of course, depend upon</w:t></w:r>
</w:p>
<w:p>
<w:pPr><w:pStyle w:val="Normal"/></w:pPr>
<w:r><w:t xml:space="preserve">the varying requirements of different places and positions.</w:t></w:r>
</w:p>
<w:p>
<w:pPr><w:pStyle w:val="Normal"/></w:pPr>
<w:r><w:t xml:space="preserve">No hard-and-fast rule is suggested; no particular class of</w:t></w:r>
</w:p>
<w:p>
<w:pPr><w:pStyle w:val="Normal"/></w:pPr>
<w:r><w:t xml:space="preserve">advertisement is proscribed; certainly no general prohibition</w:t></w:r>
</w:p>
<w:p>
<w:pPr><w:pStyle w:val="Normal"/></w:pPr>
<w:r><w:t xml:space="preserve">of posters on temporary hoardings is contemplated.  Within</w:t></w:r>
</w:p>
<w:p>
<w:pPr><w:pStyle w:val="Normal"/></w:pPr>
<w:r><w:t xml:space="preserve">the metropolitan area sky signs have already been prohibited,</w:t></w:r>
</w:p>
<w:p>
<w:pPr><w:pStyle w:val="Normal"/></w:pPr>
<w:r><w:t xml:space="preserve">and it is hoped that some corresponding check will be placed</w:t></w:r>
</w:p>
<w:p>
<w:pPr><w:pStyle w:val="Normal"/></w:pPr>
<w:r><w:t xml:space="preserve">on the multiplication of the field boards which so materially</w:t></w:r>
</w:p>
<w:p>
<w:pPr><w:pStyle w:val="Normal"/></w:pPr>
<w:r><w:t xml:space="preserve">diminish the pleasure or comfort of railway journeys.</w:t></w:r>
</w:p>
<w:p>
<w:pPr><w:pStyle w:val="Normal"/></w:pPr>
<w:r><w:t xml:space="preserve">The society regards with favour the imposition of a moderate</w:t></w:r>
</w:p>
<w:p>
<w:pPr><w:pStyle w:val="Normal"/></w:pPr>
<w:r><w:t xml:space="preserve">tax or duty for imperial or local purposes on exposed</w:t></w:r>
</w:p>
<w:p>
<w:pPr><w:pStyle w:val="Normal"/></w:pPr>
<w:r><w:t xml:space="preserve">advertisements not coming within certain categories of</w:t></w:r>
</w:p>
<w:p>
<w:pPr><w:pStyle w:val="Normal"/></w:pPr>
<w:r><w:t xml:space="preserve">obviously necessary notices.  The difficulty of inducing a</w:t></w:r>
</w:p>
<w:p>
<w:pPr><w:pStyle w:val="Normal"/></w:pPr>
<w:r><w:t xml:space="preserve">chancellor of the exchequer to move in a matter where revenue</w:t></w:r>
</w:p>
<w:p>
<w:pPr><w:pStyle w:val="Normal"/></w:pPr>
<w:r><w:t xml:space="preserve">is not the primary consideration is not overlooked.  But it</w:t></w:r>
</w:p>
<w:p>
<w:pPr><w:pStyle w:val="Normal"/></w:pPr>
<w:r><w:t xml:space="preserve">is thought that an impost would materially reduce the volume</w:t></w:r>
</w:p>
<w:p>
<w:pPr><w:pStyle w:val="Normal"/></w:pPr>
<w:r><w:t xml:space="preserve">of exposed advertisements, and would at once extinguish</w:t></w:r>
</w:p>
<w:p>
<w:pPr><w:pStyle w:val="Normal"/></w:pPr>
<w:r><w:t xml:space="preserve">the most offensive and the most annoying class, i.e.</w:t></w:r>
</w:p>
<w:p>
<w:pPr><w:pStyle w:val="Normal"/></w:pPr>
<w:r><w:t xml:space="preserve">the quack advertisements by the road sides and the bills</w:t></w:r>
</w:p>
<w:p>
<w:pPr><w:pStyle w:val="Normal"/></w:pPr>
<w:r><w:t xml:space="preserve">stuck by unauthorized persons on trees, walls and palings.</w:t></w:r>
</w:p>
<w:p>
<w:pPr><w:pStyle w:val="Normal"/></w:pPr>
<w:r><w:t xml:space="preserve">Members are recommended to make it known that there exists</w:t></w:r>
</w:p>
<w:p>
<w:pPr><w:pStyle w:val="Normal"/></w:pPr>
<w:r><w:t xml:space="preserve">an active repugnance to the present practice of advertising</w:t></w:r>
</w:p>
<w:p>
<w:pPr><w:pStyle w:val="Normal"/></w:pPr>
<w:r><w:t xml:space="preserve">disfigurement, by giving preference, in private transactions,</w:t></w:r>
</w:p>
<w:p>
<w:pPr><w:pStyle w:val="Normal"/></w:pPr>
<w:r><w:t xml:space="preserve">to makers and dealers who do not employ objectionable</w:t></w:r>
</w:p>
<w:p>
<w:pPr><w:pStyle w:val="Normal"/></w:pPr>
<w:r><w:t xml:space="preserve">methods, and by avoiding, as far as possible, the purchase</w:t></w:r>
</w:p>
<w:p>
<w:pPr><w:pStyle w:val="Normal"/></w:pPr>
<w:r><w:t xml:space="preserve">of wares which, in their individual opinion, are offensively</w:t></w:r>
</w:p>
<w:p>
<w:pPr><w:pStyle w:val="Normal"/></w:pPr>
<w:r><w:t xml:space="preserve">puffed.  Action on these lines is advised rather for its</w:t></w:r>
</w:p>
<w:p>
<w:pPr><w:pStyle w:val="Normal"/></w:pPr>
<w:r><w:t xml:space="preserve">educational than for its immediately deterrent effect;</w:t></w:r>
</w:p>
<w:p>
<w:pPr><w:pStyle w:val="Normal"/></w:pPr>
<w:r><w:t xml:space="preserve">although, in the case of many of the more expensive</w:t></w:r>
</w:p>
<w:p>
<w:pPr><w:pStyle w:val="Normal"/></w:pPr>
<w:r><w:t xml:space="preserve">commodities, makers would undoubtedly be much influenced by</w:t></w:r>
</w:p>
<w:p>
<w:pPr><w:pStyle w:val="Normal"/></w:pPr>
<w:r><w:t xml:space="preserve">the knowledge that they would lose, rather than gain, custom.</w:t></w:r>
</w:p>
<w:p>
<w:pPr><w:pStyle w:val="Normal"/></w:pPr>
<w:r><w:t xml:space="preserve">The foregoing proposals are based on the following estimate</w:t></w:r>
</w:p>
<w:p>
<w:pPr><w:pStyle w:val="Normal"/></w:pPr>
<w:r><w:t xml:space="preserve">of the conditions of the problem.  It is believed that the</w:t></w:r>
</w:p>
<w:p>
<w:pPr><w:pStyle w:val="Normal"/></w:pPr>
<w:r><w:t xml:space="preserve">present licence causes discomfort or loss of enjoyment to</w:t></w:r>
</w:p>
<w:p>
<w:pPr><w:pStyle w:val="Normal"/></w:pPr>
<w:r><w:t xml:space="preserve">many, and that, in the absence of authoritative restriction,</w:t></w:r>
</w:p>
<w:p>
<w:pPr><w:pStyle w:val="Normal"/></w:pPr>
<w:r><w:t xml:space="preserve">it must grow far beyond its present limits; that beauty or</w:t></w:r>
</w:p>
<w:p>
<w:pPr><w:pStyle w:val="Normal"/></w:pPr>
<w:r><w:t xml:space="preserve">propriety of aspect in town and country forms as real a part</w:t></w:r>
</w:p>
<w:p>
<w:pPr><w:pStyle w:val="Normal"/></w:pPr>
<w:r><w:t xml:space="preserve">of the national wealth as any material product, and that to</w:t></w:r>
</w:p>
<w:p>
<w:pPr><w:pStyle w:val="Normal"/></w:pPr>
<w:r><w:t xml:space="preserve">save these from impairment is a national interest; that the</w:t></w:r>
</w:p>
<w:p>
<w:pPr><w:pStyle w:val="Normal"/></w:pPr>
<w:r><w:t xml:space="preserve">recent developments of vexatiously obtrusive advertising have</w:t></w:r>
</w:p>
<w:p>
<w:pPr><w:pStyle w:val="Normal"/></w:pPr>
<w:r><w:t xml:space="preserve">not grown out of any necessities of honourable business, but</w:t></w:r>
</w:p>
<w:p>
<w:pPr><w:pStyle w:val="Normal"/></w:pPr>
<w:r><w:t xml:space="preserve">are partly the result of a mere instinct of imitation, and</w:t></w:r>
</w:p>
<w:p>
<w:pPr><w:pStyle w:val="Normal"/></w:pPr>
<w:r><w:t xml:space="preserve">partly are a morbid phase of competition by which both the</w:t></w:r>
</w:p>
<w:p>
<w:pPr><w:pStyle w:val="Normal"/></w:pPr>
<w:r><w:t xml:space="preserve">consumers and the trade as a whole lose; that restriction</w:t></w:r>
</w:p>
<w:p>
<w:pPr><w:pStyle w:val="Normal"/></w:pPr>
<w:r><w:t xml:space="preserve">as regards the size and positions of advertising notices</w:t></w:r>
</w:p>
<w:p>
<w:pPr><w:pStyle w:val="Normal"/></w:pPr>
<w:r><w:t xml:space="preserve">would not be a hardship to those who want publicity--since</w:t></w:r>
</w:p>
<w:p>
<w:pPr><w:pStyle w:val="Normal"/></w:pPr>
<w:r><w:t xml:space="preserve">all competitors would be treated alike, each would have the</w:t></w:r>
</w:p>
<w:p>
<w:pPr><w:pStyle w:val="Normal"/></w:pPr>
<w:r><w:t xml:space="preserve">same relative prominence; that, as large sums of public money</w:t></w:r>
</w:p>
<w:p>
<w:pPr><w:pStyle w:val="Normal"/></w:pPr>
<w:r><w:t xml:space="preserve">are expended on institutions intended to develop the finer</w:t></w:r>
</w:p>
<w:p>
<w:pPr><w:pStyle w:val="Normal"/></w:pPr>
<w:r><w:t xml:space="preserve">taste, and on edifices of elaborate design, it must be held</w:t></w:r>
</w:p>
<w:p>
<w:pPr><w:pStyle w:val="Normal"/></w:pPr>
<w:r><w:t xml:space="preserve">inconsistent with established public policy to permit the</w:t></w:r>
</w:p>
<w:p>
<w:pPr><w:pStyle w:val="Normal"/></w:pPr>
<w:r><w:t xml:space="preserve">sensibilities thus imparted to be wounded, and architectural</w:t></w:r>
</w:p>
<w:p>
<w:pPr><w:pStyle w:val="Normal"/></w:pPr>
<w:r><w:t xml:space="preserve">effect to be destroyed at the discretion of a limited</w:t></w:r>
</w:p>
<w:p>
<w:pPr><w:pStyle w:val="Normal"/></w:pPr>
<w:r><w:t xml:space="preserve">class.  The influence of this society is to be seen in many</w:t></w:r>
</w:p>
<w:p>
<w:pPr><w:pStyle w:val="Normal"/></w:pPr>
<w:r><w:t xml:space="preserve">of the restrictions which have been imposed upon advertisers</w:t></w:r>
</w:p>
<w:p>
<w:pPr><w:pStyle w:val="Normal"/></w:pPr>
<w:r><w:t xml:space="preserve">since its work began.  About a year after its foundation</w:t></w:r>
</w:p>
<w:p>
<w:pPr><w:pStyle w:val="Normal"/></w:pPr>
<w:r><w:t xml:space="preserve">the London County Council abolished (under statutory powers</w:t></w:r>
</w:p>
<w:p>
<w:pPr><w:pStyle w:val="Normal"/></w:pPr>
<w:r><w:t xml:space="preserve">obtained from Parliament) advertisements coming within</w:t></w:r>
</w:p>
<w:p>
<w:pPr><w:pStyle w:val="Normal"/></w:pPr>
<w:r><w:t xml:space="preserve">the definition of sky-signs in the London Building Act of</w:t></w:r>
</w:p>
<w:p>
<w:pPr><w:pStyle w:val="Normal"/></w:pPr>
<w:r><w:t xml:space="preserve">1894.  These specifications are as follows--``Sky sign&apos;, means</w:t></w:r>
</w:p>
<w:p>
<w:pPr><w:pStyle w:val="Normal"/></w:pPr>
<w:r><w:t xml:space="preserve">any word, letter, model, sign, device, or representation in</w:t></w:r>
</w:p>
<w:p>
<w:pPr><w:pStyle w:val="Normal"/></w:pPr>
<w:r><w:t xml:space="preserve">the nature of an advertisement, announcement, or direction</w:t></w:r>
</w:p>
<w:p>
<w:pPr><w:pStyle w:val="Normal"/></w:pPr>
<w:r><w:t xml:space="preserve">supported on or attached to any post, pole, standard,</w:t></w:r>
</w:p>
<w:p>
<w:pPr><w:pStyle w:val="Normal"/></w:pPr>
<w:r><w:t xml:space="preserve">framework, or other support, wholly or in part upon, over,</w:t></w:r>
</w:p>
<w:p>
<w:pPr><w:pStyle w:val="Normal"/></w:pPr>
<w:r><w:t xml:space="preserve">or above any building or structure, which, or any part of</w:t></w:r>
</w:p>
<w:p>
<w:pPr><w:pStyle w:val="Normal"/></w:pPr>
<w:r><w:t xml:space="preserve">which, sky sign shall be visible against the sky from any</w:t></w:r>
</w:p>
<w:p>
<w:pPr><w:pStyle w:val="Normal"/></w:pPr>
<w:r><w:t xml:space="preserve">point in any street or public way, and includes all and every</w:t></w:r>
</w:p>
<w:p>
<w:pPr><w:pStyle w:val="Heading1"/></w:pPr>
<w:r><w:t>part of any such post, pole, standard, framework, or other</w:t></w:r>
</w:p>
<w:p>
<w:pPr><w:pStyle w:val="Normal"/></w:pPr>
<w:r><w:t xml:space="preserve">support.  The expression ``sky sign&apos;&apos; shall also include any</w:t></w:r>
</w:p>
<w:p>
<w:pPr><w:pStyle w:val="Normal"/></w:pPr>
<w:r><w:t xml:space="preserve">balloon, parachute, or similar device employed wholly or in</w:t></w:r>
</w:p>
<w:p>
<w:pPr><w:pStyle w:val="Heading1"/></w:pPr>
<w:r><w:t>part for the purposes of any advertisements or announcement</w:t></w:r>
</w:p>
<w:p>
<w:pPr><w:pStyle w:val="Normal"/></w:pPr>
<w:r><w:t xml:space="preserve">on, over, or above any building, structure, or erection</w:t></w:r>
</w:p>
<w:p>
<w:pPr><w:pStyle w:val="Normal"/></w:pPr>
<w:r><w:t xml:space="preserve">of any kind, or on or over any street or public way.</w:t></w:r>
</w:p>
<w:p>
<w:pPr><w:pStyle w:val="Normal"/></w:pPr>
<w:r><w:t xml:space="preserve">The act proceeds to exclude from its restrictions flagstaffs, weathercocks</w:t></w:r>
</w:p>
<w:p>
<w:pPr><w:pStyle w:val="Normal"/></w:pPr>
<w:r><w:t xml:space="preserve">and any solid signs not rising more than 3 feet above the roof.</w:t></w:r>
</w:p>
<w:p>
<w:pPr><w:pStyle w:val="Normal"/></w:pPr>
<w:r><w:t xml:space="preserve">Another by-law of the London County Council, in great measure</w:t></w:r>
</w:p>
<w:p>
<w:pPr><w:pStyle w:val="Normal"/></w:pPr>
<w:r><w:t xml:space="preserve">due to the observations made at coroners&apos; inquests, protects the</w:t></w:r>
</w:p>
<w:p>
<w:pPr><w:pStyle w:val="Normal"/></w:pPr>
<w:r><w:t xml:space="preserve">public against the annoyances and the perils to traffic occasioned</w:t></w:r>
</w:p>
<w:p>
<w:pPr><w:pStyle w:val="Normal"/></w:pPr>
<w:r><w:t xml:space="preserve">by flashlight and searchlight advertisements.  This by-law reads</w:t></w:r>
</w:p>
<w:p>
<w:pPr><w:pStyle w:val="Normal"/></w:pPr>
<w:r><w:t xml:space="preserve">as follows:--No person shall exhibit any flashlight so as to</w:t></w:r>
</w:p>
<w:p>
<w:pPr><w:pStyle w:val="Normal"/></w:pPr>
<w:r><w:t xml:space="preserve">be visible from any street and to cause danger to the traffic</w:t></w:r>
</w:p>
<w:p>
<w:pPr><w:pStyle w:val="Normal"/></w:pPr>
<w:r><w:t xml:space="preserve">therein, nor shall any owner or occupier of premises permit</w:t></w:r>
</w:p>
<w:p>
<w:pPr><w:pStyle w:val="Normal"/></w:pPr>
<w:r><w:t xml:space="preserve">or suffer any flashlight to be so exhibited on such premises.</w:t></w:r>
</w:p>
<w:p>
<w:pPr><w:pStyle w:val="Normal"/></w:pPr>
<w:r><w:t xml:space="preserve">The expression ``flashlight&apos;&apos; means and includes any light used</w:t></w:r>
</w:p>
<w:p>
<w:pPr><w:pStyle w:val="Normal"/></w:pPr>
<w:r><w:t xml:space="preserve">for the purpose of illuminating, lighting, or exhibiting any</w:t></w:r>
</w:p>
<w:p>
<w:pPr><w:pStyle w:val="Normal"/></w:pPr>
<w:r><w:t xml:space="preserve">word, letter, model, sign, device, or representation in the</w:t></w:r>
</w:p>
<w:p>
<w:pPr><w:pStyle w:val="Normal"/></w:pPr>
<w:r><w:t xml:space="preserve">nature of an advertisement, announcement, or direction which</w:t></w:r>
</w:p>
<w:p>
<w:pPr><w:pStyle w:val="Normal"/></w:pPr>
<w:r><w:t xml:space="preserve">alters suddenly either in intensity, colour, or direction.</w:t></w:r>
</w:p>
<w:p>
<w:pPr><w:pStyle w:val="Normal"/></w:pPr>
<w:r><w:t xml:space="preserve">No person shall exhibit any searchlight so as to be visible</w:t></w:r>
</w:p>
<w:p>
<w:pPr><w:pStyle w:val="Normal"/></w:pPr>
<w:r><w:t xml:space="preserve">from any street, and to cause danger to the traffic therein,</w:t></w:r>
</w:p>
<w:p>
<w:pPr><w:pStyle w:val="Normal"/></w:pPr>
<w:r><w:t xml:space="preserve">nor shall any owner or occupier of premises permit or</w:t></w:r>
</w:p>
<w:p>
<w:pPr><w:pStyle w:val="Normal"/></w:pPr>
<w:r><w:t xml:space="preserve">suffer any searchlight to be so exhibited on such premises.</w:t></w:r>
</w:p>
<w:p>
<w:pPr><w:pStyle w:val="Normal"/></w:pPr>
<w:r><w:t xml:space="preserve">The expression ``searchlight&apos;&apos; means and includes any</w:t></w:r>
</w:p>
<w:p>
<w:pPr><w:pStyle w:val="Normal"/></w:pPr>
<w:r><w:t xml:space="preserve">light exceeding 500-candle power, whether in one lamp</w:t></w:r>
</w:p>
<w:p>
<w:pPr><w:pStyle w:val="Normal"/></w:pPr>
<w:r><w:t xml:space="preserve">or lantern, or in a series of lamps or lanterns used</w:t></w:r>
</w:p>
<w:p>
<w:pPr><w:pStyle w:val="Normal"/></w:pPr>
<w:r><w:t xml:space="preserve">together and projected as one concentrated light, and</w:t></w:r>
</w:p>
<w:p>
<w:pPr><w:pStyle w:val="Normal"/></w:pPr>
<w:r><w:t xml:space="preserve">which alters either in intensity, colour, or direction.</w:t></w:r>
</w:p>
<w:p>
<w:pPr><w:pStyle w:val="Normal"/></w:pPr>
<w:r><w:t xml:space="preserve">Advertising vans were so troublesome in London as to be</w:t></w:r>
</w:p>
<w:p>
<w:pPr><w:pStyle w:val="Normal"/></w:pPr>
<w:r><w:t xml:space="preserve">prohibited in 1853; the ``sandwich-man&apos;&apos; has in the City of</w:t></w:r>
</w:p>
<w:p>
<w:pPr><w:pStyle w:val="Normal"/></w:pPr>
<w:r><w:t xml:space="preserve">London and many towns been ousted from the pavement to the</w:t></w:r>
</w:p>
<w:p>
<w:pPr><w:pStyle w:val="Normal"/></w:pPr>
<w:r><w:t xml:space="preserve">gutter, from the more crowded to the less crowded streets,</w:t></w:r>
</w:p>
<w:p>
<w:pPr><w:pStyle w:val="Normal"/></w:pPr>
<w:r><w:t xml:space="preserve">and as the traffic problem in the great centres of population</w:t></w:r>
</w:p>
<w:p>
<w:pPr><w:pStyle w:val="Normal"/></w:pPr>
<w:r><w:t xml:space="preserve">becomes more urgent, he will probably be altogether suppressed.</w:t></w:r>
</w:p>
<w:p>
<w:pPr><w:pStyle w:val="Normal"/></w:pPr>
<w:r><w:t xml:space="preserve">Hoardings are now so restricted by the London Building Acts</w:t></w:r>
</w:p>
<w:p>
<w:pPr><w:pStyle w:val="Normal"/></w:pPr>
<w:r><w:t xml:space="preserve">that new hoardings cannot, except under special conditions, be</w:t></w:r>
</w:p>
<w:p>
<w:pPr><w:pStyle w:val="Normal"/></w:pPr>
<w:r><w:t xml:space="preserve">erected exceeding 12 feet in height, and no existing hoardings</w:t></w:r>
</w:p>
<w:p>
<w:pPr><w:pStyle w:val="Normal"/></w:pPr>
<w:r><w:t xml:space="preserve">can be increased in height so as to exceed that limit.  The</w:t></w:r>
</w:p>
<w:p>
<w:pPr><w:pStyle w:val="Normal"/></w:pPr>
<w:r><w:t xml:space="preserve">huge signs which some advertisers, both in England and the</w:t></w:r>
</w:p>
<w:p>
<w:pPr><w:pStyle w:val="Normal"/></w:pPr>
<w:r><w:t xml:space="preserve">United States, have placed in such positions as to mar the</w:t></w:r>
</w:p>
<w:p>
<w:pPr><w:pStyle w:val="Normal"/></w:pPr>
<w:r><w:t xml:space="preserve">landscape, have so far aroused public antagonism that there is</w:t></w:r>
</w:p>
<w:p>
<w:pPr><w:pStyle w:val="Normal"/></w:pPr>
<w:r><w:t xml:space="preserve">reason to hope that this form of nuisance will not increase.</w:t></w:r>
</w:p>
<w:p>
<w:pPr><w:pStyle w:val="Normal"/></w:pPr>
<w:r><w:t xml:space="preserve">In 1899 Edinburgh obtained effective powers of control over</w:t></w:r>
</w:p>
<w:p>
<w:pPr><w:pStyle w:val="Normal"/></w:pPr>
<w:r><w:t xml:space="preserve">ail sorts of advertising in public places, and this achievement</w:t></w:r>
</w:p>
<w:p>
<w:pPr><w:pStyle w:val="Normal"/></w:pPr>
<w:r><w:t xml:space="preserve">has been followed by no little agitation in favour of a</w:t></w:r>
</w:p>
<w:p>
<w:pPr><w:pStyle w:val="Normal"/></w:pPr>
<w:r><w:t xml:space="preserve">Parliamentary enactment which should once for all do away with</w:t></w:r>
</w:p>
<w:p>
<w:pPr><w:pStyle w:val="Normal"/></w:pPr>
<w:r><w:t xml:space="preserve">the defacing of the landscape in any part of the United Kingdom.</w:t></w:r>
</w:p>
<w:p>
<w:pPr><w:pStyle w:val="Normal"/></w:pPr>
<w:r><w:t xml:space="preserve">In 1907 an act was passed (Advertisements Regulation Act) of a</w:t></w:r>
</w:p>
<w:p>
<w:pPr><w:pStyle w:val="Normal"/></w:pPr>
<w:r><w:t xml:space="preserve">permissive character purely, under which a local authority is</w:t></w:r>
</w:p>
<w:p>
<w:pPr><w:pStyle w:val="Normal"/></w:pPr>
<w:r><w:t xml:space="preserve">enabled to make by-laws, subject to the confirmation of the Home</w:t></w:r>
</w:p>
<w:p>
<w:pPr><w:pStyle w:val="Normal"/></w:pPr>
<w:r><w:t xml:space="preserve">Secretary, regulating (1) the erection of hoardings, &amp;c., exceeding</w:t></w:r>
</w:p>
<w:p>
<w:pPr><w:pStyle w:val="Normal"/></w:pPr>
<w:r><w:t xml:space="preserve">12 feet in height, and (2) the exhibition of advertisements which</w:t></w:r>
</w:p>
<w:p>
<w:pPr><w:pStyle w:val="Normal"/></w:pPr>
<w:r><w:t xml:space="preserve">might affect the ``amenities&apos;&apos; of a public place or landscape.</w:t></w:r>
</w:p>
<w:p>
<w:pPr><w:pStyle w:val="Normal"/></w:pPr>
<w:r><w:t xml:space="preserve">The English law with regard to posters has undergone very little</w:t></w:r>
</w:p>
<w:p>
<w:pPr><w:pStyle w:val="Normal"/></w:pPr>
<w:r><w:t xml:space="preserve">change.  The Metropolitan Police Act 1839 (2 and 3 Vict.</w:t></w:r>
</w:p>
<w:p>
<w:pPr><w:pStyle w:val="Normal"/></w:pPr>
<w:r><w:t xml:space="preserve">cap. 47) first put a stop to unauthorized posting, and the</w:t></w:r>
</w:p>
<w:p>
<w:pPr><w:pStyle w:val="Normal"/></w:pPr>
<w:r><w:t xml:space="preserve">Indecent Advertisements Act of 1889 (sec.  3) penalized the public</w:t></w:r>
</w:p>
<w:p>
<w:pPr><w:pStyle w:val="Normal"/></w:pPr>
<w:r><w:t xml:space="preserve">exposure of any picture or printed or written matter of an</w:t></w:r>
</w:p>
<w:p>
<w:pPr><w:pStyle w:val="Normal"/></w:pPr>
<w:r><w:t xml:space="preserve">indecent or obscene nature.  But in general practice there</w:t></w:r>
</w:p>
<w:p>
<w:pPr><w:pStyle w:val="Normal"/></w:pPr>
<w:r><w:t xml:space="preserve">is hardly any limitation to the size or character of poster</w:t></w:r>
</w:p>
<w:p>
<w:pPr><w:pStyle w:val="Normal"/></w:pPr>
<w:r><w:t xml:space="preserve">advertisements, other than good taste and public opinion.</w:t></w:r>
</w:p>
<w:p>
<w:pPr><w:pStyle w:val="Normal"/></w:pPr>
<w:r><w:t xml:space="preserve">On the other hand, public opinion is a somewhat vague entity,</w:t></w:r>
</w:p>
<w:p>
<w:pPr><w:pStyle w:val="Normal"/></w:pPr>
<w:r><w:t xml:space="preserve">and there have been cases in which a conflict has arisen as</w:t></w:r>
</w:p>
<w:p>
<w:pPr><w:pStyle w:val="Normal"/></w:pPr>
<w:r><w:t xml:space="preserve">to what public opinion really was, when its legally authorized</w:t></w:r>
</w:p>
<w:p>
<w:pPr><w:pStyle w:val="Normal"/></w:pPr>
<w:r><w:t xml:space="preserve">exponent was in a position to insist on its own arbitrary</w:t></w:r>
</w:p>
<w:p>
<w:pPr><w:pStyle w:val="Normal"/></w:pPr>
<w:r><w:t xml:space="preserve">definition.  Such an instance occurred some few years ago</w:t></w:r>
</w:p>
<w:p>
<w:pPr><w:pStyle w:val="Normal"/></w:pPr>
<w:r><w:t xml:space="preserve">in the case of a large poster issued by a well-known London</w:t></w:r>
</w:p>
<w:p>
<w:pPr><w:pStyle w:val="Normal"/></w:pPr>
<w:r><w:t xml:space="preserve">music-hail.  The Progressive majority on the London County</w:t></w:r>
</w:p>
<w:p>
<w:pPr><w:pStyle w:val="Normal"/></w:pPr>
<w:r><w:t xml:space="preserve">Council, led by Mr (afterwards Sir) J. M`Dougall, a well-known</w:t></w:r>
</w:p>
<w:p>
<w:pPr><w:pStyle w:val="Normal"/></w:pPr>
<w:r><w:t xml:space="preserve">``purity&apos;&apos; advocate, took exception to this poster, which</w:t></w:r>
</w:p>
<w:p>
<w:pPr><w:pStyle w:val="Normal"/></w:pPr>
<w:r><w:t xml:space="preserve">represented a female gymnast in ``tights&apos;&apos; posed in what was</w:t></w:r>
</w:p>
<w:p>
<w:pPr><w:pStyle w:val="Normal"/></w:pPr>
<w:r><w:t xml:space="preserve">doubtless intended for an alluring and attractive attitude; and,</w:t></w:r>
</w:p>
<w:p>
<w:pPr><w:pStyle w:val="Normal"/></w:pPr>
<w:r><w:t xml:space="preserve">in spite of any argument, the fact remained that the decision</w:t></w:r>
</w:p>
<w:p>
<w:pPr><w:pStyle w:val="Normal"/></w:pPr>
<w:r><w:t xml:space="preserve">as to renewing the licence of this music-hall rested solely</w:t></w:r>
</w:p>
<w:p>
<w:pPr><w:pStyle w:val="Normal"/></w:pPr>
<w:r><w:t xml:space="preserve">with the Council.  In showing that it would have no hesitation</w:t></w:r>
</w:p>
<w:p>
<w:pPr><w:pStyle w:val="Normal"/></w:pPr>
<w:r><w:t xml:space="preserve">in provoking even a charge of meddling prudery, the Council</w:t></w:r>
</w:p>
<w:p>
<w:pPr><w:pStyle w:val="Normal"/></w:pPr>
<w:r><w:t xml:space="preserve">probably gave a salutary warning to people who were inclined</w:t></w:r>
</w:p>
<w:p>
<w:pPr><w:pStyle w:val="Normal"/></w:pPr>
<w:r><w:t xml:space="preserve">to sail rather too near the wind.  But in Great Britain and</w:t></w:r>
</w:p>
<w:p>
<w:pPr><w:pStyle w:val="Normal"/></w:pPr>
<w:r><w:t xml:space="preserve">America, at all events (though a doubt may perhaps exist as to</w:t></w:r>
</w:p>
<w:p>
<w:pPr><w:pStyle w:val="Normal"/></w:pPr>
<w:r><w:t xml:space="preserve">some Continental countries), the advertiser and the artist are</w:t></w:r>
</w:p>
<w:p>
<w:pPr><w:pStyle w:val="Normal"/></w:pPr>
<w:r><w:t xml:space="preserve">restrained, not only by their own sense of propriety, but by</w:t></w:r>
</w:p>
<w:p>
<w:pPr><w:pStyle w:val="Normal"/></w:pPr>
<w:r><w:t xml:space="preserve">fear of offending the sense of propriety in their customers.</w:t></w:r>
</w:p>
<w:p>
<w:pPr><w:pStyle w:val="Normal"/></w:pPr>
<w:r><w:t xml:space="preserve">Posters and placards in railway stations and upon public</w:t></w:r>
</w:p>
<w:p>
<w:pPr><w:pStyle w:val="Normal"/></w:pPr>
<w:r><w:t xml:space="preserve">vehicles still embarrass the traveller who desires to find</w:t></w:r>
</w:p>
<w:p>
<w:pPr><w:pStyle w:val="Normal"/></w:pPr>
<w:r><w:t xml:space="preserve">the name of a station or the destination of a vehicle.  In</w:t></w:r>
</w:p>
<w:p>
<w:pPr><w:pStyle w:val="Normal"/></w:pPr>
<w:r><w:t xml:space="preserve">respect of all these abuses it is a regrettable fact that</w:t></w:r>
</w:p>
<w:p>
<w:pPr><w:pStyle w:val="Normal"/></w:pPr>
<w:r><w:t xml:space="preserve">unpopularity cannot be expected to deter the advertiser.  If a</w:t></w:r>
</w:p>
<w:p>
<w:pPr><w:pStyle w:val="Normal"/></w:pPr>
<w:r><w:t xml:space="preserve">name has once been fixed in the memory, it remains there long</w:t></w:r>
</w:p>
<w:p>
<w:pPr><w:pStyle w:val="Normal"/></w:pPr>
<w:r><w:t xml:space="preserve">after the method of its impression has been forgotten, and</w:t></w:r>
</w:p>
<w:p>
<w:pPr><w:pStyle w:val="Normal"/></w:pPr>
<w:r><w:t xml:space="preserve">the purpose of advertisements of the class under discussion</w:t></w:r>
</w:p>
<w:p>
<w:pPr><w:pStyle w:val="Normal"/></w:pPr>
<w:r><w:t xml:space="preserve">is really no more than the fixing of a trade name in the</w:t></w:r>
</w:p>
<w:p>
<w:pPr><w:pStyle w:val="Normal"/></w:pPr>
<w:r><w:t xml:space="preserve">mind.  The average man or woman who goes into a shop to buy</w:t></w:r>
</w:p>
<w:p>
<w:pPr><w:pStyle w:val="Normal"/></w:pPr>
<w:r><w:t xml:space="preserve">soap is more or less affected by a vague sense of antagonism</w:t></w:r>
</w:p>
<w:p>
<w:pPr><w:pStyle w:val="Normal"/></w:pPr>
<w:r><w:t xml:space="preserve">towards the seller.  There is a rudimentary feeling that even</w:t></w:r>
</w:p>
<w:p>
<w:pPr><w:pStyle w:val="Normal"/></w:pPr>
<w:r><w:t xml:space="preserve">the most ordinary transaction of purchase brings into contact</w:t></w:r>
</w:p>
<w:p>
<w:pPr><w:pStyle w:val="Normal"/></w:pPr>
<w:r><w:t xml:space="preserve">two minds actuated by diametrically opposed interests.  The</w:t></w:r>
</w:p>
<w:p>
<w:pPr><w:pStyle w:val="Normal"/></w:pPr>
<w:r><w:t xml:space="preserve">purchaser, who is not asking for a soap he has used before,</w:t></w:r>
</w:p>
<w:p>
<w:pPr><w:pStyle w:val="Normal"/></w:pPr>
<w:r><w:t xml:space="preserve">has some hazy suspicion that the shopkeeper will try to</w:t></w:r>
</w:p>
<w:p>
<w:pPr><w:pStyle w:val="Normal"/></w:pPr>
<w:r><w:t xml:space="preserve">sell, not the article best worth the price, but the article</w:t></w:r>
</w:p>
<w:p>
<w:pPr><w:pStyle w:val="Normal"/></w:pPr>
<w:r><w:t xml:space="preserve">which leaves the largest margin of profit; and the purchaser</w:t></w:r>
</w:p>
<w:p>
<w:pPr><w:pStyle w:val="Normal"/></w:pPr>
<w:r><w:t xml:space="preserve">imagines that he in some measure secures himself against a</w:t></w:r>
</w:p>
<w:p>
<w:pPr><w:pStyle w:val="Normal"/></w:pPr>
<w:r><w:t xml:space="preserve">bad bargain when he exercises his authority by asking for</w:t></w:r>
</w:p>
<w:p>
<w:pPr><w:pStyle w:val="Normal"/></w:pPr>
<w:r><w:t xml:space="preserve">some specific brand or make of the commodity he seeks.  If</w:t></w:r>
</w:p>
<w:p>
<w:pPr><w:pStyle w:val="Normal"/></w:pPr>
<w:r><w:t xml:space="preserve">he has seen any one soap so persistently advertised that his</w:t></w:r>
</w:p>
<w:p>
<w:pPr><w:pStyle w:val="Normal"/></w:pPr>
<w:r><w:t xml:space="preserve">memory retains its name, he will ask for it, not because he</w:t></w:r>
</w:p>
<w:p>
<w:pPr><w:pStyle w:val="Normal"/></w:pPr>
<w:r><w:t xml:space="preserve">has any reason to believe it to be better or cheaper than</w:t></w:r>
</w:p>
<w:p>
<w:pPr><w:pStyle w:val="Normal"/></w:pPr>
<w:r><w:t xml:space="preserve">others, but simply because he baffles the shopkeeper, and</w:t></w:r>
</w:p>
<w:p>
<w:pPr><w:pStyle w:val="Normal"/></w:pPr>
<w:r><w:t xml:space="preserve">assumes an authoritative attitude by exerting his own freedom</w:t></w:r>
</w:p>
<w:p>
<w:pPr><w:pStyle w:val="Normal"/></w:pPr>
<w:r><w:t xml:space="preserve">of choice.  This curious and obscure principle of action</w:t></w:r>
</w:p>
<w:p>
<w:pPr><w:pStyle w:val="Normal"/></w:pPr>
<w:r><w:t xml:space="preserve">probably lies at the root of all poster advertising, for the</w:t></w:r>
</w:p>
<w:p>
<w:pPr><w:pStyle w:val="Normal"/></w:pPr>
<w:r><w:t xml:space="preserve">poster does not set forth an argument as does the newspaper</w:t></w:r>
</w:p>
<w:p>
<w:pPr><w:pStyle w:val="Normal"/></w:pPr>
<w:r><w:t xml:space="preserve">advertisement.  It hardly attempts to reason with the</w:t></w:r>
</w:p>
<w:p>
<w:pPr><w:pStyle w:val="Normal"/></w:pPr>
<w:r><w:t xml:space="preserve">reader, but merely impresses a name upon his memory.  It</w:t></w:r>
</w:p>
<w:p>
<w:pPr><w:pStyle w:val="Normal"/></w:pPr>
<w:r><w:t xml:space="preserve">is possible, by lavish advertising, to go so far in this</w:t></w:r>
</w:p>
<w:p>
<w:pPr><w:pStyle w:val="Normal"/></w:pPr>
<w:r><w:t xml:space="preserve">direction that the trade-mark of a certain manufacturer</w:t></w:r>
</w:p>
<w:p>
<w:pPr><w:pStyle w:val="Normal"/></w:pPr>
<w:r><w:t xml:space="preserve">becomes synonymous with the name of a commodity, so that when</w:t></w:r>
</w:p>
<w:p>
<w:pPr><w:pStyle w:val="Normal"/></w:pPr>
<w:r><w:t xml:space="preserve">the consumer thinks of soap or asks for soap, his concept</w:t></w:r>
</w:p>
<w:p>
<w:pPr><w:pStyle w:val="Normal"/></w:pPr>
<w:r><w:t xml:space="preserve">inevitably couples the maker&apos;s name with the word ``soap&apos;&apos;</w:t></w:r>
</w:p>
<w:p>
<w:pPr><w:pStyle w:val="Normal"/></w:pPr>
<w:r><w:t xml:space="preserve">itself.  In order that the poster may leave any impression</w:t></w:r>
</w:p>
<w:p>
<w:pPr><w:pStyle w:val="Normal"/></w:pPr>
<w:r><w:t xml:space="preserve">upon his mind, it must of course first attract his attention.</w:t></w:r>
</w:p>
<w:p>
<w:pPr><w:pStyle w:val="Normal"/></w:pPr>
<w:r><w:t xml:space="preserve">The assistance which the advertiser receives from the artist</w:t></w:r>
</w:p>
<w:p>
<w:pPr><w:pStyle w:val="Normal"/></w:pPr>
<w:r><w:t xml:space="preserve">in this connexion is discussed in the article POSTER.</w:t></w:r>
</w:p>
<w:p>
<w:pPr><w:pStyle w:val="Normal"/></w:pPr>
<w:r><w:t xml:space="preserve">The fact that the verb ``to circularize&apos;&apos; was first used in</w:t></w:r>
</w:p>
<w:p>
<w:pPr><w:pStyle w:val="Normal"/></w:pPr>
<w:r><w:t xml:space="preserve">1848; sufficiently indicates the very recent origin of the</w:t></w:r>
</w:p>
<w:p>
<w:pPr><w:pStyle w:val="Normal"/></w:pPr>
<w:r><w:t xml:space="preserve">practice of plying possible purchasers with printed letters and</w:t></w:r>
</w:p>
<w:p>
<w:pPr><w:pStyle w:val="Normal"/></w:pPr>
<w:r><w:t xml:space="preserve">pamphlets.  The penny postage was not established in England until</w:t></w:r>
</w:p>
<w:p>
<w:pPr><w:pStyle w:val="Normal"/></w:pPr>
<w:r><w:t xml:space="preserve">1840; the halfpenny post for circulars was not introduced until</w:t></w:r>
</w:p>
<w:p>
<w:pPr><w:pStyle w:val="Normal"/></w:pPr>
<w:r><w:t xml:space="preserve">1855.  In the United States a uniform rate of postage at two</w:t></w:r>
</w:p>
<w:p>
<w:pPr><w:pStyle w:val="Normal"/></w:pPr>
<w:r><w:t xml:space="preserve">cents was not established until 1883.  In both countries cheap</w:t></w:r>
</w:p>
<w:p>
<w:pPr><w:pStyle w:val="Normal"/></w:pPr>
<w:r><w:t xml:space="preserve">postage and cheap printing have so greatly encouraged the</w:t></w:r>
</w:p>
<w:p>
<w:pPr><w:pStyle w:val="Normal"/></w:pPr>
<w:r><w:t xml:space="preserve">use of circulars that the sort of people whom the advertiser</w:t></w:r>
</w:p>
<w:p>
<w:pPr><w:pStyle w:val="Normal"/></w:pPr>
<w:r><w:t xml:space="preserve">desires to reach--those who have the most money to spend,</w:t></w:r>
</w:p>
<w:p>
<w:pPr><w:pStyle w:val="Normal"/></w:pPr>
<w:r><w:t xml:space="preserve">and whose addresses, published in directories, indicate</w:t></w:r>
</w:p>
<w:p>
<w:pPr><w:pStyle w:val="Normal"/></w:pPr>
<w:r><w:t xml:space="preserve">their prosperous condition--are overwhelmed by tradesmen&apos;s</w:t></w:r>
</w:p>
<w:p>
<w:pPr><w:pStyle w:val="Normal"/></w:pPr>
<w:r><w:t xml:space="preserve">price-lists, appeals from charitable institutions, and other</w:t></w:r>
</w:p>
<w:p>
<w:pPr><w:pStyle w:val="Normal"/></w:pPr>
<w:r><w:t xml:space="preserve">suggestions for the spending of money.  The addressing of</w:t></w:r>
</w:p>
<w:p>
<w:pPr><w:pStyle w:val="Normal"/></w:pPr>
<w:r><w:t xml:space="preserve">envelopes and enclosing of circulars is now a recognized industry</w:t></w:r>
</w:p>
<w:p>
<w:pPr><w:pStyle w:val="Normal"/></w:pPr>
<w:r><w:t xml:space="preserve">in many large towns both in Great Britain and in the United</w:t></w:r>
</w:p>
<w:p>
<w:pPr><w:pStyle w:val="Normal"/></w:pPr>
<w:r><w:t xml:space="preserve">States.  It seems, however, to be the opinion of expert</w:t></w:r>
</w:p>
<w:p>
<w:pPr><w:pStyle w:val="Normal"/></w:pPr>
<w:r><w:t xml:space="preserve">advertisers that what is called ``general circularizing&apos;&apos; is</w:t></w:r>
</w:p>
<w:p>
<w:pPr><w:pStyle w:val="Normal"/></w:pPr>
<w:r><w:t xml:space="preserve">unprofitable, and that circulars should only be sent to persons</w:t></w:r>
</w:p>
<w:p>
<w:pPr><w:pStyle w:val="Normal"/></w:pPr>
<w:r><w:t xml:space="preserve">who have peculiar reason to be interested by their specific</w:t></w:r>
</w:p>
<w:p>
<w:pPr><w:pStyle w:val="Normal"/></w:pPr>
<w:r><w:t xml:space="preserve">subject-matter.  It may be noted, as an instance of the</w:t></w:r>
</w:p>
<w:p>
<w:pPr><w:pStyle w:val="Normal"/></w:pPr>
<w:r><w:t xml:space="preserve">assiduity with which specialized circularizing is pursued,</w:t></w:r>
</w:p>
<w:p>
<w:pPr><w:pStyle w:val="Normal"/></w:pPr>
<w:r><w:t xml:space="preserve">that the announcement of a birth, marriage or death in the</w:t></w:r>
</w:p>
<w:p>
<w:pPr><w:pStyle w:val="Normal"/></w:pPr>
<w:r><w:t xml:space="preserve">newspapers serves to calf forth a grotesque variety of circulars</w:t></w:r>
</w:p>
<w:p>
<w:pPr><w:pStyle w:val="Normal"/></w:pPr>
<w:r><w:t xml:space="preserve">supposed to be adapted to the momentary needs of the recipient.</w:t></w:r>
</w:p>
<w:p>
<w:pPr><w:pStyle w:val="Normal"/></w:pPr>
<w:r><w:t xml:space="preserve">In concluding this review of methods of advertising, other</w:t></w:r>
</w:p>
<w:p>
<w:pPr><w:pStyle w:val="Normal"/></w:pPr>
<w:r><w:t xml:space="preserve">than advertisements in periodical publications, we may add</w:t></w:r>
</w:p>
<w:p>
<w:pPr><w:pStyle w:val="Normal"/></w:pPr>
<w:r><w:t xml:space="preserve">that the most extraordinary attempt at advertisement which is</w:t></w:r>
</w:p>
<w:p>
<w:pPr><w:pStyle w:val="Normal"/></w:pPr>
<w:r><w:t xml:space="preserve">known to exist is to be found at the churchyard at Godalming,</w:t></w:r>
</w:p>
<w:p>
<w:pPr><w:pStyle w:val="Normal"/></w:pPr>
<w:r><w:t xml:space="preserve">Surrey, where the following epitaph was placed upon a</w:t></w:r>
</w:p>
<w:p>
<w:pPr><w:pStyle w:val="Normal"/></w:pPr>
<w:r><w:t xml:space="preserve">Sacred</w:t></w:r>
</w:p>
<w:p>
<w:pPr><w:pStyle w:val="Normal"/></w:pPr>
<w:r><w:t xml:space="preserve">To the memory of</w:t></w:r>
</w:p>
<w:p>
<w:pPr><w:pStyle w:val="Normal"/></w:pPr>
<w:r><w:t xml:space="preserve">Nathaniel Godbold Esq,</w:t></w:r>
</w:p>
<w:p>
<w:pPr><w:pStyle w:val="Normal"/></w:pPr>
<w:r><w:t xml:space="preserve">inventor &amp; Proprietor</w:t></w:r>
</w:p>
<w:p>
<w:pPr><w:pStyle w:val="Normal"/></w:pPr>
<w:r><w:t xml:space="preserve">of that excellent medicine</w:t></w:r>
</w:p>
<w:p>
<w:pPr><w:pStyle w:val="Normal"/></w:pPr>
<w:r><w:t xml:space="preserve">The Vegetable Balsam</w:t></w:r>
</w:p>
<w:p>
<w:pPr><w:pStyle w:val="Normal"/></w:pPr>
<w:r><w:t xml:space="preserve">For the Cure of Consumptions &amp; Asthmas.</w:t></w:r>
</w:p>
<w:p>
<w:pPr><w:pStyle w:val="Normal"/></w:pPr>
<w:r><w:t xml:space="preserve">He departed this Life</w:t></w:r>
</w:p>
<w:p>
<w:pPr><w:pStyle w:val="Normal"/></w:pPr>
<w:r><w:t xml:space="preserve">The 17th. day of Decr. 1799</w:t></w:r>
</w:p>
<w:p>
<w:pPr><w:pStyle w:val="Normal"/></w:pPr>
<w:r><w:t xml:space="preserve">Aged 69 years.</w:t></w:r>
</w:p>
<w:p>
<w:pPr><w:pStyle w:val="Normal"/></w:pPr>
<w:r><w:t xml:space="preserve">Hic Cineres, ubique Fama.</w:t></w:r>
</w:p>
<w:p>
<w:pPr><w:pStyle w:val="Normal"/></w:pPr>
<w:r><w:t xml:space="preserve">The preparation of advertisements for the periodical press has</w:t></w:r>
</w:p>
<w:p>
<w:pPr><w:pStyle w:val="Normal"/></w:pPr>
<w:r><w:t xml:space="preserve">within the last twenty years or so become so important a task</w:t></w:r>
</w:p>
<w:p>
<w:pPr><w:pStyle w:val="Normal"/></w:pPr>
<w:r><w:t xml:space="preserve">that a great number of writers and artists--many of the latter</w:t></w:r>
</w:p>
<w:p>
<w:pPr><w:pStyle w:val="Normal"/></w:pPr>
<w:r><w:t xml:space="preserve">possessing considerable abilities--gain a livelihood from this</w:t></w:r>
</w:p>
<w:p>
<w:pPr><w:pStyle w:val="Normal"/></w:pPr>
<w:r><w:t xml:space="preserve">pursuit.  The ingenuity displayed in modern newspaper advertising</w:t></w:r>
</w:p>
<w:p>
<w:pPr><w:pStyle w:val="Normal"/></w:pPr>
<w:r><w:t xml:space="preserve">is unquestionably due to American initiative.  The English</w:t></w:r>
</w:p>
<w:p>
<w:pPr><w:pStyle w:val="Normal"/></w:pPr>
<w:r><w:t xml:space="preserve">newspaper advertisement of twenty years ago consisted for the</w:t></w:r>
</w:p>
<w:p>
<w:pPr><w:pStyle w:val="Normal"/></w:pPr>
<w:r><w:t xml:space="preserve">most part of the mere reiteration of a name.  An advertiser</w:t></w:r>
</w:p>
<w:p>
<w:pPr><w:pStyle w:val="Normal"/></w:pPr>
<w:r><w:t xml:space="preserve">who took a column&apos;s space supplied enough matter to fill an</w:t></w:r>
</w:p>
<w:p>
<w:pPr><w:pStyle w:val="Normal"/></w:pPr>
<w:r><w:t xml:space="preserve">inch, and ingenuously repeated his statement throughout the</w:t></w:r>
</w:p>
<w:p>
<w:pPr><w:pStyle w:val="Normal"/></w:pPr>
<w:r><w:t xml:space="preserve">column.  Such departures from this childlike method as</w:t></w:r>
</w:p>
<w:p>
<w:pPr><w:pStyle w:val="Normal"/></w:pPr>
<w:r><w:t xml:space="preserve">were made were for the most part eccentric to the point of</w:t></w:r>
</w:p>
<w:p>
<w:pPr><w:pStyle w:val="Normal"/></w:pPr>
<w:r><w:t xml:space="preserve">incoherence.  It may, however, be said in defence of English</w:t></w:r>
</w:p>
<w:p>
<w:pPr><w:pStyle w:val="Normal"/></w:pPr>
<w:r><w:t xml:space="preserve">advertisers, that newspaper publishers for a long time</w:t></w:r>
</w:p>
<w:p>
<w:pPr><w:pStyle w:val="Normal"/></w:pPr>
<w:r><w:t xml:space="preserve">sternly discountenanced any attempt to render advertisements</w:t></w:r>
</w:p>
<w:p>
<w:pPr><w:pStyle w:val="Normal"/></w:pPr>
<w:r><w:t xml:space="preserve">attractive.  So long as an advertiser was rigidly confined</w:t></w:r>
</w:p>
<w:p>
<w:pPr><w:pStyle w:val="Normal"/></w:pPr>
<w:r><w:t xml:space="preserve">to the ordinary single-column measure, and so long as he was</w:t></w:r>
</w:p>
<w:p>
<w:pPr><w:pStyle w:val="Normal"/></w:pPr>
<w:r><w:t xml:space="preserve">forbidden to use anything but the smallest sort of type, there</w:t></w:r>
</w:p>
<w:p>
<w:pPr><w:pStyle w:val="Normal"/></w:pPr>
<w:r><w:t xml:space="preserve">was very little opportunity for him to attract the reader&apos;s</w:t></w:r>
</w:p>
<w:p>
<w:pPr><w:pStyle w:val="Normal"/></w:pPr>
<w:r><w:t xml:space="preserve">attention.  The newspaper publisher must always remember</w:t></w:r>
</w:p>
<w:p>
<w:pPr><w:pStyle w:val="Normal"/></w:pPr>
<w:r><w:t xml:space="preserve">that the public buy a newspaper for the sake of the news,</w:t></w:r>
</w:p>
<w:p>
<w:pPr><w:pStyle w:val="Normal"/></w:pPr>
<w:r><w:t xml:space="preserve">not for the sake of the advertisements, and that if the</w:t></w:r>
</w:p>
<w:p>
<w:pPr><w:pStyle w:val="Normal"/></w:pPr>
<w:r><w:t xml:space="preserve">advertisements are relegated to a position and a scope, in</w:t></w:r>
</w:p>
<w:p>
<w:pPr><w:pStyle w:val="Normal"/></w:pPr>
<w:r><w:t xml:space="preserve">respect of display, so inferior that they may be overlooked,</w:t></w:r>
</w:p>
<w:p>
<w:pPr><w:pStyle w:val="Normal"/></w:pPr>
<w:r><w:t xml:space="preserve">the advertiser cannot afford to bear his share of the cost of</w:t></w:r>
</w:p>
<w:p>
<w:pPr><w:pStyle w:val="Normal"/></w:pPr>
<w:r><w:t xml:space="preserve">publication.  Of late The Times, followed by almost all</w:t></w:r>
</w:p>
<w:p>
<w:pPr><w:pStyle w:val="Normal"/></w:pPr>
<w:r><w:t xml:space="preserve">newspapers in the United Kingdom, has given the advertiser</w:t></w:r>
</w:p>
<w:p>
<w:pPr><w:pStyle w:val="Normal"/></w:pPr>
<w:r><w:t xml:space="preserve">as great a degree of liberty as he really needs, and many</w:t></w:r>
</w:p>
<w:p>
<w:pPr><w:pStyle w:val="Normal"/></w:pPr>
<w:r><w:t xml:space="preserve">experienced advertisers in America incline to the belief</w:t></w:r>
</w:p>
<w:p>
<w:pPr><w:pStyle w:val="Normal"/></w:pPr>
<w:r><w:t xml:space="preserve">that the larger licence accorded to American advertisers</w:t></w:r>
</w:p>
<w:p>
<w:pPr><w:pStyle w:val="Normal"/></w:pPr>
<w:r><w:t xml:space="preserve">defeats its own ends.  The truth would seem to be that the</w:t></w:r>
</w:p>
<w:p>
<w:pPr><w:pStyle w:val="Normal"/></w:pPr>
<w:r><w:t xml:space="preserve">advertiser will always demand, and may fairly expect, the</w:t></w:r>
</w:p>
<w:p>
<w:pPr><w:pStyle w:val="Normal"/></w:pPr>
<w:r><w:t xml:space="preserve">right to make his space as fantastic in appearance as that</w:t></w:r>
</w:p>
<w:p>
<w:pPr><w:pStyle w:val="Normal"/></w:pPr>
<w:r><w:t xml:space="preserve">allotted to the editor.  When some American editors see fit</w:t></w:r>
</w:p>
<w:p>
<w:pPr><w:pStyle w:val="Normal"/></w:pPr>
<w:r><w:t xml:space="preserve">to print a headline in letters as large as a man&apos;s hand,</w:t></w:r>
</w:p>
<w:p>
<w:pPr><w:pStyle w:val="Normal"/></w:pPr>
<w:r><w:t xml:space="preserve">and to begin half-a-dozen different articles on the first</w:t></w:r>
</w:p>
<w:p>
<w:pPr><w:pStyle w:val="Normal"/></w:pPr>
<w:r><w:t xml:space="preserve">page of a newspaper, continuing one on page 2, another on</w:t></w:r>
</w:p>
<w:p>
<w:pPr><w:pStyle w:val="Normal"/></w:pPr>
<w:r><w:t xml:space="preserve">page 4, and another on page 6, to the bewilderment of the</w:t></w:r>
</w:p>
<w:p>
<w:pPr><w:pStyle w:val="Normal"/></w:pPr>
<w:r><w:t xml:space="preserve">reader, it can hardly be expected that the American advertiser</w:t></w:r>
</w:p>
<w:p>
<w:pPr><w:pStyle w:val="Normal"/></w:pPr>
<w:r><w:t xml:space="preserve">should submit to any very strict code of decorum.  The</w:t></w:r>
</w:p>
<w:p>
<w:pPr><w:pStyle w:val="Normal"/></w:pPr>
<w:r><w:t xml:space="preserve">subject of the relation between a newspaper proprietor and</w:t></w:r>
</w:p>
<w:p>
<w:pPr><w:pStyle w:val="Normal"/></w:pPr>
<w:r><w:t xml:space="preserve">his advertisers cannot be dismissed without reference to the</w:t></w:r>
</w:p>
<w:p>
<w:pPr><w:pStyle w:val="Normal"/></w:pPr>
<w:r><w:t xml:space="preserve">notable independence of advertisers&apos; influence, which English</w:t></w:r>
</w:p>
<w:p>
<w:pPr><w:pStyle w:val="Normal"/></w:pPr>
<w:r><w:t xml:space="preserve">and American newspaper proprietors authorize their editors to</w:t></w:r>
</w:p>
<w:p>
<w:pPr><w:pStyle w:val="Normal"/></w:pPr>
<w:r><w:t xml:space="preserve">display.  Whenever an insurance company or a bank goes wrong,</w:t></w:r>
</w:p>
<w:p>
<w:pPr><w:pStyle w:val="Normal"/></w:pPr>
<w:r><w:t xml:space="preserve">the cry is raised that all the editors in Christendom had</w:t></w:r>
</w:p>
<w:p>
<w:pPr><w:pStyle w:val="Normal"/></w:pPr>
<w:r><w:t xml:space="preserve">known for years that the directors were imbeciles and rogues,</w:t></w:r>
</w:p>
<w:p>
<w:pPr><w:pStyle w:val="Normal"/></w:pPr>
<w:r><w:t xml:space="preserve">but had conspired to keep mute for the sake of an occasional</w:t></w:r>
</w:p>
<w:p>
<w:pPr><w:pStyle w:val="Normal"/></w:pPr>
<w:r><w:t xml:space="preserve">advertisement.  When the British public persisted, not long</w:t></w:r>
</w:p>
<w:p>
<w:pPr><w:pStyle w:val="Normal"/></w:pPr>
<w:r><w:t xml:space="preserve">ago, in paying premium prices for the shares of over-capitalized</w:t></w:r>
</w:p>
<w:p>
<w:pPr><w:pStyle w:val="Normal"/></w:pPr>
<w:r><w:t xml:space="preserve">companies, the crash had no sooner come than the newspapers</w:t></w:r>
</w:p>
<w:p>
<w:pPr><w:pStyle w:val="Normal"/></w:pPr>
<w:r><w:t xml:space="preserve">were accused of having puffed promotions for the sake of the</w:t></w:r>
</w:p>
<w:p>
<w:pPr><w:pStyle w:val="Normal"/></w:pPr>
<w:r><w:t xml:space="preserve">money received for publishing prospectuses.  As a matter of</w:t></w:r>
</w:p>
<w:p>
<w:pPr><w:pStyle w:val="Normal"/></w:pPr>
<w:r><w:t xml:space="preserve">fact, in the case of the best dailies in England and America,</w:t></w:r>
</w:p>
<w:p>
<w:pPr><w:pStyle w:val="Normal"/></w:pPr>
<w:r><w:t xml:space="preserve">the editor does not stand at all in awe of the advertiser, and</w:t></w:r>
</w:p>
<w:p>
<w:pPr><w:pStyle w:val="Normal"/></w:pPr>
<w:r><w:t xml:space="preserve">time after time the Money Article has truthlessly attacked a</w:t></w:r>
</w:p>
<w:p>
<w:pPr><w:pStyle w:val="Normal"/></w:pPr>
<w:r><w:t xml:space="preserve">promotion of which the prospectus appeared in the very same</w:t></w:r>
</w:p>
<w:p>
<w:pPr><w:pStyle w:val="Normal"/></w:pPr>
<w:r><w:t xml:space="preserve">issue.  It is indeed to the interest of the advertiser, as</w:t></w:r>
</w:p>
<w:p>
<w:pPr><w:pStyle w:val="Normal"/></w:pPr>
<w:r><w:t xml:space="preserve">well as to the interest of the reader, that this independence</w:t></w:r>
</w:p>
<w:p>
<w:pPr><w:pStyle w:val="Normal"/></w:pPr>
<w:r><w:t xml:space="preserve">should be preserved, for the worth of any journal as an</w:t></w:r>
</w:p>
<w:p>
<w:pPr><w:pStyle w:val="Normal"/></w:pPr>
<w:r><w:t xml:space="preserve">advertising medium depends upon its possessing a bona fide</w:t></w:r>
</w:p>
<w:p>
<w:pPr><w:pStyle w:val="Normal"/></w:pPr>
<w:r><w:t xml:space="preserve">circulation among persons who believe it to be a serious and</w:t></w:r>
</w:p>
<w:p>
<w:pPr><w:pStyle w:val="Normal"/></w:pPr>
<w:r><w:t xml:space="preserve">honestly conducted newspaper.  All advertisers know that the</w:t></w:r>
</w:p>
<w:p>
<w:pPr><w:pStyle w:val="Normal"/></w:pPr>
<w:r><w:t xml:space="preserve">minor weeklies, which contain nothing but trade puffs, and</w:t></w:r>
</w:p>
<w:p>
<w:pPr><w:pStyle w:val="Normal"/></w:pPr>
<w:r><w:t xml:space="preserve">are scattered broadcast among people who pay nothing for their</w:t></w:r>
</w:p>
<w:p>
<w:pPr><w:pStyle w:val="Normal"/></w:pPr>
<w:r><w:t xml:space="preserve">copies, are absolutely worthless from the advertiser&apos;s point of</w:t></w:r>
</w:p>
<w:p>
<w:pPr><w:pStyle w:val="Normal"/></w:pPr>
<w:r><w:t xml:space="preserve">view.  The most striking difference between the periodical</w:t></w:r>
</w:p>
<w:p>
<w:pPr><w:pStyle w:val="Normal"/></w:pPr>
<w:r><w:t xml:space="preserve">press of Great Britain and that of America is, that in the</w:t></w:r>
</w:p>
<w:p>
<w:pPr><w:pStyle w:val="Normal"/></w:pPr>
<w:r><w:t xml:space="preserve">former country the magazines and reviews play but a secondary</w:t></w:r>
</w:p>
<w:p>
<w:pPr><w:pStyle w:val="Normal"/></w:pPr>
<w:r><w:t xml:space="preserve">role, while in the United States the three or four monthlies</w:t></w:r>
</w:p>
<w:p>
<w:pPr><w:pStyle w:val="Normal"/></w:pPr>
<w:r><w:t xml:space="preserve">possessing the largest circulation are of the very first</w:t></w:r>
</w:p>
<w:p>
<w:pPr><w:pStyle w:val="Normal"/></w:pPr>
<w:r><w:t xml:space="preserve">importance as advertising mediums.  One reason for this is</w:t></w:r>
</w:p>
<w:p>
<w:pPr><w:pStyle w:val="Normal"/></w:pPr>
<w:r><w:t xml:space="preserve">that the advertisements in an American magazine are printed</w:t></w:r>
</w:p>
<w:p>
<w:pPr><w:pStyle w:val="Normal"/></w:pPr>
<w:r><w:t xml:space="preserve">on as good paper, and printed with as great care, as any</w:t></w:r>
</w:p>
<w:p>
<w:pPr><w:pStyle w:val="Normal"/></w:pPr>
<w:r><w:t xml:space="preserve">other part of the contents.  There are probably very few among</w:t></w:r>
</w:p>
<w:p>
<w:pPr><w:pStyle w:val="Normal"/></w:pPr>
<w:r><w:t xml:space="preserve">American magazine readers who do not habitually look through</w:t></w:r>
</w:p>
<w:p>
<w:pPr><w:pStyle w:val="Normal"/></w:pPr>
<w:r><w:t xml:space="preserve">the advertising pages, with the certainty that they will be</w:t></w:r>
</w:p>
<w:p>
<w:pPr><w:pStyle w:val="Normal"/></w:pPr>
<w:r><w:t xml:space="preserve">entertained by the beauty of the advertiser&apos;s illustrations</w:t></w:r>
</w:p>
<w:p>
<w:pPr><w:pStyle w:val="Normal"/></w:pPr>
<w:r><w:t xml:space="preserve">and the quaint curtness of his phrases.  Another reason is</w:t></w:r>
</w:p>
<w:p>
<w:pPr><w:pStyle w:val="Normal"/></w:pPr>
<w:r><w:t xml:space="preserve">that the American monthly magazine goes to all parts of the</w:t></w:r>
</w:p>
<w:p>
<w:pPr><w:pStyle w:val="Normal"/></w:pPr>
<w:r><w:t xml:space="preserve">United States, while, owing to the time required for long</w:t></w:r>
</w:p>
<w:p>
<w:pPr><w:pStyle w:val="Normal"/></w:pPr>
<w:r><w:t xml:space="preserve">journeys on even the swiftest trains, no American daily paper</w:t></w:r>
</w:p>
<w:p>
<w:pPr><w:pStyle w:val="Normal"/></w:pPr>
<w:r><w:t xml:space="preserve">can have so general a circulation as The Times in the United</w:t></w:r>
</w:p>
<w:p>
<w:pPr><w:pStyle w:val="Normal"/></w:pPr>
<w:r><w:t xml:space="preserve">Kingdom.  In comparison with points on the Pacific coast,</w:t></w:r>
</w:p>
<w:p>
<w:pPr><w:pStyle w:val="Normal"/></w:pPr>
<w:r><w:t xml:space="preserve">Chicago does not seem far from New York, yet, with the exception</w:t></w:r>
</w:p>
<w:p>
<w:pPr><w:pStyle w:val="Normal"/></w:pPr>
<w:r><w:t xml:space="preserve">of one frenzied and altogether unsuccessful attempt, no</w:t></w:r>
</w:p>
<w:p>
<w:pPr><w:pStyle w:val="Normal"/></w:pPr>
<w:r><w:t xml:space="preserve">New York daily has ever attempted to force a circulation in</w:t></w:r>
</w:p>
<w:p>
<w:pPr><w:pStyle w:val="Normal"/></w:pPr>
<w:r><w:t xml:space="preserve">Chicago.  The American advertiser would, therefore, have to</w:t></w:r>
</w:p>
<w:p>
<w:pPr><w:pStyle w:val="Normal"/></w:pPr>
<w:r><w:t xml:space="preserve">spend money on a great number of daily papers in order to reach</w:t></w:r>
</w:p>
<w:p>
<w:pPr><w:pStyle w:val="Normal"/></w:pPr>
<w:r><w:t xml:space="preserve">as widespread a public as one successful magazine offers him.</w:t></w:r>
</w:p>
<w:p>
<w:pPr><w:pStyle w:val="Normal"/></w:pPr>
<w:r><w:t xml:space="preserve">There is reason to believe that the English magazine publishers</w:t></w:r>
</w:p>
<w:p>
<w:pPr><w:pStyle w:val="Normal"/></w:pPr>
<w:r><w:t xml:space="preserve">have erred gravely in taking what are known in the trade as</w:t></w:r>
</w:p>
<w:p>
<w:pPr><w:pStyle w:val="Normal"/></w:pPr>
<w:r><w:t xml:space="preserve">``insets,&apos;&apos; consisting of separate cards or sheets printed</w:t></w:r>
</w:p>
<w:p>
<w:pPr><w:pStyle w:val="Normal"/></w:pPr>
<w:r><w:t xml:space="preserve">at the advertiser&apos;s cost, and accepted by the publisher at</w:t></w:r>
</w:p>
<w:p>
<w:pPr><w:pStyle w:val="Normal"/></w:pPr>
<w:r><w:t xml:space="preserve">a specific charge for every thousand copies.  This system</w:t></w:r>
</w:p>
<w:p>
<w:pPr><w:pStyle w:val="Normal"/></w:pPr>
<w:r><w:t xml:space="preserve">of insetting has the grave inconvenience that the advertiser</w:t></w:r>
</w:p>
<w:p>
<w:pPr><w:pStyle w:val="Normal"/></w:pPr>
<w:r><w:t xml:space="preserve">finds himself compelled to print as many insets as the</w:t></w:r>
</w:p>
<w:p>
<w:pPr><w:pStyle w:val="Normal"/></w:pPr>
<w:r><w:t xml:space="preserve">publisher asserts that he can use.  The publisher, on the other</w:t></w:r>
</w:p>
<w:p>
<w:pPr><w:pStyle w:val="Normal"/></w:pPr>
<w:r><w:t xml:space="preserve">hand, is somewhat at the mercy of too enthusiastic agents</w:t></w:r>
</w:p>
<w:p>
<w:pPr><w:pStyle w:val="Normal"/></w:pPr>
<w:r><w:t xml:space="preserve">and employes, who estimate over-confidently the edition of</w:t></w:r>
</w:p>
<w:p>
<w:pPr><w:pStyle w:val="Normal"/></w:pPr>
<w:r><w:t xml:space="preserve">the periodical which will probably be printed for a certain</w:t></w:r>
</w:p>
<w:p>
<w:pPr><w:pStyle w:val="Normal"/></w:pPr>
<w:r><w:t xml:space="preserve">month, and advertisers have had reason to fear that many of</w:t></w:r>
</w:p>
<w:p>
<w:pPr><w:pStyle w:val="Normal"/></w:pPr>
<w:r><w:t xml:space="preserve">their insets were wasted.  The added weight and bulk of the</w:t></w:r>
</w:p>
<w:p>
<w:pPr><w:pStyle w:val="Normal"/></w:pPr>
<w:r><w:t xml:space="preserve">insets cause inconvenience and expense to the newsdealer,</w:t></w:r>
</w:p>
<w:p>
<w:pPr><w:pStyle w:val="Normal"/></w:pPr>
<w:r><w:t xml:space="preserve">as two or three insets printed upon cardboard are equivalent</w:t></w:r>
</w:p>
<w:p>
<w:pPr><w:pStyle w:val="Normal"/></w:pPr>
<w:r><w:t xml:space="preserve">to at least sixteen additional pages.  Some newsdealers have</w:t></w:r>
</w:p>
<w:p>
<w:pPr><w:pStyle w:val="Normal"/></w:pPr>
<w:r><w:t xml:space="preserve">further complicated the inset question by threaten. ing to</w:t></w:r>
</w:p>
<w:p>
<w:pPr><w:pStyle w:val="Normal"/></w:pPr>
<w:r><w:t xml:space="preserve">remove insets unless special tribute be paid to them; and</w:t></w:r>
</w:p>
<w:p>
<w:pPr><w:pStyle w:val="Normal"/></w:pPr>
<w:r><w:t xml:space="preserve">with all these difficulties to be considered, many magazine</w:t></w:r>
</w:p>
<w:p>
<w:pPr><w:pStyle w:val="Normal"/></w:pPr>
<w:r><w:t xml:space="preserve">publishers have seriously considered the advisability of</w:t></w:r>
</w:p>
<w:p>
<w:pPr><w:pStyle w:val="Normal"/></w:pPr>
<w:r><w:t xml:space="preserve">altogether discontinuing the practice of taking insets, and of</w:t></w:r>
</w:p>
<w:p>
<w:pPr><w:pStyle w:val="Normal"/></w:pPr>
<w:r><w:t xml:space="preserve">confining their advertisements to the sheets they themselves</w:t></w:r>
</w:p>
<w:p>
<w:pPr><w:pStyle w:val="Normal"/></w:pPr>
<w:r><w:t xml:space="preserve">print.  In connexion with this subject, it may be added that</w:t></w:r>
</w:p>
<w:p>
<w:pPr><w:pStyle w:val="Normal"/></w:pPr>
<w:r><w:t xml:space="preserve">many readers habitually shake loose hills out of a magazine</w:t></w:r>
</w:p>
<w:p>
<w:pPr><w:pStyle w:val="Normal"/></w:pPr>
<w:r><w:t xml:space="preserve">before they begin to turn the pages, and that railway stations,</w:t></w:r>
</w:p>
<w:p>
<w:pPr><w:pStyle w:val="Normal"/></w:pPr>
<w:r><w:t xml:space="preserve">railway carriages and even public streets are thus littered</w:t></w:r>
</w:p>
<w:p>
<w:pPr><w:pStyle w:val="Normal"/></w:pPr>
<w:r><w:t xml:space="preserve">with trampled and muddy advertisements.  The old practice</w:t></w:r>
</w:p>
<w:p>
<w:pPr><w:pStyle w:val="Normal"/></w:pPr>
<w:r><w:t xml:space="preserve">of distributing handbills in the streets is dying a natural</w:t></w:r>
</w:p>
<w:p>
<w:pPr><w:pStyle w:val="Normal"/></w:pPr>
<w:r><w:t xml:space="preserve">death, more or less hastened by local by-laws, and when the</w:t></w:r>
</w:p>
<w:p>
<w:pPr><w:pStyle w:val="Normal"/></w:pPr>
<w:r><w:t xml:space="preserve">loose bills in magazines and cheap novels have ceased to exist</w:t></w:r>
</w:p>
<w:p>
<w:pPr><w:pStyle w:val="Normal"/></w:pPr>
<w:r><w:t xml:space="preserve">no one will be the loser.  Advertisements in the weekly press</w:t></w:r>
</w:p>
<w:p>
<w:pPr><w:pStyle w:val="Normal"/></w:pPr>
<w:r><w:t xml:space="preserve">are on the whole more successful in England than in America.</w:t></w:r>
</w:p>
<w:p>
<w:pPr><w:pStyle w:val="Normal"/></w:pPr>
<w:r><w:t xml:space="preserve">A few American weeklies cope successfully with the increasing</w:t></w:r>
</w:p>
<w:p>
<w:pPr><w:pStyle w:val="Normal"/></w:pPr>
<w:r><w:t xml:space="preserve">competition of the huge Sunday editions of American daily</w:t></w:r>
</w:p>
<w:p>
<w:pPr><w:pStyle w:val="Normal"/></w:pPr>
<w:r><w:t xml:space="preserve">papers.  But even the most successful among them--a paper</w:t></w:r>
</w:p>
<w:p>
<w:pPr><w:pStyle w:val="Normal"/></w:pPr>
<w:r><w:t xml:space="preserve">for boys--has hardly attained the prosperity of some among</w:t></w:r>
</w:p>
<w:p>
<w:pPr><w:pStyle w:val="Normal"/></w:pPr>
<w:r><w:t xml:space="preserve">its English contemporaries in the field of weekly journalism.</w:t></w:r>
</w:p>
<w:p>
<w:pPr><w:pStyle w:val="Normal"/></w:pPr>
<w:r><w:t xml:space="preserve">The merchant who turns to these pages for practical suggestions</w:t></w:r>
</w:p>
<w:p>
<w:pPr><w:pStyle w:val="Normal"/></w:pPr>
<w:r><w:t xml:space="preserve">concerning the advertising of his own business, can be given</w:t></w:r>
</w:p>
<w:p>
<w:pPr><w:pStyle w:val="Normal"/></w:pPr>
<w:r><w:t xml:space="preserve">no better advice than to betake himself to an established</w:t></w:r>
</w:p>
<w:p>
<w:pPr><w:pStyle w:val="Normal"/></w:pPr>
<w:r><w:t xml:space="preserve">advertising agent of good repute, and be guided by his</w:t></w:r>
</w:p>
<w:p>
<w:pPr><w:pStyle w:val="Normal"/></w:pPr>
<w:r><w:t xml:space="preserve">counsels.  The chief part that he can himself play with</w:t></w:r>
</w:p>
<w:p>
<w:pPr><w:pStyle w:val="Normal"/></w:pPr>
<w:r><w:t xml:space="preserve">advantage is to note from day to day whether the agent is</w:t></w:r>
</w:p>
<w:p>
<w:pPr><w:pStyle w:val="Normal"/></w:pPr>
<w:r><w:t xml:space="preserve">obtaining advantageous positions for his announcements.</w:t></w:r>
</w:p>
<w:p>
<w:pPr><w:pStyle w:val="Normal"/></w:pPr>
<w:r><w:t xml:space="preserve">Every advertiser will naturally prefer a right-hand page to</w:t></w:r>
</w:p>
<w:p>
<w:pPr><w:pStyle w:val="Normal"/></w:pPr>
<w:r><w:t xml:space="preserve">a left-hand page, and the right side of the page to the left</w:t></w:r>
</w:p>
<w:p>
<w:pPr><w:pStyle w:val="Normal"/></w:pPr>
<w:r><w:t xml:space="preserve">side of the page; while the advertiser who most indefatigably</w:t></w:r>
</w:p>
<w:p>
<w:pPr><w:pStyle w:val="Normal"/></w:pPr>
<w:r><w:t xml:space="preserve">urges his claims upon the agent will, in the long run,</w:t></w:r>
</w:p>
<w:p>
<w:pPr><w:pStyle w:val="Normal"/></w:pPr>
<w:r><w:t xml:space="preserve">obtain the largest share of the favours to be distributed.</w:t></w:r>
</w:p>
<w:p>
<w:pPr><w:pStyle w:val="Normal"/></w:pPr>
<w:r><w:t xml:space="preserve">To the merchant who inclines to consider advertising in</w:t></w:r>
</w:p>
<w:p>
<w:pPr><w:pStyle w:val="Normal"/></w:pPr>
<w:r><w:t xml:space="preserve">connexion with the broader aspects of his calling, it may be</w:t></w:r>
</w:p>
<w:p>
<w:pPr><w:pStyle w:val="Normal"/></w:pPr>
<w:r><w:t xml:space="preserve">suggested that a new channel of trade demands very serious</w:t></w:r>
</w:p>
<w:p>
<w:pPr><w:pStyle w:val="Normal"/></w:pPr>
<w:r><w:t xml:space="preserve">attention.  What is called in England ``postal trade,&apos;&apos;</w:t></w:r>
</w:p>
<w:p>
<w:pPr><w:pStyle w:val="Normal"/></w:pPr>
<w:r><w:t xml:space="preserve">and in America ``mail order business,&apos;&apos; is growing very</w:t></w:r>
</w:p>
<w:p>
<w:pPr><w:pStyle w:val="Normal"/></w:pPr>
<w:r><w:t xml:space="preserve">rapidly.  Small dealers in both countries have complained</w:t></w:r>
</w:p>
<w:p>
<w:pPr><w:pStyle w:val="Normal"/></w:pPr>
<w:r><w:t xml:space="preserve">very bitterly of the competition they suffer from the general</w:t></w:r>
</w:p>
<w:p>
<w:pPr><w:pStyle w:val="Normal"/></w:pPr>
<w:r><w:t xml:space="preserve">dealers and from stores made up of departments which, under</w:t></w:r>
</w:p>
<w:p>
<w:pPr><w:pStyle w:val="Normal"/></w:pPr>
<w:r><w:t xml:space="preserve">one roof, offer to the consumer every imaginable sort of</w:t></w:r>
</w:p>
<w:p>
<w:pPr><w:pStyle w:val="Normal"/></w:pPr>
<w:r><w:t xml:space="preserve">merchandise.  This general trading, which, on the one hand,</w:t></w:r>
</w:p>
<w:p>
<w:pPr><w:pStyle w:val="Normal"/></w:pPr>
<w:r><w:t xml:space="preserve">seriously threatens the small trader, and on the other hand</w:t></w:r>
</w:p>
<w:p>
<w:pPr><w:pStyle w:val="Normal"/></w:pPr>
<w:r><w:t xml:space="preserve">offers greater possibilities of profit to the proportionately</w:t></w:r>
</w:p>
<w:p>
<w:pPr><w:pStyle w:val="Normal"/></w:pPr>
<w:r><w:t xml:space="preserve">small number of persons who can undertake business on so</w:t></w:r>
</w:p>
<w:p>
<w:pPr><w:pStyle w:val="Normal"/></w:pPr>
<w:r><w:t xml:space="preserve">large a scale, becomes infinitely more formidable when the</w:t></w:r>
</w:p>
<w:p>
<w:pPr><w:pStyle w:val="Normal"/></w:pPr>
<w:r><w:t xml:space="preserve">general dealer endeavours not only to attract the trade of a</w:t></w:r>
</w:p>
<w:p>
<w:pPr><w:pStyle w:val="Normal"/></w:pPr>
<w:r><w:t xml:space="preserve">town, but to make his place of business a centre from which</w:t></w:r>
</w:p>
<w:p>
<w:pPr><w:pStyle w:val="Normal"/></w:pPr>
<w:r><w:t xml:space="preserve">he distributes by post his goods to remote parts of the</w:t></w:r>
</w:p>
<w:p>
<w:pPr><w:pStyle w:val="Normal"/></w:pPr>
<w:r><w:t xml:space="preserve">country.  In America, where the weight of parcels carried by</w:t></w:r>
</w:p>
<w:p>
<w:pPr><w:pStyle w:val="Normal"/></w:pPr>
<w:r><w:t xml:space="preserve">post is limited to 4 lb., and where the private carrying companies</w:t></w:r>
</w:p>
<w:p>
<w:pPr><w:pStyle w:val="Normal"/></w:pPr>
<w:r><w:t xml:space="preserve">are forced to charge a very much higher rate for carriage</w:t></w:r>
</w:p>
<w:p>
<w:pPr><w:pStyle w:val="Normal"/></w:pPr>
<w:r><w:t xml:space="preserve">from New York to California than for shorter distances, the</w:t></w:r>
</w:p>
<w:p>
<w:pPr><w:pStyle w:val="Normal"/></w:pPr>
<w:r><w:t xml:space="preserve">centralization of trade is necessarily limited; but it is no</w:t></w:r>
</w:p>
<w:p>
<w:pPr><w:pStyle w:val="Normal"/></w:pPr>
<w:r><w:t xml:space="preserve">secret that, at the present moment, persons residing in those</w:t></w:r>
</w:p>
<w:p>
<w:pPr><w:pStyle w:val="Normal"/></w:pPr>
<w:r><w:t xml:space="preserve">parts of the United Kingdom most remote from London habitually</w:t></w:r>
</w:p>
<w:p>
<w:pPr><w:pStyle w:val="Normal"/></w:pPr>
<w:r><w:t xml:space="preserve">avail themselves of the English parcel post, which carries</w:t></w:r>
</w:p>
<w:p>
<w:pPr><w:pStyle w:val="Normal"/></w:pPr>
<w:r><w:t xml:space="preserve">packages up to 11 lb. in order to procure a great part of their</w:t></w:r>
</w:p>
<w:p>
<w:pPr><w:pStyle w:val="Normal"/></w:pPr>
<w:r><w:t xml:space="preserve">household supplies direct from general dealers in London.</w:t></w:r>
</w:p>
<w:p>
<w:pPr><w:pStyle w:val="Normal"/></w:pPr>
<w:r><w:t xml:space="preserve">A trading company, which conducts its operations upon such a</w:t></w:r>
</w:p>
<w:p>
<w:pPr><w:pStyle w:val="Normal"/></w:pPr>
<w:r><w:t xml:space="preserve">scale as this, can afford to spend an almost unlimited sum in</w:t></w:r>
</w:p>
<w:p>
<w:pPr><w:pStyle w:val="Normal"/></w:pPr>
<w:r><w:t xml:space="preserve">advertising throughout the United Kingdom, and even the trader</w:t></w:r>
</w:p>
<w:p>
<w:pPr><w:pStyle w:val="Normal"/></w:pPr>
<w:r><w:t xml:space="preserve">who offers only one specific class of merchandise is beginning</w:t></w:r>
</w:p>
<w:p>
<w:pPr><w:pStyle w:val="Normal"/></w:pPr>
<w:r><w:t xml:space="preserve">to recognize the possibility of appealing to the whole country.</w:t></w:r>
</w:p>
<w:p>
<w:pPr><w:pStyle w:val="Normal"/></w:pPr>
<w:r><w:t xml:space="preserve">Legal regulation.</w:t></w:r>
</w:p>
<w:p>
<w:pPr><w:pStyle w:val="Normal"/></w:pPr>
<w:r><w:t xml:space="preserve">The following is a brief summary of the laws and regulations</w:t></w:r>
</w:p>
<w:p>
<w:pPr><w:pStyle w:val="Normal"/></w:pPr>
<w:r><w:t xml:space="preserve">dealing with advertisements in public places in certain</w:t></w:r>
</w:p>
<w:p>
<w:pPr><w:pStyle w:val="Normal"/></w:pPr>
<w:r><w:t xml:space="preserve">of the countries of Continental Europe and in the United</w:t></w:r>
</w:p>
<w:p>
<w:pPr><w:pStyle w:val="Normal"/></w:pPr>
<w:r><w:t xml:space="preserve">States of America, the chief authority for which is an</w:t></w:r>
</w:p>
<w:p>
<w:pPr><w:pStyle w:val="Normal"/></w:pPr>
<w:r><w:t xml:space="preserve">official return issued by the British Home Office in 1903.</w:t></w:r>
</w:p>
<w:p>
<w:pPr><w:pStyle w:val="Normal"/></w:pPr>
<w:r><w:t xml:space="preserve">France.--The permission of the owner is alone required</w:t></w:r>
</w:p>
<w:p>
<w:pPr><w:pStyle w:val="Normal"/></w:pPr>
<w:r><w:t xml:space="preserve">for the placing of advertisements on private buildings; but</w:t></w:r>
</w:p>
<w:p>
<w:pPr><w:pStyle w:val="Normal"/></w:pPr>
<w:r><w:t xml:space="preserve">buildings, walls, &amp;c., belonging to the government or local</w:t></w:r>
</w:p>
<w:p>
<w:pPr><w:pStyle w:val="Normal"/></w:pPr>
<w:r><w:t xml:space="preserve">authorities are reserved exclusively for official notices,</w:t></w:r>
</w:p>
<w:p>
<w:pPr><w:pStyle w:val="Normal"/></w:pPr>
<w:r><w:t xml:space="preserve">&amp;c.; these alone can be printed on white paper, all others</w:t></w:r>
</w:p>
<w:p>
<w:pPr><w:pStyle w:val="Normal"/></w:pPr>
<w:r><w:t xml:space="preserve">must be on coloured paper.  Municipal authorities control the</w:t></w:r>
</w:p>
<w:p>
<w:pPr><w:pStyle w:val="Normal"/></w:pPr>
<w:r><w:t xml:space="preserve">size, construction, &amp;c., of hoardings used for advertising</w:t></w:r>
</w:p>
<w:p>
<w:pPr><w:pStyle w:val="Normal"/></w:pPr>
<w:r><w:t xml:space="preserve">purposes, and the police have full powers over the exhibition</w:t></w:r>
</w:p>
<w:p>
<w:pPr><w:pStyle w:val="Normal"/></w:pPr>
<w:r><w:t xml:space="preserve">of indecent or other objectionable advertisements.  The</w:t></w:r>
</w:p>
<w:p>
<w:pPr><w:pStyle w:val="Normal"/></w:pPr>
<w:r><w:t xml:space="preserve">Societe pour la protection des paysages, founded in 1901,</w:t></w:r>
</w:p>
<w:p>
<w:pPr><w:pStyle w:val="Normal"/></w:pPr>
<w:r><w:t xml:space="preserve">has for one of its objects the prevention of advertisements</w:t></w:r>
</w:p>
<w:p>
<w:pPr><w:pStyle w:val="Normal"/></w:pPr>
<w:r><w:t xml:space="preserve">which disfigure the scenery or are otherwise objectionable.</w:t></w:r>
</w:p>
<w:p>
<w:pPr><w:pStyle w:val="Normal"/></w:pPr>
<w:r><w:t xml:space="preserve">Germany.--By sec. 43 of the Imperial Commercial Ordinance</w:t></w:r>
</w:p>
<w:p>
<w:pPr><w:pStyle w:val="Normal"/></w:pPr>
<w:r><w:t xml:space="preserve">permission to post any trade advertisement in a public</w:t></w:r>
</w:p>
<w:p>
<w:pPr><w:pStyle w:val="Normal"/></w:pPr>
<w:r><w:t xml:space="preserve">street, square, &amp;c., must be first obtained from the local</w:t></w:r>
</w:p>
<w:p>
<w:pPr><w:pStyle w:val="Normal"/></w:pPr>
<w:r><w:t xml:space="preserve">police.  The police also control (by sec. 55 of the Imperial</w:t></w:r>
</w:p>
<w:p>
<w:pPr><w:pStyle w:val="Normal"/></w:pPr>
<w:r><w:t xml:space="preserve">Press Law 1874) advertisements which are not of a trade</w:t></w:r>
</w:p>
<w:p>
<w:pPr><w:pStyle w:val="Normal"/></w:pPr>
<w:r><w:t xml:space="preserve">character, but this regulation does not affect the right of</w:t></w:r>
</w:p>
<w:p>
<w:pPr><w:pStyle w:val="Normal"/></w:pPr>
<w:r><w:t xml:space="preserve">the federal legislatures to make regulations in regard to them</w:t></w:r>
</w:p>
<w:p>
<w:pPr><w:pStyle w:val="Normal"/></w:pPr>
<w:r><w:t xml:space="preserve">(sec. 30).  It would be impossible to give in any detail the</w:t></w:r>
</w:p>
<w:p>
<w:pPr><w:pStyle w:val="Normal"/></w:pPr>
<w:r><w:t xml:space="preserve">police regulations as to advertisements which exist, e.g. in</w:t></w:r>
</w:p>
<w:p>
<w:pPr><w:pStyle w:val="Normal"/></w:pPr>
<w:r><w:t xml:space="preserve">Prussia, but the following rules in force in Berlin may be</w:t></w:r>
</w:p>
<w:p>
<w:pPr><w:pStyle w:val="Normal"/></w:pPr>
<w:r><w:t xml:space="preserve">given:--Public advertisements in public streets and places</w:t></w:r>
</w:p>
<w:p>
<w:pPr><w:pStyle w:val="Normal"/></w:pPr>
<w:r><w:t xml:space="preserve">may be posted only on the appliances, such as pillar posts,</w:t></w:r>
</w:p>
<w:p>
<w:pPr><w:pStyle w:val="Normal"/></w:pPr>
<w:r><w:t xml:space="preserve">&amp;c., provided for the purpose.  Owners of property may post</w:t></w:r>
</w:p>
<w:p>
<w:pPr><w:pStyle w:val="Normal"/></w:pPr>
<w:r><w:t xml:space="preserve">advertisements on their own property but only such as concern</w:t></w:r>
</w:p>
<w:p>
<w:pPr><w:pStyle w:val="Normal"/></w:pPr>
<w:r><w:t xml:space="preserve">their own interests.  Advertisements on public conveyances are</w:t></w:r>
</w:p>
<w:p>
<w:pPr><w:pStyle w:val="Normal"/></w:pPr>
<w:r><w:t xml:space="preserve">forbidden.  In 1902 a Prussian law was passed authorizing</w:t></w:r>
</w:p>
<w:p>
<w:pPr><w:pStyle w:val="Normal"/></w:pPr>
<w:r><w:t xml:space="preserve">the police to forbid all advertisement hoardings, &amp;c., which</w:t></w:r>
</w:p>
<w:p>
<w:pPr><w:pStyle w:val="Normal"/></w:pPr>
<w:r><w:t xml:space="preserve">would disfigure particularly beautiful landscapes in rural</w:t></w:r>
</w:p>
<w:p>
<w:pPr><w:pStyle w:val="Normal"/></w:pPr>
<w:r><w:t xml:space="preserve">districts.  The Hesse-Darmstadt Act of 1902 prohibits the</w:t></w:r>
</w:p>
<w:p>
<w:pPr><w:pStyle w:val="Normal"/></w:pPr>
<w:r><w:t xml:space="preserve">placing of any advertisements, posters, &amp;c., on a monument</w:t></w:r>
</w:p>
<w:p>
<w:pPr><w:pStyle w:val="Normal"/></w:pPr>
<w:r><w:t xml:space="preserve">officially protected under the act, if it would be likely to</w:t></w:r>
</w:p>
<w:p>
<w:pPr><w:pStyle w:val="Normal"/></w:pPr>
<w:r><w:t xml:space="preserve">injure the appearance of the monument.  As instances of the</w:t></w:r>
</w:p>
<w:p>
<w:pPr><w:pStyle w:val="Normal"/></w:pPr>
<w:r><w:t xml:space="preserve">numerous local provisions against the abuse of advertising may</w:t></w:r>
</w:p>
<w:p>
<w:pPr><w:pStyle w:val="Normal"/></w:pPr>
<w:r><w:t xml:space="preserve">be cited provisions against the abuse of advertising may be cited</w:t></w:r>
</w:p>
<w:p>
<w:pPr><w:pStyle w:val="Normal"/></w:pPr>
<w:r><w:t xml:space="preserve">those of Augsburg and Lubeck, by Which any advertisement that</w:t></w:r>
</w:p>
<w:p>
<w:pPr><w:pStyle w:val="Normal"/></w:pPr>
<w:r><w:t xml:space="preserve">would injure the Stadtbild or appearance of the town may</w:t></w:r>
</w:p>
<w:p>
<w:pPr><w:pStyle w:val="Normal"/></w:pPr>
<w:r><w:t xml:space="preserve">be prohibited and removed by the local authority (see G.</w:t></w:r>
</w:p>
<w:p>
<w:pPr><w:pStyle w:val="Normal"/></w:pPr>
<w:r><w:t xml:space="preserve">Baldwin Brown, The Care of Ancient Monuments, 1905).</w:t></w:r>
</w:p>
<w:p>
<w:pPr><w:pStyle w:val="Normal"/></w:pPr>
<w:r><w:t xml:space="preserve">Full powers exist under the Imperial Criminal Code for the</w:t></w:r>
</w:p>
<w:p>
<w:pPr><w:pStyle w:val="Normal"/></w:pPr>
<w:r><w:t xml:space="preserve">suppression of indecent or objectionable advertisements.</w:t></w:r>
</w:p>
<w:p>
<w:pPr><w:pStyle w:val="Normal"/></w:pPr>
<w:r><w:t xml:space="preserve">Austria.---Permission of the police is required for the</w:t></w:r>
</w:p>
<w:p>
<w:pPr><w:pStyle w:val="Normal"/></w:pPr>
<w:r><w:t xml:space="preserve">exhibition of printed notices in public places other than</w:t></w:r>
</w:p>
<w:p>
<w:pPr><w:pStyle w:val="Normal"/></w:pPr>
<w:r><w:t xml:space="preserve">such as are of purely local or industrial interest, such</w:t></w:r>
</w:p>
<w:p>
<w:pPr><w:pStyle w:val="Normal"/></w:pPr>
<w:r><w:t xml:space="preserve">as notices of entertainment, leases, sales, &amp;c., or theatre</w:t></w:r>
</w:p>
<w:p>
<w:pPr><w:pStyle w:val="Normal"/></w:pPr>
<w:r><w:t xml:space="preserve">programmes, and these can only be shown in places approved</w:t></w:r>
</w:p>
<w:p>
<w:pPr><w:pStyle w:val="Normal"/></w:pPr>
<w:r><w:t xml:space="preserve">by the local authorities (Press Law 1862).  The press-police</w:t></w:r>
</w:p>
<w:p>
<w:pPr><w:pStyle w:val="Normal"/></w:pPr>
<w:r><w:t xml:space="preserve">act as advertisement censors and determine whether an</w:t></w:r>
</w:p>
<w:p>
<w:pPr><w:pStyle w:val="Normal"/></w:pPr>
<w:r><w:t xml:space="preserve">advertisement can be allowed or not.  In Hungary there</w:t></w:r>
</w:p>
<w:p>
<w:pPr><w:pStyle w:val="Normal"/></w:pPr>
<w:r><w:t xml:space="preserve">are no general laws or regulations, but the municipalities</w:t></w:r>
</w:p>
<w:p>
<w:pPr><w:pStyle w:val="Normal"/></w:pPr>
<w:r><w:t xml:space="preserve">have power to issue ordinances dealing with the question.</w:t></w:r>
</w:p>
<w:p>
<w:pPr><w:pStyle w:val="Normal"/></w:pPr>
<w:r><w:t xml:space="preserve">Italy.--All control rests with the municipal and communal</w:t></w:r>
</w:p>
<w:p>
<w:pPr><w:pStyle w:val="Normal"/></w:pPr>
<w:r><w:t xml:space="preserve">authorities, who may decide on the places where advertisements</w:t></w:r>
</w:p>
<w:p>
<w:pPr><w:pStyle w:val="Normal"/></w:pPr>
<w:r><w:t xml:space="preserve">may or may not be posted, and can prevent hoardings being</w:t></w:r>
</w:p>
<w:p>
<w:pPr><w:pStyle w:val="Normal"/></w:pPr>
<w:r><w:t xml:space="preserve">placed on or near ancient monuments or public buildings.</w:t></w:r>
</w:p>
<w:p>
<w:pPr><w:pStyle w:val="Normal"/></w:pPr>
<w:r><w:t xml:space="preserve">Switzerland.---The Federal Government has no authority to deal</w:t></w:r>
</w:p>
<w:p>
<w:pPr><w:pStyle w:val="Normal"/></w:pPr>
<w:r><w:t xml:space="preserve">with this question; certain of the cantons have regulations,</w:t></w:r>
</w:p>
<w:p>
<w:pPr><w:pStyle w:val="Normal"/></w:pPr>
<w:r><w:t xml:space="preserve">e.g. Lucerne prohibits the public advertising of inferior goods</w:t></w:r>
</w:p>
<w:p>
<w:pPr><w:pStyle w:val="Normal"/></w:pPr>
<w:r><w:t xml:space="preserve">by means of a false description, Basel-Stadt gives the police</w:t></w:r>
</w:p>
<w:p>
<w:pPr><w:pStyle w:val="Normal"/></w:pPr>
<w:r><w:t xml:space="preserve">the power of censoring all advertisements.  Many of the communal</w:t></w:r>
</w:p>
<w:p>
<w:pPr><w:pStyle w:val="Normal"/></w:pPr>
<w:r><w:t xml:space="preserve">authorities throughout Switzerland have special restrictions and</w:t></w:r>
</w:p>
<w:p>
<w:pPr><w:pStyle w:val="Normal"/></w:pPr>
<w:r><w:t xml:space="preserve">regulations.  In Zurich the police choose the advertising</w:t></w:r>
</w:p>
<w:p>
<w:pPr><w:pStyle w:val="Normal"/></w:pPr>
<w:r><w:t xml:space="preserve">stations, in Berne the municipality possesses a monopoly of</w:t></w:r>
</w:p>
<w:p>
<w:pPr><w:pStyle w:val="Normal"/></w:pPr>
<w:r><w:t xml:space="preserve">the right of erecting advertisements.  The Society known as</w:t></w:r>
</w:p>
<w:p>
<w:pPr><w:pStyle w:val="Normal"/></w:pPr>
<w:r><w:t xml:space="preserve">the Ligue pour la conservation de la Suisse pittoresque or</w:t></w:r>
</w:p>
<w:p>
<w:pPr><w:pStyle w:val="Normal"/></w:pPr>
<w:r><w:t xml:space="preserve">Schweitzerischer Heimatschutz has for one of its objects</w:t></w:r>
</w:p>
<w:p>
<w:pPr><w:pStyle w:val="Normal"/></w:pPr>
<w:r><w:t xml:space="preserve">the preservation of scenery from disfiguring advertisements.</w:t></w:r>
</w:p>
<w:p>
<w:pPr><w:pStyle w:val="Normal"/></w:pPr>
<w:r><w:t xml:space="preserve">United States.---There is no federal legislation on the</w:t></w:r>
</w:p>
<w:p>
<w:pPr><w:pStyle w:val="Normal"/></w:pPr>
<w:r><w:t xml:space="preserve">subject, the matter being one for regulation by the states,</w:t></w:r>
</w:p>
<w:p>
<w:pPr><w:pStyle w:val="Normal"/></w:pPr>
<w:r><w:t xml:space="preserve">which in most cases have left it to the various municipalities</w:t></w:r>
</w:p>
<w:p>
<w:pPr><w:pStyle w:val="Normal"/></w:pPr>
<w:r><w:t xml:space="preserve">and other local authorities.  With regard to indecent</w:t></w:r>
</w:p>
<w:p>
<w:pPr><w:pStyle w:val="Normal"/></w:pPr>
<w:r><w:t xml:space="preserve">and objectionable advertisements some states have special</w:t></w:r>
</w:p>
<w:p>
<w:pPr><w:pStyle w:val="Normal"/></w:pPr>
<w:r><w:t xml:space="preserve">legislation on the matter, others are content with the ordinary</w:t></w:r>
</w:p>
<w:p>
<w:pPr><w:pStyle w:val="Normal"/></w:pPr>
<w:r><w:t xml:space="preserve">criminal laws or police powers or with the law of nuisance</w:t></w:r>
</w:p>
<w:p>
<w:pPr><w:pStyle w:val="Normal"/></w:pPr>
<w:r><w:t xml:space="preserve">or of trespass.  Thus control can be exercised over such</w:t></w:r>
</w:p>
<w:p>
<w:pPr><w:pStyle w:val="Normal"/></w:pPr>
<w:r><w:t xml:space="preserve">advertisements as are dangerous to public safety, health or</w:t></w:r>
</w:p>
<w:p>
<w:pPr><w:pStyle w:val="Normal"/></w:pPr>
<w:r><w:t xml:space="preserve">morals.  The state of New York prohibits advertisements of</w:t></w:r>
</w:p>
<w:p>
<w:pPr><w:pStyle w:val="Normal"/></w:pPr>
<w:r><w:t xml:space="preserve">lotteries.  It would be impossible to give in detail the</w:t></w:r>
</w:p>
<w:p>
<w:pPr><w:pStyle w:val="Normal"/></w:pPr>
<w:r><w:t xml:space="preserve">different laws and regulations passed in the various states or by</w:t></w:r>
</w:p>
<w:p>
<w:pPr><w:pStyle w:val="Normal"/></w:pPr>
<w:r><w:t xml:space="preserve">municipalities.  The following are some of the more striking</w:t></w:r>
</w:p>
<w:p>
<w:pPr><w:pStyle w:val="Normal"/></w:pPr>
<w:r><w:t xml:space="preserve">measures adopted in certain of the states.  In Massachusetts</w:t></w:r>
</w:p>
<w:p>
<w:pPr><w:pStyle w:val="Normal"/></w:pPr>
<w:r><w:t xml:space="preserve">no advertising signs or devices are allowed on the public</w:t></w:r>
</w:p>
<w:p>
<w:pPr><w:pStyle w:val="Normal"/></w:pPr>
<w:r><w:t xml:space="preserve">highways.  Power has been granted to city and town authorities</w:t></w:r>
</w:p>
<w:p>
<w:pPr><w:pStyle w:val="Normal"/></w:pPr>
<w:r><w:t xml:space="preserve">to regulate advertisements in, near or visible from public</w:t></w:r>
</w:p>
<w:p>
<w:pPr><w:pStyle w:val="Normal"/></w:pPr>
<w:r><w:t xml:space="preserve">parks.  In the District of Columbia no advertisement is</w:t></w:r>
</w:p>
<w:p>
<w:pPr><w:pStyle w:val="Normal"/></w:pPr>
<w:r><w:t xml:space="preserve">allowed which obstructs a highway, and all distribution of</w:t></w:r>
</w:p>
<w:p>
<w:pPr><w:pStyle w:val="Normal"/></w:pPr>
<w:r><w:t xml:space="preserve">handbills, circulars, &amp;c., in public streets, parks, &amp;c., is</w:t></w:r>
</w:p>
<w:p>
<w:pPr><w:pStyle w:val="Normal"/></w:pPr>
<w:r><w:t xml:space="preserve">prohibited.  This prohibition against what are generally</w:t></w:r>
</w:p>
<w:p>
<w:pPr><w:pStyle w:val="Normal"/></w:pPr>
<w:r><w:t xml:space="preserve">known as ``dodgers&apos;&apos; is very general in the local regulations</w:t></w:r>
</w:p>
<w:p>
<w:pPr><w:pStyle w:val="Normal"/></w:pPr>
<w:r><w:t xml:space="preserve">throughout the states.  In Illinois, city councils are empowered</w:t></w:r>
</w:p>
<w:p>
<w:pPr><w:pStyle w:val="Normal"/></w:pPr>
<w:r><w:t xml:space="preserve">on the incorporation of the city to regulate and prevent</w:t></w:r>
</w:p>
<w:p>
<w:pPr><w:pStyle w:val="Normal"/></w:pPr>
<w:r><w:t xml:space="preserve">the use of streets, sidewalks and public grounds for signs,</w:t></w:r>
</w:p>
<w:p>
<w:pPr><w:pStyle w:val="Normal"/></w:pPr>
<w:r><w:t xml:space="preserve">handbills and advertisements, &amp;c., and also the exhibition</w:t></w:r>
</w:p>
<w:p>
<w:pPr><w:pStyle w:val="Normal"/></w:pPr>
<w:r><w:t xml:space="preserve">of banners, placards, in the streets or sidewalks.  Chicago</w:t></w:r>
</w:p>
<w:p>
<w:pPr><w:pStyle w:val="Normal"/></w:pPr>
<w:r><w:t xml:space="preserve">has a body of most stringent rules, but they apparently</w:t></w:r>
</w:p>
<w:p>
<w:pPr><w:pStyle w:val="Normal"/></w:pPr>
<w:r><w:t xml:space="preserve">have been found impossible to enforce; thus no advertisement</w:t></w:r>
</w:p>
<w:p>
<w:pPr><w:pStyle w:val="Normal"/></w:pPr>
<w:r><w:t xml:space="preserve">board more than 12 ft. square within 400 ft. of a public</w:t></w:r>
</w:p>
<w:p>
<w:pPr><w:pStyle w:val="Normal"/></w:pPr>
<w:r><w:t xml:space="preserve">park or boulevard, no advertisements other than small ones</w:t></w:r>
</w:p>
<w:p>
<w:pPr><w:pStyle w:val="Normal"/></w:pPr>
<w:r><w:t xml:space="preserve">relating to the business carried on in the premises where</w:t></w:r>
</w:p>
<w:p>
<w:pPr><w:pStyle w:val="Normal"/></w:pPr>
<w:r><w:t xml:space="preserve">the advertisement is posted, or of sales, &amp;c., are allowed in</w:t></w:r>
</w:p>
<w:p>
<w:pPr><w:pStyle w:val="Normal"/></w:pPr>
<w:r><w:t xml:space="preserve">streets where three-quarters of the houses are ``residences&apos;&apos;</w:t></w:r>
</w:p>
<w:p>
<w:pPr><w:pStyle w:val="Normal"/></w:pPr>
<w:r><w:t xml:space="preserve">only.  Prohibition is also extended to the advertisements</w:t></w:r>
</w:p>
<w:p>
<w:pPr><w:pStyle w:val="Normal"/></w:pPr>
<w:r><w:t xml:space="preserve">of those professing to cure diseases or giving notice of</w:t></w:r>
</w:p>
<w:p>
<w:pPr><w:pStyle w:val="Normal"/></w:pPr>
<w:r><w:t xml:space="preserve">the sale of medicines.  In Boston there are regulations</w:t></w:r>
</w:p>
<w:p>
<w:pPr><w:pStyle w:val="Normal"/></w:pPr>
<w:r><w:t xml:space="preserve">prohibiting projecting or overhanging signs in the streets,</w:t></w:r>
</w:p>
<w:p>
<w:pPr><w:pStyle w:val="Normal"/></w:pPr>
<w:r><w:t xml:space="preserve">and special rules as to the height at which street signs and</w:t></w:r>
</w:p>
<w:p>
<w:pPr><w:pStyle w:val="Normal"/></w:pPr>
<w:r><w:t xml:space="preserve">advertisements must be placed.  The distribution of ``dodgers&apos;&apos;</w:t></w:r>
</w:p>
<w:p>
<w:pPr><w:pStyle w:val="Normal"/></w:pPr>
<w:r><w:t xml:space="preserve">in the streets is prohibited.  Advertisements for places</w:t></w:r>
</w:p>
<w:p>
<w:pPr><w:pStyle w:val="Normal"/></w:pPr>
<w:r><w:t xml:space="preserve">of amusement must be approved by the committee on licences.</w:t></w:r>
</w:p>
<w:p>
<w:pPr><w:pStyle w:val="Normal"/></w:pPr>
<w:r><w:t xml:space="preserve">Taxation.</w:t></w:r>
</w:p>
<w:p>
<w:pPr><w:pStyle w:val="Normal"/></w:pPr>
<w:r><w:t xml:space="preserve">France, Belgium, Italy and certain of the cantons in</w:t></w:r>
</w:p>
<w:p>
<w:pPr><w:pStyle w:val="Normal"/></w:pPr>
<w:r><w:t xml:space="preserve">Switzerland impose a tax on advertisements, as do certain of</w:t></w:r>
</w:p>
<w:p>
<w:pPr><w:pStyle w:val="Normal"/></w:pPr>
<w:r><w:t xml:space="preserve">the United States of America, where the form is usually that</w:t></w:r>
</w:p>
<w:p>
<w:pPr><w:pStyle w:val="Normal"/></w:pPr>
<w:r><w:t xml:space="preserve">of a licence duty on billposters or advertising agencies.</w:t></w:r>
</w:p>
<w:p>
<w:pPr><w:pStyle w:val="Normal"/></w:pPr>
<w:r><w:t xml:space="preserve">In many cases in the United States this is imposed by the</w:t></w:r>
</w:p>
<w:p>
<w:pPr><w:pStyle w:val="Normal"/></w:pPr>
<w:r><w:t xml:space="preserve">municipalities.  In every case both in Europe and America</w:t></w:r>
</w:p>
<w:p>
<w:pPr><w:pStyle w:val="Normal"/></w:pPr>
<w:r><w:t xml:space="preserve">advertisements in newspapers are not subject to any tax.</w:t></w:r>
</w:p>
<w:p>
<w:pPr><w:pStyle w:val="Normal"/></w:pPr>
<w:r><w:t xml:space="preserve">With regard to the literature of advertising, in addition</w:t></w:r>
</w:p>
<w:p>
<w:pPr><w:pStyle w:val="Normal"/></w:pPr>
<w:r><w:t xml:space="preserve">to the historical article in the Edinburgh Review for</w:t></w:r>
</w:p>
<w:p>
<w:pPr><w:pStyle w:val="Normal"/></w:pPr>
<w:r><w:t xml:space="preserve">February 1843, already mentioned, and that in the Quarterly</w:t></w:r>
</w:p>
<w:p>
<w:pPr><w:pStyle w:val="Normal"/></w:pPr>
<w:r><w:t xml:space="preserve">Review for June 1855, the Society for Checking the Abuses</w:t></w:r>
</w:p>
<w:p>
<w:pPr><w:pStyle w:val="Normal"/></w:pPr>
<w:r><w:t xml:space="preserve">of Public Advertising issue a journal, A Beautiful World.</w:t></w:r>
</w:p>
<w:p>
<w:pPr><w:pStyle w:val="Normal"/></w:pPr>
<w:r><w:t xml:space="preserve">The Journal of the Society of Comparative Legislation (N.S.</w:t></w:r>
</w:p>
<w:p>
<w:pPr><w:pStyle w:val="Normal"/></w:pPr>
<w:r><w:t xml:space="preserve">xvi. 1906) contains an article by W.J.B.  Byles on Foreign</w:t></w:r>
</w:p>
<w:p>
<w:pPr><w:pStyle w:val="Normal"/></w:pPr>
<w:r><w:t xml:space="preserve">Law and the Control of Advertisements in Public Places.  The</w:t></w:r>
</w:p>
<w:p>
<w:pPr><w:pStyle w:val="Normal"/></w:pPr>
<w:r><w:t xml:space="preserve">advertisers&apos; handbooks, issued by the leading advertising</w:t></w:r>
</w:p>
<w:p>
<w:pPr><w:pStyle w:val="Normal"/></w:pPr>
<w:r><w:t xml:space="preserve">agents, will also be found to contain practical information</w:t></w:r>
</w:p>
<w:p>
<w:pPr><w:pStyle w:val="Normal"/></w:pPr>
<w:r><w:t xml:space="preserve">of great use to the advertiser. (H. R. H.*; C. WE.)</w:t></w:r>
</w:p>
<w:p>
<w:pPr><w:pStyle w:val="Normal"/></w:pPr>
<w:r><w:t xml:space="preserve">ADVICE (Fr. avis, from Lat. ad, to, and visum,</w:t></w:r>
</w:p>
<w:p>
<w:pPr><w:pStyle w:val="Normal"/></w:pPr>
<w:r><w:t xml:space="preserve">viewed), counsel given after consideration, or information</w:t></w:r>
</w:p>
<w:p>
<w:pPr><w:pStyle w:val="Normal"/></w:pPr>
<w:r><w:t xml:space="preserve">from a distance giving particulars of something prospective</w:t></w:r>
</w:p>
<w:p>
<w:pPr><w:pStyle w:val="Normal"/></w:pPr>
<w:r><w:t xml:space="preserve">( e.g. ``advice&apos;&apos; of an imminent battle, or of a cargo</w:t></w:r>
</w:p>
<w:p>
<w:pPr><w:pStyle w:val="Normal"/></w:pPr>
<w:r><w:t xml:space="preserve">due).  In commerce it is a common word for a formal notice</w:t></w:r>
</w:p>
<w:p>
<w:pPr><w:pStyle w:val="Normal"/></w:pPr>
<w:r><w:t xml:space="preserve">from one person concerned in a transaction to another.</w:t></w:r>
</w:p>
<w:p>
<w:pPr><w:pStyle w:val="Normal"/></w:pPr>
<w:r><w:t xml:space="preserve">ADVOCATE (Lat. advocatus, from advocare, to summon,</w:t></w:r>
</w:p>
<w:p>
<w:pPr><w:pStyle w:val="Normal"/></w:pPr>
<w:r><w:t xml:space="preserve">especially in law to call in the aid of a counsel or witness,</w:t></w:r>
</w:p>
<w:p>
<w:pPr><w:pStyle w:val="Normal"/></w:pPr>
<w:r><w:t xml:space="preserve">and so generally to summon to one&apos;s assistance), a lawyer</w:t></w:r>
</w:p>
<w:p>
<w:pPr><w:pStyle w:val="Normal"/></w:pPr>
<w:r><w:t xml:space="preserve">authorized to plead the causes of litigants in courts of</w:t></w:r>
</w:p>
<w:p>
<w:pPr><w:pStyle w:val="Normal"/></w:pPr>
<w:r><w:t xml:space="preserve">law.  The word is used technically in Scotland (see ADVOCATES,</w:t></w:r>
</w:p>
<w:p>
<w:pPr><w:pStyle w:val="Normal"/></w:pPr>
<w:r><w:t xml:space="preserve">FACULTY OF) in a sense virtually equivalent to the English</w:t></w:r>
</w:p>
<w:p>
<w:pPr><w:pStyle w:val="Normal"/></w:pPr>
<w:r><w:t xml:space="preserve">term barrister, and a derivative from the same Latin source</w:t></w:r>
</w:p>
<w:p>
<w:pPr><w:pStyle w:val="Normal"/></w:pPr>
<w:r><w:t xml:space="preserve">is so used in most of the countries of Europe where the civil</w:t></w:r>
</w:p>
<w:p>
<w:pPr><w:pStyle w:val="Normal"/></w:pPr>
<w:r><w:t xml:space="preserve">law is in force.  The word advocatus is not often used among</w:t></w:r>
</w:p>
<w:p>
<w:pPr><w:pStyle w:val="Normal"/></w:pPr>
<w:r><w:t xml:space="preserve">the earlier jurists, and appears not to have had a strict</w:t></w:r>
</w:p>
<w:p>
<w:pPr><w:pStyle w:val="Normal"/></w:pPr>
<w:r><w:t xml:space="preserve">meaning.  It is not always associated with legal proceedings,</w:t></w:r>
</w:p>
<w:p>
<w:pPr><w:pStyle w:val="Normal"/></w:pPr>
<w:r><w:t xml:space="preserve">and might apparently be applied to a supporter or coadjutor</w:t></w:r>
</w:p>
<w:p>
<w:pPr><w:pStyle w:val="Normal"/></w:pPr>
<w:r><w:t xml:space="preserve">in the pursuit of any desired object.  When it came to be</w:t></w:r>
</w:p>
<w:p>
<w:pPr><w:pStyle w:val="Normal"/></w:pPr>
<w:r><w:t xml:space="preserve">applied with a more specific limitation to legal services,</w:t></w:r>
</w:p>
<w:p>
<w:pPr><w:pStyle w:val="Normal"/></w:pPr>
<w:r><w:t xml:space="preserve">the position of the advocatus was still uncertain.  It</w:t></w:r>
</w:p>
<w:p>
<w:pPr><w:pStyle w:val="Normal"/></w:pPr>
<w:r><w:t xml:space="preserve">was different from, and evidently inferior to, that of the</w:t></w:r>
</w:p>
<w:p>
<w:pPr><w:pStyle w:val="Normal"/></w:pPr>
<w:r><w:t xml:space="preserve">juris-consultus, who gave his opinion and advice in questions</w:t></w:r>
</w:p>
<w:p>
<w:pPr><w:pStyle w:val="Normal"/></w:pPr>
<w:r><w:t xml:space="preserve">of law, and may be identified with the consulting counsel</w:t></w:r>
</w:p>
<w:p>
<w:pPr><w:pStyle w:val="Normal"/></w:pPr>
<w:r><w:t xml:space="preserve">of the present day.  Nor is the merely professional advocate</w:t></w:r>
</w:p>
<w:p>
<w:pPr><w:pStyle w:val="Normal"/></w:pPr>
<w:r><w:t xml:space="preserve">to be confounded with the more distinguished orator, or</w:t></w:r>
</w:p>
<w:p>
<w:pPr><w:pStyle w:val="Normal"/></w:pPr>
<w:r><w:t xml:space="preserve">patronus, who came forward in the guise of the disinterested</w:t></w:r>
</w:p>
<w:p>
<w:pPr><w:pStyle w:val="Normal"/></w:pPr>
<w:r><w:t xml:space="preserve">vindicator of justice.  This distinction, however, appears</w:t></w:r>
</w:p>
<w:p>
<w:pPr><w:pStyle w:val="Normal"/></w:pPr>
<w:r><w:t xml:space="preserve">to have arisen in later times, when the profession became</w:t></w:r>
</w:p>
<w:p>
<w:pPr><w:pStyle w:val="Normal"/></w:pPr>
<w:r><w:t xml:space="preserve">mercenary.  By the lex Cineia, passed about two centuries</w:t></w:r>
</w:p>
<w:p>
<w:pPr><w:pStyle w:val="Normal"/></w:pPr>
<w:r><w:t xml:space="preserve">B.C., and subsequently renewed, the acceptance of</w:t></w:r>
</w:p>
<w:p>
<w:pPr><w:pStyle w:val="Normal"/></w:pPr>
<w:r><w:t xml:space="preserve">remuneration for professional assistance in lawsuits was</w:t></w:r>
</w:p>
<w:p>
<w:pPr><w:pStyle w:val="Normal"/></w:pPr>
<w:r><w:t xml:space="preserve">prohibited.  This law, like all others of the kind, was</w:t></w:r>
</w:p>
<w:p>
<w:pPr><w:pStyle w:val="Normal"/></w:pPr>
<w:r><w:t xml:space="preserve">evaded.  The skilful debater was propitiated with a present;</w:t></w:r>
</w:p>
<w:p>
<w:pPr><w:pStyle w:val="Normal"/></w:pPr>
<w:r><w:t xml:space="preserve">and though he could not sue for the value of his services, it</w:t></w:r>
</w:p>
<w:p>
<w:pPr><w:pStyle w:val="Normal"/></w:pPr>
<w:r><w:t xml:space="preserve">was ruled that any honorarium so given could not be demanded</w:t></w:r>
</w:p>
<w:p>
<w:pPr><w:pStyle w:val="Normal"/></w:pPr>
<w:r><w:t xml:space="preserve">back, even though he died before the anticipated service was</w:t></w:r>
</w:p>
<w:p>
<w:pPr><w:pStyle w:val="Normal"/></w:pPr>
<w:r><w:t xml:space="preserve">performed.  The traces of this evasion of a law may be</w:t></w:r>
</w:p>
<w:p>
<w:pPr><w:pStyle w:val="Normal"/></w:pPr>
<w:r><w:t xml:space="preserve">found in the existing practice of rewarding counsel by fees</w:t></w:r>
</w:p>
<w:p>
<w:pPr><w:pStyle w:val="Normal"/></w:pPr>
<w:r><w:t xml:space="preserve">in anticipation of services.  The term advocatus came</w:t></w:r>
</w:p>
<w:p>
<w:pPr><w:pStyle w:val="Normal"/></w:pPr>
<w:r><w:t xml:space="preserve">eventually to be the word employed when the bar had become a</w:t></w:r>
</w:p>
<w:p>
<w:pPr><w:pStyle w:val="Normal"/></w:pPr>
<w:r><w:t xml:space="preserve">profession, and the qualifications, admission, numbers and</w:t></w:r>
</w:p>
<w:p>
<w:pPr><w:pStyle w:val="Normal"/></w:pPr>
<w:r><w:t xml:space="preserve">fees of counsel had become a matter of state regulation, to</w:t></w:r>
</w:p>
<w:p>
<w:pPr><w:pStyle w:val="Normal"/></w:pPr>
<w:r><w:t xml:space="preserve">designate the pleaders as a class of professional men, each</w:t></w:r>
</w:p>
<w:p>
<w:pPr><w:pStyle w:val="Normal"/></w:pPr>
<w:r><w:t xml:space="preserve">individual advocate, however, being still spoken of as patron</w:t></w:r>
</w:p>
<w:p>
<w:pPr><w:pStyle w:val="Normal"/></w:pPr>
<w:r><w:t xml:space="preserve">in reference to the litigant with whose interest he was</w:t></w:r>
</w:p>
<w:p>
<w:pPr><w:pStyle w:val="Normal"/></w:pPr>
<w:r><w:t xml:space="preserve">entrusted.  The advocatus fisci, or fiscal advocate, was</w:t></w:r>
</w:p>
<w:p>
<w:pPr><w:pStyle w:val="Normal"/></w:pPr>
<w:r><w:t xml:space="preserve">an officer whose function, like that of a solicitor of taxes</w:t></w:r>
</w:p>
<w:p>
<w:pPr><w:pStyle w:val="Normal"/></w:pPr>
<w:r><w:t xml:space="preserve">at the present day, was connected with the collection of the</w:t></w:r>
</w:p>
<w:p>
<w:pPr><w:pStyle w:val="Normal"/></w:pPr>
<w:r><w:t xml:space="preserve">revenue.  The lawyers who practised in the English courts of</w:t></w:r>
</w:p>
<w:p>
<w:pPr><w:pStyle w:val="Normal"/></w:pPr>
<w:r><w:t xml:space="preserve">common law were never officially known as advocates, the word</w:t></w:r>
</w:p>
<w:p>
<w:pPr><w:pStyle w:val="Normal"/></w:pPr>
<w:r><w:t xml:space="preserve">being reserved for those who practised in the courts of the</w:t></w:r>
</w:p>
<w:p>
<w:pPr><w:pStyle w:val="Normal"/></w:pPr>
<w:r><w:t xml:space="preserve">civil and canon law (see DOCTORS&apos; COMMONS). There was formerly</w:t></w:r>
</w:p>
<w:p>
<w:pPr><w:pStyle w:val="Normal"/></w:pPr>
<w:r><w:t xml:space="preserve">an important official termed his majesty&apos;s advocate-general,</w:t></w:r>
</w:p>
<w:p>
<w:pPr><w:pStyle w:val="Normal"/></w:pPr>
<w:r><w:t xml:space="preserve">or more shortly, the king&apos;s advocate, who was the principal law</w:t></w:r>
</w:p>
<w:p>
<w:pPr><w:pStyle w:val="Normal"/></w:pPr>
<w:r><w:t xml:space="preserve">officer of the crown in the College of Advocates or Doctors&apos;</w:t></w:r>
</w:p>
<w:p>
<w:pPr><w:pStyle w:val="Normal"/></w:pPr>
<w:r><w:t xml:space="preserve">Commons, and in the admiralty and ecclesiastical courts.  He</w:t></w:r>
</w:p>
<w:p>
<w:pPr><w:pStyle w:val="Normal"/></w:pPr>
<w:r><w:t xml:space="preserve">discharged for these courts the duties which correspond to</w:t></w:r>
</w:p>
<w:p>
<w:pPr><w:pStyle w:val="Normal"/></w:pPr>
<w:r><w:t xml:space="preserve">those of the solicitor of the treasury (see SOLICITOR).</w:t></w:r>
</w:p>
<w:p>
<w:pPr><w:pStyle w:val="Normal"/></w:pPr>
<w:r><w:t xml:space="preserve">His opinion was taken by the foreign office on international</w:t></w:r>
</w:p>
<w:p>
<w:pPr><w:pStyle w:val="Normal"/></w:pPr>
<w:r><w:t xml:space="preserve">matters, and on high ecclesiastical matters he was also</w:t></w:r>
</w:p>
<w:p>
<w:pPr><w:pStyle w:val="Normal"/></w:pPr>
<w:r><w:t xml:space="preserve">consulted; all orders in council were submitted to him for</w:t></w:r>
</w:p>
<w:p>
<w:pPr><w:pStyle w:val="Normal"/></w:pPr>
<w:r><w:t xml:space="preserve">approval.  The office may now be said to be obsolete, for</w:t></w:r>
</w:p>
<w:p>
<w:pPr><w:pStyle w:val="Normal"/></w:pPr>
<w:r><w:t xml:space="preserve">after the resignation of Sir Travers Twiss, the last holder,</w:t></w:r>
</w:p>
<w:p>
<w:pPr><w:pStyle w:val="Normal"/></w:pPr>
<w:r><w:t xml:space="preserve">in 1872, it was not filled up.  There was also a second law</w:t></w:r>
</w:p>
<w:p>
<w:pPr><w:pStyle w:val="Normal"/></w:pPr>
<w:r><w:t xml:space="preserve">officer of the crown in the admiralty court called the admiralty</w:t></w:r>
</w:p>
<w:p>
<w:pPr><w:pStyle w:val="Normal"/></w:pPr>
<w:r><w:t xml:space="preserve">advocate.  This office has long been vacant.  Advocate is</w:t></w:r>
</w:p>
<w:p>
<w:pPr><w:pStyle w:val="Normal"/></w:pPr>
<w:r><w:t xml:space="preserve">also the title still in use in some of the British colonies to</w:t></w:r>
</w:p>
<w:p>
<w:pPr><w:pStyle w:val="Normal"/></w:pPr>
<w:r><w:t xml:space="preserve">denote the chief law officer of the crown there.  For instance,</w:t></w:r>
</w:p>
<w:p>
<w:pPr><w:pStyle w:val="Normal"/></w:pPr>
<w:r><w:t xml:space="preserve">in Sierra Leone (until 1896), Lagos and Cyprus he is called</w:t></w:r>
</w:p>
<w:p>
<w:pPr><w:pStyle w:val="Normal"/></w:pPr>
<w:r><w:t xml:space="preserve">the king&apos;s advocate; in Malta, crown advocate; in Mauritius,</w:t></w:r>
</w:p>
<w:p>
<w:pPr><w:pStyle w:val="Normal"/></w:pPr>
<w:r><w:t xml:space="preserve">procureur and advocate-general, and in the provinces of India</w:t></w:r>
</w:p>
<w:p>
<w:pPr><w:pStyle w:val="Normal"/></w:pPr>
<w:r><w:t xml:space="preserve">advocate-general.  In France, the avocats, as a body, were</w:t></w:r>
</w:p>
<w:p>
<w:pPr><w:pStyle w:val="Normal"/></w:pPr>
<w:r><w:t xml:space="preserve">reorganized under the empire by a decree of the 15th of December</w:t></w:r>
</w:p>
<w:p>
<w:pPr><w:pStyle w:val="Normal"/></w:pPr>
<w:r><w:t xml:space="preserve">1830.  There is, however, a distinction between avocats</w:t></w:r>
</w:p>
<w:p>
<w:pPr><w:pStyle w:val="Normal"/></w:pPr>
<w:r><w:t xml:space="preserve">and avoues.  The latter, whose number is limited, act as</w:t></w:r>
</w:p>
<w:p>
<w:pPr><w:pStyle w:val="Normal"/></w:pPr>
<w:r><w:t xml:space="preserve">procurators or agents, representing the parties before the</w:t></w:r>
</w:p>
<w:p>
<w:pPr><w:pStyle w:val="Normal"/></w:pPr>
<w:r><w:t xml:space="preserve">tribunals, draft and prepare for them all formal acts and</w:t></w:r>
</w:p>
<w:p>
<w:pPr><w:pStyle w:val="Normal"/></w:pPr>
<w:r><w:t xml:space="preserve">writings, and prepare their lawsuits for the oral debates.</w:t></w:r>
</w:p>
<w:p>
<w:pPr><w:pStyle w:val="Normal"/></w:pPr>
<w:r><w:t xml:space="preserve">The office of the avocat, on the other hand, consists</w:t></w:r>
</w:p>
<w:p>
<w:pPr><w:pStyle w:val="Normal"/></w:pPr>
<w:r><w:t xml:space="preserve">in giving advice as to the law, and conducting the causes</w:t></w:r>
</w:p>
<w:p>
<w:pPr><w:pStyle w:val="Normal"/></w:pPr>
<w:r><w:t xml:space="preserve">of his clients by written and oral pleadings.  The number</w:t></w:r>
</w:p>
<w:p>
<w:pPr><w:pStyle w:val="Normal"/></w:pPr>
<w:r><w:t xml:space="preserve">of avocats is not limited; every licentiate of law being</w:t></w:r>
</w:p>
<w:p>
<w:pPr><w:pStyle w:val="Normal"/></w:pPr>
<w:r><w:t xml:space="preserve">entitled to apply to the corporation of avocats attached to</w:t></w:r>
</w:p>
<w:p>
<w:pPr><w:pStyle w:val="Normal"/></w:pPr>
<w:r><w:t xml:space="preserve">each court, and after presentation to the court, taking the</w:t></w:r>
</w:p>
<w:p>
<w:pPr><w:pStyle w:val="Normal"/></w:pPr>
<w:r><w:t xml:space="preserve">oath of office and passing three years in attendance on some</w:t></w:r>
</w:p>
<w:p>
<w:pPr><w:pStyle w:val="Normal"/></w:pPr>
<w:r><w:t xml:space="preserve">older advocate, to have himself recognised as an advocate.</w:t></w:r>
</w:p>
<w:p>
<w:pPr><w:pStyle w:val="Normal"/></w:pPr>
<w:r><w:t xml:space="preserve">In Germany the advocat no longer forms a distinct class of</w:t></w:r>
</w:p>
<w:p>
<w:pPr><w:pStyle w:val="Normal"/></w:pPr>
<w:r><w:t xml:space="preserve">lawyer.  Since 1879, when a sweeping judicature act (Deutsche</w:t></w:r>
</w:p>
<w:p>
<w:pPr><w:pStyle w:val="Normal"/></w:pPr>
<w:r><w:t xml:space="preserve">Justizgesetzgebung) reconstituted the judicial system,</w:t></w:r>
</w:p>
<w:p>
<w:pPr><w:pStyle w:val="Normal"/></w:pPr>
<w:r><w:t xml:space="preserve">the advocat in his character of adviser, as distinguished</w:t></w:r>
</w:p>
<w:p>
<w:pPr><w:pStyle w:val="Normal"/></w:pPr>
<w:r><w:t xml:space="preserve">from the procurator, who formerly represented the client</w:t></w:r>
</w:p>
<w:p>
<w:pPr><w:pStyle w:val="Normal"/></w:pPr>
<w:r><w:t xml:space="preserve">in the courts, has become merged in the Rechtsanwalt,</w:t></w:r>
</w:p>
<w:p>
<w:pPr><w:pStyle w:val="Normal"/></w:pPr>
<w:r><w:t xml:space="preserve">who has the dual character of counsellor and pleader.</w:t></w:r>
</w:p>
<w:p>
<w:pPr><w:pStyle w:val="Normal"/></w:pPr>
<w:r><w:t xml:space="preserve">The advocates ecclesiae.</w:t></w:r>
</w:p>
<w:p>
<w:pPr><w:pStyle w:val="Normal"/></w:pPr>
<w:r><w:t xml:space="preserve">In the middle ages the word advocatus (Fr. avoue, Ger.</w:t></w:r>
</w:p>
<w:p>
<w:pPr><w:pStyle w:val="Normal"/></w:pPr>
<w:r><w:t xml:space="preserve">Vogt) was used on the continent as the title of the lay</w:t></w:r>
</w:p>
<w:p>
<w:pPr><w:pStyle w:val="Normal"/></w:pPr>
<w:r><w:t xml:space="preserve">lord charged with the protection and representation in secular</w:t></w:r>
</w:p>
<w:p>
<w:pPr><w:pStyle w:val="Normal"/></w:pPr>
<w:r><w:t xml:space="preserve">matters of an abbey.  The office is traceable as early as</w:t></w:r>
</w:p>
<w:p>
<w:pPr><w:pStyle w:val="Normal"/></w:pPr>
<w:r><w:t xml:space="preserve">the beginning of the 5th century in the Roman empire, the</w:t></w:r>
</w:p>
<w:p>
<w:pPr><w:pStyle w:val="Normal"/></w:pPr>
<w:r><w:t xml:space="preserve">churches being allowed to choose defensores from the body</w:t></w:r>
</w:p>
<w:p>
<w:pPr><w:pStyle w:val="Normal"/></w:pPr>
<w:r><w:t xml:space="preserve">of advocates to represent them in the courts.  In the Frankish</w:t></w:r>
</w:p>
<w:p>
<w:pPr><w:pStyle w:val="Normal"/></w:pPr>
<w:r><w:t xml:space="preserve">kingdom, under the Merovingians, these lay representatives of</w:t></w:r>
</w:p>
<w:p>
<w:pPr><w:pStyle w:val="Normal"/></w:pPr>
<w:r><w:t xml:space="preserve">the churches appear as agentes, defensores and advocati;</w:t></w:r>
</w:p>
<w:p>
<w:pPr><w:pStyle w:val="Normal"/></w:pPr>
<w:r><w:t xml:space="preserve">and under the Carolingians it was made obligatory on</w:t></w:r>
</w:p>
<w:p>
<w:pPr><w:pStyle w:val="Normal"/></w:pPr>
<w:r><w:t xml:space="preserve">bishops, abbots and abbesses to appoint such officials in</w:t></w:r>
</w:p>
<w:p>
<w:pPr><w:pStyle w:val="Normal"/></w:pPr>
<w:r><w:t xml:space="preserve">every county where they held property.  The office was not</w:t></w:r>
</w:p>
<w:p>
<w:pPr><w:pStyle w:val="Normal"/></w:pPr>
<w:r><w:t xml:space="preserve">hereditary, the advocatus being chosen, either by the abbot</w:t></w:r>
</w:p>
<w:p>
<w:pPr><w:pStyle w:val="Normal"/></w:pPr>
<w:r><w:t xml:space="preserve">alone, or by the abbot and bishop concurrently with the</w:t></w:r>
</w:p>
<w:p>
<w:pPr><w:pStyle w:val="Normal"/></w:pPr>
<w:r><w:t xml:space="preserve">count.  The same causes that led to the development of the</w:t></w:r>
</w:p>
<w:p>
<w:pPr><w:pStyle w:val="Normal"/></w:pPr>
<w:r><w:t xml:space="preserve">feudal system also affected the advocatus. In times of</w:t></w:r>
</w:p>
<w:p>
<w:pPr><w:pStyle w:val="Normal"/></w:pPr>
<w:r><w:t xml:space="preserve">confusion churches and abbeys needed not so much a legal</w:t></w:r>
</w:p>
<w:p>
<w:pPr><w:pStyle w:val="Normal"/></w:pPr>
<w:r><w:t xml:space="preserve">representative as an armed protector, while as feudal</w:t></w:r>
</w:p>
<w:p>
<w:pPr><w:pStyle w:val="Normal"/></w:pPr>
<w:r><w:t xml:space="preserve">immunities were conceded to the ecclesiastical foundations,</w:t></w:r>
</w:p>
<w:p>
<w:pPr><w:pStyle w:val="Normal"/></w:pPr>
<w:r><w:t xml:space="preserve">these required a representative to defend their rights and to</w:t></w:r>
</w:p>
<w:p>
<w:pPr><w:pStyle w:val="Normal"/></w:pPr>
<w:r><w:t xml:space="preserve">fulfil their secular obligations to the state, e.g. to lead</w:t></w:r>
</w:p>
<w:p>
<w:pPr><w:pStyle w:val="Normal"/></w:pPr>
<w:r><w:t xml:space="preserve">the ecclesiastical levies to war.  A new class of advocatus</w:t></w:r>
</w:p>
<w:p>
<w:pPr><w:pStyle w:val="Normal"/></w:pPr>
<w:r><w:t xml:space="preserve">thus arose, whose office, commonly rewarded by a grant of</w:t></w:r>
</w:p>
<w:p>
<w:pPr><w:pStyle w:val="Normal"/></w:pPr>
<w:r><w:t xml:space="preserve">land, crystallized into a fief, which, like other fiefs,</w:t></w:r>
</w:p>
<w:p>
<w:pPr><w:pStyle w:val="Normal"/></w:pPr>
<w:r><w:t xml:space="preserve">had by the beginning of the 11th century become hereditary.</w:t></w:r>
</w:p>
<w:p>
<w:pPr><w:pStyle w:val="Normal"/></w:pPr>
<w:r><w:t xml:space="preserve">The French avoue.</w:t></w:r>
</w:p>
<w:p>
<w:pPr><w:pStyle w:val="Normal"/></w:pPr>
<w:r><w:t xml:space="preserve">In France the advocati (avoues) were of two classes.--(1)</w:t></w:r>
</w:p>
<w:p>
<w:pPr><w:pStyle w:val="Normal"/></w:pPr>
<w:r><w:t xml:space="preserve">great barons, who held the advocateship of an abbey or</w:t></w:r>
</w:p>
<w:p>
<w:pPr><w:pStyle w:val="Normal"/></w:pPr>
<w:r><w:t xml:space="preserve">abbeys rather as an office than a fief, though they were</w:t></w:r>
</w:p>
<w:p>
<w:pPr><w:pStyle w:val="Normal"/></w:pPr>
<w:r><w:t xml:space="preserve">indemnified for the protection they afforded by a domain and</w:t></w:r>
</w:p>
<w:p>
<w:pPr><w:pStyle w:val="Normal"/></w:pPr>
<w:r><w:t xml:space="preserve">revenues granted by the abbey: thus the duke of Normandy was</w:t></w:r>
</w:p>
<w:p>
<w:pPr><w:pStyle w:val="Normal"/></w:pPr>
<w:r><w:t xml:space="preserve">adpoeatus of nearly all the abbeys in the duchy; (2) petty</w:t></w:r>
</w:p>
<w:p>
<w:pPr><w:pStyle w:val="Normal"/></w:pPr>
<w:r><w:t xml:space="preserve">seigneurs, who held their avoueries as hereditary fiefs and</w:t></w:r>
</w:p>
<w:p>
<w:pPr><w:pStyle w:val="Normal"/></w:pPr>
<w:r><w:t xml:space="preserve">often as their sole means of subsistence.  The avoue of an</w:t></w:r>
</w:p>
<w:p>
<w:pPr><w:pStyle w:val="Normal"/></w:pPr>
<w:r><w:t xml:space="preserve">abbey, of this class, corresponded to the vidame (q.v.) of a</w:t></w:r>
</w:p>
<w:p>
<w:pPr><w:pStyle w:val="Normal"/></w:pPr>
<w:r><w:t xml:space="preserve">bishop.  Their function was generally to represent the abbot</w:t></w:r>
</w:p>
<w:p>
<w:pPr><w:pStyle w:val="Normal"/></w:pPr>
<w:r><w:t xml:space="preserve">in his capacity as feudal lord; to act as his representative in</w:t></w:r>
</w:p>
<w:p>
<w:pPr><w:pStyle w:val="Normal"/></w:pPr>
<w:r><w:t xml:space="preserve">the courts of his superior lord; to exercise secular justice in</w:t></w:r>
</w:p>
<w:p>
<w:pPr><w:pStyle w:val="Normal"/></w:pPr>
<w:r><w:t xml:space="preserve">the abbot&apos;s name in the abbatial court; to lead the retainers.</w:t></w:r>
</w:p>
<w:p>
<w:pPr><w:pStyle w:val="Normal"/></w:pPr>
<w:r><w:t xml:space="preserve">Of the abbey to battle under the banner of the patron saint.</w:t></w:r>
</w:p>
<w:p>
<w:pPr><w:pStyle w:val="Normal"/></w:pPr>
<w:r><w:t xml:space="preserve">In England.</w:t></w:r>
</w:p>
<w:p>
<w:pPr><w:pStyle w:val="Normal"/></w:pPr>
<w:r><w:t xml:space="preserve">In England the word advocatus was never used to denote</w:t></w:r>
</w:p>
<w:p>
<w:pPr><w:pStyle w:val="Normal"/></w:pPr>
<w:r><w:t xml:space="preserve">an hereditary representative of an abbot; but in some of</w:t></w:r>
</w:p>
<w:p>
<w:pPr><w:pStyle w:val="Normal"/></w:pPr>
<w:r><w:t xml:space="preserve">the larger abbeys there were hereditary stewards whose</w:t></w:r>
</w:p>
<w:p>
<w:pPr><w:pStyle w:val="Normal"/></w:pPr>
<w:r><w:t xml:space="preserve">functions and privileges were not dissimilar to those of</w:t></w:r>
</w:p>
<w:p>
<w:pPr><w:pStyle w:val="Normal"/></w:pPr>
<w:r><w:t xml:space="preserve">the continental advocati. The word advocatus, however,</w:t></w:r>
</w:p>
<w:p>
<w:pPr><w:pStyle w:val="Normal"/></w:pPr>
<w:r><w:t xml:space="preserve">was in constant use in England to denote the patron of an</w:t></w:r>
</w:p>
<w:p>
<w:pPr><w:pStyle w:val="Normal"/></w:pPr>
<w:r><w:t xml:space="preserve">ecclesiastical benefice, whose sole right of any importance</w:t></w:r>
</w:p>
<w:p>
<w:pPr><w:pStyle w:val="Normal"/></w:pPr>
<w:r><w:t xml:space="preserve">was an hereditary one of presenting a parson to the bishop for</w:t></w:r>
</w:p>
<w:p>
<w:pPr><w:pStyle w:val="Normal"/></w:pPr>
<w:r><w:t xml:space="preserve">institution.  In this way the hereditary right of presentation</w:t></w:r>
</w:p>
<w:p>
<w:pPr><w:pStyle w:val="Normal"/></w:pPr>
<w:r><w:t xml:space="preserve">to a benefice came to be called in English an ``advowson&apos;&apos;</w:t></w:r>
</w:p>
<w:p>
<w:pPr><w:pStyle w:val="Normal"/></w:pPr>
<w:r><w:t xml:space="preserve">(advocatio). The advocatus played a more important part in</w:t></w:r>
</w:p>
<w:p>
<w:pPr><w:pStyle w:val="Normal"/></w:pPr>
<w:r><w:t xml:space="preserve">the feudal polity of the Empire and of the Low Countries than</w:t></w:r>
</w:p>
<w:p>
<w:pPr><w:pStyle w:val="Normal"/></w:pPr>
<w:r><w:t xml:space="preserve">in France, where his functions, confined to the protection of</w:t></w:r>
</w:p>
<w:p>
<w:pPr><w:pStyle w:val="Normal"/></w:pPr>
<w:r><w:t xml:space="preserve">the interests of religious houses, were superseded from the</w:t></w:r>
</w:p>
<w:p>
<w:pPr><w:pStyle w:val="Normal"/></w:pPr>
<w:r><w:t xml:space="preserve">13th century onwards by the growth of the central power and</w:t></w:r>
</w:p>
<w:p>
<w:pPr><w:pStyle w:val="Normal"/></w:pPr>
<w:r><w:t xml:space="preserve">the increasing efficiency of the royal administration.  They</w:t></w:r>
</w:p>
<w:p>
<w:pPr><w:pStyle w:val="Normal"/></w:pPr>
<w:r><w:t xml:space="preserve">had, indeed, long ceased to be effective for their original</w:t></w:r>
</w:p>
<w:p>
<w:pPr><w:pStyle w:val="Normal"/></w:pPr>
<w:r><w:t xml:space="preserve">purpose; and from the time when their office became a fief</w:t></w:r>
</w:p>
<w:p>
<w:pPr><w:pStyle w:val="Normal"/></w:pPr>
<w:r><w:t xml:space="preserve">they had taken advantage of their position to pillage and</w:t></w:r>
</w:p>
<w:p>
<w:pPr><w:pStyle w:val="Normal"/></w:pPr>
<w:r><w:t xml:space="preserve">suppress those whom it was their function to defend.  The</w:t></w:r>
</w:p>
<w:p>
<w:pPr><w:pStyle w:val="Normal"/></w:pPr>
<w:r><w:t xml:space="preserve">medieval records, not in France only, are full of complaints</w:t></w:r>
</w:p>
<w:p>
<w:pPr><w:pStyle w:val="Normal"/></w:pPr>
<w:r><w:t xml:space="preserve">by abbots of their usurpations, exactions and acts of violence.</w:t></w:r>
</w:p>
<w:p>
<w:pPr><w:pStyle w:val="Normal"/></w:pPr>
<w:r><w:t xml:space="preserve">The German Vogt.</w:t></w:r>
</w:p>
<w:p>
<w:pPr><w:pStyle w:val="Normal"/></w:pPr>
<w:r><w:t xml:space="preserve">In Germany the title of advocatus ( Vogt) was given not only</w:t></w:r>
</w:p>
<w:p>
<w:pPr><w:pStyle w:val="Normal"/></w:pPr>
<w:r><w:t xml:space="preserve">to the advocati of churches and abbeys, but to the officials</w:t></w:r>
</w:p>
<w:p>
<w:pPr><w:pStyle w:val="Normal"/></w:pPr>
<w:r><w:t xml:space="preserve">appointed, from early in the middle ages, by the emperor to</w:t></w:r>
</w:p>
<w:p>
<w:pPr><w:pStyle w:val="Normal"/></w:pPr>
<w:r><w:t xml:space="preserve">administer their immediate domains, in contradistinction to</w:t></w:r>
</w:p>
<w:p>
<w:pPr><w:pStyle w:val="Normal"/></w:pPr>
<w:r><w:t xml:space="preserve">the counts, who had become hereditary princes of the Empire.</w:t></w:r>
</w:p>
<w:p>
<w:pPr><w:pStyle w:val="Normal"/></w:pPr>
<w:r><w:t xml:space="preserve">The territory so administered was known as Vogtland (terra</w:t></w:r>
</w:p>
<w:p>
<w:pPr><w:pStyle w:val="Normal"/></w:pPr>
<w:r><w:t xml:space="preserve">advocatorum), a name still sometimes employed to designate</w:t></w:r>
</w:p>
<w:p>
<w:pPr><w:pStyle w:val="Normal"/></w:pPr>
<w:r><w:t xml:space="preserve">the strip of country which embraces the principalities of</w:t></w:r>
</w:p>
<w:p>
<w:pPr><w:pStyle w:val="Normal"/></w:pPr>
<w:r><w:t xml:space="preserve">Reuss and adjacent portions of Saxony, Prussia and Bavaria.</w:t></w:r>
</w:p>
<w:p>
<w:pPr><w:pStyle w:val="Normal"/></w:pPr>
<w:r><w:t xml:space="preserve">These imperial advocati tended in their turn to become</w:t></w:r>
</w:p>
<w:p>
<w:pPr><w:pStyle w:val="Normal"/></w:pPr>
<w:r><w:t xml:space="preserve">hereditary.  Sometimes the emperor himself assumed the title of</w:t></w:r>
</w:p>
<w:p>
<w:pPr><w:pStyle w:val="Normal"/></w:pPr>
<w:r><w:t xml:space="preserve">Vogt of some particular part of his immediate domain.  In the</w:t></w:r>
</w:p>
<w:p>
<w:pPr><w:pStyle w:val="Normal"/></w:pPr>
<w:r><w:t xml:space="preserve">Netherlands as well as in Germany advocati were often appointed</w:t></w:r>
</w:p>
<w:p>
<w:pPr><w:pStyle w:val="Normal"/></w:pPr>
<w:r><w:t xml:space="preserve">in the cities, by the overlord or by the emperor, sometimes</w:t></w:r>
</w:p>
<w:p>
<w:pPr><w:pStyle w:val="Normal"/></w:pPr>
<w:r><w:t xml:space="preserve">to take the place of the bailiff (Ger. Schultheiss, Dutch</w:t></w:r>
</w:p>
<w:p>
<w:pPr><w:pStyle w:val="Normal"/></w:pPr>
<w:r><w:t xml:space="preserve">schout, Lat. scultetus), sometimes alongside this official.</w:t></w:r>
</w:p>
<w:p>
<w:pPr><w:pStyle w:val="Normal"/></w:pPr>
<w:r><w:t xml:space="preserve">See Du Cange, Glossarium (ed. 1883, Niort), s. ``Advocati&apos;&apos;;</w:t></w:r>
</w:p>
<w:p>
<w:pPr><w:pStyle w:val="Normal"/></w:pPr>
<w:r><w:t xml:space="preserve">A. Luchaire, Manuel des institutions francaises (Paris,</w:t></w:r>
</w:p>
<w:p>
<w:pPr><w:pStyle w:val="Normal"/></w:pPr>
<w:r><w:t xml:space="preserve">1892); Herzog Hauck, Realencyklopadie (ed. Leipzig, 1896), s.</w:t></w:r>
</w:p>
<w:p>
<w:pPr><w:pStyle w:val="Normal"/></w:pPr>
<w:r><w:t xml:space="preserve">``Advocatus ecclesiae,&apos;&apos; where further references will be found.</w:t></w:r>
</w:p>
<w:p>
<w:pPr><w:pStyle w:val="Normal"/></w:pPr>
<w:r><w:t xml:space="preserve">ADVOCATES, FACULTY OF, the collective term by which what</w:t></w:r>
</w:p>
<w:p>
<w:pPr><w:pStyle w:val="Normal"/></w:pPr>
<w:r><w:t xml:space="preserve">in England are called barristers are known in Scotland.  They</w:t></w:r>
</w:p>
<w:p>
<w:pPr><w:pStyle w:val="Normal"/></w:pPr>
<w:r><w:t xml:space="preserve">professionally attend the supreme courts in Edinburgh; but</w:t></w:r>
</w:p>
<w:p>
<w:pPr><w:pStyle w:val="Normal"/></w:pPr>
<w:r><w:t xml:space="preserve">they are privileged to plead in any cause before the inferior</w:t></w:r>
</w:p>
<w:p>
<w:pPr><w:pStyle w:val="Normal"/></w:pPr>
<w:r><w:t xml:space="preserve">courts, where counsel are not excluded by statute.  They may</w:t></w:r>
</w:p>
<w:p>
<w:pPr><w:pStyle w:val="Normal"/></w:pPr>
<w:r><w:t xml:space="preserve">act in cases of appeal before the House of Lords; and in some</w:t></w:r>
</w:p>
<w:p>
<w:pPr><w:pStyle w:val="Normal"/></w:pPr>
<w:r><w:t xml:space="preserve">of the British colonies, where the civil law is in force, it</w:t></w:r>
</w:p>
<w:p>
<w:pPr><w:pStyle w:val="Normal"/></w:pPr>
<w:r><w:t xml:space="preserve">is customary for those who practise as barristers to pass as</w:t></w:r>
</w:p>
<w:p>
<w:pPr><w:pStyle w:val="Normal"/></w:pPr>
<w:r><w:t xml:space="preserve">advocates in Scotland.  This body has existed by immemorial</w:t></w:r>
</w:p>
<w:p>
<w:pPr><w:pStyle w:val="Normal"/></w:pPr>
<w:r><w:t xml:space="preserve">custom.  Its privileges are constitutional, and are founded</w:t></w:r>
</w:p>
<w:p>
<w:pPr><w:pStyle w:val="Normal"/></w:pPr>
<w:r><w:t xml:space="preserve">on no statute or charter of incorporation.  The body formed</w:t></w:r>
</w:p>
<w:p>
<w:pPr><w:pStyle w:val="Normal"/></w:pPr>
<w:r><w:t xml:space="preserve">itself gradually, from time to time, on the model of the</w:t></w:r>
</w:p>
<w:p>
<w:pPr><w:pStyle w:val="Normal"/></w:pPr>
<w:r><w:t xml:space="preserve">French corporations of avocats, appointing like them by</w:t></w:r>
</w:p>
<w:p>
<w:pPr><w:pStyle w:val="Normal"/></w:pPr>
<w:r><w:t xml:space="preserve">a general vote, a dean or doyen, who is their principal</w:t></w:r>
</w:p>
<w:p>
<w:pPr><w:pStyle w:val="Normal"/></w:pPr>
<w:r><w:t xml:space="preserve">officer.  It also differs from the English and Irish societies</w:t></w:r>
</w:p>
<w:p>
<w:pPr><w:pStyle w:val="Normal"/></w:pPr>
<w:r><w:t xml:space="preserve">in that there is no governing body similar to the benchers,</w:t></w:r>
</w:p>
<w:p>
<w:pPr><w:pStyle w:val="Normal"/></w:pPr>
<w:r><w:t xml:space="preserve">nor is there any resemblance to the quasi-collegiate discipline</w:t></w:r>
</w:p>
<w:p>
<w:pPr><w:pStyle w:val="Normal"/></w:pPr>
<w:r><w:t xml:space="preserve">and the usages and customs prevailing in an inn of court.</w:t></w:r>
</w:p>
<w:p>
<w:pPr><w:pStyle w:val="Normal"/></w:pPr>
<w:r><w:t xml:space="preserve">No curriculum of study, residence or professional training</w:t></w:r>
</w:p>
<w:p>
<w:pPr><w:pStyle w:val="Normal"/></w:pPr>
<w:r><w:t xml:space="preserve">was, until 1856, required on entering this profession; but the</w:t></w:r>
</w:p>
<w:p>
<w:pPr><w:pStyle w:val="Normal"/></w:pPr>
<w:r><w:t xml:space="preserve">faculty have always had the power, believed to be liable to</w:t></w:r>
</w:p>
<w:p>
<w:pPr><w:pStyle w:val="Normal"/></w:pPr>
<w:r><w:t xml:space="preserve">control by the Court of Session, of rejecting any candidate for</w:t></w:r>
</w:p>
<w:p>
<w:pPr><w:pStyle w:val="Normal"/></w:pPr>
<w:r><w:t xml:space="preserve">admission.  The candidate undergoes two private examinations</w:t></w:r>
</w:p>
<w:p>
<w:pPr><w:pStyle w:val="Normal"/></w:pPr>
<w:r><w:t xml:space="preserve">--the one in general scholarship, in lieu of which, however,</w:t></w:r>
</w:p>
<w:p>
<w:pPr><w:pStyle w:val="Normal"/></w:pPr>
<w:r><w:t xml:space="preserve">he may produce evidence of his having graduated as master</w:t></w:r>
</w:p>
<w:p>
<w:pPr><w:pStyle w:val="Normal"/></w:pPr>
<w:r><w:t xml:space="preserve">of arts in a Scottish university, or obtained an equivalent</w:t></w:r>
</w:p>
<w:p>
<w:pPr><w:pStyle w:val="Normal"/></w:pPr>
<w:r><w:t xml:space="preserve">degree in an English or foreign university; and the other,</w:t></w:r>
</w:p>
<w:p>
<w:pPr><w:pStyle w:val="Normal"/></w:pPr>
<w:r><w:t xml:space="preserve">at the interval of a year, in Roman, private international</w:t></w:r>
</w:p>
<w:p>
<w:pPr><w:pStyle w:val="Normal"/></w:pPr>
<w:r><w:t xml:space="preserve">and Scots law, He must, before the latter examination,</w:t></w:r>
</w:p>
<w:p>
<w:pPr><w:pStyle w:val="Normal"/></w:pPr>
<w:r><w:t xml:space="preserve">produce evidence of attendance at classes of Scots law and</w:t></w:r>
</w:p>
<w:p>
<w:pPr><w:pStyle w:val="Normal"/></w:pPr>
<w:r><w:t xml:space="preserve">conveyancing in a Scottish university, and at classes of</w:t></w:r>
</w:p>
<w:p>
<w:pPr><w:pStyle w:val="Normal"/></w:pPr>
<w:r><w:t xml:space="preserve">civil law, public or international law, constitutional law</w:t></w:r>
</w:p>
<w:p>
<w:pPr><w:pStyle w:val="Normal"/></w:pPr>
<w:r><w:t xml:space="preserve">and medical jurisprudence in a Scottish or other approved</w:t></w:r>
</w:p>
<w:p>
<w:pPr><w:pStyle w:val="Normal"/></w:pPr>
<w:r><w:t xml:space="preserve">university.  He has then to undergo the old academic form</w:t></w:r>
</w:p>
<w:p>
<w:pPr><w:pStyle w:val="Normal"/></w:pPr>
<w:r><w:t xml:space="preserve">of the public impugnment of a thesis on some title of the</w:t></w:r>
</w:p>
<w:p>
<w:pPr><w:pStyle w:val="Normal"/></w:pPr>
<w:r><w:t xml:space="preserve">pandects; but this ceremony, called the public examination,</w:t></w:r>
</w:p>
<w:p>
<w:pPr><w:pStyle w:val="Normal"/></w:pPr>
<w:r><w:t xml:space="preserve">has degenerated into a mere form.  A large proportion of the</w:t></w:r>
</w:p>
<w:p>
<w:pPr><w:pStyle w:val="Normal"/></w:pPr>
<w:r><w:t xml:space="preserve">candidate&apos;s entrance fees (amounting to L. 339) is devoted</w:t></w:r>
</w:p>
<w:p>
<w:pPr><w:pStyle w:val="Normal"/></w:pPr>
<w:r><w:t xml:space="preserve">to the magnificent library belonging to the faculty, which</w:t></w:r>
</w:p>
<w:p>
<w:pPr><w:pStyle w:val="Normal"/></w:pPr>
<w:r><w:t xml:space="preserve">literary investigators in Edinburgh find so eminently useful.</w:t></w:r>
</w:p>
<w:p>
<w:pPr><w:pStyle w:val="Normal"/></w:pPr>
<w:r><w:t xml:space="preserve">ADVOCATUS DIABOLI, devil&apos;s advocate, the name popularly</w:t></w:r>
</w:p>
<w:p>
<w:pPr><w:pStyle w:val="Normal"/></w:pPr>
<w:r><w:t xml:space="preserve">given to the promoter of the Faith (promotor fidei), and</w:t></w:r>
</w:p>
<w:p>
<w:pPr><w:pStyle w:val="Normal"/></w:pPr>
<w:r><w:t xml:space="preserve">officer of the Sacred Congregation of Rites at Rome, whose</w:t></w:r>
</w:p>
<w:p>
<w:pPr><w:pStyle w:val="Normal"/></w:pPr>
<w:r><w:t xml:space="preserve">duty is to prepare all possible arguments against the admission</w:t></w:r>
</w:p>
<w:p>
<w:pPr><w:pStyle w:val="Normal"/></w:pPr>
<w:r><w:t xml:space="preserve">of any one to the posthumous honours of beatification and</w:t></w:r>
</w:p>
<w:p>
<w:pPr><w:pStyle w:val="Normal"/></w:pPr>
<w:r><w:t xml:space="preserve">canonization.  This functionary is first formally mentioned</w:t></w:r>
</w:p>
<w:p>
<w:pPr><w:pStyle w:val="Normal"/></w:pPr>
<w:r><w:t xml:space="preserve">under Leo X.(1513- 1521) in the proceedings in connexion</w:t></w:r>
</w:p>
<w:p>
<w:pPr><w:pStyle w:val="Normal"/></w:pPr>
<w:r><w:t xml:space="preserve">with the canonization of St Lorenzo Giustiniani.  In 1631</w:t></w:r>
</w:p>
<w:p>
<w:pPr><w:pStyle w:val="Normal"/></w:pPr>
<w:r><w:t xml:space="preserve">Urban VIII. made his presence, either in person or by</w:t></w:r>
</w:p>
<w:p>
<w:pPr><w:pStyle w:val="Normal"/></w:pPr>
<w:r><w:t xml:space="preserve">deputy, necessary for the validity of any act connected</w:t></w:r>
</w:p>
<w:p>
<w:pPr><w:pStyle w:val="Normal"/></w:pPr>
<w:r><w:t xml:space="preserve">with the process of beatification or canonization (see</w:t></w:r>
</w:p>
<w:p>
<w:pPr><w:pStyle w:val="Normal"/></w:pPr>
<w:r><w:t xml:space="preserve">CANONISATION).  The phrase, ``devil&apos;s advocate,&apos;&apos; has by</w:t></w:r>
</w:p>
<w:p>
<w:pPr><w:pStyle w:val="Normal"/></w:pPr>
<w:r><w:t xml:space="preserve">an easy transference come to be used of any one who puts</w:t></w:r>
</w:p>
<w:p>
<w:pPr><w:pStyle w:val="Normal"/></w:pPr>
<w:r><w:t xml:space="preserve">himself up, or is put up, for the sake of promoting debate,</w:t></w:r>
</w:p>
<w:p>
<w:pPr><w:pStyle w:val="Normal"/></w:pPr>
<w:r><w:t xml:space="preserve">to argue a case in which he does not necessarily believe.</w:t></w:r>
</w:p>
<w:p>
<w:pPr><w:pStyle w:val="Normal"/></w:pPr>
<w:r><w:t xml:space="preserve">ADVOWSON, or @ADVOWZEN (through O. Fr. advouson, from</w:t></w:r>
</w:p>
<w:p>
<w:pPr><w:pStyle w:val="Normal"/></w:pPr>
<w:r><w:t xml:space="preserve">Lat. advocatio, a summons to), the right of presentation</w:t></w:r>
</w:p>
<w:p>
<w:pPr><w:pStyle w:val="Normal"/></w:pPr>
<w:r><w:t xml:space="preserve">to a vacant ecclesiastical benefice, so called because</w:t></w:r>
</w:p>
<w:p>
<w:pPr><w:pStyle w:val="Normal"/></w:pPr>
<w:r><w:t xml:space="preserve">the patron defends or advocates the claims of the person</w:t></w:r>
</w:p>
<w:p>
<w:pPr><w:pStyle w:val="Normal"/></w:pPr>
<w:r><w:t xml:space="preserve">whom he presents.  At what period the right of advowson</w:t></w:r>
</w:p>
<w:p>
<w:pPr><w:pStyle w:val="Normal"/></w:pPr>
<w:r><w:t xml:space="preserve">arose is uncertain; it was probably the result of gradual</w:t></w:r>
</w:p>
<w:p>
<w:pPr><w:pStyle w:val="Normal"/></w:pPr>
<w:r><w:t xml:space="preserve">growth.  The earliest trace of the practice is found in the</w:t></w:r>
</w:p>
<w:p>
<w:pPr><w:pStyle w:val="Normal"/></w:pPr>
<w:r><w:t xml:space="preserve">decree of the council of Orange, A.D. 441, which allowed a</w:t></w:r>
</w:p>
<w:p>
<w:pPr><w:pStyle w:val="Normal"/></w:pPr>
<w:r><w:t xml:space="preserve">bishop, who had built a church in the diocese of another</w:t></w:r>
</w:p>
<w:p>
<w:pPr><w:pStyle w:val="Normal"/></w:pPr>
<w:r><w:t xml:space="preserve">bishop, to nominate the clerk, but not to consecrate the</w:t></w:r>
</w:p>
<w:p>
<w:pPr><w:pStyle w:val="Normal"/></w:pPr>
<w:r><w:t xml:space="preserve">church.  The 123rd Novel of Justinian, promulgated about</w:t></w:r>
</w:p>
<w:p>
<w:pPr><w:pStyle w:val="Normal"/></w:pPr>
<w:r><w:t xml:space="preserve">the end of the 5th century, decreed ``that if any man should</w:t></w:r>
</w:p>
<w:p>
<w:pPr><w:pStyle w:val="Normal"/></w:pPr>
<w:r><w:t xml:space="preserve">erect an oratory, and desire to present a clerk thereto by</w:t></w:r>
</w:p>
<w:p>
<w:pPr><w:pStyle w:val="Normal"/></w:pPr>
<w:r><w:t xml:space="preserve">himself or his heirs, if they furnish a competency for his</w:t></w:r>
</w:p>
<w:p>
<w:pPr><w:pStyle w:val="Normal"/></w:pPr>
<w:r><w:t xml:space="preserve">livelihood, and nominate to the bishop such as are worthy,</w:t></w:r>
</w:p>
<w:p>
<w:pPr><w:pStyle w:val="Normal"/></w:pPr>
<w:r><w:t xml:space="preserve">they may be ordained.&apos;&apos; The 57th Novel empowered the bishop</w:t></w:r>
</w:p>
<w:p>
<w:pPr><w:pStyle w:val="Normal"/></w:pPr>
<w:r><w:t xml:space="preserve">to examine them and judge of their qualifications, and, where</w:t></w:r>
</w:p>
<w:p>
<w:pPr><w:pStyle w:val="Normal"/></w:pPr>
<w:r><w:t xml:space="preserve">those were sufficient, obliged him to admit the clerk.  In</w:t></w:r>
</w:p>
<w:p>
<w:pPr><w:pStyle w:val="Normal"/></w:pPr>
<w:r><w:t xml:space="preserve">England, for quite two centuries after its conversion, the</w:t></w:r>
</w:p>
<w:p>
<w:pPr><w:pStyle w:val="Normal"/></w:pPr>
<w:r><w:t xml:space="preserve">clergy administered only pro tempore in the parochial</w:t></w:r>
</w:p>
<w:p>
<w:pPr><w:pStyle w:val="Normal"/></w:pPr>
<w:r><w:t xml:space="preserve">churches, receiving their maintenance from the cathedral</w:t></w:r>
</w:p>
<w:p>
<w:pPr><w:pStyle w:val="Normal"/></w:pPr>
<w:r><w:t xml:space="preserve">church, all the appointments within the diocese lying with the</w:t></w:r>
</w:p>
<w:p>
<w:pPr><w:pStyle w:val="Normal"/></w:pPr>
<w:r><w:t xml:space="preserve">bishop.  But in order to promote the building and endowment</w:t></w:r>
</w:p>
<w:p>
<w:pPr><w:pStyle w:val="Normal"/></w:pPr>
<w:r><w:t xml:space="preserve">of parochial churches those who had contributed to their</w:t></w:r>
</w:p>
<w:p>
<w:pPr><w:pStyle w:val="Normal"/></w:pPr>
<w:r><w:t xml:space="preserve">erection either by a grant of land, by building or by endowment,</w:t></w:r>
</w:p>
<w:p>
<w:pPr><w:pStyle w:val="Normal"/></w:pPr>
<w:r><w:t xml:space="preserve">became entitled to present a clerk of their own choice to the</w:t></w:r>
</w:p>
<w:p>
<w:pPr><w:pStyle w:val="Normal"/></w:pPr>
<w:r><w:t xml:space="preserve">bishop, who was invested with the revenues derived from such</w:t></w:r>
</w:p>
<w:p>
<w:pPr><w:pStyle w:val="Normal"/></w:pPr>
<w:r><w:t xml:space="preserve">contribution.  After the Norman Conquest, when the boundaries</w:t></w:r>
</w:p>
<w:p>
<w:pPr><w:pStyle w:val="Normal"/></w:pPr>
<w:r><w:t xml:space="preserve">between church and state were more clearly marked, it became</w:t></w:r>
</w:p>
<w:p>
<w:pPr><w:pStyle w:val="Normal"/></w:pPr>
<w:r><w:t xml:space="preserve">usual for patrons to appoint to livings not only without</w:t></w:r>
</w:p>
<w:p>
<w:pPr><w:pStyle w:val="Normal"/></w:pPr>
<w:r><w:t xml:space="preserve">the consent, but even against the will, of the bishops.</w:t></w:r>
</w:p>
<w:p>
<w:pPr><w:pStyle w:val="Normal"/></w:pPr>
<w:r><w:t xml:space="preserve">Advowsons are divided into two kinds, appendant and in</w:t></w:r>
</w:p>
<w:p>
<w:pPr><w:pStyle w:val="Normal"/></w:pPr>
<w:r><w:t xml:space="preserve">gross. Originally the right of nominating1 or presenting</w:t></w:r>
</w:p>
<w:p>
<w:pPr><w:pStyle w:val="Normal"/></w:pPr>
<w:r><w:t xml:space="preserve">was annexed to the person who built or endowed the church,</w:t></w:r>
</w:p>
<w:p>
<w:pPr><w:pStyle w:val="Normal"/></w:pPr>
<w:r><w:t xml:space="preserve">but the right gradually became annexed to the manor in</w:t></w:r>
</w:p>
<w:p>
<w:pPr><w:pStyle w:val="Normal"/></w:pPr>
<w:r><w:t xml:space="preserve">which it was built, for the endowment was considered parcel</w:t></w:r>
</w:p>
<w:p>
<w:pPr><w:pStyle w:val="Normal"/></w:pPr>
<w:r><w:t xml:space="preserve">of the manor, the church being built for the use of the</w:t></w:r>
</w:p>
<w:p>
<w:pPr><w:pStyle w:val="Normal"/></w:pPr>
<w:r><w:t xml:space="preserve">inhabitants, and the tithes of the manor being attached to the</w:t></w:r>
</w:p>
<w:p>
<w:pPr><w:pStyle w:val="Normal"/></w:pPr>
<w:r><w:t xml:space="preserve">church.  Consequently where the right of patronage (the</w:t></w:r>
</w:p>
<w:p>
<w:pPr><w:pStyle w:val="Normal"/></w:pPr>
<w:r><w:t xml:space="preserve">right of the patron to present to the bishop the person whom</w:t></w:r>
</w:p>
<w:p>
<w:pPr><w:pStyle w:val="Normal"/></w:pPr>
<w:r><w:t xml:space="preserve">he has nominated to become rector or vicar of the parish</w:t></w:r>
</w:p>
<w:p>
<w:pPr><w:pStyle w:val="Normal"/></w:pPr>
<w:r><w:t xml:space="preserve">to the benefice of which he claims the right of advowson)</w:t></w:r>
</w:p>
<w:p>
<w:pPr><w:pStyle w:val="Normal"/></w:pPr>
<w:r><w:t xml:space="preserve">remains attached to the manor, it is called an advowson</w:t></w:r>
</w:p>
<w:p>
<w:pPr><w:pStyle w:val="Normal"/></w:pPr>
<w:r><w:t xml:space="preserve">appendant, and passes with the estate by inheritance or</w:t></w:r>
</w:p>
<w:p>
<w:pPr><w:pStyle w:val="Normal"/></w:pPr>
<w:r><w:t xml:space="preserve">sale without any special conveyance.  But where, as is often</w:t></w:r>
</w:p>
<w:p>
<w:pPr><w:pStyle w:val="Normal"/></w:pPr>
<w:r><w:t xml:space="preserve">the case, the right of presentation has been sold by itself,</w:t></w:r>
</w:p>
<w:p>
<w:pPr><w:pStyle w:val="Normal"/></w:pPr>
<w:r><w:t xml:space="preserve">and so separated from the manor, it is called an advowson</w:t></w:r>
</w:p>
<w:p>
<w:pPr><w:pStyle w:val="Normal"/></w:pPr>
<w:r><w:t xml:space="preserve">in gross. An advowson may also be partly appendant, and</w:t></w:r>
</w:p>
<w:p>
<w:pPr><w:pStyle w:val="Normal"/></w:pPr>
<w:r><w:t xml:space="preserve">partly in gross, e.g. if an owner granted to another</w:t></w:r>
</w:p>
<w:p>
<w:pPr><w:pStyle w:val="Normal"/></w:pPr>
<w:r><w:t xml:space="preserve">every second presentment, the advowson would be appendant</w:t></w:r>
</w:p>
<w:p>
<w:pPr><w:pStyle w:val="Normal"/></w:pPr>
<w:r><w:t xml:space="preserve">for the grantor&apos;s turn and in gross for the grantee&apos;s.</w:t></w:r>
</w:p>
<w:p>
<w:pPr><w:pStyle w:val="Normal"/></w:pPr>
<w:r><w:t xml:space="preserve">Advowsons are further distinguished into presentative</w:t></w:r>
</w:p>
<w:p>
<w:pPr><w:pStyle w:val="Normal"/></w:pPr>
<w:r><w:t xml:space="preserve">and collative. In a presentative advowson, the patron</w:t></w:r>
</w:p>
<w:p>
<w:pPr><w:pStyle w:val="Normal"/></w:pPr>
<w:r><w:t xml:space="preserve">presents a clergyman to the bishop, with the petition</w:t></w:r>
</w:p>
<w:p>
<w:pPr><w:pStyle w:val="Normal"/></w:pPr>
<w:r><w:t xml:space="preserve">that he be instituted into the vacant living.  The bishop</w:t></w:r>
</w:p>
<w:p>
<w:pPr><w:pStyle w:val="Normal"/></w:pPr>
<w:r><w:t xml:space="preserve">is bound to induct if he find the clergyman canonically</w:t></w:r>
</w:p>
<w:p>
<w:pPr><w:pStyle w:val="Normal"/></w:pPr>
<w:r><w:t xml:space="preserve">qualified, and a refusal on his part is subject to an</w:t></w:r>
</w:p>
<w:p>
<w:pPr><w:pStyle w:val="Normal"/></w:pPr>
<w:r><w:t xml:space="preserve">appeal to an ecclesiastical court either by patron or by</w:t></w:r>
</w:p>
<w:p>
<w:pPr><w:pStyle w:val="Normal"/></w:pPr>
<w:r><w:t xml:space="preserve">presentee.  In a collative advowson the bishop is himself the</w:t></w:r>
</w:p>
<w:p>
<w:pPr><w:pStyle w:val="Normal"/></w:pPr>
<w:r><w:t xml:space="preserve">patron, either in his own right or in the right of the proper</w:t></w:r>
</w:p>
<w:p>
<w:pPr><w:pStyle w:val="Normal"/></w:pPr>
<w:r><w:t xml:space="preserve">patron, which has lapsed to him through not being exercised</w:t></w:r>
</w:p>
<w:p>
<w:pPr><w:pStyle w:val="Normal"/></w:pPr>
<w:r><w:t xml:space="preserve">within the statutory period of six months after the vacancy</w:t></w:r>
</w:p>
<w:p>
<w:pPr><w:pStyle w:val="Normal"/></w:pPr>
<w:r><w:t xml:space="preserve">occurred.  No petition is necessary in this case, and the</w:t></w:r>
</w:p>
<w:p>
<w:pPr><w:pStyle w:val="Normal"/></w:pPr>
<w:r><w:t xml:space="preserve">bishop is said to collate to the benefice.  Before 1898</w:t></w:r>
</w:p>
<w:p>
<w:pPr><w:pStyle w:val="Normal"/></w:pPr>
<w:r><w:t xml:space="preserve">there were also donative advowsons, but the Benefices Act</w:t></w:r>
</w:p>
<w:p>
<w:pPr><w:pStyle w:val="Normal"/></w:pPr>
<w:r><w:t xml:space="preserve">1898 made all donations with cure of souls presentative.</w:t></w:r>
</w:p>
<w:p>
<w:pPr><w:pStyle w:val="Normal"/></w:pPr>
<w:r><w:t xml:space="preserve">In a donative advowson, the sovereign, or any subject by</w:t></w:r>
</w:p>
<w:p>
<w:pPr><w:pStyle w:val="Normal"/></w:pPr>
<w:r><w:t xml:space="preserve">special licence from the sovereign, conferred a benefice by</w:t></w:r>
</w:p>
<w:p>
<w:pPr><w:pStyle w:val="Normal"/></w:pPr>
<w:r><w:t xml:space="preserve">a simple letter of gift, without any reference to the bishop,</w:t></w:r>
</w:p>
<w:p>
<w:pPr><w:pStyle w:val="Normal"/></w:pPr>
<w:r><w:t xml:space="preserve">and without presentation and institution.  The incumbent of</w:t></w:r>
</w:p>
<w:p>
<w:pPr><w:pStyle w:val="Normal"/></w:pPr>
<w:r><w:t xml:space="preserve">such a living was to a great extent free from the jurisdiction</w:t></w:r>
</w:p>
<w:p>
<w:pPr><w:pStyle w:val="Normal"/></w:pPr>
<w:r><w:t xml:space="preserve">of the bishop, who could only reach him through the action</w:t></w:r>
</w:p>
<w:p>
<w:pPr><w:pStyle w:val="Normal"/></w:pPr>
<w:r><w:t xml:space="preserve">of an ecclesiastical court.  The Benefices Act of 1898 did</w:t></w:r>
</w:p>
<w:p>
<w:pPr><w:pStyle w:val="Normal"/></w:pPr>
<w:r><w:t xml:space="preserve">not make any substantial change in the legal character of</w:t></w:r>
</w:p>
<w:p>
<w:pPr><w:pStyle w:val="Normal"/></w:pPr>
<w:r><w:t xml:space="preserve">advowsons, which remain practically the same as before the</w:t></w:r>
</w:p>
<w:p>
<w:pPr><w:pStyle w:val="Normal"/></w:pPr>
<w:r><w:t xml:space="preserve">act.  Briefly, it prevents the dealing with the right of</w:t></w:r>
</w:p>
<w:p>
<w:pPr><w:pStyle w:val="Normal"/></w:pPr>
<w:r><w:t xml:space="preserve">presentation as a thing apart from the advowson itself;</w:t></w:r>
</w:p>
<w:p>
<w:pPr><w:pStyle w:val="Normal"/></w:pPr>
<w:r><w:t xml:space="preserve">increases the power of the bishops to refuse the presentation</w:t></w:r>
</w:p>
<w:p>
<w:pPr><w:pStyle w:val="Normal"/></w:pPr>
<w:r><w:t xml:space="preserve">of unfit persons, and removes several abuses which had arisen</w:t></w:r>
</w:p>
<w:p>
<w:pPr><w:pStyle w:val="Normal"/></w:pPr>
<w:r><w:t xml:space="preserve">in the transfer of patronage.  Under the previously existing</w:t></w:r>
</w:p>
<w:p>
<w:pPr><w:pStyle w:val="Normal"/></w:pPr>
<w:r><w:t xml:space="preserve">law, simony, or ``the corrupt presentation of any person</w:t></w:r>
</w:p>
<w:p>
<w:pPr><w:pStyle w:val="Normal"/></w:pPr>
<w:r><w:t xml:space="preserve">to an ecclesiastical benefice for gift, money or reward,&apos;&apos;</w:t></w:r>
</w:p>
<w:p>
<w:pPr><w:pStyle w:val="Normal"/></w:pPr>
<w:r><w:t xml:space="preserve">renders the presentation void, and subjects the persons</w:t></w:r>
</w:p>
<w:p>
<w:pPr><w:pStyle w:val="Normal"/></w:pPr>
<w:r><w:t xml:space="preserve">privy or party to it to penalties; a presentation to a vacant</w:t></w:r>
</w:p>
<w:p>
<w:pPr><w:pStyle w:val="Normal"/></w:pPr>
<w:r><w:t xml:space="preserve">benefice cannot be sold, and no clerk in holy orders can</w:t></w:r>
</w:p>
<w:p>
<w:pPr><w:pStyle w:val="Normal"/></w:pPr>
<w:r><w:t xml:space="preserve">purchase for himself a next presentation.  An advowson may,</w:t></w:r>
</w:p>
<w:p>
<w:pPr><w:pStyle w:val="Normal"/></w:pPr>
<w:r><w:t xml:space="preserve">however, be sold during a vacancy, though that will not give</w:t></w:r>
</w:p>
<w:p>
<w:pPr><w:pStyle w:val="Normal"/></w:pPr>
<w:r><w:t xml:space="preserve">the right to present to that vacancy; and a clerk may buy</w:t></w:r>
</w:p>
<w:p>
<w:pPr><w:pStyle w:val="Normal"/></w:pPr>
<w:r><w:t xml:space="preserve">an advowson even though it be only an estate for life, and</w:t></w:r>
</w:p>
<w:p>
<w:pPr><w:pStyle w:val="Normal"/></w:pPr>
<w:r><w:t xml:space="preserve">present himself on the next vacancy.  Under the Benefices</w:t></w:r>
</w:p>
<w:p>
<w:pPr><w:pStyle w:val="Normal"/></w:pPr>
<w:r><w:t xml:space="preserve">Act, advowsons may not be sold by public auction except in</w:t></w:r>
</w:p>
<w:p>
<w:pPr><w:pStyle w:val="Normal"/></w:pPr>
<w:r><w:t xml:space="preserve">conjunction with landed property adjacent to the benefice;</w:t></w:r>
</w:p>
<w:p>
<w:pPr><w:pStyle w:val="Normal"/></w:pPr>
<w:r><w:t xml:space="preserve">transfers of patronage must be registered in the registry</w:t></w:r>
</w:p>
<w:p>
<w:pPr><w:pStyle w:val="Normal"/></w:pPr>
<w:r><w:t xml:space="preserve">of the diocese, and no such transfers can be made within</w:t></w:r>
</w:p>
<w:p>
<w:pPr><w:pStyle w:val="Normal"/></w:pPr>
<w:r><w:t xml:space="preserve">twelve months after the last admission or institution to the</w:t></w:r>
</w:p>
<w:p>
<w:pPr><w:pStyle w:val="Normal"/></w:pPr>
<w:r><w:t xml:space="preserve">benefice.  Restrictions had also been imposed on the transfer</w:t></w:r>
</w:p>
<w:p>
<w:pPr><w:pStyle w:val="Normal"/></w:pPr>
<w:r><w:t xml:space="preserve">of patronage of churches built under the Church Building Acts</w:t></w:r>
</w:p>
<w:p>
<w:pPr><w:pStyle w:val="Normal"/></w:pPr>
<w:r><w:t xml:space="preserve">and New Parishes Acts, and on that of benefices in the gift</w:t></w:r>
</w:p>
<w:p>
<w:pPr><w:pStyle w:val="Normal"/></w:pPr>
<w:r><w:t xml:space="preserve">of the lord chancellor, and sold by him in order to augment</w:t></w:r>
</w:p>
<w:p>
<w:pPr><w:pStyle w:val="Normal"/></w:pPr>
<w:r><w:t xml:space="preserve">others; but agreements may be made as to the patronage of</w:t></w:r>
</w:p>
<w:p>
<w:pPr><w:pStyle w:val="Normal"/></w:pPr>
<w:r><w:t xml:space="preserve">such churches in favour of persons who have contributed to</w:t></w:r>
</w:p>
<w:p>
<w:pPr><w:pStyle w:val="Normal"/></w:pPr>
<w:r><w:t xml:space="preserve">their building or enlargement without being void for simony.</w:t></w:r>
</w:p>
<w:p>
<w:pPr><w:pStyle w:val="Normal"/></w:pPr>
<w:r><w:t xml:space="preserve">The right of presentation may be exercised by its owner</w:t></w:r>
</w:p>
<w:p>
<w:pPr><w:pStyle w:val="Normal"/></w:pPr>
<w:r><w:t xml:space="preserve">whether he be an infant, executors, trustees, coparceners</w:t></w:r>
</w:p>
<w:p>
<w:pPr><w:pStyle w:val="Normal"/></w:pPr>
<w:r><w:t xml:space="preserve">(who, if they cannot agree, present in turn in order of</w:t></w:r>
</w:p>
<w:p>
<w:pPr><w:pStyle w:val="Normal"/></w:pPr>
<w:r><w:t xml:space="preserve">age) or mortgagee (who must present the nominee of the</w:t></w:r>
</w:p>
<w:p>
<w:pPr><w:pStyle w:val="Normal"/></w:pPr>
<w:r><w:t xml:space="preserve">mortgagor), or a bankrupt (who, although the advowson</w:t></w:r>
</w:p>
<w:p>
<w:pPr><w:pStyle w:val="Normal"/></w:pPr>
<w:r><w:t xml:space="preserve">belongs to his creditors, yet has the right to present to a</w:t></w:r>
</w:p>
<w:p>
<w:pPr><w:pStyle w:val="Normal"/></w:pPr>
<w:r><w:t xml:space="preserve">vacancy).  Certain owners of advowsons are temporarily or</w:t></w:r>
</w:p>
<w:p>
<w:pPr><w:pStyle w:val="Normal"/></w:pPr>
<w:r><w:t xml:space="preserve">permanently disabled from exercising the right which devolves</w:t></w:r>
</w:p>
<w:p>
<w:pPr><w:pStyle w:val="Normal"/></w:pPr>
<w:r><w:t xml:space="preserve">upon other persons; and the crown as patron paramount of all</w:t></w:r>
</w:p>
<w:p>
<w:pPr><w:pStyle w:val="Normal"/></w:pPr>
<w:r><w:t xml:space="preserve">benefices can fill all churches not regularly filled by other</w:t></w:r>
</w:p>
<w:p>
<w:pPr><w:pStyle w:val="Normal"/></w:pPr>
<w:r><w:t xml:space="preserve">patrons.  It thus presents to all vacancies caused by simoniacal</w:t></w:r>
</w:p>
<w:p>
<w:pPr><w:pStyle w:val="Normal"/></w:pPr>
<w:r><w:t xml:space="preserve">presentations, or by the incumbent having been presented to</w:t></w:r>
</w:p>
<w:p>
<w:pPr><w:pStyle w:val="Normal"/></w:pPr>
<w:r><w:t xml:space="preserve">a bishopric or in benefices belonging to a bishopric when</w:t></w:r>
</w:p>
<w:p>
<w:pPr><w:pStyle w:val="Normal"/></w:pPr>
<w:r><w:t xml:space="preserve">the see is vacant by the bishop&apos;s death, translation or</w:t></w:r>
</w:p>
<w:p>
<w:pPr><w:pStyle w:val="Normal"/></w:pPr>
<w:r><w:t xml:space="preserve">deprivation.  Where a presentation belongs to a lunatic,</w:t></w:r>
</w:p>
<w:p>
<w:pPr><w:pStyle w:val="Normal"/></w:pPr>
<w:r><w:t xml:space="preserve">the lord chancellor presents for him.  Where it belongs to</w:t></w:r>
</w:p>
<w:p>
<w:pPr><w:pStyle w:val="Normal"/></w:pPr>
<w:r><w:t xml:space="preserve">a Roman Catholic the right is exercised in his behalf by the</w:t></w:r>
</w:p>
<w:p>
<w:pPr><w:pStyle w:val="Normal"/></w:pPr>
<w:r><w:t xml:space="preserve">University of Oxford if the benefice be situate south of the</w:t></w:r>
</w:p>
<w:p>
<w:pPr><w:pStyle w:val="Normal"/></w:pPr>
<w:r><w:t xml:space="preserve">river Trent, and by that of Cambridge if it be north of that</w:t></w:r>
</w:p>
<w:p>
<w:pPr><w:pStyle w:val="Normal"/></w:pPr>
<w:r><w:t xml:space="preserve">river.  Besides the qualifications required of a presentee</w:t></w:r>
</w:p>
<w:p>
<w:pPr><w:pStyle w:val="Normal"/></w:pPr>
<w:r><w:t xml:space="preserve">by canon law, such as being of the canonical age, and in</w:t></w:r>
</w:p>
<w:p>
<w:pPr><w:pStyle w:val="Normal"/></w:pPr>
<w:r><w:t xml:space="preserve">priest&apos;s orders before admission, sufficient learning and</w:t></w:r>
</w:p>
<w:p>
<w:pPr><w:pStyle w:val="Normal"/></w:pPr>
<w:r><w:t xml:space="preserve">proper orthodoxy or morals, the Benefices Act requires that</w:t></w:r>
</w:p>
<w:p>
<w:pPr><w:pStyle w:val="Normal"/></w:pPr>
<w:r><w:t xml:space="preserve">a year shall have elapsed since a transfer of the right of</w:t></w:r>
</w:p>
<w:p>
<w:pPr><w:pStyle w:val="Normal"/></w:pPr>
<w:r><w:t xml:space="preserve">patronage, unless it can be shown that such transfer was not</w:t></w:r>
</w:p>
<w:p>
<w:pPr><w:pStyle w:val="Normal"/></w:pPr>
<w:r><w:t xml:space="preserve">made in view of a probable vacancy; that the presentee has</w:t></w:r>
</w:p>
<w:p>
<w:pPr><w:pStyle w:val="Normal"/></w:pPr>
<w:r><w:t xml:space="preserve">been a deacon for three years; and that he is not unfit for</w:t></w:r>
</w:p>
<w:p>
<w:pPr><w:pStyle w:val="Normal"/></w:pPr>
<w:r><w:t xml:space="preserve">the discharge of his duties by reason of physical or mental</w:t></w:r>
</w:p>
<w:p>
<w:pPr><w:pStyle w:val="Normal"/></w:pPr>
<w:r><w:t xml:space="preserve">infirmity or incapacity, grave pecuniary embarrassment, grave</w:t></w:r>
</w:p>
<w:p>
<w:pPr><w:pStyle w:val="Normal"/></w:pPr>
<w:r><w:t xml:space="preserve">misconduct or neglect of duty in an ecclesiastical office,</w:t></w:r>
</w:p>
<w:p>
<w:pPr><w:pStyle w:val="Normal"/></w:pPr>
<w:r><w:t xml:space="preserve">evil life, or conduct causing grave scandal concerning his</w:t></w:r>
</w:p>
<w:p>
<w:pPr><w:pStyle w:val="Normal"/></w:pPr>
<w:r><w:t xml:space="preserve">moral character since his ordination, or being party to</w:t></w:r>
</w:p>
<w:p>
<w:pPr><w:pStyle w:val="Normal"/></w:pPr>
<w:r><w:t xml:space="preserve">an illegal agreement with regard to the presentation; that</w:t></w:r>
</w:p>
<w:p>
<w:pPr><w:pStyle w:val="Normal"/></w:pPr>
<w:r><w:t xml:space="preserve">notice of the presentation has been given to the parish of the</w:t></w:r>
</w:p>
<w:p>
<w:pPr><w:pStyle w:val="Normal"/></w:pPr>
<w:r><w:t xml:space="preserve">benefice.  Except by leave of the bishop or sequestrator, the</w:t></w:r>
</w:p>
<w:p>
<w:pPr><w:pStyle w:val="Normal"/></w:pPr>
<w:r><w:t xml:space="preserve">incumbent of a sequestered benefice cannot be presented.  The</w:t></w:r>
</w:p>
<w:p>
<w:pPr><w:pStyle w:val="Normal"/></w:pPr>
<w:r><w:t xml:space="preserve">act also gives to both patron and presentee an alternative</w:t></w:r>
</w:p>
<w:p>
<w:pPr><w:pStyle w:val="Normal"/></w:pPr>
<w:r><w:t xml:space="preserve">mode of appeal against a bishop&apos;s refusal to institute or</w:t></w:r>
</w:p>
<w:p>
<w:pPr><w:pStyle w:val="Normal"/></w:pPr>
<w:r><w:t xml:space="preserve">admit, except on a ground of doctrine or ritual, to a court</w:t></w:r>
</w:p>
<w:p>
<w:pPr><w:pStyle w:val="Normal"/></w:pPr>
<w:r><w:t xml:space="preserve">composed of an archbishop of the province and a judge of the</w:t></w:r>
</w:p>
<w:p>
<w:pPr><w:pStyle w:val="Normal"/></w:pPr>
<w:r><w:t xml:space="preserve">High Court nominated for that purpose by the lord chancellor,</w:t></w:r>
</w:p>
<w:p>
<w:pPr><w:pStyle w:val="Normal"/></w:pPr>
<w:r><w:t xml:space="preserve">a course which, however, bars resort being had to the ordinary</w:t></w:r>
</w:p>
<w:p>
<w:pPr><w:pStyle w:val="Normal"/></w:pPr>
<w:r><w:t xml:space="preserve">suits of duplex querela or action of quare impedit. In</w:t></w:r>
</w:p>
<w:p>
<w:pPr><w:pStyle w:val="Normal"/></w:pPr>
<w:r><w:t xml:space="preserve">case of refusal of one presentee, a lay patron may present</w:t></w:r>
</w:p>
<w:p>
<w:pPr><w:pStyle w:val="Normal"/></w:pPr>
<w:r><w:t xml:space="preserve">another, and a clerical patron may do so after an unsuccessful</w:t></w:r>
</w:p>
<w:p>
<w:pPr><w:pStyle w:val="Normal"/></w:pPr>
<w:r><w:t xml:space="preserve">appeal against the refusal.  Upon institution the church is</w:t></w:r>
</w:p>
<w:p>
<w:pPr><w:pStyle w:val="Normal"/></w:pPr>
<w:r><w:t xml:space="preserve">full against everybody except the crown, and after six months&apos;</w:t></w:r>
</w:p>
<w:p>
<w:pPr><w:pStyle w:val="Normal"/></w:pPr>
<w:r><w:t xml:space="preserve">peaceable possession the clerk is secured in possession of the</w:t></w:r>
</w:p>
<w:p>
<w:pPr><w:pStyle w:val="Normal"/></w:pPr>
<w:r><w:t xml:space="preserve">benefice, even though he may have been presented by a person</w:t></w:r>
</w:p>
<w:p>
<w:pPr><w:pStyle w:val="Normal"/></w:pPr>
<w:r><w:t xml:space="preserve">who is not the proper patron.  The true patron can, however,</w:t></w:r>
</w:p>
<w:p>
<w:pPr><w:pStyle w:val="Normal"/></w:pPr>
<w:r><w:t xml:space="preserve">exercise his right to present at the next vacancy, and can</w:t></w:r>
</w:p>
<w:p>
<w:pPr><w:pStyle w:val="Normal"/></w:pPr>
<w:r><w:t xml:space="preserve">reserve the advowson from an usurper at any time within three</w:t></w:r>
</w:p>
<w:p>
<w:pPr><w:pStyle w:val="Normal"/></w:pPr>
<w:r><w:t xml:space="preserve">successive incumbencies so created adversely to his right, or</w:t></w:r>
</w:p>
<w:p>
<w:pPr><w:pStyle w:val="Normal"/></w:pPr>
<w:r><w:t xml:space="preserve">within sixty years.  Collation, which otherwise corresponds to</w:t></w:r>
</w:p>
<w:p>
<w:pPr><w:pStyle w:val="Normal"/></w:pPr>
<w:r><w:t xml:space="preserve">institution, does not make the church full, and the true patron</w:t></w:r>
</w:p>
<w:p>
<w:pPr><w:pStyle w:val="Normal"/></w:pPr>
<w:r><w:t xml:space="preserve">can dispossess the clerk at any time, unless he is a patron who</w:t></w:r>
</w:p>
<w:p>
<w:pPr><w:pStyle w:val="Normal"/></w:pPr>
<w:r><w:t xml:space="preserve">collates.  Possession of the benefice is completed by induction,</w:t></w:r>
</w:p>
<w:p>
<w:pPr><w:pStyle w:val="Normal"/></w:pPr>
<w:r><w:t xml:space="preserve">which makes the church full against any one, including the</w:t></w:r>
</w:p>
<w:p>
<w:pPr><w:pStyle w:val="Normal"/></w:pPr>
<w:r><w:t xml:space="preserve">crown.  If the proper patron fails to exercise his right within</w:t></w:r>
</w:p>
<w:p>
<w:pPr><w:pStyle w:val="Normal"/></w:pPr>
<w:r><w:t xml:space="preserve">six calendar months from the vacancy, the right devolves or</w:t></w:r>
</w:p>
<w:p>
<w:pPr><w:pStyle w:val="Normal"/></w:pPr>
<w:r><w:t xml:space="preserve">lapses to the next superior patron, e.g. from an ordinary</w:t></w:r>
</w:p>
<w:p>
<w:pPr><w:pStyle w:val="Normal"/></w:pPr>
<w:r><w:t xml:space="preserve">patron to the bishop, and if he makes similar default to</w:t></w:r>
</w:p>
<w:p>
<w:pPr><w:pStyle w:val="Normal"/></w:pPr>
<w:r><w:t xml:space="preserve">the archbishop, and from him on similar default to the</w:t></w:r>
</w:p>
<w:p>
<w:pPr><w:pStyle w:val="Normal"/></w:pPr>
<w:r><w:t xml:space="preserve">crown.  If a bishopric becomes vacant after a lapse has</w:t></w:r>
</w:p>
<w:p>
<w:pPr><w:pStyle w:val="Normal"/></w:pPr>
<w:r><w:t xml:space="preserve">accrued to it, it goes to the metropolitan; but in case of a</w:t></w:r>
</w:p>
<w:p>
<w:pPr><w:pStyle w:val="Normal"/></w:pPr>
<w:r><w:t xml:space="preserve">vacancy of a benefice during the vacancy of the see the crown</w:t></w:r>
</w:p>
<w:p>
<w:pPr><w:pStyle w:val="Normal"/></w:pPr>
<w:r><w:t xml:space="preserve">presents.  Until the right of presentation so accruing to</w:t></w:r>
</w:p>
<w:p>
<w:pPr><w:pStyle w:val="Normal"/></w:pPr>
<w:r><w:t xml:space="preserve">a bishop or archbishop is exercised, the patron can still</w:t></w:r>
</w:p>
<w:p>
<w:pPr><w:pStyle w:val="Normal"/></w:pPr>
<w:r><w:t xml:space="preserve">effectually present but not if lapse has gone to the crown.</w:t></w:r>
</w:p>
<w:p>
<w:pPr><w:pStyle w:val="Normal"/></w:pPr>
<w:r><w:t xml:space="preserve">(See also BBNEFICE; GLEBE; INCUMBENT; VICAR.)</w:t></w:r>
</w:p>
<w:p>
<w:pPr><w:pStyle w:val="Normal"/></w:pPr>
<w:r><w:t xml:space="preserve">AUTHORITIES.---Burn, Ecclesiastical Law; Bingham&apos;s Origines</w:t></w:r>
</w:p>
<w:p>
<w:pPr><w:pStyle w:val="Normal"/></w:pPr>
<w:r><w:t xml:space="preserve">Ecclesiasticae, or, the Antiquities of the English Church;</w:t></w:r>
</w:p>
<w:p>
<w:pPr><w:pStyle w:val="Normal"/></w:pPr>
<w:r><w:t xml:space="preserve">Mirehouse, On Advowson; Phillimore, Ecclesiastical Law.</w:t></w:r>
</w:p>
<w:p>
<w:pPr><w:pStyle w:val="Normal"/></w:pPr>
<w:r><w:t xml:space="preserve">1 The distinction between nomination to a living and</w:t></w:r>
</w:p>
<w:p>
<w:pPr><w:pStyle w:val="Normal"/></w:pPr>
<w:r><w:t xml:space="preserve">presentation is to be noted. Nomination is the power,</w:t></w:r>
</w:p>
<w:p>
<w:pPr><w:pStyle w:val="Normal"/></w:pPr>
<w:r><w:t xml:space="preserve">by virtue of a manor or otherwise, to appoint a clerk to</w:t></w:r>
</w:p>
<w:p>
<w:pPr><w:pStyle w:val="Normal"/></w:pPr>
<w:r><w:t xml:space="preserve">the patron of a benefice, to be by him presented to the</w:t></w:r>
</w:p>
<w:p>
<w:pPr><w:pStyle w:val="Normal"/></w:pPr>
<w:r><w:t xml:space="preserve">ordinary. Presentation is the act of a patron in offering</w:t></w:r>
</w:p>
<w:p>
<w:pPr><w:pStyle w:val="Normal"/></w:pPr>
<w:r><w:t xml:space="preserve">his clerk to the bishop, to be instituted in a benefice of</w:t></w:r>
</w:p>
<w:p>
<w:pPr><w:pStyle w:val="Normal"/></w:pPr>
<w:r><w:t xml:space="preserve">his gift.  Nomination and presentation, though generally</w:t></w:r>
</w:p>
<w:p>
<w:pPr><w:pStyle w:val="Normal"/></w:pPr>
<w:r><w:t xml:space="preserve">used in law lor the same thing must be so distinguishnd,</w:t></w:r>
</w:p>
<w:p>
<w:pPr><w:pStyle w:val="Normal"/></w:pPr>
<w:r><w:t xml:space="preserve">for it is possible that the rights of nomination may be</w:t></w:r>
</w:p>
<w:p>
<w:pPr><w:pStyle w:val="Normal"/></w:pPr>
<w:r><w:t xml:space="preserve">in one person, and the rights of presentation in another.</w:t></w:r>
</w:p>
<w:p>
<w:pPr><w:pStyle w:val="Normal"/></w:pPr>
<w:r><w:t xml:space="preserve">ADYE, SIR JOHN MILLER (1819-1900), British general, son of</w:t></w:r>
</w:p>
<w:p>
<w:pPr><w:pStyle w:val="Normal"/></w:pPr>
<w:r><w:t xml:space="preserve">Major James P. Adye, was born at Sevenoaks, Kent, on the 1st</w:t></w:r>
</w:p>
<w:p>
<w:pPr><w:pStyle w:val="Normal"/></w:pPr>
<w:r><w:t xml:space="preserve">of November 1819.  He entered the Royal Artillery in 1836, was</w:t></w:r>
</w:p>
<w:p>
<w:pPr><w:pStyle w:val="Normal"/></w:pPr>
<w:r><w:t xml:space="preserve">promoted captain in 1846, and served throughout the Crimean War</w:t></w:r>
</w:p>
<w:p>
<w:pPr><w:pStyle w:val="Normal"/></w:pPr>
<w:r><w:t xml:space="preserve">as brigade-major and assistant adjutant-general of artillery</w:t></w:r>
</w:p>
<w:p>
<w:pPr><w:pStyle w:val="Normal"/></w:pPr>
<w:r><w:t xml:space="preserve">(C.B., brevets of major and lieutenant-colonel).  In the</w:t></w:r>
</w:p>
<w:p>
<w:pPr><w:pStyle w:val="Normal"/></w:pPr>
<w:r><w:t xml:space="preserve">Indian Mutiny he served on the staff in a similar capacity.</w:t></w:r>
</w:p>
<w:p>
<w:pPr><w:pStyle w:val="Normal"/></w:pPr>
<w:r><w:t xml:space="preserve">Promoted brevet-colonel in 1860, he was specially employed in</w:t></w:r>
</w:p>
<w:p>
<w:pPr><w:pStyle w:val="Normal"/></w:pPr>
<w:r><w:t xml:space="preserve">1863 in the N.W. frontier of India campaign, and was deputy</w:t></w:r>
</w:p>
<w:p>
<w:pPr><w:pStyle w:val="Normal"/></w:pPr>
<w:r><w:t xml:space="preserve">adjutant-general, Bengal, from 1863 to 1866, when he returned</w:t></w:r>
</w:p>
<w:p>
<w:pPr><w:pStyle w:val="Normal"/></w:pPr>
<w:r><w:t xml:space="preserve">home.  From 1870 to 1875 Adye was director of artillery and</w:t></w:r>
</w:p>
<w:p>
<w:pPr><w:pStyle w:val="Normal"/></w:pPr>
<w:r><w:t xml:space="preserve">stores at the War Office.  He was made a K.C.B. in 1873,</w:t></w:r>
</w:p>
<w:p>
<w:pPr><w:pStyle w:val="Normal"/></w:pPr>
<w:r><w:t xml:space="preserve">and was promoted to be major-general and appointed governor</w:t></w:r>
</w:p>
<w:p>
<w:pPr><w:pStyle w:val="Normal"/></w:pPr>
<w:r><w:t xml:space="preserve">of the Royal Military Academy, Woolwich, in 1875, and survey</w:t></w:r>
</w:p>
<w:p>
<w:pPr><w:pStyle w:val="Normal"/></w:pPr>
<w:r><w:t xml:space="preserve">or general of the ordnance in 1880.  In 1882 he was chief</w:t></w:r>
</w:p>
<w:p>
<w:pPr><w:pStyle w:val="Normal"/></w:pPr>
<w:r><w:t xml:space="preserve">of staff and second in command of the expedition to Egypt,</w:t></w:r>
</w:p>
<w:p>
<w:pPr><w:pStyle w:val="Normal"/></w:pPr>
<w:r><w:t xml:space="preserve">and served throughout the campaign (G.C.B. and thanks of</w:t></w:r>
</w:p>
<w:p>
<w:pPr><w:pStyle w:val="Normal"/></w:pPr>
<w:r><w:t xml:space="preserve">parliament).  He held the government of Gibraltar from 1883 to</w:t></w:r>
</w:p>
<w:p>
<w:pPr><w:pStyle w:val="Normal"/></w:pPr>
<w:r><w:t xml:space="preserve">1886.  Promoted lieutenant-general in 1879, general and</w:t></w:r>
</w:p>
<w:p>
<w:pPr><w:pStyle w:val="Normal"/></w:pPr>
<w:r><w:t xml:space="preserve">colonel commandant of the Royal Artillery in 1884, he</w:t></w:r>
</w:p>
<w:p>
<w:pPr><w:pStyle w:val="Normal"/></w:pPr>
<w:r><w:t xml:space="preserve">retired in 1886.  He unsuccessfully contested Bath in the</w:t></w:r>
</w:p>
<w:p>
<w:pPr><w:pStyle w:val="Normal"/></w:pPr>
<w:r><w:t xml:space="preserve">Liberal interest in 1892.  He died on the 26th of August</w:t></w:r>
</w:p>
<w:p>
<w:pPr><w:pStyle w:val="Normal"/></w:pPr>
<w:r><w:t xml:space="preserve">1900.  He was author of A Review of The Crimean War; The</w:t></w:r>
</w:p>
<w:p>
<w:pPr><w:pStyle w:val="Normal"/></w:pPr>
<w:r><w:t xml:space="preserve">Defense of Cawnpore; A Frontier Campaign in Afghanistan;</w:t></w:r>
</w:p>
<w:p>
<w:pPr><w:pStyle w:val="Normal"/></w:pPr>
<w:r><w:t xml:space="preserve">Recollections of a Military Life; and Indian Frontier Policy.</w:t></w:r>
</w:p>
<w:p>
<w:pPr><w:pStyle w:val="Normal"/></w:pPr>
<w:r><w:t xml:space="preserve">ADYTUM, the Latinized form of aduton (not to be entered),</w:t></w:r>
</w:p>
<w:p>
<w:pPr><w:pStyle w:val="Normal"/></w:pPr>
<w:r><w:t xml:space="preserve">the innermost sanctuary in ancient temples, access to which</w:t></w:r>
</w:p>
<w:p>
<w:pPr><w:pStyle w:val="Normal"/></w:pPr>
<w:r><w:t xml:space="preserve">was forbidden to all but the officiating priests.  The most</w:t></w:r>
</w:p>
<w:p>
<w:pPr><w:pStyle w:val="Normal"/></w:pPr>
<w:r><w:t xml:space="preserve">famous adytum in Greece was in the temple of Apollo at Delphi.</w:t></w:r>
</w:p>
<w:p>
<w:pPr><w:pStyle w:val="Normal"/></w:pPr>
<w:r><w:t xml:space="preserve">ADZE (from the Old Eng. adesa, of which the origin is</w:t></w:r>
</w:p>
<w:p>
<w:pPr><w:pStyle w:val="Normal"/></w:pPr>
<w:r><w:t xml:space="preserve">unknown), a tool used for cutting and planing.  It is somewhat</w:t></w:r>
</w:p>
<w:p>
<w:pPr><w:pStyle w:val="Normal"/></w:pPr>
<w:r><w:t xml:space="preserve">like an axe reversed, the edge or the blade curving inward</w:t></w:r>
</w:p>
<w:p>
<w:pPr><w:pStyle w:val="Normal"/></w:pPr>
<w:r><w:t xml:space="preserve">and placed at right angles to the handle.  This shape is</w:t></w:r>
</w:p>
<w:p>
<w:pPr><w:pStyle w:val="Normal"/></w:pPr>
<w:r><w:t xml:space="preserve">most suitable for planing uneven timber, as inequalities</w:t></w:r>
</w:p>
<w:p>
<w:pPr><w:pStyle w:val="Normal"/></w:pPr>
<w:r><w:t xml:space="preserve">are ``hooked off&apos;&apos; by the curved blade. (See TOOLS.)</w:t></w:r>
</w:p>
<w:p>
<w:pPr><w:pStyle w:val="Normal"/></w:pPr>
<w:r><w:t xml:space="preserve">AEACUS, in Greek legend, ancestor of the Aeacidae, was the</w:t></w:r>
</w:p>
<w:p>
<w:pPr><w:pStyle w:val="Normal"/></w:pPr>
<w:r><w:t xml:space="preserve">son of Zeus and Aegina, daughter of the river-god Asopus.</w:t></w:r>
</w:p>
<w:p>
<w:pPr><w:pStyle w:val="Normal"/></w:pPr>
<w:r><w:t xml:space="preserve">His mother was carried off by Zeus to the island of Oenone,</w:t></w:r>
</w:p>
<w:p>
<w:pPr><w:pStyle w:val="Normal"/></w:pPr>
<w:r><w:t xml:space="preserve">which was afterwards called by her name.  The island having</w:t></w:r>
</w:p>
<w:p>
<w:pPr><w:pStyle w:val="Normal"/></w:pPr>
<w:r><w:t xml:space="preserve">been depopulated by a pestilence, Zeus changed the ants upon</w:t></w:r>
</w:p>
<w:p>
<w:pPr><w:pStyle w:val="Normal"/></w:pPr>
<w:r><w:t xml:space="preserve">it into human beings (Ovid, Met. vii. 520), who were called</w:t></w:r>
</w:p>
<w:p>
<w:pPr><w:pStyle w:val="Normal"/></w:pPr>
<w:r><w:t xml:space="preserve">Myrmidones (murmekes = ants) . Aeacus ruled over his people</w:t></w:r>
</w:p>
<w:p>
<w:pPr><w:pStyle w:val="Normal"/></w:pPr>
<w:r><w:t xml:space="preserve">with such justice and impartiality that after his death he</w:t></w:r>
</w:p>
<w:p>
<w:pPr><w:pStyle w:val="Normal"/></w:pPr>
<w:r><w:t xml:space="preserve">was made judge of the lower world together with Minos and</w:t></w:r>
</w:p>
<w:p>
<w:pPr><w:pStyle w:val="Normal"/></w:pPr>
<w:r><w:t xml:space="preserve">Rhadamanthus.  By his wife Endeis he was the father of Telamon</w:t></w:r>
</w:p>
<w:p>
<w:pPr><w:pStyle w:val="Normal"/></w:pPr>
<w:r><w:t xml:space="preserve">and Peleus.  His successful prayer to Zeus for rain at a time</w:t></w:r>
</w:p>
<w:p>
<w:pPr><w:pStyle w:val="Normal"/></w:pPr>
<w:r><w:t xml:space="preserve">of drought (Isocrates, Evagoras, 14) was commemorated by</w:t></w:r>
</w:p>
<w:p>
<w:pPr><w:pStyle w:val="Normal"/></w:pPr>
<w:r><w:t xml:space="preserve">a temple at Aegina (Pausanias ii. 29). He himself erected a</w:t></w:r>
</w:p>
<w:p>
<w:pPr><w:pStyle w:val="Normal"/></w:pPr>
<w:r><w:t xml:space="preserve">temple to Zeus Panhellenios and helped Poseidon and Apollo</w:t></w:r>
</w:p>
<w:p>
<w:pPr><w:pStyle w:val="Normal"/></w:pPr>
<w:r><w:t xml:space="preserve">to build the walls of Troy.  See Hutchinson, Aeacus, 1901.</w:t></w:r>
</w:p>
<w:p>
<w:pPr><w:pStyle w:val="Normal"/></w:pPr>
<w:r><w:t xml:space="preserve">AECLANUM, an ancient town of Samnium, Italy, 15 m.</w:t></w:r>
</w:p>
<w:p>
<w:pPr><w:pStyle w:val="Normal"/></w:pPr>
<w:r><w:t xml:space="preserve">E.S.E. of Beneventum, on the Via Appia (near the modern</w:t></w:r>
</w:p>
<w:p>
<w:pPr><w:pStyle w:val="Normal"/></w:pPr>
<w:r><w:t xml:space="preserve">Mirabella).  It became the chief town of the Hirpini after</w:t></w:r>
</w:p>
<w:p>
<w:pPr><w:pStyle w:val="Normal"/></w:pPr>
<w:r><w:t xml:space="preserve">Beneventum had become a Roman colony.  Sulla captured it</w:t></w:r>
</w:p>
<w:p>
<w:pPr><w:pStyle w:val="Normal"/></w:pPr>
<w:r><w:t xml:space="preserve">in 89 B.C. by setting on fire the wooden breastwork by</w:t></w:r>
</w:p>
<w:p>
<w:pPr><w:pStyle w:val="Normal"/></w:pPr>
<w:r><w:t xml:space="preserve">which it was defended, and new fortifications were erected.</w:t></w:r>
</w:p>
<w:p>
<w:pPr><w:pStyle w:val="Normal"/></w:pPr>
<w:r><w:t xml:space="preserve">Hadrian, who repaired the Via Appia from Beneventum to this</w:t></w:r>
</w:p>
<w:p>
<w:pPr><w:pStyle w:val="Normal"/></w:pPr>
<w:r><w:t xml:space="preserve">point, made it a colony; it has ruins of the city walls, of an</w:t></w:r>
</w:p>
<w:p>
<w:pPr><w:pStyle w:val="Normal"/></w:pPr>
<w:r><w:t xml:space="preserve">aqueduct, baths and an amphitheatre; nearly 400 inscriptions</w:t></w:r>
</w:p>
<w:p>
<w:pPr><w:pStyle w:val="Normal"/></w:pPr>
<w:r><w:t xml:space="preserve">have also been discovered.  Two different routes to Apulia</w:t></w:r>
</w:p>
<w:p>
<w:pPr><w:pStyle w:val="Normal"/></w:pPr>
<w:r><w:t xml:space="preserve">diverged at this point, one (Via Aurelia Aeclanensis) leading</w:t></w:r>
</w:p>
<w:p>
<w:pPr><w:pStyle w:val="Normal"/></w:pPr>
<w:r><w:t xml:space="preserve">through the modern Ariano to Herdoniae, the other (the Via</w:t></w:r>
</w:p>
<w:p>
<w:pPr><w:pStyle w:val="Normal"/></w:pPr>
<w:r><w:t xml:space="preserve">Appia of the Empire) passing the Lacus Ampsanctus and going</w:t></w:r>
</w:p>
<w:p>
<w:pPr><w:pStyle w:val="Normal"/></w:pPr>
<w:r><w:t xml:space="preserve">on to Aquilonia and Venusia; while the road from Aeclanum</w:t></w:r>
</w:p>
<w:p>
<w:pPr><w:pStyle w:val="Normal"/></w:pPr>
<w:r><w:t xml:space="preserve">to Abellinum (mod.  Avellini) may also follow an ancient</w:t></w:r>
</w:p>
<w:p>
<w:pPr><w:pStyle w:val="Normal"/></w:pPr>
<w:r><w:t xml:space="preserve">line.  H. Nissen (Italische Landes kunde, Berlin, 1902,</w:t></w:r>
</w:p>
<w:p>
<w:pPr><w:pStyle w:val="Normal"/></w:pPr>
<w:r><w:t xml:space="preserve">ii. 819) speaks of another road, which he believes to have</w:t></w:r>
</w:p>
<w:p>
<w:pPr><w:pStyle w:val="Normal"/></w:pPr>
<w:r><w:t xml:space="preserve">been that followed by Horace, from Aeclanum to Trevicum and</w:t></w:r>
</w:p>
<w:p>
<w:pPr><w:pStyle w:val="Normal"/></w:pPr>
<w:r><w:t xml:space="preserve">thence to Ausculum; but Th. Monimsen (Corpus Inscrip.  Lat.,</w:t></w:r>
</w:p>
<w:p>
<w:pPr><w:pStyle w:val="Normal"/></w:pPr>
<w:r><w:t xml:space="preserve">Berlin, 1883, ix. 602) is more likely to be right in supposing</w:t></w:r>
</w:p>
<w:p>
<w:pPr><w:pStyle w:val="Normal"/></w:pPr>
<w:r><w:t xml:space="preserve">that the road taken by Horace ran directly from Beneventum to</w:t></w:r>
</w:p>
<w:p>
<w:pPr><w:pStyle w:val="Normal"/></w:pPr>
<w:r><w:t xml:space="preserve">Trevicum and thence to Aquilonia (though the course of this</w:t></w:r>
</w:p>
<w:p>
<w:pPr><w:pStyle w:val="Normal"/></w:pPr>
<w:r><w:t xml:space="preserve">road is not yet determined in detail), and that the easier,</w:t></w:r>
</w:p>
<w:p>
<w:pPr><w:pStyle w:val="Normal"/></w:pPr>
<w:r><w:t xml:space="preserve">though somewhat longer, road by Aeclanum was of later date.</w:t></w:r>
</w:p>
<w:p>
<w:pPr><w:pStyle w:val="Normal"/></w:pPr>
<w:r><w:t xml:space="preserve">AEDESIUS (d. A.D. 355), Neoplatonist philosopher, was</w:t></w:r>
</w:p>
<w:p>
<w:pPr><w:pStyle w:val="Normal"/></w:pPr>
<w:r><w:t xml:space="preserve">born of a noble Cappadocian family.  He migrated to Syria,</w:t></w:r>
</w:p>
<w:p>
<w:pPr><w:pStyle w:val="Normal"/></w:pPr>
<w:r><w:t xml:space="preserve">attracted by the lectures of Iamblichus, whose follower he</w:t></w:r>
</w:p>
<w:p>
<w:pPr><w:pStyle w:val="Normal"/></w:pPr>
<w:r><w:t xml:space="preserve">became.  According to Eunapius, he differed from Iamblichus on</w:t></w:r>
</w:p>
<w:p>
<w:pPr><w:pStyle w:val="Normal"/></w:pPr>
<w:r><w:t xml:space="preserve">certain points connected with magic.  He taught at Pergamum,</w:t></w:r>
</w:p>
<w:p>
<w:pPr><w:pStyle w:val="Normal"/></w:pPr>
<w:r><w:t xml:space="preserve">his chief disciples being Eusebius and Maximus.  He seems</w:t></w:r>
</w:p>
<w:p>
<w:pPr><w:pStyle w:val="Normal"/></w:pPr>
<w:r><w:t xml:space="preserve">to have modified his doctrines through fear of Constantine.</w:t></w:r>
</w:p>
<w:p>
<w:pPr><w:pStyle w:val="Normal"/></w:pPr>
<w:r><w:t xml:space="preserve">See Ritter and Preller, 552; Ritter&apos;s Geschichte der</w:t></w:r>
</w:p>
<w:p>
<w:pPr><w:pStyle w:val="Normal"/></w:pPr>
<w:r><w:t xml:space="preserve">Philosophie; T. Whittaker, The Neoplatonists (Cambridge, 1901).</w:t></w:r>
</w:p>
<w:p>
<w:pPr><w:pStyle w:val="Normal"/></w:pPr>
<w:r><w:t xml:space="preserve">AEDICULA (diminutive of Lat. aedis or aedes, a temple</w:t></w:r>
</w:p>
<w:p>
<w:pPr><w:pStyle w:val="Normal"/></w:pPr>
<w:r><w:t xml:space="preserve">or house), a small house or temple,--a household shrine</w:t></w:r>
</w:p>
<w:p>
<w:pPr><w:pStyle w:val="Normal"/></w:pPr>
<w:r><w:t xml:space="preserve">holding small altars or the statues of the Lares and Penates.</w:t></w:r>
</w:p>
<w:p>
<w:pPr><w:pStyle w:val="Normal"/></w:pPr>
<w:r><w:t xml:space="preserve">AEDILE (Lat. aedilis), in Roman antiquities, the name of</w:t></w:r>
</w:p>
<w:p>
<w:pPr><w:pStyle w:val="Normal"/></w:pPr>
<w:r><w:t xml:space="preserve">certain Roman magistrates, probably derived from aedis (a</w:t></w:r>
</w:p>
<w:p>
<w:pPr><w:pStyle w:val="Normal"/></w:pPr>
<w:r><w:t xml:space="preserve">temple), because they had the care of the temple of Ceres,</w:t></w:r>
</w:p>
<w:p>
<w:pPr><w:pStyle w:val="Normal"/></w:pPr>
<w:r><w:t xml:space="preserve">where the plebeian archives were kept.  They were originally</w:t></w:r>
</w:p>
<w:p>
<w:pPr><w:pStyle w:val="Normal"/></w:pPr>
<w:r><w:t xml:space="preserve">two in number, called ``plebeian&apos;&apos; aediles.  They were created</w:t></w:r>
</w:p>
<w:p>
<w:pPr><w:pStyle w:val="Normal"/></w:pPr>
<w:r><w:t xml:space="preserve">in the same year as the tribunes of the people (494 B.C.),</w:t></w:r>
</w:p>
<w:p>
<w:pPr><w:pStyle w:val="Normal"/></w:pPr>
<w:r><w:t xml:space="preserve">their persons were sacrosanct or inviolable, and (at least</w:t></w:r>
</w:p>
<w:p>
<w:pPr><w:pStyle w:val="Normal"/></w:pPr>
<w:r><w:t xml:space="preserve">after until they were elected at the Comitia Tributa out of</w:t></w:r>
</w:p>
<w:p>
<w:pPr><w:pStyle w:val="Normal"/></w:pPr>
<w:r><w:t xml:space="preserve">the plebeians alone.  Originally intended as assistants to</w:t></w:r>
</w:p>
<w:p>
<w:pPr><w:pStyle w:val="Normal"/></w:pPr>
<w:r><w:t xml:space="preserve">the tribunes, they exercised certain police functions, were</w:t></w:r>
</w:p>
<w:p>
<w:pPr><w:pStyle w:val="Normal"/></w:pPr>
<w:r><w:t xml:space="preserve">empowered to inflict fines and managed the plebeian and Roman</w:t></w:r>
</w:p>
<w:p>
<w:pPr><w:pStyle w:val="Normal"/></w:pPr>
<w:r><w:t xml:space="preserve">games.  According to Livy (vi. 42), after the passing of</w:t></w:r>
</w:p>
<w:p>
<w:pPr><w:pStyle w:val="Normal"/></w:pPr>
<w:r><w:t xml:space="preserve">the Licinian rogations, an extra day was added to the Roman</w:t></w:r>
</w:p>
<w:p>
<w:pPr><w:pStyle w:val="Normal"/></w:pPr>
<w:r><w:t xml:space="preserve">games; the aediles refused to bear the additional expense,</w:t></w:r>
</w:p>
<w:p>
<w:pPr><w:pStyle w:val="Normal"/></w:pPr>
<w:r><w:t xml:space="preserve">whereupon the patricians offered to undertake it, on condition</w:t></w:r>
</w:p>
<w:p>
<w:pPr><w:pStyle w:val="Normal"/></w:pPr>
<w:r><w:t xml:space="preserve">that they were admitted to the aedileship.  The plebeians</w:t></w:r>
</w:p>
<w:p>
<w:pPr><w:pStyle w:val="Normal"/></w:pPr>
<w:r><w:t xml:space="preserve">accepted the offer, and accordingly two ``curule&apos;&apos; aediles</w:t></w:r>
</w:p>
<w:p>
<w:pPr><w:pStyle w:val="Normal"/></w:pPr>
<w:r><w:t xml:space="preserve">were appointed--at first from the patricians alone, then from</w:t></w:r>
</w:p>
<w:p>
<w:pPr><w:pStyle w:val="Normal"/></w:pPr>
<w:r><w:t xml:space="preserve">patricians and plebeians in turn, lastly, from either--at the</w:t></w:r>
</w:p>
<w:p>
<w:pPr><w:pStyle w:val="Normal"/></w:pPr>
<w:r><w:t xml:space="preserve">Comitia Tributa under the presidency of the consul.  Although</w:t></w:r>
</w:p>
<w:p>
<w:pPr><w:pStyle w:val="Normal"/></w:pPr>
<w:r><w:t xml:space="preserve">not sacrosanct, they had the right of sitting in a curule</w:t></w:r>
</w:p>
<w:p>
<w:pPr><w:pStyle w:val="Normal"/></w:pPr>
<w:r><w:t xml:space="preserve">chair and wore the distinctive toga praetexta.  They took over</w:t></w:r>
</w:p>
<w:p>
<w:pPr><w:pStyle w:val="Normal"/></w:pPr>
<w:r><w:t xml:space="preserve">the management of the Roman and Megalesian games, the care</w:t></w:r>
</w:p>
<w:p>
<w:pPr><w:pStyle w:val="Normal"/></w:pPr>
<w:r><w:t xml:space="preserve">of the patrician temples and had the right of issuing edicts</w:t></w:r>
</w:p>
<w:p>
<w:pPr><w:pStyle w:val="Normal"/></w:pPr>
<w:r><w:t xml:space="preserve">as superintendents of the markets.  But although the curule</w:t></w:r>
</w:p>
<w:p>
<w:pPr><w:pStyle w:val="Normal"/></w:pPr>
<w:r><w:t xml:space="preserve">aediles always ranked higher than the plebeian, their functions</w:t></w:r>
</w:p>
<w:p>
<w:pPr><w:pStyle w:val="Normal"/></w:pPr>
<w:r><w:t xml:space="preserve">gradually approximated and became practically identical.</w:t></w:r>
</w:p>
<w:p>
<w:pPr><w:pStyle w:val="Normal"/></w:pPr>
<w:r><w:t xml:space="preserve">Cicero (Legg. iii. 3, 7) divides these functions under three</w:t></w:r>
</w:p>
<w:p>
<w:pPr><w:pStyle w:val="Normal"/></w:pPr>
<w:r><w:t xml:space="preserve">heads:--(1) Care of the city: the repair and preservation of</w:t></w:r>
</w:p>
<w:p>
<w:pPr><w:pStyle w:val="Normal"/></w:pPr>
<w:r><w:t xml:space="preserve">temples, sewers and aqueducts; street cleansing and paving;</w:t></w:r>
</w:p>
<w:p>
<w:pPr><w:pStyle w:val="Normal"/></w:pPr>
<w:r><w:t xml:space="preserve">regulations regarding traffic, dangerous animals and dilapidated</w:t></w:r>
</w:p>
<w:p>
<w:pPr><w:pStyle w:val="Normal"/></w:pPr>
<w:r><w:t xml:space="preserve">buildings; precautions against fire; superintendence of baths and</w:t></w:r>
</w:p>
<w:p>
<w:pPr><w:pStyle w:val="Normal"/></w:pPr>
<w:r><w:t xml:space="preserve">taverns; enforcement of sumptuary laws; punishment of gamblers</w:t></w:r>
</w:p>
<w:p>
<w:pPr><w:pStyle w:val="Normal"/></w:pPr>
<w:r><w:t xml:space="preserve">and usurers; the care of public morals generally, including the</w:t></w:r>
</w:p>
<w:p>
<w:pPr><w:pStyle w:val="Normal"/></w:pPr>
<w:r><w:t xml:space="preserve">prevention of foreign superstitions.  They also punished those</w:t></w:r>
</w:p>
<w:p>
<w:pPr><w:pStyle w:val="Normal"/></w:pPr>
<w:r><w:t xml:space="preserve">who had too large a share of the ager publicus, or kept too</w:t></w:r>
</w:p>
<w:p>
<w:pPr><w:pStyle w:val="Normal"/></w:pPr>
<w:r><w:t xml:space="preserve">many cattle on the state pastures. (2) Care of provisions:</w:t></w:r>
</w:p>
<w:p>
<w:pPr><w:pStyle w:val="Normal"/></w:pPr>
<w:r><w:t xml:space="preserve">investigation of the quality of the articles supplied and the</w:t></w:r>
</w:p>
<w:p>
<w:pPr><w:pStyle w:val="Normal"/></w:pPr>
<w:r><w:t xml:space="preserve">correctness of weights and measures; the purchase of corn for</w:t></w:r>
</w:p>
<w:p>
<w:pPr><w:pStyle w:val="Normal"/></w:pPr>
<w:r><w:t xml:space="preserve">disposal at a low price in case of necessity. (3) Care of</w:t></w:r>
</w:p>
<w:p>
<w:pPr><w:pStyle w:val="Normal"/></w:pPr>
<w:r><w:t xml:space="preserve">line games: superintendence and organization of the public</w:t></w:r>
</w:p>
<w:p>
<w:pPr><w:pStyle w:val="Normal"/></w:pPr>
<w:r><w:t xml:space="preserve">games, as well as of those given by themselves and private</w:t></w:r>
</w:p>
<w:p>
<w:pPr><w:pStyle w:val="Normal"/></w:pPr>
<w:r><w:t xml:space="preserve">individuals (e.g. at funerals) at their own expense.</w:t></w:r>
</w:p>
<w:p>
<w:pPr><w:pStyle w:val="Normal"/></w:pPr>
<w:r><w:t xml:space="preserve">Ambitious persons often spent enormous sums in this manner to</w:t></w:r>
</w:p>
<w:p>
<w:pPr><w:pStyle w:val="Normal"/></w:pPr>
<w:r><w:t xml:space="preserve">win the popula1 favour with a view to official advancement.</w:t></w:r>
</w:p>
<w:p>
<w:pPr><w:pStyle w:val="Normal"/></w:pPr>
<w:r><w:t xml:space="preserve">In 44 Caesar added two patrician aediles, called Cereales,</w:t></w:r>
</w:p>
<w:p>
<w:pPr><w:pStyle w:val="Normal"/></w:pPr>
<w:r><w:t xml:space="preserve">whose special duty was the care of the corn-supply.</w:t></w:r>
</w:p>
<w:p>
<w:pPr><w:pStyle w:val="Normal"/></w:pPr>
<w:r><w:t xml:space="preserve">Under Augustus the office lost much of its importance,</w:t></w:r>
</w:p>
<w:p>
<w:pPr><w:pStyle w:val="Normal"/></w:pPr>
<w:r><w:t xml:space="preserve">its juridical functions and the care of the games being</w:t></w:r>
</w:p>
<w:p>
<w:pPr><w:pStyle w:val="Normal"/></w:pPr>
<w:r><w:t xml:space="preserve">transferred to the praetor, while its city responsibilities</w:t></w:r>
</w:p>
<w:p>
<w:pPr><w:pStyle w:val="Normal"/></w:pPr>
<w:r><w:t xml:space="preserve">were limited by the appointment of a praefectus urbi.</w:t></w:r>
</w:p>
<w:p>
<w:pPr><w:pStyle w:val="Normal"/></w:pPr>
<w:r><w:t xml:space="preserve">In the 3rd century A.D. it disappeared altogether.</w:t></w:r>
</w:p>
<w:p>
<w:pPr><w:pStyle w:val="Normal"/></w:pPr>
<w:r><w:t xml:space="preserve">AUTHORITIES.--Schubert, De Romanorum Aedilibus (1828);</w:t></w:r>
</w:p>
<w:p>
<w:pPr><w:pStyle w:val="Normal"/></w:pPr>
<w:r><w:t xml:space="preserve">Hoffmann, De Aedilibus Romanis (1842); Goll, De Aedilibus</w:t></w:r>
</w:p>
<w:p>
<w:pPr><w:pStyle w:val="Normal"/></w:pPr>
<w:r><w:t xml:space="preserve">sub Caesarum Imperio (1860); Labatut, Les Ediles et les</w:t></w:r>
</w:p>
<w:p>
<w:pPr><w:pStyle w:val="Normal"/></w:pPr>
<w:r><w:t xml:space="preserve">moeurs (1868); Marquardt Mommsen, Handbuch der romanischen</w:t></w:r>
</w:p>
<w:p>
<w:pPr><w:pStyle w:val="Normal"/></w:pPr>
<w:r><w:t xml:space="preserve">Altertumer, ii. (1888); Soltau, Die ursprungliche</w:t></w:r>
</w:p>
<w:p>
<w:pPr><w:pStyle w:val="Normal"/></w:pPr>
<w:r><w:t xml:space="preserve">Bedeutung und Competenz der Aediles Plebis (Bonn, 1882).</w:t></w:r>
</w:p>
<w:p>
<w:pPr><w:pStyle w:val="Normal"/></w:pPr>
<w:r><w:t xml:space="preserve">AEDUI, HAEDUI or HEDUI (Gr. Aidouoi), a Gallic people</w:t></w:r>
</w:p>
<w:p>
<w:pPr><w:pStyle w:val="Normal"/></w:pPr>
<w:r><w:t xml:space="preserve">of Gallia Lugdunensis, who inhabited the country between the</w:t></w:r>
</w:p>
<w:p>
<w:pPr><w:pStyle w:val="Normal"/></w:pPr>
<w:r><w:t xml:space="preserve">Arar (Saone) and Liger (Loire).  The statement in Strabo (ii.</w:t></w:r>
</w:p>
<w:p>
<w:pPr><w:pStyle w:val="Normal"/></w:pPr>
<w:r><w:t xml:space="preserve">3. 192) that they dwelt between the Arar and Dubis (Doubs) is</w:t></w:r>
</w:p>
<w:p>
<w:pPr><w:pStyle w:val="Normal"/></w:pPr>
<w:r><w:t xml:space="preserve">incorrect.  Their territory thus included the greater part</w:t></w:r>
</w:p>
<w:p>
<w:pPr><w:pStyle w:val="Normal"/></w:pPr>
<w:r><w:t xml:space="preserve">of the modern departments of Saone-et-Loire, Cote d&apos;Or and</w:t></w:r>
</w:p>
<w:p>
<w:pPr><w:pStyle w:val="Normal"/></w:pPr>
<w:r><w:t xml:space="preserve">Nievre.  According to Livy (v. 34), they took part in</w:t></w:r>
</w:p>
<w:p>
<w:pPr><w:pStyle w:val="Normal"/></w:pPr>
<w:r><w:t xml:space="preserve">the expedition of Bellovesus into Italy in the 6th century</w:t></w:r>
</w:p>
<w:p>
<w:pPr><w:pStyle w:val="Normal"/></w:pPr>
<w:r><w:t xml:space="preserve">B.C. Before Caesar&apos;s time they had attached themselves</w:t></w:r>
</w:p>
<w:p>
<w:pPr><w:pStyle w:val="Normal"/></w:pPr>
<w:r><w:t xml:space="preserve">to the Romans, and were honoured with the title of brothers</w:t></w:r>
</w:p>
<w:p>
<w:pPr><w:pStyle w:val="Normal"/></w:pPr>
<w:r><w:t xml:space="preserve">and kinsmen of the Roman people.  When the Sequani, their</w:t></w:r>
</w:p>
<w:p>
<w:pPr><w:pStyle w:val="Normal"/></w:pPr>
<w:r><w:t xml:space="preserve">neighbours on the other side of the Arar, with whom they</w:t></w:r>
</w:p>
<w:p>
<w:pPr><w:pStyle w:val="Normal"/></w:pPr>
<w:r><w:t xml:space="preserve">were continually quarrelling, invaded their country and</w:t></w:r>
</w:p>
<w:p>
<w:pPr><w:pStyle w:val="Normal"/></w:pPr>
<w:r><w:t xml:space="preserve">subjugated them with the assistance of a German chieftain</w:t></w:r>
</w:p>
<w:p>
<w:pPr><w:pStyle w:val="Normal"/></w:pPr>
<w:r><w:t xml:space="preserve">named Ariovistus, the Aedui sent Divitiacus, the druid, to</w:t></w:r>
</w:p>
<w:p>
<w:pPr><w:pStyle w:val="Normal"/></w:pPr>
<w:r><w:t xml:space="preserve">Rome to appeal to the senate for help, but his mission was</w:t></w:r>
</w:p>
<w:p>
<w:pPr><w:pStyle w:val="Normal"/></w:pPr>
<w:r><w:t xml:space="preserve">unsuccessful.  On his arrival in Gaul (58 B.C.), Caesar</w:t></w:r>
</w:p>
<w:p>
<w:pPr><w:pStyle w:val="Normal"/></w:pPr>
<w:r><w:t xml:space="preserve">restored their independence.  In spite of this, the Aedui</w:t></w:r>
</w:p>
<w:p>
<w:pPr><w:pStyle w:val="Normal"/></w:pPr>
<w:r><w:t xml:space="preserve">joined the Gallic coalition against Caesar (B.G. vii. 42),</w:t></w:r>
</w:p>
<w:p>
<w:pPr><w:pStyle w:val="Normal"/></w:pPr>
<w:r><w:t xml:space="preserve">but after the surrender of Vercingetorix at Alesia were glad</w:t></w:r>
</w:p>
<w:p>
<w:pPr><w:pStyle w:val="Normal"/></w:pPr>
<w:r><w:t xml:space="preserve">to return to their allegiance.  Augustus dismantled their</w:t></w:r>
</w:p>
<w:p>
<w:pPr><w:pStyle w:val="Normal"/></w:pPr>
<w:r><w:t xml:space="preserve">native capital Bibracte on Mont Beuvray, and substituted a</w:t></w:r>
</w:p>
<w:p>
<w:pPr><w:pStyle w:val="Normal"/></w:pPr>
<w:r><w:t xml:space="preserve">new town with a half-Roman, half-Gaulish name, Augustodunum</w:t></w:r>
</w:p>
<w:p>
<w:pPr><w:pStyle w:val="Normal"/></w:pPr>
<w:r><w:t xml:space="preserve">(mod.  Autun).  During the reign of Tiberias (A.D. 21),</w:t></w:r>
</w:p>
<w:p>
<w:pPr><w:pStyle w:val="Normal"/></w:pPr>
<w:r><w:t xml:space="preserve">they revolted under Julius Sacrovir, and seized Augustudunum,</w:t></w:r>
</w:p>
<w:p>
<w:pPr><w:pStyle w:val="Normal"/></w:pPr>
<w:r><w:t xml:space="preserve">but were soon put down by Gaius Silius (Tacitus Ann. iii.</w:t></w:r>
</w:p>
<w:p>
<w:pPr><w:pStyle w:val="Normal"/></w:pPr>
<w:r><w:t xml:space="preserve">43-46).  The Aedui were the first of the Gauls to receive</w:t></w:r>
</w:p>
<w:p>
<w:pPr><w:pStyle w:val="Normal"/></w:pPr>
<w:r><w:t xml:space="preserve">from the emperor Claudius the distinction of juo hanorum.</w:t></w:r>
</w:p>
<w:p>
<w:pPr><w:pStyle w:val="Normal"/></w:pPr>
<w:r><w:t xml:space="preserve">The oration of Eumenius (q.v.), in which he pleaded for the</w:t></w:r>
</w:p>
<w:p>
<w:pPr><w:pStyle w:val="Normal"/></w:pPr>
<w:r><w:t xml:space="preserve">restoration of the schools of his native place Augustodunum,</w:t></w:r>
</w:p>
<w:p>
<w:pPr><w:pStyle w:val="Normal"/></w:pPr>
<w:r><w:t xml:space="preserve">shows that the district was neglected.  The chief magistrate</w:t></w:r>
</w:p>
<w:p>
<w:pPr><w:pStyle w:val="Normal"/></w:pPr>
<w:r><w:t xml:space="preserve">of the Aedui in Caesar&apos;s time was called Vergobretus</w:t></w:r>
</w:p>
<w:p>
<w:pPr><w:pStyle w:val="Normal"/></w:pPr>
<w:r><w:t xml:space="preserve">(according to Mommsen, ``judgment-worker&apos;&apos;), who was elected</w:t></w:r>
</w:p>
<w:p>
<w:pPr><w:pStyle w:val="Normal"/></w:pPr>
<w:r><w:t xml:space="preserve">annually, possessed powers of life and death, but was</w:t></w:r>
</w:p>
<w:p>
<w:pPr><w:pStyle w:val="Normal"/></w:pPr>
<w:r><w:t xml:space="preserve">forbidden to go beyond the frontier.  Certain clientes,</w:t></w:r>
</w:p>
<w:p>
<w:pPr><w:pStyle w:val="Normal"/></w:pPr>
<w:r><w:t xml:space="preserve">or small communities, were also dependent upon the Aedui.</w:t></w:r>
</w:p>
<w:p>
<w:pPr><w:pStyle w:val="Normal"/></w:pPr>
<w:r><w:t xml:space="preserve">See A. E. Desjardins, Geographie de la Gaide, ii.</w:t></w:r>
</w:p>
<w:p>
<w:pPr><w:pStyle w:val="Normal"/></w:pPr>
<w:r><w:t xml:space="preserve">(1876-1893); T. R. Holmes, Caesar&apos;s Conquest of Gaul (1899).</w:t></w:r>
</w:p>
<w:p>
<w:pPr><w:pStyle w:val="Normal"/></w:pPr>
<w:r><w:t xml:space="preserve">AEGADIAN ISUANDS (Ital. Isole Egati; anc. Aegales Insulae),</w:t></w:r>
</w:p>
<w:p>
<w:pPr><w:pStyle w:val="Normal"/></w:pPr>
<w:r><w:t xml:space="preserve">a group of small mountainous islands off the western coast of</w:t></w:r>
</w:p>
<w:p>
<w:pPr><w:pStyle w:val="Normal"/></w:pPr>
<w:r><w:t xml:space="preserve">Sicily, chiefly remarkable as the scene of the defeat of the</w:t></w:r>
</w:p>
<w:p>
<w:pPr><w:pStyle w:val="Normal"/></w:pPr>
<w:r><w:t xml:space="preserve">Carthaginian fleet by C. Lutatius Catulus in 241 B.C., which</w:t></w:r>
</w:p>
<w:p>
<w:pPr><w:pStyle w:val="Normal"/></w:pPr>
<w:r><w:t xml:space="preserve">ended the First Punic War. Favignana (Aegusa), the largest, pop.</w:t></w:r>
</w:p>
<w:p>
<w:pPr><w:pStyle w:val="Normal"/></w:pPr>
<w:r><w:t xml:space="preserve">(1901) 6414, lies 10 m.  S.W. of Trapani; Levanzo (Phorbantia) 8</w:t></w:r>
</w:p>
<w:p>
<w:pPr><w:pStyle w:val="Normal"/></w:pPr>
<w:r><w:t xml:space="preserve">m.  W.; while Maritimo, the ancient iera nesos, 15</w:t></w:r>
</w:p>
<w:p>
<w:pPr><w:pStyle w:val="Normal"/></w:pPr>
<w:r><w:t xml:space="preserve">m.  W. of Trapani, is now reckoned as a part of the group.</w:t></w:r>
</w:p>
<w:p>
<w:pPr><w:pStyle w:val="Normal"/></w:pPr>
<w:r><w:t xml:space="preserve">They belonged to the Pallavicini family of Genoa until</w:t></w:r>
</w:p>
<w:p>
<w:pPr><w:pStyle w:val="Normal"/></w:pPr>
<w:r><w:t xml:space="preserve">1874, when they were bought by Signor Florio of Palermo.</w:t></w:r>
</w:p>
<w:p>
<w:pPr><w:pStyle w:val="Normal"/></w:pPr>
<w:r><w:t xml:space="preserve">AEGEAN CIVILIZATION, the general term for the prehistoric</w:t></w:r>
</w:p>
<w:p>
<w:pPr><w:pStyle w:val="Normal"/></w:pPr>
<w:r><w:t xml:space="preserve">civilization, previously called ``Mycenaean&apos;&apos; because its existence</w:t></w:r>
</w:p>
<w:p>
<w:pPr><w:pStyle w:val="Normal"/></w:pPr>
<w:r><w:t xml:space="preserve">was first brought to popular notice by Heinrich Schliemann&apos;s</w:t></w:r>
</w:p>
<w:p>
<w:pPr><w:pStyle w:val="Normal"/></w:pPr>
<w:r><w:t xml:space="preserve">excavations at Mycenae in 1876.  Subsequent discoveries, however,</w:t></w:r>
</w:p>
<w:p>
<w:pPr><w:pStyle w:val="Normal"/></w:pPr>
<w:r><w:t xml:space="preserve">have made it clear that Mycenae was not its chief centre in its</w:t></w:r>
</w:p>
<w:p>
<w:pPr><w:pStyle w:val="Normal"/></w:pPr>
<w:r><w:t xml:space="preserve">earlier stages, or, perhaps, at any period; and, accordingly,</w:t></w:r>
</w:p>
<w:p>
<w:pPr><w:pStyle w:val="Normal"/></w:pPr>
<w:r><w:t xml:space="preserve">it is more usual now to adopt a wider geographical title.</w:t></w:r>
</w:p>
<w:p>
<w:pPr><w:pStyle w:val="Heading1"/></w:pPr>
<w:r><w:t>I. History of Discovery and Distribution of Remains.--Mycenae</w:t></w:r>
</w:p>
<w:p>
<w:pPr><w:pStyle w:val="Normal"/></w:pPr>
<w:r><w:t xml:space="preserve">and Tiryns are the two principal sites on which evidence of a</w:t></w:r>
</w:p>
<w:p>
<w:pPr><w:pStyle w:val="Normal"/></w:pPr>
<w:r><w:t xml:space="preserve">prehistoric civilization was remarked long ago by the classical</w:t></w:r>
</w:p>
<w:p>
<w:pPr><w:pStyle w:val="Normal"/></w:pPr>
<w:r><w:t xml:space="preserve">Greeks.  The curtain-wall and towers of the Mycenaean citadel,</w:t></w:r>
</w:p>
<w:p>
<w:pPr><w:pStyle w:val="Normal"/></w:pPr>
<w:r><w:t xml:space="preserve">its gate with heraldic lions, and the great ``Treasury of</w:t></w:r>
</w:p>
<w:p>
<w:pPr><w:pStyle w:val="Normal"/></w:pPr>
<w:r><w:t xml:space="preserve">Atreus&apos;&apos; had borne silent witness for ages before Schliemann&apos;s</w:t></w:r>
</w:p>
<w:p>
<w:pPr><w:pStyle w:val="Normal"/></w:pPr>
<w:r><w:t xml:space="preserve">time; but they were supposed only to speak to the Homeric,</w:t></w:r>
</w:p>
<w:p>
<w:pPr><w:pStyle w:val="Normal"/></w:pPr>
<w:r><w:t xml:space="preserve">or at farthest a rude Heroic beginning of purely Hellenic,</w:t></w:r>
</w:p>
<w:p>
<w:pPr><w:pStyle w:val="Normal"/></w:pPr>
<w:r><w:t xml:space="preserve">civilization.  It was not till Schliemann exposed the</w:t></w:r>
</w:p>
<w:p>
<w:pPr><w:pStyle w:val="Normal"/></w:pPr>
<w:r><w:t xml:space="preserve">contents of the graves which lay just inside the gate (see</w:t></w:r>
</w:p>
<w:p>
<w:pPr><w:pStyle w:val="Normal"/></w:pPr>
<w:r><w:t xml:space="preserve">MYCENAE), that scholars recognized the advanced stage of</w:t></w:r>
</w:p>
<w:p>
<w:pPr><w:pStyle w:val="Normal"/></w:pPr>
<w:r><w:t xml:space="preserve">art to which prehistoric dwellers in the Mycenaean citadel</w:t></w:r>
</w:p>
<w:p>
<w:pPr><w:pStyle w:val="Normal"/></w:pPr>
<w:r><w:t xml:space="preserve">had attained.  There had been, however, a good deal of</w:t></w:r>
</w:p>
<w:p>
<w:pPr><w:pStyle w:val="Normal"/></w:pPr>
<w:r><w:t xml:space="preserve">other evidence available before 1876, which, had it been</w:t></w:r>
</w:p>
<w:p>
<w:pPr><w:pStyle w:val="Normal"/></w:pPr>
<w:r><w:t xml:space="preserve">collated and seriously studied, might have discounted the</w:t></w:r>
</w:p>
<w:p>
<w:pPr><w:pStyle w:val="Normal"/></w:pPr>
<w:r><w:t xml:space="preserve">sensation that the discovery of the citadel graves eventually</w:t></w:r>
</w:p>
<w:p>
<w:pPr><w:pStyle w:val="Normal"/></w:pPr>
<w:r><w:t xml:space="preserve">made.  Although it was recognized that certain tributaries,</w:t></w:r>
</w:p>
<w:p>
<w:pPr><w:pStyle w:val="Normal"/></w:pPr>
<w:r><w:t xml:space="preserve">represented e.g. in the XVIIIth Dynasty tomb of Rekhmara</w:t></w:r>
</w:p>
<w:p>
<w:pPr><w:pStyle w:val="Normal"/></w:pPr>
<w:r><w:t xml:space="preserve">at Egyptian Thebes as bearing vases of peculiar forms, were</w:t></w:r>
</w:p>
<w:p>
<w:pPr><w:pStyle w:val="Normal"/></w:pPr>
<w:r><w:t xml:space="preserve">of some Mediterranean race, neither their precise habitat nor</w:t></w:r>
</w:p>
<w:p>
<w:pPr><w:pStyle w:val="Normal"/></w:pPr>
<w:r><w:t xml:space="preserve">the degree of their civilization could be determined while so</w:t></w:r>
</w:p>
<w:p>
<w:pPr><w:pStyle w:val="Normal"/></w:pPr>
<w:r><w:t xml:space="preserve">few actual prehistoric remains were known in the Mediterranean</w:t></w:r>
</w:p>
<w:p>
<w:pPr><w:pStyle w:val="Normal"/></w:pPr>
<w:r><w:t xml:space="preserve">lands.  Nor did the Aegean objects which were lying obscurely</w:t></w:r>
</w:p>
<w:p>
<w:pPr><w:pStyle w:val="Normal"/></w:pPr>
<w:r><w:t xml:space="preserve">in museums in 1870, or thereabouts, provide a sufficient</w:t></w:r>
</w:p>
<w:p>
<w:pPr><w:pStyle w:val="Normal"/></w:pPr>
<w:r><w:t xml:space="preserve">test of the real basis underlying the Hellenic myths of the</w:t></w:r>
</w:p>
<w:p>
<w:pPr><w:pStyle w:val="Normal"/></w:pPr>
<w:r><w:t xml:space="preserve">Argolid, the Troad and Crete, to cause these to he taken</w:t></w:r>
</w:p>
<w:p>
<w:pPr><w:pStyle w:val="Normal"/></w:pPr>
<w:r><w:t xml:space="preserve">seriously.  Both at Sevres and Neuchatel Aegean vases have</w:t></w:r>
</w:p>
<w:p>
<w:pPr><w:pStyle w:val="Normal"/></w:pPr>
<w:r><w:t xml:space="preserve">been exhibited since about 1840, the provenience being in</w:t></w:r>
</w:p>
<w:p>
<w:pPr><w:pStyle w:val="Normal"/></w:pPr>
<w:r><w:t xml:space="preserve">the one case Phylakope in Melos, in the other Cephalonia.</w:t></w:r>
</w:p>
<w:p>
<w:pPr><w:pStyle w:val="Normal"/></w:pPr>
<w:r><w:t xml:space="preserve">Ludwig Ross, by his explorations in the Greek islands from</w:t></w:r>
</w:p>
<w:p>
<w:pPr><w:pStyle w:val="Normal"/></w:pPr>
<w:r><w:t xml:space="preserve">1835 onwards, called attention to certain early intaglios,</w:t></w:r>
</w:p>
<w:p>
<w:pPr><w:pStyle w:val="Normal"/></w:pPr>
<w:r><w:t xml:space="preserve">since known as Inselsteine; but it was not till 1878 that</w:t></w:r>
</w:p>
<w:p>
<w:pPr><w:pStyle w:val="Heading1"/></w:pPr>
<w:r><w:t>C. T. Newton demonstrated these to be no strayed Phoenician</w:t></w:r>
</w:p>
<w:p>
<w:pPr><w:pStyle w:val="Normal"/></w:pPr>
<w:r><w:t xml:space="preserve">products.  In 1866 primitive structures were discovered in the</w:t></w:r>
</w:p>
<w:p>
<w:pPr><w:pStyle w:val="Normal"/></w:pPr>
<w:r><w:t xml:space="preserve">island of Therasia by quarrymen extracting pozzolana for the</w:t></w:r>
</w:p>
<w:p>
<w:pPr><w:pStyle w:val="Normal"/></w:pPr>
<w:r><w:t xml:space="preserve">Suez Canal works; and when this discovery was followed up in</w:t></w:r>
</w:p>
<w:p>
<w:pPr><w:pStyle w:val="Normal"/></w:pPr>
<w:r><w:t xml:space="preserve">1870, on the neighbouring Santorin (Thera), by representatives</w:t></w:r>
</w:p>
<w:p>
<w:pPr><w:pStyle w:val="Normal"/></w:pPr>
<w:r><w:t xml:space="preserve">of the French School at Athens, much pottery of a class now</w:t></w:r>
</w:p>
<w:p>
<w:pPr><w:pStyle w:val="Normal"/></w:pPr>
<w:r><w:t xml:space="preserve">known immediately to precede the typical late Aegean ware,</w:t></w:r>
</w:p>
<w:p>
<w:pPr><w:pStyle w:val="Normal"/></w:pPr>
<w:r><w:t xml:space="preserve">and many stone and metal objects, were found and dated by</w:t></w:r>
</w:p>
<w:p>
<w:pPr><w:pStyle w:val="Normal"/></w:pPr>
<w:r><w:t xml:space="preserve">the geologist Fouque, somewhat arbitrarily, to 2000 B.C.,</w:t></w:r>
</w:p>
<w:p>
<w:pPr><w:pStyle w:val="Normal"/></w:pPr>
<w:r><w:t xml:space="preserve">by consideration of the superincumbent eruptive stratum.</w:t></w:r>
</w:p>
<w:p>
<w:pPr><w:pStyle w:val="Normal"/></w:pPr>
<w:r><w:t xml:space="preserve">Meanwhile, in 1868, tombs at Ialysus in Rhodes had yielded</w:t></w:r>
</w:p>
<w:p>
<w:pPr><w:pStyle w:val="Normal"/></w:pPr>
<w:r><w:t xml:space="preserve">to M. A. Biliotti many fine painted vases of styles which</w:t></w:r>
</w:p>
<w:p>
<w:pPr><w:pStyle w:val="Normal"/></w:pPr>
<w:r><w:t xml:space="preserve">were called later the third and fourth ``Mycenaean&apos;&apos;; but</w:t></w:r>
</w:p>
<w:p>
<w:pPr><w:pStyle w:val="Normal"/></w:pPr>
<w:r><w:t xml:space="preserve">these, bought by John Ruskin, and presented to the British</w:t></w:r>
</w:p>
<w:p>
<w:pPr><w:pStyle w:val="Normal"/></w:pPr>
<w:r><w:t xml:space="preserve">Museum, excited less attention than they deserved, being</w:t></w:r>
</w:p>
<w:p>
<w:pPr><w:pStyle w:val="Normal"/></w:pPr>
<w:r><w:t xml:space="preserve">supposed to be of some local Asiatic fabric of uncertain</w:t></w:r>
</w:p>
<w:p>
<w:pPr><w:pStyle w:val="Normal"/></w:pPr>
<w:r><w:t xml:space="preserve">date.  Nor was a connexion immediately detected between them</w:t></w:r>
</w:p>
<w:p>
<w:pPr><w:pStyle w:val="Normal"/></w:pPr>
<w:r><w:t xml:space="preserve">and the objects found four years later in a tomb at Menidi in</w:t></w:r>
</w:p>
<w:p>
<w:pPr><w:pStyle w:val="Normal"/></w:pPr>
<w:r><w:t xml:space="preserve">Attica and a rock-cut ``bee-hive&apos;&apos; grave near the Argive Heraeum.</w:t></w:r>
</w:p>
<w:p>
<w:pPr><w:pStyle w:val="Normal"/></w:pPr>
<w:r><w:t xml:space="preserve">Even Schliemann&apos;s first excavations at Hissarlik in the Troad</w:t></w:r>
</w:p>
<w:p>
<w:pPr><w:pStyle w:val="Normal"/></w:pPr>
<w:r><w:t xml:space="preserve">(q.v.) did not excite surprise.  But the ``Burnt City&apos;&apos; of</w:t></w:r>
</w:p>
<w:p>
<w:pPr><w:pStyle w:val="Normal"/></w:pPr>
<w:r><w:t xml:space="preserve">his second stratum, revealed in 1873, with its fortifications</w:t></w:r>
</w:p>
<w:p>
<w:pPr><w:pStyle w:val="Normal"/></w:pPr>
<w:r><w:t xml:space="preserve">and vases, and a hoard of gold, silver and bronze objects,</w:t></w:r>
</w:p>
<w:p>
<w:pPr><w:pStyle w:val="Normal"/></w:pPr>
<w:r><w:t xml:space="preserve">which the discoverer connected with it, began to arouse a</w:t></w:r>
</w:p>
<w:p>
<w:pPr><w:pStyle w:val="Normal"/></w:pPr>
<w:r><w:t xml:space="preserve">curiosity which was destined presently to spread far outside</w:t></w:r>
</w:p>
<w:p>
<w:pPr><w:pStyle w:val="Normal"/></w:pPr>
<w:r><w:t xml:space="preserve">the narrow circle of scholars.  As soon as Schliemann came on</w:t></w:r>
</w:p>
<w:p>
<w:pPr><w:pStyle w:val="Normal"/></w:pPr>
<w:r><w:t xml:space="preserve">the Mycenae graves three years later, light poured from all</w:t></w:r>
</w:p>
<w:p>
<w:pPr><w:pStyle w:val="Normal"/></w:pPr>
<w:r><w:t xml:space="preserve">sides on the prehistotic period of Greece.  It was recognized</w:t></w:r>
</w:p>
<w:p>
<w:pPr><w:pStyle w:val="Normal"/></w:pPr>
<w:r><w:t xml:space="preserve">that the character of both the fabric and the decoration</w:t></w:r>
</w:p>
<w:p>
<w:pPr><w:pStyle w:val="Normal"/></w:pPr>
<w:r><w:t xml:space="preserve">of the Mycenaean objects was not that of any well-known</w:t></w:r>
</w:p>
<w:p>
<w:pPr><w:pStyle w:val="Normal"/></w:pPr>
<w:r><w:t xml:space="preserve">art.  A wide range in space was proved by the identification</w:t></w:r>
</w:p>
<w:p>
<w:pPr><w:pStyle w:val="Normal"/></w:pPr>
<w:r><w:t xml:space="preserve">of the Inselsteine and the Ialysus vases with the new style,</w:t></w:r>
</w:p>
<w:p>
<w:pPr><w:pStyle w:val="Normal"/></w:pPr>
<w:r><w:t xml:space="preserve">and a wide range in time by collation of the earlier Theraean</w:t></w:r>
</w:p>
<w:p>
<w:pPr><w:pStyle w:val="Normal"/></w:pPr>
<w:r><w:t xml:space="preserve">and Hissarlik discoveries.  A relation between objects of art</w:t></w:r>
</w:p>
<w:p>
<w:pPr><w:pStyle w:val="Normal"/></w:pPr>
<w:r><w:t xml:space="preserve">described by Homer and the Mycenaean treasure was generally</w:t></w:r>
</w:p>
<w:p>
<w:pPr><w:pStyle w:val="Normal"/></w:pPr>
<w:r><w:t xml:space="preserve">allowed, and a correct opinion prevailed that, while certainly</w:t></w:r>
</w:p>
<w:p>
<w:pPr><w:pStyle w:val="Normal"/></w:pPr>
<w:r><w:t xml:space="preserve">posterior, the civilization of the Iliad was reminiscent of the</w:t></w:r>
</w:p>
<w:p>
<w:pPr><w:pStyle w:val="Normal"/></w:pPr>
<w:r><w:t xml:space="preserve">Mycenaean.  Schliemann got to work again at Hissarlik in 1878,</w:t></w:r>
</w:p>
<w:p>
<w:pPr><w:pStyle w:val="Normal"/></w:pPr>
<w:r><w:t xml:space="preserve">and greatly increased our knowledge of the lower strata, but</w:t></w:r>
</w:p>
<w:p>
<w:pPr><w:pStyle w:val="Normal"/></w:pPr>
<w:r><w:t xml:space="preserve">did not recognize the Aegean remains in his ``Lydian&apos;&apos; city</w:t></w:r>
</w:p>
<w:p>
<w:pPr><w:pStyle w:val="Normal"/></w:pPr>
<w:r><w:t xml:space="preserve">of the sixth stratum, which were not to be fully revealed</w:t></w:r>
</w:p>
<w:p>
<w:pPr><w:pStyle w:val="Normal"/></w:pPr>
<w:r><w:t xml:space="preserve">till Dr W. Dorpfeld resumed the work at Hissarlik in 1892</w:t></w:r>
</w:p>
<w:p>
<w:pPr><w:pStyle w:val="Normal"/></w:pPr>
<w:r><w:t xml:space="preserve">after the first explorer&apos;s death (see TROAD). But by</w:t></w:r>
</w:p>
<w:p>
<w:pPr><w:pStyle w:val="Normal"/></w:pPr>
<w:r><w:t xml:space="preserve">laying bare in 1884 the upper stratum of remains on the rock</w:t></w:r>
</w:p>
<w:p>
<w:pPr><w:pStyle w:val="Normal"/></w:pPr>
<w:r><w:t xml:space="preserve">of Tiryns (q.v.), Schliemann made a contribution to our</w:t></w:r>
</w:p>
<w:p>
<w:pPr><w:pStyle w:val="Normal"/></w:pPr>
<w:r><w:t xml:space="preserve">knowledge of prehistoric domestic life which was amplified</w:t></w:r>
</w:p>
<w:p>
<w:pPr><w:pStyle w:val="Normal"/></w:pPr>
<w:r><w:t xml:space="preserve">two years later by Chr. Tsountas&apos;s discovery of the Mycenae</w:t></w:r>
</w:p>
<w:p>
<w:pPr><w:pStyle w:val="Normal"/></w:pPr>
<w:r><w:t xml:space="preserve">palace.  Schliemann&apos;s work at Tiryns was not resumed till</w:t></w:r>
</w:p>
<w:p>
<w:pPr><w:pStyle w:val="Normal"/></w:pPr>
<w:r><w:t xml:space="preserve">1905, when it was proved, as had long been suspected, that</w:t></w:r>
</w:p>
<w:p>
<w:pPr><w:pStyle w:val="Normal"/></w:pPr>
<w:r><w:t xml:space="preserve">an earlier palace underlies the one he had exposed.  From</w:t></w:r>
</w:p>
<w:p>
<w:pPr><w:pStyle w:val="Normal"/></w:pPr>
<w:r><w:t xml:space="preserve">1886 dates the finding of Mycenaean sepulchres outside the</w:t></w:r>
</w:p>
<w:p>
<w:pPr><w:pStyle w:val="Normal"/></w:pPr>
<w:r><w:t xml:space="preserve">Argolid, from which, and from the continuation of Tsountas&apos;s</w:t></w:r>
</w:p>
<w:p>
<w:pPr><w:pStyle w:val="Normal"/></w:pPr>
<w:r><w:t xml:space="preserve">exploration of the buildings and lesser graves at Mycenae,</w:t></w:r>
</w:p>
<w:p>
<w:pPr><w:pStyle w:val="Normal"/></w:pPr>
<w:r><w:t xml:space="preserve">a large treasure, independent of Schliemann&apos;s princely gift,</w:t></w:r>
</w:p>
<w:p>
<w:pPr><w:pStyle w:val="Normal"/></w:pPr>
<w:r><w:t xml:space="preserve">has been gathered into the National Museum at Athens.  In</w:t></w:r>
</w:p>
<w:p>
<w:pPr><w:pStyle w:val="Normal"/></w:pPr>
<w:r><w:t xml:space="preserve">that year were excavated dome-tombs, most already rifled but</w:t></w:r>
</w:p>
<w:p>
<w:pPr><w:pStyle w:val="Normal"/></w:pPr>
<w:r><w:t xml:space="preserve">retaining some of their furniture, at Arkina and Eleusis in</w:t></w:r>
</w:p>
<w:p>
<w:pPr><w:pStyle w:val="Normal"/></w:pPr>
<w:r><w:t xml:space="preserve">Attica, at Dimini near Volo in Thessaly, at Kampos on the</w:t></w:r>
</w:p>
<w:p>
<w:pPr><w:pStyle w:val="Normal"/></w:pPr>
<w:r><w:t xml:space="preserve">west of Mount Taygetus, and at Maskarata in Cephalonia.</w:t></w:r>
</w:p>
<w:p>
<w:pPr><w:pStyle w:val="Normal"/></w:pPr>
<w:r><w:t xml:space="preserve">The richest grave of all was explored at Vaphio in Laconia</w:t></w:r>
</w:p>
<w:p>
<w:pPr><w:pStyle w:val="Normal"/></w:pPr>
<w:r><w:t xml:space="preserve">in 1889, and yielded, besides many gems and miscellaneous</w:t></w:r>
</w:p>
<w:p>
<w:pPr><w:pStyle w:val="Normal"/></w:pPr>
<w:r><w:t xml:space="preserve">goldsmiths&apos; work, two golden goblets chased with scenes of</w:t></w:r>
</w:p>
<w:p>
<w:pPr><w:pStyle w:val="Normal"/></w:pPr>
<w:r><w:t xml:space="preserve">bull-hunting, and certain broken vases painted in a large</w:t></w:r>
</w:p>
<w:p>
<w:pPr><w:pStyle w:val="Normal"/></w:pPr>
<w:r><w:t xml:space="preserve">bold style which remained an enigma till the excavation of</w:t></w:r>
</w:p>
<w:p>
<w:pPr><w:pStyle w:val="Normal"/></w:pPr>
<w:r><w:t xml:space="preserve">Cnossus.  In 1890 and 1893 Staes cleared out certain less</w:t></w:r>
</w:p>
<w:p>
<w:pPr><w:pStyle w:val="Normal"/></w:pPr>
<w:r><w:t xml:space="preserve">rich dome-tombs at Thoricus in Attica; and other graves,</w:t></w:r>
</w:p>
<w:p>
<w:pPr><w:pStyle w:val="Normal"/></w:pPr>
<w:r><w:t xml:space="preserve">either rock-cut ``bee-hives&apos;&apos; or chambers, were found at Spata</w:t></w:r>
</w:p>
<w:p>
<w:pPr><w:pStyle w:val="Normal"/></w:pPr>
<w:r><w:t xml:space="preserve">and Aphidna in Attica, in Aegina and Salamis, at the Heraeum</w:t></w:r>
</w:p>
<w:p>
<w:pPr><w:pStyle w:val="Normal"/></w:pPr>
<w:r><w:t xml:space="preserve">(see ARGOS) and Nauplia in the Argolid, near Thebes and</w:t></w:r>
</w:p>
<w:p>
<w:pPr><w:pStyle w:val="Normal"/></w:pPr>
<w:r><w:t xml:space="preserve">Delphi, and not far from the Thessalian Larissa.  During the</w:t></w:r>
</w:p>
<w:p>
<w:pPr><w:pStyle w:val="Normal"/></w:pPr>
<w:r><w:t xml:space="preserve">excavations on the Acropolis at Athens, terminated in 1888,</w:t></w:r>
</w:p>
<w:p>
<w:pPr><w:pStyle w:val="Normal"/></w:pPr>
<w:r><w:t xml:space="preserve">many potsherds of the Mycenaean style were found; but Olympia</w:t></w:r>
</w:p>
<w:p>
<w:pPr><w:pStyle w:val="Normal"/></w:pPr>
<w:r><w:t xml:space="preserve">had yielded either none, or such as had not been recognized</w:t></w:r>
</w:p>
<w:p>
<w:pPr><w:pStyle w:val="Normal"/></w:pPr>
<w:r><w:t xml:space="preserve">before being thrown away, and the temple site at Delphi produced</w:t></w:r>
</w:p>
<w:p>
<w:pPr><w:pStyle w:val="Normal"/></w:pPr>
<w:r><w:t xml:space="preserve">nothing distinctively Aegean.  The American explorations of</w:t></w:r>
</w:p>
<w:p>
<w:pPr><w:pStyle w:val="Normal"/></w:pPr>
<w:r><w:t xml:space="preserve">the Argive Heraeum, concluded in 1895, also failed to prove</w:t></w:r>
</w:p>
<w:p>
<w:pPr><w:pStyle w:val="Normal"/></w:pPr>
<w:r><w:t xml:space="preserve">that site to have been important in the prehistoric time,</w:t></w:r>
</w:p>
<w:p>
<w:pPr><w:pStyle w:val="Normal"/></w:pPr>
<w:r><w:t xml:space="preserve">though, as was to be expected from its neighbourhood to Mycenae</w:t></w:r>
</w:p>
<w:p>
<w:pPr><w:pStyle w:val="Normal"/></w:pPr>
<w:r><w:t xml:space="preserve">itself, there were traces of occupation in the later Aegean</w:t></w:r>
</w:p>
<w:p>
<w:pPr><w:pStyle w:val="Normal"/></w:pPr>
<w:r><w:t xml:space="preserve">periods.  Prehistoric research had now begun to extend</w:t></w:r>
</w:p>
<w:p>
<w:pPr><w:pStyle w:val="Normal"/></w:pPr>
<w:r><w:t xml:space="preserve">beyond the Greek mainland.  Certain central Aegean islands,</w:t></w:r>
</w:p>
<w:p>
<w:pPr><w:pStyle w:val="Normal"/></w:pPr>
<w:r><w:t xml:space="preserve">Antiparos, Ios, Amorgos, Syros and Siphnos, were all found</w:t></w:r>
</w:p>
<w:p>
<w:pPr><w:pStyle w:val="Normal"/></w:pPr>
<w:r><w:t xml:space="preserve">to be singularly rich in evidence of the middle-Aegean</w:t></w:r>
</w:p>
<w:p>
<w:pPr><w:pStyle w:val="Normal"/></w:pPr>
<w:r><w:t xml:space="preserve">period.  The series of Syran built graves, containing</w:t></w:r>
</w:p>
<w:p>
<w:pPr><w:pStyle w:val="Normal"/></w:pPr>
<w:r><w:t xml:space="preserve">crouching corpses, is the best and most representative that</w:t></w:r>
</w:p>
<w:p>
<w:pPr><w:pStyle w:val="Normal"/></w:pPr>
<w:r><w:t xml:space="preserve">is known in the Legean.  Melos, long marked as a source of</w:t></w:r>
</w:p>
<w:p>
<w:pPr><w:pStyle w:val="Normal"/></w:pPr>
<w:r><w:t xml:space="preserve">early objects, but not systematically excavated until taken</w:t></w:r>
</w:p>
<w:p>
<w:pPr><w:pStyle w:val="Normal"/></w:pPr>
<w:r><w:t xml:space="preserve">in hand by the British School at Athens in 1896, yielded</w:t></w:r>
</w:p>
<w:p>
<w:pPr><w:pStyle w:val="Normal"/></w:pPr>
<w:r><w:t xml:space="preserve">at Phylakope remains of all the Aegean periods, except the</w:t></w:r>
</w:p>
<w:p>
<w:pPr><w:pStyle w:val="Normal"/></w:pPr>
<w:r><w:t xml:space="preserve">Neolithic.  A map of Cyprus in the later Bronze Age (such</w:t></w:r>
</w:p>
<w:p>
<w:pPr><w:pStyle w:val="Normal"/></w:pPr>
<w:r><w:t xml:space="preserve">as is given by J. L. Myres and M. O. Richter in Catalogue</w:t></w:r>
</w:p>
<w:p>
<w:pPr><w:pStyle w:val="Normal"/></w:pPr>
<w:r><w:t xml:space="preserve">of the Cyprus Museum) shows more than five-and-twenty</w:t></w:r>
</w:p>
<w:p>
<w:pPr><w:pStyle w:val="Normal"/></w:pPr>
<w:r><w:t xml:space="preserve">settlements in and about the Mesaorea district alone, of which</w:t></w:r>
</w:p>
<w:p>
<w:pPr><w:pStyle w:val="Normal"/></w:pPr>
<w:r><w:t xml:space="preserve">one, that at Enkomi, near the site of Salamis, has yielded</w:t></w:r>
</w:p>
<w:p>
<w:pPr><w:pStyle w:val="Normal"/></w:pPr>
<w:r><w:t xml:space="preserve">the richest Aegean treasure in precious metal found outside</w:t></w:r>
</w:p>
<w:p>
<w:pPr><w:pStyle w:val="Normal"/></w:pPr>
<w:r><w:t xml:space="preserve">Mycenae.  E. Chantre in 1894 picked up lustreless ware,</w:t></w:r>
</w:p>
<w:p>
<w:pPr><w:pStyle w:val="Normal"/></w:pPr>
<w:r><w:t xml:space="preserve">like that of Hissariik, in central Phtygia and at Pteria</w:t></w:r>
</w:p>
<w:p>
<w:pPr><w:pStyle w:val="Normal"/></w:pPr>
<w:r><w:t xml:space="preserve">(q.v.), and the English archaeological expeditions, sent</w:t></w:r>
</w:p>
<w:p>
<w:pPr><w:pStyle w:val="Normal"/></w:pPr>
<w:r><w:t xml:space="preserve">subsequently into north-western Anatolia, have never falled</w:t></w:r>
</w:p>
<w:p>
<w:pPr><w:pStyle w:val="Normal"/></w:pPr>
<w:r><w:t xml:space="preserve">to bring back ceramic specimens of Aegean appearance from</w:t></w:r>
</w:p>
<w:p>
<w:pPr><w:pStyle w:val="Normal"/></w:pPr>
<w:r><w:t xml:space="preserve">the valleys of the Rhyndncus, Sangarius and Halys.  In Egypt</w:t></w:r>
</w:p>
<w:p>
<w:pPr><w:pStyle w:val="Normal"/></w:pPr>
<w:r><w:t xml:space="preserve">in 1887 W. M. F. Petrie found painted sherds of Cretan style</w:t></w:r>
</w:p>
<w:p>
<w:pPr><w:pStyle w:val="Normal"/></w:pPr>
<w:r><w:t xml:space="preserve">at Kahun in the Fayum, and farther up the Nile, at Tell</w:t></w:r>
</w:p>
<w:p>
<w:pPr><w:pStyle w:val="Normal"/></w:pPr>
<w:r><w:t xml:space="preserve">el-Amarna, chanced on bits of no fewer than 800 Aegean vases in</w:t></w:r>
</w:p>
<w:p>
<w:pPr><w:pStyle w:val="Normal"/></w:pPr>
<w:r><w:t xml:space="preserve">1889.  There have now been recognized in the collections at</w:t></w:r>
</w:p>
<w:p>
<w:pPr><w:pStyle w:val="Normal"/></w:pPr>
<w:r><w:t xml:space="preserve">Cairo, Florence, London, Paris and Bologna several Egyptian</w:t></w:r>
</w:p>
<w:p>
<w:pPr><w:pStyle w:val="Normal"/></w:pPr>
<w:r><w:t xml:space="preserve">imitations of the Aegean style which can be set off against</w:t></w:r>
</w:p>
<w:p>
<w:pPr><w:pStyle w:val="Normal"/></w:pPr>
<w:r><w:t xml:space="preserve">the many debts which the centres of Aegean culture owed to</w:t></w:r>
</w:p>
<w:p>
<w:pPr><w:pStyle w:val="Normal"/></w:pPr>
<w:r><w:t xml:space="preserve">Egypt.  Two Aegean vases were found at Sidon in 1885, and</w:t></w:r>
</w:p>
<w:p>
<w:pPr><w:pStyle w:val="Normal"/></w:pPr>
<w:r><w:t xml:space="preserve">many fragments of Aegean and especially Cypriote pottery have</w:t></w:r>
</w:p>
<w:p>
<w:pPr><w:pStyle w:val="Normal"/></w:pPr>
<w:r><w:t xml:space="preserve">been turned up during recent excavations of sites in Philistia</w:t></w:r>
</w:p>
<w:p>
<w:pPr><w:pStyle w:val="Normal"/></w:pPr>
<w:r><w:t xml:space="preserve">by the Palestine Fund.  South-eastern Sicily, ever since P.</w:t></w:r>
</w:p>
<w:p>
<w:pPr><w:pStyle w:val="Normal"/></w:pPr>
<w:r><w:t xml:space="preserve">Orsi excavated the Sicel cemetery near Lentini in 1877, has</w:t></w:r>
</w:p>
<w:p>
<w:pPr><w:pStyle w:val="Normal"/></w:pPr>
<w:r><w:t xml:space="preserve">proved a mine of early remains, among which appear in regular</w:t></w:r>
</w:p>
<w:p>
<w:pPr><w:pStyle w:val="Normal"/></w:pPr>
<w:r><w:t xml:space="preserve">succession Aegean fabrics and motives of decoration from</w:t></w:r>
</w:p>
<w:p>
<w:pPr><w:pStyle w:val="Normal"/></w:pPr>
<w:r><w:t xml:space="preserve">the period of the second stratum at Hissarlik.  Sardinia has</w:t></w:r>
</w:p>
<w:p>
<w:pPr><w:pStyle w:val="Normal"/></w:pPr>
<w:r><w:t xml:space="preserve">Aegean sites, e.g. at Abini near Teti; and Spain has yielded</w:t></w:r>
</w:p>
<w:p>
<w:pPr><w:pStyle w:val="Normal"/></w:pPr>
<w:r><w:t xml:space="preserve">objects recognized as Aegean from tombs near Cadiz and from</w:t></w:r>
</w:p>
<w:p>
<w:pPr><w:pStyle w:val="Normal"/></w:pPr>
<w:r><w:t xml:space="preserve">Saragossa.  One land, however, has eclipsed all others in the</w:t></w:r>
</w:p>
<w:p>
<w:pPr><w:pStyle w:val="Normal"/></w:pPr>
<w:r><w:t xml:space="preserve">Aegean by the wealth of its remains of all the prehistoric</w:t></w:r>
</w:p>
<w:p>
<w:pPr><w:pStyle w:val="Normal"/></w:pPr>
<w:r><w:t xml:space="preserve">ages, viz.  Crete, so much so that, for the present, we</w:t></w:r>
</w:p>
<w:p>
<w:pPr><w:pStyle w:val="Normal"/></w:pPr>
<w:r><w:t xml:space="preserve">must regard it as the fountain-head of Aegean civilization,</w:t></w:r>
</w:p>
<w:p>
<w:pPr><w:pStyle w:val="Normal"/></w:pPr>
<w:r><w:t xml:space="preserve">and probably for long its political and social centre.  The</w:t></w:r>
</w:p>
<w:p>
<w:pPr><w:pStyle w:val="Normal"/></w:pPr>
<w:r><w:t xml:space="preserve">island first attracted the notice of archaeologists by the</w:t></w:r>
</w:p>
<w:p>
<w:pPr><w:pStyle w:val="Normal"/></w:pPr>
<w:r><w:t xml:space="preserve">remarkable archaic Greek bronzes found in a cave on Mount</w:t></w:r>
</w:p>
<w:p>
<w:pPr><w:pStyle w:val="Normal"/></w:pPr>
<w:r><w:t xml:space="preserve">Ida in 1885, as well as by epigraphic monuments such as the</w:t></w:r>
</w:p>
<w:p>
<w:pPr><w:pStyle w:val="Normal"/></w:pPr>
<w:r><w:t xml:space="preserve">famous law of Gortyna; but the first undoubted Aegean remains</w:t></w:r>
</w:p>
<w:p>
<w:pPr><w:pStyle w:val="Normal"/></w:pPr>
<w:r><w:t xml:space="preserve">reported from it were a few objects extracted from Cnossus by</w:t></w:r>
</w:p>
<w:p>
<w:pPr><w:pStyle w:val="Normal"/></w:pPr>
<w:r><w:t xml:space="preserve">Minos Kalokhairinos of Candia in 1878.  These were followed</w:t></w:r>
</w:p>
<w:p>
<w:pPr><w:pStyle w:val="Normal"/></w:pPr>
<w:r><w:t xml:space="preserve">by certain discoveries made in the S. plain Messara by F.</w:t></w:r>
</w:p>
<w:p>
<w:pPr><w:pStyle w:val="Normal"/></w:pPr>
<w:r><w:t xml:space="preserve">Halbherr.  W. J. Stillman and H. Schliemann both made</w:t></w:r>
</w:p>
<w:p>
<w:pPr><w:pStyle w:val="Normal"/></w:pPr>
<w:r><w:t xml:space="preserve">unsuccessful attempts at Cnossus, and A. J. Evans, coming on</w:t></w:r>
</w:p>
<w:p>
<w:pPr><w:pStyle w:val="Normal"/></w:pPr>
<w:r><w:t xml:space="preserve">the scene in 1893, travelled in succeeding years about the</w:t></w:r>
</w:p>
<w:p>
<w:pPr><w:pStyle w:val="Normal"/></w:pPr>
<w:r><w:t xml:space="preserve">island picking up trifles of unconsidered evidence, which</w:t></w:r>
</w:p>
<w:p>
<w:pPr><w:pStyle w:val="Normal"/></w:pPr>
<w:r><w:t xml:space="preserve">gradually convinced him that greater things would eventually be</w:t></w:r>
</w:p>
<w:p>
<w:pPr><w:pStyle w:val="Normal"/></w:pPr>
<w:r><w:t xml:space="preserve">found.  He obtained enough to enable him to forecast the</w:t></w:r>
</w:p>
<w:p>
<w:pPr><w:pStyle w:val="Normal"/></w:pPr>
<w:r><w:t xml:space="preserve">discovery of written characters, till then not suspected in</w:t></w:r>
</w:p>
<w:p>
<w:pPr><w:pStyle w:val="Normal"/></w:pPr>
<w:r><w:t xml:space="preserve">Aegean civilization.  The revolution of 1897-98 opened the</w:t></w:r>
</w:p>
<w:p>
<w:pPr><w:pStyle w:val="Normal"/></w:pPr>
<w:r><w:t xml:space="preserve">door to wider knowledge, and much exploration has ensued,</w:t></w:r>
</w:p>
<w:p>
<w:pPr><w:pStyle w:val="Normal"/></w:pPr>
<w:r><w:t xml:space="preserve">for which see CRETE. Thus the ``Aegean Area&apos;&apos; has now come</w:t></w:r>
</w:p>
<w:p>
<w:pPr><w:pStyle w:val="Normal"/></w:pPr>
<w:r><w:t xml:space="preserve">to mean the Archipelago with Crete and Cyprus, the Hellenic</w:t></w:r>
</w:p>
<w:p>
<w:pPr><w:pStyle w:val="Normal"/></w:pPr>
<w:r><w:t xml:space="preserve">peninsula with the Ionian isles, and Western Anatolic.</w:t></w:r>
</w:p>
<w:p>
<w:pPr><w:pStyle w:val="Normal"/></w:pPr>
<w:r><w:t xml:space="preserve">Evidence is still wanting for the Macedonian and Thracian</w:t></w:r>
</w:p>
<w:p>
<w:pPr><w:pStyle w:val="Normal"/></w:pPr>
<w:r><w:t xml:space="preserve">coasts.  Offshoots are found in the W. Mediterranean, in</w:t></w:r>
</w:p>
<w:p>
<w:pPr><w:pStyle w:val="Normal"/></w:pPr>
<w:r><w:t xml:space="preserve">Sicily, Italy, Sardinia and Spain, and in the E. in Syria and</w:t></w:r>
</w:p>
<w:p>
<w:pPr><w:pStyle w:val="Normal"/></w:pPr>
<w:r><w:t xml:space="preserve">Egypt.  About the Cyrenaica we are still insufficiently informed.</w:t></w:r>
</w:p>
<w:p>
<w:pPr><w:pStyle w:val="Heading1"/></w:pPr>
<w:r><w:t>II. General Nature of the Evidence.---For details of</w:t></w:r>
</w:p>
<w:p>
<w:pPr><w:pStyle w:val="Normal"/></w:pPr>
<w:r><w:t xml:space="preserve">monumental evidence the articles on CRETE, MYCENAE,</w:t></w:r>
</w:p>
<w:p>
<w:pPr><w:pStyle w:val="Normal"/></w:pPr>
<w:r><w:t xml:space="preserve">TIRYNS, TROAD, CYPRUS, &amp;c., must be consulted.  The</w:t></w:r>
</w:p>
<w:p>
<w:pPr><w:pStyle w:val="Normal"/></w:pPr>
<w:r><w:t xml:space="preserve">most representative site explored up to now is Cnossus (see</w:t></w:r>
</w:p>
<w:p>
<w:pPr><w:pStyle w:val="Normal"/></w:pPr>
<w:r><w:t xml:space="preserve">CRETE, sect. Archaeology), which has yielded not only</w:t></w:r>
</w:p>
<w:p>
<w:pPr><w:pStyle w:val="Normal"/></w:pPr>
<w:r><w:t xml:space="preserve">the most various but the most continuous evidence from the</w:t></w:r>
</w:p>
<w:p>
<w:pPr><w:pStyle w:val="Normal"/></w:pPr>
<w:r><w:t xml:space="preserve">Neolithic age to the twilight of classical civilization.</w:t></w:r>
</w:p>
<w:p>
<w:pPr><w:pStyle w:val="Normal"/></w:pPr>
<w:r><w:t xml:space="preserve">Next in importance come Hissarlik, Mycenae, Phaestus,</w:t></w:r>
</w:p>
<w:p>
<w:pPr><w:pStyle w:val="Normal"/></w:pPr>
<w:r><w:t xml:space="preserve">Hagia, Triada, Tiryns, Phylakope, Palaikastro and Gournia.</w:t></w:r>
</w:p>
<w:p>
<w:pPr><w:pStyle w:val="Normal"/></w:pPr>
<w:r><w:t xml:space="preserve">A. The internal evidence at present available comprises--</w:t></w:r>
</w:p>
<w:p>
<w:pPr><w:pStyle w:val="Normal"/></w:pPr>
<w:r><w:t xml:space="preserve">Structures.---Ruins of palaces, palatial villas, houses,</w:t></w:r>
</w:p>
<w:p>
<w:pPr><w:pStyle w:val="Normal"/></w:pPr>
<w:r><w:t xml:space="preserve">built dome- or cist-graves and fortifications (Aegean isles,</w:t></w:r>
</w:p>
<w:p>
<w:pPr><w:pStyle w:val="Normal"/></w:pPr>
<w:r><w:t xml:space="preserve">Greek mainland and N.W. Anatolia), but not distinct temples;</w:t></w:r>
</w:p>
<w:p>
<w:pPr><w:pStyle w:val="Normal"/></w:pPr>
<w:r><w:t xml:space="preserve">small shrines, however, and temene (religious enclosures,</w:t></w:r>
</w:p>
<w:p>
<w:pPr><w:pStyle w:val="Normal"/></w:pPr>
<w:r><w:t xml:space="preserve">remains or one of which were probably found at Petsofa</w:t></w:r>
</w:p>
<w:p>
<w:pPr><w:pStyle w:val="Normal"/></w:pPr>
<w:r><w:t xml:space="preserve">near Palaikastro by J. L. Myres in 1904) are represented</w:t></w:r>
</w:p>
<w:p>
<w:pPr><w:pStyle w:val="Normal"/></w:pPr>
<w:r><w:t xml:space="preserve">on intaglios and frescoes.  From the sources and from</w:t></w:r>
</w:p>
<w:p>
<w:pPr><w:pStyle w:val="Normal"/></w:pPr>
<w:r><w:t xml:space="preserve">inlay-work we have also representations of palaces and houses.</w:t></w:r>
</w:p>
<w:p>
<w:pPr><w:pStyle w:val="Normal"/></w:pPr>
<w:r><w:t xml:space="preserve">(2) Structural Decoration.--Architectural features, such as</w:t></w:r>
</w:p>
<w:p>
<w:pPr><w:pStyle w:val="Normal"/></w:pPr>
<w:r><w:t xml:space="preserve">columns, friezes and various mouldings; mural decoration,</w:t></w:r>
</w:p>
<w:p>
<w:pPr><w:pStyle w:val="Normal"/></w:pPr>
<w:r><w:t xml:space="preserve">such as fresco-paintings, coloured reliefs and mosaic inlay.</w:t></w:r>
</w:p>
<w:p>
<w:pPr><w:pStyle w:val="Normal"/></w:pPr>
<w:r><w:t xml:space="preserve">(3) Furniture.--(a) Domestic, such as vessels of all</w:t></w:r>
</w:p>
<w:p>
<w:pPr><w:pStyle w:val="Normal"/></w:pPr>
<w:r><w:t xml:space="preserve">sorts and in many materials, from huge store-jars down to tiny</w:t></w:r>
</w:p>
<w:p>
<w:pPr><w:pStyle w:val="Normal"/></w:pPr>
<w:r><w:t xml:space="preserve">unguent-pots; culinary and other implements; thrones, seats,</w:t></w:r>
</w:p>
<w:p>
<w:pPr><w:pStyle w:val="Normal"/></w:pPr>
<w:r><w:t xml:space="preserve">tables, &amp;c., these all in stone or plastered terra-cotta. (b)</w:t></w:r>
</w:p>
<w:p>
<w:pPr><w:pStyle w:val="Normal"/></w:pPr>
<w:r><w:t xml:space="preserve">Sacred, such as models or actual examples of ritual objects;</w:t></w:r>
</w:p>
<w:p>
<w:pPr><w:pStyle w:val="Normal"/></w:pPr>
<w:r><w:t xml:space="preserve">of these we have also numerous pictorial representations.</w:t></w:r>
</w:p>
<w:p>
<w:pPr><w:pStyle w:val="Normal"/></w:pPr>
<w:r><w:t xml:space="preserve">(c) Funerary, e.g. coffins in painted terra-cotta.</w:t></w:r>
</w:p>
<w:p>
<w:pPr><w:pStyle w:val="Normal"/></w:pPr>
<w:r><w:t xml:space="preserve">(4) Artistic fabrics, e.g. plastic objects, carved in</w:t></w:r>
</w:p>
<w:p>
<w:pPr><w:pStyle w:val="Normal"/></w:pPr>
<w:r><w:t xml:space="preserve">stone or ivory, cast or beaten in metals (gold, silver,</w:t></w:r>
</w:p>
<w:p>
<w:pPr><w:pStyle w:val="Normal"/></w:pPr>
<w:r><w:t xml:space="preserve">copper and bronze), or modelled in clay, faience, paste,</w:t></w:r>
</w:p>
<w:p>
<w:pPr><w:pStyle w:val="Normal"/></w:pPr>
<w:r><w:t xml:space="preserve">&amp;c. Very little trace has yet been found of large free</w:t></w:r>
</w:p>
<w:p>
<w:pPr><w:pStyle w:val="Normal"/></w:pPr>
<w:r><w:t xml:space="preserve">sculpture, but many examples exist of sculptors&apos; smaller</w:t></w:r>
</w:p>
<w:p>
<w:pPr><w:pStyle w:val="Normal"/></w:pPr>
<w:r><w:t xml:space="preserve">work.  Vases of all kinds, carved in marble or other stones,</w:t></w:r>
</w:p>
<w:p>
<w:pPr><w:pStyle w:val="Normal"/></w:pPr>
<w:r><w:t xml:space="preserve">cast or beaten in metals or fashioned in clay, the latter in</w:t></w:r>
</w:p>
<w:p>
<w:pPr><w:pStyle w:val="Normal"/></w:pPr>
<w:r><w:t xml:space="preserve">enormous number and variety, richly ornamented with coloured</w:t></w:r>
</w:p>
<w:p>
<w:pPr><w:pStyle w:val="Normal"/></w:pPr>
<w:r><w:t xml:space="preserve">schemes, and sometimes bearing moulded decoration.  Examples</w:t></w:r>
</w:p>
<w:p>
<w:pPr><w:pStyle w:val="Normal"/></w:pPr>
<w:r><w:t xml:space="preserve">of painting on stone, opaque and transparent.  Engraved</w:t></w:r>
</w:p>
<w:p>
<w:pPr><w:pStyle w:val="Normal"/></w:pPr>
<w:r><w:t xml:space="preserve">objects in great numberr e.g. ring-bezels and gems; and</w:t></w:r>
</w:p>
<w:p>
<w:pPr><w:pStyle w:val="Normal"/></w:pPr>
<w:r><w:t xml:space="preserve">an immense quantity of clay impressions, taken from these.</w:t></w:r>
</w:p>
<w:p>
<w:pPr><w:pStyle w:val="Normal"/></w:pPr>
<w:r><w:t xml:space="preserve">(5) Weapons, tools and implements, in stone, clay and</w:t></w:r>
</w:p>
<w:p>
<w:pPr><w:pStyle w:val="Normal"/></w:pPr>
<w:r><w:t xml:space="preserve">bronze, and at the last iron, sometimes richly ornamented or</w:t></w:r>
</w:p>
<w:p>
<w:pPr><w:pStyle w:val="Normal"/></w:pPr>
<w:r><w:t xml:space="preserve">inlaid.  Numerous representations also of the same.  No actual</w:t></w:r>
</w:p>
<w:p>
<w:pPr><w:pStyle w:val="Normal"/></w:pPr>
<w:r><w:t xml:space="preserve">body-armour, except such as was ceremonial and buried with the</w:t></w:r>
</w:p>
<w:p>
<w:pPr><w:pStyle w:val="Normal"/></w:pPr>
<w:r><w:t xml:space="preserve">dead, like the gold breastplates in the circle-graves at Mycenae.</w:t></w:r>
</w:p>
<w:p>
<w:pPr><w:pStyle w:val="Normal"/></w:pPr>
<w:r><w:t xml:space="preserve">(6) Articles of personal use, e.g. brooches efbulae), pins,</w:t></w:r>
</w:p>
<w:p>
<w:pPr><w:pStyle w:val="Normal"/></w:pPr>
<w:r><w:t xml:space="preserve">razors, tweezers, &amp;c., often found as dedications to a deity,</w:t></w:r>
</w:p>
<w:p>
<w:pPr><w:pStyle w:val="Normal"/></w:pPr>
<w:r><w:t xml:space="preserve">e.g. in the Dictaean Cavern of Crete.  No textiles have survived.</w:t></w:r>
</w:p>
<w:p>
<w:pPr><w:pStyle w:val="Normal"/></w:pPr>
<w:r><w:t xml:space="preserve">(7) Written documents, e.g. clay tablets and discs (so far in</w:t></w:r>
</w:p>
<w:p>
<w:pPr><w:pStyle w:val="Normal"/></w:pPr>
<w:r><w:t xml:space="preserve">Crete only), but nothing of more perishable nature, such as skin,</w:t></w:r>
</w:p>
<w:p>
<w:pPr><w:pStyle w:val="Normal"/></w:pPr>
<w:r><w:t xml:space="preserve">papyrus, &amp;c.; engraved gems and gem impressions; legends written</w:t></w:r>
</w:p>
<w:p>
<w:pPr><w:pStyle w:val="Normal"/></w:pPr>
<w:r><w:t xml:space="preserve">with pigment on pottery (rare); characters incised on stone or</w:t></w:r>
</w:p>
<w:p>
<w:pPr><w:pStyle w:val="Normal"/></w:pPr>
<w:r><w:t xml:space="preserve">pottery.  These show two main systems of script (see CRETE).</w:t></w:r>
</w:p>
<w:p>
<w:pPr><w:pStyle w:val="Normal"/></w:pPr>
<w:r><w:t xml:space="preserve">(8) Excavated tombs, of either the pit or the grotto</w:t></w:r>
</w:p>
<w:p>
<w:pPr><w:pStyle w:val="Normal"/></w:pPr>
<w:r><w:t xml:space="preserve">kind, in which the dead were laid, together with</w:t></w:r>
</w:p>
<w:p>
<w:pPr><w:pStyle w:val="Normal"/></w:pPr>
<w:r><w:t xml:space="preserve">various objects of use and luxury, without cremation,</w:t></w:r>
</w:p>
<w:p>
<w:pPr><w:pStyle w:val="Normal"/></w:pPr>
<w:r><w:t xml:space="preserve">and in either coffins or loculi or simple wrappings.</w:t></w:r>
</w:p>
<w:p>
<w:pPr><w:pStyle w:val="Normal"/></w:pPr>
<w:r><w:t xml:space="preserve">(9) Public works, such as paved and stepped</w:t></w:r>
</w:p>
<w:p>
<w:pPr><w:pStyle w:val="Normal"/></w:pPr>
<w:r><w:t xml:space="preserve">roadways, bridges, systems of drainage, &amp;c.</w:t></w:r>
</w:p>
<w:p>
<w:pPr><w:pStyle w:val="Normal"/></w:pPr>
<w:r><w:t xml:space="preserve">B. There is also a certain amount of external evidence</w:t></w:r>
</w:p>
<w:p>
<w:pPr><w:pStyle w:val="Normal"/></w:pPr>
<w:r><w:t xml:space="preserve">to be gathered from--(1) Monuments and records of other</w:t></w:r>
</w:p>
<w:p>
<w:pPr><w:pStyle w:val="Normal"/></w:pPr>
<w:r><w:t xml:space="preserve">contemporary civilizations, e.g. representations of alien</w:t></w:r>
</w:p>
<w:p>
<w:pPr><w:pStyle w:val="Normal"/></w:pPr>
<w:r><w:t xml:space="preserve">peoples in Egyptian frescoes; imitation of Aegean fabrics</w:t></w:r>
</w:p>
<w:p>
<w:pPr><w:pStyle w:val="Normal"/></w:pPr>
<w:r><w:t xml:space="preserve">and style in non-Aegean lands; allusions to Mediterranean</w:t></w:r>
</w:p>
<w:p>
<w:pPr><w:pStyle w:val="Normal"/></w:pPr>
<w:r><w:t xml:space="preserve">peoples in Egyptian, Semitic or Babylonian records.</w:t></w:r>
</w:p>
<w:p>
<w:pPr><w:pStyle w:val="Normal"/></w:pPr>
<w:r><w:t xml:space="preserve">(2) Literary traditions of subsequent civilizations, especially</w:t></w:r>
</w:p>
<w:p>
<w:pPr><w:pStyle w:val="Normal"/></w:pPr>
<w:r><w:t xml:space="preserve">the Hellenic; such as, e.g., those embodied in the Homeric poems,</w:t></w:r>
</w:p>
<w:p>
<w:pPr><w:pStyle w:val="Normal"/></w:pPr>
<w:r><w:t xml:space="preserve">the legenda concerning Crete, Mycenae, &amp;c.; statements as to the</w:t></w:r>
</w:p>
<w:p>
<w:pPr><w:pStyle w:val="Normal"/></w:pPr>
<w:r><w:t xml:space="preserve">origin of gods, cults and so forth, transmitted to us by Hellenic</w:t></w:r>
</w:p>
<w:p>
<w:pPr><w:pStyle w:val="Normal"/></w:pPr>
<w:r><w:t xml:space="preserve">antiquarians such as Strabo, Pausanias, Diodorus Siculus, &amp;c.</w:t></w:r>
</w:p>
<w:p>
<w:pPr><w:pStyle w:val="Normal"/></w:pPr>
<w:r><w:t xml:space="preserve">(3) Traces of customs, creeds, rituals, &amp;c., in the</w:t></w:r>
</w:p>
<w:p>
<w:pPr><w:pStyle w:val="Normal"/></w:pPr>
<w:r><w:t xml:space="preserve">Aegean area at a later time, discordant with the</w:t></w:r>
</w:p>
<w:p>
<w:pPr><w:pStyle w:val="Normal"/></w:pPr>
<w:r><w:t xml:space="preserve">civilization in which they were practised and indicating</w:t></w:r>
</w:p>
<w:p>
<w:pPr><w:pStyle w:val="Normal"/></w:pPr>
<w:r><w:t xml:space="preserve">survival from earlier systems.  There are also possible</w:t></w:r>
</w:p>
<w:p>
<w:pPr><w:pStyle w:val="Normal"/></w:pPr>
<w:r><w:t xml:space="preserve">linguistic and even physical survivals to be considered.</w:t></w:r>
</w:p>
<w:p>
<w:pPr><w:pStyle w:val="Heading1"/></w:pPr>
<w:r><w:t>III General Features of Aegean Civalization.--The</w:t></w:r>
</w:p>
<w:p>
<w:pPr><w:pStyle w:val="Normal"/></w:pPr>
<w:r><w:t xml:space="preserve">leading features of Aegean civilization, as deduced</w:t></w:r>
</w:p>
<w:p>
<w:pPr><w:pStyle w:val="Normal"/></w:pPr>
<w:r><w:t xml:space="preserve">from the evidence, must be stated very briefly.</w:t></w:r>
</w:p>
<w:p>
<w:pPr><w:pStyle w:val="Normal"/></w:pPr>
<w:r><w:t xml:space="preserve">(1) Political Organisation.--The great Cretan palaces and</w:t></w:r>
</w:p>
<w:p>
<w:pPr><w:pStyle w:val="Normal"/></w:pPr>
<w:r><w:t xml:space="preserve">the fortified citadels of Mycenae, Tiryns and Hissarlik, each</w:t></w:r>
</w:p>
<w:p>
<w:pPr><w:pStyle w:val="Normal"/></w:pPr>
<w:r><w:t xml:space="preserve">containing little more than one great residence, and dominating</w:t></w:r>
</w:p>
<w:p>
<w:pPr><w:pStyle w:val="Normal"/></w:pPr>
<w:r><w:t xml:space="preserve">lower towns of meaner houses, point to monarchy at all</w:t></w:r>
</w:p>
<w:p>
<w:pPr><w:pStyle w:val="Normal"/></w:pPr>
<w:r><w:t xml:space="preserve">periods.  Independent local developments of art before the</w:t></w:r>
</w:p>
<w:p>
<w:pPr><w:pStyle w:val="Normal"/></w:pPr>
<w:r><w:t xml:space="preserve">middle of the 2nd millennium B.C. suggest the early existence</w:t></w:r>
</w:p>
<w:p>
<w:pPr><w:pStyle w:val="Normal"/></w:pPr>
<w:r><w:t xml:space="preserve">of independent units in various parts, of which the strongest</w:t></w:r>
</w:p>
<w:p>
<w:pPr><w:pStyle w:val="Normal"/></w:pPr>
<w:r><w:t xml:space="preserve">was the Cnossian.  After that date the evidence goes strongly</w:t></w:r>
</w:p>
<w:p>
<w:pPr><w:pStyle w:val="Normal"/></w:pPr>
<w:r><w:t xml:space="preserve">to show that one political dominion was spread for a brief</w:t></w:r>
</w:p>
<w:p>
<w:pPr><w:pStyle w:val="Normal"/></w:pPr>
<w:r><w:t xml:space="preserve">period, or for two brief periods, over almost all the area (see</w:t></w:r>
</w:p>
<w:p>
<w:pPr><w:pStyle w:val="Normal"/></w:pPr>
<w:r><w:t xml:space="preserve">later).  The great number of tribute-tallies found at Cnossus</w:t></w:r>
</w:p>
<w:p>
<w:pPr><w:pStyle w:val="Normal"/></w:pPr>
<w:r><w:t xml:space="preserve">perhaps indicates that the Centre of power was always there.</w:t></w:r>
</w:p>
<w:p>
<w:pPr><w:pStyle w:val="Normal"/></w:pPr>
<w:r><w:t xml:space="preserve">(2) Religion.--The fact that shrines have so far been found</w:t></w:r>
</w:p>
<w:p>
<w:pPr><w:pStyle w:val="Normal"/></w:pPr>
<w:r><w:t xml:space="preserve">within palaces and not certainly anywhere else indicates that</w:t></w:r>
</w:p>
<w:p>
<w:pPr><w:pStyle w:val="Normal"/></w:pPr>
<w:r><w:t xml:space="preserve">the kings kept religious power in their own hands; perhaps they</w:t></w:r>
</w:p>
<w:p>
<w:pPr><w:pStyle w:val="Normal"/></w:pPr>
<w:r><w:t xml:space="preserve">were themselves high-priests.  Religion in the area seems to</w:t></w:r>
</w:p>
<w:p>
<w:pPr><w:pStyle w:val="Normal"/></w:pPr>
<w:r><w:t xml:space="preserve">have been essentially the same everywhere from the earliest</w:t></w:r>
</w:p>
<w:p>
<w:pPr><w:pStyle w:val="Normal"/></w:pPr>
<w:r><w:t xml:space="preserve">period, viz. the cult of a Divine Principle, resident in</w:t></w:r>
</w:p>
<w:p>
<w:pPr><w:pStyle w:val="Normal"/></w:pPr>
<w:r><w:t xml:space="preserve">dominant features of nature (sun, stars, mountains, trees,</w:t></w:r>
</w:p>
<w:p>
<w:pPr><w:pStyle w:val="Normal"/></w:pPr>
<w:r><w:t xml:space="preserve">&amp;c.) and controlling fertility.  This cult passed through</w:t></w:r>
</w:p>
<w:p>
<w:pPr><w:pStyle w:val="Normal"/></w:pPr>
<w:r><w:t xml:space="preserve">an aniconic stage, from which fetishes survived to the</w:t></w:r>
</w:p>
<w:p>
<w:pPr><w:pStyle w:val="Normal"/></w:pPr>
<w:r><w:t xml:space="preserve">last, these being rocks or pillars, trees, weapons (e.g.</w:t></w:r>
</w:p>
<w:p>
<w:pPr><w:pStyle w:val="Normal"/></w:pPr>
<w:r><w:t xml:space="preserve">bipennis, or double war-axe, shield), etc.  When the iconic</w:t></w:r>
</w:p>
<w:p>
<w:pPr><w:pStyle w:val="Normal"/></w:pPr>
<w:r><w:t xml:space="preserve">stage was reached, about 2000 B.C., we find the Divine Spirit</w:t></w:r>
</w:p>
<w:p>
<w:pPr><w:pStyle w:val="Normal"/></w:pPr>
<w:r><w:t xml:space="preserve">represented as a goddess with a subordinate young god, as</w:t></w:r>
</w:p>
<w:p>
<w:pPr><w:pStyle w:val="Normal"/></w:pPr>
<w:r><w:t xml:space="preserve">in many other E. Mediterranean lands.  The god was probably</w:t></w:r>
</w:p>
<w:p>
<w:pPr><w:pStyle w:val="Normal"/></w:pPr>
<w:r><w:t xml:space="preserve">son and mate of the goddess, and the divine pair represented</w:t></w:r>
</w:p>
<w:p>
<w:pPr><w:pStyle w:val="Normal"/></w:pPr>
<w:r><w:t xml:space="preserve">the genius of Reproductive Fertility in its relations with</w:t></w:r>
</w:p>
<w:p>
<w:pPr><w:pStyle w:val="Normal"/></w:pPr>
<w:r><w:t xml:space="preserve">humanity.  The goddess sometimes appears with doves, as</w:t></w:r>
</w:p>
<w:p>
<w:pPr><w:pStyle w:val="Normal"/></w:pPr>
<w:r><w:t xml:space="preserve">uranic, at others with snakes, as chthonic.  In the ritual</w:t></w:r>
</w:p>
<w:p>
<w:pPr><w:pStyle w:val="Normal"/></w:pPr>
<w:r><w:t xml:space="preserve">fetishes, often of miniature form, played a great part:</w:t></w:r>
</w:p>
<w:p>
<w:pPr><w:pStyle w:val="Normal"/></w:pPr>
<w:r><w:t xml:space="preserve">all sorts of plants and animals were sacred: sacrifice (not</w:t></w:r>
</w:p>
<w:p>
<w:pPr><w:pStyle w:val="Normal"/></w:pPr>
<w:r><w:t xml:space="preserve">burnt, and human very doubtful), dedication of all sorts of</w:t></w:r>
</w:p>
<w:p>
<w:pPr><w:pStyle w:val="Normal"/></w:pPr>
<w:r><w:t xml:space="preserve">offerings and simulacra, invocation, &amp;c., were practised.</w:t></w:r>
</w:p>
<w:p>
<w:pPr><w:pStyle w:val="Normal"/></w:pPr>
<w:r><w:t xml:space="preserve">The dead, who returned to the Great Mother, were objects</w:t></w:r>
</w:p>
<w:p>
<w:pPr><w:pStyle w:val="Normal"/></w:pPr>
<w:r><w:t xml:space="preserve">of a sort of hero-worship.  This early nature-cult explains</w:t></w:r>
</w:p>
<w:p>
<w:pPr><w:pStyle w:val="Normal"/></w:pPr>
<w:r><w:t xml:space="preserve">many anomalous features of Hellenic religion, especially</w:t></w:r>
</w:p>
<w:p>
<w:pPr><w:pStyle w:val="Normal"/></w:pPr>
<w:r><w:t xml:space="preserve">in the cults of Artemis and Aphrodite. (See CRETE.)</w:t></w:r>
</w:p>
<w:p>
<w:pPr><w:pStyle w:val="Normal"/></w:pPr>
<w:r><w:t xml:space="preserve">(3) Social Organization.---There is a possibility that</w:t></w:r>
</w:p>
<w:p>
<w:pPr><w:pStyle w:val="Normal"/></w:pPr>
<w:r><w:t xml:space="preserve">features of a primeval matriarchate long survived; but</w:t></w:r>
</w:p>
<w:p>
<w:pPr><w:pStyle w:val="Normal"/></w:pPr>
<w:r><w:t xml:space="preserve">there is no certain evidence.  Of the organization of the</w:t></w:r>
</w:p>
<w:p>
<w:pPr><w:pStyle w:val="Normal"/></w:pPr>
<w:r><w:t xml:space="preserve">people under the monarch we are ignorant.  There are so few</w:t></w:r>
</w:p>
<w:p>
<w:pPr><w:pStyle w:val="Normal"/></w:pPr>
<w:r><w:t xml:space="preserve">representations of armed men that it seems doubtful if there</w:t></w:r>
</w:p>
<w:p>
<w:pPr><w:pStyle w:val="Normal"/></w:pPr>
<w:r><w:t xml:space="preserve">can have been any professional military Class.  Theatral</w:t></w:r>
</w:p>
<w:p>
<w:pPr><w:pStyle w:val="Normal"/></w:pPr>
<w:r><w:t xml:space="preserve">structures found at Cnossus and Phaestus, within the precincts</w:t></w:r>
</w:p>
<w:p>
<w:pPr><w:pStyle w:val="Normal"/></w:pPr>
<w:r><w:t xml:space="preserve">of the palaces, were perhaps used for shows or for sittings</w:t></w:r>
</w:p>
<w:p>
<w:pPr><w:pStyle w:val="Normal"/></w:pPr>
<w:r><w:t xml:space="preserve">of a royal assize, rather than for popular assemblies.  The</w:t></w:r>
</w:p>
<w:p>
<w:pPr><w:pStyle w:val="Normal"/></w:pPr>
<w:r><w:t xml:space="preserve">Cnossian remains contain evidence of an elaborate system of</w:t></w:r>
</w:p>
<w:p>
<w:pPr><w:pStyle w:val="Normal"/></w:pPr>
<w:r><w:t xml:space="preserve">registration, account-keeping and other secretarial work, which</w:t></w:r>
</w:p>
<w:p>
<w:pPr><w:pStyle w:val="Normal"/></w:pPr>
<w:r><w:t xml:space="preserve">perhaps indicates a considerable body of law.  The line of</w:t></w:r>
</w:p>
<w:p>
<w:pPr><w:pStyle w:val="Normal"/></w:pPr>
<w:r><w:t xml:space="preserve">the ruling class was comfortable and even luxurious from early</w:t></w:r>
</w:p>
<w:p>
<w:pPr><w:pStyle w:val="Normal"/></w:pPr>
<w:r><w:t xml:space="preserve">times.  Fine stone palaces, richly decorated, with separate</w:t></w:r>
</w:p>
<w:p>
<w:pPr><w:pStyle w:val="Normal"/></w:pPr>
<w:r><w:t xml:space="preserve">sleeping apartments, large halls, ingenious devices for admitting</w:t></w:r>
</w:p>
<w:p>
<w:pPr><w:pStyle w:val="Normal"/></w:pPr>
<w:r><w:t xml:space="preserve">light and air, sanitary conveniences and marvellously modern</w:t></w:r>
</w:p>
<w:p>
<w:pPr><w:pStyle w:val="Normal"/></w:pPr>
<w:r><w:t xml:space="preserve">arrangements for supply of water and for drainage, attest this</w:t></w:r>
</w:p>
<w:p>
<w:pPr><w:pStyle w:val="Normal"/></w:pPr>
<w:r><w:t xml:space="preserve">fact.  Even the smaller houses, after the Neolithic period,</w:t></w:r>
</w:p>
<w:p>
<w:pPr><w:pStyle w:val="Normal"/></w:pPr>
<w:r><w:t xml:space="preserve">seem also to have been of stone, plastered within.  After</w:t></w:r>
</w:p>
<w:p>
<w:pPr><w:pStyle w:val="Normal"/></w:pPr>
<w:r><w:t xml:space="preserve">1600 B.C. the palaces in Crete had more than one story, fine</w:t></w:r>
</w:p>
<w:p>
<w:pPr><w:pStyle w:val="Normal"/></w:pPr>
<w:r><w:t xml:space="preserve">stairways, bath-chambers, windows, folding and sliding doors,</w:t></w:r>
</w:p>
<w:p>
<w:pPr><w:pStyle w:val="Normal"/></w:pPr>
<w:r><w:t xml:space="preserve">&amp;c. In this later period, the distinction of blocks of apartments</w:t></w:r>
</w:p>
<w:p>
<w:pPr><w:pStyle w:val="Normal"/></w:pPr>
<w:r><w:t xml:space="preserve">in some palaces has been held to indicate the seclusion of</w:t></w:r>
</w:p>
<w:p>
<w:pPr><w:pStyle w:val="Normal"/></w:pPr>
<w:r><w:t xml:space="preserve">women in harems, at least among the ruling caste.  Cnossian</w:t></w:r>
</w:p>
<w:p>
<w:pPr><w:pStyle w:val="Normal"/></w:pPr>
<w:r><w:t xml:space="preserve">frescoes show women grouped apart, and they appear alone on</w:t></w:r>
</w:p>
<w:p>
<w:pPr><w:pStyle w:val="Normal"/></w:pPr>
<w:r><w:t xml:space="preserve">gems.  Flesh and fish and many kinds of vegetables were evidently</w:t></w:r>
</w:p>
<w:p>
<w:pPr><w:pStyle w:val="Normal"/></w:pPr>
<w:r><w:t xml:space="preserve">eaten, and wine and beer were drunk.  Vessels for culinary,</w:t></w:r>
</w:p>
<w:p>
<w:pPr><w:pStyle w:val="Normal"/></w:pPr>
<w:r><w:t xml:space="preserve">table, and luxurious uses show an infinite variety of form and</w:t></w:r>
</w:p>
<w:p>
<w:pPr><w:pStyle w:val="Normal"/></w:pPr>
<w:r><w:t xml:space="preserve">purpose.  Artificers&apos; implements of many kinds were in</w:t></w:r>
</w:p>
<w:p>
<w:pPr><w:pStyle w:val="Normal"/></w:pPr>
<w:r><w:t xml:space="preserve">use, bronze succeeding obsidian and other hard stones as the</w:t></w:r>
</w:p>
<w:p>
<w:pPr><w:pStyle w:val="Normal"/></w:pPr>
<w:r><w:t xml:space="preserve">material.  Seats are found carefully shaped to the human</w:t></w:r>
</w:p>
<w:p>
<w:pPr><w:pStyle w:val="Normal"/></w:pPr>
<w:r><w:t xml:space="preserve">person.  There was evidently olive- and vine-culture on a</w:t></w:r>
</w:p>
<w:p>
<w:pPr><w:pStyle w:val="Normal"/></w:pPr>
<w:r><w:t xml:space="preserve">large scale in Crete at any rate.  Chariots were in use in the</w:t></w:r>
</w:p>
<w:p>
<w:pPr><w:pStyle w:val="Normal"/></w:pPr>
<w:r><w:t xml:space="preserve">later period, as is proved by the pictures of them on Cretan</w:t></w:r>
</w:p>
<w:p>
<w:pPr><w:pStyle w:val="Normal"/></w:pPr>
<w:r><w:t xml:space="preserve">tablets, and therefore, probably, the horse also was known.</w:t></w:r>
</w:p>
<w:p>
<w:pPr><w:pStyle w:val="Normal"/></w:pPr>
<w:r><w:t xml:space="preserve">Indeed a horse appears on a gem impression.  Main ways were</w:t></w:r>
</w:p>
<w:p>
<w:pPr><w:pStyle w:val="Normal"/></w:pPr>
<w:r><w:t xml:space="preserve">paved.  Sports, probably more or less religious, are often</w:t></w:r>
</w:p>
<w:p>
<w:pPr><w:pStyle w:val="Normal"/></w:pPr>
<w:r><w:t xml:space="preserve">represented, e.g. bullfighting, dancing, boxing, armed combats.</w:t></w:r>
</w:p>
<w:p>
<w:pPr><w:pStyle w:val="Normal"/></w:pPr>
<w:r><w:t xml:space="preserve">(4) Commerce was practised to some extent in very early</w:t></w:r>
</w:p>
<w:p>
<w:pPr><w:pStyle w:val="Normal"/></w:pPr>
<w:r><w:t xml:space="preserve">times, as is proved by the distribution of Melian obsidian</w:t></w:r>
</w:p>
<w:p>
<w:pPr><w:pStyle w:val="Normal"/></w:pPr>
<w:r><w:t xml:space="preserve">over all the Aegean area and by the Nilotic influence on early</w:t></w:r>
</w:p>
<w:p>
<w:pPr><w:pStyle w:val="Normal"/></w:pPr>
<w:r><w:t xml:space="preserve">Minoan art.  We find Cretan vessels exported to Melos, Egypt</w:t></w:r>
</w:p>
<w:p>
<w:pPr><w:pStyle w:val="Normal"/></w:pPr>
<w:r><w:t xml:space="preserve">and the Greek mainland.  Melian vases came in their turn to</w:t></w:r>
</w:p>
<w:p>
<w:pPr><w:pStyle w:val="Normal"/></w:pPr>
<w:r><w:t xml:space="preserve">Crete.  After 1600 B.C. there is very close intercourse with</w:t></w:r>
</w:p>
<w:p>
<w:pPr><w:pStyle w:val="Normal"/></w:pPr>
<w:r><w:t xml:space="preserve">Egypt, and Aegean things hnd their way to all coasts of the</w:t></w:r>
</w:p>
<w:p>
<w:pPr><w:pStyle w:val="Normal"/></w:pPr>
<w:r><w:t xml:space="preserve">Mediterranean (see below).  No traces of currency have come</w:t></w:r>
</w:p>
<w:p>
<w:pPr><w:pStyle w:val="Normal"/></w:pPr>
<w:r><w:t xml:space="preserve">to light, unless certain axeheads, too slight for practical</w:t></w:r>
</w:p>
<w:p>
<w:pPr><w:pStyle w:val="Normal"/></w:pPr>
<w:r><w:t xml:space="preserve">use, had that character; but standard weights have been</w:t></w:r>
</w:p>
<w:p>
<w:pPr><w:pStyle w:val="Normal"/></w:pPr>
<w:r><w:t xml:space="preserve">found, and representations of ingots.  The Aegean written</w:t></w:r>
</w:p>
<w:p>
<w:pPr><w:pStyle w:val="Normal"/></w:pPr>
<w:r><w:t xml:space="preserve">documents have not yet proved (by being found outside the area)</w:t></w:r>
</w:p>
<w:p>
<w:pPr><w:pStyle w:val="Normal"/></w:pPr>
<w:r><w:t xml:space="preserve">epistolary correspondence with other lands.  Representations</w:t></w:r>
</w:p>
<w:p>
<w:pPr><w:pStyle w:val="Normal"/></w:pPr>
<w:r><w:t xml:space="preserve">of ships are not common, but several have been observed</w:t></w:r>
</w:p>
<w:p>
<w:pPr><w:pStyle w:val="Normal"/></w:pPr>
<w:r><w:t xml:space="preserve">on Aegean gems, gem-sealings and vases.  They are vessels</w:t></w:r>
</w:p>
<w:p>
<w:pPr><w:pStyle w:val="Normal"/></w:pPr>
<w:r><w:t xml:space="preserve">of low free-board, with masts.  Familiarity with the sea</w:t></w:r>
</w:p>
<w:p>
<w:pPr><w:pStyle w:val="Normal"/></w:pPr>
<w:r><w:t xml:space="preserve">is proved by the free use of marine motives in decoration.</w:t></w:r>
</w:p>
<w:p>
<w:pPr><w:pStyle w:val="Normal"/></w:pPr>
<w:r><w:t xml:space="preserve">(5) Treatment or the Dead.--The dead in the earlier</w:t></w:r>
</w:p>
<w:p>
<w:pPr><w:pStyle w:val="Normal"/></w:pPr>
<w:r><w:t xml:space="preserve">period wore laid (so far as we know at present) within cists</w:t></w:r>
</w:p>
<w:p>
<w:pPr><w:pStyle w:val="Normal"/></w:pPr>
<w:r><w:t xml:space="preserve">constructed of upright stones.  These were sometimes inside</w:t></w:r>
</w:p>
<w:p>
<w:pPr><w:pStyle w:val="Normal"/></w:pPr>
<w:r><w:t xml:space="preserve">caves.  After the burial the cist was covered in with earth.</w:t></w:r>
</w:p>
<w:p>
<w:pPr><w:pStyle w:val="Normal"/></w:pPr>
<w:r><w:t xml:space="preserve">A little later, in Crete, bone-pits seem to have come into</w:t></w:r>
</w:p>
<w:p>
<w:pPr><w:pStyle w:val="Normal"/></w:pPr>
<w:r><w:t xml:space="preserve">use, containing the remains of many burials.  Possibly the</w:t></w:r>
</w:p>
<w:p>
<w:pPr><w:pStyle w:val="Normal"/></w:pPr>
<w:r><w:t xml:space="preserve">flesh was boiled off the bones at once (``scarification&apos;&apos;), or</w:t></w:r>
</w:p>
<w:p>
<w:pPr><w:pStyle w:val="Normal"/></w:pPr>
<w:r><w:t xml:space="preserve">left to rot in separate cists awhile; afterwards the skeletons</w:t></w:r>
</w:p>
<w:p>
<w:pPr><w:pStyle w:val="Normal"/></w:pPr>
<w:r><w:t xml:space="preserve">were collected and the cists re-used.  The coffins are of small</w:t></w:r>
</w:p>
<w:p>
<w:pPr><w:pStyle w:val="Normal"/></w:pPr>
<w:r><w:t xml:space="preserve">size, contain corpses with the knees drawn up to the chin and</w:t></w:r>
</w:p>
<w:p>
<w:pPr><w:pStyle w:val="Normal"/></w:pPr>
<w:r><w:t xml:space="preserve">are found in excavated chambers or pits.  In the later period</w:t></w:r>
</w:p>
<w:p>
<w:pPr><w:pStyle w:val="Normal"/></w:pPr>
<w:r><w:t xml:space="preserve">a peculiar ``bee-hive&apos;&apos; tomb became common, sometimes wholly</w:t></w:r>
</w:p>
<w:p>
<w:pPr><w:pStyle w:val="Normal"/></w:pPr>
<w:r><w:t xml:space="preserve">or partly excavated, sometimes (as in the magnificent Mycenaean</w:t></w:r>
</w:p>
<w:p>
<w:pPr><w:pStyle w:val="Normal"/></w:pPr>
<w:r><w:t xml:space="preserve">``Treasuries&apos;&apos;) constructed domewise.  The shaft-graves</w:t></w:r>
</w:p>
<w:p>
<w:pPr><w:pStyle w:val="Normal"/></w:pPr>
<w:r><w:t xml:space="preserve">in the Mycenae circle are also a late type, paralleled in</w:t></w:r>
</w:p>
<w:p>
<w:pPr><w:pStyle w:val="Normal"/></w:pPr>
<w:r><w:t xml:space="preserve">the later Cnossian cemetery.  The latest type of tomb is a</w:t></w:r>
</w:p>
<w:p>
<w:pPr><w:pStyle w:val="Normal"/></w:pPr>
<w:r><w:t xml:space="preserve">flatly vaulted chamber approached by a horizontal or slightly</w:t></w:r>
</w:p>
<w:p>
<w:pPr><w:pStyle w:val="Normal"/></w:pPr>
<w:r><w:t xml:space="preserve">inclined way, whose sides converge above.  At no period do the</w:t></w:r>
</w:p>
<w:p>
<w:pPr><w:pStyle w:val="Normal"/></w:pPr>
<w:r><w:t xml:space="preserve">Aegean dead seem to have been burned.  Weapons, food, water,</w:t></w:r>
</w:p>
<w:p>
<w:pPr><w:pStyle w:val="Normal"/></w:pPr>
<w:r><w:t xml:space="preserve">unguents and various trinkets were laid with the corpse at all</w:t></w:r>
</w:p>
<w:p>
<w:pPr><w:pStyle w:val="Normal"/></w:pPr>
<w:r><w:t xml:space="preserve">periods.  In the Mycenae circle an altar seems to have been</w:t></w:r>
</w:p>
<w:p>
<w:pPr><w:pStyle w:val="Normal"/></w:pPr>
<w:r><w:t xml:space="preserve">erected over the graves, and perhaps slaves were killed to</w:t></w:r>
</w:p>
<w:p>
<w:pPr><w:pStyle w:val="Normal"/></w:pPr>
<w:r><w:t xml:space="preserve">bear the dead chiefs company.  A painted sarcophagus, found</w:t></w:r>
</w:p>
<w:p>
<w:pPr><w:pStyle w:val="Normal"/></w:pPr>
<w:r><w:t xml:space="preserve">at Hagia Triada, also possibly shows a hero-cult of the dead.</w:t></w:r>
</w:p>
<w:p>
<w:pPr><w:pStyle w:val="Normal"/></w:pPr>
<w:r><w:t xml:space="preserve">(6) Artistic Production.--Ceramic art reached a specially</w:t></w:r>
</w:p>
<w:p>
<w:pPr><w:pStyle w:val="Normal"/></w:pPr>
<w:r><w:t xml:space="preserve">high standard in fabric, form and decoration by the middle</w:t></w:r>
</w:p>
<w:p>
<w:pPr><w:pStyle w:val="Normal"/></w:pPr>
<w:r><w:t xml:space="preserve">of the 3rd millennium B.C. in Crete.  The products of</w:t></w:r>
</w:p>
<w:p>
<w:pPr><w:pStyle w:val="Normal"/></w:pPr>
<w:r><w:t xml:space="preserve">that period compare favourably with any potters&apos; work in the</w:t></w:r>
</w:p>
<w:p>
<w:pPr><w:pStyle w:val="Normal"/></w:pPr>
<w:r><w:t xml:space="preserve">world.  The same may be said of fresco-painting, and probably</w:t></w:r>
</w:p>
<w:p>
<w:pPr><w:pStyle w:val="Normal"/></w:pPr>
<w:r><w:t xml:space="preserve">of metal work.  Modelling in terra-cotta, sculpture in stone</w:t></w:r>
</w:p>
<w:p>
<w:pPr><w:pStyle w:val="Normal"/></w:pPr>
<w:r><w:t xml:space="preserve">and ivory, engraving on gems, were following it closely by</w:t></w:r>
</w:p>
<w:p>
<w:pPr><w:pStyle w:val="Normal"/></w:pPr>
<w:r><w:t xml:space="preserve">the beginning of the 2nd millennium.  After 2000 B.C. all</w:t></w:r>
</w:p>
<w:p>
<w:pPr><w:pStyle w:val="Normal"/></w:pPr>
<w:r><w:t xml:space="preserve">these arts revived, and sculpture, as evidenced by relief</w:t></w:r>
</w:p>
<w:p>
<w:pPr><w:pStyle w:val="Normal"/></w:pPr>
<w:r><w:t xml:space="preserve">work, both on a large and on a small scale, carved stone</w:t></w:r>
</w:p>
<w:p>
<w:pPr><w:pStyle w:val="Normal"/></w:pPr>
<w:r><w:t xml:space="preserve">vessels, metallurgy in gold, silver and bronze, advanced</w:t></w:r>
</w:p>
<w:p>
<w:pPr><w:pStyle w:val="Normal"/></w:pPr>
<w:r><w:t xml:space="preserve">farther.  This art and those of fresco- and vase-painting and</w:t></w:r>
</w:p>
<w:p>
<w:pPr><w:pStyle w:val="Normal"/></w:pPr>
<w:r><w:t xml:space="preserve">of gem-engraving stood higher about the 15th century B.C.</w:t></w:r>
</w:p>
<w:p>
<w:pPr><w:pStyle w:val="Normal"/></w:pPr>
<w:r><w:t xml:space="preserve">than at any subsequent period before the 6th century.  The</w:t></w:r>
</w:p>
<w:p>
<w:pPr><w:pStyle w:val="Normal"/></w:pPr>
<w:r><w:t xml:space="preserve">manufacture, modelling and painting of faience objects, and</w:t></w:r>
</w:p>
<w:p>
<w:pPr><w:pStyle w:val="Normal"/></w:pPr>
<w:r><w:t xml:space="preserve">the making of inlays in many materials were also familiar to</w:t></w:r>
</w:p>
<w:p>
<w:pPr><w:pStyle w:val="Normal"/></w:pPr>
<w:r><w:t xml:space="preserve">Aegean craftsmen, who show in all their best work a strong</w:t></w:r>
</w:p>
<w:p>
<w:pPr><w:pStyle w:val="Normal"/></w:pPr>
<w:r><w:t xml:space="preserve">sense of natural form and an appreciation of ideal balance and</w:t></w:r>
</w:p>
<w:p>
<w:pPr><w:pStyle w:val="Normal"/></w:pPr>
<w:r><w:t xml:space="preserve">decorative effect, such as are seen in the best products of</w:t></w:r>
</w:p>
<w:p>
<w:pPr><w:pStyle w:val="Normal"/></w:pPr>
<w:r><w:t xml:space="preserve">later Hellenic art.  Architectural ornament was also highly</w:t></w:r>
</w:p>
<w:p>
<w:pPr><w:pStyle w:val="Normal"/></w:pPr>
<w:r><w:t xml:space="preserve">developed.  The richness of the Aegean capitals and columns</w:t></w:r>
</w:p>
<w:p>
<w:pPr><w:pStyle w:val="Normal"/></w:pPr>
<w:r><w:t xml:space="preserve">may be judged by those from the ``Treasury of Atreus&apos;&apos; now</w:t></w:r>
</w:p>
<w:p>
<w:pPr><w:pStyle w:val="Normal"/></w:pPr>
<w:r><w:t xml:space="preserve">set up in the British Museum; and of the friezes we have</w:t></w:r>
</w:p>
<w:p>
<w:pPr><w:pStyle w:val="Normal"/></w:pPr>
<w:r><w:t xml:space="preserve">examples in Mycenaean and Cnossian fragments, and Cnossian</w:t></w:r>
</w:p>
<w:p>
<w:pPr><w:pStyle w:val="Normal"/></w:pPr>
<w:r><w:t xml:space="preserve">paintings.  The magnificent gold work of the later period,</w:t></w:r>
</w:p>
<w:p>
<w:pPr><w:pStyle w:val="Normal"/></w:pPr>
<w:r><w:t xml:space="preserve">preserved to us at Mycenae and Vaphio, needs only to be</w:t></w:r>
</w:p>
<w:p>
<w:pPr><w:pStyle w:val="Normal"/></w:pPr>
<w:r><w:t xml:space="preserve">mentioned.  It should be compared with stone work in Crete,</w:t></w:r>
</w:p>
<w:p>
<w:pPr><w:pStyle w:val="Normal"/></w:pPr>
<w:r><w:t xml:space="preserve">especially the steatite vases with reliefs found at Hagia</w:t></w:r>
</w:p>
<w:p>
<w:pPr><w:pStyle w:val="Normal"/></w:pPr>
<w:r><w:t xml:space="preserve">Triada.  On the whole, Aegean art, at its two great</w:t></w:r>
</w:p>
<w:p>
<w:pPr><w:pStyle w:val="Normal"/></w:pPr>
<w:r><w:t xml:space="preserve">periods, in the middle of the 3rd and 2nd millennia</w:t></w:r>
</w:p>
<w:p>
<w:pPr><w:pStyle w:val="Normal"/></w:pPr>
<w:r><w:t xml:space="preserve">respectively, will bear comparison with any contemporary arts.</w:t></w:r>
</w:p>
<w:p>
<w:pPr><w:pStyle w:val="Heading1"/></w:pPr>
<w:r><w:t>IV. Origin, Nature and History of Aegean Civilization.---The</w:t></w:r>
</w:p>
<w:p>
<w:pPr><w:pStyle w:val="Normal"/></w:pPr>
<w:r><w:t xml:space="preserve">evidence, summarized above, though very various and</w:t></w:r>
</w:p>
<w:p>
<w:pPr><w:pStyle w:val="Normal"/></w:pPr>
<w:r><w:t xml:space="preserve">voluminous, is not yet sufficient to answer all the</w:t></w:r>
</w:p>
<w:p>
<w:pPr><w:pStyle w:val="Normal"/></w:pPr>
<w:r><w:t xml:space="preserve">questions which may be asked as to the origin, nature</w:t></w:r>
</w:p>
<w:p>
<w:pPr><w:pStyle w:val="Normal"/></w:pPr>
<w:r><w:t xml:space="preserve">and history of this civilization, or to answer any but a</w:t></w:r>
</w:p>
<w:p>
<w:pPr><w:pStyle w:val="Normal"/></w:pPr>
<w:r><w:t xml:space="preserve">few questions with absolute certainty.  We shall try to</w:t></w:r>
</w:p>
<w:p>
<w:pPr><w:pStyle w:val="Normal"/></w:pPr>
<w:r><w:t xml:space="preserve">indicate the extent to which it can legitimately be applied.</w:t></w:r>
</w:p>
<w:p>
<w:pPr><w:pStyle w:val="Normal"/></w:pPr>
<w:r><w:t xml:space="preserve">A. Distinctive Features.---The fact that Aegean civilization</w:t></w:r>
</w:p>
<w:p>
<w:pPr><w:pStyle w:val="Normal"/></w:pPr>
<w:r><w:t xml:space="preserve">is distinguished from all others, prior or contemporary,</w:t></w:r>
</w:p>
<w:p>
<w:pPr><w:pStyle w:val="Normal"/></w:pPr>
<w:r><w:t xml:space="preserve">not only by its geographical area, but by leading organic</w:t></w:r>
</w:p>
<w:p>
<w:pPr><w:pStyle w:val="Normal"/></w:pPr>
<w:r><w:t xml:space="preserve">characteristics, has never been in doubt, since its remains</w:t></w:r>
</w:p>
<w:p>
<w:pPr><w:pStyle w:val="Normal"/></w:pPr>
<w:r><w:t xml:space="preserve">came to be studied seriously and impartially.  The truth</w:t></w:r>
</w:p>
<w:p>
<w:pPr><w:pStyle w:val="Normal"/></w:pPr>
<w:r><w:t xml:space="preserve">was indeed obscured for a time by persistent prejudices in</w:t></w:r>
</w:p>
<w:p>
<w:pPr><w:pStyle w:val="Normal"/></w:pPr>
<w:r><w:t xml:space="preserve">favour of certain alien Mediterranean races long known to</w:t></w:r>
</w:p>
<w:p>
<w:pPr><w:pStyle w:val="Normal"/></w:pPr>
<w:r><w:t xml:space="preserve">have been in relation with the Aegean area in prehistoric</w:t></w:r>
</w:p>
<w:p>
<w:pPr><w:pStyle w:val="Normal"/></w:pPr>
<w:r><w:t xml:space="preserve">times, e.g. the Egyptians and especially the Phoenicians.</w:t></w:r>
</w:p>
<w:p>
<w:pPr><w:pStyle w:val="Normal"/></w:pPr>
<w:r><w:t xml:space="preserve">But their claims to be the principal authors of the Aegean</w:t></w:r>
</w:p>
<w:p>
<w:pPr><w:pStyle w:val="Normal"/></w:pPr>
<w:r><w:t xml:space="preserve">remains grew fainter with every fresh Aegean discovery, and</w:t></w:r>
</w:p>
<w:p>
<w:pPr><w:pStyle w:val="Normal"/></w:pPr>
<w:r><w:t xml:space="preserve">every new light thrown on their own proper products; with the</w:t></w:r>
</w:p>
<w:p>
<w:pPr><w:pStyle w:val="Normal"/></w:pPr>
<w:r><w:t xml:space="preserve">Cretan revelations they ceased altogether to be considered</w:t></w:r>
</w:p>
<w:p>
<w:pPr><w:pStyle w:val="Normal"/></w:pPr>
<w:r><w:t xml:space="preserve">except by a few Homeric enthusiasts.  Briefly, we now know</w:t></w:r>
</w:p>
<w:p>
<w:pPr><w:pStyle w:val="Normal"/></w:pPr>
<w:r><w:t xml:space="preserve">that the Aegean civilization developed these distinctive</w:t></w:r>
</w:p>
<w:p>
<w:pPr><w:pStyle w:val="Normal"/></w:pPr>
<w:r><w:t xml:space="preserve">features. (i) An indigenous script expressed in characters</w:t></w:r>
</w:p>
<w:p>
<w:pPr><w:pStyle w:val="Normal"/></w:pPr>
<w:r><w:t xml:space="preserve">of which only a very small percentage are identical, or even</w:t></w:r>
</w:p>
<w:p>
<w:pPr><w:pStyle w:val="Normal"/></w:pPr>
<w:r><w:t xml:space="preserve">obviously connected, with those of any other script.  This is</w:t></w:r>
</w:p>
<w:p>
<w:pPr><w:pStyle w:val="Normal"/></w:pPr>
<w:r><w:t xml:space="preserve">equally true both of the pictographic and the linear Aegean</w:t></w:r>
</w:p>
<w:p>
<w:pPr><w:pStyle w:val="Normal"/></w:pPr>
<w:r><w:t xml:space="preserve">systems.  Its nearest affinities are with the ``Asianic&apos;&apos;</w:t></w:r>
</w:p>
<w:p>
<w:pPr><w:pStyle w:val="Normal"/></w:pPr>
<w:r><w:t xml:space="preserve">scripts, preserved to us by Hittite, Cypriote and south-west</w:t></w:r>
</w:p>
<w:p>
<w:pPr><w:pStyle w:val="Normal"/></w:pPr>
<w:r><w:t xml:space="preserve">Anatolian (Pamphyhan, Lycian and Carian) inscriptions.  But</w:t></w:r>
</w:p>
<w:p>
<w:pPr><w:pStyle w:val="Normal"/></w:pPr>
<w:r><w:t xml:space="preserve">neither are these affinities close enough to be of any practical</w:t></w:r>
</w:p>
<w:p>
<w:pPr><w:pStyle w:val="Normal"/></w:pPr>
<w:r><w:t xml:space="preserve">aid in deciphering Aegean characters, nor is it by any means</w:t></w:r>
</w:p>
<w:p>
<w:pPr><w:pStyle w:val="Normal"/></w:pPr>
<w:r><w:t xml:space="preserve">certain that there is parentage.  The Aegean script may be,</w:t></w:r>
</w:p>
<w:p>
<w:pPr><w:pStyle w:val="Normal"/></w:pPr>
<w:r><w:t xml:space="preserve">and probably is, prior in origin to the ``Asianic&apos;&apos;; and it</w:t></w:r>
</w:p>
<w:p>
<w:pPr><w:pStyle w:val="Normal"/></w:pPr>
<w:r><w:t xml:space="preserve">may equally well be owed to a remote common ancestor, or (the</w:t></w:r>
</w:p>
<w:p>
<w:pPr><w:pStyle w:val="Normal"/></w:pPr>
<w:r><w:t xml:space="preserve">small number of common characters being considered) be an</w:t></w:r>
</w:p>
<w:p>
<w:pPr><w:pStyle w:val="Normal"/></w:pPr>
<w:r><w:t xml:space="preserve">entirely independent evolution from representations of natural</w:t></w:r>
</w:p>
<w:p>
<w:pPr><w:pStyle w:val="Normal"/></w:pPr>
<w:r><w:t xml:space="preserve">objects (see CRETE). (2) An Art, whose products cannot</w:t></w:r>
</w:p>
<w:p>
<w:pPr><w:pStyle w:val="Normal"/></w:pPr>
<w:r><w:t xml:space="preserve">be confounded with those of any other known art by a trained</w:t></w:r>
</w:p>
<w:p>
<w:pPr><w:pStyle w:val="Normal"/></w:pPr>
<w:r><w:t xml:space="preserve">eye.  Its obligations to other contemporary arts are many and</w:t></w:r>
</w:p>
<w:p>
<w:pPr><w:pStyle w:val="Normal"/></w:pPr>
<w:r><w:t xml:space="preserve">obvious, especially in its later stages; but every borrowed</w:t></w:r>
</w:p>
<w:p>
<w:pPr><w:pStyle w:val="Normal"/></w:pPr>
<w:r><w:t xml:space="preserve">form and motive undergoes an essential modification at the</w:t></w:r>
</w:p>
<w:p>
<w:pPr><w:pStyle w:val="Normal"/></w:pPr>
<w:r><w:t xml:space="preserve">hands of the Aegean craftsman, and the product is stamped</w:t></w:r>
</w:p>
<w:p>
<w:pPr><w:pStyle w:val="Normal"/></w:pPr>
<w:r><w:t xml:space="preserve">with a new character.  The secret of this character lles</w:t></w:r>
</w:p>
<w:p>
<w:pPr><w:pStyle w:val="Normal"/></w:pPr>
<w:r><w:t xml:space="preserve">evidently in a constant attempt to express an ideal in forms</w:t></w:r>
</w:p>
<w:p>
<w:pPr><w:pStyle w:val="Normal"/></w:pPr>
<w:r><w:t xml:space="preserve">more and more closely approaching to realities.  We detect</w:t></w:r>
</w:p>
<w:p>
<w:pPr><w:pStyle w:val="Normal"/></w:pPr>
<w:r><w:t xml:space="preserve">the dawn of that spirit which afterwards animated Hellenic</w:t></w:r>
</w:p>
<w:p>
<w:pPr><w:pStyle w:val="Normal"/></w:pPr>
<w:r><w:t xml:space="preserve">art.  The fresco-paintings, ceramic motives, reliefs, free</w:t></w:r>
</w:p>
<w:p>
<w:pPr><w:pStyle w:val="Normal"/></w:pPr>
<w:r><w:t xml:space="preserve">sculpture and toreutic handiwork of Crete have supplied the</w:t></w:r>
</w:p>
<w:p>
<w:pPr><w:pStyle w:val="Normal"/></w:pPr>
<w:r><w:t xml:space="preserve">clearest proof of it, confirming the impression already created</w:t></w:r>
</w:p>
<w:p>
<w:pPr><w:pStyle w:val="Normal"/></w:pPr>
<w:r><w:t xml:space="preserve">by the goldsmiths&apos; and painters&apos; work of the Greek mainland</w:t></w:r>
</w:p>
<w:p>
<w:pPr><w:pStyle w:val="Normal"/></w:pPr>
<w:r><w:t xml:space="preserve">(Mycenae, Vaphio, Tiryns). (3) Architectural plans and</w:t></w:r>
</w:p>
<w:p>
<w:pPr><w:pStyle w:val="Normal"/></w:pPr>
<w:r><w:t xml:space="preserve">decoration. The arrangement of Aegean palaces is of two main</w:t></w:r>
</w:p>
<w:p>
<w:pPr><w:pStyle w:val="Normal"/></w:pPr>
<w:r><w:t xml:space="preserve">types.  First (and perhaps earliest in time), the chambers</w:t></w:r>
</w:p>
<w:p>
<w:pPr><w:pStyle w:val="Normal"/></w:pPr>
<w:r><w:t xml:space="preserve">are grouped round a central court, being engaged one with the</w:t></w:r>
</w:p>
<w:p>
<w:pPr><w:pStyle w:val="Normal"/></w:pPr>
<w:r><w:t xml:space="preserve">other in a labyrinthine complexity, and the greater oblongs</w:t></w:r>
</w:p>
<w:p>
<w:pPr><w:pStyle w:val="Normal"/></w:pPr>
<w:r><w:t xml:space="preserve">are entered from a long side and divided longitudinally by</w:t></w:r>
</w:p>
<w:p>
<w:pPr><w:pStyle w:val="Normal"/></w:pPr>
<w:r><w:t xml:space="preserve">pillars.  Second, the main chamber is of what is known as the</w:t></w:r>
</w:p>
<w:p>
<w:pPr><w:pStyle w:val="Normal"/></w:pPr>
<w:r><w:t xml:space="preserve">megaron type, i.e. it stands free, isolated from the rest</w:t></w:r>
</w:p>
<w:p>
<w:pPr><w:pStyle w:val="Normal"/></w:pPr>
<w:r><w:t xml:space="preserve">of the plan by corridors, is entered from a vestibule on a</w:t></w:r>
</w:p>
<w:p>
<w:pPr><w:pStyle w:val="Normal"/></w:pPr>
<w:r><w:t xml:space="preserve">short side, and has a central hearth, surrounded by pillars</w:t></w:r>
</w:p>
<w:p>
<w:pPr><w:pStyle w:val="Normal"/></w:pPr>
<w:r><w:t xml:space="preserve">and perhaps hypaethral; there is no central court, and other</w:t></w:r>
</w:p>
<w:p>
<w:pPr><w:pStyle w:val="Normal"/></w:pPr>
<w:r><w:t xml:space="preserve">apartments form distinct blocks.  For possible geographical</w:t></w:r>
</w:p>
<w:p>
<w:pPr><w:pStyle w:val="Normal"/></w:pPr>
<w:r><w:t xml:space="preserve">reasons for this duality of type see CRETE. In spite of many</w:t></w:r>
</w:p>
<w:p>
<w:pPr><w:pStyle w:val="Normal"/></w:pPr>
<w:r><w:t xml:space="preserve">comparisons made with Egyptian, Babylonian and ``Hittite&apos;&apos;</w:t></w:r>
</w:p>
<w:p>
<w:pPr><w:pStyle w:val="Normal"/></w:pPr>
<w:r><w:t xml:space="preserve">plans, both these arrangements remain incongruous with any</w:t></w:r>
</w:p>
<w:p>
<w:pPr><w:pStyle w:val="Normal"/></w:pPr>
<w:r><w:t xml:space="preserve">remains of prior or contemporary structures elsewhere.  Whether</w:t></w:r>
</w:p>
<w:p>
<w:pPr><w:pStyle w:val="Normal"/></w:pPr>
<w:r><w:t xml:space="preserve">either plan suits the ``Homeric palace&apos;&apos; does not affect the</w:t></w:r>
</w:p>
<w:p>
<w:pPr><w:pStyle w:val="Normal"/></w:pPr>
<w:r><w:t xml:space="preserve">present question. (4) A type of tomb, the dome or ``bee-hive,&apos;&apos;</w:t></w:r>
</w:p>
<w:p>
<w:pPr><w:pStyle w:val="Normal"/></w:pPr>
<w:r><w:t xml:space="preserve">of which the grandest examples known are at Mycenae.  The</w:t></w:r>
</w:p>
<w:p>
<w:pPr><w:pStyle w:val="Normal"/></w:pPr>
<w:r><w:t xml:space="preserve">Cretan ``larnax&apos;&apos; coffins, also, have no parallels outside the</w:t></w:r>
</w:p>
<w:p>
<w:pPr><w:pStyle w:val="Normal"/></w:pPr>
<w:r><w:t xml:space="preserve">Aegean.  There are other infinite singularities of detail;</w:t></w:r>
</w:p>
<w:p>
<w:pPr><w:pStyle w:val="Normal"/></w:pPr>
<w:r><w:t xml:space="preserve">but the above are more than sufficient to establish the point.</w:t></w:r>
</w:p>
<w:p>
<w:pPr><w:pStyle w:val="Normal"/></w:pPr>
<w:r><w:t xml:space="preserve">B. Origin and Continuity.--With the immense expansion of the</w:t></w:r>
</w:p>
<w:p>
<w:pPr><w:pStyle w:val="Normal"/></w:pPr>
<w:r><w:t xml:space="preserve">evidence, due to the Cretan excavations, a question has arisen</w:t></w:r>
</w:p>
<w:p>
<w:pPr><w:pStyle w:val="Normal"/></w:pPr>
<w:r><w:t xml:space="preserve">how far the Aegean civilization, whose total duration covers</w:t></w:r>
</w:p>
<w:p>
<w:pPr><w:pStyle w:val="Normal"/></w:pPr>
<w:r><w:t xml:space="preserve">at least three thousand years, can be regarded as one and</w:t></w:r>
</w:p>
<w:p>
<w:pPr><w:pStyle w:val="Normal"/></w:pPr>
<w:r><w:t xml:space="preserve">continuous.  Thanks to the exploration of Cnossus, we now</w:t></w:r>
</w:p>
<w:p>
<w:pPr><w:pStyle w:val="Normal"/></w:pPr>
<w:r><w:t xml:space="preserve">know that Aegean civilization had its roots in a primitive</w:t></w:r>
</w:p>
<w:p>
<w:pPr><w:pStyle w:val="Normal"/></w:pPr>
<w:r><w:t xml:space="preserve">Neolithic period, of uncertain but very long duration,</w:t></w:r>
</w:p>
<w:p>
<w:pPr><w:pStyle w:val="Normal"/></w:pPr>
<w:r><w:t xml:space="preserve">represented by a stratum which (on that site in particular) is</w:t></w:r>
</w:p>
<w:p>
<w:pPr><w:pStyle w:val="Normal"/></w:pPr>
<w:r><w:t xml:space="preserve">in places nearly 20 ft. thick, and contains stone implements</w:t></w:r>
</w:p>
<w:p>
<w:pPr><w:pStyle w:val="Normal"/></w:pPr>
<w:r><w:t xml:space="preserve">and sherds of handmade and hand-polished vessels, showing</w:t></w:r>
</w:p>
<w:p>
<w:pPr><w:pStyle w:val="Normal"/></w:pPr>
<w:r><w:t xml:space="preserve">a progressive development in technique from bottom to</w:t></w:r>
</w:p>
<w:p>
<w:pPr><w:pStyle w:val="Normal"/></w:pPr>
<w:r><w:t xml:space="preserve">top.  This Cnossian stratum seems to be throughout earlier</w:t></w:r>
</w:p>
<w:p>
<w:pPr><w:pStyle w:val="Normal"/></w:pPr>
<w:r><w:t xml:space="preserve">than the lowest layer at Hissarlik.  It closes with the</w:t></w:r>
</w:p>
<w:p>
<w:pPr><w:pStyle w:val="Normal"/></w:pPr>
<w:r><w:t xml:space="preserve">introduction of incised, white-filled decoration on pottery,</w:t></w:r>
</w:p>
<w:p>
<w:pPr><w:pStyle w:val="Normal"/></w:pPr>
<w:r><w:t xml:space="preserve">whose motives are presently found reproduced in monochrome</w:t></w:r>
</w:p>
<w:p>
<w:pPr><w:pStyle w:val="Normal"/></w:pPr>
<w:r><w:t xml:space="preserve">pigment.  We are now in the beginning of the Bronze Age,</w:t></w:r>
</w:p>
<w:p>
<w:pPr><w:pStyle w:val="Normal"/></w:pPr>
<w:r><w:t xml:space="preserve">and the first of Evans&apos;s ``Minoan&apos;&apos; periods (see CRETE).</w:t></w:r>
</w:p>
<w:p>
<w:pPr><w:pStyle w:val="Normal"/></w:pPr>
<w:r><w:t xml:space="preserve">Thereafter, by exact observation of stratification, eight more</w:t></w:r>
</w:p>
<w:p>
<w:pPr><w:pStyle w:val="Normal"/></w:pPr>
<w:r><w:t xml:space="preserve">periods have been distinguished by the explorer of Cnossus,</w:t></w:r>
</w:p>
<w:p>
<w:pPr><w:pStyle w:val="Normal"/></w:pPr>
<w:r><w:t xml:space="preserve">each marked by some important development in the universal and</w:t></w:r>
</w:p>
<w:p>
<w:pPr><w:pStyle w:val="Normal"/></w:pPr>
<w:r><w:t xml:space="preserve">necessary products of the potter&apos;s art, the least destructible</w:t></w:r>
</w:p>
<w:p>
<w:pPr><w:pStyle w:val="Normal"/></w:pPr>
<w:r><w:t xml:space="preserve">and therefore most generally used archaeological criterion.</w:t></w:r>
</w:p>
<w:p>
<w:pPr><w:pStyle w:val="Normal"/></w:pPr>
<w:r><w:t xml:space="preserve">These periods fill the whole Bronze Age, with whose close, by</w:t></w:r>
</w:p>
<w:p>
<w:pPr><w:pStyle w:val="Normal"/></w:pPr>
<w:r><w:t xml:space="preserve">the introduction of the superior metal, iron, the Aegean Age</w:t></w:r>
</w:p>
<w:p>
<w:pPr><w:pStyle w:val="Normal"/></w:pPr>
<w:r><w:t xml:space="preserve">is conventionally held to end.  Iron came into general Aegean</w:t></w:r>
</w:p>
<w:p>
<w:pPr><w:pStyle w:val="Normal"/></w:pPr>
<w:r><w:t xml:space="preserve">use about 1000 B.C., and possibly was the means by which a</w:t></w:r>
</w:p>
<w:p>
<w:pPr><w:pStyle w:val="Normal"/></w:pPr>
<w:r><w:t xml:space="preserve">body of northern invaders established their power on the ruins</w:t></w:r>
</w:p>
<w:p>
<w:pPr><w:pStyle w:val="Normal"/></w:pPr>
<w:r><w:t xml:space="preserve">of the earlier dominion.  The important point is this, that</w:t></w:r>
</w:p>
<w:p>
<w:pPr><w:pStyle w:val="Normal"/></w:pPr>
<w:r><w:t xml:space="preserve">throughout the nine Cnossian periods, following the Neolithic</w:t></w:r>
</w:p>
<w:p>
<w:pPr><w:pStyle w:val="Normal"/></w:pPr>
<w:r><w:t xml:space="preserve">Age (named by Evans, ``Minoan I. 1, 2, 3; II. 1, 2, 3; III.</w:t></w:r>
</w:p>
<w:p>
<w:pPr><w:pStyle w:val="Normal"/></w:pPr>
<w:r><w:t xml:space="preserve">1, 2, 3&apos;&apos;; see CRETE), there is evidence of a perfectly</w:t></w:r>
</w:p>
<w:p>
<w:pPr><w:pStyle w:val="Normal"/></w:pPr>
<w:r><w:t xml:space="preserve">orderly and continuous evolution in, at any rate, ceramic</w:t></w:r>
</w:p>
<w:p>
<w:pPr><w:pStyle w:val="Normal"/></w:pPr>
<w:r><w:t xml:space="preserve">art.  From one stage to another, fabrics, forms and motives</w:t></w:r>
</w:p>
<w:p>
<w:pPr><w:pStyle w:val="Normal"/></w:pPr>
<w:r><w:t xml:space="preserve">of decoration develop gradually; so that, at the close of</w:t></w:r>
</w:p>
<w:p>
<w:pPr><w:pStyle w:val="Normal"/></w:pPr>
<w:r><w:t xml:space="preserve">a span of more than two thousand years, at the least, the</w:t></w:r>
</w:p>
<w:p>
<w:pPr><w:pStyle w:val="Normal"/></w:pPr>
<w:r><w:t xml:space="preserve">influences of the beginning can still be clearly seen and no</w:t></w:r>
</w:p>
<w:p>
<w:pPr><w:pStyle w:val="Normal"/></w:pPr>
<w:r><w:t xml:space="preserve">trace of violent artistic intrusion can be detected.  This</w:t></w:r>
</w:p>
<w:p>
<w:pPr><w:pStyle w:val="Normal"/></w:pPr>
<w:r><w:t xml:space="preserve">fact, by itself, would go far to prove that the civilization</w:t></w:r>
</w:p>
<w:p>
<w:pPr><w:pStyle w:val="Normal"/></w:pPr>
<w:r><w:t xml:space="preserve">continued fundamentally and essentially the same throughout.</w:t></w:r>
</w:p>
<w:p>
<w:pPr><w:pStyle w:val="Normal"/></w:pPr>
<w:r><w:t xml:space="preserve">It is, moreover, supported by less abundant remains of other</w:t></w:r>
</w:p>
<w:p>
<w:pPr><w:pStyle w:val="Normal"/></w:pPr>
<w:r><w:t xml:space="preserve">arts.  That of painting in fresco, for instance, shows the</w:t></w:r>
</w:p>
<w:p>
<w:pPr><w:pStyle w:val="Normal"/></w:pPr>
<w:r><w:t xml:space="preserve">same orderly development from at any rate Period II. 2 to the</w:t></w:r>
</w:p>
<w:p>
<w:pPr><w:pStyle w:val="Normal"/></w:pPr>
<w:r><w:t xml:space="preserve">end.  About institutions we have less certain knowledge, there</w:t></w:r>
</w:p>
<w:p>
<w:pPr><w:pStyle w:val="Normal"/></w:pPr>
<w:r><w:t xml:space="preserve">being but little evidence for the earlier periods; but in</w:t></w:r>
</w:p>
<w:p>
<w:pPr><w:pStyle w:val="Normal"/></w:pPr>
<w:r><w:t xml:space="preserve">the documents relating to religion, the most significant of</w:t></w:r>
</w:p>
<w:p>
<w:pPr><w:pStyle w:val="Normal"/></w:pPr>
<w:r><w:t xml:space="preserve">all, it can at least be said that there is no trace of sharp</w:t></w:r>
</w:p>
<w:p>
<w:pPr><w:pStyle w:val="Normal"/></w:pPr>
<w:r><w:t xml:space="preserve">change.  We see evidence of a uniform Nature Worship passing</w:t></w:r>
</w:p>
<w:p>
<w:pPr><w:pStyle w:val="Normal"/></w:pPr>
<w:r><w:t xml:space="preserve">through all the normal stages down to the anthropism in</w:t></w:r>
</w:p>
<w:p>
<w:pPr><w:pStyle w:val="Normal"/></w:pPr>
<w:r><w:t xml:space="preserve">the latest period.  There is no appearance of intrusive</w:t></w:r>
</w:p>
<w:p>
<w:pPr><w:pStyle w:val="Normal"/></w:pPr>
<w:r><w:t xml:space="preserve">deities or cult-ideas.  We may take it then (and the fact</w:t></w:r>
</w:p>
<w:p>
<w:pPr><w:pStyle w:val="Normal"/></w:pPr>
<w:r><w:t xml:space="preserve">is not disputed even by those who, like Dorpfeld, believe</w:t></w:r>
</w:p>
<w:p>
<w:pPr><w:pStyle w:val="Normal"/></w:pPr>
<w:r><w:t xml:space="preserve">in one thorough racial change, at least, during the Bronze</w:t></w:r>
</w:p>
<w:p>
<w:pPr><w:pStyle w:val="Normal"/></w:pPr>
<w:r><w:t xml:space="preserve">Age) that the Aegean civilization was indigenous, firmly</w:t></w:r>
</w:p>
<w:p>
<w:pPr><w:pStyle w:val="Normal"/></w:pPr>
<w:r><w:t xml:space="preserve">rooted and strong enough to persist essentially unchanged</w:t></w:r>
</w:p>
<w:p>
<w:pPr><w:pStyle w:val="Normal"/></w:pPr>
<w:r><w:t xml:space="preserve">and dominant in its own geographical area throughout the</w:t></w:r>
</w:p>
<w:p>
<w:pPr><w:pStyle w:val="Normal"/></w:pPr>
<w:r><w:t xml:space="preserve">Neolithic and Bronze Ages.  This conclusion can hardly entail</w:t></w:r>
</w:p>
<w:p>
<w:pPr><w:pStyle w:val="Normal"/></w:pPr>
<w:r><w:t xml:space="preserve">less than a belief that, at any rate, the mass of those who</w:t></w:r>
</w:p>
<w:p>
<w:pPr><w:pStyle w:val="Normal"/></w:pPr>
<w:r><w:t xml:space="preserve">possessed this civilization continued racially the same.</w:t></w:r>
</w:p>
<w:p>
<w:pPr><w:pStyle w:val="Normal"/></w:pPr>
<w:r><w:t xml:space="preserve">There are, however, in certain respects at certain periods,</w:t></w:r>
</w:p>
<w:p>
<w:pPr><w:pStyle w:val="Normal"/></w:pPr>
<w:r><w:t xml:space="preserve">evidences of such changes as might be due to the intrusion of</w:t></w:r>
</w:p>
<w:p>
<w:pPr><w:pStyle w:val="Normal"/></w:pPr>
<w:r><w:t xml:space="preserve">small conquering castes, which adopted the superior civilization</w:t></w:r>
</w:p>
<w:p>
<w:pPr><w:pStyle w:val="Normal"/></w:pPr>
<w:r><w:t xml:space="preserve">of the conquered people and became assimilated to the</w:t></w:r>
</w:p>
<w:p>
<w:pPr><w:pStyle w:val="Normal"/></w:pPr>
<w:r><w:t xml:space="preserve">latter.  The earliest palace at Cnossus was built probably in</w:t></w:r>
</w:p>
<w:p>
<w:pPr><w:pStyle w:val="Normal"/></w:pPr>
<w:r><w:t xml:space="preserve">Period II. 1 or 2. It was of the type mentioned first in the</w:t></w:r>
</w:p>
<w:p>
<w:pPr><w:pStyle w:val="Normal"/></w:pPr>
<w:r><w:t xml:space="preserve">description of palace-plans above.  Before Period III. 1 it</w:t></w:r>
</w:p>
<w:p>
<w:pPr><w:pStyle w:val="Normal"/></w:pPr>
<w:r><w:t xml:space="preserve">was largely rebuilt, and arguments have been brought forward</w:t></w:r>
</w:p>
<w:p>
<w:pPr><w:pStyle w:val="Normal"/></w:pPr>
<w:r><w:t xml:space="preserve">by Dorpfeld to show that features of the second type were then</w:t></w:r>
</w:p>
<w:p>
<w:pPr><w:pStyle w:val="Normal"/></w:pPr>
<w:r><w:t xml:space="preserve">introduced.  A similar rebuilding took place at the same epoch</w:t></w:r>
</w:p>
<w:p>
<w:pPr><w:pStyle w:val="Normal"/></w:pPr>
<w:r><w:t xml:space="preserve">at Phaestus, and possibly at Hagia Triada.  Now the second</w:t></w:r>
</w:p>
<w:p>
<w:pPr><w:pStyle w:val="Normal"/></w:pPr>
<w:r><w:t xml:space="preserve">type, the ``megaron&apos;&apos; arrangement, characterizes peculiarly</w:t></w:r>
</w:p>
<w:p>
<w:pPr><w:pStyle w:val="Normal"/></w:pPr>
<w:r><w:t xml:space="preserve">the palaces discovered in the north of the Aegean area, at</w:t></w:r>
</w:p>
<w:p>
<w:pPr><w:pStyle w:val="Normal"/></w:pPr>
<w:r><w:t xml:space="preserve">Mycenae, Tiryns and Hissarllk, where up to the present no</w:t></w:r>
</w:p>
<w:p>
<w:pPr><w:pStyle w:val="Normal"/></w:pPr>
<w:r><w:t xml:space="preserve">signs of the first type, so characteristic of Crete, have been</w:t></w:r>
</w:p>
<w:p>
<w:pPr><w:pStyle w:val="Normal"/></w:pPr>
<w:r><w:t xml:space="preserve">observed.  These northern ``megara&apos;&apos; are all of late date,</w:t></w:r>
</w:p>
<w:p>
<w:pPr><w:pStyle w:val="Normal"/></w:pPr>
<w:r><w:t xml:space="preserve">none being prior to Minoan III. 1. At Phylakope, a ``megaron&apos;&apos;</w:t></w:r>
</w:p>
<w:p>
<w:pPr><w:pStyle w:val="Normal"/></w:pPr>
<w:r><w:t xml:space="preserve">appears only in the uppermost Aegean stratum, the underlying</w:t></w:r>
</w:p>
<w:p>
<w:pPr><w:pStyle w:val="Normal"/></w:pPr>
<w:r><w:t xml:space="preserve">structures being more in conformity with the earlier Cretan.</w:t></w:r>
</w:p>
<w:p>
<w:pPr><w:pStyle w:val="Normal"/></w:pPr>
<w:r><w:t xml:space="preserve">At the same epoch a notable change took place in the Aegean</w:t></w:r>
</w:p>
<w:p>
<w:pPr><w:pStyle w:val="Normal"/></w:pPr>
<w:r><w:t xml:space="preserve">script.  The pictographic characters, found on seals and discs</w:t></w:r>
</w:p>
<w:p>
<w:pPr><w:pStyle w:val="Normal"/></w:pPr>
<w:r><w:t xml:space="preserve">of Period II. in Crete, had given way entirely to a linear</w:t></w:r>
</w:p>
<w:p>
<w:pPr><w:pStyle w:val="Normal"/></w:pPr>
<w:r><w:t xml:space="preserve">system by Period III. That system thenceforward prevailed</w:t></w:r>
</w:p>
<w:p>
<w:pPr><w:pStyle w:val="Normal"/></w:pPr>
<w:r><w:t xml:space="preserve">exclusively, suffering a slight modification again in III.</w:t></w:r>
</w:p>
<w:p>
<w:pPr><w:pStyle w:val="Normal"/></w:pPr>
<w:r><w:t xml:space="preserve">2 and 3. These and other less well marked changes, say some</w:t></w:r>
</w:p>
<w:p>
<w:pPr><w:pStyle w:val="Normal"/></w:pPr>
<w:r><w:t xml:space="preserve">critics, are signs of a racial convulsion not long after</w:t></w:r>
</w:p>
<w:p>
<w:pPr><w:pStyle w:val="Normal"/></w:pPr>
<w:r><w:t xml:space="preserve">2000 B.C. An old race was conquered by a new, even if, in</w:t></w:r>
</w:p>
<w:p>
<w:pPr><w:pStyle w:val="Normal"/></w:pPr>
<w:r><w:t xml:space="preserve">matters of civilization, the former capta victorem cepit.</w:t></w:r>
</w:p>
<w:p>
<w:pPr><w:pStyle w:val="Normal"/></w:pPr>
<w:r><w:t xml:space="preserve">For these races respectively Dorpfeld suggests the names</w:t></w:r>
</w:p>
<w:p>
<w:pPr><w:pStyle w:val="Normal"/></w:pPr>
<w:r><w:t xml:space="preserve">``Lycian&apos;&apos; and ``Carian,&apos;&apos; the latter coming in from the</w:t></w:r>
</w:p>
<w:p>
<w:pPr><w:pStyle w:val="Normal"/></w:pPr>
<w:r><w:t xml:space="preserve">north Aegean, where Greek tradition remembered its former</w:t></w:r>
</w:p>
<w:p>
<w:pPr><w:pStyle w:val="Normal"/></w:pPr>
<w:r><w:t xml:space="preserve">dominance.  These names do not greatly help us.  If we are</w:t></w:r>
</w:p>
<w:p>
<w:pPr><w:pStyle w:val="Normal"/></w:pPr>
<w:r><w:t xml:space="preserve">to accept and profit by Dorpfeld&apos;s nomenclature, we must be</w:t></w:r>
</w:p>
<w:p>
<w:pPr><w:pStyle w:val="Normal"/></w:pPr>
<w:r><w:t xml:space="preserve">satisfied that, in their later historic habitats, both Lycians</w:t></w:r>
</w:p>
<w:p>
<w:pPr><w:pStyle w:val="Normal"/></w:pPr>
<w:r><w:t xml:space="preserve">and Carians showed unmistakable signs of having formerly</w:t></w:r>
</w:p>
<w:p>
<w:pPr><w:pStyle w:val="Normal"/></w:pPr>
<w:r><w:t xml:space="preserve">possessed the civilizations attributed to them in prehistoric</w:t></w:r>
</w:p>
<w:p>
<w:pPr><w:pStyle w:val="Normal"/></w:pPr>
<w:r><w:t xml:space="preserve">times--signs which research has hitherto wholly failed to</w:t></w:r>
</w:p>
<w:p>
<w:pPr><w:pStyle w:val="Normal"/></w:pPr>
<w:r><w:t xml:space="preserve">find.  The most that can be said to be capable of proof is</w:t></w:r>
</w:p>
<w:p>
<w:pPr><w:pStyle w:val="Normal"/></w:pPr>
<w:r><w:t xml:space="preserve">the infiltration of some northern influence into Crete at the</w:t></w:r>
</w:p>
<w:p>
<w:pPr><w:pStyle w:val="Normal"/></w:pPr>
<w:r><w:t xml:space="preserve">end of Minoan Period II.; but it probably brought about no</w:t></w:r>
</w:p>
<w:p>
<w:pPr><w:pStyle w:val="Normal"/></w:pPr>
<w:r><w:t xml:space="preserve">change of dynasty and certainly no change in the prevailing</w:t></w:r>
</w:p>
<w:p>
<w:pPr><w:pStyle w:val="Normal"/></w:pPr>
<w:r><w:t xml:space="preserve">race.  A good deal of anthropometric investigation has been</w:t></w:r>
</w:p>
<w:p>
<w:pPr><w:pStyle w:val="Normal"/></w:pPr>
<w:r><w:t xml:space="preserve">devoted to human remains of the Aegean epoch, especially to</w:t></w:r>
</w:p>
<w:p>
<w:pPr><w:pStyle w:val="Normal"/></w:pPr>
<w:r><w:t xml:space="preserve">skulls and bones found in Crete in tombs of Period II. The</w:t></w:r>
</w:p>
<w:p>
<w:pPr><w:pStyle w:val="Normal"/></w:pPr>
<w:r><w:t xml:space="preserve">result of this, however, has not so far established more than</w:t></w:r>
</w:p>
<w:p>
<w:pPr><w:pStyle w:val="Normal"/></w:pPr>
<w:r><w:t xml:space="preserve">the fact that the Aegean races, as a whole, belonged to the</w:t></w:r>
</w:p>
<w:p>
<w:pPr><w:pStyle w:val="Normal"/></w:pPr>
<w:r><w:t xml:space="preserve">dark, long-headed Homo Mediterraneus, whose probable origin</w:t></w:r>
</w:p>
<w:p>
<w:pPr><w:pStyle w:val="Normal"/></w:pPr>
<w:r><w:t xml:space="preserve">lay in mid-eastern Africa---a fact only valuable in the present</w:t></w:r>
</w:p>
<w:p>
<w:pPr><w:pStyle w:val="Normal"/></w:pPr>
<w:r><w:t xml:space="preserve">connexion in so far as it tends to discredit an Asiatic source</w:t></w:r>
</w:p>
<w:p>
<w:pPr><w:pStyle w:val="Normal"/></w:pPr>
<w:r><w:t xml:space="preserve">for Aegean civilization.  Not enough evidence has been collected</w:t></w:r>
</w:p>
<w:p>
<w:pPr><w:pStyle w:val="Normal"/></w:pPr>
<w:r><w:t xml:space="preserve">to affect the question of racial change during the Aegean</w:t></w:r>
</w:p>
<w:p>
<w:pPr><w:pStyle w:val="Normal"/></w:pPr>
<w:r><w:t xml:space="preserve">period.  From the skullforms studied, it would appear, as we</w:t></w:r>
</w:p>
<w:p>
<w:pPr><w:pStyle w:val="Normal"/></w:pPr>
<w:r><w:t xml:space="preserve">should expect, that the Aegean race was by no means pure even</w:t></w:r>
</w:p>
<w:p>
<w:pPr><w:pStyle w:val="Normal"/></w:pPr>
<w:r><w:t xml:space="preserve">in the earlier Minoan periods.  It only remains to be added</w:t></w:r>
</w:p>
<w:p>
<w:pPr><w:pStyle w:val="Normal"/></w:pPr>
<w:r><w:t xml:space="preserve">that there is some ground for supposing that the language</w:t></w:r>
</w:p>
<w:p>
<w:pPr><w:pStyle w:val="Normal"/></w:pPr>
<w:r><w:t xml:space="preserve">spoken in Crete before the later Doric was non-Hellenic, but</w:t></w:r>
</w:p>
<w:p>
<w:pPr><w:pStyle w:val="Normal"/></w:pPr>
<w:r><w:t xml:space="preserve">Indo-European.  This inference rests on three inscriptions</w:t></w:r>
</w:p>
<w:p>
<w:pPr><w:pStyle w:val="Normal"/></w:pPr>
<w:r><w:t xml:space="preserve">in Greek characters but non-Greek language found in E.</w:t></w:r>
</w:p>
<w:p>
<w:pPr><w:pStyle w:val="Normal"/></w:pPr>
<w:r><w:t xml:space="preserve">Crete.  The language has some apparent affinities with</w:t></w:r>
</w:p>
<w:p>
<w:pPr><w:pStyle w:val="Normal"/></w:pPr>
<w:r><w:t xml:space="preserve">Phrygian.  The inscriptions are post-Aegean by many centuries,</w:t></w:r>
</w:p>
<w:p>
<w:pPr><w:pStyle w:val="Normal"/></w:pPr>
<w:r><w:t xml:space="preserve">but they occur in the part of the island known to Homer</w:t></w:r>
</w:p>
<w:p>
<w:pPr><w:pStyle w:val="Normal"/></w:pPr>
<w:r><w:t xml:space="preserve">as that inhabited by the Eteo-Cretans, or aborigines.</w:t></w:r>
</w:p>
<w:p>
<w:pPr><w:pStyle w:val="Normal"/></w:pPr>
<w:r><w:t xml:space="preserve">Their language may prove to be that of the Linear tablets.</w:t></w:r>
</w:p>
<w:p>
<w:pPr><w:pStyle w:val="Heading1"/></w:pPr>
<w:r><w:t>C. History of Aegean Civilization.---History of an</w:t></w:r>
</w:p>
<w:p>
<w:pPr><w:pStyle w:val="Normal"/></w:pPr>
<w:r><w:t xml:space="preserve">inferential and summary sort only can be derived from</w:t></w:r>
</w:p>
<w:p>
<w:pPr><w:pStyle w:val="Normal"/></w:pPr>
<w:r><w:t xml:space="preserve">monuments in the absence of written records.  The latter do,</w:t></w:r>
</w:p>
<w:p>
<w:pPr><w:pStyle w:val="Normal"/></w:pPr>
<w:r><w:t xml:space="preserve">indeed, exist in the Case of the Cretan civilization and in</w:t></w:r>
</w:p>
<w:p>
<w:pPr><w:pStyle w:val="Normal"/></w:pPr>
<w:r><w:t xml:space="preserve">great numbers; but they are undeciphered and likely to remain</w:t></w:r>
</w:p>
<w:p>
<w:pPr><w:pStyle w:val="Normal"/></w:pPr>
<w:r><w:t xml:space="preserve">so, except in the improbable event of the discovery of a long</w:t></w:r>
</w:p>
<w:p>
<w:pPr><w:pStyle w:val="Normal"/></w:pPr>
<w:r><w:t xml:space="preserve">bi-lingual text, partly couched in some familiar script and</w:t></w:r>
</w:p>
<w:p>
<w:pPr><w:pStyle w:val="Normal"/></w:pPr>
<w:r><w:t xml:space="preserve">language.  Even in that event, the information which would be</w:t></w:r>
</w:p>
<w:p>
<w:pPr><w:pStyle w:val="Normal"/></w:pPr>
<w:r><w:t xml:space="preserve">derived from the Cnossian tablets would probably make but a</w:t></w:r>
</w:p>
<w:p>
<w:pPr><w:pStyle w:val="Normal"/></w:pPr>
<w:r><w:t xml:space="preserve">small addition to history, since in very large part they are</w:t></w:r>
</w:p>
<w:p>
<w:pPr><w:pStyle w:val="Normal"/></w:pPr>
<w:r><w:t xml:space="preserve">evidently mere inventories of tribute and stores.  The engraved</w:t></w:r>
</w:p>
<w:p>
<w:pPr><w:pStyle w:val="Normal"/></w:pPr>
<w:r><w:t xml:space="preserve">gems probably record divine or human names. (See CRETE.)</w:t></w:r>
</w:p>
<w:p>
<w:pPr><w:pStyle w:val="Normal"/></w:pPr>
<w:r><w:t xml:space="preserve">(1) Chronology.--The earliest chronological datum that we</w:t></w:r>
</w:p>
<w:p>
<w:pPr><w:pStyle w:val="Normal"/></w:pPr>
<w:r><w:t xml:space="preserve">possess is inferred from a close similarity between certain</w:t></w:r>
</w:p>
<w:p>
<w:pPr><w:pStyle w:val="Normal"/></w:pPr>
<w:r><w:t xml:space="preserve">Cretao hand-made and polished vases of Minoan Period I. 1 and</w:t></w:r>
</w:p>
<w:p>
<w:pPr><w:pStyle w:val="Normal"/></w:pPr>
<w:r><w:t xml:space="preserve">others discovered by Petrie at Abydos in Egypt and referred</w:t></w:r>
</w:p>
<w:p>
<w:pPr><w:pStyle w:val="Normal"/></w:pPr>
<w:r><w:t xml:space="preserve">by him to the Ist Dynasty.  He goes so far as to pronounce</w:t></w:r>
</w:p>
<w:p>
<w:pPr><w:pStyle w:val="Normal"/></w:pPr>
<w:r><w:t xml:space="preserve">the latter to be Cretan importations, their fabric and forms</w:t></w:r>
</w:p>
<w:p>
<w:pPr><w:pStyle w:val="Normal"/></w:pPr>
<w:r><w:t xml:space="preserve">being unlike anything Nilotic.  If that be so, the period</w:t></w:r>
</w:p>
<w:p>
<w:pPr><w:pStyle w:val="Normal"/></w:pPr>
<w:r><w:t xml:space="preserve">at which stone implements were beginning to be superseded by</w:t></w:r>
</w:p>
<w:p>
<w:pPr><w:pStyle w:val="Normal"/></w:pPr>
<w:r><w:t xml:space="preserve">bronze in Crete must be dated before 4000 B.C. But it will</w:t></w:r>
</w:p>
<w:p>
<w:pPr><w:pStyle w:val="Normal"/></w:pPr>
<w:r><w:t xml:space="preserve">be remembered that below all Evans&apos;s ``Minoan&apos;&apos; strata hes</w:t></w:r>
</w:p>
<w:p>
<w:pPr><w:pStyle w:val="Normal"/></w:pPr>
<w:r><w:t xml:space="preserve">the immensely thick Neolithic deposit.  To date the beginning</w:t></w:r>
</w:p>
<w:p>
<w:pPr><w:pStyle w:val="Normal"/></w:pPr>
<w:r><w:t xml:space="preserve">of this earliest record of human production is impossible at</w:t></w:r>
</w:p>
<w:p>
<w:pPr><w:pStyle w:val="Normal"/></w:pPr>
<w:r><w:t xml:space="preserve">present.  The Neolithic stratum varies very much in depth,</w:t></w:r>
</w:p>
<w:p>
<w:pPr><w:pStyle w:val="Normal"/></w:pPr>
<w:r><w:t xml:space="preserve">ranging from nearly 20 ft. to 3 ft., but is deepest on the</w:t></w:r>
</w:p>
<w:p>
<w:pPr><w:pStyle w:val="Normal"/></w:pPr>
<w:r><w:t xml:space="preserve">highest part of the hillock.  Its variations may be due</w:t></w:r>
</w:p>
<w:p>
<w:pPr><w:pStyle w:val="Normal"/></w:pPr>
<w:r><w:t xml:space="preserve">equally to natural denudation of a stratum once of uniform</w:t></w:r>
</w:p>
<w:p>
<w:pPr><w:pStyle w:val="Normal"/></w:pPr>
<w:r><w:t xml:space="preserve">depth, or to the artificial heaping up of a mound by later</w:t></w:r>
</w:p>
<w:p>
<w:pPr><w:pStyle w:val="Normal"/></w:pPr>
<w:r><w:t xml:space="preserve">builders.  Even were certainty as to these alternatives</w:t></w:r>
</w:p>
<w:p>
<w:pPr><w:pStyle w:val="Normal"/></w:pPr>
<w:r><w:t xml:space="preserve">attained, we could only guess at the average rate of</w:t></w:r>
</w:p>
<w:p>
<w:pPr><w:pStyle w:val="Normal"/></w:pPr>
<w:r><w:t xml:space="preserve">accumulation, which experience shows to proceeb very differently</w:t></w:r>
</w:p>
<w:p>
<w:pPr><w:pStyle w:val="Normal"/></w:pPr>
<w:r><w:t xml:space="preserve">on different sites and under different social and climatic</w:t></w:r>
</w:p>
<w:p>
<w:pPr><w:pStyle w:val="Normal"/></w:pPr>
<w:r><w:t xml:space="preserve">conditions.  In later periods at Cnossus accumulation seems</w:t></w:r>
</w:p>
<w:p>
<w:pPr><w:pStyle w:val="Normal"/></w:pPr>
<w:r><w:t xml:space="preserve">to have proceeded at a rate of, roughly, 3 ft. per thousand</w:t></w:r>
</w:p>
<w:p>
<w:pPr><w:pStyle w:val="Normal"/></w:pPr>
<w:r><w:t xml:space="preserve">years.  Reckoning by that standard we might push the</w:t></w:r>
</w:p>
<w:p>
<w:pPr><w:pStyle w:val="Normal"/></w:pPr>
<w:r><w:t xml:space="preserve">earliest Neolithic remains back behind 10,000 B.C.;</w:t></w:r>
</w:p>
<w:p>
<w:pPr><w:pStyle w:val="Normal"/></w:pPr>
<w:r><w:t xml:space="preserve">but the calculation would be worthy of little credence.</w:t></w:r>
</w:p>
<w:p>
<w:pPr><w:pStyle w:val="Normal"/></w:pPr>
<w:r><w:t xml:space="preserve">Passing by certain fragments of stone vessels, found at Cnossus,</w:t></w:r>
</w:p>
<w:p>
<w:pPr><w:pStyle w:val="Normal"/></w:pPr>
<w:r><w:t xml:space="preserve">and coincident with forms characteristic of the IVth Pharaonic</w:t></w:r>
</w:p>
<w:p>
<w:pPr><w:pStyle w:val="Normal"/></w:pPr>
<w:r><w:t xml:space="preserve">Dynasty, we reach another fairly certain date in the synchronism</w:t></w:r>
</w:p>
<w:p>
<w:pPr><w:pStyle w:val="Normal"/></w:pPr>
<w:r><w:t xml:space="preserve">of remains belonging to the XIIth Dynasty (c. 2500 B.C.</w:t></w:r>
</w:p>
<w:p>
<w:pPr><w:pStyle w:val="Normal"/></w:pPr>
<w:r><w:t xml:space="preserve">according to Petrie, but later according to the Berlin School)</w:t></w:r>
</w:p>
<w:p>
<w:pPr><w:pStyle w:val="Normal"/></w:pPr>
<w:r><w:t xml:space="preserve">with products of Minoan Period II. 2. Characteristic Cretan</w:t></w:r>
</w:p>
<w:p>
<w:pPr><w:pStyle w:val="Normal"/></w:pPr>
<w:r><w:t xml:space="preserve">pottery of this period was found by Petrie in the Fayum in</w:t></w:r>
</w:p>
<w:p>
<w:pPr><w:pStyle w:val="Normal"/></w:pPr>
<w:r><w:t xml:space="preserve">conjunction with XIIth Dynasty remains, and various Cretan</w:t></w:r>
</w:p>
<w:p>
<w:pPr><w:pStyle w:val="Normal"/></w:pPr>
<w:r><w:t xml:space="preserve">products of the period show striking coincidences with XIIth</w:t></w:r>
</w:p>
<w:p>
<w:pPr><w:pStyle w:val="Normal"/></w:pPr>
<w:r><w:t xml:space="preserve">Dynasty styles, especially in their adoption of spiraliform</w:t></w:r>
</w:p>
<w:p>
<w:pPr><w:pStyle w:val="Normal"/></w:pPr>
<w:r><w:t xml:space="preserve">ornament.  The spiral, however, it must be confessed, occurs</w:t></w:r>
</w:p>
<w:p>
<w:pPr><w:pStyle w:val="Normal"/></w:pPr>
<w:r><w:t xml:space="preserve">so often in natural objects (e.g. horns, climbing plants,</w:t></w:r>
</w:p>
<w:p>
<w:pPr><w:pStyle w:val="Normal"/></w:pPr>
<w:r><w:t xml:space="preserve">shavings of wood or metal) that too much stress must not</w:t></w:r>
</w:p>
<w:p>
<w:pPr><w:pStyle w:val="Normal"/></w:pPr>
<w:r><w:t xml:space="preserve">be laid on the mutual parentage of spiraliform ornament in</w:t></w:r>
</w:p>
<w:p>
<w:pPr><w:pStyle w:val="Normal"/></w:pPr>
<w:r><w:t xml:space="preserve">different civilizations.  A diorite statuette, referable by</w:t></w:r>
</w:p>
<w:p>
<w:pPr><w:pStyle w:val="Normal"/></w:pPr>
<w:r><w:t xml:space="preserve">its style and inscription to Dynasty XIII., was discovered</w:t></w:r>
</w:p>
<w:p>
<w:pPr><w:pStyle w:val="Normal"/></w:pPr>
<w:r><w:t xml:space="preserve">in deposit of Period II. 3 in the Central Court, and a</w:t></w:r>
</w:p>
<w:p>
<w:pPr><w:pStyle w:val="Normal"/></w:pPr>
<w:r><w:t xml:space="preserve">cartouche of the ``Shepherd King,&apos;&apos; Khyan, was also found at</w:t></w:r>
</w:p>
<w:p>
<w:pPr><w:pStyle w:val="Normal"/></w:pPr>
<w:r><w:t xml:space="preserve">Cnossus.  He is usually dated about 1900 B.C. This brings</w:t></w:r>
</w:p>
<w:p>
<w:pPr><w:pStyle w:val="Normal"/></w:pPr>
<w:r><w:t xml:space="preserve">us to the next and most certain synchronism, that of Minoan</w:t></w:r>
</w:p>
<w:p>
<w:pPr><w:pStyle w:val="Normal"/></w:pPr>
<w:r><w:t xml:space="preserve">Periods III. 1, 2, with Dynasty XVIII. (c. 1600-1400 B.C.).</w:t></w:r>
</w:p>
<w:p>
<w:pPr><w:pStyle w:val="Normal"/></w:pPr>
<w:r><w:t xml:space="preserve">This coincidence has been observed not only at Cnossus, but</w:t></w:r>
</w:p>
<w:p>
<w:pPr><w:pStyle w:val="Normal"/></w:pPr>
<w:r><w:t xml:space="preserve">previously, in connexion with discoveries of scarabs and other</w:t></w:r>
</w:p>
<w:p>
<w:pPr><w:pStyle w:val="Normal"/></w:pPr>
<w:r><w:t xml:space="preserve">Egyptian objects made at Mycenae, Ialysus, Vaphio, &amp;c. In Egypt</w:t></w:r>
</w:p>
<w:p>
<w:pPr><w:pStyle w:val="Normal"/></w:pPr>
<w:r><w:t xml:space="preserve">itself.  Refti tributaries, bearing Vases of Aegean form,</w:t></w:r>
</w:p>
<w:p>
<w:pPr><w:pStyle w:val="Normal"/></w:pPr>
<w:r><w:t xml:space="preserve">and themselves similar in fashion of dress and arrangement of</w:t></w:r>
</w:p>
<w:p>
<w:pPr><w:pStyle w:val="Normal"/></w:pPr>
<w:r><w:t xml:space="preserve">hair to figures on Cretan frescoes and gems of Period III.,</w:t></w:r>
</w:p>
<w:p>
<w:pPr><w:pStyle w:val="Normal"/></w:pPr>
<w:r><w:t xml:space="preserve">are depicted under this and the succeeding Dynasties (e.g.</w:t></w:r>
</w:p>
<w:p>
<w:pPr><w:pStyle w:val="Normal"/></w:pPr>
<w:r><w:t xml:space="preserve">Rekhmara tomb at Thebes).  Actual vases of late Minoan style</w:t></w:r>
</w:p>
<w:p>
<w:pPr><w:pStyle w:val="Normal"/></w:pPr>
<w:r><w:t xml:space="preserve">have been found with remains of Dynasty XVIII., especially in</w:t></w:r>
</w:p>
<w:p>
<w:pPr><w:pStyle w:val="Normal"/></w:pPr>
<w:r><w:t xml:space="preserve">the town of Amenophis IV. Akhenaton at Tell el-Amarna; while</w:t></w:r>
</w:p>
<w:p>
<w:pPr><w:pStyle w:val="Normal"/></w:pPr>
<w:r><w:t xml:space="preserve">in the Aegean area itself we have abundant evidence of a great</w:t></w:r>
</w:p>
<w:p>
<w:pPr><w:pStyle w:val="Normal"/></w:pPr>
<w:r><w:t xml:space="preserve">wave of Egyptian influence beginning with this same Dynasty.</w:t></w:r>
</w:p>
<w:p>
<w:pPr><w:pStyle w:val="Normal"/></w:pPr>
<w:r><w:t xml:space="preserve">To this wave were owed in all probability the Nilotic scenes</w:t></w:r>
</w:p>
<w:p>
<w:pPr><w:pStyle w:val="Normal"/></w:pPr>
<w:r><w:t xml:space="preserve">depicted on the Mycenae daggers, on frescoes of Hagia Triada and</w:t></w:r>
</w:p>
<w:p>
<w:pPr><w:pStyle w:val="Normal"/></w:pPr>
<w:r><w:t xml:space="preserve">Cnossus, on pottery of Zakro, on the shell-relief of Phaestus,</w:t></w:r>
</w:p>
<w:p>
<w:pPr><w:pStyle w:val="Normal"/></w:pPr>
<w:r><w:t xml:space="preserve">&amp;c.; and also many forrus and fabrics, e.g. certain Cretan</w:t></w:r>
</w:p>
<w:p>
<w:pPr><w:pStyle w:val="Normal"/></w:pPr>
<w:r><w:t xml:space="preserve">coffins, and the faience industry of Cnossus.  These serve to</w:t></w:r>
</w:p>
<w:p>
<w:pPr><w:pStyle w:val="Normal"/></w:pPr>
<w:r><w:t xml:space="preserve">date, beyond all reasonable question, Periods III. 1-2 in</w:t></w:r>
</w:p>
<w:p>
<w:pPr><w:pStyle w:val="Normal"/></w:pPr>
<w:r><w:t xml:space="preserve">Crete, the shaft-graves in the Mycenae circle, the Vaphio tomb,</w:t></w:r>
</w:p>
<w:p>
<w:pPr><w:pStyle w:val="Normal"/></w:pPr>
<w:r><w:t xml:space="preserve">&amp;c., to the 16th and 15th centuries B.C., and Period III.</w:t></w:r>
</w:p>
<w:p>
<w:pPr><w:pStyle w:val="Normal"/></w:pPr>
<w:r><w:t xml:space="preserve">3 with the lower town at Mycenae, the majority of the sixth</w:t></w:r>
</w:p>
<w:p>
<w:pPr><w:pStyle w:val="Normal"/></w:pPr>
<w:r><w:t xml:space="preserve">stratum at Hissarlik, the Ialysus burials, the upper stratum</w:t></w:r>
</w:p>
<w:p>
<w:pPr><w:pStyle w:val="Normal"/></w:pPr>
<w:r><w:t xml:space="preserve">at Phylakope, &amp;c., to the century immediately succeeding.</w:t></w:r>
</w:p>
<w:p>
<w:pPr><w:pStyle w:val="Normal"/></w:pPr>
<w:r><w:t xml:space="preserve">The terminus ad quem is less certain---iron does not begin to</w:t></w:r>
</w:p>
<w:p>
<w:pPr><w:pStyle w:val="Normal"/></w:pPr>
<w:r><w:t xml:space="preserve">be used for weapons in the Aegean till after Period III. 3, and</w:t></w:r>
</w:p>
<w:p>
<w:pPr><w:pStyle w:val="Normal"/></w:pPr>
<w:r><w:t xml:space="preserve">then not exclusively.  If we fix its introduction to about 1000</w:t></w:r>
</w:p>
<w:p>
<w:pPr><w:pStyle w:val="Normal"/></w:pPr>
<w:r><w:t xml:space="preserve">B C. and make it coincident with the incursion of northern</w:t></w:r>
</w:p>
<w:p>
<w:pPr><w:pStyle w:val="Normal"/></w:pPr>
<w:r><w:t xml:space="preserve">tribes, remembered by the classical Greeks as the Dorian Invasion,</w:t></w:r>
</w:p>
<w:p>
<w:pPr><w:pStyle w:val="Normal"/></w:pPr>
<w:r><w:t xml:space="preserve">we must allow that this incursion did not altogether stamp</w:t></w:r>
</w:p>
<w:p>
<w:pPr><w:pStyle w:val="Normal"/></w:pPr>
<w:r><w:t xml:space="preserve">out Aegean civilization, at least in the southern part of its</w:t></w:r>
</w:p>
<w:p>
<w:pPr><w:pStyle w:val="Normal"/></w:pPr>
<w:r><w:t xml:space="preserve">area.  But it finally destroyed the Cnossian palace and initiated</w:t></w:r>
</w:p>
<w:p>
<w:pPr><w:pStyle w:val="Normal"/></w:pPr>
<w:r><w:t xml:space="preserve">the ``Geometric&apos;&apos; Age, with which, for convenience at any</w:t></w:r>
</w:p>
<w:p>
<w:pPr><w:pStyle w:val="Normal"/></w:pPr>
<w:r><w:t xml:space="preserve">rate, we may close the history of Aegean civilization proper.</w:t></w:r>
</w:p>
<w:p>
<w:pPr><w:pStyle w:val="Normal"/></w:pPr>
<w:r><w:t xml:space="preserve">(2) Annals.--From these and other data the outlines of</w:t></w:r>
</w:p>
<w:p>
<w:pPr><w:pStyle w:val="Normal"/></w:pPr>
<w:r><w:t xml:space="preserve">primitive history in the Aegean may be sketched thus.  A</w:t></w:r>
</w:p>
<w:p>
<w:pPr><w:pStyle w:val="Normal"/></w:pPr>
<w:r><w:t xml:space="preserve">people, agreeing in its prevailing skull-forms with the</w:t></w:r>
</w:p>
<w:p>
<w:pPr><w:pStyle w:val="Normal"/></w:pPr>
<w:r><w:t xml:space="preserve">Mediterranean race of N. Africa, was settled in the Aegean</w:t></w:r>
</w:p>
<w:p>
<w:pPr><w:pStyle w:val="Normal"/></w:pPr>
<w:r><w:t xml:space="preserve">area from a remote Neolithic antiquity, but, except in</w:t></w:r>
</w:p>
<w:p>
<w:pPr><w:pStyle w:val="Normal"/></w:pPr>
<w:r><w:t xml:space="preserve">Crete, where insular security was combined with great natural</w:t></w:r>
</w:p>
<w:p>
<w:pPr><w:pStyle w:val="Normal"/></w:pPr>
<w:r><w:t xml:space="preserve">fertility, remained in a savage and unproductive condition</w:t></w:r>
</w:p>
<w:p>
<w:pPr><w:pStyle w:val="Normal"/></w:pPr>
<w:r><w:t xml:space="preserve">until far into the 4th millennium B.C. In Crete, however,</w:t></w:r>
</w:p>
<w:p>
<w:pPr><w:pStyle w:val="Normal"/></w:pPr>
<w:r><w:t xml:space="preserve">it had long been developing a certain civilization, and at a</w:t></w:r>
</w:p>
<w:p>
<w:pPr><w:pStyle w:val="Normal"/></w:pPr>
<w:r><w:t xml:space="preserve">period more or less contemporary with Dynasties XI. and XII.</w:t></w:r>
</w:p>
<w:p>
<w:pPr><w:pStyle w:val="Normal"/></w:pPr>
<w:r><w:t xml:space="preserve">(2500 B.C.?) the scattered communities of the centre of the</w:t></w:r>
</w:p>
<w:p>
<w:pPr><w:pStyle w:val="Normal"/></w:pPr>
<w:r><w:t xml:space="preserve">island coalesced into a strong monarchical state, whose capital</w:t></w:r>
</w:p>
<w:p>
<w:pPr><w:pStyle w:val="Normal"/></w:pPr>
<w:r><w:t xml:space="preserve">was at Cnossus.  There the king, probably also high priest</w:t></w:r>
</w:p>
<w:p>
<w:pPr><w:pStyle w:val="Normal"/></w:pPr>
<w:r><w:t xml:space="preserve">of the prevailing nature-cult, built a great stone palace,</w:t></w:r>
</w:p>
<w:p>
<w:pPr><w:pStyle w:val="Normal"/></w:pPr>
<w:r><w:t xml:space="preserve">and received the tribute of feudatories, of whom, probably,</w:t></w:r>
</w:p>
<w:p>
<w:pPr><w:pStyle w:val="Normal"/></w:pPr>
<w:r><w:t xml:space="preserve">the prince of Phaestus, who commanded the Messara plain, was</w:t></w:r>
</w:p>
<w:p>
<w:pPr><w:pStyle w:val="Normal"/></w:pPr>
<w:r><w:t xml:space="preserve">chief.  The Cnossian monarch had maritime relations with Egypt,</w:t></w:r>
</w:p>
<w:p>
<w:pPr><w:pStyle w:val="Normal"/></w:pPr>
<w:r><w:t xml:space="preserve">and presently sent his wares all over the S. Aegean (e.g.</w:t></w:r>
</w:p>
<w:p>
<w:pPr><w:pStyle w:val="Normal"/></w:pPr>
<w:r><w:t xml:space="preserve">to Melos in the earlier Second City Period of Phylakope) and</w:t></w:r>
</w:p>
<w:p>
<w:pPr><w:pStyle w:val="Normal"/></w:pPr>
<w:r><w:t xml:space="preserve">to Cyprus, receiving in return such commodities as Melian</w:t></w:r>
</w:p>
<w:p>
<w:pPr><w:pStyle w:val="Normal"/></w:pPr>
<w:r><w:t xml:space="preserve">obsidian knives.  A system of pictographic writing came into</w:t></w:r>
</w:p>
<w:p>
<w:pPr><w:pStyle w:val="Normal"/></w:pPr>
<w:r><w:t xml:space="preserve">use early in this Palace period, but only a few documents,</w:t></w:r>
</w:p>
<w:p>
<w:pPr><w:pStyle w:val="Normal"/></w:pPr>
<w:r><w:t xml:space="preserve">made of durable material, have survived.  Pictorial art of a</w:t></w:r>
</w:p>
<w:p>
<w:pPr><w:pStyle w:val="Normal"/></w:pPr>
<w:r><w:t xml:space="preserve">purely indigenous character, whether on ceramic material or</w:t></w:r>
</w:p>
<w:p>
<w:pPr><w:pStyle w:val="Normal"/></w:pPr>
<w:r><w:t xml:space="preserve">phster, made great strides, and from ceramic forms we may</w:t></w:r>
</w:p>
<w:p>
<w:pPr><w:pStyle w:val="Normal"/></w:pPr>
<w:r><w:t xml:space="preserve">legitimately infer also a high skill in metallurgy.  The</w:t></w:r>
</w:p>
<w:p>
<w:pPr><w:pStyle w:val="Normal"/></w:pPr>
<w:r><w:t xml:space="preserve">absence of fortifications both at Cnossus and Phaestus suggest</w:t></w:r>
</w:p>
<w:p>
<w:pPr><w:pStyle w:val="Normal"/></w:pPr>
<w:r><w:t xml:space="preserve">that at this time Crete was internally peaceful and externally</w:t></w:r>
</w:p>
<w:p>
<w:pPr><w:pStyle w:val="Normal"/></w:pPr>
<w:r><w:t xml:space="preserve">secure.  Small settlements, in very close relation with the</w:t></w:r>
</w:p>
<w:p>
<w:pPr><w:pStyle w:val="Normal"/></w:pPr>
<w:r><w:t xml:space="preserve">capital, were founded in the east of the island to command</w:t></w:r>
</w:p>
<w:p>
<w:pPr><w:pStyle w:val="Normal"/></w:pPr>
<w:r><w:t xml:space="preserve">fertile districts and assist maritime commerce.  Gournia and</w:t></w:r>
</w:p>
<w:p>
<w:pPr><w:pStyle w:val="Normal"/></w:pPr>
<w:r><w:t xml:space="preserve">Palaikastro fulfilled both these ends: Zakro must have had mainly</w:t></w:r>
</w:p>
<w:p>
<w:pPr><w:pStyle w:val="Normal"/></w:pPr>
<w:r><w:t xml:space="preserve">a commercial purpose, as the starting-point for the African</w:t></w:r>
</w:p>
<w:p>
<w:pPr><w:pStyle w:val="Normal"/></w:pPr>
<w:r><w:t xml:space="preserve">coast.  The acme of this dominion was reached about the end</w:t></w:r>
</w:p>
<w:p>
<w:pPr><w:pStyle w:val="Normal"/></w:pPr>
<w:r><w:t xml:space="preserve">of the 3rd millennium B.C., and thereafter there ensued a</w:t></w:r>
</w:p>
<w:p>
<w:pPr><w:pStyle w:val="Normal"/></w:pPr>
<w:r><w:t xml:space="preserve">certain, though not very serious, decline.  Meanwhile, at</w:t></w:r>
</w:p>
<w:p>
<w:pPr><w:pStyle w:val="Normal"/></w:pPr>
<w:r><w:t xml:space="preserve">other favourable spots in the Aegean, but chiefly, it appears,</w:t></w:r>
</w:p>
<w:p>
<w:pPr><w:pStyle w:val="Normal"/></w:pPr>
<w:r><w:t xml:space="preserve">on sites in easy relation to maritime commerce, e.g. Tiryns</w:t></w:r>
</w:p>
<w:p>
<w:pPr><w:pStyle w:val="Normal"/></w:pPr>
<w:r><w:t xml:space="preserve">and Hissarlik, other communities of the early race began to</w:t></w:r>
</w:p>
<w:p>
<w:pPr><w:pStyle w:val="Normal"/></w:pPr>
<w:r><w:t xml:space="preserve">arrive at civilization, but were naturally influenced by the</w:t></w:r>
</w:p>
<w:p>
<w:pPr><w:pStyle w:val="Normal"/></w:pPr>
<w:r><w:t xml:space="preserve">more advanced culture of Crete, in proportion to their nearness</w:t></w:r>
</w:p>
<w:p>
<w:pPr><w:pStyle w:val="Normal"/></w:pPr>
<w:r><w:t xml:space="preserve">of vicinity.  Early Hissarlik shows less Cretan influence</w:t></w:r>
</w:p>
<w:p>
<w:pPr><w:pStyle w:val="Normal"/></w:pPr>
<w:r><w:t xml:space="preserve">and more external (i.e. Asiatic) than early Melos.  The</w:t></w:r>
</w:p>
<w:p>
<w:pPr><w:pStyle w:val="Normal"/></w:pPr>
<w:r><w:t xml:space="preserve">inner Greek mainland remained still in a backward state.</w:t></w:r>
</w:p>
<w:p>
<w:pPr><w:pStyle w:val="Normal"/></w:pPr>
<w:r><w:t xml:space="preserve">Five hundred years later--about 1600 B.C.----we observe</w:t></w:r>
</w:p>
<w:p>
<w:pPr><w:pStyle w:val="Normal"/></w:pPr>
<w:r><w:t xml:space="preserve">that certain striking changes have taken place.  The Aegean</w:t></w:r>
</w:p>
<w:p>
<w:pPr><w:pStyle w:val="Normal"/></w:pPr>
<w:r><w:t xml:space="preserve">remains have become astonishingly uniform over the whole</w:t></w:r>
</w:p>
<w:p>
<w:pPr><w:pStyle w:val="Normal"/></w:pPr>
<w:r><w:t xml:space="preserve">area; the local ceramic developments have almost ceased and</w:t></w:r>
</w:p>
<w:p>
<w:pPr><w:pStyle w:val="Normal"/></w:pPr>
<w:r><w:t xml:space="preserve">been replaced by ware of one general type both of fabric</w:t></w:r>
</w:p>
<w:p>
<w:pPr><w:pStyle w:val="Normal"/></w:pPr>
<w:r><w:t xml:space="preserve">and decoration.  The Cretans have stayed their previous</w:t></w:r>
</w:p>
<w:p>
<w:pPr><w:pStyle w:val="Normal"/></w:pPr>
<w:r><w:t xml:space="preserve">decadence, and are once more possessors of a progressive</w:t></w:r>
</w:p>
<w:p>
<w:pPr><w:pStyle w:val="Normal"/></w:pPr>
<w:r><w:t xml:space="preserve">civilization.  They have developed a more convenient and</w:t></w:r>
</w:p>
<w:p>
<w:pPr><w:pStyle w:val="Normal"/></w:pPr>
<w:r><w:t xml:space="preserve">expressive written character by stages of which one is best</w:t></w:r>
</w:p>
<w:p>
<w:pPr><w:pStyle w:val="Normal"/></w:pPr>
<w:r><w:t xml:space="preserve">represented by the tablets of Hagia Triada.  The art of all</w:t></w:r>
</w:p>
<w:p>
<w:pPr><w:pStyle w:val="Normal"/></w:pPr>
<w:r><w:t xml:space="preserve">the area gives evidence of one spirit and common models; in</w:t></w:r>
</w:p>
<w:p>
<w:pPr><w:pStyle w:val="Normal"/></w:pPr>
<w:r><w:t xml:space="preserve">religious representations it shows the same anthropomorphic</w:t></w:r>
</w:p>
<w:p>
<w:pPr><w:pStyle w:val="Normal"/></w:pPr>
<w:r><w:t xml:space="preserve">personification and the same ritual furniture.  Objects produced</w:t></w:r>
</w:p>
<w:p>
<w:pPr><w:pStyle w:val="Normal"/></w:pPr>
<w:r><w:t xml:space="preserve">in one locality are found in others.  The area of Aegean</w:t></w:r>
</w:p>
<w:p>
<w:pPr><w:pStyle w:val="Normal"/></w:pPr>
<w:r><w:t xml:space="preserve">intercourse has widened and become more busy.  Commerce with</w:t></w:r>
</w:p>
<w:p>
<w:pPr><w:pStyle w:val="Normal"/></w:pPr>
<w:r><w:t xml:space="preserve">Egypt, for example, has increased in a marked degree, and</w:t></w:r>
</w:p>
<w:p>
<w:pPr><w:pStyle w:val="Normal"/></w:pPr>
<w:r><w:t xml:space="preserve">Aegean objects or imitations of them are found to have begun</w:t></w:r>
</w:p>
<w:p>
<w:pPr><w:pStyle w:val="Normal"/></w:pPr>
<w:r><w:t xml:space="preserve">to penetrate into Syria, inland Asia Minor, and the central</w:t></w:r>
</w:p>
<w:p>
<w:pPr><w:pStyle w:val="Normal"/></w:pPr>
<w:r><w:t xml:space="preserve">and western Mediterranean lands, e.g. Sicily, Sardinia and</w:t></w:r>
</w:p>
<w:p>
<w:pPr><w:pStyle w:val="Normal"/></w:pPr>
<w:r><w:t xml:space="preserve">Spain.  There can be little doubt that a strong power was</w:t></w:r>
</w:p>
<w:p>
<w:pPr><w:pStyle w:val="Normal"/></w:pPr>
<w:r><w:t xml:space="preserve">now fixed in one Aegean centre, and that all the area had</w:t></w:r>
</w:p>
<w:p>
<w:pPr><w:pStyle w:val="Normal"/></w:pPr>
<w:r><w:t xml:space="preserve">come under its political, social and artistic influence.</w:t></w:r>
</w:p>
<w:p>
<w:pPr><w:pStyle w:val="Normal"/></w:pPr>
<w:r><w:t xml:space="preserve">How was this brought about, and what was the imperial centre?</w:t></w:r>
</w:p>
<w:p>
<w:pPr><w:pStyle w:val="Normal"/></w:pPr>
<w:r><w:t xml:space="preserve">Some change seems to have come from the north; and there are</w:t></w:r>
</w:p>
<w:p>
<w:pPr><w:pStyle w:val="Normal"/></w:pPr>
<w:r><w:t xml:space="preserve">those who go so far as to say that the centre henceforward</w:t></w:r>
</w:p>
<w:p>
<w:pPr><w:pStyle w:val="Normal"/></w:pPr>
<w:r><w:t xml:space="preserve">was the Argolid, and especially ``golden&apos;&apos; Mycenae, whose</w:t></w:r>
</w:p>
<w:p>
<w:pPr><w:pStyle w:val="Normal"/></w:pPr>
<w:r><w:t xml:space="preserve">lords imposed a new type of palace and a modification of</w:t></w:r>
</w:p>
<w:p>
<w:pPr><w:pStyle w:val="Normal"/></w:pPr>
<w:r><w:t xml:space="preserve">Aegean art on all other Aegean lands.  Others again cite the</w:t></w:r>
</w:p>
<w:p>
<w:pPr><w:pStyle w:val="Normal"/></w:pPr>
<w:r><w:t xml:space="preserve">old established power and productivity of Crete; the immense</w:t></w:r>
</w:p>
<w:p>
<w:pPr><w:pStyle w:val="Normal"/></w:pPr>
<w:r><w:t xml:space="preserve">advantage it derived from insularity, natural fertility and</w:t></w:r>
</w:p>
<w:p>
<w:pPr><w:pStyle w:val="Normal"/></w:pPr>
<w:r><w:t xml:space="preserve">geographical relation to the wider area of east Mediterranean</w:t></w:r>
</w:p>
<w:p>
<w:pPr><w:pStyle w:val="Normal"/></w:pPr>
<w:r><w:t xml:space="preserve">civilizations; and the absence of evidence elsewhere for the</w:t></w:r>
</w:p>
<w:p>
<w:pPr><w:pStyle w:val="Normal"/></w:pPr>
<w:r><w:t xml:space="preserve">gradual growth of a culture powerful enough to dominate the</w:t></w:r>
</w:p>
<w:p>
<w:pPr><w:pStyle w:val="Normal"/></w:pPr>
<w:r><w:t xml:space="preserve">Aegean, They point to the fact that, even in the new period,</w:t></w:r>
</w:p>
<w:p>
<w:pPr><w:pStyle w:val="Normal"/></w:pPr>
<w:r><w:t xml:space="preserve">the palm for wealth and variety of civilized production still</w:t></w:r>
</w:p>
<w:p>
<w:pPr><w:pStyle w:val="Normal"/></w:pPr>
<w:r><w:t xml:space="preserve">remained with Crete.  There alone we have proof that the art</w:t></w:r>
</w:p>
<w:p>
<w:pPr><w:pStyle w:val="Normal"/></w:pPr>
<w:r><w:t xml:space="preserve">of writing was commonly practised, and there tribute-tallies</w:t></w:r>
</w:p>
<w:p>
<w:pPr><w:pStyle w:val="Normal"/></w:pPr>
<w:r><w:t xml:space="preserve">suggest an imperial organization; there the arts of painting</w:t></w:r>
</w:p>
<w:p>
<w:pPr><w:pStyle w:val="Normal"/></w:pPr>
<w:r><w:t xml:space="preserve">and sculpture in stone were most highly developed; there the</w:t></w:r>
</w:p>
<w:p>
<w:pPr><w:pStyle w:val="Normal"/></w:pPr>
<w:r><w:t xml:space="preserve">royal residences, which had never been violently destroyed,</w:t></w:r>
</w:p>
<w:p>
<w:pPr><w:pStyle w:val="Normal"/></w:pPr>
<w:r><w:t xml:space="preserve">though remodelled, continued unfortified; whereas on the</w:t></w:r>
</w:p>
<w:p>
<w:pPr><w:pStyle w:val="Normal"/></w:pPr>
<w:r><w:t xml:space="preserve">Greek mainland they required strong protective works.  The</w:t></w:r>
</w:p>
<w:p>
<w:pPr><w:pStyle w:val="Normal"/></w:pPr>
<w:r><w:t xml:space="preserve">golden treasure of the Mycenae graves, these critics urge, is</w:t></w:r>
</w:p>
<w:p>
<w:pPr><w:pStyle w:val="Normal"/></w:pPr>
<w:r><w:t xml:space="preserve">not more splendid than would have been found at Cnossus had</w:t></w:r>
</w:p>
<w:p>
<w:pPr><w:pStyle w:val="Normal"/></w:pPr>
<w:r><w:t xml:space="preserve">royal burials been spared by plunderers, or been happened upon</w:t></w:r>
</w:p>
<w:p>
<w:pPr><w:pStyle w:val="Normal"/></w:pPr>
<w:r><w:t xml:space="preserve">intact by modern explorers.  It is not impossible to combine</w:t></w:r>
</w:p>
<w:p>
<w:pPr><w:pStyle w:val="Normal"/></w:pPr>
<w:r><w:t xml:space="preserve">these views, and place the seat of power still in Crete,</w:t></w:r>
</w:p>
<w:p>
<w:pPr><w:pStyle w:val="Normal"/></w:pPr>
<w:r><w:t xml:space="preserve">but ascribe the renascence there to an influx of new blood</w:t></w:r>
</w:p>
<w:p>
<w:pPr><w:pStyle w:val="Normal"/></w:pPr>
<w:r><w:t xml:space="preserve">from the north, large enough to instil fresh vigour, but too</w:t></w:r>
</w:p>
<w:p>
<w:pPr><w:pStyle w:val="Normal"/></w:pPr>
<w:r><w:t xml:space="preserve">small to change the civilization in its essential character.</w:t></w:r>
</w:p>
<w:p>
<w:pPr><w:pStyle w:val="Normal"/></w:pPr>
<w:r><w:t xml:space="preserve">If this dominance was Cretan, it was short-lived.  The</w:t></w:r>
</w:p>
<w:p>
<w:pPr><w:pStyle w:val="Normal"/></w:pPr>
<w:r><w:t xml:space="preserve">security of the island was apparently violated not long after</w:t></w:r>
</w:p>
<w:p>
<w:pPr><w:pStyle w:val="Normal"/></w:pPr>
<w:r><w:t xml:space="preserve">1500 B.C., the Cnossian palace was sacked and burned, and</w:t></w:r>
</w:p>
<w:p>
<w:pPr><w:pStyle w:val="Normal"/></w:pPr>
<w:r><w:t xml:space="preserve">Cretan art suffered an irreparable blow.  As the comparatively</w:t></w:r>
</w:p>
<w:p>
<w:pPr><w:pStyle w:val="Normal"/></w:pPr>
<w:r><w:t xml:space="preserve">lifeless character which it possesses in the succeeding period</w:t></w:r>
</w:p>
<w:p>
<w:pPr><w:pStyle w:val="Normal"/></w:pPr>
<w:r><w:t xml:space="preserve">(III. 3) is coincident with a similar decadence all over the</w:t></w:r>
</w:p>
<w:p>
<w:pPr><w:pStyle w:val="Normal"/></w:pPr>
<w:r><w:t xml:space="preserve">Aegean area, we can hardly escape from the conclusion that</w:t></w:r>
</w:p>
<w:p>
<w:pPr><w:pStyle w:val="Normal"/></w:pPr>
<w:r><w:t xml:space="preserve">it was due to the invasion of all the Aegean lands (or at</w:t></w:r>
</w:p>
<w:p>
<w:pPr><w:pStyle w:val="Normal"/></w:pPr>
<w:r><w:t xml:space="preserve">least the Greek mainland and isles) by some less civilized</w:t></w:r>
</w:p>
<w:p>
<w:pPr><w:pStyle w:val="Normal"/></w:pPr>
<w:r><w:t xml:space="preserve">conquerors, who remained politically dominant, but, like</w:t></w:r>
</w:p>
<w:p>
<w:pPr><w:pStyle w:val="Normal"/></w:pPr>
<w:r><w:t xml:space="preserve">their forerunners, having no culture of their own, adopted,</w:t></w:r>
</w:p>
<w:p>
<w:pPr><w:pStyle w:val="Normal"/></w:pPr>
<w:r><w:t xml:space="preserve">while they spoiled, that which they found.  Who these were</w:t></w:r>
</w:p>
<w:p>
<w:pPr><w:pStyle w:val="Normal"/></w:pPr>
<w:r><w:t xml:space="preserve">we cannot say; but the probability is that they too came from</w:t></w:r>
</w:p>
<w:p>
<w:pPr><w:pStyle w:val="Normal"/></w:pPr>
<w:r><w:t xml:space="preserve">the north, and were precursors of the later ``Hellenes.&apos;&apos;</w:t></w:r>
</w:p>
<w:p>
<w:pPr><w:pStyle w:val="Normal"/></w:pPr>
<w:r><w:t xml:space="preserve">Under their rule peace was re-established, and art production</w:t></w:r>
</w:p>
<w:p>
<w:pPr><w:pStyle w:val="Normal"/></w:pPr>
<w:r><w:t xml:space="preserve">became again abundant among the subject population, though</w:t></w:r>
</w:p>
<w:p>
<w:pPr><w:pStyle w:val="Normal"/></w:pPr>
<w:r><w:t xml:space="preserve">of inferior quality.  The Cnossian palace was re-occupied in</w:t></w:r>
</w:p>
<w:p>
<w:pPr><w:pStyle w:val="Normal"/></w:pPr>
<w:r><w:t xml:space="preserve">its northern part by chieftains WHO have left numerous rich</w:t></w:r>
</w:p>
<w:p>
<w:pPr><w:pStyle w:val="Normal"/></w:pPr>
<w:r><w:t xml:space="preserve">graves; and general commercial intercourse must have been</w:t></w:r>
</w:p>
<w:p>
<w:pPr><w:pStyle w:val="Normal"/></w:pPr>
<w:r><w:t xml:space="preserve">resumed, for the uniformity of the decadent Aegean products</w:t></w:r>
</w:p>
<w:p>
<w:pPr><w:pStyle w:val="Normal"/></w:pPr>
<w:r><w:t xml:space="preserve">and their wide distribution become more marked than ever.</w:t></w:r>
</w:p>
<w:p>
<w:pPr><w:pStyle w:val="Normal"/></w:pPr>
<w:r><w:t xml:space="preserve">About 1000 B.C. there happened a final catastrophe.  The</w:t></w:r>
</w:p>
<w:p>
<w:pPr><w:pStyle w:val="Normal"/></w:pPr>
<w:r><w:t xml:space="preserve">palace at Cnossus was once more destroyed, and never rebuilt or</w:t></w:r>
</w:p>
<w:p>
<w:pPr><w:pStyle w:val="Normal"/></w:pPr>
<w:r><w:t xml:space="preserve">re-inhabited.  Iron took the place of Bronze, and Aegean</w:t></w:r>
</w:p>
<w:p>
<w:pPr><w:pStyle w:val="Normal"/></w:pPr>
<w:r><w:t xml:space="preserve">art, as a living thing, ceased on the Greek mainland and</w:t></w:r>
</w:p>
<w:p>
<w:pPr><w:pStyle w:val="Normal"/></w:pPr>
<w:r><w:t xml:space="preserve">in the Aegean isles including Crete, together with Aegean</w:t></w:r>
</w:p>
<w:p>
<w:pPr><w:pStyle w:val="Normal"/></w:pPr>
<w:r><w:t xml:space="preserve">writing.  In Cyprus, and perhaps on the south-west Anatolian</w:t></w:r>
</w:p>
<w:p>
<w:pPr><w:pStyle w:val="Normal"/></w:pPr>
<w:r><w:t xml:space="preserve">coasts, there is some reason to think that the cataclysm was</w:t></w:r>
</w:p>
<w:p>
<w:pPr><w:pStyle w:val="Normal"/></w:pPr>
<w:r><w:t xml:space="preserve">less complete, and Aegean art continued to languish, cut off</w:t></w:r>
</w:p>
<w:p>
<w:pPr><w:pStyle w:val="Normal"/></w:pPr>
<w:r><w:t xml:space="preserve">from its fountain-head.  Such artistic faculty as survived</w:t></w:r>
</w:p>
<w:p>
<w:pPr><w:pStyle w:val="Normal"/></w:pPr>
<w:r><w:t xml:space="preserve">elsewhere issued in the lifeless geometric style which is</w:t></w:r>
</w:p>
<w:p>
<w:pPr><w:pStyle w:val="Normal"/></w:pPr>
<w:r><w:t xml:space="preserve">reminiscent of the later Aegean, but wholly unworthy of</w:t></w:r>
</w:p>
<w:p>
<w:pPr><w:pStyle w:val="Normal"/></w:pPr>
<w:r><w:t xml:space="preserve">it.  Cremation took the place of burial of the dead.  This</w:t></w:r>
</w:p>
<w:p>
<w:pPr><w:pStyle w:val="Normal"/></w:pPr>
<w:r><w:t xml:space="preserve">great disaster, which cleared the ground for a new growth</w:t></w:r>
</w:p>
<w:p>
<w:pPr><w:pStyle w:val="Normal"/></w:pPr>
<w:r><w:t xml:space="preserve">of local art, was probably due to yet another incursion of</w:t></w:r>
</w:p>
<w:p>
<w:pPr><w:pStyle w:val="Normal"/></w:pPr>
<w:r><w:t xml:space="preserve">northern tribes, more barbarous than their predecessors, but</w:t></w:r>
</w:p>
<w:p>
<w:pPr><w:pStyle w:val="Normal"/></w:pPr>
<w:r><w:t xml:space="preserve">possessed of superior iron weapons---those tribes which later</w:t></w:r>
</w:p>
<w:p>
<w:pPr><w:pStyle w:val="Normal"/></w:pPr>
<w:r><w:t xml:space="preserve">Greek tradition and Homer knew as the Dorians.  They crushed</w:t></w:r>
</w:p>
<w:p>
<w:pPr><w:pStyle w:val="Normal"/></w:pPr>
<w:r><w:t xml:space="preserve">a civilization already hard hit; and it took two or three</w:t></w:r>
</w:p>
<w:p>
<w:pPr><w:pStyle w:val="Normal"/></w:pPr>
<w:r><w:t xml:space="preserve">centuries for the artistic spirit, instinct in the Aegean area,</w:t></w:r>
</w:p>
<w:p>
<w:pPr><w:pStyle w:val="Normal"/></w:pPr>
<w:r><w:t xml:space="preserve">and probably preserved in suspended animation by the survival</w:t></w:r>
</w:p>
<w:p>
<w:pPr><w:pStyle w:val="Normal"/></w:pPr>
<w:r><w:t xml:space="preserve">of Aegean racial elements, to blossom anew.  On this conquest</w:t></w:r>
</w:p>
<w:p>
<w:pPr><w:pStyle w:val="Normal"/></w:pPr>
<w:r><w:t xml:space="preserve">seems to have ensued a long period of unrest and popular</w:t></w:r>
</w:p>
<w:p>
<w:pPr><w:pStyle w:val="Normal"/></w:pPr>
<w:r><w:t xml:space="preserve">movements, known to Greek tradition as the Ionian Migration</w:t></w:r>
</w:p>
<w:p>
<w:pPr><w:pStyle w:val="Normal"/></w:pPr>
<w:r><w:t xml:space="preserve">and the Aeolic and Dorian ``colonizations&apos;&apos;; and when once more</w:t></w:r>
</w:p>
<w:p>
<w:pPr><w:pStyle w:val="Normal"/></w:pPr>
<w:r><w:t xml:space="preserve">we see the Aegean area clearly, it is dominated by Hellenes,</w:t></w:r>
</w:p>
<w:p>
<w:pPr><w:pStyle w:val="Normal"/></w:pPr>
<w:r><w:t xml:space="preserve">though it has not lost all memory of its earlier culture.</w:t></w:r>
</w:p>
<w:p>
<w:pPr><w:pStyle w:val="Normal"/></w:pPr>
<w:r><w:t xml:space="preserve">BIBLIOGRAPHY.--Much of the evidence is contained in</w:t></w:r>
</w:p>
<w:p>
<w:pPr><w:pStyle w:val="Normal"/></w:pPr>
<w:r><w:t xml:space="preserve">archaeological periodicals, especially Annual of the British</w:t></w:r>
</w:p>
<w:p>
<w:pPr><w:pStyle w:val="Normal"/></w:pPr>
<w:r><w:t xml:space="preserve">School at Athens (1900--); Monumenti Antichi and Rendiconti</w:t></w:r>
</w:p>
<w:p>
<w:pPr><w:pStyle w:val="Normal"/></w:pPr>
<w:r><w:t xml:space="preserve">d.  R. Ac. d.  Lincei (1901--); Ephemeris Archaiologike</w:t></w:r>
</w:p>
<w:p>
<w:pPr><w:pStyle w:val="Normal"/></w:pPr>
<w:r><w:t xml:space="preserve">(1885- ); Journal of Hellenic Studies, Athenische</w:t></w:r>
</w:p>
<w:p>
<w:pPr><w:pStyle w:val="Normal"/></w:pPr>
<w:r><w:t xml:space="preserve">Mittheilungen, Bulletin de correspondance hellenique,</w:t></w:r>
</w:p>
<w:p>
<w:pPr><w:pStyle w:val="Normal"/></w:pPr>
<w:r><w:t xml:space="preserve">American Journal of Archaeology, &amp;c. (all since about 1885).</w:t></w:r>
</w:p>
<w:p>
<w:pPr><w:pStyle w:val="Normal"/></w:pPr>
<w:r><w:t xml:space="preserve">SPECIAL WORKS: H. Schliemann&apos;s books (see SCHLIEMANN),</w:t></w:r>
</w:p>
<w:p>
<w:pPr><w:pStyle w:val="Normal"/></w:pPr>
<w:r><w:t xml:space="preserve">summarized by C. Schuchhardt, Schliemann&apos;s Excavations</w:t></w:r>
</w:p>
<w:p>
<w:pPr><w:pStyle w:val="Normal"/></w:pPr>
<w:r><w:t xml:space="preserve">(1891); Chr. Tsountas, Mukenai (1893); Chr. Tsountas and</w:t></w:r>
</w:p>
<w:p>
<w:pPr><w:pStyle w:val="Normal"/></w:pPr>
<w:r><w:t xml:space="preserve">J. I. Manatt, the Mycenaean Age (1897); G. Perrot and Ch.</w:t></w:r>
</w:p>
<w:p>
<w:pPr><w:pStyle w:val="Normal"/></w:pPr>
<w:r><w:t xml:space="preserve">Chipiez, Histoire de l&apos;art dans l&apos;antiquite, vol. vi.</w:t></w:r>
</w:p>
<w:p>
<w:pPr><w:pStyle w:val="Normal"/></w:pPr>
<w:r><w:t xml:space="preserve">(1895); W. Dorpfeld, Troja (1893) and Troja und Ilios</w:t></w:r>
</w:p>
<w:p>
<w:pPr><w:pStyle w:val="Normal"/></w:pPr>
<w:r><w:t xml:space="preserve">(1904); A. Furtwangler and G. Loschke, Mykenische</w:t></w:r>
</w:p>
<w:p>
<w:pPr><w:pStyle w:val="Normal"/></w:pPr>
<w:r><w:t xml:space="preserve">Vasen (1886); A. S. Murray, Excavations in Cyprus</w:t></w:r>
</w:p>
<w:p>
<w:pPr><w:pStyle w:val="Normal"/></w:pPr>
<w:r><w:t xml:space="preserve">(1900); W. Ridgeway, Early Age of Greece (1901 foll.);</w:t></w:r>
</w:p>
<w:p>
<w:pPr><w:pStyle w:val="Normal"/></w:pPr>
<w:r><w:t xml:space="preserve">H. R. Hall, The Oldest Civilization of Greece (1901);</w:t></w:r>
</w:p>
<w:p>
<w:pPr><w:pStyle w:val="Normal"/></w:pPr>
<w:r><w:t xml:space="preserve">A. J. Evans, ``Mycenaean Tree and Pillar Cult&apos;&apos; in Journ.</w:t></w:r>
</w:p>
<w:p>
<w:pPr><w:pStyle w:val="Normal"/></w:pPr>
<w:r><w:t xml:space="preserve">Hell.  Studies (1901) and ``Prehistoric Tombs of Knossos,&apos; in</w:t></w:r>
</w:p>
<w:p>
<w:pPr><w:pStyle w:val="Normal"/></w:pPr>
<w:r><w:t xml:space="preserve">Archaeologia (1905) F. Noack, Homerische Palaste (1903);</w:t></w:r>
</w:p>
<w:p>
<w:pPr><w:pStyle w:val="Normal"/></w:pPr>
<w:r><w:t xml:space="preserve">Excavations at Phylakopi, by members of the British School</w:t></w:r>
</w:p>
<w:p>
<w:pPr><w:pStyle w:val="Normal"/></w:pPr>
<w:r><w:t xml:space="preserve">at Athens (1904); Harriet A. Boyd (Mrs Hawes), Excavations</w:t></w:r>
</w:p>
<w:p>
<w:pPr><w:pStyle w:val="Normal"/></w:pPr>
<w:r><w:t xml:space="preserve">at Gournia (1901) . D. G. Hogarth, ``Aegean Religion&apos;&apos; in</w:t></w:r>
</w:p>
<w:p>
<w:pPr><w:pStyle w:val="Normal"/></w:pPr>
<w:r><w:t xml:space="preserve">Hastings&apos; Dict. of Religions (1906) For a recent view of</w:t></w:r>
</w:p>
<w:p>
<w:pPr><w:pStyle w:val="Normal"/></w:pPr>
<w:r><w:t xml:space="preserve">the place of Aegean civilization in the history of Hellenic</w:t></w:r>
</w:p>
<w:p>
<w:pPr><w:pStyle w:val="Normal"/></w:pPr>
<w:r><w:t xml:space="preserve">culture see Die Hellenische Kultur by F. Baumgarten, &amp;c.</w:t></w:r>
</w:p>
<w:p>
<w:pPr><w:pStyle w:val="Normal"/></w:pPr>
<w:r><w:t xml:space="preserve">(1905).  Various summaries, controversial articles, &amp;c., formerly</w:t></w:r>
</w:p>
<w:p>
<w:pPr><w:pStyle w:val="Normal"/></w:pPr>
<w:r><w:t xml:space="preserve">quoted, are now superseded by recent discoveries.  See also</w:t></w:r>
</w:p>
<w:p>
<w:pPr><w:pStyle w:val="Normal"/></w:pPr>
<w:r><w:t xml:space="preserve">CRETE, MYCENAE, TROAD, CERAMICS, PLATE, &amp;c. (D. G. H.)</w:t></w:r>
</w:p>
<w:p>
<w:pPr><w:pStyle w:val="Normal"/></w:pPr>
<w:r><w:t xml:space="preserve">AEGEAN SEA, a part of the Mediterranean Sea, being the</w:t></w:r>
</w:p>
<w:p>
<w:pPr><w:pStyle w:val="Normal"/></w:pPr>
<w:r><w:t xml:space="preserve">archipelago between Greece on the west and Asia Minor on the east,</w:t></w:r>
</w:p>
<w:p>
<w:pPr><w:pStyle w:val="Normal"/></w:pPr>
<w:r><w:t xml:space="preserve">bounded N. by European Turkey, and connected by the Dardanelles</w:t></w:r>
</w:p>
<w:p>
<w:pPr><w:pStyle w:val="Normal"/></w:pPr>
<w:r><w:t xml:space="preserve">with the Sea of Marmora, and so with the Black Sea. The name</w:t></w:r>
</w:p>
<w:p>
<w:pPr><w:pStyle w:val="Normal"/></w:pPr>
<w:r><w:t xml:space="preserve">Archipelago (q.v.) was formerly applied specifically to this</w:t></w:r>
</w:p>
<w:p>
<w:pPr><w:pStyle w:val="Normal"/></w:pPr>
<w:r><w:t xml:space="preserve">sea.  The origin of the namo Aegean is uncertain.  Various</w:t></w:r>
</w:p>
<w:p>
<w:pPr><w:pStyle w:val="Normal"/></w:pPr>
<w:r><w:t xml:space="preserve">derivations are given by the ancient grammarians--one from</w:t></w:r>
</w:p>
<w:p>
<w:pPr><w:pStyle w:val="Normal"/></w:pPr>
<w:r><w:t xml:space="preserve">the town of Aegae; another from Aegea, a queen of the Amazons</w:t></w:r>
</w:p>
<w:p>
<w:pPr><w:pStyle w:val="Normal"/></w:pPr>
<w:r><w:t xml:space="preserve">who perished in this sea; and a third from Aegeus, the father</w:t></w:r>
</w:p>
<w:p>
<w:pPr><w:pStyle w:val="Normal"/></w:pPr>
<w:r><w:t xml:space="preserve">of Theseus, who, supposing his son dead, drowned himself in</w:t></w:r>
</w:p>
<w:p>
<w:pPr><w:pStyle w:val="Normal"/></w:pPr>
<w:r><w:t xml:space="preserve">it.  The following are the chief islands: Thasos, in the</w:t></w:r>
</w:p>
<w:p>
<w:pPr><w:pStyle w:val="Normal"/></w:pPr>
<w:r><w:t xml:space="preserve">extreme north, off the Macedonian coast; Samothrace, fronting</w:t></w:r>
</w:p>
<w:p>
<w:pPr><w:pStyle w:val="Normal"/></w:pPr>
<w:r><w:t xml:space="preserve">the Gulf of Saros; Imbros and Lemnos, in prolongation of the</w:t></w:r>
</w:p>
<w:p>
<w:pPr><w:pStyle w:val="Normal"/></w:pPr>
<w:r><w:t xml:space="preserve">peninsula of Gallipoli ( Thracian Chersonese); Euboea, the</w:t></w:r>
</w:p>
<w:p>
<w:pPr><w:pStyle w:val="Normal"/></w:pPr>
<w:r><w:t xml:space="preserve">largest of all, lying close along the east coast of Greece;</w:t></w:r>
</w:p>
<w:p>
<w:pPr><w:pStyle w:val="Normal"/></w:pPr>
<w:r><w:t xml:space="preserve">the Northern Sporades, including Sciathos, Scopelos and</w:t></w:r>
</w:p>
<w:p>
<w:pPr><w:pStyle w:val="Normal"/></w:pPr>
<w:r><w:t xml:space="preserve">Halonesos, running out from the southern extremity of the</w:t></w:r>
</w:p>
<w:p>
<w:pPr><w:pStyle w:val="Normal"/></w:pPr>
<w:r><w:t xml:space="preserve">Thessalian coast, and Scyros, with its satellites, north-east</w:t></w:r>
</w:p>
<w:p>
<w:pPr><w:pStyle w:val="Normal"/></w:pPr>
<w:r><w:t xml:space="preserve">of Euboea; Lesbos and Chios; Samos and Nikaria; Cos, with</w:t></w:r>
</w:p>
<w:p>
<w:pPr><w:pStyle w:val="Normal"/></w:pPr>
<w:r><w:t xml:space="preserve">Calymnos to the north; all off Asia Minor, with the many</w:t></w:r>
</w:p>
<w:p>
<w:pPr><w:pStyle w:val="Normal"/></w:pPr>
<w:r><w:t xml:space="preserve">other islands of the Sporades; and, finally, the great group</w:t></w:r>
</w:p>
<w:p>
<w:pPr><w:pStyle w:val="Normal"/></w:pPr>
<w:r><w:t xml:space="preserve">of the Cyclades, of which the largest are Andros and Tenos,</w:t></w:r>
</w:p>
<w:p>
<w:pPr><w:pStyle w:val="Normal"/></w:pPr>
<w:r><w:t xml:space="preserve">Naxos and Paros.  Many of the Aegean islands, or chains of</w:t></w:r>
</w:p>
<w:p>
<w:pPr><w:pStyle w:val="Normal"/></w:pPr>
<w:r><w:t xml:space="preserve">islands, are actually prolongations of promontories of the</w:t></w:r>
</w:p>
<w:p>
<w:pPr><w:pStyle w:val="Normal"/></w:pPr>
<w:r><w:t xml:space="preserve">mainland.  Two main chains extend right across the sea---the</w:t></w:r>
</w:p>
<w:p>
<w:pPr><w:pStyle w:val="Normal"/></w:pPr>
<w:r><w:t xml:space="preserve">one through Scyros and Psara (between which shallow banks</w:t></w:r>
</w:p>
<w:p>
<w:pPr><w:pStyle w:val="Normal"/></w:pPr>
<w:r><w:t xml:space="preserve">intervene) to Chios and the hammer-shaped promontory east of</w:t></w:r>
</w:p>
<w:p>
<w:pPr><w:pStyle w:val="Normal"/></w:pPr>
<w:r><w:t xml:space="preserve">it; and the other running from the southeastern promontory</w:t></w:r>
</w:p>
<w:p>
<w:pPr><w:pStyle w:val="Normal"/></w:pPr>
<w:r><w:t xml:space="preserve">of Euboea and continuing the axis of that island, in a</w:t></w:r>
</w:p>
<w:p>
<w:pPr><w:pStyle w:val="Normal"/></w:pPr>
<w:r><w:t xml:space="preserve">southward curve through Andros, Tenos, Myconos, Nikaria and</w:t></w:r>
</w:p>
<w:p>
<w:pPr><w:pStyle w:val="Normal"/></w:pPr>
<w:r><w:t xml:space="preserve">Samos.  A third curve, from the south easternmost promontory</w:t></w:r>
</w:p>
<w:p>
<w:pPr><w:pStyle w:val="Normal"/></w:pPr>
<w:r><w:t xml:space="preserve">of the Peloponnese through Cerigo, Ctete, Carpathos and</w:t></w:r>
</w:p>
<w:p>
<w:pPr><w:pStyle w:val="Normal"/></w:pPr>
<w:r><w:t xml:space="preserve">Rhodes, marks off the outer deeps of the open Mediterranean</w:t></w:r>
</w:p>
<w:p>
<w:pPr><w:pStyle w:val="Normal"/></w:pPr>
<w:r><w:t xml:space="preserve">from the shallow seas of the archipelago, but the Cretan</w:t></w:r>
</w:p>
<w:p>
<w:pPr><w:pStyle w:val="Normal"/></w:pPr>
<w:r><w:t xml:space="preserve">Sea, in which depths occur over 1000 fathoms, intervenes,</w:t></w:r>
</w:p>
<w:p>
<w:pPr><w:pStyle w:val="Normal"/></w:pPr>
<w:r><w:t xml:space="preserve">north of the line, between it and the Aegean proper.  The</w:t></w:r>
</w:p>
<w:p>
<w:pPr><w:pStyle w:val="Normal"/></w:pPr>
<w:r><w:t xml:space="preserve">Aegotu itself is naturally divided by the island-chains and</w:t></w:r>
</w:p>
<w:p>
<w:pPr><w:pStyle w:val="Normal"/></w:pPr>
<w:r><w:t xml:space="preserve">the ridges from which they rise into a series of basins or</w:t></w:r>
</w:p>
<w:p>
<w:pPr><w:pStyle w:val="Normal"/></w:pPr>
<w:r><w:t xml:space="preserve">troughs, the 8leepest of which is that in the north, extending</w:t></w:r>
</w:p>
<w:p>
<w:pPr><w:pStyle w:val="Normal"/></w:pPr>
<w:r><w:t xml:space="preserve">from the coast of Thessaly fo the Gulf of Saros, and demarcated</w:t></w:r>
</w:p>
<w:p>
<w:pPr><w:pStyle w:val="Normal"/></w:pPr>
<w:r><w:t xml:space="preserve">southward by the Northern Sporades, Lemnos, Imbros and the</w:t></w:r>
</w:p>
<w:p>
<w:pPr><w:pStyle w:val="Normal"/></w:pPr>
<w:r><w:t xml:space="preserve">peninsula of Gallipoli.  The greater part of ths trough is</w:t></w:r>
</w:p>
<w:p>
<w:pPr><w:pStyle w:val="Normal"/></w:pPr>
<w:r><w:t xml:space="preserve">over 600 fathoms deep.  The profusion of islands and their</w:t></w:r>
</w:p>
<w:p>
<w:pPr><w:pStyle w:val="Normal"/></w:pPr>
<w:r><w:t xml:space="preserve">usually bold elevation give beauty and picturesqueness to</w:t></w:r>
</w:p>
<w:p>
<w:pPr><w:pStyle w:val="Normal"/></w:pPr>
<w:r><w:t xml:space="preserve">the sea, but its navigation is difficult and dangerous,</w:t></w:r>
</w:p>
<w:p>
<w:pPr><w:pStyle w:val="Normal"/></w:pPr>
<w:r><w:t xml:space="preserve">notwithstanding the large number of safe and commodious gulfs and</w:t></w:r>
</w:p>
<w:p>
<w:pPr><w:pStyle w:val="Normal"/></w:pPr>
<w:r><w:t xml:space="preserve">bays.  Many of the islands are of volcanic formation; and</w:t></w:r>
</w:p>
<w:p>
<w:pPr><w:pStyle w:val="Normal"/></w:pPr>
<w:r><w:t xml:space="preserve">a well-defined volcanic chain bounds the Cretan Sea on the</w:t></w:r>
</w:p>
<w:p>
<w:pPr><w:pStyle w:val="Normal"/></w:pPr>
<w:r><w:t xml:space="preserve">north, including Milo and foimolos, Santorin (Thera) and</w:t></w:r>
</w:p>
<w:p>
<w:pPr><w:pStyle w:val="Normal"/></w:pPr>
<w:r><w:t xml:space="preserve">Therasia, and extends to Nisyros.  Others, such as Paros, are</w:t></w:r>
</w:p>
<w:p>
<w:pPr><w:pStyle w:val="Normal"/></w:pPr>
<w:r><w:t xml:space="preserve">mainly composed of marble, and iron ore occurs in some.  The</w:t></w:r>
</w:p>
<w:p>
<w:pPr><w:pStyle w:val="Normal"/></w:pPr>
<w:r><w:t xml:space="preserve">larger islands have some fertile and well-watered valleys and</w:t></w:r>
</w:p>
<w:p>
<w:pPr><w:pStyle w:val="Normal"/></w:pPr>
<w:r><w:t xml:space="preserve">plains.  The chief productions are wheat, wine, oil, mastic,</w:t></w:r>
</w:p>
<w:p>
<w:pPr><w:pStyle w:val="Normal"/></w:pPr>
<w:r><w:t xml:space="preserve">figs, raisins, honey, wax, cotton and silk.  The people are</w:t></w:r>
</w:p>
<w:p>
<w:pPr><w:pStyle w:val="Normal"/></w:pPr>
<w:r><w:t xml:space="preserve">employed in fishing for coral and sponges, as well as for</w:t></w:r>
</w:p>
<w:p>
<w:pPr><w:pStyle w:val="Normal"/></w:pPr>
<w:r><w:t xml:space="preserve">bream, mullet and other fish.  The men are hardy, well built</w:t></w:r>
</w:p>
<w:p>
<w:pPr><w:pStyle w:val="Normal"/></w:pPr>
<w:r><w:t xml:space="preserve">and handsome; and the women are noted for their beauty, the</w:t></w:r>
</w:p>
<w:p>
<w:pPr><w:pStyle w:val="Normal"/></w:pPr>
<w:r><w:t xml:space="preserve">ancient Greek type being well preserved.  The Cyclades and</w:t></w:r>
</w:p>
<w:p>
<w:pPr><w:pStyle w:val="Normal"/></w:pPr>
<w:r><w:t xml:space="preserve">Northern Sporades, with Euboea and small islands under the</w:t></w:r>
</w:p>
<w:p>
<w:pPr><w:pStyle w:val="Normal"/></w:pPr>
<w:r><w:t xml:space="preserve">Greek shore, belong to Greece; the other islands to Turkey.</w:t></w:r>
</w:p>
<w:p>
<w:pPr><w:pStyle w:val="Normal"/></w:pPr>
<w:r><w:t xml:space="preserve">AEGEUS, in Greek legend, son of Pandion and grandson of Cecrops,</w:t></w:r>
</w:p>
<w:p>
<w:pPr><w:pStyle w:val="Normal"/></w:pPr>
<w:r><w:t xml:space="preserve">was king of Athens and the father of Theseus.  He was deposed</w:t></w:r>
</w:p>
<w:p>
<w:pPr><w:pStyle w:val="Normal"/></w:pPr>
<w:r><w:t xml:space="preserve">by his nephews, but Theseus defeated them and reinstated his</w:t></w:r>
</w:p>
<w:p>
<w:pPr><w:pStyle w:val="Normal"/></w:pPr>
<w:r><w:t xml:space="preserve">father.  When Theseus set out for Crete to deliver Athens from</w:t></w:r>
</w:p>
<w:p>
<w:pPr><w:pStyle w:val="Normal"/></w:pPr>
<w:r><w:t xml:space="preserve">the tribute to the Minotaur he promised Aegeus that, if he were</w:t></w:r>
</w:p>
<w:p>
<w:pPr><w:pStyle w:val="Normal"/></w:pPr>
<w:r><w:t xml:space="preserve">successful, he would change the black sail carried by his ship</w:t></w:r>
</w:p>
<w:p>
<w:pPr><w:pStyle w:val="Normal"/></w:pPr>
<w:r><w:t xml:space="preserve">for a white one.  But, on his return, he forgot to hoist the</w:t></w:r>
</w:p>
<w:p>
<w:pPr><w:pStyle w:val="Normal"/></w:pPr>
<w:r><w:t xml:space="preserve">white sail, and his father, supposing that his son had lost his</w:t></w:r>
</w:p>
<w:p>
<w:pPr><w:pStyle w:val="Normal"/></w:pPr>
<w:r><w:t xml:space="preserve">life, threw himself from a high rock on which he was, keeping</w:t></w:r>
</w:p>
<w:p>
<w:pPr><w:pStyle w:val="Normal"/></w:pPr>
<w:r><w:t xml:space="preserve">watch into the sea, which was afterwards called the Aegean.</w:t></w:r>
</w:p>
<w:p>
<w:pPr><w:pStyle w:val="Normal"/></w:pPr>
<w:r><w:t xml:space="preserve">The Athenians honoured him with a statue and a shrine, and one</w:t></w:r>
</w:p>
<w:p>
<w:pPr><w:pStyle w:val="Normal"/></w:pPr>
<w:r><w:t xml:space="preserve">of the Attic demes was named after him.  Plutarch, Theseus;</w:t></w:r>
</w:p>
<w:p>
<w:pPr><w:pStyle w:val="Normal"/></w:pPr>
<w:r><w:t xml:space="preserve">Pausanias i. 22; Hyginus, Fab. 43; Catullus lxiv. 207.</w:t></w:r>
</w:p>
<w:p>
<w:pPr><w:pStyle w:val="Normal"/></w:pPr>
<w:r><w:t xml:space="preserve">AEGINA (EGINA or ENGIA), an island of Greece in the Saronic</w:t></w:r>
</w:p>
<w:p>
<w:pPr><w:pStyle w:val="Normal"/></w:pPr>
<w:r><w:t xml:space="preserve">Gulf, 20 m. from the Peiraeus Tradition derives the name from</w:t></w:r>
</w:p>
<w:p>
<w:pPr><w:pStyle w:val="Normal"/></w:pPr>
<w:r><w:t xml:space="preserve">Aegina, the mother of Aeacus, who was born in and ruled the</w:t></w:r>
</w:p>
<w:p>
<w:pPr><w:pStyle w:val="Normal"/></w:pPr>
<w:r><w:t xml:space="preserve">island.  In Shape Aegina is triangular, 8 m. long from</w:t></w:r>
</w:p>
<w:p>
<w:pPr><w:pStyle w:val="Normal"/></w:pPr>
<w:r><w:t xml:space="preserve">N.W. to S.E., and 6 m. broad, with an area of about 41 sq.</w:t></w:r>
</w:p>
<w:p>
<w:pPr><w:pStyle w:val="Normal"/></w:pPr>
<w:r><w:t xml:space="preserve">m.  The western side consists of stony but fertile plains,</w:t></w:r>
</w:p>
<w:p>
<w:pPr><w:pStyle w:val="Normal"/></w:pPr>
<w:r><w:t xml:space="preserve">which are well cultivated and produce luxuriant crops of</w:t></w:r>
</w:p>
<w:p>
<w:pPr><w:pStyle w:val="Normal"/></w:pPr>
<w:r><w:t xml:space="preserve">grain, with some cotton, vines, almonds and figs.  The rest</w:t></w:r>
</w:p>
<w:p>
<w:pPr><w:pStyle w:val="Normal"/></w:pPr>
<w:r><w:t xml:space="preserve">of the island is rugged and mountainous.  The southern end</w:t></w:r>
</w:p>
<w:p>
<w:pPr><w:pStyle w:val="Normal"/></w:pPr>
<w:r><w:t xml:space="preserve">rises in the conical Mount Oros, and the Panhellenian ridge</w:t></w:r>
</w:p>
<w:p>
<w:pPr><w:pStyle w:val="Normal"/></w:pPr>
<w:r><w:t xml:space="preserve">stretches northward with narrow fertile valleys on either</w:t></w:r>
</w:p>
<w:p>
<w:pPr><w:pStyle w:val="Normal"/></w:pPr>
<w:r><w:t xml:space="preserve">side.  From the absence of marshes the climate is the most</w:t></w:r>
</w:p>
<w:p>
<w:pPr><w:pStyle w:val="Normal"/></w:pPr>
<w:r><w:t xml:space="preserve">healthy in Greece.  The island forms part of the modern</w:t></w:r>
</w:p>
<w:p>
<w:pPr><w:pStyle w:val="Normal"/></w:pPr>
<w:r><w:t xml:space="preserve">Uomos of Attica and Boeotia, of which it forms an eparchy.</w:t></w:r>
</w:p>
<w:p>
<w:pPr><w:pStyle w:val="Normal"/></w:pPr>
<w:r><w:t xml:space="preserve">The sponge fisheries are of considerable importance.  The</w:t></w:r>
</w:p>
<w:p>
<w:pPr><w:pStyle w:val="Normal"/></w:pPr>
<w:r><w:t xml:space="preserve">chief town is Aegina, situated at the north-west end of the</w:t></w:r>
</w:p>
<w:p>
<w:pPr><w:pStyle w:val="Normal"/></w:pPr>
<w:r><w:t xml:space="preserve">island, the summer residence of many Athenian merchants.  Capo</w:t></w:r>
</w:p>
<w:p>
<w:pPr><w:pStyle w:val="Normal"/></w:pPr>
<w:r><w:t xml:space="preserve">d&apos;Istria, to whom there is a statue in the principal square,</w:t></w:r>
</w:p>
<w:p>
<w:pPr><w:pStyle w:val="Normal"/></w:pPr>
<w:r><w:t xml:space="preserve">erected there a large building, intended for a barracks,</w:t></w:r>
</w:p>
<w:p>
<w:pPr><w:pStyle w:val="Normal"/></w:pPr>
<w:r><w:t xml:space="preserve">which was subsequently used as a museum, a library and a</w:t></w:r>
</w:p>
<w:p>
<w:pPr><w:pStyle w:val="Normal"/></w:pPr>
<w:r><w:t xml:space="preserve">school.  The museum was the first institution of its kind in</w:t></w:r>
</w:p>
<w:p>
<w:pPr><w:pStyle w:val="Normal"/></w:pPr>
<w:r><w:t xml:space="preserve">Greece, but the collection was transferred to Athens in 1834.</w:t></w:r>
</w:p>
<w:p>
<w:pPr><w:pStyle w:val="Normal"/></w:pPr>
<w:r><w:t xml:space="preserve">Antiquities.--The archaeological interest of Aegina is</w:t></w:r>
</w:p>
<w:p>
<w:pPr><w:pStyle w:val="Normal"/></w:pPr>
<w:r><w:t xml:space="preserve">centred in the well-known temlple on the ridge near the northern</w:t></w:r>
</w:p>
<w:p>
<w:pPr><w:pStyle w:val="Normal"/></w:pPr>
<w:r><w:t xml:space="preserve">corner of the island.  Excavations were made on its site in</w:t></w:r>
</w:p>
<w:p>
<w:pPr><w:pStyle w:val="Normal"/></w:pPr>
<w:r><w:t xml:space="preserve">1811 by Baron Haller von Hallerstein and the English architect</w:t></w:r>
</w:p>
<w:p>
<w:pPr><w:pStyle w:val="Heading1"/></w:pPr>
<w:r><w:t>C. R. Cockerell, who discovered a considerable amount of</w:t></w:r>
</w:p>
<w:p>
<w:pPr><w:pStyle w:val="Normal"/></w:pPr>
<w:r><w:t xml:space="preserve">sculpture from the pediments, which was bought in 1812 by the</w:t></w:r>
</w:p>
<w:p>
<w:pPr><w:pStyle w:val="Normal"/></w:pPr>
<w:r><w:t xml:space="preserve">crown prince Louis of Bavaria; the groups were set up in the</w:t></w:r>
</w:p>
<w:p>
<w:pPr><w:pStyle w:val="Normal"/></w:pPr>
<w:r><w:t xml:space="preserve">Glyptothek at Munich after the figures had been restored by B.</w:t></w:r>
</w:p>
<w:p>
<w:pPr><w:pStyle w:val="Normal"/></w:pPr>
<w:r><w:t xml:space="preserve">Thorvaldsen.  Their restoration was somewhat drastic, the ancient</w:t></w:r>
</w:p>
<w:p>
<w:pPr><w:pStyle w:val="Normal"/></w:pPr>
<w:r><w:t xml:space="preserve">parts being cut away to allow of additions in marble, and the</w:t></w:r>
</w:p>
<w:p>
<w:pPr><w:pStyle w:val="Normal"/></w:pPr>
<w:r><w:t xml:space="preserve">new parts treated in imitation of the ancient weathering.</w:t></w:r>
</w:p>
<w:p>
<w:pPr><w:pStyle w:val="Normal"/></w:pPr>
<w:r><w:t xml:space="preserve">Various conjectures were made as to the arrangement of the</w:t></w:r>
</w:p>
<w:p>
<w:pPr><w:pStyle w:val="Normal"/></w:pPr>
<w:r><w:t xml:space="preserve">figures.  That according to which they were set up at Munich</w:t></w:r>
</w:p>
<w:p>
<w:pPr><w:pStyle w:val="Normal"/></w:pPr>
<w:r><w:t xml:space="preserve">was in the main suggested by Cockerell; in the middle of each</w:t></w:r>
</w:p>
<w:p>
<w:pPr><w:pStyle w:val="Normal"/></w:pPr>
<w:r><w:t xml:space="preserve">pediment was a figure of Athena, set well back, and a fallen</w:t></w:r>
</w:p>
<w:p>
<w:pPr><w:pStyle w:val="Normal"/></w:pPr>
<w:r><w:t xml:space="preserve">warrior at her feet; on each side were standing spearmen, kneel</w:t></w:r>
</w:p>
<w:p>
<w:pPr><w:pStyle w:val="Normal"/></w:pPr>
<w:r><w:t xml:space="preserve">ing spearmen and bowmen, all facing towards the centre of the</w:t></w:r>
</w:p>
<w:p>
<w:pPr><w:pStyle w:val="Normal"/></w:pPr>
<w:r><w:t xml:space="preserve">composition; the corners were filled with fallen warriors.  In</w:t></w:r>
</w:p>
<w:p>
<w:pPr><w:pStyle w:val="Normal"/></w:pPr>
<w:r><w:t xml:space="preserve">1901 Professor Furtwangler began a more systematic excavation</w:t></w:r>
</w:p>
<w:p>
<w:pPr><w:pStyle w:val="Normal"/></w:pPr>
<w:r><w:t xml:space="preserve">of the site, and the new discoveries he then made, together</w:t></w:r>
</w:p>
<w:p>
<w:pPr><w:pStyle w:val="Normal"/></w:pPr>
<w:r><w:t xml:space="preserve">with a fresh and complete study of the figures and fragments</w:t></w:r>
</w:p>
<w:p>
<w:pPr><w:pStyle w:val="Normal"/></w:pPr>
<w:r><w:t xml:space="preserve">in Munich, have led to a rearrangement of the whole, which,</w:t></w:r>
</w:p>
<w:p>
<w:pPr><w:pStyle w:val="Normal"/></w:pPr>
<w:r><w:t xml:space="preserve">if not certain in all details, may be regarded as approaching</w:t></w:r>
</w:p>
<w:p>
<w:pPr><w:pStyle w:val="Normal"/></w:pPr>
<w:r><w:t xml:space="preserve">finality.  According to this the figures of combatants do not</w:t></w:r>
</w:p>
<w:p>
<w:pPr><w:pStyle w:val="Normal"/></w:pPr>
<w:r><w:t xml:space="preserve">all face towards the centre, but are broken up, as in other</w:t></w:r>
</w:p>
<w:p>
<w:pPr><w:pStyle w:val="Normal"/></w:pPr>
<w:r><w:t xml:space="preserve">early compositions, into a series of groups of two or three</w:t></w:r>
</w:p>
<w:p>
<w:pPr><w:pStyle w:val="Normal"/></w:pPr>
<w:r><w:t xml:space="preserve">figures each.  A figure of Athena still occupies the centre</w:t></w:r>
</w:p>
<w:p>
<w:pPr><w:pStyle w:val="Normal"/></w:pPr>
<w:r><w:t xml:space="preserve">of each pediment, but is set farther forward than in the old</w:t></w:r>
</w:p>
<w:p>
<w:pPr><w:pStyle w:val="Normal"/></w:pPr>
<w:r><w:t xml:space="preserve">reconstruction.  On each side of this, in the western pediment,</w:t></w:r>
</w:p>
<w:p>
<w:pPr><w:pStyle w:val="Normal"/></w:pPr>
<w:r><w:t xml:space="preserve">is a group of two combatants over a fallen warrior; in the</w:t></w:r>
</w:p>
<w:p>
<w:pPr><w:pStyle w:val="Normal"/></w:pPr>
<w:r><w:t xml:space="preserve">eastern pediment, a warrior whose opponent is falling into the</w:t></w:r>
</w:p>
<w:p>
<w:pPr><w:pStyle w:val="Normal"/></w:pPr>
<w:r><w:t xml:space="preserve">arms of a supporting figure; other figures also--the bowmen</w:t></w:r>
</w:p>
<w:p>
<w:pPr><w:pStyle w:val="Normal"/></w:pPr>
<w:r><w:t xml:space="preserve">especially---face towards the angles, and so give more variety</w:t></w:r>
</w:p>
<w:p>
<w:pPr><w:pStyle w:val="Normal"/></w:pPr>
<w:r><w:t xml:space="preserve">to the composition.  The western pediment, which is more</w:t></w:r>
</w:p>
<w:p>
<w:pPr><w:pStyle w:val="Normal"/></w:pPr>
<w:r><w:t xml:space="preserve">conservative in type, represents the earlier expedition of</w:t></w:r>
</w:p>
<w:p>
<w:pPr><w:pStyle w:val="Normal"/></w:pPr>
<w:r><w:t xml:space="preserve">Heracles and Telamon against Troy; the eastern, which is bolder</w:t></w:r>
</w:p>
<w:p>
<w:pPr><w:pStyle w:val="Normal"/></w:pPr>
<w:r><w:t xml:space="preserve">and more advanced, probably refers to episodes in the Trojan</w:t></w:r>
</w:p>
<w:p>
<w:pPr><w:pStyle w:val="Normal"/></w:pPr>
<w:r><w:t xml:space="preserve">war.  There are also remains of a third pediment, which may</w:t></w:r>
</w:p>
<w:p>
<w:pPr><w:pStyle w:val="Normal"/></w:pPr>
<w:r><w:t xml:space="preserve">have been produced in competition, but never placed on the</w:t></w:r>
</w:p>
<w:p>
<w:pPr><w:pStyle w:val="Normal"/></w:pPr>
<w:r><w:t xml:space="preserve">temple.  For the character of the sculptures see GREEK ART. The</w:t></w:r>
</w:p>
<w:p>
<w:pPr><w:pStyle w:val="Normal"/></w:pPr>
<w:r><w:t xml:space="preserve">plan of the temple is chiefly remarkable for the unsymmetrically</w:t></w:r>
</w:p>
<w:p>
<w:pPr><w:pStyle w:val="Normal"/></w:pPr>
<w:r><w:t xml:space="preserve">placed door leading from the back of the cella into the</w:t></w:r>
</w:p>
<w:p>
<w:pPr><w:pStyle w:val="Normal"/></w:pPr>
<w:r><w:t xml:space="preserve">opisthodomus.  This opisthodomus was completely fenced in</w:t></w:r>
</w:p>
<w:p>
<w:pPr><w:pStyle w:val="Normal"/></w:pPr>
<w:r><w:t xml:space="preserve">with bronze gratings; and the excavators believe it to have</w:t></w:r>
</w:p>
<w:p>
<w:pPr><w:pStyle w:val="Normal"/></w:pPr>
<w:r><w:t xml:space="preserve">been adapted for use as an adytum (shrine).  It was disputed</w:t></w:r>
</w:p>
<w:p>
<w:pPr><w:pStyle w:val="Normal"/></w:pPr>
<w:r><w:t xml:space="preserve">in earlier times whether the temple was dedicated to Zeus or</w:t></w:r>
</w:p>
<w:p>
<w:pPr><w:pStyle w:val="Normal"/></w:pPr>
<w:r><w:t xml:space="preserve">Athena.  Inscriptions found by the recent excavations seem to</w:t></w:r>
</w:p>
<w:p>
<w:pPr><w:pStyle w:val="Normal"/></w:pPr>
<w:r><w:t xml:space="preserve">prove that it must be identified as the shrine of the local goddess</w:t></w:r>
</w:p>
<w:p>
<w:pPr><w:pStyle w:val="Normal"/></w:pPr>
<w:r><w:t xml:space="preserve">Aphaea, identified by Pausanias with Britomartis and Dictynna.</w:t></w:r>
</w:p>
<w:p>
<w:pPr><w:pStyle w:val="Normal"/></w:pPr>
<w:r><w:t xml:space="preserve">The excavations have laid bare several other buildings,</w:t></w:r>
</w:p>
<w:p>
<w:pPr><w:pStyle w:val="Normal"/></w:pPr>
<w:r><w:t xml:space="preserve">including an altar, early propylaea, houses for the</w:t></w:r>
</w:p>
<w:p>
<w:pPr><w:pStyle w:val="Normal"/></w:pPr>
<w:r><w:t xml:space="preserve">priests and remains of an earlier temple.  The present</w:t></w:r>
</w:p>
<w:p>
<w:pPr><w:pStyle w:val="Normal"/></w:pPr>
<w:r><w:t xml:space="preserve">temple probably dates from the time of the Persian wars.</w:t></w:r>
</w:p>
<w:p>
<w:pPr><w:pStyle w:val="Normal"/></w:pPr>
<w:r><w:t xml:space="preserve">In the town of Aegina itself are the remains of another</w:t></w:r>
</w:p>
<w:p>
<w:pPr><w:pStyle w:val="Normal"/></w:pPr>
<w:r><w:t xml:space="preserve">temple, dedicated to Aphrodite; one column of this still</w:t></w:r>
</w:p>
<w:p>
<w:pPr><w:pStyle w:val="Normal"/></w:pPr>
<w:r><w:t xml:space="preserve">remains standing, and its foundations are fairly preserved.</w:t></w:r>
</w:p>
<w:p>
<w:pPr><w:pStyle w:val="Normal"/></w:pPr>
<w:r><w:t xml:space="preserve">AUTHORITIES.--Antiquities of Ionia (London, 1797), ii. pl.</w:t></w:r>
</w:p>
<w:p>
<w:pPr><w:pStyle w:val="Normal"/></w:pPr>
<w:r><w:t xml:space="preserve">ii.-vii.; C. R. Cockerell, The Temples of Jupiter Panhellenius at</w:t></w:r>
</w:p>
<w:p>
<w:pPr><w:pStyle w:val="Normal"/></w:pPr>
<w:r><w:t xml:space="preserve">Aegina, &amp;c. (London, 186O); Ch. Gareier, Le Temple de Jupiter</w:t></w:r>
</w:p>
<w:p>
<w:pPr><w:pStyle w:val="Normal"/></w:pPr>
<w:r><w:t xml:space="preserve">Panhellenien a Egine (Paris, 1884); Ad. Furtwangler and</w:t></w:r>
</w:p>
<w:p>
<w:pPr><w:pStyle w:val="Normal"/></w:pPr>
<w:r><w:t xml:space="preserve">others, Aegina, Heiligtum der App Munich, 1906), where</w:t></w:r>
</w:p>
<w:p>
<w:pPr><w:pStyle w:val="Normal"/></w:pPr>
<w:r><w:t xml:space="preserve">earlier authorities are collected and discussed. (E. GR.)</w:t></w:r>
</w:p>
<w:p>
<w:pPr><w:pStyle w:val="Normal"/></w:pPr>
<w:r><w:t xml:space="preserve">History.--(1) Ancient. Aegina, according to Herodotus (v.</w:t></w:r>
</w:p>
<w:p>
<w:pPr><w:pStyle w:val="Normal"/></w:pPr>
<w:r><w:t xml:space="preserve">83), was a colony of Epidaurus, to which state it was originally</w:t></w:r>
</w:p>
<w:p>
<w:pPr><w:pStyle w:val="Normal"/></w:pPr>
<w:r><w:t xml:space="preserve">subject.  The discovery in the island of a number of gold</w:t></w:r>
</w:p>
<w:p>
<w:pPr><w:pStyle w:val="Normal"/></w:pPr>
<w:r><w:t xml:space="preserve">ornaments belonging to the latest period of Mycenaean art</w:t></w:r>
</w:p>
<w:p>
<w:pPr><w:pStyle w:val="Normal"/></w:pPr>
<w:r><w:t xml:space="preserve">suggests the inference that the Mycenaean culture held its own</w:t></w:r>
</w:p>
<w:p>
<w:pPr><w:pStyle w:val="Normal"/></w:pPr>
<w:r><w:t xml:space="preserve">in Aegina for some generations after the Dorian conquest of</w:t></w:r>
</w:p>
<w:p>
<w:pPr><w:pStyle w:val="Normal"/></w:pPr>
<w:r><w:t xml:space="preserve">Argos and Lacedaemon (see A. J. Evans, in Journal of Hellenic</w:t></w:r>
</w:p>
<w:p>
<w:pPr><w:pStyle w:val="Normal"/></w:pPr>
<w:r><w:t xml:space="preserve">Studies, vol. xiii. p. 195).  It is probable that the island</w:t></w:r>
</w:p>
<w:p>
<w:pPr><w:pStyle w:val="Normal"/></w:pPr>
<w:r><w:t xml:space="preserve">was not dorized before the 9th century B.C. One of the</w:t></w:r>
</w:p>
<w:p>
<w:pPr><w:pStyle w:val="Normal"/></w:pPr>
<w:r><w:t xml:space="preserve">earliest facts known to us in its history is its membership</w:t></w:r>
</w:p>
<w:p>
<w:pPr><w:pStyle w:val="Normal"/></w:pPr>
<w:r><w:t xml:space="preserve">in the League of Cabauria, which included, besides Aegina,</w:t></w:r>
</w:p>
<w:p>
<w:pPr><w:pStyle w:val="Normal"/></w:pPr>
<w:r><w:t xml:space="preserve">Athens, the Minyan (Boeotian) Orchomenos, Troezen, Hermione,</w:t></w:r>
</w:p>
<w:p>
<w:pPr><w:pStyle w:val="Normal"/></w:pPr>
<w:r><w:t xml:space="preserve">Nauplia and Prasiae, and was probably an organization of states</w:t></w:r>
</w:p>
<w:p>
<w:pPr><w:pStyle w:val="Normal"/></w:pPr>
<w:r><w:t xml:space="preserve">which were still Mycenaean, for the oppression of the piracy</w:t></w:r>
</w:p>
<w:p>
<w:pPr><w:pStyle w:val="Normal"/></w:pPr>
<w:r><w:t xml:space="preserve">which had sprung up in the Aegean as a result of the decay</w:t></w:r>
</w:p>
<w:p>
<w:pPr><w:pStyle w:val="Normal"/></w:pPr>
<w:r><w:t xml:space="preserve">of the naval supremacy of the Mycenaean princes.  It follows,</w:t></w:r>
</w:p>
<w:p>
<w:pPr><w:pStyle w:val="Normal"/></w:pPr>
<w:r><w:t xml:space="preserve">therefore, that the maritime importance of the island dates back</w:t></w:r>
</w:p>
<w:p>
<w:pPr><w:pStyle w:val="Normal"/></w:pPr>
<w:r><w:t xml:space="preserve">to pre-Dorian times.  It is usually stated on the authority of</w:t></w:r>
</w:p>
<w:p>
<w:pPr><w:pStyle w:val="Normal"/></w:pPr>
<w:r><w:t xml:space="preserve">Ephorus, that Pheidon (q.v.) of Argos established a mint in</w:t></w:r>
</w:p>
<w:p>
<w:pPr><w:pStyle w:val="Normal"/></w:pPr>
<w:r><w:t xml:space="preserve">Aegina.  Though this statement is probably to be rejected,</w:t></w:r>
</w:p>
<w:p>
<w:pPr><w:pStyle w:val="Normal"/></w:pPr>
<w:r><w:t xml:space="preserve">it may be regarded as certain that Aegina was the first state</w:t></w:r>
</w:p>
<w:p>
<w:pPr><w:pStyle w:val="Normal"/></w:pPr>
<w:r><w:t xml:space="preserve">of European Greece to coin money.  Thus it was the Aeginetans</w:t></w:r>
</w:p>
<w:p>
<w:pPr><w:pStyle w:val="Normal"/></w:pPr>
<w:r><w:t xml:space="preserve">who, within thirty or forty years of the invention of coinage</w:t></w:r>
</w:p>
<w:p>
<w:pPr><w:pStyle w:val="Normal"/></w:pPr>
<w:r><w:t xml:space="preserve">by the Lydians (c. 700 B.C.), introduced to the western</w:t></w:r>
</w:p>
<w:p>
<w:pPr><w:pStyle w:val="Normal"/></w:pPr>
<w:r><w:t xml:space="preserve">world a system of such incalculable value to trade.  The fact</w:t></w:r>
</w:p>
<w:p>
<w:pPr><w:pStyle w:val="Normal"/></w:pPr>
<w:r><w:t xml:space="preserve">that the Aeginetan scale of coins, weights and measures was</w:t></w:r>
</w:p>
<w:p>
<w:pPr><w:pStyle w:val="Normal"/></w:pPr>
<w:r><w:t xml:space="preserve">one of the two scales in general use in the Greek world is</w:t></w:r>
</w:p>
<w:p>
<w:pPr><w:pStyle w:val="Normal"/></w:pPr>
<w:r><w:t xml:space="preserve">sufficient evidence of the early commercial importance of the</w:t></w:r>
</w:p>
<w:p>
<w:pPr><w:pStyle w:val="Normal"/></w:pPr>
<w:r><w:t xml:space="preserve">island.  It appears to have belonged to the Eretrian league;</w:t></w:r>
</w:p>
<w:p>
<w:pPr><w:pStyle w:val="Normal"/></w:pPr>
<w:r><w:t xml:space="preserve">hence, perhaps, we may explain the war with Samos, a leading</w:t></w:r>
</w:p>
<w:p>
<w:pPr><w:pStyle w:val="Normal"/></w:pPr>
<w:r><w:t xml:space="preserve">member of the rival Chalcidian league in the reign of King</w:t></w:r>
</w:p>
<w:p>
<w:pPr><w:pStyle w:val="Normal"/></w:pPr>
<w:r><w:t xml:space="preserve">Amphicrates (Herod. iii. 59), i.e. not later than the</w:t></w:r>
</w:p>
<w:p>
<w:pPr><w:pStyle w:val="Normal"/></w:pPr>
<w:r><w:t xml:space="preserve">earlier half of the 7th century B.C. In the next century</w:t></w:r>
</w:p>
<w:p>
<w:pPr><w:pStyle w:val="Normal"/></w:pPr>
<w:r><w:t xml:space="preserve">Aegina is one of the three principal states trading at the</w:t></w:r>
</w:p>
<w:p>
<w:pPr><w:pStyle w:val="Normal"/></w:pPr>
<w:r><w:t xml:space="preserve">emporium of Naucratis (q.v.), and it is the only state of</w:t></w:r>
</w:p>
<w:p>
<w:pPr><w:pStyle w:val="Normal"/></w:pPr>
<w:r><w:t xml:space="preserve">European Greece that has a share in this factory (Herod. ii.</w:t></w:r>
</w:p>
<w:p>
<w:pPr><w:pStyle w:val="Normal"/></w:pPr>
<w:r><w:t xml:space="preserve">178).  At the beginning of the 5th century it seems to have</w:t></w:r>
</w:p>
<w:p>
<w:pPr><w:pStyle w:val="Normal"/></w:pPr>
<w:r><w:t xml:space="preserve">been an entrepot of the Pontic grain trade, at a later date</w:t></w:r>
</w:p>
<w:p>
<w:pPr><w:pStyle w:val="Normal"/></w:pPr>
<w:r><w:t xml:space="preserve">an Athenian monopoly (Herod. vii. 147).  Unlike the other</w:t></w:r>
</w:p>
<w:p>
<w:pPr><w:pStyle w:val="Normal"/></w:pPr>
<w:r><w:t xml:space="preserve">commercial states of the 7th and 6th centuries B.C., e.g.</w:t></w:r>
</w:p>
<w:p>
<w:pPr><w:pStyle w:val="Normal"/></w:pPr>
<w:r><w:t xml:space="preserve">Corinth, Chalcis, Eretria and Miletus, Aegina founded no</w:t></w:r>
</w:p>
<w:p>
<w:pPr><w:pStyle w:val="Normal"/></w:pPr>
<w:r><w:t xml:space="preserve">colonies.  The settlements to which Strabo refers (viii. 376)</w:t></w:r>
</w:p>
<w:p>
<w:pPr><w:pStyle w:val="Normal"/></w:pPr>
<w:r><w:t xml:space="preserve">cannot be regarded as any real exceptions to this statement.</w:t></w:r>
</w:p>
<w:p>
<w:pPr><w:pStyle w:val="Normal"/></w:pPr>
<w:r><w:t xml:space="preserve">The history of Aegina, as it has come down to us, is almost</w:t></w:r>
</w:p>
<w:p>
<w:pPr><w:pStyle w:val="Normal"/></w:pPr>
<w:r><w:t xml:space="preserve">exclusively a history of its relations with the neighbouring</w:t></w:r>
</w:p>
<w:p>
<w:pPr><w:pStyle w:val="Normal"/></w:pPr>
<w:r><w:t xml:space="preserve">state of Athens.  The history of these relations, as recorded</w:t></w:r>
</w:p>
<w:p>
<w:pPr><w:pStyle w:val="Normal"/></w:pPr>
<w:r><w:t xml:space="preserve">by Herodotus (v. 79-89; vi. 49-51, 73, 85-94), involve</w:t></w:r>
</w:p>
<w:p>
<w:pPr><w:pStyle w:val="Normal"/></w:pPr>
<w:r><w:t xml:space="preserve">critical problems of some difficulty and interest.  He</w:t></w:r>
</w:p>
<w:p>
<w:pPr><w:pStyle w:val="Normal"/></w:pPr>
<w:r><w:t xml:space="preserve">traces back the hostility of the two states to a dispute</w:t></w:r>
</w:p>
<w:p>
<w:pPr><w:pStyle w:val="Normal"/></w:pPr>
<w:r><w:t xml:space="preserve">about the images of the goddesses Damia and Auxesia, which</w:t></w:r>
</w:p>
<w:p>
<w:pPr><w:pStyle w:val="Normal"/></w:pPr>
<w:r><w:t xml:space="preserve">the Aeginetans had carried off from Epidaurus, their parent</w:t></w:r>
</w:p>
<w:p>
<w:pPr><w:pStyle w:val="Normal"/></w:pPr>
<w:r><w:t xml:space="preserve">state.  The Epidaurians had been accustomed to make annual</w:t></w:r>
</w:p>
<w:p>
<w:pPr><w:pStyle w:val="Normal"/></w:pPr>
<w:r><w:t xml:space="preserve">offerings to the Athenian deities Athena and Erechtheus in</w:t></w:r>
</w:p>
<w:p>
<w:pPr><w:pStyle w:val="Normal"/></w:pPr>
<w:r><w:t xml:space="preserve">payment for the Athenian olive-wood of which the statues were</w:t></w:r>
</w:p>
<w:p>
<w:pPr><w:pStyle w:val="Normal"/></w:pPr>
<w:r><w:t xml:space="preserve">made.  Upon the refusal of the Aeginetans to continue these</w:t></w:r>
</w:p>
<w:p>
<w:pPr><w:pStyle w:val="Normal"/></w:pPr>
<w:r><w:t xml:space="preserve">offerings, the Athenians endeavoured to carry away the images.</w:t></w:r>
</w:p>
<w:p>
<w:pPr><w:pStyle w:val="Normal"/></w:pPr>
<w:r><w:t xml:space="preserve">Their design was miraculously frustrated---according to the</w:t></w:r>
</w:p>
<w:p>
<w:pPr><w:pStyle w:val="Normal"/></w:pPr>
<w:r><w:t xml:space="preserve">Aeginetan version, the statues fell upon their knees---and only</w:t></w:r>
</w:p>
<w:p>
<w:pPr><w:pStyle w:val="Normal"/></w:pPr>
<w:r><w:t xml:space="preserve">a single survivor returned to Athens, there to fall a victim</w:t></w:r>
</w:p>
<w:p>
<w:pPr><w:pStyle w:val="Normal"/></w:pPr>
<w:r><w:t xml:space="preserve">to the fury of his comrades&apos; widows, who pierced him with their</w:t></w:r>
</w:p>
<w:p>
<w:pPr><w:pStyle w:val="Normal"/></w:pPr>
<w:r><w:t xml:space="preserve">brooch-pins.  No date is assigned by Herodotus for this ``old</w:t></w:r>
</w:p>
<w:p>
<w:pPr><w:pStyle w:val="Normal"/></w:pPr>
<w:r><w:t xml:space="preserve">feud&apos;&apos;; recent writers, e.g. J. B. Bury and R. W. Macan,</w:t></w:r>
</w:p>
<w:p>
<w:pPr><w:pStyle w:val="Normal"/></w:pPr>
<w:r><w:t xml:space="preserve">suggest the period between Solon and Peisistratus, c.  570</w:t></w:r>
</w:p>
<w:p>
<w:pPr><w:pStyle w:val="Normal"/></w:pPr>
<w:r><w:t xml:space="preserve">B.C..  It may be questioned, however, whether the whole</w:t></w:r>
</w:p>
<w:p>
<w:pPr><w:pStyle w:val="Normal"/></w:pPr>
<w:r><w:t xml:space="preserve">episode is not mythical.  A critical analysis of the narrative</w:t></w:r>
</w:p>
<w:p>
<w:pPr><w:pStyle w:val="Normal"/></w:pPr>
<w:r><w:t xml:space="preserve">seems to reveal little else than a series of aetiological</w:t></w:r>
</w:p>
<w:p>
<w:pPr><w:pStyle w:val="Normal"/></w:pPr>
<w:r><w:t xml:space="preserve">traditions (explanatory of cults and customs, e.g. of the</w:t></w:r>
</w:p>
<w:p>
<w:pPr><w:pStyle w:val="Normal"/></w:pPr>
<w:r><w:t xml:space="preserve">kneeling posture of the images of Damia and Auxesia, of the</w:t></w:r>
</w:p>
<w:p>
<w:pPr><w:pStyle w:val="Normal"/></w:pPr>
<w:r><w:t xml:space="preserve">use of native ware instead of Athenian in their worship, and</w:t></w:r>
</w:p>
<w:p>
<w:pPr><w:pStyle w:val="Normal"/></w:pPr>
<w:r><w:t xml:space="preserve">of the change in women&apos;s dress at Athens from the Dorian to</w:t></w:r>
</w:p>
<w:p>
<w:pPr><w:pStyle w:val="Normal"/></w:pPr>
<w:r><w:t xml:space="preserve">the Ionian style.  Thc account which Herodotus gives of the</w:t></w:r>
</w:p>
<w:p>
<w:pPr><w:pStyle w:val="Normal"/></w:pPr>
<w:r><w:t xml:space="preserve">hostilities between the two states in the early years of the</w:t></w:r>
</w:p>
<w:p>
<w:pPr><w:pStyle w:val="Normal"/></w:pPr>
<w:r><w:t xml:space="preserve">5th century B.C. is to the following effect.  Thebes, after</w:t></w:r>
</w:p>
<w:p>
<w:pPr><w:pStyle w:val="Normal"/></w:pPr>
<w:r><w:t xml:space="preserve">the defeat by Athens about 507 B.C., appealed to Aegina for</w:t></w:r>
</w:p>
<w:p>
<w:pPr><w:pStyle w:val="Normal"/></w:pPr>
<w:r><w:t xml:space="preserve">assistance.  The Aeginetans at first contented themselves</w:t></w:r>
</w:p>
<w:p>
<w:pPr><w:pStyle w:val="Normal"/></w:pPr>
<w:r><w:t xml:space="preserve">with sending the images of the Aeacidae, the tutelary heroes</w:t></w:r>
</w:p>
<w:p>
<w:pPr><w:pStyle w:val="Normal"/></w:pPr>
<w:r><w:t xml:space="preserve">of their island.  Subsequently, however, they entered into an</w:t></w:r>
</w:p>
<w:p>
<w:pPr><w:pStyle w:val="Normal"/></w:pPr>
<w:r><w:t xml:space="preserve">alliance, and ravaged the sea-board of Attica.  The Athenians</w:t></w:r>
</w:p>
<w:p>
<w:pPr><w:pStyle w:val="Normal"/></w:pPr>
<w:r><w:t xml:space="preserve">were preparing to make reprisals, in spite of the advice of</w:t></w:r>
</w:p>
<w:p>
<w:pPr><w:pStyle w:val="Normal"/></w:pPr>
<w:r><w:t xml:space="preserve">the Delphic oracle that they should desist from attacking</w:t></w:r>
</w:p>
<w:p>
<w:pPr><w:pStyle w:val="Normal"/></w:pPr>
<w:r><w:t xml:space="preserve">Aegina for thirty years, and content themselves meanwhile</w:t></w:r>
</w:p>
<w:p>
<w:pPr><w:pStyle w:val="Normal"/></w:pPr>
<w:r><w:t xml:space="preserve">with dedicating a precinct to Aeacus, when their projects were</w:t></w:r>
</w:p>
<w:p>
<w:pPr><w:pStyle w:val="Normal"/></w:pPr>
<w:r><w:t xml:space="preserve">interrupted by the Spartan intrigues for the restoration of</w:t></w:r>
</w:p>
<w:p>
<w:pPr><w:pStyle w:val="Normal"/></w:pPr>
<w:r><w:t xml:space="preserve">Hippias.  In 401 B.C. Aegina was one of the states which gave</w:t></w:r>
</w:p>
<w:p>
<w:pPr><w:pStyle w:val="Normal"/></w:pPr>
<w:r><w:t xml:space="preserve">the symbols of submission (``earth and water&apos;&apos;) to Persia.</w:t></w:r>
</w:p>
<w:p>
<w:pPr><w:pStyle w:val="Normal"/></w:pPr>
<w:r><w:t xml:space="preserve">Athens at once appealed to Sparta to punish this act of medism,</w:t></w:r>
</w:p>
<w:p>
<w:pPr><w:pStyle w:val="Normal"/></w:pPr>
<w:r><w:t xml:space="preserve">and Cleomenes I. (q.v.), one of the Spartan kings, crossed</w:t></w:r>
</w:p>
<w:p>
<w:pPr><w:pStyle w:val="Normal"/></w:pPr>
<w:r><w:t xml:space="preserve">over to the island, to arrest those who were responsible for</w:t></w:r>
</w:p>
<w:p>
<w:pPr><w:pStyle w:val="Normal"/></w:pPr>
<w:r><w:t xml:space="preserve">it.  His attempt was at first unsuccessful; but, after the</w:t></w:r>
</w:p>
<w:p>
<w:pPr><w:pStyle w:val="Normal"/></w:pPr>
<w:r><w:t xml:space="preserve">deposition of Demaratus, he visited the island a second</w:t></w:r>
</w:p>
<w:p>
<w:pPr><w:pStyle w:val="Normal"/></w:pPr>
<w:r><w:t xml:space="preserve">time, accompanied by his new colleague Leotychides, seized</w:t></w:r>
</w:p>
<w:p>
<w:pPr><w:pStyle w:val="Normal"/></w:pPr>
<w:r><w:t xml:space="preserve">ten of the leading citizens and deposited them at Athens as</w:t></w:r>
</w:p>
<w:p>
<w:pPr><w:pStyle w:val="Normal"/></w:pPr>
<w:r><w:t xml:space="preserve">hostages.  After the death of Cleomenes and the refusal of</w:t></w:r>
</w:p>
<w:p>
<w:pPr><w:pStyle w:val="Normal"/></w:pPr>
<w:r><w:t xml:space="preserve">the Athenians to restore the hostages to Leotychides, the</w:t></w:r>
</w:p>
<w:p>
<w:pPr><w:pStyle w:val="Normal"/></w:pPr>
<w:r><w:t xml:space="preserve">Aeginetans retaliated by seizing a number of Athenians at a</w:t></w:r>
</w:p>
<w:p>
<w:pPr><w:pStyle w:val="Normal"/></w:pPr>
<w:r><w:t xml:space="preserve">festival at Sunium.  Thereupon the Athenians concerted a plot</w:t></w:r>
</w:p>
<w:p>
<w:pPr><w:pStyle w:val="Normal"/></w:pPr>
<w:r><w:t xml:space="preserve">with Nicodromus, the leader of the democratic party in the</w:t></w:r>
</w:p>
<w:p>
<w:pPr><w:pStyle w:val="Normal"/></w:pPr>
<w:r><w:t xml:space="preserve">island, for the betrayal of Aegina.  He was to seize the old</w:t></w:r>
</w:p>
<w:p>
<w:pPr><w:pStyle w:val="Normal"/></w:pPr>
<w:r><w:t xml:space="preserve">city, and they were to come to his aid on the same day with</w:t></w:r>
</w:p>
<w:p>
<w:pPr><w:pStyle w:val="Normal"/></w:pPr>
<w:r><w:t xml:space="preserve">seventy vessels.  The plot failed owing to the late arrival</w:t></w:r>
</w:p>
<w:p>
<w:pPr><w:pStyle w:val="Normal"/></w:pPr>
<w:r><w:t xml:space="preserve">of the Athenian force, when Nicodromus had already fled the</w:t></w:r>
</w:p>
<w:p>
<w:pPr><w:pStyle w:val="Normal"/></w:pPr>
<w:r><w:t xml:space="preserve">island.  An engagement followed in which the Aeginetans were</w:t></w:r>
</w:p>
<w:p>
<w:pPr><w:pStyle w:val="Normal"/></w:pPr>
<w:r><w:t xml:space="preserve">defeated.  Subsequently, however, they succeeded in winning</w:t></w:r>
</w:p>
<w:p>
<w:pPr><w:pStyle w:val="Normal"/></w:pPr>
<w:r><w:t xml:space="preserve">a victory over the Athenian fleet.  Alf the incidents</w:t></w:r>
</w:p>
<w:p>
<w:pPr><w:pStyle w:val="Normal"/></w:pPr>
<w:r><w:t xml:space="preserve">subsequent to the appeal of Athens to Sparta are expressly</w:t></w:r>
</w:p>
<w:p>
<w:pPr><w:pStyle w:val="Normal"/></w:pPr>
<w:r><w:t xml:space="preserve">referred by Herodotus to the interval between the sending</w:t></w:r>
</w:p>
<w:p>
<w:pPr><w:pStyle w:val="Normal"/></w:pPr>
<w:r><w:t xml:space="preserve">of the heralds in 491 B.C. and the invasion of Datis and</w:t></w:r>
</w:p>
<w:p>
<w:pPr><w:pStyle w:val="Normal"/></w:pPr>
<w:r><w:t xml:space="preserve">Artaphernes in 490 B.C. (cf. Herod. vi. 49 with 94). There</w:t></w:r>
</w:p>
<w:p>
<w:pPr><w:pStyle w:val="Normal"/></w:pPr>
<w:r><w:t xml:space="preserve">are difficulties in this story, of which the following are</w:t></w:r>
</w:p>
<w:p>
<w:pPr><w:pStyle w:val="Normal"/></w:pPr>
<w:r><w:t xml:space="preserve">the principal:--(i.) Herodotus nowhere states or implies that</w:t></w:r>
</w:p>
<w:p>
<w:pPr><w:pStyle w:val="Normal"/></w:pPr>
<w:r><w:t xml:space="preserve">peace was concluded between the two states before 481 B.C.,</w:t></w:r>
</w:p>
<w:p>
<w:pPr><w:pStyle w:val="Normal"/></w:pPr>
<w:r><w:t xml:space="preserve">nor does he distinguish between different wars during this</w:t></w:r>
</w:p>
<w:p>
<w:pPr><w:pStyle w:val="Normal"/></w:pPr>
<w:r><w:t xml:space="preserve">period.  Hence it would follow that the war lasted from</w:t></w:r>
</w:p>
<w:p>
<w:pPr><w:pStyle w:val="Normal"/></w:pPr>
<w:r><w:t xml:space="preserve">shortly after 507 B.C. down to the congress at the Isthmus</w:t></w:r>
</w:p>
<w:p>
<w:pPr><w:pStyle w:val="Normal"/></w:pPr>
<w:r><w:t xml:space="preserve">of Corinth in 481 B.C. (ii.) It is only for two years</w:t></w:r>
</w:p>
<w:p>
<w:pPr><w:pStyle w:val="Normal"/></w:pPr>
<w:r><w:t xml:space="preserve">(490 and 491) out of the twenty-five that any details are</w:t></w:r>
</w:p>
<w:p>
<w:pPr><w:pStyle w:val="Normal"/></w:pPr>
<w:r><w:t xml:space="preserve">given.  It is the more remarkable that no incidents are</w:t></w:r>
</w:p>
<w:p>
<w:pPr><w:pStyle w:val="Normal"/></w:pPr>
<w:r><w:t xml:space="preserve">recorded in the period between Marathon and Sabamis, seeing</w:t></w:r>
</w:p>
<w:p>
<w:pPr><w:pStyle w:val="Normal"/></w:pPr>
<w:r><w:t xml:space="preserve">that at the time of the Isthmian Congress the war is described</w:t></w:r>
</w:p>
<w:p>
<w:pPr><w:pStyle w:val="Normal"/></w:pPr>
<w:r><w:t xml:space="preserve">as the most important one then being waged in Greece (Herod.</w:t></w:r>
</w:p>
<w:p>
<w:pPr><w:pStyle w:val="Normal"/></w:pPr>
<w:r><w:t xml:space="preserve">vii. 145). (iii.) It is improbable that Athens would have</w:t></w:r>
</w:p>
<w:p>
<w:pPr><w:pStyle w:val="Normal"/></w:pPr>
<w:r><w:t xml:space="preserve">sent twenty vessels to the aid of the Ionians in 498 B.C.</w:t></w:r>
</w:p>
<w:p>
<w:pPr><w:pStyle w:val="Normal"/></w:pPr>
<w:r><w:t xml:space="preserve">if at the time she was at war with Aegina. (iv.) There is</w:t></w:r>
</w:p>
<w:p>
<w:pPr><w:pStyle w:val="Normal"/></w:pPr>
<w:r><w:t xml:space="preserve">an incidental indication of time, which points to the period</w:t></w:r>
</w:p>
<w:p>
<w:pPr><w:pStyle w:val="Normal"/></w:pPr>
<w:r><w:t xml:space="preserve">after Marathon as the true date for the events which are</w:t></w:r>
</w:p>
<w:p>
<w:pPr><w:pStyle w:val="Normal"/></w:pPr>
<w:r><w:t xml:space="preserve">referred by Herodotus to the year before Marathon, viz. the</w:t></w:r>
</w:p>
<w:p>
<w:pPr><w:pStyle w:val="Normal"/></w:pPr>
<w:r><w:t xml:space="preserve">thirty years that were to elapse between the dedication of</w:t></w:r>
</w:p>
<w:p>
<w:pPr><w:pStyle w:val="Normal"/></w:pPr>
<w:r><w:t xml:space="preserve">the precinct to Aeacus and the final victory of Athens (Herod.</w:t></w:r>
</w:p>
<w:p>
<w:pPr><w:pStyle w:val="Normal"/></w:pPr>
<w:r><w:t xml:space="preserve">v. 89). As the final victory of Athens over Aegina was in 458</w:t></w:r>
</w:p>
<w:p>
<w:pPr><w:pStyle w:val="Normal"/></w:pPr>
<w:r><w:t xml:space="preserve">B.C., the thirty years of the oracle would carry us back</w:t></w:r>
</w:p>
<w:p>
<w:pPr><w:pStyle w:val="Normal"/></w:pPr>
<w:r><w:t xml:space="preserve">to the year 488 B.C. as the date of the dedication of the</w:t></w:r>
</w:p>
<w:p>
<w:pPr><w:pStyle w:val="Normal"/></w:pPr>
<w:r><w:t xml:space="preserve">precinct and the outbreak of hostilities.  This inference</w:t></w:r>
</w:p>
<w:p>
<w:pPr><w:pStyle w:val="Normal"/></w:pPr>
<w:r><w:t xml:space="preserve">is supported by the date of the building of the 200 triremes</w:t></w:r>
</w:p>
<w:p>
<w:pPr><w:pStyle w:val="Normal"/></w:pPr>
<w:r><w:t xml:space="preserve">``for the war against Aegina&apos;&apos; on the advice of Themistocles,</w:t></w:r>
</w:p>
<w:p>
<w:pPr><w:pStyle w:val="Normal"/></w:pPr>
<w:r><w:t xml:space="preserve">which is given in the Constitutiom of Athens as 483-482</w:t></w:r>
</w:p>
<w:p>
<w:pPr><w:pStyle w:val="Normal"/></w:pPr>
<w:r><w:t xml:space="preserve">B.C. (Herod. vii. 144; Ath. Pol. r2. 7). It is probable,</w:t></w:r>
</w:p>
<w:p>
<w:pPr><w:pStyle w:val="Normal"/></w:pPr>
<w:r><w:t xml:space="preserve">therefore, that Herodotus is in error both in tracing back</w:t></w:r>
</w:p>
<w:p>
<w:pPr><w:pStyle w:val="Normal"/></w:pPr>
<w:r><w:t xml:space="preserve">the beginning of hostilities to an alliance between Thebes and</w:t></w:r>
</w:p>
<w:p>
<w:pPr><w:pStyle w:val="Normal"/></w:pPr>
<w:r><w:t xml:space="preserve">Aegina (c. 507) and in putting the episode of Nicodromus before</w:t></w:r>
</w:p>
<w:p>
<w:pPr><w:pStyle w:val="Normal"/></w:pPr>
<w:r><w:t xml:space="preserve">Marathon.  Overtures were unquestionably made by Thebes for</w:t></w:r>
</w:p>
<w:p>
<w:pPr><w:pStyle w:val="Normal"/></w:pPr>
<w:r><w:t xml:space="preserve">an alliance with Aegina c. 507 B.C., but they came to</w:t></w:r>
</w:p>
<w:p>
<w:pPr><w:pStyle w:val="Normal"/></w:pPr>
<w:r><w:t xml:space="preserve">nothing.  The refusal of Aegina was veiled under the diplomatic</w:t></w:r>
</w:p>
<w:p>
<w:pPr><w:pStyle w:val="Normal"/></w:pPr>
<w:r><w:t xml:space="preserve">form of ``sending the Aeacidae.&apos;&apos; The real occasion of the</w:t></w:r>
</w:p>
<w:p>
<w:pPr><w:pStyle w:val="Normal"/></w:pPr>
<w:r><w:t xml:space="preserve">outbreak of the war was the refusal of Athens to restore the</w:t></w:r>
</w:p>
<w:p>
<w:pPr><w:pStyle w:val="Normal"/></w:pPr>
<w:r><w:t xml:space="preserve">hostages some twenty years later.  There was but one war, and</w:t></w:r>
</w:p>
<w:p>
<w:pPr><w:pStyle w:val="Normal"/></w:pPr>
<w:r><w:t xml:space="preserve">it lasted from 488 to 481. That Athens had the worst of it in</w:t></w:r>
</w:p>
<w:p>
<w:pPr><w:pStyle w:val="Normal"/></w:pPr>
<w:r><w:t xml:space="preserve">this war is certain.  Herodotus had no Athenian victories to</w:t></w:r>
</w:p>
<w:p>
<w:pPr><w:pStyle w:val="Normal"/></w:pPr>
<w:r><w:t xml:space="preserve">record after the initial success, and the fact that Themistocles</w:t></w:r>
</w:p>
<w:p>
<w:pPr><w:pStyle w:val="Normal"/></w:pPr>
<w:r><w:t xml:space="preserve">was able to carry his proposal to devote the surplus funds of</w:t></w:r>
</w:p>
<w:p>
<w:pPr><w:pStyle w:val="Normal"/></w:pPr>
<w:r><w:t xml:space="preserve">the state to the building of so large a fleet seems to imply</w:t></w:r>
</w:p>
<w:p>
<w:pPr><w:pStyle w:val="Normal"/></w:pPr>
<w:r><w:t xml:space="preserve">that the Athenians were themselves convinced that a supreme</w:t></w:r>
</w:p>
<w:p>
<w:pPr><w:pStyle w:val="Normal"/></w:pPr>
<w:r><w:t xml:space="preserve">effort was necessary.  It may be noted, in confirmation of</w:t></w:r>
</w:p>
<w:p>
<w:pPr><w:pStyle w:val="Normal"/></w:pPr>
<w:r><w:t xml:space="preserve">this view, that the naval supremacy of Aegina is assigned by</w:t></w:r>
</w:p>
<w:p>
<w:pPr><w:pStyle w:val="Normal"/></w:pPr>
<w:r><w:t xml:space="preserve">the ancient writers on chronology to precisely this period,</w:t></w:r>
</w:p>
<w:p>
<w:pPr><w:pStyle w:val="Normal"/></w:pPr>
<w:r><w:t xml:space="preserve">i.e. the years 490-480 (Eusebius, Chron.  Can. p. 337).</w:t></w:r>
</w:p>
<w:p>
<w:pPr><w:pStyle w:val="Normal"/></w:pPr>
<w:r><w:t xml:space="preserve">In the repulse of Xerxes it is possible that the Aeginetans</w:t></w:r>
</w:p>
<w:p>
<w:pPr><w:pStyle w:val="Normal"/></w:pPr>
<w:r><w:t xml:space="preserve">played a larger part than is conceded to them by Herodotus.</w:t></w:r>
</w:p>
<w:p>
<w:pPr><w:pStyle w:val="Normal"/></w:pPr>
<w:r><w:t xml:space="preserve">The Athenian tradition, which he follows in the main, would</w:t></w:r>
</w:p>
<w:p>
<w:pPr><w:pStyle w:val="Normal"/></w:pPr>
<w:r><w:t xml:space="preserve">naturally seek to obscure their services.  It was to Aegina</w:t></w:r>
</w:p>
<w:p>
<w:pPr><w:pStyle w:val="Normal"/></w:pPr>
<w:r><w:t xml:space="preserve">rather than Athens that the prize of valour at Salamis was</w:t></w:r>
</w:p>
<w:p>
<w:pPr><w:pStyle w:val="Normal"/></w:pPr>
<w:r><w:t xml:space="preserve">awarded, and the destruction of the Persian fleet appears to</w:t></w:r>
</w:p>
<w:p>
<w:pPr><w:pStyle w:val="Normal"/></w:pPr>
<w:r><w:t xml:space="preserve">have been as much the work of the Aeginetan contingent as of</w:t></w:r>
</w:p>
<w:p>
<w:pPr><w:pStyle w:val="Normal"/></w:pPr>
<w:r><w:t xml:space="preserve">the Athenian (Herod. viii. 91). There are other indications,</w:t></w:r>
</w:p>
<w:p>
<w:pPr><w:pStyle w:val="Normal"/></w:pPr>
<w:r><w:t xml:space="preserve">too, of the importance of the Aeginetan fleet in the Greek</w:t></w:r>
</w:p>
<w:p>
<w:pPr><w:pStyle w:val="Normal"/></w:pPr>
<w:r><w:t xml:space="preserve">scheme of defence.  In view of these considerations it becomes</w:t></w:r>
</w:p>
<w:p>
<w:pPr><w:pStyle w:val="Normal"/></w:pPr>
<w:r><w:t xml:space="preserve">difficult to credit the number of the vessels that is assigned</w:t></w:r>
</w:p>
<w:p>
<w:pPr><w:pStyle w:val="Normal"/></w:pPr>
<w:r><w:t xml:space="preserve">to them by Herodotus (30 as against 180 Athenian vessels,</w:t></w:r>
</w:p>
<w:p>
<w:pPr><w:pStyle w:val="Normal"/></w:pPr>
<w:r><w:t xml:space="preserve">cf. GREEK HISTORY, sect. Authorities).  During the</w:t></w:r>
</w:p>
<w:p>
<w:pPr><w:pStyle w:val="Normal"/></w:pPr>
<w:r><w:t xml:space="preserve">next twenty years the Philo-laconian policy of Cimon (q.v.)</w:t></w:r>
</w:p>
<w:p>
<w:pPr><w:pStyle w:val="Normal"/></w:pPr>
<w:r><w:t xml:space="preserve">secured Aegina, as a member of the Spartan league, from</w:t></w:r>
</w:p>
<w:p>
<w:pPr><w:pStyle w:val="Normal"/></w:pPr>
<w:r><w:t xml:space="preserve">attack.  The change in Athenian foreign policy, which was</w:t></w:r>
</w:p>
<w:p>
<w:pPr><w:pStyle w:val="Normal"/></w:pPr>
<w:r><w:t xml:space="preserve">consequent upon the ostracism of Cimon in 461, led to what</w:t></w:r>
</w:p>
<w:p>
<w:pPr><w:pStyle w:val="Normal"/></w:pPr>
<w:r><w:t xml:space="preserve">is sometimes called the First Peloponnesian War, in which</w:t></w:r>
</w:p>
<w:p>
<w:pPr><w:pStyle w:val="Normal"/></w:pPr>
<w:r><w:t xml:space="preserve">the brunt of the fighting fell upon Corinth and Aegina.</w:t></w:r>
</w:p>
<w:p>
<w:pPr><w:pStyle w:val="Normal"/></w:pPr>
<w:r><w:t xml:space="preserve">The latter state was forced to surrender to Athens after a</w:t></w:r>
</w:p>
<w:p>
<w:pPr><w:pStyle w:val="Normal"/></w:pPr>
<w:r><w:t xml:space="preserve">siege, and to accept the position of a subject-ally (c. 456</w:t></w:r>
</w:p>
<w:p>
<w:pPr><w:pStyle w:val="Normal"/></w:pPr>
<w:r><w:t xml:space="preserve">B.C.).  The tribute was fixed at 30 talents.  By the terms</w:t></w:r>
</w:p>
<w:p>
<w:pPr><w:pStyle w:val="Normal"/></w:pPr>
<w:r><w:t xml:space="preserve">of the Thirty Years&apos; Truce (445 B.C.) Athens covenanted to</w:t></w:r>
</w:p>
<w:p>
<w:pPr><w:pStyle w:val="Normal"/></w:pPr>
<w:r><w:t xml:space="preserve">restore to Aegina her autonomy, but the clause remained a dead</w:t></w:r>
</w:p>
<w:p>
<w:pPr><w:pStyle w:val="Normal"/></w:pPr>
<w:r><w:t xml:space="preserve">letter.  In the first winter of the Peloponnesian War (431</w:t></w:r>
</w:p>
<w:p>
<w:pPr><w:pStyle w:val="Normal"/></w:pPr>
<w:r><w:t xml:space="preserve">B.C.) Athens expelled the Aeginetans, and established a</w:t></w:r>
</w:p>
<w:p>
<w:pPr><w:pStyle w:val="Normal"/></w:pPr>
<w:r><w:t xml:space="preserve">cleruchy in their island.  The exiles were settled by Sparta in</w:t></w:r>
</w:p>
<w:p>
<w:pPr><w:pStyle w:val="Normal"/></w:pPr>
<w:r><w:t xml:space="preserve">Thyreatis, on the frontiers of Laconia and Argolis.  Even in</w:t></w:r>
</w:p>
<w:p>
<w:pPr><w:pStyle w:val="Normal"/></w:pPr>
<w:r><w:t xml:space="preserve">their new home they were not safe from Athenian rancour.1 A</w:t></w:r>
</w:p>
<w:p>
<w:pPr><w:pStyle w:val="Normal"/></w:pPr>
<w:r><w:t xml:space="preserve">force landed under Nicias in 424, and put most of them to the</w:t></w:r>
</w:p>
<w:p>
<w:pPr><w:pStyle w:val="Normal"/></w:pPr>
<w:r><w:t xml:space="preserve">sword.  At the end of the Peloponnesian War Lysander restored</w:t></w:r>
</w:p>
<w:p>
<w:pPr><w:pStyle w:val="Normal"/></w:pPr>
<w:r><w:t xml:space="preserve">the scattered remnants of the old inhabitants to the island,</w:t></w:r>
</w:p>
<w:p>
<w:pPr><w:pStyle w:val="Normal"/></w:pPr>
<w:r><w:t xml:space="preserve">which was used by the Spartans as a base for operations against</w:t></w:r>
</w:p>
<w:p>
<w:pPr><w:pStyle w:val="Normal"/></w:pPr>
<w:r><w:t xml:space="preserve">Athens in the Corinthian War. Its greatness, however, was at an</w:t></w:r>
</w:p>
<w:p>
<w:pPr><w:pStyle w:val="Normal"/></w:pPr>
<w:r><w:t xml:space="preserve">end.  The part which it plays henceforward is insignificant.</w:t></w:r>
</w:p>
<w:p>
<w:pPr><w:pStyle w:val="Normal"/></w:pPr>
<w:r><w:t xml:space="preserve">It would be a mistake to attribute the fall of Aegina solely</w:t></w:r>
</w:p>
<w:p>
<w:pPr><w:pStyle w:val="Normal"/></w:pPr>
<w:r><w:t xml:space="preserve">to the development of the Athenian navy.  It is probable that</w:t></w:r>
</w:p>
<w:p>
<w:pPr><w:pStyle w:val="Normal"/></w:pPr>
<w:r><w:t xml:space="preserve">the powor of Aegina had steadily declined during the twenty</w:t></w:r>
</w:p>
<w:p>
<w:pPr><w:pStyle w:val="Normal"/></w:pPr>
<w:r><w:t xml:space="preserve">years after Sabamis, and that it had declined absolutely,</w:t></w:r>
</w:p>
<w:p>
<w:pPr><w:pStyle w:val="Normal"/></w:pPr>
<w:r><w:t xml:space="preserve">as well as relatively, to that of Athens.  Commerce was the</w:t></w:r>
</w:p>
<w:p>
<w:pPr><w:pStyle w:val="Normal"/></w:pPr>
<w:r><w:t xml:space="preserve">source of Aegina&apos;s greatness, and her trade, which appears</w:t></w:r>
</w:p>
<w:p>
<w:pPr><w:pStyle w:val="Normal"/></w:pPr>
<w:r><w:t xml:space="preserve">to have been principally with the Levant, must have suffered</w:t></w:r>
</w:p>
<w:p>
<w:pPr><w:pStyle w:val="Normal"/></w:pPr>
<w:r><w:t xml:space="preserve">seriously from the war with Persia.  Her medism in 491 is</w:t></w:r>
</w:p>
<w:p>
<w:pPr><w:pStyle w:val="Normal"/></w:pPr>
<w:r><w:t xml:space="preserve">to be explained by her commercial relations with the Persian</w:t></w:r>
</w:p>
<w:p>
<w:pPr><w:pStyle w:val="Normal"/></w:pPr>
<w:r><w:t xml:space="preserve">Empire.  She was forced into patriotism in spite of herself,</w:t></w:r>
</w:p>
<w:p>
<w:pPr><w:pStyle w:val="Normal"/></w:pPr>
<w:r><w:t xml:space="preserve">and the glory won by Salamis was paid for by the loss of</w:t></w:r>
</w:p>
<w:p>
<w:pPr><w:pStyle w:val="Normal"/></w:pPr>
<w:r><w:t xml:space="preserve">her trade and the decay of her marine.  The completeness</w:t></w:r>
</w:p>
<w:p>
<w:pPr><w:pStyle w:val="Normal"/></w:pPr>
<w:r><w:t xml:space="preserve">of the ruin of so powerful a state--we should look in</w:t></w:r>
</w:p>
<w:p>
<w:pPr><w:pStyle w:val="Normal"/></w:pPr>
<w:r><w:t xml:space="preserve">vain for an analogous case in the history of the modern</w:t></w:r>
</w:p>
<w:p>
<w:pPr><w:pStyle w:val="Normal"/></w:pPr>
<w:r><w:t xml:space="preserve">world--finds an explanation in the economic conditions of</w:t></w:r>
</w:p>
<w:p>
<w:pPr><w:pStyle w:val="Normal"/></w:pPr>
<w:r><w:t xml:space="preserve">the island, the prosperity of which rested upon a basis of</w:t></w:r>
</w:p>
<w:p>
<w:pPr><w:pStyle w:val="Normal"/></w:pPr>
<w:r><w:t xml:space="preserve">slave-labour.  It is impossible, indeed, to accept</w:t></w:r>
</w:p>
<w:p>
<w:pPr><w:pStyle w:val="Normal"/></w:pPr>
<w:r><w:t xml:space="preserve">Aristotle&apos;s (cf. Athenaeus vi. 272) estimate of 470,000 as the</w:t></w:r>
</w:p>
<w:p>
<w:pPr><w:pStyle w:val="Normal"/></w:pPr>
<w:r><w:t xml:space="preserve">1Pericles called Aegina the ``eye-sore&apos;&apos; (leme) of the Peiraeus.</w:t></w:r>
</w:p>
<w:p>
<w:pPr><w:pStyle w:val="Normal"/></w:pPr>
<w:r><w:t xml:space="preserve">number of the slave-population; it is clear, however, that</w:t></w:r>
</w:p>
<w:p>
<w:pPr><w:pStyle w:val="Normal"/></w:pPr>
<w:r><w:t xml:space="preserve">the number must have been out of all proportion to that of</w:t></w:r>
</w:p>
<w:p>
<w:pPr><w:pStyle w:val="Normal"/></w:pPr>
<w:r><w:t xml:space="preserve">the free inhabitants.  In this respect the history of Aegina</w:t></w:r>
</w:p>
<w:p>
<w:pPr><w:pStyle w:val="Normal"/></w:pPr>
<w:r><w:t xml:space="preserve">does but anticipate the history of Greece as a whole.  The</w:t></w:r>
</w:p>
<w:p>
<w:pPr><w:pStyle w:val="Normal"/></w:pPr>
<w:r><w:t xml:space="preserve">constitutional history of Aegina is unusually simple.  So long</w:t></w:r>
</w:p>
<w:p>
<w:pPr><w:pStyle w:val="Normal"/></w:pPr>
<w:r><w:t xml:space="preserve">as the island retained its independence the government was an</w:t></w:r>
</w:p>
<w:p>
<w:pPr><w:pStyle w:val="Normal"/></w:pPr>
<w:r><w:t xml:space="preserve">oligarchy.  There is no trace of the heroic monarchy and no</w:t></w:r>
</w:p>
<w:p>
<w:pPr><w:pStyle w:val="Normal"/></w:pPr>
<w:r><w:t xml:space="preserve">tradition of a tyrannis. The story of Nicodromus, while</w:t></w:r>
</w:p>
<w:p>
<w:pPr><w:pStyle w:val="Normal"/></w:pPr>
<w:r><w:t xml:space="preserve">it proves the existence of a democratic party, suggests,</w:t></w:r>
</w:p>
<w:p>
<w:pPr><w:pStyle w:val="Normal"/></w:pPr>
<w:r><w:t xml:space="preserve">at the same time, that it could count upon little support.</w:t></w:r>
</w:p>
<w:p>
<w:pPr><w:pStyle w:val="Normal"/></w:pPr>
<w:r><w:t xml:space="preserve">(2) Modern.---Aegina passed with the rest of Greece under</w:t></w:r>
</w:p>
<w:p>
<w:pPr><w:pStyle w:val="Normal"/></w:pPr>
<w:r><w:t xml:space="preserve">the successive dominations of Macedon, the Aetolians, Attalus</w:t></w:r>
</w:p>
<w:p>
<w:pPr><w:pStyle w:val="Normal"/></w:pPr>
<w:r><w:t xml:space="preserve">of Pergamum and Rome.  In 1537 the island, then a prosperous</w:t></w:r>
</w:p>
<w:p>
<w:pPr><w:pStyle w:val="Normal"/></w:pPr>
<w:r><w:t xml:space="preserve">Venetian colony, was overrun and ruined by the pirate Barbarossa</w:t></w:r>
</w:p>
<w:p>
<w:pPr><w:pStyle w:val="Normal"/></w:pPr>
<w:r><w:t xml:space="preserve">(Khair-ed-Din).  One of the last Venetian strongholds in the</w:t></w:r>
</w:p>
<w:p>
<w:pPr><w:pStyle w:val="Normal"/></w:pPr>
<w:r><w:t xml:space="preserve">Levant, it was ceded by the treaty of Passarowitz (1718)</w:t></w:r>
</w:p>
<w:p>
<w:pPr><w:pStyle w:val="Normal"/></w:pPr>
<w:r><w:t xml:space="preserve">to the Turks.  In 1826-1828 the town became for a time</w:t></w:r>
</w:p>
<w:p>
<w:pPr><w:pStyle w:val="Normal"/></w:pPr>
<w:r><w:t xml:space="preserve">the capital of Greece and the centre of a large commercial</w:t></w:r>
</w:p>
<w:p>
<w:pPr><w:pStyle w:val="Normal"/></w:pPr>
<w:r><w:t xml:space="preserve">population (about 10,000), which has dwindled to about 4300.</w:t></w:r>
</w:p>
<w:p>
<w:pPr><w:pStyle w:val="Normal"/></w:pPr>
<w:r><w:t xml:space="preserve">BIBLIOGRAPHY.---Herodotus loc. cit.; Thucydides i. 105,</w:t></w:r>
</w:p>
<w:p>
<w:pPr><w:pStyle w:val="Normal"/></w:pPr>
<w:r><w:t xml:space="preserve">108, ii. 27, iv. 56, 57. For the criticism of Herodotus&apos;s</w:t></w:r>
</w:p>
<w:p>
<w:pPr><w:pStyle w:val="Normal"/></w:pPr>
<w:r><w:t xml:space="preserve">account of the relations of Athens and Aegina, Wilamowitz,</w:t></w:r>
</w:p>
<w:p>
<w:pPr><w:pStyle w:val="Normal"/></w:pPr>
<w:r><w:t xml:space="preserve">Aristoteles und Athen, ii. 280-288, is indispensable.  See</w:t></w:r>
</w:p>
<w:p>
<w:pPr><w:pStyle w:val="Normal"/></w:pPr>
<w:r><w:t xml:space="preserve">also Macan, Herodotus iv.-vi., ii. 102-120. (E. M. W.)</w:t></w:r>
</w:p>
<w:p>
<w:pPr><w:pStyle w:val="Normal"/></w:pPr>
<w:r><w:t xml:space="preserve">AEGINETA, PAULUS, a celebrated surgeon of the island of</w:t></w:r>
</w:p>
<w:p>
<w:pPr><w:pStyle w:val="Normal"/></w:pPr>
<w:r><w:t xml:space="preserve">Aegina, whence he derived his name.  According to Le Clerc&apos;s</w:t></w:r>
</w:p>
<w:p>
<w:pPr><w:pStyle w:val="Normal"/></w:pPr>
<w:r><w:t xml:space="preserve">calculation, he lived in the 4th century of the Christian era;</w:t></w:r>
</w:p>
<w:p>
<w:pPr><w:pStyle w:val="Normal"/></w:pPr>
<w:r><w:t xml:space="preserve">but Abulfaragius (Barhebraeus) places him with more probability</w:t></w:r>
</w:p>
<w:p>
<w:pPr><w:pStyle w:val="Normal"/></w:pPr>
<w:r><w:t xml:space="preserve">in the 7th. The title of his most important work, as given by</w:t></w:r>
</w:p>
<w:p>
<w:pPr><w:pStyle w:val="Normal"/></w:pPr>
<w:r><w:t xml:space="preserve">Suidas, is Epitomes &apos;Iatrikes Biblia &apos;Epta (Synopsis</w:t></w:r>
</w:p>
<w:p>
<w:pPr><w:pStyle w:val="Normal"/></w:pPr>
<w:r><w:t xml:space="preserve">of Medicine in Seven Books), the 6th book of which, treating</w:t></w:r>
</w:p>
<w:p>
<w:pPr><w:pStyle w:val="Normal"/></w:pPr>
<w:r><w:t xml:space="preserve">of operative surgery, is of special interest for surgical</w:t></w:r>
</w:p>
<w:p>
<w:pPr><w:pStyle w:val="Normal"/></w:pPr>
<w:r><w:t xml:space="preserve">history.  The whole work in the original Greek was published at</w:t></w:r>
</w:p>
<w:p>
<w:pPr><w:pStyle w:val="Normal"/></w:pPr>
<w:r><w:t xml:space="preserve">Venice in 1528, and another edition appeared at Basel in 1538.</w:t></w:r>
</w:p>
<w:p>
<w:pPr><w:pStyle w:val="Normal"/></w:pPr>
<w:r><w:t xml:space="preserve">Several Latin translations have been published, and an excellent</w:t></w:r>
</w:p>
<w:p>
<w:pPr><w:pStyle w:val="Normal"/></w:pPr>
<w:r><w:t xml:space="preserve">English version, with commentary, by Dr F. Adams (1844-1848).</w:t></w:r>
</w:p>
<w:p>
<w:pPr><w:pStyle w:val="Normal"/></w:pPr>
<w:r><w:t xml:space="preserve">AEGIS (Gr. Aigis), in Homer, the shield or buckler of</w:t></w:r>
</w:p>
<w:p>
<w:pPr><w:pStyle w:val="Normal"/></w:pPr>
<w:r><w:t xml:space="preserve">Zeus, fashioned for him by Hephaestus, furnished with tassels</w:t></w:r>
</w:p>
<w:p>
<w:pPr><w:pStyle w:val="Normal"/></w:pPr>
<w:r><w:t xml:space="preserve">and bearing the Gorgon&apos;s head in the centre.  Originally</w:t></w:r>
</w:p>
<w:p>
<w:pPr><w:pStyle w:val="Normal"/></w:pPr>
<w:r><w:t xml:space="preserve">symbolical of the storm-cloud, it is probably derived from</w:t></w:r>
</w:p>
<w:p>
<w:pPr><w:pStyle w:val="Normal"/></w:pPr>
<w:r><w:t xml:space="preserve">aisso, signifying rapid, violent motion.  When the god</w:t></w:r>
</w:p>
<w:p>
<w:pPr><w:pStyle w:val="Normal"/></w:pPr>
<w:r><w:t xml:space="preserve">shakes it, Mount Ida is wrapped in clouds, the thunder rolls</w:t></w:r>
</w:p>
<w:p>
<w:pPr><w:pStyle w:val="Normal"/></w:pPr>
<w:r><w:t xml:space="preserve">and men are smitten with fear.  He sometimes lends it to</w:t></w:r>
</w:p>
<w:p>
<w:pPr><w:pStyle w:val="Normal"/></w:pPr>
<w:r><w:t xml:space="preserve">Athene and (rarely) to Apollo.  In the later story (Hyginus,</w:t></w:r>
</w:p>
<w:p>
<w:pPr><w:pStyle w:val="Normal"/></w:pPr>
<w:r><w:t xml:space="preserve">Poet.  Astronom. ii. 13) Zeus is said to have used the</w:t></w:r>
</w:p>
<w:p>
<w:pPr><w:pStyle w:val="Normal"/></w:pPr>
<w:r><w:t xml:space="preserve">skin of the goat Amaltheia (aigis=goat-skin) which suckled</w:t></w:r>
</w:p>
<w:p>
<w:pPr><w:pStyle w:val="Normal"/></w:pPr>
<w:r><w:t xml:space="preserve">him in Crete, as a buckler when he went forth to do battle</w:t></w:r>
</w:p>
<w:p>
<w:pPr><w:pStyle w:val="Normal"/></w:pPr>
<w:r><w:t xml:space="preserve">against the giants.  Another legend represents the aegis as a</w:t></w:r>
</w:p>
<w:p>
<w:pPr><w:pStyle w:val="Normal"/></w:pPr>
<w:r><w:t xml:space="preserve">fire-breathing monster like the Chimaera, which was slain by</w:t></w:r>
</w:p>
<w:p>
<w:pPr><w:pStyle w:val="Normal"/></w:pPr>
<w:r><w:t xml:space="preserve">Athene, who afterwards wore its skin as a cuirass (Diodorus</w:t></w:r>
</w:p>
<w:p>
<w:pPr><w:pStyle w:val="Normal"/></w:pPr>
<w:r><w:t xml:space="preserve">Siculus iii. 70) It appears to have been really the goat&apos;s</w:t></w:r>
</w:p>
<w:p>
<w:pPr><w:pStyle w:val="Normal"/></w:pPr>
<w:r><w:t xml:space="preserve">skin used as a belt to support the shield.  When so used it</w:t></w:r>
</w:p>
<w:p>
<w:pPr><w:pStyle w:val="Normal"/></w:pPr>
<w:r><w:t xml:space="preserve">would generally be fastened on the right shoulder, and would</w:t></w:r>
</w:p>
<w:p>
<w:pPr><w:pStyle w:val="Normal"/></w:pPr>
<w:r><w:t xml:space="preserve">partially envelop the chest as it passed obliquely round in</w:t></w:r>
</w:p>
<w:p>
<w:pPr><w:pStyle w:val="Normal"/></w:pPr>
<w:r><w:t xml:space="preserve">front and behind to be attached to the shield under the left</w:t></w:r>
</w:p>
<w:p>
<w:pPr><w:pStyle w:val="Normal"/></w:pPr>
<w:r><w:t xml:space="preserve">arm.  Hence, by transference, it would be employed to denote</w:t></w:r>
</w:p>
<w:p>
<w:pPr><w:pStyle w:val="Normal"/></w:pPr>
<w:r><w:t xml:space="preserve">at times the shield which it supported, and at other times a</w:t></w:r>
</w:p>
<w:p>
<w:pPr><w:pStyle w:val="Normal"/></w:pPr>
<w:r><w:t xml:space="preserve">cuirass, the purpose of which it in part served.  In accordance</w:t></w:r>
</w:p>
<w:p>
<w:pPr><w:pStyle w:val="Normal"/></w:pPr>
<w:r><w:t xml:space="preserve">with this double meaning the aegis appears in works of art</w:t></w:r>
</w:p>
<w:p>
<w:pPr><w:pStyle w:val="Normal"/></w:pPr>
<w:r><w:t xml:space="preserve">sometimes as an animal&apos;s skin thrown over the shoulders and arms,</w:t></w:r>
</w:p>
<w:p>
<w:pPr><w:pStyle w:val="Normal"/></w:pPr>
<w:r><w:t xml:space="preserve">sometimes as a cuirass, with a border of snakes corresponding</w:t></w:r>
</w:p>
<w:p>
<w:pPr><w:pStyle w:val="Normal"/></w:pPr>
<w:r><w:t xml:space="preserve">to the tassels of Homer, usually with the Gorgon&apos;s head in the</w:t></w:r>
</w:p>
<w:p>
<w:pPr><w:pStyle w:val="Normal"/></w:pPr>
<w:r><w:t xml:space="preserve">centre.  It is often represented on the statues of Roman</w:t></w:r>
</w:p>
<w:p>
<w:pPr><w:pStyle w:val="Normal"/></w:pPr>
<w:r><w:t xml:space="preserve">emperors, heroes and warriors, and on cameos and vases.</w:t></w:r>
</w:p>
<w:p>
<w:pPr><w:pStyle w:val="Normal"/></w:pPr>
<w:r><w:t xml:space="preserve">See F. G. Welcker, Griechische Gotterlehre (1857); L. Freller,</w:t></w:r>
</w:p>
<w:p>
<w:pPr><w:pStyle w:val="Normal"/></w:pPr>
<w:r><w:t xml:space="preserve">Griechische Mythologie, i. (1887); articles in Pauly-Wissowa&apos;s</w:t></w:r>
</w:p>
<w:p>
<w:pPr><w:pStyle w:val="Normal"/></w:pPr>
<w:r><w:t xml:space="preserve">Real Encyclopadie, Roscher&apos;s Lexikon der Mythologie</w:t></w:r>
</w:p>
<w:p>
<w:pPr><w:pStyle w:val="Normal"/></w:pPr>
<w:r><w:t xml:space="preserve">Daremberg and Saglio&apos;s Dictionnaire des Antiquites, and Smith&apos;s</w:t></w:r>
</w:p>
<w:p>
<w:pPr><w:pStyle w:val="Normal"/></w:pPr>
<w:r><w:t xml:space="preserve">Dictionary of Greek and Roman Antiquities (3rd ed., 1890).</w:t></w:r>
</w:p>
<w:p>
<w:pPr><w:pStyle w:val="Normal"/></w:pPr>
<w:r><w:t xml:space="preserve">AEGISTHUS, in Greek legend, was the son of Thyestes by his Own</w:t></w:r>
</w:p>
<w:p>
<w:pPr><w:pStyle w:val="Normal"/></w:pPr>
<w:r><w:t xml:space="preserve">daughter Pelopia.  Having been exposed by his mother to conceal her</w:t></w:r>
</w:p>
<w:p>
<w:pPr><w:pStyle w:val="Normal"/></w:pPr>
<w:r><w:t xml:space="preserve">shame, he was found by shepherds and suckled by a goat-whence his</w:t></w:r>
</w:p>
<w:p>
<w:pPr><w:pStyle w:val="Normal"/></w:pPr>
<w:r><w:t xml:space="preserve">name.  His uncle Atreus, who had married Pelopia, took him to</w:t></w:r>
</w:p>
<w:p>
<w:pPr><w:pStyle w:val="Normal"/></w:pPr>
<w:r><w:t xml:space="preserve">Mycenae, and brought him up as his own son.  When he grew up</w:t></w:r>
</w:p>
<w:p>
<w:pPr><w:pStyle w:val="Normal"/></w:pPr>
<w:r><w:t xml:space="preserve">Aegisthus slew Atreus, and ruled jointly with his father over</w:t></w:r>
</w:p>
<w:p>
<w:pPr><w:pStyle w:val="Normal"/></w:pPr>
<w:r><w:t xml:space="preserve">Mycenae, until they were deposed by Agamemnon on his return</w:t></w:r>
</w:p>
<w:p>
<w:pPr><w:pStyle w:val="Normal"/></w:pPr>
<w:r><w:t xml:space="preserve">from exile.  After the departure of Agamemnon to the Trojan</w:t></w:r>
</w:p>
<w:p>
<w:pPr><w:pStyle w:val="Normal"/></w:pPr>
<w:r><w:t xml:space="preserve">war, Aegisthus seduced his wife Clytaemnestra (more correctly</w:t></w:r>
</w:p>
<w:p>
<w:pPr><w:pStyle w:val="Normal"/></w:pPr>
<w:r><w:t xml:space="preserve">Clytaemestra) and with her assistance slew him on his return.</w:t></w:r>
</w:p>
<w:p>
<w:pPr><w:pStyle w:val="Normal"/></w:pPr>
<w:r><w:t xml:space="preserve">Eight years later his murder was avenged by his son Orestes.</w:t></w:r>
</w:p>
<w:p>
<w:pPr><w:pStyle w:val="Normal"/></w:pPr>
<w:r><w:t xml:space="preserve">Homer, Od. iii. 263, iv. 517; Hyginus, Fab. 87.</w:t></w:r>
</w:p>
<w:p>
<w:pPr><w:pStyle w:val="Normal"/></w:pPr>
<w:r><w:t xml:space="preserve">AEGOSPOTAMI (i.e. ``Goat Streams&apos;&apos;), a small creek issuing</w:t></w:r>
</w:p>
<w:p>
<w:pPr><w:pStyle w:val="Normal"/></w:pPr>
<w:r><w:t xml:space="preserve">into the Hellespont, N.E. of Sestos, the scene of the decisive</w:t></w:r>
</w:p>
<w:p>
<w:pPr><w:pStyle w:val="Normal"/></w:pPr>
<w:r><w:t xml:space="preserve">battle in 405 B.C. by which Lysander destroyed the last</w:t></w:r>
</w:p>
<w:p>
<w:pPr><w:pStyle w:val="Normal"/></w:pPr>
<w:r><w:t xml:space="preserve">Athenian armament in the Peloponnesian War (q.v.). The</w:t></w:r>
</w:p>
<w:p>
<w:pPr><w:pStyle w:val="Normal"/></w:pPr>
<w:r><w:t xml:space="preserve">township of that name, whose existence is attested by coins of</w:t></w:r>
</w:p>
<w:p>
<w:pPr><w:pStyle w:val="Normal"/></w:pPr>
<w:r><w:t xml:space="preserve">the 5th and 4th centuries, must have been quite insignificant.</w:t></w:r>
</w:p>
<w:p>
<w:pPr><w:pStyle w:val="Normal"/></w:pPr>
<w:r><w:t xml:space="preserve">AEFRIC, called the ``Grammarian&apos;&apos; (c. 955-1020?), English</w:t></w:r>
</w:p>
<w:p>
<w:pPr><w:pStyle w:val="Normal"/></w:pPr>
<w:r><w:t xml:space="preserve">abbot and author, was born about 955. He was educated in the</w:t></w:r>
</w:p>
<w:p>
<w:pPr><w:pStyle w:val="Normal"/></w:pPr>
<w:r><w:t xml:space="preserve">Benedictine monastery at Winchester under AEthelwold, who</w:t></w:r>
</w:p>
<w:p>
<w:pPr><w:pStyle w:val="Normal"/></w:pPr>
<w:r><w:t xml:space="preserve">was bishop there from 963 to 984. AEthelwold had Carried</w:t></w:r>
</w:p>
<w:p>
<w:pPr><w:pStyle w:val="Normal"/></w:pPr>
<w:r><w:t xml:space="preserve">on the tradition of Dunstan in his government of the abbey</w:t></w:r>
</w:p>
<w:p>
<w:pPr><w:pStyle w:val="Normal"/></w:pPr>
<w:r><w:t xml:space="preserve">of Abingdon, and at Winchester he continued his strenuous</w:t></w:r>
</w:p>
<w:p>
<w:pPr><w:pStyle w:val="Normal"/></w:pPr>
<w:r><w:t xml:space="preserve">efforts.  He seems to have actually taken part in the work</w:t></w:r>
</w:p>
<w:p>
<w:pPr><w:pStyle w:val="Normal"/></w:pPr>
<w:r><w:t xml:space="preserve">of teaching. AElfric no doubt gained some reputation as a</w:t></w:r>
</w:p>
<w:p>
<w:pPr><w:pStyle w:val="Normal"/></w:pPr>
<w:r><w:t xml:space="preserve">scholar at Winchester, for when, in 987, the abbey of Cernel</w:t></w:r>
</w:p>
<w:p>
<w:pPr><w:pStyle w:val="Normal"/></w:pPr>
<w:r><w:t xml:space="preserve">(Cerne Abbas, Dorsetshire) was finished, he was sent by Bishop</w:t></w:r>
</w:p>
<w:p>
<w:pPr><w:pStyle w:val="Normal"/></w:pPr>
<w:r><w:t xml:space="preserve">AElfheah (Alphege), AEthelwold&apos;s successor, at the request of</w:t></w:r>
</w:p>
<w:p>
<w:pPr><w:pStyle w:val="Normal"/></w:pPr>
<w:r><w:t xml:space="preserve">the chief benefactor of the abbey, the ealdorman AEthelmaer, to</w:t></w:r>
</w:p>
<w:p>
<w:pPr><w:pStyle w:val="Normal"/></w:pPr>
<w:r><w:t xml:space="preserve">teach the Benedictine monks there.  He was then in priest&apos;s</w:t></w:r>
</w:p>
<w:p>
<w:pPr><w:pStyle w:val="Normal"/></w:pPr>
<w:r><w:t xml:space="preserve">orders. AEthelmaer and his father AEthelweard were both</w:t></w:r>
</w:p>
<w:p>
<w:pPr><w:pStyle w:val="Normal"/></w:pPr>
<w:r><w:t xml:space="preserve">enlightened patrons of learning, and became AElfric&apos;s faithful</w:t></w:r>
</w:p>
<w:p>
<w:pPr><w:pStyle w:val="Normal"/></w:pPr>
<w:r><w:t xml:space="preserve">friends.  It was at Cernel, and partly at the desire, it</w:t></w:r>
</w:p>
<w:p>
<w:pPr><w:pStyle w:val="Normal"/></w:pPr>
<w:r><w:t xml:space="preserve">appears, of AEthelweard, that he planned the two series</w:t></w:r>
</w:p>
<w:p>
<w:pPr><w:pStyle w:val="Normal"/></w:pPr>
<w:r><w:t xml:space="preserve">of his English homilies (ed. Benjamin Thorpe, 1844--1846,</w:t></w:r>
</w:p>
<w:p>
<w:pPr><w:pStyle w:val="Normal"/></w:pPr>
<w:r><w:t xml:space="preserve">for the AElfric Society), come piled from the Christian</w:t></w:r>
</w:p>
<w:p>
<w:pPr><w:pStyle w:val="Normal"/></w:pPr>
<w:r><w:t xml:space="preserve">fathers, and dedicated to Sigeric, archbishop of Canterbury</w:t></w:r>
</w:p>
<w:p>
<w:pPr><w:pStyle w:val="Normal"/></w:pPr>
<w:r><w:t xml:space="preserve">(990-994).  The Latin preface to the first series enumerates</w:t></w:r>
</w:p>
<w:p>
<w:pPr><w:pStyle w:val="Normal"/></w:pPr>
<w:r><w:t xml:space="preserve">some of AElfric&apos;s authorities, the chief of whom was Gregory the</w:t></w:r>
</w:p>
<w:p>
<w:pPr><w:pStyle w:val="Normal"/></w:pPr>
<w:r><w:t xml:space="preserve">Great, but the short hst there given by no means exhausts the</w:t></w:r>
</w:p>
<w:p>
<w:pPr><w:pStyle w:val="Normal"/></w:pPr>
<w:r><w:t xml:space="preserve">authors whom he consulted.  In the preface to the first volume</w:t></w:r>
</w:p>
<w:p>
<w:pPr><w:pStyle w:val="Normal"/></w:pPr>
<w:r><w:t xml:space="preserve">he regrets that except for Alfred&apos;s translations Englishmen had</w:t></w:r>
</w:p>
<w:p>
<w:pPr><w:pStyle w:val="Normal"/></w:pPr>
<w:r><w:t xml:space="preserve">no means of learning the true doctrine as expounded by the Latin</w:t></w:r>
</w:p>
<w:p>
<w:pPr><w:pStyle w:val="Normal"/></w:pPr>
<w:r><w:t xml:space="preserve">fathers.  Professor Earle (A.S. Literature, 1884) thinks</w:t></w:r>
</w:p>
<w:p>
<w:pPr><w:pStyle w:val="Normal"/></w:pPr>
<w:r><w:t xml:space="preserve">he aimed at correcting the apocryphal, and to modern ideas</w:t></w:r>
</w:p>
<w:p>
<w:pPr><w:pStyle w:val="Normal"/></w:pPr>
<w:r><w:t xml:space="preserve">superstitious, teaching of the earlier Blickling Homilies.</w:t></w:r>
</w:p>
<w:p>
<w:pPr><w:pStyle w:val="Normal"/></w:pPr>
<w:r><w:t xml:space="preserve">The first series of forty homilies is devoted to plain and</w:t></w:r>
</w:p>
<w:p>
<w:pPr><w:pStyle w:val="Normal"/></w:pPr>
<w:r><w:t xml:space="preserve">direct exposition of the chief events of the Christian year;</w:t></w:r>
</w:p>
<w:p>
<w:pPr><w:pStyle w:val="Normal"/></w:pPr>
<w:r><w:t xml:space="preserve">the second deals more fully with church doctrine and history,</w:t></w:r>
</w:p>
<w:p>
<w:pPr><w:pStyle w:val="Normal"/></w:pPr>
<w:r><w:t xml:space="preserve">AElfric denied the immaculate birth of the Virgin (Homilies,</w:t></w:r>
</w:p>
<w:p>
<w:pPr><w:pStyle w:val="Normal"/></w:pPr>
<w:r><w:t xml:space="preserve">ed.  Thorpe, ii. 466), and his teaching on the Eucharist in the</w:t></w:r>
</w:p>
<w:p>
<w:pPr><w:pStyle w:val="Normal"/></w:pPr>
<w:r><w:t xml:space="preserve">Canons and in the Sermo de sacrificio in die pascae (ibid.</w:t></w:r>
</w:p>
<w:p>
<w:pPr><w:pStyle w:val="Normal"/></w:pPr>
<w:r><w:t xml:space="preserve">ii. 262 seq.) was appealed to by the Reformation writers as</w:t></w:r>
</w:p>
<w:p>
<w:pPr><w:pStyle w:val="Normal"/></w:pPr>
<w:r><w:t xml:space="preserve">a proof that the early English church did not hold the Roman</w:t></w:r>
</w:p>
<w:p>
<w:pPr><w:pStyle w:val="Normal"/></w:pPr>
<w:r><w:t xml:space="preserve">doctrine of transubstantiation.1 His Latin Grammar and</w:t></w:r>
</w:p>
<w:p>
<w:pPr><w:pStyle w:val="Normal"/></w:pPr>
<w:r><w:t xml:space="preserve">Glossary 2 were written for his pupils after the two books of</w:t></w:r>
</w:p>
<w:p>
<w:pPr><w:pStyle w:val="Normal"/></w:pPr>
<w:r><w:t xml:space="preserve">homilies.  A third series of homilies, the Lives of the</w:t></w:r>
</w:p>
<w:p>
<w:pPr><w:pStyle w:val="Normal"/></w:pPr>
<w:r><w:t xml:space="preserve">Saints, dates from 906 to 997. Some of the sermons in the second</w:t></w:r>
</w:p>
<w:p>
<w:pPr><w:pStyle w:val="Normal"/></w:pPr>
<w:r><w:t xml:space="preserve">series had been written in a kind of rhythmical, alliterative</w:t></w:r>
</w:p>
<w:p>
<w:pPr><w:pStyle w:val="Normal"/></w:pPr>
<w:r><w:t xml:space="preserve">prose, and in the Lives of the Saints (ed. W. W. Skeat,</w:t></w:r>
</w:p>
<w:p>
<w:pPr><w:pStyle w:val="Normal"/></w:pPr>
<w:r><w:t xml:space="preserve">1881-1900, for the Early English Text Society) the practice is</w:t></w:r>
</w:p>
<w:p>
<w:pPr><w:pStyle w:val="Normal"/></w:pPr>
<w:r><w:t xml:space="preserve">so regular that most of them are arranged as verse by Professor</w:t></w:r>
</w:p>
<w:p>
<w:pPr><w:pStyle w:val="Normal"/></w:pPr>
<w:r><w:t xml:space="preserve">Skeat.  By the wish of AEthelweard he also began a paraphrase</w:t></w:r>
</w:p>
<w:p>
<w:pPr><w:pStyle w:val="Normal"/></w:pPr>
<w:r><w:t xml:space="preserve">3 of parts of the Old Testament, but under protest, for the</w:t></w:r>
</w:p>
<w:p>
<w:pPr><w:pStyle w:val="Normal"/></w:pPr>
<w:r><w:t xml:space="preserve">stories related in it were not, he thought, suitable for simple</w:t></w:r>
</w:p>
<w:p>
<w:pPr><w:pStyle w:val="Normal"/></w:pPr>
<w:r><w:t xml:space="preserve">minds.  There is no certain proof that he remained at Cernel.</w:t></w:r>
</w:p>
<w:p>
<w:pPr><w:pStyle w:val="Normal"/></w:pPr>
<w:r><w:t xml:space="preserve">It has been suggested that this part of his life was chiefly</w:t></w:r>
</w:p>
<w:p>
<w:pPr><w:pStyle w:val="Normal"/></w:pPr>
<w:r><w:t xml:space="preserve">spent at Winchester; but his writings for the patrons of</w:t></w:r>
</w:p>
<w:p>
<w:pPr><w:pStyle w:val="Normal"/></w:pPr>
<w:r><w:t xml:space="preserve">Cernel, and the fact that he wrote in 998 his Canons 4 as</w:t></w:r>
</w:p>
<w:p>
<w:pPr><w:pStyle w:val="Normal"/></w:pPr>
<w:r><w:t xml:space="preserve">a pastoral letter for Wulfsige, the bishop of Sherborne, the</w:t></w:r>
</w:p>
<w:p>
<w:pPr><w:pStyle w:val="Normal"/></w:pPr>
<w:r><w:t xml:space="preserve">diocese in which the abbey was situated, afford presumption</w:t></w:r>
</w:p>
<w:p>
<w:pPr><w:pStyle w:val="Normal"/></w:pPr>
<w:r><w:t xml:space="preserve">of continued residence there.  He became in 1005 the first</w:t></w:r>
</w:p>
<w:p>
<w:pPr><w:pStyle w:val="Normal"/></w:pPr>
<w:r><w:t xml:space="preserve">abbot of Eynsham or Ensham, near Oxford, another foundation of</w:t></w:r>
</w:p>
<w:p>
<w:pPr><w:pStyle w:val="Normal"/></w:pPr>
<w:r><w:t xml:space="preserve">AEthelmaer&apos;s.  After his elevation he wrote an abridgment</w:t></w:r>
</w:p>
<w:p>
<w:pPr><w:pStyle w:val="Normal"/></w:pPr>
<w:r><w:t xml:space="preserve">for his monks of AEthelwold&apos;s De consuetudine monachorum5,</w:t></w:r>
</w:p>
<w:p>
<w:pPr><w:pStyle w:val="Normal"/></w:pPr>
<w:r><w:t xml:space="preserve">adapted to their rudimentary ideas of monastic life; a letter</w:t></w:r>
</w:p>
<w:p>
<w:pPr><w:pStyle w:val="Normal"/></w:pPr>
<w:r><w:t xml:space="preserve">to Wulfgeat of Ylmandun6; an introduction to the study of the</w:t></w:r>
</w:p>
<w:p>
<w:pPr><w:pStyle w:val="Normal"/></w:pPr>
<w:r><w:t xml:space="preserve">Old and New Testaments (about 1008, edited by William L&apos;Isle</w:t></w:r>
</w:p>
<w:p>
<w:pPr><w:pStyle w:val="Normal"/></w:pPr>
<w:r><w:t xml:space="preserve">in 1623); a Latin life of his master AEthelwold7; a pastoral</w:t></w:r>
</w:p>
<w:p>
<w:pPr><w:pStyle w:val="Normal"/></w:pPr>
<w:r><w:t xml:space="preserve">letter for Wulfstan, archbishop of York and bishop of Worcester,</w:t></w:r>
</w:p>
<w:p>
<w:pPr><w:pStyle w:val="Normal"/></w:pPr>
<w:r><w:t xml:space="preserve">in Latin and English; and an English version of Bede&apos;s De</w:t></w:r>
</w:p>
<w:p>
<w:pPr><w:pStyle w:val="Normal"/></w:pPr>
<w:r><w:t xml:space="preserve">Temporibus8.  The Colloquium9, a Latin dialogue designed</w:t></w:r>
</w:p>
<w:p>
<w:pPr><w:pStyle w:val="Normal"/></w:pPr>
<w:r><w:t xml:space="preserve">to serve his scholars as a manual of Latin conversation, may</w:t></w:r>
</w:p>
<w:p>
<w:pPr><w:pStyle w:val="Normal"/></w:pPr>
<w:r><w:t xml:space="preserve">date from his life at Cernel.  It is safe to assume that the</w:t></w:r>
</w:p>
<w:p>
<w:pPr><w:pStyle w:val="Normal"/></w:pPr>
<w:r><w:t xml:space="preserve">original draft of this, afterwards enlarged by his pupil,</w:t></w:r>
</w:p>
<w:p>
<w:pPr><w:pStyle w:val="Normal"/></w:pPr>
<w:r><w:t xml:space="preserve">AElfric Bata, was by AElfric, and represents what his own</w:t></w:r>
</w:p>
<w:p>
<w:pPr><w:pStyle w:val="Normal"/></w:pPr>
<w:r><w:t xml:space="preserve">scholar days were like.  The last mention of AElfric Abbot,</w:t></w:r>
</w:p>
<w:p>
<w:pPr><w:pStyle w:val="Normal"/></w:pPr>
<w:r><w:t xml:space="preserve">probably the grammarian, is in a will dating from about 1020.</w:t></w:r>
</w:p>
<w:p>
<w:pPr><w:pStyle w:val="Normal"/></w:pPr>
<w:r><w:t xml:space="preserve">There have been three suppositions about AElfric. (1) He</w:t></w:r>
</w:p>
<w:p>
<w:pPr><w:pStyle w:val="Normal"/></w:pPr>
<w:r><w:t xml:space="preserve">was identified with AElfric (995--1005), archbishop of</w:t></w:r>
</w:p>
<w:p>
<w:pPr><w:pStyle w:val="Normal"/></w:pPr>
<w:r><w:t xml:space="preserve">Canterbury.  This view was upheld by John Bale (III. Maj.</w:t></w:r>
</w:p>
<w:p>
<w:pPr><w:pStyle w:val="Normal"/></w:pPr>
<w:r><w:t xml:space="preserve">Bril.  Scriptorum 2nd ed., Basel, 1557-1559; vol. i. p.</w:t></w:r>
</w:p>
<w:p>
<w:pPr><w:pStyle w:val="Normal"/></w:pPr>
<w:r><w:t xml:space="preserve">149, s.v, Alfric); by Humphrey Wanley (Catalogus librorum</w:t></w:r>
</w:p>
<w:p>
<w:pPr><w:pStyle w:val="Normal"/></w:pPr>
<w:r><w:t xml:space="preserve">septentrionalium, &amp;c., Oxford, 1705, forming vol. ii. of</w:t></w:r>
</w:p>
<w:p>
<w:pPr><w:pStyle w:val="Normal"/></w:pPr>
<w:r><w:t xml:space="preserve">George Hickes&apos;s Antiquae literaturae septemtrionalis); by</w:t></w:r>
</w:p>
<w:p>
<w:pPr><w:pStyle w:val="Normal"/></w:pPr>
<w:r><w:t xml:space="preserve">Elizabeth Elstob, The English Saxon Homily on the Birthday</w:t></w:r>
</w:p>
<w:p>
<w:pPr><w:pStyle w:val="Normal"/></w:pPr>
<w:r><w:t xml:space="preserve">of St Gregory (1709; new edition, 1839); and by Edward Rowe</w:t></w:r>
</w:p>
<w:p>
<w:pPr><w:pStyle w:val="Normal"/></w:pPr>
<w:r><w:t xml:space="preserve">Mores, AElfrico, Dorobernensi, archiepiscopo, Commentarius</w:t></w:r>
</w:p>
<w:p>
<w:pPr><w:pStyle w:val="Normal"/></w:pPr>
<w:r><w:t xml:space="preserve">(ed. G. J. Thorkelin, 1789), in which the conclusions of earlier</w:t></w:r>
</w:p>
<w:p>
<w:pPr><w:pStyle w:val="Normal"/></w:pPr>
<w:r><w:t xml:space="preserve">writers on AElfric are reviewed.  Mores made him abbot of St</w:t></w:r>
</w:p>
<w:p>
<w:pPr><w:pStyle w:val="Normal"/></w:pPr>
<w:r><w:t xml:space="preserve">Augustine&apos;s at Dover, and finally archbishop of Canterbury.</w:t></w:r>
</w:p>
<w:p>
<w:pPr><w:pStyle w:val="Normal"/></w:pPr>
<w:r><w:t xml:space="preserve">(2) Sir Henry Spelman, in his Concina . . .(1639, vol. i.</w:t></w:r>
</w:p>
<w:p>
<w:pPr><w:pStyle w:val="Normal"/></w:pPr>
<w:r><w:t xml:space="preserve">p. 583), printed the Canones ad Wulsinum episcopum, and</w:t></w:r>
</w:p>
<w:p>
<w:pPr><w:pStyle w:val="Normal"/></w:pPr>
<w:r><w:t xml:space="preserve">suggested AElfric Putta or Putto, archbishop of York, as the</w:t></w:r>
</w:p>
<w:p>
<w:pPr><w:pStyle w:val="Normal"/></w:pPr>
<w:r><w:t xml:space="preserve">author, adding some note of others bearing the name.  The</w:t></w:r>
</w:p>
<w:p>
<w:pPr><w:pStyle w:val="Normal"/></w:pPr>
<w:r><w:t xml:space="preserve">identity of AElfric the grammarian with AElfric archbishop of</w:t></w:r>
</w:p>
<w:p>
<w:pPr><w:pStyle w:val="Normal"/></w:pPr>
<w:r><w:t xml:space="preserve">York was also discussed by Henry Wharton, in Anglia Sacra</w:t></w:r>
</w:p>
<w:p>
<w:pPr><w:pStyle w:val="Normal"/></w:pPr>
<w:r><w:t xml:space="preserve">(1691, vol. i. pp. 125-134), in a dissertation reprinted in</w:t></w:r>
</w:p>
<w:p>
<w:pPr><w:pStyle w:val="Normal"/></w:pPr>
<w:r><w:t xml:space="preserve">J. P. Migne&apos;s Patrologia (vol. 139, pp. 1459-70, Paris,</w:t></w:r>
</w:p>
<w:p>
<w:pPr><w:pStyle w:val="Normal"/></w:pPr>
<w:r><w:t xml:space="preserve">1853). (3) William of Malmesbuty (De gestis pontificum</w:t></w:r>
</w:p>
<w:p>
<w:pPr><w:pStyle w:val="Normal"/></w:pPr>
<w:r><w:t xml:space="preserve">Anglorum, ed.  N. E. S. A. Hamilton, Rolls Series, 1870, p.</w:t></w:r>
</w:p>
<w:p>
<w:pPr><w:pStyle w:val="Normal"/></w:pPr>
<w:r><w:t xml:space="preserve">406) suggested that he was abbot of Malmesbury and bishop of</w:t></w:r>
</w:p>
<w:p>
<w:pPr><w:pStyle w:val="Normal"/></w:pPr>
<w:r><w:t xml:space="preserve">Crediton.  The main facts of his career were finally</w:t></w:r>
</w:p>
<w:p>
<w:pPr><w:pStyle w:val="Normal"/></w:pPr>
<w:r><w:t xml:space="preserve">elucidated by Eduard Dietrich in a series of articles</w:t></w:r>
</w:p>
<w:p>
<w:pPr><w:pStyle w:val="Normal"/></w:pPr>
<w:r><w:t xml:space="preserve">contributed to C. W. Niedner&apos;s Zeitschrift fur historische</w:t></w:r>
</w:p>
<w:p>
<w:pPr><w:pStyle w:val="Normal"/></w:pPr>
<w:r><w:t xml:space="preserve">Theologie (vols. for 1855 and 1856, Gotha), which have</w:t></w:r>
</w:p>
<w:p>
<w:pPr><w:pStyle w:val="Normal"/></w:pPr>
<w:r><w:t xml:space="preserve">formed the basis of all subsequent writings on the subject.</w:t></w:r>
</w:p>
<w:p>
<w:pPr><w:pStyle w:val="Normal"/></w:pPr>
<w:r><w:t xml:space="preserve">Sketches of AElfric&apos;s career are in B. Ten Brink&apos;s Early</w:t></w:r>
</w:p>
<w:p>
<w:pPr><w:pStyle w:val="Normal"/></w:pPr>
<w:r><w:t xml:space="preserve">English Literature (to Wiclif) (trans.  H. M. Kennedy,</w:t></w:r>
</w:p>
<w:p>
<w:pPr><w:pStyle w:val="Normal"/></w:pPr>
<w:r><w:t xml:space="preserve">New York, 1883, pp. 105-112), and by J. S. Westlake in The</w:t></w:r>
</w:p>
<w:p>
<w:pPr><w:pStyle w:val="Normal"/></w:pPr>
<w:r><w:t xml:space="preserve">Cambridge History of English Literature (vol. i., 1907, pp.</w:t></w:r>
</w:p>
<w:p>
<w:pPr><w:pStyle w:val="Normal"/></w:pPr>
<w:r><w:t xml:space="preserve">116-129).  An excellent bibliography and account of the</w:t></w:r>
</w:p>
<w:p>
<w:pPr><w:pStyle w:val="Normal"/></w:pPr>
<w:r><w:t xml:space="preserve">critical apparatus is given in Dr R. Wulker&apos;s Grundriss</w:t></w:r>
</w:p>
<w:p>
<w:pPr><w:pStyle w:val="Normal"/></w:pPr>
<w:r><w:t xml:space="preserve">zur Geschichte der angelsachsischen Litteratur (Leipzig,</w:t></w:r>
</w:p>
<w:p>
<w:pPr><w:pStyle w:val="Normal"/></w:pPr>
<w:r><w:t xml:space="preserve">1885; pp. 452-480).  See also the account by Professor Skeat</w:t></w:r>
</w:p>
<w:p>
<w:pPr><w:pStyle w:val="Normal"/></w:pPr>
<w:r><w:t xml:space="preserve">in Pt. iv. pp. 8-61 of his edition of the Lives of the</w:t></w:r>
</w:p>
<w:p>
<w:pPr><w:pStyle w:val="Normal"/></w:pPr>
<w:r><w:t xml:space="preserve">Saints, already cited, which gives a full account of the</w:t></w:r>
</w:p>
<w:p>
<w:pPr><w:pStyle w:val="Normal"/></w:pPr>
<w:r><w:t xml:space="preserve">MSS., and a discussion of AElfric&apos;s sources, with further</w:t></w:r>
</w:p>
<w:p>
<w:pPr><w:pStyle w:val="Normal"/></w:pPr>
<w:r><w:t xml:space="preserve">bibliographical references; and AElfric, a New Study of his</w:t></w:r>
</w:p>
<w:p>
<w:pPr><w:pStyle w:val="Normal"/></w:pPr>
<w:r><w:t xml:space="preserve">Life and Writings, by Miss C. L. White (Boston, New York and</w:t></w:r>
</w:p>
<w:p>
<w:pPr><w:pStyle w:val="Normal"/></w:pPr>
<w:r><w:t xml:space="preserve">London, 1898) in the ``Yale Studies in English.&apos;&apos; Alcuini</w:t></w:r>
</w:p>
<w:p>
<w:pPr><w:pStyle w:val="Normal"/></w:pPr>
<w:r><w:t xml:space="preserve">Interrogationes Sigewulfi Presebyteri in Genesin (ed. G.</w:t></w:r>
</w:p>
<w:p>
<w:pPr><w:pStyle w:val="Normal"/></w:pPr>
<w:r><w:t xml:space="preserve">E. McLean, Halle, 1883) is attributed to AElfric by its</w:t></w:r>
</w:p>
<w:p>
<w:pPr><w:pStyle w:val="Normal"/></w:pPr>
<w:r><w:t xml:space="preserve">editor.  There are other isolated sermons and treatises by</w:t></w:r>
</w:p>
<w:p>
<w:pPr><w:pStyle w:val="Normal"/></w:pPr>
<w:r><w:t xml:space="preserve">AElfric, printed in vol. iii. of Grein&apos;s Bibl. v.  A.S. Prosa.</w:t></w:r>
</w:p>
<w:p>
<w:pPr><w:pStyle w:val="Normal"/></w:pPr>
<w:r><w:t xml:space="preserve">1 See A Testimonie of Antiquitie, shewing the auncient</w:t></w:r>
</w:p>
<w:p>
<w:pPr><w:pStyle w:val="Normal"/></w:pPr>
<w:r><w:t xml:space="preserve">fayth in the Church of England touching the sacrament of</w:t></w:r>
</w:p>
<w:p>
<w:pPr><w:pStyle w:val="Normal"/></w:pPr>
<w:r><w:t xml:space="preserve">the body and bloude of the Lord here publikely preached,</w:t></w:r>
</w:p>
<w:p>
<w:pPr><w:pStyle w:val="Normal"/></w:pPr>
<w:r><w:t xml:space="preserve">printed by John Day (1567).  It was quoted in John Foxe&apos;s</w:t></w:r>
</w:p>
<w:p>
<w:pPr><w:pStyle w:val="Normal"/></w:pPr>
<w:r><w:t xml:space="preserve">Actes and Monuments (ed. 1610)) 2 Ed. J. Zupitza in</w:t></w:r>
</w:p>
<w:p>
<w:pPr><w:pStyle w:val="Normal"/></w:pPr>
<w:r><w:t xml:space="preserve">Sammlung englischer Denkmaler (vol. i., Berlin, 1880).</w:t></w:r>
</w:p>
<w:p>
<w:pPr><w:pStyle w:val="Normal"/></w:pPr>
<w:r><w:t xml:space="preserve">3 Edited by Edward Thwaites as Heptateuchus (Oxford 1698);</w:t></w:r>
</w:p>
<w:p>
<w:pPr><w:pStyle w:val="Normal"/></w:pPr>
<w:r><w:t xml:space="preserve">modern edition in Grein&apos;s Bibliothek der A. S. Prosa (vol.</w:t></w:r>
</w:p>
<w:p>
<w:pPr><w:pStyle w:val="Normal"/></w:pPr>
<w:r><w:t xml:space="preserve">i.  Cassel and Gottingen, 1872).  See also B. Assmann, Abt</w:t></w:r>
</w:p>
<w:p>
<w:pPr><w:pStyle w:val="Normal"/></w:pPr>
<w:r><w:t xml:space="preserve">AElfric&apos;s . . . Esther (Halle, 1885), and Abt AElfric&apos;s Judith</w:t></w:r>
</w:p>
<w:p>
<w:pPr><w:pStyle w:val="Normal"/></w:pPr>
<w:r><w:t xml:space="preserve">(in Anglia, vol. x.). 4 Printed by Benjamin Thorpe in</w:t></w:r>
</w:p>
<w:p>
<w:pPr><w:pStyle w:val="Normal"/></w:pPr>
<w:r><w:t xml:space="preserve">Ancient Laws and Institutes of England (1840), with the</w:t></w:r>
</w:p>
<w:p>
<w:pPr><w:pStyle w:val="Normal"/></w:pPr>
<w:r><w:t xml:space="preserve">later pastoral for Wulfstan. 5 See E. Breck, A Fragment</w:t></w:r>
</w:p>
<w:p>
<w:pPr><w:pStyle w:val="Normal"/></w:pPr>
<w:r><w:t xml:space="preserve">of AElfric; translation of AEthelwold&apos;s De Consuetudine</w:t></w:r>
</w:p>
<w:p>
<w:pPr><w:pStyle w:val="Normal"/></w:pPr>
<w:r><w:t xml:space="preserve">Monachorum and its relation to other MSS. (Leipzig 1887).</w:t></w:r>
</w:p>
<w:p>
<w:pPr><w:pStyle w:val="Normal"/></w:pPr>
<w:r><w:t xml:space="preserve">6 Ilmington, on the borders of Warwickshire and Gloucestershire.</w:t></w:r>
</w:p>
<w:p>
<w:pPr><w:pStyle w:val="Normal"/></w:pPr>
<w:r><w:t xml:space="preserve">7 Included by J. Stevenson in the Chron.  Monast. de Abingon</w:t></w:r>
</w:p>
<w:p>
<w:pPr><w:pStyle w:val="Normal"/></w:pPr>
<w:r><w:t xml:space="preserve">(vol. ii. pp. 253-266, Rolls Series, 1858). 8 See Oswald</w:t></w:r>
</w:p>
<w:p>
<w:pPr><w:pStyle w:val="Normal"/></w:pPr>
<w:r><w:t xml:space="preserve">Cockayne, Leechdoms, Wortcunning and Starcraft (vol. iii.,</w:t></w:r>
</w:p>
<w:p>
<w:pPr><w:pStyle w:val="Normal"/></w:pPr>
<w:r><w:t xml:space="preserve">1866, pp. xiv.-xix. and pp. 233 et. seq.) in the Rolls</w:t></w:r>
</w:p>
<w:p>
<w:pPr><w:pStyle w:val="Normal"/></w:pPr>
<w:r><w:t xml:space="preserve">Series. 9 See an article by J. Zupitza in the Zeitschrift</w:t></w:r>
</w:p>
<w:p>
<w:pPr><w:pStyle w:val="Normal"/></w:pPr>
<w:r><w:t xml:space="preserve">fur deutsches Altertum (vol. xix., new series, 1887).</w:t></w:r>
</w:p>
<w:p>
<w:pPr><w:pStyle w:val="Normal"/></w:pPr>
<w:r><w:t xml:space="preserve">AELIA CAPITOLINA, the city built by the emperor Hadrian,</w:t></w:r>
</w:p>
<w:p>
<w:pPr><w:pStyle w:val="Normal"/></w:pPr>
<w:r><w:t xml:space="preserve">A.D. 131, and occupied by a Roman colony, on the site of</w:t></w:r>
</w:p>
<w:p>
<w:pPr><w:pStyle w:val="Normal"/></w:pPr>
<w:r><w:t xml:space="preserve">Jerusalem (q.v.), which was in ruins when he visited his</w:t></w:r>
</w:p>
<w:p>
<w:pPr><w:pStyle w:val="Normal"/></w:pPr>
<w:r><w:t xml:space="preserve">Syrian dominions. Aelia is derived from the emperor&apos;s family</w:t></w:r>
</w:p>
<w:p>
<w:pPr><w:pStyle w:val="Normal"/></w:pPr>
<w:r><w:t xml:space="preserve">name, and Capilolina from that of Jupiter Capitolinus, to</w:t></w:r>
</w:p>
<w:p>
<w:pPr><w:pStyle w:val="Normal"/></w:pPr>
<w:r><w:t xml:space="preserve">whom a temple was built on the site of the Jewish temple.</w:t></w:r>
</w:p>
<w:p>
<w:pPr><w:pStyle w:val="Normal"/></w:pPr>
<w:r><w:t xml:space="preserve">AELIAN (AELIANUS TACTICUS), Greek military writer of</w:t></w:r>
</w:p>
<w:p>
<w:pPr><w:pStyle w:val="Normal"/></w:pPr>
<w:r><w:t xml:space="preserve">the 2nd century A.D., resident at Rome.  He is sometimes</w:t></w:r>
</w:p>
<w:p>
<w:pPr><w:pStyle w:val="Normal"/></w:pPr>
<w:r><w:t xml:space="preserve">confused with Claudius Aelianus, the Roman writer referred to</w:t></w:r>
</w:p>
<w:p>
<w:pPr><w:pStyle w:val="Normal"/></w:pPr>
<w:r><w:t xml:space="preserve">below.  Aelian&apos;s military treatise, Taktike Theoria, is</w:t></w:r>
</w:p>
<w:p>
<w:pPr><w:pStyle w:val="Normal"/></w:pPr>
<w:r><w:t xml:space="preserve">dedicated to Hadrian, though this is probably a mistake for</w:t></w:r>
</w:p>
<w:p>
<w:pPr><w:pStyle w:val="Normal"/></w:pPr>
<w:r><w:t xml:space="preserve">Trajan, and the date A.D. 106 has been assigned to it.  It</w:t></w:r>
</w:p>
<w:p>
<w:pPr><w:pStyle w:val="Normal"/></w:pPr>
<w:r><w:t xml:space="preserve">is a handbook of Greek, i.e. Macedonian, drill and tactics</w:t></w:r>
</w:p>
<w:p>
<w:pPr><w:pStyle w:val="Normal"/></w:pPr>
<w:r><w:t xml:space="preserve">as practised by the Hellenistic successors of Alexander the</w:t></w:r>
</w:p>
<w:p>
<w:pPr><w:pStyle w:val="Normal"/></w:pPr>
<w:r><w:t xml:space="preserve">Great.  The author claims to have consulted all the best</w:t></w:r>
</w:p>
<w:p>
<w:pPr><w:pStyle w:val="Normal"/></w:pPr>
<w:r><w:t xml:space="preserve">authorities, the chief of which was a lost treatise on the</w:t></w:r>
</w:p>
<w:p>
<w:pPr><w:pStyle w:val="Normal"/></w:pPr>
<w:r><w:t xml:space="preserve">subject by Polybius.  Perhaps the chief value of Aelian&apos;s work</w:t></w:r>
</w:p>
<w:p>
<w:pPr><w:pStyle w:val="Normal"/></w:pPr>
<w:r><w:t xml:space="preserve">lies in his critical account of preceding works on the art of</w:t></w:r>
</w:p>
<w:p>
<w:pPr><w:pStyle w:val="Normal"/></w:pPr>
<w:r><w:t xml:space="preserve">war, and in the fulness of his technical details in matters of</w:t></w:r>
</w:p>
<w:p>
<w:pPr><w:pStyle w:val="Normal"/></w:pPr>
<w:r><w:t xml:space="preserve">drill.  Critics of the 18th century---Guichard Folard and the</w:t></w:r>
</w:p>
<w:p>
<w:pPr><w:pStyle w:val="Normal"/></w:pPr>
<w:r><w:t xml:space="preserve">prince de Ligne--were unanimous in thinking Aelian greatly</w:t></w:r>
</w:p>
<w:p>
<w:pPr><w:pStyle w:val="Normal"/></w:pPr>
<w:r><w:t xml:space="preserve">inferior to Arrian, but both on his immediate successors, the</w:t></w:r>
</w:p>
<w:p>
<w:pPr><w:pStyle w:val="Normal"/></w:pPr>
<w:r><w:t xml:space="preserve">Byzantines, and on the Arabs, who translated the text for their</w:t></w:r>
</w:p>
<w:p>
<w:pPr><w:pStyle w:val="Normal"/></w:pPr>
<w:r><w:t xml:space="preserve">own use, Aelian exercised a great influence.  The emperor Leo</w:t></w:r>
</w:p>
<w:p>
<w:pPr><w:pStyle w:val="Heading1"/></w:pPr>
<w:r><w:t>VI. incorporated much of Aelian&apos;s text in his own work on the</w:t></w:r>
</w:p>
<w:p>
<w:pPr><w:pStyle w:val="Normal"/></w:pPr>
<w:r><w:t xml:space="preserve">military art.  The Arabic version of Aelian was made about</w:t></w:r>
</w:p>
<w:p>
<w:pPr><w:pStyle w:val="Normal"/></w:pPr>
<w:r><w:t xml:space="preserve">1350.  In spite of its academic nature, the copious details</w:t></w:r>
</w:p>
<w:p>
<w:pPr><w:pStyle w:val="Normal"/></w:pPr>
<w:r><w:t xml:space="preserve">to be found in the treatise rendered it of the highest value</w:t></w:r>
</w:p>
<w:p>
<w:pPr><w:pStyle w:val="Normal"/></w:pPr>
<w:r><w:t xml:space="preserve">to the army organizers of the 16th century, who were engaged</w:t></w:r>
</w:p>
<w:p>
<w:pPr><w:pStyle w:val="Normal"/></w:pPr>
<w:r><w:t xml:space="preserve">in fashioning a regular military system out of the semi-feudal</w:t></w:r>
</w:p>
<w:p>
<w:pPr><w:pStyle w:val="Normal"/></w:pPr>
<w:r><w:t xml:space="preserve">systems of previous generations.  The Macedonian phalanx of</w:t></w:r>
</w:p>
<w:p>
<w:pPr><w:pStyle w:val="Normal"/></w:pPr>
<w:r><w:t xml:space="preserve">Aelian had many points of resemblance to the solid masses</w:t></w:r>
</w:p>
<w:p>
<w:pPr><w:pStyle w:val="Normal"/></w:pPr>
<w:r><w:t xml:space="preserve">of pikemen and the ``squadrons&apos;&apos; of cavalry of the Spanish</w:t></w:r>
</w:p>
<w:p>
<w:pPr><w:pStyle w:val="Normal"/></w:pPr>
<w:r><w:t xml:space="preserve">and Dutch systems, and the translations made in the 16th</w:t></w:r>
</w:p>
<w:p>
<w:pPr><w:pStyle w:val="Normal"/></w:pPr>
<w:r><w:t xml:space="preserve">century formed the groundwork of numerous books on drill and</w:t></w:r>
</w:p>
<w:p>
<w:pPr><w:pStyle w:val="Normal"/></w:pPr>
<w:r><w:t xml:space="preserve">tactics.  Moreover, his works, with those of Xenophon,</w:t></w:r>
</w:p>
<w:p>
<w:pPr><w:pStyle w:val="Normal"/></w:pPr>
<w:r><w:t xml:space="preserve">Polybius, Aeneas and Arrian, were minutely studied by</w:t></w:r>
</w:p>
<w:p>
<w:pPr><w:pStyle w:val="Normal"/></w:pPr>
<w:r><w:t xml:space="preserve">every soldier of the 16th and 17th centuries who wished to</w:t></w:r>
</w:p>
<w:p>
<w:pPr><w:pStyle w:val="Normal"/></w:pPr>
<w:r><w:t xml:space="preserve">be master of his profession.  It has been suggested that</w:t></w:r>
</w:p>
<w:p>
<w:pPr><w:pStyle w:val="Normal"/></w:pPr>
<w:r><w:t xml:space="preserve">Aellan was the real author of most of Arrian&apos;s Tactica,</w:t></w:r>
</w:p>
<w:p>
<w:pPr><w:pStyle w:val="Normal"/></w:pPr>
<w:r><w:t xml:space="preserve">and that the Taktike Theoria is a later revision of</w:t></w:r>
</w:p>
<w:p>
<w:pPr><w:pStyle w:val="Normal"/></w:pPr>
<w:r><w:t xml:space="preserve">this original, but the theory is not generally accepted.</w:t></w:r>
</w:p>
<w:p>
<w:pPr><w:pStyle w:val="Normal"/></w:pPr>
<w:r><w:t xml:space="preserve">The first edition of the Greek text is that of Robortelli</w:t></w:r>
</w:p>
<w:p>
<w:pPr><w:pStyle w:val="Normal"/></w:pPr>
<w:r><w:t xml:space="preserve">(Venice, 1552); the Elzevir text (Leiden, 1613) has</w:t></w:r>
</w:p>
<w:p>
<w:pPr><w:pStyle w:val="Normal"/></w:pPr>
<w:r><w:t xml:space="preserve">notes.  The text in W. Rustow and H. Kochly&apos;s Gricchische</w:t></w:r>
</w:p>
<w:p>
<w:pPr><w:pStyle w:val="Normal"/></w:pPr>
<w:r><w:t xml:space="preserve">Kriegsschriftsteller (1855) is accompanied by a translation,</w:t></w:r>
</w:p>
<w:p>
<w:pPr><w:pStyle w:val="Normal"/></w:pPr>
<w:r><w:t xml:space="preserve">notes and reproductions of the original illustrations.</w:t></w:r>
</w:p>
<w:p>
<w:pPr><w:pStyle w:val="Normal"/></w:pPr>
<w:r><w:t xml:space="preserve">A Latin translation by Theodore Gaza of Thessalonica was</w:t></w:r>
</w:p>
<w:p>
<w:pPr><w:pStyle w:val="Normal"/></w:pPr>
<w:r><w:t xml:space="preserve">included in the famous collection Veteres de re mililari</w:t></w:r>
</w:p>
<w:p>
<w:pPr><w:pStyle w:val="Normal"/></w:pPr>
<w:r><w:t xml:space="preserve">scriptores (Rome and Venice, 1487, Cologne, 1528,</w:t></w:r>
</w:p>
<w:p>
<w:pPr><w:pStyle w:val="Normal"/></w:pPr>
<w:r><w:t xml:space="preserve">&amp;c.).  The French translation of Machault, included in his</w:t></w:r>
</w:p>
<w:p>
<w:pPr><w:pStyle w:val="Normal"/></w:pPr>
<w:r><w:t xml:space="preserve">Milices des Grecs et Romains (Paris, 1615) and entitled</w:t></w:r>
</w:p>
<w:p>
<w:pPr><w:pStyle w:val="Normal"/></w:pPr>
<w:r><w:t xml:space="preserve">De la Sergenterie des Grecs, a German translation from</w:t></w:r>
</w:p>
<w:p>
<w:pPr><w:pStyle w:val="Normal"/></w:pPr>
<w:r><w:t xml:space="preserve">Theodore Gaza (Cologne, 1524), and the English version of</w:t></w:r>
</w:p>
<w:p>
<w:pPr><w:pStyle w:val="Normal"/></w:pPr>
<w:r><w:t xml:space="preserve">Jo. B(ingham), which includes a drill-manual of the English</w:t></w:r>
</w:p>
<w:p>
<w:pPr><w:pStyle w:val="Normal"/></w:pPr>
<w:r><w:t xml:space="preserve">troops in the Dutch service, Tacticks of Aelian (London,</w:t></w:r>
</w:p>
<w:p>
<w:pPr><w:pStyle w:val="Normal"/></w:pPr>
<w:r><w:t xml:space="preserve">1616) are of importance in the military literature of the</w:t></w:r>
</w:p>
<w:p>
<w:pPr><w:pStyle w:val="Normal"/></w:pPr>
<w:r><w:t xml:space="preserve">period.  A later French translation by Bouchard de Bussy.</w:t></w:r>
</w:p>
<w:p>
<w:pPr><w:pStyle w:val="Normal"/></w:pPr>
<w:r><w:t xml:space="preserve">La Milice des Grecs on Tactique d&apos;Elien (Paris 1737 and</w:t></w:r>
</w:p>
<w:p>
<w:pPr><w:pStyle w:val="Normal"/></w:pPr>
<w:r><w:t xml:space="preserve">1757); Baumgartner&apos;s German translation in his incomplete</w:t></w:r>
</w:p>
<w:p>
<w:pPr><w:pStyle w:val="Normal"/></w:pPr>
<w:r><w:t xml:space="preserve">Sammlung aller Kriegsschriftsteller der Griechen (Mannheim and</w:t></w:r>
</w:p>
<w:p>
<w:pPr><w:pStyle w:val="Normal"/></w:pPr>
<w:r><w:t xml:space="preserve">Frankenthal, 1779), reproduced in 1786 as Von Schlachtordnungen,</w:t></w:r>
</w:p>
<w:p>
<w:pPr><w:pStyle w:val="Normal"/></w:pPr>
<w:r><w:t xml:space="preserve">and Viscount Dillon&apos;s English version (London, 1814) may</w:t></w:r>
</w:p>
<w:p>
<w:pPr><w:pStyle w:val="Normal"/></w:pPr>
<w:r><w:t xml:space="preserve">also be mentioned.  See also R. Forster, Studien zu den</w:t></w:r>
</w:p>
<w:p>
<w:pPr><w:pStyle w:val="Normal"/></w:pPr>
<w:r><w:t xml:space="preserve">griechischen Taktikern (Hermes, xii., 1877, pp. 444-449);</w:t></w:r>
</w:p>
<w:p>
<w:pPr><w:pStyle w:val="Normal"/></w:pPr>
<w:r><w:t xml:space="preserve">F. Wustenfeld, Das Heerwesen der Muhammedaner und die</w:t></w:r>
</w:p>
<w:p>
<w:pPr><w:pStyle w:val="Normal"/></w:pPr>
<w:r><w:t xml:space="preserve">arabische Uebersetzung der Taktik des Aelianus (Gottingen,</w:t></w:r>
</w:p>
<w:p>
<w:pPr><w:pStyle w:val="Normal"/></w:pPr>
<w:r><w:t xml:space="preserve">1880); M. Jahns, Gesch. der Kriegswissenscharen, i. 95-97</w:t></w:r>
</w:p>
<w:p>
<w:pPr><w:pStyle w:val="Normal"/></w:pPr>
<w:r><w:t xml:space="preserve">(Munich, 1889); Rustow and Kochly, Gesch. des griechischen</w:t></w:r>
</w:p>
<w:p>
<w:pPr><w:pStyle w:val="Normal"/></w:pPr>
<w:r><w:t xml:space="preserve">Kriegswesens (1852). A. de Lort-Serignan, La Phalange</w:t></w:r>
</w:p>
<w:p>
<w:pPr><w:pStyle w:val="Normal"/></w:pPr>
<w:r><w:t xml:space="preserve">(1880); P. Serre, Etudes sur L&apos;histoire militaire et</w:t></w:r>
</w:p>
<w:p>
<w:pPr><w:pStyle w:val="Normal"/></w:pPr>
<w:r><w:t xml:space="preserve">maritime des Grecs et des Romains (1887); K. K. Muller,</w:t></w:r>
</w:p>
<w:p>
<w:pPr><w:pStyle w:val="Normal"/></w:pPr>
<w:r><w:t xml:space="preserve">in Pauly-Wissowa, Realencyclopadie (Stuttgart, 1894).</w:t></w:r>
</w:p>
<w:p>
<w:pPr><w:pStyle w:val="Normal"/></w:pPr>
<w:r><w:t xml:space="preserve">AELIAN (CLAUDIUS AELIANUS), Roman author and teacher of</w:t></w:r>
</w:p>
<w:p>
<w:pPr><w:pStyle w:val="Normal"/></w:pPr>
<w:r><w:t xml:space="preserve">rhetoric, born at Praeneste, flourished under Septimius Severus</w:t></w:r>
</w:p>
<w:p>
<w:pPr><w:pStyle w:val="Normal"/></w:pPr>
<w:r><w:t xml:space="preserve">and probably outlived Elagabalus (d. 222).  He spoke Greek so</w:t></w:r>
</w:p>
<w:p>
<w:pPr><w:pStyle w:val="Normal"/></w:pPr>
<w:r><w:t xml:space="preserve">perfectly that he was called ``honey-tongued&apos;&apos; (meliglossos);</w:t></w:r>
</w:p>
<w:p>
<w:pPr><w:pStyle w:val="Normal"/></w:pPr>
<w:r><w:t xml:space="preserve">Although a Roman he preferred Greek authors, and wrote in Greek</w:t></w:r>
</w:p>
<w:p>
<w:pPr><w:pStyle w:val="Normal"/></w:pPr>
<w:r><w:t xml:space="preserve">himself.  His chief works are: On the Nature of Animals,</w:t></w:r>
</w:p>
<w:p>
<w:pPr><w:pStyle w:val="Normal"/></w:pPr>
<w:r><w:t xml:space="preserve">curious and interesting stories of animal life, frequently</w:t></w:r>
</w:p>
<w:p>
<w:pPr><w:pStyle w:val="Normal"/></w:pPr>
<w:r><w:t xml:space="preserve">used to convey moral lessons (ed. Schneider, 1784; Jacobs,</w:t></w:r>
</w:p>
<w:p>
<w:pPr><w:pStyle w:val="Normal"/></w:pPr>
<w:r><w:t xml:space="preserve">1832); Various History-for the most part preserved only in</w:t></w:r>
</w:p>
<w:p>
<w:pPr><w:pStyle w:val="Normal"/></w:pPr>
<w:r><w:t xml:space="preserve">an abridged form--consisting mainly of anecdotes of men and</w:t></w:r>
</w:p>
<w:p>
<w:pPr><w:pStyle w:val="Normal"/></w:pPr>
<w:r><w:t xml:space="preserve">customs (ed. Lunemann, 1811).  Both works are valuable for the</w:t></w:r>
</w:p>
<w:p>
<w:pPr><w:pStyle w:val="Normal"/></w:pPr>
<w:r><w:t xml:space="preserve">numerous excerpts from older writers.  Considerable fragments</w:t></w:r>
</w:p>
<w:p>
<w:pPr><w:pStyle w:val="Normal"/></w:pPr>
<w:r><w:t xml:space="preserve">of two other works On Providence and Divine Manifestations</w:t></w:r>
</w:p>
<w:p>
<w:pPr><w:pStyle w:val="Normal"/></w:pPr>
<w:r><w:t xml:space="preserve">are preserved in Suidas; twenty Peasants&apos; Letters, after the</w:t></w:r>
</w:p>
<w:p>
<w:pPr><w:pStyle w:val="Normal"/></w:pPr>
<w:r><w:t xml:space="preserve">manner of Alciphron but inferior, are also attributed to him.</w:t></w:r>
</w:p>
<w:p>
<w:pPr><w:pStyle w:val="Normal"/></w:pPr>
<w:r><w:t xml:space="preserve">Editio princeps of complete works by Gesner, 1556; Hercher,</w:t></w:r>
</w:p>
<w:p>
<w:pPr><w:pStyle w:val="Normal"/></w:pPr>
<w:r><w:t xml:space="preserve">1864-1866.  English translation of the Various History only by Fleming,</w:t></w:r>
</w:p>
<w:p>
<w:pPr><w:pStyle w:val="Normal"/></w:pPr>
<w:r><w:t xml:space="preserve">1576, and Stanley, 1665; of the Letters by Quillard (French), 1895.</w:t></w:r>
</w:p>
<w:p>
<w:pPr><w:pStyle w:val="Normal"/></w:pPr>
<w:r><w:t xml:space="preserve">AELRED, AILRED, ETHELRED (1100-1166), English theologian,</w:t></w:r>
</w:p>
<w:p>
<w:pPr><w:pStyle w:val="Normal"/></w:pPr>
<w:r><w:t xml:space="preserve">historical writer and abbot of Rievaulx, was born at Hexham</w:t></w:r>
</w:p>
<w:p>
<w:pPr><w:pStyle w:val="Normal"/></w:pPr>
<w:r><w:t xml:space="preserve">about the year 1109.  In his youth he was at the court of</w:t></w:r>
</w:p>
<w:p>
<w:pPr><w:pStyle w:val="Normal"/></w:pPr>
<w:r><w:t xml:space="preserve">Scotland as an attendant of Henry, son of David I. He was in</w:t></w:r>
</w:p>
<w:p>
<w:pPr><w:pStyle w:val="Normal"/></w:pPr>
<w:r><w:t xml:space="preserve">high favour with that sovereign, but renounced the prospect</w:t></w:r>
</w:p>
<w:p>
<w:pPr><w:pStyle w:val="Normal"/></w:pPr>
<w:r><w:t xml:space="preserve">of a bishopric to enter the Cistercian house of Rievaulx in</w:t></w:r>
</w:p>
<w:p>
<w:pPr><w:pStyle w:val="Normal"/></w:pPr>
<w:r><w:t xml:space="preserve">Yorkshire, which was founded in 1131 by Walter Espec.  Here</w:t></w:r>
</w:p>
<w:p>
<w:pPr><w:pStyle w:val="Normal"/></w:pPr>
<w:r><w:t xml:space="preserve">AElred remained for some time as master of the novices, but</w:t></w:r>
</w:p>
<w:p>
<w:pPr><w:pStyle w:val="Normal"/></w:pPr>
<w:r><w:t xml:space="preserve">between the years 1142 and 1146 was elected abbot of Revesby in</w:t></w:r>
</w:p>
<w:p>
<w:pPr><w:pStyle w:val="Normal"/></w:pPr>
<w:r><w:t xml:space="preserve">Lincolnshire and migrated thither.  In 1146 he became abbot of</w:t></w:r>
</w:p>
<w:p>
<w:pPr><w:pStyle w:val="Normal"/></w:pPr>
<w:r><w:t xml:space="preserve">Rievaulx.  He led a life of the severest asceticism, and was</w:t></w:r>
</w:p>
<w:p>
<w:pPr><w:pStyle w:val="Normal"/></w:pPr>
<w:r><w:t xml:space="preserve">credited with the power of working miracles; owing to his</w:t></w:r>
</w:p>
<w:p>
<w:pPr><w:pStyle w:val="Normal"/></w:pPr>
<w:r><w:t xml:space="preserve">reputation the numbers of Rievaulx were greatly increased.</w:t></w:r>
</w:p>
<w:p>
<w:pPr><w:pStyle w:val="Normal"/></w:pPr>
<w:r><w:t xml:space="preserve">In 1164 he went as a missionary to the Picts of Galloway.  He</w:t></w:r>
</w:p>
<w:p>
<w:pPr><w:pStyle w:val="Normal"/></w:pPr>
<w:r><w:t xml:space="preserve">found their religion at a low ebb, the regular clergy apathetic</w:t></w:r>
</w:p>
<w:p>
<w:pPr><w:pStyle w:val="Normal"/></w:pPr>
<w:r><w:t xml:space="preserve">and sensual, the bishop little obeyed, the laity divided by</w:t></w:r>
</w:p>
<w:p>
<w:pPr><w:pStyle w:val="Normal"/></w:pPr>
<w:r><w:t xml:space="preserve">tho family feuds of their rulers, unchaste and ignorant.  He</w:t></w:r>
</w:p>
<w:p>
<w:pPr><w:pStyle w:val="Normal"/></w:pPr>
<w:r><w:t xml:space="preserve">induced a Galwegian chief to take the habit of religion, and</w:t></w:r>
</w:p>
<w:p>
<w:pPr><w:pStyle w:val="Normal"/></w:pPr>
<w:r><w:t xml:space="preserve">restored the peace of the country.  Two years later he died</w:t></w:r>
</w:p>
<w:p>
<w:pPr><w:pStyle w:val="Normal"/></w:pPr>
<w:r><w:t xml:space="preserve">of a decline, at Rievaulx, in the fifty-seventh year of his</w:t></w:r>
</w:p>
<w:p>
<w:pPr><w:pStyle w:val="Normal"/></w:pPr>
<w:r><w:t xml:space="preserve">age.  In the year 1191 he was canonized.  His writings are</w:t></w:r>
</w:p>
<w:p>
<w:pPr><w:pStyle w:val="Normal"/></w:pPr>
<w:r><w:t xml:space="preserve">voluminous and have never been completely published.  Amongst</w:t></w:r>
</w:p>
<w:p>
<w:pPr><w:pStyle w:val="Normal"/></w:pPr>
<w:r><w:t xml:space="preserve">them are homilies ``on the burden of Babylon in Isaiah&apos;&apos;;</w:t></w:r>
</w:p>
<w:p>
<w:pPr><w:pStyle w:val="Normal"/></w:pPr>
<w:r><w:t xml:space="preserve">three books ``on spiritual friendship&apos;&apos;; a life of Edward the</w:t></w:r>
</w:p>
<w:p>
<w:pPr><w:pStyle w:val="Normal"/></w:pPr>
<w:r><w:t xml:space="preserve">Confessor; an account of miracles wrought at Hexham, and the</w:t></w:r>
</w:p>
<w:p>
<w:pPr><w:pStyle w:val="Normal"/></w:pPr>
<w:r><w:t xml:space="preserve">tract called Relatio de Standardo.  This last is an account</w:t></w:r>
</w:p>
<w:p>
<w:pPr><w:pStyle w:val="Normal"/></w:pPr>
<w:r><w:t xml:space="preserve">of the Battle of the Standard (1138), better blown than the</w:t></w:r>
</w:p>
<w:p>
<w:pPr><w:pStyle w:val="Normal"/></w:pPr>
<w:r><w:t xml:space="preserve">similar account by Richard of Hexham, but less trustworthy,</w:t></w:r>
</w:p>
<w:p>
<w:pPr><w:pStyle w:val="Normal"/></w:pPr>
<w:r><w:t xml:space="preserve">and in places obscured by a peculiarly turgid rhetoric.</w:t></w:r>
</w:p>
<w:p>
<w:pPr><w:pStyle w:val="Normal"/></w:pPr>
<w:r><w:t xml:space="preserve">See the Vita Alredi in John of Tynemouth&apos;s Nova Legenda</w:t></w:r>
</w:p>
<w:p>
<w:pPr><w:pStyle w:val="Normal"/></w:pPr>
<w:r><w:t xml:space="preserve">Anglie (ed. C. Horstmann, 1901, vol. i. p. 4i), whence it</w:t></w:r>
</w:p>
<w:p>
<w:pPr><w:pStyle w:val="Normal"/></w:pPr>
<w:r><w:t xml:space="preserve">was taken by Capgrave.  From Capgrave the work passed into</w:t></w:r>
</w:p>
<w:p>
<w:pPr><w:pStyle w:val="Normal"/></w:pPr>
<w:r><w:t xml:space="preserve">the Bollandist Acta Sanctorum (Jan. ii p. 30). This life is</w:t></w:r>
</w:p>
<w:p>
<w:pPr><w:pStyle w:val="Normal"/></w:pPr>
<w:r><w:t xml:space="preserve">anonymous, but of an early date.  The most complete printed</w:t></w:r>
</w:p>
<w:p>
<w:pPr><w:pStyle w:val="Normal"/></w:pPr>
<w:r><w:t xml:space="preserve">collection of AElred&apos;s works is in Migne&apos;s Patrologia</w:t></w:r>
</w:p>
<w:p>
<w:pPr><w:pStyle w:val="Normal"/></w:pPr>
<w:r><w:t xml:space="preserve">Latina, vol. cxcv.; but this does not include the Miracula</w:t></w:r>
</w:p>
<w:p>
<w:pPr><w:pStyle w:val="Normal"/></w:pPr>
<w:r><w:t xml:space="preserve">Hagulstatdensis Ecclesiae which are printed in J. Raine&apos;s</w:t></w:r>
</w:p>
<w:p>
<w:pPr><w:pStyle w:val="Normal"/></w:pPr>
<w:r><w:t xml:space="preserve">Priory of Hexham, vol. i. (Surtees Society, 1864).--A</w:t></w:r>
</w:p>
<w:p>
<w:pPr><w:pStyle w:val="Normal"/></w:pPr>
<w:r><w:t xml:space="preserve">complete list of works attributed to AElred is given in</w:t></w:r>
</w:p>
<w:p>
<w:pPr><w:pStyle w:val="Normal"/></w:pPr>
<w:r><w:t xml:space="preserve">T. Tanner&apos;s Bibliotheca Britannico-Hibernica (1748), pp.</w:t></w:r>
</w:p>
<w:p>
<w:pPr><w:pStyle w:val="Normal"/></w:pPr>
<w:r><w:t xml:space="preserve">247,248.  The Relatio de Standardo has been critically edited</w:t></w:r>
</w:p>
<w:p>
<w:pPr><w:pStyle w:val="Normal"/></w:pPr>
<w:r><w:t xml:space="preserve">by R. Howlett in Chronicles, &amp;c., of Stephen, Henry II. and</w:t></w:r>
</w:p>
<w:p>
<w:pPr><w:pStyle w:val="Normal"/></w:pPr>
<w:r><w:t xml:space="preserve">Richard I., vol. iii. (Rolls Series, 1886). . (H. W. C. D.)</w:t></w:r>
</w:p>
<w:p>
<w:pPr><w:pStyle w:val="Normal"/></w:pPr>
<w:r><w:t xml:space="preserve">AEMILIA VIA, or AEMILIAN WAY. (1) A highroad of Italy,</w:t></w:r>
</w:p>
<w:p>
<w:pPr><w:pStyle w:val="Normal"/></w:pPr>
<w:r><w:t xml:space="preserve">constructed in 187 B.C. by the consul M. Aemilius Lepidus,</w:t></w:r>
</w:p>
<w:p>
<w:pPr><w:pStyle w:val="Normal"/></w:pPr>
<w:r><w:t xml:space="preserve">from whom it taves its name; it ran from Ariminum to Placentia,</w:t></w:r>
</w:p>
<w:p>
<w:pPr><w:pStyle w:val="Normal"/></w:pPr>
<w:r><w:t xml:space="preserve">a distance of 176 m. almost straight N.W., with the plain</w:t></w:r>
</w:p>
<w:p>
<w:pPr><w:pStyle w:val="Normal"/></w:pPr>
<w:r><w:t xml:space="preserve">of the Po (Padus) and its tributaries on the right, and the</w:t></w:r>
</w:p>
<w:p>
<w:pPr><w:pStyle w:val="Normal"/></w:pPr>
<w:r><w:t xml:space="preserve">Apennines on the left.  The 79th milestone from Ariminum found</w:t></w:r>
</w:p>
<w:p>
<w:pPr><w:pStyle w:val="Normal"/></w:pPr>
<w:r><w:t xml:space="preserve">in the bed of the Phenus at Bononia records the restoration</w:t></w:r>
</w:p>
<w:p>
<w:pPr><w:pStyle w:val="Normal"/></w:pPr>
<w:r><w:t xml:space="preserve">of the road by Augustus from Ariminum to the river Trebia in</w:t></w:r>
</w:p>
<w:p>
<w:pPr><w:pStyle w:val="Normal"/></w:pPr>
<w:r><w:t xml:space="preserve">2 B.C. (Notiz.  Scav., 1902, 539).  The bridge by which</w:t></w:r>
</w:p>
<w:p>
<w:pPr><w:pStyle w:val="Normal"/></w:pPr>
<w:r><w:t xml:space="preserve">it crossed the Sillaro was restored by Trajan in A.D. 100</w:t></w:r>
</w:p>
<w:p>
<w:pPr><w:pStyle w:val="Normal"/></w:pPr>
<w:r><w:t xml:space="preserve">(Notizie degli Scavi, 1888, 621).  The modern highroad</w:t></w:r>
</w:p>
<w:p>
<w:pPr><w:pStyle w:val="Normal"/></w:pPr>
<w:r><w:t xml:space="preserve">follows the ancient line, and some of the original bridges</w:t></w:r>
</w:p>
<w:p>
<w:pPr><w:pStyle w:val="Normal"/></w:pPr>
<w:r><w:t xml:space="preserve">still exist.  After Augustus, the road gave its name to the</w:t></w:r>
</w:p>
<w:p>
<w:pPr><w:pStyle w:val="Normal"/></w:pPr>
<w:r><w:t xml:space="preserve">district which formed the eighth region of Italy (previously</w:t></w:r>
</w:p>
<w:p>
<w:pPr><w:pStyle w:val="Normal"/></w:pPr>
<w:r><w:t xml:space="preserve">known as Gallia or Provincia Ariminum), at first in popular</w:t></w:r>
</w:p>
<w:p>
<w:pPr><w:pStyle w:val="Normal"/></w:pPr>
<w:r><w:t xml:space="preserve">usage (as in Martial), but in official language as early</w:t></w:r>
</w:p>
<w:p>
<w:pPr><w:pStyle w:val="Normal"/></w:pPr>
<w:r><w:t xml:space="preserve">as the 2nd century; it is still in use (see EMILIA).</w:t></w:r>
</w:p>
<w:p>
<w:pPr><w:pStyle w:val="Normal"/></w:pPr>
<w:r><w:t xml:space="preserve">The district was bounded on the N. by the Padus, E. by the</w:t></w:r>
</w:p>
<w:p>
<w:pPr><w:pStyle w:val="Normal"/></w:pPr>
<w:r><w:t xml:space="preserve">Adriatic, S. by the river Crustumium (mod.  Conca), and W.</w:t></w:r>
</w:p>
<w:p>
<w:pPr><w:pStyle w:val="Normal"/></w:pPr>
<w:r><w:t xml:space="preserve">by the Apennines and the Ira (mod.  Staffora) at Iria (mod.</w:t></w:r>
</w:p>
<w:p>
<w:pPr><w:pStyle w:val="Normal"/></w:pPr>
<w:r><w:t xml:space="preserve">Voghera), and corresponds approximately with the modern district.</w:t></w:r>
</w:p>
<w:p>
<w:pPr><w:pStyle w:val="Normal"/></w:pPr>
<w:r><w:t xml:space="preserve">(2) A road constructed in 109 B.C. by the censor M.</w:t></w:r>
</w:p>
<w:p>
<w:pPr><w:pStyle w:val="Normal"/></w:pPr>
<w:r><w:t xml:space="preserve">Aemillus Scaurus from Vada Volaterrana and Luna to Vada Sabatia</w:t></w:r>
</w:p>
<w:p>
<w:pPr><w:pStyle w:val="Normal"/></w:pPr>
<w:r><w:t xml:space="preserve">and thence over the Apennines to Ilertona (Tortona), where</w:t></w:r>
</w:p>
<w:p>
<w:pPr><w:pStyle w:val="Normal"/></w:pPr>
<w:r><w:t xml:space="preserve">it joined the Via Postumia from Genua to Cremona.  We must,</w:t></w:r>
</w:p>
<w:p>
<w:pPr><w:pStyle w:val="Normal"/></w:pPr>
<w:r><w:t xml:space="preserve">however (as Mommsen points out in C.I.L. v. p. 885), suppose</w:t></w:r>
</w:p>
<w:p>
<w:pPr><w:pStyle w:val="Normal"/></w:pPr>
<w:r><w:t xml:space="preserve">that the portion of the coast road from Vada Volaterrana to</w:t></w:r>
</w:p>
<w:p>
<w:pPr><w:pStyle w:val="Normal"/></w:pPr>
<w:r><w:t xml:space="preserve">Genua at least must have existed before the construction of</w:t></w:r>
</w:p>
<w:p>
<w:pPr><w:pStyle w:val="Normal"/></w:pPr>
<w:r><w:t xml:space="preserve">the Via Postumia in 148 B.C. Indeed Polybius (iii. 39. 8)</w:t></w:r>
</w:p>
<w:p>
<w:pPr><w:pStyle w:val="Normal"/></w:pPr>
<w:r><w:t xml:space="preserve">tells us (and this must refer to the time of the Gracchi if not</w:t></w:r>
</w:p>
<w:p>
<w:pPr><w:pStyle w:val="Normal"/></w:pPr>
<w:r><w:t xml:space="preserve">earlier) that the Romans had in his time built the coast road</w:t></w:r>
</w:p>
<w:p>
<w:pPr><w:pStyle w:val="Normal"/></w:pPr>
<w:r><w:t xml:space="preserve">from the Rhone to Carthago Nova; and it is incredible that the</w:t></w:r>
</w:p>
<w:p>
<w:pPr><w:pStyle w:val="Normal"/></w:pPr>
<w:r><w:t xml:space="preserve">coast road in Italy itself should not have been constructed</w:t></w:r>
</w:p>
<w:p>
<w:pPr><w:pStyle w:val="Normal"/></w:pPr>
<w:r><w:t xml:space="preserve">previously.  It is, however, a very different thing to open</w:t></w:r>
</w:p>
<w:p>
<w:pPr><w:pStyle w:val="Normal"/></w:pPr>
<w:r><w:t xml:space="preserve">a road for traffic, and so to construct it that it takes</w:t></w:r>
</w:p>
<w:p>
<w:pPr><w:pStyle w:val="Normal"/></w:pPr>
<w:r><w:t xml:space="preserve">its name from that construction in perpetuity. (, As.)</w:t></w:r>
</w:p>
<w:p>
<w:pPr><w:pStyle w:val="Normal"/></w:pPr>
<w:r><w:t xml:space="preserve">AEMILIUS, PAULUS (PAOLO EMILIO ) (d. 1529), Italian</w:t></w:r>
</w:p>
<w:p>
<w:pPr><w:pStyle w:val="Normal"/></w:pPr>
<w:r><w:t xml:space="preserve">historian, was born at Verona.  He obtained such reputation</w:t></w:r>
</w:p>
<w:p>
<w:pPr><w:pStyle w:val="Normal"/></w:pPr>
<w:r><w:t xml:space="preserve">in his own country that he was invited to France in the reign</w:t></w:r>
</w:p>
<w:p>
<w:pPr><w:pStyle w:val="Normal"/></w:pPr>
<w:r><w:t xml:space="preserve">of Charles VIII., in order to write in Latin the history</w:t></w:r>
</w:p>
<w:p>
<w:pPr><w:pStyle w:val="Normal"/></w:pPr>
<w:r><w:t xml:space="preserve">of the kings of France, and was presented to a canonry</w:t></w:r>
</w:p>
<w:p>
<w:pPr><w:pStyle w:val="Normal"/></w:pPr>
<w:r><w:t xml:space="preserve">in Notre Dame.  He enjoyed the patronage and support of</w:t></w:r>
</w:p>
<w:p>
<w:pPr><w:pStyle w:val="Normal"/></w:pPr>
<w:r><w:t xml:space="preserve">Louis XII. He died at Paris on the 5th of May 1529.  His</w:t></w:r>
</w:p>
<w:p>
<w:pPr><w:pStyle w:val="Normal"/></w:pPr>
<w:r><w:t xml:space="preserve">De Rebus gestis Francorum was translated into French in</w:t></w:r>
</w:p>
<w:p>
<w:pPr><w:pStyle w:val="Normal"/></w:pPr>
<w:r><w:t xml:space="preserve">1581, and has also been translated into Italian and German.</w:t></w:r>
</w:p>
<w:p>
<w:pPr><w:pStyle w:val="Normal"/></w:pPr>
<w:r><w:t xml:space="preserve">AENEAS, the famous Trojan hero, son of Anchises and Aphrodite,</w:t></w:r>
</w:p>
<w:p>
<w:pPr><w:pStyle w:val="Normal"/></w:pPr>
<w:r><w:t xml:space="preserve">one of the most important figures in Greek and Roman legendary</w:t></w:r>
</w:p>
<w:p>
<w:pPr><w:pStyle w:val="Normal"/></w:pPr>
<w:r><w:t xml:space="preserve">history.  In Homer, he is represented as the chief bulwark</w:t></w:r>
</w:p>
<w:p>
<w:pPr><w:pStyle w:val="Normal"/></w:pPr>
<w:r><w:t xml:space="preserve">of the Trojans next to Hector, and the favourite of the gods,</w:t></w:r>
</w:p>
<w:p>
<w:pPr><w:pStyle w:val="Normal"/></w:pPr>
<w:r><w:t xml:space="preserve">who frequently interpose to save him from danger (Iliad, v.</w:t></w:r>
</w:p>
<w:p>
<w:pPr><w:pStyle w:val="Normal"/></w:pPr>
<w:r><w:t xml:space="preserve">311).  The legend that he remained in the country after the</w:t></w:r>
</w:p>
<w:p>
<w:pPr><w:pStyle w:val="Normal"/></w:pPr>
<w:r><w:t xml:space="preserve">fall of Troy, and founded a new kingdom (Iliad, xx. 308;</w:t></w:r>
</w:p>
<w:p>
<w:pPr><w:pStyle w:val="Normal"/></w:pPr>
<w:r><w:t xml:space="preserve">Hymn to Aphrodite, 196) is now generally considered to be</w:t></w:r>
</w:p>
<w:p>
<w:pPr><w:pStyle w:val="Normal"/></w:pPr>
<w:r><w:t xml:space="preserve">of comparatively late origin.  The story of his emigration is</w:t></w:r>
</w:p>
<w:p>
<w:pPr><w:pStyle w:val="Normal"/></w:pPr>
<w:r><w:t xml:space="preserve">post-Homeric, and set forth in its fullest development by</w:t></w:r>
</w:p>
<w:p>
<w:pPr><w:pStyle w:val="Normal"/></w:pPr>
<w:r><w:t xml:space="preserve">Virgil in the Aeneid.  Carrying his aged father and household</w:t></w:r>
</w:p>
<w:p>
<w:pPr><w:pStyle w:val="Normal"/></w:pPr>
<w:r><w:t xml:space="preserve">gods on his back and leading his little son Ascanius by the</w:t></w:r>
</w:p>
<w:p>
<w:pPr><w:pStyle w:val="Normal"/></w:pPr>
<w:r><w:t xml:space="preserve">hand, he makes his way to the coast, his wife Creusa being</w:t></w:r>
</w:p>
<w:p>
<w:pPr><w:pStyle w:val="Normal"/></w:pPr>
<w:r><w:t xml:space="preserve">lost during the confusion of the flight.  After a perilous</w:t></w:r>
</w:p>
<w:p>
<w:pPr><w:pStyle w:val="Normal"/></w:pPr>
<w:r><w:t xml:space="preserve">voyage to Thrace, Delos, Crete and Sicily (where his father</w:t></w:r>
</w:p>
<w:p>
<w:pPr><w:pStyle w:val="Normal"/></w:pPr>
<w:r><w:t xml:space="preserve">dies), he is cast up by a storm, sent by Juno, on the African</w:t></w:r>
</w:p>
<w:p>
<w:pPr><w:pStyle w:val="Normal"/></w:pPr>
<w:r><w:t xml:space="preserve">coast.  Refusing to remain with Dido, queen of Carthage,</w:t></w:r>
</w:p>
<w:p>
<w:pPr><w:pStyle w:val="Normal"/></w:pPr>
<w:r><w:t xml:space="preserve">who in despair puts an end to her life, he sets sail from</w:t></w:r>
</w:p>
<w:p>
<w:pPr><w:pStyle w:val="Normal"/></w:pPr>
<w:r><w:t xml:space="preserve">Africa, and after seven years&apos; wandering lands at the</w:t></w:r>
</w:p>
<w:p>
<w:pPr><w:pStyle w:val="Normal"/></w:pPr>
<w:r><w:t xml:space="preserve">mouth of the Tiber.  He is hospitably received by Latinus,</w:t></w:r>
</w:p>
<w:p>
<w:pPr><w:pStyle w:val="Normal"/></w:pPr>
<w:r><w:t xml:space="preserve">king of Latium, is betrothed to his daughter Lavinia, and</w:t></w:r>
</w:p>
<w:p>
<w:pPr><w:pStyle w:val="Normal"/></w:pPr>
<w:r><w:t xml:space="preserve">founds a city called after her, Lavinium.  Turnus, king of</w:t></w:r>
</w:p>
<w:p>
<w:pPr><w:pStyle w:val="Normal"/></w:pPr>
<w:r><w:t xml:space="preserve">Rutuli, a rejected suitor, takes up arms against him and</w:t></w:r>
</w:p>
<w:p>
<w:pPr><w:pStyle w:val="Normal"/></w:pPr>
<w:r><w:t xml:space="preserve">Latinus, but is defeated and slain by Aeneas on the river</w:t></w:r>
</w:p>
<w:p>
<w:pPr><w:pStyle w:val="Normal"/></w:pPr>
<w:r><w:t xml:space="preserve">Numicius.  The story of the Aeneid ends with the death of</w:t></w:r>
</w:p>
<w:p>
<w:pPr><w:pStyle w:val="Normal"/></w:pPr>
<w:r><w:t xml:space="preserve">Turnus.  According to (i. 1. 2), Aeneas, after reigning a few</w:t></w:r>
</w:p>
<w:p>
<w:pPr><w:pStyle w:val="Normal"/></w:pPr>
<w:r><w:t xml:space="preserve">years over Latium, is slain by the Rutuli; after the battle, his</w:t></w:r>
</w:p>
<w:p>
<w:pPr><w:pStyle w:val="Normal"/></w:pPr>
<w:r><w:t xml:space="preserve">body cannot be found, and he is supposed to have been carried</w:t></w:r>
</w:p>
<w:p>
<w:pPr><w:pStyle w:val="Normal"/></w:pPr>
<w:r><w:t xml:space="preserve">up to heaven.  He receives divine honours, and is worshipped</w:t></w:r>
</w:p>
<w:p>
<w:pPr><w:pStyle w:val="Normal"/></w:pPr>
<w:r><w:t xml:space="preserve">under the name of Jupiter Indiges (Dionysius Halle. i. 64).</w:t></w:r>
</w:p>
<w:p>
<w:pPr><w:pStyle w:val="Normal"/></w:pPr>
<w:r><w:t xml:space="preserve">See J. A. Hild, La Legende d&apos;Enee avant Vergile (1883);</w:t></w:r>
</w:p>
<w:p>
<w:pPr><w:pStyle w:val="Normal"/></w:pPr>
<w:r><w:t xml:space="preserve">F. Cauer, De Fabuls Graecis ad Romam conditum pertinentibus</w:t></w:r>
</w:p>
<w:p>
<w:pPr><w:pStyle w:val="Normal"/></w:pPr>
<w:r><w:t xml:space="preserve">(1884) and Die Romische Aeneassage, von Naevius bis</w:t></w:r>
</w:p>
<w:p>
<w:pPr><w:pStyle w:val="Normal"/></w:pPr>
<w:r><w:t xml:space="preserve">Vergilius (1886); G. Boissier, ``La Legende d&apos;Enee&apos;&apos; in</w:t></w:r>
</w:p>
<w:p>
<w:pPr><w:pStyle w:val="Normal"/></w:pPr>
<w:r><w:t xml:space="preserve">Revue des Deux Mondes, Sept. 1883; A. Forstemann, Zur</w:t></w:r>
</w:p>
<w:p>
<w:pPr><w:pStyle w:val="Normal"/></w:pPr>
<w:r><w:t xml:space="preserve">Geschichte des Aeneasmythus (1894); articles in Pauly-Wissowa&apos;s</w:t></w:r>
</w:p>
<w:p>
<w:pPr><w:pStyle w:val="Normal"/></w:pPr>
<w:r><w:t xml:space="preserve">Realencyclopadie (new ed., 1894); Roscher&apos;s Lexicon</w:t></w:r>
</w:p>
<w:p>
<w:pPr><w:pStyle w:val="Normal"/></w:pPr>
<w:r><w:t xml:space="preserve">der Mythologie; Daremberg and Saglio&apos;s Dictionnaire des</w:t></w:r>
</w:p>
<w:p>
<w:pPr><w:pStyle w:val="Normal"/></w:pPr>
<w:r><w:t xml:space="preserve">antiquites; Preller&apos;s Griechische und romische Mythologie;</w:t></w:r>
</w:p>
<w:p>
<w:pPr><w:pStyle w:val="Normal"/></w:pPr>
<w:r><w:t xml:space="preserve">and especially Schwegler, Romische Geschichte (1867).</w:t></w:r>
</w:p>
<w:p>
<w:pPr><w:pStyle w:val="Normal"/></w:pPr>
<w:r><w:t xml:space="preserve">Romances.---The story of Aeneas, as a sequel to the legend of</w:t></w:r>
</w:p>
<w:p>
<w:pPr><w:pStyle w:val="Normal"/></w:pPr>
<w:r><w:t xml:space="preserve">Troy, formed the subject of several epic romances in the middle</w:t></w:r>
</w:p>
<w:p>
<w:pPr><w:pStyle w:val="Normal"/></w:pPr>
<w:r><w:t xml:space="preserve">ages.  The Roman d&apos;Eneas (c. 1160, or later), of uncertain</w:t></w:r>
</w:p>
<w:p>
<w:pPr><w:pStyle w:val="Normal"/></w:pPr>
<w:r><w:t xml:space="preserve">authorship (attributed by some to Benoit de Sainte-More),</w:t></w:r>
</w:p>
<w:p>
<w:pPr><w:pStyle w:val="Normal"/></w:pPr>
<w:r><w:t xml:space="preserve">the first French poem directly imitated from the Aeneid,</w:t></w:r>
</w:p>
<w:p>
<w:pPr><w:pStyle w:val="Normal"/></w:pPr>
<w:r><w:t xml:space="preserve">is a fairly close adaptation of the oriinal.  The trouvere,</w:t></w:r>
</w:p>
<w:p>
<w:pPr><w:pStyle w:val="Normal"/></w:pPr>
<w:r><w:t xml:space="preserve">however, omits the greater part of the wanderings of Aeneas,</w:t></w:r>
</w:p>
<w:p>
<w:pPr><w:pStyle w:val="Normal"/></w:pPr>
<w:r><w:t xml:space="preserve">and adorns his narrative with gorgeous descriptions, with</w:t></w:r>
</w:p>
<w:p>
<w:pPr><w:pStyle w:val="Normal"/></w:pPr>
<w:r><w:t xml:space="preserve">accounts of the marvellous properties of beasts and stones,</w:t></w:r>
</w:p>
<w:p>
<w:pPr><w:pStyle w:val="Normal"/></w:pPr>
<w:r><w:t xml:space="preserve">and of single combats among the knights who figure in the</w:t></w:r>
</w:p>
<w:p>
<w:pPr><w:pStyle w:val="Normal"/></w:pPr>
<w:r><w:t xml:space="preserve">story.  He also elaborates the episodes most attractive to</w:t></w:r>
</w:p>
<w:p>
<w:pPr><w:pStyle w:val="Normal"/></w:pPr>
<w:r><w:t xml:space="preserve">his audience, notably those of Dido and Aeneas and Lavinia,</w:t></w:r>
</w:p>
<w:p>
<w:pPr><w:pStyle w:val="Normal"/></w:pPr>
<w:r><w:t xml:space="preserve">the last of whom plays a far more important part than in the</w:t></w:r>
</w:p>
<w:p>
<w:pPr><w:pStyle w:val="Normal"/></w:pPr>
<w:r><w:t xml:space="preserve">Aeneid. Where possible, he substitutes human for divine</w:t></w:r>
</w:p>
<w:p>
<w:pPr><w:pStyle w:val="Normal"/></w:pPr>
<w:r><w:t xml:space="preserve">intervention, and ignores the idea of the glorification</w:t></w:r>
</w:p>
<w:p>
<w:pPr><w:pStyle w:val="Normal"/></w:pPr>
<w:r><w:t xml:space="preserve">of Rome and Augustus, which dominates the Virgilian epic.</w:t></w:r>
</w:p>
<w:p>
<w:pPr><w:pStyle w:val="Normal"/></w:pPr>
<w:r><w:t xml:space="preserve">On this work were founded the Eneide or Eneit (between</w:t></w:r>
</w:p>
<w:p>
<w:pPr><w:pStyle w:val="Normal"/></w:pPr>
<w:r><w:t xml:space="preserve">1180 and 1190) of Heinrich von Veldeke, written in Flemish</w:t></w:r>
</w:p>
<w:p>
<w:pPr><w:pStyle w:val="Normal"/></w:pPr>
<w:r><w:t xml:space="preserve">and now only extant in a version in the Thuringian dialect,</w:t></w:r>
</w:p>
<w:p>
<w:pPr><w:pStyle w:val="Normal"/></w:pPr>
<w:r><w:t xml:space="preserve">and the Eneydos, written by William Caxton in 1490.  See</w:t></w:r>
</w:p>
<w:p>
<w:pPr><w:pStyle w:val="Normal"/></w:pPr>
<w:r><w:t xml:space="preserve">Eneas, ed.  J. Salverdo de Grave (Halle, 1891); see also</w:t></w:r>
</w:p>
<w:p>
<w:pPr><w:pStyle w:val="Normal"/></w:pPr>
<w:r><w:t xml:space="preserve">A. Litteraire de la France, xix.; Veldeke&apos;s Encide, ed.</w:t></w:r>
</w:p>
<w:p>
<w:pPr><w:pStyle w:val="Normal"/></w:pPr>
<w:r><w:t xml:space="preserve">Ettmuller (Leipzig, 1852) and O. Behaghel (Heilbronn, 1882);</w:t></w:r>
</w:p>
<w:p>
<w:pPr><w:pStyle w:val="Normal"/></w:pPr>
<w:r><w:t xml:space="preserve">Eneydos, ed.  F. J. Furnivall (1890).  For Italian versions</w:t></w:r>
</w:p>
<w:p>
<w:pPr><w:pStyle w:val="Normal"/></w:pPr>
<w:r><w:t xml:space="preserve">see E. G. Parodi in Studi di filologia romanza (v. 1887).</w:t></w:r>
</w:p>
<w:p>
<w:pPr><w:pStyle w:val="Normal"/></w:pPr>
<w:r><w:t xml:space="preserve">AENEAS TACTICUS (4th century B.C.), one of the earliest</w:t></w:r>
</w:p>
<w:p>
<w:pPr><w:pStyle w:val="Normal"/></w:pPr>
<w:r><w:t xml:space="preserve">Greek writers on the art of war.  According to Aelianus</w:t></w:r>
</w:p>
<w:p>
<w:pPr><w:pStyle w:val="Normal"/></w:pPr>
<w:r><w:t xml:space="preserve">Tacticus and Polybius, he wrote a number of treatises</w:t></w:r>
</w:p>
<w:p>
<w:pPr><w:pStyle w:val="Normal"/></w:pPr>
<w:r><w:t xml:space="preserve">(Upomnemata) on the subject; the only one extant deals with</w:t></w:r>
</w:p>
<w:p>
<w:pPr><w:pStyle w:val="Normal"/></w:pPr>
<w:r><w:t xml:space="preserve">the best methods of defending a fortified city.  An epitome</w:t></w:r>
</w:p>
<w:p>
<w:pPr><w:pStyle w:val="Normal"/></w:pPr>
<w:r><w:t xml:space="preserve">of the whole was made by Cineas, minister of Pyrrhus, king of</w:t></w:r>
</w:p>
<w:p>
<w:pPr><w:pStyle w:val="Normal"/></w:pPr>
<w:r><w:t xml:space="preserve">Epirus.  The work is chiefly valuable as containing a large</w:t></w:r>
</w:p>
<w:p>
<w:pPr><w:pStyle w:val="Normal"/></w:pPr>
<w:r><w:t xml:space="preserve">number of historical illustrations.  Aeneas was considered by</w:t></w:r>
</w:p>
<w:p>
<w:pPr><w:pStyle w:val="Normal"/></w:pPr>
<w:r><w:t xml:space="preserve">Casaubon to have been a contemporary of Xenophon and identical</w:t></w:r>
</w:p>
<w:p>
<w:pPr><w:pStyle w:val="Normal"/></w:pPr>
<w:r><w:t xml:space="preserve">with the Arcadian general Aeneas of Stymphalus, whom Xenophon</w:t></w:r>
</w:p>
<w:p>
<w:pPr><w:pStyle w:val="Normal"/></w:pPr>
<w:r><w:t xml:space="preserve">(Hellenica, vii. 3) mentions as fighting at the battle</w:t></w:r>
</w:p>
<w:p>
<w:pPr><w:pStyle w:val="Normal"/></w:pPr>
<w:r><w:t xml:space="preserve">of Mantinea (362 B.C.). Editions in I. Casaubon&apos;s (1619),</w:t></w:r>
</w:p>
<w:p>
<w:pPr><w:pStyle w:val="Normal"/></w:pPr>
<w:r><w:t xml:space="preserve">Gronovius&apos; (1670) and Ernesti&apos;s (1763) editions of Polybius;</w:t></w:r>
</w:p>
<w:p>
<w:pPr><w:pStyle w:val="Normal"/></w:pPr>
<w:r><w:t xml:space="preserve">also.separately, with notes, by J. C. Orelli (Leipzig,</w:t></w:r>
</w:p>
<w:p>
<w:pPr><w:pStyle w:val="Normal"/></w:pPr>
<w:r><w:t xml:space="preserve">1818).  Other texts are those of W. Rustow and H. Kochly</w:t></w:r>
</w:p>
<w:p>
<w:pPr><w:pStyle w:val="Normal"/></w:pPr>
<w:r><w:t xml:space="preserve">(Griechische Kriegsschriftsteller, vol. i.  Leipzig, 183S)</w:t></w:r>
</w:p>
<w:p>
<w:pPr><w:pStyle w:val="Normal"/></w:pPr>
<w:r><w:t xml:space="preserve">and A. Hug, Prolegomena Critica ad Aeneae editionem (Zurich</w:t></w:r>
</w:p>
<w:p>
<w:pPr><w:pStyle w:val="Normal"/></w:pPr>
<w:r><w:t xml:space="preserve">University, 1874).  See also Count Beausobre, Commentaires</w:t></w:r>
</w:p>
<w:p>
<w:pPr><w:pStyle w:val="Normal"/></w:pPr>
<w:r><w:t xml:space="preserve">sur la defense des places d&apos;Aeneas (Amsterdam, 1757); A.</w:t></w:r>
</w:p>
<w:p>
<w:pPr><w:pStyle w:val="Normal"/></w:pPr>
<w:r><w:t xml:space="preserve">Hug, Aeneas von Stymphalos (Zurich, 1877); C. C. Lange,</w:t></w:r>
</w:p>
<w:p>
<w:pPr><w:pStyle w:val="Normal"/></w:pPr>
<w:r><w:t xml:space="preserve">De Aeneae commentario poliorcetico (Berlin, 1879); M. H.</w:t></w:r>
</w:p>
<w:p>
<w:pPr><w:pStyle w:val="Normal"/></w:pPr>
<w:r><w:t xml:space="preserve">Meyer, Observationes in Aeneam Tacticum (Halle, 1835) ;</w:t></w:r>
</w:p>
<w:p>
<w:pPr><w:pStyle w:val="Normal"/></w:pPr>
<w:r><w:t xml:space="preserve">Haase, in Jahns Jahrbuch, 1835, xiv. 1 ; Max Jahns, Gesch.</w:t></w:r>
</w:p>
<w:p>
<w:pPr><w:pStyle w:val="Normal"/></w:pPr>
<w:r><w:t xml:space="preserve">der Kriegswissenschaften, i. pp. 26-28 (Munich, 1889) ; Ad.</w:t></w:r>
</w:p>
<w:p>
<w:pPr><w:pStyle w:val="Normal"/></w:pPr>
<w:r><w:t xml:space="preserve">Bauer, in Zeitschrift fur allg.  Geschichte, &amp;c., 1886, i.;</w:t></w:r>
</w:p>
<w:p>
<w:pPr><w:pStyle w:val="Normal"/></w:pPr>
<w:r><w:t xml:space="preserve">T. H. Williams in American Journal of Philology, xxv. 4; E.</w:t></w:r>
</w:p>
<w:p>
<w:pPr><w:pStyle w:val="Normal"/></w:pPr>
<w:r><w:t xml:space="preserve">Schwartz in Pauly-Wissowa, Realencyclopadie (Stuttgart, 1894).</w:t></w:r>
</w:p>
<w:p>
<w:pPr><w:pStyle w:val="Normal"/></w:pPr>
<w:r><w:t xml:space="preserve">AENESIDEMUS, Greek philosopher, was born at Cnossus in Crete</w:t></w:r>
</w:p>
<w:p>
<w:pPr><w:pStyle w:val="Normal"/></w:pPr>
<w:r><w:t xml:space="preserve">and taught at Alexandria, probably during the first century</w:t></w:r>
</w:p>
<w:p>
<w:pPr><w:pStyle w:val="Normal"/></w:pPr>
<w:r><w:t xml:space="preserve">B.C. He was the leader of what is sometimes known as the third</w:t></w:r>
</w:p>
<w:p>
<w:pPr><w:pStyle w:val="Normal"/></w:pPr>
<w:r><w:t xml:space="preserve">sceptical school and revived to a great extent the doctrine</w:t></w:r>
</w:p>
<w:p>
<w:pPr><w:pStyle w:val="Normal"/></w:pPr>
<w:r><w:t xml:space="preserve">of Pyrrho and Timon.  His chief work was the Pyrrhonian</w:t></w:r>
</w:p>
<w:p>
<w:pPr><w:pStyle w:val="Normal"/></w:pPr>
<w:r><w:t xml:space="preserve">Principles addressed to Lucius Tubero.  His philosophy</w:t></w:r>
</w:p>
<w:p>
<w:pPr><w:pStyle w:val="Normal"/></w:pPr>
<w:r><w:t xml:space="preserve">consisted of four main parts, the reasons for scepticism and</w:t></w:r>
</w:p>
<w:p>
<w:pPr><w:pStyle w:val="Normal"/></w:pPr>
<w:r><w:t xml:space="preserve">doubt, the attack on causality and truth, a physical theory</w:t></w:r>
</w:p>
<w:p>
<w:pPr><w:pStyle w:val="Normal"/></w:pPr>
<w:r><w:t xml:space="preserve">and a theory of morality.  Of these the two former are</w:t></w:r>
</w:p>
<w:p>
<w:pPr><w:pStyle w:val="Normal"/></w:pPr>
<w:r><w:t xml:space="preserve">important.  The reasons for doubt are given in the form of</w:t></w:r>
</w:p>
<w:p>
<w:pPr><w:pStyle w:val="Normal"/></w:pPr>
<w:r><w:t xml:space="preserve">the ten ``tropes&apos;&apos;: (1) different animals manifest different</w:t></w:r>
</w:p>
<w:p>
<w:pPr><w:pStyle w:val="Normal"/></w:pPr>
<w:r><w:t xml:space="preserve">modes of perception; (2) similar differences are seen among</w:t></w:r>
</w:p>
<w:p>
<w:pPr><w:pStyle w:val="Normal"/></w:pPr>
<w:r><w:t xml:space="preserve">individual men; (3) even for the same man, sense-given data are</w:t></w:r>
</w:p>
<w:p>
<w:pPr><w:pStyle w:val="Normal"/></w:pPr>
<w:r><w:t xml:space="preserve">self-contradictory, (4) vary from time to time with physical</w:t></w:r>
</w:p>
<w:p>
<w:pPr><w:pStyle w:val="Normal"/></w:pPr>
<w:r><w:t xml:space="preserve">changes, and (5) accord- ing to local relations; (6) and (7)</w:t></w:r>
</w:p>
<w:p>
<w:pPr><w:pStyle w:val="Normal"/></w:pPr>
<w:r><w:t xml:space="preserve">objects are known only in- directly through the medium of air,</w:t></w:r>
</w:p>
<w:p>
<w:pPr><w:pStyle w:val="Normal"/></w:pPr>
<w:r><w:t xml:space="preserve">moisture, &amp;c., and are in a condition of perpetual change in</w:t></w:r>
</w:p>
<w:p>
<w:pPr><w:pStyle w:val="Normal"/></w:pPr>
<w:r><w:t xml:space="preserve">colour, temperature, size and motion; (8) all perceptions are</w:t></w:r>
</w:p>
<w:p>
<w:pPr><w:pStyle w:val="Normal"/></w:pPr>
<w:r><w:t xml:space="preserve">relative and interact one upon another; (9) Our impressions</w:t></w:r>
</w:p>
<w:p>
<w:pPr><w:pStyle w:val="Normal"/></w:pPr>
<w:r><w:t xml:space="preserve">become less deep by repetition and custom; and (10) all</w:t></w:r>
</w:p>
<w:p>
<w:pPr><w:pStyle w:val="Normal"/></w:pPr>
<w:r><w:t xml:space="preserve">men are brought up with different beliefs, under different</w:t></w:r>
</w:p>
<w:p>
<w:pPr><w:pStyle w:val="Normal"/></w:pPr>
<w:r><w:t xml:space="preserve">laws and social conditions.  Truth varies infinitely under</w:t></w:r>
</w:p>
<w:p>
<w:pPr><w:pStyle w:val="Normal"/></w:pPr>
<w:r><w:t xml:space="preserve">circumstances whose relative weight cannot be accurately</w:t></w:r>
</w:p>
<w:p>
<w:pPr><w:pStyle w:val="Normal"/></w:pPr>
<w:r><w:t xml:space="preserve">gauged.  There is, therefore, no absolute knowledge, for</w:t></w:r>
</w:p>
<w:p>
<w:pPr><w:pStyle w:val="Normal"/></w:pPr>
<w:r><w:t xml:space="preserve">every man has different perceptions, and, further, arranges</w:t></w:r>
</w:p>
<w:p>
<w:pPr><w:pStyle w:val="Normal"/></w:pPr>
<w:r><w:t xml:space="preserve">and groups his data in methods peculiar to himself; so</w:t></w:r>
</w:p>
<w:p>
<w:pPr><w:pStyle w:val="Normal"/></w:pPr>
<w:r><w:t xml:space="preserve">that the sum total is a quantity with a purely subjective</w:t></w:r>
</w:p>
<w:p>
<w:pPr><w:pStyle w:val="Normal"/></w:pPr>
<w:r><w:t xml:space="preserve">validity.  The second part of his work consists in the attack</w:t></w:r>
</w:p>
<w:p>
<w:pPr><w:pStyle w:val="Normal"/></w:pPr>
<w:r><w:t xml:space="preserve">upon the theory of causality, in which he adduces almost</w:t></w:r>
</w:p>
<w:p>
<w:pPr><w:pStyle w:val="Normal"/></w:pPr>
<w:r><w:t xml:space="preserve">entirely those considerations which are the basis of modern</w:t></w:r>
</w:p>
<w:p>
<w:pPr><w:pStyle w:val="Normal"/></w:pPr>
<w:r><w:t xml:space="preserve">scepticism.  Cause has no existence apart from the mind which</w:t></w:r>
</w:p>
<w:p>
<w:pPr><w:pStyle w:val="Normal"/></w:pPr>
<w:r><w:t xml:space="preserve">perceives; its validity is ideal, or, as Kant would have</w:t></w:r>
</w:p>
<w:p>
<w:pPr><w:pStyle w:val="Normal"/></w:pPr>
<w:r><w:t xml:space="preserve">said, subjective.  The relation between cause and effect is</w:t></w:r>
</w:p>
<w:p>
<w:pPr><w:pStyle w:val="Normal"/></w:pPr>
<w:r><w:t xml:space="preserve">unthinkable.  If the two things are different, they are</w:t></w:r>
</w:p>
<w:p>
<w:pPr><w:pStyle w:val="Normal"/></w:pPr>
<w:r><w:t xml:space="preserve">either simultaneous or in succession.  If simultaneous, cause</w:t></w:r>
</w:p>
<w:p>
<w:pPr><w:pStyle w:val="Normal"/></w:pPr>
<w:r><w:t xml:space="preserve">is effect and effect cause.  If not, since effect cannot</w:t></w:r>
</w:p>
<w:p>
<w:pPr><w:pStyle w:val="Normal"/></w:pPr>
<w:r><w:t xml:space="preserve">precede cause, cause must precede effect, and there must</w:t></w:r>
</w:p>
<w:p>
<w:pPr><w:pStyle w:val="Normal"/></w:pPr>
<w:r><w:t xml:space="preserve">be an instant when cause is not effective, that is, is not</w:t></w:r>
</w:p>
<w:p>
<w:pPr><w:pStyle w:val="Normal"/></w:pPr>
<w:r><w:t xml:space="preserve">itself.  By these and similar arguments he arrives at</w:t></w:r>
</w:p>
<w:p>
<w:pPr><w:pStyle w:val="Normal"/></w:pPr>
<w:r><w:t xml:space="preserve">the fundamental principle of Scepticism, the radical and</w:t></w:r>
</w:p>
<w:p>
<w:pPr><w:pStyle w:val="Normal"/></w:pPr>
<w:r><w:t xml:space="preserve">universal opposition tion of causes; panti logo logos</w:t></w:r>
</w:p>
<w:p>
<w:pPr><w:pStyle w:val="Normal"/></w:pPr>
<w:r><w:t xml:space="preserve">antikeitai.  Having reached this conclusion, he was able to</w:t></w:r>
</w:p>
<w:p>
<w:pPr><w:pStyle w:val="Normal"/></w:pPr>
<w:r><w:t xml:space="preserve">assimilate the physical theory of Heraclitus, as is explained</w:t></w:r>
</w:p>
<w:p>
<w:pPr><w:pStyle w:val="Normal"/></w:pPr>
<w:r><w:t xml:space="preserve">in the Hypotyposes of Sextus Empiricus.  For admitting that</w:t></w:r>
</w:p>
<w:p>
<w:pPr><w:pStyle w:val="Normal"/></w:pPr>
<w:r><w:t xml:space="preserve">contraries co-exist for the perceiving subject, he was able</w:t></w:r>
</w:p>
<w:p>
<w:pPr><w:pStyle w:val="Normal"/></w:pPr>
<w:r><w:t xml:space="preserve">to assert the co-existence of contrary qualities in the same</w:t></w:r>
</w:p>
<w:p>
<w:pPr><w:pStyle w:val="Normal"/></w:pPr>
<w:r><w:t xml:space="preserve">object.  Having thus disposed of the ideas of truth and</w:t></w:r>
</w:p>
<w:p>
<w:pPr><w:pStyle w:val="Normal"/></w:pPr>
<w:r><w:t xml:space="preserve">causality, he proceeds to undermine the ethical criterion,</w:t></w:r>
</w:p>
<w:p>
<w:pPr><w:pStyle w:val="Normal"/></w:pPr>
<w:r><w:t xml:space="preserve">and denies that any man can aim at Good, Pleasure or Happiness</w:t></w:r>
</w:p>
<w:p>
<w:pPr><w:pStyle w:val="Normal"/></w:pPr>
<w:r><w:t xml:space="preserve">as an absolute, concrete ideal.  All actions are product</w:t></w:r>
</w:p>
<w:p>
<w:pPr><w:pStyle w:val="Normal"/></w:pPr>
<w:r><w:t xml:space="preserve">of pleasure and pain, good and evil.  The end of ethical</w:t></w:r>
</w:p>
<w:p>
<w:pPr><w:pStyle w:val="Normal"/></w:pPr>
<w:r><w:t xml:space="preserve">endeavour is the conclusion that all endeavour is vain and</w:t></w:r>
</w:p>
<w:p>
<w:pPr><w:pStyle w:val="Normal"/></w:pPr>
<w:r><w:t xml:space="preserve">illogical.  The main tendency of this destructive scepticism</w:t></w:r>
</w:p>
<w:p>
<w:pPr><w:pStyle w:val="Normal"/></w:pPr>
<w:r><w:t xml:space="preserve">is essentially the same from its first crystallization by</w:t></w:r>
</w:p>
<w:p>
<w:pPr><w:pStyle w:val="Normal"/></w:pPr>
<w:r><w:t xml:space="preserve">Aenesidemus down to the most advanced sceptics of to-day (ree</w:t></w:r>
</w:p>
<w:p>
<w:pPr><w:pStyle w:val="Normal"/></w:pPr>
<w:r><w:t xml:space="preserve">SCEPTICISM). For the immediate successors of Aenesidemus</w:t></w:r>
</w:p>
<w:p>
<w:pPr><w:pStyle w:val="Normal"/></w:pPr>
<w:r><w:t xml:space="preserve">see AGRIPPA, SEXTUS EMPIRICUS. See also CARNEADES and</w:t></w:r>
</w:p>
<w:p>
<w:pPr><w:pStyle w:val="Normal"/></w:pPr>
<w:r><w:t xml:space="preserve">ARCESILAUS. Of the Porroneioi logoi nothing remains; we</w:t></w:r>
</w:p>
<w:p>
<w:pPr><w:pStyle w:val="Normal"/></w:pPr>
<w:r><w:t xml:space="preserve">have, however, an analysis in the Myriobiblion of Photius.</w:t></w:r>
</w:p>
<w:p>
<w:pPr><w:pStyle w:val="Normal"/></w:pPr>
<w:r><w:t xml:space="preserve">See Zeller&apos;s History of Greek Philosophy; F. Saisset,</w:t></w:r>
</w:p>
<w:p>
<w:pPr><w:pStyle w:val="Normal"/></w:pPr>
<w:r><w:t xml:space="preserve">AEnesideme, Pascal, Kant; Ritter and Preller, sec. sec.  364-87O.</w:t></w:r>
</w:p>
<w:p>
<w:pPr><w:pStyle w:val="Normal"/></w:pPr>
<w:r><w:t xml:space="preserve">AEOLIAN HARP (Fr. harpe eolienne; Ger. Aolsharfe, Windharfe;</w:t></w:r>
</w:p>
<w:p>
<w:pPr><w:pStyle w:val="Normal"/></w:pPr>
<w:r><w:t xml:space="preserve">Ital. arpa d&apos;Eolo), a stringed musical instrument, whose</w:t></w:r>
</w:p>
<w:p>
<w:pPr><w:pStyle w:val="Normal"/></w:pPr>
<w:r><w:t xml:space="preserve">name is derived from Aeolus, god of the wind.  The aeolian</w:t></w:r>
</w:p>
<w:p>
<w:pPr><w:pStyle w:val="Normal"/></w:pPr>
<w:r><w:t xml:space="preserve">harp consists of a sound-box about 3 ft long, 5 in. wide,</w:t></w:r>
</w:p>
<w:p>
<w:pPr><w:pStyle w:val="Normal"/></w:pPr>
<w:r><w:t xml:space="preserve">and 3 in. deep, made of thin deal, or preferably of pine, and</w:t></w:r>
</w:p>
<w:p>
<w:pPr><w:pStyle w:val="Normal"/></w:pPr>
<w:r><w:t xml:space="preserve">having beech ends to hold the tuning-pins and hitch-pins.</w:t></w:r>
</w:p>
<w:p>
<w:pPr><w:pStyle w:val="Normal"/></w:pPr>
<w:r><w:t xml:space="preserve">A dozen or less catgut strings of different thickness, but</w:t></w:r>
</w:p>
<w:p>
<w:pPr><w:pStyle w:val="Normal"/></w:pPr>
<w:r><w:t xml:space="preserve">tuned in exact unison, and left rather slack, are attached</w:t></w:r>
</w:p>
<w:p>
<w:pPr><w:pStyle w:val="Normal"/></w:pPr>
<w:r><w:t xml:space="preserve">to the pins, and stretched over two narrow bridges of hard</w:t></w:r>
</w:p>
<w:p>
<w:pPr><w:pStyle w:val="Normal"/></w:pPr>
<w:r><w:t xml:space="preserve">wood, one at each end of the sound-board, which is generally</w:t></w:r>
</w:p>
<w:p>
<w:pPr><w:pStyle w:val="Normal"/></w:pPr>
<w:r><w:t xml:space="preserve">provided with two rose sound-holes.  To ensure a proper</w:t></w:r>
</w:p>
<w:p>
<w:pPr><w:pStyle w:val="Normal"/></w:pPr>
<w:r><w:t xml:space="preserve">passage for the wind, another pine board is placed over the</w:t></w:r>
</w:p>
<w:p>
<w:pPr><w:pStyle w:val="Normal"/></w:pPr>
<w:r><w:t xml:space="preserve">strings, resting on pegs at the ends of the sound-board, or</w:t></w:r>
</w:p>
<w:p>
<w:pPr><w:pStyle w:val="Normal"/></w:pPr>
<w:r><w:t xml:space="preserve">on a continuation of the ends raised from 1 to 3 in. above the</w:t></w:r>
</w:p>
<w:p>
<w:pPr><w:pStyle w:val="Normal"/></w:pPr>
<w:r><w:t xml:space="preserve">strings.  Kaufmann of Dresden and Heinrich Christoph Koch,</w:t></w:r>
</w:p>
<w:p>
<w:pPr><w:pStyle w:val="Normal"/></w:pPr>
<w:r><w:t xml:space="preserve">who improved the aeolian harp, introduced this contrivance,</w:t></w:r>
</w:p>
<w:p>
<w:pPr><w:pStyle w:val="Normal"/></w:pPr>
<w:r><w:t xml:space="preserve">which was called by them Windfang and Windflugel; the</w:t></w:r>
</w:p>
<w:p>
<w:pPr><w:pStyle w:val="Normal"/></w:pPr>
<w:r><w:t xml:space="preserve">upper board was prolonged beyond the sound-box in the shape</w:t></w:r>
</w:p>
<w:p>
<w:pPr><w:pStyle w:val="Normal"/></w:pPr>
<w:r><w:t xml:space="preserve">of a funnel, in order to direct the current of air on to the</w:t></w:r>
</w:p>
<w:p>
<w:pPr><w:pStyle w:val="Normal"/></w:pPr>
<w:r><w:t xml:space="preserve">strings.  The aeolian harp is placed across a window so that</w:t></w:r>
</w:p>
<w:p>
<w:pPr><w:pStyle w:val="Normal"/></w:pPr>
<w:r><w:t xml:space="preserve">the wind blows obliquely across the strings, causing them to</w:t></w:r>
</w:p>
<w:p>
<w:pPr><w:pStyle w:val="Normal"/></w:pPr>
<w:r><w:t xml:space="preserve">vibrate in aliquot parts, i.e. (the fundamental note not</w:t></w:r>
</w:p>
<w:p>
<w:pPr><w:pStyle w:val="Normal"/></w:pPr>
<w:r><w:t xml:space="preserve">being heard) the half or octave, the third or interval of the</w:t></w:r>
</w:p>
<w:p>
<w:pPr><w:pStyle w:val="Normal"/></w:pPr>
<w:r><w:t xml:space="preserve">twelfth, the second Octave, and the third above it, in fact</w:t></w:r>
</w:p>
<w:p>
<w:pPr><w:pStyle w:val="Normal"/></w:pPr>
<w:r><w:t xml:space="preserve">the upper partials of the strings in regular succession.  With</w:t></w:r>
</w:p>
<w:p>
<w:pPr><w:pStyle w:val="Normal"/></w:pPr>
<w:r><w:t xml:space="preserve">the increased pressure of the wind, the dissonances of the</w:t></w:r>
</w:p>
<w:p>
<w:pPr><w:pStyle w:val="Normal"/></w:pPr>
<w:r><w:t xml:space="preserve">11th and 13th overtones are heard in shrill discords, only</w:t></w:r>
</w:p>
<w:p>
<w:pPr><w:pStyle w:val="Normal"/></w:pPr>
<w:r><w:t xml:space="preserve">to give place to beautiful harmonies as the force of the wind</w:t></w:r>
</w:p>
<w:p>
<w:pPr><w:pStyle w:val="Normal"/></w:pPr>
<w:r><w:t xml:space="preserve">abates.  The principle of the natural vibration of strings</w:t></w:r>
</w:p>
<w:p>
<w:pPr><w:pStyle w:val="Normal"/></w:pPr>
<w:r><w:t xml:space="preserve">by the pressure of the wind was recognized in ancient times;</w:t></w:r>
</w:p>
<w:p>
<w:pPr><w:pStyle w:val="Normal"/></w:pPr>
<w:r><w:t xml:space="preserve">King David, we hear from the Rabbinic records, used to</w:t></w:r>
</w:p>
<w:p>
<w:pPr><w:pStyle w:val="Normal"/></w:pPr>
<w:r><w:t xml:space="preserve">hang his kinnor (kithara) over his bed at night, when it</w:t></w:r>
</w:p>
<w:p>
<w:pPr><w:pStyle w:val="Normal"/></w:pPr>
<w:r><w:t xml:space="preserve">sounded in the midnight breeze.  The same is related of St</w:t></w:r>
</w:p>
<w:p>
<w:pPr><w:pStyle w:val="Normal"/></w:pPr>
<w:r><w:t xml:space="preserve">Dunstan of Canterbury, who was in consequence charged with</w:t></w:r>
</w:p>
<w:p>
<w:pPr><w:pStyle w:val="Normal"/></w:pPr>
<w:r><w:t xml:space="preserve">sorcery.  The Chinese at the present day fly kites of various</w:t></w:r>
</w:p>
<w:p>
<w:pPr><w:pStyle w:val="Normal"/></w:pPr>
<w:r><w:t xml:space="preserve">sizes, having strings stretched across apertures in the</w:t></w:r>
</w:p>
<w:p>
<w:pPr><w:pStyle w:val="Normal"/></w:pPr>
<w:r><w:t xml:space="preserve">paper, which produces the effect of an aerial chorus.</w:t></w:r>
</w:p>
<w:p>
<w:pPr><w:pStyle w:val="Normal"/></w:pPr>
<w:r><w:t xml:space="preserve">See Athanasius Kircher, Musurgia Universalis, where the aeolian</w:t></w:r>
</w:p>
<w:p>
<w:pPr><w:pStyle w:val="Normal"/></w:pPr>
<w:r><w:t xml:space="preserve">harp is first described (1602-1608), p. 148; Mathew Young, Bishop</w:t></w:r>
</w:p>
<w:p>
<w:pPr><w:pStyle w:val="Normal"/></w:pPr>
<w:r><w:t xml:space="preserve">of Clonfert, Enquiry into the Principal Phenomena of Sounds and</w:t></w:r>
</w:p>
<w:p>
<w:pPr><w:pStyle w:val="Normal"/></w:pPr>
<w:r><w:t xml:space="preserve">Musical Strings pp. 170-182 (London, 1784); Gottingen Pocket</w:t></w:r>
</w:p>
<w:p>
<w:pPr><w:pStyle w:val="Normal"/></w:pPr>
<w:r><w:t xml:space="preserve">Calendar (1792); Mendel&apos;s Musikalisches Conversations-Lexikon,</w:t></w:r>
</w:p>
<w:p>
<w:pPr><w:pStyle w:val="Normal"/></w:pPr>
<w:r><w:t xml:space="preserve">article ``Aeolsharfe.&apos;, An illustration is given in Rees&apos;</w:t></w:r>
</w:p>
<w:p>
<w:pPr><w:pStyle w:val="Normal"/></w:pPr>
<w:r><w:t xml:space="preserve">Encyclopedia, plates, vol. ii.  Misc. pl. xxv (K. S.)</w:t></w:r>
</w:p>
<w:p>
<w:pPr><w:pStyle w:val="Normal"/></w:pPr>
<w:r><w:t xml:space="preserve">AEOLIS (AEOLIA), an ancient district of Asia Minor,</w:t></w:r>
</w:p>
<w:p>
<w:pPr><w:pStyle w:val="Normal"/></w:pPr>
<w:r><w:t xml:space="preserve">colonized at a very early date by Aeolian Greeks.  The name was</w:t></w:r>
</w:p>
<w:p>
<w:pPr><w:pStyle w:val="Normal"/></w:pPr>
<w:r><w:t xml:space="preserve">applied to the coast from the river Hermus to the promontory</w:t></w:r>
</w:p>
<w:p>
<w:pPr><w:pStyle w:val="Normal"/></w:pPr>
<w:r><w:t xml:space="preserve">of Lecture, i.o. between Ionia to S. and Troas to N. The</w:t></w:r>
</w:p>
<w:p>
<w:pPr><w:pStyle w:val="Normal"/></w:pPr>
<w:r><w:t xml:space="preserve">Aeolians founded twelve cities on the mainland, including</w:t></w:r>
</w:p>
<w:p>
<w:pPr><w:pStyle w:val="Normal"/></w:pPr>
<w:r><w:t xml:space="preserve">Cyme, and numerous towns in Mytilene: they were said also</w:t></w:r>
</w:p>
<w:p>
<w:pPr><w:pStyle w:val="Normal"/></w:pPr>
<w:r><w:t xml:space="preserve">to have settled in the Troad and even within the Hellespont.</w:t></w:r>
</w:p>
<w:p>
<w:pPr><w:pStyle w:val="Normal"/></w:pPr>
<w:r><w:t xml:space="preserve">AEOLUS, in Greek mythology, according to Homer the son of</w:t></w:r>
</w:p>
<w:p>
<w:pPr><w:pStyle w:val="Normal"/></w:pPr>
<w:r><w:t xml:space="preserve">Hippotes, god and father of the winds, and ruler of the island of</w:t></w:r>
</w:p>
<w:p>
<w:pPr><w:pStyle w:val="Normal"/></w:pPr>
<w:r><w:t xml:space="preserve">Aeolia.  In the Odyssey (x. I) he entertains Odysseus,</w:t></w:r>
</w:p>
<w:p>
<w:pPr><w:pStyle w:val="Normal"/></w:pPr>
<w:r><w:t xml:space="preserve">gives him a favourable wind to help him on his journey, and</w:t></w:r>
</w:p>
<w:p>
<w:pPr><w:pStyle w:val="Normal"/></w:pPr>
<w:r><w:t xml:space="preserve">a bag in which the unfavourable winds have been confined.</w:t></w:r>
</w:p>
<w:p>
<w:pPr><w:pStyle w:val="Normal"/></w:pPr>
<w:r><w:t xml:space="preserve">Out of curiosity. or with the idea that it contains valuable</w:t></w:r>
</w:p>
<w:p>
<w:pPr><w:pStyle w:val="Normal"/></w:pPr>
<w:r><w:t xml:space="preserve">treasures, Odysseus&apos; companions open the bag; the winds escape</w:t></w:r>
</w:p>
<w:p>
<w:pPr><w:pStyle w:val="Normal"/></w:pPr>
<w:r><w:t xml:space="preserve">and drive them back to the island, whence Aeolus dismisses them</w:t></w:r>
</w:p>
<w:p>
<w:pPr><w:pStyle w:val="Normal"/></w:pPr>
<w:r><w:t xml:space="preserve">with bitter reproaches.  According to Virgil, Aeolus dwells on</w:t></w:r>
</w:p>
<w:p>
<w:pPr><w:pStyle w:val="Normal"/></w:pPr>
<w:r><w:t xml:space="preserve">one of the Aeolian islands to the north of Sicily, Lipara or</w:t></w:r>
</w:p>
<w:p>
<w:pPr><w:pStyle w:val="Normal"/></w:pPr>
<w:r><w:t xml:space="preserve">Strongyle (Stromboll), where he keeps the winds imprisoned in</w:t></w:r>
</w:p>
<w:p>
<w:pPr><w:pStyle w:val="Normal"/></w:pPr>
<w:r><w:t xml:space="preserve">a vast cavern (Virgil, Aen. i. 52). Another genealogy makes</w:t></w:r>
</w:p>
<w:p>
<w:pPr><w:pStyle w:val="Normal"/></w:pPr>
<w:r><w:t xml:space="preserve">him the son of Poseidon and Arne, granddaughter of Hippotes,</w:t></w:r>
</w:p>
<w:p>
<w:pPr><w:pStyle w:val="Normal"/></w:pPr>
<w:r><w:t xml:space="preserve">and a descendant of Aeolus, king of Magnesia in Thessaly, the</w:t></w:r>
</w:p>
<w:p>
<w:pPr><w:pStyle w:val="Normal"/></w:pPr>
<w:r><w:t xml:space="preserve">mythical ancestor of the tribe of the Aeolians (Diodorus iv. 67).</w:t></w:r>
</w:p>
<w:p>
<w:pPr><w:pStyle w:val="Normal"/></w:pPr>
<w:r><w:t xml:space="preserve">AEON, a term often used in Greek (aion) to denote</w:t></w:r>
</w:p>
<w:p>
<w:pPr><w:pStyle w:val="Normal"/></w:pPr>
<w:r><w:t xml:space="preserve">an indefinite or infinite duration of time; and hence, by</w:t></w:r>
</w:p>
<w:p>
<w:pPr><w:pStyle w:val="Normal"/></w:pPr>
<w:r><w:t xml:space="preserve">metonymy, a being that exists for ever.  In the latter sense</w:t></w:r>
</w:p>
<w:p>
<w:pPr><w:pStyle w:val="Normal"/></w:pPr>
<w:r><w:t xml:space="preserve">it was chiefly used by the Gnostic sects to denote those</w:t></w:r>
</w:p>
<w:p>
<w:pPr><w:pStyle w:val="Normal"/></w:pPr>
<w:r><w:t xml:space="preserve">eternal beings or manifestations which emanated from the</w:t></w:r>
</w:p>
<w:p>
<w:pPr><w:pStyle w:val="Normal"/></w:pPr>
<w:r><w:t xml:space="preserve">one incomprehensible and ineffable God. (See GNOSTICISM.)</w:t></w:r>
</w:p>
<w:p>
<w:pPr><w:pStyle w:val="Normal"/></w:pPr>
<w:r><w:t xml:space="preserve">AEPINUS, FRANZ ULRICH THEODOR (1724-1802), German natural</w:t></w:r>
</w:p>
<w:p>
<w:pPr><w:pStyle w:val="Normal"/></w:pPr>
<w:r><w:t xml:space="preserve">philosopher, was born at Rostock in Saxony on the 13th of December</w:t></w:r>
</w:p>
<w:p>
<w:pPr><w:pStyle w:val="Normal"/></w:pPr>
<w:r><w:t xml:space="preserve">1724.  He was descended from John Aepinus (1499-1553), the</w:t></w:r>
</w:p>
<w:p>
<w:pPr><w:pStyle w:val="Normal"/></w:pPr>
<w:r><w:t xml:space="preserve">first to adopt the Greek form (aipernos) of the family name</w:t></w:r>
</w:p>
<w:p>
<w:pPr><w:pStyle w:val="Normal"/></w:pPr>
<w:r><w:t xml:space="preserve">Hugk or Huck, and a leading theologian and controversialist</w:t></w:r>
</w:p>
<w:p>
<w:pPr><w:pStyle w:val="Normal"/></w:pPr>
<w:r><w:t xml:space="preserve">at the time of the Reformation.  After studying medicine for</w:t></w:r>
</w:p>
<w:p>
<w:pPr><w:pStyle w:val="Normal"/></w:pPr>
<w:r><w:t xml:space="preserve">a time, Franz Aepinus devoted himself to the physical and</w:t></w:r>
</w:p>
<w:p>
<w:pPr><w:pStyle w:val="Normal"/></w:pPr>
<w:r><w:t xml:space="preserve">mathematical sciences, in which he soon gained such distinction</w:t></w:r>
</w:p>
<w:p>
<w:pPr><w:pStyle w:val="Normal"/></w:pPr>
<w:r><w:t xml:space="preserve">that he was admitted a member of the Berlin academy of</w:t></w:r>
</w:p>
<w:p>
<w:pPr><w:pStyle w:val="Normal"/></w:pPr>
<w:r><w:t xml:space="preserve">sciences.  In 1757 he settled in St Petersburg as member of</w:t></w:r>
</w:p>
<w:p>
<w:pPr><w:pStyle w:val="Normal"/></w:pPr>
<w:r><w:t xml:space="preserve">the imperial academy of sciences and professor of physics, and</w:t></w:r>
</w:p>
<w:p>
<w:pPr><w:pStyle w:val="Normal"/></w:pPr>
<w:r><w:t xml:space="preserve">remained there till his retirement in 1798.  The rest of his</w:t></w:r>
</w:p>
<w:p>
<w:pPr><w:pStyle w:val="Normal"/></w:pPr>
<w:r><w:t xml:space="preserve">life was spent at Dorpat, where he died on the 10th of August</w:t></w:r>
</w:p>
<w:p>
<w:pPr><w:pStyle w:val="Normal"/></w:pPr>
<w:r><w:t xml:space="preserve">1802.  He enjoyed the special favour of the empress Catherine</w:t></w:r>
</w:p>
<w:p>
<w:pPr><w:pStyle w:val="Normal"/></w:pPr>
<w:r><w:t xml:space="preserve">II., who appointed him tutor to her son Paul, and endeavoured,</w:t></w:r>
</w:p>
<w:p>
<w:pPr><w:pStyle w:val="Normal"/></w:pPr>
<w:r><w:t xml:space="preserve">without success, to establish normal schools throughout the</w:t></w:r>
</w:p>
<w:p>
<w:pPr><w:pStyle w:val="Normal"/></w:pPr>
<w:r><w:t xml:space="preserve">empire under his direction.  Aepinus is best known by his</w:t></w:r>
</w:p>
<w:p>
<w:pPr><w:pStyle w:val="Normal"/></w:pPr>
<w:r><w:t xml:space="preserve">researches, theoretical and experimental, in electricity</w:t></w:r>
</w:p>
<w:p>
<w:pPr><w:pStyle w:val="Normal"/></w:pPr>
<w:r><w:t xml:space="preserve">and magnetism, and his principal work, Tentamen Theoriae</w:t></w:r>
</w:p>
<w:p>
<w:pPr><w:pStyle w:val="Normal"/></w:pPr>
<w:r><w:t xml:space="preserve">Electricitatis et Magnetismi, published at St Petersburg in</w:t></w:r>
</w:p>
<w:p>
<w:pPr><w:pStyle w:val="Normal"/></w:pPr>
<w:r><w:t xml:space="preserve">1759, was the first systematic and successful attempt to apply</w:t></w:r>
</w:p>
<w:p>
<w:pPr><w:pStyle w:val="Normal"/></w:pPr>
<w:r><w:t xml:space="preserve">mathematical reasoning to these subjects.  He also published a</w:t></w:r>
</w:p>
<w:p>
<w:pPr><w:pStyle w:val="Normal"/></w:pPr>
<w:r><w:t xml:space="preserve">treatise, in 176I, De distributione caloris per tellurem,</w:t></w:r>
</w:p>
<w:p>
<w:pPr><w:pStyle w:val="Normal"/></w:pPr>
<w:r><w:t xml:space="preserve">and he was the author of memoirs on different subjects in</w:t></w:r>
</w:p>
<w:p>
<w:pPr><w:pStyle w:val="Normal"/></w:pPr>
<w:r><w:t xml:space="preserve">astronomy, mechanics, optics and pure mathematics, contained</w:t></w:r>
</w:p>
<w:p>
<w:pPr><w:pStyle w:val="Normal"/></w:pPr>
<w:r><w:t xml:space="preserve">in the journals of the learned societies of St Petersburg and</w:t></w:r>
</w:p>
<w:p>
<w:pPr><w:pStyle w:val="Normal"/></w:pPr>
<w:r><w:t xml:space="preserve">Berlin.  His discussion of the effects of parallax in</w:t></w:r>
</w:p>
<w:p>
<w:pPr><w:pStyle w:val="Normal"/></w:pPr>
<w:r><w:t xml:space="preserve">the transit of a planet over the sun&apos;s disc excited great</w:t></w:r>
</w:p>
<w:p>
<w:pPr><w:pStyle w:val="Normal"/></w:pPr>
<w:r><w:t xml:space="preserve">interest, having appeared (in 1764) between the dates of the</w:t></w:r>
</w:p>
<w:p>
<w:pPr><w:pStyle w:val="Normal"/></w:pPr>
<w:r><w:t xml:space="preserve">two transits of Venus that took place in the 18th century.</w:t></w:r>
</w:p>
<w:p>
<w:pPr><w:pStyle w:val="Normal"/></w:pPr>
<w:r><w:t xml:space="preserve">AEQUI, an ancient people of Italy, whose name occurs</w:t></w:r>
</w:p>
<w:p>
<w:pPr><w:pStyle w:val="Normal"/></w:pPr>
<w:r><w:t xml:space="preserve">constantly in Livy,s first decade as hostile to Rome in the</w:t></w:r>
</w:p>
<w:p>
<w:pPr><w:pStyle w:val="Normal"/></w:pPr>
<w:r><w:t xml:space="preserve">first three Centuries of the city&apos;s existence.  They occupied</w:t></w:r>
</w:p>
<w:p>
<w:pPr><w:pStyle w:val="Normal"/></w:pPr>
<w:r><w:t xml:space="preserve">the upper reaches of the valleys of the Anio, Tolenus and</w:t></w:r>
</w:p>
<w:p>
<w:pPr><w:pStyle w:val="Normal"/></w:pPr>
<w:r><w:t xml:space="preserve">Himella; the last two being mountain streams runing northward</w:t></w:r>
</w:p>
<w:p>
<w:pPr><w:pStyle w:val="Normal"/></w:pPr>
<w:r><w:t xml:space="preserve">to join the Nar. Their chief centre is said to have been</w:t></w:r>
</w:p>
<w:p>
<w:pPr><w:pStyle w:val="Normal"/></w:pPr>
<w:r><w:t xml:space="preserve">taken by the Romans about 484 B.C. (Diodorus xi. 40) and</w:t></w:r>
</w:p>
<w:p>
<w:pPr><w:pStyle w:val="Normal"/></w:pPr>
<w:r><w:t xml:space="preserve">again about ninety years later (id. xiv. 106), but they</w:t></w:r>
</w:p>
<w:p>
<w:pPr><w:pStyle w:val="Normal"/></w:pPr>
<w:r><w:t xml:space="preserve">were not finally subdued Until the end of the second Samnite</w:t></w:r>
</w:p>
<w:p>
<w:pPr><w:pStyle w:val="Normal"/></w:pPr>
<w:r><w:t xml:space="preserve">war (Livy ix. 45,; x. 1; Diod. xx. 101), when they seem to</w:t></w:r>
</w:p>
<w:p>
<w:pPr><w:pStyle w:val="Normal"/></w:pPr>
<w:r><w:t xml:space="preserve">have received a limited form of franchise (Cic. Off. i.</w:t></w:r>
</w:p>
<w:p>
<w:pPr><w:pStyle w:val="Normal"/></w:pPr>
<w:r><w:t xml:space="preserve">II, 35). All we know of their subsequent political condition</w:t></w:r>
</w:p>
<w:p>
<w:pPr><w:pStyle w:val="Normal"/></w:pPr>
<w:r><w:t xml:space="preserve">is that after the Social war the folk of Cliternia and Nersae</w:t></w:r>
</w:p>
<w:p>
<w:pPr><w:pStyle w:val="Normal"/></w:pPr>
<w:r><w:t xml:space="preserve">appear united in a res Publica Aequiculorum, which was a</w:t></w:r>
</w:p>
<w:p>
<w:pPr><w:pStyle w:val="Normal"/></w:pPr>
<w:r><w:t xml:space="preserve">municipium of the ordinary type (C.I.L. ix. p. 388).  The</w:t></w:r>
</w:p>
<w:p>
<w:pPr><w:pStyle w:val="Normal"/></w:pPr>
<w:r><w:t xml:space="preserve">Latin colonies of Alba Fucens (304 B.C.) and Carsioll (298</w:t></w:r>
</w:p>
<w:p>
<w:pPr><w:pStyle w:val="Normal"/></w:pPr>
<w:r><w:t xml:space="preserve">B.C.) must have spread the use of Latin (or what passed as</w:t></w:r>
</w:p>
<w:p>
<w:pPr><w:pStyle w:val="Normal"/></w:pPr>
<w:r><w:t xml:space="preserve">such) all over the district; through it by the chief (and for</w:t></w:r>
</w:p>
<w:p>
<w:pPr><w:pStyle w:val="Normal"/></w:pPr>
<w:r><w:t xml:space="preserve">some time the only) route (Pia Valeria) to Luceria and the</w:t></w:r>
</w:p>
<w:p>
<w:pPr><w:pStyle w:val="Normal"/></w:pPr>
<w:r><w:t xml:space="preserve">south.  Of the language spoken by the Aequi before the Roman</w:t></w:r>
</w:p>
<w:p>
<w:pPr><w:pStyle w:val="Normal"/></w:pPr>
<w:r><w:t xml:space="preserve">conquest we have no record; but since the Marsi (q.v.), who</w:t></w:r>
</w:p>
<w:p>
<w:pPr><w:pStyle w:val="Normal"/></w:pPr>
<w:r><w:t xml:space="preserve">lived farther east, spoke in the 3rd century B.C. a dialect</w:t></w:r>
</w:p>
<w:p>
<w:pPr><w:pStyle w:val="Normal"/></w:pPr>
<w:r><w:t xml:space="preserve">closely akin to Latin, and since the Hernici (q.v.), their</w:t></w:r>
</w:p>
<w:p>
<w:pPr><w:pStyle w:val="Normal"/></w:pPr>
<w:r><w:t xml:space="preserve">neighbours to the south-west, did the same, we have no ground</w:t></w:r>
</w:p>
<w:p>
<w:pPr><w:pStyle w:val="Normal"/></w:pPr>
<w:r><w:t xml:space="preserve">for separating any of these tribes from the Latian group</w:t></w:r>
</w:p>
<w:p>
<w:pPr><w:pStyle w:val="Normal"/></w:pPr>
<w:r><w:t xml:space="preserve">(see LATINI). If we could be certain of the origin of the</w:t></w:r>
</w:p>
<w:p>
<w:pPr><w:pStyle w:val="Normal"/></w:pPr>
<w:r><w:t xml:space="preserve">a in their name and of the relation between its shorter</w:t></w:r>
</w:p>
<w:p>
<w:pPr><w:pStyle w:val="Normal"/></w:pPr>
<w:r><w:t xml:space="preserve">and its longer form (note that the i in Aequicidus is</w:t></w:r>
</w:p>
<w:p>
<w:pPr><w:pStyle w:val="Normal"/></w:pPr>
<w:r><w:t xml:space="preserve">long--Virgil, Aen. vii. 74----which seems to connect it</w:t></w:r>
</w:p>
<w:p>
<w:pPr><w:pStyle w:val="Normal"/></w:pPr>
<w:r><w:t xml:space="preserve">with the locative of aequum ``a plain,&apos;&apos; so that it would</w:t></w:r>
</w:p>
<w:p>
<w:pPr><w:pStyle w:val="Normal"/></w:pPr>
<w:r><w:t xml:space="preserve">mean ``dwellers in the plain&apos;&apos;; but in the historical period</w:t></w:r>
</w:p>
<w:p>
<w:pPr><w:pStyle w:val="Normal"/></w:pPr>
<w:r><w:t xml:space="preserve">they certainly lived mainly in the hills), we should know</w:t></w:r>
</w:p>
<w:p>
<w:pPr><w:pStyle w:val="Normal"/></w:pPr>
<w:r><w:t xml:space="preserve">whether they were to be grouped with the q or the p</w:t></w:r>
</w:p>
<w:p>
<w:pPr><w:pStyle w:val="Normal"/></w:pPr>
<w:r><w:t xml:space="preserve">dialects, that is to say, with Latin on the one hand, which</w:t></w:r>
</w:p>
<w:p>
<w:pPr><w:pStyle w:val="Normal"/></w:pPr>
<w:r><w:t xml:space="preserve">preserved an original q, or with the dialect of Velitrae,</w:t></w:r>
</w:p>
<w:p>
<w:pPr><w:pStyle w:val="Normal"/></w:pPr>
<w:r><w:t xml:space="preserve">commonly called Volscian (and the Volsci were the constant</w:t></w:r>
</w:p>
<w:p>
<w:pPr><w:pStyle w:val="Normal"/></w:pPr>
<w:r><w:t xml:space="preserve">allies of the Aequi), on the other hand, in which, as in the</w:t></w:r>
</w:p>
<w:p>
<w:pPr><w:pStyle w:val="Normal"/></w:pPr>
<w:r><w:t xml:space="preserve">Iguvine and Samnite dialects, an original q is changed into</w:t></w:r>
</w:p>
<w:p>
<w:pPr><w:pStyle w:val="Normal"/></w:pPr>
<w:r><w:t xml:space="preserve">p. There is no decisive evidence to show whether the q</w:t></w:r>
</w:p>
<w:p>
<w:pPr><w:pStyle w:val="Normal"/></w:pPr>
<w:r><w:t xml:space="preserve">in Latin aequus represents an Indo-European q as in Latin</w:t></w:r>
</w:p>
<w:p>
<w:pPr><w:pStyle w:val="Normal"/></w:pPr>
<w:r><w:t xml:space="preserve">quis, Umbro-Volsc. pis, or an Indo-European k+u as in</w:t></w:r>
</w:p>
<w:p>
<w:pPr><w:pStyle w:val="Normal"/></w:pPr>
<w:r><w:t xml:space="preserve">equus, Umb. ekvo-.  The derivative adjective Aequicus</w:t></w:r>
</w:p>
<w:p>
<w:pPr><w:pStyle w:val="Normal"/></w:pPr>
<w:r><w:t xml:space="preserve">might be taken to range them with the Volsci rather than the</w:t></w:r>
</w:p>
<w:p>
<w:pPr><w:pStyle w:val="Normal"/></w:pPr>
<w:r><w:t xml:space="preserve">Sabini, but it is not clear that this adjective was ever used</w:t></w:r>
</w:p>
<w:p>
<w:pPr><w:pStyle w:val="Normal"/></w:pPr>
<w:r><w:t xml:space="preserve">as a real ethnicon; the name of the tribe is always Aeqai,</w:t></w:r>
</w:p>
<w:p>
<w:pPr><w:pStyle w:val="Normal"/></w:pPr>
<w:r><w:t xml:space="preserve">or Aequicoli. At the end of the Republican period the Aequi</w:t></w:r>
</w:p>
<w:p>
<w:pPr><w:pStyle w:val="Normal"/></w:pPr>
<w:r><w:t xml:space="preserve">appear, under the name Aequiculi or Aequicoh, organized as a</w:t></w:r>
</w:p>
<w:p>
<w:pPr><w:pStyle w:val="Normal"/></w:pPr>
<w:r><w:t xml:space="preserve">municipium, the territory of which seems to have comprised</w:t></w:r>
</w:p>
<w:p>
<w:pPr><w:pStyle w:val="Normal"/></w:pPr>
<w:r><w:t xml:space="preserve">the upper part of the valley of the Salto, still known as</w:t></w:r>
</w:p>
<w:p>
<w:pPr><w:pStyle w:val="Normal"/></w:pPr>
<w:r><w:t xml:space="preserve">Cicolano.  It is probable, however, that they continued to</w:t></w:r>
</w:p>
<w:p>
<w:pPr><w:pStyle w:val="Normal"/></w:pPr>
<w:r><w:t xml:space="preserve">live in their villages as before.  Of these Nersae (mod.</w:t></w:r>
</w:p>
<w:p>
<w:pPr><w:pStyle w:val="Normal"/></w:pPr>
<w:r><w:t xml:space="preserve">Nesce) was the most considerable.  The polygonal terrace</w:t></w:r>
</w:p>
<w:p>
<w:pPr><w:pStyle w:val="Normal"/></w:pPr>
<w:r><w:t xml:space="preserve">walls, which exist in considerable numbers in the district,</w:t></w:r>
</w:p>
<w:p>
<w:pPr><w:pStyle w:val="Normal"/></w:pPr>
<w:r><w:t xml:space="preserve">are shortly described in Romische Mitteilungen (1903), 147</w:t></w:r>
</w:p>
<w:p>
<w:pPr><w:pStyle w:val="Normal"/></w:pPr>
<w:r><w:t xml:space="preserve">seq., but require further study.  See further the articles</w:t></w:r>
</w:p>
<w:p>
<w:pPr><w:pStyle w:val="Normal"/></w:pPr>
<w:r><w:t xml:space="preserve">MARSI, VOLSCI, LATINI, and the references there given; the</w:t></w:r>
</w:p>
<w:p>
<w:pPr><w:pStyle w:val="Normal"/></w:pPr>
<w:r><w:t xml:space="preserve">place-names and other scanty records of the dialect are collected</w:t></w:r>
</w:p>
<w:p>
<w:pPr><w:pStyle w:val="Normal"/></w:pPr>
<w:r><w:t xml:space="preserve">by R. S. Conway. The Italic Dialects, pp. 300 ff. (R. S. C.)</w:t></w:r>
</w:p>
<w:p>
<w:pPr><w:pStyle w:val="Normal"/></w:pPr>
<w:r><w:t xml:space="preserve">AERARII (from Lat. aes, in its subsidiary sense of</w:t></w:r>
</w:p>
<w:p>
<w:pPr><w:pStyle w:val="Normal"/></w:pPr>
<w:r><w:t xml:space="preserve">``polltax&apos;&apos;), originally a class of Roman citizens not included</w:t></w:r>
</w:p>
<w:p>
<w:pPr><w:pStyle w:val="Normal"/></w:pPr>
<w:r><w:t xml:space="preserve">in the thirty tribes of Servius Tullius, and subject to a</w:t></w:r>
</w:p>
<w:p>
<w:pPr><w:pStyle w:val="Normal"/></w:pPr>
<w:r><w:t xml:space="preserve">poll-tax arbitrarily fixed by the censor.  They were (1)</w:t></w:r>
</w:p>
<w:p>
<w:pPr><w:pStyle w:val="Normal"/></w:pPr>
<w:r><w:t xml:space="preserve">the inhabitants of conquered towns which had been deprived</w:t></w:r>
</w:p>
<w:p>
<w:pPr><w:pStyle w:val="Normal"/></w:pPr>
<w:r><w:t xml:space="preserve">of local self-government, who possessed the jus eonubii</w:t></w:r>
</w:p>
<w:p>
<w:pPr><w:pStyle w:val="Normal"/></w:pPr>
<w:r><w:t xml:space="preserve">and ius commercii, but no political rights; Caere is said</w:t></w:r>
</w:p>
<w:p>
<w:pPr><w:pStyle w:val="Normal"/></w:pPr>
<w:r><w:t xml:space="preserve">to have been the first example of this (353 B.C.); hence</w:t></w:r>
</w:p>
<w:p>
<w:pPr><w:pStyle w:val="Normal"/></w:pPr>
<w:r><w:t xml:space="preserve">the expression ``in tabulas Caeritum referre&apos;&apos; came to mean</w:t></w:r>
</w:p>
<w:p>
<w:pPr><w:pStyle w:val="Normal"/></w:pPr>
<w:r><w:t xml:space="preserve">``to degrade to the status of an aerarius&apos;&apos;: (2) full</w:t></w:r>
</w:p>
<w:p>
<w:pPr><w:pStyle w:val="Normal"/></w:pPr>
<w:r><w:t xml:space="preserve">citizens subjected to civil degradation (infamia) as the</w:t></w:r>
</w:p>
<w:p>
<w:pPr><w:pStyle w:val="Normal"/></w:pPr>
<w:r><w:t xml:space="preserve">result of following certain professions (e.g. acting),</w:t></w:r>
</w:p>
<w:p>
<w:pPr><w:pStyle w:val="Normal"/></w:pPr>
<w:r><w:t xml:space="preserve">of dishonourable acts in private life (e.g. bigamy) or of</w:t></w:r>
</w:p>
<w:p>
<w:pPr><w:pStyle w:val="Normal"/></w:pPr>
<w:r><w:t xml:space="preserve">conviction for certain crimes; (3) persons branded by the</w:t></w:r>
</w:p>
<w:p>
<w:pPr><w:pStyle w:val="Normal"/></w:pPr>
<w:r><w:t xml:space="preserve">censor.  Those who were thus excluded from the tribes and</w:t></w:r>
</w:p>
<w:p>
<w:pPr><w:pStyle w:val="Normal"/></w:pPr>
<w:r><w:t xml:space="preserve">centuries had no vote, were incapable of filling Roman</w:t></w:r>
</w:p>
<w:p>
<w:pPr><w:pStyle w:val="Normal"/></w:pPr>
<w:r><w:t xml:space="preserve">magistracies and could not serve in the army.  According to</w:t></w:r>
</w:p>
<w:p>
<w:pPr><w:pStyle w:val="Normal"/></w:pPr>
<w:r><w:t xml:space="preserve">Mommsen, the aerarii were originally the non-assidui</w:t></w:r>
</w:p>
<w:p>
<w:pPr><w:pStyle w:val="Normal"/></w:pPr>
<w:r><w:t xml:space="preserve">(non-holders of land), excluded from the tribes, the comitia</w:t></w:r>
</w:p>
<w:p>
<w:pPr><w:pStyle w:val="Normal"/></w:pPr>
<w:r><w:t xml:space="preserve">and the army.  By a reform of the censor Appius Claudius</w:t></w:r>
</w:p>
<w:p>
<w:pPr><w:pStyle w:val="Normal"/></w:pPr>
<w:r><w:t xml:space="preserve">in 312 B.C. these non-assidui were admitted into the</w:t></w:r>
</w:p>
<w:p>
<w:pPr><w:pStyle w:val="Normal"/></w:pPr>
<w:r><w:t xml:space="preserve">tribes, and the aerarii as such disappeared.  But in 304,</w:t></w:r>
</w:p>
<w:p>
<w:pPr><w:pStyle w:val="Normal"/></w:pPr>
<w:r><w:t xml:space="preserve">Fabius Rullianus limited them to the four city tribes, and</w:t></w:r>
</w:p>
<w:p>
<w:pPr><w:pStyle w:val="Normal"/></w:pPr>
<w:r><w:t xml:space="preserve">from that time the term meant a man degraded from a higher</w:t></w:r>
</w:p>
<w:p>
<w:pPr><w:pStyle w:val="Normal"/></w:pPr>
<w:r><w:t xml:space="preserve">(country) to a lower (city) tribe, but not deprived of the</w:t></w:r>
</w:p>
<w:p>
<w:pPr><w:pStyle w:val="Normal"/></w:pPr>
<w:r><w:t xml:space="preserve">right of voting or of serving in the army.  The expressions</w:t></w:r>
</w:p>
<w:p>
<w:pPr><w:pStyle w:val="Normal"/></w:pPr>
<w:r><w:t xml:space="preserve">``tribu movere&apos;&apos; and ``aerarium facere,&apos;: regarded by Mommsen</w:t></w:r>
</w:p>
<w:p>
<w:pPr><w:pStyle w:val="Normal"/></w:pPr>
<w:r><w:t xml:space="preserve">as identical in meaning (``to degrade from a higher tribe</w:t></w:r>
</w:p>
<w:p>
<w:pPr><w:pStyle w:val="Normal"/></w:pPr>
<w:r><w:t xml:space="preserve">to a lower,&apos;), are explained by A. H. J. Greenidge---the</w:t></w:r>
</w:p>
<w:p>
<w:pPr><w:pStyle w:val="Normal"/></w:pPr>
<w:r><w:t xml:space="preserve">first as relegation from a higher to a lower tribe or total</w:t></w:r>
</w:p>
<w:p>
<w:pPr><w:pStyle w:val="Normal"/></w:pPr>
<w:r><w:t xml:space="preserve">exclusion from the tribes, the second as exclusion from the</w:t></w:r>
</w:p>
<w:p>
<w:pPr><w:pStyle w:val="Normal"/></w:pPr>
<w:r><w:t xml:space="preserve">centuries.  Other views of the original aerarii are that they</w:t></w:r>
</w:p>
<w:p>
<w:pPr><w:pStyle w:val="Normal"/></w:pPr>
<w:r><w:t xml:space="preserve">were--artisans and freedmen (Niebuhr); inhabitants of towns</w:t></w:r>
</w:p>
<w:p>
<w:pPr><w:pStyle w:val="Normal"/></w:pPr>
<w:r><w:t xml:space="preserve">united with Rome by a hospitium publicum, who had become</w:t></w:r>
</w:p>
<w:p>
<w:pPr><w:pStyle w:val="Normal"/></w:pPr>
<w:r><w:t xml:space="preserve">domiciled on Roman territory (Lange); only a class of degraded</w:t></w:r>
</w:p>
<w:p>
<w:pPr><w:pStyle w:val="Normal"/></w:pPr>
<w:r><w:t xml:space="preserve">citizens, including neither the cives sine suffragio nor</w:t></w:r>
</w:p>
<w:p>
<w:pPr><w:pStyle w:val="Normal"/></w:pPr>
<w:r><w:t xml:space="preserve">the artisans (Madvig); identical with the capite censi of</w:t></w:r>
</w:p>
<w:p>
<w:pPr><w:pStyle w:val="Normal"/></w:pPr>
<w:r><w:t xml:space="preserve">the Servian constitution (Belot, Greenidge).  See A. H. J.</w:t></w:r>
</w:p>
<w:p>
<w:pPr><w:pStyle w:val="Normal"/></w:pPr>
<w:r><w:t xml:space="preserve">Greenidge, Infamia in Roman Law (1894), where Mommsen&apos;s theory</w:t></w:r>
</w:p>
<w:p>
<w:pPr><w:pStyle w:val="Normal"/></w:pPr>
<w:r><w:t xml:space="preserve">is criticized; E. Belot, Histoire des chevaliers romains,</w:t></w:r>
</w:p>
<w:p>
<w:pPr><w:pStyle w:val="Normal"/></w:pPr>
<w:r><w:t xml:space="preserve">i. p. 200 (Paris, 1866); L. Pardon, De Aerariis (Berlin,</w:t></w:r>
</w:p>
<w:p>
<w:pPr><w:pStyle w:val="Normal"/></w:pPr>
<w:r><w:t xml:space="preserve">1853); P. Willems, Le Droit public romain (1883); A. S.</w:t></w:r>
</w:p>
<w:p>
<w:pPr><w:pStyle w:val="Normal"/></w:pPr>
<w:r><w:t xml:space="preserve">Wilkins in Smith&apos;s Dict. of Greek and Roman Antiquities</w:t></w:r>
</w:p>
<w:p>
<w:pPr><w:pStyle w:val="Normal"/></w:pPr>
<w:r><w:t xml:space="preserve">(3rd ed., 189I); and the usual handbooks of antiquities.</w:t></w:r>
</w:p>
<w:p>
<w:pPr><w:pStyle w:val="Normal"/></w:pPr>
<w:r><w:t xml:space="preserve">AERARIUM (from Lat. aes, in its derived sense of ``money&apos;&apos;)</w:t></w:r>
</w:p>
<w:p>
<w:pPr><w:pStyle w:val="Normal"/></w:pPr>
<w:r><w:t xml:space="preserve">the name (in full, aerarium stabulum, treasure-house) given</w:t></w:r>
</w:p>
<w:p>
<w:pPr><w:pStyle w:val="Normal"/></w:pPr>
<w:r><w:t xml:space="preserve">in ancient Rome to the public treasury, and in a secondary</w:t></w:r>
</w:p>
<w:p>
<w:pPr><w:pStyle w:val="Normal"/></w:pPr>
<w:r><w:t xml:space="preserve">sense to the public finances.  The treasury contained the</w:t></w:r>
</w:p>
<w:p>
<w:pPr><w:pStyle w:val="Normal"/></w:pPr>
<w:r><w:t xml:space="preserve">moneys and accounts of the state, and also the standards of</w:t></w:r>
</w:p>
<w:p>
<w:pPr><w:pStyle w:val="Normal"/></w:pPr>
<w:r><w:t xml:space="preserve">the legions; the public laws engraved on brass, the decrees</w:t></w:r>
</w:p>
<w:p>
<w:pPr><w:pStyle w:val="Normal"/></w:pPr>
<w:r><w:t xml:space="preserve">of the senate and other papers and registers of importance.</w:t></w:r>
</w:p>
<w:p>
<w:pPr><w:pStyle w:val="Normal"/></w:pPr>
<w:r><w:t xml:space="preserve">These public treasures were deposited in the temple of</w:t></w:r>
</w:p>
<w:p>
<w:pPr><w:pStyle w:val="Normal"/></w:pPr>
<w:r><w:t xml:space="preserve">Saturn, on the eastern slope of the Capitoline hill, and,</w:t></w:r>
</w:p>
<w:p>
<w:pPr><w:pStyle w:val="Normal"/></w:pPr>
<w:r><w:t xml:space="preserve">during the republic, were in charge of the urban quaeators</w:t></w:r>
</w:p>
<w:p>
<w:pPr><w:pStyle w:val="Normal"/></w:pPr>
<w:r><w:t xml:space="preserve">(see QUAESTOR), under the superintendence and control of the</w:t></w:r>
</w:p>
<w:p>
<w:pPr><w:pStyle w:val="Normal"/></w:pPr>
<w:r><w:t xml:space="preserve">senate.  This arrangement continued (except for the year 45</w:t></w:r>
</w:p>
<w:p>
<w:pPr><w:pStyle w:val="Normal"/></w:pPr>
<w:r><w:t xml:space="preserve">B.C., when no quaestors were chosen) until 28 B.C., when</w:t></w:r>
</w:p>
<w:p>
<w:pPr><w:pStyle w:val="Normal"/></w:pPr>
<w:r><w:t xml:space="preserve">Augustus transferred the aerarium to two praojecti aerarii,</w:t></w:r>
</w:p>
<w:p>
<w:pPr><w:pStyle w:val="Normal"/></w:pPr>
<w:r><w:t xml:space="preserve">chosen annually by the senate from ex-praetors; in 23 these</w:t></w:r>
</w:p>
<w:p>
<w:pPr><w:pStyle w:val="Normal"/></w:pPr>
<w:r><w:t xml:space="preserve">were replaced by two praetors (praetores aerarii or ad</w:t></w:r>
</w:p>
<w:p>
<w:pPr><w:pStyle w:val="Normal"/></w:pPr>
<w:r><w:t xml:space="preserve">aerarium), selected by lot during their term of office;</w:t></w:r>
</w:p>
<w:p>
<w:pPr><w:pStyle w:val="Normal"/></w:pPr>
<w:r><w:t xml:space="preserve">Claudius in A.D. 44 restored the quaestors, but nominated by</w:t></w:r>
</w:p>
<w:p>
<w:pPr><w:pStyle w:val="Normal"/></w:pPr>
<w:r><w:t xml:space="preserve">the emperor for three years, for whom Nero in 56 substituted</w:t></w:r>
</w:p>
<w:p>
<w:pPr><w:pStyle w:val="Normal"/></w:pPr>
<w:r><w:t xml:space="preserve">two ex-praetors, under the same conditions.  In addition</w:t></w:r>
</w:p>
<w:p>
<w:pPr><w:pStyle w:val="Normal"/></w:pPr>
<w:r><w:t xml:space="preserve">to the common treasury, supported by the general taxes and</w:t></w:r>
</w:p>
<w:p>
<w:pPr><w:pStyle w:val="Normal"/></w:pPr>
<w:r><w:t xml:space="preserve">charged with the ordinary expenditure, there was a special</w:t></w:r>
</w:p>
<w:p>
<w:pPr><w:pStyle w:val="Normal"/></w:pPr>
<w:r><w:t xml:space="preserve">reserve fund, also in the temple of Saturn, the aerarium</w:t></w:r>
</w:p>
<w:p>
<w:pPr><w:pStyle w:val="Normal"/></w:pPr>
<w:r><w:t xml:space="preserve">sanctum (or sanctius), probably originally consisting of</w:t></w:r>
</w:p>
<w:p>
<w:pPr><w:pStyle w:val="Normal"/></w:pPr>
<w:r><w:t xml:space="preserve">the spoils of war, afterwards maintained chiefly by a 5% tax</w:t></w:r>
</w:p>
<w:p>
<w:pPr><w:pStyle w:val="Normal"/></w:pPr>
<w:r><w:t xml:space="preserve">on the value of all manumitted slaves, this source of revenue</w:t></w:r>
</w:p>
<w:p>
<w:pPr><w:pStyle w:val="Normal"/></w:pPr>
<w:r><w:t xml:space="preserve">being established by a lex Manlia in 357. This fund was not</w:t></w:r>
</w:p>
<w:p>
<w:pPr><w:pStyle w:val="Normal"/></w:pPr>
<w:r><w:t xml:space="preserve">to be touched except in cases of extreme necessity (Livy vii.</w:t></w:r>
</w:p>
<w:p>
<w:pPr><w:pStyle w:val="Normal"/></w:pPr>
<w:r><w:t xml:space="preserve">16, xxvii. 10). Under the emperors the senate continued to</w:t></w:r>
</w:p>
<w:p>
<w:pPr><w:pStyle w:val="Normal"/></w:pPr>
<w:r><w:t xml:space="preserve">have at least the nominal management of the aerarium, while</w:t></w:r>
</w:p>
<w:p>
<w:pPr><w:pStyle w:val="Normal"/></w:pPr>
<w:r><w:t xml:space="preserve">the emperor had a separate exchequer, called fiseus. But</w:t></w:r>
</w:p>
<w:p>
<w:pPr><w:pStyle w:val="Normal"/></w:pPr>
<w:r><w:t xml:space="preserve">after a time, as the power of the emperors increased and</w:t></w:r>
</w:p>
<w:p>
<w:pPr><w:pStyle w:val="Normal"/></w:pPr>
<w:r><w:t xml:space="preserve">their jurisdiction extended till the senate existed only in</w:t></w:r>
</w:p>
<w:p>
<w:pPr><w:pStyle w:val="Normal"/></w:pPr>
<w:r><w:t xml:space="preserve">form and name, this distinction virtually ceased.  Besides</w:t></w:r>
</w:p>
<w:p>
<w:pPr><w:pStyle w:val="Normal"/></w:pPr>
<w:r><w:t xml:space="preserve">creating the fiscus, Augustus also established in A.D.</w:t></w:r>
</w:p>
<w:p>
<w:pPr><w:pStyle w:val="Normal"/></w:pPr>
<w:r><w:t xml:space="preserve">6 a military treasury (aerarium militare), containing all</w:t></w:r>
</w:p>
<w:p>
<w:pPr><w:pStyle w:val="Normal"/></w:pPr>
<w:r><w:t xml:space="preserve">moneys raised for and appropriated to the maintenance of the</w:t></w:r>
</w:p>
<w:p>
<w:pPr><w:pStyle w:val="Normal"/></w:pPr>
<w:r><w:t xml:space="preserve">army, including a pension fund for disabled soldiers.  It.was</w:t></w:r>
</w:p>
<w:p>
<w:pPr><w:pStyle w:val="Normal"/></w:pPr>
<w:r><w:t xml:space="preserve">largely endowed by the emperor himself (see Monumentum</w:t></w:r>
</w:p>
<w:p>
<w:pPr><w:pStyle w:val="Normal"/></w:pPr>
<w:r><w:t xml:space="preserve">Ancyranum, iii. 35) and supported by the proceeds of the tax</w:t></w:r>
</w:p>
<w:p>
<w:pPr><w:pStyle w:val="Normal"/></w:pPr>
<w:r><w:t xml:space="preserve">on public sales and the succession duty.  Its administration</w:t></w:r>
</w:p>
<w:p>
<w:pPr><w:pStyle w:val="Normal"/></w:pPr>
<w:r><w:t xml:space="preserve">was in the hands of three praefecti aerarii militaris, at</w:t></w:r>
</w:p>
<w:p>
<w:pPr><w:pStyle w:val="Normal"/></w:pPr>
<w:r><w:t xml:space="preserve">first appointed by lot, but afterwards by the emperor, from</w:t></w:r>
</w:p>
<w:p>
<w:pPr><w:pStyle w:val="Normal"/></w:pPr>
<w:r><w:t xml:space="preserve">senators of praetorian rank, for three years.  The later</w:t></w:r>
</w:p>
<w:p>
<w:pPr><w:pStyle w:val="Normal"/></w:pPr>
<w:r><w:t xml:space="preserve">emperors had a separate aerarium privatum, containing</w:t></w:r>
</w:p>
<w:p>
<w:pPr><w:pStyle w:val="Normal"/></w:pPr>
<w:r><w:t xml:space="preserve">the moneys allotted for their own use, distinct from the</w:t></w:r>
</w:p>
<w:p>
<w:pPr><w:pStyle w:val="Normal"/></w:pPr>
<w:r><w:t xml:space="preserve">fiscus, which they administered in the interests of the empire.</w:t></w:r>
</w:p>
<w:p>
<w:pPr><w:pStyle w:val="Normal"/></w:pPr>
<w:r><w:t xml:space="preserve">The tribuni aerarii have been the subject of much</w:t></w:r>
</w:p>
<w:p>
<w:pPr><w:pStyle w:val="Normal"/></w:pPr>
<w:r><w:t xml:space="preserve">discussion.  They are supposed by some to be identical with</w:t></w:r>
</w:p>
<w:p>
<w:pPr><w:pStyle w:val="Normal"/></w:pPr>
<w:r><w:t xml:space="preserve">the curatores tribuum, and to have been the officials</w:t></w:r>
</w:p>
<w:p>
<w:pPr><w:pStyle w:val="Normal"/></w:pPr>
<w:r><w:t xml:space="preserve">who, under the Servian organization, levied the war-tax</w:t></w:r>
</w:p>
<w:p>
<w:pPr><w:pStyle w:val="Normal"/></w:pPr>
<w:r><w:t xml:space="preserve">(tributum) in the tribes and the poil-tax on the aerarii</w:t></w:r>
</w:p>
<w:p>
<w:pPr><w:pStyle w:val="Normal"/></w:pPr>
<w:r><w:t xml:space="preserve">(q.v.). They also acted as paymasters of the equites and of</w:t></w:r>
</w:p>
<w:p>
<w:pPr><w:pStyle w:val="Normal"/></w:pPr>
<w:r><w:t xml:space="preserve">the soldiers on service in each tribe.  By the lex Aurella</w:t></w:r>
</w:p>
<w:p>
<w:pPr><w:pStyle w:val="Normal"/></w:pPr>
<w:r><w:t xml:space="preserve">(70 B.C.) the list of judices was composed, in addition</w:t></w:r>
</w:p>
<w:p>
<w:pPr><w:pStyle w:val="Normal"/></w:pPr>
<w:r><w:t xml:space="preserve">to senators and equites, of tribuni aerarii. Whether these</w:t></w:r>
</w:p>
<w:p>
<w:pPr><w:pStyle w:val="Normal"/></w:pPr>
<w:r><w:t xml:space="preserve">were the successors of the above, or a new order closely</w:t></w:r>
</w:p>
<w:p>
<w:pPr><w:pStyle w:val="Normal"/></w:pPr>
<w:r><w:t xml:space="preserve">connected with the equites, or even the same as the latter, is</w:t></w:r>
</w:p>
<w:p>
<w:pPr><w:pStyle w:val="Normal"/></w:pPr>
<w:r><w:t xml:space="preserve">uncertain.  According to Mommsen, they were persons who</w:t></w:r>
</w:p>
<w:p>
<w:pPr><w:pStyle w:val="Normal"/></w:pPr>
<w:r><w:t xml:space="preserve">possessed the equestrian census, but no public horse.  They</w:t></w:r>
</w:p>
<w:p>
<w:pPr><w:pStyle w:val="Normal"/></w:pPr>
<w:r><w:t xml:space="preserve">were removed from the list of judices by Caesar, but replaced by</w:t></w:r>
</w:p>
<w:p>
<w:pPr><w:pStyle w:val="Normal"/></w:pPr>
<w:r><w:t xml:space="preserve">Augustus.  According to Madvig, the original tribuni aerarii</w:t></w:r>
</w:p>
<w:p>
<w:pPr><w:pStyle w:val="Normal"/></w:pPr>
<w:r><w:t xml:space="preserve">were not officials at all, but private individuals of considerable</w:t></w:r>
</w:p>
<w:p>
<w:pPr><w:pStyle w:val="Normal"/></w:pPr>
<w:r><w:t xml:space="preserve">means, quite distinct from the curatores tribuuin, who</w:t></w:r>
</w:p>
<w:p>
<w:pPr><w:pStyle w:val="Normal"/></w:pPr>
<w:r><w:t xml:space="preserve">undertook certain financial work connected with their own</w:t></w:r>
</w:p>
<w:p>
<w:pPr><w:pStyle w:val="Normal"/></w:pPr>
<w:r><w:t xml:space="preserve">tribes.  Then, as in the case of the equites, the term was</w:t></w:r>
</w:p>
<w:p>
<w:pPr><w:pStyle w:val="Normal"/></w:pPr>
<w:r><w:t xml:space="preserve">subsequently extended to include all those who possessed the</w:t></w:r>
</w:p>
<w:p>
<w:pPr><w:pStyle w:val="Normal"/></w:pPr>
<w:r><w:t xml:space="preserve">property qualification that would have entitled them to serve</w:t></w:r>
</w:p>
<w:p>
<w:pPr><w:pStyle w:val="Normal"/></w:pPr>
<w:r><w:t xml:space="preserve">as tribuni aerarii. See Tacitus, Annals, xiii. 29, with</w:t></w:r>
</w:p>
<w:p>
<w:pPr><w:pStyle w:val="Normal"/></w:pPr>
<w:r><w:t xml:space="preserve">Furneaux&apos;s notes; O. Hirschfeld, ``Das Aerarium militare in</w:t></w:r>
</w:p>
<w:p>
<w:pPr><w:pStyle w:val="Normal"/></w:pPr>
<w:r><w:t xml:space="preserve">der romischen Kaiserzeit,&apos;&apos; in Fleckeisen&apos;s Jahrbuch, vol.</w:t></w:r>
</w:p>
<w:p>
<w:pPr><w:pStyle w:val="Normal"/></w:pPr>
<w:r><w:t xml:space="preserve">xcvii. (1868); S. Herrlich, De Aerario et Fisco Romanorum</w:t></w:r>
</w:p>
<w:p>
<w:pPr><w:pStyle w:val="Normal"/></w:pPr>
<w:r><w:t xml:space="preserve">(Berlin, 1872); and the usual handbooks and dictionaries of</w:t></w:r>
</w:p>
<w:p>
<w:pPr><w:pStyle w:val="Normal"/></w:pPr>
<w:r><w:t xml:space="preserve">antiquities.  On the tribuni aerarii see E. Belot, Hist.</w:t></w:r>
</w:p>
<w:p>
<w:pPr><w:pStyle w:val="Normal"/></w:pPr>
<w:r><w:t xml:space="preserve">des chevaliers romains, ii. p. 276; J. N. Madvig, Opuscula</w:t></w:r>
</w:p>
<w:p>
<w:pPr><w:pStyle w:val="Normal"/></w:pPr>
<w:r><w:t xml:space="preserve">Academica, ii. p. 242; J. B. Mispoulet, Les Institutions</w:t></w:r>
</w:p>
<w:p>
<w:pPr><w:pStyle w:val="Normal"/></w:pPr>
<w:r><w:t xml:space="preserve">politiques des Romains (1883), ii. p. 208; Mommsen,</w:t></w:r>
</w:p>
<w:p>
<w:pPr><w:pStyle w:val="Normal"/></w:pPr>
<w:r><w:t xml:space="preserve">Romisches Staatsrecht, iii. p. 189; A. S. Wilkins in Smith&apos;s</w:t></w:r>
</w:p>
<w:p>
<w:pPr><w:pStyle w:val="Normal"/></w:pPr>
<w:r><w:t xml:space="preserve">Dictionary of Greek and Roman Antiquities (3rd ed., 1890).</w:t></w:r>
</w:p>
<w:p>
<w:pPr><w:pStyle w:val="Normal"/></w:pPr>
<w:r><w:t xml:space="preserve">AERATED WATERS. Waters charged with a larger proportion of</w:t></w:r>
</w:p>
<w:p>
<w:pPr><w:pStyle w:val="Normal"/></w:pPr>
<w:r><w:t xml:space="preserve">carbon dioxide than they will dissolve at ordinary atmospheric</w:t></w:r>
</w:p>
<w:p>
<w:pPr><w:pStyle w:val="Normal"/></w:pPr>
<w:r><w:t xml:space="preserve">pressure occur in springs in various parts of the world (see</w:t></w:r>
</w:p>
<w:p>
<w:pPr><w:pStyle w:val="Normal"/></w:pPr>
<w:r><w:t xml:space="preserve">MINERAL WATERS). Such waters, which also generally hold in</w:t></w:r>
</w:p>
<w:p>
<w:pPr><w:pStyle w:val="Normal"/></w:pPr>
<w:r><w:t xml:space="preserve">solution a considerable percentage of saline constituents,</w:t></w:r>
</w:p>
<w:p>
<w:pPr><w:pStyle w:val="Normal"/></w:pPr>
<w:r><w:t xml:space="preserve">early acquired a reputation as medicinal agents, and when</w:t></w:r>
</w:p>
<w:p>
<w:pPr><w:pStyle w:val="Normal"/></w:pPr>
<w:r><w:t xml:space="preserve">carbon dioxide (``fixed air&apos;&apos;) became familiar to chemists the</w:t></w:r>
</w:p>
<w:p>
<w:pPr><w:pStyle w:val="Normal"/></w:pPr>
<w:r><w:t xml:space="preserve">possibility was recognized, as by Joseph Priestley (Directions</w:t></w:r>
</w:p>
<w:p>
<w:pPr><w:pStyle w:val="Normal"/></w:pPr>
<w:r><w:t xml:space="preserve">for impregnating water with fixed air . . . to communicate</w:t></w:r>
</w:p>
<w:p>
<w:pPr><w:pStyle w:val="Normal"/></w:pPr>
<w:r><w:t xml:space="preserve">the peculiar Spirit and Virtues of Pyrmont water, 1772),</w:t></w:r>
</w:p>
<w:p>
<w:pPr><w:pStyle w:val="Normal"/></w:pPr>
<w:r><w:t xml:space="preserve">of imitating them artificially.  Many of the ordinary aerated</w:t></w:r>
</w:p>
<w:p>
<w:pPr><w:pStyle w:val="Normal"/></w:pPr>
<w:r><w:t xml:space="preserve">waters of commerce, however, do not pretend to reproduce any</w:t></w:r>
</w:p>
<w:p>
<w:pPr><w:pStyle w:val="Normal"/></w:pPr>
<w:r><w:t xml:space="preserve">known natural water; they are merely beverages owing their</w:t></w:r>
</w:p>
<w:p>
<w:pPr><w:pStyle w:val="Normal"/></w:pPr>
<w:r><w:t xml:space="preserve">popularity to their effervescing properties and the flavour</w:t></w:r>
</w:p>
<w:p>
<w:pPr><w:pStyle w:val="Normal"/></w:pPr>
<w:r><w:t xml:space="preserve">imparted by a small quantity of some salt such as sodium</w:t></w:r>
</w:p>
<w:p>
<w:pPr><w:pStyle w:val="Normal"/></w:pPr>
<w:r><w:t xml:space="preserve">bicarbonate or a little fruit syrup.  Their manufacture on a</w:t></w:r>
</w:p>
<w:p>
<w:pPr><w:pStyle w:val="Normal"/></w:pPr>
<w:r><w:t xml:space="preserve">considerable scale was begun at Geneva so far back as 1790 by</w:t></w:r>
</w:p>
<w:p>
<w:pPr><w:pStyle w:val="Normal"/></w:pPr>
<w:r><w:t xml:space="preserve">Nicholas Paul, and the excellence of the soda water prepared</w:t></w:r>
</w:p>
<w:p>
<w:pPr><w:pStyle w:val="Normal"/></w:pPr>
<w:r><w:t xml:space="preserve">in London by J. Schweppe, who had been a partner of Paul&apos;s, is</w:t></w:r>
</w:p>
<w:p>
<w:pPr><w:pStyle w:val="Normal"/></w:pPr>
<w:r><w:t xml:space="preserve">referred to by Tiberius Cavallo in his Essay on the Medicinal</w:t></w:r>
</w:p>
<w:p>
<w:pPr><w:pStyle w:val="Normal"/></w:pPr>
<w:r><w:t xml:space="preserve">Properties of Factitious Airs, published in 1798.  Many forms</w:t></w:r>
</w:p>
<w:p>
<w:pPr><w:pStyle w:val="Normal"/></w:pPr>
<w:r><w:t xml:space="preserve">of apparatus are employed for charging the water with the</w:t></w:r>
</w:p>
<w:p>
<w:pPr><w:pStyle w:val="Normal"/></w:pPr>
<w:r><w:t xml:space="preserve">gas.  A simple machine for domestic use, called a gasogene or</w:t></w:r>
</w:p>
<w:p>
<w:pPr><w:pStyle w:val="Normal"/></w:pPr>
<w:r><w:t xml:space="preserve">seltzogene, consists of two strong glass globes connected</w:t></w:r>
</w:p>
<w:p>
<w:pPr><w:pStyle w:val="Normal"/></w:pPr>
<w:r><w:t xml:space="preserve">one above the other by a wide glass tube which rises nearly</w:t></w:r>
</w:p>
<w:p>
<w:pPr><w:pStyle w:val="Normal"/></w:pPr>
<w:r><w:t xml:space="preserve">to the top of the upper and smaller globe.  Surmounting the</w:t></w:r>
</w:p>
<w:p>
<w:pPr><w:pStyle w:val="Normal"/></w:pPr>
<w:r><w:t xml:space="preserve">small globe there is a spring valve, fitted to a narrow tube</w:t></w:r>
</w:p>
<w:p>
<w:pPr><w:pStyle w:val="Normal"/></w:pPr>
<w:r><w:t xml:space="preserve">that passes through the wide tube to the bottom of the large</w:t></w:r>
</w:p>
<w:p>
<w:pPr><w:pStyle w:val="Normal"/></w:pPr>
<w:r><w:t xml:space="preserve">globe.  To use the machine, the lower vessel is filled with</w:t></w:r>
</w:p>
<w:p>
<w:pPr><w:pStyle w:val="Normal"/></w:pPr>
<w:r><w:t xml:space="preserve">water, and in the upper one, round the base of the wide tube,</w:t></w:r>
</w:p>
<w:p>
<w:pPr><w:pStyle w:val="Normal"/></w:pPr>
<w:r><w:t xml:space="preserve">is placed a mixture, commonly of sodium bicarbonate and tartaric</w:t></w:r>
</w:p>
<w:p>
<w:pPr><w:pStyle w:val="Normal"/></w:pPr>
<w:r><w:t xml:space="preserve">acid, which with water yields carbon dioxide.  The valve head</w:t></w:r>
</w:p>
<w:p>
<w:pPr><w:pStyle w:val="Normal"/></w:pPr>
<w:r><w:t xml:space="preserve">is then fastened on, and by tilting the apparatus some water is</w:t></w:r>
</w:p>
<w:p>
<w:pPr><w:pStyle w:val="Normal"/></w:pPr>
<w:r><w:t xml:space="preserve">made to flow through the wide tube from the lower to the upper</w:t></w:r>
</w:p>
<w:p>
<w:pPr><w:pStyle w:val="Normal"/></w:pPr>
<w:r><w:t xml:space="preserve">vessel.  The water in the lower globe takes up the gas thus</w:t></w:r>
</w:p>
<w:p>
<w:pPr><w:pStyle w:val="Normal"/></w:pPr>
<w:r><w:t xml:space="preserve">produced, and when required for use is withdrawn by the</w:t></w:r>
</w:p>
<w:p>
<w:pPr><w:pStyle w:val="Normal"/></w:pPr>
<w:r><w:t xml:space="preserve">valve, being forced up the narrow tube by the pressure of the</w:t></w:r>
</w:p>
<w:p>
<w:pPr><w:pStyle w:val="Normal"/></w:pPr>
<w:r><w:t xml:space="preserve">gas.  In another arrangement the gas is supplied compressed in</w:t></w:r>
</w:p>
<w:p>
<w:pPr><w:pStyle w:val="Normal"/></w:pPr>
<w:r><w:t xml:space="preserve">little steel capsules, and is liberated into a bottle containing</w:t></w:r>
</w:p>
<w:p>
<w:pPr><w:pStyle w:val="Normal"/></w:pPr>
<w:r><w:t xml:space="preserve">the water which has to be aerated.  On a large scale, use is</w:t></w:r>
</w:p>
<w:p>
<w:pPr><w:pStyle w:val="Normal"/></w:pPr>
<w:r><w:t xml:space="preserve">made of continuously acting machinery which is essentially of</w:t></w:r>
</w:p>
<w:p>
<w:pPr><w:pStyle w:val="Normal"/></w:pPr>
<w:r><w:t xml:space="preserve">the type devised by Joseph Bramah.  The gas is prepared in a</w:t></w:r>
</w:p>
<w:p>
<w:pPr><w:pStyle w:val="Normal"/></w:pPr>
<w:r><w:t xml:space="preserve">separate generator by the action of sulphuric acid on sodium</w:t></w:r>
</w:p>
<w:p>
<w:pPr><w:pStyle w:val="Normal"/></w:pPr>
<w:r><w:t xml:space="preserve">bicarbonate or whiting, and after being washed is collected</w:t></w:r>
</w:p>
<w:p>
<w:pPr><w:pStyle w:val="Normal"/></w:pPr>
<w:r><w:t xml:space="preserve">in a gas-holder, whence it is forced with water under pressure</w:t></w:r>
</w:p>
<w:p>
<w:pPr><w:pStyle w:val="Normal"/></w:pPr>
<w:r><w:t xml:space="preserve">into a receiver or saturator in which an agitator is kept</w:t></w:r>
</w:p>
<w:p>
<w:pPr><w:pStyle w:val="Normal"/></w:pPr>
<w:r><w:t xml:space="preserve">moving.  Some manufacturers buy their gas compressed in steel</w:t></w:r>
</w:p>
<w:p>
<w:pPr><w:pStyle w:val="Normal"/></w:pPr>
<w:r><w:t xml:space="preserve">cylinders.  The water thus aerated or carbonated passes</w:t></w:r>
</w:p>
<w:p>
<w:pPr><w:pStyle w:val="Normal"/></w:pPr>
<w:r><w:t xml:space="preserve">from the receiver, in which the pressure may be 100-200 lb. on</w:t></w:r>
</w:p>
<w:p>
<w:pPr><w:pStyle w:val="Normal"/></w:pPr>
<w:r><w:t xml:space="preserve">the square inch, to bottling machines which fill and close</w:t></w:r>
</w:p>
<w:p>
<w:pPr><w:pStyle w:val="Normal"/></w:pPr>
<w:r><w:t xml:space="preserve">the bottles; if beverages like lemonade are being made the</w:t></w:r>
</w:p>
<w:p>
<w:pPr><w:pStyle w:val="Normal"/></w:pPr>
<w:r><w:t xml:space="preserve">requisite quantity of fruit syrup is also injected into the</w:t></w:r>
</w:p>
<w:p>
<w:pPr><w:pStyle w:val="Normal"/></w:pPr>
<w:r><w:t xml:space="preserve">bottles, though sometimes the fruit syrup mixture is aerated in</w:t></w:r>
</w:p>
<w:p>
<w:pPr><w:pStyle w:val="Normal"/></w:pPr>
<w:r><w:t xml:space="preserve">bulk.  For soda water sodium bicarbonate should be added to</w:t></w:r>
</w:p>
<w:p>
<w:pPr><w:pStyle w:val="Normal"/></w:pPr>
<w:r><w:t xml:space="preserve">the water before aeration, in varying proportions up to about</w:t></w:r>
</w:p>
<w:p>
<w:pPr><w:pStyle w:val="Normal"/></w:pPr>
<w:r><w:t xml:space="preserve">15 grains per pint, but the simple carbonated water often</w:t></w:r>
</w:p>
<w:p>
<w:pPr><w:pStyle w:val="Normal"/></w:pPr>
<w:r><w:t xml:space="preserve">does duty instead.  Potash water, lithia water and many others</w:t></w:r>
</w:p>
<w:p>
<w:pPr><w:pStyle w:val="Normal"/></w:pPr>
<w:r><w:t xml:space="preserve">are similarly prepared, the various salts being used in such</w:t></w:r>
</w:p>
<w:p>
<w:pPr><w:pStyle w:val="Normal"/></w:pPr>
<w:r><w:t xml:space="preserve">amounts as are dictated by the experience and taste of the</w:t></w:r>
</w:p>
<w:p>
<w:pPr><w:pStyle w:val="Normal"/></w:pPr>
<w:r><w:t xml:space="preserve">manufacturer.  Aerated waters are sent out from the factories</w:t></w:r>
</w:p>
<w:p>
<w:pPr><w:pStyle w:val="Normal"/></w:pPr>
<w:r><w:t xml:space="preserve">either in siphons (q.v.) or in bottles; the latter may be</w:t></w:r>
</w:p>
<w:p>
<w:pPr><w:pStyle w:val="Normal"/></w:pPr>
<w:r><w:t xml:space="preserve">closed by corks, or by screw-stoppers or by internal stoppers</w:t></w:r>
</w:p>
<w:p>
<w:pPr><w:pStyle w:val="Normal"/></w:pPr>
<w:r><w:t xml:space="preserve">consisting of a valve, such as a glass ball, held up against an</w:t></w:r>
</w:p>
<w:p>
<w:pPr><w:pStyle w:val="Normal"/></w:pPr>
<w:r><w:t xml:space="preserve">indiarubber ring in the neck by the pressure of the gas.  For use</w:t></w:r>
</w:p>
<w:p>
<w:pPr><w:pStyle w:val="Normal"/></w:pPr>
<w:r><w:t xml:space="preserve">in ``soda-fountains&apos;&apos; the waters are sent out in large cylinders.</w:t></w:r>
</w:p>
<w:p>
<w:pPr><w:pStyle w:val="Normal"/></w:pPr>
<w:r><w:t xml:space="preserve">See W. Kirkby, Evolution of artificial Mineral Waters (Manchester, 1902).</w:t></w:r>
</w:p>
<w:p>
<w:pPr><w:pStyle w:val="Normal"/></w:pPr>
<w:r><w:t xml:space="preserve">AERONAUTICS, the art of ``navigating&apos;&apos; the ``air.&apos;&apos; It is</w:t></w:r>
</w:p>
<w:p>
<w:pPr><w:pStyle w:val="Normal"/></w:pPr>
<w:r><w:t xml:space="preserve">divisible into two main branches--aerostation, dealing properly</w:t></w:r>
</w:p>
<w:p>
<w:pPr><w:pStyle w:val="Normal"/></w:pPr>
<w:r><w:t xml:space="preserve">with machines which like balloons are lighter than the air,</w:t></w:r>
</w:p>
<w:p>
<w:pPr><w:pStyle w:val="Normal"/></w:pPr>
<w:r><w:t xml:space="preserve">and aviation, dealing with the problem of artificial flight</w:t></w:r>
</w:p>
<w:p>
<w:pPr><w:pStyle w:val="Normal"/></w:pPr>
<w:r><w:t xml:space="preserve">by means of flying machines which, like birds, are heavier</w:t></w:r>
</w:p>
<w:p>
<w:pPr><w:pStyle w:val="Normal"/></w:pPr>
<w:r><w:t xml:space="preserve">than the air, and also with attempts to fly made by human</w:t></w:r>
</w:p>
<w:p>
<w:pPr><w:pStyle w:val="Normal"/></w:pPr>
<w:r><w:t xml:space="preserve">beings by the aid of artificial wings fitted to their limbs.</w:t></w:r>
</w:p>
<w:p>
<w:pPr><w:pStyle w:val="Normal"/></w:pPr>
<w:r><w:t xml:space="preserve">Historically, aviation is the older of the two, and in the</w:t></w:r>
</w:p>
<w:p>
<w:pPr><w:pStyle w:val="Normal"/></w:pPr>
<w:r><w:t xml:space="preserve">legends of gods or myths of men or animals which are supposed</w:t></w:r>
</w:p>
<w:p>
<w:pPr><w:pStyle w:val="Normal"/></w:pPr>
<w:r><w:t xml:space="preserve">to have travelled through the air, such as Pegasus, Medea&apos;s</w:t></w:r>
</w:p>
<w:p>
<w:pPr><w:pStyle w:val="Normal"/></w:pPr>
<w:r><w:t xml:space="preserve">dragons and Daedalus, as well as in Egyptian bas-reliefs,</w:t></w:r>
</w:p>
<w:p>
<w:pPr><w:pStyle w:val="Normal"/></w:pPr>
<w:r><w:t xml:space="preserve">wings appear as the means by which aerial locomotion is</w:t></w:r>
</w:p>
<w:p>
<w:pPr><w:pStyle w:val="Normal"/></w:pPr>
<w:r><w:t xml:space="preserve">effected.  In later times there are many stories of men who have</w:t></w:r>
</w:p>
<w:p>
<w:pPr><w:pStyle w:val="Normal"/></w:pPr>
<w:r><w:t xml:space="preserve">attempted to fly in the same way.  John Wilkins (1614-1672),</w:t></w:r>
</w:p>
<w:p>
<w:pPr><w:pStyle w:val="Normal"/></w:pPr>
<w:r><w:t xml:space="preserve">one of the founders of the Royal Society and bishop of Chester,</w:t></w:r>
</w:p>
<w:p>
<w:pPr><w:pStyle w:val="Normal"/></w:pPr>
<w:r><w:t xml:space="preserve">who in 1640 discussed the possibility of reaching the moon by</w:t></w:r>
</w:p>
<w:p>
<w:pPr><w:pStyle w:val="Normal"/></w:pPr>
<w:r><w:t xml:space="preserve">volitation, says in his Mathematical Magick (1648) that</w:t></w:r>
</w:p>
<w:p>
<w:pPr><w:pStyle w:val="Normal"/></w:pPr>
<w:r><w:t xml:space="preserve">it was related that ``a certain English monk called Elmerus,</w:t></w:r>
</w:p>
<w:p>
<w:pPr><w:pStyle w:val="Normal"/></w:pPr>
<w:r><w:t xml:space="preserve">about the Confessor&apos;s time,&apos;&apos; flew from a town in Spain for</w:t></w:r>
</w:p>
<w:p>
<w:pPr><w:pStyle w:val="Normal"/></w:pPr>
<w:r><w:t xml:space="preserve">a distance of more than a furlong; and that other persons</w:t></w:r>
</w:p>
<w:p>
<w:pPr><w:pStyle w:val="Normal"/></w:pPr>
<w:r><w:t xml:space="preserve">had flown from St Mark&apos;s, Venice, and at Nuremberg.  Giovanni</w:t></w:r>
</w:p>
<w:p>
<w:pPr><w:pStyle w:val="Normal"/></w:pPr>
<w:r><w:t xml:space="preserve">Battista Dante, of Perugia, is said to have flown several</w:t></w:r>
</w:p>
<w:p>
<w:pPr><w:pStyle w:val="Normal"/></w:pPr>
<w:r><w:t xml:space="preserve">times across Lake Trasimene.  At the beginning of the 16th</w:t></w:r>
</w:p>
<w:p>
<w:pPr><w:pStyle w:val="Normal"/></w:pPr>
<w:r><w:t xml:space="preserve">century an Italian alchemist who was collated to the abbacy</w:t></w:r>
</w:p>
<w:p>
<w:pPr><w:pStyle w:val="Normal"/></w:pPr>
<w:r><w:t xml:space="preserve">of Tungland, in Galloway, Scotland, by James IV., undertook</w:t></w:r>
</w:p>
<w:p>
<w:pPr><w:pStyle w:val="Normal"/></w:pPr>
<w:r><w:t xml:space="preserve">to fly from the walls of Stirling Castle through the air to</w:t></w:r>
</w:p>
<w:p>
<w:pPr><w:pStyle w:val="Normal"/></w:pPr>
<w:r><w:t xml:space="preserve">France.  He actually attempted the feat, but soon came to</w:t></w:r>
</w:p>
<w:p>
<w:pPr><w:pStyle w:val="Normal"/></w:pPr>
<w:r><w:t xml:space="preserve">the ground and broke his thigh-bone in the fall--an accident</w:t></w:r>
</w:p>
<w:p>
<w:pPr><w:pStyle w:val="Normal"/></w:pPr>
<w:r><w:t xml:space="preserve">which he explained by asserting that the wings he employed</w:t></w:r>
</w:p>
<w:p>
<w:pPr><w:pStyle w:val="Normal"/></w:pPr>
<w:r><w:t xml:space="preserve">contained some fowls&apos; feathers, which had an ``affinity&apos;&apos;</w:t></w:r>
</w:p>
<w:p>
<w:pPr><w:pStyle w:val="Normal"/></w:pPr>
<w:r><w:t xml:space="preserve">for the dung-hill, whereas if they had been composed solely</w:t></w:r>
</w:p>
<w:p>
<w:pPr><w:pStyle w:val="Normal"/></w:pPr>
<w:r><w:t xml:space="preserve">of eagles&apos; feathers they would have been attracted to the</w:t></w:r>
</w:p>
<w:p>
<w:pPr><w:pStyle w:val="Normal"/></w:pPr>
<w:r><w:t xml:space="preserve">air.  This anecdote furnished Dunbar, the Scottish poet, with</w:t></w:r>
</w:p>
<w:p>
<w:pPr><w:pStyle w:val="Normal"/></w:pPr>
<w:r><w:t xml:space="preserve">the subject of one of his rude satires.  Leonardo da Vinci</w:t></w:r>
</w:p>
<w:p>
<w:pPr><w:pStyle w:val="Normal"/></w:pPr>
<w:r><w:t xml:space="preserve">about the same time approached the problem in a more scientific</w:t></w:r>
</w:p>
<w:p>
<w:pPr><w:pStyle w:val="Normal"/></w:pPr>
<w:r><w:t xml:space="preserve">spirit, and his notebooks contain several sketches of wings</w:t></w:r>
</w:p>
<w:p>
<w:pPr><w:pStyle w:val="Normal"/></w:pPr>
<w:r><w:t xml:space="preserve">to be fitted to the arms and legs.  In the following century</w:t></w:r>
</w:p>
<w:p>
<w:pPr><w:pStyle w:val="Normal"/></w:pPr>
<w:r><w:t xml:space="preserve">a lecture on flying delivered in 1617 by Fleyder, rector of</w:t></w:r>
</w:p>
<w:p>
<w:pPr><w:pStyle w:val="Normal"/></w:pPr>
<w:r><w:t xml:space="preserve">the grammar school at Tubingen, and published eleven years</w:t></w:r>
</w:p>
<w:p>
<w:pPr><w:pStyle w:val="Normal"/></w:pPr>
<w:r><w:t xml:space="preserve">later, incited a poor monk to attempt to put the theory into</w:t></w:r>
</w:p>
<w:p>
<w:pPr><w:pStyle w:val="Normal"/></w:pPr>
<w:r><w:t xml:space="preserve">practice, but his machinery broke down and he was killed.</w:t></w:r>
</w:p>
<w:p>
<w:pPr><w:pStyle w:val="Normal"/></w:pPr>
<w:r><w:t xml:space="preserve">In Francis Bacon&apos;s Natural History there are two</w:t></w:r>
</w:p>
<w:p>
<w:pPr><w:pStyle w:val="Normal"/></w:pPr>
<w:r><w:t xml:space="preserve">passages which refer to flying, though they scarcely</w:t></w:r>
</w:p>
<w:p>
<w:pPr><w:pStyle w:val="Normal"/></w:pPr>
<w:r><w:t xml:space="preserve">bear out the assertion made by some writers that he</w:t></w:r>
</w:p>
<w:p>
<w:pPr><w:pStyle w:val="Normal"/></w:pPr>
<w:r><w:t xml:space="preserve">first published the true principles of aeronautics.</w:t></w:r>
</w:p>
<w:p>
<w:pPr><w:pStyle w:val="Normal"/></w:pPr>
<w:r><w:t xml:space="preserve">The first is styled Experiment Solitary, touching Flying</w:t></w:r>
</w:p>
<w:p>
<w:pPr><w:pStyle w:val="Normal"/></w:pPr>
<w:r><w:t xml:space="preserve">in the Air --``Certainly many birds of good wing (as kites</w:t></w:r>
</w:p>
<w:p>
<w:pPr><w:pStyle w:val="Normal"/></w:pPr>
<w:r><w:t xml:space="preserve">and the like) would bear up a good weight as they fly; and</w:t></w:r>
</w:p>
<w:p>
<w:pPr><w:pStyle w:val="Normal"/></w:pPr>
<w:r><w:t xml:space="preserve">spreading leathers thin and close, and in great breadth, will</w:t></w:r>
</w:p>
<w:p>
<w:pPr><w:pStyle w:val="Normal"/></w:pPr>
<w:r><w:t xml:space="preserve">likewise bear up a great weight, being even laid, without</w:t></w:r>
</w:p>
<w:p>
<w:pPr><w:pStyle w:val="Normal"/></w:pPr>
<w:r><w:t xml:space="preserve">tilting up on the sides. The further extension of this</w:t></w:r>
</w:p>
<w:p>
<w:pPr><w:pStyle w:val="Normal"/></w:pPr>
<w:r><w:t xml:space="preserve">experiment might be thought upon.&apos;&apos; The second passage is</w:t></w:r>
</w:p>
<w:p>
<w:pPr><w:pStyle w:val="Normal"/></w:pPr>
<w:r><w:t xml:space="preserve">more diffuse, but less intelligible; it is styled Experiment</w:t></w:r>
</w:p>
<w:p>
<w:pPr><w:pStyle w:val="Normal"/></w:pPr>
<w:r><w:t xml:space="preserve">Solitary, touching unequal weight (as of wool and lead or</w:t></w:r>
</w:p>
<w:p>
<w:pPr><w:pStyle w:val="Normal"/></w:pPr>
<w:r><w:t xml:space="preserve">bone and lead); if you throw it from you with the light end</w:t></w:r>
</w:p>
<w:p>
<w:pPr><w:pStyle w:val="Normal"/></w:pPr>
<w:r><w:t xml:space="preserve">forward, it will turn, and the weightier end will recover to</w:t></w:r>
</w:p>
<w:p>
<w:pPr><w:pStyle w:val="Normal"/></w:pPr>
<w:r><w:t xml:space="preserve">be forwards, unless the body be over long.  The cause is, for</w:t></w:r>
</w:p>
<w:p>
<w:pPr><w:pStyle w:val="Normal"/></w:pPr>
<w:r><w:t xml:space="preserve">that the more dense body hath a more violent pressure of the</w:t></w:r>
</w:p>
<w:p>
<w:pPr><w:pStyle w:val="Normal"/></w:pPr>
<w:r><w:t xml:space="preserve">parts from the first impulsion, which is the cause (though</w:t></w:r>
</w:p>
<w:p>
<w:pPr><w:pStyle w:val="Normal"/></w:pPr>
<w:r><w:t xml:space="preserve">heretofore not found out, as hath been often said) of all</w:t></w:r>
</w:p>
<w:p>
<w:pPr><w:pStyle w:val="Normal"/></w:pPr>
<w:r><w:t xml:space="preserve">violent motions; and when the hinder part moveth swifter (for</w:t></w:r>
</w:p>
<w:p>
<w:pPr><w:pStyle w:val="Normal"/></w:pPr>
<w:r><w:t xml:space="preserve">that it less endureth pressure of parts) that the forward</w:t></w:r>
</w:p>
<w:p>
<w:pPr><w:pStyle w:val="Heading1"/></w:pPr>
<w:r><w:t>part can make way for it, it must needs be that the body</w:t></w:r>
</w:p>
<w:p>
<w:pPr><w:pStyle w:val="Normal"/></w:pPr>
<w:r><w:t xml:space="preserve">turn over; for (turned) it can more easily draw forward the</w:t></w:r>
</w:p>
<w:p>
<w:pPr><w:pStyle w:val="Normal"/></w:pPr>
<w:r><w:t xml:space="preserve">lighter part.&apos;&apos; The fact here alluded to is the resistance</w:t></w:r>
</w:p>
<w:p>
<w:pPr><w:pStyle w:val="Normal"/></w:pPr>
<w:r><w:t xml:space="preserve">that bodies experience in moving through the air, which,</w:t></w:r>
</w:p>
<w:p>
<w:pPr><w:pStyle w:val="Normal"/></w:pPr>
<w:r><w:t xml:space="preserve">depending on the quantity of surface merely. must exert a</w:t></w:r>
</w:p>
<w:p>
<w:pPr><w:pStyle w:val="Normal"/></w:pPr>
<w:r><w:t xml:space="preserve">proportionally greater effect on rare substances.  The passage</w:t></w:r>
</w:p>
<w:p>
<w:pPr><w:pStyle w:val="Normal"/></w:pPr>
<w:r><w:t xml:space="preserve">itself, however, after making every allowance for the period</w:t></w:r>
</w:p>
<w:p>
<w:pPr><w:pStyle w:val="Normal"/></w:pPr>
<w:r><w:t xml:space="preserve">in which it was written, must be deemed confused, obscure and</w:t></w:r>
</w:p>
<w:p>
<w:pPr><w:pStyle w:val="Normal"/></w:pPr>
<w:r><w:t xml:space="preserve">unphilosophical.  In his posthumous work, De Motu Animalium,</w:t></w:r>
</w:p>
<w:p>
<w:pPr><w:pStyle w:val="Normal"/></w:pPr>
<w:r><w:t xml:space="preserve">published at Rome in 1680-1681, G.A.Borelli gave calculations</w:t></w:r>
</w:p>
<w:p>
<w:pPr><w:pStyle w:val="Normal"/></w:pPr>
<w:r><w:t xml:space="preserve">of the enormous strength of the pectoral muscles in birds;</w:t></w:r>
</w:p>
<w:p>
<w:pPr><w:pStyle w:val="Normal"/></w:pPr>
<w:r><w:t xml:space="preserve">and his proposition cciv. (vol. i. pp. 322-326), entitled Est</w:t></w:r>
</w:p>
<w:p>
<w:pPr><w:pStyle w:val="Normal"/></w:pPr>
<w:r><w:t xml:space="preserve">impossibile ut homines pro priis viribus artificiose volare</w:t></w:r>
</w:p>
<w:p>
<w:pPr><w:pStyle w:val="Normal"/></w:pPr>
<w:r><w:t xml:space="preserve">possint, points out the impossibility of man being able by his</w:t></w:r>
</w:p>
<w:p>
<w:pPr><w:pStyle w:val="Normal"/></w:pPr>
<w:r><w:t xml:space="preserve">muscular strength to give motion to wings of sufficient extent</w:t></w:r>
</w:p>
<w:p>
<w:pPr><w:pStyle w:val="Normal"/></w:pPr>
<w:r><w:t xml:space="preserve">to keep him suspended in the air.  But during his lifetime two</w:t></w:r>
</w:p>
<w:p>
<w:pPr><w:pStyle w:val="Normal"/></w:pPr>
<w:r><w:t xml:space="preserve">Frenchmen, Allard in 1660 and Besnier about 1678, are said to</w:t></w:r>
</w:p>
<w:p>
<w:pPr><w:pStyle w:val="Normal"/></w:pPr>
<w:r><w:t xml:space="preserve">have succeeded in making short flights.  An account of some</w:t></w:r>
</w:p>
<w:p>
<w:pPr><w:pStyle w:val="Normal"/></w:pPr>
<w:r><w:t xml:space="preserve">of the modern attempts to construct flying machines will be</w:t></w:r>
</w:p>
<w:p>
<w:pPr><w:pStyle w:val="Normal"/></w:pPr>
<w:r><w:t xml:space="preserve">found in the article FLIGHT AND FLYING; here we append a</w:t></w:r>
</w:p>
<w:p>
<w:pPr><w:pStyle w:val="Normal"/></w:pPr>
<w:r><w:t xml:space="preserve">brief consideration of the mechanical aspects of the problem.</w:t></w:r>
</w:p>
<w:p>
<w:pPr><w:pStyle w:val="Normal"/></w:pPr>
<w:r><w:t xml:space="preserve">The very first essential for success is safety, which will</w:t></w:r>
</w:p>
<w:p>
<w:pPr><w:pStyle w:val="Normal"/></w:pPr>
<w:r><w:t xml:space="preserve">probably only be attained with automatic stability.  The</w:t></w:r>
</w:p>
<w:p>
<w:pPr><w:pStyle w:val="Normal"/></w:pPr>
<w:r><w:t xml:space="preserve">underlying principle is that the centre of gravity shall</w:t></w:r>
</w:p>
<w:p>
<w:pPr><w:pStyle w:val="Normal"/></w:pPr>
<w:r><w:t xml:space="preserve">at all times be on the same vertical line as the centre of</w:t></w:r>
</w:p>
<w:p>
<w:pPr><w:pStyle w:val="Normal"/></w:pPr>
<w:r><w:t xml:space="preserve">pressure.  The latter varies with the angle of incidence.  For</w:t></w:r>
</w:p>
<w:p>
<w:pPr><w:pStyle w:val="Normal"/></w:pPr>
<w:r><w:t xml:space="preserve">square planes it moves approximately as expressed by Joessel&apos;s</w:t></w:r>
</w:p>
<w:p>
<w:pPr><w:pStyle w:val="Normal"/></w:pPr>
<w:r><w:t xml:space="preserve">formula, C + (0.2 + 0.3 sin a) L, in which C is the distance</w:t></w:r>
</w:p>
<w:p>
<w:pPr><w:pStyle w:val="Normal"/></w:pPr>
<w:r><w:t xml:space="preserve">from the front edge, L the length fore and aft, and a the</w:t></w:r>
</w:p>
<w:p>
<w:pPr><w:pStyle w:val="Normal"/></w:pPr>
<w:r><w:t xml:space="preserve">angle of incidence.  The movement is different on concave</w:t></w:r>
</w:p>
<w:p>
<w:pPr><w:pStyle w:val="Normal"/></w:pPr>
<w:r><w:t xml:space="preserve">surfaces.  The term aeroplane is understood to apply to</w:t></w:r>
</w:p>
<w:p>
<w:pPr><w:pStyle w:val="Normal"/></w:pPr>
<w:r><w:t xml:space="preserve">flat sustaining surfaces, but experiment indicates that</w:t></w:r>
</w:p>
<w:p>
<w:pPr><w:pStyle w:val="Normal"/></w:pPr>
<w:r><w:t xml:space="preserve">arched surfaces are more efficient.  S. P. Langley proposed</w:t></w:r>
</w:p>
<w:p>
<w:pPr><w:pStyle w:val="Normal"/></w:pPr>
<w:r><w:t xml:space="preserve">the word aerodrome, which seems the preferable term for</w:t></w:r>
</w:p>
<w:p>
<w:pPr><w:pStyle w:val="Normal"/></w:pPr>
<w:r><w:t xml:space="preserve">apparatus with wing-line surfaces.  This is the type to which</w:t></w:r>
</w:p>
<w:p>
<w:pPr><w:pStyle w:val="Normal"/></w:pPr>
<w:r><w:t xml:space="preserve">results point as the proper one for further experiments.  With</w:t></w:r>
</w:p>
<w:p>
<w:pPr><w:pStyle w:val="Normal"/></w:pPr>
<w:r><w:t xml:space="preserve">this it seems probable that, with well-designed apparatus,</w:t></w:r>
</w:p>
<w:p>
<w:pPr><w:pStyle w:val="Normal"/></w:pPr>
<w:r><w:t xml:space="preserve">40 to 50 lb. can be sustained per indicated h.p., or about</w:t></w:r>
</w:p>
<w:p>
<w:pPr><w:pStyle w:val="Normal"/></w:pPr>
<w:r><w:t xml:space="preserve">twice that quantity per resistance or ``thrust&apos;&apos; h.p., and</w:t></w:r>
</w:p>
<w:p>
<w:pPr><w:pStyle w:val="Normal"/></w:pPr>
<w:r><w:t xml:space="preserve">that some 30 or 40 k of the weight can be devoted to the</w:t></w:r>
</w:p>
<w:p>
<w:pPr><w:pStyle w:val="Normal"/></w:pPr>
<w:r><w:t xml:space="preserve">machinery, thus requiring motors, with their propellers,</w:t></w:r>
</w:p>
<w:p>
<w:pPr><w:pStyle w:val="Normal"/></w:pPr>
<w:r><w:t xml:space="preserve">shafting, supplies, &amp;c., weighing less than 20 lb. per</w:t></w:r>
</w:p>
<w:p>
<w:pPr><w:pStyle w:val="Normal"/></w:pPr>
<w:r><w:t xml:space="preserve">h.p.  It is evident that the apparatus must be designed to</w:t></w:r>
</w:p>
<w:p>
<w:pPr><w:pStyle w:val="Normal"/></w:pPr>
<w:r><w:t xml:space="preserve">be as light as possible, and also to reduce to a minimum</w:t></w:r>
</w:p>
<w:p>
<w:pPr><w:pStyle w:val="Normal"/></w:pPr>
<w:r><w:t xml:space="preserve">all resistances to propulsion.  This being kept in view,</w:t></w:r>
</w:p>
<w:p>
<w:pPr><w:pStyle w:val="Normal"/></w:pPr>
<w:r><w:t xml:space="preserve">the strength and consequent section required for each member</w:t></w:r>
</w:p>
<w:p>
<w:pPr><w:pStyle w:val="Normal"/></w:pPr>
<w:r><w:t xml:space="preserve">may be calculated by the methods employed in proportioning</w:t></w:r>
</w:p>
<w:p>
<w:pPr><w:pStyle w:val="Normal"/></w:pPr>
<w:r><w:t xml:space="preserve">bridges, with the difference that the support (from air</w:t></w:r>
</w:p>
<w:p>
<w:pPr><w:pStyle w:val="Normal"/></w:pPr>
<w:r><w:t xml:space="preserve">pressure) will be considered as uniformly distributed, and the</w:t></w:r>
</w:p>
<w:p>
<w:pPr><w:pStyle w:val="Normal"/></w:pPr>
<w:r><w:t xml:space="preserve">load as concentrated at one or more points.  Smaller factors</w:t></w:r>
</w:p>
<w:p>
<w:pPr><w:pStyle w:val="Normal"/></w:pPr>
<w:r><w:t xml:space="preserve">of safety may also have to be used.  Knowing the sections</w:t></w:r>
</w:p>
<w:p>
<w:pPr><w:pStyle w:val="Normal"/></w:pPr>
<w:r><w:t xml:space="preserve">required and unit weights of the materials to be employed,</w:t></w:r>
</w:p>
<w:p>
<w:pPr><w:pStyle w:val="Normal"/></w:pPr>
<w:r><w:t xml:space="preserve">the weight of each part can be computed.  If a model has been</w:t></w:r>
</w:p>
<w:p>
<w:pPr><w:pStyle w:val="Normal"/></w:pPr>
<w:r><w:t xml:space="preserve">made to absolutely exact scale, the weight of the full-sized</w:t></w:r>
</w:p>
<w:p>
<w:pPr><w:pStyle w:val="Normal"/></w:pPr>
<w:r><w:t xml:space="preserve">apparatus may approximately be ascertained by the formula</w:t></w:r>
</w:p>
<w:p>
<w:pPr><w:pStyle w:val="Normal"/></w:pPr>
<w:r><w:t xml:space="preserve">$$W&apos; = W\sqrt{\left({S&apos;\over S}\right)}^3,$$</w:t></w:r>
</w:p>
<w:p>
<w:pPr><w:pStyle w:val="Normal"/></w:pPr>
<w:r><w:t xml:space="preserve">in which W is the weight of the model, S its surface, and</w:t></w:r>
</w:p>
<w:p>
<w:pPr><w:pStyle w:val="Normal"/></w:pPr>
<w:r><w:t xml:space="preserve">W&apos; and S&apos; the weight and surface of the intended apparatus.</w:t></w:r>
</w:p>
<w:p>
<w:pPr><w:pStyle w:val="Normal"/></w:pPr>
<w:r><w:t xml:space="preserve">Thus if the model has been made one-quarter size in its</w:t></w:r>
</w:p>
<w:p>
<w:pPr><w:pStyle w:val="Normal"/></w:pPr>
<w:r><w:t xml:space="preserve">homologous dimensions, the supporting surfaces will be sixteen</w:t></w:r>
</w:p>
<w:p>
<w:pPr><w:pStyle w:val="Normal"/></w:pPr>
<w:r><w:t xml:space="preserve">times, and the total weight sixty-four times those of the</w:t></w:r>
</w:p>
<w:p>
<w:pPr><w:pStyle w:val="Normal"/></w:pPr>
<w:r><w:t xml:space="preserve">model.  The weight and the surface being determined, the three</w:t></w:r>
</w:p>
<w:p>
<w:pPr><w:pStyle w:val="Normal"/></w:pPr>
<w:r><w:t xml:space="preserve">most important things to know are the angle of incidence, the</w:t></w:r>
</w:p>
<w:p>
<w:pPr><w:pStyle w:val="Normal"/></w:pPr>
<w:r><w:t xml:space="preserve">``lift,&apos;&apos; and the required speed.  The fundamental formula for</w:t></w:r>
</w:p>
<w:p>
<w:pPr><w:pStyle w:val="Normal"/></w:pPr>
<w:r><w:t xml:space="preserve">rectangular air pressure is well known: P=KV2S, in which P is</w:t></w:r>
</w:p>
<w:p>
<w:pPr><w:pStyle w:val="Normal"/></w:pPr>
<w:r><w:t xml:space="preserve">the rectangular normal pressure, in pounds or kilograms, K a</w:t></w:r>
</w:p>
<w:p>
<w:pPr><w:pStyle w:val="Normal"/></w:pPr>
<w:r><w:t xml:space="preserve">coefficient (0.0049 for British, and 0.11 for metric measures),</w:t></w:r>
</w:p>
<w:p>
<w:pPr><w:pStyle w:val="Heading1"/></w:pPr>
<w:r><w:t>V the velocity in miles per hour or in metres per second, and</w:t></w:r>
</w:p>
<w:p>
<w:pPr><w:pStyle w:val="Normal"/></w:pPr>
<w:r><w:t xml:space="preserve">S the surface in square feet or in square metres.  The normal</w:t></w:r>
</w:p>
<w:p>
<w:pPr><w:pStyle w:val="Normal"/></w:pPr>
<w:r><w:t xml:space="preserve">on oblique surfaces, at various angles of incidence, is given</w:t></w:r>
</w:p>
<w:p>
<w:pPr><w:pStyle w:val="Normal"/></w:pPr>
<w:r><w:t xml:space="preserve">by the formula P = KV2Se, which latter factor is given both</w:t></w:r>
</w:p>
<w:p>
<w:pPr><w:pStyle w:val="Normal"/></w:pPr>
<w:r><w:t xml:space="preserve">for planes and for arched surfaces in the subjoined table:--.</w:t></w:r>
</w:p>
<w:p>
<w:pPr><w:pStyle w:val="Normal"/></w:pPr>
<w:r><w:t xml:space="preserve">PERCENTAGES OE AIR PRESSURE AT VARIOUS ANGLES OF INCIDENCE</w:t></w:r>
</w:p>
<w:p>
<w:pPr><w:pStyle w:val="Normal"/></w:pPr>
<w:r><w:t xml:space="preserve">PLANES (DUCHEMIN FORMULA,</w:t></w:r>
</w:p>
<w:p>
<w:pPr><w:pStyle w:val="Normal"/></w:pPr>
<w:r><w:t xml:space="preserve">VERIFIED BY LANGLEY).                          WINGS (LILIENTHAL).</w:t></w:r>
</w:p>
<w:p>
<w:pPr><w:pStyle w:val="Normal"/></w:pPr>
<w:r><w:t xml:space="preserve">N = P(2sina/(1+sin2a)).                        Concavity 1 in 12</w:t></w:r>
</w:p>
<w:p>
<w:pPr><w:pStyle w:val="Normal"/></w:pPr>
<w:r><w:t xml:space="preserve">Angle.   Normal.   Lift.    Drift.      Normal.   Lift.    Drift.   Tangential</w:t></w:r>
</w:p>
<w:p>
<w:pPr><w:pStyle w:val="Normal"/></w:pPr>
<w:r><w:t xml:space="preserve">a         e      ecosa    esina          e      ecosa    esina      force a</w:t></w:r>
</w:p>
<w:p>
<w:pPr><w:pStyle w:val="Normal"/></w:pPr>
<w:r><w:t xml:space="preserve">-9 deg.                                      0.0       0.0      0.0      +0.070</w:t></w:r>
</w:p>
<w:p>
<w:pPr><w:pStyle w:val="Normal"/></w:pPr>
<w:r><w:t xml:space="preserve">-8 deg.                                      0.040     0.0396  -0.0055   +0.067</w:t></w:r>
</w:p>
<w:p>
<w:pPr><w:pStyle w:val="Normal"/></w:pPr>
<w:r><w:t xml:space="preserve">-7 deg.                                      0.080     0.0741  -0.0097   +0.064</w:t></w:r>
</w:p>
<w:p>
<w:pPr><w:pStyle w:val="Normal"/></w:pPr>
<w:r><w:t xml:space="preserve">-6 deg.                                      0.120     0.1193  -0.0125   +0.060</w:t></w:r>
</w:p>
<w:p>
<w:pPr><w:pStyle w:val="Normal"/></w:pPr>
<w:r><w:t xml:space="preserve">-5 deg.                                      0.160     0.1594  -0.0139   +0.055</w:t></w:r>
</w:p>
<w:p>
<w:pPr><w:pStyle w:val="Normal"/></w:pPr>
<w:r><w:t xml:space="preserve">-4 deg.                                      0.200     0.1995  -0.0139   +0.049</w:t></w:r>
</w:p>
<w:p>
<w:pPr><w:pStyle w:val="Normal"/></w:pPr>
<w:r><w:t xml:space="preserve">-3 deg.                                      0.242     0.2416  -0.0126   +0.043</w:t></w:r>
</w:p>
<w:p>
<w:pPr><w:pStyle w:val="Normal"/></w:pPr>
<w:r><w:t xml:space="preserve">-2 deg.                                      0.286     0.2858  -0.0100   +0.037</w:t></w:r>
</w:p>
<w:p>
<w:pPr><w:pStyle w:val="Normal"/></w:pPr>
<w:r><w:t xml:space="preserve">-1 deg.                                      0.332     0.3318  -0.0058   +0.031</w:t></w:r>
</w:p>
<w:p>
<w:pPr><w:pStyle w:val="Normal"/></w:pPr>
<w:r><w:t xml:space="preserve">0 deg.       0.0      0.0       0.0         0.381     0.3810  -0.0      +0.024</w:t></w:r>
</w:p>
<w:p>
<w:pPr><w:pStyle w:val="Normal"/></w:pPr>
<w:r><w:t xml:space="preserve">+1 deg.       0.035    0.035     0.000611    0.434     0.434   +0.0075   +0.016</w:t></w:r>
</w:p>
<w:p>
<w:pPr><w:pStyle w:val="Normal"/></w:pPr>
<w:r><w:t xml:space="preserve">+2 deg.       0.070    0.070     0.00244     0.489     0.489   +0.0170   +0.008</w:t></w:r>
</w:p>
<w:p>
<w:pPr><w:pStyle w:val="Normal"/></w:pPr>
<w:r><w:t xml:space="preserve">+3 deg.       0.104    0.104     0.00543     0.546     0.545   +0.0285    0.0</w:t></w:r>
</w:p>
<w:p>
<w:pPr><w:pStyle w:val="Normal"/></w:pPr>
<w:r><w:t xml:space="preserve">+4 deg.       0.139    0.139     0.0097      0.600     0.597   +0.0418   -0.007</w:t></w:r>
</w:p>
<w:p>
<w:pPr><w:pStyle w:val="Normal"/></w:pPr>
<w:r><w:t xml:space="preserve">+5 deg.       0.174    0.173     0.0152      0.650     0.647   +0.0566   -0.014</w:t></w:r>
</w:p>
<w:p>
<w:pPr><w:pStyle w:val="Normal"/></w:pPr>
<w:r><w:t xml:space="preserve">+6 deg.       0.207    0.206     0.0217      0.696     0.692   +0.0727   -0.021</w:t></w:r>
</w:p>
<w:p>
<w:pPr><w:pStyle w:val="Normal"/></w:pPr>
<w:r><w:t xml:space="preserve">+7 deg.       0.240    0.238     0.0293      0.737     0.731   +0.0898   -0.028</w:t></w:r>
</w:p>
<w:p>
<w:pPr><w:pStyle w:val="Normal"/></w:pPr>
<w:r><w:t xml:space="preserve">+8 deg.       0.273    0.270     0.0381      0.771     0.763   +0.1072   -0.035</w:t></w:r>
</w:p>
<w:p>
<w:pPr><w:pStyle w:val="Normal"/></w:pPr>
<w:r><w:t xml:space="preserve">+9 deg.       0.305    0.300     0.0477      0.800     0.790   +0.1251   -0.042</w:t></w:r>
</w:p>
<w:p>
<w:pPr><w:pStyle w:val="Normal"/></w:pPr>
<w:r><w:t xml:space="preserve">10 deg.       0.337    0.332     0.0585      0.825     0.812   +0.1432   -0.050</w:t></w:r>
</w:p>
<w:p>
<w:pPr><w:pStyle w:val="Normal"/></w:pPr>
<w:r><w:t xml:space="preserve">11 deg.       0.369    0.362     0.0702      0.846     0.830   +0.1614   -0.058</w:t></w:r>
</w:p>
<w:p>
<w:pPr><w:pStyle w:val="Normal"/></w:pPr>
<w:r><w:t xml:space="preserve">12 deg.       0.398    0.390     0.0828      0.864     0.845   +0.1803   -0.064</w:t></w:r>
</w:p>
<w:p>
<w:pPr><w:pStyle w:val="Normal"/></w:pPr>
<w:r><w:t xml:space="preserve">13 deg.       0.431    0.419     0.0971      0.879     0.856   +0.1976   -0.070</w:t></w:r>
</w:p>
<w:p>
<w:pPr><w:pStyle w:val="Normal"/></w:pPr>
<w:r><w:t xml:space="preserve">14 deg.       0.457    0.443     0.1155      0.891     0.864   +0.2156   -0.074</w:t></w:r>
</w:p>
<w:p>
<w:pPr><w:pStyle w:val="Normal"/></w:pPr>
<w:r><w:t xml:space="preserve">15 deg.       0.486    0.468     0.1240      0.901     0.870   +0.2332   -0.076</w:t></w:r>
</w:p>
<w:p>
<w:pPr><w:pStyle w:val="Normal"/></w:pPr>
<w:r><w:t xml:space="preserve">The sustaining power, or ``lift&apos;&apos; which in horizontal flight</w:t></w:r>
</w:p>
<w:p>
<w:pPr><w:pStyle w:val="Normal"/></w:pPr>
<w:r><w:t xml:space="preserve">must be equal to the weight, can be calculated by the formula</w:t></w:r>
</w:p>
<w:p>
<w:pPr><w:pStyle w:val="Normal"/></w:pPr>
<w:r><w:t xml:space="preserve">L=KV2Secosa, or the factor may be taken direct from the</w:t></w:r>
</w:p>
<w:p>
<w:pPr><w:pStyle w:val="Normal"/></w:pPr>
<w:r><w:t xml:space="preserve">table, in which the ``lift&apos;&apos; and the ``drift&apos;&apos; have been obtained</w:t></w:r>
</w:p>
<w:p>
<w:pPr><w:pStyle w:val="Normal"/></w:pPr>
<w:r><w:t xml:space="preserve">by multiplying the normal e by the cosine and sine of the</w:t></w:r>
</w:p>
<w:p>
<w:pPr><w:pStyle w:val="Normal"/></w:pPr>
<w:r><w:t xml:space="preserve">angle.  The last column shows the tangential pressure on concave</w:t></w:r>
</w:p>
<w:p>
<w:pPr><w:pStyle w:val="Normal"/></w:pPr>
<w:r><w:t xml:space="preserve">surfaces which O. Lilienthal found to possess a propelling</w:t></w:r>
</w:p>
<w:p>
<w:pPr><w:pStyle w:val="Normal"/></w:pPr>
<w:r><w:t xml:space="preserve">component between 3 deg.  and 32 deg.  and therefore to be negative</w:t></w:r>
</w:p>
<w:p>
<w:pPr><w:pStyle w:val="Normal"/></w:pPr>
<w:r><w:t xml:space="preserve">to the relative wind.  Former modes of computation indicated</w:t></w:r>
</w:p>
<w:p>
<w:pPr><w:pStyle w:val="Normal"/></w:pPr>
<w:r><w:t xml:space="preserve">angles of 10 to 15 as necessary for support with planes.  These</w:t></w:r>
</w:p>
<w:p>
<w:pPr><w:pStyle w:val="Normal"/></w:pPr>
<w:r><w:t xml:space="preserve">mere prohibitory in consequence of the great ``drift&apos;&apos;; but</w:t></w:r>
</w:p>
<w:p>
<w:pPr><w:pStyle w:val="Normal"/></w:pPr>
<w:r><w:t xml:space="preserve">the present data indicate that, with concave surfaces, angles</w:t></w:r>
</w:p>
<w:p>
<w:pPr><w:pStyle w:val="Normal"/></w:pPr>
<w:r><w:t xml:space="preserve">of 2 deg.  to 5 will produce adequate ``lift.&apos;&apos; To compute the</w:t></w:r>
</w:p>
<w:p>
<w:pPr><w:pStyle w:val="Normal"/></w:pPr>
<w:r><w:t xml:space="preserve">latter the angle at which the wings are to be set must first be</w:t></w:r>
</w:p>
<w:p>
<w:pPr><w:pStyle w:val="Normal"/></w:pPr>
<w:r><w:t xml:space="preserve">assumed, and that of @ will generally be found preferable.</w:t></w:r>
</w:p>
<w:p>
<w:pPr><w:pStyle w:val="Normal"/></w:pPr>
<w:r><w:t xml:space="preserve">Then the required velocity is next to be computed by the formula</w:t></w:r>
</w:p>
<w:p>
<w:pPr><w:pStyle w:val="Normal"/></w:pPr>
<w:r><w:t xml:space="preserve">$$V = \sqrt{L\over KS\eta\cos\alpha};$$</w:t></w:r>
</w:p>
<w:p>
<w:pPr><w:pStyle w:val="Normal"/></w:pPr>
<w:r><w:t xml:space="preserve">or for concave wings at +3 deg. :</w:t></w:r>
</w:p>
<w:p>
<w:pPr><w:pStyle w:val="Normal"/></w:pPr>
<w:r><w:t xml:space="preserve">$$V = \sqrt{W\over 0.545KS}.$$</w:t></w:r>
</w:p>
<w:p>
<w:pPr><w:pStyle w:val="Normal"/></w:pPr>
<w:r><w:t xml:space="preserve">Having thus determined the weight, the surface, the angle of</w:t></w:r>
</w:p>
<w:p>
<w:pPr><w:pStyle w:val="Normal"/></w:pPr>
<w:r><w:t xml:space="preserve">incidence and the required seed for horizontal support, the</w:t></w:r>
</w:p>
<w:p>
<w:pPr><w:pStyle w:val="Normal"/></w:pPr>
<w:r><w:t xml:space="preserve">next step is to calculate the power required.  This is best</w:t></w:r>
</w:p>
<w:p>
<w:pPr><w:pStyle w:val="Normal"/></w:pPr>
<w:r><w:t xml:space="preserve">accomplished by first obtaining the total resistances, which</w:t></w:r>
</w:p>
<w:p>
<w:pPr><w:pStyle w:val="Normal"/></w:pPr>
<w:r><w:t xml:space="preserve">consist of the ``drift&apos;&apos; and of the head resistances due to</w:t></w:r>
</w:p>
<w:p>
<w:pPr><w:pStyle w:val="Normal"/></w:pPr>
<w:r><w:t xml:space="preserve">the hull and framing.  The latter are arrived at preferably</w:t></w:r>
</w:p>
<w:p>
<w:pPr><w:pStyle w:val="Normal"/></w:pPr>
<w:r><w:t xml:space="preserve">by making a tabular statement showing all the spars and parts</w:t></w:r>
</w:p>
<w:p>
<w:pPr><w:pStyle w:val="Normal"/></w:pPr>
<w:r><w:t xml:space="preserve">offering head resistance, and applying to each, the coefficient</w:t></w:r>
</w:p>
<w:p>
<w:pPr><w:pStyle w:val="Normal"/></w:pPr>
<w:r><w:t xml:space="preserve">appropriate to its ``master section,&apos;&apos; as ascertained by</w:t></w:r>
</w:p>
<w:p>
<w:pPr><w:pStyle w:val="Normal"/></w:pPr>
<w:r><w:t xml:space="preserve">experiment.  Thus is obtained an ``equivalent area&apos;&apos; of resistance,</w:t></w:r>
</w:p>
<w:p>
<w:pPr><w:pStyle w:val="Normal"/></w:pPr>
<w:r><w:t xml:space="preserve">which is to be multiplied by the wind pressure due to the</w:t></w:r>
</w:p>
<w:p>
<w:pPr><w:pStyle w:val="Normal"/></w:pPr>
<w:r><w:t xml:space="preserve">speed.  Care must be taken to resolve all the resistances at</w:t></w:r>
</w:p>
<w:p>
<w:pPr><w:pStyle w:val="Normal"/></w:pPr>
<w:r><w:t xml:space="preserve">their proper angle of application, and to subtract or add the</w:t></w:r>
</w:p>
<w:p>
<w:pPr><w:pStyle w:val="Normal"/></w:pPr>
<w:r><w:t xml:space="preserve">tangential force, which consists in the surface S, multiplied</w:t></w:r>
</w:p>
<w:p>
<w:pPr><w:pStyle w:val="Normal"/></w:pPr>
<w:r><w:t xml:space="preserve">by the wind pressure, and by the factor in the table, which</w:t></w:r>
</w:p>
<w:p>
<w:pPr><w:pStyle w:val="Normal"/></w:pPr>
<w:r><w:t xml:space="preserve">is, however, 0 for 3 and 32, but positive or negative at other</w:t></w:r>
</w:p>
<w:p>
<w:pPr><w:pStyle w:val="Normal"/></w:pPr>
<w:r><w:t xml:space="preserve">angles.  When the aggregate resistances are known, the ``thrust</w:t></w:r>
</w:p>
<w:p>
<w:pPr><w:pStyle w:val="Normal"/></w:pPr>
<w:r><w:t xml:space="preserve">h.p.&apos;&apos; required is obtained by multiplying the resistance by the</w:t></w:r>
</w:p>
<w:p>
<w:pPr><w:pStyle w:val="Normal"/></w:pPr>
<w:r><w:t xml:space="preserve">speed, and then allowing for mechanical losses in the motor and</w:t></w:r>
</w:p>
<w:p>
<w:pPr><w:pStyle w:val="Normal"/></w:pPr>
<w:r><w:t xml:space="preserve">propeller, which losses will generally be 50% of indicated</w:t></w:r>
</w:p>
<w:p>
<w:pPr><w:pStyle w:val="Normal"/></w:pPr>
<w:r><w:t xml:space="preserve">h.p.  Close approximations are obtained by the above method</w:t></w:r>
</w:p>
<w:p>
<w:pPr><w:pStyle w:val="Normal"/></w:pPr>
<w:r><w:t xml:space="preserve">when applied to full sized apparatus.  The following example</w:t></w:r>
</w:p>
<w:p>
<w:pPr><w:pStyle w:val="Normal"/></w:pPr>
<w:r><w:t xml:space="preserve">will make the process clearer.  The weight to he carried</w:t></w:r>
</w:p>
<w:p>
<w:pPr><w:pStyle w:val="Normal"/></w:pPr>
<w:r><w:t xml:space="preserve">by an apparatus was 189 lb. on concave wings of 143.5 sq.</w:t></w:r>
</w:p>
<w:p>
<w:pPr><w:pStyle w:val="Normal"/></w:pPr>
<w:r><w:t xml:space="preserve">ft. area, set at a positive angle of 3 deg.  There were in</w:t></w:r>
</w:p>
<w:p>
<w:pPr><w:pStyle w:val="Normal"/></w:pPr>
<w:r><w:t xml:space="preserve">addition rear wings of 29.5 sq. ft., set at a negative angle</w:t></w:r>
</w:p>
<w:p>
<w:pPr><w:pStyle w:val="Normal"/></w:pPr>
<w:r><w:t xml:space="preserve">of 3 deg. ; hence, L= 189=.o.oo5XV2X143.5X0.545.  Whence</w:t></w:r>
</w:p>
<w:p>
<w:pPr><w:pStyle w:val="Normal"/></w:pPr>
<w:r><w:t xml:space="preserve">$$V = \sqrt{189\over 0.005\times 143.5\times 0.545</w:t></w:r>
</w:p>
<w:p>
<w:pPr><w:pStyle w:val="Normal"/></w:pPr>
<w:r><w:t xml:space="preserve">= 22\hbox{ miles per hour},$$</w:t></w:r>
</w:p>
<w:p>
<w:pPr><w:pStyle w:val="Normal"/></w:pPr>
<w:r><w:t xml:space="preserve">at which the air pressure would be 2.42 lb. per sq. ft.  The area</w:t></w:r>
</w:p>
<w:p>
<w:pPr><w:pStyle w:val="Normal"/></w:pPr>
<w:r><w:t xml:space="preserve">of spars and man was 17.86 sq. ft., reduced by various coefficients</w:t></w:r>
</w:p>
<w:p>
<w:pPr><w:pStyle w:val="Normal"/></w:pPr>
<w:r><w:t xml:space="preserve">to an ``equivalent surface&apos;&apos; of 11.70 sq. ft., so that the</w:t></w:r>
</w:p>
<w:p>
<w:pPr><w:pStyle w:val="Normal"/></w:pPr>
<w:r><w:t xml:space="preserve">resistances were:-- Drift front wings, 143.5X0.0285X2.42 . . .</w:t></w:r>
</w:p>
<w:p>
<w:pPr><w:pStyle w:val="Normal"/></w:pPr>
<w:r><w:t xml:space="preserve">.= 9.90 lb.  Drift rear wings, 29.5X(o.o43-0.242X0.05235)X2.42</w:t></w:r>
</w:p>
<w:p>
<w:pPr><w:pStyle w:val="Normal"/></w:pPr>
<w:r><w:t xml:space="preserve">= 2.17 lb.  Tangential force at 3 deg.  . . . . . . . . =</w:t></w:r>
</w:p>
<w:p>
<w:pPr><w:pStyle w:val="Normal"/></w:pPr>
<w:r><w:t xml:space="preserve">0.00 lb.  Head resistance, 11.70X2.43 . . . . . = 28.31</w:t></w:r>
</w:p>
<w:p>
<w:pPr><w:pStyle w:val="Normal"/></w:pPr>
<w:r><w:t xml:space="preserve">Total resistance . . . . . . . .= 40.38</w:t></w:r>
</w:p>
<w:p>
<w:pPr><w:pStyle w:val="Normal"/></w:pPr>
<w:r><w:t xml:space="preserve">Speed 22 miles per hour.  Power = (40.38X22)/375 = 2.36 h.p. for</w:t></w:r>
</w:p>
<w:p>
<w:pPr><w:pStyle w:val="Normal"/></w:pPr>
<w:r><w:t xml:space="preserve">the ``thrust&apos;&apos; or 4.72 h.p. for the motor.  The weight being 189</w:t></w:r>
</w:p>
<w:p>
<w:pPr><w:pStyle w:val="Normal"/></w:pPr>
<w:r><w:t xml:space="preserve">lb., and the resistance 40.38 lb., the gliding angle of descent was</w:t></w:r>
</w:p>
<w:p>
<w:pPr><w:pStyle w:val="Normal"/></w:pPr>
<w:r><w:t xml:space="preserve">40.38/189 = tangent of 12 deg. , which was verified by many experiments.</w:t></w:r>
</w:p>
<w:p>
<w:pPr><w:pStyle w:val="Normal"/></w:pPr>
<w:r><w:t xml:space="preserve">The following expressions will be found useful in computing</w:t></w:r>
</w:p>
<w:p>
<w:pPr><w:pStyle w:val="Normal"/></w:pPr>
<w:r><w:t xml:space="preserve">such projects, with the aid of the table above given:</w:t></w:r>
</w:p>
<w:p>
<w:pPr><w:pStyle w:val="Normal"/></w:pPr>
<w:r><w:t xml:space="preserve">1. Wind force, F = KV2.             8. Drift, D = KSV2esina</w:t></w:r>
</w:p>
<w:p>
<w:pPr><w:pStyle w:val="Normal"/></w:pPr>
<w:r><w:t xml:space="preserve">2. Pressure, P = KV2S.              9. Head area E, get an equivalent</w:t></w:r>
</w:p>
<w:p>
<w:pPr><w:pStyle w:val="Normal"/></w:pPr>
<w:r><w:t xml:space="preserve">3. Velocity, V = sqrt. (W/(KSecosa))</w:t></w:r>
</w:p>
<w:p>
<w:pPr><w:pStyle w:val="Normal"/></w:pPr>
<w:r><w:t xml:space="preserve">10. Head resistance, H = EF.</w:t></w:r>
</w:p>
<w:p>
<w:pPr><w:pStyle w:val="Normal"/></w:pPr>
<w:r><w:t xml:space="preserve">4. Surface S varies as 1/V2.       11. Tangential force, T = Pa</w:t></w:r>
</w:p>
<w:p>
<w:pPr><w:pStyle w:val="Normal"/></w:pPr>
<w:r><w:t xml:space="preserve">5. Normal, N = KSV2e.              12. Resistance, R = D + H (+ or -) T.</w:t></w:r>
</w:p>
<w:p>
<w:pPr><w:pStyle w:val="Normal"/></w:pPr>
<w:r><w:t xml:space="preserve">6. Lift, L = KSV2ecsoa.            13. Ft. lb., M = RV.</w:t></w:r>
</w:p>
<w:p>
<w:pPr><w:pStyle w:val="Normal"/></w:pPr>
<w:r><w:t xml:space="preserve">7. Weight, W = L = Ncosa.          14. Thrust, h.p., = RV/factor.</w:t></w:r>
</w:p>
<w:p>
<w:pPr><w:pStyle w:val="Normal"/></w:pPr>
<w:r><w:t xml:space="preserve">AEROSTATION.---Possibly the flying dove of Archytas of Tarentum</w:t></w:r>
</w:p>
<w:p>
<w:pPr><w:pStyle w:val="Normal"/></w:pPr>
<w:r><w:t xml:space="preserve">is the earliest suggestion of true aerostation.  According to</w:t></w:r>
</w:p>
<w:p>
<w:pPr><w:pStyle w:val="Normal"/></w:pPr>
<w:r><w:t xml:space="preserve">Aulus Genius (Noctes Atticae) it was a ``model of a dove or</w:t></w:r>
</w:p>
<w:p>
<w:pPr><w:pStyle w:val="Normal"/></w:pPr>
<w:r><w:t xml:space="preserve">pigeon formed in wood and so contrived as by a certain mechanical</w:t></w:r>
</w:p>
<w:p>
<w:pPr><w:pStyle w:val="Normal"/></w:pPr>
<w:r><w:t xml:space="preserve">art and power to fly: so nicely was it balanced by weights</w:t></w:r>
</w:p>
<w:p>
<w:pPr><w:pStyle w:val="Normal"/></w:pPr>
<w:r><w:t xml:space="preserve">and put in motion by hidden and enclosed air.&apos;&apos; This ``hidden</w:t></w:r>
</w:p>
<w:p>
<w:pPr><w:pStyle w:val="Normal"/></w:pPr>
<w:r><w:t xml:space="preserve">and enclosed air&apos;&apos; may conceivably represent an anticipation</w:t></w:r>
</w:p>
<w:p>
<w:pPr><w:pStyle w:val="Normal"/></w:pPr>
<w:r><w:t xml:space="preserve">of the hot-air balloon, but it is at least as probable that</w:t></w:r>
</w:p>
<w:p>
<w:pPr><w:pStyle w:val="Normal"/></w:pPr>
<w:r><w:t xml:space="preserve">the apparent flight of the dove was a mere mechanical trick</w:t></w:r>
</w:p>
<w:p>
<w:pPr><w:pStyle w:val="Normal"/></w:pPr>
<w:r><w:t xml:space="preserve">depending on the use of fine wires or strings invisible to the</w:t></w:r>
</w:p>
<w:p>
<w:pPr><w:pStyle w:val="Normal"/></w:pPr>
<w:r><w:t xml:space="preserve">spectators.  In the middle ages vague ideas appear of some</w:t></w:r>
</w:p>
<w:p>
<w:pPr><w:pStyle w:val="Normal"/></w:pPr>
<w:r><w:t xml:space="preserve">ethereal substance so light that vessels containing it</w:t></w:r>
</w:p>
<w:p>
<w:pPr><w:pStyle w:val="Normal"/></w:pPr>
<w:r><w:t xml:space="preserve">would remain suspended in the air.  Roger Bacon (1214-1294)</w:t></w:r>
</w:p>
<w:p>
<w:pPr><w:pStyle w:val="Normal"/></w:pPr>
<w:r><w:t xml:space="preserve">conceived of a large hollow globe made of very thin metal and</w:t></w:r>
</w:p>
<w:p>
<w:pPr><w:pStyle w:val="Normal"/></w:pPr>
<w:r><w:t xml:space="preserve">filled with ethereal air or liquid fire, which would float on</w:t></w:r>
</w:p>
<w:p>
<w:pPr><w:pStyle w:val="Normal"/></w:pPr>
<w:r><w:t xml:space="preserve">the atmosphere like a ship on water.  Albert of Saxony, who</w:t></w:r>
</w:p>
<w:p>
<w:pPr><w:pStyle w:val="Normal"/></w:pPr>
<w:r><w:t xml:space="preserve">was bishop of Halberstadt from 1366 to 1390, had a similar</w:t></w:r>
</w:p>
<w:p>
<w:pPr><w:pStyle w:val="Normal"/></w:pPr>
<w:r><w:t xml:space="preserve">notion, and considered that a small portion of the principle</w:t></w:r>
</w:p>
<w:p>
<w:pPr><w:pStyle w:val="Normal"/></w:pPr>
<w:r><w:t xml:space="preserve">of fire enclosed in a light sphere would raise it and keep it</w:t></w:r>
</w:p>
<w:p>
<w:pPr><w:pStyle w:val="Normal"/></w:pPr>
<w:r><w:t xml:space="preserve">suspended.  The same speculation was advanced by Francis</w:t></w:r>
</w:p>
<w:p>
<w:pPr><w:pStyle w:val="Normal"/></w:pPr>
<w:r><w:t xml:space="preserve">Mendoza, a Portuguese Jesuit, who died in 1626 at the age of</w:t></w:r>
</w:p>
<w:p>
<w:pPr><w:pStyle w:val="Normal"/></w:pPr>
<w:r><w:t xml:space="preserve">forty-six, and by Gaspar Schott (1608-1666), also a Jesuit</w:t></w:r>
</w:p>
<w:p>
<w:pPr><w:pStyle w:val="Normal"/></w:pPr>
<w:r><w:t xml:space="preserve">and professor of mathematics at Wurzburg, though for fire</w:t></w:r>
</w:p>
<w:p>
<w:pPr><w:pStyle w:val="Normal"/></w:pPr>
<w:r><w:t xml:space="preserve">he substituted the thin ethereal fluid which he believed to</w:t></w:r>
</w:p>
<w:p>
<w:pPr><w:pStyle w:val="Normal"/></w:pPr>
<w:r><w:t xml:space="preserve">float above the atmosphere.  So late as 1755 Joseph Galien</w:t></w:r>
</w:p>
<w:p>
<w:pPr><w:pStyle w:val="Normal"/></w:pPr>
<w:r><w:t xml:space="preserve">(1699-1782), a Dominican friar and professor of philosophy</w:t></w:r>
</w:p>
<w:p>
<w:pPr><w:pStyle w:val="Normal"/></w:pPr>
<w:r><w:t xml:space="preserve">and theology in the papal university of Avignon, proposed to</w:t></w:r>
</w:p>
<w:p>
<w:pPr><w:pStyle w:val="Normal"/></w:pPr>
<w:r><w:t xml:space="preserve">collect the diffuse air of the upper regions and to enclose</w:t></w:r>
</w:p>
<w:p>
<w:pPr><w:pStyle w:val="Normal"/></w:pPr>
<w:r><w:t xml:space="preserve">it in a huge vessel extending more than a mile every way, and</w:t></w:r>
</w:p>
<w:p>
<w:pPr><w:pStyle w:val="Normal"/></w:pPr>
<w:r><w:t xml:space="preserve">intended to carry fifty-four times as much weight as did Noah&apos;s</w:t></w:r>
</w:p>
<w:p>
<w:pPr><w:pStyle w:val="Normal"/></w:pPr>
<w:r><w:t xml:space="preserve">ark.  A somewhat different but equally fantastic method of</w:t></w:r>
</w:p>
<w:p>
<w:pPr><w:pStyle w:val="Normal"/></w:pPr>
<w:r><w:t xml:space="preserve">making heavy bodies rise is quoted by Schott from Lauretus</w:t></w:r>
</w:p>
<w:p>
<w:pPr><w:pStyle w:val="Normal"/></w:pPr>
<w:r><w:t xml:space="preserve">Laurus, according to whom swans&apos; eggs or leather balls filled</w:t></w:r>
</w:p>
<w:p>
<w:pPr><w:pStyle w:val="Normal"/></w:pPr>
<w:r><w:t xml:space="preserve">with nitre, sulphur or mercury ascend when exposed to the</w:t></w:r>
</w:p>
<w:p>
<w:pPr><w:pStyle w:val="Normal"/></w:pPr>
<w:r><w:t xml:space="preserve">sun.  Laurus also stated that hens&apos; eggs filled with dew will</w:t></w:r>
</w:p>
<w:p>
<w:pPr><w:pStyle w:val="Normal"/></w:pPr>
<w:r><w:t xml:space="preserve">ascend in the same circumstances, because dew is shed by the</w:t></w:r>
</w:p>
<w:p>
<w:pPr><w:pStyle w:val="Normal"/></w:pPr>
<w:r><w:t xml:space="preserve">stars and drawn up again to heaven by the sun&apos;s heat during the</w:t></w:r>
</w:p>
<w:p>
<w:pPr><w:pStyle w:val="Normal"/></w:pPr>
<w:r><w:t xml:space="preserve">day.  The same notion is utilized by Cyrano de Bergerac</w:t></w:r>
</w:p>
<w:p>
<w:pPr><w:pStyle w:val="Normal"/></w:pPr>
<w:r><w:t xml:space="preserve">(1619-1655) in his romances describing journeys to the moon</w:t></w:r>
</w:p>
<w:p>
<w:pPr><w:pStyle w:val="Normal"/></w:pPr>
<w:r><w:t xml:space="preserve">and sun, for his French traveller fastens round his body a</w:t></w:r>
</w:p>
<w:p>
<w:pPr><w:pStyle w:val="Normal"/></w:pPr>
<w:r><w:t xml:space="preserve">multitude of very thin flasks filled with the morning&apos;s dew,</w:t></w:r>
</w:p>
<w:p>
<w:pPr><w:pStyle w:val="Normal"/></w:pPr>
<w:r><w:t xml:space="preserve">whereby through the attractive power of the sun&apos;s heat on the</w:t></w:r>
</w:p>
<w:p>
<w:pPr><w:pStyle w:val="Normal"/></w:pPr>
<w:r><w:t xml:space="preserve">dew he is raised to the middle regions of the atmosphere, to</w:t></w:r>
</w:p>
<w:p>
<w:pPr><w:pStyle w:val="Normal"/></w:pPr>
<w:r><w:t xml:space="preserve">sink again, however, on the breaking of some of the flasks.</w:t></w:r>
</w:p>
<w:p>
<w:pPr><w:pStyle w:val="Normal"/></w:pPr>
<w:r><w:t xml:space="preserve">A distinct advance on Schott is marked by the scheme for aerial</w:t></w:r>
</w:p>
<w:p>
<w:pPr><w:pStyle w:val="Normal"/></w:pPr>
<w:r><w:t xml:space="preserve">navigation proposed by the Jesuit, Francis Lana (1631-1687),</w:t></w:r>
</w:p>
<w:p>
<w:pPr><w:pStyle w:val="Normal"/></w:pPr>
<w:r><w:t xml:space="preserve">in his book, published at Brescia in 1670, Prodromo ovvero</w:t></w:r>
</w:p>
<w:p>
<w:pPr><w:pStyle w:val="Normal"/></w:pPr>
<w:r><w:t xml:space="preserve">Saggio di alcune invenzioni nuove promesso all&apos; Arte Maestra.</w:t></w:r>
</w:p>
<w:p>
<w:pPr><w:pStyle w:val="Normal"/></w:pPr>
<w:r><w:t xml:space="preserve">His idea, though useless and unpractical in so far that it</w:t></w:r>
</w:p>
<w:p>
<w:pPr><w:pStyle w:val="Normal"/></w:pPr>
<w:r><w:t xml:space="preserve">could never be carried out, is yet deserving of notice, as</w:t></w:r>
</w:p>
<w:p>
<w:pPr><w:pStyle w:val="Normal"/></w:pPr>
<w:r><w:t xml:space="preserve">the principles involved are sound; and this can be said of</w:t></w:r>
</w:p>
<w:p>
<w:pPr><w:pStyle w:val="Normal"/></w:pPr>
<w:r><w:t xml:space="preserve">no earlier attempt.  His project was to procure four copper</w:t></w:r>
</w:p>
<w:p>
<w:pPr><w:pStyle w:val="Normal"/></w:pPr>
<w:r><w:t xml:space="preserve">balls of very large dimensions (fig. 1), yet so extremely</w:t></w:r>
</w:p>
<w:p>
<w:pPr><w:pStyle w:val="Normal"/></w:pPr>
<w:r><w:t xml:space="preserve">thin that after the air was exhausted from them they would</w:t></w:r>
</w:p>
<w:p>
<w:pPr><w:pStyle w:val="Normal"/></w:pPr>
<w:r><w:t xml:space="preserve">be lighter than the air they displaced and so would rise;</w:t></w:r>
</w:p>
<w:p>
<w:pPr><w:pStyle w:val="Normal"/></w:pPr>
<w:r><w:t xml:space="preserve">and to those four balls he proposed to attach a boat, with</w:t></w:r>
</w:p>
<w:p>
<w:pPr><w:pStyle w:val="Normal"/></w:pPr>
<w:r><w:t xml:space="preserve">sails, &amp;c., which would carry up a man.  He submitted the</w:t></w:r>
</w:p>
<w:p>
<w:pPr><w:pStyle w:val="Normal"/></w:pPr>
<w:r><w:t xml:space="preserve">whole matter to calculation, and proposed that the globes</w:t></w:r>
</w:p>
<w:p>
<w:pPr><w:pStyle w:val="Normal"/></w:pPr>
<w:r><w:t xml:space="preserve">should be about 25 ft. in diameter and 1/225th of an inch</w:t></w:r>
</w:p>
<w:p>
<w:pPr><w:pStyle w:val="Normal"/></w:pPr>
<w:r><w:t xml:space="preserve">in thickness; this would give from all four balls a total</w:t></w:r>
</w:p>
<w:p>
<w:pPr><w:pStyle w:val="Normal"/></w:pPr>
<w:r><w:t xml:space="preserve">ascensional force of about 1200 lb., which would be quite enough</w:t></w:r>
</w:p>
<w:p>
<w:pPr><w:pStyle w:val="Normal"/></w:pPr>
<w:r><w:t xml:space="preserve">to raise the boat, sails, passengers, &amp;c. But the obvious</w:t></w:r>
</w:p>
<w:p>
<w:pPr><w:pStyle w:val="Normal"/></w:pPr>
<w:r><w:t xml:space="preserve">objection to the whole scheme is, that it would be quite</w:t></w:r>
</w:p>
<w:p>
<w:pPr><w:pStyle w:val="Normal"/></w:pPr>
<w:r><w:t xml:space="preserve">impossible to construct a globe of so large a size and of</w:t></w:r>
</w:p>
<w:p>
<w:pPr><w:pStyle w:val="Normal"/></w:pPr>
<w:r><w:t xml:space="preserve">such small thickness which would even support its own weight</w:t></w:r>
</w:p>
<w:p>
<w:pPr><w:pStyle w:val="Normal"/></w:pPr>
<w:r><w:t xml:space="preserve">without collapsing if placed on the ground, much less bear</w:t></w:r>
</w:p>
<w:p>
<w:pPr><w:pStyle w:val="Normal"/></w:pPr>
<w:r><w:t xml:space="preserve">the external atmospheric pressure when the internal air was</w:t></w:r>
</w:p>
<w:p>
<w:pPr><w:pStyle w:val="Normal"/></w:pPr>
<w:r><w:t xml:space="preserve">removed.  Lana himself noticed this objection, but he</w:t></w:r>
</w:p>
<w:p>
<w:pPr><w:pStyle w:val="Normal"/></w:pPr>
<w:r><w:t xml:space="preserve">thought that the spherical form of the copper shell would,</w:t></w:r>
</w:p>
<w:p>
<w:pPr><w:pStyle w:val="Normal"/></w:pPr>
<w:r><w:t xml:space="preserve">notwithstanding its extreme thinness, enable it, after the</w:t></w:r>
</w:p>
<w:p>
<w:pPr><w:pStyle w:val="Normal"/></w:pPr>
<w:r><w:t xml:space="preserve">exhaustion was effected, to sustain the enormous pressure,</w:t></w:r>
</w:p>
<w:p>
<w:pPr><w:pStyle w:val="Normal"/></w:pPr>
<w:r><w:t xml:space="preserve">which, acting equally on every point of the surface, would tend</w:t></w:r>
</w:p>
<w:p>
<w:pPr><w:pStyle w:val="Normal"/></w:pPr>
<w:r><w:t xml:space="preserve">to consolidate rather than to break the metal.  His proposal</w:t></w:r>
</w:p>
<w:p>
<w:pPr><w:pStyle w:val="Normal"/></w:pPr>
<w:r><w:t xml:space="preserve">to exhaust the air from the globes by attaching to each a</w:t></w:r>
</w:p>
<w:p>
<w:pPr><w:pStyle w:val="Normal"/></w:pPr>
<w:r><w:t xml:space="preserve">tube 36 ft. long, fitted with a stopcock, and so producing</w:t></w:r>
</w:p>
<w:p>
<w:pPr><w:pStyle w:val="Normal"/></w:pPr>
<w:r><w:t xml:space="preserve">a Torricellian vacuum, suggests that he was ignorant of the</w:t></w:r>
</w:p>
<w:p>
<w:pPr><w:pStyle w:val="Normal"/></w:pPr>
<w:r><w:t xml:space="preserve">invention of the air-pump by Otto von Guericke about 1650.</w:t></w:r>
</w:p>
<w:p>
<w:pPr><w:pStyle w:val="Normal"/></w:pPr>
<w:r><w:t xml:space="preserve">We now come to the invention of the balloon, which was</w:t></w:r>
</w:p>
<w:p>
<w:pPr><w:pStyle w:val="Normal"/></w:pPr>
<w:r><w:t xml:space="preserve">due to Joseph Michel Montgolfier (1740-1810) and Jacques</w:t></w:r>
</w:p>
<w:p>
<w:pPr><w:pStyle w:val="Normal"/></w:pPr>
<w:r><w:t xml:space="preserve">Etienne Montgolfier (1745-1799), sons of Pierre Montgolfier,</w:t></w:r>
</w:p>
<w:p>
<w:pPr><w:pStyle w:val="Normal"/></w:pPr>
<w:r><w:t xml:space="preserve">a large and celebrated papermaker at Annonay, a town about</w:t></w:r>
</w:p>
<w:p>
<w:pPr><w:pStyle w:val="Normal"/></w:pPr>
<w:r><w:t xml:space="preserve">40 m. from Lyons.  The brothers had observed the suspension</w:t></w:r>
</w:p>
<w:p>
<w:pPr><w:pStyle w:val="Normal"/></w:pPr>
<w:r><w:t xml:space="preserve">of clouds in the atmosphere, and it occurred to them that</w:t></w:r>
</w:p>
<w:p>
<w:pPr><w:pStyle w:val="Normal"/></w:pPr>
<w:r><w:t xml:space="preserve">if they could enclose any vapour of the nature of a cloud in</w:t></w:r>
</w:p>
<w:p>
<w:pPr><w:pStyle w:val="Normal"/></w:pPr>
<w:r><w:t xml:space="preserve">a large and very light bag, it might rise and carry the bag</w:t></w:r>
</w:p>
<w:p>
<w:pPr><w:pStyle w:val="Normal"/></w:pPr>
<w:r><w:t xml:space="preserve">with it into the air.  Towards the end of 1782 they inflated</w:t></w:r>
</w:p>
<w:p>
<w:pPr><w:pStyle w:val="Normal"/></w:pPr>
<w:r><w:t xml:space="preserve">bags with smoke from a fire placed underneath, and found</w:t></w:r>
</w:p>
<w:p>
<w:pPr><w:pStyle w:val="Normal"/></w:pPr>
<w:r><w:t xml:space="preserve">that either the smoke or some vapour emitted from the fire</w:t></w:r>
</w:p>
<w:p>
<w:pPr><w:pStyle w:val="Normal"/></w:pPr>
<w:r><w:t xml:space="preserve">did ascend and carry the bag with it.  Being thus assured</w:t></w:r>
</w:p>
<w:p>
<w:pPr><w:pStyle w:val="Normal"/></w:pPr>
<w:r><w:t xml:space="preserve">of the correctness of their views, they determined to have a</w:t></w:r>
</w:p>
<w:p>
<w:pPr><w:pStyle w:val="Normal"/></w:pPr>
<w:r><w:t xml:space="preserve">public ascent of a balloon on a large scale.  They accordingly</w:t></w:r>
</w:p>
<w:p>
<w:pPr><w:pStyle w:val="Normal"/></w:pPr>
<w:r><w:t xml:space="preserve">invited the States of Vivarais, then assembled at Annonay,</w:t></w:r>
</w:p>
<w:p>
<w:pPr><w:pStyle w:val="Normal"/></w:pPr>
<w:r><w:t xml:space="preserve">to witness their aerostatic experiment; and on the 5th of</w:t></w:r>
</w:p>
<w:p>
<w:pPr><w:pStyle w:val="Normal"/></w:pPr>
<w:r><w:t xml:space="preserve">June 1783, in the presence of a considerable concourse of</w:t></w:r>
</w:p>
<w:p>
<w:pPr><w:pStyle w:val="Normal"/></w:pPr>
<w:r><w:t xml:space="preserve">spectators, a linen globe of 105 ft. in circumference was</w:t></w:r>
</w:p>
<w:p>
<w:pPr><w:pStyle w:val="Normal"/></w:pPr>
<w:r><w:t xml:space="preserve">inflated over a fire fed with small bundles of chopped straw.</w:t></w:r>
</w:p>
<w:p>
<w:pPr><w:pStyle w:val="Normal"/></w:pPr>
<w:r><w:t xml:space="preserve">When released it rapidly rose to a great height, and descended,</w:t></w:r>
</w:p>
<w:p>
<w:pPr><w:pStyle w:val="Normal"/></w:pPr>
<w:r><w:t xml:space="preserve">at the expiration of ten minutes, at the distance of about</w:t></w:r>
</w:p>
<w:p>
<w:pPr><w:pStyle w:val="Normal"/></w:pPr>
<w:r><w:t xml:space="preserve">1 1/2m.  This was the discovery of the balloon.  The brothers</w:t></w:r>
</w:p>
<w:p>
<w:pPr><w:pStyle w:val="Normal"/></w:pPr>
<w:r><w:t xml:space="preserve">Montgolfier imagined that the bag rose because of the levity</w:t></w:r>
</w:p>
<w:p>
<w:pPr><w:pStyle w:val="Normal"/></w:pPr>
<w:r><w:t xml:space="preserve">of the smoke or other vapour given forth by the burning straw;</w:t></w:r>
</w:p>
<w:p>
<w:pPr><w:pStyle w:val="Normal"/></w:pPr>
<w:r><w:t xml:space="preserve">and it was not till some time later that it was recognized that</w:t></w:r>
</w:p>
<w:p>
<w:pPr><w:pStyle w:val="Normal"/></w:pPr>
<w:r><w:t xml:space="preserve">the ascending power was due merely to the lightness of heated</w:t></w:r>
</w:p>
<w:p>
<w:pPr><w:pStyle w:val="Normal"/></w:pPr>
<w:r><w:t xml:space="preserve">air compared to an equal volume of air at a lower temperature.</w:t></w:r>
</w:p>
<w:p>
<w:pPr><w:pStyle w:val="Normal"/></w:pPr>
<w:r><w:t xml:space="preserve">In this balloon, no source of heat was taken up, so that the</w:t></w:r>
</w:p>
<w:p>
<w:pPr><w:pStyle w:val="Normal"/></w:pPr>
<w:r><w:t xml:space="preserve">air inside rapidly Cooled, and the balloon soon descended.</w:t></w:r>
</w:p>
<w:p>
<w:pPr><w:pStyle w:val="Normal"/></w:pPr>
<w:r><w:t xml:space="preserve">The news of the experiment at Annonay attracted so much</w:t></w:r>
</w:p>
<w:p>
<w:pPr><w:pStyle w:val="Normal"/></w:pPr>
<w:r><w:t xml:space="preserve">attention at Paris that Barthelemi Faujas de Saint-Fond</w:t></w:r>
</w:p>
<w:p>
<w:pPr><w:pStyle w:val="Normal"/></w:pPr>
<w:r><w:t xml:space="preserve">(1741-1819), afterwards professor of geology at the Musee</w:t></w:r>
</w:p>
<w:p>
<w:pPr><w:pStyle w:val="Normal"/></w:pPr>
<w:r><w:t xml:space="preserve">d&apos;Histoire Naturelle, set on foot a subscription for paying</w:t></w:r>
</w:p>
<w:p>
<w:pPr><w:pStyle w:val="Normal"/></w:pPr>
<w:r><w:t xml:space="preserve">the expense of repeating the experiment.  The balloon was</w:t></w:r>
</w:p>
<w:p>
<w:pPr><w:pStyle w:val="Normal"/></w:pPr>
<w:r><w:t xml:space="preserve">constructed by two brothers of the name of Robert, under</w:t></w:r>
</w:p>
<w:p>
<w:pPr><w:pStyle w:val="Normal"/></w:pPr>
<w:r><w:t xml:space="preserve">the superintendence of the physicist, J. A. C. Charles.  The</w:t></w:r>
</w:p>
<w:p>
<w:pPr><w:pStyle w:val="Normal"/></w:pPr>
<w:r><w:t xml:space="preserve">first suggestion was to copy the process of Montgolfier, but</w:t></w:r>
</w:p>
<w:p>
<w:pPr><w:pStyle w:val="Normal"/></w:pPr>
<w:r><w:t xml:space="preserve">Charles proposed the application of hydrogen gas, which was</w:t></w:r>
</w:p>
<w:p>
<w:pPr><w:pStyle w:val="Normal"/></w:pPr>
<w:r><w:t xml:space="preserve">adopted.  The filling of the balloon, which was made of</w:t></w:r>
</w:p>
<w:p>
<w:pPr><w:pStyle w:val="Normal"/></w:pPr>
<w:r><w:t xml:space="preserve">thin silk varnished with a solution of elastic gum, and was</w:t></w:r>
</w:p>
<w:p>
<w:pPr><w:pStyle w:val="Normal"/></w:pPr>
<w:r><w:t xml:space="preserve">about 13 ft. in diameter, was begun on the 23rd of August</w:t></w:r>
</w:p>
<w:p>
<w:pPr><w:pStyle w:val="Normal"/></w:pPr>
<w:r><w:t xml:space="preserve">1783, in the Place des Victoires.  The hydrogen gas was</w:t></w:r>
</w:p>
<w:p>
<w:pPr><w:pStyle w:val="Normal"/></w:pPr>
<w:r><w:t xml:space="preserve">obtained by the action of dilute sulphuric acid upon iron</w:t></w:r>
</w:p>
<w:p>
<w:pPr><w:pStyle w:val="Normal"/></w:pPr>
<w:r><w:t xml:space="preserve">filings, and was introduced through leaden pipes; but as the</w:t></w:r>
</w:p>
<w:p>
<w:pPr><w:pStyle w:val="Normal"/></w:pPr>
<w:r><w:t xml:space="preserve">gas was not passed through cold water, great difficulty. was</w:t></w:r>
</w:p>
<w:p>
<w:pPr><w:pStyle w:val="Normal"/></w:pPr>
<w:r><w:t xml:space="preserve">experienced in filling the balloon completely; and altogether</w:t></w:r>
</w:p>
<w:p>
<w:pPr><w:pStyle w:val="Normal"/></w:pPr>
<w:r><w:t xml:space="preserve">about 300 lb. of sulphuric acid and twice that amount of iron</w:t></w:r>
</w:p>
<w:p>
<w:pPr><w:pStyle w:val="Normal"/></w:pPr>
<w:r><w:t xml:space="preserve">filings were used (fig. 2). Bulletins were issued daily of</w:t></w:r>
</w:p>
<w:p>
<w:pPr><w:pStyle w:val="Normal"/></w:pPr>
<w:r><w:t xml:space="preserve">the progress of the inflation; and the crowd was so great</w:t></w:r>
</w:p>
<w:p>
<w:pPr><w:pStyle w:val="Normal"/></w:pPr>
<w:r><w:t xml:space="preserve">that on the 26th the balloon was moved secretly by night</w:t></w:r>
</w:p>
<w:p>
<w:pPr><w:pStyle w:val="Normal"/></w:pPr>
<w:r><w:t xml:space="preserve">to the Champ de Mars, a distance of 2 m.  On the next day</w:t></w:r>
</w:p>
<w:p>
<w:pPr><w:pStyle w:val="Normal"/></w:pPr>
<w:r><w:t xml:space="preserve">an immense concourse of people covered the Champ de Mars,</w:t></w:r>
</w:p>
<w:p>
<w:pPr><w:pStyle w:val="Normal"/></w:pPr>
<w:r><w:t xml:space="preserve">and every spot from which a view could be ob obtained was</w:t></w:r>
</w:p>
<w:p>
<w:pPr><w:pStyle w:val="Normal"/></w:pPr>
<w:r><w:t xml:space="preserve">crowded.  About five o&apos;clock a cannon was discharged as the</w:t></w:r>
</w:p>
<w:p>
<w:pPr><w:pStyle w:val="Normal"/></w:pPr>
<w:r><w:t xml:space="preserve">signal for the ascent, and the balloon when liberated rose to</w:t></w:r>
</w:p>
<w:p>
<w:pPr><w:pStyle w:val="Normal"/></w:pPr>
<w:r><w:t xml:space="preserve">the height of about 3000 ft. with great rapidity.  A shower</w:t></w:r>
</w:p>
<w:p>
<w:pPr><w:pStyle w:val="Normal"/></w:pPr>
<w:r><w:t xml:space="preserve">of rain which began to fall directly after it had left the</w:t></w:r>
</w:p>
<w:p>
<w:pPr><w:pStyle w:val="Normal"/></w:pPr>
<w:r><w:t xml:space="preserve">earth in no way checked its progress; and the excitement was so</w:t></w:r>
</w:p>
<w:p>
<w:pPr><w:pStyle w:val="Normal"/></w:pPr>
<w:r><w:t xml:space="preserve">great, that thousands of well-dressed spectators, many of them</w:t></w:r>
</w:p>
<w:p>
<w:pPr><w:pStyle w:val="Normal"/></w:pPr>
<w:r><w:t xml:space="preserve">ladies, stood exposed, watching it intently the whole time</w:t></w:r>
</w:p>
<w:p>
<w:pPr><w:pStyle w:val="Normal"/></w:pPr>
<w:r><w:t xml:space="preserve">it was in sight and were drenched to the skin, The balloon,</w:t></w:r>
</w:p>
<w:p>
<w:pPr><w:pStyle w:val="Normal"/></w:pPr>
<w:r><w:t xml:space="preserve">after remaining in the air for about three-quarters of an</w:t></w:r>
</w:p>
<w:p>
<w:pPr><w:pStyle w:val="Normal"/></w:pPr>
<w:r><w:t xml:space="preserve">hour, fell in a field near Gonesse, about 15 m. off, and</w:t></w:r>
</w:p>
<w:p>
<w:pPr><w:pStyle w:val="Normal"/></w:pPr>
<w:r><w:t xml:space="preserve">terrified the peasantry so much that it was torn into shreds by</w:t></w:r>
</w:p>
<w:p>
<w:pPr><w:pStyle w:val="Normal"/></w:pPr>
<w:r><w:t xml:space="preserve">them.  Hydrogen gas was at this time known by the name of</w:t></w:r>
</w:p>
<w:p>
<w:pPr><w:pStyle w:val="Normal"/></w:pPr>
<w:r><w:t xml:space="preserve">inflammable air; and balloons inflated with gas have ever</w:t></w:r>
</w:p>
<w:p>
<w:pPr><w:pStyle w:val="Normal"/></w:pPr>
<w:r><w:t xml:space="preserve">since been called by the people air-balloons, the kind invented</w:t></w:r>
</w:p>
<w:p>
<w:pPr><w:pStyle w:val="Normal"/></w:pPr>
<w:r><w:t xml:space="preserve">by the Montgolfiers being designated fire-balloons.  French</w:t></w:r>
</w:p>
<w:p>
<w:pPr><w:pStyle w:val="Normal"/></w:pPr>
<w:r><w:t xml:space="preserve">Writers have also very frequently styled them after their</w:t></w:r>
</w:p>
<w:p>
<w:pPr><w:pStyle w:val="Normal"/></w:pPr>
<w:r><w:t xml:space="preserve">inventors, Charlieres and Montgolfieres. On the 19th</w:t></w:r>
</w:p>
<w:p>
<w:pPr><w:pStyle w:val="Normal"/></w:pPr>
<w:r><w:t xml:space="preserve">of September 1783 Joseph Montgolfier repeated the Annonay</w:t></w:r>
</w:p>
<w:p>
<w:pPr><w:pStyle w:val="Normal"/></w:pPr>
<w:r><w:t xml:space="preserve">experiment at Versailles, in the presence of the king, the</w:t></w:r>
</w:p>
<w:p>
<w:pPr><w:pStyle w:val="Normal"/></w:pPr>
<w:r><w:t xml:space="preserve">queen, the court and an immense number of spectators.  The</w:t></w:r>
</w:p>
<w:p>
<w:pPr><w:pStyle w:val="Normal"/></w:pPr>
<w:r><w:t xml:space="preserve">inflation was begun at one o&apos;clock, and completed in eleven</w:t></w:r>
</w:p>
<w:p>
<w:pPr><w:pStyle w:val="Normal"/></w:pPr>
<w:r><w:t xml:space="preserve">minutes, when the balloon rose to the height of about 1500</w:t></w:r>
</w:p>
<w:p>
<w:pPr><w:pStyle w:val="Normal"/></w:pPr>
<w:r><w:t xml:space="preserve">ft., and descended after eight minutes, at a distance of</w:t></w:r>
</w:p>
<w:p>
<w:pPr><w:pStyle w:val="Normal"/></w:pPr>
<w:r><w:t xml:space="preserve">about 2 m., in the wood of Vaucresson.  Suspended below the</w:t></w:r>
</w:p>
<w:p>
<w:pPr><w:pStyle w:val="Normal"/></w:pPr>
<w:r><w:t xml:space="preserve">balloon: in a cage, had been placed a sheep, a cock and a duck,</w:t></w:r>
</w:p>
<w:p>
<w:pPr><w:pStyle w:val="Normal"/></w:pPr>
<w:r><w:t xml:space="preserve">which were thus the first aerial travellers.  They were quite</w:t></w:r>
</w:p>
<w:p>
<w:pPr><w:pStyle w:val="Normal"/></w:pPr>
<w:r><w:t xml:space="preserve">uninjured, except the cock, which had its right wing hurt in</w:t></w:r>
</w:p>
<w:p>
<w:pPr><w:pStyle w:val="Normal"/></w:pPr>
<w:r><w:t xml:space="preserve">consequence of a kick it had received from the sheep; but this</w:t></w:r>
</w:p>
<w:p>
<w:pPr><w:pStyle w:val="Normal"/></w:pPr>
<w:r><w:t xml:space="preserve">took place before the ascent.  The balloon, which was painted</w:t></w:r>
</w:p>
<w:p>
<w:pPr><w:pStyle w:val="Normal"/></w:pPr>
<w:r><w:t xml:space="preserve">with ornaments in oil colours, had a very showy appearance</w:t></w:r>
</w:p>
<w:p>
<w:pPr><w:pStyle w:val="Normal"/></w:pPr>
<w:r><w:t xml:space="preserve">(fig. 3). Francois Pilatre de Rozier (1756-1785), a native</w:t></w:r>
</w:p>
<w:p>
<w:pPr><w:pStyle w:val="Normal"/></w:pPr>
<w:r><w:t xml:space="preserve">of Metz, who was appointed superintendent of the natural</w:t></w:r>
</w:p>
<w:p>
<w:pPr><w:pStyle w:val="Normal"/></w:pPr>
<w:r><w:t xml:space="preserve">history collections of Louis XVIII.  On the 15th of October</w:t></w:r>
</w:p>
<w:p>
<w:pPr><w:pStyle w:val="Normal"/></w:pPr>
<w:r><w:t xml:space="preserve">1783, and following days, he made several ascents (generally</w:t></w:r>
</w:p>
<w:p>
<w:pPr><w:pStyle w:val="Normal"/></w:pPr>
<w:r><w:t xml:space="preserve">alone, but once with a companion, Girond de Villette) in a</w:t></w:r>
</w:p>
<w:p>
<w:pPr><w:pStyle w:val="Normal"/></w:pPr>
<w:r><w:t xml:space="preserve">captive balloon (i.e. one attached by ropes to the ground),</w:t></w:r>
</w:p>
<w:p>
<w:pPr><w:pStyle w:val="Normal"/></w:pPr>
<w:r><w:t xml:space="preserve">and demonstrated that there was no difficulty in taking up</w:t></w:r>
</w:p>
<w:p>
<w:pPr><w:pStyle w:val="Normal"/></w:pPr>
<w:r><w:t xml:space="preserve">fuel and feeding the fire, which was kindled in a brazier</w:t></w:r>
</w:p>
<w:p>
<w:pPr><w:pStyle w:val="Normal"/></w:pPr>
<w:r><w:t xml:space="preserve">suspended under the balloon, when in the air.  The way being</w:t></w:r>
</w:p>
<w:p>
<w:pPr><w:pStyle w:val="Normal"/></w:pPr>
<w:r><w:t xml:space="preserve">thus prepared for aerial navigation, on the 21st of November</w:t></w:r>
</w:p>
<w:p>
<w:pPr><w:pStyle w:val="Normal"/></w:pPr>
<w:r><w:t xml:space="preserve">1783, Pilatre de Rozier and the marquis d&apos;Arlandes first</w:t></w:r>
</w:p>
<w:p>
<w:pPr><w:pStyle w:val="Normal"/></w:pPr>
<w:r><w:t xml:space="preserve">trusted themselves to a free fire-balloon.  The experiment was</w:t></w:r>
</w:p>
<w:p>
<w:pPr><w:pStyle w:val="Normal"/></w:pPr>
<w:r><w:t xml:space="preserve">made from the Jardin du Chateau de la Muette, in the Bois de</w:t></w:r>
</w:p>
<w:p>
<w:pPr><w:pStyle w:val="Normal"/></w:pPr>
<w:r><w:t xml:space="preserve">Boulogne.  A large fire-balloon was inflated at about two</w:t></w:r>
</w:p>
<w:p>
<w:pPr><w:pStyle w:val="Normal"/></w:pPr>
<w:r><w:t xml:space="preserve">o&apos;clock, rose to a height of about 500 ft., and passing over</w:t></w:r>
</w:p>
<w:p>
<w:pPr><w:pStyle w:val="Normal"/></w:pPr>
<w:r><w:t xml:space="preserve">the Invalides and the Ecole Mililaire, descended beyond</w:t></w:r>
</w:p>
<w:p>
<w:pPr><w:pStyle w:val="Normal"/></w:pPr>
<w:r><w:t xml:space="preserve">the Boulevards, about 9000 yds. from the place of ascent,</w:t></w:r>
</w:p>
<w:p>
<w:pPr><w:pStyle w:val="Normal"/></w:pPr>
<w:r><w:t xml:space="preserve">having been between twenty and twenty-five minutes in the</w:t></w:r>
</w:p>
<w:p>
<w:pPr><w:pStyle w:val="Normal"/></w:pPr>
<w:r><w:t xml:space="preserve">air.  Only ten days later, viz. on the 1st of December 1783,</w:t></w:r>
</w:p>
<w:p>
<w:pPr><w:pStyle w:val="Normal"/></w:pPr>
<w:r><w:t xml:space="preserve">Charles ascended from Paris in a balloon inflated with hydrogen</w:t></w:r>
</w:p>
<w:p>
<w:pPr><w:pStyle w:val="Normal"/></w:pPr>
<w:r><w:t xml:space="preserve">gas.  The balloon, as in the case of the small one of the</w:t></w:r>
</w:p>
<w:p>
<w:pPr><w:pStyle w:val="Normal"/></w:pPr>
<w:r><w:t xml:space="preserve">same kind previously launched from the Champ de Mars, was</w:t></w:r>
</w:p>
<w:p>
<w:pPr><w:pStyle w:val="Normal"/></w:pPr>
<w:r><w:t xml:space="preserve">constructed by the brothers Robert, one of whom took part in the</w:t></w:r>
</w:p>
<w:p>
<w:pPr><w:pStyle w:val="Normal"/></w:pPr>
<w:r><w:t xml:space="preserve">ascent.  It was 27 ft. in diameter, and the car was suspended</w:t></w:r>
</w:p>
<w:p>
<w:pPr><w:pStyle w:val="Normal"/></w:pPr>
<w:r><w:t xml:space="preserve">from a hoop surrounding the middle of the balloon, and fastened</w:t></w:r>
</w:p>
<w:p>
<w:pPr><w:pStyle w:val="Normal"/></w:pPr>
<w:r><w:t xml:space="preserve">to a net, which covered the upper hemisphere.  The balloon</w:t></w:r>
</w:p>
<w:p>
<w:pPr><w:pStyle w:val="Normal"/></w:pPr>
<w:r><w:t xml:space="preserve">ascended very gently from the Tuileries at a quarter to two</w:t></w:r>
</w:p>
<w:p>
<w:pPr><w:pStyle w:val="Normal"/></w:pPr>
<w:r><w:t xml:space="preserve">o&apos;clock, and after remaining for some time at an elevation</w:t></w:r>
</w:p>
<w:p>
<w:pPr><w:pStyle w:val="Normal"/></w:pPr>
<w:r><w:t xml:space="preserve">of about 2000 ft., it descended in about two hours at Nesle,</w:t></w:r>
</w:p>
<w:p>
<w:pPr><w:pStyle w:val="Normal"/></w:pPr>
<w:r><w:t xml:space="preserve">a small town about 27 m. from Paris, when Robert left the</w:t></w:r>
</w:p>
<w:p>
<w:pPr><w:pStyle w:val="Normal"/></w:pPr>
<w:r><w:t xml:space="preserve">car, and Charles made a, second ascent by himself.  He had</w:t></w:r>
</w:p>
<w:p>
<w:pPr><w:pStyle w:val="Normal"/></w:pPr>
<w:r><w:t xml:space="preserve">intended to have replaced the weight of his companion by a</w:t></w:r>
</w:p>
<w:p>
<w:pPr><w:pStyle w:val="Normal"/></w:pPr>
<w:r><w:t xml:space="preserve">nearly equivalent quantity of ballast; but not having any</w:t></w:r>
</w:p>
<w:p>
<w:pPr><w:pStyle w:val="Normal"/></w:pPr>
<w:r><w:t xml:space="preserve">suitable means of obtaining such at the place of descent, and</w:t></w:r>
</w:p>
<w:p>
<w:pPr><w:pStyle w:val="Normal"/></w:pPr>
<w:r><w:t xml:space="preserve">it being just upon sunset, he gave the word to let go, and</w:t></w:r>
</w:p>
<w:p>
<w:pPr><w:pStyle w:val="Normal"/></w:pPr>
<w:r><w:t xml:space="preserve">the balloon being thus so greatly lightened, ascended very</w:t></w:r>
</w:p>
<w:p>
<w:pPr><w:pStyle w:val="Normal"/></w:pPr>
<w:r><w:t xml:space="preserve">rapidly to a height of about 2 m.  After staying in the air</w:t></w:r>
</w:p>
<w:p>
<w:pPr><w:pStyle w:val="Normal"/></w:pPr>
<w:r><w:t xml:space="preserve">about half an hour, he descended 3 m. from the place of ascent,</w:t></w:r>
</w:p>
<w:p>
<w:pPr><w:pStyle w:val="Normal"/></w:pPr>
<w:r><w:t xml:space="preserve">although he believed the distance traversed, owing to different</w:t></w:r>
</w:p>
<w:p>
<w:pPr><w:pStyle w:val="Normal"/></w:pPr>
<w:r><w:t xml:space="preserve">currents, to have been about 9 m.  In this second journey he</w:t></w:r>
</w:p>
<w:p>
<w:pPr><w:pStyle w:val="Normal"/></w:pPr>
<w:r><w:t xml:space="preserve">experienced a violent pain in his right ear and jaw, no doubt</w:t></w:r>
</w:p>
<w:p>
<w:pPr><w:pStyle w:val="Normal"/></w:pPr>
<w:r><w:t xml:space="preserve">produced by the rapidity of the ascent.  He also witnessed</w:t></w:r>
</w:p>
<w:p>
<w:pPr><w:pStyle w:val="Normal"/></w:pPr>
<w:r><w:t xml:space="preserve">the phenomenon of a double sunset on the same day; for when he</w:t></w:r>
</w:p>
<w:p>
<w:pPr><w:pStyle w:val="Normal"/></w:pPr>
<w:r><w:t xml:space="preserve">ascended, the sun had set in the valleys, and as he mounted</w:t></w:r>
</w:p>
<w:p>
<w:pPr><w:pStyle w:val="Normal"/></w:pPr>
<w:r><w:t xml:space="preserve">he saw it rise again, and set a second time as he descended.</w:t></w:r>
</w:p>
<w:p>
<w:pPr><w:pStyle w:val="Normal"/></w:pPr>
<w:r><w:t xml:space="preserve">All the features of the modern balloon as now used are</w:t></w:r>
</w:p>
<w:p>
<w:pPr><w:pStyle w:val="Normal"/></w:pPr>
<w:r><w:t xml:space="preserve">more or less due to Charles, who invented the valve at</w:t></w:r>
</w:p>
<w:p>
<w:pPr><w:pStyle w:val="Normal"/></w:pPr>
<w:r><w:t xml:space="preserve">the top, suspended the car from a hoop, which was itself</w:t></w:r>
</w:p>
<w:p>
<w:pPr><w:pStyle w:val="Normal"/></w:pPr>
<w:r><w:t xml:space="preserve">attached to the balloon by netting, &amp;c. With regard to his</w:t></w:r>
</w:p>
<w:p>
<w:pPr><w:pStyle w:val="Normal"/></w:pPr>
<w:r><w:t xml:space="preserve">use of hydrogen gas, there are anticipations that must be</w:t></w:r>
</w:p>
<w:p>
<w:pPr><w:pStyle w:val="Normal"/></w:pPr>
<w:r><w:t xml:space="preserve">noticed.  As early as 1766 Henry Cavendish showed that this</w:t></w:r>
</w:p>
<w:p>
<w:pPr><w:pStyle w:val="Normal"/></w:pPr>
<w:r><w:t xml:space="preserve">gas was at least seven times lighter than ordinary air, and</w:t></w:r>
</w:p>
<w:p>
<w:pPr><w:pStyle w:val="Normal"/></w:pPr>
<w:r><w:t xml:space="preserve">it immediately occurred to Dr Joseph Black, of Edinburgh,</w:t></w:r>
</w:p>
<w:p>
<w:pPr><w:pStyle w:val="Normal"/></w:pPr>
<w:r><w:t xml:space="preserve">that a thin bag filled with hydrogen gas would rise to the</w:t></w:r>
</w:p>
<w:p>
<w:pPr><w:pStyle w:val="Normal"/></w:pPr>
<w:r><w:t xml:space="preserve">ceiling of a room.  He provided, accordingly, the allantois</w:t></w:r>
</w:p>
<w:p>
<w:pPr><w:pStyle w:val="Normal"/></w:pPr>
<w:r><w:t xml:space="preserve">of a calf, with the view of showing at a public lecture such</w:t></w:r>
</w:p>
<w:p>
<w:pPr><w:pStyle w:val="Normal"/></w:pPr>
<w:r><w:t xml:space="preserve">a curious experiment; but for some reason it seems to have</w:t></w:r>
</w:p>
<w:p>
<w:pPr><w:pStyle w:val="Normal"/></w:pPr>
<w:r><w:t xml:space="preserve">failed, and Black did not repeat it, thus allowing a great</w:t></w:r>
</w:p>
<w:p>
<w:pPr><w:pStyle w:val="Normal"/></w:pPr>
<w:r><w:t xml:space="preserve">discovery, almost within his reach, to escape him.  Several</w:t></w:r>
</w:p>
<w:p>
<w:pPr><w:pStyle w:val="Normal"/></w:pPr>
<w:r><w:t xml:space="preserve">years afterwards a similar idea occurred to Tiberius Cavallo,</w:t></w:r>
</w:p>
<w:p>
<w:pPr><w:pStyle w:val="Normal"/></w:pPr>
<w:r><w:t xml:space="preserve">who found that bladders, even when carefully scraped,</w:t></w:r>
</w:p>
<w:p>
<w:pPr><w:pStyle w:val="Normal"/></w:pPr>
<w:r><w:t xml:space="preserve">are too heavy, and that China paper is permeable to the</w:t></w:r>
</w:p>
<w:p>
<w:pPr><w:pStyle w:val="Normal"/></w:pPr>
<w:r><w:t xml:space="preserve">gas.  But in 1782, the year before the invention of the</w:t></w:r>
</w:p>
<w:p>
<w:pPr><w:pStyle w:val="Normal"/></w:pPr>
<w:r><w:t xml:space="preserve">Montgolfiers, he succeeded in elevating soap-bubbles by</w:t></w:r>
</w:p>
<w:p>
<w:pPr><w:pStyle w:val="Normal"/></w:pPr>
<w:r><w:t xml:space="preserve">inflating them with hydrogen gas.  Researches on the use of</w:t></w:r>
</w:p>
<w:p>
<w:pPr><w:pStyle w:val="Normal"/></w:pPr>
<w:r><w:t xml:space="preserve">gas for inflating balloons seem to have been carried on at</w:t></w:r>
</w:p>
<w:p>
<w:pPr><w:pStyle w:val="Normal"/></w:pPr>
<w:r><w:t xml:space="preserve">Philadelphia nearly simultaneously with the experiments of</w:t></w:r>
</w:p>
<w:p>
<w:pPr><w:pStyle w:val="Normal"/></w:pPr>
<w:r><w:t xml:space="preserve">the Montgolfiers; and when the news of the latter reached</w:t></w:r>
</w:p>
<w:p>
<w:pPr><w:pStyle w:val="Normal"/></w:pPr>
<w:r><w:t xml:space="preserve">America, D. Rittenhouse and F. Hopkinson, members of the</w:t></w:r>
</w:p>
<w:p>
<w:pPr><w:pStyle w:val="Normal"/></w:pPr>
<w:r><w:t xml:space="preserve">Philosophical Society at Philadelphia; constructed a machine</w:t></w:r>
</w:p>
<w:p>
<w:pPr><w:pStyle w:val="Normal"/></w:pPr>
<w:r><w:t xml:space="preserve">consisting of forty-seven small hydrogen gas-balloons attached</w:t></w:r>
</w:p>
<w:p>
<w:pPr><w:pStyle w:val="Normal"/></w:pPr>
<w:r><w:t xml:space="preserve">to a car or cage.  After several preliminary experiments, in</w:t></w:r>
</w:p>
<w:p>
<w:pPr><w:pStyle w:val="Normal"/></w:pPr>
<w:r><w:t xml:space="preserve">which animals were let up to a certain height by a rope, a</w:t></w:r>
</w:p>
<w:p>
<w:pPr><w:pStyle w:val="Normal"/></w:pPr>
<w:r><w:t xml:space="preserve">carpenter, one James Wilcox, was induced to enter the car for</w:t></w:r>
</w:p>
<w:p>
<w:pPr><w:pStyle w:val="Normal"/></w:pPr>
<w:r><w:t xml:space="preserve">a small sum of money; the ropes were cut, and he remained in</w:t></w:r>
</w:p>
<w:p>
<w:pPr><w:pStyle w:val="Normal"/></w:pPr>
<w:r><w:t xml:space="preserve">the air about ten minutes, and only then effected his descent</w:t></w:r>
</w:p>
<w:p>
<w:pPr><w:pStyle w:val="Normal"/></w:pPr>
<w:r><w:t xml:space="preserve">by making incisions in a number of the balloons, through</w:t></w:r>
</w:p>
<w:p>
<w:pPr><w:pStyle w:val="Normal"/></w:pPr>
<w:r><w:t xml:space="preserve">fear of falling into the river, which he was approaching.</w:t></w:r>
</w:p>
<w:p>
<w:pPr><w:pStyle w:val="Normal"/></w:pPr>
<w:r><w:t xml:space="preserve">First Ascents in Great Britain.</w:t></w:r>
</w:p>
<w:p>
<w:pPr><w:pStyle w:val="Normal"/></w:pPr>
<w:r><w:t xml:space="preserve">Although the news of the Annonay and subsequent experiments</w:t></w:r>
</w:p>
<w:p>
<w:pPr><w:pStyle w:val="Normal"/></w:pPr>
<w:r><w:t xml:space="preserve">in France rapidly spread all over Europe, and formed a topic</w:t></w:r>
</w:p>
<w:p>
<w:pPr><w:pStyle w:val="Normal"/></w:pPr>
<w:r><w:t xml:space="preserve">of general discussion, still it was not till five months</w:t></w:r>
</w:p>
<w:p>
<w:pPr><w:pStyle w:val="Normal"/></w:pPr>
<w:r><w:t xml:space="preserve">after the Montgolfiers had first publicly sent a balloon</w:t></w:r>
</w:p>
<w:p>
<w:pPr><w:pStyle w:val="Normal"/></w:pPr>
<w:r><w:t xml:space="preserve">into the air that any aerostatic experiment was made in</w:t></w:r>
</w:p>
<w:p>
<w:pPr><w:pStyle w:val="Normal"/></w:pPr>
<w:r><w:t xml:space="preserve">England.  In November 1783 Count Francesco Zambeccari</w:t></w:r>
</w:p>
<w:p>
<w:pPr><w:pStyle w:val="Normal"/></w:pPr>
<w:r><w:t xml:space="preserve">(1756-1812), an Italian who happened to be in London, made</w:t></w:r>
</w:p>
<w:p>
<w:pPr><w:pStyle w:val="Normal"/></w:pPr>
<w:r><w:t xml:space="preserve">a balloon of oil-silk, 10 ft. in diameter, and weighing 11</w:t></w:r>
</w:p>
<w:p>
<w:pPr><w:pStyle w:val="Normal"/></w:pPr>
<w:r><w:t xml:space="preserve">lb.  It was publicly shown for several days, and on the 25th</w:t></w:r>
</w:p>
<w:p>
<w:pPr><w:pStyle w:val="Normal"/></w:pPr>
<w:r><w:t xml:space="preserve">it was three-quarters filled with hydrogen gas and launched</w:t></w:r>
</w:p>
<w:p>
<w:pPr><w:pStyle w:val="Normal"/></w:pPr>
<w:r><w:t xml:space="preserve">from the Artillery ground at one o&apos;clock.  It descended after</w:t></w:r>
</w:p>
<w:p>
<w:pPr><w:pStyle w:val="Normal"/></w:pPr>
<w:r><w:t xml:space="preserve">two hours and a half near Petworth, in Sussex, 48 m. from</w:t></w:r>
</w:p>
<w:p>
<w:pPr><w:pStyle w:val="Normal"/></w:pPr>
<w:r><w:t xml:space="preserve">London.  This was the first balloon that ascended from English</w:t></w:r>
</w:p>
<w:p>
<w:pPr><w:pStyle w:val="Normal"/></w:pPr>
<w:r><w:t xml:space="preserve">ground.  On the 22nd of February 1784 a hydrogen gas</w:t></w:r>
</w:p>
<w:p>
<w:pPr><w:pStyle w:val="Normal"/></w:pPr>
<w:r><w:t xml:space="preserve">balloon, 5 ft. in diameter, was let up from Sandwich, in</w:t></w:r>
</w:p>
<w:p>
<w:pPr><w:pStyle w:val="Normal"/></w:pPr>
<w:r><w:t xml:space="preserve">Kent, and descended at Warneton, in French Flanders, 75 m.</w:t></w:r>
</w:p>
<w:p>
<w:pPr><w:pStyle w:val="Normal"/></w:pPr>
<w:r><w:t xml:space="preserve">distant.  This was the first balloon that crossed the</w:t></w:r>
</w:p>
<w:p>
<w:pPr><w:pStyle w:val="Normal"/></w:pPr>
<w:r><w:t xml:space="preserve">Channel.  The first person who rose into the air from British</w:t></w:r>
</w:p>
<w:p>
<w:pPr><w:pStyle w:val="Normal"/></w:pPr>
<w:r><w:t xml:space="preserve">ground appears to have been J. Tytler1, who ascended from the</w:t></w:r>
</w:p>
<w:p>
<w:pPr><w:pStyle w:val="Normal"/></w:pPr>
<w:r><w:t xml:space="preserve">Comely Gardens, Edinburgh, on the 27th of August 1784, in a</w:t></w:r>
</w:p>
<w:p>
<w:pPr><w:pStyle w:val="Normal"/></w:pPr>
<w:r><w:t xml:space="preserve">fire-balloon of his own construction.  He descended on the road</w:t></w:r>
</w:p>
<w:p>
<w:pPr><w:pStyle w:val="Normal"/></w:pPr>
<w:r><w:t xml:space="preserve">to Restalrig, about half a mile from the place where he rose.</w:t></w:r>
</w:p>
<w:p>
<w:pPr><w:pStyle w:val="Normal"/></w:pPr>
<w:r><w:t xml:space="preserve">But it was Vincent Lunardi who practically introduced</w:t></w:r>
</w:p>
<w:p>
<w:pPr><w:pStyle w:val="Normal"/></w:pPr>
<w:r><w:t xml:space="preserve">aerostation into Great Britain.  Although Tytler had the</w:t></w:r>
</w:p>
<w:p>
<w:pPr><w:pStyle w:val="Normal"/></w:pPr>
<w:r><w:t xml:space="preserve">precedence by a few days still his attempts and partial</w:t></w:r>
</w:p>
<w:p>
<w:pPr><w:pStyle w:val="Normal"/></w:pPr>
<w:r><w:t xml:space="preserve">success were all but unknown; whereas Lunardi&apos;s experiments</w:t></w:r>
</w:p>
<w:p>
<w:pPr><w:pStyle w:val="Normal"/></w:pPr>
<w:r><w:t xml:space="preserve">excited an enormous amount of enthusiasm in London.  He was</w:t></w:r>
</w:p>
<w:p>
<w:pPr><w:pStyle w:val="Normal"/></w:pPr>
<w:r><w:t xml:space="preserve">secretary to Prince Caramanico, the Neapolitan ambassador,</w:t></w:r>
</w:p>
<w:p>
<w:pPr><w:pStyle w:val="Normal"/></w:pPr>
<w:r><w:t xml:space="preserve">and his published letters to his guardian, the chevalier</w:t></w:r>
</w:p>
<w:p>
<w:pPr><w:pStyle w:val="Normal"/></w:pPr>
<w:r><w:t xml:space="preserve">Compagni, written while he was carrying out his project,</w:t></w:r>
</w:p>
<w:p>
<w:pPr><w:pStyle w:val="Normal"/></w:pPr>
<w:r><w:t xml:space="preserve">and detailing all the difficulties, &amp;c., he met with as they</w:t></w:r>
</w:p>
<w:p>
<w:pPr><w:pStyle w:val="Normal"/></w:pPr>
<w:r><w:t xml:space="preserve">occurred, give an interesting and vivid account of the whole</w:t></w:r>
</w:p>
<w:p>
<w:pPr><w:pStyle w:val="Normal"/></w:pPr>
<w:r><w:t xml:space="preserve">matter.  His balloon was 33 ft. in circumference (fig.4),</w:t></w:r>
</w:p>
<w:p>
<w:pPr><w:pStyle w:val="Normal"/></w:pPr>
<w:r><w:t xml:space="preserve">and was exposed to the public view at the Lyceum in the</w:t></w:r>
</w:p>
<w:p>
<w:pPr><w:pStyle w:val="Normal"/></w:pPr>
<w:r><w:t xml:space="preserve">Strand, where it was visited by upwards of 20,000 people.  He</w:t></w:r>
</w:p>
<w:p>
<w:pPr><w:pStyle w:val="Normal"/></w:pPr>
<w:r><w:t xml:space="preserve">originally intended to ascend from Chelsea Hospital, but the</w:t></w:r>
</w:p>
<w:p>
<w:pPr><w:pStyle w:val="Normal"/></w:pPr>
<w:r><w:t xml:space="preserve">conduct of a crowd at a garden at Chelsea, which destroyed</w:t></w:r>
</w:p>
<w:p>
<w:pPr><w:pStyle w:val="Normal"/></w:pPr>
<w:r><w:t xml:space="preserve">the fire-balloon of a Frenchman named de Moret, who announced</w:t></w:r>
</w:p>
<w:p>
<w:pPr><w:pStyle w:val="Normal"/></w:pPr>
<w:r><w:t xml:space="preserve">an ascent on the 11th of August, but was unable to keep his</w:t></w:r>
</w:p>
<w:p>
<w:pPr><w:pStyle w:val="Normal"/></w:pPr>
<w:r><w:t xml:space="preserve">word, led to the withdrawal of the leave that had been</w:t></w:r>
</w:p>
<w:p>
<w:pPr><w:pStyle w:val="Normal"/></w:pPr>
<w:r><w:t xml:space="preserve">granted.  Ultimately he was permitted to ascend from the Artillery</w:t></w:r>
</w:p>
<w:p>
<w:pPr><w:pStyle w:val="Normal"/></w:pPr>
<w:r><w:t xml:space="preserve">ground, and on the 15th of September 1784 the inflation with</w:t></w:r>
</w:p>
<w:p>
<w:pPr><w:pStyle w:val="Normal"/></w:pPr>
<w:r><w:t xml:space="preserve">hydrogen gas took place.  It was intended that an English</w:t></w:r>
</w:p>
<w:p>
<w:pPr><w:pStyle w:val="Normal"/></w:pPr>
<w:r><w:t xml:space="preserve">gentleman named Biggin should accompany Lunardi; but the crowd</w:t></w:r>
</w:p>
<w:p>
<w:pPr><w:pStyle w:val="Normal"/></w:pPr>
<w:r><w:t xml:space="preserve">becoming impatient, the latter judged it prudent to ascend</w:t></w:r>
</w:p>
<w:p>
<w:pPr><w:pStyle w:val="Normal"/></w:pPr>
<w:r><w:t xml:space="preserve">with the balloon only partially full rather than risk a longer</w:t></w:r>
</w:p>
<w:p>
<w:pPr><w:pStyle w:val="Normal"/></w:pPr>
<w:r><w:t xml:space="preserve">delay, and accordingly Mr Biggin was obliged to leave the</w:t></w:r>
</w:p>
<w:p>
<w:pPr><w:pStyle w:val="Normal"/></w:pPr>
<w:r><w:t xml:space="preserve">car.  Lunardi therefore ascended alone, in presence of the</w:t></w:r>
</w:p>
<w:p>
<w:pPr><w:pStyle w:val="Normal"/></w:pPr>
<w:r><w:t xml:space="preserve">prince of Wales and an enormous crowd of spectators.  He</w:t></w:r>
</w:p>
<w:p>
<w:pPr><w:pStyle w:val="Normal"/></w:pPr>
<w:r><w:t xml:space="preserve">took up with him a pigeon, a dog and a cat, and the balloon</w:t></w:r>
</w:p>
<w:p>
<w:pPr><w:pStyle w:val="Normal"/></w:pPr>
<w:r><w:t xml:space="preserve">was provided with oars, by means of which he hoped to raise</w:t></w:r>
</w:p>
<w:p>
<w:pPr><w:pStyle w:val="Normal"/></w:pPr>
<w:r><w:t xml:space="preserve">or lower it at pleasure.  Shortly after starting the pigeon</w:t></w:r>
</w:p>
<w:p>
<w:pPr><w:pStyle w:val="Normal"/></w:pPr>
<w:r><w:t xml:space="preserve">escaped, and one of the oars became broken and fell to the</w:t></w:r>
</w:p>
<w:p>
<w:pPr><w:pStyle w:val="Normal"/></w:pPr>
<w:r><w:t xml:space="preserve">ground.  In about an hour and a half he descended at South</w:t></w:r>
</w:p>
<w:p>
<w:pPr><w:pStyle w:val="Normal"/></w:pPr>
<w:r><w:t xml:space="preserve">Mimms, in Hertfordshire, and landed the cat, which had suffered</w:t></w:r>
</w:p>
<w:p>
<w:pPr><w:pStyle w:val="Normal"/></w:pPr>
<w:r><w:t xml:space="preserve">from the cold: he then ascended again, and descended, after</w:t></w:r>
</w:p>
<w:p>
<w:pPr><w:pStyle w:val="Normal"/></w:pPr>
<w:r><w:t xml:space="preserve">the lapse of about three-quarters of an hour, at Standon, near</w:t></w:r>
</w:p>
<w:p>
<w:pPr><w:pStyle w:val="Normal"/></w:pPr>
<w:r><w:t xml:space="preserve">Ware, where he had great difficulty in inducing the peasants</w:t></w:r>
</w:p>
<w:p>
<w:pPr><w:pStyle w:val="Normal"/></w:pPr>
<w:r><w:t xml:space="preserve">to come to his assistance; but at length a young woman, taking</w:t></w:r>
</w:p>
<w:p>
<w:pPr><w:pStyle w:val="Normal"/></w:pPr>
<w:r><w:t xml:space="preserve">hold of one of the cords, urged the men to follow her example,</w:t></w:r>
</w:p>
<w:p>
<w:pPr><w:pStyle w:val="Normal"/></w:pPr>
<w:r><w:t xml:space="preserve">which they then did.  The excitement caused by this ascent was</w:t></w:r>
</w:p>
<w:p>
<w:pPr><w:pStyle w:val="Normal"/></w:pPr>
<w:r><w:t xml:space="preserve">immense, and Lunardi at once became the star of the hour.  He</w:t></w:r>
</w:p>
<w:p>
<w:pPr><w:pStyle w:val="Normal"/></w:pPr>
<w:r><w:t xml:space="preserve">was presented to the king, and was courted and flattered on all</w:t></w:r>
</w:p>
<w:p>
<w:pPr><w:pStyle w:val="Normal"/></w:pPr>
<w:r><w:t xml:space="preserve">sides.  To show the enthusiasm displayed by the people during</w:t></w:r>
</w:p>
<w:p>
<w:pPr><w:pStyle w:val="Normal"/></w:pPr>
<w:r><w:t xml:space="preserve">his ascent, he tells himself, in his sixth letter, how a lady,</w:t></w:r>
</w:p>
<w:p>
<w:pPr><w:pStyle w:val="Normal"/></w:pPr>
<w:r><w:t xml:space="preserve">mistaking the oar which fell for himself, was so affected by</w:t></w:r>
</w:p>
<w:p>
<w:pPr><w:pStyle w:val="Normal"/></w:pPr>
<w:r><w:t xml:space="preserve">his supposed destruction that she died in a few days; but, on</w:t></w:r>
</w:p>
<w:p>
<w:pPr><w:pStyle w:val="Normal"/></w:pPr>
<w:r><w:t xml:space="preserve">the other hand, he says he was told by the judges ``that he had</w:t></w:r>
</w:p>
<w:p>
<w:pPr><w:pStyle w:val="Normal"/></w:pPr>
<w:r><w:t xml:space="preserve">certainly saved the life of a young man who might possibly be</w:t></w:r>
</w:p>
<w:p>
<w:pPr><w:pStyle w:val="Normal"/></w:pPr>
<w:r><w:t xml:space="preserve">reformed, and be to the public a compensation for the death</w:t></w:r>
</w:p>
<w:p>
<w:pPr><w:pStyle w:val="Normal"/></w:pPr>
<w:r><w:t xml:space="preserve">of the lady&apos;&apos;; for the jury were deliberating on the fate of</w:t></w:r>
</w:p>
<w:p>
<w:pPr><w:pStyle w:val="Normal"/></w:pPr>
<w:r><w:t xml:space="preserve">a criminal, whom they must ultimately have condemned, when</w:t></w:r>
</w:p>
<w:p>
<w:pPr><w:pStyle w:val="Normal"/></w:pPr>
<w:r><w:t xml:space="preserve">the balloon appeared, and to save time they gave a verdict</w:t></w:r>
</w:p>
<w:p>
<w:pPr><w:pStyle w:val="Normal"/></w:pPr>
<w:r><w:t xml:space="preserve">of acquittal, and the whole court came out to view the</w:t></w:r>
</w:p>
<w:p>
<w:pPr><w:pStyle w:val="Normal"/></w:pPr>
<w:r><w:t xml:space="preserve">balloon.  The king also was in conference with his ministers;</w:t></w:r>
</w:p>
<w:p>
<w:pPr><w:pStyle w:val="Normal"/></w:pPr>
<w:r><w:t xml:space="preserve">but on hearing that the balloon was passing, he broke up</w:t></w:r>
</w:p>
<w:p>
<w:pPr><w:pStyle w:val="Normal"/></w:pPr>
<w:r><w:t xml:space="preserve">the discussion, and with them watched the balloon through</w:t></w:r>
</w:p>
<w:p>
<w:pPr><w:pStyle w:val="Normal"/></w:pPr>
<w:r><w:t xml:space="preserve">telescopes.  The balloon was afterwards exhibited in the</w:t></w:r>
</w:p>
<w:p>
<w:pPr><w:pStyle w:val="Normal"/></w:pPr>
<w:r><w:t xml:space="preserve">Pantheon.  In the latter part of the following year (1785)</w:t></w:r>
</w:p>
<w:p>
<w:pPr><w:pStyle w:val="Normal"/></w:pPr>
<w:r><w:t xml:space="preserve">Lunardi made several successful ascents from Kelso, Edinburgh</w:t></w:r>
</w:p>
<w:p>
<w:pPr><w:pStyle w:val="Normal"/></w:pPr>
<w:r><w:t xml:space="preserve">and Glasgow (in one of which he traversed a distance of 110</w:t></w:r>
</w:p>
<w:p>
<w:pPr><w:pStyle w:val="Normal"/></w:pPr>
<w:r><w:t xml:space="preserve">m.); these he described in a second series of letters.  The</w:t></w:r>
</w:p>
<w:p>
<w:pPr><w:pStyle w:val="Normal"/></w:pPr>
<w:r><w:t xml:space="preserve">first ascent from Ireland was made on the 19th of January 1785</w:t></w:r>
</w:p>
<w:p>
<w:pPr><w:pStyle w:val="Normal"/></w:pPr>
<w:r><w:t xml:space="preserve">by a Mr Crosbie, who on the following 19th of July attempted</w:t></w:r>
</w:p>
<w:p>
<w:pPr><w:pStyle w:val="Normal"/></w:pPr>
<w:r><w:t xml:space="preserve">to cross St George&apos;s Channel to England but fell into the</w:t></w:r>
</w:p>
<w:p>
<w:pPr><w:pStyle w:val="Normal"/></w:pPr>
<w:r><w:t xml:space="preserve">sea.  The second person who ascended from Ireland was Richard</w:t></w:r>
</w:p>
<w:p>
<w:pPr><w:pStyle w:val="Normal"/></w:pPr>
<w:r><w:t xml:space="preserve">Maguire.  Mr Crosbie had inflated his balloon on the 12th</w:t></w:r>
</w:p>
<w:p>
<w:pPr><w:pStyle w:val="Normal"/></w:pPr>
<w:r><w:t xml:space="preserve">of May 1785, but it was unable to take him up.  Maguire in</w:t></w:r>
</w:p>
<w:p>
<w:pPr><w:pStyle w:val="Normal"/></w:pPr>
<w:r><w:t xml:space="preserve">these circumstances offered himself as a substitute, and</w:t></w:r>
</w:p>
<w:p>
<w:pPr><w:pStyle w:val="Normal"/></w:pPr>
<w:r><w:t xml:space="preserve">his offer being accepted he made the ascent.  For this he</w:t></w:r>
</w:p>
<w:p>
<w:pPr><w:pStyle w:val="Normal"/></w:pPr>
<w:r><w:t xml:space="preserve">was knighted by the Lord-Lieutenant.  Another attempt to</w:t></w:r>
</w:p>
<w:p>
<w:pPr><w:pStyle w:val="Normal"/></w:pPr>
<w:r><w:t xml:space="preserve">cross St George&apos;s Channel was made by James Sadler on the</w:t></w:r>
</w:p>
<w:p>
<w:pPr><w:pStyle w:val="Normal"/></w:pPr>
<w:r><w:t xml:space="preserve">1st of October 1812, and he had nearly succeeded when in</w:t></w:r>
</w:p>
<w:p>
<w:pPr><w:pStyle w:val="Normal"/></w:pPr>
<w:r><w:t xml:space="preserve">consequence of a change of wind he was forced to descend</w:t></w:r>
</w:p>
<w:p>
<w:pPr><w:pStyle w:val="Normal"/></w:pPr>
<w:r><w:t xml:space="preserve">into the sea off Liverpool, whence he was rescued by a</w:t></w:r>
</w:p>
<w:p>
<w:pPr><w:pStyle w:val="Normal"/></w:pPr>
<w:r><w:t xml:space="preserve">fishing-boat.  But on the 22nd of July 1817 his second son,</w:t></w:r>
</w:p>
<w:p>
<w:pPr><w:pStyle w:val="Normal"/></w:pPr>
<w:r><w:t xml:space="preserve">Windham Sadler, succeeded in crossing from Dublin to Holyhead.</w:t></w:r>
</w:p>
<w:p>
<w:pPr><w:pStyle w:val="Normal"/></w:pPr>
<w:r><w:t xml:space="preserve">The first balloon voyage across the English Channel was</w:t></w:r>
</w:p>
<w:p>
<w:pPr><w:pStyle w:val="Normal"/></w:pPr>
<w:r><w:t xml:space="preserve">accomplished by Jean Pierre Blanchard (1753-1809) and Dr.</w:t></w:r>
</w:p>
<w:p>
<w:pPr><w:pStyle w:val="Normal"/></w:pPr>
<w:r><w:t xml:space="preserve">J. Jeffries, an American physician, on the 7th of January</w:t></w:r>
</w:p>
<w:p>
<w:pPr><w:pStyle w:val="Normal"/></w:pPr>
<w:r><w:t xml:space="preserve">1785.  In the preceding year, on the 2nd of March, Blanchard,</w:t></w:r>
</w:p>
<w:p>
<w:pPr><w:pStyle w:val="Normal"/></w:pPr>
<w:r><w:t xml:space="preserve">who was one of the most celebrated of the earlier aeronauts,</w:t></w:r>
</w:p>
<w:p>
<w:pPr><w:pStyle w:val="Normal"/></w:pPr>
<w:r><w:t xml:space="preserve">made his first voyage from Paris in a balloon 27 ft. in</w:t></w:r>
</w:p>
<w:p>
<w:pPr><w:pStyle w:val="Normal"/></w:pPr>
<w:r><w:t xml:space="preserve">diameter (fig. 5), and descended at Billancourt near Sevres.</w:t></w:r>
</w:p>
<w:p>
<w:pPr><w:pStyle w:val="Normal"/></w:pPr>
<w:r><w:t xml:space="preserve">Just as the balloon was about to start, a young man jumped</w:t></w:r>
</w:p>
<w:p>
<w:pPr><w:pStyle w:val="Normal"/></w:pPr>
<w:r><w:t xml:space="preserve">into the car and drawing his sword declared his determination</w:t></w:r>
</w:p>
<w:p>
<w:pPr><w:pStyle w:val="Normal"/></w:pPr>
<w:r><w:t xml:space="preserve">to ascend with Blanchard.  He was ultimately removed by</w:t></w:r>
</w:p>
<w:p>
<w:pPr><w:pStyle w:val="Normal"/></w:pPr>
<w:r><w:t xml:space="preserve">force.  It has sometimes been incorrectly stated that he was</w:t></w:r>
</w:p>
<w:p>
<w:pPr><w:pStyle w:val="Normal"/></w:pPr>
<w:r><w:t xml:space="preserve">Napoleon Bonaparte; his name in reality was Dupont de Chambon.</w:t></w:r>
</w:p>
<w:p>
<w:pPr><w:pStyle w:val="Normal"/></w:pPr>
<w:r><w:t xml:space="preserve">In their Channel crossing Blanchard and his companion, who</w:t></w:r>
</w:p>
<w:p>
<w:pPr><w:pStyle w:val="Normal"/></w:pPr>
<w:r><w:t xml:space="preserve">started from Dover, when about one-third across found themselves</w:t></w:r>
</w:p>
<w:p>
<w:pPr><w:pStyle w:val="Normal"/></w:pPr>
<w:r><w:t xml:space="preserve">descending, and threw out every available thing from the boat or</w:t></w:r>
</w:p>
<w:p>
<w:pPr><w:pStyle w:val="Normal"/></w:pPr>
<w:r><w:t xml:space="preserve">car.  When about three- quarters across they were descending</w:t></w:r>
</w:p>
<w:p>
<w:pPr><w:pStyle w:val="Normal"/></w:pPr>
<w:r><w:t xml:space="preserve">again, and had to throw out not only the anchor and cords, but</w:t></w:r>
</w:p>
<w:p>
<w:pPr><w:pStyle w:val="Normal"/></w:pPr>
<w:r><w:t xml:space="preserve">also to strip and throw away their clothing, which they found</w:t></w:r>
</w:p>
<w:p>
<w:pPr><w:pStyle w:val="Normal"/></w:pPr>
<w:r><w:t xml:space="preserve">they were rising, and their last resource, viz. to cut away the</w:t></w:r>
</w:p>
<w:p>
<w:pPr><w:pStyle w:val="Normal"/></w:pPr>
<w:r><w:t xml:space="preserve">car, was rendered unnecessary.  As they approached the shore</w:t></w:r>
</w:p>
<w:p>
<w:pPr><w:pStyle w:val="Normal"/></w:pPr>
<w:r><w:t xml:space="preserve">the balloon rose, describing a magnificent arch high over the</w:t></w:r>
</w:p>
<w:p>
<w:pPr><w:pStyle w:val="Normal"/></w:pPr>
<w:r><w:t xml:space="preserve">land.  They descended in the forest of Guinnes.  On the 15th</w:t></w:r>
</w:p>
<w:p>
<w:pPr><w:pStyle w:val="Normal"/></w:pPr>
<w:r><w:t xml:space="preserve">of June 1785, Pilatre de Rozier made an attempt to repeat the</w:t></w:r>
</w:p>
<w:p>
<w:pPr><w:pStyle w:val="Normal"/></w:pPr>
<w:r><w:t xml:space="preserve">exploit of Blanchard and Jeffries in the reverse direction,</w:t></w:r>
</w:p>
<w:p>
<w:pPr><w:pStyle w:val="Normal"/></w:pPr>
<w:r><w:t xml:space="preserve">and cross from Boulogne to England.  For this purpose he</w:t></w:r>
</w:p>
<w:p>
<w:pPr><w:pStyle w:val="Normal"/></w:pPr>
<w:r><w:t xml:space="preserve">contrived a double balloon, which he expected would combine the</w:t></w:r>
</w:p>
<w:p>
<w:pPr><w:pStyle w:val="Normal"/></w:pPr>
<w:r><w:t xml:space="preserve">advantages of both kinds---a fire-balloon, 10 ft. in diameter,</w:t></w:r>
</w:p>
<w:p>
<w:pPr><w:pStyle w:val="Normal"/></w:pPr>
<w:r><w:t xml:space="preserve">being placed underneath a gas-balloon of 37 ft. in diameter,</w:t></w:r>
</w:p>
<w:p>
<w:pPr><w:pStyle w:val="Normal"/></w:pPr>
<w:r><w:t xml:space="preserve">so that by increasing or diminishing the fire in the former</w:t></w:r>
</w:p>
<w:p>
<w:pPr><w:pStyle w:val="Normal"/></w:pPr>
<w:r><w:t xml:space="preserve">it might be possible to ascend or descend without waste of</w:t></w:r>
</w:p>
<w:p>
<w:pPr><w:pStyle w:val="Normal"/></w:pPr>
<w:r><w:t xml:space="preserve">gas.  Rozier was accompanied by P. A. Romain, and for rather</w:t></w:r>
</w:p>
<w:p>
<w:pPr><w:pStyle w:val="Normal"/></w:pPr>
<w:r><w:t xml:space="preserve">less than half an hour after the aerostat ascended all seemed</w:t></w:r>
</w:p>
<w:p>
<w:pPr><w:pStyle w:val="Normal"/></w:pPr>
<w:r><w:t xml:space="preserve">to be going on well, when suddenly the whole apparatus was</w:t></w:r>
</w:p>
<w:p>
<w:pPr><w:pStyle w:val="Normal"/></w:pPr>
<w:r><w:t xml:space="preserve">seen in flames, and the unfortunate adventurers came to the</w:t></w:r>
</w:p>
<w:p>
<w:pPr><w:pStyle w:val="Normal"/></w:pPr>
<w:r><w:t xml:space="preserve">ground from the supposed height of more than 3000 ft.  Rozier</w:t></w:r>
</w:p>
<w:p>
<w:pPr><w:pStyle w:val="Normal"/></w:pPr>
<w:r><w:t xml:space="preserve">was killed on the spot, and Romain only survived about ten</w:t></w:r>
</w:p>
<w:p>
<w:pPr><w:pStyle w:val="Normal"/></w:pPr>
<w:r><w:t xml:space="preserve">minutes.  A monument was erected on the place where they fell,</w:t></w:r>
</w:p>
<w:p>
<w:pPr><w:pStyle w:val="Normal"/></w:pPr>
<w:r><w:t xml:space="preserve">which was near the sea-shore, about 4 m. from the starting-point.</w:t></w:r>
</w:p>
<w:p>
<w:pPr><w:pStyle w:val="Normal"/></w:pPr>
<w:r><w:t xml:space="preserve">Early large balloons.</w:t></w:r>
</w:p>
<w:p>
<w:pPr><w:pStyle w:val="Normal"/></w:pPr>
<w:r><w:t xml:space="preserve">The largest balloon on record (if the contemporary accounts</w:t></w:r>
</w:p>
<w:p>
<w:pPr><w:pStyle w:val="Normal"/></w:pPr>
<w:r><w:t xml:space="preserve">are correct) ascended from Lyons on the 19th of January</w:t></w:r>
</w:p>
<w:p>
<w:pPr><w:pStyle w:val="Normal"/></w:pPr>
<w:r><w:t xml:space="preserve">1784.  It was more than 100 ft. in diameter, about 130 ft. in</w:t></w:r>
</w:p>
<w:p>
<w:pPr><w:pStyle w:val="Normal"/></w:pPr>
<w:r><w:t xml:space="preserve">height, and when distended had a capacity, it is said, of over</w:t></w:r>
</w:p>
<w:p>
<w:pPr><w:pStyle w:val="Normal"/></w:pPr>
<w:r><w:t xml:space="preserve">half a million cubic feet.  It was called the ``Flesselles&apos;&apos;</w:t></w:r>
</w:p>
<w:p>
<w:pPr><w:pStyle w:val="Normal"/></w:pPr>
<w:r><w:t xml:space="preserve">(from the name of its proprietor, we believe), and after having</w:t></w:r>
</w:p>
<w:p>
<w:pPr><w:pStyle w:val="Normal"/></w:pPr>
<w:r><w:t xml:space="preserve">been inflated from a straw fire in seventeen minutes, it rose</w:t></w:r>
</w:p>
<w:p>
<w:pPr><w:pStyle w:val="Normal"/></w:pPr>
<w:r><w:t xml:space="preserve">with seven persons in the car to the height of about 3000</w:t></w:r>
</w:p>
<w:p>
<w:pPr><w:pStyle w:val="Normal"/></w:pPr>
<w:r><w:t xml:space="preserve">ft., but descended again after the lapse of about a quarter</w:t></w:r>
</w:p>
<w:p>
<w:pPr><w:pStyle w:val="Normal"/></w:pPr>
<w:r><w:t xml:space="preserve">of an hour from the time of starting, in consequence of a</w:t></w:r>
</w:p>
<w:p>
<w:pPr><w:pStyle w:val="Normal"/></w:pPr>
<w:r><w:t xml:space="preserve">rent in the upper part.  Another large fire-balloon, 68 ft. in</w:t></w:r>
</w:p>
<w:p>
<w:pPr><w:pStyle w:val="Normal"/></w:pPr>
<w:r><w:t xml:space="preserve">diameter, was constructed by the chevalier Paul Andreani of</w:t></w:r>
</w:p>
<w:p>
<w:pPr><w:pStyle w:val="Normal"/></w:pPr>
<w:r><w:t xml:space="preserve">Milan, and on the 25th of February he ascended in it from</w:t></w:r>
</w:p>
<w:p>
<w:pPr><w:pStyle w:val="Normal"/></w:pPr>
<w:r><w:t xml:space="preserve">Milan, remaining in the air for about twenty minutes.  This</w:t></w:r>
</w:p>
<w:p>
<w:pPr><w:pStyle w:val="Normal"/></w:pPr>
<w:r><w:t xml:space="preserve">is usually regarded as the first ascent in Italy (but see</w:t></w:r>
</w:p>
<w:p>
<w:pPr><w:pStyle w:val="Normal"/></w:pPr>
<w:r><w:t xml:space="preserve">Monck Mason&apos;s Aeronautica, p. 247).  On the 7th of November</w:t></w:r>
</w:p>
<w:p>
<w:pPr><w:pStyle w:val="Normal"/></w:pPr>
<w:r><w:t xml:space="preserve">1836, at half-past one o&apos;clock, a large balloon containing</w:t></w:r>
</w:p>
<w:p>
<w:pPr><w:pStyle w:val="Normal"/></w:pPr>
<w:r><w:t xml:space="preserve">about 85,000 cub. ft. of gas ascended from Vauxhall Gardens,</w:t></w:r>
</w:p>
<w:p>
<w:pPr><w:pStyle w:val="Normal"/></w:pPr>
<w:r><w:t xml:space="preserve">London, carrying Robert Hollond, M.P., Monck Mason and Charles</w:t></w:r>
</w:p>
<w:p>
<w:pPr><w:pStyle w:val="Normal"/></w:pPr>
<w:r><w:t xml:space="preserve">Green, and descended about two leagues from Weilburg, in the</w:t></w:r>
</w:p>
<w:p>
<w:pPr><w:pStyle w:val="Normal"/></w:pPr>
<w:r><w:t xml:space="preserve">duchy of Nassau, at half-past seven the next morning, having</w:t></w:r>
</w:p>
<w:p>
<w:pPr><w:pStyle w:val="Normal"/></w:pPr>
<w:r><w:t xml:space="preserve">thus traversed a distance of about 500 m. in 18 hours; Liege</w:t></w:r>
</w:p>
<w:p>
<w:pPr><w:pStyle w:val="Normal"/></w:pPr>
<w:r><w:t xml:space="preserve">was passed in the course of the night, and Coblentz in the early</w:t></w:r>
</w:p>
<w:p>
<w:pPr><w:pStyle w:val="Normal"/></w:pPr>
<w:r><w:t xml:space="preserve">morning.  In consequence of this journey the balloon became</w:t></w:r>
</w:p>
<w:p>
<w:pPr><w:pStyle w:val="Normal"/></w:pPr>
<w:r><w:t xml:space="preserve">famous as the ``Nassau Balloon&apos;&apos; (fig. 6). Charles Green</w:t></w:r>
</w:p>
<w:p>
<w:pPr><w:pStyle w:val="Normal"/></w:pPr>
<w:r><w:t xml:space="preserve">(1785-1870), who constructed it and subsequently became its</w:t></w:r>
</w:p>
<w:p>
<w:pPr><w:pStyle w:val="Normal"/></w:pPr>
<w:r><w:t xml:space="preserve">owner, was the most celebrated of English aeronauts, and made</w:t></w:r>
</w:p>
<w:p>
<w:pPr><w:pStyle w:val="Normal"/></w:pPr>
<w:r><w:t xml:space="preserve">an extraordinary number of ascents.  His first, made from the</w:t></w:r>
</w:p>
<w:p>
<w:pPr><w:pStyle w:val="Normal"/></w:pPr>
<w:r><w:t xml:space="preserve">Green Park, London, on the 19th of July 1821 at the coronation</w:t></w:r>
</w:p>
<w:p>
<w:pPr><w:pStyle w:val="Normal"/></w:pPr>
<w:r><w:t xml:space="preserve">of George IV., was distinguished for the fact that for the first</w:t></w:r>
</w:p>
<w:p>
<w:pPr><w:pStyle w:val="Normal"/></w:pPr>
<w:r><w:t xml:space="preserve">time coal-gas was used instead of hydrogen for inflating the</w:t></w:r>
</w:p>
<w:p>
<w:pPr><w:pStyle w:val="Normal"/></w:pPr>
<w:r><w:t xml:space="preserve">balloon.  In 1828 he made an equestrian ascent from the</w:t></w:r>
</w:p>
<w:p>
<w:pPr><w:pStyle w:val="Normal"/></w:pPr>
<w:r><w:t xml:space="preserve">Eagle Tavern, City Road, London, seated on his favourite</w:t></w:r>
</w:p>
<w:p>
<w:pPr><w:pStyle w:val="Normal"/></w:pPr>
<w:r><w:t xml:space="preserve">pony.  Such ascents have since been repeated; in 1852 Madame</w:t></w:r>
</w:p>
<w:p>
<w:pPr><w:pStyle w:val="Normal"/></w:pPr>
<w:r><w:t xml:space="preserve">Poitevin made one from Cremorne Gardens, but was prevented</w:t></w:r>
</w:p>
<w:p>
<w:pPr><w:pStyle w:val="Normal"/></w:pPr>
<w:r><w:t xml:space="preserve">from giving a second performance by police interference, the</w:t></w:r>
</w:p>
<w:p>
<w:pPr><w:pStyle w:val="Normal"/></w:pPr>
<w:r><w:t xml:space="preserve">exhibition outraging public opinion.  It was in descending</w:t></w:r>
</w:p>
<w:p>
<w:pPr><w:pStyle w:val="Normal"/></w:pPr>
<w:r><w:t xml:space="preserve">from the ``Nassau Balloon&apos;&apos; in a parachute that Robert</w:t></w:r>
</w:p>
<w:p>
<w:pPr><w:pStyle w:val="Normal"/></w:pPr>
<w:r><w:t xml:space="preserve">Cocking was killed in 1837 (see PARACHUTE) . Green was the</w:t></w:r>
</w:p>
<w:p>
<w:pPr><w:pStyle w:val="Normal"/></w:pPr>
<w:r><w:t xml:space="preserve">inventor of the guide-rope, which consists of a long rope</w:t></w:r>
</w:p>
<w:p>
<w:pPr><w:pStyle w:val="Normal"/></w:pPr>
<w:r><w:t xml:space="preserve">trailing below the car.  Its function is to reduce the waste</w:t></w:r>
</w:p>
<w:p>
<w:pPr><w:pStyle w:val="Normal"/></w:pPr>
<w:r><w:t xml:space="preserve">of gas and ballast required to keep the balloon at a proper</w:t></w:r>
</w:p>
<w:p>
<w:pPr><w:pStyle w:val="Normal"/></w:pPr>
<w:r><w:t xml:space="preserve">altitude.  When a balloon sinks so low that a good deal of</w:t></w:r>
</w:p>
<w:p>
<w:pPr><w:pStyle w:val="Normal"/></w:pPr>
<w:r><w:t xml:space="preserve">the guide-rope rests on the ground, it is relieved of so</w:t></w:r>
</w:p>
<w:p>
<w:pPr><w:pStyle w:val="Normal"/></w:pPr>
<w:r><w:t xml:space="preserve">much weight and therefore tends to rise; if on the other</w:t></w:r>
</w:p>
<w:p>
<w:pPr><w:pStyle w:val="Normal"/></w:pPr>
<w:r><w:t xml:space="preserve">hand it rises so that most of the rope is lifted off the</w:t></w:r>
</w:p>
<w:p>
<w:pPr><w:pStyle w:val="Normal"/></w:pPr>
<w:r><w:t xml:space="preserve">ground, it has to bear a greater weight and tends to sink.</w:t></w:r>
</w:p>
<w:p>
<w:pPr><w:pStyle w:val="Normal"/></w:pPr>
<w:r><w:t xml:space="preserve">In 1863 A. Nadar, a Paris photographer, constructed ``Le</w:t></w:r>
</w:p>
<w:p>
<w:pPr><w:pStyle w:val="Normal"/></w:pPr>
<w:r><w:t xml:space="preserve">Geant,&apos;&apos; which was the largest gas-balloon made up to that</w:t></w:r>
</w:p>
<w:p>
<w:pPr><w:pStyle w:val="Normal"/></w:pPr>
<w:r><w:t xml:space="preserve">time and contained over 200,000 cub. ft. of gas.  Underneath</w:t></w:r>
</w:p>
<w:p>
<w:pPr><w:pStyle w:val="Normal"/></w:pPr>
<w:r><w:t xml:space="preserve">it was placed a smaller balloon, called a compensator,</w:t></w:r>
</w:p>
<w:p>
<w:pPr><w:pStyle w:val="Normal"/></w:pPr>
<w:r><w:t xml:space="preserve">the object of which was to prevent loss of gas during the</w:t></w:r>
</w:p>
<w:p>
<w:pPr><w:pStyle w:val="Normal"/></w:pPr>
<w:r><w:t xml:space="preserve">voyage.  The car had two stories, and was, in fact, a model</w:t></w:r>
</w:p>
<w:p>
<w:pPr><w:pStyle w:val="Normal"/></w:pPr>
<w:r><w:t xml:space="preserve">of a cottage in wicker-work, 8 ft. in height by 13 ft. in</w:t></w:r>
</w:p>
<w:p>
<w:pPr><w:pStyle w:val="Normal"/></w:pPr>
<w:r><w:t xml:space="preserve">length, containing a small printing-office, a photographic</w:t></w:r>
</w:p>
<w:p>
<w:pPr><w:pStyle w:val="Normal"/></w:pPr>
<w:r><w:t xml:space="preserve">department, a refreshment-room, a lavatory, &amp;c. The first</w:t></w:r>
</w:p>
<w:p>
<w:pPr><w:pStyle w:val="Normal"/></w:pPr>
<w:r><w:t xml:space="preserve">ascent took place at five o&apos;clock on Sunday the 4th of</w:t></w:r>
</w:p>
<w:p>
<w:pPr><w:pStyle w:val="Normal"/></w:pPr>
<w:r><w:t xml:space="preserve">October 1863, from the Champ de Mars.  There were thirteen</w:t></w:r>
</w:p>
<w:p>
<w:pPr><w:pStyle w:val="Normal"/></w:pPr>
<w:r><w:t xml:space="preserve">persons in the car, including one lady, the princess de</w:t></w:r>
</w:p>
<w:p>
<w:pPr><w:pStyle w:val="Normal"/></w:pPr>
<w:r><w:t xml:space="preserve">la Tour d&apos;Auvergne, and the two aeronauts Louis and Jules</w:t></w:r>
</w:p>
<w:p>
<w:pPr><w:pStyle w:val="Normal"/></w:pPr>
<w:r><w:t xml:space="preserve">Godard.  In spite of the elaborate preparations that had been</w:t></w:r>
</w:p>
<w:p>
<w:pPr><w:pStyle w:val="Normal"/></w:pPr>
<w:r><w:t xml:space="preserve">made and the stores of provisions that were taken up, the</w:t></w:r>
</w:p>
<w:p>
<w:pPr><w:pStyle w:val="Normal"/></w:pPr>
<w:r><w:t xml:space="preserve">balloon descended at nine o&apos;clock, at Meaux, the early descent</w:t></w:r>
</w:p>
<w:p>
<w:pPr><w:pStyle w:val="Normal"/></w:pPr>
<w:r><w:t xml:space="preserve">being rendered necessary, it was said, by an accident to the</w:t></w:r>
</w:p>
<w:p>
<w:pPr><w:pStyle w:val="Normal"/></w:pPr>
<w:r><w:t xml:space="preserve">valve-line.  At a second ascent, made a fortnight later,</w:t></w:r>
</w:p>
<w:p>
<w:pPr><w:pStyle w:val="Normal"/></w:pPr>
<w:r><w:t xml:space="preserve">there were nine passengers, including Madame Nadar.  The</w:t></w:r>
</w:p>
<w:p>
<w:pPr><w:pStyle w:val="Normal"/></w:pPr>
<w:r><w:t xml:space="preserve">balloon descended at the expiration of seventeen hours, near</w:t></w:r>
</w:p>
<w:p>
<w:pPr><w:pStyle w:val="Normal"/></w:pPr>
<w:r><w:t xml:space="preserve">Nienburg in Hanover, a distance of about 400 m.  A strong wind</w:t></w:r>
</w:p>
<w:p>
<w:pPr><w:pStyle w:val="Normal"/></w:pPr>
<w:r><w:t xml:space="preserve">was blowing, and it was dragged over the ground for 7 or 8</w:t></w:r>
</w:p>
<w:p>
<w:pPr><w:pStyle w:val="Normal"/></w:pPr>
<w:r><w:t xml:space="preserve">m.  All the passengers were bruised, and some seriously</w:t></w:r>
</w:p>
<w:p>
<w:pPr><w:pStyle w:val="Normal"/></w:pPr>
<w:r><w:t xml:space="preserve">hurt.  The balloon and car were then brought to England,</w:t></w:r>
</w:p>
<w:p>
<w:pPr><w:pStyle w:val="Normal"/></w:pPr>
<w:r><w:t xml:space="preserve">and exhibited at the Crystal Palace at the end of 1863 and</w:t></w:r>
</w:p>
<w:p>
<w:pPr><w:pStyle w:val="Normal"/></w:pPr>
<w:r><w:t xml:space="preserve">beginning of 1864.  The two ascents of Nadar&apos;s balloon excited</w:t></w:r>
</w:p>
<w:p>
<w:pPr><w:pStyle w:val="Normal"/></w:pPr>
<w:r><w:t xml:space="preserve">an extraordinary amount of enthusiasm and interest, vastly</w:t></w:r>
</w:p>
<w:p>
<w:pPr><w:pStyle w:val="Normal"/></w:pPr>
<w:r><w:t xml:space="preserve">out of proportion to what they were entitled to.  Nadar&apos;s</w:t></w:r>
</w:p>
<w:p>
<w:pPr><w:pStyle w:val="Normal"/></w:pPr>
<w:r><w:t xml:space="preserve">idea was to obtain sufficient money, by the exhibition of his</w:t></w:r>
</w:p>
<w:p>
<w:pPr><w:pStyle w:val="Normal"/></w:pPr>
<w:r><w:t xml:space="preserve">balloon, to carry out a plan of aerial locomotion he had</w:t></w:r>
</w:p>
<w:p>
<w:pPr><w:pStyle w:val="Normal"/></w:pPr>
<w:r><w:t xml:space="preserve">conceived possible by means of the principle of the screw; in</w:t></w:r>
</w:p>
<w:p>
<w:pPr><w:pStyle w:val="Normal"/></w:pPr>
<w:r><w:t xml:space="preserve">fact, he spoke of ``Le Geant&apos;&apos; as ``the last balloon.&apos;&apos; He</w:t></w:r>
</w:p>
<w:p>
<w:pPr><w:pStyle w:val="Normal"/></w:pPr>
<w:r><w:t xml:space="preserve">also started L&apos;Aeronaute, a newspaper devoted to aerostation,</w:t></w:r>
</w:p>
<w:p>
<w:pPr><w:pStyle w:val="Normal"/></w:pPr>
<w:r><w:t xml:space="preserve">and published a small book, which was translated into English</w:t></w:r>
</w:p>
<w:p>
<w:pPr><w:pStyle w:val="Normal"/></w:pPr>
<w:r><w:t xml:space="preserve">under the title The Right to Fly. Directly after Nadar&apos;s two</w:t></w:r>
</w:p>
<w:p>
<w:pPr><w:pStyle w:val="Normal"/></w:pPr>
<w:r><w:t xml:space="preserve">ascents, Eugene Godard constructed a fire-balloon of nearly</w:t></w:r>
</w:p>
<w:p>
<w:pPr><w:pStyle w:val="Normal"/></w:pPr>
<w:r><w:t xml:space="preserve">half a million cubic feet capacity--more than double that of</w:t></w:r>
</w:p>
<w:p>
<w:pPr><w:pStyle w:val="Normal"/></w:pPr>
<w:r><w:t xml:space="preserve">Nadar&apos;s and only slightly less than that attributed to the</w:t></w:r>
</w:p>
<w:p>
<w:pPr><w:pStyle w:val="Normal"/></w:pPr>
<w:r><w:t xml:space="preserve">``Flesselles&apos;&apos; of 1783.  The air was heated by an 18-ft. stove,</w:t></w:r>
</w:p>
<w:p>
<w:pPr><w:pStyle w:val="Normal"/></w:pPr>
<w:r><w:t xml:space="preserve">weighing, with the chimney, 980 lb.  This furnace was fed</w:t></w:r>
</w:p>
<w:p>
<w:pPr><w:pStyle w:val="Normal"/></w:pPr>
<w:r><w:t xml:space="preserve">by straw; and the ``car&apos;&apos; consisted of a gallery surrounding</w:t></w:r>
</w:p>
<w:p>
<w:pPr><w:pStyle w:val="Normal"/></w:pPr>
<w:r><w:t xml:space="preserve">it.  Two ascents of this balloon, the first fire-balloon seen</w:t></w:r>
</w:p>
<w:p>
<w:pPr><w:pStyle w:val="Normal"/></w:pPr>
<w:r><w:t xml:space="preserve">in London, were made from Cremorne Gardens in July 1864.</w:t></w:r>
</w:p>
<w:p>
<w:pPr><w:pStyle w:val="Normal"/></w:pPr>
<w:r><w:t xml:space="preserve">After the first journey the balloon descended at Greenwich,</w:t></w:r>
</w:p>
<w:p>
<w:pPr><w:pStyle w:val="Normal"/></w:pPr>
<w:r><w:t xml:space="preserve">and after the second at Walthamstow, where it was injured</w:t></w:r>
</w:p>
<w:p>
<w:pPr><w:pStyle w:val="Normal"/></w:pPr>
<w:r><w:t xml:space="preserve">by being blown against a tree.  Notwithstanding its enormous</w:t></w:r>
</w:p>
<w:p>
<w:pPr><w:pStyle w:val="Normal"/></w:pPr>
<w:r><w:t xml:space="preserve">size, Godard asserted that it could be inflated in half an</w:t></w:r>
</w:p>
<w:p>
<w:pPr><w:pStyle w:val="Normal"/></w:pPr>
<w:r><w:t xml:space="preserve">hour, and the inflation at Cremorne did not occupy more than an</w:t></w:r>
</w:p>
<w:p>
<w:pPr><w:pStyle w:val="Normal"/></w:pPr>
<w:r><w:t xml:space="preserve">hour.  In spite of the rapidity with which the inflation was</w:t></w:r>
</w:p>
<w:p>
<w:pPr><w:pStyle w:val="Normal"/></w:pPr>
<w:r><w:t xml:space="preserve">effected, few who saw the ascent could fail to receive an</w:t></w:r>
</w:p>
<w:p>
<w:pPr><w:pStyle w:val="Normal"/></w:pPr>
<w:r><w:t xml:space="preserve">impression unfavourable to the fire-balloon in the matter</w:t></w:r>
</w:p>
<w:p>
<w:pPr><w:pStyle w:val="Normal"/></w:pPr>
<w:r><w:t xml:space="preserve">of safety, as a rough descent, with a heated furnace as it</w:t></w:r>
</w:p>
<w:p>
<w:pPr><w:pStyle w:val="Normal"/></w:pPr>
<w:r><w:t xml:space="preserve">were in the car, could not be other than most dangerous.</w:t></w:r>
</w:p>
<w:p>
<w:pPr><w:pStyle w:val="Normal"/></w:pPr>
<w:r><w:t xml:space="preserve">Long balloon voyages.</w:t></w:r>
</w:p>
<w:p>
<w:pPr><w:pStyle w:val="Normal"/></w:pPr>
<w:r><w:t xml:space="preserve">In the summer of 1873 the proprietors of the New York</w:t></w:r>
</w:p>
<w:p>
<w:pPr><w:pStyle w:val="Normal"/></w:pPr>
<w:r><w:t xml:space="preserve">Daily Graphic, reviving a project discussed by Green in</w:t></w:r>
</w:p>
<w:p>
<w:pPr><w:pStyle w:val="Normal"/></w:pPr>
<w:r><w:t xml:space="preserve">1840, determined to construct a very large balloon, and</w:t></w:r>
</w:p>
<w:p>
<w:pPr><w:pStyle w:val="Normal"/></w:pPr>
<w:r><w:t xml:space="preserve">enable the American aeronaut, John Wise, to realize his</w:t></w:r>
</w:p>
<w:p>
<w:pPr><w:pStyle w:val="Normal"/></w:pPr>
<w:r><w:t xml:space="preserve">favourite scheme of crossing the Atlantic Ocean to Europe, by</w:t></w:r>
</w:p>
<w:p>
<w:pPr><w:pStyle w:val="Normal"/></w:pPr>
<w:r><w:t xml:space="preserve">taking advantage of the current from west to east which was</w:t></w:r>
</w:p>
<w:p>
<w:pPr><w:pStyle w:val="Normal"/></w:pPr>
<w:r><w:t xml:space="preserve">believed by many to exist constantly at heights above 10,000</w:t></w:r>
</w:p>
<w:p>
<w:pPr><w:pStyle w:val="Normal"/></w:pPr>
<w:r><w:t xml:space="preserve">ft.  The project came to nothing owing to the quality of</w:t></w:r>
</w:p>
<w:p>
<w:pPr><w:pStyle w:val="Normal"/></w:pPr>
<w:r><w:t xml:space="preserve">the material of which the balloon was made.  When it was</w:t></w:r>
</w:p>
<w:p>
<w:pPr><w:pStyle w:val="Normal"/></w:pPr>
<w:r><w:t xml:space="preserve">being inflated in September 1873 a rent was observed after</w:t></w:r>
</w:p>
<w:p>
<w:pPr><w:pStyle w:val="Normal"/></w:pPr>
<w:r><w:t xml:space="preserve">325,000 cub. ft. of gas had been put in, and the whole rapidly</w:t></w:r>
</w:p>
<w:p>
<w:pPr><w:pStyle w:val="Normal"/></w:pPr>
<w:r><w:t xml:space="preserve">collapsed.  The size was said to be such as to contain 400,000</w:t></w:r>
</w:p>
<w:p>
<w:pPr><w:pStyle w:val="Normal"/></w:pPr>
<w:r><w:t xml:space="preserve">cub. ft., so that it would lift a weight of 14,000 lb.  No</w:t></w:r>
</w:p>
<w:p>
<w:pPr><w:pStyle w:val="Normal"/></w:pPr>
<w:r><w:t xml:space="preserve">balloon voyage has yet been made of a length comparable to the</w:t></w:r>
</w:p>
<w:p>
<w:pPr><w:pStyle w:val="Normal"/></w:pPr>
<w:r><w:t xml:space="preserve">breadth of the Atlantic.  In fact only two voyages exceeding</w:t></w:r>
</w:p>
<w:p>
<w:pPr><w:pStyle w:val="Normal"/></w:pPr>
<w:r><w:t xml:space="preserve">1000 m. are on record--that of John Wise from St Louis to</w:t></w:r>
</w:p>
<w:p>
<w:pPr><w:pStyle w:val="Normal"/></w:pPr>
<w:r><w:t xml:space="preserve">Henderson, N.Y., 1120 m., in 1859, and that of Count Henry</w:t></w:r>
</w:p>
<w:p>
<w:pPr><w:pStyle w:val="Normal"/></w:pPr>
<w:r><w:t xml:space="preserve">de la Vaulx from Paris to Korosticheff in Russia, 1193 m., in</w:t></w:r>
</w:p>
<w:p>
<w:pPr><w:pStyle w:val="Normal"/></w:pPr>
<w:r><w:t xml:space="preserve">1900.  On the 11th of July 1897 Salomon Andree, with two</w:t></w:r>
</w:p>
<w:p>
<w:pPr><w:pStyle w:val="Normal"/></w:pPr>
<w:r><w:t xml:space="preserve">companions, Strendberg and Frankel, ascended from Spitzbergen</w:t></w:r>
</w:p>
<w:p>
<w:pPr><w:pStyle w:val="Normal"/></w:pPr>
<w:r><w:t xml:space="preserve">in a daring attempt to reach the North Pole, about 600 m.</w:t></w:r>
</w:p>
<w:p>
<w:pPr><w:pStyle w:val="Normal"/></w:pPr>
<w:r><w:t xml:space="preserve">distant.  One carrier pigeon, apparently liberated 48 hours</w:t></w:r>
</w:p>
<w:p>
<w:pPr><w:pStyle w:val="Normal"/></w:pPr>
<w:r><w:t xml:space="preserve">after the start, was shot, and two floating buoys with messages</w:t></w:r>
</w:p>
<w:p>
<w:pPr><w:pStyle w:val="Normal"/></w:pPr>
<w:r><w:t xml:space="preserve">were found, but nothing more was heard of the explorers.</w:t></w:r>
</w:p>
<w:p>
<w:pPr><w:pStyle w:val="Normal"/></w:pPr>
<w:r><w:t xml:space="preserve">Scientific Ascents.</w:t></w:r>
</w:p>
<w:p>
<w:pPr><w:pStyle w:val="Normal"/></w:pPr>
<w:r><w:t xml:space="preserve">At an early date the balloon was applied to scientific</w:t></w:r>
</w:p>
<w:p>
<w:pPr><w:pStyle w:val="Normal"/></w:pPr>
<w:r><w:t xml:space="preserve">purposes. as far back as 1784, Dr Jeffries made an ascent from</w:t></w:r>
</w:p>
<w:p>
<w:pPr><w:pStyle w:val="Normal"/></w:pPr>
<w:r><w:t xml:space="preserve">London in which he carried out barometric, thermometric and</w:t></w:r>
</w:p>
<w:p>
<w:pPr><w:pStyle w:val="Normal"/></w:pPr>
<w:r><w:t xml:space="preserve">hygrometric observations, also collecting samples of the air</w:t></w:r>
</w:p>
<w:p>
<w:pPr><w:pStyle w:val="Normal"/></w:pPr>
<w:r><w:t xml:space="preserve">at different heights.  In 1803 the St Petersburg Academy of</w:t></w:r>
</w:p>
<w:p>
<w:pPr><w:pStyle w:val="Normal"/></w:pPr>
<w:r><w:t xml:space="preserve">Sciences, entertaining the opinion that the experiments made</w:t></w:r>
</w:p>
<w:p>
<w:pPr><w:pStyle w:val="Normal"/></w:pPr>
<w:r><w:t xml:space="preserve">on mountain-sides by J. A. Deluc, H. B. de Saussure, A. von</w:t></w:r>
</w:p>
<w:p>
<w:pPr><w:pStyle w:val="Normal"/></w:pPr>
<w:r><w:t xml:space="preserve">Humboldt and others must give results different from those</w:t></w:r>
</w:p>
<w:p>
<w:pPr><w:pStyle w:val="Normal"/></w:pPr>
<w:r><w:t xml:space="preserve">made in free air at the same heights, resolved to arrange a</w:t></w:r>
</w:p>
<w:p>
<w:pPr><w:pStyle w:val="Normal"/></w:pPr>
<w:r><w:t xml:space="preserve">balloon ascent.  Accordingly, on the 30th of January 1808,</w:t></w:r>
</w:p>
<w:p>
<w:pPr><w:pStyle w:val="Normal"/></w:pPr>
<w:r><w:t xml:space="preserve">.Sacharof, a member of the academy, ascended in a gas balloon,</w:t></w:r>
</w:p>
<w:p>
<w:pPr><w:pStyle w:val="Normal"/></w:pPr>
<w:r><w:t xml:space="preserve">in company with a French aeronaut, E.  G. Robertson, who at</w:t></w:r>
</w:p>
<w:p>
<w:pPr><w:pStyle w:val="Normal"/></w:pPr>
<w:r><w:t xml:space="preserve">one time gave conjuring entertainments in Paris.  The ascent</w:t></w:r>
</w:p>
<w:p>
<w:pPr><w:pStyle w:val="Normal"/></w:pPr>
<w:r><w:t xml:space="preserve">was made at a quarter past seven, and the descent effected</w:t></w:r>
</w:p>
<w:p>
<w:pPr><w:pStyle w:val="Normal"/></w:pPr>
<w:r><w:t xml:space="preserve">at a quarter to eleven.  The height reached was less than 1 1/2</w:t></w:r>
</w:p>
<w:p>
<w:pPr><w:pStyle w:val="Normal"/></w:pPr>
<w:r><w:t xml:space="preserve">m.  The experiments were not very systematically made, and</w:t></w:r>
</w:p>
<w:p>
<w:pPr><w:pStyle w:val="Normal"/></w:pPr>
<w:r><w:t xml:space="preserve">the chief results were the filling and bringing down of</w:t></w:r>
</w:p>
<w:p>
<w:pPr><w:pStyle w:val="Normal"/></w:pPr>
<w:r><w:t xml:space="preserve">several flasks of air collected at different elevations,</w:t></w:r>
</w:p>
<w:p>
<w:pPr><w:pStyle w:val="Normal"/></w:pPr>
<w:r><w:t xml:space="preserve">and the supposed observation that the magnetic dip was</w:t></w:r>
</w:p>
<w:p>
<w:pPr><w:pStyle w:val="Normal"/></w:pPr>
<w:r><w:t xml:space="preserve">altered.  A telescope fixed in the bottom of the car and</w:t></w:r>
</w:p>
<w:p>
<w:pPr><w:pStyle w:val="Normal"/></w:pPr>
<w:r><w:t xml:space="preserve">pointing vertically downwards enabled the travellers to</w:t></w:r>
</w:p>
<w:p>
<w:pPr><w:pStyle w:val="Normal"/></w:pPr>
<w:r><w:t xml:space="preserve">ascertain exactly the spot over which they were floating at any</w:t></w:r>
</w:p>
<w:p>
<w:pPr><w:pStyle w:val="Normal"/></w:pPr>
<w:r><w:t xml:space="preserve">moment.  Sacharof found that, on shouting downwards through</w:t></w:r>
</w:p>
<w:p>
<w:pPr><w:pStyle w:val="Normal"/></w:pPr>
<w:r><w:t xml:space="preserve">his speaking-trumpet, the echo from the earth was quite</w:t></w:r>
</w:p>
<w:p>
<w:pPr><w:pStyle w:val="Normal"/></w:pPr>
<w:r><w:t xml:space="preserve">distinct, and at his height was audible after an interval</w:t></w:r>
</w:p>
<w:p>
<w:pPr><w:pStyle w:val="Normal"/></w:pPr>
<w:r><w:t xml:space="preserve">of about ten seconds (Phil. Mag., 1805, 21, p. 193).</w:t></w:r>
</w:p>
<w:p>
<w:pPr><w:pStyle w:val="Normal"/></w:pPr>
<w:r><w:t xml:space="preserve">Some of the results reported by Robertson appearing doubtful,</w:t></w:r>
</w:p>
<w:p>
<w:pPr><w:pStyle w:val="Normal"/></w:pPr>
<w:r><w:t xml:space="preserve">Laplace proposed to the members of the French Academy of</w:t></w:r>
</w:p>
<w:p>
<w:pPr><w:pStyle w:val="Normal"/></w:pPr>
<w:r><w:t xml:space="preserve">Sciences that the funds placed by the government at their</w:t></w:r>
</w:p>
<w:p>
<w:pPr><w:pStyle w:val="Normal"/></w:pPr>
<w:r><w:t xml:space="preserve">disposal for the prosecution of useful experiments should be</w:t></w:r>
</w:p>
<w:p>
<w:pPr><w:pStyle w:val="Normal"/></w:pPr>
<w:r><w:t xml:space="preserve">utilized in sending up balloons to test their accuracy.  The</w:t></w:r>
</w:p>
<w:p>
<w:pPr><w:pStyle w:val="Normal"/></w:pPr>
<w:r><w:t xml:space="preserve">proposition was supported by J. A. C. Chaptal, the chemist,</w:t></w:r>
</w:p>
<w:p>
<w:pPr><w:pStyle w:val="Normal"/></w:pPr>
<w:r><w:t xml:space="preserve">who was then minister of the interior, and accordingly the</w:t></w:r>
</w:p>
<w:p>
<w:pPr><w:pStyle w:val="Normal"/></w:pPr>
<w:r><w:t xml:space="preserve">necessary arrangements were speedily effected, the charge</w:t></w:r>
</w:p>
<w:p>
<w:pPr><w:pStyle w:val="Normal"/></w:pPr>
<w:r><w:t xml:space="preserve">of the experiments being given to L. J. Gay-Lussac and J. B.</w:t></w:r>
</w:p>
<w:p>
<w:pPr><w:pStyle w:val="Normal"/></w:pPr>
<w:r><w:t xml:space="preserve">Biot.  The principal object of this ascent was to determine</w:t></w:r>
</w:p>
<w:p>
<w:pPr><w:pStyle w:val="Normal"/></w:pPr>
<w:r><w:t xml:space="preserve">whether the magnetic force experienced any appreciable diminution</w:t></w:r>
</w:p>
<w:p>
<w:pPr><w:pStyle w:val="Normal"/></w:pPr>
<w:r><w:t xml:space="preserve">at heights above the earth&apos;s surface.  On the 24th of August</w:t></w:r>
</w:p>
<w:p>
<w:pPr><w:pStyle w:val="Normal"/></w:pPr>
<w:r><w:t xml:space="preserve">1804, Gay-Lussac and Biot ascended from the Conservatoire des</w:t></w:r>
</w:p>
<w:p>
<w:pPr><w:pStyle w:val="Normal"/></w:pPr>
<w:r><w:t xml:space="preserve">Arts at ten o&apos;clock in the morning.  Their magnetic experiments</w:t></w:r>
</w:p>
<w:p>
<w:pPr><w:pStyle w:val="Normal"/></w:pPr>
<w:r><w:t xml:space="preserve">were incommoded by the rotation of the balloon, but they found</w:t></w:r>
</w:p>
<w:p>
<w:pPr><w:pStyle w:val="Normal"/></w:pPr>
<w:r><w:t xml:space="preserve">that, up to the height of 13,000 ft., the time of vibration</w:t></w:r>
</w:p>
<w:p>
<w:pPr><w:pStyle w:val="Normal"/></w:pPr>
<w:r><w:t xml:space="preserve">of a magnet was appreciably the same as on the earth&apos;s</w:t></w:r>
</w:p>
<w:p>
<w:pPr><w:pStyle w:val="Normal"/></w:pPr>
<w:r><w:t xml:space="preserve">surface.  They found also that the air became drier as they</w:t></w:r>
</w:p>
<w:p>
<w:pPr><w:pStyle w:val="Normal"/></w:pPr>
<w:r><w:t xml:space="preserve">ascended.  The height reached was about 13,000 ft., and the</w:t></w:r>
</w:p>
<w:p>
<w:pPr><w:pStyle w:val="Normal"/></w:pPr>
<w:r><w:t xml:space="preserve">temperature declined from 63 deg.  to 51 deg.  F. The descent was</w:t></w:r>
</w:p>
<w:p>
<w:pPr><w:pStyle w:val="Normal"/></w:pPr>
<w:r><w:t xml:space="preserve">effected about half-past one, at Meriville, 18 leagues from Paris.</w:t></w:r>
</w:p>
<w:p>
<w:pPr><w:pStyle w:val="Normal"/></w:pPr>
<w:r><w:t xml:space="preserve">In a second experiment, which was made on the 16th of September</w:t></w:r>
</w:p>
<w:p>
<w:pPr><w:pStyle w:val="Normal"/></w:pPr>
<w:r><w:t xml:space="preserve">1804, Gay-Lussac ascended alone.  The balloon left the</w:t></w:r>
</w:p>
<w:p>
<w:pPr><w:pStyle w:val="Normal"/></w:pPr>
<w:r><w:t xml:space="preserve">Conservatoire des Arts at 9.40 A.M., and descended at 3.45</w:t></w:r>
</w:p>
<w:p>
<w:pPr><w:pStyle w:val="Normal"/></w:pPr>
<w:r><w:t xml:space="preserve">P.M. between Rouen and Dieppe.  The chief result obtained was</w:t></w:r>
</w:p>
<w:p>
<w:pPr><w:pStyle w:val="Normal"/></w:pPr>
<w:r><w:t xml:space="preserve">that the magnetic force, like gravitation, did not experience</w:t></w:r>
</w:p>
<w:p>
<w:pPr><w:pStyle w:val="Normal"/></w:pPr>
<w:r><w:t xml:space="preserve">any sensible variation at heights from the earth&apos;s surface</w:t></w:r>
</w:p>
<w:p>
<w:pPr><w:pStyle w:val="Normal"/></w:pPr>
<w:r><w:t xml:space="preserve">which we can attain to.  Gay-Lussac also brought down air</w:t></w:r>
</w:p>
<w:p>
<w:pPr><w:pStyle w:val="Normal"/></w:pPr>
<w:r><w:t xml:space="preserve">collected at the height of nearly 23,000 ft., and on analysis</w:t></w:r>
</w:p>
<w:p>
<w:pPr><w:pStyle w:val="Normal"/></w:pPr>
<w:r><w:t xml:space="preserve">it appeared that its composition was the same as that of air</w:t></w:r>
</w:p>
<w:p>
<w:pPr><w:pStyle w:val="Normal"/></w:pPr>
<w:r><w:t xml:space="preserve">collected at the earth&apos;s surface.  At the time of leaving the</w:t></w:r>
</w:p>
<w:p>
<w:pPr><w:pStyle w:val="Normal"/></w:pPr>
<w:r><w:t xml:space="preserve">earth the thermometer stood at 82 deg.  F., and at the highest</w:t></w:r>
</w:p>
<w:p>
<w:pPr><w:pStyle w:val="Normal"/></w:pPr>
<w:r><w:t xml:space="preserve">point reached (23,000 ft.) it was 14.9 deg.  F. Gay-Lussac remarked</w:t></w:r>
</w:p>
<w:p>
<w:pPr><w:pStyle w:val="Normal"/></w:pPr>
<w:r><w:t xml:space="preserve">that at his highest point there were still clouds above him.</w:t></w:r>
</w:p>
<w:p>
<w:pPr><w:pStyle w:val="Normal"/></w:pPr>
<w:r><w:t xml:space="preserve">From 1804 to 1850 there is no record of any scientific ascents</w:t></w:r>
</w:p>
<w:p>
<w:pPr><w:pStyle w:val="Normal"/></w:pPr>
<w:r><w:t xml:space="preserve">in balloons having been undertaken.  In the latter year</w:t></w:r>
</w:p>
<w:p>
<w:pPr><w:pStyle w:val="Normal"/></w:pPr>
<w:r><w:t xml:space="preserve">J. A. Bixio (1808-1865) and A. Barral (1819-1884) made two</w:t></w:r>
</w:p>
<w:p>
<w:pPr><w:pStyle w:val="Normal"/></w:pPr>
<w:r><w:t xml:space="preserve">ascents of this kind.  In the first they ascended from the</w:t></w:r>
</w:p>
<w:p>
<w:pPr><w:pStyle w:val="Normal"/></w:pPr>
<w:r><w:t xml:space="preserve">Paris observatory on the 29th of June 1850, at 10.27 A.M.,</w:t></w:r>
</w:p>
<w:p>
<w:pPr><w:pStyle w:val="Normal"/></w:pPr>
<w:r><w:t xml:space="preserve">the balloon being inflated with hydrogen gas.  The day was</w:t></w:r>
</w:p>
<w:p>
<w:pPr><w:pStyle w:val="Normal"/></w:pPr>
<w:r><w:t xml:space="preserve">a rough one, and the ascent took place without any previous</w:t></w:r>
</w:p>
<w:p>
<w:pPr><w:pStyle w:val="Normal"/></w:pPr>
<w:r><w:t xml:space="preserve">attempt having been made to test the ascensional force of the</w:t></w:r>
</w:p>
<w:p>
<w:pPr><w:pStyle w:val="Normal"/></w:pPr>
<w:r><w:t xml:space="preserve">balloon.  When liberated, it rose with great rapidity, and</w:t></w:r>
</w:p>
<w:p>
<w:pPr><w:pStyle w:val="Normal"/></w:pPr>
<w:r><w:t xml:space="preserve">becoming fully inflated it pressed upon the network, bulging</w:t></w:r>
</w:p>
<w:p>
<w:pPr><w:pStyle w:val="Normal"/></w:pPr>
<w:r><w:t xml:space="preserve">out at the top and bottom.  The ropes by which the car was</w:t></w:r>
</w:p>
<w:p>
<w:pPr><w:pStyle w:val="Normal"/></w:pPr>
<w:r><w:t xml:space="preserve">suspended being too short, the balloon soon covered the</w:t></w:r>
</w:p>
<w:p>
<w:pPr><w:pStyle w:val="Normal"/></w:pPr>
<w:r><w:t xml:space="preserve">travellers like an immense hood.  In endeavouring to secure</w:t></w:r>
</w:p>
<w:p>
<w:pPr><w:pStyle w:val="Normal"/></w:pPr>
<w:r><w:t xml:space="preserve">the valve-rope, they made a rent in the balloon, and the</w:t></w:r>
</w:p>
<w:p>
<w:pPr><w:pStyle w:val="Normal"/></w:pPr>
<w:r><w:t xml:space="preserve">gas escaped so close to their faces as almost to suffocate</w:t></w:r>
</w:p>
<w:p>
<w:pPr><w:pStyle w:val="Normal"/></w:pPr>
<w:r><w:t xml:space="preserve">them.  Finding that they were descending then too rapidly,</w:t></w:r>
</w:p>
<w:p>
<w:pPr><w:pStyle w:val="Normal"/></w:pPr>
<w:r><w:t xml:space="preserve">they threw overboard everything available, including their</w:t></w:r>
</w:p>
<w:p>
<w:pPr><w:pStyle w:val="Normal"/></w:pPr>
<w:r><w:t xml:space="preserve">coats and only excepting the instruments.  The ground was</w:t></w:r>
</w:p>
<w:p>
<w:pPr><w:pStyle w:val="Normal"/></w:pPr>
<w:r><w:t xml:space="preserve">reached at 10h. 45m., near Lagny.  Of course no observations</w:t></w:r>
</w:p>
<w:p>
<w:pPr><w:pStyle w:val="Normal"/></w:pPr>
<w:r><w:t xml:space="preserve">were made.  Their second ascent was made on the 27th of</w:t></w:r>
</w:p>
<w:p>
<w:pPr><w:pStyle w:val="Normal"/></w:pPr>
<w:r><w:t xml:space="preserve">July, and was remarkable on account of the extreme cold met</w:t></w:r>
</w:p>
<w:p>
<w:pPr><w:pStyle w:val="Normal"/></w:pPr>
<w:r><w:t xml:space="preserve">with.  At about 20,000 ft. the temperature was 15 deg.  F., the</w:t></w:r>
</w:p>
<w:p>
<w:pPr><w:pStyle w:val="Normal"/></w:pPr>
<w:r><w:t xml:space="preserve">balloon being enveloped in cloud; but on emerging from the</w:t></w:r>
</w:p>
<w:p>
<w:pPr><w:pStyle w:val="Normal"/></w:pPr>
<w:r><w:t xml:space="preserve">cloud, at 23,000 ft., the temperature sank to --38 deg.  F.,</w:t></w:r>
</w:p>
<w:p>
<w:pPr><w:pStyle w:val="Normal"/></w:pPr>
<w:r><w:t xml:space="preserve">no less than 53 deg.  F. below that experienced by Gay-Lussac</w:t></w:r>
</w:p>
<w:p>
<w:pPr><w:pStyle w:val="Normal"/></w:pPr>
<w:r><w:t xml:space="preserve">at the same elevation.  The existence of these very cold</w:t></w:r>
</w:p>
<w:p>
<w:pPr><w:pStyle w:val="Normal"/></w:pPr>
<w:r><w:t xml:space="preserve">clouds served to explain certain meteorological phenomena</w:t></w:r>
</w:p>
<w:p>
<w:pPr><w:pStyle w:val="Normal"/></w:pPr>
<w:r><w:t xml:space="preserve">that were observed on the earth both the day before and the</w:t></w:r>
</w:p>
<w:p>
<w:pPr><w:pStyle w:val="Normal"/></w:pPr>
<w:r><w:t xml:space="preserve">day after the ascent.  Some pigeons were taken up in this,</w:t></w:r>
</w:p>
<w:p>
<w:pPr><w:pStyle w:val="Normal"/></w:pPr>
<w:r><w:t xml:space="preserve">as in most other high ascents; when liberated, they showed a</w:t></w:r>
</w:p>
<w:p>
<w:pPr><w:pStyle w:val="Normal"/></w:pPr>
<w:r><w:t xml:space="preserve">reluctance to leave the car, and then fell heavily downwards.</w:t></w:r>
</w:p>
<w:p>
<w:pPr><w:pStyle w:val="Normal"/></w:pPr>
<w:r><w:t xml:space="preserve">In July 1852 the committee of the Kew Observatory resolved</w:t></w:r>
</w:p>
<w:p>
<w:pPr><w:pStyle w:val="Normal"/></w:pPr>
<w:r><w:t xml:space="preserve">to institute a series of balloon ascents, with the view of</w:t></w:r>
</w:p>
<w:p>
<w:pPr><w:pStyle w:val="Normal"/></w:pPr>
<w:r><w:t xml:space="preserve">investigating such meteorological and physical phenomena as</w:t></w:r>
</w:p>
<w:p>
<w:pPr><w:pStyle w:val="Normal"/></w:pPr>
<w:r><w:t xml:space="preserve">require the presence of an observer at a great height in the</w:t></w:r>
</w:p>
<w:p>
<w:pPr><w:pStyle w:val="Normal"/></w:pPr>
<w:r><w:t xml:space="preserve">atmosphere.  John Welsh (1824-1859) of the Kew Observatory was</w:t></w:r>
</w:p>
<w:p>
<w:pPr><w:pStyle w:val="Normal"/></w:pPr>
<w:r><w:t xml:space="preserve">the observer, and the great ``Nassau Balloon&apos;&apos; was employed,</w:t></w:r>
</w:p>
<w:p>
<w:pPr><w:pStyle w:val="Normal"/></w:pPr>
<w:r><w:t xml:space="preserve">with Green himself as the aeronaut.  Four ascents were made</w:t></w:r>
</w:p>
<w:p>
<w:pPr><w:pStyle w:val="Normal"/></w:pPr>
<w:r><w:t xml:space="preserve">in 1852, viz. on the 17th and 26th of August, the 31st of</w:t></w:r>
</w:p>
<w:p>
<w:pPr><w:pStyle w:val="Normal"/></w:pPr>
<w:r><w:t xml:space="preserve">October and the 10th of November.  The heights attained</w:t></w:r>
</w:p>
<w:p>
<w:pPr><w:pStyle w:val="Normal"/></w:pPr>
<w:r><w:t xml:space="preserve">were 19,510, 19,100, 12,680 and 22,930 ft., and the lowest</w:t></w:r>
</w:p>
<w:p>
<w:pPr><w:pStyle w:val="Normal"/></w:pPr>
<w:r><w:t xml:space="preserve">temperatures met with in the four ascents were 8.7 deg.  F. (19,380</w:t></w:r>
</w:p>
<w:p>
<w:pPr><w:pStyle w:val="Normal"/></w:pPr>
<w:r><w:t xml:space="preserve">ft.), 12.4 deg.  F. (18,370 ft.), 16.4 deg.  F. (12,640 ft.) and</w:t></w:r>
</w:p>
<w:p>
<w:pPr><w:pStyle w:val="Normal"/></w:pPr>
<w:r><w:t xml:space="preserve">10.5 deg.  F. (22,370 ft.).  The decline of temperature was very</w:t></w:r>
</w:p>
<w:p>
<w:pPr><w:pStyle w:val="Normal"/></w:pPr>
<w:r><w:t xml:space="preserve">regular.  A siphon barometer, dry and wet bulb thermometers,</w:t></w:r>
</w:p>
<w:p>
<w:pPr><w:pStyle w:val="Normal"/></w:pPr>
<w:r><w:t xml:space="preserve">aspirated and free, and a Regnault hygrometer were taken</w:t></w:r>
</w:p>
<w:p>
<w:pPr><w:pStyle w:val="Normal"/></w:pPr>
<w:r><w:t xml:space="preserve">up.  Some air collected at a considerable height was found</w:t></w:r>
</w:p>
<w:p>
<w:pPr><w:pStyle w:val="Normal"/></w:pPr>
<w:r><w:t xml:space="preserve">on analysis not to differ appreciably in its composition</w:t></w:r>
</w:p>
<w:p>
<w:pPr><w:pStyle w:val="Normal"/></w:pPr>
<w:r><w:t xml:space="preserve">from air collected near the ground.  For the original</w:t></w:r>
</w:p>
<w:p>
<w:pPr><w:pStyle w:val="Normal"/></w:pPr>
<w:r><w:t xml:space="preserve">observations see Phil.  Trans., 1853, pp. 311-346.</w:t></w:r>
</w:p>
<w:p>
<w:pPr><w:pStyle w:val="Normal"/></w:pPr>
<w:r><w:t xml:space="preserve">Glaisher&apos;s ascents.</w:t></w:r>
</w:p>
<w:p>
<w:pPr><w:pStyle w:val="Normal"/></w:pPr>
<w:r><w:t xml:space="preserve">At the meeting of the British Association for the Advancement</w:t></w:r>
</w:p>
<w:p>
<w:pPr><w:pStyle w:val="Normal"/></w:pPr>
<w:r><w:t xml:space="preserve">of Science held at Aberdeen in 1859, a committee was appointed</w:t></w:r>
</w:p>
<w:p>
<w:pPr><w:pStyle w:val="Normal"/></w:pPr>
<w:r><w:t xml:space="preserve">for the purpose of making observations in the higher strata</w:t></w:r>
</w:p>
<w:p>
<w:pPr><w:pStyle w:val="Normal"/></w:pPr>
<w:r><w:t xml:space="preserve">of the atmosphere by means of the balloon.  For two years</w:t></w:r>
</w:p>
<w:p>
<w:pPr><w:pStyle w:val="Normal"/></w:pPr>
<w:r><w:t xml:space="preserve">nothing was effected, owing to the want both of an observer</w:t></w:r>
</w:p>
<w:p>
<w:pPr><w:pStyle w:val="Normal"/></w:pPr>
<w:r><w:t xml:space="preserve">and of a suitable balloon.  After its reappointment at</w:t></w:r>
</w:p>
<w:p>
<w:pPr><w:pStyle w:val="Normal"/></w:pPr>
<w:r><w:t xml:space="preserve">the Manchester meeting of 1861, the committee communicated</w:t></w:r>
</w:p>
<w:p>
<w:pPr><w:pStyle w:val="Normal"/></w:pPr>
<w:r><w:t xml:space="preserve">with Henry Tracey Coxwell (1819-1900), an aeronaut who had</w:t></w:r>
</w:p>
<w:p>
<w:pPr><w:pStyle w:val="Normal"/></w:pPr>
<w:r><w:t xml:space="preserve">made a good many ascents, and he agreed to construct a new</w:t></w:r>
</w:p>
<w:p>
<w:pPr><w:pStyle w:val="Normal"/></w:pPr>
<w:r><w:t xml:space="preserve">balloon, of 90,000 cub. ft. capacity, on the condition that</w:t></w:r>
</w:p>
<w:p>
<w:pPr><w:pStyle w:val="Normal"/></w:pPr>
<w:r><w:t xml:space="preserve">the committee would undertake to use it, and pay L. 25 for</w:t></w:r>
</w:p>
<w:p>
<w:pPr><w:pStyle w:val="Normal"/></w:pPr>
<w:r><w:t xml:space="preserve">each high ascent made especially on its behalf, defraying</w:t></w:r>
</w:p>
<w:p>
<w:pPr><w:pStyle w:val="Normal"/></w:pPr>
<w:r><w:t xml:space="preserve">also the cost of gas, &amp;c., so that the expense of each high</w:t></w:r>
</w:p>
<w:p>
<w:pPr><w:pStyle w:val="Normal"/></w:pPr>
<w:r><w:t xml:space="preserve">ascent amounted to nearly L. 50.  An observer being still</w:t></w:r>
</w:p>
<w:p>
<w:pPr><w:pStyle w:val="Normal"/></w:pPr>
<w:r><w:t xml:space="preserve">wanted, James Glaisher, a member of the committee, offered</w:t></w:r>
</w:p>
<w:p>
<w:pPr><w:pStyle w:val="Normal"/></w:pPr>
<w:r><w:t xml:space="preserve">himself to take the observations, and accordingly the first</w:t></w:r>
</w:p>
<w:p>
<w:pPr><w:pStyle w:val="Normal"/></w:pPr>
<w:r><w:t xml:space="preserve">ascent was made on the 17th of July 1862, from the gas-works</w:t></w:r>
</w:p>
<w:p>
<w:pPr><w:pStyle w:val="Normal"/></w:pPr>
<w:r><w:t xml:space="preserve">at Wolverhamiton, this town being chosen on account of its</w:t></w:r>
</w:p>
<w:p>
<w:pPr><w:pStyle w:val="Normal"/></w:pPr>
<w:r><w:t xml:space="preserve">central position in the country.  Altogether, Glaisher made</w:t></w:r>
</w:p>
<w:p>
<w:pPr><w:pStyle w:val="Normal"/></w:pPr>
<w:r><w:t xml:space="preserve">twenty-eight ascents, the last being on the 26th of May</w:t></w:r>
</w:p>
<w:p>
<w:pPr><w:pStyle w:val="Normal"/></w:pPr>
<w:r><w:t xml:space="preserve">1866.  Of these only seven were specially high ascents,</w:t></w:r>
</w:p>
<w:p>
<w:pPr><w:pStyle w:val="Normal"/></w:pPr>
<w:r><w:t xml:space="preserve">although six others were undertaken for the objects of the</w:t></w:r>
</w:p>
<w:p>
<w:pPr><w:pStyle w:val="Normal"/></w:pPr>
<w:r><w:t xml:space="preserve">committee alone. . On the ether occasions he availed himself</w:t></w:r>
</w:p>
<w:p>
<w:pPr><w:pStyle w:val="Normal"/></w:pPr>
<w:r><w:t xml:space="preserve">of public ascents from the Crystal Palace and other places</w:t></w:r>
</w:p>
<w:p>
<w:pPr><w:pStyle w:val="Normal"/></w:pPr>
<w:r><w:t xml:space="preserve">of entertainment, merely taking his place like the other</w:t></w:r>
</w:p>
<w:p>
<w:pPr><w:pStyle w:val="Normal"/></w:pPr>
<w:r><w:t xml:space="preserve">passengers.  In the last six ascents another aeronaut and a</w:t></w:r>
</w:p>
<w:p>
<w:pPr><w:pStyle w:val="Normal"/></w:pPr>
<w:r><w:t xml:space="preserve">smaller balloon were employed.  The dates, places of ascent</w:t></w:r>
</w:p>
<w:p>
<w:pPr><w:pStyle w:val="Normal"/></w:pPr>
<w:r><w:t xml:space="preserve">and greatest heights (in feet) attained in the twenty-eight</w:t></w:r>
</w:p>
<w:p>
<w:pPr><w:pStyle w:val="Normal"/></w:pPr>
<w:r><w:t xml:space="preserve">ascents were--1862: July 17, Wolverhampton, 26,177; July 30,</w:t></w:r>
</w:p>
<w:p>
<w:pPr><w:pStyle w:val="Normal"/></w:pPr>
<w:r><w:t xml:space="preserve">Crystal Palace, 6937; August 18, Wolverhampton, 23,377; August</w:t></w:r>
</w:p>
<w:p>
<w:pPr><w:pStyle w:val="Normal"/></w:pPr>
<w:r><w:t xml:space="preserve">20, Crystal Palace, 5900; August 21, Hendon, 14,355; September</w:t></w:r>
</w:p>
<w:p>
<w:pPr><w:pStyle w:val="Normal"/></w:pPr>
<w:r><w:t xml:space="preserve">1, Crystal Palace, 4190; September 5, Wolverhampton, 37,000;</w:t></w:r>
</w:p>
<w:p>
<w:pPr><w:pStyle w:val="Normal"/></w:pPr>
<w:r><w:t xml:space="preserve">September 8, Crystal Palace, 5428. 1863: March 31, Crystal</w:t></w:r>
</w:p>
<w:p>
<w:pPr><w:pStyle w:val="Normal"/></w:pPr>
<w:r><w:t xml:space="preserve">Palace, 22,884; April 18, Crystal Palace, 24,163; June 26,</w:t></w:r>
</w:p>
<w:p>
<w:pPr><w:pStyle w:val="Normal"/></w:pPr>
<w:r><w:t xml:space="preserve">Wolverton, 23,200; July 11, Crystal Palace, 6623; July 21,</w:t></w:r>
</w:p>
<w:p>
<w:pPr><w:pStyle w:val="Normal"/></w:pPr>
<w:r><w:t xml:space="preserve">Crystal Palace, 3298; August 31, Newcastle-upon-Tyne, 8033;</w:t></w:r>
</w:p>
<w:p>
<w:pPr><w:pStyle w:val="Normal"/></w:pPr>
<w:r><w:t xml:space="preserve">September 29, Wolverhampton, 16,590; October 9, Crystal Palace,</w:t></w:r>
</w:p>
<w:p>
<w:pPr><w:pStyle w:val="Normal"/></w:pPr>
<w:r><w:t xml:space="preserve">7310. 1864: January 12, Woolwich, 11,897; April 6, Woolwich,</w:t></w:r>
</w:p>
<w:p>
<w:pPr><w:pStyle w:val="Normal"/></w:pPr>
<w:r><w:t xml:space="preserve">11,075; June 13, Crystal Palace, 3543; June 20, Derby, 4280;</w:t></w:r>
</w:p>
<w:p>
<w:pPr><w:pStyle w:val="Normal"/></w:pPr>
<w:r><w:t xml:space="preserve">June 27, Crystal Palace, 4898; August 29, Crystal Palace,</w:t></w:r>
</w:p>
<w:p>
<w:pPr><w:pStyle w:val="Normal"/></w:pPr>
<w:r><w:t xml:space="preserve">14,581; December 1, Woolwich, 5431; December 30, Woolwich,</w:t></w:r>
</w:p>
<w:p>
<w:pPr><w:pStyle w:val="Normal"/></w:pPr>
<w:r><w:t xml:space="preserve">3735. 1865: February 27, Woolwich, 4865; October 2, Woolwich,</w:t></w:r>
</w:p>
<w:p>
<w:pPr><w:pStyle w:val="Normal"/></w:pPr>
<w:r><w:t xml:space="preserve">1949; December 2, Woolwich, 4628. 1866: May 26, Windsor, 6325.</w:t></w:r>
</w:p>
<w:p>
<w:pPr><w:pStyle w:val="Normal"/></w:pPr>
<w:r><w:t xml:space="preserve">The primary object of the ascents was to determine the temperature</w:t></w:r>
</w:p>
<w:p>
<w:pPr><w:pStyle w:val="Normal"/></w:pPr>
<w:r><w:t xml:space="preserve">of the air, and its hygrometrical state at different elevations</w:t></w:r>
</w:p>
<w:p>
<w:pPr><w:pStyle w:val="Normal"/></w:pPr>
<w:r><w:t xml:space="preserve">to as great a height as could be reached; and the secondary</w:t></w:r>
</w:p>
<w:p>
<w:pPr><w:pStyle w:val="Normal"/></w:pPr>
<w:r><w:t xml:space="preserve">objects were-(1) to determine the temperature of the dew-point</w:t></w:r>
</w:p>
<w:p>
<w:pPr><w:pStyle w:val="Normal"/></w:pPr>
<w:r><w:t xml:space="preserve">by Daniell&apos;s and Regnault&apos;s hygrometers, as well as by the</w:t></w:r>
</w:p>
<w:p>
<w:pPr><w:pStyle w:val="Normal"/></w:pPr>
<w:r><w:t xml:space="preserve">dry and wet bulb thermometers, and to compare the results;</w:t></w:r>
</w:p>
<w:p>
<w:pPr><w:pStyle w:val="Normal"/></w:pPr>
<w:r><w:t xml:space="preserve">(2) to compare the readings of an aneroid barometer with those</w:t></w:r>
</w:p>
<w:p>
<w:pPr><w:pStyle w:val="Normal"/></w:pPr>
<w:r><w:t xml:space="preserve">of a mercurial barometer up to the height of 5 m.; (3) to</w:t></w:r>
</w:p>
<w:p>
<w:pPr><w:pStyle w:val="Normal"/></w:pPr>
<w:r><w:t xml:space="preserve">determine the electrical state of the air, (4) the oxygenic</w:t></w:r>
</w:p>
<w:p>
<w:pPr><w:pStyle w:val="Normal"/></w:pPr>
<w:r><w:t xml:space="preserve">condition of the atmosphere, and (5) the time of vibration</w:t></w:r>
</w:p>
<w:p>
<w:pPr><w:pStyle w:val="Normal"/></w:pPr>
<w:r><w:t xml:space="preserve">of a magnet; (6) to collect air at different elevations;</w:t></w:r>
</w:p>
<w:p>
<w:pPr><w:pStyle w:val="Normal"/></w:pPr>
<w:r><w:t xml:space="preserve">(7) to note the height and kind of clouds, their density and</w:t></w:r>
</w:p>
<w:p>
<w:pPr><w:pStyle w:val="Normal"/></w:pPr>
<w:r><w:t xml:space="preserve">thickness; (8) to determine the rate and direction of different</w:t></w:r>
</w:p>
<w:p>
<w:pPr><w:pStyle w:val="Normal"/></w:pPr>
<w:r><w:t xml:space="preserve">currents in the atmosphere; and (9) to make observations on</w:t></w:r>
</w:p>
<w:p>
<w:pPr><w:pStyle w:val="Normal"/></w:pPr>
<w:r><w:t xml:space="preserve">sound.  The instruments used were mercurial and aneroid</w:t></w:r>
</w:p>
<w:p>
<w:pPr><w:pStyle w:val="Normal"/></w:pPr>
<w:r><w:t xml:space="preserve">barometers, dry and wet bulb thermometers, Daniell&apos;s dew-point</w:t></w:r>
</w:p>
<w:p>
<w:pPr><w:pStyle w:val="Normal"/></w:pPr>
<w:r><w:t xml:space="preserve">hygrometer, Regnault&apos;s condensing hygrometer, maximum and</w:t></w:r>
</w:p>
<w:p>
<w:pPr><w:pStyle w:val="Normal"/></w:pPr>
<w:r><w:t xml:space="preserve">minimum thermometers, a magnet for horizontal vibration,</w:t></w:r>
</w:p>
<w:p>
<w:pPr><w:pStyle w:val="Normal"/></w:pPr>
<w:r><w:t xml:space="preserve">hermetically sealed glass tubes exhausted of air, and an</w:t></w:r>
</w:p>
<w:p>
<w:pPr><w:pStyle w:val="Normal"/></w:pPr>
<w:r><w:t xml:space="preserve">electrometer.  In one or two of the ascents a camera was taken up.</w:t></w:r>
</w:p>
<w:p>
<w:pPr><w:pStyle w:val="Normal"/></w:pPr>
<w:r><w:t xml:space="preserve">The complete observations, both as made and after reduction,</w:t></w:r>
</w:p>
<w:p>
<w:pPr><w:pStyle w:val="Normal"/></w:pPr>
<w:r><w:t xml:space="preserve">are printed in the British Association Reports, 1862-1866;</w:t></w:r>
</w:p>
<w:p>
<w:pPr><w:pStyle w:val="Normal"/></w:pPr>
<w:r><w:t xml:space="preserve">here only a general account of the results can he given.</w:t></w:r>
</w:p>
<w:p>
<w:pPr><w:pStyle w:val="Normal"/></w:pPr>
<w:r><w:t xml:space="preserve">It appeared that the rate of the decline of temperature with</w:t></w:r>
</w:p>
<w:p>
<w:pPr><w:pStyle w:val="Normal"/></w:pPr>
<w:r><w:t xml:space="preserve">elevation near the earth was very different according as</w:t></w:r>
</w:p>
<w:p>
<w:pPr><w:pStyle w:val="Normal"/></w:pPr>
<w:r><w:t xml:space="preserve">the sky was clear or cloudy; and the equality of temperature</w:t></w:r>
</w:p>
<w:p>
<w:pPr><w:pStyle w:val="Normal"/></w:pPr>
<w:r><w:t xml:space="preserve">at sunset and increase with height after sunset were very</w:t></w:r>
</w:p>
<w:p>
<w:pPr><w:pStyle w:val="Normal"/></w:pPr>
<w:r><w:t xml:space="preserve">remarkable facts which were not anticipated.  Even at the</w:t></w:r>
</w:p>
<w:p>
<w:pPr><w:pStyle w:val="Normal"/></w:pPr>
<w:r><w:t xml:space="preserve">height of 5 m., cirrus clouds were seen high in the air,</w:t></w:r>
</w:p>
<w:p>
<w:pPr><w:pStyle w:val="Normal"/></w:pPr>
<w:r><w:t xml:space="preserve">apparently as far above as they seem when viewed from the</w:t></w:r>
</w:p>
<w:p>
<w:pPr><w:pStyle w:val="Normal"/></w:pPr>
<w:r><w:t xml:space="preserve">earth.  The results of the observations differed very much,</w:t></w:r>
</w:p>
<w:p>
<w:pPr><w:pStyle w:val="Normal"/></w:pPr>
<w:r><w:t xml:space="preserve">and no doubt the atmospheric conditions depended not only</w:t></w:r>
</w:p>
<w:p>
<w:pPr><w:pStyle w:val="Normal"/></w:pPr>
<w:r><w:t xml:space="preserve">on the time of day, but also on the season of the year, and</w:t></w:r>
</w:p>
<w:p>
<w:pPr><w:pStyle w:val="Normal"/></w:pPr>
<w:r><w:t xml:space="preserve">were such that a vast number of ascents would be requisite</w:t></w:r>
</w:p>
<w:p>
<w:pPr><w:pStyle w:val="Normal"/></w:pPr>
<w:r><w:t xml:space="preserve">to determine the true laws with anything approaching to</w:t></w:r>
</w:p>
<w:p>
<w:pPr><w:pStyle w:val="Normal"/></w:pPr>
<w:r><w:t xml:space="preserve">certainty and completeness.  It was also clear that England is</w:t></w:r>
</w:p>
<w:p>
<w:pPr><w:pStyle w:val="Normal"/></w:pPr>
<w:r><w:t xml:space="preserve">a most unfit country for the pursuit of such investigations,</w:t></w:r>
</w:p>
<w:p>
<w:pPr><w:pStyle w:val="Normal"/></w:pPr>
<w:r><w:t xml:space="preserve">as, from whatever place the balloon started, it was never</w:t></w:r>
</w:p>
<w:p>
<w:pPr><w:pStyle w:val="Normal"/></w:pPr>
<w:r><w:t xml:space="preserve">safe to be more than an hour above the clouds for fear of</w:t></w:r>
</w:p>
<w:p>
<w:pPr><w:pStyle w:val="Normal"/></w:pPr>
<w:r><w:t xml:space="preserve">reaching the sea.  It appeared from the observations that an</w:t></w:r>
</w:p>
<w:p>
<w:pPr><w:pStyle w:val="Normal"/></w:pPr>
<w:r><w:t xml:space="preserve">aneroid barometer could be trusted to read as accurately as</w:t></w:r>
</w:p>
<w:p>
<w:pPr><w:pStyle w:val="Normal"/></w:pPr>
<w:r><w:t xml:space="preserve">a mercurial barometer to the heights reached.  The time of</w:t></w:r>
</w:p>
<w:p>
<w:pPr><w:pStyle w:val="Normal"/></w:pPr>
<w:r><w:t xml:space="preserve">vibration of a horizontal magnet was taken in very many of the</w:t></w:r>
</w:p>
<w:p>
<w:pPr><w:pStyle w:val="Normal"/></w:pPr>
<w:r><w:t xml:space="preserve">ascents, and the results of ten different sets of observations</w:t></w:r>
</w:p>
<w:p>
<w:pPr><w:pStyle w:val="Normal"/></w:pPr>
<w:r><w:t xml:space="preserve">indicated that the time of vibration was longer than on the</w:t></w:r>
</w:p>
<w:p>
<w:pPr><w:pStyle w:val="Normal"/></w:pPr>
<w:r><w:t xml:space="preserve">earth.  In almost all the ascents the balloon was under the</w:t></w:r>
</w:p>
<w:p>
<w:pPr><w:pStyle w:val="Normal"/></w:pPr>
<w:r><w:t xml:space="preserve">influence of currents of air in different directions which</w:t></w:r>
</w:p>
<w:p>
<w:pPr><w:pStyle w:val="Normal"/></w:pPr>
<w:r><w:t xml:space="preserve">varied greatly in thickness.  The direction of the wind on the</w:t></w:r>
</w:p>
<w:p>
<w:pPr><w:pStyle w:val="Normal"/></w:pPr>
<w:r><w:t xml:space="preserve">earth was sometimes that of the whole mass of air up to 20,000</w:t></w:r>
</w:p>
<w:p>
<w:pPr><w:pStyle w:val="Normal"/></w:pPr>
<w:r><w:t xml:space="preserve">ft., whilst at other times the direction changed within 500</w:t></w:r>
</w:p>
<w:p>
<w:pPr><w:pStyle w:val="Normal"/></w:pPr>
<w:r><w:t xml:space="preserve">ft. of the earth.  Sometimes directly opposite currents were</w:t></w:r>
</w:p>
<w:p>
<w:pPr><w:pStyle w:val="Normal"/></w:pPr>
<w:r><w:t xml:space="preserve">met with at different heights in the same . ascent, and three</w:t></w:r>
</w:p>
<w:p>
<w:pPr><w:pStyle w:val="Normal"/></w:pPr>
<w:r><w:t xml:space="preserve">or four streams of air were encountered moving in different</w:t></w:r>
</w:p>
<w:p>
<w:pPr><w:pStyle w:val="Normal"/></w:pPr>
<w:r><w:t xml:space="preserve">directions.  The direct distances between the places of ascent</w:t></w:r>
</w:p>
<w:p>
<w:pPr><w:pStyle w:val="Normal"/></w:pPr>
<w:r><w:t xml:space="preserve">and descent, apart from the movements of the balloon under</w:t></w:r>
</w:p>
<w:p>
<w:pPr><w:pStyle w:val="Normal"/></w:pPr>
<w:r><w:t xml:space="preserve">the influence of these various currents, were always very much</w:t></w:r>
</w:p>
<w:p>
<w:pPr><w:pStyle w:val="Normal"/></w:pPr>
<w:r><w:t xml:space="preserve">greater than the horizontal movement of the air as measured by</w:t></w:r>
</w:p>
<w:p>
<w:pPr><w:pStyle w:val="Normal"/></w:pPr>
<w:r><w:t xml:space="preserve">anemometers.  For example, on the 12th of January 1862, the</w:t></w:r>
</w:p>
<w:p>
<w:pPr><w:pStyle w:val="Normal"/></w:pPr>
<w:r><w:t xml:space="preserve">balloon left Woolwich at 2h. 8m. P.M., and descended at</w:t></w:r>
</w:p>
<w:p>
<w:pPr><w:pStyle w:val="Normal"/></w:pPr>
<w:r><w:t xml:space="preserve">Lakenheath, 70 m. distant from the place of ascent, at 4h.</w:t></w:r>
</w:p>
<w:p>
<w:pPr><w:pStyle w:val="Normal"/></w:pPr>
<w:r><w:t xml:space="preserve">19m. P.M. At the Greenwich Observatory, by a Robinson</w:t></w:r>
</w:p>
<w:p>
<w:pPr><w:pStyle w:val="Normal"/></w:pPr>
<w:r><w:t xml:space="preserve">anemometer, during this time the motion of the air was 6 m.</w:t></w:r>
</w:p>
<w:p>
<w:pPr><w:pStyle w:val="Normal"/></w:pPr>
<w:r><w:t xml:space="preserve">only.  With regard to physiological observations, Glaisher</w:t></w:r>
</w:p>
<w:p>
<w:pPr><w:pStyle w:val="Normal"/></w:pPr>
<w:r><w:t xml:space="preserve">found that the frequency of his pulse increased with elevation,</w:t></w:r>
</w:p>
<w:p>
<w:pPr><w:pStyle w:val="Normal"/></w:pPr>
<w:r><w:t xml:space="preserve">as also did the number of inspirations.  The number of his</w:t></w:r>
</w:p>
<w:p>
<w:pPr><w:pStyle w:val="Normal"/></w:pPr>
<w:r><w:t xml:space="preserve">pulsations was generally 76 per minute before starting,</w:t></w:r>
</w:p>
<w:p>
<w:pPr><w:pStyle w:val="Normal"/></w:pPr>
<w:r><w:t xml:space="preserve">about 90 at 10,000 ft., 100 at 20,000 ft., and 110 at higher</w:t></w:r>
</w:p>
<w:p>
<w:pPr><w:pStyle w:val="Normal"/></w:pPr>
<w:r><w:t xml:space="preserve">elevations.  But a good deal depended on the temperament of the</w:t></w:r>
</w:p>
<w:p>
<w:pPr><w:pStyle w:val="Normal"/></w:pPr>
<w:r><w:t xml:space="preserve">individual.  This was also the case in respect to colour; at</w:t></w:r>
</w:p>
<w:p>
<w:pPr><w:pStyle w:val="Normal"/></w:pPr>
<w:r><w:t xml:space="preserve">10,000 ft. the faces of some would be a glowing purple, whilst</w:t></w:r>
</w:p>
<w:p>
<w:pPr><w:pStyle w:val="Normal"/></w:pPr>
<w:r><w:t xml:space="preserve">others would be scarcely affected; at 4 m. high Glaisher</w:t></w:r>
</w:p>
<w:p>
<w:pPr><w:pStyle w:val="Normal"/></w:pPr>
<w:r><w:t xml:space="preserve">found the pulsations of his heart distinctly audible, and</w:t></w:r>
</w:p>
<w:p>
<w:pPr><w:pStyle w:val="Normal"/></w:pPr>
<w:r><w:t xml:space="preserve">his breathing was very much affected, so that panting was</w:t></w:r>
</w:p>
<w:p>
<w:pPr><w:pStyle w:val="Normal"/></w:pPr>
<w:r><w:t xml:space="preserve">produced by the slightest exertion; at 29,000 ft. he became</w:t></w:r>
</w:p>
<w:p>
<w:pPr><w:pStyle w:val="Normal"/></w:pPr>
<w:r><w:t xml:space="preserve">insensible.  In reference to the propagation of sound, it</w:t></w:r>
</w:p>
<w:p>
<w:pPr><w:pStyle w:val="Normal"/></w:pPr>
<w:r><w:t xml:space="preserve">was at all times found that sounds from the earth were more</w:t></w:r>
</w:p>
<w:p>
<w:pPr><w:pStyle w:val="Normal"/></w:pPr>
<w:r><w:t xml:space="preserve">or less audible according to the amount of moisture in the</w:t></w:r>
</w:p>
<w:p>
<w:pPr><w:pStyle w:val="Normal"/></w:pPr>
<w:r><w:t xml:space="preserve">air.  When in clouds at 4 m. high, a railway train was heard;</w:t></w:r>
</w:p>
<w:p>
<w:pPr><w:pStyle w:val="Normal"/></w:pPr>
<w:r><w:t xml:space="preserve">but when clouds were far below, no sound ever reached the ear</w:t></w:r>
</w:p>
<w:p>
<w:pPr><w:pStyle w:val="Normal"/></w:pPr>
<w:r><w:t xml:space="preserve">at this elevation.  The discharge of a gun was heard at 10,000</w:t></w:r>
</w:p>
<w:p>
<w:pPr><w:pStyle w:val="Normal"/></w:pPr>
<w:r><w:t xml:space="preserve">ft.  The barking of a dog was heard at the height of 2 m.,</w:t></w:r>
</w:p>
<w:p>
<w:pPr><w:pStyle w:val="Normal"/></w:pPr>
<w:r><w:t xml:space="preserve">while the shouting of a multitude of people was not audible</w:t></w:r>
</w:p>
<w:p>
<w:pPr><w:pStyle w:val="Normal"/></w:pPr>
<w:r><w:t xml:space="preserve">at heights exceeding 4000 ft.  In his ascent of the 5th of</w:t></w:r>
</w:p>
<w:p>
<w:pPr><w:pStyle w:val="Normal"/></w:pPr>
<w:r><w:t xml:space="preserve">September 1862, Glaisher considered that he reached a height</w:t></w:r>
</w:p>
<w:p>
<w:pPr><w:pStyle w:val="Normal"/></w:pPr>
<w:r><w:t xml:space="preserve">of 37,000 ft.  But that figure was based, not on actual</w:t></w:r>
</w:p>
<w:p>
<w:pPr><w:pStyle w:val="Normal"/></w:pPr>
<w:r><w:t xml:space="preserve">record, but on the circumstances that at 29,000 ft., when he</w:t></w:r>
</w:p>
<w:p>
<w:pPr><w:pStyle w:val="Normal"/></w:pPr>
<w:r><w:t xml:space="preserve">became insensible, the balloon was rising 1000 ft. a minute,</w:t></w:r>
</w:p>
<w:p>
<w:pPr><w:pStyle w:val="Normal"/></w:pPr>
<w:r><w:t xml:space="preserve">and that when he recovered consciousness thirteen minutes</w:t></w:r>
</w:p>
<w:p>
<w:pPr><w:pStyle w:val="Normal"/></w:pPr>
<w:r><w:t xml:space="preserve">later it was falling 2000 ft. a minute, and the accuracy of</w:t></w:r>
</w:p>
<w:p>
<w:pPr><w:pStyle w:val="Normal"/></w:pPr>
<w:r><w:t xml:space="preserve">his conclusions has been questioned.  Few scientific men have</w:t></w:r>
</w:p>
<w:p>
<w:pPr><w:pStyle w:val="Normal"/></w:pPr>
<w:r><w:t xml:space="preserve">imitated Glaisher in making high ascents for meteorological</w:t></w:r>
</w:p>
<w:p>
<w:pPr><w:pStyle w:val="Normal"/></w:pPr>
<w:r><w:t xml:space="preserve">observations.  In 1867 and 1868 Camille Flammarion made eight</w:t></w:r>
</w:p>
<w:p>
<w:pPr><w:pStyle w:val="Normal"/></w:pPr>
<w:r><w:t xml:space="preserve">or nine ascents from Paris for scientific purposes.  The</w:t></w:r>
</w:p>
<w:p>
<w:pPr><w:pStyle w:val="Normal"/></w:pPr>
<w:r><w:t xml:space="preserve">heights attained were not great, but the general result was</w:t></w:r>
</w:p>
<w:p>
<w:pPr><w:pStyle w:val="Normal"/></w:pPr>
<w:r><w:t xml:space="preserve">to confirm the observations of Glaisher; for an account see</w:t></w:r>
</w:p>
<w:p>
<w:pPr><w:pStyle w:val="Normal"/></w:pPr>
<w:r><w:t xml:space="preserve">Voyages aeriens, Paris, 1870, or Travels in the Air,</w:t></w:r>
</w:p>
<w:p>
<w:pPr><w:pStyle w:val="Normal"/></w:pPr>
<w:r><w:t xml:space="preserve">London, 1871, in which also some ascents by W. de Fonvielle are</w:t></w:r>
</w:p>
<w:p>
<w:pPr><w:pStyle w:val="Normal"/></w:pPr>
<w:r><w:t xml:space="preserve">noticed.  On the 15th of April 1875, H. T. Sivel, J. E.</w:t></w:r>
</w:p>
<w:p>
<w:pPr><w:pStyle w:val="Normal"/></w:pPr>
<w:r><w:t xml:space="preserve">Croce-Spinelli and Gaston Tissandier ascended from Paris in</w:t></w:r>
</w:p>
<w:p>
<w:pPr><w:pStyle w:val="Normal"/></w:pPr>
<w:r><w:t xml:space="preserve">the balloon ``Zenith,&apos;&apos; and reached a height of 27,950 ft.;</w:t></w:r>
</w:p>
<w:p>
<w:pPr><w:pStyle w:val="Normal"/></w:pPr>
<w:r><w:t xml:space="preserve">but only Tissandier came down alive, his two companions being</w:t></w:r>
</w:p>
<w:p>
<w:pPr><w:pStyle w:val="Normal"/></w:pPr>
<w:r><w:t xml:space="preserve">asphyxiated.  This put an end to such attempts for a time.</w:t></w:r>
</w:p>
<w:p>
<w:pPr><w:pStyle w:val="Normal"/></w:pPr>
<w:r><w:t xml:space="preserve">But Dr A. Berson and Lieut.  Gross attained 25,840 ft. on</w:t></w:r>
</w:p>
<w:p>
<w:pPr><w:pStyle w:val="Normal"/></w:pPr>
<w:r><w:t xml:space="preserve">the 11th of May 1894; Berson, ascending alone from Strassfurt</w:t></w:r>
</w:p>
<w:p>
<w:pPr><w:pStyle w:val="Normal"/></w:pPr>
<w:r><w:t xml:space="preserve">on the 4th of December 1894, attained about 31,500 ft. and</w:t></w:r>
</w:p>
<w:p>
<w:pPr><w:pStyle w:val="Normal"/></w:pPr>
<w:r><w:t xml:space="preserve">recorded a temperature of --54 deg.  F.; and Berson and Stanley</w:t></w:r>
</w:p>
<w:p>
<w:pPr><w:pStyle w:val="Normal"/></w:pPr>
<w:r><w:t xml:space="preserve">Spencer are stated by the latter to have attained 27,500 ft.</w:t></w:r>
</w:p>
<w:p>
<w:pPr><w:pStyle w:val="Normal"/></w:pPr>
<w:r><w:t xml:space="preserve">on the 15th of September 1898 when they ascended in a hydrogen</w:t></w:r>
</w:p>
<w:p>
<w:pPr><w:pStyle w:val="Normal"/></w:pPr>
<w:r><w:t xml:space="preserve">balloon from the Crystal Palace, the thermometer registering</w:t></w:r>
</w:p>
<w:p>
<w:pPr><w:pStyle w:val="Normal"/></w:pPr>
<w:r><w:t xml:space="preserve">--29 deg.  F. On the 31st of July 1901, Berson and R. J. Suring,</w:t></w:r>
</w:p>
<w:p>
<w:pPr><w:pStyle w:val="Normal"/></w:pPr>
<w:r><w:t xml:space="preserve">ascending at Berlin, actually noted a barometric reading</w:t></w:r>
</w:p>
<w:p>
<w:pPr><w:pStyle w:val="Normal"/></w:pPr>
<w:r><w:t xml:space="preserve">corresponding to a height of 34,500 ft., and possibly rose</w:t></w:r>
</w:p>
<w:p>
<w:pPr><w:pStyle w:val="Normal"/></w:pPr>
<w:r><w:t xml:space="preserve">1000 or 1500 ft. higher, though in spite of oxygen inhalations</w:t></w:r>
</w:p>
<w:p>
<w:pPr><w:pStyle w:val="Normal"/></w:pPr>
<w:r><w:t xml:space="preserve">they were unconscious during the highest portion of the ascent.</w:t></w:r>
</w:p>
<w:p>
<w:pPr><w:pStyle w:val="Normal"/></w:pPr>
<w:r><w:t xml:space="preserve">The personal danger attending his ascents led Gustave Hermite</w:t></w:r>
</w:p>
<w:p>
<w:pPr><w:pStyle w:val="Normal"/></w:pPr>
<w:r><w:t xml:space="preserve">and Besancon in November 1892 to inaugurate the sending up of</w:t></w:r>
</w:p>
<w:p>
<w:pPr><w:pStyle w:val="Normal"/></w:pPr>
<w:r><w:t xml:space="preserve">unmanned balloons (ballons sondes) equipped with automatic</w:t></w:r>
</w:p>
<w:p>
<w:pPr><w:pStyle w:val="Normal"/></w:pPr>
<w:r><w:t xml:space="preserve">recording instruments, and kites (q.v.) have also been employed</w:t></w:r>
</w:p>
<w:p>
<w:pPr><w:pStyle w:val="Normal"/></w:pPr>
<w:r><w:t xml:space="preserve">for similar meteorological purposes. (See also METEOROLOOY.)</w:t></w:r>
</w:p>
<w:p>
<w:pPr><w:pStyle w:val="Normal"/></w:pPr>
<w:r><w:t xml:space="preserve">Military balloons.</w:t></w:r>
</w:p>
<w:p>
<w:pPr><w:pStyle w:val="Normal"/></w:pPr>
<w:r><w:t xml:space="preserve">The balloon had not been discovered very long before it</w:t></w:r>
</w:p>
<w:p>
<w:pPr><w:pStyle w:val="Normal"/></w:pPr>
<w:r><w:t xml:space="preserve">received a military status, and soon after the beginning of</w:t></w:r>
</w:p>
<w:p>
<w:pPr><w:pStyle w:val="Normal"/></w:pPr>
<w:r><w:t xml:space="preserve">the French revolutionary war an aeronautic school was founded</w:t></w:r>
</w:p>
<w:p>
<w:pPr><w:pStyle w:val="Normal"/></w:pPr>
<w:r><w:t xml:space="preserve">at Meudon, in charge of Guyton de Morveau, the chemist, and</w:t></w:r>
</w:p>
<w:p>
<w:pPr><w:pStyle w:val="Normal"/></w:pPr>
<w:r><w:t xml:space="preserve">Colonel J. M. J. Coutelle (1748-1835).  Four balloons were</w:t></w:r>
</w:p>
<w:p>
<w:pPr><w:pStyle w:val="Normal"/></w:pPr>
<w:r><w:t xml:space="preserve">constructed for the armies of the north, of the Sambre and</w:t></w:r>
</w:p>
<w:p>
<w:pPr><w:pStyle w:val="Normal"/></w:pPr>
<w:r><w:t xml:space="preserve">Meuse, of the Rhine and Moselle, and of Egypt.  In June 1794</w:t></w:r>
</w:p>
<w:p>
<w:pPr><w:pStyle w:val="Normal"/></w:pPr>
<w:r><w:t xml:space="preserve">Coutelle ascended with the adjutant and general to reconnoitre</w:t></w:r>
</w:p>
<w:p>
<w:pPr><w:pStyle w:val="Normal"/></w:pPr>
<w:r><w:t xml:space="preserve">the hostile army just before the battle of Fleurus, and two</w:t></w:r>
</w:p>
<w:p>
<w:pPr><w:pStyle w:val="Normal"/></w:pPr>
<w:r><w:t xml:space="preserve">reconnaissances were made, each occupying four hours.  It is</w:t></w:r>
</w:p>
<w:p>
<w:pPr><w:pStyle w:val="Normal"/></w:pPr>
<w:r><w:t xml:space="preserve">generally stated that it was to the information so gained that</w:t></w:r>
</w:p>
<w:p>
<w:pPr><w:pStyle w:val="Normal"/></w:pPr>
<w:r><w:t xml:space="preserve">the French victory was due.  The balloon corps was in constant</w:t></w:r>
</w:p>
<w:p>
<w:pPr><w:pStyle w:val="Normal"/></w:pPr>
<w:r><w:t xml:space="preserve">requisition during the campaign, but it does not appear that,</w:t></w:r>
</w:p>
<w:p>
<w:pPr><w:pStyle w:val="Normal"/></w:pPr>
<w:r><w:t xml:space="preserve">with the exception of the reconnaissances just mentioned,</w:t></w:r>
</w:p>
<w:p>
<w:pPr><w:pStyle w:val="Normal"/></w:pPr>
<w:r><w:t xml:space="preserve">any great advantages resulted, except in a moral point of</w:t></w:r>
</w:p>
<w:p>
<w:pPr><w:pStyle w:val="Normal"/></w:pPr>
<w:r><w:t xml:space="preserve">view.  But even this was of importance, as the enemy were much</w:t></w:r>
</w:p>
<w:p>
<w:pPr><w:pStyle w:val="Normal"/></w:pPr>
<w:r><w:t xml:space="preserve">disconcerted at having their movements so completely watched,</w:t></w:r>
</w:p>
<w:p>
<w:pPr><w:pStyle w:val="Normal"/></w:pPr>
<w:r><w:t xml:space="preserve">while the French were correspondingly elated at the superior</w:t></w:r>
</w:p>
<w:p>
<w:pPr><w:pStyle w:val="Normal"/></w:pPr>
<w:r><w:t xml:space="preserve">information it was believed they were gaining.  An attempt</w:t></w:r>
</w:p>
<w:p>
<w:pPr><w:pStyle w:val="Normal"/></w:pPr>
<w:r><w:t xml:space="preserve">was made to revive the use of balloons in the African campaign</w:t></w:r>
</w:p>
<w:p>
<w:pPr><w:pStyle w:val="Normal"/></w:pPr>
<w:r><w:t xml:space="preserve">of 1830, but no opportunity occurred in which they could be</w:t></w:r>
</w:p>
<w:p>
<w:pPr><w:pStyle w:val="Normal"/></w:pPr>
<w:r><w:t xml:space="preserve">employed.  It is said that in 1849 a reconnoitring balloon</w:t></w:r>
</w:p>
<w:p>
<w:pPr><w:pStyle w:val="Normal"/></w:pPr>
<w:r><w:t xml:space="preserve">was sent up from before Venice, as also were small balloons</w:t></w:r>
</w:p>
<w:p>
<w:pPr><w:pStyle w:val="Normal"/></w:pPr>
<w:r><w:t xml:space="preserve">loaded with bombs to be exploded by time-fuses.  In the French</w:t></w:r>
</w:p>
<w:p>
<w:pPr><w:pStyle w:val="Normal"/></w:pPr>
<w:r><w:t xml:space="preserve">campaign against Italy in 1859 the French had recourse to the</w:t></w:r>
</w:p>
<w:p>
<w:pPr><w:pStyle w:val="Normal"/></w:pPr>
<w:r><w:t xml:space="preserve">use of balloons, but this time there was not any aerostatic</w:t></w:r>
</w:p>
<w:p>
<w:pPr><w:pStyle w:val="Normal"/></w:pPr>
<w:r><w:t xml:space="preserve">corps, and their management was entrusted to the brothers</w:t></w:r>
</w:p>
<w:p>
<w:pPr><w:pStyle w:val="Normal"/></w:pPr>
<w:r><w:t xml:space="preserve">Godard.  Several reconnaissances were made, and one of</w:t></w:r>
</w:p>
<w:p>
<w:pPr><w:pStyle w:val="Normal"/></w:pPr>
<w:r><w:t xml:space="preserve">especial interest the day before the battle of Solferino.  No</w:t></w:r>
</w:p>
<w:p>
<w:pPr><w:pStyle w:val="Normal"/></w:pPr>
<w:r><w:t xml:space="preserve">information of much importance seems, however, to have been</w:t></w:r>
</w:p>
<w:p>
<w:pPr><w:pStyle w:val="Normal"/></w:pPr>
<w:r><w:t xml:space="preserve">gained thereby.  In the American Civil War (1861) balloons</w:t></w:r>
</w:p>
<w:p>
<w:pPr><w:pStyle w:val="Normal"/></w:pPr>
<w:r><w:t xml:space="preserve">were a good deal used by the Federals.  There was a regular</w:t></w:r>
</w:p>
<w:p>
<w:pPr><w:pStyle w:val="Normal"/></w:pPr>
<w:r><w:t xml:space="preserve">balloon staff attached to Mcclellan&apos;s army, with a captain, an</w:t></w:r>
</w:p>
<w:p>
<w:pPr><w:pStyle w:val="Normal"/></w:pPr>
<w:r><w:t xml:space="preserve">assistant-captain and about 50 non-commissioned officers and</w:t></w:r>
</w:p>
<w:p>
<w:pPr><w:pStyle w:val="Normal"/></w:pPr>
<w:r><w:t xml:space="preserve">privates.  The apparatus consisted of two generators, drawn</w:t></w:r>
</w:p>
<w:p>
<w:pPr><w:pStyle w:val="Normal"/></w:pPr>
<w:r><w:t xml:space="preserve">by four horses each; two balloons, drawn by four horses each,</w:t></w:r>
</w:p>
<w:p>
<w:pPr><w:pStyle w:val="Normal"/></w:pPr>
<w:r><w:t xml:space="preserve">and an acid-cart, drawn by two horses.  The two balloons used</w:t></w:r>
</w:p>
<w:p>
<w:pPr><w:pStyle w:val="Normal"/></w:pPr>
<w:r><w:t xml:space="preserve">contained about 13,000 and 26,000 ft. of gas, and the inflation</w:t></w:r>
</w:p>
<w:p>
<w:pPr><w:pStyle w:val="Normal"/></w:pPr>
<w:r><w:t xml:space="preserve">usually occupied about three hours. (See Royal Engineers&apos;</w:t></w:r>
</w:p>
<w:p>
<w:pPr><w:pStyle w:val="Normal"/></w:pPr>
<w:r><w:t xml:space="preserve">Papers, vol. xii.) By their aid useful information was</w:t></w:r>
</w:p>
<w:p>
<w:pPr><w:pStyle w:val="Normal"/></w:pPr>
<w:r><w:t xml:space="preserve">gained about the enemy round Richmond and in other places,</w:t></w:r>
</w:p>
<w:p>
<w:pPr><w:pStyle w:val="Normal"/></w:pPr>
<w:r><w:t xml:space="preserve">but eventually difficulties of transport and the topography</w:t></w:r>
</w:p>
<w:p>
<w:pPr><w:pStyle w:val="Normal"/></w:pPr>
<w:r><w:t xml:space="preserve">of the theatre of war made ballooning impracticable; and</w:t></w:r>
</w:p>
<w:p>
<w:pPr><w:pStyle w:val="Normal"/></w:pPr>
<w:r><w:t xml:space="preserve">little was heard of it after the first two years of the war.</w:t></w:r>
</w:p>
<w:p>
<w:pPr><w:pStyle w:val="Normal"/></w:pPr>
<w:r><w:t xml:space="preserve">The balloon proved itself very valuable during the siege of</w:t></w:r>
</w:p>
<w:p>
<w:pPr><w:pStyle w:val="Normal"/></w:pPr>
<w:r><w:t xml:space="preserve">Paris (1870-71).  It was by it alone that communication was</w:t></w:r>
</w:p>
<w:p>
<w:pPr><w:pStyle w:val="Normal"/></w:pPr>
<w:r><w:t xml:space="preserve">kept up between the besieged city and the external world,</w:t></w:r>
</w:p>
<w:p>
<w:pPr><w:pStyle w:val="Normal"/></w:pPr>
<w:r><w:t xml:space="preserve">as the balloons carried away from Paris the pigeons which</w:t></w:r>
</w:p>
<w:p>
<w:pPr><w:pStyle w:val="Normal"/></w:pPr>
<w:r><w:t xml:space="preserve">afterwards brought back to it the news of the provinces.  The</w:t></w:r>
</w:p>
<w:p>
<w:pPr><w:pStyle w:val="Normal"/></w:pPr>
<w:r><w:t xml:space="preserve">total number of balloons that ascended from Paris during the</w:t></w:r>
</w:p>
<w:p>
<w:pPr><w:pStyle w:val="Normal"/></w:pPr>
<w:r><w:t xml:space="preserve">siege, conveying persons and despatches, was sixty-four--the</w:t></w:r>
</w:p>
<w:p>
<w:pPr><w:pStyle w:val="Normal"/></w:pPr>
<w:r><w:t xml:space="preserve">first having started on the 23rd of September 1870, and the</w:t></w:r>
</w:p>
<w:p>
<w:pPr><w:pStyle w:val="Normal"/></w:pPr>
<w:r><w:t xml:space="preserve">last on the 28th of January 1871.  Gambetta effected his</w:t></w:r>
</w:p>
<w:p>
<w:pPr><w:pStyle w:val="Normal"/></w:pPr>
<w:r><w:t xml:space="preserve">escape from Paris, on the 7th of October, in the balloon</w:t></w:r>
</w:p>
<w:p>
<w:pPr><w:pStyle w:val="Normal"/></w:pPr>
<w:r><w:t xml:space="preserve">``Armand-Barbes,&apos;, an event which doubtless led to the</w:t></w:r>
</w:p>
<w:p>
<w:pPr><w:pStyle w:val="Normal"/></w:pPr>
<w:r><w:t xml:space="preserve">prolongation of the war.  Of the sixty-four balloons only two</w:t></w:r>
</w:p>
<w:p>
<w:pPr><w:pStyle w:val="Normal"/></w:pPr>
<w:r><w:t xml:space="preserve">were never heard of; they were blown out to sea.  One of the</w:t></w:r>
</w:p>
<w:p>
<w:pPr><w:pStyle w:val="Normal"/></w:pPr>
<w:r><w:t xml:space="preserve">most remarkable voyages was that of the ``Ville d&apos;Orleans,&apos;&apos;</w:t></w:r>
</w:p>
<w:p>
<w:pPr><w:pStyle w:val="Normal"/></w:pPr>
<w:r><w:t xml:space="preserve">which, leaving Paris at eleven o&apos;clock on the 21st of November,</w:t></w:r>
</w:p>
<w:p>
<w:pPr><w:pStyle w:val="Normal"/></w:pPr>
<w:r><w:t xml:space="preserve">descended fifteen hours afterwards near Christiania, having</w:t></w:r>
</w:p>
<w:p>
<w:pPr><w:pStyle w:val="Normal"/></w:pPr>
<w:r><w:t xml:space="preserve">crossed the North Sea. Several of the balloons on their</w:t></w:r>
</w:p>
<w:p>
<w:pPr><w:pStyle w:val="Normal"/></w:pPr>
<w:r><w:t xml:space="preserve">descent were taken by the Prussians, and a good many were</w:t></w:r>
</w:p>
<w:p>
<w:pPr><w:pStyle w:val="Normal"/></w:pPr>
<w:r><w:t xml:space="preserve">fired at while in the air.  The average size of the balloons</w:t></w:r>
</w:p>
<w:p>
<w:pPr><w:pStyle w:val="Normal"/></w:pPr>
<w:r><w:t xml:space="preserve">was from 2000 to 2050 metres, or from 70,000 to 72,000 cub.</w:t></w:r>
</w:p>
<w:p>
<w:pPr><w:pStyle w:val="Normal"/></w:pPr>
<w:r><w:t xml:space="preserve">ft.  The above facts are extracted from Les Ballons du</w:t></w:r>
</w:p>
<w:p>
<w:pPr><w:pStyle w:val="Normal"/></w:pPr>
<w:r><w:t xml:space="preserve">siege de Paris, a sheet published by Buila and Sons,</w:t></w:r>
</w:p>
<w:p>
<w:pPr><w:pStyle w:val="Normal"/></w:pPr>
<w:r><w:t xml:space="preserve">Paris, and compiled by the brothers Tissandier, well-known</w:t></w:r>
</w:p>
<w:p>
<w:pPr><w:pStyle w:val="Normal"/></w:pPr>
<w:r><w:t xml:space="preserve">French aeronauts, which gives the name, size and times of</w:t></w:r>
</w:p>
<w:p>
<w:pPr><w:pStyle w:val="Normal"/></w:pPr>
<w:r><w:t xml:space="preserve">ascent and descent of every balloon that left Paris, with the</w:t></w:r>
</w:p>
<w:p>
<w:pPr><w:pStyle w:val="Normal"/></w:pPr>
<w:r><w:t xml:space="preserve">Da.mes of the aeronaut and generally also of the passengers, the</w:t></w:r>
</w:p>
<w:p>
<w:pPr><w:pStyle w:val="Normal"/></w:pPr>
<w:r><w:t xml:space="preserve">weight of despatches, the number of pigeons, &amp;c. Only those</w:t></w:r>
</w:p>
<w:p>
<w:pPr><w:pStyle w:val="Normal"/></w:pPr>
<w:r><w:t xml:space="preserve">balloons, however, are noticed in which some person ascended.</w:t></w:r>
</w:p>
<w:p>
<w:pPr><w:pStyle w:val="Normal"/></w:pPr>
<w:r><w:t xml:space="preserve">The balloons were manufactured and despatched (generally from</w:t></w:r>
</w:p>
<w:p>
<w:pPr><w:pStyle w:val="Normal"/></w:pPr>
<w:r><w:t xml:space="preserve">(the platforms of the Orleans or the Northern railway) under</w:t></w:r>
</w:p>
<w:p>
<w:pPr><w:pStyle w:val="Normal"/></w:pPr>
<w:r><w:t xml:space="preserve">the direction of the Post Office.  The aeronauts employed were</w:t></w:r>
</w:p>
<w:p>
<w:pPr><w:pStyle w:val="Normal"/></w:pPr>
<w:r><w:t xml:space="preserve">mostly sailors, who did their work very well.  No use whatever</w:t></w:r>
</w:p>
<w:p>
<w:pPr><w:pStyle w:val="Normal"/></w:pPr>
<w:r><w:t xml:space="preserve">was made in the war of balloons for purposes of reconnaissance.</w:t></w:r>
</w:p>
<w:p>
<w:pPr><w:pStyle w:val="Normal"/></w:pPr>
<w:r><w:t xml:space="preserve">Ballooning, however, as a recognized military science, only</w:t></w:r>
</w:p>
<w:p>
<w:pPr><w:pStyle w:val="Normal"/></w:pPr>
<w:r><w:t xml:space="preserve">dates back to about the year 1883 or 1884, when most of the</w:t></w:r>
</w:p>
<w:p>
<w:pPr><w:pStyle w:val="Normal"/></w:pPr>
<w:r><w:t xml:space="preserve">powers organized regular balloon establishments.  In 1884-85</w:t></w:r>
</w:p>
<w:p>
<w:pPr><w:pStyle w:val="Normal"/></w:pPr>
<w:r><w:t xml:space="preserve">the French found balloons very useful during their campaign</w:t></w:r>
</w:p>
<w:p>
<w:pPr><w:pStyle w:val="Normal"/></w:pPr>
<w:r><w:t xml:space="preserve">in Tongking; and the British government also despatched</w:t></w:r>
</w:p>
<w:p>
<w:pPr><w:pStyle w:val="Normal"/></w:pPr>
<w:r><w:t xml:space="preserve">balloons with the Bechuanaland expedition, and also with that</w:t></w:r>
</w:p>
<w:p>
<w:pPr><w:pStyle w:val="Normal"/></w:pPr>
<w:r><w:t xml:space="preserve">to Suakin in those years.  During the latter campaign several</w:t></w:r>
</w:p>
<w:p>
<w:pPr><w:pStyle w:val="Normal"/></w:pPr>
<w:r><w:t xml:space="preserve">ascents were made in the presence of the enemy, on whom it was</w:t></w:r>
</w:p>
<w:p>
<w:pPr><w:pStyle w:val="Normal"/></w:pPr>
<w:r><w:t xml:space="preserve">said that a great moral effect was produced.  The employment</w:t></w:r>
</w:p>
<w:p>
<w:pPr><w:pStyle w:val="Normal"/></w:pPr>
<w:r><w:t xml:space="preserve">of balloons has been common in nearly all modern wars.</w:t></w:r>
</w:p>
<w:p>
<w:pPr><w:pStyle w:val="Normal"/></w:pPr>
<w:r><w:t xml:space="preserve">We may briefly describe the apparatus used in military</w:t></w:r>
</w:p>
<w:p>
<w:pPr><w:pStyle w:val="Normal"/></w:pPr>
<w:r><w:t xml:space="preserve">operations.  The French in the campaigns of the 19th century</w:t></w:r>
</w:p>
<w:p>
<w:pPr><w:pStyle w:val="Normal"/></w:pPr>
<w:r><w:t xml:space="preserve">used varnished silk balloons of about 10,000 cub. ft.</w:t></w:r>
</w:p>
<w:p>
<w:pPr><w:pStyle w:val="Normal"/></w:pPr>
<w:r><w:t xml:space="preserve">capacity.  The Americans in the Civil War used much</w:t></w:r>
</w:p>
<w:p>
<w:pPr><w:pStyle w:val="Normal"/></w:pPr>
<w:r><w:t xml:space="preserve">larger ones. those of 26,000 cub. ft. being found the most</w:t></w:r>
</w:p>
<w:p>
<w:pPr><w:pStyle w:val="Normal"/></w:pPr>
<w:r><w:t xml:space="preserve">suitable.  These were also of varnished silk.  In the present</w:t></w:r>
</w:p>
<w:p>
<w:pPr><w:pStyle w:val="Normal"/></w:pPr>
<w:r><w:t xml:space="preserve">day most nations use balloons of about 20,000 cub. ft., made</w:t></w:r>
</w:p>
<w:p>
<w:pPr><w:pStyle w:val="Normal"/></w:pPr>
<w:r><w:t xml:space="preserve">of varnished cambric; but the British war balloons, made of</w:t></w:r>
</w:p>
<w:p>
<w:pPr><w:pStyle w:val="Normal"/></w:pPr>
<w:r><w:t xml:space="preserve">goldbeater skin, are usually of comparatively small size,</w:t></w:r>
</w:p>
<w:p>
<w:pPr><w:pStyle w:val="Normal"/></w:pPr>
<w:r><w:t xml:space="preserve">the normal capacity being 10,000 cub. ft., though others of</w:t></w:r>
</w:p>
<w:p>
<w:pPr><w:pStyle w:val="Normal"/></w:pPr>
<w:r><w:t xml:space="preserve">7000 and 4500 cub. ft. have also been used, as at Suakin.</w:t></w:r>
</w:p>
<w:p>
<w:pPr><w:pStyle w:val="Normal"/></w:pPr>
<w:r><w:t xml:space="preserve">The usual shape is spherical; but since 1896 the Germans,</w:t></w:r>
</w:p>
<w:p>
<w:pPr><w:pStyle w:val="Normal"/></w:pPr>
<w:r><w:t xml:space="preserve">and now other nations, have adopted a long cylindrical-shaped</w:t></w:r>
</w:p>
<w:p>
<w:pPr><w:pStyle w:val="Normal"/></w:pPr>
<w:r><w:t xml:space="preserve">balloon, so affixed to its cable as to present an inclined</w:t></w:r>
</w:p>
<w:p>
<w:pPr><w:pStyle w:val="Normal"/></w:pPr>
<w:r><w:t xml:space="preserve">surface to the wind and thus act partly on the principle of a</w:t></w:r>
</w:p>
<w:p>
<w:pPr><w:pStyle w:val="Normal"/></w:pPr>
<w:r><w:t xml:space="preserve">kite.  Though coal-gas and even hot air may occasionally be used</w:t></w:r>
</w:p>
<w:p>
<w:pPr><w:pStyle w:val="Normal"/></w:pPr>
<w:r><w:t xml:space="preserve">for inflation, hydrogen gas is on account of its lightness fat</w:t></w:r>
</w:p>
<w:p>
<w:pPr><w:pStyle w:val="Normal"/></w:pPr>
<w:r><w:t xml:space="preserve">preferable.  In the early days of ballooning this had to</w:t></w:r>
</w:p>
<w:p>
<w:pPr><w:pStyle w:val="Normal"/></w:pPr>
<w:r><w:t xml:space="preserve">be manufactured in the field, but nowadays it is almost</w:t></w:r>
</w:p>
<w:p>
<w:pPr><w:pStyle w:val="Normal"/></w:pPr>
<w:r><w:t xml:space="preserve">universally carried compressed in steel tubes.  About 100 such</w:t></w:r>
</w:p>
<w:p>
<w:pPr><w:pStyle w:val="Normal"/></w:pPr>
<w:r><w:t xml:space="preserve">tubes, each weighing 75lb., are required to fill a 10,000-ft.</w:t></w:r>
</w:p>
<w:p>
<w:pPr><w:pStyle w:val="Normal"/></w:pPr>
<w:r><w:t xml:space="preserve">balloon.  Tubes of greater capacity have also been tried.</w:t></w:r>
</w:p>
<w:p>
<w:pPr><w:pStyle w:val="Normal"/></w:pPr>
<w:r><w:t xml:space="preserve">The balloon is almost always used captive. If allowed</w:t></w:r>
</w:p>
<w:p>
<w:pPr><w:pStyle w:val="Normal"/></w:pPr>
<w:r><w:t xml:space="preserve">to go free it will usually be rapidly carried away by the</w:t></w:r>
</w:p>
<w:p>
<w:pPr><w:pStyle w:val="Normal"/></w:pPr>
<w:r><w:t xml:space="preserve">wind and the results of the observations cannot easily be</w:t></w:r>
</w:p>
<w:p>
<w:pPr><w:pStyle w:val="Normal"/></w:pPr>
<w:r><w:t xml:space="preserve">transmitted back.  Occasions may occur when such ascents</w:t></w:r>
</w:p>
<w:p>
<w:pPr><w:pStyle w:val="Normal"/></w:pPr>
<w:r><w:t xml:space="preserve">will be of value, but the usual method is to send up a</w:t></w:r>
</w:p>
<w:p>
<w:pPr><w:pStyle w:val="Normal"/></w:pPr>
<w:r><w:t xml:space="preserve">captive balloon to a height of somewhere about 1000 ft.</w:t></w:r>
</w:p>
<w:p>
<w:pPr><w:pStyle w:val="Normal"/></w:pPr>
<w:r><w:t xml:space="preserve">With the standard British balloon two officers are sent up,</w:t></w:r>
</w:p>
<w:p>
<w:pPr><w:pStyle w:val="Normal"/></w:pPr>
<w:r><w:t xml:space="preserve">one of whom has now particularly to attend to the management</w:t></w:r>
</w:p>
<w:p>
<w:pPr><w:pStyle w:val="Normal"/></w:pPr>
<w:r><w:t xml:space="preserve">of the balloon, while the other makes the observations.</w:t></w:r>
</w:p>
<w:p>
<w:pPr><w:pStyle w:val="Normal"/></w:pPr>
<w:r><w:t xml:space="preserve">With regard to observations from captive balloons much depends on</w:t></w:r>
</w:p>
<w:p>
<w:pPr><w:pStyle w:val="Normal"/></w:pPr>
<w:r><w:t xml:space="preserve">circumstances.  In a thickly wooded country, such as that in</w:t></w:r>
</w:p>
<w:p>
<w:pPr><w:pStyle w:val="Normal"/></w:pPr>
<w:r><w:t xml:space="preserve">which the balloons were used in the American Civil War, and in</w:t></w:r>
</w:p>
<w:p>
<w:pPr><w:pStyle w:val="Normal"/></w:pPr>
<w:r><w:t xml:space="preserve">the war in Cuba (in which the balloon merely served to expose</w:t></w:r>
</w:p>
<w:p>
<w:pPr><w:pStyle w:val="Normal"/></w:pPr>
<w:r><w:t xml:space="preserve">the troops to severe fire), no very valuable information is, as a</w:t></w:r>
</w:p>
<w:p>
<w:pPr><w:pStyle w:val="Normal"/></w:pPr>
<w:r><w:t xml:space="preserve">rule, to be obtained; but in fairly open country all important</w:t></w:r>
</w:p>
<w:p>
<w:pPr><w:pStyle w:val="Normal"/></w:pPr>
<w:r><w:t xml:space="preserve">movements of troops should be discernible by an experienced</w:t></w:r>
</w:p>
<w:p>
<w:pPr><w:pStyle w:val="Normal"/></w:pPr>
<w:r><w:t xml:space="preserve">observer at any point within about four or five miles of the</w:t></w:r>
</w:p>
<w:p>
<w:pPr><w:pStyle w:val="Normal"/></w:pPr>
<w:r><w:t xml:space="preserve">balloon.  The circumstances, it may be mentioned, are such</w:t></w:r>
</w:p>
<w:p>
<w:pPr><w:pStyle w:val="Normal"/></w:pPr>
<w:r><w:t xml:space="preserve">as would usually preclude one unaccustomed to ballooning</w:t></w:r>
</w:p>
<w:p>
<w:pPr><w:pStyle w:val="Normal"/></w:pPr>
<w:r><w:t xml:space="preserve">from affording valuable reports.  Not only is he liable to</w:t></w:r>
</w:p>
<w:p>
<w:pPr><w:pStyle w:val="Normal"/></w:pPr>
<w:r><w:t xml:space="preserve">be disturbed by the novel and apparently hazardous situation,</w:t></w:r>
</w:p>
<w:p>
<w:pPr><w:pStyle w:val="Normal"/></w:pPr>
<w:r><w:t xml:space="preserve">but troops and features of the ground often have so peculiar</w:t></w:r>
</w:p>
<w:p>
<w:pPr><w:pStyle w:val="Normal"/></w:pPr>
<w:r><w:t xml:space="preserve">an appearance from that point of view, that a novice will</w:t></w:r>
</w:p>
<w:p>
<w:pPr><w:pStyle w:val="Normal"/></w:pPr>
<w:r><w:t xml:space="preserve">often have a difficulty in deciding whether an object be a</w:t></w:r>
</w:p>
<w:p>
<w:pPr><w:pStyle w:val="Normal"/></w:pPr>
<w:r><w:t xml:space="preserve">column of troops or a ploughed field.  Then again, much will</w:t></w:r>
</w:p>
<w:p>
<w:pPr><w:pStyle w:val="Normal"/></w:pPr>
<w:r><w:t xml:space="preserve">depend on atmospheric conditions.  Thus, in misty weather</w:t></w:r>
</w:p>
<w:p>
<w:pPr><w:pStyle w:val="Normal"/></w:pPr>
<w:r><w:t xml:space="preserve">a balloon is well-nigh useless; and in strong winds, with a</w:t></w:r>
</w:p>
<w:p>
<w:pPr><w:pStyle w:val="Normal"/></w:pPr>
<w:r><w:t xml:space="preserve">velocity of anything over 20 m. an hour, efficient observation</w:t></w:r>
</w:p>
<w:p>
<w:pPr><w:pStyle w:val="Normal"/></w:pPr>
<w:r><w:t xml:space="preserve">becomes a matter of difficulty.  When some special point has</w:t></w:r>
</w:p>
<w:p>
<w:pPr><w:pStyle w:val="Normal"/></w:pPr>
<w:r><w:t xml:space="preserve">to be reported on, such as whether there is any large body</w:t></w:r>
</w:p>
<w:p>
<w:pPr><w:pStyle w:val="Normal"/></w:pPr>
<w:r><w:t xml:space="preserve">of troops behind a certain hill or wood, a rapid ascent may</w:t></w:r>
</w:p>
<w:p>
<w:pPr><w:pStyle w:val="Normal"/></w:pPr>
<w:r><w:t xml:space="preserve">still be mace in winds up to 30 m. an hour, but the balloon</w:t></w:r>
</w:p>
<w:p>
<w:pPr><w:pStyle w:val="Normal"/></w:pPr>
<w:r><w:t xml:space="preserve">would then be so unsteady that no careful scouting could be</w:t></w:r>
</w:p>
<w:p>
<w:pPr><w:pStyle w:val="Normal"/></w:pPr>
<w:r><w:t xml:space="preserve">made.  It is.usually estimated that a successful captive</w:t></w:r>
</w:p>
<w:p>
<w:pPr><w:pStyle w:val="Normal"/></w:pPr>
<w:r><w:t xml:space="preserve">ascent can only be made in England on half the days of the</w:t></w:r>
</w:p>
<w:p>
<w:pPr><w:pStyle w:val="Normal"/></w:pPr>
<w:r><w:t xml:space="preserve">year.  As a general rule balloon ascents would be made for</w:t></w:r>
</w:p>
<w:p>
<w:pPr><w:pStyle w:val="Normal"/></w:pPr>
<w:r><w:t xml:space="preserve">one of the following objects-- to examine the country for an</w:t></w:r>
</w:p>
<w:p>
<w:pPr><w:pStyle w:val="Normal"/></w:pPr>
<w:r><w:t xml:space="preserve">enemy; to reconnoitre the enemy&apos;s position; to ascertain the</w:t></w:r>
</w:p>
<w:p>
<w:pPr><w:pStyle w:val="Normal"/></w:pPr>
<w:r><w:t xml:space="preserve">strength of his force, number of guns and exact situation of</w:t></w:r>
</w:p>
<w:p>
<w:pPr><w:pStyle w:val="Normal"/></w:pPr>
<w:r><w:t xml:space="preserve">the various arms; also to note the plan of his earthworks or</w:t></w:r>
</w:p>
<w:p>
<w:pPr><w:pStyle w:val="Normal"/></w:pPr>
<w:r><w:t xml:space="preserve">fortifications.  During an action the aerial observer would</w:t></w:r>
</w:p>
<w:p>
<w:pPr><w:pStyle w:val="Normal"/></w:pPr>
<w:r><w:t xml:space="preserve">be on the look-out for any movements of the enemy and give</w:t></w:r>
</w:p>
<w:p>
<w:pPr><w:pStyle w:val="Normal"/></w:pPr>
<w:r><w:t xml:space="preserve">warning of flank attacks or surprises.  Such an observer</w:t></w:r>
</w:p>
<w:p>
<w:pPr><w:pStyle w:val="Normal"/></w:pPr>
<w:r><w:t xml:space="preserve">could also keep the general informed as to the progress of</w:t></w:r>
</w:p>
<w:p>
<w:pPr><w:pStyle w:val="Normal"/></w:pPr>
<w:r><w:t xml:space="preserve">various detached parties of his own force, as to the advance of</w:t></w:r>
</w:p>
<w:p>
<w:pPr><w:pStyle w:val="Normal"/></w:pPr>
<w:r><w:t xml:space="preserve">reinforcements, or to the conduct of any fighting going on at a</w:t></w:r>
</w:p>
<w:p>
<w:pPr><w:pStyle w:val="Normal"/></w:pPr>
<w:r><w:t xml:space="preserve">distance.  Balloon observations are also of especial use</w:t></w:r>
</w:p>
<w:p>
<w:pPr><w:pStyle w:val="Normal"/></w:pPr>
<w:r><w:t xml:space="preserve">to artillery in correcting their aim.  The vulnerability</w:t></w:r>
</w:p>
<w:p>
<w:pPr><w:pStyle w:val="Normal"/></w:pPr>
<w:r><w:t xml:space="preserve">of a captive balloon to the enemy&apos;s fire has been tested</w:t></w:r>
</w:p>
<w:p>
<w:pPr><w:pStyle w:val="Normal"/></w:pPr>
<w:r><w:t xml:space="preserve">by many experiments with variable results.  One established</w:t></w:r>
</w:p>
<w:p>
<w:pPr><w:pStyle w:val="Normal"/></w:pPr>
<w:r><w:t xml:space="preserve">fact is that the range of a balloon in mid-air is extremely</w:t></w:r>
</w:p>
<w:p>
<w:pPr><w:pStyle w:val="Normal"/></w:pPr>
<w:r><w:t xml:space="preserve">difficult to judge, and, as its altitude can he very rapidly</w:t></w:r>
</w:p>
<w:p>
<w:pPr><w:pStyle w:val="Normal"/></w:pPr>
<w:r><w:t xml:space="preserve">altered, it becomes a very difficult mark for artillery to</w:t></w:r>
</w:p>
<w:p>
<w:pPr><w:pStyle w:val="Normal"/></w:pPr>
<w:r><w:t xml:space="preserve">hit.  A few bullet-holes in the fabric of a balloon make but</w:t></w:r>
</w:p>
<w:p>
<w:pPr><w:pStyle w:val="Normal"/></w:pPr>
<w:r><w:t xml:space="preserve">little difference, since the size of the perforation is very</w:t></w:r>
</w:p>
<w:p>
<w:pPr><w:pStyle w:val="Normal"/></w:pPr>
<w:r><w:t xml:space="preserve">minute as compared with the great surface of material, but</w:t></w:r>
</w:p>
<w:p>
<w:pPr><w:pStyle w:val="Normal"/></w:pPr>
<w:r><w:t xml:space="preserve">on the other hand, a shrapnel bursting just in front of may</w:t></w:r>
</w:p>
<w:p>
<w:pPr><w:pStyle w:val="Normal"/></w:pPr>
<w:r><w:t xml:space="preserve">cause a rapid fall.  It is therefore considered prudent to</w:t></w:r>
</w:p>
<w:p>
<w:pPr><w:pStyle w:val="Normal"/></w:pPr>
<w:r><w:t xml:space="preserve">keep the balloon well away from an enemy, and two miles are</w:t></w:r>
</w:p>
<w:p>
<w:pPr><w:pStyle w:val="Normal"/></w:pPr>
<w:r><w:t xml:space="preserve">laid down as the nearest approach it should make habitually.</w:t></w:r>
</w:p>
<w:p>
<w:pPr><w:pStyle w:val="Normal"/></w:pPr>
<w:r><w:t xml:space="preserve">Besides being of use on land for war purposes, balloons have</w:t></w:r>
</w:p>
<w:p>
<w:pPr><w:pStyle w:val="Normal"/></w:pPr>
<w:r><w:t xml:space="preserve">been tried in connexion with the naval service.  In France</w:t></w:r>
</w:p>
<w:p>
<w:pPr><w:pStyle w:val="Normal"/></w:pPr>
<w:r><w:t xml:space="preserve">especially regular trials have been made of inflating balloons</w:t></w:r>
</w:p>
<w:p>
<w:pPr><w:pStyle w:val="Normal"/></w:pPr>
<w:r><w:t xml:space="preserve">on board ships, and sending them aloft as a look-out; but it</w:t></w:r>
</w:p>
<w:p>
<w:pPr><w:pStyle w:val="Normal"/></w:pPr>
<w:r><w:t xml:space="preserve">is now generally contended that the difficulties of storing</w:t></w:r>
</w:p>
<w:p>
<w:pPr><w:pStyle w:val="Normal"/></w:pPr>
<w:r><w:t xml:space="preserve">the gas and of manoeuvring the balloon are so great on</w:t></w:r>
</w:p>
<w:p>
<w:pPr><w:pStyle w:val="Normal"/></w:pPr>
<w:r><w:t xml:space="preserve">board ship as to be hardly worth the results to be gained.</w:t></w:r>
</w:p>
<w:p>
<w:pPr><w:pStyle w:val="Normal"/></w:pPr>
<w:r><w:t xml:space="preserve">A very important development of military ballooning is the navigable</w:t></w:r>
</w:p>
<w:p>
<w:pPr><w:pStyle w:val="Normal"/></w:pPr>
<w:r><w:t xml:space="preserve">balloon.  If only a balloon could be sent up and driven in any</w:t></w:r>
</w:p>
<w:p>
<w:pPr><w:pStyle w:val="Normal"/></w:pPr>
<w:r><w:t xml:space="preserve">required direction, and brought back to its starting-point, it</w:t></w:r>
</w:p>
<w:p>
<w:pPr><w:pStyle w:val="Normal"/></w:pPr>
<w:r><w:t xml:space="preserve">is obvious that it would be of the very greatest use in war.</w:t></w:r>
</w:p>
<w:p>
<w:pPr><w:pStyle w:val="Normal"/></w:pPr>
<w:r><w:t xml:space="preserve">Dirigible balloons.</w:t></w:r>
</w:p>
<w:p>
<w:pPr><w:pStyle w:val="Normal"/></w:pPr>
<w:r><w:t xml:space="preserve">From the very first invention of balloons the problem has</w:t></w:r>
</w:p>
<w:p>
<w:pPr><w:pStyle w:val="Normal"/></w:pPr>
<w:r><w:t xml:space="preserve">been how to navigate them by propulsion.  General J. B. M.</w:t></w:r>
</w:p>
<w:p>
<w:pPr><w:pStyle w:val="Heading1"/></w:pPr>
<w:r><w:t>C. Meusnier (1754-1793) proposed an elongated balloon in</w:t></w:r>
</w:p>
<w:p>
<w:pPr><w:pStyle w:val="Normal"/></w:pPr>
<w:r><w:t xml:space="preserve">1784.  It was experimented on by the brothers Robert, who</w:t></w:r>
</w:p>
<w:p>
<w:pPr><w:pStyle w:val="Normal"/></w:pPr>
<w:r><w:t xml:space="preserve">made two ascensions and claimed to have obtained a deviation</w:t></w:r>
</w:p>
<w:p>
<w:pPr><w:pStyle w:val="Normal"/></w:pPr>
<w:r><w:t xml:space="preserve">of 22 deg.  from the direction of a light wind by means of aerial</w:t></w:r>
</w:p>
<w:p>
<w:pPr><w:pStyle w:val="Normal"/></w:pPr>
<w:r><w:t xml:space="preserve">oars worked by hand.  The relative speed was probably about</w:t></w:r>
</w:p>
<w:p>
<w:pPr><w:pStyle w:val="Normal"/></w:pPr>
<w:r><w:t xml:space="preserve">3 m. an hour, and it was so evident that a very much more</w:t></w:r>
</w:p>
<w:p>
<w:pPr><w:pStyle w:val="Normal"/></w:pPr>
<w:r><w:t xml:space="preserve">energetic light motor than any then known was required to</w:t></w:r>
</w:p>
<w:p>
<w:pPr><w:pStyle w:val="Normal"/></w:pPr>
<w:r><w:t xml:space="preserve">stem ordinary winds that nothing more was attempted till</w:t></w:r>
</w:p>
<w:p>
<w:pPr><w:pStyle w:val="Normal"/></w:pPr>
<w:r><w:t xml:space="preserve">1832, when Henri Giffard (1825-1882) as ascended with a</w:t></w:r>
</w:p>
<w:p>
<w:pPr><w:pStyle w:val="Normal"/></w:pPr>
<w:r><w:t xml:space="preserve">steam-engine of then unprecedented lightness.  The subjoined</w:t></w:r>
</w:p>
<w:p>
<w:pPr><w:pStyle w:val="Normal"/></w:pPr>
<w:r><w:t xml:space="preserve">table exhibits some of the results subsequently obtained :---</w:t></w:r>
</w:p>
<w:p>
<w:pPr><w:pStyle w:val="Normal"/></w:pPr>
<w:r><w:t xml:space="preserve">Year.  Inventor.  Length.  Dia-     Con-   Lifting  Weight  Weight  H.P.  Speed</w:t></w:r>
</w:p>
<w:p>
<w:pPr><w:pStyle w:val="Normal"/></w:pPr>
<w:r><w:t xml:space="preserve">meter.   tents. Capa-    of      of            per</w:t></w:r>
</w:p>
<w:p>
<w:pPr><w:pStyle w:val="Normal"/></w:pPr>
<w:r><w:t xml:space="preserve">city.    Ballon. Motor.        hour.</w:t></w:r>
</w:p>
<w:p>
<w:pPr><w:pStyle w:val="Normal"/></w:pPr>
<w:r><w:t xml:space="preserve">Ft.     Ft.     Cub.ft. lb.        lb.       lb.            Miles</w:t></w:r>
</w:p>
<w:p>
<w:pPr><w:pStyle w:val="Normal"/></w:pPr>
<w:r><w:t xml:space="preserve">1852   Giffard     144      39      88,300  3,978   2,794    462    3.0   6.71</w:t></w:r>
</w:p>
<w:p>
<w:pPr><w:pStyle w:val="Normal"/></w:pPr>
<w:r><w:t xml:space="preserve">1872   Dupuy de</w:t></w:r>
</w:p>
<w:p>
<w:pPr><w:pStyle w:val="Normal"/></w:pPr>
<w:r><w:t xml:space="preserve">Lome       118      49     120,088  8,358   4,728   2000    0.8   6.26</w:t></w:r>
</w:p>
<w:p>
<w:pPr><w:pStyle w:val="Normal"/></w:pPr>
<w:r><w:t xml:space="preserve">1884   Tissandier   92      30      37,439  2,728     933    616    1.5   7.82</w:t></w:r>
</w:p>
<w:p>
<w:pPr><w:pStyle w:val="Normal"/></w:pPr>
<w:r><w:t xml:space="preserve">1885   Renard and</w:t></w:r>
</w:p>
<w:p>
<w:pPr><w:pStyle w:val="Normal"/></w:pPr>
<w:r><w:t xml:space="preserve">Krebs      165      27      65,836  4,402   2,449   1174    9.0  14.00</w:t></w:r>
</w:p>
<w:p>
<w:pPr><w:pStyle w:val="Normal"/></w:pPr>
<w:r><w:t xml:space="preserve">1897   Schwarz     157   {46  39}  130.500  8,133   6,800   800?   16.0  17.00</w:t></w:r>
</w:p>
<w:p>
<w:pPr><w:pStyle w:val="Normal"/></w:pPr>
<w:r><w:t xml:space="preserve">1900   Zeppelin I  420      39     400,000 25,000  19,000   1500   32.0  18.00</w:t></w:r>
</w:p>
<w:p>
<w:pPr><w:pStyle w:val="Normal"/></w:pPr>
<w:r><w:t xml:space="preserve">1901   Santos</w:t></w:r>
</w:p>
<w:p>
<w:pPr><w:pStyle w:val="Normal"/></w:pPr>
<w:r><w:t xml:space="preserve">Dumont VI.  108      20      22,200   ..      ..      ..    16.20 19.00</w:t></w:r>
</w:p>
<w:p>
<w:pPr><w:pStyle w:val="Normal"/></w:pPr>
<w:r><w:t xml:space="preserve">1908   ``Repub-</w:t></w:r>
</w:p>
<w:p>
<w:pPr><w:pStyle w:val="Normal"/></w:pPr>
<w:r><w:t xml:space="preserve">lique&apos;&apos;   195      35     130,000  3,100    ..      ..    80       30</w:t></w:r>
</w:p>
<w:p>
<w:pPr><w:pStyle w:val="Normal"/></w:pPr>
<w:r><w:t xml:space="preserve">1908   Zeppelin IV 446      42 1/2    450,000   ..      ..      ..   220       ..</w:t></w:r>
</w:p>
<w:p>
<w:pPr><w:pStyle w:val="Normal"/></w:pPr>
<w:r><w:t xml:space="preserve">Giffard, the future inventor of the injector, devised a</w:t></w:r>
</w:p>
<w:p>
<w:pPr><w:pStyle w:val="Normal"/></w:pPr>
<w:r><w:t xml:space="preserve">steam-engine weighing, with fuel and water for one hour,</w:t></w:r>
</w:p>
<w:p>
<w:pPr><w:pStyle w:val="Normal"/></w:pPr>
<w:r><w:t xml:space="preserve">154 lb.  per horse-power, and was bold enough to employ it in</w:t></w:r>
</w:p>
<w:p>
<w:pPr><w:pStyle w:val="Normal"/></w:pPr>
<w:r><w:t xml:space="preserve">proximity to a balloon inflated with coal gas.  He was not</w:t></w:r>
</w:p>
<w:p>
<w:pPr><w:pStyle w:val="Normal"/></w:pPr>
<w:r><w:t xml:space="preserve">able to stem a medium wind, but attained some deviation.</w:t></w:r>
</w:p>
<w:p>
<w:pPr><w:pStyle w:val="Normal"/></w:pPr>
<w:r><w:t xml:space="preserve">He repeated the experiment in 1855 with a more elongated</w:t></w:r>
</w:p>
<w:p>
<w:pPr><w:pStyle w:val="Normal"/></w:pPr>
<w:r><w:t xml:space="preserve">spindle, which proved unstable and dangerous.  During the</w:t></w:r>
</w:p>
<w:p>
<w:pPr><w:pStyle w:val="Normal"/></w:pPr>
<w:r><w:t xml:space="preserve">siege of Paris the French Government decided to build a</w:t></w:r>
</w:p>
<w:p>
<w:pPr><w:pStyle w:val="Normal"/></w:pPr>
<w:r><w:t xml:space="preserve">navigable balloon, and entrusted the work to the chief naval</w:t></w:r>
</w:p>
<w:p>
<w:pPr><w:pStyle w:val="Normal"/></w:pPr>
<w:r><w:t xml:space="preserve">constructor, Dupuy de Lome.  He went into the subject very</w:t></w:r>
</w:p>
<w:p>
<w:pPr><w:pStyle w:val="Normal"/></w:pPr>
<w:r><w:t xml:space="preserve">carefully, made estimates of all the strains, resistances and</w:t></w:r>
</w:p>
<w:p>
<w:pPr><w:pStyle w:val="Normal"/></w:pPr>
<w:r><w:t xml:space="preserve">speeds, and tested the balloon in 1872.  Deviations of 12 deg.</w:t></w:r>
</w:p>
<w:p>
<w:pPr><w:pStyle w:val="Normal"/></w:pPr>
<w:r><w:t xml:space="preserve">were obtained from the course of a wind blowing 27 to 37 m. per</w:t></w:r>
</w:p>
<w:p>
<w:pPr><w:pStyle w:val="Normal"/></w:pPr>
<w:r><w:t xml:space="preserve">hour.  The screw propeller was driven by eight labourers, a</w:t></w:r>
</w:p>
<w:p>
<w:pPr><w:pStyle w:val="Normal"/></w:pPr>
<w:r><w:t xml:space="preserve">steam-engine being deemed too dangerous; but it was estimated</w:t></w:r>
</w:p>
<w:p>
<w:pPr><w:pStyle w:val="Normal"/></w:pPr>
<w:r><w:t xml:space="preserve">that had one been used, weighing as much as the men, the</w:t></w:r>
</w:p>
<w:p>
<w:pPr><w:pStyle w:val="Normal"/></w:pPr>
<w:r><w:t xml:space="preserve">speed would have been doubled.  Tissandier and his brother</w:t></w:r>
</w:p>
<w:p>
<w:pPr><w:pStyle w:val="Normal"/></w:pPr>
<w:r><w:t xml:space="preserve">applied an electric motor, lighter than any previously built,</w:t></w:r>
</w:p>
<w:p>
<w:pPr><w:pStyle w:val="Normal"/></w:pPr>
<w:r><w:t xml:space="preserve">to a spindle-shaped balloon, and went up twice in 1883 and</w:t></w:r>
</w:p>
<w:p>
<w:pPr><w:pStyle w:val="Normal"/></w:pPr>
<w:r><w:t xml:space="preserve">1884.  On the latter occasion he stemmed a wind of 7 m. per</w:t></w:r>
</w:p>
<w:p>
<w:pPr><w:pStyle w:val="Normal"/></w:pPr>
<w:r><w:t xml:space="preserve">hour.  The brothers abandoned these experiments, which</w:t></w:r>
</w:p>
<w:p>
<w:pPr><w:pStyle w:val="Normal"/></w:pPr>
<w:r><w:t xml:space="preserve">had been carried on at their own expense, when the French</w:t></w:r>
</w:p>
<w:p>
<w:pPr><w:pStyle w:val="Normal"/></w:pPr>
<w:r><w:t xml:space="preserve">War Department took up the problem.  Renard and Krebs, the</w:t></w:r>
</w:p>
<w:p>
<w:pPr><w:pStyle w:val="Normal"/></w:pPr>
<w:r><w:t xml:space="preserve">Officers in charge of the War Aeronautical Department at</w:t></w:r>
</w:p>
<w:p>
<w:pPr><w:pStyle w:val="Normal"/></w:pPr>
<w:r><w:t xml:space="preserve">Heudon, built and experimented with in 1884 and 1885 the</w:t></w:r>
</w:p>
<w:p>
<w:pPr><w:pStyle w:val="Normal"/></w:pPr>
<w:r><w:t xml:space="preserve">fusiform balloon `` La France,&apos;&apos; in which the `` master&apos;&apos;</w:t></w:r>
</w:p>
<w:p>
<w:pPr><w:pStyle w:val="Normal"/></w:pPr>
<w:r><w:t xml:space="preserve">or maximum section was about one-quarter of the distance</w:t></w:r>
</w:p>
<w:p>
<w:pPr><w:pStyle w:val="Normal"/></w:pPr>
<w:r><w:t xml:space="preserve">from the stem.  The propelling screw was at the front of</w:t></w:r>
</w:p>
<w:p>
<w:pPr><w:pStyle w:val="Normal"/></w:pPr>
<w:r><w:t xml:space="preserve">the car and driven by an electric motor of unprecedented</w:t></w:r>
</w:p>
<w:p>
<w:pPr><w:pStyle w:val="Normal"/></w:pPr>
<w:r><w:t xml:space="preserve">lightness.  Seven ascents were made on very calm days, a</w:t></w:r>
</w:p>
<w:p>
<w:pPr><w:pStyle w:val="Normal"/></w:pPr>
<w:r><w:t xml:space="preserve">maximum speed of 14 m. an hour was obtained, and the balloon</w:t></w:r>
</w:p>
<w:p>
<w:pPr><w:pStyle w:val="Normal"/></w:pPr>
<w:r><w:t xml:space="preserve">returned to its starting-point on five of the seven occasions.</w:t></w:r>
</w:p>
<w:p>
<w:pPr><w:pStyle w:val="Normal"/></w:pPr>
<w:r><w:t xml:space="preserve">Subsequently another balloon was constructed, said to be</w:t></w:r>
</w:p>
<w:p>
<w:pPr><w:pStyle w:val="Normal"/></w:pPr>
<w:r><w:t xml:space="preserve">capable of a speed of 22 to 28 m. per hour, with a different</w:t></w:r>
</w:p>
<w:p>
<w:pPr><w:pStyle w:val="Normal"/></w:pPr>
<w:r><w:t xml:space="preserve">motor.  After many years of experi- ment Dr Wolfert built and</w:t></w:r>
</w:p>
<w:p>
<w:pPr><w:pStyle w:val="Normal"/></w:pPr>
<w:r><w:t xml:space="preserve">experimented with in Berlin, in 1897, a cigar-shaped balloon</w:t></w:r>
</w:p>
<w:p>
<w:pPr><w:pStyle w:val="Normal"/></w:pPr>
<w:r><w:t xml:space="preserve">driven by a gasoline motor.  An explosion took place in the</w:t></w:r>
</w:p>
<w:p>
<w:pPr><w:pStyle w:val="Normal"/></w:pPr>
<w:r><w:t xml:space="preserve">air, the balloon fell and Dr Wolfert and his assistant were</w:t></w:r>
</w:p>
<w:p>
<w:pPr><w:pStyle w:val="Normal"/></w:pPr>
<w:r><w:t xml:space="preserve">killed.  It was also in 1897 that an aluminium balloon was</w:t></w:r>
</w:p>
<w:p>
<w:pPr><w:pStyle w:val="Normal"/></w:pPr>
<w:r><w:t xml:space="preserve">built from the designs of D. Schwarz and tested in Bedin.</w:t></w:r>
</w:p>
<w:p>
<w:pPr><w:pStyle w:val="Normal"/></w:pPr>
<w:r><w:t xml:space="preserve">It was driven by a Daimler benzine motor, and attained a</w:t></w:r>
</w:p>
<w:p>
<w:pPr><w:pStyle w:val="Normal"/></w:pPr>
<w:r><w:t xml:space="preserve">greater speed than ``La France&apos;&apos;; but a driving belt slipped,</w:t></w:r>
</w:p>
<w:p>
<w:pPr><w:pStyle w:val="Normal"/></w:pPr>
<w:r><w:t xml:space="preserve">and in coming down the balloon was injured beyond repair.</w:t></w:r>
</w:p>
<w:p>
<w:pPr><w:pStyle w:val="Normal"/></w:pPr>
<w:r><w:t xml:space="preserve">From 1897 onwards Count Ferdinand von Zeppelin, of the German</w:t></w:r>
</w:p>
<w:p>
<w:pPr><w:pStyle w:val="Normal"/></w:pPr>
<w:r><w:t xml:space="preserve">army, was engaged in constructing an immense balloon, truly an</w:t></w:r>
</w:p>
<w:p>
<w:pPr><w:pStyle w:val="Normal"/></w:pPr>
<w:r><w:t xml:space="preserve">airship, of most careful and most intelligent design, to carry</w:t></w:r>
</w:p>
<w:p>
<w:pPr><w:pStyle w:val="Normal"/></w:pPr>
<w:r><w:t xml:space="preserve">five men.  It consisted of an aluminium framework containing</w:t></w:r>
</w:p>
<w:p>
<w:pPr><w:pStyle w:val="Normal"/></w:pPr>
<w:r><w:t xml:space="preserve">sixteen gas bags with a total capacity of nearly 400,000</w:t></w:r>
</w:p>
<w:p>
<w:pPr><w:pStyle w:val="Normal"/></w:pPr>
<w:r><w:t xml:space="preserve">cub. ft., and it had two cars, each containing a 16 h.p.</w:t></w:r>
</w:p>
<w:p>
<w:pPr><w:pStyle w:val="Normal"/></w:pPr>
<w:r><w:t xml:space="preserve">motor.  It was first tested in June 1900, when it attained</w:t></w:r>
</w:p>
<w:p>
<w:pPr><w:pStyle w:val="Normal"/></w:pPr>
<w:r><w:t xml:space="preserve">a speed of 18 m. an hour and travelled a distance of 3 1/2</w:t></w:r>
</w:p>
<w:p>
<w:pPr><w:pStyle w:val="Normal"/></w:pPr>
<w:r><w:t xml:space="preserve">m. before an accident to the steering gear necessitated the</w:t></w:r>
</w:p>
<w:p>
<w:pPr><w:pStyle w:val="Normal"/></w:pPr>
<w:r><w:t xml:space="preserve">discontinuance of the experiment.  In 1905 Zeppelin built</w:t></w:r>
</w:p>
<w:p>
<w:pPr><w:pStyle w:val="Normal"/></w:pPr>
<w:r><w:t xml:space="preserve">a second airship which had a slightly smaller capacity</w:t></w:r>
</w:p>
<w:p>
<w:pPr><w:pStyle w:val="Normal"/></w:pPr>
<w:r><w:t xml:space="preserve">but much greater power, its two motors each developing 85</w:t></w:r>
</w:p>
<w:p>
<w:pPr><w:pStyle w:val="Normal"/></w:pPr>
<w:r><w:t xml:space="preserve">h.p.  This, after making some successful trips, was wrecked</w:t></w:r>
</w:p>
<w:p>
<w:pPr><w:pStyle w:val="Normal"/></w:pPr>
<w:r><w:t xml:space="preserve">in a violent gale, and was succeeded by a third airship,</w:t></w:r>
</w:p>
<w:p>
<w:pPr><w:pStyle w:val="Normal"/></w:pPr>
<w:r><w:t xml:space="preserve">which, at its trial in October 1906, travelled round Lake</w:t></w:r>
</w:p>
<w:p>
<w:pPr><w:pStyle w:val="Normal"/></w:pPr>
<w:r><w:t xml:space="preserve">Constance and showed itself able to execute numerous curves and</w:t></w:r>
</w:p>
<w:p>
<w:pPr><w:pStyle w:val="Normal"/></w:pPr>
<w:r><w:t xml:space="preserve">traverses.  At a second series of trials in September 1907,</w:t></w:r>
</w:p>
<w:p>
<w:pPr><w:pStyle w:val="Normal"/></w:pPr>
<w:r><w:t xml:space="preserve">after some alterations had been effected, it attained a</w:t></w:r>
</w:p>
<w:p>
<w:pPr><w:pStyle w:val="Normal"/></w:pPr>
<w:r><w:t xml:space="preserve">speed of 36 m. an hour, remaining in the air for many hours</w:t></w:r>
</w:p>
<w:p>
<w:pPr><w:pStyle w:val="Normal"/></w:pPr>
<w:r><w:t xml:space="preserve">and carrying nine or eleven passengers.  A fourth vessel of</w:t></w:r>
</w:p>
<w:p>
<w:pPr><w:pStyle w:val="Normal"/></w:pPr>
<w:r><w:t xml:space="preserve">similar design, but with more powerful motors, was tried in</w:t></w:r>
</w:p>
<w:p>
<w:pPr><w:pStyle w:val="Normal"/></w:pPr>
<w:r><w:t xml:space="preserve">1908, and succeeded in travelling 250 m. in 11 hours, but</w:t></w:r>
</w:p>
<w:p>
<w:pPr><w:pStyle w:val="Normal"/></w:pPr>
<w:r><w:t xml:space="preserve">owing to a storm it was wrecked when on land and burnt at</w:t></w:r>
</w:p>
<w:p>
<w:pPr><w:pStyle w:val="Normal"/></w:pPr>
<w:r><w:t xml:space="preserve">Echterdingen on the 5th of August.  Subscriptions, headed by</w:t></w:r>
</w:p>
<w:p>
<w:pPr><w:pStyle w:val="Normal"/></w:pPr>
<w:r><w:t xml:space="preserve">the emperor, were at once raised to enable Zeppelin to build</w:t></w:r>
</w:p>
<w:p>
<w:pPr><w:pStyle w:val="Normal"/></w:pPr>
<w:r><w:t xml:space="preserve">another.  Meanwhile in 1901 Alberto Santos Dumont had begun</w:t></w:r>
</w:p>
<w:p>
<w:pPr><w:pStyle w:val="Normal"/></w:pPr>
<w:r><w:t xml:space="preserve">experiments with dirigible balloons in Paris, and on the 19th</w:t></w:r>
</w:p>
<w:p>
<w:pPr><w:pStyle w:val="Normal"/></w:pPr>
<w:r><w:t xml:space="preserve">of October won the Deutsch prize by steering a balloon from</w:t></w:r>
</w:p>
<w:p>
<w:pPr><w:pStyle w:val="Normal"/></w:pPr>
<w:r><w:t xml:space="preserve">St Cloud round the Eiffel tower and back in half an hour,</w:t></w:r>
</w:p>
<w:p>
<w:pPr><w:pStyle w:val="Normal"/></w:pPr>
<w:r><w:t xml:space="preserve">encountering on his return journey a wind of nearly 5 metres a</w:t></w:r>
</w:p>
<w:p>
<w:pPr><w:pStyle w:val="Normal"/></w:pPr>
<w:r><w:t xml:space="preserve">second.  An airship constructed by Pierre and Paul Lebaudy in</w:t></w:r>
</w:p>
<w:p>
<w:pPr><w:pStyle w:val="Normal"/></w:pPr>
<w:r><w:t xml:space="preserve">1904 also made a number of successful trials in the vicinity</w:t></w:r>
</w:p>
<w:p>
<w:pPr><w:pStyle w:val="Normal"/></w:pPr>
<w:r><w:t xml:space="preserve">of Paris; with a motor of 40 h.p., its speed was about 25 m. an</w:t></w:r>
</w:p>
<w:p>
<w:pPr><w:pStyle w:val="Normal"/></w:pPr>
<w:r><w:t xml:space="preserve">hour, and it regularly carried three passengers.  In October</w:t></w:r>
</w:p>
<w:p>
<w:pPr><w:pStyle w:val="Normal"/></w:pPr>
<w:r><w:t xml:space="preserve">1907 the ``Nulli Secundus,&apos;&apos; an airship constructed for the</w:t></w:r>
</w:p>
<w:p>
<w:pPr><w:pStyle w:val="Normal"/></w:pPr>
<w:r><w:t xml:space="preserve">British War Office, sailed from Farnborough round St Paul&apos;s</w:t></w:r>
</w:p>
<w:p>
<w:pPr><w:pStyle w:val="Normal"/></w:pPr>
<w:r><w:t xml:space="preserve">Cathedral, London, to the Crystal Palace, Sydenham, a distance</w:t></w:r>
</w:p>
<w:p>
<w:pPr><w:pStyle w:val="Normal"/></w:pPr>
<w:r><w:t xml:space="preserve">of about 50 m., in 3 hours 35 minutes.  The weight carried,</w:t></w:r>
</w:p>
<w:p>
<w:pPr><w:pStyle w:val="Normal"/></w:pPr>
<w:r><w:t xml:space="preserve">including two occupants, was 3400 lb., and the maximum speed</w:t></w:r>
</w:p>
<w:p>
<w:pPr><w:pStyle w:val="Normal"/></w:pPr>
<w:r><w:t xml:space="preserve">was 24 m. an hour, with a following wind of 8 m. an hour.</w:t></w:r>
</w:p>
<w:p>
<w:pPr><w:pStyle w:val="Normal"/></w:pPr>
<w:r><w:t xml:space="preserve">Thus the principles which govern the design of the dirigible</w:t></w:r>
</w:p>
<w:p>
<w:pPr><w:pStyle w:val="Normal"/></w:pPr>
<w:r><w:t xml:space="preserve">balloon may be said to have been evolved.  As the lifting</w:t></w:r>
</w:p>
<w:p>
<w:pPr><w:pStyle w:val="Normal"/></w:pPr>
<w:r><w:t xml:space="preserve">power crows as the cube of the dimensions, and the resistance</w:t></w:r>
</w:p>
<w:p>
<w:pPr><w:pStyle w:val="Normal"/></w:pPr>
<w:r><w:t xml:space="preserve">approximately as the square, the advantage lies with the</w:t></w:r>
</w:p>
<w:p>
<w:pPr><w:pStyle w:val="Normal"/></w:pPr>
<w:r><w:t xml:space="preserve">larger sizes of balloons, as of ocean steamers, up to the</w:t></w:r>
</w:p>
<w:p>
<w:pPr><w:pStyle w:val="Normal"/></w:pPr>
<w:r><w:t xml:space="preserve">limits within which they may be found practicable.  Count</w:t></w:r>
</w:p>
<w:p>
<w:pPr><w:pStyle w:val="Normal"/></w:pPr>
<w:r><w:t xml:space="preserve">Zeppelin gained an advantage by attaching his propellers</w:t></w:r>
</w:p>
<w:p>
<w:pPr><w:pStyle w:val="Normal"/></w:pPr>
<w:r><w:t xml:space="preserve">to the balloon, instead of to the car as heretofore; but</w:t></w:r>
</w:p>
<w:p>
<w:pPr><w:pStyle w:val="Normal"/></w:pPr>
<w:r><w:t xml:space="preserve">this requires a rigid framework and a great increase of</w:t></w:r>
</w:p>
<w:p>
<w:pPr><w:pStyle w:val="Normal"/></w:pPr>
<w:r><w:t xml:space="preserve">weight.  Le Compagnon endeavoured, in 1892, to substitute</w:t></w:r>
</w:p>
<w:p>
<w:pPr><w:pStyle w:val="Normal"/></w:pPr>
<w:r><w:t xml:space="preserve">flapping wings for rotary propellers, as the former can</w:t></w:r>
</w:p>
<w:p>
<w:pPr><w:pStyle w:val="Normal"/></w:pPr>
<w:r><w:t xml:space="preserve">be suspended near the centre of resistance.  C. Danilewsky</w:t></w:r>
</w:p>
<w:p>
<w:pPr><w:pStyle w:val="Normal"/></w:pPr>
<w:r><w:t xml:space="preserve">followed him in 1898 and 1899, but without remarkable</w:t></w:r>
</w:p>
<w:p>
<w:pPr><w:pStyle w:val="Normal"/></w:pPr>
<w:r><w:t xml:space="preserve">results.  Dupuy de Lome was the first to estimate in detail</w:t></w:r>
</w:p>
<w:p>
<w:pPr><w:pStyle w:val="Normal"/></w:pPr>
<w:r><w:t xml:space="preserve">the resistances to balloon propulsion, but experiment showed</w:t></w:r>
</w:p>
<w:p>
<w:pPr><w:pStyle w:val="Normal"/></w:pPr>
<w:r><w:t xml:space="preserve">that in the aggregate they were greater than he calculated.</w:t></w:r>
</w:p>
<w:p>
<w:pPr><w:pStyle w:val="Normal"/></w:pPr>
<w:r><w:t xml:space="preserve">Renard and Krebs also found that their computed resistances</w:t></w:r>
</w:p>
<w:p>
<w:pPr><w:pStyle w:val="Normal"/></w:pPr>
<w:r><w:t xml:space="preserve">were largely exceeded, and after revising the results they</w:t></w:r>
</w:p>
<w:p>
<w:pPr><w:pStyle w:val="Normal"/></w:pPr>
<w:r><w:t xml:space="preserve">gave the formula R=0.01685 D2V2, R being the resistance in</w:t></w:r>
</w:p>
<w:p>
<w:pPr><w:pStyle w:val="Normal"/></w:pPr>
<w:r><w:t xml:space="preserve">kilograms, D the diameter in metres and V the velocity in</w:t></w:r>
</w:p>
<w:p>
<w:pPr><w:pStyle w:val="Normal"/></w:pPr>
<w:r><w:t xml:space="preserve">metres per second.  Reduced to British measures, in pounds,</w:t></w:r>
</w:p>
<w:p>
<w:pPr><w:pStyle w:val="Normal"/></w:pPr>
<w:r><w:t xml:space="preserve">feet and miles per hour, R=0.0006876 D2V2, which is somewhat</w:t></w:r>
</w:p>
<w:p>
<w:pPr><w:pStyle w:val="Normal"/></w:pPr>
<w:r><w:t xml:space="preserve">in excess of the formula computed by Dr William Pole from</w:t></w:r>
</w:p>
<w:p>
<w:pPr><w:pStyle w:val="Normal"/></w:pPr>
<w:r><w:t xml:space="preserve">Dupuy de Lome&apos;s experiments.  The above coefficient applies</w:t></w:r>
</w:p>
<w:p>
<w:pPr><w:pStyle w:val="Normal"/></w:pPr>
<w:r><w:t xml:space="preserve">only to the shape and rigging of the balloon ``La France,&apos;&apos;</w:t></w:r>
</w:p>
<w:p>
<w:pPr><w:pStyle w:val="Normal"/></w:pPr>
<w:r><w:t xml:space="preserve">and combines all resistances into one equivalent, which is</w:t></w:r>
</w:p>
<w:p>
<w:pPr><w:pStyle w:val="Normal"/></w:pPr>
<w:r><w:t xml:space="preserve">equal to that of a flat plane 18% of the ``master section.&apos;&apos;</w:t></w:r>
</w:p>
<w:p>
<w:pPr><w:pStyle w:val="Normal"/></w:pPr>
<w:r><w:t xml:space="preserve">This coefficient may perhaps hereafter be reduced by one-half</w:t></w:r>
</w:p>
<w:p>
<w:pPr><w:pStyle w:val="Normal"/></w:pPr>
<w:r><w:t xml:space="preserve">through a better form of hull and car, more like a fish than a</w:t></w:r>
</w:p>
<w:p>
<w:pPr><w:pStyle w:val="Normal"/></w:pPr>
<w:r><w:t xml:space="preserve">spindle, by diminished sections of suspension lines and net,</w:t></w:r>
</w:p>
<w:p>
<w:pPr><w:pStyle w:val="Normal"/></w:pPr>
<w:r><w:t xml:space="preserve">and by placing the propeller at the centre of resistance.</w:t></w:r>
</w:p>
<w:p>
<w:pPr><w:pStyle w:val="Normal"/></w:pPr>
<w:r><w:t xml:space="preserve">To compute the results to be expected from new projects, it</w:t></w:r>
</w:p>
<w:p>
<w:pPr><w:pStyle w:val="Normal"/></w:pPr>
<w:r><w:t xml:space="preserve">will be preferable to estimate the resistances in detail.  The</w:t></w:r>
</w:p>
<w:p>
<w:pPr><w:pStyle w:val="Normal"/></w:pPr>
<w:r><w:t xml:space="preserve">following table shows how this was done by Dupuy de Lome, and</w:t></w:r>
</w:p>
<w:p>
<w:pPr><w:pStyle w:val="Normal"/></w:pPr>
<w:r><w:t xml:space="preserve">the probable corrections which should have been made by him:--</w:t></w:r>
</w:p>
<w:p>
<w:pPr><w:pStyle w:val="Normal"/></w:pPr>
<w:r><w:t xml:space="preserve">RESISTANCES--DUPUY DE LOME&apos;S BALLOON</w:t></w:r>
</w:p>
<w:p>
<w:pPr><w:pStyle w:val="Normal"/></w:pPr>
<w:r><w:t xml:space="preserve">Computed by Dupuy de Lome.               More Probable Values.</w:t></w:r>
</w:p>
<w:p>
<w:pPr><w:pStyle w:val="Heading1"/></w:pPr>
<w:r><w:t>V = 2.22 m. per sec.                   V = 2.82 m. per sec.</w:t></w:r>
</w:p>
<w:p>
<w:pPr><w:pStyle w:val="Normal"/></w:pPr>
<w:r><w:t xml:space="preserve">Area   Coeffici-  Air     Resist-    Coeffici-   Air    Resist-</w:t></w:r>
</w:p>
<w:p>
<w:pPr><w:pStyle w:val="Normal"/></w:pPr>
<w:r><w:t xml:space="preserve">Part.      Sq.     ent.     Pres-    ance,       ent.     Pres-    ance,</w:t></w:r>
</w:p>
<w:p>
<w:pPr><w:pStyle w:val="Normal"/></w:pPr>
<w:r><w:t xml:space="preserve">Metres             sure.     Kg.                 sure      Kg.</w:t></w:r>
</w:p>
<w:p>
<w:pPr><w:pStyle w:val="Normal"/></w:pPr>
<w:r><w:t xml:space="preserve">Hull,</w:t></w:r>
</w:p>
<w:p>
<w:pPr><w:pStyle w:val="Normal"/></w:pPr>
<w:r><w:t xml:space="preserve">without net 172.96   1/30     0.665     3.830       1/15     0.875   10.091</w:t></w:r>
</w:p>
<w:p>
<w:pPr><w:pStyle w:val="Normal"/></w:pPr>
<w:r><w:t xml:space="preserve">Car           3.25   1/5        ,,      0.432       1/5        ,,     0.569</w:t></w:r>
</w:p>
<w:p>
<w:pPr><w:pStyle w:val="Normal"/></w:pPr>
<w:r><w:t xml:space="preserve">Men&apos;s bodies  3.00   1/5        ,,      0.400       1/5        ,,     1.312</w:t></w:r>
</w:p>
<w:p>
<w:pPr><w:pStyle w:val="Normal"/></w:pPr>
<w:r><w:t xml:space="preserve">Gas tubes     6.40   1/5        ,,      0.850       1/2        ,,     2.750</w:t></w:r>
</w:p>
<w:p>
<w:pPr><w:pStyle w:val="Normal"/></w:pPr>
<w:r><w:t xml:space="preserve">Small cords  10.00   1/2        ,,      3.325       1/2        ,,     4.375</w:t></w:r>
</w:p>
<w:p>
<w:pPr><w:pStyle w:val="Normal"/></w:pPr>
<w:r><w:t xml:space="preserve">Large cords   9.90   1/3        ,,      2.194       1/3        ,,     2.887</w:t></w:r>
</w:p>
<w:p>
<w:pPr><w:pStyle w:val="Normal"/></w:pPr>
<w:r><w:t xml:space="preserve">11.031                        21.984</w:t></w:r>
</w:p>
<w:p>
<w:pPr><w:pStyle w:val="Normal"/></w:pPr>
<w:r><w:t xml:space="preserve">When the resistances have been reduced to the lowest minimum</w:t></w:r>
</w:p>
<w:p>
<w:pPr><w:pStyle w:val="Normal"/></w:pPr>
<w:r><w:t xml:space="preserve">by careful design, the attainable speed must depend upon the</w:t></w:r>
</w:p>
<w:p>
<w:pPr><w:pStyle w:val="Normal"/></w:pPr>
<w:r><w:t xml:space="preserve">efficiency of the propeller and the relative lightness of the</w:t></w:r>
</w:p>
<w:p>
<w:pPr><w:pStyle w:val="Normal"/></w:pPr>
<w:r><w:t xml:space="preserve">motor.  The commercial uses of dirigible balloons, however,</w:t></w:r>
</w:p>
<w:p>
<w:pPr><w:pStyle w:val="Normal"/></w:pPr>
<w:r><w:t xml:space="preserve">will be small, as they must remain housed when the wind aloft is</w:t></w:r>
</w:p>
<w:p>
<w:pPr><w:pStyle w:val="Normal"/></w:pPr>
<w:r><w:t xml:space="preserve">brisk.  The sizes will be great and costly, the loads small,</w:t></w:r>
</w:p>
<w:p>
<w:pPr><w:pStyle w:val="Normal"/></w:pPr>
<w:r><w:t xml:space="preserve">and the craft frail and short-lived, yet dirigible balloons</w:t></w:r>
</w:p>
<w:p>
<w:pPr><w:pStyle w:val="Normal"/></w:pPr>
<w:r><w:t xml:space="preserve">constitute the obvious type for governments to evolve,</w:t></w:r>
</w:p>
<w:p>
<w:pPr><w:pStyle w:val="Normal"/></w:pPr>
<w:r><w:t xml:space="preserve">until they are superseded by efficient flying machines. (See</w:t></w:r>
</w:p>
<w:p>
<w:pPr><w:pStyle w:val="Normal"/></w:pPr>
<w:r><w:t xml:space="preserve">further, as to the latter, the article FLIGHT AND FLYING.)</w:t></w:r>
</w:p>
<w:p>
<w:pPr><w:pStyle w:val="Normal"/></w:pPr>
<w:r><w:t xml:space="preserve">Practice of aerostation.</w:t></w:r>
</w:p>
<w:p>
<w:pPr><w:pStyle w:val="Normal"/></w:pPr>
<w:r><w:t xml:space="preserve">The chief danger attending ballooning lles in the descent; for</w:t></w:r>
</w:p>
<w:p>
<w:pPr><w:pStyle w:val="Normal"/></w:pPr>
<w:r><w:t xml:space="preserve">if a strong wind be blowing, the grapnel will sometimes trail</w:t></w:r>
</w:p>
<w:p>
<w:pPr><w:pStyle w:val="Normal"/></w:pPr>
<w:r><w:t xml:space="preserve">for miles over the ground at the rate of ten or twenty miles</w:t></w:r>
</w:p>
<w:p>
<w:pPr><w:pStyle w:val="Normal"/></w:pPr>
<w:r><w:t xml:space="preserve">an hour, catching now and then in hedges, ditches, roots of</w:t></w:r>
</w:p>
<w:p>
<w:pPr><w:pStyle w:val="Normal"/></w:pPr>
<w:r><w:t xml:space="preserve">trees, &amp;c.; and, after giving the balloon a terrible jerk,</w:t></w:r>
</w:p>
<w:p>
<w:pPr><w:pStyle w:val="Normal"/></w:pPr>
<w:r><w:t xml:space="preserve">breaking loose again, till at length some obstruction, such</w:t></w:r>
</w:p>
<w:p>
<w:pPr><w:pStyle w:val="Normal"/></w:pPr>
<w:r><w:t xml:space="preserve">as the wooded bank of a stream, affords a firm hold.  This</w:t></w:r>
</w:p>
<w:p>
<w:pPr><w:pStyle w:val="Normal"/></w:pPr>
<w:r><w:t xml:space="preserve">danger, however, has been much reduced by the use of the</w:t></w:r>
</w:p>
<w:p>
<w:pPr><w:pStyle w:val="Normal"/></w:pPr>
<w:r><w:t xml:space="preserve">``ripping-cord,&apos;&apos; which enables a panel to be ripped open and</w:t></w:r>
</w:p>
<w:p>
<w:pPr><w:pStyle w:val="Normal"/></w:pPr>
<w:r><w:t xml:space="preserve">the balloon to be completely deflated in a few seconds, just</w:t></w:r>
</w:p>
<w:p>
<w:pPr><w:pStyle w:val="Normal"/></w:pPr>
<w:r><w:t xml:space="preserve">as it is reaching the earth.  But even a very rough descent</w:t></w:r>
</w:p>
<w:p>
<w:pPr><w:pStyle w:val="Normal"/></w:pPr>
<w:r><w:t xml:space="preserve">is usually not productive of any very serious consequences;</w:t></w:r>
</w:p>
<w:p>
<w:pPr><w:pStyle w:val="Normal"/></w:pPr>
<w:r><w:t xml:space="preserve">as, although the occupants of the car generally receive many</w:t></w:r>
</w:p>
<w:p>
<w:pPr><w:pStyle w:val="Normal"/></w:pPr>
<w:r><w:t xml:space="preserve">bruises and are perhaps cut by the ropes, it rarely happens</w:t></w:r>
</w:p>
<w:p>
<w:pPr><w:pStyle w:val="Normal"/></w:pPr>
<w:r><w:t xml:space="preserve">that anything worse occurs.  On a day when the wind is light</w:t></w:r>
</w:p>
<w:p>
<w:pPr><w:pStyle w:val="Normal"/></w:pPr>
<w:r><w:t xml:space="preserve">(supposing that there is no want of ballast) nothing can be</w:t></w:r>
</w:p>
<w:p>
<w:pPr><w:pStyle w:val="Normal"/></w:pPr>
<w:r><w:t xml:space="preserve">easier than the descent, and the aeronaut can decide several</w:t></w:r>
</w:p>
<w:p>
<w:pPr><w:pStyle w:val="Normal"/></w:pPr>
<w:r><w:t xml:space="preserve">miles off on the field in which he will alight.  It is very</w:t></w:r>
</w:p>
<w:p>
<w:pPr><w:pStyle w:val="Normal"/></w:pPr>
<w:r><w:t xml:space="preserve">important to have a good supply of ballast, so as to be able</w:t></w:r>
</w:p>
<w:p>
<w:pPr><w:pStyle w:val="Normal"/></w:pPr>
<w:r><w:t xml:space="preserve">to check the rapidity of the descent, as in passing downwards</w:t></w:r>
</w:p>
<w:p>
<w:pPr><w:pStyle w:val="Normal"/></w:pPr>
<w:r><w:t xml:space="preserve">through a wet cloud the weight of the balloon is enormously</w:t></w:r>
</w:p>
<w:p>
<w:pPr><w:pStyle w:val="Normal"/></w:pPr>
<w:r><w:t xml:space="preserve">increased by the water deposited on it; and if there is no ballast</w:t></w:r>
</w:p>
<w:p>
<w:pPr><w:pStyle w:val="Normal"/></w:pPr>
<w:r><w:t xml:space="preserve">to throw out in compensation, the velocity is sometimes very</w:t></w:r>
</w:p>
<w:p>
<w:pPr><w:pStyle w:val="Normal"/></w:pPr>
<w:r><w:t xml:space="preserve">great.  It is also convenient, if the district upon which</w:t></w:r>
</w:p>
<w:p>
<w:pPr><w:pStyle w:val="Normal"/></w:pPr>
<w:r><w:t xml:space="preserve">the balloon is descending appear unsuitable for landing, to</w:t></w:r>
</w:p>
<w:p>
<w:pPr><w:pStyle w:val="Normal"/></w:pPr>
<w:r><w:t xml:space="preserve">be able to rise again.  The ballast consists of fine baked</w:t></w:r>
</w:p>
<w:p>
<w:pPr><w:pStyle w:val="Normal"/></w:pPr>
<w:r><w:t xml:space="preserve">sand, which becomes so scattered as to be inappreciable</w:t></w:r>
</w:p>
<w:p>
<w:pPr><w:pStyle w:val="Normal"/></w:pPr>
<w:r><w:t xml:space="preserve">before it has fallen far below the balloon.  It is taken</w:t></w:r>
</w:p>
<w:p>
<w:pPr><w:pStyle w:val="Normal"/></w:pPr>
<w:r><w:t xml:space="preserve">up in bags containing about  1/2 cwt. each.  The balloon at</w:t></w:r>
</w:p>
<w:p>
<w:pPr><w:pStyle w:val="Normal"/></w:pPr>
<w:r><w:t xml:space="preserve">starting is liberated by a spring catch which the aeronaut</w:t></w:r>
</w:p>
<w:p>
<w:pPr><w:pStyle w:val="Normal"/></w:pPr>
<w:r><w:t xml:space="preserve">releases, and the ballast should be so adjusted that there</w:t></w:r>
</w:p>
<w:p>
<w:pPr><w:pStyle w:val="Normal"/></w:pPr>
<w:r><w:t xml:space="preserve">is nearly equilibrium before leaving, else the rapidity of</w:t></w:r>
</w:p>
<w:p>
<w:pPr><w:pStyle w:val="Normal"/></w:pPr>
<w:r><w:t xml:space="preserve">ascent is too great, and has to be checked by parting with</w:t></w:r>
</w:p>
<w:p>
<w:pPr><w:pStyle w:val="Normal"/></w:pPr>
<w:r><w:t xml:space="preserve">gas.  It is almost impossible to liberate the balloon in such</w:t></w:r>
</w:p>
<w:p>
<w:pPr><w:pStyle w:val="Normal"/></w:pPr>
<w:r><w:t xml:space="preserve">a way as to avoid giving it a rotary motion about a vertical</w:t></w:r>
</w:p>
<w:p>
<w:pPr><w:pStyle w:val="Normal"/></w:pPr>
<w:r><w:t xml:space="preserve">axis, which continues during the whole time it is in the</w:t></w:r>
</w:p>
<w:p>
<w:pPr><w:pStyle w:val="Normal"/></w:pPr>
<w:r><w:t xml:space="preserve">air.  This rotation makes it difficult for those in the car to</w:t></w:r>
</w:p>
<w:p>
<w:pPr><w:pStyle w:val="Normal"/></w:pPr>
<w:r><w:t xml:space="preserve">discover in what direction they are moving; and it is only by</w:t></w:r>
</w:p>
<w:p>
<w:pPr><w:pStyle w:val="Normal"/></w:pPr>
<w:r><w:t xml:space="preserve">looking down along the rope to which the grapnel is suspended</w:t></w:r>
</w:p>
<w:p>
<w:pPr><w:pStyle w:val="Normal"/></w:pPr>
<w:r><w:t xml:space="preserve">that the motion of the balloon over the country below can be</w:t></w:r>
</w:p>
<w:p>
<w:pPr><w:pStyle w:val="Normal"/></w:pPr>
<w:r><w:t xml:space="preserve">traced.  The upward and downward motion at any instant is at once</w:t></w:r>
</w:p>
<w:p>
<w:pPr><w:pStyle w:val="Normal"/></w:pPr>
<w:r><w:t xml:space="preserve">known by merely dropping over the side of the car a small piece</w:t></w:r>
</w:p>
<w:p>
<w:pPr><w:pStyle w:val="Normal"/></w:pPr>
<w:r><w:t xml:space="preserve">of paper: if the paper ascends or remains on the same level or</w:t></w:r>
</w:p>
<w:p>
<w:pPr><w:pStyle w:val="Normal"/></w:pPr>
<w:r><w:t xml:space="preserve">stationary, the balloon is descending; while, if it descends,</w:t></w:r>
</w:p>
<w:p>
<w:pPr><w:pStyle w:val="Normal"/></w:pPr>
<w:r><w:t xml:space="preserve">the balloon is ascending.  This test is exceedingly delicate.</w:t></w:r>
</w:p>
<w:p>
<w:pPr><w:pStyle w:val="Normal"/></w:pPr>
<w:r><w:t xml:space="preserve">REPERENCES.--Tiberius Cavallo, Treatise on the Nature</w:t></w:r>
</w:p>
<w:p>
<w:pPr><w:pStyle w:val="Normal"/></w:pPr>
<w:r><w:t xml:space="preserve">and Properties of Air and other permanently Elastic Fluids</w:t></w:r>
</w:p>
<w:p>
<w:pPr><w:pStyle w:val="Normal"/></w:pPr>
<w:r><w:t xml:space="preserve">(London, 1781); Idem, History and Practice of Aerostation</w:t></w:r>
</w:p>
<w:p>
<w:pPr><w:pStyle w:val="Normal"/></w:pPr>
<w:r><w:t xml:space="preserve">(London, 1785); Vincent Lunardi, Account of the First Aerial,</w:t></w:r>
</w:p>
<w:p>
<w:pPr><w:pStyle w:val="Normal"/></w:pPr>
<w:r><w:t xml:space="preserve">Voyage in England, in a Series of letters to his Guardian</w:t></w:r>
</w:p>
<w:p>
<w:pPr><w:pStyle w:val="Normal"/></w:pPr>
<w:r><w:t xml:space="preserve">(London, 1785); T. Forster, Annals of some Remarkable aerial</w:t></w:r>
</w:p>
<w:p>
<w:pPr><w:pStyle w:val="Normal"/></w:pPr>
<w:r><w:t xml:space="preserve">and alpine Voyages (London, 1832); Monck Mason, Aeronautica</w:t></w:r>
</w:p>
<w:p>
<w:pPr><w:pStyle w:val="Normal"/></w:pPr>
<w:r><w:t xml:space="preserve">(London, 1908; John Wise, A System of Aeronautics,</w:t></w:r>
</w:p>
<w:p>
<w:pPr><w:pStyle w:val="Normal"/></w:pPr>
<w:r><w:t xml:space="preserve">comprehending its Earliest Investigations (Philadelphia,</w:t></w:r>
</w:p>
<w:p>
<w:pPr><w:pStyle w:val="Normal"/></w:pPr>
<w:r><w:t xml:space="preserve">1850); Hatton Tumor, Astra Castra, Experiments and Adventures</w:t></w:r>
</w:p>
<w:p>
<w:pPr><w:pStyle w:val="Normal"/></w:pPr>
<w:r><w:t xml:space="preserve">in the Atmosphere (London, 1863); J. Glaisher, C. Flammarion,</w:t></w:r>
</w:p>
<w:p>
<w:pPr><w:pStyle w:val="Normal"/></w:pPr>
<w:r><w:t xml:space="preserve">W. de Fonvielle and G. Tissandier, Voyages aeriens (Paris,</w:t></w:r>
</w:p>
<w:p>
<w:pPr><w:pStyle w:val="Normal"/></w:pPr>
<w:r><w:t xml:space="preserve">1870) (translated and edited by James Glaisher under the title</w:t></w:r>
</w:p>
<w:p>
<w:pPr><w:pStyle w:val="Normal"/></w:pPr>
<w:r><w:t xml:space="preserve">Travels in the Air (London, 1871); O. Chanute, Progress</w:t></w:r>
</w:p>
<w:p>
<w:pPr><w:pStyle w:val="Normal"/></w:pPr>
<w:r><w:t xml:space="preserve">in Flying Machines (New York, 1894); W. de Fonvielle, Les</w:t></w:r>
</w:p>
<w:p>
<w:pPr><w:pStyle w:val="Normal"/></w:pPr>
<w:r><w:t xml:space="preserve">Ballons sondes (Paris, 1899); Idem, Histoire de la navigation</w:t></w:r>
</w:p>
<w:p>
<w:pPr><w:pStyle w:val="Normal"/></w:pPr>
<w:r><w:t xml:space="preserve">aerienne (Paris, 1907); F. Walker, Aerial Navigation</w:t></w:r>
</w:p>
<w:p>
<w:pPr><w:pStyle w:val="Normal"/></w:pPr>
<w:r><w:t xml:space="preserve">(London, 1902); J. Lecornu, La Navigation aerienne (Paris,</w:t></w:r>
</w:p>
<w:p>
<w:pPr><w:pStyle w:val="Normal"/></w:pPr>
<w:r><w:t xml:space="preserve">1903); M. L. Marchis, Lecons sur la navigation aerienne</w:t></w:r>
</w:p>
<w:p>
<w:pPr><w:pStyle w:val="Normal"/></w:pPr>
<w:r><w:t xml:space="preserve">(Paris, 1904), containing many references to books and</w:t></w:r>
</w:p>
<w:p>
<w:pPr><w:pStyle w:val="Normal"/></w:pPr>
<w:r><w:t xml:space="preserve">periodicals on pp. 701-704; Navigating the Air (papers</w:t></w:r>
</w:p>
<w:p>
<w:pPr><w:pStyle w:val="Normal"/></w:pPr>
<w:r><w:t xml:space="preserve">collected by the Aero Club of America) (New York, 1907); A.</w:t></w:r>
</w:p>
<w:p>
<w:pPr><w:pStyle w:val="Normal"/></w:pPr>
<w:r><w:t xml:space="preserve">Hildebrandt, Airships past and present (London, 1908).</w:t></w:r>
</w:p>
<w:p>
<w:pPr><w:pStyle w:val="Normal"/></w:pPr>
<w:r><w:t xml:space="preserve">1 Mr Tytler contributed largely to, and, indeed,</w:t></w:r>
</w:p>
<w:p>
<w:pPr><w:pStyle w:val="Normal"/></w:pPr>
<w:r><w:t xml:space="preserve">appears to have been virtually editor of, the second</w:t></w:r>
</w:p>
<w:p>
<w:pPr><w:pStyle w:val="Normal"/></w:pPr>
<w:r><w:t xml:space="preserve">edition (1778-1783) of the Encyclopaedia Britannica.</w:t></w:r>
</w:p>
<w:p>
<w:pPr><w:pStyle w:val="Normal"/></w:pPr>
<w:r><w:t xml:space="preserve">AEROTHERAPEUTICS, the treatment of disease by atmospheric</w:t></w:r>
</w:p>
<w:p>
<w:pPr><w:pStyle w:val="Normal"/></w:pPr>
<w:r><w:t xml:space="preserve">air: a term which of late has come to be used somewhat more</w:t></w:r>
</w:p>
<w:p>
<w:pPr><w:pStyle w:val="Normal"/></w:pPr>
<w:r><w:t xml:space="preserve">loosely to include also pneumotherapeutics, or the treatment</w:t></w:r>
</w:p>
<w:p>
<w:pPr><w:pStyle w:val="Normal"/></w:pPr>
<w:r><w:t xml:space="preserve">of disease by artificially prepared atmospheres.  The physical</w:t></w:r>
</w:p>
<w:p>
<w:pPr><w:pStyle w:val="Normal"/></w:pPr>
<w:r><w:t xml:space="preserve">and chemical properties of atmospheric air, under ordinary</w:t></w:r>
</w:p>
<w:p>
<w:pPr><w:pStyle w:val="Normal"/></w:pPr>
<w:r><w:t xml:space="preserve">pressure or under modified pressure, may be therapeutically</w:t></w:r>
</w:p>
<w:p>
<w:pPr><w:pStyle w:val="Normal"/></w:pPr>
<w:r><w:t xml:space="preserve">utilized either on the external surface of the body, on the</w:t></w:r>
</w:p>
<w:p>
<w:pPr><w:pStyle w:val="Normal"/></w:pPr>
<w:r><w:t xml:space="preserve">respiratory surface, or on both surfaces together.  Also</w:t></w:r>
</w:p>
<w:p>
<w:pPr><w:pStyle w:val="Normal"/></w:pPr>
<w:r><w:t xml:space="preserve">modifications may be induced in the ventilation of the lungs by</w:t></w:r>
</w:p>
<w:p>
<w:pPr><w:pStyle w:val="Normal"/></w:pPr>
<w:r><w:t xml:space="preserve">general gymnastics or respiratory gymnastics.  The beneficial</w:t></w:r>
</w:p>
<w:p>
<w:pPr><w:pStyle w:val="Normal"/></w:pPr>
<w:r><w:t xml:space="preserve">effects of air under ordinary pressure are now utilized in</w:t></w:r>
</w:p>
<w:p>
<w:pPr><w:pStyle w:val="Normal"/></w:pPr>
<w:r><w:t xml:space="preserve">line open-air treatment of phthisical patients, and the main</w:t></w:r>
</w:p>
<w:p>
<w:pPr><w:pStyle w:val="Normal"/></w:pPr>
<w:r><w:t xml:space="preserve">indications of benefit resulting therefrom are reduction</w:t></w:r>
</w:p>
<w:p>
<w:pPr><w:pStyle w:val="Normal"/></w:pPr>
<w:r><w:t xml:space="preserve">of the fever, improvement of appetite and the induction of</w:t></w:r>
</w:p>
<w:p>
<w:pPr><w:pStyle w:val="Normal"/></w:pPr>
<w:r><w:t xml:space="preserve">sleep.  The air, however, may be modified in composition or in</w:t></w:r>
</w:p>
<w:p>
<w:pPr><w:pStyle w:val="Normal"/></w:pPr>
<w:r><w:t xml:space="preserve">temperature.  Inhalation is the most common and successful</w:t></w:r>
</w:p>
<w:p>
<w:pPr><w:pStyle w:val="Normal"/></w:pPr>
<w:r><w:t xml:space="preserve">method of applying it--when modified in composition--to the human</w:t></w:r>
</w:p>
<w:p>
<w:pPr><w:pStyle w:val="Normal"/></w:pPr>
<w:r><w:t xml:space="preserve">body.  The methods in use are as follows: (1) Inhalation</w:t></w:r>
</w:p>
<w:p>
<w:pPr><w:pStyle w:val="Normal"/></w:pPr>
<w:r><w:t xml:space="preserve">of gases, as oxygen and nitrous oxide.  The dyspnoea and</w:t></w:r>
</w:p>
<w:p>
<w:pPr><w:pStyle w:val="Normal"/></w:pPr>
<w:r><w:t xml:space="preserve">cyanosis of pneumonia, capillary bronchitis, heart failure,</w:t></w:r>
</w:p>
<w:p>
<w:pPr><w:pStyle w:val="Normal"/></w:pPr>
<w:r><w:t xml:space="preserve">&amp;c., are much relieved by the inhalation of oxygen; and</w:t></w:r>
</w:p>
<w:p>
<w:pPr><w:pStyle w:val="Normal"/></w:pPr>
<w:r><w:t xml:space="preserve">nitrous oxide is largely used as an anaesthetic in minor</w:t></w:r>
</w:p>
<w:p>
<w:pPr><w:pStyle w:val="Normal"/></w:pPr>
<w:r><w:t xml:space="preserve">operations; (2) Certain liquids are used as anaesthetics,</w:t></w:r>
</w:p>
<w:p>
<w:pPr><w:pStyle w:val="Normal"/></w:pPr>
<w:r><w:t xml:space="preserve">which volatilize at low temperatures, as chloroform and</w:t></w:r>
</w:p>
<w:p>
<w:pPr><w:pStyle w:val="Normal"/></w:pPr>
<w:r><w:t xml:space="preserve">ether. (3) Mercury and sulphur, both of which require heat for</w:t></w:r>
</w:p>
<w:p>
<w:pPr><w:pStyle w:val="Normal"/></w:pPr>
<w:r><w:t xml:space="preserve">volatilization, are very largely used.  In a mercurial or</w:t></w:r>
</w:p>
<w:p>
<w:pPr><w:pStyle w:val="Normal"/></w:pPr>
<w:r><w:t xml:space="preserve">sulphur bath, the patient, enveloped in a sheet, sits on a</w:t></w:r>
</w:p>
<w:p>
<w:pPr><w:pStyle w:val="Normal"/></w:pPr>
<w:r><w:t xml:space="preserve">chair beneath which a spirit lamp is placed to vaporize the</w:t></w:r>
</w:p>
<w:p>
<w:pPr><w:pStyle w:val="Normal"/></w:pPr>
<w:r><w:t xml:space="preserve">drug, the best resuits being obtained when the atmosphere is</w:t></w:r>
</w:p>
<w:p>
<w:pPr><w:pStyle w:val="Normal"/></w:pPr>
<w:r><w:t xml:space="preserve">surcharged with steam at the same time.  The vapour envelops</w:t></w:r>
</w:p>
<w:p>
<w:pPr><w:pStyle w:val="Normal"/></w:pPr>
<w:r><w:t xml:space="preserve">the patient and is absorbed by the skin.  This method is</w:t></w:r>
</w:p>
<w:p>
<w:pPr><w:pStyle w:val="Normal"/></w:pPr>
<w:r><w:t xml:space="preserve">extensively used in the treatment of syphilis, and also for</w:t></w:r>
</w:p>
<w:p>
<w:pPr><w:pStyle w:val="Normal"/></w:pPr>
<w:r><w:t xml:space="preserve">scabies and other parasitic affections of the skin. (4) Moist</w:t></w:r>
</w:p>
<w:p>
<w:pPr><w:pStyle w:val="Normal"/></w:pPr>
<w:r><w:t xml:space="preserve">inhalations are rather losing repute in the light of modern</w:t></w:r>
</w:p>
<w:p>
<w:pPr><w:pStyle w:val="Normal"/></w:pPr>
<w:r><w:t xml:space="preserve">investigations, which tend to show that nothing lower</w:t></w:r>
</w:p>
<w:p>
<w:pPr><w:pStyle w:val="Normal"/></w:pPr>
<w:r><w:t xml:space="preserve">than the larger bronchial tubes is affected.  Complicated</w:t></w:r>
</w:p>
<w:p>
<w:pPr><w:pStyle w:val="Normal"/></w:pPr>
<w:r><w:t xml:space="preserve">apparatus has been devised for the application, although</w:t></w:r>
</w:p>
<w:p>
<w:pPr><w:pStyle w:val="Normal"/></w:pPr>
<w:r><w:t xml:space="preserve">a wide-mouthed jug filled with boiling water, into</w:t></w:r>
</w:p>
<w:p>
<w:pPr><w:pStyle w:val="Normal"/></w:pPr>
<w:r><w:t xml:space="preserve">which the drug is thrown, is almost equally efficacious.</w:t></w:r>
</w:p>
<w:p>
<w:pPr><w:pStyle w:val="Normal"/></w:pPr>
<w:r><w:t xml:space="preserve">Artificial atmospheres may be made for invalids by</w:t></w:r>
</w:p>
<w:p>
<w:pPr><w:pStyle w:val="Normal"/></w:pPr>
<w:r><w:t xml:space="preserve">respirators which cover the mouth and nose, the air being</w:t></w:r>
</w:p>
<w:p>
<w:pPr><w:pStyle w:val="Normal"/></w:pPr>
<w:r><w:t xml:space="preserve">drawn through tow or sponge, on which is sprinkled the</w:t></w:r>
</w:p>
<w:p>
<w:pPr><w:pStyle w:val="Normal"/></w:pPr>
<w:r><w:t xml:space="preserve">disinfectant to be used.  This is most valuable in the</w:t></w:r>
</w:p>
<w:p>
<w:pPr><w:pStyle w:val="Normal"/></w:pPr>
<w:r><w:t xml:space="preserve">intensely offensive breath of some cases of bronchiectasis.</w:t></w:r>
</w:p>
<w:p>
<w:pPr><w:pStyle w:val="Normal"/></w:pPr>
<w:r><w:t xml:space="preserve">The air may be modified as to temperature.  Cold air at</w:t></w:r>
</w:p>
<w:p>
<w:pPr><w:pStyle w:val="Normal"/></w:pPr>
<w:r><w:t xml:space="preserve">32--33 deg.  F. has been used in chronic catarrhal conditions of</w:t></w:r>
</w:p>
<w:p>
<w:pPr><w:pStyle w:val="Normal"/></w:pPr>
<w:r><w:t xml:space="preserve">the lungs, with the result that cough diminishes, the pulse</w:t></w:r>
</w:p>
<w:p>
<w:pPr><w:pStyle w:val="Normal"/></w:pPr>
<w:r><w:t xml:space="preserve">becomes fuller and slower and the general condition improves.</w:t></w:r>
</w:p>
<w:p>
<w:pPr><w:pStyle w:val="Normal"/></w:pPr>
<w:r><w:t xml:space="preserve">The more recent observations of Pasquale di Tullio go far to</w:t></w:r>
</w:p>
<w:p>
<w:pPr><w:pStyle w:val="Normal"/></w:pPr>
<w:r><w:t xml:space="preserve">show that this may be immensely valuable in the treatment of</w:t></w:r>
</w:p>
<w:p>
<w:pPr><w:pStyle w:val="Normal"/></w:pPr>
<w:r><w:t xml:space="preserve">haemoptysis.  The inspiration of superheated dry air has been the</w:t></w:r>
</w:p>
<w:p>
<w:pPr><w:pStyle w:val="Normal"/></w:pPr>
<w:r><w:t xml:space="preserve">subject of much investigation, but with very doubtful results.</w:t></w:r>
</w:p>
<w:p>
<w:pPr><w:pStyle w:val="Normal"/></w:pPr>
<w:r><w:t xml:space="preserve">Hot air applied to the skin is more noteworthy in its</w:t></w:r>
</w:p>
<w:p>
<w:pPr><w:pStyle w:val="Normal"/></w:pPr>
<w:r><w:t xml:space="preserve">therapeutic effects.  If a current of hot air is directed</w:t></w:r>
</w:p>
<w:p>
<w:pPr><w:pStyle w:val="Normal"/></w:pPr>
<w:r><w:t xml:space="preserve">upon healthy skin, the latter becomes pale and contracts</w:t></w:r>
</w:p>
<w:p>
<w:pPr><w:pStyle w:val="Normal"/></w:pPr>
<w:r><w:t xml:space="preserve">in consequence of vaso-constriction.  But if it is directed</w:t></w:r>
</w:p>
<w:p>
<w:pPr><w:pStyle w:val="Normal"/></w:pPr>
<w:r><w:t xml:space="preserve">on a patch of diseased skin, as in lupus, an inflammatory</w:t></w:r>
</w:p>
<w:p>
<w:pPr><w:pStyle w:val="Normal"/></w:pPr>
<w:r><w:t xml:space="preserve">reaction is set up and the diseased part begins to undergo</w:t></w:r>
</w:p>
<w:p>
<w:pPr><w:pStyle w:val="Normal"/></w:pPr>
<w:r><w:t xml:space="preserve">necrosis.  This fact has been used with good results in lupus,</w:t></w:r>
</w:p>
<w:p>
<w:pPr><w:pStyle w:val="Normal"/></w:pPr>
<w:r><w:t xml:space="preserve">otorrhoea, rhinitis and other nasal and laryngeal troubles.</w:t></w:r>
</w:p>
<w:p>
<w:pPr><w:pStyle w:val="Normal"/></w:pPr>
<w:r><w:t xml:space="preserve">Lastly the air may be either compressed or rarefied.  The</w:t></w:r>
</w:p>
<w:p>
<w:pPr><w:pStyle w:val="Normal"/></w:pPr>
<w:r><w:t xml:space="preserve">physiological effects of compressed air were first studied in</w:t></w:r>
</w:p>
<w:p>
<w:pPr><w:pStyle w:val="Normal"/></w:pPr>
<w:r><w:t xml:space="preserve">diving-bells, and more recently in caissons.  Caisson workers</w:t></w:r>
</w:p>
<w:p>
<w:pPr><w:pStyle w:val="Normal"/></w:pPr>
<w:r><w:t xml:space="preserve">at first enjoy increased strength, vigour and appetite; later,</w:t></w:r>
</w:p>
<w:p>
<w:pPr><w:pStyle w:val="Normal"/></w:pPr>
<w:r><w:t xml:space="preserve">however, the opposite effect is produced and intenbe debility</w:t></w:r>
</w:p>
<w:p>
<w:pPr><w:pStyle w:val="Normal"/></w:pPr>
<w:r><w:t xml:space="preserve">supervenes.  In addition, caisson workers suffer from a series</w:t></w:r>
</w:p>
<w:p>
<w:pPr><w:pStyle w:val="Normal"/></w:pPr>
<w:r><w:t xml:space="preserve">of troubles which are known as accidents of decompression. (See</w:t></w:r>
</w:p>
<w:p>
<w:pPr><w:pStyle w:val="Normal"/></w:pPr>
<w:r><w:t xml:space="preserve">CAISSON DISEASE.) But, therapeutically, compressed air has</w:t></w:r>
</w:p>
<w:p>
<w:pPr><w:pStyle w:val="Normal"/></w:pPr>
<w:r><w:t xml:space="preserve">been utilized by means of pneumatic chambers large enough to</w:t></w:r>
</w:p>
<w:p>
<w:pPr><w:pStyle w:val="Normal"/></w:pPr>
<w:r><w:t xml:space="preserve">hold one or more adults at the time, in which the pressure of</w:t></w:r>
</w:p>
<w:p>
<w:pPr><w:pStyle w:val="Normal"/></w:pPr>
<w:r><w:t xml:space="preserve">the atmosphere can be exactly regulated.  This form of treatment</w:t></w:r>
</w:p>
<w:p>
<w:pPr><w:pStyle w:val="Normal"/></w:pPr>
<w:r><w:t xml:space="preserve">has been found of much value in the treatment of emphysema, early</w:t></w:r>
</w:p>
<w:p>
<w:pPr><w:pStyle w:val="Normal"/></w:pPr>
<w:r><w:t xml:space="preserve">pulmonary tuberculosis (not in the presence of persistent high</w:t></w:r>
</w:p>
<w:p>
<w:pPr><w:pStyle w:val="Normal"/></w:pPr>
<w:r><w:t xml:space="preserve">temperature, haemorrhage, softening or suppuration), delayed</w:t></w:r>
</w:p>
<w:p>
<w:pPr><w:pStyle w:val="Normal"/></w:pPr>
<w:r><w:t xml:space="preserve">absorption of pleural effusions, heart disease, anaemia and</w:t></w:r>
</w:p>
<w:p>
<w:pPr><w:pStyle w:val="Normal"/></w:pPr>
<w:r><w:t xml:space="preserve">chlorosis.  But compressed air is contra-indicated in advanced</w:t></w:r>
</w:p>
<w:p>
<w:pPr><w:pStyle w:val="Normal"/></w:pPr>
<w:r><w:t xml:space="preserve">tubercle, fever, and in diseases of kidneys, liver or intestines.</w:t></w:r>
</w:p>
<w:p>
<w:pPr><w:pStyle w:val="Normal"/></w:pPr>
<w:r><w:t xml:space="preserve">Rarefied air was used as long ago as 1835, by V. T. Junod,</w:t></w:r>
</w:p>
<w:p>
<w:pPr><w:pStyle w:val="Normal"/></w:pPr>
<w:r><w:t xml:space="preserve">who utilized it for local application by inventing the Junod</w:t></w:r>
</w:p>
<w:p>
<w:pPr><w:pStyle w:val="Normal"/></w:pPr>
<w:r><w:t xml:space="preserve">Boot.  By means of this the blood could be drawn into any</w:t></w:r>
</w:p>
<w:p>
<w:pPr><w:pStyle w:val="Heading1"/></w:pPr>
<w:r><w:t>part to which it was applied, the vessels of which became</w:t></w:r>
</w:p>
<w:p>
<w:pPr><w:pStyle w:val="Normal"/></w:pPr>
<w:r><w:t xml:space="preserve">gorged with blood at the expense of internal organs.  More</w:t></w:r>
</w:p>
<w:p>
<w:pPr><w:pStyle w:val="Normal"/></w:pPr>
<w:r><w:t xml:space="preserve">recently this method of treatment has undergone far-reaching</w:t></w:r>
</w:p>
<w:p>
<w:pPr><w:pStyle w:val="Normal"/></w:pPr>
<w:r><w:t xml:space="preserve">developments and is known as the passive hyperaemic treatment.</w:t></w:r>
</w:p>
<w:p>
<w:pPr><w:pStyle w:val="Normal"/></w:pPr>
<w:r><w:t xml:space="preserve">There are also various forms of apparatus by means of which</w:t></w:r>
</w:p>
<w:p>
<w:pPr><w:pStyle w:val="Normal"/></w:pPr>
<w:r><w:t xml:space="preserve">air at greater or lesser pressures may be drawn into the</w:t></w:r>
</w:p>
<w:p>
<w:pPr><w:pStyle w:val="Normal"/></w:pPr>
<w:r><w:t xml:space="preserve">lungs, and for the performance of lung gymnastics of various</w:t></w:r>
</w:p>
<w:p>
<w:pPr><w:pStyle w:val="Normal"/></w:pPr>
<w:r><w:t xml:space="preserve">kinds.  Mr Ketchum of the United States has invented one which</w:t></w:r>
</w:p>
<w:p>
<w:pPr><w:pStyle w:val="Normal"/></w:pPr>
<w:r><w:t xml:space="preserve">is much used.  A committee of the Brompton Hospital, London,</w:t></w:r>
</w:p>
<w:p>
<w:pPr><w:pStyle w:val="Normal"/></w:pPr>
<w:r><w:t xml:space="preserve">investigating its capabilities, decided that its use brought</w:t></w:r>
</w:p>
<w:p>
<w:pPr><w:pStyle w:val="Normal"/></w:pPr>
<w:r><w:t xml:space="preserve">about (1) an increase of chest circumference, and (2) in cases</w:t></w:r>
</w:p>
<w:p>
<w:pPr><w:pStyle w:val="Normal"/></w:pPr>
<w:r><w:t xml:space="preserve">of consolidation of the lung a diminution in the area of dulness.</w:t></w:r>
</w:p>
<w:p>
<w:pPr><w:pStyle w:val="Normal"/></w:pPr>
<w:r><w:t xml:space="preserve">AERTSZEN (or AARTSEN), PIETER (1507-1573), called</w:t></w:r>
</w:p>
<w:p>
<w:pPr><w:pStyle w:val="Normal"/></w:pPr>
<w:r><w:t xml:space="preserve">``Long Peter&apos;&apos; on account of his height, Dutch historical</w:t></w:r>
</w:p>
<w:p>
<w:pPr><w:pStyle w:val="Normal"/></w:pPr>
<w:r><w:t xml:space="preserve">painter, was born and died at Amsterdam.  When a youth he</w:t></w:r>
</w:p>
<w:p>
<w:pPr><w:pStyle w:val="Normal"/></w:pPr>
<w:r><w:t xml:space="preserve">distinguished himself by painting homely scenes, in which he</w:t></w:r>
</w:p>
<w:p>
<w:pPr><w:pStyle w:val="Normal"/></w:pPr>
<w:r><w:t xml:space="preserve">reproduced articles of furniture, cooking utensils, &amp;c., with</w:t></w:r>
</w:p>
<w:p>
<w:pPr><w:pStyle w:val="Normal"/></w:pPr>
<w:r><w:t xml:space="preserve">marvellous fidelity, but he afterwards cultivated historical</w:t></w:r>
</w:p>
<w:p>
<w:pPr><w:pStyle w:val="Normal"/></w:pPr>
<w:r><w:t xml:space="preserve">painting.  Several of his best works---altar-pieces in</w:t></w:r>
</w:p>
<w:p>
<w:pPr><w:pStyle w:val="Normal"/></w:pPr>
<w:r><w:t xml:space="preserve">various churches---were destroyed in the religious wars of the</w:t></w:r>
</w:p>
<w:p>
<w:pPr><w:pStyle w:val="Normal"/></w:pPr>
<w:r><w:t xml:space="preserve">Netherlands.  An excellent specimen of his style on a small</w:t></w:r>
</w:p>
<w:p>
<w:pPr><w:pStyle w:val="Normal"/></w:pPr>
<w:r><w:t xml:space="preserve">scale, a picture of the crucifixion, may be seen in the Antwerp</w:t></w:r>
</w:p>
<w:p>
<w:pPr><w:pStyle w:val="Normal"/></w:pPr>
<w:r><w:t xml:space="preserve">Museum.  Aertszen was a member of the Academy of St Luke,</w:t></w:r>
</w:p>
<w:p>
<w:pPr><w:pStyle w:val="Normal"/></w:pPr>
<w:r><w:t xml:space="preserve">in whose books he is entered as Langhe Peter, schilder.</w:t></w:r>
</w:p>
<w:p>
<w:pPr><w:pStyle w:val="Normal"/></w:pPr>
<w:r><w:t xml:space="preserve">Three of his sons attained to some note as painters.</w:t></w:r>
</w:p>
<w:p>
<w:pPr><w:pStyle w:val="Normal"/></w:pPr>
<w:r><w:t xml:space="preserve">AESCHINES (389-314 B.C.), Greek statesman and orator, was</w:t></w:r>
</w:p>
<w:p>
<w:pPr><w:pStyle w:val="Normal"/></w:pPr>
<w:r><w:t xml:space="preserve">born at Athens.  The statements as to his parentage and early</w:t></w:r>
</w:p>
<w:p>
<w:pPr><w:pStyle w:val="Normal"/></w:pPr>
<w:r><w:t xml:space="preserve">life are conflicting; but it seems probable that his parents,</w:t></w:r>
</w:p>
<w:p>
<w:pPr><w:pStyle w:val="Normal"/></w:pPr>
<w:r><w:t xml:space="preserve">though poor, were respectable.  After assisting his father</w:t></w:r>
</w:p>
<w:p>
<w:pPr><w:pStyle w:val="Normal"/></w:pPr>
<w:r><w:t xml:space="preserve">in his school, he tried his hand at acting with indifferent</w:t></w:r>
</w:p>
<w:p>
<w:pPr><w:pStyle w:val="Normal"/></w:pPr>
<w:r><w:t xml:space="preserve">success, served with distinction in the army, and held</w:t></w:r>
</w:p>
<w:p>
<w:pPr><w:pStyle w:val="Normal"/></w:pPr>
<w:r><w:t xml:space="preserve">several clerkships, amongst them the office of clerk to the</w:t></w:r>
</w:p>
<w:p>
<w:pPr><w:pStyle w:val="Normal"/></w:pPr>
<w:r><w:t xml:space="preserve">Boule.  The fall of Olynthus (348) brought Aeschines into the</w:t></w:r>
</w:p>
<w:p>
<w:pPr><w:pStyle w:val="Normal"/></w:pPr>
<w:r><w:t xml:space="preserve">political arena, and he was sent on an embassy to rouse the</w:t></w:r>
</w:p>
<w:p>
<w:pPr><w:pStyle w:val="Normal"/></w:pPr>
<w:r><w:t xml:space="preserve">Peloponnesus against Philip.  In 347 he was a member of the</w:t></w:r>
</w:p>
<w:p>
<w:pPr><w:pStyle w:val="Normal"/></w:pPr>
<w:r><w:t xml:space="preserve">peace embassy to Philip of Macedon, who seems to have won him</w:t></w:r>
</w:p>
<w:p>
<w:pPr><w:pStyle w:val="Normal"/></w:pPr>
<w:r><w:t xml:space="preserve">over entirely to his side.  His dilatoriness during the second</w:t></w:r>
</w:p>
<w:p>
<w:pPr><w:pStyle w:val="Normal"/></w:pPr>
<w:r><w:t xml:space="preserve">embassy (346) sent to ratify the terms of peace led to his</w:t></w:r>
</w:p>
<w:p>
<w:pPr><w:pStyle w:val="Normal"/></w:pPr>
<w:r><w:t xml:space="preserve">accusation by Demosthenes and Timarchus on a charge of high</w:t></w:r>
</w:p>
<w:p>
<w:pPr><w:pStyle w:val="Normal"/></w:pPr>
<w:r><w:t xml:space="preserve">treason, but he was acquitted as the result of a powerful</w:t></w:r>
</w:p>
<w:p>
<w:pPr><w:pStyle w:val="Normal"/></w:pPr>
<w:r><w:t xml:space="preserve">speech, in which he showed that his accuser Timarchus had, by</w:t></w:r>
</w:p>
<w:p>
<w:pPr><w:pStyle w:val="Normal"/></w:pPr>
<w:r><w:t xml:space="preserve">his immoral conduct, forfeited the right to speak before the</w:t></w:r>
</w:p>
<w:p>
<w:pPr><w:pStyle w:val="Normal"/></w:pPr>
<w:r><w:t xml:space="preserve">people.  In 343 the attack was renewed by Demosthenes in his</w:t></w:r>
</w:p>
<w:p>
<w:pPr><w:pStyle w:val="Normal"/></w:pPr>
<w:r><w:t xml:space="preserve">speech On the False Embassy; Aeschines replied in a speech</w:t></w:r>
</w:p>
<w:p>
<w:pPr><w:pStyle w:val="Normal"/></w:pPr>
<w:r><w:t xml:space="preserve">with the same title and was again acquitted.  In 339, as one</w:t></w:r>
</w:p>
<w:p>
<w:pPr><w:pStyle w:val="Normal"/></w:pPr>
<w:r><w:t xml:space="preserve">of the Athenian deputies (pylagorae) in the Amphictyonic</w:t></w:r>
</w:p>
<w:p>
<w:pPr><w:pStyle w:val="Normal"/></w:pPr>
<w:r><w:t xml:space="preserve">Council, he made a speech which brought about the Sacred</w:t></w:r>
</w:p>
<w:p>
<w:pPr><w:pStyle w:val="Normal"/></w:pPr>
<w:r><w:t xml:space="preserve">War. By way of revenge, Aeschines endeavoured to fix the</w:t></w:r>
</w:p>
<w:p>
<w:pPr><w:pStyle w:val="Normal"/></w:pPr>
<w:r><w:t xml:space="preserve">blame for these disasters upon Demosthenes.  In 336, when</w:t></w:r>
</w:p>
<w:p>
<w:pPr><w:pStyle w:val="Normal"/></w:pPr>
<w:r><w:t xml:space="preserve">Ctesiphon proposed that his friend Demosthenes should be</w:t></w:r>
</w:p>
<w:p>
<w:pPr><w:pStyle w:val="Normal"/></w:pPr>
<w:r><w:t xml:space="preserve">rewarded with a golden crown for his distinguished services</w:t></w:r>
</w:p>
<w:p>
<w:pPr><w:pStyle w:val="Normal"/></w:pPr>
<w:r><w:t xml:space="preserve">to the state, he was accused by Aeschines of having violated</w:t></w:r>
</w:p>
<w:p>
<w:pPr><w:pStyle w:val="Normal"/></w:pPr>
<w:r><w:t xml:space="preserve">the law in bringing forward the motion.  The matter remained</w:t></w:r>
</w:p>
<w:p>
<w:pPr><w:pStyle w:val="Normal"/></w:pPr>
<w:r><w:t xml:space="preserve">in abeyance till 330, when the two rivals delivered their</w:t></w:r>
</w:p>
<w:p>
<w:pPr><w:pStyle w:val="Normal"/></w:pPr>
<w:r><w:t xml:space="preserve">speeches Against Ctesiphon and on the crown. The result</w:t></w:r>
</w:p>
<w:p>
<w:pPr><w:pStyle w:val="Normal"/></w:pPr>
<w:r><w:t xml:space="preserve">was a complete victory for Demosthenes.  Aeschines went</w:t></w:r>
</w:p>
<w:p>
<w:pPr><w:pStyle w:val="Normal"/></w:pPr>
<w:r><w:t xml:space="preserve">into voluntary exile at Rhodes, where he opened a school of</w:t></w:r>
</w:p>
<w:p>
<w:pPr><w:pStyle w:val="Normal"/></w:pPr>
<w:r><w:t xml:space="preserve">rhetoric.  He afterwards removed to Samos, where he died in</w:t></w:r>
</w:p>
<w:p>
<w:pPr><w:pStyle w:val="Normal"/></w:pPr>
<w:r><w:t xml:space="preserve">the seventy-fifth year of his age.  His three speeches, called</w:t></w:r>
</w:p>
<w:p>
<w:pPr><w:pStyle w:val="Normal"/></w:pPr>
<w:r><w:t xml:space="preserve">by the ancients ``the Three Graces,&apos;&apos; rank next to those of</w:t></w:r>
</w:p>
<w:p>
<w:pPr><w:pStyle w:val="Normal"/></w:pPr>
<w:r><w:t xml:space="preserve">Demosthenes.  Photius knew of nine letters by him which</w:t></w:r>
</w:p>
<w:p>
<w:pPr><w:pStyle w:val="Normal"/></w:pPr>
<w:r><w:t xml:space="preserve">he called the Nine Muses; the twelve published under his</w:t></w:r>
</w:p>
<w:p>
<w:pPr><w:pStyle w:val="Normal"/></w:pPr>
<w:r><w:t xml:space="preserve">name (Hercher, Epistolographi Graeci) are not genuine.</w:t></w:r>
</w:p>
<w:p>
<w:pPr><w:pStyle w:val="Normal"/></w:pPr>
<w:r><w:t xml:space="preserve">ANCIENT AUTHORITIES.---Demosthenes, De Corona and De</w:t></w:r>
</w:p>
<w:p>
<w:pPr><w:pStyle w:val="Normal"/></w:pPr>
<w:r><w:t xml:space="preserve">Falsa Legatione; Aeschines, De Falsa Legatione and</w:t></w:r>
</w:p>
<w:p>
<w:pPr><w:pStyle w:val="Normal"/></w:pPr>
<w:r><w:t xml:space="preserve">In Ctesiphontem; Lives by Plutarch, Philostratus and</w:t></w:r>
</w:p>
<w:p>
<w:pPr><w:pStyle w:val="Normal"/></w:pPr>
<w:r><w:t xml:space="preserve">Libanius; the Exegesis of Apollonius. EDITIONS.--Benseler</w:t></w:r>
</w:p>
<w:p>
<w:pPr><w:pStyle w:val="Normal"/></w:pPr>
<w:r><w:t xml:space="preserve">(1855-1860) (trans. and notes), Weidner (1872), Blass (1896);</w:t></w:r>
</w:p>
<w:p>
<w:pPr><w:pStyle w:val="Normal"/></w:pPr>
<w:r><w:t xml:space="preserve">Against Ctesiphon, Weidner (1872, 1878), G.A.and W.H.</w:t></w:r>
</w:p>
<w:p>
<w:pPr><w:pStyle w:val="Normal"/></w:pPr>
<w:r><w:t xml:space="preserve">Simcox (1866), Drake (1872), Richardson(1889), Gwatkin and</w:t></w:r>
</w:p>
<w:p>
<w:pPr><w:pStyle w:val="Normal"/></w:pPr>
<w:r><w:t xml:space="preserve">Shuckburgh (1890). ENGLISH TRANSLATIONS.--Leland (1771).</w:t></w:r>
</w:p>
<w:p>
<w:pPr><w:pStyle w:val="Normal"/></w:pPr>
<w:r><w:t xml:space="preserve">Biddle (1881), and others.  See also Stechow, Aeschinis</w:t></w:r>
</w:p>
<w:p>
<w:pPr><w:pStyle w:val="Normal"/></w:pPr>
<w:r><w:t xml:space="preserve">Oratoris vita (1841); Marchand, Charakteristik des Redners</w:t></w:r>
</w:p>
<w:p>
<w:pPr><w:pStyle w:val="Normal"/></w:pPr>
<w:r><w:t xml:space="preserve">Aschines (1876): Castets, Eschine, l&apos;Orateur (1875);</w:t></w:r>
</w:p>
<w:p>
<w:pPr><w:pStyle w:val="Normal"/></w:pPr>
<w:r><w:t xml:space="preserve">for the political problems see histories of Greece, esp.  A.</w:t></w:r>
</w:p>
<w:p>
<w:pPr><w:pStyle w:val="Normal"/></w:pPr>
<w:r><w:t xml:space="preserve">Holm, vol. iii. (Eng. trans., 1896); A. Schofer, Demosth.</w:t></w:r>
</w:p>
<w:p>
<w:pPr><w:pStyle w:val="Normal"/></w:pPr>
<w:r><w:t xml:space="preserve">und seine Zeit (Leipzig, 1856-1858); also DEMOSTHENES.</w:t></w:r>
</w:p>
<w:p>
<w:pPr><w:pStyle w:val="Normal"/></w:pPr>
<w:r><w:t xml:space="preserve">AESCHINES (5th century B.C.), an Athenian philosopher.</w:t></w:r>
</w:p>
<w:p>
<w:pPr><w:pStyle w:val="Normal"/></w:pPr>
<w:r><w:t xml:space="preserve">According to some accounts he was the son of a sausage-maker,</w:t></w:r>
</w:p>
<w:p>
<w:pPr><w:pStyle w:val="Normal"/></w:pPr>
<w:r><w:t xml:space="preserve">but others say that his father was Lysanias (Diog.  Laert. ii.</w:t></w:r>
</w:p>
<w:p>
<w:pPr><w:pStyle w:val="Normal"/></w:pPr>
<w:r><w:t xml:space="preserve">60; Suidas, q.v..) He was an intimate friend of Socrates,</w:t></w:r>
</w:p>
<w:p>
<w:pPr><w:pStyle w:val="Normal"/></w:pPr>
<w:r><w:t xml:space="preserve">who is reported to have said that the sausage-maker&apos;s son</w:t></w:r>
</w:p>
<w:p>
<w:pPr><w:pStyle w:val="Normal"/></w:pPr>
<w:r><w:t xml:space="preserve">alone knew how to honour him.  Diogenes Laertius preserves</w:t></w:r>
</w:p>
<w:p>
<w:pPr><w:pStyle w:val="Normal"/></w:pPr>
<w:r><w:t xml:space="preserve">a tradition that it was he, not Crito, who offered to help</w:t></w:r>
</w:p>
<w:p>
<w:pPr><w:pStyle w:val="Normal"/></w:pPr>
<w:r><w:t xml:space="preserve">Socrates to escape from prison.  He was always a poor man, and</w:t></w:r>
</w:p>
<w:p>
<w:pPr><w:pStyle w:val="Normal"/></w:pPr>
<w:r><w:t xml:space="preserve">Socrates advised him ``to borrow from himself, by diminishing</w:t></w:r>
</w:p>
<w:p>
<w:pPr><w:pStyle w:val="Normal"/></w:pPr>
<w:r><w:t xml:space="preserve">his expenditure.&apos;&apos; He started a perfumery shop in Athens on</w:t></w:r>
</w:p>
<w:p>
<w:pPr><w:pStyle w:val="Normal"/></w:pPr>
<w:r><w:t xml:space="preserve">borrowed capital, became bankrupt and retired to the Syracusan</w:t></w:r>
</w:p>
<w:p>
<w:pPr><w:pStyle w:val="Normal"/></w:pPr>
<w:r><w:t xml:space="preserve">court, where he was well received by Aristippus.  According to</w:t></w:r>
</w:p>
<w:p>
<w:pPr><w:pStyle w:val="Normal"/></w:pPr>
<w:r><w:t xml:space="preserve">Diog.  Laert. (ii. 61), Plato, then at Syracuse, pointedly</w:t></w:r>
</w:p>
<w:p>
<w:pPr><w:pStyle w:val="Normal"/></w:pPr>
<w:r><w:t xml:space="preserve">ignored Aeschines, but this does not agree with Plutarch, De</w:t></w:r>
</w:p>
<w:p>
<w:pPr><w:pStyle w:val="Normal"/></w:pPr>
<w:r><w:t xml:space="preserve">adulatore et amico (c. 26). On the expulsion of the younger</w:t></w:r>
</w:p>
<w:p>
<w:pPr><w:pStyle w:val="Normal"/></w:pPr>
<w:r><w:t xml:space="preserve">Dionysius, he returned to Athens, and, finding it impossible</w:t></w:r>
</w:p>
<w:p>
<w:pPr><w:pStyle w:val="Normal"/></w:pPr>
<w:r><w:t xml:space="preserve">to profess philosophy publicly owing to the contempt of Plato</w:t></w:r>
</w:p>
<w:p>
<w:pPr><w:pStyle w:val="Normal"/></w:pPr>
<w:r><w:t xml:space="preserve">and Aristoue, was Compelled to teach privately.  He wrote also</w:t></w:r>
</w:p>
<w:p>
<w:pPr><w:pStyle w:val="Normal"/></w:pPr>
<w:r><w:t xml:space="preserve">forensic speeches; Phrynichus, in Photius, ranks him amongst</w:t></w:r>
</w:p>
<w:p>
<w:pPr><w:pStyle w:val="Normal"/></w:pPr>
<w:r><w:t xml:space="preserve">the best orators, and mentions his orations as the standard</w:t></w:r>
</w:p>
<w:p>
<w:pPr><w:pStyle w:val="Normal"/></w:pPr>
<w:r><w:t xml:space="preserve">of the pure Attic style.  Hermogenes also spoke highly of him</w:t></w:r>
</w:p>
<w:p>
<w:pPr><w:pStyle w:val="Normal"/></w:pPr>
<w:r><w:t xml:space="preserve">(Peri ideon.) He wrote several philosophical dialogues:</w:t></w:r>
</w:p>
<w:p>
<w:pPr><w:pStyle w:val="Normal"/></w:pPr>
<w:r><w:t xml:space="preserve">(1) Concerning virtue, whether it can be taught; (2)</w:t></w:r>
</w:p>
<w:p>
<w:pPr><w:pStyle w:val="Normal"/></w:pPr>
<w:r><w:t xml:space="preserve">Eryxias, or Erasistratust concerning riches, whether they</w:t></w:r>
</w:p>
<w:p>
<w:pPr><w:pStyle w:val="Normal"/></w:pPr>
<w:r><w:t xml:space="preserve">are good; (3) Axiochus: concerning death, whether it is</w:t></w:r>
</w:p>
<w:p>
<w:pPr><w:pStyle w:val="Normal"/></w:pPr>
<w:r><w:t xml:space="preserve">to be feared,--but those extant on the several subjects</w:t></w:r>
</w:p>
<w:p>
<w:pPr><w:pStyle w:val="Normal"/></w:pPr>
<w:r><w:t xml:space="preserve">are not genuine remains.  J. le Clerc has given a Latin</w:t></w:r>
</w:p>
<w:p>
<w:pPr><w:pStyle w:val="Normal"/></w:pPr>
<w:r><w:t xml:space="preserve">translation of them, with notes and several dissertations,</w:t></w:r>
</w:p>
<w:p>
<w:pPr><w:pStyle w:val="Normal"/></w:pPr>
<w:r><w:t xml:space="preserve">entitled Silvae Philologicae, and they have been edited</w:t></w:r>
</w:p>
<w:p>
<w:pPr><w:pStyle w:val="Normal"/></w:pPr>
<w:r><w:t xml:space="preserve">by S. N. Fischer (Leipzig, 1786), and K. F. Hermann, De</w:t></w:r>
</w:p>
<w:p>
<w:pPr><w:pStyle w:val="Normal"/></w:pPr>
<w:r><w:t xml:space="preserve">Aeschin.  Socrat. relig. (Gott. 1850).  The genuine dialogues</w:t></w:r>
</w:p>
<w:p>
<w:pPr><w:pStyle w:val="Normal"/></w:pPr>
<w:r><w:t xml:space="preserve">appear to have been marked by the Socratic irony; an amusing</w:t></w:r>
</w:p>
<w:p>
<w:pPr><w:pStyle w:val="Normal"/></w:pPr>
<w:r><w:t xml:space="preserve">passage is quoted by Cicero in the De inventione (i. 31).</w:t></w:r>
</w:p>
<w:p>
<w:pPr><w:pStyle w:val="Normal"/></w:pPr>
<w:r><w:t xml:space="preserve">See Hirzel, Der Dialog. i. 129-140; T. Gomperz, Greek Thinkers,</w:t></w:r>
</w:p>
<w:p>
<w:pPr><w:pStyle w:val="Normal"/></w:pPr>
<w:r><w:t xml:space="preserve">vol. iii. p. 342 (Eng. trans.  G. G. Berry, London, 1905).</w:t></w:r>
</w:p>
<w:p>
<w:pPr><w:pStyle w:val="Normal"/></w:pPr>
<w:r><w:t xml:space="preserve">AESCHYLUS (525-456 B.C.), Greek poet, the first of the</w:t></w:r>
</w:p>
<w:p>
<w:pPr><w:pStyle w:val="Normal"/></w:pPr>
<w:r><w:t xml:space="preserve">only three Attic Tragedians of whose work entire plays survive,</w:t></w:r>
</w:p>
<w:p>
<w:pPr><w:pStyle w:val="Normal"/></w:pPr>
<w:r><w:t xml:space="preserve">and in a very real sense (as we shall see) the founder of</w:t></w:r>
</w:p>
<w:p>
<w:pPr><w:pStyle w:val="Normal"/></w:pPr>
<w:r><w:t xml:space="preserve">the Greek drama, was born at Eleusis in the year 525 B.C.</w:t></w:r>
</w:p>
<w:p>
<w:pPr><w:pStyle w:val="Normal"/></w:pPr>
<w:r><w:t xml:space="preserve">Life.</w:t></w:r>
</w:p>
<w:p>
<w:pPr><w:pStyle w:val="Normal"/></w:pPr>
<w:r><w:t xml:space="preserve">His father, Euphorion, belonged to the ``Eupatridae&apos;&apos; or old</w:t></w:r>
</w:p>
<w:p>
<w:pPr><w:pStyle w:val="Normal"/></w:pPr>
<w:r><w:t xml:space="preserve">nobility of Athens, as we know on the authority of the short</w:t></w:r>
</w:p>
<w:p>
<w:pPr><w:pStyle w:val="Normal"/></w:pPr>
<w:r><w:t xml:space="preserve">Life of the poet given in the Medicean Manuscript (see</w:t></w:r>
</w:p>
<w:p>
<w:pPr><w:pStyle w:val="Normal"/></w:pPr>
<w:r><w:t xml:space="preserve">note on ``authorities&apos;&apos; at the end).  According to the same</w:t></w:r>
</w:p>
<w:p>
<w:pPr><w:pStyle w:val="Normal"/></w:pPr>
<w:r><w:t xml:space="preserve">tradition he took part as a soldier in the great struggle</w:t></w:r>
</w:p>
<w:p>
<w:pPr><w:pStyle w:val="Normal"/></w:pPr>
<w:r><w:t xml:space="preserve">of Greece against Persia; and was present at the battles of</w:t></w:r>
</w:p>
<w:p>
<w:pPr><w:pStyle w:val="Normal"/></w:pPr>
<w:r><w:t xml:space="preserve">Marathon, Artemisium, Salamis and Plataea, in the years</w:t></w:r>
</w:p>
<w:p>
<w:pPr><w:pStyle w:val="Normal"/></w:pPr>
<w:r><w:t xml:space="preserve">490-479.  At least one of his brothers, Cynaegirus, fought with</w:t></w:r>
</w:p>
<w:p>
<w:pPr><w:pStyle w:val="Normal"/></w:pPr>
<w:r><w:t xml:space="preserve">him at Marathon, and was killed in attempting a conspicuous act</w:t></w:r>
</w:p>
<w:p>
<w:pPr><w:pStyle w:val="Normal"/></w:pPr>
<w:r><w:t xml:space="preserve">of bravery; and the brothers&apos; portraits found a place in the</w:t></w:r>
</w:p>
<w:p>
<w:pPr><w:pStyle w:val="Normal"/></w:pPr>
<w:r><w:t xml:space="preserve">national picture of the battle which the Athenians set up as a</w:t></w:r>
</w:p>
<w:p>
<w:pPr><w:pStyle w:val="Normal"/></w:pPr>
<w:r><w:t xml:space="preserve">memorial in the Stoa Poecile (or ``Pictured Porch&apos;&apos;) at Athens.</w:t></w:r>
</w:p>
<w:p>
<w:pPr><w:pStyle w:val="Normal"/></w:pPr>
<w:r><w:t xml:space="preserve">The vigour and loftiness of tone which mark Aeschylus&apos;</w:t></w:r>
</w:p>
<w:p>
<w:pPr><w:pStyle w:val="Normal"/></w:pPr>
<w:r><w:t xml:space="preserve">poetic work was not only due, we may be sure, to his native</w:t></w:r>
</w:p>
<w:p>
<w:pPr><w:pStyle w:val="Normal"/></w:pPr>
<w:r><w:t xml:space="preserve">genius and gifts, powerful as they were, but were partly</w:t></w:r>
</w:p>
<w:p>
<w:pPr><w:pStyle w:val="Normal"/></w:pPr>
<w:r><w:t xml:space="preserve">inspired by the personal share he took in the great actions</w:t></w:r>
</w:p>
<w:p>
<w:pPr><w:pStyle w:val="Normal"/></w:pPr>
<w:r><w:t xml:space="preserve">of a heroic national uprising.  In the same way, the poet&apos;s</w:t></w:r>
</w:p>
<w:p>
<w:pPr><w:pStyle w:val="Normal"/></w:pPr>
<w:r><w:t xml:space="preserve">brooding thoughtfulness on deep questions---the power of the</w:t></w:r>
</w:p>
<w:p>
<w:pPr><w:pStyle w:val="Normal"/></w:pPr>
<w:r><w:t xml:space="preserve">gods, their dealings with man, the dark mysteries of fate,</w:t></w:r>
</w:p>
<w:p>
<w:pPr><w:pStyle w:val="Normal"/></w:pPr>
<w:r><w:t xml:space="preserve">the future life in Hades--though largely due to his turn of</w:t></w:r>
</w:p>
<w:p>
<w:pPr><w:pStyle w:val="Normal"/></w:pPr>
<w:r><w:t xml:space="preserve">mind and temperament, was doubtless connected with the place</w:t></w:r>
</w:p>
<w:p>
<w:pPr><w:pStyle w:val="Normal"/></w:pPr>
<w:r><w:t xml:space="preserve">where his childhood was passed.  Eleusis was the centre of</w:t></w:r>
</w:p>
<w:p>
<w:pPr><w:pStyle w:val="Normal"/></w:pPr>
<w:r><w:t xml:space="preserve">the most famous worship of Demeter, with its processions, its</w:t></w:r>
</w:p>
<w:p>
<w:pPr><w:pStyle w:val="Normal"/></w:pPr>
<w:r><w:t xml:space="preserve">ceremonies, its mysteries, its impressive spectacles and</w:t></w:r>
</w:p>
<w:p>
<w:pPr><w:pStyle w:val="Normal"/></w:pPr>
<w:r><w:t xml:space="preserve">nocturnal rites; and these were intimately connected with</w:t></w:r>
</w:p>
<w:p>
<w:pPr><w:pStyle w:val="Normal"/></w:pPr>
<w:r><w:t xml:space="preserve">the Greek beliefs about the human soul, and the underworld.</w:t></w:r>
</w:p>
<w:p>
<w:pPr><w:pStyle w:val="Normal"/></w:pPr>
<w:r><w:t xml:space="preserve">His dramatic career began early, and was continued for more</w:t></w:r>
</w:p>
<w:p>
<w:pPr><w:pStyle w:val="Normal"/></w:pPr>
<w:r><w:t xml:space="preserve">than forty years.  In 499, his 26th year, he first exhibited</w:t></w:r>
</w:p>
<w:p>
<w:pPr><w:pStyle w:val="Normal"/></w:pPr>
<w:r><w:t xml:space="preserve">at Athens; and his last work, acted during his lifetime at</w:t></w:r>
</w:p>
<w:p>
<w:pPr><w:pStyle w:val="Normal"/></w:pPr>
<w:r><w:t xml:space="preserve">Athens, was the trilogy of the Oresteia, exhibited in 458.</w:t></w:r>
</w:p>
<w:p>
<w:pPr><w:pStyle w:val="Normal"/></w:pPr>
<w:r><w:t xml:space="preserve">The total number of his plays is stated by Suidas to have</w:t></w:r>
</w:p>
<w:p>
<w:pPr><w:pStyle w:val="Normal"/></w:pPr>
<w:r><w:t xml:space="preserve">been ninety; and the seven extant plays, with the dramas named</w:t></w:r>
</w:p>
<w:p>
<w:pPr><w:pStyle w:val="Normal"/></w:pPr>
<w:r><w:t xml:space="preserve">or nameable which survive only in fragments, amount to over</w:t></w:r>
</w:p>
<w:p>
<w:pPr><w:pStyle w:val="Normal"/></w:pPr>
<w:r><w:t xml:space="preserve">eighty, so that Suidas&apos; figure is probably based on reliable</w:t></w:r>
</w:p>
<w:p>
<w:pPr><w:pStyle w:val="Normal"/></w:pPr>
<w:r><w:t xml:space="preserve">tradition.  It is well known that in the 5th century each</w:t></w:r>
</w:p>
<w:p>
<w:pPr><w:pStyle w:val="Normal"/></w:pPr>
<w:r><w:t xml:space="preserve">exhibitor at the tragic contests produced four plays; and</w:t></w:r>
</w:p>
<w:p>
<w:pPr><w:pStyle w:val="Normal"/></w:pPr>
<w:r><w:t xml:space="preserve">Aeschylus must therefore have competed (between 499 and 458)</w:t></w:r>
</w:p>
<w:p>
<w:pPr><w:pStyle w:val="Normal"/></w:pPr>
<w:r><w:t xml:space="preserve">more than twenty times, or once in two years.  His first</w:t></w:r>
</w:p>
<w:p>
<w:pPr><w:pStyle w:val="Normal"/></w:pPr>
<w:r><w:t xml:space="preserve">victory is recorded in 484, fifteen years after his earliest</w:t></w:r>
</w:p>
<w:p>
<w:pPr><w:pStyle w:val="Normal"/></w:pPr>
<w:r><w:t xml:space="preserve">appearance on the stage; but in the remaining twenty-six</w:t></w:r>
</w:p>
<w:p>
<w:pPr><w:pStyle w:val="Normal"/></w:pPr>
<w:r><w:t xml:space="preserve">years of his dramatic activity at Athens he was successful</w:t></w:r>
</w:p>
<w:p>
<w:pPr><w:pStyle w:val="Normal"/></w:pPr>
<w:r><w:t xml:space="preserve">at least twelve times.  This clearly shows that he was the</w:t></w:r>
</w:p>
<w:p>
<w:pPr><w:pStyle w:val="Normal"/></w:pPr>
<w:r><w:t xml:space="preserve">most commanding figure among the tragedians of 500-458; and</w:t></w:r>
</w:p>
<w:p>
<w:pPr><w:pStyle w:val="Normal"/></w:pPr>
<w:r><w:t xml:space="preserve">for more than half that time was usually the victor in the</w:t></w:r>
</w:p>
<w:p>
<w:pPr><w:pStyle w:val="Normal"/></w:pPr>
<w:r><w:t xml:space="preserve">contests.  Perhaps the most striking evidence of his exceptional</w:t></w:r>
</w:p>
<w:p>
<w:pPr><w:pStyle w:val="Normal"/></w:pPr>
<w:r><w:t xml:space="preserve">position among his contemporaries is the well-known decree</w:t></w:r>
</w:p>
<w:p>
<w:pPr><w:pStyle w:val="Normal"/></w:pPr>
<w:r><w:t xml:space="preserve">passed shortly after his death that whosoever desired to</w:t></w:r>
</w:p>
<w:p>
<w:pPr><w:pStyle w:val="Normal"/></w:pPr>
<w:r><w:t xml:space="preserve">exhibit a play of Aeschylus should ``receive a chorus,&apos;&apos;</w:t></w:r>
</w:p>
<w:p>
<w:pPr><w:pStyle w:val="Normal"/></w:pPr>
<w:r><w:t xml:space="preserve">i.e. be officially allowed to produce the drama at the</w:t></w:r>
</w:p>
<w:p>
<w:pPr><w:pStyle w:val="Normal"/></w:pPr>
<w:r><w:t xml:space="preserve">Dionysia.  The existence of this decree, mentioned in the</w:t></w:r>
</w:p>
<w:p>
<w:pPr><w:pStyle w:val="Normal"/></w:pPr>
<w:r><w:t xml:space="preserve">Life, is strongly confirmed by two passages in Aristophanes:</w:t></w:r>
</w:p>
<w:p>
<w:pPr><w:pStyle w:val="Normal"/></w:pPr>
<w:r><w:t xml:space="preserve">first in the prologue of the Acharnians (which was acted</w:t></w:r>
</w:p>
<w:p>
<w:pPr><w:pStyle w:val="Normal"/></w:pPr>
<w:r><w:t xml:space="preserve">in 425, thirty-one years after the poet&apos;s death), where the</w:t></w:r>
</w:p>
<w:p>
<w:pPr><w:pStyle w:val="Normal"/></w:pPr>
<w:r><w:t xml:space="preserve">citizen, grumbling about his griefs and troubles, relates his</w:t></w:r>
</w:p>
<w:p>
<w:pPr><w:pStyle w:val="Normal"/></w:pPr>
<w:r><w:t xml:space="preserve">great disappointment, when he took his seat in the theatre</w:t></w:r>
</w:p>
<w:p>
<w:pPr><w:pStyle w:val="Normal"/></w:pPr>
<w:r><w:t xml:space="preserve">``expecting Aeschylus,&apos;&apos; to find that when the play came</w:t></w:r>
</w:p>
<w:p>
<w:pPr><w:pStyle w:val="Normal"/></w:pPr>
<w:r><w:t xml:space="preserve">on it was Theognis; and secondly in a scene of the Frogs</w:t></w:r>
</w:p>
<w:p>
<w:pPr><w:pStyle w:val="Normal"/></w:pPr>
<w:r><w:t xml:space="preserve">(acted 405 B.C.), where the throne of poetry is contested</w:t></w:r>
</w:p>
<w:p>
<w:pPr><w:pStyle w:val="Normal"/></w:pPr>
<w:r><w:t xml:space="preserve">in Hades between Aeschylus and Euripides, the former complains</w:t></w:r>
</w:p>
<w:p>
<w:pPr><w:pStyle w:val="Normal"/></w:pPr>
<w:r><w:t xml:space="preserve">(Fr. 860) that ``the battle is not fair, because my own</w:t></w:r>
</w:p>
<w:p>
<w:pPr><w:pStyle w:val="Normal"/></w:pPr>
<w:r><w:t xml:space="preserve">poetry has not died with me, while Euripides&apos; has died, and</w:t></w:r>
</w:p>
<w:p>
<w:pPr><w:pStyle w:val="Normal"/></w:pPr>
<w:r><w:t xml:space="preserve">therefore he will have it with him to recite&apos;&apos;-a clear</w:t></w:r>
</w:p>
<w:p>
<w:pPr><w:pStyle w:val="Normal"/></w:pPr>
<w:r><w:t xml:space="preserve">reference, as the scholiast points out, to the continued</w:t></w:r>
</w:p>
<w:p>
<w:pPr><w:pStyle w:val="Normal"/></w:pPr>
<w:r><w:t xml:space="preserve">production at Athens of Aeschylus&apos; plays after his death.</w:t></w:r>
</w:p>
<w:p>
<w:pPr><w:pStyle w:val="Normal"/></w:pPr>
<w:r><w:t xml:space="preserve">Apart from fables, guesses and blunders, of which a word is</w:t></w:r>
</w:p>
<w:p>
<w:pPr><w:pStyle w:val="Normal"/></w:pPr>
<w:r><w:t xml:space="preserve">said below, the only other incidents recorded of the poet&apos;s</w:t></w:r>
</w:p>
<w:p>
<w:pPr><w:pStyle w:val="Normal"/></w:pPr>
<w:r><w:t xml:space="preserve">life that deserve mention are connected with his Sicilian</w:t></w:r>
</w:p>
<w:p>
<w:pPr><w:pStyle w:val="Normal"/></w:pPr>
<w:r><w:t xml:space="preserve">visits, and the charge preferred against him of revealing</w:t></w:r>
</w:p>
<w:p>
<w:pPr><w:pStyle w:val="Normal"/></w:pPr>
<w:r><w:t xml:space="preserve">the ``secrets of Demeter.&apos;&apos; This tale is briefly mentioned</w:t></w:r>
</w:p>
<w:p>
<w:pPr><w:pStyle w:val="Normal"/></w:pPr>
<w:r><w:t xml:space="preserve">by Aristotle (Eth. iii. 2), and a late commentator</w:t></w:r>
</w:p>
<w:p>
<w:pPr><w:pStyle w:val="Normal"/></w:pPr>
<w:r><w:t xml:space="preserve">(Eustratius, 12th century) quotes from one Heraclides</w:t></w:r>
</w:p>
<w:p>
<w:pPr><w:pStyle w:val="Normal"/></w:pPr>
<w:r><w:t xml:space="preserve">Pontius the version which may be briefly given as follows:--</w:t></w:r>
</w:p>
<w:p>
<w:pPr><w:pStyle w:val="Normal"/></w:pPr>
<w:r><w:t xml:space="preserve">The poet was acting a part in one of his own plays, where there</w:t></w:r>
</w:p>
<w:p>
<w:pPr><w:pStyle w:val="Normal"/></w:pPr>
<w:r><w:t xml:space="preserve">was a reference to Demeter.  The audience suspected him of</w:t></w:r>
</w:p>
<w:p>
<w:pPr><w:pStyle w:val="Normal"/></w:pPr>
<w:r><w:t xml:space="preserve">revealing the inviolable secrets, and rose in fury; the poet</w:t></w:r>
</w:p>
<w:p>
<w:pPr><w:pStyle w:val="Normal"/></w:pPr>
<w:r><w:t xml:space="preserve">fled to the altar of Dionysus in the orchestra and so saved</w:t></w:r>
</w:p>
<w:p>
<w:pPr><w:pStyle w:val="Normal"/></w:pPr>
<w:r><w:t xml:space="preserve">his life for the moment; for even an angry Athenian crowd</w:t></w:r>
</w:p>
<w:p>
<w:pPr><w:pStyle w:val="Normal"/></w:pPr>
<w:r><w:t xml:space="preserve">respected the inviolable sanctuary.  He was afterwards charged</w:t></w:r>
</w:p>
<w:p>
<w:pPr><w:pStyle w:val="Normal"/></w:pPr>
<w:r><w:t xml:space="preserve">with the crime before the Areopagus; and his plea ``that he</w:t></w:r>
</w:p>
<w:p>
<w:pPr><w:pStyle w:val="Normal"/></w:pPr>
<w:r><w:t xml:space="preserve">did not know that what he said was secret&apos;&apos; was accepted by</w:t></w:r>
</w:p>
<w:p>
<w:pPr><w:pStyle w:val="Normal"/></w:pPr>
<w:r><w:t xml:space="preserve">the court and secured his acquittal.  The commentator adds</w:t></w:r>
</w:p>
<w:p>
<w:pPr><w:pStyle w:val="Normal"/></w:pPr>
<w:r><w:t xml:space="preserve">that the prowess of the poet (and his brother) at Marathon was</w:t></w:r>
</w:p>
<w:p>
<w:pPr><w:pStyle w:val="Normal"/></w:pPr>
<w:r><w:t xml:space="preserve">the real cause of the leniency of his judges.  The story was</w:t></w:r>
</w:p>
<w:p>
<w:pPr><w:pStyle w:val="Normal"/></w:pPr>
<w:r><w:t xml:space="preserve">afterwards developed, and embellished by additions; but in the</w:t></w:r>
</w:p>
<w:p>
<w:pPr><w:pStyle w:val="Normal"/></w:pPr>
<w:r><w:t xml:space="preserve">above shape it dates back to the 4th century; and as the main</w:t></w:r>
</w:p>
<w:p>
<w:pPr><w:pStyle w:val="Normal"/></w:pPr>
<w:r><w:t xml:space="preserve">fact seems accepted by Aristotle, it is probably authentic.</w:t></w:r>
</w:p>
<w:p>
<w:pPr><w:pStyle w:val="Normal"/></w:pPr>
<w:r><w:t xml:space="preserve">As to his foreign travel, the suggestion has been made that</w:t></w:r>
</w:p>
<w:p>
<w:pPr><w:pStyle w:val="Normal"/></w:pPr>
<w:r><w:t xml:space="preserve">certain descriptions in the Persae, and the known facts</w:t></w:r>
</w:p>
<w:p>
<w:pPr><w:pStyle w:val="Normal"/></w:pPr>
<w:r><w:t xml:space="preserve">that he wrote a trilogy on the story of the Thracian king</w:t></w:r>
</w:p>
<w:p>
<w:pPr><w:pStyle w:val="Normal"/></w:pPr>
<w:r><w:t xml:space="preserve">Lycurgus, persecutor of Dionysus, seem to point to his</w:t></w:r>
</w:p>
<w:p>
<w:pPr><w:pStyle w:val="Normal"/></w:pPr>
<w:r><w:t xml:space="preserve">having a special knowledge of Thrace, which makes it likely</w:t></w:r>
</w:p>
<w:p>
<w:pPr><w:pStyle w:val="Normal"/></w:pPr>
<w:r><w:t xml:space="preserve">that he had visited it.  This, however, remains at best a</w:t></w:r>
</w:p>
<w:p>
<w:pPr><w:pStyle w:val="Normal"/></w:pPr>
<w:r><w:t xml:space="preserve">conjecture.  For his repeated visits to Sicily, on the other</w:t></w:r>
</w:p>
<w:p>
<w:pPr><w:pStyle w:val="Normal"/></w:pPr>
<w:r><w:t xml:space="preserve">hand, there is conclusive ancient evidence.  Hiero the First,</w:t></w:r>
</w:p>
<w:p>
<w:pPr><w:pStyle w:val="Normal"/></w:pPr>
<w:r><w:t xml:space="preserve">tyrant of Syracuse, who reigned about twelve years (478-467),</w:t></w:r>
</w:p>
<w:p>
<w:pPr><w:pStyle w:val="Normal"/></w:pPr>
<w:r><w:t xml:space="preserve">and amongst other efforts after magnificence invited to his</w:t></w:r>
</w:p>
<w:p>
<w:pPr><w:pStyle w:val="Normal"/></w:pPr>
<w:r><w:t xml:space="preserve">court famous poets and men of letters, had founded a new town,</w:t></w:r>
</w:p>
<w:p>
<w:pPr><w:pStyle w:val="Normal"/></w:pPr>
<w:r><w:t xml:space="preserve">Aetna, on the site of Catana which he captured, expelling the</w:t></w:r>
</w:p>
<w:p>
<w:pPr><w:pStyle w:val="Normal"/></w:pPr>
<w:r><w:t xml:space="preserve">inhabitants.  Among his guests were Aeschylus, Pindar,</w:t></w:r>
</w:p>
<w:p>
<w:pPr><w:pStyle w:val="Normal"/></w:pPr>
<w:r><w:t xml:space="preserve">Bacchylides and Simonides.  About 476 Aeschylus was entertained</w:t></w:r>
</w:p>
<w:p>
<w:pPr><w:pStyle w:val="Normal"/></w:pPr>
<w:r><w:t xml:space="preserve">by him, and at his request wrote and exhibited a play called</w:t></w:r>
</w:p>
<w:p>
<w:pPr><w:pStyle w:val="Normal"/></w:pPr>
<w:r><w:t xml:space="preserve">The Women of Aetna in honour of the new town.  He paid a</w:t></w:r>
</w:p>
<w:p>
<w:pPr><w:pStyle w:val="Normal"/></w:pPr>
<w:r><w:t xml:space="preserve">second visit about 472, the year in which he had produced the</w:t></w:r>
</w:p>
<w:p>
<w:pPr><w:pStyle w:val="Normal"/></w:pPr>
<w:r><w:t xml:space="preserve">Persae at Athens; and the play is said to have been repeated</w:t></w:r>
</w:p>
<w:p>
<w:pPr><w:pStyle w:val="Normal"/></w:pPr>
<w:r><w:t xml:space="preserve">at Syracuse at his patron&apos;s request.  Hiero died in 467, the</w:t></w:r>
</w:p>
<w:p>
<w:pPr><w:pStyle w:val="Normal"/></w:pPr>
<w:r><w:t xml:space="preserve">year of the Seven against Thebes; but after 458, when the</w:t></w:r>
</w:p>
<w:p>
<w:pPr><w:pStyle w:val="Normal"/></w:pPr>
<w:r><w:t xml:space="preserve">Oresteia was exhibited at Athens, we find the poet again</w:t></w:r>
</w:p>
<w:p>
<w:pPr><w:pStyle w:val="Normal"/></w:pPr>
<w:r><w:t xml:space="preserve">in Sicily for the last time.  In 456 he died, and was buried</w:t></w:r>
</w:p>
<w:p>
<w:pPr><w:pStyle w:val="Normal"/></w:pPr>
<w:r><w:t xml:space="preserve">at Gela; and on his tomb was placed an epitaph in two elegiac</w:t></w:r>
</w:p>
<w:p>
<w:pPr><w:pStyle w:val="Normal"/></w:pPr>
<w:r><w:t xml:space="preserve">couplets saying: ``Beneath this stone lies Aeschylus, son of</w:t></w:r>
</w:p>
<w:p>
<w:pPr><w:pStyle w:val="Normal"/></w:pPr>
<w:r><w:t xml:space="preserve">Euphorion, the Athenian, who perished in the wheat-bearing</w:t></w:r>
</w:p>
<w:p>
<w:pPr><w:pStyle w:val="Normal"/></w:pPr>
<w:r><w:t xml:space="preserve">land of Gela; of his noble prowess the grove of Marathon can</w:t></w:r>
</w:p>
<w:p>
<w:pPr><w:pStyle w:val="Normal"/></w:pPr>
<w:r><w:t xml:space="preserve">speak, or the long-haired Persian who knows it well.&apos;&apos; The</w:t></w:r>
</w:p>
<w:p>
<w:pPr><w:pStyle w:val="Normal"/></w:pPr>
<w:r><w:t xml:space="preserve">authorship of this epitaph is uncertain, as the Life says</w:t></w:r>
</w:p>
<w:p>
<w:pPr><w:pStyle w:val="Normal"/></w:pPr>
<w:r><w:t xml:space="preserve">it was inscribed on his grave by the people of Gela, while</w:t></w:r>
</w:p>
<w:p>
<w:pPr><w:pStyle w:val="Normal"/></w:pPr>
<w:r><w:t xml:space="preserve">Athenaeus and Pausanias attribute it to Aeschylus.  Probably</w:t></w:r>
</w:p>
<w:p>
<w:pPr><w:pStyle w:val="Normal"/></w:pPr>
<w:r><w:t xml:space="preserve">most people would agree that only the poet himself could</w:t></w:r>
</w:p>
<w:p>
<w:pPr><w:pStyle w:val="Normal"/></w:pPr>
<w:r><w:t xml:space="preserve">have praised the soldier and kept silence about the poetry.</w:t></w:r>
</w:p>
<w:p>
<w:pPr><w:pStyle w:val="Normal"/></w:pPr>
<w:r><w:t xml:space="preserve">Of the marvellous traditions which gathered round his name</w:t></w:r>
</w:p>
<w:p>
<w:pPr><w:pStyle w:val="Normal"/></w:pPr>
<w:r><w:t xml:space="preserve">little need be said.  Pausanias&apos; tale, how Dionysus appeared</w:t></w:r>
</w:p>
<w:p>
<w:pPr><w:pStyle w:val="Normal"/></w:pPr>
<w:r><w:t xml:space="preserve">to the poet when a boy, asleep in his father&apos;s vineyard, and</w:t></w:r>
</w:p>
<w:p>
<w:pPr><w:pStyle w:val="Normal"/></w:pPr>
<w:r><w:t xml:space="preserve">bade him write a tragedy---or the account in the Life, how</w:t></w:r>
</w:p>
<w:p>
<w:pPr><w:pStyle w:val="Normal"/></w:pPr>
<w:r><w:t xml:space="preserve">he was killed by an eagle letting fall on his head a tortoise</w:t></w:r>
</w:p>
<w:p>
<w:pPr><w:pStyle w:val="Normal"/></w:pPr>
<w:r><w:t xml:space="preserve">whose shell the bird was unable to crack---clearly belong to</w:t></w:r>
</w:p>
<w:p>
<w:pPr><w:pStyle w:val="Normal"/></w:pPr>
<w:r><w:t xml:space="preserve">the same class of legends as the story that Plato was son of</w:t></w:r>
</w:p>
<w:p>
<w:pPr><w:pStyle w:val="Normal"/></w:pPr>
<w:r><w:t xml:space="preserve">Apollo, and that a swarm of bees settled upon his infant</w:t></w:r>
</w:p>
<w:p>
<w:pPr><w:pStyle w:val="Normal"/></w:pPr>
<w:r><w:t xml:space="preserve">lips as he lay in his mother&apos;s arms.  Less supernatural,</w:t></w:r>
</w:p>
<w:p>
<w:pPr><w:pStyle w:val="Normal"/></w:pPr>
<w:r><w:t xml:space="preserve">but hardly more historical, is the statement in the Life</w:t></w:r>
</w:p>
<w:p>
<w:pPr><w:pStyle w:val="Normal"/></w:pPr>
<w:r><w:t xml:space="preserve">that the poet left Athens for Sicily in consequence of his</w:t></w:r>
</w:p>
<w:p>
<w:pPr><w:pStyle w:val="Normal"/></w:pPr>
<w:r><w:t xml:space="preserve">defeat in the dramatic contest of 468 by Sophocles; or the</w:t></w:r>
</w:p>
<w:p>
<w:pPr><w:pStyle w:val="Normal"/></w:pPr>
<w:r><w:t xml:space="preserve">alternative story of the same authority that the cause of</w:t></w:r>
</w:p>
<w:p>
<w:pPr><w:pStyle w:val="Normal"/></w:pPr>
<w:r><w:t xml:space="preserve">his chagrin was that Simonides&apos; elegy on the heroes slain at</w:t></w:r>
</w:p>
<w:p>
<w:pPr><w:pStyle w:val="Normal"/></w:pPr>
<w:r><w:t xml:space="preserve">Marathon was preferred to his own.  Apart from the inherent</w:t></w:r>
</w:p>
<w:p>
<w:pPr><w:pStyle w:val="Normal"/></w:pPr>
<w:r><w:t xml:space="preserve">improbability of such pettiness in such a man, neither story</w:t></w:r>
</w:p>
<w:p>
<w:pPr><w:pStyle w:val="Normal"/></w:pPr>
<w:r><w:t xml:space="preserve">fits the facts; for in 467, the next year after Sophocles&apos;</w:t></w:r>
</w:p>
<w:p>
<w:pPr><w:pStyle w:val="Normal"/></w:pPr>
<w:r><w:t xml:space="preserve">success, we know that Aeschylus won the prize of tragedy with</w:t></w:r>
</w:p>
<w:p>
<w:pPr><w:pStyle w:val="Normal"/></w:pPr>
<w:r><w:t xml:space="preserve">the Septem; and the Marathon elegy must have been written</w:t></w:r>
</w:p>
<w:p>
<w:pPr><w:pStyle w:val="Normal"/></w:pPr>
<w:r><w:t xml:space="preserve">in 490, fourteen years before his first visit to Sicily.</w:t></w:r>
</w:p>
<w:p>
<w:pPr><w:pStyle w:val="Normal"/></w:pPr>
<w:r><w:t xml:space="preserve">Work.</w:t></w:r>
</w:p>
<w:p>
<w:pPr><w:pStyle w:val="Normal"/></w:pPr>
<w:r><w:t xml:space="preserve">In passing from Aeschylus&apos; life to his work, we have obviously</w:t></w:r>
</w:p>
<w:p>
<w:pPr><w:pStyle w:val="Normal"/></w:pPr>
<w:r><w:t xml:space="preserve">far more trustworthy data, in the seven extant plays (with</w:t></w:r>
</w:p>
<w:p>
<w:pPr><w:pStyle w:val="Normal"/></w:pPr>
<w:r><w:t xml:space="preserve">the fragments of more than seventy others), and particularly</w:t></w:r>
</w:p>
<w:p>
<w:pPr><w:pStyle w:val="Normal"/></w:pPr>
<w:r><w:t xml:space="preserve">in the invaluable help of Aristotle&apos;s Poetics. The real</w:t></w:r>
</w:p>
<w:p>
<w:pPr><w:pStyle w:val="Normal"/></w:pPr>
<w:r><w:t xml:space="preserve">importance of our poet in the development of the drama (see</w:t></w:r>
</w:p>
<w:p>
<w:pPr><w:pStyle w:val="Normal"/></w:pPr>
<w:r><w:t xml:space="preserve">DRAMA: Greek) as compared with any of his three or four</w:t></w:r>
</w:p>
<w:p>
<w:pPr><w:pStyle w:val="Normal"/></w:pPr>
<w:r><w:t xml:space="preserve">known predecessors--who are at best hardly more than names to</w:t></w:r>
</w:p>
<w:p>
<w:pPr><w:pStyle w:val="Normal"/></w:pPr>
<w:r><w:t xml:space="preserve">us--is shown by the fact that Aristotle, in his brief review</w:t></w:r>
</w:p>
<w:p>
<w:pPr><w:pStyle w:val="Normal"/></w:pPr>
<w:r><w:t xml:space="preserve">of the rise of tragedy (Poet. iv. 13), names no one before</w:t></w:r>
</w:p>
<w:p>
<w:pPr><w:pStyle w:val="Normal"/></w:pPr>
<w:r><w:t xml:space="preserve">Aeschylus.  He recognizes, it is true, a long process of</w:t></w:r>
</w:p>
<w:p>
<w:pPr><w:pStyle w:val="Normal"/></w:pPr>
<w:r><w:t xml:space="preserve">growth, with several stages, from the dithyramb to the</w:t></w:r>
</w:p>
<w:p>
<w:pPr><w:pStyle w:val="Normal"/></w:pPr>
<w:r><w:t xml:space="preserve">drama; and it is not difficult to see what these stages</w:t></w:r>
</w:p>
<w:p>
<w:pPr><w:pStyle w:val="Normal"/></w:pPr>
<w:r><w:t xml:space="preserve">were.  The first step was the addition to the old choric song</w:t></w:r>
</w:p>
<w:p>
<w:pPr><w:pStyle w:val="Normal"/></w:pPr>
<w:r><w:t xml:space="preserve">of an interlude spoken, and in early days improvised, by</w:t></w:r>
</w:p>
<w:p>
<w:pPr><w:pStyle w:val="Normal"/></w:pPr>
<w:r><w:t xml:space="preserve">the leader of the chorus (Poet. iv. 12). The next was the</w:t></w:r>
</w:p>
<w:p>
<w:pPr><w:pStyle w:val="Normal"/></w:pPr>
<w:r><w:t xml:space="preserve">introduction of an actor (upokrites or ``answerer&apos;&apos;),</w:t></w:r>
</w:p>
<w:p>
<w:pPr><w:pStyle w:val="Normal"/></w:pPr>
<w:r><w:t xml:space="preserve">to reply to the leader; and thus we get dialogue added to</w:t></w:r>
</w:p>
<w:p>
<w:pPr><w:pStyle w:val="Normal"/></w:pPr>
<w:r><w:t xml:space="preserve">recitation.  The ``answerer&apos;&apos; was at first the poet himself</w:t></w:r>
</w:p>
<w:p>
<w:pPr><w:pStyle w:val="Normal"/></w:pPr>
<w:r><w:t xml:space="preserve">(Ar. Rhet. iii. 1). This change is traditionally attributed</w:t></w:r>
</w:p>
<w:p>
<w:pPr><w:pStyle w:val="Normal"/></w:pPr>
<w:r><w:t xml:space="preserve">to Thespis (536 B.C.), who is, however, not mentioned by</w:t></w:r>
</w:p>
<w:p>
<w:pPr><w:pStyle w:val="Normal"/></w:pPr>
<w:r><w:t xml:space="preserve">Aristotle.  The mask, to enable the actor to assume different</w:t></w:r>
</w:p>
<w:p>
<w:pPr><w:pStyle w:val="Normal"/></w:pPr>
<w:r><w:t xml:space="preserve">parts, by whomsoever invented, was in regular use before Aeschylus&apos;</w:t></w:r>
</w:p>
<w:p>
<w:pPr><w:pStyle w:val="Normal"/></w:pPr>
<w:r><w:t xml:space="preserve">day.  The third change was the enlarged range of subjects.</w:t></w:r>
</w:p>
<w:p>
<w:pPr><w:pStyle w:val="Normal"/></w:pPr>
<w:r><w:t xml:space="preserve">The lyric dithyramb-tales were necessarily about Dionysus, and</w:t></w:r>
</w:p>
<w:p>
<w:pPr><w:pStyle w:val="Normal"/></w:pPr>
<w:r><w:t xml:space="preserve">the interludes had, of course, to follow suit.  Nothing in the</w:t></w:r>
</w:p>
<w:p>
<w:pPr><w:pStyle w:val="Normal"/></w:pPr>
<w:r><w:t xml:space="preserve">world so tenaciously resists innovation as religious ceremony;</w:t></w:r>
</w:p>
<w:p>
<w:pPr><w:pStyle w:val="Normal"/></w:pPr>
<w:r><w:t xml:space="preserve">and it is interesting to learn that the Athenian populace (then,</w:t></w:r>
</w:p>
<w:p>
<w:pPr><w:pStyle w:val="Normal"/></w:pPr>
<w:r><w:t xml:space="preserve">as ever, eager for ``some new thing&apos;&apos;) nevertheless opposed</w:t></w:r>
</w:p>
<w:p>
<w:pPr><w:pStyle w:val="Normal"/></w:pPr>
<w:r><w:t xml:space="preserve">at first the introduction of other tales.  But the innovators</w:t></w:r>
</w:p>
<w:p>
<w:pPr><w:pStyle w:val="Normal"/></w:pPr>
<w:r><w:t xml:space="preserve">won; or other-wise there would have been no Attic drama.</w:t></w:r>
</w:p>
<w:p>
<w:pPr><w:pStyle w:val="Normal"/></w:pPr>
<w:r><w:t xml:space="preserve">In this way, then, to the original lyric song and dances in honour</w:t></w:r>
</w:p>
<w:p>
<w:pPr><w:pStyle w:val="Normal"/></w:pPr>
<w:r><w:t xml:space="preserve">of Dionysus was added a spoken (but still metrical) interlude by</w:t></w:r>
</w:p>
<w:p>
<w:pPr><w:pStyle w:val="Normal"/></w:pPr>
<w:r><w:t xml:space="preserve">the chorus-leader, and later a dialogue with one actor (at first</w:t></w:r>
</w:p>
<w:p>
<w:pPr><w:pStyle w:val="Normal"/></w:pPr>
<w:r><w:t xml:space="preserve">the poet), whom the mask enabled to appear in more than one part.</w:t></w:r>
</w:p>
<w:p>
<w:pPr><w:pStyle w:val="Normal"/></w:pPr>
<w:r><w:t xml:space="preserve">But everything points to the fact that in the development of</w:t></w:r>
</w:p>
<w:p>
<w:pPr><w:pStyle w:val="Normal"/></w:pPr>
<w:r><w:t xml:space="preserve">the drama Aeschylus was the decisive innovator.  The two things</w:t></w:r>
</w:p>
<w:p>
<w:pPr><w:pStyle w:val="Normal"/></w:pPr>
<w:r><w:t xml:space="preserve">that were important, when the 5th century began, if tragedy</w:t></w:r>
</w:p>
<w:p>
<w:pPr><w:pStyle w:val="Normal"/></w:pPr>
<w:r><w:t xml:space="preserve">was to realize its possibilities, were (1) the disentanglement</w:t></w:r>
</w:p>
<w:p>
<w:pPr><w:pStyle w:val="Normal"/></w:pPr>
<w:r><w:t xml:space="preserve">of the dialogue from its position as an interlude in an</w:t></w:r>
</w:p>
<w:p>
<w:pPr><w:pStyle w:val="Normal"/></w:pPr>
<w:r><w:t xml:space="preserve">artistic and religious pageant that was primarily lyric; and</w:t></w:r>
</w:p>
<w:p>
<w:pPr><w:pStyle w:val="Normal"/></w:pPr>
<w:r><w:t xml:space="preserve">(2) its general elevation of tone.  Aeschylus, as we know on</w:t></w:r>
</w:p>
<w:p>
<w:pPr><w:pStyle w:val="Normal"/></w:pPr>
<w:r><w:t xml:space="preserve">the express authority of Aristotle (Poet. iv. 13), achieved</w:t></w:r>
</w:p>
<w:p>
<w:pPr><w:pStyle w:val="Normal"/></w:pPr>
<w:r><w:t xml:space="preserve">the first by the introduction of the second actor; and though</w:t></w:r>
</w:p>
<w:p>
<w:pPr><w:pStyle w:val="Normal"/></w:pPr>
<w:r><w:t xml:space="preserve">he did not begin the second, he gave it the decisive impulse</w:t></w:r>
</w:p>
<w:p>
<w:pPr><w:pStyle w:val="Normal"/></w:pPr>
<w:r><w:t xml:space="preserve">and consummation by the overwhelming effect of his serious</w:t></w:r>
</w:p>
<w:p>
<w:pPr><w:pStyle w:val="Normal"/></w:pPr>
<w:r><w:t xml:space="preserve">thought, the stately splendour of his style, his high dramatic</w:t></w:r>
</w:p>
<w:p>
<w:pPr><w:pStyle w:val="Normal"/></w:pPr>
<w:r><w:t xml:space="preserve">purpose, and the artistic grandeur and impressiveness</w:t></w:r>
</w:p>
<w:p>
<w:pPr><w:pStyle w:val="Normal"/></w:pPr>
<w:r><w:t xml:space="preserve">of the construction and presentment of his tragedies.</w:t></w:r>
</w:p>
<w:p>
<w:pPr><w:pStyle w:val="Normal"/></w:pPr>
<w:r><w:t xml:space="preserve">As to the importance of the second actor no argument is</w:t></w:r>
</w:p>
<w:p>
<w:pPr><w:pStyle w:val="Normal"/></w:pPr>
<w:r><w:t xml:space="preserve">needed.  The essence of a play is dialogue; and a colloquy</w:t></w:r>
</w:p>
<w:p>
<w:pPr><w:pStyle w:val="Normal"/></w:pPr>
<w:r><w:t xml:space="preserve">between the coryphaeus and a messenger (or, by aid of the</w:t></w:r>
</w:p>
<w:p>
<w:pPr><w:pStyle w:val="Normal"/></w:pPr>
<w:r><w:t xml:space="preserve">mask, a series of messengers), as must have been the case when</w:t></w:r>
</w:p>
<w:p>
<w:pPr><w:pStyle w:val="Normal"/></w:pPr>
<w:r><w:t xml:space="preserve">Aeschylus began, is in reality not dialogue in the dramatic</w:t></w:r>
</w:p>
<w:p>
<w:pPr><w:pStyle w:val="Normal"/></w:pPr>
<w:r><w:t xml:space="preserve">sense at all, but rather narrative.  The discussion, the</w:t></w:r>
</w:p>
<w:p>
<w:pPr><w:pStyle w:val="Normal"/></w:pPr>
<w:r><w:t xml:space="preserve">persuasion, the instruction, the pleading, the contention---in</w:t></w:r>
</w:p>
<w:p>
<w:pPr><w:pStyle w:val="Normal"/></w:pPr>
<w:r><w:t xml:space="preserve">short, the interacting personal influences of different</w:t></w:r>
</w:p>
<w:p>
<w:pPr><w:pStyle w:val="Normal"/></w:pPr>
<w:r><w:t xml:space="preserve">characters on each other--are indispensable to anything</w:t></w:r>
</w:p>
<w:p>
<w:pPr><w:pStyle w:val="Normal"/></w:pPr>
<w:r><w:t xml:space="preserve">that can be called a play, as we understand the word; and,</w:t></w:r>
</w:p>
<w:p>
<w:pPr><w:pStyle w:val="Normal"/></w:pPr>
<w:r><w:t xml:space="preserve">without two ``personae dramatis&apos;&apos; at the least, the drama</w:t></w:r>
</w:p>
<w:p>
<w:pPr><w:pStyle w:val="Normal"/></w:pPr>
<w:r><w:t xml:space="preserve">in the strict sense is clearly impossible.  The number of</w:t></w:r>
</w:p>
<w:p>
<w:pPr><w:pStyle w:val="Normal"/></w:pPr>
<w:r><w:t xml:space="preserve">actors was afterwards increased; but to Aeschylus are due</w:t></w:r>
</w:p>
<w:p>
<w:pPr><w:pStyle w:val="Normal"/></w:pPr>
<w:r><w:t xml:space="preserve">the perception and the adoption of the essential step;</w:t></w:r>
</w:p>
<w:p>
<w:pPr><w:pStyle w:val="Normal"/></w:pPr>
<w:r><w:t xml:space="preserve">and therefore, as was said above, he deserves in a very</w:t></w:r>
</w:p>
<w:p>
<w:pPr><w:pStyle w:val="Normal"/></w:pPr>
<w:r><w:t xml:space="preserve">real sense to be called the founder of Athenian tragedy.</w:t></w:r>
</w:p>
<w:p>
<w:pPr><w:pStyle w:val="Normal"/></w:pPr>
<w:r><w:t xml:space="preserve">Of the seven extant plays, Supplices, Persae, Septem contra</w:t></w:r>
</w:p>
<w:p>
<w:pPr><w:pStyle w:val="Normal"/></w:pPr>
<w:r><w:t xml:space="preserve">Thebas, Prometheus, Agamemnon, Choephoroe and Eumenides,</w:t></w:r>
</w:p>
<w:p>
<w:pPr><w:pStyle w:val="Normal"/></w:pPr>
<w:r><w:t xml:space="preserve">five can fortunately be dated with certainty, as the archon&apos;s</w:t></w:r>
</w:p>
<w:p>
<w:pPr><w:pStyle w:val="Normal"/></w:pPr>
<w:r><w:t xml:space="preserve">name is preserved in the Arguments; and the other two</w:t></w:r>
</w:p>
<w:p>
<w:pPr><w:pStyle w:val="Normal"/></w:pPr>
<w:r><w:t xml:space="preserve">approximately.  The dates rest, in the last resort, on the</w:t></w:r>
</w:p>
<w:p>
<w:pPr><w:pStyle w:val="Normal"/></w:pPr>
<w:r><w:t xml:space="preserve">didaskaliai, or the official records of the contests, of</w:t></w:r>
</w:p>
<w:p>
<w:pPr><w:pStyle w:val="Normal"/></w:pPr>
<w:r><w:t xml:space="preserve">which we know that Aristotle (and others) compiled catalogues;</w:t></w:r>
</w:p>
<w:p>
<w:pPr><w:pStyle w:val="Normal"/></w:pPr>
<w:r><w:t xml:space="preserve">and some actual fragments have been recovered.  The order</w:t></w:r>
</w:p>
<w:p>
<w:pPr><w:pStyle w:val="Normal"/></w:pPr>
<w:r><w:t xml:space="preserve">of the plays is probably that given above; and certainly</w:t></w:r>
</w:p>
<w:p>
<w:pPr><w:pStyle w:val="Normal"/></w:pPr>
<w:r><w:t xml:space="preserve">the Persae was acted in 472, Septem in 467, and the last</w:t></w:r>
</w:p>
<w:p>
<w:pPr><w:pStyle w:val="Normal"/></w:pPr>
<w:r><w:t xml:space="preserve">three, the trilogy, in 458. The Supplices is generally,</w:t></w:r>
</w:p>
<w:p>
<w:pPr><w:pStyle w:val="Normal"/></w:pPr>
<w:r><w:t xml:space="preserve">though not unanimously, regarded as the oldest; and the best</w:t></w:r>
</w:p>
<w:p>
<w:pPr><w:pStyle w:val="Normal"/></w:pPr>
<w:r><w:t xml:space="preserve">authorities tend to place it not far from 490. The early</w:t></w:r>
</w:p>
<w:p>
<w:pPr><w:pStyle w:val="Normal"/></w:pPr>
<w:r><w:t xml:space="preserve">date is strongly confirmed by three things: the extreme</w:t></w:r>
</w:p>
<w:p>
<w:pPr><w:pStyle w:val="Normal"/></w:pPr>
<w:r><w:t xml:space="preserve">simplicity of the plot, the choric (instead of dramatic)</w:t></w:r>
</w:p>
<w:p>
<w:pPr><w:pStyle w:val="Normal"/></w:pPr>
<w:r><w:t xml:space="preserve">opening, and the fact that the percentage of lyric passages is</w:t></w:r>
</w:p>
<w:p>
<w:pPr><w:pStyle w:val="Normal"/></w:pPr>
<w:r><w:t xml:space="preserve">54, or the highest of all the seven plays.  The chief doubt</w:t></w:r>
</w:p>
<w:p>
<w:pPr><w:pStyle w:val="Normal"/></w:pPr>
<w:r><w:t xml:space="preserve">is in regard to Prometheus, which is variously placed by</w:t></w:r>
</w:p>
<w:p>
<w:pPr><w:pStyle w:val="Normal"/></w:pPr>
<w:r><w:t xml:space="preserve">good authorities; but the very low percentage of lyrics (only</w:t></w:r>
</w:p>
<w:p>
<w:pPr><w:pStyle w:val="Normal"/></w:pPr>
<w:r><w:t xml:space="preserve">27, or roughly a quarter of the whole), and still more the</w:t></w:r>
</w:p>
<w:p>
<w:pPr><w:pStyle w:val="Normal"/></w:pPr>
<w:r><w:t xml:space="preserve">strong characterization, a marked advance on anything in the</w:t></w:r>
</w:p>
<w:p>
<w:pPr><w:pStyle w:val="Normal"/></w:pPr>
<w:r><w:t xml:space="preserve">first three plays, point to its being later than any except</w:t></w:r>
</w:p>
<w:p>
<w:pPr><w:pStyle w:val="Normal"/></w:pPr>
<w:r><w:t xml:space="preserve">the trilogy, and suggest a date somewhere about 460, or</w:t></w:r>
</w:p>
<w:p>
<w:pPr><w:pStyle w:val="Normal"/></w:pPr>
<w:r><w:t xml:space="preserve">perhaps a little earlier.  A few comments on the extant plays</w:t></w:r>
</w:p>
<w:p>
<w:pPr><w:pStyle w:val="Normal"/></w:pPr>
<w:r><w:t xml:space="preserve">will help to indicate the main points of Aeschylus&apos; work.</w:t></w:r>
</w:p>
<w:p>
<w:pPr><w:pStyle w:val="Normal"/></w:pPr>
<w:r><w:t xml:space="preserve">Supplices.---The exceptional interest of the Supplices</w:t></w:r>
</w:p>
<w:p>
<w:pPr><w:pStyle w:val="Normal"/></w:pPr>
<w:r><w:t xml:space="preserve">is due to its date.  Being nearly twenty years earlier than</w:t></w:r>
</w:p>
<w:p>
<w:pPr><w:pStyle w:val="Normal"/></w:pPr>
<w:r><w:t xml:space="preserve">any other extant play, it furnishes evidence of a stage in</w:t></w:r>
</w:p>
<w:p>
<w:pPr><w:pStyle w:val="Normal"/></w:pPr>
<w:r><w:t xml:space="preserve">the evolution of Attic drama which would otherwise have been</w:t></w:r>
</w:p>
<w:p>
<w:pPr><w:pStyle w:val="Normal"/></w:pPr>
<w:r><w:t xml:space="preserve">unrepresented.  Genius, as Patin says, is a ``puissance</w:t></w:r>
</w:p>
<w:p>
<w:pPr><w:pStyle w:val="Normal"/></w:pPr>
<w:r><w:t xml:space="preserve">libre,&apos;&apos; and none more so than that of Aeschylus; but with</w:t></w:r>
</w:p>
<w:p>
<w:pPr><w:pStyle w:val="Normal"/></w:pPr>
<w:r><w:t xml:space="preserve">all allowance for the ``uncontrolled power&apos;&apos; of this poet, we</w:t></w:r>
</w:p>
<w:p>
<w:pPr><w:pStyle w:val="Normal"/></w:pPr>
<w:r><w:t xml:space="preserve">may feel confident that we have in the Supplices something</w:t></w:r>
</w:p>
<w:p>
<w:pPr><w:pStyle w:val="Normal"/></w:pPr>
<w:r><w:t xml:space="preserve">resembling in general structure the lost works of Choerilus,</w:t></w:r>
</w:p>
<w:p>
<w:pPr><w:pStyle w:val="Normal"/></w:pPr>
<w:r><w:t xml:space="preserve">Phrynichus, Pratinas and the 6th century pioneers of drama.</w:t></w:r>
</w:p>
<w:p>
<w:pPr><w:pStyle w:val="Normal"/></w:pPr>
<w:r><w:t xml:space="preserve">The plot is briefly as follows: the fifty daughters of Danaus</w:t></w:r>
</w:p>
<w:p>
<w:pPr><w:pStyle w:val="Normal"/></w:pPr>
<w:r><w:t xml:space="preserve">(who are the chorus), betrothed by the fiat of Aegyptus (their</w:t></w:r>
</w:p>
<w:p>
<w:pPr><w:pStyle w:val="Normal"/></w:pPr>
<w:r><w:t xml:space="preserve">father&apos;s brother) to his fifty sons, flee with Danaus to</w:t></w:r>
</w:p>
<w:p>
<w:pPr><w:pStyle w:val="Normal"/></w:pPr>
<w:r><w:t xml:space="preserve">Argos, to escape the marriage which they abhor.  They claim</w:t></w:r>
</w:p>
<w:p>
<w:pPr><w:pStyle w:val="Normal"/></w:pPr>
<w:r><w:t xml:space="preserve">the protection of the Argive king, Pelasgus, who is kind but</w:t></w:r>
</w:p>
<w:p>
<w:pPr><w:pStyle w:val="Normal"/></w:pPr>
<w:r><w:t xml:space="preserve">timid; and he (by a pleasing anachronism) refers the matter to</w:t></w:r>
</w:p>
<w:p>
<w:pPr><w:pStyle w:val="Normal"/></w:pPr>
<w:r><w:t xml:space="preserve">the people, who agree to protect the fugitives.  The pursuing</w:t></w:r>
</w:p>
<w:p>
<w:pPr><w:pStyle w:val="Normal"/></w:pPr>
<w:r><w:t xml:space="preserve">fleet of suitors is seen approaching; the herald arrives (with</w:t></w:r>
</w:p>
<w:p>
<w:pPr><w:pStyle w:val="Normal"/></w:pPr>
<w:r><w:t xml:space="preserve">a company of followers), blusters, threatens, orders off the</w:t></w:r>
</w:p>
<w:p>
<w:pPr><w:pStyle w:val="Normal"/></w:pPr>
<w:r><w:t xml:space="preserve">cowering Danaids to the ships and finally attempts to drag them</w:t></w:r>
</w:p>
<w:p>
<w:pPr><w:pStyle w:val="Normal"/></w:pPr>
<w:r><w:t xml:space="preserve">away.  Pelasgus interposes with a force, drives off the</w:t></w:r>
</w:p>
<w:p>
<w:pPr><w:pStyle w:val="Normal"/></w:pPr>
<w:r><w:t xml:space="preserve">Egyptians and saves the suppliants.  Danaus urges them to</w:t></w:r>
</w:p>
<w:p>
<w:pPr><w:pStyle w:val="Normal"/></w:pPr>
<w:r><w:t xml:space="preserve">prayer, thanksgiving and maidenly modesty, and the grateful</w:t></w:r>
</w:p>
<w:p>
<w:pPr><w:pStyle w:val="Normal"/></w:pPr>
<w:r><w:t xml:space="preserve">chorus pass away to the shelter offered by their protectors.</w:t></w:r>
</w:p>
<w:p>
<w:pPr><w:pStyle w:val="Normal"/></w:pPr>
<w:r><w:t xml:space="preserve">It is clear that we have here the drama in its nascent</w:t></w:r>
</w:p>
<w:p>
<w:pPr><w:pStyle w:val="Normal"/></w:pPr>
<w:r><w:t xml:space="preserve">stage, just developing out of the lyric pageant from which it</w:t></w:r>
</w:p>
<w:p>
<w:pPr><w:pStyle w:val="Normal"/></w:pPr>
<w:r><w:t xml:space="preserve">sprang.  The interest still centres round the chorus, who</w:t></w:r>
</w:p>
<w:p>
<w:pPr><w:pStyle w:val="Normal"/></w:pPr>
<w:r><w:t xml:space="preserve">are in fact the ``protagonists&apos;&apos; of the play.  Character and</w:t></w:r>
</w:p>
<w:p>
<w:pPr><w:pStyle w:val="Normal"/></w:pPr>
<w:r><w:t xml:space="preserve">plot---the two essentials of drama, in the view of all critics</w:t></w:r>
</w:p>
<w:p>
<w:pPr><w:pStyle w:val="Normal"/></w:pPr>
<w:r><w:t xml:space="preserve">from Aristotle downwards--are both here rudimentary.  There</w:t></w:r>
</w:p>
<w:p>
<w:pPr><w:pStyle w:val="Normal"/></w:pPr>
<w:r><w:t xml:space="preserve">are some fluctuations of hope and fear; but the play is a</w:t></w:r>
</w:p>
<w:p>
<w:pPr><w:pStyle w:val="Normal"/></w:pPr>
<w:r><w:t xml:space="preserve">single situation, The stages are: the appeal; the hesitation</w:t></w:r>
</w:p>
<w:p>
<w:pPr><w:pStyle w:val="Normal"/></w:pPr>
<w:r><w:t xml:space="preserve">of the king, the resolve of the people; the defeat of insolent</w:t></w:r>
</w:p>
<w:p>
<w:pPr><w:pStyle w:val="Normal"/></w:pPr>
<w:r><w:t xml:space="preserve">violence; and the rescue.  It should not be forgotten,</w:t></w:r>
</w:p>
<w:p>
<w:pPr><w:pStyle w:val="Normal"/></w:pPr>
<w:r><w:t xml:space="preserve">indeed, that the play is one of a trilogy---an act, therefore,</w:t></w:r>
</w:p>
<w:p>
<w:pPr><w:pStyle w:val="Normal"/></w:pPr>
<w:r><w:t xml:space="preserve">rather than a complete drama.  But we have only to compare it</w:t></w:r>
</w:p>
<w:p>
<w:pPr><w:pStyle w:val="Normal"/></w:pPr>
<w:r><w:t xml:space="preserve">with those later plays of which the same is true, to see the</w:t></w:r>
</w:p>
<w:p>
<w:pPr><w:pStyle w:val="Normal"/></w:pPr>
<w:r><w:t xml:space="preserve">difference.  Even in a trilogy, each play is a complete</w:t></w:r>
</w:p>
<w:p>
<w:pPr><w:pStyle w:val="Normal"/></w:pPr>
<w:r><w:t xml:space="preserve">whole in itself, though also a portion of a larger whole.</w:t></w:r>
</w:p>
<w:p>
<w:pPr><w:pStyle w:val="Normal"/></w:pPr>
<w:r><w:t xml:space="preserve">Persae.---The next play that has survived is the Persae,</w:t></w:r>
</w:p>
<w:p>
<w:pPr><w:pStyle w:val="Normal"/></w:pPr>
<w:r><w:t xml:space="preserve">which has again a special interest, viz. that it is the</w:t></w:r>
</w:p>
<w:p>
<w:pPr><w:pStyle w:val="Normal"/></w:pPr>
<w:r><w:t xml:space="preserve">only extant Greek historical drama.  We know that Aeschylus&apos;</w:t></w:r>
</w:p>
<w:p>
<w:pPr><w:pStyle w:val="Normal"/></w:pPr>
<w:r><w:t xml:space="preserve">predecessor, Phrynichus, had already twice tried this</w:t></w:r>
</w:p>
<w:p>
<w:pPr><w:pStyle w:val="Normal"/></w:pPr>
<w:r><w:t xml:space="preserve">experiment, with the Capture of Miletus and the Phoenician</w:t></w:r>
</w:p>
<w:p>
<w:pPr><w:pStyle w:val="Normal"/></w:pPr>
<w:r><w:t xml:space="preserve">Women; that the latter play dealt with the same subject</w:t></w:r>
</w:p>
<w:p>
<w:pPr><w:pStyle w:val="Normal"/></w:pPr>
<w:r><w:t xml:space="preserve">as the Persae, and the handling of its opening scene was</w:t></w:r>
</w:p>
<w:p>
<w:pPr><w:pStyle w:val="Normal"/></w:pPr>
<w:r><w:t xml:space="preserve">imitated by the younger poet.  The plot of the Persae is</w:t></w:r>
</w:p>
<w:p>
<w:pPr><w:pStyle w:val="Normal"/></w:pPr>
<w:r><w:t xml:space="preserve">still severely simple, though more developed than that of</w:t></w:r>
</w:p>
<w:p>
<w:pPr><w:pStyle w:val="Normal"/></w:pPr>
<w:r><w:t xml:space="preserve">the Suppliants. The opening is still lyric, and the first</w:t></w:r>
</w:p>
<w:p>
<w:pPr><w:pStyle w:val="Normal"/></w:pPr>
<w:r><w:t xml:space="preserve">quarter of the play brings out, by song and speech, the</w:t></w:r>
</w:p>
<w:p>
<w:pPr><w:pStyle w:val="Normal"/></w:pPr>
<w:r><w:t xml:space="preserve">anxiety of the people and queen as to the fate of Xerxes&apos; huge</w:t></w:r>
</w:p>
<w:p>
<w:pPr><w:pStyle w:val="Normal"/></w:pPr>
<w:r><w:t xml:space="preserve">army.  Then comes the messenger with the news of Salamis,</w:t></w:r>
</w:p>
<w:p>
<w:pPr><w:pStyle w:val="Normal"/></w:pPr>
<w:r><w:t xml:space="preserve">including a description of the sea-fight itself which can</w:t></w:r>
</w:p>
<w:p>
<w:pPr><w:pStyle w:val="Normal"/></w:pPr>
<w:r><w:t xml:space="preserve">only be called magnificent.  We realize what it must have been</w:t></w:r>
</w:p>
<w:p>
<w:pPr><w:pStyle w:val="Normal"/></w:pPr>
<w:r><w:t xml:space="preserve">for the vast audience---30,000, according to Plato (Symp.</w:t></w:r>
</w:p>
<w:p>
<w:pPr><w:pStyle w:val="Normal"/></w:pPr>
<w:r><w:t xml:space="preserve">175 E)-- to hear, eight years only after the event, from</w:t></w:r>
</w:p>
<w:p>
<w:pPr><w:pStyle w:val="Normal"/></w:pPr>
<w:r><w:t xml:space="preserve">the supreme poet of Athens, who was himself a distinguished</w:t></w:r>
</w:p>
<w:p>
<w:pPr><w:pStyle w:val="Normal"/></w:pPr>
<w:r><w:t xml:space="preserve">actor in the war, this thrilling narrative of the great</w:t></w:r>
</w:p>
<w:p>
<w:pPr><w:pStyle w:val="Normal"/></w:pPr>
<w:r><w:t xml:space="preserve">battle.  But this reflexion at once suggests another; it</w:t></w:r>
</w:p>
<w:p>
<w:pPr><w:pStyle w:val="Normal"/></w:pPr>
<w:r><w:t xml:space="preserve">is not a tragedy in the true Greek sense, according to the</w:t></w:r>
</w:p>
<w:p>
<w:pPr><w:pStyle w:val="Normal"/></w:pPr>
<w:r><w:t xml:space="preserve">practice of the 5th-century poets.  It may be called in one</w:t></w:r>
</w:p>
<w:p>
<w:pPr><w:pStyle w:val="Normal"/></w:pPr>
<w:r><w:t xml:space="preserve">point of view a tragedy, since the scene is laid in Persia,</w:t></w:r>
</w:p>
<w:p>
<w:pPr><w:pStyle w:val="Normal"/></w:pPr>
<w:r><w:t xml:space="preserve">and the drama forcibly depicts the downfall of the Persian</w:t></w:r>
</w:p>
<w:p>
<w:pPr><w:pStyle w:val="Normal"/></w:pPr>
<w:r><w:t xml:space="preserve">pride.  But its real aim is not the ``pity and terror&apos;&apos; of</w:t></w:r>
</w:p>
<w:p>
<w:pPr><w:pStyle w:val="Normal"/></w:pPr>
<w:r><w:t xml:space="preserve">the developed drama; it is the triumphant glorification of</w:t></w:r>
</w:p>
<w:p>
<w:pPr><w:pStyle w:val="Normal"/></w:pPr>
<w:r><w:t xml:space="preserve">Athens, the exultation of the whole nation gathered in one</w:t></w:r>
</w:p>
<w:p>
<w:pPr><w:pStyle w:val="Normal"/></w:pPr>
<w:r><w:t xml:space="preserve">place, over the ruin of their foe.  This is best shown</w:t></w:r>
</w:p>
<w:p>
<w:pPr><w:pStyle w:val="Normal"/></w:pPr>
<w:r><w:t xml:space="preserve">by the praise of Aeschylus&apos; great admirer and defender</w:t></w:r>
</w:p>
<w:p>
<w:pPr><w:pStyle w:val="Normal"/></w:pPr>
<w:r><w:t xml:space="preserve">Aristophanes, who (Frogs, 1026-1027) puts into the poet&apos;s</w:t></w:r>
</w:p>
<w:p>
<w:pPr><w:pStyle w:val="Normal"/></w:pPr>
<w:r><w:t xml:space="preserve">mouth the boast that in the Persae he had ``glorified a noble</w:t></w:r>
</w:p>
<w:p>
<w:pPr><w:pStyle w:val="Normal"/></w:pPr>
<w:r><w:t xml:space="preserve">exploit, and taught men to be eager to conquer their foe.&apos;&apos;</w:t></w:r>
</w:p>
<w:p>
<w:pPr><w:pStyle w:val="Normal"/></w:pPr>
<w:r><w:t xml:space="preserve">Thus, both as an historic drama and in its real effect,</w:t></w:r>
</w:p>
<w:p>
<w:pPr><w:pStyle w:val="Normal"/></w:pPr>
<w:r><w:t xml:space="preserve">the Persae was an experiment; and, as far as we know,</w:t></w:r>
</w:p>
<w:p>
<w:pPr><w:pStyle w:val="Normal"/></w:pPr>
<w:r><w:t xml:space="preserve">the experiment was not repeated either by the author or his</w:t></w:r>
</w:p>
<w:p>
<w:pPr><w:pStyle w:val="Normal"/></w:pPr>
<w:r><w:t xml:space="preserve">successors.  One further point may be noted.  Aeschylus</w:t></w:r>
</w:p>
<w:p>
<w:pPr><w:pStyle w:val="Normal"/></w:pPr>
<w:r><w:t xml:space="preserve">always has a taste for the unseen and the supernatural; and</w:t></w:r>
</w:p>
<w:p>
<w:pPr><w:pStyle w:val="Normal"/></w:pPr>
<w:r><w:t xml:space="preserve">one effective incident here is the raising of Darius&apos;s ghost,</w:t></w:r>
</w:p>
<w:p>
<w:pPr><w:pStyle w:val="Normal"/></w:pPr>
<w:r><w:t xml:space="preserve">and his prophecy of the disastrous battle of Plataea.  But</w:t></w:r>
</w:p>
<w:p>
<w:pPr><w:pStyle w:val="Normal"/></w:pPr>
<w:r><w:t xml:space="preserve">in the ghost&apos;s revelations there is a mixture of audacity and</w:t></w:r>
</w:p>
<w:p>
<w:pPr><w:pStyle w:val="Normal"/></w:pPr>
<w:r><w:t xml:space="preserve">naivete, characteristic at once of the poet and the early</w:t></w:r>
</w:p>
<w:p>
<w:pPr><w:pStyle w:val="Normal"/></w:pPr>
<w:r><w:t xml:space="preserve">youth of the drama.  The dead Darius prophesies Plataea, but</w:t></w:r>
</w:p>
<w:p>
<w:pPr><w:pStyle w:val="Normal"/></w:pPr>
<w:r><w:t xml:space="preserve">has not heard of Salamis; he gives a brief (and inaccurate)</w:t></w:r>
</w:p>
<w:p>
<w:pPr><w:pStyle w:val="Normal"/></w:pPr>
<w:r><w:t xml:space="preserve">list of the Persian kings, which the queen and chorus,</w:t></w:r>
</w:p>
<w:p>
<w:pPr><w:pStyle w:val="Normal"/></w:pPr>
<w:r><w:t xml:space="preserve">whom he addresses, presumably know; and his only practical</w:t></w:r>
</w:p>
<w:p>
<w:pPr><w:pStyle w:val="Normal"/></w:pPr>
<w:r><w:t xml:space="preserve">suggestion, that the Persians should not again invade Greece,</w:t></w:r>
</w:p>
<w:p>
<w:pPr><w:pStyle w:val="Normal"/></w:pPr>
<w:r><w:t xml:space="preserve">seems attainable without the aid of superhuman foresight.</w:t></w:r>
</w:p>
<w:p>
<w:pPr><w:pStyle w:val="Normal"/></w:pPr>
<w:r><w:t xml:space="preserve">Septem contra Thebas.---Five years later came the Theban</w:t></w:r>
</w:p>
<w:p>
<w:pPr><w:pStyle w:val="Normal"/></w:pPr>
<w:r><w:t xml:space="preserve">Tragedy.  It is not only, as Aristophanes says (Frogs,</w:t></w:r>
</w:p>
<w:p>
<w:pPr><w:pStyle w:val="Normal"/></w:pPr>
<w:r><w:t xml:space="preserve">1024), ``a play full of the martial spirit,&apos;&apos; but is (like the</w:t></w:r>
</w:p>
<w:p>
<w:pPr><w:pStyle w:val="Normal"/></w:pPr>
<w:r><w:t xml:space="preserve">Supplices) one of a connected series, dealing with the evil</w:t></w:r>
</w:p>
<w:p>
<w:pPr><w:pStyle w:val="Normal"/></w:pPr>
<w:r><w:t xml:space="preserve">fate of the Theban House.  But instead of being three acts of</w:t></w:r>
</w:p>
<w:p>
<w:pPr><w:pStyle w:val="Normal"/></w:pPr>
<w:r><w:t xml:space="preserve">a single story like the Supplices, these three plays trace</w:t></w:r>
</w:p>
<w:p>
<w:pPr><w:pStyle w:val="Normal"/></w:pPr>
<w:r><w:t xml:space="preserve">the fate through three generations, Laius, Oedipus and the two</w:t></w:r>
</w:p>
<w:p>
<w:pPr><w:pStyle w:val="Normal"/></w:pPr>
<w:r><w:t xml:space="preserve">sons who die by each other&apos;s hands in the fight for the Theban</w:t></w:r>
</w:p>
<w:p>
<w:pPr><w:pStyle w:val="Normal"/></w:pPr>
<w:r><w:t xml:space="preserve">sovereignty.  This family fate, where one evil deed leads to</w:t></w:r>
</w:p>
<w:p>
<w:pPr><w:pStyle w:val="Normal"/></w:pPr>
<w:r><w:t xml:space="preserve">another after many years, is a larger conception, strikingly</w:t></w:r>
</w:p>
<w:p>
<w:pPr><w:pStyle w:val="Normal"/></w:pPr>
<w:r><w:t xml:space="preserve">suited to Aeschylus&apos; genius, and constitutes a notable stage</w:t></w:r>
</w:p>
<w:p>
<w:pPr><w:pStyle w:val="Normal"/></w:pPr>
<w:r><w:t xml:space="preserve">in the development of the Aeschylean drama.  And just as</w:t></w:r>
</w:p>
<w:p>
<w:pPr><w:pStyle w:val="Normal"/></w:pPr>
<w:r><w:t xml:space="preserve">here we have the tragedy of the Theban house, so in the last</w:t></w:r>
</w:p>
<w:p>
<w:pPr><w:pStyle w:val="Normal"/></w:pPr>
<w:r><w:t xml:space="preserve">extant work, the Oresteia, the poet traces the tragedy of</w:t></w:r>
</w:p>
<w:p>
<w:pPr><w:pStyle w:val="Normal"/></w:pPr>
<w:r><w:t xml:space="preserve">the Pelopid family, from Agamemnon&apos;s first sin to Orestes&apos;</w:t></w:r>
</w:p>
<w:p>
<w:pPr><w:pStyle w:val="Normal"/></w:pPr>
<w:r><w:t xml:space="preserve">vengeance and purification.  And the names of several lost</w:t></w:r>
</w:p>
<w:p>
<w:pPr><w:pStyle w:val="Normal"/></w:pPr>
<w:r><w:t xml:space="preserve">plays point to similar handling of the tragic trilogy.</w:t></w:r>
</w:p>
<w:p>
<w:pPr><w:pStyle w:val="Normal"/></w:pPr>
<w:r><w:t xml:space="preserve">The Seven against Thebes is the last play of its series; and</w:t></w:r>
</w:p>
<w:p>
<w:pPr><w:pStyle w:val="Normal"/></w:pPr>
<w:r><w:t xml:space="preserve">again the plot is severely simple, not only in outline, but in</w:t></w:r>
</w:p>
<w:p>
<w:pPr><w:pStyle w:val="Normal"/></w:pPr>
<w:r><w:t xml:space="preserve">detail.  Father and grandfather have both perished miserably;</w:t></w:r>
</w:p>
<w:p>
<w:pPr><w:pStyle w:val="Normal"/></w:pPr>
<w:r><w:t xml:space="preserve">and the two princes have quarrelled, both claiming the</w:t></w:r>
</w:p>
<w:p>
<w:pPr><w:pStyle w:val="Normal"/></w:pPr>
<w:r><w:t xml:space="preserve">kingdom.  Eteocles has driven out Polynices, who fled to</w:t></w:r>
</w:p>
<w:p>
<w:pPr><w:pStyle w:val="Normal"/></w:pPr>
<w:r><w:t xml:space="preserve">Argos, gathered a host under seven leaders (himself being</w:t></w:r>
</w:p>
<w:p>
<w:pPr><w:pStyle w:val="Normal"/></w:pPr>
<w:r><w:t xml:space="preserve">one), and when the play opens has begun the siege of his own</w:t></w:r>
</w:p>
<w:p>
<w:pPr><w:pStyle w:val="Normal"/></w:pPr>
<w:r><w:t xml:space="preserve">city.  The king appears, warns the people, chides the clamour of</w:t></w:r>
</w:p>
<w:p>
<w:pPr><w:pStyle w:val="Normal"/></w:pPr>
<w:r><w:t xml:space="preserve">women, appoints seven Thebans, including himself, to defend the</w:t></w:r>
</w:p>
<w:p>
<w:pPr><w:pStyle w:val="Normal"/></w:pPr>
<w:r><w:t xml:space="preserve">seven gates, departs to his post, meets his brother in battle</w:t></w:r>
</w:p>
<w:p>
<w:pPr><w:pStyle w:val="Normal"/></w:pPr>
<w:r><w:t xml:space="preserve">and both are killed.  The other six chieftains are all slain,</w:t></w:r>
</w:p>
<w:p>
<w:pPr><w:pStyle w:val="Normal"/></w:pPr>
<w:r><w:t xml:space="preserve">and the enemy beaten off.  The two dead princes are buried</w:t></w:r>
</w:p>
<w:p>
<w:pPr><w:pStyle w:val="Normal"/></w:pPr>
<w:r><w:t xml:space="preserve">by their two sisters, who alone are left of the royal house.</w:t></w:r>
</w:p>
<w:p>
<w:pPr><w:pStyle w:val="Normal"/></w:pPr>
<w:r><w:t xml:space="preserve">Various signs of the early drama are here manifest.  Half the</w:t></w:r>
</w:p>
<w:p>
<w:pPr><w:pStyle w:val="Normal"/></w:pPr>
<w:r><w:t xml:space="preserve">play is lyric; there is no complication of plot; the whole</w:t></w:r>
</w:p>
<w:p>
<w:pPr><w:pStyle w:val="Normal"/></w:pPr>
<w:r><w:t xml:space="preserve">action is recited by messengers; and the fatality whereby the</w:t></w:r>
</w:p>
<w:p>
<w:pPr><w:pStyle w:val="Normal"/></w:pPr>
<w:r><w:t xml:space="preserve">predicted mutual slaughter of the princes is brought about</w:t></w:r>
</w:p>
<w:p>
<w:pPr><w:pStyle w:val="Normal"/></w:pPr>
<w:r><w:t xml:space="preserve">is no accidental stroke of destiny, but the choice of the</w:t></w:r>
</w:p>
<w:p>
<w:pPr><w:pStyle w:val="Normal"/></w:pPr>
<w:r><w:t xml:space="preserve">king Eteocles himself.  On the other hand, the opening is no</w:t></w:r>
</w:p>
<w:p>
<w:pPr><w:pStyle w:val="Normal"/></w:pPr>
<w:r><w:t xml:space="preserve">longer lyric (like the two earlier plays) but dramatic; the</w:t></w:r>
</w:p>
<w:p>
<w:pPr><w:pStyle w:val="Normal"/></w:pPr>
<w:r><w:t xml:space="preserve">main scene, where the messenger reports at length the names</w:t></w:r>
</w:p>
<w:p>
<w:pPr><w:pStyle w:val="Normal"/></w:pPr>
<w:r><w:t xml:space="preserve">of the seven assailants, and the king appoints the seven</w:t></w:r>
</w:p>
<w:p>
<w:pPr><w:pStyle w:val="Normal"/></w:pPr>
<w:r><w:t xml:space="preserve">defenders, each man going off in silence to his post, must</w:t></w:r>
</w:p>
<w:p>
<w:pPr><w:pStyle w:val="Normal"/></w:pPr>
<w:r><w:t xml:space="preserve">have been an impressive spectacle.  One novelty should not be</w:t></w:r>
</w:p>
<w:p>
<w:pPr><w:pStyle w:val="Normal"/></w:pPr>
<w:r><w:t xml:space="preserve">overlooked.  There is here the first passage of dianoia</w:t></w:r>
</w:p>
<w:p>
<w:pPr><w:pStyle w:val="Normal"/></w:pPr>
<w:r><w:t xml:space="preserve">or general reflexion of life, which later became a regular</w:t></w:r>
</w:p>
<w:p>
<w:pPr><w:pStyle w:val="Normal"/></w:pPr>
<w:r><w:t xml:space="preserve">feature of tragedy.  Eteocles muses on the fate which involves</w:t></w:r>
</w:p>
<w:p>
<w:pPr><w:pStyle w:val="Normal"/></w:pPr>
<w:r><w:t xml:space="preserve">an innocent man in the company of the wicked so that he shares</w:t></w:r>
</w:p>
<w:p>
<w:pPr><w:pStyle w:val="Normal"/></w:pPr>
<w:r><w:t xml:space="preserve">unjustly their deserved fate.  The passage (Theb. 597-608)</w:t></w:r>
</w:p>
<w:p>
<w:pPr><w:pStyle w:val="Normal"/></w:pPr>
<w:r><w:t xml:space="preserve">is interesting; and the whole part of Eteocles shows a new</w:t></w:r>
</w:p>
<w:p>
<w:pPr><w:pStyle w:val="Normal"/></w:pPr>
<w:r><w:t xml:space="preserve">effort of the poet to draw character, which may have something</w:t></w:r>
</w:p>
<w:p>
<w:pPr><w:pStyle w:val="Normal"/></w:pPr>
<w:r><w:t xml:space="preserve">to do with the rise of Sophocles, who in the year before</w:t></w:r>
</w:p>
<w:p>
<w:pPr><w:pStyle w:val="Normal"/></w:pPr>
<w:r><w:t xml:space="preserve">(468) won with his first play, now lost, the prize of tragedy.</w:t></w:r>
</w:p>
<w:p>
<w:pPr><w:pStyle w:val="Normal"/></w:pPr>
<w:r><w:t xml:space="preserve">There remain only the Prometheus and the Oresteia, which</w:t></w:r>
</w:p>
<w:p>
<w:pPr><w:pStyle w:val="Normal"/></w:pPr>
<w:r><w:t xml:space="preserve">show such marked advance that (it may almost be said) when</w:t></w:r>
</w:p>
<w:p>
<w:pPr><w:pStyle w:val="Normal"/></w:pPr>
<w:r><w:t xml:space="preserve">we think of Aeschylus it is these four plays we have in mind.</w:t></w:r>
</w:p>
<w:p>
<w:pPr><w:pStyle w:val="Normal"/></w:pPr>
<w:r><w:t xml:space="preserve">Prometheus.---The Prometheus-trilogy consisted of three plays:</w:t></w:r>
</w:p>
<w:p>
<w:pPr><w:pStyle w:val="Normal"/></w:pPr>
<w:r><w:t xml:space="preserve">Prometheus the Fire-bringer, Prometheus Bound, Prometheus</w:t></w:r>
</w:p>
<w:p>
<w:pPr><w:pStyle w:val="Normal"/></w:pPr>
<w:r><w:t xml:space="preserve">Unbound. The two last necessarily came in that order; the</w:t></w:r>
</w:p>
<w:p>
<w:pPr><w:pStyle w:val="Normal"/></w:pPr>
<w:r><w:t xml:space="preserve">Fire-bringer is probably the first, though recently it has</w:t></w:r>
</w:p>
<w:p>
<w:pPr><w:pStyle w:val="Normal"/></w:pPr>
<w:r><w:t xml:space="preserve">been held by some scholars to be the last, of the trilogy.</w:t></w:r>
</w:p>
<w:p>
<w:pPr><w:pStyle w:val="Normal"/></w:pPr>
<w:r><w:t xml:space="preserve">That Prometheus sinned against Zeus, by stealing fire from</w:t></w:r>
</w:p>
<w:p>
<w:pPr><w:pStyle w:val="Normal"/></w:pPr>
<w:r><w:t xml:space="preserve">heaven; that he was punished by fearful tortures for ages;</w:t></w:r>
</w:p>
<w:p>
<w:pPr><w:pStyle w:val="Normal"/></w:pPr>
<w:r><w:t xml:space="preserve">that he finally was reconciled to Zeus and set free,--all</w:t></w:r>
</w:p>
<w:p>
<w:pPr><w:pStyle w:val="Normal"/></w:pPr>
<w:r><w:t xml:space="preserve">this was the ancient tale indisoutably.  Those who hold the</w:t></w:r>
</w:p>
<w:p>
<w:pPr><w:pStyle w:val="Normal"/></w:pPr>
<w:r><w:t xml:space="preserve">Fire-bringer (Purforos) to be the final play, conjecture</w:t></w:r>
</w:p>
<w:p>
<w:pPr><w:pStyle w:val="Normal"/></w:pPr>
<w:r><w:t xml:space="preserve">that it dealt with the establishment of the worship of</w:t></w:r>
</w:p>
<w:p>
<w:pPr><w:pStyle w:val="Normal"/></w:pPr>
<w:r><w:t xml:space="preserve">Prometheus under that title, which is known to have. existed at</w:t></w:r>
</w:p>
<w:p>
<w:pPr><w:pStyle w:val="Normal"/></w:pPr>
<w:r><w:t xml:space="preserve">Athens.  But the other order is on all grounds more probable; it</w:t></w:r>
</w:p>
<w:p>
<w:pPr><w:pStyle w:val="Normal"/></w:pPr>
<w:r><w:t xml:space="preserve">keeps the natural sequence---crime, punishment, reconciliation,</w:t></w:r>
</w:p>
<w:p>
<w:pPr><w:pStyle w:val="Normal"/></w:pPr>
<w:r><w:t xml:space="preserve">which is also the sequence in the Oresteia. And if the</w:t></w:r>
</w:p>
<w:p>
<w:pPr><w:pStyle w:val="Normal"/></w:pPr>
<w:r><w:t xml:space="preserve">reconciliation was achieved in the second play, no scheme of</w:t></w:r>
</w:p>
<w:p>
<w:pPr><w:pStyle w:val="Normal"/></w:pPr>
<w:r><w:t xml:space="preserve">action sufficing for the third drama seems even plausible.1</w:t></w:r>
</w:p>
<w:p>
<w:pPr><w:pStyle w:val="Normal"/></w:pPr>
<w:r><w:t xml:space="preserve">However that may be, the play that survives is a poem of</w:t></w:r>
</w:p>
<w:p>
<w:pPr><w:pStyle w:val="Normal"/></w:pPr>
<w:r><w:t xml:space="preserve">unsurpassed force and impressiveness.  Nevertheless, from the</w:t></w:r>
</w:p>
<w:p>
<w:pPr><w:pStyle w:val="Normal"/></w:pPr>
<w:r><w:t xml:space="preserve">point of view of the development of drama, there seems at first</w:t></w:r>
</w:p>
<w:p>
<w:pPr><w:pStyle w:val="Normal"/></w:pPr>
<w:r><w:t xml:space="preserve">sight little scope in the story for the normal human interest</w:t></w:r>
</w:p>
<w:p>
<w:pPr><w:pStyle w:val="Normal"/></w:pPr>
<w:r><w:t xml:space="preserve">of a tragedy, since the actors are all divine, except Io, who</w:t></w:r>
</w:p>
<w:p>
<w:pPr><w:pStyle w:val="Normal"/></w:pPr>
<w:r><w:t xml:space="preserve">is a distracted wanderer, victim of Zeus&apos; cruelty; and between</w:t></w:r>
</w:p>
<w:p>
<w:pPr><w:pStyle w:val="Normal"/></w:pPr>
<w:r><w:t xml:space="preserve">the opening where Prometheus is nailed to the Scythian rock,</w:t></w:r>
</w:p>
<w:p>
<w:pPr><w:pStyle w:val="Normal"/></w:pPr>
<w:r><w:t xml:space="preserve">and the close where the earthquake engulfs the rock, the hero</w:t></w:r>
</w:p>
<w:p>
<w:pPr><w:pStyle w:val="Normal"/></w:pPr>
<w:r><w:t xml:space="preserve">and the chorus, action in the ordinary sense is ipso facto</w:t></w:r>
</w:p>
<w:p>
<w:pPr><w:pStyle w:val="Normal"/></w:pPr>
<w:r><w:t xml:space="preserve">impossible.  This is just the opportunity for the poet&apos;s bold</w:t></w:r>
</w:p>
<w:p>
<w:pPr><w:pStyle w:val="Normal"/></w:pPr>
<w:r><w:t xml:space="preserve">inventiveness and fine imagination.  The tortured sufferer</w:t></w:r>
</w:p>
<w:p>
<w:pPr><w:pStyle w:val="Normal"/></w:pPr>
<w:r><w:t xml:space="preserve">is visited by the Oceanic Nymphs, who float in, borne by an</w:t></w:r>
</w:p>
<w:p>
<w:pPr><w:pStyle w:val="Normal"/></w:pPr>
<w:r><w:t xml:space="preserve">(imaginary) winged car, to console; Oceanus (riding a griffin,</w:t></w:r>
</w:p>
<w:p>
<w:pPr><w:pStyle w:val="Normal"/></w:pPr>
<w:r><w:t xml:space="preserve">doubtless also imaginary) follows, kind but timid, to advise</w:t></w:r>
</w:p>
<w:p>
<w:pPr><w:pStyle w:val="Normal"/></w:pPr>
<w:r><w:t xml:space="preserve">submission; then appears Io, victim of Zeus&apos; love and Hera&apos;s</w:t></w:r>
</w:p>
<w:p>
<w:pPr><w:pStyle w:val="Normal"/></w:pPr>
<w:r><w:t xml:space="preserve">jealousy, to whom Prometheus prophesies her future wanderings</w:t></w:r>
</w:p>
<w:p>
<w:pPr><w:pStyle w:val="Normal"/></w:pPr>
<w:r><w:t xml:space="preserve">and his own fate; lastly Hermes, insolent messenger of the</w:t></w:r>
</w:p>
<w:p>
<w:pPr><w:pStyle w:val="Normal"/></w:pPr>
<w:r><w:t xml:space="preserve">gods, who tries in vain to extort Prometheus&apos; secret knowledge</w:t></w:r>
</w:p>
<w:p>
<w:pPr><w:pStyle w:val="Normal"/></w:pPr>
<w:r><w:t xml:space="preserve">of the future.  Oceanus, the well-meaning palavering old</w:t></w:r>
</w:p>
<w:p>
<w:pPr><w:pStyle w:val="Normal"/></w:pPr>
<w:r><w:t xml:space="preserve">mentor, and Hermes, the blustering and futile jack-in-office,</w:t></w:r>
</w:p>
<w:p>
<w:pPr><w:pStyle w:val="Normal"/></w:pPr>
<w:r><w:t xml:space="preserve">gods though they be, are vigorous, audacious and very human</w:t></w:r>
</w:p>
<w:p>
<w:pPr><w:pStyle w:val="Normal"/></w:pPr>
<w:r><w:t xml:space="preserve">character-sketches; the soft entrance of the consoling nymphs</w:t></w:r>
</w:p>
<w:p>
<w:pPr><w:pStyle w:val="Normal"/></w:pPr>
<w:r><w:t xml:space="preserve">is unspeakably beautiful; and the prophecy of Io&apos;s wanderings</w:t></w:r>
</w:p>
<w:p>
<w:pPr><w:pStyle w:val="Normal"/></w:pPr>
<w:r><w:t xml:space="preserve">is a striking example of that new keen interest in the world</w:t></w:r>
</w:p>
<w:p>
<w:pPr><w:pStyle w:val="Normal"/></w:pPr>
<w:r><w:t xml:space="preserve">outside which was felt by the Greeks of the 5th century,</w:t></w:r>
</w:p>
<w:p>
<w:pPr><w:pStyle w:val="Normal"/></w:pPr>
<w:r><w:t xml:space="preserve">as it was felt by the Elizabethan English in a very similar</w:t></w:r>
</w:p>
<w:p>
<w:pPr><w:pStyle w:val="Normal"/></w:pPr>
<w:r><w:t xml:space="preserve">epoch of national spirit and enterprise two thousand years</w:t></w:r>
</w:p>
<w:p>
<w:pPr><w:pStyle w:val="Normal"/></w:pPr>
<w:r><w:t xml:space="preserve">later.  Thus, though dramatic action is by the nature of the</w:t></w:r>
</w:p>
<w:p>
<w:pPr><w:pStyle w:val="Normal"/></w:pPr>
<w:r><w:t xml:space="preserve">case impossible for the hero, the visitors provide real drama.</w:t></w:r>
</w:p>
<w:p>
<w:pPr><w:pStyle w:val="Normal"/></w:pPr>
<w:r><w:t xml:space="preserve">Another important point in the development of tragedy</w:t></w:r>
</w:p>
<w:p>
<w:pPr><w:pStyle w:val="Normal"/></w:pPr>
<w:r><w:t xml:space="preserve">is what we may call the ``balanced issue.&apos;&apos; The question</w:t></w:r>
</w:p>
<w:p>
<w:pPr><w:pStyle w:val="Normal"/></w:pPr>
<w:r><w:t xml:space="preserve">in Suppliants is the protection of the threatened</w:t></w:r>
</w:p>
<w:p>
<w:pPr><w:pStyle w:val="Normal"/></w:pPr>
<w:r><w:t xml:space="preserve">fugitives; in Persae the humiliation of overweening</w:t></w:r>
</w:p>
<w:p>
<w:pPr><w:pStyle w:val="Normal"/></w:pPr>
<w:r><w:t xml:space="preserve">pride.  So far the sympathy of the audience is not doubtful or</w:t></w:r>
</w:p>
<w:p>
<w:pPr><w:pStyle w:val="Normal"/></w:pPr>
<w:r><w:t xml:space="preserve">divided.  In the Septein there is an approach to conflict</w:t></w:r>
</w:p>
<w:p>
<w:pPr><w:pStyle w:val="Normal"/></w:pPr>
<w:r><w:t xml:space="preserve">of feeling; the banished brother has a personal grievance,</w:t></w:r>
</w:p>
<w:p>
<w:pPr><w:pStyle w:val="Normal"/></w:pPr>
<w:r><w:t xml:space="preserve">though guilty of the impious crime of attacking his own</w:t></w:r>
</w:p>
<w:p>
<w:pPr><w:pStyle w:val="Normal"/></w:pPr>
<w:r><w:t xml:space="preserve">country.  The sympathy must be for the defender Eteocles;</w:t></w:r>
</w:p>
<w:p>
<w:pPr><w:pStyle w:val="Normal"/></w:pPr>
<w:r><w:t xml:space="preserve">but it is at least somewhat qualified by his injustice to his</w:t></w:r>
</w:p>
<w:p>
<w:pPr><w:pStyle w:val="Normal"/></w:pPr>
<w:r><w:t xml:space="preserve">brother.  In Prometheus the issue is more nearly balanced.</w:t></w:r>
</w:p>
<w:p>
<w:pPr><w:pStyle w:val="Normal"/></w:pPr>
<w:r><w:t xml:space="preserve">The hero is both a victim and a rebel.  He is punished for his</w:t></w:r>
</w:p>
<w:p>
<w:pPr><w:pStyle w:val="Normal"/></w:pPr>
<w:r><w:t xml:space="preserve">benefits to man; but though Zeus is tyrannous and ungrateful,</w:t></w:r>
</w:p>
<w:p>
<w:pPr><w:pStyle w:val="Normal"/></w:pPr>
<w:r><w:t xml:space="preserve">the hero&apos;s reckless defiance is shocking to Greek feeling.</w:t></w:r>
</w:p>
<w:p>
<w:pPr><w:pStyle w:val="Normal"/></w:pPr>
<w:r><w:t xml:space="preserve">As the play goes on, this is subtly and delicately indicated</w:t></w:r>
</w:p>
<w:p>
<w:pPr><w:pStyle w:val="Normal"/></w:pPr>
<w:r><w:t xml:space="preserve">by the attitude of the chorus.  They enter overflowing with</w:t></w:r>
</w:p>
<w:p>
<w:pPr><w:pStyle w:val="Normal"/></w:pPr>
<w:r><w:t xml:space="preserve">pity.  They are slowly chilled and alienated by the hero&apos;s</w:t></w:r>
</w:p>
<w:p>
<w:pPr><w:pStyle w:val="Normal"/></w:pPr>
<w:r><w:t xml:space="preserve">violence and impiety; but they nobly decline, at the last</w:t></w:r>
</w:p>
<w:p>
<w:pPr><w:pStyle w:val="Normal"/></w:pPr>
<w:r><w:t xml:space="preserve">crisis, the mean advice of Hermes to desert Prometheus and</w:t></w:r>
</w:p>
<w:p>
<w:pPr><w:pStyle w:val="Normal"/></w:pPr>
<w:r><w:t xml:space="preserve">save themselves; and in the final crash they share his fate.</w:t></w:r>
</w:p>
<w:p>
<w:pPr><w:pStyle w:val="Normal"/></w:pPr>
<w:r><w:t xml:space="preserve">Oresteia.---The last and greatest work of Aeschylus is the</w:t></w:r>
</w:p>
<w:p>
<w:pPr><w:pStyle w:val="Normal"/></w:pPr>
<w:r><w:t xml:space="preserve">Oresteia, which also has the interest of being the only complete</w:t></w:r>
</w:p>
<w:p>
<w:pPr><w:pStyle w:val="Normal"/></w:pPr>
<w:r><w:t xml:space="preserve">trilogy preserved to us.  It is a three-act drama of family</w:t></w:r>
</w:p>
<w:p>
<w:pPr><w:pStyle w:val="Normal"/></w:pPr>
<w:r><w:t xml:space="preserve">fate, like the Oedipus-trilogy; and the acts are the sin, the</w:t></w:r>
</w:p>
<w:p>
<w:pPr><w:pStyle w:val="Normal"/></w:pPr>
<w:r><w:t xml:space="preserve">revenge, the reconciliation, as in the Prometheus-trilogy.</w:t></w:r>
</w:p>
<w:p>
<w:pPr><w:pStyle w:val="Normal"/></w:pPr>
<w:r><w:t xml:space="preserve">Again, as in Prometheus, the plot, at first sight, is such</w:t></w:r>
</w:p>
<w:p>
<w:pPr><w:pStyle w:val="Normal"/></w:pPr>
<w:r><w:t xml:space="preserve">that the conditions of drama seem to exclude much development in</w:t></w:r>
</w:p>
<w:p>
<w:pPr><w:pStyle w:val="Normal"/></w:pPr>
<w:r><w:t xml:space="preserve">character-drawing.  The gods are everywhere at the root of the</w:t></w:r>
</w:p>
<w:p>
<w:pPr><w:pStyle w:val="Normal"/></w:pPr>
<w:r><w:t xml:space="preserve">action.  The inspired prophet, Calchas, has demanded the sacrifice</w:t></w:r>
</w:p>
<w:p>
<w:pPr><w:pStyle w:val="Normal"/></w:pPr>
<w:r><w:t xml:space="preserve">of the king&apos;s daughter Iphigenia, to appease the offended</w:t></w:r>
</w:p>
<w:p>
<w:pPr><w:pStyle w:val="Normal"/></w:pPr>
<w:r><w:t xml:space="preserve">Artemis.  The inspired Cassandra, brought in as a spear-won</w:t></w:r>
</w:p>
<w:p>
<w:pPr><w:pStyle w:val="Normal"/></w:pPr>
<w:r><w:t xml:space="preserve">slave from conquered Troy, reveals the murderous past of the</w:t></w:r>
</w:p>
<w:p>
<w:pPr><w:pStyle w:val="Normal"/></w:pPr>
<w:r><w:t xml:space="preserve">Pelopid house, and the imminent slaughter of the king by his</w:t></w:r>
</w:p>
<w:p>
<w:pPr><w:pStyle w:val="Normal"/></w:pPr>
<w:r><w:t xml:space="preserve">wife.  Apollo orders the son, Orestes, to avenge his father by</w:t></w:r>
</w:p>
<w:p>
<w:pPr><w:pStyle w:val="Normal"/></w:pPr>
<w:r><w:t xml:space="preserve">killing the murderess, and protects him when after the deed he</w:t></w:r>
</w:p>
<w:p>
<w:pPr><w:pStyle w:val="Normal"/></w:pPr>
<w:r><w:t xml:space="preserve">takes sanctuary at Delphi.  The Erinnyes (``Furies&apos;&apos;) pursue</w:t></w:r>
</w:p>
<w:p>
<w:pPr><w:pStyle w:val="Normal"/></w:pPr>
<w:r><w:t xml:space="preserve">him over land and sea; and at last Athena gives him shelter at</w:t></w:r>
</w:p>
<w:p>
<w:pPr><w:pStyle w:val="Normal"/></w:pPr>
<w:r><w:t xml:space="preserve">Athens, summons an Athenian council to judge his guilt, and</w:t></w:r>
</w:p>
<w:p>
<w:pPr><w:pStyle w:val="Normal"/></w:pPr>
<w:r><w:t xml:space="preserve">when the court is equally divided gives her casting vote for</w:t></w:r>
</w:p>
<w:p>
<w:pPr><w:pStyle w:val="Normal"/></w:pPr>
<w:r><w:t xml:space="preserve">mercy.  The last act ends with the reconciliation of Athena</w:t></w:r>
</w:p>
<w:p>
<w:pPr><w:pStyle w:val="Normal"/></w:pPr>
<w:r><w:t xml:space="preserve">and the Furies; and the latter receive a shrine and worship</w:t></w:r>
</w:p>
<w:p>
<w:pPr><w:pStyle w:val="Normal"/></w:pPr>
<w:r><w:t xml:space="preserve">at Athens, and promise favour and prosperity to the great</w:t></w:r>
</w:p>
<w:p>
<w:pPr><w:pStyle w:val="Normal"/></w:pPr>
<w:r><w:t xml:space="preserve">city.  The scope for human drama seems deliberately restricted,</w:t></w:r>
</w:p>
<w:p>
<w:pPr><w:pStyle w:val="Normal"/></w:pPr>
<w:r><w:t xml:space="preserve">if not closed, by such a story so handled.  Nevertheless,</w:t></w:r>
</w:p>
<w:p>
<w:pPr><w:pStyle w:val="Normal"/></w:pPr>
<w:r><w:t xml:space="preserve">as a fact, the growth of characterization is, in spite of</w:t></w:r>
</w:p>
<w:p>
<w:pPr><w:pStyle w:val="Normal"/></w:pPr>
<w:r><w:t xml:space="preserve">all, not only visible but remarkable.  Clytemnestra is one</w:t></w:r>
</w:p>
<w:p>
<w:pPr><w:pStyle w:val="Normal"/></w:pPr>
<w:r><w:t xml:space="preserve">of the most powerfully presented characters of the Greek</w:t></w:r>
</w:p>
<w:p>
<w:pPr><w:pStyle w:val="Normal"/></w:pPr>
<w:r><w:t xml:space="preserve">drama.  Her manly courage, her vindictive and unshaken purpose,</w:t></w:r>
</w:p>
<w:p>
<w:pPr><w:pStyle w:val="Normal"/></w:pPr>
<w:r><w:t xml:space="preserve">her hardly hidden contempt for her tool and accomplice,</w:t></w:r>
</w:p>
<w:p>
<w:pPr><w:pStyle w:val="Normal"/></w:pPr>
<w:r><w:t xml:space="preserve">Aegisthus, her cold scorn for the feebly vacillating elders, and</w:t></w:r>
</w:p>
<w:p>
<w:pPr><w:pStyle w:val="Normal"/></w:pPr>
<w:r><w:t xml:space="preserve">her unflinching acceptance (in the second play) of inevitable</w:t></w:r>
</w:p>
<w:p>
<w:pPr><w:pStyle w:val="Normal"/></w:pPr>
<w:r><w:t xml:space="preserve">fate, when she faces at last the avowed avenger, are all</w:t></w:r>
</w:p>
<w:p>
<w:pPr><w:pStyle w:val="Normal"/></w:pPr>
<w:r><w:t xml:space="preserve">portrayed with matchless force--her very craft being scornfully</w:t></w:r>
</w:p>
<w:p>
<w:pPr><w:pStyle w:val="Normal"/></w:pPr>
<w:r><w:t xml:space="preserve">assumed, as needful to her purpose, and contemptuously dropped</w:t></w:r>
</w:p>
<w:p>
<w:pPr><w:pStyle w:val="Normal"/></w:pPr>
<w:r><w:t xml:space="preserve">when the purpose is served.  And there is one other noticeable</w:t></w:r>
</w:p>
<w:p>
<w:pPr><w:pStyle w:val="Normal"/></w:pPr>
<w:r><w:t xml:space="preserve">point.  In this trilogy Aeschylus, for the first time, has</w:t></w:r>
</w:p>
<w:p>
<w:pPr><w:pStyle w:val="Normal"/></w:pPr>
<w:r><w:t xml:space="preserve">attempted some touches of character in two of the humbler</w:t></w:r>
</w:p>
<w:p>
<w:pPr><w:pStyle w:val="Normal"/></w:pPr>
<w:r><w:t xml:space="preserve">parts, the Watchman in Agameninoni, and the Nurse in the</w:t></w:r>
</w:p>
<w:p>
<w:pPr><w:pStyle w:val="Normal"/></w:pPr>
<w:r><w:t xml:space="preserve">Choephoroe. The Watchman opens the play, and the vivid and</w:t></w:r>
</w:p>
<w:p>
<w:pPr><w:pStyle w:val="Normal"/></w:pPr>
<w:r><w:t xml:space="preserve">almost humorous sententiousness of his language, his dark</w:t></w:r>
</w:p>
<w:p>
<w:pPr><w:pStyle w:val="Normal"/></w:pPr>
<w:r><w:t xml:space="preserve">hints, his pregnant metaphors drawn from common speech, at</w:t></w:r>
</w:p>
<w:p>
<w:pPr><w:pStyle w:val="Normal"/></w:pPr>
<w:r><w:t xml:space="preserve">once give a striking touch of realism, and form a pointed</w:t></w:r>
</w:p>
<w:p>
<w:pPr><w:pStyle w:val="Normal"/></w:pPr>
<w:r><w:t xml:space="preserve">contrast to the terrible drama that impends.  A very similar</w:t></w:r>
</w:p>
<w:p>
<w:pPr><w:pStyle w:val="Normal"/></w:pPr>
<w:r><w:t xml:space="preserve">effect is produced at the crisis of the Choephoroe by the</w:t></w:r>
</w:p>
<w:p>
<w:pPr><w:pStyle w:val="Normal"/></w:pPr>
<w:r><w:t xml:space="preserve">speech of the Nurse, who coming on a message to Aegisthus pours</w:t></w:r>
</w:p>
<w:p>
<w:pPr><w:pStyle w:val="Normal"/></w:pPr>
<w:r><w:t xml:space="preserve">out to the chorus her sorrow at the reported death of Orestes</w:t></w:r>
</w:p>
<w:p>
<w:pPr><w:pStyle w:val="Normal"/></w:pPr>
<w:r><w:t xml:space="preserve">and her fond memories of his babyhood---with the most homely</w:t></w:r>
</w:p>
<w:p>
<w:pPr><w:pStyle w:val="Normal"/></w:pPr>
<w:r><w:t xml:space="preserve">details; and the most striking realistic touch is perhaps</w:t></w:r>
</w:p>
<w:p>
<w:pPr><w:pStyle w:val="Normal"/></w:pPr>
<w:r><w:t xml:space="preserve">the broken structure and almost inconsequent utterance of the</w:t></w:r>
</w:p>
<w:p>
<w:pPr><w:pStyle w:val="Normal"/></w:pPr>
<w:r><w:t xml:space="preserve">old faithful slave&apos;s speech.  These two are veritable figures</w:t></w:r>
</w:p>
<w:p>
<w:pPr><w:pStyle w:val="Normal"/></w:pPr>
<w:r><w:t xml:space="preserve">drawn from contemporary life; and though both appear only</w:t></w:r>
</w:p>
<w:p>
<w:pPr><w:pStyle w:val="Normal"/></w:pPr>
<w:r><w:t xml:space="preserve">once, and are quite unimportant in the drama, the innovation</w:t></w:r>
</w:p>
<w:p>
<w:pPr><w:pStyle w:val="Normal"/></w:pPr>
<w:r><w:t xml:space="preserve">is most significant, and especially as adopted by Aeschylus.</w:t></w:r>
</w:p>
<w:p>
<w:pPr><w:pStyle w:val="Normal"/></w:pPr>
<w:r><w:t xml:space="preserve">It remains to say a word on two more points, the religious ideas</w:t></w:r>
</w:p>
<w:p>
<w:pPr><w:pStyle w:val="Normal"/></w:pPr>
<w:r><w:t xml:space="preserve">of Aeschylus and some of the main characteristics of his poetry.</w:t></w:r>
</w:p>
<w:p>
<w:pPr><w:pStyle w:val="Normal"/></w:pPr>
<w:r><w:t xml:space="preserve">The religious aspect of the drama in one sense was prominent</w:t></w:r>
</w:p>
<w:p>
<w:pPr><w:pStyle w:val="Normal"/></w:pPr>
<w:r><w:t xml:space="preserve">from the first, owing to its evolution from the choral</w:t></w:r>
</w:p>
<w:p>
<w:pPr><w:pStyle w:val="Normal"/></w:pPr>
<w:r><w:t xml:space="preserve">celebration of the god Dionysus.  But the new spirit imported</w:t></w:r>
</w:p>
<w:p>
<w:pPr><w:pStyle w:val="Normal"/></w:pPr>
<w:r><w:t xml:space="preserve">by the genius of Aeschylus into the early drama was religious</w:t></w:r>
</w:p>
<w:p>
<w:pPr><w:pStyle w:val="Normal"/></w:pPr>
<w:r><w:t xml:space="preserve">in a profounder meaning of the term.  The sadness of human lot,</w:t></w:r>
</w:p>
<w:p>
<w:pPr><w:pStyle w:val="Normal"/></w:pPr>
<w:r><w:t xml:space="preserve">the power and mysterious dealings of the gods, their terrible</w:t></w:r>
</w:p>
<w:p>
<w:pPr><w:pStyle w:val="Normal"/></w:pPr>
<w:r><w:t xml:space="preserve">and inscrutable wrath and jealousy (aga and pthonos),</w:t></w:r>
</w:p>
<w:p>
<w:pPr><w:pStyle w:val="Normal"/></w:pPr>
<w:r><w:t xml:space="preserve">their certain vengeance upon sinners, all the more fearful</w:t></w:r>
</w:p>
<w:p>
<w:pPr><w:pStyle w:val="Normal"/></w:pPr>
<w:r><w:t xml:space="preserve">it delayed.---Such are the poet&apos;s constant themes, delivered</w:t></w:r>
</w:p>
<w:p>
<w:pPr><w:pStyle w:val="Normal"/></w:pPr>
<w:r><w:t xml:space="preserve">with strange solemnity and impressiveness in the the songs,</w:t></w:r>
</w:p>
<w:p>
<w:pPr><w:pStyle w:val="Normal"/></w:pPr>
<w:r><w:t xml:space="preserve">especially in the Oresteia. And at times, particularly in</w:t></w:r>
</w:p>
<w:p>
<w:pPr><w:pStyle w:val="Normal"/></w:pPr>
<w:r><w:t xml:space="preserve">the Trilogy, in his reference to the divine power of Zeus,</w:t></w:r>
</w:p>
<w:p>
<w:pPr><w:pStyle w:val="Normal"/></w:pPr>
<w:r><w:t xml:space="preserve">he almost approaches a stern and sombre monotheism. ``One God</w:t></w:r>
</w:p>
<w:p>
<w:pPr><w:pStyle w:val="Normal"/></w:pPr>
<w:r><w:t xml:space="preserve">above all, who directs all, who is the cause of all&apos;&apos; (Ag.</w:t></w:r>
</w:p>
<w:p>
<w:pPr><w:pStyle w:val="Normal"/></w:pPr>
<w:r><w:t xml:space="preserve">163, 1485); the watchfulness of this Power over human action</w:t></w:r>
</w:p>
<w:p>
<w:pPr><w:pStyle w:val="Normal"/></w:pPr>
<w:r><w:t xml:space="preserve">(363-367), especially over the punishment of their sins; and</w:t></w:r>
</w:p>
<w:p>
<w:pPr><w:pStyle w:val="Normal"/></w:pPr>
<w:r><w:t xml:space="preserve">the mysterious law whereby sin always begets new sin (Ag.</w:t></w:r>
</w:p>
<w:p>
<w:pPr><w:pStyle w:val="Normal"/></w:pPr>
<w:r><w:t xml:space="preserve">758-760):---these are ideas on which Aeschylus dwells in the</w:t></w:r>
</w:p>
<w:p>
<w:pPr><w:pStyle w:val="Normal"/></w:pPr>
<w:r><w:t xml:space="preserve">Agamemnon with peculiar force, in a strain at once lofty and</w:t></w:r>
</w:p>
<w:p>
<w:pPr><w:pStyle w:val="Normal"/></w:pPr>
<w:r><w:t xml:space="preserve">sombre.  One specially noteworthy point in that play is his</w:t></w:r>
</w:p>
<w:p>
<w:pPr><w:pStyle w:val="Normal"/></w:pPr>
<w:r><w:t xml:space="preserve">explicit repudiation of the common Hellenic view that prosperity</w:t></w:r>
</w:p>
<w:p>
<w:pPr><w:pStyle w:val="Normal"/></w:pPr>
<w:r><w:t xml:space="preserve">brings ruin.  In other places he seems to share the feeling;</w:t></w:r>
</w:p>
<w:p>
<w:pPr><w:pStyle w:val="Normal"/></w:pPr>
<w:r><w:t xml:space="preserve">but here (Ag. 730) he goes deeper, and declares that it is</w:t></w:r>
</w:p>
<w:p>
<w:pPr><w:pStyle w:val="Normal"/></w:pPr>
<w:r><w:t xml:space="preserve">not olbos but always wickedness that brings about men&apos;s</w:t></w:r>
</w:p>
<w:p>
<w:pPr><w:pStyle w:val="Normal"/></w:pPr>
<w:r><w:t xml:space="preserve">fall.  All through there is a recurring note of fear in his</w:t></w:r>
</w:p>
<w:p>
<w:pPr><w:pStyle w:val="Normal"/></w:pPr>
<w:r><w:t xml:space="preserve">view of man&apos;s destiny, expressed in vivid images---the ``death</w:t></w:r>
</w:p>
<w:p>
<w:pPr><w:pStyle w:val="Normal"/></w:pPr>
<w:r><w:t xml:space="preserve">that lurks behind the wall&apos;&apos; (Ag. 1004), the ``hidden reef</w:t></w:r>
</w:p>
<w:p>
<w:pPr><w:pStyle w:val="Normal"/></w:pPr>
<w:r><w:t xml:space="preserve">which wrecks the bark, unable to weather the headland&apos;&apos; (Eum.</w:t></w:r>
</w:p>
<w:p>
<w:pPr><w:pStyle w:val="Normal"/></w:pPr>
<w:r><w:t xml:space="preserve">561-565).  In one remarkable passage of the Eumenides</w:t></w:r>
</w:p>
<w:p>
<w:pPr><w:pStyle w:val="Normal"/></w:pPr>
<w:r><w:t xml:space="preserve">(517-525) this fear is extolled as a moral power which ought</w:t></w:r>
</w:p>
<w:p>
<w:pPr><w:pStyle w:val="Normal"/></w:pPr>
<w:r><w:t xml:space="preserve">to be enthroned in men&apos;s hearts, to deter them from impious or</w:t></w:r>
</w:p>
<w:p>
<w:pPr><w:pStyle w:val="Normal"/></w:pPr>
<w:r><w:t xml:space="preserve">violent acts, or from the pride that impels them, to such sins.</w:t></w:r>
</w:p>
<w:p>
<w:pPr><w:pStyle w:val="Normal"/></w:pPr>
<w:r><w:t xml:space="preserve">Of the poetic qualities of Aeschylus&apos; drama and diction,</w:t></w:r>
</w:p>
<w:p>
<w:pPr><w:pStyle w:val="Normal"/></w:pPr>
<w:r><w:t xml:space="preserve">both in the lyrics and the dialogue, no adequate account</w:t></w:r>
</w:p>
<w:p>
<w:pPr><w:pStyle w:val="Normal"/></w:pPr>
<w:r><w:t xml:space="preserve">can be attempted; the briefest word must here suffice.</w:t></w:r>
</w:p>
<w:p>
<w:pPr><w:pStyle w:val="Normal"/></w:pPr>
<w:r><w:t xml:space="preserve">He is everywhere distinguished by grandeur and power of</w:t></w:r>
</w:p>
<w:p>
<w:pPr><w:pStyle w:val="Normal"/></w:pPr>
<w:r><w:t xml:space="preserve">conception, presentation and expression, and most of all in</w:t></w:r>
</w:p>
<w:p>
<w:pPr><w:pStyle w:val="Normal"/></w:pPr>
<w:r><w:t xml:space="preserve">the latest works, the Prometheus and the Trilogy.  He</w:t></w:r>
</w:p>
<w:p>
<w:pPr><w:pStyle w:val="Normal"/></w:pPr>
<w:r><w:t xml:space="preserve">is pre-eminent in depicting the slow approach of fear, as in</w:t></w:r>
</w:p>
<w:p>
<w:pPr><w:pStyle w:val="Normal"/></w:pPr>
<w:r><w:t xml:space="preserve">the Persae; the imminent horror of impending fate, as in</w:t></w:r>
</w:p>
<w:p>
<w:pPr><w:pStyle w:val="Normal"/></w:pPr>
<w:r><w:t xml:space="preserve">the broken cries and visions of Cassandra in the Agamemnon</w:t></w:r>
</w:p>
<w:p>
<w:pPr><w:pStyle w:val="Normal"/></w:pPr>
<w:r><w:t xml:space="preserve">(1072-1177), the long lament and prayers to the nether powers</w:t></w:r>
</w:p>
<w:p>
<w:pPr><w:pStyle w:val="Normal"/></w:pPr>
<w:r><w:t xml:space="preserve">in the Choephoroe (313-478), and the gradual rousing of the</w:t></w:r>
</w:p>
<w:p>
<w:pPr><w:pStyle w:val="Normal"/></w:pPr>
<w:r><w:t xml:space="preserve">slumbering Furies in the Eumenides (117-139).  The fatal</w:t></w:r>
</w:p>
<w:p>
<w:pPr><w:pStyle w:val="Normal"/></w:pPr>
<w:r><w:t xml:space="preserve">end in these tragedies is foreseen; but the effect is due to</w:t></w:r>
</w:p>
<w:p>
<w:pPr><w:pStyle w:val="Normal"/></w:pPr>
<w:r><w:t xml:space="preserve">its measured advance, to the slowly darkening suspense which</w:t></w:r>
</w:p>
<w:p>
<w:pPr><w:pStyle w:val="Normal"/></w:pPr>
<w:r><w:t xml:space="preserve">no poet has more powerfully rendered.  Again, he is a master</w:t></w:r>
</w:p>
<w:p>
<w:pPr><w:pStyle w:val="Normal"/></w:pPr>
<w:r><w:t xml:space="preserve">of contrasts, especially of the Beautiful with the Tragic:</w:t></w:r>
</w:p>
<w:p>
<w:pPr><w:pStyle w:val="Normal"/></w:pPr>
<w:r><w:t xml:space="preserve">as when the floating vision of consoling nymphs appears to</w:t></w:r>
</w:p>
<w:p>
<w:pPr><w:pStyle w:val="Normal"/></w:pPr>
<w:r><w:t xml:space="preserve">the tortured Prometheus (115-135); or the unmatched lyrics</w:t></w:r>
</w:p>
<w:p>
<w:pPr><w:pStyle w:val="Normal"/></w:pPr>
<w:r><w:t xml:space="preserve">which tell (in the Agamemnon, 228-247) of the death of</w:t></w:r>
</w:p>
<w:p>
<w:pPr><w:pStyle w:val="Normal"/></w:pPr>
<w:r><w:t xml:space="preserve">Iphigenia; or the vision of his lost love that the night</w:t></w:r>
</w:p>
<w:p>
<w:pPr><w:pStyle w:val="Normal"/></w:pPr>
<w:r><w:t xml:space="preserve">brings to Menelaus (410-426).  And not least noticeable is</w:t></w:r>
</w:p>
<w:p>
<w:pPr><w:pStyle w:val="Normal"/></w:pPr>
<w:r><w:t xml:space="preserve">the extraordinary range, force and imaginativeness of his</w:t></w:r>
</w:p>
<w:p>
<w:pPr><w:pStyle w:val="Normal"/></w:pPr>
<w:r><w:t xml:space="preserve">diction.  One example of his lyrics may be given which will</w:t></w:r>
</w:p>
<w:p>
<w:pPr><w:pStyle w:val="Normal"/></w:pPr>
<w:r><w:t xml:space="preserve">illustrate more than one of these points.  It is taken from</w:t></w:r>
</w:p>
<w:p>
<w:pPr><w:pStyle w:val="Normal"/></w:pPr>
<w:r><w:t xml:space="preserve">the long lament in the Septem, sung by the chorus and the two</w:t></w:r>
</w:p>
<w:p>
<w:pPr><w:pStyle w:val="Normal"/></w:pPr>
<w:r><w:t xml:space="preserve">sisters, while following the funeral procession of the two</w:t></w:r>
</w:p>
<w:p>
<w:pPr><w:pStyle w:val="Normal"/></w:pPr>
<w:r><w:t xml:space="preserve">princes.  These laments may at times be wearisome to the modern</w:t></w:r>
</w:p>
<w:p>
<w:pPr><w:pStyle w:val="Normal"/></w:pPr>
<w:r><w:t xml:space="preserve">reader, who does not see, and imperfectly imagines, the stately</w:t></w:r>
</w:p>
<w:p>
<w:pPr><w:pStyle w:val="Normal"/></w:pPr>
<w:r><w:t xml:space="preserve">and pathetic spectacle; but to the ancient feeling they were as</w:t></w:r>
</w:p>
<w:p>
<w:pPr><w:pStyle w:val="Normal"/></w:pPr>
<w:r><w:t xml:space="preserve">solemn and impressive as they were ceremonially indispensable.</w:t></w:r>
</w:p>
<w:p>
<w:pPr><w:pStyle w:val="Normal"/></w:pPr>
<w:r><w:t xml:space="preserve">The solemnity is here heightened by the following lines sung</w:t></w:r>
</w:p>
<w:p>
<w:pPr><w:pStyle w:val="Normal"/></w:pPr>
<w:r><w:t xml:space="preserve">by one of the chorus of Theban women (Sept. 854-860):--</w:t></w:r>
</w:p>
<w:p>
<w:pPr><w:pStyle w:val="Normal"/></w:pPr>
<w:r><w:t xml:space="preserve">Nay, with the wafting gale of your sighs, my sisters,</w:t></w:r>
</w:p>
<w:p>
<w:pPr><w:pStyle w:val="Normal"/></w:pPr>
<w:r><w:t xml:space="preserve">Beat on your heads with your hands the stroke as of oars,</w:t></w:r>
</w:p>
<w:p>
<w:pPr><w:pStyle w:val="Normal"/></w:pPr>
<w:r><w:t xml:space="preserve">The stroke that passes ever across Acheron,</w:t></w:r>
</w:p>
<w:p>
<w:pPr><w:pStyle w:val="Normal"/></w:pPr>
<w:r><w:t xml:space="preserve">Speeding on its way the black-robed sacred bark,--</w:t></w:r>
</w:p>
<w:p>
<w:pPr><w:pStyle w:val="Normal"/></w:pPr>
<w:r><w:t xml:space="preserve">The bark Apollo comes not near,</w:t></w:r>
</w:p>
<w:p>
<w:pPr><w:pStyle w:val="Normal"/></w:pPr>
<w:r><w:t xml:space="preserve">The bark that is hidden from the sunlight--</w:t></w:r>
</w:p>
<w:p>
<w:pPr><w:pStyle w:val="Normal"/></w:pPr>
<w:r><w:t xml:space="preserve">To the shore of darkness that welcomes all!</w:t></w:r>
</w:p>
<w:p>
<w:pPr><w:pStyle w:val="Normal"/></w:pPr>
<w:r><w:t xml:space="preserve">AUTHORITIES.---The chief authority for the text is a single</w:t></w:r>
</w:p>
<w:p>
<w:pPr><w:pStyle w:val="Normal"/></w:pPr>
<w:r><w:t xml:space="preserve">MS. at Florence, of the early 11th century, known as the</w:t></w:r>
</w:p>
<w:p>
<w:pPr><w:pStyle w:val="Normal"/></w:pPr>
<w:r><w:t xml:space="preserve">Medicean or M., written by a professional scribe and revised</w:t></w:r>
</w:p>
<w:p>
<w:pPr><w:pStyle w:val="Normal"/></w:pPr>
<w:r><w:t xml:space="preserve">by a contemporary scholar, who corrected the copyist&apos;s</w:t></w:r>
</w:p>
<w:p>
<w:pPr><w:pStyle w:val="Normal"/></w:pPr>
<w:r><w:t xml:space="preserve">mistakes, added the scholia, the arguments and the dramatis</w:t></w:r>
</w:p>
<w:p>
<w:pPr><w:pStyle w:val="Normal"/></w:pPr>
<w:r><w:t xml:space="preserve">personae of three plays (Theb., Agam, Eum.), and at</w:t></w:r>
</w:p>
<w:p>
<w:pPr><w:pStyle w:val="Normal"/></w:pPr>
<w:r><w:t xml:space="preserve">the end the Life of Aeschylus and the Catalogue of his</w:t></w:r>
</w:p>
<w:p>
<w:pPr><w:pStyle w:val="Normal"/></w:pPr>
<w:r><w:t xml:space="preserve">dramas.  The MS. has also been further corrected by later</w:t></w:r>
</w:p>
<w:p>
<w:pPr><w:pStyle w:val="Normal"/></w:pPr>
<w:r><w:t xml:space="preserve">hands.  In 1896 the Italian Ministry of Public Instruction</w:t></w:r>
</w:p>
<w:p>
<w:pPr><w:pStyle w:val="Normal"/></w:pPr>
<w:r><w:t xml:space="preserve">published the MS. in photographic facsimile, with an instructive</w:t></w:r>
</w:p>
<w:p>
<w:pPr><w:pStyle w:val="Normal"/></w:pPr>
<w:r><w:t xml:space="preserve">preface by Signor Rostagno.  Besides M. there are some eight</w:t></w:r>
</w:p>
<w:p>
<w:pPr><w:pStyle w:val="Normal"/></w:pPr>
<w:r><w:t xml:space="preserve">later MSS. (13th to 15th century), and numerous copies of the</w:t></w:r>
</w:p>
<w:p>
<w:pPr><w:pStyle w:val="Normal"/></w:pPr>
<w:r><w:t xml:space="preserve">three select plays (Sept., Pers., Prom.) which were most</w:t></w:r>
</w:p>
<w:p>
<w:pPr><w:pStyle w:val="Normal"/></w:pPr>
<w:r><w:t xml:space="preserve">read in the later Byzantine period, when Greek literature</w:t></w:r>
</w:p>
<w:p>
<w:pPr><w:pStyle w:val="Normal"/></w:pPr>
<w:r><w:t xml:space="preserve">was reduced to gradually diminishing excerpts.  These later</w:t></w:r>
</w:p>
<w:p>
<w:pPr><w:pStyle w:val="Normal"/></w:pPr>
<w:r><w:t xml:space="preserve">MSS. are of little value or authority.  The editions, from</w:t></w:r>
</w:p>
<w:p>
<w:pPr><w:pStyle w:val="Normal"/></w:pPr>
<w:r><w:t xml:space="preserve">the beginning of the 15th century to the present are very</w:t></w:r>
</w:p>
<w:p>
<w:pPr><w:pStyle w:val="Normal"/></w:pPr>
<w:r><w:t xml:space="preserve">numerous, and the text has been further continuously improved</w:t></w:r>
</w:p>
<w:p>
<w:pPr><w:pStyle w:val="Normal"/></w:pPr>
<w:r><w:t xml:space="preserve">by isolated suggestions from a host of scholars.  The three</w:t></w:r>
</w:p>
<w:p>
<w:pPr><w:pStyle w:val="Normal"/></w:pPr>
<w:r><w:t xml:space="preserve">first printed copies (Aldine, 1518; Turnebus and Robortello,</w:t></w:r>
</w:p>
<w:p>
<w:pPr><w:pStyle w:val="Normal"/></w:pPr>
<w:r><w:t xml:space="preserve">1552) give only those parts of Agamemnon found in M., from</w:t></w:r>
</w:p>
<w:p>
<w:pPr><w:pStyle w:val="Normal"/></w:pPr>
<w:r><w:t xml:space="preserve">which MS. some leaves were lost; in 1557 the full text was</w:t></w:r>
</w:p>
<w:p>
<w:pPr><w:pStyle w:val="Normal"/></w:pPr>
<w:r><w:t xml:space="preserve">restored by Vettori (Victorius) from later MSS. After these</w:t></w:r>
</w:p>
<w:p>
<w:pPr><w:pStyle w:val="Normal"/></w:pPr>
<w:r><w:t xml:space="preserve">four, the chief editions of He seven plays were those of</w:t></w:r>
</w:p>
<w:p>
<w:pPr><w:pStyle w:val="Normal"/></w:pPr>
<w:r><w:t xml:space="preserve">Schutz, Porson, Burler, Wellauer, Dindorf, Bothe, Ahrens,</w:t></w:r>
</w:p>
<w:p>
<w:pPr><w:pStyle w:val="Normal"/></w:pPr>
<w:r><w:t xml:space="preserve">Paley, Hermann, Hartung, Weil, Merkel, Kirchhoff and</w:t></w:r>
</w:p>
<w:p>
<w:pPr><w:pStyle w:val="Normal"/></w:pPr>
<w:r><w:t xml:space="preserve">Wecklein.  Besides these, over a hundred scholars have</w:t></w:r>
</w:p>
<w:p>
<w:pPr><w:pStyle w:val="Normal"/></w:pPr>
<w:r><w:t xml:space="preserve">thrown light on the corruptions or obscurities of the text,</w:t></w:r>
</w:p>
<w:p>
<w:pPr><w:pStyle w:val="Normal"/></w:pPr>
<w:r><w:t xml:space="preserve">by editions of separate plays, by emendations, by special</w:t></w:r>
</w:p>
<w:p>
<w:pPr><w:pStyle w:val="Normal"/></w:pPr>
<w:r><w:t xml:space="preserve">studies of the poet&apos;s work, or in other ways.  Among recent</w:t></w:r>
</w:p>
<w:p>
<w:pPr><w:pStyle w:val="Normal"/></w:pPr>
<w:r><w:t xml:space="preserve">writers who have made such contributions may be mentioned</w:t></w:r>
</w:p>
<w:p>
<w:pPr><w:pStyle w:val="Normal"/></w:pPr>
<w:r><w:t xml:space="preserve">Wilamowitz-Moellendorf, Enger, Conington, Blaydes, Cobet,</w:t></w:r>
</w:p>
<w:p>
<w:pPr><w:pStyle w:val="Normal"/></w:pPr>
<w:r><w:t xml:space="preserve">Meineke, Madvig, Ellis, W. Headlam, Davies, Tucker, Verrall and</w:t></w:r>
</w:p>
<w:p>
<w:pPr><w:pStyle w:val="Normal"/></w:pPr>
<w:r><w:t xml:space="preserve">Haigh.  The Fragments have been edited by Nauck and also by</w:t></w:r>
</w:p>
<w:p>
<w:pPr><w:pStyle w:val="Normal"/></w:pPr>
<w:r><w:t xml:space="preserve">Wecklein.  The Aeschylean staging is discussed in Albert</w:t></w:r>
</w:p>
<w:p>
<w:pPr><w:pStyle w:val="Normal"/></w:pPr>
<w:r><w:t xml:space="preserve">Muller&apos;s Lehrbuch der griechischen Buhnenalterhumer; in</w:t></w:r>
</w:p>
<w:p>
<w:pPr><w:pStyle w:val="Normal"/></w:pPr>
<w:r><w:t xml:space="preserve">``Die Buhne des Aeschylos,&apos;&apos; by Wilamowitz (Hermes, xxi.);</w:t></w:r>
</w:p>
<w:p>
<w:pPr><w:pStyle w:val="Normal"/></w:pPr>
<w:r><w:t xml:space="preserve">in Smith&apos;s Dict. of Antiquities, art. ``Theatrum&apos;&apos; (R. C.</w:t></w:r>
</w:p>
<w:p>
<w:pPr><w:pStyle w:val="Normal"/></w:pPr>
<w:r><w:t xml:space="preserve">Jebb); in Dorpfeld and Reisch (Das griechische Theater),</w:t></w:r>
</w:p>
<w:p>
<w:pPr><w:pStyle w:val="Normal"/></w:pPr>
<w:r><w:t xml:space="preserve">Haigh&apos;s Attic Theatre, and Gardner and Jevons&apos; Manual of Greek</w:t></w:r>
</w:p>
<w:p>
<w:pPr><w:pStyle w:val="Normal"/></w:pPr>
<w:r><w:t xml:space="preserve">Antiquities. English Verse Translations: Agamemnon, Milman</w:t></w:r>
</w:p>
<w:p>
<w:pPr><w:pStyle w:val="Normal"/></w:pPr>
<w:r><w:t xml:space="preserve">and R. Browning; Oresteia, Suppliants, Persae, Seven against</w:t></w:r>
</w:p>
<w:p>
<w:pPr><w:pStyle w:val="Normal"/></w:pPr>
<w:r><w:t xml:space="preserve">Thebes, Prometheus Vinctus, by E. D. A. Morshead; Prometheus,</w:t></w:r>
</w:p>
<w:p>
<w:pPr><w:pStyle w:val="Normal"/></w:pPr>
<w:r><w:t xml:space="preserve">E. B. Browning; the whole seven plays, Lewis Campbell. (A. SI.)</w:t></w:r>
</w:p>
<w:p>
<w:pPr><w:pStyle w:val="Normal"/></w:pPr>
<w:r><w:t xml:space="preserve">1 The Eumenides is quoted as a parallel, because there the</w:t></w:r>
</w:p>
<w:p>
<w:pPr><w:pStyle w:val="Normal"/></w:pPr>
<w:r><w:t xml:space="preserve">establishment of this worship at Athens concludes the whole</w:t></w:r>
</w:p>
<w:p>
<w:pPr><w:pStyle w:val="Normal"/></w:pPr>
<w:r><w:t xml:space="preserve">trilogy; but it is forgotten that in Eumenides there is much</w:t></w:r>
</w:p>
<w:p>
<w:pPr><w:pStyle w:val="Normal"/></w:pPr>
<w:r><w:t xml:space="preserve">besides--the pursuit of Orestes, the refuge at Athens, the trial,</w:t></w:r>
</w:p>
<w:p>
<w:pPr><w:pStyle w:val="Normal"/></w:pPr>
<w:r><w:t xml:space="preserve">the acquittal, the conciliation by Athena of the Furies; while</w:t></w:r>
</w:p>
<w:p>
<w:pPr><w:pStyle w:val="Normal"/></w:pPr>
<w:r><w:t xml:space="preserve">here the story would be finished before the last play began.</w:t></w:r>
</w:p>
<w:p>
<w:pPr><w:pStyle w:val="Normal"/></w:pPr>
<w:r><w:t xml:space="preserve">AESCULAPIUS (Gr. `Asklepios), the legendary Greek god of</w:t></w:r>
</w:p>
<w:p>
<w:pPr><w:pStyle w:val="Normal"/></w:pPr>
<w:r><w:t xml:space="preserve">medicine, the son of Apollo and the nymph Coronis.  Tricca in</w:t></w:r>
</w:p>
<w:p>
<w:pPr><w:pStyle w:val="Normal"/></w:pPr>
<w:r><w:t xml:space="preserve">Thessaly and Epidaurus in Argolis disputed the honour of his</w:t></w:r>
</w:p>
<w:p>
<w:pPr><w:pStyle w:val="Normal"/></w:pPr>
<w:r><w:t xml:space="preserve">birthplace, but an oracle declared in favour of Epidaurus.</w:t></w:r>
</w:p>
<w:p>
<w:pPr><w:pStyle w:val="Normal"/></w:pPr>
<w:r><w:t xml:space="preserve">He was educated by the centaur Cheiron, who taught him the</w:t></w:r>
</w:p>
<w:p>
<w:pPr><w:pStyle w:val="Normal"/></w:pPr>
<w:r><w:t xml:space="preserve">art of healing and hunting.  His skill in curing disease and</w:t></w:r>
</w:p>
<w:p>
<w:pPr><w:pStyle w:val="Normal"/></w:pPr>
<w:r><w:t xml:space="preserve">restoring the dead to life aroused the anger of Zeus, who,</w:t></w:r>
</w:p>
<w:p>
<w:pPr><w:pStyle w:val="Normal"/></w:pPr>
<w:r><w:t xml:space="preserve">being afraid that he might render all men immortal, slew him</w:t></w:r>
</w:p>
<w:p>
<w:pPr><w:pStyle w:val="Normal"/></w:pPr>
<w:r><w:t xml:space="preserve">with a thunderbolt (Apollodorus iii. 10; Pindar, Phthia, 3;</w:t></w:r>
</w:p>
<w:p>
<w:pPr><w:pStyle w:val="Normal"/></w:pPr>
<w:r><w:t xml:space="preserve">Diod.  Sic. iv. 71). Homer mentions him as a skilful physician,</w:t></w:r>
</w:p>
<w:p>
<w:pPr><w:pStyle w:val="Normal"/></w:pPr>
<w:r><w:t xml:space="preserve">whose sons, Machaon and Podalirius, are the physicians in the</w:t></w:r>
</w:p>
<w:p>
<w:pPr><w:pStyle w:val="Normal"/></w:pPr>
<w:r><w:t xml:space="preserve">Greek camp before Troy (Iliad, ii. 731).  Temples were erected</w:t></w:r>
</w:p>
<w:p>
<w:pPr><w:pStyle w:val="Normal"/></w:pPr>
<w:r><w:t xml:space="preserve">to Aesculapius in many parts of Greece, near healing springs</w:t></w:r>
</w:p>
<w:p>
<w:pPr><w:pStyle w:val="Normal"/></w:pPr>
<w:r><w:t xml:space="preserve">or on high mountains.  The practice of sleeping (incubatio)</w:t></w:r>
</w:p>
<w:p>
<w:pPr><w:pStyle w:val="Normal"/></w:pPr>
<w:r><w:t xml:space="preserve">in these sanctuaries was very common, it being supposed that</w:t></w:r>
</w:p>
<w:p>
<w:pPr><w:pStyle w:val="Normal"/></w:pPr>
<w:r><w:t xml:space="preserve">the god effected cures or prescribed remedies to the sick in</w:t></w:r>
</w:p>
<w:p>
<w:pPr><w:pStyle w:val="Normal"/></w:pPr>
<w:r><w:t xml:space="preserve">dreams.  All who were healed offered sacrifice---especially a</w:t></w:r>
</w:p>
<w:p>
<w:pPr><w:pStyle w:val="Normal"/></w:pPr>
<w:r><w:t xml:space="preserve">cock---and hung up votive tablets, on which were recorded their</w:t></w:r>
</w:p>
<w:p>
<w:pPr><w:pStyle w:val="Normal"/></w:pPr>
<w:r><w:t xml:space="preserve">names, their diseases and the manner in which they had been</w:t></w:r>
</w:p>
<w:p>
<w:pPr><w:pStyle w:val="Normal"/></w:pPr>
<w:r><w:t xml:space="preserve">cured.  Many of these votive tablets have been discovered</w:t></w:r>
</w:p>
<w:p>
<w:pPr><w:pStyle w:val="Normal"/></w:pPr>
<w:r><w:t xml:space="preserve">in the course of excavations at Epidaurus.  Here was the</w:t></w:r>
</w:p>
<w:p>
<w:pPr><w:pStyle w:val="Normal"/></w:pPr>
<w:r><w:t xml:space="preserve">god&apos;s most famous shrine, and games were celebrated in his</w:t></w:r>
</w:p>
<w:p>
<w:pPr><w:pStyle w:val="Normal"/></w:pPr>
<w:r><w:t xml:space="preserve">honour every five years, accompanied by solemn processions.</w:t></w:r>
</w:p>
<w:p>
<w:pPr><w:pStyle w:val="Normal"/></w:pPr>
<w:r><w:t xml:space="preserve">Herodas (Mimes, 4) gives a description of one of his</w:t></w:r>
</w:p>
<w:p>
<w:pPr><w:pStyle w:val="Normal"/></w:pPr>
<w:r><w:t xml:space="preserve">temples, and of the offerings made to him.  His worship was</w:t></w:r>
</w:p>
<w:p>
<w:pPr><w:pStyle w:val="Normal"/></w:pPr>
<w:r><w:t xml:space="preserve">introduced into Rome by order of the Sibylline books (293</w:t></w:r>
</w:p>
<w:p>
<w:pPr><w:pStyle w:val="Normal"/></w:pPr>
<w:r><w:t xml:space="preserve">B.C.), to avert a pestilence.  The god was fetched from</w:t></w:r>
</w:p>
<w:p>
<w:pPr><w:pStyle w:val="Normal"/></w:pPr>
<w:r><w:t xml:space="preserve">Epidaurus in the form of a snake and a temple assigned him</w:t></w:r>
</w:p>
<w:p>
<w:pPr><w:pStyle w:val="Normal"/></w:pPr>
<w:r><w:t xml:space="preserve">on the island in the Tiber (Livy x. 47; Ovid, Metam. xv.</w:t></w:r>
</w:p>
<w:p>
<w:pPr><w:pStyle w:val="Normal"/></w:pPr>
<w:r><w:t xml:space="preserve">622).  Aesculapius was a favourite subject of ancient</w:t></w:r>
</w:p>
<w:p>
<w:pPr><w:pStyle w:val="Normal"/></w:pPr>
<w:r><w:t xml:space="preserve">artists.  He is commonly represented standing, dressed in a long</w:t></w:r>
</w:p>
<w:p>
<w:pPr><w:pStyle w:val="Normal"/></w:pPr>
<w:r><w:t xml:space="preserve">cloak, with bare breast; his usual attribute is a club-like</w:t></w:r>
</w:p>
<w:p>
<w:pPr><w:pStyle w:val="Normal"/></w:pPr>
<w:r><w:t xml:space="preserve">staff with a serpent (the symbol of renovation) coiled round</w:t></w:r>
</w:p>
<w:p>
<w:pPr><w:pStyle w:val="Normal"/></w:pPr>
<w:r><w:t xml:space="preserve">it.  He is often accompanied by Telesphorus, the boy</w:t></w:r>
</w:p>
<w:p>
<w:pPr><w:pStyle w:val="Normal"/></w:pPr>
<w:r><w:t xml:space="preserve">genius of healing, and his daughter Hygieia, the goddess of</w:t></w:r>
</w:p>
<w:p>
<w:pPr><w:pStyle w:val="Normal"/></w:pPr>
<w:r><w:t xml:space="preserve">health.  Votive reliefs representing such groups have been</w:t></w:r>
</w:p>
<w:p>
<w:pPr><w:pStyle w:val="Normal"/></w:pPr>
<w:r><w:t xml:space="preserve">found near the temple of Aesculapius at Athens.  The British</w:t></w:r>
</w:p>
<w:p>
<w:pPr><w:pStyle w:val="Normal"/></w:pPr>
<w:r><w:t xml:space="preserve">Museum possesses a beautiful head of Aesculapius (or possibly</w:t></w:r>
</w:p>
<w:p>
<w:pPr><w:pStyle w:val="Normal"/></w:pPr>
<w:r><w:t xml:space="preserve">Zeus) from Melos, and the Louvre a magnificent statue.</w:t></w:r>
</w:p>
<w:p>
<w:pPr><w:pStyle w:val="Normal"/></w:pPr>
<w:r><w:t xml:space="preserve">BIBLIOGRAPHY.--L.  Dyer, The Gods in Greece (1891); Jane E.</w:t></w:r>
</w:p>
<w:p>
<w:pPr><w:pStyle w:val="Normal"/></w:pPr>
<w:r><w:t xml:space="preserve">Harrison, Prolegomena to the Study of Greek Religion (1903);</w:t></w:r>
</w:p>
<w:p>
<w:pPr><w:pStyle w:val="Normal"/></w:pPr>
<w:r><w:t xml:space="preserve">R. Caton, Examples and Ritual of A. at Epidaurus and Athens</w:t></w:r>
</w:p>
<w:p>
<w:pPr><w:pStyle w:val="Normal"/></w:pPr>
<w:r><w:t xml:space="preserve">(1900); articles in Pauly-Wissowa&apos;s Real-Encyclopadie,</w:t></w:r>
</w:p>
<w:p>
<w:pPr><w:pStyle w:val="Normal"/></w:pPr>
<w:r><w:t xml:space="preserve">Roscher&apos;s Lexikon der Mythologie; T. Panofka, Asklepios und</w:t></w:r>
</w:p>
<w:p>
<w:pPr><w:pStyle w:val="Normal"/></w:pPr>
<w:r><w:t xml:space="preserve">die Asklepiaden (1846); Alice Welton, ``The Cult of Asklepios,&apos;&apos;</w:t></w:r>
</w:p>
<w:p>
<w:pPr><w:pStyle w:val="Normal"/></w:pPr>
<w:r><w:t xml:space="preserve">in Cornell Studies in Classical Philology, iii. (New York,</w:t></w:r>
</w:p>
<w:p>
<w:pPr><w:pStyle w:val="Normal"/></w:pPr>
<w:r><w:t xml:space="preserve">1894); W. H. D. Rouse, Greek Votive Offerings (1902).</w:t></w:r>
</w:p>
<w:p>
<w:pPr><w:pStyle w:val="Normal"/></w:pPr>
<w:r><w:t xml:space="preserve">AESERNIA (mod. Isernia), a Samnite town on the road from</w:t></w:r>
</w:p>
<w:p>
<w:pPr><w:pStyle w:val="Normal"/></w:pPr>
<w:r><w:t xml:space="preserve">Beneventum to Corfinium, 58 m. to the north-east of the former,</w:t></w:r>
</w:p>
<w:p>
<w:pPr><w:pStyle w:val="Normal"/></w:pPr>
<w:r><w:t xml:space="preserve">at the junction of a road going past Venafrum to the Via</w:t></w:r>
</w:p>
<w:p>
<w:pPr><w:pStyle w:val="Normal"/></w:pPr>
<w:r><w:t xml:space="preserve">Latina.  These routes are all followed by modern railways---the</w:t></w:r>
</w:p>
<w:p>
<w:pPr><w:pStyle w:val="Normal"/></w:pPr>
<w:r><w:t xml:space="preserve">lines to Campobasso, Sulmona and Caianello.  A Roman colony was</w:t></w:r>
</w:p>
<w:p>
<w:pPr><w:pStyle w:val="Normal"/></w:pPr>
<w:r><w:t xml:space="preserve">established there in 263 B.C. It became the headquarters of</w:t></w:r>
</w:p>
<w:p>
<w:pPr><w:pStyle w:val="Normal"/></w:pPr>
<w:r><w:t xml:space="preserve">the Italian revolt after the loss of Corfinium, and was only</w:t></w:r>
</w:p>
<w:p>
<w:pPr><w:pStyle w:val="Normal"/></w:pPr>
<w:r><w:t xml:space="preserve">recovered by Sulla at the end of the war, in 80 B.C. Remains</w:t></w:r>
</w:p>
<w:p>
<w:pPr><w:pStyle w:val="Normal"/></w:pPr>
<w:r><w:t xml:space="preserve">of its fortifications are still preserved---massive cyclopean</w:t></w:r>
</w:p>
<w:p>
<w:pPr><w:pStyle w:val="Normal"/></w:pPr>
<w:r><w:t xml:space="preserve">walls, which serve as foundation to the walls of the modern</w:t></w:r>
</w:p>
<w:p>
<w:pPr><w:pStyle w:val="Normal"/></w:pPr>
<w:r><w:t xml:space="preserve">town and of a Roman bridge, and the subterranean channel of</w:t></w:r>
</w:p>
<w:p>
<w:pPr><w:pStyle w:val="Normal"/></w:pPr>
<w:r><w:t xml:space="preserve">an aqueduct, cut in the rock, and dating from Roman times.</w:t></w:r>
</w:p>
<w:p>
<w:pPr><w:pStyle w:val="Normal"/></w:pPr>
<w:r><w:t xml:space="preserve">AESOP (Gr. Aisopos), famous for his Fables, is supposed</w:t></w:r>
</w:p>
<w:p>
<w:pPr><w:pStyle w:val="Normal"/></w:pPr>
<w:r><w:t xml:space="preserve">to have lived from about 620 to 560 B.C. The place of</w:t></w:r>
</w:p>
<w:p>
<w:pPr><w:pStyle w:val="Normal"/></w:pPr>
<w:r><w:t xml:space="preserve">his birth is uncertain---Thrace, Phrygia, Aethiopia, Samos,</w:t></w:r>
</w:p>
<w:p>
<w:pPr><w:pStyle w:val="Normal"/></w:pPr>
<w:r><w:t xml:space="preserve">Athens and Sardis all claiming the honour.  We possess little</w:t></w:r>
</w:p>
<w:p>
<w:pPr><w:pStyle w:val="Normal"/></w:pPr>
<w:r><w:t xml:space="preserve">trustworthy information concerning his life, except that he</w:t></w:r>
</w:p>
<w:p>
<w:pPr><w:pStyle w:val="Normal"/></w:pPr>
<w:r><w:t xml:space="preserve">was the slave of Iadmon of Samos and met with a violent death</w:t></w:r>
</w:p>
<w:p>
<w:pPr><w:pStyle w:val="Normal"/></w:pPr>
<w:r><w:t xml:space="preserve">at the hands of the inhabitants of Delphi.  A pestilence that</w:t></w:r>
</w:p>
<w:p>
<w:pPr><w:pStyle w:val="Normal"/></w:pPr>
<w:r><w:t xml:space="preserve">ensued being attributed to this crime, the Delphians declared</w:t></w:r>
</w:p>
<w:p>
<w:pPr><w:pStyle w:val="Normal"/></w:pPr>
<w:r><w:t xml:space="preserve">their willingness to make compensation, which, in default of</w:t></w:r>
</w:p>
<w:p>
<w:pPr><w:pStyle w:val="Normal"/></w:pPr>
<w:r><w:t xml:space="preserve">a nearer connexion, was claimed and received by Iadmon, the</w:t></w:r>
</w:p>
<w:p>
<w:pPr><w:pStyle w:val="Normal"/></w:pPr>
<w:r><w:t xml:space="preserve">grandson of his old master.  Herodotus, who is our authority</w:t></w:r>
</w:p>
<w:p>
<w:pPr><w:pStyle w:val="Normal"/></w:pPr>
<w:r><w:t xml:space="preserve">for this (ii. 134), does not state the cause of his death;</w:t></w:r>
</w:p>
<w:p>
<w:pPr><w:pStyle w:val="Normal"/></w:pPr>
<w:r><w:t xml:space="preserve">various reasons are assigned by later writers--his insulting</w:t></w:r>
</w:p>
<w:p>
<w:pPr><w:pStyle w:val="Normal"/></w:pPr>
<w:r><w:t xml:space="preserve">sarcasms, the embezzlement of money entrusted to him by</w:t></w:r>
</w:p>
<w:p>
<w:pPr><w:pStyle w:val="Normal"/></w:pPr>
<w:r><w:t xml:space="preserve">Croesus for distribution at Delphi, the theft of a silver cup.</w:t></w:r>
</w:p>
<w:p>
<w:pPr><w:pStyle w:val="Normal"/></w:pPr>
<w:r><w:t xml:space="preserve">Aesop must have received his freedom from Iadmon, or he could</w:t></w:r>
</w:p>
<w:p>
<w:pPr><w:pStyle w:val="Normal"/></w:pPr>
<w:r><w:t xml:space="preserve">not have conducted the public defence of a certain Samian</w:t></w:r>
</w:p>
<w:p>
<w:pPr><w:pStyle w:val="Normal"/></w:pPr>
<w:r><w:t xml:space="preserve">demagogue (Aristotle, Rhetoric, ii. 20). According to the</w:t></w:r>
</w:p>
<w:p>
<w:pPr><w:pStyle w:val="Normal"/></w:pPr>
<w:r><w:t xml:space="preserve">story, he subsequently lived at the court of Croesus, where</w:t></w:r>
</w:p>
<w:p>
<w:pPr><w:pStyle w:val="Normal"/></w:pPr>
<w:r><w:t xml:space="preserve">he met Solon, and dined in the company of the Seven Sages</w:t></w:r>
</w:p>
<w:p>
<w:pPr><w:pStyle w:val="Normal"/></w:pPr>
<w:r><w:t xml:space="preserve">of Greece with Periander at Corinth.  During the reign of</w:t></w:r>
</w:p>
<w:p>
<w:pPr><w:pStyle w:val="Normal"/></w:pPr>
<w:r><w:t xml:space="preserve">Peisistratus he is said to have visited Athens, on which</w:t></w:r>
</w:p>
<w:p>
<w:pPr><w:pStyle w:val="Normal"/></w:pPr>
<w:r><w:t xml:space="preserve">occasion he related the fable of The Frogs asking for a</w:t></w:r>
</w:p>
<w:p>
<w:pPr><w:pStyle w:val="Normal"/></w:pPr>
<w:r><w:t xml:space="preserve">King, to dissuade the citizens from attempting to exchange</w:t></w:r>
</w:p>
<w:p>
<w:pPr><w:pStyle w:val="Normal"/></w:pPr>
<w:r><w:t xml:space="preserve">Peisistratus for another ruler.  The popular stories current</w:t></w:r>
</w:p>
<w:p>
<w:pPr><w:pStyle w:val="Normal"/></w:pPr>
<w:r><w:t xml:space="preserve">regarding him are derived from a life, or rather romance,</w:t></w:r>
</w:p>
<w:p>
<w:pPr><w:pStyle w:val="Normal"/></w:pPr>
<w:r><w:t xml:space="preserve">prefixed to a book of fables, purporting to be his, collected</w:t></w:r>
</w:p>
<w:p>
<w:pPr><w:pStyle w:val="Normal"/></w:pPr>
<w:r><w:t xml:space="preserve">by Maximus Planudes, a monk of the 14th century.  In this he</w:t></w:r>
</w:p>
<w:p>
<w:pPr><w:pStyle w:val="Normal"/></w:pPr>
<w:r><w:t xml:space="preserve">is described as a monster of ugliness and deformity, as he is</w:t></w:r>
</w:p>
<w:p>
<w:pPr><w:pStyle w:val="Normal"/></w:pPr>
<w:r><w:t xml:space="preserve">also represented in a well-known marble figure in the Villa</w:t></w:r>
</w:p>
<w:p>
<w:pPr><w:pStyle w:val="Normal"/></w:pPr>
<w:r><w:t xml:space="preserve">Albani at Rome.  That this life, however, was in existence a</w:t></w:r>
</w:p>
<w:p>
<w:pPr><w:pStyle w:val="Normal"/></w:pPr>
<w:r><w:t xml:space="preserve">century before Planudes, appears from a 13th-century MS. of</w:t></w:r>
</w:p>
<w:p>
<w:pPr><w:pStyle w:val="Normal"/></w:pPr>
<w:r><w:t xml:space="preserve">it found at Florence.  In Plutarch&apos;s Symposium of the Seven</w:t></w:r>
</w:p>
<w:p>
<w:pPr><w:pStyle w:val="Normal"/></w:pPr>
<w:r><w:t xml:space="preserve">Sages, at which Aesop is a guest, there are many jests on</w:t></w:r>
</w:p>
<w:p>
<w:pPr><w:pStyle w:val="Normal"/></w:pPr>
<w:r><w:t xml:space="preserve">his original servile condition, but nothing derogatory is</w:t></w:r>
</w:p>
<w:p>
<w:pPr><w:pStyle w:val="Normal"/></w:pPr>
<w:r><w:t xml:space="preserve">said about his personal appearance.  We are further told</w:t></w:r>
</w:p>
<w:p>
<w:pPr><w:pStyle w:val="Normal"/></w:pPr>
<w:r><w:t xml:space="preserve">that the Athenians erected in his honour a noble statue</w:t></w:r>
</w:p>
<w:p>
<w:pPr><w:pStyle w:val="Normal"/></w:pPr>
<w:r><w:t xml:space="preserve">by the famous sculptor Lysippus, which furnishes a strong</w:t></w:r>
</w:p>
<w:p>
<w:pPr><w:pStyle w:val="Normal"/></w:pPr>
<w:r><w:t xml:space="preserve">argument against the fiction of his deformity.  Lastly,</w:t></w:r>
</w:p>
<w:p>
<w:pPr><w:pStyle w:val="Normal"/></w:pPr>
<w:r><w:t xml:space="preserve">the obscurity in which the history of Aesop is involved</w:t></w:r>
</w:p>
<w:p>
<w:pPr><w:pStyle w:val="Normal"/></w:pPr>
<w:r><w:t xml:space="preserve">has induced some scholars to deny his existence altogether.</w:t></w:r>
</w:p>
<w:p>
<w:pPr><w:pStyle w:val="Normal"/></w:pPr>
<w:r><w:t xml:space="preserve">It is probable that Aesop did not commit his fables to</w:t></w:r>
</w:p>
<w:p>
<w:pPr><w:pStyle w:val="Normal"/></w:pPr>
<w:r><w:t xml:space="preserve">writing; Aristophanes (Wasps, 1259) represents Philocleon as</w:t></w:r>
</w:p>
<w:p>
<w:pPr><w:pStyle w:val="Normal"/></w:pPr>
<w:r><w:t xml:space="preserve">having learnt the ``absurdities&apos;&apos; of Aesop from conversation</w:t></w:r>
</w:p>
<w:p>
<w:pPr><w:pStyle w:val="Normal"/></w:pPr>
<w:r><w:t xml:space="preserve">at banquets) and Socrates whiles away his time in prison by</w:t></w:r>
</w:p>
<w:p>
<w:pPr><w:pStyle w:val="Normal"/></w:pPr>
<w:r><w:t xml:space="preserve">turning some of Aesop&apos;s fables ``which he knew&apos;&apos; into verse</w:t></w:r>
</w:p>
<w:p>
<w:pPr><w:pStyle w:val="Normal"/></w:pPr>
<w:r><w:t xml:space="preserve">(Plato, Phaedo, 61 b).  Demetrius of Phalerum (345-283</w:t></w:r>
</w:p>
<w:p>
<w:pPr><w:pStyle w:val="Normal"/></w:pPr>
<w:r><w:t xml:space="preserve">B.C.) made a collection in ten books, probably in prose</w:t></w:r>
</w:p>
<w:p>
<w:pPr><w:pStyle w:val="Normal"/></w:pPr>
<w:r><w:t xml:space="preserve">(Lopson Aisopeion sunagogai) for the use of orators,</w:t></w:r>
</w:p>
<w:p>
<w:pPr><w:pStyle w:val="Normal"/></w:pPr>
<w:r><w:t xml:space="preserve">which has been lost.  Next appeared an edition in elegiac</w:t></w:r>
</w:p>
<w:p>
<w:pPr><w:pStyle w:val="Normal"/></w:pPr>
<w:r><w:t xml:space="preserve">verse, often cited by Suidas, but the author&apos;s name is</w:t></w:r>
</w:p>
<w:p>
<w:pPr><w:pStyle w:val="Normal"/></w:pPr>
<w:r><w:t xml:space="preserve">unknown.  Babrius, according to Crusius, a Roman and tutor</w:t></w:r>
</w:p>
<w:p>
<w:pPr><w:pStyle w:val="Normal"/></w:pPr>
<w:r><w:t xml:space="preserve">to the son of Alexander Severus, turned the fables into</w:t></w:r>
</w:p>
<w:p>
<w:pPr><w:pStyle w:val="Normal"/></w:pPr>
<w:r><w:t xml:space="preserve">choliambics in the earlier part of the 3rd century A.D.</w:t></w:r>
</w:p>
<w:p>
<w:pPr><w:pStyle w:val="Normal"/></w:pPr>
<w:r><w:t xml:space="preserve">The most celebrated of the Latin adapters is Phaedrus, a</w:t></w:r>
</w:p>
<w:p>
<w:pPr><w:pStyle w:val="Normal"/></w:pPr>
<w:r><w:t xml:space="preserve">freedman of Augustus.  Avianus (of uncertain date, perhaps</w:t></w:r>
</w:p>
<w:p>
<w:pPr><w:pStyle w:val="Normal"/></w:pPr>
<w:r><w:t xml:space="preserve">the 4th century) translated 42 of the fables into Latin</w:t></w:r>
</w:p>
<w:p>
<w:pPr><w:pStyle w:val="Normal"/></w:pPr>
<w:r><w:t xml:space="preserve">elegiacs.  The collections which we possess under the name</w:t></w:r>
</w:p>
<w:p>
<w:pPr><w:pStyle w:val="Normal"/></w:pPr>
<w:r><w:t xml:space="preserve">of Aesop&apos;s Fables are late renderings of Babrius&apos;s Version</w:t></w:r>
</w:p>
<w:p>
<w:pPr><w:pStyle w:val="Normal"/></w:pPr>
<w:r><w:t xml:space="preserve">or Progumnasmata, rhetorical exercises of varying age and</w:t></w:r>
</w:p>
<w:p>
<w:pPr><w:pStyle w:val="Normal"/></w:pPr>
<w:r><w:t xml:space="preserve">merit.  Syntipas translated Babrius into Syriac, and Andreopulos</w:t></w:r>
</w:p>
<w:p>
<w:pPr><w:pStyle w:val="Normal"/></w:pPr>
<w:r><w:t xml:space="preserve">put the Syriac back again into Greek.  Ignatius Diaconus, in</w:t></w:r>
</w:p>
<w:p>
<w:pPr><w:pStyle w:val="Normal"/></w:pPr>
<w:r><w:t xml:space="preserve">the 9th century, made a version of 55 fables in choliambic</w:t></w:r>
</w:p>
<w:p>
<w:pPr><w:pStyle w:val="Normal"/></w:pPr>
<w:r><w:t xml:space="preserve">tetrameters.  Stories from Oriental sources were added, and from</w:t></w:r>
</w:p>
<w:p>
<w:pPr><w:pStyle w:val="Normal"/></w:pPr>
<w:r><w:t xml:space="preserve">these collections Maximus Planudes made and edited the collection</w:t></w:r>
</w:p>
<w:p>
<w:pPr><w:pStyle w:val="Normal"/></w:pPr>
<w:r><w:t xml:space="preserve">which has come down to us under the name of Aesop, and from</w:t></w:r>
</w:p>
<w:p>
<w:pPr><w:pStyle w:val="Normal"/></w:pPr>
<w:r><w:t xml:space="preserve">which the popular fables of modern Europe have been derived.</w:t></w:r>
</w:p>
<w:p>
<w:pPr><w:pStyle w:val="Normal"/></w:pPr>
<w:r><w:t xml:space="preserve">For further information see the article FABLE; Bentley,</w:t></w:r>
</w:p>
<w:p>
<w:pPr><w:pStyle w:val="Normal"/></w:pPr>
<w:r><w:t xml:space="preserve">Dissertation on the Fables of Aesop; Du Meril, Poesies</w:t></w:r>
</w:p>
<w:p>
<w:pPr><w:pStyle w:val="Normal"/></w:pPr>
<w:r><w:t xml:space="preserve">inedites du moyen age (1854); J. Jacobs, The Fables</w:t></w:r>
</w:p>
<w:p>
<w:pPr><w:pStyle w:val="Normal"/></w:pPr>
<w:r><w:t xml:space="preserve">of Aesop (1889): i.  The history of the Aesopic fable;</w:t></w:r>
</w:p>
<w:p>
<w:pPr><w:pStyle w:val="Normal"/></w:pPr>
<w:r><w:t xml:space="preserve">ii.  The Fables of Aesop, as first printed by William Caxton,</w:t></w:r>
</w:p>
<w:p>
<w:pPr><w:pStyle w:val="Normal"/></w:pPr>
<w:r><w:t xml:space="preserve">1484, from his French translation; Hervieux, Les Fabulistes</w:t></w:r>
</w:p>
<w:p>
<w:pPr><w:pStyle w:val="Normal"/></w:pPr>
<w:r><w:t xml:space="preserve">Latins (1893-1899).  Before any Greek text appeared, a</w:t></w:r>
</w:p>
<w:p>
<w:pPr><w:pStyle w:val="Normal"/></w:pPr>
<w:r><w:t xml:space="preserve">Latin translation of 100 Fabulae Aesopicae by an Italian</w:t></w:r>
</w:p>
<w:p>
<w:pPr><w:pStyle w:val="Normal"/></w:pPr>
<w:r><w:t xml:space="preserve">scholar named Ranuzio (Renutius) was published at Rome,</w:t></w:r>
</w:p>
<w:p>
<w:pPr><w:pStyle w:val="Normal"/></w:pPr>
<w:r><w:t xml:space="preserve">1476.  About 1480 the collection of Planudes was brought out</w:t></w:r>
</w:p>
<w:p>
<w:pPr><w:pStyle w:val="Normal"/></w:pPr>
<w:r><w:t xml:space="preserve">at Milan by Buono Accorso (Accursius), together with Ranuzio&apos;s</w:t></w:r>
</w:p>
<w:p>
<w:pPr><w:pStyle w:val="Normal"/></w:pPr>
<w:r><w:t xml:space="preserve">translation.  This edition, which contained 144 fables, was</w:t></w:r>
</w:p>
<w:p>
<w:pPr><w:pStyle w:val="Normal"/></w:pPr>
<w:r><w:t xml:space="preserve">frequently reprinted and additions made from time to time</w:t></w:r>
</w:p>
<w:p>
<w:pPr><w:pStyle w:val="Normal"/></w:pPr>
<w:r><w:t xml:space="preserve">from various MSS.--the Heidelberg (Palatine), Florentine,</w:t></w:r>
</w:p>
<w:p>
<w:pPr><w:pStyle w:val="Normal"/></w:pPr>
<w:r><w:t xml:space="preserve">Vatican and Augsburg---by Stephanus (1547), Nevelet (1610),</w:t></w:r>
</w:p>
<w:p>
<w:pPr><w:pStyle w:val="Normal"/></w:pPr>
<w:r><w:t xml:space="preserve">Hudson (1718), Hauptmann (1741), Furia (1810), Coray (1810),</w:t></w:r>
</w:p>
<w:p>
<w:pPr><w:pStyle w:val="Normal"/></w:pPr>
<w:r><w:t xml:space="preserve">Schneider (1812) and others.  A critical edition of all the</w:t></w:r>
</w:p>
<w:p>
<w:pPr><w:pStyle w:val="Normal"/></w:pPr>
<w:r><w:t xml:space="preserve">previously known fables, prepared by Carl von Halm from the</w:t></w:r>
</w:p>
<w:p>
<w:pPr><w:pStyle w:val="Normal"/></w:pPr>
<w:r><w:t xml:space="preserve">collections of Furia, Coray and Schneider, was published in</w:t></w:r>
</w:p>
<w:p>
<w:pPr><w:pStyle w:val="Normal"/></w:pPr>
<w:r><w:t xml:space="preserve">the Teubner series of Greek and Latin texts.  A Fabularum</w:t></w:r>
</w:p>
<w:p>
<w:pPr><w:pStyle w:val="Normal"/></w:pPr>
<w:r><w:t xml:space="preserve">Aesopicarum sylloge (233 in number) from a Paris MS., with</w:t></w:r>
</w:p>
<w:p>
<w:pPr><w:pStyle w:val="Normal"/></w:pPr>
<w:r><w:t xml:space="preserve">critical notes by Sternbach, appeared in a Cracow University</w:t></w:r>
</w:p>
<w:p>
<w:pPr><w:pStyle w:val="Normal"/></w:pPr>
<w:r><w:t xml:space="preserve">publication, Rozprawy akademii umiejetinosci (1894).</w:t></w:r>
</w:p>
<w:p>
<w:pPr><w:pStyle w:val="Normal"/></w:pPr>
<w:r><w:t xml:space="preserve">AESOPUS, a Greek historian who wrote a history of</w:t></w:r>
</w:p>
<w:p>
<w:pPr><w:pStyle w:val="Normal"/></w:pPr>
<w:r><w:t xml:space="preserve">Alexander the Great, a Latin translation of which,</w:t></w:r>
</w:p>
<w:p>
<w:pPr><w:pStyle w:val="Normal"/></w:pPr>
<w:r><w:t xml:space="preserve">by Julius Valerius, was discovered by Mai in 1816.</w:t></w:r>
</w:p>
<w:p>
<w:pPr><w:pStyle w:val="Normal"/></w:pPr>
<w:r><w:t xml:space="preserve">AESOPUS, CLODIUS, the most eminent Roman tragedian,</w:t></w:r>
</w:p>
<w:p>
<w:pPr><w:pStyle w:val="Normal"/></w:pPr>
<w:r><w:t xml:space="preserve">flourished during the time of Cicero, but the dates of his</w:t></w:r>
</w:p>
<w:p>
<w:pPr><w:pStyle w:val="Normal"/></w:pPr>
<w:r><w:t xml:space="preserve">birth and death are not known.  The name seems to show that</w:t></w:r>
</w:p>
<w:p>
<w:pPr><w:pStyle w:val="Normal"/></w:pPr>
<w:r><w:t xml:space="preserve">he was a freedman of some member of the Clodian gens.  Cicero</w:t></w:r>
</w:p>
<w:p>
<w:pPr><w:pStyle w:val="Normal"/></w:pPr>
<w:r><w:t xml:space="preserve">was on friendly terms with both him and Roscius, the equally</w:t></w:r>
</w:p>
<w:p>
<w:pPr><w:pStyle w:val="Normal"/></w:pPr>
<w:r><w:t xml:space="preserve">distinguished comedian, and did not disdain to profit by their</w:t></w:r>
</w:p>
<w:p>
<w:pPr><w:pStyle w:val="Normal"/></w:pPr>
<w:r><w:t xml:space="preserve">instruction.  Plutarch (Cicero, 5) mentions it as reported of</w:t></w:r>
</w:p>
<w:p>
<w:pPr><w:pStyle w:val="Normal"/></w:pPr>
<w:r><w:t xml:space="preserve">Aesopus, that, while representing Atreus deliberating how he</w:t></w:r>
</w:p>
<w:p>
<w:pPr><w:pStyle w:val="Normal"/></w:pPr>
<w:r><w:t xml:space="preserve">should revenge himself on Thyestes, the actor forgot himself</w:t></w:r>
</w:p>
<w:p>
<w:pPr><w:pStyle w:val="Normal"/></w:pPr>
<w:r><w:t xml:space="preserve">so far in the heat of action that with his truncheon he struck</w:t></w:r>
</w:p>
<w:p>
<w:pPr><w:pStyle w:val="Normal"/></w:pPr>
<w:r><w:t xml:space="preserve">and killed one of the servants crossing the stage.  Aesopus</w:t></w:r>
</w:p>
<w:p>
<w:pPr><w:pStyle w:val="Normal"/></w:pPr>
<w:r><w:t xml:space="preserve">made a last appearance in 55 B.C.---when Cicero tells us</w:t></w:r>
</w:p>
<w:p>
<w:pPr><w:pStyle w:val="Normal"/></w:pPr>
<w:r><w:t xml:space="preserve">that he was advanced in years--on the occasion of the splendid</w:t></w:r>
</w:p>
<w:p>
<w:pPr><w:pStyle w:val="Normal"/></w:pPr>
<w:r><w:t xml:space="preserve">games given by Pompey at the dedication of his theatre.  In</w:t></w:r>
</w:p>
<w:p>
<w:pPr><w:pStyle w:val="Normal"/></w:pPr>
<w:r><w:t xml:space="preserve">spite of his somewhat extravagant living, he left an ample</w:t></w:r>
</w:p>
<w:p>
<w:pPr><w:pStyle w:val="Normal"/></w:pPr>
<w:r><w:t xml:space="preserve">fortune to his spendthrift son, who did his best to squander</w:t></w:r>
</w:p>
<w:p>
<w:pPr><w:pStyle w:val="Normal"/></w:pPr>
<w:r><w:t xml:space="preserve">it as soon as possible.  Horace (Sat. iii. 3. 239) mentions</w:t></w:r>
</w:p>
<w:p>
<w:pPr><w:pStyle w:val="Normal"/></w:pPr>
<w:r><w:t xml:space="preserve">his taking a pearl from the ear-drop of Caecilia Metella and</w:t></w:r>
</w:p>
<w:p>
<w:pPr><w:pStyle w:val="Normal"/></w:pPr>
<w:r><w:t xml:space="preserve">dissolving it in vinegar, that he might have the satisfaction</w:t></w:r>
</w:p>
<w:p>
<w:pPr><w:pStyle w:val="Normal"/></w:pPr>
<w:r><w:t xml:space="preserve">of swallowing eight thousand pounds&apos; worth at a draught.</w:t></w:r>
</w:p>
<w:p>
<w:pPr><w:pStyle w:val="Normal"/></w:pPr>
<w:r><w:t xml:space="preserve">Cicero, De Divinatione, i. 37; pro Sestio, 56, 58;</w:t></w:r>
</w:p>
<w:p>
<w:pPr><w:pStyle w:val="Normal"/></w:pPr>
<w:r><w:t xml:space="preserve">Quint., Instit. xi. 3, iii; Macrobius, Sat. iii. 14.</w:t></w:r>
</w:p>
<w:p>
<w:pPr><w:pStyle w:val="Normal"/></w:pPr>
<w:r><w:t xml:space="preserve">AESTHETICS, a branch of study variously defined as the philosophy</w:t></w:r>
</w:p>
<w:p>
<w:pPr><w:pStyle w:val="Normal"/></w:pPr>
<w:r><w:t xml:space="preserve">or science of the beautiful, of taste or of the fine arts.</w:t></w:r>
</w:p>
<w:p>
<w:pPr><w:pStyle w:val="Normal"/></w:pPr>
<w:r><w:t xml:space="preserve">Preliminary definition.</w:t></w:r>
</w:p>
<w:p>
<w:pPr><w:pStyle w:val="Normal"/></w:pPr>
<w:r><w:t xml:space="preserve">The name is something of an accident.  In its original Greek form</w:t></w:r>
</w:p>
<w:p>
<w:pPr><w:pStyle w:val="Normal"/></w:pPr>
<w:r><w:t xml:space="preserve">(aisthetikos) it means what has to do with sense-perception</w:t></w:r>
</w:p>
<w:p>
<w:pPr><w:pStyle w:val="Normal"/></w:pPr>
<w:r><w:t xml:space="preserve">as a source of knowledge; and this is still its meaning</w:t></w:r>
</w:p>
<w:p>
<w:pPr><w:pStyle w:val="Normal"/></w:pPr>
<w:r><w:t xml:space="preserve">in Kant&apos;s philosophy (``Transcendental Aesthetic&apos;&apos;).  Its</w:t></w:r>
</w:p>
<w:p>
<w:pPr><w:pStyle w:val="Normal"/></w:pPr>
<w:r><w:t xml:space="preserve">limitation to that function of sensuous perception which we</w:t></w:r>
</w:p>
<w:p>
<w:pPr><w:pStyle w:val="Normal"/></w:pPr>
<w:r><w:t xml:space="preserve">know as the contemplative enjoyment of beauty is due to A. G.</w:t></w:r>
</w:p>
<w:p>
<w:pPr><w:pStyle w:val="Normal"/></w:pPr>
<w:r><w:t xml:space="preserve">Baumgarten.  Although the subject does not readily lend</w:t></w:r>
</w:p>
<w:p>
<w:pPr><w:pStyle w:val="Normal"/></w:pPr>
<w:r><w:t xml:space="preserve">itself to precise definition at the outset, we may indicate</w:t></w:r>
</w:p>
<w:p>
<w:pPr><w:pStyle w:val="Normal"/></w:pPr>
<w:r><w:t xml:space="preserve">itsscope and aim, as undeibtood by recent writers, by saying</w:t></w:r>
</w:p>
<w:p>
<w:pPr><w:pStyle w:val="Normal"/></w:pPr>
<w:r><w:t xml:space="preserve">that it deals successively with one great department of</w:t></w:r>
</w:p>
<w:p>
<w:pPr><w:pStyle w:val="Normal"/></w:pPr>
<w:r><w:t xml:space="preserve">human experience, viz. the pleasurable activities of pure</w:t></w:r>
</w:p>
<w:p>
<w:pPr><w:pStyle w:val="Normal"/></w:pPr>
<w:r><w:t xml:space="preserve">contemplation.  By pure contemplation is here understood that</w:t></w:r>
</w:p>
<w:p>
<w:pPr><w:pStyle w:val="Normal"/></w:pPr>
<w:r><w:t xml:space="preserve">manner of regarding objects of sense-perception, and more</w:t></w:r>
</w:p>
<w:p>
<w:pPr><w:pStyle w:val="Normal"/></w:pPr>
<w:r><w:t xml:space="preserve">particularly sights and sounds, which is entirely motived by</w:t></w:r>
</w:p>
<w:p>
<w:pPr><w:pStyle w:val="Normal"/></w:pPr>
<w:r><w:t xml:space="preserve">the pleasure of the act itself.  The term ``object&apos;&apos; means</w:t></w:r>
</w:p>
<w:p>
<w:pPr><w:pStyle w:val="Normal"/></w:pPr>
<w:r><w:t xml:space="preserve">whatever can be perceived through one of the senses, e.g.</w:t></w:r>
</w:p>
<w:p>
<w:pPr><w:pStyle w:val="Normal"/></w:pPr>
<w:r><w:t xml:space="preserve">a flower, a landscape, the flight of a bird, a sequence of</w:t></w:r>
</w:p>
<w:p>
<w:pPr><w:pStyle w:val="Normal"/></w:pPr>
<w:r><w:t xml:space="preserve">tones.  The contemplation may be immediate when (as mostly</w:t></w:r>
</w:p>
<w:p>
<w:pPr><w:pStyle w:val="Normal"/></w:pPr>
<w:r><w:t xml:space="preserve">happens) the object is present to sense; or it may be mediate,</w:t></w:r>
</w:p>
<w:p>
<w:pPr><w:pStyle w:val="Normal"/></w:pPr>
<w:r><w:t xml:space="preserve">when as in reading poetry we dwell on images of objects of</w:t></w:r>
</w:p>
<w:p>
<w:pPr><w:pStyle w:val="Normal"/></w:pPr>
<w:r><w:t xml:space="preserve">sense.  Whenever we become interested in an object merely</w:t></w:r>
</w:p>
<w:p>
<w:pPr><w:pStyle w:val="Normal"/></w:pPr>
<w:r><w:t xml:space="preserve">as presented for our contemplation our whole state of</w:t></w:r>
</w:p>
<w:p>
<w:pPr><w:pStyle w:val="Normal"/></w:pPr>
<w:r><w:t xml:space="preserve">mind may be described as an aesthetic attitude, and our</w:t></w:r>
</w:p>
<w:p>
<w:pPr><w:pStyle w:val="Normal"/></w:pPr>
<w:r><w:t xml:space="preserve">experience as an aesthetic experience.  Other expressions</w:t></w:r>
</w:p>
<w:p>
<w:pPr><w:pStyle w:val="Normal"/></w:pPr>
<w:r><w:t xml:space="preserve">such as the pleasure of taste, the enjoyment and appreciation</w:t></w:r>
</w:p>
<w:p>
<w:pPr><w:pStyle w:val="Normal"/></w:pPr>
<w:r><w:t xml:space="preserve">of beauty (in the larger sense of this term), will serve</w:t></w:r>
</w:p>
<w:p>
<w:pPr><w:pStyle w:val="Normal"/></w:pPr>
<w:r><w:t xml:space="preserve">less precisely to mark off this department of experience.</w:t></w:r>
</w:p>
<w:p>
<w:pPr><w:pStyle w:val="Normal"/></w:pPr>
<w:r><w:t xml:space="preserve">Differentiation of aesthetic experience.  Its characteristics as feeling.</w:t></w:r>
</w:p>
<w:p>
<w:pPr><w:pStyle w:val="Normal"/></w:pPr>
<w:r><w:t xml:space="preserve">Aesthetic experience is differentiated from other kinds</w:t></w:r>
</w:p>
<w:p>
<w:pPr><w:pStyle w:val="Normal"/></w:pPr>
<w:r><w:t xml:space="preserve">of experience by a number of characteristics.  We commonly</w:t></w:r>
</w:p>
<w:p>
<w:pPr><w:pStyle w:val="Normal"/></w:pPr>
<w:r><w:t xml:space="preserve">speak of it as enjoyment, as an exercise and cultivation of</w:t></w:r>
</w:p>
<w:p>
<w:pPr><w:pStyle w:val="Normal"/></w:pPr>
<w:r><w:t xml:space="preserve">feeling.  The appreciation of beauty is pervaded and sustained</w:t></w:r>
</w:p>
<w:p>
<w:pPr><w:pStyle w:val="Normal"/></w:pPr>
<w:r><w:t xml:space="preserve">by pleasurable feeling.  In aesthetic enjoyment our capacities</w:t></w:r>
</w:p>
<w:p>
<w:pPr><w:pStyle w:val="Normal"/></w:pPr>
<w:r><w:t xml:space="preserve">of feeling attain their fullest and most perfect development.</w:t></w:r>
</w:p>
<w:p>
<w:pPr><w:pStyle w:val="Normal"/></w:pPr>
<w:r><w:t xml:space="preserve">Yet, as its dependence on a quiet attitude of contemplation</w:t></w:r>
</w:p>
<w:p>
<w:pPr><w:pStyle w:val="Normal"/></w:pPr>
<w:r><w:t xml:space="preserve">might tell us, aesthetic experience is characterized by a</w:t></w:r>
</w:p>
<w:p>
<w:pPr><w:pStyle w:val="Normal"/></w:pPr>
<w:r><w:t xml:space="preserve">certain degree of calmness and moderation of feeling.  Even</w:t></w:r>
</w:p>
<w:p>
<w:pPr><w:pStyle w:val="Normal"/></w:pPr>
<w:r><w:t xml:space="preserve">when we are moved by a tragedy our feeling is comparatively</w:t></w:r>
</w:p>
<w:p>
<w:pPr><w:pStyle w:val="Normal"/></w:pPr>
<w:r><w:t xml:space="preserve">restrained.  A rare exhibition of beauty may thrill the soul</w:t></w:r>
</w:p>
<w:p>
<w:pPr><w:pStyle w:val="Normal"/></w:pPr>
<w:r><w:t xml:space="preserve">for a moment, yet in general the enjoyment of it is far removed</w:t></w:r>
</w:p>
<w:p>
<w:pPr><w:pStyle w:val="Normal"/></w:pPr>
<w:r><w:t xml:space="preserve">from the excitement of passion.  On the other hand, aesthetic</w:t></w:r>
</w:p>
<w:p>
<w:pPr><w:pStyle w:val="Normal"/></w:pPr>
<w:r><w:t xml:space="preserve">pleasure is pure enjoyment.  Even when a disagreeable element</w:t></w:r>
</w:p>
<w:p>
<w:pPr><w:pStyle w:val="Normal"/></w:pPr>
<w:r><w:t xml:space="preserve">is present, as in a musical dissonance or in the suffering</w:t></w:r>
</w:p>
<w:p>
<w:pPr><w:pStyle w:val="Normal"/></w:pPr>
<w:r><w:t xml:space="preserve">of a tragic hero, it contributes to a higher measure of</w:t></w:r>
</w:p>
<w:p>
<w:pPr><w:pStyle w:val="Normal"/></w:pPr>
<w:r><w:t xml:space="preserve">enjoyment.  It is, moreover, free from the painful elements</w:t></w:r>
</w:p>
<w:p>
<w:pPr><w:pStyle w:val="Normal"/></w:pPr>
<w:r><w:t xml:space="preserve">of craving, fatigue, conflict, anxiety and disappointment,</w:t></w:r>
</w:p>
<w:p>
<w:pPr><w:pStyle w:val="Normal"/></w:pPr>
<w:r><w:t xml:space="preserve">which are apt to accompany other kinds of enjoyment; such as</w:t></w:r>
</w:p>
<w:p>
<w:pPr><w:pStyle w:val="Normal"/></w:pPr>
<w:r><w:t xml:space="preserve">the satisfaction of the appetites and other needs.  To this</w:t></w:r>
</w:p>
<w:p>
<w:pPr><w:pStyle w:val="Normal"/></w:pPr>
<w:r><w:t xml:space="preserve">purity of aesthetic pleasure must be added its refinement,</w:t></w:r>
</w:p>
<w:p>
<w:pPr><w:pStyle w:val="Normal"/></w:pPr>
<w:r><w:t xml:space="preserve">which implies not merely a certain remoteness from the bodily</w:t></w:r>
</w:p>
<w:p>
<w:pPr><w:pStyle w:val="Normal"/></w:pPr>
<w:r><w:t xml:space="preserve">needs, but the effect of a union of sense and mind in giving</w:t></w:r>
</w:p>
<w:p>
<w:pPr><w:pStyle w:val="Normal"/></w:pPr>
<w:r><w:t xml:space="preserve">amplitude as well as delicacy to our enjoyment of beauty.</w:t></w:r>
</w:p>
<w:p>
<w:pPr><w:pStyle w:val="Normal"/></w:pPr>
<w:r><w:t xml:space="preserve">Marked off from practical activity,</w:t></w:r>
</w:p>
<w:p>
<w:pPr><w:pStyle w:val="Normal"/></w:pPr>
<w:r><w:t xml:space="preserve">As the region of most pure and refined feeling, aesthetic</w:t></w:r>
</w:p>
<w:p>
<w:pPr><w:pStyle w:val="Normal"/></w:pPr>
<w:r><w:t xml:space="preserve">experience is clearly marked off from practical life,</w:t></w:r>
</w:p>
<w:p>
<w:pPr><w:pStyle w:val="Normal"/></w:pPr>
<w:r><w:t xml:space="preserve">with its urgent desires and the rest.  In aesthetic</w:t></w:r>
</w:p>
<w:p>
<w:pPr><w:pStyle w:val="Normal"/></w:pPr>
<w:r><w:t xml:space="preserve">contemplation desire and will as a whole are almost dormant.</w:t></w:r>
</w:p>
<w:p>
<w:pPr><w:pStyle w:val="Normal"/></w:pPr>
<w:r><w:t xml:space="preserve">also from intellectual activity.</w:t></w:r>
</w:p>
<w:p>
<w:pPr><w:pStyle w:val="Normal"/></w:pPr>
<w:r><w:t xml:space="preserve">This detachment from the daily life of practical needs</w:t></w:r>
</w:p>
<w:p>
<w:pPr><w:pStyle w:val="Normal"/></w:pPr>
<w:r><w:t xml:space="preserve">and aims is brought out in Kant&apos;s postulate that aesthetic</w:t></w:r>
</w:p>
<w:p>
<w:pPr><w:pStyle w:val="Normal"/></w:pPr>
<w:r><w:t xml:space="preserve">enjoyment must be disinterested (``ohne Interesse&apos;&apos;), that</w:t></w:r>
</w:p>
<w:p>
<w:pPr><w:pStyle w:val="Normal"/></w:pPr>
<w:r><w:t xml:space="preserve">when we regard an object aesthetically we are not in the</w:t></w:r>
</w:p>
<w:p>
<w:pPr><w:pStyle w:val="Normal"/></w:pPr>
<w:r><w:t xml:space="preserve">least concerned with its practical significance and value: one</w:t></w:r>
</w:p>
<w:p>
<w:pPr><w:pStyle w:val="Normal"/></w:pPr>
<w:r><w:t xml:space="preserve">cannot, for example, at the same moment aesthetically enjoy</w:t></w:r>
</w:p>
<w:p>
<w:pPr><w:pStyle w:val="Normal"/></w:pPr>
<w:r><w:t xml:space="preserve">looking at a painting and desire to be its possessor.  In like</w:t></w:r>
</w:p>
<w:p>
<w:pPr><w:pStyle w:val="Normal"/></w:pPr>
<w:r><w:t xml:space="preserve">manner, even if less aoparently, aesthetic contemplation is</w:t></w:r>
</w:p>
<w:p>
<w:pPr><w:pStyle w:val="Normal"/></w:pPr>
<w:r><w:t xml:space="preserve">marked off from the arduous mental work which enters into</w:t></w:r>
</w:p>
<w:p>
<w:pPr><w:pStyle w:val="Normal"/></w:pPr>
<w:r><w:t xml:space="preserve">the pursuit of knowledge.  In contemplating an aesthetic</w:t></w:r>
</w:p>
<w:p>
<w:pPr><w:pStyle w:val="Normal"/></w:pPr>
<w:r><w:t xml:space="preserve">object we are mentally occupied with the concrete, whereas</w:t></w:r>
</w:p>
<w:p>
<w:pPr><w:pStyle w:val="Normal"/></w:pPr>
<w:r><w:t xml:space="preserve">all the more serious intellectual work of science involves</w:t></w:r>
</w:p>
<w:p>
<w:pPr><w:pStyle w:val="Normal"/></w:pPr>
<w:r><w:t xml:space="preserve">the difficulties of the abstract. The contemplation is,</w:t></w:r>
</w:p>
<w:p>
<w:pPr><w:pStyle w:val="Normal"/></w:pPr>
<w:r><w:t xml:space="preserve">moreover, free from those restraints which are imposed</w:t></w:r>
</w:p>
<w:p>
<w:pPr><w:pStyle w:val="Normal"/></w:pPr>
<w:r><w:t xml:space="preserve">on our mental activity by the desire to obtain knowledge.</w:t></w:r>
</w:p>
<w:p>
<w:pPr><w:pStyle w:val="Normal"/></w:pPr>
<w:r><w:t xml:space="preserve">Uniformity of aestetic experience.</w:t></w:r>
</w:p>
<w:p>
<w:pPr><w:pStyle w:val="Normal"/></w:pPr>
<w:r><w:t xml:space="preserve">While as the highest phase of feeling aesthetic experience</w:t></w:r>
</w:p>
<w:p>
<w:pPr><w:pStyle w:val="Normal"/></w:pPr>
<w:r><w:t xml:space="preserve">appears to belong to our subjective life, the hidden region of</w:t></w:r>
</w:p>
<w:p>
<w:pPr><w:pStyle w:val="Normal"/></w:pPr>
<w:r><w:t xml:space="preserve">the soul, it is connected just as clearly, through the act of</w:t></w:r>
</w:p>
<w:p>
<w:pPr><w:pStyle w:val="Normal"/></w:pPr>
<w:r><w:t xml:space="preserve">sense-perception, with the world of objects which is our common</w:t></w:r>
</w:p>
<w:p>
<w:pPr><w:pStyle w:val="Normal"/></w:pPr>
<w:r><w:t xml:space="preserve">possession.  Being thus dependent on a contemplation of</w:t></w:r>
</w:p>
<w:p>
<w:pPr><w:pStyle w:val="Normal"/></w:pPr>
<w:r><w:t xml:space="preserve">things in this common world it raises the question whether,</w:t></w:r>
</w:p>
<w:p>
<w:pPr><w:pStyle w:val="Normal"/></w:pPr>
<w:r><w:t xml:space="preserve">like the perception of these objects, it is a uniform</w:t></w:r>
</w:p>
<w:p>
<w:pPr><w:pStyle w:val="Normal"/></w:pPr>
<w:r><w:t xml:space="preserve">experience, the same for others as for myself.  We touch</w:t></w:r>
</w:p>
<w:p>
<w:pPr><w:pStyle w:val="Normal"/></w:pPr>
<w:r><w:t xml:space="preserve">here on the last characteristic of aesthetic experience</w:t></w:r>
</w:p>
<w:p>
<w:pPr><w:pStyle w:val="Normal"/></w:pPr>
<w:r><w:t xml:space="preserve">which needs to he noted at this stage, its uniformity or</w:t></w:r>
</w:p>
<w:p>
<w:pPr><w:pStyle w:val="Normal"/></w:pPr>
<w:r><w:t xml:space="preserve">subjection to law.  It is a common idea that men&apos;s judgments</w:t></w:r>
</w:p>
<w:p>
<w:pPr><w:pStyle w:val="Normal"/></w:pPr>
<w:r><w:t xml:space="preserve">about matters of taste disagree to so large an extent</w:t></w:r>
</w:p>
<w:p>
<w:pPr><w:pStyle w:val="Normal"/></w:pPr>
<w:r><w:t xml:space="preserve">that each individual is left very much to his subjective</w:t></w:r>
</w:p>
<w:p>
<w:pPr><w:pStyle w:val="Normal"/></w:pPr>
<w:r><w:t xml:space="preserve">impressions.  With regard to many of the subtler matters of</w:t></w:r>
</w:p>
<w:p>
<w:pPr><w:pStyle w:val="Normal"/></w:pPr>
<w:r><w:t xml:space="preserve">aesthetic appreciation, at any rate, there is undoubtedly</w:t></w:r>
</w:p>
<w:p>
<w:pPr><w:pStyle w:val="Normal"/></w:pPr>
<w:r><w:t xml:space="preserve">on a first view the appearance of a want of agreement.</w:t></w:r>
</w:p>
<w:p>
<w:pPr><w:pStyle w:val="Normal"/></w:pPr>
<w:r><w:t xml:space="preserve">The aesthetic judgment.</w:t></w:r>
</w:p>
<w:p>
<w:pPr><w:pStyle w:val="Normal"/></w:pPr>
<w:r><w:t xml:space="preserve">Contrasted with logical judgments or even with ethical</w:t></w:r>
</w:p>
<w:p>
<w:pPr><w:pStyle w:val="Normal"/></w:pPr>
<w:r><w:t xml:space="preserve">ones, aesthetic judgments may no doubt look uncertain and</w:t></w:r>
</w:p>
<w:p>
<w:pPr><w:pStyle w:val="Normal"/></w:pPr>
<w:r><w:t xml:space="preserve">``subjective.&apos;&apos; The proposition ``this tree is a birch&apos;&apos; seems</w:t></w:r>
</w:p>
<w:p>
<w:pPr><w:pStyle w:val="Normal"/></w:pPr>
<w:r><w:t xml:space="preserve">to lend itself much better to critical discussion and to general</w:t></w:r>
</w:p>
<w:p>
<w:pPr><w:pStyle w:val="Normal"/></w:pPr>
<w:r><w:t xml:space="preserve">acceptance or rejection than the proposition ``this tree is</w:t></w:r>
</w:p>
<w:p>
<w:pPr><w:pStyle w:val="Normal"/></w:pPr>
<w:r><w:t xml:space="preserve">beautiful.&apos;&apos; This circumstance, as Kant shrewdly suggests,</w:t></w:r>
</w:p>
<w:p>
<w:pPr><w:pStyle w:val="Normal"/></w:pPr>
<w:r><w:t xml:space="preserve">helps to explain why we have come to employ the word ``taste&apos;&apos;</w:t></w:r>
</w:p>
<w:p>
<w:pPr><w:pStyle w:val="Normal"/></w:pPr>
<w:r><w:t xml:space="preserve">in dealing with aesthetic matters; for the pronouncements of</w:t></w:r>
</w:p>
<w:p>
<w:pPr><w:pStyle w:val="Normal"/></w:pPr>
<w:r><w:t xml:space="preserve">the sense of taste are recognized as among the most uncertain</w:t></w:r>
</w:p>
<w:p>
<w:pPr><w:pStyle w:val="Normal"/></w:pPr>
<w:r><w:t xml:space="preserve">and ``subjective&apos;&apos; of our senseimpressions.  Yet viewed as a</w:t></w:r>
</w:p>
<w:p>
<w:pPr><w:pStyle w:val="Normal"/></w:pPr>
<w:r><w:t xml:space="preserve">species of pleasurable feelings, aesthetic experiences will</w:t></w:r>
</w:p>
<w:p>
<w:pPr><w:pStyle w:val="Normal"/></w:pPr>
<w:r><w:t xml:space="preserve">be found to exhibit a large amount of uniformity, of objective</w:t></w:r>
</w:p>
<w:p>
<w:pPr><w:pStyle w:val="Normal"/></w:pPr>
<w:r><w:t xml:space="preserve">agreement as between different experiences of the same person</w:t></w:r>
</w:p>
<w:p>
<w:pPr><w:pStyle w:val="Normal"/></w:pPr>
<w:r><w:t xml:space="preserve">and experiences of different persons.  This general agreement</w:t></w:r>
</w:p>
<w:p>
<w:pPr><w:pStyle w:val="Normal"/></w:pPr>
<w:r><w:t xml:space="preserve">appears to be clearly implied in the ordinary form of our</w:t></w:r>
</w:p>
<w:p>
<w:pPr><w:pStyle w:val="Normal"/></w:pPr>
<w:r><w:t xml:space="preserve">aesthetic judgments.  To say ``this rose is beautiful&apos;&apos;</w:t></w:r>
</w:p>
<w:p>
<w:pPr><w:pStyle w:val="Normal"/></w:pPr>
<w:r><w:t xml:space="preserve">means more than to say ``the sight of this rose affects me</w:t></w:r>
</w:p>
<w:p>
<w:pPr><w:pStyle w:val="Normal"/></w:pPr>
<w:r><w:t xml:space="preserve">agreeably.&apos;&apos; It means that the rose has a general power of</w:t></w:r>
</w:p>
<w:p>
<w:pPr><w:pStyle w:val="Normal"/></w:pPr>
<w:r><w:t xml:space="preserve">so affecting me (at different times) and others as well.</w:t></w:r>
</w:p>
<w:p>
<w:pPr><w:pStyle w:val="Normal"/></w:pPr>
<w:r><w:t xml:space="preserve">Logical judgment and judgment of value.</w:t></w:r>
</w:p>
<w:p>
<w:pPr><w:pStyle w:val="Normal"/></w:pPr>
<w:r><w:t xml:space="preserve">The judgment is not the same as a logical one.  It does not say</w:t></w:r>
</w:p>
<w:p>
<w:pPr><w:pStyle w:val="Normal"/></w:pPr>
<w:r><w:t xml:space="preserve">simply that as a matter of fact it always does please---even</w:t></w:r>
</w:p>
<w:p>
<w:pPr><w:pStyle w:val="Normal"/></w:pPr>
<w:r><w:t xml:space="preserve">if we add the limitation those who for, as we know, our varying</w:t></w:r>
</w:p>
<w:p>
<w:pPr><w:pStyle w:val="Normal"/></w:pPr>
<w:r><w:t xml:space="preserve">mood and state of receptivity make a profound difference in</w:t></w:r>
</w:p>
<w:p>
<w:pPr><w:pStyle w:val="Normal"/></w:pPr>
<w:r><w:t xml:space="preserve">the fulness of the aesthetic enjoyment.  It is a ``judgment of</w:t></w:r>
</w:p>
<w:p>
<w:pPr><w:pStyle w:val="Normal"/></w:pPr>
<w:r><w:t xml:space="preserve">value&apos;&apos; which claims for the rose aesthetic rank as an object</w:t></w:r>
</w:p>
<w:p>
<w:pPr><w:pStyle w:val="Normal"/></w:pPr>
<w:r><w:t xml:space="preserve">properly qualified to please contemplative subjects.  This</w:t></w:r>
</w:p>
<w:p>
<w:pPr><w:pStyle w:val="Normal"/></w:pPr>
<w:r><w:t xml:space="preserve">value, it is plain, is relative to conscious subjects; yet since</w:t></w:r>
</w:p>
<w:p>
<w:pPr><w:pStyle w:val="Normal"/></w:pPr>
<w:r><w:t xml:space="preserve">it is relative to all competent ones, it may be regarded as</w:t></w:r>
</w:p>
<w:p>
<w:pPr><w:pStyle w:val="Normal"/></w:pPr>
<w:r><w:t xml:space="preserve">``objective&apos;&apos;---that is to say, as belonging to the object.1</w:t></w:r>
</w:p>
<w:p>
<w:pPr><w:pStyle w:val="Normal"/></w:pPr>
<w:r><w:t xml:space="preserve">Late development of the science.</w:t></w:r>
</w:p>
<w:p>
<w:pPr><w:pStyle w:val="Normal"/></w:pPr>
<w:r><w:t xml:space="preserve">This slight preliminary inspection of the subject will prepare</w:t></w:r>
</w:p>
<w:p>
<w:pPr><w:pStyle w:val="Normal"/></w:pPr>
<w:r><w:t xml:space="preserve">one for the circumstance that the scientific treatment of</w:t></w:r>
</w:p>
<w:p>
<w:pPr><w:pStyle w:val="Normal"/></w:pPr>
<w:r><w:t xml:space="preserve">it has begun late, and is even now far from being complete.</w:t></w:r>
</w:p>
<w:p>
<w:pPr><w:pStyle w:val="Normal"/></w:pPr>
<w:r><w:t xml:space="preserve">This slowness of development is in part explained by the</w:t></w:r>
</w:p>
<w:p>
<w:pPr><w:pStyle w:val="Normal"/></w:pPr>
<w:r><w:t xml:space="preserve">detachment of aesthetic experience from the urgent needs of</w:t></w:r>
</w:p>
<w:p>
<w:pPr><w:pStyle w:val="Normal"/></w:pPr>
<w:r><w:t xml:space="preserve">life.  In a comparatively early stage of human progress some</w:t></w:r>
</w:p>
<w:p>
<w:pPr><w:pStyle w:val="Normal"/></w:pPr>
<w:r><w:t xml:space="preserve">thought had to be bestowed on such pressing problems as to</w:t></w:r>
</w:p>
<w:p>
<w:pPr><w:pStyle w:val="Normal"/></w:pPr>
<w:r><w:t xml:space="preserve">how to cope with the forces of nature and to turn them to</w:t></w:r>
</w:p>
<w:p>
<w:pPr><w:pStyle w:val="Normal"/></w:pPr>
<w:r><w:t xml:space="preserve">useful account; how to secure in human communities obedience</w:t></w:r>
</w:p>
<w:p>
<w:pPr><w:pStyle w:val="Normal"/></w:pPr>
<w:r><w:t xml:space="preserve">to custom and law.  But the problem of throwing light on our</w:t></w:r>
</w:p>
<w:p>
<w:pPr><w:pStyle w:val="Normal"/></w:pPr>
<w:r><w:t xml:space="preserve">aesthetic pleasures had no such urgency.2 To this it must</w:t></w:r>
</w:p>
<w:p>
<w:pPr><w:pStyle w:val="Normal"/></w:pPr>
<w:r><w:t xml:space="preserve">be added that aesthetic experience (in all but its simpler</w:t></w:r>
</w:p>
<w:p>
<w:pPr><w:pStyle w:val="Normal"/></w:pPr>
<w:r><w:t xml:space="preserve">and cruder forms) has been, and still is confined to a small</w:t></w:r>
</w:p>
<w:p>
<w:pPr><w:pStyle w:val="Normal"/></w:pPr>
<w:r><w:t xml:space="preserve">number of persons; so that the subject does not appeal to a</w:t></w:r>
</w:p>
<w:p>
<w:pPr><w:pStyle w:val="Normal"/></w:pPr>
<w:r><w:t xml:space="preserve">wide popular interest; while, on the other hand, the subjects</w:t></w:r>
</w:p>
<w:p>
<w:pPr><w:pStyle w:val="Normal"/></w:pPr>
<w:r><w:t xml:space="preserve">of this experience not infrequently have a strong sentimental</w:t></w:r>
</w:p>
<w:p>
<w:pPr><w:pStyle w:val="Normal"/></w:pPr>
<w:r><w:t xml:space="preserve">dislike to the idea of introducing into the region of refined</w:t></w:r>
</w:p>
<w:p>
<w:pPr><w:pStyle w:val="Normal"/></w:pPr>
<w:r><w:t xml:space="preserve">feeling the cold light of scientific investigation.  Lastly,</w:t></w:r>
</w:p>
<w:p>
<w:pPr><w:pStyle w:val="Normal"/></w:pPr>
<w:r><w:t xml:space="preserve">there are special difficulties inherent in the subject.  One</w:t></w:r>
</w:p>
<w:p>
<w:pPr><w:pStyle w:val="Normal"/></w:pPr>
<w:r><w:t xml:space="preserve">serious obstacle to a scientific theory of aesthetic experience</w:t></w:r>
</w:p>
<w:p>
<w:pPr><w:pStyle w:val="Normal"/></w:pPr>
<w:r><w:t xml:space="preserve">is the illusive character of many of its finer elements---for</w:t></w:r>
</w:p>
<w:p>
<w:pPr><w:pStyle w:val="Normal"/></w:pPr>
<w:r><w:t xml:space="preserve">example, the subtle differences of feeling-tone produced by</w:t></w:r>
</w:p>
<w:p>
<w:pPr><w:pStyle w:val="Normal"/></w:pPr>
<w:r><w:t xml:space="preserve">the several colours as well as by their several tones and</w:t></w:r>
</w:p>
<w:p>
<w:pPr><w:pStyle w:val="Normal"/></w:pPr>
<w:r><w:t xml:space="preserve">shades, by the several musical intervals, and so forth.</w:t></w:r>
</w:p>
<w:p>
<w:pPr><w:pStyle w:val="Normal"/></w:pPr>
<w:r><w:t xml:space="preserve">Finally, there is the circumstance just touched on that much</w:t></w:r>
</w:p>
<w:p>
<w:pPr><w:pStyle w:val="Normal"/></w:pPr>
<w:r><w:t xml:space="preserve">of this region of experience, instead of at once disclosing</w:t></w:r>
</w:p>
<w:p>
<w:pPr><w:pStyle w:val="Normal"/></w:pPr>
<w:r><w:t xml:space="preserve">uniformity, seems to be rather the abode of caprice and</w:t></w:r>
</w:p>
<w:p>
<w:pPr><w:pStyle w:val="Normal"/></w:pPr>
<w:r><w:t xml:space="preserve">uncertainty.  The variations in taste at different levels of</w:t></w:r>
</w:p>
<w:p>
<w:pPr><w:pStyle w:val="Normal"/></w:pPr>
<w:r><w:t xml:space="preserve">culture, among different races and nations and among the</w:t></w:r>
</w:p>
<w:p>
<w:pPr><w:pStyle w:val="Normal"/></w:pPr>
<w:r><w:t xml:space="preserve">individual members of the same community are numerous and</w:t></w:r>
</w:p>
<w:p>
<w:pPr><w:pStyle w:val="Normal"/></w:pPr>
<w:r><w:t xml:space="preserve">striking, and might at first seem to bar the way to a scientific</w:t></w:r>
</w:p>
<w:p>
<w:pPr><w:pStyle w:val="Normal"/></w:pPr>
<w:r><w:t xml:space="preserve">treatment of the subject.  These considerations suggest</w:t></w:r>
</w:p>
<w:p>
<w:pPr><w:pStyle w:val="Normal"/></w:pPr>
<w:r><w:t xml:space="preserve">that an adequate theory of aesthetic experience could only</w:t></w:r>
</w:p>
<w:p>
<w:pPr><w:pStyle w:val="Normal"/></w:pPr>
<w:r><w:t xml:space="preserve">be attempted after the requisite scientific skill had been</w:t></w:r>
</w:p>
<w:p>
<w:pPr><w:pStyle w:val="Normal"/></w:pPr>
<w:r><w:t xml:space="preserve">developed in other and more pressing departments of inquiry.</w:t></w:r>
</w:p>
<w:p>
<w:pPr><w:pStyle w:val="Normal"/></w:pPr>
<w:r><w:t xml:space="preserve">Inadequate theories of subject.</w:t></w:r>
</w:p>
<w:p>
<w:pPr><w:pStyle w:val="Normal"/></w:pPr>
<w:r><w:t xml:space="preserve">If we glance at the modes of treating the subject up to a</w:t></w:r>
</w:p>
<w:p>
<w:pPr><w:pStyle w:val="Normal"/></w:pPr>
<w:r><w:t xml:space="preserve">quite recent date we find that little of serious effort to</w:t></w:r>
</w:p>
<w:p>
<w:pPr><w:pStyle w:val="Normal"/></w:pPr>
<w:r><w:t xml:space="preserve">apply to it a strictly scientific method of investigation.</w:t></w:r>
</w:p>
<w:p>
<w:pPr><w:pStyle w:val="Normal"/></w:pPr>
<w:r><w:t xml:space="preserve">The whole extent of concrete experience has not been adequately</w:t></w:r>
</w:p>
<w:p>
<w:pPr><w:pStyle w:val="Normal"/></w:pPr>
<w:r><w:t xml:space="preserve">recognized, still less adequately examined.  For the greater</w:t></w:r>
</w:p>
<w:p>
<w:pPr><w:pStyle w:val="Heading1"/></w:pPr>
<w:r><w:t>part thinkers have been in haste to reach some simple</w:t></w:r>
</w:p>
<w:p>
<w:pPr><w:pStyle w:val="Normal"/></w:pPr>
<w:r><w:t xml:space="preserve">formula of beauty which might seem to cover the more obvious</w:t></w:r>
</w:p>
<w:p>
<w:pPr><w:pStyle w:val="Normal"/></w:pPr>
<w:r><w:t xml:space="preserve">facts.  This has commonly been derived deductively from some</w:t></w:r>
</w:p>
<w:p>
<w:pPr><w:pStyle w:val="Normal"/></w:pPr>
<w:r><w:t xml:space="preserve">more comprehensive idea of experience or human life as a</w:t></w:r>
</w:p>
<w:p>
<w:pPr><w:pStyle w:val="Normal"/></w:pPr>
<w:r><w:t xml:space="preserve">whole.  Thus in German treatises on aesthetics which have</w:t></w:r>
</w:p>
<w:p>
<w:pPr><w:pStyle w:val="Normal"/></w:pPr>
<w:r><w:t xml:space="preserve">been largely thought out under the influence of philosophic</w:t></w:r>
</w:p>
<w:p>
<w:pPr><w:pStyle w:val="Normal"/></w:pPr>
<w:r><w:t xml:space="preserve">idealism the beautiful is subsumed under the idea, of which</w:t></w:r>
</w:p>
<w:p>
<w:pPr><w:pStyle w:val="Normal"/></w:pPr>
<w:r><w:t xml:space="preserve">it is regarded as one special manifestation, and its place in</w:t></w:r>
</w:p>
<w:p>
<w:pPr><w:pStyle w:val="Normal"/></w:pPr>
<w:r><w:t xml:space="preserve">human experience has been determined by defining its logical</w:t></w:r>
</w:p>
<w:p>
<w:pPr><w:pStyle w:val="Normal"/></w:pPr>
<w:r><w:t xml:space="preserve">relations to the other great co-ordinate concepts, the good</w:t></w:r>
</w:p>
<w:p>
<w:pPr><w:pStyle w:val="Normal"/></w:pPr>
<w:r><w:t xml:space="preserve">and the true.  These attempts to reach a general conception</w:t></w:r>
</w:p>
<w:p>
<w:pPr><w:pStyle w:val="Normal"/></w:pPr>
<w:r><w:t xml:space="preserve">of beauty have often led to one-sidedness of view.  And this</w:t></w:r>
</w:p>
<w:p>
<w:pPr><w:pStyle w:val="Normal"/></w:pPr>
<w:r><w:t xml:space="preserve">one-sidedness has sometimes characterized the theories of those</w:t></w:r>
</w:p>
<w:p>
<w:pPr><w:pStyle w:val="Normal"/></w:pPr>
<w:r><w:t xml:space="preserve">who, like Alison, have made a wider survey of aesthetic facts.</w:t></w:r>
</w:p>
<w:p>
<w:pPr><w:pStyle w:val="Normal"/></w:pPr>
<w:r><w:t xml:space="preserve">Aesthetics as a normative science.</w:t></w:r>
</w:p>
<w:p>
<w:pPr><w:pStyle w:val="Normal"/></w:pPr>
<w:r><w:t xml:space="preserve">Aesthetics, like Ethics, is a Normative Science, that is to</w:t></w:r>
</w:p>
<w:p>
<w:pPr><w:pStyle w:val="Normal"/></w:pPr>
<w:r><w:t xml:space="preserve">say, concerned with determining the nature of a species of the</w:t></w:r>
</w:p>
<w:p>
<w:pPr><w:pStyle w:val="Normal"/></w:pPr>
<w:r><w:t xml:space="preserve">desirable or the good (in the large sense).  It seeks one or</w:t></w:r>
</w:p>
<w:p>
<w:pPr><w:pStyle w:val="Normal"/></w:pPr>
<w:r><w:t xml:space="preserve">more regulative principles which may help us to distinguish a</w:t></w:r>
</w:p>
<w:p>
<w:pPr><w:pStyle w:val="Normal"/></w:pPr>
<w:r><w:t xml:space="preserve">real from an apparent aesthetic value, and to set the higher and</w:t></w:r>
</w:p>
<w:p>
<w:pPr><w:pStyle w:val="Normal"/></w:pPr>
<w:r><w:t xml:space="preserve">more perfect illustrations of beauty above the lower and less</w:t></w:r>
</w:p>
<w:p>
<w:pPr><w:pStyle w:val="Normal"/></w:pPr>
<w:r><w:t xml:space="preserve">perfect.  As a science it will seek to realize its normative</w:t></w:r>
</w:p>
<w:p>
<w:pPr><w:pStyle w:val="Normal"/></w:pPr>
<w:r><w:t xml:space="preserve">function by the aid of a patient, methodical investigation</w:t></w:r>
</w:p>
<w:p>
<w:pPr><w:pStyle w:val="Normal"/></w:pPr>
<w:r><w:t xml:space="preserve">of facts, and by processes of observation, analysis and</w:t></w:r>
</w:p>
<w:p>
<w:pPr><w:pStyle w:val="Normal"/></w:pPr>
<w:r><w:t xml:space="preserve">induction similar to those carried out in the natural sciences.</w:t></w:r>
</w:p>
<w:p>
<w:pPr><w:pStyle w:val="Normal"/></w:pPr>
<w:r><w:t xml:space="preserve">Aestetics not a practical science.</w:t></w:r>
</w:p>
<w:p>
<w:pPr><w:pStyle w:val="Normal"/></w:pPr>
<w:r><w:t xml:space="preserve">In speaking of aesthetics as a normative science we do not</w:t></w:r>
</w:p>
<w:p>
<w:pPr><w:pStyle w:val="Normal"/></w:pPr>
<w:r><w:t xml:space="preserve">mean that it is a practical one in the sense that it supplies</w:t></w:r>
</w:p>
<w:p>
<w:pPr><w:pStyle w:val="Normal"/></w:pPr>
<w:r><w:t xml:space="preserve">practical rules which may serve as definite guidance for the</w:t></w:r>
</w:p>
<w:p>
<w:pPr><w:pStyle w:val="Normal"/></w:pPr>
<w:r><w:t xml:space="preserve">artist and the lover of beauty, in their particular problems</w:t></w:r>
</w:p>
<w:p>
<w:pPr><w:pStyle w:val="Normal"/></w:pPr>
<w:r><w:t xml:space="preserve">of selecting and arranging elements of aesthetic value.  It</w:t></w:r>
</w:p>
<w:p>
<w:pPr><w:pStyle w:val="Normal"/></w:pPr>
<w:r><w:t xml:space="preserve">is no more a practical science than logic.  The supposition</w:t></w:r>
</w:p>
<w:p>
<w:pPr><w:pStyle w:val="Normal"/></w:pPr>
<w:r><w:t xml:space="preserve">that it is so is probably favoured by the idea that aesthetic</w:t></w:r>
</w:p>
<w:p>
<w:pPr><w:pStyle w:val="Normal"/></w:pPr>
<w:r><w:t xml:space="preserve">theory has art for its special subject.  But this is to confuse</w:t></w:r>
</w:p>
<w:p>
<w:pPr><w:pStyle w:val="Normal"/></w:pPr>
<w:r><w:t xml:space="preserve">a general aesthetic theory--what the Germans call ``General</w:t></w:r>
</w:p>
<w:p>
<w:pPr><w:pStyle w:val="Normal"/></w:pPr>
<w:r><w:t xml:space="preserve">Aesthetics&apos;&apos;---with a theory of art (Kunstwissenschaft).  The</w:t></w:r>
</w:p>
<w:p>
<w:pPr><w:pStyle w:val="Normal"/></w:pPr>
<w:r><w:t xml:space="preserve">former, with which we are here concerned, has to examine</w:t></w:r>
</w:p>
<w:p>
<w:pPr><w:pStyle w:val="Normal"/></w:pPr>
<w:r><w:t xml:space="preserve">aesthetic experience as a whole; which, as we shall presently</w:t></w:r>
</w:p>
<w:p>
<w:pPr><w:pStyle w:val="Normal"/></w:pPr>
<w:r><w:t xml:space="preserve">see, includes more than the enjoyment and appreciation of art.</w:t></w:r>
</w:p>
<w:p>
<w:pPr><w:pStyle w:val="Normal"/></w:pPr>
<w:r><w:t xml:space="preserve">Problems of the science.</w:t></w:r>
</w:p>
<w:p>
<w:pPr><w:pStyle w:val="Normal"/></w:pPr>
<w:r><w:t xml:space="preserve">We may now indicate with more fulness the main problems of our</w:t></w:r>
</w:p>
<w:p>
<w:pPr><w:pStyle w:val="Normal"/></w:pPr>
<w:r><w:t xml:space="preserve">science, seeking to give them as precise a form as possible.</w:t></w:r>
</w:p>
<w:p>
<w:pPr><w:pStyle w:val="Normal"/></w:pPr>
<w:r><w:t xml:space="preserve">Is beauty a single quality in objects?</w:t></w:r>
</w:p>
<w:p>
<w:pPr><w:pStyle w:val="Normal"/></w:pPr>
<w:r><w:t xml:space="preserve">At the outset we are confronted with an old and almost</w:t></w:r>
</w:p>
<w:p>
<w:pPr><w:pStyle w:val="Normal"/></w:pPr>
<w:r><w:t xml:space="preserve">baffling question: ``Is beauty a single quality inherent in</w:t></w:r>
</w:p>
<w:p>
<w:pPr><w:pStyle w:val="Normal"/></w:pPr>
<w:r><w:t xml:space="preserve">objects of perception like form or colour?&apos;&apos; Common language</w:t></w:r>
</w:p>
<w:p>
<w:pPr><w:pStyle w:val="Normal"/></w:pPr>
<w:r><w:t xml:space="preserve">certainly suggests that it is.  Aesthetics, too, began its</w:t></w:r>
</w:p>
<w:p>
<w:pPr><w:pStyle w:val="Normal"/></w:pPr>
<w:r><w:t xml:space="preserve">inquiry at the same point of view, and its history shows how</w:t></w:r>
</w:p>
<w:p>
<w:pPr><w:pStyle w:val="Normal"/></w:pPr>
<w:r><w:t xml:space="preserve">much pains men have taken in trying to determine the nature</w:t></w:r>
</w:p>
<w:p>
<w:pPr><w:pStyle w:val="Normal"/></w:pPr>
<w:r><w:t xml:space="preserve">of this attribute, as well as that of the faculty of the soul</w:t></w:r>
</w:p>
<w:p>
<w:pPr><w:pStyle w:val="Normal"/></w:pPr>
<w:r><w:t xml:space="preserve">by which it is perceived.  Yet a little examination of the</w:t></w:r>
</w:p>
<w:p>
<w:pPr><w:pStyle w:val="Normal"/></w:pPr>
<w:r><w:t xml:space="preserve">facts suffices to show that the theory is beset with serious</w:t></w:r>
</w:p>
<w:p>
<w:pPr><w:pStyle w:val="Normal"/></w:pPr>
<w:r><w:t xml:space="preserve">difficulties.  Whatever beauty may be it is certainly not a</w:t></w:r>
</w:p>
<w:p>
<w:pPr><w:pStyle w:val="Normal"/></w:pPr>
<w:r><w:t xml:space="preserve">quality of an object in the same way in which the colour or</w:t></w:r>
</w:p>
<w:p>
<w:pPr><w:pStyle w:val="Normal"/></w:pPr>
<w:r><w:t xml:space="preserve">the form of it is a quality.  These are physical qualities,</w:t></w:r>
</w:p>
<w:p>
<w:pPr><w:pStyle w:val="Normal"/></w:pPr>
<w:r><w:t xml:space="preserve">known to us by soecific modifications of our sensations.</w:t></w:r>
</w:p>
<w:p>
<w:pPr><w:pStyle w:val="Normal"/></w:pPr>
<w:r><w:t xml:space="preserve">Beauty not a physical quality.</w:t></w:r>
</w:p>
<w:p>
<w:pPr><w:pStyle w:val="Normal"/></w:pPr>
<w:r><w:t xml:space="preserve">The beauty of a rose or of a peach is clearly not a physical</w:t></w:r>
</w:p>
<w:p>
<w:pPr><w:pStyle w:val="Normal"/></w:pPr>
<w:r><w:t xml:space="preserve">quality.  Nor do we in attributing beauty to some particular</w:t></w:r>
</w:p>
<w:p>
<w:pPr><w:pStyle w:val="Normal"/></w:pPr>
<w:r><w:t xml:space="preserve">quality in an object, say colour, conceive of it as a</w:t></w:r>
</w:p>
<w:p>
<w:pPr><w:pStyle w:val="Normal"/></w:pPr>
<w:r><w:t xml:space="preserve">phase of this quality, like depth or brilliance of colour,</w:t></w:r>
</w:p>
<w:p>
<w:pPr><w:pStyle w:val="Normal"/></w:pPr>
<w:r><w:t xml:space="preserve">which, again, is known by a special modification of the</w:t></w:r>
</w:p>
<w:p>
<w:pPr><w:pStyle w:val="Normal"/></w:pPr>
<w:r><w:t xml:space="preserve">sensations of colour.  Hence we must say that beauty, though</w:t></w:r>
</w:p>
<w:p>
<w:pPr><w:pStyle w:val="Normal"/></w:pPr>
<w:r><w:t xml:space="preserve">undoubtedly referred to a physical object, is extraneous</w:t></w:r>
</w:p>
<w:p>
<w:pPr><w:pStyle w:val="Normal"/></w:pPr>
<w:r><w:t xml:space="preserve">to the group of qualities which makes it a physical object.</w:t></w:r>
</w:p>
<w:p>
<w:pPr><w:pStyle w:val="Normal"/></w:pPr>
<w:r><w:t xml:space="preserve">Beauty attributed to different qualities in objects.</w:t></w:r>
</w:p>
<w:p>
<w:pPr><w:pStyle w:val="Normal"/></w:pPr>
<w:r><w:t xml:space="preserve">Beauty is frequently attributed to a concrete object as</w:t></w:r>
</w:p>
<w:p>
<w:pPr><w:pStyle w:val="Normal"/></w:pPr>
<w:r><w:t xml:space="preserve">a whole---to a flower or shell, for example, as a visible</w:t></w:r>
</w:p>
<w:p>
<w:pPr><w:pStyle w:val="Normal"/></w:pPr>
<w:r><w:t xml:space="preserve">whole.  Our everydav aesthetic judgments are wont to leave the</w:t></w:r>
</w:p>
<w:p>
<w:pPr><w:pStyle w:val="Normal"/></w:pPr>
<w:r><w:t xml:space="preserve">attributes thus vaguely referred to the concrete object.  Yet</w:t></w:r>
</w:p>
<w:p>
<w:pPr><w:pStyle w:val="Normal"/></w:pPr>
<w:r><w:t xml:space="preserve">it is equally certain that we not infrequently speak of the</w:t></w:r>
</w:p>
<w:p>
<w:pPr><w:pStyle w:val="Normal"/></w:pPr>
<w:r><w:t xml:space="preserve">beauty of some definable aspect to, or quality of an object, as</w:t></w:r>
</w:p>
<w:p>
<w:pPr><w:pStyle w:val="Normal"/></w:pPr>
<w:r><w:t xml:space="preserve">when we pronounce the contour of a mountain or of a vase to be</w:t></w:r>
</w:p>
<w:p>
<w:pPr><w:pStyle w:val="Normal"/></w:pPr>
<w:r><w:t xml:space="preserve">beautiful.  And it may be asked whether, in thus localizing</w:t></w:r>
</w:p>
<w:p>
<w:pPr><w:pStyle w:val="Normal"/></w:pPr>
<w:r><w:t xml:space="preserve">beauty, so to speak, in one of the constituent qualities of</w:t></w:r>
</w:p>
<w:p>
<w:pPr><w:pStyle w:val="Normal"/></w:pPr>
<w:r><w:t xml:space="preserve">an object, we always place it in the same quality.  A mere</w:t></w:r>
</w:p>
<w:p>
<w:pPr><w:pStyle w:val="Normal"/></w:pPr>
<w:r><w:t xml:space="preserve">glance at the facts will suffice to convince us that we do</w:t></w:r>
</w:p>
<w:p>
<w:pPr><w:pStyle w:val="Normal"/></w:pPr>
<w:r><w:t xml:space="preserve">not.  We call the facade of a Greek temple beautiful with</w:t></w:r>
</w:p>
<w:p>
<w:pPr><w:pStyle w:val="Normal"/></w:pPr>
<w:r><w:t xml:space="preserve">special reference to its admirable form; whereas in predicating</w:t></w:r>
</w:p>
<w:p>
<w:pPr><w:pStyle w:val="Normal"/></w:pPr>
<w:r><w:t xml:space="preserve">beauty of the ruin of a Norman castle we refer rather to what the</w:t></w:r>
</w:p>
<w:p>
<w:pPr><w:pStyle w:val="Normal"/></w:pPr>
<w:r><w:t xml:space="preserve">ruin means---to the effect of an imagination of its past proud</w:t></w:r>
</w:p>
<w:p>
<w:pPr><w:pStyle w:val="Normal"/></w:pPr>
<w:r><w:t xml:space="preserve">strength and slow vanquishment by the unrelenting strokes of time.</w:t></w:r>
</w:p>
<w:p>
<w:pPr><w:pStyle w:val="Normal"/></w:pPr>
<w:r><w:t xml:space="preserve">Formalists and expressionalists.</w:t></w:r>
</w:p>
<w:p>
<w:pPr><w:pStyle w:val="Normal"/></w:pPr>
<w:r><w:t xml:space="preserve">This fact that beauty appertains now more to one quality,</w:t></w:r>
</w:p>
<w:p>
<w:pPr><w:pStyle w:val="Normal"/></w:pPr>
<w:r><w:t xml:space="preserve">now more to another, helps us to understand why certain</w:t></w:r>
</w:p>
<w:p>
<w:pPr><w:pStyle w:val="Normal"/></w:pPr>
<w:r><w:t xml:space="preserve">theorists, known as formalists, regarded beauty as formal</w:t></w:r>
</w:p>
<w:p>
<w:pPr><w:pStyle w:val="Normal"/></w:pPr>
<w:r><w:t xml:space="preserve">or residing in form, whereas others, the idealists or</w:t></w:r>
</w:p>
<w:p>
<w:pPr><w:pStyle w:val="Normal"/></w:pPr>
<w:r><w:t xml:space="preserve">expressionalists, view it as residing in ideal content or</w:t></w:r>
</w:p>
<w:p>
<w:pPr><w:pStyle w:val="Normal"/></w:pPr>
<w:r><w:t xml:space="preserve">expression. These theories. however, like other attempts to</w:t></w:r>
</w:p>
<w:p>
<w:pPr><w:pStyle w:val="Normal"/></w:pPr>
<w:r><w:t xml:space="preserve">find an adequate single principle of beauty, are unsatisfactory.</w:t></w:r>
</w:p>
<w:p>
<w:pPr><w:pStyle w:val="Normal"/></w:pPr>
<w:r><w:t xml:space="preserve">Form and ideal content are each a great source of aesthetic</w:t></w:r>
</w:p>
<w:p>
<w:pPr><w:pStyle w:val="Normal"/></w:pPr>
<w:r><w:t xml:space="preserve">enjoyment, and either can be found in a degree of supremacy</w:t></w:r>
</w:p>
<w:p>
<w:pPr><w:pStyle w:val="Normal"/></w:pPr>
<w:r><w:t xml:space="preserve">which practically renders the co-operation of the other</w:t></w:r>
</w:p>
<w:p>
<w:pPr><w:pStyle w:val="Normal"/></w:pPr>
<w:r><w:t xml:space="preserve">unimportant.  The two buildings cited above, two human faces,</w:t></w:r>
</w:p>
<w:p>
<w:pPr><w:pStyle w:val="Normal"/></w:pPr>
<w:r><w:t xml:space="preserve">two musical compositions, may exhibit in an impressive and</w:t></w:r>
</w:p>
<w:p>
<w:pPr><w:pStyle w:val="Normal"/></w:pPr>
<w:r><w:t xml:space="preserve">engrossing way the beauty of form and of expression respectively.</w:t></w:r>
</w:p>
<w:p>
<w:pPr><w:pStyle w:val="Normal"/></w:pPr>
<w:r><w:t xml:space="preserve">Three ultimate modes of beauty.</w:t></w:r>
</w:p>
<w:p>
<w:pPr><w:pStyle w:val="Normal"/></w:pPr>
<w:r><w:t xml:space="preserve">Nor is this all.  Beauty refuses to be confined even to these</w:t></w:r>
</w:p>
<w:p>
<w:pPr><w:pStyle w:val="Normal"/></w:pPr>
<w:r><w:t xml:space="preserve">two.  There are the various beauties of colour, for example,</w:t></w:r>
</w:p>
<w:p>
<w:pPr><w:pStyle w:val="Normal"/></w:pPr>
<w:r><w:t xml:space="preserve">as exhibited in such familiar phenomena of nature as sea</w:t></w:r>
</w:p>
<w:p>
<w:pPr><w:pStyle w:val="Normal"/></w:pPr>
<w:r><w:t xml:space="preserve">and sky, autumn moors and woods.  A slight analysis of</w:t></w:r>
</w:p>
<w:p>
<w:pPr><w:pStyle w:val="Normal"/></w:pPr>
<w:r><w:t xml:space="preserve">the constituents of objects to which we attribute beauty</w:t></w:r>
</w:p>
<w:p>
<w:pPr><w:pStyle w:val="Normal"/></w:pPr>
<w:r><w:t xml:space="preserve">shows that there are at least three distinct modes of this</w:t></w:r>
</w:p>
<w:p>
<w:pPr><w:pStyle w:val="Normal"/></w:pPr>
<w:r><w:t xml:space="preserve">attribute, namely (1) sensuous beauty, (2) beauty of form</w:t></w:r>
</w:p>
<w:p>
<w:pPr><w:pStyle w:val="Normal"/></w:pPr>
<w:r><w:t xml:space="preserve">and (3) beauty of meaning or expression, nor do these</w:t></w:r>
</w:p>
<w:p>
<w:pPr><w:pStyle w:val="Normal"/></w:pPr>
<w:r><w:t xml:space="preserve">appear to be reducible to any higher or more comprehensive</w:t></w:r>
</w:p>
<w:p>
<w:pPr><w:pStyle w:val="Normal"/></w:pPr>
<w:r><w:t xml:space="preserve">principle.  It requires a certain boldness to attempt to effect</w:t></w:r>
</w:p>
<w:p>
<w:pPr><w:pStyle w:val="Normal"/></w:pPr>
<w:r><w:t xml:space="preserve">a rapprochement between the formal and the expressional</w:t></w:r>
</w:p>
<w:p>
<w:pPr><w:pStyle w:val="Normal"/></w:pPr>
<w:r><w:t xml:space="preserve">factor.3 An apparent unification of the three seems at</w:t></w:r>
</w:p>
<w:p>
<w:pPr><w:pStyle w:val="Normal"/></w:pPr>
<w:r><w:t xml:space="preserve">present only possible by substituting for beauty another</w:t></w:r>
</w:p>
<w:p>
<w:pPr><w:pStyle w:val="Normal"/></w:pPr>
<w:r><w:t xml:space="preserve">concept at least equally vague, such as perfection,4 which</w:t></w:r>
</w:p>
<w:p>
<w:pPr><w:pStyle w:val="Normal"/></w:pPr>
<w:r><w:t xml:space="preserve">seems to imply the idea of purposiveness, and to apply clearly</w:t></w:r>
</w:p>
<w:p>
<w:pPr><w:pStyle w:val="Normal"/></w:pPr>
<w:r><w:t xml:space="preserve">only to certain domains of beauty, e.g. organic form.</w:t></w:r>
</w:p>
<w:p>
<w:pPr><w:pStyle w:val="Normal"/></w:pPr>
<w:r><w:t xml:space="preserve">Beauty and allied conceptions.</w:t></w:r>
</w:p>
<w:p>
<w:pPr><w:pStyle w:val="Normal"/></w:pPr>
<w:r><w:t xml:space="preserve">We may now take another step and say that beauty appears to be</w:t></w:r>
</w:p>
<w:p>
<w:pPr><w:pStyle w:val="Normal"/></w:pPr>
<w:r><w:t xml:space="preserve">a quality in objects which is not sharply differentiated from</w:t></w:r>
</w:p>
<w:p>
<w:pPr><w:pStyle w:val="Normal"/></w:pPr>
<w:r><w:t xml:space="preserve">other and allied qualities.  If we look at the usages of speech</w:t></w:r>
</w:p>
<w:p>
<w:pPr><w:pStyle w:val="Normal"/></w:pPr>
<w:r><w:t xml:space="preserve">we shall find that beauty has its kindred conceptions, such as</w:t></w:r>
</w:p>
<w:p>
<w:pPr><w:pStyle w:val="Normal"/></w:pPr>
<w:r><w:t xml:space="preserve">gracefulness, prettiness and others.  Writers on aesthetics have</w:t></w:r>
</w:p>
<w:p>
<w:pPr><w:pStyle w:val="Normal"/></w:pPr>
<w:r><w:t xml:space="preserve">spent much time on these ``Modifications of the Beautiful.&apos;&apos; The</w:t></w:r>
</w:p>
<w:p>
<w:pPr><w:pStyle w:val="Normal"/></w:pPr>
<w:r><w:t xml:space="preserve">point emphasized here is the difficulty of drawing the line between</w:t></w:r>
</w:p>
<w:p>
<w:pPr><w:pStyle w:val="Normal"/></w:pPr>
<w:r><w:t xml:space="preserve">them.  Even an expert may hesitate long before saying whether</w:t></w:r>
</w:p>
<w:p>
<w:pPr><w:pStyle w:val="Normal"/></w:pPr>
<w:r><w:t xml:space="preserve">a human face, a flower or a cameo should be called beautiful or</w:t></w:r>
</w:p>
<w:p>
<w:pPr><w:pStyle w:val="Normal"/></w:pPr>
<w:r><w:t xml:space="preserve">pretty.  Must we postulate as many allied qualities as there</w:t></w:r>
</w:p>
<w:p>
<w:pPr><w:pStyle w:val="Normal"/></w:pPr>
<w:r><w:t xml:space="preserve">are names for these pleasing aspects of objects? Or must we</w:t></w:r>
</w:p>
<w:p>
<w:pPr><w:pStyle w:val="Normal"/></w:pPr>
<w:r><w:t xml:space="preserve">do violence to usage and so stretch the word ``Beauty&apos;&apos; as</w:t></w:r>
</w:p>
<w:p>
<w:pPr><w:pStyle w:val="Normal"/></w:pPr>
<w:r><w:t xml:space="preserve">to make it cover all qualities or aspects of objects which</w:t></w:r>
</w:p>
<w:p>
<w:pPr><w:pStyle w:val="Normal"/></w:pPr>
<w:r><w:t xml:space="preserve">have aesthetic value, including those ``modifications of the</w:t></w:r>
</w:p>
<w:p>
<w:pPr><w:pStyle w:val="Normal"/></w:pPr>
<w:r><w:t xml:space="preserve">beautiful&apos;&apos; which we know as the sublime, the comic and the</w:t></w:r>
</w:p>
<w:p>
<w:pPr><w:pStyle w:val="Normal"/></w:pPr>
<w:r><w:t xml:space="preserve">rest? But the wider we try in this way to make the denotation</w:t></w:r>
</w:p>
<w:p>
<w:pPr><w:pStyle w:val="Normal"/></w:pPr>
<w:r><w:t xml:space="preserve">of the term the vaguer grows the connotation.  We are thus</w:t></w:r>
</w:p>
<w:p>
<w:pPr><w:pStyle w:val="Normal"/></w:pPr>
<w:r><w:t xml:space="preserve">left equally incapable of saying what the quality is, and</w:t></w:r>
</w:p>
<w:p>
<w:pPr><w:pStyle w:val="Normal"/></w:pPr>
<w:r><w:t xml:space="preserve">in which aspect or attribute of the object it inheres.5</w:t></w:r>
</w:p>
<w:p>
<w:pPr><w:pStyle w:val="Normal"/></w:pPr>
<w:r><w:t xml:space="preserve">Assumption of objective qualityt of beauty dispensed with.</w:t></w:r>
</w:p>
<w:p>
<w:pPr><w:pStyle w:val="Normal"/></w:pPr>
<w:r><w:t xml:space="preserve">It seems to follow that in constructing a scientific theory we do</w:t></w:r>
</w:p>
<w:p>
<w:pPr><w:pStyle w:val="Normal"/></w:pPr>
<w:r><w:t xml:space="preserve">well to dispense with the assumption of an objective quality of</w:t></w:r>
</w:p>
<w:p>
<w:pPr><w:pStyle w:val="Normal"/></w:pPr>
<w:r><w:t xml:space="preserve">beauty.  Aesthetics will return to Kant and confine itself to</w:t></w:r>
</w:p>
<w:p>
<w:pPr><w:pStyle w:val="Normal"/></w:pPr>
<w:r><w:t xml:space="preserve">the examination of objects called beautiful in their relation</w:t></w:r>
</w:p>
<w:p>
<w:pPr><w:pStyle w:val="Normal"/></w:pPr>
<w:r><w:t xml:space="preserve">to, and in their manner of affecting our minds.6 The aesthetic</w:t></w:r>
</w:p>
<w:p>
<w:pPr><w:pStyle w:val="Normal"/></w:pPr>
<w:r><w:t xml:space="preserve">value of such an object will be viewed as consisting in the</w:t></w:r>
</w:p>
<w:p>
<w:pPr><w:pStyle w:val="Normal"/></w:pPr>
<w:r><w:t xml:space="preserve">possession of certain assignable characteristics by means of</w:t></w:r>
</w:p>
<w:p>
<w:pPr><w:pStyle w:val="Normal"/></w:pPr>
<w:r><w:t xml:space="preserve">which it is fitted to affect us in a certain desirable way,</w:t></w:r>
</w:p>
<w:p>
<w:pPr><w:pStyle w:val="Normal"/></w:pPr>
<w:r><w:t xml:space="preserve">to draw us into the enjoyable mood of aesthetic contemplation.</w:t></w:r>
</w:p>
<w:p>
<w:pPr><w:pStyle w:val="Normal"/></w:pPr>
<w:r><w:t xml:space="preserve">Aesthetic qualities.</w:t></w:r>
</w:p>
<w:p>
<w:pPr><w:pStyle w:val="Normal"/></w:pPr>
<w:r><w:t xml:space="preserve">These characteristics may conveniently be called aesthetic</w:t></w:r>
</w:p>
<w:p>
<w:pPr><w:pStyle w:val="Normal"/></w:pPr>
<w:r><w:t xml:space="preserve">qualities.7 Objects which are found to possess one or more</w:t></w:r>
</w:p>
<w:p>
<w:pPr><w:pStyle w:val="Normal"/></w:pPr>
<w:r><w:t xml:space="preserve">of these qualities in the required degree of fulness claim a</w:t></w:r>
</w:p>
<w:p>
<w:pPr><w:pStyle w:val="Normal"/></w:pPr>
<w:r><w:t xml:space="preserve">certain aesthetic value, even though they fall short of being</w:t></w:r>
</w:p>
<w:p>
<w:pPr><w:pStyle w:val="Normal"/></w:pPr>
<w:r><w:t xml:space="preserve">``beautiful,&apos;&apos; in the more exacting use of this word.  They</w:t></w:r>
</w:p>
<w:p>
<w:pPr><w:pStyle w:val="Normal"/></w:pPr>
<w:r><w:t xml:space="preserve">are in the direction---``im Sinne,&apos;&apos; as Fechner says----of</w:t></w:r>
</w:p>
<w:p>
<w:pPr><w:pStyle w:val="Normal"/></w:pPr>
<w:r><w:t xml:space="preserve">beauty, conceived as something fuller and richer, answering</w:t></w:r>
</w:p>
<w:p>
<w:pPr><w:pStyle w:val="Normal"/></w:pPr>
<w:r><w:t xml:space="preserve">to a higher standard of aesthetic enjoyment and a severer</w:t></w:r>
</w:p>
<w:p>
<w:pPr><w:pStyle w:val="Normal"/></w:pPr>
<w:r><w:t xml:space="preserve">demand on our part.  The word ``beauty&apos;&apos; may still be used</w:t></w:r>
</w:p>
<w:p>
<w:pPr><w:pStyle w:val="Normal"/></w:pPr>
<w:r><w:t xml:space="preserve">occasionally, where no ambiguity arises, as a convenient</w:t></w:r>
</w:p>
<w:p>
<w:pPr><w:pStyle w:val="Normal"/></w:pPr>
<w:r><w:t xml:space="preserve">expression for aesthetic value in all its degrees.  Yet</w:t></w:r>
</w:p>
<w:p>
<w:pPr><w:pStyle w:val="Normal"/></w:pPr>
<w:r><w:t xml:space="preserve">it is better to keep the term applicable to the objects</w:t></w:r>
</w:p>
<w:p>
<w:pPr><w:pStyle w:val="Normal"/></w:pPr>
<w:r><w:t xml:space="preserve">commonly denoted by it by making it represent the fuller</w:t></w:r>
</w:p>
<w:p>
<w:pPr><w:pStyle w:val="Normal"/></w:pPr>
<w:r><w:t xml:space="preserve">aesthetic satisfactions which flow from a rare and commanding</w:t></w:r>
</w:p>
<w:p>
<w:pPr><w:pStyle w:val="Normal"/></w:pPr>
<w:r><w:t xml:space="preserve">exhibition of one or more of these qualities, from what may be</w:t></w:r>
</w:p>
<w:p>
<w:pPr><w:pStyle w:val="Normal"/></w:pPr>
<w:r><w:t xml:space="preserve">described as an appreciable excellence of aesthetic quality.</w:t></w:r>
</w:p>
<w:p>
<w:pPr><w:pStyle w:val="Normal"/></w:pPr>
<w:r><w:t xml:space="preserve">By thus dispensing with the concept of beauty as some</w:t></w:r>
</w:p>
<w:p>
<w:pPr><w:pStyle w:val="Normal"/></w:pPr>
<w:r><w:t xml:space="preserve">occult undefinable quality, we get rid of much of the</w:t></w:r>
</w:p>
<w:p>
<w:pPr><w:pStyle w:val="Normal"/></w:pPr>
<w:r><w:t xml:space="preserve">contradiction which appears to inhere in our aesthetic</w:t></w:r>
</w:p>
<w:p>
<w:pPr><w:pStyle w:val="Normal"/></w:pPr>
<w:r><w:t xml:space="preserve">experience.  For example, a bit of brilliant colour in a</w:t></w:r>
</w:p>
<w:p>
<w:pPr><w:pStyle w:val="Normal"/></w:pPr>
<w:r><w:t xml:space="preserve">bonnet which pleases the wearer but offends her superior in</w:t></w:r>
</w:p>
<w:p>
<w:pPr><w:pStyle w:val="Normal"/></w:pPr>
<w:r><w:t xml:space="preserve">aesthetic matters takes its place as something which per</w:t></w:r>
</w:p>
<w:p>
<w:pPr><w:pStyle w:val="Normal"/></w:pPr>
<w:r><w:t xml:space="preserve">se has a certain degree of aesthetic value even though the</w:t></w:r>
</w:p>
<w:p>
<w:pPr><w:pStyle w:val="Normal"/></w:pPr>
<w:r><w:t xml:space="preserve">particular relations into which it has now thrust itself,</w:t></w:r>
</w:p>
<w:p>
<w:pPr><w:pStyle w:val="Normal"/></w:pPr>
<w:r><w:t xml:space="preserve">palpable to the trained eye, may practically rob it of its</w:t></w:r>
</w:p>
<w:p>
<w:pPr><w:pStyle w:val="Normal"/></w:pPr>
<w:r><w:t xml:space="preserve">value.  In thus substituting the relative idea of aesthetic</w:t></w:r>
</w:p>
<w:p>
<w:pPr><w:pStyle w:val="Normal"/></w:pPr>
<w:r><w:t xml:space="preserve">value for the absolute idea of beauty we may no doubt seem</w:t></w:r>
</w:p>
<w:p>
<w:pPr><w:pStyle w:val="Normal"/></w:pPr>
<w:r><w:t xml:space="preserve">to be destroying the reality of the object of aesthetic</w:t></w:r>
</w:p>
<w:p>
<w:pPr><w:pStyle w:val="Normal"/></w:pPr>
<w:r><w:t xml:space="preserve">perception.  This point may more conveniently be taken up later</w:t></w:r>
</w:p>
<w:p>
<w:pPr><w:pStyle w:val="Normal"/></w:pPr>
<w:r><w:t xml:space="preserve">when we consider the whole question of aesthetic illusion.</w:t></w:r>
</w:p>
<w:p>
<w:pPr><w:pStyle w:val="Normal"/></w:pPr>
<w:r><w:t xml:space="preserve">Problem of aesthetic effect.</w:t></w:r>
</w:p>
<w:p>
<w:pPr><w:pStyle w:val="Normal"/></w:pPr>
<w:r><w:t xml:space="preserve">This new way of envisaging aesthetic objects requires us</w:t></w:r>
</w:p>
<w:p>
<w:pPr><w:pStyle w:val="Normal"/></w:pPr>
<w:r><w:t xml:space="preserve">to make the study of their effect a prominent part of our</w:t></w:r>
</w:p>
<w:p>
<w:pPr><w:pStyle w:val="Normal"/></w:pPr>
<w:r><w:t xml:space="preserve">investigation.  In all the valuable recent work on the</w:t></w:r>
</w:p>
<w:p>
<w:pPr><w:pStyle w:val="Normal"/></w:pPr>
<w:r><w:t xml:space="preserve">subject, attention has been largely concentrated on this</w:t></w:r>
</w:p>
<w:p>
<w:pPr><w:pStyle w:val="Normal"/></w:pPr>
<w:r><w:t xml:space="preserve">effect.  More particularly we have to investigate and illumine</w:t></w:r>
</w:p>
<w:p>
<w:pPr><w:pStyle w:val="Normal"/></w:pPr>
<w:r><w:t xml:space="preserve">scientifically the pleasurable side of the experience.</w:t></w:r>
</w:p>
<w:p>
<w:pPr><w:pStyle w:val="Normal"/></w:pPr>
<w:r><w:t xml:space="preserve">Aesthetics and laws of pleasure.</w:t></w:r>
</w:p>
<w:p>
<w:pPr><w:pStyle w:val="Normal"/></w:pPr>
<w:r><w:t xml:space="preserve">In doing this we shall make use of all the light we can</w:t></w:r>
</w:p>
<w:p>
<w:pPr><w:pStyle w:val="Normal"/></w:pPr>
<w:r><w:t xml:space="preserve">obtain from a study of known laws of Pleasure.  Thus</w:t></w:r>
</w:p>
<w:p>
<w:pPr><w:pStyle w:val="Normal"/></w:pPr>
<w:r><w:t xml:space="preserve">we shall avail ourselves not only of the theory of the</w:t></w:r>
</w:p>
<w:p>
<w:pPr><w:pStyle w:val="Normal"/></w:pPr>
<w:r><w:t xml:space="preserve">pleasure-tones of sensation but of that of the conditions</w:t></w:r>
</w:p>
<w:p>
<w:pPr><w:pStyle w:val="Normal"/></w:pPr>
<w:r><w:t xml:space="preserve">of an agreeable exercise of the attention upon objects more</w:t></w:r>
</w:p>
<w:p>
<w:pPr><w:pStyle w:val="Normal"/></w:pPr>
<w:r><w:t xml:space="preserve">particularly of the characteristics of objects which adequately</w:t></w:r>
</w:p>
<w:p>
<w:pPr><w:pStyle w:val="Normal"/></w:pPr>
<w:r><w:t xml:space="preserve">stimulate the attention without confusing or burdening it.</w:t></w:r>
</w:p>
<w:p>
<w:pPr><w:pStyle w:val="Normal"/></w:pPr>
<w:r><w:t xml:space="preserve">Problem of aesthetic enjoyment a special one.</w:t></w:r>
</w:p>
<w:p>
<w:pPr><w:pStyle w:val="Normal"/></w:pPr>
<w:r><w:t xml:space="preserve">Yet this does not require that we should treat the aesthetic</w:t></w:r>
</w:p>
<w:p>
<w:pPr><w:pStyle w:val="Normal"/></w:pPr>
<w:r><w:t xml:space="preserve">problem as a part of the more general science of pleasure, as</w:t></w:r>
</w:p>
<w:p>
<w:pPr><w:pStyle w:val="Normal"/></w:pPr>
<w:r><w:t xml:space="preserve">has been attempted by some, e.g. Grant Allen (Physiological</w:t></w:r>
</w:p>
<w:p>
<w:pPr><w:pStyle w:val="Normal"/></w:pPr>
<w:r><w:t xml:space="preserve">Aesthetics) and Rutgers Marshall (Pain, Pleasure and</w:t></w:r>
</w:p>
<w:p>
<w:pPr><w:pStyle w:val="Normal"/></w:pPr>
<w:r><w:t xml:space="preserve">Aesthetics, and Aesthetic Principles.) To do so would be</w:t></w:r>
</w:p>
<w:p>
<w:pPr><w:pStyle w:val="Normal"/></w:pPr>
<w:r><w:t xml:space="preserve">to run the risk of considering only the more general aspects</w:t></w:r>
</w:p>
<w:p>
<w:pPr><w:pStyle w:val="Normal"/></w:pPr>
<w:r><w:t xml:space="preserve">and conditions of aesthetic enjoyment, whereas what we need is</w:t></w:r>
</w:p>
<w:p>
<w:pPr><w:pStyle w:val="Normal"/></w:pPr>
<w:r><w:t xml:space="preserve">a theory of it as a specific kind of pleasurable experience.</w:t></w:r>
</w:p>
<w:p>
<w:pPr><w:pStyle w:val="Normal"/></w:pPr>
<w:r><w:t xml:space="preserve">The attitude of aesthetic contemplation.</w:t></w:r>
</w:p>
<w:p>
<w:pPr><w:pStyle w:val="Normal"/></w:pPr>
<w:r><w:t xml:space="preserve">What is required at the present stage of development of the</w:t></w:r>
</w:p>
<w:p>
<w:pPr><w:pStyle w:val="Normal"/></w:pPr>
<w:r><w:t xml:space="preserve">science is a deeper investigation of the aesthetic attitude</w:t></w:r>
</w:p>
<w:p>
<w:pPr><w:pStyle w:val="Normal"/></w:pPr>
<w:r><w:t xml:space="preserve">of mind as a whole, of what we may call the aesthetic</w:t></w:r>
</w:p>
<w:p>
<w:pPr><w:pStyle w:val="Normal"/></w:pPr>
<w:r><w:t xml:space="preserve">psychosis.  We need to probe the act of contemplation itself,</w:t></w:r>
</w:p>
<w:p>
<w:pPr><w:pStyle w:val="Normal"/></w:pPr>
<w:r><w:t xml:space="preserve">the mode of activity of attention involved in this calm,</w:t></w:r>
</w:p>
<w:p>
<w:pPr><w:pStyle w:val="Normal"/></w:pPr>
<w:r><w:t xml:space="preserve">half-dreamlike gazing on the mere look of things unconcerned</w:t></w:r>
</w:p>
<w:p>
<w:pPr><w:pStyle w:val="Normal"/></w:pPr>
<w:r><w:t xml:space="preserve">with their ordinary and weightier imports.  We need further</w:t></w:r>
</w:p>
<w:p>
<w:pPr><w:pStyle w:val="Normal"/></w:pPr>
<w:r><w:t xml:space="preserve">to determine the effect of this contemplative attitude upon</w:t></w:r>
</w:p>
<w:p>
<w:pPr><w:pStyle w:val="Normal"/></w:pPr>
<w:r><w:t xml:space="preserve">the several mental processes involved, the act of perception</w:t></w:r>
</w:p>
<w:p>
<w:pPr><w:pStyle w:val="Normal"/></w:pPr>
<w:r><w:t xml:space="preserve">itself, with its grasp of manifold relations, the flow of</w:t></w:r>
</w:p>
<w:p>
<w:pPr><w:pStyle w:val="Normal"/></w:pPr>
<w:r><w:t xml:space="preserve">ideas, the partial resurgence and transformation of emotion.</w:t></w:r>
</w:p>
<w:p>
<w:pPr><w:pStyle w:val="Normal"/></w:pPr>
<w:r><w:t xml:space="preserve">In examining these effects we must keep in view the double side</w:t></w:r>
</w:p>
<w:p>
<w:pPr><w:pStyle w:val="Normal"/></w:pPr>
<w:r><w:t xml:space="preserve">of the contemplative attitude, the wide range of free movement</w:t></w:r>
</w:p>
<w:p>
<w:pPr><w:pStyle w:val="Normal"/></w:pPr>
<w:r><w:t xml:space="preserve">which perception and imagination claim and enjoy, and the willing</w:t></w:r>
</w:p>
<w:p>
<w:pPr><w:pStyle w:val="Normal"/></w:pPr>
<w:r><w:t xml:space="preserve">subjection of the contemplative mind to the spell of the object.</w:t></w:r>
</w:p>
<w:p>
<w:pPr><w:pStyle w:val="Normal"/></w:pPr>
<w:r><w:t xml:space="preserve">Intellectual and aesthetic activity further differentiated.</w:t></w:r>
</w:p>
<w:p>
<w:pPr><w:pStyle w:val="Normal"/></w:pPr>
<w:r><w:t xml:space="preserve">A deeper inspection of the contemplative mood may be expected</w:t></w:r>
</w:p>
<w:p>
<w:pPr><w:pStyle w:val="Normal"/></w:pPr>
<w:r><w:t xml:space="preserve">to render clearer the difference between the mental activity</w:t></w:r>
</w:p>
<w:p>
<w:pPr><w:pStyle w:val="Normal"/></w:pPr>
<w:r><w:t xml:space="preserve">employed in aesthetic perception and imagination and intellectual</w:t></w:r>
</w:p>
<w:p>
<w:pPr><w:pStyle w:val="Normal"/></w:pPr>
<w:r><w:t xml:space="preserve">activity proper; between. say, the differencing of allied</w:t></w:r>
</w:p>
<w:p>
<w:pPr><w:pStyle w:val="Normal"/></w:pPr>
<w:r><w:t xml:space="preserve">tints involved in the finer aesthetic enjoyment of colour</w:t></w:r>
</w:p>
<w:p>
<w:pPr><w:pStyle w:val="Normal"/></w:pPr>
<w:r><w:t xml:space="preserve">and the sharper, clearer discrimination of tints required in</w:t></w:r>
</w:p>
<w:p>
<w:pPr><w:pStyle w:val="Normal"/></w:pPr>
<w:r><w:t xml:space="preserve">scientific observation, and between such a grasp of relations</w:t></w:r>
</w:p>
<w:p>
<w:pPr><w:pStyle w:val="Normal"/></w:pPr>
<w:r><w:t xml:space="preserve">as is required for a just appreciation of beautiful form</w:t></w:r>
</w:p>
<w:p>
<w:pPr><w:pStyle w:val="Normal"/></w:pPr>
<w:r><w:t xml:space="preserve">and that severe analysis and measurement of formal elements</w:t></w:r>
</w:p>
<w:p>
<w:pPr><w:pStyle w:val="Normal"/></w:pPr>
<w:r><w:t xml:space="preserve">and their relations which is insisted upon by science.  As</w:t></w:r>
</w:p>
<w:p>
<w:pPr><w:pStyle w:val="Normal"/></w:pPr>
<w:r><w:t xml:space="preserve">a result of a finer distinction here we may probably be in a</w:t></w:r>
</w:p>
<w:p>
<w:pPr><w:pStyle w:val="Normal"/></w:pPr>
<w:r><w:t xml:space="preserve">better position to determine the point---touched on more than</w:t></w:r>
</w:p>
<w:p>
<w:pPr><w:pStyle w:val="Normal"/></w:pPr>
<w:r><w:t xml:space="preserve">once in recent works on aesthetics---how far intellectual</w:t></w:r>
</w:p>
<w:p>
<w:pPr><w:pStyle w:val="Normal"/></w:pPr>
<w:r><w:t xml:space="preserve">pleasure proper, e.g. that of recognizing and classifying</w:t></w:r>
</w:p>
<w:p>
<w:pPr><w:pStyle w:val="Normal"/></w:pPr>
<w:r><w:t xml:space="preserve">objects, enters as a subordinate element into aesthetic</w:t></w:r>
</w:p>
<w:p>
<w:pPr><w:pStyle w:val="Normal"/></w:pPr>
<w:r><w:t xml:space="preserve">enjoyment. Is aesthetic enjoyment essentially social?</w:t></w:r>
</w:p>
<w:p>
<w:pPr><w:pStyle w:val="Normal"/></w:pPr>
<w:r><w:t xml:space="preserve">One point in the characterization of aesthetic experience</w:t></w:r>
</w:p>
<w:p>
<w:pPr><w:pStyle w:val="Normal"/></w:pPr>
<w:r><w:t xml:space="preserve">has been reserved, namely, the question whether it is</w:t></w:r>
</w:p>
<w:p>
<w:pPr><w:pStyle w:val="Normal"/></w:pPr>
<w:r><w:t xml:space="preserve">essentially a form of social enjoyment.  No one doubts</w:t></w:r>
</w:p>
<w:p>
<w:pPr><w:pStyle w:val="Normal"/></w:pPr>
<w:r><w:t xml:space="preserve">that a man often enjoys beauty, e.g. that of a landscape,</w:t></w:r>
</w:p>
<w:p>
<w:pPr><w:pStyle w:val="Normal"/></w:pPr>
<w:r><w:t xml:space="preserve">when alone; yet at such a moment he not only recognizes that</w:t></w:r>
</w:p>
<w:p>
<w:pPr><w:pStyle w:val="Normal"/></w:pPr>
<w:r><w:t xml:space="preserve">his pleasure is a possible one for others, but is probably</w:t></w:r>
</w:p>
<w:p>
<w:pPr><w:pStyle w:val="Normal"/></w:pPr>
<w:r><w:t xml:space="preserve">aware of a sub-conscious wish that others were present to</w:t></w:r>
</w:p>
<w:p>
<w:pPr><w:pStyle w:val="Normal"/></w:pPr>
<w:r><w:t xml:space="preserve">share his enjoyment.  Kant went so far as to say that on</w:t></w:r>
</w:p>
<w:p>
<w:pPr><w:pStyle w:val="Normal"/></w:pPr>
<w:r><w:t xml:space="preserve">a desert island a man would adorn neither his hut nor his</w:t></w:r>
</w:p>
<w:p>
<w:pPr><w:pStyle w:val="Normal"/></w:pPr>
<w:r><w:t xml:space="preserve">person.  However this be, it seems certain that as a rule</w:t></w:r>
</w:p>
<w:p>
<w:pPr><w:pStyle w:val="Normal"/></w:pPr>
<w:r><w:t xml:space="preserve">we tend to indulge our aesthetic tastes in company with</w:t></w:r>
</w:p>
<w:p>
<w:pPr><w:pStyle w:val="Normal"/></w:pPr>
<w:r><w:t xml:space="preserve">others.  This habit of making aesthetic enjoyment a social</w:t></w:r>
</w:p>
<w:p>
<w:pPr><w:pStyle w:val="Normal"/></w:pPr>
<w:r><w:t xml:space="preserve">experience would in itself tend to develop the sympathies and</w:t></w:r>
</w:p>
<w:p>
<w:pPr><w:pStyle w:val="Normal"/></w:pPr>
<w:r><w:t xml:space="preserve">the sympathetic intelligence and thus to promote exchanges</w:t></w:r>
</w:p>
<w:p>
<w:pPr><w:pStyle w:val="Normal"/></w:pPr>
<w:r><w:t xml:space="preserve">of aesthetic experience.  The content, too, of our aesthetic</w:t></w:r>
</w:p>
<w:p>
<w:pPr><w:pStyle w:val="Normal"/></w:pPr>
<w:r><w:t xml:space="preserve">experiences would be favourable to such conjoint acts of</w:t></w:r>
</w:p>
<w:p>
<w:pPr><w:pStyle w:val="Normal"/></w:pPr>
<w:r><w:t xml:space="preserve">aesthetic contemplation, and to the mutual sharing of aesthetic</w:t></w:r>
</w:p>
<w:p>
<w:pPr><w:pStyle w:val="Normal"/></w:pPr>
<w:r><w:t xml:space="preserve">experiences; for, as disinterested and universal modes of</w:t></w:r>
</w:p>
<w:p>
<w:pPr><w:pStyle w:val="Normal"/></w:pPr>
<w:r><w:t xml:space="preserve">enjoyment detached from personal interests, they are clearly</w:t></w:r>
</w:p>
<w:p>
<w:pPr><w:pStyle w:val="Normal"/></w:pPr>
<w:r><w:t xml:space="preserve">free from the egoistic exclusiveness which characterizes our</w:t></w:r>
</w:p>
<w:p>
<w:pPr><w:pStyle w:val="Normal"/></w:pPr>
<w:r><w:t xml:space="preserve">private enjoyments which at best can only be participated</w:t></w:r>
</w:p>
<w:p>
<w:pPr><w:pStyle w:val="Normal"/></w:pPr>
<w:r><w:t xml:space="preserve">in by one or two closely attached friends.  Our aesthetic</w:t></w:r>
</w:p>
<w:p>
<w:pPr><w:pStyle w:val="Normal"/></w:pPr>
<w:r><w:t xml:space="preserve">enjoyments are thus eminently fitted to be social ones; and as</w:t></w:r>
</w:p>
<w:p>
<w:pPr><w:pStyle w:val="Normal"/></w:pPr>
<w:r><w:t xml:space="preserve">such they become greatly amplified by sympathetic resonance.</w:t></w:r>
</w:p>
<w:p>
<w:pPr><w:pStyle w:val="Normal"/></w:pPr>
<w:r><w:t xml:space="preserve">The aesthetic senses.</w:t></w:r>
</w:p>
<w:p>
<w:pPr><w:pStyle w:val="Normal"/></w:pPr>
<w:r><w:t xml:space="preserve">We are now in a position to consider a point much discussed of</w:t></w:r>
</w:p>
<w:p>
<w:pPr><w:pStyle w:val="Normal"/></w:pPr>
<w:r><w:t xml:space="preserve">late, namely, the special connexion of aesthetic enjoyment</w:t></w:r>
</w:p>
<w:p>
<w:pPr><w:pStyle w:val="Normal"/></w:pPr>
<w:r><w:t xml:space="preserve">with the two senses, sight and hearing.  Two questions</w:t></w:r>
</w:p>
<w:p>
<w:pPr><w:pStyle w:val="Normal"/></w:pPr>
<w:r><w:t xml:space="preserve">arise here: (1) Do the other and ``lower&apos;&apos; senses take any</w:t></w:r>
</w:p>
<w:p>
<w:pPr><w:pStyle w:val="Heading1"/></w:pPr>
<w:r><w:t>part in aesthetic experience? (2) What are the ``higher&apos;&apos;</w:t></w:r>
</w:p>
<w:p>
<w:pPr><w:pStyle w:val="Normal"/></w:pPr>
<w:r><w:t xml:space="preserve">ones? With regard to the first it is coming to be recognized</w:t></w:r>
</w:p>
<w:p>
<w:pPr><w:pStyle w:val="Normal"/></w:pPr>
<w:r><w:t xml:space="preserve">that aesthetic pleasure is not strictly confined to the</w:t></w:r>
</w:p>
<w:p>
<w:pPr><w:pStyle w:val="Normal"/></w:pPr>
<w:r><w:t xml:space="preserve">two senses in question.  Common language suggests that we</w:t></w:r>
</w:p>
<w:p>
<w:pPr><w:pStyle w:val="Normal"/></w:pPr>
<w:r><w:t xml:space="preserve">find in certain odours and even in certain flavours a value</w:t></w:r>
</w:p>
<w:p>
<w:pPr><w:pStyle w:val="Normal"/></w:pPr>
<w:r><w:t xml:space="preserve">analogous to that implied in calling an object beautiful.</w:t></w:r>
</w:p>
<w:p>
<w:pPr><w:pStyle w:val="Normal"/></w:pPr>
<w:r><w:t xml:space="preserve">Aesthetic claims of touch.</w:t></w:r>
</w:p>
<w:p>
<w:pPr><w:pStyle w:val="Normal"/></w:pPr>
<w:r><w:t xml:space="preserve">Hegel excluded the other senses--even touch----on the ground</w:t></w:r>
</w:p>
<w:p>
<w:pPr><w:pStyle w:val="Normal"/></w:pPr>
<w:r><w:t xml:space="preserve">that aesthetics had to do only with art, in which there was</w:t></w:r>
</w:p>
<w:p>
<w:pPr><w:pStyle w:val="Normal"/></w:pPr>
<w:r><w:t xml:space="preserve">no place for perceptions of touch.  A closer examination has</w:t></w:r>
</w:p>
<w:p>
<w:pPr><w:pStyle w:val="Normal"/></w:pPr>
<w:r><w:t xml:space="preserve">shown that this important sense plays a considerable part in</w:t></w:r>
</w:p>
<w:p>
<w:pPr><w:pStyle w:val="Normal"/></w:pPr>
<w:r><w:t xml:space="preserve">art-effects.  And even if this were not so, Hegel&apos;s exclusion</w:t></w:r>
</w:p>
<w:p>
<w:pPr><w:pStyle w:val="Normal"/></w:pPr>
<w:r><w:t xml:space="preserve">of touch from the rank of aesthetic senses would be a striking</w:t></w:r>
</w:p>
<w:p>
<w:pPr><w:pStyle w:val="Normal"/></w:pPr>
<w:r><w:t xml:space="preserve">illustration of the narrowing effect on scientific theory of</w:t></w:r>
</w:p>
<w:p>
<w:pPr><w:pStyle w:val="Normal"/></w:pPr>
<w:r><w:t xml:space="preserve">the identification of aesthetic objects with productions of</w:t></w:r>
</w:p>
<w:p>
<w:pPr><w:pStyle w:val="Normal"/></w:pPr>
<w:r><w:t xml:space="preserve">art.  To say that the experience of exploring with the fingers</w:t></w:r>
</w:p>
<w:p>
<w:pPr><w:pStyle w:val="Normal"/></w:pPr>
<w:r><w:t xml:space="preserve">a velvety petal or the smooth surface of a sea-rounded pebble</w:t></w:r>
</w:p>
<w:p>
<w:pPr><w:pStyle w:val="Normal"/></w:pPr>
<w:r><w:t xml:space="preserve">has no aesthetic element savours of a perverse arbitrariness.</w:t></w:r>
</w:p>
<w:p>
<w:pPr><w:pStyle w:val="Normal"/></w:pPr>
<w:r><w:t xml:space="preserve">Touch is no doubt wanting in a prerogative of hearing and</w:t></w:r>
</w:p>
<w:p>
<w:pPr><w:pStyle w:val="Normal"/></w:pPr>
<w:r><w:t xml:space="preserve">sight which we shall presently see to be important, namely,</w:t></w:r>
</w:p>
<w:p>
<w:pPr><w:pStyle w:val="Normal"/></w:pPr>
<w:r><w:t xml:space="preserve">that being acted on by objects at a distance they admit of</w:t></w:r>
</w:p>
<w:p>
<w:pPr><w:pStyle w:val="Normal"/></w:pPr>
<w:r><w:t xml:space="preserve">a simultaneous perception by a number of persons--as indeed</w:t></w:r>
</w:p>
<w:p>
<w:pPr><w:pStyle w:val="Normal"/></w:pPr>
<w:r><w:t xml:space="preserve">even the sense of smell does in a measure.  This is probably</w:t></w:r>
</w:p>
<w:p>
<w:pPr><w:pStyle w:val="Normal"/></w:pPr>
<w:r><w:t xml:space="preserve">the chief reason why, according to certain testimony, the</w:t></w:r>
</w:p>
<w:p>
<w:pPr><w:pStyle w:val="Normal"/></w:pPr>
<w:r><w:t xml:space="preserve">blind receive but little aesthetic enjoyment from tactual</w:t></w:r>
</w:p>
<w:p>
<w:pPr><w:pStyle w:val="Normal"/></w:pPr>
<w:r><w:t xml:space="preserve">experience.8 Yet this drawback is compensated to some</w:t></w:r>
</w:p>
<w:p>
<w:pPr><w:pStyle w:val="Normal"/></w:pPr>
<w:r><w:t xml:space="preserve">extent by the fact that agreeable tactual experience may be</w:t></w:r>
</w:p>
<w:p>
<w:pPr><w:pStyle w:val="Normal"/></w:pPr>
<w:r><w:t xml:space="preserve">taken up as suggested meaning into our visual perceptions.</w:t></w:r>
</w:p>
<w:p>
<w:pPr><w:pStyle w:val="Normal"/></w:pPr>
<w:r><w:t xml:space="preserve">Prerogatives of sight and hearing.</w:t></w:r>
</w:p>
<w:p>
<w:pPr><w:pStyle w:val="Normal"/></w:pPr>
<w:r><w:t xml:space="preserve">The two privileged senses, sight and hearing, owe their</w:t></w:r>
</w:p>
<w:p>
<w:pPr><w:pStyle w:val="Normal"/></w:pPr>
<w:r><w:t xml:space="preserve">superiority to a number of considerations.  They are the</w:t></w:r>
</w:p>
<w:p>
<w:pPr><w:pStyle w:val="Normal"/></w:pPr>
<w:r><w:t xml:space="preserve">farthest removed from the necessary life functions, with</w:t></w:r>
</w:p>
<w:p>
<w:pPr><w:pStyle w:val="Normal"/></w:pPr>
<w:r><w:t xml:space="preserve">the pressing needs and disturbing cravings which belong to</w:t></w:r>
</w:p>
<w:p>
<w:pPr><w:pStyle w:val="Normal"/></w:pPr>
<w:r><w:t xml:space="preserve">these.  Even touch, though imoortant as a source of knowledge,</w:t></w:r>
</w:p>
<w:p>
<w:pPr><w:pStyle w:val="Normal"/></w:pPr>
<w:r><w:t xml:space="preserve">has for its primary function to examine the things which</w:t></w:r>
</w:p>
<w:p>
<w:pPr><w:pStyle w:val="Normal"/></w:pPr>
<w:r><w:t xml:space="preserve">approach our organisms in their relation to this as injurious or</w:t></w:r>
</w:p>
<w:p>
<w:pPr><w:pStyle w:val="Normal"/></w:pPr>
<w:r><w:t xml:space="preserve">harmless.  The two higher senses present to us material objects</w:t></w:r>
</w:p>
<w:p>
<w:pPr><w:pStyle w:val="Normal"/></w:pPr>
<w:r><w:t xml:space="preserve">in their least aggressive and menacing manner: visible forms and</w:t></w:r>
</w:p>
<w:p>
<w:pPr><w:pStyle w:val="Normal"/></w:pPr>
<w:r><w:t xml:space="preserve">colours, tones and their combinations, appear when compared</w:t></w:r>
</w:p>
<w:p>
<w:pPr><w:pStyle w:val="Normal"/></w:pPr>
<w:r><w:t xml:space="preserve">with objects felt to be in contact with our body, to be rather</w:t></w:r>
</w:p>
<w:p>
<w:pPr><w:pStyle w:val="Normal"/></w:pPr>
<w:r><w:t xml:space="preserve">semblances or distant signs of material realities than these</w:t></w:r>
</w:p>
<w:p>
<w:pPr><w:pStyle w:val="Normal"/></w:pPr>
<w:r><w:t xml:space="preserve">realities themselves; and this circumstance fits these senses</w:t></w:r>
</w:p>
<w:p>
<w:pPr><w:pStyle w:val="Normal"/></w:pPr>
<w:r><w:t xml:space="preserve">to be in a special way the organs of aesthetic perception with</w:t></w:r>
</w:p>
<w:p>
<w:pPr><w:pStyle w:val="Normal"/></w:pPr>
<w:r><w:t xml:space="preserve">its calm, dreamlike detachment and its enjoyable freedom of</w:t></w:r>
</w:p>
<w:p>
<w:pPr><w:pStyle w:val="Normal"/></w:pPr>
<w:r><w:t xml:space="preserve">movement.  They are, moreover, the two senses by the use of</w:t></w:r>
</w:p>
<w:p>
<w:pPr><w:pStyle w:val="Normal"/></w:pPr>
<w:r><w:t xml:space="preserve">which a number of persons may join most perfectly in a common</w:t></w:r>
</w:p>
<w:p>
<w:pPr><w:pStyle w:val="Normal"/></w:pPr>
<w:r><w:t xml:space="preserve">act of aesthetic contemplation.  This distinction strengthens</w:t></w:r>
</w:p>
<w:p>
<w:pPr><w:pStyle w:val="Normal"/></w:pPr>
<w:r><w:t xml:space="preserve">their claims to be in a special manner the aesthetic senses,</w:t></w:r>
</w:p>
<w:p>
<w:pPr><w:pStyle w:val="Normal"/></w:pPr>
<w:r><w:t xml:space="preserve">and this for a double reason. (1) It makes them sense-avenues</w:t></w:r>
</w:p>
<w:p>
<w:pPr><w:pStyle w:val="Normal"/></w:pPr>
<w:r><w:t xml:space="preserve">by which each of us obtains the most immediate and most</w:t></w:r>
</w:p>
<w:p>
<w:pPr><w:pStyle w:val="Normal"/></w:pPr>
<w:r><w:t xml:space="preserve">impressive conviction that aesthetic experience is a common</w:t></w:r>
</w:p>
<w:p>
<w:pPr><w:pStyle w:val="Normal"/></w:pPr>
<w:r><w:t xml:space="preserve">possession of the many, and is largely similar in the case of</w:t></w:r>
</w:p>
<w:p>
<w:pPr><w:pStyle w:val="Normal"/></w:pPr>
<w:r><w:t xml:space="preserve">different individuals. (2) It marks them off as the senses by</w:t></w:r>
</w:p>
<w:p>
<w:pPr><w:pStyle w:val="Normal"/></w:pPr>
<w:r><w:t xml:space="preserve">the exercise of which perceptual enjoyment may most readily</w:t></w:r>
</w:p>
<w:p>
<w:pPr><w:pStyle w:val="Normal"/></w:pPr>
<w:r><w:t xml:space="preserve">and certainly be increased through the resonant effects of</w:t></w:r>
</w:p>
<w:p>
<w:pPr><w:pStyle w:val="Normal"/></w:pPr>
<w:r><w:t xml:space="preserve">sympathy.  The experiences of the theatre and of the</w:t></w:r>
</w:p>
<w:p>
<w:pPr><w:pStyle w:val="Normal"/></w:pPr>
<w:r><w:t xml:space="preserve">concert-hall sufficiently illustrate these distinguishing</w:t></w:r>
</w:p>
<w:p>
<w:pPr><w:pStyle w:val="Normal"/></w:pPr>
<w:r><w:t xml:space="preserve">functions of the two senses.  Other distinguishing prerogatives</w:t></w:r>
</w:p>
<w:p>
<w:pPr><w:pStyle w:val="Normal"/></w:pPr>
<w:r><w:t xml:space="preserve">of sight and hearing flow from the characteristics of their</w:t></w:r>
</w:p>
<w:p>
<w:pPr><w:pStyle w:val="Normal"/></w:pPr>
<w:r><w:t xml:space="preserve">sensations and perceptions, a point to be touched on later.9</w:t></w:r>
</w:p>
<w:p>
<w:pPr><w:pStyle w:val="Normal"/></w:pPr>
<w:r><w:t xml:space="preserve">Aesthetic activity and play. (a) Points of affinity between them.</w:t></w:r>
</w:p>
<w:p>
<w:pPr><w:pStyle w:val="Normal"/></w:pPr>
<w:r><w:t xml:space="preserve">Our determination of the characteristics of the aesthetic</w:t></w:r>
</w:p>
<w:p>
<w:pPr><w:pStyle w:val="Normal"/></w:pPr>
<w:r><w:t xml:space="preserve">attitude has now been carried far enough to enable us to</w:t></w:r>
</w:p>
<w:p>
<w:pPr><w:pStyle w:val="Normal"/></w:pPr>
<w:r><w:t xml:space="preserve">consider another point much discussed in recent aesthetic</w:t></w:r>
</w:p>
<w:p>
<w:pPr><w:pStyle w:val="Normal"/></w:pPr>
<w:r><w:t xml:space="preserve">literature, viz. the relation of this attitude to that of</w:t></w:r>
</w:p>
<w:p>
<w:pPr><w:pStyle w:val="Normal"/></w:pPr>
<w:r><w:t xml:space="preserve">play.  The affinities of the two are striking and are disclosed</w:t></w:r>
</w:p>
<w:p>
<w:pPr><w:pStyle w:val="Normal"/></w:pPr>
<w:r><w:t xml:space="preserve">in everyday language, as when we speak of the ``play&apos;&apos; of</w:t></w:r>
</w:p>
<w:p>
<w:pPr><w:pStyle w:val="Normal"/></w:pPr>
<w:r><w:t xml:space="preserve">imagination or of ``playing&apos;&apos; on a musical instrument.</w:t></w:r>
</w:p>
<w:p>
<w:pPr><w:pStyle w:val="Normal"/></w:pPr>
<w:r><w:t xml:space="preserve">Both play and aesthetic contemplation are activities which</w:t></w:r>
</w:p>
<w:p>
<w:pPr><w:pStyle w:val="Normal"/></w:pPr>
<w:r><w:t xml:space="preserve">are controlled by no extraneous end, which run on freely</w:t></w:r>
</w:p>
<w:p>
<w:pPr><w:pStyle w:val="Normal"/></w:pPr>
<w:r><w:t xml:space="preserve">directed only by the intrinsic delight of the activity.  Hence</w:t></w:r>
</w:p>
<w:p>
<w:pPr><w:pStyle w:val="Normal"/></w:pPr>
<w:r><w:t xml:space="preserve">they both contrast with the serious work imposed on us and</w:t></w:r>
</w:p>
<w:p>
<w:pPr><w:pStyle w:val="Normal"/></w:pPr>
<w:r><w:t xml:space="preserve">controlled by what we mark off as the necessities of life,</w:t></w:r>
</w:p>
<w:p>
<w:pPr><w:pStyle w:val="Normal"/></w:pPr>
<w:r><w:t xml:space="preserve">such as providing for bodily wants, or rearing a family.  They</w:t></w:r>
</w:p>
<w:p>
<w:pPr><w:pStyle w:val="Normal"/></w:pPr>
<w:r><w:t xml:space="preserve">each add a sort of luxurious fringe to life.  In aesthetic</w:t></w:r>
</w:p>
<w:p>
<w:pPr><w:pStyle w:val="Normal"/></w:pPr>
<w:r><w:t xml:space="preserve">enjoyment our senses, our intelligence and our emotions are</w:t></w:r>
</w:p>
<w:p>
<w:pPr><w:pStyle w:val="Normal"/></w:pPr>
<w:r><w:t xml:space="preserve">alike released from the constraint of these necessary ends,</w:t></w:r>
</w:p>
<w:p>
<w:pPr><w:pStyle w:val="Normal"/></w:pPr>
<w:r><w:t xml:space="preserve">and may be said to refresh themselves in a kind of play.</w:t></w:r>
</w:p>
<w:p>
<w:pPr><w:pStyle w:val="Normal"/></w:pPr>
<w:r><w:t xml:space="preserve">Finally, they are both characterized by a strong infusion of</w:t></w:r>
</w:p>
<w:p>
<w:pPr><w:pStyle w:val="Normal"/></w:pPr>
<w:r><w:t xml:space="preserve">make-believe, a disposition to substitute productions of the</w:t></w:r>
</w:p>
<w:p>
<w:pPr><w:pStyle w:val="Normal"/></w:pPr>
<w:r><w:t xml:space="preserve">imagination for everyday realities.  In this respect, again,</w:t></w:r>
</w:p>
<w:p>
<w:pPr><w:pStyle w:val="Normal"/></w:pPr>
<w:r><w:t xml:space="preserve">they form a contrast to that serious concern with fact and</w:t></w:r>
</w:p>
<w:p>
<w:pPr><w:pStyle w:val="Normal"/></w:pPr>
<w:r><w:t xml:space="preserve">practical truth which the necessary aims of life impose on</w:t></w:r>
</w:p>
<w:p>
<w:pPr><w:pStyle w:val="Normal"/></w:pPr>
<w:r><w:t xml:space="preserve">us.  Little wonder, then, that Plato recognized in the contrast</w:t></w:r>
</w:p>
<w:p>
<w:pPr><w:pStyle w:val="Normal"/></w:pPr>
<w:r><w:t xml:space="preserve">between the representative and the useful arts an analogy</w:t></w:r>
</w:p>
<w:p>
<w:pPr><w:pStyle w:val="Normal"/></w:pPr>
<w:r><w:t xml:space="preserve">between play and earnest,10 and that since the time of Schiller</w:t></w:r>
</w:p>
<w:p>
<w:pPr><w:pStyle w:val="Normal"/></w:pPr>
<w:r><w:t xml:space="preserve">so much use has been made of the analogy in aesthetic works.</w:t></w:r>
</w:p>
<w:p>
<w:pPr><w:pStyle w:val="Normal"/></w:pPr>
<w:r><w:t xml:space="preserve">(b) Points of difference.</w:t></w:r>
</w:p>
<w:p>
<w:pPr><w:pStyle w:val="Normal"/></w:pPr>
<w:r><w:t xml:space="preserve">Yet though similar. the two kinds of activity are distinguishable</w:t></w:r>
</w:p>
<w:p>
<w:pPr><w:pStyle w:val="Normal"/></w:pPr>
<w:r><w:t xml:space="preserve">in important respects.  For one thing, aesthetic contemplation</w:t></w:r>
</w:p>
<w:p>
<w:pPr><w:pStyle w:val="Normal"/></w:pPr>
<w:r><w:t xml:space="preserve">pure and simple is a comparatively tranquil and passive</w:t></w:r>
</w:p>
<w:p>
<w:pPr><w:pStyle w:val="Normal"/></w:pPr>
<w:r><w:t xml:space="preserve">attitude, whereas play means doing something and commonly</w:t></w:r>
</w:p>
<w:p>
<w:pPr><w:pStyle w:val="Normal"/></w:pPr>
<w:r><w:t xml:space="preserve">involves some amount of strenuous exertion, either of body or of</w:t></w:r>
</w:p>
<w:p>
<w:pPr><w:pStyle w:val="Normal"/></w:pPr>
<w:r><w:t xml:space="preserve">mind.  A closer analogy might be drawn between play and artistic</w:t></w:r>
</w:p>
<w:p>
<w:pPr><w:pStyle w:val="Normal"/></w:pPr>
<w:r><w:t xml:space="preserve">production.  Yet even when the parallel is thus narrowed, pretty</w:t></w:r>
</w:p>
<w:p>
<w:pPr><w:pStyle w:val="Normal"/></w:pPr>
<w:r><w:t xml:space="preserve">obvious differences disclose themselves.  It is only in their</w:t></w:r>
</w:p>
<w:p>
<w:pPr><w:pStyle w:val="Normal"/></w:pPr>
<w:r><w:t xml:space="preserve">more primitive phases that the two attitudes exhibit a close</w:t></w:r>
</w:p>
<w:p>
<w:pPr><w:pStyle w:val="Normal"/></w:pPr>
<w:r><w:t xml:space="preserve">similarity.  As they develop, striking divergences begin to</w:t></w:r>
</w:p>
<w:p>
<w:pPr><w:pStyle w:val="Normal"/></w:pPr>
<w:r><w:t xml:space="preserve">appear.  The play mood, instead of approaching the calm</w:t></w:r>
</w:p>
<w:p>
<w:pPr><w:pStyle w:val="Normal"/></w:pPr>
<w:r><w:t xml:space="preserve">contemplative mood of the lover of beauty, involves feelings</w:t></w:r>
</w:p>
<w:p>
<w:pPr><w:pStyle w:val="Normal"/></w:pPr>
<w:r><w:t xml:space="preserve">and impulses which lie at the roots of our practical interests,</w:t></w:r>
</w:p>
<w:p>
<w:pPr><w:pStyle w:val="Normal"/></w:pPr>
<w:r><w:t xml:space="preserve">viz. ambition, rivalry and struggle.  It has, moreover, in</w:t></w:r>
</w:p>
<w:p>
<w:pPr><w:pStyle w:val="Normal"/></w:pPr>
<w:r><w:t xml:space="preserve">all its stages a palpable utility---even though this is not</w:t></w:r>
</w:p>
<w:p>
<w:pPr><w:pStyle w:val="Normal"/></w:pPr>
<w:r><w:t xml:space="preserve">realized by the player---serving for the exercise and development</w:t></w:r>
</w:p>
<w:p>
<w:pPr><w:pStyle w:val="Normal"/></w:pPr>
<w:r><w:t xml:space="preserve">of body, intelligence and character.  Beauty and art rise</w:t></w:r>
</w:p>
<w:p>
<w:pPr><w:pStyle w:val="Normal"/></w:pPr>
<w:r><w:t xml:space="preserve">high above play in purity of the disinterested attitude, in</w:t></w:r>
</w:p>
<w:p>
<w:pPr><w:pStyle w:val="Normal"/></w:pPr>
<w:r><w:t xml:space="preserve">placid detachment from the serviceable and the necessary,</w:t></w:r>
</w:p>
<w:p>
<w:pPr><w:pStyle w:val="Normal"/></w:pPr>
<w:r><w:t xml:space="preserve">and, still more, in range and variety of refined interest,</w:t></w:r>
</w:p>
<w:p>
<w:pPr><w:pStyle w:val="Normal"/></w:pPr>
<w:r><w:t xml:space="preserve">comprehended in ``the love of beauty.&apos;&apos; Finally, aesthetic</w:t></w:r>
</w:p>
<w:p>
<w:pPr><w:pStyle w:val="Normal"/></w:pPr>
<w:r><w:t xml:space="preserve">activities are directed by ideal conceptions and standards</w:t></w:r>
</w:p>
<w:p>
<w:pPr><w:pStyle w:val="Normal"/></w:pPr>
<w:r><w:t xml:space="preserve">to which hardly anything corresponds in play save where games</w:t></w:r>
</w:p>
<w:p>
<w:pPr><w:pStyle w:val="Normal"/></w:pPr>
<w:r><w:t xml:space="preserve">of skill take on something of the dignity of a fine art.11</w:t></w:r>
</w:p>
<w:p>
<w:pPr><w:pStyle w:val="Normal"/></w:pPr>
<w:r><w:t xml:space="preserve">Methods of research in aesthetics.</w:t></w:r>
</w:p>
<w:p>
<w:pPr><w:pStyle w:val="Normal"/></w:pPr>
<w:r><w:t xml:space="preserve">So far as to the preliminary delimiting work in aesthetic</w:t></w:r>
</w:p>
<w:p>
<w:pPr><w:pStyle w:val="Normal"/></w:pPr>
<w:r><w:t xml:space="preserve">science.  Only a bare indication can be made as to the methods</w:t></w:r>
</w:p>
<w:p>
<w:pPr><w:pStyle w:val="Normal"/></w:pPr>
<w:r><w:t xml:space="preserve">of research by which its advance can be furthered, and as</w:t></w:r>
</w:p>
<w:p>
<w:pPr><w:pStyle w:val="Normal"/></w:pPr>
<w:r><w:t xml:space="preserve">to the several directions of inquiry which it will have to</w:t></w:r>
</w:p>
<w:p>
<w:pPr><w:pStyle w:val="Normal"/></w:pPr>
<w:r><w:t xml:space="preserve">follow.  With regard to the former the method of investigation</w:t></w:r>
</w:p>
<w:p>
<w:pPr><w:pStyle w:val="Normal"/></w:pPr>
<w:r><w:t xml:space="preserve">will consist in a careful inquiry into two orders of fact: (1)</w:t></w:r>
</w:p>
<w:p>
<w:pPr><w:pStyle w:val="Normal"/></w:pPr>
<w:r><w:t xml:space="preserve">Objects which common testimony or the history of art show to be</w:t></w:r>
</w:p>
<w:p>
<w:pPr><w:pStyle w:val="Normal"/></w:pPr>
<w:r><w:t xml:space="preserve">widely recognized objects of aesthetic value; (2) records of the</w:t></w:r>
</w:p>
<w:p>
<w:pPr><w:pStyle w:val="Normal"/></w:pPr>
<w:r><w:t xml:space="preserve">aesthetic experience of individuals, whether artists or amateurs.</w:t></w:r>
</w:p>
<w:p>
<w:pPr><w:pStyle w:val="Normal"/></w:pPr>
<w:r><w:t xml:space="preserve">Examination of aesthetic objects.</w:t></w:r>
</w:p>
<w:p>
<w:pPr><w:pStyle w:val="Normal"/></w:pPr>
<w:r><w:t xml:space="preserve">Since aesthetic experience is brought about and its modes</w:t></w:r>
</w:p>
<w:p>
<w:pPr><w:pStyle w:val="Normal"/></w:pPr>
<w:r><w:t xml:space="preserve">determined by objects possessing certain qualities, it seems</w:t></w:r>
</w:p>
<w:p>
<w:pPr><w:pStyle w:val="Normal"/></w:pPr>
<w:r><w:t xml:space="preserve">evident that scientific aesthetics must make an examination and</w:t></w:r>
</w:p>
<w:p>
<w:pPr><w:pStyle w:val="Normal"/></w:pPr>
<w:r><w:t xml:space="preserve">comparison of these a fundamental part of its problem.  These</w:t></w:r>
</w:p>
<w:p>
<w:pPr><w:pStyle w:val="Normal"/></w:pPr>
<w:r><w:t xml:space="preserve">objects will, as already hinted, include both natural ones in the</w:t></w:r>
</w:p>
<w:p>
<w:pPr><w:pStyle w:val="Normal"/></w:pPr>
<w:r><w:t xml:space="preserve">inorganic and organic worlds, and works of art which can be shown</w:t></w:r>
</w:p>
<w:p>
<w:pPr><w:pStyle w:val="Normal"/></w:pPr>
<w:r><w:t xml:space="preserve">to be objects of general or widely recognized aesthetic value.</w:t></w:r>
</w:p>
<w:p>
<w:pPr><w:pStyle w:val="Normal"/></w:pPr>
<w:r><w:t xml:space="preserve">Nature as supplying aesthetic objects.</w:t></w:r>
</w:p>
<w:p>
<w:pPr><w:pStyle w:val="Normal"/></w:pPr>
<w:r><w:t xml:space="preserve">Without attempting here to discuss adequately the relation</w:t></w:r>
</w:p>
<w:p>
<w:pPr><w:pStyle w:val="Normal"/></w:pPr>
<w:r><w:t xml:space="preserve">of natural beauty to that of art we may note one or two</w:t></w:r>
</w:p>
<w:p>
<w:pPr><w:pStyle w:val="Normal"/></w:pPr>
<w:r><w:t xml:space="preserve">points.  Some contemplation and appreciation of the beautiful</w:t></w:r>
</w:p>
<w:p>
<w:pPr><w:pStyle w:val="Normal"/></w:pPr>
<w:r><w:t xml:space="preserve">aspects of nature is not only prior in time to art, but is</w:t></w:r>
</w:p>
<w:p>
<w:pPr><w:pStyle w:val="Normal"/></w:pPr>
<w:r><w:t xml:space="preserve">a condition of its genesis.  The enjoyment of the pleasing</w:t></w:r>
</w:p>
<w:p>
<w:pPr><w:pStyle w:val="Normal"/></w:pPr>
<w:r><w:t xml:space="preserve">aspects of land and sea, of mountain and dale, of the</w:t></w:r>
</w:p>
<w:p>
<w:pPr><w:pStyle w:val="Normal"/></w:pPr>
<w:r><w:t xml:space="preserve">innumerable organic forms, has steadily grown with the</w:t></w:r>
</w:p>
<w:p>
<w:pPr><w:pStyle w:val="Normal"/></w:pPr>
<w:r><w:t xml:space="preserve">development of culture; and this growth, though undoubtedly</w:t></w:r>
</w:p>
<w:p>
<w:pPr><w:pStyle w:val="Normal"/></w:pPr>
<w:r><w:t xml:space="preserve">aided by that of the feeling for art---especially painting</w:t></w:r>
</w:p>
<w:p>
<w:pPr><w:pStyle w:val="Normal"/></w:pPr>
<w:r><w:t xml:space="preserve">and poetry---is to a large extent independent of it.12</w:t></w:r>
</w:p>
<w:p>
<w:pPr><w:pStyle w:val="Normal"/></w:pPr>
<w:r><w:t xml:space="preserve">Some of the finest insight into the secrets of beauty has</w:t></w:r>
</w:p>
<w:p>
<w:pPr><w:pStyle w:val="Normal"/></w:pPr>
<w:r><w:t xml:space="preserve">been gained by those who had only a limited acquaintance with</w:t></w:r>
</w:p>
<w:p>
<w:pPr><w:pStyle w:val="Normal"/></w:pPr>
<w:r><w:t xml:space="preserve">art.  What is still more important in the present connexion</w:t></w:r>
</w:p>
<w:p>
<w:pPr><w:pStyle w:val="Normal"/></w:pPr>
<w:r><w:t xml:space="preserve">is that the aesthetic experience gained by the direct</w:t></w:r>
</w:p>
<w:p>
<w:pPr><w:pStyle w:val="Normal"/></w:pPr>
<w:r><w:t xml:space="preserve">contemplation of nature includes varieties which art cannot</w:t></w:r>
</w:p>
<w:p>
<w:pPr><w:pStyle w:val="Normal"/></w:pPr>
<w:r><w:t xml:space="preserve">reproduce.  It is enough to recall what Helmholtz and others</w:t></w:r>
</w:p>
<w:p>
<w:pPr><w:pStyle w:val="Normal"/></w:pPr>
<w:r><w:t xml:space="preserve">have told us about the limitations of the powers of pictorial</w:t></w:r>
</w:p>
<w:p>
<w:pPr><w:pStyle w:val="Normal"/></w:pPr>
<w:r><w:t xml:space="preserve">art to represent the more brilliant degrees of light; the</w:t></w:r>
</w:p>
<w:p>
<w:pPr><w:pStyle w:val="Normal"/></w:pPr>
<w:r><w:t xml:space="preserve">admissions of painters themselves as to the limits of their</w:t></w:r>
</w:p>
<w:p>
<w:pPr><w:pStyle w:val="Normal"/></w:pPr>
<w:r><w:t xml:space="preserve">art when it seeks to render the finer gradations of light and</w:t></w:r>
</w:p>
<w:p>
<w:pPr><w:pStyle w:val="Normal"/></w:pPr>
<w:r><w:t xml:space="preserve">colour in such common objects as a tree-trunk or a bit of old</w:t></w:r>
</w:p>
<w:p>
<w:pPr><w:pStyle w:val="Normal"/></w:pPr>
<w:r><w:t xml:space="preserve">wall.  Nature, moreover, in spreading out her spaces of</w:t></w:r>
</w:p>
<w:p>
<w:pPr><w:pStyle w:val="Normal"/></w:pPr>
<w:r><w:t xml:space="preserve">earth, sea and sky, and in exhibiting the action of her</w:t></w:r>
</w:p>
<w:p>
<w:pPr><w:pStyle w:val="Normal"/></w:pPr>
<w:r><w:t xml:space="preserve">forces, does so on a scale which seems to make sublimity her</w:t></w:r>
</w:p>
<w:p>
<w:pPr><w:pStyle w:val="Normal"/></w:pPr>
<w:r><w:t xml:space="preserve">prerogative in which art vainly endeavours to participate.</w:t></w:r>
</w:p>
<w:p>
<w:pPr><w:pStyle w:val="Normal"/></w:pPr>
<w:r><w:t xml:space="preserve">Use of works of art by the theorist.</w:t></w:r>
</w:p>
<w:p>
<w:pPr><w:pStyle w:val="Normal"/></w:pPr>
<w:r><w:t xml:space="preserve">On the other hand, it is coming to be seen that the construction</w:t></w:r>
</w:p>
<w:p>
<w:pPr><w:pStyle w:val="Normal"/></w:pPr>
<w:r><w:t xml:space="preserve">of a theory of aesthetic values must be assisted by a much more</w:t></w:r>
</w:p>
<w:p>
<w:pPr><w:pStyle w:val="Normal"/></w:pPr>
<w:r><w:t xml:space="preserve">precise examination than aestheticists are commonly content to</w:t></w:r>
</w:p>
<w:p>
<w:pPr><w:pStyle w:val="Normal"/></w:pPr>
<w:r><w:t xml:space="preserve">make, of works of art.  The importance of including these is</w:t></w:r>
</w:p>
<w:p>
<w:pPr><w:pStyle w:val="Normal"/></w:pPr>
<w:r><w:t xml:space="preserve">that they are well-defined objective expressions of what the</w:t></w:r>
</w:p>
<w:p>
<w:pPr><w:pStyle w:val="Normal"/></w:pPr>
<w:r><w:t xml:space="preserve">aesthetic consciousness approves and prefers.  In inquiring,</w:t></w:r>
</w:p>
<w:p>
<w:pPr><w:pStyle w:val="Normal"/></w:pPr>
<w:r><w:t xml:space="preserve">for example, into the pleasing relations of colour we might</w:t></w:r>
</w:p>
<w:p>
<w:pPr><w:pStyle w:val="Normal"/></w:pPr>
<w:r><w:t xml:space="preserve">have to wait long for a theory if we were dependent on what</w:t></w:r>
</w:p>
<w:p>
<w:pPr><w:pStyle w:val="Normal"/></w:pPr>
<w:r><w:t xml:space="preserve">even so gifted a writer as Ruskin can tell us about nature&apos;s</w:t></w:r>
</w:p>
<w:p>
<w:pPr><w:pStyle w:val="Normal"/></w:pPr>
<w:r><w:t xml:space="preserve">juxtapositions: whereas if it can be shown that throughout the</w:t></w:r>
</w:p>
<w:p>
<w:pPr><w:pStyle w:val="Normal"/></w:pPr>
<w:r><w:t xml:space="preserve">history of chromatic art or during its better period there has</w:t></w:r>
</w:p>
<w:p>
<w:pPr><w:pStyle w:val="Normal"/></w:pPr>
<w:r><w:t xml:space="preserve">been a tendency to prefer certain combinations, this fact becomes</w:t></w:r>
</w:p>
<w:p>
<w:pPr><w:pStyle w:val="Normal"/></w:pPr>
<w:r><w:t xml:space="preserve">a piece of convincing evidence as to their aesthetic value.</w:t></w:r>
</w:p>
<w:p>
<w:pPr><w:pStyle w:val="Normal"/></w:pPr>
<w:r><w:t xml:space="preserve">Difficulties in using works of art as material.</w:t></w:r>
</w:p>
<w:p>
<w:pPr><w:pStyle w:val="Normal"/></w:pPr>
<w:r><w:t xml:space="preserve">Even here, however, there are sources of uncertainty.  It</w:t></w:r>
</w:p>
<w:p>
<w:pPr><w:pStyle w:val="Normal"/></w:pPr>
<w:r><w:t xml:space="preserve">is not true to say that a work of art is a pure outcome of</w:t></w:r>
</w:p>
<w:p>
<w:pPr><w:pStyle w:val="Normal"/></w:pPr>
<w:r><w:t xml:space="preserve">the aesthetic feeling of the artist. even if we take this</w:t></w:r>
</w:p>
<w:p>
<w:pPr><w:pStyle w:val="Normal"/></w:pPr>
<w:r><w:t xml:space="preserve">in a comprehensive sense.  It is subject to the influence</w:t></w:r>
</w:p>
<w:p>
<w:pPr><w:pStyle w:val="Normal"/></w:pPr>
<w:r><w:t xml:space="preserve">of all the temporary feelings and tendencies of the time</w:t></w:r>
</w:p>
<w:p>
<w:pPr><w:pStyle w:val="Normal"/></w:pPr>
<w:r><w:t xml:space="preserve">which produced it.  The aesthetic motive which is supposed</w:t></w:r>
</w:p>
<w:p>
<w:pPr><w:pStyle w:val="Normal"/></w:pPr>
<w:r><w:t xml:space="preserve">to originate it is apt to be complicated and disguised</w:t></w:r>
</w:p>
<w:p>
<w:pPr><w:pStyle w:val="Normal"/></w:pPr>
<w:r><w:t xml:space="preserve">by other motives, e.g. utility in architecture,13 an</w:t></w:r>
</w:p>
<w:p>
<w:pPr><w:pStyle w:val="Normal"/></w:pPr>
<w:r><w:t xml:space="preserve">impulse to instruct if not to reform in modern fiction.</w:t></w:r>
</w:p>
<w:p>
<w:pPr><w:pStyle w:val="Normal"/></w:pPr>
<w:r><w:t xml:space="preserve">Effects of custom on artistic preference.</w:t></w:r>
</w:p>
<w:p>
<w:pPr><w:pStyle w:val="Normal"/></w:pPr>
<w:r><w:t xml:space="preserve">Again, if it is said that a certain degree of permanence</w:t></w:r>
</w:p>
<w:p>
<w:pPr><w:pStyle w:val="Normal"/></w:pPr>
<w:r><w:t xml:space="preserve">assures us of the aesthetic value of a feature of art, we</w:t></w:r>
</w:p>
<w:p>
<w:pPr><w:pStyle w:val="Normal"/></w:pPr>
<w:r><w:t xml:space="preserve">are met by the difficulty that custom plays an important</w:t></w:r>
</w:p>
<w:p>
<w:pPr><w:pStyle w:val="Heading1"/></w:pPr>
<w:r><w:t>part in art, the result of convention fixed by tradition</w:t></w:r>
</w:p>
<w:p>
<w:pPr><w:pStyle w:val="Normal"/></w:pPr>
<w:r><w:t xml:space="preserve">often simulating the aspect of a deep-seated aesthetic</w:t></w:r>
</w:p>
<w:p>
<w:pPr><w:pStyle w:val="Normal"/></w:pPr>
<w:r><w:t xml:space="preserve">preference.  In this connexion it is to be remarked that even</w:t></w:r>
</w:p>
<w:p>
<w:pPr><w:pStyle w:val="Normal"/></w:pPr>
<w:r><w:t xml:space="preserve">so permanent an element as symmetry may owe its quasiaesthetic</w:t></w:r>
</w:p>
<w:p>
<w:pPr><w:pStyle w:val="Normal"/></w:pPr>
<w:r><w:t xml:space="preserve">value to custom, by which is understood its wide and impressive</w:t></w:r>
</w:p>
<w:p>
<w:pPr><w:pStyle w:val="Normal"/></w:pPr>
<w:r><w:t xml:space="preserve">display in the organic and even the inorganic world.14</w:t></w:r>
</w:p>
<w:p>
<w:pPr><w:pStyle w:val="Normal"/></w:pPr>
<w:r><w:t xml:space="preserve">Yet the influence of custom taken in this larger sense need</w:t></w:r>
</w:p>
<w:p>
<w:pPr><w:pStyle w:val="Normal"/></w:pPr>
<w:r><w:t xml:space="preserve">not greatly disturb us.  In aesthetics, as in ethics, the</w:t></w:r>
</w:p>
<w:p>
<w:pPr><w:pStyle w:val="Normal"/></w:pPr>
<w:r><w:t xml:space="preserve">question of validity has to be kept distinct from that of</w:t></w:r>
</w:p>
<w:p>
<w:pPr><w:pStyle w:val="Normal"/></w:pPr>
<w:r><w:t xml:space="preserve">origin.  If symmetry (in general) is appreciated as</w:t></w:r>
</w:p>
<w:p>
<w:pPr><w:pStyle w:val="Normal"/></w:pPr>
<w:r><w:t xml:space="preserve">aesthetically pleasing, the question of its genesis becomes</w:t></w:r>
</w:p>
<w:p>
<w:pPr><w:pStyle w:val="Normal"/></w:pPr>
<w:r><w:t xml:space="preserve">immaterial.  Another difficulty, not peculiar to aesthetic</w:t></w:r>
</w:p>
<w:p>
<w:pPr><w:pStyle w:val="Normal"/></w:pPr>
<w:r><w:t xml:space="preserve">investigation, is that of reconstructing the modes of</w:t></w:r>
</w:p>
<w:p>
<w:pPr><w:pStyle w:val="Normal"/></w:pPr>
<w:r><w:t xml:space="preserve">aesthetic consciousness represented by forms of art which</w:t></w:r>
</w:p>
<w:p>
<w:pPr><w:pStyle w:val="Normal"/></w:pPr>
<w:r><w:t xml:space="preserve">differ widely from those of our own age and type of culture.</w:t></w:r>
</w:p>
<w:p>
<w:pPr><w:pStyle w:val="Normal"/></w:pPr>
<w:r><w:t xml:space="preserve">Value of primitive art for aesthetics.</w:t></w:r>
</w:p>
<w:p>
<w:pPr><w:pStyle w:val="Normal"/></w:pPr>
<w:r><w:t xml:space="preserve">In utilizing art material for aesthetic theory the theorist</w:t></w:r>
</w:p>
<w:p>
<w:pPr><w:pStyle w:val="Normal"/></w:pPr>
<w:r><w:t xml:space="preserve">will need to note the work recently done by English and German</w:t></w:r>
</w:p>
<w:p>
<w:pPr><w:pStyle w:val="Normal"/></w:pPr>
<w:r><w:t xml:space="preserve">writers on primitive art.  And this not merely because of the</w:t></w:r>
</w:p>
<w:p>
<w:pPr><w:pStyle w:val="Normal"/></w:pPr>
<w:r><w:t xml:space="preserve">value of the early forms of art for a theory of the evolution</w:t></w:r>
</w:p>
<w:p>
<w:pPr><w:pStyle w:val="Normal"/></w:pPr>
<w:r><w:t xml:space="preserve">of the aesthetic consciousness; but because the embryonic stages</w:t></w:r>
</w:p>
<w:p>
<w:pPr><w:pStyle w:val="Normal"/></w:pPr>
<w:r><w:t xml:space="preserve">of art are likely to have a peculiar interest as illustrating</w:t></w:r>
</w:p>
<w:p>
<w:pPr><w:pStyle w:val="Normal"/></w:pPr>
<w:r><w:t xml:space="preserve">in a comparatively isolated form some of the simpler modes of</w:t></w:r>
</w:p>
<w:p>
<w:pPr><w:pStyle w:val="Normal"/></w:pPr>
<w:r><w:t xml:space="preserve">aesthetic appreciation, e.g. in the grouping of colours, in</w:t></w:r>
</w:p>
<w:p>
<w:pPr><w:pStyle w:val="Normal"/></w:pPr>
<w:r><w:t xml:space="preserve">the mode of covering a surface with linear ornament.  Yet it</w:t></w:r>
</w:p>
<w:p>
<w:pPr><w:pStyle w:val="Normal"/></w:pPr>
<w:r><w:t xml:space="preserve">is not necessary to give primitive art a considerable place</w:t></w:r>
</w:p>
<w:p>
<w:pPr><w:pStyle w:val="Normal"/></w:pPr>
<w:r><w:t xml:space="preserve">in a general aesthetics.  As a normative science, it is to be</w:t></w:r>
</w:p>
<w:p>
<w:pPr><w:pStyle w:val="Normal"/></w:pPr>
<w:r><w:t xml:space="preserve">remembered, this is much more immediately concerned with the</w:t></w:r>
</w:p>
<w:p>
<w:pPr><w:pStyle w:val="Normal"/></w:pPr>
<w:r><w:t xml:space="preserve">higher stages of aesthetic culture.  In seeking to establish</w:t></w:r>
</w:p>
<w:p>
<w:pPr><w:pStyle w:val="Normal"/></w:pPr>
<w:r><w:t xml:space="preserve">norms or regulative principles, we must, it is evident, make</w:t></w:r>
</w:p>
<w:p>
<w:pPr><w:pStyle w:val="Normal"/></w:pPr>
<w:r><w:t xml:space="preserve">a special study of objects of art which belong to our own</w:t></w:r>
</w:p>
<w:p>
<w:pPr><w:pStyle w:val="Normal"/></w:pPr>
<w:r><w:t xml:space="preserve">level of culture.  For these reasons it would appear necessary</w:t></w:r>
</w:p>
<w:p>
<w:pPr><w:pStyle w:val="Normal"/></w:pPr>
<w:r><w:t xml:space="preserve">to include in a general aesthetic theory some reference to</w:t></w:r>
</w:p>
<w:p>
<w:pPr><w:pStyle w:val="Normal"/></w:pPr>
<w:r><w:t xml:space="preserve">the evolution of art and of the aesthetic consciousness.</w:t></w:r>
</w:p>
<w:p>
<w:pPr><w:pStyle w:val="Normal"/></w:pPr>
<w:r><w:t xml:space="preserve">Evolution as criterion of aesthetic height.</w:t></w:r>
</w:p>
<w:p>
<w:pPr><w:pStyle w:val="Normal"/></w:pPr>
<w:r><w:t xml:space="preserve">A further reason for including it is that the evolution</w:t></w:r>
</w:p>
<w:p>
<w:pPr><w:pStyle w:val="Normal"/></w:pPr>
<w:r><w:t xml:space="preserve">of art supplies a most valuable auxiliary criterion of</w:t></w:r>
</w:p>
<w:p>
<w:pPr><w:pStyle w:val="Normal"/></w:pPr>
<w:r><w:t xml:space="preserve">degree or height of aesthetic value.  Provided that we</w:t></w:r>
</w:p>
<w:p>
<w:pPr><w:pStyle w:val="Normal"/></w:pPr>
<w:r><w:t xml:space="preserve">distinguish what is a real process of evolution from one</w:t></w:r>
</w:p>
<w:p>
<w:pPr><w:pStyle w:val="Normal"/></w:pPr>
<w:r><w:t xml:space="preserve">of mere change of fashion in taste, and that we confine</w:t></w:r>
</w:p>
<w:p>
<w:pPr><w:pStyle w:val="Normal"/></w:pPr>
<w:r><w:t xml:space="preserve">ourselves to the larger features of the process, we may make</w:t></w:r>
</w:p>
<w:p>
<w:pPr><w:pStyle w:val="Normal"/></w:pPr>
<w:r><w:t xml:space="preserve">the principle of evolution a serviceable one by regarding</w:t></w:r>
</w:p>
<w:p>
<w:pPr><w:pStyle w:val="Normal"/></w:pPr>
<w:r><w:t xml:space="preserve">those forms and features of art as higher in respect of</w:t></w:r>
</w:p>
<w:p>
<w:pPr><w:pStyle w:val="Normal"/></w:pPr>
<w:r><w:t xml:space="preserve">aesthetic value which grow distinct and relatively fixed</w:t></w:r>
</w:p>
<w:p>
<w:pPr><w:pStyle w:val="Normal"/></w:pPr>
<w:r><w:t xml:space="preserve">in the later and better stages of the evolution of art.15</w:t></w:r>
</w:p>
<w:p>
<w:pPr><w:pStyle w:val="Normal"/></w:pPr>
<w:r><w:t xml:space="preserve">Exact measurement of characteristics of art-work.</w:t></w:r>
</w:p>
<w:p>
<w:pPr><w:pStyle w:val="Normal"/></w:pPr>
<w:r><w:t xml:space="preserve">This part of aesthetic investigation should be made as exact as</w:t></w:r>
</w:p>
<w:p>
<w:pPr><w:pStyle w:val="Normal"/></w:pPr>
<w:r><w:t xml:space="preserve">possible.Thus in dealing with the triads of colour said to be</w:t></w:r>
</w:p>
<w:p>
<w:pPr><w:pStyle w:val="Normal"/></w:pPr>
<w:r><w:t xml:space="preserve">most frequently employed in the best period of Italian painting</w:t></w:r>
</w:p>
<w:p>
<w:pPr><w:pStyle w:val="Normal"/></w:pPr>
<w:r><w:t xml:space="preserve">the observer should note and record as far as this is possible</w:t></w:r>
</w:p>
<w:p>
<w:pPr><w:pStyle w:val="Normal"/></w:pPr>
<w:r><w:t xml:space="preserve">not only the precise tints, but also the precise degrees of</w:t></w:r>
</w:p>
<w:p>
<w:pPr><w:pStyle w:val="Normal"/></w:pPr>
<w:r><w:t xml:space="preserve">their several luminosities.  With regard to elements of form in</w:t></w:r>
</w:p>
<w:p>
<w:pPr><w:pStyle w:val="Normal"/></w:pPr>
<w:r><w:t xml:space="preserve">art, the judicious use of photography and careful measurement</w:t></w:r>
</w:p>
<w:p>
<w:pPr><w:pStyle w:val="Normal"/></w:pPr>
<w:r><w:t xml:space="preserve">would probably help us to understand the practices of art in</w:t></w:r>
</w:p>
<w:p>
<w:pPr><w:pStyle w:val="Normal"/></w:pPr>
<w:r><w:t xml:space="preserve">its better periods.  This examination of art material by the</w:t></w:r>
</w:p>
<w:p>
<w:pPr><w:pStyle w:val="Normal"/></w:pPr>
<w:r><w:t xml:space="preserve">aesthetic theorist should be supplemented by a study of what</w:t></w:r>
</w:p>
<w:p>
<w:pPr><w:pStyle w:val="Normal"/></w:pPr>
<w:r><w:t xml:space="preserve">artists have written about their methods, of the rules laid</w:t></w:r>
</w:p>
<w:p>
<w:pPr><w:pStyle w:val="Normal"/></w:pPr>
<w:r><w:t xml:space="preserve">down for students of art, and lastly of the generalizations</w:t></w:r>
</w:p>
<w:p>
<w:pPr><w:pStyle w:val="Normal"/></w:pPr>
<w:r><w:t xml:space="preserve">reached by the more scientific kind of writer upon art.16</w:t></w:r>
</w:p>
<w:p>
<w:pPr><w:pStyle w:val="Normal"/></w:pPr>
<w:r><w:t xml:space="preserve">Aesthetic inductions.</w:t></w:r>
</w:p>
<w:p>
<w:pPr><w:pStyle w:val="Normal"/></w:pPr>
<w:r><w:t xml:space="preserve">A proper methodical inquiry into aesthetic objects aided by</w:t></w:r>
</w:p>
<w:p>
<w:pPr><w:pStyle w:val="Normal"/></w:pPr>
<w:r><w:t xml:space="preserve">a knowledge of the practices of art would lead to inductions</w:t></w:r>
</w:p>
<w:p>
<w:pPr><w:pStyle w:val="Normal"/></w:pPr>
<w:r><w:t xml:space="preserve">of such characteristics are aesthetically valuable.&apos;&apos;17</w:t></w:r>
</w:p>
<w:p>
<w:pPr><w:pStyle w:val="Normal"/></w:pPr>
<w:r><w:t xml:space="preserve">Germs of aesthetic preference in children, etc.</w:t></w:r>
</w:p>
<w:p>
<w:pPr><w:pStyle w:val="Normal"/></w:pPr>
<w:r><w:t xml:space="preserve">This preliminary work of aesthetic science in collecting</w:t></w:r>
</w:p>
<w:p>
<w:pPr><w:pStyle w:val="Normal"/></w:pPr>
<w:r><w:t xml:space="preserve">and analysing facts may be extended in two directions: by</w:t></w:r>
</w:p>
<w:p>
<w:pPr><w:pStyle w:val="Normal"/></w:pPr>
<w:r><w:t xml:space="preserve">an examination (a) of the earlier and simpler forms of</w:t></w:r>
</w:p>
<w:p>
<w:pPr><w:pStyle w:val="Normal"/></w:pPr>
<w:r><w:t xml:space="preserve">aesthetic experience, and (b) of the fuller and more complex</w:t></w:r>
</w:p>
<w:p>
<w:pPr><w:pStyle w:val="Normal"/></w:pPr>
<w:r><w:t xml:space="preserve">experiences of those specially trained in the perception and</w:t></w:r>
</w:p>
<w:p>
<w:pPr><w:pStyle w:val="Normal"/></w:pPr>
<w:r><w:t xml:space="preserve">enjoyment of beauty. (a) The former would be illustrated by</w:t></w:r>
</w:p>
<w:p>
<w:pPr><w:pStyle w:val="Normal"/></w:pPr>
<w:r><w:t xml:space="preserve">a more methodical investigation into the rudimentary aesthetic</w:t></w:r>
</w:p>
<w:p>
<w:pPr><w:pStyle w:val="Normal"/></w:pPr>
<w:r><w:t xml:space="preserve">likings of children and of the lower races.  Such inquiries</w:t></w:r>
</w:p>
<w:p>
<w:pPr><w:pStyle w:val="Normal"/></w:pPr>
<w:r><w:t xml:space="preserve">may be expected to add to our knowledge of the simpler and</w:t></w:r>
</w:p>
<w:p>
<w:pPr><w:pStyle w:val="Normal"/></w:pPr>
<w:r><w:t xml:space="preserve">more universal forms of aesthetic enjoyment.  Some attention</w:t></w:r>
</w:p>
<w:p>
<w:pPr><w:pStyle w:val="Normal"/></w:pPr>
<w:r><w:t xml:space="preserve">has been paid by Darwin and others to germs of taste in birds</w:t></w:r>
</w:p>
<w:p>
<w:pPr><w:pStyle w:val="Normal"/></w:pPr>
<w:r><w:t xml:space="preserve">and other animals.  Yet this line of inquiry, though of some</w:t></w:r>
</w:p>
<w:p>
<w:pPr><w:pStyle w:val="Normal"/></w:pPr>
<w:r><w:t xml:space="preserve">value for a theory of the evolution of taste, seems to throw</w:t></w:r>
</w:p>
<w:p>
<w:pPr><w:pStyle w:val="Normal"/></w:pPr>
<w:r><w:t xml:space="preserve">but little light on aesthetic preferences as found in man.18</w:t></w:r>
</w:p>
<w:p>
<w:pPr><w:pStyle w:val="Normal"/></w:pPr>
<w:r><w:t xml:space="preserve">Aesthetic experiment.</w:t></w:r>
</w:p>
<w:p>
<w:pPr><w:pStyle w:val="Normal"/></w:pPr>
<w:r><w:t xml:space="preserve">An important feature in this new investigation into simpler</w:t></w:r>
</w:p>
<w:p>
<w:pPr><w:pStyle w:val="Normal"/></w:pPr>
<w:r><w:t xml:space="preserve">modes of aesthetic preference is that it proceeds by way of</w:t></w:r>
</w:p>
<w:p>
<w:pPr><w:pStyle w:val="Normal"/></w:pPr>
<w:r><w:t xml:space="preserve">experiment, that is to say, a methodical testing of the aesthetic</w:t></w:r>
</w:p>
<w:p>
<w:pPr><w:pStyle w:val="Normal"/></w:pPr>
<w:r><w:t xml:space="preserve">preferences of a number of individuals.  Fechner introduced the</w:t></w:r>
</w:p>
<w:p>
<w:pPr><w:pStyle w:val="Normal"/></w:pPr>
<w:r><w:t xml:space="preserve">method of experiment into aesthetics in his researches on the</w:t></w:r>
</w:p>
<w:p>
<w:pPr><w:pStyle w:val="Normal"/></w:pPr>
<w:r><w:t xml:space="preserve">preferability (according to Zeising) of the proportion known as</w:t></w:r>
</w:p>
<w:p>
<w:pPr><w:pStyle w:val="Normal"/></w:pPr>
<w:r><w:t xml:space="preserve">the ``golden section.&apos;&apos;19 Since his time other experimental</w:t></w:r>
</w:p>
<w:p>
<w:pPr><w:pStyle w:val="Normal"/></w:pPr>
<w:r><w:t xml:space="preserve">inquiries have been made, both as to what forms (e.g. what</w:t></w:r>
</w:p>
<w:p>
<w:pPr><w:pStyle w:val="Normal"/></w:pPr>
<w:r><w:t xml:space="preserve">variety of rectangle) and what combinations of colours are most</w:t></w:r>
</w:p>
<w:p>
<w:pPr><w:pStyle w:val="Normal"/></w:pPr>
<w:r><w:t xml:space="preserve">pleasing.  The results of these experiments are distinctly</w:t></w:r>
</w:p>
<w:p>
<w:pPr><w:pStyle w:val="Normal"/></w:pPr>
<w:r><w:t xml:space="preserve">promising, though they have not yet been carried far enough to</w:t></w:r>
</w:p>
<w:p>
<w:pPr><w:pStyle w:val="Normal"/></w:pPr>
<w:r><w:t xml:space="preserve">be made the basis of perfectly trustworthy generalizations.20</w:t></w:r>
</w:p>
<w:p>
<w:pPr><w:pStyle w:val="Normal"/></w:pPr>
<w:r><w:t xml:space="preserve">Experience and judgments of experts.</w:t></w:r>
</w:p>
<w:p>
<w:pPr><w:pStyle w:val="Normal"/></w:pPr>
<w:r><w:t xml:space="preserve">A valuable portion of the data for a science of aesthetics</w:t></w:r>
</w:p>
<w:p>
<w:pPr><w:pStyle w:val="Normal"/></w:pPr>
<w:r><w:t xml:space="preserve">lies in the recorded experiences of artists, art critics,</w:t></w:r>
</w:p>
<w:p>
<w:pPr><w:pStyle w:val="Normal"/></w:pPr>
<w:r><w:t xml:space="preserve">and others who have specially developed their tastes; This</w:t></w:r>
</w:p>
<w:p>
<w:pPr><w:pStyle w:val="Normal"/></w:pPr>
<w:r><w:t xml:space="preserve">source of information has certainly never been made use of</w:t></w:r>
</w:p>
<w:p>
<w:pPr><w:pStyle w:val="Normal"/></w:pPr>
<w:r><w:t xml:space="preserve">in a complete and methodical manner by theorists, a quotation</w:t></w:r>
</w:p>
<w:p>
<w:pPr><w:pStyle w:val="Normal"/></w:pPr>
<w:r><w:t xml:space="preserve">now and again from writers like Goethe and Ruskin having been</w:t></w:r>
</w:p>
<w:p>
<w:pPr><w:pStyle w:val="Normal"/></w:pPr>
<w:r><w:t xml:space="preserve">deemed sufficient.  Yet it is safe to say that an adequate</w:t></w:r>
</w:p>
<w:p>
<w:pPr><w:pStyle w:val="Normal"/></w:pPr>
<w:r><w:t xml:space="preserve">understanding of the finer effects of beauty, both in nature and</w:t></w:r>
</w:p>
<w:p>
<w:pPr><w:pStyle w:val="Normal"/></w:pPr>
<w:r><w:t xml:space="preserve">in art, presupposes the assimilation of what is best in these</w:t></w:r>
</w:p>
<w:p>
<w:pPr><w:pStyle w:val="Normal"/></w:pPr>
<w:r><w:t xml:space="preserve">records.  And this not only because they commonly supply us with</w:t></w:r>
</w:p>
<w:p>
<w:pPr><w:pStyle w:val="Normal"/></w:pPr>
<w:r><w:t xml:space="preserve">new and valuable varieties of experience of the more refined</w:t></w:r>
</w:p>
<w:p>
<w:pPr><w:pStyle w:val="Normal"/></w:pPr>
<w:r><w:t xml:space="preserve">kind, but because the aesthetic judgments on nature and art of</w:t></w:r>
</w:p>
<w:p>
<w:pPr><w:pStyle w:val="Normal"/></w:pPr>
<w:r><w:t xml:space="preserve">men in whom the feeling of beauty has been specially cultivated</w:t></w:r>
</w:p>
<w:p>
<w:pPr><w:pStyle w:val="Normal"/></w:pPr>
<w:r><w:t xml:space="preserve">have a greater value than those of others.21 It may be added</w:t></w:r>
</w:p>
<w:p>
<w:pPr><w:pStyle w:val="Normal"/></w:pPr>
<w:r><w:t xml:space="preserve">that these records are wont to contain reflexions which, though</w:t></w:r>
</w:p>
<w:p>
<w:pPr><w:pStyle w:val="Normal"/></w:pPr>
<w:r><w:t xml:space="preserve">wanting in scientific precision, can be utilized by science.</w:t></w:r>
</w:p>
<w:p>
<w:pPr><w:pStyle w:val="Normal"/></w:pPr>
<w:r><w:t xml:space="preserve">Psychological analysis of material.</w:t></w:r>
</w:p>
<w:p>
<w:pPr><w:pStyle w:val="Normal"/></w:pPr>
<w:r><w:t xml:space="preserve">We now come to the work of scientific construction proper.</w:t></w:r>
</w:p>
<w:p>
<w:pPr><w:pStyle w:val="Normal"/></w:pPr>
<w:r><w:t xml:space="preserve">The finer analysis of the objects which please aesthetically</w:t></w:r>
</w:p>
<w:p>
<w:pPr><w:pStyle w:val="Normal"/></w:pPr>
<w:r><w:t xml:space="preserve">as well as of the agreeable type of consciousness to which</w:t></w:r>
</w:p>
<w:p>
<w:pPr><w:pStyle w:val="Normal"/></w:pPr>
<w:r><w:t xml:space="preserve">they minister belongs to the psychologist, and it is noteworthy</w:t></w:r>
</w:p>
<w:p>
<w:pPr><w:pStyle w:val="Normal"/></w:pPr>
<w:r><w:t xml:space="preserve">that the best recent contributions to the science have been</w:t></w:r>
</w:p>
<w:p>
<w:pPr><w:pStyle w:val="Normal"/></w:pPr>
<w:r><w:t xml:space="preserve">made by men who were either known as psychologists or at least</w:t></w:r>
</w:p>
<w:p>
<w:pPr><w:pStyle w:val="Normal"/></w:pPr>
<w:r><w:t xml:space="preserve">had trained themselves in psychological analysis.  A word or</w:t></w:r>
</w:p>
<w:p>
<w:pPr><w:pStyle w:val="Normal"/></w:pPr>
<w:r><w:t xml:space="preserve">two must suffice to indicate the more important directions</w:t></w:r>
</w:p>
<w:p>
<w:pPr><w:pStyle w:val="Normal"/></w:pPr>
<w:r><w:t xml:space="preserve">of the theoretic interpretation.  We may in illustrating this</w:t></w:r>
</w:p>
<w:p>
<w:pPr><w:pStyle w:val="Normal"/></w:pPr>
<w:r><w:t xml:space="preserve">set out from the convenient triple division of the factors in</w:t></w:r>
</w:p>
<w:p>
<w:pPr><w:pStyle w:val="Normal"/></w:pPr>
<w:r><w:t xml:space="preserve">aesthetic experience: (A) the sensuous, (B) the perceptual or</w:t></w:r>
</w:p>
<w:p>
<w:pPr><w:pStyle w:val="Normal"/></w:pPr>
<w:r><w:t xml:space="preserve">formal, (C) the imaginative, including all that is suggested</w:t></w:r>
</w:p>
<w:p>
<w:pPr><w:pStyle w:val="Normal"/></w:pPr>
<w:r><w:t xml:space="preserve">by the aesthetic presentation, its meaning and expressiveness.</w:t></w:r>
</w:p>
<w:p>
<w:pPr><w:pStyle w:val="Normal"/></w:pPr>
<w:r><w:t xml:space="preserve">The sensuous factor.  Physiological aesthetics.</w:t></w:r>
</w:p>
<w:p>
<w:pPr><w:pStyle w:val="Normal"/></w:pPr>
<w:r><w:t xml:space="preserve">(A) In dealing with the sensuous factor the psychologist is</w:t></w:r>
</w:p>
<w:p>
<w:pPr><w:pStyle w:val="Normal"/></w:pPr>
<w:r><w:t xml:space="preserve">materially aided by the physiologist.  It is sufficient to</w:t></w:r>
</w:p>
<w:p>
<w:pPr><w:pStyle w:val="Normal"/></w:pPr>
<w:r><w:t xml:space="preserve">point to the contribution made to the analysis of musical</w:t></w:r>
</w:p>
<w:p>
<w:pPr><w:pStyle w:val="Normal"/></w:pPr>
<w:r><w:t xml:space="preserve">sensations by the classical researches of Helmholtz (see</w:t></w:r>
</w:p>
<w:p>
<w:pPr><w:pStyle w:val="Normal"/></w:pPr>
<w:r><w:t xml:space="preserve">below).  Yet the application of a knowledge of physiological</w:t></w:r>
</w:p>
<w:p>
<w:pPr><w:pStyle w:val="Normal"/></w:pPr>
<w:r><w:t xml:space="preserve">conditions seems as yet to be of little service when we</w:t></w:r>
</w:p>
<w:p>
<w:pPr><w:pStyle w:val="Normal"/></w:pPr>
<w:r><w:t xml:space="preserve">come to the finer aspects of this sensuous experience,</w:t></w:r>
</w:p>
<w:p>
<w:pPr><w:pStyle w:val="Normal"/></w:pPr>
<w:r><w:t xml:space="preserve">to the subtle effects of colour combination, for example,</w:t></w:r>
</w:p>
<w:p>
<w:pPr><w:pStyle w:val="Normal"/></w:pPr>
<w:r><w:t xml:space="preserve">and to the nuances of feeling-tone attaching to different</w:t></w:r>
</w:p>
<w:p>
<w:pPr><w:pStyle w:val="Normal"/></w:pPr>
<w:r><w:t xml:space="preserve">tints.  In the finer analysis of the sensuous material of</w:t></w:r>
</w:p>
<w:p>
<w:pPr><w:pStyle w:val="Normal"/></w:pPr>
<w:r><w:t xml:space="preserve">aesthetic enjoyment it is the psychologist who counts.22</w:t></w:r>
</w:p>
<w:p>
<w:pPr><w:pStyle w:val="Normal"/></w:pPr>
<w:r><w:t xml:space="preserve">Psychological problems.</w:t></w:r>
</w:p>
<w:p>
<w:pPr><w:pStyle w:val="Normal"/></w:pPr>
<w:r><w:t xml:space="preserve">Among the valuable contributions recently made in this domain</w:t></w:r>
</w:p>
<w:p>
<w:pPr><w:pStyle w:val="Normal"/></w:pPr>
<w:r><w:t xml:space="preserve">one may instance the careful determination of the aesthetically</w:t></w:r>
</w:p>
<w:p>
<w:pPr><w:pStyle w:val="Normal"/></w:pPr>
<w:r><w:t xml:space="preserve">important characteristics of the sensations of sight and hearing,</w:t></w:r>
</w:p>
<w:p>
<w:pPr><w:pStyle w:val="Normal"/></w:pPr>
<w:r><w:t xml:space="preserve">such as the finely graduated variety of their qualities (colour</w:t></w:r>
</w:p>
<w:p>
<w:pPr><w:pStyle w:val="Normal"/></w:pPr>
<w:r><w:t xml:space="preserve">and tone), their capability of entering into combinations</w:t></w:r>
</w:p>
<w:p>
<w:pPr><w:pStyle w:val="Normal"/></w:pPr>
<w:r><w:t xml:space="preserve">in which they preserve their individuality, including the</w:t></w:r>
</w:p>
<w:p>
<w:pPr><w:pStyle w:val="Normal"/></w:pPr>
<w:r><w:t xml:space="preserve">important combinations of time and space form.  With these</w:t></w:r>
</w:p>
<w:p>
<w:pPr><w:pStyle w:val="Normal"/></w:pPr>
<w:r><w:t xml:space="preserve">are to be included the distinguishing characteristics of the</w:t></w:r>
</w:p>
<w:p>
<w:pPr><w:pStyle w:val="Normal"/></w:pPr>
<w:r><w:t xml:space="preserve">concomitant feeling-tones, e.g. their comparative calmness</w:t></w:r>
</w:p>
<w:p>
<w:pPr><w:pStyle w:val="Normal"/></w:pPr>
<w:r><w:t xml:space="preserve">and their clear separation from the sensations which they</w:t></w:r>
</w:p>
<w:p>
<w:pPr><w:pStyle w:val="Normal"/></w:pPr>
<w:r><w:t xml:space="preserve">accompany.  These characteristics help us to understand</w:t></w:r>
</w:p>
<w:p>
<w:pPr><w:pStyle w:val="Normal"/></w:pPr>
<w:r><w:t xml:space="preserve">the greater refinement of these senses and also the more</w:t></w:r>
</w:p>
<w:p>
<w:pPr><w:pStyle w:val="Normal"/></w:pPr>
<w:r><w:t xml:space="preserve">prolonged as well as varying enjoyment which they contribute,</w:t></w:r>
</w:p>
<w:p>
<w:pPr><w:pStyle w:val="Normal"/></w:pPr>
<w:r><w:t xml:space="preserve">as well as the extension of this enjoyment by imaginative</w:t></w:r>
</w:p>
<w:p>
<w:pPr><w:pStyle w:val="Normal"/></w:pPr>
<w:r><w:t xml:space="preserve">reproduction.23 Next to this determination of important</w:t></w:r>
</w:p>
<w:p>
<w:pPr><w:pStyle w:val="Normal"/></w:pPr>
<w:r><w:t xml:space="preserve">aesthetic characteristics of the two senses may be named a</w:t></w:r>
</w:p>
<w:p>
<w:pPr><w:pStyle w:val="Normal"/></w:pPr>
<w:r><w:t xml:space="preserve">finer probing of the nuances of pleasurable tone exhibited by</w:t></w:r>
</w:p>
<w:p>
<w:pPr><w:pStyle w:val="Normal"/></w:pPr>
<w:r><w:t xml:space="preserve">the several colours and tones.  A point still needing special</w:t></w:r>
</w:p>
<w:p>
<w:pPr><w:pStyle w:val="Normal"/></w:pPr>
<w:r><w:t xml:space="preserve">investigation is extent of the sensuous factor in aesthetic</w:t></w:r>
</w:p>
<w:p>
<w:pPr><w:pStyle w:val="Normal"/></w:pPr>
<w:r><w:t xml:space="preserve">enjoyment.  There has been a tendency in aesthetic theory</w:t></w:r>
</w:p>
<w:p>
<w:pPr><w:pStyle w:val="Normal"/></w:pPr>
<w:r><w:t xml:space="preserve">to over-intellectualize aesthetic experience and to find</w:t></w:r>
</w:p>
<w:p>
<w:pPr><w:pStyle w:val="Normal"/></w:pPr>
<w:r><w:t xml:space="preserve">the value even of the sensuous factor in some intellectual</w:t></w:r>
</w:p>
<w:p>
<w:pPr><w:pStyle w:val="Normal"/></w:pPr>
<w:r><w:t xml:space="preserve">principle, as when it is said (by Plato and Hegel among</w:t></w:r>
</w:p>
<w:p>
<w:pPr><w:pStyle w:val="Normal"/></w:pPr>
<w:r><w:t xml:space="preserve">others) that a smooth or level tone and a uniform mass of</w:t></w:r>
</w:p>
<w:p>
<w:pPr><w:pStyle w:val="Normal"/></w:pPr>
<w:r><w:t xml:space="preserve">colour owe their value to the principle of unity.  But such</w:t></w:r>
</w:p>
<w:p>
<w:pPr><w:pStyle w:val="Normal"/></w:pPr>
<w:r><w:t xml:space="preserve">prolongation (within obvious limits) in time or space is a</w:t></w:r>
</w:p>
<w:p>
<w:pPr><w:pStyle w:val="Normal"/></w:pPr>
<w:r><w:t xml:space="preserve">condition of the full enjoyment of the distinctive quality</w:t></w:r>
</w:p>
<w:p>
<w:pPr><w:pStyle w:val="Normal"/></w:pPr>
<w:r><w:t xml:space="preserve">of an individual tone or colour, and as such has a sensuous</w:t></w:r>
</w:p>
<w:p>
<w:pPr><w:pStyle w:val="Normal"/></w:pPr>
<w:r><w:t xml:space="preserve">value.  Aesthetics has to prove the sensuous value, the</w:t></w:r>
</w:p>
<w:p>
<w:pPr><w:pStyle w:val="Normal"/></w:pPr>
<w:r><w:t xml:space="preserve">pleasure which is due not only to the feeling-tones of the</w:t></w:r>
</w:p>
<w:p>
<w:pPr><w:pStyle w:val="Normal"/></w:pPr>
<w:r><w:t xml:space="preserve">several sensations but to those of their variods combinations.</w:t></w:r>
</w:p>
<w:p>
<w:pPr><w:pStyle w:val="Normal"/></w:pPr>
<w:r><w:t xml:space="preserve">Spite of a tendency of late to disparage the co-operation of</w:t></w:r>
</w:p>
<w:p>
<w:pPr><w:pStyle w:val="Normal"/></w:pPr>
<w:r><w:t xml:space="preserve">the ``motor sensations&apos;&apos; connected with movements of the eye</w:t></w:r>
</w:p>
<w:p>
<w:pPr><w:pStyle w:val="Normal"/></w:pPr>
<w:r><w:t xml:space="preserve">in the aesthetic appreciation of linear form, e.g. curves,</w:t></w:r>
</w:p>
<w:p>
<w:pPr><w:pStyle w:val="Normal"/></w:pPr>
<w:r><w:t xml:space="preserve">evidence suggests that certain curves, like fine gradations</w:t></w:r>
</w:p>
<w:p>
<w:pPr><w:pStyle w:val="Normal"/></w:pPr>
<w:r><w:t xml:space="preserve">of colour, may owe a considerable part of their value to</w:t></w:r>
</w:p>
<w:p>
<w:pPr><w:pStyle w:val="Normal"/></w:pPr>
<w:r><w:t xml:space="preserve">a mode of varying the sensuous experience which is in a</w:t></w:r>
</w:p>
<w:p>
<w:pPr><w:pStyle w:val="Normal"/></w:pPr>
<w:r><w:t xml:space="preserve">peculiar manner agreeable.  On the other hand, this theoretic</w:t></w:r>
</w:p>
<w:p>
<w:pPr><w:pStyle w:val="Normal"/></w:pPr>
<w:r><w:t xml:space="preserve">investigation of sense-material will need to determine with</w:t></w:r>
</w:p>
<w:p>
<w:pPr><w:pStyle w:val="Normal"/></w:pPr>
<w:r><w:t xml:space="preserve">care the added value due to the action of experience in giving</w:t></w:r>
</w:p>
<w:p>
<w:pPr><w:pStyle w:val="Normal"/></w:pPr>
<w:r><w:t xml:space="preserve">something of meaning to particular colours and tones and</w:t></w:r>
</w:p>
<w:p>
<w:pPr><w:pStyle w:val="Normal"/></w:pPr>
<w:r><w:t xml:space="preserve">their combinations, e.g. warmth of colour, height of tone.</w:t></w:r>
</w:p>
<w:p>
<w:pPr><w:pStyle w:val="Normal"/></w:pPr>
<w:r><w:t xml:space="preserve">The perceptual factor.</w:t></w:r>
</w:p>
<w:p>
<w:pPr><w:pStyle w:val="Normal"/></w:pPr>
<w:r><w:t xml:space="preserve">(B) Under the scientific treatment of the perceptual or</w:t></w:r>
</w:p>
<w:p>
<w:pPr><w:pStyle w:val="Normal"/></w:pPr>
<w:r><w:t xml:space="preserve">formal factor in aesthetic experience we have many special</w:t></w:r>
</w:p>
<w:p>
<w:pPr><w:pStyle w:val="Normal"/></w:pPr>
<w:r><w:t xml:space="preserve">problems, of which only a few can be touched on here.  Taking</w:t></w:r>
</w:p>
<w:p>
<w:pPr><w:pStyle w:val="Normal"/></w:pPr>
<w:r><w:t xml:space="preserve">this factor to include all combinations of elements in which</w:t></w:r>
</w:p>
<w:p>
<w:pPr><w:pStyle w:val="Normal"/></w:pPr>
<w:r><w:t xml:space="preserve">there is a more or less distinct perception of pleasing</w:t></w:r>
</w:p>
<w:p>
<w:pPr><w:pStyle w:val="Normal"/></w:pPr>
<w:r><w:t xml:space="preserve">relations, we meet here with such work as that of C. Stumpf</w:t></w:r>
</w:p>
<w:p>
<w:pPr><w:pStyle w:val="Normal"/></w:pPr>
<w:r><w:t xml:space="preserve">(Ton-psychologie) in determining the way in which tones</w:t></w:r>
</w:p>
<w:p>
<w:pPr><w:pStyle w:val="Normal"/></w:pPr>
<w:r><w:t xml:space="preserve">combine and tend to fuse.  Later experiments have added to our</w:t></w:r>
</w:p>
<w:p>
<w:pPr><w:pStyle w:val="Normal"/></w:pPr>
<w:r><w:t xml:space="preserve">knowledge of the obscure subject of colour harmony, enabhng</w:t></w:r>
</w:p>
<w:p>
<w:pPr><w:pStyle w:val="Normal"/></w:pPr>
<w:r><w:t xml:space="preserve">us to distinguish pleasing contrasts of colour from the more</w:t></w:r>
</w:p>
<w:p>
<w:pPr><w:pStyle w:val="Normal"/></w:pPr>
<w:r><w:t xml:space="preserve">restful combinations of nearly allied tints.  Our knowledge</w:t></w:r>
</w:p>
<w:p>
<w:pPr><w:pStyle w:val="Normal"/></w:pPr>
<w:r><w:t xml:space="preserve">of pleasing form in the narrower sense, that is to say,</w:t></w:r>
</w:p>
<w:p>
<w:pPr><w:pStyle w:val="Normal"/></w:pPr>
<w:r><w:t xml:space="preserve">space and time form, has been advanced by a number of recent</w:t></w:r>
</w:p>
<w:p>
<w:pPr><w:pStyle w:val="Normal"/></w:pPr>
<w:r><w:t xml:space="preserve">inquiries.  The value of symmetry, the meaning of proportion</w:t></w:r>
</w:p>
<w:p>
<w:pPr><w:pStyle w:val="Normal"/></w:pPr>
<w:r><w:t xml:space="preserve">and the aesthetic value to be set on certain proportions,</w:t></w:r>
</w:p>
<w:p>
<w:pPr><w:pStyle w:val="Normal"/></w:pPr>
<w:r><w:t xml:space="preserve">the forms of these are some of the points dealt with in more</w:t></w:r>
</w:p>
<w:p>
<w:pPr><w:pStyle w:val="Normal"/></w:pPr>
<w:r><w:t xml:space="preserve">central and in special works24.  In the case of forms,</w:t></w:r>
</w:p>
<w:p>
<w:pPr><w:pStyle w:val="Normal"/></w:pPr>
<w:r><w:t xml:space="preserve">still more than in that of sensuous elements, it is needful to</w:t></w:r>
</w:p>
<w:p>
<w:pPr><w:pStyle w:val="Normal"/></w:pPr>
<w:r><w:t xml:space="preserve">determine the extent to which the value of the formal aspect</w:t></w:r>
</w:p>
<w:p>
<w:pPr><w:pStyle w:val="Normal"/></w:pPr>
<w:r><w:t xml:space="preserve">is modified by experience and the acquisition of meaning.</w:t></w:r>
</w:p>
<w:p>
<w:pPr><w:pStyle w:val="Normal"/></w:pPr>
<w:r><w:t xml:space="preserve">This is pretty certainly the source of the aesthetic value</w:t></w:r>
</w:p>
<w:p>
<w:pPr><w:pStyle w:val="Normal"/></w:pPr>
<w:r><w:t xml:space="preserve">claimed for certain proportions, whether in the human figure</w:t></w:r>
</w:p>
<w:p>
<w:pPr><w:pStyle w:val="Normal"/></w:pPr>
<w:r><w:t xml:space="preserve">or other organic forms or in the freer constructions of form</w:t></w:r>
</w:p>
<w:p>
<w:pPr><w:pStyle w:val="Normal"/></w:pPr>
<w:r><w:t xml:space="preserve">in art.25 Another problem is to determine the influence of</w:t></w:r>
</w:p>
<w:p>
<w:pPr><w:pStyle w:val="Normal"/></w:pPr>
<w:r><w:t xml:space="preserve">the feeling-tones of the combining elements on the pleasing</w:t></w:r>
</w:p>
<w:p>
<w:pPr><w:pStyle w:val="Normal"/></w:pPr>
<w:r><w:t xml:space="preserve">character of the whole.  It is probable that a particular</w:t></w:r>
</w:p>
<w:p>
<w:pPr><w:pStyle w:val="Normal"/></w:pPr>
<w:r><w:t xml:space="preserve">combination of colours owes something of its pleasure value</w:t></w:r>
</w:p>
<w:p>
<w:pPr><w:pStyle w:val="Normal"/></w:pPr>
<w:r><w:t xml:space="preserve">to a harmony of the feeling-tones of the elements.  This</w:t></w:r>
</w:p>
<w:p>
<w:pPr><w:pStyle w:val="Normal"/></w:pPr>
<w:r><w:t xml:space="preserve">is pretty certainly the case where the feeling-tones of the</w:t></w:r>
</w:p>
<w:p>
<w:pPr><w:pStyle w:val="Normal"/></w:pPr>
<w:r><w:t xml:space="preserve">elements are closely akin, as in the case of a number of low</w:t></w:r>
</w:p>
<w:p>
<w:pPr><w:pStyle w:val="Normal"/></w:pPr>
<w:r><w:t xml:space="preserve">tones of colours, or of architectural or other forms where</w:t></w:r>
</w:p>
<w:p>
<w:pPr><w:pStyle w:val="Normal"/></w:pPr>
<w:r><w:t xml:space="preserve">one formal element--say, a vertical line, a rectangle of a</w:t></w:r>
</w:p>
<w:p>
<w:pPr><w:pStyle w:val="Normal"/></w:pPr>
<w:r><w:t xml:space="preserve">certain proportion or a particular variety of arch--repeats</w:t></w:r>
</w:p>
<w:p>
<w:pPr><w:pStyle w:val="Normal"/></w:pPr>
<w:r><w:t xml:space="preserve">itself and becomes a dominating feature of the whole.</w:t></w:r>
</w:p>
<w:p>
<w:pPr><w:pStyle w:val="Normal"/></w:pPr>
<w:r><w:t xml:space="preserve">The imaginative factor.</w:t></w:r>
</w:p>
<w:p>
<w:pPr><w:pStyle w:val="Normal"/></w:pPr>
<w:r><w:t xml:space="preserve">(C) The imaginative factor---which corresponds with what</w:t></w:r>
</w:p>
<w:p>
<w:pPr><w:pStyle w:val="Normal"/></w:pPr>
<w:r><w:t xml:space="preserve">Fechner calls the ``indirect&apos;&apos;---includes all that imaginative</w:t></w:r>
</w:p>
<w:p>
<w:pPr><w:pStyle w:val="Normal"/></w:pPr>
<w:r><w:t xml:space="preserve">activity adds to our enjoyment when we contemplate an aesthetic</w:t></w:r>
</w:p>
<w:p>
<w:pPr><w:pStyle w:val="Normal"/></w:pPr>
<w:r><w:t xml:space="preserve">object.  It may consist first of all in recalling concrete</w:t></w:r>
</w:p>
<w:p>
<w:pPr><w:pStyle w:val="Normal"/></w:pPr>
<w:r><w:t xml:space="preserve">experiences firmly associated with the object, as when the</w:t></w:r>
</w:p>
<w:p>
<w:pPr><w:pStyle w:val="Normal"/></w:pPr>
<w:r><w:t xml:space="preserve">sight of wild-flowers in a London street calls up an image</w:t></w:r>
</w:p>
<w:p>
<w:pPr><w:pStyle w:val="Normal"/></w:pPr>
<w:r><w:t xml:space="preserve">of fields and lanes.  In order that these images may add to</w:t></w:r>
</w:p>
<w:p>
<w:pPr><w:pStyle w:val="Normal"/></w:pPr>
<w:r><w:t xml:space="preserve">the aesthetic value of the object they must correspond to</w:t></w:r>
</w:p>
<w:p>
<w:pPr><w:pStyle w:val="Normal"/></w:pPr>
<w:r><w:t xml:space="preserve">our common associations, as distinguished from accidental</w:t></w:r>
</w:p>
<w:p>
<w:pPr><w:pStyle w:val="Normal"/></w:pPr>
<w:r><w:t xml:space="preserve">individual ones.  A large increase of aesthetic enjoyment</w:t></w:r>
</w:p>
<w:p>
<w:pPr><w:pStyle w:val="Normal"/></w:pPr>
<w:r><w:t xml:space="preserve">comes to us through such suggested images.  Although in</w:t></w:r>
</w:p>
<w:p>
<w:pPr><w:pStyle w:val="Normal"/></w:pPr>
<w:r><w:t xml:space="preserve">general it is images of concrete objects which are called</w:t></w:r>
</w:p>
<w:p>
<w:pPr><w:pStyle w:val="Normal"/></w:pPr>
<w:r><w:t xml:space="preserve">up, ideas of a more abstract character may take part though</w:t></w:r>
</w:p>
<w:p>
<w:pPr><w:pStyle w:val="Normal"/></w:pPr>
<w:r><w:t xml:space="preserve">they tend in this case to assume a concrete aspect.  This is</w:t></w:r>
</w:p>
<w:p>
<w:pPr><w:pStyle w:val="Normal"/></w:pPr>
<w:r><w:t xml:space="preserve">illustrated in the appreciation of ``typical beauty&apos;&apos; in which</w:t></w:r>
</w:p>
<w:p>
<w:pPr><w:pStyle w:val="Normal"/></w:pPr>
<w:r><w:t xml:space="preserve">a concrete form represents in an exceptional way the common</w:t></w:r>
</w:p>
<w:p>
<w:pPr><w:pStyle w:val="Normal"/></w:pPr>
<w:r><w:t xml:space="preserve">form of a species, and in that of symbolic representation.</w:t></w:r>
</w:p>
<w:p>
<w:pPr><w:pStyle w:val="Normal"/></w:pPr>
<w:r><w:t xml:space="preserve">An important part of this work of association is to render</w:t></w:r>
</w:p>
<w:p>
<w:pPr><w:pStyle w:val="Normal"/></w:pPr>
<w:r><w:t xml:space="preserve">objects expressive of mental states, as when we read off the</w:t></w:r>
</w:p>
<w:p>
<w:pPr><w:pStyle w:val="Normal"/></w:pPr>
<w:r><w:t xml:space="preserve">particular shade of feeling expressed by a natural scene.26</w:t></w:r>
</w:p>
<w:p>
<w:pPr><w:pStyle w:val="Normal"/></w:pPr>
<w:r><w:t xml:space="preserve">Freer play of imagination.</w:t></w:r>
</w:p>
<w:p>
<w:pPr><w:pStyle w:val="Normal"/></w:pPr>
<w:r><w:t xml:space="preserve">In the poetic contemplation of nature, her forces, her gladness</w:t></w:r>
</w:p>
<w:p>
<w:pPr><w:pStyle w:val="Normal"/></w:pPr>
<w:r><w:t xml:space="preserve">and other moods, this imaginative activity, though still deriving</w:t></w:r>
</w:p>
<w:p>
<w:pPr><w:pStyle w:val="Normal"/></w:pPr>
<w:r><w:t xml:space="preserve">leading to an investment of natural objects with a new and more</w:t></w:r>
</w:p>
<w:p>
<w:pPr><w:pStyle w:val="Normal"/></w:pPr>
<w:r><w:t xml:space="preserve">fanciful meaning, as when we ``apperceive&apos;&apos; a willow drooping</w:t></w:r>
</w:p>
<w:p>
<w:pPr><w:pStyle w:val="Normal"/></w:pPr>
<w:r><w:t xml:space="preserve">over a pond or the front of an old cottage under a quasi-human</w:t></w:r>
</w:p>
<w:p>
<w:pPr><w:pStyle w:val="Normal"/></w:pPr>
<w:r><w:t xml:space="preserve">form, endowing it with something akin to our own feelings and</w:t></w:r>
</w:p>
<w:p>
<w:pPr><w:pStyle w:val="Normal"/></w:pPr>
<w:r><w:t xml:space="preserve">memories.  What, it may be asked, is the whole range of this</w:t></w:r>
</w:p>
<w:p>
<w:pPr><w:pStyle w:val="Normal"/></w:pPr>
<w:r><w:t xml:space="preserve">freer play of a life-giving fancy in our aesthetic enjoyment?</w:t></w:r>
</w:p>
<w:p>
<w:pPr><w:pStyle w:val="Normal"/></w:pPr>
<w:r><w:t xml:space="preserve">Some recent theorists have attempted to answer this question</w:t></w:r>
</w:p>
<w:p>
<w:pPr><w:pStyle w:val="Normal"/></w:pPr>
<w:r><w:t xml:space="preserve">by saying that it constitutes a vital element in all aesthetic</w:t></w:r>
</w:p>
<w:p>
<w:pPr><w:pStyle w:val="Normal"/></w:pPr>
<w:r><w:t xml:space="preserve">contemplation.  Th. Lipps and others who follow him seek to</w:t></w:r>
</w:p>
<w:p>
<w:pPr><w:pStyle w:val="Normal"/></w:pPr>
<w:r><w:t xml:space="preserve">show that this vitalizing activity of the fancy, which produces</w:t></w:r>
</w:p>
<w:p>
<w:pPr><w:pStyle w:val="Normal"/></w:pPr>
<w:r><w:t xml:space="preserve">a new and illusory object, is the essential ingredient in</w:t></w:r>
</w:p>
<w:p>
<w:pPr><w:pStyle w:val="Normal"/></w:pPr>
<w:r><w:t xml:space="preserve">the aesthetic enjoyment of the forms of material objects.</w:t></w:r>
</w:p>
<w:p>
<w:pPr><w:pStyle w:val="Normal"/></w:pPr>
<w:r><w:t xml:space="preserve">According to this theory, when in the aesthetic mood I enjoy</w:t></w:r>
</w:p>
<w:p>
<w:pPr><w:pStyle w:val="Normal"/></w:pPr>
<w:r><w:t xml:space="preserve">the form of a tree, of a church steeple or of the front of</w:t></w:r>
</w:p>
<w:p>
<w:pPr><w:pStyle w:val="Normal"/></w:pPr>
<w:r><w:t xml:space="preserve">a Greek temple, I am not only ascribing life and feeling to</w:t></w:r>
</w:p>
<w:p>
<w:pPr><w:pStyle w:val="Normal"/></w:pPr>
<w:r><w:t xml:space="preserve">it, but am projecting myself in fancy into the object thus</w:t></w:r>
</w:p>
<w:p>
<w:pPr><w:pStyle w:val="Normal"/></w:pPr>
<w:r><w:t xml:space="preserve">constructed, feeling for the moment that I am the tree or the</w:t></w:r>
</w:p>
<w:p>
<w:pPr><w:pStyle w:val="Normal"/></w:pPr>
<w:r><w:t xml:space="preserve">steeple.  The process of vivification is carried out as</w:t></w:r>
</w:p>
<w:p>
<w:pPr><w:pStyle w:val="Normal"/></w:pPr>
<w:r><w:t xml:space="preserve">follows.  Lines represent certain movements, and in the</w:t></w:r>
</w:p>
<w:p>
<w:pPr><w:pStyle w:val="Normal"/></w:pPr>
<w:r><w:t xml:space="preserve">aesthetic mood we translate all lines and so all forms back</w:t></w:r>
</w:p>
<w:p>
<w:pPr><w:pStyle w:val="Normal"/></w:pPr>
<w:r><w:t xml:space="preserve">into the corresponding movements, which may be merely imagined</w:t></w:r>
</w:p>
<w:p>
<w:pPr><w:pStyle w:val="Normal"/></w:pPr>
<w:r><w:t xml:space="preserve">(as Lipps himself thinks, or may be realized in part by</w:t></w:r>
</w:p>
<w:p>
<w:pPr><w:pStyle w:val="Normal"/></w:pPr>
<w:r><w:t xml:space="preserve">sensuous elements, viz. motor sensations; which again may</w:t></w:r>
</w:p>
<w:p>
<w:pPr><w:pStyle w:val="Normal"/></w:pPr>
<w:r><w:t xml:space="preserve">be regarded either as concomitants of eye movements, or as</w:t></w:r>
</w:p>
<w:p>
<w:pPr><w:pStyle w:val="Normal"/></w:pPr>
<w:r><w:t xml:space="preserve">arising from an organically connected impulse to move the hand</w:t></w:r>
</w:p>
<w:p>
<w:pPr><w:pStyle w:val="Normal"/></w:pPr>
<w:r><w:t xml:space="preserve">along the lines followed by the eye.27 Thus the columns of</w:t></w:r>
</w:p>
<w:p>
<w:pPr><w:pStyle w:val="Normal"/></w:pPr>
<w:r><w:t xml:space="preserve">a temple represent upward movement, and are apperceived as</w:t></w:r>
</w:p>
<w:p>
<w:pPr><w:pStyle w:val="Normal"/></w:pPr>
<w:r><w:t xml:space="preserve">striving upwards so as to resist the downward pressure of the</w:t></w:r>
</w:p>
<w:p>
<w:pPr><w:pStyle w:val="Normal"/></w:pPr>
<w:r><w:t xml:space="preserve">entablature.  Since movements are the great means of expression</w:t></w:r>
</w:p>
<w:p>
<w:pPr><w:pStyle w:val="Normal"/></w:pPr>
<w:r><w:t xml:space="preserve">in man, this imaginative reading of movement into motionless</w:t></w:r>
</w:p>
<w:p>
<w:pPr><w:pStyle w:val="Normal"/></w:pPr>
<w:r><w:t xml:space="preserve">and even massive and stable forms enables us to endow them</w:t></w:r>
</w:p>
<w:p>
<w:pPr><w:pStyle w:val="Normal"/></w:pPr>
<w:r><w:t xml:space="preserve">with quasi-human feelings.  In looking, for example, at</w:t></w:r>
</w:p>
<w:p>
<w:pPr><w:pStyle w:val="Normal"/></w:pPr>
<w:r><w:t xml:space="preserve">the weighty masses of a building we enter sympathetically</w:t></w:r>
</w:p>
<w:p>
<w:pPr><w:pStyle w:val="Normal"/></w:pPr>
<w:r><w:t xml:space="preserve">into the successful strivings of the supporting structures</w:t></w:r>
</w:p>
<w:p>
<w:pPr><w:pStyle w:val="Normal"/></w:pPr>
<w:r><w:t xml:space="preserve">to resist the downward thrust of gravity in the supported</w:t></w:r>
</w:p>
<w:p>
<w:pPr><w:pStyle w:val="Normal"/></w:pPr>
<w:r><w:t xml:space="preserve">masses.  The theory here briefly indicated28 is interesting</w:t></w:r>
</w:p>
<w:p>
<w:pPr><w:pStyle w:val="Normal"/></w:pPr>
<w:r><w:t xml:space="preserve">as illustrating an attempt from the psychological side to find a</w:t></w:r>
</w:p>
<w:p>
<w:pPr><w:pStyle w:val="Normal"/></w:pPr>
<w:r><w:t xml:space="preserve">scientific support for philosophic idealism or expressionalism.</w:t></w:r>
</w:p>
<w:p>
<w:pPr><w:pStyle w:val="Normal"/></w:pPr>
<w:r><w:t xml:space="preserve">It is already beginning to be recognized in Germany as an</w:t></w:r>
</w:p>
<w:p>
<w:pPr><w:pStyle w:val="Normal"/></w:pPr>
<w:r><w:t xml:space="preserve">exaggeration.  It may be enough to say that as applied to forms</w:t></w:r>
</w:p>
<w:p>
<w:pPr><w:pStyle w:val="Normal"/></w:pPr>
<w:r><w:t xml:space="preserve">generally, including those of sculpture and architecture, the</w:t></w:r>
</w:p>
<w:p>
<w:pPr><w:pStyle w:val="Normal"/></w:pPr>
<w:r><w:t xml:space="preserve">theory is opposed by our ordinary way of speaking, which implies</w:t></w:r>
</w:p>
<w:p>
<w:pPr><w:pStyle w:val="Normal"/></w:pPr>
<w:r><w:t xml:space="preserve">quite another point of view in the aesthetic contemplation</w:t></w:r>
</w:p>
<w:p>
<w:pPr><w:pStyle w:val="Normal"/></w:pPr>
<w:r><w:t xml:space="preserve">of form, namely, that of a spectator external to the object</w:t></w:r>
</w:p>
<w:p>
<w:pPr><w:pStyle w:val="Normal"/></w:pPr>
<w:r><w:t xml:space="preserve">contemplated.  When our eye glides over the beauties of a</w:t></w:r>
</w:p>
<w:p>
<w:pPr><w:pStyle w:val="Normal"/></w:pPr>
<w:r><w:t xml:space="preserve">statue, our imaginative activity so far from transporting us</w:t></w:r>
</w:p>
<w:p>
<w:pPr><w:pStyle w:val="Normal"/></w:pPr>
<w:r><w:t xml:space="preserve">within the object carries us as tactual feelers outside the</w:t></w:r>
</w:p>
<w:p>
<w:pPr><w:pStyle w:val="Normal"/></w:pPr>
<w:r><w:t xml:space="preserve">surface.  Similarly, when we delight in the divided spaces</w:t></w:r>
</w:p>
<w:p>
<w:pPr><w:pStyle w:val="Normal"/></w:pPr>
<w:r><w:t xml:space="preserve">of a Gothic roof, so far from being imaginatively engaged in</w:t></w:r>
</w:p>
<w:p>
<w:pPr><w:pStyle w:val="Normal"/></w:pPr>
<w:r><w:t xml:space="preserve">taking part in the efforts and strains of pillar, arch and</w:t></w:r>
</w:p>
<w:p>
<w:pPr><w:pStyle w:val="Normal"/></w:pPr>
<w:r><w:t xml:space="preserve">the rest, we move in fancy along the pathways defined by the</w:t></w:r>
</w:p>
<w:p>
<w:pPr><w:pStyle w:val="Normal"/></w:pPr>
<w:r><w:t xml:space="preserve">designer, tactually feeling and appreciating each dimension,</w:t></w:r>
</w:p>
<w:p>
<w:pPr><w:pStyle w:val="Normal"/></w:pPr>
<w:r><w:t xml:space="preserve">each detail of form.  The attempt to force a theory fitted</w:t></w:r>
</w:p>
<w:p>
<w:pPr><w:pStyle w:val="Normal"/></w:pPr>
<w:r><w:t xml:space="preserve">for poetry on sculpture and architecture would rob these of</w:t></w:r>
</w:p>
<w:p>
<w:pPr><w:pStyle w:val="Normal"/></w:pPr>
<w:r><w:t xml:space="preserve">their distinctive aesthetic values; in the one case, of the</w:t></w:r>
</w:p>
<w:p>
<w:pPr><w:pStyle w:val="Normal"/></w:pPr>
<w:r><w:t xml:space="preserve">plastic beauty of finely moulded marble surfaces as realized</w:t></w:r>
</w:p>
<w:p>
<w:pPr><w:pStyle w:val="Normal"/></w:pPr>
<w:r><w:t xml:space="preserve">by imaginative excursions of the hand; and in the other</w:t></w:r>
</w:p>
<w:p>
<w:pPr><w:pStyle w:val="Normal"/></w:pPr>
<w:r><w:t xml:space="preserve">case, of the perfect stillness and stability which give</w:t></w:r>
</w:p>
<w:p>
<w:pPr><w:pStyle w:val="Normal"/></w:pPr>
<w:r><w:t xml:space="preserve">to great structures their solemn and quieting aspect.29</w:t></w:r>
</w:p>
<w:p>
<w:pPr><w:pStyle w:val="Normal"/></w:pPr>
<w:r><w:t xml:space="preserve">Aesthetic Illusion.</w:t></w:r>
</w:p>
<w:p>
<w:pPr><w:pStyle w:val="Normal"/></w:pPr>
<w:r><w:t xml:space="preserve">The theory of a vitalizing play of imagination (Einfuhlung)</w:t></w:r>
</w:p>
<w:p>
<w:pPr><w:pStyle w:val="Normal"/></w:pPr>
<w:r><w:t xml:space="preserve">running through all modes of aesthetic contemplation is an</w:t></w:r>
</w:p>
<w:p>
<w:pPr><w:pStyle w:val="Normal"/></w:pPr>
<w:r><w:t xml:space="preserve">exaggeration of the element of illusion which certainly characterizes</w:t></w:r>
</w:p>
<w:p>
<w:pPr><w:pStyle w:val="Normal"/></w:pPr>
<w:r><w:t xml:space="preserve">this contemplation.  As suggested above, by blotting out for</w:t></w:r>
</w:p>
<w:p>
<w:pPr><w:pStyle w:val="Normal"/></w:pPr>
<w:r><w:t xml:space="preserve">the moment the perception of all save that which pleases it</w:t></w:r>
</w:p>
<w:p>
<w:pPr><w:pStyle w:val="Normal"/></w:pPr>
<w:r><w:t xml:space="preserve">substitutes a new for the more solid reality of our practical</w:t></w:r>
</w:p>
<w:p>
<w:pPr><w:pStyle w:val="Normal"/></w:pPr>
<w:r><w:t xml:space="preserve">mood.  Moreover, as a state of perceptual absorption in which</w:t></w:r>
</w:p>
<w:p>
<w:pPr><w:pStyle w:val="Normal"/></w:pPr>
<w:r><w:t xml:space="preserve">one loses consciousness of the ordinary self and its world, it</w:t></w:r>
</w:p>
<w:p>
<w:pPr><w:pStyle w:val="Normal"/></w:pPr>
<w:r><w:t xml:space="preserve">has a certain resemblance to the state of ecstasy and of the</w:t></w:r>
</w:p>
<w:p>
<w:pPr><w:pStyle w:val="Normal"/></w:pPr>
<w:r><w:t xml:space="preserve">hypnotic trance.30 It is favourable to the play-like indulgence</w:t></w:r>
</w:p>
<w:p>
<w:pPr><w:pStyle w:val="Normal"/></w:pPr>
<w:r><w:t xml:space="preserve">in a fanciful transformation of what is seen or heard, which</w:t></w:r>
</w:p>
<w:p>
<w:pPr><w:pStyle w:val="Normal"/></w:pPr>
<w:r><w:t xml:space="preserve">may be described as a ``willing self-deception,&apos;&apos; more or less</w:t></w:r>
</w:p>
<w:p>
<w:pPr><w:pStyle w:val="Normal"/></w:pPr>
<w:r><w:t xml:space="preserve">complete.  Yet as we have seen, something of the real everyday</w:t></w:r>
</w:p>
<w:p>
<w:pPr><w:pStyle w:val="Normal"/></w:pPr>
<w:r><w:t xml:space="preserve">world survives even in our freer aesthetic contemplation of</w:t></w:r>
</w:p>
<w:p>
<w:pPr><w:pStyle w:val="Normal"/></w:pPr>
<w:r><w:t xml:space="preserve">form.  Hence there is much to be said for the idea that</w:t></w:r>
</w:p>
<w:p>
<w:pPr><w:pStyle w:val="Normal"/></w:pPr>
<w:r><w:t xml:space="preserve">we have in aesthetic illusion to do with a kind of double</w:t></w:r>
</w:p>
<w:p>
<w:pPr><w:pStyle w:val="Normal"/></w:pPr>
<w:r><w:t xml:space="preserve">consciousness, a tendency to an illusory acceptance of the</w:t></w:r>
</w:p>
<w:p>
<w:pPr><w:pStyle w:val="Normal"/></w:pPr>
<w:r><w:t xml:space="preserve">product of our fancy as the reality, restrained by a subconscious</w:t></w:r>
</w:p>
<w:p>
<w:pPr><w:pStyle w:val="Normal"/></w:pPr>
<w:r><w:t xml:space="preserve">recognition of the everyday tangible reality behind.31</w:t></w:r>
</w:p>
<w:p>
<w:pPr><w:pStyle w:val="Normal"/></w:pPr>
<w:r><w:t xml:space="preserve">Variations of imaginative activity.</w:t></w:r>
</w:p>
<w:p>
<w:pPr><w:pStyle w:val="Normal"/></w:pPr>
<w:r><w:t xml:space="preserve">It is evident that both in the more confined and in the</w:t></w:r>
</w:p>
<w:p>
<w:pPr><w:pStyle w:val="Normal"/></w:pPr>
<w:r><w:t xml:space="preserve">freer form the element of imaginative activity in aesthetic</w:t></w:r>
</w:p>
<w:p>
<w:pPr><w:pStyle w:val="Normal"/></w:pPr>
<w:r><w:t xml:space="preserve">experience will vary greatly among individuals and among</w:t></w:r>
</w:p>
<w:p>
<w:pPr><w:pStyle w:val="Normal"/></w:pPr>
<w:r><w:t xml:space="preserve">peoples.  Differences in past experience leading to diverse</w:t></w:r>
</w:p>
<w:p>
<w:pPr><w:pStyle w:val="Normal"/></w:pPr>
<w:r><w:t xml:space="preserve">habits of association, as well as in those natural dispositions</w:t></w:r>
</w:p>
<w:p>
<w:pPr><w:pStyle w:val="Normal"/></w:pPr>
<w:r><w:t xml:space="preserve">which prompt one person to prefer motor images, another visual,</w:t></w:r>
</w:p>
<w:p>
<w:pPr><w:pStyle w:val="Normal"/></w:pPr>
<w:r><w:t xml:space="preserve">another audile, will modify the process in this enjoyable</w:t></w:r>
</w:p>
<w:p>
<w:pPr><w:pStyle w:val="Normal"/></w:pPr>
<w:r><w:t xml:space="preserve">enlargement and transformation of what is presented to</w:t></w:r>
</w:p>
<w:p>
<w:pPr><w:pStyle w:val="Normal"/></w:pPr>
<w:r><w:t xml:space="preserve">sense.  It is for aesthetics at once to recognize these</w:t></w:r>
</w:p>
<w:p>
<w:pPr><w:pStyle w:val="Normal"/></w:pPr>
<w:r><w:t xml:space="preserve">variations of imaginative activity and to determine the</w:t></w:r>
</w:p>
<w:p>
<w:pPr><w:pStyle w:val="Normal"/></w:pPr>
<w:r><w:t xml:space="preserve">more common and universal directions which it follows.</w:t></w:r>
</w:p>
<w:p>
<w:pPr><w:pStyle w:val="Normal"/></w:pPr>
<w:r><w:t xml:space="preserve">Form and expression not absolutely distinct.</w:t></w:r>
</w:p>
<w:p>
<w:pPr><w:pStyle w:val="Normal"/></w:pPr>
<w:r><w:t xml:space="preserve">The recent inquiry into our way of contemplating form</w:t></w:r>
</w:p>
<w:p>
<w:pPr><w:pStyle w:val="Normal"/></w:pPr>
<w:r><w:t xml:space="preserve">is, in spite of exaggeration, valuable as showing that our</w:t></w:r>
</w:p>
<w:p>
<w:pPr><w:pStyle w:val="Normal"/></w:pPr>
<w:r><w:t xml:space="preserve">distinctions of form and expression are not absolute.  Just</w:t></w:r>
</w:p>
<w:p>
<w:pPr><w:pStyle w:val="Normal"/></w:pPr>
<w:r><w:t xml:space="preserve">as there is the rudiment of ideal significance in colour, not</w:t></w:r>
</w:p>
<w:p>
<w:pPr><w:pStyle w:val="Normal"/></w:pPr>
<w:r><w:t xml:space="preserve">so form, even in its more abstract and elementary aspects,</w:t></w:r>
</w:p>
<w:p>
<w:pPr><w:pStyle w:val="Normal"/></w:pPr>
<w:r><w:t xml:space="preserve">is not wholly expressionless, but may be be endowed with</w:t></w:r>
</w:p>
<w:p>
<w:pPr><w:pStyle w:val="Normal"/></w:pPr>
<w:r><w:t xml:space="preserve">something of life by the imagination.  The recognition of</w:t></w:r>
</w:p>
<w:p>
<w:pPr><w:pStyle w:val="Normal"/></w:pPr>
<w:r><w:t xml:space="preserve">this truth does not, however, affect the validity of our</w:t></w:r>
</w:p>
<w:p>
<w:pPr><w:pStyle w:val="Normal"/></w:pPr>
<w:r><w:t xml:space="preserve">treating form and expression as two broadly distinguishable</w:t></w:r>
</w:p>
<w:p>
<w:pPr><w:pStyle w:val="Normal"/></w:pPr>
<w:r><w:t xml:space="preserve">factors of aesthetic pleasure.  A line may be pleasing to</w:t></w:r>
</w:p>
<w:p>
<w:pPr><w:pStyle w:val="Normal"/></w:pPr>
<w:r><w:t xml:space="preserve">sense-perception, and in addition illustrate expressional value</w:t></w:r>
</w:p>
<w:p>
<w:pPr><w:pStyle w:val="Normal"/></w:pPr>
<w:r><w:t xml:space="preserve">by suggested ease of movement or pose.  Similarly, a concrete</w:t></w:r>
</w:p>
<w:p>
<w:pPr><w:pStyle w:val="Normal"/></w:pPr>
<w:r><w:t xml:space="preserve">form, e.g. that of a sculptured human figure in repose, or</w:t></w:r>
</w:p>
<w:p>
<w:pPr><w:pStyle w:val="Normal"/></w:pPr>
<w:r><w:t xml:space="preserve">of a graceful birch or fern, owes its aesthetic value to a</w:t></w:r>
</w:p>
<w:p>
<w:pPr><w:pStyle w:val="Normal"/></w:pPr>
<w:r><w:t xml:space="preserve">happy combination of pleasing lines and of interesting ideas.</w:t></w:r>
</w:p>
<w:p>
<w:pPr><w:pStyle w:val="Normal"/></w:pPr>
<w:r><w:t xml:space="preserve">Aesthetic emotion.</w:t></w:r>
</w:p>
<w:p>
<w:pPr><w:pStyle w:val="Normal"/></w:pPr>
<w:r><w:t xml:space="preserve">In close connexion with the determination of the imaginative</w:t></w:r>
</w:p>
<w:p>
<w:pPr><w:pStyle w:val="Normal"/></w:pPr>
<w:r><w:t xml:space="preserve">factor in aesthetic contemplation, the psychologist is</w:t></w:r>
</w:p>
<w:p>
<w:pPr><w:pStyle w:val="Normal"/></w:pPr>
<w:r><w:t xml:space="preserve">called on to define the soecial characteristics of aesthetic</w:t></w:r>
</w:p>
<w:p>
<w:pPr><w:pStyle w:val="Normal"/></w:pPr>
<w:r><w:t xml:space="preserve">emotion.  That our attitude when we watch a beautiful object,</w:t></w:r>
</w:p>
<w:p>
<w:pPr><w:pStyle w:val="Normal"/></w:pPr>
<w:r><w:t xml:space="preserve">say the curl of a breaker as it falls, or some choice piece</w:t></w:r>
</w:p>
<w:p>
<w:pPr><w:pStyle w:val="Normal"/></w:pPr>
<w:r><w:t xml:space="preserve">of sculpture, is an emotional one is certain, and ingenious</w:t></w:r>
</w:p>
<w:p>
<w:pPr><w:pStyle w:val="Normal"/></w:pPr>
<w:r><w:t xml:space="preserve">attempts have been made by Home (Lord Kames) and others to</w:t></w:r>
</w:p>
<w:p>
<w:pPr><w:pStyle w:val="Normal"/></w:pPr>
<w:r><w:t xml:space="preserve">equip the emotion with a full accompaniment of corporeal</w:t></w:r>
</w:p>
<w:p>
<w:pPr><w:pStyle w:val="Normal"/></w:pPr>
<w:r><w:t xml:space="preserve">activity, such as heightened respiratory activity.32 Yet</w:t></w:r>
</w:p>
<w:p>
<w:pPr><w:pStyle w:val="Normal"/></w:pPr>
<w:r><w:t xml:space="preserve">aesthetic emotion is to be contrasted with the more violent</w:t></w:r>
</w:p>
<w:p>
<w:pPr><w:pStyle w:val="Normal"/></w:pPr>
<w:r><w:t xml:space="preserve">and passionate state of love and other emotions, and this</w:t></w:r>
</w:p>
<w:p>
<w:pPr><w:pStyle w:val="Normal"/></w:pPr>
<w:r><w:t xml:space="preserve">difference calls for further investigation.  A closer inquiry</w:t></w:r>
</w:p>
<w:p>
<w:pPr><w:pStyle w:val="Normal"/></w:pPr>
<w:r><w:t xml:space="preserve">into the features of that calm yet intense emotion which a</w:t></w:r>
</w:p>
<w:p>
<w:pPr><w:pStyle w:val="Normal"/></w:pPr>
<w:r><w:t xml:space="preserve">rapt state of aesthetic contemplation induces is a necessary</w:t></w:r>
</w:p>
<w:p>
<w:pPr><w:pStyle w:val="Normal"/></w:pPr>
<w:r><w:t xml:space="preserve">preliminary to a scientific demarcation of the sphere of</w:t></w:r>
</w:p>
<w:p>
<w:pPr><w:pStyle w:val="Normal"/></w:pPr>
<w:r><w:t xml:space="preserve">beauty in the narrow or more exclusive sense, from that</w:t></w:r>
</w:p>
<w:p>
<w:pPr><w:pStyle w:val="Normal"/></w:pPr>
<w:r><w:t xml:space="preserve">of the sublime, the tragic and the comic.  Each of these</w:t></w:r>
</w:p>
<w:p>
<w:pPr><w:pStyle w:val="Normal"/></w:pPr>
<w:r><w:t xml:space="preserve">departments of aesthetic experience has well-marked emotional</w:t></w:r>
</w:p>
<w:p>
<w:pPr><w:pStyle w:val="Normal"/></w:pPr>
<w:r><w:t xml:space="preserve">characteristics; and the definition of these ``modifications</w:t></w:r>
</w:p>
<w:p>
<w:pPr><w:pStyle w:val="Normal"/></w:pPr>
<w:r><w:t xml:space="preserve">of the beautiful&apos;&apos; has in the main been reached through an</w:t></w:r>
</w:p>
<w:p>
<w:pPr><w:pStyle w:val="Normal"/></w:pPr>
<w:r><w:t xml:space="preserve">analysis of the emotional states involved.  This chapter in</w:t></w:r>
</w:p>
<w:p>
<w:pPr><w:pStyle w:val="Normal"/></w:pPr>
<w:r><w:t xml:space="preserve">the psychological treatment of aesthetic experience has to</w:t></w:r>
</w:p>
<w:p>
<w:pPr><w:pStyle w:val="Normal"/></w:pPr>
<w:r><w:t xml:space="preserve">consider two points which have occupied a prominent place</w:t></w:r>
</w:p>
<w:p>
<w:pPr><w:pStyle w:val="Normal"/></w:pPr>
<w:r><w:t xml:space="preserve">in aesthetic theory.  The first is the nature of ``revived&apos;&apos;</w:t></w:r>
</w:p>
<w:p>
<w:pPr><w:pStyle w:val="Normal"/></w:pPr>
<w:r><w:t xml:space="preserve">or ``ideal&apos;&apos; emotion, such as is illustrated in the feeling</w:t></w:r>
</w:p>
<w:p>
<w:pPr><w:pStyle w:val="Normal"/></w:pPr>
<w:r><w:t xml:space="preserve">excited sympathetically when we witness or hear of another&apos;s</w:t></w:r>
</w:p>
<w:p>
<w:pPr><w:pStyle w:val="Normal"/></w:pPr>
<w:r><w:t xml:space="preserve">sorrow or joy.  The second point is the nature of those</w:t></w:r>
</w:p>
<w:p>
<w:pPr><w:pStyle w:val="Normal"/></w:pPr>
<w:r><w:t xml:space="preserve">mixed emotional states which are illustrated in our aesthetic</w:t></w:r>
</w:p>
<w:p>
<w:pPr><w:pStyle w:val="Normal"/></w:pPr>
<w:r><w:t xml:space="preserve">enjoyment of the sublime and the other ``modifications,&apos;&apos;</w:t></w:r>
</w:p>
<w:p>
<w:pPr><w:pStyle w:val="Normal"/></w:pPr>
<w:r><w:t xml:space="preserve">in all of which we can recognize a kind of double emotional</w:t></w:r>
</w:p>
<w:p>
<w:pPr><w:pStyle w:val="Normal"/></w:pPr>
<w:r><w:t xml:space="preserve">consciousness in which painful elements accompany and modify</w:t></w:r>
</w:p>
<w:p>
<w:pPr><w:pStyle w:val="Normal"/></w:pPr>
<w:r><w:t xml:space="preserve">pleasurable ones, in such a manner that in the end the</w:t></w:r>
</w:p>
<w:p>
<w:pPr><w:pStyle w:val="Normal"/></w:pPr>
<w:r><w:t xml:space="preserve">latter appear to be rather strengthened than weakened.33</w:t></w:r>
</w:p>
<w:p>
<w:pPr><w:pStyle w:val="Normal"/></w:pPr>
<w:r><w:t xml:space="preserve">Limits of analysis in aesthetics.</w:t></w:r>
</w:p>
<w:p>
<w:pPr><w:pStyle w:val="Normal"/></w:pPr>
<w:r><w:t xml:space="preserve">The psychological treatment of aesthetic data here sketched</w:t></w:r>
</w:p>
<w:p>
<w:pPr><w:pStyle w:val="Normal"/></w:pPr>
<w:r><w:t xml:space="preserve">out cannot stop at an analysis of the aesthetic state or</w:t></w:r>
</w:p>
<w:p>
<w:pPr><w:pStyle w:val="Normal"/></w:pPr>
<w:r><w:t xml:space="preserve">attitude into a number of recoenizable elements each of which</w:t></w:r>
</w:p>
<w:p>
<w:pPr><w:pStyle w:val="Normal"/></w:pPr>
<w:r><w:t xml:space="preserve">contributes its own quantum of pleasurableness.  Our enjoyment</w:t></w:r>
</w:p>
<w:p>
<w:pPr><w:pStyle w:val="Normal"/></w:pPr>
<w:r><w:t xml:space="preserve">in contemplating, say, a green alp set above dark crags, is an</w:t></w:r>
</w:p>
<w:p>
<w:pPr><w:pStyle w:val="Normal"/></w:pPr>
<w:r><w:t xml:space="preserve">indivisible whole.  And it is a consciousness of this fact which</w:t></w:r>
</w:p>
<w:p>
<w:pPr><w:pStyle w:val="Normal"/></w:pPr>
<w:r><w:t xml:space="preserve">makes men disposed to resent the dissection of their aesthetic</w:t></w:r>
</w:p>
<w:p>
<w:pPr><w:pStyle w:val="Normal"/></w:pPr>
<w:r><w:t xml:space="preserve">enjoyment into a number of constituent pleasures.  Nor is this</w:t></w:r>
</w:p>
<w:p>
<w:pPr><w:pStyle w:val="Normal"/></w:pPr>
<w:r><w:t xml:space="preserve">all.  Every aesthetic object is something unique, differing in</w:t></w:r>
</w:p>
<w:p>
<w:pPr><w:pStyle w:val="Normal"/></w:pPr>
<w:r><w:t xml:space="preserve">individual characteristics from all others; and as the object,</w:t></w:r>
</w:p>
<w:p>
<w:pPr><w:pStyle w:val="Normal"/></w:pPr>
<w:r><w:t xml:space="preserve">so the mood of the contemplator.  One may almost say that</w:t></w:r>
</w:p>
<w:p>
<w:pPr><w:pStyle w:val="Normal"/></w:pPr>
<w:r><w:t xml:space="preserve">there are as many modes of musical delight as there are worthy</w:t></w:r>
</w:p>
<w:p>
<w:pPr><w:pStyle w:val="Normal"/></w:pPr>
<w:r><w:t xml:space="preserve">compositions.  It would seem either that this feeling of a</w:t></w:r>
</w:p>
<w:p>
<w:pPr><w:pStyle w:val="Normal"/></w:pPr>
<w:r><w:t xml:space="preserve">unique indivisible whole must be dismissed as an illusion, or</w:t></w:r>
</w:p>
<w:p>
<w:pPr><w:pStyle w:val="Normal"/></w:pPr>
<w:r><w:t xml:space="preserve">that we have to admit an unexplained residue in our aesthetic</w:t></w:r>
</w:p>
<w:p>
<w:pPr><w:pStyle w:val="Normal"/></w:pPr>
<w:r><w:t xml:space="preserve">experience, which may some day be explained by help of a</w:t></w:r>
</w:p>
<w:p>
<w:pPr><w:pStyle w:val="Normal"/></w:pPr>
<w:r><w:t xml:space="preserve">larger and more exact conception of aesthetic harmony, of the</w:t></w:r>
</w:p>
<w:p>
<w:pPr><w:pStyle w:val="Normal"/></w:pPr>
<w:r><w:t xml:space="preserve">laws of interaction and of fusion of psychical elements.34</w:t></w:r>
</w:p>
<w:p>
<w:pPr><w:pStyle w:val="Normal"/></w:pPr>
<w:r><w:t xml:space="preserve">Construction of aesthetic norms.</w:t></w:r>
</w:p>
<w:p>
<w:pPr><w:pStyle w:val="Normal"/></w:pPr>
<w:r><w:t xml:space="preserve">We may now glance at the ideal purpose of this scientific</w:t></w:r>
</w:p>
<w:p>
<w:pPr><w:pStyle w:val="Normal"/></w:pPr>
<w:r><w:t xml:space="preserve">analysis and interpretation, namely, the construction of</w:t></w:r>
</w:p>
<w:p>
<w:pPr><w:pStyle w:val="Normal"/></w:pPr>
<w:r><w:t xml:space="preserve">norms or regulative principles corresponding to the severally</w:t></w:r>
</w:p>
<w:p>
<w:pPr><w:pStyle w:val="Normal"/></w:pPr>
<w:r><w:t xml:space="preserve">essential elements of aesthetic value ascertained.  The</w:t></w:r>
</w:p>
<w:p>
<w:pPr><w:pStyle w:val="Normal"/></w:pPr>
<w:r><w:t xml:space="preserve">later psychological treatment of the subject has led up to</w:t></w:r>
</w:p>
<w:p>
<w:pPr><w:pStyle w:val="Normal"/></w:pPr>
<w:r><w:t xml:space="preserve">the formulation of certain ideal requirements in beautiful</w:t></w:r>
</w:p>
<w:p>
<w:pPr><w:pStyle w:val="Normal"/></w:pPr>
<w:r><w:t xml:space="preserve">objects.  The work of Fechner in this direction (Vorschule</w:t></w:r>
</w:p>
<w:p>
<w:pPr><w:pStyle w:val="Normal"/></w:pPr>
<w:r><w:t xml:space="preserve">der Asthetik) was a noteworthy contribution to this kind of</w:t></w:r>
</w:p>
<w:p>
<w:pPr><w:pStyle w:val="Normal"/></w:pPr>
<w:r><w:t xml:space="preserve">construction, at once scientific and directed to the construction</w:t></w:r>
</w:p>
<w:p>
<w:pPr><w:pStyle w:val="Normal"/></w:pPr>
<w:r><w:t xml:space="preserve">of ideal demands, and is still a model for workers in the same</w:t></w:r>
</w:p>
<w:p>
<w:pPr><w:pStyle w:val="Normal"/></w:pPr>
<w:r><w:t xml:space="preserve">field.  He has taught us how the attempt to formulate one</w:t></w:r>
</w:p>
<w:p>
<w:pPr><w:pStyle w:val="Normal"/></w:pPr>
<w:r><w:t xml:space="preserve">all-comprehensive principle--e.g. unity in variety, has</w:t></w:r>
</w:p>
<w:p>
<w:pPr><w:pStyle w:val="Normal"/></w:pPr>
<w:r><w:t xml:space="preserve">led to a barren abstractedness, and that we need in its</w:t></w:r>
</w:p>
<w:p>
<w:pPr><w:pStyle w:val="Normal"/></w:pPr>
<w:r><w:t xml:space="preserve">place a number of more concrete principles.  In formulating</w:t></w:r>
</w:p>
<w:p>
<w:pPr><w:pStyle w:val="Normal"/></w:pPr>
<w:r><w:t xml:space="preserve">these principles care must be taken to determine their</w:t></w:r>
</w:p>
<w:p>
<w:pPr><w:pStyle w:val="Normal"/></w:pPr>
<w:r><w:t xml:space="preserve">respective scopes and their mutual relations---to decide, for</w:t></w:r>
</w:p>
<w:p>
<w:pPr><w:pStyle w:val="Normal"/></w:pPr>
<w:r><w:t xml:space="preserve">example, whether expression, to which our modern feeling</w:t></w:r>
</w:p>
<w:p>
<w:pPr><w:pStyle w:val="Normal"/></w:pPr>
<w:r><w:t xml:space="preserve">undoubtedly ascribes a high value, is a universal demand in</w:t></w:r>
</w:p>
<w:p>
<w:pPr><w:pStyle w:val="Normal"/></w:pPr>
<w:r><w:t xml:space="preserve">the same sense as unity or harmony of parts is admitted to</w:t></w:r>
</w:p>
<w:p>
<w:pPr><w:pStyle w:val="Normal"/></w:pPr>
<w:r><w:t xml:space="preserve">be.  A system of norms must further supply some comprehensive</w:t></w:r>
</w:p>
<w:p>
<w:pPr><w:pStyle w:val="Normal"/></w:pPr>
<w:r><w:t xml:space="preserve">criterion by help of which degrees of aesthetic value may be</w:t></w:r>
</w:p>
<w:p>
<w:pPr><w:pStyle w:val="Normal"/></w:pPr>
<w:r><w:t xml:space="preserve">determined, as determined by the degrees of completeness of</w:t></w:r>
</w:p>
<w:p>
<w:pPr><w:pStyle w:val="Normal"/></w:pPr>
<w:r><w:t xml:space="preserve">the several pleasurable activities, --sensuous, perceptual</w:t></w:r>
</w:p>
<w:p>
<w:pPr><w:pStyle w:val="Normal"/></w:pPr>
<w:r><w:t xml:space="preserve">and imaginative,--and justify the form of judgment ``this</w:t></w:r>
</w:p>
<w:p>
<w:pPr><w:pStyle w:val="Normal"/></w:pPr>
<w:r><w:t xml:space="preserve">object is more beautiful (or of a higher kind of beauty) than</w:t></w:r>
</w:p>
<w:p>
<w:pPr><w:pStyle w:val="Normal"/></w:pPr>
<w:r><w:t xml:space="preserve">that.&apos;&apos; Such regulative principles and standards of comparison</w:t></w:r>
</w:p>
<w:p>
<w:pPr><w:pStyle w:val="Normal"/></w:pPr>
<w:r><w:t xml:space="preserve">will, it is clear, fail us just at the point where analysis</w:t></w:r>
</w:p>
<w:p>
<w:pPr><w:pStyle w:val="Normal"/></w:pPr>
<w:r><w:t xml:space="preserve">stops.  Edmund Gurney urges that an aesthetic principle such</w:t></w:r>
</w:p>
<w:p>
<w:pPr><w:pStyle w:val="Normal"/></w:pPr>
<w:r><w:t xml:space="preserve">as unity in variety is complied with equally well by musical</w:t></w:r>
</w:p>
<w:p>
<w:pPr><w:pStyle w:val="Normal"/></w:pPr>
<w:r><w:t xml:space="preserve">compositions which are commonplace and leave us cold and by</w:t></w:r>
</w:p>
<w:p>
<w:pPr><w:pStyle w:val="Normal"/></w:pPr>
<w:r><w:t xml:space="preserve">those which evoke the full thrill of aesthetic delight, and</w:t></w:r>
</w:p>
<w:p>
<w:pPr><w:pStyle w:val="Normal"/></w:pPr>
<w:r><w:t xml:space="preserve">he concludes that the special beauty of form in the latter</w:t></w:r>
</w:p>
<w:p>
<w:pPr><w:pStyle w:val="Normal"/></w:pPr>
<w:r><w:t xml:space="preserve">instance is appreciated by a kind of intuition which cannot</w:t></w:r>
</w:p>
<w:p>
<w:pPr><w:pStyle w:val="Normal"/></w:pPr>
<w:r><w:t xml:space="preserve">be analysed (see The Power of sound, ix.).  The argument</w:t></w:r>
</w:p>
<w:p>
<w:pPr><w:pStyle w:val="Normal"/></w:pPr>
<w:r><w:t xml:space="preserve">is hard to combat.  It would seem that after all our efforts</w:t></w:r>
</w:p>
<w:p>
<w:pPr><w:pStyle w:val="Normal"/></w:pPr>
<w:r><w:t xml:space="preserve">to define aesthetic qualities and enumerate corresponding</w:t></w:r>
</w:p>
<w:p>
<w:pPr><w:pStyle w:val="Normal"/></w:pPr>
<w:r><w:t xml:space="preserve">ideal requirements we are left with an unexplained remainder.</w:t></w:r>
</w:p>
<w:p>
<w:pPr><w:pStyle w:val="Normal"/></w:pPr>
<w:r><w:t xml:space="preserve">This can only be tentatively defined as the concrete object</w:t></w:r>
</w:p>
<w:p>
<w:pPr><w:pStyle w:val="Normal"/></w:pPr>
<w:r><w:t xml:space="preserve">itself in its wholeness, which is not only a perfectly</w:t></w:r>
</w:p>
<w:p>
<w:pPr><w:pStyle w:val="Normal"/></w:pPr>
<w:r><w:t xml:space="preserve">harmonized combination of sensuous, formal and expressional</w:t></w:r>
</w:p>
<w:p>
<w:pPr><w:pStyle w:val="Normal"/></w:pPr>
<w:r><w:t xml:space="preserve">values, but impresses us as something which has a fresh</w:t></w:r>
</w:p>
<w:p>
<w:pPr><w:pStyle w:val="Normal"/></w:pPr>
<w:r><w:t xml:space="preserve">individuality and the distinction of aesthetic excellence.</w:t></w:r>
</w:p>
<w:p>
<w:pPr><w:pStyle w:val="Normal"/></w:pPr>
<w:r><w:t xml:space="preserve">Connexion between aesthetic and other</w:t></w:r>
</w:p>
<w:p>
<w:pPr><w:pStyle w:val="Normal"/></w:pPr>
<w:r><w:t xml:space="preserve">experience: (a) with intellectual interests.</w:t></w:r>
</w:p>
<w:p>
<w:pPr><w:pStyle w:val="Normal"/></w:pPr>
<w:r><w:t xml:space="preserve">Aesthetics is wont to treat of a certain kind of experience</w:t></w:r>
</w:p>
<w:p>
<w:pPr><w:pStyle w:val="Normal"/></w:pPr>
<w:r><w:t xml:space="preserve">as if it were a closed compartment.  Yet there is in reality</w:t></w:r>
</w:p>
<w:p>
<w:pPr><w:pStyle w:val="Normal"/></w:pPr>
<w:r><w:t xml:space="preserve">no such perfect seclusion.  Our enjoyment of beauty, though</w:t></w:r>
</w:p>
<w:p>
<w:pPr><w:pStyle w:val="Normal"/></w:pPr>
<w:r><w:t xml:space="preserve">to be distinguished from our intellectual and our practical</w:t></w:r>
</w:p>
<w:p>
<w:pPr><w:pStyle w:val="Normal"/></w:pPr>
<w:r><w:t xml:space="preserve">interests, touches and interacts with these.  With regard</w:t></w:r>
</w:p>
<w:p>
<w:pPr><w:pStyle w:val="Normal"/></w:pPr>
<w:r><w:t xml:space="preserve">to intellectual interests it is clear that much of the</w:t></w:r>
</w:p>
<w:p>
<w:pPr><w:pStyle w:val="Normal"/></w:pPr>
<w:r><w:t xml:space="preserve">mental activity which enters into our aesthetic enjoyment</w:t></w:r>
</w:p>
<w:p>
<w:pPr><w:pStyle w:val="Normal"/></w:pPr>
<w:r><w:t xml:space="preserve">is intellectual--e.g. in the perception of the relations</w:t></w:r>
</w:p>
<w:p>
<w:pPr><w:pStyle w:val="Normal"/></w:pPr>
<w:r><w:t xml:space="preserve">of form. even though it stood short of the abstract analysis</w:t></w:r>
</w:p>
<w:p>
<w:pPr><w:pStyle w:val="Normal"/></w:pPr>
<w:r><w:t xml:space="preserve">of scientific observation.  Again, in appreciating beauty</w:t></w:r>
</w:p>
<w:p>
<w:pPr><w:pStyle w:val="Normal"/></w:pPr>
<w:r><w:t xml:space="preserve">of type which involves according to Taine a recognition of</w:t></w:r>
</w:p>
<w:p>
<w:pPr><w:pStyle w:val="Normal"/></w:pPr>
<w:r><w:t xml:space="preserve">the most important characters of the species, we are, it is</w:t></w:r>
</w:p>
<w:p>
<w:pPr><w:pStyle w:val="Normal"/></w:pPr>
<w:r><w:t xml:space="preserve">evident, close to the scientific point of view.  Similarly,</w:t></w:r>
</w:p>
<w:p>
<w:pPr><w:pStyle w:val="Normal"/></w:pPr>
<w:r><w:t xml:space="preserve">when scientific knowledge enables us in the mood of aesthetic</w:t></w:r>
</w:p>
<w:p>
<w:pPr><w:pStyle w:val="Normal"/></w:pPr>
<w:r><w:t xml:space="preserve">contemplation to retrace imaginatively the mode of formation</w:t></w:r>
</w:p>
<w:p>
<w:pPr><w:pStyle w:val="Normal"/></w:pPr>
<w:r><w:t xml:space="preserve">of a cloud or a mountain form, or the mode in which a</w:t></w:r>
</w:p>
<w:p>
<w:pPr><w:pStyle w:val="Normal"/></w:pPr>
<w:r><w:t xml:space="preserve">climbing plant finds its way upwards.  It is for aesthetics to</w:t></w:r>
</w:p>
<w:p>
<w:pPr><w:pStyle w:val="Normal"/></w:pPr>
<w:r><w:t xml:space="preserve">recognize the fact, and to discriminate a legitimate aesthetic</w:t></w:r>
</w:p>
<w:p>
<w:pPr><w:pStyle w:val="Normal"/></w:pPr>
<w:r><w:t xml:space="preserve">function of scientific ideas when they enlarge the scope of</w:t></w:r>
</w:p>
<w:p>
<w:pPr><w:pStyle w:val="Normal"/></w:pPr>
<w:r><w:t xml:space="preserve">a pleasurable play of the imagination, and are freed from</w:t></w:r>
</w:p>
<w:p>
<w:pPr><w:pStyle w:val="Normal"/></w:pPr>
<w:r><w:t xml:space="preserve">the control of a serious purpose of explaining what is seen.</w:t></w:r>
</w:p>
<w:p>
<w:pPr><w:pStyle w:val="Normal"/></w:pPr>
<w:r><w:t xml:space="preserve">(b) with practical interests.</w:t></w:r>
</w:p>
<w:p>
<w:pPr><w:pStyle w:val="Normal"/></w:pPr>
<w:r><w:t xml:space="preserve">A similar remark applies to the contacts of our aesthetic with</w:t></w:r>
</w:p>
<w:p>
<w:pPr><w:pStyle w:val="Normal"/></w:pPr>
<w:r><w:t xml:space="preserve">our practical interests.  While as dominant factors the latter</w:t></w:r>
</w:p>
<w:p>
<w:pPr><w:pStyle w:val="Normal"/></w:pPr>
<w:r><w:t xml:space="preserve">influence our feeling for beauty in an indirect and subordinate</w:t></w:r>
</w:p>
<w:p>
<w:pPr><w:pStyle w:val="Normal"/></w:pPr>
<w:r><w:t xml:space="preserve">way.  This is recognized by those (e.g. Home) who insist</w:t></w:r>
</w:p>
<w:p>
<w:pPr><w:pStyle w:val="Normal"/></w:pPr>
<w:r><w:t xml:space="preserve">on a particular kind of aesthetic value under the name of</w:t></w:r>
</w:p>
<w:p>
<w:pPr><w:pStyle w:val="Normal"/></w:pPr>
<w:r><w:t xml:space="preserve">relative beauty, or the pleasing aspect of fitness for a</w:t></w:r>
</w:p>
<w:p>
<w:pPr><w:pStyle w:val="Normal"/></w:pPr>
<w:r><w:t xml:space="preserve">purpose.  If a drinking-vessel please in part because of</w:t></w:r>
</w:p>
<w:p>
<w:pPr><w:pStyle w:val="Normal"/></w:pPr>
<w:r><w:t xml:space="preserve">its perfect adaptation to its purpose, the aesthetic value</w:t></w:r>
</w:p>
<w:p>
<w:pPr><w:pStyle w:val="Normal"/></w:pPr>
<w:r><w:t xml:space="preserve">ascribed to it seems to derive something from a feeling of</w:t></w:r>
</w:p>
<w:p>
<w:pPr><w:pStyle w:val="Normal"/></w:pPr>
<w:r><w:t xml:space="preserve">respect for utility itself.  In another way beauty reasserts</w:t></w:r>
</w:p>
<w:p>
<w:pPr><w:pStyle w:val="Normal"/></w:pPr>
<w:r><w:t xml:space="preserve">in modern aesthetics that kinship with utility on which it</w:t></w:r>
</w:p>
<w:p>
<w:pPr><w:pStyle w:val="Normal"/></w:pPr>
<w:r><w:t xml:space="preserve">insisted in the days of Socrates.  The idea that typical</w:t></w:r>
</w:p>
<w:p>
<w:pPr><w:pStyle w:val="Normal"/></w:pPr>
<w:r><w:t xml:space="preserve">beauty coincides with what is vigorous and conducive to</w:t></w:r>
</w:p>
<w:p>
<w:pPr><w:pStyle w:val="Normal"/></w:pPr>
<w:r><w:t xml:space="preserve">the conservation of the species is as old as Hobbes.35</w:t></w:r>
</w:p>
<w:p>
<w:pPr><w:pStyle w:val="Normal"/></w:pPr>
<w:r><w:t xml:space="preserve">Biological treatment of beauty.</w:t></w:r>
</w:p>
<w:p>
<w:pPr><w:pStyle w:val="Normal"/></w:pPr>
<w:r><w:t xml:space="preserve">Darwin and his followers have developed the biological</w:t></w:r>
</w:p>
<w:p>
<w:pPr><w:pStyle w:val="Normal"/></w:pPr>
<w:r><w:t xml:space="preserve">conception that sexual selection tends to develop aesthetic</w:t></w:r>
</w:p>
<w:p>
<w:pPr><w:pStyle w:val="Normal"/></w:pPr>
<w:r><w:t xml:space="preserve">preferences along lines which correspond to what subserves</w:t></w:r>
</w:p>
<w:p>
<w:pPr><w:pStyle w:val="Normal"/></w:pPr>
<w:r><w:t xml:space="preserve">the maintenance of the species or tribe.  Recent writers have</w:t></w:r>
</w:p>
<w:p>
<w:pPr><w:pStyle w:val="Normal"/></w:pPr>
<w:r><w:t xml:space="preserve">shown how the rude germs of aesthetic activity in primitive</w:t></w:r>
</w:p>
<w:p>
<w:pPr><w:pStyle w:val="Normal"/></w:pPr>
<w:r><w:t xml:space="preserve">types of community would subserve necessary tribal ends--e.g.</w:t></w:r>
</w:p>
<w:p>
<w:pPr><w:pStyle w:val="Normal"/></w:pPr>
<w:r><w:t xml:space="preserve">musical rhythm by exercising members of the tribe in concerted</w:t></w:r>
</w:p>
<w:p>
<w:pPr><w:pStyle w:val="Normal"/></w:pPr>
<w:r><w:t xml:space="preserve">war-like action.36 Yet these interesting speculations have</w:t></w:r>
</w:p>
<w:p>
<w:pPr><w:pStyle w:val="Normal"/></w:pPr>
<w:r><w:t xml:space="preserve">to do rather with the earlier stages of the evolution of the</w:t></w:r>
</w:p>
<w:p>
<w:pPr><w:pStyle w:val="Normal"/></w:pPr>
<w:r><w:t xml:space="preserve">aesthetic faculty than with its functions in the higher stages.</w:t></w:r>
</w:p>
<w:p>
<w:pPr><w:pStyle w:val="Normal"/></w:pPr>
<w:r><w:t xml:space="preserve">Aesthetics and ethics.</w:t></w:r>
</w:p>
<w:p>
<w:pPr><w:pStyle w:val="Normal"/></w:pPr>
<w:r><w:t xml:space="preserve">An idea of a social utility in aesthetic experience which does</w:t></w:r>
</w:p>
<w:p>
<w:pPr><w:pStyle w:val="Normal"/></w:pPr>
<w:r><w:t xml:space="preserve">demand the attention of the theorist is that the culture of</w:t></w:r>
</w:p>
<w:p>
<w:pPr><w:pStyle w:val="Normal"/></w:pPr>
<w:r><w:t xml:space="preserve">beauty and art has a socializing influence, helping to give</w:t></w:r>
</w:p>
<w:p>
<w:pPr><w:pStyle w:val="Normal"/></w:pPr>
<w:r><w:t xml:space="preserve">to our emotional experience new forms of expression whereby</w:t></w:r>
</w:p>
<w:p>
<w:pPr><w:pStyle w:val="Normal"/></w:pPr>
<w:r><w:t xml:space="preserve">our sympathies are deepened and enlarged.37 The further</w:t></w:r>
</w:p>
<w:p>
<w:pPr><w:pStyle w:val="Normal"/></w:pPr>
<w:r><w:t xml:space="preserve">elucidation of this element of humanizing influence in aesthetic</w:t></w:r>
</w:p>
<w:p>
<w:pPr><w:pStyle w:val="Normal"/></w:pPr>
<w:r><w:t xml:space="preserve">enjoyment may be expected to throw new light on the question,</w:t></w:r>
</w:p>
<w:p>
<w:pPr><w:pStyle w:val="Normal"/></w:pPr>
<w:r><w:t xml:space="preserve">much discussed throughout the history of aesthetics, of the</w:t></w:r>
</w:p>
<w:p>
<w:pPr><w:pStyle w:val="Normal"/></w:pPr>
<w:r><w:t xml:space="preserve">relation of the science to ethics, by showing that they have a</w:t></w:r>
</w:p>
<w:p>
<w:pPr><w:pStyle w:val="Normal"/></w:pPr>
<w:r><w:t xml:space="preserve">common root in our sympathetic nature and interest in humanity.</w:t></w:r>
</w:p>
<w:p>
<w:pPr><w:pStyle w:val="Normal"/></w:pPr>
<w:r><w:t xml:space="preserve">Aesthetic theory and problems of art.</w:t></w:r>
</w:p>
<w:p>
<w:pPr><w:pStyle w:val="Normal"/></w:pPr>
<w:r><w:t xml:space="preserve">In order to complete the outline of aesthetic theory we need</w:t></w:r>
</w:p>
<w:p>
<w:pPr><w:pStyle w:val="Normal"/></w:pPr>
<w:r><w:t xml:space="preserve">to glance at the relation of general aesthetics to the special</w:t></w:r>
</w:p>
<w:p>
<w:pPr><w:pStyle w:val="Normal"/></w:pPr>
<w:r><w:t xml:space="preserve">problems of Fine Art. It is evident that the definition of the</w:t></w:r>
</w:p>
<w:p>
<w:pPr><w:pStyle w:val="Normal"/></w:pPr>
<w:r><w:t xml:space="preserve">aims and methods of art, both as a whole and in its several</w:t></w:r>
</w:p>
<w:p>
<w:pPr><w:pStyle w:val="Normal"/></w:pPr>
<w:r><w:t xml:space="preserve">forms, involving as it does special technical knowledge, may</w:t></w:r>
</w:p>
<w:p>
<w:pPr><w:pStyle w:val="Normal"/></w:pPr>
<w:r><w:t xml:space="preserve">with advantage be treated apart from a general theory. (See</w:t></w:r>
</w:p>
<w:p>
<w:pPr><w:pStyle w:val="Normal"/></w:pPr>
<w:r><w:t xml:space="preserve">FINE ARTS.) At the same time the study of art raises larger</w:t></w:r>
</w:p>
<w:p>
<w:pPr><w:pStyle w:val="Normal"/></w:pPr>
<w:r><w:t xml:space="preserve">problems which require to be dealt with to some extent by this</w:t></w:r>
</w:p>
<w:p>
<w:pPr><w:pStyle w:val="Normal"/></w:pPr>
<w:r><w:t xml:space="preserve">theory.  We may instance the group of problems which have</w:t></w:r>
</w:p>
<w:p>
<w:pPr><w:pStyle w:val="Normal"/></w:pPr>
<w:r><w:t xml:space="preserve">to do with the relation of art to ``beauty&apos;&apos; in its narrower</w:t></w:r>
</w:p>
<w:p>
<w:pPr><w:pStyle w:val="Normal"/></w:pPr>
<w:r><w:t xml:space="preserve">sense, such as the function of the painful and of the ugly in</w:t></w:r>
</w:p>
<w:p>
<w:pPr><w:pStyle w:val="Normal"/></w:pPr>
<w:r><w:t xml:space="preserve">art, the meaning of artistic imitation and truth to nature,</w:t></w:r>
</w:p>
<w:p>
<w:pPr><w:pStyle w:val="Normal"/></w:pPr>
<w:r><w:t xml:space="preserve">of idealization, and the nature of artistic illusion; also</w:t></w:r>
</w:p>
<w:p>
<w:pPr><w:pStyle w:val="Normal"/></w:pPr>
<w:r><w:t xml:space="preserve">the question of the didactic and of the moral function of</w:t></w:r>
</w:p>
<w:p>
<w:pPr><w:pStyle w:val="Normal"/></w:pPr>
<w:r><w:t xml:space="preserve">art.  Even more special problems of art, such as the effect</w:t></w:r>
</w:p>
<w:p>
<w:pPr><w:pStyle w:val="Normal"/></w:pPr>
<w:r><w:t xml:space="preserve">of the tragic, the nature of musical expression, can only be</w:t></w:r>
</w:p>
<w:p>
<w:pPr><w:pStyle w:val="Normal"/></w:pPr>
<w:r><w:t xml:space="preserve">adequately treated in the light of a general aesthetic theory.</w:t></w:r>
</w:p>
<w:p>
<w:pPr><w:pStyle w:val="Normal"/></w:pPr>
<w:r><w:t xml:space="preserve">In conclusion, it may be pointed out that the psychological</w:t></w:r>
</w:p>
<w:p>
<w:pPr><w:pStyle w:val="Normal"/></w:pPr>
<w:r><w:t xml:space="preserve">theorist has of late been busy in an outlying region of</w:t></w:r>
</w:p>
<w:p>
<w:pPr><w:pStyle w:val="Normal"/></w:pPr>
<w:r><w:t xml:space="preserve">art-lore, inquiring into the nature of the artistic impulse and</w:t></w:r>
</w:p>
<w:p>
<w:pPr><w:pStyle w:val="Normal"/></w:pPr>
<w:r><w:t xml:space="preserve">temperament, and into the processes of imaginative creation.</w:t></w:r>
</w:p>
<w:p>
<w:pPr><w:pStyle w:val="Normal"/></w:pPr>
<w:r><w:t xml:space="preserve">These inquiries have been carried out to some extent in connexion</w:t></w:r>
</w:p>
<w:p>
<w:pPr><w:pStyle w:val="Normal"/></w:pPr>
<w:r><w:t xml:space="preserve">with studies of the origin of art, and of the relation of art</w:t></w:r>
</w:p>
<w:p>
<w:pPr><w:pStyle w:val="Normal"/></w:pPr>
<w:r><w:t xml:space="preserve">to the social environment.  Their importance for aesthetics</w:t></w:r>
</w:p>
<w:p>
<w:pPr><w:pStyle w:val="Normal"/></w:pPr>
<w:r><w:t xml:space="preserve">lies in the circumstance that they are fitted to throw light</w:t></w:r>
</w:p>
<w:p>
<w:pPr><w:pStyle w:val="Normal"/></w:pPr>
<w:r><w:t xml:space="preserve">upon the aesthetic consciousness as it is developed in those</w:t></w:r>
</w:p>
<w:p>
<w:pPr><w:pStyle w:val="Normal"/></w:pPr>
<w:r><w:t xml:space="preserve">who are not only in a special sense cultivators of it, but</w:t></w:r>
</w:p>
<w:p>
<w:pPr><w:pStyle w:val="Normal"/></w:pPr>
<w:r><w:t xml:space="preserve">represent in a peculiar manner the ideas and the aims of art.38</w:t></w:r>
</w:p>
<w:p>
<w:pPr><w:pStyle w:val="Normal"/></w:pPr>
<w:r><w:t xml:space="preserve">HISTORY OF THEORIES In the following summary of the most</w:t></w:r>
</w:p>
<w:p>
<w:pPr><w:pStyle w:val="Normal"/></w:pPr>
<w:r><w:t xml:space="preserve">important contributions to aesthetic doctrine, only such</w:t></w:r>
</w:p>
<w:p>
<w:pPr><w:pStyle w:val="Normal"/></w:pPr>
<w:r><w:t xml:space="preserve">writings will be recognized as contribute to a general conception</w:t></w:r>
</w:p>
<w:p>
<w:pPr><w:pStyle w:val="Normal"/></w:pPr>
<w:r><w:t xml:space="preserve">of aesthetic objects or experience.  These include the more</w:t></w:r>
</w:p>
<w:p>
<w:pPr><w:pStyle w:val="Normal"/></w:pPr>
<w:r><w:t xml:space="preserve">systematic treatment of the subject in philosophic works as</w:t></w:r>
</w:p>
<w:p>
<w:pPr><w:pStyle w:val="Normal"/></w:pPr>
<w:r><w:t xml:space="preserve">well as the more thoughtful kind of discussion of principles</w:t></w:r>
</w:p>
<w:p>
<w:pPr><w:pStyle w:val="Normal"/></w:pPr>
<w:r><w:t xml:space="preserve">to be met with in writings on art by critics and others.</w:t></w:r>
</w:p>
<w:p>
<w:pPr><w:pStyle w:val="Normal"/></w:pPr>
<w:r><w:t xml:space="preserve">Greek Speculations.---Ancient Greece supolies us with</w:t></w:r>
</w:p>
<w:p>
<w:pPr><w:pStyle w:val="Normal"/></w:pPr>
<w:r><w:t xml:space="preserve">the first important contributions to aesthetic theory,</w:t></w:r>
</w:p>
<w:p>
<w:pPr><w:pStyle w:val="Normal"/></w:pPr>
<w:r><w:t xml:space="preserve">though these are scarcely, in quality or in quantity, what</w:t></w:r>
</w:p>
<w:p>
<w:pPr><w:pStyle w:val="Normal"/></w:pPr>
<w:r><w:t xml:space="preserve">one might nave expected from a people which had so high an</w:t></w:r>
</w:p>
<w:p>
<w:pPr><w:pStyle w:val="Normal"/></w:pPr>
<w:r><w:t xml:space="preserve">appreciation of beauty and so strong a bent for philosophic</w:t></w:r>
</w:p>
<w:p>
<w:pPr><w:pStyle w:val="Normal"/></w:pPr>
<w:r><w:t xml:space="preserve">speculation.  The first Greek thinker of whose views on the</w:t></w:r>
</w:p>
<w:p>
<w:pPr><w:pStyle w:val="Normal"/></w:pPr>
<w:r><w:t xml:space="preserve">subject we really know something is Socrates.  We learn from</w:t></w:r>
</w:p>
<w:p>
<w:pPr><w:pStyle w:val="Normal"/></w:pPr>
<w:r><w:t xml:space="preserve">Xenophon&apos;s account of him that he regarded the beautiful as</w:t></w:r>
</w:p>
<w:p>
<w:pPr><w:pStyle w:val="Normal"/></w:pPr>
<w:r><w:t xml:space="preserve">coincident with the good, and both of them are resolvable</w:t></w:r>
</w:p>
<w:p>
<w:pPr><w:pStyle w:val="Normal"/></w:pPr>
<w:r><w:t xml:space="preserve">into the useful.  Every beautiful object is so called because</w:t></w:r>
</w:p>
<w:p>
<w:pPr><w:pStyle w:val="Normal"/></w:pPr>
<w:r><w:t xml:space="preserve">it serves came rational end, whether the security or the</w:t></w:r>
</w:p>
<w:p>
<w:pPr><w:pStyle w:val="Normal"/></w:pPr>
<w:r><w:t xml:space="preserve">gratification of man.  Socrates appears to have attached</w:t></w:r>
</w:p>
<w:p>
<w:pPr><w:pStyle w:val="Normal"/></w:pPr>
<w:r><w:t xml:space="preserve">little importance to the immediate gratification which a</w:t></w:r>
</w:p>
<w:p>
<w:pPr><w:pStyle w:val="Normal"/></w:pPr>
<w:r><w:t xml:space="preserve">beauriful object affords to perception and contemplation,</w:t></w:r>
</w:p>
<w:p>
<w:pPr><w:pStyle w:val="Normal"/></w:pPr>
<w:r><w:t xml:space="preserve">but to have emphasized rather its power of furthering the</w:t></w:r>
</w:p>
<w:p>
<w:pPr><w:pStyle w:val="Normal"/></w:pPr>
<w:r><w:t xml:space="preserve">more necessary ends of life.  The really valuable point in</w:t></w:r>
</w:p>
<w:p>
<w:pPr><w:pStyle w:val="Normal"/></w:pPr>
<w:r><w:t xml:space="preserve">his doctrine is the relativity of beauty.  Unlike Plato,</w:t></w:r>
</w:p>
<w:p>
<w:pPr><w:pStyle w:val="Normal"/></w:pPr>
<w:r><w:t xml:space="preserve">he recognized no self-beauty (auto to kalon) existing</w:t></w:r>
</w:p>
<w:p>
<w:pPr><w:pStyle w:val="Normal"/></w:pPr>
<w:r><w:t xml:space="preserve">absolutely and out of all relation to a percipient mind.</w:t></w:r>
</w:p>
<w:p>
<w:pPr><w:pStyle w:val="Normal"/></w:pPr>
<w:r><w:t xml:space="preserve">Plato.</w:t></w:r>
</w:p>
<w:p>
<w:pPr><w:pStyle w:val="Normal"/></w:pPr>
<w:r><w:t xml:space="preserve">Of the views of Plato on the subject, it is hardly less difficult</w:t></w:r>
</w:p>
<w:p>
<w:pPr><w:pStyle w:val="Normal"/></w:pPr>
<w:r><w:t xml:space="preserve">to gain a clear conception from the Dialogues, than it is in</w:t></w:r>
</w:p>
<w:p>
<w:pPr><w:pStyle w:val="Normal"/></w:pPr>
<w:r><w:t xml:space="preserve">the case of ethical good.  In some of these, various definitions</w:t></w:r>
</w:p>
<w:p>
<w:pPr><w:pStyle w:val="Normal"/></w:pPr>
<w:r><w:t xml:space="preserve">of the beautiful are rejected as inadequate by the Platonic</w:t></w:r>
</w:p>
<w:p>
<w:pPr><w:pStyle w:val="Normal"/></w:pPr>
<w:r><w:t xml:space="preserve">Socrates.  At the same time we may conclude that Plato&apos;s mind</w:t></w:r>
</w:p>
<w:p>
<w:pPr><w:pStyle w:val="Normal"/></w:pPr>
<w:r><w:t xml:space="preserve">leaned decidedly to the conception of an absolute beauty,</w:t></w:r>
</w:p>
<w:p>
<w:pPr><w:pStyle w:val="Normal"/></w:pPr>
<w:r><w:t xml:space="preserve">which took its place in his scheme of ideas or self-exisiing</w:t></w:r>
</w:p>
<w:p>
<w:pPr><w:pStyle w:val="Normal"/></w:pPr>
<w:r><w:t xml:space="preserve">forms.  This true beauty is nothing discoverable as an</w:t></w:r>
</w:p>
<w:p>
<w:pPr><w:pStyle w:val="Normal"/></w:pPr>
<w:r><w:t xml:space="preserve">attribute in another thing, for these nre only beautiful things,</w:t></w:r>
</w:p>
<w:p>
<w:pPr><w:pStyle w:val="Normal"/></w:pPr>
<w:r><w:t xml:space="preserve">not the beautiful itself.  Love (Eros) produces aspiration</w:t></w:r>
</w:p>
<w:p>
<w:pPr><w:pStyle w:val="Normal"/></w:pPr>
<w:r><w:t xml:space="preserve">towards this pure idea.  Elsewhere the soul&apos;s intuition of the</w:t></w:r>
</w:p>
<w:p>
<w:pPr><w:pStyle w:val="Normal"/></w:pPr>
<w:r><w:t xml:space="preserve">self-beautiful is said to be a reminiscence of its prenatal</w:t></w:r>
</w:p>
<w:p>
<w:pPr><w:pStyle w:val="Normal"/></w:pPr>
<w:r><w:t xml:space="preserve">existence.  As to the precise forms in which the idea of beauty</w:t></w:r>
</w:p>
<w:p>
<w:pPr><w:pStyle w:val="Normal"/></w:pPr>
<w:r><w:t xml:space="preserve">reveals itself, Plato is not very decided.  His theory of an</w:t></w:r>
</w:p>
<w:p>
<w:pPr><w:pStyle w:val="Normal"/></w:pPr>
<w:r><w:t xml:space="preserve">absolute beauty does not easily adjust itself to the notion</w:t></w:r>
</w:p>
<w:p>
<w:pPr><w:pStyle w:val="Normal"/></w:pPr>
<w:r><w:t xml:space="preserve">of its contributing merely a variety of sensuous pleasure,</w:t></w:r>
</w:p>
<w:p>
<w:pPr><w:pStyle w:val="Normal"/></w:pPr>
<w:r><w:t xml:space="preserve">to which he appears to lean in some dialogues.  He tends</w:t></w:r>
</w:p>
<w:p>
<w:pPr><w:pStyle w:val="Normal"/></w:pPr>
<w:r><w:t xml:space="preserve">to identify the self-beautiful with the conceptions of the</w:t></w:r>
</w:p>
<w:p>
<w:pPr><w:pStyle w:val="Normal"/></w:pPr>
<w:r><w:t xml:space="preserve">true and the good, and thus there arose the Platonic formula</w:t></w:r>
</w:p>
<w:p>
<w:pPr><w:pStyle w:val="Normal"/></w:pPr>
<w:r><w:t xml:space="preserve">kalokagathia. So far as his writings embody the notion of</w:t></w:r>
</w:p>
<w:p>
<w:pPr><w:pStyle w:val="Normal"/></w:pPr>
<w:r><w:t xml:space="preserve">any common element in beautiful objects, it is proportion,</w:t></w:r>
</w:p>
<w:p>
<w:pPr><w:pStyle w:val="Normal"/></w:pPr>
<w:r><w:t xml:space="preserve">harmony or unity among their parts.  He emphasizes unity in</w:t></w:r>
</w:p>
<w:p>
<w:pPr><w:pStyle w:val="Normal"/></w:pPr>
<w:r><w:t xml:space="preserve">its simplest aspect as seen in evenness of line and purity of</w:t></w:r>
</w:p>
<w:p>
<w:pPr><w:pStyle w:val="Normal"/></w:pPr>
<w:r><w:t xml:space="preserve">colour.  He recognizes in places the beauty of the mind, and</w:t></w:r>
</w:p>
<w:p>
<w:pPr><w:pStyle w:val="Normal"/></w:pPr>
<w:r><w:t xml:space="preserve">seems to think that the highest beauty of proportion is to</w:t></w:r>
</w:p>
<w:p>
<w:pPr><w:pStyle w:val="Normal"/></w:pPr>
<w:r><w:t xml:space="preserve">be found in the union of a beautiful mind with a beautiful</w:t></w:r>
</w:p>
<w:p>
<w:pPr><w:pStyle w:val="Normal"/></w:pPr>
<w:r><w:t xml:space="preserve">body.  He had but a poor opinion of art, regarding it as a</w:t></w:r>
</w:p>
<w:p>
<w:pPr><w:pStyle w:val="Normal"/></w:pPr>
<w:r><w:t xml:space="preserve">trick of imitation (mimesis) which takes us another step</w:t></w:r>
</w:p>
<w:p>
<w:pPr><w:pStyle w:val="Normal"/></w:pPr>
<w:r><w:t xml:space="preserve">farther from the luminous sphere of rational intuition into</w:t></w:r>
</w:p>
<w:p>
<w:pPr><w:pStyle w:val="Normal"/></w:pPr>
<w:r><w:t xml:space="preserve">the shadowy region of the semblances of sense.  Accordingly,</w:t></w:r>
</w:p>
<w:p>
<w:pPr><w:pStyle w:val="Normal"/></w:pPr>
<w:r><w:t xml:space="preserve">in his scheme for an ideal republic, he provided for the most</w:t></w:r>
</w:p>
<w:p>
<w:pPr><w:pStyle w:val="Normal"/></w:pPr>
<w:r><w:t xml:space="preserve">inexorable censorship of poets, &amp;c., so as to make art as far</w:t></w:r>
</w:p>
<w:p>
<w:pPr><w:pStyle w:val="Normal"/></w:pPr>
<w:r><w:t xml:space="preserve">as possible an instrument of moral and political training.</w:t></w:r>
</w:p>
<w:p>
<w:pPr><w:pStyle w:val="Normal"/></w:pPr>
<w:r><w:t xml:space="preserve">Aristotle.</w:t></w:r>
</w:p>
<w:p>
<w:pPr><w:pStyle w:val="Normal"/></w:pPr>
<w:r><w:t xml:space="preserve">Aristotle proceeded to a more serious investigation of the</w:t></w:r>
</w:p>
<w:p>
<w:pPr><w:pStyle w:val="Normal"/></w:pPr>
<w:r><w:t xml:space="preserve">aesthetic phenomena so as to develop by scientific analysis</w:t></w:r>
</w:p>
<w:p>
<w:pPr><w:pStyle w:val="Normal"/></w:pPr>
<w:r><w:t xml:space="preserve">certain principles of beauty and art.  In his treatises on</w:t></w:r>
</w:p>
<w:p>
<w:pPr><w:pStyle w:val="Normal"/></w:pPr>
<w:r><w:t xml:space="preserve">poetry and rhetoric he gives us, along with a theory of these</w:t></w:r>
</w:p>
<w:p>
<w:pPr><w:pStyle w:val="Normal"/></w:pPr>
<w:r><w:t xml:space="preserve">arts, certain general principles of beauty; and scattered among</w:t></w:r>
</w:p>
<w:p>
<w:pPr><w:pStyle w:val="Normal"/></w:pPr>
<w:r><w:t xml:space="preserve">his other writings we find many valuable suggestions on the same</w:t></w:r>
</w:p>
<w:p>
<w:pPr><w:pStyle w:val="Normal"/></w:pPr>
<w:r><w:t xml:space="preserve">subject.  He seeks (in the Metaphysics) to distinguish the</w:t></w:r>
</w:p>
<w:p>
<w:pPr><w:pStyle w:val="Normal"/></w:pPr>
<w:r><w:t xml:space="preserve">good and the beautiful by saying that the former is always in</w:t></w:r>
</w:p>
<w:p>
<w:pPr><w:pStyle w:val="Normal"/></w:pPr>
<w:r><w:t xml:space="preserve">action (`en praxei) whereas the latter may exist in motionless</w:t></w:r>
</w:p>
<w:p>
<w:pPr><w:pStyle w:val="Normal"/></w:pPr>
<w:r><w:t xml:space="preserve">things as well (`en akinetois.) At the same time he had</w:t></w:r>
</w:p>
<w:p>
<w:pPr><w:pStyle w:val="Normal"/></w:pPr>
<w:r><w:t xml:space="preserve">as a Greek to allow that though essentially different things</w:t></w:r>
</w:p>
<w:p>
<w:pPr><w:pStyle w:val="Normal"/></w:pPr>
<w:r><w:t xml:space="preserve">the good might under certain conditions be called beautiful.</w:t></w:r>
</w:p>
<w:p>
<w:pPr><w:pStyle w:val="Normal"/></w:pPr>
<w:r><w:t xml:space="preserve">He further distinguished the beautiful from the fit, and in</w:t></w:r>
</w:p>
<w:p>
<w:pPr><w:pStyle w:val="Normal"/></w:pPr>
<w:r><w:t xml:space="preserve">a passage of the Politics set beauty above the useful and</w:t></w:r>
</w:p>
<w:p>
<w:pPr><w:pStyle w:val="Normal"/></w:pPr>
<w:r><w:t xml:space="preserve">necessary.  He helped to determine another characteristic</w:t></w:r>
</w:p>
<w:p>
<w:pPr><w:pStyle w:val="Normal"/></w:pPr>
<w:r><w:t xml:space="preserve">of the beautiful, the absence of all lust or desire in the</w:t></w:r>
</w:p>
<w:p>
<w:pPr><w:pStyle w:val="Normal"/></w:pPr>
<w:r><w:t xml:space="preserve">pleasure it bestows.  The universal elements of beauty,</w:t></w:r>
</w:p>
<w:p>
<w:pPr><w:pStyle w:val="Normal"/></w:pPr>
<w:r><w:t xml:space="preserve">again, Aristotle finds (in the Metaphysics) to be order</w:t></w:r>
</w:p>
<w:p>
<w:pPr><w:pStyle w:val="Normal"/></w:pPr>
<w:r><w:t xml:space="preserve">(taxis), symmetry and definiteness or determinateness (to</w:t></w:r>
</w:p>
<w:p>
<w:pPr><w:pStyle w:val="Normal"/></w:pPr>
<w:r><w:t xml:space="preserve">orismenon).  In the Poetics he adds another essential,</w:t></w:r>
</w:p>
<w:p>
<w:pPr><w:pStyle w:val="Normal"/></w:pPr>
<w:r><w:t xml:space="preserve">namely, a certain magnitude; it being desirable for a</w:t></w:r>
</w:p>
<w:p>
<w:pPr><w:pStyle w:val="Normal"/></w:pPr>
<w:r><w:t xml:space="preserve">synoptic view of the whole that the object should not be too</w:t></w:r>
</w:p>
<w:p>
<w:pPr><w:pStyle w:val="Normal"/></w:pPr>
<w:r><w:t xml:space="preserve">large, while clearness of perception requires that it should</w:t></w:r>
</w:p>
<w:p>
<w:pPr><w:pStyle w:val="Normal"/></w:pPr>
<w:r><w:t xml:space="preserve">not be too small.  Aristotle&apos;s views on art are an immense</w:t></w:r>
</w:p>
<w:p>
<w:pPr><w:pStyle w:val="Normal"/></w:pPr>
<w:r><w:t xml:space="preserve">advance on those of Plato.  He distinctly recognized (in the</w:t></w:r>
</w:p>
<w:p>
<w:pPr><w:pStyle w:val="Normal"/></w:pPr>
<w:r><w:t xml:space="preserve">Politics and elsewhere) that its aim is immediate pleasure,</w:t></w:r>
</w:p>
<w:p>
<w:pPr><w:pStyle w:val="Normal"/></w:pPr>
<w:r><w:t xml:space="preserve">as distinct from utility, which is the end of the mechanical</w:t></w:r>
</w:p>
<w:p>
<w:pPr><w:pStyle w:val="Normal"/></w:pPr>
<w:r><w:t xml:space="preserve">arts.  He took a higher view of artistic imitation than Plato,</w:t></w:r>
</w:p>
<w:p>
<w:pPr><w:pStyle w:val="Normal"/></w:pPr>
<w:r><w:t xml:space="preserve">holding that so far from being an unworthy trick, it implied</w:t></w:r>
</w:p>
<w:p>
<w:pPr><w:pStyle w:val="Normal"/></w:pPr>
<w:r><w:t xml:space="preserve">knowledge and discovery, that its objects not only comprised</w:t></w:r>
</w:p>
<w:p>
<w:pPr><w:pStyle w:val="Normal"/></w:pPr>
<w:r><w:t xml:space="preserve">particular things which happen to most, but contemplated</w:t></w:r>
</w:p>
<w:p>
<w:pPr><w:pStyle w:val="Normal"/></w:pPr>
<w:r><w:t xml:space="preserve">what is probable and what necessarily exists.  The celebrated</w:t></w:r>
</w:p>
<w:p>
<w:pPr><w:pStyle w:val="Normal"/></w:pPr>
<w:r><w:t xml:space="preserve">passage in the Poetics, where he declares poetry to be</w:t></w:r>
</w:p>
<w:p>
<w:pPr><w:pStyle w:val="Normal"/></w:pPr>
<w:r><w:t xml:space="preserve">more philosophical and serious a matter (spoudaiteron)</w:t></w:r>
</w:p>
<w:p>
<w:pPr><w:pStyle w:val="Normal"/></w:pPr>
<w:r><w:t xml:space="preserve">than philosophy, brings out the advance of Aristotle on his</w:t></w:r>
</w:p>
<w:p>
<w:pPr><w:pStyle w:val="Normal"/></w:pPr>
<w:r><w:t xml:space="preserve">predecessor.  He gives us no complete classification of the fine</w:t></w:r>
</w:p>
<w:p>
<w:pPr><w:pStyle w:val="Normal"/></w:pPr>
<w:r><w:t xml:space="preserve">arts, and it is doubtful how far his principles, e.g. his</w:t></w:r>
</w:p>
<w:p>
<w:pPr><w:pStyle w:val="Normal"/></w:pPr>
<w:r><w:t xml:space="preserve">celebrated idea of a purification of the passions by tragedy,</w:t></w:r>
</w:p>
<w:p>
<w:pPr><w:pStyle w:val="Normal"/></w:pPr>
<w:r><w:t xml:space="preserve">are to be taken as applicable to other than the poetic art.</w:t></w:r>
</w:p>
<w:p>
<w:pPr><w:pStyle w:val="Normal"/></w:pPr>
<w:r><w:t xml:space="preserve">Plotinus.</w:t></w:r>
</w:p>
<w:p>
<w:pPr><w:pStyle w:val="Normal"/></w:pPr>
<w:r><w:t xml:space="preserve">Of the later Greek and Roman writers the Neo-Platonist Plotinus</w:t></w:r>
</w:p>
<w:p>
<w:pPr><w:pStyle w:val="Normal"/></w:pPr>
<w:r><w:t xml:space="preserve">deserves to be mentioned.  According to him, objective reason</w:t></w:r>
</w:p>
<w:p>
<w:pPr><w:pStyle w:val="Normal"/></w:pPr>
<w:r><w:t xml:space="preserve">(nous) as self-moving, becomes the formative influence which</w:t></w:r>
</w:p>
<w:p>
<w:pPr><w:pStyle w:val="Normal"/></w:pPr>
<w:r><w:t xml:space="preserve">reduces dead matter to form.  Matter when thus formed becomes</w:t></w:r>
</w:p>
<w:p>
<w:pPr><w:pStyle w:val="Normal"/></w:pPr>
<w:r><w:t xml:space="preserve">a notion (logos), and its form is beauty.  Objects are</w:t></w:r>
</w:p>
<w:p>
<w:pPr><w:pStyle w:val="Normal"/></w:pPr>
<w:r><w:t xml:space="preserve">ugly so far as they are unacted upon by reason, and therefore</w:t></w:r>
</w:p>
<w:p>
<w:pPr><w:pStyle w:val="Normal"/></w:pPr>
<w:r><w:t xml:space="preserve">formless.  The creative reason is absolute beauty, and is</w:t></w:r>
</w:p>
<w:p>
<w:pPr><w:pStyle w:val="Normal"/></w:pPr>
<w:r><w:t xml:space="preserve">called the more than beautiful.  There are three degrees</w:t></w:r>
</w:p>
<w:p>
<w:pPr><w:pStyle w:val="Normal"/></w:pPr>
<w:r><w:t xml:space="preserve">or stages of manifested beauty: that of human reason, which</w:t></w:r>
</w:p>
<w:p>
<w:pPr><w:pStyle w:val="Normal"/></w:pPr>
<w:r><w:t xml:space="preserve">is the highest; of the human soul, which is less perfect</w:t></w:r>
</w:p>
<w:p>
<w:pPr><w:pStyle w:val="Normal"/></w:pPr>
<w:r><w:t xml:space="preserve">through its connexion with a material body; and of real</w:t></w:r>
</w:p>
<w:p>
<w:pPr><w:pStyle w:val="Normal"/></w:pPr>
<w:r><w:t xml:space="preserve">objects, which is the lowest manifestation of all.  As to</w:t></w:r>
</w:p>
<w:p>
<w:pPr><w:pStyle w:val="Normal"/></w:pPr>
<w:r><w:t xml:space="preserve">the precise forms of beauty, he supposed, in opposition to</w:t></w:r>
</w:p>
<w:p>
<w:pPr><w:pStyle w:val="Normal"/></w:pPr>
<w:r><w:t xml:space="preserve">Aristotle, that a single thing not divisible into parts might</w:t></w:r>
</w:p>
<w:p>
<w:pPr><w:pStyle w:val="Normal"/></w:pPr>
<w:r><w:t xml:space="preserve">be beautiful through its unity and simplicity.  He gives a</w:t></w:r>
</w:p>
<w:p>
<w:pPr><w:pStyle w:val="Normal"/></w:pPr>
<w:r><w:t xml:space="preserve">high place to the beauty of colours in which material darkness</w:t></w:r>
</w:p>
<w:p>
<w:pPr><w:pStyle w:val="Normal"/></w:pPr>
<w:r><w:t xml:space="preserve">is overpowered by light and warmth.  In reference to artistic</w:t></w:r>
</w:p>
<w:p>
<w:pPr><w:pStyle w:val="Normal"/></w:pPr>
<w:r><w:t xml:space="preserve">beauty he said that when the artist has notions as models for</w:t></w:r>
</w:p>
<w:p>
<w:pPr><w:pStyle w:val="Normal"/></w:pPr>
<w:r><w:t xml:space="preserve">his creations, these may become more beautiful than natural</w:t></w:r>
</w:p>
<w:p>
<w:pPr><w:pStyle w:val="Normal"/></w:pPr>
<w:r><w:t xml:space="preserve">objects.  This is clearly a step away from Plato&apos;s doctrine</w:t></w:r>
</w:p>
<w:p>
<w:pPr><w:pStyle w:val="Normal"/></w:pPr>
<w:r><w:t xml:space="preserve">towards our modern conception of artistic idealization.</w:t></w:r>
</w:p>
<w:p>
<w:pPr><w:pStyle w:val="Normal"/></w:pPr>
<w:r><w:t xml:space="preserve">German writers. (a) Systematic treatises; Baumgarten.</w:t></w:r>
</w:p>
<w:p>
<w:pPr><w:pStyle w:val="Normal"/></w:pPr>
<w:r><w:t xml:space="preserve">2. German Writers.---We may pass by the few thoughts on the</w:t></w:r>
</w:p>
<w:p>
<w:pPr><w:pStyle w:val="Normal"/></w:pPr>
<w:r><w:t xml:space="preserve">subject to be found among medieval writers and turn to modern</w:t></w:r>
</w:p>
<w:p>
<w:pPr><w:pStyle w:val="Normal"/></w:pPr>
<w:r><w:t xml:space="preserve">theories, beginning with those of German writers as the most</w:t></w:r>
</w:p>
<w:p>
<w:pPr><w:pStyle w:val="Normal"/></w:pPr>
<w:r><w:t xml:space="preserve">numerous and most elaborately set forth.  The best of the</w:t></w:r>
</w:p>
<w:p>
<w:pPr><w:pStyle w:val="Normal"/></w:pPr>
<w:r><w:t xml:space="preserve">Germans who attempted to develop an aesthetic theory as part</w:t></w:r>
</w:p>
<w:p>
<w:pPr><w:pStyle w:val="Normal"/></w:pPr>
<w:r><w:t xml:space="preserve">of a system of philosophy was Baumgarten (Aesthetica) .</w:t></w:r>
</w:p>
<w:p>
<w:pPr><w:pStyle w:val="Normal"/></w:pPr>
<w:r><w:t xml:space="preserve">Adopting the Leibnitz-Wolffian theory of knowledge, he sought</w:t></w:r>
</w:p>
<w:p>
<w:pPr><w:pStyle w:val="Normal"/></w:pPr>
<w:r><w:t xml:space="preserve">to complete it by setting over against the clear scientific</w:t></w:r>
</w:p>
<w:p>
<w:pPr><w:pStyle w:val="Normal"/></w:pPr>
<w:r><w:t xml:space="preserve">or ``logical&apos;&apos; knowledge of the understanding, the confused</w:t></w:r>
</w:p>
<w:p>
<w:pPr><w:pStyle w:val="Normal"/></w:pPr>
<w:r><w:t xml:space="preserve">knowledge of the senses, to which (as we have seen) he gave the</w:t></w:r>
</w:p>
<w:p>
<w:pPr><w:pStyle w:val="Normal"/></w:pPr>
<w:r><w:t xml:space="preserve">name ``aesthetic.&apos;&apos; Beauty with him thus corresponds with perfect</w:t></w:r>
</w:p>
<w:p>
<w:pPr><w:pStyle w:val="Normal"/></w:pPr>
<w:r><w:t xml:space="preserve">sense-knowledge.  Baumgarten is clearly an intellectualist in</w:t></w:r>
</w:p>
<w:p>
<w:pPr><w:pStyle w:val="Normal"/></w:pPr>
<w:r><w:t xml:space="preserve">aesthetics, reducing taste to an intellectual act and ignoring</w:t></w:r>
</w:p>
<w:p>
<w:pPr><w:pStyle w:val="Normal"/></w:pPr>
<w:r><w:t xml:space="preserve">the element of feeling.  The details of his aesthetics are mostly</w:t></w:r>
</w:p>
<w:p>
<w:pPr><w:pStyle w:val="Normal"/></w:pPr>
<w:r><w:t xml:space="preserve">unimportant.  Arguing from Leibnitz&apos;s theory of the world</w:t></w:r>
</w:p>
<w:p>
<w:pPr><w:pStyle w:val="Normal"/></w:pPr>
<w:r><w:t xml:space="preserve">as the best possible, Baumgarten concluded that nature is</w:t></w:r>
</w:p>
<w:p>
<w:pPr><w:pStyle w:val="Normal"/></w:pPr>
<w:r><w:t xml:space="preserve">the highest embodiment of beauty, and that art must seek its</w:t></w:r>
</w:p>
<w:p>
<w:pPr><w:pStyle w:val="Normal"/></w:pPr>
<w:r><w:t xml:space="preserve">supreme function in the strictest possible imitation of nature.</w:t></w:r>
</w:p>
<w:p>
<w:pPr><w:pStyle w:val="Normal"/></w:pPr>
<w:r><w:t xml:space="preserve">Kant.</w:t></w:r>
</w:p>
<w:p>
<w:pPr><w:pStyle w:val="Normal"/></w:pPr>
<w:r><w:t xml:space="preserve">The next important treatment of aesthetics by a philosopher</w:t></w:r>
</w:p>
<w:p>
<w:pPr><w:pStyle w:val="Normal"/></w:pPr>
<w:r><w:t xml:space="preserve">is that of Kant.  He deals with the ``Judgment of Taste&apos;&apos;</w:t></w:r>
</w:p>
<w:p>
<w:pPr><w:pStyle w:val="Normal"/></w:pPr>
<w:r><w:t xml:space="preserve">in the Critique of the Power of Judgment (J. H. Bernard&apos;s</w:t></w:r>
</w:p>
<w:p>
<w:pPr><w:pStyle w:val="Normal"/></w:pPr>
<w:r><w:t xml:space="preserve">translation 1892), which treatise supplements the two</w:t></w:r>
</w:p>
<w:p>
<w:pPr><w:pStyle w:val="Normal"/></w:pPr>
<w:r><w:t xml:space="preserve">better-known critiques (vide KANT), and by investigating</w:t></w:r>
</w:p>
<w:p>
<w:pPr><w:pStyle w:val="Normal"/></w:pPr>
<w:r><w:t xml:space="preserve">the conditions of the validity of feeling mediates between</w:t></w:r>
</w:p>
<w:p>
<w:pPr><w:pStyle w:val="Normal"/></w:pPr>
<w:r><w:t xml:space="preserve">then respective subjects, cognition and desire (volition).</w:t></w:r>
</w:p>
<w:p>
<w:pPr><w:pStyle w:val="Normal"/></w:pPr>
<w:r><w:t xml:space="preserve">He takes an imoortant step in denying objective existence to</w:t></w:r>
</w:p>
<w:p>
<w:pPr><w:pStyle w:val="Normal"/></w:pPr>
<w:r><w:t xml:space="preserve">beauty.  Aesthetic value for him is fitness to please as</w:t></w:r>
</w:p>
<w:p>
<w:pPr><w:pStyle w:val="Normal"/></w:pPr>
<w:r><w:t xml:space="preserve">object of pure contemplation.  This aesthetic satisfaction is</w:t></w:r>
</w:p>
<w:p>
<w:pPr><w:pStyle w:val="Normal"/></w:pPr>
<w:r><w:t xml:space="preserve">more than mere agreeableness, since it must be disinterested</w:t></w:r>
</w:p>
<w:p>
<w:pPr><w:pStyle w:val="Normal"/></w:pPr>
<w:r><w:t xml:space="preserve">and free--that is to say, from all concern about the</w:t></w:r>
</w:p>
<w:p>
<w:pPr><w:pStyle w:val="Normal"/></w:pPr>
<w:r><w:t xml:space="preserve">real existence of the object, and about our dependence on</w:t></w:r>
</w:p>
<w:p>
<w:pPr><w:pStyle w:val="Normal"/></w:pPr>
<w:r><w:t xml:space="preserve">it.  He appears to concede a certain formal objectivity to</w:t></w:r>
</w:p>
<w:p>
<w:pPr><w:pStyle w:val="Normal"/></w:pPr>
<w:r><w:t xml:space="preserve">beauty in his doctrine of an appearance of purposiveness</w:t></w:r>
</w:p>
<w:p>
<w:pPr><w:pStyle w:val="Normal"/></w:pPr>
<w:r><w:t xml:space="preserve">(Zweckmassigkeit) in the beautiful object, this being</w:t></w:r>
</w:p>
<w:p>
<w:pPr><w:pStyle w:val="Normal"/></w:pPr>
<w:r><w:t xml:space="preserve">defined as its harmony with the cognative faculties involved</w:t></w:r>
</w:p>
<w:p>
<w:pPr><w:pStyle w:val="Normal"/></w:pPr>
<w:r><w:t xml:space="preserve">in an aesthetic judgment (imagination and understanding); a</w:t></w:r>
</w:p>
<w:p>
<w:pPr><w:pStyle w:val="Normal"/></w:pPr>
<w:r><w:t xml:space="preserve">harmony the consciousness of which underlies our aesthetic</w:t></w:r>
</w:p>
<w:p>
<w:pPr><w:pStyle w:val="Normal"/></w:pPr>
<w:r><w:t xml:space="preserve">pleasure.  Yet this part of his doctrine is very imperfectly</w:t></w:r>
</w:p>
<w:p>
<w:pPr><w:pStyle w:val="Normal"/></w:pPr>
<w:r><w:t xml:space="preserve">developed.  While beauty thus ceases with Kant to have</w:t></w:r>
</w:p>
<w:p>
<w:pPr><w:pStyle w:val="Normal"/></w:pPr>
<w:r><w:t xml:space="preserve">objective validity and remains valid only for the contemplator,</w:t></w:r>
</w:p>
<w:p>
<w:pPr><w:pStyle w:val="Normal"/></w:pPr>
<w:r><w:t xml:space="preserve">he claims for it universal subjective validity, since the</w:t></w:r>
</w:p>
<w:p>
<w:pPr><w:pStyle w:val="Normal"/></w:pPr>
<w:r><w:t xml:space="preserve">object we pronounce to be beautiful is fitted to please all</w:t></w:r>
</w:p>
<w:p>
<w:pPr><w:pStyle w:val="Normal"/></w:pPr>
<w:r><w:t xml:space="preserve">men.  We know that this must be so from reflecting on the</w:t></w:r>
</w:p>
<w:p>
<w:pPr><w:pStyle w:val="Normal"/></w:pPr>
<w:r><w:t xml:space="preserve">disinterestedness of our pleasure, on its entire independence</w:t></w:r>
</w:p>
<w:p>
<w:pPr><w:pStyle w:val="Normal"/></w:pPr>
<w:r><w:t xml:space="preserve">of personal inclination.  Kant insists that the aesthetic</w:t></w:r>
</w:p>
<w:p>
<w:pPr><w:pStyle w:val="Normal"/></w:pPr>
<w:r><w:t xml:space="preserve">judgment is always, in logical phrase, an ``individual&apos;&apos; i.e.</w:t></w:r>
</w:p>
<w:p>
<w:pPr><w:pStyle w:val="Normal"/></w:pPr>
<w:r><w:t xml:space="preserve">a singular one, of the form ``This object (e.g. rose) is</w:t></w:r>
</w:p>
<w:p>
<w:pPr><w:pStyle w:val="Normal"/></w:pPr>
<w:r><w:t xml:space="preserve">beautiful.&apos;&apos; He denies that we can reach a valid universal</w:t></w:r>
</w:p>
<w:p>
<w:pPr><w:pStyle w:val="Normal"/></w:pPr>
<w:r><w:t xml:space="preserve">aesthetic judgment of the form ``All objects possessine such</w:t></w:r>
</w:p>
<w:p>
<w:pPr><w:pStyle w:val="Normal"/></w:pPr>
<w:r><w:t xml:space="preserve">and such qualities are beautiful.&apos;&apos; (A judgment of this form</w:t></w:r>
</w:p>
<w:p>
<w:pPr><w:pStyle w:val="Normal"/></w:pPr>
<w:r><w:t xml:space="preserve">would, he considers, be logical, not aesthetic.) in dealing</w:t></w:r>
</w:p>
<w:p>
<w:pPr><w:pStyle w:val="Normal"/></w:pPr>
<w:r><w:t xml:space="preserve">with beauty Kant is thinking of nature, ranking this as a</w:t></w:r>
</w:p>
<w:p>
<w:pPr><w:pStyle w:val="Normal"/></w:pPr>
<w:r><w:t xml:space="preserve">source of aesthetic pleasure high above art, for which he</w:t></w:r>
</w:p>
<w:p>
<w:pPr><w:pStyle w:val="Normal"/></w:pPr>
<w:r><w:t xml:space="preserve">shows something of contempt.  He seems to retreat from his</w:t></w:r>
</w:p>
<w:p>
<w:pPr><w:pStyle w:val="Normal"/></w:pPr>
<w:r><w:t xml:space="preserve">doctrine of pure subiectivity when he says that the highest</w:t></w:r>
</w:p>
<w:p>
<w:pPr><w:pStyle w:val="Normal"/></w:pPr>
<w:r><w:t xml:space="preserve">significance of beauty is to symbolize moral good; going</w:t></w:r>
</w:p>
<w:p>
<w:pPr><w:pStyle w:val="Normal"/></w:pPr>
<w:r><w:t xml:space="preserve">further than Ruskin when he attaches ideals of modesty,</w:t></w:r>
</w:p>
<w:p>
<w:pPr><w:pStyle w:val="Normal"/></w:pPr>
<w:r><w:t xml:space="preserve">frankness, courage, &amp;c., to the seven primary colours of</w:t></w:r>
</w:p>
<w:p>
<w:pPr><w:pStyle w:val="Normal"/></w:pPr>
<w:r><w:t xml:space="preserve">Newton&apos;s system.  He has made a solid contribution to the</w:t></w:r>
</w:p>
<w:p>
<w:pPr><w:pStyle w:val="Normal"/></w:pPr>
<w:r><w:t xml:space="preserve">theory of the sublime, and has put forth a suggestive and</w:t></w:r>
</w:p>
<w:p>
<w:pPr><w:pStyle w:val="Normal"/></w:pPr>
<w:r><w:t xml:space="preserve">a rather inadequate view of the ludicrous.  But his main</w:t></w:r>
</w:p>
<w:p>
<w:pPr><w:pStyle w:val="Normal"/></w:pPr>
<w:r><w:t xml:space="preserve">service to aesthetics consists in the preliminary critical</w:t></w:r>
</w:p>
<w:p>
<w:pPr><w:pStyle w:val="Normal"/></w:pPr>
<w:r><w:t xml:space="preserve">determination of its aim and its fundamental problems.</w:t></w:r>
</w:p>
<w:p>
<w:pPr><w:pStyle w:val="Normal"/></w:pPr>
<w:r><w:t xml:space="preserve">Schelling.</w:t></w:r>
</w:p>
<w:p>
<w:pPr><w:pStyle w:val="Normal"/></w:pPr>
<w:r><w:t xml:space="preserve">Schelling is the first thinker to attempt a Philosophy of</w:t></w:r>
</w:p>
<w:p>
<w:pPr><w:pStyle w:val="Normal"/></w:pPr>
<w:r><w:t xml:space="preserve">Art. He develops this as the third part of his system of</w:t></w:r>
</w:p>
<w:p>
<w:pPr><w:pStyle w:val="Normal"/></w:pPr>
<w:r><w:t xml:space="preserve">transcendental idealism following theoretic and practical</w:t></w:r>
</w:p>
<w:p>
<w:pPr><w:pStyle w:val="Normal"/></w:pPr>
<w:r><w:t xml:space="preserve">philosophy. (See SCHELLING;--also Schelling&apos;s Werke, Bd.</w:t></w:r>
</w:p>
<w:p>
<w:pPr><w:pStyle w:val="Normal"/></w:pPr>
<w:r><w:t xml:space="preserve">v., and J. Watson, Schelling&apos;s Transcendental Idealism, ch.</w:t></w:r>
</w:p>
<w:p>
<w:pPr><w:pStyle w:val="Normal"/></w:pPr>
<w:r><w:t xml:space="preserve">vii., Chicago, 1882.) According to Schelling a new philosophical</w:t></w:r>
</w:p>
<w:p>
<w:pPr><w:pStyle w:val="Normal"/></w:pPr>
<w:r><w:t xml:space="preserve">significance is given to art by the doctrine that the identity</w:t></w:r>
</w:p>
<w:p>
<w:pPr><w:pStyle w:val="Normal"/></w:pPr>
<w:r><w:t xml:space="preserve">of subject and object--which is half disguised in ordinary</w:t></w:r>
</w:p>
<w:p>
<w:pPr><w:pStyle w:val="Normal"/></w:pPr>
<w:r><w:t xml:space="preserve">perception and volition--is only clearly seen in artistic</w:t></w:r>
</w:p>
<w:p>
<w:pPr><w:pStyle w:val="Normal"/></w:pPr>
<w:r><w:t xml:space="preserve">perception.  The perfect perception of its real self by</w:t></w:r>
</w:p>
<w:p>
<w:pPr><w:pStyle w:val="Normal"/></w:pPr>
<w:r><w:t xml:space="preserve">intelligence in the work of art is accompanied by a feeling</w:t></w:r>
</w:p>
<w:p>
<w:pPr><w:pStyle w:val="Normal"/></w:pPr>
<w:r><w:t xml:space="preserve">of infinite satisfaction.  Art in thus effecting a revelation</w:t></w:r>
</w:p>
<w:p>
<w:pPr><w:pStyle w:val="Normal"/></w:pPr>
<w:r><w:t xml:space="preserve">of the absolute seems to attain a dignity not merely above</w:t></w:r>
</w:p>
<w:p>
<w:pPr><w:pStyle w:val="Normal"/></w:pPr>
<w:r><w:t xml:space="preserve">that of nature but above that of philosophy itself.  Schelling</w:t></w:r>
</w:p>
<w:p>
<w:pPr><w:pStyle w:val="Normal"/></w:pPr>
<w:r><w:t xml:space="preserve">throws but little light on the concrete forms of beauty.  His</w:t></w:r>
</w:p>
<w:p>
<w:pPr><w:pStyle w:val="Normal"/></w:pPr>
<w:r><w:t xml:space="preserve">classification of the arts, based on his antithesis of object</w:t></w:r>
</w:p>
<w:p>
<w:pPr><w:pStyle w:val="Normal"/></w:pPr>
<w:r><w:t xml:space="preserve">and subject, is a curiosity in intricate arrangement.  He</w:t></w:r>
</w:p>
<w:p>
<w:pPr><w:pStyle w:val="Normal"/></w:pPr>
<w:r><w:t xml:space="preserve">applies his conception in a suggestive way to classical tragedy.</w:t></w:r>
</w:p>
<w:p>
<w:pPr><w:pStyle w:val="Normal"/></w:pPr>
<w:r><w:t xml:space="preserve">Hegel.</w:t></w:r>
</w:p>
<w:p>
<w:pPr><w:pStyle w:val="Normal"/></w:pPr>
<w:r><w:t xml:space="preserve">In Hegel&apos;s system of philosophy art is viewed as the first</w:t></w:r>
</w:p>
<w:p>
<w:pPr><w:pStyle w:val="Normal"/></w:pPr>
<w:r><w:t xml:space="preserve">stage of the absolute spirit. (See HEGEL; also Werke, Bd.</w:t></w:r>
</w:p>
<w:p>
<w:pPr><w:pStyle w:val="Normal"/></w:pPr>
<w:r><w:t xml:space="preserve">x., and Bosanquet&apos;s Introduction to Hegel&apos;s Philosophy of Fine</w:t></w:r>
</w:p>
<w:p>
<w:pPr><w:pStyle w:val="Normal"/></w:pPr>
<w:r><w:t xml:space="preserve">Art.) In this stage the absolute is immediately present to</w:t></w:r>
</w:p>
<w:p>
<w:pPr><w:pStyle w:val="Normal"/></w:pPr>
<w:r><w:t xml:space="preserve">sense-perception, an idea which shows the writer&apos;s complete</w:t></w:r>
</w:p>
<w:p>
<w:pPr><w:pStyle w:val="Normal"/></w:pPr>
<w:r><w:t xml:space="preserve">rupture with Kant&apos;s doctrine of the ``subjectivity&apos;&apos; of beauty.</w:t></w:r>
</w:p>
<w:p>
<w:pPr><w:pStyle w:val="Normal"/></w:pPr>
<w:r><w:t xml:space="preserve">The beautiful is defined as the ideal showing itself to sense</w:t></w:r>
</w:p>
<w:p>
<w:pPr><w:pStyle w:val="Normal"/></w:pPr>
<w:r><w:t xml:space="preserve">or through a sensuous medium.  It is said to have its life in</w:t></w:r>
</w:p>
<w:p>
<w:pPr><w:pStyle w:val="Normal"/></w:pPr>
<w:r><w:t xml:space="preserve">show or semblance (Schein) and so differs from the true, which</w:t></w:r>
</w:p>
<w:p>
<w:pPr><w:pStyle w:val="Normal"/></w:pPr>
<w:r><w:t xml:space="preserve">is not really sensuous, but the universal idea contained in</w:t></w:r>
</w:p>
<w:p>
<w:pPr><w:pStyle w:val="Normal"/></w:pPr>
<w:r><w:t xml:space="preserve">sense for thought.  The form of the beautiful is unity of the</w:t></w:r>
</w:p>
<w:p>
<w:pPr><w:pStyle w:val="Normal"/></w:pPr>
<w:r><w:t xml:space="preserve">manifold.  The notion (Begriff gives necessity in mutual</w:t></w:r>
</w:p>
<w:p>
<w:pPr><w:pStyle w:val="Normal"/></w:pPr>
<w:r><w:t xml:space="preserve">dependence of parts (unity), while the reality demands the</w:t></w:r>
</w:p>
<w:p>
<w:pPr><w:pStyle w:val="Normal"/></w:pPr>
<w:r><w:t xml:space="preserve">semblance (Schein) of liberty in the parts.  He discusses</w:t></w:r>
</w:p>
<w:p>
<w:pPr><w:pStyle w:val="Normal"/></w:pPr>
<w:r><w:t xml:space="preserve">very fully the beauty of nature as immediate unity of notion</w:t></w:r>
</w:p>
<w:p>
<w:pPr><w:pStyle w:val="Normal"/></w:pPr>
<w:r><w:t xml:space="preserve">and reality, and lays great emphasis on the beauty of organic</w:t></w:r>
</w:p>
<w:p>
<w:pPr><w:pStyle w:val="Normal"/></w:pPr>
<w:r><w:t xml:space="preserve">life.  But it is in art that, like Schelling, Hegel finds the</w:t></w:r>
</w:p>
<w:p>
<w:pPr><w:pStyle w:val="Normal"/></w:pPr>
<w:r><w:t xml:space="preserve">highest revelation of the beautiful.  Art makes up for the</w:t></w:r>
</w:p>
<w:p>
<w:pPr><w:pStyle w:val="Normal"/></w:pPr>
<w:r><w:t xml:space="preserve">deficiencies of natural beauty by bringing the idea into clearer</w:t></w:r>
</w:p>
<w:p>
<w:pPr><w:pStyle w:val="Normal"/></w:pPr>
<w:r><w:t xml:space="preserve">light, by showing the external world in its life and spiritual</w:t></w:r>
</w:p>
<w:p>
<w:pPr><w:pStyle w:val="Normal"/></w:pPr>
<w:r><w:t xml:space="preserve">animation.  The several species of art in the ancient and</w:t></w:r>
</w:p>
<w:p>
<w:pPr><w:pStyle w:val="Normal"/></w:pPr>
<w:r><w:t xml:space="preserve">modern worlds depend on the various combinations of matter</w:t></w:r>
</w:p>
<w:p>
<w:pPr><w:pStyle w:val="Normal"/></w:pPr>
<w:r><w:t xml:space="preserve">and form.  He classifies the individual arts according to</w:t></w:r>
</w:p>
<w:p>
<w:pPr><w:pStyle w:val="Normal"/></w:pPr>
<w:r><w:t xml:space="preserve">this same principle of the relative supremacy of form and</w:t></w:r>
</w:p>
<w:p>
<w:pPr><w:pStyle w:val="Normal"/></w:pPr>
<w:r><w:t xml:space="preserve">matter, the lowest being architecture, the highest, poetry.</w:t></w:r>
</w:p>
<w:p>
<w:pPr><w:pStyle w:val="Normal"/></w:pPr>
<w:r><w:t xml:space="preserve">Dialectic of the Hegelians.</w:t></w:r>
</w:p>
<w:p>
<w:pPr><w:pStyle w:val="Normal"/></w:pPr>
<w:r><w:t xml:space="preserve">Curious developments of the Hegelian conception are to be</w:t></w:r>
</w:p>
<w:p>
<w:pPr><w:pStyle w:val="Normal"/></w:pPr>
<w:r><w:t xml:space="preserve">found in the dialectical treatment of beauty in its relation</w:t></w:r>
</w:p>
<w:p>
<w:pPr><w:pStyle w:val="Normal"/></w:pPr>
<w:r><w:t xml:space="preserve">to the ugly, the sublime, &amp;c., by Hegel&apos;s disciples, e.g.</w:t></w:r>
</w:p>
<w:p>
<w:pPr><w:pStyle w:val="Heading1"/></w:pPr>
<w:r><w:t>C. H. Weisse and J. K. F. Rosenkranz.  The most important</w:t></w:r>
</w:p>
<w:p>
<w:pPr><w:pStyle w:val="Normal"/></w:pPr>
<w:r><w:t xml:space="preserve">product of the Hegelian School is the elaborate system</w:t></w:r>
</w:p>
<w:p>
<w:pPr><w:pStyle w:val="Normal"/></w:pPr>
<w:r><w:t xml:space="preserve">of aesthetics published by F. T. Vischer (Esthetik, 3</w:t></w:r>
</w:p>
<w:p>
<w:pPr><w:pStyle w:val="Normal"/></w:pPr>
<w:r><w:t xml:space="preserve">Theile, 1846--1834).  It illustrates the difficulties</w:t></w:r>
</w:p>
<w:p>
<w:pPr><w:pStyle w:val="Normal"/></w:pPr>
<w:r><w:t xml:space="preserve">of the Hegelian thought and terminology; yet in dealing</w:t></w:r>
</w:p>
<w:p>
<w:pPr><w:pStyle w:val="Normal"/></w:pPr>
<w:r><w:t xml:space="preserve">with art it is full of knowledge and highly suggestive.</w:t></w:r>
</w:p>
<w:p>
<w:pPr><w:pStyle w:val="Normal"/></w:pPr>
<w:r><w:t xml:space="preserve">Schopenhauer.</w:t></w:r>
</w:p>
<w:p>
<w:pPr><w:pStyle w:val="Normal"/></w:pPr>
<w:r><w:t xml:space="preserve">The aesthetic prbolem is also treated by two other philosophers</w:t></w:r>
</w:p>
<w:p>
<w:pPr><w:pStyle w:val="Normal"/></w:pPr>
<w:r><w:t xml:space="preserve">whose thought set out from certain tendencies in Kant&apos;s</w:t></w:r>
</w:p>
<w:p>
<w:pPr><w:pStyle w:val="Normal"/></w:pPr>
<w:r><w:t xml:space="preserve">system, viz.  Schopenhauer and Herbart.  Schopenhauer (see</w:t></w:r>
</w:p>
<w:p>
<w:pPr><w:pStyle w:val="Normal"/></w:pPr>
<w:r><w:t xml:space="preserve">SCHOPENHAUER, also The World as Will and Idea, translated</w:t></w:r>
</w:p>
<w:p>
<w:pPr><w:pStyle w:val="Normal"/></w:pPr>
<w:r><w:t xml:space="preserve">by R. B. Haldane, esp. vol. i. pp. 219-346), abandoning</w:t></w:r>
</w:p>
<w:p>
<w:pPr><w:pStyle w:val="Normal"/></w:pPr>
<w:r><w:t xml:space="preserve">also Kant&apos;s doctrine of the subjectivity of beauty, found</w:t></w:r>
</w:p>
<w:p>
<w:pPr><w:pStyle w:val="Normal"/></w:pPr>
<w:r><w:t xml:space="preserve">in aesthetic contemplation the perfect emancipation of</w:t></w:r>
</w:p>
<w:p>
<w:pPr><w:pStyle w:val="Normal"/></w:pPr>
<w:r><w:t xml:space="preserve">intellect from will.  In this contemplation the mind is</w:t></w:r>
</w:p>
<w:p>
<w:pPr><w:pStyle w:val="Normal"/></w:pPr>
<w:r><w:t xml:space="preserve">filled with pure intellectual forms, the ``Platonic Ideas&apos;&apos;</w:t></w:r>
</w:p>
<w:p>
<w:pPr><w:pStyle w:val="Normal"/></w:pPr>
<w:r><w:t xml:space="preserve">as he calls them, which are objectifications of the will</w:t></w:r>
</w:p>
<w:p>
<w:pPr><w:pStyle w:val="Normal"/></w:pPr>
<w:r><w:t xml:space="preserve">at a certain grade of completeness of representation.  He</w:t></w:r>
</w:p>
<w:p>
<w:pPr><w:pStyle w:val="Normal"/></w:pPr>
<w:r><w:t xml:space="preserve">exalts the state of artistic contemplation as the one in</w:t></w:r>
</w:p>
<w:p>
<w:pPr><w:pStyle w:val="Normal"/></w:pPr>
<w:r><w:t xml:space="preserve">which, as pure intellect set free from will, the misery of</w:t></w:r>
</w:p>
<w:p>
<w:pPr><w:pStyle w:val="Normal"/></w:pPr>
<w:r><w:t xml:space="preserve">existence is surmounted and something of blissful ecstasy</w:t></w:r>
</w:p>
<w:p>
<w:pPr><w:pStyle w:val="Normal"/></w:pPr>
<w:r><w:t xml:space="preserve">attained.  He holds that all things are in some degree beautiful,</w:t></w:r>
</w:p>
<w:p>
<w:pPr><w:pStyle w:val="Normal"/></w:pPr>
<w:r><w:t xml:space="preserve">ugliness being viewed as merely imoerfect manifestation or</w:t></w:r>
</w:p>
<w:p>
<w:pPr><w:pStyle w:val="Normal"/></w:pPr>
<w:r><w:t xml:space="preserve">objectification of will.  In this way the beauty of nature,</w:t></w:r>
</w:p>
<w:p>
<w:pPr><w:pStyle w:val="Normal"/></w:pPr>
<w:r><w:t xml:space="preserve">somewhat slighted by Schelling and Hegel, is rehabilitated.</w:t></w:r>
</w:p>
<w:p>
<w:pPr><w:pStyle w:val="Normal"/></w:pPr>
<w:r><w:t xml:space="preserve">Herbart.</w:t></w:r>
</w:p>
<w:p>
<w:pPr><w:pStyle w:val="Normal"/></w:pPr>
<w:r><w:t xml:space="preserve">J. F. Herbart (q.v.) struck out another way of escaping</w:t></w:r>
</w:p>
<w:p>
<w:pPr><w:pStyle w:val="Normal"/></w:pPr>
<w:r><w:t xml:space="preserve">from Kant&apos;s idea of a purely subjective beauty (Kerbach&apos;s</w:t></w:r>
</w:p>
<w:p>
<w:pPr><w:pStyle w:val="Normal"/></w:pPr>
<w:r><w:t xml:space="preserve">edition of Werke, Bd. ii. pp. 339 et seq.; Bd. iv. pp.</w:t></w:r>
</w:p>
<w:p>
<w:pPr><w:pStyle w:val="Normal"/></w:pPr>
<w:r><w:t xml:space="preserve">105 et seq., and Bd. ix. pp. 92 et seq..) He did, indeed,</w:t></w:r>
</w:p>
<w:p>
<w:pPr><w:pStyle w:val="Normal"/></w:pPr>
<w:r><w:t xml:space="preserve">adopt Kant&apos;s view of the aesthetic Judgment as singular</w:t></w:r>
</w:p>
<w:p>
<w:pPr><w:pStyle w:val="Normal"/></w:pPr>
<w:r><w:t xml:space="preserve">(``individual&apos;&apos;); though he secures a certain degree of</w:t></w:r>
</w:p>
<w:p>
<w:pPr><w:pStyle w:val="Normal"/></w:pPr>
<w:r><w:t xml:space="preserve">logical universality for it by emphasizing the point that the</w:t></w:r>
</w:p>
<w:p>
<w:pPr><w:pStyle w:val="Normal"/></w:pPr>
<w:r><w:t xml:space="preserve">predicate (beauty) is permanently true of the same aesthetic</w:t></w:r>
</w:p>
<w:p>
<w:pPr><w:pStyle w:val="Normal"/></w:pPr>
<w:r><w:t xml:space="preserve">object.  At the same time, by referring the beauty of concrete</w:t></w:r>
</w:p>
<w:p>
<w:pPr><w:pStyle w:val="Normal"/></w:pPr>
<w:r><w:t xml:space="preserve">objects to certain aesthetic relations, he virtually accepted</w:t></w:r>
</w:p>
<w:p>
<w:pPr><w:pStyle w:val="Normal"/></w:pPr>
<w:r><w:t xml:space="preserve">the possibility of universal aesthetic judgments (cf. supra.)</w:t></w:r>
</w:p>
<w:p>
<w:pPr><w:pStyle w:val="Normal"/></w:pPr>
<w:r><w:t xml:space="preserve">Since he thus reduces beauty to abstract relations he is known</w:t></w:r>
</w:p>
<w:p>
<w:pPr><w:pStyle w:val="Normal"/></w:pPr>
<w:r><w:t xml:space="preserve">as a formalist, and the founder of the formalistic school in</w:t></w:r>
</w:p>
<w:p>
<w:pPr><w:pStyle w:val="Normal"/></w:pPr>
<w:r><w:t xml:space="preserve">aesthetics.  He sets out with the idea that only relations</w:t></w:r>
</w:p>
<w:p>
<w:pPr><w:pStyle w:val="Normal"/></w:pPr>
<w:r><w:t xml:space="preserve">please--in the Kantian sense of producing pleasure devoid of</w:t></w:r>
</w:p>
<w:p>
<w:pPr><w:pStyle w:val="Normal"/></w:pPr>
<w:r><w:t xml:space="preserve">desire; and his aim is to determine the ``aesthetic elementary</w:t></w:r>
</w:p>
<w:p>
<w:pPr><w:pStyle w:val="Normal"/></w:pPr>
<w:r><w:t xml:space="preserve">relations&apos;&apos;, or the simplest relations which produce this</w:t></w:r>
</w:p>
<w:p>
<w:pPr><w:pStyle w:val="Normal"/></w:pPr>
<w:r><w:t xml:space="preserve">pleasure.  These include those of will, so that, as he aomits,</w:t></w:r>
</w:p>
<w:p>
<w:pPr><w:pStyle w:val="Normal"/></w:pPr>
<w:r><w:t xml:space="preserve">ethical judgments are in a manner brought under an aesthetic</w:t></w:r>
</w:p>
<w:p>
<w:pPr><w:pStyle w:val="Normal"/></w:pPr>
<w:r><w:t xml:space="preserve">form.  His typical example of aesthetic relations of objects</w:t></w:r>
</w:p>
<w:p>
<w:pPr><w:pStyle w:val="Normal"/></w:pPr>
<w:r><w:t xml:space="preserve">of sense-perception is that of harmony between tones.  The</w:t></w:r>
</w:p>
<w:p>
<w:pPr><w:pStyle w:val="Normal"/></w:pPr>
<w:r><w:t xml:space="preserve">science of thorough-bass has, he thinks, done for music</w:t></w:r>
</w:p>
<w:p>
<w:pPr><w:pStyle w:val="Normal"/></w:pPr>
<w:r><w:t xml:space="preserve">what should be done also for other departments of aesthetic</w:t></w:r>
</w:p>
<w:p>
<w:pPr><w:pStyle w:val="Normal"/></w:pPr>
<w:r><w:t xml:space="preserve">experience.  This doctrine of elementary relations is brought</w:t></w:r>
</w:p>
<w:p>
<w:pPr><w:pStyle w:val="Normal"/></w:pPr>
<w:r><w:t xml:space="preserve">into connexion with the author&apos;s psychological doctrine of</w:t></w:r>
</w:p>
<w:p>
<w:pPr><w:pStyle w:val="Normal"/></w:pPr>
<w:r><w:t xml:space="preserve">presentarions with their tendencies to mutual inhibition and</w:t></w:r>
</w:p>
<w:p>
<w:pPr><w:pStyle w:val="Normal"/></w:pPr>
<w:r><w:t xml:space="preserve">to fusion, and of the varying feeling-tones to which these</w:t></w:r>
</w:p>
<w:p>
<w:pPr><w:pStyle w:val="Normal"/></w:pPr>
<w:r><w:t xml:space="preserve">processes give rise.  This mode of treating the problem of</w:t></w:r>
</w:p>
<w:p>
<w:pPr><w:pStyle w:val="Normal"/></w:pPr>
<w:r><w:t xml:space="preserve">beauty and aesthetic perception has been greatly developed</w:t></w:r>
</w:p>
<w:p>
<w:pPr><w:pStyle w:val="Normal"/></w:pPr>
<w:r><w:t xml:space="preserve">and worked up into a comrlete system of aesthetics by one of</w:t></w:r>
</w:p>
<w:p>
<w:pPr><w:pStyle w:val="Normal"/></w:pPr>
<w:r><w:t xml:space="preserve">Herbart&apos;s disciples, Robert Zimmermann (Asthetik, 1838).</w:t></w:r>
</w:p>
<w:p>
<w:pPr><w:pStyle w:val="Normal"/></w:pPr>
<w:r><w:t xml:space="preserve">Lessing.</w:t></w:r>
</w:p>
<w:p>
<w:pPr><w:pStyle w:val="Normal"/></w:pPr>
<w:r><w:t xml:space="preserve">Lessing, in his Laocoon and elsewhere, sought to deduce</w:t></w:r>
</w:p>
<w:p>
<w:pPr><w:pStyle w:val="Normal"/></w:pPr>
<w:r><w:t xml:space="preserve">the special function of an art from a consideration of</w:t></w:r>
</w:p>
<w:p>
<w:pPr><w:pStyle w:val="Normal"/></w:pPr>
<w:r><w:t xml:space="preserve">the means at its disposal.  He took pains to define the</w:t></w:r>
</w:p>
<w:p>
<w:pPr><w:pStyle w:val="Normal"/></w:pPr>
<w:r><w:t xml:space="preserve">boundaries of poetry and upon the ends and appliances of</w:t></w:r>
</w:p>
<w:p>
<w:pPr><w:pStyle w:val="Normal"/></w:pPr>
<w:r><w:t xml:space="preserve">art.  Among these his distinction between arts which</w:t></w:r>
</w:p>
<w:p>
<w:pPr><w:pStyle w:val="Normal"/></w:pPr>
<w:r><w:t xml:space="preserve">employ the coexistent in space and those which employ the</w:t></w:r>
</w:p>
<w:p>
<w:pPr><w:pStyle w:val="Normal"/></w:pPr>
<w:r><w:t xml:space="preserve">successive (as poetry and music) is of lasting value.  In</w:t></w:r>
</w:p>
<w:p>
<w:pPr><w:pStyle w:val="Normal"/></w:pPr>
<w:r><w:t xml:space="preserve">his dramatic criticisms he similarly endeavoured to develop</w:t></w:r>
</w:p>
<w:p>
<w:pPr><w:pStyle w:val="Normal"/></w:pPr>
<w:r><w:t xml:space="preserve">clear general principles on such points as poetic truth,</w:t></w:r>
</w:p>
<w:p>
<w:pPr><w:pStyle w:val="Normal"/></w:pPr>
<w:r><w:t xml:space="preserve">improving upon Aristotle, on whose teachina he mainly relies.</w:t></w:r>
</w:p>
<w:p>
<w:pPr><w:pStyle w:val="Normal"/></w:pPr>
<w:r><w:t xml:space="preserve">Goethe.  Schiller.</w:t></w:r>
</w:p>
<w:p>
<w:pPr><w:pStyle w:val="Normal"/></w:pPr>
<w:r><w:t xml:space="preserve">Goethe wrote several tracts on aesthetic topics, as well as many</w:t></w:r>
</w:p>
<w:p>
<w:pPr><w:pStyle w:val="Normal"/></w:pPr>
<w:r><w:t xml:space="preserve">aphorisms.  He attempted to mediate between the claims of</w:t></w:r>
</w:p>
<w:p>
<w:pPr><w:pStyle w:val="Normal"/></w:pPr>
<w:r><w:t xml:space="preserve">ideal beauty, as taught by J. J. Winckelmann, and the aims of</w:t></w:r>
</w:p>
<w:p>
<w:pPr><w:pStyle w:val="Normal"/></w:pPr>
<w:r><w:t xml:space="preserve">dualization.  Schiller (q.v.) discusses, in a number of</w:t></w:r>
</w:p>
<w:p>
<w:pPr><w:pStyle w:val="Normal"/></w:pPr>
<w:r><w:t xml:space="preserve">disconnected essays and letters some of the main questions</w:t></w:r>
</w:p>
<w:p>
<w:pPr><w:pStyle w:val="Normal"/></w:pPr>
<w:r><w:t xml:space="preserve">in the philosophy of art.  He looks at art from the side</w:t></w:r>
</w:p>
<w:p>
<w:pPr><w:pStyle w:val="Normal"/></w:pPr>
<w:r><w:t xml:space="preserve">of culture and the forces of human nature, and finds in an</w:t></w:r>
</w:p>
<w:p>
<w:pPr><w:pStyle w:val="Normal"/></w:pPr>
<w:r><w:t xml:space="preserve">aesthetically cultivated soul the reconciliation of the sensual</w:t></w:r>
</w:p>
<w:p>
<w:pPr><w:pStyle w:val="Normal"/></w:pPr>
<w:r><w:t xml:space="preserve">and rational.  His letters on aesthetic education (Uber die</w:t></w:r>
</w:p>
<w:p>
<w:pPr><w:pStyle w:val="Normal"/></w:pPr>
<w:r><w:t xml:space="preserve">asthetische Erzichung des Menschen, trans. by J. Weiss,</w:t></w:r>
</w:p>
<w:p>
<w:pPr><w:pStyle w:val="Normal"/></w:pPr>
<w:r><w:t xml:space="preserve">Boston, 1845) are valuable, bringing out among other points</w:t></w:r>
</w:p>
<w:p>
<w:pPr><w:pStyle w:val="Normal"/></w:pPr>
<w:r><w:t xml:space="preserve">the connexion between aesthetic activity and the universal</w:t></w:r>
</w:p>
<w:p>
<w:pPr><w:pStyle w:val="Normal"/></w:pPr>
<w:r><w:t xml:space="preserve">impulse to play (Spieltrieb.) Schiller&apos;s thoughts on aesthetic</w:t></w:r>
</w:p>
<w:p>
<w:pPr><w:pStyle w:val="Normal"/></w:pPr>
<w:r><w:t xml:space="preserve">subjects are pervaded with the spirit of Kant&apos;s philosophy.</w:t></w:r>
</w:p>
<w:p>
<w:pPr><w:pStyle w:val="Normal"/></w:pPr>
<w:r><w:t xml:space="preserve">Jean Paul.</w:t></w:r>
</w:p>
<w:p>
<w:pPr><w:pStyle w:val="Normal"/></w:pPr>
<w:r><w:t xml:space="preserve">Another example of this kind of reflective discussion of</w:t></w:r>
</w:p>
<w:p>
<w:pPr><w:pStyle w:val="Normal"/></w:pPr>
<w:r><w:t xml:space="preserve">art by literary men is afforded us in the Vorschule der</w:t></w:r>
</w:p>
<w:p>
<w:pPr><w:pStyle w:val="Normal"/></w:pPr>
<w:r><w:t xml:space="preserve">Asthetik of Jean Paul Richter.  This is a rather ambitious</w:t></w:r>
</w:p>
<w:p>
<w:pPr><w:pStyle w:val="Normal"/></w:pPr>
<w:r><w:t xml:space="preserve">discussion of the sublime and ludicrous, which, however,</w:t></w:r>
</w:p>
<w:p>
<w:pPr><w:pStyle w:val="Normal"/></w:pPr>
<w:r><w:t xml:space="preserve">contains much valuable matter on the nature of humour in</w:t></w:r>
</w:p>
<w:p>
<w:pPr><w:pStyle w:val="Normal"/></w:pPr>
<w:r><w:t xml:space="preserve">romantic poetry.  Among other writers who reflect more or less</w:t></w:r>
</w:p>
<w:p>
<w:pPr><w:pStyle w:val="Normal"/></w:pPr>
<w:r><w:t xml:space="preserve">philosophically on the problems to which modern poetry gives</w:t></w:r>
</w:p>
<w:p>
<w:pPr><w:pStyle w:val="Normal"/></w:pPr>
<w:r><w:t xml:space="preserve">rise are Wilhelm von Humboldt, the two Schlegels and Gervinus.</w:t></w:r>
</w:p>
<w:p>
<w:pPr><w:pStyle w:val="Normal"/></w:pPr>
<w:r><w:t xml:space="preserve">Contributions by German savants.</w:t></w:r>
</w:p>
<w:p>
<w:pPr><w:pStyle w:val="Normal"/></w:pPr>
<w:r><w:t xml:space="preserve">A word may be said in conclusion on the attempts of German</w:t></w:r>
</w:p>
<w:p>
<w:pPr><w:pStyle w:val="Normal"/></w:pPr>
<w:r><w:t xml:space="preserve">savants to apply a knowledge of physiological conditions</w:t></w:r>
</w:p>
<w:p>
<w:pPr><w:pStyle w:val="Normal"/></w:pPr>
<w:r><w:t xml:space="preserve">to the investigation of the sensuous elements of aesthetic</w:t></w:r>
</w:p>
<w:p>
<w:pPr><w:pStyle w:val="Normal"/></w:pPr>
<w:r><w:t xml:space="preserve">effect, as well as to introduce into the study of the simpler</w:t></w:r>
</w:p>
<w:p>
<w:pPr><w:pStyle w:val="Normal"/></w:pPr>
<w:r><w:t xml:space="preserve">aesthetic forms the methods of natural science.  The classic</w:t></w:r>
</w:p>
<w:p>
<w:pPr><w:pStyle w:val="Normal"/></w:pPr>
<w:r><w:t xml:space="preserve">work of Helmholtz on ``Sensations of Tone&apos;&apos; is a highly musical</w:t></w:r>
</w:p>
<w:p>
<w:pPr><w:pStyle w:val="Normal"/></w:pPr>
<w:r><w:t xml:space="preserve">composition on physics and physiology.  The endeavour to</w:t></w:r>
</w:p>
<w:p>
<w:pPr><w:pStyle w:val="Normal"/></w:pPr>
<w:r><w:t xml:space="preserve">determine with a like degree of precision the physiological</w:t></w:r>
</w:p>
<w:p>
<w:pPr><w:pStyle w:val="Normal"/></w:pPr>
<w:r><w:t xml:space="preserve">conditions of the pleasurable effects of colours and their</w:t></w:r>
</w:p>
<w:p>
<w:pPr><w:pStyle w:val="Normal"/></w:pPr>
<w:r><w:t xml:space="preserve">combinations by E. W. Brucke, Ewald Hering and more recent</w:t></w:r>
</w:p>
<w:p>
<w:pPr><w:pStyle w:val="Normal"/></w:pPr>
<w:r><w:t xml:space="preserve">investigators, has so far failed to realize the desideratum</w:t></w:r>
</w:p>
<w:p>
<w:pPr><w:pStyle w:val="Normal"/></w:pPr>
<w:r><w:t xml:space="preserve">laid down by Herbart, that there should be a theory of</w:t></w:r>
</w:p>
<w:p>
<w:pPr><w:pStyle w:val="Normal"/></w:pPr>
<w:r><w:t xml:space="preserve">colour-relations equal in completeness and exactness to that</w:t></w:r>
</w:p>
<w:p>
<w:pPr><w:pStyle w:val="Normal"/></w:pPr>
<w:r><w:t xml:space="preserve">of tone-relations.  The experimental inquiry into simple</w:t></w:r>
</w:p>
<w:p>
<w:pPr><w:pStyle w:val="Normal"/></w:pPr>
<w:r><w:t xml:space="preserve">aesthetically pleasing forms was begun by G. T. Fechner in</w:t></w:r>
</w:p>
<w:p>
<w:pPr><w:pStyle w:val="Normal"/></w:pPr>
<w:r><w:t xml:space="preserve">seeking to test the soundness of Adolf Zeising&apos;s hypothesis</w:t></w:r>
</w:p>
<w:p>
<w:pPr><w:pStyle w:val="Normal"/></w:pPr>
<w:r><w:t xml:space="preserve">that the most pleasing proportion in dividing a line, say the</w:t></w:r>
</w:p>
<w:p>
<w:pPr><w:pStyle w:val="Normal"/></w:pPr>
<w:r><w:t xml:space="preserve">vertical part of a cross, is the ``golden section,&apos;&apos; where the</w:t></w:r>
</w:p>
<w:p>
<w:pPr><w:pStyle w:val="Normal"/></w:pPr>
<w:r><w:t xml:space="preserve">smaller division is to the larger as the latter to the sum.</w:t></w:r>
</w:p>
<w:p>
<w:pPr><w:pStyle w:val="Normal"/></w:pPr>
<w:r><w:t xml:space="preserve">He describes in his work on ``Experimental Aesthetics&apos;&apos; (Auf</w:t></w:r>
</w:p>
<w:p>
<w:pPr><w:pStyle w:val="Normal"/></w:pPr>
<w:r><w:t xml:space="preserve">experimentalen Asthetik) a series of experiments carried out</w:t></w:r>
</w:p>
<w:p>
<w:pPr><w:pStyle w:val="Normal"/></w:pPr>
<w:r><w:t xml:space="preserve">on a large number of persons, bearing on this point, the results</w:t></w:r>
</w:p>
<w:p>
<w:pPr><w:pStyle w:val="Normal"/></w:pPr>
<w:r><w:t xml:space="preserve">of which he considers to be in favour of Zeising&apos;s hypothesis.</w:t></w:r>
</w:p>
<w:p>
<w:pPr><w:pStyle w:val="Normal"/></w:pPr>
<w:r><w:t xml:space="preserve">Discussions of more concrete problems.</w:t></w:r>
</w:p>
<w:p>
<w:pPr><w:pStyle w:val="Normal"/></w:pPr>
<w:r><w:t xml:space="preserve">3. French Writers.--In France aesthetic speculation grew</w:t></w:r>
</w:p>
<w:p>
<w:pPr><w:pStyle w:val="Normal"/></w:pPr>
<w:r><w:t xml:space="preserve">out of the discussion by poets and critics on the relation of</w:t></w:r>
</w:p>
<w:p>
<w:pPr><w:pStyle w:val="Normal"/></w:pPr>
<w:r><w:t xml:space="preserve">modern art, and Boileau in the 17th century, the development</w:t></w:r>
</w:p>
<w:p>
<w:pPr><w:pStyle w:val="Normal"/></w:pPr>
<w:r><w:t xml:space="preserve">of the the dispute between the ``ancients&apos;&apos; and the `moderns&apos;&apos;</w:t></w:r>
</w:p>
<w:p>
<w:pPr><w:pStyle w:val="Normal"/></w:pPr>
<w:r><w:t xml:space="preserve">at the end of the 17th century by B. le Bouvier de Fontenelle</w:t></w:r>
</w:p>
<w:p>
<w:pPr><w:pStyle w:val="Normal"/></w:pPr>
<w:r><w:t xml:space="preserve">and Charles Perrault, and the continuation of the discussion</w:t></w:r>
</w:p>
<w:p>
<w:pPr><w:pStyle w:val="Normal"/></w:pPr>
<w:r><w:t xml:space="preserve">as to the aims of poetry and of art generally in the 18th</w:t></w:r>
</w:p>
<w:p>
<w:pPr><w:pStyle w:val="Normal"/></w:pPr>
<w:r><w:t xml:space="preserve">century by Voltaire, Bayle, Diderot and others, not only</w:t></w:r>
</w:p>
<w:p>
<w:pPr><w:pStyle w:val="Normal"/></w:pPr>
<w:r><w:t xml:space="preserve">offer to the modern theorists valuable material in the shape</w:t></w:r>
</w:p>
<w:p>
<w:pPr><w:pStyle w:val="Normal"/></w:pPr>
<w:r><w:t xml:space="preserve">of a record by experts of their aesthetic experience, but</w:t></w:r>
</w:p>
<w:p>
<w:pPr><w:pStyle w:val="Normal"/></w:pPr>
<w:r><w:t xml:space="preserve">disclose glimpses of important aesthetic principles.  A more</w:t></w:r>
</w:p>
<w:p>
<w:pPr><w:pStyle w:val="Normal"/></w:pPr>
<w:r><w:t xml:space="preserve">systematic examination of the several arts (corresponding</w:t></w:r>
</w:p>
<w:p>
<w:pPr><w:pStyle w:val="Normal"/></w:pPr>
<w:r><w:t xml:space="preserve">to that of Lessing) is to be found in the Cours de belles</w:t></w:r>
</w:p>
<w:p>
<w:pPr><w:pStyle w:val="Normal"/></w:pPr>
<w:r><w:t xml:space="preserve">lettres of Charles Batteux (1765), in which the meaning</w:t></w:r>
</w:p>
<w:p>
<w:pPr><w:pStyle w:val="Normal"/></w:pPr>
<w:r><w:t xml:space="preserve">and value of the imitation of nature by art are further</w:t></w:r>
</w:p>
<w:p>
<w:pPr><w:pStyle w:val="Normal"/></w:pPr>
<w:r><w:t xml:space="preserve">elucidated, and the arts are classified (as by Lessing)</w:t></w:r>
</w:p>
<w:p>
<w:pPr><w:pStyle w:val="Normal"/></w:pPr>
<w:r><w:t xml:space="preserve">according as they employ the forms of space or those of time.</w:t></w:r>
</w:p>
<w:p>
<w:pPr><w:pStyle w:val="Normal"/></w:pPr>
<w:r><w:t xml:space="preserve">Theories of organic beauty.  Buffier.</w:t></w:r>
</w:p>
<w:p>
<w:pPr><w:pStyle w:val="Normal"/></w:pPr>
<w:r><w:t xml:space="preserve">The beginning of a more scientific investigation of beauty in</w:t></w:r>
</w:p>
<w:p>
<w:pPr><w:pStyle w:val="Normal"/></w:pPr>
<w:r><w:t xml:space="preserve">general is connected with the name of Pere Buffier (see First</w:t></w:r>
</w:p>
<w:p>
<w:pPr><w:pStyle w:val="Normal"/></w:pPr>
<w:r><w:t xml:space="preserve">Truths), form, and illustrates his theory by the human face.  A</w:t></w:r>
</w:p>
<w:p>
<w:pPr><w:pStyle w:val="Normal"/></w:pPr>
<w:r><w:t xml:space="preserve">A beautiful face is at once the most common and most rare among</w:t></w:r>
</w:p>
<w:p>
<w:pPr><w:pStyle w:val="Normal"/></w:pPr>
<w:r><w:t xml:space="preserve">members of the species.  This seems to be a clumsy way of saying</w:t></w:r>
</w:p>
<w:p>
<w:pPr><w:pStyle w:val="Normal"/></w:pPr>
<w:r><w:t xml:space="preserve">that it is a clear expression of the typical form of the species.</w:t></w:r>
</w:p>
<w:p>
<w:pPr><w:pStyle w:val="Normal"/></w:pPr>
<w:r><w:t xml:space="preserve">Taine.</w:t></w:r>
</w:p>
<w:p>
<w:pPr><w:pStyle w:val="Normal"/></w:pPr>
<w:r><w:t xml:space="preserve">This idea of typical beauty (which was adopted by Reynolds)</w:t></w:r>
</w:p>
<w:p>
<w:pPr><w:pStyle w:val="Normal"/></w:pPr>
<w:r><w:t xml:space="preserve">has been worked out more recently by H. Taine.  In his</w:t></w:r>
</w:p>
<w:p>
<w:pPr><w:pStyle w:val="Normal"/></w:pPr>
<w:r><w:t xml:space="preserve">work, The Ideal in Art (trans. by i.  Durand), he</w:t></w:r>
</w:p>
<w:p>
<w:pPr><w:pStyle w:val="Normal"/></w:pPr>
<w:r><w:t xml:space="preserve">proceeds in the manner of a botanist to determine a scale</w:t></w:r>
</w:p>
<w:p>
<w:pPr><w:pStyle w:val="Normal"/></w:pPr>
<w:r><w:t xml:space="preserve">of characters in the physical and moral man.  The degree of</w:t></w:r>
</w:p>
<w:p>
<w:pPr><w:pStyle w:val="Normal"/></w:pPr>
<w:r><w:t xml:space="preserve">the universality or importance of a character, and of its</w:t></w:r>
</w:p>
<w:p>
<w:pPr><w:pStyle w:val="Normal"/></w:pPr>
<w:r><w:t xml:space="preserve">beneficence or adaptation to the ends of life, determine the</w:t></w:r>
</w:p>
<w:p>
<w:pPr><w:pStyle w:val="Normal"/></w:pPr>
<w:r><w:t xml:space="preserve">measure of its aesthetic value, and render the work of art,</w:t></w:r>
</w:p>
<w:p>
<w:pPr><w:pStyle w:val="Normal"/></w:pPr>
<w:r><w:t xml:space="preserve">which seeks to represent it in its purity, an ideal work.</w:t></w:r>
</w:p>
<w:p>
<w:pPr><w:pStyle w:val="Normal"/></w:pPr>
<w:r><w:t xml:space="preserve">French systems of aesthetics: The spiritualistes.</w:t></w:r>
</w:p>
<w:p>
<w:pPr><w:pStyle w:val="Normal"/></w:pPr>
<w:r><w:t xml:space="preserve">The only elaborated systems of aesthetics in French literature</w:t></w:r>
</w:p>
<w:p>
<w:pPr><w:pStyle w:val="Normal"/></w:pPr>
<w:r><w:t xml:space="preserve">are those constructed by the spiritualistes, the philosoohic</w:t></w:r>
</w:p>
<w:p>
<w:pPr><w:pStyle w:val="Normal"/></w:pPr>
<w:r><w:t xml:space="preserve">writers who under the influence of German thinkers effected a</w:t></w:r>
</w:p>
<w:p>
<w:pPr><w:pStyle w:val="Normal"/></w:pPr>
<w:r><w:t xml:space="preserve">reaction against the crude sensationalism of the 18th century</w:t></w:r>
</w:p>
<w:p>
<w:pPr><w:pStyle w:val="Normal"/></w:pPr>
<w:r><w:t xml:space="preserve">they aim at elucidating the higher and spiritual element in</w:t></w:r>
</w:p>
<w:p>
<w:pPr><w:pStyle w:val="Normal"/></w:pPr>
<w:r><w:t xml:space="preserve">aesthetic impressions, appearing to ignore any capability</w:t></w:r>
</w:p>
<w:p>
<w:pPr><w:pStyle w:val="Normal"/></w:pPr>
<w:r><w:t xml:space="preserve">in the sensuous material of affording a true aesthetic</w:t></w:r>
</w:p>
<w:p>
<w:pPr><w:pStyle w:val="Normal"/></w:pPr>
<w:r><w:t xml:space="preserve">delight.  J. Cousin and Jean Charles Leveque are the principal</w:t></w:r>
</w:p>
<w:p>
<w:pPr><w:pStyle w:val="Normal"/></w:pPr>
<w:r><w:t xml:space="preserve">writers of this school.  The latter developed an elaborate</w:t></w:r>
</w:p>
<w:p>
<w:pPr><w:pStyle w:val="Normal"/></w:pPr>
<w:r><w:t xml:space="preserve">system of the subject (La Science du beau.) All beauty is</w:t></w:r>
</w:p>
<w:p>
<w:pPr><w:pStyle w:val="Normal"/></w:pPr>
<w:r><w:t xml:space="preserve">regarded as spiritual in its nature.  The several beautiful</w:t></w:r>
</w:p>
<w:p>
<w:pPr><w:pStyle w:val="Normal"/></w:pPr>
<w:r><w:t xml:space="preserve">characters of an organic body--of which the principal are</w:t></w:r>
</w:p>
<w:p>
<w:pPr><w:pStyle w:val="Normal"/></w:pPr>
<w:r><w:t xml:space="preserve">magnitude, unity and variety of parts, intensity of colour,</w:t></w:r>
</w:p>
<w:p>
<w:pPr><w:pStyle w:val="Normal"/></w:pPr>
<w:r><w:t xml:space="preserve">grace or flexibility, and correspondence to environment--may</w:t></w:r>
</w:p>
<w:p>
<w:pPr><w:pStyle w:val="Normal"/></w:pPr>
<w:r><w:t xml:space="preserve">be brought under the conception of the ideal grandeur and</w:t></w:r>
</w:p>
<w:p>
<w:pPr><w:pStyle w:val="Normal"/></w:pPr>
<w:r><w:t xml:space="preserve">order of the species.  These are perceived by reason to be</w:t></w:r>
</w:p>
<w:p>
<w:pPr><w:pStyle w:val="Normal"/></w:pPr>
<w:r><w:t xml:space="preserve">the manifestations of an invisible vinal force.  Similarly</w:t></w:r>
</w:p>
<w:p>
<w:pPr><w:pStyle w:val="Normal"/></w:pPr>
<w:r><w:t xml:space="preserve">the beauties of inorganic nature are to be viewed as</w:t></w:r>
</w:p>
<w:p>
<w:pPr><w:pStyle w:val="Normal"/></w:pPr>
<w:r><w:t xml:space="preserve">the grand and orderly displays of an immaterial ohvsical</w:t></w:r>
</w:p>
<w:p>
<w:pPr><w:pStyle w:val="Normal"/></w:pPr>
<w:r><w:t xml:space="preserve">force.  Thus all beauty is in its objective essence either</w:t></w:r>
</w:p>
<w:p>
<w:pPr><w:pStyle w:val="Normal"/></w:pPr>
<w:r><w:t xml:space="preserve">spirit or unconscious force acting with fulness and in order.</w:t></w:r>
</w:p>
<w:p>
<w:pPr><w:pStyle w:val="Normal"/></w:pPr>
<w:r><w:t xml:space="preserve">4. English Writers.--There is nothing answering to the German</w:t></w:r>
</w:p>
<w:p>
<w:pPr><w:pStyle w:val="Normal"/></w:pPr>
<w:r><w:t xml:space="preserve">conception of a system of aesthetics in English literature.</w:t></w:r>
</w:p>
<w:p>
<w:pPr><w:pStyle w:val="Normal"/></w:pPr>
<w:r><w:t xml:space="preserve">The inquiries of English thinkers have been directed for</w:t></w:r>
</w:p>
<w:p>
<w:pPr><w:pStyle w:val="Normal"/></w:pPr>
<w:r><w:t xml:space="preserve">the most part to such modest problems as the psychological</w:t></w:r>
</w:p>
<w:p>
<w:pPr><w:pStyle w:val="Normal"/></w:pPr>
<w:r><w:t xml:space="preserve">process by which we perceive the beautiful--discussions which</w:t></w:r>
</w:p>
<w:p>
<w:pPr><w:pStyle w:val="Normal"/></w:pPr>
<w:r><w:t xml:space="preserve">are apt to be regarded by German historians as devoid of</w:t></w:r>
</w:p>
<w:p>
<w:pPr><w:pStyle w:val="Normal"/></w:pPr>
<w:r><w:t xml:space="preserve">real philosophical value.  The writers may be conveniently</w:t></w:r>
</w:p>
<w:p>
<w:pPr><w:pStyle w:val="Normal"/></w:pPr>
<w:r><w:t xml:space="preserve">arranged in two divisions, answering to the two opposed</w:t></w:r>
</w:p>
<w:p>
<w:pPr><w:pStyle w:val="Normal"/></w:pPr>
<w:r><w:t xml:space="preserve">directions of English thought: (i) the Intuitionalists, those</w:t></w:r>
</w:p>
<w:p>
<w:pPr><w:pStyle w:val="Normal"/></w:pPr>
<w:r><w:t xml:space="preserve">who recognize the existence of an objective beauty which is</w:t></w:r>
</w:p>
<w:p>
<w:pPr><w:pStyle w:val="Normal"/></w:pPr>
<w:r><w:t xml:space="preserve">a simple unanalysable attribute or principle of things: and</w:t></w:r>
</w:p>
<w:p>
<w:pPr><w:pStyle w:val="Normal"/></w:pPr>
<w:r><w:t xml:space="preserve">(2) the Analytical theorists, those who follow the analytical</w:t></w:r>
</w:p>
<w:p>
<w:pPr><w:pStyle w:val="Normal"/></w:pPr>
<w:r><w:t xml:space="preserve">and psychological method, concerning themselves with the</w:t></w:r>
</w:p>
<w:p>
<w:pPr><w:pStyle w:val="Normal"/></w:pPr>
<w:r><w:t xml:space="preserve">sentiment of beauty as a complex growth out of simpler elements.</w:t></w:r>
</w:p>
<w:p>
<w:pPr><w:pStyle w:val="Normal"/></w:pPr>
<w:r><w:t xml:space="preserve">The Intuitionists.  Shaftesbury.</w:t></w:r>
</w:p>
<w:p>
<w:pPr><w:pStyle w:val="Normal"/></w:pPr>
<w:r><w:t xml:space="preserve">Shaftesbury is the first of the intuitional writers on</w:t></w:r>
</w:p>
<w:p>
<w:pPr><w:pStyle w:val="Normal"/></w:pPr>
<w:r><w:t xml:space="preserve">beauty.  In his Characteristics the beautiful and the good</w:t></w:r>
</w:p>
<w:p>
<w:pPr><w:pStyle w:val="Normal"/></w:pPr>
<w:r><w:t xml:space="preserve">are combined in one ideal conception, much as with Plato.</w:t></w:r>
</w:p>
<w:p>
<w:pPr><w:pStyle w:val="Normal"/></w:pPr>
<w:r><w:t xml:space="preserve">Matter in itself is ugly.  The order of the world, wherein all</w:t></w:r>
</w:p>
<w:p>
<w:pPr><w:pStyle w:val="Normal"/></w:pPr>
<w:r><w:t xml:space="preserve">beauty really resides, is a spiritual principle, all motion</w:t></w:r>
</w:p>
<w:p>
<w:pPr><w:pStyle w:val="Normal"/></w:pPr>
<w:r><w:t xml:space="preserve">and life being the product of spirit.  The principle of beauty</w:t></w:r>
</w:p>
<w:p>
<w:pPr><w:pStyle w:val="Normal"/></w:pPr>
<w:r><w:t xml:space="preserve">is perceived not with the outer sense, but with an internal or</w:t></w:r>
</w:p>
<w:p>
<w:pPr><w:pStyle w:val="Normal"/></w:pPr>
<w:r><w:t xml:space="preserve">moral sense which apprehends the good as well.  This perception</w:t></w:r>
</w:p>
<w:p>
<w:pPr><w:pStyle w:val="Normal"/></w:pPr>
<w:r><w:t xml:space="preserve">yields the only true delight, namely, spiritual enjoyment.</w:t></w:r>
</w:p>
<w:p>
<w:pPr><w:pStyle w:val="Normal"/></w:pPr>
<w:r><w:t xml:space="preserve">Hutcheson.</w:t></w:r>
</w:p>
<w:p>
<w:pPr><w:pStyle w:val="Normal"/></w:pPr>
<w:r><w:t xml:space="preserve">Francis Hutchinson, in his System of Moral Philosophy, though</w:t></w:r>
</w:p>
<w:p>
<w:pPr><w:pStyle w:val="Normal"/></w:pPr>
<w:r><w:t xml:space="preserve">he adopts many of Shaftesbury&apos;s ideas, distinctly disclaims any</w:t></w:r>
</w:p>
<w:p>
<w:pPr><w:pStyle w:val="Normal"/></w:pPr>
<w:r><w:t xml:space="preserve">independent self-existing beauty in objects. ``All beauty,&apos;&apos;</w:t></w:r>
</w:p>
<w:p>
<w:pPr><w:pStyle w:val="Normal"/></w:pPr>
<w:r><w:t xml:space="preserve">he says, ``is relative to the sense of some mind perceiving</w:t></w:r>
</w:p>
<w:p>
<w:pPr><w:pStyle w:val="Normal"/></w:pPr>
<w:r><w:t xml:space="preserve">it.&apos;&apos; One cause of beauty is to be found not in a simple</w:t></w:r>
</w:p>
<w:p>
<w:pPr><w:pStyle w:val="Normal"/></w:pPr>
<w:r><w:t xml:space="preserve">sensation such as colour or tone, but in a certain order among</w:t></w:r>
</w:p>
<w:p>
<w:pPr><w:pStyle w:val="Normal"/></w:pPr>
<w:r><w:t xml:space="preserve">the parts, or ``uniformity amidst variety.&apos;&apos; The faculty by</w:t></w:r>
</w:p>
<w:p>
<w:pPr><w:pStyle w:val="Normal"/></w:pPr>
<w:r><w:t xml:space="preserve">which this principle indiscerned is an internal sense which is</w:t></w:r>
</w:p>
<w:p>
<w:pPr><w:pStyle w:val="Normal"/></w:pPr>
<w:r><w:t xml:space="preserve">defined as ``a passive power of receiving ideas of beauty from</w:t></w:r>
</w:p>
<w:p>
<w:pPr><w:pStyle w:val="Normal"/></w:pPr>
<w:r><w:t xml:space="preserve">all objects in which there is uniformity in variety.&apos;&apos; This</w:t></w:r>
</w:p>
<w:p>
<w:pPr><w:pStyle w:val="Normal"/></w:pPr>
<w:r><w:t xml:space="preserve">inner sense resembles the external senses in the immediateness</w:t></w:r>
</w:p>
<w:p>
<w:pPr><w:pStyle w:val="Normal"/></w:pPr>
<w:r><w:t xml:space="preserve">of the pleasure which its activity brings: and further in</w:t></w:r>
</w:p>
<w:p>
<w:pPr><w:pStyle w:val="Normal"/></w:pPr>
<w:r><w:t xml:space="preserve">the necessity of its impressions: a beautiful thing being</w:t></w:r>
</w:p>
<w:p>
<w:pPr><w:pStyle w:val="Normal"/></w:pPr>
<w:r><w:t xml:space="preserve">always, whether we will or no, beautiful.  He distinguishes</w:t></w:r>
</w:p>
<w:p>
<w:pPr><w:pStyle w:val="Normal"/></w:pPr>
<w:r><w:t xml:space="preserve">two kinds of beauty, absolute or original, and relative or</w:t></w:r>
</w:p>
<w:p>
<w:pPr><w:pStyle w:val="Normal"/></w:pPr>
<w:r><w:t xml:space="preserve">comparative.  The latter is discerned in an object which is</w:t></w:r>
</w:p>
<w:p>
<w:pPr><w:pStyle w:val="Normal"/></w:pPr>
<w:r><w:t xml:space="preserve">regarded as an imitation or semblance of another.  He distinctly</w:t></w:r>
</w:p>
<w:p>
<w:pPr><w:pStyle w:val="Normal"/></w:pPr>
<w:r><w:t xml:space="preserve">states that ``an exact imitation may still be beautiful though</w:t></w:r>
</w:p>
<w:p>
<w:pPr><w:pStyle w:val="Normal"/></w:pPr>
<w:r><w:t xml:space="preserve">the original were entirely devoid of it.&apos;&apos; He seeks to prove</w:t></w:r>
</w:p>
<w:p>
<w:pPr><w:pStyle w:val="Normal"/></w:pPr>
<w:r><w:t xml:space="preserve">the universality of this sense of beauty, by showing that all</w:t></w:r>
</w:p>
<w:p>
<w:pPr><w:pStyle w:val="Normal"/></w:pPr>
<w:r><w:t xml:space="preserve">men, in proportion to the enlargement of their intellectual</w:t></w:r>
</w:p>
<w:p>
<w:pPr><w:pStyle w:val="Normal"/></w:pPr>
<w:r><w:t xml:space="preserve">capacity, are more delighted with uniformity than the opposite.</w:t></w:r>
</w:p>
<w:p>
<w:pPr><w:pStyle w:val="Normal"/></w:pPr>
<w:r><w:t xml:space="preserve">Reid.</w:t></w:r>
</w:p>
<w:p>
<w:pPr><w:pStyle w:val="Normal"/></w:pPr>
<w:r><w:t xml:space="preserve">In his Essays on the Intellectual Powers (viii. ``Of</w:t></w:r>
</w:p>
<w:p>
<w:pPr><w:pStyle w:val="Normal"/></w:pPr>
<w:r><w:t xml:space="preserve">Taste&apos;&apos;) Thomas Reid applies his principle of common sense</w:t></w:r>
</w:p>
<w:p>
<w:pPr><w:pStyle w:val="Normal"/></w:pPr>
<w:r><w:t xml:space="preserve">to the problem of beauty saying that objects of beauty agree</w:t></w:r>
</w:p>
<w:p>
<w:pPr><w:pStyle w:val="Normal"/></w:pPr>
<w:r><w:t xml:space="preserve">not only in producing a certain agreeable emotion, but in</w:t></w:r>
</w:p>
<w:p>
<w:pPr><w:pStyle w:val="Normal"/></w:pPr>
<w:r><w:t xml:space="preserve">the excitation along with this emotion of a belief that they</w:t></w:r>
</w:p>
<w:p>
<w:pPr><w:pStyle w:val="Normal"/></w:pPr>
<w:r><w:t xml:space="preserve">possess some perfection or excellence, that beauty exists</w:t></w:r>
</w:p>
<w:p>
<w:pPr><w:pStyle w:val="Normal"/></w:pPr>
<w:r><w:t xml:space="preserve">in the objects independently our minds.  His theory of</w:t></w:r>
</w:p>
<w:p>
<w:pPr><w:pStyle w:val="Normal"/></w:pPr>
<w:r><w:t xml:space="preserve">beauty is severely spiritual.  All beauty resides primarily</w:t></w:r>
</w:p>
<w:p>
<w:pPr><w:pStyle w:val="Normal"/></w:pPr>
<w:r><w:t xml:space="preserve">in the faculties of the mind, intellectual and moral.  The</w:t></w:r>
</w:p>
<w:p>
<w:pPr><w:pStyle w:val="Normal"/></w:pPr>
<w:r><w:t xml:space="preserve">beauty which is spread over the face of visible nature is an</w:t></w:r>
</w:p>
<w:p>
<w:pPr><w:pStyle w:val="Normal"/></w:pPr>
<w:r><w:t xml:space="preserve">emanation from this spiritual beauty, and is beauty because</w:t></w:r>
</w:p>
<w:p>
<w:pPr><w:pStyle w:val="Normal"/></w:pPr>
<w:r><w:t xml:space="preserve">it symbolizes and expresses the latter.  Thus the beauty</w:t></w:r>
</w:p>
<w:p>
<w:pPr><w:pStyle w:val="Normal"/></w:pPr>
<w:r><w:t xml:space="preserve">of a plant resides in its perfect adapration to its end, a</w:t></w:r>
</w:p>
<w:p>
<w:pPr><w:pStyle w:val="Normal"/></w:pPr>
<w:r><w:t xml:space="preserve">perfection which is an expression of the wisdom of its Creator.</w:t></w:r>
</w:p>
<w:p>
<w:pPr><w:pStyle w:val="Normal"/></w:pPr>
<w:r><w:t xml:space="preserve">Hamilton.</w:t></w:r>
</w:p>
<w:p>
<w:pPr><w:pStyle w:val="Normal"/></w:pPr>
<w:r><w:t xml:space="preserve">In his Lectures on Metaphysics Sir W. Hamilton gives a</w:t></w:r>
</w:p>
<w:p>
<w:pPr><w:pStyle w:val="Normal"/></w:pPr>
<w:r><w:t xml:space="preserve">short account of the sentiments of taste, which (with a</w:t></w:r>
</w:p>
<w:p>
<w:pPr><w:pStyle w:val="Normal"/></w:pPr>
<w:r><w:t xml:space="preserve">superficial resemblance to Kant) he regards as subserving</w:t></w:r>
</w:p>
<w:p>
<w:pPr><w:pStyle w:val="Normal"/></w:pPr>
<w:r><w:t xml:space="preserve">both the subsidiary and the elaborative faculties in</w:t></w:r>
</w:p>
<w:p>
<w:pPr><w:pStyle w:val="Normal"/></w:pPr>
<w:r><w:t xml:space="preserve">cognition, that is, the imagination and the understanding.</w:t></w:r>
</w:p>
<w:p>
<w:pPr><w:pStyle w:val="Normal"/></w:pPr>
<w:r><w:t xml:space="preserve">The activity of the former corresponds to the element of</w:t></w:r>
</w:p>
<w:p>
<w:pPr><w:pStyle w:val="Normal"/></w:pPr>
<w:r><w:t xml:space="preserve">variety in a beautiful object, that of the latter with its</w:t></w:r>
</w:p>
<w:p>
<w:pPr><w:pStyle w:val="Normal"/></w:pPr>
<w:r><w:t xml:space="preserve">unity.  He explicitly excludes all other kinds of pleasure,</w:t></w:r>
</w:p>
<w:p>
<w:pPr><w:pStyle w:val="Normal"/></w:pPr>
<w:r><w:t xml:space="preserve">such as the sensuous, from the proper gratification of beauty.</w:t></w:r>
</w:p>
<w:p>
<w:pPr><w:pStyle w:val="Normal"/></w:pPr>
<w:r><w:t xml:space="preserve">He denies that the attribute of beauty belongs to fitness.</w:t></w:r>
</w:p>
<w:p>
<w:pPr><w:pStyle w:val="Normal"/></w:pPr>
<w:r><w:t xml:space="preserve">Ruskin.</w:t></w:r>
</w:p>
<w:p>
<w:pPr><w:pStyle w:val="Normal"/></w:pPr>
<w:r><w:t xml:space="preserve">John Ruskin&apos;s well-known speculations on the nature of</w:t></w:r>
</w:p>
<w:p>
<w:pPr><w:pStyle w:val="Normal"/></w:pPr>
<w:r><w:t xml:space="preserve">beauty in Modern Painters (``Of ideas of beauty&apos;&apos;), though</w:t></w:r>
</w:p>
<w:p>
<w:pPr><w:pStyle w:val="Normal"/></w:pPr>
<w:r><w:t xml:space="preserve">sadly wanting in scientific precision, have a certain value</w:t></w:r>
</w:p>
<w:p>
<w:pPr><w:pStyle w:val="Normal"/></w:pPr>
<w:r><w:t xml:space="preserve">in the history of divine attributes.  Its true nature is</w:t></w:r>
</w:p>
<w:p>
<w:pPr><w:pStyle w:val="Normal"/></w:pPr>
<w:r><w:t xml:space="preserve">appreciated by the theoretic faculty which is concerned in</w:t></w:r>
</w:p>
<w:p>
<w:pPr><w:pStyle w:val="Normal"/></w:pPr>
<w:r><w:t xml:space="preserve">the moral conception and appreciation of ideas of beauty,</w:t></w:r>
</w:p>
<w:p>
<w:pPr><w:pStyle w:val="Normal"/></w:pPr>
<w:r><w:t xml:space="preserve">and must be distinguished from the imaginative or artistic</w:t></w:r>
</w:p>
<w:p>
<w:pPr><w:pStyle w:val="Normal"/></w:pPr>
<w:r><w:t xml:space="preserve">faculty, which is employed in regarding in a certain way</w:t></w:r>
</w:p>
<w:p>
<w:pPr><w:pStyle w:val="Normal"/></w:pPr>
<w:r><w:t xml:space="preserve">and combining the ideas received from external nature.  He</w:t></w:r>
</w:p>
<w:p>
<w:pPr><w:pStyle w:val="Normal"/></w:pPr>
<w:r><w:t xml:space="preserve">distinguishes between typical and vital beauty.  The former</w:t></w:r>
</w:p>
<w:p>
<w:pPr><w:pStyle w:val="Normal"/></w:pPr>
<w:r><w:t xml:space="preserve">is the external quality of bodies which typifies some divine</w:t></w:r>
</w:p>
<w:p>
<w:pPr><w:pStyle w:val="Normal"/></w:pPr>
<w:r><w:t xml:space="preserve">attribute.  The latter consists in ``the appearance of</w:t></w:r>
</w:p>
<w:p>
<w:pPr><w:pStyle w:val="Normal"/></w:pPr>
<w:r><w:t xml:space="preserve">felicitous fulfilment of function in living things.&apos;&apos; The</w:t></w:r>
</w:p>
<w:p>
<w:pPr><w:pStyle w:val="Normal"/></w:pPr>
<w:r><w:t xml:space="preserve">forms of typical beauty are:--(1) infinity, the type of</w:t></w:r>
</w:p>
<w:p>
<w:pPr><w:pStyle w:val="Normal"/></w:pPr>
<w:r><w:t xml:space="preserve">the divine incomprehensibility; (2) unity, the type of the</w:t></w:r>
</w:p>
<w:p>
<w:pPr><w:pStyle w:val="Normal"/></w:pPr>
<w:r><w:t xml:space="preserve">divine comprehensiveness; (3) repose, the type of the divine</w:t></w:r>
</w:p>
<w:p>
<w:pPr><w:pStyle w:val="Normal"/></w:pPr>
<w:r><w:t xml:space="preserve">permanence; (4) symmetry, the type of the divine justice; (5)</w:t></w:r>
</w:p>
<w:p>
<w:pPr><w:pStyle w:val="Normal"/></w:pPr>
<w:r><w:t xml:space="preserve">purity, the type of the divine energy; and (6) moderation, the</w:t></w:r>
</w:p>
<w:p>
<w:pPr><w:pStyle w:val="Normal"/></w:pPr>
<w:r><w:t xml:space="preserve">type of government by law.  Vital beauty, again, is regarded</w:t></w:r>
</w:p>
<w:p>
<w:pPr><w:pStyle w:val="Normal"/></w:pPr>
<w:r><w:t xml:space="preserve">as relative when the degree of exaltation of the function</w:t></w:r>
</w:p>
<w:p>
<w:pPr><w:pStyle w:val="Normal"/></w:pPr>
<w:r><w:t xml:space="preserve">is estimated, or generic if only the degree of conformity</w:t></w:r>
</w:p>
<w:p>
<w:pPr><w:pStyle w:val="Normal"/></w:pPr>
<w:r><w:t xml:space="preserve">of an individual to the appointed functions of the species</w:t></w:r>
</w:p>
<w:p>
<w:pPr><w:pStyle w:val="Normal"/></w:pPr>
<w:r><w:t xml:space="preserve">is taken into account.  Ruskin&apos;s writings illustrate the</w:t></w:r>
</w:p>
<w:p>
<w:pPr><w:pStyle w:val="Normal"/></w:pPr>
<w:r><w:t xml:space="preserve">extreme tendency to identify aesthetic with moral perception.</w:t></w:r>
</w:p>
<w:p>
<w:pPr><w:pStyle w:val="Normal"/></w:pPr>
<w:r><w:t xml:space="preserve">The analytical theorists.  Addison.</w:t></w:r>
</w:p>
<w:p>
<w:pPr><w:pStyle w:val="Normal"/></w:pPr>
<w:r><w:t xml:space="preserve">Addison&apos;s ``Essays on the Imagination&apos;&apos;&apos; contributed to</w:t></w:r>
</w:p>
<w:p>
<w:pPr><w:pStyle w:val="Normal"/></w:pPr>
<w:r><w:t xml:space="preserve">the Spectator, though they belong to popular literature,</w:t></w:r>
</w:p>
<w:p>
<w:pPr><w:pStyle w:val="Normal"/></w:pPr>
<w:r><w:t xml:space="preserve">contain the germ of scientific analysis in the statement</w:t></w:r>
</w:p>
<w:p>
<w:pPr><w:pStyle w:val="Normal"/></w:pPr>
<w:r><w:t xml:space="preserve">that the pleasures of imagination (which arise originally</w:t></w:r>
</w:p>
<w:p>
<w:pPr><w:pStyle w:val="Normal"/></w:pPr>
<w:r><w:t xml:space="preserve">from sight) fall into two classes--(1) primary pleasures,</w:t></w:r>
</w:p>
<w:p>
<w:pPr><w:pStyle w:val="Normal"/></w:pPr>
<w:r><w:t xml:space="preserve">which entirely proceed from objects before our eyes; and</w:t></w:r>
</w:p>
<w:p>
<w:pPr><w:pStyle w:val="Normal"/></w:pPr>
<w:r><w:t xml:space="preserve">(2) secondary pleasures, flowing frm the ideas of visible</w:t></w:r>
</w:p>
<w:p>
<w:pPr><w:pStyle w:val="Normal"/></w:pPr>
<w:r><w:t xml:space="preserve">objects.  The latter are greatly extended by the addition of</w:t></w:r>
</w:p>
<w:p>
<w:pPr><w:pStyle w:val="Normal"/></w:pPr>
<w:r><w:t xml:space="preserve">the proper enjoyment of resemblance, which is at the basis of</w:t></w:r>
</w:p>
<w:p>
<w:pPr><w:pStyle w:val="Normal"/></w:pPr>
<w:r><w:t xml:space="preserve">all mimicry and wit.  Addison recognizes, too, to some extent,</w:t></w:r>
</w:p>
<w:p>
<w:pPr><w:pStyle w:val="Normal"/></w:pPr>
<w:r><w:t xml:space="preserve">the influence of association upon our aesthetic preferences.</w:t></w:r>
</w:p>
<w:p>
<w:pPr><w:pStyle w:val="Normal"/></w:pPr>
<w:r><w:t xml:space="preserve">Home.</w:t></w:r>
</w:p>
<w:p>
<w:pPr><w:pStyle w:val="Normal"/></w:pPr>
<w:r><w:t xml:space="preserve">In the Elements of Criticism of Home (Lord Kames) another</w:t></w:r>
</w:p>
<w:p>
<w:pPr><w:pStyle w:val="Normal"/></w:pPr>
<w:r><w:t xml:space="preserve">attempt is made to resolve the pleasure of beauty into its</w:t></w:r>
</w:p>
<w:p>
<w:pPr><w:pStyle w:val="Normal"/></w:pPr>
<w:r><w:t xml:space="preserve">elements.  Beauty and ugliness are simply the pleasant and</w:t></w:r>
</w:p>
<w:p>
<w:pPr><w:pStyle w:val="Normal"/></w:pPr>
<w:r><w:t xml:space="preserve">unappears to admit no general characreristic of beautiful</w:t></w:r>
</w:p>
<w:p>
<w:pPr><w:pStyle w:val="Normal"/></w:pPr>
<w:r><w:t xml:space="preserve">objects beyond this power of yielding pleasure.  Like</w:t></w:r>
</w:p>
<w:p>
<w:pPr><w:pStyle w:val="Normal"/></w:pPr>
<w:r><w:t xml:space="preserve">Hutcheson, he divides beauty into intrinsic and relative,</w:t></w:r>
</w:p>
<w:p>
<w:pPr><w:pStyle w:val="Normal"/></w:pPr>
<w:r><w:t xml:space="preserve">but understands by the latter the appearance of fitness and</w:t></w:r>
</w:p>
<w:p>
<w:pPr><w:pStyle w:val="Normal"/></w:pPr>
<w:r><w:t xml:space="preserve">utility, which is excluded from the beautiful by Hutcheson.</w:t></w:r>
</w:p>
<w:p>
<w:pPr><w:pStyle w:val="Normal"/></w:pPr>
<w:r><w:t xml:space="preserve">Hogarth.</w:t></w:r>
</w:p>
<w:p>
<w:pPr><w:pStyle w:val="Normal"/></w:pPr>
<w:r><w:t xml:space="preserve">Passing by the name of Sir Joshua Reynolds, whose theory of</w:t></w:r>
</w:p>
<w:p>
<w:pPr><w:pStyle w:val="Normal"/></w:pPr>
<w:r><w:t xml:space="preserve">beauty closely resembles that of Pere Buffier, we come to the</w:t></w:r>
</w:p>
<w:p>
<w:pPr><w:pStyle w:val="Normal"/></w:pPr>
<w:r><w:t xml:space="preserve">articulations of another artist and painter, William Hogarth.</w:t></w:r>
</w:p>
<w:p>
<w:pPr><w:pStyle w:val="Normal"/></w:pPr>
<w:r><w:t xml:space="preserve">He discusses, in his Analysis of Beauty, all the elements of</w:t></w:r>
</w:p>
<w:p>
<w:pPr><w:pStyle w:val="Normal"/></w:pPr>
<w:r><w:t xml:space="preserve">visual beauty.  He finds in this the following elements:---(1)</w:t></w:r>
</w:p>
<w:p>
<w:pPr><w:pStyle w:val="Normal"/></w:pPr>
<w:r><w:t xml:space="preserve">fitness of the parts to some design; (2) variety in as many</w:t></w:r>
</w:p>
<w:p>
<w:pPr><w:pStyle w:val="Normal"/></w:pPr>
<w:r><w:t xml:space="preserve">ways as possible; (3) uniformity, regularity or symmetry, which</w:t></w:r>
</w:p>
<w:p>
<w:pPr><w:pStyle w:val="Normal"/></w:pPr>
<w:r><w:t xml:space="preserve">is only beautiful when it helps to preserve the character of</w:t></w:r>
</w:p>
<w:p>
<w:pPr><w:pStyle w:val="Normal"/></w:pPr>
<w:r><w:t xml:space="preserve">fitness; (4) simplicity or distinctness, which gives pleasure</w:t></w:r>
</w:p>
<w:p>
<w:pPr><w:pStyle w:val="Normal"/></w:pPr>
<w:r><w:t xml:space="preserve">not in itself, but through its enabling the eye to enjoy</w:t></w:r>
</w:p>
<w:p>
<w:pPr><w:pStyle w:val="Normal"/></w:pPr>
<w:r><w:t xml:space="preserve">variety with ease; (5) intricacy, which provides employment</w:t></w:r>
</w:p>
<w:p>
<w:pPr><w:pStyle w:val="Normal"/></w:pPr>
<w:r><w:t xml:space="preserve">for our active energies, leading the eye ``a wanton kind of</w:t></w:r>
</w:p>
<w:p>
<w:pPr><w:pStyle w:val="Normal"/></w:pPr>
<w:r><w:t xml:space="preserve">chase&apos;&apos;; (6) quantity or magnitude, which draws our attention</w:t></w:r>
</w:p>
<w:p>
<w:pPr><w:pStyle w:val="Normal"/></w:pPr>
<w:r><w:t xml:space="preserve">and produces admiration and awe.  The beauty of proportion</w:t></w:r>
</w:p>
<w:p>
<w:pPr><w:pStyle w:val="Normal"/></w:pPr>
<w:r><w:t xml:space="preserve">he resolves into the needs of fitness.  Hogarth applies these</w:t></w:r>
</w:p>
<w:p>
<w:pPr><w:pStyle w:val="Normal"/></w:pPr>
<w:r><w:t xml:space="preserve">principles to the determination of the degrees of beauty in</w:t></w:r>
</w:p>
<w:p>
<w:pPr><w:pStyle w:val="Normal"/></w:pPr>
<w:r><w:t xml:space="preserve">lines, figures and groups of forms.  Among lines he singles</w:t></w:r>
</w:p>
<w:p>
<w:pPr><w:pStyle w:val="Normal"/></w:pPr>
<w:r><w:t xml:space="preserve">out for special honour the serpentine (formed by drawing a line</w:t></w:r>
</w:p>
<w:p>
<w:pPr><w:pStyle w:val="Normal"/></w:pPr>
<w:r><w:t xml:space="preserve">once round from the base to the apex of a long slender cone).</w:t></w:r>
</w:p>
<w:p>
<w:pPr><w:pStyle w:val="Normal"/></w:pPr>
<w:r><w:t xml:space="preserve">Burke.</w:t></w:r>
</w:p>
<w:p>
<w:pPr><w:pStyle w:val="Normal"/></w:pPr>
<w:r><w:t xml:space="preserve">Burke&apos;s speculations, in his Inquiry into the Origin of our</w:t></w:r>
</w:p>
<w:p>
<w:pPr><w:pStyle w:val="Normal"/></w:pPr>
<w:r><w:t xml:space="preserve">Ideas of the Sublime and Beautiful, illustrate the tendency</w:t></w:r>
</w:p>
<w:p>
<w:pPr><w:pStyle w:val="Normal"/></w:pPr>
<w:r><w:t xml:space="preserve">of English writers to treat the problem as a psychological</w:t></w:r>
</w:p>
<w:p>
<w:pPr><w:pStyle w:val="Normal"/></w:pPr>
<w:r><w:t xml:space="preserve">one and to introduce physiological considerations.  He finds</w:t></w:r>
</w:p>
<w:p>
<w:pPr><w:pStyle w:val="Normal"/></w:pPr>
<w:r><w:t xml:space="preserve">the elements of beauty to be:-- (1) smallness; (2) smoothness;</w:t></w:r>
</w:p>
<w:p>
<w:pPr><w:pStyle w:val="Normal"/></w:pPr>
<w:r><w:t xml:space="preserve">(3) gradual variation of direction in gentle curves; (4)</w:t></w:r>
</w:p>
<w:p>
<w:pPr><w:pStyle w:val="Normal"/></w:pPr>
<w:r><w:t xml:space="preserve">delicacy, or the appearance of fragility; (5) brightness,</w:t></w:r>
</w:p>
<w:p>
<w:pPr><w:pStyle w:val="Normal"/></w:pPr>
<w:r><w:t xml:space="preserve">purity and softness of colour.  The sublime is rather crudely</w:t></w:r>
</w:p>
<w:p>
<w:pPr><w:pStyle w:val="Normal"/></w:pPr>
<w:r><w:t xml:space="preserve">resolved into astonishment, which he thinks always retains</w:t></w:r>
</w:p>
<w:p>
<w:pPr><w:pStyle w:val="Normal"/></w:pPr>
<w:r><w:t xml:space="preserve">an element of terror.  Thus ``infinity has a tendency to</w:t></w:r>
</w:p>
<w:p>
<w:pPr><w:pStyle w:val="Normal"/></w:pPr>
<w:r><w:t xml:space="preserve">fill the mind with a delightful horror.&apos;&apos; Burke seeks what</w:t></w:r>
</w:p>
<w:p>
<w:pPr><w:pStyle w:val="Normal"/></w:pPr>
<w:r><w:t xml:space="preserve">he calls ``efficient causes&apos;&apos; for these aesthetic impressions</w:t></w:r>
</w:p>
<w:p>
<w:pPr><w:pStyle w:val="Normal"/></w:pPr>
<w:r><w:t xml:space="preserve">in certain affections of the the nerves of sight analogous</w:t></w:r>
</w:p>
<w:p>
<w:pPr><w:pStyle w:val="Normal"/></w:pPr>
<w:r><w:t xml:space="preserve">to those of other senses, namely, the soothing effect of a</w:t></w:r>
</w:p>
<w:p>
<w:pPr><w:pStyle w:val="Normal"/></w:pPr>
<w:r><w:t xml:space="preserve">relaxation of the nerve fibres.  The arbitrariness and narrowness</w:t></w:r>
</w:p>
<w:p>
<w:pPr><w:pStyle w:val="Normal"/></w:pPr>
<w:r><w:t xml:space="preserve">of this theory cannot well escape the reader&apos;s attention.</w:t></w:r>
</w:p>
<w:p>
<w:pPr><w:pStyle w:val="Normal"/></w:pPr>
<w:r><w:t xml:space="preserve">Alison.</w:t></w:r>
</w:p>
<w:p>
<w:pPr><w:pStyle w:val="Normal"/></w:pPr>
<w:r><w:t xml:space="preserve">Alison, in his well-knwon Essays on the Nature and Principles</w:t></w:r>
</w:p>
<w:p>
<w:pPr><w:pStyle w:val="Normal"/></w:pPr>
<w:r><w:t xml:space="preserve">of Taste, proceeds by a method exactly the opposite to that</w:t></w:r>
</w:p>
<w:p>
<w:pPr><w:pStyle w:val="Normal"/></w:pPr>
<w:r><w:t xml:space="preserve">of Hogarth and Burke.  He seeks to analyse the mental process</w:t></w:r>
</w:p>
<w:p>
<w:pPr><w:pStyle w:val="Normal"/></w:pPr>
<w:r><w:t xml:space="preserve">when finds that this consists in a peculiar operation of the</w:t></w:r>
</w:p>
<w:p>
<w:pPr><w:pStyle w:val="Normal"/></w:pPr>
<w:r><w:t xml:space="preserve">imagination, namely, the flow of a train of ideas through the</w:t></w:r>
</w:p>
<w:p>
<w:pPr><w:pStyle w:val="Normal"/></w:pPr>
<w:r><w:t xml:space="preserve">mind, which ideas always correspond to some simple affection</w:t></w:r>
</w:p>
<w:p>
<w:pPr><w:pStyle w:val="Normal"/></w:pPr>
<w:r><w:t xml:space="preserve">or emotion (e.g. cheerfulness, sadness, awe) awakened by the</w:t></w:r>
</w:p>
<w:p>
<w:pPr><w:pStyle w:val="Normal"/></w:pPr>
<w:r><w:t xml:space="preserve">object.  He thus makes association the sole source of aesthetic</w:t></w:r>
</w:p>
<w:p>
<w:pPr><w:pStyle w:val="Normal"/></w:pPr>
<w:r><w:t xml:space="preserve">delight, and denies the existence of a primary source in sensations</w:t></w:r>
</w:p>
<w:p>
<w:pPr><w:pStyle w:val="Normal"/></w:pPr>
<w:r><w:t xml:space="preserve">themselves.  He illustrates the working of the principle of</w:t></w:r>
</w:p>
<w:p>
<w:pPr><w:pStyle w:val="Normal"/></w:pPr>
<w:r><w:t xml:space="preserve">association at great length, and with much skill; yet his</w:t></w:r>
</w:p>
<w:p>
<w:pPr><w:pStyle w:val="Normal"/></w:pPr>
<w:r><w:t xml:space="preserve">attempt to make it the unique source of aesthetic pleasure fails</w:t></w:r>
</w:p>
<w:p>
<w:pPr><w:pStyle w:val="Normal"/></w:pPr>
<w:r><w:t xml:space="preserve">completely.  Francis Jeffrey&apos;s Essays on Beauty (in the Edinburgh</w:t></w:r>
</w:p>
<w:p>
<w:pPr><w:pStyle w:val="Normal"/></w:pPr>
<w:r><w:t xml:space="preserve">Review, and Encyclopaedia Britannica, 8th edition) are little</w:t></w:r>
</w:p>
<w:p>
<w:pPr><w:pStyle w:val="Normal"/></w:pPr>
<w:r><w:t xml:space="preserve">more than a modification of Alison&apos;s theory. Philosophical</w:t></w:r>
</w:p>
<w:p>
<w:pPr><w:pStyle w:val="Normal"/></w:pPr>
<w:r><w:t xml:space="preserve">Essays consists in pointing out the unwarranted assumption</w:t></w:r>
</w:p>
<w:p>
<w:pPr><w:pStyle w:val="Normal"/></w:pPr>
<w:r><w:t xml:space="preserve">lurking in the doctrine of a single quality running through</w:t></w:r>
</w:p>
<w:p>
<w:pPr><w:pStyle w:val="Normal"/></w:pPr>
<w:r><w:t xml:space="preserve">all varieties of beautiful object.  He seeks to show how the</w:t></w:r>
</w:p>
<w:p>
<w:pPr><w:pStyle w:val="Normal"/></w:pPr>
<w:r><w:t xml:space="preserve">successive changes in the meaning of the term ``beautiful&apos;&apos; have</w:t></w:r>
</w:p>
<w:p>
<w:pPr><w:pStyle w:val="Normal"/></w:pPr>
<w:r><w:t xml:space="preserve">arisen.  He suggests that it originally connoted the pleasure of</w:t></w:r>
</w:p>
<w:p>
<w:pPr><w:pStyle w:val="Normal"/></w:pPr>
<w:r><w:t xml:space="preserve">colour.  The value of his discussion resides more in the</w:t></w:r>
</w:p>
<w:p>
<w:pPr><w:pStyle w:val="Normal"/></w:pPr>
<w:r><w:t xml:space="preserve">criticism of his predecessors than in the contribution of new</w:t></w:r>
</w:p>
<w:p>
<w:pPr><w:pStyle w:val="Normal"/></w:pPr>
<w:r><w:t xml:space="preserve">ideas.  His conception of the sublime, suggested by the etymology</w:t></w:r>
</w:p>
<w:p>
<w:pPr><w:pStyle w:val="Normal"/></w:pPr>
<w:r><w:t xml:space="preserve">of the word, emphasizes the element of height in objects.</w:t></w:r>
</w:p>
<w:p>
<w:pPr><w:pStyle w:val="Normal"/></w:pPr>
<w:r><w:t xml:space="preserve">Of the assoication psychologists James Mill did little</w:t></w:r>
</w:p>
<w:p>
<w:pPr><w:pStyle w:val="Normal"/></w:pPr>
<w:r><w:t xml:space="preserve">more towards the analysis of the sentiments of beauty</w:t></w:r>
</w:p>
<w:p>
<w:pPr><w:pStyle w:val="Normal"/></w:pPr>
<w:r><w:t xml:space="preserve">than re-state Alison&apos;s doctrine.  Alexander Bain, in his</w:t></w:r>
</w:p>
<w:p>
<w:pPr><w:pStyle w:val="Normal"/></w:pPr>
<w:r><w:t xml:space="preserve">treatise, The Emotions and the Will (``Aesthetic</w:t></w:r>
</w:p>
<w:p>
<w:pPr><w:pStyle w:val="Normal"/></w:pPr>
<w:r><w:t xml:space="preserve">Emotions&apos;&apos;), carries this examination considerably further.</w:t></w:r>
</w:p>
<w:p>
<w:pPr><w:pStyle w:val="Normal"/></w:pPr>
<w:r><w:t xml:space="preserve">He seeks to differentiate aesthetic from other varieties</w:t></w:r>
</w:p>
<w:p>
<w:pPr><w:pStyle w:val="Normal"/></w:pPr>
<w:r><w:t xml:space="preserve">of pleasurable emotion by three characteristics:--(1) their</w:t></w:r>
</w:p>
<w:p>
<w:pPr><w:pStyle w:val="Normal"/></w:pPr>
<w:r><w:t xml:space="preserve">freedom from life-serving uses, being gratifications sought</w:t></w:r>
</w:p>
<w:p>
<w:pPr><w:pStyle w:val="Normal"/></w:pPr>
<w:r><w:t xml:space="preserve">for their own sakes; (2) their purity from all disagreeable</w:t></w:r>
</w:p>
<w:p>
<w:pPr><w:pStyle w:val="Normal"/></w:pPr>
<w:r><w:t xml:space="preserve">concomitants; (3) their eminently sympathetic or shareable</w:t></w:r>
</w:p>
<w:p>
<w:pPr><w:pStyle w:val="Normal"/></w:pPr>
<w:r><w:t xml:space="preserve">nature.  He takes a comprehensive view of the constituents of</w:t></w:r>
</w:p>
<w:p>
<w:pPr><w:pStyle w:val="Normal"/></w:pPr>
<w:r><w:t xml:space="preserve">aesthetic enjoyment, including the pleasures of sensation and</w:t></w:r>
</w:p>
<w:p>
<w:pPr><w:pStyle w:val="Normal"/></w:pPr>
<w:r><w:t xml:space="preserve">of its revived or its ``ideal&apos;&apos; form; of revived emotional</w:t></w:r>
</w:p>
<w:p>
<w:pPr><w:pStyle w:val="Normal"/></w:pPr>
<w:r><w:t xml:space="preserve">states; and lastly the satisfaction of those wide-ranging</w:t></w:r>
</w:p>
<w:p>
<w:pPr><w:pStyle w:val="Normal"/></w:pPr>
<w:r><w:t xml:space="preserve">susceptibilities which we call the love of novelty, of contrast</w:t></w:r>
</w:p>
<w:p>
<w:pPr><w:pStyle w:val="Normal"/></w:pPr>
<w:r><w:t xml:space="preserve">and of harmony.  The effect of sublimity is connected with</w:t></w:r>
</w:p>
<w:p>
<w:pPr><w:pStyle w:val="Normal"/></w:pPr>
<w:r><w:t xml:space="preserve">the manifestation of superior power in its highest degrees,</w:t></w:r>
</w:p>
<w:p>
<w:pPr><w:pStyle w:val="Normal"/></w:pPr>
<w:r><w:t xml:space="preserve">which manifestation excites a sympathetic elation in the</w:t></w:r>
</w:p>
<w:p>
<w:pPr><w:pStyle w:val="Normal"/></w:pPr>
<w:r><w:t xml:space="preserve">beholder.  The ludicrous, again, is defined by Bain, improving on</w:t></w:r>
</w:p>
<w:p>
<w:pPr><w:pStyle w:val="Normal"/></w:pPr>
<w:r><w:t xml:space="preserve">Aristotle and Hobbes, as the degradation of something possessing</w:t></w:r>
</w:p>
<w:p>
<w:pPr><w:pStyle w:val="Normal"/></w:pPr>
<w:r><w:t xml:space="preserve">dignity in circumstances that excite no other strong emotion.</w:t></w:r>
</w:p>
<w:p>
<w:pPr><w:pStyle w:val="Normal"/></w:pPr>
<w:r><w:t xml:space="preserve">Herbert Spencer, in his First Principles, Principles of</w:t></w:r>
</w:p>
<w:p>
<w:pPr><w:pStyle w:val="Normal"/></w:pPr>
<w:r><w:t xml:space="preserve">Psychology and Essays, has given an interesting turn to the</w:t></w:r>
</w:p>
<w:p>
<w:pPr><w:pStyle w:val="Normal"/></w:pPr>
<w:r><w:t xml:space="preserve">psychology of aesthetics by the application of his doctrine of</w:t></w:r>
</w:p>
<w:p>
<w:pPr><w:pStyle w:val="Normal"/></w:pPr>
<w:r><w:t xml:space="preserve">evolution.  Adopting Schiller&apos;s idea of a connexion between</w:t></w:r>
</w:p>
<w:p>
<w:pPr><w:pStyle w:val="Normal"/></w:pPr>
<w:r><w:t xml:space="preserve">aesthetic activity and play, he seeks to make it the starting-point</w:t></w:r>
</w:p>
<w:p>
<w:pPr><w:pStyle w:val="Normal"/></w:pPr>
<w:r><w:t xml:space="preserve">in tracing the evolution of aesthetic activity.  Play is</w:t></w:r>
</w:p>
<w:p>
<w:pPr><w:pStyle w:val="Normal"/></w:pPr>
<w:r><w:t xml:space="preserve">defined as the outcome of the superfluous energies of the</w:t></w:r>
</w:p>
<w:p>
<w:pPr><w:pStyle w:val="Normal"/></w:pPr>
<w:r><w:t xml:space="preserve">organism: as the activity of organs and faculties which, owing</w:t></w:r>
</w:p>
<w:p>
<w:pPr><w:pStyle w:val="Normal"/></w:pPr>
<w:r><w:t xml:space="preserve">to a prolonged period of inactivity, have become specially</w:t></w:r>
</w:p>
<w:p>
<w:pPr><w:pStyle w:val="Normal"/></w:pPr>
<w:r><w:t xml:space="preserve">ready to discharge their function, and as a consequence vent</w:t></w:r>
</w:p>
<w:p>
<w:pPr><w:pStyle w:val="Normal"/></w:pPr>
<w:r><w:t xml:space="preserve">themselves in simulated actions.  Aesthetic activities</w:t></w:r>
</w:p>
<w:p>
<w:pPr><w:pStyle w:val="Normal"/></w:pPr>
<w:r><w:t xml:space="preserve">supply a similar mode of self-relieving discharge to the</w:t></w:r>
</w:p>
<w:p>
<w:pPr><w:pStyle w:val="Normal"/></w:pPr>
<w:r><w:t xml:space="preserve">higher organs of perception and emotion; and they further agree</w:t></w:r>
</w:p>
<w:p>
<w:pPr><w:pStyle w:val="Normal"/></w:pPr>
<w:r><w:t xml:space="preserve">with play in not directly subserving any processes conducive</w:t></w:r>
</w:p>
<w:p>
<w:pPr><w:pStyle w:val="Normal"/></w:pPr>
<w:r><w:t xml:space="preserve">to life; in being gratifications sought for their own sake</w:t></w:r>
</w:p>
<w:p>
<w:pPr><w:pStyle w:val="Normal"/></w:pPr>
<w:r><w:t xml:space="preserve">only.  Spencer seeks to construct a hierarchy of aesthetic</w:t></w:r>
</w:p>
<w:p>
<w:pPr><w:pStyle w:val="Normal"/></w:pPr>
<w:r><w:t xml:space="preserve">pleasures according to the degree of complexity of the</w:t></w:r>
</w:p>
<w:p>
<w:pPr><w:pStyle w:val="Normal"/></w:pPr>
<w:r><w:t xml:space="preserve">faculty exercised: from those of sensation up to the revived</w:t></w:r>
</w:p>
<w:p>
<w:pPr><w:pStyle w:val="Normal"/></w:pPr>
<w:r><w:t xml:space="preserve">emotional experiences which constitute the aesthetic sentiment</w:t></w:r>
</w:p>
<w:p>
<w:pPr><w:pStyle w:val="Normal"/></w:pPr>
<w:r><w:t xml:space="preserve">proper.  Among the more vaguely revived emotions Spencer</w:t></w:r>
</w:p>
<w:p>
<w:pPr><w:pStyle w:val="Normal"/></w:pPr>
<w:r><w:t xml:space="preserve">includes more permanent feelings of the race transmitted</w:t></w:r>
</w:p>
<w:p>
<w:pPr><w:pStyle w:val="Normal"/></w:pPr>
<w:r><w:t xml:space="preserve">by heredity; as when he refers the deep and indefinable</w:t></w:r>
</w:p>
<w:p>
<w:pPr><w:pStyle w:val="Normal"/></w:pPr>
<w:r><w:t xml:space="preserve">emotion excited by music to associations with vocal tones</w:t></w:r>
</w:p>
<w:p>
<w:pPr><w:pStyle w:val="Normal"/></w:pPr>
<w:r><w:t xml:space="preserve">expressive of feeling built up during the past history of our</w:t></w:r>
</w:p>
<w:p>
<w:pPr><w:pStyle w:val="Normal"/></w:pPr>
<w:r><w:t xml:space="preserve">species.  This biological treatment of aesthetic activity has</w:t></w:r>
</w:p>
<w:p>
<w:pPr><w:pStyle w:val="Normal"/></w:pPr>
<w:r><w:t xml:space="preserve">had a wide influence, some e.g. Grant Allen) being content</w:t></w:r>
</w:p>
<w:p>
<w:pPr><w:pStyle w:val="Normal"/></w:pPr>
<w:r><w:t xml:space="preserve">to develop his evolutional method.  Yet, as suggested above,</w:t></w:r>
</w:p>
<w:p>
<w:pPr><w:pStyle w:val="Normal"/></w:pPr>
<w:r><w:t xml:space="preserve">his theory is now recognized as taking us only a little way</w:t></w:r>
</w:p>
<w:p>
<w:pPr><w:pStyle w:val="Normal"/></w:pPr>
<w:r><w:t xml:space="preserve">towards an adequate understanding of our aesthetic experience.</w:t></w:r>
</w:p>
<w:p>
<w:pPr><w:pStyle w:val="Normal"/></w:pPr>
<w:r><w:t xml:space="preserve">BIBLIOGRAPHY.39--.a) Works on General Aesthetics. which</w:t></w:r>
</w:p>
<w:p>
<w:pPr><w:pStyle w:val="Normal"/></w:pPr>
<w:r><w:t xml:space="preserve">deal with the whole subject.  The following will be found</w:t></w:r>
</w:p>
<w:p>
<w:pPr><w:pStyle w:val="Normal"/></w:pPr>
<w:r><w:t xml:space="preserve">helpful: Herbert Spencer, Principles of Psychology, pt.</w:t></w:r>
</w:p>
<w:p>
<w:pPr><w:pStyle w:val="Normal"/></w:pPr>
<w:r><w:t xml:space="preserve">viii. c. 9, ``Aesthetic Sentiments,&apos;&apos; and the papers on ``Use</w:t></w:r>
</w:p>
<w:p>
<w:pPr><w:pStyle w:val="Normal"/></w:pPr>
<w:r><w:t xml:space="preserve">and Beauty,&apos;&apos; ``Origin and Function of Music&apos;&apos; and others</w:t></w:r>
</w:p>
<w:p>
<w:pPr><w:pStyle w:val="Normal"/></w:pPr>
<w:r><w:t xml:space="preserve">in the Essays; A. Bain, Emotions and Will, ``Aesthetic</w:t></w:r>
</w:p>
<w:p>
<w:pPr><w:pStyle w:val="Normal"/></w:pPr>
<w:r><w:t xml:space="preserve">Emotions&apos;&apos;; J Sully, Human Mind, ii. ``Aesthetic</w:t></w:r>
</w:p>
<w:p>
<w:pPr><w:pStyle w:val="Normal"/></w:pPr>
<w:r><w:t xml:space="preserve">Sentiment&apos;&apos;: (Grant Allen, ``Physiological Aesthetics&apos;&apos; (Meth.,</w:t></w:r>
</w:p>
<w:p>
<w:pPr><w:pStyle w:val="Normal"/></w:pPr>
<w:r><w:t xml:space="preserve">Pl., Senses, Play); Rutgers Marshall, Pain, Pleasure and</w:t></w:r>
</w:p>
<w:p>
<w:pPr><w:pStyle w:val="Normal"/></w:pPr>
<w:r><w:t xml:space="preserve">Aesthetics, and Aesthetic Principles (Meth., Pl., Play).</w:t></w:r>
</w:p>
<w:p>
<w:pPr><w:pStyle w:val="Normal"/></w:pPr>
<w:r><w:t xml:space="preserve">French and Italian Works.--M.  Guyau, Les problemes</w:t></w:r>
</w:p>
<w:p>
<w:pPr><w:pStyle w:val="Normal"/></w:pPr>
<w:r><w:t xml:space="preserve">de l&apos;esthetique contemporaine (1884) (Pl., Play); E.</w:t></w:r>
</w:p>
<w:p>
<w:pPr><w:pStyle w:val="Normal"/></w:pPr>
<w:r><w:t xml:space="preserve">Veron, L&apos;Esthetique (1890) (slight Pl.); L. Bray,</w:t></w:r>
</w:p>
<w:p>
<w:pPr><w:pStyle w:val="Normal"/></w:pPr>
<w:r><w:t xml:space="preserve">Du Beau (1902). (Pl., Play); P. Saurian, La Beaute</w:t></w:r>
</w:p>
<w:p>
<w:pPr><w:pStyle w:val="Normal"/></w:pPr>
<w:r><w:t xml:space="preserve">rationnelle (1904) (Meth., Pl., Senses, Einf.); M. Pilo,</w:t></w:r>
</w:p>
<w:p>
<w:pPr><w:pStyle w:val="Normal"/></w:pPr>
<w:r><w:t xml:space="preserve">Estetica (Pl., Senses): A. Rolla, Storia delle idee</w:t></w:r>
</w:p>
<w:p>
<w:pPr><w:pStyle w:val="Normal"/></w:pPr>
<w:r><w:t xml:space="preserve">estetiche in Italia (1905) (full account of ideas of Dante</w:t></w:r>
</w:p>
<w:p>
<w:pPr><w:pStyle w:val="Normal"/></w:pPr>
<w:r><w:t xml:space="preserve">and other medieval writers, as well as of modern systems).</w:t></w:r>
</w:p>
<w:p>
<w:pPr><w:pStyle w:val="Normal"/></w:pPr>
<w:r><w:t xml:space="preserve">German Works.---K.  Kostlin, Prolegomena zur</w:t></w:r>
</w:p>
<w:p>
<w:pPr><w:pStyle w:val="Normal"/></w:pPr>
<w:r><w:t xml:space="preserve">Asthetik (1889) (good introduction to subject); K. Groos,</w:t></w:r>
</w:p>
<w:p>
<w:pPr><w:pStyle w:val="Normal"/></w:pPr>
<w:r><w:t xml:space="preserve">Der asthetische Genuss (1902) (Meth., Judg., Play, Senses,</w:t></w:r>
</w:p>
<w:p>
<w:pPr><w:pStyle w:val="Normal"/></w:pPr>
<w:r><w:t xml:space="preserve">Einf. and Ill.); J. Volkelt, System der Asthetik (1905)</w:t></w:r>
</w:p>
<w:p>
<w:pPr><w:pStyle w:val="Normal"/></w:pPr>
<w:r><w:t xml:space="preserve">(very full and clear) (Meth., Norm., Evol., Senses, Einf.); J.</w:t></w:r>
</w:p>
<w:p>
<w:pPr><w:pStyle w:val="Normal"/></w:pPr>
<w:r><w:t xml:space="preserve">Cohn, Allgemeine Asthetik (1901) (Val., Play, Einf.); K.</w:t></w:r>
</w:p>
<w:p>
<w:pPr><w:pStyle w:val="Normal"/></w:pPr>
<w:r><w:t xml:space="preserve">Lange, Das Wesen der Kunst (1901) (Meth., Einf., Ill., Play).</w:t></w:r>
</w:p>
<w:p>
<w:pPr><w:pStyle w:val="Normal"/></w:pPr>
<w:r><w:t xml:space="preserve">(b) Works on History on. Schasler, Kritische Geschichte</w:t></w:r>
</w:p>
<w:p>
<w:pPr><w:pStyle w:val="Normal"/></w:pPr>
<w:r><w:t xml:space="preserve">der Asthetik in Deutschland; M. Schasler, Kritische</w:t></w:r>
</w:p>
<w:p>
<w:pPr><w:pStyle w:val="Normal"/></w:pPr>
<w:r><w:t xml:space="preserve">Geschichte der Asthetik (full and elaborate, dealing with</w:t></w:r>
</w:p>
<w:p>
<w:pPr><w:pStyle w:val="Normal"/></w:pPr>
<w:r><w:t xml:space="preserve">ancient and modern theories); E. von Hartmann, Die deutsche</w:t></w:r>
</w:p>
<w:p>
<w:pPr><w:pStyle w:val="Normal"/></w:pPr>
<w:r><w:t xml:space="preserve">asthetik seit Kant (Ausgewahlte Werke, iii.); K. H. von</w:t></w:r>
</w:p>
<w:p>
<w:pPr><w:pStyle w:val="Normal"/></w:pPr>
<w:r><w:t xml:space="preserve">Stein, Die Entstehung der neueren Asthetik (theories</w:t></w:r>
</w:p>
<w:p>
<w:pPr><w:pStyle w:val="Normal"/></w:pPr>
<w:r><w:t xml:space="preserve">of French critics, &amp;c.); F. Brunetiere, L&apos;Evolution des</w:t></w:r>
</w:p>
<w:p>
<w:pPr><w:pStyle w:val="Normal"/></w:pPr>
<w:r><w:t xml:space="preserve">genres (History of critical discussions in the 17th and 18th</w:t></w:r>
</w:p>
<w:p>
<w:pPr><w:pStyle w:val="Normal"/></w:pPr>
<w:r><w:t xml:space="preserve">centuries); B. Bosanquet, History of Aesthetics (very full,</w:t></w:r>
</w:p>
<w:p>
<w:pPr><w:pStyle w:val="Normal"/></w:pPr>
<w:r><w:t xml:space="preserve">especially on ancient theories and German systems); W. Knight,</w:t></w:r>
</w:p>
<w:p>
<w:pPr><w:pStyle w:val="Normal"/></w:pPr>
<w:r><w:t xml:space="preserve">Philosophy of the Beautiful, pt. i. ``History&apos;&apos; (Univ.</w:t></w:r>
</w:p>
<w:p>
<w:pPr><w:pStyle w:val="Normal"/></w:pPr>
<w:r><w:t xml:space="preserve">Extension Manuals, a popular resume with quotations). (J. S.)</w:t></w:r>
</w:p>
<w:p>
<w:pPr><w:pStyle w:val="Normal"/></w:pPr>
<w:r><w:t xml:space="preserve">1 See below for Kant&apos;s view of the aesthetic judgment,</w:t></w:r>
</w:p>
<w:p>
<w:pPr><w:pStyle w:val="Normal"/></w:pPr>
<w:r><w:t xml:space="preserve">as having subjective universal validity.  On the meaning</w:t></w:r>
</w:p>
<w:p>
<w:pPr><w:pStyle w:val="Normal"/></w:pPr>
<w:r><w:t xml:space="preserve">of judgments of value see J. Cohn, Allgem.  Asthetik,</w:t></w:r>
</w:p>
<w:p>
<w:pPr><w:pStyle w:val="Normal"/></w:pPr>
<w:r><w:t xml:space="preserve">Einleitung, pp. 7 ff., and Teil i., Kap. 2 and 3.</w:t></w:r>
</w:p>
<w:p>
<w:pPr><w:pStyle w:val="Normal"/></w:pPr>
<w:r><w:t xml:space="preserve">2 Cf. Larid, Introduction to Philosophy, pp. 330, 361.</w:t></w:r>
</w:p>
<w:p>
<w:pPr><w:pStyle w:val="Normal"/></w:pPr>
<w:r><w:t xml:space="preserve">3 For example, that hinted at by Bosanquet in his</w:t></w:r>
</w:p>
<w:p>
<w:pPr><w:pStyle w:val="Normal"/></w:pPr>
<w:r><w:t xml:space="preserve">definition of the beautiful, History of aesthetic, p. 5.</w:t></w:r>
</w:p>
<w:p>
<w:pPr><w:pStyle w:val="Normal"/></w:pPr>
<w:r><w:t xml:space="preserve">4 Beauty is defined as perfection by P. Souriau,</w:t></w:r>
</w:p>
<w:p>
<w:pPr><w:pStyle w:val="Normal"/></w:pPr>
<w:r><w:t xml:space="preserve">La Beaute rationnelle, 2eme partie.</w:t></w:r>
</w:p>
<w:p>
<w:pPr><w:pStyle w:val="Normal"/></w:pPr>
<w:r><w:t xml:space="preserve">5 K. Groos argues well against this violent stretching of</w:t></w:r>
</w:p>
<w:p>
<w:pPr><w:pStyle w:val="Normal"/></w:pPr>
<w:r><w:t xml:space="preserve">the word beautiful, Einleitung in die Asthetik, pp. 46 seq.</w:t></w:r>
</w:p>
<w:p>
<w:pPr><w:pStyle w:val="Normal"/></w:pPr>
<w:r><w:t xml:space="preserve">6 Kant, in developing his idea of beauty as subjective,</w:t></w:r>
</w:p>
<w:p>
<w:pPr><w:pStyle w:val="Normal"/></w:pPr>
<w:r><w:t xml:space="preserve">was probably influenced by Hume, who wrote: ``Beauty</w:t></w:r>
</w:p>
<w:p>
<w:pPr><w:pStyle w:val="Normal"/></w:pPr>
<w:r><w:t xml:space="preserve">is no quality in things themselves; it exists merely in</w:t></w:r>
</w:p>
<w:p>
<w:pPr><w:pStyle w:val="Normal"/></w:pPr>
<w:r><w:t xml:space="preserve">the mind which contemplates them&apos;&apos; (Essays, xxii.).</w:t></w:r>
</w:p>
<w:p>
<w:pPr><w:pStyle w:val="Normal"/></w:pPr>
<w:r><w:t xml:space="preserve">7 On the nature of these qualities see S.</w:t></w:r>
</w:p>
<w:p>
<w:pPr><w:pStyle w:val="Normal"/></w:pPr>
<w:r><w:t xml:space="preserve">Witasek, Grundzuge der Allgem. Asthetik, p. 11.</w:t></w:r>
</w:p>
<w:p>
<w:pPr><w:pStyle w:val="Normal"/></w:pPr>
<w:r><w:t xml:space="preserve">8 See J. Cohn; Allgem. Esthetik, P. 96</w:t></w:r>
</w:p>
<w:p>
<w:pPr><w:pStyle w:val="Normal"/></w:pPr>
<w:r><w:t xml:space="preserve">9 Originally, as pointed out by Home and others, sight was</w:t></w:r>
</w:p>
<w:p>
<w:pPr><w:pStyle w:val="Normal"/></w:pPr>
<w:r><w:t xml:space="preserve">regarded as the sense by which we received impressions of</w:t></w:r>
</w:p>
<w:p>
<w:pPr><w:pStyle w:val="Normal"/></w:pPr>
<w:r><w:t xml:space="preserve">beauty.  The recognition of the claims of hearing date back</w:t></w:r>
</w:p>
<w:p>
<w:pPr><w:pStyle w:val="Normal"/></w:pPr>
<w:r><w:t xml:space="preserve">to Plato. (See Bosanquet, Hist. of Aesth. pp. 51-52).  For</w:t></w:r>
</w:p>
<w:p>
<w:pPr><w:pStyle w:val="Normal"/></w:pPr>
<w:r><w:t xml:space="preserve">recent discussions of the claims of sight and hearing see</w:t></w:r>
</w:p>
<w:p>
<w:pPr><w:pStyle w:val="Normal"/></w:pPr>
<w:r><w:t xml:space="preserve">article by J. Volkelt, ``Der Aesth.  Werth der niederen Sinne,&apos;&apos;</w:t></w:r>
</w:p>
<w:p>
<w:pPr><w:pStyle w:val="Normal"/></w:pPr>
<w:r><w:t xml:space="preserve">in Zeitschrift fur Psych. u.  Phys. der Sinnesorgane,</w:t></w:r>
</w:p>
<w:p>
<w:pPr><w:pStyle w:val="Normal"/></w:pPr>
<w:r><w:t xml:space="preserve">vol. xxix. pp. 402 ff.; see also below, Bibliography.</w:t></w:r>
</w:p>
<w:p>
<w:pPr><w:pStyle w:val="Normal"/></w:pPr>
<w:r><w:t xml:space="preserve">10 Laws, 880 (see Bosanquet, op. cit. p. 54).</w:t></w:r>
</w:p>
<w:p>
<w:pPr><w:pStyle w:val="Normal"/></w:pPr>
<w:r><w:t xml:space="preserve">11 Plato had a glimpse of the resemblance of art to play</w:t></w:r>
</w:p>
<w:p>
<w:pPr><w:pStyle w:val="Normal"/></w:pPr>
<w:r><w:t xml:space="preserve">(see Bosanquet, op. cit. p. 54). Among modern writers the</w:t></w:r>
</w:p>
<w:p>
<w:pPr><w:pStyle w:val="Normal"/></w:pPr>
<w:r><w:t xml:space="preserve">idea is specially connected with the names of Schiller and</w:t></w:r>
</w:p>
<w:p>
<w:pPr><w:pStyle w:val="Normal"/></w:pPr>
<w:r><w:t xml:space="preserve">Herbert Spencer.  In recent works the subject is touched</w:t></w:r>
</w:p>
<w:p>
<w:pPr><w:pStyle w:val="Normal"/></w:pPr>
<w:r><w:t xml:space="preserve">on by S. Wittasek, Grundzuge der allgem.  Asthetik,</w:t></w:r>
</w:p>
<w:p>
<w:pPr><w:pStyle w:val="Normal"/></w:pPr>
<w:r><w:t xml:space="preserve">pp. 223 fl.; Bray, Du Beau, pp. 62 ff., and by Rutgers</w:t></w:r>
</w:p>
<w:p>
<w:pPr><w:pStyle w:val="Normal"/></w:pPr>
<w:r><w:t xml:space="preserve">Marshall and others referred to below in Bibliography.</w:t></w:r>
</w:p>
<w:p>
<w:pPr><w:pStyle w:val="Normal"/></w:pPr>
<w:r><w:t xml:space="preserve">12 Hence to say, as Bosanquet says (op. cit. pp. 3-4),</w:t></w:r>
</w:p>
<w:p>
<w:pPr><w:pStyle w:val="Normal"/></w:pPr>
<w:r><w:t xml:space="preserve">that art is to nature as the scientific conception of the</w:t></w:r>
</w:p>
<w:p>
<w:pPr><w:pStyle w:val="Normal"/></w:pPr>
<w:r><w:t xml:space="preserve">world to that of the ordinary observer, seems wide of the mark.</w:t></w:r>
</w:p>
<w:p>
<w:pPr><w:pStyle w:val="Normal"/></w:pPr>
<w:r><w:t xml:space="preserve">13 K. Lange goes very far in attributing a practical</w:t></w:r>
</w:p>
<w:p>
<w:pPr><w:pStyle w:val="Normal"/></w:pPr>
<w:r><w:t xml:space="preserve">motive to features of architecture commonly supposed to</w:t></w:r>
</w:p>
<w:p>
<w:pPr><w:pStyle w:val="Normal"/></w:pPr>
<w:r><w:t xml:space="preserve">have aesthetic value, e.g. a regular series of similar</w:t></w:r>
</w:p>
<w:p>
<w:pPr><w:pStyle w:val="Normal"/></w:pPr>
<w:r><w:t xml:space="preserve">forms (Das Wesen der Kunst, Bd. i. pp. 277 ff.).</w:t></w:r>
</w:p>
<w:p>
<w:pPr><w:pStyle w:val="Normal"/></w:pPr>
<w:r><w:t xml:space="preserve">14 K. Lange thinks that even symmetry probably</w:t></w:r>
</w:p>
<w:p>
<w:pPr><w:pStyle w:val="Normal"/></w:pPr>
<w:r><w:t xml:space="preserve">has a technical origin (op. cit. pp. 283-284).</w:t></w:r>
</w:p>
<w:p>
<w:pPr><w:pStyle w:val="Normal"/></w:pPr>
<w:r><w:t xml:space="preserve">15 The question of the place of the historical development</w:t></w:r>
</w:p>
<w:p>
<w:pPr><w:pStyle w:val="Normal"/></w:pPr>
<w:r><w:t xml:space="preserve">of art in aesthetic theory is carefully considered by J.</w:t></w:r>
</w:p>
<w:p>
<w:pPr><w:pStyle w:val="Normal"/></w:pPr>
<w:r><w:t xml:space="preserve">Volkelt, System der Asthetik, Bd. i. 5es Kap.</w:t></w:r>
</w:p>
<w:p>
<w:pPr><w:pStyle w:val="Normal"/></w:pPr>
<w:r><w:t xml:space="preserve">16 See, for example, a little work, The</w:t></w:r>
</w:p>
<w:p>
<w:pPr><w:pStyle w:val="Normal"/></w:pPr>
<w:r><w:t xml:space="preserve">Genesis of Art-From, by G. L. Raymond.</w:t></w:r>
</w:p>
<w:p>
<w:pPr><w:pStyle w:val="Normal"/></w:pPr>
<w:r><w:t xml:space="preserve">17 Kant, stopping short of an analysis of the beauty of a</w:t></w:r>
</w:p>
<w:p>
<w:pPr><w:pStyle w:val="Normal"/></w:pPr>
<w:r><w:t xml:space="preserve">concrete object, said there were no aesthetic judgments of this</w:t></w:r>
</w:p>
<w:p>
<w:pPr><w:pStyle w:val="Normal"/></w:pPr>
<w:r><w:t xml:space="preserve">universal form see below).  On the importance of these inductions</w:t></w:r>
</w:p>
<w:p>
<w:pPr><w:pStyle w:val="Normal"/></w:pPr>
<w:r><w:t xml:space="preserve">see K. H. von Stein, Vorlesungen uber Asthetik (Einleitung).</w:t></w:r>
</w:p>
<w:p>
<w:pPr><w:pStyle w:val="Normal"/></w:pPr>
<w:r><w:t xml:space="preserve">18 Curiously enough Thomas Reid recognized a germ</w:t></w:r>
</w:p>
<w:p>
<w:pPr><w:pStyle w:val="Normal"/></w:pPr>
<w:r><w:t xml:space="preserve">of aesthetic taste in animals. Essays, Of Taste, ch.</w:t></w:r>
</w:p>
<w:p>
<w:pPr><w:pStyle w:val="Normal"/></w:pPr>
<w:r><w:t xml:space="preserve">v.  The aesthetic importance of the observations made on</w:t></w:r>
</w:p>
<w:p>
<w:pPr><w:pStyle w:val="Normal"/></w:pPr>
<w:r><w:t xml:space="preserve">animals is dealt with by L. Bray, Du Beau, pp. 233 ff.</w:t></w:r>
</w:p>
<w:p>
<w:pPr><w:pStyle w:val="Normal"/></w:pPr>
<w:r><w:t xml:space="preserve">19 See below, and Bosanquet, op. cit. pp. 382 ff.</w:t></w:r>
</w:p>
<w:p>
<w:pPr><w:pStyle w:val="Normal"/></w:pPr>
<w:r><w:t xml:space="preserve">20 The chief lines of experimental aesthetics are</w:t></w:r>
</w:p>
<w:p>
<w:pPr><w:pStyle w:val="Normal"/></w:pPr>
<w:r><w:t xml:space="preserve">indicated by W. Wundt in his Physiol.  Psychologie</w:t></w:r>
</w:p>
<w:p>
<w:pPr><w:pStyle w:val="Normal"/></w:pPr>
<w:r><w:t xml:space="preserve">(5e Auflage), Bd. iii. pp. 142 ff. and 147 ff.</w:t></w:r>
</w:p>
<w:p>
<w:pPr><w:pStyle w:val="Normal"/></w:pPr>
<w:r><w:t xml:space="preserve">21 On the value of the judgments of experts</w:t></w:r>
</w:p>
<w:p>
<w:pPr><w:pStyle w:val="Normal"/></w:pPr>
<w:r><w:t xml:space="preserve">see K. Groos, Der asth.  Genuss, p. 149.</w:t></w:r>
</w:p>
<w:p>
<w:pPr><w:pStyle w:val="Normal"/></w:pPr>
<w:r><w:t xml:space="preserve">22 Examples of a forcina of the physiological method in</w:t></w:r>
</w:p>
<w:p>
<w:pPr><w:pStyle w:val="Normal"/></w:pPr>
<w:r><w:t xml:space="preserve">aesthetics may be found in the Physiological Aesthetics of Grant</w:t></w:r>
</w:p>
<w:p>
<w:pPr><w:pStyle w:val="Normal"/></w:pPr>
<w:r><w:t xml:space="preserve">Allen, and the Aufgabe der Kunstphysialogie, by Georg Hirsch.</w:t></w:r>
</w:p>
<w:p>
<w:pPr><w:pStyle w:val="Normal"/></w:pPr>
<w:r><w:t xml:space="preserve">23 These aesthetic prerogatives of the sensations</w:t></w:r>
</w:p>
<w:p>
<w:pPr><w:pStyle w:val="Normal"/></w:pPr>
<w:r><w:t xml:space="preserve">of hearing and sight have been well brought out</w:t></w:r>
</w:p>
<w:p>
<w:pPr><w:pStyle w:val="Normal"/></w:pPr>
<w:r><w:t xml:space="preserve">in the article by J. Volkelt, already referred to.</w:t></w:r>
</w:p>
<w:p>
<w:pPr><w:pStyle w:val="Normal"/></w:pPr>
<w:r><w:t xml:space="preserve">24 On the later investigations into musical consonance and</w:t></w:r>
</w:p>
<w:p>
<w:pPr><w:pStyle w:val="Normal"/></w:pPr>
<w:r><w:t xml:space="preserve">harmony, harmony of colours, rhythmic and pleasing spatial</w:t></w:r>
</w:p>
<w:p>
<w:pPr><w:pStyle w:val="Normal"/></w:pPr>
<w:r><w:t xml:space="preserve">forms, see Wundt, op..cit. Bd. ii. pp. 419 ff., and iii.</w:t></w:r>
</w:p>
<w:p>
<w:pPr><w:pStyle w:val="Normal"/></w:pPr>
<w:r><w:t xml:space="preserve">135 g., 140 ff., 147 ff. and 154 ff.  Time-form in music is</w:t></w:r>
</w:p>
<w:p>
<w:pPr><w:pStyle w:val="Normal"/></w:pPr>
<w:r><w:t xml:space="preserve">specially discussed by E. Gurney, The Power of Sound, v.</w:t></w:r>
</w:p>
<w:p>
<w:pPr><w:pStyle w:val="Normal"/></w:pPr>
<w:r><w:t xml:space="preserve">25 K. Lange, who recognizes the influence of nature</w:t></w:r>
</w:p>
<w:p>
<w:pPr><w:pStyle w:val="Normal"/></w:pPr>
<w:r><w:t xml:space="preserve">and custom here denies that proportion is an aesthetic</w:t></w:r>
</w:p>
<w:p>
<w:pPr><w:pStyle w:val="Normal"/></w:pPr>
<w:r><w:t xml:space="preserve">principle (Das Wesen der Kunst, 11es Kap.).</w:t></w:r>
</w:p>
<w:p>
<w:pPr><w:pStyle w:val="Normal"/></w:pPr>
<w:r><w:t xml:space="preserve">26 Alison and other English Associationists have emphasized</w:t></w:r>
</w:p>
<w:p>
<w:pPr><w:pStyle w:val="Normal"/></w:pPr>
<w:r><w:t xml:space="preserve">the aesthetic importance of the principle of association.</w:t></w:r>
</w:p>
<w:p>
<w:pPr><w:pStyle w:val="Normal"/></w:pPr>
<w:r><w:t xml:space="preserve">Among more recent advocates of it is G. T. Fechner. Vorschule</w:t></w:r>
</w:p>
<w:p>
<w:pPr><w:pStyle w:val="Normal"/></w:pPr>
<w:r><w:t xml:space="preserve">der Asthetik, and O. Kulpe, ``Uber den associativ</w:t></w:r>
</w:p>
<w:p>
<w:pPr><w:pStyle w:val="Normal"/></w:pPr>
<w:r><w:t xml:space="preserve">Factor des asthet.  Eindrucks&apos;&apos;, Fierteljahrsschrift</w:t></w:r>
</w:p>
<w:p>
<w:pPr><w:pStyle w:val="Normal"/></w:pPr>
<w:r><w:t xml:space="preserve">fur wissensch.  Philosophie, xxiii. pp. 145 ff.</w:t></w:r>
</w:p>
<w:p>
<w:pPr><w:pStyle w:val="Normal"/></w:pPr>
<w:r><w:t xml:space="preserve">27 This idea of imitative hand-movement in contemplating</w:t></w:r>
</w:p>
<w:p>
<w:pPr><w:pStyle w:val="Normal"/></w:pPr>
<w:r><w:t xml:space="preserve">form is supported by K. Groos, Der asth.  Genuss, pp. 49 ff.</w:t></w:r>
</w:p>
<w:p>
<w:pPr><w:pStyle w:val="Normal"/></w:pPr>
<w:r><w:t xml:space="preserve">28 It is commonly spoken of as ``feeling oneself into&apos;&apos;</w:t></w:r>
</w:p>
<w:p>
<w:pPr><w:pStyle w:val="Normal"/></w:pPr>
<w:r><w:t xml:space="preserve">Einfuhlen), or as``sympathetic feeling&apos;&apos; (Mitempfinden.)</w:t></w:r>
</w:p>
<w:p>
<w:pPr><w:pStyle w:val="Normal"/></w:pPr>
<w:r><w:t xml:space="preserve">29 Lipps theory is developed in a number of works, the</w:t></w:r>
</w:p>
<w:p>
<w:pPr><w:pStyle w:val="Normal"/></w:pPr>
<w:r><w:t xml:space="preserve">chief of which is Asthetik: Psychologie des Schonen und</w:t></w:r>
</w:p>
<w:p>
<w:pPr><w:pStyle w:val="Normal"/></w:pPr>
<w:r><w:t xml:space="preserve">der Kunst, see esp. 1er Theil, 1er to 3er Abschnitt;</w:t></w:r>
</w:p>
<w:p>
<w:pPr><w:pStyle w:val="Normal"/></w:pPr>
<w:r><w:t xml:space="preserve">cf.  Paul Stern, Einfuhlung und Association, in which</w:t></w:r>
</w:p>
<w:p>
<w:pPr><w:pStyle w:val="Normal"/></w:pPr>
<w:r><w:t xml:space="preserve">is to be found an historical sketch of the theory, and A.</w:t></w:r>
</w:p>
<w:p>
<w:pPr><w:pStyle w:val="Normal"/></w:pPr>
<w:r><w:t xml:space="preserve">Hildebrand, Form in der bildenden Kunst. The play of</w:t></w:r>
</w:p>
<w:p>
<w:pPr><w:pStyle w:val="Normal"/></w:pPr>
<w:r><w:t xml:space="preserve">imagination in the contemplation of form is discussed also</w:t></w:r>
</w:p>
<w:p>
<w:pPr><w:pStyle w:val="Normal"/></w:pPr>
<w:r><w:t xml:space="preserve">by P. Souriau, L&apos;Esthetique du mouvement, 3eme part.,</w:t></w:r>
</w:p>
<w:p>
<w:pPr><w:pStyle w:val="Normal"/></w:pPr>
<w:r><w:t xml:space="preserve">and La Suggestion dans l&apos;art, pp. 300 ff.  Cf. works of</w:t></w:r>
</w:p>
<w:p>
<w:pPr><w:pStyle w:val="Normal"/></w:pPr>
<w:r><w:t xml:space="preserve">Karl Groos and K. Lange named below (Bibliography.) .</w:t></w:r>
</w:p>
<w:p>
<w:pPr><w:pStyle w:val="Normal"/></w:pPr>
<w:r><w:t xml:space="preserve">30 See P. Souriau, La Suggestion dans l&apos;art (1ere partie).</w:t></w:r>
</w:p>
<w:p>
<w:pPr><w:pStyle w:val="Normal"/></w:pPr>
<w:r><w:t xml:space="preserve">31 Cf. K. Lange, op. cit. lfh. i. p. 208.</w:t></w:r>
</w:p>
<w:p>
<w:pPr><w:pStyle w:val="Normal"/></w:pPr>
<w:r><w:t xml:space="preserve">32 See a curious passage in Home&apos;s Elements of Criticism, chap</w:t></w:r>
</w:p>
<w:p>
<w:pPr><w:pStyle w:val="Normal"/></w:pPr>
<w:r><w:t xml:space="preserve">iv., in which the emotions excited by great and elevated objects</w:t></w:r>
</w:p>
<w:p>
<w:pPr><w:pStyle w:val="Normal"/></w:pPr>
<w:r><w:t xml:space="preserve">are said to express themselves externally by a special inflating</w:t></w:r>
</w:p>
<w:p>
<w:pPr><w:pStyle w:val="Normal"/></w:pPr>
<w:r><w:t xml:space="preserve">inspiration, and by stretching upward and standing ``a-tiptoe&apos;&apos;</w:t></w:r>
</w:p>
<w:p>
<w:pPr><w:pStyle w:val="Normal"/></w:pPr>
<w:r><w:t xml:space="preserve">respectively; also an article on ``Recent Aesthetics&apos;, by</w:t></w:r>
</w:p>
<w:p>
<w:pPr><w:pStyle w:val="Normal"/></w:pPr>
<w:r><w:t xml:space="preserve">Vernon Lee in the Quarterly Review, 1904, part i. pp. 420-443.</w:t></w:r>
</w:p>
<w:p>
<w:pPr><w:pStyle w:val="Normal"/></w:pPr>
<w:r><w:t xml:space="preserve">33 See Hume, Essays, ``Essay of Tragedy,&apos;&apos; and the</w:t></w:r>
</w:p>
<w:p>
<w:pPr><w:pStyle w:val="Normal"/></w:pPr>
<w:r><w:t xml:space="preserve">important discussions on the meaning of Aristotle&apos;s</w:t></w:r>
</w:p>
<w:p>
<w:pPr><w:pStyle w:val="Normal"/></w:pPr>
<w:r><w:t xml:space="preserve">doctrine of the emotions of tragedy and of emotional</w:t></w:r>
</w:p>
<w:p>
<w:pPr><w:pStyle w:val="Normal"/></w:pPr>
<w:r><w:t xml:space="preserve">purification or ``alleviating discharge&apos;, (kathansis)</w:t></w:r>
</w:p>
<w:p>
<w:pPr><w:pStyle w:val="Normal"/></w:pPr>
<w:r><w:t xml:space="preserve">touched on by Bosanquet, op. cit. pp. 64 ff. and 234 ff.</w:t></w:r>
</w:p>
<w:p>
<w:pPr><w:pStyle w:val="Normal"/></w:pPr>
<w:r><w:t xml:space="preserve">34 That beauty implies a peculiar blending of formal</w:t></w:r>
</w:p>
<w:p>
<w:pPr><w:pStyle w:val="Normal"/></w:pPr>
<w:r><w:t xml:space="preserve">and spiritual (geistige) factors is recognized</w:t></w:r>
</w:p>
<w:p>
<w:pPr><w:pStyle w:val="Normal"/></w:pPr>
<w:r><w:t xml:space="preserve">by H. Riegel, Die bildende Kunste; pp. 16 ff.</w:t></w:r>
</w:p>
<w:p>
<w:pPr><w:pStyle w:val="Normal"/></w:pPr>
<w:r><w:t xml:space="preserve">35 Human Nature (first part of Tripos), ch. viii.</w:t></w:r>
</w:p>
<w:p>
<w:pPr><w:pStyle w:val="Normal"/></w:pPr>
<w:r><w:t xml:space="preserve">sec.  5 (Molesworth&apos;s edition of Works, vol. iv. p. 38).</w:t></w:r>
</w:p>
<w:p>
<w:pPr><w:pStyle w:val="Normal"/></w:pPr>
<w:r><w:t xml:space="preserve">36 See among others R. Wallascheck, Primitve Music, pp.</w:t></w:r>
</w:p>
<w:p>
<w:pPr><w:pStyle w:val="Normal"/></w:pPr>
<w:r><w:t xml:space="preserve">270 ff., and Y. Hirn, The Origin of Art, pp. 9 ff.; cf.  W.</w:t></w:r>
</w:p>
<w:p>
<w:pPr><w:pStyle w:val="Normal"/></w:pPr>
<w:r><w:t xml:space="preserve">Jerusalem, Einleitung in die Philosophie, pp. 116, 117.</w:t></w:r>
</w:p>
<w:p>
<w:pPr><w:pStyle w:val="Normal"/></w:pPr>
<w:r><w:t xml:space="preserve">37 The idea of this social utility in aesthetic enjoyment</w:t></w:r>
</w:p>
<w:p>
<w:pPr><w:pStyle w:val="Normal"/></w:pPr>
<w:r><w:t xml:space="preserve">is touched on by Kant, Criticue of Judgment (Bernard&apos;s</w:t></w:r>
</w:p>
<w:p>
<w:pPr><w:pStyle w:val="Normal"/></w:pPr>
<w:r><w:t xml:space="preserve">trans.), p. 174; and is more fully worked out by Guyau,</w:t></w:r>
</w:p>
<w:p>
<w:pPr><w:pStyle w:val="Normal"/></w:pPr>
<w:r><w:t xml:space="preserve">L&apos;Art au point de vue sociologique, ch. ii. and iii.;</w:t></w:r>
</w:p>
<w:p>
<w:pPr><w:pStyle w:val="Normal"/></w:pPr>
<w:r><w:t xml:space="preserve">cf.  Rutgers Marshall, Aesthetic Principles, pp. 81-82.</w:t></w:r>
</w:p>
<w:p>
<w:pPr><w:pStyle w:val="Normal"/></w:pPr>
<w:r><w:t xml:space="preserve">38 On the nature of the primitive art-culture, see Rutgers</w:t></w:r>
</w:p>
<w:p>
<w:pPr><w:pStyle w:val="Normal"/></w:pPr>
<w:r><w:t xml:space="preserve">Marshall, Aesthetic Principles, ch. iii.; M. Baldwin,</w:t></w:r>
</w:p>
<w:p>
<w:pPr><w:pStyle w:val="Normal"/></w:pPr>
<w:r><w:t xml:space="preserve">Social and Ethical Interpretations, pp. 151 ff: Y.</w:t></w:r>
</w:p>
<w:p>
<w:pPr><w:pStyle w:val="Normal"/></w:pPr>
<w:r><w:t xml:space="preserve">Hirn, The Origin of Art, ch. ii.  On artistic genius</w:t></w:r>
</w:p>
<w:p>
<w:pPr><w:pStyle w:val="Normal"/></w:pPr>
<w:r><w:t xml:space="preserve">and its creative process, see H. Taine, The Philosophy of</w:t></w:r>
</w:p>
<w:p>
<w:pPr><w:pStyle w:val="Normal"/></w:pPr>
<w:r><w:t xml:space="preserve">Art, Part ii.; P. Souriau, L&apos;Imagination de l&apos;artiste;</w:t></w:r>
</w:p>
<w:p>
<w:pPr><w:pStyle w:val="Normal"/></w:pPr>
<w:r><w:t xml:space="preserve">G. Seailles, Essai sur la genie dans l&apos;art; E. Grosse,</w:t></w:r>
</w:p>
<w:p>
<w:pPr><w:pStyle w:val="Normal"/></w:pPr>
<w:r><w:t xml:space="preserve">Kunstwissenschaftliche Studien iii.; Arreat, Psychologie</w:t></w:r>
</w:p>
<w:p>
<w:pPr><w:pStyle w:val="Normal"/></w:pPr>
<w:r><w:t xml:space="preserve">du peintre; L. Dauriac, Essai sur l&apos;esprit musical.</w:t></w:r>
</w:p>
<w:p>
<w:pPr><w:pStyle w:val="Normal"/></w:pPr>
<w:r><w:t xml:space="preserve">39 Only recent works are included.  Important points</w:t></w:r>
</w:p>
<w:p>
<w:pPr><w:pStyle w:val="Normal"/></w:pPr>
<w:r><w:t xml:space="preserve">in each are indicated by abbreviations, namely:--</w:t></w:r>
</w:p>
<w:p>
<w:pPr><w:pStyle w:val="Normal"/></w:pPr>
<w:r><w:t xml:space="preserve">Einf., Einfuhlung (expressional element in form).</w:t></w:r>
</w:p>
<w:p>
<w:pPr><w:pStyle w:val="Normal"/></w:pPr>
<w:r><w:t xml:space="preserve">Evol., for bearings of evolution.</w:t></w:r>
</w:p>
<w:p>
<w:pPr><w:pStyle w:val="Normal"/></w:pPr>
<w:r><w:t xml:space="preserve">Ill., for aesthetic illusion.</w:t></w:r>
</w:p>
<w:p>
<w:pPr><w:pStyle w:val="Normal"/></w:pPr>
<w:r><w:t xml:space="preserve">Judg., for aesthetic judgment.</w:t></w:r>
</w:p>
<w:p>
<w:pPr><w:pStyle w:val="Normal"/></w:pPr>
<w:r><w:t xml:space="preserve">Meth., for method of aesthetics.</w:t></w:r>
</w:p>
<w:p>
<w:pPr><w:pStyle w:val="Normal"/></w:pPr>
<w:r><w:t xml:space="preserve">Norm., for the normative function of aesthetics</w:t></w:r>
</w:p>
<w:p>
<w:pPr><w:pStyle w:val="Normal"/></w:pPr>
<w:r><w:t xml:space="preserve">Pl., for theory of pleasure</w:t></w:r>
</w:p>
<w:p>
<w:pPr><w:pStyle w:val="Normal"/></w:pPr>
<w:r><w:t xml:space="preserve">Play, for Play and aesthetic enjoyment</w:t></w:r>
</w:p>
<w:p>
<w:pPr><w:pStyle w:val="Normal"/></w:pPr>
<w:r><w:t xml:space="preserve">Senses, for aesthetic value of higher senses.</w:t></w:r>
</w:p>
<w:p>
<w:pPr><w:pStyle w:val="Normal"/></w:pPr>
<w:r><w:t xml:space="preserve">Val., for aesthetic value.</w:t></w:r>
</w:p>
<w:p>
<w:pPr><w:pStyle w:val="Normal"/></w:pPr>
<w:r><w:t xml:space="preserve">AESTIVATION (from Lat. aestivare, to spend the aestas, or</w:t></w:r>
</w:p>
<w:p>
<w:pPr><w:pStyle w:val="Normal"/></w:pPr>
<w:r><w:t xml:space="preserve">summer; the word is sometimes spelled ``estivation&apos;&apos;), literally</w:t></w:r>
</w:p>
<w:p>
<w:pPr><w:pStyle w:val="Normal"/></w:pPr>
<w:r><w:t xml:space="preserve">``summer residence,&apos;&apos; a term used in zoology for the condition</w:t></w:r>
</w:p>
<w:p>
<w:pPr><w:pStyle w:val="Normal"/></w:pPr>
<w:r><w:t xml:space="preserve">of torpor into which certain animals pass during the hottest</w:t></w:r>
</w:p>
<w:p>
<w:pPr><w:pStyle w:val="Normal"/></w:pPr>
<w:r><w:t xml:space="preserve">season in hot and dry countries, contrasted with the similar</w:t></w:r>
</w:p>
<w:p>
<w:pPr><w:pStyle w:val="Normal"/></w:pPr>
<w:r><w:t xml:space="preserve">winter condition known as hibernation (q.v..) In botany the</w:t></w:r>
</w:p>
<w:p>
<w:pPr><w:pStyle w:val="Normal"/></w:pPr>
<w:r><w:t xml:space="preserve">word is used of the praefloration or folded arrangement of the</w:t></w:r>
</w:p>
<w:p>
<w:pPr><w:pStyle w:val="Normal"/></w:pPr>
<w:r><w:t xml:space="preserve">petals in a flower before expansion in the summer, contrasted</w:t></w:r>
</w:p>
<w:p>
<w:pPr><w:pStyle w:val="Normal"/></w:pPr>
<w:r><w:t xml:space="preserve">with ``vernation&apos;&apos; of leaves which unfold in the spring.</w:t></w:r>
</w:p>
<w:p>
<w:pPr><w:pStyle w:val="Normal"/></w:pPr>
<w:r><w:t xml:space="preserve">AETHELBALD, king of Mercia, succeeded Ceolred A.D. 716.</w:t></w:r>
</w:p>
<w:p>
<w:pPr><w:pStyle w:val="Normal"/></w:pPr>
<w:r><w:t xml:space="preserve">According to Felix, Life of St Guthlac, he visited the saint at</w:t></w:r>
</w:p>
<w:p>
<w:pPr><w:pStyle w:val="Normal"/></w:pPr>
<w:r><w:t xml:space="preserve">Crowland, when exiled by Ceolred and pursued by his emissaries</w:t></w:r>
</w:p>
<w:p>
<w:pPr><w:pStyle w:val="Normal"/></w:pPr>
<w:r><w:t xml:space="preserve">before his accession, and was cheered by predictions of his</w:t></w:r>
</w:p>
<w:p>
<w:pPr><w:pStyle w:val="Normal"/></w:pPr>
<w:r><w:t xml:space="preserve">future greatness.  According to Bede, the whole of Britain as</w:t></w:r>
</w:p>
<w:p>
<w:pPr><w:pStyle w:val="Normal"/></w:pPr>
<w:r><w:t xml:space="preserve">far north as the Humber was included within the sphere of his</w:t></w:r>
</w:p>
<w:p>
<w:pPr><w:pStyle w:val="Normal"/></w:pPr>
<w:r><w:t xml:space="preserve">authority.  His energy in preserving his influence is shown</w:t></w:r>
</w:p>
<w:p>
<w:pPr><w:pStyle w:val="Normal"/></w:pPr>
<w:r><w:t xml:space="preserve">by several entries in the Chronicle. He made an expedition</w:t></w:r>
</w:p>
<w:p>
<w:pPr><w:pStyle w:val="Normal"/></w:pPr>
<w:r><w:t xml:space="preserve">against Wessex in 733, in which year he took the royal vill of</w:t></w:r>
</w:p>
<w:p>
<w:pPr><w:pStyle w:val="Normal"/></w:pPr>
<w:r><w:t xml:space="preserve">Somerton.  In 740 he took advantage of the absence of Eadberht</w:t></w:r>
</w:p>
<w:p>
<w:pPr><w:pStyle w:val="Normal"/></w:pPr>
<w:r><w:t xml:space="preserve">of Northumbria in a campaign against the Picts to invade his</w:t></w:r>
</w:p>
<w:p>
<w:pPr><w:pStyle w:val="Normal"/></w:pPr>
<w:r><w:t xml:space="preserve">kingdom.  In 743 he fought with Cuthred, king of Wessex,</w:t></w:r>
</w:p>
<w:p>
<w:pPr><w:pStyle w:val="Normal"/></w:pPr>
<w:r><w:t xml:space="preserve">against the Welsh, but the alliance did not last long, as in</w:t></w:r>
</w:p>
<w:p>
<w:pPr><w:pStyle w:val="Normal"/></w:pPr>
<w:r><w:t xml:space="preserve">752 Cuthred took up arms against him.  In 757 AEthelbald was</w:t></w:r>
</w:p>
<w:p>
<w:pPr><w:pStyle w:val="Normal"/></w:pPr>
<w:r><w:t xml:space="preserve">slain by his guards at Seckington (Warwickshire) and buried at</w:t></w:r>
</w:p>
<w:p>
<w:pPr><w:pStyle w:val="Normal"/></w:pPr>
<w:r><w:t xml:space="preserve">Repton.  He seems to have been the most powerful and energetic</w:t></w:r>
</w:p>
<w:p>
<w:pPr><w:pStyle w:val="Normal"/></w:pPr>
<w:r><w:t xml:space="preserve">king of Mercia between Penda and Offa.  A letter of St Boniface</w:t></w:r>
</w:p>
<w:p>
<w:pPr><w:pStyle w:val="Normal"/></w:pPr>
<w:r><w:t xml:space="preserve">is preserved, in which he rebukes this king for his immoralities</w:t></w:r>
</w:p>
<w:p>
<w:pPr><w:pStyle w:val="Normal"/></w:pPr>
<w:r><w:t xml:space="preserve">and encroachments on church property, while recognizing his</w:t></w:r>
</w:p>
<w:p>
<w:pPr><w:pStyle w:val="Normal"/></w:pPr>
<w:r><w:t xml:space="preserve">merits as a monarch.  By a charter of 749 he freed ecclesiastical</w:t></w:r>
</w:p>
<w:p>
<w:pPr><w:pStyle w:val="Normal"/></w:pPr>
<w:r><w:t xml:space="preserve">lands from all obligations except the trinoda necessitas.</w:t></w:r>
</w:p>
<w:p>
<w:pPr><w:pStyle w:val="Normal"/></w:pPr>
<w:r><w:t xml:space="preserve">See Bede, Hist.  Ecc. (ed. Plummer), v. 23 and Continuatio</w:t></w:r>
</w:p>
<w:p>
<w:pPr><w:pStyle w:val="Normal"/></w:pPr>
<w:r><w:t xml:space="preserve">s.a. 740, 750, 757; Saxon Chronicle (Earle and Plummer),</w:t></w:r>
</w:p>
<w:p>
<w:pPr><w:pStyle w:val="Normal"/></w:pPr>
<w:r><w:t xml:space="preserve">s.a. 716, 733, 737, 740, 741, 743, 755; Mabillon,</w:t></w:r>
</w:p>
<w:p>
<w:pPr><w:pStyle w:val="Normal"/></w:pPr>
<w:r><w:t xml:space="preserve">Acta Sanctorum, ii. pp. 264, 273, 276, 4-9, W. de G.</w:t></w:r>
</w:p>
<w:p>
<w:pPr><w:pStyle w:val="Normal"/></w:pPr>
<w:r><w:t xml:space="preserve">Birch, Cartul.  Saxon. 178 (1885-1893). (F. G. M. B.)</w:t></w:r>
</w:p>
<w:p>
<w:pPr><w:pStyle w:val="Normal"/></w:pPr>
<w:r><w:t xml:space="preserve">AETHELBALD, king of Wessex, was the son of AEthelwulf, with</w:t></w:r>
</w:p>
<w:p>
<w:pPr><w:pStyle w:val="Normal"/></w:pPr>
<w:r><w:t xml:space="preserve">whom he led the West Saxons to victory against the Danes</w:t></w:r>
</w:p>
<w:p>
<w:pPr><w:pStyle w:val="Normal"/></w:pPr>
<w:r><w:t xml:space="preserve">at Aclea, 851. According to Asser he rebelled against his</w:t></w:r>
</w:p>
<w:p>
<w:pPr><w:pStyle w:val="Normal"/></w:pPr>
<w:r><w:t xml:space="preserve">father on the latter&apos;s return from Rome in 856, and deprived</w:t></w:r>
</w:p>
<w:p>
<w:pPr><w:pStyle w:val="Normal"/></w:pPr>
<w:r><w:t xml:space="preserve">him of Wessex, which he ruled until his death in 860. On</w:t></w:r>
</w:p>
<w:p>
<w:pPr><w:pStyle w:val="Normal"/></w:pPr>
<w:r><w:t xml:space="preserve">his father&apos;s death in 818 he married his widow, Judith.</w:t></w:r>
</w:p>
<w:p>
<w:pPr><w:pStyle w:val="Normal"/></w:pPr>
<w:r><w:t xml:space="preserve">See Asser, Life of Alfred (W. H. Stevenson,</w:t></w:r>
</w:p>
<w:p>
<w:pPr><w:pStyle w:val="Normal"/></w:pPr>
<w:r><w:t xml:space="preserve">1904), 12; Saxon Chronicle, s.a. 851, 855, 860.</w:t></w:r>
</w:p>
<w:p>
<w:pPr><w:pStyle w:val="Normal"/></w:pPr>
<w:r><w:t xml:space="preserve">AETHELBERHT, king of Kent, son of Eormenric, probably came</w:t></w:r>
</w:p>
<w:p>
<w:pPr><w:pStyle w:val="Normal"/></w:pPr>
<w:r><w:t xml:space="preserve">to the throne in A.D. 560. The first recorded event of his</w:t></w:r>
</w:p>
<w:p>
<w:pPr><w:pStyle w:val="Normal"/></w:pPr>
<w:r><w:t xml:space="preserve">reign was a serious reverse at the hands of Ceawlin of Wessex</w:t></w:r>
</w:p>
<w:p>
<w:pPr><w:pStyle w:val="Normal"/></w:pPr>
<w:r><w:t xml:space="preserve">in the year 568 (Chronicle) at a place called Wibbandune.</w:t></w:r>
</w:p>
<w:p>
<w:pPr><w:pStyle w:val="Normal"/></w:pPr>
<w:r><w:t xml:space="preserve">AEthelberht married Berhta, daughter of Charihert, king of</w:t></w:r>
</w:p>
<w:p>
<w:pPr><w:pStyle w:val="Normal"/></w:pPr>
<w:r><w:t xml:space="preserve">Paris, who brought over Bishop Liudhard as her private</w:t></w:r>
</w:p>
<w:p>
<w:pPr><w:pStyle w:val="Normal"/></w:pPr>
<w:r><w:t xml:space="preserve">confessor.  According to Bede, AEthelberht&apos;s supremacy in</w:t></w:r>
</w:p>
<w:p>
<w:pPr><w:pStyle w:val="Normal"/></w:pPr>
<w:r><w:t xml:space="preserve">597 stretched over all the English kingdoms as far as the</w:t></w:r>
</w:p>
<w:p>
<w:pPr><w:pStyle w:val="Normal"/></w:pPr>
<w:r><w:t xml:space="preserve">Humber.  The nature of this supremacy has been much disputed,</w:t></w:r>
</w:p>
<w:p>
<w:pPr><w:pStyle w:val="Normal"/></w:pPr>
<w:r><w:t xml:space="preserve">but it was at any rate sufficient to guarantee the safety</w:t></w:r>
</w:p>
<w:p>
<w:pPr><w:pStyle w:val="Normal"/></w:pPr>
<w:r><w:t xml:space="preserve">of Augustine in his conference with the British bishops.</w:t></w:r>
</w:p>
<w:p>
<w:pPr><w:pStyle w:val="Normal"/></w:pPr>
<w:r><w:t xml:space="preserve">AEthelberht exercised a stricter sway over Essex, where his</w:t></w:r>
</w:p>
<w:p>
<w:pPr><w:pStyle w:val="Normal"/></w:pPr>
<w:r><w:t xml:space="preserve">nephew Saberht was king.  In 597 the mission of Augustine</w:t></w:r>
</w:p>
<w:p>
<w:pPr><w:pStyle w:val="Normal"/></w:pPr>
<w:r><w:t xml:space="preserve">landed in Thanet and was received at first with some</w:t></w:r>
</w:p>
<w:p>
<w:pPr><w:pStyle w:val="Normal"/></w:pPr>
<w:r><w:t xml:space="preserve">hesitation by the king.  He seems to have acted with prudence</w:t></w:r>
</w:p>
<w:p>
<w:pPr><w:pStyle w:val="Normal"/></w:pPr>
<w:r><w:t xml:space="preserve">and moderation during the conversion of his kingdom and did</w:t></w:r>
</w:p>
<w:p>
<w:pPr><w:pStyle w:val="Normal"/></w:pPr>
<w:r><w:t xml:space="preserve">not countenance compulsory proselytism. AEthelberht gave</w:t></w:r>
</w:p>
<w:p>
<w:pPr><w:pStyle w:val="Normal"/></w:pPr>
<w:r><w:t xml:space="preserve">Augustine a dwelling-place in Canterbury, and Christ Church</w:t></w:r>
</w:p>
<w:p>
<w:pPr><w:pStyle w:val="Normal"/></w:pPr>
<w:r><w:t xml:space="preserve">was consecrated in 603. He also made grants to found the see</w:t></w:r>
</w:p>
<w:p>
<w:pPr><w:pStyle w:val="Normal"/></w:pPr>
<w:r><w:t xml:space="preserve">of Rochester, of which Justus became first bishop in 604,</w:t></w:r>
</w:p>
<w:p>
<w:pPr><w:pStyle w:val="Normal"/></w:pPr>
<w:r><w:t xml:space="preserve">and his influence established Mellitus at London in the same</w:t></w:r>
</w:p>
<w:p>
<w:pPr><w:pStyle w:val="Normal"/></w:pPr>
<w:r><w:t xml:space="preserve">year.  A code of laws issued by him which is still extant</w:t></w:r>
</w:p>
<w:p>
<w:pPr><w:pStyle w:val="Normal"/></w:pPr>
<w:r><w:t xml:space="preserve">is probably the oldest document in the English language, and</w:t></w:r>
</w:p>
<w:p>
<w:pPr><w:pStyle w:val="Normal"/></w:pPr>
<w:r><w:t xml:space="preserve">contains a list of money fines for various crimes.  Towards</w:t></w:r>
</w:p>
<w:p>
<w:pPr><w:pStyle w:val="Normal"/></w:pPr>
<w:r><w:t xml:space="preserve">the close of his reign his pre-eminence as Bretwalda was</w:t></w:r>
</w:p>
<w:p>
<w:pPr><w:pStyle w:val="Normal"/></w:pPr>
<w:r><w:t xml:space="preserve">disturbed by the increasing power of Raedwald of East Anglia.</w:t></w:r>
</w:p>
<w:p>
<w:pPr><w:pStyle w:val="Normal"/></w:pPr>
<w:r><w:t xml:space="preserve">He died probably in 616, and was succeeded by his son Eadbald.</w:t></w:r>
</w:p>
<w:p>
<w:pPr><w:pStyle w:val="Normal"/></w:pPr>
<w:r><w:t xml:space="preserve">See Bede, Hist.  Ecc. (Plummer) i. 25, 26, ii. 3, 5; Saxon</w:t></w:r>
</w:p>
<w:p>
<w:pPr><w:pStyle w:val="Normal"/></w:pPr>
<w:r><w:t xml:space="preserve">Chronicle Earle and Plummer), s.a. 568. (F. G. M. B.)</w:t></w:r>
</w:p>
<w:p>
<w:pPr><w:pStyle w:val="Normal"/></w:pPr>
<w:r><w:t xml:space="preserve">AETHELBERHT, king of the West Saxons, succeeded to the sub-kingdom</w:t></w:r>
</w:p>
<w:p>
<w:pPr><w:pStyle w:val="Normal"/></w:pPr>
<w:r><w:t xml:space="preserve">of Kent during the lifetime of his father AEthelwulf, and</w:t></w:r>
</w:p>
<w:p>
<w:pPr><w:pStyle w:val="Normal"/></w:pPr>
<w:r><w:t xml:space="preserve">retained it until the death of his elder brother AEthelbald in</w:t></w:r>
</w:p>
<w:p>
<w:pPr><w:pStyle w:val="Normal"/></w:pPr>
<w:r><w:t xml:space="preserve">860, when he became sole king of Wessex and Kent, the younger</w:t></w:r>
</w:p>
<w:p>
<w:pPr><w:pStyle w:val="Normal"/></w:pPr>
<w:r><w:t xml:space="preserve">brothers AEthelred and Alfred renouncing their claim.  He ruled</w:t></w:r>
</w:p>
<w:p>
<w:pPr><w:pStyle w:val="Normal"/></w:pPr>
<w:r><w:t xml:space="preserve">these kingdoms for five years and died in 865. His reign was</w:t></w:r>
</w:p>
<w:p>
<w:pPr><w:pStyle w:val="Normal"/></w:pPr>
<w:r><w:t xml:space="preserve">marked by two serious attacks on the part of the Danes, who</w:t></w:r>
</w:p>
<w:p>
<w:pPr><w:pStyle w:val="Normal"/></w:pPr>
<w:r><w:t xml:space="preserve">destroyed Winchester in 860, in spite of the resistance of the</w:t></w:r>
</w:p>
<w:p>
<w:pPr><w:pStyle w:val="Normal"/></w:pPr>
<w:r><w:t xml:space="preserve">ealdormen Osric and AEthelwulf with the levies of Hampshire</w:t></w:r>
</w:p>
<w:p>
<w:pPr><w:pStyle w:val="Normal"/></w:pPr>
<w:r><w:t xml:space="preserve">and Berkshire, while in 865 they treacherously ravaged Kent.</w:t></w:r>
</w:p>
<w:p>
<w:pPr><w:pStyle w:val="Normal"/></w:pPr>
<w:r><w:t xml:space="preserve">Alfred&apos;s Will; W. de G. Birch, Cartul.  Saxon. 553.</w:t></w:r>
</w:p>
<w:p>
<w:pPr><w:pStyle w:val="Normal"/></w:pPr>
<w:r><w:t xml:space="preserve">AETHELFLAED (ETHELFLEDA), the ``Lady of the Mercians,&apos;&apos;</w:t></w:r>
</w:p>
<w:p>
<w:pPr><w:pStyle w:val="Normal"/></w:pPr>
<w:r><w:t xml:space="preserve">the eldest child of Alfred the Great, was educated with</w:t></w:r>
</w:p>
<w:p>
<w:pPr><w:pStyle w:val="Normal"/></w:pPr>
<w:r><w:t xml:space="preserve">her brother Edward at her father&apos;s court.  As soon as she</w:t></w:r>
</w:p>
<w:p>
<w:pPr><w:pStyle w:val="Normal"/></w:pPr>
<w:r><w:t xml:space="preserve">was of marriageable age (probably about A.D. 886), she</w:t></w:r>
</w:p>
<w:p>
<w:pPr><w:pStyle w:val="Normal"/></w:pPr>
<w:r><w:t xml:space="preserve">was married to AEthelred, earl of Mercia to whom Alfred</w:t></w:r>
</w:p>
<w:p>
<w:pPr><w:pStyle w:val="Normal"/></w:pPr>
<w:r><w:t xml:space="preserve">entrusted the control of Mercia.  On the accession of her</w:t></w:r>
</w:p>
<w:p>
<w:pPr><w:pStyle w:val="Normal"/></w:pPr>
<w:r><w:t xml:space="preserve">brother Edward, AEthelflaed and her husband continued to hold</w:t></w:r>
</w:p>
<w:p>
<w:pPr><w:pStyle w:val="Normal"/></w:pPr>
<w:r><w:t xml:space="preserve">Mercia.  In 907 they fortified Chester, and in 909 and 910</w:t></w:r>
</w:p>
<w:p>
<w:pPr><w:pStyle w:val="Normal"/></w:pPr>
<w:r><w:t xml:space="preserve">either AEthelflaed or her husband must have led the Mercian</w:t></w:r>
</w:p>
<w:p>
<w:pPr><w:pStyle w:val="Normal"/></w:pPr>
<w:r><w:t xml:space="preserve">host at the battles of Tettenhall and Wednesfield (or</w:t></w:r>
</w:p>
<w:p>
<w:pPr><w:pStyle w:val="Normal"/></w:pPr>
<w:r><w:t xml:space="preserve">Tettenhall-Wednesfield, if these battles are one and the</w:t></w:r>
</w:p>
<w:p>
<w:pPr><w:pStyle w:val="Normal"/></w:pPr>
<w:r><w:t xml:space="preserve">same).  It was probably about this time that AEthelred fell</w:t></w:r>
</w:p>
<w:p>
<w:pPr><w:pStyle w:val="Normal"/></w:pPr>
<w:r><w:t xml:space="preserve">ill, and the Norwegians and Danes from Ireland unsuccessfully</w:t></w:r>
</w:p>
<w:p>
<w:pPr><w:pStyle w:val="Normal"/></w:pPr>
<w:r><w:t xml:space="preserve">besieged Chester. AEthelflaed won the support of the Danes</w:t></w:r>
</w:p>
<w:p>
<w:pPr><w:pStyle w:val="Normal"/></w:pPr>
<w:r><w:t xml:space="preserve">against the Norwegians, and seems also to have entered into</w:t></w:r>
</w:p>
<w:p>
<w:pPr><w:pStyle w:val="Normal"/></w:pPr>
<w:r><w:t xml:space="preserve">an alliance with the Scots and the Welsh against the pagans.</w:t></w:r>
</w:p>
<w:p>
<w:pPr><w:pStyle w:val="Normal"/></w:pPr>
<w:r><w:t xml:space="preserve">In 911 AEthelred died and Edward took over Middlesex and</w:t></w:r>
</w:p>
<w:p>
<w:pPr><w:pStyle w:val="Normal"/></w:pPr>
<w:r><w:t xml:space="preserve">Oxfordshire.  Except for this AEthelflaed&apos;s authority remained</w:t></w:r>
</w:p>
<w:p>
<w:pPr><w:pStyle w:val="Normal"/></w:pPr>
<w:r><w:t xml:space="preserve">unimpaired.  In 912 she fortified ``Scergeat&apos;&apos; and Bridgenorth,</w:t></w:r>
</w:p>
<w:p>
<w:pPr><w:pStyle w:val="Normal"/></w:pPr>
<w:r><w:t xml:space="preserve">Tamworth and Stafford in 913, Eddisbury and Warwick in 914,</w:t></w:r>
</w:p>
<w:p>
<w:pPr><w:pStyle w:val="Normal"/></w:pPr>
<w:r><w:t xml:space="preserve">Cherbury, ``Weardbyrig&apos;&apos; and Runcorn in 915. In 916 she sent</w:t></w:r>
</w:p>
<w:p>
<w:pPr><w:pStyle w:val="Normal"/></w:pPr>
<w:r><w:t xml:space="preserve">an expedition against the Welsh, which advanced as far as</w:t></w:r>
</w:p>
<w:p>
<w:pPr><w:pStyle w:val="Normal"/></w:pPr>
<w:r><w:t xml:space="preserve">Brecknock.  In 917 Derby was captured from the Danes,</w:t></w:r>
</w:p>
<w:p>
<w:pPr><w:pStyle w:val="Normal"/></w:pPr>
<w:r><w:t xml:space="preserve">and in the next year Leicester and York both submitted to</w:t></w:r>
</w:p>
<w:p>
<w:pPr><w:pStyle w:val="Normal"/></w:pPr>
<w:r><w:t xml:space="preserve">her.  She died in the same year at Tamworth (June 12), and was</w:t></w:r>
</w:p>
<w:p>
<w:pPr><w:pStyle w:val="Normal"/></w:pPr>
<w:r><w:t xml:space="preserve">buried in St Peter&apos;s church at Gloucester.  This noble queen,</w:t></w:r>
</w:p>
<w:p>
<w:pPr><w:pStyle w:val="Normal"/></w:pPr>
<w:r><w:t xml:space="preserve">whose career was as distinguished as that of her father and</w:t></w:r>
</w:p>
<w:p>
<w:pPr><w:pStyle w:val="Normal"/></w:pPr>
<w:r><w:t xml:space="preserve">brother, left one daughter, AElfwyn.  For some eighteen months</w:t></w:r>
</w:p>
<w:p>
<w:pPr><w:pStyle w:val="Normal"/></w:pPr>
<w:r><w:t xml:space="preserve">AElfwyn seems to have wielded her mother&apos;s authority, and</w:t></w:r>
</w:p>
<w:p>
<w:pPr><w:pStyle w:val="Normal"/></w:pPr>
<w:r><w:t xml:space="preserve">then, just before the Christmas of 919, Edward took Mercia</w:t></w:r>
</w:p>
<w:p>
<w:pPr><w:pStyle w:val="Normal"/></w:pPr>
<w:r><w:t xml:space="preserve">into his own hands, and AElfwyn was ``led away&apos;&apos; into Wessex.</w:t></w:r>
</w:p>
<w:p>
<w:pPr><w:pStyle w:val="Normal"/></w:pPr>
<w:r><w:t xml:space="preserve">AEthelflaed and her husband wielded almost kingly authority, and</w:t></w:r>
</w:p>
<w:p>
<w:pPr><w:pStyle w:val="Normal"/></w:pPr>
<w:r><w:t xml:space="preserve">the royal title is often given them by the chroniclers.  See The</w:t></w:r>
</w:p>
<w:p>
<w:pPr><w:pStyle w:val="Normal"/></w:pPr>
<w:r><w:t xml:space="preserve">Saxon Chronicle, sub ann. (especially the Mercian register in</w:t></w:r>
</w:p>
<w:p>
<w:pPr><w:pStyle w:val="Normal"/></w:pPr>
<w:r><w:t xml:space="preserve">MSS. B, C and D); Florence of Worcester: Fragments of Irish</w:t></w:r>
</w:p>
<w:p>
<w:pPr><w:pStyle w:val="Normal"/></w:pPr>
<w:r><w:t xml:space="preserve">Annals (ed. O&apos;Conor), pp. 227-237; D.N.B., s.v. (A. Mw.)</w:t></w:r>
</w:p>
<w:p>
<w:pPr><w:pStyle w:val="Normal"/></w:pPr>
<w:r><w:t xml:space="preserve">AETHELFRITH, king of Northumbria, is said to have come to</w:t></w:r>
</w:p>
<w:p>
<w:pPr><w:pStyle w:val="Normal"/></w:pPr>
<w:r><w:t xml:space="preserve">the throne in A.D. 593, being the son of AEthelric (probably</w:t></w:r>
</w:p>
<w:p>
<w:pPr><w:pStyle w:val="Normal"/></w:pPr>
<w:r><w:t xml:space="preserve">reigned 568-572).  He married Acha, daughter of Ella</w:t></w:r>
</w:p>
<w:p>
<w:pPr><w:pStyle w:val="Normal"/></w:pPr>
<w:r><w:t xml:space="preserve">(AElle), king of Deira, whom he succeeded probably in 605,</w:t></w:r>
</w:p>
<w:p>
<w:pPr><w:pStyle w:val="Normal"/></w:pPr>
<w:r><w:t xml:space="preserve">expelling his son Edwin.  In 603 he repelled the attack of</w:t></w:r>
</w:p>
<w:p>
<w:pPr><w:pStyle w:val="Normal"/></w:pPr>
<w:r><w:t xml:space="preserve">Aidan, king of the Dalriad Scots, at Daegsastan, defeating</w:t></w:r>
</w:p>
<w:p>
<w:pPr><w:pStyle w:val="Normal"/></w:pPr>
<w:r><w:t xml:space="preserve">him with great loss.  The appearance of Hering, son of</w:t></w:r>
</w:p>
<w:p>
<w:pPr><w:pStyle w:val="Normal"/></w:pPr>
<w:r><w:t xml:space="preserve">Hussa, AEthelfrith&apos;s predecessor, On the side of the invaders</w:t></w:r>
</w:p>
<w:p>
<w:pPr><w:pStyle w:val="Normal"/></w:pPr>
<w:r><w:t xml:space="preserve">seems to indicate family quarrels in the royal house of</w:t></w:r>
</w:p>
<w:p>
<w:pPr><w:pStyle w:val="Normal"/></w:pPr>
<w:r><w:t xml:space="preserve">Bernicia.  Later in his reign, probably in 614, he defeated the</w:t></w:r>
</w:p>
<w:p>
<w:pPr><w:pStyle w:val="Normal"/></w:pPr>
<w:r><w:t xml:space="preserve">Welsh in a great battle at Chester and massacred the monks of</w:t></w:r>
</w:p>
<w:p>
<w:pPr><w:pStyle w:val="Normal"/></w:pPr>
<w:r><w:t xml:space="preserve">Bangor who were assembled to aid them by their prayers.  This</w:t></w:r>
</w:p>
<w:p>
<w:pPr><w:pStyle w:val="Normal"/></w:pPr>
<w:r><w:t xml:space="preserve">war may have been due partly to AEthelfrith&apos;s persecution of</w:t></w:r>
</w:p>
<w:p>
<w:pPr><w:pStyle w:val="Normal"/></w:pPr>
<w:r><w:t xml:space="preserve">Edwin, but it had a strategic importance in the separation</w:t></w:r>
</w:p>
<w:p>
<w:pPr><w:pStyle w:val="Normal"/></w:pPr>
<w:r><w:t xml:space="preserve">of the North Welsh from the Strathclyde Britons.  In 617</w:t></w:r>
</w:p>
<w:p>
<w:pPr><w:pStyle w:val="Normal"/></w:pPr>
<w:r><w:t xml:space="preserve">AEthelfrith was defeated and slain at the river Idle by Raedwald</w:t></w:r>
</w:p>
<w:p>
<w:pPr><w:pStyle w:val="Normal"/></w:pPr>
<w:r><w:t xml:space="preserve">of East Anglia, whom Edwin had persuaded to take up his cause.</w:t></w:r>
</w:p>
<w:p>
<w:pPr><w:pStyle w:val="Normal"/></w:pPr>
<w:r><w:t xml:space="preserve">See Bede, Chronica Mojora, sec.  531; Hist.  Ecc. (Plummer) i.</w:t></w:r>
</w:p>
<w:p>
<w:pPr><w:pStyle w:val="Normal"/></w:pPr>
<w:r><w:t xml:space="preserve">34, ii. 2; Saxon Chronicle, s.a. 593, 603, 605, 616; Hist.</w:t></w:r>
</w:p>
<w:p>
<w:pPr><w:pStyle w:val="Normal"/></w:pPr>
<w:r><w:t xml:space="preserve">Brittonum, sec. sec.  57, 63 Annales Cambriae, s.a. 613. (F. D. M. B.)</w:t></w:r>
</w:p>
<w:p>
<w:pPr><w:pStyle w:val="Normal"/></w:pPr>
<w:r><w:t xml:space="preserve">AETHELING, an Anglo-Saxon word compounded of aethele, or</w:t></w:r>
</w:p>
<w:p>
<w:pPr><w:pStyle w:val="Normal"/></w:pPr>
<w:r><w:t xml:space="preserve">ethel, meaning noble, and ing, belonging to, and akin</w:t></w:r>
</w:p>
<w:p>
<w:pPr><w:pStyle w:val="Normal"/></w:pPr>
<w:r><w:t xml:space="preserve">to the modern German words Adel, nobility, and adelig,</w:t></w:r>
</w:p>
<w:p>
<w:pPr><w:pStyle w:val="Normal"/></w:pPr>
<w:r><w:t xml:space="preserve">noble.  During the earliest years of the Anglo-Saxon rule in</w:t></w:r>
</w:p>
<w:p>
<w:pPr><w:pStyle w:val="Normal"/></w:pPr>
<w:r><w:t xml:space="preserve">England the word was probably used to denote any person of noble</w:t></w:r>
</w:p>
<w:p>
<w:pPr><w:pStyle w:val="Normal"/></w:pPr>
<w:r><w:t xml:space="preserve">birth.  Its use was, however, soon restricted to members of</w:t></w:r>
</w:p>
<w:p>
<w:pPr><w:pStyle w:val="Normal"/></w:pPr>
<w:r><w:t xml:space="preserve">a royal family, and in the Anglo-Saxon Chronicle it is used</w:t></w:r>
</w:p>
<w:p>
<w:pPr><w:pStyle w:val="Normal"/></w:pPr>
<w:r><w:t xml:space="preserve">almost exclusively for members of the royal house of Wessex.</w:t></w:r>
</w:p>
<w:p>
<w:pPr><w:pStyle w:val="Normal"/></w:pPr>
<w:r><w:t xml:space="preserve">It was occasionally used after the Norman Conquest to designate</w:t></w:r>
</w:p>
<w:p>
<w:pPr><w:pStyle w:val="Normal"/></w:pPr>
<w:r><w:t xml:space="preserve">members of the royal family.  The earlier part of the word</w:t></w:r>
</w:p>
<w:p>
<w:pPr><w:pStyle w:val="Normal"/></w:pPr>
<w:r><w:t xml:space="preserve">formed part of the name of several Anglo-Saxon kings, e.g.</w:t></w:r>
</w:p>
<w:p>
<w:pPr><w:pStyle w:val="Normal"/></w:pPr>
<w:r><w:t xml:space="preserve">AEthelbert, AEthelwulf, AEthelred, and was used obviously to</w:t></w:r>
</w:p>
<w:p>
<w:pPr><w:pStyle w:val="Normal"/></w:pPr>
<w:r><w:t xml:space="preserve">indicate their noble birth.  According to a document which probably</w:t></w:r>
</w:p>
<w:p>
<w:pPr><w:pStyle w:val="Normal"/></w:pPr>
<w:r><w:t xml:space="preserve">dates from the 10th century, the wergild of an aetheling was</w:t></w:r>
</w:p>
<w:p>
<w:pPr><w:pStyle w:val="Normal"/></w:pPr>
<w:r><w:t xml:space="preserve">fixed at 15,000 thrymsas, or 11,250 shillings.  This wergild is</w:t></w:r>
</w:p>
<w:p>
<w:pPr><w:pStyle w:val="Normal"/></w:pPr>
<w:r><w:t xml:space="preserve">equal to that of an archbishop and one-half of that of a king.</w:t></w:r>
</w:p>
<w:p>
<w:pPr><w:pStyle w:val="Normal"/></w:pPr>
<w:r><w:t xml:space="preserve">AETHELNOTH (d. 1038), archbishop of Canterbury, known</w:t></w:r>
</w:p>
<w:p>
<w:pPr><w:pStyle w:val="Normal"/></w:pPr>
<w:r><w:t xml:space="preserve">also as EGELNODUS or EDNODUS, was a son of the ealdorman</w:t></w:r>
</w:p>
<w:p>
<w:pPr><w:pStyle w:val="Normal"/></w:pPr>
<w:r><w:t xml:space="preserve">AEthelmaer, and a member of the royal family of Wessex.  He</w:t></w:r>
</w:p>
<w:p>
<w:pPr><w:pStyle w:val="Normal"/></w:pPr>
<w:r><w:t xml:space="preserve">became a monk at Glastonbury, then dean of the monastery of</w:t></w:r>
</w:p>
<w:p>
<w:pPr><w:pStyle w:val="Normal"/></w:pPr>
<w:r><w:t xml:space="preserve">Christ Church, Canterbury, and chaplain to King Canute, and</w:t></w:r>
</w:p>
<w:p>
<w:pPr><w:pStyle w:val="Normal"/></w:pPr>
<w:r><w:t xml:space="preserve">on the 13th of November 1020 was consecrated archbishop of</w:t></w:r>
</w:p>
<w:p>
<w:pPr><w:pStyle w:val="Normal"/></w:pPr>
<w:r><w:t xml:space="preserve">Canterbury.  In 1022 he went to Rome to obtain the pallium,</w:t></w:r>
</w:p>
<w:p>
<w:pPr><w:pStyle w:val="Normal"/></w:pPr>
<w:r><w:t xml:space="preserve">and was received with great respect by Pope Benedict VIII.</w:t></w:r>
</w:p>
<w:p>
<w:pPr><w:pStyle w:val="Normal"/></w:pPr>
<w:r><w:t xml:space="preserve">Returning from Rome he purchased at Pavia a relic said to</w:t></w:r>
</w:p>
<w:p>
<w:pPr><w:pStyle w:val="Normal"/></w:pPr>
<w:r><w:t xml:space="preserve">be an arm of St Augustine of Hippo, for a hundred talents</w:t></w:r>
</w:p>
<w:p>
<w:pPr><w:pStyle w:val="Normal"/></w:pPr>
<w:r><w:t xml:space="preserve">of silver and one of gold, and presented it to the abbey of</w:t></w:r>
</w:p>
<w:p>
<w:pPr><w:pStyle w:val="Normal"/></w:pPr>
<w:r><w:t xml:space="preserve">Coventry.  He appears to have exercised considerable influence</w:t></w:r>
</w:p>
<w:p>
<w:pPr><w:pStyle w:val="Normal"/></w:pPr>
<w:r><w:t xml:space="preserve">over Canute, largely by whose aid he restored his cathedral at</w:t></w:r>
</w:p>
<w:p>
<w:pPr><w:pStyle w:val="Normal"/></w:pPr>
<w:r><w:t xml:space="preserve">Canterbury.  A story of doubtful authenticity tells how he</w:t></w:r>
</w:p>
<w:p>
<w:pPr><w:pStyle w:val="Normal"/></w:pPr>
<w:r><w:t xml:space="preserve">refused to crown King Harold I., as he had promised Canute</w:t></w:r>
</w:p>
<w:p>
<w:pPr><w:pStyle w:val="Normal"/></w:pPr>
<w:r><w:t xml:space="preserve">to crown none but a son of the king by his wife, Emma.</w:t></w:r>
</w:p>
<w:p>
<w:pPr><w:pStyle w:val="Normal"/></w:pPr>
<w:r><w:t xml:space="preserve">AEthelnoth, who was called the ``Good,&apos;&apos; died on the 29th of</w:t></w:r>
</w:p>
<w:p>
<w:pPr><w:pStyle w:val="Normal"/></w:pPr>
<w:r><w:t xml:space="preserve">October 1038, and his name appears in the lists of saints.</w:t></w:r>
</w:p>
<w:p>
<w:pPr><w:pStyle w:val="Normal"/></w:pPr>
<w:r><w:t xml:space="preserve">AETHELRED, king of Mercia, succeeded his brother Wulfhere</w:t></w:r>
</w:p>
<w:p>
<w:pPr><w:pStyle w:val="Normal"/></w:pPr>
<w:r><w:t xml:space="preserve">in A.D. 675. In 676 he ravaged Kent with fire and sword,</w:t></w:r>
</w:p>
<w:p>
<w:pPr><w:pStyle w:val="Normal"/></w:pPr>
<w:r><w:t xml:space="preserve">destroying the monasteries and churches and taking Rochester.</w:t></w:r>
</w:p>
<w:p>
<w:pPr><w:pStyle w:val="Normal"/></w:pPr>
<w:r><w:t xml:space="preserve">AEthelred married Osthryth, the sister of Ecgfrith, king of</w:t></w:r>
</w:p>
<w:p>
<w:pPr><w:pStyle w:val="Normal"/></w:pPr>
<w:r><w:t xml:space="preserve">Northumbria, but in spite of this connexion a quarrel arose</w:t></w:r>
</w:p>
<w:p>
<w:pPr><w:pStyle w:val="Normal"/></w:pPr>
<w:r><w:t xml:space="preserve">between the two kings, presumably over the possession of the</w:t></w:r>
</w:p>
<w:p>
<w:pPr><w:pStyle w:val="Normal"/></w:pPr>
<w:r><w:t xml:space="preserve">province of Lindsey, which Ecgfrith had won back at the close of</w:t></w:r>
</w:p>
<w:p>
<w:pPr><w:pStyle w:val="Normal"/></w:pPr>
<w:r><w:t xml:space="preserve">the reign of Wulfhere.  In a battle on the banks of the Trent in</w:t></w:r>
</w:p>
<w:p>
<w:pPr><w:pStyle w:val="Normal"/></w:pPr>
<w:r><w:t xml:space="preserve">679, the king of Mercia was victorious and regained the province.</w:t></w:r>
</w:p>
<w:p>
<w:pPr><w:pStyle w:val="Normal"/></w:pPr>
<w:r><w:t xml:space="preserve">AElfwine, the brother of Ecgfrith, was slain on this occasion,</w:t></w:r>
</w:p>
<w:p>
<w:pPr><w:pStyle w:val="Normal"/></w:pPr>
<w:r><w:t xml:space="preserve">but at the intervention of Theodore, archbishop of Canterbury,</w:t></w:r>
</w:p>
<w:p>
<w:pPr><w:pStyle w:val="Normal"/></w:pPr>
<w:r><w:t xml:space="preserve">AEthelred agreed to pay a wergild for the Northumbrian prince</w:t></w:r>
</w:p>
<w:p>
<w:pPr><w:pStyle w:val="Normal"/></w:pPr>
<w:r><w:t xml:space="preserve">and so prevented further hostilities.  Osthryth was murdered</w:t></w:r>
</w:p>
<w:p>
<w:pPr><w:pStyle w:val="Normal"/></w:pPr>
<w:r><w:t xml:space="preserve">in 697 and AEthelred abdicated in 704, choosing Coenred as his</w:t></w:r>
</w:p>
<w:p>
<w:pPr><w:pStyle w:val="Normal"/></w:pPr>
<w:r><w:t xml:space="preserve">successor.  He then became abbot of Bardney, and, according</w:t></w:r>
</w:p>
<w:p>
<w:pPr><w:pStyle w:val="Normal"/></w:pPr>
<w:r><w:t xml:space="preserve">to Eddius, recommended Wilfrid to Coenred on his return from</w:t></w:r>
</w:p>
<w:p>
<w:pPr><w:pStyle w:val="Normal"/></w:pPr>
<w:r><w:t xml:space="preserve">Rome. AEthelred died at Bardney in 716. (See WILFRID.)</w:t></w:r>
</w:p>
<w:p>
<w:pPr><w:pStyle w:val="Normal"/></w:pPr>
<w:r><w:t xml:space="preserve">SOURCES.--Eddius, Vita Wilfridi (Raine), 23, 40, 43, 45-48,</w:t></w:r>
</w:p>
<w:p>
<w:pPr><w:pStyle w:val="Normal"/></w:pPr>
<w:r><w:t xml:space="preserve">57; Bede, Hist.  Ecc. (ed. Plummer), iii. 11, iv. 12, 21;</w:t></w:r>
</w:p>
<w:p>
<w:pPr><w:pStyle w:val="Normal"/></w:pPr>
<w:r><w:t xml:space="preserve">Saxon Chronicle, s.a. 676, 679, 704, 716. (F. G. M. B.)</w:t></w:r>
</w:p>
<w:p>
<w:pPr><w:pStyle w:val="Normal"/></w:pPr>
<w:r><w:t xml:space="preserve">AETHELRED I., king of Wessex and Kent (866-871), was the</w:t></w:r>
</w:p>
<w:p>
<w:pPr><w:pStyle w:val="Normal"/></w:pPr>
<w:r><w:t xml:space="preserve">fourth son of AEthelwulf of Wessex, and should, by his father&apos;s</w:t></w:r>
</w:p>
<w:p>
<w:pPr><w:pStyle w:val="Normal"/></w:pPr>
<w:r><w:t xml:space="preserve">will, have succeeded to Wessex on the death of his eldest brother</w:t></w:r>
</w:p>
<w:p>
<w:pPr><w:pStyle w:val="Normal"/></w:pPr>
<w:r><w:t xml:space="preserve">AEthelbald.  He seems, however, to have stood aside in favour of</w:t></w:r>
</w:p>
<w:p>
<w:pPr><w:pStyle w:val="Normal"/></w:pPr>
<w:r><w:t xml:space="preserve">his brother AEthelberht, king of Kent, to whose joint kingdoms</w:t></w:r>
</w:p>
<w:p>
<w:pPr><w:pStyle w:val="Normal"/></w:pPr>
<w:r><w:t xml:space="preserve">he succeeded in 866. AEthelred&apos;s reign was one long struggle</w:t></w:r>
</w:p>
<w:p>
<w:pPr><w:pStyle w:val="Normal"/></w:pPr>
<w:r><w:t xml:space="preserve">against the Danes.  In the year of his succession a large Danish</w:t></w:r>
</w:p>
<w:p>
<w:pPr><w:pStyle w:val="Normal"/></w:pPr>
<w:r><w:t xml:space="preserve">force landed in East Anglia, and in the year 868 AEthelred and</w:t></w:r>
</w:p>
<w:p>
<w:pPr><w:pStyle w:val="Normal"/></w:pPr>
<w:r><w:t xml:space="preserve">his brother Alfred went to help Burgred, or Burhred, of Mercia,</w:t></w:r>
</w:p>
<w:p>
<w:pPr><w:pStyle w:val="Normal"/></w:pPr>
<w:r><w:t xml:space="preserve">against this host, but the Mercians soon made peace with their</w:t></w:r>
</w:p>
<w:p>
<w:pPr><w:pStyle w:val="Normal"/></w:pPr>
<w:r><w:t xml:space="preserve">foes.  In 871 the Danes encamped at Reading, where they</w:t></w:r>
</w:p>
<w:p>
<w:pPr><w:pStyle w:val="Normal"/></w:pPr>
<w:r><w:t xml:space="preserve">defeated AEthelred and his brother, but later in the year</w:t></w:r>
</w:p>
<w:p>
<w:pPr><w:pStyle w:val="Normal"/></w:pPr>
<w:r><w:t xml:space="preserve">the English won a great victory at ``AEscesdun.&apos;&apos; A fortnight</w:t></w:r>
</w:p>
<w:p>
<w:pPr><w:pStyle w:val="Normal"/></w:pPr>
<w:r><w:t xml:space="preserve">later they were defeated at Basing, but partially retrieved</w:t></w:r>
</w:p>
<w:p>
<w:pPr><w:pStyle w:val="Normal"/></w:pPr>
<w:r><w:t xml:space="preserve">their fortune by a victory at ``Maeretun&apos;&apos; (perhaps Marden in</w:t></w:r>
</w:p>
<w:p>
<w:pPr><w:pStyle w:val="Normal"/></w:pPr>
<w:r><w:t xml:space="preserve">Wiltshire), though the Danes held the field.  In the Easter</w:t></w:r>
</w:p>
<w:p>
<w:pPr><w:pStyle w:val="Normal"/></w:pPr>
<w:r><w:t xml:space="preserve">of this year AEthelred died, perhaps of wounds received in</w:t></w:r>
</w:p>
<w:p>
<w:pPr><w:pStyle w:val="Normal"/></w:pPr>
<w:r><w:t xml:space="preserve">the wars against the Danes, and was buried at Wimborne.  He</w:t></w:r>
</w:p>
<w:p>
<w:pPr><w:pStyle w:val="Normal"/></w:pPr>
<w:r><w:t xml:space="preserve">left a son, AEthelwold, who gave some trouble to his cousin</w:t></w:r>
</w:p>
<w:p>
<w:pPr><w:pStyle w:val="Normal"/></w:pPr>
<w:r><w:t xml:space="preserve">Edward the Elder, when the latter succeeded to the kingdom.</w:t></w:r>
</w:p>
<w:p>
<w:pPr><w:pStyle w:val="Normal"/></w:pPr>
<w:r><w:t xml:space="preserve">AEthelweard the historian was also a descendant of this king.</w:t></w:r>
</w:p>
<w:p>
<w:pPr><w:pStyle w:val="Normal"/></w:pPr>
<w:r><w:t xml:space="preserve">AUTHORITIES.--The Saxon Chronicle, sub ann.; Birch,</w:t></w:r>
</w:p>
<w:p>
<w:pPr><w:pStyle w:val="Normal"/></w:pPr>
<w:r><w:t xml:space="preserve">Cartul. Saxon. vol. ii.  Nos. 516-526; D.N.B.,</w:t></w:r>
</w:p>
<w:p>
<w:pPr><w:pStyle w:val="Normal"/></w:pPr>
<w:r><w:t xml:space="preserve">s.v.; Eng. Hist.  Review, i. 218-234. (A. Mw.)</w:t></w:r>
</w:p>
<w:p>
<w:pPr><w:pStyle w:val="Normal"/></w:pPr>
<w:r><w:t xml:space="preserve">AETHELRED II. (or ETHELRED) (c. 968--1016), king of</w:t></w:r>
</w:p>
<w:p>
<w:pPr><w:pStyle w:val="Normal"/></w:pPr>
<w:r><w:t xml:space="preserve">the English (surnamed THE UNREADY, i.e. without rede or</w:t></w:r>
</w:p>
<w:p>
<w:pPr><w:pStyle w:val="Normal"/></w:pPr>
<w:r><w:t xml:space="preserve">counsel), son of King Edgar by his second wife AElfthryth, was</w:t></w:r>
</w:p>
<w:p>
<w:pPr><w:pStyle w:val="Normal"/></w:pPr>
<w:r><w:t xml:space="preserve">born in 968 or 969 and succeeded to the throne on the murder</w:t></w:r>
</w:p>
<w:p>
<w:pPr><w:pStyle w:val="Normal"/></w:pPr>
<w:r><w:t xml:space="preserve">of his step-brother Edward (the Martyr) in 979. His reign was</w:t></w:r>
</w:p>
<w:p>
<w:pPr><w:pStyle w:val="Normal"/></w:pPr>
<w:r><w:t xml:space="preserve">disastrous from the beginning.  The year after his accession</w:t></w:r>
</w:p>
<w:p>
<w:pPr><w:pStyle w:val="Normal"/></w:pPr>
<w:r><w:t xml:space="preserve">the Danish invasions, long unintermitted under Edgar the</w:t></w:r>
</w:p>
<w:p>
<w:pPr><w:pStyle w:val="Normal"/></w:pPr>
<w:r><w:t xml:space="preserve">Peaceful, recommenced; though as yet their object was plunder</w:t></w:r>
</w:p>
<w:p>
<w:pPr><w:pStyle w:val="Normal"/></w:pPr>
<w:r><w:t xml:space="preserve">only, not conquest, and the attacks were repeated in 981,</w:t></w:r>
</w:p>
<w:p>
<w:pPr><w:pStyle w:val="Normal"/></w:pPr>
<w:r><w:t xml:space="preserve">982 and 988. In 991 the Danes burned Ipswich, and defeated</w:t></w:r>
</w:p>
<w:p>
<w:pPr><w:pStyle w:val="Normal"/></w:pPr>
<w:r><w:t xml:space="preserve">and slew the East Saxon ealdorman Brihtnoth at Maldon.  After</w:t></w:r>
</w:p>
<w:p>
<w:pPr><w:pStyle w:val="Normal"/></w:pPr>
<w:r><w:t xml:space="preserve">this, peace was purchased by a payment of L. 10,000-a disastrous</w:t></w:r>
</w:p>
<w:p>
<w:pPr><w:pStyle w:val="Normal"/></w:pPr>
<w:r><w:t xml:space="preserve">expedient.  The Danes were to desist from their ravages, but</w:t></w:r>
</w:p>
<w:p>
<w:pPr><w:pStyle w:val="Normal"/></w:pPr>
<w:r><w:t xml:space="preserve">were allowed to stay in England.  Next year AEthelred himself</w:t></w:r>
</w:p>
<w:p>
<w:pPr><w:pStyle w:val="Normal"/></w:pPr>
<w:r><w:t xml:space="preserve">broke the peace by an attack on the Danish ships.  Despite</w:t></w:r>
</w:p>
<w:p>
<w:pPr><w:pStyle w:val="Normal"/></w:pPr>
<w:r><w:t xml:space="preserve">the treachery of AElfric, the English were victorious; and the</w:t></w:r>
</w:p>
<w:p>
<w:pPr><w:pStyle w:val="Normal"/></w:pPr>
<w:r><w:t xml:space="preserve">Danes sailed off to ravage Lindsey and Northumbria.  In 994</w:t></w:r>
</w:p>
<w:p>
<w:pPr><w:pStyle w:val="Normal"/></w:pPr>
<w:r><w:t xml:space="preserve">Olaf Tryggvason, king of Norway, and Sweyn, king of Denmark,</w:t></w:r>
</w:p>
<w:p>
<w:pPr><w:pStyle w:val="Normal"/></w:pPr>
<w:r><w:t xml:space="preserve">united in a great invasion and attacked London.  Foiled by the</w:t></w:r>
</w:p>
<w:p>
<w:pPr><w:pStyle w:val="Normal"/></w:pPr>
<w:r><w:t xml:space="preserve">valour of the citizens, they sailed away and harried the coast</w:t></w:r>
</w:p>
<w:p>
<w:pPr><w:pStyle w:val="Normal"/></w:pPr>
<w:r><w:t xml:space="preserve">from Essex to Hampshire. AEthelred now resorted to the old</w:t></w:r>
</w:p>
<w:p>
<w:pPr><w:pStyle w:val="Normal"/></w:pPr>
<w:r><w:t xml:space="preserve">experiment and bought them off for L. 16,000 and a promise of</w:t></w:r>
</w:p>
<w:p>
<w:pPr><w:pStyle w:val="Normal"/></w:pPr>
<w:r><w:t xml:space="preserve">supplies.  Olaf also visited AEthelred at the latter&apos;s request</w:t></w:r>
</w:p>
<w:p>
<w:pPr><w:pStyle w:val="Normal"/></w:pPr>
<w:r><w:t xml:space="preserve">and, receiving a most honourable welcome, was induced to promise</w:t></w:r>
</w:p>
<w:p>
<w:pPr><w:pStyle w:val="Normal"/></w:pPr>
<w:r><w:t xml:space="preserve">that he would never again come to England with hostile intent,</w:t></w:r>
</w:p>
<w:p>
<w:pPr><w:pStyle w:val="Normal"/></w:pPr>
<w:r><w:t xml:space="preserve">an engagement which he faithfully kept.  The Danish attacks</w:t></w:r>
</w:p>
<w:p>
<w:pPr><w:pStyle w:val="Normal"/></w:pPr>
<w:r><w:t xml:space="preserve">were repeated in 997, 998, 999, and in 1000 AEthelred availed</w:t></w:r>
</w:p>
<w:p>
<w:pPr><w:pStyle w:val="Normal"/></w:pPr>
<w:r><w:t xml:space="preserve">himself of the temporary absence of the Danes in Normandy to</w:t></w:r>
</w:p>
<w:p>
<w:pPr><w:pStyle w:val="Normal"/></w:pPr>
<w:r><w:t xml:space="preserve">invade Cumberland, at that time a Viking stronghold.  Next</w:t></w:r>
</w:p>
<w:p>
<w:pPr><w:pStyle w:val="Normal"/></w:pPr>
<w:r><w:t xml:space="preserve">year, however, the Northmen returned and inflicted worse evil</w:t></w:r>
</w:p>
<w:p>
<w:pPr><w:pStyle w:val="Normal"/></w:pPr>
<w:r><w:t xml:space="preserve">than ever.  The national defence seemed to have broken down</w:t></w:r>
</w:p>
<w:p>
<w:pPr><w:pStyle w:val="Normal"/></w:pPr>
<w:r><w:t xml:space="preserve">altogether.  In despair AEthelred again offered them money,</w:t></w:r>
</w:p>
<w:p>
<w:pPr><w:pStyle w:val="Normal"/></w:pPr>
<w:r><w:t xml:space="preserve">which they again accepted, the sum paid on this occasion</w:t></w:r>
</w:p>
<w:p>
<w:pPr><w:pStyle w:val="Normal"/></w:pPr>
<w:r><w:t xml:space="preserve">being L. 24,000.  But soon afterwards the king, suspecting</w:t></w:r>
</w:p>
<w:p>
<w:pPr><w:pStyle w:val="Normal"/></w:pPr>
<w:r><w:t xml:space="preserve">treachery, resolved to get rid of his enemies once and for</w:t></w:r>
</w:p>
<w:p>
<w:pPr><w:pStyle w:val="Normal"/></w:pPr>
<w:r><w:t xml:space="preserve">all.  Orders were issued commanding the slaughter on St</w:t></w:r>
</w:p>
<w:p>
<w:pPr><w:pStyle w:val="Normal"/></w:pPr>
<w:r><w:t xml:space="preserve">Brice&apos;s day (December 2) of ``all the Danish men who were</w:t></w:r>
</w:p>
<w:p>
<w:pPr><w:pStyle w:val="Normal"/></w:pPr>
<w:r><w:t xml:space="preserve">in England.&apos;&apos; Such a decree could obviously not be carried</w:t></w:r>
</w:p>
<w:p>
<w:pPr><w:pStyle w:val="Normal"/></w:pPr>
<w:r><w:t xml:space="preserve">out literally; but we cannot doubt that the slaughter was</w:t></w:r>
</w:p>
<w:p>
<w:pPr><w:pStyle w:val="Normal"/></w:pPr>
<w:r><w:t xml:space="preserve">great.  This violence, however, only made matters worse.  Next</w:t></w:r>
</w:p>
<w:p>
<w:pPr><w:pStyle w:val="Normal"/></w:pPr>
<w:r><w:t xml:space="preserve">year Sweyn returned, his hostility fanned by the desire for</w:t></w:r>
</w:p>
<w:p>
<w:pPr><w:pStyle w:val="Normal"/></w:pPr>
<w:r><w:t xml:space="preserve">revenge.  For two years he ravaged and slew; in 1003 Exeter</w:t></w:r>
</w:p>
<w:p>
<w:pPr><w:pStyle w:val="Normal"/></w:pPr>
<w:r><w:t xml:space="preserve">was destroyed; Norwich and Thetford in 1004.  No effectual</w:t></w:r>
</w:p>
<w:p>
<w:pPr><w:pStyle w:val="Normal"/></w:pPr>
<w:r><w:t xml:space="preserve">resistance was offered, despite a gallant effort here and there;</w:t></w:r>
</w:p>
<w:p>
<w:pPr><w:pStyle w:val="Normal"/></w:pPr>
<w:r><w:t xml:space="preserve">the disorganization of the country was complete.  In 1005 the</w:t></w:r>
</w:p>
<w:p>
<w:pPr><w:pStyle w:val="Normal"/></w:pPr>
<w:r><w:t xml:space="preserve">Danes were absent in Denmark, but came back next year, and</w:t></w:r>
</w:p>
<w:p>
<w:pPr><w:pStyle w:val="Normal"/></w:pPr>
<w:r><w:t xml:space="preserve">emboldened by the utter lack of resistance, they ranged far</w:t></w:r>
</w:p>
<w:p>
<w:pPr><w:pStyle w:val="Normal"/></w:pPr>
<w:r><w:t xml:space="preserve">inland.  In 1007 AEthelred bought them off for a larger sum</w:t></w:r>
</w:p>
<w:p>
<w:pPr><w:pStyle w:val="Normal"/></w:pPr>
<w:r><w:t xml:space="preserve">than ever (L. 36,000), and for two years the land enjoyed</w:t></w:r>
</w:p>
<w:p>
<w:pPr><w:pStyle w:val="Normal"/></w:pPr>
<w:r><w:t xml:space="preserve">peace.  In 1009, however, in accordance with a resolution</w:t></w:r>
</w:p>
<w:p>
<w:pPr><w:pStyle w:val="Normal"/></w:pPr>
<w:r><w:t xml:space="preserve">made by the witan in the preceding year, AEthelred collected</w:t></w:r>
</w:p>
<w:p>
<w:pPr><w:pStyle w:val="Normal"/></w:pPr>
<w:r><w:t xml:space="preserve">such a fleet ``as never before had been in England in any</w:t></w:r>
</w:p>
<w:p>
<w:pPr><w:pStyle w:val="Normal"/></w:pPr>
<w:r><w:t xml:space="preserve">king&apos;s day&apos;&apos;; but owing to a miserable court quarrel the</w:t></w:r>
</w:p>
<w:p>
<w:pPr><w:pStyle w:val="Normal"/></w:pPr>
<w:r><w:t xml:space="preserve">effort came to nothing.  The king then summoned a general</w:t></w:r>
</w:p>
<w:p>
<w:pPr><w:pStyle w:val="Normal"/></w:pPr>
<w:r><w:t xml:space="preserve">levy of the nation, with no better result.  Just as he</w:t></w:r>
</w:p>
<w:p>
<w:pPr><w:pStyle w:val="Normal"/></w:pPr>
<w:r><w:t xml:space="preserve">was about to attack, the traitor Edric prevented him from</w:t></w:r>
</w:p>
<w:p>
<w:pPr><w:pStyle w:val="Normal"/></w:pPr>
<w:r><w:t xml:space="preserve">doing so, and the opportunity was lost.  In 1010 the Danes</w:t></w:r>
</w:p>
<w:p>
<w:pPr><w:pStyle w:val="Normal"/></w:pPr>
<w:r><w:t xml:space="preserve">returned, to find the kingdom more utterly disorganized than</w:t></w:r>
</w:p>
<w:p>
<w:pPr><w:pStyle w:val="Normal"/></w:pPr>
<w:r><w:t xml:space="preserve">ever. ``There was not a chief man in the kingdom who could</w:t></w:r>
</w:p>
<w:p>
<w:pPr><w:pStyle w:val="Normal"/></w:pPr>
<w:r><w:t xml:space="preserve">gather a force, but each fled as he best might; nor even at</w:t></w:r>
</w:p>
<w:p>
<w:pPr><w:pStyle w:val="Normal"/></w:pPr>
<w:r><w:t xml:space="preserve">last would any there resist another.&apos;&apos; Incapable of offering</w:t></w:r>
</w:p>
<w:p>
<w:pPr><w:pStyle w:val="Normal"/></w:pPr>
<w:r><w:t xml:space="preserve">resistance, the king again offered money, this time no less than</w:t></w:r>
</w:p>
<w:p>
<w:pPr><w:pStyle w:val="Heading1"/></w:pPr>
<w:r><w:t>L. 48,000.  While it was being collected, the Danes sacked</w:t></w:r>
</w:p>
<w:p>
<w:pPr><w:pStyle w:val="Normal"/></w:pPr>
<w:r><w:t xml:space="preserve">Canterbury and barbarously slew the archbishop Alphege.  The</w:t></w:r>
</w:p>
<w:p>
<w:pPr><w:pStyle w:val="Normal"/></w:pPr>
<w:r><w:t xml:space="preserve">tribute was paid soon afterwards; and about the same time the</w:t></w:r>
</w:p>
<w:p>
<w:pPr><w:pStyle w:val="Normal"/></w:pPr>
<w:r><w:t xml:space="preserve">Danish leader Thurkill entered the English service.  From 1013</w:t></w:r>
</w:p>
<w:p>
<w:pPr><w:pStyle w:val="Normal"/></w:pPr>
<w:r><w:t xml:space="preserve">an important change is discernible in the character of the</w:t></w:r>
</w:p>
<w:p>
<w:pPr><w:pStyle w:val="Normal"/></w:pPr>
<w:r><w:t xml:space="preserve">Danish attacks, which now became definitely political in their</w:t></w:r>
</w:p>
<w:p>
<w:pPr><w:pStyle w:val="Normal"/></w:pPr>
<w:r><w:t xml:space="preserve">aim.  In this year Sweyn sailed up the Trent and received the</w:t></w:r>
</w:p>
<w:p>
<w:pPr><w:pStyle w:val="Normal"/></w:pPr>
<w:r><w:t xml:space="preserve">submission of northern England, and then marching south, he</w:t></w:r>
</w:p>
<w:p>
<w:pPr><w:pStyle w:val="Normal"/></w:pPr>
<w:r><w:t xml:space="preserve">attacked London.  Failing to take it, he hastened west and</w:t></w:r>
</w:p>
<w:p>
<w:pPr><w:pStyle w:val="Normal"/></w:pPr>
<w:r><w:t xml:space="preserve">at Bath received the submission of Wessex.  Then he returned</w:t></w:r>
</w:p>
<w:p>
<w:pPr><w:pStyle w:val="Normal"/></w:pPr>
<w:r><w:t xml:space="preserve">northwards, and after that ``all the nation considered him as</w:t></w:r>
</w:p>
<w:p>
<w:pPr><w:pStyle w:val="Normal"/></w:pPr>
<w:r><w:t xml:space="preserve">full king.&apos;&apos; London soon acknowledged him, and AEthelred, after</w:t></w:r>
</w:p>
<w:p>
<w:pPr><w:pStyle w:val="Normal"/></w:pPr>
<w:r><w:t xml:space="preserve">taking refuge for a while with Thurkill&apos;s fleet, escaped to</w:t></w:r>
</w:p>
<w:p>
<w:pPr><w:pStyle w:val="Normal"/></w:pPr>
<w:r><w:t xml:space="preserve">Normandy.  Sweyn died in February 1014, and AEthelred was</w:t></w:r>
</w:p>
<w:p>
<w:pPr><w:pStyle w:val="Normal"/></w:pPr>
<w:r><w:t xml:space="preserve">recalled by the witan, on giving a promise to reign better in</w:t></w:r>
</w:p>
<w:p>
<w:pPr><w:pStyle w:val="Normal"/></w:pPr>
<w:r><w:t xml:space="preserve">future.  At once he hastened north against Canute, Sweyn&apos;s son,</w:t></w:r>
</w:p>
<w:p>
<w:pPr><w:pStyle w:val="Normal"/></w:pPr>
<w:r><w:t xml:space="preserve">who claimed to succeed his father, but Canute sailed away, only</w:t></w:r>
</w:p>
<w:p>
<w:pPr><w:pStyle w:val="Normal"/></w:pPr>
<w:r><w:t xml:space="preserve">to return next year, when the traitor Edric joined him and Wessex</w:t></w:r>
</w:p>
<w:p>
<w:pPr><w:pStyle w:val="Normal"/></w:pPr>
<w:r><w:t xml:space="preserve">submitted.  Together Canute and Edric harried Mercia, and</w:t></w:r>
</w:p>
<w:p>
<w:pPr><w:pStyle w:val="Normal"/></w:pPr>
<w:r><w:t xml:space="preserve">were preparing to reduce London, when AEthelred died there on</w:t></w:r>
</w:p>
<w:p>
<w:pPr><w:pStyle w:val="Normal"/></w:pPr>
<w:r><w:t xml:space="preserve">the 23rd of April 1016.  Weak, self-indulgent, improvident,</w:t></w:r>
</w:p>
<w:p>
<w:pPr><w:pStyle w:val="Normal"/></w:pPr>
<w:r><w:t xml:space="preserve">he had pursued a policy of opportunism to a fatal conclusion.</w:t></w:r>
</w:p>
<w:p>
<w:pPr><w:pStyle w:val="Normal"/></w:pPr>
<w:r><w:t xml:space="preserve">AEthelred&apos;s wife was Emma, or AElfgifu, daughter of Richard</w:t></w:r>
</w:p>
<w:p>
<w:pPr><w:pStyle w:val="Heading1"/></w:pPr>
<w:r><w:t>I. the Fearless, duke of the Nurmans, whom he married in</w:t></w:r>
</w:p>
<w:p>
<w:pPr><w:pStyle w:val="Normal"/></w:pPr>
<w:r><w:t xml:space="preserve">1002.  After the king&apos;s death Emma became the wife of Canute</w:t></w:r>
</w:p>
<w:p>
<w:pPr><w:pStyle w:val="Normal"/></w:pPr>
<w:r><w:t xml:space="preserve">the Great, and after his death in 1035 she struggled hard to</w:t></w:r>
</w:p>
<w:p>
<w:pPr><w:pStyle w:val="Normal"/></w:pPr>
<w:r><w:t xml:space="preserve">secure England for her son, Hardicanute.  In 1037, however,</w:t></w:r>
</w:p>
<w:p>
<w:pPr><w:pStyle w:val="Normal"/></w:pPr>
<w:r><w:t xml:space="preserve">when Harold Harefoot became sole king, she was banished; she</w:t></w:r>
</w:p>
<w:p>
<w:pPr><w:pStyle w:val="Normal"/></w:pPr>
<w:r><w:t xml:space="preserve">went to Flanders, returning to England with Hardicanute in</w:t></w:r>
</w:p>
<w:p>
<w:pPr><w:pStyle w:val="Normal"/></w:pPr>
<w:r><w:t xml:space="preserve">1040.  In 1043, after Edward the Confessor had become king</w:t></w:r>
</w:p>
<w:p>
<w:pPr><w:pStyle w:val="Normal"/></w:pPr>
<w:r><w:t xml:space="preserve">he seized the greater part of Emma&apos;s great wealth, and the</w:t></w:r>
</w:p>
<w:p>
<w:pPr><w:pStyle w:val="Normal"/></w:pPr>
<w:r><w:t xml:space="preserve">queen lived in retirement at Winchester until her death</w:t></w:r>
</w:p>
<w:p>
<w:pPr><w:pStyle w:val="Normal"/></w:pPr>
<w:r><w:t xml:space="preserve">on the 6th of March 1052.  By AEthelred Emma had two sons,</w:t></w:r>
</w:p>
<w:p>
<w:pPr><w:pStyle w:val="Normal"/></w:pPr>
<w:r><w:t xml:space="preserve">Edward the Confessor and the aetheling AElfred (d. 1036),</w:t></w:r>
</w:p>
<w:p>
<w:pPr><w:pStyle w:val="Normal"/></w:pPr>
<w:r><w:t xml:space="preserve">and by Canute she was the mother of Hardicanute.  Emma&apos;s</w:t></w:r>
</w:p>
<w:p>
<w:pPr><w:pStyle w:val="Normal"/></w:pPr>
<w:r><w:t xml:space="preserve">marriage with AEthelred was an important step in the history</w:t></w:r>
</w:p>
<w:p>
<w:pPr><w:pStyle w:val="Normal"/></w:pPr>
<w:r><w:t xml:space="preserve">of the relations between England and Normandy, and J. R.</w:t></w:r>
</w:p>
<w:p>
<w:pPr><w:pStyle w:val="Normal"/></w:pPr>
<w:r><w:t xml:space="preserve">Green says ``it suddenly opened for its rulers a distinct</w:t></w:r>
</w:p>
<w:p>
<w:pPr><w:pStyle w:val="Normal"/></w:pPr>
<w:r><w:t xml:space="preserve">policy, a distinct course of action, which led to the Norman</w:t></w:r>
</w:p>
<w:p>
<w:pPr><w:pStyle w:val="Normal"/></w:pPr>
<w:r><w:t xml:space="preserve">conquest of England.  From the moment of Emma&apos;s marriage</w:t></w:r>
</w:p>
<w:p>
<w:pPr><w:pStyle w:val="Normal"/></w:pPr>
<w:r><w:t xml:space="preserve">Normandy became a chief factor in English politics.&apos;&apos;</w:t></w:r>
</w:p>
<w:p>
<w:pPr><w:pStyle w:val="Normal"/></w:pPr>
<w:r><w:t xml:space="preserve">AUTHORITIES.---The Anglo-Saxon Chronicle (edition by C.</w:t></w:r>
</w:p>
<w:p>
<w:pPr><w:pStyle w:val="Normal"/></w:pPr>
<w:r><w:t xml:space="preserve">Plummer, 2 vols.  Oxford, 1892-1899); Florence of Worcester</w:t></w:r>
</w:p>
<w:p>
<w:pPr><w:pStyle w:val="Normal"/></w:pPr>
<w:r><w:t xml:space="preserve">(ed. B. Thorpe, London, 1848-1849); Encomium Emmae (ed. by</w:t></w:r>
</w:p>
<w:p>
<w:pPr><w:pStyle w:val="Normal"/></w:pPr>
<w:r><w:t xml:space="preserve">G. H. Pertz in the Scriptores Rerum Germanicarum, Band xix.,</w:t></w:r>
</w:p>
<w:p>
<w:pPr><w:pStyle w:val="Normal"/></w:pPr>
<w:r><w:t xml:space="preserve">Hanover, 1866) for the latter part of the reign.  See also J. M.</w:t></w:r>
</w:p>
<w:p>
<w:pPr><w:pStyle w:val="Normal"/></w:pPr>
<w:r><w:t xml:space="preserve">Kemble, Codex Diplomaticus acti Saxonici (London, 1839--1848);</w:t></w:r>
</w:p>
<w:p>
<w:pPr><w:pStyle w:val="Normal"/></w:pPr>
<w:r><w:t xml:space="preserve">and B. Thorpe, Ancient Laws (London, 1840). (C. S. P.*)</w:t></w:r>
</w:p>
<w:p>
<w:pPr><w:pStyle w:val="Normal"/></w:pPr>
<w:r><w:t xml:space="preserve">AETHELSTAN (c. 894-940), Saxon king, was the son (probably</w:t></w:r>
</w:p>
<w:p>
<w:pPr><w:pStyle w:val="Normal"/></w:pPr>
<w:r><w:t xml:space="preserve">illegitimate) of Edward the elder.  He had been the favourite</w:t></w:r>
</w:p>
<w:p>
<w:pPr><w:pStyle w:val="Normal"/></w:pPr>
<w:r><w:t xml:space="preserve">of his grandfather Alfred, and was brought up in the household</w:t></w:r>
</w:p>
<w:p>
<w:pPr><w:pStyle w:val="Normal"/></w:pPr>
<w:r><w:t xml:space="preserve">of his aunt AEthelflaed, the ``Lady of the Mercians.&apos;&apos; On the</w:t></w:r>
</w:p>
<w:p>
<w:pPr><w:pStyle w:val="Normal"/></w:pPr>
<w:r><w:t xml:space="preserve">death of his father in 924, at some date after the 12th of</w:t></w:r>
</w:p>
<w:p>
<w:pPr><w:pStyle w:val="Normal"/></w:pPr>
<w:r><w:t xml:space="preserve">November, AEthelstan succeeded him and was crowned at Kingston</w:t></w:r>
</w:p>
<w:p>
<w:pPr><w:pStyle w:val="Normal"/></w:pPr>
<w:r><w:t xml:space="preserve">shortly after.  The succession did not, however, take place</w:t></w:r>
</w:p>
<w:p>
<w:pPr><w:pStyle w:val="Normal"/></w:pPr>
<w:r><w:t xml:space="preserve">without opposition.  One AElfred, probably a descendant of</w:t></w:r>
</w:p>
<w:p>
<w:pPr><w:pStyle w:val="Normal"/></w:pPr>
<w:r><w:t xml:space="preserve">AEthelred I., formed a plot to seize the king at Winchester;</w:t></w:r>
</w:p>
<w:p>
<w:pPr><w:pStyle w:val="Normal"/></w:pPr>
<w:r><w:t xml:space="preserve">the plot was discovered and AElfred was sent to Rome to defend</w:t></w:r>
</w:p>
<w:p>
<w:pPr><w:pStyle w:val="Normal"/></w:pPr>
<w:r><w:t xml:space="preserve">himself, but died shortly after.  The king&apos;s own legitimate</w:t></w:r>
</w:p>
<w:p>
<w:pPr><w:pStyle w:val="Normal"/></w:pPr>
<w:r><w:t xml:space="preserve">brother Edwin made no attempt on the throne, but in 933 he</w:t></w:r>
</w:p>
<w:p>
<w:pPr><w:pStyle w:val="Normal"/></w:pPr>
<w:r><w:t xml:space="preserve">was drowned at sea under somewhat mysterious circumstances;</w:t></w:r>
</w:p>
<w:p>
<w:pPr><w:pStyle w:val="Normal"/></w:pPr>
<w:r><w:t xml:space="preserve">the later chroniclers ascribe his death to foul play on</w:t></w:r>
</w:p>
<w:p>
<w:pPr><w:pStyle w:val="Normal"/></w:pPr>
<w:r><w:t xml:space="preserve">the part of the king, but this seems more than doubtful.</w:t></w:r>
</w:p>
<w:p>
<w:pPr><w:pStyle w:val="Normal"/></w:pPr>
<w:r><w:t xml:space="preserve">One of AEthelstan&apos;s first public acts was to hold a conference</w:t></w:r>
</w:p>
<w:p>
<w:pPr><w:pStyle w:val="Normal"/></w:pPr>
<w:r><w:t xml:space="preserve">at Tamworth with Sihtric, the Scandinavian king of Northumbria,</w:t></w:r>
</w:p>
<w:p>
<w:pPr><w:pStyle w:val="Normal"/></w:pPr>
<w:r><w:t xml:space="preserve">and as a result Sihtric received AEthelstan&apos;s sister in</w:t></w:r>
</w:p>
<w:p>
<w:pPr><w:pStyle w:val="Normal"/></w:pPr>
<w:r><w:t xml:space="preserve">marriage.  In the next year Sihtric died and AEthelstan took</w:t></w:r>
</w:p>
<w:p>
<w:pPr><w:pStyle w:val="Normal"/></w:pPr>
<w:r><w:t xml:space="preserve">over the Northumbrian kingdom.  He now received, at Dacre in</w:t></w:r>
</w:p>
<w:p>
<w:pPr><w:pStyle w:val="Normal"/></w:pPr>
<w:r><w:t xml:space="preserve">Cumberland, the submission of all the kings of the island,</w:t></w:r>
</w:p>
<w:p>
<w:pPr><w:pStyle w:val="Normal"/></w:pPr>
<w:r><w:t xml:space="preserve">viz.  Howel Dda, king of West Wales, Owen, king of Cumbria,</w:t></w:r>
</w:p>
<w:p>
<w:pPr><w:pStyle w:val="Normal"/></w:pPr>
<w:r><w:t xml:space="preserve">Constantine, king of the Scots, and Ealdred of Bamburgh, and</w:t></w:r>
</w:p>
<w:p>
<w:pPr><w:pStyle w:val="Normal"/></w:pPr>
<w:r><w:t xml:space="preserve">henceforth he calls himself ``rex totius Britanniae.&apos;&apos; About</w:t></w:r>
</w:p>
<w:p>
<w:pPr><w:pStyle w:val="Normal"/></w:pPr>
<w:r><w:t xml:space="preserve">this time (the exact chronology is uncertain) AEthelstan expelled</w:t></w:r>
</w:p>
<w:p>
<w:pPr><w:pStyle w:val="Normal"/></w:pPr>
<w:r><w:t xml:space="preserve">Sihtric&apos;s brother Guthfrith, destroyed the Danish fortress at</w:t></w:r>
</w:p>
<w:p>
<w:pPr><w:pStyle w:val="Normal"/></w:pPr>
<w:r><w:t xml:space="preserve">York, received the submission of the Welsh at Hereford, fixing</w:t></w:r>
</w:p>
<w:p>
<w:pPr><w:pStyle w:val="Normal"/></w:pPr>
<w:r><w:t xml:space="preserve">their boundary along the line of the Wye, and drove the Cornishmen</w:t></w:r>
</w:p>
<w:p>
<w:pPr><w:pStyle w:val="Normal"/></w:pPr>
<w:r><w:t xml:space="preserve">west of the Tamar, fortifying Exeter as an English city.</w:t></w:r>
</w:p>
<w:p>
<w:pPr><w:pStyle w:val="Normal"/></w:pPr>
<w:r><w:t xml:space="preserve">In 934 he invaded Scotland by land and sea, perhaps owing to</w:t></w:r>
</w:p>
<w:p>
<w:pPr><w:pStyle w:val="Normal"/></w:pPr>
<w:r><w:t xml:space="preserve">an alliance between Constantine and Anlaf Sihtricsson.  The</w:t></w:r>
</w:p>
<w:p>
<w:pPr><w:pStyle w:val="Normal"/></w:pPr>
<w:r><w:t xml:space="preserve">army advanced as far north as Dunottar, in Kincardineshire,</w:t></w:r>
</w:p>
<w:p>
<w:pPr><w:pStyle w:val="Normal"/></w:pPr>
<w:r><w:t xml:space="preserve">while the navy sailed to Caithness.  Simeon of Durham</w:t></w:r>
</w:p>
<w:p>
<w:pPr><w:pStyle w:val="Normal"/></w:pPr>
<w:r><w:t xml:space="preserve">speaks of a submission of Scotland as a result; if it</w:t></w:r>
</w:p>
<w:p>
<w:pPr><w:pStyle w:val="Normal"/></w:pPr>
<w:r><w:t xml:space="preserve">ever took place it was a mere form, for three years later</w:t></w:r>
</w:p>
<w:p>
<w:pPr><w:pStyle w:val="Normal"/></w:pPr>
<w:r><w:t xml:space="preserve">we find a great confederacy formed in Scotland against</w:t></w:r>
</w:p>
<w:p>
<w:pPr><w:pStyle w:val="Normal"/></w:pPr>
<w:r><w:t xml:space="preserve">AEthelstan.  This confederacy of 937 was joined by Constantine,</w:t></w:r>
</w:p>
<w:p>
<w:pPr><w:pStyle w:val="Normal"/></w:pPr>
<w:r><w:t xml:space="preserve">king of Scotland, the Welsh of Strathclyde, and the</w:t></w:r>
</w:p>
<w:p>
<w:pPr><w:pStyle w:val="Normal"/></w:pPr>
<w:r><w:t xml:space="preserve">Norwegian chieftains Anlaf Sihtricsson and Anlaf Godfredsson,</w:t></w:r>
</w:p>
<w:p>
<w:pPr><w:pStyle w:val="Normal"/></w:pPr>
<w:r><w:t xml:space="preserve">who, though they came from Ireland, had powerful English</w:t></w:r>
</w:p>
<w:p>
<w:pPr><w:pStyle w:val="Normal"/></w:pPr>
<w:r><w:t xml:space="preserve">connexions.  A great battle was fought at Brunanburh (perhaps</w:t></w:r>
</w:p>
<w:p>
<w:pPr><w:pStyle w:val="Normal"/></w:pPr>
<w:r><w:t xml:space="preserve">Brunswark or Birrenswark hill in S.E. Dumfriesshire), in</w:t></w:r>
</w:p>
<w:p>
<w:pPr><w:pStyle w:val="Normal"/></w:pPr>
<w:r><w:t xml:space="preserve">which AEthelstan and his brother Edmund were completely</w:t></w:r>
</w:p>
<w:p>
<w:pPr><w:pStyle w:val="Normal"/></w:pPr>
<w:r><w:t xml:space="preserve">victorious.  England had been freed from its greatest danger</w:t></w:r>
</w:p>
<w:p>
<w:pPr><w:pStyle w:val="Normal"/></w:pPr>
<w:r><w:t xml:space="preserve">since the days of the struggle of Alfred against Cuthrum.</w:t></w:r>
</w:p>
<w:p>
<w:pPr><w:pStyle w:val="Normal"/></w:pPr>
<w:r><w:t xml:space="preserve">AEthelstan was the first Saxon king who could claim in any</w:t></w:r>
</w:p>
<w:p>
<w:pPr><w:pStyle w:val="Normal"/></w:pPr>
<w:r><w:t xml:space="preserve">real sense to be lord paramount of Britain.  In his charters</w:t></w:r>
</w:p>
<w:p>
<w:pPr><w:pStyle w:val="Normal"/></w:pPr>
<w:r><w:t xml:space="preserve">he is continually called ``rex totius Britanniae,&apos;&apos; and he</w:t></w:r>
</w:p>
<w:p>
<w:pPr><w:pStyle w:val="Normal"/></w:pPr>
<w:r><w:t xml:space="preserve">adopts for the first time the Greek title basileus. This</w:t></w:r>
</w:p>
<w:p>
<w:pPr><w:pStyle w:val="Normal"/></w:pPr>
<w:r><w:t xml:space="preserve">was not merely an idle flourish, for some of his charters</w:t></w:r>
</w:p>
<w:p>
<w:pPr><w:pStyle w:val="Normal"/></w:pPr>
<w:r><w:t xml:space="preserve">are signed by Welsh and Scottish kings as subreguli.</w:t></w:r>
</w:p>
<w:p>
<w:pPr><w:pStyle w:val="Normal"/></w:pPr>
<w:r><w:t xml:space="preserve">Further, AEthelstan was the first king to bring England into</w:t></w:r>
</w:p>
<w:p>
<w:pPr><w:pStyle w:val="Normal"/></w:pPr>
<w:r><w:t xml:space="preserve">close touch with continental Europe.  By the marriage of his</w:t></w:r>
</w:p>
<w:p>
<w:pPr><w:pStyle w:val="Normal"/></w:pPr>
<w:r><w:t xml:space="preserve">half-sisters he was brought into connexion with the chief</w:t></w:r>
</w:p>
<w:p>
<w:pPr><w:pStyle w:val="Normal"/></w:pPr>
<w:r><w:t xml:space="preserve">royal and princely houses of France and Germany.  His sister</w:t></w:r>
</w:p>
<w:p>
<w:pPr><w:pStyle w:val="Normal"/></w:pPr>
<w:r><w:t xml:space="preserve">Eadgifu married Charles the Simple, Eadhild became the wife</w:t></w:r>
</w:p>
<w:p>
<w:pPr><w:pStyle w:val="Normal"/></w:pPr>
<w:r><w:t xml:space="preserve">of Hugh the Great, duke of France, Eadgyth was married to</w:t></w:r>
</w:p>
<w:p>
<w:pPr><w:pStyle w:val="Normal"/></w:pPr>
<w:r><w:t xml:space="preserve">the emperor Otto the Great, and her sister AElfgifu to a</w:t></w:r>
</w:p>
<w:p>
<w:pPr><w:pStyle w:val="Normal"/></w:pPr>
<w:r><w:t xml:space="preserve">petty German prince.  Embassies passed between AEthelstan and</w:t></w:r>
</w:p>
<w:p>
<w:pPr><w:pStyle w:val="Normal"/></w:pPr>
<w:r><w:t xml:space="preserve">Harold Fairhair, first king of Norway, with the result</w:t></w:r>
</w:p>
<w:p>
<w:pPr><w:pStyle w:val="Normal"/></w:pPr>
<w:r><w:t xml:space="preserve">that Harold&apos;s son Haakon was brought up in England and is</w:t></w:r>
</w:p>
<w:p>
<w:pPr><w:pStyle w:val="Normal"/></w:pPr>
<w:r><w:t xml:space="preserve">known in Scandinavian history as Haakon Adalsteinsfostri.</w:t></w:r>
</w:p>
<w:p>
<w:pPr><w:pStyle w:val="Normal"/></w:pPr>
<w:r><w:t xml:space="preserve">AEthelstan died at Gloucester in 940, and was buried at Malmesbury,</w:t></w:r>
</w:p>
<w:p>
<w:pPr><w:pStyle w:val="Normal"/></w:pPr>
<w:r><w:t xml:space="preserve">an abbey which he had munificently endowed during his lifetime.</w:t></w:r>
</w:p>
<w:p>
<w:pPr><w:pStyle w:val="Normal"/></w:pPr>
<w:r><w:t xml:space="preserve">Apparently he was never married, and he certainly had no issue.</w:t></w:r>
</w:p>
<w:p>
<w:pPr><w:pStyle w:val="Normal"/></w:pPr>
<w:r><w:t xml:space="preserve">A considerable body of law has come down to us in</w:t></w:r>
</w:p>
<w:p>
<w:pPr><w:pStyle w:val="Normal"/></w:pPr>
<w:r><w:t xml:space="preserve">AEthelstan&apos;s name.  The chief collections are those issued</w:t></w:r>
</w:p>
<w:p>
<w:pPr><w:pStyle w:val="Normal"/></w:pPr>
<w:r><w:t xml:space="preserve">at Grately in Hampshire, at Exeter, at Thunresfeld, and the</w:t></w:r>
</w:p>
<w:p>
<w:pPr><w:pStyle w:val="Normal"/></w:pPr>
<w:r><w:t xml:space="preserve">Judicia civitatis Lundonie. In the last-named one personal</w:t></w:r>
</w:p>
<w:p>
<w:pPr><w:pStyle w:val="Normal"/></w:pPr>
<w:r><w:t xml:space="preserve">touch is found when the king tells the archbishop how grievous</w:t></w:r>
</w:p>
<w:p>
<w:pPr><w:pStyle w:val="Normal"/></w:pPr>
<w:r><w:t xml:space="preserve">it is to put to death persons of twelve winters for stealing.</w:t></w:r>
</w:p>
<w:p>
<w:pPr><w:pStyle w:val="Normal"/></w:pPr>
<w:r><w:t xml:space="preserve">The king secured the raising of the age limit to fifteen.</w:t></w:r>
</w:p>
<w:p>
<w:pPr><w:pStyle w:val="Normal"/></w:pPr>
<w:r><w:t xml:space="preserve">AUTHORITIES.---Primary: The Saxon Chronicle, sub ann.;</w:t></w:r>
</w:p>
<w:p>
<w:pPr><w:pStyle w:val="Normal"/></w:pPr>
<w:r><w:t xml:space="preserve">William of Malmesbury, Gestal Regum, i. 141-157, Rolls</w:t></w:r>
</w:p>
<w:p>
<w:pPr><w:pStyle w:val="Normal"/></w:pPr>
<w:r><w:t xml:space="preserve">Series, containing valuable original information (v. Stubbs&apos;</w:t></w:r>
</w:p>
<w:p>
<w:pPr><w:pStyle w:val="Normal"/></w:pPr>
<w:r><w:t xml:space="preserve">Introduction, II. lxvii.); Birch, Cartul.  Saxon. vol.</w:t></w:r>
</w:p>
<w:p>
<w:pPr><w:pStyle w:val="Normal"/></w:pPr>
<w:r><w:t xml:space="preserve">ii.  Nos. 641-747; A.S. Laws. (ed. Liebermann), i. 146-183;</w:t></w:r>
</w:p>
<w:p>
<w:pPr><w:pStyle w:val="Normal"/></w:pPr>
<w:r><w:t xml:space="preserve">AEthelweard, Florence of Worcester.  Secondary: Saxon</w:t></w:r>
</w:p>
<w:p>
<w:pPr><w:pStyle w:val="Normal"/></w:pPr>
<w:r><w:t xml:space="preserve">Chronicle (ed. Plummer), vol. ii. pp. 132-142 D.N.B., s.v.</w:t></w:r>
</w:p>
<w:p>
<w:pPr><w:pStyle w:val="Normal"/></w:pPr>
<w:r><w:t xml:space="preserve">AETHELWEARD (ETHELWARD.) Anglo-Saxon historian, was</w:t></w:r>
</w:p>
<w:p>
<w:pPr><w:pStyle w:val="Normal"/></w:pPr>
<w:r><w:t xml:space="preserve">the great-grandson of AEthelred, the brother of Alfred and</w:t></w:r>
</w:p>
<w:p>
<w:pPr><w:pStyle w:val="Normal"/></w:pPr>
<w:r><w:t xml:space="preserve">ealdorman or earl of the western provinces (i.e. probably</w:t></w:r>
</w:p>
<w:p>
<w:pPr><w:pStyle w:val="Normal"/></w:pPr>
<w:r><w:t xml:space="preserve">of the whole of Wessex).  He first signs as dux or ealdorman</w:t></w:r>
</w:p>
<w:p>
<w:pPr><w:pStyle w:val="Normal"/></w:pPr>
<w:r><w:t xml:space="preserve">in 973, and continues to sign until 998, about which time</w:t></w:r>
</w:p>
<w:p>
<w:pPr><w:pStyle w:val="Normal"/></w:pPr>
<w:r><w:t xml:space="preserve">his death must have taken place.  In the year 991 he was</w:t></w:r>
</w:p>
<w:p>
<w:pPr><w:pStyle w:val="Normal"/></w:pPr>
<w:r><w:t xml:space="preserve">associated with archbishop Sigeric in the conclusion of a</w:t></w:r>
</w:p>
<w:p>
<w:pPr><w:pStyle w:val="Normal"/></w:pPr>
<w:r><w:t xml:space="preserve">peace with the victorious Danes from Maldon, and in 994 he</w:t></w:r>
</w:p>
<w:p>
<w:pPr><w:pStyle w:val="Normal"/></w:pPr>
<w:r><w:t xml:space="preserve">was sent with Bishop AElfheah (Alphege) of Winchester to make</w:t></w:r>
</w:p>
<w:p>
<w:pPr><w:pStyle w:val="Normal"/></w:pPr>
<w:r><w:t xml:space="preserve">peace with Olaf at Andover. AEthelweard was the author of</w:t></w:r>
</w:p>
<w:p>
<w:pPr><w:pStyle w:val="Normal"/></w:pPr>
<w:r><w:t xml:space="preserve">a Latin Chronicle extending to the year 975. Up to the year</w:t></w:r>
</w:p>
<w:p>
<w:pPr><w:pStyle w:val="Normal"/></w:pPr>
<w:r><w:t xml:space="preserve">892 he is largely dependent on the Saxon Chronicle, with</w:t></w:r>
</w:p>
<w:p>
<w:pPr><w:pStyle w:val="Normal"/></w:pPr>
<w:r><w:t xml:space="preserve">a few details of his own; later he is largely independent of</w:t></w:r>
</w:p>
<w:p>
<w:pPr><w:pStyle w:val="Normal"/></w:pPr>
<w:r><w:t xml:space="preserve">it. AEthelweard gave himself the bombastic title ``Patricius</w:t></w:r>
</w:p>
<w:p>
<w:pPr><w:pStyle w:val="Normal"/></w:pPr>
<w:r><w:t xml:space="preserve">Consul Quaestor Ethelwerdus,&apos;&apos; and unfortunately this title</w:t></w:r>
</w:p>
<w:p>
<w:pPr><w:pStyle w:val="Normal"/></w:pPr>
<w:r><w:t xml:space="preserve">is only too characteristic of the man.  His narrative is</w:t></w:r>
</w:p>
<w:p>
<w:pPr><w:pStyle w:val="Normal"/></w:pPr>
<w:r><w:t xml:space="preserve">highly rhetorical, and as he at the same time attempts more</w:t></w:r>
</w:p>
<w:p>
<w:pPr><w:pStyle w:val="Normal"/></w:pPr>
<w:r><w:t xml:space="preserve">than Tacitean brevity his narrative is often very obscure.</w:t></w:r>
</w:p>
<w:p>
<w:pPr><w:pStyle w:val="Normal"/></w:pPr>
<w:r><w:t xml:space="preserve">AEthelweard was the friend and patron of AElfric the grammarian.</w:t></w:r>
</w:p>
<w:p>
<w:pPr><w:pStyle w:val="Normal"/></w:pPr>
<w:r><w:t xml:space="preserve">AUTHORITIES.---Primary: The Saxon Chronicle, 994 E; Birch,</w:t></w:r>
</w:p>
<w:p>
<w:pPr><w:pStyle w:val="Normal"/></w:pPr>
<w:r><w:t xml:space="preserve">Cartularium Saxonicum; A.S. Laws (ed. Liebermann), pp. 220-224;</w:t></w:r>
</w:p>
<w:p>
<w:pPr><w:pStyle w:val="Normal"/></w:pPr>
<w:r><w:t xml:space="preserve">Tabii Ethelwerdi Chron., Mon. Hist.  Brit. 449-454.  Secondary:</w:t></w:r>
</w:p>
<w:p>
<w:pPr><w:pStyle w:val="Normal"/></w:pPr>
<w:r><w:t xml:space="preserve">Plummer, Saxon Chronicle, vol. ii. p. ci.; Napier and Stevenson,</w:t></w:r>
</w:p>
<w:p>
<w:pPr><w:pStyle w:val="Normal"/></w:pPr>
<w:r><w:t xml:space="preserve">Crawford Charters, pp. 118-120; D.N.B., s.v. (A. law.)</w:t></w:r>
</w:p>
<w:p>
<w:pPr><w:pStyle w:val="Normal"/></w:pPr>
<w:r><w:t xml:space="preserve">AETHELWULF, king of the West Saxons, succeeded his father</w:t></w:r>
</w:p>
<w:p>
<w:pPr><w:pStyle w:val="Normal"/></w:pPr>
<w:r><w:t xml:space="preserve">Ecgberht in A.D. 839. It is recorded in the Saxon Chronicle</w:t></w:r>
</w:p>
<w:p>
<w:pPr><w:pStyle w:val="Normal"/></w:pPr>
<w:r><w:t xml:space="preserve">for 825 that he was sent with Eahlstan, bishop of Sherborne,</w:t></w:r>
</w:p>
<w:p>
<w:pPr><w:pStyle w:val="Normal"/></w:pPr>
<w:r><w:t xml:space="preserve">and the ealdorman Wulfheard to drive out Baldred, king of</w:t></w:r>
</w:p>
<w:p>
<w:pPr><w:pStyle w:val="Normal"/></w:pPr>
<w:r><w:t xml:space="preserve">Kent, which was successfully accomplished.  On the accession of</w:t></w:r>
</w:p>
<w:p>
<w:pPr><w:pStyle w:val="Normal"/></w:pPr>
<w:r><w:t xml:space="preserve">AEthelwulf, AEthelstan, his son or brother, was made sub-king</w:t></w:r>
</w:p>
<w:p>
<w:pPr><w:pStyle w:val="Normal"/></w:pPr>
<w:r><w:t xml:space="preserve">of Kent, Surrey, Sussex and Essex. AEthelwulf&apos;s reign was</w:t></w:r>
</w:p>
<w:p>
<w:pPr><w:pStyle w:val="Normal"/></w:pPr>
<w:r><w:t xml:space="preserve">chiefly occupied with struggles against the Danes.  After the</w:t></w:r>
</w:p>
<w:p>
<w:pPr><w:pStyle w:val="Normal"/></w:pPr>
<w:r><w:t xml:space="preserve">king&apos;s defeat 843-844, the Somerset and Dorset levies won a</w:t></w:r>
</w:p>
<w:p>
<w:pPr><w:pStyle w:val="Normal"/></w:pPr>
<w:r><w:t xml:space="preserve">victory at the mouth of the Parret, c. 850. In 851 Ceorl,</w:t></w:r>
</w:p>
<w:p>
<w:pPr><w:pStyle w:val="Normal"/></w:pPr>
<w:r><w:t xml:space="preserve">with the men of Devon, defeated the Danes at Wigganburg, and</w:t></w:r>
</w:p>
<w:p>
<w:pPr><w:pStyle w:val="Normal"/></w:pPr>
<w:r><w:t xml:space="preserve">AEthelstan of Kent was victorious at Sandwich, in spite of</w:t></w:r>
</w:p>
<w:p>
<w:pPr><w:pStyle w:val="Normal"/></w:pPr>
<w:r><w:t xml:space="preserve">which they wintered in England that year for the first time.</w:t></w:r>
</w:p>
<w:p>
<w:pPr><w:pStyle w:val="Normal"/></w:pPr>
<w:r><w:t xml:space="preserve">In 851 also AEthelwulf and AEthelbald won their great victory at</w:t></w:r>
</w:p>
<w:p>
<w:pPr><w:pStyle w:val="Normal"/></w:pPr>
<w:r><w:t xml:space="preserve">Aclea, probably the modern Ockley.  In 853 AEthelwulf subdued</w:t></w:r>
</w:p>
<w:p>
<w:pPr><w:pStyle w:val="Normal"/></w:pPr>
<w:r><w:t xml:space="preserve">the North Welsh, in answer to the appeal of Burgred of Mercia,</w:t></w:r>
</w:p>
<w:p>
<w:pPr><w:pStyle w:val="Normal"/></w:pPr>
<w:r><w:t xml:space="preserve">and gave him his daughter AEthelswith in marriage. 855 is the</w:t></w:r>
</w:p>
<w:p>
<w:pPr><w:pStyle w:val="Normal"/></w:pPr>
<w:r><w:t xml:space="preserve">year of the Donation of AEthelwulf and of his journey to Rome</w:t></w:r>
</w:p>
<w:p>
<w:pPr><w:pStyle w:val="Normal"/></w:pPr>
<w:r><w:t xml:space="preserve">with Alfred.  On his way home he married Judith, daughter</w:t></w:r>
</w:p>
<w:p>
<w:pPr><w:pStyle w:val="Normal"/></w:pPr>
<w:r><w:t xml:space="preserve">of Charles the Bald.  According to Asser he was compelled</w:t></w:r>
</w:p>
<w:p>
<w:pPr><w:pStyle w:val="Normal"/></w:pPr>
<w:r><w:t xml:space="preserve">to give up Wessex to his son AEthelbald on his return, and</w:t></w:r>
</w:p>
<w:p>
<w:pPr><w:pStyle w:val="Normal"/></w:pPr>
<w:r><w:t xml:space="preserve">content himself with the eastern sub-kingdom.  He died in 858.</w:t></w:r>
</w:p>
<w:p>
<w:pPr><w:pStyle w:val="Normal"/></w:pPr>
<w:r><w:t xml:space="preserve">Chronicle, s.a. 823, 836, 840, 851, 853, 855. (F. G. M. B.)</w:t></w:r>
</w:p>
<w:p>
<w:pPr><w:pStyle w:val="Normal"/></w:pPr>
<w:r><w:t xml:space="preserve">AETHER, or ETHER (Gr. aither, probably from aitho,</w:t></w:r>
</w:p>
<w:p>
<w:pPr><w:pStyle w:val="Normal"/></w:pPr>
<w:r><w:t xml:space="preserve">burn, though Plato in his Cratylus (41O B) derives the</w:t></w:r>
</w:p>
<w:p>
<w:pPr><w:pStyle w:val="Normal"/></w:pPr>
<w:r><w:t xml:space="preserve">name from its perpetual motion-- oti aei thei peri ton</w:t></w:r>
</w:p>
<w:p>
<w:pPr><w:pStyle w:val="Normal"/></w:pPr>
<w:r><w:t xml:space="preserve">aera reon, aeitheer dikaios an kaloito), a material</w:t></w:r>
</w:p>
<w:p>
<w:pPr><w:pStyle w:val="Normal"/></w:pPr>
<w:r><w:t xml:space="preserve">substance of a more subtle kind than visible bodies, supposed</w:t></w:r>
</w:p>
<w:p>
<w:pPr><w:pStyle w:val="Normal"/></w:pPr>
<w:r><w:t xml:space="preserve">to exist in those parts of space which are apparently empty.</w:t></w:r>
</w:p>
<w:p>
<w:pPr><w:pStyle w:val="Normal"/></w:pPr>
<w:r><w:t xml:space="preserve">``The hypothesis of an aether has been maintained by different</w:t></w:r>
</w:p>
<w:p>
<w:pPr><w:pStyle w:val="Normal"/></w:pPr>
<w:r><w:t xml:space="preserve">speculators for very different reasons.  To those who maintained</w:t></w:r>
</w:p>
<w:p>
<w:pPr><w:pStyle w:val="Normal"/></w:pPr>
<w:r><w:t xml:space="preserve">the existence of a plenum as a philosophical principle, nature&apos;s</w:t></w:r>
</w:p>
<w:p>
<w:pPr><w:pStyle w:val="Normal"/></w:pPr>
<w:r><w:t xml:space="preserve">abhorrence of a vacuum was a sufficient reason for imagining</w:t></w:r>
</w:p>
<w:p>
<w:pPr><w:pStyle w:val="Normal"/></w:pPr>
<w:r><w:t xml:space="preserve">an all-surrounding aether, even though every other argument</w:t></w:r>
</w:p>
<w:p>
<w:pPr><w:pStyle w:val="Normal"/></w:pPr>
<w:r><w:t xml:space="preserve">should be against it.  To Descartes, who made extension the</w:t></w:r>
</w:p>
<w:p>
<w:pPr><w:pStyle w:val="Normal"/></w:pPr>
<w:r><w:t xml:space="preserve">sole essential property of matter, and matter a necessary</w:t></w:r>
</w:p>
<w:p>
<w:pPr><w:pStyle w:val="Normal"/></w:pPr>
<w:r><w:t xml:space="preserve">condition of extension, the bare existence of bodies apparently</w:t></w:r>
</w:p>
<w:p>
<w:pPr><w:pStyle w:val="Normal"/></w:pPr>
<w:r><w:t xml:space="preserve">at a distance was a proof of the existence of a continuous</w:t></w:r>
</w:p>
<w:p>
<w:pPr><w:pStyle w:val="Normal"/></w:pPr>
<w:r><w:t xml:space="preserve">medium between them.  But besides these high metaphysical</w:t></w:r>
</w:p>
<w:p>
<w:pPr><w:pStyle w:val="Normal"/></w:pPr>
<w:r><w:t xml:space="preserve">necessities for a medium, there were more mundane uses to be</w:t></w:r>
</w:p>
<w:p>
<w:pPr><w:pStyle w:val="Normal"/></w:pPr>
<w:r><w:t xml:space="preserve">fulfilled by aethers.  Aethers were invented for the planets</w:t></w:r>
</w:p>
<w:p>
<w:pPr><w:pStyle w:val="Normal"/></w:pPr>
<w:r><w:t xml:space="preserve">to swim in, to constitute electric atmospheres and magnetic</w:t></w:r>
</w:p>
<w:p>
<w:pPr><w:pStyle w:val="Normal"/></w:pPr>
<w:r><w:t xml:space="preserve">effluvia, to convey sensations from one part of our bodies to</w:t></w:r>
</w:p>
<w:p>
<w:pPr><w:pStyle w:val="Normal"/></w:pPr>
<w:r><w:t xml:space="preserve">another, and so on, till all space had been filled three or</w:t></w:r>
</w:p>
<w:p>
<w:pPr><w:pStyle w:val="Normal"/></w:pPr>
<w:r><w:t xml:space="preserve">four times over with aethers.  It is only when we remember</w:t></w:r>
</w:p>
<w:p>
<w:pPr><w:pStyle w:val="Normal"/></w:pPr>
<w:r><w:t xml:space="preserve">the extensive and mischievous influence on science which</w:t></w:r>
</w:p>
<w:p>
<w:pPr><w:pStyle w:val="Normal"/></w:pPr>
<w:r><w:t xml:space="preserve">hypotheses about aethers used formerly to exercise, that</w:t></w:r>
</w:p>
<w:p>
<w:pPr><w:pStyle w:val="Normal"/></w:pPr>
<w:r><w:t xml:space="preserve">we can appreciate the horror of aethers which sober-minded</w:t></w:r>
</w:p>
<w:p>
<w:pPr><w:pStyle w:val="Normal"/></w:pPr>
<w:r><w:t xml:space="preserve">men had during the 18th century, and which, probably as a</w:t></w:r>
</w:p>
<w:p>
<w:pPr><w:pStyle w:val="Normal"/></w:pPr>
<w:r><w:t xml:space="preserve">sort of hereditary prejudice, descended even to John Stuart</w:t></w:r>
</w:p>
<w:p>
<w:pPr><w:pStyle w:val="Normal"/></w:pPr>
<w:r><w:t xml:space="preserve">Mill.  The disciples of Newton maintained that in the fact</w:t></w:r>
</w:p>
<w:p>
<w:pPr><w:pStyle w:val="Normal"/></w:pPr>
<w:r><w:t xml:space="preserve">of the mutual gravitation of the heavenly bodies, according</w:t></w:r>
</w:p>
<w:p>
<w:pPr><w:pStyle w:val="Normal"/></w:pPr>
<w:r><w:t xml:space="preserve">to Newton&apos;s law, they had a complete quantitative account of</w:t></w:r>
</w:p>
<w:p>
<w:pPr><w:pStyle w:val="Normal"/></w:pPr>
<w:r><w:t xml:space="preserve">their motions; and they endeavoured to follow out the path</w:t></w:r>
</w:p>
<w:p>
<w:pPr><w:pStyle w:val="Normal"/></w:pPr>
<w:r><w:t xml:space="preserve">which Newton had opened up by investigating and measuring</w:t></w:r>
</w:p>
<w:p>
<w:pPr><w:pStyle w:val="Normal"/></w:pPr>
<w:r><w:t xml:space="preserve">the attractions and repulsions of electrified and magnetic</w:t></w:r>
</w:p>
<w:p>
<w:pPr><w:pStyle w:val="Normal"/></w:pPr>
<w:r><w:t xml:space="preserve">bodies, and the cohesive forces in the interior of bodies,</w:t></w:r>
</w:p>
<w:p>
<w:pPr><w:pStyle w:val="Normal"/></w:pPr>
<w:r><w:t xml:space="preserve">without attempting tdraccount for these forces.  Newton himself,</w:t></w:r>
</w:p>
<w:p>
<w:pPr><w:pStyle w:val="Normal"/></w:pPr>
<w:r><w:t xml:space="preserve">however, endeavoured to account for gravitation by differences</w:t></w:r>
</w:p>
<w:p>
<w:pPr><w:pStyle w:val="Normal"/></w:pPr>
<w:r><w:t xml:space="preserve">of pressure in an aether; but he did not publish his theory,</w:t></w:r>
</w:p>
<w:p>
<w:pPr><w:pStyle w:val="Normal"/></w:pPr>
<w:r><w:t xml:space="preserve">`because he was not able from experiment and observation to</w:t></w:r>
</w:p>
<w:p>
<w:pPr><w:pStyle w:val="Normal"/></w:pPr>
<w:r><w:t xml:space="preserve">give a satisfactory account of this medium, and the manner of</w:t></w:r>
</w:p>
<w:p>
<w:pPr><w:pStyle w:val="Normal"/></w:pPr>
<w:r><w:t xml:space="preserve">its operation in producing the chief phenomena of nature.&apos; On</w:t></w:r>
</w:p>
<w:p>
<w:pPr><w:pStyle w:val="Normal"/></w:pPr>
<w:r><w:t xml:space="preserve">the other hand, those who imagined aethers in order to explain</w:t></w:r>
</w:p>
<w:p>
<w:pPr><w:pStyle w:val="Normal"/></w:pPr>
<w:r><w:t xml:space="preserve">phenomena could not specify the nature of the motion of these</w:t></w:r>
</w:p>
<w:p>
<w:pPr><w:pStyle w:val="Normal"/></w:pPr>
<w:r><w:t xml:space="preserve">media, and could not prove that the media, as imagined by</w:t></w:r>
</w:p>
<w:p>
<w:pPr><w:pStyle w:val="Normal"/></w:pPr>
<w:r><w:t xml:space="preserve">them, would produce the effects they were meant to explain.</w:t></w:r>
</w:p>
<w:p>
<w:pPr><w:pStyle w:val="Normal"/></w:pPr>
<w:r><w:t xml:space="preserve">The only aether which has survived is that which was invented</w:t></w:r>
</w:p>
<w:p>
<w:pPr><w:pStyle w:val="Normal"/></w:pPr>
<w:r><w:t xml:space="preserve">by Huygens to explain the propagation of light.  The evidence</w:t></w:r>
</w:p>
<w:p>
<w:pPr><w:pStyle w:val="Normal"/></w:pPr>
<w:r><w:t xml:space="preserve">for the existence of the luminiferous aether has accumulated</w:t></w:r>
</w:p>
<w:p>
<w:pPr><w:pStyle w:val="Normal"/></w:pPr>
<w:r><w:t xml:space="preserve">as additional phenomena of light and other radiations have</w:t></w:r>
</w:p>
<w:p>
<w:pPr><w:pStyle w:val="Normal"/></w:pPr>
<w:r><w:t xml:space="preserve">been discovered; and the properties of this medium, as deduced</w:t></w:r>
</w:p>
<w:p>
<w:pPr><w:pStyle w:val="Normal"/></w:pPr>
<w:r><w:t xml:space="preserve">from the phenomena of light, have been found to be precisely</w:t></w:r>
</w:p>
<w:p>
<w:pPr><w:pStyle w:val="Normal"/></w:pPr>
<w:r><w:t xml:space="preserve">those required to explain electromagnetic phenomena.&apos;&apos;</w:t></w:r>
</w:p>
<w:p>
<w:pPr><w:pStyle w:val="Normal"/></w:pPr>
<w:r><w:t xml:space="preserve">This description, quoted from James Clerk Maxwell&apos;s article in</w:t></w:r>
</w:p>
<w:p>
<w:pPr><w:pStyle w:val="Normal"/></w:pPr>
<w:r><w:t xml:space="preserve">the 9th edition of the Encyclopaedia Britannica, represents</w:t></w:r>
</w:p>
<w:p>
<w:pPr><w:pStyle w:val="Normal"/></w:pPr>
<w:r><w:t xml:space="preserve">the historical position of the subject up till about 1860, when</w:t></w:r>
</w:p>
<w:p>
<w:pPr><w:pStyle w:val="Normal"/></w:pPr>
<w:r><w:t xml:space="preserve">Maxwell began those constructive speculations in electrical</w:t></w:r>
</w:p>
<w:p>
<w:pPr><w:pStyle w:val="Normal"/></w:pPr>
<w:r><w:t xml:space="preserve">theory, based on the influence of the physical views of Faraday</w:t></w:r>
</w:p>
<w:p>
<w:pPr><w:pStyle w:val="Normal"/></w:pPr>
<w:r><w:t xml:space="preserve">and Lord Kelvin, which have in their subsequent development largely</w:t></w:r>
</w:p>
<w:p>
<w:pPr><w:pStyle w:val="Normal"/></w:pPr>
<w:r><w:t xml:space="preserve">transformed theoretical physics into the science of the aether.</w:t></w:r>
</w:p>
<w:p>
<w:pPr><w:pStyle w:val="Normal"/></w:pPr>
<w:r><w:t xml:space="preserve">In the remainder of the article referred to, Maxwell reviews</w:t></w:r>
</w:p>
<w:p>
<w:pPr><w:pStyle w:val="Normal"/></w:pPr>
<w:r><w:t xml:space="preserve">the evidence for the necessity of an aether, from the fact</w:t></w:r>
</w:p>
<w:p>
<w:pPr><w:pStyle w:val="Normal"/></w:pPr>
<w:r><w:t xml:space="preserve">that light takes time to travel, while it cannot travel as a</w:t></w:r>
</w:p>
<w:p>
<w:pPr><w:pStyle w:val="Normal"/></w:pPr>
<w:r><w:t xml:space="preserve">substance, for if so two interfering lights could not mask</w:t></w:r>
</w:p>
<w:p>
<w:pPr><w:pStyle w:val="Normal"/></w:pPr>
<w:r><w:t xml:space="preserve">each other in the dark fringes (see INTERFERENCE OF LIGHT.)</w:t></w:r>
</w:p>
<w:p>
<w:pPr><w:pStyle w:val="Normal"/></w:pPr>
<w:r><w:t xml:space="preserve">Light is therefore an influence propagated as wave-motion, and</w:t></w:r>
</w:p>
<w:p>
<w:pPr><w:pStyle w:val="Normal"/></w:pPr>
<w:r><w:t xml:space="preserve">moreover by transverse undulations, for the reasons brought</w:t></w:r>
</w:p>
<w:p>
<w:pPr><w:pStyle w:val="Normal"/></w:pPr>
<w:r><w:t xml:space="preserve">out by Thomas Young and Augustin Fresnel; so that the aether</w:t></w:r>
</w:p>
<w:p>
<w:pPr><w:pStyle w:val="Normal"/></w:pPr>
<w:r><w:t xml:space="preserve">is a medium which possesses elasticity of a type analogous to</w:t></w:r>
</w:p>
<w:p>
<w:pPr><w:pStyle w:val="Normal"/></w:pPr>
<w:r><w:t xml:space="preserve">rigidity.  It must be very different from ordinary matter as we</w:t></w:r>
</w:p>
<w:p>
<w:pPr><w:pStyle w:val="Normal"/></w:pPr>
<w:r><w:t xml:space="preserve">know it, for waves travelling in matter constitute sound, which</w:t></w:r>
</w:p>
<w:p>
<w:pPr><w:pStyle w:val="Normal"/></w:pPr>
<w:r><w:t xml:space="preserve">is propagated hundreds of thousands of times slower than light.</w:t></w:r>
</w:p>
<w:p>
<w:pPr><w:pStyle w:val="Normal"/></w:pPr>
<w:r><w:t xml:space="preserve">If we suppose that the aether differs from ordinary matter in</w:t></w:r>
</w:p>
<w:p>
<w:pPr><w:pStyle w:val="Normal"/></w:pPr>
<w:r><w:t xml:space="preserve">degree but not in kind, we can obtain some idea of its quality</w:t></w:r>
</w:p>
<w:p>
<w:pPr><w:pStyle w:val="Normal"/></w:pPr>
<w:r><w:t xml:space="preserve">from a knowledge of the velocity of radiation and of its</w:t></w:r>
</w:p>
<w:p>
<w:pPr><w:pStyle w:val="Normal"/></w:pPr>
<w:r><w:t xml:space="preserve">possible intensity near the sun, in a manner applied long ago</w:t></w:r>
</w:p>
<w:p>
<w:pPr><w:pStyle w:val="Normal"/></w:pPr>
<w:r><w:t xml:space="preserve">by Lord Kelvin (Trans.  R. S. Edin. xxi. 1854).  According</w:t></w:r>
</w:p>
<w:p>
<w:pPr><w:pStyle w:val="Normal"/></w:pPr>
<w:r><w:t xml:space="preserve">to modern measurements the solar radiation imparts almost 3</w:t></w:r>
</w:p>
<w:p>
<w:pPr><w:pStyle w:val="Normal"/></w:pPr>
<w:r><w:t xml:space="preserve">gramme-calories of energy per minute per square centimetre</w:t></w:r>
</w:p>
<w:p>
<w:pPr><w:pStyle w:val="Normal"/></w:pPr>
<w:r><w:t xml:space="preserve">at the distance of the earth, which is about 1.3X106 ergs</w:t></w:r>
</w:p>
<w:p>
<w:pPr><w:pStyle w:val="Normal"/></w:pPr>
<w:r><w:t xml:space="preserve">per sec. per cm.2 The energy in sunlight per cubic cm. just</w:t></w:r>
</w:p>
<w:p>
<w:pPr><w:pStyle w:val="Normal"/></w:pPr>
<w:r><w:t xml:space="preserve">outside the earth&apos;s atmosphere is therefore about 4X10-5</w:t></w:r>
</w:p>
<w:p>
<w:pPr><w:pStyle w:val="Normal"/></w:pPr>
<w:r><w:t xml:space="preserve">ergs; applying the law of inverse squares the value near the</w:t></w:r>
</w:p>
<w:p>
<w:pPr><w:pStyle w:val="Normal"/></w:pPr>
<w:r><w:t xml:space="preserve">sun&apos;s surface would be 1.8 ergs.  Let E be the effective</w:t></w:r>
</w:p>
<w:p>
<w:pPr><w:pStyle w:val="Normal"/></w:pPr>
<w:r><w:t xml:space="preserve">elasticity of the aether; then E=rc2, where r is its</w:t></w:r>
</w:p>
<w:p>
<w:pPr><w:pStyle w:val="Normal"/></w:pPr>
<w:r><w:t xml:space="preserve">density, and c the velocity of light which is 3X1010</w:t></w:r>
</w:p>
<w:p>
<w:pPr><w:pStyle w:val="Normal"/></w:pPr>
<w:r><w:t xml:space="preserve">cm./sec.  If x=A cosn (t-x/c) is the linear vibration,</w:t></w:r>
</w:p>
<w:p>
<w:pPr><w:pStyle w:val="Normal"/></w:pPr>
<w:r><w:t xml:space="preserve">the stress is E dx/dx; and the total energy, which is</w:t></w:r>
</w:p>
<w:p>
<w:pPr><w:pStyle w:val="Normal"/></w:pPr>
<w:r><w:t xml:space="preserve">twice the kinetic energy  1/2r(dx/dt)2dx, is  1/2rn2</w:t></w:r>
</w:p>
<w:p>
<w:pPr><w:pStyle w:val="Normal"/></w:pPr>
<w:r><w:t xml:space="preserve">A2 per cm., which is thus equal to 1.8 ergs as above. law</w:t></w:r>
</w:p>
<w:p>
<w:pPr><w:pStyle w:val="Normal"/></w:pPr>
<w:r><w:t xml:space="preserve">l=2pc/n, so that if A/l=k, we have  1/2r(2pck)2=</w:t></w:r>
</w:p>
<w:p>
<w:pPr><w:pStyle w:val="Normal"/></w:pPr>
<w:r><w:t xml:space="preserve">1.8, giving r=10-22k-2 and E=10-1k-2.  Lord Kelvin</w:t></w:r>
</w:p>
<w:p>
<w:pPr><w:pStyle w:val="Normal"/></w:pPr>
<w:r><w:t xml:space="preserve">assumed as a superior limit of k, the ratio of amplitude</w:t></w:r>
</w:p>
<w:p>
<w:pPr><w:pStyle w:val="Normal"/></w:pPr>
<w:r><w:t xml:space="preserve">to wave-length, the value 10-2, which is a very safe</w:t></w:r>
</w:p>
<w:p>
<w:pPr><w:pStyle w:val="Normal"/></w:pPr>
<w:r><w:t xml:space="preserve">limit.  It follows that the density of the aether must exceed</w:t></w:r>
</w:p>
<w:p>
<w:pPr><w:pStyle w:val="Normal"/></w:pPr>
<w:r><w:t xml:space="preserve">10-18, and its elastic modulus must exceed 103, which</w:t></w:r>
</w:p>
<w:p>
<w:pPr><w:pStyle w:val="Normal"/></w:pPr>
<w:r><w:t xml:space="preserve">is only about 10-8 of the modulus of rigidity of glass.</w:t></w:r>
</w:p>
<w:p>
<w:pPr><w:pStyle w:val="Normal"/></w:pPr>
<w:r><w:t xml:space="preserve">It thus appears that if the amplitude of vibration could be</w:t></w:r>
</w:p>
<w:p>
<w:pPr><w:pStyle w:val="Normal"/></w:pPr>
<w:r><w:t xml:space="preserve">as much as 10-2 of the wave-length, the aether would be an</w:t></w:r>
</w:p>
<w:p>
<w:pPr><w:pStyle w:val="Normal"/></w:pPr>
<w:r><w:t xml:space="preserve">excessively rare medium with very slight elasticity; and yet</w:t></w:r>
</w:p>
<w:p>
<w:pPr><w:pStyle w:val="Normal"/></w:pPr>
<w:r><w:t xml:space="preserve">it would be capable of transmitting the supply of solar energy</w:t></w:r>
</w:p>
<w:p>
<w:pPr><w:pStyle w:val="Normal"/></w:pPr>
<w:r><w:t xml:space="preserve">on which all terrestrial activity depends.  But on the modern</w:t></w:r>
</w:p>
<w:p>
<w:pPr><w:pStyle w:val="Normal"/></w:pPr>
<w:r><w:t xml:space="preserve">theory, which includes the play of electrical phenomena as a</w:t></w:r>
</w:p>
<w:p>
<w:pPr><w:pStyle w:val="Normal"/></w:pPr>
<w:r><w:t xml:space="preserve">function of the aether, there are other considerations which</w:t></w:r>
</w:p>
<w:p>
<w:pPr><w:pStyle w:val="Normal"/></w:pPr>
<w:r><w:t xml:space="preserve">show that this number 10-2 is really an enormous overestimate;</w:t></w:r>
</w:p>
<w:p>
<w:pPr><w:pStyle w:val="Normal"/></w:pPr>
<w:r><w:t xml:space="preserve">and it is not impossible that the co-efficient of ultimate</w:t></w:r>
</w:p>
<w:p>
<w:pPr><w:pStyle w:val="Normal"/></w:pPr>
<w:r><w:t xml:space="preserve">inertia of the aether is greater than the co-efficient of</w:t></w:r>
</w:p>
<w:p>
<w:pPr><w:pStyle w:val="Normal"/></w:pPr>
<w:r><w:t xml:space="preserve">inertia (of different kind) of any existing material substance.</w:t></w:r>
</w:p>
<w:p>
<w:pPr><w:pStyle w:val="Normal"/></w:pPr>
<w:r><w:t xml:space="preserve">The question of whether the aether is carried along by the</w:t></w:r>
</w:p>
<w:p>
<w:pPr><w:pStyle w:val="Normal"/></w:pPr>
<w:r><w:t xml:space="preserve">earth&apos;s motion has been considered from the early days of</w:t></w:r>
</w:p>
<w:p>
<w:pPr><w:pStyle w:val="Normal"/></w:pPr>
<w:r><w:t xml:space="preserve">the undulatory theory of light.  In reviving that theory at</w:t></w:r>
</w:p>
<w:p>
<w:pPr><w:pStyle w:val="Normal"/></w:pPr>
<w:r><w:t xml:space="preserve">the beginning of the 19th century, Thomas Young stated his</w:t></w:r>
</w:p>
<w:p>
<w:pPr><w:pStyle w:val="Normal"/></w:pPr>
<w:r><w:t xml:space="preserve">conviction that material media offered an open structure</w:t></w:r>
</w:p>
<w:p>
<w:pPr><w:pStyle w:val="Normal"/></w:pPr>
<w:r><w:t xml:space="preserve">to the substance called aether, which passed through</w:t></w:r>
</w:p>
<w:p>
<w:pPr><w:pStyle w:val="Normal"/></w:pPr>
<w:r><w:t xml:space="preserve">them without hindrance ``like the wind through a grove of</w:t></w:r>
</w:p>
<w:p>
<w:pPr><w:pStyle w:val="Normal"/></w:pPr>
<w:r><w:t xml:space="preserve">trees.&apos;&apos; Any convection of that medium could be tested by</w:t></w:r>
</w:p>
<w:p>
<w:pPr><w:pStyle w:val="Normal"/></w:pPr>
<w:r><w:t xml:space="preserve">the change of effective velocity of light, which would be</w:t></w:r>
</w:p>
<w:p>
<w:pPr><w:pStyle w:val="Normal"/></w:pPr>
<w:r><w:t xml:space="preserve">revealed by a prism as was suggested by F. J. D. Arago.</w:t></w:r>
</w:p>
<w:p>
<w:pPr><w:pStyle w:val="Normal"/></w:pPr>
<w:r><w:t xml:space="preserve">Before 1868 Maxwell conducted the experiment by sending light</w:t></w:r>
</w:p>
<w:p>
<w:pPr><w:pStyle w:val="Normal"/></w:pPr>
<w:r><w:t xml:space="preserve">from the illuminated cross-wires of an observing telescope</w:t></w:r>
</w:p>
<w:p>
<w:pPr><w:pStyle w:val="Normal"/></w:pPr>
<w:r><w:t xml:space="preserve">forward through the object-glass, and through a train of</w:t></w:r>
</w:p>
<w:p>
<w:pPr><w:pStyle w:val="Normal"/></w:pPr>
<w:r><w:t xml:space="preserve">prisms, and then reflecting it back along the same path;</w:t></w:r>
</w:p>
<w:p>
<w:pPr><w:pStyle w:val="Normal"/></w:pPr>
<w:r><w:t xml:space="preserve">any influence of convection would conspire in altering both</w:t></w:r>
</w:p>
<w:p>
<w:pPr><w:pStyle w:val="Normal"/></w:pPr>
<w:r><w:t xml:space="preserve">refractions, but yet no displacement of the image depending</w:t></w:r>
</w:p>
<w:p>
<w:pPr><w:pStyle w:val="Normal"/></w:pPr>
<w:r><w:t xml:space="preserve">on the earth&apos;s motion was detected.  As will be seen later,</w:t></w:r>
</w:p>
<w:p>
<w:pPr><w:pStyle w:val="Normal"/></w:pPr>
<w:r><w:t xml:space="preserve">modern experiments have confirmed the entire absence of any</w:t></w:r>
</w:p>
<w:p>
<w:pPr><w:pStyle w:val="Normal"/></w:pPr>
<w:r><w:t xml:space="preserve">effect, such as convection would produce, to very high</w:t></w:r>
</w:p>
<w:p>
<w:pPr><w:pStyle w:val="Normal"/></w:pPr>
<w:r><w:t xml:space="preserve">precision.  It has further been verified by Sir Oliver Lodge</w:t></w:r>
</w:p>
<w:p>
<w:pPr><w:pStyle w:val="Normal"/></w:pPr>
<w:r><w:t xml:space="preserve">that even in very narrow spaces the aether is not entrained</w:t></w:r>
</w:p>
<w:p>
<w:pPr><w:pStyle w:val="Normal"/></w:pPr>
<w:r><w:t xml:space="preserve">by its surroundings when they are put into rapid motion.</w:t></w:r>
</w:p>
<w:p>
<w:pPr><w:pStyle w:val="Normal"/></w:pPr>
<w:r><w:t xml:space="preserve">A train of ideas which strongly impressed itself on Clerk</w:t></w:r>
</w:p>
<w:p>
<w:pPr><w:pStyle w:val="Normal"/></w:pPr>
<w:r><w:t xml:space="preserve">Maxwell&apos;s mind, in the early stages of his theoretical views, was</w:t></w:r>
</w:p>
<w:p>
<w:pPr><w:pStyle w:val="Normal"/></w:pPr>
<w:r><w:t xml:space="preserve">put forward by Lord Kelvin in 1858; he showed that the special</w:t></w:r>
</w:p>
<w:p>
<w:pPr><w:pStyle w:val="Normal"/></w:pPr>
<w:r><w:t xml:space="preserve">characteristics of the rotation of the plane of polarization,</w:t></w:r>
</w:p>
<w:p>
<w:pPr><w:pStyle w:val="Normal"/></w:pPr>
<w:r><w:t xml:space="preserve">discovered by Faraday in light propagated along a magnetic</w:t></w:r>
</w:p>
<w:p>
<w:pPr><w:pStyle w:val="Normal"/></w:pPr>
<w:r><w:t xml:space="preserve">field, viz. that it is doubled instead of being undone when</w:t></w:r>
</w:p>
<w:p>
<w:pPr><w:pStyle w:val="Normal"/></w:pPr>
<w:r><w:t xml:space="preserve">the light retraces its path, requires the operation of some</w:t></w:r>
</w:p>
<w:p>
<w:pPr><w:pStyle w:val="Normal"/></w:pPr>
<w:r><w:t xml:space="preserve">directed agency of a rotational kind, which must be related</w:t></w:r>
</w:p>
<w:p>
<w:pPr><w:pStyle w:val="Normal"/></w:pPr>
<w:r><w:t xml:space="preserve">to the magnetic field.  Lord Kelvin was thereby induced to</w:t></w:r>
</w:p>
<w:p>
<w:pPr><w:pStyle w:val="Normal"/></w:pPr>
<w:r><w:t xml:space="preserve">identify magnetic force with rotation, involving, therefore,</w:t></w:r>
</w:p>
<w:p>
<w:pPr><w:pStyle w:val="Normal"/></w:pPr>
<w:r><w:t xml:space="preserve">angular momentum in the aether.  Modern theory accepts the</w:t></w:r>
</w:p>
<w:p>
<w:pPr><w:pStyle w:val="Normal"/></w:pPr>
<w:r><w:t xml:space="preserve">deduction, but ascribes the momentum to the revolving ions</w:t></w:r>
</w:p>
<w:p>
<w:pPr><w:pStyle w:val="Normal"/></w:pPr>
<w:r><w:t xml:space="preserve">in the molecules of matter traversed by the light; for the</w:t></w:r>
</w:p>
<w:p>
<w:pPr><w:pStyle w:val="Normal"/></w:pPr>
<w:r><w:t xml:space="preserve">magneto-optic effect is present only in material media.</w:t></w:r>
</w:p>
<w:p>
<w:pPr><w:pStyle w:val="Normal"/></w:pPr>
<w:r><w:t xml:space="preserve">Long previously Lord Kelvin himself came nearer this view, in</w:t></w:r>
</w:p>
<w:p>
<w:pPr><w:pStyle w:val="Normal"/></w:pPr>
<w:r><w:t xml:space="preserve">offering the opinion that magnetism consisted, in some way,</w:t></w:r>
</w:p>
<w:p>
<w:pPr><w:pStyle w:val="Normal"/></w:pPr>
<w:r><w:t xml:space="preserve">in the angular momentum of the material molecules, of which</w:t></w:r>
</w:p>
<w:p>
<w:pPr><w:pStyle w:val="Normal"/></w:pPr>
<w:r><w:t xml:space="preserve">the energy of irregular translations constitutes heat; but the</w:t></w:r>
</w:p>
<w:p>
<w:pPr><w:pStyle w:val="Normal"/></w:pPr>
<w:r><w:t xml:space="preserve">essential idea of moving electric ions of both kinds, positive</w:t></w:r>
</w:p>
<w:p>
<w:pPr><w:pStyle w:val="Normal"/></w:pPr>
<w:r><w:t xml:space="preserve">and negative, in the molecules had still to be introduced.</w:t></w:r>
</w:p>
<w:p>
<w:pPr><w:pStyle w:val="Normal"/></w:pPr>
<w:r><w:t xml:space="preserve">The question of the transparency of the celestial spaces presents</w:t></w:r>
</w:p>
<w:p>
<w:pPr><w:pStyle w:val="Normal"/></w:pPr>
<w:r><w:t xml:space="preserve">itself in the presebt connexion.  Light from stars at unfathomable</w:t></w:r>
</w:p>
<w:p>
<w:pPr><w:pStyle w:val="Normal"/></w:pPr>
<w:r><w:t xml:space="preserve">distances reaches us in such quantity as to suggest that space</w:t></w:r>
</w:p>
<w:p>
<w:pPr><w:pStyle w:val="Normal"/></w:pPr>
<w:r><w:t xml:space="preserve">itself is absolutely transparent, leaving open the question</w:t></w:r>
</w:p>
<w:p>
<w:pPr><w:pStyle w:val="Normal"/></w:pPr>
<w:r><w:t xml:space="preserve">as to whether there is enough matter scattered through it to</w:t></w:r>
</w:p>
<w:p>
<w:pPr><w:pStyle w:val="Normal"/></w:pPr>
<w:r><w:t xml:space="preserve">absorb a sensible part of the light in its journey of years</w:t></w:r>
</w:p>
<w:p>
<w:pPr><w:pStyle w:val="Normal"/></w:pPr>
<w:r><w:t xml:space="preserve">from the luminous body.  If the aether were itself constituted</w:t></w:r>
</w:p>
<w:p>
<w:pPr><w:pStyle w:val="Normal"/></w:pPr>
<w:r><w:t xml:space="preserve">of discrete molecules, on the model of material bodies, such</w:t></w:r>
</w:p>
<w:p>
<w:pPr><w:pStyle w:val="Normal"/></w:pPr>
<w:r><w:t xml:space="preserve">transparency would not be conceivable.  We must be content</w:t></w:r>
</w:p>
<w:p>
<w:pPr><w:pStyle w:val="Normal"/></w:pPr>
<w:r><w:t xml:space="preserve">to treat the aether as a plenum, which places it in a class</w:t></w:r>
</w:p>
<w:p>
<w:pPr><w:pStyle w:val="Normal"/></w:pPr>
<w:r><w:t xml:space="preserve">by itself; and we can thus recognize that it may behave very</w:t></w:r>
</w:p>
<w:p>
<w:pPr><w:pStyle w:val="Normal"/></w:pPr>
<w:r><w:t xml:space="preserve">differently from matter, though in some manner consistent with</w:t></w:r>
</w:p>
<w:p>
<w:pPr><w:pStyle w:val="Normal"/></w:pPr>
<w:r><w:t xml:space="preserve">itself---a remark which is fundamental in the modern theory.</w:t></w:r>
</w:p>
<w:p>
<w:pPr><w:pStyle w:val="Normal"/></w:pPr>
<w:r><w:t xml:space="preserve">Action across a Distance contrasted with Transmitted Action.--In</w:t></w:r>
</w:p>
<w:p>
<w:pPr><w:pStyle w:val="Normal"/></w:pPr>
<w:r><w:t xml:space="preserve">the mechanical processes which we can experimentally modify at</w:t></w:r>
</w:p>
<w:p>
<w:pPr><w:pStyle w:val="Normal"/></w:pPr>
<w:r><w:t xml:space="preserve">will, and which therefore we learn to apprehend with greatest</w:t></w:r>
</w:p>
<w:p>
<w:pPr><w:pStyle w:val="Normal"/></w:pPr>
<w:r><w:t xml:space="preserve">fulness, whenever an effect on a body, B, is in causal connexion</w:t></w:r>
</w:p>
<w:p>
<w:pPr><w:pStyle w:val="Normal"/></w:pPr>
<w:r><w:t xml:space="preserve">with a process instituted in another body, A, it is usually</w:t></w:r>
</w:p>
<w:p>
<w:pPr><w:pStyle w:val="Normal"/></w:pPr>
<w:r><w:t xml:space="preserve">possible to discover a mechanical connexion between the two</w:t></w:r>
</w:p>
<w:p>
<w:pPr><w:pStyle w:val="Normal"/></w:pPr>
<w:r><w:t xml:space="preserve">bodies which allows the influence of A to be traced all the</w:t></w:r>
</w:p>
<w:p>
<w:pPr><w:pStyle w:val="Normal"/></w:pPr>
<w:r><w:t xml:space="preserve">way across the intervening region.  The question thus arises</w:t></w:r>
</w:p>
<w:p>
<w:pPr><w:pStyle w:val="Normal"/></w:pPr>
<w:r><w:t xml:space="preserve">whether, in electric attractions across apparently empty space</w:t></w:r>
</w:p>
<w:p>
<w:pPr><w:pStyle w:val="Normal"/></w:pPr>
<w:r><w:t xml:space="preserve">and in gravitational attraction across the celestial regions,</w:t></w:r>
</w:p>
<w:p>
<w:pPr><w:pStyle w:val="Normal"/></w:pPr>
<w:r><w:t xml:space="preserve">we are invited or required to make search for some similar</w:t></w:r>
</w:p>
<w:p>
<w:pPr><w:pStyle w:val="Normal"/></w:pPr>
<w:r><w:t xml:space="preserve">method of continuous transmission of the physical effect,</w:t></w:r>
</w:p>
<w:p>
<w:pPr><w:pStyle w:val="Normal"/></w:pPr>
<w:r><w:t xml:space="preserve">or whether we should rest content with an exact knowledge</w:t></w:r>
</w:p>
<w:p>
<w:pPr><w:pStyle w:val="Normal"/></w:pPr>
<w:r><w:t xml:space="preserve">of the laws according to which one body affects mechanically</w:t></w:r>
</w:p>
<w:p>
<w:pPr><w:pStyle w:val="Normal"/></w:pPr>
<w:r><w:t xml:space="preserve">another body at a distance.  The view that our knowledge in</w:t></w:r>
</w:p>
<w:p>
<w:pPr><w:pStyle w:val="Normal"/></w:pPr>
<w:r><w:t xml:space="preserve">such cases may be completely represented by means of laws of</w:t></w:r>
</w:p>
<w:p>
<w:pPr><w:pStyle w:val="Normal"/></w:pPr>
<w:r><w:t xml:space="preserve">action at a distance, expressible in terms of the positions</w:t></w:r>
</w:p>
<w:p>
<w:pPr><w:pStyle w:val="Normal"/></w:pPr>
<w:r><w:t xml:space="preserve">(and possibly motions) of the interacting bodies without</w:t></w:r>
</w:p>
<w:p>
<w:pPr><w:pStyle w:val="Normal"/></w:pPr>
<w:r><w:t xml:space="preserve">taking any heed of the intervening space, belongs to modern</w:t></w:r>
</w:p>
<w:p>
<w:pPr><w:pStyle w:val="Normal"/></w:pPr>
<w:r><w:t xml:space="preserve">times.  It could hardly have been thought of before Sir Isaac</w:t></w:r>
</w:p>
<w:p>
<w:pPr><w:pStyle w:val="Normal"/></w:pPr>
<w:r><w:t xml:space="preserve">Newton&apos;s discovery of the actual facts regarding universal</w:t></w:r>
</w:p>
<w:p>
<w:pPr><w:pStyle w:val="Normal"/></w:pPr>
<w:r><w:t xml:space="preserve">gravitation.  Although, however, gravitation has formed the</w:t></w:r>
</w:p>
<w:p>
<w:pPr><w:pStyle w:val="Normal"/></w:pPr>
<w:r><w:t xml:space="preserve">most perfect instance of an influence completely expressible,</w:t></w:r>
</w:p>
<w:p>
<w:pPr><w:pStyle w:val="Normal"/></w:pPr>
<w:r><w:t xml:space="preserve">up to the most extreme refinement of accuracy, in terms of</w:t></w:r>
</w:p>
<w:p>
<w:pPr><w:pStyle w:val="Normal"/></w:pPr>
<w:r><w:t xml:space="preserve">laws of direct action across space, yet, as is well known,</w:t></w:r>
</w:p>
<w:p>
<w:pPr><w:pStyle w:val="Normal"/></w:pPr>
<w:r><w:t xml:space="preserve">the author of this ideally simple and perfect theory held the</w:t></w:r>
</w:p>
<w:p>
<w:pPr><w:pStyle w:val="Normal"/></w:pPr>
<w:r><w:t xml:space="preserve">view that it is not possible to conceive of direct mechanical</w:t></w:r>
</w:p>
<w:p>
<w:pPr><w:pStyle w:val="Normal"/></w:pPr>
<w:r><w:t xml:space="preserve">action independent of means of transmission.  In this belief</w:t></w:r>
</w:p>
<w:p>
<w:pPr><w:pStyle w:val="Normal"/></w:pPr>
<w:r><w:t xml:space="preserve">he differed from his pupil, Roger Cotes, and from most of</w:t></w:r>
</w:p>
<w:p>
<w:pPr><w:pStyle w:val="Normal"/></w:pPr>
<w:r><w:t xml:space="preserve">the great mathematical astronomers of the 18th century,</w:t></w:r>
</w:p>
<w:p>
<w:pPr><w:pStyle w:val="Normal"/></w:pPr>
<w:r><w:t xml:space="preserve">who worked out in detail the task sketched by the genius of</w:t></w:r>
</w:p>
<w:p>
<w:pPr><w:pStyle w:val="Normal"/></w:pPr>
<w:r><w:t xml:space="preserve">Newton.  They were content with a knowledge of the truth of</w:t></w:r>
</w:p>
<w:p>
<w:pPr><w:pStyle w:val="Normal"/></w:pPr>
<w:r><w:t xml:space="preserve">the principle of gravitation; instead of essaying to explain</w:t></w:r>
</w:p>
<w:p>
<w:pPr><w:pStyle w:val="Normal"/></w:pPr>
<w:r><w:t xml:space="preserve">it further by the properties of a transmitting medium, they</w:t></w:r>
</w:p>
<w:p>
<w:pPr><w:pStyle w:val="Normal"/></w:pPr>
<w:r><w:t xml:space="preserve">in fact modelled the whole of their natural philosophy on that</w:t></w:r>
</w:p>
<w:p>
<w:pPr><w:pStyle w:val="Normal"/></w:pPr>
<w:r><w:t xml:space="preserve">principle, and tried to express all kinds of material interaction</w:t></w:r>
</w:p>
<w:p>
<w:pPr><w:pStyle w:val="Normal"/></w:pPr>
<w:r><w:t xml:space="preserve">in terms of laws of direct mechanical attraction across</w:t></w:r>
</w:p>
<w:p>
<w:pPr><w:pStyle w:val="Normal"/></w:pPr>
<w:r><w:t xml:space="preserve">space.  If material systems are constituted of discrete atoms,</w:t></w:r>
</w:p>
<w:p>
<w:pPr><w:pStyle w:val="Normal"/></w:pPr>
<w:r><w:t xml:space="preserve">separated from each other by many times the diameter of any of</w:t></w:r>
</w:p>
<w:p>
<w:pPr><w:pStyle w:val="Normal"/></w:pPr>
<w:r><w:t xml:space="preserve">them, this simple plan of exhibiting their interactions in terms</w:t></w:r>
</w:p>
<w:p>
<w:pPr><w:pStyle w:val="Normal"/></w:pPr>
<w:r><w:t xml:space="preserve">of direct forces between them would indeed be exact enough to</w:t></w:r>
</w:p>
<w:p>
<w:pPr><w:pStyle w:val="Normal"/></w:pPr>
<w:r><w:t xml:space="preserve">apply to a wide range of questions, provided we could be certain</w:t></w:r>
</w:p>
<w:p>
<w:pPr><w:pStyle w:val="Normal"/></w:pPr>
<w:r><w:t xml:space="preserve">that the laws of the forces depended only on the positions</w:t></w:r>
</w:p>
<w:p>
<w:pPr><w:pStyle w:val="Normal"/></w:pPr>
<w:r><w:t xml:space="preserve">and not also on the motions of the atoms.  The most important</w:t></w:r>
</w:p>
<w:p>
<w:pPr><w:pStyle w:val="Normal"/></w:pPr>
<w:r><w:t xml:space="preserve">example of its successful application has been the theory of</w:t></w:r>
</w:p>
<w:p>
<w:pPr><w:pStyle w:val="Normal"/></w:pPr>
<w:r><w:t xml:space="preserve">capillary action elaborated by P. S. Laplace; though even here</w:t></w:r>
</w:p>
<w:p>
<w:pPr><w:pStyle w:val="Normal"/></w:pPr>
<w:r><w:t xml:space="preserve">it appeared, in the hands of Young, and in complete fulness</w:t></w:r>
</w:p>
<w:p>
<w:pPr><w:pStyle w:val="Normal"/></w:pPr>
<w:r><w:t xml:space="preserve">afterwards in those of C. F. Gauss, that the definite results</w:t></w:r>
</w:p>
<w:p>
<w:pPr><w:pStyle w:val="Normal"/></w:pPr>
<w:r><w:t xml:space="preserve">attainable by the hypothesis of mutual atomic attractions really</w:t></w:r>
</w:p>
<w:p>
<w:pPr><w:pStyle w:val="Normal"/></w:pPr>
<w:r><w:t xml:space="preserve">reposed on much wider and less special principles---those,</w:t></w:r>
</w:p>
<w:p>
<w:pPr><w:pStyle w:val="Normal"/></w:pPr>
<w:r><w:t xml:space="preserve">namely, connected with the modern doctrine of energy.</w:t></w:r>
</w:p>
<w:p>
<w:pPr><w:pStyle w:val="Normal"/></w:pPr>
<w:r><w:t xml:space="preserve">Idea of an Aether.---The wider view, according to which</w:t></w:r>
</w:p>
<w:p>
<w:pPr><w:pStyle w:val="Normal"/></w:pPr>
<w:r><w:t xml:space="preserve">the hypothesis of direct transmission of physical influences</w:t></w:r>
</w:p>
<w:p>
<w:pPr><w:pStyle w:val="Normal"/></w:pPr>
<w:r><w:t xml:space="preserve">expresses only part of the facts, is that all space is</w:t></w:r>
</w:p>
<w:p>
<w:pPr><w:pStyle w:val="Normal"/></w:pPr>
<w:r><w:t xml:space="preserve">filled with physical activity, and that while an influence</w:t></w:r>
</w:p>
<w:p>
<w:pPr><w:pStyle w:val="Normal"/></w:pPr>
<w:r><w:t xml:space="preserve">is passing across from a body, A, to another body, B, there</w:t></w:r>
</w:p>
<w:p>
<w:pPr><w:pStyle w:val="Normal"/></w:pPr>
<w:r><w:t xml:space="preserve">is some dynamical process in action in the intervening</w:t></w:r>
</w:p>
<w:p>
<w:pPr><w:pStyle w:val="Normal"/></w:pPr>
<w:r><w:t xml:space="preserve">region, though it appears to the senses to be mere empty</w:t></w:r>
</w:p>
<w:p>
<w:pPr><w:pStyle w:val="Normal"/></w:pPr>
<w:r><w:t xml:space="preserve">space.  The problem is whether we can represent the facts more</w:t></w:r>
</w:p>
<w:p>
<w:pPr><w:pStyle w:val="Normal"/></w:pPr>
<w:r><w:t xml:space="preserve">simply by supposing the intervening space to be occupied by</w:t></w:r>
</w:p>
<w:p>
<w:pPr><w:pStyle w:val="Normal"/></w:pPr>
<w:r><w:t xml:space="preserve">a medium which transmits physical actions, after the manner</w:t></w:r>
</w:p>
<w:p>
<w:pPr><w:pStyle w:val="Normal"/></w:pPr>
<w:r><w:t xml:space="preserve">that a continuous material medium, solid or liquid, transmits</w:t></w:r>
</w:p>
<w:p>
<w:pPr><w:pStyle w:val="Normal"/></w:pPr>
<w:r><w:t xml:space="preserve">mechanical disturbance.  Various analogies of this sort are</w:t></w:r>
</w:p>
<w:p>
<w:pPr><w:pStyle w:val="Normal"/></w:pPr>
<w:r><w:t xml:space="preserve">open to us to follow up: for example, the way in which a</w:t></w:r>
</w:p>
<w:p>
<w:pPr><w:pStyle w:val="Normal"/></w:pPr>
<w:r><w:t xml:space="preserve">fluid medium transmits pressure from one immersed solid to</w:t></w:r>
</w:p>
<w:p>
<w:pPr><w:pStyle w:val="Normal"/></w:pPr>
<w:r><w:t xml:space="preserve">another--or from one vortex ring belonging to the fluid to</w:t></w:r>
</w:p>
<w:p>
<w:pPr><w:pStyle w:val="Normal"/></w:pPr>
<w:r><w:t xml:space="preserve">another, which is a much wider and more suggestive case;</w:t></w:r>
</w:p>
<w:p>
<w:pPr><w:pStyle w:val="Normal"/></w:pPr>
<w:r><w:t xml:space="preserve">or the way in which an elastic fluid like the atmosphere</w:t></w:r>
</w:p>
<w:p>
<w:pPr><w:pStyle w:val="Normal"/></w:pPr>
<w:r><w:t xml:space="preserve">transmits sound; or the way in which an elastic solid transmits</w:t></w:r>
</w:p>
<w:p>
<w:pPr><w:pStyle w:val="Normal"/></w:pPr>
<w:r><w:t xml:space="preserve">waves of transverse as well as longitudinal displacement.</w:t></w:r>
</w:p>
<w:p>
<w:pPr><w:pStyle w:val="Normal"/></w:pPr>
<w:r><w:t xml:space="preserve">It is on our familiarity with modes of transmission such as</w:t></w:r>
</w:p>
<w:p>
<w:pPr><w:pStyle w:val="Normal"/></w:pPr>
<w:r><w:t xml:space="preserve">these, and with the exact analyses of them which the science</w:t></w:r>
</w:p>
<w:p>
<w:pPr><w:pStyle w:val="Normal"/></w:pPr>
<w:r><w:t xml:space="preserve">of mathematical physics has been able to make, that our</w:t></w:r>
</w:p>
<w:p>
<w:pPr><w:pStyle w:val="Normal"/></w:pPr>
<w:r><w:t xml:space="preserve">predilection for filling space with an aethereal transmitting</w:t></w:r>
</w:p>
<w:p>
<w:pPr><w:pStyle w:val="Normal"/></w:pPr>
<w:r><w:t xml:space="preserve">medium, constituting a universal connexion between material</w:t></w:r>
</w:p>
<w:p>
<w:pPr><w:pStyle w:val="Normal"/></w:pPr>
<w:r><w:t xml:space="preserve">bodies, largely depends; perhaps ultimately it depends most</w:t></w:r>
</w:p>
<w:p>
<w:pPr><w:pStyle w:val="Normal"/></w:pPr>
<w:r><w:t xml:space="preserve">of all, like all our physical conceptions, on the intimate</w:t></w:r>
</w:p>
<w:p>
<w:pPr><w:pStyle w:val="Normal"/></w:pPr>
<w:r><w:t xml:space="preserve">knowledge that we can ourselves exert mechanical effect on</w:t></w:r>
</w:p>
<w:p>
<w:pPr><w:pStyle w:val="Normal"/></w:pPr>
<w:r><w:t xml:space="preserve">outside bodies only through the agencies of our limbs and</w:t></w:r>
</w:p>
<w:p>
<w:pPr><w:pStyle w:val="Normal"/></w:pPr>
<w:r><w:t xml:space="preserve">sinews.  The problem thus arises: Can we form a consistent</w:t></w:r>
</w:p>
<w:p>
<w:pPr><w:pStyle w:val="Normal"/></w:pPr>
<w:r><w:t xml:space="preserve">notion of such a connecting medium? It must be a medium which</w:t></w:r>
</w:p>
<w:p>
<w:pPr><w:pStyle w:val="Normal"/></w:pPr>
<w:r><w:t xml:space="preserve">can be effective for transmitting all the types of physical</w:t></w:r>
</w:p>
<w:p>
<w:pPr><w:pStyle w:val="Normal"/></w:pPr>
<w:r><w:t xml:space="preserve">action known to us; it would be worse than no solution to</w:t></w:r>
</w:p>
<w:p>
<w:pPr><w:pStyle w:val="Normal"/></w:pPr>
<w:r><w:t xml:space="preserve">have one medium to transmit gravitation, another to transmit</w:t></w:r>
</w:p>
<w:p>
<w:pPr><w:pStyle w:val="Normal"/></w:pPr>
<w:r><w:t xml:space="preserve">electric effects, another to transmit light, and so on.  Thus</w:t></w:r>
</w:p>
<w:p>
<w:pPr><w:pStyle w:val="Normal"/></w:pPr>
<w:r><w:t xml:space="preserve">the attempt to find out a constitution for the aether will</w:t></w:r>
</w:p>
<w:p>
<w:pPr><w:pStyle w:val="Normal"/></w:pPr>
<w:r><w:t xml:space="preserve">involve a synthesis of intimate correlation of the various</w:t></w:r>
</w:p>
<w:p>
<w:pPr><w:pStyle w:val="Normal"/></w:pPr>
<w:r><w:t xml:space="preserve">types of physical agencies, which appear so different to us</w:t></w:r>
</w:p>
<w:p>
<w:pPr><w:pStyle w:val="Normal"/></w:pPr>
<w:r><w:t xml:space="preserve">mainly because we perceive them through different senses.</w:t></w:r>
</w:p>
<w:p>
<w:pPr><w:pStyle w:val="Normal"/></w:pPr>
<w:r><w:t xml:space="preserve">The evidence for this view, that all these agencies are at</w:t></w:r>
</w:p>
<w:p>
<w:pPr><w:pStyle w:val="Normal"/></w:pPr>
<w:r><w:t xml:space="preserve">bottom connected together and parts of the same scheme, was</w:t></w:r>
</w:p>
<w:p>
<w:pPr><w:pStyle w:val="Normal"/></w:pPr>
<w:r><w:t xml:space="preserve">enormously strengthened during the latter half of the 19th</w:t></w:r>
</w:p>
<w:p>
<w:pPr><w:pStyle w:val="Normal"/></w:pPr>
<w:r><w:t xml:space="preserve">century by the development of a relation of simple quantitative</w:t></w:r>
</w:p>
<w:p>
<w:pPr><w:pStyle w:val="Normal"/></w:pPr>
<w:r><w:t xml:space="preserve">equivalence between them; it has been found that we can define</w:t></w:r>
</w:p>
<w:p>
<w:pPr><w:pStyle w:val="Normal"/></w:pPr>
<w:r><w:t xml:space="preserve">quantities relating to them, under the names of mechanical</w:t></w:r>
</w:p>
<w:p>
<w:pPr><w:pStyle w:val="Normal"/></w:pPr>
<w:r><w:t xml:space="preserve">energy, electric energy, thermal energy, and so on, so that</w:t></w:r>
</w:p>
<w:p>
<w:pPr><w:pStyle w:val="Normal"/></w:pPr>
<w:r><w:t xml:space="preserve">when one of them disappears, it is replaced by the others to</w:t></w:r>
</w:p>
<w:p>
<w:pPr><w:pStyle w:val="Normal"/></w:pPr>
<w:r><w:t xml:space="preserve">exactly equal amount.  This single principle of energy has</w:t></w:r>
</w:p>
<w:p>
<w:pPr><w:pStyle w:val="Normal"/></w:pPr>
<w:r><w:t xml:space="preserve">transformed physical science by making possible the construction</w:t></w:r>
</w:p>
<w:p>
<w:pPr><w:pStyle w:val="Normal"/></w:pPr>
<w:r><w:t xml:space="preserve">of a network of ramifying connexions between its various</w:t></w:r>
</w:p>
<w:p>
<w:pPr><w:pStyle w:val="Normal"/></w:pPr>
<w:r><w:t xml:space="preserve">departments; it thus stimulates the belief that these constitute</w:t></w:r>
</w:p>
<w:p>
<w:pPr><w:pStyle w:val="Normal"/></w:pPr>
<w:r><w:t xml:space="preserve">a single whole, and encourages the search for the complete</w:t></w:r>
</w:p>
<w:p>
<w:pPr><w:pStyle w:val="Normal"/></w:pPr>
<w:r><w:t xml:space="preserve">scheme of interconnexion of which the principle of energy</w:t></w:r>
</w:p>
<w:p>
<w:pPr><w:pStyle w:val="Normal"/></w:pPr>
<w:r><w:t xml:space="preserve">and the links which it suggests form only a single feature.</w:t></w:r>
</w:p>
<w:p>
<w:pPr><w:pStyle w:val="Normal"/></w:pPr>
<w:r><w:t xml:space="preserve">In carrying out this scientific procedure false steps will</w:t></w:r>
</w:p>
<w:p>
<w:pPr><w:pStyle w:val="Normal"/></w:pPr>
<w:r><w:t xml:space="preserve">from time to time be made, which will have to be retraced, or</w:t></w:r>
</w:p>
<w:p>
<w:pPr><w:pStyle w:val="Normal"/></w:pPr>
<w:r><w:t xml:space="preserve">rather amended; but the combination of experimental science with</w:t></w:r>
</w:p>
<w:p>
<w:pPr><w:pStyle w:val="Normal"/></w:pPr>
<w:r><w:t xml:space="preserve">theory has elevated our presumption of the rationality of all</w:t></w:r>
</w:p>
<w:p>
<w:pPr><w:pStyle w:val="Normal"/></w:pPr>
<w:r><w:t xml:space="preserve">natural processes, so far as we can apprehend them at all, into</w:t></w:r>
</w:p>
<w:p>
<w:pPr><w:pStyle w:val="Normal"/></w:pPr>
<w:r><w:t xml:space="preserve">practical certainty; so that, though the mode of presentation of</w:t></w:r>
</w:p>
<w:p>
<w:pPr><w:pStyle w:val="Normal"/></w:pPr>
<w:r><w:t xml:space="preserve">the results may vary from age to age, it is hardly conceivable</w:t></w:r>
</w:p>
<w:p>
<w:pPr><w:pStyle w:val="Normal"/></w:pPr>
<w:r><w:t xml:space="preserve">that the essentials of the method are not of permanent validity.</w:t></w:r>
</w:p>
<w:p>
<w:pPr><w:pStyle w:val="Normal"/></w:pPr>
<w:r><w:t xml:space="preserve">Atomic Structure of Matter.---The greatest obstacle to such a</w:t></w:r>
</w:p>
<w:p>
<w:pPr><w:pStyle w:val="Normal"/></w:pPr>
<w:r><w:t xml:space="preserve">search for the fundamental medium is the illimitable complexity</w:t></w:r>
</w:p>
<w:p>
<w:pPr><w:pStyle w:val="Normal"/></w:pPr>
<w:r><w:t xml:space="preserve">of matter, as contrasted with the theoretical simplicity and</w:t></w:r>
</w:p>
<w:p>
<w:pPr><w:pStyle w:val="Normal"/></w:pPr>
<w:r><w:t xml:space="preserve">uniformity of the physical agencies which connect together its</w:t></w:r>
</w:p>
<w:p>
<w:pPr><w:pStyle w:val="Normal"/></w:pPr>
<w:r><w:t xml:space="preserve">different parts.  It has been maintained since the times of</w:t></w:r>
</w:p>
<w:p>
<w:pPr><w:pStyle w:val="Normal"/></w:pPr>
<w:r><w:t xml:space="preserve">the early Greek philosophers, and possibly even more remote</w:t></w:r>
</w:p>
<w:p>
<w:pPr><w:pStyle w:val="Normal"/></w:pPr>
<w:r><w:t xml:space="preserve">ages, that matter is constituted of independent indestructible</w:t></w:r>
</w:p>
<w:p>
<w:pPr><w:pStyle w:val="Normal"/></w:pPr>
<w:r><w:t xml:space="preserve">units, which cannot ever become divided by means of any</w:t></w:r>
</w:p>
<w:p>
<w:pPr><w:pStyle w:val="Normal"/></w:pPr>
<w:r><w:t xml:space="preserve">mutual actions they can exert.  Since the period, a century</w:t></w:r>
</w:p>
<w:p>
<w:pPr><w:pStyle w:val="Normal"/></w:pPr>
<w:r><w:t xml:space="preserve">ago, when Dalton and his contemporaries constructed from this</w:t></w:r>
</w:p>
<w:p>
<w:pPr><w:pStyle w:val="Normal"/></w:pPr>
<w:r><w:t xml:space="preserve">idea a scientific basis for chemistry, the progress of that</w:t></w:r>
</w:p>
<w:p>
<w:pPr><w:pStyle w:val="Normal"/></w:pPr>
<w:r><w:t xml:space="preserve">subject has been wonderful beyond any conception that could</w:t></w:r>
</w:p>
<w:p>
<w:pPr><w:pStyle w:val="Normal"/></w:pPr>
<w:r><w:t xml:space="preserve">previously have been entertained; and the atomic theory in</w:t></w:r>
</w:p>
<w:p>
<w:pPr><w:pStyle w:val="Normal"/></w:pPr>
<w:r><w:t xml:space="preserve">some form appears to be an indispensable part of the framework</w:t></w:r>
</w:p>
<w:p>
<w:pPr><w:pStyle w:val="Normal"/></w:pPr>
<w:r><w:t xml:space="preserve">of physical science.  Now this doctrine of material atoms is</w:t></w:r>
</w:p>
<w:p>
<w:pPr><w:pStyle w:val="Normal"/></w:pPr>
<w:r><w:t xml:space="preserve">an almost necessary corollary to the doctrine of a universal</w:t></w:r>
</w:p>
<w:p>
<w:pPr><w:pStyle w:val="Normal"/></w:pPr>
<w:r><w:t xml:space="preserve">aether.  For if we held that matter is continuous, one of two</w:t></w:r>
</w:p>
<w:p>
<w:pPr><w:pStyle w:val="Normal"/></w:pPr>
<w:r><w:t xml:space="preserve">alternatives would be open.  We might consider that matter and</w:t></w:r>
</w:p>
<w:p>
<w:pPr><w:pStyle w:val="Normal"/></w:pPr>
<w:r><w:t xml:space="preserve">aether can coexist in the same space; this would involve the</w:t></w:r>
</w:p>
<w:p>
<w:pPr><w:pStyle w:val="Normal"/></w:pPr>
<w:r><w:t xml:space="preserve">co-existence and interaction of a double set of properties,</w:t></w:r>
</w:p>
<w:p>
<w:pPr><w:pStyle w:val="Normal"/></w:pPr>
<w:r><w:t xml:space="preserve">introducing great complication, which would place any coherent</w:t></w:r>
</w:p>
<w:p>
<w:pPr><w:pStyle w:val="Normal"/></w:pPr>
<w:r><w:t xml:space="preserve">scheme of physical action probably beyond the powers of human</w:t></w:r>
</w:p>
<w:p>
<w:pPr><w:pStyle w:val="Normal"/></w:pPr>
<w:r><w:t xml:space="preserve">analysis.  Or we might consider that aether exists only</w:t></w:r>
</w:p>
<w:p>
<w:pPr><w:pStyle w:val="Normal"/></w:pPr>
<w:r><w:t xml:space="preserve">where matter is not, thus making it a very rare and subtle</w:t></w:r>
</w:p>
<w:p>
<w:pPr><w:pStyle w:val="Normal"/></w:pPr>
<w:r><w:t xml:space="preserve">and elastic kind of matter; then we should have to assign</w:t></w:r>
</w:p>
<w:p>
<w:pPr><w:pStyle w:val="Normal"/></w:pPr>
<w:r><w:t xml:space="preserve">these very properties to the matter itself where it replaces</w:t></w:r>
</w:p>
<w:p>
<w:pPr><w:pStyle w:val="Normal"/></w:pPr>
<w:r><w:t xml:space="preserve">aether, in addition to its more familiar properties, and the</w:t></w:r>
</w:p>
<w:p>
<w:pPr><w:pStyle w:val="Normal"/></w:pPr>
<w:r><w:t xml:space="preserve">complication would remain.  The other course is to consider</w:t></w:r>
</w:p>
<w:p>
<w:pPr><w:pStyle w:val="Normal"/></w:pPr>
<w:r><w:t xml:space="preserve">matter as formed of ultimate atoms, each the nucleus or core</w:t></w:r>
</w:p>
<w:p>
<w:pPr><w:pStyle w:val="Normal"/></w:pPr>
<w:r><w:t xml:space="preserve">of an intrinsic modification impressed on the siurounding</w:t></w:r>
</w:p>
<w:p>
<w:pPr><w:pStyle w:val="Normal"/></w:pPr>
<w:r><w:t xml:space="preserve">region of the aether; this might conceivably be of the</w:t></w:r>
</w:p>
<w:p>
<w:pPr><w:pStyle w:val="Normal"/></w:pPr>
<w:r><w:t xml:space="preserve">nature of vortical motion of a liquid round a ring-core,</w:t></w:r>
</w:p>
<w:p>
<w:pPr><w:pStyle w:val="Normal"/></w:pPr>
<w:r><w:t xml:space="preserve">thus giving a vortex atom, or of an intrinsic strain of some</w:t></w:r>
</w:p>
<w:p>
<w:pPr><w:pStyle w:val="Normal"/></w:pPr>
<w:r><w:t xml:space="preserve">sort radiating from a core, which would give an electric</w:t></w:r>
</w:p>
<w:p>
<w:pPr><w:pStyle w:val="Normal"/></w:pPr>
<w:r><w:t xml:space="preserve">atom.  We recognize an atom only through its physical</w:t></w:r>
</w:p>
<w:p>
<w:pPr><w:pStyle w:val="Normal"/></w:pPr>
<w:r><w:t xml:space="preserve">activities, as manifested in its interactions with other atoms</w:t></w:r>
</w:p>
<w:p>
<w:pPr><w:pStyle w:val="Normal"/></w:pPr>
<w:r><w:t xml:space="preserve">at a distance from it; this field of physical activity would</w:t></w:r>
</w:p>
<w:p>
<w:pPr><w:pStyle w:val="Normal"/></w:pPr>
<w:r><w:t xml:space="preserve">be identical with the surrounding field of aethereal motion</w:t></w:r>
</w:p>
<w:p>
<w:pPr><w:pStyle w:val="Normal"/></w:pPr>
<w:r><w:t xml:space="preserve">or strain that is inseparably associated with the nucleus,</w:t></w:r>
</w:p>
<w:p>
<w:pPr><w:pStyle w:val="Normal"/></w:pPr>
<w:r><w:t xml:space="preserve">and is carried on along with it as it moves.  Here then we</w:t></w:r>
</w:p>
<w:p>
<w:pPr><w:pStyle w:val="Normal"/></w:pPr>
<w:r><w:t xml:space="preserve">have the basis of a view in which there are not two media</w:t></w:r>
</w:p>
<w:p>
<w:pPr><w:pStyle w:val="Normal"/></w:pPr>
<w:r><w:t xml:space="preserve">to be considered, but one medium, homogeneous in essence and</w:t></w:r>
</w:p>
<w:p>
<w:pPr><w:pStyle w:val="Normal"/></w:pPr>
<w:r><w:t xml:space="preserve">differentiated as regards its parts only by the presence of</w:t></w:r>
</w:p>
<w:p>
<w:pPr><w:pStyle w:val="Normal"/></w:pPr>
<w:r><w:t xml:space="preserve">nuclei of intrinsic strain or motion---in which the physical</w:t></w:r>
</w:p>
<w:p>
<w:pPr><w:pStyle w:val="Normal"/></w:pPr>
<w:r><w:t xml:space="preserve">activities of matter are identified with those arising from</w:t></w:r>
</w:p>
<w:p>
<w:pPr><w:pStyle w:val="Normal"/></w:pPr>
<w:r><w:t xml:space="preserve">the atmospheres of modified aether which thus belong to its</w:t></w:r>
</w:p>
<w:p>
<w:pPr><w:pStyle w:val="Normal"/></w:pPr>
<w:r><w:t xml:space="preserve">atoms.  As regards laws of general physical interactions,</w:t></w:r>
</w:p>
<w:p>
<w:pPr><w:pStyle w:val="Normal"/></w:pPr>
<w:r><w:t xml:space="preserve">the atom is fully represented by the constitution of this</w:t></w:r>
</w:p>
<w:p>
<w:pPr><w:pStyle w:val="Normal"/></w:pPr>
<w:r><w:t xml:space="preserve">atmosphere, and its nucleus may be left out of our discussions;</w:t></w:r>
</w:p>
<w:p>
<w:pPr><w:pStyle w:val="Normal"/></w:pPr>
<w:r><w:t xml:space="preserve">but in the problems of biology great tracts of invariable</w:t></w:r>
</w:p>
<w:p>
<w:pPr><w:pStyle w:val="Normal"/></w:pPr>
<w:r><w:t xml:space="preserve">correlations have to be dealt with, which seem hopelessly</w:t></w:r>
</w:p>
<w:p>
<w:pPr><w:pStyle w:val="Normal"/></w:pPr>
<w:r><w:t xml:space="preserve">more complex than any known or humanly possible physical</w:t></w:r>
</w:p>
<w:p>
<w:pPr><w:pStyle w:val="Normal"/></w:pPr>
<w:r><w:t xml:space="preserve">scheme.  To make room for these we have to remember that the</w:t></w:r>
</w:p>
<w:p>
<w:pPr><w:pStyle w:val="Normal"/></w:pPr>
<w:r><w:t xml:space="preserve">atomic nucleus has remained entirely undefined and beyond</w:t></w:r>
</w:p>
<w:p>
<w:pPr><w:pStyle w:val="Normal"/></w:pPr>
<w:r><w:t xml:space="preserve">our problem; so that what may occur, say when two molecules</w:t></w:r>
</w:p>
<w:p>
<w:pPr><w:pStyle w:val="Normal"/></w:pPr>
<w:r><w:t xml:space="preserve">come into close relations, is outside physical science---not,</w:t></w:r>
</w:p>
<w:p>
<w:pPr><w:pStyle w:val="Normal"/></w:pPr>
<w:r><w:t xml:space="preserve">however, altogether outside, for we know that when the vital</w:t></w:r>
</w:p>
<w:p>
<w:pPr><w:pStyle w:val="Normal"/></w:pPr>
<w:r><w:t xml:space="preserve">nexus in any portion of matter is dissolved, the atoms</w:t></w:r>
</w:p>
<w:p>
<w:pPr><w:pStyle w:val="Normal"/></w:pPr>
<w:r><w:t xml:space="preserve">will remain, in their number, and their atmospheres, and all</w:t></w:r>
</w:p>
<w:p>
<w:pPr><w:pStyle w:val="Normal"/></w:pPr>
<w:r><w:t xml:space="preserve">inorganic relations, as they were before vitality supervened.</w:t></w:r>
</w:p>
<w:p>
<w:pPr><w:pStyle w:val="Normal"/></w:pPr>
<w:r><w:t xml:space="preserve">Nature of Properties of Material Bodies.---It thus appears</w:t></w:r>
</w:p>
<w:p>
<w:pPr><w:pStyle w:val="Normal"/></w:pPr>
<w:r><w:t xml:space="preserve">that the doctrine of atomic material constitution and the</w:t></w:r>
</w:p>
<w:p>
<w:pPr><w:pStyle w:val="Normal"/></w:pPr>
<w:r><w:t xml:space="preserve">doctrine of a universal aether stand to each other in a</w:t></w:r>
</w:p>
<w:p>
<w:pPr><w:pStyle w:val="Normal"/></w:pPr>
<w:r><w:t xml:space="preserve">relation of mutual support; if the scheme of physical laws</w:t></w:r>
</w:p>
<w:p>
<w:pPr><w:pStyle w:val="Normal"/></w:pPr>
<w:r><w:t xml:space="preserve">is to be as precise as observation and measurement appear to</w:t></w:r>
</w:p>
<w:p>
<w:pPr><w:pStyle w:val="Normal"/></w:pPr>
<w:r><w:t xml:space="preserve">make it, both doctrines are required in our efforts towards</w:t></w:r>
</w:p>
<w:p>
<w:pPr><w:pStyle w:val="Normal"/></w:pPr>
<w:r><w:t xml:space="preserve">synthesis.  Our direct knowledge of matter can, however,</w:t></w:r>
</w:p>
<w:p>
<w:pPr><w:pStyle w:val="Normal"/></w:pPr>
<w:r><w:t xml:space="preserve">never be more than a rough knowledge of the general average</w:t></w:r>
</w:p>
<w:p>
<w:pPr><w:pStyle w:val="Normal"/></w:pPr>
<w:r><w:t xml:space="preserve">behaviour of its molecules; for the smallest material speck</w:t></w:r>
</w:p>
<w:p>
<w:pPr><w:pStyle w:val="Normal"/></w:pPr>
<w:r><w:t xml:space="preserve">that is sensible to our coarse perceptions contains myriads of</w:t></w:r>
</w:p>
<w:p>
<w:pPr><w:pStyle w:val="Normal"/></w:pPr>
<w:r><w:t xml:space="preserve">atoms.  The properties of the most minute portion of matter</w:t></w:r>
</w:p>
<w:p>
<w:pPr><w:pStyle w:val="Normal"/></w:pPr>
<w:r><w:t xml:space="preserve">which we can examine are thus of the nature of averages.</w:t></w:r>
</w:p>
<w:p>
<w:pPr><w:pStyle w:val="Normal"/></w:pPr>
<w:r><w:t xml:space="preserve">We may gradually invent means of tracing more and more</w:t></w:r>
</w:p>
<w:p>
<w:pPr><w:pStyle w:val="Normal"/></w:pPr>
<w:r><w:t xml:space="preserve">closely the average drifts of translation or orientation,</w:t></w:r>
</w:p>
<w:p>
<w:pPr><w:pStyle w:val="Normal"/></w:pPr>
<w:r><w:t xml:space="preserve">or of changes of arrangement, of the atoms; but there will</w:t></w:r>
</w:p>
<w:p>
<w:pPr><w:pStyle w:val="Normal"/></w:pPr>
<w:r><w:t xml:space="preserve">always remain an unaveraged residue devoid of any recognized</w:t></w:r>
</w:p>
<w:p>
<w:pPr><w:pStyle w:val="Normal"/></w:pPr>
<w:r><w:t xml:space="preserve">regularity, which we can only estimate by its total amount.</w:t></w:r>
</w:p>
<w:p>
<w:pPr><w:pStyle w:val="Normal"/></w:pPr>
<w:r><w:t xml:space="preserve">Thus, if we are treating of energy, we can separate out</w:t></w:r>
</w:p>
<w:p>
<w:pPr><w:pStyle w:val="Normal"/></w:pPr>
<w:r><w:t xml:space="preserve">mechanical and electric and other constituents in it; and</w:t></w:r>
</w:p>
<w:p>
<w:pPr><w:pStyle w:val="Normal"/></w:pPr>
<w:r><w:t xml:space="preserve">there will be a residue of which we know nothing except its</w:t></w:r>
</w:p>
<w:p>
<w:pPr><w:pStyle w:val="Normal"/></w:pPr>
<w:r><w:t xml:space="preserve">quantity, and which we call thermal.  This merely thermal</w:t></w:r>
</w:p>
<w:p>
<w:pPr><w:pStyle w:val="Normal"/></w:pPr>
<w:r><w:t xml:space="preserve">energy--which is gradually but very slowly being restricted</w:t></w:r>
</w:p>
<w:p>
<w:pPr><w:pStyle w:val="Normal"/></w:pPr>
<w:r><w:t xml:space="preserve">in amount as new subsidiary organized types become recognized</w:t></w:r>
</w:p>
<w:p>
<w:pPr><w:pStyle w:val="Normal"/></w:pPr>
<w:r><w:t xml:space="preserve">in it--though transmutable in equivalent quantities with the</w:t></w:r>
</w:p>
<w:p>
<w:pPr><w:pStyle w:val="Normal"/></w:pPr>
<w:r><w:t xml:space="preserve">other kinds, yet is so only to a limited extent; the tracing</w:t></w:r>
</w:p>
<w:p>
<w:pPr><w:pStyle w:val="Normal"/></w:pPr>
<w:r><w:t xml:space="preserve">out of the laws of this limitation belongs to the science of</w:t></w:r>
</w:p>
<w:p>
<w:pPr><w:pStyle w:val="Normal"/></w:pPr>
<w:r><w:t xml:space="preserve">thermodynamics.  It is the business of that science to find</w:t></w:r>
</w:p>
<w:p>
<w:pPr><w:pStyle w:val="Normal"/></w:pPr>
<w:r><w:t xml:space="preserve">out what is the greatest amount of thermal energy that can</w:t></w:r>
</w:p>
<w:p>
<w:pPr><w:pStyle w:val="Normal"/></w:pPr>
<w:r><w:t xml:space="preserve">possibly be recoverable into organized kinds under given</w:t></w:r>
</w:p>
<w:p>
<w:pPr><w:pStyle w:val="Normal"/></w:pPr>
<w:r><w:t xml:space="preserve">circumstances.  The discovery of definite laws in this</w:t></w:r>
</w:p>
<w:p>
<w:pPr><w:pStyle w:val="Normal"/></w:pPr>
<w:r><w:t xml:space="preserve">region might at first sight seem hopeless; but the argument</w:t></w:r>
</w:p>
<w:p>
<w:pPr><w:pStyle w:val="Normal"/></w:pPr>
<w:r><w:t xml:space="preserve">rests on an implied postulate of stability and continuity of</w:t></w:r>
</w:p>
<w:p>
<w:pPr><w:pStyle w:val="Normal"/></w:pPr>
<w:r><w:t xml:space="preserve">constitution of material substances, so that after a cycle</w:t></w:r>
</w:p>
<w:p>
<w:pPr><w:pStyle w:val="Normal"/></w:pPr>
<w:r><w:t xml:space="preserve">of transformations we expect to recover them again as they</w:t></w:r>
</w:p>
<w:p>
<w:pPr><w:pStyle w:val="Normal"/></w:pPr>
<w:r><w:t xml:space="preserve">were originally---on the postulate, in fact, that we do</w:t></w:r>
</w:p>
<w:p>
<w:pPr><w:pStyle w:val="Normal"/></w:pPr>
<w:r><w:t xml:space="preserve">not expect them to melt out of organized existence in our</w:t></w:r>
</w:p>
<w:p>
<w:pPr><w:pStyle w:val="Normal"/></w:pPr>
<w:r><w:t xml:space="preserve">hands.  The laws of thermodynamics, including the fundamental</w:t></w:r>
</w:p>
<w:p>
<w:pPr><w:pStyle w:val="Normal"/></w:pPr>
<w:r><w:t xml:space="preserve">principle that a physical property, called temperature, can be</w:t></w:r>
</w:p>
<w:p>
<w:pPr><w:pStyle w:val="Normal"/></w:pPr>
<w:r><w:t xml:space="preserve">defined, which tends towards uniformity, are thus relations</w:t></w:r>
</w:p>
<w:p>
<w:pPr><w:pStyle w:val="Normal"/></w:pPr>
<w:r><w:t xml:space="preserve">between the properties of types of material bodies that</w:t></w:r>
</w:p>
<w:p>
<w:pPr><w:pStyle w:val="Normal"/></w:pPr>
<w:r><w:t xml:space="preserve">can exist permanently in presence of each other; why they</w:t></w:r>
</w:p>
<w:p>
<w:pPr><w:pStyle w:val="Normal"/></w:pPr>
<w:r><w:t xml:space="preserve">so maintain themselves remains unknown, but the fact gives</w:t></w:r>
</w:p>
<w:p>
<w:pPr><w:pStyle w:val="Normal"/></w:pPr>
<w:r><w:t xml:space="preserve">the point d&apos;appui. The fundamental character of energy</w:t></w:r>
</w:p>
<w:p>
<w:pPr><w:pStyle w:val="Normal"/></w:pPr>
<w:r><w:t xml:space="preserve">in material systems here comes into view; if there were any</w:t></w:r>
</w:p>
<w:p>
<w:pPr><w:pStyle w:val="Normal"/></w:pPr>
<w:r><w:t xml:space="preserve">other independent scalar entity, besides mass and energy,</w:t></w:r>
</w:p>
<w:p>
<w:pPr><w:pStyle w:val="Normal"/></w:pPr>
<w:r><w:t xml:space="preserve">that pervaded them with relations of equivalence, we should</w:t></w:r>
</w:p>
<w:p>
<w:pPr><w:pStyle w:val="Normal"/></w:pPr>
<w:r><w:t xml:space="preserve">expect the existence of yet another set of pualities analogous</w:t></w:r>
</w:p>
<w:p>
<w:pPr><w:pStyle w:val="Normal"/></w:pPr>
<w:r><w:t xml:space="preserve">to those connected with temperature. (See ENERGETICS.)</w:t></w:r>
</w:p>
<w:p>
<w:pPr><w:pStyle w:val="Normal"/></w:pPr>
<w:r><w:t xml:space="preserve">Returning now to the aether, on our present point of view</w:t></w:r>
</w:p>
<w:p>
<w:pPr><w:pStyle w:val="Normal"/></w:pPr>
<w:r><w:t xml:space="preserve">no such complications there arise; it must be regarded as a</w:t></w:r>
</w:p>
<w:p>
<w:pPr><w:pStyle w:val="Normal"/></w:pPr>
<w:r><w:t xml:space="preserve">continuous uniform medium free from any complexities of atomic</w:t></w:r>
</w:p>
<w:p>
<w:pPr><w:pStyle w:val="Normal"/></w:pPr>
<w:r><w:t xml:space="preserve">aggregation, whose function is confined to the transmission of</w:t></w:r>
</w:p>
<w:p>
<w:pPr><w:pStyle w:val="Normal"/></w:pPr>
<w:r><w:t xml:space="preserve">the various types of physical effect between the portions of</w:t></w:r>
</w:p>
<w:p>
<w:pPr><w:pStyle w:val="Normal"/></w:pPr>
<w:r><w:t xml:space="preserve">matter.  The problem of its constitution is thus one which</w:t></w:r>
</w:p>
<w:p>
<w:pPr><w:pStyle w:val="Normal"/></w:pPr>
<w:r><w:t xml:space="preserve">can be attacked and continually approximated to, and which</w:t></w:r>
</w:p>
<w:p>
<w:pPr><w:pStyle w:val="Normal"/></w:pPr>
<w:r><w:t xml:space="preserve">may possibly be definitely resolved.  It has to be competent</w:t></w:r>
</w:p>
<w:p>
<w:pPr><w:pStyle w:val="Normal"/></w:pPr>
<w:r><w:t xml:space="preserve">to transmit the transverse waves of light and electricity,</w:t></w:r>
</w:p>
<w:p>
<w:pPr><w:pStyle w:val="Normal"/></w:pPr>
<w:r><w:t xml:space="preserve">and the other known radiant and electric actions; the way</w:t></w:r>
</w:p>
<w:p>
<w:pPr><w:pStyle w:val="Normal"/></w:pPr>
<w:r><w:t xml:space="preserve">in which this is done is now in the main known, though</w:t></w:r>
</w:p>
<w:p>
<w:pPr><w:pStyle w:val="Normal"/></w:pPr>
<w:r><w:t xml:space="preserve">there are still questions as to the mode of expression and</w:t></w:r>
</w:p>
<w:p>
<w:pPr><w:pStyle w:val="Normal"/></w:pPr>
<w:r><w:t xml:space="preserve">formulation of our knowledge, and also as regards points of</w:t></w:r>
</w:p>
<w:p>
<w:pPr><w:pStyle w:val="Normal"/></w:pPr>
<w:r><w:t xml:space="preserve">detail.  This great advance, which is the result of the gradual</w:t></w:r>
</w:p>
<w:p>
<w:pPr><w:pStyle w:val="Normal"/></w:pPr>
<w:r><w:t xml:space="preserve">focussing of a century&apos;s work in the minute exploration of</w:t></w:r>
</w:p>
<w:p>
<w:pPr><w:pStyle w:val="Normal"/></w:pPr>
<w:r><w:t xml:space="preserve">the exact laws of optical and electric phenomena, clearly</w:t></w:r>
</w:p>
<w:p>
<w:pPr><w:pStyle w:val="Normal"/></w:pPr>
<w:r><w:t xml:space="preserve">carries with it deeper insight into the physical nature</w:t></w:r>
</w:p>
<w:p>
<w:pPr><w:pStyle w:val="Normal"/></w:pPr>
<w:r><w:t xml:space="preserve">of matter itself and its modes of inanimate interaction.</w:t></w:r>
</w:p>
<w:p>
<w:pPr><w:pStyle w:val="Normal"/></w:pPr>
<w:r><w:t xml:space="preserve">If we rest on the synthesis here described, the energy of the</w:t></w:r>
</w:p>
<w:p>
<w:pPr><w:pStyle w:val="Normal"/></w:pPr>
<w:r><w:t xml:space="preserve">matter, even the thermal part, appears largely as potential</w:t></w:r>
</w:p>
<w:p>
<w:pPr><w:pStyle w:val="Normal"/></w:pPr>
<w:r><w:t xml:space="preserve">energy of strain in the aether which interacts with the kinetic</w:t></w:r>
</w:p>
<w:p>
<w:pPr><w:pStyle w:val="Normal"/></w:pPr>
<w:r><w:t xml:space="preserve">energy associated with disturbances involving finite velocity of</w:t></w:r>
</w:p>
<w:p>
<w:pPr><w:pStyle w:val="Normal"/></w:pPr>
<w:r><w:t xml:space="preserve">matter.  It may, however, be maintained that an ultimate</w:t></w:r>
</w:p>
<w:p>
<w:pPr><w:pStyle w:val="Normal"/></w:pPr>
<w:r><w:t xml:space="preserve">analysis would go deeper, and resolve all phenomena of elastic</w:t></w:r>
</w:p>
<w:p>
<w:pPr><w:pStyle w:val="Normal"/></w:pPr>
<w:r><w:t xml:space="preserve">resilience into consequences of the kinetic stability of steady</w:t></w:r>
</w:p>
<w:p>
<w:pPr><w:pStyle w:val="Normal"/></w:pPr>
<w:r><w:t xml:space="preserve">motional states, so that only motions, but not strains, would</w:t></w:r>
</w:p>
<w:p>
<w:pPr><w:pStyle w:val="Normal"/></w:pPr>
<w:r><w:t xml:space="preserve">remain.  On such a view the aether might conceivably be a</w:t></w:r>
</w:p>
<w:p>
<w:pPr><w:pStyle w:val="Normal"/></w:pPr>
<w:r><w:t xml:space="preserve">perfect fluid, its fundamental property of elastic reaction</w:t></w:r>
</w:p>
<w:p>
<w:pPr><w:pStyle w:val="Normal"/></w:pPr>
<w:r><w:t xml:space="preserve">arising (as at one time suggested by Kelvin and G. F.</w:t></w:r>
</w:p>
<w:p>
<w:pPr><w:pStyle w:val="Normal"/></w:pPr>
<w:r><w:t xml:space="preserve">Fitzgerald) from a structure of tangled or interlaced vortex</w:t></w:r>
</w:p>
<w:p>
<w:pPr><w:pStyle w:val="Normal"/></w:pPr>
<w:r><w:t xml:space="preserve">filaments pervading its substance, which might conceivably</w:t></w:r>
</w:p>
<w:p>
<w:pPr><w:pStyle w:val="Normal"/></w:pPr>
<w:r><w:t xml:space="preserve">arrange themselves into a stable configuration and so resist</w:t></w:r>
</w:p>
<w:p>
<w:pPr><w:pStyle w:val="Normal"/></w:pPr>
<w:r><w:t xml:space="preserve">deformation.  This raises the further question as to whether</w:t></w:r>
</w:p>
<w:p>
<w:pPr><w:pStyle w:val="Normal"/></w:pPr>
<w:r><w:t xml:space="preserve">the transmission of gravitation can be definitely recognized</w:t></w:r>
</w:p>
<w:p>
<w:pPr><w:pStyle w:val="Normal"/></w:pPr>
<w:r><w:t xml:space="preserve">among the properties of an ultimate medium; if so, we know</w:t></w:r>
</w:p>
<w:p>
<w:pPr><w:pStyle w:val="Normal"/></w:pPr>
<w:r><w:t xml:space="preserve">that it must be associated with some feature, perhaps very</w:t></w:r>
</w:p>
<w:p>
<w:pPr><w:pStyle w:val="Normal"/></w:pPr>
<w:r><w:t xml:space="preserve">deep-seated, or on the other hand perhaps depending simply on</w:t></w:r>
</w:p>
<w:p>
<w:pPr><w:pStyle w:val="Normal"/></w:pPr>
<w:r><w:t xml:space="preserve">incompressibility, which is not sensibly implicated in the</w:t></w:r>
</w:p>
<w:p>
<w:pPr><w:pStyle w:val="Normal"/></w:pPr>
<w:r><w:t xml:space="preserve">electric and optical activities.  With reference to all such</w:t></w:r>
</w:p>
<w:p>
<w:pPr><w:pStyle w:val="Normal"/></w:pPr>
<w:r><w:t xml:space="preserve">further refinements of theory, it is to be borne in mind that</w:t></w:r>
</w:p>
<w:p>
<w:pPr><w:pStyle w:val="Normal"/></w:pPr>
<w:r><w:t xml:space="preserve">the perfect fluid of hydrodynamic analysis is not a merely</w:t></w:r>
</w:p>
<w:p>
<w:pPr><w:pStyle w:val="Normal"/></w:pPr>
<w:r><w:t xml:space="preserve">passive inert plenum; it is also a continuum with the</w:t></w:r>
</w:p>
<w:p>
<w:pPr><w:pStyle w:val="Normal"/></w:pPr>
<w:r><w:t xml:space="preserve">property that no finite internal slip or discontinuity of</w:t></w:r>
</w:p>
<w:p>
<w:pPr><w:pStyle w:val="Normal"/></w:pPr>
<w:r><w:t xml:space="preserve">motion can ever arise in it through any kind of disturbance;</w:t></w:r>
</w:p>
<w:p>
<w:pPr><w:pStyle w:val="Normal"/></w:pPr>
<w:r><w:t xml:space="preserve">and this property must be postulated, as it cannot be explained.</w:t></w:r>
</w:p>
<w:p>
<w:pPr><w:pStyle w:val="Normal"/></w:pPr>
<w:r><w:t xml:space="preserve">Motion of Material Atoms through the Aether.--An important</w:t></w:r>
</w:p>
<w:p>
<w:pPr><w:pStyle w:val="Normal"/></w:pPr>
<w:r><w:t xml:space="preserve">question arises whether, when a material body is moved through</w:t></w:r>
</w:p>
<w:p>
<w:pPr><w:pStyle w:val="Normal"/></w:pPr>
<w:r><w:t xml:space="preserve">the aether, the nucleus of each atom carries some of the</w:t></w:r>
</w:p>
<w:p>
<w:pPr><w:pStyle w:val="Normal"/></w:pPr>
<w:r><w:t xml:space="preserve">surrounding aether along with it; or whether it practically</w:t></w:r>
</w:p>
<w:p>
<w:pPr><w:pStyle w:val="Normal"/></w:pPr>
<w:r><w:t xml:space="preserve">only carries on its strain-form or physical atmosphere, which</w:t></w:r>
</w:p>
<w:p>
<w:pPr><w:pStyle w:val="Normal"/></w:pPr>
<w:r><w:t xml:space="preserve">is transferred from one portion of aether to another after</w:t></w:r>
</w:p>
<w:p>
<w:pPr><w:pStyle w:val="Normal"/></w:pPr>
<w:r><w:t xml:space="preserve">the manner of a shadow, or rather like a loose knot which can</w:t></w:r>
</w:p>
<w:p>
<w:pPr><w:pStyle w:val="Normal"/></w:pPr>
<w:r><w:t xml:space="preserve">slip along a rope without the rope being required to go with</w:t></w:r>
</w:p>
<w:p>
<w:pPr><w:pStyle w:val="Normal"/></w:pPr>
<w:r><w:t xml:space="preserve">it.  We can obtain a pertinent illustration from the motion</w:t></w:r>
</w:p>
<w:p>
<w:pPr><w:pStyle w:val="Normal"/></w:pPr>
<w:r><w:t xml:space="preserve">of a vortex ring in a fluid; if the circular core of the ring</w:t></w:r>
</w:p>
<w:p>
<w:pPr><w:pStyle w:val="Normal"/></w:pPr>
<w:r><w:t xml:space="preserve">is thin compared with its diameter, and the vorticity is not</w:t></w:r>
</w:p>
<w:p>
<w:pPr><w:pStyle w:val="Normal"/></w:pPr>
<w:r><w:t xml:space="preserve">very great, it is the vortical state of motion that travels</w:t></w:r>
</w:p>
<w:p>
<w:pPr><w:pStyle w:val="Normal"/></w:pPr>
<w:r><w:t xml:space="preserve">across the fluid without transporting the latter bodily with</w:t></w:r>
</w:p>
<w:p>
<w:pPr><w:pStyle w:val="Normal"/></w:pPr>
<w:r><w:t xml:space="preserve">it except to a slight extent very close to the core.  We might</w:t></w:r>
</w:p>
<w:p>
<w:pPr><w:pStyle w:val="Normal"/></w:pPr>
<w:r><w:t xml:space="preserve">thus examine a structure formed of an aggregation of very</w:t></w:r>
</w:p>
<w:p>
<w:pPr><w:pStyle w:val="Normal"/></w:pPr>
<w:r><w:t xml:space="preserve">thin vortex rings, which would move across the fluid without</w:t></w:r>
</w:p>
<w:p>
<w:pPr><w:pStyle w:val="Normal"/></w:pPr>
<w:r><w:t xml:space="preserve">sensibly disturbing it; on the other hand, if formed of stronger</w:t></w:r>
</w:p>
<w:p>
<w:pPr><w:pStyle w:val="Normal"/></w:pPr>
<w:r><w:t xml:space="preserve">vortices, it may transport the portion of the fluid that is</w:t></w:r>
</w:p>
<w:p>
<w:pPr><w:pStyle w:val="Normal"/></w:pPr>
<w:r><w:t xml:space="preserve">within, or adjacent to, its own structure along with it as</w:t></w:r>
</w:p>
<w:p>
<w:pPr><w:pStyle w:val="Normal"/></w:pPr>
<w:r><w:t xml:space="preserve">if it were a solid mass, and therefore also push aside the</w:t></w:r>
</w:p>
<w:p>
<w:pPr><w:pStyle w:val="Normal"/></w:pPr>
<w:r><w:t xml:space="preserve">surrounding fluid as it passes.  The motion of the well-known</w:t></w:r>
</w:p>
<w:p>
<w:pPr><w:pStyle w:val="Normal"/></w:pPr>
<w:r><w:t xml:space="preserve">steady spherical vortex is an example of the latter case.</w:t></w:r>
</w:p>
<w:p>
<w:pPr><w:pStyle w:val="Normal"/></w:pPr>
<w:r><w:t xml:space="preserve">Convection of Optical Waves.--The nature of the motion,</w:t></w:r>
</w:p>
<w:p>
<w:pPr><w:pStyle w:val="Normal"/></w:pPr>
<w:r><w:t xml:space="preserve">if any, that is produced in the surrounding regions of</w:t></w:r>
</w:p>
<w:p>
<w:pPr><w:pStyle w:val="Normal"/></w:pPr>
<w:r><w:t xml:space="preserve">the aether by the translation of matter through it can be</w:t></w:r>
</w:p>
<w:p>
<w:pPr><w:pStyle w:val="Normal"/></w:pPr>
<w:r><w:t xml:space="preserve">investigated by optical experiment.  The obvious body to take</w:t></w:r>
</w:p>
<w:p>
<w:pPr><w:pStyle w:val="Normal"/></w:pPr>
<w:r><w:t xml:space="preserve">in the first instance is the earth itself, which on account</w:t></w:r>
</w:p>
<w:p>
<w:pPr><w:pStyle w:val="Normal"/></w:pPr>
<w:r><w:t xml:space="preserve">of its annual orbital motion is travelling through space at</w:t></w:r>
</w:p>
<w:p>
<w:pPr><w:pStyle w:val="Normal"/></w:pPr>
<w:r><w:t xml:space="preserve">the rate of about 18 miles per second.  If the surrounding</w:t></w:r>
</w:p>
<w:p>
<w:pPr><w:pStyle w:val="Normal"/></w:pPr>
<w:r><w:t xml:space="preserve">aether is thereby disturbed, the waves of light arriving</w:t></w:r>
</w:p>
<w:p>
<w:pPr><w:pStyle w:val="Normal"/></w:pPr>
<w:r><w:t xml:space="preserve">from the stars will partake of its movement; the ascertained</w:t></w:r>
</w:p>
<w:p>
<w:pPr><w:pStyle w:val="Normal"/></w:pPr>
<w:r><w:t xml:space="preserve">phenomena of the astronomical aberration of light show that</w:t></w:r>
</w:p>
<w:p>
<w:pPr><w:pStyle w:val="Normal"/></w:pPr>
<w:r><w:t xml:space="preserve">the rays travel to the observer, across this disturbed aether</w:t></w:r>
</w:p>
<w:p>
<w:pPr><w:pStyle w:val="Normal"/></w:pPr>
<w:r><w:t xml:space="preserve">near the earth, in straight lines.  Again, we may split a</w:t></w:r>
</w:p>
<w:p>
<w:pPr><w:pStyle w:val="Normal"/></w:pPr>
<w:r><w:t xml:space="preserve">narrow beam of light by partial reflexion from a transparent</w:t></w:r>
</w:p>
<w:p>
<w:pPr><w:pStyle w:val="Normal"/></w:pPr>
<w:r><w:t xml:space="preserve">plate, and recombine the constituent beams after they have</w:t></w:r>
</w:p>
<w:p>
<w:pPr><w:pStyle w:val="Normal"/></w:pPr>
<w:r><w:t xml:space="preserve">traversed different circuits of nearly equivalent lengths,</w:t></w:r>
</w:p>
<w:p>
<w:pPr><w:pStyle w:val="Normal"/></w:pPr>
<w:r><w:t xml:space="preserve">so as to obtain interference fringes.  The position of these</w:t></w:r>
</w:p>
<w:p>
<w:pPr><w:pStyle w:val="Normal"/></w:pPr>
<w:r><w:t xml:space="preserve">fringes will depend on the total retardation in time of the</w:t></w:r>
</w:p>
<w:p>
<w:pPr><w:pStyle w:val="Normal"/></w:pPr>
<w:r><w:t xml:space="preserve">one beam with respect to the other; and thus it might be</w:t></w:r>
</w:p>
<w:p>
<w:pPr><w:pStyle w:val="Normal"/></w:pPr>
<w:r><w:t xml:space="preserve">expected to vary with the direction of the earth&apos;s motion</w:t></w:r>
</w:p>
<w:p>
<w:pPr><w:pStyle w:val="Normal"/></w:pPr>
<w:r><w:t xml:space="preserve">relative to the apparatus.  But it is found not to vary at</w:t></w:r>
</w:p>
<w:p>
<w:pPr><w:pStyle w:val="Normal"/></w:pPr>
<w:r><w:t xml:space="preserve">all, even up to the second order of the ratio of the earth&apos;s</w:t></w:r>
</w:p>
<w:p>
<w:pPr><w:pStyle w:val="Normal"/></w:pPr>
<w:r><w:t xml:space="preserve">velocity to that of light.  It has in fact been found, with</w:t></w:r>
</w:p>
<w:p>
<w:pPr><w:pStyle w:val="Normal"/></w:pPr>
<w:r><w:t xml:space="preserve">the very great precision of which optical experiment is</w:t></w:r>
</w:p>
<w:p>
<w:pPr><w:pStyle w:val="Normal"/></w:pPr>
<w:r><w:t xml:space="preserve">capable, that all terrestrial optical phenomena--reflexion,</w:t></w:r>
</w:p>
<w:p>
<w:pPr><w:pStyle w:val="Normal"/></w:pPr>
<w:r><w:t xml:space="preserve">refraction, polarization linear and circular, diffraction</w:t></w:r>
</w:p>
<w:p>
<w:pPr><w:pStyle w:val="Normal"/></w:pPr>
<w:r><w:t xml:space="preserve">--are entirely unaffected by the direction of the earth&apos;s</w:t></w:r>
</w:p>
<w:p>
<w:pPr><w:pStyle w:val="Normal"/></w:pPr>
<w:r><w:t xml:space="preserve">motion, while the same result has recently been extended to</w:t></w:r>
</w:p>
<w:p>
<w:pPr><w:pStyle w:val="Normal"/></w:pPr>
<w:r><w:t xml:space="preserve">electrostatic forces; and this is our main experimental clue.</w:t></w:r>
</w:p>
<w:p>
<w:pPr><w:pStyle w:val="Normal"/></w:pPr>
<w:r><w:t xml:space="preserve">We pass on now to the theory.  We shall make the natural</w:t></w:r>
</w:p>
<w:p>
<w:pPr><w:pStyle w:val="Normal"/></w:pPr>
<w:r><w:t xml:space="preserve">supposition that motion of the aether, say with velocity</w:t></w:r>
</w:p>
<w:p>
<w:pPr><w:pStyle w:val="Normal"/></w:pPr>
<w:r><w:t xml:space="preserve">(u,v,w) at the point (x,y,z), is simply superposed on the</w:t></w:r>
</w:p>
<w:p>
<w:pPr><w:pStyle w:val="Normal"/></w:pPr>
<w:r><w:t xml:space="preserve">velocity V of the optical undulations through that medium,</w:t></w:r>
</w:p>
<w:p>
<w:pPr><w:pStyle w:val="Normal"/></w:pPr>
<w:r><w:t xml:space="preserve">the latter not being intrinsically altered.  Now the direction</w:t></w:r>
</w:p>
<w:p>
<w:pPr><w:pStyle w:val="Normal"/></w:pPr>
<w:r><w:t xml:space="preserve">and phase of the light are those of the ray which reaches the</w:t></w:r>
</w:p>
<w:p>
<w:pPr><w:pStyle w:val="Normal"/></w:pPr>
<w:r><w:t xml:space="preserve">eye; and by Fermat&apos;s principle, established by Huygens for</w:t></w:r>
</w:p>
<w:p>
<w:pPr><w:pStyle w:val="Normal"/></w:pPr>
<w:r><w:t xml:space="preserve">undulatory motion, the path of a ray is that track along which</w:t></w:r>
</w:p>
<w:p>
<w:pPr><w:pStyle w:val="Normal"/></w:pPr>
<w:r><w:t xml:space="preserve">the disturbance travels in least time, in the restricted sense</w:t></w:r>
</w:p>
<w:p>
<w:pPr><w:pStyle w:val="Normal"/></w:pPr>
<w:r><w:t xml:space="preserve">that any alteration of any short reach of the path will</w:t></w:r>
</w:p>
<w:p>
<w:pPr><w:pStyle w:val="Normal"/></w:pPr>
<w:r><w:t xml:space="preserve">increase the time.  Thus the path of the ray when the aether is</w:t></w:r>
</w:p>
<w:p>
<w:pPr><w:pStyle w:val="Normal"/></w:pPr>
<w:r><w:t xml:space="preserve">at rest is the curve which makes Integralds/V least; but when it is</w:t></w:r>
</w:p>
<w:p>
<w:pPr><w:pStyle w:val="Normal"/></w:pPr>
<w:r><w:t xml:space="preserve">in motion it is the curve which makes Integralds/(V+lu+my+nw) least,</w:t></w:r>
</w:p>
<w:p>
<w:pPr><w:pStyle w:val="Normal"/></w:pPr>
<w:r><w:t xml:space="preserve">where (l,m,n) is the direction vector of ds.</w:t></w:r>
</w:p>
<w:p>
<w:pPr><w:pStyle w:val="Normal"/></w:pPr>
<w:r><w:t xml:space="preserve">The latter integral becomes, on expanding in a series,</w:t></w:r>
</w:p>
<w:p>
<w:pPr><w:pStyle w:val="Normal"/></w:pPr>
<w:r><w:t xml:space="preserve">Integralds/V - Integral(udx + vdy + wdz)/V2 + Integral(udx + vdy + wdz)2/V3 + ...,</w:t></w:r>
</w:p>
<w:p>
<w:pPr><w:pStyle w:val="Normal"/></w:pPr>
<w:r><w:t xml:space="preserve">since lds=dx. If the path is to be unaltered by the motion</w:t></w:r>
</w:p>
<w:p>
<w:pPr><w:pStyle w:val="Normal"/></w:pPr>
<w:r><w:t xml:space="preserve">of the aether, as the law of astronomical aberration suggests,</w:t></w:r>
</w:p>
<w:p>
<w:pPr><w:pStyle w:val="Normal"/></w:pPr>
<w:r><w:t xml:space="preserve">this must differ from Integralds/V by terms not depending on the</w:t></w:r>
</w:p>
<w:p>
<w:pPr><w:pStyle w:val="Normal"/></w:pPr>
<w:r><w:t xml:space="preserve">path--that is, by terms involving only the beginning and end of</w:t></w:r>
</w:p>
<w:p>
<w:pPr><w:pStyle w:val="Normal"/></w:pPr>
<w:r><w:t xml:space="preserve">it.  In the case of the free aether V is constant; thus, if</w:t></w:r>
</w:p>
<w:p>
<w:pPr><w:pStyle w:val="Normal"/></w:pPr>
<w:r><w:t xml:space="preserve">we neglect squares like (u/V)2, the condition is that udx</w:t></w:r>
</w:p>
<w:p>
<w:pPr><w:pStyle w:val="Normal"/></w:pPr>
<w:r><w:t xml:space="preserve">+ vdy + wdz be the exact differential of some function f.</w:t></w:r>
</w:p>
<w:p>
<w:pPr><w:pStyle w:val="Normal"/></w:pPr>
<w:r><w:t xml:space="preserve">If this relation is true along all paths, the velocity of the</w:t></w:r>
</w:p>
<w:p>
<w:pPr><w:pStyle w:val="Normal"/></w:pPr>
<w:r><w:t xml:space="preserve">aether must be of irrotational type, like that of frictionless</w:t></w:r>
</w:p>
<w:p>
<w:pPr><w:pStyle w:val="Normal"/></w:pPr>
<w:r><w:t xml:space="preserve">fluid.  Moreover, this is precisely the condition for the</w:t></w:r>
</w:p>
<w:p>
<w:pPr><w:pStyle w:val="Normal"/></w:pPr>
<w:r><w:t xml:space="preserve">absence of interference between the component of a split</w:t></w:r>
</w:p>
<w:p>
<w:pPr><w:pStyle w:val="Normal"/></w:pPr>
<w:r><w:t xml:space="preserve">beam; because, the time of passage being to the first order</w:t></w:r>
</w:p>
<w:p>
<w:pPr><w:pStyle w:val="Normal"/></w:pPr>
<w:r><w:t xml:space="preserve">Integralds/V - Integral(udx + vdy + wdz)/V2</w:t></w:r>
</w:p>
<w:p>
<w:pPr><w:pStyle w:val="Normal"/></w:pPr>
<w:r><w:t xml:space="preserve">the second term will then be independent of the path (f</w:t></w:r>
</w:p>
<w:p>
<w:pPr><w:pStyle w:val="Normal"/></w:pPr>
<w:r><w:t xml:space="preserve">being a single valued function) and therefore the same for the</w:t></w:r>
</w:p>
<w:p>
<w:pPr><w:pStyle w:val="Normal"/></w:pPr>
<w:r><w:t xml:space="preserve">paths of both the interfering beams.  If therefore the aether</w:t></w:r>
</w:p>
<w:p>
<w:pPr><w:pStyle w:val="Normal"/></w:pPr>
<w:r><w:t xml:space="preserve">can be pnt into motion, we conclude (with Stokes) that such</w:t></w:r>
</w:p>
<w:p>
<w:pPr><w:pStyle w:val="Normal"/></w:pPr>
<w:r><w:t xml:space="preserve">motion, in free space, must be of strictly irrotational type.</w:t></w:r>
</w:p>
<w:p>
<w:pPr><w:pStyle w:val="Normal"/></w:pPr>
<w:r><w:t xml:space="preserve">But our experimental data are not confined to free space. if</w:t></w:r>
</w:p>
<w:p>
<w:pPr><w:pStyle w:val="Normal"/></w:pPr>
<w:r><w:t xml:space="preserve">c is the velocity of radiation in free space and m the</w:t></w:r>
</w:p>
<w:p>
<w:pPr><w:pStyle w:val="Normal"/></w:pPr>
<w:r><w:t xml:space="preserve">refractis&apos;e index of a transparent body, V=C/m; thus it</w:t></w:r>
</w:p>
<w:p>
<w:pPr><w:pStyle w:val="Normal"/></w:pPr>
<w:r><w:t xml:space="preserve">is the expression c-2Integralm2(u&apos;dx + v&apos;dy + w&apos;dz) that</w:t></w:r>
</w:p>
<w:p>
<w:pPr><w:pStyle w:val="Normal"/></w:pPr>
<w:r><w:t xml:space="preserve">is to be integrable explicitly, where now (u&apos;,v&apos;,w&apos;) is</w:t></w:r>
</w:p>
<w:p>
<w:pPr><w:pStyle w:val="Normal"/></w:pPr>
<w:r><w:t xml:space="preserve">what is added to V owing to the velocity (u,v,w) of the</w:t></w:r>
</w:p>
<w:p>
<w:pPr><w:pStyle w:val="Normal"/></w:pPr>
<w:r><w:t xml:space="preserve">medium.  As, however, our terrestrial optical apparatus is</w:t></w:r>
</w:p>
<w:p>
<w:pPr><w:pStyle w:val="Normal"/></w:pPr>
<w:r><w:t xml:space="preserve">now all in motion along with the matter, we must deal with</w:t></w:r>
</w:p>
<w:p>
<w:pPr><w:pStyle w:val="Normal"/></w:pPr>
<w:r><w:t xml:space="preserve">the rays relative to the moving system, and to these also</w:t></w:r>
</w:p>
<w:p>
<w:pPr><w:pStyle w:val="Normal"/></w:pPr>
<w:r><w:t xml:space="preserve">Fermat&apos;s principle clearly applies; thus V + (lu&apos; + mv&apos; +</w:t></w:r>
</w:p>
<w:p>
<w:pPr><w:pStyle w:val="Normal"/></w:pPr>
<w:r><w:t xml:space="preserve">nw&apos;) is here the velocity of radiation in the direction of</w:t></w:r>
</w:p>
<w:p>
<w:pPr><w:pStyle w:val="Normal"/></w:pPr>
<w:r><w:t xml:space="preserve">the ray, but relative to the moving material system.  Now the</w:t></w:r>
</w:p>
<w:p>
<w:pPr><w:pStyle w:val="Normal"/></w:pPr>
<w:r><w:t xml:space="preserve">expression above given cannot be integrable exactly, under</w:t></w:r>
</w:p>
<w:p>
<w:pPr><w:pStyle w:val="Normal"/></w:pPr>
<w:r><w:t xml:space="preserve">all circumstances and whatever be the axes of co-ordinates,</w:t></w:r>
</w:p>
<w:p>
<w:pPr><w:pStyle w:val="Normal"/></w:pPr>
<w:r><w:t xml:space="preserve">unless (m2u&apos;,m2v&apos;,m2w&apos;) is the gradient of a continuous</w:t></w:r>
</w:p>
<w:p>
<w:pPr><w:pStyle w:val="Normal"/></w:pPr>
<w:r><w:t xml:space="preserve">function.  In the simplest case, that of uniform translation,</w:t></w:r>
</w:p>
<w:p>
<w:pPr><w:pStyle w:val="Normal"/></w:pPr>
<w:r><w:t xml:space="preserve">these components of the gradient will each be constant</w:t></w:r>
</w:p>
<w:p>
<w:pPr><w:pStyle w:val="Normal"/></w:pPr>
<w:r><w:t xml:space="preserve">throughout the region; at a distant place in free aether where</w:t></w:r>
</w:p>
<w:p>
<w:pPr><w:pStyle w:val="Normal"/></w:pPr>
<w:r><w:t xml:space="preserve">there is no motion, they must thus be equal to -u,-v,</w:t></w:r>
</w:p>
<w:p>
<w:pPr><w:pStyle w:val="Normal"/></w:pPr>
<w:r><w:t xml:space="preserve">-w, as they refer to axes moving with the matter.  Hence</w:t></w:r>
</w:p>
<w:p>
<w:pPr><w:pStyle w:val="Normal"/></w:pPr>
<w:r><w:t xml:space="preserve">the paths and times of passage of all rays relative to the</w:t></w:r>
</w:p>
<w:p>
<w:pPr><w:pStyle w:val="Normal"/></w:pPr>
<w:r><w:t xml:space="preserve">material system will not be altered by a uniform motion of the</w:t></w:r>
</w:p>
<w:p>
<w:pPr><w:pStyle w:val="Normal"/></w:pPr>
<w:r><w:t xml:space="preserve">system, provided the velocity of radiation relative to the</w:t></w:r>
</w:p>
<w:p>
<w:pPr><w:pStyle w:val="Normal"/></w:pPr>
<w:r><w:t xml:space="preserve">system, in material of index m, is diminished by m-2</w:t></w:r>
</w:p>
<w:p>
<w:pPr><w:pStyle w:val="Normal"/></w:pPr>
<w:r><w:t xml:space="preserve">times the velocity of the system in the direction of the</w:t></w:r>
</w:p>
<w:p>
<w:pPr><w:pStyle w:val="Normal"/></w:pPr>
<w:r><w:t xml:space="preserve">radiation, that is, provided the absolute velocity of radiation</w:t></w:r>
</w:p>
<w:p>
<w:pPr><w:pStyle w:val="Normal"/></w:pPr>
<w:r><w:t xml:space="preserve">is increased by 1 - m-2 times the velocity of the material</w:t></w:r>
</w:p>
<w:p>
<w:pPr><w:pStyle w:val="Normal"/></w:pPr>
<w:r><w:t xml:space="preserve">system; this involves that the free aether for which m is</w:t></w:r>
</w:p>
<w:p>
<w:pPr><w:pStyle w:val="Normal"/></w:pPr>
<w:r><w:t xml:space="preserve">unity shall remain at rest.  This statement constitutes the</w:t></w:r>
</w:p>
<w:p>
<w:pPr><w:pStyle w:val="Normal"/></w:pPr>
<w:r><w:t xml:space="preserve">famous hypothesis of Fresnel, which thus ensures that all</w:t></w:r>
</w:p>
<w:p>
<w:pPr><w:pStyle w:val="Normal"/></w:pPr>
<w:r><w:t xml:space="preserve">phenomena of ray-path and refraction, and all those depending</w:t></w:r>
</w:p>
<w:p>
<w:pPr><w:pStyle w:val="Normal"/></w:pPr>
<w:r><w:t xml:space="preserve">on phase, shall be unaffected by uniform convection of the</w:t></w:r>
</w:p>
<w:p>
<w:pPr><w:pStyle w:val="Normal"/></w:pPr>
<w:r><w:t xml:space="preserve">material medium, in accordance with the results of experiment.</w:t></w:r>
</w:p>
<w:p>
<w:pPr><w:pStyle w:val="Normal"/></w:pPr>
<w:r><w:t xml:space="preserve">Is the Aether Stationary or mobile?---This theory secures</w:t></w:r>
</w:p>
<w:p>
<w:pPr><w:pStyle w:val="Normal"/></w:pPr>
<w:r><w:t xml:space="preserve">that the times of passage of the rays shall be independent of</w:t></w:r>
</w:p>
<w:p>
<w:pPr><w:pStyle w:val="Normal"/></w:pPr>
<w:r><w:t xml:space="preserve">the motion of the system, only up to the first order of the</w:t></w:r>
</w:p>
<w:p>
<w:pPr><w:pStyle w:val="Normal"/></w:pPr>
<w:r><w:t xml:space="preserve">ratio of its velocity to that of radiation.  But a classical</w:t></w:r>
</w:p>
<w:p>
<w:pPr><w:pStyle w:val="Normal"/></w:pPr>
<w:r><w:t xml:space="preserve">experiment of A. A. Michelson, in which the ray-path was</w:t></w:r>
</w:p>
<w:p>
<w:pPr><w:pStyle w:val="Normal"/></w:pPr>
<w:r><w:t xml:space="preserve">wholly in air, showed that the independence extends to higher</w:t></w:r>
</w:p>
<w:p>
<w:pPr><w:pStyle w:val="Normal"/></w:pPr>
<w:r><w:t xml:space="preserve">orders.  This result is inconsistent with the aether remaining at</w:t></w:r>
</w:p>
<w:p>
<w:pPr><w:pStyle w:val="Normal"/></w:pPr>
<w:r><w:t xml:space="preserve">rest, unless we assume that the dimensions of the moving system</w:t></w:r>
</w:p>
<w:p>
<w:pPr><w:pStyle w:val="Normal"/></w:pPr>
<w:r><w:t xml:space="preserve">depend, though to an extent so small as to be not otherwise</w:t></w:r>
</w:p>
<w:p>
<w:pPr><w:pStyle w:val="Normal"/></w:pPr>
<w:r><w:t xml:space="preserve">detectable, on its orientation with regard to the aether that</w:t></w:r>
</w:p>
<w:p>
<w:pPr><w:pStyle w:val="Normal"/></w:pPr>
<w:r><w:t xml:space="preserve">is streaming through it.  It is, however, in complete accordance</w:t></w:r>
</w:p>
<w:p>
<w:pPr><w:pStyle w:val="Normal"/></w:pPr>
<w:r><w:t xml:space="preserve">with a view that would make the aether near the earth fully</w:t></w:r>
</w:p>
<w:p>
<w:pPr><w:pStyle w:val="Normal"/></w:pPr>
<w:r><w:t xml:space="preserve">partake in its orbital motion---a view which the null effect of</w:t></w:r>
</w:p>
<w:p>
<w:pPr><w:pStyle w:val="Normal"/></w:pPr>
<w:r><w:t xml:space="preserve">convection on all terrestrial optical and electrical phenomena</w:t></w:r>
</w:p>
<w:p>
<w:pPr><w:pStyle w:val="Normal"/></w:pPr>
<w:r><w:t xml:space="preserve">also strongly suggests.  But the aether at a great distance</w:t></w:r>
</w:p>
<w:p>
<w:pPr><w:pStyle w:val="Normal"/></w:pPr>
<w:r><w:t xml:space="preserve">must in any case be at rest; while the facts of astronomical</w:t></w:r>
</w:p>
<w:p>
<w:pPr><w:pStyle w:val="Normal"/></w:pPr>
<w:r><w:t xml:space="preserve">aberration require that the motion of that medium must be</w:t></w:r>
</w:p>
<w:p>
<w:pPr><w:pStyle w:val="Normal"/></w:pPr>
<w:r><w:t xml:space="preserve">irrotational.  These conditions cannot be consistent with</w:t></w:r>
</w:p>
<w:p>
<w:pPr><w:pStyle w:val="Normal"/></w:pPr>
<w:r><w:t xml:space="preserve">sensible convection of the aether near the earth without</w:t></w:r>
</w:p>
<w:p>
<w:pPr><w:pStyle w:val="Normal"/></w:pPr>
<w:r><w:t xml:space="preserve">involving discontinuity in its motion at some intermediate</w:t></w:r>
</w:p>
<w:p>
<w:pPr><w:pStyle w:val="Normal"/></w:pPr>
<w:r><w:t xml:space="preserve">distance, so that we are thrown back on the previous theory.</w:t></w:r>
</w:p>
<w:p>
<w:pPr><w:pStyle w:val="Normal"/></w:pPr>
<w:r><w:t xml:space="preserve">Another powerful reason for taking the aether to be</w:t></w:r>
</w:p>
<w:p>
<w:pPr><w:pStyle w:val="Normal"/></w:pPr>
<w:r><w:t xml:space="preserve">stationary is afforded by the character of the equations of</w:t></w:r>
</w:p>
<w:p>
<w:pPr><w:pStyle w:val="Normal"/></w:pPr>
<w:r><w:t xml:space="preserve">electrodynamics; they are all of linear type, and superposition</w:t></w:r>
</w:p>
<w:p>
<w:pPr><w:pStyle w:val="Normal"/></w:pPr>
<w:r><w:t xml:space="preserve">of effects is possible.  Now the kinetics of a medium in</w:t></w:r>
</w:p>
<w:p>
<w:pPr><w:pStyle w:val="Normal"/></w:pPr>
<w:r><w:t xml:space="preserve">which the parts can have finite relative motions will lead</w:t></w:r>
</w:p>
<w:p>
<w:pPr><w:pStyle w:val="Normal"/></w:pPr>
<w:r><w:t xml:space="preserve">to equations which are not linear---as, for example, those of</w:t></w:r>
</w:p>
<w:p>
<w:pPr><w:pStyle w:val="Normal"/></w:pPr>
<w:r><w:t xml:space="preserve">hydrodynamics---and the phenomena will be far more complexly</w:t></w:r>
</w:p>
<w:p>
<w:pPr><w:pStyle w:val="Normal"/></w:pPr>
<w:r><w:t xml:space="preserve">involved.  It is true that the theory of vortex rings in</w:t></w:r>
</w:p>
<w:p>
<w:pPr><w:pStyle w:val="Normal"/></w:pPr>
<w:r><w:t xml:space="preserve">hydrodynamics is of a simpler type; but electric currents</w:t></w:r>
</w:p>
<w:p>
<w:pPr><w:pStyle w:val="Normal"/></w:pPr>
<w:r><w:t xml:space="preserve">cannot be likened to permanent vortex rings, because their</w:t></w:r>
</w:p>
<w:p>
<w:pPr><w:pStyle w:val="Normal"/></w:pPr>
<w:r><w:t xml:space="preserve">circuits can be broken and the element of cyclic steadiness</w:t></w:r>
</w:p>
<w:p>
<w:pPr><w:pStyle w:val="Normal"/></w:pPr>
<w:r><w:t xml:space="preserve">on which the simplicity depends is thereby destroyed.</w:t></w:r>
</w:p>
<w:p>
<w:pPr><w:pStyle w:val="Normal"/></w:pPr>
<w:r><w:t xml:space="preserve">Dynamical Theories of the Aether.---The analytical equations</w:t></w:r>
</w:p>
<w:p>
<w:pPr><w:pStyle w:val="Normal"/></w:pPr>
<w:r><w:t xml:space="preserve">which represent the propagation of light in free aether,</w:t></w:r>
</w:p>
<w:p>
<w:pPr><w:pStyle w:val="Normal"/></w:pPr>
<w:r><w:t xml:space="preserve">and also in aether modified by the presence of matter, were</w:t></w:r>
</w:p>
<w:p>
<w:pPr><w:pStyle w:val="Normal"/></w:pPr>
<w:r><w:t xml:space="preserve">originally developed on the analogy of the equations of</w:t></w:r>
</w:p>
<w:p>
<w:pPr><w:pStyle w:val="Normal"/></w:pPr>
<w:r><w:t xml:space="preserve">propagation of elastic effects in solid media.  Various types</w:t></w:r>
</w:p>
<w:p>
<w:pPr><w:pStyle w:val="Normal"/></w:pPr>
<w:r><w:t xml:space="preserve">of elastic solid medium have thus been invented to represent</w:t></w:r>
</w:p>
<w:p>
<w:pPr><w:pStyle w:val="Normal"/></w:pPr>
<w:r><w:t xml:space="preserve">the aether, without complete success in any case.  In T.</w:t></w:r>
</w:p>
<w:p>
<w:pPr><w:pStyle w:val="Normal"/></w:pPr>
<w:r><w:t xml:space="preserve">Maccullagh&apos;s hands the correct equations were derived from a</w:t></w:r>
</w:p>
<w:p>
<w:pPr><w:pStyle w:val="Normal"/></w:pPr>
<w:r><w:t xml:space="preserve">single energy formula by the principle of least action; and</w:t></w:r>
</w:p>
<w:p>
<w:pPr><w:pStyle w:val="Normal"/></w:pPr>
<w:r><w:t xml:space="preserve">while the validity of this dynamical method was maintained,</w:t></w:r>
</w:p>
<w:p>
<w:pPr><w:pStyle w:val="Normal"/></w:pPr>
<w:r><w:t xml:space="preserve">it was frankly admitted that no mechanical analogy was</w:t></w:r>
</w:p>
<w:p>
<w:pPr><w:pStyle w:val="Normal"/></w:pPr>
<w:r><w:t xml:space="preserve">forthcoming.  When Clerk Maxwell pointed out the way to the</w:t></w:r>
</w:p>
<w:p>
<w:pPr><w:pStyle w:val="Normal"/></w:pPr>
<w:r><w:t xml:space="preserve">common origin of optical and electrical phenomena, these</w:t></w:r>
</w:p>
<w:p>
<w:pPr><w:pStyle w:val="Normal"/></w:pPr>
<w:r><w:t xml:space="preserve">equations naturally came to repose on an electric basis, the</w:t></w:r>
</w:p>
<w:p>
<w:pPr><w:pStyle w:val="Normal"/></w:pPr>
<w:r><w:t xml:space="preserve">connexion having been first definitely exhibited by Fitzgerald</w:t></w:r>
</w:p>
<w:p>
<w:pPr><w:pStyle w:val="Normal"/></w:pPr>
<w:r><w:t xml:space="preserve">in 1878; and according as the independent variable was one or</w:t></w:r>
</w:p>
<w:p>
<w:pPr><w:pStyle w:val="Normal"/></w:pPr>
<w:r><w:t xml:space="preserve">other of the vectors which represent electric force, magnetic</w:t></w:r>
</w:p>
<w:p>
<w:pPr><w:pStyle w:val="Normal"/></w:pPr>
<w:r><w:t xml:space="preserve">force or electric polarity, they took the form appropriate</w:t></w:r>
</w:p>
<w:p>
<w:pPr><w:pStyle w:val="Normal"/></w:pPr>
<w:r><w:t xml:space="preserve">to one or other of the elastic theories above mentioned.</w:t></w:r>
</w:p>
<w:p>
<w:pPr><w:pStyle w:val="Normal"/></w:pPr>
<w:r><w:t xml:space="preserve">In this place it must suffice to indicate the gist of the</w:t></w:r>
</w:p>
<w:p>
<w:pPr><w:pStyle w:val="Normal"/></w:pPr>
<w:r><w:t xml:space="preserve">more recent developments of the electro-optical theory, which</w:t></w:r>
</w:p>
<w:p>
<w:pPr><w:pStyle w:val="Normal"/></w:pPr>
<w:r><w:t xml:space="preserve">involve the dynamical verification of Fresnel&apos;s hypothesis</w:t></w:r>
</w:p>
<w:p>
<w:pPr><w:pStyle w:val="Normal"/></w:pPr>
<w:r><w:t xml:space="preserve">regarding optical convection and the other relations above</w:t></w:r>
</w:p>
<w:p>
<w:pPr><w:pStyle w:val="Normal"/></w:pPr>
<w:r><w:t xml:space="preserve">described.  The aether is taken to be at rest; and the</w:t></w:r>
</w:p>
<w:p>
<w:pPr><w:pStyle w:val="Normal"/></w:pPr>
<w:r><w:t xml:space="preserve">strain-forms belonging to the atoms are the electric fields</w:t></w:r>
</w:p>
<w:p>
<w:pPr><w:pStyle w:val="Normal"/></w:pPr>
<w:r><w:t xml:space="preserve">of the intrinsic charges, or electrones, involved in their</w:t></w:r>
</w:p>
<w:p>
<w:pPr><w:pStyle w:val="Normal"/></w:pPr>
<w:r><w:t xml:space="preserve">constitution.  When the atoms are in motion these strain-forms</w:t></w:r>
</w:p>
<w:p>
<w:pPr><w:pStyle w:val="Normal"/></w:pPr>
<w:r><w:t xml:space="preserve">produce straining and unstraining in the aether as they pass</w:t></w:r>
</w:p>
<w:p>
<w:pPr><w:pStyle w:val="Normal"/></w:pPr>
<w:r><w:t xml:space="preserve">across it, which in its motional or kinetic aspect constitutes</w:t></w:r>
</w:p>
<w:p>
<w:pPr><w:pStyle w:val="Normal"/></w:pPr>
<w:r><w:t xml:space="preserve">the resulting magnetic field; as the strains are slight</w:t></w:r>
</w:p>
<w:p>
<w:pPr><w:pStyle w:val="Normal"/></w:pPr>
<w:r><w:t xml:space="preserve">the coefficient of ultimate inertia here involved must be</w:t></w:r>
</w:p>
<w:p>
<w:pPr><w:pStyle w:val="Normal"/></w:pPr>
<w:r><w:t xml:space="preserve">great.  True electric current arises solely from convection</w:t></w:r>
</w:p>
<w:p>
<w:pPr><w:pStyle w:val="Normal"/></w:pPr>
<w:r><w:t xml:space="preserve">of the atomic charges or electrons; this current is therefore</w:t></w:r>
</w:p>
<w:p>
<w:pPr><w:pStyle w:val="Normal"/></w:pPr>
<w:r><w:t xml:space="preserve">not restricted as to form in any way.  But when the rate of</w:t></w:r>
</w:p>
<w:p>
<w:pPr><w:pStyle w:val="Normal"/></w:pPr>
<w:r><w:t xml:space="preserve">change of aethereal strain----that is, of (f,g,h) specified</w:t></w:r>
</w:p>
<w:p>
<w:pPr><w:pStyle w:val="Normal"/></w:pPr>
<w:r><w:t xml:space="preserve">as Maxwell&apos;s electric displacement in free aether---is</w:t></w:r>
</w:p>
<w:p>
<w:pPr><w:pStyle w:val="Normal"/></w:pPr>
<w:r><w:t xml:space="preserve">added to it, an analytically convenient vector (u,v,w)</w:t></w:r>
</w:p>
<w:p>
<w:pPr><w:pStyle w:val="Normal"/></w:pPr>
<w:r><w:t xml:space="preserve">is obtained which possesses the characteristic property of</w:t></w:r>
</w:p>
<w:p>
<w:pPr><w:pStyle w:val="Normal"/></w:pPr>
<w:r><w:t xml:space="preserve">being circuital like the flow of an incompressible fluid,</w:t></w:r>
</w:p>
<w:p>
<w:pPr><w:pStyle w:val="Normal"/></w:pPr>
<w:r><w:t xml:space="preserve">and has therefore been made fundamental in the theory</w:t></w:r>
</w:p>
<w:p>
<w:pPr><w:pStyle w:val="Normal"/></w:pPr>
<w:r><w:t xml:space="preserve">by Maxwell under the name of the total electric current.</w:t></w:r>
</w:p>
<w:p>
<w:pPr><w:pStyle w:val="Normal"/></w:pPr>
<w:r><w:t xml:space="preserve">As already mentioned, all efforts to assimilate optical</w:t></w:r>
</w:p>
<w:p>
<w:pPr><w:pStyle w:val="Normal"/></w:pPr>
<w:r><w:t xml:space="preserve">propagation to transmission of waves in an ordinary solid</w:t></w:r>
</w:p>
<w:p>
<w:pPr><w:pStyle w:val="Normal"/></w:pPr>
<w:r><w:t xml:space="preserve">medium have failed; and though the idea of regions of</w:t></w:r>
</w:p>
<w:p>
<w:pPr><w:pStyle w:val="Normal"/></w:pPr>
<w:r><w:t xml:space="preserve">intrinsic strain, as for example in unannealed glass,</w:t></w:r>
</w:p>
<w:p>
<w:pPr><w:pStyle w:val="Normal"/></w:pPr>
<w:r><w:t xml:space="preserve">is familiar in physics, yet on account of the absence of</w:t></w:r>
</w:p>
<w:p>
<w:pPr><w:pStyle w:val="Normal"/></w:pPr>
<w:r><w:t xml:space="preserve">mobility of the strain no attempt had been made to employ</w:t></w:r>
</w:p>
<w:p>
<w:pPr><w:pStyle w:val="Normal"/></w:pPr>
<w:r><w:t xml:space="preserve">them to illustrate the electric fields of atomic charges.</w:t></w:r>
</w:p>
<w:p>
<w:pPr><w:pStyle w:val="Normal"/></w:pPr>
<w:r><w:t xml:space="preserve">The idea of Maccullagh&apos;s aether, and its property of purely</w:t></w:r>
</w:p>
<w:p>
<w:pPr><w:pStyle w:val="Normal"/></w:pPr>
<w:r><w:t xml:space="preserve">rotational elasticity which had been expounded objectively</w:t></w:r>
</w:p>
<w:p>
<w:pPr><w:pStyle w:val="Normal"/></w:pPr>
<w:r><w:t xml:space="preserve">by W. J. M. Rankine, was therefore much vivified by Lord</w:t></w:r>
</w:p>
<w:p>
<w:pPr><w:pStyle w:val="Normal"/></w:pPr>
<w:r><w:t xml:space="preserve">Kelvin&apos;s specification (Comptes Rendus, 1889) of a material</w:t></w:r>
</w:p>
<w:p>
<w:pPr><w:pStyle w:val="Normal"/></w:pPr>
<w:r><w:t xml:space="preserve">gyrostatically constituted medium which would possess this</w:t></w:r>
</w:p>
<w:p>
<w:pPr><w:pStyle w:val="Normal"/></w:pPr>
<w:r><w:t xml:space="preserve">character.  More recently a way has been pointed out in which</w:t></w:r>
</w:p>
<w:p>
<w:pPr><w:pStyle w:val="Normal"/></w:pPr>
<w:r><w:t xml:space="preserve">a mobile permanent field of electric force could exist in such</w:t></w:r>
</w:p>
<w:p>
<w:pPr><w:pStyle w:val="Normal"/></w:pPr>
<w:r><w:t xml:space="preserve">a medium so as to travel freely in company with its nucleus or</w:t></w:r>
</w:p>
<w:p>
<w:pPr><w:pStyle w:val="Normal"/></w:pPr>
<w:r><w:t xml:space="preserve">intrinsic charge---the nature of the mobility of the latter,</w:t></w:r>
</w:p>
<w:p>
<w:pPr><w:pStyle w:val="Normal"/></w:pPr>
<w:r><w:t xml:space="preserve">as well as its intimate constitution, remaining unknown.</w:t></w:r>
</w:p>
<w:p>
<w:pPr><w:pStyle w:val="Normal"/></w:pPr>
<w:r><w:t xml:space="preserve">A dielectric substance is electrically polarized by a field</w:t></w:r>
</w:p>
<w:p>
<w:pPr><w:pStyle w:val="Normal"/></w:pPr>
<w:r><w:t xml:space="preserve">of electric force, the atomic poles being made up of the</w:t></w:r>
</w:p>
<w:p>
<w:pPr><w:pStyle w:val="Normal"/></w:pPr>
<w:r><w:t xml:space="preserve">displaced positive and negative intrinsic charges in the</w:t></w:r>
</w:p>
<w:p>
<w:pPr><w:pStyle w:val="Normal"/></w:pPr>
<w:r><w:t xml:space="preserve">atom: the polarization per unit volume (f&apos;,g&apos;,h&apos;) may be</w:t></w:r>
</w:p>
<w:p>
<w:pPr><w:pStyle w:val="Normal"/></w:pPr>
<w:r><w:t xml:space="preserve">defined on the analogy of magnetism, and d/dt(f&apos;, g&apos;, h&apos;)</w:t></w:r>
</w:p>
<w:p>
<w:pPr><w:pStyle w:val="Normal"/></w:pPr>
<w:r><w:t xml:space="preserve">thus constitutes truo electric current of polarization,</w:t></w:r>
</w:p>
<w:p>
<w:pPr><w:pStyle w:val="Normal"/></w:pPr>
<w:r><w:t xml:space="preserve">i.e. of electric separation in the molecules, specified</w:t></w:r>
</w:p>
<w:p>
<w:pPr><w:pStyle w:val="Normal"/></w:pPr>
<w:r><w:t xml:space="preserve">per unit volume.  The convection of a medium thus polarized</w:t></w:r>
</w:p>
<w:p>
<w:pPr><w:pStyle w:val="Normal"/></w:pPr>
<w:r><w:t xml:space="preserve">involves electric disturbance, and therefore must contribute</w:t></w:r>
</w:p>
<w:p>
<w:pPr><w:pStyle w:val="Normal"/></w:pPr>
<w:r><w:t xml:space="preserve">to the true electric current; the determination of this</w:t></w:r>
</w:p>
<w:p>
<w:pPr><w:pStyle w:val="Normal"/></w:pPr>
<w:r><w:t xml:space="preserve">constituent of the current is the most delicate point in the</w:t></w:r>
</w:p>
<w:p>
<w:pPr><w:pStyle w:val="Normal"/></w:pPr>
<w:r><w:t xml:space="preserve">investigation.  The usual definition of the component current</w:t></w:r>
</w:p>
<w:p>
<w:pPr><w:pStyle w:val="Normal"/></w:pPr>
<w:r><w:t xml:space="preserve">in any direction, as the net amount of electrons which crosses,</w:t></w:r>
</w:p>
<w:p>
<w:pPr><w:pStyle w:val="Normal"/></w:pPr>
<w:r><w:t xml:space="preserve">towards the positive side, an element of surface fixed in</w:t></w:r>
</w:p>
<w:p>
<w:pPr><w:pStyle w:val="Normal"/></w:pPr>
<w:r><w:t xml:space="preserve">space at right angles to that direction, per unit area per</w:t></w:r>
</w:p>
<w:p>
<w:pPr><w:pStyle w:val="Normal"/></w:pPr>
<w:r><w:t xml:space="preserve">unit time, here gives no definite result.  The establishment</w:t></w:r>
</w:p>
<w:p>
<w:pPr><w:pStyle w:val="Normal"/></w:pPr>
<w:r><w:t xml:space="preserve">and convection of a single polar atom constitutes in fact a</w:t></w:r>
</w:p>
<w:p>
<w:pPr><w:pStyle w:val="Normal"/></w:pPr>
<w:r><w:t xml:space="preserve">quasi-magnetization, in addition to the polarization current</w:t></w:r>
</w:p>
<w:p>
<w:pPr><w:pStyle w:val="Normal"/></w:pPr>
<w:r><w:t xml:space="preserve">as above defined, the negative poles completing the current</w:t></w:r>
</w:p>
<w:p>
<w:pPr><w:pStyle w:val="Normal"/></w:pPr>
<w:r><w:t xml:space="preserve">circuits of the positive ones.  But in the transition from</w:t></w:r>
</w:p>
<w:p>
<w:pPr><w:pStyle w:val="Normal"/></w:pPr>
<w:r><w:t xml:space="preserve">molecular theory to the electrodynamics of extended media,</w:t></w:r>
</w:p>
<w:p>
<w:pPr><w:pStyle w:val="Normal"/></w:pPr>
<w:r><w:t xml:space="preserve">all magnetism has to be replaced by a distribution of current;</w:t></w:r>
</w:p>
<w:p>
<w:pPr><w:pStyle w:val="Normal"/></w:pPr>
<w:r><w:t xml:space="preserve">the latter being now specified by volume as well as by flow</w:t></w:r>
</w:p>
<w:p>
<w:pPr><w:pStyle w:val="Normal"/></w:pPr>
<w:r><w:t xml:space="preserve">so that (u,v,w) dt is the current in the element of volume</w:t></w:r>
</w:p>
<w:p>
<w:pPr><w:pStyle w:val="Normal"/></w:pPr>
<w:r><w:t xml:space="preserve">dt. In the present case the total dielectric contribution</w:t></w:r>
</w:p>
<w:p>
<w:pPr><w:pStyle w:val="Normal"/></w:pPr>
<w:r><w:t xml:space="preserve">to this current works out to be the change per unit time in</w:t></w:r>
</w:p>
<w:p>
<w:pPr><w:pStyle w:val="Normal"/></w:pPr>
<w:r><w:t xml:space="preserve">the electric separation in the molecules of the element of</w:t></w:r>
</w:p>
<w:p>
<w:pPr><w:pStyle w:val="Normal"/></w:pPr>
<w:r><w:t xml:space="preserve">volume, as it moves uniformly with the matter, all other</w:t></w:r>
</w:p>
<w:p>
<w:pPr><w:pStyle w:val="Normal"/></w:pPr>
<w:r><w:t xml:space="preserve">effects being compensated molecularly without affecting the</w:t></w:r>
</w:p>
<w:p>
<w:pPr><w:pStyle w:val="Normal"/></w:pPr>
<w:r><w:t xml:space="preserve">propagation.1 On subtracting from this total the current of</w:t></w:r>
</w:p>
<w:p>
<w:pPr><w:pStyle w:val="Normal"/></w:pPr>
<w:r><w:t xml:space="preserve">establishment of polarization d/dt/(f,g&apos;,h&apos;) as formulated</w:t></w:r>
</w:p>
<w:p>
<w:pPr><w:pStyle w:val="Normal"/></w:pPr>
<w:r><w:t xml:space="preserve">above, there remains vd/dx(f&apos;,g&apos;,h&apos;) as the current of</w:t></w:r>
</w:p>
<w:p>
<w:pPr><w:pStyle w:val="Normal"/></w:pPr>
<w:r><w:t xml:space="preserve">convection of polarization when the convection is taken</w:t></w:r>
</w:p>
<w:p>
<w:pPr><w:pStyle w:val="Normal"/></w:pPr>
<w:r><w:t xml:space="preserve">for simplicity to be in the direction of the axis of x</w:t></w:r>
</w:p>
<w:p>
<w:pPr><w:pStyle w:val="Normal"/></w:pPr>
<w:r><w:t xml:space="preserve">with velocity v.  The polarization itself is determined</w:t></w:r>
</w:p>
<w:p>
<w:pPr><w:pStyle w:val="Normal"/></w:pPr>
<w:r><w:t xml:space="preserve">from the electric force (P,Q,R) by the usual statical</w:t></w:r>
</w:p>
<w:p>
<w:pPr><w:pStyle w:val="Normal"/></w:pPr>
<w:r><w:t xml:space="preserve">formula of linear type which becomes tor an isotropic medium</w:t></w:r>
</w:p>
<w:p>
<w:pPr><w:pStyle w:val="Normal"/></w:pPr>
<w:r><w:t xml:space="preserve">(f&apos;,g&apos;,h&apos;) = ((K-1)/4pc2)(P,Q,R),</w:t></w:r>
</w:p>
<w:p>
<w:pPr><w:pStyle w:val="Normal"/></w:pPr>
<w:r><w:t xml:space="preserve">because any change of the dielectric constant K arising</w:t></w:r>
</w:p>
<w:p>
<w:pPr><w:pStyle w:val="Normal"/></w:pPr>
<w:r><w:t xml:space="preserve">from the convection of the material through the aether</w:t></w:r>
</w:p>
<w:p>
<w:pPr><w:pStyle w:val="Normal"/></w:pPr>
<w:r><w:t xml:space="preserve">must be independent of the sign of v and therefore be of</w:t></w:r>
</w:p>
<w:p>
<w:pPr><w:pStyle w:val="Normal"/></w:pPr>
<w:r><w:t xml:space="preserve">the second order.  Now the electric force (P,Q,R) is the</w:t></w:r>
</w:p>
<w:p>
<w:pPr><w:pStyle w:val="Normal"/></w:pPr>
<w:r><w:t xml:space="preserve">force acting on the electrons of the medium moving with</w:t></w:r>
</w:p>
<w:p>
<w:pPr><w:pStyle w:val="Normal"/></w:pPr>
<w:r><w:t xml:space="preserve">velocity v; consequently by Faraday&apos;s electrodynamic law</w:t></w:r>
</w:p>
<w:p>
<w:pPr><w:pStyle w:val="Normal"/></w:pPr>
<w:r><w:t xml:space="preserve">(P,Q,R) = (P&apos;,Q&apos; - vc, R&apos;- vb)</w:t></w:r>
</w:p>
<w:p>
<w:pPr><w:pStyle w:val="Normal"/></w:pPr>
<w:r><w:t xml:space="preserve">where (P&apos;, Q&apos;, R&apos;) is the force that would act on electrons</w:t></w:r>
</w:p>
<w:p>
<w:pPr><w:pStyle w:val="Normal"/></w:pPr>
<w:r><w:t xml:space="preserve">at rest, and (a,b,c) is the magnetic induction.  The</w:t></w:r>
</w:p>
<w:p>
<w:pPr><w:pStyle w:val="Normal"/></w:pPr>
<w:r><w:t xml:space="preserve">latter force is, by Maxwell&apos;s hypothesis or by the dynamical</w:t></w:r>
</w:p>
<w:p>
<w:pPr><w:pStyle w:val="Normal"/></w:pPr>
<w:r><w:t xml:space="preserve">theory of an aether pervaded by electrons, the same as</w:t></w:r>
</w:p>
<w:p>
<w:pPr><w:pStyle w:val="Normal"/></w:pPr>
<w:r><w:t xml:space="preserve">that which strains the aether, and may be called the</w:t></w:r>
</w:p>
<w:p>
<w:pPr><w:pStyle w:val="Normal"/></w:pPr>
<w:r><w:t xml:space="preserve">aethereal force; it thereby produces an aethereal electric</w:t></w:r>
</w:p>
<w:p>
<w:pPr><w:pStyle w:val="Normal"/></w:pPr>
<w:r><w:t xml:space="preserve">displacement, say (y,g,h), according to the relation</w:t></w:r>
</w:p>
<w:p>
<w:pPr><w:pStyle w:val="Normal"/></w:pPr>
<w:r><w:t xml:space="preserve">(f,g,h) = (4pc2) - (P&apos;, Q&apos;, R&apos;),</w:t></w:r>
</w:p>
<w:p>
<w:pPr><w:pStyle w:val="Normal"/></w:pPr>
<w:r><w:t xml:space="preserve">in which c is a constant belonging to the aether, which turns</w:t></w:r>
</w:p>
<w:p>
<w:pPr><w:pStyle w:val="Normal"/></w:pPr>
<w:r><w:t xml:space="preserve">out to be the velocity of light.  The current of aethereal</w:t></w:r>
</w:p>
<w:p>
<w:pPr><w:pStyle w:val="Normal"/></w:pPr>
<w:r><w:t xml:space="preserve">displacement d/dt(f,g,h) is what adds on to the true electric</w:t></w:r>
</w:p>
<w:p>
<w:pPr><w:pStyle w:val="Normal"/></w:pPr>
<w:r><w:t xml:space="preserve">current to produce the total circuital current of Maxwell.</w:t></w:r>
</w:p>
<w:p>
<w:pPr><w:pStyle w:val="Normal"/></w:pPr>
<w:r><w:t xml:space="preserve">We have now to substitute these data in the universally</w:t></w:r>
</w:p>
<w:p>
<w:pPr><w:pStyle w:val="Normal"/></w:pPr>
<w:r><w:t xml:space="preserve">valid circuital relations---namely, (i) line integral of</w:t></w:r>
</w:p>
<w:p>
<w:pPr><w:pStyle w:val="Normal"/></w:pPr>
<w:r><w:t xml:space="preserve">magnetic force round a circuit is equal to 4p times the</w:t></w:r>
</w:p>
<w:p>
<w:pPr><w:pStyle w:val="Normal"/></w:pPr>
<w:r><w:t xml:space="preserve">current through its aperture, which may be regarded as a</w:t></w:r>
</w:p>
<w:p>
<w:pPr><w:pStyle w:val="Normal"/></w:pPr>
<w:r><w:t xml:space="preserve">definition of the constitution of the aether and its relation</w:t></w:r>
</w:p>
<w:p>
<w:pPr><w:pStyle w:val="Normal"/></w:pPr>
<w:r><w:t xml:space="preserve">to the electrons involved in it; and (ii) line integral</w:t></w:r>
</w:p>
<w:p>
<w:pPr><w:pStyle w:val="Normal"/></w:pPr>
<w:r><w:t xml:space="preserve">of the electric force belonging to any material circuit</w:t></w:r>
</w:p>
<w:p>
<w:pPr><w:pStyle w:val="Normal"/></w:pPr>
<w:r><w:t xml:space="preserve">(i.e. acting on the electrons situated on it which move</w:t></w:r>
</w:p>
<w:p>
<w:pPr><w:pStyle w:val="Normal"/></w:pPr>
<w:r><w:t xml:space="preserve">with the velocity of the matter) is equal to minus the</w:t></w:r>
</w:p>
<w:p>
<w:pPr><w:pStyle w:val="Normal"/></w:pPr>
<w:r><w:t xml:space="preserve">time-rate of change of the magnetic induction through that</w:t></w:r>
</w:p>
<w:p>
<w:pPr><w:pStyle w:val="Normal"/></w:pPr>
<w:r><w:t xml:space="preserve">circuit as it moves with the matter, this being a dynamical</w:t></w:r>
</w:p>
<w:p>
<w:pPr><w:pStyle w:val="Normal"/></w:pPr>
<w:r><w:t xml:space="preserve">consequence of the aethereal constitution assigned in (i).</w:t></w:r>
</w:p>
<w:p>
<w:pPr><w:pStyle w:val="Normal"/></w:pPr>
<w:r><w:t xml:space="preserve">We may now, as is somewhat the more natural course in the</w:t></w:r>
</w:p>
<w:p>
<w:pPr><w:pStyle w:val="Normal"/></w:pPr>
<w:r><w:t xml:space="preserve">terrestrial application, take axes (x,y,z) which move with the</w:t></w:r>
</w:p>
<w:p>
<w:pPr><w:pStyle w:val="Normal"/></w:pPr>
<w:r><w:t xml:space="preserve">matter; but the current must be invariably defined by the flux</w:t></w:r>
</w:p>
<w:p>
<w:pPr><w:pStyle w:val="Normal"/></w:pPr>
<w:r><w:t xml:space="preserve">across surfaces fixed in space, so that we may say that relation</w:t></w:r>
</w:p>
<w:p>
<w:pPr><w:pStyle w:val="Normal"/></w:pPr>
<w:r><w:t xml:space="preserve">(i) refers to a circuit fixed in space, while (ii) refers to</w:t></w:r>
</w:p>
<w:p>
<w:pPr><w:pStyle w:val="Normal"/></w:pPr>
<w:r><w:t xml:space="preserve">one moving with the matter.  These circuital relations, when</w:t></w:r>
</w:p>
<w:p>
<w:pPr><w:pStyle w:val="Normal"/></w:pPr>
<w:r><w:t xml:space="preserve">expressed analytically, are then for a dielectric medium of types</w:t></w:r>
</w:p>
<w:p>
<w:pPr><w:pStyle w:val="Normal"/></w:pPr>
<w:r><w:t xml:space="preserve">dg/dy - db/dz = 4pu,...,..., where</w:t></w:r>
</w:p>
<w:p>
<w:pPr><w:pStyle w:val="Normal"/></w:pPr>
<w:r><w:t xml:space="preserve">(u,v,w) = (d/dt + v(d/dx))(f&apos;,g&apos;,h&apos;) + (d/dt)(f,g,h)</w:t></w:r>
</w:p>
<w:p>
<w:pPr><w:pStyle w:val="Normal"/></w:pPr>
<w:r><w:t xml:space="preserve">and</w:t></w:r>
</w:p>
<w:p>
<w:pPr><w:pStyle w:val="Normal"/></w:pPr>
<w:r><w:t xml:space="preserve">dR/dy - dQ/dz = -da/dt&apos;,...,...,.</w:t></w:r>
</w:p>
<w:p>
<w:pPr><w:pStyle w:val="Normal"/></w:pPr>
<w:r><w:t xml:space="preserve">where, when magnetic quality is inoperative, the magnetic</w:t></w:r>
</w:p>
<w:p>
<w:pPr><w:pStyle w:val="Normal"/></w:pPr>
<w:r><w:t xml:space="preserve">induction (a,b,c) is identical with the magnetic force (a,b,g.)</w:t></w:r>
</w:p>
<w:p>
<w:pPr><w:pStyle w:val="Normal"/></w:pPr>
<w:r><w:t xml:space="preserve">These equations determine all the phenomena.  They take this simple</w:t></w:r>
</w:p>
<w:p>
<w:pPr><w:pStyle w:val="Normal"/></w:pPr>
<w:r><w:t xml:space="preserve">form, however, only when the movement of the matter is one of</w:t></w:r>
</w:p>
<w:p>
<w:pPr><w:pStyle w:val="Normal"/></w:pPr>
<w:r><w:t xml:space="preserve">translation.  If v varies with respect to locality, or if there</w:t></w:r>
</w:p>
<w:p>
<w:pPr><w:pStyle w:val="Normal"/></w:pPr>
<w:r><w:t xml:space="preserve">is a velocity of convection (p,q,r) variable with respect to</w:t></w:r>
</w:p>
<w:p>
<w:pPr><w:pStyle w:val="Normal"/></w:pPr>
<w:r><w:t xml:space="preserve">direction and position, and analytical expression of the relation</w:t></w:r>
</w:p>
<w:p>
<w:pPr><w:pStyle w:val="Normal"/></w:pPr>
<w:r><w:t xml:space="preserve">(ii) assumes a more complex form; we thus derive the most general</w:t></w:r>
</w:p>
<w:p>
<w:pPr><w:pStyle w:val="Normal"/></w:pPr>
<w:r><w:t xml:space="preserve">equations of electrodynamic propagation for matter treated</w:t></w:r>
</w:p>
<w:p>
<w:pPr><w:pStyle w:val="Normal"/></w:pPr>
<w:r><w:t xml:space="preserve">as continuous, anyhow distributed and moving in any manner.</w:t></w:r>
</w:p>
<w:p>
<w:pPr><w:pStyle w:val="Normal"/></w:pPr>
<w:r><w:t xml:space="preserve">For the simplest case of polarized waves travelling parallel</w:t></w:r>
</w:p>
<w:p>
<w:pPr><w:pStyle w:val="Normal"/></w:pPr>
<w:r><w:t xml:space="preserve">to the axis of x, with the magnetic oscillation g along z</w:t></w:r>
</w:p>
<w:p>
<w:pPr><w:pStyle w:val="Normal"/></w:pPr>
<w:r><w:t xml:space="preserve">and the electric oscillation Q along y, all the quantities</w:t></w:r>
</w:p>
<w:p>
<w:pPr><w:pStyle w:val="Normal"/></w:pPr>
<w:r><w:t xml:space="preserve">are functions of x and t alone; the total current is</w:t></w:r>
</w:p>
<w:p>
<w:pPr><w:pStyle w:val="Normal"/></w:pPr>
<w:r><w:t xml:space="preserve">along y and given with respect to our moving axes by</w:t></w:r>
</w:p>
<w:p>
<w:pPr><w:pStyle w:val="Normal"/></w:pPr>
<w:r><w:t xml:space="preserve">v = (d/dt - v(d/dx))(Q+vg)/4pc2 + (d/dt)((K-1)/4pc2)Th;</w:t></w:r>
</w:p>
<w:p>
<w:pPr><w:pStyle w:val="Normal"/></w:pPr>
<w:r><w:t xml:space="preserve">also the circuital relations here reduce to</w:t></w:r>
</w:p>
<w:p>
<w:pPr><w:pStyle w:val="Normal"/></w:pPr>
<w:r><w:t xml:space="preserve">-dg/dx = 4pv, dQ/dx = -dg/dt;</w:t></w:r>
</w:p>
<w:p>
<w:pPr><w:pStyle w:val="Normal"/></w:pPr>
<w:r><w:t xml:space="preserve">thus</w:t></w:r>
</w:p>
<w:p>
<w:pPr><w:pStyle w:val="Normal"/></w:pPr>
<w:r><w:t xml:space="preserve">d2Q/dx2 = 4pdv/dt</w:t></w:r>
</w:p>
<w:p>
<w:pPr><w:pStyle w:val="Normal"/></w:pPr>
<w:r><w:t xml:space="preserve">giving, on substitution for v,</w:t></w:r>
</w:p>
<w:p>
<w:pPr><w:pStyle w:val="Normal"/></w:pPr>
<w:r><w:t xml:space="preserve">(c2-v2)d2Q/dx2 = Kd2Q/dt2 - 2vd2Q/dxdt.</w:t></w:r>
</w:p>
<w:p>
<w:pPr><w:pStyle w:val="Normal"/></w:pPr>
<w:r><w:t xml:space="preserve">For a simple wave-train, Q varies as sin m(x-Vt), leading</w:t></w:r>
</w:p>
<w:p>
<w:pPr><w:pStyle w:val="Normal"/></w:pPr>
<w:r><w:t xml:space="preserve">on substitution to the velocity of propagation V relative</w:t></w:r>
</w:p>
<w:p>
<w:pPr><w:pStyle w:val="Normal"/></w:pPr>
<w:r><w:t xml:space="preserve">to the moving material, by means of the equation KV2 + 2</w:t></w:r>
</w:p>
<w:p>
<w:pPr><w:pStyle w:val="Normal"/></w:pPr>
<w:r><w:t xml:space="preserve">vV = c2-v2; this gives, to the first order of v/c,</w:t></w:r>
</w:p>
<w:p>
<w:pPr><w:pStyle w:val="Heading1"/></w:pPr>
<w:r><w:t>V = c/sqrt. K - v/K, which is in accordance with Fresnel&apos;s</w:t></w:r>
</w:p>
<w:p>
<w:pPr><w:pStyle w:val="Normal"/></w:pPr>
<w:r><w:t xml:space="preserve">law.  Trains of waves nearly but not quite homogeneous as</w:t></w:r>
</w:p>
<w:p>
<w:pPr><w:pStyle w:val="Normal"/></w:pPr>
<w:r><w:t xml:space="preserve">regards wave-length will as usual be propagated as wave-groups</w:t></w:r>
</w:p>
<w:p>
<w:pPr><w:pStyle w:val="Normal"/></w:pPr>
<w:r><w:t xml:space="preserve">travelling with the slightly different velocity d(Vl-1)/</w:t></w:r>
</w:p>
<w:p>
<w:pPr><w:pStyle w:val="Normal"/></w:pPr>
<w:r><w:t xml:space="preserve">dl-1, the value of K occurring in V being a function of</w:t></w:r>
</w:p>
<w:p>
<w:pPr><w:pStyle w:val="Normal"/></w:pPr>
<w:r><w:t xml:space="preserve">l determined by the law of optical dispersion of the medium.</w:t></w:r>
</w:p>
<w:p>
<w:pPr><w:pStyle w:val="Normal"/></w:pPr>
<w:r><w:t xml:space="preserve">For purposes of theoretical discussions relating to moving radiators</w:t></w:r>
</w:p>
<w:p>
<w:pPr><w:pStyle w:val="Normal"/></w:pPr>
<w:r><w:t xml:space="preserve">and reflectors, it is important to remember that the dynamics</w:t></w:r>
</w:p>
<w:p>
<w:pPr><w:pStyle w:val="Normal"/></w:pPr>
<w:r><w:t xml:space="preserve">of all this theory of electrons involves the neglect of terms of</w:t></w:r>
</w:p>
<w:p>
<w:pPr><w:pStyle w:val="Normal"/></w:pPr>
<w:r><w:t xml:space="preserve">the order (v/c)2, not merely in the value of K but throughout.</w:t></w:r>
</w:p>
<w:p>
<w:pPr><w:pStyle w:val="Normal"/></w:pPr>
<w:r><w:t xml:space="preserve">Recent Experimental Developments.---The modification of</w:t></w:r>
</w:p>
<w:p>
<w:pPr><w:pStyle w:val="Normal"/></w:pPr>
<w:r><w:t xml:space="preserve">the spectrum of a radiating gas by a magnetic field, such</w:t></w:r>
</w:p>
<w:p>
<w:pPr><w:pStyle w:val="Normal"/></w:pPr>
<w:r><w:t xml:space="preserve">as would result from the hypothesis that the radiators are</w:t></w:r>
</w:p>
<w:p>
<w:pPr><w:pStyle w:val="Normal"/></w:pPr>
<w:r><w:t xml:space="preserve">the system of revolving or oscillating electrons in the</w:t></w:r>
</w:p>
<w:p>
<w:pPr><w:pStyle w:val="Normal"/></w:pPr>
<w:r><w:t xml:space="preserve">molecule, was detected by P. Zeeman in 1896, and worked</w:t></w:r>
</w:p>
<w:p>
<w:pPr><w:pStyle w:val="Normal"/></w:pPr>
<w:r><w:t xml:space="preserve">up, in conjunction with H. A. Lorentz, on the general lines</w:t></w:r>
</w:p>
<w:p>
<w:pPr><w:pStyle w:val="Normal"/></w:pPr>
<w:r><w:t xml:space="preserve">suggested by the electron-theory of molecular constitution.</w:t></w:r>
</w:p>
<w:p>
<w:pPr><w:pStyle w:val="Normal"/></w:pPr>
<w:r><w:t xml:space="preserve">While it cannot be said that the full significance of this</w:t></w:r>
</w:p>
<w:p>
<w:pPr><w:pStyle w:val="Normal"/></w:pPr>
<w:r><w:t xml:space="preserve">very definite phenomenon, consisting of the splitting of</w:t></w:r>
</w:p>
<w:p>
<w:pPr><w:pStyle w:val="Normal"/></w:pPr>
<w:r><w:t xml:space="preserve">the spectral line into a number of polarized components, has</w:t></w:r>
</w:p>
<w:p>
<w:pPr><w:pStyle w:val="Normal"/></w:pPr>
<w:r><w:t xml:space="preserve">yet been made out, a wide field of correlation with optical</w:t></w:r>
</w:p>
<w:p>
<w:pPr><w:pStyle w:val="Normal"/></w:pPr>
<w:r><w:t xml:space="preserve">theory, especially in the neighbourhood of absorption bands,</w:t></w:r>
</w:p>
<w:p>
<w:pPr><w:pStyle w:val="Normal"/></w:pPr>
<w:r><w:t xml:space="preserve">has been developed by Zeeman himself, by A. H. Becquerel,</w:t></w:r>
</w:p>
<w:p>
<w:pPr><w:pStyle w:val="Normal"/></w:pPr>
<w:r><w:t xml:space="preserve">by D. Macaluso and O. M. Corbino, and by other workers.</w:t></w:r>
</w:p>
<w:p>
<w:pPr><w:pStyle w:val="Normal"/></w:pPr>
<w:r><w:t xml:space="preserve">The most fundamental experimental confirmation that the theory</w:t></w:r>
</w:p>
<w:p>
<w:pPr><w:pStyle w:val="Normal"/></w:pPr>
<w:r><w:t xml:space="preserve">of the aether has received on the optical side in recent</w:t></w:r>
</w:p>
<w:p>
<w:pPr><w:pStyle w:val="Normal"/></w:pPr>
<w:r><w:t xml:space="preserve">years has been the verification of Maxwell&apos;s proposition that</w:t></w:r>
</w:p>
<w:p>
<w:pPr><w:pStyle w:val="Normal"/></w:pPr>
<w:r><w:t xml:space="preserve">radiation exerts mechanical force on a material system, on</w:t></w:r>
</w:p>
<w:p>
<w:pPr><w:pStyle w:val="Normal"/></w:pPr>
<w:r><w:t xml:space="preserve">which it falls, which may be represented in all cases as the</w:t></w:r>
</w:p>
<w:p>
<w:pPr><w:pStyle w:val="Normal"/></w:pPr>
<w:r><w:t xml:space="preserve">resultant of pressures operating along the rays, and of intensity</w:t></w:r>
</w:p>
<w:p>
<w:pPr><w:pStyle w:val="Normal"/></w:pPr>
<w:r><w:t xml:space="preserve">equal at each point of free space to the density of radiant</w:t></w:r>
</w:p>
<w:p>
<w:pPr><w:pStyle w:val="Normal"/></w:pPr>
<w:r><w:t xml:space="preserve">energy.  A high vacuum is needed for the detection of the</w:t></w:r>
</w:p>
<w:p>
<w:pPr><w:pStyle w:val="Normal"/></w:pPr>
<w:r><w:t xml:space="preserve">minute forces here concerned; but just in that case the indirect</w:t></w:r>
</w:p>
<w:p>
<w:pPr><w:pStyle w:val="Normal"/></w:pPr>
<w:r><w:t xml:space="preserve">radiometer-effect of the heating of the residual gas masks the</w:t></w:r>
</w:p>
<w:p>
<w:pPr><w:pStyle w:val="Normal"/></w:pPr>
<w:r><w:t xml:space="preserve">effect.  P. N. Lebedew in 1900 succeeded, by operating on</w:t></w:r>
</w:p>
<w:p>
<w:pPr><w:pStyle w:val="Normal"/></w:pPr>
<w:r><w:t xml:space="preserve">metallic vanes so thin that the exposed and averted faces</w:t></w:r>
</w:p>
<w:p>
<w:pPr><w:pStyle w:val="Normal"/></w:pPr>
<w:r><w:t xml:space="preserve">were practically at the same temperature, in satisfactorily</w:t></w:r>
</w:p>
<w:p>
<w:pPr><w:pStyle w:val="Normal"/></w:pPr>
<w:r><w:t xml:space="preserve">verifying the relation for metals; and very soon after, E.</w:t></w:r>
</w:p>
<w:p>
<w:pPr><w:pStyle w:val="Normal"/></w:pPr>
<w:r><w:t xml:space="preserve">F. Nichols and G. F. Hull published accounts of an exact</w:t></w:r>
</w:p>
<w:p>
<w:pPr><w:pStyle w:val="Normal"/></w:pPr>
<w:r><w:t xml:space="preserve">and extensive research, in which the principle had been</w:t></w:r>
</w:p>
<w:p>
<w:pPr><w:pStyle w:val="Normal"/></w:pPr>
<w:r><w:t xml:space="preserve">fully and precisely confirmed as regards both transparent</w:t></w:r>
</w:p>
<w:p>
<w:pPr><w:pStyle w:val="Normal"/></w:pPr>
<w:r><w:t xml:space="preserve">and opaque bodies.  The experiment of J. H. Poynting may</w:t></w:r>
</w:p>
<w:p>
<w:pPr><w:pStyle w:val="Normal"/></w:pPr>
<w:r><w:t xml:space="preserve">also be mentioned, in which the tangential component of</w:t></w:r>
</w:p>
<w:p>
<w:pPr><w:pStyle w:val="Normal"/></w:pPr>
<w:r><w:t xml:space="preserve">the thrust of obliquely incident radiation is separately</w:t></w:r>
</w:p>
<w:p>
<w:pPr><w:pStyle w:val="Normal"/></w:pPr>
<w:r><w:t xml:space="preserve">put in evidence, by the torsion produced in an arrangement</w:t></w:r>
</w:p>
<w:p>
<w:pPr><w:pStyle w:val="Normal"/></w:pPr>
<w:r><w:t xml:space="preserve">which is not sensitive to the normal component or to the</w:t></w:r>
</w:p>
<w:p>
<w:pPr><w:pStyle w:val="Normal"/></w:pPr>
<w:r><w:t xml:space="preserve">radiometer-pressure of the residual gas. (See RADIOMETER.)</w:t></w:r>
</w:p>
<w:p>
<w:pPr><w:pStyle w:val="Normal"/></w:pPr>
<w:r><w:t xml:space="preserve">Next to these researches on the pressure of radiation, which,</w:t></w:r>
</w:p>
<w:p>
<w:pPr><w:pStyle w:val="Normal"/></w:pPr>
<w:r><w:t xml:space="preserve">by forming the mechanical link between radiation and matter,</w:t></w:r>
</w:p>
<w:p>
<w:pPr><w:pStyle w:val="Normal"/></w:pPr>
<w:r><w:t xml:space="preserve">are fundamental for the thermodynamics of radiant energy,</w:t></w:r>
</w:p>
<w:p>
<w:pPr><w:pStyle w:val="Normal"/></w:pPr>
<w:r><w:t xml:space="preserve">the most striking recent result has been the discovery of H.</w:t></w:r>
</w:p>
<w:p>
<w:pPr><w:pStyle w:val="Normal"/></w:pPr>
<w:r><w:t xml:space="preserve">Rubens and E. Hagen that for dark heat rays of only about ten</w:t></w:r>
</w:p>
<w:p>
<w:pPr><w:pStyle w:val="Normal"/></w:pPr>
<w:r><w:t xml:space="preserve">times the wave-length of luminous radiation, the properties</w:t></w:r>
</w:p>
<w:p>
<w:pPr><w:pStyle w:val="Normal"/></w:pPr>
<w:r><w:t xml:space="preserve">of metals are determined by their electric resistance alone,</w:t></w:r>
</w:p>
<w:p>
<w:pPr><w:pStyle w:val="Normal"/></w:pPr>
<w:r><w:t xml:space="preserve">which then masks all resonance due to periods of free vibration</w:t></w:r>
</w:p>
<w:p>
<w:pPr><w:pStyle w:val="Normal"/></w:pPr>
<w:r><w:t xml:space="preserve">of the molecules; and, moreover, that the resistance for such</w:t></w:r>
</w:p>
<w:p>
<w:pPr><w:pStyle w:val="Normal"/></w:pPr>
<w:r><w:t xml:space="preserve">alternations is practically the same as the ohmic resistance</w:t></w:r>
</w:p>
<w:p>
<w:pPr><w:pStyle w:val="Normal"/></w:pPr>
<w:r><w:t xml:space="preserve">for ordinary steady currents.  They found that the absorbing</w:t></w:r>
</w:p>
<w:p>
<w:pPr><w:pStyle w:val="Normal"/></w:pPr>
<w:r><w:t xml:space="preserve">powers of the metals, and therefore, by the principle of</w:t></w:r>
</w:p>
<w:p>
<w:pPr><w:pStyle w:val="Normal"/></w:pPr>
<w:r><w:t xml:space="preserve">exchanges, their radiating powers also, are proportional to</w:t></w:r>
</w:p>
<w:p>
<w:pPr><w:pStyle w:val="Normal"/></w:pPr>
<w:r><w:t xml:space="preserve">the square roots of their electric conductivities.  Maxwell had</w:t></w:r>
</w:p>
<w:p>
<w:pPr><w:pStyle w:val="Normal"/></w:pPr>
<w:r><w:t xml:space="preserve">himself, at an early stage of his theory, tested the absorbing</w:t></w:r>
</w:p>
<w:p>
<w:pPr><w:pStyle w:val="Normal"/></w:pPr>
<w:r><w:t xml:space="preserve">power of gold-leaf for light, and found that the effective</w:t></w:r>
</w:p>
<w:p>
<w:pPr><w:pStyle w:val="Normal"/></w:pPr>
<w:r><w:t xml:space="preserve">conductivity for luminous vibrations must be very much greater</w:t></w:r>
</w:p>
<w:p>
<w:pPr><w:pStyle w:val="Normal"/></w:pPr>
<w:r><w:t xml:space="preserve">than its steady ohmic value; it is, in fact, there a case of</w:t></w:r>
</w:p>
<w:p>
<w:pPr><w:pStyle w:val="Normal"/></w:pPr>
<w:r><w:t xml:space="preserve">incipient conductivity, which is continually being undone on</w:t></w:r>
</w:p>
<w:p>
<w:pPr><w:pStyle w:val="Normal"/></w:pPr>
<w:r><w:t xml:space="preserve">account of the rapid alternation of force before it is fully</w:t></w:r>
</w:p>
<w:p>
<w:pPr><w:pStyle w:val="Normal"/></w:pPr>
<w:r><w:t xml:space="preserve">established.  That, however, complete conduction should</w:t></w:r>
</w:p>
<w:p>
<w:pPr><w:pStyle w:val="Normal"/></w:pPr>
<w:r><w:t xml:space="preserve">arrive with alternations only ten times slower than light</w:t></w:r>
</w:p>
<w:p>
<w:pPr><w:pStyle w:val="Normal"/></w:pPr>
<w:r><w:t xml:space="preserve">was an unexpected and remarkable fact, which verifies the</w:t></w:r>
</w:p>
<w:p>
<w:pPr><w:pStyle w:val="Normal"/></w:pPr>
<w:r><w:t xml:space="preserve">presumption that the process of conduction is one in which</w:t></w:r>
</w:p>
<w:p>
<w:pPr><w:pStyle w:val="Normal"/></w:pPr>
<w:r><w:t xml:space="preserve">the dynamic activities of the molecules do not come into</w:t></w:r>
</w:p>
<w:p>
<w:pPr><w:pStyle w:val="Normal"/></w:pPr>
<w:r><w:t xml:space="preserve">play.  The corollary, that the electric resistance of a</w:t></w:r>
</w:p>
<w:p>
<w:pPr><w:pStyle w:val="Normal"/></w:pPr>
<w:r><w:t xml:space="preserve">metal can be determined in absolute units by experiments on</w:t></w:r>
</w:p>
<w:p>
<w:pPr><w:pStyle w:val="Normal"/></w:pPr>
<w:r><w:t xml:space="preserve">the reflexion of heat-rays from its surface, is a striking</w:t></w:r>
</w:p>
<w:p>
<w:pPr><w:pStyle w:val="Normal"/></w:pPr>
<w:r><w:t xml:space="preserve">illustration of the unification of the various branches</w:t></w:r>
</w:p>
<w:p>
<w:pPr><w:pStyle w:val="Normal"/></w:pPr>
<w:r><w:t xml:space="preserve">of physical science, which has come in the train of the</w:t></w:r>
</w:p>
<w:p>
<w:pPr><w:pStyle w:val="Normal"/></w:pPr>
<w:r><w:t xml:space="preserve">development of the theory of the aether. (See RADIATION.)</w:t></w:r>
</w:p>
<w:p>
<w:pPr><w:pStyle w:val="Normal"/></w:pPr>
<w:r><w:t xml:space="preserve">Finally, reference should be made to the phenomena of</w:t></w:r>
</w:p>
<w:p>
<w:pPr><w:pStyle w:val="Normal"/></w:pPr>
<w:r><w:t xml:space="preserve">radioactivity, whether excited by the electric discharge</w:t></w:r>
</w:p>
<w:p>
<w:pPr><w:pStyle w:val="Normal"/></w:pPr>
<w:r><w:t xml:space="preserve">in vacuum tubes, foreshadowed in part by Sir Wm. Crookes</w:t></w:r>
</w:p>
<w:p>
<w:pPr><w:pStyle w:val="Normal"/></w:pPr>
<w:r><w:t xml:space="preserve">and G. G. Stokes, and later by A. Schuster and others, but</w:t></w:r>
</w:p>
<w:p>
<w:pPr><w:pStyle w:val="Normal"/></w:pPr>
<w:r><w:t xml:space="preserve">first fully developed with astonishing results including</w:t></w:r>
</w:p>
<w:p>
<w:pPr><w:pStyle w:val="Normal"/></w:pPr>
<w:r><w:t xml:space="preserve">the experimental discovery of the free electron by J. J.</w:t></w:r>
</w:p>
<w:p>
<w:pPr><w:pStyle w:val="Normal"/></w:pPr>
<w:r><w:t xml:space="preserve">Thomson, or the correlated phenomena occurring spontaneously</w:t></w:r>
</w:p>
<w:p>
<w:pPr><w:pStyle w:val="Normal"/></w:pPr>
<w:r><w:t xml:space="preserve">in radio-active bodies as discovered by H. Becquerel and</w:t></w:r>
</w:p>
<w:p>
<w:pPr><w:pStyle w:val="Normal"/></w:pPr>
<w:r><w:t xml:space="preserve">by M. and Mme Curie, and investigated by them and by E.</w:t></w:r>
</w:p>
<w:p>
<w:pPr><w:pStyle w:val="Normal"/></w:pPr>
<w:r><w:t xml:space="preserve">Rutherford and others.  These results constitute a far-reaching</w:t></w:r>
</w:p>
<w:p>
<w:pPr><w:pStyle w:val="Normal"/></w:pPr>
<w:r><w:t xml:space="preserve">development of the modern or electrodynamic theory of the</w:t></w:r>
</w:p>
<w:p>
<w:pPr><w:pStyle w:val="Normal"/></w:pPr>
<w:r><w:t xml:space="preserve">aether, of which the issue can hardly yet be foreseen.</w:t></w:r>
</w:p>
<w:p>
<w:pPr><w:pStyle w:val="Normal"/></w:pPr>
<w:r><w:t xml:space="preserve">REFERENCES.--Maxwell, Collected Papers H. A. Lorentz,</w:t></w:r>
</w:p>
<w:p>
<w:pPr><w:pStyle w:val="Normal"/></w:pPr>
<w:r><w:t xml:space="preserve">Archives Neerlandaises, xxi. 1887, and xxv. 1892, and a</w:t></w:r>
</w:p>
<w:p>
<w:pPr><w:pStyle w:val="Normal"/></w:pPr>
<w:r><w:t xml:space="preserve">tract, Versuch einer Theorie der electrischen und optischen</w:t></w:r>
</w:p>
<w:p>
<w:pPr><w:pStyle w:val="Normal"/></w:pPr>
<w:r><w:t xml:space="preserve">Erscheinungen in bewegten Korpern (Leyden, 1895); also</w:t></w:r>
</w:p>
<w:p>
<w:pPr><w:pStyle w:val="Normal"/></w:pPr>
<w:r><w:t xml:space="preserve">recent articles ``Elektrodynamik&apos;&apos; and ``Elektronentheorie&apos;&apos;</w:t></w:r>
</w:p>
<w:p>
<w:pPr><w:pStyle w:val="Normal"/></w:pPr>
<w:r><w:t xml:space="preserve">in the Encyk. der Math.  Wissenschaften, Band v. 13, 14;</w:t></w:r>
</w:p>
<w:p>
<w:pPr><w:pStyle w:val="Normal"/></w:pPr>
<w:r><w:t xml:space="preserve">O. Lodge, ``On Aberration Problems,&apos;&apos; Phil.  Trans. 1893</w:t></w:r>
</w:p>
<w:p>
<w:pPr><w:pStyle w:val="Normal"/></w:pPr>
<w:r><w:t xml:space="preserve">and 1897; J. Larmor, Phil.  Trans. 1894--95--97, and a</w:t></w:r>
</w:p>
<w:p>
<w:pPr><w:pStyle w:val="Normal"/></w:pPr>
<w:r><w:t xml:space="preserve">treatise, Aether and Motter (1900), where full references are</w:t></w:r>
</w:p>
<w:p>
<w:pPr><w:pStyle w:val="Normal"/></w:pPr>
<w:r><w:t xml:space="preserve">given.  Of recent years most treatises on physical optics,</w:t></w:r>
</w:p>
<w:p>
<w:pPr><w:pStyle w:val="Normal"/></w:pPr>
<w:r><w:t xml:space="preserve">e.g. those of P. K. L. Drude, A. Schuster, R. W. Wood, have</w:t></w:r>
</w:p>
<w:p>
<w:pPr><w:pStyle w:val="Normal"/></w:pPr>
<w:r><w:t xml:space="preserve">been written largely on the basis of the general physics of</w:t></w:r>
</w:p>
<w:p>
<w:pPr><w:pStyle w:val="Normal"/></w:pPr>
<w:r><w:t xml:space="preserve">the aether; while the Collected Papers of Lord Rayleigh</w:t></w:r>
</w:p>
<w:p>
<w:pPr><w:pStyle w:val="Normal"/></w:pPr>
<w:r><w:t xml:space="preserve">should be accessible to all who desire a first-hand knowledge</w:t></w:r>
</w:p>
<w:p>
<w:pPr><w:pStyle w:val="Normal"/></w:pPr>
<w:r><w:t xml:space="preserve">of the development of the optical side of the subject.  See</w:t></w:r>
</w:p>
<w:p>
<w:pPr><w:pStyle w:val="Normal"/></w:pPr>
<w:r><w:t xml:space="preserve">also MOLECULE, ELECTRICITY, LIGHT and RADIATION. (J. L.*)</w:t></w:r>
</w:p>
<w:p>
<w:pPr><w:pStyle w:val="Normal"/></w:pPr>
<w:r><w:t xml:space="preserve">1 See H. A. Lorentz, loc. cit. infra.; J.</w:t></w:r>
</w:p>
<w:p>
<w:pPr><w:pStyle w:val="Normal"/></w:pPr>
<w:r><w:t xml:space="preserve">Larmor, Aether and Matter, p. 262 and passim.</w:t></w:r>
</w:p>
<w:p>
<w:pPr><w:pStyle w:val="Normal"/></w:pPr>
<w:r><w:t xml:space="preserve">AETHICUS (=ETHICUS) ISTER, ``the philosopher of</w:t></w:r>
</w:p>
<w:p>
<w:pPr><w:pStyle w:val="Normal"/></w:pPr>
<w:r><w:t xml:space="preserve">Istria,&apos;&apos; the supposed but unknown author of a description</w:t></w:r>
</w:p>
<w:p>
<w:pPr><w:pStyle w:val="Normal"/></w:pPr>
<w:r><w:t xml:space="preserve">of the world written in Greek.  An abridgment, under the</w:t></w:r>
</w:p>
<w:p>
<w:pPr><w:pStyle w:val="Normal"/></w:pPr>
<w:r><w:t xml:space="preserve">title of Cosmographia Ethici, written in barbarous Latin,</w:t></w:r>
</w:p>
<w:p>
<w:pPr><w:pStyle w:val="Normal"/></w:pPr>
<w:r><w:t xml:space="preserve">and wrongly described as the work of St Jerome, probably</w:t></w:r>
</w:p>
<w:p>
<w:pPr><w:pStyle w:val="Normal"/></w:pPr>
<w:r><w:t xml:space="preserve">belongs to the 7th century.  After a discussion of the</w:t></w:r>
</w:p>
<w:p>
<w:pPr><w:pStyle w:val="Normal"/></w:pPr>
<w:r><w:t xml:space="preserve">creation of the world and a description of the earth, an</w:t></w:r>
</w:p>
<w:p>
<w:pPr><w:pStyle w:val="Normal"/></w:pPr>
<w:r><w:t xml:space="preserve">account of the wonderful journeys of Aethicus is given, with</w:t></w:r>
</w:p>
<w:p>
<w:pPr><w:pStyle w:val="Normal"/></w:pPr>
<w:r><w:t xml:space="preserve">digressions on various subjects, such as Alexander the Great</w:t></w:r>
</w:p>
<w:p>
<w:pPr><w:pStyle w:val="Normal"/></w:pPr>
<w:r><w:t xml:space="preserve">and the kings of Rome, full of obscure and fabulous details.</w:t></w:r>
</w:p>
<w:p>
<w:pPr><w:pStyle w:val="Normal"/></w:pPr>
<w:r><w:t xml:space="preserve">The name Aethicus is also attached to another geographical</w:t></w:r>
</w:p>
<w:p>
<w:pPr><w:pStyle w:val="Normal"/></w:pPr>
<w:r><w:t xml:space="preserve">treatise probably dating from the 6th century, a reproduction,</w:t></w:r>
</w:p>
<w:p>
<w:pPr><w:pStyle w:val="Normal"/></w:pPr>
<w:r><w:t xml:space="preserve">with some unimportant additions, of the cosmography--little</w:t></w:r>
</w:p>
<w:p>
<w:pPr><w:pStyle w:val="Normal"/></w:pPr>
<w:r><w:t xml:space="preserve">else than a dry list of names--of Julius Honorius.</w:t></w:r>
</w:p>
<w:p>
<w:pPr><w:pStyle w:val="Normal"/></w:pPr>
<w:r><w:t xml:space="preserve">Editions.--D&apos;Avezac (1852); Pertz (1853); Wuttke</w:t></w:r>
</w:p>
<w:p>
<w:pPr><w:pStyle w:val="Normal"/></w:pPr>
<w:r><w:t xml:space="preserve">(1854); Riese&apos;s Lexicographi Latini Minores (1878);</w:t></w:r>
</w:p>
<w:p>
<w:pPr><w:pStyle w:val="Normal"/></w:pPr>
<w:r><w:t xml:space="preserve">see also Bunbury, History of Ancient Geography.</w:t></w:r>
</w:p>
<w:p>
<w:pPr><w:pStyle w:val="Normal"/></w:pPr>
<w:r><w:t xml:space="preserve">AETIOLOGY, or ETIOLOGY (from Gr. aitia. cause, and</w:t></w:r>
</w:p>
<w:p>
<w:pPr><w:pStyle w:val="Normal"/></w:pPr>
<w:r><w:t xml:space="preserve">logia, discourse), strictly, the science or philosophy of</w:t></w:r>
</w:p>
<w:p>
<w:pPr><w:pStyle w:val="Normal"/></w:pPr>
<w:r><w:t xml:space="preserve">causation, but generally used to denote the part of any special</w:t></w:r>
</w:p>
<w:p>
<w:pPr><w:pStyle w:val="Normal"/></w:pPr>
<w:r><w:t xml:space="preserve">science (and especially of that of medicine and disease)</w:t></w:r>
</w:p>
<w:p>
<w:pPr><w:pStyle w:val="Normal"/></w:pPr>
<w:r><w:t xml:space="preserve">which investigates the causes and origin of its phenomena.</w:t></w:r>
</w:p>
<w:p>
<w:pPr><w:pStyle w:val="Normal"/></w:pPr>
<w:r><w:t xml:space="preserve">An aetiological myth is one which is regarded as having</w:t></w:r>
</w:p>
<w:p>
<w:pPr><w:pStyle w:val="Normal"/></w:pPr>
<w:r><w:t xml:space="preserve">been invented ex post facto to explain some fact, name or</w:t></w:r>
</w:p>
<w:p>
<w:pPr><w:pStyle w:val="Normal"/></w:pPr>
<w:r><w:t xml:space="preserve">coincidence, the true account or origin of which has been</w:t></w:r>
</w:p>
<w:p>
<w:pPr><w:pStyle w:val="Normal"/></w:pPr>
<w:r><w:t xml:space="preserve">forgotten.  Such myths were often based on grotesque philological</w:t></w:r>
</w:p>
<w:p>
<w:pPr><w:pStyle w:val="Normal"/></w:pPr>
<w:r><w:t xml:space="preserve">analogies, according to which an existing connexion between</w:t></w:r>
</w:p>
<w:p>
<w:pPr><w:pStyle w:val="Normal"/></w:pPr>
<w:r><w:t xml:space="preserve">two personalities (cities, &amp;c.) was traced back to a common</w:t></w:r>
</w:p>
<w:p>
<w:pPr><w:pStyle w:val="Normal"/></w:pPr>
<w:r><w:t xml:space="preserve">mythical origin.  For a good example of the evolution of</w:t></w:r>
</w:p>
<w:p>
<w:pPr><w:pStyle w:val="Normal"/></w:pPr>
<w:r><w:t xml:space="preserve">such myths, see the argument under AEGINA, History.</w:t></w:r>
</w:p>
<w:p>
<w:pPr><w:pStyle w:val="Normal"/></w:pPr>
<w:r><w:t xml:space="preserve">AETION, or EETION, a Greek painter, mentioned by Cicero,</w:t></w:r>
</w:p>
<w:p>
<w:pPr><w:pStyle w:val="Normal"/></w:pPr>
<w:r><w:t xml:space="preserve">Pliny and Lucian.  His most noted work, described in detail by</w:t></w:r>
</w:p>
<w:p>
<w:pPr><w:pStyle w:val="Normal"/></w:pPr>
<w:r><w:t xml:space="preserve">Lucian (Herodotus or Eetion, 5), was a picture representing</w:t></w:r>
</w:p>
<w:p>
<w:pPr><w:pStyle w:val="Normal"/></w:pPr>
<w:r><w:t xml:space="preserve">the marriage of Alexander and Roxana.  He is said to have</w:t></w:r>
</w:p>
<w:p>
<w:pPr><w:pStyle w:val="Normal"/></w:pPr>
<w:r><w:t xml:space="preserve">exhibited it at the Olympic games, and by it so to have won</w:t></w:r>
</w:p>
<w:p>
<w:pPr><w:pStyle w:val="Normal"/></w:pPr>
<w:r><w:t xml:space="preserve">the favour of the president that he gave him his daughter in</w:t></w:r>
</w:p>
<w:p>
<w:pPr><w:pStyle w:val="Normal"/></w:pPr>
<w:r><w:t xml:space="preserve">marriage.  Through a misunderstanding of the words of Lucian,</w:t></w:r>
</w:p>
<w:p>
<w:pPr><w:pStyle w:val="Normal"/></w:pPr>
<w:r><w:t xml:space="preserve">Aetion has been supposed to belong to the age of the Antonines;</w:t></w:r>
</w:p>
<w:p>
<w:pPr><w:pStyle w:val="Normal"/></w:pPr>
<w:r><w:t xml:space="preserve">but there can be little doubt that he was a contemporary of</w:t></w:r>
</w:p>
<w:p>
<w:pPr><w:pStyle w:val="Normal"/></w:pPr>
<w:r><w:t xml:space="preserve">Alexander and of Apelles (Brunn, Geschichte der griechischen</w:t></w:r>
</w:p>
<w:p>
<w:pPr><w:pStyle w:val="Normal"/></w:pPr>
<w:r><w:t xml:space="preserve">Kunstler, ii. p. 243).  Pliny gives his date as 350 B.C.</w:t></w:r>
</w:p>
<w:p>
<w:pPr><w:pStyle w:val="Normal"/></w:pPr>
<w:r><w:t xml:space="preserve">AETIUS (fl. 350), surnamed ``the Atheist,&apos;&apos; founder of an</w:t></w:r>
</w:p>
<w:p>
<w:pPr><w:pStyle w:val="Normal"/></w:pPr>
<w:r><w:t xml:space="preserve">extreme sect of Arians, was a native of Cocle-Syria.  After</w:t></w:r>
</w:p>
<w:p>
<w:pPr><w:pStyle w:val="Normal"/></w:pPr>
<w:r><w:t xml:space="preserve">working as a vine-dresser and then as a goldsmith he became a</w:t></w:r>
</w:p>
<w:p>
<w:pPr><w:pStyle w:val="Normal"/></w:pPr>
<w:r><w:t xml:space="preserve">travelling doctor, and displayed great skill in disputations</w:t></w:r>
</w:p>
<w:p>
<w:pPr><w:pStyle w:val="Normal"/></w:pPr>
<w:r><w:t xml:space="preserve">on medical subjects; but his controversial power soon found</w:t></w:r>
</w:p>
<w:p>
<w:pPr><w:pStyle w:val="Normal"/></w:pPr>
<w:r><w:t xml:space="preserve">a wider field for its exercise in the great theological</w:t></w:r>
</w:p>
<w:p>
<w:pPr><w:pStyle w:val="Normal"/></w:pPr>
<w:r><w:t xml:space="preserve">question of the time.  He studied successively under the</w:t></w:r>
</w:p>
<w:p>
<w:pPr><w:pStyle w:val="Normal"/></w:pPr>
<w:r><w:t xml:space="preserve">Arians, Paulinus, bishop of Antioch, Athanasius, bishop of</w:t></w:r>
</w:p>
<w:p>
<w:pPr><w:pStyle w:val="Normal"/></w:pPr>
<w:r><w:t xml:space="preserve">Anazarbus, and the presbyter Antonius of Tarsus.  In 350 he</w:t></w:r>
</w:p>
<w:p>
<w:pPr><w:pStyle w:val="Normal"/></w:pPr>
<w:r><w:t xml:space="preserve">was ordained a deacon by Leontius of Antioch, but was shortly</w:t></w:r>
</w:p>
<w:p>
<w:pPr><w:pStyle w:val="Normal"/></w:pPr>
<w:r><w:t xml:space="preserve">afterwards forced by the orthodox party to leave that town.</w:t></w:r>
</w:p>
<w:p>
<w:pPr><w:pStyle w:val="Normal"/></w:pPr>
<w:r><w:t xml:space="preserve">At the first synod of Sirmium he won a dialectic victory over</w:t></w:r>
</w:p>
<w:p>
<w:pPr><w:pStyle w:val="Normal"/></w:pPr>
<w:r><w:t xml:space="preserve">the homoiousian bishops, hasilius and Eustathius, who sought</w:t></w:r>
</w:p>
<w:p>
<w:pPr><w:pStyle w:val="Normal"/></w:pPr>
<w:r><w:t xml:space="preserve">in consequence to stir up against him the enmity of Caesar</w:t></w:r>
</w:p>
<w:p>
<w:pPr><w:pStyle w:val="Normal"/></w:pPr>
<w:r><w:t xml:space="preserve">Gallus.  In 356 he went to Alexandria with Eunomius (q.v.)</w:t></w:r>
</w:p>
<w:p>
<w:pPr><w:pStyle w:val="Normal"/></w:pPr>
<w:r><w:t xml:space="preserve">in order to advocate Arianism, but he was banished by</w:t></w:r>
</w:p>
<w:p>
<w:pPr><w:pStyle w:val="Normal"/></w:pPr>
<w:r><w:t xml:space="preserve">Constantius.  Julian recalled him from exile, bestowed upon</w:t></w:r>
</w:p>
<w:p>
<w:pPr><w:pStyle w:val="Normal"/></w:pPr>
<w:r><w:t xml:space="preserve">him an estate in Lesbos, and retained him for a time at his</w:t></w:r>
</w:p>
<w:p>
<w:pPr><w:pStyle w:val="Normal"/></w:pPr>
<w:r><w:t xml:space="preserve">court in Constantinople.  Being consecrated a bishop, he used</w:t></w:r>
</w:p>
<w:p>
<w:pPr><w:pStyle w:val="Normal"/></w:pPr>
<w:r><w:t xml:space="preserve">his office in the interests of Arianism by creating other</w:t></w:r>
</w:p>
<w:p>
<w:pPr><w:pStyle w:val="Normal"/></w:pPr>
<w:r><w:t xml:space="preserve">bishops of that party.  At the accession of Valens (364)</w:t></w:r>
</w:p>
<w:p>
<w:pPr><w:pStyle w:val="Normal"/></w:pPr>
<w:r><w:t xml:space="preserve">he retired to his estate at Lesbos, but soon returned to</w:t></w:r>
</w:p>
<w:p>
<w:pPr><w:pStyle w:val="Normal"/></w:pPr>
<w:r><w:t xml:space="preserve">Constantinople, where he died in 367. The Anomoean sect of</w:t></w:r>
</w:p>
<w:p>
<w:pPr><w:pStyle w:val="Normal"/></w:pPr>
<w:r><w:t xml:space="preserve">the Arians, of whom he was the leader, are sometimes called</w:t></w:r>
</w:p>
<w:p>
<w:pPr><w:pStyle w:val="Normal"/></w:pPr>
<w:r><w:t xml:space="preserve">after him Aetians. His work De Fide has been preserved</w:t></w:r>
</w:p>
<w:p>
<w:pPr><w:pStyle w:val="Normal"/></w:pPr>
<w:r><w:t xml:space="preserve">in connexion with a refutation written by Epiphanius (Haer.</w:t></w:r>
</w:p>
<w:p>
<w:pPr><w:pStyle w:val="Normal"/></w:pPr>
<w:r><w:t xml:space="preserve">lxxvi. 10). Its main thought is that the Homousia, i.e.</w:t></w:r>
</w:p>
<w:p>
<w:pPr><w:pStyle w:val="Normal"/></w:pPr>
<w:r><w:t xml:space="preserve">the doctrine that the Son (therefore the Begotten) is</w:t></w:r>
</w:p>
<w:p>
<w:pPr><w:pStyle w:val="Normal"/></w:pPr>
<w:r><w:t xml:space="preserve">essentially God, is self-contradictory, since the idea of</w:t></w:r>
</w:p>
<w:p>
<w:pPr><w:pStyle w:val="Normal"/></w:pPr>
<w:r><w:t xml:space="preserve">unbegottenness is just that which constitutes the nature of God.</w:t></w:r>
</w:p>
<w:p>
<w:pPr><w:pStyle w:val="Normal"/></w:pPr>
<w:r><w:t xml:space="preserve">See A. Harnack, History of Dogma, vol. iv. passim.</w:t></w:r>
</w:p>
<w:p>
<w:pPr><w:pStyle w:val="Normal"/></w:pPr>
<w:r><w:t xml:space="preserve">AETIUS, a Greek physician, born at Amida in Mesopotamia,</w:t></w:r>
</w:p>
<w:p>
<w:pPr><w:pStyle w:val="Normal"/></w:pPr>
<w:r><w:t xml:space="preserve">flourished at the beginning of the 6th century A.D. He studied</w:t></w:r>
</w:p>
<w:p>
<w:pPr><w:pStyle w:val="Normal"/></w:pPr>
<w:r><w:t xml:space="preserve">at Alexandria, and became court physician at Byzantium and</w:t></w:r>
</w:p>
<w:p>
<w:pPr><w:pStyle w:val="Normal"/></w:pPr>
<w:r><w:t xml:space="preserve">comes obsequii, one of the chief officers of the imperial</w:t></w:r>
</w:p>
<w:p>
<w:pPr><w:pStyle w:val="Normal"/></w:pPr>
<w:r><w:t xml:space="preserve">household.  He wrote a large medical work in sixteen books,</w:t></w:r>
</w:p>
<w:p>
<w:pPr><w:pStyle w:val="Normal"/></w:pPr>
<w:r><w:t xml:space="preserve">founded on Oribasius and compiled from various sources,</w:t></w:r>
</w:p>
<w:p>
<w:pPr><w:pStyle w:val="Normal"/></w:pPr>
<w:r><w:t xml:space="preserve">especially Galen [Galenos].  Superstition and mysticism</w:t></w:r>
</w:p>
<w:p>
<w:pPr><w:pStyle w:val="Normal"/></w:pPr>
<w:r><w:t xml:space="preserve">play a great part in his remedies.  Eight books of the</w:t></w:r>
</w:p>
<w:p>
<w:pPr><w:pStyle w:val="Normal"/></w:pPr>
<w:r><w:t xml:space="preserve">Greek original were printed at Venice, 1534, and a complete</w:t></w:r>
</w:p>
<w:p>
<w:pPr><w:pStyle w:val="Normal"/></w:pPr>
<w:r><w:t xml:space="preserve">Latin translation by Cornarius appeared at Basel, 1542.</w:t></w:r>
</w:p>
<w:p>
<w:pPr><w:pStyle w:val="Normal"/></w:pPr>
<w:r><w:t xml:space="preserve">See Weigel, Aetianarum exercitationum specimen (1791);</w:t></w:r>
</w:p>
<w:p>
<w:pPr><w:pStyle w:val="Normal"/></w:pPr>
<w:r><w:t xml:space="preserve">Danelius, Beitrag zur Augenheilkunde des Aetius (1889); Zernos,</w:t></w:r>
</w:p>
<w:p>
<w:pPr><w:pStyle w:val="Normal"/></w:pPr>
<w:r><w:t xml:space="preserve">Aetii sermo sextidecimus et ultimus, editio princeps (1901).</w:t></w:r>
</w:p>
<w:p>
<w:pPr><w:pStyle w:val="Normal"/></w:pPr>
<w:r><w:t xml:space="preserve">AETIUS (d. 454), a Roman general of the closing period of</w:t></w:r>
</w:p>
<w:p>
<w:pPr><w:pStyle w:val="Normal"/></w:pPr>
<w:r><w:t xml:space="preserve">the Western empire, born at Dorostolus in Moesia, late in</w:t></w:r>
</w:p>
<w:p>
<w:pPr><w:pStyle w:val="Normal"/></w:pPr>
<w:r><w:t xml:space="preserve">the 4th century.  He was the son of Gaudentius, who, although</w:t></w:r>
</w:p>
<w:p>
<w:pPr><w:pStyle w:val="Normal"/></w:pPr>
<w:r><w:t xml:space="preserve">possibly of barbarian family, rose in the service of the</w:t></w:r>
</w:p>
<w:p>
<w:pPr><w:pStyle w:val="Normal"/></w:pPr>
<w:r><w:t xml:space="preserve">Western empire to be master of the horse, and later count of</w:t></w:r>
</w:p>
<w:p>
<w:pPr><w:pStyle w:val="Normal"/></w:pPr>
<w:r><w:t xml:space="preserve">Africa.  Aetius passed some years as hostage, first with Alaric</w:t></w:r>
</w:p>
<w:p>
<w:pPr><w:pStyle w:val="Normal"/></w:pPr>
<w:r><w:t xml:space="preserve">and the Goths, and later in the camp of Rhuas, king of the</w:t></w:r>
</w:p>
<w:p>
<w:pPr><w:pStyle w:val="Normal"/></w:pPr>
<w:r><w:t xml:space="preserve">Huns, acquiring in this way the knowledge which enabled him</w:t></w:r>
</w:p>
<w:p>
<w:pPr><w:pStyle w:val="Normal"/></w:pPr>
<w:r><w:t xml:space="preserve">afterwards to defeat them.  In 424 he led into Italy an army</w:t></w:r>
</w:p>
<w:p>
<w:pPr><w:pStyle w:val="Normal"/></w:pPr>
<w:r><w:t xml:space="preserve">of 60,000 barbarians, mostly Huns, which he employed first to</w:t></w:r>
</w:p>
<w:p>
<w:pPr><w:pStyle w:val="Normal"/></w:pPr>
<w:r><w:t xml:space="preserve">support the primicerius Joannes, who had proclaimed himself</w:t></w:r>
</w:p>
<w:p>
<w:pPr><w:pStyle w:val="Normal"/></w:pPr>
<w:r><w:t xml:space="preserve">emperor, and, on the defeat of the latter, to enforce his claim</w:t></w:r>
</w:p>
<w:p>
<w:pPr><w:pStyle w:val="Normal"/></w:pPr>
<w:r><w:t xml:space="preserve">to the supreme command of the army in Gaul upon Placidia, the</w:t></w:r>
</w:p>
<w:p>
<w:pPr><w:pStyle w:val="Normal"/></w:pPr>
<w:r><w:t xml:space="preserve">empress-mother and regent for Valentinian III. His calumnies</w:t></w:r>
</w:p>
<w:p>
<w:pPr><w:pStyle w:val="Normal"/></w:pPr>
<w:r><w:t xml:space="preserve">against his rival, Count Boniface, which were at first believed</w:t></w:r>
</w:p>
<w:p>
<w:pPr><w:pStyle w:val="Normal"/></w:pPr>
<w:r><w:t xml:space="preserve">by the emperor, led Boniface to revolt and call the Vandals to</w:t></w:r>
</w:p>
<w:p>
<w:pPr><w:pStyle w:val="Normal"/></w:pPr>
<w:r><w:t xml:space="preserve">Africa.  Upon the discovery of the truth, Boniface, although</w:t></w:r>
</w:p>
<w:p>
<w:pPr><w:pStyle w:val="Normal"/></w:pPr>
<w:r><w:t xml:space="preserve">defeated in Africa, was received into favour by Valentinian;</w:t></w:r>
</w:p>
<w:p>
<w:pPr><w:pStyle w:val="Normal"/></w:pPr>
<w:r><w:t xml:space="preserve">but Aetius came down against Boniface from his Gallic wars,</w:t></w:r>
</w:p>
<w:p>
<w:pPr><w:pStyle w:val="Normal"/></w:pPr>
<w:r><w:t xml:space="preserve">like another Julius Caesar, and in the battle which followed</w:t></w:r>
</w:p>
<w:p>
<w:pPr><w:pStyle w:val="Normal"/></w:pPr>
<w:r><w:t xml:space="preserve">wounded Boniface fatally with his own javelin.  From 433</w:t></w:r>
</w:p>
<w:p>
<w:pPr><w:pStyle w:val="Normal"/></w:pPr>
<w:r><w:t xml:space="preserve">to 450 Aetius was the dominating personality in the Western</w:t></w:r>
</w:p>
<w:p>
<w:pPr><w:pStyle w:val="Normal"/></w:pPr>
<w:r><w:t xml:space="preserve">empire.  In Gaul he won his military reputation, upholding</w:t></w:r>
</w:p>
<w:p>
<w:pPr><w:pStyle w:val="Normal"/></w:pPr>
<w:r><w:t xml:space="preserve">for nearly twenty years, by combined policy and daring, the</w:t></w:r>
</w:p>
<w:p>
<w:pPr><w:pStyle w:val="Normal"/></w:pPr>
<w:r><w:t xml:space="preserve">falling fortunes of the empire.  His greatest victory was that</w:t></w:r>
</w:p>
<w:p>
<w:pPr><w:pStyle w:val="Normal"/></w:pPr>
<w:r><w:t xml:space="preserve">of Chalons-sur-Marne (September 20, 451), in which he led</w:t></w:r>
</w:p>
<w:p>
<w:pPr><w:pStyle w:val="Normal"/></w:pPr>
<w:r><w:t xml:space="preserve">the Gallic forces against Attila and the Huns.  This was the</w:t></w:r>
</w:p>
<w:p>
<w:pPr><w:pStyle w:val="Normal"/></w:pPr>
<w:r><w:t xml:space="preserve">last triumph of the empire.  Three years later (454) Aetius</w:t></w:r>
</w:p>
<w:p>
<w:pPr><w:pStyle w:val="Normal"/></w:pPr>
<w:r><w:t xml:space="preserve">presented himself at court to claim the emperor&apos;s daughter in</w:t></w:r>
</w:p>
<w:p>
<w:pPr><w:pStyle w:val="Normal"/></w:pPr>
<w:r><w:t xml:space="preserve">marriage for his son Gaudentius; but Valentinian, suspecting</w:t></w:r>
</w:p>
<w:p>
<w:pPr><w:pStyle w:val="Normal"/></w:pPr>
<w:r><w:t xml:space="preserve">him of designs upon the crown, slew him with his own hand.</w:t></w:r>
</w:p>
<w:p>
<w:pPr><w:pStyle w:val="Normal"/></w:pPr>
<w:r><w:t xml:space="preserve">See T. Hodgkin, Italy and her Invaders, vols. i. and ii. (1880).</w:t></w:r>
</w:p>
<w:p>
<w:pPr><w:pStyle w:val="Normal"/></w:pPr>
<w:r><w:t xml:space="preserve">AETOLIA, a district of northern Greece, bounded on the S.</w:t></w:r>
</w:p>
<w:p>
<w:pPr><w:pStyle w:val="Normal"/></w:pPr>
<w:r><w:t xml:space="preserve">by the Corinthian Gulf, on the W. by the river Achelous, on</w:t></w:r>
</w:p>
<w:p>
<w:pPr><w:pStyle w:val="Normal"/></w:pPr>
<w:r><w:t xml:space="preserve">the N. and E. by the western spurs of Parnassus and Oeta.  The</w:t></w:r>
</w:p>
<w:p>
<w:pPr><w:pStyle w:val="Normal"/></w:pPr>
<w:r><w:t xml:space="preserve">land naturally falls into two divisions.  The basins of the</w:t></w:r>
</w:p>
<w:p>
<w:pPr><w:pStyle w:val="Normal"/></w:pPr>
<w:r><w:t xml:space="preserve">lower Achelous (mod. Aspropotamo) and Euenus (Phidharis)</w:t></w:r>
</w:p>
<w:p>
<w:pPr><w:pStyle w:val="Normal"/></w:pPr>
<w:r><w:t xml:space="preserve">form a series of alluvial valleys intersected by detached</w:t></w:r>
</w:p>
<w:p>
<w:pPr><w:pStyle w:val="Normal"/></w:pPr>
<w:r><w:t xml:space="preserve">ridges which mostly run parallel to the coast.  This district</w:t></w:r>
</w:p>
<w:p>
<w:pPr><w:pStyle w:val="Normal"/></w:pPr>
<w:r><w:t xml:space="preserve">of ``Old Aetolia&apos;&apos; lacks a suitable sea-board, but the inland,</w:t></w:r>
</w:p>
<w:p>
<w:pPr><w:pStyle w:val="Normal"/></w:pPr>
<w:r><w:t xml:space="preserve">and especially the plain of central Aetolia lying to the north</w:t></w:r>
</w:p>
<w:p>
<w:pPr><w:pStyle w:val="Normal"/></w:pPr>
<w:r><w:t xml:space="preserve">of Lakes Hyria and Trichonis and Mount Aracynthus, forms a</w:t></w:r>
</w:p>
<w:p>
<w:pPr><w:pStyle w:val="Normal"/></w:pPr>
<w:r><w:t xml:space="preserve">rich agricultural country.  The northern and eastern regions</w:t></w:r>
</w:p>
<w:p>
<w:pPr><w:pStyle w:val="Normal"/></w:pPr>
<w:r><w:t xml:space="preserve">are broken by an extensive complex of chains and peaks, whose</w:t></w:r>
</w:p>
<w:p>
<w:pPr><w:pStyle w:val="Normal"/></w:pPr>
<w:r><w:t xml:space="preserve">rugged limestone flanks are clad at most with stunted shrubs</w:t></w:r>
</w:p>
<w:p>
<w:pPr><w:pStyle w:val="Normal"/></w:pPr>
<w:r><w:t xml:space="preserve">and barely leave room for a few precarious mule-tracks.  These</w:t></w:r>
</w:p>
<w:p>
<w:pPr><w:pStyle w:val="Normal"/></w:pPr>
<w:r><w:t xml:space="preserve">heights often rise in the frontierranges of Tymphrestus, Oxia</w:t></w:r>
</w:p>
<w:p>
<w:pPr><w:pStyle w:val="Normal"/></w:pPr>
<w:r><w:t xml:space="preserve">and Corax to more than 7000 ft.; the snow-capped pinnacle</w:t></w:r>
</w:p>
<w:p>
<w:pPr><w:pStyle w:val="Normal"/></w:pPr>
<w:r><w:t xml:space="preserve">of Krona attains to 8240 ft.  A few defiles pass through</w:t></w:r>
</w:p>
<w:p>
<w:pPr><w:pStyle w:val="Normal"/></w:pPr>
<w:r><w:t xml:space="preserve">this barrier to the other side of the north Greek watershed.</w:t></w:r>
</w:p>
<w:p>
<w:pPr><w:pStyle w:val="Normal"/></w:pPr>
<w:r><w:t xml:space="preserve">In early legend Old Aetolia, with its cities of Pleuron and</w:t></w:r>
</w:p>
<w:p>
<w:pPr><w:pStyle w:val="Normal"/></w:pPr>
<w:r><w:t xml:space="preserve">Calydon, figures prominently.  During the great migrations</w:t></w:r>
</w:p>
<w:p>
<w:pPr><w:pStyle w:val="Normal"/></w:pPr>
<w:r><w:t xml:space="preserve">(see DORIANS) the population was largely displaced, and the</w:t></w:r>
</w:p>
<w:p>
<w:pPr><w:pStyle w:val="Normal"/></w:pPr>
<w:r><w:t xml:space="preserve">old inhabitants long remainedin a backward condition.  In the</w:t></w:r>
</w:p>
<w:p>
<w:pPr><w:pStyle w:val="Normal"/></w:pPr>
<w:r><w:t xml:space="preserve">5th century some tribes were still living in open villages</w:t></w:r>
</w:p>
<w:p>
<w:pPr><w:pStyle w:val="Normal"/></w:pPr>
<w:r><w:t xml:space="preserve">under petty kings, addicted to plunder and piracy, and hardly</w:t></w:r>
</w:p>
<w:p>
<w:pPr><w:pStyle w:val="Normal"/></w:pPr>
<w:r><w:t xml:space="preserve">recogniged as Hellenes at all.  Yet their military strength</w:t></w:r>
</w:p>
<w:p>
<w:pPr><w:pStyle w:val="Normal"/></w:pPr>
<w:r><w:t xml:space="preserve">was not to be despised: in 426 their archers and slingers</w:t></w:r>
</w:p>
<w:p>
<w:pPr><w:pStyle w:val="Normal"/></w:pPr>
<w:r><w:t xml:space="preserve">easily repelled an Athenian invasion under Demosthenes.  In</w:t></w:r>
</w:p>
<w:p>
<w:pPr><w:pStyle w:val="Normal"/></w:pPr>
<w:r><w:t xml:space="preserve">the 4th century the Aetolians began to take a greater part</w:t></w:r>
</w:p>
<w:p>
<w:pPr><w:pStyle w:val="Normal"/></w:pPr>
<w:r><w:t xml:space="preserve">in Greek politics, and, in return for helping Epaminondas</w:t></w:r>
</w:p>
<w:p>
<w:pPr><w:pStyle w:val="Normal"/></w:pPr>
<w:r><w:t xml:space="preserve">(367) and Philip of Macedon (338), recovered control of their</w:t></w:r>
</w:p>
<w:p>
<w:pPr><w:pStyle w:val="Normal"/></w:pPr>
<w:r><w:t xml:space="preserve">sea-board, to which they annexed the Acarnanian coast and the</w:t></w:r>
</w:p>
<w:p>
<w:pPr><w:pStyle w:val="Normal"/></w:pPr>
<w:r><w:t xml:space="preserve">Oeniadae.  Aetolia&apos;s prosperity dates from the period of</w:t></w:r>
</w:p>
<w:p>
<w:pPr><w:pStyle w:val="Normal"/></w:pPr>
<w:r><w:t xml:space="preserve">Macedonian supremacy.  It may be ascribed partly to the wealth</w:t></w:r>
</w:p>
<w:p>
<w:pPr><w:pStyle w:val="Normal"/></w:pPr>
<w:r><w:t xml:space="preserve">and influence acquired by Aetolian mercenaries in Hellenistic</w:t></w:r>
</w:p>
<w:p>
<w:pPr><w:pStyle w:val="Normal"/></w:pPr>
<w:r><w:t xml:space="preserve">courts, but chiefly to the formation of a national Aetolian</w:t></w:r>
</w:p>
<w:p>
<w:pPr><w:pStyle w:val="Normal"/></w:pPr>
<w:r><w:t xml:space="preserve">league, the first effective institution of this kind in</w:t></w:r>
</w:p>
<w:p>
<w:pPr><w:pStyle w:val="Normal"/></w:pPr>
<w:r><w:t xml:space="preserve">Greece.  Created originally to meet the peril of an invasion</w:t></w:r>
</w:p>
<w:p>
<w:pPr><w:pStyle w:val="Normal"/></w:pPr>
<w:r><w:t xml:space="preserve">by the Macedonian regents Antipater and Craterus, who had</w:t></w:r>
</w:p>
<w:p>
<w:pPr><w:pStyle w:val="Normal"/></w:pPr>
<w:r><w:t xml:space="preserve">undertaken a punitive expedition against Aetolia after the</w:t></w:r>
</w:p>
<w:p>
<w:pPr><w:pStyle w:val="Normal"/></w:pPr>
<w:r><w:t xml:space="preserve">Lamian War (322), and by Cassander (314-311), the confederacy</w:t></w:r>
</w:p>
<w:p>
<w:pPr><w:pStyle w:val="Normal"/></w:pPr>
<w:r><w:t xml:space="preserve">grew rapidly during the subsequent period of Macedonian</w:t></w:r>
</w:p>
<w:p>
<w:pPr><w:pStyle w:val="Normal"/></w:pPr>
<w:r><w:t xml:space="preserve">weakness.  Since 290 it had extended its power over all the</w:t></w:r>
</w:p>
<w:p>
<w:pPr><w:pStyle w:val="Normal"/></w:pPr>
<w:r><w:t xml:space="preserve">uplands of central Greece, where its command over Heracleia</w:t></w:r>
</w:p>
<w:p>
<w:pPr><w:pStyle w:val="Normal"/></w:pPr>
<w:r><w:t xml:space="preserve">(280) provided it with an important defensive position against</w:t></w:r>
</w:p>
<w:p>
<w:pPr><w:pStyle w:val="Normal"/></w:pPr>
<w:r><w:t xml:space="preserve">northern invaders, its control of Delphi and the Amphictyonic</w:t></w:r>
</w:p>
<w:p>
<w:pPr><w:pStyle w:val="Normal"/></w:pPr>
<w:r><w:t xml:space="preserve">council with a useful political instrument.  The valour of the</w:t></w:r>
</w:p>
<w:p>
<w:pPr><w:pStyle w:val="Normal"/></w:pPr>
<w:r><w:t xml:space="preserve">Aetolians was conspicuously displayed in 279, when they broke the</w:t></w:r>
</w:p>
<w:p>
<w:pPr><w:pStyle w:val="Normal"/></w:pPr>
<w:r><w:t xml:space="preserve">strength of the Celtic irruption by slaughtering great hordes of</w:t></w:r>
</w:p>
<w:p>
<w:pPr><w:pStyle w:val="Normal"/></w:pPr>
<w:r><w:t xml:space="preserve">marauders.  The commemorative festival of the Soteria, which</w:t></w:r>
</w:p>
<w:p>
<w:pPr><w:pStyle w:val="Normal"/></w:pPr>
<w:r><w:t xml:space="preserve">the league established at Delphi, obtained recognition from</w:t></w:r>
</w:p>
<w:p>
<w:pPr><w:pStyle w:val="Normal"/></w:pPr>
<w:r><w:t xml:space="preserve">many leading Greek states.  After annexing Boeotia (by 245)</w:t></w:r>
</w:p>
<w:p>
<w:pPr><w:pStyle w:val="Normal"/></w:pPr>
<w:r><w:t xml:space="preserve">the Aetolians controlled all central Greece.  Endeavouring</w:t></w:r>
</w:p>
<w:p>
<w:pPr><w:pStyle w:val="Normal"/></w:pPr>
<w:r><w:t xml:space="preserve">next to expand into Peloponnesus, they allied themselves with</w:t></w:r>
</w:p>
<w:p>
<w:pPr><w:pStyle w:val="Normal"/></w:pPr>
<w:r><w:t xml:space="preserve">Antigonus Gonatas of Macedonia against the Achaean league</w:t></w:r>
</w:p>
<w:p>
<w:pPr><w:pStyle w:val="Normal"/></w:pPr>
<w:r><w:t xml:space="preserve">(q.v.), and besides becoming protectors of Elis and Messenia</w:t></w:r>
</w:p>
<w:p>
<w:pPr><w:pStyle w:val="Normal"/></w:pPr>
<w:r><w:t xml:space="preserve">won several Arcadian cities.  Their naval power extended to</w:t></w:r>
</w:p>
<w:p>
<w:pPr><w:pStyle w:val="Normal"/></w:pPr>
<w:r><w:t xml:space="preserve">Cephalonia, to the Aegaean islands and even to the Hellespont.</w:t></w:r>
</w:p>
<w:p>
<w:pPr><w:pStyle w:val="Normal"/></w:pPr>
<w:r><w:t xml:space="preserve">The league at its zenith had thus a truly imperial status.</w:t></w:r>
</w:p>
<w:p>
<w:pPr><w:pStyle w:val="Normal"/></w:pPr>
<w:r><w:t xml:space="preserve">Later in the century its power began to he sapped by Macedonia.</w:t></w:r>
</w:p>
<w:p>
<w:pPr><w:pStyle w:val="Normal"/></w:pPr>
<w:r><w:t xml:space="preserve">To check King Demetrius (239-229) the Aetolians joined arms</w:t></w:r>
</w:p>
<w:p>
<w:pPr><w:pStyle w:val="Normal"/></w:pPr>
<w:r><w:t xml:space="preserve">with the Achaeans.  In 224 they held Heracleia Trachis against</w:t></w:r>
</w:p>
<w:p>
<w:pPr><w:pStyle w:val="Normal"/></w:pPr>
<w:r><w:t xml:space="preserve">Antigonus Doson, but lost control of Boeotia and Phocis.</w:t></w:r>
</w:p>
<w:p>
<w:pPr><w:pStyle w:val="Normal"/></w:pPr>
<w:r><w:t xml:space="preserve">Since 228 their Arcadian possessions had been abandoned to</w:t></w:r>
</w:p>
<w:p>
<w:pPr><w:pStyle w:val="Normal"/></w:pPr>
<w:r><w:t xml:space="preserve">Sparta.  At the same time a new enemy arose in the Illyrian</w:t></w:r>
</w:p>
<w:p>
<w:pPr><w:pStyle w:val="Normal"/></w:pPr>
<w:r><w:t xml:space="preserve">pirate fleets, which outdid them in unscrupulousness and</w:t></w:r>
</w:p>
<w:p>
<w:pPr><w:pStyle w:val="Normal"/></w:pPr>
<w:r><w:t xml:space="preserve">violence.  The raids of two Aetolian chiefs in Achaean</w:t></w:r>
</w:p>
<w:p>
<w:pPr><w:pStyle w:val="Normal"/></w:pPr>
<w:r><w:t xml:space="preserve">territory (220) led to a coalition between Achaea and Philip</w:t></w:r>
</w:p>
<w:p>
<w:pPr><w:pStyle w:val="Heading1"/></w:pPr>
<w:r><w:t>V. of Macedon, who assailed the invaders with great energy,</w:t></w:r>
</w:p>
<w:p>
<w:pPr><w:pStyle w:val="Normal"/></w:pPr>
<w:r><w:t xml:space="preserve">driving them out of Peloponnesus and marching into Aetolia</w:t></w:r>
</w:p>
<w:p>
<w:pPr><w:pStyle w:val="Normal"/></w:pPr>
<w:r><w:t xml:space="preserve">itself, where he surprised and sacked the federal capital</w:t></w:r>
</w:p>
<w:p>
<w:pPr><w:pStyle w:val="Normal"/></w:pPr>
<w:r><w:t xml:space="preserve">Thermon.  After buying peace by the cession of Acarnania</w:t></w:r>
</w:p>
<w:p>
<w:pPr><w:pStyle w:val="Normal"/></w:pPr>
<w:r><w:t xml:space="preserve">(217) the league concluded a compact with Rome, in which</w:t></w:r>
</w:p>
<w:p>
<w:pPr><w:pStyle w:val="Normal"/></w:pPr>
<w:r><w:t xml:space="preserve">both states agreed to plunder ruthlessly their common enemies</w:t></w:r>
</w:p>
<w:p>
<w:pPr><w:pStyle w:val="Normal"/></w:pPr>
<w:r><w:t xml:space="preserve">(211).  In the great war of their Roman allies against Philip</w:t></w:r>
</w:p>
<w:p>
<w:pPr><w:pStyle w:val="Normal"/></w:pPr>
<w:r><w:t xml:space="preserve">the federal troops took a prominent part, their cavalry being</w:t></w:r>
</w:p>
<w:p>
<w:pPr><w:pStyle w:val="Normal"/></w:pPr>
<w:r><w:t xml:space="preserve">largely responsible for the victory of Cynoscephalae (197).  The</w:t></w:r>
</w:p>
<w:p>
<w:pPr><w:pStyle w:val="Normal"/></w:pPr>
<w:r><w:t xml:space="preserve">Romans in return restored central Greece to the league, but by</w:t></w:r>
</w:p>
<w:p>
<w:pPr><w:pStyle w:val="Normal"/></w:pPr>
<w:r><w:t xml:space="preserve">withholding its former Thessalian possessions excited its deep</w:t></w:r>
</w:p>
<w:p>
<w:pPr><w:pStyle w:val="Normal"/></w:pPr>
<w:r><w:t xml:space="preserve">resentment.  The Aetolians now invited Antiochus III. of</w:t></w:r>
</w:p>
<w:p>
<w:pPr><w:pStyle w:val="Normal"/></w:pPr>
<w:r><w:t xml:space="preserve">Syria to European Greece, and so precipitated a conflict with</w:t></w:r>
</w:p>
<w:p>
<w:pPr><w:pStyle w:val="Normal"/></w:pPr>
<w:r><w:t xml:space="preserve">Rome.  But in the war they threw away their chances.  In 192</w:t></w:r>
</w:p>
<w:p>
<w:pPr><w:pStyle w:val="Normal"/></w:pPr>
<w:r><w:t xml:space="preserve">they wasted themselves in an unsuccessful attempt to secure</w:t></w:r>
</w:p>
<w:p>
<w:pPr><w:pStyle w:val="Normal"/></w:pPr>
<w:r><w:t xml:space="preserve">Sparta.  In 191 they supported Antiochus badly, and by their</w:t></w:r>
</w:p>
<w:p>
<w:pPr><w:pStyle w:val="Normal"/></w:pPr>
<w:r><w:t xml:space="preserve">slackness in the defence of Thermopylae made his position</w:t></w:r>
</w:p>
<w:p>
<w:pPr><w:pStyle w:val="Normal"/></w:pPr>
<w:r><w:t xml:space="preserve">in Greece untenable.  Having thus isolated themselves the</w:t></w:r>
</w:p>
<w:p>
<w:pPr><w:pStyle w:val="Normal"/></w:pPr>
<w:r><w:t xml:space="preserve">Aetolians stood at bay behind their walls against the Romans,</w:t></w:r>
</w:p>
<w:p>
<w:pPr><w:pStyle w:val="Normal"/></w:pPr>
<w:r><w:t xml:space="preserve">who refused all compromises, and, after the general surrender</w:t></w:r>
</w:p>
<w:p>
<w:pPr><w:pStyle w:val="Normal"/></w:pPr>
<w:r><w:t xml:space="preserve">in 189, restricted the league to Aetolia proper and assumed</w:t></w:r>
</w:p>
<w:p>
<w:pPr><w:pStyle w:val="Normal"/></w:pPr>
<w:r><w:t xml:space="preserve">control over its foreign relations.  In 167 the country suffered</w:t></w:r>
</w:p>
<w:p>
<w:pPr><w:pStyle w:val="Normal"/></w:pPr>
<w:r><w:t xml:space="preserve">severely from the intrigues of a philo-Roman party, which</w:t></w:r>
</w:p>
<w:p>
<w:pPr><w:pStyle w:val="Normal"/></w:pPr>
<w:r><w:t xml:space="preserve">caused a series of judicial murders and the deportation of</w:t></w:r>
</w:p>
<w:p>
<w:pPr><w:pStyle w:val="Normal"/></w:pPr>
<w:r><w:t xml:space="preserve">many patriots to Italy.  By the time of Sulla, when the league</w:t></w:r>
</w:p>
<w:p>
<w:pPr><w:pStyle w:val="Normal"/></w:pPr>
<w:r><w:t xml:space="preserve">is mentioned for the last time, its functions were purely</w:t></w:r>
</w:p>
<w:p>
<w:pPr><w:pStyle w:val="Normal"/></w:pPr>
<w:r><w:t xml:space="preserve">nominal.  The federal constitution closely resembled that of</w:t></w:r>
</w:p>
<w:p>
<w:pPr><w:pStyle w:val="Normal"/></w:pPr>
<w:r><w:t xml:space="preserve">the Achaean league (q.v.), for which it doubtless served as a</w:t></w:r>
</w:p>
<w:p>
<w:pPr><w:pStyle w:val="Normal"/></w:pPr>
<w:r><w:t xml:space="preserve">model.  The general assembly, convoked every autumn at Thermon</w:t></w:r>
</w:p>
<w:p>
<w:pPr><w:pStyle w:val="Normal"/></w:pPr>
<w:r><w:t xml:space="preserve">to elect officials, and at other places in special emergencies,</w:t></w:r>
</w:p>
<w:p>
<w:pPr><w:pStyle w:val="Normal"/></w:pPr>
<w:r><w:t xml:space="preserve">shaped the league&apos;s general policy; it was nominally open</w:t></w:r>
</w:p>
<w:p>
<w:pPr><w:pStyle w:val="Normal"/></w:pPr>
<w:r><w:t xml:space="preserve">to all freemen, though no doubt the Aetolian chieftains</w:t></w:r>
</w:p>
<w:p>
<w:pPr><w:pStyle w:val="Normal"/></w:pPr>
<w:r><w:t xml:space="preserve">really controlled it.  The council of deputies from the</w:t></w:r>
</w:p>
<w:p>
<w:pPr><w:pStyle w:val="Normal"/></w:pPr>
<w:r><w:t xml:space="preserve">confederate cities undertook the routine of administration and</w:t></w:r>
</w:p>
<w:p>
<w:pPr><w:pStyle w:val="Normal"/></w:pPr>
<w:r><w:t xml:space="preserve">jurisdiction.  The strategus (general), aided by 30 apocleti</w:t></w:r>
</w:p>
<w:p>
<w:pPr><w:pStyle w:val="Normal"/></w:pPr>
<w:r><w:t xml:space="preserve">(ministers), had complete control in the field and presided</w:t></w:r>
</w:p>
<w:p>
<w:pPr><w:pStyle w:val="Normal"/></w:pPr>
<w:r><w:t xml:space="preserve">over the assembly, though with restricted advisory powers.  The</w:t></w:r>
</w:p>
<w:p>
<w:pPr><w:pStyle w:val="Normal"/></w:pPr>
<w:r><w:t xml:space="preserve">Aetolians also used the Amphictyonic synod for passing solemn</w:t></w:r>
</w:p>
<w:p>
<w:pPr><w:pStyle w:val="Normal"/></w:pPr>
<w:r><w:t xml:space="preserve">enactments.  The league&apos;s relation to outlying dependencies</w:t></w:r>
</w:p>
<w:p>
<w:pPr><w:pStyle w:val="Normal"/></w:pPr>
<w:r><w:t xml:space="preserve">is obscure; many of these were probably mere protectorates or</w:t></w:r>
</w:p>
<w:p>
<w:pPr><w:pStyle w:val="Normal"/></w:pPr>
<w:r><w:t xml:space="preserve">``allied states&apos;&apos; and secured no representation.  The federal</w:t></w:r>
</w:p>
<w:p>
<w:pPr><w:pStyle w:val="Normal"/></w:pPr>
<w:r><w:t xml:space="preserve">executive was certainly much more efficient than that of the</w:t></w:r>
</w:p>
<w:p>
<w:pPr><w:pStyle w:val="Normal"/></w:pPr>
<w:r><w:t xml:space="preserve">Achaeans, and its councils suffered less from disunion; but</w:t></w:r>
</w:p>
<w:p>
<w:pPr><w:pStyle w:val="Normal"/></w:pPr>
<w:r><w:t xml:space="preserve">its generals and admirals, official or otherwise, enjoyed undue</w:t></w:r>
</w:p>
<w:p>
<w:pPr><w:pStyle w:val="Normal"/></w:pPr>
<w:r><w:t xml:space="preserve">licence; hence the league deservedly gained an evil name for</w:t></w:r>
</w:p>
<w:p>
<w:pPr><w:pStyle w:val="Normal"/></w:pPr>
<w:r><w:t xml:space="preserve">the numerous acts of lawlessness or violence which its troops</w:t></w:r>
</w:p>
<w:p>
<w:pPr><w:pStyle w:val="Normal"/></w:pPr>
<w:r><w:t xml:space="preserve">committed.  But as a champion of republican Greece against</w:t></w:r>
</w:p>
<w:p>
<w:pPr><w:pStyle w:val="Normal"/></w:pPr>
<w:r><w:t xml:space="preserve">foreign enemies no other power of the age rendered equal</w:t></w:r>
</w:p>
<w:p>
<w:pPr><w:pStyle w:val="Normal"/></w:pPr>
<w:r><w:t xml:space="preserve">services.  After the first overthrow of the Byzantine</w:t></w:r>
</w:p>
<w:p>
<w:pPr><w:pStyle w:val="Normal"/></w:pPr>
<w:r><w:t xml:space="preserve">empire Aetolia passed to a branch of the old imperial house</w:t></w:r>
</w:p>
<w:p>
<w:pPr><w:pStyle w:val="Normal"/></w:pPr>
<w:r><w:t xml:space="preserve">(1205).  In the 15th century it was held by Scanderbeg</w:t></w:r>
</w:p>
<w:p>
<w:pPr><w:pStyle w:val="Normal"/></w:pPr>
<w:r><w:t xml:space="preserve">(q.v.) and by the Venetians, but Mahommed II. brought it</w:t></w:r>
</w:p>
<w:p>
<w:pPr><w:pStyle w:val="Normal"/></w:pPr>
<w:r><w:t xml:space="preserve">definitely under Turkish rule.  In the War of Independence</w:t></w:r>
</w:p>
<w:p>
<w:pPr><w:pStyle w:val="Normal"/></w:pPr>
<w:r><w:t xml:space="preserve">the Aetolians by their stubborn defence, culminating in the</w:t></w:r>
</w:p>
<w:p>
<w:pPr><w:pStyle w:val="Normal"/></w:pPr>
<w:r><w:t xml:space="preserve">sieges of Missolonghi (q.v.), formed the backbone of the</w:t></w:r>
</w:p>
<w:p>
<w:pPr><w:pStyle w:val="Normal"/></w:pPr>
<w:r><w:t xml:space="preserve">rebellion.  Northern Aetolia remains a desolate region,</w:t></w:r>
</w:p>
<w:p>
<w:pPr><w:pStyle w:val="Normal"/></w:pPr>
<w:r><w:t xml:space="preserve">inhabited mainly by Vlach shepherds.  The south-western plain,</w:t></w:r>
</w:p>
<w:p>
<w:pPr><w:pStyle w:val="Normal"/></w:pPr>
<w:r><w:t xml:space="preserve">though rendered unhealthy by lagoons, and central Aetolia</w:t></w:r>
</w:p>
<w:p>
<w:pPr><w:pStyle w:val="Normal"/></w:pPr>
<w:r><w:t xml:space="preserve">yield good crops of currants, vine, maize and tobacco, which</w:t></w:r>
</w:p>
<w:p>
<w:pPr><w:pStyle w:val="Normal"/></w:pPr>
<w:r><w:t xml:space="preserve">are conveyed by railway from Agrinion and Anatolikon to the</w:t></w:r>
</w:p>
<w:p>
<w:pPr><w:pStyle w:val="Normal"/></w:pPr>
<w:r><w:t xml:space="preserve">coast.  The country, which forms part of the modern department</w:t></w:r>
</w:p>
<w:p>
<w:pPr><w:pStyle w:val="Normal"/></w:pPr>
<w:r><w:t xml:space="preserve">of Acarnania and Aetolia, contains numerous fragments of ancient</w:t></w:r>
</w:p>
<w:p>
<w:pPr><w:pStyle w:val="Normal"/></w:pPr>
<w:r><w:t xml:space="preserve">fortifications.  It has contributed a notable Droportion of</w:t></w:r>
</w:p>
<w:p>
<w:pPr><w:pStyle w:val="Normal"/></w:pPr>
<w:r><w:t xml:space="preserve">distinguished men to modern Greece.  Diodorus xviii. 24. 5;</w:t></w:r>
</w:p>
<w:p>
<w:pPr><w:pStyle w:val="Normal"/></w:pPr>
<w:r><w:t xml:space="preserve">Pausanias x. 20 sq.; Polybius and Livy passim; W. J. Woodhouse,</w:t></w:r>
</w:p>
<w:p>
<w:pPr><w:pStyle w:val="Normal"/></w:pPr>
<w:r><w:t xml:space="preserve">Aetolia (Oxford, 1897); M. Dubois, Les Lieues acheenne et</w:t></w:r>
</w:p>
<w:p>
<w:pPr><w:pStyle w:val="Normal"/></w:pPr>
<w:r><w:t xml:space="preserve">etolienne (Paris, 1885); E. A. Freeman, Federal Government</w:t></w:r>
</w:p>
<w:p>
<w:pPr><w:pStyle w:val="Normal"/></w:pPr>
<w:r><w:t xml:space="preserve">(ed. 1893, London), ch. vi.; B. V. Head, Historia Numorum</w:t></w:r>
</w:p>
<w:p>
<w:pPr><w:pStyle w:val="Normal"/></w:pPr>
<w:r><w:t xml:space="preserve">(Oxford, 1887), pp. 283-284; M. Holleaux in Bulletin de</w:t></w:r>
</w:p>
<w:p>
<w:pPr><w:pStyle w:val="Normal"/></w:pPr>
<w:r><w:t xml:space="preserve">Correspondance Hellenique (1905, pp. 362-372l; G. Sotiriades</w:t></w:r>
</w:p>
<w:p>
<w:pPr><w:pStyle w:val="Normal"/></w:pPr>
<w:r><w:t xml:space="preserve">in `Efemeris `Arxaiologike, (1900) pp. 163-212, (1903)</w:t></w:r>
</w:p>
<w:p>
<w:pPr><w:pStyle w:val="Normal"/></w:pPr>
<w:r><w:t xml:space="preserve">pp. 73-94, and in Bulletin de Correspondance Hellenique</w:t></w:r>
</w:p>
<w:p>
<w:pPr><w:pStyle w:val="Normal"/></w:pPr>
<w:r><w:t xml:space="preserve">(1907), pp. 139-184: C. Salvetti in Studi di Storia</w:t></w:r>
</w:p>
<w:p>
<w:pPr><w:pStyle w:val="Normal"/></w:pPr>
<w:r><w:t xml:space="preserve">Antica, vol. ii. (Rome, 1893), pp. 270-320. (M. O. B. C.)</w:t></w:r>
</w:p>
<w:p>
<w:pPr><w:pStyle w:val="Normal"/></w:pPr>
<w:r><w:t xml:space="preserve">AFARS (DANAHIL), a tribe of African ``Arabs&apos;&apos; of Hamitic</w:t></w:r>
</w:p>
<w:p>
<w:pPr><w:pStyle w:val="Normal"/></w:pPr>
<w:r><w:t xml:space="preserve">stock.  They occupy the arid coast-lands between Abyssinia</w:t></w:r>
</w:p>
<w:p>
<w:pPr><w:pStyle w:val="Normal"/></w:pPr>
<w:r><w:t xml:space="preserve">and the sea.  They claim to be Arabs, but are more akin to</w:t></w:r>
</w:p>
<w:p>
<w:pPr><w:pStyle w:val="Normal"/></w:pPr>
<w:r><w:t xml:space="preserve">the Galla and Somali.  The tribe is roughly divisible into</w:t></w:r>
</w:p>
<w:p>
<w:pPr><w:pStyle w:val="Normal"/></w:pPr>
<w:r><w:t xml:space="preserve">a pastoral and a coast-dwelling group.  Their religion is</w:t></w:r>
</w:p>
<w:p>
<w:pPr><w:pStyle w:val="Normal"/></w:pPr>
<w:r><w:t xml:space="preserve">chiefly fetish and tree-worship; many, nominally, profess</w:t></w:r>
</w:p>
<w:p>
<w:pPr><w:pStyle w:val="Normal"/></w:pPr>
<w:r><w:t xml:space="preserve">Mahommedanism.  They are distinguished by narrow straight</w:t></w:r>
</w:p>
<w:p>
<w:pPr><w:pStyle w:val="Normal"/></w:pPr>
<w:r><w:t xml:space="preserve">noses, thin lips and small pointed chins; their cheekbones</w:t></w:r>
</w:p>
<w:p>
<w:pPr><w:pStyle w:val="Normal"/></w:pPr>
<w:r><w:t xml:space="preserve">are not prominent.  They are more scantily clothed than</w:t></w:r>
</w:p>
<w:p>
<w:pPr><w:pStyle w:val="Normal"/></w:pPr>
<w:r><w:t xml:space="preserve">the Abyssinians or Galla, wearing, generally, nothing but a</w:t></w:r>
</w:p>
<w:p>
<w:pPr><w:pStyle w:val="Normal"/></w:pPr>
<w:r><w:t xml:space="preserve">waist-cloth.  Their women, when quite young, are pretty and</w:t></w:r>
</w:p>
<w:p>
<w:pPr><w:pStyle w:val="Normal"/></w:pPr>
<w:r><w:t xml:space="preserve">graceful.  Their huts are often tastefully decorated, the floors</w:t></w:r>
</w:p>
<w:p>
<w:pPr><w:pStyle w:val="Normal"/></w:pPr>
<w:r><w:t xml:space="preserve">being spread with yellow mats, embroidered with red and violet</w:t></w:r>
</w:p>
<w:p>
<w:pPr><w:pStyle w:val="Normal"/></w:pPr>
<w:r><w:t xml:space="preserve">designs.  The Afars are divided into many sub-tribes, each</w:t></w:r>
</w:p>
<w:p>
<w:pPr><w:pStyle w:val="Normal"/></w:pPr>
<w:r><w:t xml:space="preserve">having an hereditary sultan, whose power is, however, limited.</w:t></w:r>
</w:p>
<w:p>
<w:pPr><w:pStyle w:val="Normal"/></w:pPr>
<w:r><w:t xml:space="preserve">They are desperate fighters and in 1875 successfully resisted</w:t></w:r>
</w:p>
<w:p>
<w:pPr><w:pStyle w:val="Normal"/></w:pPr>
<w:r><w:t xml:space="preserve">an attempt to bring them under Egyptian rule.  In 1883-1888,</w:t></w:r>
</w:p>
<w:p>
<w:pPr><w:pStyle w:val="Normal"/></w:pPr>
<w:r><w:t xml:space="preserve">however, their most important sultan concluded treaties placing</w:t></w:r>
</w:p>
<w:p>
<w:pPr><w:pStyle w:val="Normal"/></w:pPr>
<w:r><w:t xml:space="preserve">his country under Italian protection.  The Afar region is now</w:t></w:r>
</w:p>
<w:p>
<w:pPr><w:pStyle w:val="Normal"/></w:pPr>
<w:r><w:t xml:space="preserve">partly under Abyssinian and partly under Italian authority.</w:t></w:r>
</w:p>
<w:p>
<w:pPr><w:pStyle w:val="Normal"/></w:pPr>
<w:r><w:t xml:space="preserve">The Afars are also found in considerable numbers in French</w:t></w:r>
</w:p>
<w:p>
<w:pPr><w:pStyle w:val="Normal"/></w:pPr>
<w:r><w:t xml:space="preserve">Somaliland.  They have a saying ``Guns are only useful to</w:t></w:r>
</w:p>
<w:p>
<w:pPr><w:pStyle w:val="Normal"/></w:pPr>
<w:r><w:t xml:space="preserve">frighten cowards.&apos;&apos; They were formerly redoubtable pirates,</w:t></w:r>
</w:p>
<w:p>
<w:pPr><w:pStyle w:val="Normal"/></w:pPr>
<w:r><w:t xml:space="preserve">but the descendants of these corsairs are now fishermen,</w:t></w:r>
</w:p>
<w:p>
<w:pPr><w:pStyle w:val="Normal"/></w:pPr>
<w:r><w:t xml:space="preserve">and are the only sailors in the Red Sea who hunt the dugong.</w:t></w:r>
</w:p>
<w:p>
<w:pPr><w:pStyle w:val="Normal"/></w:pPr>
<w:r><w:t xml:space="preserve">P. Paulitschke, Ethnographic Nordost-Afrikas (2 vols.,</w:t></w:r>
</w:p>
<w:p>
<w:pPr><w:pStyle w:val="Normal"/></w:pPr>
<w:r><w:t xml:space="preserve">Berlin, 1893-1896); and Die geographische Erforschung der</w:t></w:r>
</w:p>
<w:p>
<w:pPr><w:pStyle w:val="Normal"/></w:pPr>
<w:r><w:t xml:space="preserve">A dal-Lander und Harars in Ost-Afrika (Leipzig, 1884).</w:t></w:r>
</w:p>
<w:p>
<w:pPr><w:pStyle w:val="Normal"/></w:pPr>
<w:r><w:t xml:space="preserve">AFER, DOMITIUS, a Roman orator and advocate, born at</w:t></w:r>
</w:p>
<w:p>
<w:pPr><w:pStyle w:val="Normal"/></w:pPr>
<w:r><w:t xml:space="preserve">Nemausus (Nimes) in Gallia Narbonensis, flourished in</w:t></w:r>
</w:p>
<w:p>
<w:pPr><w:pStyle w:val="Normal"/></w:pPr>
<w:r><w:t xml:space="preserve">the reigns of Tiberius, Caligula, Claudius and Nero.  His</w:t></w:r>
</w:p>
<w:p>
<w:pPr><w:pStyle w:val="Normal"/></w:pPr>
<w:r><w:t xml:space="preserve">pupil Quintilian calls him the greatest orator he had ever</w:t></w:r>
</w:p>
<w:p>
<w:pPr><w:pStyle w:val="Normal"/></w:pPr>
<w:r><w:t xml:space="preserve">known; but he disgraced his talents by acting as public</w:t></w:r>
</w:p>
<w:p>
<w:pPr><w:pStyle w:val="Normal"/></w:pPr>
<w:r><w:t xml:space="preserve">informer against some of the most distinguished personages in</w:t></w:r>
</w:p>
<w:p>
<w:pPr><w:pStyle w:val="Normal"/></w:pPr>
<w:r><w:t xml:space="preserve">Rome.  He gained the favour of Tiberius by accusing Claudia</w:t></w:r>
</w:p>
<w:p>
<w:pPr><w:pStyle w:val="Normal"/></w:pPr>
<w:r><w:t xml:space="preserve">Pulcra, the widow of Germanicus, of adultery and the use of</w:t></w:r>
</w:p>
<w:p>
<w:pPr><w:pStyle w:val="Normal"/></w:pPr>
<w:r><w:t xml:space="preserve">magic arts against the emperor.  Judicious flattery secured</w:t></w:r>
</w:p>
<w:p>
<w:pPr><w:pStyle w:val="Normal"/></w:pPr>
<w:r><w:t xml:space="preserve">him the consulship under Caligula (39); and under Nero he</w:t></w:r>
</w:p>
<w:p>
<w:pPr><w:pStyle w:val="Normal"/></w:pPr>
<w:r><w:t xml:space="preserve">was superintendent of the water supply.  He died A.D. 60,</w:t></w:r>
</w:p>
<w:p>
<w:pPr><w:pStyle w:val="Normal"/></w:pPr>
<w:r><w:t xml:space="preserve">according to Jerome, of over-eating.  Quintilian quotes some</w:t></w:r>
</w:p>
<w:p>
<w:pPr><w:pStyle w:val="Normal"/></w:pPr>
<w:r><w:t xml:space="preserve">of his witty sayings (dicta), collections of which were</w:t></w:r>
</w:p>
<w:p>
<w:pPr><w:pStyle w:val="Normal"/></w:pPr>
<w:r><w:t xml:space="preserve">published, and mentions two books by him On Witnesses.</w:t></w:r>
</w:p>
<w:p>
<w:pPr><w:pStyle w:val="Normal"/></w:pPr>
<w:r><w:t xml:space="preserve">Quintilian, Instit. vi. 3. 42, viii. 5. 16, x. 1. 118, &amp;c.; Tac.</w:t></w:r>
</w:p>
<w:p>
<w:pPr><w:pStyle w:val="Normal"/></w:pPr>
<w:r><w:t xml:space="preserve">Ann iv. 52; Dio Cassius lix. 19, lx. 33; Pliny, Epp. viii. 18.</w:t></w:r>
</w:p>
<w:p>
<w:pPr><w:pStyle w:val="Normal"/></w:pPr>
<w:r><w:t xml:space="preserve">AFFECTION (Lat. ad, and facere, to do something to,</w:t></w:r>
</w:p>
<w:p>
<w:pPr><w:pStyle w:val="Normal"/></w:pPr>
<w:r><w:t xml:space="preserve">sc. a person), literally, a mental state resulting generally</w:t></w:r>
</w:p>
<w:p>
<w:pPr><w:pStyle w:val="Normal"/></w:pPr>
<w:r><w:t xml:space="preserve">from an external influence.  It is popularly used of a</w:t></w:r>
</w:p>
<w:p>
<w:pPr><w:pStyle w:val="Normal"/></w:pPr>
<w:r><w:t xml:space="preserve">relation between persons amounting to more than goodwill or</w:t></w:r>
</w:p>
<w:p>
<w:pPr><w:pStyle w:val="Normal"/></w:pPr>
<w:r><w:t xml:space="preserve">friendship.  By ethical writers the word has been used generally</w:t></w:r>
</w:p>
<w:p>
<w:pPr><w:pStyle w:val="Normal"/></w:pPr>
<w:r><w:t xml:space="preserve">of distinct states of feeling, both lasting and spasmodic;</w:t></w:r>
</w:p>
<w:p>
<w:pPr><w:pStyle w:val="Normal"/></w:pPr>
<w:r><w:t xml:space="preserve">some contrast it with ``passion&apos;&apos; as being free from the</w:t></w:r>
</w:p>
<w:p>
<w:pPr><w:pStyle w:val="Normal"/></w:pPr>
<w:r><w:t xml:space="preserve">distinctively sensual element.  More specifically the word has</w:t></w:r>
</w:p>
<w:p>
<w:pPr><w:pStyle w:val="Normal"/></w:pPr>
<w:r><w:t xml:space="preserve">been restricted to emotional states which are in relation to</w:t></w:r>
</w:p>
<w:p>
<w:pPr><w:pStyle w:val="Normal"/></w:pPr>
<w:r><w:t xml:space="preserve">persons.  In the former sense, it is the Gr. pathos, and as</w:t></w:r>
</w:p>
<w:p>
<w:pPr><w:pStyle w:val="Normal"/></w:pPr>
<w:r><w:t xml:space="preserve">such it appears in Descartes and most of the early British ethical</w:t></w:r>
</w:p>
<w:p>
<w:pPr><w:pStyle w:val="Normal"/></w:pPr>
<w:r><w:t xml:space="preserve">writers.  On various grounds, however---e.g. that it does</w:t></w:r>
</w:p>
<w:p>
<w:pPr><w:pStyle w:val="Normal"/></w:pPr>
<w:r><w:t xml:space="preserve">not involve anxiety or excitement, that it is comparatively</w:t></w:r>
</w:p>
<w:p>
<w:pPr><w:pStyle w:val="Normal"/></w:pPr>
<w:r><w:t xml:space="preserve">inert and compatible with the entire absence of the sensuous</w:t></w:r>
</w:p>
<w:p>
<w:pPr><w:pStyle w:val="Normal"/></w:pPr>
<w:r><w:t xml:space="preserve">element--At is generally and usefully distingmshed from</w:t></w:r>
</w:p>
<w:p>
<w:pPr><w:pStyle w:val="Normal"/></w:pPr>
<w:r><w:t xml:space="preserve">passion.  In this narrower sense the word has played a great part</w:t></w:r>
</w:p>
<w:p>
<w:pPr><w:pStyle w:val="Normal"/></w:pPr>
<w:r><w:t xml:space="preserve">in ethical systems, which have spoken of the social or parental</w:t></w:r>
</w:p>
<w:p>
<w:pPr><w:pStyle w:val="Normal"/></w:pPr>
<w:r><w:t xml:space="preserve">``affections&apos;&apos; as in some sense a part of moral obligation.</w:t></w:r>
</w:p>
<w:p>
<w:pPr><w:pStyle w:val="Normal"/></w:pPr>
<w:r><w:t xml:space="preserve">For a consideration of these and similar problems, which depend</w:t></w:r>
</w:p>
<w:p>
<w:pPr><w:pStyle w:val="Normal"/></w:pPr>
<w:r><w:t xml:space="preserve">ultimately on the degree in which the affections are regarded as</w:t></w:r>
</w:p>
<w:p>
<w:pPr><w:pStyle w:val="Normal"/></w:pPr>
<w:r><w:t xml:space="preserve">voluntary, see H. Sidgwick, Methods of Ethics, pp. 345-349.</w:t></w:r>
</w:p>
<w:p>
<w:pPr><w:pStyle w:val="Normal"/></w:pPr>
<w:r><w:t xml:space="preserve">In psychology the terms ``affection&apos;&apos; and ``affective&apos;&apos; are</w:t></w:r>
</w:p>
<w:p>
<w:pPr><w:pStyle w:val="Normal"/></w:pPr>
<w:r><w:t xml:space="preserve">of great importance.  As all intellectual phenomena have by</w:t></w:r>
</w:p>
<w:p>
<w:pPr><w:pStyle w:val="Normal"/></w:pPr>
<w:r><w:t xml:space="preserve">experimentalists been reduced to sensation, so all emotion</w:t></w:r>
</w:p>
<w:p>
<w:pPr><w:pStyle w:val="Normal"/></w:pPr>
<w:r><w:t xml:space="preserve">has been and is regarded as reducible to simple mental</w:t></w:r>
</w:p>
<w:p>
<w:pPr><w:pStyle w:val="Normal"/></w:pPr>
<w:r><w:t xml:space="preserve">affection, the element of which all emotional manifestations</w:t></w:r>
</w:p>
<w:p>
<w:pPr><w:pStyle w:val="Normal"/></w:pPr>
<w:r><w:t xml:space="preserve">are ultimately composed.  The nature of this element is a</w:t></w:r>
</w:p>
<w:p>
<w:pPr><w:pStyle w:val="Normal"/></w:pPr>
<w:r><w:t xml:space="preserve">problem which has been provisionally, but not conclusively,</w:t></w:r>
</w:p>
<w:p>
<w:pPr><w:pStyle w:val="Normal"/></w:pPr>
<w:r><w:t xml:space="preserve">solved by many psychologists; the method is necessarily</w:t></w:r>
</w:p>
<w:p>
<w:pPr><w:pStyle w:val="Normal"/></w:pPr>
<w:r><w:t xml:space="preserve">experimental, and all experiments on feeling are peculiarly</w:t></w:r>
</w:p>
<w:p>
<w:pPr><w:pStyle w:val="Normal"/></w:pPr>
<w:r><w:t xml:space="preserve">difficult.  The solutions proposed are two.  In the first,</w:t></w:r>
</w:p>
<w:p>
<w:pPr><w:pStyle w:val="Normal"/></w:pPr>
<w:r><w:t xml:space="preserve">all affection phenomena are primarily divisible into those</w:t></w:r>
</w:p>
<w:p>
<w:pPr><w:pStyle w:val="Normal"/></w:pPr>
<w:r><w:t xml:space="preserve">which are pleasurable and those which are the reverse.  The</w:t></w:r>
</w:p>
<w:p>
<w:pPr><w:pStyle w:val="Normal"/></w:pPr>
<w:r><w:t xml:space="preserve">main objections to this are that it does not explain the</w:t></w:r>
</w:p>
<w:p>
<w:pPr><w:pStyle w:val="Normal"/></w:pPr>
<w:r><w:t xml:space="preserve">infinite variety of phenomena, and that it disregards the</w:t></w:r>
</w:p>
<w:p>
<w:pPr><w:pStyle w:val="Normal"/></w:pPr>
<w:r><w:t xml:space="preserve">distinction which most philosophers admit between higher</w:t></w:r>
</w:p>
<w:p>
<w:pPr><w:pStyle w:val="Normal"/></w:pPr>
<w:r><w:t xml:space="preserve">and lower pleasures.  The second solution is that every</w:t></w:r>
</w:p>
<w:p>
<w:pPr><w:pStyle w:val="Normal"/></w:pPr>
<w:r><w:t xml:space="preserve">sensation has its specific affective quality, though by</w:t></w:r>
</w:p>
<w:p>
<w:pPr><w:pStyle w:val="Normal"/></w:pPr>
<w:r><w:t xml:space="preserve">reason of the poverty of language many of these have no</w:t></w:r>
</w:p>
<w:p>
<w:pPr><w:pStyle w:val="Normal"/></w:pPr>
<w:r><w:t xml:space="preserve">name.  W. Wundt, Outlines of Psychology (trans.  C. H.</w:t></w:r>
</w:p>
<w:p>
<w:pPr><w:pStyle w:val="Normal"/></w:pPr>
<w:r><w:t xml:space="preserve">Judd, Leipzig, 1897), maintains that we may group under three</w:t></w:r>
</w:p>
<w:p>
<w:pPr><w:pStyle w:val="Normal"/></w:pPr>
<w:r><w:t xml:space="preserve">main affective directions, each with its negative, all the</w:t></w:r>
</w:p>
<w:p>
<w:pPr><w:pStyle w:val="Normal"/></w:pPr>
<w:r><w:t xml:space="preserve">infinite varieties in question; these are (a) pleasure,</w:t></w:r>
</w:p>
<w:p>
<w:pPr><w:pStyle w:val="Normal"/></w:pPr>
<w:r><w:t xml:space="preserve">or rather pleasantness, and the reverse, (b) tension and</w:t></w:r>
</w:p>
<w:p>
<w:pPr><w:pStyle w:val="Normal"/></w:pPr>
<w:r><w:t xml:space="preserve">relaxation, (c) excitement and depression.  These two</w:t></w:r>
</w:p>
<w:p>
<w:pPr><w:pStyle w:val="Normal"/></w:pPr>
<w:r><w:t xml:space="preserve">views are antithetic and no solution has been discovered.</w:t></w:r>
</w:p>
<w:p>
<w:pPr><w:pStyle w:val="Normal"/></w:pPr>
<w:r><w:t xml:space="preserve">Two obvious methods of experiment have been tried.  The first,</w:t></w:r>
</w:p>
<w:p>
<w:pPr><w:pStyle w:val="Normal"/></w:pPr>
<w:r><w:t xml:space="preserve">introduced by A. Mosso, the Italian psychologist, consists in</w:t></w:r>
</w:p>
<w:p>
<w:pPr><w:pStyle w:val="Normal"/></w:pPr>
<w:r><w:t xml:space="preserve">recording the physical phenomena which are observed to accompany</w:t></w:r>
</w:p>
<w:p>
<w:pPr><w:pStyle w:val="Normal"/></w:pPr>
<w:r><w:t xml:space="preserve">modifications of the affective consciousness.  Thus it is found</w:t></w:r>
</w:p>
<w:p>
<w:pPr><w:pStyle w:val="Normal"/></w:pPr>
<w:r><w:t xml:space="preserve">that the action of the heart is accelerated by pleasant, and</w:t></w:r>
</w:p>
<w:p>
<w:pPr><w:pStyle w:val="Normal"/></w:pPr>
<w:r><w:t xml:space="preserve">retarded by unpleasant, stimuli; again, changes of weight and</w:t></w:r>
</w:p>
<w:p>
<w:pPr><w:pStyle w:val="Normal"/></w:pPr>
<w:r><w:t xml:space="preserve">volume are found to accompany modifications of affection--and so</w:t></w:r>
</w:p>
<w:p>
<w:pPr><w:pStyle w:val="Normal"/></w:pPr>
<w:r><w:t xml:space="preserve">on.  Apart altogether from the facts that this investigation</w:t></w:r>
</w:p>
<w:p>
<w:pPr><w:pStyle w:val="Normal"/></w:pPr>
<w:r><w:t xml:space="preserve">is still in its infancy and that the conditions of experiment</w:t></w:r>
</w:p>
<w:p>
<w:pPr><w:pStyle w:val="Normal"/></w:pPr>
<w:r><w:t xml:space="preserve">are insufficiently understood, its ultimate success is rendered</w:t></w:r>
</w:p>
<w:p>
<w:pPr><w:pStyle w:val="Normal"/></w:pPr>
<w:r><w:t xml:space="preserve">highly problematical by the essential fact that real scientific</w:t></w:r>
</w:p>
<w:p>
<w:pPr><w:pStyle w:val="Normal"/></w:pPr>
<w:r><w:t xml:space="preserve">results can be achieved only by data recorded in connexion with</w:t></w:r>
</w:p>
<w:p>
<w:pPr><w:pStyle w:val="Normal"/></w:pPr>
<w:r><w:t xml:space="preserve">a perfectly normal subject; a conscious or interested subject</w:t></w:r>
</w:p>
<w:p>
<w:pPr><w:pStyle w:val="Normal"/></w:pPr>
<w:r><w:t xml:space="preserve">introduces variable factors which are probably incalculable.</w:t></w:r>
</w:p>
<w:p>
<w:pPr><w:pStyle w:val="Normal"/></w:pPr>
<w:r><w:t xml:space="preserve">The second is Fechner&apos;s method; it consists of recording the</w:t></w:r>
</w:p>
<w:p>
<w:pPr><w:pStyle w:val="Normal"/></w:pPr>
<w:r><w:t xml:space="preserve">changes in feeling-tone produced in a subject by bringing him in</w:t></w:r>
</w:p>
<w:p>
<w:pPr><w:pStyle w:val="Normal"/></w:pPr>
<w:r><w:t xml:space="preserve">contact with a series of conditions, objects or stimuli graduated</w:t></w:r>
</w:p>
<w:p>
<w:pPr><w:pStyle w:val="Normal"/></w:pPr>
<w:r><w:t xml:space="preserve">according to a scientific plan and presented singly in pairs or in</w:t></w:r>
</w:p>
<w:p>
<w:pPr><w:pStyle w:val="Normal"/></w:pPr>
<w:r><w:t xml:space="preserve">groups.  The result is a comparative table of likes and dislikes.</w:t></w:r>
</w:p>
<w:p>
<w:pPr><w:pStyle w:val="Normal"/></w:pPr>
<w:r><w:t xml:space="preserve">Mention should also be made of a third method which has</w:t></w:r>
</w:p>
<w:p>
<w:pPr><w:pStyle w:val="Normal"/></w:pPr>
<w:r><w:t xml:space="preserve">hardly yet been tried, namely, that of endeavouring to</w:t></w:r>
</w:p>
<w:p>
<w:pPr><w:pStyle w:val="Normal"/></w:pPr>
<w:r><w:t xml:space="preserve">isolate one of the three ``directions&apos;&apos; by the method</w:t></w:r>
</w:p>
<w:p>
<w:pPr><w:pStyle w:val="Normal"/></w:pPr>
<w:r><w:t xml:space="preserve">of suggestion or even hypnotic trance observations.</w:t></w:r>
</w:p>
<w:p>
<w:pPr><w:pStyle w:val="Normal"/></w:pPr>
<w:r><w:t xml:space="preserve">For the subject of emotion in general see modern text-books of</w:t></w:r>
</w:p>
<w:p>
<w:pPr><w:pStyle w:val="Normal"/></w:pPr>
<w:r><w:t xml:space="preserve">psychology, e.g. those of J. Sully, W. James, G. T. Fechner, O.</w:t></w:r>
</w:p>
<w:p>
<w:pPr><w:pStyle w:val="Normal"/></w:pPr>
<w:r><w:t xml:space="preserve">Kulpe; Angelo Mosso, La Paura (Milan, 1884, 1900; Eng. trans.</w:t></w:r>
</w:p>
<w:p>
<w:pPr><w:pStyle w:val="Normal"/></w:pPr>
<w:r><w:t xml:space="preserve">E. Lough and F. Kiesow, Lond. 1896); E. B. Titchener, Experimental</w:t></w:r>
</w:p>
<w:p>
<w:pPr><w:pStyle w:val="Normal"/></w:pPr>
<w:r><w:t xml:space="preserve">Psychology (1905); art. PSYCHOLOGY and works there quoted.</w:t></w:r>
</w:p>
<w:p>
<w:pPr><w:pStyle w:val="Normal"/></w:pPr>
<w:r><w:t xml:space="preserve">AFFIDAVIT (Med.  Lat. for ``he has declared upon oath,&apos;&apos;</w:t></w:r>
</w:p>
<w:p>
<w:pPr><w:pStyle w:val="Normal"/></w:pPr>
<w:r><w:t xml:space="preserve">from affidare, fides, faith), a written statement sworn</w:t></w:r>
</w:p>
<w:p>
<w:pPr><w:pStyle w:val="Normal"/></w:pPr>
<w:r><w:t xml:space="preserve">or affirmed to before some person who has authority to</w:t></w:r>
</w:p>
<w:p>
<w:pPr><w:pStyle w:val="Normal"/></w:pPr>
<w:r><w:t xml:space="preserve">administer an oath or affirmation.  Evidence is chiefly</w:t></w:r>
</w:p>
<w:p>
<w:pPr><w:pStyle w:val="Normal"/></w:pPr>
<w:r><w:t xml:space="preserve">taken by means of affidavits in the Chancery Division of the</w:t></w:r>
</w:p>
<w:p>
<w:pPr><w:pStyle w:val="Normal"/></w:pPr>
<w:r><w:t xml:space="preserve">High Court of Justice in England on a petition, summons or</w:t></w:r>
</w:p>
<w:p>
<w:pPr><w:pStyle w:val="Normal"/></w:pPr>
<w:r><w:t xml:space="preserve">motion.  Interlocutory proceedings before trial are conducted</w:t></w:r>
</w:p>
<w:p>
<w:pPr><w:pStyle w:val="Normal"/></w:pPr>
<w:r><w:t xml:space="preserve">by affidavits, e.g. for discovery of documents, hence</w:t></w:r>
</w:p>
<w:p>
<w:pPr><w:pStyle w:val="Normal"/></w:pPr>
<w:r><w:t xml:space="preserve">called affidavit of documents. Affidavits are sometimes</w:t></w:r>
</w:p>
<w:p>
<w:pPr><w:pStyle w:val="Normal"/></w:pPr>
<w:r><w:t xml:space="preserve">necessary as certificates that certain formalities have been</w:t></w:r>
</w:p>
<w:p>
<w:pPr><w:pStyle w:val="Normal"/></w:pPr>
<w:r><w:t xml:space="preserve">duly and legally performed (such as service of proceedings,</w:t></w:r>
</w:p>
<w:p>
<w:pPr><w:pStyle w:val="Normal"/></w:pPr>
<w:r><w:t xml:space="preserve">&amp;c.).  They are extensively used in bankruptcy practice, in the</w:t></w:r>
</w:p>
<w:p>
<w:pPr><w:pStyle w:val="Normal"/></w:pPr>
<w:r><w:t xml:space="preserve">administration of the revenue and in the inferior and county</w:t></w:r>
</w:p>
<w:p>
<w:pPr><w:pStyle w:val="Normal"/></w:pPr>
<w:r><w:t xml:space="preserve">courts.  In testamentary causes, all documents of any kind,</w:t></w:r>
</w:p>
<w:p>
<w:pPr><w:pStyle w:val="Normal"/></w:pPr>
<w:r><w:t xml:space="preserve">such as wills, codicils, drafts or instructions of same must</w:t></w:r>
</w:p>
<w:p>
<w:pPr><w:pStyle w:val="Normal"/></w:pPr>
<w:r><w:t xml:space="preserve">be filed in the form of affidavits (termed affidavits of</w:t></w:r>
</w:p>
<w:p>
<w:pPr><w:pStyle w:val="Normal"/></w:pPr>
<w:r><w:t xml:space="preserve">scripts.) In Scotland the testimony of witnesses by affidavit</w:t></w:r>
</w:p>
<w:p>
<w:pPr><w:pStyle w:val="Normal"/></w:pPr>
<w:r><w:t xml:space="preserve">is almost unknown, except in a few non-contentious cases as</w:t></w:r>
</w:p>
<w:p>
<w:pPr><w:pStyle w:val="Normal"/></w:pPr>
<w:r><w:t xml:space="preserve">prima facie evidence.  In the rules of the Supreme Court</w:t></w:r>
</w:p>
<w:p>
<w:pPr><w:pStyle w:val="Normal"/></w:pPr>
<w:r><w:t xml:space="preserve">(R.S.C.  Ord. XXXVIII.) certain formal requirements are laid</w:t></w:r>
</w:p>
<w:p>
<w:pPr><w:pStyle w:val="Normal"/></w:pPr>
<w:r><w:t xml:space="preserve">down for all affidavits and affirmations in causes or matters</w:t></w:r>
</w:p>
<w:p>
<w:pPr><w:pStyle w:val="Normal"/></w:pPr>
<w:r><w:t xml:space="preserve">depending in the High Court.  An affidavit must consist of</w:t></w:r>
</w:p>
<w:p>
<w:pPr><w:pStyle w:val="Normal"/></w:pPr>
<w:r><w:t xml:space="preserve">title, body or statement and jurat.  It must be written or</w:t></w:r>
</w:p>
<w:p>
<w:pPr><w:pStyle w:val="Normal"/></w:pPr>
<w:r><w:t xml:space="preserve">printed on foolscap, bookwise, in the first person; give</w:t></w:r>
</w:p>
<w:p>
<w:pPr><w:pStyle w:val="Normal"/></w:pPr>
<w:r><w:t xml:space="preserve">correctly the names of the parties to the action; and the</w:t></w:r>
</w:p>
<w:p>
<w:pPr><w:pStyle w:val="Normal"/></w:pPr>
<w:r><w:t xml:space="preserve">description and true place of abode of the deponent.  An</w:t></w:r>
</w:p>
<w:p>
<w:pPr><w:pStyle w:val="Normal"/></w:pPr>
<w:r><w:t xml:space="preserve">affidavit is confined, except on interlocutory motions, to</w:t></w:r>
</w:p>
<w:p>
<w:pPr><w:pStyle w:val="Normal"/></w:pPr>
<w:r><w:t xml:space="preserve">such facts as the witness is able of his own knowledge to</w:t></w:r>
</w:p>
<w:p>
<w:pPr><w:pStyle w:val="Normal"/></w:pPr>
<w:r><w:t xml:space="preserve">prove.  The signature of the deponent must be written opposite</w:t></w:r>
</w:p>
<w:p>
<w:pPr><w:pStyle w:val="Normal"/></w:pPr>
<w:r><w:t xml:space="preserve">to the jurat, which must contain the place, date and time of</w:t></w:r>
</w:p>
<w:p>
<w:pPr><w:pStyle w:val="Normal"/></w:pPr>
<w:r><w:t xml:space="preserve">swearing, and this signed by the officer or magistrate before</w:t></w:r>
</w:p>
<w:p>
<w:pPr><w:pStyle w:val="Normal"/></w:pPr>
<w:r><w:t xml:space="preserve">whom the affidavit is sworn.  An affidavit sworn on a Sunday</w:t></w:r>
</w:p>
<w:p>
<w:pPr><w:pStyle w:val="Normal"/></w:pPr>
<w:r><w:t xml:space="preserve">is not invalid.  Quakers, Moravians and Separatists were first</w:t></w:r>
</w:p>
<w:p>
<w:pPr><w:pStyle w:val="Normal"/></w:pPr>
<w:r><w:t xml:space="preserve">privileged to make a solemn declaration or affirmation, and</w:t></w:r>
</w:p>
<w:p>
<w:pPr><w:pStyle w:val="Normal"/></w:pPr>
<w:r><w:t xml:space="preserve">by the Common Law Procedure Act 1852 and other statutes all</w:t></w:r>
</w:p>
<w:p>
<w:pPr><w:pStyle w:val="Normal"/></w:pPr>
<w:r><w:t xml:space="preserve">persons prevented by religious belief from taking an oath</w:t></w:r>
</w:p>
<w:p>
<w:pPr><w:pStyle w:val="Normal"/></w:pPr>
<w:r><w:t xml:space="preserve">were allowed to affirm; and, finally, by the Oaths Act 1888,</w:t></w:r>
</w:p>
<w:p>
<w:pPr><w:pStyle w:val="Normal"/></w:pPr>
<w:r><w:t xml:space="preserve">every person who objects to be sworn is allowed to affirm in</w:t></w:r>
</w:p>
<w:p>
<w:pPr><w:pStyle w:val="Normal"/></w:pPr>
<w:r><w:t xml:space="preserve">all places and for all purposes where an oath is required by</w:t></w:r>
</w:p>
<w:p>
<w:pPr><w:pStyle w:val="Normal"/></w:pPr>
<w:r><w:t xml:space="preserve">law.  By an act of 1835 justices are permitted to take</w:t></w:r>
</w:p>
<w:p>
<w:pPr><w:pStyle w:val="Normal"/></w:pPr>
<w:r><w:t xml:space="preserve">affidavits in any matter by declaration, and a person making</w:t></w:r>
</w:p>
<w:p>
<w:pPr><w:pStyle w:val="Normal"/></w:pPr>
<w:r><w:t xml:space="preserve">a false affidavit in this way is liable to punishment.  The</w:t></w:r>
</w:p>
<w:p>
<w:pPr><w:pStyle w:val="Normal"/></w:pPr>
<w:r><w:t xml:space="preserve">same act prohibited justices of peace from administering oaths</w:t></w:r>
</w:p>
<w:p>
<w:pPr><w:pStyle w:val="Normal"/></w:pPr>
<w:r><w:t xml:space="preserve">in any matter in which they had not jurisdiction as judges,</w:t></w:r>
</w:p>
<w:p>
<w:pPr><w:pStyle w:val="Normal"/></w:pPr>
<w:r><w:t xml:space="preserve">except when an oath was specially authorized by statute,</w:t></w:r>
</w:p>
<w:p>
<w:pPr><w:pStyle w:val="Normal"/></w:pPr>
<w:r><w:t xml:space="preserve">as in the bankruptcy law, and excepting criminal inquiries,</w:t></w:r>
</w:p>
<w:p>
<w:pPr><w:pStyle w:val="Normal"/></w:pPr>
<w:r><w:t xml:space="preserve">parliamentary proceedings and instances where oaths are required</w:t></w:r>
</w:p>
<w:p>
<w:pPr><w:pStyle w:val="Normal"/></w:pPr>
<w:r><w:t xml:space="preserve">to give validity to documents abroad.  Scottish justices can</w:t></w:r>
</w:p>
<w:p>
<w:pPr><w:pStyle w:val="Normal"/></w:pPr>
<w:r><w:t xml:space="preserve">act in England and vice versa. The Oaths Act 1888 and</w:t></w:r>
</w:p>
<w:p>
<w:pPr><w:pStyle w:val="Normal"/></w:pPr>
<w:r><w:t xml:space="preserve">the Commissioner of Oaths Act 1889 consolidated all previous</w:t></w:r>
</w:p>
<w:p>
<w:pPr><w:pStyle w:val="Normal"/></w:pPr>
<w:r><w:t xml:space="preserve">enactments relating to oaths and gave the lord chancellor power</w:t></w:r>
</w:p>
<w:p>
<w:pPr><w:pStyle w:val="Normal"/></w:pPr>
<w:r><w:t xml:space="preserve">to appoint commissioners for oaths to take affidavits for all</w:t></w:r>
</w:p>
<w:p>
<w:pPr><w:pStyle w:val="Normal"/></w:pPr>
<w:r><w:t xml:space="preserve">purposes (see OATH.) Under the Debtors Act 1869 a plaintiff</w:t></w:r>
</w:p>
<w:p>
<w:pPr><w:pStyle w:val="Normal"/></w:pPr>
<w:r><w:t xml:space="preserve">may file an affidavit for the arrest of a debtor (affidavit</w:t></w:r>
</w:p>
<w:p>
<w:pPr><w:pStyle w:val="Normal"/></w:pPr>
<w:r><w:t xml:space="preserve">to hold to bail) when the debt amounts to L. 50 or upwards,</w:t></w:r>
</w:p>
<w:p>
<w:pPr><w:pStyle w:val="Normal"/></w:pPr>
<w:r><w:t xml:space="preserve">where it can be shown that the debtor&apos;s absence from the kingdom</w:t></w:r>
</w:p>
<w:p>
<w:pPr><w:pStyle w:val="Normal"/></w:pPr>
<w:r><w:t xml:space="preserve">would materially prejudice the prosecution of the action.</w:t></w:r>
</w:p>
<w:p>
<w:pPr><w:pStyle w:val="Normal"/></w:pPr>
<w:r><w:t xml:space="preserve">Affidavits may be made abroad before any British</w:t></w:r>
</w:p>
<w:p>
<w:pPr><w:pStyle w:val="Normal"/></w:pPr>
<w:r><w:t xml:space="preserve">ambassador, envoy, minister, charge d&apos;affaires,</w:t></w:r>
</w:p>
<w:p>
<w:pPr><w:pStyle w:val="Normal"/></w:pPr>
<w:r><w:t xml:space="preserve">secretary of embassy or legation, consul or consular agent.</w:t></w:r>
</w:p>
<w:p>
<w:pPr><w:pStyle w:val="Normal"/></w:pPr>
<w:r><w:t xml:space="preserve">In the United States affidavit has the same meaning as in</w:t></w:r>
</w:p>
<w:p>
<w:pPr><w:pStyle w:val="Normal"/></w:pPr>
<w:r><w:t xml:space="preserve">England and its general uses are the same, but it is not</w:t></w:r>
</w:p>
<w:p>
<w:pPr><w:pStyle w:val="Normal"/></w:pPr>
<w:r><w:t xml:space="preserve">substituted for oral evidence in court to anything like</w:t></w:r>
</w:p>
<w:p>
<w:pPr><w:pStyle w:val="Normal"/></w:pPr>
<w:r><w:t xml:space="preserve">the extent to which that is done in the English courts of</w:t></w:r>
</w:p>
<w:p>
<w:pPr><w:pStyle w:val="Normal"/></w:pPr>
<w:r><w:t xml:space="preserve">chancery.  The statutes of each state designate the persons</w:t></w:r>
</w:p>
<w:p>
<w:pPr><w:pStyle w:val="Normal"/></w:pPr>
<w:r><w:t xml:space="preserve">before whom affidavits may be made outside the state, and</w:t></w:r>
</w:p>
<w:p>
<w:pPr><w:pStyle w:val="Normal"/></w:pPr>
<w:r><w:t xml:space="preserve">special commissioners are appointed for that purpose by each</w:t></w:r>
</w:p>
<w:p>
<w:pPr><w:pStyle w:val="Normal"/></w:pPr>
<w:r><w:t xml:space="preserve">state.  Affidavits made abroad must be made before such</w:t></w:r>
</w:p>
<w:p>
<w:pPr><w:pStyle w:val="Normal"/></w:pPr>
<w:r><w:t xml:space="preserve">commissioners or persons so designated, who are usually</w:t></w:r>
</w:p>
<w:p>
<w:pPr><w:pStyle w:val="Normal"/></w:pPr>
<w:r><w:t xml:space="preserve">diplomatic and consular officials, justices, notaries public</w:t></w:r>
</w:p>
<w:p>
<w:pPr><w:pStyle w:val="Normal"/></w:pPr>
<w:r><w:t xml:space="preserve">or mayors. ``Affidavit of documents&apos;&apos; is not generally</w:t></w:r>
</w:p>
<w:p>
<w:pPr><w:pStyle w:val="Normal"/></w:pPr>
<w:r><w:t xml:space="preserve">used in the United States; discovery is procured by motion.</w:t></w:r>
</w:p>
<w:p>
<w:pPr><w:pStyle w:val="Normal"/></w:pPr>
<w:r><w:t xml:space="preserve">AFFILIATION (from Lat. ad-filiare, to adopt as a son), in</w:t></w:r>
</w:p>
<w:p>
<w:pPr><w:pStyle w:val="Normal"/></w:pPr>
<w:r><w:t xml:space="preserve">law, the procedure by which the paternity of a bastard child</w:t></w:r>
</w:p>
<w:p>
<w:pPr><w:pStyle w:val="Normal"/></w:pPr>
<w:r><w:t xml:space="preserve">is determined, and the obligation of contributing to its</w:t></w:r>
</w:p>
<w:p>
<w:pPr><w:pStyle w:val="Normal"/></w:pPr>
<w:r><w:t xml:space="preserve">support enforced.  In England a number of statutes on the</w:t></w:r>
</w:p>
<w:p>
<w:pPr><w:pStyle w:val="Normal"/></w:pPr>
<w:r><w:t xml:space="preserve">subject hnve been passed, the chief being the Bastardy Act</w:t></w:r>
</w:p>
<w:p>
<w:pPr><w:pStyle w:val="Normal"/></w:pPr>
<w:r><w:t xml:space="preserve">of 1845, and the Bastardy Laws Amendment Acts of 1872 and</w:t></w:r>
</w:p>
<w:p>
<w:pPr><w:pStyle w:val="Normal"/></w:pPr>
<w:r><w:t xml:space="preserve">1873.  The mother of a bastard may summon the putative father</w:t></w:r>
</w:p>
<w:p>
<w:pPr><w:pStyle w:val="Normal"/></w:pPr>
<w:r><w:t xml:space="preserve">to petty sessions within twelve months of the birth (or at</w:t></w:r>
</w:p>
<w:p>
<w:pPr><w:pStyle w:val="Normal"/></w:pPr>
<w:r><w:t xml:space="preserve">any later time if he is proved to have contributed to the</w:t></w:r>
</w:p>
<w:p>
<w:pPr><w:pStyle w:val="Normal"/></w:pPr>
<w:r><w:t xml:space="preserve">child&apos;s support within twelve months after the birth), and</w:t></w:r>
</w:p>
<w:p>
<w:pPr><w:pStyle w:val="Normal"/></w:pPr>
<w:r><w:t xml:space="preserve">the justices, after hearing evidence on both sides, may,</w:t></w:r>
</w:p>
<w:p>
<w:pPr><w:pStyle w:val="Normal"/></w:pPr>
<w:r><w:t xml:space="preserve">if the mother&apos;s evidence be corroborated in some material</w:t></w:r>
</w:p>
<w:p>
<w:pPr><w:pStyle w:val="Normal"/></w:pPr>
<w:r><w:t xml:space="preserve">particular, adjudge the man to be the putative father of</w:t></w:r>
</w:p>
<w:p>
<w:pPr><w:pStyle w:val="Normal"/></w:pPr>
<w:r><w:t xml:space="preserve">the child, and order him to pay a sum not exceeding five</w:t></w:r>
</w:p>
<w:p>
<w:pPr><w:pStyle w:val="Normal"/></w:pPr>
<w:r><w:t xml:space="preserve">shillings a week for its maintenance, together with a sum for</w:t></w:r>
</w:p>
<w:p>
<w:pPr><w:pStyle w:val="Normal"/></w:pPr>
<w:r><w:t xml:space="preserve">expenses incidental to the birth, or the funeral expenses,</w:t></w:r>
</w:p>
<w:p>
<w:pPr><w:pStyle w:val="Normal"/></w:pPr>
<w:r><w:t xml:space="preserve">if it has died before the date of order, and the costs of the</w:t></w:r>
</w:p>
<w:p>
<w:pPr><w:pStyle w:val="Normal"/></w:pPr>
<w:r><w:t xml:space="preserve">proceedings.  An order ceases to be valid after the child</w:t></w:r>
</w:p>
<w:p>
<w:pPr><w:pStyle w:val="Normal"/></w:pPr>
<w:r><w:t xml:space="preserve">reaches the age of thirteen, but the justices may in the</w:t></w:r>
</w:p>
<w:p>
<w:pPr><w:pStyle w:val="Normal"/></w:pPr>
<w:r><w:t xml:space="preserve">order direct the payments to be continued until the child</w:t></w:r>
</w:p>
<w:p>
<w:pPr><w:pStyle w:val="Normal"/></w:pPr>
<w:r><w:t xml:space="preserve">is sixteen years of age.  An appeal to quarter sessions is</w:t></w:r>
</w:p>
<w:p>
<w:pPr><w:pStyle w:val="Normal"/></w:pPr>
<w:r><w:t xml:space="preserve">open to the defendant, and a further appeal on questions</w:t></w:r>
</w:p>
<w:p>
<w:pPr><w:pStyle w:val="Normal"/></w:pPr>
<w:r><w:t xml:space="preserve">of law to the King&apos;s Bench by rule nisi or certiorari.</w:t></w:r>
</w:p>
<w:p>
<w:pPr><w:pStyle w:val="Normal"/></w:pPr>
<w:r><w:t xml:space="preserve">Should the child afterwards become chargeable to the parish,</w:t></w:r>
</w:p>
<w:p>
<w:pPr><w:pStyle w:val="Normal"/></w:pPr>
<w:r><w:t xml:space="preserve">the sum due by the father may be received by the parish</w:t></w:r>
</w:p>
<w:p>
<w:pPr><w:pStyle w:val="Normal"/></w:pPr>
<w:r><w:t xml:space="preserve">officer.  When a bastard child, whose mother has not obtained</w:t></w:r>
</w:p>
<w:p>
<w:pPr><w:pStyle w:val="Normal"/></w:pPr>
<w:r><w:t xml:space="preserve">an order, becomes chargeable to the parish, the guardians</w:t></w:r>
</w:p>
<w:p>
<w:pPr><w:pStyle w:val="Normal"/></w:pPr>
<w:r><w:t xml:space="preserve">may proceed against the putative father for a contribution.</w:t></w:r>
</w:p>
<w:p>
<w:pPr><w:pStyle w:val="Normal"/></w:pPr>
<w:r><w:t xml:space="preserve">Any woman who is single, a widow, or a married woman living</w:t></w:r>
</w:p>
<w:p>
<w:pPr><w:pStyle w:val="Normal"/></w:pPr>
<w:r><w:t xml:space="preserve">apart from her husband, may make an application for a</w:t></w:r>
</w:p>
<w:p>
<w:pPr><w:pStyle w:val="Normal"/></w:pPr>
<w:r><w:t xml:space="preserve">summons, and it is immaterial where the child is begotten,</w:t></w:r>
</w:p>
<w:p>
<w:pPr><w:pStyle w:val="Normal"/></w:pPr>
<w:r><w:t xml:space="preserve">provided it is born in England.  An application for a summons</w:t></w:r>
</w:p>
<w:p>
<w:pPr><w:pStyle w:val="Normal"/></w:pPr>
<w:r><w:t xml:space="preserve">may be made before the birth of the child, but in this case</w:t></w:r>
</w:p>
<w:p>
<w:pPr><w:pStyle w:val="Normal"/></w:pPr>
<w:r><w:t xml:space="preserve">the statement of the mother must be in the form of a sworn</w:t></w:r>
</w:p>
<w:p>
<w:pPr><w:pStyle w:val="Normal"/></w:pPr>
<w:r><w:t xml:space="preserve">deposition.  The defendant must be over fourteen years of</w:t></w:r>
</w:p>
<w:p>
<w:pPr><w:pStyle w:val="Normal"/></w:pPr>
<w:r><w:t xml:space="preserve">age.  No agreement on the part of the woman to take a sum</w:t></w:r>
</w:p>
<w:p>
<w:pPr><w:pStyle w:val="Normal"/></w:pPr>
<w:r><w:t xml:space="preserve">down in discharge of the liability of the father is a bar to</w:t></w:r>
</w:p>
<w:p>
<w:pPr><w:pStyle w:val="Normal"/></w:pPr>
<w:r><w:t xml:space="preserve">the making of an affiliation order.  In the case of twins it</w:t></w:r>
</w:p>
<w:p>
<w:pPr><w:pStyle w:val="Normal"/></w:pPr>
<w:r><w:t xml:space="preserve">is usual to make separate applications and obtain separate</w:t></w:r>
</w:p>
<w:p>
<w:pPr><w:pStyle w:val="Normal"/></w:pPr>
<w:r><w:t xml:space="preserve">summonses.  The Summary Jurisdiction Act 1879 makes due</w:t></w:r>
</w:p>
<w:p>
<w:pPr><w:pStyle w:val="Normal"/></w:pPr>
<w:r><w:t xml:space="preserve">provision for the enforcement of an order of affiliation.  In</w:t></w:r>
</w:p>
<w:p>
<w:pPr><w:pStyle w:val="Normal"/></w:pPr>
<w:r><w:t xml:space="preserve">the case of soldiers an affiliation order cannot be enforced</w:t></w:r>
</w:p>
<w:p>
<w:pPr><w:pStyle w:val="Normal"/></w:pPr>
<w:r><w:t xml:space="preserve">in the usual way, but by the Army Act 1881, if an order has</w:t></w:r>
</w:p>
<w:p>
<w:pPr><w:pStyle w:val="Normal"/></w:pPr>
<w:r><w:t xml:space="preserve">been made against a soldier of the regular forces, and a copy</w:t></w:r>
</w:p>
<w:p>
<w:pPr><w:pStyle w:val="Normal"/></w:pPr>
<w:r><w:t xml:space="preserve">of such order be sent to the secretary of state, he may order a</w:t></w:r>
</w:p>
<w:p>
<w:pPr><w:pStyle w:val="Normal"/></w:pPr>
<w:r><w:t xml:space="preserve">portion of the soldier&apos;s pay to be retained.  There is no such</w:t></w:r>
</w:p>
<w:p>
<w:pPr><w:pStyle w:val="Normal"/></w:pPr>
<w:r><w:t xml:space="preserve">special legislation with regard to sailors in the royal navy.</w:t></w:r>
</w:p>
<w:p>
<w:pPr><w:pStyle w:val="Normal"/></w:pPr>
<w:r><w:t xml:space="preserve">In the British colonies, and in the states of the United</w:t></w:r>
</w:p>
<w:p>
<w:pPr><w:pStyle w:val="Normal"/></w:pPr>
<w:r><w:t xml:space="preserve">States (with the exception of California, Idaho, Missouri,</w:t></w:r>
</w:p>
<w:p>
<w:pPr><w:pStyle w:val="Normal"/></w:pPr>
<w:r><w:t xml:space="preserve">Oregon, Texas and Utah), there is some procedure (usually</w:t></w:r>
</w:p>
<w:p>
<w:pPr><w:pStyle w:val="Normal"/></w:pPr>
<w:r><w:t xml:space="preserve">termed filiation) akin to that described above, by means</w:t></w:r>
</w:p>
<w:p>
<w:pPr><w:pStyle w:val="Normal"/></w:pPr>
<w:r><w:t xml:space="preserve">of which a mother can obtain a contribution to the support</w:t></w:r>
</w:p>
<w:p>
<w:pPr><w:pStyle w:val="Normal"/></w:pPr>
<w:r><w:t xml:space="preserve">of her illegitimate child from the putative father.  The</w:t></w:r>
</w:p>
<w:p>
<w:pPr><w:pStyle w:val="Normal"/></w:pPr>
<w:r><w:t xml:space="preserve">amount ordered to be paid may subsequently be increased or</w:t></w:r>
</w:p>
<w:p>
<w:pPr><w:pStyle w:val="Normal"/></w:pPr>
<w:r><w:t xml:space="preserve">diminished (1905; 94 N.Y. Supplt. 372).  On the continent of</w:t></w:r>
</w:p>
<w:p>
<w:pPr><w:pStyle w:val="Normal"/></w:pPr>
<w:r><w:t xml:space="preserve">Europe, however, the legislation of the various countries</w:t></w:r>
</w:p>
<w:p>
<w:pPr><w:pStyle w:val="Normal"/></w:pPr>
<w:r><w:t xml:space="preserve">differs rather widely.  France, Belgium, Holland, Italy,</w:t></w:r>
</w:p>
<w:p>
<w:pPr><w:pStyle w:val="Normal"/></w:pPr>
<w:r><w:t xml:space="preserve">Russia, Servia and the canton of Geneva provide no means</w:t></w:r>
</w:p>
<w:p>
<w:pPr><w:pStyle w:val="Normal"/></w:pPr>
<w:r><w:t xml:space="preserve">of inquiry into the paternity of an illegitimate child, and</w:t></w:r>
</w:p>
<w:p>
<w:pPr><w:pStyle w:val="Normal"/></w:pPr>
<w:r><w:t xml:space="preserve">consequently all support of the child falls upon the mother;</w:t></w:r>
</w:p>
<w:p>
<w:pPr><w:pStyle w:val="Normal"/></w:pPr>
<w:r><w:t xml:space="preserve">on the other hand, Germany, Austria, Norway, Sweden, Denmark</w:t></w:r>
</w:p>
<w:p>
<w:pPr><w:pStyle w:val="Normal"/></w:pPr>
<w:r><w:t xml:space="preserve">and the majority of the Swiss cantons provide for an inquiry</w:t></w:r>
</w:p>
<w:p>
<w:pPr><w:pStyle w:val="Normal"/></w:pPr>
<w:r><w:t xml:space="preserve">into the paternity of illegitimate children, and the law</w:t></w:r>
</w:p>
<w:p>
<w:pPr><w:pStyle w:val="Normal"/></w:pPr>
<w:r><w:t xml:space="preserve">casts a certain amount of responsibility upon the father.</w:t></w:r>
</w:p>
<w:p>
<w:pPr><w:pStyle w:val="Normal"/></w:pPr>
<w:r><w:t xml:space="preserve">Affiliation, in France, is a term applied to a species of</w:t></w:r>
</w:p>
<w:p>
<w:pPr><w:pStyle w:val="Normal"/></w:pPr>
<w:r><w:t xml:space="preserve">adoption by which the person adopted succeeds equally with</w:t></w:r>
</w:p>
<w:p>
<w:pPr><w:pStyle w:val="Normal"/></w:pPr>
<w:r><w:t xml:space="preserve">other heirs to the acquired, but not to the inherited, property</w:t></w:r>
</w:p>
<w:p>
<w:pPr><w:pStyle w:val="Normal"/></w:pPr>
<w:r><w:t xml:space="preserve">of the deceased. (See ADOPTION. Also BASTARD; POOR LAWS.)</w:t></w:r>
</w:p>
<w:p>
<w:pPr><w:pStyle w:val="Normal"/></w:pPr>
<w:r><w:t xml:space="preserve">AUTHORITIES.---Saunders, Law and Practice of Orders</w:t></w:r>
</w:p>
<w:p>
<w:pPr><w:pStyle w:val="Normal"/></w:pPr>
<w:r><w:t xml:space="preserve">of Affiliation; Lushington, Law of Affiliation</w:t></w:r>
</w:p>
<w:p>
<w:pPr><w:pStyle w:val="Normal"/></w:pPr>
<w:r><w:t xml:space="preserve">and Bastardy; Little, Poor Law Statutes. (T. A. I.)</w:t></w:r>
</w:p>
<w:p>
<w:pPr><w:pStyle w:val="Normal"/></w:pPr>
<w:r><w:t xml:space="preserve">AFFINITY (Lat. affinitas, relationship by marriage, from</w:t></w:r>
</w:p>
<w:p>
<w:pPr><w:pStyle w:val="Normal"/></w:pPr>
<w:r><w:t xml:space="preserve">affinis, bordering on, related to; finis, border, boundary),</w:t></w:r>
</w:p>
<w:p>
<w:pPr><w:pStyle w:val="Normal"/></w:pPr>
<w:r><w:t xml:space="preserve">in law, as distinguished from consanguinity (q.v.), the</w:t></w:r>
</w:p>
<w:p>
<w:pPr><w:pStyle w:val="Normal"/></w:pPr>
<w:r><w:t xml:space="preserve">term applied to the relation which each party to a marriage,</w:t></w:r>
</w:p>
<w:p>
<w:pPr><w:pStyle w:val="Normal"/></w:pPr>
<w:r><w:t xml:space="preserve">the husband and wife, bears to the kindred of the other.</w:t></w:r>
</w:p>
<w:p>
<w:pPr><w:pStyle w:val="Normal"/></w:pPr>
<w:r><w:t xml:space="preserve">Affinity is usually described as of three kinds. (1) Direct:</w:t></w:r>
</w:p>
<w:p>
<w:pPr><w:pStyle w:val="Normal"/></w:pPr>
<w:r><w:t xml:space="preserve">that relationship which subsists between the husband and his</w:t></w:r>
</w:p>
<w:p>
<w:pPr><w:pStyle w:val="Normal"/></w:pPr>
<w:r><w:t xml:space="preserve">wife&apos;s relations by blood or between the wife and the husband&apos;s</w:t></w:r>
</w:p>
<w:p>
<w:pPr><w:pStyle w:val="Normal"/></w:pPr>
<w:r><w:t xml:space="preserve">relations by blood.  The marriage having made them one person,</w:t></w:r>
</w:p>
<w:p>
<w:pPr><w:pStyle w:val="Normal"/></w:pPr>
<w:r><w:t xml:space="preserve">the blood relations of each are held as related by affinity in</w:t></w:r>
</w:p>
<w:p>
<w:pPr><w:pStyle w:val="Normal"/></w:pPr>
<w:r><w:t xml:space="preserve">the same degree to the one spouse as by consanguinity to the</w:t></w:r>
</w:p>
<w:p>
<w:pPr><w:pStyle w:val="Normal"/></w:pPr>
<w:r><w:t xml:space="preserve">other.  But the relation is only with the married parties</w:t></w:r>
</w:p>
<w:p>
<w:pPr><w:pStyle w:val="Normal"/></w:pPr>
<w:r><w:t xml:space="preserve">themselves, and does not bring those in affinity with them in</w:t></w:r>
</w:p>
<w:p>
<w:pPr><w:pStyle w:val="Normal"/></w:pPr>
<w:r><w:t xml:space="preserve">affinity with each other; so a wife&apos;s sister has no affinity</w:t></w:r>
</w:p>
<w:p>
<w:pPr><w:pStyle w:val="Normal"/></w:pPr>
<w:r><w:t xml:space="preserve">to her husband&apos;s brother.  This is (2) Secondary affinity.</w:t></w:r>
</w:p>
<w:p>
<w:pPr><w:pStyle w:val="Normal"/></w:pPr>
<w:r><w:t xml:space="preserve">(3) Collateral affinity is the relationship subsisting</w:t></w:r>
</w:p>
<w:p>
<w:pPr><w:pStyle w:val="Normal"/></w:pPr>
<w:r><w:t xml:space="preserve">between the husband and the relations of his wife&apos;s relations.</w:t></w:r>
</w:p>
<w:p>
<w:pPr><w:pStyle w:val="Normal"/></w:pPr>
<w:r><w:t xml:space="preserve">The subject is chiefly important from the matrimonial prohibitions</w:t></w:r>
</w:p>
<w:p>
<w:pPr><w:pStyle w:val="Normal"/></w:pPr>
<w:r><w:t xml:space="preserve">by which the canon law has restricted relations by affinity.</w:t></w:r>
</w:p>
<w:p>
<w:pPr><w:pStyle w:val="Normal"/></w:pPr>
<w:r><w:t xml:space="preserve">Taking the table of degrees within which marriage is prohibited</w:t></w:r>
</w:p>
<w:p>
<w:pPr><w:pStyle w:val="Normal"/></w:pPr>
<w:r><w:t xml:space="preserve">on account of consanguinity, the rule has been thus extended to</w:t></w:r>
</w:p>
<w:p>
<w:pPr><w:pStyle w:val="Normal"/></w:pPr>
<w:r><w:t xml:space="preserve">affinity, so that wherever relationship to a man himself would</w:t></w:r>
</w:p>
<w:p>
<w:pPr><w:pStyle w:val="Normal"/></w:pPr>
<w:r><w:t xml:space="preserve">be a bar to marriage, relationship to his deceased wife will</w:t></w:r>
</w:p>
<w:p>
<w:pPr><w:pStyle w:val="Normal"/></w:pPr>
<w:r><w:t xml:space="preserve">be the same bar, and vice versa on the husband&apos;s decease.</w:t></w:r>
</w:p>
<w:p>
<w:pPr><w:pStyle w:val="Normal"/></w:pPr>
<w:r><w:t xml:space="preserve">Briefly, direct affinity is a bar to marriage.  This rule</w:t></w:r>
</w:p>
<w:p>
<w:pPr><w:pStyle w:val="Normal"/></w:pPr>
<w:r><w:t xml:space="preserve">has been founded chiefly on interpretations of the eighteenth</w:t></w:r>
</w:p>
<w:p>
<w:pPr><w:pStyle w:val="Heading1"/></w:pPr>
<w:r><w:t>chapter of Leviticus.  Formerly by law in England, marriages</w:t></w:r>
</w:p>
<w:p>
<w:pPr><w:pStyle w:val="Normal"/></w:pPr>
<w:r><w:t xml:space="preserve">within the degrees of affinity were not absolutely null, but</w:t></w:r>
</w:p>
<w:p>
<w:pPr><w:pStyle w:val="Normal"/></w:pPr>
<w:r><w:t xml:space="preserve">they were liable to be annulled by ecclesiastical process during</w:t></w:r>
</w:p>
<w:p>
<w:pPr><w:pStyle w:val="Normal"/></w:pPr>
<w:r><w:t xml:space="preserve">the lives of both parties; in other words, the incapacity was</w:t></w:r>
</w:p>
<w:p>
<w:pPr><w:pStyle w:val="Normal"/></w:pPr>
<w:r><w:t xml:space="preserve">only a canonical, not a civil, disability.  By the Marriage</w:t></w:r>
</w:p>
<w:p>
<w:pPr><w:pStyle w:val="Normal"/></w:pPr>
<w:r><w:t xml:space="preserve">Act 1835 all marriages of this kind not disputed before the</w:t></w:r>
</w:p>
<w:p>
<w:pPr><w:pStyle w:val="Normal"/></w:pPr>
<w:r><w:t xml:space="preserve">passing of the act were declared absolutely valid, while all</w:t></w:r>
</w:p>
<w:p>
<w:pPr><w:pStyle w:val="Normal"/></w:pPr>
<w:r><w:t xml:space="preserve">subsequent to it were declared null.  This rendered null in</w:t></w:r>
</w:p>
<w:p>
<w:pPr><w:pStyle w:val="Normal"/></w:pPr>
<w:r><w:t xml:space="preserve">England, and not merely voidable, a marriage with a deceased</w:t></w:r>
</w:p>
<w:p>
<w:pPr><w:pStyle w:val="Normal"/></w:pPr>
<w:r><w:t xml:space="preserve">wife&apos;s sister or niece. (See CONSANGUINITY; MARRIAGE.)</w:t></w:r>
</w:p>
<w:p>
<w:pPr><w:pStyle w:val="Normal"/></w:pPr>
<w:r><w:t xml:space="preserve">AFFINITY, CHEMICAL, the property or relation in virtue of which</w:t></w:r>
</w:p>
<w:p>
<w:pPr><w:pStyle w:val="Normal"/></w:pPr>
<w:r><w:t xml:space="preserve">dissimilar substances are capable of entering into chemical combination</w:t></w:r>
</w:p>
<w:p>
<w:pPr><w:pStyle w:val="Normal"/></w:pPr>
<w:r><w:t xml:space="preserve">with each other. (See CHEMISTRY; CHEMICAL ACTION; VALENCY.)</w:t></w:r>
</w:p>
<w:p>
<w:pPr><w:pStyle w:val="Normal"/></w:pPr>
<w:r><w:t xml:space="preserve">AFFIRMATION (from Lat. affirmare, to assert), the declaration</w:t></w:r>
</w:p>
<w:p>
<w:pPr><w:pStyle w:val="Normal"/></w:pPr>
<w:r><w:t xml:space="preserve">that something is true; in logic, a positive judgment,</w:t></w:r>
</w:p>
<w:p>
<w:pPr><w:pStyle w:val="Normal"/></w:pPr>
<w:r><w:t xml:space="preserve">the union of the subject and predicate of a proposition;</w:t></w:r>
</w:p>
<w:p>
<w:pPr><w:pStyle w:val="Normal"/></w:pPr>
<w:r><w:t xml:space="preserve">particularly, in law, the solemn declaration allowed to those</w:t></w:r>
</w:p>
<w:p>
<w:pPr><w:pStyle w:val="Normal"/></w:pPr>
<w:r><w:t xml:space="preserve">who conscientiously object to taking an oath. (See OATH.)</w:t></w:r>
</w:p>
<w:p>
<w:pPr><w:pStyle w:val="Normal"/></w:pPr>
<w:r><w:t xml:space="preserve">AFFRAY, in law, the fighting of two or more persons</w:t></w:r>
</w:p>
<w:p>
<w:pPr><w:pStyle w:val="Normal"/></w:pPr>
<w:r><w:t xml:space="preserve">in a public place to the terror (a l&apos; effroi ) of the</w:t></w:r>
</w:p>
<w:p>
<w:pPr><w:pStyle w:val="Normal"/></w:pPr>
<w:r><w:t xml:space="preserve">lieges.  The offence is a misdemeanour at English common</w:t></w:r>
</w:p>
<w:p>
<w:pPr><w:pStyle w:val="Normal"/></w:pPr>
<w:r><w:t xml:space="preserve">law, punishable by fine and imprisonment.  A fight in private</w:t></w:r>
</w:p>
<w:p>
<w:pPr><w:pStyle w:val="Normal"/></w:pPr>
<w:r><w:t xml:space="preserve">is an assault and battery, not an affray.  As those engaged</w:t></w:r>
</w:p>
<w:p>
<w:pPr><w:pStyle w:val="Normal"/></w:pPr>
<w:r><w:t xml:space="preserve">in an affray render themselves also liable to prosecution</w:t></w:r>
</w:p>
<w:p>
<w:pPr><w:pStyle w:val="Normal"/></w:pPr>
<w:r><w:t xml:space="preserve">for Assault (q.v.), Unlawful Assembly (see ASSEMBLY,</w:t></w:r>
</w:p>
<w:p>
<w:pPr><w:pStyle w:val="Normal"/></w:pPr>
<w:r><w:t xml:space="preserve">UNLAWFUL), or Riot (q.v.), it is for one of these offences</w:t></w:r>
</w:p>
<w:p>
<w:pPr><w:pStyle w:val="Normal"/></w:pPr>
<w:r><w:t xml:space="preserve">that they are usually charged.  Any private person may, and</w:t></w:r>
</w:p>
<w:p>
<w:pPr><w:pStyle w:val="Normal"/></w:pPr>
<w:r><w:t xml:space="preserve">constables and justices must, interfere to put a stop to an</w:t></w:r>
</w:p>
<w:p>
<w:pPr><w:pStyle w:val="Normal"/></w:pPr>
<w:r><w:t xml:space="preserve">affray.  In the United States the English common law as to</w:t></w:r>
</w:p>
<w:p>
<w:pPr><w:pStyle w:val="Normal"/></w:pPr>
<w:r><w:t xml:space="preserve">affray applies, subject to certain modifications by the statutes</w:t></w:r>
</w:p>
<w:p>
<w:pPr><w:pStyle w:val="Normal"/></w:pPr>
<w:r><w:t xml:space="preserve">of particular states (Bishop, Amer.  Crim.  Law, 8th ed.,</w:t></w:r>
</w:p>
<w:p>
<w:pPr><w:pStyle w:val="Normal"/></w:pPr>
<w:r><w:t xml:space="preserve">1892, vol. i. sec.  535).  The Indian Penal Code (sect. 159)</w:t></w:r>
</w:p>
<w:p>
<w:pPr><w:pStyle w:val="Normal"/></w:pPr>
<w:r><w:t xml:space="preserve">adopts the English definition of affray, with the substitution</w:t></w:r>
</w:p>
<w:p>
<w:pPr><w:pStyle w:val="Normal"/></w:pPr>
<w:r><w:t xml:space="preserve">of ``actual disturbance of the peace&apos;&apos; for ``causing terror to</w:t></w:r>
</w:p>
<w:p>
<w:pPr><w:pStyle w:val="Normal"/></w:pPr>
<w:r><w:t xml:space="preserve">the lieges.&apos;&apos; The Queensland Criminal Code of 1899 (sect. 72)</w:t></w:r>
</w:p>
<w:p>
<w:pPr><w:pStyle w:val="Normal"/></w:pPr>
<w:r><w:t xml:space="preserve">defines affray as taking part in a fight in a public highway</w:t></w:r>
</w:p>
<w:p>
<w:pPr><w:pStyle w:val="Normal"/></w:pPr>
<w:r><w:t xml:space="preserve">or taking part in a fight of such a nature as to alarm the</w:t></w:r>
</w:p>
<w:p>
<w:pPr><w:pStyle w:val="Normal"/></w:pPr>
<w:r><w:t xml:space="preserve">public in any other place to which the public have access.  This</w:t></w:r>
</w:p>
<w:p>
<w:pPr><w:pStyle w:val="Normal"/></w:pPr>
<w:r><w:t xml:space="preserve">definition is taken from that in the English Criminal Code Bill</w:t></w:r>
</w:p>
<w:p>
<w:pPr><w:pStyle w:val="Normal"/></w:pPr>
<w:r><w:t xml:space="preserve">of 1880, cl. 96. Under the Roman Dutch law in force in South</w:t></w:r>
</w:p>
<w:p>
<w:pPr><w:pStyle w:val="Normal"/></w:pPr>
<w:r><w:t xml:space="preserve">Africa affray falls within the definition of vis publica.</w:t></w:r>
</w:p>
<w:p>
<w:pPr><w:pStyle w:val="Normal"/></w:pPr>
<w:r><w:t xml:space="preserve">AFFRE, DENIS AUGUSTE (1793--1848), archbishop of Paris,</w:t></w:r>
</w:p>
<w:p>
<w:pPr><w:pStyle w:val="Normal"/></w:pPr>
<w:r><w:t xml:space="preserve">was born at St Rome, in the department of Tarn, on the 27th</w:t></w:r>
</w:p>
<w:p>
<w:pPr><w:pStyle w:val="Normal"/></w:pPr>
<w:r><w:t xml:space="preserve">of September 1793.  He was educated for the priesthood at</w:t></w:r>
</w:p>
<w:p>
<w:pPr><w:pStyle w:val="Normal"/></w:pPr>
<w:r><w:t xml:space="preserve">St Sulpice, where in 1818 he became professor of dogmatic</w:t></w:r>
</w:p>
<w:p>
<w:pPr><w:pStyle w:val="Normal"/></w:pPr>
<w:r><w:t xml:space="preserve">theology.  After filling a number of ecclesiastical offices,</w:t></w:r>
</w:p>
<w:p>
<w:pPr><w:pStyle w:val="Normal"/></w:pPr>
<w:r><w:t xml:space="preserve">he was elevated to the archbishopric of Paris in 1840.  Though</w:t></w:r>
</w:p>
<w:p>
<w:pPr><w:pStyle w:val="Normal"/></w:pPr>
<w:r><w:t xml:space="preserve">opposed to the government of Louis Philippe, he took no part</w:t></w:r>
</w:p>
<w:p>
<w:pPr><w:pStyle w:val="Normal"/></w:pPr>
<w:r><w:t xml:space="preserve">in politics, but devoted himself to his pastoral work.  His</w:t></w:r>
</w:p>
<w:p>
<w:pPr><w:pStyle w:val="Normal"/></w:pPr>
<w:r><w:t xml:space="preserve">episcopate, however, is chiefly remembered owing to its tragic</w:t></w:r>
</w:p>
<w:p>
<w:pPr><w:pStyle w:val="Normal"/></w:pPr>
<w:r><w:t xml:space="preserve">close.  During the insurrection of June 1848 the archbishop</w:t></w:r>
</w:p>
<w:p>
<w:pPr><w:pStyle w:val="Normal"/></w:pPr>
<w:r><w:t xml:space="preserve">was led to believe that by his personal interference peace</w:t></w:r>
</w:p>
<w:p>
<w:pPr><w:pStyle w:val="Normal"/></w:pPr>
<w:r><w:t xml:space="preserve">might be restored between the soldiery and the insurgents.</w:t></w:r>
</w:p>
<w:p>
<w:pPr><w:pStyle w:val="Normal"/></w:pPr>
<w:r><w:t xml:space="preserve">Accordingly, in spite of the warning of General Cavaignac,</w:t></w:r>
</w:p>
<w:p>
<w:pPr><w:pStyle w:val="Normal"/></w:pPr>
<w:r><w:t xml:space="preserve">he mounted the barricade at the entrance to the Faubourg St</w:t></w:r>
</w:p>
<w:p>
<w:pPr><w:pStyle w:val="Normal"/></w:pPr>
<w:r><w:t xml:space="preserve">Antoine, bearing a green branch as sign of peace.  He had spoken</w:t></w:r>
</w:p>
<w:p>
<w:pPr><w:pStyle w:val="Normal"/></w:pPr>
<w:r><w:t xml:space="preserve">only a few words, however, when the insurgents, hearing some</w:t></w:r>
</w:p>
<w:p>
<w:pPr><w:pStyle w:val="Normal"/></w:pPr>
<w:r><w:t xml:space="preserve">shots, and fancying they were betrayed, opened fire upon the</w:t></w:r>
</w:p>
<w:p>
<w:pPr><w:pStyle w:val="Normal"/></w:pPr>
<w:r><w:t xml:space="preserve">national guard, and the archbishop fell, struck by a stray</w:t></w:r>
</w:p>
<w:p>
<w:pPr><w:pStyle w:val="Normal"/></w:pPr>
<w:r><w:t xml:space="preserve">bullet.  He was removed to his palace, where he died on the</w:t></w:r>
</w:p>
<w:p>
<w:pPr><w:pStyle w:val="Normal"/></w:pPr>
<w:r><w:t xml:space="preserve">27th of June 1848.  Next day the National Assembly issued a</w:t></w:r>
</w:p>
<w:p>
<w:pPr><w:pStyle w:val="Normal"/></w:pPr>
<w:r><w:t xml:space="preserve">decree expressing their great sorrow on account of his death;</w:t></w:r>
</w:p>
<w:p>
<w:pPr><w:pStyle w:val="Normal"/></w:pPr>
<w:r><w:t xml:space="preserve">and the public funeral on the 7th of July was one of the most</w:t></w:r>
</w:p>
<w:p>
<w:pPr><w:pStyle w:val="Normal"/></w:pPr>
<w:r><w:t xml:space="preserve">striking spectacles of its kind.  The archbishop wrote several</w:t></w:r>
</w:p>
<w:p>
<w:pPr><w:pStyle w:val="Normal"/></w:pPr>
<w:r><w:t xml:space="preserve">treatises of considerable value, including an Essai sur les</w:t></w:r>
</w:p>
<w:p>
<w:pPr><w:pStyle w:val="Normal"/></w:pPr>
<w:r><w:t xml:space="preserve">hieroglyphes egyptiens (Paris, 1834), in which he showed that</w:t></w:r>
</w:p>
<w:p>
<w:pPr><w:pStyle w:val="Normal"/></w:pPr>
<w:r><w:t xml:space="preserve">Champollion&apos;s system was insufficient to explain the hieroglyphics.</w:t></w:r>
</w:p>
<w:p>
<w:pPr><w:pStyle w:val="Normal"/></w:pPr>
<w:r><w:t xml:space="preserve">See Ricard, Les grands eveques de l&apos;eglise de</w:t></w:r>
</w:p>
<w:p>
<w:pPr><w:pStyle w:val="Normal"/></w:pPr>
<w:r><w:t xml:space="preserve">France au XIXe siecle (Lille, 1893); L. Alazard,</w:t></w:r>
</w:p>
<w:p>
<w:pPr><w:pStyle w:val="Normal"/></w:pPr>
<w:r><w:t xml:space="preserve">Denis-Auguste Affre, archeveque de Paris (Paris, 1905).</w:t></w:r>
</w:p>
<w:p>
<w:pPr><w:pStyle w:val="Normal"/></w:pPr>
<w:r><w:t xml:space="preserve">AFFREIGHTMENT (from ``freight,&apos;&apos; q.v.).  Contract of</w:t></w:r>
</w:p>
<w:p>
<w:pPr><w:pStyle w:val="Normal"/></w:pPr>
<w:r><w:t xml:space="preserve">Affreightment is the expression usually employed to describe</w:t></w:r>
</w:p>
<w:p>
<w:pPr><w:pStyle w:val="Normal"/></w:pPr>
<w:r><w:t xml:space="preserve">the contract between a shipowner and some other person called</w:t></w:r>
</w:p>
<w:p>
<w:pPr><w:pStyle w:val="Normal"/></w:pPr>
<w:r><w:t xml:space="preserve">the freighter, by which the shipowner agrees to carry goods</w:t></w:r>
</w:p>
<w:p>
<w:pPr><w:pStyle w:val="Normal"/></w:pPr>
<w:r><w:t xml:space="preserve">of the freighter in his ship, or to give to the freighter the</w:t></w:r>
</w:p>
<w:p>
<w:pPr><w:pStyle w:val="Normal"/></w:pPr>
<w:r><w:t xml:space="preserve">use of the whole or part of the cargo-carrying space of the</w:t></w:r>
</w:p>
<w:p>
<w:pPr><w:pStyle w:val="Normal"/></w:pPr>
<w:r><w:t xml:space="preserve">ship for the carriage of his goods on a specified voyage or</w:t></w:r>
</w:p>
<w:p>
<w:pPr><w:pStyle w:val="Normal"/></w:pPr>
<w:r><w:t xml:space="preserve">voyages or for a specified time; the freighter on his part</w:t></w:r>
</w:p>
<w:p>
<w:pPr><w:pStyle w:val="Normal"/></w:pPr>
<w:r><w:t xml:space="preserve">agreeing to pay a specified price, called ``freight,&apos;&apos; for</w:t></w:r>
</w:p>
<w:p>
<w:pPr><w:pStyle w:val="Normal"/></w:pPr>
<w:r><w:t xml:space="preserve">the carriage of the goods or the use of the ship.  A ship may</w:t></w:r>
</w:p>
<w:p>
<w:pPr><w:pStyle w:val="Normal"/></w:pPr>
<w:r><w:t xml:space="preserve">be let like a house to some person who takes possession and</w:t></w:r>
</w:p>
<w:p>
<w:pPr><w:pStyle w:val="Normal"/></w:pPr>
<w:r><w:t xml:space="preserve">control of it for a specified term.  The person who hires a</w:t></w:r>
</w:p>
<w:p>
<w:pPr><w:pStyle w:val="Normal"/></w:pPr>
<w:r><w:t xml:space="preserve">ship in this way occupies during the currency of his term the</w:t></w:r>
</w:p>
<w:p>
<w:pPr><w:pStyle w:val="Normal"/></w:pPr>
<w:r><w:t xml:space="preserve">position of shipowner.  The contract by which a ship is so</w:t></w:r>
</w:p>
<w:p>
<w:pPr><w:pStyle w:val="Normal"/></w:pPr>
<w:r><w:t xml:space="preserve">let may be called a charter-party; but it is not, properly</w:t></w:r>
</w:p>
<w:p>
<w:pPr><w:pStyle w:val="Normal"/></w:pPr>
<w:r><w:t xml:space="preserve">speaking, a contract of affreightment, and is mentioned here</w:t></w:r>
</w:p>
<w:p>
<w:pPr><w:pStyle w:val="Normal"/></w:pPr>
<w:r><w:t xml:space="preserve">only because it is necessary to remember the distinction</w:t></w:r>
</w:p>
<w:p>
<w:pPr><w:pStyle w:val="Normal"/></w:pPr>
<w:r><w:t xml:space="preserve">between a charter-party of this kind, which is sometimes</w:t></w:r>
</w:p>
<w:p>
<w:pPr><w:pStyle w:val="Normal"/></w:pPr>
<w:r><w:t xml:space="preserve">called a demise of the ship, and a charter-party which is a</w:t></w:r>
</w:p>
<w:p>
<w:pPr><w:pStyle w:val="Normal"/></w:pPr>
<w:r><w:t xml:space="preserve">form of contract of affreightment, as will hereinafter appear.</w:t></w:r>
</w:p>
<w:p>
<w:pPr><w:pStyle w:val="Normal"/></w:pPr>
<w:r><w:t xml:space="preserve">Rules of law.</w:t></w:r>
</w:p>
<w:p>
<w:pPr><w:pStyle w:val="Normal"/></w:pPr>
<w:r><w:t xml:space="preserve">The law with regard to the contract of affreightment is,</w:t></w:r>
</w:p>
<w:p>
<w:pPr><w:pStyle w:val="Normal"/></w:pPr>
<w:r><w:t xml:space="preserve">of course, a branch of the general law of contract.  The</w:t></w:r>
</w:p>
<w:p>
<w:pPr><w:pStyle w:val="Normal"/></w:pPr>
<w:r><w:t xml:space="preserve">rights and obligations of the shipowner and the freighter</w:t></w:r>
</w:p>
<w:p>
<w:pPr><w:pStyle w:val="Normal"/></w:pPr>
<w:r><w:t xml:space="preserve">depend, as in the case of all parties to contracts, upon the</w:t></w:r>
</w:p>
<w:p>
<w:pPr><w:pStyle w:val="Normal"/></w:pPr>
<w:r><w:t xml:space="preserve">terms of the agreement entered into between them.  The law,</w:t></w:r>
</w:p>
<w:p>
<w:pPr><w:pStyle w:val="Normal"/></w:pPr>
<w:r><w:t xml:space="preserve">however, interferes to some extent in regulating the effect</w:t></w:r>
</w:p>
<w:p>
<w:pPr><w:pStyle w:val="Normal"/></w:pPr>
<w:r><w:t xml:space="preserve">to be given to contracts.  Certain contracts are forbidden</w:t></w:r>
</w:p>
<w:p>
<w:pPr><w:pStyle w:val="Normal"/></w:pPr>
<w:r><w:t xml:space="preserve">by the law, and being illegal are, therefore, incapable of</w:t></w:r>
</w:p>
<w:p>
<w:pPr><w:pStyle w:val="Normal"/></w:pPr>
<w:r><w:t xml:space="preserve">enforcement.  The most important example of illegality in</w:t></w:r>
</w:p>
<w:p>
<w:pPr><w:pStyle w:val="Normal"/></w:pPr>
<w:r><w:t xml:space="preserve">the case of contracts of affreightment is when the contract</w:t></w:r>
</w:p>
<w:p>
<w:pPr><w:pStyle w:val="Normal"/></w:pPr>
<w:r><w:t xml:space="preserve">involves trading with an enemy.  The law interferes again with</w:t></w:r>
</w:p>
<w:p>
<w:pPr><w:pStyle w:val="Normal"/></w:pPr>
<w:r><w:t xml:space="preserve">regard to the interpretation of the contract.  The meaning</w:t></w:r>
</w:p>
<w:p>
<w:pPr><w:pStyle w:val="Normal"/></w:pPr>
<w:r><w:t xml:space="preserve">to be given to the words of the contract, or, in other words,</w:t></w:r>
</w:p>
<w:p>
<w:pPr><w:pStyle w:val="Normal"/></w:pPr>
<w:r><w:t xml:space="preserve">its construction, when a dispute arises about it, must be</w:t></w:r>
</w:p>
<w:p>
<w:pPr><w:pStyle w:val="Normal"/></w:pPr>
<w:r><w:t xml:space="preserve">determined by the judge or court.  The result is, that certain</w:t></w:r>
</w:p>
<w:p>
<w:pPr><w:pStyle w:val="Normal"/></w:pPr>
<w:r><w:t xml:space="preserve">more or less common clauses in contracts of affreightment have</w:t></w:r>
</w:p>
<w:p>
<w:pPr><w:pStyle w:val="Normal"/></w:pPr>
<w:r><w:t xml:space="preserve">come before the courts for construction, and the decisions in</w:t></w:r>
</w:p>
<w:p>
<w:pPr><w:pStyle w:val="Normal"/></w:pPr>
<w:r><w:t xml:space="preserve">these cases are treated practically, though not perhaps quite</w:t></w:r>
</w:p>
<w:p>
<w:pPr><w:pStyle w:val="Normal"/></w:pPr>
<w:r><w:t xml:space="preserve">logically, as rules of law determining the sense to be put</w:t></w:r>
</w:p>
<w:p>
<w:pPr><w:pStyle w:val="Normal"/></w:pPr>
<w:r><w:t xml:space="preserve">upon certain forms of expression in common use in shipping</w:t></w:r>
</w:p>
<w:p>
<w:pPr><w:pStyle w:val="Normal"/></w:pPr>
<w:r><w:t xml:space="preserve">contracts.  A third way in which the law interferes is</w:t></w:r>
</w:p>
<w:p>
<w:pPr><w:pStyle w:val="Normal"/></w:pPr>
<w:r><w:t xml:space="preserve">by laying down certain rules by which the rights of the</w:t></w:r>
</w:p>
<w:p>
<w:pPr><w:pStyle w:val="Normal"/></w:pPr>
<w:r><w:t xml:space="preserve">parties are to be regulated in the absence of any express</w:t></w:r>
</w:p>
<w:p>
<w:pPr><w:pStyle w:val="Normal"/></w:pPr>
<w:r><w:t xml:space="preserve">stipulation with regard to the matter dealt with by such</w:t></w:r>
</w:p>
<w:p>
<w:pPr><w:pStyle w:val="Normal"/></w:pPr>
<w:r><w:t xml:space="preserve">rules.  This is done either by statutory enactment, as by</w:t></w:r>
</w:p>
<w:p>
<w:pPr><w:pStyle w:val="Normal"/></w:pPr>
<w:r><w:t xml:space="preserve">that part (Part VIII.) of the Merchant Shipping Act 1804 which</w:t></w:r>
</w:p>
<w:p>
<w:pPr><w:pStyle w:val="Normal"/></w:pPr>
<w:r><w:t xml:space="preserve">deals with the liability of shipowners; or by established</w:t></w:r>
</w:p>
<w:p>
<w:pPr><w:pStyle w:val="Normal"/></w:pPr>
<w:r><w:t xml:space="preserve">rules of the unwritten law, the ``common law&apos;&apos; as it is</w:t></w:r>
</w:p>
<w:p>
<w:pPr><w:pStyle w:val="Normal"/></w:pPr>
<w:r><w:t xml:space="preserve">called, as, for instance, the rule that the common carrier</w:t></w:r>
</w:p>
<w:p>
<w:pPr><w:pStyle w:val="Normal"/></w:pPr>
<w:r><w:t xml:space="preserve">is absolutely responsible for the safe delivery of the goods</w:t></w:r>
</w:p>
<w:p>
<w:pPr><w:pStyle w:val="Normal"/></w:pPr>
<w:r><w:t xml:space="preserve">carried, unless it is prevented by the act of God or the king&apos;s</w:t></w:r>
</w:p>
<w:p>
<w:pPr><w:pStyle w:val="Normal"/></w:pPr>
<w:r><w:t xml:space="preserve">enemies.  These rules of law, whether common law or statute</w:t></w:r>
</w:p>
<w:p>
<w:pPr><w:pStyle w:val="Normal"/></w:pPr>
<w:r><w:t xml:space="preserve">law, regulating the obligations of carriers of goods by</w:t></w:r>
</w:p>
<w:p>
<w:pPr><w:pStyle w:val="Normal"/></w:pPr>
<w:r><w:t xml:space="preserve">sea, are of most importance in cases which are uncommon</w:t></w:r>
</w:p>
<w:p>
<w:pPr><w:pStyle w:val="Normal"/></w:pPr>
<w:r><w:t xml:space="preserve">though not unknown at the present day, in which there is an</w:t></w:r>
</w:p>
<w:p>
<w:pPr><w:pStyle w:val="Normal"/></w:pPr>
<w:r><w:t xml:space="preserve">affreightment without any written agreement of any kind.  It</w:t></w:r>
</w:p>
<w:p>
<w:pPr><w:pStyle w:val="Normal"/></w:pPr>
<w:r><w:t xml:space="preserve">will, therefore, be convenient to consider first cases of this</w:t></w:r>
</w:p>
<w:p>
<w:pPr><w:pStyle w:val="Normal"/></w:pPr>
<w:r><w:t xml:space="preserve">kind where there is no express agreement, oral or written,</w:t></w:r>
</w:p>
<w:p>
<w:pPr><w:pStyle w:val="Normal"/></w:pPr>
<w:r><w:t xml:space="preserve">except as to the freight and destination of the goods, and</w:t></w:r>
</w:p>
<w:p>
<w:pPr><w:pStyle w:val="Normal"/></w:pPr>
<w:r><w:t xml:space="preserve">where, consequently, the rights and obligations of the parties</w:t></w:r>
</w:p>
<w:p>
<w:pPr><w:pStyle w:val="Normal"/></w:pPr>
<w:r><w:t xml:space="preserve">as to all other terms of carriage depend wholly upon the</w:t></w:r>
</w:p>
<w:p>
<w:pPr><w:pStyle w:val="Normal"/></w:pPr>
<w:r><w:t xml:space="preserve">rules of law, remembering always that these same rules apply</w:t></w:r>
</w:p>
<w:p>
<w:pPr><w:pStyle w:val="Normal"/></w:pPr>
<w:r><w:t xml:space="preserve">when there is a written contract, except in so far as they</w:t></w:r>
</w:p>
<w:p>
<w:pPr><w:pStyle w:val="Normal"/></w:pPr>
<w:r><w:t xml:space="preserve">are qualified or negatived by the terms of such contract.</w:t></w:r>
</w:p>
<w:p>
<w:pPr><w:pStyle w:val="Normal"/></w:pPr>
<w:r><w:t xml:space="preserve">In defaults of express contract.</w:t></w:r>
</w:p>
<w:p>
<w:pPr><w:pStyle w:val="Normal"/></w:pPr>
<w:r><w:t xml:space="preserve">The rules of the common or ancient customary law of England</w:t></w:r>
</w:p>
<w:p>
<w:pPr><w:pStyle w:val="Normal"/></w:pPr>
<w:r><w:t xml:space="preserve">with regard to the carriage of goods were no doubt first</w:t></w:r>
</w:p>
<w:p>
<w:pPr><w:pStyle w:val="Normal"/></w:pPr>
<w:r><w:t xml:space="preserve">considered by the courts and established with regard to the</w:t></w:r>
</w:p>
<w:p>
<w:pPr><w:pStyle w:val="Normal"/></w:pPr>
<w:r><w:t xml:space="preserve">carriage of goods by common carriers on land.  These rules were</w:t></w:r>
</w:p>
<w:p>
<w:pPr><w:pStyle w:val="Normal"/></w:pPr>
<w:r><w:t xml:space="preserve">applied to common carriers by water, and it may now be taken</w:t></w:r>
</w:p>
<w:p>
<w:pPr><w:pStyle w:val="Normal"/></w:pPr>
<w:r><w:t xml:space="preserve">to be the general rule that shipowners who carry goods by sea</w:t></w:r>
</w:p>
<w:p>
<w:pPr><w:pStyle w:val="Normal"/></w:pPr>
<w:r><w:t xml:space="preserve">are by the English law subject to the liabilities of common</w:t></w:r>
</w:p>
<w:p>
<w:pPr><w:pStyle w:val="Normal"/></w:pPr>
<w:r><w:t xml:space="preserve">carriers. (See, as to the grounds and precise extent of this</w:t></w:r>
</w:p>
<w:p>
<w:pPr><w:pStyle w:val="Normal"/></w:pPr>
<w:r><w:t xml:space="preserve">doctrine, the judgments in Liver Alkali Company v. Johnson</w:t></w:r>
</w:p>
<w:p>
<w:pPr><w:pStyle w:val="Normal"/></w:pPr>
<w:r><w:t xml:space="preserve">(1874), L.R., 9 Ex. 338, and Nugent v. Smith (1876) 1</w:t></w:r>
</w:p>
<w:p>
<w:pPr><w:pStyle w:val="Normal"/></w:pPr>
<w:r><w:t xml:space="preserve">C.P.D. 423.) In practice goods are not often shipped without</w:t></w:r>
</w:p>
<w:p>
<w:pPr><w:pStyle w:val="Normal"/></w:pPr>
<w:r><w:t xml:space="preserve">a written contract or acknowledgment of the terms upon which</w:t></w:r>
</w:p>
<w:p>
<w:pPr><w:pStyle w:val="Normal"/></w:pPr>
<w:r><w:t xml:space="preserve">they are to be carried.  For each separate consignment or</w:t></w:r>
</w:p>
<w:p>
<w:pPr><w:pStyle w:val="Normal"/></w:pPr>
<w:r><w:t xml:space="preserve">parcel of goods shipped a bill of lading is almost invariably</w:t></w:r>
</w:p>
<w:p>
<w:pPr><w:pStyle w:val="Normal"/></w:pPr>
<w:r><w:t xml:space="preserve">given, and when a whole cargo is agreed to be carried the</w:t></w:r>
</w:p>
<w:p>
<w:pPr><w:pStyle w:val="Normal"/></w:pPr>
<w:r><w:t xml:space="preserve">terms are set out in a document called a charter-party,</w:t></w:r>
</w:p>
<w:p>
<w:pPr><w:pStyle w:val="Normal"/></w:pPr>
<w:r><w:t xml:space="preserve">signed by or on behalf of the shipowner on the one part,</w:t></w:r>
</w:p>
<w:p>
<w:pPr><w:pStyle w:val="Normal"/></w:pPr>
<w:r><w:t xml:space="preserve">and the shipper, who is called the charterer, on the other</w:t></w:r>
</w:p>
<w:p>
<w:pPr><w:pStyle w:val="Normal"/></w:pPr>
<w:r><w:t xml:space="preserve">part.  But at present we are considering the relations of</w:t></w:r>
</w:p>
<w:p>
<w:pPr><w:pStyle w:val="Normal"/></w:pPr>
<w:r><w:t xml:space="preserve">shipowner and shipper independently of any express contract,</w:t></w:r>
</w:p>
<w:p>
<w:pPr><w:pStyle w:val="Normal"/></w:pPr>
<w:r><w:t xml:space="preserve">as in a case when goods are shipped and received to be</w:t></w:r>
</w:p>
<w:p>
<w:pPr><w:pStyle w:val="Normal"/></w:pPr>
<w:r><w:t xml:space="preserve">carried to the place to which the ship is bound for a certain</w:t></w:r>
</w:p>
<w:p>
<w:pPr><w:pStyle w:val="Normal"/></w:pPr>
<w:r><w:t xml:space="preserve">freight, but without any further agreement as to the terms of</w:t></w:r>
</w:p>
<w:p>
<w:pPr><w:pStyle w:val="Normal"/></w:pPr>
<w:r><w:t xml:space="preserve">carriage.  In such a case the rights of the parties depend</w:t></w:r>
</w:p>
<w:p>
<w:pPr><w:pStyle w:val="Normal"/></w:pPr>
<w:r><w:t xml:space="preserve">on the rules of law, or, which is much the same thing,</w:t></w:r>
</w:p>
<w:p>
<w:pPr><w:pStyle w:val="Normal"/></w:pPr>
<w:r><w:t xml:space="preserve">upon the warranties or promises which though not expressed</w:t></w:r>
</w:p>
<w:p>
<w:pPr><w:pStyle w:val="Normal"/></w:pPr>
<w:r><w:t xml:space="preserve">must, as the courts have held, be implied as arising from</w:t></w:r>
</w:p>
<w:p>
<w:pPr><w:pStyle w:val="Normal"/></w:pPr>
<w:r><w:t xml:space="preserve">the relation between the parties as shipper and carrier.</w:t></w:r>
</w:p>
<w:p>
<w:pPr><w:pStyle w:val="Normal"/></w:pPr>
<w:r><w:t xml:space="preserve">The obligations on the one side and the other may be defined</w:t></w:r>
</w:p>
<w:p>
<w:pPr><w:pStyle w:val="Normal"/></w:pPr>
<w:r><w:t xml:space="preserve">shortly to be as follows:--The shipper must not ship goods</w:t></w:r>
</w:p>
<w:p>
<w:pPr><w:pStyle w:val="Normal"/></w:pPr>
<w:r><w:t xml:space="preserve">of a nature or in a condition which he knows, or ought,</w:t></w:r>
</w:p>
<w:p>
<w:pPr><w:pStyle w:val="Normal"/></w:pPr>
<w:r><w:t xml:space="preserve">if he used reasonable care, to know to be dangerous to the</w:t></w:r>
</w:p>
<w:p>
<w:pPr><w:pStyle w:val="Normal"/></w:pPr>
<w:r><w:t xml:space="preserve">ship, or to other goods, unless the shipowner has notice</w:t></w:r>
</w:p>
<w:p>
<w:pPr><w:pStyle w:val="Normal"/></w:pPr>
<w:r><w:t xml:space="preserve">of or has sufficient opportunity to observe their dangerous</w:t></w:r>
</w:p>
<w:p>
<w:pPr><w:pStyle w:val="Normal"/></w:pPr>
<w:r><w:t xml:space="preserve">character.  The shipper must be prepared, without notice from</w:t></w:r>
</w:p>
<w:p>
<w:pPr><w:pStyle w:val="Normal"/></w:pPr>
<w:r><w:t xml:space="preserve">the shipowner, to take delivery of his goods with reasonable</w:t></w:r>
</w:p>
<w:p>
<w:pPr><w:pStyle w:val="Normal"/></w:pPr>
<w:r><w:t xml:space="preserve">despatch on the arrival of the ship at the place of destination,</w:t></w:r>
</w:p>
<w:p>
<w:pPr><w:pStyle w:val="Normal"/></w:pPr>
<w:r><w:t xml:space="preserve">being ready there to discharge in some usual discharging</w:t></w:r>
</w:p>
<w:p>
<w:pPr><w:pStyle w:val="Normal"/></w:pPr>
<w:r><w:t xml:space="preserve">place.  The shipper must pay the agreed freight, and will</w:t></w:r>
</w:p>
<w:p>
<w:pPr><w:pStyle w:val="Normal"/></w:pPr>
<w:r><w:t xml:space="preserve">not be entitled to claim delivery until the freight has been</w:t></w:r>
</w:p>
<w:p>
<w:pPr><w:pStyle w:val="Normal"/></w:pPr>
<w:r><w:t xml:space="preserve">paid.  In other words, the shipowner has a lien on the</w:t></w:r>
</w:p>
<w:p>
<w:pPr><w:pStyle w:val="Normal"/></w:pPr>
<w:r><w:t xml:space="preserve">goods carried for the freight payable in respect of the</w:t></w:r>
</w:p>
<w:p>
<w:pPr><w:pStyle w:val="Normal"/></w:pPr>
<w:r><w:t xml:space="preserve">carriage.  On the other hand, the obligation upon the shipowner</w:t></w:r>
</w:p>
<w:p>
<w:pPr><w:pStyle w:val="Normal"/></w:pPr>
<w:r><w:t xml:space="preserve">is first and foremost to deliver safely at their destination</w:t></w:r>
</w:p>
<w:p>
<w:pPr><w:pStyle w:val="Normal"/></w:pPr>
<w:r><w:t xml:space="preserve">the goods shipped, and this obligation is, by the common</w:t></w:r>
</w:p>
<w:p>
<w:pPr><w:pStyle w:val="Normal"/></w:pPr>
<w:r><w:t xml:space="preserve">law, subject to this exception only that the shipowner is</w:t></w:r>
</w:p>
<w:p>
<w:pPr><w:pStyle w:val="Normal"/></w:pPr>
<w:r><w:t xml:space="preserve">not liable for loss or damage caused by the act of God or</w:t></w:r>
</w:p>
<w:p>
<w:pPr><w:pStyle w:val="Normal"/></w:pPr>
<w:r><w:t xml:space="preserve">the king&apos;s enemies; but by statute (Merchant Shipping Act</w:t></w:r>
</w:p>
<w:p>
<w:pPr><w:pStyle w:val="Normal"/></w:pPr>
<w:r><w:t xml:space="preserve">1894, Part VIII.) it is further qualified to this extent</w:t></w:r>
</w:p>
<w:p>
<w:pPr><w:pStyle w:val="Normal"/></w:pPr>
<w:r><w:t xml:space="preserve">that the shipowner is not liable for loss, happening without</w:t></w:r>
</w:p>
<w:p>
<w:pPr><w:pStyle w:val="Normal"/></w:pPr>
<w:r><w:t xml:space="preserve">his actual fault or privity, by fire on board the ship, or</w:t></w:r>
</w:p>
<w:p>
<w:pPr><w:pStyle w:val="Normal"/></w:pPr>
<w:r><w:t xml:space="preserve">by the robbery or embezzlement of or making away with gold</w:t></w:r>
</w:p>
<w:p>
<w:pPr><w:pStyle w:val="Normal"/></w:pPr>
<w:r><w:t xml:space="preserve">or silver or jewellery, the true nature and value of which</w:t></w:r>
</w:p>
<w:p>
<w:pPr><w:pStyle w:val="Normal"/></w:pPr>
<w:r><w:t xml:space="preserve">have not been declared in writing at the time of shipment;</w:t></w:r>
</w:p>
<w:p>
<w:pPr><w:pStyle w:val="Normal"/></w:pPr>
<w:r><w:t xml:space="preserve">and, further, the shipowner is not laable for damage to or</w:t></w:r>
</w:p>
<w:p>
<w:pPr><w:pStyle w:val="Normal"/></w:pPr>
<w:r><w:t xml:space="preserve">loss of goods or merchandise beyond an aggregate amount, not</w:t></w:r>
</w:p>
<w:p>
<w:pPr><w:pStyle w:val="Normal"/></w:pPr>
<w:r><w:t xml:space="preserve">exceeding eight pounds per ton for each ton of the ship&apos;s</w:t></w:r>
</w:p>
<w:p>
<w:pPr><w:pStyle w:val="Normal"/></w:pPr>
<w:r><w:t xml:space="preserve">tonnage.  The shipowner is bound by an implied undertaking,</w:t></w:r>
</w:p>
<w:p>
<w:pPr><w:pStyle w:val="Normal"/></w:pPr>
<w:r><w:t xml:space="preserve">or, in other words, is made responsible by the law as if</w:t></w:r>
</w:p>
<w:p>
<w:pPr><w:pStyle w:val="Normal"/></w:pPr>
<w:r><w:t xml:space="preserve">he had entered into an express undertaking: (1) that the</w:t></w:r>
</w:p>
<w:p>
<w:pPr><w:pStyle w:val="Normal"/></w:pPr>
<w:r><w:t xml:space="preserve">ship is seaworthy; (2) that she shall proceed upon the</w:t></w:r>
</w:p>
<w:p>
<w:pPr><w:pStyle w:val="Normal"/></w:pPr>
<w:r><w:t xml:space="preserve">voyage with reasonable despatch, and shall not deviate</w:t></w:r>
</w:p>
<w:p>
<w:pPr><w:pStyle w:val="Normal"/></w:pPr>
<w:r><w:t xml:space="preserve">without necessity from the usual course of the voyage.</w:t></w:r>
</w:p>
<w:p>
<w:pPr><w:pStyle w:val="Normal"/></w:pPr>
<w:r><w:t xml:space="preserve">It is not our purpose in this article to discuss minute or</w:t></w:r>
</w:p>
<w:p>
<w:pPr><w:pStyle w:val="Normal"/></w:pPr>
<w:r><w:t xml:space="preserve">doubtful questions; but in their general outline the obligations</w:t></w:r>
</w:p>
<w:p>
<w:pPr><w:pStyle w:val="Normal"/></w:pPr>
<w:r><w:t xml:space="preserve">of shipper and shipowner, where no terms of carriage have</w:t></w:r>
</w:p>
<w:p>
<w:pPr><w:pStyle w:val="Normal"/></w:pPr>
<w:r><w:t xml:space="preserve">been agreed, except as to the freight and destination of the</w:t></w:r>
</w:p>
<w:p>
<w:pPr><w:pStyle w:val="Normal"/></w:pPr>
<w:r><w:t xml:space="preserve">goods, are such as have been described above.  The importance</w:t></w:r>
</w:p>
<w:p>
<w:pPr><w:pStyle w:val="Normal"/></w:pPr>
<w:r><w:t xml:space="preserve">of appreciating clearly this view of the relations of shipper</w:t></w:r>
</w:p>
<w:p>
<w:pPr><w:pStyle w:val="Normal"/></w:pPr>
<w:r><w:t xml:space="preserve">and shipowner arises from the fact that these fundamental rules</w:t></w:r>
</w:p>
<w:p>
<w:pPr><w:pStyle w:val="Normal"/></w:pPr>
<w:r><w:t xml:space="preserve">apply to all contracts of affreightment, whether by bill of</w:t></w:r>
</w:p>
<w:p>
<w:pPr><w:pStyle w:val="Normal"/></w:pPr>
<w:r><w:t xml:space="preserve">lading, charter-party or otherwise, except in so far as they</w:t></w:r>
</w:p>
<w:p>
<w:pPr><w:pStyle w:val="Normal"/></w:pPr>
<w:r><w:t xml:space="preserve">are modified or negatived by the express terms of the contract.</w:t></w:r>
</w:p>
<w:p>
<w:pPr><w:pStyle w:val="Normal"/></w:pPr>
<w:r><w:t xml:space="preserve">Bills of Lading. The document signed by the master or agent</w:t></w:r>
</w:p>
<w:p>
<w:pPr><w:pStyle w:val="Normal"/></w:pPr>
<w:r><w:t xml:space="preserve">for the shipowner, by which are acknowledged the shipment of a</w:t></w:r>
</w:p>
<w:p>
<w:pPr><w:pStyle w:val="Normal"/></w:pPr>
<w:r><w:t xml:space="preserve">parcel of goods and the terms upon which it is to be carried,</w:t></w:r>
</w:p>
<w:p>
<w:pPr><w:pStyle w:val="Normal"/></w:pPr>
<w:r><w:t xml:space="preserve">is called a Bill of Lading.  Very many different forms of</w:t></w:r>
</w:p>
<w:p>
<w:pPr><w:pStyle w:val="Normal"/></w:pPr>
<w:r><w:t xml:space="preserve">bills of lading are used.  For the purpose of illustration the</w:t></w:r>
</w:p>
<w:p>
<w:pPr><w:pStyle w:val="Normal"/></w:pPr>
<w:r><w:t xml:space="preserve">following form (from Mr Scrutton&apos;s book on Charter-parties</w:t></w:r>
</w:p>
<w:p>
<w:pPr><w:pStyle w:val="Normal"/></w:pPr>
<w:r><w:t xml:space="preserve">and Bills of Lading) has been selected as a sample:--</w:t></w:r>
</w:p>
<w:p>
<w:pPr><w:pStyle w:val="Normal"/></w:pPr>
<w:r><w:t xml:space="preserve">Shipped, in apparent good order and condition by        in</w:t></w:r>
</w:p>
<w:p>
<w:pPr><w:pStyle w:val="Normal"/></w:pPr>
<w:r><w:t xml:space="preserve">and upon the good Vessel called the       now lying in the port of</w:t></w:r>
</w:p>
<w:p>
<w:pPr><w:pStyle w:val="Normal"/></w:pPr>
<w:r><w:t xml:space="preserve">and bound for      , with liberty to call at any ports in</w:t></w:r>
</w:p>
<w:p>
<w:pPr><w:pStyle w:val="Normal"/></w:pPr>
<w:r><w:t xml:space="preserve">any order, to sail without Pilots, and to tow and assist Vessels in</w:t></w:r>
</w:p>
<w:p>
<w:pPr><w:pStyle w:val="Normal"/></w:pPr>
<w:r><w:t xml:space="preserve">distress, and to deviate for the purpose of saving life or property;</w:t></w:r>
</w:p>
<w:p>
<w:pPr><w:pStyle w:val="Normal"/></w:pPr>
<w:r><w:t xml:space="preserve">and to be delivered in the like good order and condition at the</w:t></w:r>
</w:p>
<w:p>
<w:pPr><w:pStyle w:val="Normal"/></w:pPr>
<w:r><w:t xml:space="preserve">aforesaid port of     unto      or to his or their assigns, freight</w:t></w:r>
</w:p>
<w:p>
<w:pPr><w:pStyle w:val="Normal"/></w:pPr>
<w:r><w:t xml:space="preserve">and all other conditions as per Charter Party. The act of God, perils</w:t></w:r>
</w:p>
<w:p>
<w:pPr><w:pStyle w:val="Normal"/></w:pPr>
<w:r><w:t xml:space="preserve">of the sea, fire, barratry of the Master and Crew, enemies, pirates,</w:t></w:r>
</w:p>
<w:p>
<w:pPr><w:pStyle w:val="Normal"/></w:pPr>
<w:r><w:t xml:space="preserve">and thieves, arrests, and restraints of princes, rulers, and people,</w:t></w:r>
</w:p>
<w:p>
<w:pPr><w:pStyle w:val="Normal"/></w:pPr>
<w:r><w:t xml:space="preserve">collisions, stranding, and other accidents of navigation excepted,</w:t></w:r>
</w:p>
<w:p>
<w:pPr><w:pStyle w:val="Normal"/></w:pPr>
<w:r><w:t xml:space="preserve">even when occasioned by negligence, default, or error in judgment</w:t></w:r>
</w:p>
<w:p>
<w:pPr><w:pStyle w:val="Normal"/></w:pPr>
<w:r><w:t xml:space="preserve">of the Pilot, Master, Mariners, or other servanis of the Shipowners.</w:t></w:r>
</w:p>
<w:p>
<w:pPr><w:pStyle w:val="Normal"/></w:pPr>
<w:r><w:t xml:space="preserve">Ship not answerable for losses through explosion, bursting of</w:t></w:r>
</w:p>
<w:p>
<w:pPr><w:pStyle w:val="Normal"/></w:pPr>
<w:r><w:t xml:space="preserve">boilers, breakage of shafts, or any latent defect in the machinery or</w:t></w:r>
</w:p>
<w:p>
<w:pPr><w:pStyle w:val="Normal"/></w:pPr>
<w:r><w:t xml:space="preserve">hull, not resulting from want of due diligence by the Owners of the</w:t></w:r>
</w:p>
<w:p>
<w:pPr><w:pStyle w:val="Normal"/></w:pPr>
<w:r><w:t xml:space="preserve">Ship, or any of them, or by the Ship&apos;s Husband or Manager.</w:t></w:r>
</w:p>
<w:p>
<w:pPr><w:pStyle w:val="Normal"/></w:pPr>
<w:r><w:t xml:space="preserve">General Average payable according to York-Antwerp Rules.</w:t></w:r>
</w:p>
<w:p>
<w:pPr><w:pStyle w:val="Normal"/></w:pPr>
<w:r><w:t xml:space="preserve">In Witness whereof, the Master or Agent of the said Ship hath</w:t></w:r>
</w:p>
<w:p>
<w:pPr><w:pStyle w:val="Normal"/></w:pPr>
<w:r><w:t xml:space="preserve">affirmed to three Bills of Lading, all of this tenor and date, drawn</w:t></w:r>
</w:p>
<w:p>
<w:pPr><w:pStyle w:val="Normal"/></w:pPr>
<w:r><w:t xml:space="preserve">as first, second and third, one of which Bills being accomplished, the</w:t></w:r>
</w:p>
<w:p>
<w:pPr><w:pStyle w:val="Normal"/></w:pPr>
<w:r><w:t xml:space="preserve">others to stand void.</w:t></w:r>
</w:p>
<w:p>
<w:pPr><w:pStyle w:val="Normal"/></w:pPr>
<w:r><w:t xml:space="preserve">Dated in        this          day of          188 .</w:t></w:r>
</w:p>
<w:p>
<w:pPr><w:pStyle w:val="Normal"/></w:pPr>
<w:r><w:t xml:space="preserve">The bill of lading is an acknowledgment of the shipment of</w:t></w:r>
</w:p>
<w:p>
<w:pPr><w:pStyle w:val="Normal"/></w:pPr>
<w:r><w:t xml:space="preserve">goods in a named vessel for carriage to a specified destination</w:t></w:r>
</w:p>
<w:p>
<w:pPr><w:pStyle w:val="Normal"/></w:pPr>
<w:r><w:t xml:space="preserve">on terms set forth in the document.  It is usually signed</w:t></w:r>
</w:p>
<w:p>
<w:pPr><w:pStyle w:val="Normal"/></w:pPr>
<w:r><w:t xml:space="preserve">by the master of the vessel, but very commonly by the agents</w:t></w:r>
</w:p>
<w:p>
<w:pPr><w:pStyle w:val="Normal"/></w:pPr>
<w:r><w:t xml:space="preserve">of the shipowner or sometimes of the charterers of the</w:t></w:r>
</w:p>
<w:p>
<w:pPr><w:pStyle w:val="Normal"/></w:pPr>
<w:r><w:t xml:space="preserve">vessel.  A vessel may be employed by its owners to earn</w:t></w:r>
</w:p>
<w:p>
<w:pPr><w:pStyle w:val="Normal"/></w:pPr>
<w:r><w:t xml:space="preserve">freight in various ways: (1) It may be placed, as it is said,</w:t></w:r>
</w:p>
<w:p>
<w:pPr><w:pStyle w:val="Normal"/></w:pPr>
<w:r><w:t xml:space="preserve">on the berth as a general ship, to receive cargo from any</w:t></w:r>
</w:p>
<w:p>
<w:pPr><w:pStyle w:val="Normal"/></w:pPr>
<w:r><w:t xml:space="preserve">shippers who may desire to send goods to the port, or one of</w:t></w:r>
</w:p>
<w:p>
<w:pPr><w:pStyle w:val="Normal"/></w:pPr>
<w:r><w:t xml:space="preserve">the ports, to which the vessel is bound.  The mate or chief</w:t></w:r>
</w:p>
<w:p>
<w:pPr><w:pStyle w:val="Normal"/></w:pPr>
<w:r><w:t xml:space="preserve">officer usually superintends the loading, and, as goods are</w:t></w:r>
</w:p>
<w:p>
<w:pPr><w:pStyle w:val="Normal"/></w:pPr>
<w:r><w:t xml:space="preserve">shipped, a mate&apos;s receipt is given as an acknowledgment of the</w:t></w:r>
</w:p>
<w:p>
<w:pPr><w:pStyle w:val="Normal"/></w:pPr>
<w:r><w:t xml:space="preserve">shipment.  The mate&apos;s receipt is afterwards exchanged for</w:t></w:r>
</w:p>
<w:p>
<w:pPr><w:pStyle w:val="Normal"/></w:pPr>
<w:r><w:t xml:space="preserve">the bill of lading. In the case of a shipment by a general</w:t></w:r>
</w:p>
<w:p>
<w:pPr><w:pStyle w:val="Normal"/></w:pPr>
<w:r><w:t xml:space="preserve">ship the bill of lading is the evidence and memorandum of the</w:t></w:r>
</w:p>
<w:p>
<w:pPr><w:pStyle w:val="Normal"/></w:pPr>
<w:r><w:t xml:space="preserve">contract between the shipowner and the shipper. (2) A shipper</w:t></w:r>
</w:p>
<w:p>
<w:pPr><w:pStyle w:val="Normal"/></w:pPr>
<w:r><w:t xml:space="preserve">may, however, require the whole cargo space of the vessel to</w:t></w:r>
</w:p>
<w:p>
<w:pPr><w:pStyle w:val="Normal"/></w:pPr>
<w:r><w:t xml:space="preserve">carry, for example, a full cargo of grain.  In such a case the</w:t></w:r>
</w:p>
<w:p>
<w:pPr><w:pStyle w:val="Normal"/></w:pPr>
<w:r><w:t xml:space="preserve">vessel will be chartered by the shipowner to the shipper. and</w:t></w:r>
</w:p>
<w:p>
<w:pPr><w:pStyle w:val="Normal"/></w:pPr>
<w:r><w:t xml:space="preserve">the contract will be the charter-party.  Even in such a case</w:t></w:r>
</w:p>
<w:p>
<w:pPr><w:pStyle w:val="Normal"/></w:pPr>
<w:r><w:t xml:space="preserve">a bill or bills of lading will usually be given to enable the</w:t></w:r>
</w:p>
<w:p>
<w:pPr><w:pStyle w:val="Normal"/></w:pPr>
<w:r><w:t xml:space="preserve">shipper to deal more conveniently with the goods by way of sale or</w:t></w:r>
</w:p>
<w:p>
<w:pPr><w:pStyle w:val="Normal"/></w:pPr>
<w:r><w:t xml:space="preserve">otherwise.  By the ancient custom of merchants recognized and</w:t></w:r>
</w:p>
<w:p>
<w:pPr><w:pStyle w:val="Normal"/></w:pPr>
<w:r><w:t xml:space="preserve">incorporated in the law, the bill of lading is a document of</w:t></w:r>
</w:p>
<w:p>
<w:pPr><w:pStyle w:val="Normal"/></w:pPr>
<w:r><w:t xml:space="preserve">title, representing the goods themselves, by the transfer of</w:t></w:r>
</w:p>
<w:p>
<w:pPr><w:pStyle w:val="Normal"/></w:pPr>
<w:r><w:t xml:space="preserve">which symbolical delivery of the goods may be made.  But when</w:t></w:r>
</w:p>
<w:p>
<w:pPr><w:pStyle w:val="Normal"/></w:pPr>
<w:r><w:t xml:space="preserve">a cargo is shipped under a charter party, although bills of</w:t></w:r>
</w:p>
<w:p>
<w:pPr><w:pStyle w:val="Normal"/></w:pPr>
<w:r><w:t xml:space="preserve">lading may be given to the charterer, it is the charter-party,</w:t></w:r>
</w:p>
<w:p>
<w:pPr><w:pStyle w:val="Normal"/></w:pPr>
<w:r><w:t xml:space="preserve">and not the bills of lading, which constitutes the record</w:t></w:r>
</w:p>
<w:p>
<w:pPr><w:pStyle w:val="Normal"/></w:pPr>
<w:r><w:t xml:space="preserve">of the contract between the parties---of charter-parties</w:t></w:r>
</w:p>
<w:p>
<w:pPr><w:pStyle w:val="Normal"/></w:pPr>
<w:r><w:t xml:space="preserve">we shall treat below. (3) There is a third class of case</w:t></w:r>
</w:p>
<w:p>
<w:pPr><w:pStyle w:val="Normal"/></w:pPr>
<w:r><w:t xml:space="preserve">which is a combination of the two with which we have dealt</w:t></w:r>
</w:p>
<w:p>
<w:pPr><w:pStyle w:val="Normal"/></w:pPr>
<w:r><w:t xml:space="preserve">above.  A vessel is very commonly chartered by her owner to</w:t></w:r>
</w:p>
<w:p>
<w:pPr><w:pStyle w:val="Normal"/></w:pPr>
<w:r><w:t xml:space="preserve">a charterer who has no intention to ship and does not ship</w:t></w:r>
</w:p>
<w:p>
<w:pPr><w:pStyle w:val="Normal"/></w:pPr>
<w:r><w:t xml:space="preserve">any cargo on his own account, but places the vessel on the</w:t></w:r>
</w:p>
<w:p>
<w:pPr><w:pStyle w:val="Normal"/></w:pPr>
<w:r><w:t xml:space="preserve">berth to receive cargo from shippers who ship under bills of</w:t></w:r>
</w:p>
<w:p>
<w:pPr><w:pStyle w:val="Normal"/></w:pPr>
<w:r><w:t xml:space="preserve">lading.  The charterer receives the bill of lading freight</w:t></w:r>
</w:p>
<w:p>
<w:pPr><w:pStyle w:val="Normal"/></w:pPr>
<w:r><w:t xml:space="preserve">and pays the charter-party freight, his object being of</w:t></w:r>
</w:p>
<w:p>
<w:pPr><w:pStyle w:val="Normal"/></w:pPr>
<w:r><w:t xml:space="preserve">course to obtain a total bill of lading freight in excess</w:t></w:r>
</w:p>
<w:p>
<w:pPr><w:pStyle w:val="Normal"/></w:pPr>
<w:r><w:t xml:space="preserve">of the chartered freight, and so make a profit.  The master,</w:t></w:r>
</w:p>
<w:p>
<w:pPr><w:pStyle w:val="Normal"/></w:pPr>
<w:r><w:t xml:space="preserve">although he usually remains the servant of the shipowner during</w:t></w:r>
</w:p>
<w:p>
<w:pPr><w:pStyle w:val="Normal"/></w:pPr>
<w:r><w:t xml:space="preserve">the term of the charter-party, acts nevertheless under the</w:t></w:r>
</w:p>
<w:p>
<w:pPr><w:pStyle w:val="Normal"/></w:pPr>
<w:r><w:t xml:space="preserve">directions and on behalf of the charterer in signing bills of</w:t></w:r>
</w:p>
<w:p>
<w:pPr><w:pStyle w:val="Normal"/></w:pPr>
<w:r><w:t xml:space="preserve">lading.  The legal effect of this situation is that shippers</w:t></w:r>
</w:p>
<w:p>
<w:pPr><w:pStyle w:val="Normal"/></w:pPr>
<w:r><w:t xml:space="preserve">who ship goods under bills of lading without knowledge of</w:t></w:r>
</w:p>
<w:p>
<w:pPr><w:pStyle w:val="Normal"/></w:pPr>
<w:r><w:t xml:space="preserve">the terms of the charter-party are entitled to look to the</w:t></w:r>
</w:p>
<w:p>
<w:pPr><w:pStyle w:val="Normal"/></w:pPr>
<w:r><w:t xml:space="preserve">shipowner as the person responsible to them for the safe</w:t></w:r>
</w:p>
<w:p>
<w:pPr><w:pStyle w:val="Normal"/></w:pPr>
<w:r><w:t xml:space="preserve">carriage of their goods.  This right depends essentially</w:t></w:r>
</w:p>
<w:p>
<w:pPr><w:pStyle w:val="Normal"/></w:pPr>
<w:r><w:t xml:space="preserve">on the fact that the master who signs the bills of lading,</w:t></w:r>
</w:p>
<w:p>
<w:pPr><w:pStyle w:val="Normal"/></w:pPr>
<w:r><w:t xml:space="preserve">although in doing so he is acting for the charterer, remains</w:t></w:r>
</w:p>
<w:p>
<w:pPr><w:pStyle w:val="Normal"/></w:pPr>
<w:r><w:t xml:space="preserve">nevertheless the servant of the shipowner, who is not</w:t></w:r>
</w:p>
<w:p>
<w:pPr><w:pStyle w:val="Normal"/></w:pPr>
<w:r><w:t xml:space="preserve">allowed to deny as against third persons, who do not know the</w:t></w:r>
</w:p>
<w:p>
<w:pPr><w:pStyle w:val="Normal"/></w:pPr>
<w:r><w:t xml:space="preserve">relations between the charterer and the shipowner, that his</w:t></w:r>
</w:p>
<w:p>
<w:pPr><w:pStyle w:val="Normal"/></w:pPr>
<w:r><w:t xml:space="preserve">servant, the master of the ship, has the ordinary authority</w:t></w:r>
</w:p>
<w:p>
<w:pPr><w:pStyle w:val="Normal"/></w:pPr>
<w:r><w:t xml:space="preserve">of a master to bind his owner by signing bills of lading.</w:t></w:r>
</w:p>
<w:p>
<w:pPr><w:pStyle w:val="Normal"/></w:pPr>
<w:r><w:t xml:space="preserve">The forms of bills of lading vary very much, and their clauses have</w:t></w:r>
</w:p>
<w:p>
<w:pPr><w:pStyle w:val="Normal"/></w:pPr>
<w:r><w:t xml:space="preserve">been the subject of judicial consideration and decision in a vast</w:t></w:r>
</w:p>
<w:p>
<w:pPr><w:pStyle w:val="Normal"/></w:pPr>
<w:r><w:t xml:space="preserve">number of reported cases.  The essential particulars, or at all</w:t></w:r>
</w:p>
<w:p>
<w:pPr><w:pStyle w:val="Normal"/></w:pPr>
<w:r><w:t xml:space="preserve">events those common to all bihs of lading, may be stated as follows:</w:t></w:r>
</w:p>
<w:p>
<w:pPr><w:pStyle w:val="Normal"/></w:pPr>
<w:r><w:t xml:space="preserve">1. The name of the shipper.</w:t></w:r>
</w:p>
<w:p>
<w:pPr><w:pStyle w:val="Normal"/></w:pPr>
<w:r><w:t xml:space="preserve">2. The name of the ship.</w:t></w:r>
</w:p>
<w:p>
<w:pPr><w:pStyle w:val="Normal"/></w:pPr>
<w:r><w:t xml:space="preserve">3. The place of loading and destination of the ship.</w:t></w:r>
</w:p>
<w:p>
<w:pPr><w:pStyle w:val="Normal"/></w:pPr>
<w:r><w:t xml:space="preserve">4. A description of the goods shipped.</w:t></w:r>
</w:p>
<w:p>
<w:pPr><w:pStyle w:val="Normal"/></w:pPr>
<w:r><w:t xml:space="preserve">5. The place of delivery.</w:t></w:r>
</w:p>
<w:p>
<w:pPr><w:pStyle w:val="Normal"/></w:pPr>
<w:r><w:t xml:space="preserve">6. The persons to whom delivery is to be made.</w:t></w:r>
</w:p>
<w:p>
<w:pPr><w:pStyle w:val="Normal"/></w:pPr>
<w:r><w:t xml:space="preserve">7. The freight to be paid.&apos;</w:t></w:r>
</w:p>
<w:p>
<w:pPr><w:pStyle w:val="Normal"/></w:pPr>
<w:r><w:t xml:space="preserve">8. The excepted perils.</w:t></w:r>
</w:p>
<w:p>
<w:pPr><w:pStyle w:val="Normal"/></w:pPr>
<w:r><w:t xml:space="preserve">9. The shipowner&apos;s lien.</w:t></w:r>
</w:p>
<w:p>
<w:pPr><w:pStyle w:val="Normal"/></w:pPr>
<w:r><w:t xml:space="preserve">The description of (1) the shipper and (2) the ship calls for no</w:t></w:r>
</w:p>
<w:p>
<w:pPr><w:pStyle w:val="Normal"/></w:pPr>
<w:r><w:t xml:space="preserve">remark.  The (3) description of the voyage is important,</w:t></w:r>
</w:p>
<w:p>
<w:pPr><w:pStyle w:val="Normal"/></w:pPr>
<w:r><w:t xml:space="preserve">because there is, as we have already explained, an implied</w:t></w:r>
</w:p>
<w:p>
<w:pPr><w:pStyle w:val="Normal"/></w:pPr>
<w:r><w:t xml:space="preserve">undertaking by the shipowner in every contract of carriage</w:t></w:r>
</w:p>
<w:p>
<w:pPr><w:pStyle w:val="Normal"/></w:pPr>
<w:r><w:t xml:space="preserve">not unnecessarily to deviate from the ordinary route of the</w:t></w:r>
</w:p>
<w:p>
<w:pPr><w:pStyle w:val="Normal"/></w:pPr>
<w:r><w:t xml:space="preserve">voyage upon which the goods are received to be carried.</w:t></w:r>
</w:p>
<w:p>
<w:pPr><w:pStyle w:val="Normal"/></w:pPr>
<w:r><w:t xml:space="preserve">The consequences of a deviation are serious, inasmuch as</w:t></w:r>
</w:p>
<w:p>
<w:pPr><w:pStyle w:val="Normal"/></w:pPr>
<w:r><w:t xml:space="preserve">the shipowner is liable, not only for any loss or damage</w:t></w:r>
</w:p>
<w:p>
<w:pPr><w:pStyle w:val="Normal"/></w:pPr>
<w:r><w:t xml:space="preserve">which the shipper suffers in consequence of the deviation,</w:t></w:r>
</w:p>
<w:p>
<w:pPr><w:pStyle w:val="Normal"/></w:pPr>
<w:r><w:t xml:space="preserve">but for any loss of goods which occurs after the deviation,</w:t></w:r>
</w:p>
<w:p>
<w:pPr><w:pStyle w:val="Normal"/></w:pPr>
<w:r><w:t xml:space="preserve">even though such loss is caused by one of the excepted</w:t></w:r>
</w:p>
<w:p>
<w:pPr><w:pStyle w:val="Normal"/></w:pPr>
<w:r><w:t xml:space="preserve">perils.  The only exception to this rule is that a deviation</w:t></w:r>
</w:p>
<w:p>
<w:pPr><w:pStyle w:val="Normal"/></w:pPr>
<w:r><w:t xml:space="preserve">may be made to save life, but not to save property.  It is,</w:t></w:r>
</w:p>
<w:p>
<w:pPr><w:pStyle w:val="Normal"/></w:pPr>
<w:r><w:t xml:space="preserve">however, very usual to qualify the strictness of this implied</w:t></w:r>
</w:p>
<w:p>
<w:pPr><w:pStyle w:val="Normal"/></w:pPr>
<w:r><w:t xml:space="preserve">undertaking by introducing in the bill of lading certain</w:t></w:r>
</w:p>
<w:p>
<w:pPr><w:pStyle w:val="Normal"/></w:pPr>
<w:r><w:t xml:space="preserve">``liberties&apos;&apos; to deviate, as, for example, in the form given</w:t></w:r>
</w:p>
<w:p>
<w:pPr><w:pStyle w:val="Normal"/></w:pPr>
<w:r><w:t xml:space="preserve">above, ``liberty to call at any ports in any order, to tow and</w:t></w:r>
</w:p>
<w:p>
<w:pPr><w:pStyle w:val="Normal"/></w:pPr>
<w:r><w:t xml:space="preserve">assist vessels in distress, and to deviate for the purpose of</w:t></w:r>
</w:p>
<w:p>
<w:pPr><w:pStyle w:val="Normal"/></w:pPr>
<w:r><w:t xml:space="preserve">saving life and property.&apos;&apos; The nature and extent of the liberty</w:t></w:r>
</w:p>
<w:p>
<w:pPr><w:pStyle w:val="Normal"/></w:pPr>
<w:r><w:t xml:space="preserve">will depend on the words of the contract.  The inclination</w:t></w:r>
</w:p>
<w:p>
<w:pPr><w:pStyle w:val="Normal"/></w:pPr>
<w:r><w:t xml:space="preserve">of English courts has been to construe clauses giving a</w:t></w:r>
</w:p>
<w:p>
<w:pPr><w:pStyle w:val="Normal"/></w:pPr>
<w:r><w:t xml:space="preserve">liberty to deviate somewhat strictly against the shipowner.</w:t></w:r>
</w:p>
<w:p>
<w:pPr><w:pStyle w:val="Normal"/></w:pPr>
<w:r><w:t xml:space="preserve">The (4) importance of the description of the goods shipped</w:t></w:r>
</w:p>
<w:p>
<w:pPr><w:pStyle w:val="Normal"/></w:pPr>
<w:r><w:t xml:space="preserve">and their condition is obvious, as the contract is to deliver</w:t></w:r>
</w:p>
<w:p>
<w:pPr><w:pStyle w:val="Normal"/></w:pPr>
<w:r><w:t xml:space="preserve">them as described and in the like good condition, subject, of</w:t></w:r>
</w:p>
<w:p>
<w:pPr><w:pStyle w:val="Normal"/></w:pPr>
<w:r><w:t xml:space="preserve">course, to the exceptions.  It must, moreover, be noted that,</w:t></w:r>
</w:p>
<w:p>
<w:pPr><w:pStyle w:val="Normal"/></w:pPr>
<w:r><w:t xml:space="preserve">as against the master or person who has himself signed the</w:t></w:r>
</w:p>
<w:p>
<w:pPr><w:pStyle w:val="Normal"/></w:pPr>
<w:r><w:t xml:space="preserve">bill of lading, the statement therein of the goods shipped</w:t></w:r>
</w:p>
<w:p>
<w:pPr><w:pStyle w:val="Normal"/></w:pPr>
<w:r><w:t xml:space="preserve">is absolutely conclusive.  But as against the shipowner,</w:t></w:r>
</w:p>
<w:p>
<w:pPr><w:pStyle w:val="Normal"/></w:pPr>
<w:r><w:t xml:space="preserve">unless he has himself signed the bill of lading, the statement</w:t></w:r>
</w:p>
<w:p>
<w:pPr><w:pStyle w:val="Normal"/></w:pPr>
<w:r><w:t xml:space="preserve">of the goods shipped is not conclusive.  It is evidence as</w:t></w:r>
</w:p>
<w:p>
<w:pPr><w:pStyle w:val="Normal"/></w:pPr>
<w:r><w:t xml:space="preserve">against him that the goods described were shipped, but he is</w:t></w:r>
</w:p>
<w:p>
<w:pPr><w:pStyle w:val="Normal"/></w:pPr>
<w:r><w:t xml:space="preserve">allowed to rebut this evidence by proving, if he can, that the</w:t></w:r>
</w:p>
<w:p>
<w:pPr><w:pStyle w:val="Normal"/></w:pPr>
<w:r><w:t xml:space="preserve">goods mentioned, or some of them, were not in fact shipped.</w:t></w:r>
</w:p>
<w:p>
<w:pPr><w:pStyle w:val="Normal"/></w:pPr>
<w:r><w:t xml:space="preserve">As to (5) the place of delivery, very serious questions</w:t></w:r>
</w:p>
<w:p>
<w:pPr><w:pStyle w:val="Normal"/></w:pPr>
<w:r><w:t xml:space="preserve">frequently arise.  Primarily, of course, the shipowner is</w:t></w:r>
</w:p>
<w:p>
<w:pPr><w:pStyle w:val="Normal"/></w:pPr>
<w:r><w:t xml:space="preserve">bound to deliver at the place named.  Should he be prevented</w:t></w:r>
</w:p>
<w:p>
<w:pPr><w:pStyle w:val="Normal"/></w:pPr>
<w:r><w:t xml:space="preserve">by some obstacle or difficulty which is of a temporary nature,</w:t></w:r>
</w:p>
<w:p>
<w:pPr><w:pStyle w:val="Normal"/></w:pPr>
<w:r><w:t xml:space="preserve">the vessel must wait, and delivery must be made as soon as</w:t></w:r>
</w:p>
<w:p>
<w:pPr><w:pStyle w:val="Normal"/></w:pPr>
<w:r><w:t xml:space="preserve">possible.  Where, however, the obstacle is permanent, or</w:t></w:r>
</w:p>
<w:p>
<w:pPr><w:pStyle w:val="Normal"/></w:pPr>
<w:r><w:t xml:space="preserve">at all events such as must cause unreasonable delay, having</w:t></w:r>
</w:p>
<w:p>
<w:pPr><w:pStyle w:val="Normal"/></w:pPr>
<w:r><w:t xml:space="preserve">regard to the nature of the adventure, the shipowner is</w:t></w:r>
</w:p>
<w:p>
<w:pPr><w:pStyle w:val="Normal"/></w:pPr>
<w:r><w:t xml:space="preserve">excused from delivery at the place named in the bill of</w:t></w:r>
</w:p>
<w:p>
<w:pPr><w:pStyle w:val="Normal"/></w:pPr>
<w:r><w:t xml:space="preserve">lading, provided the difficulty arises from an excepted</w:t></w:r>
</w:p>
<w:p>
<w:pPr><w:pStyle w:val="Normal"/></w:pPr>
<w:r><w:t xml:space="preserve">peril, or in consequence of delivery at the place named being</w:t></w:r>
</w:p>
<w:p>
<w:pPr><w:pStyle w:val="Normal"/></w:pPr>
<w:r><w:t xml:space="preserve">forbidden by the law of England, as may happen, for example,</w:t></w:r>
</w:p>
<w:p>
<w:pPr><w:pStyle w:val="Normal"/></w:pPr>
<w:r><w:t xml:space="preserve">in the case of a declaration of war between Great Britain and</w:t></w:r>
</w:p>
<w:p>
<w:pPr><w:pStyle w:val="Normal"/></w:pPr>
<w:r><w:t xml:space="preserve">the state in which the port named in the bill of lading is</w:t></w:r>
</w:p>
<w:p>
<w:pPr><w:pStyle w:val="Normal"/></w:pPr>
<w:r><w:t xml:space="preserve">situate.  A party to a contract cannot be held liable for</w:t></w:r>
</w:p>
<w:p>
<w:pPr><w:pStyle w:val="Normal"/></w:pPr>
<w:r><w:t xml:space="preserve">breaking his contract if its performance has become illegal.</w:t></w:r>
</w:p>
<w:p>
<w:pPr><w:pStyle w:val="Normal"/></w:pPr>
<w:r><w:t xml:space="preserve">There may be other cases in which, from the circumstances of</w:t></w:r>
</w:p>
<w:p>
<w:pPr><w:pStyle w:val="Normal"/></w:pPr>
<w:r><w:t xml:space="preserve">the voyage and adventure, it must be inferred that the parties</w:t></w:r>
</w:p>
<w:p>
<w:pPr><w:pStyle w:val="Normal"/></w:pPr>
<w:r><w:t xml:space="preserve">intended the performance of the contract to be conditional on</w:t></w:r>
</w:p>
<w:p>
<w:pPr><w:pStyle w:val="Normal"/></w:pPr>
<w:r><w:t xml:space="preserve">the existence at the time of performance of a certain state of</w:t></w:r>
</w:p>
<w:p>
<w:pPr><w:pStyle w:val="Normal"/></w:pPr>
<w:r><w:t xml:space="preserve">things, the non-existence of which would render performance</w:t></w:r>
</w:p>
<w:p>
<w:pPr><w:pStyle w:val="Normal"/></w:pPr>
<w:r><w:t xml:space="preserve">impossible.  For instance, if the port named in the bill of</w:t></w:r>
</w:p>
<w:p>
<w:pPr><w:pStyle w:val="Normal"/></w:pPr>
<w:r><w:t xml:space="preserve">lading became permanently closed and inaccessible to shipping</w:t></w:r>
</w:p>
<w:p>
<w:pPr><w:pStyle w:val="Normal"/></w:pPr>
<w:r><w:t xml:space="preserve">in consequence of an earthquake, it would probably be held that</w:t></w:r>
</w:p>
<w:p>
<w:pPr><w:pStyle w:val="Normal"/></w:pPr>
<w:r><w:t xml:space="preserve">the continued existence of the place named as a port was an</w:t></w:r>
</w:p>
<w:p>
<w:pPr><w:pStyle w:val="Normal"/></w:pPr>
<w:r><w:t xml:space="preserve">implied condition of the contract, and that the shipowner was</w:t></w:r>
</w:p>
<w:p>
<w:pPr><w:pStyle w:val="Normal"/></w:pPr>
<w:r><w:t xml:space="preserve">excused.  Where, however, the performance of the contract</w:t></w:r>
</w:p>
<w:p>
<w:pPr><w:pStyle w:val="Normal"/></w:pPr>
<w:r><w:t xml:space="preserve">remains lawful, and is not excused by the express terms of</w:t></w:r>
</w:p>
<w:p>
<w:pPr><w:pStyle w:val="Normal"/></w:pPr>
<w:r><w:t xml:space="preserve">the contract, or by some implied condition, the shipowner</w:t></w:r>
</w:p>
<w:p>
<w:pPr><w:pStyle w:val="Normal"/></w:pPr>
<w:r><w:t xml:space="preserve">is liable for any loss or damage suffered by the shipper by</w:t></w:r>
</w:p>
<w:p>
<w:pPr><w:pStyle w:val="Normal"/></w:pPr>
<w:r><w:t xml:space="preserve">reason of his goods not being delivered at the named place,</w:t></w:r>
</w:p>
<w:p>
<w:pPr><w:pStyle w:val="Normal"/></w:pPr>
<w:r><w:t xml:space="preserve">even though such delivery has become impossible.  There is</w:t></w:r>
</w:p>
<w:p>
<w:pPr><w:pStyle w:val="Normal"/></w:pPr>
<w:r><w:t xml:space="preserve">another reason why the precise description of the place of</w:t></w:r>
</w:p>
<w:p>
<w:pPr><w:pStyle w:val="Normal"/></w:pPr>
<w:r><w:t xml:space="preserve">delivery often becomes important.  It is only on the arrival of</w:t></w:r>
</w:p>
<w:p>
<w:pPr><w:pStyle w:val="Normal"/></w:pPr>
<w:r><w:t xml:space="preserve">the ship at the place described as the place of delivery that</w:t></w:r>
</w:p>
<w:p>
<w:pPr><w:pStyle w:val="Normal"/></w:pPr>
<w:r><w:t xml:space="preserve">the obligation of the consignee of the goods to take delivery</w:t></w:r>
</w:p>
<w:p>
<w:pPr><w:pStyle w:val="Normal"/></w:pPr>
<w:r><w:t xml:space="preserve">commences.  Delay involves considerable loss and expense to the</w:t></w:r>
</w:p>
<w:p>
<w:pPr><w:pStyle w:val="Normal"/></w:pPr>
<w:r><w:t xml:space="preserve">shipowner.  The shipper or consignee is not responsible</w:t></w:r>
</w:p>
<w:p>
<w:pPr><w:pStyle w:val="Normal"/></w:pPr>
<w:r><w:t xml:space="preserve">for any delay which occurs before the ship has arrived</w:t></w:r>
</w:p>
<w:p>
<w:pPr><w:pStyle w:val="Normal"/></w:pPr>
<w:r><w:t xml:space="preserve">at the place of delivery described in the bill of lading.</w:t></w:r>
</w:p>
<w:p>
<w:pPr><w:pStyle w:val="Normal"/></w:pPr>
<w:r><w:t xml:space="preserve">(6) The goods may be deliverable by the terms of the bill</w:t></w:r>
</w:p>
<w:p>
<w:pPr><w:pStyle w:val="Normal"/></w:pPr>
<w:r><w:t xml:space="preserve">of lading to a named consignee, and to him only, but more</w:t></w:r>
</w:p>
<w:p>
<w:pPr><w:pStyle w:val="Normal"/></w:pPr>
<w:r><w:t xml:space="preserve">usually they are made deliverable to the ``order or assigns&apos;&apos;</w:t></w:r>
</w:p>
<w:p>
<w:pPr><w:pStyle w:val="Normal"/></w:pPr>
<w:r><w:t xml:space="preserve">of the named consignee or of the shipper.  If the goods are</w:t></w:r>
</w:p>
<w:p>
<w:pPr><w:pStyle w:val="Normal"/></w:pPr>
<w:r><w:t xml:space="preserve">made deliverable to order or assigns the bill of lading is a</w:t></w:r>
</w:p>
<w:p>
<w:pPr><w:pStyle w:val="Normal"/></w:pPr>
<w:r><w:t xml:space="preserve">negotiable instrument, or, in other words, the right to the</w:t></w:r>
</w:p>
<w:p>
<w:pPr><w:pStyle w:val="Normal"/></w:pPr>
<w:r><w:t xml:space="preserve">goods, and the rights and liabilities under the contract</w:t></w:r>
</w:p>
<w:p>
<w:pPr><w:pStyle w:val="Normal"/></w:pPr>
<w:r><w:t xml:space="preserve">contained in the bill of lading, may be transferred by indorsement</w:t></w:r>
</w:p>
<w:p>
<w:pPr><w:pStyle w:val="Normal"/></w:pPr>
<w:r><w:t xml:space="preserve">and delivery of the document.  When an indorsement has once</w:t></w:r>
</w:p>
<w:p>
<w:pPr><w:pStyle w:val="Normal"/></w:pPr>
<w:r><w:t xml:space="preserve">been made by the shipper or consignee writing his name and</w:t></w:r>
</w:p>
<w:p>
<w:pPr><w:pStyle w:val="Normal"/></w:pPr>
<w:r><w:t xml:space="preserve">nothing more on the back of the bill of lading, the rights</w:t></w:r>
</w:p>
<w:p>
<w:pPr><w:pStyle w:val="Normal"/></w:pPr>
<w:r><w:t xml:space="preserve">in and under it may be transferred from hand to hand by mere</w:t></w:r>
</w:p>
<w:p>
<w:pPr><w:pStyle w:val="Normal"/></w:pPr>
<w:r><w:t xml:space="preserve">delivery.  A bill of lading so indorsed is said to be indorsed</w:t></w:r>
</w:p>
<w:p>
<w:pPr><w:pStyle w:val="Normal"/></w:pPr>
<w:r><w:t xml:space="preserve">``in blank.&apos;&apos; But the shipper or consignee may restrict the</w:t></w:r>
</w:p>
<w:p>
<w:pPr><w:pStyle w:val="Normal"/></w:pPr>
<w:r><w:t xml:space="preserve">negotiability of the bill of lading by indorsing it not ``in</w:t></w:r>
</w:p>
<w:p>
<w:pPr><w:pStyle w:val="Normal"/></w:pPr>
<w:r><w:t xml:space="preserve">blank,&apos;&apos; but with a direction requiring delivery to be made</w:t></w:r>
</w:p>
<w:p>
<w:pPr><w:pStyle w:val="Normal"/></w:pPr>
<w:r><w:t xml:space="preserve">to a particular person or indorsee, or to his order.  This</w:t></w:r>
</w:p>
<w:p>
<w:pPr><w:pStyle w:val="Normal"/></w:pPr>
<w:r><w:t xml:space="preserve">is called an indorsement ``in full.&apos;&apos; When an indorsement</w:t></w:r>
</w:p>
<w:p>
<w:pPr><w:pStyle w:val="Normal"/></w:pPr>
<w:r><w:t xml:space="preserve">has been made ``in full&apos;&apos; to a named indorsee or order, such</w:t></w:r>
</w:p>
<w:p>
<w:pPr><w:pStyle w:val="Normal"/></w:pPr>
<w:r><w:t xml:space="preserve">indorsee must again indorse ``in blank&apos;&apos; or ``in full&apos;&apos; to</w:t></w:r>
</w:p>
<w:p>
<w:pPr><w:pStyle w:val="Normal"/></w:pPr>
<w:r><w:t xml:space="preserve">effect a new transfer of the rights in the bill of lading.</w:t></w:r>
</w:p>
<w:p>
<w:pPr><w:pStyle w:val="Normal"/></w:pPr>
<w:r><w:t xml:space="preserve">(7) The amount or rate of freight payable is stated in the</w:t></w:r>
</w:p>
<w:p>
<w:pPr><w:pStyle w:val="Normal"/></w:pPr>
<w:r><w:t xml:space="preserve">bill of lading, either expressly, or, not uncommonly when</w:t></w:r>
</w:p>
<w:p>
<w:pPr><w:pStyle w:val="Normal"/></w:pPr>
<w:r><w:t xml:space="preserve">the freight under the bill of lading is the same as under the</w:t></w:r>
</w:p>
<w:p>
<w:pPr><w:pStyle w:val="Normal"/></w:pPr>
<w:r><w:t xml:space="preserve">charter-party, by reference to the charter-party.  A common</w:t></w:r>
</w:p>
<w:p>
<w:pPr><w:pStyle w:val="Normal"/></w:pPr>
<w:r><w:t xml:space="preserve">form of such reference is ``freight and other conditions, as</w:t></w:r>
</w:p>
<w:p>
<w:pPr><w:pStyle w:val="Normal"/></w:pPr>
<w:r><w:t xml:space="preserve">per charter-party.&apos;&apos; It may here be mentioned that this form</w:t></w:r>
</w:p>
<w:p>
<w:pPr><w:pStyle w:val="Normal"/></w:pPr>
<w:r><w:t xml:space="preserve">of words does not incorporate in the contract under the bill</w:t></w:r>
</w:p>
<w:p>
<w:pPr><w:pStyle w:val="Normal"/></w:pPr>
<w:r><w:t xml:space="preserve">of lading all the terms and conditions of the charter-party,</w:t></w:r>
</w:p>
<w:p>
<w:pPr><w:pStyle w:val="Normal"/></w:pPr>
<w:r><w:t xml:space="preserve">but only those which apply to the person who is to take</w:t></w:r>
</w:p>
<w:p>
<w:pPr><w:pStyle w:val="Normal"/></w:pPr>
<w:r><w:t xml:space="preserve">delivery, and relate to matters ejusdem generis, or similar</w:t></w:r>
</w:p>
<w:p>
<w:pPr><w:pStyle w:val="Normal"/></w:pPr>
<w:r><w:t xml:space="preserve">to the payment of freight, such as demurrage and the like.</w:t></w:r>
</w:p>
<w:p>
<w:pPr><w:pStyle w:val="Normal"/></w:pPr>
<w:r><w:t xml:space="preserve">The conditions of the charter-party thus incorporated do not</w:t></w:r>
</w:p>
<w:p>
<w:pPr><w:pStyle w:val="Normal"/></w:pPr>
<w:r><w:t xml:space="preserve">include, for instance, the exceptions in the charter-party</w:t></w:r>
</w:p>
<w:p>
<w:pPr><w:pStyle w:val="Normal"/></w:pPr>
<w:r><w:t xml:space="preserve">so as to add them to the exceptions in the bill of</w:t></w:r>
</w:p>
<w:p>
<w:pPr><w:pStyle w:val="Normal"/></w:pPr>
<w:r><w:t xml:space="preserve">lading.  Freight, unless it is otherwise provided by the</w:t></w:r>
</w:p>
<w:p>
<w:pPr><w:pStyle w:val="Normal"/></w:pPr>
<w:r><w:t xml:space="preserve">contract, is payable only on delivery of the goods at their</w:t></w:r>
</w:p>
<w:p>
<w:pPr><w:pStyle w:val="Normal"/></w:pPr>
<w:r><w:t xml:space="preserve">destination.  If the voyage is interrupted and its completion</w:t></w:r>
</w:p>
<w:p>
<w:pPr><w:pStyle w:val="Normal"/></w:pPr>
<w:r><w:t xml:space="preserve">becomes impossible, the shipowner cannot claim payment</w:t></w:r>
</w:p>
<w:p>
<w:pPr><w:pStyle w:val="Normal"/></w:pPr>
<w:r><w:t xml:space="preserve">of freight even pro rata itineris. He loses his freight</w:t></w:r>
</w:p>
<w:p>
<w:pPr><w:pStyle w:val="Normal"/></w:pPr>
<w:r><w:t xml:space="preserve">altogether.  This is so even when the completion of the</w:t></w:r>
</w:p>
<w:p>
<w:pPr><w:pStyle w:val="Normal"/></w:pPr>
<w:r><w:t xml:space="preserve">voyage is prevented by causes for which the shipowner is not</w:t></w:r>
</w:p>
<w:p>
<w:pPr><w:pStyle w:val="Normal"/></w:pPr>
<w:r><w:t xml:space="preserve">responsible, such as the act of God or the king&apos;s enemies, or</w:t></w:r>
</w:p>
<w:p>
<w:pPr><w:pStyle w:val="Normal"/></w:pPr>
<w:r><w:t xml:space="preserve">perils which are within the express exceptions in the bill of</w:t></w:r>
</w:p>
<w:p>
<w:pPr><w:pStyle w:val="Normal"/></w:pPr>
<w:r><w:t xml:space="preserve">lading.  When the voyage is interrupted by accident, and indeed</w:t></w:r>
</w:p>
<w:p>
<w:pPr><w:pStyle w:val="Normal"/></w:pPr>
<w:r><w:t xml:space="preserve">in any case, the goods may, by agreement between the shipowner</w:t></w:r>
</w:p>
<w:p>
<w:pPr><w:pStyle w:val="Normal"/></w:pPr>
<w:r><w:t xml:space="preserve">and the consignee, be delivered at some place short of their</w:t></w:r>
</w:p>
<w:p>
<w:pPr><w:pStyle w:val="Normal"/></w:pPr>
<w:r><w:t xml:space="preserve">destination upon payment of a freight pro rata; that is to</w:t></w:r>
</w:p>
<w:p>
<w:pPr><w:pStyle w:val="Normal"/></w:pPr>
<w:r><w:t xml:space="preserve">say, proportional to the length of voyage accomplished, and</w:t></w:r>
</w:p>
<w:p>
<w:pPr><w:pStyle w:val="Normal"/></w:pPr>
<w:r><w:t xml:space="preserve">such an agreement may be implied in certain circumstances from</w:t></w:r>
</w:p>
<w:p>
<w:pPr><w:pStyle w:val="Normal"/></w:pPr>
<w:r><w:t xml:space="preserve">the conduct of the consignee in taking delivery before they</w:t></w:r>
</w:p>
<w:p>
<w:pPr><w:pStyle w:val="Normal"/></w:pPr>
<w:r><w:t xml:space="preserve">arrive at their destination.  In all such cases it will be</w:t></w:r>
</w:p>
<w:p>
<w:pPr><w:pStyle w:val="Normal"/></w:pPr>
<w:r><w:t xml:space="preserve">a question of fact whether the goods were in fact delivered</w:t></w:r>
</w:p>
<w:p>
<w:pPr><w:pStyle w:val="Normal"/></w:pPr>
<w:r><w:t xml:space="preserve">upon the terms, express or implied, that freight pro rata</w:t></w:r>
</w:p>
<w:p>
<w:pPr><w:pStyle w:val="Normal"/></w:pPr>
<w:r><w:t xml:space="preserve">should be paid.  As a rule such an agreement would not be</w:t></w:r>
</w:p>
<w:p>
<w:pPr><w:pStyle w:val="Normal"/></w:pPr>
<w:r><w:t xml:space="preserve">implied where the shipowner is unable or unwilling to forward</w:t></w:r>
</w:p>
<w:p>
<w:pPr><w:pStyle w:val="Normal"/></w:pPr>
<w:r><w:t xml:space="preserve">the goods to their destination, and the owner of the goods,</w:t></w:r>
</w:p>
<w:p>
<w:pPr><w:pStyle w:val="Normal"/></w:pPr>
<w:r><w:t xml:space="preserve">therefore, has no option but to take delivery where offered.</w:t></w:r>
</w:p>
<w:p>
<w:pPr><w:pStyle w:val="Normal"/></w:pPr>
<w:r><w:t xml:space="preserve">When the ship is disabled and cannot proceed, or she is</w:t></w:r>
</w:p>
<w:p>
<w:pPr><w:pStyle w:val="Normal"/></w:pPr>
<w:r><w:t xml:space="preserve">prevented by some obstacle from proceeding to the place of</w:t></w:r>
</w:p>
<w:p>
<w:pPr><w:pStyle w:val="Normal"/></w:pPr>
<w:r><w:t xml:space="preserve">delivery named in the bill of lading, and the shipowner is</w:t></w:r>
</w:p>
<w:p>
<w:pPr><w:pStyle w:val="Normal"/></w:pPr>
<w:r><w:t xml:space="preserve">unwilling or unable to forward the goods by another ship,</w:t></w:r>
</w:p>
<w:p>
<w:pPr><w:pStyle w:val="Normal"/></w:pPr>
<w:r><w:t xml:space="preserve">even though he may be excused for his failure to carry the</w:t></w:r>
</w:p>
<w:p>
<w:pPr><w:pStyle w:val="Normal"/></w:pPr>
<w:r><w:t xml:space="preserve">goods to their destination, he is not entitled to be paid</w:t></w:r>
</w:p>
<w:p>
<w:pPr><w:pStyle w:val="Normal"/></w:pPr>
<w:r><w:t xml:space="preserve">any part of the freight; and the consignee is entitled to</w:t></w:r>
</w:p>
<w:p>
<w:pPr><w:pStyle w:val="Normal"/></w:pPr>
<w:r><w:t xml:space="preserve">have the goods delivered to him either at the place where</w:t></w:r>
</w:p>
<w:p>
<w:pPr><w:pStyle w:val="Normal"/></w:pPr>
<w:r><w:t xml:space="preserve">the vessel has taken refuge in her disabled condition, or, if</w:t></w:r>
</w:p>
<w:p>
<w:pPr><w:pStyle w:val="Normal"/></w:pPr>
<w:r><w:t xml:space="preserve">the obstacle arises without disablement of the vessel, at the</w:t></w:r>
</w:p>
<w:p>
<w:pPr><w:pStyle w:val="Normal"/></w:pPr>
<w:r><w:t xml:space="preserve">place which is nearest and most reasonably convenient at the</w:t></w:r>
</w:p>
<w:p>
<w:pPr><w:pStyle w:val="Normal"/></w:pPr>
<w:r><w:t xml:space="preserve">time and in the circumstances when the further prosecution of</w:t></w:r>
</w:p>
<w:p>
<w:pPr><w:pStyle w:val="Normal"/></w:pPr>
<w:r><w:t xml:space="preserve">the voyage has to be abandoned.  On the other hand, after the</w:t></w:r>
</w:p>
<w:p>
<w:pPr><w:pStyle w:val="Normal"/></w:pPr>
<w:r><w:t xml:space="preserve">goods have been shipped, so long as the shipowner is ready</w:t></w:r>
</w:p>
<w:p>
<w:pPr><w:pStyle w:val="Normal"/></w:pPr>
<w:r><w:t xml:space="preserve">and willing to carry the goods to their destination, or, if</w:t></w:r>
</w:p>
<w:p>
<w:pPr><w:pStyle w:val="Normal"/></w:pPr>
<w:r><w:t xml:space="preserve">the ship is disabled, to forward them to their destination by</w:t></w:r>
</w:p>
<w:p>
<w:pPr><w:pStyle w:val="Normal"/></w:pPr>
<w:r><w:t xml:space="preserve">some other ship without unreasonable delay, the owner of the</w:t></w:r>
</w:p>
<w:p>
<w:pPr><w:pStyle w:val="Normal"/></w:pPr>
<w:r><w:t xml:space="preserve">goods cannot require the goods to be delivered to him at any</w:t></w:r>
</w:p>
<w:p>
<w:pPr><w:pStyle w:val="Normal"/></w:pPr>
<w:r><w:t xml:space="preserve">place short of their destination without payment of the full</w:t></w:r>
</w:p>
<w:p>
<w:pPr><w:pStyle w:val="Normal"/></w:pPr>
<w:r><w:t xml:space="preserve">freight.  Sometimes the freight, either wholly or in part,</w:t></w:r>
</w:p>
<w:p>
<w:pPr><w:pStyle w:val="Normal"/></w:pPr>
<w:r><w:t xml:space="preserve">is made payable in advance. If freight payable in advance</w:t></w:r>
</w:p>
<w:p>
<w:pPr><w:pStyle w:val="Normal"/></w:pPr>
<w:r><w:t xml:space="preserve">has become due, even though the ship is lost before it is</w:t></w:r>
</w:p>
<w:p>
<w:pPr><w:pStyle w:val="Normal"/></w:pPr>
<w:r><w:t xml:space="preserve">paid, it must, in the absence of some special provision to the</w:t></w:r>
</w:p>
<w:p>
<w:pPr><w:pStyle w:val="Normal"/></w:pPr>
<w:r><w:t xml:space="preserve">contrary, still be paid, and freight already paid in advance</w:t></w:r>
</w:p>
<w:p>
<w:pPr><w:pStyle w:val="Normal"/></w:pPr>
<w:r><w:t xml:space="preserve">does not become repayable because the goods do not reach their</w:t></w:r>
</w:p>
<w:p>
<w:pPr><w:pStyle w:val="Normal"/></w:pPr>
<w:r><w:t xml:space="preserve">destination.  If, however, goods upon which freight has been</w:t></w:r>
</w:p>
<w:p>
<w:pPr><w:pStyle w:val="Normal"/></w:pPr>
<w:r><w:t xml:space="preserve">paid in advance are lost, and the shipowner is liable for their</w:t></w:r>
</w:p>
<w:p>
<w:pPr><w:pStyle w:val="Normal"/></w:pPr>
<w:r><w:t xml:space="preserve">loss, the amount of freight paid in advance must be taken into</w:t></w:r>
</w:p>
<w:p>
<w:pPr><w:pStyle w:val="Normal"/></w:pPr>
<w:r><w:t xml:space="preserve">account in assessing the damage recoverable from the shipowner.</w:t></w:r>
</w:p>
<w:p>
<w:pPr><w:pStyle w:val="Normal"/></w:pPr>
<w:r><w:t xml:space="preserve">(8) There is no part of the bill of lading which is of</w:t></w:r>
</w:p>
<w:p>
<w:pPr><w:pStyle w:val="Normal"/></w:pPr>
<w:r><w:t xml:space="preserve">greater practical importance or which demands more careful</w:t></w:r>
</w:p>
<w:p>
<w:pPr><w:pStyle w:val="Normal"/></w:pPr>
<w:r><w:t xml:space="preserve">consideration by shipowner and shipper alike than that which</w:t></w:r>
</w:p>
<w:p>
<w:pPr><w:pStyle w:val="Normal"/></w:pPr>
<w:r><w:t xml:space="preserve">sets forth the excepted perils: those perils, or in other words</w:t></w:r>
</w:p>
<w:p>
<w:pPr><w:pStyle w:val="Normal"/></w:pPr>
<w:r><w:t xml:space="preserve">causes of loss, for which the shipowner is to be exempt from</w:t></w:r>
</w:p>
<w:p>
<w:pPr><w:pStyle w:val="Normal"/></w:pPr>
<w:r><w:t xml:space="preserve">liability.  By the common law, as we have seen, the exemption</w:t></w:r>
</w:p>
<w:p>
<w:pPr><w:pStyle w:val="Normal"/></w:pPr>
<w:r><w:t xml:space="preserve">of the carrier, apart from express contract, extended only to</w:t></w:r>
</w:p>
<w:p>
<w:pPr><w:pStyle w:val="Normal"/></w:pPr>
<w:r><w:t xml:space="preserve">loss by the act of God or the king&apos;s enemies.  The expression</w:t></w:r>
</w:p>
<w:p>
<w:pPr><w:pStyle w:val="Normal"/></w:pPr>
<w:r><w:t xml:space="preserve">``act of God&apos;&apos; requires a word of explanation.  It will be</w:t></w:r>
</w:p>
<w:p>
<w:pPr><w:pStyle w:val="Normal"/></w:pPr>
<w:r><w:t xml:space="preserve">sufficient to say that it is not synonymous with force majeure;</w:t></w:r>
</w:p>
<w:p>
<w:pPr><w:pStyle w:val="Normal"/></w:pPr>
<w:r><w:t xml:space="preserve">but it includes every loss by force majeure in which human</w:t></w:r>
</w:p>
<w:p>
<w:pPr><w:pStyle w:val="Normal"/></w:pPr>
<w:r><w:t xml:space="preserve">agency, by act or negligence, has had no part.  The list of</w:t></w:r>
</w:p>
<w:p>
<w:pPr><w:pStyle w:val="Normal"/></w:pPr>
<w:r><w:t xml:space="preserve">excepted perils varies much in different forms of bills of</w:t></w:r>
</w:p>
<w:p>
<w:pPr><w:pStyle w:val="Normal"/></w:pPr>
<w:r><w:t xml:space="preserve">lading.  In the older forms it usually included perils of the</w:t></w:r>
</w:p>
<w:p>
<w:pPr><w:pStyle w:val="Normal"/></w:pPr>
<w:r><w:t xml:space="preserve">seas, robbers and pirates, restraint of princes and rulers,</w:t></w:r>
</w:p>
<w:p>
<w:pPr><w:pStyle w:val="Normal"/></w:pPr>
<w:r><w:t xml:space="preserve">fire and barratry (that is, wilful wrongdoing) of the master and</w:t></w:r>
</w:p>
<w:p>
<w:pPr><w:pStyle w:val="Normal"/></w:pPr>
<w:r><w:t xml:space="preserve">crew.  The list, however, has grown in modern times, and is</w:t></w:r>
</w:p>
<w:p>
<w:pPr><w:pStyle w:val="Normal"/></w:pPr>
<w:r><w:t xml:space="preserve">still growing; the tendency being to exempt the shipowner</w:t></w:r>
</w:p>
<w:p>
<w:pPr><w:pStyle w:val="Normal"/></w:pPr>
<w:r><w:t xml:space="preserve">from liability for all loss which does not arise from his own</w:t></w:r>
</w:p>
<w:p>
<w:pPr><w:pStyle w:val="Normal"/></w:pPr>
<w:r><w:t xml:space="preserve">personal default, or from the negligence of his managers or</w:t></w:r>
</w:p>
<w:p>
<w:pPr><w:pStyle w:val="Normal"/></w:pPr>
<w:r><w:t xml:space="preserve">agents in failing to provide a vessel seaworthy and fit for</w:t></w:r>
</w:p>
<w:p>
<w:pPr><w:pStyle w:val="Normal"/></w:pPr>
<w:r><w:t xml:space="preserve">the voyage at its commencement.  It is important to point</w:t></w:r>
</w:p>
<w:p>
<w:pPr><w:pStyle w:val="Normal"/></w:pPr>
<w:r><w:t xml:space="preserve">out in this connexion that there are two duties which the</w:t></w:r>
</w:p>
<w:p>
<w:pPr><w:pStyle w:val="Normal"/></w:pPr>
<w:r><w:t xml:space="preserve">shipowner is always presumed to undertake, and which are</w:t></w:r>
</w:p>
<w:p>
<w:pPr><w:pStyle w:val="Normal"/></w:pPr>
<w:r><w:t xml:space="preserve">assumed to be unaffected and unqualified by the exceptions,</w:t></w:r>
</w:p>
<w:p>
<w:pPr><w:pStyle w:val="Normal"/></w:pPr>
<w:r><w:t xml:space="preserve">unless a contrary intention is very clearly expressed by the</w:t></w:r>
</w:p>
<w:p>
<w:pPr><w:pStyle w:val="Normal"/></w:pPr>
<w:r><w:t xml:space="preserve">terms of the contract.  In the first place, he undertakes</w:t></w:r>
</w:p>
<w:p>
<w:pPr><w:pStyle w:val="Normal"/></w:pPr>
<w:r><w:t xml:space="preserve">absolutely that the ship in which the goods are shipped is</w:t></w:r>
</w:p>
<w:p>
<w:pPr><w:pStyle w:val="Normal"/></w:pPr>
<w:r><w:t xml:space="preserve">fit at the commencement of the voyage for the service to be</w:t></w:r>
</w:p>
<w:p>
<w:pPr><w:pStyle w:val="Normal"/></w:pPr>
<w:r><w:t xml:space="preserve">performed.  If during the voyage loss arises even from dangers</w:t></w:r>
</w:p>
<w:p>
<w:pPr><w:pStyle w:val="Normal"/></w:pPr>
<w:r><w:t xml:space="preserve">of the seas or other excepted peril which would not have</w:t></w:r>
</w:p>
<w:p>
<w:pPr><w:pStyle w:val="Normal"/></w:pPr>
<w:r><w:t xml:space="preserve">occurred if the vessel had been seaworthy and fit for the</w:t></w:r>
</w:p>
<w:p>
<w:pPr><w:pStyle w:val="Normal"/></w:pPr>
<w:r><w:t xml:space="preserve">voyage at its commencement, the shipowner is not protected</w:t></w:r>
</w:p>
<w:p>
<w:pPr><w:pStyle w:val="Normal"/></w:pPr>
<w:r><w:t xml:space="preserve">by the exceptions, and is liable for the loss.  In the second</w:t></w:r>
</w:p>
<w:p>
<w:pPr><w:pStyle w:val="Normal"/></w:pPr>
<w:r><w:t xml:space="preserve">place, there is an implied undertaking by the shipowner that</w:t></w:r>
</w:p>
<w:p>
<w:pPr><w:pStyle w:val="Normal"/></w:pPr>
<w:r><w:t xml:space="preserve">all reasonable care will be taken by himself, his servants and</w:t></w:r>
</w:p>
<w:p>
<w:pPr><w:pStyle w:val="Normal"/></w:pPr>
<w:r><w:t xml:space="preserve">agents, safely to carry and deliver at their destination the</w:t></w:r>
</w:p>
<w:p>
<w:pPr><w:pStyle w:val="Normal"/></w:pPr>
<w:r><w:t xml:space="preserve">goods received by him for carriage.  Should loss or damage</w:t></w:r>
</w:p>
<w:p>
<w:pPr><w:pStyle w:val="Normal"/></w:pPr>
<w:r><w:t xml:space="preserve">occur during the voyage, though the direct cause of such loss</w:t></w:r>
</w:p>
<w:p>
<w:pPr><w:pStyle w:val="Normal"/></w:pPr>
<w:r><w:t xml:space="preserve">or damage be perils of the seas or other excepted peril, still</w:t></w:r>
</w:p>
<w:p>
<w:pPr><w:pStyle w:val="Normal"/></w:pPr>
<w:r><w:t xml:space="preserve">the shipowner cannot claim exemption under the exceptions,</w:t></w:r>
</w:p>
<w:p>
<w:pPr><w:pStyle w:val="Normal"/></w:pPr>
<w:r><w:t xml:space="preserve">if the shipper can prove that the loss or damage would not</w:t></w:r>
</w:p>
<w:p>
<w:pPr><w:pStyle w:val="Normal"/></w:pPr>
<w:r><w:t xml:space="preserve">have occurred but for the negligence of the master or crew,</w:t></w:r>
</w:p>
<w:p>
<w:pPr><w:pStyle w:val="Normal"/></w:pPr>
<w:r><w:t xml:space="preserve">or other servants of the shipowner.  The shipowner, in other</w:t></w:r>
</w:p>
<w:p>
<w:pPr><w:pStyle w:val="Normal"/></w:pPr>
<w:r><w:t xml:space="preserve">words, is bound, with his servants, to use all reasonable care</w:t></w:r>
</w:p>
<w:p>
<w:pPr><w:pStyle w:val="Normal"/></w:pPr>
<w:r><w:t xml:space="preserve">to prevent loss by excepted perils and by any other cause.</w:t></w:r>
</w:p>
<w:p>
<w:pPr><w:pStyle w:val="Normal"/></w:pPr>
<w:r><w:t xml:space="preserve">Express stipulations.</w:t></w:r>
</w:p>
<w:p>
<w:pPr><w:pStyle w:val="Normal"/></w:pPr>
<w:r><w:t xml:space="preserve">It must not be supposed that even these primary obligations,</w:t></w:r>
</w:p>
<w:p>
<w:pPr><w:pStyle w:val="Normal"/></w:pPr>
<w:r><w:t xml:space="preserve">which are introduced into every contract of affreightment not</w:t></w:r>
</w:p>
<w:p>
<w:pPr><w:pStyle w:val="Normal"/></w:pPr>
<w:r><w:t xml:space="preserve">by express terms of the contract.  It has now become common</w:t></w:r>
</w:p>
<w:p>
<w:pPr><w:pStyle w:val="Normal"/></w:pPr>
<w:r><w:t xml:space="preserve">form to stipulate that the shipowner shall not be liable for</w:t></w:r>
</w:p>
<w:p>
<w:pPr><w:pStyle w:val="Normal"/></w:pPr>
<w:r><w:t xml:space="preserve">any loss arising from the negligence of his servants, or that</w:t></w:r>
</w:p>
<w:p>
<w:pPr><w:pStyle w:val="Normal"/></w:pPr>
<w:r><w:t xml:space="preserve">he shall not be liable for loss by the excepted perils even</w:t></w:r>
</w:p>
<w:p>
<w:pPr><w:pStyle w:val="Normal"/></w:pPr>
<w:r><w:t xml:space="preserve">when brought about by the negligence of his servants.  And with</w:t></w:r>
</w:p>
<w:p>
<w:pPr><w:pStyle w:val="Normal"/></w:pPr>
<w:r><w:t xml:space="preserve">regard to seaworthiness, it is not uncommon for the shipowner</w:t></w:r>
</w:p>
<w:p>
<w:pPr><w:pStyle w:val="Normal"/></w:pPr>
<w:r><w:t xml:space="preserve">to stipulate that he shall not be responsible for loss arising</w:t></w:r>
</w:p>
<w:p>
<w:pPr><w:pStyle w:val="Normal"/></w:pPr>
<w:r><w:t xml:space="preserve">even from the unseaworthiness of the ship on sailing, provided</w:t></w:r>
</w:p>
<w:p>
<w:pPr><w:pStyle w:val="Normal"/></w:pPr>
<w:r><w:t xml:space="preserve">that due care has Been taken by the owner and his agents and</w:t></w:r>
</w:p>
<w:p>
<w:pPr><w:pStyle w:val="Normal"/></w:pPr>
<w:r><w:t xml:space="preserve">servants to make the ship seaworthy at the commencement of the</w:t></w:r>
</w:p>
<w:p>
<w:pPr><w:pStyle w:val="Normal"/></w:pPr>
<w:r><w:t xml:space="preserve">voyage.  There is indeed no rule of English law which prevents</w:t></w:r>
</w:p>
<w:p>
<w:pPr><w:pStyle w:val="Normal"/></w:pPr>
<w:r><w:t xml:space="preserve">a shipowner from exempting himself by the terms of the bill</w:t></w:r>
</w:p>
<w:p>
<w:pPr><w:pStyle w:val="Normal"/></w:pPr>
<w:r><w:t xml:space="preserve">of lading from liability for damage and loss of every kind,</w:t></w:r>
</w:p>
<w:p>
<w:pPr><w:pStyle w:val="Normal"/></w:pPr>
<w:r><w:t xml:space="preserve">whether arising from unseaworthiness or any other cause</w:t></w:r>
</w:p>
<w:p>
<w:pPr><w:pStyle w:val="Normal"/></w:pPr>
<w:r><w:t xml:space="preserve">whatsoever.  In such a case the goods are carried at their</w:t></w:r>
</w:p>
<w:p>
<w:pPr><w:pStyle w:val="Normal"/></w:pPr>
<w:r><w:t xml:space="preserve">owner&apos;s risk, and if he desires protection he must obtain it by</w:t></w:r>
</w:p>
<w:p>
<w:pPr><w:pStyle w:val="Normal"/></w:pPr>
<w:r><w:t xml:space="preserve">insurance.  In this respect the law of England permits greater</w:t></w:r>
</w:p>
<w:p>
<w:pPr><w:pStyle w:val="Normal"/></w:pPr>
<w:r><w:t xml:space="preserve">freedom of contract than is allowed by the law of some other</w:t></w:r>
</w:p>
<w:p>
<w:pPr><w:pStyle w:val="Normal"/></w:pPr>
<w:r><w:t xml:space="preserve">states.  The owners, agents and masters of vessels loading</w:t></w:r>
</w:p>
<w:p>
<w:pPr><w:pStyle w:val="Normal"/></w:pPr>
<w:r><w:t xml:space="preserve">in the United States of America are forbidden by an act of</w:t></w:r>
</w:p>
<w:p>
<w:pPr><w:pStyle w:val="Normal"/></w:pPr>
<w:r><w:t xml:space="preserve">Congress, commonly called the Harter Act, passed in the</w:t></w:r>
</w:p>
<w:p>
<w:pPr><w:pStyle w:val="Normal"/></w:pPr>
<w:r><w:t xml:space="preserve">year 1893, to insert in their contracts of affreightment</w:t></w:r>
</w:p>
<w:p>
<w:pPr><w:pStyle w:val="Normal"/></w:pPr>
<w:r><w:t xml:space="preserve">any clause exempting the shipowner from liability for the</w:t></w:r>
</w:p>
<w:p>
<w:pPr><w:pStyle w:val="Normal"/></w:pPr>
<w:r><w:t xml:space="preserve">negligence of his servants; but it is at the rame time</w:t></w:r>
</w:p>
<w:p>
<w:pPr><w:pStyle w:val="Normal"/></w:pPr>
<w:r><w:t xml:space="preserve">enacted that, provided all reasonable skill and care has</w:t></w:r>
</w:p>
<w:p>
<w:pPr><w:pStyle w:val="Normal"/></w:pPr>
<w:r><w:t xml:space="preserve">been exercised by the shipowner to make the vessel seaworthy</w:t></w:r>
</w:p>
<w:p>
<w:pPr><w:pStyle w:val="Normal"/></w:pPr>
<w:r><w:t xml:space="preserve">and fit for the voyage at its commencement, the shipowner</w:t></w:r>
</w:p>
<w:p>
<w:pPr><w:pStyle w:val="Normal"/></w:pPr>
<w:r><w:t xml:space="preserve">shall not be liable for any loss caused by the negligence</w:t></w:r>
</w:p>
<w:p>
<w:pPr><w:pStyle w:val="Normal"/></w:pPr>
<w:r><w:t xml:space="preserve">of ihe master or crew in the navigation of the vessel, or by</w:t></w:r>
</w:p>
<w:p>
<w:pPr><w:pStyle w:val="Normal"/></w:pPr>
<w:r><w:t xml:space="preserve">perils of the sea or certain other causes set forth in the</w:t></w:r>
</w:p>
<w:p>
<w:pPr><w:pStyle w:val="Normal"/></w:pPr>
<w:r><w:t xml:space="preserve">act.  It is now very usual to insert in the bills of lading</w:t></w:r>
</w:p>
<w:p>
<w:pPr><w:pStyle w:val="Normal"/></w:pPr>
<w:r><w:t xml:space="preserve">of British vessels loading in the United States a reference</w:t></w:r>
</w:p>
<w:p>
<w:pPr><w:pStyle w:val="Normal"/></w:pPr>
<w:r><w:t xml:space="preserve">to the Harter Act, incorporating its provisions so as</w:t></w:r>
</w:p>
<w:p>
<w:pPr><w:pStyle w:val="Normal"/></w:pPr>
<w:r><w:t xml:space="preserve">to make them terms and conditions of the bill of lading.</w:t></w:r>
</w:p>
<w:p>
<w:pPr><w:pStyle w:val="Normal"/></w:pPr>
<w:r><w:t xml:space="preserve">The difficulty of construing the terms of bills of lading</w:t></w:r>
</w:p>
<w:p>
<w:pPr><w:pStyle w:val="Normal"/></w:pPr>
<w:r><w:t xml:space="preserve">with regard to the excepted perils, often expressed in</w:t></w:r>
</w:p>
<w:p>
<w:pPr><w:pStyle w:val="Normal"/></w:pPr>
<w:r><w:t xml:space="preserve">obscure and inexact language, has given rise to much</w:t></w:r>
</w:p>
<w:p>
<w:pPr><w:pStyle w:val="Normal"/></w:pPr>
<w:r><w:t xml:space="preserve">litigation, the results of which are recorded in the law</w:t></w:r>
</w:p>
<w:p>
<w:pPr><w:pStyle w:val="Normal"/></w:pPr>
<w:r><w:t xml:space="preserve">reports.  Where such difficulties arise the question must</w:t></w:r>
</w:p>
<w:p>
<w:pPr><w:pStyle w:val="Normal"/></w:pPr>
<w:r><w:t xml:space="preserve">be, What is the true and natural meaning of the language used</w:t></w:r>
</w:p>
<w:p>
<w:pPr><w:pStyle w:val="Normal"/></w:pPr>
<w:r><w:t xml:space="preserve">by the parties? This question is not governed by the general</w:t></w:r>
</w:p>
<w:p>
<w:pPr><w:pStyle w:val="Normal"/></w:pPr>
<w:r><w:t xml:space="preserve">rules which we have endeavouted to explain: but the words of</w:t></w:r>
</w:p>
<w:p>
<w:pPr><w:pStyle w:val="Normal"/></w:pPr>
<w:r><w:t xml:space="preserve">the contract must always be considered with reference to these</w:t></w:r>
</w:p>
<w:p>
<w:pPr><w:pStyle w:val="Normal"/></w:pPr>
<w:r><w:t xml:space="preserve">rules, which are founded upon the well-established customs</w:t></w:r>
</w:p>
<w:p>
<w:pPr><w:pStyle w:val="Normal"/></w:pPr>
<w:r><w:t xml:space="preserve">of merchants recognized and formulated by the courts of law.</w:t></w:r>
</w:p>
<w:p>
<w:pPr><w:pStyle w:val="Normal"/></w:pPr>
<w:r><w:t xml:space="preserve">(9) The bill of lading sometimes contains a clause as to</w:t></w:r>
</w:p>
<w:p>
<w:pPr><w:pStyle w:val="Normal"/></w:pPr>
<w:r><w:t xml:space="preserve">the shipowner&apos;s lien. Without any express provision for it</w:t></w:r>
</w:p>
<w:p>
<w:pPr><w:pStyle w:val="Normal"/></w:pPr>
<w:r><w:t xml:space="preserve">the shipowner has by the common law a lien for freight.  If</w:t></w:r>
</w:p>
<w:p>
<w:pPr><w:pStyle w:val="Normal"/></w:pPr>
<w:r><w:t xml:space="preserve">it is desired to give the shipowner a lien for demurrage</w:t></w:r>
</w:p>
<w:p>
<w:pPr><w:pStyle w:val="Normal"/></w:pPr>
<w:r><w:t xml:space="preserve">(see below) or other charges, it must be expressly provided</w:t></w:r>
</w:p>
<w:p>
<w:pPr><w:pStyle w:val="Normal"/></w:pPr>
<w:r><w:t xml:space="preserve">for.  The lien is the right of the shipowner to retain</w:t></w:r>
</w:p>
<w:p>
<w:pPr><w:pStyle w:val="Normal"/></w:pPr>
<w:r><w:t xml:space="preserve">the goods carried until payment has been made of the freight</w:t></w:r>
</w:p>
<w:p>
<w:pPr><w:pStyle w:val="Normal"/></w:pPr>
<w:r><w:t xml:space="preserve">or the demurrage, or other charge for which a lien has been</w:t></w:r>
</w:p>
<w:p>
<w:pPr><w:pStyle w:val="Normal"/></w:pPr>
<w:r><w:t xml:space="preserve">given.  The lien may be waived, and is lost by delivery of the</w:t></w:r>
</w:p>
<w:p>
<w:pPr><w:pStyle w:val="Normal"/></w:pPr>
<w:r><w:t xml:space="preserve">goods, or by any dealing with the consignee which is inconsistent</w:t></w:r>
</w:p>
<w:p>
<w:pPr><w:pStyle w:val="Normal"/></w:pPr>
<w:r><w:t xml:space="preserve">with a right of the shipowner to retain possession of the</w:t></w:r>
</w:p>
<w:p>
<w:pPr><w:pStyle w:val="Normal"/></w:pPr>
<w:r><w:t xml:space="preserve">goods until payment has been made.  The shipowner may preserve</w:t></w:r>
</w:p>
<w:p>
<w:pPr><w:pStyle w:val="Normal"/></w:pPr>
<w:r><w:t xml:space="preserve">his lien by landing the goods and retaining them in his own</w:t></w:r>
</w:p>
<w:p>
<w:pPr><w:pStyle w:val="Normal"/></w:pPr>
<w:r><w:t xml:space="preserve">warehouse, or by storing them in a public warehouse, subject</w:t></w:r>
</w:p>
<w:p>
<w:pPr><w:pStyle w:val="Normal"/></w:pPr>
<w:r><w:t xml:space="preserve">to the conditions required by the Merchant Shipping Act 1894.</w:t></w:r>
</w:p>
<w:p>
<w:pPr><w:pStyle w:val="Normal"/></w:pPr>
<w:r><w:t xml:space="preserve">Charter-parties.</w:t></w:r>
</w:p>
<w:p>
<w:pPr><w:pStyle w:val="Normal"/></w:pPr>
<w:r><w:t xml:space="preserve">Charter-parties are, as we have already explained, either</w:t></w:r>
</w:p>
<w:p>
<w:pPr><w:pStyle w:val="Normal"/></w:pPr>
<w:r><w:t xml:space="preserve">for a voyage or for a period of time. (1) A charter-party</w:t></w:r>
</w:p>
<w:p>
<w:pPr><w:pStyle w:val="Normal"/></w:pPr>
<w:r><w:t xml:space="preserve">for a voyage is a formal agreement made between the owner</w:t></w:r>
</w:p>
<w:p>
<w:pPr><w:pStyle w:val="Normal"/></w:pPr>
<w:r><w:t xml:space="preserve">of the vessel and the charterers by which it is agreed that</w:t></w:r>
</w:p>
<w:p>
<w:pPr><w:pStyle w:val="Normal"/></w:pPr>
<w:r><w:t xml:space="preserve">the vessel ``being tight, staunch and strong, and every way</w:t></w:r>
</w:p>
<w:p>
<w:pPr><w:pStyle w:val="Normal"/></w:pPr>
<w:r><w:t xml:space="preserve">fitted for the voyage,&apos;&apos; shall load at a certain named place</w:t></w:r>
</w:p>
<w:p>
<w:pPr><w:pStyle w:val="Normal"/></w:pPr>
<w:r><w:t xml:space="preserve">a full cargo either of goods of a specified description or</w:t></w:r>
</w:p>
<w:p>
<w:pPr><w:pStyle w:val="Normal"/></w:pPr>
<w:r><w:t xml:space="preserve">of general merchandise, and being so loaded shall proceed</w:t></w:r>
</w:p>
<w:p>
<w:pPr><w:pStyle w:val="Normal"/></w:pPr>
<w:r><w:t xml:space="preserve">with all possible despatch either to a specified place or</w:t></w:r>
</w:p>
<w:p>
<w:pPr><w:pStyle w:val="Normal"/></w:pPr>
<w:r><w:t xml:space="preserve">to a place to be named at a specified port of call, and</w:t></w:r>
</w:p>
<w:p>
<w:pPr><w:pStyle w:val="Normal"/></w:pPr>
<w:r><w:t xml:space="preserve">there deliver the cargo to the charterers or their assigns.</w:t></w:r>
</w:p>
<w:p>
<w:pPr><w:pStyle w:val="Normal"/></w:pPr>
<w:r><w:t xml:space="preserve">There are clauses which provide for the amount of freight</w:t></w:r>
</w:p>
<w:p>
<w:pPr><w:pStyle w:val="Normal"/></w:pPr>
<w:r><w:t xml:space="preserve">to be paid and the manner and time of payment; for the time,</w:t></w:r>
</w:p>
<w:p>
<w:pPr><w:pStyle w:val="Normal"/></w:pPr>
<w:r><w:t xml:space="preserve">usually described as lay days, to be allowed for loading</w:t></w:r>
</w:p>
<w:p>
<w:pPr><w:pStyle w:val="Normal"/></w:pPr>
<w:r><w:t xml:space="preserve">and discharging, and for the demurrage to be paid if the</w:t></w:r>
</w:p>
<w:p>
<w:pPr><w:pStyle w:val="Normal"/></w:pPr>
<w:r><w:t xml:space="preserve">vessel is detained beyond the lay days; usually also a clause</w:t></w:r>
</w:p>
<w:p>
<w:pPr><w:pStyle w:val="Normal"/></w:pPr>
<w:r><w:t xml:space="preserve">requiring ``the cargo to be brought to and taken from alongside</w:t></w:r>
</w:p>
<w:p>
<w:pPr><w:pStyle w:val="Normal"/></w:pPr>
<w:r><w:t xml:space="preserve">at merchant&apos;s risk and expense&apos;&apos;; a clause that the master</w:t></w:r>
</w:p>
<w:p>
<w:pPr><w:pStyle w:val="Normal"/></w:pPr>
<w:r><w:t xml:space="preserve">shall sign bills of lading for the cargo shipped either at the</w:t></w:r>
</w:p>
<w:p>
<w:pPr><w:pStyle w:val="Normal"/></w:pPr>
<w:r><w:t xml:space="preserve">same rate of freight as is payable under the charter-party or</w:t></w:r>
</w:p>
<w:p>
<w:pPr><w:pStyle w:val="Normal"/></w:pPr>
<w:r><w:t xml:space="preserve">very commonly at any rate of freight (but in this case with</w:t></w:r>
</w:p>
<w:p>
<w:pPr><w:pStyle w:val="Normal"/></w:pPr>
<w:r><w:t xml:space="preserve">a stipulation that, if the total bill of lading freight is</w:t></w:r>
</w:p>
<w:p>
<w:pPr><w:pStyle w:val="Normal"/></w:pPr>
<w:r><w:t xml:space="preserve">less than the total freight payable under the charter-party,</w:t></w:r>
</w:p>
<w:p>
<w:pPr><w:pStyle w:val="Normal"/></w:pPr>
<w:r><w:t xml:space="preserve">the difference is to be paid by the charterers to the master</w:t></w:r>
</w:p>
<w:p>
<w:pPr><w:pStyle w:val="Normal"/></w:pPr>
<w:r><w:t xml:space="preserve">before the sailing of the vessel); and there is usually</w:t></w:r>
</w:p>
<w:p>
<w:pPr><w:pStyle w:val="Normal"/></w:pPr>
<w:r><w:t xml:space="preserve">vhat is called the cesser clause, by which the charterer&apos;s</w:t></w:r>
</w:p>
<w:p>
<w:pPr><w:pStyle w:val="Normal"/></w:pPr>
<w:r><w:t xml:space="preserve">liability under the charter-party is to cease on shipment</w:t></w:r>
</w:p>
<w:p>
<w:pPr><w:pStyle w:val="Normal"/></w:pPr>
<w:r><w:t xml:space="preserve">of the cargo, the shipowner taking a lien on the cargo for</w:t></w:r>
</w:p>
<w:p>
<w:pPr><w:pStyle w:val="Normal"/></w:pPr>
<w:r><w:t xml:space="preserve">freight, dead freight and demurrage.  The charter-party is</w:t></w:r>
</w:p>
<w:p>
<w:pPr><w:pStyle w:val="Normal"/></w:pPr>
<w:r><w:t xml:space="preserve">made subject to exceptions similar to those which are found</w:t></w:r>
</w:p>
<w:p>
<w:pPr><w:pStyle w:val="Normal"/></w:pPr>
<w:r><w:t xml:space="preserve">in bills of lading.  There are also usually clauses providing</w:t></w:r>
</w:p>
<w:p>
<w:pPr><w:pStyle w:val="Normal"/></w:pPr>
<w:r><w:t xml:space="preserve">for the commissions to be paid to the brokers on signing the</w:t></w:r>
</w:p>
<w:p>
<w:pPr><w:pStyle w:val="Normal"/></w:pPr>
<w:r><w:t xml:space="preserve">charter-party, the ``address&apos;&apos; commission to be paid to the</w:t></w:r>
</w:p>
<w:p>
<w:pPr><w:pStyle w:val="Normal"/></w:pPr>
<w:r><w:t xml:space="preserve">agents for the Vessel at the port of discharge, and other</w:t></w:r>
</w:p>
<w:p>
<w:pPr><w:pStyle w:val="Normal"/></w:pPr>
<w:r><w:t xml:space="preserve">matters of detail.  The clauses in charter-parties vary, of</w:t></w:r>
</w:p>
<w:p>
<w:pPr><w:pStyle w:val="Normal"/></w:pPr>
<w:r><w:t xml:space="preserve">course, indefinitely, but the above is probably a sufficient</w:t></w:r>
</w:p>
<w:p>
<w:pPr><w:pStyle w:val="Normal"/></w:pPr>
<w:r><w:t xml:space="preserve">outline of the ordinary form of a charter-party for a voyage.</w:t></w:r>
</w:p>
<w:p>
<w:pPr><w:pStyle w:val="Normal"/></w:pPr>
<w:r><w:t xml:space="preserve">What has been said with regard to bills of lading as to the</w:t></w:r>
</w:p>
<w:p>
<w:pPr><w:pStyle w:val="Normal"/></w:pPr>
<w:r><w:t xml:space="preserve">voyage, the place of delivery, the exceptions and excepted</w:t></w:r>
</w:p>
<w:p>
<w:pPr><w:pStyle w:val="Normal"/></w:pPr>
<w:r><w:t xml:space="preserve">perils, and the liability of the shioowner and his lien applies</w:t></w:r>
</w:p>
<w:p>
<w:pPr><w:pStyle w:val="Normal"/></w:pPr>
<w:r><w:t xml:space="preserve">equally to charter-parties. lt may be desirable to add a few</w:t></w:r>
</w:p>
<w:p>
<w:pPr><w:pStyle w:val="Normal"/></w:pPr>
<w:r><w:t xml:space="preserve">words on demurrage, dead Freight, and on the cesser clause.</w:t></w:r>
</w:p>
<w:p>
<w:pPr><w:pStyle w:val="Normal"/></w:pPr>
<w:r><w:t xml:space="preserve">Demurrage is, properly speaking, a fixed sum per day or</w:t></w:r>
</w:p>
<w:p>
<w:pPr><w:pStyle w:val="Normal"/></w:pPr>
<w:r><w:t xml:space="preserve">per hour agreed to be paid by the charterer for any time</w:t></w:r>
</w:p>
<w:p>
<w:pPr><w:pStyle w:val="Normal"/></w:pPr>
<w:r><w:t xml:space="preserve">during which the vessel is detained in loading or discharging</w:t></w:r>
</w:p>
<w:p>
<w:pPr><w:pStyle w:val="Normal"/></w:pPr>
<w:r><w:t xml:space="preserve">over and above the time allowed, which is, as we have said,</w:t></w:r>
</w:p>
<w:p>
<w:pPr><w:pStyle w:val="Normal"/></w:pPr>
<w:r><w:t xml:space="preserve">usually described as the lay days. Sometimes the number of</w:t></w:r>
</w:p>
<w:p>
<w:pPr><w:pStyle w:val="Normal"/></w:pPr>
<w:r><w:t xml:space="preserve">days during which the vessel may be kept on demurrage at the</w:t></w:r>
</w:p>
<w:p>
<w:pPr><w:pStyle w:val="Normal"/></w:pPr>
<w:r><w:t xml:space="preserve">agreed rate is fixed by the charter-party.  If no demurrage</w:t></w:r>
</w:p>
<w:p>
<w:pPr><w:pStyle w:val="Normal"/></w:pPr>
<w:r><w:t xml:space="preserve">is provided for by the charter-party, and the vessel is not</w:t></w:r>
</w:p>
<w:p>
<w:pPr><w:pStyle w:val="Normal"/></w:pPr>
<w:r><w:t xml:space="preserve">loading or discharging beyond the lay days, the shipowner</w:t></w:r>
</w:p>
<w:p>
<w:pPr><w:pStyle w:val="Normal"/></w:pPr>
<w:r><w:t xml:space="preserve">is entitled to claim damages in respect of the loss which</w:t></w:r>
</w:p>
<w:p>
<w:pPr><w:pStyle w:val="Normal"/></w:pPr>
<w:r><w:t xml:space="preserve">he has suffered by the detention of his ship; or, if the</w:t></w:r>
</w:p>
<w:p>
<w:pPr><w:pStyle w:val="Normal"/></w:pPr>
<w:r><w:t xml:space="preserve">vessel is detained beyond the fixed number of demurrage</w:t></w:r>
</w:p>
<w:p>
<w:pPr><w:pStyle w:val="Normal"/></w:pPr>
<w:r><w:t xml:space="preserve">days, damages for detention will be recoverable.  Sometimes</w:t></w:r>
</w:p>
<w:p>
<w:pPr><w:pStyle w:val="Normal"/></w:pPr>
<w:r><w:t xml:space="preserve">there is no time fixed by the charter-party for loading or</w:t></w:r>
</w:p>
<w:p>
<w:pPr><w:pStyle w:val="Normal"/></w:pPr>
<w:r><w:t xml:space="preserve">discharging.  The obligation in such cases is to load or</w:t></w:r>
</w:p>
<w:p>
<w:pPr><w:pStyle w:val="Normal"/></w:pPr>
<w:r><w:t xml:space="preserve">discharge with all despatch that is possible and reasonable</w:t></w:r>
</w:p>
<w:p>
<w:pPr><w:pStyle w:val="Normal"/></w:pPr>
<w:r><w:t xml:space="preserve">in the circumstances; and if the loading or discharging is</w:t></w:r>
</w:p>
<w:p>
<w:pPr><w:pStyle w:val="Normal"/></w:pPr>
<w:r><w:t xml:space="preserve">not done with such reasonable despatch, the shipowner will</w:t></w:r>
</w:p>
<w:p>
<w:pPr><w:pStyle w:val="Normal"/></w:pPr>
<w:r><w:t xml:space="preserve">be entitled to claim damages for detention of his ship.  The</w:t></w:r>
</w:p>
<w:p>
<w:pPr><w:pStyle w:val="Normal"/></w:pPr>
<w:r><w:t xml:space="preserve">rate of demurrage (if any) will generally be accepted as the</w:t></w:r>
</w:p>
<w:p>
<w:pPr><w:pStyle w:val="Normal"/></w:pPr>
<w:r><w:t xml:space="preserve">measure of the damages for detention, but is not necessarily</w:t></w:r>
</w:p>
<w:p>
<w:pPr><w:pStyle w:val="Normal"/></w:pPr>
<w:r><w:t xml:space="preserve">the true measure.  When the claim is for detention and</w:t></w:r>
</w:p>
<w:p>
<w:pPr><w:pStyle w:val="Normal"/></w:pPr>
<w:r><w:t xml:space="preserve">not demurrage the actual loss is recoverable, which may be</w:t></w:r>
</w:p>
<w:p>
<w:pPr><w:pStyle w:val="Normal"/></w:pPr>
<w:r><w:t xml:space="preserve">more or may be less than the agreed rate of demurrage.  The</w:t></w:r>
</w:p>
<w:p>
<w:pPr><w:pStyle w:val="Normal"/></w:pPr>
<w:r><w:t xml:space="preserve">contract usually provides that Sundays and holidays shall</w:t></w:r>
</w:p>
<w:p>
<w:pPr><w:pStyle w:val="Normal"/></w:pPr>
<w:r><w:t xml:space="preserve">be excepted in counting the lay days, but unless expressly</w:t></w:r>
</w:p>
<w:p>
<w:pPr><w:pStyle w:val="Normal"/></w:pPr>
<w:r><w:t xml:space="preserve">stipulated this exception does not apply to the computation</w:t></w:r>
</w:p>
<w:p>
<w:pPr><w:pStyle w:val="Normal"/></w:pPr>
<w:r><w:t xml:space="preserve">of the period of detention after the lay days have expired.</w:t></w:r>
</w:p>
<w:p>
<w:pPr><w:pStyle w:val="Normal"/></w:pPr>
<w:r><w:t xml:space="preserve">Dead freight is the name gaven to the amount of freight</w:t></w:r>
</w:p>
<w:p>
<w:pPr><w:pStyle w:val="Normal"/></w:pPr>
<w:r><w:t xml:space="preserve">lost, and therefore recoverable by the shipowner from the</w:t></w:r>
</w:p>
<w:p>
<w:pPr><w:pStyle w:val="Normal"/></w:pPr>
<w:r><w:t xml:space="preserve">charterer as damages if a full and complete cargo is not</w:t></w:r>
</w:p>
<w:p>
<w:pPr><w:pStyle w:val="Normal"/></w:pPr>
<w:r><w:t xml:space="preserve">loaded in accordance with the terms of the charter-party.</w:t></w:r>
</w:p>
<w:p>
<w:pPr><w:pStyle w:val="Normal"/></w:pPr>
<w:r><w:t xml:space="preserve">The cesser clause has come into common use because very</w:t></w:r>
</w:p>
<w:p>
<w:pPr><w:pStyle w:val="Normal"/></w:pPr>
<w:r><w:t xml:space="preserve">frequently the charterers are not personally interested in</w:t></w:r>
</w:p>
<w:p>
<w:pPr><w:pStyle w:val="Normal"/></w:pPr>
<w:r><w:t xml:space="preserve">the cargo shipped.  They may be agents merely, or they may</w:t></w:r>
</w:p>
<w:p>
<w:pPr><w:pStyle w:val="Normal"/></w:pPr>
<w:r><w:t xml:space="preserve">have chartered the vessel as a speculation to make a profit</w:t></w:r>
</w:p>
<w:p>
<w:pPr><w:pStyle w:val="Normal"/></w:pPr>
<w:r><w:t xml:space="preserve">upon the bill of lading freight.  The effect of the clause is</w:t></w:r>
</w:p>
<w:p>
<w:pPr><w:pStyle w:val="Normal"/></w:pPr>
<w:r><w:t xml:space="preserve">that when the charterers have shipped a full cargo they have</w:t></w:r>
</w:p>
<w:p>
<w:pPr><w:pStyle w:val="Normal"/></w:pPr>
<w:r><w:t xml:space="preserve">fulfilled all their obligations, the shipowner discharging them</w:t></w:r>
</w:p>
<w:p>
<w:pPr><w:pStyle w:val="Normal"/></w:pPr>
<w:r><w:t xml:space="preserve">from all further liability and taking instead a lien on the</w:t></w:r>
</w:p>
<w:p>
<w:pPr><w:pStyle w:val="Normal"/></w:pPr>
<w:r><w:t xml:space="preserve">cargo for payment of all freight, demurrage or dead freight</w:t></w:r>
</w:p>
<w:p>
<w:pPr><w:pStyle w:val="Normal"/></w:pPr>
<w:r><w:t xml:space="preserve">that may be payable to him.  It has become an established</w:t></w:r>
</w:p>
<w:p>
<w:pPr><w:pStyle w:val="Normal"/></w:pPr>
<w:r><w:t xml:space="preserve">rule for the construction of the cesser clause that, if</w:t></w:r>
</w:p>
<w:p>
<w:pPr><w:pStyle w:val="Normal"/></w:pPr>
<w:r><w:t xml:space="preserve">the language used will permit it, the cesser of liability is</w:t></w:r>
</w:p>
<w:p>
<w:pPr><w:pStyle w:val="Normal"/></w:pPr>
<w:r><w:t xml:space="preserve">assumed to be co-extensive only with the lien given to the</w:t></w:r>
</w:p>
<w:p>
<w:pPr><w:pStyle w:val="Normal"/></w:pPr>
<w:r><w:t xml:space="preserve">shipowner; or, in other words, the charterers are released</w:t></w:r>
</w:p>
<w:p>
<w:pPr><w:pStyle w:val="Normal"/></w:pPr>
<w:r><w:t xml:space="preserve">from those liabilities only for which a lien is given to the</w:t></w:r>
</w:p>
<w:p>
<w:pPr><w:pStyle w:val="Normal"/></w:pPr>
<w:r><w:t xml:space="preserve">shipowner.  The shipowner is further secured by the stipulation</w:t></w:r>
</w:p>
<w:p>
<w:pPr><w:pStyle w:val="Normal"/></w:pPr>
<w:r><w:t xml:space="preserve">already referred to, that if the total freight payable under</w:t></w:r>
</w:p>
<w:p>
<w:pPr><w:pStyle w:val="Normal"/></w:pPr>
<w:r><w:t xml:space="preserve">the bills of lading is less than the full chartered freight</w:t></w:r>
</w:p>
<w:p>
<w:pPr><w:pStyle w:val="Normal"/></w:pPr>
<w:r><w:t xml:space="preserve">the difference shall be paid to the shipowner before the vessel</w:t></w:r>
</w:p>
<w:p>
<w:pPr><w:pStyle w:val="Normal"/></w:pPr>
<w:r><w:t xml:space="preserve">sails.  A difficulty which sometimes arises, notwithstanding</w:t></w:r>
</w:p>
<w:p>
<w:pPr><w:pStyle w:val="Normal"/></w:pPr>
<w:r><w:t xml:space="preserve">these precautions, is that although an ample lien is given</w:t></w:r>
</w:p>
<w:p>
<w:pPr><w:pStyle w:val="Normal"/></w:pPr>
<w:r><w:t xml:space="preserve">by the charter-party, the terms of the bills of lading may be</w:t></w:r>
</w:p>
<w:p>
<w:pPr><w:pStyle w:val="Normal"/></w:pPr>
<w:r><w:t xml:space="preserve">insufficient to preserve the same extensive lien as against</w:t></w:r>
</w:p>
<w:p>
<w:pPr><w:pStyle w:val="Normal"/></w:pPr>
<w:r><w:t xml:space="preserve">the holder of the bills of lading.  The shippers under the</w:t></w:r>
</w:p>
<w:p>
<w:pPr><w:pStyle w:val="Normal"/></w:pPr>
<w:r><w:t xml:space="preserve">bills of lading, if they are not the charterers, are not</w:t></w:r>
</w:p>
<w:p>
<w:pPr><w:pStyle w:val="Normal"/></w:pPr>
<w:r><w:t xml:space="preserve">liable for the chartered freight, but only for the bill</w:t></w:r>
</w:p>
<w:p>
<w:pPr><w:pStyle w:val="Normal"/></w:pPr>
<w:r><w:t xml:space="preserve">of lading freight; and unless the bill of lading expressly</w:t></w:r>
</w:p>
<w:p>
<w:pPr><w:pStyle w:val="Normal"/></w:pPr>
<w:r><w:t xml:space="preserve">reserves it, they are not subject to a lien for the chartered</w:t></w:r>
</w:p>
<w:p>
<w:pPr><w:pStyle w:val="Normal"/></w:pPr>
<w:r><w:t xml:space="preserve">freight.  The master may guard against this difficulty by</w:t></w:r>
</w:p>
<w:p>
<w:pPr><w:pStyle w:val="Normal"/></w:pPr>
<w:r><w:t xml:space="preserve">refusing to sign bills of lading which do not preserve the</w:t></w:r>
</w:p>
<w:p>
<w:pPr><w:pStyle w:val="Normal"/></w:pPr>
<w:r><w:t xml:space="preserve">shipowner&apos;s lien for his full chartered freight.  But he is</w:t></w:r>
</w:p>
<w:p>
<w:pPr><w:pStyle w:val="Normal"/></w:pPr>
<w:r><w:t xml:space="preserve">often put into a difficulty by a somewhat improvident clause</w:t></w:r>
</w:p>
<w:p>
<w:pPr><w:pStyle w:val="Normal"/></w:pPr>
<w:r><w:t xml:space="preserve">in the charter-party requiring him to sign bills of lading</w:t></w:r>
</w:p>
<w:p>
<w:pPr><w:pStyle w:val="Normal"/></w:pPr>
<w:r><w:t xml:space="preserve">as presented. See Kruger v. Moel Tryvan, 1907 A. C. 272.</w:t></w:r>
</w:p>
<w:p>
<w:pPr><w:pStyle w:val="Normal"/></w:pPr>
<w:r><w:t xml:space="preserve">(2) A time charter-party is a contract between the shipowner</w:t></w:r>
</w:p>
<w:p>
<w:pPr><w:pStyle w:val="Normal"/></w:pPr>
<w:r><w:t xml:space="preserve">and charterers, by which the shipowner agrees to let and</w:t></w:r>
</w:p>
<w:p>
<w:pPr><w:pStyle w:val="Normal"/></w:pPr>
<w:r><w:t xml:space="preserve">the charterers to hire the vessel for a specified term for</w:t></w:r>
</w:p>
<w:p>
<w:pPr><w:pStyle w:val="Normal"/></w:pPr>
<w:r><w:t xml:space="preserve">employment, either generally in any lawful trade or upon</w:t></w:r>
</w:p>
<w:p>
<w:pPr><w:pStyle w:val="Normal"/></w:pPr>
<w:r><w:t xml:space="preserve">voyages within certain limits.  A place is usually named</w:t></w:r>
</w:p>
<w:p>
<w:pPr><w:pStyle w:val="Normal"/></w:pPr>
<w:r><w:t xml:space="preserve">at which the vessel is to be re-delivered to the owners at</w:t></w:r>
</w:p>
<w:p>
<w:pPr><w:pStyle w:val="Normal"/></w:pPr>
<w:r><w:t xml:space="preserve">the end of the term, and the freight is payable until such</w:t></w:r>
</w:p>
<w:p>
<w:pPr><w:pStyle w:val="Normal"/></w:pPr>
<w:r><w:t xml:space="preserve">re-delivery; the owner almost always pays the wages of the</w:t></w:r>
</w:p>
<w:p>
<w:pPr><w:pStyle w:val="Normal"/></w:pPr>
<w:r><w:t xml:space="preserve">master and crew, and the charterers provide coals and pay</w:t></w:r>
</w:p>
<w:p>
<w:pPr><w:pStyle w:val="Normal"/></w:pPr>
<w:r><w:t xml:space="preserve">port charges; the freight is usually fixed at a certain rate</w:t></w:r>
</w:p>
<w:p>
<w:pPr><w:pStyle w:val="Normal"/></w:pPr>
<w:r><w:t xml:space="preserve">per gross register ton per month, and made payable monthly</w:t></w:r>
</w:p>
<w:p>
<w:pPr><w:pStyle w:val="Normal"/></w:pPr>
<w:r><w:t xml:space="preserve">in advance, and provision is made for suspension of hire in</w:t></w:r>
</w:p>
<w:p>
<w:pPr><w:pStyle w:val="Normal"/></w:pPr>
<w:r><w:t xml:space="preserve">certain cases if the vessel is disabled; the master, though he</w:t></w:r>
</w:p>
<w:p>
<w:pPr><w:pStyle w:val="Normal"/></w:pPr>
<w:r><w:t xml:space="preserve">usually is and remains the servant of the owner, is required</w:t></w:r>
</w:p>
<w:p>
<w:pPr><w:pStyle w:val="Normal"/></w:pPr>
<w:r><w:t xml:space="preserve">to obey the orders of the charterers as regards the employment</w:t></w:r>
</w:p>
<w:p>
<w:pPr><w:pStyle w:val="Normal"/></w:pPr>
<w:r><w:t xml:space="preserve">of the vessel, they agreeing to indemnify the owners from all</w:t></w:r>
</w:p>
<w:p>
<w:pPr><w:pStyle w:val="Normal"/></w:pPr>
<w:r><w:t xml:space="preserve">liability to which they may be exposed by the master signing</w:t></w:r>
</w:p>
<w:p>
<w:pPr><w:pStyle w:val="Normal"/></w:pPr>
<w:r><w:t xml:space="preserve">bills of lading or otherwise complying with the orders of the</w:t></w:r>
</w:p>
<w:p>
<w:pPr><w:pStyle w:val="Normal"/></w:pPr>
<w:r><w:t xml:space="preserve">charterers; and the contract is made subject to exceptions</w:t></w:r>
</w:p>
<w:p>
<w:pPr><w:pStyle w:val="Normal"/></w:pPr>
<w:r><w:t xml:space="preserve">similar to those in bills of lading and voyage charter-parties.</w:t></w:r>
</w:p>
<w:p>
<w:pPr><w:pStyle w:val="Normal"/></w:pPr>
<w:r><w:t xml:space="preserve">This is the general outline of the ordinary form of a time</w:t></w:r>
</w:p>
<w:p>
<w:pPr><w:pStyle w:val="Normal"/></w:pPr>
<w:r><w:t xml:space="preserve">charter-party, but the forms and their clauses vary, of</w:t></w:r>
</w:p>
<w:p>
<w:pPr><w:pStyle w:val="Normal"/></w:pPr>
<w:r><w:t xml:space="preserve">course, very much, according to the circumstances of each case.</w:t></w:r>
</w:p>
<w:p>
<w:pPr><w:pStyle w:val="Normal"/></w:pPr>
<w:r><w:t xml:space="preserve">It is apparent that under a time charter-party the shipowner</w:t></w:r>
</w:p>
<w:p>
<w:pPr><w:pStyle w:val="Normal"/></w:pPr>
<w:r><w:t xml:space="preserve">to a large extent parts with the control of his ship, which</w:t></w:r>
</w:p>
<w:p>
<w:pPr><w:pStyle w:val="Normal"/></w:pPr>
<w:r><w:t xml:space="preserve">is employed within certain limits according to the wish and</w:t></w:r>
</w:p>
<w:p>
<w:pPr><w:pStyle w:val="Normal"/></w:pPr>
<w:r><w:t xml:space="preserve">directions, and for the purposes and profit of, the charterers.</w:t></w:r>
</w:p>
<w:p>
<w:pPr><w:pStyle w:val="Normal"/></w:pPr>
<w:r><w:t xml:space="preserve">But, as we have already explained at the beginning of this</w:t></w:r>
</w:p>
<w:p>
<w:pPr><w:pStyle w:val="Normal"/></w:pPr>
<w:r><w:t xml:space="preserve">article, the shipowner continues in possession of his vessel</w:t></w:r>
</w:p>
<w:p>
<w:pPr><w:pStyle w:val="Normal"/></w:pPr>
<w:r><w:t xml:space="preserve">by his servant the master, who remains responsible to his</w:t></w:r>
</w:p>
<w:p>
<w:pPr><w:pStyle w:val="Normal"/></w:pPr>
<w:r><w:t xml:space="preserve">owner for the safety and proper navigation of the ship.  The</w:t></w:r>
</w:p>
<w:p>
<w:pPr><w:pStyle w:val="Normal"/></w:pPr>
<w:r><w:t xml:space="preserve">result of this, as has been already pointed out, is that the</w:t></w:r>
</w:p>
<w:p>
<w:pPr><w:pStyle w:val="Normal"/></w:pPr>
<w:r><w:t xml:space="preserve">holder of a bill of lading signed by the master, if he has</w:t></w:r>
</w:p>
<w:p>
<w:pPr><w:pStyle w:val="Normal"/></w:pPr>
<w:r><w:t xml:space="preserve">taken the bill of lading without knowledge of the terms of</w:t></w:r>
</w:p>
<w:p>
<w:pPr><w:pStyle w:val="Normal"/></w:pPr>
<w:r><w:t xml:space="preserve">the time charter-party, may hold the owner responsible for</w:t></w:r>
</w:p>
<w:p>
<w:pPr><w:pStyle w:val="Normal"/></w:pPr>
<w:r><w:t xml:space="preserve">the due performance of the contract signed by the master in</w:t></w:r>
</w:p>
<w:p>
<w:pPr><w:pStyle w:val="Normal"/></w:pPr>
<w:r><w:t xml:space="preserve">the ordinary course of his duties, and within his ostensible</w:t></w:r>
</w:p>
<w:p>
<w:pPr><w:pStyle w:val="Normal"/></w:pPr>
<w:r><w:t xml:space="preserve">authority as servant of the shipowner, although in fact in</w:t></w:r>
</w:p>
<w:p>
<w:pPr><w:pStyle w:val="Normal"/></w:pPr>
<w:r><w:t xml:space="preserve">signing the bill of lading the master was acting as agent</w:t></w:r>
</w:p>
<w:p>
<w:pPr><w:pStyle w:val="Normal"/></w:pPr>
<w:r><w:t xml:space="preserve">for and at the direction of the time charterer, and not the</w:t></w:r>
</w:p>
<w:p>
<w:pPr><w:pStyle w:val="Normal"/></w:pPr>
<w:r><w:t xml:space="preserve">shipowner.  In the language of the ordinary time charter-party</w:t></w:r>
</w:p>
<w:p>
<w:pPr><w:pStyle w:val="Normal"/></w:pPr>
<w:r><w:t xml:space="preserve">the ship is let to the charterers; but there is no true</w:t></w:r>
</w:p>
<w:p>
<w:pPr><w:pStyle w:val="Normal"/></w:pPr>
<w:r><w:t xml:space="preserve">demise, because, as we have pointed out, the vessel remains</w:t></w:r>
</w:p>
<w:p>
<w:pPr><w:pStyle w:val="Normal"/></w:pPr>
<w:r><w:t xml:space="preserve">in the possession of the shipowner, the charterer enjoying</w:t></w:r>
</w:p>
<w:p>
<w:pPr><w:pStyle w:val="Normal"/></w:pPr>
<w:r><w:t xml:space="preserve">the advantages and control of its employment.  Where the</w:t></w:r>
</w:p>
<w:p>
<w:pPr><w:pStyle w:val="Normal"/></w:pPr>
<w:r><w:t xml:space="preserve">possession of a ship is given up to a hirer, who appoints</w:t></w:r>
</w:p>
<w:p>
<w:pPr><w:pStyle w:val="Normal"/></w:pPr>
<w:r><w:t xml:space="preserve">his own master and crew, different considerations apply; but</w:t></w:r>
</w:p>
<w:p>
<w:pPr><w:pStyle w:val="Normal"/></w:pPr>
<w:r><w:t xml:space="preserve">though the instrument by which the ship is let may be called a</w:t></w:r>
</w:p>
<w:p>
<w:pPr><w:pStyle w:val="Normal"/></w:pPr>
<w:r><w:t xml:space="preserve">charter-party, it is not truly a contract of affreightment.</w:t></w:r>
</w:p>
<w:p>
<w:pPr><w:pStyle w:val="Normal"/></w:pPr>
<w:r><w:t xml:space="preserve">Customary rights.</w:t></w:r>
</w:p>
<w:p>
<w:pPr><w:pStyle w:val="Normal"/></w:pPr>
<w:r><w:t xml:space="preserve">There are certain rights and obligations arising out of the</w:t></w:r>
</w:p>
<w:p>
<w:pPr><w:pStyle w:val="Normal"/></w:pPr>
<w:r><w:t xml:space="preserve">relationship of shipowner and cargo-owner in circumstances</w:t></w:r>
</w:p>
<w:p>
<w:pPr><w:pStyle w:val="Normal"/></w:pPr>
<w:r><w:t xml:space="preserve">of extraordinary peril or urgency in the course of a voyage,</w:t></w:r>
</w:p>
<w:p>
<w:pPr><w:pStyle w:val="Normal"/></w:pPr>
<w:r><w:t xml:space="preserve">which, though not strictly contractual, are well established</w:t></w:r>
</w:p>
<w:p>
<w:pPr><w:pStyle w:val="Normal"/></w:pPr>
<w:r><w:t xml:space="preserve">by the customs of merchants and recognized by the law.  It is</w:t></w:r>
</w:p>
<w:p>
<w:pPr><w:pStyle w:val="Normal"/></w:pPr>
<w:r><w:t xml:space="preserve">obvious that, when a ship carrying a cargo is in the course</w:t></w:r>
</w:p>
<w:p>
<w:pPr><w:pStyle w:val="Normal"/></w:pPr>
<w:r><w:t xml:space="preserve">of a voyage, the master to some extent represents the owners</w:t></w:r>
</w:p>
<w:p>
<w:pPr><w:pStyle w:val="Normal"/></w:pPr>
<w:r><w:t xml:space="preserve">of both ship and cargo.  In cases of emergency it may be</w:t></w:r>
</w:p>
<w:p>
<w:pPr><w:pStyle w:val="Normal"/></w:pPr>
<w:r><w:t xml:space="preserve">necessary that the master should, without waiting for authority</w:t></w:r>
</w:p>
<w:p>
<w:pPr><w:pStyle w:val="Normal"/></w:pPr>
<w:r><w:t xml:space="preserve">or instructions, incur expense or make sacrifices as agent</w:t></w:r>
</w:p>
<w:p>
<w:pPr><w:pStyle w:val="Normal"/></w:pPr>
<w:r><w:t xml:space="preserve">not only of his employer, the shipowner, but also of the</w:t></w:r>
</w:p>
<w:p>
<w:pPr><w:pStyle w:val="Normal"/></w:pPr>
<w:r><w:t xml:space="preserve">cargo-owner.  Ship and cargo may be in peril, and it may</w:t></w:r>
</w:p>
<w:p>
<w:pPr><w:pStyle w:val="Normal"/></w:pPr>
<w:r><w:t xml:space="preserve">be necessary for the safety of both to put into a port of</w:t></w:r>
</w:p>
<w:p>
<w:pPr><w:pStyle w:val="Normal"/></w:pPr>
<w:r><w:t xml:space="preserve">refuge.  There it may be necessary to repair the ship, and to</w:t></w:r>
</w:p>
<w:p>
<w:pPr><w:pStyle w:val="Normal"/></w:pPr>
<w:r><w:t xml:space="preserve">land and warehouse, and afterwards re-ship the cargo.  For these</w:t></w:r>
</w:p>
<w:p>
<w:pPr><w:pStyle w:val="Normal"/></w:pPr>
<w:r><w:t xml:space="preserve">purposes the master will be obliged to incur expense, of which</w:t></w:r>
</w:p>
<w:p>
<w:pPr><w:pStyle w:val="Normal"/></w:pPr>
<w:r><w:t xml:space="preserve">some part, such as the cost of repairing the ship, will be for</w:t></w:r>
</w:p>
<w:p>
<w:pPr><w:pStyle w:val="Normal"/></w:pPr>
<w:r><w:t xml:space="preserve">the benefit of the shipowner; part, such as the warehousing</w:t></w:r>
</w:p>
<w:p>
<w:pPr><w:pStyle w:val="Normal"/></w:pPr>
<w:r><w:t xml:space="preserve">expenses, will be for the benefit of the cargo-owner; and part,</w:t></w:r>
</w:p>
<w:p>
<w:pPr><w:pStyle w:val="Normal"/></w:pPr>
<w:r><w:t xml:space="preserve">such as the port charges incurred in order to enter the port</w:t></w:r>
</w:p>
<w:p>
<w:pPr><w:pStyle w:val="Normal"/></w:pPr>
<w:r><w:t xml:space="preserve">of refuge, are for the common benefit and safety of ship and</w:t></w:r>
</w:p>
<w:p>
<w:pPr><w:pStyle w:val="Normal"/></w:pPr>
<w:r><w:t xml:space="preserve">cargo.  Again, in a storm at sea, it may be necessary for the</w:t></w:r>
</w:p>
<w:p>
<w:pPr><w:pStyle w:val="Normal"/></w:pPr>
<w:r><w:t xml:space="preserve">safety of ship and cargo to cut away a mast or to jettison,</w:t></w:r>
</w:p>
<w:p>
<w:pPr><w:pStyle w:val="Normal"/></w:pPr>
<w:r><w:t xml:space="preserve">that is to say, throw overboard part of the cargo.  In such</w:t></w:r>
</w:p>
<w:p>
<w:pPr><w:pStyle w:val="Normal"/></w:pPr>
<w:r><w:t xml:space="preserve">a case the master, acting for the shipowner or cargo-owner,</w:t></w:r>
</w:p>
<w:p>
<w:pPr><w:pStyle w:val="Normal"/></w:pPr>
<w:r><w:t xml:space="preserve">as the case may be, makes a sacrifice of part of the ship or</w:t></w:r>
</w:p>
<w:p>
<w:pPr><w:pStyle w:val="Heading1"/></w:pPr>
<w:r><w:t>part of the cargo, in either case for the purpose of saving</w:t></w:r>
</w:p>
<w:p>
<w:pPr><w:pStyle w:val="Normal"/></w:pPr>
<w:r><w:t xml:space="preserve">ship and cargo from a danger common to both.  Voluntary</w:t></w:r>
</w:p>
<w:p>
<w:pPr><w:pStyle w:val="Normal"/></w:pPr>
<w:r><w:t xml:space="preserve">sacrifices so made and extraordinary expenses incurred for</w:t></w:r>
</w:p>
<w:p>
<w:pPr><w:pStyle w:val="Normal"/></w:pPr>
<w:r><w:t xml:space="preserve">the common safety are called general average (see AVERAGE)</w:t></w:r>
</w:p>
<w:p>
<w:pPr><w:pStyle w:val="Normal"/></w:pPr>
<w:r><w:t xml:space="preserve">sacrifices and expenses, and are made good to the person who</w:t></w:r>
</w:p>
<w:p>
<w:pPr><w:pStyle w:val="Normal"/></w:pPr>
<w:r><w:t xml:space="preserve">has made the sacrifice or incurred the expense by a general</w:t></w:r>
</w:p>
<w:p>
<w:pPr><w:pStyle w:val="Normal"/></w:pPr>
<w:r><w:t xml:space="preserve">average contribution, which is recoverable from the owners of</w:t></w:r>
</w:p>
<w:p>
<w:pPr><w:pStyle w:val="Normal"/></w:pPr>
<w:r><w:t xml:space="preserve">the property saved in proportion to its value, or, in other</w:t></w:r>
</w:p>
<w:p>
<w:pPr><w:pStyle w:val="Normal"/></w:pPr>
<w:r><w:t xml:space="preserve">words, each contributes rateably according to the benefit</w:t></w:r>
</w:p>
<w:p>
<w:pPr><w:pStyle w:val="Normal"/></w:pPr>
<w:r><w:t xml:space="preserve">received.  The law regulating the rights of the parties with</w:t></w:r>
</w:p>
<w:p>
<w:pPr><w:pStyle w:val="Normal"/></w:pPr>
<w:r><w:t xml:space="preserve">regard to such contribution is called the law of General</w:t></w:r>
</w:p>
<w:p>
<w:pPr><w:pStyle w:val="Normal"/></w:pPr>
<w:r><w:t xml:space="preserve">Average.  It must, however, be remembered that the owner of the</w:t></w:r>
</w:p>
<w:p>
<w:pPr><w:pStyle w:val="Normal"/></w:pPr>
<w:r><w:t xml:space="preserve">cargo is entitled under the contract of affreightment to the</w:t></w:r>
</w:p>
<w:p>
<w:pPr><w:pStyle w:val="Normal"/></w:pPr>
<w:r><w:t xml:space="preserve">ordinary service of the ship and crew for the safe carriage of</w:t></w:r>
</w:p>
<w:p>
<w:pPr><w:pStyle w:val="Normal"/></w:pPr>
<w:r><w:t xml:space="preserve">the cargo to its destination, and the shipowner is bound to pay</w:t></w:r>
</w:p>
<w:p>
<w:pPr><w:pStyle w:val="Normal"/></w:pPr>
<w:r><w:t xml:space="preserve">all ordinary expenses incurred for the purpose of the voyage.</w:t></w:r>
</w:p>
<w:p>
<w:pPr><w:pStyle w:val="Normal"/></w:pPr>
<w:r><w:t xml:space="preserve">He must also bear all losses arising from damage to the ship by</w:t></w:r>
</w:p>
<w:p>
<w:pPr><w:pStyle w:val="Normal"/></w:pPr>
<w:r><w:t xml:space="preserve">accidents.  But when extraordinary expense has been incurred by</w:t></w:r>
</w:p>
<w:p>
<w:pPr><w:pStyle w:val="Normal"/></w:pPr>
<w:r><w:t xml:space="preserve">the shipowner for the safety of the cargo, he can recover such</w:t></w:r>
</w:p>
<w:p>
<w:pPr><w:pStyle w:val="Normal"/></w:pPr>
<w:r><w:t xml:space="preserve">expense from the owner of the cargo as a special charge on</w:t></w:r>
</w:p>
<w:p>
<w:pPr><w:pStyle w:val="Normal"/></w:pPr>
<w:r><w:t xml:space="preserve">cargo; or when an extraordinary expense has been incurred or a</w:t></w:r>
</w:p>
<w:p>
<w:pPr><w:pStyle w:val="Normal"/></w:pPr>
<w:r><w:t xml:space="preserve">voluntary sacrifice made by the shipowner to save the ship and</w:t></w:r>
</w:p>
<w:p>
<w:pPr><w:pStyle w:val="Normal"/></w:pPr>
<w:r><w:t xml:space="preserve">cargo from a peril common to both, he may require the owner of</w:t></w:r>
</w:p>
<w:p>
<w:pPr><w:pStyle w:val="Normal"/></w:pPr>
<w:r><w:t xml:space="preserve">cargo to contribute in general average to make good the loss.</w:t></w:r>
</w:p>
<w:p>
<w:pPr><w:pStyle w:val="Normal"/></w:pPr>
<w:r><w:t xml:space="preserve">See Carver, Carriage by Sea (London, 1905); Scrutton,</w:t></w:r>
</w:p>
<w:p>
<w:pPr><w:pStyle w:val="Normal"/></w:pPr>
<w:r><w:t xml:space="preserve">Charter-parties and Bills of Lading (London, 1904). (W.)</w:t></w:r>
</w:p>
<w:p>
<w:pPr><w:pStyle w:val="Normal"/></w:pPr>
<w:r><w:t xml:space="preserve">AFGHANISTAN, a country of Central Asia.  Estimated area</w:t></w:r>
</w:p>
<w:p>
<w:pPr><w:pStyle w:val="Normal"/></w:pPr>
<w:r><w:t xml:space="preserve">245,000 sq. m. (including Badakshan and Kafiristan).  Pop. about</w:t></w:r>
</w:p>
<w:p>
<w:pPr><w:pStyle w:val="Normal"/></w:pPr>
<w:r><w:t xml:space="preserve">5,000,000.  It is bounded on the N. by Russian Turkestan,</w:t></w:r>
</w:p>
<w:p>
<w:pPr><w:pStyle w:val="Normal"/></w:pPr>
<w:r><w:t xml:space="preserve">on the W. by Persia, and on the E. and S. by Kashmir and the</w:t></w:r>
</w:p>
<w:p>
<w:pPr><w:pStyle w:val="Normal"/></w:pPr>
<w:r><w:t xml:space="preserve">independent tribes of the North-West Frontier of India and</w:t></w:r>
</w:p>
<w:p>
<w:pPr><w:pStyle w:val="Normal"/></w:pPr>
<w:r><w:t xml:space="preserve">Baluchistan.  The chief importance of Afghanistan in modern</w:t></w:r>
</w:p>
<w:p>
<w:pPr><w:pStyle w:val="Normal"/></w:pPr>
<w:r><w:t xml:space="preserve">days is due to its position as a ``buffer state&apos;&apos; intervening</w:t></w:r>
</w:p>
<w:p>
<w:pPr><w:pStyle w:val="Normal"/></w:pPr>
<w:r><w:t xml:space="preserve">between the two great empires of Asiatic Russia and British</w:t></w:r>
</w:p>
<w:p>
<w:pPr><w:pStyle w:val="Normal"/></w:pPr>
<w:r><w:t xml:space="preserve">India.  During the last quarter of the 19th century our</w:t></w:r>
</w:p>
<w:p>
<w:pPr><w:pStyle w:val="Normal"/></w:pPr>
<w:r><w:t xml:space="preserve">knowledge of the country was greatly increased, and its</w:t></w:r>
</w:p>
<w:p>
<w:pPr><w:pStyle w:val="Normal"/></w:pPr>
<w:r><w:t xml:space="preserve">boundaries on the N., E. and S. were strictly delimited.</w:t></w:r>
</w:p>
<w:p>
<w:pPr><w:pStyle w:val="Normal"/></w:pPr>
<w:r><w:t xml:space="preserve">The second Afghan war of 1878-80 afforded an opportunity for</w:t></w:r>
</w:p>
<w:p>
<w:pPr><w:pStyle w:val="Normal"/></w:pPr>
<w:r><w:t xml:space="preserve">the extension of wide geographical surveys on a scientific</w:t></w:r>
</w:p>
<w:p>
<w:pPr><w:pStyle w:val="Normal"/></w:pPr>
<w:r><w:t xml:space="preserve">basis.  The Russian-Afghan Boundary Commission of 1884-1886</w:t></w:r>
</w:p>
<w:p>
<w:pPr><w:pStyle w:val="Normal"/></w:pPr>
<w:r><w:t xml:space="preserve">resulted in the delimitation and mapping of the northern</w:t></w:r>
</w:p>
<w:p>
<w:pPr><w:pStyle w:val="Normal"/></w:pPr>
<w:r><w:t xml:space="preserve">frontier.  The Durand agreement of 1893 led to the partition of</w:t></w:r>
</w:p>
<w:p>
<w:pPr><w:pStyle w:val="Normal"/></w:pPr>
<w:r><w:t xml:space="preserve">the Pathan tribes on the southern and eastern frontiers.  The Pamir</w:t></w:r>
</w:p>
<w:p>
<w:pPr><w:pStyle w:val="Normal"/></w:pPr>
<w:r><w:t xml:space="preserve">Commission of 1895 settled its north-eastern border.  Finally the</w:t></w:r>
</w:p>
<w:p>
<w:pPr><w:pStyle w:val="Normal"/></w:pPr>
<w:r><w:t xml:space="preserve">Perso-Baluch Commission of 1904-1905 defined its western face.</w:t></w:r>
</w:p>
<w:p>
<w:pPr><w:pStyle w:val="Normal"/></w:pPr>
<w:r><w:t xml:space="preserve">Beginning with the Persian border at Zulfikar on the Hari Rud</w:t></w:r>
</w:p>
<w:p>
<w:pPr><w:pStyle w:val="Normal"/></w:pPr>
<w:r><w:t xml:space="preserve">river, the boundary between Afghanistan and Russia follows</w:t></w:r>
</w:p>
<w:p>
<w:pPr><w:pStyle w:val="Normal"/></w:pPr>
<w:r><w:t xml:space="preserve">a line roughly parallel to the course of the Paropamisus,</w:t></w:r>
</w:p>
<w:p>
<w:pPr><w:pStyle w:val="Normal"/></w:pPr>
<w:r><w:t xml:space="preserve">and about 35 m. to the north of it, till it strikes the</w:t></w:r>
</w:p>
<w:p>
<w:pPr><w:pStyle w:val="Normal"/></w:pPr>
<w:r><w:t xml:space="preserve">Kushk river in Jamshidi territory at a point which was</w:t></w:r>
</w:p>
<w:p>
<w:pPr><w:pStyle w:val="Normal"/></w:pPr>
<w:r><w:t xml:space="preserve">once known as Chahil Dukteran, but is now the Russian post</w:t></w:r>
</w:p>
<w:p>
<w:pPr><w:pStyle w:val="Normal"/></w:pPr>
<w:r><w:t xml:space="preserve">Kushkinski, and the terminus of a branch railway from Merv.</w:t></w:r>
</w:p>
<w:p>
<w:pPr><w:pStyle w:val="Normal"/></w:pPr>
<w:r><w:t xml:space="preserve">Kushkinski is about 20 m. below the old Jamshidi settlement</w:t></w:r>
</w:p>
<w:p>
<w:pPr><w:pStyle w:val="Normal"/></w:pPr>
<w:r><w:t xml:space="preserve">of Kushk, which is the capital of Badghis.  The settlement</w:t></w:r>
</w:p>
<w:p>
<w:pPr><w:pStyle w:val="Normal"/></w:pPr>
<w:r><w:t xml:space="preserve">and the post originally called Kushk must not be confused</w:t></w:r>
</w:p>
<w:p>
<w:pPr><w:pStyle w:val="Normal"/></w:pPr>
<w:r><w:t xml:space="preserve">together.  From Kushkinski the boundary runs north-east,</w:t></w:r>
</w:p>
<w:p>
<w:pPr><w:pStyle w:val="Normal"/></w:pPr>
<w:r><w:t xml:space="preserve">crossing the Murghab river near Maruchak (which is an Afghan</w:t></w:r>
</w:p>
<w:p>
<w:pPr><w:pStyle w:val="Normal"/></w:pPr>
<w:r><w:t xml:space="preserve">fortress), and thence passes north-east through the hills of</w:t></w:r>
</w:p>
<w:p>
<w:pPr><w:pStyle w:val="Normal"/></w:pPr>
<w:r><w:t xml:space="preserve">the Chul, and the undulating deserts of the Aleli Turkmans,</w:t></w:r>
</w:p>
<w:p>
<w:pPr><w:pStyle w:val="Normal"/></w:pPr>
<w:r><w:t xml:space="preserve">to the Oxus, leaving the valleys of Charshamba and of Andkhui</w:t></w:r>
</w:p>
<w:p>
<w:pPr><w:pStyle w:val="Normal"/></w:pPr>
<w:r><w:t xml:space="preserve">(to which it runs approximately parallel) within Afghan</w:t></w:r>
</w:p>
<w:p>
<w:pPr><w:pStyle w:val="Normal"/></w:pPr>
<w:r><w:t xml:space="preserve">limits.  These valleys denote the limits of cultivation in</w:t></w:r>
</w:p>
<w:p>
<w:pPr><w:pStyle w:val="Normal"/></w:pPr>
<w:r><w:t xml:space="preserve">this direction.  Throughout all this region the boundary is</w:t></w:r>
</w:p>
<w:p>
<w:pPr><w:pStyle w:val="Normal"/></w:pPr>
<w:r><w:t xml:space="preserve">generally of an artificial character, marked by pillars, but</w:t></w:r>
</w:p>
<w:p>
<w:pPr><w:pStyle w:val="Normal"/></w:pPr>
<w:r><w:t xml:space="preserve">it is here and there indicated by natural features forming</w:t></w:r>
</w:p>
<w:p>
<w:pPr><w:pStyle w:val="Normal"/></w:pPr>
<w:r><w:t xml:space="preserve">local lines of water-parting or water-course.  The boundary</w:t></w:r>
</w:p>
<w:p>
<w:pPr><w:pStyle w:val="Normal"/></w:pPr>
<w:r><w:t xml:space="preserve">meets the Oxus at Khamiab at the western extremity of the</w:t></w:r>
</w:p>
<w:p>
<w:pPr><w:pStyle w:val="Normal"/></w:pPr>
<w:r><w:t xml:space="preserve">cultivated district of Khwaja Salar, and from that point to</w:t></w:r>
</w:p>
<w:p>
<w:pPr><w:pStyle w:val="Normal"/></w:pPr>
<w:r><w:t xml:space="preserve">the eastern end of Lake Victoria in the Pamirs the main channel</w:t></w:r>
</w:p>
<w:p>
<w:pPr><w:pStyle w:val="Normal"/></w:pPr>
<w:r><w:t xml:space="preserve">of the Oxus river forms the northern limits of Afghanistan.</w:t></w:r>
</w:p>
<w:p>
<w:pPr><w:pStyle w:val="Normal"/></w:pPr>
<w:r><w:t xml:space="preserve">(See OXUS.) Eastwards from Lake Victoria the frontier</w:t></w:r>
</w:p>
<w:p>
<w:pPr><w:pStyle w:val="Normal"/></w:pPr>
<w:r><w:t xml:space="preserve">line was determined by the Pamir Boundary Commission of</w:t></w:r>
</w:p>
<w:p>
<w:pPr><w:pStyle w:val="Normal"/></w:pPr>
<w:r><w:t xml:space="preserve">1895.  A part of the little Pamir is included in Afghan</w:t></w:r>
</w:p>
<w:p>
<w:pPr><w:pStyle w:val="Normal"/></w:pPr>
<w:r><w:t xml:space="preserve">territory, but the boundary crosses this Pamir before the great</w:t></w:r>
</w:p>
<w:p>
<w:pPr><w:pStyle w:val="Normal"/></w:pPr>
<w:r><w:t xml:space="preserve">bend northwards of the Aksu takes place, and, passing over a</w:t></w:r>
</w:p>
<w:p>
<w:pPr><w:pStyle w:val="Normal"/></w:pPr>
<w:r><w:t xml:space="preserve">series of crags and untraversable mountain ridges, is lost on</w:t></w:r>
</w:p>
<w:p>
<w:pPr><w:pStyle w:val="Normal"/></w:pPr>
<w:r><w:t xml:space="preserve">the Chinese frontier in the snowfields of Sarikol.  Bending</w:t></w:r>
</w:p>
<w:p>
<w:pPr><w:pStyle w:val="Normal"/></w:pPr>
<w:r><w:t xml:space="preserve">back westwards upon itself, the line of Afghan frontier now</w:t></w:r>
</w:p>
<w:p>
<w:pPr><w:pStyle w:val="Normal"/></w:pPr>
<w:r><w:t xml:space="preserve">follows the water-parting of the Hindu Kush; and as the Hindu</w:t></w:r>
</w:p>
<w:p>
<w:pPr><w:pStyle w:val="Normal"/></w:pPr>
<w:r><w:t xml:space="preserve">Kush absolutely overhangs the Oxus nearly opposite Ishkashim,</w:t></w:r>
</w:p>
<w:p>
<w:pPr><w:pStyle w:val="Normal"/></w:pPr>
<w:r><w:t xml:space="preserve">it follows that, at this point, Afghanistan is about 10 m.</w:t></w:r>
</w:p>
<w:p>
<w:pPr><w:pStyle w:val="Normal"/></w:pPr>
<w:r><w:t xml:space="preserve">wide.  Thus a small and highly elevated portion of the state</w:t></w:r>
</w:p>
<w:p>
<w:pPr><w:pStyle w:val="Normal"/></w:pPr>
<w:r><w:t xml:space="preserve">extends eastwards from its extreme north-eastern corner, and</w:t></w:r>
</w:p>
<w:p>
<w:pPr><w:pStyle w:val="Normal"/></w:pPr>
<w:r><w:t xml:space="preserve">is attached to the great Afghan quadrilateral by the thin</w:t></w:r>
</w:p>
<w:p>
<w:pPr><w:pStyle w:val="Normal"/></w:pPr>
<w:r><w:t xml:space="preserve">link of the Panja valley.  These narrow limits (called Wakhan)</w:t></w:r>
</w:p>
<w:p>
<w:pPr><w:pStyle w:val="Normal"/></w:pPr>
<w:r><w:t xml:space="preserve">include the lofty spurs of the northern flank of the Hindu</w:t></w:r>
</w:p>
<w:p>
<w:pPr><w:pStyle w:val="Normal"/></w:pPr>
<w:r><w:t xml:space="preserve">Kush, an impassable barrier at this point, where the glacial</w:t></w:r>
</w:p>
<w:p>
<w:pPr><w:pStyle w:val="Normal"/></w:pPr>
<w:r><w:t xml:space="preserve">passes reach 19,000 ft. in altitude, and the enclosing peaks</w:t></w:r>
</w:p>
<w:p>
<w:pPr><w:pStyle w:val="Normal"/></w:pPr>
<w:r><w:t xml:space="preserve">24,000 ft.  The backbone or main water-divide of the Hindu</w:t></w:r>
</w:p>
<w:p>
<w:pPr><w:pStyle w:val="Normal"/></w:pPr>
<w:r><w:t xml:space="preserve">Kush continues to form the boundary between Afghanistan and</w:t></w:r>
</w:p>
<w:p>
<w:pPr><w:pStyle w:val="Normal"/></w:pPr>
<w:r><w:t xml:space="preserve">those semi-independent native states which fringe Kashmir</w:t></w:r>
</w:p>
<w:p>
<w:pPr><w:pStyle w:val="Normal"/></w:pPr>
<w:r><w:t xml:space="preserve">in this mountain region, until it reaches Kafiristan.  From</w:t></w:r>
</w:p>
<w:p>
<w:pPr><w:pStyle w:val="Normal"/></w:pPr>
<w:r><w:t xml:space="preserve">near the Dorah pass (14,800 ft.), which connects Chitral with</w:t></w:r>
</w:p>
<w:p>
<w:pPr><w:pStyle w:val="Normal"/></w:pPr>
<w:r><w:t xml:space="preserve">the Panja (or Oxus) river, a long, straight, snow-clad spur</w:t></w:r>
</w:p>
<w:p>
<w:pPr><w:pStyle w:val="Normal"/></w:pPr>
<w:r><w:t xml:space="preserve">reaches southwards, which divides the Kafiristan valley of</w:t></w:r>
</w:p>
<w:p>
<w:pPr><w:pStyle w:val="Normal"/></w:pPr>
<w:r><w:t xml:space="preserve">Bashgol from that of Chitral, and this continues to denote</w:t></w:r>
</w:p>
<w:p>
<w:pPr><w:pStyle w:val="Normal"/></w:pPr>
<w:r><w:t xml:space="preserve">the eastern limits of Afghanistan till it nearly touches the</w:t></w:r>
</w:p>
<w:p>
<w:pPr><w:pStyle w:val="Normal"/></w:pPr>
<w:r><w:t xml:space="preserve">Chitral river opposite the village of Arnawai, 45 m. south of</w:t></w:r>
</w:p>
<w:p>
<w:pPr><w:pStyle w:val="Normal"/></w:pPr>
<w:r><w:t xml:space="preserve">Chitral.  Here the Bashgol and Chitral valleys unite and the</w:t></w:r>
</w:p>
<w:p>
<w:pPr><w:pStyle w:val="Normal"/></w:pPr>
<w:r><w:t xml:space="preserve">boundary passes to the water-divide east of the Chitral river,</w:t></w:r>
</w:p>
<w:p>
<w:pPr><w:pStyle w:val="Normal"/></w:pPr>
<w:r><w:t xml:space="preserve">after crossing it by a spur which leaves the insignificant</w:t></w:r>
</w:p>
<w:p>
<w:pPr><w:pStyle w:val="Normal"/></w:pPr>
<w:r><w:t xml:space="preserve">Arnawai valley to the north; along this water-divide it extends</w:t></w:r>
</w:p>
<w:p>
<w:pPr><w:pStyle w:val="Normal"/></w:pPr>
<w:r><w:t xml:space="preserve">to a point nearly opposite the quaint old town of Pashat in</w:t></w:r>
</w:p>
<w:p>
<w:pPr><w:pStyle w:val="Normal"/></w:pPr>
<w:r><w:t xml:space="preserve">the Kunar valley (the Chitral river has become the Kunar in</w:t></w:r>
</w:p>
<w:p>
<w:pPr><w:pStyle w:val="Normal"/></w:pPr>
<w:r><w:t xml:space="preserve">its course southwards), and then stretches away in an uneven</w:t></w:r>
</w:p>
<w:p>
<w:pPr><w:pStyle w:val="Normal"/></w:pPr>
<w:r><w:t xml:space="preserve">and undefined line, dividing certain sections of the Mohmands</w:t></w:r>
</w:p>
<w:p>
<w:pPr><w:pStyle w:val="Normal"/></w:pPr>
<w:r><w:t xml:space="preserve">from each other by hypothetical landmarks, till it strikes</w:t></w:r>
</w:p>
<w:p>
<w:pPr><w:pStyle w:val="Normal"/></w:pPr>
<w:r><w:t xml:space="preserve">the Kabul river near Palosi.  Thence following a course nearly</w:t></w:r>
</w:p>
<w:p>
<w:pPr><w:pStyle w:val="Normal"/></w:pPr>
<w:r><w:t xml:space="preserve">due south, it reaches Landi Kotal.  From the abutment of</w:t></w:r>
</w:p>
<w:p>
<w:pPr><w:pStyle w:val="Normal"/></w:pPr>
<w:r><w:t xml:space="preserve">the Hindu Kush on the Sarikol in the Pamir regions to Landi</w:t></w:r>
</w:p>
<w:p>
<w:pPr><w:pStyle w:val="Normal"/></w:pPr>
<w:r><w:t xml:space="preserve">Kotal, and throughout its eastern and southern limits, the</w:t></w:r>
</w:p>
<w:p>
<w:pPr><w:pStyle w:val="Normal"/></w:pPr>
<w:r><w:t xml:space="preserve">boundary of Alghanistan touches districts which were brought</w:t></w:r>
</w:p>
<w:p>
<w:pPr><w:pStyle w:val="Normal"/></w:pPr>
<w:r><w:t xml:space="preserve">under British political control with the formation of the</w:t></w:r>
</w:p>
<w:p>
<w:pPr><w:pStyle w:val="Normal"/></w:pPr>
<w:r><w:t xml:space="preserve">North-West Frontier Provinces of India in 1901.  From the</w:t></w:r>
</w:p>
<w:p>
<w:pPr><w:pStyle w:val="Normal"/></w:pPr>
<w:r><w:t xml:space="preserve">neighbourhood of Laudi Kotal the boundary is carried to the</w:t></w:r>
</w:p>
<w:p>
<w:pPr><w:pStyle w:val="Normal"/></w:pPr>
<w:r><w:t xml:space="preserve">Safed Roh overlooking the Afridi Tirah, and then, rounding</w:t></w:r>
</w:p>
<w:p>
<w:pPr><w:pStyle w:val="Normal"/></w:pPr>
<w:r><w:t xml:space="preserve">off the cultivated portidins of the Kurram valley below the</w:t></w:r>
</w:p>
<w:p>
<w:pPr><w:pStyle w:val="Normal"/></w:pPr>
<w:r><w:t xml:space="preserve">Peiwar, it crosses the Kaitu and passes to the upper reaches</w:t></w:r>
</w:p>
<w:p>
<w:pPr><w:pStyle w:val="Normal"/></w:pPr>
<w:r><w:t xml:space="preserve">of the Tochi.  Crossing these again, it is continued on</w:t></w:r>
</w:p>
<w:p>
<w:pPr><w:pStyle w:val="Normal"/></w:pPr>
<w:r><w:t xml:space="preserve">the west of Waziristan, finally striking the Gomal river at</w:t></w:r>
</w:p>
<w:p>
<w:pPr><w:pStyle w:val="Normal"/></w:pPr>
<w:r><w:t xml:space="preserve">Domandi.  South of the Gomal it separates the interests of</w:t></w:r>
</w:p>
<w:p>
<w:pPr><w:pStyle w:val="Normal"/></w:pPr>
<w:r><w:t xml:space="preserve">Afghanistan from those of Baluchistan, which here adjoins the</w:t></w:r>
</w:p>
<w:p>
<w:pPr><w:pStyle w:val="Normal"/></w:pPr>
<w:r><w:t xml:space="preserve">North-West Frontier Province.  From Domandi (the junction of</w:t></w:r>
</w:p>
<w:p>
<w:pPr><w:pStyle w:val="Normal"/></w:pPr>
<w:r><w:t xml:space="preserve">the Kundar river with the Gomal) the Afghan boundary marches</w:t></w:r>
</w:p>
<w:p>
<w:pPr><w:pStyle w:val="Normal"/></w:pPr>
<w:r><w:t xml:space="preserve">with that of Baluchistan. (See BALUCHISTAN.) It is carried</w:t></w:r>
</w:p>
<w:p>
<w:pPr><w:pStyle w:val="Normal"/></w:pPr>
<w:r><w:t xml:space="preserve">to the south-west on a line which is largely defined by the</w:t></w:r>
</w:p>
<w:p>
<w:pPr><w:pStyle w:val="Normal"/></w:pPr>
<w:r><w:t xml:space="preserve">channels of the Kundar and the Kadanai to a point beyond</w:t></w:r>
</w:p>
<w:p>
<w:pPr><w:pStyle w:val="Normal"/></w:pPr>
<w:r><w:t xml:space="preserve">the Sind-Peshin terminal station of New Chaman, west of</w:t></w:r>
</w:p>
<w:p>
<w:pPr><w:pStyle w:val="Normal"/></w:pPr>
<w:r><w:t xml:space="preserve">the Khojak range, and then drops southward to Shorawak and</w:t></w:r>
</w:p>
<w:p>
<w:pPr><w:pStyle w:val="Normal"/></w:pPr>
<w:r><w:t xml:space="preserve">Nushki.  From Nushki it crosses the Helmund desert, touching</w:t></w:r>
</w:p>
<w:p>
<w:pPr><w:pStyle w:val="Normal"/></w:pPr>
<w:r><w:t xml:space="preserve">the crest of a well-defined mountain watershed for a great</w:t></w:r>
</w:p>
<w:p>
<w:pPr><w:pStyle w:val="Heading1"/></w:pPr>
<w:r><w:t>part of the way, and, leaving Chagai to Baluchistan, it</w:t></w:r>
</w:p>
<w:p>
<w:pPr><w:pStyle w:val="Normal"/></w:pPr>
<w:r><w:t xml:space="preserve">strikes nearly west to the Persian frontier, and joins it on</w:t></w:r>
</w:p>
<w:p>
<w:pPr><w:pStyle w:val="Normal"/></w:pPr>
<w:r><w:t xml:space="preserve">the Koh-i-Malik Siah mountain, south of Seistan.  Two points</w:t></w:r>
</w:p>
<w:p>
<w:pPr><w:pStyle w:val="Normal"/></w:pPr>
<w:r><w:t xml:space="preserve">of this part of the Afghan boundary are notable.  It leaves</w:t></w:r>
</w:p>
<w:p>
<w:pPr><w:pStyle w:val="Normal"/></w:pPr>
<w:r><w:t xml:space="preserve">some of the most fanatical of the Durani Afghan people on the</w:t></w:r>
</w:p>
<w:p>
<w:pPr><w:pStyle w:val="Normal"/></w:pPr>
<w:r><w:t xml:space="preserve">Baluch side of the frontier in the Toba district, north of</w:t></w:r>
</w:p>
<w:p>
<w:pPr><w:pStyle w:val="Normal"/></w:pPr>
<w:r><w:t xml:space="preserve">the Quetta-Chaman line of railway; and it passes 50 m. south</w:t></w:r>
</w:p>
<w:p>
<w:pPr><w:pStyle w:val="Normal"/></w:pPr>
<w:r><w:t xml:space="preserve">of the Helmund riven enclosing within Afghanistan the only</w:t></w:r>
</w:p>
<w:p>
<w:pPr><w:pStyle w:val="Normal"/></w:pPr>
<w:r><w:t xml:space="preserve">approach to Seistan from India which is available during the</w:t></w:r>
</w:p>
<w:p>
<w:pPr><w:pStyle w:val="Normal"/></w:pPr>
<w:r><w:t xml:space="preserve">seasons of Helmund overflow.  Between Afghanistan and Persia</w:t></w:r>
</w:p>
<w:p>
<w:pPr><w:pStyle w:val="Normal"/></w:pPr>
<w:r><w:t xml:space="preserve">the boundary was defined by Sir F. Goldsmid&apos;s Commission</w:t></w:r>
</w:p>
<w:p>
<w:pPr><w:pStyle w:val="Normal"/></w:pPr>
<w:r><w:t xml:space="preserve">in 1872 from the Mahk-Siah-Koh to the Helmund Lagoons, and</w:t></w:r>
</w:p>
<w:p>
<w:pPr><w:pStyle w:val="Normal"/></w:pPr>
<w:r><w:t xml:space="preserve">rectified by the Commission under Sir Henry Macmahon in</w:t></w:r>
</w:p>
<w:p>
<w:pPr><w:pStyle w:val="Normal"/></w:pPr>
<w:r><w:t xml:space="preserve">1903-1905.  Beyond these lagoons to Hashtadan it is still</w:t></w:r>
</w:p>
<w:p>
<w:pPr><w:pStyle w:val="Normal"/></w:pPr>
<w:r><w:t xml:space="preserve">indefinite.  The eastern limits of Hashtadan had been previously</w:t></w:r>
</w:p>
<w:p>
<w:pPr><w:pStyle w:val="Normal"/></w:pPr>
<w:r><w:t xml:space="preserve">fixed as far north as the Hari Rud river at Toman Agha.  From</w:t></w:r>
</w:p>
<w:p>
<w:pPr><w:pStyle w:val="Normal"/></w:pPr>
<w:r><w:t xml:space="preserve">this point to Zulfikar the Hari Rud is itself the boundary.</w:t></w:r>
</w:p>
<w:p>
<w:pPr><w:pStyle w:val="Normal"/></w:pPr>
<w:r><w:t xml:space="preserve">Afghan provinces.</w:t></w:r>
</w:p>
<w:p>
<w:pPr><w:pStyle w:val="Normal"/></w:pPr>
<w:r><w:t xml:space="preserve">Within the limits of this boundary Afghanistan comprises</w:t></w:r>
</w:p>
<w:p>
<w:pPr><w:pStyle w:val="Normal"/></w:pPr>
<w:r><w:t xml:space="preserve">four main provinces, Northern Afghanistan or Kabul, Southern</w:t></w:r>
</w:p>
<w:p>
<w:pPr><w:pStyle w:val="Normal"/></w:pPr>
<w:r><w:t xml:space="preserve">Afghanistan or Kandahar, Herat and Afghan Turkestan, together</w:t></w:r>
</w:p>
<w:p>
<w:pPr><w:pStyle w:val="Normal"/></w:pPr>
<w:r><w:t xml:space="preserve">with the minor dependencies of the Ghilzai and Hazara</w:t></w:r>
</w:p>
<w:p>
<w:pPr><w:pStyle w:val="Normal"/></w:pPr>
<w:r><w:t xml:space="preserve">Highlands, Ghazni, Jalalabad and Kafiristan.  All these are</w:t></w:r>
</w:p>
<w:p>
<w:pPr><w:pStyle w:val="Normal"/></w:pPr>
<w:r><w:t xml:space="preserve">described in separate articles.  The kingdom of Kabul is the</w:t></w:r>
</w:p>
<w:p>
<w:pPr><w:pStyle w:val="Normal"/></w:pPr>
<w:r><w:t xml:space="preserve">historic Afghanistan; the link which unites it to Kandahar,</w:t></w:r>
</w:p>
<w:p>
<w:pPr><w:pStyle w:val="Normal"/></w:pPr>
<w:r><w:t xml:space="preserve">Herat and the other outlying provinces having been frequently</w:t></w:r>
</w:p>
<w:p>
<w:pPr><w:pStyle w:val="Normal"/></w:pPr>
<w:r><w:t xml:space="preserve">broken and again restored by amirs of sufficient strength and</w:t></w:r>
</w:p>
<w:p>
<w:pPr><w:pStyle w:val="Normal"/></w:pPr>
<w:r><w:t xml:space="preserve">capability.  The Herat province is largely Persian, while</w:t></w:r>
</w:p>
<w:p>
<w:pPr><w:pStyle w:val="Normal"/></w:pPr>
<w:r><w:t xml:space="preserve">Afghan Turkestan is chiefly Usbeg; and in neither is</w:t></w:r>
</w:p>
<w:p>
<w:pPr><w:pStyle w:val="Normal"/></w:pPr>
<w:r><w:t xml:space="preserve">the sentiment of loyalty to the central government very</w:t></w:r>
</w:p>
<w:p>
<w:pPr><w:pStyle w:val="Normal"/></w:pPr>
<w:r><w:t xml:space="preserve">strong.  The bond is geographical and political rather than</w:t></w:r>
</w:p>
<w:p>
<w:pPr><w:pStyle w:val="Normal"/></w:pPr>
<w:r><w:t xml:space="preserve">racial.  The geographical divisions of the country are created</w:t></w:r>
</w:p>
<w:p>
<w:pPr><w:pStyle w:val="Normal"/></w:pPr>
<w:r><w:t xml:space="preserve">by the basins of its chief rivers, the Kabul, the Helmund,</w:t></w:r>
</w:p>
<w:p>
<w:pPr><w:pStyle w:val="Normal"/></w:pPr>
<w:r><w:t xml:space="preserve">the Hari Rud and the Oxus.  The Kabul river drains Northern</w:t></w:r>
</w:p>
<w:p>
<w:pPr><w:pStyle w:val="Normal"/></w:pPr>
<w:r><w:t xml:space="preserve">Afghanistan, the Hari Rud the province of Herat, and the Oxus</w:t></w:r>
</w:p>
<w:p>
<w:pPr><w:pStyle w:val="Normal"/></w:pPr>
<w:r><w:t xml:space="preserve">that of Afghan Turkestan.  Afghanistan is largely a country</w:t></w:r>
</w:p>
<w:p>
<w:pPr><w:pStyle w:val="Normal"/></w:pPr>
<w:r><w:t xml:space="preserve">of mountains and deserts; but there are wide tracts of highly</w:t></w:r>
</w:p>
<w:p>
<w:pPr><w:pStyle w:val="Normal"/></w:pPr>
<w:r><w:t xml:space="preserve">irrigated and most productive country where fruit is grown in</w:t></w:r>
</w:p>
<w:p>
<w:pPr><w:pStyle w:val="Normal"/></w:pPr>
<w:r><w:t xml:space="preserve">such abundance as to become an important item in the export</w:t></w:r>
</w:p>
<w:p>
<w:pPr><w:pStyle w:val="Normal"/></w:pPr>
<w:r><w:t xml:space="preserve">trade.  The Afghans are expert agriculturists and make profitable</w:t></w:r>
</w:p>
<w:p>
<w:pPr><w:pStyle w:val="Normal"/></w:pPr>
<w:r><w:t xml:space="preserve">use of all the natural sources of water-supply.  As practical</w:t></w:r>
</w:p>
<w:p>
<w:pPr><w:pStyle w:val="Normal"/></w:pPr>
<w:r><w:t xml:space="preserve">irrigation engineers they are only rivalled by the Chinese.</w:t></w:r>
</w:p>
<w:p>
<w:pPr><w:pStyle w:val="Normal"/></w:pPr>
<w:r><w:t xml:space="preserve">Mountain systems.</w:t></w:r>
</w:p>
<w:p>
<w:pPr><w:pStyle w:val="Normal"/></w:pPr>
<w:r><w:t xml:space="preserve">The dominant mountain system of Afghanistan is the Hindu</w:t></w:r>
</w:p>
<w:p>
<w:pPr><w:pStyle w:val="Normal"/></w:pPr>
<w:r><w:t xml:space="preserve">Kush, and that extension westwards of its water-divide which</w:t></w:r>
</w:p>
<w:p>
<w:pPr><w:pStyle w:val="Normal"/></w:pPr>
<w:r><w:t xml:space="preserve">reindicated by the Koh-i-Baba to the north-west of Kabul,</w:t></w:r>
</w:p>
<w:p>
<w:pPr><w:pStyle w:val="Normal"/></w:pPr>
<w:r><w:t xml:space="preserve">and by the Firozkhoi plateau (Karjistan), which merges still</w:t></w:r>
</w:p>
<w:p>
<w:pPr><w:pStyle w:val="Normal"/></w:pPr>
<w:r><w:t xml:space="preserve">farther to the west by gentle gradients into the Paropamisus,</w:t></w:r>
</w:p>
<w:p>
<w:pPr><w:pStyle w:val="Normal"/></w:pPr>
<w:r><w:t xml:space="preserve">and which may be traced across the Hari Rud to Mashad.</w:t></w:r>
</w:p>
<w:p>
<w:pPr><w:pStyle w:val="Normal"/></w:pPr>
<w:r><w:t xml:space="preserve">The culminating peaks of the Koh-i-Baba overlooking the sources</w:t></w:r>
</w:p>
<w:p>
<w:pPr><w:pStyle w:val="Normal"/></w:pPr>
<w:r><w:t xml:space="preserve">of the Hari Rud, the Helmund, the Kunduz and the Kabul very</w:t></w:r>
</w:p>
<w:p>
<w:pPr><w:pStyle w:val="Normal"/></w:pPr>
<w:r><w:t xml:space="preserve">nearly reach 17,000 ft. in height (Shah Fuladi, the highest,</w:t></w:r>
</w:p>
<w:p>
<w:pPr><w:pStyle w:val="Normal"/></w:pPr>
<w:r><w:t xml:space="preserve">is 16,870), and from them to the south-west long spurs divide</w:t></w:r>
</w:p>
<w:p>
<w:pPr><w:pStyle w:val="Normal"/></w:pPr>
<w:r><w:t xml:space="preserve">the upper tributaries of the Helmund, and separate its basin</w:t></w:r>
</w:p>
<w:p>
<w:pPr><w:pStyle w:val="Normal"/></w:pPr>
<w:r><w:t xml:space="preserve">from that of the Farah Rud. These spurs retain a considerable</w:t></w:r>
</w:p>
<w:p>
<w:pPr><w:pStyle w:val="Normal"/></w:pPr>
<w:r><w:t xml:space="preserve">altitude, for they are marked by peaks exceeding 11,000</w:t></w:r>
</w:p>
<w:p>
<w:pPr><w:pStyle w:val="Normal"/></w:pPr>
<w:r><w:t xml:space="preserve">ft.  They sweep in a broad band of roughly parallel ranges to</w:t></w:r>
</w:p>
<w:p>
<w:pPr><w:pStyle w:val="Normal"/></w:pPr>
<w:r><w:t xml:space="preserve">the south-west, preserving their general direction till they</w:t></w:r>
</w:p>
<w:p>
<w:pPr><w:pStyle w:val="Normal"/></w:pPr>
<w:r><w:t xml:space="preserve">abut on the Great Registan desert to the west of Kandahar,</w:t></w:r>
</w:p>
<w:p>
<w:pPr><w:pStyle w:val="Normal"/></w:pPr>
<w:r><w:t xml:space="preserve">where they terminate in a series of detached and broken</w:t></w:r>
</w:p>
<w:p>
<w:pPr><w:pStyle w:val="Normal"/></w:pPr>
<w:r><w:t xml:space="preserve">anticlinals whose sides are swept by a sea of encroaching</w:t></w:r>
</w:p>
<w:p>
<w:pPr><w:pStyle w:val="Normal"/></w:pPr>
<w:r><w:t xml:space="preserve">sand.  The long, straight, level-backed ridges which divide</w:t></w:r>
</w:p>
<w:p>
<w:pPr><w:pStyle w:val="Normal"/></w:pPr>
<w:r><w:t xml:space="preserve">the Argandab, the Tarnak and Arghastan valleys, and flank the</w:t></w:r>
</w:p>
<w:p>
<w:pPr><w:pStyle w:val="Normal"/></w:pPr>
<w:r><w:t xml:space="preserve">route from Kandaharto Ghazni. determining the direction of</w:t></w:r>
</w:p>
<w:p>
<w:pPr><w:pStyle w:val="Normal"/></w:pPr>
<w:r><w:t xml:space="preserve">that route, are outliers of this system, which geographically</w:t></w:r>
</w:p>
<w:p>
<w:pPr><w:pStyle w:val="Normal"/></w:pPr>
<w:r><w:t xml:space="preserve">includes the Khojak, or Kwaja Amran, range in Baluchistan.</w:t></w:r>
</w:p>
<w:p>
<w:pPr><w:pStyle w:val="Normal"/></w:pPr>
<w:r><w:t xml:space="preserve">North of the main water-parting of Afghanistan the broad synclinal</w:t></w:r>
</w:p>
<w:p>
<w:pPr><w:pStyle w:val="Normal"/></w:pPr>
<w:r><w:t xml:space="preserve">plateau into which the Hindu Kush is merged is traversed by</w:t></w:r>
</w:p>
<w:p>
<w:pPr><w:pStyle w:val="Normal"/></w:pPr>
<w:r><w:t xml:space="preserve">the gorges of the Saighan, Bamian and Kamard tributaries of the</w:t></w:r>
</w:p>
<w:p>
<w:pPr><w:pStyle w:val="Normal"/></w:pPr>
<w:r><w:t xml:space="preserve">Kunduz, and farther to the west by the Band-i-Amir or Balkh</w:t></w:r>
</w:p>
<w:p>
<w:pPr><w:pStyle w:val="Normal"/></w:pPr>
<w:r><w:t xml:space="preserve">river.  Between the debouchment of the Upper Murghab from</w:t></w:r>
</w:p>
<w:p>
<w:pPr><w:pStyle w:val="Normal"/></w:pPr>
<w:r><w:t xml:space="preserve">the Firozkhoi uplands into the comparatively low level of</w:t></w:r>
</w:p>
<w:p>
<w:pPr><w:pStyle w:val="Normal"/></w:pPr>
<w:r><w:t xml:space="preserve">the valley above Bala Murghab, extending eastwards in a</w:t></w:r>
</w:p>
<w:p>
<w:pPr><w:pStyle w:val="Normal"/></w:pPr>
<w:r><w:t xml:space="preserve">nearly straight line to the upper sources of the Shibarghan</w:t></w:r>
</w:p>
<w:p>
<w:pPr><w:pStyle w:val="Normal"/></w:pPr>
<w:r><w:t xml:space="preserve">stream, the Band-i-Turkestan range forms the northern ridge</w:t></w:r>
</w:p>
<w:p>
<w:pPr><w:pStyle w:val="Normal"/></w:pPr>
<w:r><w:t xml:space="preserve">between the plateau and the sand formations of the Chul. lt</w:t></w:r>
</w:p>
<w:p>
<w:pPr><w:pStyle w:val="Normal"/></w:pPr>
<w:r><w:t xml:space="preserve">is a level, straight-backed line of sombre mountain ridge,</w:t></w:r>
</w:p>
<w:p>
<w:pPr><w:pStyle w:val="Normal"/></w:pPr>
<w:r><w:t xml:space="preserve">from the crest of which, as from a wall, the extraordinary</w:t></w:r>
</w:p>
<w:p>
<w:pPr><w:pStyle w:val="Normal"/></w:pPr>
<w:r><w:t xml:space="preserve">configuration of that immense loess deposit called the Chul</w:t></w:r>
</w:p>
<w:p>
<w:pPr><w:pStyle w:val="Normal"/></w:pPr>
<w:r><w:t xml:space="preserve">can be seen stretching away northwards to the Oxus--ridge</w:t></w:r>
</w:p>
<w:p>
<w:pPr><w:pStyle w:val="Normal"/></w:pPr>
<w:r><w:t xml:space="preserve">upon ridge, wave upon wave, like a vast yellow-grey sea of</w:t></w:r>
</w:p>
<w:p>
<w:pPr><w:pStyle w:val="Normal"/></w:pPr>
<w:r><w:t xml:space="preserve">storm-twisted billows.  The Band-i-Turkestan anticlinal may</w:t></w:r>
</w:p>
<w:p>
<w:pPr><w:pStyle w:val="Normal"/></w:pPr>
<w:r><w:t xml:space="preserve">be traced eastwards of the Balkh-ab (the Band-i-Amir) within</w:t></w:r>
</w:p>
<w:p>
<w:pPr><w:pStyle w:val="Normal"/></w:pPr>
<w:r><w:t xml:space="preserve">the folds of the Kara Koh to the Kunduz, and beyond; but</w:t></w:r>
</w:p>
<w:p>
<w:pPr><w:pStyle w:val="Normal"/></w:pPr>
<w:r><w:t xml:space="preserve">the Kara Koh does not mark the northern wall of the great</w:t></w:r>
</w:p>
<w:p>
<w:pPr><w:pStyle w:val="Normal"/></w:pPr>
<w:r><w:t xml:space="preserve">plateau nor overlook the sands of the Oxus plain, as does the</w:t></w:r>
</w:p>
<w:p>
<w:pPr><w:pStyle w:val="Normal"/></w:pPr>
<w:r><w:t xml:space="preserve">Band-i-Turkestan.  Here there intervenes a second wide synclinal</w:t></w:r>
</w:p>
<w:p>
<w:pPr><w:pStyle w:val="Normal"/></w:pPr>
<w:r><w:t xml:space="preserve">plateau, of which the northern edge is defined n1y the</w:t></w:r>
</w:p>
<w:p>
<w:pPr><w:pStyle w:val="Normal"/></w:pPr>
<w:r><w:t xml:space="preserve">fiat outlines of the Elburz to the south of Mazar-itsharif,</w:t></w:r>
</w:p>
<w:p>
<w:pPr><w:pStyle w:val="Normal"/></w:pPr>
<w:r><w:t xml:space="preserve">and immediately at the foot of this range lie the alluvial</w:t></w:r>
</w:p>
<w:p>
<w:pPr><w:pStyle w:val="Normal"/></w:pPr>
<w:r><w:t xml:space="preserve">plains of Mazar and Tashkurghan.  Opposite Tashkurghan the</w:t></w:r>
</w:p>
<w:p>
<w:pPr><w:pStyle w:val="Normal"/></w:pPr>
<w:r><w:t xml:space="preserve">Oxus plain narrows to a short 25 m.  On the south this great</w:t></w:r>
</w:p>
<w:p>
<w:pPr><w:pStyle w:val="Normal"/></w:pPr>
<w:r><w:t xml:space="preserve">band of roughly undulatine central plateau is bounded by the</w:t></w:r>
</w:p>
<w:p>
<w:pPr><w:pStyle w:val="Normal"/></w:pPr>
<w:r><w:t xml:space="preserve">Koh-i-Baba, to the west of Kabul, and by the Hindu Kush to</w:t></w:r>
</w:p>
<w:p>
<w:pPr><w:pStyle w:val="Normal"/></w:pPr>
<w:r><w:t xml:space="preserve">the north and north-east of that city.  Thus the main routes</w:t></w:r>
</w:p>
<w:p>
<w:pPr><w:pStyle w:val="Normal"/></w:pPr>
<w:r><w:t xml:space="preserve">from Kabul to Afghan Turkestan must cross either one or</w:t></w:r>
</w:p>
<w:p>
<w:pPr><w:pStyle w:val="Normal"/></w:pPr>
<w:r><w:t xml:space="preserve">other of these ranges, and must traverse one or other of the</w:t></w:r>
</w:p>
<w:p>
<w:pPr><w:pStyle w:val="Normal"/></w:pPr>
<w:r><w:t xml:space="preserve">terrific defiles which have been carved out of them by the</w:t></w:r>
</w:p>
<w:p>
<w:pPr><w:pStyle w:val="Normal"/></w:pPr>
<w:r><w:t xml:space="preserve">upoer tributaries of the rivers running northwards towards the</w:t></w:r>
</w:p>
<w:p>
<w:pPr><w:pStyle w:val="Normal"/></w:pPr>
<w:r><w:t xml:space="preserve">Oxus.  Probably in no country in the world are there gathered</w:t></w:r>
</w:p>
<w:p>
<w:pPr><w:pStyle w:val="Normal"/></w:pPr>
<w:r><w:t xml:space="preserve">together within comparatively narrow limits so many clean-cut</w:t></w:r>
</w:p>
<w:p>
<w:pPr><w:pStyle w:val="Normal"/></w:pPr>
<w:r><w:t xml:space="preserve">waterways, measuring thousands of feet in depth, affording</w:t></w:r>
</w:p>
<w:p>
<w:pPr><w:pStyle w:val="Normal"/></w:pPr>
<w:r><w:t xml:space="preserve">such a stupendous system of narrow roadways through the hills.</w:t></w:r>
</w:p>
<w:p>
<w:pPr><w:pStyle w:val="Normal"/></w:pPr>
<w:r><w:t xml:space="preserve">After the Hindu Kush and the Turkestan mountains, that range</w:t></w:r>
</w:p>
<w:p>
<w:pPr><w:pStyle w:val="Normal"/></w:pPr>
<w:r><w:t xml:space="preserve">which divides Ningrahar (or the valley of ialalabad) from</w:t></w:r>
</w:p>
<w:p>
<w:pPr><w:pStyle w:val="Normal"/></w:pPr>
<w:r><w:t xml:space="preserve">Kurram and the Afridi Tirah, and is called Safed Koh (also</w:t></w:r>
</w:p>
<w:p>
<w:pPr><w:pStyle w:val="Normal"/></w:pPr>
<w:r><w:t xml:space="preserve">the name of the range south of the Hari Rud), is the most</w:t></w:r>
</w:p>
<w:p>
<w:pPr><w:pStyle w:val="Normal"/></w:pPr>
<w:r><w:t xml:space="preserve">important, as it is the most impressive, in Afghanistan.</w:t></w:r>
</w:p>
<w:p>
<w:pPr><w:pStyle w:val="Normal"/></w:pPr>
<w:r><w:t xml:space="preserve">The highest peak of the Safed Koh, Sikaram, is 15,600 ft. above</w:t></w:r>
</w:p>
<w:p>
<w:pPr><w:pStyle w:val="Normal"/></w:pPr>
<w:r><w:t xml:space="preserve">sea-level.  From this central dominating peak it falls gently</w:t></w:r>
</w:p>
<w:p>
<w:pPr><w:pStyle w:val="Normal"/></w:pPr>
<w:r><w:t xml:space="preserve">towards the west, and gradually subsides in long spurs,</w:t></w:r>
</w:p>
<w:p>
<w:pPr><w:pStyle w:val="Normal"/></w:pPr>
<w:r><w:t xml:space="preserve">reaching to within a few miles of Kabul and barring the road</w:t></w:r>
</w:p>
<w:p>
<w:pPr><w:pStyle w:val="Normal"/></w:pPr>
<w:r><w:t xml:space="preserve">from Kabul to Ghazni.  At a point which is not far east of</w:t></w:r>
</w:p>
<w:p>
<w:pPr><w:pStyle w:val="Normal"/></w:pPr>
<w:r><w:t xml:space="preserve">the Kabul meridian an offshoot is directed southwards, which</w:t></w:r>
</w:p>
<w:p>
<w:pPr><w:pStyle w:val="Normal"/></w:pPr>
<w:r><w:t xml:space="preserve">becomes the water-parting between the Kurram and the Logar at</w:t></w:r>
</w:p>
<w:p>
<w:pPr><w:pStyle w:val="Normal"/></w:pPr>
<w:r><w:t xml:space="preserve">Shutargardan, and can be traced to a connexion with the great</w:t></w:r>
</w:p>
<w:p>
<w:pPr><w:pStyle w:val="Normal"/></w:pPr>
<w:r><w:t xml:space="preserve">watershed of the frontier dividing the Indus basin from that</w:t></w:r>
</w:p>
<w:p>
<w:pPr><w:pStyle w:val="Normal"/></w:pPr>
<w:r><w:t xml:space="preserve">of the Helmund.  This main watershed retains its high altitude</w:t></w:r>
</w:p>
<w:p>
<w:pPr><w:pStyle w:val="Normal"/></w:pPr>
<w:r><w:t xml:space="preserve">far to the south.  There are peaks measuring over 12,000</w:t></w:r>
</w:p>
<w:p>
<w:pPr><w:pStyle w:val="Normal"/></w:pPr>
<w:r><w:t xml:space="preserve">ft. on the divide between the Tochi and the Ghazni plains.</w:t></w:r>
</w:p>
<w:p>
<w:pPr><w:pStyle w:val="Normal"/></w:pPr>
<w:r><w:t xml:space="preserve">So far as we know at present the geological history of Afghanistan</w:t></w:r>
</w:p>
<w:p>
<w:pPr><w:pStyle w:val="Normal"/></w:pPr>
<w:r><w:t xml:space="preserve">differs widely from that of India.  When, somewhere at the</w:t></w:r>
</w:p>
<w:p>
<w:pPr><w:pStyle w:val="Normal"/></w:pPr>
<w:r><w:t xml:space="preserve">commencement of the Cretaceous period, the peninsula of India</w:t></w:r>
</w:p>
<w:p>
<w:pPr><w:pStyle w:val="Normal"/></w:pPr>
<w:r><w:t xml:space="preserve">was connected by land with Madagascar and Southern Africa, all</w:t></w:r>
</w:p>
<w:p>
<w:pPr><w:pStyle w:val="Normal"/></w:pPr>
<w:r><w:t xml:space="preserve">Afghanistan, Baluchistan and Persia formed part of an area</w:t></w:r>
</w:p>
<w:p>
<w:pPr><w:pStyle w:val="Normal"/></w:pPr>
<w:r><w:t xml:space="preserve">which was not continuously below sea-level, but exhibited</w:t></w:r>
</w:p>
<w:p>
<w:pPr><w:pStyle w:val="Normal"/></w:pPr>
<w:r><w:t xml:space="preserve">alternations of land and sea.  The end of the Cretaceous</w:t></w:r>
</w:p>
<w:p>
<w:pPr><w:pStyle w:val="Normal"/></w:pPr>
<w:r><w:t xml:space="preserve">period saw the beginning of a series of great earth movements</w:t></w:r>
</w:p>
<w:p>
<w:pPr><w:pStyle w:val="Normal"/></w:pPr>
<w:r><w:t xml:space="preserve">ushered in by volcanic eruptions on a scale such as the earth</w:t></w:r>
</w:p>
<w:p>
<w:pPr><w:pStyle w:val="Normal"/></w:pPr>
<w:r><w:t xml:space="preserve">has never since witnessed, which resulted in the upheaval</w:t></w:r>
</w:p>
<w:p>
<w:pPr><w:pStyle w:val="Normal"/></w:pPr>
<w:r><w:t xml:space="preserve">of the Himalayas by a process of crushing and folding of the</w:t></w:r>
</w:p>
<w:p>
<w:pPr><w:pStyle w:val="Normal"/></w:pPr>
<w:r><w:t xml:space="preserve">sedimentary rocks till marine fossils were forced to an altitude</w:t></w:r>
</w:p>
<w:p>
<w:pPr><w:pStyle w:val="Normal"/></w:pPr>
<w:r><w:t xml:space="preserve">of 20,000 ft. above the sea.  It was not till the Tertiary</w:t></w:r>
</w:p>
<w:p>
<w:pPr><w:pStyle w:val="Normal"/></w:pPr>
<w:r><w:t xml:space="preserve">age, and even late in that age, that much of the land area of</w:t></w:r>
</w:p>
<w:p>
<w:pPr><w:pStyle w:val="Normal"/></w:pPr>
<w:r><w:t xml:space="preserve">Afghanistan was raised above the sea-level.  Then the ocean</w:t></w:r>
</w:p>
<w:p>
<w:pPr><w:pStyle w:val="Normal"/></w:pPr>
<w:r><w:t xml:space="preserve">gradually retired into the great Central Asian depressions.</w:t></w:r>
</w:p>
<w:p>
<w:pPr><w:pStyle w:val="Normal"/></w:pPr>
<w:r><w:t xml:space="preserve">Everywhere there have been great and constant changes of</w:t></w:r>
</w:p>
<w:p>
<w:pPr><w:pStyle w:val="Normal"/></w:pPr>
<w:r><w:t xml:space="preserve">level since that period, and the process of flexure and the</w:t></w:r>
</w:p>
<w:p>
<w:pPr><w:pStyle w:val="Normal"/></w:pPr>
<w:r><w:t xml:space="preserve">formation of anticlinals traversing the northern districts of</w:t></w:r>
</w:p>
<w:p>
<w:pPr><w:pStyle w:val="Normal"/></w:pPr>
<w:r><w:t xml:space="preserve">Afghanistan is a process which is still in action.  So rapid</w:t></w:r>
</w:p>
<w:p>
<w:pPr><w:pStyle w:val="Normal"/></w:pPr>
<w:r><w:t xml:space="preserve">has been the land elevation of Central Afghanistan that the</w:t></w:r>
</w:p>
<w:p>
<w:pPr><w:pStyle w:val="Normal"/></w:pPr>
<w:r><w:t xml:space="preserve">erosive action of rivers has not been nble to keep pace with</w:t></w:r>
</w:p>
<w:p>
<w:pPr><w:pStyle w:val="Normal"/></w:pPr>
<w:r><w:t xml:space="preserve">that of upheaval; and the result all through Afghanistan (but</w:t></w:r>
</w:p>
<w:p>
<w:pPr><w:pStyle w:val="Normal"/></w:pPr>
<w:r><w:t xml:space="preserve">specially marked in the great central highlands between Kabul</w:t></w:r>
</w:p>
<w:p>
<w:pPr><w:pStyle w:val="Normal"/></w:pPr>
<w:r><w:t xml:space="preserve">and Herat) is the formation of those immensely deep gorges</w:t></w:r>
</w:p>
<w:p>
<w:pPr><w:pStyle w:val="Normal"/></w:pPr>
<w:r><w:t xml:space="preserve">and defiles which are locally known as daras. One of these,</w:t></w:r>
</w:p>
<w:p>
<w:pPr><w:pStyle w:val="Normal"/></w:pPr>
<w:r><w:t xml:space="preserve">in the Astarab, to the south-east of Maimana, is but 30 yds.</w:t></w:r>
</w:p>
<w:p>
<w:pPr><w:pStyle w:val="Normal"/></w:pPr>
<w:r><w:t xml:space="preserve">wide, and is enclosed between perpendicular limestone cliffs</w:t></w:r>
</w:p>
<w:p>
<w:pPr><w:pStyle w:val="Normal"/></w:pPr>
<w:r><w:t xml:space="preserve">1500 ft. high.  C. L. Griesbach considers that the general</w:t></w:r>
</w:p>
<w:p>
<w:pPr><w:pStyle w:val="Normal"/></w:pPr>
<w:r><w:t xml:space="preserve">outline of the land configuration has remained much the same</w:t></w:r>
</w:p>
<w:p>
<w:pPr><w:pStyle w:val="Normal"/></w:pPr>
<w:r><w:t xml:space="preserve">since Pliocene times, and that the force which brought about</w:t></w:r>
</w:p>
<w:p>
<w:pPr><w:pStyle w:val="Normal"/></w:pPr>
<w:r><w:t xml:space="preserve">the wrinkling of the older deposits still continues to add</w:t></w:r>
</w:p>
<w:p>
<w:pPr><w:pStyle w:val="Normal"/></w:pPr>
<w:r><w:t xml:space="preserve">fold on fold.  The highlands which shut off the Turkestan</w:t></w:r>
</w:p>
<w:p>
<w:pPr><w:pStyle w:val="Normal"/></w:pPr>
<w:r><w:t xml:space="preserve">provinces from Southern Afghanistan have afforded the best</w:t></w:r>
</w:p>
<w:p>
<w:pPr><w:pStyle w:val="Normal"/></w:pPr>
<w:r><w:t xml:space="preserve">opportunities for geological investigation, and as might</w:t></w:r>
</w:p>
<w:p>
<w:pPr><w:pStyle w:val="Normal"/></w:pPr>
<w:r><w:t xml:space="preserve">be expected from their geographical position, the general</w:t></w:r>
</w:p>
<w:p>
<w:pPr><w:pStyle w:val="Normal"/></w:pPr>
<w:r><w:t xml:space="preserve">result of the examination of exposed sections leads to</w:t></w:r>
</w:p>
<w:p>
<w:pPr><w:pStyle w:val="Normal"/></w:pPr>
<w:r><w:t xml:space="preserve">the identification of geoloeical affinity with Himalayan,</w:t></w:r>
</w:p>
<w:p>
<w:pPr><w:pStyle w:val="Normal"/></w:pPr>
<w:r><w:t xml:space="preserve">Indian and Persian regions.  The general configuration</w:t></w:r>
</w:p>
<w:p>
<w:pPr><w:pStyle w:val="Normal"/></w:pPr>
<w:r><w:t xml:space="preserve">of the Turkestan highlands has been already indicated.</w:t></w:r>
</w:p>
<w:p>
<w:pPr><w:pStyle w:val="Normal"/></w:pPr>
<w:r><w:t xml:space="preserve">Against the last great fold which terminates this mountain</w:t></w:r>
</w:p>
<w:p>
<w:pPr><w:pStyle w:val="Normal"/></w:pPr>
<w:r><w:t xml:space="preserve">area northwards are ranged the Tertiaries and recent</w:t></w:r>
</w:p>
<w:p>
<w:pPr><w:pStyle w:val="Normal"/></w:pPr>
<w:r><w:t xml:space="preserve">deposits.  North of Maimana they form low undulating loess</w:t></w:r>
</w:p>
<w:p>
<w:pPr><w:pStyle w:val="Normal"/></w:pPr>
<w:r><w:t xml:space="preserve">hills, in which most of the Band-i-Turkestan drainage is</w:t></w:r>
</w:p>
<w:p>
<w:pPr><w:pStyle w:val="Normal"/></w:pPr>
<w:r><w:t xml:space="preserve">lost.  This wide-spreading loess area, formed partly of</w:t></w:r>
</w:p>
<w:p>
<w:pPr><w:pStyle w:val="Normal"/></w:pPr>
<w:r><w:t xml:space="preserve">wind-blown sand and partly of detritus from the mountains, is</w:t></w:r>
</w:p>
<w:p>
<w:pPr><w:pStyle w:val="Normal"/></w:pPr>
<w:r><w:t xml:space="preserve">known as Chul, and merges into the great plains south of the</w:t></w:r>
</w:p>
<w:p>
<w:pPr><w:pStyle w:val="Normal"/></w:pPr>
<w:r><w:t xml:space="preserve">Oxus river, a great part of which is covered with modern aerial</w:t></w:r>
</w:p>
<w:p>
<w:pPr><w:pStyle w:val="Normal"/></w:pPr>
<w:r><w:t xml:space="preserve">deposits.  Beneath this Chul formation the older beds of</w:t></w:r>
</w:p>
<w:p>
<w:pPr><w:pStyle w:val="Normal"/></w:pPr>
<w:r><w:t xml:space="preserve">the outer and Turkestan ranges dip and pass to an irregular</w:t></w:r>
</w:p>
<w:p>
<w:pPr><w:pStyle w:val="Normal"/></w:pPr>
<w:r><w:t xml:space="preserve">outcrop near the banks of the Oxus.  Between the Oxus and the</w:t></w:r>
</w:p>
<w:p>
<w:pPr><w:pStyle w:val="Normal"/></w:pPr>
<w:r><w:t xml:space="preserve">hills there has already been formed a rise or flexure in the</w:t></w:r>
</w:p>
<w:p>
<w:pPr><w:pStyle w:val="Normal"/></w:pPr>
<w:r><w:t xml:space="preserve">ground, which extends more or less parallel to the northern</w:t></w:r>
</w:p>
<w:p>
<w:pPr><w:pStyle w:val="Normal"/></w:pPr>
<w:r><w:t xml:space="preserve">edge of the hills, and, shuttinr in the cultivated area of the</w:t></w:r>
</w:p>
<w:p>
<w:pPr><w:pStyle w:val="Normal"/></w:pPr>
<w:r><w:t xml:space="preserve">plains, arrests all tributaries seeking to effect a junction</w:t></w:r>
</w:p>
<w:p>
<w:pPr><w:pStyle w:val="Normal"/></w:pPr>
<w:r><w:t xml:space="preserve">with the Oxus from the south, and leads to the formation</w:t></w:r>
</w:p>
<w:p>
<w:pPr><w:pStyle w:val="Normal"/></w:pPr>
<w:r><w:t xml:space="preserve">of marshes and swamps.  This appears to be the beginning of</w:t></w:r>
</w:p>
<w:p>
<w:pPr><w:pStyle w:val="Normal"/></w:pPr>
<w:r><w:t xml:space="preserve">a new anticlinal which has altered the levels of the Balkh</w:t></w:r>
</w:p>
<w:p>
<w:pPr><w:pStyle w:val="Normal"/></w:pPr>
<w:r><w:t xml:space="preserve">plain, and is indicative of those elevating processes which</w:t></w:r>
</w:p>
<w:p>
<w:pPr><w:pStyle w:val="Normal"/></w:pPr>
<w:r><w:t xml:space="preserve">may have been effective within historic times in changing</w:t></w:r>
</w:p>
<w:p>
<w:pPr><w:pStyle w:val="Normal"/></w:pPr>
<w:r><w:t xml:space="preserve">the climate and the agricultural prospects of this part</w:t></w:r>
</w:p>
<w:p>
<w:pPr><w:pStyle w:val="Normal"/></w:pPr>
<w:r><w:t xml:space="preserve">of Central Asia.  The Oxus itself is steadily encroaching</w:t></w:r>
</w:p>
<w:p>
<w:pPr><w:pStyle w:val="Normal"/></w:pPr>
<w:r><w:t xml:space="preserve">on its right banks and depositing detritus on the left.</w:t></w:r>
</w:p>
<w:p>
<w:pPr><w:pStyle w:val="Normal"/></w:pPr>
<w:r><w:t xml:space="preserve">No fresh discoveries of minerals likely to be of hich</w:t></w:r>
</w:p>
<w:p>
<w:pPr><w:pStyle w:val="Normal"/></w:pPr>
<w:r><w:t xml:space="preserve">economic value to Afghanistan have been made of late</w:t></w:r>
</w:p>
<w:p>
<w:pPr><w:pStyle w:val="Normal"/></w:pPr>
<w:r><w:t xml:space="preserve">years.  Such as are known and worked at present have been</w:t></w:r>
</w:p>
<w:p>
<w:pPr><w:pStyle w:val="Normal"/></w:pPr>
<w:r><w:t xml:space="preserve">worked from very ancient times, and their capacity is not</w:t></w:r>
</w:p>
<w:p>
<w:pPr><w:pStyle w:val="Normal"/></w:pPr>
<w:r><w:t xml:space="preserve">likely to develop greatly under the Kabul government.  The</w:t></w:r>
</w:p>
<w:p>
<w:pPr><w:pStyle w:val="Normal"/></w:pPr>
<w:r><w:t xml:space="preserve">most important feature in this connexion which was noted</w:t></w:r>
</w:p>
<w:p>
<w:pPr><w:pStyle w:val="Normal"/></w:pPr>
<w:r><w:t xml:space="preserve">by the geologist of the Russo-Afghan Commission is the</w:t></w:r>
</w:p>
<w:p>
<w:pPr><w:pStyle w:val="Normal"/></w:pPr>
<w:r><w:t xml:space="preserve">existence of vast coal beds in northern Afghanistan.  In 1903</w:t></w:r>
</w:p>
<w:p>
<w:pPr><w:pStyle w:val="Normal"/></w:pPr>
<w:r><w:t xml:space="preserve">some coal mines were discovered in the Jagdalak districts.</w:t></w:r>
</w:p>
<w:p>
<w:pPr><w:pStyle w:val="Normal"/></w:pPr>
<w:r><w:t xml:space="preserve">There are no glaciers now to be found in Afghan Turkestan; but</w:t></w:r>
</w:p>
<w:p>
<w:pPr><w:pStyle w:val="Normal"/></w:pPr>
<w:r><w:t xml:space="preserve">evidences of their recent existence are abundant.  The great</w:t></w:r>
</w:p>
<w:p>
<w:pPr><w:pStyle w:val="Normal"/></w:pPr>
<w:r><w:t xml:space="preserve">boulder bed terraces in some of the valleys of the northern</w:t></w:r>
</w:p>
<w:p>
<w:pPr><w:pStyle w:val="Normal"/></w:pPr>
<w:r><w:t xml:space="preserve">slopes of the Ferozkhoi plateau are probably of glacial</w:t></w:r>
</w:p>
<w:p>
<w:pPr><w:pStyle w:val="Normal"/></w:pPr>
<w:r><w:t xml:space="preserve">origin.  In the mountains west of Kabul glaciers have</w:t></w:r>
</w:p>
<w:p>
<w:pPr><w:pStyle w:val="Normal"/></w:pPr>
<w:r><w:t xml:space="preserve">retired, leaving the moraines perfectly undisturbed.  They</w:t></w:r>
</w:p>
<w:p>
<w:pPr><w:pStyle w:val="Normal"/></w:pPr>
<w:r><w:t xml:space="preserve">are probably contemporary with the older alluvia. (T. H. H.*)</w:t></w:r>
</w:p>
<w:p>
<w:pPr><w:pStyle w:val="Normal"/></w:pPr>
<w:r><w:t xml:space="preserve">Rocks.</w:t></w:r>
</w:p>
<w:p>
<w:pPr><w:pStyle w:val="Normal"/></w:pPr>
<w:r><w:t xml:space="preserve">The oldest rocks which have yet been identified 1 in Afghanistan</w:t></w:r>
</w:p>
<w:p>
<w:pPr><w:pStyle w:val="Normal"/></w:pPr>
<w:r><w:t xml:space="preserve">occur along the axis of the main watershed, and have been</w:t></w:r>
</w:p>
<w:p>
<w:pPr><w:pStyle w:val="Normal"/></w:pPr>
<w:r><w:t xml:space="preserve">referred to the Carboniferous.  At Robat-i-Pai near Herat, for</w:t></w:r>
</w:p>
<w:p>
<w:pPr><w:pStyle w:val="Normal"/></w:pPr>
<w:r><w:t xml:space="preserve">example, there is a dark Productus limestone which seems</w:t></w:r>
</w:p>
<w:p>
<w:pPr><w:pStyle w:val="Normal"/></w:pPr>
<w:r><w:t xml:space="preserve">to be identical with the Productus limestone of the Central</w:t></w:r>
</w:p>
<w:p>
<w:pPr><w:pStyle w:val="Normal"/></w:pPr>
<w:r><w:t xml:space="preserve">Himalayas.  These beds are conformably succeeded, along the</w:t></w:r>
</w:p>
<w:p>
<w:pPr><w:pStyle w:val="Normal"/></w:pPr>
<w:r><w:t xml:space="preserve">Central Asian watershed, by a continuous series of strata</w:t></w:r>
</w:p>
<w:p>
<w:pPr><w:pStyle w:val="Normal"/></w:pPr>
<w:r><w:t xml:space="preserve">which apparently represent the Permian, Trias and Jurassic of</w:t></w:r>
</w:p>
<w:p>
<w:pPr><w:pStyle w:val="Normal"/></w:pPr>
<w:r><w:t xml:space="preserve">Europe.  They consist of marine beds alternating with</w:t></w:r>
</w:p>
<w:p>
<w:pPr><w:pStyle w:val="Normal"/></w:pPr>
<w:r><w:t xml:space="preserve">freshwater and littoral deposits, together with plant beds</w:t></w:r>
</w:p>
<w:p>
<w:pPr><w:pStyle w:val="Normal"/></w:pPr>
<w:r><w:t xml:space="preserve">and coal-scarns of considerable thickness.  The lowest beds</w:t></w:r>
</w:p>
<w:p>
<w:pPr><w:pStyle w:val="Normal"/></w:pPr>
<w:r><w:t xml:space="preserve">of this series, which from their position may belong either</w:t></w:r>
</w:p>
<w:p>
<w:pPr><w:pStyle w:val="Normal"/></w:pPr>
<w:r><w:t xml:space="preserve">to the Permian or to the upper part of the Carboniferous,</w:t></w:r>
</w:p>
<w:p>
<w:pPr><w:pStyle w:val="Normal"/></w:pPr>
<w:r><w:t xml:space="preserve">have yielded no recognizable fossils; but they include a</w:t></w:r>
</w:p>
<w:p>
<w:pPr><w:pStyle w:val="Normal"/></w:pPr>
<w:r><w:t xml:space="preserve">conglomerate which closely resembles the boulder bed near the</w:t></w:r>
</w:p>
<w:p>
<w:pPr><w:pStyle w:val="Normal"/></w:pPr>
<w:r><w:t xml:space="preserve">base of the Talchir series in India.  The Upper Trias has been</w:t></w:r>
</w:p>
<w:p>
<w:pPr><w:pStyle w:val="Normal"/></w:pPr>
<w:r><w:t xml:space="preserve">definitely identified by the occurrence of Halobia and other</w:t></w:r>
</w:p>
<w:p>
<w:pPr><w:pStyle w:val="Normal"/></w:pPr>
<w:r><w:t xml:space="preserve">fossils; while in the higher beds of the series marine forms</w:t></w:r>
</w:p>
<w:p>
<w:pPr><w:pStyle w:val="Normal"/></w:pPr>
<w:r><w:t xml:space="preserve">belonging to the middle and upper Jurassic have been found.</w:t></w:r>
</w:p>
<w:p>
<w:pPr><w:pStyle w:val="Normal"/></w:pPr>
<w:r><w:t xml:space="preserve">The plant beds occur at several horizons, and among the</w:t></w:r>
</w:p>
<w:p>
<w:pPr><w:pStyle w:val="Normal"/></w:pPr>
<w:r><w:t xml:space="preserve">remains which have been found in them are several forms</w:t></w:r>
</w:p>
<w:p>
<w:pPr><w:pStyle w:val="Normal"/></w:pPr>
<w:r><w:t xml:space="preserve">which occur also in the Gondwana beds of India.  There can</w:t></w:r>
</w:p>
<w:p>
<w:pPr><w:pStyle w:val="Normal"/></w:pPr>
<w:r><w:t xml:space="preserve">be no doubt that the series as a whole is the equivalent</w:t></w:r>
</w:p>
<w:p>
<w:pPr><w:pStyle w:val="Normal"/></w:pPr>
<w:r><w:t xml:space="preserve">of the Gondwana system, and when the country has been</w:t></w:r>
</w:p>
<w:p>
<w:pPr><w:pStyle w:val="Normal"/></w:pPr>
<w:r><w:t xml:space="preserve">more closely examined the association of marine fossils</w:t></w:r>
</w:p>
<w:p>
<w:pPr><w:pStyle w:val="Normal"/></w:pPr>
<w:r><w:t xml:space="preserve">with Gondwana plants will be of the greatest value in</w:t></w:r>
</w:p>
<w:p>
<w:pPr><w:pStyle w:val="Normal"/></w:pPr>
<w:r><w:t xml:space="preserve">determining the precise homotaxis of the Indian deposits.</w:t></w:r>
</w:p>
<w:p>
<w:pPr><w:pStyle w:val="Normal"/></w:pPr>
<w:r><w:t xml:space="preserve">The Jurassic beds are followed, generally with perfect</w:t></w:r>
</w:p>
<w:p>
<w:pPr><w:pStyle w:val="Normal"/></w:pPr>
<w:r><w:t xml:space="preserve">conformity, by the Cretaceous, which covers a large part of</w:t></w:r>
</w:p>
<w:p>
<w:pPr><w:pStyle w:val="Normal"/></w:pPr>
<w:r><w:t xml:space="preserve">Afghan Turkestan and probably forms the greater part of the</w:t></w:r>
</w:p>
<w:p>
<w:pPr><w:pStyle w:val="Normal"/></w:pPr>
<w:r><w:t xml:space="preserve">ranges which run south and south-west from the principal</w:t></w:r>
</w:p>
<w:p>
<w:pPr><w:pStyle w:val="Normal"/></w:pPr>
<w:r><w:t xml:space="preserve">watershed.  The lowest beds consist of red grits which contain</w:t></w:r>
</w:p>
<w:p>
<w:pPr><w:pStyle w:val="Normal"/></w:pPr>
<w:r><w:t xml:space="preserve">Neocomian fossils, while the middle and upper Cretaceous</w:t></w:r>
</w:p>
<w:p>
<w:pPr><w:pStyle w:val="Normal"/></w:pPr>
<w:r><w:t xml:space="preserve">consist chiefly of limestone and chalk.  The entire system</w:t></w:r>
</w:p>
<w:p>
<w:pPr><w:pStyle w:val="Normal"/></w:pPr>
<w:r><w:t xml:space="preserve">may be represented in the west, but in the Herat province</w:t></w:r>
</w:p>
<w:p>
<w:pPr><w:pStyle w:val="Normal"/></w:pPr>
<w:r><w:t xml:space="preserve">and in Afghan Turkestan the middle Cretaceous seems to be</w:t></w:r>
</w:p>
<w:p>
<w:pPr><w:pStyle w:val="Normal"/></w:pPr>
<w:r><w:t xml:space="preserve">absent, and it is probable that, as in other regions, the</w:t></w:r>
</w:p>
<w:p>
<w:pPr><w:pStyle w:val="Normal"/></w:pPr>
<w:r><w:t xml:space="preserve">upper Cretaceous covers a much wider area than the lower</w:t></w:r>
</w:p>
<w:p>
<w:pPr><w:pStyle w:val="Normal"/></w:pPr>
<w:r><w:t xml:space="preserve">beds.  Tertiary and recent deposits are widely spread, filling</w:t></w:r>
</w:p>
<w:p>
<w:pPr><w:pStyle w:val="Normal"/></w:pPr>
<w:r><w:t xml:space="preserve">most of the valleys and covering the plains of the Helmund.</w:t></w:r>
</w:p>
<w:p>
<w:pPr><w:pStyle w:val="Normal"/></w:pPr>
<w:r><w:t xml:space="preserve">Eocene beds have not yet been proved to exist; but this is</w:t></w:r>
</w:p>
<w:p>
<w:pPr><w:pStyle w:val="Normal"/></w:pPr>
<w:r><w:t xml:space="preserve">probably owing to the imperfect knowledge of the country, for</w:t></w:r>
</w:p>
<w:p>
<w:pPr><w:pStyle w:val="Normal"/></w:pPr>
<w:r><w:t xml:space="preserve">the formation is known in Persia, Baluchistan and the Suliman</w:t></w:r>
</w:p>
<w:p>
<w:pPr><w:pStyle w:val="Normal"/></w:pPr>
<w:r><w:t xml:space="preserve">Hills.  The lower part of the Miocene is marine in Herat</w:t></w:r>
</w:p>
<w:p>
<w:pPr><w:pStyle w:val="Normal"/></w:pPr>
<w:r><w:t xml:space="preserve">and Afghan Turkestan; but the upper Miocene is usually of</w:t></w:r>
</w:p>
<w:p>
<w:pPr><w:pStyle w:val="Normal"/></w:pPr>
<w:r><w:t xml:space="preserve">freshwater or estuarine origin. in Afghanistan, as in other</w:t></w:r>
</w:p>
<w:p>
<w:pPr><w:pStyle w:val="Normal"/></w:pPr>
<w:r><w:t xml:space="preserve">regions near the great Eurasian system of folds, the Miocene</w:t></w:r>
</w:p>
<w:p>
<w:pPr><w:pStyle w:val="Normal"/></w:pPr>
<w:r><w:t xml:space="preserve">includes extensive deposits of gypsum and salt.  It was during</w:t></w:r>
</w:p>
<w:p>
<w:pPr><w:pStyle w:val="Normal"/></w:pPr>
<w:r><w:t xml:space="preserve">this period that the forces which finally raised the country</w:t></w:r>
</w:p>
<w:p>
<w:pPr><w:pStyle w:val="Normal"/></w:pPr>
<w:r><w:t xml:space="preserve">above the level of the sea began to take effect.  The Pliocene</w:t></w:r>
</w:p>
<w:p>
<w:pPr><w:pStyle w:val="Normal"/></w:pPr>
<w:r><w:t xml:space="preserve">consists entirely of freshwater and terrestrial deposits, which</w:t></w:r>
</w:p>
<w:p>
<w:pPr><w:pStyle w:val="Normal"/></w:pPr>
<w:r><w:t xml:space="preserve">were probably laid down at the foot of the rising hills and</w:t></w:r>
</w:p>
<w:p>
<w:pPr><w:pStyle w:val="Normal"/></w:pPr>
<w:r><w:t xml:space="preserve">on the floors of the intervening valleys.  As the elevation</w:t></w:r>
</w:p>
<w:p>
<w:pPr><w:pStyle w:val="Normal"/></w:pPr>
<w:r><w:t xml:space="preserve">continued, they were sometimes involved in the folding to</w:t></w:r>
</w:p>
<w:p>
<w:pPr><w:pStyle w:val="Normal"/></w:pPr>
<w:r><w:t xml:space="preserve">which the mountains owe their origin.  During this period the</w:t></w:r>
</w:p>
<w:p>
<w:pPr><w:pStyle w:val="Normal"/></w:pPr>
<w:r><w:t xml:space="preserve">gradual desiccation of the country continued, and wind-blown</w:t></w:r>
</w:p>
<w:p>
<w:pPr><w:pStyle w:val="Normal"/></w:pPr>
<w:r><w:t xml:space="preserve">deposits, such as the loess, began to make their appearance.</w:t></w:r>
</w:p>
<w:p>
<w:pPr><w:pStyle w:val="Normal"/></w:pPr>
<w:r><w:t xml:space="preserve">Although volcanic cones are known both in Persia and in</w:t></w:r>
</w:p>
<w:p>
<w:pPr><w:pStyle w:val="Normal"/></w:pPr>
<w:r><w:t xml:space="preserve">Baluchistan, none have yet been described in Afghanistan</w:t></w:r>
</w:p>
<w:p>
<w:pPr><w:pStyle w:val="Normal"/></w:pPr>
<w:r><w:t xml:space="preserve">itself.  There is, however, ample evidence that at several</w:t></w:r>
</w:p>
<w:p>
<w:pPr><w:pStyle w:val="Normal"/></w:pPr>
<w:r><w:t xml:space="preserve">distinct geological periods the region has been the seat</w:t></w:r>
</w:p>
<w:p>
<w:pPr><w:pStyle w:val="Normal"/></w:pPr>
<w:r><w:t xml:space="preserve">of great volcanic activity.  According to C. L. Griesbach,</w:t></w:r>
</w:p>
<w:p>
<w:pPr><w:pStyle w:val="Normal"/></w:pPr>
<w:r><w:t xml:space="preserve">basic volcanic rocks are interbedded with the lowest part of</w:t></w:r>
</w:p>
<w:p>
<w:pPr><w:pStyle w:val="Normal"/></w:pPr>
<w:r><w:t xml:space="preserve">the plant-bearing series, and enormous outbursts took place</w:t></w:r>
</w:p>
<w:p>
<w:pPr><w:pStyle w:val="Normal"/></w:pPr>
<w:r><w:t xml:space="preserve">during the Neocomian period.  But the most important igneous</w:t></w:r>
</w:p>
<w:p>
<w:pPr><w:pStyle w:val="Normal"/></w:pPr>
<w:r><w:t xml:space="preserve">masses are the great intrusions of syenitic granite and of</w:t></w:r>
</w:p>
<w:p>
<w:pPr><w:pStyle w:val="Normal"/></w:pPr>
<w:r><w:t xml:space="preserve">basic rock which penetrate the Cretaceous beds.  These are</w:t></w:r>
</w:p>
<w:p>
<w:pPr><w:pStyle w:val="Normal"/></w:pPr>
<w:r><w:t xml:space="preserve">probably of Eocene or of late Cretaceous age. (P. LA.)</w:t></w:r>
</w:p>
<w:p>
<w:pPr><w:pStyle w:val="Normal"/></w:pPr>
<w:r><w:t xml:space="preserve">Omitting the group of northern routes to India from Central</w:t></w:r>
</w:p>
<w:p>
<w:pPr><w:pStyle w:val="Normal"/></w:pPr>
<w:r><w:t xml:space="preserve">Asia, which pass between Kashmir and Afghanistan through</w:t></w:r>
</w:p>
<w:p>
<w:pPr><w:pStyle w:val="Normal"/></w:pPr>
<w:r><w:t xml:space="preserve">the defiles of Chitral and of the Indus (see HINDU KUSH),</w:t></w:r>
</w:p>
<w:p>
<w:pPr><w:pStyle w:val="Normal"/></w:pPr>
<w:r><w:t xml:space="preserve">the highways of Afghanistan may be classed under two heads:</w:t></w:r>
</w:p>
<w:p>
<w:pPr><w:pStyle w:val="Normal"/></w:pPr>
<w:r><w:t xml:space="preserve">(1) Foreign trade routes, and (2) Internal communications.</w:t></w:r>
</w:p>
<w:p>
<w:pPr><w:pStyle w:val="Normal"/></w:pPr>
<w:r><w:t xml:space="preserve">The most important commercially are those which connect the Oxus</w:t></w:r>
</w:p>
<w:p>
<w:pPr><w:pStyle w:val="Normal"/></w:pPr>
<w:r><w:t xml:space="preserve">regions and the Central Asian khanates with Kabul, and those</w:t></w:r>
</w:p>
<w:p>
<w:pPr><w:pStyle w:val="Normal"/></w:pPr>
<w:r><w:t xml:space="preserve">which lead from Kabul, Ghazni and Kandahar to the plains of India.</w:t></w:r>
</w:p>
<w:p>
<w:pPr><w:pStyle w:val="Normal"/></w:pPr>
<w:r><w:t xml:space="preserve">Kabul is linked with Afghan Turkestan and Badakshan by three</w:t></w:r>
</w:p>
<w:p>
<w:pPr><w:pStyle w:val="Normal"/></w:pPr>
<w:r><w:t xml:space="preserve">main lines of communication across the Koh-i-Baba and the Hindu</w:t></w:r>
</w:p>
<w:p>
<w:pPr><w:pStyle w:val="Normal"/></w:pPr>
<w:r><w:t xml:space="preserve">Kush.  One of these routes follows the Balkh river to its</w:t></w:r>
</w:p>
<w:p>
<w:pPr><w:pStyle w:val="Normal"/></w:pPr>
<w:r><w:t xml:space="preserve">head from Tahshkurghan, and then, preserving a high general</w:t></w:r>
</w:p>
<w:p>
<w:pPr><w:pStyle w:val="Normal"/></w:pPr>
<w:r><w:t xml:space="preserve">level of 8600 to 9000 ft., it passes over the water-divides</w:t></w:r>
</w:p>
<w:p>
<w:pPr><w:pStyle w:val="Normal"/></w:pPr>
<w:r><w:t xml:space="preserve">separating the upper tributaries of the Kunduz river,</w:t></w:r>
</w:p>
<w:p>
<w:pPr><w:pStyle w:val="Normal"/></w:pPr>
<w:r><w:t xml:space="preserve">and drops into the valley formed by another tributary at</w:t></w:r>
</w:p>
<w:p>
<w:pPr><w:pStyle w:val="Normal"/></w:pPr>
<w:r><w:t xml:space="preserve">Bamian.  From Bamian it passes over the central mountain chain</w:t></w:r>
</w:p>
<w:p>
<w:pPr><w:pStyle w:val="Normal"/></w:pPr>
<w:r><w:t xml:space="preserve">to Kabul either by the well-known Dasses of Irak (marking</w:t></w:r>
</w:p>
<w:p>
<w:pPr><w:pStyle w:val="Normal"/></w:pPr>
<w:r><w:t xml:space="preserve">the water-divide of the Koh-i-Baba) and of Unai (marking the</w:t></w:r>
</w:p>
<w:p>
<w:pPr><w:pStyle w:val="Normal"/></w:pPr>
<w:r><w:t xml:space="preserve">summit of the Sanglakh, a branch of the Hindu Kush), or else,</w:t></w:r>
</w:p>
<w:p>
<w:pPr><w:pStyle w:val="Normal"/></w:pPr>
<w:r><w:t xml:space="preserve">turning eastwards, it crosses into the Ghorband valley by the</w:t></w:r>
</w:p>
<w:p>
<w:pPr><w:pStyle w:val="Normal"/></w:pPr>
<w:r><w:t xml:space="preserve">Shibar, a pass which is considerably lower than the Irak and</w:t></w:r>
</w:p>
<w:p>
<w:pPr><w:pStyle w:val="Normal"/></w:pPr>
<w:r><w:t xml:space="preserve">is very seldom snowbound.  From the foot of the Unai pass it</w:t></w:r>
</w:p>
<w:p>
<w:pPr><w:pStyle w:val="Normal"/></w:pPr>
<w:r><w:t xml:space="preserve">follows the Kabul river, and from the foot of the Shibar it</w:t></w:r>
</w:p>
<w:p>
<w:pPr><w:pStyle w:val="Normal"/></w:pPr>
<w:r><w:t xml:space="preserve">follows the circuitous route which is offered by the drainage</w:t></w:r>
</w:p>
<w:p>
<w:pPr><w:pStyle w:val="Normal"/></w:pPr>
<w:r><w:t xml:space="preserve">of the Ghorband valley to Charikar, and thence southwards to</w:t></w:r>
</w:p>
<w:p>
<w:pPr><w:pStyle w:val="Normal"/></w:pPr>
<w:r><w:t xml:space="preserve">Kabul.  The main points on this route are Haibak, Bajgah and</w:t></w:r>
</w:p>
<w:p>
<w:pPr><w:pStyle w:val="Normal"/></w:pPr>
<w:r><w:t xml:space="preserve">Bamian.  It is full of awkward grades and minor passes, but</w:t></w:r>
</w:p>
<w:p>
<w:pPr><w:pStyle w:val="Normal"/></w:pPr>
<w:r><w:t xml:space="preserve">it does not maintain a high level generally, no pass (if the</w:t></w:r>
</w:p>
<w:p>
<w:pPr><w:pStyle w:val="Normal"/></w:pPr>
<w:r><w:t xml:space="preserve">Shibar route be adopted) much exceeding 10,000 ft.  That this</w:t></w:r>
</w:p>
<w:p>
<w:pPr><w:pStyle w:val="Normal"/></w:pPr>
<w:r><w:t xml:space="preserve">has for centuries been regarded as the main route northward</w:t></w:r>
</w:p>
<w:p>
<w:pPr><w:pStyle w:val="Normal"/></w:pPr>
<w:r><w:t xml:space="preserve">from Kabul, the Buddhist relics of Bamian and Haibak bear</w:t></w:r>
</w:p>
<w:p>
<w:pPr><w:pStyle w:val="Normal"/></w:pPr>
<w:r><w:t xml:space="preserve">silent witness; but it may be doubted whether Abdur Rahman&apos;s</w:t></w:r>
</w:p>
<w:p>
<w:pPr><w:pStyle w:val="Normal"/></w:pPr>
<w:r><w:t xml:space="preserve">talent for roadmaking has not opened out better alternative</w:t></w:r>
</w:p>
<w:p>
<w:pPr><w:pStyle w:val="Normal"/></w:pPr>
<w:r><w:t xml:space="preserve">lines.  One of his roads connects Haibak with the Ghorband</w:t></w:r>
</w:p>
<w:p>
<w:pPr><w:pStyle w:val="Normal"/></w:pPr>
<w:r><w:t xml:space="preserve">valley by the Chahardar pass across the Hindu Kush.  The pass</w:t></w:r>
</w:p>
<w:p>
<w:pPr><w:pStyle w:val="Normal"/></w:pPr>
<w:r><w:t xml:space="preserve">is high (nearly 14,000 ft.), but the road is excellently well</w:t></w:r>
</w:p>
<w:p>
<w:pPr><w:pStyle w:val="Normal"/></w:pPr>
<w:r><w:t xml:space="preserve">laid out, and the route, which, south of Haibak, traverses a</w:t></w:r>
</w:p>
<w:p>
<w:pPr><w:pStyle w:val="Normal"/></w:pPr>
<w:r><w:t xml:space="preserve">corner of the Ghori and Baghlan districts of Badakshan, is more</w:t></w:r>
</w:p>
<w:p>
<w:pPr><w:pStyle w:val="Normal"/></w:pPr>
<w:r><w:t xml:space="preserve">direct.  A third route also passes through Badakshan, and</w:t></w:r>
</w:p>
<w:p>
<w:pPr><w:pStyle w:val="Normal"/></w:pPr>
<w:r><w:t xml:space="preserve">connects Kunduz with Charikar by the Khawak pass and Panjshir</w:t></w:r>
</w:p>
<w:p>
<w:pPr><w:pStyle w:val="Normal"/></w:pPr>
<w:r><w:t xml:space="preserve">river.  The latter joins the Ghorband close to Charikar.  The</w:t></w:r>
</w:p>
<w:p>
<w:pPr><w:pStyle w:val="Normal"/></w:pPr>
<w:r><w:t xml:space="preserve">Khawak (11,600 ft.) is not a high pass; the grades are easy</w:t></w:r>
</w:p>
<w:p>
<w:pPr><w:pStyle w:val="Normal"/></w:pPr>
<w:r><w:t xml:space="preserve">and the snowfall usually light.  This high road is stated (on</w:t></w:r>
</w:p>
<w:p>
<w:pPr><w:pStyle w:val="Normal"/></w:pPr>
<w:r><w:t xml:space="preserve">Afghan authority) to be kept open for khafila traffic all the</w:t></w:r>
</w:p>
<w:p>
<w:pPr><w:pStyle w:val="Normal"/></w:pPr>
<w:r><w:t xml:space="preserve">year round by the employment of forced labour for clearing</w:t></w:r>
</w:p>
<w:p>
<w:pPr><w:pStyle w:val="Normal"/></w:pPr>
<w:r><w:t xml:space="preserve">snow.  It is a recently developed route and one of great</w:t></w:r>
</w:p>
<w:p>
<w:pPr><w:pStyle w:val="Normal"/></w:pPr>
<w:r><w:t xml:space="preserve">imoortance to Kabul, both strategically and commercially.</w:t></w:r>
</w:p>
<w:p>
<w:pPr><w:pStyle w:val="Normal"/></w:pPr>
<w:r><w:t xml:space="preserve">Routes that pass between the mountain barriers of the frontier</w:t></w:r>
</w:p>
<w:p>
<w:pPr><w:pStyle w:val="Normal"/></w:pPr>
<w:r><w:t xml:space="preserve">between Peshawar and the Gomal occur at intervals along the</w:t></w:r>
</w:p>
<w:p>
<w:pPr><w:pStyle w:val="Normal"/></w:pPr>
<w:r><w:t xml:space="preserve">western border, and in the northern section of the Indian</w:t></w:r>
</w:p>
<w:p>
<w:pPr><w:pStyle w:val="Normal"/></w:pPr>
<w:r><w:t xml:space="preserve">frontier they are all well marked.  The Khyber, Kurram and</w:t></w:r>
</w:p>
<w:p>
<w:pPr><w:pStyle w:val="Normal"/></w:pPr>
<w:r><w:t xml:space="preserve">Tochi are the best known, inasmuch as all these lines of</w:t></w:r>
</w:p>
<w:p>
<w:pPr><w:pStyle w:val="Normal"/></w:pPr>
<w:r><w:t xml:space="preserve">advance into Afghanistan are held by British troops or Indian</w:t></w:r>
</w:p>
<w:p>
<w:pPr><w:pStyle w:val="Normal"/></w:pPr>
<w:r><w:t xml:space="preserve">levies.  But the Bara valley route into the heart of the Afridi</w:t></w:r>
</w:p>
<w:p>
<w:pPr><w:pStyle w:val="Normal"/></w:pPr>
<w:r><w:t xml:space="preserve">Tirah is not to be altogether overlooked, although it is not</w:t></w:r>
</w:p>
<w:p>
<w:pPr><w:pStyle w:val="Normal"/></w:pPr>
<w:r><w:t xml:space="preserve">a trade route of any importance.  Between Kabul and Jalalabad</w:t></w:r>
</w:p>
<w:p>
<w:pPr><w:pStyle w:val="Normal"/></w:pPr>
<w:r><w:t xml:space="preserve">there are two roads, one by the Uataband pass, and the other</w:t></w:r>
</w:p>
<w:p>
<w:pPr><w:pStyle w:val="Normal"/></w:pPr>
<w:r><w:t xml:space="preserve">and more difficult by the Khurd-Kabul and Iagdalak passes, the</w:t></w:r>
</w:p>
<w:p>
<w:pPr><w:pStyle w:val="Normal"/></w:pPr>
<w:r><w:t xml:space="preserve">latter being the scene of the massacre of a British brigade in</w:t></w:r>
</w:p>
<w:p>
<w:pPr><w:pStyle w:val="Normal"/></w:pPr>
<w:r><w:t xml:space="preserve">1842.  Between Jalalabad and Peshawar is the Khyber pass</w:t></w:r>
</w:p>
<w:p>
<w:pPr><w:pStyle w:val="Normal"/></w:pPr>
<w:r><w:t xml:space="preserve">(q.v..) The Khyber was not in ancient times the main route</w:t></w:r>
</w:p>
<w:p>
<w:pPr><w:pStyle w:val="Normal"/></w:pPr>
<w:r><w:t xml:space="preserve">of advance from Kabul to Peshawar.  From Kabul the old route</w:t></w:r>
</w:p>
<w:p>
<w:pPr><w:pStyle w:val="Normal"/></w:pPr>
<w:r><w:t xml:space="preserve">followed the Kabul river through the valley of Laghman (or</w:t></w:r>
</w:p>
<w:p>
<w:pPr><w:pStyle w:val="Normal"/></w:pPr>
<w:r><w:t xml:space="preserve">Lamghan, as the Afghans call it) over a gentle water-parting</w:t></w:r>
</w:p>
<w:p>
<w:pPr><w:pStyle w:val="Normal"/></w:pPr>
<w:r><w:t xml:space="preserve">into the Kunar valley, leaving Ningrahar and Jalalabad to the</w:t></w:r>
</w:p>
<w:p>
<w:pPr><w:pStyle w:val="Normal"/></w:pPr>
<w:r><w:t xml:space="preserve">south.  From the Kunar it crossed into Bajour by one of</w:t></w:r>
</w:p>
<w:p>
<w:pPr><w:pStyle w:val="Normal"/></w:pPr>
<w:r><w:t xml:space="preserve">several open and comparatively easy passes, and from Bajour</w:t></w:r>
</w:p>
<w:p>
<w:pPr><w:pStyle w:val="Normal"/></w:pPr>
<w:r><w:t xml:space="preserve">descended into India either by the Malakand or some other</w:t></w:r>
</w:p>
<w:p>
<w:pPr><w:pStyle w:val="Normal"/></w:pPr>
<w:r><w:t xml:space="preserve">contiguous frontier gateway to the plains of Peshawar. 8600</w:t></w:r>
</w:p>
<w:p>
<w:pPr><w:pStyle w:val="Normal"/></w:pPr>
<w:r><w:t xml:space="preserve">and 10,800 ft. respectively) across the southern extensions of</w:t></w:r>
</w:p>
<w:p>
<w:pPr><w:pStyle w:val="Normal"/></w:pPr>
<w:r><w:t xml:space="preserve">the Safed Koh range, and has never been a great trade route,</w:t></w:r>
</w:p>
<w:p>
<w:pPr><w:pStyle w:val="Normal"/></w:pPr>
<w:r><w:t xml:space="preserve">however suitable as an alternative military line of advance.</w:t></w:r>
</w:p>
<w:p>
<w:pPr><w:pStyle w:val="Normal"/></w:pPr>
<w:r><w:t xml:space="preserve">Trade does not extend largely between Afghanistan and India</w:t></w:r>
</w:p>
<w:p>
<w:pPr><w:pStyle w:val="Normal"/></w:pPr>
<w:r><w:t xml:space="preserve">by the Tochi route, being locally confined to the valley</w:t></w:r>
</w:p>
<w:p>
<w:pPr><w:pStyle w:val="Normal"/></w:pPr>
<w:r><w:t xml:space="preserve">and the districts at its head, yet this is the shortest and</w:t></w:r>
</w:p>
<w:p>
<w:pPr><w:pStyle w:val="Normal"/></w:pPr>
<w:r><w:t xml:space="preserve">most direct route between Ghazni and the frontier, and in</w:t></w:r>
</w:p>
<w:p>
<w:pPr><w:pStyle w:val="Normal"/></w:pPr>
<w:r><w:t xml:space="preserve">the palmy days of Ghazni miding was the road by which the</w:t></w:r>
</w:p>
<w:p>
<w:pPr><w:pStyle w:val="Normal"/></w:pPr>
<w:r><w:t xml:space="preserve">great robber Mahmud occasionally descended on to the Indus</w:t></w:r>
</w:p>
<w:p>
<w:pPr><w:pStyle w:val="Normal"/></w:pPr>
<w:r><w:t xml:space="preserve">plains.  Traces of his raiding and roadmakina are still</w:t></w:r>
</w:p>
<w:p>
<w:pPr><w:pStyle w:val="Normal"/></w:pPr>
<w:r><w:t xml:space="preserve">visible, but it is certain that he made use of the more direct</w:t></w:r>
</w:p>
<w:p>
<w:pPr><w:pStyle w:val="Normal"/></w:pPr>
<w:r><w:t xml:space="preserve">route to Peshawar far more frequently than he did of the</w:t></w:r>
</w:p>
<w:p>
<w:pPr><w:pStyle w:val="Normal"/></w:pPr>
<w:r><w:t xml:space="preserve">Tochi.  The exact nature of the connexion between the head</w:t></w:r>
</w:p>
<w:p>
<w:pPr><w:pStyle w:val="Normal"/></w:pPr>
<w:r><w:t xml:space="preserve">of the Tochi and the Ghazni plain is still unknown to us.</w:t></w:r>
</w:p>
<w:p>
<w:pPr><w:pStyle w:val="Normal"/></w:pPr>
<w:r><w:t xml:space="preserve">The Gomal is the great central trade route between Afvhanistan</w:t></w:r>
</w:p>
<w:p>
<w:pPr><w:pStyle w:val="Normal"/></w:pPr>
<w:r><w:t xml:space="preserve">and India; and the position, which is held by a tribal post at</w:t></w:r>
</w:p>
<w:p>
<w:pPr><w:pStyle w:val="Normal"/></w:pPr>
<w:r><w:t xml:space="preserve">Wana, will do much to ensure its continued popularity.  The</w:t></w:r>
</w:p>
<w:p>
<w:pPr><w:pStyle w:val="Normal"/></w:pPr>
<w:r><w:t xml:space="preserve">Gomal involves no passes of any great difficulty, although</w:t></w:r>
</w:p>
<w:p>
<w:pPr><w:pStyle w:val="Normal"/></w:pPr>
<w:r><w:t xml:space="preserve">it is impossible to follow the actual course of the river</w:t></w:r>
</w:p>
<w:p>
<w:pPr><w:pStyle w:val="Normal"/></w:pPr>
<w:r><w:t xml:space="preserve">on account of the narrow defiles which have been cut through</w:t></w:r>
</w:p>
<w:p>
<w:pPr><w:pStyle w:val="Normal"/></w:pPr>
<w:r><w:t xml:space="preserve">the recent conglomerate beds which flank the plains of the</w:t></w:r>
</w:p>
<w:p>
<w:pPr><w:pStyle w:val="Normal"/></w:pPr>
<w:r><w:t xml:space="preserve">Indus.  It has been carefully surveyed for a possible railway</w:t></w:r>
</w:p>
<w:p>
<w:pPr><w:pStyle w:val="Normal"/></w:pPr>
<w:r><w:t xml:space="preserve">alignment; and an excellent road now connects Tank (at</w:t></w:r>
</w:p>
<w:p>
<w:pPr><w:pStyle w:val="Normal"/></w:pPr>
<w:r><w:t xml:space="preserve">its foot) with the Zhob line of communications to Quetta,</w:t></w:r>
</w:p>
<w:p>
<w:pPr><w:pStyle w:val="Normal"/></w:pPr>
<w:r><w:t xml:space="preserve">and with Wana on the southern flank of Waziristan.  The</w:t></w:r>
</w:p>
<w:p>
<w:pPr><w:pStyle w:val="Normal"/></w:pPr>
<w:r><w:t xml:space="preserve">Gomal route is of immense importance, both as a commercial</w:t></w:r>
</w:p>
<w:p>
<w:pPr><w:pStyle w:val="Normal"/></w:pPr>
<w:r><w:t xml:space="preserve">and strategic line, and in both particulars is of far</w:t></w:r>
</w:p>
<w:p>
<w:pPr><w:pStyle w:val="Normal"/></w:pPr>
<w:r><w:t xml:space="preserve">greater significance than either the Kurram or the Tochi.</w:t></w:r>
</w:p>
<w:p>
<w:pPr><w:pStyle w:val="Normal"/></w:pPr>
<w:r><w:t xml:space="preserve">(2) Of the interior lines of communication, those which</w:t></w:r>
</w:p>
<w:p>
<w:pPr><w:pStyle w:val="Normal"/></w:pPr>
<w:r><w:t xml:space="preserve">connect the great cities of Afghanistan, Herat, Kabul and</w:t></w:r>
</w:p>
<w:p>
<w:pPr><w:pStyle w:val="Normal"/></w:pPr>
<w:r><w:t xml:space="preserve">Kandahar, are obviously the most important.  Between Kabul</w:t></w:r>
</w:p>
<w:p>
<w:pPr><w:pStyle w:val="Normal"/></w:pPr>
<w:r><w:t xml:space="preserve">and Herat there is no ``royal&apos;&apos; road, the existing route</w:t></w:r>
</w:p>
<w:p>
<w:pPr><w:pStyle w:val="Normal"/></w:pPr>
<w:r><w:t xml:space="preserve">passing over the frequently snow-bound wastes that lie below</w:t></w:r>
</w:p>
<w:p>
<w:pPr><w:pStyle w:val="Normal"/></w:pPr>
<w:r><w:t xml:space="preserve">the southern flank of the great Koh-i-Baba into the upper</w:t></w:r>
</w:p>
<w:p>
<w:pPr><w:pStyle w:val="Normal"/></w:pPr>
<w:r><w:t xml:space="preserve">valleys of the Hari Rud tributaries. lt is a waste, elevated,</w:t></w:r>
</w:p>
<w:p>
<w:pPr><w:pStyle w:val="Normal"/></w:pPr>
<w:r><w:t xml:space="preserve">desolate region that the route traverses, and the road itself</w:t></w:r>
</w:p>
<w:p>
<w:pPr><w:pStyle w:val="Normal"/></w:pPr>
<w:r><w:t xml:space="preserve">is only open at certain seasons of the year.  Between Kabul</w:t></w:r>
</w:p>
<w:p>
<w:pPr><w:pStyle w:val="Normal"/></w:pPr>
<w:r><w:t xml:space="preserve">and Kandahar exists the well-known and oft-traversed route by</w:t></w:r>
</w:p>
<w:p>
<w:pPr><w:pStyle w:val="Normal"/></w:pPr>
<w:r><w:t xml:space="preserve">Ghazni and Kalat-i-Ghilzai.  There is but one insignificant</w:t></w:r>
</w:p>
<w:p>
<w:pPr><w:pStyle w:val="Normal"/></w:pPr>
<w:r><w:t xml:space="preserve">water-parting--or kotal--a little to the north of Ghazni;</w:t></w:r>
</w:p>
<w:p>
<w:pPr><w:pStyle w:val="Normal"/></w:pPr>
<w:r><w:t xml:space="preserve">and the road, although unmade, may be considered equal to any</w:t></w:r>
</w:p>
<w:p>
<w:pPr><w:pStyle w:val="Normal"/></w:pPr>
<w:r><w:t xml:space="preserve">road of its length in Europe for military purposes.  Berween</w:t></w:r>
</w:p>
<w:p>
<w:pPr><w:pStyle w:val="Normal"/></w:pPr>
<w:r><w:t xml:space="preserve">Kandahar and Herat there is the recognized trade route which</w:t></w:r>
</w:p>
<w:p>
<w:pPr><w:pStyle w:val="Normal"/></w:pPr>
<w:r><w:t xml:space="preserve">crosses the Helmund at Girishk and passes through Farahand</w:t></w:r>
</w:p>
<w:p>
<w:pPr><w:pStyle w:val="Normal"/></w:pPr>
<w:r><w:t xml:space="preserve">Sabzawar.  It includes about 360 miles of easy road, with</w:t></w:r>
</w:p>
<w:p>
<w:pPr><w:pStyle w:val="Normal"/></w:pPr>
<w:r><w:t xml:space="preserve">spaces where water is scarce.  There is not a pass of any</w:t></w:r>
</w:p>
<w:p>
<w:pPr><w:pStyle w:val="Normal"/></w:pPr>
<w:r><w:t xml:space="preserve">great importance, nor a river of any great difficulty, to be</w:t></w:r>
</w:p>
<w:p>
<w:pPr><w:pStyle w:val="Normal"/></w:pPr>
<w:r><w:t xml:space="preserve">encountered from end to end, but the route is flanked on the</w:t></w:r>
</w:p>
<w:p>
<w:pPr><w:pStyle w:val="Normal"/></w:pPr>
<w:r><w:t xml:space="preserve">north between Kandahar and Girishk by the Zamindawar hills,</w:t></w:r>
</w:p>
<w:p>
<w:pPr><w:pStyle w:val="Normal"/></w:pPr>
<w:r><w:t xml:space="preserve">containing the most truculent and fanatical clans of all the</w:t></w:r>
</w:p>
<w:p>
<w:pPr><w:pStyle w:val="Normal"/></w:pPr>
<w:r><w:t xml:space="preserve">Southern Afghan tribes.  Little need be said of the 65 m. of</w:t></w:r>
</w:p>
<w:p>
<w:pPr><w:pStyle w:val="Normal"/></w:pPr>
<w:r><w:t xml:space="preserve">route between Kandahar and the Baluchistan frontier at New</w:t></w:r>
</w:p>
<w:p>
<w:pPr><w:pStyle w:val="Normal"/></w:pPr>
<w:r><w:t xml:space="preserve">Chaman.  It is on the whole a route across open plains and</w:t></w:r>
</w:p>
<w:p>
<w:pPr><w:pStyle w:val="Normal"/></w:pPr>
<w:r><w:t xml:space="preserve">hard, stony ``dasht&apos;&apos;---a route which would offer no great</w:t></w:r>
</w:p>
<w:p>
<w:pPr><w:pStyle w:val="Normal"/></w:pPr>
<w:r><w:t xml:space="preserve">difficulties to that railway extension from1 Olhaman which</w:t></w:r>
</w:p>
<w:p>
<w:pPr><w:pStyle w:val="Normal"/></w:pPr>
<w:r><w:t xml:space="preserve">has so long been contemplated.  A very considerable trade</w:t></w:r>
</w:p>
<w:p>
<w:pPr><w:pStyle w:val="Normal"/></w:pPr>
<w:r><w:t xml:space="preserve">now passes along this route to India, in spite of almost</w:t></w:r>
</w:p>
<w:p>
<w:pPr><w:pStyle w:val="Normal"/></w:pPr>
<w:r><w:t xml:space="preserve">prohibitive imposts; but the trade does not follow the railway</w:t></w:r>
</w:p>
<w:p>
<w:pPr><w:pStyle w:val="Normal"/></w:pPr>
<w:r><w:t xml:space="preserve">from New Chaman to the eastern foot of the Khojak.  Long</w:t></w:r>
</w:p>
<w:p>
<w:pPr><w:pStyle w:val="Normal"/></w:pPr>
<w:r><w:t xml:space="preserve">strings of camels may still be seen from the train windows</w:t></w:r>
</w:p>
<w:p>
<w:pPr><w:pStyle w:val="Normal"/></w:pPr>
<w:r><w:t xml:space="preserve">patiently treading their slow way over the Khoiak pass</w:t></w:r>
</w:p>
<w:p>
<w:pPr><w:pStyle w:val="Normal"/></w:pPr>
<w:r><w:t xml:space="preserve">to Kila Abdullah, whilst the train alongside them rapidly</w:t></w:r>
</w:p>
<w:p>
<w:pPr><w:pStyle w:val="Normal"/></w:pPr>
<w:r><w:t xml:space="preserve">twists through the mountain tunnel into the Peshin valley.</w:t></w:r>
</w:p>
<w:p>
<w:pPr><w:pStyle w:val="Normal"/></w:pPr>
<w:r><w:t xml:space="preserve">Climate.</w:t></w:r>
</w:p>
<w:p>
<w:pPr><w:pStyle w:val="Normal"/></w:pPr>
<w:r><w:t xml:space="preserve">The variety of climate is immense, as might be expected.</w:t></w:r>
</w:p>
<w:p>
<w:pPr><w:pStyle w:val="Normal"/></w:pPr>
<w:r><w:t xml:space="preserve">Taking the highlands of the country as a whole, there is no</w:t></w:r>
</w:p>
<w:p>
<w:pPr><w:pStyle w:val="Normal"/></w:pPr>
<w:r><w:t xml:space="preserve">great difference between the mean temperature of Afghanistan</w:t></w:r>
</w:p>
<w:p>
<w:pPr><w:pStyle w:val="Normal"/></w:pPr>
<w:r><w:t xml:space="preserve">and that of the lower Himalayas.  Each may be placed at a point</w:t></w:r>
</w:p>
<w:p>
<w:pPr><w:pStyle w:val="Normal"/></w:pPr>
<w:r><w:t xml:space="preserve">between 50 deg.  and 60 deg.  F. But the remarkable feature of Afghan</w:t></w:r>
</w:p>
<w:p>
<w:pPr><w:pStyle w:val="Normal"/></w:pPr>
<w:r><w:t xml:space="preserve">climate (as also of that of Baluchistan) is its extreme range</w:t></w:r>
</w:p>
<w:p>
<w:pPr><w:pStyle w:val="Normal"/></w:pPr>
<w:r><w:t xml:space="preserve">of temperature within limited periods.  The least daily range</w:t></w:r>
</w:p>
<w:p>
<w:pPr><w:pStyle w:val="Normal"/></w:pPr>
<w:r><w:t xml:space="preserve">in the north is during the cold weather, the greatest in the</w:t></w:r>
</w:p>
<w:p>
<w:pPr><w:pStyle w:val="Normal"/></w:pPr>
<w:r><w:t xml:space="preserve">hot.  For seven months of the year (from May to November)</w:t></w:r>
</w:p>
<w:p>
<w:pPr><w:pStyle w:val="Normal"/></w:pPr>
<w:r><w:t xml:space="preserve">this range exceeds 30 deg.  F. daily.  Waves of intense cold</w:t></w:r>
</w:p>
<w:p>
<w:pPr><w:pStyle w:val="Normal"/></w:pPr>
<w:r><w:t xml:space="preserve">occur, lasting for several days, and one may have to endure</w:t></w:r>
</w:p>
<w:p>
<w:pPr><w:pStyle w:val="Normal"/></w:pPr>
<w:r><w:t xml:space="preserve">a cold of 12 deg.  below zero, rising to a maximum of 17 deg.  below</w:t></w:r>
</w:p>
<w:p>
<w:pPr><w:pStyle w:val="Normal"/></w:pPr>
<w:r><w:t xml:space="preserve">freezing-point.  On the other hand the summer temperature is</w:t></w:r>
</w:p>
<w:p>
<w:pPr><w:pStyle w:val="Normal"/></w:pPr>
<w:r><w:t xml:space="preserve">exceedingly high, especially in the Oxus regions, where a shade</w:t></w:r>
</w:p>
<w:p>
<w:pPr><w:pStyle w:val="Normal"/></w:pPr>
<w:r><w:t xml:space="preserve">maximum of 110 deg.  to 120 deg.  is not uncommon.  At Kabul, and over</w:t></w:r>
</w:p>
<w:p>
<w:pPr><w:pStyle w:val="Normal"/></w:pPr>
<w:r><w:t xml:space="preserve">all the northern part of the country to the descent at Gandamak,</w:t></w:r>
</w:p>
<w:p>
<w:pPr><w:pStyle w:val="Normal"/></w:pPr>
<w:r><w:t xml:space="preserve">winter is rigorous, but especially so on the high Arachosian</w:t></w:r>
</w:p>
<w:p>
<w:pPr><w:pStyle w:val="Normal"/></w:pPr>
<w:r><w:t xml:space="preserve">plateau.  In Kabul the snow lies for two or three months;</w:t></w:r>
</w:p>
<w:p>
<w:pPr><w:pStyle w:val="Normal"/></w:pPr>
<w:r><w:t xml:space="preserve">the people seldom leave their houses, and sleep close to</w:t></w:r>
</w:p>
<w:p>
<w:pPr><w:pStyle w:val="Normal"/></w:pPr>
<w:r><w:t xml:space="preserve">stoves.  At Ghazni the snow has been known to lie long beyond</w:t></w:r>
</w:p>
<w:p>
<w:pPr><w:pStyle w:val="Normal"/></w:pPr>
<w:r><w:t xml:space="preserve">the vernal equinox; the thermometer sinks to 10 deg.  and 15 deg.</w:t></w:r>
</w:p>
<w:p>
<w:pPr><w:pStyle w:val="Normal"/></w:pPr>
<w:r><w:t xml:space="preserve">below zero (Fahr.); and tradition relates the entire destruction</w:t></w:r>
</w:p>
<w:p>
<w:pPr><w:pStyle w:val="Normal"/></w:pPr>
<w:r><w:t xml:space="preserve">of the population of Ghazni by snowstorms more than once.</w:t></w:r>
</w:p>
<w:p>
<w:pPr><w:pStyle w:val="Normal"/></w:pPr>
<w:r><w:t xml:space="preserve">At Jalalabad the winter and the climate generally assume an</w:t></w:r>
</w:p>
<w:p>
<w:pPr><w:pStyle w:val="Normal"/></w:pPr>
<w:r><w:t xml:space="preserve">Indian character.  The summer heat is great everywhere in</w:t></w:r>
</w:p>
<w:p>
<w:pPr><w:pStyle w:val="Normal"/></w:pPr>
<w:r><w:t xml:space="preserve">Afghanistan, but most of all in the districts bordering on the</w:t></w:r>
</w:p>
<w:p>
<w:pPr><w:pStyle w:val="Normal"/></w:pPr>
<w:r><w:t xml:space="preserve">Indus, especially Sewi, on the lower Helmund and in Seistan.</w:t></w:r>
</w:p>
<w:p>
<w:pPr><w:pStyle w:val="Normal"/></w:pPr>
<w:r><w:t xml:space="preserve">All over Kandahar province the summer heat is intense, and</w:t></w:r>
</w:p>
<w:p>
<w:pPr><w:pStyle w:val="Normal"/></w:pPr>
<w:r><w:t xml:space="preserve">the simoon is not unknown.  The hot season throughout this</w:t></w:r>
</w:p>
<w:p>
<w:pPr><w:pStyle w:val="Heading1"/></w:pPr>
<w:r><w:t>part of the country is rendered more trying by frequent dust</w:t></w:r>
</w:p>
<w:p>
<w:pPr><w:pStyle w:val="Normal"/></w:pPr>
<w:r><w:t xml:space="preserve">storms and fiery winds; whilst the bare rocky ridges that</w:t></w:r>
</w:p>
<w:p>
<w:pPr><w:pStyle w:val="Normal"/></w:pPr>
<w:r><w:t xml:space="preserve">traverse the country, absorbing heat by day and radiating it</w:t></w:r>
</w:p>
<w:p>
<w:pPr><w:pStyle w:val="Normal"/></w:pPr>
<w:r><w:t xml:space="preserve">by night, render the summer nights most oppressive.  At Kabul</w:t></w:r>
</w:p>
<w:p>
<w:pPr><w:pStyle w:val="Normal"/></w:pPr>
<w:r><w:t xml:space="preserve">the summer sun has great power, though the heat is tempered</w:t></w:r>
</w:p>
<w:p>
<w:pPr><w:pStyle w:val="Normal"/></w:pPr>
<w:r><w:t xml:space="preserve">occasionally by cool breezes from the Hindu Kush, and the</w:t></w:r>
</w:p>
<w:p>
<w:pPr><w:pStyle w:val="Normal"/></w:pPr>
<w:r><w:t xml:space="preserve">nights are usually cool.  At Kandahar snow seldom falls on</w:t></w:r>
</w:p>
<w:p>
<w:pPr><w:pStyle w:val="Normal"/></w:pPr>
<w:r><w:t xml:space="preserve">the plains or lower hills; when it does, it melts at once.</w:t></w:r>
</w:p>
<w:p>
<w:pPr><w:pStyle w:val="Normal"/></w:pPr>
<w:r><w:t xml:space="preserve">At Herat, though 800 ft. lower than Kandahar, the summer climate</w:t></w:r>
</w:p>
<w:p>
<w:pPr><w:pStyle w:val="Normal"/></w:pPr>
<w:r><w:t xml:space="preserve">is more temperate; and, in fact, the climate altogether is</w:t></w:r>
</w:p>
<w:p>
<w:pPr><w:pStyle w:val="Normal"/></w:pPr>
<w:r><w:t xml:space="preserve">far from disagreeable.  From May to September the wind blows</w:t></w:r>
</w:p>
<w:p>
<w:pPr><w:pStyle w:val="Normal"/></w:pPr>
<w:r><w:t xml:space="preserve">from the N.W. with great violence, and this extends across</w:t></w:r>
</w:p>
<w:p>
<w:pPr><w:pStyle w:val="Normal"/></w:pPr>
<w:r><w:t xml:space="preserve">the country to Kandahar.  The winter is tolerably mild; snow</w:t></w:r>
</w:p>
<w:p>
<w:pPr><w:pStyle w:val="Normal"/></w:pPr>
<w:r><w:t xml:space="preserve">melts as it falls, and even on the mountains does not lie</w:t></w:r>
</w:p>
<w:p>
<w:pPr><w:pStyle w:val="Normal"/></w:pPr>
<w:r><w:t xml:space="preserve">long.  Three years out of four at Herat it does not freeze</w:t></w:r>
</w:p>
<w:p>
<w:pPr><w:pStyle w:val="Normal"/></w:pPr>
<w:r><w:t xml:space="preserve">hard enough for the people to store ice; yet it was not very</w:t></w:r>
</w:p>
<w:p>
<w:pPr><w:pStyle w:val="Normal"/></w:pPr>
<w:r><w:t xml:space="preserve">far from Herat, and could not have been at a greatly higher</w:t></w:r>
</w:p>
<w:p>
<w:pPr><w:pStyle w:val="Normal"/></w:pPr>
<w:r><w:t xml:space="preserve">level (at Rafir Kala, near Kassan) that, in 1750, Ahmad Shah&apos;s</w:t></w:r>
</w:p>
<w:p>
<w:pPr><w:pStyle w:val="Normal"/></w:pPr>
<w:r><w:t xml:space="preserve">army, retreating from Persia, is said to have lost 18,000</w:t></w:r>
</w:p>
<w:p>
<w:pPr><w:pStyle w:val="Normal"/></w:pPr>
<w:r><w:t xml:space="preserve">men from cold in a single night.  In the northern Herat</w:t></w:r>
</w:p>
<w:p>
<w:pPr><w:pStyle w:val="Normal"/></w:pPr>
<w:r><w:t xml:space="preserve">districts, too, records of the coldest month (February) show</w:t></w:r>
</w:p>
<w:p>
<w:pPr><w:pStyle w:val="Normal"/></w:pPr>
<w:r><w:t xml:space="preserve">the mean minimum as 17 deg.  F., and the maximum 38 deg. .  The eastern</w:t></w:r>
</w:p>
<w:p>
<w:pPr><w:pStyle w:val="Normal"/></w:pPr>
<w:r><w:t xml:space="preserve">reaches of the Hari Rud river are frozen hard in the winter,</w:t></w:r>
</w:p>
<w:p>
<w:pPr><w:pStyle w:val="Normal"/></w:pPr>
<w:r><w:t xml:space="preserve">rapids and all, and the people travel on it as on a road.</w:t></w:r>
</w:p>
<w:p>
<w:pPr><w:pStyle w:val="Normal"/></w:pPr>
<w:r><w:t xml:space="preserve">The summer rains that accompany the S.W. monsoon in India,</w:t></w:r>
</w:p>
<w:p>
<w:pPr><w:pStyle w:val="Normal"/></w:pPr>
<w:r><w:t xml:space="preserve">beating along the southern slopes of the Himalaya, travel</w:t></w:r>
</w:p>
<w:p>
<w:pPr><w:pStyle w:val="Normal"/></w:pPr>
<w:r><w:t xml:space="preserve">up the Kabul valley as far as Laghman, though they are more</w:t></w:r>
</w:p>
<w:p>
<w:pPr><w:pStyle w:val="Normal"/></w:pPr>
<w:r><w:t xml:space="preserve">clearly felt in Bajour and Panjkora, under the high spurs</w:t></w:r>
</w:p>
<w:p>
<w:pPr><w:pStyle w:val="Normal"/></w:pPr>
<w:r><w:t xml:space="preserve">of the Hindu Kush, and in the eastern branches of Safed</w:t></w:r>
</w:p>
<w:p>
<w:pPr><w:pStyle w:val="Normal"/></w:pPr>
<w:r><w:t xml:space="preserve">Koh. Rain also falls at this season at the head of Kurram</w:t></w:r>
</w:p>
<w:p>
<w:pPr><w:pStyle w:val="Normal"/></w:pPr>
<w:r><w:t xml:space="preserve">valley.  South of this the Suliman mountains may be taken as</w:t></w:r>
</w:p>
<w:p>
<w:pPr><w:pStyle w:val="Normal"/></w:pPr>
<w:r><w:t xml:space="preserve">the western limit of the monsoon&apos;s action.  It is quite unfelt</w:t></w:r>
</w:p>
<w:p>
<w:pPr><w:pStyle w:val="Normal"/></w:pPr>
<w:r><w:t xml:space="preserve">in the rest of Afghanistan, in which, as in all the west of</w:t></w:r>
</w:p>
<w:p>
<w:pPr><w:pStyle w:val="Normal"/></w:pPr>
<w:r><w:t xml:space="preserve">Asia, the winter rains are the most considerable.  The spring</w:t></w:r>
</w:p>
<w:p>
<w:pPr><w:pStyle w:val="Normal"/></w:pPr>
<w:r><w:t xml:space="preserve">rain, though less copious, is more important to agriculture than</w:t></w:r>
</w:p>
<w:p>
<w:pPr><w:pStyle w:val="Normal"/></w:pPr>
<w:r><w:t xml:space="preserve">the winter rain, unless where the latter falls in the form of</w:t></w:r>
</w:p>
<w:p>
<w:pPr><w:pStyle w:val="Normal"/></w:pPr>
<w:r><w:t xml:space="preserve">snow.  In the absence of monsoon influences there are steadier</w:t></w:r>
</w:p>
<w:p>
<w:pPr><w:pStyle w:val="Normal"/></w:pPr>
<w:r><w:t xml:space="preserve">weather indications than in India.  The north-west blizzards</w:t></w:r>
</w:p>
<w:p>
<w:pPr><w:pStyle w:val="Normal"/></w:pPr>
<w:r><w:t xml:space="preserve">which occur in winter and spring are the most noticeable</w:t></w:r>
</w:p>
<w:p>
<w:pPr><w:pStyle w:val="Normal"/></w:pPr>
<w:r><w:t xml:space="preserve">feature, and their influence is clearly felt on the Indian</w:t></w:r>
</w:p>
<w:p>
<w:pPr><w:pStyle w:val="Normal"/></w:pPr>
<w:r><w:t xml:space="preserve">frontier.  The cold is then intense and the force of the wind</w:t></w:r>
</w:p>
<w:p>
<w:pPr><w:pStyle w:val="Normal"/></w:pPr>
<w:r><w:t xml:space="preserve">cyclonic.  Speaking generally, the Afghanistan climate is a dry</w:t></w:r>
</w:p>
<w:p>
<w:pPr><w:pStyle w:val="Normal"/></w:pPr>
<w:r><w:t xml:space="preserve">one.  The sun shines with splendour for three-fourths of the</w:t></w:r>
</w:p>
<w:p>
<w:pPr><w:pStyle w:val="Normal"/></w:pPr>
<w:r><w:t xml:space="preserve">year, and the nights are even more clear than the days.  Marked</w:t></w:r>
</w:p>
<w:p>
<w:pPr><w:pStyle w:val="Normal"/></w:pPr>
<w:r><w:t xml:space="preserve">characteristics are the great differences of summer and winter</w:t></w:r>
</w:p>
<w:p>
<w:pPr><w:pStyle w:val="Normal"/></w:pPr>
<w:r><w:t xml:space="preserve">temperature and of day and night temperature, as well as the extent</w:t></w:r>
</w:p>
<w:p>
<w:pPr><w:pStyle w:val="Normal"/></w:pPr>
<w:r><w:t xml:space="preserve">to which change of climate can be attained by slight change of</w:t></w:r>
</w:p>
<w:p>
<w:pPr><w:pStyle w:val="Normal"/></w:pPr>
<w:r><w:t xml:space="preserve">place.  As the emperor Baber said of Kabul, at one day&apos;s journey</w:t></w:r>
</w:p>
<w:p>
<w:pPr><w:pStyle w:val="Normal"/></w:pPr>
<w:r><w:t xml:space="preserve">from it you may find a place where snow never falls, and at</w:t></w:r>
</w:p>
<w:p>
<w:pPr><w:pStyle w:val="Normal"/></w:pPr>
<w:r><w:t xml:space="preserve">two hours&apos; journey a place where snow almost never melts!</w:t></w:r>
</w:p>
<w:p>
<w:pPr><w:pStyle w:val="Normal"/></w:pPr>
<w:r><w:t xml:space="preserve">The Afghans vaunt the salubrity and charm of some local</w:t></w:r>
</w:p>
<w:p>
<w:pPr><w:pStyle w:val="Normal"/></w:pPr>
<w:r><w:t xml:space="preserve">climates, as of the Toba hills above the Kakar country,</w:t></w:r>
</w:p>
<w:p>
<w:pPr><w:pStyle w:val="Normal"/></w:pPr>
<w:r><w:t xml:space="preserve">and of some of the high valleys of the Safed Koh.</w:t></w:r>
</w:p>
<w:p>
<w:pPr><w:pStyle w:val="Normal"/></w:pPr>
<w:r><w:t xml:space="preserve">The people have by no means that immunity from disease</w:t></w:r>
</w:p>
<w:p>
<w:pPr><w:pStyle w:val="Normal"/></w:pPr>
<w:r><w:t xml:space="preserve">which the bright, dry character of the climate and the fine</w:t></w:r>
</w:p>
<w:p>
<w:pPr><w:pStyle w:val="Normal"/></w:pPr>
<w:r><w:t xml:space="preserve">physical aspect of a large proportion of them might lead</w:t></w:r>
</w:p>
<w:p>
<w:pPr><w:pStyle w:val="Normal"/></w:pPr>
<w:r><w:t xml:space="preserve">us to expect.  Intermittent and remittent fevers are very</w:t></w:r>
</w:p>
<w:p>
<w:pPr><w:pStyle w:val="Normal"/></w:pPr>
<w:r><w:t xml:space="preserve">prevalent; bowel complaints are common, and often fatal in the</w:t></w:r>
</w:p>
<w:p>
<w:pPr><w:pStyle w:val="Normal"/></w:pPr>
<w:r><w:t xml:space="preserve">autumn.  The universal custom of sleeping on the house-top</w:t></w:r>
</w:p>
<w:p>
<w:pPr><w:pStyle w:val="Normal"/></w:pPr>
<w:r><w:t xml:space="preserve">in summer promotes rheumatic and neuralgic affections;</w:t></w:r>
</w:p>
<w:p>
<w:pPr><w:pStyle w:val="Normal"/></w:pPr>
<w:r><w:t xml:space="preserve">and in the Koh Daman of Dabul, which the natives regard</w:t></w:r>
</w:p>
<w:p>
<w:pPr><w:pStyle w:val="Normal"/></w:pPr>
<w:r><w:t xml:space="preserve">as having the finest of climates, the mortality from fever</w:t></w:r>
</w:p>
<w:p>
<w:pPr><w:pStyle w:val="Normal"/></w:pPr>
<w:r><w:t xml:space="preserve">and bowel complaint, between July and October, is great,</w:t></w:r>
</w:p>
<w:p>
<w:pPr><w:pStyle w:val="Normal"/></w:pPr>
<w:r><w:t xml:space="preserve">the immoderate use of fruit predisposing to such ailments.</w:t></w:r>
</w:p>
<w:p>
<w:pPr><w:pStyle w:val="Normal"/></w:pPr>
<w:r><w:t xml:space="preserve">Population.</w:t></w:r>
</w:p>
<w:p>
<w:pPr><w:pStyle w:val="Normal"/></w:pPr>
<w:r><w:t xml:space="preserve">The term Afghan really applies to one section only of the</w:t></w:r>
</w:p>
<w:p>
<w:pPr><w:pStyle w:val="Normal"/></w:pPr>
<w:r><w:t xml:space="preserve">mixed conglomeration of nationalities which forms the people</w:t></w:r>
</w:p>
<w:p>
<w:pPr><w:pStyle w:val="Normal"/></w:pPr>
<w:r><w:t xml:space="preserve">of Afghanistan, but this is the dominant section known as the</w:t></w:r>
</w:p>
<w:p>
<w:pPr><w:pStyle w:val="Normal"/></w:pPr>
<w:r><w:t xml:space="preserve">Durani.  The Ghilzai (who is almost as powerful as the Durani)</w:t></w:r>
</w:p>
<w:p>
<w:pPr><w:pStyle w:val="Normal"/></w:pPr>
<w:r><w:t xml:space="preserve">claims to be of Turkish origin; the Hazaras, the Chahar-Aimak,</w:t></w:r>
</w:p>
<w:p>
<w:pPr><w:pStyle w:val="Normal"/></w:pPr>
<w:r><w:t xml:space="preserve">Tajiks, Uzbegs, Kafirs and others are more or less subject</w:t></w:r>
</w:p>
<w:p>
<w:pPr><w:pStyle w:val="Normal"/></w:pPr>
<w:r><w:t xml:space="preserve">races.  Popularly any inhabitant of Afghanistan is known</w:t></w:r>
</w:p>
<w:p>
<w:pPr><w:pStyle w:val="Normal"/></w:pPr>
<w:r><w:t xml:space="preserve">as Afghan on the Indian frontier without distinction of</w:t></w:r>
</w:p>
<w:p>
<w:pPr><w:pStyle w:val="Normal"/></w:pPr>
<w:r><w:t xml:space="preserve">origin or language; but the language division between the</w:t></w:r>
</w:p>
<w:p>
<w:pPr><w:pStyle w:val="Normal"/></w:pPr>
<w:r><w:t xml:space="preserve">Parsiwan (or Persian-speaking Afghan) and the Pathan is</w:t></w:r>
</w:p>
<w:p>
<w:pPr><w:pStyle w:val="Normal"/></w:pPr>
<w:r><w:t xml:space="preserve">a very distinct one.  The predominance of the Afghan in</w:t></w:r>
</w:p>
<w:p>
<w:pPr><w:pStyle w:val="Normal"/></w:pPr>
<w:r><w:t xml:space="preserve">Afghanistan dates from the middle of the 18th century,</w:t></w:r>
</w:p>
<w:p>
<w:pPr><w:pStyle w:val="Normal"/></w:pPr>
<w:r><w:t xml:space="preserve">when Ahmad Shah carved out Afghanistan from the previous</w:t></w:r>
</w:p>
<w:p>
<w:pPr><w:pStyle w:val="Normal"/></w:pPr>
<w:r><w:t xml:space="preserve">conquests of Nadir Shah and called it the Durani empire.</w:t></w:r>
</w:p>
<w:p>
<w:pPr><w:pStyle w:val="Normal"/></w:pPr>
<w:r><w:t xml:space="preserve">The Durani Afghans claim to be Ben-i-Israel, and insist</w:t></w:r>
</w:p>
<w:p>
<w:pPr><w:pStyle w:val="Normal"/></w:pPr>
<w:r><w:t xml:space="preserve">on their descent from the tribes who were carried away</w:t></w:r>
</w:p>
<w:p>
<w:pPr><w:pStyle w:val="Normal"/></w:pPr>
<w:r><w:t xml:space="preserve">captive from Palestine to Media by Nebuchadrezzar.  Yet</w:t></w:r>
</w:p>
<w:p>
<w:pPr><w:pStyle w:val="Normal"/></w:pPr>
<w:r><w:t xml:space="preserve">they also claim to be Pukhtun (or Pathan) in common with all</w:t></w:r>
</w:p>
<w:p>
<w:pPr><w:pStyle w:val="Normal"/></w:pPr>
<w:r><w:t xml:space="preserve">other Pushtu-speaking tribes, whom they do not admit to be</w:t></w:r>
</w:p>
<w:p>
<w:pPr><w:pStyle w:val="Normal"/></w:pPr>
<w:r><w:t xml:space="preserve">Afghan.  The bond of affinity between the various peoples who</w:t></w:r>
</w:p>
<w:p>
<w:pPr><w:pStyle w:val="Normal"/></w:pPr>
<w:r><w:t xml:space="preserve">compose the Pathan community is simply the bond of a common</w:t></w:r>
</w:p>
<w:p>
<w:pPr><w:pStyle w:val="Normal"/></w:pPr>
<w:r><w:t xml:space="preserve">language.  All of them recognize a common code or unwritten</w:t></w:r>
</w:p>
<w:p>
<w:pPr><w:pStyle w:val="Normal"/></w:pPr>
<w:r><w:t xml:space="preserve">law called Pukhtunwali, which appears to be similar in general</w:t></w:r>
</w:p>
<w:p>
<w:pPr><w:pStyle w:val="Normal"/></w:pPr>
<w:r><w:t xml:space="preserve">character to the old Hebraic law, though modified by Mahommedan</w:t></w:r>
</w:p>
<w:p>
<w:pPr><w:pStyle w:val="Normal"/></w:pPr>
<w:r><w:t xml:space="preserve">ordinances, and strangely similar in certain particulars to</w:t></w:r>
</w:p>
<w:p>
<w:pPr><w:pStyle w:val="Normal"/></w:pPr>
<w:r><w:t xml:space="preserve">Rajput custom.  Besides their division into clans and tribes,</w:t></w:r>
</w:p>
<w:p>
<w:pPr><w:pStyle w:val="Normal"/></w:pPr>
<w:r><w:t xml:space="preserve">the whole Afghan people may be divided into dwellers in tents</w:t></w:r>
</w:p>
<w:p>
<w:pPr><w:pStyle w:val="Normal"/></w:pPr>
<w:r><w:t xml:space="preserve">and dwellers in houses; and this division is apparently not</w:t></w:r>
</w:p>
<w:p>
<w:pPr><w:pStyle w:val="Normal"/></w:pPr>
<w:r><w:t xml:space="preserve">coincident with tribal divisions, for of several of the great</w:t></w:r>
</w:p>
<w:p>
<w:pPr><w:pStyle w:val="Normal"/></w:pPr>
<w:r><w:t xml:space="preserve">clans at least a part is nomad and a part settled.  Such,</w:t></w:r>
</w:p>
<w:p>
<w:pPr><w:pStyle w:val="Normal"/></w:pPr>
<w:r><w:t xml:space="preserve">e.g., is the (use with the Durani and with the Ghilzai.</w:t></w:r>
</w:p>
<w:p>
<w:pPr><w:pStyle w:val="Normal"/></w:pPr>
<w:r><w:t xml:space="preserve">The settled Afghans form the village communities, and in</w:t></w:r>
</w:p>
<w:p>
<w:pPr><w:pStyle w:val="Heading1"/></w:pPr>
<w:r><w:t>part the population of the few towns.  Their chief occupation</w:t></w:r>
</w:p>
<w:p>
<w:pPr><w:pStyle w:val="Normal"/></w:pPr>
<w:r><w:t xml:space="preserve">is with the soil.  They form the core of the nation and the</w:t></w:r>
</w:p>
<w:p>
<w:pPr><w:pStyle w:val="Normal"/></w:pPr>
<w:r><w:t xml:space="preserve">main part of the army.  Nearly all own the land on which</w:t></w:r>
</w:p>
<w:p>
<w:pPr><w:pStyle w:val="Normal"/></w:pPr>
<w:r><w:t xml:space="preserve">they live, and which they cultivate with their own hands</w:t></w:r>
</w:p>
<w:p>
<w:pPr><w:pStyle w:val="Normal"/></w:pPr>
<w:r><w:t xml:space="preserve">or by hired labour.  Roundly speaking, agriculture and</w:t></w:r>
</w:p>
<w:p>
<w:pPr><w:pStyle w:val="Normal"/></w:pPr>
<w:r><w:t xml:space="preserve">soldiering are their sole occupations.  No Afghan will pursue</w:t></w:r>
</w:p>
<w:p>
<w:pPr><w:pStyle w:val="Normal"/></w:pPr>
<w:r><w:t xml:space="preserve">a handicraft or keep a shop, though the Ghilzai Povindahs</w:t></w:r>
</w:p>
<w:p>
<w:pPr><w:pStyle w:val="Normal"/></w:pPr>
<w:r><w:t xml:space="preserve">engage largely in travelling trade and transport of goods.</w:t></w:r>
</w:p>
<w:p>
<w:pPr><w:pStyle w:val="Normal"/></w:pPr>
<w:r><w:t xml:space="preserve">As a race the Afghans are very handsome and athletic, often</w:t></w:r>
</w:p>
<w:p>
<w:pPr><w:pStyle w:val="Normal"/></w:pPr>
<w:r><w:t xml:space="preserve">with fair complexion and flowing beard, generally black or</w:t></w:r>
</w:p>
<w:p>
<w:pPr><w:pStyle w:val="Normal"/></w:pPr>
<w:r><w:t xml:space="preserve">brown, sometimes, though rarely, red; the features highly</w:t></w:r>
</w:p>
<w:p>
<w:pPr><w:pStyle w:val="Normal"/></w:pPr>
<w:r><w:t xml:space="preserve">aquiline.  The hair is shaved off from the forehead to the</w:t></w:r>
</w:p>
<w:p>
<w:pPr><w:pStyle w:val="Normal"/></w:pPr>
<w:r><w:t xml:space="preserve">top of the head, the remainder at the sides being allowed</w:t></w:r>
</w:p>
<w:p>
<w:pPr><w:pStyle w:val="Normal"/></w:pPr>
<w:r><w:t xml:space="preserve">to fall in large curls over the shoulders.  Their step is</w:t></w:r>
</w:p>
<w:p>
<w:pPr><w:pStyle w:val="Normal"/></w:pPr>
<w:r><w:t xml:space="preserve">full of resolution; their bearing proud and apt to be rough.</w:t></w:r>
</w:p>
<w:p>
<w:pPr><w:pStyle w:val="Normal"/></w:pPr>
<w:r><w:t xml:space="preserve">The women have handsome features of Jewish cast (the</w:t></w:r>
</w:p>
<w:p>
<w:pPr><w:pStyle w:val="Normal"/></w:pPr>
<w:r><w:t xml:space="preserve">last trait often true also of the men); fair complexions,</w:t></w:r>
</w:p>
<w:p>
<w:pPr><w:pStyle w:val="Normal"/></w:pPr>
<w:r><w:t xml:space="preserve">sometimes rosy, though usually a pale sallow; hair braided</w:t></w:r>
</w:p>
<w:p>
<w:pPr><w:pStyle w:val="Normal"/></w:pPr>
<w:r><w:t xml:space="preserve">and plaited behind in two long tresses terminating in silken</w:t></w:r>
</w:p>
<w:p>
<w:pPr><w:pStyle w:val="Normal"/></w:pPr>
<w:r><w:t xml:space="preserve">tassels.  They are rigidly secluded, but intrigue is frequent.</w:t></w:r>
</w:p>
<w:p>
<w:pPr><w:pStyle w:val="Normal"/></w:pPr>
<w:r><w:t xml:space="preserve">The Afghans, inured to bloodshed from childhood, are familiar</w:t></w:r>
</w:p>
<w:p>
<w:pPr><w:pStyle w:val="Normal"/></w:pPr>
<w:r><w:t xml:space="preserve">with death, and audacious in attack, but easily discouraged</w:t></w:r>
</w:p>
<w:p>
<w:pPr><w:pStyle w:val="Normal"/></w:pPr>
<w:r><w:t xml:space="preserve">by failure; excessively turbulent and unsubmissive to law or</w:t></w:r>
</w:p>
<w:p>
<w:pPr><w:pStyle w:val="Normal"/></w:pPr>
<w:r><w:t xml:space="preserve">discipline; apparently frank and affable in manner, especially</w:t></w:r>
</w:p>
<w:p>
<w:pPr><w:pStyle w:val="Normal"/></w:pPr>
<w:r><w:t xml:space="preserve">when they hope to gain some object, but capable of the grossest</w:t></w:r>
</w:p>
<w:p>
<w:pPr><w:pStyle w:val="Normal"/></w:pPr>
<w:r><w:t xml:space="preserve">brutality when that hope ceases.  They are unscrupulous in</w:t></w:r>
</w:p>
<w:p>
<w:pPr><w:pStyle w:val="Normal"/></w:pPr>
<w:r><w:t xml:space="preserve">perjury, treacherous, vain and insatiable, passionate in</w:t></w:r>
</w:p>
<w:p>
<w:pPr><w:pStyle w:val="Normal"/></w:pPr>
<w:r><w:t xml:space="preserve">vindictiveness, which they will satisfy at the cost of their</w:t></w:r>
</w:p>
<w:p>
<w:pPr><w:pStyle w:val="Normal"/></w:pPr>
<w:r><w:t xml:space="preserve">own lives and in the most cruel manner.  Nowhere is crime</w:t></w:r>
</w:p>
<w:p>
<w:pPr><w:pStyle w:val="Normal"/></w:pPr>
<w:r><w:t xml:space="preserve">committed on such trifling grounds, or with such general</w:t></w:r>
</w:p>
<w:p>
<w:pPr><w:pStyle w:val="Normal"/></w:pPr>
<w:r><w:t xml:space="preserve">impunity, though when it is punished the punishment is</w:t></w:r>
</w:p>
<w:p>
<w:pPr><w:pStyle w:val="Normal"/></w:pPr>
<w:r><w:t xml:space="preserve">atrocious.  Among themselves the Afghans are quarrelsome,</w:t></w:r>
</w:p>
<w:p>
<w:pPr><w:pStyle w:val="Normal"/></w:pPr>
<w:r><w:t xml:space="preserve">intriguing and distrustful; estrangements and affrays are of</w:t></w:r>
</w:p>
<w:p>
<w:pPr><w:pStyle w:val="Normal"/></w:pPr>
<w:r><w:t xml:space="preserve">constant occurrence; the traveller conceals and misrepresents</w:t></w:r>
</w:p>
<w:p>
<w:pPr><w:pStyle w:val="Normal"/></w:pPr>
<w:r><w:t xml:space="preserve">the time and direction of his journey.  The Afghan is by breed</w:t></w:r>
</w:p>
<w:p>
<w:pPr><w:pStyle w:val="Normal"/></w:pPr>
<w:r><w:t xml:space="preserve">and nature a bird of prey.  If from habit and tradition he</w:t></w:r>
</w:p>
<w:p>
<w:pPr><w:pStyle w:val="Normal"/></w:pPr>
<w:r><w:t xml:space="preserve">respects a stranger within his threshold, he yet considers it</w:t></w:r>
</w:p>
<w:p>
<w:pPr><w:pStyle w:val="Normal"/></w:pPr>
<w:r><w:t xml:space="preserve">legitimate to warn a neighbour of the prey that is afoot, or</w:t></w:r>
</w:p>
<w:p>
<w:pPr><w:pStyle w:val="Normal"/></w:pPr>
<w:r><w:t xml:space="preserve">even to overtake and plunder his guest after he has quitted his</w:t></w:r>
</w:p>
<w:p>
<w:pPr><w:pStyle w:val="Normal"/></w:pPr>
<w:r><w:t xml:space="preserve">roof.  The repression of crime and the demand of taxation</w:t></w:r>
</w:p>
<w:p>
<w:pPr><w:pStyle w:val="Normal"/></w:pPr>
<w:r><w:t xml:space="preserve">he regards alike as tyranny.  The Afghans are eternally</w:t></w:r>
</w:p>
<w:p>
<w:pPr><w:pStyle w:val="Normal"/></w:pPr>
<w:r><w:t xml:space="preserve">boasting of their lineage, their independence and their</w:t></w:r>
</w:p>
<w:p>
<w:pPr><w:pStyle w:val="Normal"/></w:pPr>
<w:r><w:t xml:space="preserve">prowess.  They look on the Afghans as the first of nations,</w:t></w:r>
</w:p>
<w:p>
<w:pPr><w:pStyle w:val="Normal"/></w:pPr>
<w:r><w:t xml:space="preserve">and each man looks on himself as the equal of any Afghan.</w:t></w:r>
</w:p>
<w:p>
<w:pPr><w:pStyle w:val="Normal"/></w:pPr>
<w:r><w:t xml:space="preserve">They are capable of enduring great privation, and make</w:t></w:r>
</w:p>
<w:p>
<w:pPr><w:pStyle w:val="Normal"/></w:pPr>
<w:r><w:t xml:space="preserve">excellent soldiers under British discipline, though there</w:t></w:r>
</w:p>
<w:p>
<w:pPr><w:pStyle w:val="Normal"/></w:pPr>
<w:r><w:t xml:space="preserve">are but few in the Indian army.  Sobriety and hardiness</w:t></w:r>
</w:p>
<w:p>
<w:pPr><w:pStyle w:val="Normal"/></w:pPr>
<w:r><w:t xml:space="preserve">characterize the bulk of the people, though the higher classes</w:t></w:r>
</w:p>
<w:p>
<w:pPr><w:pStyle w:val="Normal"/></w:pPr>
<w:r><w:t xml:space="preserve">are too often stained with deep and degrading debauchery.</w:t></w:r>
</w:p>
<w:p>
<w:pPr><w:pStyle w:val="Normal"/></w:pPr>
<w:r><w:t xml:space="preserve">The first impression made by the Afghan is favourable.  The</w:t></w:r>
</w:p>
<w:p>
<w:pPr><w:pStyle w:val="Normal"/></w:pPr>
<w:r><w:t xml:space="preserve">European, especially if he come from India, is charmed by</w:t></w:r>
</w:p>
<w:p>
<w:pPr><w:pStyle w:val="Normal"/></w:pPr>
<w:r><w:t xml:space="preserve">their apparently frank, open-hearted, hospitable and manly</w:t></w:r>
</w:p>
<w:p>
<w:pPr><w:pStyle w:val="Normal"/></w:pPr>
<w:r><w:t xml:space="preserve">manners; but the charm is not of long duration, and he finds</w:t></w:r>
</w:p>
<w:p>
<w:pPr><w:pStyle w:val="Normal"/></w:pPr>
<w:r><w:t xml:space="preserve">that the Afghan is as cruel and crafty as he is independent.</w:t></w:r>
</w:p>
<w:p>
<w:pPr><w:pStyle w:val="Normal"/></w:pPr>
<w:r><w:t xml:space="preserve">No trustworthy statistics exist showing either present numbers</w:t></w:r>
</w:p>
<w:p>
<w:pPr><w:pStyle w:val="Normal"/></w:pPr>
<w:r><w:t xml:space="preserve">or fluctuations in the population of Afghanistan.  Within the</w:t></w:r>
</w:p>
<w:p>
<w:pPr><w:pStyle w:val="Normal"/></w:pPr>
<w:r><w:t xml:space="preserve">amir&apos;s dominions there are probably from four to five millions</w:t></w:r>
</w:p>
<w:p>
<w:pPr><w:pStyle w:val="Normal"/></w:pPr>
<w:r><w:t xml:space="preserve">of people, and of these the vast majority are agriculturists.</w:t></w:r>
</w:p>
<w:p>
<w:pPr><w:pStyle w:val="Normal"/></w:pPr>
<w:r><w:t xml:space="preserve">The cultivators, including landowners, tenants, hired labourers</w:t></w:r>
</w:p>
<w:p>
<w:pPr><w:pStyle w:val="Normal"/></w:pPr>
<w:r><w:t xml:space="preserve">and slaves, represent the working population of the country,</w:t></w:r>
</w:p>
<w:p>
<w:pPr><w:pStyle w:val="Normal"/></w:pPr>
<w:r><w:t xml:space="preserve">and as industrious and successful agriculturists they are</w:t></w:r>
</w:p>
<w:p>
<w:pPr><w:pStyle w:val="Normal"/></w:pPr>
<w:r><w:t xml:space="preserve">unsurpassed in Asia.  They have carried the art of irrigation</w:t></w:r>
</w:p>
<w:p>
<w:pPr><w:pStyle w:val="Normal"/></w:pPr>
<w:r><w:t xml:space="preserve">to great perfection, and they utilize every acre of profitable</w:t></w:r>
</w:p>
<w:p>
<w:pPr><w:pStyle w:val="Normal"/></w:pPr>
<w:r><w:t xml:space="preserve">soil.  Certain Ghilzai clans are specially famous for their skill</w:t></w:r>
</w:p>
<w:p>
<w:pPr><w:pStyle w:val="Normal"/></w:pPr>
<w:r><w:t xml:space="preserve">in the construction of the karez or underground water-channel.</w:t></w:r>
</w:p>
<w:p>
<w:pPr><w:pStyle w:val="Normal"/></w:pPr>
<w:r><w:t xml:space="preserve">Religion.</w:t></w:r>
</w:p>
<w:p>
<w:pPr><w:pStyle w:val="Normal"/></w:pPr>
<w:r><w:t xml:space="preserve">The religion of the country throughout is Mahommedan.  Next to</w:t></w:r>
</w:p>
<w:p>
<w:pPr><w:pStyle w:val="Normal"/></w:pPr>
<w:r><w:t xml:space="preserve">Turkey, Afghanistan is the most powerful Mahommedan kingdom in</w:t></w:r>
</w:p>
<w:p>
<w:pPr><w:pStyle w:val="Normal"/></w:pPr>
<w:r><w:t xml:space="preserve">existence.  The vast majority of Afghans are of the Sunni sect;</w:t></w:r>
</w:p>
<w:p>
<w:pPr><w:pStyle w:val="Normal"/></w:pPr>
<w:r><w:t xml:space="preserve">but there are, in their midst, such powerful communities of</w:t></w:r>
</w:p>
<w:p>
<w:pPr><w:pStyle w:val="Normal"/></w:pPr>
<w:r><w:t xml:space="preserve">Shiahs as the Hazaras of the central districts, the Kizilbashes</w:t></w:r>
</w:p>
<w:p>
<w:pPr><w:pStyle w:val="Normal"/></w:pPr>
<w:r><w:t xml:space="preserve">of Kabul and the Turis of the Kurram border, nor is there</w:t></w:r>
</w:p>
<w:p>
<w:pPr><w:pStyle w:val="Normal"/></w:pPr>
<w:r><w:t xml:space="preserve">between them that bitterness of sectarian animosity which is</w:t></w:r>
</w:p>
<w:p>
<w:pPr><w:pStyle w:val="Normal"/></w:pPr>
<w:r><w:t xml:space="preserve">so marked a feature in India.  The Kafirs of the mountainous</w:t></w:r>
</w:p>
<w:p>
<w:pPr><w:pStyle w:val="Normal"/></w:pPr>
<w:r><w:t xml:space="preserve">region of Kafiristan alone are non-Mahommedan.  They are sunk</w:t></w:r>
</w:p>
<w:p>
<w:pPr><w:pStyle w:val="Normal"/></w:pPr>
<w:r><w:t xml:space="preserve">in a paganism which seems to embrace some faint reflexion</w:t></w:r>
</w:p>
<w:p>
<w:pPr><w:pStyle w:val="Normal"/></w:pPr>
<w:r><w:t xml:space="preserve">of Greek mythology, Zoroastrian principles and the tenets of</w:t></w:r>
</w:p>
<w:p>
<w:pPr><w:pStyle w:val="Normal"/></w:pPr>
<w:r><w:t xml:space="preserve">Buddhism, originally gathered, no doubt, from the varied</w:t></w:r>
</w:p>
<w:p>
<w:pPr><w:pStyle w:val="Normal"/></w:pPr>
<w:r><w:t xml:space="preserve">elements of their mixed extraction.  Those contiguous Afghan</w:t></w:r>
</w:p>
<w:p>
<w:pPr><w:pStyle w:val="Normal"/></w:pPr>
<w:r><w:t xml:space="preserve">tribes, who have not so long ago been converted to the faith of</w:t></w:r>
</w:p>
<w:p>
<w:pPr><w:pStyle w:val="Normal"/></w:pPr>
<w:r><w:t xml:space="preserve">Islam, are naturally the most fanatical and the most virulent</w:t></w:r>
</w:p>
<w:p>
<w:pPr><w:pStyle w:val="Normal"/></w:pPr>
<w:r><w:t xml:space="preserve">upholders of the faith around them.  In and about the centre of</w:t></w:r>
</w:p>
<w:p>
<w:pPr><w:pStyle w:val="Normal"/></w:pPr>
<w:r><w:t xml:space="preserve">civilization at Kabul, instances of Ghazism are comparatively</w:t></w:r>
</w:p>
<w:p>
<w:pPr><w:pStyle w:val="Normal"/></w:pPr>
<w:r><w:t xml:space="preserve">rare.  In the western provinces about Kandahar (amongst the</w:t></w:r>
</w:p>
<w:p>
<w:pPr><w:pStyle w:val="Normal"/></w:pPr>
<w:r><w:t xml:space="preserve">Durani Afghans---the people who claim to be Beni-Israel),</w:t></w:r>
</w:p>
<w:p>
<w:pPr><w:pStyle w:val="Normal"/></w:pPr>
<w:r><w:t xml:space="preserve">and especially in Zamindawar, the spirit of fanaticism runs</w:t></w:r>
</w:p>
<w:p>
<w:pPr><w:pStyle w:val="Normal"/></w:pPr>
<w:r><w:t xml:space="preserve">high, and every other Afghan is a possible Ghazi---a man</w:t></w:r>
</w:p>
<w:p>
<w:pPr><w:pStyle w:val="Normal"/></w:pPr>
<w:r><w:t xml:space="preserve">who has devoted his life to the extinction of other creeds.</w:t></w:r>
</w:p>
<w:p>
<w:pPr><w:pStyle w:val="Normal"/></w:pPr>
<w:r><w:t xml:space="preserve">Language and literature.</w:t></w:r>
</w:p>
<w:p>
<w:pPr><w:pStyle w:val="Normal"/></w:pPr>
<w:r><w:t xml:space="preserve">Persian is the vernacular of a large part of the non-Afghan</w:t></w:r>
</w:p>
<w:p>
<w:pPr><w:pStyle w:val="Normal"/></w:pPr>
<w:r><w:t xml:space="preserve">population, and is familiar to all educated Afghans; it</w:t></w:r>
</w:p>
<w:p>
<w:pPr><w:pStyle w:val="Normal"/></w:pPr>
<w:r><w:t xml:space="preserve">is the language of the court and of literature.  Pushtu,</w:t></w:r>
</w:p>
<w:p>
<w:pPr><w:pStyle w:val="Normal"/></w:pPr>
<w:r><w:t xml:space="preserve">however, is the prevailing language, though it does not seem</w:t></w:r>
</w:p>
<w:p>
<w:pPr><w:pStyle w:val="Normal"/></w:pPr>
<w:r><w:t xml:space="preserve">to be spoken in Herat, or, roughly speaking, west of the</w:t></w:r>
</w:p>
<w:p>
<w:pPr><w:pStyle w:val="Normal"/></w:pPr>
<w:r><w:t xml:space="preserve">Helmund.  Turki is spoken in Afghan Turkestan.  There is a</w:t></w:r>
</w:p>
<w:p>
<w:pPr><w:pStyle w:val="Normal"/></w:pPr>
<w:r><w:t xml:space="preserve">respectable amount of Afghan literature.  The oldest work in</w:t></w:r>
</w:p>
<w:p>
<w:pPr><w:pStyle w:val="Normal"/></w:pPr>
<w:r><w:t xml:space="preserve">Pushtu is a history of the conquest of Swat by Shaikh Mali,</w:t></w:r>
</w:p>
<w:p>
<w:pPr><w:pStyle w:val="Normal"/></w:pPr>
<w:r><w:t xml:space="preserve">a chief of the Yusafzais, and leader in the conquest (A.D.</w:t></w:r>
</w:p>
<w:p>
<w:pPr><w:pStyle w:val="Normal"/></w:pPr>
<w:r><w:t xml:space="preserve">1413-24).  In 1494 Kaju Khan became chief of the same</w:t></w:r>
</w:p>
<w:p>
<w:pPr><w:pStyle w:val="Normal"/></w:pPr>
<w:r><w:t xml:space="preserve">clan; during his rule Buner and Panjkora were completely</w:t></w:r>
</w:p>
<w:p>
<w:pPr><w:pStyle w:val="Normal"/></w:pPr>
<w:r><w:t xml:space="preserve">conquered, and he wrote a history of the events.  In the</w:t></w:r>
</w:p>
<w:p>
<w:pPr><w:pStyle w:val="Normal"/></w:pPr>
<w:r><w:t xml:space="preserve">reign of Akbar, Bayazid Ansari, called Pir-i-Roshan, ``the</w:t></w:r>
</w:p>
<w:p>
<w:pPr><w:pStyle w:val="Normal"/></w:pPr>
<w:r><w:t xml:space="preserve">Saint of Light,&apos;&apos; the founder of an heretical sect, wrote</w:t></w:r>
</w:p>
<w:p>
<w:pPr><w:pStyle w:val="Normal"/></w:pPr>
<w:r><w:t xml:space="preserve">in Pushtu; as did his chief antagonist, a famous Afghan</w:t></w:r>
</w:p>
<w:p>
<w:pPr><w:pStyle w:val="Normal"/></w:pPr>
<w:r><w:t xml:space="preserve">saint called Akhund Darweza.  The literature is richest in</w:t></w:r>
</w:p>
<w:p>
<w:pPr><w:pStyle w:val="Normal"/></w:pPr>
<w:r><w:t xml:space="preserve">poetry.  Abdur Rahman (17th century) is the best known poet.</w:t></w:r>
</w:p>
<w:p>
<w:pPr><w:pStyle w:val="Normal"/></w:pPr>
<w:r><w:t xml:space="preserve">Another very popular poet is Khushal Khan, the warlike chief</w:t></w:r>
</w:p>
<w:p>
<w:pPr><w:pStyle w:val="Normal"/></w:pPr>
<w:r><w:t xml:space="preserve">of the Khattaks in the time of Aurangzeb.  Many other members</w:t></w:r>
</w:p>
<w:p>
<w:pPr><w:pStyle w:val="Normal"/></w:pPr>
<w:r><w:t xml:space="preserve">of his family were poets also.  Ahmad Shah, the founder of</w:t></w:r>
</w:p>
<w:p>
<w:pPr><w:pStyle w:val="Normal"/></w:pPr>
<w:r><w:t xml:space="preserve">the monarchy, likewise wrote poetry.  Ballads are numerous.</w:t></w:r>
</w:p>
<w:p>
<w:pPr><w:pStyle w:val="Normal"/></w:pPr>
<w:r><w:t xml:space="preserve">Education.</w:t></w:r>
</w:p>
<w:p>
<w:pPr><w:pStyle w:val="Normal"/></w:pPr>
<w:r><w:t xml:space="preserve">Education is confined to most elementary principles in</w:t></w:r>
</w:p>
<w:p>
<w:pPr><w:pStyle w:val="Normal"/></w:pPr>
<w:r><w:t xml:space="preserve">Afghanistan.  Of schools or colleges for the purposes of a</w:t></w:r>
</w:p>
<w:p>
<w:pPr><w:pStyle w:val="Normal"/></w:pPr>
<w:r><w:t xml:space="preserve">higher education befitted to the sons of noblemen and the</w:t></w:r>
</w:p>
<w:p>
<w:pPr><w:pStyle w:val="Normal"/></w:pPr>
<w:r><w:t xml:space="preserve">more wealthy merchants there are absolutely none; but the</w:t></w:r>
</w:p>
<w:p>
<w:pPr><w:pStyle w:val="Normal"/></w:pPr>
<w:r><w:t xml:space="preserve">village school is an ever-present and very open spectacle</w:t></w:r>
</w:p>
<w:p>
<w:pPr><w:pStyle w:val="Normal"/></w:pPr>
<w:r><w:t xml:space="preserve">to the passer-by.  Here the younger boys are collected and</w:t></w:r>
</w:p>
<w:p>
<w:pPr><w:pStyle w:val="Normal"/></w:pPr>
<w:r><w:t xml:space="preserve">instructed in the rudiments of reading, writing and religious</w:t></w:r>
</w:p>
<w:p>
<w:pPr><w:pStyle w:val="Normal"/></w:pPr>
<w:r><w:t xml:space="preserve">creed by the village mullah, or priest, who thereby acquires</w:t></w:r>
</w:p>
<w:p>
<w:pPr><w:pStyle w:val="Normal"/></w:pPr>
<w:r><w:t xml:space="preserve">an early influence over the Afghan mind.  The method of</w:t></w:r>
</w:p>
<w:p>
<w:pPr><w:pStyle w:val="Normal"/></w:pPr>
<w:r><w:t xml:space="preserve">teaching is confined to that wearisome system of loud-voiced</w:t></w:r>
</w:p>
<w:p>
<w:pPr><w:pStyle w:val="Normal"/></w:pPr>
<w:r><w:t xml:space="preserve">repetition which is so annoying a feature in Indian schools;</w:t></w:r>
</w:p>
<w:p>
<w:pPr><w:pStyle w:val="Normal"/></w:pPr>
<w:r><w:t xml:space="preserve">and the Koran is, of course, the text-book in all forms of</w:t></w:r>
</w:p>
<w:p>
<w:pPr><w:pStyle w:val="Normal"/></w:pPr>
<w:r><w:t xml:space="preserve">education.  Every Afghan gentleman can read and speak</w:t></w:r>
</w:p>
<w:p>
<w:pPr><w:pStyle w:val="Normal"/></w:pPr>
<w:r><w:t xml:space="preserve">Persian, but beyond this acquirement education seems to</w:t></w:r>
</w:p>
<w:p>
<w:pPr><w:pStyle w:val="Normal"/></w:pPr>
<w:r><w:t xml:space="preserve">be limited to the physical development of the youth by</w:t></w:r>
</w:p>
<w:p>
<w:pPr><w:pStyle w:val="Normal"/></w:pPr>
<w:r><w:t xml:space="preserve">instruction in horsemanship and feats of skill.  Such</w:t></w:r>
</w:p>
<w:p>
<w:pPr><w:pStyle w:val="Normal"/></w:pPr>
<w:r><w:t xml:space="preserve">advanced education as exists in Afghanistan is centred in the</w:t></w:r>
</w:p>
<w:p>
<w:pPr><w:pStyle w:val="Normal"/></w:pPr>
<w:r><w:t xml:space="preserve">priests and physicians; but the ignorance of both is extreme.</w:t></w:r>
</w:p>
<w:p>
<w:pPr><w:pStyle w:val="Normal"/></w:pPr>
<w:r><w:t xml:space="preserve">Constitution and laws.</w:t></w:r>
</w:p>
<w:p>
<w:pPr><w:pStyle w:val="Normal"/></w:pPr>
<w:r><w:t xml:space="preserve">The government of Afghanistan is an absolute monarchy under the</w:t></w:r>
</w:p>
<w:p>
<w:pPr><w:pStyle w:val="Normal"/></w:pPr>
<w:r><w:t xml:space="preserve">amir, and succession to the throne is hereditary.  There are</w:t></w:r>
</w:p>
<w:p>
<w:pPr><w:pStyle w:val="Normal"/></w:pPr>
<w:r><w:t xml:space="preserve">five chief political divisions in the country---namely, Kabul,</w:t></w:r>
</w:p>
<w:p>
<w:pPr><w:pStyle w:val="Normal"/></w:pPr>
<w:r><w:t xml:space="preserve">Turkestan, Herat, Kandahar and Badakshan, each of which is ruled</w:t></w:r>
</w:p>
<w:p>
<w:pPr><w:pStyle w:val="Normal"/></w:pPr>
<w:r><w:t xml:space="preserve">by a ``naib&apos;&apos; or governor, whom is directly responsible to the</w:t></w:r>
</w:p>
<w:p>
<w:pPr><w:pStyle w:val="Normal"/></w:pPr>
<w:r><w:t xml:space="preserve">amir.  Under the governors of provinces the nobles and kazis</w:t></w:r>
</w:p>
<w:p>
<w:pPr><w:pStyle w:val="Normal"/></w:pPr>
<w:r><w:t xml:space="preserve">(or district judges) dispense justice much in the feudal</w:t></w:r>
</w:p>
<w:p>
<w:pPr><w:pStyle w:val="Normal"/></w:pPr>
<w:r><w:t xml:space="preserve">fashion.  There are three classes of chiefs who form the council</w:t></w:r>
</w:p>
<w:p>
<w:pPr><w:pStyle w:val="Normal"/></w:pPr>
<w:r><w:t xml:space="preserve">or durbar of the king.  These are the sirdars, the khans and the</w:t></w:r>
</w:p>
<w:p>
<w:pPr><w:pStyle w:val="Normal"/></w:pPr>
<w:r><w:t xml:space="preserve">mullahs.  The sirdars are hereditary nobles, the khans are</w:t></w:r>
</w:p>
<w:p>
<w:pPr><w:pStyle w:val="Normal"/></w:pPr>
<w:r><w:t xml:space="preserve">representatives of the people, and the mullahs of Mahommedan</w:t></w:r>
</w:p>
<w:p>
<w:pPr><w:pStyle w:val="Normal"/></w:pPr>
<w:r><w:t xml:space="preserve">religion.  The khan is elected by the clan or tribe.  The</w:t></w:r>
</w:p>
<w:p>
<w:pPr><w:pStyle w:val="Normal"/></w:pPr>
<w:r><w:t xml:space="preserve">clannish attachment of the Afghans is rather to the community</w:t></w:r>
</w:p>
<w:p>
<w:pPr><w:pStyle w:val="Normal"/></w:pPr>
<w:r><w:t xml:space="preserve">than to the chief.  These three classes of representatives</w:t></w:r>
</w:p>
<w:p>
<w:pPr><w:pStyle w:val="Normal"/></w:pPr>
<w:r><w:t xml:space="preserve">are divided into two assemblies, the Durbar Shahi or royal</w:t></w:r>
</w:p>
<w:p>
<w:pPr><w:pStyle w:val="Normal"/></w:pPr>
<w:r><w:t xml:space="preserve">assembly, and the Kharwanin Mulkhi or commons.  The mullahs</w:t></w:r>
</w:p>
<w:p>
<w:pPr><w:pStyle w:val="Normal"/></w:pPr>
<w:r><w:t xml:space="preserve">take their place in one or the other according to their</w:t></w:r>
</w:p>
<w:p>
<w:pPr><w:pStyle w:val="Normal"/></w:pPr>
<w:r><w:t xml:space="preserve">individual rank.  The executive officials of the amir have</w:t></w:r>
</w:p>
<w:p>
<w:pPr><w:pStyle w:val="Normal"/></w:pPr>
<w:r><w:t xml:space="preserve">a selected body, called the Khilwat, which acts as a cabinet</w:t></w:r>
</w:p>
<w:p>
<w:pPr><w:pStyle w:val="Normal"/></w:pPr>
<w:r><w:t xml:space="preserve">council, but no member can give advice to the crown without</w:t></w:r>
</w:p>
<w:p>
<w:pPr><w:pStyle w:val="Normal"/></w:pPr>
<w:r><w:t xml:space="preserve">being asked to do so, or beyond the jurisdiction of his own</w:t></w:r>
</w:p>
<w:p>
<w:pPr><w:pStyle w:val="Normal"/></w:pPr>
<w:r><w:t xml:space="preserve">department.  The amir, in addition to being chief executive</w:t></w:r>
</w:p>
<w:p>
<w:pPr><w:pStyle w:val="Normal"/></w:pPr>
<w:r><w:t xml:space="preserve">officer, is chief judge and supreme court of appeal.  Any one</w:t></w:r>
</w:p>
<w:p>
<w:pPr><w:pStyle w:val="Normal"/></w:pPr>
<w:r><w:t xml:space="preserve">has the right to appeal to the amir for trial, and the great</w:t></w:r>
</w:p>
<w:p>
<w:pPr><w:pStyle w:val="Normal"/></w:pPr>
<w:r><w:t xml:space="preserve">amirs, Dost Mahommed and Abdurrahman,were accessible at all</w:t></w:r>
</w:p>
<w:p>
<w:pPr><w:pStyle w:val="Normal"/></w:pPr>
<w:r><w:t xml:space="preserve">times to the petitions of their subjects.  Next to the amir</w:t></w:r>
</w:p>
<w:p>
<w:pPr><w:pStyle w:val="Normal"/></w:pPr>
<w:r><w:t xml:space="preserve">comes the court of the kazi, the chief centre of justice,</w:t></w:r>
</w:p>
<w:p>
<w:pPr><w:pStyle w:val="Normal"/></w:pPr>
<w:r><w:t xml:space="preserve">and beneath the kazi comes the kotwal, who performs, as in</w:t></w:r>
</w:p>
<w:p>
<w:pPr><w:pStyle w:val="Normal"/></w:pPr>
<w:r><w:t xml:space="preserve">India, the ordinary functions of a magistrate.  In large</w:t></w:r>
</w:p>
<w:p>
<w:pPr><w:pStyle w:val="Normal"/></w:pPr>
<w:r><w:t xml:space="preserve">provincial towns there is a punchait, or council, for the trial</w:t></w:r>
</w:p>
<w:p>
<w:pPr><w:pStyle w:val="Normal"/></w:pPr>
<w:r><w:t xml:space="preserve">of commercial cases.  There are government departments for</w:t></w:r>
</w:p>
<w:p>
<w:pPr><w:pStyle w:val="Normal"/></w:pPr>
<w:r><w:t xml:space="preserve">the administration of revenue, customs, post-office, military</w:t></w:r>
</w:p>
<w:p>
<w:pPr><w:pStyle w:val="Normal"/></w:pPr>
<w:r><w:t xml:space="preserve">affairs, &amp;c. The general law administered in all the courts</w:t></w:r>
</w:p>
<w:p>
<w:pPr><w:pStyle w:val="Normal"/></w:pPr>
<w:r><w:t xml:space="preserve">of Afghanistan is that of Islam and of the customs of the</w:t></w:r>
</w:p>
<w:p>
<w:pPr><w:pStyle w:val="Normal"/></w:pPr>
<w:r><w:t xml:space="preserve">country, with developments introduced by the Amir Abdur Rahman.</w:t></w:r>
</w:p>
<w:p>
<w:pPr><w:pStyle w:val="Normal"/></w:pPr>
<w:r><w:t xml:space="preserve">Defence.</w:t></w:r>
</w:p>
<w:p>
<w:pPr><w:pStyle w:val="Normal"/></w:pPr>
<w:r><w:t xml:space="preserve">The Afghan army probably numbers 50,000 regulars distributed</w:t></w:r>
</w:p>
<w:p>
<w:pPr><w:pStyle w:val="Normal"/></w:pPr>
<w:r><w:t xml:space="preserve">between the military centres of Herat, Kandahar, Kabul,</w:t></w:r>
</w:p>
<w:p>
<w:pPr><w:pStyle w:val="Normal"/></w:pPr>
<w:r><w:t xml:space="preserve">Mazar-i-Sharif, Jalalabad and Asmar, with detachments at</w:t></w:r>
</w:p>
<w:p>
<w:pPr><w:pStyle w:val="Normal"/></w:pPr>
<w:r><w:t xml:space="preserve">frontier outposts on the side of India.  Abdur Rahman claimed</w:t></w:r>
</w:p>
<w:p>
<w:pPr><w:pStyle w:val="Normal"/></w:pPr>
<w:r><w:t xml:space="preserve">that he could put 100,000 men into the field within a week</w:t></w:r>
</w:p>
<w:p>
<w:pPr><w:pStyle w:val="Normal"/></w:pPr>
<w:r><w:t xml:space="preserve">for the defence of Herat.  In 1896 he introduced a system of</w:t></w:r>
</w:p>
<w:p>
<w:pPr><w:pStyle w:val="Normal"/></w:pPr>
<w:r><w:t xml:space="preserve">semi-enforced service whereby one man in every eight between</w:t></w:r>
</w:p>
<w:p>
<w:pPr><w:pStyle w:val="Normal"/></w:pPr>
<w:r><w:t xml:space="preserve">the ages of sixteen and seventy takes his turn at military</w:t></w:r>
</w:p>
<w:p>
<w:pPr><w:pStyle w:val="Normal"/></w:pPr>
<w:r><w:t xml:space="preserve">training.  In this way he calculated that he could have raised</w:t></w:r>
</w:p>
<w:p>
<w:pPr><w:pStyle w:val="Normal"/></w:pPr>
<w:r><w:t xml:space="preserve">1,000,000 men armed with modern weapons, but his chief difficulty</w:t></w:r>
</w:p>
<w:p>
<w:pPr><w:pStyle w:val="Normal"/></w:pPr>
<w:r><w:t xml:space="preserve">would be money and transport.  The pay of the army is apt to be</w:t></w:r>
</w:p>
<w:p>
<w:pPr><w:pStyle w:val="Normal"/></w:pPr>
<w:r><w:t xml:space="preserve">irregular.  The amir&apos;s factories at Kabul for arms and ammunition</w:t></w:r>
</w:p>
<w:p>
<w:pPr><w:pStyle w:val="Normal"/></w:pPr>
<w:r><w:t xml:space="preserve">are said to turn out about 20,000 cartridges and 15 rifles</w:t></w:r>
</w:p>
<w:p>
<w:pPr><w:pStyle w:val="Normal"/></w:pPr>
<w:r><w:t xml:space="preserve">daily, with 2 guns per week; but the arms thus produced are</w:t></w:r>
</w:p>
<w:p>
<w:pPr><w:pStyle w:val="Normal"/></w:pPr>
<w:r><w:t xml:space="preserve">very heterogeneous, and the different varieties of cartridge</w:t></w:r>
</w:p>
<w:p>
<w:pPr><w:pStyle w:val="Normal"/></w:pPr>
<w:r><w:t xml:space="preserve">used would cause endless complications.  The two chief</w:t></w:r>
</w:p>
<w:p>
<w:pPr><w:pStyle w:val="Normal"/></w:pPr>
<w:r><w:t xml:space="preserve">fastnesses of Northern Afghanistan are Herat and Dehdadi near</w:t></w:r>
</w:p>
<w:p>
<w:pPr><w:pStyle w:val="Normal"/></w:pPr>
<w:r><w:t xml:space="preserve">Balkh.  The latter fort took twelve years to build, and</w:t></w:r>
</w:p>
<w:p>
<w:pPr><w:pStyle w:val="Normal"/></w:pPr>
<w:r><w:t xml:space="preserve">commands all the roads leading from the Oxus into Afghan</w:t></w:r>
</w:p>
<w:p>
<w:pPr><w:pStyle w:val="Normal"/></w:pPr>
<w:r><w:t xml:space="preserve">Turkestan.  It is armed with naval quick-firing guns, Krupp,</w:t></w:r>
</w:p>
<w:p>
<w:pPr><w:pStyle w:val="Normal"/></w:pPr>
<w:r><w:t xml:space="preserve">Hotchkiss, Nordenfeld and Maxim.  The chief cantonment for</w:t></w:r>
</w:p>
<w:p>
<w:pPr><w:pStyle w:val="Normal"/></w:pPr>
<w:r><w:t xml:space="preserve">the same district is at Mazar-i-Sharif, 12 m. from Balkh.</w:t></w:r>
</w:p>
<w:p>
<w:pPr><w:pStyle w:val="Normal"/></w:pPr>
<w:r><w:t xml:space="preserve">Finance.</w:t></w:r>
</w:p>
<w:p>
<w:pPr><w:pStyle w:val="Normal"/></w:pPr>
<w:r><w:t xml:space="preserve">Financially, Afghanistan has never, since it first became a</w:t></w:r>
</w:p>
<w:p>
<w:pPr><w:pStyle w:val="Normal"/></w:pPr>
<w:r><w:t xml:space="preserve">kingdom, been able to pay for its own government, public</w:t></w:r>
</w:p>
<w:p>
<w:pPr><w:pStyle w:val="Normal"/></w:pPr>
<w:r><w:t xml:space="preserve">works and army.  There appears to be no inherent reason why</w:t></w:r>
</w:p>
<w:p>
<w:pPr><w:pStyle w:val="Normal"/></w:pPr>
<w:r><w:t xml:space="preserve">this should be so.  Whilst it can never (in the absence of</w:t></w:r>
</w:p>
<w:p>
<w:pPr><w:pStyle w:val="Normal"/></w:pPr>
<w:r><w:t xml:space="preserve">any great mineral wealth) develop into a wealthy country,</w:t></w:r>
</w:p>
<w:p>
<w:pPr><w:pStyle w:val="Normal"/></w:pPr>
<w:r><w:t xml:space="preserve">it can at least support its own population; and it would,</w:t></w:r>
</w:p>
<w:p>
<w:pPr><w:pStyle w:val="Normal"/></w:pPr>
<w:r><w:t xml:space="preserve">but for the short-sighted trade policy of Abdur Rahman,</w:t></w:r>
</w:p>
<w:p>
<w:pPr><w:pStyle w:val="Normal"/></w:pPr>
<w:r><w:t xml:space="preserve">certainly have risen to a position of respectable solvency.</w:t></w:r>
</w:p>
<w:p>
<w:pPr><w:pStyle w:val="Normal"/></w:pPr>
<w:r><w:t xml:space="preserve">Its revenues (about which no trustworthy information is</w:t></w:r>
</w:p>
<w:p>
<w:pPr><w:pStyle w:val="Normal"/></w:pPr>
<w:r><w:t xml:space="preserve">available) are subject to great fluctuations, and probably</w:t></w:r>
</w:p>
<w:p>
<w:pPr><w:pStyle w:val="Normal"/></w:pPr>
<w:r><w:t xml:space="preserve">never exceed the value of one million sterling per annum.</w:t></w:r>
</w:p>
<w:p>
<w:pPr><w:pStyle w:val="Normal"/></w:pPr>
<w:r><w:t xml:space="preserve">They fell in Shere Ali&apos;s time to L. 700,000.  The original</w:t></w:r>
</w:p>
<w:p>
<w:pPr><w:pStyle w:val="Normal"/></w:pPr>
<w:r><w:t xml:space="preserve">subsidy to the amir from the Indian government was fixed</w:t></w:r>
</w:p>
<w:p>
<w:pPr><w:pStyle w:val="Normal"/></w:pPr>
<w:r><w:t xml:space="preserve">at 12 lakhs of rupees (L. 80,000) per annum, but in 1893, in</w:t></w:r>
</w:p>
<w:p>
<w:pPr><w:pStyle w:val="Normal"/></w:pPr>
<w:r><w:t xml:space="preserve">connexion with the boundary settlement, it was increased to</w:t></w:r>
</w:p>
<w:p>
<w:pPr><w:pStyle w:val="Normal"/></w:pPr>
<w:r><w:t xml:space="preserve">Minerals.</w:t></w:r>
</w:p>
<w:p>
<w:pPr><w:pStyle w:val="Normal"/></w:pPr>
<w:r><w:t xml:space="preserve">Few minerals are wrought in Afghanistan, though Abdur Rahman</w:t></w:r>
</w:p>
<w:p>
<w:pPr><w:pStyle w:val="Normal"/></w:pPr>
<w:r><w:t xml:space="preserve">claims in his autobiography that the country is rich in</w:t></w:r>
</w:p>
<w:p>
<w:pPr><w:pStyle w:val="Normal"/></w:pPr>
<w:r><w:t xml:space="preserve">mines.  Some small quantity of gold is taken from the streams in</w:t></w:r>
</w:p>
<w:p>
<w:pPr><w:pStyle w:val="Normal"/></w:pPr>
<w:r><w:t xml:space="preserve">Laghman and the adjoining districts.  Famous silver mines were</w:t></w:r>
</w:p>
<w:p>
<w:pPr><w:pStyle w:val="Normal"/></w:pPr>
<w:r><w:t xml:space="preserve">formerly worked near the head of the Panjshir valley in Hindu</w:t></w:r>
</w:p>
<w:p>
<w:pPr><w:pStyle w:val="Normal"/></w:pPr>
<w:r><w:t xml:space="preserve">Kush.  Kabul is chiefly supplied with iron from the Permuli</w:t></w:r>
</w:p>
<w:p>
<w:pPr><w:pStyle w:val="Normal"/></w:pPr>
<w:r><w:t xml:space="preserve">(or Farmuli) district, between the Upper Kurram and Gomal,</w:t></w:r>
</w:p>
<w:p>
<w:pPr><w:pStyle w:val="Normal"/></w:pPr>
<w:r><w:t xml:space="preserve">where it is said to be abundant.  Iron ore is most abundant</w:t></w:r>
</w:p>
<w:p>
<w:pPr><w:pStyle w:val="Normal"/></w:pPr>
<w:r><w:t xml:space="preserve">near the passes leading to Bamian, and in other parts of Hindu</w:t></w:r>
</w:p>
<w:p>
<w:pPr><w:pStyle w:val="Normal"/></w:pPr>
<w:r><w:t xml:space="preserve">Kush.  Copper ore from various parts of Afghanistan has been</w:t></w:r>
</w:p>
<w:p>
<w:pPr><w:pStyle w:val="Normal"/></w:pPr>
<w:r><w:t xml:space="preserve">seen, but it is nowhere worked.  Lead is found in Upper</w:t></w:r>
</w:p>
<w:p>
<w:pPr><w:pStyle w:val="Normal"/></w:pPr>
<w:r><w:t xml:space="preserve">Bangash (Kurram district), and in the Shinwari country (also</w:t></w:r>
</w:p>
<w:p>
<w:pPr><w:pStyle w:val="Normal"/></w:pPr>
<w:r><w:t xml:space="preserve">among the branches of Safed Koh), and in the Kakar country.</w:t></w:r>
</w:p>
<w:p>
<w:pPr><w:pStyle w:val="Normal"/></w:pPr>
<w:r><w:t xml:space="preserve">There are reported to be rich lead mines near Herat scarcely</w:t></w:r>
</w:p>
<w:p>
<w:pPr><w:pStyle w:val="Normal"/></w:pPr>
<w:r><w:t xml:space="preserve">worked.  Lead, with antimony, is found near the Arghand-ab, 32</w:t></w:r>
</w:p>
<w:p>
<w:pPr><w:pStyle w:val="Normal"/></w:pPr>
<w:r><w:t xml:space="preserve">m. north-west of Ghazni, and in the Ghorband valley, north of</w:t></w:r>
</w:p>
<w:p>
<w:pPr><w:pStyle w:val="Normal"/></w:pPr>
<w:r><w:t xml:space="preserve">Kabul.  Most of the lead used, however, comes from the Hazara</w:t></w:r>
</w:p>
<w:p>
<w:pPr><w:pStyle w:val="Normal"/></w:pPr>
<w:r><w:t xml:space="preserve">country, where the ore is described as being gathered on the</w:t></w:r>
</w:p>
<w:p>
<w:pPr><w:pStyle w:val="Normal"/></w:pPr>
<w:r><w:t xml:space="preserve">surface.  An ancient mine of great extent and elaborate</w:t></w:r>
</w:p>
<w:p>
<w:pPr><w:pStyle w:val="Normal"/></w:pPr>
<w:r><w:t xml:space="preserve">character exists at Feringal, in the Ghorband valley.  Antimony</w:t></w:r>
</w:p>
<w:p>
<w:pPr><w:pStyle w:val="Normal"/></w:pPr>
<w:r><w:t xml:space="preserve">is obtained in considerable quantities at Shah-Maksud, about</w:t></w:r>
</w:p>
<w:p>
<w:pPr><w:pStyle w:val="Normal"/></w:pPr>
<w:r><w:t xml:space="preserve">30 m. north of Kandahar.  Sulphur is said to be found at</w:t></w:r>
</w:p>
<w:p>
<w:pPr><w:pStyle w:val="Normal"/></w:pPr>
<w:r><w:t xml:space="preserve">Herat, dug from the soil in small fragments, but the chief</w:t></w:r>
</w:p>
<w:p>
<w:pPr><w:pStyle w:val="Normal"/></w:pPr>
<w:r><w:t xml:space="preserve">supply comes from the Hazara country and from Pirkisri,</w:t></w:r>
</w:p>
<w:p>
<w:pPr><w:pStyle w:val="Normal"/></w:pPr>
<w:r><w:t xml:space="preserve">on the confines of Seistan, where there would seem to be a</w:t></w:r>
</w:p>
<w:p>
<w:pPr><w:pStyle w:val="Normal"/></w:pPr>
<w:r><w:t xml:space="preserve">crater, or fumarole.  Sal-ammoniac is brought from the same</w:t></w:r>
</w:p>
<w:p>
<w:pPr><w:pStyle w:val="Normal"/></w:pPr>
<w:r><w:t xml:space="preserve">place.  Gypsum is found in large quantities in the plain of</w:t></w:r>
</w:p>
<w:p>
<w:pPr><w:pStyle w:val="Normal"/></w:pPr>
<w:r><w:t xml:space="preserve">Kandahar, being dug out in fragile coralline masses from near the</w:t></w:r>
</w:p>
<w:p>
<w:pPr><w:pStyle w:val="Normal"/></w:pPr>
<w:r><w:t xml:space="preserve">surface.  Coal (perhaps lignite) is said to be found in Zurmat</w:t></w:r>
</w:p>
<w:p>
<w:pPr><w:pStyle w:val="Normal"/></w:pPr>
<w:r><w:t xml:space="preserve">(between the Upper Kurram and the Gomal) and near Ghazni.  Nitre</w:t></w:r>
</w:p>
<w:p>
<w:pPr><w:pStyle w:val="Normal"/></w:pPr>
<w:r><w:t xml:space="preserve">abounds in the soil over all the south-west of Afghanistan, and</w:t></w:r>
</w:p>
<w:p>
<w:pPr><w:pStyle w:val="Normal"/></w:pPr>
<w:r><w:t xml:space="preserve">often affects the water of the karez or subterranean canals.</w:t></w:r>
</w:p>
<w:p>
<w:pPr><w:pStyle w:val="Normal"/></w:pPr>
<w:r><w:t xml:space="preserve">Vegetation.</w:t></w:r>
</w:p>
<w:p>
<w:pPr><w:pStyle w:val="Normal"/></w:pPr>
<w:r><w:t xml:space="preserve">The characteristic distribution of vegetation on the mountains</w:t></w:r>
</w:p>
<w:p>
<w:pPr><w:pStyle w:val="Normal"/></w:pPr>
<w:r><w:t xml:space="preserve">of Afghanistan is worthy of attention.  The great mass of it</w:t></w:r>
</w:p>
<w:p>
<w:pPr><w:pStyle w:val="Normal"/></w:pPr>
<w:r><w:t xml:space="preserve">is confined to the main ranges and their immediate off-shoots,</w:t></w:r>
</w:p>
<w:p>
<w:pPr><w:pStyle w:val="Normal"/></w:pPr>
<w:r><w:t xml:space="preserve">whilst on the more distant and terminal prolongations it is</w:t></w:r>
</w:p>
<w:p>
<w:pPr><w:pStyle w:val="Normal"/></w:pPr>
<w:r><w:t xml:space="preserve">almost entirely absent; in fact, these are naked rock and stone.</w:t></w:r>
</w:p>
<w:p>
<w:pPr><w:pStyle w:val="Normal"/></w:pPr>
<w:r><w:t xml:space="preserve">Take, for example, the Safed Koh. On the alpine range itself</w:t></w:r>
</w:p>
<w:p>
<w:pPr><w:pStyle w:val="Normal"/></w:pPr>
<w:r><w:t xml:space="preserve">and its immediate branches, at a height of 6000 to 10,000</w:t></w:r>
</w:p>
<w:p>
<w:pPr><w:pStyle w:val="Normal"/></w:pPr>
<w:r><w:t xml:space="preserve">ft., we have abundant growth of large forest trees, among</w:t></w:r>
</w:p>
<w:p>
<w:pPr><w:pStyle w:val="Normal"/></w:pPr>
<w:r><w:t xml:space="preserve">which conifers are the most noble and prominent, such as</w:t></w:r>
</w:p>
<w:p>
<w:pPr><w:pStyle w:val="Normal"/></w:pPr>
<w:r><w:t xml:space="preserve">Cedrus Deodara, Abies excelsa, Pinus longifolia, P.</w:t></w:r>
</w:p>
<w:p>
<w:pPr><w:pStyle w:val="Normal"/></w:pPr>
<w:r><w:t xml:space="preserve">Pinaster, P. Pinea (the edible pine) and the larch.  We</w:t></w:r>
</w:p>
<w:p>
<w:pPr><w:pStyle w:val="Normal"/></w:pPr>
<w:r><w:t xml:space="preserve">have also the yew, the hazel, juniper, walnut, wild peach and</w:t></w:r>
</w:p>
<w:p>
<w:pPr><w:pStyle w:val="Normal"/></w:pPr>
<w:r><w:t xml:space="preserve">almond.  Growing under the shade of these are several</w:t></w:r>
</w:p>
<w:p>
<w:pPr><w:pStyle w:val="Normal"/></w:pPr>
<w:r><w:t xml:space="preserve">varieties of rose, honeysuckle, currant, gooseberry, hawthorn,</w:t></w:r>
</w:p>
<w:p>
<w:pPr><w:pStyle w:val="Normal"/></w:pPr>
<w:r><w:t xml:space="preserve">rhododendron and a luxuriant herbage, among which the</w:t></w:r>
</w:p>
<w:p>
<w:pPr><w:pStyle w:val="Normal"/></w:pPr>
<w:r><w:t xml:space="preserve">ranunculus family is important for frequency and number of</w:t></w:r>
</w:p>
<w:p>
<w:pPr><w:pStyle w:val="Normal"/></w:pPr>
<w:r><w:t xml:space="preserve">genera.  The lemon and wild vine are also here met with,</w:t></w:r>
</w:p>
<w:p>
<w:pPr><w:pStyle w:val="Normal"/></w:pPr>
<w:r><w:t xml:space="preserve">but are more common on the northern mountains.  The walnut</w:t></w:r>
</w:p>
<w:p>
<w:pPr><w:pStyle w:val="Normal"/></w:pPr>
<w:r><w:t xml:space="preserve">and oak (evergreen, holly-leaved and kermes) descend to the</w:t></w:r>
</w:p>
<w:p>
<w:pPr><w:pStyle w:val="Normal"/></w:pPr>
<w:r><w:t xml:space="preserve">secondary heights, where they become mixed with alder, ash,</w:t></w:r>
</w:p>
<w:p>
<w:pPr><w:pStyle w:val="Normal"/></w:pPr>
<w:r><w:t xml:space="preserve">khinjak, Arbor-vitae, juniper, with species of Astragalus,</w:t></w:r>
</w:p>
<w:p>
<w:pPr><w:pStyle w:val="Normal"/></w:pPr>
<w:r><w:t xml:space="preserve">&amp;c. Here also are Indigoferae rind dwarf laburnum.</w:t></w:r>
</w:p>
<w:p>
<w:pPr><w:pStyle w:val="Normal"/></w:pPr>
<w:r><w:t xml:space="preserve">Lower again, and down to 3000 ft. we have wild olive, species</w:t></w:r>
</w:p>
<w:p>
<w:pPr><w:pStyle w:val="Normal"/></w:pPr>
<w:r><w:t xml:space="preserve">of rock-rose, wild privet, acacias and mimosas, barberry and</w:t></w:r>
</w:p>
<w:p>
<w:pPr><w:pStyle w:val="Normal"/></w:pPr>
<w:r><w:t xml:space="preserve">Zizyphus; and in the eastern ramifications of the chain,</w:t></w:r>
</w:p>
<w:p>
<w:pPr><w:pStyle w:val="Normal"/></w:pPr>
<w:r><w:t xml:space="preserve">Chamaerops humilis (which is applied to a variety of useful</w:t></w:r>
</w:p>
<w:p>
<w:pPr><w:pStyle w:val="Normal"/></w:pPr>
<w:r><w:t xml:space="preserve">purposes), Bignonia or trumpet flower, sissu, Salvadora</w:t></w:r>
</w:p>
<w:p>
<w:pPr><w:pStyle w:val="Normal"/></w:pPr>
<w:r><w:t xml:space="preserve">persica, verbena, acanthus, varieties of Gesnerae.</w:t></w:r>
</w:p>
<w:p>
<w:pPr><w:pStyle w:val="Normal"/></w:pPr>
<w:r><w:t xml:space="preserve">The lowest terminal ridges, especially towards the west, are,</w:t></w:r>
</w:p>
<w:p>
<w:pPr><w:pStyle w:val="Normal"/></w:pPr>
<w:r><w:t xml:space="preserve">as has been said, naked in aspect.  Their scanty vegetation is</w:t></w:r>
</w:p>
<w:p>
<w:pPr><w:pStyle w:val="Normal"/></w:pPr>
<w:r><w:t xml:space="preserve">almost wholly herbal; shrubs are only occasional; trees almost</w:t></w:r>
</w:p>
<w:p>
<w:pPr><w:pStyle w:val="Normal"/></w:pPr>
<w:r><w:t xml:space="preserve">non-existent.  Labiate, composite and umbelliferous plants are most</w:t></w:r>
</w:p>
<w:p>
<w:pPr><w:pStyle w:val="Normal"/></w:pPr>
<w:r><w:t xml:space="preserve">common.  Ferns and mosses are almost confined to the higher ranges.</w:t></w:r>
</w:p>
<w:p>
<w:pPr><w:pStyle w:val="Normal"/></w:pPr>
<w:r><w:t xml:space="preserve">In the low brushwood scattered over portions of the dreary</w:t></w:r>
</w:p>
<w:p>
<w:pPr><w:pStyle w:val="Normal"/></w:pPr>
<w:r><w:t xml:space="preserve">plains of the Kandahar table-lands, we find leguminous</w:t></w:r>
</w:p>
<w:p>
<w:pPr><w:pStyle w:val="Normal"/></w:pPr>
<w:r><w:t xml:space="preserve">thorny plants of the papilionaceous sub-order, such as</w:t></w:r>
</w:p>
<w:p>
<w:pPr><w:pStyle w:val="Normal"/></w:pPr>
<w:r><w:t xml:space="preserve">camel-thorn (Hedysarum Alhagi), Astragalus in several</w:t></w:r>
</w:p>
<w:p>
<w:pPr><w:pStyle w:val="Normal"/></w:pPr>
<w:r><w:t xml:space="preserve">varieties, spiny rest-harrow (Ononis spinosa), the</w:t></w:r>
</w:p>
<w:p>
<w:pPr><w:pStyle w:val="Normal"/></w:pPr>
<w:r><w:t xml:space="preserve">fibrous roots of which often serve as a tooth-brush; plants</w:t></w:r>
</w:p>
<w:p>
<w:pPr><w:pStyle w:val="Normal"/></w:pPr>
<w:r><w:t xml:space="preserve">of the sub-order Mimosae, as the sensitive mimosa; a</w:t></w:r>
</w:p>
<w:p>
<w:pPr><w:pStyle w:val="Normal"/></w:pPr>
<w:r><w:t xml:space="preserve">plant of the rue family, called by the natives lipad the</w:t></w:r>
</w:p>
<w:p>
<w:pPr><w:pStyle w:val="Normal"/></w:pPr>
<w:r><w:t xml:space="preserve">common wormwood; also certain orchids, and several species</w:t></w:r>
</w:p>
<w:p>
<w:pPr><w:pStyle w:val="Normal"/></w:pPr>
<w:r><w:t xml:space="preserve">of Salsola. The rue and wormwood are in general use as</w:t></w:r>
</w:p>
<w:p>
<w:pPr><w:pStyle w:val="Normal"/></w:pPr>
<w:r><w:t xml:space="preserve">domestic medicines---the former for rheumatism and neuralgia;</w:t></w:r>
</w:p>
<w:p>
<w:pPr><w:pStyle w:val="Normal"/></w:pPr>
<w:r><w:t xml:space="preserve">the latter in fever, debility and dyspepsia, as well as for a</w:t></w:r>
</w:p>
<w:p>
<w:pPr><w:pStyle w:val="Normal"/></w:pPr>
<w:r><w:t xml:space="preserve">vermifuge.  The lipad, owing to its heavy nauseous odour,</w:t></w:r>
</w:p>
<w:p>
<w:pPr><w:pStyle w:val="Normal"/></w:pPr>
<w:r><w:t xml:space="preserve">is believed to keep off evil soirits.  In some places,</w:t></w:r>
</w:p>
<w:p>
<w:pPr><w:pStyle w:val="Normal"/></w:pPr>
<w:r><w:t xml:space="preserve">occupying the sides and hollows of ravines, are found the</w:t></w:r>
</w:p>
<w:p>
<w:pPr><w:pStyle w:val="Normal"/></w:pPr>
<w:r><w:t xml:space="preserve">rose bay (Nerium Oleander), called in Persian khar-zarah,</w:t></w:r>
</w:p>
<w:p>
<w:pPr><w:pStyle w:val="Normal"/></w:pPr>
<w:r><w:t xml:space="preserve">or ass-bane, the wild laburnum and various Indigoferae.</w:t></w:r>
</w:p>
<w:p>
<w:pPr><w:pStyle w:val="Normal"/></w:pPr>
<w:r><w:t xml:space="preserve">In cultivated districts the chief trees seen are mulberry, willow, poplar,</w:t></w:r>
</w:p>
<w:p>
<w:pPr><w:pStyle w:val="Normal"/></w:pPr>
<w:r><w:t xml:space="preserve">ash, and occasionally the plane; but these are due to man&apos;s planting.</w:t></w:r>
</w:p>
<w:p>
<w:pPr><w:pStyle w:val="Normal"/></w:pPr>
<w:r><w:t xml:space="preserve">Uncultivated products of value.</w:t></w:r>
</w:p>
<w:p>
<w:pPr><w:pStyle w:val="Normal"/></w:pPr>
<w:r><w:t xml:space="preserve">One of the most important of these is the gum-resin of Narthex</w:t></w:r>
</w:p>
<w:p>
<w:pPr><w:pStyle w:val="Normal"/></w:pPr>
<w:r><w:t xml:space="preserve">asafetida, which grows abundantly in the high and dry</w:t></w:r>
</w:p>
<w:p>
<w:pPr><w:pStyle w:val="Normal"/></w:pPr>
<w:r><w:t xml:space="preserve">plains of eastern Afghanistan, especially between Kandahar and</w:t></w:r>
</w:p>
<w:p>
<w:pPr><w:pStyle w:val="Normal"/></w:pPr>
<w:r><w:t xml:space="preserve">Herat.  The depot for it is Kandahar, whence it finds its way to</w:t></w:r>
</w:p>
<w:p>
<w:pPr><w:pStyle w:val="Normal"/></w:pPr>
<w:r><w:t xml:space="preserve">India, where it is much used as a condiment.  It is not so used</w:t></w:r>
</w:p>
<w:p>
<w:pPr><w:pStyle w:val="Normal"/></w:pPr>
<w:r><w:t xml:space="preserve">in Afghanistan, but the Seistan people eat the green stalks of</w:t></w:r>
</w:p>
<w:p>
<w:pPr><w:pStyle w:val="Normal"/></w:pPr>
<w:r><w:t xml:space="preserve">the plant preserved in brine.  The collection of the gum-resin</w:t></w:r>
</w:p>
<w:p>
<w:pPr><w:pStyle w:val="Normal"/></w:pPr>
<w:r><w:t xml:space="preserve">is almost entirely in the hands of the Kakar clan of Afghans.</w:t></w:r>
</w:p>
<w:p>
<w:pPr><w:pStyle w:val="Normal"/></w:pPr>
<w:r><w:t xml:space="preserve">In the highlands of Kabul edible rhubarb is an important local</w:t></w:r>
</w:p>
<w:p>
<w:pPr><w:pStyle w:val="Normal"/></w:pPr>
<w:r><w:t xml:space="preserve">luxury.  The plants grow wild in the mountains.  The bleached</w:t></w:r>
</w:p>
<w:p>
<w:pPr><w:pStyle w:val="Normal"/></w:pPr>
<w:r><w:t xml:space="preserve">rhubarb, which has a very delicate flavour, is altered by covering</w:t></w:r>
</w:p>
<w:p>
<w:pPr><w:pStyle w:val="Normal"/></w:pPr>
<w:r><w:t xml:space="preserve">the young leaves, as they sprout from the soil, with loose</w:t></w:r>
</w:p>
<w:p>
<w:pPr><w:pStyle w:val="Normal"/></w:pPr>
<w:r><w:t xml:space="preserve">stones or an empty jar.  The leaf-stalks are gathered by the</w:t></w:r>
</w:p>
<w:p>
<w:pPr><w:pStyle w:val="Normal"/></w:pPr>
<w:r><w:t xml:space="preserve">neighbouring hill people, and carried down for sale.  Bleached and</w:t></w:r>
</w:p>
<w:p>
<w:pPr><w:pStyle w:val="Normal"/></w:pPr>
<w:r><w:t xml:space="preserve">unbleached rhubarb are both largely consumed, both raw and cooked.</w:t></w:r>
</w:p>
<w:p>
<w:pPr><w:pStyle w:val="Normal"/></w:pPr>
<w:r><w:t xml:space="preserve">The walnut and edible pine-nut are both wild growths, which are exported.</w:t></w:r>
</w:p>
<w:p>
<w:pPr><w:pStyle w:val="Normal"/></w:pPr>
<w:r><w:t xml:space="preserve">The sanjit (Elaeaguns orientalis), common on the banks of</w:t></w:r>
</w:p>
<w:p>
<w:pPr><w:pStyle w:val="Normal"/></w:pPr>
<w:r><w:t xml:space="preserve">water-courses, furnishes an edible fruit.  An orchis found in</w:t></w:r>
</w:p>
<w:p>
<w:pPr><w:pStyle w:val="Normal"/></w:pPr>
<w:r><w:t xml:space="preserve">the mountain yields the dried tuber which affords the nutritious</w:t></w:r>
</w:p>
<w:p>
<w:pPr><w:pStyle w:val="Normal"/></w:pPr>
<w:r><w:t xml:space="preserve">mucilage called salep: a good deal of this goes to India.</w:t></w:r>
</w:p>
<w:p>
<w:pPr><w:pStyle w:val="Normal"/></w:pPr>
<w:r><w:t xml:space="preserve">Pistacia khinjak affords a mastic.  The fruit, mixed with</w:t></w:r>
</w:p>
<w:p>
<w:pPr><w:pStyle w:val="Normal"/></w:pPr>
<w:r><w:t xml:space="preserve">its resin, is used for food by the Achakzais in Southern</w:t></w:r>
</w:p>
<w:p>
<w:pPr><w:pStyle w:val="Normal"/></w:pPr>
<w:r><w:t xml:space="preserve">Afghanistan.The true pistachio is found only on the northern</w:t></w:r>
</w:p>
<w:p>
<w:pPr><w:pStyle w:val="Normal"/></w:pPr>
<w:r><w:t xml:space="preserve">frontier; the nuts are imported from Badakshan and Kunduz by the</w:t></w:r>
</w:p>
<w:p>
<w:pPr><w:pStyle w:val="Normal"/></w:pPr>
<w:r><w:t xml:space="preserve">Hindus of the towns, to whom they supply a substitute for meat.</w:t></w:r>
</w:p>
<w:p>
<w:pPr><w:pStyle w:val="Normal"/></w:pPr>
<w:r><w:t xml:space="preserve">Manna, of at least two kinds, is sold in the bazaars.</w:t></w:r>
</w:p>
<w:p>
<w:pPr><w:pStyle w:val="Normal"/></w:pPr>
<w:r><w:t xml:space="preserve">One, called turanjbin, apoears to exude, in small round</w:t></w:r>
</w:p>
<w:p>
<w:pPr><w:pStyle w:val="Normal"/></w:pPr>
<w:r><w:t xml:space="preserve">tears, from the camelthorn, and also from the dwarf tamarisk;</w:t></w:r>
</w:p>
<w:p>
<w:pPr><w:pStyle w:val="Normal"/></w:pPr>
<w:r><w:t xml:space="preserve">the other, sir-kasht, in large grains and irregular</w:t></w:r>
</w:p>
<w:p>
<w:pPr><w:pStyle w:val="Normal"/></w:pPr>
<w:r><w:t xml:space="preserve">masses or cakes with bits of twig imbedded, is obtained</w:t></w:r>
</w:p>
<w:p>
<w:pPr><w:pStyle w:val="Normal"/></w:pPr>
<w:r><w:t xml:space="preserve">from a tree which the natives call sian chob (black</w:t></w:r>
</w:p>
<w:p>
<w:pPr><w:pStyle w:val="Normal"/></w:pPr>
<w:r><w:t xml:space="preserve">wood), thought by Bellow to be a Fraxinus or Ornus.</w:t></w:r>
</w:p>
<w:p>
<w:pPr><w:pStyle w:val="Normal"/></w:pPr>
<w:r><w:t xml:space="preserve">Agriculture.</w:t></w:r>
</w:p>
<w:p>
<w:pPr><w:pStyle w:val="Normal"/></w:pPr>
<w:r><w:t xml:space="preserve">In most parts of the country there are two harvests, as generally</w:t></w:r>
</w:p>
<w:p>
<w:pPr><w:pStyle w:val="Normal"/></w:pPr>
<w:r><w:t xml:space="preserve">in India.  One of these, called by the Afghans baharak, or</w:t></w:r>
</w:p>
<w:p>
<w:pPr><w:pStyle w:val="Normal"/></w:pPr>
<w:r><w:t xml:space="preserve">the sprine crop. is sown in the end of autumn and reaped in</w:t></w:r>
</w:p>
<w:p>
<w:pPr><w:pStyle w:val="Normal"/></w:pPr>
<w:r><w:t xml:space="preserve">summer.  It consists of wheat, barley and a variety of</w:t></w:r>
</w:p>
<w:p>
<w:pPr><w:pStyle w:val="Normal"/></w:pPr>
<w:r><w:t xml:space="preserve">lentils.  The other, called paizah or tirmai, the</w:t></w:r>
</w:p>
<w:p>
<w:pPr><w:pStyle w:val="Normal"/></w:pPr>
<w:r><w:t xml:space="preserve">autumnal, is sown in the end of spring, and reaped in</w:t></w:r>
</w:p>
<w:p>
<w:pPr><w:pStyle w:val="Normal"/></w:pPr>
<w:r><w:t xml:space="preserve">autumn.  It consists of rice, varieties of millet and</w:t></w:r>
</w:p>
<w:p>
<w:pPr><w:pStyle w:val="Normal"/></w:pPr>
<w:r><w:t xml:space="preserve">sorghum, of maize, Phaseolus Mungo, tobacco, beet,</w:t></w:r>
</w:p>
<w:p>
<w:pPr><w:pStyle w:val="Normal"/></w:pPr>
<w:r><w:t xml:space="preserve">turnips, &amp;c. The loftier regions have but one harvest.</w:t></w:r>
</w:p>
<w:p>
<w:pPr><w:pStyle w:val="Normal"/></w:pPr>
<w:r><w:t xml:space="preserve">Wheat is the staple food over the greater part of the</w:t></w:r>
</w:p>
<w:p>
<w:pPr><w:pStyle w:val="Normal"/></w:pPr>
<w:r><w:t xml:space="preserve">country.  Rice is not largely distributed.  In much of the</w:t></w:r>
</w:p>
<w:p>
<w:pPr><w:pStyle w:val="Normal"/></w:pPr>
<w:r><w:t xml:space="preserve">eastern mountainous country bajra (Holcus spicatus) is</w:t></w:r>
</w:p>
<w:p>
<w:pPr><w:pStyle w:val="Normal"/></w:pPr>
<w:r><w:t xml:space="preserve">the chief grain.  Most English and Indian garden-stuffs are</w:t></w:r>
</w:p>
<w:p>
<w:pPr><w:pStyle w:val="Normal"/></w:pPr>
<w:r><w:t xml:space="preserve">cultivated; turnips in some places very largely, as cattle food.</w:t></w:r>
</w:p>
<w:p>
<w:pPr><w:pStyle w:val="Normal"/></w:pPr>
<w:r><w:t xml:space="preserve">The growth of melons, water-melons and other cucurbitaceous</w:t></w:r>
</w:p>
<w:p>
<w:pPr><w:pStyle w:val="Normal"/></w:pPr>
<w:r><w:t xml:space="preserve">plants is reckoned very important, especially near</w:t></w:r>
</w:p>
<w:p>
<w:pPr><w:pStyle w:val="Normal"/></w:pPr>
<w:r><w:t xml:space="preserve">towns; and this crop counts for a distinct harvest.</w:t></w:r>
</w:p>
<w:p>
<w:pPr><w:pStyle w:val="Normal"/></w:pPr>
<w:r><w:t xml:space="preserve">Sugar-cane is grown only in the rich plains; and though cotton is</w:t></w:r>
</w:p>
<w:p>
<w:pPr><w:pStyle w:val="Normal"/></w:pPr>
<w:r><w:t xml:space="preserve">grown in the warmer tracts, most of the cotton cloth is imported.</w:t></w:r>
</w:p>
<w:p>
<w:pPr><w:pStyle w:val="Normal"/></w:pPr>
<w:r><w:t xml:space="preserve">Madder is an important item of the spring crop in Ghazni</w:t></w:r>
</w:p>
<w:p>
<w:pPr><w:pStyle w:val="Normal"/></w:pPr>
<w:r><w:t xml:space="preserve">and Kandahar districts, and generally over the west, and</w:t></w:r>
</w:p>
<w:p>
<w:pPr><w:pStyle w:val="Normal"/></w:pPr>
<w:r><w:t xml:space="preserve">supplies the Indian demand.  It is said to be very profitable,</w:t></w:r>
</w:p>
<w:p>
<w:pPr><w:pStyle w:val="Normal"/></w:pPr>
<w:r><w:t xml:space="preserve">though it takes three years to mature.  Saffron is grown and</w:t></w:r>
</w:p>
<w:p>
<w:pPr><w:pStyle w:val="Normal"/></w:pPr>
<w:r><w:t xml:space="preserve">exported.  The castor-oil plant is everywhere common, and</w:t></w:r>
</w:p>
<w:p>
<w:pPr><w:pStyle w:val="Normal"/></w:pPr>
<w:r><w:t xml:space="preserve">furnishes most of the oil of the country.  Tobacco is grown</w:t></w:r>
</w:p>
<w:p>
<w:pPr><w:pStyle w:val="Normal"/></w:pPr>
<w:r><w:t xml:space="preserve">very generally; that of Kandahar has much repute, and is</w:t></w:r>
</w:p>
<w:p>
<w:pPr><w:pStyle w:val="Normal"/></w:pPr>
<w:r><w:t xml:space="preserve">exported to India and Bokhara.  Two crops of leaves are taken.</w:t></w:r>
</w:p>
<w:p>
<w:pPr><w:pStyle w:val="Normal"/></w:pPr>
<w:r><w:t xml:space="preserve">Lucerne and a trefoil called shaftal form important fodder</w:t></w:r>
</w:p>
<w:p>
<w:pPr><w:pStyle w:val="Normal"/></w:pPr>
<w:r><w:t xml:space="preserve">crops in the western parts of the country, and, when irrigated.</w:t></w:r>
</w:p>
<w:p>
<w:pPr><w:pStyle w:val="Normal"/></w:pPr>
<w:r><w:t xml:space="preserve">are said to afford ten or twelve cuttings in the season.  The</w:t></w:r>
</w:p>
<w:p>
<w:pPr><w:pStyle w:val="Normal"/></w:pPr>
<w:r><w:t xml:space="preserve">komal (Prangos pabularia) is abundant in the hill country of</w:t></w:r>
</w:p>
<w:p>
<w:pPr><w:pStyle w:val="Normal"/></w:pPr>
<w:r><w:t xml:space="preserve">Ghazni, and is said to extend through the Hazara country to</w:t></w:r>
</w:p>
<w:p>
<w:pPr><w:pStyle w:val="Normal"/></w:pPr>
<w:r><w:t xml:space="preserve">Herat.  It is stored for winter use, and forms an excellent</w:t></w:r>
</w:p>
<w:p>
<w:pPr><w:pStyle w:val="Normal"/></w:pPr>
<w:r><w:t xml:space="preserve">fodder.  Others are derived from the Holcus sorghum, and</w:t></w:r>
</w:p>
<w:p>
<w:pPr><w:pStyle w:val="Normal"/></w:pPr>
<w:r><w:t xml:space="preserve">from two kinds of panick.  It is common to cut down the green</w:t></w:r>
</w:p>
<w:p>
<w:pPr><w:pStyle w:val="Normal"/></w:pPr>
<w:r><w:t xml:space="preserve">wheat and barley before the ear forms, for fodder, and the</w:t></w:r>
</w:p>
<w:p>
<w:pPr><w:pStyle w:val="Normal"/></w:pPr>
<w:r><w:t xml:space="preserve">repetition of this, with barley at least, is said not to injure</w:t></w:r>
</w:p>
<w:p>
<w:pPr><w:pStyle w:val="Normal"/></w:pPr>
<w:r><w:t xml:space="preserve">the grain crop.  Bellow gives the following statement of the</w:t></w:r>
</w:p>
<w:p>
<w:pPr><w:pStyle w:val="Normal"/></w:pPr>
<w:r><w:t xml:space="preserve">manner in which the soil is sometimes worked in the Kandahar</w:t></w:r>
</w:p>
<w:p>
<w:pPr><w:pStyle w:val="Normal"/></w:pPr>
<w:r><w:t xml:space="preserve">district:---Barley is sown in November; in March and April</w:t></w:r>
</w:p>
<w:p>
<w:pPr><w:pStyle w:val="Normal"/></w:pPr>
<w:r><w:t xml:space="preserve">it is twice cut for fodder; in June the grain is reaped, the</w:t></w:r>
</w:p>
<w:p>
<w:pPr><w:pStyle w:val="Normal"/></w:pPr>
<w:r><w:t xml:space="preserve">ground is ploughed and manured and sown with tobacco, which</w:t></w:r>
</w:p>
<w:p>
<w:pPr><w:pStyle w:val="Normal"/></w:pPr>
<w:r><w:t xml:space="preserve">yields two cuttings.  The ground is then prepared for carrots</w:t></w:r>
</w:p>
<w:p>
<w:pPr><w:pStyle w:val="Normal"/></w:pPr>
<w:r><w:t xml:space="preserve">and turnips, which are gathered in November or December.</w:t></w:r>
</w:p>
<w:p>
<w:pPr><w:pStyle w:val="Normal"/></w:pPr>
<w:r><w:t xml:space="preserve">Of great moment are the fruit crops.  All European fruits are</w:t></w:r>
</w:p>
<w:p>
<w:pPr><w:pStyle w:val="Normal"/></w:pPr>
<w:r><w:t xml:space="preserve">produced profusely, in many varieties and of excellent quality.</w:t></w:r>
</w:p>
<w:p>
<w:pPr><w:pStyle w:val="Normal"/></w:pPr>
<w:r><w:t xml:space="preserve">Fresh or preserved, they form a principal food of a large class of</w:t></w:r>
</w:p>
<w:p>
<w:pPr><w:pStyle w:val="Normal"/></w:pPr>
<w:r><w:t xml:space="preserve">the people, and the dry fruit is largely exported.  In the valleys</w:t></w:r>
</w:p>
<w:p>
<w:pPr><w:pStyle w:val="Normal"/></w:pPr>
<w:r><w:t xml:space="preserve">of Kabul mulberries are dried, and packed in skins for winter</w:t></w:r>
</w:p>
<w:p>
<w:pPr><w:pStyle w:val="Normal"/></w:pPr>
<w:r><w:t xml:space="preserve">use.  This mulberry cake is often reduced to flour, and used</w:t></w:r>
</w:p>
<w:p>
<w:pPr><w:pStyle w:val="Normal"/></w:pPr>
<w:r><w:t xml:space="preserve">as such, forming in some valleys the main food of the people.</w:t></w:r>
</w:p>
<w:p>
<w:pPr><w:pStyle w:val="Normal"/></w:pPr>
<w:r><w:t xml:space="preserve">Grapes are grown very extensively, and the varieties are very</w:t></w:r>
</w:p>
<w:p>
<w:pPr><w:pStyle w:val="Normal"/></w:pPr>
<w:r><w:t xml:space="preserve">numerous.  The vines are sometimes trained on trellises,</w:t></w:r>
</w:p>
<w:p>
<w:pPr><w:pStyle w:val="Normal"/></w:pPr>
<w:r><w:t xml:space="preserve">but most frequently over ridges of earth 8 or 10 ft.</w:t></w:r>
</w:p>
<w:p>
<w:pPr><w:pStyle w:val="Normal"/></w:pPr>
<w:r><w:t xml:space="preserve">high.  The principal part of the garden lands in villages</w:t></w:r>
</w:p>
<w:p>
<w:pPr><w:pStyle w:val="Normal"/></w:pPr>
<w:r><w:t xml:space="preserve">round Kandahar is vineyard, and the produce must be enormous.</w:t></w:r>
</w:p>
<w:p>
<w:pPr><w:pStyle w:val="Normal"/></w:pPr>
<w:r><w:t xml:space="preserve">Open canals are usual in the Kabul valley, and in eastern</w:t></w:r>
</w:p>
<w:p>
<w:pPr><w:pStyle w:val="Normal"/></w:pPr>
<w:r><w:t xml:space="preserve">Afghanistan generally; but over all the western parts of the</w:t></w:r>
</w:p>
<w:p>
<w:pPr><w:pStyle w:val="Normal"/></w:pPr>
<w:r><w:t xml:space="preserve">country much use is made of the karez, which is a subterranean</w:t></w:r>
</w:p>
<w:p>
<w:pPr><w:pStyle w:val="Normal"/></w:pPr>
<w:r><w:t xml:space="preserve">aqueduct uniting the waters of several springs, and conducting</w:t></w:r>
</w:p>
<w:p>
<w:pPr><w:pStyle w:val="Normal"/></w:pPr>
<w:r><w:t xml:space="preserve">their combined volume to the surface at a lower level.</w:t></w:r>
</w:p>
<w:p>
<w:pPr><w:pStyle w:val="Normal"/></w:pPr>
<w:r><w:t xml:space="preserve">Fauna.</w:t></w:r>
</w:p>
<w:p>
<w:pPr><w:pStyle w:val="Normal"/></w:pPr>
<w:r><w:t xml:space="preserve">As regards vertebrate zoology, Afghanistan lies on the</w:t></w:r>
</w:p>
<w:p>
<w:pPr><w:pStyle w:val="Normal"/></w:pPr>
<w:r><w:t xml:space="preserve">frontier of three regions, viz. the Eurasian, the</w:t></w:r>
</w:p>
<w:p>
<w:pPr><w:pStyle w:val="Normal"/></w:pPr>
<w:r><w:t xml:space="preserve">Ethiopian (to which region Baluchistan seems to belong)</w:t></w:r>
</w:p>
<w:p>
<w:pPr><w:pStyle w:val="Normal"/></w:pPr>
<w:r><w:t xml:space="preserve">and the Indo-Halayan. Hence it naturally partakes somewhat</w:t></w:r>
</w:p>
<w:p>
<w:pPr><w:pStyle w:val="Normal"/></w:pPr>
<w:r><w:t xml:space="preserve">of the forms of each, but is in the main Eurasian.</w:t></w:r>
</w:p>
<w:p>
<w:pPr><w:pStyle w:val="Normal"/></w:pPr>
<w:r><w:t xml:space="preserve">Felidae.--F. catus, F. chaus (both Eurasian); F. caracal</w:t></w:r>
</w:p>
<w:p>
<w:pPr><w:pStyle w:val="Normal"/></w:pPr>
<w:r><w:t xml:space="preserve">(Eur., Ind., Eth.), about Kandahar; a small leopard, stated</w:t></w:r>
</w:p>
<w:p>
<w:pPr><w:pStyle w:val="Normal"/></w:pPr>
<w:r><w:t xml:space="preserve">to be found almost all over the country, perhaps rather the</w:t></w:r>
</w:p>
<w:p>
<w:pPr><w:pStyle w:val="Normal"/></w:pPr>
<w:r><w:t xml:space="preserve">cheetah F. jubatus, Ind, and Eth.); F. pardus, the common</w:t></w:r>
</w:p>
<w:p>
<w:pPr><w:pStyle w:val="Normal"/></w:pPr>
<w:r><w:t xml:space="preserve">leopard (Eth. and Ind.).  The tiger exists in Afghan Turkestan.</w:t></w:r>
</w:p>
<w:p>
<w:pPr><w:pStyle w:val="Normal"/></w:pPr>
<w:r><w:t xml:space="preserve">Canidae.--The jackal (C. aureus, Eur., Ind., Eth.) abounds</w:t></w:r>
</w:p>
<w:p>
<w:pPr><w:pStyle w:val="Normal"/></w:pPr>
<w:r><w:t xml:space="preserve">on the Helmund and Argand-ab, and probably elsewhere.  Wolves</w:t></w:r>
</w:p>
<w:p>
<w:pPr><w:pStyle w:val="Normal"/></w:pPr>
<w:r><w:t xml:space="preserve">(C. Bengalensis) are formidable in the wilder tracts,</w:t></w:r>
</w:p>
<w:p>
<w:pPr><w:pStyle w:val="Normal"/></w:pPr>
<w:r><w:t xml:space="preserve">and assemble in troops on the snow, destroying cattle and</w:t></w:r>
</w:p>
<w:p>
<w:pPr><w:pStyle w:val="Normal"/></w:pPr>
<w:r><w:t xml:space="preserve">sometimes attacking single horsemen.  The hyena (H. striata,</w:t></w:r>
</w:p>
<w:p>
<w:pPr><w:pStyle w:val="Normal"/></w:pPr>
<w:r><w:t xml:space="preserve">Africa to India) is common.  These do not hunt in packs, but</w:t></w:r>
</w:p>
<w:p>
<w:pPr><w:pStyle w:val="Normal"/></w:pPr>
<w:r><w:t xml:space="preserve">will sometimes singly attack a bullock; they and the wolves</w:t></w:r>
</w:p>
<w:p>
<w:pPr><w:pStyle w:val="Normal"/></w:pPr>
<w:r><w:t xml:space="preserve">make havoc among sheep.  A favourite feat of the boldest of</w:t></w:r>
</w:p>
<w:p>
<w:pPr><w:pStyle w:val="Normal"/></w:pPr>
<w:r><w:t xml:space="preserve">the young men of southern Afghanistan is to enter the hyena&apos;s</w:t></w:r>
</w:p>
<w:p>
<w:pPr><w:pStyle w:val="Normal"/></w:pPr>
<w:r><w:t xml:space="preserve">den, single-handed, muffle and tie him.  There are wild dogs,</w:t></w:r>
</w:p>
<w:p>
<w:pPr><w:pStyle w:val="Normal"/></w:pPr>
<w:r><w:t xml:space="preserve">according to Elphinstone and Conolly.  The small Indian fox</w:t></w:r>
</w:p>
<w:p>
<w:pPr><w:pStyle w:val="Normal"/></w:pPr>
<w:r><w:t xml:space="preserve">(Vulpes Bengalensis) is found; also V. flavescens, common</w:t></w:r>
</w:p>
<w:p>
<w:pPr><w:pStyle w:val="Normal"/></w:pPr>
<w:r><w:t xml:space="preserve">to India and Persia, the skin of which is much used as a fur.</w:t></w:r>
</w:p>
<w:p>
<w:pPr><w:pStyle w:val="Normal"/></w:pPr>
<w:r><w:t xml:space="preserve">Mustelidae.--Species of the Mungoose (Herpestes),</w:t></w:r>
</w:p>
<w:p>
<w:pPr><w:pStyle w:val="Normal"/></w:pPr>
<w:r><w:t xml:space="preserve">species of otter, Mustela erminea, and two ferrets, one</w:t></w:r>
</w:p>
<w:p>
<w:pPr><w:pStyle w:val="Normal"/></w:pPr>
<w:r><w:t xml:space="preserve">of them with tortoise-shell marks, tamed by the Afghans</w:t></w:r>
</w:p>
<w:p>
<w:pPr><w:pStyle w:val="Normal"/></w:pPr>
<w:r><w:t xml:space="preserve">to keep down vermin; a marten (M. flavigula, Indian).</w:t></w:r>
</w:p>
<w:p>
<w:pPr><w:pStyle w:val="Normal"/></w:pPr>
<w:r><w:t xml:space="preserve">Bears are two: a black one, probably Ursus torquatus;</w:t></w:r>
</w:p>
<w:p>
<w:pPr><w:pStyle w:val="Normal"/></w:pPr>
<w:r><w:t xml:space="preserve">and one of a dirty yellow, U. Isabellinus, both Himalayan</w:t></w:r>
</w:p>
<w:p>
<w:pPr><w:pStyle w:val="Normal"/></w:pPr>
<w:r><w:t xml:space="preserve">species. Ruminants.--Capra aegagrus and C. megaceros;</w:t></w:r>
</w:p>
<w:p>
<w:pPr><w:pStyle w:val="Normal"/></w:pPr>
<w:r><w:t xml:space="preserve">a wild sheep Ovis cycloceros or Vignei); Gazella</w:t></w:r>
</w:p>
<w:p>
<w:pPr><w:pStyle w:val="Normal"/></w:pPr>
<w:r><w:t xml:space="preserve">subgutturosa--these are often netted in batches when</w:t></w:r>
</w:p>
<w:p>
<w:pPr><w:pStyle w:val="Normal"/></w:pPr>
<w:r><w:t xml:space="preserve">they descend to drink at a stream; G. dorcas perhaps;</w:t></w:r>
</w:p>
<w:p>
<w:pPr><w:pStyle w:val="Normal"/></w:pPr>
<w:r><w:t xml:space="preserve">Cervus Wallichii, the Indian barasingha, and probably</w:t></w:r>
</w:p>
<w:p>
<w:pPr><w:pStyle w:val="Normal"/></w:pPr>
<w:r><w:t xml:space="preserve">some other Indian deer, in the north-eastern mountains.</w:t></w:r>
</w:p>
<w:p>
<w:pPr><w:pStyle w:val="Normal"/></w:pPr>
<w:r><w:t xml:space="preserve">The wild hog (Sus scrofa) is found on the lower</w:t></w:r>
</w:p>
<w:p>
<w:pPr><w:pStyle w:val="Normal"/></w:pPr>
<w:r><w:t xml:space="preserve">Helmund.  The wild ass, Gorkhar of Persia (Equus</w:t></w:r>
</w:p>
<w:p>
<w:pPr><w:pStyle w:val="Normal"/></w:pPr>
<w:r><w:t xml:space="preserve">onager), is frequent on the sandy tracts in the south-west.</w:t></w:r>
</w:p>
<w:p>
<w:pPr><w:pStyle w:val="Normal"/></w:pPr>
<w:r><w:t xml:space="preserve">The Himalayan varieties of the markhor and ibex are abundant in Kafiristan.</w:t></w:r>
</w:p>
<w:p>
<w:pPr><w:pStyle w:val="Normal"/></w:pPr>
<w:r><w:t xml:space="preserve">Talpidae.--A mole, probably Talpa Europaea; Sorex Indicus;</w:t></w:r>
</w:p>
<w:p>
<w:pPr><w:pStyle w:val="Normal"/></w:pPr>
<w:r><w:t xml:space="preserve">Erinaceus collaris (Indian), and Er. auritus (Eurasian).</w:t></w:r>
</w:p>
<w:p>
<w:pPr><w:pStyle w:val="Normal"/></w:pPr>
<w:r><w:t xml:space="preserve">Bats believed to be Phyllorhinus cineraceus (Punjab</w:t></w:r>
</w:p>
<w:p>
<w:pPr><w:pStyle w:val="Normal"/></w:pPr>
<w:r><w:t xml:space="preserve">species), Scotophilus Bellii (W. India), Vesp. auritus</w:t></w:r>
</w:p>
<w:p>
<w:pPr><w:pStyle w:val="Normal"/></w:pPr>
<w:r><w:t xml:space="preserve">and V. barbastellus, both found from England to India.</w:t></w:r>
</w:p>
<w:p>
<w:pPr><w:pStyle w:val="Normal"/></w:pPr>
<w:r><w:t xml:space="preserve">Rodentia.--A squirrel (Sciurus Syriacus?); Mus Indicus</w:t></w:r>
</w:p>
<w:p>
<w:pPr><w:pStyle w:val="Normal"/></w:pPr>
<w:r><w:t xml:space="preserve">and M. Gerbellinus; a jerboa (Dipus telum?); Alactaga</w:t></w:r>
</w:p>
<w:p>
<w:pPr><w:pStyle w:val="Normal"/></w:pPr>
<w:r><w:t xml:space="preserve">Bactriana; Gerbillus Indicus, and G. erythrinus (Persian</w:t></w:r>
</w:p>
<w:p>
<w:pPr><w:pStyle w:val="Normal"/></w:pPr>
<w:r><w:t xml:space="preserve">and Indian); Lagomys Nepalensis, a Central Asian species.</w:t></w:r>
</w:p>
<w:p>
<w:pPr><w:pStyle w:val="Normal"/></w:pPr>
<w:r><w:t xml:space="preserve">A hare, probably L. ruacaudatus. by Captain Hutton in</w:t></w:r>
</w:p>
<w:p>
<w:pPr><w:pStyle w:val="Normal"/></w:pPr>
<w:r><w:t xml:space="preserve">the J. As. Soc. Bengal, vol. xvi. pp. 775 seq.; but it is</w:t></w:r>
</w:p>
<w:p>
<w:pPr><w:pStyle w:val="Normal"/></w:pPr>
<w:r><w:t xml:space="preserve">confessedly far from complete. (Of 124 species in that list,</w:t></w:r>
</w:p>
<w:p>
<w:pPr><w:pStyle w:val="Normal"/></w:pPr>
<w:r><w:t xml:space="preserve">95 are pronounced to be Eurasian, 17 Indian, 10 both Eurasian</w:t></w:r>
</w:p>
<w:p>
<w:pPr><w:pStyle w:val="Normal"/></w:pPr>
<w:r><w:t xml:space="preserve">and Indian, 1 (Turtur risorius) Eur., Ind. and Eth.; and 1</w:t></w:r>
</w:p>
<w:p>
<w:pPr><w:pStyle w:val="Normal"/></w:pPr>
<w:r><w:t xml:space="preserve">only, Carpodacus (Bucanetes) crassirostris, peculiar to the</w:t></w:r>
</w:p>
<w:p>
<w:pPr><w:pStyle w:val="Normal"/></w:pPr>
<w:r><w:t xml:space="preserve">country.  Afghanistan appears to be, during the breeding season,</w:t></w:r>
</w:p>
<w:p>
<w:pPr><w:pStyle w:val="Normal"/></w:pPr>
<w:r><w:t xml:space="preserve">the retreat of a variety of Indian and some African (desert) forms,</w:t></w:r>
</w:p>
<w:p>
<w:pPr><w:pStyle w:val="Normal"/></w:pPr>
<w:r><w:t xml:space="preserve">whilst in winter the avifauna becomes overwhelmingly Eurasian.</w:t></w:r>
</w:p>
<w:p>
<w:pPr><w:pStyle w:val="Normal"/></w:pPr>
<w:r><w:t xml:space="preserve">REPTILES.--The following particulars are from Gray:--Lizards</w:t></w:r>
</w:p>
<w:p>
<w:pPr><w:pStyle w:val="Normal"/></w:pPr>
<w:r><w:t xml:space="preserve">Pseudopus gracilis (Eur.), Argyrophis Horipeldii, Salea</w:t></w:r>
</w:p>
<w:p>
<w:pPr><w:pStyle w:val="Normal"/></w:pPr>
<w:r><w:t xml:space="preserve">Horsfieldii, Calotes Moria, C. versicolor, C. minor, C.</w:t></w:r>
</w:p>
<w:p>
<w:pPr><w:pStyle w:val="Normal"/></w:pPr>
<w:r><w:t xml:space="preserve">Emma, Phrynocephalus Idchelii--all Indian forms.  A tortoise</w:t></w:r>
</w:p>
<w:p>
<w:pPr><w:pStyle w:val="Normal"/></w:pPr>
<w:r><w:t xml:space="preserve">(Testudo Horsfieldii) appears to be peculiar to Kabul.</w:t></w:r>
</w:p>
<w:p>
<w:pPr><w:pStyle w:val="Normal"/></w:pPr>
<w:r><w:t xml:space="preserve">There are apparently no salamanders or tailed Amphibia.  The</w:t></w:r>
</w:p>
<w:p>
<w:pPr><w:pStyle w:val="Normal"/></w:pPr>
<w:r><w:t xml:space="preserve">frogs are partly Eurasian, partly Indian; and the same may be</w:t></w:r>
</w:p>
<w:p>
<w:pPr><w:pStyle w:val="Normal"/></w:pPr>
<w:r><w:t xml:space="preserve">said of the fish, but they are as yet most imperfectly known.</w:t></w:r>
</w:p>
<w:p>
<w:pPr><w:pStyle w:val="Normal"/></w:pPr>
<w:r><w:t xml:space="preserve">The camel is of a more robust and compact breed than the</w:t></w:r>
</w:p>
<w:p>
<w:pPr><w:pStyle w:val="Normal"/></w:pPr>
<w:r><w:t xml:space="preserve">tall beabt used in India, and is more carefully tended.</w:t></w:r>
</w:p>
<w:p>
<w:pPr><w:pStyle w:val="Normal"/></w:pPr>
<w:r><w:t xml:space="preserve">The two-humped Bactrian camel is commonly used in the Oxus</w:t></w:r>
</w:p>
<w:p>
<w:pPr><w:pStyle w:val="Normal"/></w:pPr>
<w:r><w:t xml:space="preserve">regions, but is seldom seen near the Indian frontier.</w:t></w:r>
</w:p>
<w:p>
<w:pPr><w:pStyle w:val="Normal"/></w:pPr>
<w:r><w:t xml:space="preserve">Horses form a staple export to India.  The best of these,</w:t></w:r>
</w:p>
<w:p>
<w:pPr><w:pStyle w:val="Normal"/></w:pPr>
<w:r><w:t xml:space="preserve">however, are reserved for the Afghan cavalry.  Those exported</w:t></w:r>
</w:p>
<w:p>
<w:pPr><w:pStyle w:val="Normal"/></w:pPr>
<w:r><w:t xml:space="preserve">to India are usually bred in Maimana and other places in Afghan</w:t></w:r>
</w:p>
<w:p>
<w:pPr><w:pStyle w:val="Normal"/></w:pPr>
<w:r><w:t xml:space="preserve">Turkestan.  The indigenous horse is the yabu, a stout,</w:t></w:r>
</w:p>
<w:p>
<w:pPr><w:pStyle w:val="Normal"/></w:pPr>
<w:r><w:t xml:space="preserve">heavy-shouldered animal, of about 14 hands high, used chiefly</w:t></w:r>
</w:p>
<w:p>
<w:pPr><w:pStyle w:val="Normal"/></w:pPr>
<w:r><w:t xml:space="preserve">for burden, but also for riding.  It gets over incredible</w:t></w:r>
</w:p>
<w:p>
<w:pPr><w:pStyle w:val="Normal"/></w:pPr>
<w:r><w:t xml:space="preserve">distances at an ambling shuffle, but is unfit for fast work</w:t></w:r>
</w:p>
<w:p>
<w:pPr><w:pStyle w:val="Normal"/></w:pPr>
<w:r><w:t xml:space="preserve">and cannot stand excessive heat.  The breed of horses was much</w:t></w:r>
</w:p>
<w:p>
<w:pPr><w:pStyle w:val="Normal"/></w:pPr>
<w:r><w:t xml:space="preserve">improved under the amir Abdur Rahman, who took much interest</w:t></w:r>
</w:p>
<w:p>
<w:pPr><w:pStyle w:val="Normal"/></w:pPr>
<w:r><w:t xml:space="preserve">in it.  Generally, colts are sold and worked too young.</w:t></w:r>
</w:p>
<w:p>
<w:pPr><w:pStyle w:val="Normal"/></w:pPr>
<w:r><w:t xml:space="preserve">The cows of Kandahar and Seistan give very large quantities of</w:t></w:r>
</w:p>
<w:p>
<w:pPr><w:pStyle w:val="Normal"/></w:pPr>
<w:r><w:t xml:space="preserve">milk.  They seem to be of the humped variety, but with</w:t></w:r>
</w:p>
<w:p>
<w:pPr><w:pStyle w:val="Normal"/></w:pPr>
<w:r><w:t xml:space="preserve">the hump evanescent.  Dairy produce is important in Afghan</w:t></w:r>
</w:p>
<w:p>
<w:pPr><w:pStyle w:val="Normal"/></w:pPr>
<w:r><w:t xml:space="preserve">diet, especially the pressed and dried curd called krut</w:t></w:r>
</w:p>
<w:p>
<w:pPr><w:pStyle w:val="Normal"/></w:pPr>
<w:r><w:t xml:space="preserve">(an article and name perhaps introduced by the Mongols).</w:t></w:r>
</w:p>
<w:p>
<w:pPr><w:pStyle w:val="Normal"/></w:pPr>
<w:r><w:t xml:space="preserve">There are two varieties of sheep, both having the fat</w:t></w:r>
</w:p>
<w:p>
<w:pPr><w:pStyle w:val="Normal"/></w:pPr>
<w:r><w:t xml:space="preserve">tail.  One bears a white fleece, the other a russet or black</w:t></w:r>
</w:p>
<w:p>
<w:pPr><w:pStyle w:val="Normal"/></w:pPr>
<w:r><w:t xml:space="preserve">one.  Much of the white wool is exported to Persia, and now</w:t></w:r>
</w:p>
<w:p>
<w:pPr><w:pStyle w:val="Normal"/></w:pPr>
<w:r><w:t xml:space="preserve">largely to Europe by Bombay.  Flocks of sheep are the main</w:t></w:r>
</w:p>
<w:p>
<w:pPr><w:pStyle w:val="Normal"/></w:pPr>
<w:r><w:t xml:space="preserve">wealth of the nomad population, and mutton is the chief</w:t></w:r>
</w:p>
<w:p>
<w:pPr><w:pStyle w:val="Normal"/></w:pPr>
<w:r><w:t xml:space="preserve">animal food of the nation.  In autumn large numbers are</w:t></w:r>
</w:p>
<w:p>
<w:pPr><w:pStyle w:val="Normal"/></w:pPr>
<w:r><w:t xml:space="preserve">slaughtered, their carcases cut up, rubbed with salt and dried</w:t></w:r>
</w:p>
<w:p>
<w:pPr><w:pStyle w:val="Normal"/></w:pPr>
<w:r><w:t xml:space="preserve">in the sun.  The same is done with beef and camel&apos;s flesh.</w:t></w:r>
</w:p>
<w:p>
<w:pPr><w:pStyle w:val="Normal"/></w:pPr>
<w:r><w:t xml:space="preserve">The goats, generally black or parti-coloured,</w:t></w:r>
</w:p>
<w:p>
<w:pPr><w:pStyle w:val="Normal"/></w:pPr>
<w:r><w:t xml:space="preserve">seem to be a degenerate variety of the shawlgoat.</w:t></w:r>
</w:p>
<w:p>
<w:pPr><w:pStyle w:val="Normal"/></w:pPr>
<w:r><w:t xml:space="preserve">The climate is found to be favourable to dog-breeding.  Pointers</w:t></w:r>
</w:p>
<w:p>
<w:pPr><w:pStyle w:val="Normal"/></w:pPr>
<w:r><w:t xml:space="preserve">are bred in the Kohistan of Kabul and above Jalalabad--large,</w:t></w:r>
</w:p>
<w:p>
<w:pPr><w:pStyle w:val="Normal"/></w:pPr>
<w:r><w:t xml:space="preserve">heavy, slow-hunting, but fine-nosed and staunch; very like</w:t></w:r>
</w:p>
<w:p>
<w:pPr><w:pStyle w:val="Normal"/></w:pPr>
<w:r><w:t xml:space="preserve">the old double-nosed Spanish pointer.  There are greyhounds</w:t></w:r>
</w:p>
<w:p>
<w:pPr><w:pStyle w:val="Normal"/></w:pPr>
<w:r><w:t xml:space="preserve">also, but inferior in speed to second-rate English dogs.</w:t></w:r>
</w:p>
<w:p>
<w:pPr><w:pStyle w:val="Normal"/></w:pPr>
<w:r><w:t xml:space="preserve">Trade and commerce.</w:t></w:r>
</w:p>
<w:p>
<w:pPr><w:pStyle w:val="Normal"/></w:pPr>
<w:r><w:t xml:space="preserve">The manufactures of the country have not developed much</w:t></w:r>
</w:p>
<w:p>
<w:pPr><w:pStyle w:val="Normal"/></w:pPr>
<w:r><w:t xml:space="preserve">during recent years.  Poshtins (sheepskin clothing) and the</w:t></w:r>
</w:p>
<w:p>
<w:pPr><w:pStyle w:val="Normal"/></w:pPr>
<w:r><w:t xml:space="preserve">many varieties of camel and goat&apos;s hair-cloth which, under</w:t></w:r>
</w:p>
<w:p>
<w:pPr><w:pStyle w:val="Normal"/></w:pPr>
<w:r><w:t xml:space="preserve">the name of ``barak,&apos;&apos; ``karak,&apos;&apos; &amp;c., are manufactured in</w:t></w:r>
</w:p>
<w:p>
<w:pPr><w:pStyle w:val="Normal"/></w:pPr>
<w:r><w:t xml:space="preserve">the northern districts, are still the chief local products</w:t></w:r>
</w:p>
<w:p>
<w:pPr><w:pStyle w:val="Normal"/></w:pPr>
<w:r><w:t xml:space="preserve">of that part of Afghanistan.  Herat and Kandahar are</w:t></w:r>
</w:p>
<w:p>
<w:pPr><w:pStyle w:val="Normal"/></w:pPr>
<w:r><w:t xml:space="preserve">famous for their silks, although a large proportion of the</w:t></w:r>
</w:p>
<w:p>
<w:pPr><w:pStyle w:val="Normal"/></w:pPr>
<w:r><w:t xml:space="preserve">manufactured silk found on the Herat market, as well as many</w:t></w:r>
</w:p>
<w:p>
<w:pPr><w:pStyle w:val="Normal"/></w:pPr>
<w:r><w:t xml:space="preserve">of the felts, carpets and embroideries, are brought from</w:t></w:r>
</w:p>
<w:p>
<w:pPr><w:pStyle w:val="Normal"/></w:pPr>
<w:r><w:t xml:space="preserve">the Central Asian khanates.  The district of Herat produces</w:t></w:r>
</w:p>
<w:p>
<w:pPr><w:pStyle w:val="Normal"/></w:pPr>
<w:r><w:t xml:space="preserve">many of the smaller sorts of carpets (``galichas&apos;&apos; or</w:t></w:r>
</w:p>
<w:p>
<w:pPr><w:pStyle w:val="Normal"/></w:pPr>
<w:r><w:t xml:space="preserve">prayer-carpets), of excellent design and colour, the little</w:t></w:r>
</w:p>
<w:p>
<w:pPr><w:pStyle w:val="Normal"/></w:pPr>
<w:r><w:t xml:space="preserve">town of Adraskand being especially famous for this industry;</w:t></w:r>
</w:p>
<w:p>
<w:pPr><w:pStyle w:val="Normal"/></w:pPr>
<w:r><w:t xml:space="preserve">but they are not to be compared with the best products of</w:t></w:r>
</w:p>
<w:p>
<w:pPr><w:pStyle w:val="Normal"/></w:pPr>
<w:r><w:t xml:space="preserve">eastern Persia or of the Turkman districts about Panjdeh.</w:t></w:r>
</w:p>
<w:p>
<w:pPr><w:pStyle w:val="Normal"/></w:pPr>
<w:r><w:t xml:space="preserve">The nomadic Afghan tribes of the west are chiefly</w:t></w:r>
</w:p>
<w:p>
<w:pPr><w:pStyle w:val="Normal"/></w:pPr>
<w:r><w:t xml:space="preserve">pastoral, and the wool of the southern Herat and Kandahar</w:t></w:r>
</w:p>
<w:p>
<w:pPr><w:pStyle w:val="Normal"/></w:pPr>
<w:r><w:t xml:space="preserve">provinces is famous for its quality.  In this direction,</w:t></w:r>
</w:p>
<w:p>
<w:pPr><w:pStyle w:val="Normal"/></w:pPr>
<w:r><w:t xml:space="preserve">the late boundary settlements have undoubtedly led to</w:t></w:r>
</w:p>
<w:p>
<w:pPr><w:pStyle w:val="Normal"/></w:pPr>
<w:r><w:t xml:space="preserve">a considerable development of local resources.  A large</w:t></w:r>
</w:p>
<w:p>
<w:pPr><w:pStyle w:val="Normal"/></w:pPr>
<w:r><w:t xml:space="preserve">quantity of wool, together with silk, dried fruit, madder and</w:t></w:r>
</w:p>
<w:p>
<w:pPr><w:pStyle w:val="Normal"/></w:pPr>
<w:r><w:t xml:space="preserve">asafetida, finds its way to India by the Kandahar route.</w:t></w:r>
</w:p>
<w:p>
<w:pPr><w:pStyle w:val="Normal"/></w:pPr>
<w:r><w:t xml:space="preserve">It is impossible to give accurate trade statistics, there</w:t></w:r>
</w:p>
<w:p>
<w:pPr><w:pStyle w:val="Normal"/></w:pPr>
<w:r><w:t xml:space="preserve">being no trustworthy system of registration.  The value of</w:t></w:r>
</w:p>
<w:p>
<w:pPr><w:pStyle w:val="Normal"/></w:pPr>
<w:r><w:t xml:space="preserve">the imports from Kabul to India in 1892-1893 was estimated</w:t></w:r>
</w:p>
<w:p>
<w:pPr><w:pStyle w:val="Normal"/></w:pPr>
<w:r><w:t xml:space="preserve">at 221,000 Rx (or tens of rupees).  In 1809 it was little</w:t></w:r>
</w:p>
<w:p>
<w:pPr><w:pStyle w:val="Normal"/></w:pPr>
<w:r><w:t xml:space="preserve">over 217,000 Rx, the period of lowest intermediate depression</w:t></w:r>
</w:p>
<w:p>
<w:pPr><w:pStyle w:val="Normal"/></w:pPr>
<w:r><w:t xml:space="preserve">being in 1897.  These imports include horses, cattle, fruits,</w:t></w:r>
</w:p>
<w:p>
<w:pPr><w:pStyle w:val="Normal"/></w:pPr>
<w:r><w:t xml:space="preserve">grain, wool, silk, hides, tobacco, drugs and provisions (ghi,</w:t></w:r>
</w:p>
<w:p>
<w:pPr><w:pStyle w:val="Normal"/></w:pPr>
<w:r><w:t xml:space="preserve">&amp;c.).  All this trade emanates from Kabul, there being no</w:t></w:r>
</w:p>
<w:p>
<w:pPr><w:pStyle w:val="Normal"/></w:pPr>
<w:r><w:t xml:space="preserve">transit trade with Bokhara owing to the heavy dues levied by the</w:t></w:r>
</w:p>
<w:p>
<w:pPr><w:pStyle w:val="Normal"/></w:pPr>
<w:r><w:t xml:space="preserve">amir.  The value of the exports from India to Kabul also shows</w:t></w:r>
</w:p>
<w:p>
<w:pPr><w:pStyle w:val="Normal"/></w:pPr>
<w:r><w:t xml:space="preserve">great fluctuation.  In the year 1892-1893 it was registered at</w:t></w:r>
</w:p>
<w:p>
<w:pPr><w:pStyle w:val="Normal"/></w:pPr>
<w:r><w:t xml:space="preserve">nearly 611,000 Rx. In 1894-1895 it had sunk to 274,000 Rx, and</w:t></w:r>
</w:p>
<w:p>
<w:pPr><w:pStyle w:val="Normal"/></w:pPr>
<w:r><w:t xml:space="preserve">in 1899 it figured at 294,600 Rx. The chief items are cotton</w:t></w:r>
</w:p>
<w:p>
<w:pPr><w:pStyle w:val="Normal"/></w:pPr>
<w:r><w:t xml:space="preserve">goods, sugar and tea.  In 1898-1899 the imports irom Kandahar</w:t></w:r>
</w:p>
<w:p>
<w:pPr><w:pStyle w:val="Normal"/></w:pPr>
<w:r><w:t xml:space="preserve">to India were valued at 330,000 Rx, and the exports from India</w:t></w:r>
</w:p>
<w:p>
<w:pPr><w:pStyle w:val="Normal"/></w:pPr>
<w:r><w:t xml:space="preserve">to Kandahar at about 264,000 Rx. Three-fourths of the exports</w:t></w:r>
</w:p>
<w:p>
<w:pPr><w:pStyle w:val="Normal"/></w:pPr>
<w:r><w:t xml:space="preserve">consist of cotton goods, and three-eighths of the imports were raw</w:t></w:r>
</w:p>
<w:p>
<w:pPr><w:pStyle w:val="Normal"/></w:pPr>
<w:r><w:t xml:space="preserve">wool.  The balance of the imports was chiefly made up of dried</w:t></w:r>
</w:p>
<w:p>
<w:pPr><w:pStyle w:val="Normal"/></w:pPr>
<w:r><w:t xml:space="preserve">fruits.  Comparison with trade statistics of previous years on</w:t></w:r>
</w:p>
<w:p>
<w:pPr><w:pStyle w:val="Normal"/></w:pPr>
<w:r><w:t xml:space="preserve">this side Afghanistan is difficult, owing to the inclusion of</w:t></w:r>
</w:p>
<w:p>
<w:pPr><w:pStyle w:val="Normal"/></w:pPr>
<w:r><w:t xml:space="preserve">a large section of Baluchistan and Persia within the official</w:t></w:r>
</w:p>
<w:p>
<w:pPr><w:pStyle w:val="Normal"/></w:pPr>
<w:r><w:t xml:space="preserve">``Kandahar&apos;&apos; returns; but it does not appear that the value</w:t></w:r>
</w:p>
<w:p>
<w:pPr><w:pStyle w:val="Normal"/></w:pPr>
<w:r><w:t xml:space="preserve">of the western Afghanistan trade is much on the increase.  The</w:t></w:r>
</w:p>
<w:p>
<w:pPr><w:pStyle w:val="Normal"/></w:pPr>
<w:r><w:t xml:space="preserve">opening up of the route between Quetta and Seistan has doubtless</w:t></w:r>
</w:p>
<w:p>
<w:pPr><w:pStyle w:val="Normal"/></w:pPr>
<w:r><w:t xml:space="preserve">affected a trade which was already seriously hampered by</w:t></w:r>
</w:p>
<w:p>
<w:pPr><w:pStyle w:val="Normal"/></w:pPr>
<w:r><w:t xml:space="preserve">restrictions.  In the year after the mission of Sir Louis Dane</w:t></w:r>
</w:p>
<w:p>
<w:pPr><w:pStyle w:val="Normal"/></w:pPr>
<w:r><w:t xml:space="preserve">to Kabul in 1905 it was authoritatively stated that the trade</w:t></w:r>
</w:p>
<w:p>
<w:pPr><w:pStyle w:val="Normal"/></w:pPr>
<w:r><w:t xml:space="preserve">between Afghanistan and India had nearly doubled in value.</w:t></w:r>
</w:p>
<w:p>
<w:pPr><w:pStyle w:val="Normal"/></w:pPr>
<w:r><w:t xml:space="preserve">Antiquities.</w:t></w:r>
</w:p>
<w:p>
<w:pPr><w:pStyle w:val="Normal"/></w:pPr>
<w:r><w:t xml:space="preserve">The basin of the Kabul river especially abounds in remains</w:t></w:r>
</w:p>
<w:p>
<w:pPr><w:pStyle w:val="Normal"/></w:pPr>
<w:r><w:t xml:space="preserve">of the period when Buddhism flourished.  Bamian is famous</w:t></w:r>
</w:p>
<w:p>
<w:pPr><w:pStyle w:val="Normal"/></w:pPr>
<w:r><w:t xml:space="preserve">for its wall-cut firures, and at Haibak (on the route between</w:t></w:r>
</w:p>
<w:p>
<w:pPr><w:pStyle w:val="Normal"/></w:pPr>
<w:r><w:t xml:space="preserve">Tashkurghan and Kabul) there are some most interesting Buddhist</w:t></w:r>
</w:p>
<w:p>
<w:pPr><w:pStyle w:val="Normal"/></w:pPr>
<w:r><w:t xml:space="preserve">remains.  In the Koh-Daman, north of Kabul, are the sites of</w:t></w:r>
</w:p>
<w:p>
<w:pPr><w:pStyle w:val="Normal"/></w:pPr>
<w:r><w:t xml:space="preserve">several ancient cities, the greatest of which, called Beghram,</w:t></w:r>
</w:p>
<w:p>
<w:pPr><w:pStyle w:val="Normal"/></w:pPr>
<w:r><w:t xml:space="preserve">has furnished coins in scores of thousands, and has been supposed</w:t></w:r>
</w:p>
<w:p>
<w:pPr><w:pStyle w:val="Normal"/></w:pPr>
<w:r><w:t xml:space="preserve">to represent Alexander&apos;s Nicaea.  Nearer Kabul, and especially on</w:t></w:r>
</w:p>
<w:p>
<w:pPr><w:pStyle w:val="Normal"/></w:pPr>
<w:r><w:t xml:space="preserve">the hills some miles south of the city, are numerous topes.  In</w:t></w:r>
</w:p>
<w:p>
<w:pPr><w:pStyle w:val="Normal"/></w:pPr>
<w:r><w:t xml:space="preserve">the valley of Jalalabad are many remains of the same character.</w:t></w:r>
</w:p>
<w:p>
<w:pPr><w:pStyle w:val="Normal"/></w:pPr>
<w:r><w:t xml:space="preserve">In the valley of the Tarnak are the ruins of a great city</w:t></w:r>
</w:p>
<w:p>
<w:pPr><w:pStyle w:val="Normal"/></w:pPr>
<w:r><w:t xml:space="preserve">(Ulan Robat) supposed to be the ancient Arachosia.  About</w:t></w:r>
</w:p>
<w:p>
<w:pPr><w:pStyle w:val="Normal"/></w:pPr>
<w:r><w:t xml:space="preserve">Girishk, on the Helmund, are extensive mounds and other traces</w:t></w:r>
</w:p>
<w:p>
<w:pPr><w:pStyle w:val="Normal"/></w:pPr>
<w:r><w:t xml:space="preserve">of buildings; and the remains of several great cities exist in</w:t></w:r>
</w:p>
<w:p>
<w:pPr><w:pStyle w:val="Normal"/></w:pPr>
<w:r><w:t xml:space="preserve">the plain of Seistan, as at Pulki, Peshawaran and Lakh, relics</w:t></w:r>
</w:p>
<w:p>
<w:pPr><w:pStyle w:val="Normal"/></w:pPr>
<w:r><w:t xml:space="preserve">of ancient Drangiana.  An ancient stone vessel preserved in</w:t></w:r>
</w:p>
<w:p>
<w:pPr><w:pStyle w:val="Normal"/></w:pPr>
<w:r><w:t xml:space="preserve">a mosque at Kandahar is almost certainly the same that was</w:t></w:r>
</w:p>
<w:p>
<w:pPr><w:pStyle w:val="Normal"/></w:pPr>
<w:r><w:t xml:space="preserve">treasured at Peshawar in the 5th century as the begging pot of</w:t></w:r>
</w:p>
<w:p>
<w:pPr><w:pStyle w:val="Normal"/></w:pPr>
<w:r><w:t xml:space="preserve">Sakya-Muni.  In architectural relics of a later date than the</w:t></w:r>
</w:p>
<w:p>
<w:pPr><w:pStyle w:val="Normal"/></w:pPr>
<w:r><w:t xml:space="preserve">Graeco-Buddhist period Afghanistan is remarkably deficient.  Of</w:t></w:r>
</w:p>
<w:p>
<w:pPr><w:pStyle w:val="Normal"/></w:pPr>
<w:r><w:t xml:space="preserve">the city of Ghazni, the vast capital of Mahmud and his race, no</w:t></w:r>
</w:p>
<w:p>
<w:pPr><w:pStyle w:val="Normal"/></w:pPr>
<w:r><w:t xml:space="preserve">substantial relics survive, except the tomb of Mahmud and two</w:t></w:r>
</w:p>
<w:p>
<w:pPr><w:pStyle w:val="Normal"/></w:pPr>
<w:r><w:t xml:space="preserve">remarkable brick minarets.  A vast and fruitful harvest of coins</w:t></w:r>
</w:p>
<w:p>
<w:pPr><w:pStyle w:val="Normal"/></w:pPr>
<w:r><w:t xml:space="preserve">has been gathered in Afghanistan and the adjoining regions.</w:t></w:r>
</w:p>
<w:p>
<w:pPr><w:pStyle w:val="Normal"/></w:pPr>
<w:r><w:t xml:space="preserve">BIBLIOGRAPHY.---Rawlinson, England and Russia in the</w:t></w:r>
</w:p>
<w:p>
<w:pPr><w:pStyle w:val="Normal"/></w:pPr>
<w:r><w:t xml:space="preserve">East (1873); H. M. Durand, The First Afghan War (1879);</w:t></w:r>
</w:p>
<w:p>
<w:pPr><w:pStyle w:val="Normal"/></w:pPr>
<w:r><w:t xml:space="preserve">Wyllie&apos;s Essays on the External Policy of India (1875);</w:t></w:r>
</w:p>
<w:p>
<w:pPr><w:pStyle w:val="Normal"/></w:pPr>
<w:r><w:t xml:space="preserve">Elphinstone, Account of the Kingdom of Kabul (1809);</w:t></w:r>
</w:p>
<w:p>
<w:pPr><w:pStyle w:val="Normal"/></w:pPr>
<w:r><w:t xml:space="preserve">Parliamentary Papers, ``Afghanistan&apos;&apos;; Curzon, Problems in</w:t></w:r>
</w:p>
<w:p>
<w:pPr><w:pStyle w:val="Normal"/></w:pPr>
<w:r><w:t xml:space="preserve">the Far East; Holdich, Indian Borderland (1901); India</w:t></w:r>
</w:p>
<w:p>
<w:pPr><w:pStyle w:val="Normal"/></w:pPr>
<w:r><w:t xml:space="preserve">(1903); Indian Survey Reports; Russo-Afghan Boundary Commission</w:t></w:r>
</w:p>
<w:p>
<w:pPr><w:pStyle w:val="Normal"/></w:pPr>
<w:r><w:t xml:space="preserve">(1886); Pamir Boundary Commission (1896). (T. H. H.*)</w:t></w:r>
</w:p>
<w:p>
<w:pPr><w:pStyle w:val="Normal"/></w:pPr>
<w:r><w:t xml:space="preserve">HISTORY The Afghan chroniclers call their people Beni-Israil</w:t></w:r>
</w:p>
<w:p>
<w:pPr><w:pStyle w:val="Normal"/></w:pPr>
<w:r><w:t xml:space="preserve">(Arab. for Children of Israel), and claim descent from King</w:t></w:r>
</w:p>
<w:p>
<w:pPr><w:pStyle w:val="Normal"/></w:pPr>
<w:r><w:t xml:space="preserve">Saul (whom they call by the Mahommedan corruption Talut)</w:t></w:r>
</w:p>
<w:p>
<w:pPr><w:pStyle w:val="Normal"/></w:pPr>
<w:r><w:t xml:space="preserve">through a son whom they ascribe to him, called Jeremiah,</w:t></w:r>
</w:p>
<w:p>
<w:pPr><w:pStyle w:val="Normal"/></w:pPr>
<w:r><w:t xml:space="preserve">who again had a son called Afghana.  The numerous stock</w:t></w:r>
</w:p>
<w:p>
<w:pPr><w:pStyle w:val="Normal"/></w:pPr>
<w:r><w:t xml:space="preserve">of Afghana were removed by Nebuchadrezzar, and found their</w:t></w:r>
</w:p>
<w:p>
<w:pPr><w:pStyle w:val="Normal"/></w:pPr>
<w:r><w:t xml:space="preserve">way to the mountains of Ghor and Feroza (east and north of</w:t></w:r>
</w:p>
<w:p>
<w:pPr><w:pStyle w:val="Normal"/></w:pPr>
<w:r><w:t xml:space="preserve">Herat).  Only nine years after Mahommed&apos;s announcement of his</w:t></w:r>
</w:p>
<w:p>
<w:pPr><w:pStyle w:val="Normal"/></w:pPr>
<w:r><w:t xml:space="preserve">mission they heard of the new prophet, and sent to Medina a</w:t></w:r>
</w:p>
<w:p>
<w:pPr><w:pStyle w:val="Normal"/></w:pPr>
<w:r><w:t xml:space="preserve">deputation headed by a wise and holy man called Kais, to make</w:t></w:r>
</w:p>
<w:p>
<w:pPr><w:pStyle w:val="Normal"/></w:pPr>
<w:r><w:t xml:space="preserve">inquiry.  The deputation became zealous converts, and on</w:t></w:r>
</w:p>
<w:p>
<w:pPr><w:pStyle w:val="Normal"/></w:pPr>
<w:r><w:t xml:space="preserve">their return converted their countrymen.  From Kais and his</w:t></w:r>
</w:p>
<w:p>
<w:pPr><w:pStyle w:val="Normal"/></w:pPr>
<w:r><w:t xml:space="preserve">three sons the whole of the genuine Afghans claim descent.</w:t></w:r>
</w:p>
<w:p>
<w:pPr><w:pStyle w:val="Normal"/></w:pPr>
<w:r><w:t xml:space="preserve">This story is repeated in great and varying detail in sundry</w:t></w:r>
</w:p>
<w:p>
<w:pPr><w:pStyle w:val="Normal"/></w:pPr>
<w:r><w:t xml:space="preserve">books by Afghans, the oldest of which appears to be of the</w:t></w:r>
</w:p>
<w:p>
<w:pPr><w:pStyle w:val="Normal"/></w:pPr>
<w:r><w:t xml:space="preserve">16th century; nor do we know that any trace of the legend</w:t></w:r>
</w:p>
<w:p>
<w:pPr><w:pStyle w:val="Normal"/></w:pPr>
<w:r><w:t xml:space="preserve">is found of older date.  In the version given by Major</w:t></w:r>
</w:p>
<w:p>
<w:pPr><w:pStyle w:val="Normal"/></w:pPr>
<w:r><w:t xml:space="preserve">Raverty (Introd. to Afghan Grammar), Afghanah is settled</w:t></w:r>
</w:p>
<w:p>
<w:pPr><w:pStyle w:val="Normal"/></w:pPr>
<w:r><w:t xml:space="preserve">by King Solomon himself in the Sulimani mountains; there</w:t></w:r>
</w:p>
<w:p>
<w:pPr><w:pStyle w:val="Normal"/></w:pPr>
<w:r><w:t xml:space="preserve">is nothing about Nebuchadrezzar or Ghor.  The historian</w:t></w:r>
</w:p>
<w:p>
<w:pPr><w:pStyle w:val="Normal"/></w:pPr>
<w:r><w:t xml:space="preserve">Ferishta says he had read that the Afghans were descended</w:t></w:r>
</w:p>
<w:p>
<w:pPr><w:pStyle w:val="Normal"/></w:pPr>
<w:r><w:t xml:space="preserve">from Copts of the race of Pharaoh.  And one of the Afghan</w:t></w:r>
</w:p>
<w:p>
<w:pPr><w:pStyle w:val="Normal"/></w:pPr>
<w:r><w:t xml:space="preserve">histories, quoted by Mr Bellow, relates ``a current tradition&apos;&apos;</w:t></w:r>
</w:p>
<w:p>
<w:pPr><w:pStyle w:val="Normal"/></w:pPr>
<w:r><w:t xml:space="preserve">that, previous to the time of Kais, Bilo the father of the</w:t></w:r>
</w:p>
<w:p>
<w:pPr><w:pStyle w:val="Normal"/></w:pPr>
<w:r><w:t xml:space="preserve">Biluchis, Uzbak (evidently the father of the Usbegs) and</w:t></w:r>
</w:p>
<w:p>
<w:pPr><w:pStyle w:val="Normal"/></w:pPr>
<w:r><w:t xml:space="preserve">Afghana were considered as brethren.  As Mahommed Usbeg</w:t></w:r>
</w:p>
<w:p>
<w:pPr><w:pStyle w:val="Normal"/></w:pPr>
<w:r><w:t xml:space="preserve">Khan, the eponymus of the medley of Tatar tribes called</w:t></w:r>
</w:p>
<w:p>
<w:pPr><w:pStyle w:val="Normal"/></w:pPr>
<w:r><w:t xml:space="preserve">Usbegs, reigned in the 14th century A.D., this gives some</w:t></w:r>
</w:p>
<w:p>
<w:pPr><w:pStyle w:val="Normal"/></w:pPr>
<w:r><w:t xml:space="preserve">possible light on the value of these so-called traditions.</w:t></w:r>
</w:p>
<w:p>
<w:pPr><w:pStyle w:val="Normal"/></w:pPr>
<w:r><w:t xml:space="preserve">We have analogous stories in the literature of almost all</w:t></w:r>
</w:p>
<w:p>
<w:pPr><w:pStyle w:val="Normal"/></w:pPr>
<w:r><w:t xml:space="preserve">nations that derive their religion or their civilization from</w:t></w:r>
</w:p>
<w:p>
<w:pPr><w:pStyle w:val="Normal"/></w:pPr>
<w:r><w:t xml:space="preserve">a foreign source.  To say nothing of the Book of Mormon, a</w:t></w:r>
</w:p>
<w:p>
<w:pPr><w:pStyle w:val="Normal"/></w:pPr>
<w:r><w:t xml:space="preserve">considerable number of persons have been found to propagate</w:t></w:r>
</w:p>
<w:p>
<w:pPr><w:pStyle w:val="Normal"/></w:pPr>
<w:r><w:t xml:space="preserve">the doctrine that the English people are descended from the</w:t></w:r>
</w:p>
<w:p>
<w:pPr><w:pStyle w:val="Normal"/></w:pPr>
<w:r><w:t xml:space="preserve">tribes of Israel.  But the Hebrew ancestry of the Afghans</w:t></w:r>
</w:p>
<w:p>
<w:pPr><w:pStyle w:val="Normal"/></w:pPr>
<w:r><w:t xml:space="preserve">is more worthy at least of consideration, for a respectable</w:t></w:r>
</w:p>
<w:p>
<w:pPr><w:pStyle w:val="Normal"/></w:pPr>
<w:r><w:t xml:space="preserve">number of intelligent officers, well acquainted with the</w:t></w:r>
</w:p>
<w:p>
<w:pPr><w:pStyle w:val="Normal"/></w:pPr>
<w:r><w:t xml:space="preserve">Afghans, have been strong in their belief of it; and though</w:t></w:r>
</w:p>
<w:p>
<w:pPr><w:pStyle w:val="Normal"/></w:pPr>
<w:r><w:t xml:space="preserve">the customs alleged in proof will not bear the stress laid on</w:t></w:r>
</w:p>
<w:p>
<w:pPr><w:pStyle w:val="Normal"/></w:pPr>
<w:r><w:t xml:space="preserve">them, undoubtedly a prevailing type of the Afghan physiognomy</w:t></w:r>
</w:p>
<w:p>
<w:pPr><w:pStyle w:val="Normal"/></w:pPr>
<w:r><w:t xml:space="preserve">has a character strongly Jewish.  This characteristic is</w:t></w:r>
</w:p>
<w:p>
<w:pPr><w:pStyle w:val="Normal"/></w:pPr>
<w:r><w:t xml:space="preserve">certainly a remarkable one; but it is shared, to a considerable</w:t></w:r>
</w:p>
<w:p>
<w:pPr><w:pStyle w:val="Normal"/></w:pPr>
<w:r><w:t xml:space="preserve">extent, by the Kashmiris (a circumstance which led Bernier</w:t></w:r>
</w:p>
<w:p>
<w:pPr><w:pStyle w:val="Normal"/></w:pPr>
<w:r><w:t xml:space="preserve">to speculate on the Kashmiris representing the lost tribes of</w:t></w:r>
</w:p>
<w:p>
<w:pPr><w:pStyle w:val="Normal"/></w:pPr>
<w:r><w:t xml:space="preserve">Israel), and, we believe, by the Tajik people of Badakshan.</w:t></w:r>
</w:p>
<w:p>
<w:pPr><w:pStyle w:val="Normal"/></w:pPr>
<w:r><w:t xml:space="preserve">Relations with the Greeks.---In the time of Darius Hystaspes</w:t></w:r>
</w:p>
<w:p>
<w:pPr><w:pStyle w:val="Normal"/></w:pPr>
<w:r><w:t xml:space="preserve">(500 B.C.) we find the region now called Afghanistan</w:t></w:r>
</w:p>
<w:p>
<w:pPr><w:pStyle w:val="Normal"/></w:pPr>
<w:r><w:t xml:space="preserve">embraced in the Achaemenian satrapies, and various parts</w:t></w:r>
</w:p>
<w:p>
<w:pPr><w:pStyle w:val="Normal"/></w:pPr>
<w:r><w:t xml:space="preserve">of it occupied by Sarangians (in Seistan), Arians (in</w:t></w:r>
</w:p>
<w:p>
<w:pPr><w:pStyle w:val="Normal"/></w:pPr>
<w:r><w:t xml:space="preserve">Herat), Sattagydians (supposed in highlands of upper</w:t></w:r>
</w:p>
<w:p>
<w:pPr><w:pStyle w:val="Normal"/></w:pPr>
<w:r><w:t xml:space="preserve">Helmund and the plateau of Ghazni), Dadicae (suggested</w:t></w:r>
</w:p>
<w:p>
<w:pPr><w:pStyle w:val="Normal"/></w:pPr>
<w:r><w:t xml:space="preserve">to be Tajiks), Aparytae (mountaineers, perhaps of Safed</w:t></w:r>
</w:p>
<w:p>
<w:pPr><w:pStyle w:val="Normal"/></w:pPr>
<w:r><w:t xml:space="preserve">Koh, where lay the Paryetae of Ptolemy), Gandarii (in</w:t></w:r>
</w:p>
<w:p>
<w:pPr><w:pStyle w:val="Normal"/></w:pPr>
<w:r><w:t xml:space="preserve">Lower Kabul basin) and Paktyes, on or near the Indus.</w:t></w:r>
</w:p>
<w:p>
<w:pPr><w:pStyle w:val="Normal"/></w:pPr>
<w:r><w:t xml:space="preserve">In the last name it has been plausibly suggested that we</w:t></w:r>
</w:p>
<w:p>
<w:pPr><w:pStyle w:val="Normal"/></w:pPr>
<w:r><w:t xml:space="preserve">have the Pukhtun, as the eastern Afghans pronounce their</w:t></w:r>
</w:p>
<w:p>
<w:pPr><w:pStyle w:val="Normal"/></w:pPr>
<w:r><w:t xml:space="preserve">name.  Indeed, Pusht, Pasht or Pakht would seem to be the</w:t></w:r>
</w:p>
<w:p>
<w:pPr><w:pStyle w:val="Normal"/></w:pPr>
<w:r><w:t xml:space="preserve">oldest name of the country of the Afghans in their traditions.</w:t></w:r>
</w:p>
<w:p>
<w:pPr><w:pStyle w:val="Normal"/></w:pPr>
<w:r><w:t xml:space="preserve">The Ariania of Strabo corresponds generally with the existing</w:t></w:r>
</w:p>
<w:p>
<w:pPr><w:pStyle w:val="Normal"/></w:pPr>
<w:r><w:t xml:space="preserve">dominions of Kabul, but overpasses their limits on the west and south.</w:t></w:r>
</w:p>
<w:p>
<w:pPr><w:pStyle w:val="Normal"/></w:pPr>
<w:r><w:t xml:space="preserve">About 310 B.C. Seleucus is said by Strabo to have given to</w:t></w:r>
</w:p>
<w:p>
<w:pPr><w:pStyle w:val="Normal"/></w:pPr>
<w:r><w:t xml:space="preserve">the Indian Sandrocottus (Chandragupta), in consequence of a</w:t></w:r>
</w:p>
<w:p>
<w:pPr><w:pStyle w:val="Normal"/></w:pPr>
<w:r><w:t xml:space="preserve">marriage-contract, some part of the country west of the Indus</w:t></w:r>
</w:p>
<w:p>
<w:pPr><w:pStyle w:val="Normal"/></w:pPr>
<w:r><w:t xml:space="preserve">occupied by an Indian population, and no doubt embracing a</w:t></w:r>
</w:p>
<w:p>
<w:pPr><w:pStyle w:val="Heading1"/></w:pPr>
<w:r><w:t>part of the Kabul basin.  Some sixty years later occurred</w:t></w:r>
</w:p>
<w:p>
<w:pPr><w:pStyle w:val="Normal"/></w:pPr>
<w:r><w:t xml:space="preserve">the establishment of an independent Greek dynasty in Bactria.</w:t></w:r>
</w:p>
<w:p>
<w:pPr><w:pStyle w:val="Normal"/></w:pPr>
<w:r><w:t xml:space="preserve">(See BACTRIA, MEDIA, EUCRATIDES, MENANDER of India,</w:t></w:r>
</w:p>
<w:p>
<w:pPr><w:pStyle w:val="Normal"/></w:pPr>
<w:r><w:t xml:space="preserve">EUTHYDEMUS, and PERSIA, Ancient History.) Of the details</w:t></w:r>
</w:p>
<w:p>
<w:pPr><w:pStyle w:val="Normal"/></w:pPr>
<w:r><w:t xml:space="preserve">of their history and extent of their dominion in different</w:t></w:r>
</w:p>
<w:p>
<w:pPr><w:pStyle w:val="Normal"/></w:pPr>
<w:r><w:t xml:space="preserve">reigns we know almost nothing, and conjecture is often</w:t></w:r>
</w:p>
<w:p>
<w:pPr><w:pStyle w:val="Normal"/></w:pPr>
<w:r><w:t xml:space="preserve">dependent on such vague data as are afforded by the collation</w:t></w:r>
</w:p>
<w:p>
<w:pPr><w:pStyle w:val="Normal"/></w:pPr>
<w:r><w:t xml:space="preserve">of the localities in which the coins of independent princes</w:t></w:r>
</w:p>
<w:p>
<w:pPr><w:pStyle w:val="Normal"/></w:pPr>
<w:r><w:t xml:space="preserve">have been found.  But their power extended certainly over</w:t></w:r>
</w:p>
<w:p>
<w:pPr><w:pStyle w:val="Normal"/></w:pPr>
<w:r><w:t xml:space="preserve">the Kabul basin, and probably, at times, over the whole of</w:t></w:r>
</w:p>
<w:p>
<w:pPr><w:pStyle w:val="Normal"/></w:pPr>
<w:r><w:t xml:space="preserve">Afghanistan.  The ancient architecture of Kashmir, the tope</w:t></w:r>
</w:p>
<w:p>
<w:pPr><w:pStyle w:val="Normal"/></w:pPr>
<w:r><w:t xml:space="preserve">of Manikyala in the Punjab, and many sculptures found in the</w:t></w:r>
</w:p>
<w:p>
<w:pPr><w:pStyle w:val="Normal"/></w:pPr>
<w:r><w:t xml:space="preserve">Peshawar valley, show unmistakable Greek influence.  Demetrius</w:t></w:r>
</w:p>
<w:p>
<w:pPr><w:pStyle w:val="Normal"/></w:pPr>
<w:r><w:t xml:space="preserve">(c. 190 B.C.) is supposed to have reigned in Arachosia</w:t></w:r>
</w:p>
<w:p>
<w:pPr><w:pStyle w:val="Normal"/></w:pPr>
<w:r><w:t xml:space="preserve">after being expelled from Bactria, much as, at a later date,</w:t></w:r>
</w:p>
<w:p>
<w:pPr><w:pStyle w:val="Normal"/></w:pPr>
<w:r><w:t xml:space="preserve">Baber reigned in Kabul after his expulsion from Samarkand.</w:t></w:r>
</w:p>
<w:p>
<w:pPr><w:pStyle w:val="Normal"/></w:pPr>
<w:r><w:t xml:space="preserve">Eucratides (181 B.C.) is alleged by Justin to have warred in</w:t></w:r>
</w:p>
<w:p>
<w:pPr><w:pStyle w:val="Normal"/></w:pPr>
<w:r><w:t xml:space="preserve">India.  With his coins, found abundantly in the Kabul basin,</w:t></w:r>
</w:p>
<w:p>
<w:pPr><w:pStyle w:val="Normal"/></w:pPr>
<w:r><w:t xml:space="preserve">commences the use of an Arianian inscription, in addition to the</w:t></w:r>
</w:p>
<w:p>
<w:pPr><w:pStyle w:val="Normal"/></w:pPr>
<w:r><w:t xml:space="preserve">Greek, sulnosed to imply the transfer of rule to the south of</w:t></w:r>
</w:p>
<w:p>
<w:pPr><w:pStyle w:val="Normal"/></w:pPr>
<w:r><w:t xml:space="preserve">the mountains, over a people whom the Greek dynasty sought to</w:t></w:r>
</w:p>
<w:p>
<w:pPr><w:pStyle w:val="Normal"/></w:pPr>
<w:r><w:t xml:space="preserve">conciliate.  Under Heliocles (147 B.C.?), the Parthians, who</w:t></w:r>
</w:p>
<w:p>
<w:pPr><w:pStyle w:val="Normal"/></w:pPr>
<w:r><w:t xml:space="preserve">had already encroached on Ariana, pressed their conquests into</w:t></w:r>
</w:p>
<w:p>
<w:pPr><w:pStyle w:val="Normal"/></w:pPr>
<w:r><w:t xml:space="preserve">India.  Menander (126 B.C.) invaded India at least to the</w:t></w:r>
</w:p>
<w:p>
<w:pPr><w:pStyle w:val="Normal"/></w:pPr>
<w:r><w:t xml:space="preserve">Jumna, and perhaps also to the Indus delta.  Tbe coinage of</w:t></w:r>
</w:p>
<w:p>
<w:pPr><w:pStyle w:val="Normal"/></w:pPr>
<w:r><w:t xml:space="preserve">a succeeding king, Hermaeus, indicates a barbaric irruption.</w:t></w:r>
</w:p>
<w:p>
<w:pPr><w:pStyle w:val="Normal"/></w:pPr>
<w:r><w:t xml:space="preserve">There is a general correspondence between classical and Chinese</w:t></w:r>
</w:p>
<w:p>
<w:pPr><w:pStyle w:val="Normal"/></w:pPr>
<w:r><w:t xml:space="preserve">accounts of the time when Bactria was overrun by Scythian</w:t></w:r>
</w:p>
<w:p>
<w:pPr><w:pStyle w:val="Normal"/></w:pPr>
<w:r><w:t xml:space="preserve">invaders.  The chief nation among these, called by the</w:t></w:r>
</w:p>
<w:p>
<w:pPr><w:pStyle w:val="Normal"/></w:pPr>
<w:r><w:t xml:space="preserve">Chinese Yue-Chi, about 126 B.C. established themselves</w:t></w:r>
</w:p>
<w:p>
<w:pPr><w:pStyle w:val="Normal"/></w:pPr>
<w:r><w:t xml:space="preserve">in Sogdiana and on the Oxus in five hordes.  Near the</w:t></w:r>
</w:p>
<w:p>
<w:pPr><w:pStyle w:val="Normal"/></w:pPr>
<w:r><w:t xml:space="preserve">Christian era the chief of one of these, which was called</w:t></w:r>
</w:p>
<w:p>
<w:pPr><w:pStyle w:val="Normal"/></w:pPr>
<w:r><w:t xml:space="preserve">Kushan, subdued the rest, and extended his conquests over the</w:t></w:r>
</w:p>
<w:p>
<w:pPr><w:pStyle w:val="Normal"/></w:pPr>
<w:r><w:t xml:space="preserve">countries south of the Hindu Kush, including Sind as well as</w:t></w:r>
</w:p>
<w:p>
<w:pPr><w:pStyle w:val="Normal"/></w:pPr>
<w:r><w:t xml:space="preserve">Afghanistan, thus establishing a great dominion, of which</w:t></w:r>
</w:p>
<w:p>
<w:pPr><w:pStyle w:val="Normal"/></w:pPr>
<w:r><w:t xml:space="preserve">we hear from Greek writers as Indo-Scythia. (See YUE-CHI.)</w:t></w:r>
</w:p>
<w:p>
<w:pPr><w:pStyle w:val="Normal"/></w:pPr>
<w:r><w:t xml:space="preserve">Buddhism had already acquired influence over the people of the</w:t></w:r>
</w:p>
<w:p>
<w:pPr><w:pStyle w:val="Normal"/></w:pPr>
<w:r><w:t xml:space="preserve">Kabul basin, and some of the barbaric invaders adopted that</w:t></w:r>
</w:p>
<w:p>
<w:pPr><w:pStyle w:val="Normal"/></w:pPr>
<w:r><w:t xml:space="preserve">system.  Its traces are extensive, especially in the plains</w:t></w:r>
</w:p>
<w:p>
<w:pPr><w:pStyle w:val="Normal"/></w:pPr>
<w:r><w:t xml:space="preserve">of Jalalabad and Peshawar, but also in the vicinity of Kabul.</w:t></w:r>
</w:p>
<w:p>
<w:pPr><w:pStyle w:val="Normal"/></w:pPr>
<w:r><w:t xml:space="preserve">Various barbaric dynasties succeeded each other.  A notable</w:t></w:r>
</w:p>
<w:p>
<w:pPr><w:pStyle w:val="Normal"/></w:pPr>
<w:r><w:t xml:space="preserve">monarch was Kanishka (see INDIA, History) or Kanerkes,</w:t></w:r>
</w:p>
<w:p>
<w:pPr><w:pStyle w:val="Normal"/></w:pPr>
<w:r><w:t xml:space="preserve">whose date is variously fixed at from 58 B.C. to A.D.</w:t></w:r>
</w:p>
<w:p>
<w:pPr><w:pStyle w:val="Normal"/></w:pPr>
<w:r><w:t xml:space="preserve">125, and whose power extended over the upper Oxus basin,</w:t></w:r>
</w:p>
<w:p>
<w:pPr><w:pStyle w:val="Normal"/></w:pPr>
<w:r><w:t xml:space="preserve">Kabul, Peshawar, Kashmir and probably far into India.  His</w:t></w:r>
</w:p>
<w:p>
<w:pPr><w:pStyle w:val="Normal"/></w:pPr>
<w:r><w:t xml:space="preserve">name and legends still filled the land, or at least the</w:t></w:r>
</w:p>
<w:p>
<w:pPr><w:pStyle w:val="Normal"/></w:pPr>
<w:r><w:t xml:space="preserve">Buddhist portion of it, 600 years later, when tho Chinese</w:t></w:r>
</w:p>
<w:p>
<w:pPr><w:pStyle w:val="Normal"/></w:pPr>
<w:r><w:t xml:space="preserve">pilgrim, Hsuan Tsang, travelled in India; they had even</w:t></w:r>
</w:p>
<w:p>
<w:pPr><w:pStyle w:val="Normal"/></w:pPr>
<w:r><w:t xml:space="preserve">reached the great Mahommedan philosopher, traveller and</w:t></w:r>
</w:p>
<w:p>
<w:pPr><w:pStyle w:val="Normal"/></w:pPr>
<w:r><w:t xml:space="preserve">geographer, Abu-r-Raihan Muhammad al-Biruni (see</w:t></w:r>
</w:p>
<w:p>
<w:pPr><w:pStyle w:val="Normal"/></w:pPr>
<w:r><w:t xml:space="preserve">BIRUNI), in the 11th century; and they are still celebrated</w:t></w:r>
</w:p>
<w:p>
<w:pPr><w:pStyle w:val="Normal"/></w:pPr>
<w:r><w:t xml:space="preserve">in the Mongol versions of Buddhist ecclesiastical story.</w:t></w:r>
</w:p>
<w:p>
<w:pPr><w:pStyle w:val="Normal"/></w:pPr>
<w:r><w:t xml:space="preserve">Turkoman Dynasties.---In the time of Hsuan Tsang (A.D.</w:t></w:r>
</w:p>
<w:p>
<w:pPr><w:pStyle w:val="Normal"/></w:pPr>
<w:r><w:t xml:space="preserve">630-645) there were both Indian and Turk princes in the Kabul</w:t></w:r>
</w:p>
<w:p>
<w:pPr><w:pStyle w:val="Normal"/></w:pPr>
<w:r><w:t xml:space="preserve">valley, and in the succeeding centuries both these races seem</w:t></w:r>
</w:p>
<w:p>
<w:pPr><w:pStyle w:val="Normal"/></w:pPr>
<w:r><w:t xml:space="preserve">to have predominated in succession.  The first Mahommedan</w:t></w:r>
</w:p>
<w:p>
<w:pPr><w:pStyle w:val="Normal"/></w:pPr>
<w:r><w:t xml:space="preserve">attempts at the conquest of Kabul were unsuccessful, though</w:t></w:r>
</w:p>
<w:p>
<w:pPr><w:pStyle w:val="Normal"/></w:pPr>
<w:r><w:t xml:space="preserve">Seistan and Arachosia were permanently held from an early</w:t></w:r>
</w:p>
<w:p>
<w:pPr><w:pStyle w:val="Normal"/></w:pPr>
<w:r><w:t xml:space="preserve">date.  It was not till the end of the 10th century that a Hindu</w:t></w:r>
</w:p>
<w:p>
<w:pPr><w:pStyle w:val="Normal"/></w:pPr>
<w:r><w:t xml:space="preserve">prince ceased to reign in Kabul, and it fell into the hands</w:t></w:r>
</w:p>
<w:p>
<w:pPr><w:pStyle w:val="Normal"/></w:pPr>
<w:r><w:t xml:space="preserve">of the Turk Sabuktagin, who had established his capital at</w:t></w:r>
</w:p>
<w:p>
<w:pPr><w:pStyle w:val="Normal"/></w:pPr>
<w:r><w:t xml:space="preserve">Ghazni.  There, too, reigned his famous son Mahmud, and a</w:t></w:r>
</w:p>
<w:p>
<w:pPr><w:pStyle w:val="Normal"/></w:pPr>
<w:r><w:t xml:space="preserve">series of descendants, till the middle of the 12th century,</w:t></w:r>
</w:p>
<w:p>
<w:pPr><w:pStyle w:val="Normal"/></w:pPr>
<w:r><w:t xml:space="preserve">rendering the city one of the most splendid in Asia.  We</w:t></w:r>
</w:p>
<w:p>
<w:pPr><w:pStyle w:val="Normal"/></w:pPr>
<w:r><w:t xml:space="preserve">then have a powerful dynasty, commonly believed to have been</w:t></w:r>
</w:p>
<w:p>
<w:pPr><w:pStyle w:val="Normal"/></w:pPr>
<w:r><w:t xml:space="preserve">of Afghan race; and if so, the first.  But the historians</w:t></w:r>
</w:p>
<w:p>
<w:pPr><w:pStyle w:val="Normal"/></w:pPr>
<w:r><w:t xml:space="preserve">give them a legendary descent from Zohak, which is no Afghan</w:t></w:r>
</w:p>
<w:p>
<w:pPr><w:pStyle w:val="Normal"/></w:pPr>
<w:r><w:t xml:space="preserve">genealogy.  The founder of the dynasty was Alauddin,</w:t></w:r>
</w:p>
<w:p>
<w:pPr><w:pStyle w:val="Normal"/></w:pPr>
<w:r><w:t xml:space="preserve">chief of Ghor, whose vengeance for the cruel death of his</w:t></w:r>
</w:p>
<w:p>
<w:pPr><w:pStyle w:val="Normal"/></w:pPr>
<w:r><w:t xml:space="preserve">brother at the hands of Bahram the Ghaznevide was wreaked</w:t></w:r>
</w:p>
<w:p>
<w:pPr><w:pStyle w:val="Normal"/></w:pPr>
<w:r><w:t xml:space="preserve">in devastating the great city.  His nephew, Shahabuddin</w:t></w:r>
</w:p>
<w:p>
<w:pPr><w:pStyle w:val="Normal"/></w:pPr>
<w:r><w:t xml:space="preserve">Mahommed, repeatedly invaded India, conquering as far as</w:t></w:r>
</w:p>
<w:p>
<w:pPr><w:pStyle w:val="Normal"/></w:pPr>
<w:r><w:t xml:space="preserve">Benares.  His empire in India indeed--ruled by his freedmen</w:t></w:r>
</w:p>
<w:p>
<w:pPr><w:pStyle w:val="Normal"/></w:pPr>
<w:r><w:t xml:space="preserve">who after his death became independent --may be regarded as</w:t></w:r>
</w:p>
<w:p>
<w:pPr><w:pStyle w:val="Normal"/></w:pPr>
<w:r><w:t xml:space="preserve">the origin of that great Mahommedan monarchy which endured</w:t></w:r>
</w:p>
<w:p>
<w:pPr><w:pStyle w:val="Normal"/></w:pPr>
<w:r><w:t xml:space="preserve">nominally till 1857.  For abrief period the Afghan countries</w:t></w:r>
</w:p>
<w:p>
<w:pPr><w:pStyle w:val="Normal"/></w:pPr>
<w:r><w:t xml:space="preserve">were subject to the king of Khwarizm, and it was here</w:t></w:r>
</w:p>
<w:p>
<w:pPr><w:pStyle w:val="Normal"/></w:pPr>
<w:r><w:t xml:space="preserve">chiefly that occurred the gallant attempts of Jalaluddin</w:t></w:r>
</w:p>
<w:p>
<w:pPr><w:pStyle w:val="Normal"/></w:pPr>
<w:r><w:t xml:space="preserve">of Khwarizm to withstand the progress of Jenghiz Khan.</w:t></w:r>
</w:p>
<w:p>
<w:pPr><w:pStyle w:val="Normal"/></w:pPr>
<w:r><w:t xml:space="preserve">A passage in Ferishta seems to imply that the Afghans in the</w:t></w:r>
</w:p>
<w:p>
<w:pPr><w:pStyle w:val="Normal"/></w:pPr>
<w:r><w:t xml:space="preserve">Sulimani mountains were already known by that name in the first</w:t></w:r>
</w:p>
<w:p>
<w:pPr><w:pStyle w:val="Normal"/></w:pPr>
<w:r><w:t xml:space="preserve">century of the Hegira, but it is uncertain how far this may</w:t></w:r>
</w:p>
<w:p>
<w:pPr><w:pStyle w:val="Normal"/></w:pPr>
<w:r><w:t xml:space="preserve">be built on.  The name Afghans is very distinctly mentioned</w:t></w:r>
</w:p>
<w:p>
<w:pPr><w:pStyle w:val="Normal"/></w:pPr>
<w:r><w:t xml:space="preserve">in `Utbi&apos;s History of Sultan Mahmud, written about A.D.</w:t></w:r>
</w:p>
<w:p>
<w:pPr><w:pStyle w:val="Normal"/></w:pPr>
<w:r><w:t xml:space="preserve">1030, coupled with that of the Khifjis. It also appears</w:t></w:r>
</w:p>
<w:p>
<w:pPr><w:pStyle w:val="Normal"/></w:pPr>
<w:r><w:t xml:space="preserve">frequently in connexion with the history of India in the</w:t></w:r>
</w:p>
<w:p>
<w:pPr><w:pStyle w:val="Normal"/></w:pPr>
<w:r><w:t xml:space="preserve">13th and 14th centuries.  The successive dynasties of Delhi</w:t></w:r>
</w:p>
<w:p>
<w:pPr><w:pStyle w:val="Normal"/></w:pPr>
<w:r><w:t xml:space="preserve">are generally called Pathan, but were really so only in</w:t></w:r>
</w:p>
<w:p>
<w:pPr><w:pStyle w:val="Normal"/></w:pPr>
<w:r><w:t xml:space="preserve">part.  Of the Khifjis (1288-1321) we have already spoken.</w:t></w:r>
</w:p>
<w:p>
<w:pPr><w:pStyle w:val="Normal"/></w:pPr>
<w:r><w:t xml:space="preserve">The Tughlaks (1321-1421) were originally Tatars of the Karauna</w:t></w:r>
</w:p>
<w:p>
<w:pPr><w:pStyle w:val="Normal"/></w:pPr>
<w:r><w:t xml:space="preserve">tribe.  The Lodis (1450-1526) were pure Pathans.  For a</w:t></w:r>
</w:p>
<w:p>
<w:pPr><w:pStyle w:val="Normal"/></w:pPr>
<w:r><w:t xml:space="preserve">century and more after the Mongol invasion the whole of the</w:t></w:r>
</w:p>
<w:p>
<w:pPr><w:pStyle w:val="Normal"/></w:pPr>
<w:r><w:t xml:space="preserve">Afghan countries were under Mongol rule; but in the middle</w:t></w:r>
</w:p>
<w:p>
<w:pPr><w:pStyle w:val="Normal"/></w:pPr>
<w:r><w:t xml:space="preserve">of the 14th century a native dynasty sprang up in western</w:t></w:r>
</w:p>
<w:p>
<w:pPr><w:pStyle w:val="Normal"/></w:pPr>
<w:r><w:t xml:space="preserve">Afghanistan, that of the Kurts, which extended its rule</w:t></w:r>
</w:p>
<w:p>
<w:pPr><w:pStyle w:val="Normal"/></w:pPr>
<w:r><w:t xml:space="preserve">over Ghor, Herat and Kandahar.  The history of the Afghan</w:t></w:r>
</w:p>
<w:p>
<w:pPr><w:pStyle w:val="Normal"/></w:pPr>
<w:r><w:t xml:space="preserve">countries under the Mongols is obscure; but that regime</w:t></w:r>
</w:p>
<w:p>
<w:pPr><w:pStyle w:val="Normal"/></w:pPr>
<w:r><w:t xml:space="preserve">must have left its mark upon the country, if we judge from</w:t></w:r>
</w:p>
<w:p>
<w:pPr><w:pStyle w:val="Normal"/></w:pPr>
<w:r><w:t xml:space="preserve">the occurrence of frequent Mongol names of places, and</w:t></w:r>
</w:p>
<w:p>
<w:pPr><w:pStyle w:val="Normal"/></w:pPr>
<w:r><w:t xml:space="preserve">even of Mongol expressions adopted into familiar language.</w:t></w:r>
</w:p>
<w:p>
<w:pPr><w:pStyle w:val="Normal"/></w:pPr>
<w:r><w:t xml:space="preserve">The Mogul Dyniasty.---All these countries were included</w:t></w:r>
</w:p>
<w:p>
<w:pPr><w:pStyle w:val="Normal"/></w:pPr>
<w:r><w:t xml:space="preserve">in Timur&apos;s conquests, and Kabul at least had remained in</w:t></w:r>
</w:p>
<w:p>
<w:pPr><w:pStyle w:val="Normal"/></w:pPr>
<w:r><w:t xml:space="preserve">the possession of one of his descendants till 1501, only</w:t></w:r>
</w:p>
<w:p>
<w:pPr><w:pStyle w:val="Normal"/></w:pPr>
<w:r><w:t xml:space="preserve">three years before it fell into the hands of another and</w:t></w:r>
</w:p>
<w:p>
<w:pPr><w:pStyle w:val="Normal"/></w:pPr>
<w:r><w:t xml:space="preserve">more illustrious one, Sultan Baber.  It was not till 1522</w:t></w:r>
</w:p>
<w:p>
<w:pPr><w:pStyle w:val="Normal"/></w:pPr>
<w:r><w:t xml:space="preserve">that Baber succeeded in permanently wresting Kandahar from</w:t></w:r>
</w:p>
<w:p>
<w:pPr><w:pStyle w:val="Normal"/></w:pPr>
<w:r><w:t xml:space="preserve">the Arghuns, a family of Mongol descent, who had long held</w:t></w:r>
</w:p>
<w:p>
<w:pPr><w:pStyle w:val="Normal"/></w:pPr>
<w:r><w:t xml:space="preserve">it.  From the time of his conquest of Hindustan (victory at</w:t></w:r>
</w:p>
<w:p>
<w:pPr><w:pStyle w:val="Normal"/></w:pPr>
<w:r><w:t xml:space="preserve">Panipat, April 21, 1526), Kabul and Kandahar may be regarded</w:t></w:r>
</w:p>
<w:p>
<w:pPr><w:pStyle w:val="Normal"/></w:pPr>
<w:r><w:t xml:space="preserve">as part of the empire of Delhi under the (so-called) Mogul</w:t></w:r>
</w:p>
<w:p>
<w:pPr><w:pStyle w:val="Normal"/></w:pPr>
<w:r><w:t xml:space="preserve">dynasty which Baber founded.  Kabul so continued till the</w:t></w:r>
</w:p>
<w:p>
<w:pPr><w:pStyle w:val="Normal"/></w:pPr>
<w:r><w:t xml:space="preserve">invasion of Nadir Shah (1738).  Kandahar often changed hands</w:t></w:r>
</w:p>
<w:p>
<w:pPr><w:pStyle w:val="Normal"/></w:pPr>
<w:r><w:t xml:space="preserve">between the Moguls and the rising Safavis (or Sufis) of</w:t></w:r>
</w:p>
<w:p>
<w:pPr><w:pStyle w:val="Normal"/></w:pPr>
<w:r><w:t xml:space="preserve">Persia.  Under the latter it had remained from 1642 till 1708,</w:t></w:r>
</w:p>
<w:p>
<w:pPr><w:pStyle w:val="Normal"/></w:pPr>
<w:r><w:t xml:space="preserve">when in the reign of Husain, the last of them, the Ghilzais,</w:t></w:r>
</w:p>
<w:p>
<w:pPr><w:pStyle w:val="Normal"/></w:pPr>
<w:r><w:t xml:space="preserve">provoked by the oppressive Persian governor Shahnawaz Khan</w:t></w:r>
</w:p>
<w:p>
<w:pPr><w:pStyle w:val="Normal"/></w:pPr>
<w:r><w:t xml:space="preserve">(a Georgian prince of the Bagratid house), revolted under Mir</w:t></w:r>
</w:p>
<w:p>
<w:pPr><w:pStyle w:val="Normal"/></w:pPr>
<w:r><w:t xml:space="preserve">Wais, and expelled the Persians.  Mir Wais was acknowledged</w:t></w:r>
</w:p>
<w:p>
<w:pPr><w:pStyle w:val="Normal"/></w:pPr>
<w:r><w:t xml:space="preserve">sovereign of Kandahar, and eventually defeated the Persian</w:t></w:r>
</w:p>
<w:p>
<w:pPr><w:pStyle w:val="Normal"/></w:pPr>
<w:r><w:t xml:space="preserve">armies sent against him. but did not long survive (d. 1715).</w:t></w:r>
</w:p>
<w:p>
<w:pPr><w:pStyle w:val="Normal"/></w:pPr>
<w:r><w:t xml:space="preserve">Mahmud, the son of Mir Wais, a man of great courage and</w:t></w:r>
</w:p>
<w:p>
<w:pPr><w:pStyle w:val="Normal"/></w:pPr>
<w:r><w:t xml:space="preserve">energy, carried out a project of his father&apos;s, the conquest</w:t></w:r>
</w:p>
<w:p>
<w:pPr><w:pStyle w:val="Normal"/></w:pPr>
<w:r><w:t xml:space="preserve">of Persia itself.  After a long siege, Shah Husain came</w:t></w:r>
</w:p>
<w:p>
<w:pPr><w:pStyle w:val="Normal"/></w:pPr>
<w:r><w:t xml:space="preserve">forth from Ispahan with all his court, and surrendered</w:t></w:r>
</w:p>
<w:p>
<w:pPr><w:pStyle w:val="Normal"/></w:pPr>
<w:r><w:t xml:space="preserve">the sword and diadem of the Sufis into the hands of the</w:t></w:r>
</w:p>
<w:p>
<w:pPr><w:pStyle w:val="Normal"/></w:pPr>
<w:r><w:t xml:space="preserve">Ghilzai (October 1722).  Two years later Mahmud died mad,</w:t></w:r>
</w:p>
<w:p>
<w:pPr><w:pStyle w:val="Normal"/></w:pPr>
<w:r><w:t xml:space="preserve">and a few years saw the end of Ghilzai rule in Persia.</w:t></w:r>
</w:p>
<w:p>
<w:pPr><w:pStyle w:val="Normal"/></w:pPr>
<w:r><w:t xml:space="preserve">The Durani Dynasty.---In 1737-38 Nadir Shah both recovered</w:t></w:r>
</w:p>
<w:p>
<w:pPr><w:pStyle w:val="Normal"/></w:pPr>
<w:r><w:t xml:space="preserve">Kandahar and took Kabul.  But he gained the goodwill of the</w:t></w:r>
</w:p>
<w:p>
<w:pPr><w:pStyle w:val="Normal"/></w:pPr>
<w:r><w:t xml:space="preserve">Afghans, and enrolled many in his army.  Among these was a</w:t></w:r>
</w:p>
<w:p>
<w:pPr><w:pStyle w:val="Normal"/></w:pPr>
<w:r><w:t xml:space="preserve">noble young soldier, Ahmad Khan, of the Saddozai family of</w:t></w:r>
</w:p>
<w:p>
<w:pPr><w:pStyle w:val="Normal"/></w:pPr>
<w:r><w:t xml:space="preserve">the Abdali clan, who after the assassination of Nadir (1747)</w:t></w:r>
</w:p>
<w:p>
<w:pPr><w:pStyle w:val="Normal"/></w:pPr>
<w:r><w:t xml:space="preserve">was chosen by the Afghan chiefs at Kandahar to be their</w:t></w:r>
</w:p>
<w:p>
<w:pPr><w:pStyle w:val="Normal"/></w:pPr>
<w:r><w:t xml:space="preserve">leader, and assumed kingly authority over the eastern part</w:t></w:r>
</w:p>
<w:p>
<w:pPr><w:pStyle w:val="Normal"/></w:pPr>
<w:r><w:t xml:space="preserve">of Nadir&apos;s empire, with the style of Dur-i-Duran, ``Pearl</w:t></w:r>
</w:p>
<w:p>
<w:pPr><w:pStyle w:val="Normal"/></w:pPr>
<w:r><w:t xml:space="preserve">of the Age,&apos;&apos; bestowing that of Durani upon his clan, the</w:t></w:r>
</w:p>
<w:p>
<w:pPr><w:pStyle w:val="Normal"/></w:pPr>
<w:r><w:t xml:space="preserve">Abdalis.  With Ahmad Shah, Afghanistan, as such, first took</w:t></w:r>
</w:p>
<w:p>
<w:pPr><w:pStyle w:val="Normal"/></w:pPr>
<w:r><w:t xml:space="preserve">a place among the kingdoms of the earth, and the Durani</w:t></w:r>
</w:p>
<w:p>
<w:pPr><w:pStyle w:val="Normal"/></w:pPr>
<w:r><w:t xml:space="preserve">dynasty, which he founded, still occupies its throne.  During</w:t></w:r>
</w:p>
<w:p>
<w:pPr><w:pStyle w:val="Normal"/></w:pPr>
<w:r><w:t xml:space="preserve">the twenty-six years of his reign he carried his warlike</w:t></w:r>
</w:p>
<w:p>
<w:pPr><w:pStyle w:val="Normal"/></w:pPr>
<w:r><w:t xml:space="preserve">expeditions far and wide.  Westward they extended nearly to</w:t></w:r>
</w:p>
<w:p>
<w:pPr><w:pStyle w:val="Normal"/></w:pPr>
<w:r><w:t xml:space="preserve">the shores of the Caspian; eastward he repeatedly entered</w:t></w:r>
</w:p>
<w:p>
<w:pPr><w:pStyle w:val="Normal"/></w:pPr>
<w:r><w:t xml:space="preserve">India as a conqueror.  At his great battle of Panipat (January</w:t></w:r>
</w:p>
<w:p>
<w:pPr><w:pStyle w:val="Normal"/></w:pPr>
<w:r><w:t xml:space="preserve">6, 1761), with vastly inferior numbers, he inflicted on the</w:t></w:r>
</w:p>
<w:p>
<w:pPr><w:pStyle w:val="Normal"/></w:pPr>
<w:r><w:t xml:space="preserve">Mahrattas, then at the zenith of their power, a tremendous</w:t></w:r>
</w:p>
<w:p>
<w:pPr><w:pStyle w:val="Normal"/></w:pPr>
<w:r><w:t xml:space="preserve">defeat, almost annihilating their vast army; but the success</w:t></w:r>
</w:p>
<w:p>
<w:pPr><w:pStyle w:val="Normal"/></w:pPr>
<w:r><w:t xml:space="preserve">had for him no important result.  Having long suffered from a</w:t></w:r>
</w:p>
<w:p>
<w:pPr><w:pStyle w:val="Normal"/></w:pPr>
<w:r><w:t xml:space="preserve">terrible disease, he died in 1773, bequeathing to his son Timur</w:t></w:r>
</w:p>
<w:p>
<w:pPr><w:pStyle w:val="Normal"/></w:pPr>
<w:r><w:t xml:space="preserve">a dominion which embraced not only Afghanistan to its utmost</w:t></w:r>
</w:p>
<w:p>
<w:pPr><w:pStyle w:val="Normal"/></w:pPr>
<w:r><w:t xml:space="preserve">limits, but the Punjab, Kashmir and Turkestan to the Oxus,</w:t></w:r>
</w:p>
<w:p>
<w:pPr><w:pStyle w:val="Normal"/></w:pPr>
<w:r><w:t xml:space="preserve">with Sind, Baluchistan and Khorasan as tributary governments.</w:t></w:r>
</w:p>
<w:p>
<w:pPr><w:pStyle w:val="Normal"/></w:pPr>
<w:r><w:t xml:space="preserve">Timur transferred his residence from Kandahar to Kabul, and</w:t></w:r>
</w:p>
<w:p>
<w:pPr><w:pStyle w:val="Normal"/></w:pPr>
<w:r><w:t xml:space="preserve">continued during a reign of twenty years to stave off the</w:t></w:r>
</w:p>
<w:p>
<w:pPr><w:pStyle w:val="Normal"/></w:pPr>
<w:r><w:t xml:space="preserve">anarchy which followed close on his death.  He left twenty-three</w:t></w:r>
</w:p>
<w:p>
<w:pPr><w:pStyle w:val="Normal"/></w:pPr>
<w:r><w:t xml:space="preserve">sons, of whom the fifth, Zaman Mirza, by help of Payindah</w:t></w:r>
</w:p>
<w:p>
<w:pPr><w:pStyle w:val="Normal"/></w:pPr>
<w:r><w:t xml:space="preserve">Khan, head of the Barakzai family of the Abdalis, succeeded in</w:t></w:r>
</w:p>
<w:p>
<w:pPr><w:pStyle w:val="Normal"/></w:pPr>
<w:r><w:t xml:space="preserve">grasping the royal power.  For many years barbarous wars raged</w:t></w:r>
</w:p>
<w:p>
<w:pPr><w:pStyle w:val="Normal"/></w:pPr>
<w:r><w:t xml:space="preserve">between the brothers, during which Zaman Shah, Shuja-ul-Mulk</w:t></w:r>
</w:p>
<w:p>
<w:pPr><w:pStyle w:val="Normal"/></w:pPr>
<w:r><w:t xml:space="preserve">and Mahmud successively held the throne.  The last owed</w:t></w:r>
</w:p>
<w:p>
<w:pPr><w:pStyle w:val="Normal"/></w:pPr>
<w:r><w:t xml:space="preserve">success to Payindah&apos;s son, Fatteh Khan (known as the ``Afghan</w:t></w:r>
</w:p>
<w:p>
<w:pPr><w:pStyle w:val="Normal"/></w:pPr>
<w:r><w:t xml:space="preserve">Warwick&apos;&apos;), a man of masterly ability in war and politics, the</w:t></w:r>
</w:p>
<w:p>
<w:pPr><w:pStyle w:val="Normal"/></w:pPr>
<w:r><w:t xml:space="preserve">eldest of twenty-one brothers, a family of notable intelligence</w:t></w:r>
</w:p>
<w:p>
<w:pPr><w:pStyle w:val="Normal"/></w:pPr>
<w:r><w:t xml:space="preserve">and force of character, and many of these he placed over the</w:t></w:r>
</w:p>
<w:p>
<w:pPr><w:pStyle w:val="Normal"/></w:pPr>
<w:r><w:t xml:space="preserve">provinces.  Fatteh Khan, however, excited the king&apos;s jealously</w:t></w:r>
</w:p>
<w:p>
<w:pPr><w:pStyle w:val="Normal"/></w:pPr>
<w:r><w:t xml:space="preserve">by his powerful position, and provoked the malignity of the</w:t></w:r>
</w:p>
<w:p>
<w:pPr><w:pStyle w:val="Normal"/></w:pPr>
<w:r><w:t xml:space="preserve">king&apos;s son, Kamran, by a gross outrage on the Saddozai family.</w:t></w:r>
</w:p>
<w:p>
<w:pPr><w:pStyle w:val="Normal"/></w:pPr>
<w:r><w:t xml:space="preserve">He was accordingly seized, blinded and afterwards murdered with</w:t></w:r>
</w:p>
<w:p>
<w:pPr><w:pStyle w:val="Normal"/></w:pPr>
<w:r><w:t xml:space="preserve">prolonged torture, the brutal Kamran striking the first blow.</w:t></w:r>
</w:p>
<w:p>
<w:pPr><w:pStyle w:val="Normal"/></w:pPr>
<w:r><w:t xml:space="preserve">The Barakzai brothers united to avenge Fatteh Khan.  The</w:t></w:r>
</w:p>
<w:p>
<w:pPr><w:pStyle w:val="Normal"/></w:pPr>
<w:r><w:t xml:space="preserve">Saddozais were driven from Kabul, Ghazni and Kandahar, and</w:t></w:r>
</w:p>
<w:p>
<w:pPr><w:pStyle w:val="Normal"/></w:pPr>
<w:r><w:t xml:space="preserve">with difficulty reached Herat (1818).  Herat remained thus</w:t></w:r>
</w:p>
<w:p>
<w:pPr><w:pStyle w:val="Normal"/></w:pPr>
<w:r><w:t xml:space="preserve">till Kamran&apos;s death (1842), and after that was held by his</w:t></w:r>
</w:p>
<w:p>
<w:pPr><w:pStyle w:val="Normal"/></w:pPr>
<w:r><w:t xml:space="preserve">able and wicked minister Yar Mahommed.  The rest of the</w:t></w:r>
</w:p>
<w:p>
<w:pPr><w:pStyle w:val="Normal"/></w:pPr>
<w:r><w:t xml:space="preserve">country was divided among the Barakzais---Dost Mahommed, the</w:t></w:r>
</w:p>
<w:p>
<w:pPr><w:pStyle w:val="Normal"/></w:pPr>
<w:r><w:t xml:space="preserve">ablest, getting Kabul.  Peshawar and the right bank of the</w:t></w:r>
</w:p>
<w:p>
<w:pPr><w:pStyle w:val="Normal"/></w:pPr>
<w:r><w:t xml:space="preserve">Indus fell to the Sikhs after their victory at Nowshera in</w:t></w:r>
</w:p>
<w:p>
<w:pPr><w:pStyle w:val="Normal"/></w:pPr>
<w:r><w:t xml:space="preserve">1823.  The last Afghan hold of the Punjab had been lost</w:t></w:r>
</w:p>
<w:p>
<w:pPr><w:pStyle w:val="Normal"/></w:pPr>
<w:r><w:t xml:space="preserve">long before.--Kashmir in 1819; Sind had cast off all</w:t></w:r>
</w:p>
<w:p>
<w:pPr><w:pStyle w:val="Normal"/></w:pPr>
<w:r><w:t xml:space="preserve">allegiance since 1808; the Turkestan provinces had been</w:t></w:r>
</w:p>
<w:p>
<w:pPr><w:pStyle w:val="Normal"/></w:pPr>
<w:r><w:t xml:space="preserve">practically independent since the death of Timur Shah.</w:t></w:r>
</w:p>
<w:p>
<w:pPr><w:pStyle w:val="Normal"/></w:pPr>
<w:r><w:t xml:space="preserve">The First Afghan War, 1838-42.---In 1809, in consequence</w:t></w:r>
</w:p>
<w:p>
<w:pPr><w:pStyle w:val="Normal"/></w:pPr>
<w:r><w:t xml:space="preserve">of the intrigues Of Napoleon in Persia, the Hon. Mountstuart</w:t></w:r>
</w:p>
<w:p>
<w:pPr><w:pStyle w:val="Normal"/></w:pPr>
<w:r><w:t xml:space="preserve">Elphinstone had been sent as envoy to Shah Shuja, then in</w:t></w:r>
</w:p>
<w:p>
<w:pPr><w:pStyle w:val="Normal"/></w:pPr>
<w:r><w:t xml:space="preserve">power, and had been well received by him at Peshawar.  This</w:t></w:r>
</w:p>
<w:p>
<w:pPr><w:pStyle w:val="Normal"/></w:pPr>
<w:r><w:t xml:space="preserve">was the first time the Afghans made any acquaintance with</w:t></w:r>
</w:p>
<w:p>
<w:pPr><w:pStyle w:val="Normal"/></w:pPr>
<w:r><w:t xml:space="preserve">Englishmen.  Lieut.  Alex.  Burnes (afterwards Sir Alex.</w:t></w:r>
</w:p>
<w:p>
<w:pPr><w:pStyle w:val="Normal"/></w:pPr>
<w:r><w:t xml:space="preserve">Burnes) visited Kabul on his way to Bokhara in 1832.  In 1837</w:t></w:r>
</w:p>
<w:p>
<w:pPr><w:pStyle w:val="Normal"/></w:pPr>
<w:r><w:t xml:space="preserve">the Persian siege of Herat and the proceedings of Russia created</w:t></w:r>
</w:p>
<w:p>
<w:pPr><w:pStyle w:val="Normal"/></w:pPr>
<w:r><w:t xml:space="preserve">uneasiness, and Burnes was sent by the governor-general as</w:t></w:r>
</w:p>
<w:p>
<w:pPr><w:pStyle w:val="Normal"/></w:pPr>
<w:r><w:t xml:space="preserve">resident to the amir&apos;s court at Kabul.  But the terms which</w:t></w:r>
</w:p>
<w:p>
<w:pPr><w:pStyle w:val="Normal"/></w:pPr>
<w:r><w:t xml:space="preserve">the Dost sought were not conceded by the government, and</w:t></w:r>
</w:p>
<w:p>
<w:pPr><w:pStyle w:val="Normal"/></w:pPr>
<w:r><w:t xml:space="preserve">the rash resolution was taken of re-establishing Shah Shuja,</w:t></w:r>
</w:p>
<w:p>
<w:pPr><w:pStyle w:val="Normal"/></w:pPr>
<w:r><w:t xml:space="preserve">long a refugee in British territory.  Ranjit Singh, king</w:t></w:r>
</w:p>
<w:p>
<w:pPr><w:pStyle w:val="Normal"/></w:pPr>
<w:r><w:t xml:space="preserve">of the Punjab, bound himself to co-operate, but eventually</w:t></w:r>
</w:p>
<w:p>
<w:pPr><w:pStyle w:val="Normal"/></w:pPr>
<w:r><w:t xml:space="preserve">declined to let the expedition cross his territories.</w:t></w:r>
</w:p>
<w:p>
<w:pPr><w:pStyle w:val="Normal"/></w:pPr>
<w:r><w:t xml:space="preserve">The war began in March 1838, when the ``Army of the Indus,&apos;&apos;</w:t></w:r>
</w:p>
<w:p>
<w:pPr><w:pStyle w:val="Normal"/></w:pPr>
<w:r><w:t xml:space="preserve">amounting to 21,000 men, assembled in Upper Sind and advanced</w:t></w:r>
</w:p>
<w:p>
<w:pPr><w:pStyle w:val="Normal"/></w:pPr>
<w:r><w:t xml:space="preserve">through the Bolan Pass under the command of Sir John Keane.</w:t></w:r>
</w:p>
<w:p>
<w:pPr><w:pStyle w:val="Normal"/></w:pPr>
<w:r><w:t xml:space="preserve">There was hardship, but scarcely any opposition.  Kohandil</w:t></w:r>
</w:p>
<w:p>
<w:pPr><w:pStyle w:val="Normal"/></w:pPr>
<w:r><w:t xml:space="preserve">Khan of Kandahar fled to Persia.  That city was occupied in</w:t></w:r>
</w:p>
<w:p>
<w:pPr><w:pStyle w:val="Normal"/></w:pPr>
<w:r><w:t xml:space="preserve">April 1839, and Shah Shuja was crowned in his grandfather&apos;s</w:t></w:r>
</w:p>
<w:p>
<w:pPr><w:pStyle w:val="Normal"/></w:pPr>
<w:r><w:t xml:space="preserve">mosque.  Ghazni was reached 21st July; a gate of the city was</w:t></w:r>
</w:p>
<w:p>
<w:pPr><w:pStyle w:val="Normal"/></w:pPr>
<w:r><w:t xml:space="preserve">blown open by the engineers (the match was fired by Lieut.,</w:t></w:r>
</w:p>
<w:p>
<w:pPr><w:pStyle w:val="Normal"/></w:pPr>
<w:r><w:t xml:space="preserve">afterwards Sir Henry, Durand), and the place was taken by</w:t></w:r>
</w:p>
<w:p>
<w:pPr><w:pStyle w:val="Normal"/></w:pPr>
<w:r><w:t xml:space="preserve">storm.  Dost Mahommed, finding his troops deserting, passed</w:t></w:r>
</w:p>
<w:p>
<w:pPr><w:pStyle w:val="Normal"/></w:pPr>
<w:r><w:t xml:space="preserve">the Hindu Kush, and Shah Shuja entered the capital (August</w:t></w:r>
</w:p>
<w:p>
<w:pPr><w:pStyle w:val="Normal"/></w:pPr>
<w:r><w:t xml:space="preserve">7). The war was thought at an end, and Sir John Keane (made a</w:t></w:r>
</w:p>
<w:p>
<w:pPr><w:pStyle w:val="Normal"/></w:pPr>
<w:r><w:t xml:space="preserve">peer) returned to India with a considerable part of the force,</w:t></w:r>
</w:p>
<w:p>
<w:pPr><w:pStyle w:val="Normal"/></w:pPr>
<w:r><w:t xml:space="preserve">leaving behind 8000 men, besides the Shah&apos;s force, with Sir</w:t></w:r>
</w:p>
<w:p>
<w:pPr><w:pStyle w:val="Normal"/></w:pPr>
<w:r><w:t xml:space="preserve">W. Macnaghten as envoy, and Sir A. Burnes as his colleague.</w:t></w:r>
</w:p>
<w:p>
<w:pPr><w:pStyle w:val="Normal"/></w:pPr>
<w:r><w:t xml:space="preserve">During the two following years Shah Shuja and his allies remained</w:t></w:r>
</w:p>
<w:p>
<w:pPr><w:pStyle w:val="Normal"/></w:pPr>
<w:r><w:t xml:space="preserve">in possession of Kabul and Kandahar.  The British outposts</w:t></w:r>
</w:p>
<w:p>
<w:pPr><w:pStyle w:val="Normal"/></w:pPr>
<w:r><w:t xml:space="preserve">extended to Saighan, in the Oxus basin, and to Mullah Khan,</w:t></w:r>
</w:p>
<w:p>
<w:pPr><w:pStyle w:val="Normal"/></w:pPr>
<w:r><w:t xml:space="preserve">in the plain of Seistan.  Dost Mahommed surrendered (November</w:t></w:r>
</w:p>
<w:p>
<w:pPr><w:pStyle w:val="Normal"/></w:pPr>
<w:r><w:t xml:space="preserve">5, 1840) and was sent to India, where he was honourably</w:t></w:r>
</w:p>
<w:p>
<w:pPr><w:pStyle w:val="Normal"/></w:pPr>
<w:r><w:t xml:space="preserve">treated.  From the beginning, insurrection against the new</w:t></w:r>
</w:p>
<w:p>
<w:pPr><w:pStyle w:val="Normal"/></w:pPr>
<w:r><w:t xml:space="preserve">government had been rife.  The political authorities were</w:t></w:r>
</w:p>
<w:p>
<w:pPr><w:pStyle w:val="Normal"/></w:pPr>
<w:r><w:t xml:space="preserve">overconfident, and neglected warnings.  On the 2nd of November</w:t></w:r>
</w:p>
<w:p>
<w:pPr><w:pStyle w:val="Normal"/></w:pPr>
<w:r><w:t xml:space="preserve">1841 the revolt broke out violently at Kabul, with the massacre</w:t></w:r>
</w:p>
<w:p>
<w:pPr><w:pStyle w:val="Normal"/></w:pPr>
<w:r><w:t xml:space="preserve">of Burnes and other officers.  The position of the British</w:t></w:r>
</w:p>
<w:p>
<w:pPr><w:pStyle w:val="Normal"/></w:pPr>
<w:r><w:t xml:space="preserve">camp, its communications with the citadel and the location</w:t></w:r>
</w:p>
<w:p>
<w:pPr><w:pStyle w:val="Normal"/></w:pPr>
<w:r><w:t xml:space="preserve">of the stores were the worst possible; and the general</w:t></w:r>
</w:p>
<w:p>
<w:pPr><w:pStyle w:val="Normal"/></w:pPr>
<w:r><w:t xml:space="preserve">(Elphinstone) was shattered in constitution.  Disaster after</w:t></w:r>
</w:p>
<w:p>
<w:pPr><w:pStyle w:val="Normal"/></w:pPr>
<w:r><w:t xml:space="preserve">disaster occurred, not without misconduct.  At a conference</w:t></w:r>
</w:p>
<w:p>
<w:pPr><w:pStyle w:val="Normal"/></w:pPr>
<w:r><w:t xml:space="preserve">(December 23) with the Dost&apos;s son, Akbar Khan, who had taken</w:t></w:r>
</w:p>
<w:p>
<w:pPr><w:pStyle w:val="Normal"/></w:pPr>
<w:r><w:t xml:space="preserve">the lead of the Afghans, Sir W. Macnaghten was murdered by</w:t></w:r>
</w:p>
<w:p>
<w:pPr><w:pStyle w:val="Normal"/></w:pPr>
<w:r><w:t xml:space="preserve">that chief&apos;s own hand.  On the 6th of January 1842, after a</w:t></w:r>
</w:p>
<w:p>
<w:pPr><w:pStyle w:val="Normal"/></w:pPr>
<w:r><w:t xml:space="preserve">convention to evacuate the country had been signed, the British</w:t></w:r>
</w:p>
<w:p>
<w:pPr><w:pStyle w:val="Normal"/></w:pPr>
<w:r><w:t xml:space="preserve">garrison, still numbering 4500 soldiers (of whom 690 were</w:t></w:r>
</w:p>
<w:p>
<w:pPr><w:pStyle w:val="Normal"/></w:pPr>
<w:r><w:t xml:space="preserve">Europeans), with some 12,000 followers, marched out of the</w:t></w:r>
</w:p>
<w:p>
<w:pPr><w:pStyle w:val="Normal"/></w:pPr>
<w:r><w:t xml:space="preserve">camp.  The winter was severe, the troops demoralised, the march</w:t></w:r>
</w:p>
<w:p>
<w:pPr><w:pStyle w:val="Normal"/></w:pPr>
<w:r><w:t xml:space="preserve">a mass of confusion and massacre, and the force was finally</w:t></w:r>
</w:p>
<w:p>
<w:pPr><w:pStyle w:val="Normal"/></w:pPr>
<w:r><w:t xml:space="preserve">overwhelmed in the Jagdalak pass between Kabul and Jalalabad.</w:t></w:r>
</w:p>
<w:p>
<w:pPr><w:pStyle w:val="Normal"/></w:pPr>
<w:r><w:t xml:space="preserve">On the 13th the last survivors mustered at Gandamak only twenty</w:t></w:r>
</w:p>
<w:p>
<w:pPr><w:pStyle w:val="Normal"/></w:pPr>
<w:r><w:t xml:space="preserve">muskets.  Of those who left Kabul, only Dr Brydon reached</w:t></w:r>
</w:p>
<w:p>
<w:pPr><w:pStyle w:val="Normal"/></w:pPr>
<w:r><w:t xml:space="preserve">Jalalabad, wounded and half dead.  Ninety-five prisoners</w:t></w:r>
</w:p>
<w:p>
<w:pPr><w:pStyle w:val="Normal"/></w:pPr>
<w:r><w:t xml:space="preserve">were afterwards recovered.  The garrison of Ghazni had</w:t></w:r>
</w:p>
<w:p>
<w:pPr><w:pStyle w:val="Normal"/></w:pPr>
<w:r><w:t xml:space="preserve">already been forced to surrender (December 10). But General</w:t></w:r>
</w:p>
<w:p>
<w:pPr><w:pStyle w:val="Normal"/></w:pPr>
<w:r><w:t xml:space="preserve">Nott held Kandahar with a stern hand, and General Sale,</w:t></w:r>
</w:p>
<w:p>
<w:pPr><w:pStyle w:val="Normal"/></w:pPr>
<w:r><w:t xml:space="preserve">who had reached Jalalabad from Kabul at the beginning of</w:t></w:r>
</w:p>
<w:p>
<w:pPr><w:pStyle w:val="Normal"/></w:pPr>
<w:r><w:t xml:space="preserve">the outbreak, maintained that important point gallantly.</w:t></w:r>
</w:p>
<w:p>
<w:pPr><w:pStyle w:val="Normal"/></w:pPr>
<w:r><w:t xml:space="preserve">To avenge these disasters and recover the prisoners</w:t></w:r>
</w:p>
<w:p>
<w:pPr><w:pStyle w:val="Normal"/></w:pPr>
<w:r><w:t xml:space="preserve">preparations were made in India on a fitting scale; but</w:t></w:r>
</w:p>
<w:p>
<w:pPr><w:pStyle w:val="Normal"/></w:pPr>
<w:r><w:t xml:space="preserve">it was the 16th of April 1842 before General Pollock could</w:t></w:r>
</w:p>
<w:p>
<w:pPr><w:pStyle w:val="Normal"/></w:pPr>
<w:r><w:t xml:space="preserve">relieve Jalalabad, after forcing the Khyber Pass.  After a</w:t></w:r>
</w:p>
<w:p>
<w:pPr><w:pStyle w:val="Normal"/></w:pPr>
<w:r><w:t xml:space="preserve">long halt there he advanced (August 20), and gaining rapid</w:t></w:r>
</w:p>
<w:p>
<w:pPr><w:pStyle w:val="Normal"/></w:pPr>
<w:r><w:t xml:space="preserve">successes, occupied Kabul (September 15), where Nott,</w:t></w:r>
</w:p>
<w:p>
<w:pPr><w:pStyle w:val="Normal"/></w:pPr>
<w:r><w:t xml:space="preserve">after retaking and dismantling Ghazni, joined him two days</w:t></w:r>
</w:p>
<w:p>
<w:pPr><w:pStyle w:val="Normal"/></w:pPr>
<w:r><w:t xml:space="preserve">later.  The prisoners were happily recovered from Bamian.</w:t></w:r>
</w:p>
<w:p>
<w:pPr><w:pStyle w:val="Normal"/></w:pPr>
<w:r><w:t xml:space="preserve">The citadel and central bazaar of Kabul were destroyed,</w:t></w:r>
</w:p>
<w:p>
<w:pPr><w:pStyle w:val="Normal"/></w:pPr>
<w:r><w:t xml:space="preserve">and the army finally evacuated Afghanistan, December 1842.</w:t></w:r>
</w:p>
<w:p>
<w:pPr><w:pStyle w:val="Normal"/></w:pPr>
<w:r><w:t xml:space="preserve">This ill-planned and hazardous enterprise was fraught with the</w:t></w:r>
</w:p>
<w:p>
<w:pPr><w:pStyle w:val="Normal"/></w:pPr>
<w:r><w:t xml:space="preserve">elements of inevitable failute.  A ruler imposed upon a free</w:t></w:r>
</w:p>
<w:p>
<w:pPr><w:pStyle w:val="Normal"/></w:pPr>
<w:r><w:t xml:space="preserve">people by foreign arms is always unpopular; he is unable to</w:t></w:r>
</w:p>
<w:p>
<w:pPr><w:pStyle w:val="Normal"/></w:pPr>
<w:r><w:t xml:space="preserve">stand alone; and his foreign auxiliaries soon find themselves</w:t></w:r>
</w:p>
<w:p>
<w:pPr><w:pStyle w:val="Normal"/></w:pPr>
<w:r><w:t xml:space="preserve">obliged to choose between remaining to uphold his power, or</w:t></w:r>
</w:p>
<w:p>
<w:pPr><w:pStyle w:val="Normal"/></w:pPr>
<w:r><w:t xml:space="preserve">retiring with the probability that it will fall after their</w:t></w:r>
</w:p>
<w:p>
<w:pPr><w:pStyle w:val="Normal"/></w:pPr>
<w:r><w:t xml:space="preserve">departure.  The leading chiefs of Afghanistan perceived that the</w:t></w:r>
</w:p>
<w:p>
<w:pPr><w:pStyle w:val="Normal"/></w:pPr>
<w:r><w:t xml:space="preserve">maintenance of Shah Shuja&apos;s rule by British troops would soon</w:t></w:r>
</w:p>
<w:p>
<w:pPr><w:pStyle w:val="Normal"/></w:pPr>
<w:r><w:t xml:space="preserve">be fatal to their own power and position in the country, and</w:t></w:r>
</w:p>
<w:p>
<w:pPr><w:pStyle w:val="Normal"/></w:pPr>
<w:r><w:t xml:space="preserve">probably to their national independence.  They were insatiable</w:t></w:r>
</w:p>
<w:p>
<w:pPr><w:pStyle w:val="Normal"/></w:pPr>
<w:r><w:t xml:space="preserve">in their demands for office and emolument, and when they</w:t></w:r>
</w:p>
<w:p>
<w:pPr><w:pStyle w:val="Normal"/></w:pPr>
<w:r><w:t xml:space="preserve">discovered that the shah, acting by the advice of the British</w:t></w:r>
</w:p>
<w:p>
<w:pPr><w:pStyle w:val="Normal"/></w:pPr>
<w:r><w:t xml:space="preserve">envoy, was levying from among their tribesmen regiments to be</w:t></w:r>
</w:p>
<w:p>
<w:pPr><w:pStyle w:val="Normal"/></w:pPr>
<w:r><w:t xml:space="preserve">directly under his control, they took care that the plan should</w:t></w:r>
</w:p>
<w:p>
<w:pPr><w:pStyle w:val="Normal"/></w:pPr>
<w:r><w:t xml:space="preserve">fail.  Without a regular revenue no effective administration</w:t></w:r>
</w:p>
<w:p>
<w:pPr><w:pStyle w:val="Normal"/></w:pPr>
<w:r><w:t xml:space="preserve">could be organized; but the attempt to raise taxes showed that</w:t></w:r>
</w:p>
<w:p>
<w:pPr><w:pStyle w:val="Normal"/></w:pPr>
<w:r><w:t xml:space="preserve">it might raise the people, so that for both men and money the</w:t></w:r>
</w:p>
<w:p>
<w:pPr><w:pStyle w:val="Normal"/></w:pPr>
<w:r><w:t xml:space="preserve">shah&apos;s government was still obliged to rely principally upon</w:t></w:r>
</w:p>
<w:p>
<w:pPr><w:pStyle w:val="Normal"/></w:pPr>
<w:r><w:t xml:space="preserve">British aid.  All these circumstances combined to render the</w:t></w:r>
</w:p>
<w:p>
<w:pPr><w:pStyle w:val="Normal"/></w:pPr>
<w:r><w:t xml:space="preserve">new regime weak and unpopular, since there was no force at</w:t></w:r>
</w:p>
<w:p>
<w:pPr><w:pStyle w:val="Normal"/></w:pPr>
<w:r><w:t xml:space="preserve">the ruler&apos;s command except foreign troops to put down disorder</w:t></w:r>
</w:p>
<w:p>
<w:pPr><w:pStyle w:val="Normal"/></w:pPr>
<w:r><w:t xml:space="preserve">or to protect those who submitted, while the discontented</w:t></w:r>
</w:p>
<w:p>
<w:pPr><w:pStyle w:val="Normal"/></w:pPr>
<w:r><w:t xml:space="preserve">nobles fomented disaffection and the inbred hatred of strangers</w:t></w:r>
</w:p>
<w:p>
<w:pPr><w:pStyle w:val="Normal"/></w:pPr>
<w:r><w:t xml:space="preserve">in race and religion among the general Afghan population.</w:t></w:r>
</w:p>
<w:p>
<w:pPr><w:pStyle w:val="Normal"/></w:pPr>
<w:r><w:t xml:space="preserve">British and Russian Relalions.--It has been said that</w:t></w:r>
</w:p>
<w:p>
<w:pPr><w:pStyle w:val="Normal"/></w:pPr>
<w:r><w:t xml:space="preserve">the declared object of this policy had been to maintain</w:t></w:r>
</w:p>
<w:p>
<w:pPr><w:pStyle w:val="Normal"/></w:pPr>
<w:r><w:t xml:space="preserve">the independence and integrity of Afghanistan, to secure</w:t></w:r>
</w:p>
<w:p>
<w:pPr><w:pStyle w:val="Normal"/></w:pPr>
<w:r><w:t xml:space="preserve">the friendly alliance of its ruler, and thus to interpose a</w:t></w:r>
</w:p>
<w:p>
<w:pPr><w:pStyle w:val="Normal"/></w:pPr>
<w:r><w:t xml:space="preserve">great barrier of mountainous country between the expanding</w:t></w:r>
</w:p>
<w:p>
<w:pPr><w:pStyle w:val="Normal"/></w:pPr>
<w:r><w:t xml:space="preserve">power of Russia in Central Asia and the British dominion in</w:t></w:r>
</w:p>
<w:p>
<w:pPr><w:pStyle w:val="Normal"/></w:pPr>
<w:r><w:t xml:space="preserve">India.  After 1849, when the annexation of the Punjab had</w:t></w:r>
</w:p>
<w:p>
<w:pPr><w:pStyle w:val="Normal"/></w:pPr>
<w:r><w:t xml:space="preserve">carried the Indian northwestern frontier up to the skirts</w:t></w:r>
</w:p>
<w:p>
<w:pPr><w:pStyle w:val="Normal"/></w:pPr>
<w:r><w:t xml:space="preserve">of the Afghan highlands, the corresponding advance of</w:t></w:r>
</w:p>
<w:p>
<w:pPr><w:pStyle w:val="Normal"/></w:pPr>
<w:r><w:t xml:space="preserve">the Russians south-eastward along the Oxus river became</w:t></w:r>
</w:p>
<w:p>
<w:pPr><w:pStyle w:val="Normal"/></w:pPr>
<w:r><w:t xml:space="preserve">of closer interest to the British, particularly when, in</w:t></w:r>
</w:p>
<w:p>
<w:pPr><w:pStyle w:val="Normal"/></w:pPr>
<w:r><w:t xml:space="preserve">1856, the Persians again attempted to take possession of</w:t></w:r>
</w:p>
<w:p>
<w:pPr><w:pStyle w:val="Normal"/></w:pPr>
<w:r><w:t xml:space="preserve">Herat.  Dost Mahommed now became the British ally, but on his</w:t></w:r>
</w:p>
<w:p>
<w:pPr><w:pStyle w:val="Normal"/></w:pPr>
<w:r><w:t xml:space="preserve">death in 1863 the kingdom fell back into civil war, until his</w:t></w:r>
</w:p>
<w:p>
<w:pPr><w:pStyle w:val="Normal"/></w:pPr>
<w:r><w:t xml:space="preserve">son, Shere Ali, had won his way to undisputed rulership in</w:t></w:r>
</w:p>
<w:p>
<w:pPr><w:pStyle w:val="Normal"/></w:pPr>
<w:r><w:t xml:space="preserve">1868.  In the same year Bokhara became a dependency of Russia.</w:t></w:r>
</w:p>
<w:p>
<w:pPr><w:pStyle w:val="Normal"/></w:pPr>
<w:r><w:t xml:space="preserve">To the British government an attitude of non-intervention</w:t></w:r>
</w:p>
<w:p>
<w:pPr><w:pStyle w:val="Normal"/></w:pPr>
<w:r><w:t xml:space="preserve">in Afghan affairs appeared in this situation to be no longer</w:t></w:r>
</w:p>
<w:p>
<w:pPr><w:pStyle w:val="Normal"/></w:pPr>
<w:r><w:t xml:space="preserve">possible.  The meeting between the amir Shere Ali and the</w:t></w:r>
</w:p>
<w:p>
<w:pPr><w:pStyle w:val="Normal"/></w:pPr>
<w:r><w:t xml:space="preserve">viceroy of India (Lord Mayo) at Umballa in 1869 drew nearer the</w:t></w:r>
</w:p>
<w:p>
<w:pPr><w:pStyle w:val="Normal"/></w:pPr>
<w:r><w:t xml:space="preserve">relations between the two governments; the amir consolidated</w:t></w:r>
</w:p>
<w:p>
<w:pPr><w:pStyle w:val="Normal"/></w:pPr>
<w:r><w:t xml:space="preserve">and began to centralize his power; and the establishment of a</w:t></w:r>
</w:p>
<w:p>
<w:pPr><w:pStyle w:val="Normal"/></w:pPr>
<w:r><w:t xml:space="preserve">strong, friendly and united Afghanistan became again the keynote</w:t></w:r>
</w:p>
<w:p>
<w:pPr><w:pStyle w:val="Normal"/></w:pPr>
<w:r><w:t xml:space="preserve">of British policy beyond the north-western frontier of India.</w:t></w:r>
</w:p>
<w:p>
<w:pPr><w:pStyle w:val="Normal"/></w:pPr>
<w:r><w:t xml:space="preserve">When, therefore, the conquest of Khiva in 1873 by the Russians,</w:t></w:r>
</w:p>
<w:p>
<w:pPr><w:pStyle w:val="Normal"/></w:pPr>
<w:r><w:t xml:space="preserve">and their gradual approach towards the amir&apos;s northern border,</w:t></w:r>
</w:p>
<w:p>
<w:pPr><w:pStyle w:val="Normal"/></w:pPr>
<w:r><w:t xml:space="preserve">had seriously alarmed Shere Ali, he applied for support to</w:t></w:r>
</w:p>
<w:p>
<w:pPr><w:pStyle w:val="Normal"/></w:pPr>
<w:r><w:t xml:space="preserve">the British; and his disappointment at his failure to obtain</w:t></w:r>
</w:p>
<w:p>
<w:pPr><w:pStyle w:val="Normal"/></w:pPr>
<w:r><w:t xml:space="preserve">distinct pledges of material assistance, and at Great Britain&apos;s</w:t></w:r>
</w:p>
<w:p>
<w:pPr><w:pStyle w:val="Normal"/></w:pPr>
<w:r><w:t xml:space="preserve">refusal to endorse all his claims in a dispute with Persia</w:t></w:r>
</w:p>
<w:p>
<w:pPr><w:pStyle w:val="Normal"/></w:pPr>
<w:r><w:t xml:space="preserve">over Seistan, so far estranged him from the British connexion</w:t></w:r>
</w:p>
<w:p>
<w:pPr><w:pStyle w:val="Normal"/></w:pPr>
<w:r><w:t xml:space="preserve">that he began to entertain amicable overtures from the Russian</w:t></w:r>
</w:p>
<w:p>
<w:pPr><w:pStyle w:val="Normal"/></w:pPr>
<w:r><w:t xml:space="preserve">authorities at Tashkend.  In 1869 the Russian government</w:t></w:r>
</w:p>
<w:p>
<w:pPr><w:pStyle w:val="Normal"/></w:pPr>
<w:r><w:t xml:space="preserve">had assured Lord Clarendon that they regarded Afghanistan as</w:t></w:r>
</w:p>
<w:p>
<w:pPr><w:pStyle w:val="Normal"/></w:pPr>
<w:r><w:t xml:space="preserve">completely outside the sphere of their influence; and in 1872 the</w:t></w:r>
</w:p>
<w:p>
<w:pPr><w:pStyle w:val="Normal"/></w:pPr>
<w:r><w:t xml:space="preserve">boundary line of Afghanistan on the north-west had been settled</w:t></w:r>
</w:p>
<w:p>
<w:pPr><w:pStyle w:val="Normal"/></w:pPr>
<w:r><w:t xml:space="preserve">between England and Russia so far eastward as Lake Victoria.</w:t></w:r>
</w:p>
<w:p>
<w:pPr><w:pStyle w:val="Normal"/></w:pPr>
<w:r><w:t xml:space="preserve">Nevertheless the correspondence between Kabul and Tashkend</w:t></w:r>
</w:p>
<w:p>
<w:pPr><w:pStyle w:val="Normal"/></w:pPr>
<w:r><w:t xml:space="preserve">continued, and as the Russians were now extending their dominion</w:t></w:r>
</w:p>
<w:p>
<w:pPr><w:pStyle w:val="Normal"/></w:pPr>
<w:r><w:t xml:space="preserve">over all the region beyond Afghanistan on the north-west, the</w:t></w:r>
</w:p>
<w:p>
<w:pPr><w:pStyle w:val="Normal"/></w:pPr>
<w:r><w:t xml:space="preserve">British government determined, in 1876, once more to undertake</w:t></w:r>
</w:p>
<w:p>
<w:pPr><w:pStyle w:val="Normal"/></w:pPr>
<w:r><w:t xml:space="preserve">active measures for securing their political ascendancy in that</w:t></w:r>
</w:p>
<w:p>
<w:pPr><w:pStyle w:val="Normal"/></w:pPr>
<w:r><w:t xml:space="preserve">country.  But the amir, whose feelings of resentment had by no</w:t></w:r>
</w:p>
<w:p>
<w:pPr><w:pStyle w:val="Normal"/></w:pPr>
<w:r><w:t xml:space="preserve">means abated, was now leaning toward Russia, though he mainly</w:t></w:r>
</w:p>
<w:p>
<w:pPr><w:pStyle w:val="Normal"/></w:pPr>
<w:r><w:t xml:space="preserve">desired to hold the balance between two equally formidable</w:t></w:r>
</w:p>
<w:p>
<w:pPr><w:pStyle w:val="Normal"/></w:pPr>
<w:r><w:t xml:space="preserve">rivals.  The result of overtures made to him from India was</w:t></w:r>
</w:p>
<w:p>
<w:pPr><w:pStyle w:val="Normal"/></w:pPr>
<w:r><w:t xml:space="preserve">that in 1877, when Lord Lytton, acting under direct instructions</w:t></w:r>
</w:p>
<w:p>
<w:pPr><w:pStyle w:val="Normal"/></w:pPr>
<w:r><w:t xml:space="preserve">from Her Majesty&apos;s ministry, proposed to Shere Ali a treaty of</w:t></w:r>
</w:p>
<w:p>
<w:pPr><w:pStyle w:val="Normal"/></w:pPr>
<w:r><w:t xml:space="preserve">alliance, Shere Ali showed himself very little disposed to</w:t></w:r>
</w:p>
<w:p>
<w:pPr><w:pStyle w:val="Normal"/></w:pPr>
<w:r><w:t xml:space="preserve">welcome the offer; and upon his refusal to admit a British</w:t></w:r>
</w:p>
<w:p>
<w:pPr><w:pStyle w:val="Normal"/></w:pPr>
<w:r><w:t xml:space="preserve">agent into Afghanistan the negotiations finally broke down.</w:t></w:r>
</w:p>
<w:p>
<w:pPr><w:pStyle w:val="Normal"/></w:pPr>
<w:r><w:t xml:space="preserve">Second Afghan War, 1878-80.--In the course of the following</w:t></w:r>
</w:p>
<w:p>
<w:pPr><w:pStyle w:val="Normal"/></w:pPr>
<w:r><w:t xml:space="preserve">year (1878) the Russian government, to counteract the</w:t></w:r>
</w:p>
<w:p>
<w:pPr><w:pStyle w:val="Normal"/></w:pPr>
<w:r><w:t xml:space="preserve">interference of England with their advance upon Constantinople,</w:t></w:r>
</w:p>
<w:p>
<w:pPr><w:pStyle w:val="Normal"/></w:pPr>
<w:r><w:t xml:space="preserve">sent an envoy to Kabul empowered to make a treaty with the</w:t></w:r>
</w:p>
<w:p>
<w:pPr><w:pStyle w:val="Normal"/></w:pPr>
<w:r><w:t xml:space="preserve">amir.  It was immediately notified to him from India that a</w:t></w:r>
</w:p>
<w:p>
<w:pPr><w:pStyle w:val="Normal"/></w:pPr>
<w:r><w:t xml:space="preserve">British mission would be deputed to his capital, but he demurred</w:t></w:r>
</w:p>
<w:p>
<w:pPr><w:pStyle w:val="Normal"/></w:pPr>
<w:r><w:t xml:space="preserve">to receiving it; and when the British envoy was turned back</w:t></w:r>
</w:p>
<w:p>
<w:pPr><w:pStyle w:val="Normal"/></w:pPr>
<w:r><w:t xml:space="preserve">on the Afchan frontier hostilities were proclaimed by the</w:t></w:r>
</w:p>
<w:p>
<w:pPr><w:pStyle w:val="Normal"/></w:pPr>
<w:r><w:t xml:space="preserve">viceroy in November 1878, and the second Afghan War began.</w:t></w:r>
</w:p>
<w:p>
<w:pPr><w:pStyle w:val="Normal"/></w:pPr>
<w:r><w:t xml:space="preserve">Sir Donald Stewart&apos;s force, marching up through Baluchistan by</w:t></w:r>
</w:p>
<w:p>
<w:pPr><w:pStyle w:val="Normal"/></w:pPr>
<w:r><w:t xml:space="preserve">the Bolan Pass, entered Kandahar with little or no resistance;</w:t></w:r>
</w:p>
<w:p>
<w:pPr><w:pStyle w:val="Normal"/></w:pPr>
<w:r><w:t xml:space="preserve">while another army passed through the Khyber Pass and took up</w:t></w:r>
</w:p>
<w:p>
<w:pPr><w:pStyle w:val="Normal"/></w:pPr>
<w:r><w:t xml:space="preserve">positions at Jalalabad and other places on the direct road to</w:t></w:r>
</w:p>
<w:p>
<w:pPr><w:pStyle w:val="Normal"/></w:pPr>
<w:r><w:t xml:space="preserve">Kabul.  Another force under Sir Frederick Roberts marched up</w:t></w:r>
</w:p>
<w:p>
<w:pPr><w:pStyle w:val="Normal"/></w:pPr>
<w:r><w:t xml:space="preserve">to the high passes leading out of Kurram into the interior of</w:t></w:r>
</w:p>
<w:p>
<w:pPr><w:pStyle w:val="Normal"/></w:pPr>
<w:r><w:t xml:space="preserve">Afghanistan, defeated the amir&apos;s troops at the Peiwar Kotal,</w:t></w:r>
</w:p>
<w:p>
<w:pPr><w:pStyle w:val="Normal"/></w:pPr>
<w:r><w:t xml:space="preserve">and seized the Shutargardan Pass which commands a direct route</w:t></w:r>
</w:p>
<w:p>
<w:pPr><w:pStyle w:val="Normal"/></w:pPr>
<w:r><w:t xml:space="preserve">to Kabul through the Logar valley.  The amir Shere Ali fled</w:t></w:r>
</w:p>
<w:p>
<w:pPr><w:pStyle w:val="Normal"/></w:pPr>
<w:r><w:t xml:space="preserve">from his capital into the northern province, where he died at</w:t></w:r>
</w:p>
<w:p>
<w:pPr><w:pStyle w:val="Normal"/></w:pPr>
<w:r><w:t xml:space="preserve">Mazar-i-Sharif in February 1879.  In the course of the next</w:t></w:r>
</w:p>
<w:p>
<w:pPr><w:pStyle w:val="Normal"/></w:pPr>
<w:r><w:t xml:space="preserve">six months there was much desultory skirmishing between the</w:t></w:r>
</w:p>
<w:p>
<w:pPr><w:pStyle w:val="Normal"/></w:pPr>
<w:r><w:t xml:space="preserve">tribes and the British troops, who defeated various attempts</w:t></w:r>
</w:p>
<w:p>
<w:pPr><w:pStyle w:val="Normal"/></w:pPr>
<w:r><w:t xml:space="preserve">to dislodge them from the positions that had been taken up; but</w:t></w:r>
</w:p>
<w:p>
<w:pPr><w:pStyle w:val="Normal"/></w:pPr>
<w:r><w:t xml:space="preserve">the sphere of British military operations was not materially</w:t></w:r>
</w:p>
<w:p>
<w:pPr><w:pStyle w:val="Normal"/></w:pPr>
<w:r><w:t xml:space="preserve">extended.  It was seen that the farther they advanced the</w:t></w:r>
</w:p>
<w:p>
<w:pPr><w:pStyle w:val="Normal"/></w:pPr>
<w:r><w:t xml:space="preserve">more difficult would become their eventual retirement;</w:t></w:r>
</w:p>
<w:p>
<w:pPr><w:pStyle w:val="Normal"/></w:pPr>
<w:r><w:t xml:space="preserve">and the problem was to find a successor to Shere Ali who</w:t></w:r>
</w:p>
<w:p>
<w:pPr><w:pStyle w:val="Normal"/></w:pPr>
<w:r><w:t xml:space="preserve">could and would make terms with the British government.</w:t></w:r>
</w:p>
<w:p>
<w:pPr><w:pStyle w:val="Normal"/></w:pPr>
<w:r><w:t xml:space="preserve">In the meantime Yakub Khan, one of Shere Ali&apos;s sons, had announced</w:t></w:r>
</w:p>
<w:p>
<w:pPr><w:pStyle w:val="Normal"/></w:pPr>
<w:r><w:t xml:space="preserve">to Major Cavagnari, the political agent at the headquarters</w:t></w:r>
</w:p>
<w:p>
<w:pPr><w:pStyle w:val="Normal"/></w:pPr>
<w:r><w:t xml:space="preserve">of the British army, that he had succeeded his father at</w:t></w:r>
</w:p>
<w:p>
<w:pPr><w:pStyle w:val="Normal"/></w:pPr>
<w:r><w:t xml:space="preserve">Kabul.  The negotiations that followed ended in the conclusion</w:t></w:r>
</w:p>
<w:p>
<w:pPr><w:pStyle w:val="Normal"/></w:pPr>
<w:r><w:t xml:space="preserve">of the treaty of Gandamak in May 1879, by which Takub Khan</w:t></w:r>
</w:p>
<w:p>
<w:pPr><w:pStyle w:val="Normal"/></w:pPr>
<w:r><w:t xml:space="preserve">was recognized as amir; certain outlying tracts of Afghanistan</w:t></w:r>
</w:p>
<w:p>
<w:pPr><w:pStyle w:val="Normal"/></w:pPr>
<w:r><w:t xml:space="preserve">were transferred to the British government; the amir placed</w:t></w:r>
</w:p>
<w:p>
<w:pPr><w:pStyle w:val="Normal"/></w:pPr>
<w:r><w:t xml:space="preserve">in its hands the entire control of his foreign relations,</w:t></w:r>
</w:p>
<w:p>
<w:pPr><w:pStyle w:val="Normal"/></w:pPr>
<w:r><w:t xml:space="preserve">receiving in return a guarantee against foreign aggression;</w:t></w:r>
</w:p>
<w:p>
<w:pPr><w:pStyle w:val="Normal"/></w:pPr>
<w:r><w:t xml:space="preserve">and the establishment of a British envoy at Kabul was at last</w:t></w:r>
</w:p>
<w:p>
<w:pPr><w:pStyle w:val="Normal"/></w:pPr>
<w:r><w:t xml:space="preserve">conceded.  By this convention the complete success of the</w:t></w:r>
</w:p>
<w:p>
<w:pPr><w:pStyle w:val="Normal"/></w:pPr>
<w:r><w:t xml:space="preserve">British political and military operations seemed to have been</w:t></w:r>
</w:p>
<w:p>
<w:pPr><w:pStyle w:val="Normal"/></w:pPr>
<w:r><w:t xml:space="preserve">attained; for whereas Shere Ali had made a treaty of alliance</w:t></w:r>
</w:p>
<w:p>
<w:pPr><w:pStyle w:val="Normal"/></w:pPr>
<w:r><w:t xml:space="preserve">with, and had received an embassy from Russia, his son had now</w:t></w:r>
</w:p>
<w:p>
<w:pPr><w:pStyle w:val="Normal"/></w:pPr>
<w:r><w:t xml:space="preserve">made an exclusive treaty with the British government, and had</w:t></w:r>
</w:p>
<w:p>
<w:pPr><w:pStyle w:val="Normal"/></w:pPr>
<w:r><w:t xml:space="preserve">agreed that a British envoy should reside permanently at his</w:t></w:r>
</w:p>
<w:p>
<w:pPr><w:pStyle w:val="Normal"/></w:pPr>
<w:r><w:t xml:space="preserve">court.  Yet it was just this final concession, the chief and</w:t></w:r>
</w:p>
<w:p>
<w:pPr><w:pStyle w:val="Normal"/></w:pPr>
<w:r><w:t xml:space="preserve">original object of British policy, that proved speedily fatal</w:t></w:r>
</w:p>
<w:p>
<w:pPr><w:pStyle w:val="Normal"/></w:pPr>
<w:r><w:t xml:space="preserve">to the whole settlement.  For in September the envoy, Sir</w:t></w:r>
</w:p>
<w:p>
<w:pPr><w:pStyle w:val="Normal"/></w:pPr>
<w:r><w:t xml:space="preserve">Louis Cavagnari, with his staff and escort, was massacred at</w:t></w:r>
</w:p>
<w:p>
<w:pPr><w:pStyle w:val="Normal"/></w:pPr>
<w:r><w:t xml:space="preserve">Kabul, and the entire fabric of a friendly alliance went to</w:t></w:r>
</w:p>
<w:p>
<w:pPr><w:pStyle w:val="Normal"/></w:pPr>
<w:r><w:t xml:space="preserve">pieces.  A fresh expedition was instantly despatched across</w:t></w:r>
</w:p>
<w:p>
<w:pPr><w:pStyle w:val="Normal"/></w:pPr>
<w:r><w:t xml:space="preserve">the Shutargardan Pass under Sir Frederick Roberts, who defeated</w:t></w:r>
</w:p>
<w:p>
<w:pPr><w:pStyle w:val="Normal"/></w:pPr>
<w:r><w:t xml:space="preserve">the Afghans at Charasia near Kabul, and entered the city in</w:t></w:r>
</w:p>
<w:p>
<w:pPr><w:pStyle w:val="Normal"/></w:pPr>
<w:r><w:t xml:space="preserve">October.  Yakub Khan, who had surrendered, was sent to India;</w:t></w:r>
</w:p>
<w:p>
<w:pPr><w:pStyle w:val="Normal"/></w:pPr>
<w:r><w:t xml:space="preserve">and the British army remained in military occupation of the</w:t></w:r>
</w:p>
<w:p>
<w:pPr><w:pStyle w:val="Normal"/></w:pPr>
<w:r><w:t xml:space="preserve">district round Kabul until in December (1879) its communications</w:t></w:r>
</w:p>
<w:p>
<w:pPr><w:pStyle w:val="Normal"/></w:pPr>
<w:r><w:t xml:space="preserve">with India were interrupted, and its position at the capital</w:t></w:r>
</w:p>
<w:p>
<w:pPr><w:pStyle w:val="Normal"/></w:pPr>
<w:r><w:t xml:space="preserve">placed in serious jeopardy, by a general rising of the</w:t></w:r>
</w:p>
<w:p>
<w:pPr><w:pStyle w:val="Normal"/></w:pPr>
<w:r><w:t xml:space="preserve">tribes.  After they had been repulsed and put down, not without</w:t></w:r>
</w:p>
<w:p>
<w:pPr><w:pStyle w:val="Normal"/></w:pPr>
<w:r><w:t xml:space="preserve">some hard fighting, Sir Donald Stewart, who had not quitted</w:t></w:r>
</w:p>
<w:p>
<w:pPr><w:pStyle w:val="Normal"/></w:pPr>
<w:r><w:t xml:space="preserve">Kandahar, brought a force up by Ghazni to Kabul, overcoming</w:t></w:r>
</w:p>
<w:p>
<w:pPr><w:pStyle w:val="Normal"/></w:pPr>
<w:r><w:t xml:space="preserve">some resistance on his way, and assumed the supreme command.</w:t></w:r>
</w:p>
<w:p>
<w:pPr><w:pStyle w:val="Normal"/></w:pPr>
<w:r><w:t xml:space="preserve">Nevertheless the political situation was still embarrassing,</w:t></w:r>
</w:p>
<w:p>
<w:pPr><w:pStyle w:val="Normal"/></w:pPr>
<w:r><w:t xml:space="preserve">for as the whole country beyond the range of British effective</w:t></w:r>
</w:p>
<w:p>
<w:pPr><w:pStyle w:val="Normal"/></w:pPr>
<w:r><w:t xml:space="preserve">military control was masterless, it was undesirable to withdraw</w:t></w:r>
</w:p>
<w:p>
<w:pPr><w:pStyle w:val="Normal"/></w:pPr>
<w:r><w:t xml:space="preserve">the troops before a government could be reconstructed which</w:t></w:r>
</w:p>
<w:p>
<w:pPr><w:pStyle w:val="Normal"/></w:pPr>
<w:r><w:t xml:space="preserve">could stand without foreign support, and with which diplomatic</w:t></w:r>
</w:p>
<w:p>
<w:pPr><w:pStyle w:val="Normal"/></w:pPr>
<w:r><w:t xml:space="preserve">relations of some kind might be arranged.  The general</w:t></w:r>
</w:p>
<w:p>
<w:pPr><w:pStyle w:val="Normal"/></w:pPr>
<w:r><w:t xml:space="preserve">position and prospect of political affairs in Afghanistan</w:t></w:r>
</w:p>
<w:p>
<w:pPr><w:pStyle w:val="Normal"/></w:pPr>
<w:r><w:t xml:space="preserve">bore, indeed, an instructive resemblance to the situation just</w:t></w:r>
</w:p>
<w:p>
<w:pPr><w:pStyle w:val="Normal"/></w:pPr>
<w:r><w:t xml:space="preserve">forty years earlier, in 1840, with the important differences</w:t></w:r>
</w:p>
<w:p>
<w:pPr><w:pStyle w:val="Normal"/></w:pPr>
<w:r><w:t xml:space="preserve">that the Punjab and Sind had since become British, and that</w:t></w:r>
</w:p>
<w:p>
<w:pPr><w:pStyle w:val="Normal"/></w:pPr>
<w:r><w:t xml:space="preserve">communications between Kabul and India were this time secure.</w:t></w:r>
</w:p>
<w:p>
<w:pPr><w:pStyle w:val="Normal"/></w:pPr>
<w:r><w:t xml:space="preserve">Reign of Abdur Rahman.---Abdur Rahman, the son of the late</w:t></w:r>
</w:p>
<w:p>
<w:pPr><w:pStyle w:val="Normal"/></w:pPr>
<w:r><w:t xml:space="preserve">amir Shere Ali&apos;s elder drother, had fought against Shere Ali</w:t></w:r>
</w:p>
<w:p>
<w:pPr><w:pStyle w:val="Normal"/></w:pPr>
<w:r><w:t xml:space="preserve">in the war for succession to Dost Mahommed, had been driven</w:t></w:r>
</w:p>
<w:p>
<w:pPr><w:pStyle w:val="Normal"/></w:pPr>
<w:r><w:t xml:space="preserve">beyond the Oxus, and had lived for ten years in exile with the</w:t></w:r>
</w:p>
<w:p>
<w:pPr><w:pStyle w:val="Normal"/></w:pPr>
<w:r><w:t xml:space="preserve">Russians.  In March 1880 he came back across the river,</w:t></w:r>
</w:p>
<w:p>
<w:pPr><w:pStyle w:val="Normal"/></w:pPr>
<w:r><w:t xml:space="preserve">and began to establish himself in the northern province of</w:t></w:r>
</w:p>
<w:p>
<w:pPr><w:pStyle w:val="Normal"/></w:pPr>
<w:r><w:t xml:space="preserve">Afghanistan.  The viceroy of India, Lord Lytton, on hearing</w:t></w:r>
</w:p>
<w:p>
<w:pPr><w:pStyle w:val="Normal"/></w:pPr>
<w:r><w:t xml:space="preserve">of his reappearance, instructed the political authorities</w:t></w:r>
</w:p>
<w:p>
<w:pPr><w:pStyle w:val="Normal"/></w:pPr>
<w:r><w:t xml:space="preserve">at Kabul to communicate with him.  By skilful negotiations</w:t></w:r>
</w:p>
<w:p>
<w:pPr><w:pStyle w:val="Normal"/></w:pPr>
<w:r><w:t xml:space="preserve">a meeting was arranged, and after pressing in vain for</w:t></w:r>
</w:p>
<w:p>
<w:pPr><w:pStyle w:val="Normal"/></w:pPr>
<w:r><w:t xml:space="preserve">a treaty he was induced to assume charge of the country</w:t></w:r>
</w:p>
<w:p>
<w:pPr><w:pStyle w:val="Normal"/></w:pPr>
<w:r><w:t xml:space="preserve">upon his necognition by the British as amir, with the</w:t></w:r>
</w:p>
<w:p>
<w:pPr><w:pStyle w:val="Normal"/></w:pPr>
<w:r><w:t xml:space="preserve">understanding that he should have no relations with other</w:t></w:r>
</w:p>
<w:p>
<w:pPr><w:pStyle w:val="Normal"/></w:pPr>
<w:r><w:t xml:space="preserve">foreign powers, and with a formal assurance from the viceroy</w:t></w:r>
</w:p>
<w:p>
<w:pPr><w:pStyle w:val="Normal"/></w:pPr>
<w:r><w:t xml:space="preserve">of protection from foreign aggression, so long as he should</w:t></w:r>
</w:p>
<w:p>
<w:pPr><w:pStyle w:val="Normal"/></w:pPr>
<w:r><w:t xml:space="preserve">unreservedly follow the advice of the British government in</w:t></w:r>
</w:p>
<w:p>
<w:pPr><w:pStyle w:val="Normal"/></w:pPr>
<w:r><w:t xml:space="preserve">regard to his external affairs.  The province of Kandahar</w:t></w:r>
</w:p>
<w:p>
<w:pPr><w:pStyle w:val="Normal"/></w:pPr>
<w:r><w:t xml:space="preserve">was severed from the Kabul dominion; and the sirdar Shere</w:t></w:r>
</w:p>
<w:p>
<w:pPr><w:pStyle w:val="Normal"/></w:pPr>
<w:r><w:t xml:space="preserve">Ali Khan, a member of the Barakzai family, was installed</w:t></w:r>
</w:p>
<w:p>
<w:pPr><w:pStyle w:val="Normal"/></w:pPr>
<w:r><w:t xml:space="preserve">by the British representative as its independent ruler.</w:t></w:r>
</w:p>
<w:p>
<w:pPr><w:pStyle w:val="Normal"/></w:pPr>
<w:r><w:t xml:space="preserve">For the second time in the course of this war a conclusive</w:t></w:r>
</w:p>
<w:p>
<w:pPr><w:pStyle w:val="Normal"/></w:pPr>
<w:r><w:t xml:space="preserve">settlement of Afghan affairs seemed now to have been attained;</w:t></w:r>
</w:p>
<w:p>
<w:pPr><w:pStyle w:val="Normal"/></w:pPr>
<w:r><w:t xml:space="preserve">and again, as in 1879, it was immediately dissolved.  In July</w:t></w:r>
</w:p>
<w:p>
<w:pPr><w:pStyle w:val="Normal"/></w:pPr>
<w:r><w:t xml:space="preserve">1880, a few days after the proclamation of Abdur Rahman as amir</w:t></w:r>
</w:p>
<w:p>
<w:pPr><w:pStyle w:val="Normal"/></w:pPr>
<w:r><w:t xml:space="preserve">at Kabul, came news that Ayub Khan, Shere Ali&apos;s younger son, who</w:t></w:r>
</w:p>
<w:p>
<w:pPr><w:pStyle w:val="Normal"/></w:pPr>
<w:r><w:t xml:space="preserve">had been holding Herat since his father&apos;s death, had marched upon</w:t></w:r>
</w:p>
<w:p>
<w:pPr><w:pStyle w:val="Normal"/></w:pPr>
<w:r><w:t xml:space="preserve">Kandahar, had utterly defeated at Maiwand a British force that</w:t></w:r>
</w:p>
<w:p>
<w:pPr><w:pStyle w:val="Normal"/></w:pPr>
<w:r><w:t xml:space="preserve">went out from Kandahar to oppose him, and was besieging that</w:t></w:r>
</w:p>
<w:p>
<w:pPr><w:pStyle w:val="Normal"/></w:pPr>
<w:r><w:t xml:space="preserve">city.  Sir Frederick Roberts at once set out from Kabul with</w:t></w:r>
</w:p>
<w:p>
<w:pPr><w:pStyle w:val="Normal"/></w:pPr>
<w:r><w:t xml:space="preserve">10,000 men to its relief, reached Kandahar after a rapid march</w:t></w:r>
</w:p>
<w:p>
<w:pPr><w:pStyle w:val="Normal"/></w:pPr>
<w:r><w:t xml:space="preserve">of 313 miles, attacked and routed Ayub Khan&apos;s army on the</w:t></w:r>
</w:p>
<w:p>
<w:pPr><w:pStyle w:val="Normal"/></w:pPr>
<w:r><w:t xml:space="preserve">1st of September, and restored British authority in southern</w:t></w:r>
</w:p>
<w:p>
<w:pPr><w:pStyle w:val="Normal"/></w:pPr>
<w:r><w:t xml:space="preserve">Afghanistan.  As the British ministry had resolved to evacuate</w:t></w:r>
</w:p>
<w:p>
<w:pPr><w:pStyle w:val="Normal"/></w:pPr>
<w:r><w:t xml:space="preserve">Kandahar, the sirdar Shere Ali Khan, who saw that he could</w:t></w:r>
</w:p>
<w:p>
<w:pPr><w:pStyle w:val="Normal"/></w:pPr>
<w:r><w:t xml:space="preserve">not stand alone, resigned and withdrew to India, and the</w:t></w:r>
</w:p>
<w:p>
<w:pPr><w:pStyle w:val="Normal"/></w:pPr>
<w:r><w:t xml:space="preserve">amir Abdur Rahman was invited to take possession of the</w:t></w:r>
</w:p>
<w:p>
<w:pPr><w:pStyle w:val="Normal"/></w:pPr>
<w:r><w:t xml:space="preserve">province.  But when Ayub Khan, who had meanwhile retreated to</w:t></w:r>
</w:p>
<w:p>
<w:pPr><w:pStyle w:val="Normal"/></w:pPr>
<w:r><w:t xml:space="preserve">Herat, heard that the British forces had retired, early in</w:t></w:r>
</w:p>
<w:p>
<w:pPr><w:pStyle w:val="Normal"/></w:pPr>
<w:r><w:t xml:space="preserve">1881, to India, he mustered a fresh army and again approached</w:t></w:r>
</w:p>
<w:p>
<w:pPr><w:pStyle w:val="Normal"/></w:pPr>
<w:r><w:t xml:space="preserve">Kandahar.  In June the fort of Girishk, on the Helmund, was</w:t></w:r>
</w:p>
<w:p>
<w:pPr><w:pStyle w:val="Normal"/></w:pPr>
<w:r><w:t xml:space="preserve">seized by his adherents; the amir&apos;s troops were defeated some</w:t></w:r>
</w:p>
<w:p>
<w:pPr><w:pStyle w:val="Normal"/></w:pPr>
<w:r><w:t xml:space="preserve">days later in an engagement, and Ayub Khan took possession</w:t></w:r>
</w:p>
<w:p>
<w:pPr><w:pStyle w:val="Normal"/></w:pPr>
<w:r><w:t xml:space="preserve">of Kandahar at the end of July.  The amir Abdur Rahman, whose</w:t></w:r>
</w:p>
<w:p>
<w:pPr><w:pStyle w:val="Normal"/></w:pPr>
<w:r><w:t xml:space="preserve">movements had hitherto been slow and uncertain, now acted</w:t></w:r>
</w:p>
<w:p>
<w:pPr><w:pStyle w:val="Normal"/></w:pPr>
<w:r><w:t xml:space="preserve">with vigour and decision.  He marched rapidly from Kabul</w:t></w:r>
</w:p>
<w:p>
<w:pPr><w:pStyle w:val="Normal"/></w:pPr>
<w:r><w:t xml:space="preserve">at the head of a force, with which he encountered Ayub Khan</w:t></w:r>
</w:p>
<w:p>
<w:pPr><w:pStyle w:val="Normal"/></w:pPr>
<w:r><w:t xml:space="preserve">under the walls of Kandahar, and routed his army on 22nd</w:t></w:r>
</w:p>
<w:p>
<w:pPr><w:pStyle w:val="Normal"/></w:pPr>
<w:r><w:t xml:space="preserve">September, taking all his guns and equipage.  Ayub Khan fled</w:t></w:r>
</w:p>
<w:p>
<w:pPr><w:pStyle w:val="Normal"/></w:pPr>
<w:r><w:t xml:space="preserve">toward Herat, but as the place had meanwhile been occupied</w:t></w:r>
</w:p>
<w:p>
<w:pPr><w:pStyle w:val="Normal"/></w:pPr>
<w:r><w:t xml:space="preserve">by one of the amir&apos;s generals he took refuge in Persia.</w:t></w:r>
</w:p>
<w:p>
<w:pPr><w:pStyle w:val="Normal"/></w:pPr>
<w:r><w:t xml:space="preserve">By this victory Abdur Rahman&apos;s rulership was established.</w:t></w:r>
</w:p>
<w:p>
<w:pPr><w:pStyle w:val="Normal"/></w:pPr>
<w:r><w:t xml:space="preserve">In 1884 it was determined to resume the demarcation, by a</w:t></w:r>
</w:p>
<w:p>
<w:pPr><w:pStyle w:val="Normal"/></w:pPr>
<w:r><w:t xml:space="preserve">joint commission of British and Russian officers, of the</w:t></w:r>
</w:p>
<w:p>
<w:pPr><w:pStyle w:val="Normal"/></w:pPr>
<w:r><w:t xml:space="preserve">northern boundary of Afghanistan.  The work went on with</w:t></w:r>
</w:p>
<w:p>
<w:pPr><w:pStyle w:val="Normal"/></w:pPr>
<w:r><w:t xml:space="preserve">much difficulty and contention, until in March 1885, when</w:t></w:r>
</w:p>
<w:p>
<w:pPr><w:pStyle w:val="Normal"/></w:pPr>
<w:r><w:t xml:space="preserve">the amir was at Rawalpindi for a conference with the viceroy</w:t></w:r>
</w:p>
<w:p>
<w:pPr><w:pStyle w:val="Normal"/></w:pPr>
<w:r><w:t xml:space="preserve">of India, Lord Dufferin, the news came that at Panjdeh,</w:t></w:r>
</w:p>
<w:p>
<w:pPr><w:pStyle w:val="Normal"/></w:pPr>
<w:r><w:t xml:space="preserve">a disputed place on the boundary held by the Afghans, the</w:t></w:r>
</w:p>
<w:p>
<w:pPr><w:pStyle w:val="Normal"/></w:pPr>
<w:r><w:t xml:space="preserve">Russians had attacked and driven out with some loss the amir&apos;s</w:t></w:r>
</w:p>
<w:p>
<w:pPr><w:pStyle w:val="Normal"/></w:pPr>
<w:r><w:t xml:space="preserve">troops.  For the moment the consequences seemed likely to</w:t></w:r>
</w:p>
<w:p>
<w:pPr><w:pStyle w:val="Normal"/></w:pPr>
<w:r><w:t xml:space="preserve">be serious; but the affair was arranged diplomatically, and</w:t></w:r>
</w:p>
<w:p>
<w:pPr><w:pStyle w:val="Normal"/></w:pPr>
<w:r><w:t xml:space="preserve">the demarcation proceeded up to a point near the Oxus river,</w:t></w:r>
</w:p>
<w:p>
<w:pPr><w:pStyle w:val="Normal"/></w:pPr>
<w:r><w:t xml:space="preserve">beyond which the commission were unable to settle an agreement.</w:t></w:r>
</w:p>
<w:p>
<w:pPr><w:pStyle w:val="Normal"/></w:pPr>
<w:r><w:t xml:space="preserve">During the ten years following his accession in 1880 Abdur</w:t></w:r>
</w:p>
<w:p>
<w:pPr><w:pStyle w:val="Normal"/></w:pPr>
<w:r><w:t xml:space="preserve">Rahman employed himself in extending and consolidating his</w:t></w:r>
</w:p>
<w:p>
<w:pPr><w:pStyle w:val="Normal"/></w:pPr>
<w:r><w:t xml:space="preserve">dominion over the whole country.  Some local revolts among the</w:t></w:r>
</w:p>
<w:p>
<w:pPr><w:pStyle w:val="Normal"/></w:pPr>
<w:r><w:t xml:space="preserve">tribes were rigorously suppressed; and two attempts to upset</w:t></w:r>
</w:p>
<w:p>
<w:pPr><w:pStyle w:val="Normal"/></w:pPr>
<w:r><w:t xml:space="preserve">his rulership--the first by Ayub Khan, who entered Afghanistan</w:t></w:r>
</w:p>
<w:p>
<w:pPr><w:pStyle w:val="Normal"/></w:pPr>
<w:r><w:t xml:space="preserve">from Persia, the second and more dangerous one by Ishak</w:t></w:r>
</w:p>
<w:p>
<w:pPr><w:pStyle w:val="Normal"/></w:pPr>
<w:r><w:t xml:space="preserve">Khan, the amir&apos;s cousin, who rebelled against him in Afghan</w:t></w:r>
</w:p>
<w:p>
<w:pPr><w:pStyle w:val="Normal"/></w:pPr>
<w:r><w:t xml:space="preserve">Turkestan---were defeated.  By 1891 the amir had enforced his</w:t></w:r>
</w:p>
<w:p>
<w:pPr><w:pStyle w:val="Normal"/></w:pPr>
<w:r><w:t xml:space="preserve">supreme authority throughout Afghanistan more completely than</w:t></w:r>
</w:p>
<w:p>
<w:pPr><w:pStyle w:val="Normal"/></w:pPr>
<w:r><w:t xml:space="preserve">any of his predecessors, In 1895 the amir&apos;s troops entered</w:t></w:r>
</w:p>
<w:p>
<w:pPr><w:pStyle w:val="Normal"/></w:pPr>
<w:r><w:t xml:space="preserve">Kafiristan, a wild mountainous tract on the north-east,</w:t></w:r>
</w:p>
<w:p>
<w:pPr><w:pStyle w:val="Normal"/></w:pPr>
<w:r><w:t xml:space="preserve">inhabited by a peculiar race that had hitherto defied all</w:t></w:r>
</w:p>
<w:p>
<w:pPr><w:pStyle w:val="Normal"/></w:pPr>
<w:r><w:t xml:space="preserve">efforts to subjugate them, but were now gradually reduced to</w:t></w:r>
</w:p>
<w:p>
<w:pPr><w:pStyle w:val="Normal"/></w:pPr>
<w:r><w:t xml:space="preserve">submission.  Meanwhile the delimitation of the northern</w:t></w:r>
</w:p>
<w:p>
<w:pPr><w:pStyle w:val="Normal"/></w:pPr>
<w:r><w:t xml:space="preserve">frontier, up to the point where it meets Chinese territory</w:t></w:r>
</w:p>
<w:p>
<w:pPr><w:pStyle w:val="Normal"/></w:pPr>
<w:r><w:t xml:space="preserve">on the east, was completed and fixed by arrangements between</w:t></w:r>
</w:p>
<w:p>
<w:pPr><w:pStyle w:val="Normal"/></w:pPr>
<w:r><w:t xml:space="preserve">the governments of Russia and Great Britain; and the eastern</w:t></w:r>
</w:p>
<w:p>
<w:pPr><w:pStyle w:val="Normal"/></w:pPr>
<w:r><w:t xml:space="preserve">border of the Afghan territory, towards India, was also mapped</w:t></w:r>
</w:p>
<w:p>
<w:pPr><w:pStyle w:val="Normal"/></w:pPr>
<w:r><w:t xml:space="preserve">out and partially laid down, in accordance with a convention</w:t></w:r>
</w:p>
<w:p>
<w:pPr><w:pStyle w:val="Normal"/></w:pPr>
<w:r><w:t xml:space="preserve">between the two governments.  The amir not only received a</w:t></w:r>
</w:p>
<w:p>
<w:pPr><w:pStyle w:val="Normal"/></w:pPr>
<w:r><w:t xml:space="preserve">large annual subsidy of money from the British government, but</w:t></w:r>
</w:p>
<w:p>
<w:pPr><w:pStyle w:val="Normal"/></w:pPr>
<w:r><w:t xml:space="preserve">he also obtained considerable supplies of war material; and he,</w:t></w:r>
</w:p>
<w:p>
<w:pPr><w:pStyle w:val="Normal"/></w:pPr>
<w:r><w:t xml:space="preserve">moreover, availed himself very freely of facilities that were</w:t></w:r>
</w:p>
<w:p>
<w:pPr><w:pStyle w:val="Normal"/></w:pPr>
<w:r><w:t xml:space="preserve">given him for the importation at his own cost of arms through</w:t></w:r>
</w:p>
<w:p>
<w:pPr><w:pStyle w:val="Normal"/></w:pPr>
<w:r><w:t xml:space="preserve">India.  With these resources, and with the advantage of an</w:t></w:r>
</w:p>
<w:p>
<w:pPr><w:pStyle w:val="Normal"/></w:pPr>
<w:r><w:t xml:space="preserve">assurance from the British government that he would be aided</w:t></w:r>
</w:p>
<w:p>
<w:pPr><w:pStyle w:val="Normal"/></w:pPr>
<w:r><w:t xml:space="preserve">against foreign aggression, he was able to establish an</w:t></w:r>
</w:p>
<w:p>
<w:pPr><w:pStyle w:val="Normal"/></w:pPr>
<w:r><w:t xml:space="preserve">absolute military despotism inside his kingdom, by breaking</w:t></w:r>
</w:p>
<w:p>
<w:pPr><w:pStyle w:val="Normal"/></w:pPr>
<w:r><w:t xml:space="preserve">down the power of the warlike tribes which held in check, up</w:t></w:r>
</w:p>
<w:p>
<w:pPr><w:pStyle w:val="Normal"/></w:pPr>
<w:r><w:t xml:space="preserve">to his time, the personal autocracy of the Kabul rulers, and</w:t></w:r>
</w:p>
<w:p>
<w:pPr><w:pStyle w:val="Normal"/></w:pPr>
<w:r><w:t xml:space="preserve">by organizing a regular army well furnished with European</w:t></w:r>
</w:p>
<w:p>
<w:pPr><w:pStyle w:val="Normal"/></w:pPr>
<w:r><w:t xml:space="preserve">rifies and artillery.  Taxation of all kinds was heavily</w:t></w:r>
</w:p>
<w:p>
<w:pPr><w:pStyle w:val="Normal"/></w:pPr>
<w:r><w:t xml:space="preserve">increased, and systematically collected.  The result was</w:t></w:r>
</w:p>
<w:p>
<w:pPr><w:pStyle w:val="Normal"/></w:pPr>
<w:r><w:t xml:space="preserve">that whereas in former times the forces of an Afghan ruler</w:t></w:r>
</w:p>
<w:p>
<w:pPr><w:pStyle w:val="Normal"/></w:pPr>
<w:r><w:t xml:space="preserve">consisted mainly of a militia, furnished by the chiefs of</w:t></w:r>
</w:p>
<w:p>
<w:pPr><w:pStyle w:val="Normal"/></w:pPr>
<w:r><w:t xml:space="preserve">tribes who held land on condition of military service, and</w:t></w:r>
</w:p>
<w:p>
<w:pPr><w:pStyle w:val="Normal"/></w:pPr>
<w:r><w:t xml:space="preserve">who stoutly resisted any attempt to commute this service for</w:t></w:r>
</w:p>
<w:p>
<w:pPr><w:pStyle w:val="Normal"/></w:pPr>
<w:r><w:t xml:space="preserve">money payment, the amir had at his command a large standing</w:t></w:r>
</w:p>
<w:p>
<w:pPr><w:pStyle w:val="Normal"/></w:pPr>
<w:r><w:t xml:space="preserve">army, and disposed of a substantial revenue paid direct to his</w:t></w:r>
</w:p>
<w:p>
<w:pPr><w:pStyle w:val="Normal"/></w:pPr>
<w:r><w:t xml:space="preserve">treasury.  Abdur Rahman executed or exiled all those whose</w:t></w:r>
</w:p>
<w:p>
<w:pPr><w:pStyle w:val="Normal"/></w:pPr>
<w:r><w:t xml:space="preserve">political influence he saw reason to fear, or of whose</w:t></w:r>
</w:p>
<w:p>
<w:pPr><w:pStyle w:val="Normal"/></w:pPr>
<w:r><w:t xml:space="preserve">disaffection he had the slightest suspicion; his administration</w:t></w:r>
</w:p>
<w:p>
<w:pPr><w:pStyle w:val="Normal"/></w:pPr>
<w:r><w:t xml:space="preserve">was severe and his punishments were cruel; but undoubtedly he</w:t></w:r>
</w:p>
<w:p>
<w:pPr><w:pStyle w:val="Normal"/></w:pPr>
<w:r><w:t xml:space="preserve">put down disorder, stopped the petty tyranny of local chiefs</w:t></w:r>
</w:p>
<w:p>
<w:pPr><w:pStyle w:val="Normal"/></w:pPr>
<w:r><w:t xml:space="preserve">and brought violent crime under some effective control in the</w:t></w:r>
</w:p>
<w:p>
<w:pPr><w:pStyle w:val="Normal"/></w:pPr>
<w:r><w:t xml:space="preserve">districts.  Travelling by the high roads during his reign was</w:t></w:r>
</w:p>
<w:p>
<w:pPr><w:pStyle w:val="Normal"/></w:pPr>
<w:r><w:t xml:space="preserve">comparatively safe; although it must be added that the excessive</w:t></w:r>
</w:p>
<w:p>
<w:pPr><w:pStyle w:val="Normal"/></w:pPr>
<w:r><w:t xml:space="preserve">exactions of dues and customs very seriously damaged the external</w:t></w:r>
</w:p>
<w:p>
<w:pPr><w:pStyle w:val="Normal"/></w:pPr>
<w:r><w:t xml:space="preserve">trade.  In short, Abdur Rahman&apos;s reign produced an important</w:t></w:r>
</w:p>
<w:p>
<w:pPr><w:pStyle w:val="Normal"/></w:pPr>
<w:r><w:t xml:space="preserve">political revolution, or reformation, in Afghanistan, which</w:t></w:r>
</w:p>
<w:p>
<w:pPr><w:pStyle w:val="Normal"/></w:pPr>
<w:r><w:t xml:space="preserve">rose from the condition of a country distracted by chronic</w:t></w:r>
</w:p>
<w:p>
<w:pPr><w:pStyle w:val="Normal"/></w:pPr>
<w:r><w:t xml:space="preserve">civil wars, under rulers whose authority depended upon their</w:t></w:r>
</w:p>
<w:p>
<w:pPr><w:pStyle w:val="Normal"/></w:pPr>
<w:r><w:t xml:space="preserve">power to hold down or conciliate fierce and semi-independent</w:t></w:r>
</w:p>
<w:p>
<w:pPr><w:pStyle w:val="Normal"/></w:pPr>
<w:r><w:t xml:space="preserve">tribes in the outlying parts of the dominion, to the rank</w:t></w:r>
</w:p>
<w:p>
<w:pPr><w:pStyle w:val="Normal"/></w:pPr>
<w:r><w:t xml:space="preserve">of a formidable military state governed autocratically.  He</w:t></w:r>
</w:p>
<w:p>
<w:pPr><w:pStyle w:val="Normal"/></w:pPr>
<w:r><w:t xml:space="preserve">established, for the first time in the history of the Afghan</w:t></w:r>
</w:p>
<w:p>
<w:pPr><w:pStyle w:val="Normal"/></w:pPr>
<w:r><w:t xml:space="preserve">kingdom, a powerfully centralized administration strong enough</w:t></w:r>
</w:p>
<w:p>
<w:pPr><w:pStyle w:val="Normal"/></w:pPr>
<w:r><w:t xml:space="preserve">to maintain order and to enforce obedience over all the country</w:t></w:r>
</w:p>
<w:p>
<w:pPr><w:pStyle w:val="Normal"/></w:pPr>
<w:r><w:t xml:space="preserve">which he had united under his dominion, supported by a force</w:t></w:r>
</w:p>
<w:p>
<w:pPr><w:pStyle w:val="Normal"/></w:pPr>
<w:r><w:t xml:space="preserve">sufficiently armed and disciplined to put down attempts at</w:t></w:r>
</w:p>
<w:p>
<w:pPr><w:pStyle w:val="Normal"/></w:pPr>
<w:r><w:t xml:space="preserve">resistance or revolt.  His policy, consistently maintained,</w:t></w:r>
</w:p>
<w:p>
<w:pPr><w:pStyle w:val="Normal"/></w:pPr>
<w:r><w:t xml:space="preserve">was to permit no kind of foreign interference, on any pretext,</w:t></w:r>
</w:p>
<w:p>
<w:pPr><w:pStyle w:val="Normal"/></w:pPr>
<w:r><w:t xml:space="preserve">with the interior concerns or the economical conditions of his</w:t></w:r>
</w:p>
<w:p>
<w:pPr><w:pStyle w:val="Normal"/></w:pPr>
<w:r><w:t xml:space="preserve">country.  From the British government he accepted supplies of</w:t></w:r>
</w:p>
<w:p>
<w:pPr><w:pStyle w:val="Normal"/></w:pPr>
<w:r><w:t xml:space="preserve">arms and subsidies of money; but he would make no concessions</w:t></w:r>
</w:p>
<w:p>
<w:pPr><w:pStyle w:val="Normal"/></w:pPr>
<w:r><w:t xml:space="preserve">in return, and all projects of a strategical or commercial</w:t></w:r>
</w:p>
<w:p>
<w:pPr><w:pStyle w:val="Normal"/></w:pPr>
<w:r><w:t xml:space="preserve">nature, such as railways and telegraphs, proposed either</w:t></w:r>
</w:p>
<w:p>
<w:pPr><w:pStyle w:val="Normal"/></w:pPr>
<w:r><w:t xml:space="preserve">for the defence or the development of his possessions, seem</w:t></w:r>
</w:p>
<w:p>
<w:pPr><w:pStyle w:val="Normal"/></w:pPr>
<w:r><w:t xml:space="preserve">to have been regarded by the amir with extreme distrust,</w:t></w:r>
</w:p>
<w:p>
<w:pPr><w:pStyle w:val="Normal"/></w:pPr>
<w:r><w:t xml:space="preserve">as methods of what has been called pacific penetration --so</w:t></w:r>
</w:p>
<w:p>
<w:pPr><w:pStyle w:val="Normal"/></w:pPr>
<w:r><w:t xml:space="preserve">that on these points he was immovable.  It was probably due</w:t></w:r>
</w:p>
<w:p>
<w:pPr><w:pStyle w:val="Normal"/></w:pPr>
<w:r><w:t xml:space="preserve">to the strength and solidity of the executive administration</w:t></w:r>
</w:p>
<w:p>
<w:pPr><w:pStyle w:val="Normal"/></w:pPr>
<w:r><w:t xml:space="preserve">organized, during his lifetime, by Abdur Rahman that, for</w:t></w:r>
</w:p>
<w:p>
<w:pPr><w:pStyle w:val="Normal"/></w:pPr>
<w:r><w:t xml:space="preserve">the first time in the records of the dynasty founded by Ahmad</w:t></w:r>
</w:p>
<w:p>
<w:pPr><w:pStyle w:val="Normal"/></w:pPr>
<w:r><w:t xml:space="preserve">Shah in the latter part of the 18th century, his death was</w:t></w:r>
</w:p>
<w:p>
<w:pPr><w:pStyle w:val="Normal"/></w:pPr>
<w:r><w:t xml:space="preserve">not followed by disputes over the succession or by civil war.</w:t></w:r>
</w:p>
<w:p>
<w:pPr><w:pStyle w:val="Normal"/></w:pPr>
<w:r><w:t xml:space="preserve">Succession of Habibullah.--The amir Abdur Rahman died</w:t></w:r>
</w:p>
<w:p>
<w:pPr><w:pStyle w:val="Normal"/></w:pPr>
<w:r><w:t xml:space="preserve">on the 1st of October 1901; and two days later his eldest</w:t></w:r>
</w:p>
<w:p>
<w:pPr><w:pStyle w:val="Normal"/></w:pPr>
<w:r><w:t xml:space="preserve">son, Habibullah, formally announced his accession to the</w:t></w:r>
</w:p>
<w:p>
<w:pPr><w:pStyle w:val="Normal"/></w:pPr>
<w:r><w:t xml:space="preserve">rulership.  He was recognized with acclamation by the army,</w:t></w:r>
</w:p>
<w:p>
<w:pPr><w:pStyle w:val="Normal"/></w:pPr>
<w:r><w:t xml:space="preserve">by the religious bodies, by the principal tribal chiefs and</w:t></w:r>
</w:p>
<w:p>
<w:pPr><w:pStyle w:val="Normal"/></w:pPr>
<w:r><w:t xml:space="preserve">by all classes of the people as their lawful sovereign; while</w:t></w:r>
</w:p>
<w:p>
<w:pPr><w:pStyle w:val="Normal"/></w:pPr>
<w:r><w:t xml:space="preserve">a deputation of Indian Mahommedans was despatched to Kabul</w:t></w:r>
</w:p>
<w:p>
<w:pPr><w:pStyle w:val="Normal"/></w:pPr>
<w:r><w:t xml:space="preserve">from India to convey the condolences and congratulations</w:t></w:r>
</w:p>
<w:p>
<w:pPr><w:pStyle w:val="Normal"/></w:pPr>
<w:r><w:t xml:space="preserve">of the viceroy.  The amir&apos;s first measures were designed</w:t></w:r>
</w:p>
<w:p>
<w:pPr><w:pStyle w:val="Normal"/></w:pPr>
<w:r><w:t xml:space="preserve">to enhance his popularity and to improve his internal</w:t></w:r>
</w:p>
<w:p>
<w:pPr><w:pStyle w:val="Normal"/></w:pPr>
<w:r><w:t xml:space="preserve">administration, particularly with regard to the relations of</w:t></w:r>
</w:p>
<w:p>
<w:pPr><w:pStyle w:val="Normal"/></w:pPr>
<w:r><w:t xml:space="preserve">his government with the tribes, and to the system introduced</w:t></w:r>
</w:p>
<w:p>
<w:pPr><w:pStyle w:val="Normal"/></w:pPr>
<w:r><w:t xml:space="preserve">by the late amir of compulsory military service, whereby</w:t></w:r>
</w:p>
<w:p>
<w:pPr><w:pStyle w:val="Normal"/></w:pPr>
<w:r><w:t xml:space="preserve">each tribe was required to supply a proportionate number of</w:t></w:r>
</w:p>
<w:p>
<w:pPr><w:pStyle w:val="Normal"/></w:pPr>
<w:r><w:t xml:space="preserve">recruits.  With this object a council of state for tribal</w:t></w:r>
</w:p>
<w:p>
<w:pPr><w:pStyle w:val="Normal"/></w:pPr>
<w:r><w:t xml:space="preserve">affairs was established; and it was arranged that a</w:t></w:r>
</w:p>
<w:p>
<w:pPr><w:pStyle w:val="Normal"/></w:pPr>
<w:r><w:t xml:space="preserve">representative of each tribe should be associated with the</w:t></w:r>
</w:p>
<w:p>
<w:pPr><w:pStyle w:val="Normal"/></w:pPr>
<w:r><w:t xml:space="preserve">provincial governors for the adjudication of tribal cases.</w:t></w:r>
</w:p>
<w:p>
<w:pPr><w:pStyle w:val="Normal"/></w:pPr>
<w:r><w:t xml:space="preserve">In the important matter of foreign relations Habibullah showed</w:t></w:r>
</w:p>
<w:p>
<w:pPr><w:pStyle w:val="Normal"/></w:pPr>
<w:r><w:t xml:space="preserve">a determination to adopt the policy of his father, to whom</w:t></w:r>
</w:p>
<w:p>
<w:pPr><w:pStyle w:val="Normal"/></w:pPr>
<w:r><w:t xml:space="preserve">the British government had given an assurance of aid to repel</w:t></w:r>
</w:p>
<w:p>
<w:pPr><w:pStyle w:val="Normal"/></w:pPr>
<w:r><w:t xml:space="preserve">foreign aggression, on the condition that the amir should</w:t></w:r>
</w:p>
<w:p>
<w:pPr><w:pStyle w:val="Normal"/></w:pPr>
<w:r><w:t xml:space="preserve">follow the advice of that government in regard to external</w:t></w:r>
</w:p>
<w:p>
<w:pPr><w:pStyle w:val="Normal"/></w:pPr>
<w:r><w:t xml:space="preserve">affairs.  This condition was loyally observed by the new</w:t></w:r>
</w:p>
<w:p>
<w:pPr><w:pStyle w:val="Normal"/></w:pPr>
<w:r><w:t xml:space="preserve">amir, who referred to India all communications of an official</w:t></w:r>
</w:p>
<w:p>
<w:pPr><w:pStyle w:val="Normal"/></w:pPr>
<w:r><w:t xml:space="preserve">kind received from the Russian authorities in the provinces</w:t></w:r>
</w:p>
<w:p>
<w:pPr><w:pStyle w:val="Normal"/></w:pPr>
<w:r><w:t xml:space="preserve">bordering on Afghanistan.  But toward the various questions</w:t></w:r>
</w:p>
<w:p>
<w:pPr><w:pStyle w:val="Normal"/></w:pPr>
<w:r><w:t xml:space="preserve">left pending between the governments of India and Afghanistan</w:t></w:r>
</w:p>
<w:p>
<w:pPr><w:pStyle w:val="Normal"/></w:pPr>
<w:r><w:t xml:space="preserve">the new amir maintained also his fatber&apos;s attitude.  He gave</w:t></w:r>
</w:p>
<w:p>
<w:pPr><w:pStyle w:val="Normal"/></w:pPr>
<w:r><w:t xml:space="preserve">no indications of a disposition to continue the discussion of</w:t></w:r>
</w:p>
<w:p>
<w:pPr><w:pStyle w:val="Normal"/></w:pPr>
<w:r><w:t xml:space="preserve">them, or to entertain proposals for extending or altering</w:t></w:r>
</w:p>
<w:p>
<w:pPr><w:pStyle w:val="Normal"/></w:pPr>
<w:r><w:t xml:space="preserve">his relations with the Indian government.  An invitation</w:t></w:r>
</w:p>
<w:p>
<w:pPr><w:pStyle w:val="Normal"/></w:pPr>
<w:r><w:t xml:space="preserve">from the viceroy to meet him in India, with the hope that</w:t></w:r>
</w:p>
<w:p>
<w:pPr><w:pStyle w:val="Normal"/></w:pPr>
<w:r><w:t xml:space="preserve">these points might be settled in conference, was put aside</w:t></w:r>
</w:p>
<w:p>
<w:pPr><w:pStyle w:val="Normal"/></w:pPr>
<w:r><w:t xml:space="preserve">by dilatory excuses, until at last the project was abandoned,</w:t></w:r>
</w:p>
<w:p>
<w:pPr><w:pStyle w:val="Normal"/></w:pPr>
<w:r><w:t xml:space="preserve">and finally the amir agreed to receive at Kabul a diplomatic</w:t></w:r>
</w:p>
<w:p>
<w:pPr><w:pStyle w:val="Normal"/></w:pPr>
<w:r><w:t xml:space="preserve">mission.  The mission, whose chief was Sir Louis Dane, foreign</w:t></w:r>
</w:p>
<w:p>
<w:pPr><w:pStyle w:val="Normal"/></w:pPr>
<w:r><w:t xml:space="preserve">secretary to the Indian government, reached Kabul early in</w:t></w:r>
</w:p>
<w:p>
<w:pPr><w:pStyle w:val="Normal"/></w:pPr>
<w:r><w:t xml:space="preserve">December 1904, and remained there four months in negotiation</w:t></w:r>
</w:p>
<w:p>
<w:pPr><w:pStyle w:val="Normal"/></w:pPr>
<w:r><w:t xml:space="preserve">with the amir personally and with his representatives.  It</w:t></w:r>
</w:p>
<w:p>
<w:pPr><w:pStyle w:val="Normal"/></w:pPr>
<w:r><w:t xml:space="preserve">was found impossible, after many interviews, to obtain from</w:t></w:r>
</w:p>
<w:p>
<w:pPr><w:pStyle w:val="Normal"/></w:pPr>
<w:r><w:t xml:space="preserve">Habibullah his consent to any addition to or variation of</w:t></w:r>
</w:p>
<w:p>
<w:pPr><w:pStyle w:val="Normal"/></w:pPr>
<w:r><w:t xml:space="preserve">the terms of the assurance given by the British government in</w:t></w:r>
</w:p>
<w:p>
<w:pPr><w:pStyle w:val="Normal"/></w:pPr>
<w:r><w:t xml:space="preserve">1880, with which he professed himself entirely satisfied, so</w:t></w:r>
</w:p>
<w:p>
<w:pPr><w:pStyle w:val="Normal"/></w:pPr>
<w:r><w:t xml:space="preserve">that the treaty finally settled in March 1905 went no further</w:t></w:r>
</w:p>
<w:p>
<w:pPr><w:pStyle w:val="Normal"/></w:pPr>
<w:r><w:t xml:space="preserve">than a formal confirmation of all engagements previously</w:t></w:r>
</w:p>
<w:p>
<w:pPr><w:pStyle w:val="Normal"/></w:pPr>
<w:r><w:t xml:space="preserve">concluded with the amir&apos;s predecessor.  It was felt in British</w:t></w:r>
</w:p>
<w:p>
<w:pPr><w:pStyle w:val="Normal"/></w:pPr>
<w:r><w:t xml:space="preserve">circles at the time that a very considerable concession to</w:t></w:r>
</w:p>
<w:p>
<w:pPr><w:pStyle w:val="Normal"/></w:pPr>
<w:r><w:t xml:space="preserve">Habibullah&apos;s independence of attitude was displayed in the fact</w:t></w:r>
</w:p>
<w:p>
<w:pPr><w:pStyle w:val="Normal"/></w:pPr>
<w:r><w:t xml:space="preserve">that he was styled in the treaty ``His Majesty&apos;&apos;; but, in the</w:t></w:r>
</w:p>
<w:p>
<w:pPr><w:pStyle w:val="Normal"/></w:pPr>
<w:r><w:t xml:space="preserve">circumstances, it seems to have been thought diplomatic to</w:t></w:r>
</w:p>
<w:p>
<w:pPr><w:pStyle w:val="Normal"/></w:pPr>
<w:r><w:t xml:space="preserve">accede to the amir&apos;s determination to insist on this matter of</w:t></w:r>
</w:p>
<w:p>
<w:pPr><w:pStyle w:val="Normal"/></w:pPr>
<w:r><w:t xml:space="preserve">style.  But the rebuff showed that it was desirable in the</w:t></w:r>
</w:p>
<w:p>
<w:pPr><w:pStyle w:val="Normal"/></w:pPr>
<w:r><w:t xml:space="preserve">interests both of the British government and of Afghanistan</w:t></w:r>
</w:p>
<w:p>
<w:pPr><w:pStyle w:val="Normal"/></w:pPr>
<w:r><w:t xml:space="preserve">that an opportunity should be made for enabling the amir</w:t></w:r>
</w:p>
<w:p>
<w:pPr><w:pStyle w:val="Normal"/></w:pPr>
<w:r><w:t xml:space="preserve">to have personal acquaintance with the highest Indian</w:t></w:r>
</w:p>
<w:p>
<w:pPr><w:pStyle w:val="Normal"/></w:pPr>
<w:r><w:t xml:space="preserve">authorities.  A further step, calculated to strengthen the</w:t></w:r>
</w:p>
<w:p>
<w:pPr><w:pStyle w:val="Normal"/></w:pPr>
<w:r><w:t xml:space="preserve">relations of amity between the two governments, was taken</w:t></w:r>
</w:p>
<w:p>
<w:pPr><w:pStyle w:val="Normal"/></w:pPr>
<w:r><w:t xml:space="preserve">when it was arranged that the amir should pay a visit to</w:t></w:r>
</w:p>
<w:p>
<w:pPr><w:pStyle w:val="Normal"/></w:pPr>
<w:r><w:t xml:space="preserve">the viceroy, Lord Minto, in India, in January 1907; and</w:t></w:r>
</w:p>
<w:p>
<w:pPr><w:pStyle w:val="Normal"/></w:pPr>
<w:r><w:t xml:space="preserve">this visit took place with great cordiality and success.</w:t></w:r>
</w:p>
<w:p>
<w:pPr><w:pStyle w:val="Normal"/></w:pPr>
<w:r><w:t xml:space="preserve">The Anglo-Russian Convention, signed on the 31st of August 1907,</w:t></w:r>
</w:p>
<w:p>
<w:pPr><w:pStyle w:val="Normal"/></w:pPr>
<w:r><w:t xml:space="preserve">contained the following important declarations with regard to</w:t></w:r>
</w:p>
<w:p>
<w:pPr><w:pStyle w:val="Normal"/></w:pPr>
<w:r><w:t xml:space="preserve">Afghanistan.  Great Britain disclaimed any intention of altering</w:t></w:r>
</w:p>
<w:p>
<w:pPr><w:pStyle w:val="Normal"/></w:pPr>
<w:r><w:t xml:space="preserve">the political status or (subject to the observance of the treaty</w:t></w:r>
</w:p>
<w:p>
<w:pPr><w:pStyle w:val="Normal"/></w:pPr>
<w:r><w:t xml:space="preserve">of 1905) of interfering in the administration or annexing any</w:t></w:r>
</w:p>
<w:p>
<w:pPr><w:pStyle w:val="Normal"/></w:pPr>
<w:r><w:t xml:space="preserve">territory of Afghanistan, and engaged to use her influence</w:t></w:r>
</w:p>
<w:p>
<w:pPr><w:pStyle w:val="Normal"/></w:pPr>
<w:r><w:t xml:space="preserve">there in no manner threatening to Russia.  Russia, on her part,</w:t></w:r>
</w:p>
<w:p>
<w:pPr><w:pStyle w:val="Normal"/></w:pPr>
<w:r><w:t xml:space="preserve">recognized Afghanistan as outside her sphere of influence.</w:t></w:r>
</w:p>
<w:p>
<w:pPr><w:pStyle w:val="Normal"/></w:pPr>
<w:r><w:t xml:space="preserve">AUTHORITIES. ---MacGregor, Gazetteer or Afghanistan</w:t></w:r>
</w:p>
<w:p>
<w:pPr><w:pStyle w:val="Normal"/></w:pPr>
<w:r><w:t xml:space="preserve">(1871); Elphinstone, Account of the Kingdom of Kabul</w:t></w:r>
</w:p>
<w:p>
<w:pPr><w:pStyle w:val="Normal"/></w:pPr>
<w:r><w:t xml:space="preserve">(1809); Ferrier, History of the Afghanis (1858); Bellow,</w:t></w:r>
</w:p>
<w:p>
<w:pPr><w:pStyle w:val="Normal"/></w:pPr>
<w:r><w:t xml:space="preserve">Afghanistan and the Afghans (1879); Baber&apos;s Memoirs</w:t></w:r>
</w:p>
<w:p>
<w:pPr><w:pStyle w:val="Normal"/></w:pPr>
<w:r><w:t xml:space="preserve">(1844); Kaye, History of the War in Afghanistan (1878);</w:t></w:r>
</w:p>
<w:p>
<w:pPr><w:pStyle w:val="Normal"/></w:pPr>
<w:r><w:t xml:space="preserve">Malleson, History of Afghanistan (1879); Heusman, The</w:t></w:r>
</w:p>
<w:p>
<w:pPr><w:pStyle w:val="Normal"/></w:pPr>
<w:r><w:t xml:space="preserve">Afghan War (1881); Sir H. M. Durand, The First Afghan War</w:t></w:r>
</w:p>
<w:p>
<w:pPr><w:pStyle w:val="Normal"/></w:pPr>
<w:r><w:t xml:space="preserve">(1879); Forbes, The Afghan Wars (1892); Rawlinson, England</w:t></w:r>
</w:p>
<w:p>
<w:pPr><w:pStyle w:val="Normal"/></w:pPr>
<w:r><w:t xml:space="preserve">and Russia in the East (1875); Wyllie, Essays on the</w:t></w:r>
</w:p>
<w:p>
<w:pPr><w:pStyle w:val="Normal"/></w:pPr>
<w:r><w:t xml:space="preserve">External Policy of India (1875).  A. C. Yate, Northern</w:t></w:r>
</w:p>
<w:p>
<w:pPr><w:pStyle w:val="Normal"/></w:pPr>
<w:r><w:t xml:space="preserve">Afghanistan (1888); Curzon, Problems of the Far East (1894);</w:t></w:r>
</w:p>
<w:p>
<w:pPr><w:pStyle w:val="Normal"/></w:pPr>
<w:r><w:t xml:space="preserve">Robertson, The Kafir of the Hindu Kush (1896); Holdich,</w:t></w:r>
</w:p>
<w:p>
<w:pPr><w:pStyle w:val="Normal"/></w:pPr>
<w:r><w:t xml:space="preserve">Indian Borderland (1901); Thorburn, Asiatic Neighbours</w:t></w:r>
</w:p>
<w:p>
<w:pPr><w:pStyle w:val="Normal"/></w:pPr>
<w:r><w:t xml:space="preserve">(1895); Lord Roberts, Forty-one Years in India (1898); Lady</w:t></w:r>
</w:p>
<w:p>
<w:pPr><w:pStyle w:val="Normal"/></w:pPr>
<w:r><w:t xml:space="preserve">Betty Balfour, Lord Litton&apos;s Indian Administration (1899);</w:t></w:r>
</w:p>
<w:p>
<w:pPr><w:pStyle w:val="Normal"/></w:pPr>
<w:r><w:t xml:space="preserve">Hanna, Second Afghani War (1899); Gray, At the Court of</w:t></w:r>
</w:p>
<w:p>
<w:pPr><w:pStyle w:val="Normal"/></w:pPr>
<w:r><w:t xml:space="preserve">the Amir (1895); Sultan Mohammad Khan, Constitution and</w:t></w:r>
</w:p>
<w:p>
<w:pPr><w:pStyle w:val="Normal"/></w:pPr>
<w:r><w:t xml:space="preserve">Laws of Afghanistan (1900): Life of Abdur Rahinani (1900);</w:t></w:r>
</w:p>
<w:p>
<w:pPr><w:pStyle w:val="Normal"/></w:pPr>
<w:r><w:t xml:space="preserve">Angus Hamilton, Afghanistan (1906). (H. Y.; A. C. L.)</w:t></w:r>
</w:p>
<w:p>
<w:pPr><w:pStyle w:val="Normal"/></w:pPr>
<w:r><w:t xml:space="preserve">1 We owe our knowledge of the geology of Afghanistan almost</w:t></w:r>
</w:p>
<w:p>
<w:pPr><w:pStyle w:val="Normal"/></w:pPr>
<w:r><w:t xml:space="preserve">entirely to the observations of C. U. Grierbach, and a summary</w:t></w:r>
</w:p>
<w:p>
<w:pPr><w:pStyle w:val="Normal"/></w:pPr>
<w:r><w:t xml:space="preserve">of his researches will be found in Records of the Geological</w:t></w:r>
</w:p>
<w:p>
<w:pPr><w:pStyle w:val="Normal"/></w:pPr>
<w:r><w:t xml:space="preserve">Survey of India, vol. xx. (1887), pp. 93-103, with map.</w:t></w:r>
</w:p>
<w:p>
<w:pPr><w:pStyle w:val="Normal"/></w:pPr>
<w:r><w:t xml:space="preserve">AFGHAN TURKESTAN, the most northern province of Afghanistan.</w:t></w:r>
</w:p>
<w:p>
<w:pPr><w:pStyle w:val="Normal"/></w:pPr>
<w:r><w:t xml:space="preserve">It is bounded on the E. by Badakshan, on the N. by the</w:t></w:r>
</w:p>
<w:p>
<w:pPr><w:pStyle w:val="Normal"/></w:pPr>
<w:r><w:t xml:space="preserve">Oxus river, on the N.W. and W. by Russia and the Hari Rud</w:t></w:r>
</w:p>
<w:p>
<w:pPr><w:pStyle w:val="Normal"/></w:pPr>
<w:r><w:t xml:space="preserve">river, and on the S. by the Hindu Lush, the Koh-i-Baba and</w:t></w:r>
</w:p>
<w:p>
<w:pPr><w:pStyle w:val="Normal"/></w:pPr>
<w:r><w:t xml:space="preserve">the northern watershed of the Hari Rud basin.  Its northern</w:t></w:r>
</w:p>
<w:p>
<w:pPr><w:pStyle w:val="Normal"/></w:pPr>
<w:r><w:t xml:space="preserve">frontier was decided by the Anglo-Russian agreement of 1873;</w:t></w:r>
</w:p>
<w:p>
<w:pPr><w:pStyle w:val="Normal"/></w:pPr>
<w:r><w:t xml:space="preserve">and delimited by the Russo-Afghan boundary commission of</w:t></w:r>
</w:p>
<w:p>
<w:pPr><w:pStyle w:val="Normal"/></w:pPr>
<w:r><w:t xml:space="preserve">1883, which gave rise to the Panjdeh incident.  The whole</w:t></w:r>
</w:p>
<w:p>
<w:pPr><w:pStyle w:val="Normal"/></w:pPr>
<w:r><w:t xml:space="preserve">territory, from the junction of the Kokcha river with the</w:t></w:r>
</w:p>
<w:p>
<w:pPr><w:pStyle w:val="Normal"/></w:pPr>
<w:r><w:t xml:space="preserve">Oxus on the north-east to the province of Herat on the</w:t></w:r>
</w:p>
<w:p>
<w:pPr><w:pStyle w:val="Normal"/></w:pPr>
<w:r><w:t xml:space="preserve">south-west, is some 500 m. in length, with an average width</w:t></w:r>
</w:p>
<w:p>
<w:pPr><w:pStyle w:val="Normal"/></w:pPr>
<w:r><w:t xml:space="preserve">from the Russian frontier to the Hindu Kush of 114 m.  It thus</w:t></w:r>
</w:p>
<w:p>
<w:pPr><w:pStyle w:val="Normal"/></w:pPr>
<w:r><w:t xml:space="preserve">comprises about 57,000 sq. m. or roughly&apos; two-ninths of the</w:t></w:r>
</w:p>
<w:p>
<w:pPr><w:pStyle w:val="Normal"/></w:pPr>
<w:r><w:t xml:space="preserve">kingdom of Afghanistan.  Except in the river valleys it is a</w:t></w:r>
</w:p>
<w:p>
<w:pPr><w:pStyle w:val="Normal"/></w:pPr>
<w:r><w:t xml:space="preserve">poor territory, rough and mountainous towards the south, but</w:t></w:r>
</w:p>
<w:p>
<w:pPr><w:pStyle w:val="Normal"/></w:pPr>
<w:r><w:t xml:space="preserve">subsiding into undulating wastes and pasture-lands towards</w:t></w:r>
</w:p>
<w:p>
<w:pPr><w:pStyle w:val="Normal"/></w:pPr>
<w:r><w:t xml:space="preserve">the Turkman desert, and the Oxus riverain which is highly</w:t></w:r>
</w:p>
<w:p>
<w:pPr><w:pStyle w:val="Normal"/></w:pPr>
<w:r><w:t xml:space="preserve">cultivated.  The population, which is mostly agricultural,</w:t></w:r>
</w:p>
<w:p>
<w:pPr><w:pStyle w:val="Normal"/></w:pPr>
<w:r><w:t xml:space="preserve">settled in and around its towns and villages, is estimated at</w:t></w:r>
</w:p>
<w:p>
<w:pPr><w:pStyle w:val="Normal"/></w:pPr>
<w:r><w:t xml:space="preserve">750,000.  The province includes the khanates of Kunduz, Tashkurgan,</w:t></w:r>
</w:p>
<w:p>
<w:pPr><w:pStyle w:val="Normal"/></w:pPr>
<w:r><w:t xml:space="preserve">Balkh with Akcha; the western khanates of Saripul, Shibarghan,</w:t></w:r>
</w:p>
<w:p>
<w:pPr><w:pStyle w:val="Normal"/></w:pPr>
<w:r><w:t xml:space="preserve">Andkhui and Maimana, sometimes classed together as the Chahar</w:t></w:r>
</w:p>
<w:p>
<w:pPr><w:pStyle w:val="Normal"/></w:pPr>
<w:r><w:t xml:space="preserve">Vidayet, or ``Four Domains&apos;&apos;; and such parts of the Hazara</w:t></w:r>
</w:p>
<w:p>
<w:pPr><w:pStyle w:val="Normal"/></w:pPr>
<w:r><w:t xml:space="preserve">tribes as lie north of the Hindu Kush and its prolongation.</w:t></w:r>
</w:p>
<w:p>
<w:pPr><w:pStyle w:val="Normal"/></w:pPr>
<w:r><w:t xml:space="preserve">The principal town is Mazar-i-Sharif, which in modern times</w:t></w:r>
</w:p>
<w:p>
<w:pPr><w:pStyle w:val="Normal"/></w:pPr>
<w:r><w:t xml:space="preserve">has supplanted the ancient city of Balkh; and Takhtapul, near</w:t></w:r>
</w:p>
<w:p>
<w:pPr><w:pStyle w:val="Normal"/></w:pPr>
<w:r><w:t xml:space="preserve">Mazar, is the chief Afghan cantonment north of the Hindu Kush.</w:t></w:r>
</w:p>
<w:p>
<w:pPr><w:pStyle w:val="Normal"/></w:pPr>
<w:r><w:t xml:space="preserve">Ethnically and historically Afghan Turkestan is more</w:t></w:r>
</w:p>
<w:p>
<w:pPr><w:pStyle w:val="Normal"/></w:pPr>
<w:r><w:t xml:space="preserve">connected with Bokhara than with Kabul, of which government</w:t></w:r>
</w:p>
<w:p>
<w:pPr><w:pStyle w:val="Normal"/></w:pPr>
<w:r><w:t xml:space="preserve">it has been a dependency only since the time of Dost</w:t></w:r>
</w:p>
<w:p>
<w:pPr><w:pStyle w:val="Normal"/></w:pPr>
<w:r><w:t xml:space="preserve">Mahommed.  The bulk of the people of the cities are of</w:t></w:r>
</w:p>
<w:p>
<w:pPr><w:pStyle w:val="Normal"/></w:pPr>
<w:r><w:t xml:space="preserve">Persian and Uzbeg stock, but interspersed with them are</w:t></w:r>
</w:p>
<w:p>
<w:pPr><w:pStyle w:val="Normal"/></w:pPr>
<w:r><w:t xml:space="preserve">Mongol Hazaras and Hindus with Turkoman tribes in the Oxus</w:t></w:r>
</w:p>
<w:p>
<w:pPr><w:pStyle w:val="Normal"/></w:pPr>
<w:r><w:t xml:space="preserve">plains.  Over these races the Afghans rule as conquerors and</w:t></w:r>
</w:p>
<w:p>
<w:pPr><w:pStyle w:val="Normal"/></w:pPr>
<w:r><w:t xml:space="preserve">there is no bond of racial unity between them.  Ancient Balkh</w:t></w:r>
</w:p>
<w:p>
<w:pPr><w:pStyle w:val="Normal"/></w:pPr>
<w:r><w:t xml:space="preserve">or Bactriana was a province of the Achaemenian empire, and</w:t></w:r>
</w:p>
<w:p>
<w:pPr><w:pStyle w:val="Normal"/></w:pPr>
<w:r><w:t xml:space="preserve">probably was occupied in great measure by a race of Iranian</w:t></w:r>
</w:p>
<w:p>
<w:pPr><w:pStyle w:val="Normal"/></w:pPr>
<w:r><w:t xml:space="preserve">blood.  About 250 B.C. Diodotus (Theodotus), governor of</w:t></w:r>
</w:p>
<w:p>
<w:pPr><w:pStyle w:val="Normal"/></w:pPr>
<w:r><w:t xml:space="preserve">Bactria under the Seleucidae, declared his independence, and</w:t></w:r>
</w:p>
<w:p>
<w:pPr><w:pStyle w:val="Normal"/></w:pPr>
<w:r><w:t xml:space="preserve">commenced the history of the Greco-Bactrian dynasties, which</w:t></w:r>
</w:p>
<w:p>
<w:pPr><w:pStyle w:val="Normal"/></w:pPr>
<w:r><w:t xml:space="preserve">succumbed to Parthian and nomadic movements about 126 B.C.</w:t></w:r>
</w:p>
<w:p>
<w:pPr><w:pStyle w:val="Normal"/></w:pPr>
<w:r><w:t xml:space="preserve">After this came a Buddhist era which has left its traces in</w:t></w:r>
</w:p>
<w:p>
<w:pPr><w:pStyle w:val="Normal"/></w:pPr>
<w:r><w:t xml:space="preserve">the gigantic sculptures at Bamian and the rock-cut topes of</w:t></w:r>
</w:p>
<w:p>
<w:pPr><w:pStyle w:val="Normal"/></w:pPr>
<w:r><w:t xml:space="preserve">Haibak.  The district was devastated by Jenghiz Khan, and</w:t></w:r>
</w:p>
<w:p>
<w:pPr><w:pStyle w:val="Normal"/></w:pPr>
<w:r><w:t xml:space="preserve">has never since fully recovered its prosperity.  For about</w:t></w:r>
</w:p>
<w:p>
<w:pPr><w:pStyle w:val="Normal"/></w:pPr>
<w:r><w:t xml:space="preserve">a century it belonged to the Delhi empire, and then fell</w:t></w:r>
</w:p>
<w:p>
<w:pPr><w:pStyle w:val="Normal"/></w:pPr>
<w:r><w:t xml:space="preserve">into Uzbeg hands.  In the 18th century it formed part of the</w:t></w:r>
</w:p>
<w:p>
<w:pPr><w:pStyle w:val="Normal"/></w:pPr>
<w:r><w:t xml:space="preserve">dominion of Ahmad Khan Durani, and so remained under his son</w:t></w:r>
</w:p>
<w:p>
<w:pPr><w:pStyle w:val="Normal"/></w:pPr>
<w:r><w:t xml:space="preserve">Timur.  But under the fratricidal wars of Timur&apos;s sons the</w:t></w:r>
</w:p>
<w:p>
<w:pPr><w:pStyle w:val="Normal"/></w:pPr>
<w:r><w:t xml:space="preserve">separate khanates fell back under the independent rule of</w:t></w:r>
</w:p>
<w:p>
<w:pPr><w:pStyle w:val="Normal"/></w:pPr>
<w:r><w:t xml:space="preserve">various Uzbeg chiefs.  At the beginning of the 19th century</w:t></w:r>
</w:p>
<w:p>
<w:pPr><w:pStyle w:val="Normal"/></w:pPr>
<w:r><w:t xml:space="preserve">they belonged to Bokhara; but under the great amir Dost</w:t></w:r>
</w:p>
<w:p>
<w:pPr><w:pStyle w:val="Normal"/></w:pPr>
<w:r><w:t xml:space="preserve">Mahommed the Afghans recovered Balkh and Tashkurgan in 1850,</w:t></w:r>
</w:p>
<w:p>
<w:pPr><w:pStyle w:val="Normal"/></w:pPr>
<w:r><w:t xml:space="preserve">Akcha and the four western khanates in 1855, and Kunduz in</w:t></w:r>
</w:p>
<w:p>
<w:pPr><w:pStyle w:val="Normal"/></w:pPr>
<w:r><w:t xml:space="preserve">1859.  The sovereignty over Andkhui, Shibarghan, Saripul and</w:t></w:r>
</w:p>
<w:p>
<w:pPr><w:pStyle w:val="Normal"/></w:pPr>
<w:r><w:t xml:space="preserve">Maimana was in dispute between Bokhara and Kabul until settled</w:t></w:r>
</w:p>
<w:p>
<w:pPr><w:pStyle w:val="Normal"/></w:pPr>
<w:r><w:t xml:space="preserve">by the Anglo-Russian agreement of 1873 in favour of the Afghan</w:t></w:r>
</w:p>
<w:p>
<w:pPr><w:pStyle w:val="Normal"/></w:pPr>
<w:r><w:t xml:space="preserve">claim.  Under the strong rule of Abdur Rahman these outlying</w:t></w:r>
</w:p>
<w:p>
<w:pPr><w:pStyle w:val="Normal"/></w:pPr>
<w:r><w:t xml:space="preserve">territories were closely welded to Kabul; but after the</w:t></w:r>
</w:p>
<w:p>
<w:pPr><w:pStyle w:val="Normal"/></w:pPr>
<w:r><w:t xml:space="preserve">accession of Habibullah the bonds once more relaxed. (T. H. Ut.v)</w:t></w:r>
</w:p>
<w:p>
<w:pPr><w:pStyle w:val="Normal"/></w:pPr>
<w:r><w:t xml:space="preserve">AFIUM-KARA-HISSAR (afium, opium), the popular name of</w:t></w:r>
</w:p>
<w:p>
<w:pPr><w:pStyle w:val="Normal"/></w:pPr>
<w:r><w:t xml:space="preserve">Kara-hissar Sahib, a city of Asiatic Turkey, in the vilayet</w:t></w:r>
</w:p>
<w:p>
<w:pPr><w:pStyle w:val="Normal"/></w:pPr>
<w:r><w:t xml:space="preserve">of Brusa, nearly 200 m.  E. of Smyrna, and 50 m.  S.S.E. of</w:t></w:r>
</w:p>
<w:p>
<w:pPr><w:pStyle w:val="Normal"/></w:pPr>
<w:r><w:t xml:space="preserve">Kutaiah.  Pop. 18,000 (Moslems, 13,000; Christians, 5000).</w:t></w:r>
</w:p>
<w:p>
<w:pPr><w:pStyle w:val="Normal"/></w:pPr>
<w:r><w:t xml:space="preserve">Called Nicopolis by Leo III. after his victory over the</w:t></w:r>
</w:p>
<w:p>
<w:pPr><w:pStyle w:val="Normal"/></w:pPr>
<w:r><w:t xml:space="preserve">Arabs in 740, its name was changed by the Seljuk Turks to</w:t></w:r>
</w:p>
<w:p>
<w:pPr><w:pStyle w:val="Normal"/></w:pPr>
<w:r><w:t xml:space="preserve">Kara-hissar.  It stands partly on level ground, partly on a</w:t></w:r>
</w:p>
<w:p>
<w:pPr><w:pStyle w:val="Normal"/></w:pPr>
<w:r><w:t xml:space="preserve">declivity, and above it rises a precipitous trachytic rock</w:t></w:r>
</w:p>
<w:p>
<w:pPr><w:pStyle w:val="Normal"/></w:pPr>
<w:r><w:t xml:space="preserve">(400 ft.) on the summit of which are the ruins of an ancient</w:t></w:r>
</w:p>
<w:p>
<w:pPr><w:pStyle w:val="Normal"/></w:pPr>
<w:r><w:t xml:space="preserve">castle.  From its situation on the route of the caravans</w:t></w:r>
</w:p>
<w:p>
<w:pPr><w:pStyle w:val="Normal"/></w:pPr>
<w:r><w:t xml:space="preserve">between Smyrna and western Asia on the one hand, and Armenia,</w:t></w:r>
</w:p>
<w:p>
<w:pPr><w:pStyle w:val="Normal"/></w:pPr>
<w:r><w:t xml:space="preserve">Georgia, &amp;c., on the other, the city became a place of</w:t></w:r>
</w:p>
<w:p>
<w:pPr><w:pStyle w:val="Normal"/></w:pPr>
<w:r><w:t xml:space="preserve">extensive trade, and its bazaars are well stocked with the</w:t></w:r>
</w:p>
<w:p>
<w:pPr><w:pStyle w:val="Normal"/></w:pPr>
<w:r><w:t xml:space="preserve">merchandise of both Europe and the East.  Opium in large</w:t></w:r>
</w:p>
<w:p>
<w:pPr><w:pStyle w:val="Normal"/></w:pPr>
<w:r><w:t xml:space="preserve">quantities is produced in its vicinity and forms the staple</w:t></w:r>
</w:p>
<w:p>
<w:pPr><w:pStyle w:val="Normal"/></w:pPr>
<w:r><w:t xml:space="preserve">article of its commerce; and there are, besides, manufactures</w:t></w:r>
</w:p>
<w:p>
<w:pPr><w:pStyle w:val="Normal"/></w:pPr>
<w:r><w:t xml:space="preserve">of black felts, carpets, arms and saddlery.  Afium contains</w:t></w:r>
</w:p>
<w:p>
<w:pPr><w:pStyle w:val="Normal"/></w:pPr>
<w:r><w:t xml:space="preserve">several mosques (one of them a very handsome building), and</w:t></w:r>
</w:p>
<w:p>
<w:pPr><w:pStyle w:val="Normal"/></w:pPr>
<w:r><w:t xml:space="preserve">is the seat of an Armenian bishop.  The town is connected</w:t></w:r>
</w:p>
<w:p>
<w:pPr><w:pStyle w:val="Normal"/></w:pPr>
<w:r><w:t xml:space="preserve">by railway with Smyrna, Konia, Angora and Constantinople.</w:t></w:r>
</w:p>
<w:p>
<w:pPr><w:pStyle w:val="Normal"/></w:pPr>
<w:r><w:t xml:space="preserve">See V. Cuinet, Turquie d&apos;Asie (Paris, 1894), vol. iv.</w:t></w:r>
</w:p>
<w:p>
<w:pPr><w:pStyle w:val="Normal"/></w:pPr>
<w:r><w:t xml:space="preserve">A FORTIORI (Lat. ``from a stronger [reason]&apos;&apos;), a term</w:t></w:r>
</w:p>
<w:p>
<w:pPr><w:pStyle w:val="Normal"/></w:pPr>
<w:r><w:t xml:space="preserve">used of an argument which justifies a statement not itself</w:t></w:r>
</w:p>
<w:p>
<w:pPr><w:pStyle w:val="Normal"/></w:pPr>
<w:r><w:t xml:space="preserve">specifically demonstrated by reference to a proved conclusion</w:t></w:r>
</w:p>
<w:p>
<w:pPr><w:pStyle w:val="Normal"/></w:pPr>
<w:r><w:t xml:space="preserve">which includes it; thus, if A is proved less than B, and</w:t></w:r>
</w:p>
<w:p>
<w:pPr><w:pStyle w:val="Normal"/></w:pPr>
<w:r><w:t xml:space="preserve">is known to be greater than C, it follows a fortiori that</w:t></w:r>
</w:p>
<w:p>
<w:pPr><w:pStyle w:val="Heading1"/></w:pPr>
<w:r><w:t>C is less than B without further proof.  The argument is</w:t></w:r>
</w:p>
<w:p>
<w:pPr><w:pStyle w:val="Normal"/></w:pPr>
<w:r><w:t xml:space="preserve">frequently based merely on a comparison of probabilities (cf.</w:t></w:r>
</w:p>
<w:p>
<w:pPr><w:pStyle w:val="Normal"/></w:pPr>
<w:r><w:t xml:space="preserve">Matt. vi. 30), when it constitutes an appeal to common sense.</w:t></w:r>
</w:p>
<w:p>
<w:pPr><w:pStyle w:val="Normal"/></w:pPr>
<w:r><w:t xml:space="preserve">AFRANIUS, LUCIUS, Roman general, lived in the times of</w:t></w:r>
</w:p>
<w:p>
<w:pPr><w:pStyle w:val="Normal"/></w:pPr>
<w:r><w:t xml:space="preserve">the Sertorian (79-72), third Mithradatic (74-61) and Civil</w:t></w:r>
</w:p>
<w:p>
<w:pPr><w:pStyle w:val="Normal"/></w:pPr>
<w:r><w:t xml:space="preserve">Wars.  Of humble origin (Cic. ad Att. i. 16. 20), from</w:t></w:r>
</w:p>
<w:p>
<w:pPr><w:pStyle w:val="Normal"/></w:pPr>
<w:r><w:t xml:space="preserve">his early years he was a devoted adherent of Pompey.  In 60,</w:t></w:r>
</w:p>
<w:p>
<w:pPr><w:pStyle w:val="Normal"/></w:pPr>
<w:r><w:t xml:space="preserve">chiefly by Pompey&apos;s support, he was raised to the consulship,</w:t></w:r>
</w:p>
<w:p>
<w:pPr><w:pStyle w:val="Normal"/></w:pPr>
<w:r><w:t xml:space="preserve">but in performing the duties of that office he showed an</w:t></w:r>
</w:p>
<w:p>
<w:pPr><w:pStyle w:val="Normal"/></w:pPr>
<w:r><w:t xml:space="preserve">utter incapacity to manage civil affairs.  In the following</w:t></w:r>
</w:p>
<w:p>
<w:pPr><w:pStyle w:val="Normal"/></w:pPr>
<w:r><w:t xml:space="preserve">year, while governor of Cisalpine Gaul, he obtained the honour</w:t></w:r>
</w:p>
<w:p>
<w:pPr><w:pStyle w:val="Normal"/></w:pPr>
<w:r><w:t xml:space="preserve">of a triumph, and on the allotment of Spain to Pompey (55),</w:t></w:r>
</w:p>
<w:p>
<w:pPr><w:pStyle w:val="Normal"/></w:pPr>
<w:r><w:t xml:space="preserve">Afranius and Marcus Petreius were sent to take charge of the</w:t></w:r>
</w:p>
<w:p>
<w:pPr><w:pStyle w:val="Normal"/></w:pPr>
<w:r><w:t xml:space="preserve">government.  On the rupture between Caesar and Pompey they were</w:t></w:r>
</w:p>
<w:p>
<w:pPr><w:pStyle w:val="Normal"/></w:pPr>
<w:r><w:t xml:space="preserve">compelled, after a short campaign in which they were at first</w:t></w:r>
</w:p>
<w:p>
<w:pPr><w:pStyle w:val="Normal"/></w:pPr>
<w:r><w:t xml:space="preserve">successful, to surrender to Caesar at Ilerda (49), and were</w:t></w:r>
</w:p>
<w:p>
<w:pPr><w:pStyle w:val="Normal"/></w:pPr>
<w:r><w:t xml:space="preserve">dismissed on promising not to serve again in the war.  Afranius,</w:t></w:r>
</w:p>
<w:p>
<w:pPr><w:pStyle w:val="Normal"/></w:pPr>
<w:r><w:t xml:space="preserve">regardless of his promise, joined Pompey at Dyrrhachium,</w:t></w:r>
</w:p>
<w:p>
<w:pPr><w:pStyle w:val="Normal"/></w:pPr>
<w:r><w:t xml:space="preserve">and at the battle of Pharsalus (48) had charge of Pompey&apos;s</w:t></w:r>
</w:p>
<w:p>
<w:pPr><w:pStyle w:val="Normal"/></w:pPr>
<w:r><w:t xml:space="preserve">camp.  On the defeat of Pompey, Afranius, despairing of pardon</w:t></w:r>
</w:p>
<w:p>
<w:pPr><w:pStyle w:val="Normal"/></w:pPr>
<w:r><w:t xml:space="preserve">from Caesar, went to Africa, and was present at the disastrous</w:t></w:r>
</w:p>
<w:p>
<w:pPr><w:pStyle w:val="Normal"/></w:pPr>
<w:r><w:t xml:space="preserve">battle of Thapsus (46).  Escaping from the field with a strong</w:t></w:r>
</w:p>
<w:p>
<w:pPr><w:pStyle w:val="Normal"/></w:pPr>
<w:r><w:t xml:space="preserve">body of cavalry, he was afterwards taken prisoner, along with</w:t></w:r>
</w:p>
<w:p>
<w:pPr><w:pStyle w:val="Normal"/></w:pPr>
<w:r><w:t xml:space="preserve">Faustus Sulla, by the troops of Sittius, and handed over to</w:t></w:r>
</w:p>
<w:p>
<w:pPr><w:pStyle w:val="Normal"/></w:pPr>
<w:r><w:t xml:space="preserve">Caesar, whose veterans rose in tumult and put them to death.</w:t></w:r>
</w:p>
<w:p>
<w:pPr><w:pStyle w:val="Normal"/></w:pPr>
<w:r><w:t xml:space="preserve">See Hirtius, Bell.  Afric. 95; Plutarch, Pompey; Dio Cassius</w:t></w:r>
</w:p>
<w:p>
<w:pPr><w:pStyle w:val="Normal"/></w:pPr>
<w:r><w:t xml:space="preserve">xxxvii., xli.-xliii.; Caesar, B.C i. 57-87; Appian, B.C ii.;</w:t></w:r>
</w:p>
<w:p>
<w:pPr><w:pStyle w:val="Normal"/></w:pPr>
<w:r><w:t xml:space="preserve">for the history of the period, articles on CAESAR and POMPEY.</w:t></w:r>
</w:p>
<w:p>
<w:pPr><w:pStyle w:val="Normal"/></w:pPr>
<w:r><w:t xml:space="preserve">AFRANIUS, LUCIUS, Roman comic poet, flourished about 94</w:t></w:r>
</w:p>
<w:p>
<w:pPr><w:pStyle w:val="Normal"/></w:pPr>
<w:r><w:t xml:space="preserve">B.C. His comedies chiefly dealt with everyday subjects</w:t></w:r>
</w:p>
<w:p>
<w:pPr><w:pStyle w:val="Normal"/></w:pPr>
<w:r><w:t xml:space="preserve">from Roman middle-class life, and he himself tells us that</w:t></w:r>
</w:p>
<w:p>
<w:pPr><w:pStyle w:val="Normal"/></w:pPr>
<w:r><w:t xml:space="preserve">he borrowed freely from Menander and others.  His style was</w:t></w:r>
</w:p>
<w:p>
<w:pPr><w:pStyle w:val="Normal"/></w:pPr>
<w:r><w:t xml:space="preserve">vigorous and correct; his moral tone that of the period.</w:t></w:r>
</w:p>
<w:p>
<w:pPr><w:pStyle w:val="Normal"/></w:pPr>
<w:r><w:t xml:space="preserve">Horace, Epp. ii. 1. 57; Cicero, Brutus, 45, de Fin.</w:t></w:r>
</w:p>
<w:p>
<w:pPr><w:pStyle w:val="Normal"/></w:pPr>
<w:r><w:t xml:space="preserve">i. 3; Quitilian x 1. 100; fragments, about 400 lines, in</w:t></w:r>
</w:p>
<w:p>
<w:pPr><w:pStyle w:val="Normal"/></w:pPr>
<w:r><w:t xml:space="preserve">Ribbeck, Scaenicae Romanorum Poesis Fragmenta, ii. (1898).</w:t></w:r>
</w:p>
<w:p>
<w:pPr><w:pStyle w:val="Normal"/></w:pPr>
<w:r><w:t xml:space="preserve">AFRICA, the name of a continent representing the largest of</w:t></w:r>
</w:p>
<w:p>
<w:pPr><w:pStyle w:val="Normal"/></w:pPr>
<w:r><w:t xml:space="preserve">the three great southward projections from the main mass of</w:t></w:r>
</w:p>
<w:p>
<w:pPr><w:pStyle w:val="Normal"/></w:pPr>
<w:r><w:t xml:space="preserve">the earth&apos;s surface.  It includes within its remarkably regular</w:t></w:r>
</w:p>
<w:p>
<w:pPr><w:pStyle w:val="Normal"/></w:pPr>
<w:r><w:t xml:space="preserve">outline an area, according to the most recent computations,</w:t></w:r>
</w:p>
<w:p>
<w:pPr><w:pStyle w:val="Normal"/></w:pPr>
<w:r><w:t xml:space="preserve">of 11,262,000 sq. m., excluding the islands.1 Separated from</w:t></w:r>
</w:p>
<w:p>
<w:pPr><w:pStyle w:val="Normal"/></w:pPr>
<w:r><w:t xml:space="preserve">Europe by the Mediterranean Sea, it is joined to Asia at its</w:t></w:r>
</w:p>
<w:p>
<w:pPr><w:pStyle w:val="Normal"/></w:pPr>
<w:r><w:t xml:space="preserve">N.E. extremity by the Isthmus of Suez, 80 m. wide.  From the</w:t></w:r>
</w:p>
<w:p>
<w:pPr><w:pStyle w:val="Normal"/></w:pPr>
<w:r><w:t xml:space="preserve">most northerly point, Ras ben Sakka, a little west of Cape</w:t></w:r>
</w:p>
<w:p>
<w:pPr><w:pStyle w:val="Normal"/></w:pPr>
<w:r><w:t xml:space="preserve">Blanc, in 37 deg.  21&apos; N., to the most southerly point, Cape</w:t></w:r>
</w:p>
<w:p>
<w:pPr><w:pStyle w:val="Normal"/></w:pPr>
<w:r><w:t xml:space="preserve">Agulhas, 34 deg.  51&apos; 15&apos;&apos; S., is a distance approximately of</w:t></w:r>
</w:p>
<w:p>
<w:pPr><w:pStyle w:val="Normal"/></w:pPr>
<w:r><w:t xml:space="preserve">5000 m.; from Cape Verde, 17 deg.  33&apos; 22&apos;&apos; W., the westernmost</w:t></w:r>
</w:p>
<w:p>
<w:pPr><w:pStyle w:val="Normal"/></w:pPr>
<w:r><w:t xml:space="preserve">point, to Ras Hafun, 51 deg.  27&apos; 52&apos;&apos; E., the most easterly</w:t></w:r>
</w:p>
<w:p>
<w:pPr><w:pStyle w:val="Normal"/></w:pPr>
<w:r><w:t xml:space="preserve">projection, is a distance (also approximately) of 4600 m.</w:t></w:r>
</w:p>
<w:p>
<w:pPr><w:pStyle w:val="Normal"/></w:pPr>
<w:r><w:t xml:space="preserve">The length of coast-line is 16,100 m. and the absence of deep</w:t></w:r>
</w:p>
<w:p>
<w:pPr><w:pStyle w:val="Normal"/></w:pPr>
<w:r><w:t xml:space="preserve">indentations of the shore is shown by the fact that Europe,</w:t></w:r>
</w:p>
<w:p>
<w:pPr><w:pStyle w:val="Normal"/></w:pPr>
<w:r><w:t xml:space="preserve">which covers only 3,760,000 sq. m., has a coast-line of 19,800 m.</w:t></w:r>
</w:p>
<w:p>
<w:pPr><w:pStyle w:val="Heading1"/></w:pPr>
<w:r><w:t>I. PHYSICAL GEOGRAPHY</w:t></w:r>
</w:p>
<w:p>
<w:pPr><w:pStyle w:val="Normal"/></w:pPr>
<w:r><w:t xml:space="preserve">The main structural lines of the continent show both the</w:t></w:r>
</w:p>
<w:p>
<w:pPr><w:pStyle w:val="Normal"/></w:pPr>
<w:r><w:t xml:space="preserve">east-to-west direction characteristic, at least in the eastern</w:t></w:r>
</w:p>
<w:p>
<w:pPr><w:pStyle w:val="Normal"/></w:pPr>
<w:r><w:t xml:space="preserve">hemisphere, of the more northern parts of the world, and the</w:t></w:r>
</w:p>
<w:p>
<w:pPr><w:pStyle w:val="Normal"/></w:pPr>
<w:r><w:t xml:space="preserve">north-to-south direction seen in the southern peninsulas.  Africa</w:t></w:r>
</w:p>
<w:p>
<w:pPr><w:pStyle w:val="Normal"/></w:pPr>
<w:r><w:t xml:space="preserve">is thus composed of two segments at right angles, the northern</w:t></w:r>
</w:p>
<w:p>
<w:pPr><w:pStyle w:val="Normal"/></w:pPr>
<w:r><w:t xml:space="preserve">running from east to west, the southern from north to south, the</w:t></w:r>
</w:p>
<w:p>
<w:pPr><w:pStyle w:val="Normal"/></w:pPr>
<w:r><w:t xml:space="preserve">subordinate lines corresponding in the main to these two directions.</w:t></w:r>
</w:p>
<w:p>
<w:pPr><w:pStyle w:val="Normal"/></w:pPr>
<w:r><w:t xml:space="preserve">Main Geographical Features.--The mean elevation of the</w:t></w:r>
</w:p>
<w:p>
<w:pPr><w:pStyle w:val="Normal"/></w:pPr>
<w:r><w:t xml:space="preserve">continent approximates closely to 2000 ft., which is roughly</w:t></w:r>
</w:p>
<w:p>
<w:pPr><w:pStyle w:val="Normal"/></w:pPr>
<w:r><w:t xml:space="preserve">the elevation of both North and South America, but is</w:t></w:r>
</w:p>
<w:p>
<w:pPr><w:pStyle w:val="Normal"/></w:pPr>
<w:r><w:t xml:space="preserve">considerably less than that of Asia (3117 ft.).  In contrast</w:t></w:r>
</w:p>
<w:p>
<w:pPr><w:pStyle w:val="Normal"/></w:pPr>
<w:r><w:t xml:space="preserve">with the other continents it is marked by the comparatively</w:t></w:r>
</w:p>
<w:p>
<w:pPr><w:pStyle w:val="Normal"/></w:pPr>
<w:r><w:t xml:space="preserve">small area both of very high and of very low ground, lands</w:t></w:r>
</w:p>
<w:p>
<w:pPr><w:pStyle w:val="Normal"/></w:pPr>
<w:r><w:t xml:space="preserve">under 600 ft. occupying an unusually small part of the surface;</w:t></w:r>
</w:p>
<w:p>
<w:pPr><w:pStyle w:val="Normal"/></w:pPr>
<w:r><w:t xml:space="preserve">while not only are the highest elevations inferior to those</w:t></w:r>
</w:p>
<w:p>
<w:pPr><w:pStyle w:val="Normal"/></w:pPr>
<w:r><w:t xml:space="preserve">of Asia and South America, but the area of land over 10,000</w:t></w:r>
</w:p>
<w:p>
<w:pPr><w:pStyle w:val="Normal"/></w:pPr>
<w:r><w:t xml:space="preserve">ft. is also quite insignificant, being represented almost</w:t></w:r>
</w:p>
<w:p>
<w:pPr><w:pStyle w:val="Normal"/></w:pPr>
<w:r><w:t xml:space="preserve">entirely by individual peaks and mountain ranges.  Moderately</w:t></w:r>
</w:p>
<w:p>
<w:pPr><w:pStyle w:val="Normal"/></w:pPr>
<w:r><w:t xml:space="preserve">elevated tablelands are thus the characteristic feature of the</w:t></w:r>
</w:p>
<w:p>
<w:pPr><w:pStyle w:val="Normal"/></w:pPr>
<w:r><w:t xml:space="preserve">continent, though the surface of these is broken by higher</w:t></w:r>
</w:p>
<w:p>
<w:pPr><w:pStyle w:val="Normal"/></w:pPr>
<w:r><w:t xml:space="preserve">peaks and ridges. (So prevalent are these isolated peaks and</w:t></w:r>
</w:p>
<w:p>
<w:pPr><w:pStyle w:val="Normal"/></w:pPr>
<w:r><w:t xml:space="preserve">ridges that a special term [Inselberg-landschaft] has been</w:t></w:r>
</w:p>
<w:p>
<w:pPr><w:pStyle w:val="Normal"/></w:pPr>
<w:r><w:t xml:space="preserve">adopted in Germany to describe this kind of country, which</w:t></w:r>
</w:p>
<w:p>
<w:pPr><w:pStyle w:val="Normal"/></w:pPr>
<w:r><w:t xml:space="preserve">is thought to be in great part the result of wind action.)</w:t></w:r>
</w:p>
<w:p>
<w:pPr><w:pStyle w:val="Normal"/></w:pPr>
<w:r><w:t xml:space="preserve">As a general rule, the higher tablelands lie to the east and</w:t></w:r>
</w:p>
<w:p>
<w:pPr><w:pStyle w:val="Normal"/></w:pPr>
<w:r><w:t xml:space="preserve">south, while a progressive diminution in altitude towards the</w:t></w:r>
</w:p>
<w:p>
<w:pPr><w:pStyle w:val="Normal"/></w:pPr>
<w:r><w:t xml:space="preserve">west and north is observable.  Apart from the lowlands and</w:t></w:r>
</w:p>
<w:p>
<w:pPr><w:pStyle w:val="Normal"/></w:pPr>
<w:r><w:t xml:space="preserve">the Atlas range, the continent may be divided into two regions</w:t></w:r>
</w:p>
<w:p>
<w:pPr><w:pStyle w:val="Normal"/></w:pPr>
<w:r><w:t xml:space="preserve">of higher and lower plateaus, the dividing line (somewhat</w:t></w:r>
</w:p>
<w:p>
<w:pPr><w:pStyle w:val="Normal"/></w:pPr>
<w:r><w:t xml:space="preserve">concave to the north-west) running from the middle of the</w:t></w:r>
</w:p>
<w:p>
<w:pPr><w:pStyle w:val="Normal"/></w:pPr>
<w:r><w:t xml:space="preserve">Red Sea to about 6 deg.  S. on the west coast.  We thus obtain</w:t></w:r>
</w:p>
<w:p>
<w:pPr><w:pStyle w:val="Normal"/></w:pPr>
<w:r><w:t xml:space="preserve">the following four main divisions of the continent:---(1) The</w:t></w:r>
</w:p>
<w:p>
<w:pPr><w:pStyle w:val="Normal"/></w:pPr>
<w:r><w:t xml:space="preserve">coast plains---often fringed seawards by mangrove swamps--never</w:t></w:r>
</w:p>
<w:p>
<w:pPr><w:pStyle w:val="Normal"/></w:pPr>
<w:r><w:t xml:space="preserve">stretching far from the coast, except on the lower courses of</w:t></w:r>
</w:p>
<w:p>
<w:pPr><w:pStyle w:val="Normal"/></w:pPr>
<w:r><w:t xml:space="preserve">streams.  Recent alluvial flats are found chiefly in the delta</w:t></w:r>
</w:p>
<w:p>
<w:pPr><w:pStyle w:val="Normal"/></w:pPr>
<w:r><w:t xml:space="preserve">of the more important rivers.  Elsewhere the coast lowlands</w:t></w:r>
</w:p>
<w:p>
<w:pPr><w:pStyle w:val="Normal"/></w:pPr>
<w:r><w:t xml:space="preserve">merely form the lowest steps of the system of terraces which</w:t></w:r>
</w:p>
<w:p>
<w:pPr><w:pStyle w:val="Normal"/></w:pPr>
<w:r><w:t xml:space="preserve">constitutes the ascent to the inner plateaus. (2) The Atlas</w:t></w:r>
</w:p>
<w:p>
<w:pPr><w:pStyle w:val="Normal"/></w:pPr>
<w:r><w:t xml:space="preserve">range, which, orographically, is distinct from the rest of</w:t></w:r>
</w:p>
<w:p>
<w:pPr><w:pStyle w:val="Normal"/></w:pPr>
<w:r><w:t xml:space="preserve">the continent, being unconnected with any other area of high</w:t></w:r>
</w:p>
<w:p>
<w:pPr><w:pStyle w:val="Normal"/></w:pPr>
<w:r><w:t xml:space="preserve">ground, and separated from the rest of the continent on the south</w:t></w:r>
</w:p>
<w:p>
<w:pPr><w:pStyle w:val="Normal"/></w:pPr>
<w:r><w:t xml:space="preserve">by a depressed and desert area (the Sahara), in places below</w:t></w:r>
</w:p>
<w:p>
<w:pPr><w:pStyle w:val="Normal"/></w:pPr>
<w:r><w:t xml:space="preserve">sea-level. (3) The high southern and eastern plateaus, rarely</w:t></w:r>
</w:p>
<w:p>
<w:pPr><w:pStyle w:val="Normal"/></w:pPr>
<w:r><w:t xml:space="preserve">falling below 2000 ft., and having a mean elevation of about</w:t></w:r>
</w:p>
<w:p>
<w:pPr><w:pStyle w:val="Normal"/></w:pPr>
<w:r><w:t xml:space="preserve">3500 ft. (4) The north and west African plains, bordered and</w:t></w:r>
</w:p>
<w:p>
<w:pPr><w:pStyle w:val="Normal"/></w:pPr>
<w:r><w:t xml:space="preserve">traversed by bands of higher ground, but generally below 2000</w:t></w:r>
</w:p>
<w:p>
<w:pPr><w:pStyle w:val="Normal"/></w:pPr>
<w:r><w:t xml:space="preserve">ft.  This division includes the great desert of the Sahara.</w:t></w:r>
</w:p>
<w:p>
<w:pPr><w:pStyle w:val="Normal"/></w:pPr>
<w:r><w:t xml:space="preserve">The third and fourth divisions may be again subdivided.</w:t></w:r>
</w:p>
<w:p>
<w:pPr><w:pStyle w:val="Normal"/></w:pPr>
<w:r><w:t xml:space="preserve">Thus the high plateaus include:--(a) The South African</w:t></w:r>
</w:p>
<w:p>
<w:pPr><w:pStyle w:val="Normal"/></w:pPr>
<w:r><w:t xml:space="preserve">plateau as far as about 12 deg.  S., bounded east, west and</w:t></w:r>
</w:p>
<w:p>
<w:pPr><w:pStyle w:val="Normal"/></w:pPr>
<w:r><w:t xml:space="preserve">south by bands of high ground which fall steeply to the</w:t></w:r>
</w:p>
<w:p>
<w:pPr><w:pStyle w:val="Normal"/></w:pPr>
<w:r><w:t xml:space="preserve">coasts.  On this account South Africa has a general resemblance</w:t></w:r>
</w:p>
<w:p>
<w:pPr><w:pStyle w:val="Normal"/></w:pPr>
<w:r><w:t xml:space="preserve">to an inverted saucer.  Due south the plateau rim is formed</w:t></w:r>
</w:p>
<w:p>
<w:pPr><w:pStyle w:val="Normal"/></w:pPr>
<w:r><w:t xml:space="preserve">by three parallel steps with level ground between them.  The</w:t></w:r>
</w:p>
<w:p>
<w:pPr><w:pStyle w:val="Normal"/></w:pPr>
<w:r><w:t xml:space="preserve">largest of these level areas, the Great Karroo, is a dry,</w:t></w:r>
</w:p>
<w:p>
<w:pPr><w:pStyle w:val="Normal"/></w:pPr>
<w:r><w:t xml:space="preserve">barren region, and a large tract of the plateau proper is</w:t></w:r>
</w:p>
<w:p>
<w:pPr><w:pStyle w:val="Normal"/></w:pPr>
<w:r><w:t xml:space="preserve">of a still more arid character and is known as the Kalahari</w:t></w:r>
</w:p>
<w:p>
<w:pPr><w:pStyle w:val="Normal"/></w:pPr>
<w:r><w:t xml:space="preserve">Desert.  The South African plateau is connected towards the</w:t></w:r>
</w:p>
<w:p>
<w:pPr><w:pStyle w:val="Normal"/></w:pPr>
<w:r><w:t xml:space="preserve">north-east with (b) the East African plateau, with probably a</w:t></w:r>
</w:p>
<w:p>
<w:pPr><w:pStyle w:val="Normal"/></w:pPr>
<w:r><w:t xml:space="preserve">slightly greater average elevation, and marked by some distinct</w:t></w:r>
</w:p>
<w:p>
<w:pPr><w:pStyle w:val="Normal"/></w:pPr>
<w:r><w:t xml:space="preserve">features.  It is formed by a widening out of the eastern</w:t></w:r>
</w:p>
<w:p>
<w:pPr><w:pStyle w:val="Normal"/></w:pPr>
<w:r><w:t xml:space="preserve">axis of high ground, which becomes subdivided into a number</w:t></w:r>
</w:p>
<w:p>
<w:pPr><w:pStyle w:val="Normal"/></w:pPr>
<w:r><w:t xml:space="preserve">of zones running north and south and consisting in turn of</w:t></w:r>
</w:p>
<w:p>
<w:pPr><w:pStyle w:val="Normal"/></w:pPr>
<w:r><w:t xml:space="preserve">ranges, tablelands and depressions.  The most striking feature</w:t></w:r>
</w:p>
<w:p>
<w:pPr><w:pStyle w:val="Normal"/></w:pPr>
<w:r><w:t xml:space="preserve">is the existence of two great lines of depression, due largely</w:t></w:r>
</w:p>
<w:p>
<w:pPr><w:pStyle w:val="Normal"/></w:pPr>
<w:r><w:t xml:space="preserve">to the subsidence of whole segments of the earth&apos;s crust, the</w:t></w:r>
</w:p>
<w:p>
<w:pPr><w:pStyle w:val="Normal"/></w:pPr>
<w:r><w:t xml:space="preserve">lowest parts of which are occupied by vast lakes.  Towards</w:t></w:r>
</w:p>
<w:p>
<w:pPr><w:pStyle w:val="Normal"/></w:pPr>
<w:r><w:t xml:space="preserve">the south the two lines converge and give place to one great</w:t></w:r>
</w:p>
<w:p>
<w:pPr><w:pStyle w:val="Normal"/></w:pPr>
<w:r><w:t xml:space="preserve">valley (occupied by Lake Nyasa), the southern part of which</w:t></w:r>
</w:p>
<w:p>
<w:pPr><w:pStyle w:val="Normal"/></w:pPr>
<w:r><w:t xml:space="preserve">is less distinctly due to rifting and subsidence than the</w:t></w:r>
</w:p>
<w:p>
<w:pPr><w:pStyle w:val="Normal"/></w:pPr>
<w:r><w:t xml:space="preserve">rest of the system.  Farther north the western depression,</w:t></w:r>
</w:p>
<w:p>
<w:pPr><w:pStyle w:val="Normal"/></w:pPr>
<w:r><w:t xml:space="preserve">sometimes known as the Central African trough or Albertine</w:t></w:r>
</w:p>
<w:p>
<w:pPr><w:pStyle w:val="Normal"/></w:pPr>
<w:r><w:t xml:space="preserve">rift-valley, is occupied for more than half its length by</w:t></w:r>
</w:p>
<w:p>
<w:pPr><w:pStyle w:val="Normal"/></w:pPr>
<w:r><w:t xml:space="preserve">water, forming the four lakes of Tanganyika, Kivu, Albert</w:t></w:r>
</w:p>
<w:p>
<w:pPr><w:pStyle w:val="Normal"/></w:pPr>
<w:r><w:t xml:space="preserve">Edward and Albert, the first-named over 400 m. long and the</w:t></w:r>
</w:p>
<w:p>
<w:pPr><w:pStyle w:val="Normal"/></w:pPr>
<w:r><w:t xml:space="preserve">longest freshwater lake in the world.  Associated with these</w:t></w:r>
</w:p>
<w:p>
<w:pPr><w:pStyle w:val="Normal"/></w:pPr>
<w:r><w:t xml:space="preserve">great valleys are a number of volcanic peaks, the greatest</w:t></w:r>
</w:p>
<w:p>
<w:pPr><w:pStyle w:val="Normal"/></w:pPr>
<w:r><w:t xml:space="preserve">of which occur on a meridional line east of the eastern</w:t></w:r>
</w:p>
<w:p>
<w:pPr><w:pStyle w:val="Normal"/></w:pPr>
<w:r><w:t xml:space="preserve">trough.  The eastern depression, known as the East African</w:t></w:r>
</w:p>
<w:p>
<w:pPr><w:pStyle w:val="Normal"/></w:pPr>
<w:r><w:t xml:space="preserve">trough or rift-valley, contains much smaller lakes, many of</w:t></w:r>
</w:p>
<w:p>
<w:pPr><w:pStyle w:val="Normal"/></w:pPr>
<w:r><w:t xml:space="preserve">them brackish and without outlet, the only one comparable</w:t></w:r>
</w:p>
<w:p>
<w:pPr><w:pStyle w:val="Normal"/></w:pPr>
<w:r><w:t xml:space="preserve">to those of the western trough being Lake Rudolf or Basso</w:t></w:r>
</w:p>
<w:p>
<w:pPr><w:pStyle w:val="Normal"/></w:pPr>
<w:r><w:t xml:space="preserve">Norok.  At no great distance east of this rift-valley are</w:t></w:r>
</w:p>
<w:p>
<w:pPr><w:pStyle w:val="Normal"/></w:pPr>
<w:r><w:t xml:space="preserve">Kilimanjaro--with its two peaks Kibo and Mawenzi, the former</w:t></w:r>
</w:p>
<w:p>
<w:pPr><w:pStyle w:val="Normal"/></w:pPr>
<w:r><w:t xml:space="preserve">19,321 ft., and the culminating point of the whole continent--and</w:t></w:r>
</w:p>
<w:p>
<w:pPr><w:pStyle w:val="Normal"/></w:pPr>
<w:r><w:t xml:space="preserve">Kenya (17,007 ft.).  Hardly less important is the Ruwenzori</w:t></w:r>
</w:p>
<w:p>
<w:pPr><w:pStyle w:val="Normal"/></w:pPr>
<w:r><w:t xml:space="preserve">range (over 16,600 ft.), which lies east of the western</w:t></w:r>
</w:p>
<w:p>
<w:pPr><w:pStyle w:val="Normal"/></w:pPr>
<w:r><w:t xml:space="preserve">trough.  Other volcanic peaks rise from the floor of the</w:t></w:r>
</w:p>
<w:p>
<w:pPr><w:pStyle w:val="Normal"/></w:pPr>
<w:r><w:t xml:space="preserve">valleys, some of the Kirunga (Mfumbiro) group, north of Lake</w:t></w:r>
</w:p>
<w:p>
<w:pPr><w:pStyle w:val="Normal"/></w:pPr>
<w:r><w:t xml:space="preserve">Kivu, being still partially active. (c) The third division</w:t></w:r>
</w:p>
<w:p>
<w:pPr><w:pStyle w:val="Normal"/></w:pPr>
<w:r><w:t xml:space="preserve">of the higher region of Africa is formed by the Abyssinian</w:t></w:r>
</w:p>
<w:p>
<w:pPr><w:pStyle w:val="Normal"/></w:pPr>
<w:r><w:t xml:space="preserve">highlands, a rugged mass of mountains forming the largest</w:t></w:r>
</w:p>
<w:p>
<w:pPr><w:pStyle w:val="Normal"/></w:pPr>
<w:r><w:t xml:space="preserve">continuous area of its altitude in the whole continent, little</w:t></w:r>
</w:p>
<w:p>
<w:pPr><w:pStyle w:val="Normal"/></w:pPr>
<w:r><w:t xml:space="preserve">of its surface falling below 5000 ft., while the summits</w:t></w:r>
</w:p>
<w:p>
<w:pPr><w:pStyle w:val="Normal"/></w:pPr>
<w:r><w:t xml:space="preserve">reach heights of 15,000 to 16,000 ft.  This block of country</w:t></w:r>
</w:p>
<w:p>
<w:pPr><w:pStyle w:val="Normal"/></w:pPr>
<w:r><w:t xml:space="preserve">lies just west of the line of the great East African trough,</w:t></w:r>
</w:p>
<w:p>
<w:pPr><w:pStyle w:val="Normal"/></w:pPr>
<w:r><w:t xml:space="preserve">the northern continuation of which passes along its eastern</w:t></w:r>
</w:p>
<w:p>
<w:pPr><w:pStyle w:val="Normal"/></w:pPr>
<w:r><w:t xml:space="preserve">escarpment as it runs up to join the Red Sea. There is,</w:t></w:r>
</w:p>
<w:p>
<w:pPr><w:pStyle w:val="Normal"/></w:pPr>
<w:r><w:t xml:space="preserve">however, in the centre a circular basin occupied by Lake Tsana.</w:t></w:r>
</w:p>
<w:p>
<w:pPr><w:pStyle w:val="Normal"/></w:pPr>
<w:r><w:t xml:space="preserve">Both in the east and west of the continent the bordering</w:t></w:r>
</w:p>
<w:p>
<w:pPr><w:pStyle w:val="Normal"/></w:pPr>
<w:r><w:t xml:space="preserve">highlands are continued as strips of plateau parallel to the</w:t></w:r>
</w:p>
<w:p>
<w:pPr><w:pStyle w:val="Normal"/></w:pPr>
<w:r><w:t xml:space="preserve">coast, the Abyssinian mountains being continued northwards</w:t></w:r>
</w:p>
<w:p>
<w:pPr><w:pStyle w:val="Normal"/></w:pPr>
<w:r><w:t xml:space="preserve">along the Red Sea coast by a series of ridges reaching in</w:t></w:r>
</w:p>
<w:p>
<w:pPr><w:pStyle w:val="Normal"/></w:pPr>
<w:r><w:t xml:space="preserve">places a height of 7000 ft.  In the west the zone of high</w:t></w:r>
</w:p>
<w:p>
<w:pPr><w:pStyle w:val="Normal"/></w:pPr>
<w:r><w:t xml:space="preserve">land is broader but somewhat lower.  The most mountainous</w:t></w:r>
</w:p>
<w:p>
<w:pPr><w:pStyle w:val="Normal"/></w:pPr>
<w:r><w:t xml:space="preserve">districts lie inland from the head of the Gulf of Guinea</w:t></w:r>
</w:p>
<w:p>
<w:pPr><w:pStyle w:val="Normal"/></w:pPr>
<w:r><w:t xml:space="preserve">(Adamawa, &amp;c.), where heights of 6000 to 8000 ft. are</w:t></w:r>
</w:p>
<w:p>
<w:pPr><w:pStyle w:val="Normal"/></w:pPr>
<w:r><w:t xml:space="preserve">reached.  Exactly at the head of the gulf the great peak</w:t></w:r>
</w:p>
<w:p>
<w:pPr><w:pStyle w:val="Normal"/></w:pPr>
<w:r><w:t xml:space="preserve">of the Cameroon, on a line of Volcanic action continued</w:t></w:r>
</w:p>
<w:p>
<w:pPr><w:pStyle w:val="Normal"/></w:pPr>
<w:r><w:t xml:space="preserve">by the islands to the south-west, has a height of 13,370</w:t></w:r>
</w:p>
<w:p>
<w:pPr><w:pStyle w:val="Normal"/></w:pPr>
<w:r><w:t xml:space="preserve">ft., while Clarence Peak, in Fernando Po, the first of the</w:t></w:r>
</w:p>
<w:p>
<w:pPr><w:pStyle w:val="Normal"/></w:pPr>
<w:r><w:t xml:space="preserve">line of islands, rises to over 9000.  Towards the extreme</w:t></w:r>
</w:p>
<w:p>
<w:pPr><w:pStyle w:val="Normal"/></w:pPr>
<w:r><w:t xml:space="preserve">west the Futa Jallon highlands form an important diverging</w:t></w:r>
</w:p>
<w:p>
<w:pPr><w:pStyle w:val="Normal"/></w:pPr>
<w:r><w:t xml:space="preserve">point of rivers, but beyond this, as far as the Atlas</w:t></w:r>
</w:p>
<w:p>
<w:pPr><w:pStyle w:val="Normal"/></w:pPr>
<w:r><w:t xml:space="preserve">chain, the elevated rim of the continent is almost wanting.</w:t></w:r>
</w:p>
<w:p>
<w:pPr><w:pStyle w:val="Normal"/></w:pPr>
<w:r><w:t xml:space="preserve">The area between the east and west coast highlands, which north</w:t></w:r>
</w:p>
<w:p>
<w:pPr><w:pStyle w:val="Normal"/></w:pPr>
<w:r><w:t xml:space="preserve">of 17 deg.  N. is mainly desert, is divided into separate basins by</w:t></w:r>
</w:p>
<w:p>
<w:pPr><w:pStyle w:val="Normal"/></w:pPr>
<w:r><w:t xml:space="preserve">other bands of high ground, one of which runs nearly centrally</w:t></w:r>
</w:p>
<w:p>
<w:pPr><w:pStyle w:val="Normal"/></w:pPr>
<w:r><w:t xml:space="preserve">through North Africa in a line corresponding roughly with the</w:t></w:r>
</w:p>
<w:p>
<w:pPr><w:pStyle w:val="Normal"/></w:pPr>
<w:r><w:t xml:space="preserve">curved axis of the continent as a whole.  The best marked of</w:t></w:r>
</w:p>
<w:p>
<w:pPr><w:pStyle w:val="Normal"/></w:pPr>
<w:r><w:t xml:space="preserve">the basins so formed (the Congo basin) occupies a circular area</w:t></w:r>
</w:p>
<w:p>
<w:pPr><w:pStyle w:val="Normal"/></w:pPr>
<w:r><w:t xml:space="preserve">bisected by the equator, once probably the site of an inland</w:t></w:r>
</w:p>
<w:p>
<w:pPr><w:pStyle w:val="Normal"/></w:pPr>
<w:r><w:t xml:space="preserve">sea.  The arid region, the Sahara--the largest desert in the</w:t></w:r>
</w:p>
<w:p>
<w:pPr><w:pStyle w:val="Normal"/></w:pPr>
<w:r><w:t xml:space="preserve">world, covering 3,500,000 sq. m.--extends from the Atlantic to</w:t></w:r>
</w:p>
<w:p>
<w:pPr><w:pStyle w:val="Normal"/></w:pPr>
<w:r><w:t xml:space="preserve">the Red Sea. Though generally of slight elevation it contains</w:t></w:r>
</w:p>
<w:p>
<w:pPr><w:pStyle w:val="Normal"/></w:pPr>
<w:r><w:t xml:space="preserve">mountain ranges with peaks rising to 8000 ft.  Bordered N.W.</w:t></w:r>
</w:p>
<w:p>
<w:pPr><w:pStyle w:val="Normal"/></w:pPr>
<w:r><w:t xml:space="preserve">by the Atlas range, to the N.E. a rocky plateau separates it</w:t></w:r>
</w:p>
<w:p>
<w:pPr><w:pStyle w:val="Normal"/></w:pPr>
<w:r><w:t xml:space="preserve">from the Mediterranean; this plateau gives place at the extreme</w:t></w:r>
</w:p>
<w:p>
<w:pPr><w:pStyle w:val="Normal"/></w:pPr>
<w:r><w:t xml:space="preserve">east to the delta of the Nile.  That river (see below) pierces</w:t></w:r>
</w:p>
<w:p>
<w:pPr><w:pStyle w:val="Normal"/></w:pPr>
<w:r><w:t xml:space="preserve">the desert without modifying its character.  The Atlas range,</w:t></w:r>
</w:p>
<w:p>
<w:pPr><w:pStyle w:val="Normal"/></w:pPr>
<w:r><w:t xml:space="preserve">the north-westerly part of the continent, between its seaward</w:t></w:r>
</w:p>
<w:p>
<w:pPr><w:pStyle w:val="Normal"/></w:pPr>
<w:r><w:t xml:space="preserve">and landward heights encloses elevated steppes in places 100 m.</w:t></w:r>
</w:p>
<w:p>
<w:pPr><w:pStyle w:val="Normal"/></w:pPr>
<w:r><w:t xml:space="preserve">broad.  From the inner slopes of the plateau numerous wadis</w:t></w:r>
</w:p>
<w:p>
<w:pPr><w:pStyle w:val="Normal"/></w:pPr>
<w:r><w:t xml:space="preserve">take a direction towards the Sahara.  The greater part of that</w:t></w:r>
</w:p>
<w:p>
<w:pPr><w:pStyle w:val="Normal"/></w:pPr>
<w:r><w:t xml:space="preserve">now desert region is, indeed, furrowed by old water-channels.</w:t></w:r>
</w:p>
<w:p>
<w:pPr><w:pStyle w:val="Normal"/></w:pPr>
<w:r><w:t xml:space="preserve">The following table gives the approximate altitudes</w:t></w:r>
</w:p>
<w:p>
<w:pPr><w:pStyle w:val="Normal"/></w:pPr>
<w:r><w:t xml:space="preserve">of the chief mountains and lakes of the continent:--</w:t></w:r>
</w:p>
<w:p>
<w:pPr><w:pStyle w:val="Normal"/></w:pPr>
<w:r><w:t xml:space="preserve">Mountains.             Ft.        Lakes.            Ft.</w:t></w:r>
</w:p>
<w:p>
<w:pPr><w:pStyle w:val="Normal"/></w:pPr>
<w:r><w:t xml:space="preserve">Rungwe (Nyasa)    .    10,400     Chad  .  .  .  .  8502</w:t></w:r>
</w:p>
<w:p>
<w:pPr><w:pStyle w:val="Normal"/></w:pPr>
<w:r><w:t xml:space="preserve">Drakensberg  .    .    10,7002 Leopold II  .  .  1100</w:t></w:r>
</w:p>
<w:p>
<w:pPr><w:pStyle w:val="Normal"/></w:pPr>
<w:r><w:t xml:space="preserve">Lereko or Sattima .    13,2143 Rudolf   .  .  .  1250</w:t></w:r>
</w:p>
<w:p>
<w:pPr><w:pStyle w:val="Normal"/></w:pPr>
<w:r><w:t xml:space="preserve">(Aberdare Range)              Nyasa    .  .  .  16453</w:t></w:r>
</w:p>
<w:p>
<w:pPr><w:pStyle w:val="Normal"/></w:pPr>
<w:r><w:t xml:space="preserve">Cameroon     .    .    13,370     Albert Nyanza  .  20282</w:t></w:r>
</w:p>
<w:p>
<w:pPr><w:pStyle w:val="Normal"/></w:pPr>
<w:r><w:t xml:space="preserve">Elgon   .    .    .    14,1523 Tanganyika  .  .  26243</w:t></w:r>
</w:p>
<w:p>
<w:pPr><w:pStyle w:val="Normal"/></w:pPr>
<w:r><w:t xml:space="preserve">Karissimbi   .    .               Ngami .  .  .  .  2950</w:t></w:r>
</w:p>
<w:p>
<w:pPr><w:pStyle w:val="Normal"/></w:pPr>
<w:r><w:t xml:space="preserve">(Mfumbiro)    .    14,6833 Mweru .  .  .  .  3000</w:t></w:r>
</w:p>
<w:p>
<w:pPr><w:pStyle w:val="Normal"/></w:pPr>
<w:r><w:t xml:space="preserve">Meru    .    .    .    14,9553 Albert Edward  .  30043</w:t></w:r>
</w:p>
<w:p>
<w:pPr><w:pStyle w:val="Normal"/></w:pPr>
<w:r><w:t xml:space="preserve">Taggharat (Atlas) .    15,0002 Bangweulu.  .  .  3700</w:t></w:r>
</w:p>
<w:p>
<w:pPr><w:pStyle w:val="Normal"/></w:pPr>
<w:r><w:t xml:space="preserve">Simen Mountains,  .    15,1602 Victoria Nyanza.  37203</w:t></w:r>
</w:p>
<w:p>
<w:pPr><w:pStyle w:val="Normal"/></w:pPr>
<w:r><w:t xml:space="preserve">Abyssinia                     Abai  .  .  .  .  4200</w:t></w:r>
</w:p>
<w:p>
<w:pPr><w:pStyle w:val="Normal"/></w:pPr>
<w:r><w:t xml:space="preserve">Ruwenzori    .    .    16,6193 Kivu  .  .  .  .  48293</w:t></w:r>
</w:p>
<w:p>
<w:pPr><w:pStyle w:val="Normal"/></w:pPr>
<w:r><w:t xml:space="preserve">Kenya   .    .    .    17,0073 Tsana .  .  .  .  5690</w:t></w:r>
</w:p>
<w:p>
<w:pPr><w:pStyle w:val="Normal"/></w:pPr>
<w:r><w:t xml:space="preserve">Kilimanjaro  .    .    19,3213 Naivasha .  .  .  61353</w:t></w:r>
</w:p>
<w:p>
<w:pPr><w:pStyle w:val="Normal"/></w:pPr>
<w:r><w:t xml:space="preserve">The Hydrographic Systems.---From the outer margin of the</w:t></w:r>
</w:p>
<w:p>
<w:pPr><w:pStyle w:val="Normal"/></w:pPr>
<w:r><w:t xml:space="preserve">African plateaus a large number of streams run to the sea</w:t></w:r>
</w:p>
<w:p>
<w:pPr><w:pStyle w:val="Normal"/></w:pPr>
<w:r><w:t xml:space="preserve">with comparatively short courses, while the larger rivers flow</w:t></w:r>
</w:p>
<w:p>
<w:pPr><w:pStyle w:val="Normal"/></w:pPr>
<w:r><w:t xml:space="preserve">for long distances on the interior highlands before breaking</w:t></w:r>
</w:p>
<w:p>
<w:pPr><w:pStyle w:val="Normal"/></w:pPr>
<w:r><w:t xml:space="preserve">through the outer ranges.  The main drainage of the continent</w:t></w:r>
</w:p>
<w:p>
<w:pPr><w:pStyle w:val="Normal"/></w:pPr>
<w:r><w:t xml:space="preserve">is to the north and west, or towards the basin of the Atlantic</w:t></w:r>
</w:p>
<w:p>
<w:pPr><w:pStyle w:val="Normal"/></w:pPr>
<w:r><w:t xml:space="preserve">Ocean.  The high lake plateau of East Africa contains the</w:t></w:r>
</w:p>
<w:p>
<w:pPr><w:pStyle w:val="Normal"/></w:pPr>
<w:r><w:t xml:space="preserve">head-waters of the Nile and Congo: the former the longest,</w:t></w:r>
</w:p>
<w:p>
<w:pPr><w:pStyle w:val="Normal"/></w:pPr>
<w:r><w:t xml:space="preserve">the latter the largest river of the continent.  The upper</w:t></w:r>
</w:p>
<w:p>
<w:pPr><w:pStyle w:val="Normal"/></w:pPr>
<w:r><w:t xml:space="preserve">Nile receives its chief supplies from the mountainous region</w:t></w:r>
</w:p>
<w:p>
<w:pPr><w:pStyle w:val="Normal"/></w:pPr>
<w:r><w:t xml:space="preserve">adjoining the Central African trough in the neighbourhood</w:t></w:r>
</w:p>
<w:p>
<w:pPr><w:pStyle w:val="Normal"/></w:pPr>
<w:r><w:t xml:space="preserve">of the equator.  Thence streams pour east to the Victoria</w:t></w:r>
</w:p>
<w:p>
<w:pPr><w:pStyle w:val="Normal"/></w:pPr>
<w:r><w:t xml:space="preserve">Nyanza, the largest African lake (covering over 26,000 sq.</w:t></w:r>
</w:p>
<w:p>
<w:pPr><w:pStyle w:val="Normal"/></w:pPr>
<w:r><w:t xml:space="preserve">m.), and west and north to the Albert Edward and Albert</w:t></w:r>
</w:p>
<w:p>
<w:pPr><w:pStyle w:val="Normal"/></w:pPr>
<w:r><w:t xml:space="preserve">Nyanzas, to the latter of which the effluents of the other</w:t></w:r>
</w:p>
<w:p>
<w:pPr><w:pStyle w:val="Normal"/></w:pPr>
<w:r><w:t xml:space="preserve">two lakes add their waters.  Issuing from it the Nile flows</w:t></w:r>
</w:p>
<w:p>
<w:pPr><w:pStyle w:val="Normal"/></w:pPr>
<w:r><w:t xml:space="preserve">north, and between 7 deg.  and 10 deg.  N. traverses a vast marshy</w:t></w:r>
</w:p>
<w:p>
<w:pPr><w:pStyle w:val="Normal"/></w:pPr>
<w:r><w:t xml:space="preserve">level during which its course is liable to blocking by floating</w:t></w:r>
</w:p>
<w:p>
<w:pPr><w:pStyle w:val="Normal"/></w:pPr>
<w:r><w:t xml:space="preserve">vegetation.  After receiving the Bahr-el-Ghazal from the</w:t></w:r>
</w:p>
<w:p>
<w:pPr><w:pStyle w:val="Normal"/></w:pPr>
<w:r><w:t xml:space="preserve">west and the Sobat, Blue Nile and Atbara from the Abyssinian</w:t></w:r>
</w:p>
<w:p>
<w:pPr><w:pStyle w:val="Normal"/></w:pPr>
<w:r><w:t xml:space="preserve">highlands (the chief gathering ground of the flood-water),</w:t></w:r>
</w:p>
<w:p>
<w:pPr><w:pStyle w:val="Normal"/></w:pPr>
<w:r><w:t xml:space="preserve">it crosses the great desert and enters the Mediterranean by</w:t></w:r>
</w:p>
<w:p>
<w:pPr><w:pStyle w:val="Normal"/></w:pPr>
<w:r><w:t xml:space="preserve">a vast delta.  The most remote head-stream of the Congo is</w:t></w:r>
</w:p>
<w:p>
<w:pPr><w:pStyle w:val="Normal"/></w:pPr>
<w:r><w:t xml:space="preserve">the Chambezi, which flows south-west into the marshy Lake</w:t></w:r>
</w:p>
<w:p>
<w:pPr><w:pStyle w:val="Normal"/></w:pPr>
<w:r><w:t xml:space="preserve">Bangweulu.  From this lake issues the Congo, known in its</w:t></w:r>
</w:p>
<w:p>
<w:pPr><w:pStyle w:val="Normal"/></w:pPr>
<w:r><w:t xml:space="preserve">upper course by various names.  Flowing first south, it</w:t></w:r>
</w:p>
<w:p>
<w:pPr><w:pStyle w:val="Normal"/></w:pPr>
<w:r><w:t xml:space="preserve">afterwards turns north through Lake Mweru and descends to the</w:t></w:r>
</w:p>
<w:p>
<w:pPr><w:pStyle w:val="Normal"/></w:pPr>
<w:r><w:t xml:space="preserve">forest-clad basin of west equatorial Africa.  Traversing this</w:t></w:r>
</w:p>
<w:p>
<w:pPr><w:pStyle w:val="Normal"/></w:pPr>
<w:r><w:t xml:space="preserve">in a majestic northward curve and receiving vast supplies of</w:t></w:r>
</w:p>
<w:p>
<w:pPr><w:pStyle w:val="Normal"/></w:pPr>
<w:r><w:t xml:space="preserve">water from many great tributaries, it finally turns south-west</w:t></w:r>
</w:p>
<w:p>
<w:pPr><w:pStyle w:val="Normal"/></w:pPr>
<w:r><w:t xml:space="preserve">and cuts a way to the Atlantic Ocean through the western</w:t></w:r>
</w:p>
<w:p>
<w:pPr><w:pStyle w:val="Normal"/></w:pPr>
<w:r><w:t xml:space="preserve">highlands.  North of the Congo basin and separated from it</w:t></w:r>
</w:p>
<w:p>
<w:pPr><w:pStyle w:val="Normal"/></w:pPr>
<w:r><w:t xml:space="preserve">by a broad undulation of the surface is the basin of Lake</w:t></w:r>
</w:p>
<w:p>
<w:pPr><w:pStyle w:val="Normal"/></w:pPr>
<w:r><w:t xml:space="preserve">Chad---a flat-shored, shallow lake filled principally by the</w:t></w:r>
</w:p>
<w:p>
<w:pPr><w:pStyle w:val="Normal"/></w:pPr>
<w:r><w:t xml:space="preserve">Shad coming from the south-east.  West of this is the basin</w:t></w:r>
</w:p>
<w:p>
<w:pPr><w:pStyle w:val="Normal"/></w:pPr>
<w:r><w:t xml:space="preserve">of the Niger, the third river of Africa, which, though flowing</w:t></w:r>
</w:p>
<w:p>
<w:pPr><w:pStyle w:val="Normal"/></w:pPr>
<w:r><w:t xml:space="preserve">to the Atlantic, has its principal source in the far west,</w:t></w:r>
</w:p>
<w:p>
<w:pPr><w:pStyle w:val="Normal"/></w:pPr>
<w:r><w:t xml:space="preserve">and reverses the direction of flow exhibited by the Nile and</w:t></w:r>
</w:p>
<w:p>
<w:pPr><w:pStyle w:val="Normal"/></w:pPr>
<w:r><w:t xml:space="preserve">Congo.  An important branch, however--the Benue--comes from the</w:t></w:r>
</w:p>
<w:p>
<w:pPr><w:pStyle w:val="Normal"/></w:pPr>
<w:r><w:t xml:space="preserve">south-east.  These four river-basins occupy the greater part</w:t></w:r>
</w:p>
<w:p>
<w:pPr><w:pStyle w:val="Normal"/></w:pPr>
<w:r><w:t xml:space="preserve">of the lower plateaus of North and West Africa, the remainder</w:t></w:r>
</w:p>
<w:p>
<w:pPr><w:pStyle w:val="Normal"/></w:pPr>
<w:r><w:t xml:space="preserve">consisting of arid regions watered only by intermittent streams</w:t></w:r>
</w:p>
<w:p>
<w:pPr><w:pStyle w:val="Normal"/></w:pPr>
<w:r><w:t xml:space="preserve">which do not reach the sea.  Of the remaining rivers of the</w:t></w:r>
</w:p>
<w:p>
<w:pPr><w:pStyle w:val="Normal"/></w:pPr>
<w:r><w:t xml:space="preserve">Atlantic basin the Orange, in the extreme south, brings the</w:t></w:r>
</w:p>
<w:p>
<w:pPr><w:pStyle w:val="Normal"/></w:pPr>
<w:r><w:t xml:space="preserve">drainage from the Drakensberg on the opposite side of the</w:t></w:r>
</w:p>
<w:p>
<w:pPr><w:pStyle w:val="Normal"/></w:pPr>
<w:r><w:t xml:space="preserve">continent, while the Kunene, Kwanza, Ogowe and Sanaga drain</w:t></w:r>
</w:p>
<w:p>
<w:pPr><w:pStyle w:val="Normal"/></w:pPr>
<w:r><w:t xml:space="preserve">the west corst highlands of the southern limb; the Volta,</w:t></w:r>
</w:p>
<w:p>
<w:pPr><w:pStyle w:val="Normal"/></w:pPr>
<w:r><w:t xml:space="preserve">Komoe, Bandama, Gambia and Senegal the highlands of the western</w:t></w:r>
</w:p>
<w:p>
<w:pPr><w:pStyle w:val="Normal"/></w:pPr>
<w:r><w:t xml:space="preserve">limb.  North of the Senegal for over 1000 m. of coast the</w:t></w:r>
</w:p>
<w:p>
<w:pPr><w:pStyle w:val="Normal"/></w:pPr>
<w:r><w:t xml:space="preserve">arid region reaches to the Atlantic.  Farther north are the</w:t></w:r>
</w:p>
<w:p>
<w:pPr><w:pStyle w:val="Normal"/></w:pPr>
<w:r><w:t xml:space="preserve">streams, with comparatively short courses, which reach</w:t></w:r>
</w:p>
<w:p>
<w:pPr><w:pStyle w:val="Normal"/></w:pPr>
<w:r><w:t xml:space="preserve">the Atlantic and Mediterranean from the Atlas mountains.</w:t></w:r>
</w:p>
<w:p>
<w:pPr><w:pStyle w:val="Normal"/></w:pPr>
<w:r><w:t xml:space="preserve">Of the rivers flowing to the Indian Ocean the only one draining</w:t></w:r>
</w:p>
<w:p>
<w:pPr><w:pStyle w:val="Normal"/></w:pPr>
<w:r><w:t xml:space="preserve">any large part of the interior plateaus is the Zambezi,</w:t></w:r>
</w:p>
<w:p>
<w:pPr><w:pStyle w:val="Normal"/></w:pPr>
<w:r><w:t xml:space="preserve">whose western branches rise in the west coast highlands.</w:t></w:r>
</w:p>
<w:p>
<w:pPr><w:pStyle w:val="Normal"/></w:pPr>
<w:r><w:t xml:space="preserve">The main stream has its rise in 11 deg.  21&apos; 3&apos;&apos; S. 24 deg.  22&apos; E.</w:t></w:r>
</w:p>
<w:p>
<w:pPr><w:pStyle w:val="Normal"/></w:pPr>
<w:r><w:t xml:space="preserve">at an elevation of 5000 ft.  It flows west and south for a</w:t></w:r>
</w:p>
<w:p>
<w:pPr><w:pStyle w:val="Normal"/></w:pPr>
<w:r><w:t xml:space="preserve">considerable distance before turning to the east.  All the</w:t></w:r>
</w:p>
<w:p>
<w:pPr><w:pStyle w:val="Normal"/></w:pPr>
<w:r><w:t xml:space="preserve">largest tributaries, including the Shire, the outflow of Lake</w:t></w:r>
</w:p>
<w:p>
<w:pPr><w:pStyle w:val="Normal"/></w:pPr>
<w:r><w:t xml:space="preserve">Nyasa, flow down the southern slopes of the band of high ground</w:t></w:r>
</w:p>
<w:p>
<w:pPr><w:pStyle w:val="Normal"/></w:pPr>
<w:r><w:t xml:space="preserve">which stretches across the conbnent in 10 deg.  to 12 deg.  S. In</w:t></w:r>
</w:p>
<w:p>
<w:pPr><w:pStyle w:val="Normal"/></w:pPr>
<w:r><w:t xml:space="preserve">the south-west the Zambezi system interlaces with that of the</w:t></w:r>
</w:p>
<w:p>
<w:pPr><w:pStyle w:val="Normal"/></w:pPr>
<w:r><w:t xml:space="preserve">Taukhe (or Tioghe), from which it at times receives surplus</w:t></w:r>
</w:p>
<w:p>
<w:pPr><w:pStyle w:val="Normal"/></w:pPr>
<w:r><w:t xml:space="preserve">water.  The rest of the water of the Taukhe, known in its</w:t></w:r>
</w:p>
<w:p>
<w:pPr><w:pStyle w:val="Normal"/></w:pPr>
<w:r><w:t xml:space="preserve">middle course as the Okavango, is lost in a system of swamps</w:t></w:r>
</w:p>
<w:p>
<w:pPr><w:pStyle w:val="Normal"/></w:pPr>
<w:r><w:t xml:space="preserve">and saltpans which formerly centred in Lake Ngami, now dried</w:t></w:r>
</w:p>
<w:p>
<w:pPr><w:pStyle w:val="Normal"/></w:pPr>
<w:r><w:t xml:space="preserve">up.  Farther south the Limpopo drains a portion of the</w:t></w:r>
</w:p>
<w:p>
<w:pPr><w:pStyle w:val="Normal"/></w:pPr>
<w:r><w:t xml:space="preserve">interior plateau but breaks through the bounding highlands</w:t></w:r>
</w:p>
<w:p>
<w:pPr><w:pStyle w:val="Normal"/></w:pPr>
<w:r><w:t xml:space="preserve">on the side of the continent nearest its source.  The Rovuma,</w:t></w:r>
</w:p>
<w:p>
<w:pPr><w:pStyle w:val="Normal"/></w:pPr>
<w:r><w:t xml:space="preserve">Rufiji, Tana, Juba and Webi Shebeli principally drain the</w:t></w:r>
</w:p>
<w:p>
<w:pPr><w:pStyle w:val="Normal"/></w:pPr>
<w:r><w:t xml:space="preserve">outer slopes of the East African highlands, the last named</w:t></w:r>
</w:p>
<w:p>
<w:pPr><w:pStyle w:val="Normal"/></w:pPr>
<w:r><w:t xml:space="preserve">losing itself in the sands in close proximity to the sea.</w:t></w:r>
</w:p>
<w:p>
<w:pPr><w:pStyle w:val="Normal"/></w:pPr>
<w:r><w:t xml:space="preserve">Another large stream, the Hawash, rising in the Abyssinian</w:t></w:r>
</w:p>
<w:p>
<w:pPr><w:pStyle w:val="Normal"/></w:pPr>
<w:r><w:t xml:space="preserve">mountains, is lost in a saline depression near the Gulf of</w:t></w:r>
</w:p>
<w:p>
<w:pPr><w:pStyle w:val="Normal"/></w:pPr>
<w:r><w:t xml:space="preserve">Aden.  Lastly, between the basins of the Atlantic and Indian</w:t></w:r>
</w:p>
<w:p>
<w:pPr><w:pStyle w:val="Normal"/></w:pPr>
<w:r><w:t xml:space="preserve">Oceans there is an area of inland drainage along the centre</w:t></w:r>
</w:p>
<w:p>
<w:pPr><w:pStyle w:val="Normal"/></w:pPr>
<w:r><w:t xml:space="preserve">of the East African plateau, directed chiefly into the lakes</w:t></w:r>
</w:p>
<w:p>
<w:pPr><w:pStyle w:val="Normal"/></w:pPr>
<w:r><w:t xml:space="preserve">in the great rift-valley.  The largest river is the Omo,</w:t></w:r>
</w:p>
<w:p>
<w:pPr><w:pStyle w:val="Normal"/></w:pPr>
<w:r><w:t xml:space="preserve">which, fed by the rains of the Abyssinian highlands, carries</w:t></w:r>
</w:p>
<w:p>
<w:pPr><w:pStyle w:val="Normal"/></w:pPr>
<w:r><w:t xml:space="preserve">down a large body of water into Lake Rudolf.  The rivers</w:t></w:r>
</w:p>
<w:p>
<w:pPr><w:pStyle w:val="Normal"/></w:pPr>
<w:r><w:t xml:space="preserve">of Africa are generally obstructed either by bars at their</w:t></w:r>
</w:p>
<w:p>
<w:pPr><w:pStyle w:val="Normal"/></w:pPr>
<w:r><w:t xml:space="preserve">mouths or by cataracts at no great distance up-stream.</w:t></w:r>
</w:p>
<w:p>
<w:pPr><w:pStyle w:val="Normal"/></w:pPr>
<w:r><w:t xml:space="preserve">But when these obstacles have been overcome the rivers and</w:t></w:r>
</w:p>
<w:p>
<w:pPr><w:pStyle w:val="Normal"/></w:pPr>
<w:r><w:t xml:space="preserve">lakes afford a network of navigable waters of vast extent.</w:t></w:r>
</w:p>
<w:p>
<w:pPr><w:pStyle w:val="Normal"/></w:pPr>
<w:r><w:t xml:space="preserve">The calculation of the areas of African drainage systems,</w:t></w:r>
</w:p>
<w:p>
<w:pPr><w:pStyle w:val="Normal"/></w:pPr>
<w:r><w:t xml:space="preserve">made by Dr A. Bludau (Petermanns Mitteilungen, 43,</w:t></w:r>
</w:p>
<w:p>
<w:pPr><w:pStyle w:val="Normal"/></w:pPr>
<w:r><w:t xml:space="preserve">1897, pp. 184-186) gives the following general results:--</w:t></w:r>
</w:p>
<w:p>
<w:pPr><w:pStyle w:val="Normal"/></w:pPr>
<w:r><w:t xml:space="preserve">Basin of the Atlantic  .  .  .  .  .  4,070,000 sq. m.</w:t></w:r>
</w:p>
<w:p>
<w:pPr><w:pStyle w:val="Normal"/></w:pPr>
<w:r><w:t xml:space="preserve">&apos;&apos;      &apos;&apos;   Mediterranean   .  .  .  1,680,000   &apos;&apos;</w:t></w:r>
</w:p>
<w:p>
<w:pPr><w:pStyle w:val="Normal"/></w:pPr>
<w:r><w:t xml:space="preserve">&apos;&apos;      &apos;&apos;   Indian Ocean .  .  .  .  2,086,000   &apos;&apos;</w:t></w:r>
</w:p>
<w:p>
<w:pPr><w:pStyle w:val="Normal"/></w:pPr>
<w:r><w:t xml:space="preserve">Inland drainage area   .  .  .  .  .  3,452,000   &apos;&apos;</w:t></w:r>
</w:p>
<w:p>
<w:pPr><w:pStyle w:val="Normal"/></w:pPr>
<w:r><w:t xml:space="preserve">The areas of individual river-basins are:--</w:t></w:r>
</w:p>
<w:p>
<w:pPr><w:pStyle w:val="Normal"/></w:pPr>
<w:r><w:t xml:space="preserve">Congo    (length over 3000 m.)  .  .  1,425,000 sq. m.</w:t></w:r>
</w:p>
<w:p>
<w:pPr><w:pStyle w:val="Normal"/></w:pPr>
<w:r><w:t xml:space="preserve">Nile     (  &apos;&apos;  fully 4000 m.)  .  .  1,082,0004 &apos;&apos;</w:t></w:r>
</w:p>
<w:p>
<w:pPr><w:pStyle w:val="Normal"/></w:pPr>
<w:r><w:t xml:space="preserve">Niger    (  &apos;&apos;  about 2600 m.)  .  .  808,0005   &apos;&apos;</w:t></w:r>
</w:p>
<w:p>
<w:pPr><w:pStyle w:val="Normal"/></w:pPr>
<w:r><w:t xml:space="preserve">Zambezi  (  &apos;&apos;   &apos;&apos;   2000 m.)  .  .  513,500     &apos;&apos;</w:t></w:r>
</w:p>
<w:p>
<w:pPr><w:pStyle w:val="Normal"/></w:pPr>
<w:r><w:t xml:space="preserve">Lake Chad  .  .  .  .  .  .  .  .  .  394,000     &apos;&apos;</w:t></w:r>
</w:p>
<w:p>
<w:pPr><w:pStyle w:val="Normal"/></w:pPr>
<w:r><w:t xml:space="preserve">Orange  (length about 1300 m.)  .  .  370,505  &apos;&apos;</w:t></w:r>
</w:p>
<w:p>
<w:pPr><w:pStyle w:val="Normal"/></w:pPr>
<w:r><w:t xml:space="preserve">&apos;&apos;    (actual drainage area)  .  .  172,500     &apos;&apos;</w:t></w:r>
</w:p>
<w:p>
<w:pPr><w:pStyle w:val="Normal"/></w:pPr>
<w:r><w:t xml:space="preserve">The area of the Congo basin is greater than that of any</w:t></w:r>
</w:p>
<w:p>
<w:pPr><w:pStyle w:val="Normal"/></w:pPr>
<w:r><w:t xml:space="preserve">other river except the Amazon, while the African inland</w:t></w:r>
</w:p>
<w:p>
<w:pPr><w:pStyle w:val="Normal"/></w:pPr>
<w:r><w:t xml:space="preserve">drainage area is greater than that of any continent but</w:t></w:r>
</w:p>
<w:p>
<w:pPr><w:pStyle w:val="Normal"/></w:pPr>
<w:r><w:t xml:space="preserve">Asia, in which the corresponding area is 4,000,000 sq. m.</w:t></w:r>
</w:p>
<w:p>
<w:pPr><w:pStyle w:val="Normal"/></w:pPr>
<w:r><w:t xml:space="preserve">The principal African lakes have been mentioned in the description</w:t></w:r>
</w:p>
<w:p>
<w:pPr><w:pStyle w:val="Normal"/></w:pPr>
<w:r><w:t xml:space="preserve">of the East African plateau, but some of the phenomena connected</w:t></w:r>
</w:p>
<w:p>
<w:pPr><w:pStyle w:val="Normal"/></w:pPr>
<w:r><w:t xml:space="preserve">with them may be spoken of more particularly here.  As a rule</w:t></w:r>
</w:p>
<w:p>
<w:pPr><w:pStyle w:val="Normal"/></w:pPr>
<w:r><w:t xml:space="preserve">the lakes which occupy portions of the great rift-valleys have</w:t></w:r>
</w:p>
<w:p>
<w:pPr><w:pStyle w:val="Normal"/></w:pPr>
<w:r><w:t xml:space="preserve">steep sides and are very deep.  This is the case with the two</w:t></w:r>
</w:p>
<w:p>
<w:pPr><w:pStyle w:val="Normal"/></w:pPr>
<w:r><w:t xml:space="preserve">largest of the type, Tanganyika and Nyasa, the latter of which</w:t></w:r>
</w:p>
<w:p>
<w:pPr><w:pStyle w:val="Normal"/></w:pPr>
<w:r><w:t xml:space="preserve">has depths of 430 fathoms.  Others, however, are shallow,</w:t></w:r>
</w:p>
<w:p>
<w:pPr><w:pStyle w:val="Normal"/></w:pPr>
<w:r><w:t xml:space="preserve">and hardly, reach the steep sides of the valleys in the dry</w:t></w:r>
</w:p>
<w:p>
<w:pPr><w:pStyle w:val="Normal"/></w:pPr>
<w:r><w:t xml:space="preserve">season.  Such are Lake Rukwa, in a subsidiary depression north</w:t></w:r>
</w:p>
<w:p>
<w:pPr><w:pStyle w:val="Normal"/></w:pPr>
<w:r><w:t xml:space="preserve">of Nyasa, and Eiassi and Manyara in the system of the eastern</w:t></w:r>
</w:p>
<w:p>
<w:pPr><w:pStyle w:val="Normal"/></w:pPr>
<w:r><w:t xml:space="preserve">rift-valley.  Lakes of the broad type are of moderate depth,</w:t></w:r>
</w:p>
<w:p>
<w:pPr><w:pStyle w:val="Normal"/></w:pPr>
<w:r><w:t xml:space="preserve">the deepest sounding in Victoria Nyanza being under 50</w:t></w:r>
</w:p>
<w:p>
<w:pPr><w:pStyle w:val="Normal"/></w:pPr>
<w:r><w:t xml:space="preserve">fathoms.  Apart from the seasonal variations of level, most</w:t></w:r>
</w:p>
<w:p>
<w:pPr><w:pStyle w:val="Normal"/></w:pPr>
<w:r><w:t xml:space="preserve">of the lakes show periodic fluctuations, while a progressive</w:t></w:r>
</w:p>
<w:p>
<w:pPr><w:pStyle w:val="Normal"/></w:pPr>
<w:r><w:t xml:space="preserve">desiccation of the whole region is said to be traceable,</w:t></w:r>
</w:p>
<w:p>
<w:pPr><w:pStyle w:val="Normal"/></w:pPr>
<w:r><w:t xml:space="preserve">tending to the ultimate disappearance of the lakes.  Such a</w:t></w:r>
</w:p>
<w:p>
<w:pPr><w:pStyle w:val="Normal"/></w:pPr>
<w:r><w:t xml:space="preserve">drying up has been in progress during long geologic ages, but</w:t></w:r>
</w:p>
<w:p>
<w:pPr><w:pStyle w:val="Normal"/></w:pPr>
<w:r><w:t xml:space="preserve">doubt exists as to its practical importance at the present</w:t></w:r>
</w:p>
<w:p>
<w:pPr><w:pStyle w:val="Normal"/></w:pPr>
<w:r><w:t xml:space="preserve">time.  The periodic fluctuations in the level of Lake Tanganyika</w:t></w:r>
</w:p>
<w:p>
<w:pPr><w:pStyle w:val="Normal"/></w:pPr>
<w:r><w:t xml:space="preserve">are such that its outllow is intermittent.  Besides the East</w:t></w:r>
</w:p>
<w:p>
<w:pPr><w:pStyle w:val="Normal"/></w:pPr>
<w:r><w:t xml:space="preserve">African lakes the principal are:---Lake Chad, in the northern</w:t></w:r>
</w:p>
<w:p>
<w:pPr><w:pStyle w:val="Normal"/></w:pPr>
<w:r><w:t xml:space="preserve">area of inland drainage; Bangweulu and Mweru, traversed by the</w:t></w:r>
</w:p>
<w:p>
<w:pPr><w:pStyle w:val="Normal"/></w:pPr>
<w:r><w:t xml:space="preserve">head-stream of the Congo; and Leopold II. and Ntomba (Mantumba),</w:t></w:r>
</w:p>
<w:p>
<w:pPr><w:pStyle w:val="Normal"/></w:pPr>
<w:r><w:t xml:space="preserve">within the great bend of that river.  All, exceot possibly</w:t></w:r>
</w:p>
<w:p>
<w:pPr><w:pStyle w:val="Normal"/></w:pPr>
<w:r><w:t xml:space="preserve">Mweru, are more or less shallow, and Chad appears to by drying</w:t></w:r>
</w:p>
<w:p>
<w:pPr><w:pStyle w:val="Normal"/></w:pPr>
<w:r><w:t xml:space="preserve">up.  The altitudes of the African lakes have already been stated.</w:t></w:r>
</w:p>
<w:p>
<w:pPr><w:pStyle w:val="Normal"/></w:pPr>
<w:r><w:t xml:space="preserve">Divergent opinions have been beld as to the mode of origin</w:t></w:r>
</w:p>
<w:p>
<w:pPr><w:pStyle w:val="Normal"/></w:pPr>
<w:r><w:t xml:space="preserve">of the East African lakes, especially Tanganyika, which some</w:t></w:r>
</w:p>
<w:p>
<w:pPr><w:pStyle w:val="Normal"/></w:pPr>
<w:r><w:t xml:space="preserve">geologists have considered to represent an old arm of the</w:t></w:r>
</w:p>
<w:p>
<w:pPr><w:pStyle w:val="Normal"/></w:pPr>
<w:r><w:t xml:space="preserve">sea, dating from a time when the whole central Congo basin</w:t></w:r>
</w:p>
<w:p>
<w:pPr><w:pStyle w:val="Normal"/></w:pPr>
<w:r><w:t xml:space="preserve">was under water; others holding that the lake water has</w:t></w:r>
</w:p>
<w:p>
<w:pPr><w:pStyle w:val="Normal"/></w:pPr>
<w:r><w:t xml:space="preserve">accumulated in a depression caused by subsidence.  The former</w:t></w:r>
</w:p>
<w:p>
<w:pPr><w:pStyle w:val="Normal"/></w:pPr>
<w:r><w:t xml:space="preserve">view is based on the existence in the lake of organisms</w:t></w:r>
</w:p>
<w:p>
<w:pPr><w:pStyle w:val="Normal"/></w:pPr>
<w:r><w:t xml:space="preserve">of a decidedly marine type.  They include a jelly-fish,</w:t></w:r>
</w:p>
<w:p>
<w:pPr><w:pStyle w:val="Normal"/></w:pPr>
<w:r><w:t xml:space="preserve">molluscs, prawns, crabs, &amp;c., and were at first considered</w:t></w:r>
</w:p>
<w:p>
<w:pPr><w:pStyle w:val="Normal"/></w:pPr>
<w:r><w:t xml:space="preserve">to form an isolated group found in no other of the African</w:t></w:r>
</w:p>
<w:p>
<w:pPr><w:pStyle w:val="Normal"/></w:pPr>
<w:r><w:t xml:space="preserve">lakes; but this supposition has been proved to be erroneous.</w:t></w:r>
</w:p>
<w:p>
<w:pPr><w:pStyle w:val="Normal"/></w:pPr>
<w:r><w:t xml:space="preserve">Islands.--With one exception---Madagascar--the African islands</w:t></w:r>
</w:p>
<w:p>
<w:pPr><w:pStyle w:val="Normal"/></w:pPr>
<w:r><w:t xml:space="preserve">are small.  Madagascar, with an area of 229,820 sq. m., is,</w:t></w:r>
</w:p>
<w:p>
<w:pPr><w:pStyle w:val="Normal"/></w:pPr>
<w:r><w:t xml:space="preserve">after New Guinea and Borneo, the largest island of the world.</w:t></w:r>
</w:p>
<w:p>
<w:pPr><w:pStyle w:val="Normal"/></w:pPr>
<w:r><w:t xml:space="preserve">It lies off the S.E. coast of the continent, from which</w:t></w:r>
</w:p>
<w:p>
<w:pPr><w:pStyle w:val="Normal"/></w:pPr>
<w:r><w:t xml:space="preserve">it is separated by the deep Mozambique channel, 250 m.</w:t></w:r>
</w:p>
<w:p>
<w:pPr><w:pStyle w:val="Normal"/></w:pPr>
<w:r><w:t xml:space="preserve">wide at its narrowest point.  Madagascar in its general</w:t></w:r>
</w:p>
<w:p>
<w:pPr><w:pStyle w:val="Normal"/></w:pPr>
<w:r><w:t xml:space="preserve">structure, as in flora and fauna, forms a connecting link</w:t></w:r>
</w:p>
<w:p>
<w:pPr><w:pStyle w:val="Normal"/></w:pPr>
<w:r><w:t xml:space="preserve">between Africa and southern Asia.  East of Madagascar are</w:t></w:r>
</w:p>
<w:p>
<w:pPr><w:pStyle w:val="Normal"/></w:pPr>
<w:r><w:t xml:space="preserve">the small islands of Mauritius and Reunion.  Sokotra lies</w:t></w:r>
</w:p>
<w:p>
<w:pPr><w:pStyle w:val="Normal"/></w:pPr>
<w:r><w:t xml:space="preserve">E.N.E. of Cape Guardafui.  Off the north-west coast are</w:t></w:r>
</w:p>
<w:p>
<w:pPr><w:pStyle w:val="Normal"/></w:pPr>
<w:r><w:t xml:space="preserve">the Canary and Cape Verde archipelagoes. which, like some</w:t></w:r>
</w:p>
<w:p>
<w:pPr><w:pStyle w:val="Normal"/></w:pPr>
<w:r><w:t xml:space="preserve">small islands in the Gulf of Guinea, are of volcanic origin.</w:t></w:r>
</w:p>
<w:p>
<w:pPr><w:pStyle w:val="Normal"/></w:pPr>
<w:r><w:t xml:space="preserve">Climate and Health.---Lying almost entirely within the</w:t></w:r>
</w:p>
<w:p>
<w:pPr><w:pStyle w:val="Normal"/></w:pPr>
<w:r><w:t xml:space="preserve">tropics, and equally to north and south of the equator,</w:t></w:r>
</w:p>
<w:p>
<w:pPr><w:pStyle w:val="Normal"/></w:pPr>
<w:r><w:t xml:space="preserve">Africa does not show excessive variations of temperature.</w:t></w:r>
</w:p>
<w:p>
<w:pPr><w:pStyle w:val="Normal"/></w:pPr>
<w:r><w:t xml:space="preserve">Great heat is experienced in the lower plains and desert</w:t></w:r>
</w:p>
<w:p>
<w:pPr><w:pStyle w:val="Normal"/></w:pPr>
<w:r><w:t xml:space="preserve">regions of North Africa, removed by the great width of the</w:t></w:r>
</w:p>
<w:p>
<w:pPr><w:pStyle w:val="Normal"/></w:pPr>
<w:r><w:t xml:space="preserve">continent from the influence of the ocean, and here, too,</w:t></w:r>
</w:p>
<w:p>
<w:pPr><w:pStyle w:val="Normal"/></w:pPr>
<w:r><w:t xml:space="preserve">the contrast between day and night, and between summer and</w:t></w:r>
</w:p>
<w:p>
<w:pPr><w:pStyle w:val="Normal"/></w:pPr>
<w:r><w:t xml:space="preserve">winter, is greatest. (The rarity of the air and the great</w:t></w:r>
</w:p>
<w:p>
<w:pPr><w:pStyle w:val="Normal"/></w:pPr>
<w:r><w:t xml:space="preserve">radiation during the night cause the temperature in the Sahara</w:t></w:r>
</w:p>
<w:p>
<w:pPr><w:pStyle w:val="Normal"/></w:pPr>
<w:r><w:t xml:space="preserve">to fall occasionally to freezing point.) Farther south, the</w:t></w:r>
</w:p>
<w:p>
<w:pPr><w:pStyle w:val="Normal"/></w:pPr>
<w:r><w:t xml:space="preserve">heat is to some extent modified by the moisture brought from</w:t></w:r>
</w:p>
<w:p>
<w:pPr><w:pStyle w:val="Normal"/></w:pPr>
<w:r><w:t xml:space="preserve">the ocean, and by the greater elevation of a large part of</w:t></w:r>
</w:p>
<w:p>
<w:pPr><w:pStyle w:val="Normal"/></w:pPr>
<w:r><w:t xml:space="preserve">the surface, especially in East Africa, where the range of</w:t></w:r>
</w:p>
<w:p>
<w:pPr><w:pStyle w:val="Normal"/></w:pPr>
<w:r><w:t xml:space="preserve">temperature is wider than in the Congo basin or on the Guinea</w:t></w:r>
</w:p>
<w:p>
<w:pPr><w:pStyle w:val="Normal"/></w:pPr>
<w:r><w:t xml:space="preserve">coast.  In the extreme north and south the climate is a warm</w:t></w:r>
</w:p>
<w:p>
<w:pPr><w:pStyle w:val="Normal"/></w:pPr>
<w:r><w:t xml:space="preserve">temperate one, the northern countries being on the whole</w:t></w:r>
</w:p>
<w:p>
<w:pPr><w:pStyle w:val="Normal"/></w:pPr>
<w:r><w:t xml:space="preserve">hotter and drier than those in the southern zone; the south</w:t></w:r>
</w:p>
<w:p>
<w:pPr><w:pStyle w:val="Normal"/></w:pPr>
<w:r><w:t xml:space="preserve">of the continent being narrower than the north, the influence</w:t></w:r>
</w:p>
<w:p>
<w:pPr><w:pStyle w:val="Normal"/></w:pPr>
<w:r><w:t xml:space="preserve">of the surrounding ocean is more felt.  The most important</w:t></w:r>
</w:p>
<w:p>
<w:pPr><w:pStyle w:val="Normal"/></w:pPr>
<w:r><w:t xml:space="preserve">climatic differences are due to variations in the amount of</w:t></w:r>
</w:p>
<w:p>
<w:pPr><w:pStyle w:val="Normal"/></w:pPr>
<w:r><w:t xml:space="preserve">rainfall.  The wide heated plains of the Sahara, and in a</w:t></w:r>
</w:p>
<w:p>
<w:pPr><w:pStyle w:val="Normal"/></w:pPr>
<w:r><w:t xml:space="preserve">lesser degree the corresponding zone of the Kalahari in the</w:t></w:r>
</w:p>
<w:p>
<w:pPr><w:pStyle w:val="Normal"/></w:pPr>
<w:r><w:t xml:space="preserve">south, have an exceedingly scanty rainfall, the winds which</w:t></w:r>
</w:p>
<w:p>
<w:pPr><w:pStyle w:val="Normal"/></w:pPr>
<w:r><w:t xml:space="preserve">blow over them from the ocean losing part of their moisture</w:t></w:r>
</w:p>
<w:p>
<w:pPr><w:pStyle w:val="Normal"/></w:pPr>
<w:r><w:t xml:space="preserve">as they pass over the outer highlands, and becoming constantly</w:t></w:r>
</w:p>
<w:p>
<w:pPr><w:pStyle w:val="Normal"/></w:pPr>
<w:r><w:t xml:space="preserve">drier owing to the heating effects of the burning soil of the</w:t></w:r>
</w:p>
<w:p>
<w:pPr><w:pStyle w:val="Normal"/></w:pPr>
<w:r><w:t xml:space="preserve">interior; while the scarcity of mountain ranges in the more</w:t></w:r>
</w:p>
<w:p>
<w:pPr><w:pStyle w:val="Normal"/></w:pPr>
<w:r><w:t xml:space="preserve">central parts likewise tends to prevent condensation.  In</w:t></w:r>
</w:p>
<w:p>
<w:pPr><w:pStyle w:val="Normal"/></w:pPr>
<w:r><w:t xml:space="preserve">the inter-tropical zone of summer precipitation, the rainfall</w:t></w:r>
</w:p>
<w:p>
<w:pPr><w:pStyle w:val="Normal"/></w:pPr>
<w:r><w:t xml:space="preserve">is greatest when the sun is vertical or soon after.  It is</w:t></w:r>
</w:p>
<w:p>
<w:pPr><w:pStyle w:val="Normal"/></w:pPr>
<w:r><w:t xml:space="preserve">therefore greatest of all near the equator, where the sun is</w:t></w:r>
</w:p>
<w:p>
<w:pPr><w:pStyle w:val="Normal"/></w:pPr>
<w:r><w:t xml:space="preserve">twice vertical, and less in the direction of both tropics.</w:t></w:r>
</w:p>
<w:p>
<w:pPr><w:pStyle w:val="Normal"/></w:pPr>
<w:r><w:t xml:space="preserve">The rainfall zones are, however, somewhat deflected from a</w:t></w:r>
</w:p>
<w:p>
<w:pPr><w:pStyle w:val="Normal"/></w:pPr>
<w:r><w:t xml:space="preserve">due west-to-east direction, the drier northern conditions</w:t></w:r>
</w:p>
<w:p>
<w:pPr><w:pStyle w:val="Normal"/></w:pPr>
<w:r><w:t xml:space="preserve">extending southwards along the east coast, and those of the</w:t></w:r>
</w:p>
<w:p>
<w:pPr><w:pStyle w:val="Normal"/></w:pPr>
<w:r><w:t xml:space="preserve">south northwards along the west.  Within the equatorial zone</w:t></w:r>
</w:p>
<w:p>
<w:pPr><w:pStyle w:val="Normal"/></w:pPr>
<w:r><w:t xml:space="preserve">certain areas, especially on the shores of the Gulf of Guinea</w:t></w:r>
</w:p>
<w:p>
<w:pPr><w:pStyle w:val="Normal"/></w:pPr>
<w:r><w:t xml:space="preserve">and in the upper Nile basin, have an intensified rainfall,</w:t></w:r>
</w:p>
<w:p>
<w:pPr><w:pStyle w:val="Normal"/></w:pPr>
<w:r><w:t xml:space="preserve">but this rarely approaches that of the rainiest regions of the</w:t></w:r>
</w:p>
<w:p>
<w:pPr><w:pStyle w:val="Normal"/></w:pPr>
<w:r><w:t xml:space="preserve">world.  The rainiest district in all Africa is a strip of</w:t></w:r>
</w:p>
<w:p>
<w:pPr><w:pStyle w:val="Normal"/></w:pPr>
<w:r><w:t xml:space="preserve">coastland west of Mount Cameroon, where there is a mean</w:t></w:r>
</w:p>
<w:p>
<w:pPr><w:pStyle w:val="Normal"/></w:pPr>
<w:r><w:t xml:space="preserve">annual rainfall of about 390 in. as compared with a mean of</w:t></w:r>
</w:p>
<w:p>
<w:pPr><w:pStyle w:val="Normal"/></w:pPr>
<w:r><w:t xml:space="preserve">458 in. at Cherrapunji, in Assam.  The two distinct rainy</w:t></w:r>
</w:p>
<w:p>
<w:pPr><w:pStyle w:val="Normal"/></w:pPr>
<w:r><w:t xml:space="preserve">seasons of the equatorial zone, where the sun is vertical at</w:t></w:r>
</w:p>
<w:p>
<w:pPr><w:pStyle w:val="Normal"/></w:pPr>
<w:r><w:t xml:space="preserve">half-yearly intervals, become gradually merged into one in</w:t></w:r>
</w:p>
<w:p>
<w:pPr><w:pStyle w:val="Normal"/></w:pPr>
<w:r><w:t xml:space="preserve">the direction of the tropics, where the sun is overhead but</w:t></w:r>
</w:p>
<w:p>
<w:pPr><w:pStyle w:val="Normal"/></w:pPr>
<w:r><w:t xml:space="preserve">once.  Snow falls on all the higher mountain ranges, and on</w:t></w:r>
</w:p>
<w:p>
<w:pPr><w:pStyle w:val="Normal"/></w:pPr>
<w:r><w:t xml:space="preserve">the highest the climate is thoroughly Alpine.  The countries</w:t></w:r>
</w:p>
<w:p>
<w:pPr><w:pStyle w:val="Normal"/></w:pPr>
<w:r><w:t xml:space="preserve">bordering the Sahara are much exposed to a very dry wind, full</w:t></w:r>
</w:p>
<w:p>
<w:pPr><w:pStyle w:val="Normal"/></w:pPr>
<w:r><w:t xml:space="preserve">of fine particles of sand, blowing from the desert towards the</w:t></w:r>
</w:p>
<w:p>
<w:pPr><w:pStyle w:val="Normal"/></w:pPr>
<w:r><w:t xml:space="preserve">sea.  Known in Egypt as the khamsin, on the Mediterranean as the</w:t></w:r>
</w:p>
<w:p>
<w:pPr><w:pStyle w:val="Normal"/></w:pPr>
<w:r><w:t xml:space="preserve">sirocco, it is called on the Guinea coast the harmattan.  This</w:t></w:r>
</w:p>
<w:p>
<w:pPr><w:pStyle w:val="Normal"/></w:pPr>
<w:r><w:t xml:space="preserve">wind is not invariably hot; its great dryness causes so much</w:t></w:r>
</w:p>
<w:p>
<w:pPr><w:pStyle w:val="Normal"/></w:pPr>
<w:r><w:t xml:space="preserve">evaporation that cold is not infrequently the result.  Similar</w:t></w:r>
</w:p>
<w:p>
<w:pPr><w:pStyle w:val="Normal"/></w:pPr>
<w:r><w:t xml:space="preserve">dry winds blow from the Kalahari in the south.  On the eastern</w:t></w:r>
</w:p>
<w:p>
<w:pPr><w:pStyle w:val="Normal"/></w:pPr>
<w:r><w:t xml:space="preserve">coast the monsoons of the Indian Ocean are regularly felt,</w:t></w:r>
</w:p>
<w:p>
<w:pPr><w:pStyle w:val="Normal"/></w:pPr>
<w:r><w:t xml:space="preserve">and on the south-east hurricanes are occasionally experienced.</w:t></w:r>
</w:p>
<w:p>
<w:pPr><w:pStyle w:val="Normal"/></w:pPr>
<w:r><w:t xml:space="preserve">While the climate of the north and south, especially the south,</w:t></w:r>
</w:p>
<w:p>
<w:pPr><w:pStyle w:val="Normal"/></w:pPr>
<w:r><w:t xml:space="preserve">is eminently healthy, and even the intensely heated Sahara is</w:t></w:r>
</w:p>
<w:p>
<w:pPr><w:pStyle w:val="Normal"/></w:pPr>
<w:r><w:t xml:space="preserve">salubrious by reason of its dryness, the tropical zone as a</w:t></w:r>
</w:p>
<w:p>
<w:pPr><w:pStyle w:val="Normal"/></w:pPr>
<w:r><w:t xml:space="preserve">whole is, for European races, the most unhealthy portion of the</w:t></w:r>
</w:p>
<w:p>
<w:pPr><w:pStyle w:val="Normal"/></w:pPr>
<w:r><w:t xml:space="preserve">world.  This is especially the case in the lower and moister</w:t></w:r>
</w:p>
<w:p>
<w:pPr><w:pStyle w:val="Normal"/></w:pPr>
<w:r><w:t xml:space="preserve">regions, such as the west coast, where malarial fever is</w:t></w:r>
</w:p>
<w:p>
<w:pPr><w:pStyle w:val="Normal"/></w:pPr>
<w:r><w:t xml:space="preserve">very prevalent and deadly; the most unfavourable factors</w:t></w:r>
</w:p>
<w:p>
<w:pPr><w:pStyle w:val="Normal"/></w:pPr>
<w:r><w:t xml:space="preserve">being humidity with absence of climatic variation (daily or</w:t></w:r>
</w:p>
<w:p>
<w:pPr><w:pStyle w:val="Normal"/></w:pPr>
<w:r><w:t xml:space="preserve">seasonal).  The higher plateaus, where not only is the average</w:t></w:r>
</w:p>
<w:p>
<w:pPr><w:pStyle w:val="Normal"/></w:pPr>
<w:r><w:t xml:space="preserve">temperature lower, but such variations are more extensive,</w:t></w:r>
</w:p>
<w:p>
<w:pPr><w:pStyle w:val="Normal"/></w:pPr>
<w:r><w:t xml:space="preserve">are more healthy; and in certain localities (e.g. Abyssinia</w:t></w:r>
</w:p>
<w:p>
<w:pPr><w:pStyle w:val="Normal"/></w:pPr>
<w:r><w:t xml:space="preserve">and parts of British East Africa) Europeans find the climate</w:t></w:r>
</w:p>
<w:p>
<w:pPr><w:pStyle w:val="Normal"/></w:pPr>
<w:r><w:t xml:space="preserve">suitable for permanent residence.  On tablelands over 6500</w:t></w:r>
</w:p>
<w:p>
<w:pPr><w:pStyle w:val="Normal"/></w:pPr>
<w:r><w:t xml:space="preserve">ft. above the sea, frost is not uncommon at night, even in</w:t></w:r>
</w:p>
<w:p>
<w:pPr><w:pStyle w:val="Normal"/></w:pPr>
<w:r><w:t xml:space="preserve">places directly under the equator.  The acclimatization of</w:t></w:r>
</w:p>
<w:p>
<w:pPr><w:pStyle w:val="Normal"/></w:pPr>
<w:r><w:t xml:space="preserve">white men in tropical Africa generally is dependent largely</w:t></w:r>
</w:p>
<w:p>
<w:pPr><w:pStyle w:val="Normal"/></w:pPr>
<w:r><w:t xml:space="preserve">on the successful treatment of tropical diseases.  Districts</w:t></w:r>
</w:p>
<w:p>
<w:pPr><w:pStyle w:val="Normal"/></w:pPr>
<w:r><w:t xml:space="preserve">which had been notoriously deadly to Europeans were rendered</w:t></w:r>
</w:p>
<w:p>
<w:pPr><w:pStyle w:val="Normal"/></w:pPr>
<w:r><w:t xml:space="preserve">comparatively healthy after the discovery, in 1899, of the species</w:t></w:r>
</w:p>
<w:p>
<w:pPr><w:pStyle w:val="Normal"/></w:pPr>
<w:r><w:t xml:space="preserve">of mosquito which propagates malarial fever, and the measures</w:t></w:r>
</w:p>
<w:p>
<w:pPr><w:pStyle w:val="Normal"/></w:pPr>
<w:r><w:t xml:space="preserve">thereafter taken for its destruction and the filling up of</w:t></w:r>
</w:p>
<w:p>
<w:pPr><w:pStyle w:val="Normal"/></w:pPr>
<w:r><w:t xml:space="preserve">swamps.  The rate of mortality among the natives from tropical</w:t></w:r>
</w:p>
<w:p>
<w:pPr><w:pStyle w:val="Normal"/></w:pPr>
<w:r><w:t xml:space="preserve">diseases is also high, one of the most fatal being that known</w:t></w:r>
</w:p>
<w:p>
<w:pPr><w:pStyle w:val="Normal"/></w:pPr>
<w:r><w:t xml:space="preserve">as sleeping sickness. (The ravages of this disease, which</w:t></w:r>
</w:p>
<w:p>
<w:pPr><w:pStyle w:val="Normal"/></w:pPr>
<w:r><w:t xml:space="preserve">also attacks Europeans, reached alarming proportions between</w:t></w:r>
</w:p>
<w:p>
<w:pPr><w:pStyle w:val="Normal"/></w:pPr>
<w:r><w:t xml:space="preserve">1893 and 1907, and in the last-named year an international</w:t></w:r>
</w:p>
<w:p>
<w:pPr><w:pStyle w:val="Normal"/></w:pPr>
<w:r><w:t xml:space="preserve">conference was held in London to consider measures to</w:t></w:r>
</w:p>
<w:p>
<w:pPr><w:pStyle w:val="Normal"/></w:pPr>
<w:r><w:t xml:space="preserve">combat it.) When removed to colder regions natives of the</w:t></w:r>
</w:p>
<w:p>
<w:pPr><w:pStyle w:val="Normal"/></w:pPr>
<w:r><w:t xml:space="preserve">equatorial districts suffer greatly from chest complaints.</w:t></w:r>
</w:p>
<w:p>
<w:pPr><w:pStyle w:val="Normal"/></w:pPr>
<w:r><w:t xml:space="preserve">Smallpox also makes great ravages among the negro population.</w:t></w:r>
</w:p>
<w:p>
<w:pPr><w:pStyle w:val="Normal"/></w:pPr>
<w:r><w:t xml:space="preserve">Flora.--The vegetation of Africa follows very closely</w:t></w:r>
</w:p>
<w:p>
<w:pPr><w:pStyle w:val="Normal"/></w:pPr>
<w:r><w:t xml:space="preserve">the distribution of heat and moisture.  The northern and</w:t></w:r>
</w:p>
<w:p>
<w:pPr><w:pStyle w:val="Normal"/></w:pPr>
<w:r><w:t xml:space="preserve">southern temperate zones have a flora distinct from that</w:t></w:r>
</w:p>
<w:p>
<w:pPr><w:pStyle w:val="Normal"/></w:pPr>
<w:r><w:t xml:space="preserve">of the continent generally, which is tropical.  In the</w:t></w:r>
</w:p>
<w:p>
<w:pPr><w:pStyle w:val="Normal"/></w:pPr>
<w:r><w:t xml:space="preserve">countries bordering the Mediterranean are groves of oranges</w:t></w:r>
</w:p>
<w:p>
<w:pPr><w:pStyle w:val="Normal"/></w:pPr>
<w:r><w:t xml:space="preserve">and olive trees, evergreen oaks, cork trees and pines,</w:t></w:r>
</w:p>
<w:p>
<w:pPr><w:pStyle w:val="Normal"/></w:pPr>
<w:r><w:t xml:space="preserve">intermixed with cypresses, myrtles, arbutus and fragrant</w:t></w:r>
</w:p>
<w:p>
<w:pPr><w:pStyle w:val="Normal"/></w:pPr>
<w:r><w:t xml:space="preserve">tree-heaths.  South of the Atlas range the conditions</w:t></w:r>
</w:p>
<w:p>
<w:pPr><w:pStyle w:val="Normal"/></w:pPr>
<w:r><w:t xml:space="preserve">alter.  The zones of minimum rainfall have a very scanty</w:t></w:r>
</w:p>
<w:p>
<w:pPr><w:pStyle w:val="Normal"/></w:pPr>
<w:r><w:t xml:space="preserve">flora, consisting of plants adapted to resist the great</w:t></w:r>
</w:p>
<w:p>
<w:pPr><w:pStyle w:val="Normal"/></w:pPr>
<w:r><w:t xml:space="preserve">dryness.  Characteristic of the Sahara is the date-palm,</w:t></w:r>
</w:p>
<w:p>
<w:pPr><w:pStyle w:val="Normal"/></w:pPr>
<w:r><w:t xml:space="preserve">which flourishes where other vegetation can scarcely maintain</w:t></w:r>
</w:p>
<w:p>
<w:pPr><w:pStyle w:val="Normal"/></w:pPr>
<w:r><w:t xml:space="preserve">existence, while in the semidesert regions the acacia (whence</w:t></w:r>
</w:p>
<w:p>
<w:pPr><w:pStyle w:val="Normal"/></w:pPr>
<w:r><w:t xml:space="preserve">is obtained gum-arabic) is abundant.  The more humid regions</w:t></w:r>
</w:p>
<w:p>
<w:pPr><w:pStyle w:val="Normal"/></w:pPr>
<w:r><w:t xml:space="preserve">have a richer vegetation --dense forest where the rainfall</w:t></w:r>
</w:p>
<w:p>
<w:pPr><w:pStyle w:val="Normal"/></w:pPr>
<w:r><w:t xml:space="preserve">is greatest and variations of temperature least, conditions</w:t></w:r>
</w:p>
<w:p>
<w:pPr><w:pStyle w:val="Normal"/></w:pPr>
<w:r><w:t xml:space="preserve">found chiefly on the tropical coasts, and in the west African</w:t></w:r>
</w:p>
<w:p>
<w:pPr><w:pStyle w:val="Normal"/></w:pPr>
<w:r><w:t xml:space="preserve">equatorial basin with its extension towards the upper Nile;</w:t></w:r>
</w:p>
<w:p>
<w:pPr><w:pStyle w:val="Normal"/></w:pPr>
<w:r><w:t xml:space="preserve">and savanna interspersed with trees on the greater part of the</w:t></w:r>
</w:p>
<w:p>
<w:pPr><w:pStyle w:val="Normal"/></w:pPr>
<w:r><w:t xml:space="preserve">plateaus, passing as the desert regions are approached into a</w:t></w:r>
</w:p>
<w:p>
<w:pPr><w:pStyle w:val="Normal"/></w:pPr>
<w:r><w:t xml:space="preserve">scrub vegetation consisting of thorny acacias, &amp;c. Forests also</w:t></w:r>
</w:p>
<w:p>
<w:pPr><w:pStyle w:val="Normal"/></w:pPr>
<w:r><w:t xml:space="preserve">occur on the humid slopes of mountain ranges up to a certain</w:t></w:r>
</w:p>
<w:p>
<w:pPr><w:pStyle w:val="Normal"/></w:pPr>
<w:r><w:t xml:space="preserve">elevation.  In the coast regions the typical tree is the</w:t></w:r>
</w:p>
<w:p>
<w:pPr><w:pStyle w:val="Normal"/></w:pPr>
<w:r><w:t xml:space="preserve">mangrove, which flourishes wherever the soil is of a swamp</w:t></w:r>
</w:p>
<w:p>
<w:pPr><w:pStyle w:val="Normal"/></w:pPr>
<w:r><w:t xml:space="preserve">character.  The dense forests of West Africa contain, in</w:t></w:r>
</w:p>
<w:p>
<w:pPr><w:pStyle w:val="Normal"/></w:pPr>
<w:r><w:t xml:space="preserve">addition to a great variety of dicotyledonous trees, two</w:t></w:r>
</w:p>
<w:p>
<w:pPr><w:pStyle w:val="Normal"/></w:pPr>
<w:r><w:t xml:space="preserve">palms, the Elaeis guincensis (oil-palm) and Raphia</w:t></w:r>
</w:p>
<w:p>
<w:pPr><w:pStyle w:val="Normal"/></w:pPr>
<w:r><w:t xml:space="preserve">vinifera (bamboo-palm), not found, generally speaking, in</w:t></w:r>
</w:p>
<w:p>
<w:pPr><w:pStyle w:val="Normal"/></w:pPr>
<w:r><w:t xml:space="preserve">the savanna regions.  The bombax or silk-cotton tree attains</w:t></w:r>
</w:p>
<w:p>
<w:pPr><w:pStyle w:val="Normal"/></w:pPr>
<w:r><w:t xml:space="preserve">gigantic proportions in the forests, which are the home of</w:t></w:r>
</w:p>
<w:p>
<w:pPr><w:pStyle w:val="Normal"/></w:pPr>
<w:r><w:t xml:space="preserve">the indiarubber-producing plants and of many valuable kinds</w:t></w:r>
</w:p>
<w:p>
<w:pPr><w:pStyle w:val="Normal"/></w:pPr>
<w:r><w:t xml:space="preserve">of timber trees, such as odum (Chlorophora excelsa),</w:t></w:r>
</w:p>
<w:p>
<w:pPr><w:pStyle w:val="Normal"/></w:pPr>
<w:r><w:t xml:space="preserve">ebony, mahogany (Khaya senegalensis), African teak or</w:t></w:r>
</w:p>
<w:p>
<w:pPr><w:pStyle w:val="Normal"/></w:pPr>
<w:r><w:t xml:space="preserve">oak (Oldfieldia africana) and camwood (Baphia nitida.)</w:t></w:r>
</w:p>
<w:p>
<w:pPr><w:pStyle w:val="Normal"/></w:pPr>
<w:r><w:t xml:space="preserve">The climbing plants in the tropical forests are exceedingly</w:t></w:r>
</w:p>
<w:p>
<w:pPr><w:pStyle w:val="Normal"/></w:pPr>
<w:r><w:t xml:space="preserve">luxuriant and the undergrowth or ``bush&apos;&apos; is extremely</w:t></w:r>
</w:p>
<w:p>
<w:pPr><w:pStyle w:val="Normal"/></w:pPr>
<w:r><w:t xml:space="preserve">dense.  In the savannas the most characteristic trees are</w:t></w:r>
</w:p>
<w:p>
<w:pPr><w:pStyle w:val="Normal"/></w:pPr>
<w:r><w:t xml:space="preserve">the monkey bread tree or baobab (Adanisonia digitata), doom</w:t></w:r>
</w:p>
<w:p>
<w:pPr><w:pStyle w:val="Normal"/></w:pPr>
<w:r><w:t xml:space="preserve">palm (Hyphaene) and euphorbias.  The coffee plant grows</w:t></w:r>
</w:p>
<w:p>
<w:pPr><w:pStyle w:val="Normal"/></w:pPr>
<w:r><w:t xml:space="preserve">wild in such widely separated places as Liberia and southern</w:t></w:r>
</w:p>
<w:p>
<w:pPr><w:pStyle w:val="Normal"/></w:pPr>
<w:r><w:t xml:space="preserve">Abyssinia.  The higher mountains have a special flora</w:t></w:r>
</w:p>
<w:p>
<w:pPr><w:pStyle w:val="Normal"/></w:pPr>
<w:r><w:t xml:space="preserve">showing close agreement over wide intervals of space, as</w:t></w:r>
</w:p>
<w:p>
<w:pPr><w:pStyle w:val="Normal"/></w:pPr>
<w:r><w:t xml:space="preserve">well as affinities with the mountain flora of the eastern</w:t></w:r>
</w:p>
<w:p>
<w:pPr><w:pStyle w:val="Normal"/></w:pPr>
<w:r><w:t xml:space="preserve">Mediterranean, the Himalayas and Indo-China (cf. A. Engler,</w:t></w:r>
</w:p>
<w:p>
<w:pPr><w:pStyle w:val="Normal"/></w:pPr>
<w:r><w:t xml:space="preserve">Uber die Hochgebirgsflora des tropischen Afrika, 1892).</w:t></w:r>
</w:p>
<w:p>
<w:pPr><w:pStyle w:val="Normal"/></w:pPr>
<w:r><w:t xml:space="preserve">In the swamp regions of north-east Africa the papyrus and</w:t></w:r>
</w:p>
<w:p>
<w:pPr><w:pStyle w:val="Normal"/></w:pPr>
<w:r><w:t xml:space="preserve">associated plants, including the soft-wooded ambach, flourish</w:t></w:r>
</w:p>
<w:p>
<w:pPr><w:pStyle w:val="Normal"/></w:pPr>
<w:r><w:t xml:space="preserve">in immense quantities---and little else is found in the way of</w:t></w:r>
</w:p>
<w:p>
<w:pPr><w:pStyle w:val="Normal"/></w:pPr>
<w:r><w:t xml:space="preserve">vegetation.  South Africa is largely destitute of forest</w:t></w:r>
</w:p>
<w:p>
<w:pPr><w:pStyle w:val="Normal"/></w:pPr>
<w:r><w:t xml:space="preserve">save in the lower valleys and coast regions.  Tropical flora</w:t></w:r>
</w:p>
<w:p>
<w:pPr><w:pStyle w:val="Normal"/></w:pPr>
<w:r><w:t xml:space="preserve">disappears, and in the semi-desert plains the fleshy, leafless,</w:t></w:r>
</w:p>
<w:p>
<w:pPr><w:pStyle w:val="Normal"/></w:pPr>
<w:r><w:t xml:space="preserve">contorted species of kapsias, mesembryanthemums, aloes and</w:t></w:r>
</w:p>
<w:p>
<w:pPr><w:pStyle w:val="Normal"/></w:pPr>
<w:r><w:t xml:space="preserve">other succulent plants make their appearance.  There are, too,</w:t></w:r>
</w:p>
<w:p>
<w:pPr><w:pStyle w:val="Normal"/></w:pPr>
<w:r><w:t xml:space="preserve">valuable timber trees, such as the yellow pine (Podocarpus</w:t></w:r>
</w:p>
<w:p>
<w:pPr><w:pStyle w:val="Normal"/></w:pPr>
<w:r><w:t xml:space="preserve">elongatus), stinkwood (Ocotea), sneezewood or Cape ebony</w:t></w:r>
</w:p>
<w:p>
<w:pPr><w:pStyle w:val="Normal"/></w:pPr>
<w:r><w:t xml:space="preserve">(Pteroxylon utile) and ironwood.  Extensive miniature woods</w:t></w:r>
</w:p>
<w:p>
<w:pPr><w:pStyle w:val="Normal"/></w:pPr>
<w:r><w:t xml:space="preserve">of heaths are found in almost endless variety and covered</w:t></w:r>
</w:p>
<w:p>
<w:pPr><w:pStyle w:val="Normal"/></w:pPr>
<w:r><w:t xml:space="preserve">throughout the greater part of the year with innumerable</w:t></w:r>
</w:p>
<w:p>
<w:pPr><w:pStyle w:val="Normal"/></w:pPr>
<w:r><w:t xml:space="preserve">blossoms in which red is very prevalent.  Of the grasses of</w:t></w:r>
</w:p>
<w:p>
<w:pPr><w:pStyle w:val="Normal"/></w:pPr>
<w:r><w:t xml:space="preserve">Africa alfa is very abundant in the plateaus of the Atlas range.</w:t></w:r>
</w:p>
<w:p>
<w:pPr><w:pStyle w:val="Normal"/></w:pPr>
<w:r><w:t xml:space="preserve">Fauna.--The fauna again shows the effect of the characteristics</w:t></w:r>
</w:p>
<w:p>
<w:pPr><w:pStyle w:val="Normal"/></w:pPr>
<w:r><w:t xml:space="preserve">of the vegetation.  The open savannas are the home of large</w:t></w:r>
</w:p>
<w:p>
<w:pPr><w:pStyle w:val="Normal"/></w:pPr>
<w:r><w:t xml:space="preserve">ungulates, especially antelopes, the giraffe (peculiar to</w:t></w:r>
</w:p>
<w:p>
<w:pPr><w:pStyle w:val="Normal"/></w:pPr>
<w:r><w:t xml:space="preserve">Africa), zebra, buffalo, wild ass and four species of</w:t></w:r>
</w:p>
<w:p>
<w:pPr><w:pStyle w:val="Normal"/></w:pPr>
<w:r><w:t xml:space="preserve">rhinoceros; and of carnivores, such as the lion, leopard,</w:t></w:r>
</w:p>
<w:p>
<w:pPr><w:pStyle w:val="Normal"/></w:pPr>
<w:r><w:t xml:space="preserve">hyaena, &amp;c. The okapi (a genus restricted to Africa) is</w:t></w:r>
</w:p>
<w:p>
<w:pPr><w:pStyle w:val="Normal"/></w:pPr>
<w:r><w:t xml:space="preserve">found only in the dense forests of the Congo basin.  Bears</w:t></w:r>
</w:p>
<w:p>
<w:pPr><w:pStyle w:val="Normal"/></w:pPr>
<w:r><w:t xml:space="preserve">are confined to the Atlas region, wolves and foxes to North</w:t></w:r>
</w:p>
<w:p>
<w:pPr><w:pStyle w:val="Normal"/></w:pPr>
<w:r><w:t xml:space="preserve">Africa.  The elephant (though its range has become restricted</w:t></w:r>
</w:p>
<w:p>
<w:pPr><w:pStyle w:val="Normal"/></w:pPr>
<w:r><w:t xml:space="preserve">through the attacks of hunters) is found both in the savannas</w:t></w:r>
</w:p>
<w:p>
<w:pPr><w:pStyle w:val="Normal"/></w:pPr>
<w:r><w:t xml:space="preserve">and forest regions, the latter being otherwise poor in large</w:t></w:r>
</w:p>
<w:p>
<w:pPr><w:pStyle w:val="Normal"/></w:pPr>
<w:r><w:t xml:space="preserve">game, though the special habitat of the chimpanzee and gorilla.</w:t></w:r>
</w:p>
<w:p>
<w:pPr><w:pStyle w:val="Normal"/></w:pPr>
<w:r><w:t xml:space="preserve">Baboons and mandrills, with few exceptions, are peculiar to</w:t></w:r>
</w:p>
<w:p>
<w:pPr><w:pStyle w:val="Normal"/></w:pPr>
<w:r><w:t xml:space="preserve">Africa.  The single-humped camel--as a domestic animal--is</w:t></w:r>
</w:p>
<w:p>
<w:pPr><w:pStyle w:val="Normal"/></w:pPr>
<w:r><w:t xml:space="preserve">especially characteristic of the northern deserts and steppes.</w:t></w:r>
</w:p>
<w:p>
<w:pPr><w:pStyle w:val="Normal"/></w:pPr>
<w:r><w:t xml:space="preserve">The rivers in the tropical zone abound with hippopotami and</w:t></w:r>
</w:p>
<w:p>
<w:pPr><w:pStyle w:val="Normal"/></w:pPr>
<w:r><w:t xml:space="preserve">crocodiles, the former entirely confined to Africa.  The vast</w:t></w:r>
</w:p>
<w:p>
<w:pPr><w:pStyle w:val="Normal"/></w:pPr>
<w:r><w:t xml:space="preserve">herds of game, formerly so characteristic of many parts of Africa,</w:t></w:r>
</w:p>
<w:p>
<w:pPr><w:pStyle w:val="Normal"/></w:pPr>
<w:r><w:t xml:space="preserve">have much diminished with the increase of intercourse with the</w:t></w:r>
</w:p>
<w:p>
<w:pPr><w:pStyle w:val="Normal"/></w:pPr>
<w:r><w:t xml:space="preserve">interior.  Game reserves have, however, been established in South</w:t></w:r>
</w:p>
<w:p>
<w:pPr><w:pStyle w:val="Normal"/></w:pPr>
<w:r><w:t xml:space="preserve">Africa, British Central Africa, British East Africa, Somahland,</w:t></w:r>
</w:p>
<w:p>
<w:pPr><w:pStyle w:val="Normal"/></w:pPr>
<w:r><w:t xml:space="preserve">&amp;c., while measures for the protection of wild animals were</w:t></w:r>
</w:p>
<w:p>
<w:pPr><w:pStyle w:val="Normal"/></w:pPr>
<w:r><w:t xml:space="preserve">laid down in an international convention signed in May 1900.</w:t></w:r>
</w:p>
<w:p>
<w:pPr><w:pStyle w:val="Normal"/></w:pPr>
<w:r><w:t xml:space="preserve">The ornithology of northern Affica presents a close resemblance</w:t></w:r>
</w:p>
<w:p>
<w:pPr><w:pStyle w:val="Normal"/></w:pPr>
<w:r><w:t xml:space="preserve">to that of southern Europe, scarcely a species being found</w:t></w:r>
</w:p>
<w:p>
<w:pPr><w:pStyle w:val="Normal"/></w:pPr>
<w:r><w:t xml:space="preserve">which does not also occur in the other countries bordering the</w:t></w:r>
</w:p>
<w:p>
<w:pPr><w:pStyle w:val="Normal"/></w:pPr>
<w:r><w:t xml:space="preserve">Mediterranean.  Among the birds most characteristic of Africa</w:t></w:r>
</w:p>
<w:p>
<w:pPr><w:pStyle w:val="Normal"/></w:pPr>
<w:r><w:t xml:space="preserve">are the ostrich and the secretary-bird.  The ostrich is widely</w:t></w:r>
</w:p>
<w:p>
<w:pPr><w:pStyle w:val="Normal"/></w:pPr>
<w:r><w:t xml:space="preserve">dispersed, but is found chiefly in the desert and steppe</w:t></w:r>
</w:p>
<w:p>
<w:pPr><w:pStyle w:val="Normal"/></w:pPr>
<w:r><w:t xml:space="preserve">regions.  The secretary-bird is common in the south.  The weaver</w:t></w:r>
</w:p>
<w:p>
<w:pPr><w:pStyle w:val="Normal"/></w:pPr>
<w:r><w:t xml:space="preserve">birds and their allies, including the long-tailed whydahs,</w:t></w:r>
</w:p>
<w:p>
<w:pPr><w:pStyle w:val="Normal"/></w:pPr>
<w:r><w:t xml:space="preserve">are abundant, as are, among game-birds, the francolin and</w:t></w:r>
</w:p>
<w:p>
<w:pPr><w:pStyle w:val="Normal"/></w:pPr>
<w:r><w:t xml:space="preserve">guinea-fowl.  Nany of the smaller birds, such as the sun-birds,</w:t></w:r>
</w:p>
<w:p>
<w:pPr><w:pStyle w:val="Normal"/></w:pPr>
<w:r><w:t xml:space="preserve">bee-eaters, the parrots and halcyons, as well as the larger</w:t></w:r>
</w:p>
<w:p>
<w:pPr><w:pStyle w:val="Normal"/></w:pPr>
<w:r><w:t xml:space="preserve">plantain-eaters, are noted for the brilliance of their</w:t></w:r>
</w:p>
<w:p>
<w:pPr><w:pStyle w:val="Normal"/></w:pPr>
<w:r><w:t xml:space="preserve">plumage.  Of reptiles the lizard and chameleon are common, and</w:t></w:r>
</w:p>
<w:p>
<w:pPr><w:pStyle w:val="Normal"/></w:pPr>
<w:r><w:t xml:space="preserve">there are a number of venomous serpents, though these are not</w:t></w:r>
</w:p>
<w:p>
<w:pPr><w:pStyle w:val="Normal"/></w:pPr>
<w:r><w:t xml:space="preserve">so numerous as in other tropical countries.  The scorpion is</w:t></w:r>
</w:p>
<w:p>
<w:pPr><w:pStyle w:val="Normal"/></w:pPr>
<w:r><w:t xml:space="preserve">abundant.  Of insects Africa has many thousand different</w:t></w:r>
</w:p>
<w:p>
<w:pPr><w:pStyle w:val="Normal"/></w:pPr>
<w:r><w:t xml:space="preserve">kinds; of these the locust is the proverbial scourge of the</w:t></w:r>
</w:p>
<w:p>
<w:pPr><w:pStyle w:val="Normal"/></w:pPr>
<w:r><w:t xml:space="preserve">continent, and the ravages of the termites or white ants</w:t></w:r>
</w:p>
<w:p>
<w:pPr><w:pStyle w:val="Normal"/></w:pPr>
<w:r><w:t xml:space="preserve">are almost incredible.  The spread of malaria by means of</w:t></w:r>
</w:p>
<w:p>
<w:pPr><w:pStyle w:val="Normal"/></w:pPr>
<w:r><w:t xml:space="preserve">mosquitoes has already been mentioned.  The tsetse fly,</w:t></w:r>
</w:p>
<w:p>
<w:pPr><w:pStyle w:val="Normal"/></w:pPr>
<w:r><w:t xml:space="preserve">whose bite is fatal to all domestic animals, is common</w:t></w:r>
</w:p>
<w:p>
<w:pPr><w:pStyle w:val="Normal"/></w:pPr>
<w:r><w:t xml:space="preserve">in many districts of South and East Africa.  Fortunately</w:t></w:r>
</w:p>
<w:p>
<w:pPr><w:pStyle w:val="Normal"/></w:pPr>
<w:r><w:t xml:space="preserve">it is found nowhere outside Africa. (E. HE.; F. R. C.)</w:t></w:r>
</w:p>
<w:p>
<w:pPr><w:pStyle w:val="Normal"/></w:pPr>
<w:r><w:t xml:space="preserve">1 With the islands, 11,498,000 sq. m.</w:t></w:r>
</w:p>
<w:p>
<w:pPr><w:pStyle w:val="Normal"/></w:pPr>
<w:r><w:t xml:space="preserve">2 Estimated.</w:t></w:r>
</w:p>
<w:p>
<w:pPr><w:pStyle w:val="Normal"/></w:pPr>
<w:r><w:t xml:space="preserve">3 See the calculations of Capt.  T. T.</w:t></w:r>
</w:p>
<w:p>
<w:pPr><w:pStyle w:val="Normal"/></w:pPr>
<w:r><w:t xml:space="preserve">Behrens, Geog.  Journal, vol. xxix. (1907).</w:t></w:r>
</w:p>
<w:p>
<w:pPr><w:pStyle w:val="Normal"/></w:pPr>
<w:r><w:t xml:space="preserve">4 The estimate of Capt.  H. G. Lyons in 1905 was 1,107,227 sq. mi.</w:t></w:r>
</w:p>
<w:p>
<w:pPr><w:pStyle w:val="Normal"/></w:pPr>
<w:r><w:t xml:space="preserve">5 including waterless tracts naturally belonging to the river-basin.</w:t></w:r>
</w:p>
<w:p>
<w:pPr><w:pStyle w:val="Heading1"/></w:pPr>
<w:r><w:t>II. GEOLOGY</w:t></w:r>
</w:p>
<w:p>
<w:pPr><w:pStyle w:val="Normal"/></w:pPr>
<w:r><w:t xml:space="preserve">In shape and general geological structure Africa bears</w:t></w:r>
</w:p>
<w:p>
<w:pPr><w:pStyle w:val="Normal"/></w:pPr>
<w:r><w:t xml:space="preserve">a close resemblance to India.  Both possess a meridional</w:t></w:r>
</w:p>
<w:p>
<w:pPr><w:pStyle w:val="Normal"/></w:pPr>
<w:r><w:t xml:space="preserve">extension with a broad east and west folded region in the</w:t></w:r>
</w:p>
<w:p>
<w:pPr><w:pStyle w:val="Normal"/></w:pPr>
<w:r><w:t xml:space="preserve">north.  In both a successive series of continental deposits,</w:t></w:r>
</w:p>
<w:p>
<w:pPr><w:pStyle w:val="Normal"/></w:pPr>
<w:r><w:t xml:space="preserve">ranging from the Carboniferous to the Rhaetic, rests on an</w:t></w:r>
</w:p>
<w:p>
<w:pPr><w:pStyle w:val="Normal"/></w:pPr>
<w:r><w:t xml:space="preserve">older base of crystalline rocks.  In the words of Professor</w:t></w:r>
</w:p>
<w:p>
<w:pPr><w:pStyle w:val="Normal"/></w:pPr>
<w:r><w:t xml:space="preserve">Suess, ``India and Africa are true plateau countries.&apos;&apos;</w:t></w:r>
</w:p>
<w:p>
<w:pPr><w:pStyle w:val="Normal"/></w:pPr>
<w:r><w:t xml:space="preserve">Of the primitive axes of Africa few traces remain.  Both on</w:t></w:r>
</w:p>
<w:p>
<w:pPr><w:pStyle w:val="Normal"/></w:pPr>
<w:r><w:t xml:space="preserve">the east and west a broad zone of crystalline rochs extends</w:t></w:r>
</w:p>
<w:p>
<w:pPr><w:pStyle w:val="Normal"/></w:pPr>
<w:r><w:t xml:space="preserve">parallel with the coast-line to form the margin of the elevated</w:t></w:r>
</w:p>
<w:p>
<w:pPr><w:pStyle w:val="Normal"/></w:pPr>
<w:r><w:t xml:space="preserve">plateau of the interior.  Occasionally the crystalline belt</w:t></w:r>
</w:p>
<w:p>
<w:pPr><w:pStyle w:val="Normal"/></w:pPr>
<w:r><w:t xml:space="preserve">comes to the coast, but it is usually reached by two steps known</w:t></w:r>
</w:p>
<w:p>
<w:pPr><w:pStyle w:val="Normal"/></w:pPr>
<w:r><w:t xml:space="preserve">as the coastal belt and foot-plateau.  On the flanks of the</w:t></w:r>
</w:p>
<w:p>
<w:pPr><w:pStyle w:val="Normal"/></w:pPr>
<w:r><w:t xml:space="preserve">primitive western axis certain ancient sedimentary strata are</w:t></w:r>
</w:p>
<w:p>
<w:pPr><w:pStyle w:val="Normal"/></w:pPr>
<w:r><w:t xml:space="preserve">thrown into folds which were completed before the commencement</w:t></w:r>
</w:p>
<w:p>
<w:pPr><w:pStyle w:val="Normal"/></w:pPr>
<w:r><w:t xml:space="preserve">of the mesozoic period.  In the south, the later palaeozoic</w:t></w:r>
</w:p>
<w:p>
<w:pPr><w:pStyle w:val="Normal"/></w:pPr>
<w:r><w:t xml:space="preserve">rocks are also thrown into acute folds by a movement acting</w:t></w:r>
</w:p>
<w:p>
<w:pPr><w:pStyle w:val="Normal"/></w:pPr>
<w:r><w:t xml:space="preserve">from the south, and which ceased towards the close of the</w:t></w:r>
</w:p>
<w:p>
<w:pPr><w:pStyle w:val="Normal"/></w:pPr>
<w:r><w:t xml:space="preserve">mesozoic period.  In northern Africa the folded region of the</w:t></w:r>
</w:p>
<w:p>
<w:pPr><w:pStyle w:val="Normal"/></w:pPr>
<w:r><w:t xml:space="preserve">Atlas belongs to the comparatively recent date of the Alpine</w:t></w:r>
</w:p>
<w:p>
<w:pPr><w:pStyle w:val="Normal"/></w:pPr>
<w:r><w:t xml:space="preserve">system.  None of these earth movements affected the interior,</w:t></w:r>
</w:p>
<w:p>
<w:pPr><w:pStyle w:val="Normal"/></w:pPr>
<w:r><w:t xml:space="preserve">for here the continental mesozoic deposits rest, undisturbed by</w:t></w:r>
</w:p>
<w:p>
<w:pPr><w:pStyle w:val="Normal"/></w:pPr>
<w:r><w:t xml:space="preserve">folding, on the primary sedimentary and crystalline rocks.  The</w:t></w:r>
</w:p>
<w:p>
<w:pPr><w:pStyle w:val="Normal"/></w:pPr>
<w:r><w:t xml:space="preserve">crystalline massif, therefore, presents a solid block which</w:t></w:r>
</w:p>
<w:p>
<w:pPr><w:pStyle w:val="Normal"/></w:pPr>
<w:r><w:t xml:space="preserve">has remained elevated since early palaeozoic times, and against</w:t></w:r>
</w:p>
<w:p>
<w:pPr><w:pStyle w:val="Normal"/></w:pPr>
<w:r><w:t xml:space="preserve">which earth waves of several geological periods have broken.</w:t></w:r>
</w:p>
<w:p>
<w:pPr><w:pStyle w:val="Normal"/></w:pPr>
<w:r><w:t xml:space="preserve">The formations older than the mesozoic are remarkably</w:t></w:r>
</w:p>
<w:p>
<w:pPr><w:pStyle w:val="Normal"/></w:pPr>
<w:r><w:t xml:space="preserve">unfossiliferous, so that the determination of their age is</w:t></w:r>
</w:p>
<w:p>
<w:pPr><w:pStyle w:val="Normal"/></w:pPr>
<w:r><w:t xml:space="preserve">frequently a matter of speculation, and in the following table</w:t></w:r>
</w:p>
<w:p>
<w:pPr><w:pStyle w:val="Normal"/></w:pPr>
<w:r><w:t xml:space="preserve">the European equivalents of the pre-Karroo formations in many</w:t></w:r>
</w:p>
<w:p>
<w:pPr><w:pStyle w:val="Normal"/></w:pPr>
<w:r><w:t xml:space="preserve">regions must be regarded as subject to considerable revision.</w:t></w:r>
</w:p>
<w:p>
<w:pPr><w:pStyle w:val="Normal"/></w:pPr>
<w:r><w:t xml:space="preserve">Rocks of Archean age cover wide areas in the interior, in</w:t></w:r>
</w:p>
<w:p>
<w:pPr><w:pStyle w:val="Normal"/></w:pPr>
<w:r><w:t xml:space="preserve">West and East Africa and across the Sahara.  Along the coastal</w:t></w:r>
</w:p>
<w:p>
<w:pPr><w:pStyle w:val="Normal"/></w:pPr>
<w:r><w:t xml:space="preserve">margins they underlie the newer formations and appear in the</w:t></w:r>
</w:p>
<w:p>
<w:pPr><w:pStyle w:val="Normal"/></w:pPr>
<w:r><w:t xml:space="preserve">deep valleys and kloofs wherever denudation has laid them</w:t></w:r>
</w:p>
<w:p>
<w:pPr><w:pStyle w:val="Normal"/></w:pPr>
<w:r><w:t xml:space="preserve">bare.  The prevailing types are granites, gneisses and</w:t></w:r>
</w:p>
<w:p>
<w:pPr><w:pStyle w:val="Normal"/></w:pPr>
<w:r><w:t xml:space="preserve">schists.  In the central regions the predominant strike of the</w:t></w:r>
</w:p>
<w:p>
<w:pPr><w:pStyle w:val="Normal"/></w:pPr>
<w:r><w:t xml:space="preserve">fohae is north and south.  The rocks, for convenience classed as</w:t></w:r>
</w:p>
<w:p>
<w:pPr><w:pStyle w:val="Normal"/></w:pPr>
<w:r><w:t xml:space="preserve">pre-Cambrian, occur as several unconformable groups, chiefly</w:t></w:r>
</w:p>
<w:p>
<w:pPr><w:pStyle w:val="Normal"/></w:pPr>
<w:r><w:t xml:space="preserve">developed in the south where alone their stratigraphy has been</w:t></w:r>
</w:p>
<w:p>
<w:pPr><w:pStyle w:val="Normal"/></w:pPr>
<w:r><w:t xml:space="preserve">determined.  They are unfossiliferous, and in the absence of</w:t></w:r>
</w:p>
<w:p>
<w:pPr><w:pStyle w:val="Normal"/></w:pPr>
<w:r><w:t xml:space="preserve">undoubted Cambrian, Ordovician and Silurian strata in Africa</w:t></w:r>
</w:p>
<w:p>
<w:pPr><w:pStyle w:val="Normal"/></w:pPr>
<w:r><w:t xml:space="preserve">they may be regarded as of older date than any of these</w:t></w:r>
</w:p>
<w:p>
<w:pPr><w:pStyle w:val="Normal"/></w:pPr>
<w:r><w:t xml:space="preserve">formations.  The general occurrence of jasper-bearing rocks</w:t></w:r>
</w:p>
<w:p>
<w:pPr><w:pStyle w:val="Normal"/></w:pPr>
<w:r><w:t xml:space="preserve">is of interest, as these are always present in the ancient</w:t></w:r>
</w:p>
<w:p>
<w:pPr><w:pStyle w:val="Normal"/></w:pPr>
<w:r><w:t xml:space="preserve">pressure-altered sedimentary formations of America and</w:t></w:r>
</w:p>
<w:p>
<w:pPr><w:pStyle w:val="Normal"/></w:pPr>
<w:r><w:t xml:space="preserve">Europe.  Some unfossiliferous conglomerates, sandstones</w:t></w:r>
</w:p>
<w:p>
<w:pPr><w:pStyle w:val="Normal"/></w:pPr>
<w:r><w:t xml:space="preserve">and dolomites in South Africa and on the west coast are</w:t></w:r>
</w:p>
<w:p>
<w:pPr><w:pStyle w:val="Normal"/></w:pPr>
<w:r><w:t xml:space="preserve">considered to belong to the Cambrian, Ordovician and Silurian</w:t></w:r>
</w:p>
<w:p>
<w:pPr><w:pStyle w:val="Normal"/></w:pPr>
<w:r><w:t xml:space="preserve">formations, but merely from their occurrence beneath strata</w:t></w:r>
</w:p>
<w:p>
<w:pPr><w:pStyle w:val="Normal"/></w:pPr>
<w:r><w:t xml:space="preserve">yielding Devonian fossils.  In Cape Colony the Silurian age</w:t></w:r>
</w:p>
<w:p>
<w:pPr><w:pStyle w:val="Normal"/></w:pPr>
<w:r><w:t xml:space="preserve">of the Table Mountain Sandstone is based on such evidence.</w:t></w:r>
</w:p>
<w:p>
<w:pPr><w:pStyle w:val="Normal"/></w:pPr>
<w:r><w:t xml:space="preserve">The Devonian and Carboniferous formations are well</w:t></w:r>
</w:p>
<w:p>
<w:pPr><w:pStyle w:val="Normal"/></w:pPr>
<w:r><w:t xml:space="preserve">represented in the north and south and in northern Angola.</w:t></w:r>
</w:p>
<w:p>
<w:pPr><w:pStyle w:val="Normal"/></w:pPr>
<w:r><w:t xml:space="preserve">Up to the close of the palaeozoic period the relative positions</w:t></w:r>
</w:p>
<w:p>
<w:pPr><w:pStyle w:val="Normal"/></w:pPr>
<w:r><w:t xml:space="preserve">of the ancient land masses and oceans remain unsolved; but the</w:t></w:r>
</w:p>
<w:p>
<w:pPr><w:pStyle w:val="Normal"/></w:pPr>
<w:r><w:t xml:space="preserve">absence of marine strata of early palaeozoic age from Central</w:t></w:r>
</w:p>
<w:p>
<w:pPr><w:pStyle w:val="Normal"/></w:pPr>
<w:r><w:t xml:space="preserve">Africa points to there being land in this direction.  In late</w:t></w:r>
</w:p>
<w:p>
<w:pPr><w:pStyle w:val="Normal"/></w:pPr>
<w:r><w:t xml:space="preserve">Carboniferous times Africa and India were undoubtedly united to</w:t></w:r>
</w:p>
<w:p>
<w:pPr><w:pStyle w:val="Normal"/></w:pPr>
<w:r><w:t xml:space="preserve">form a large continent, called by Suess Gondwana Land.  In each</w:t></w:r>
</w:p>
<w:p>
<w:pPr><w:pStyle w:val="Normal"/></w:pPr>
<w:r><w:t xml:space="preserve">country the same succession of the rocks is met with; over both</w:t></w:r>
</w:p>
<w:p>
<w:pPr><w:pStyle w:val="Normal"/></w:pPr>
<w:r><w:t xml:space="preserve">the same specialized orders of reptiles roamed and were entombed.</w:t></w:r>
</w:p>
<w:p>
<w:pPr><w:pStyle w:val="Normal"/></w:pPr>
<w:r><w:t xml:space="preserve">The interior of the African portion of Gondwana Land</w:t></w:r>
</w:p>
<w:p>
<w:pPr><w:pStyle w:val="Normal"/></w:pPr>
<w:r><w:t xml:space="preserve">was occupied by several large lakes in which an immense</w:t></w:r>
</w:p>
<w:p>
<w:pPr><w:pStyle w:val="Normal"/></w:pPr>
<w:r><w:t xml:space="preserve">thickness--amounting to over 18,000 ft. in South Africa---of</w:t></w:r>
</w:p>
<w:p>
<w:pPr><w:pStyle w:val="Normal"/></w:pPr>
<w:r><w:t xml:space="preserve">sandstones and marls, forming the Karroo system, was laid</w:t></w:r>
</w:p>
<w:p>
<w:pPr><w:pStyle w:val="Normal"/></w:pPr>
<w:r><w:t xml:space="preserve">down.  This is par excellence the African formation,</w:t></w:r>
</w:p>
<w:p>
<w:pPr><w:pStyle w:val="Normal"/></w:pPr>
<w:r><w:t xml:space="preserve">and covers immense areas in South Africa and the Congo</w:t></w:r>
</w:p>
<w:p>
<w:pPr><w:pStyle w:val="Normal"/></w:pPr>
<w:r><w:t xml:space="preserve">basin, with detached portions in East Africa.  During the</w:t></w:r>
</w:p>
<w:p>
<w:pPr><w:pStyle w:val="Normal"/></w:pPr>
<w:r><w:t xml:space="preserve">whole of the time---Carboniferous to Rhaetic--that this</w:t></w:r>
</w:p>
<w:p>
<w:pPr><w:pStyle w:val="Normal"/></w:pPr>
<w:r><w:t xml:space="preserve">great accumulation of freshwater beds was taking place,</w:t></w:r>
</w:p>
<w:p>
<w:pPr><w:pStyle w:val="Normal"/></w:pPr>
<w:r><w:t xml:space="preserve">the interior of the continent must have been undergoing</w:t></w:r>
</w:p>
<w:p>
<w:pPr><w:pStyle w:val="Normal"/></w:pPr>
<w:r><w:t xml:space="preserve">depression.  The commencement of the period was marked by one</w:t></w:r>
</w:p>
<w:p>
<w:pPr><w:pStyle w:val="Normal"/></w:pPr>
<w:r><w:t xml:space="preserve">of the most wonderful episodes in the geological history of</w:t></w:r>
</w:p>
<w:p>
<w:pPr><w:pStyle w:val="Normal"/></w:pPr>
<w:r><w:t xml:space="preserve">Africa.  Preserved in the formation known as the Dwyka</w:t></w:r>
</w:p>
<w:p>
<w:pPr><w:pStyle w:val="Normal"/></w:pPr>
<w:r><w:t xml:space="preserve">Conglomerate, are evidences that at this time the greater</w:t></w:r>
</w:p>
<w:p>
<w:pPr><w:pStyle w:val="Normal"/></w:pPr>
<w:r><w:t xml:space="preserve">portion of South Africa was undergoing extreme glaciation,</w:t></w:r>
</w:p>
<w:p>
<w:pPr><w:pStyle w:val="Normal"/></w:pPr>
<w:r><w:t xml:space="preserve">while the same conditions appear to have prevailed in India</w:t></w:r>
</w:p>
<w:p>
<w:pPr><w:pStyle w:val="Normal"/></w:pPr>
<w:r><w:t xml:space="preserve">TABLE OF FORMATIONS</w:t></w:r>
</w:p>
<w:p>
<w:pPr><w:pStyle w:val="Normal"/></w:pPr>
<w:r><w:t xml:space="preserve">Sedimentary.           Igneous.</w:t></w:r>
</w:p>
<w:p>
<w:pPr><w:pStyle w:val="Normal"/></w:pPr>
<w:r><w:t xml:space="preserve">Recent         Alluvium; travertine;</w:t></w:r>
</w:p>
<w:p>
<w:pPr><w:pStyle w:val="Normal"/></w:pPr>
<w:r><w:t xml:space="preserve">coral; sand dunes; continental } Some volcanic islands;</w:t></w:r>
</w:p>
<w:p>
<w:pPr><w:pStyle w:val="Normal"/></w:pPr>
<w:r><w:t xml:space="preserve">dunes. Generally distributed   }   rift-valley volcanoes.</w:t></w:r>
</w:p>
<w:p>
<w:pPr><w:pStyle w:val="Normal"/></w:pPr>
<w:r><w:t xml:space="preserve">Pleistocene.   Ancient alluviums and            }</w:t></w:r>
</w:p>
<w:p>
<w:pPr><w:pStyle w:val="Normal"/></w:pPr>
<w:r><w:t xml:space="preserve">gravels; travertine.           }</w:t></w:r>
</w:p>
<w:p>
<w:pPr><w:pStyle w:val="Normal"/></w:pPr>
<w:r><w:t xml:space="preserve">Generally distributed.         } A long-continued</w:t></w:r>
</w:p>
<w:p>
<w:pPr><w:pStyle w:val="Normal"/></w:pPr>
<w:r><w:t xml:space="preserve">Pliocene.      N. Africa; Madagascar.           }   succession in the</w:t></w:r>
</w:p>
<w:p>
<w:pPr><w:pStyle w:val="Normal"/></w:pPr>
<w:r><w:t xml:space="preserve">}   central and northern</w:t></w:r>
</w:p>
<w:p>
<w:pPr><w:pStyle w:val="Normal"/></w:pPr>
<w:r><w:t xml:space="preserve">Miocene.       N. Africa.                       }   regions and among</w:t></w:r>
</w:p>
<w:p>
<w:pPr><w:pStyle w:val="Normal"/></w:pPr>
<w:r><w:t xml:space="preserve">}   the island groups.</w:t></w:r>
</w:p>
<w:p>
<w:pPr><w:pStyle w:val="Normal"/></w:pPr>
<w:r><w:t xml:space="preserve">Oligocene.     N. Africa.                       }   Doubtfully represented</w:t></w:r>
</w:p>
<w:p>
<w:pPr><w:pStyle w:val="Normal"/></w:pPr>
<w:r><w:t xml:space="preserve">}   south of the Zambezi.</w:t></w:r>
</w:p>
<w:p>
<w:pPr><w:pStyle w:val="Normal"/></w:pPr>
<w:r><w:t xml:space="preserve">Eocene.        N. Africa, along east and        }</w:t></w:r>
</w:p>
<w:p>
<w:pPr><w:pStyle w:val="Normal"/></w:pPr>
<w:r><w:t xml:space="preserve">west coasts; Madagascar.       }</w:t></w:r>
</w:p>
<w:p>
<w:pPr><w:pStyle w:val="Normal"/></w:pPr>
<w:r><w:t xml:space="preserve">Cretaceous     Extensively developed in         } Diamond pipes of S.</w:t></w:r>
</w:p>
<w:p>
<w:pPr><w:pStyle w:val="Normal"/></w:pPr>
<w:r><w:t xml:space="preserve">N. Africa; along coast         }   Africa; Kaptian</w:t></w:r>
</w:p>
<w:p>
<w:pPr><w:pStyle w:val="Normal"/></w:pPr>
<w:r><w:t xml:space="preserve">and foot-plateaus in east      }   fissure eruptions;</w:t></w:r>
</w:p>
<w:p>
<w:pPr><w:pStyle w:val="Normal"/></w:pPr>
<w:r><w:t xml:space="preserve">and west; Madagascar.          }   Ashangi traps of</w:t></w:r>
</w:p>
<w:p>
<w:pPr><w:pStyle w:val="Normal"/></w:pPr>
<w:r><w:t xml:space="preserve">}   Abyssinia</w:t></w:r>
</w:p>
<w:p>
<w:pPr><w:pStyle w:val="Normal"/></w:pPr>
<w:r><w:t xml:space="preserve">{Jurassic     N. Africa; E. Africa;</w:t></w:r>
</w:p>
<w:p>
<w:pPr><w:pStyle w:val="Normal"/></w:pPr>
<w:r><w:t xml:space="preserve">K{                   Madagascar; Stormberg          } Chief volcanic period</w:t></w:r>
</w:p>
<w:p>
<w:pPr><w:pStyle w:val="Normal"/></w:pPr>
<w:r><w:t xml:space="preserve">a{                   period (Rhaeric) in S.         }   in S. Africa</w:t></w:r>
</w:p>
<w:p>
<w:pPr><w:pStyle w:val="Normal"/></w:pPr>
<w:r><w:t xml:space="preserve">r{                   Africa                         }</w:t></w:r>
</w:p>
<w:p>
<w:pPr><w:pStyle w:val="Normal"/></w:pPr>
<w:r><w:t xml:space="preserve">r{Trias.       Beaufort Series in S.            }</w:t></w:r>
</w:p>
<w:p>
<w:pPr><w:pStyle w:val="Normal"/></w:pPr>
<w:r><w:t xml:space="preserve">o{                   Africa; Congo basin;           }</w:t></w:r>
</w:p>
<w:p>
<w:pPr><w:pStyle w:val="Normal"/></w:pPr>
<w:r><w:t xml:space="preserve">o{                   Central Africa; Algeria;       }</w:t></w:r>
</w:p>
<w:p>
<w:pPr><w:pStyle w:val="Normal"/></w:pPr>
<w:r><w:t xml:space="preserve">{                   Tunis.                         }</w:t></w:r>
</w:p>
<w:p>
<w:pPr><w:pStyle w:val="Normal"/></w:pPr>
<w:r><w:t xml:space="preserve">{Permian.     Ecca Series in S. Africa.        } Feebly, if anywhere</w:t></w:r>
</w:p>
<w:p>
<w:pPr><w:pStyle w:val="Normal"/></w:pPr>
<w:r><w:t xml:space="preserve">} developed.</w:t></w:r>
</w:p>
<w:p>
<w:pPr><w:pStyle w:val="Normal"/></w:pPr>
<w:r><w:t xml:space="preserve">Carboniferous. N. Africa; Sabaki Shales         }</w:t></w:r>
</w:p>
<w:p>
<w:pPr><w:pStyle w:val="Normal"/></w:pPr>
<w:r><w:t xml:space="preserve">in E. Africa; Dwyka            }</w:t></w:r>
</w:p>
<w:p>
<w:pPr><w:pStyle w:val="Normal"/></w:pPr>
<w:r><w:t xml:space="preserve">and Wittebery Series in        }</w:t></w:r>
</w:p>
<w:p>
<w:pPr><w:pStyle w:val="Normal"/></w:pPr>
<w:r><w:t xml:space="preserve">South Africa                   }</w:t></w:r>
</w:p>
<w:p>
<w:pPr><w:pStyle w:val="Normal"/></w:pPr>
<w:r><w:t xml:space="preserve">Devonian.      N. Africa; Angola; Bokkeveld     } Not recorded.</w:t></w:r>
</w:p>
<w:p>
<w:pPr><w:pStyle w:val="Normal"/></w:pPr>
<w:r><w:t xml:space="preserve">Series in S. Africa            }</w:t></w:r>
</w:p>
<w:p>
<w:pPr><w:pStyle w:val="Normal"/></w:pPr>
<w:r><w:t xml:space="preserve">Silurian.     {Table Mountain Sandstone         }</w:t></w:r>
</w:p>
<w:p>
<w:pPr><w:pStyle w:val="Normal"/></w:pPr>
<w:r><w:t xml:space="preserve">{  in S. Africa, Silurian(?).     }</w:t></w:r>
</w:p>
<w:p>
<w:pPr><w:pStyle w:val="Normal"/></w:pPr>
<w:r><w:t xml:space="preserve">Ordovician.   {  Doubtfully represented         } Klipriversberg and</w:t></w:r>
</w:p>
<w:p>
<w:pPr><w:pStyle w:val="Normal"/></w:pPr>
<w:r><w:t xml:space="preserve">{  in N. Africa, French           }   and Ventersdorp Series</w:t></w:r>
</w:p>
<w:p>
<w:pPr><w:pStyle w:val="Normal"/></w:pPr>
<w:r><w:t xml:space="preserve">Cambrian      {  Congo, Angola. and by          }   of the Transvaal (?).</w:t></w:r>
</w:p>
<w:p>
<w:pPr><w:pStyle w:val="Normal"/></w:pPr>
<w:r><w:t xml:space="preserve">{  Vaal River and Waterberg       }</w:t></w:r>
</w:p>
<w:p>
<w:pPr><w:pStyle w:val="Normal"/></w:pPr>
<w:r><w:t xml:space="preserve">{  Series in S. Africa            }</w:t></w:r>
</w:p>
<w:p>
<w:pPr><w:pStyle w:val="Normal"/></w:pPr>
<w:r><w:t xml:space="preserve">Pre-Cambrian.    Quartzites, conglomerates      }</w:t></w:r>
</w:p>
<w:p>
<w:pPr><w:pStyle w:val="Normal"/></w:pPr>
<w:r><w:t xml:space="preserve">phyllites, jasper-bearing    } S. Africa and generally.</w:t></w:r>
</w:p>
<w:p>
<w:pPr><w:pStyle w:val="Normal"/></w:pPr>
<w:r><w:t xml:space="preserve">rocks and schists.           }</w:t></w:r>
</w:p>
<w:p>
<w:pPr><w:pStyle w:val="Normal"/></w:pPr>
<w:r><w:t xml:space="preserve">Generally distributed.       }</w:t></w:r>
</w:p>
<w:p>
<w:pPr><w:pStyle w:val="Normal"/></w:pPr>
<w:r><w:t xml:space="preserve">Archeaan.         Gneisses and schists of the    } Igneous complex of</w:t></w:r>
</w:p>
<w:p>
<w:pPr><w:pStyle w:val="Normal"/></w:pPr>
<w:r><w:t xml:space="preserve">continental platform.        }   sheared igneous</w:t></w:r>
</w:p>
<w:p>
<w:pPr><w:pStyle w:val="Normal"/></w:pPr>
<w:r><w:t xml:space="preserve">}   rocks;granites.</w:t></w:r>
</w:p>
<w:p>
<w:pPr><w:pStyle w:val="Normal"/></w:pPr>
<w:r><w:t xml:space="preserve">and Australia.  At the close of the Karroo period there</w:t></w:r>
</w:p>
<w:p>
<w:pPr><w:pStyle w:val="Normal"/></w:pPr>
<w:r><w:t xml:space="preserve">was a remarkable manifestation of volcanic activity which</w:t></w:r>
</w:p>
<w:p>
<w:pPr><w:pStyle w:val="Normal"/></w:pPr>
<w:r><w:t xml:space="preserve">again has its parallel in the Deccan traps of India.</w:t></w:r>
</w:p>
<w:p>
<w:pPr><w:pStyle w:val="Normal"/></w:pPr>
<w:r><w:t xml:space="preserve">How far the Karroo formation extended beyond its present</w:t></w:r>
</w:p>
<w:p>
<w:pPr><w:pStyle w:val="Normal"/></w:pPr>
<w:r><w:t xml:space="preserve">confines has not been determined.  To the east it reached</w:t></w:r>
</w:p>
<w:p>
<w:pPr><w:pStyle w:val="Normal"/></w:pPr>
<w:r><w:t xml:space="preserve">India.  In the south all that can be said is that it extended</w:t></w:r>
</w:p>
<w:p>
<w:pPr><w:pStyle w:val="Normal"/></w:pPr>
<w:r><w:t xml:space="preserve">to the south of Worcester in Cape Colony.  The Crystal</w:t></w:r>
</w:p>
<w:p>
<w:pPr><w:pStyle w:val="Normal"/></w:pPr>
<w:r><w:t xml:space="preserve">Mountains of Angola may represent its western boundary; while</w:t></w:r>
</w:p>
<w:p>
<w:pPr><w:pStyle w:val="Normal"/></w:pPr>
<w:r><w:t xml:space="preserve">the absence of mesozoic strata beneath the Cretaceous rocks</w:t></w:r>
</w:p>
<w:p>
<w:pPr><w:pStyle w:val="Normal"/></w:pPr>
<w:r><w:t xml:space="preserve">of the mid-Sahara indicates that the system of Karroo lakeland</w:t></w:r>
</w:p>
<w:p>
<w:pPr><w:pStyle w:val="Normal"/></w:pPr>
<w:r><w:t xml:space="preserve">had here reached its most northerly extension.  Towards the</w:t></w:r>
</w:p>
<w:p>
<w:pPr><w:pStyle w:val="Normal"/></w:pPr>
<w:r><w:t xml:space="preserve">close of the Karroo period, possibly about the middle, the</w:t></w:r>
</w:p>
<w:p>
<w:pPr><w:pStyle w:val="Normal"/></w:pPr>
<w:r><w:t xml:space="preserve">southern rim of the great central depression became ridged</w:t></w:r>
</w:p>
<w:p>
<w:pPr><w:pStyle w:val="Normal"/></w:pPr>
<w:r><w:t xml:space="preserve">up to form the folded regions of the Zwaarteberg, Cedarberg</w:t></w:r>
</w:p>
<w:p>
<w:pPr><w:pStyle w:val="Normal"/></w:pPr>
<w:r><w:t xml:space="preserve">and Langeberg mountains in Cape Colony.  This folded belt</w:t></w:r>
</w:p>
<w:p>
<w:pPr><w:pStyle w:val="Normal"/></w:pPr>
<w:r><w:t xml:space="preserve">gives Africa its abrupt southern termination, and may be</w:t></w:r>
</w:p>
<w:p>
<w:pPr><w:pStyle w:val="Normal"/></w:pPr>
<w:r><w:t xml:space="preserve">regarded as an embryonic indication of its present outline.</w:t></w:r>
</w:p>
<w:p>
<w:pPr><w:pStyle w:val="Normal"/></w:pPr>
<w:r><w:t xml:space="preserve">The exact date of the maximum development of this folding is</w:t></w:r>
</w:p>
<w:p>
<w:pPr><w:pStyle w:val="Normal"/></w:pPr>
<w:r><w:t xml:space="preserve">unknown, but it had done its work and some 10,000 ft. of strata</w:t></w:r>
</w:p>
<w:p>
<w:pPr><w:pStyle w:val="Normal"/></w:pPr>
<w:r><w:t xml:space="preserve">had been removed before the commencement of the Cretaceous</w:t></w:r>
</w:p>
<w:p>
<w:pPr><w:pStyle w:val="Normal"/></w:pPr>
<w:r><w:t xml:space="preserve">period.  It appears to approximate in time to the similar earth</w:t></w:r>
</w:p>
<w:p>
<w:pPr><w:pStyle w:val="Normal"/></w:pPr>
<w:r><w:t xml:space="preserve">movement and denudation at the close of the palaeozoic period in</w:t></w:r>
</w:p>
<w:p>
<w:pPr><w:pStyle w:val="Normal"/></w:pPr>
<w:r><w:t xml:space="preserve">Europe.  It was doubtless connected with the disruption of</w:t></w:r>
</w:p>
<w:p>
<w:pPr><w:pStyle w:val="Normal"/></w:pPr>
<w:r><w:t xml:space="preserve">Gondwana Land, since it is known that this great alteration</w:t></w:r>
</w:p>
<w:p>
<w:pPr><w:pStyle w:val="Normal"/></w:pPr>
<w:r><w:t xml:space="preserve">of geographical outline commenced in Jurassic times.</w:t></w:r>
</w:p>
<w:p>
<w:pPr><w:pStyle w:val="Normal"/></w:pPr>
<w:r><w:t xml:space="preserve">The breaking up of Gondwana Land is usually considered to have</w:t></w:r>
</w:p>
<w:p>
<w:pPr><w:pStyle w:val="Normal"/></w:pPr>
<w:r><w:t xml:space="preserve">been caused by a series of blocks of country being let down by</w:t></w:r>
</w:p>
<w:p>
<w:pPr><w:pStyle w:val="Normal"/></w:pPr>
<w:r><w:t xml:space="preserve">faulting with the consequent formation of the Indian Ocean.  Other</w:t></w:r>
</w:p>
<w:p>
<w:pPr><w:pStyle w:val="Normal"/></w:pPr>
<w:r><w:t xml:space="preserve">blocks, termed horsts, remained unmoved, the island of Madagascar</w:t></w:r>
</w:p>
<w:p>
<w:pPr><w:pStyle w:val="Normal"/></w:pPr>
<w:r><w:t xml:space="preserve">affording a striking example.  In the African portion Ruwenzori</w:t></w:r>
</w:p>
<w:p>
<w:pPr><w:pStyle w:val="Normal"/></w:pPr>
<w:r><w:t xml:space="preserve">is regarded by some geologists to be a block mountain or horst.</w:t></w:r>
</w:p>
<w:p>
<w:pPr><w:pStyle w:val="Normal"/></w:pPr>
<w:r><w:t xml:space="preserve">In Jurassic times 1he sea gained access to East Africa</w:t></w:r>
</w:p>
<w:p>
<w:pPr><w:pStyle w:val="Normal"/></w:pPr>
<w:r><w:t xml:space="preserve">north of Mozambique, but does not appear to have</w:t></w:r>
</w:p>
<w:p>
<w:pPr><w:pStyle w:val="Normal"/></w:pPr>
<w:r><w:t xml:space="preserve">reached far beyond the foot-plateau except in Abyssinia.</w:t></w:r>
</w:p>
<w:p>
<w:pPr><w:pStyle w:val="Normal"/></w:pPr>
<w:r><w:t xml:space="preserve">The Cretaceous seas appear to have extended into the central</w:t></w:r>
</w:p>
<w:p>
<w:pPr><w:pStyle w:val="Normal"/></w:pPr>
<w:r><w:t xml:space="preserve">Saharan regions, for fossils of this age have been discovered</w:t></w:r>
</w:p>
<w:p>
<w:pPr><w:pStyle w:val="Normal"/></w:pPr>
<w:r><w:t xml:space="preserve">in the interior.  On the west coast Cretaceous rocks extend</w:t></w:r>
</w:p>
<w:p>
<w:pPr><w:pStyle w:val="Normal"/></w:pPr>
<w:r><w:t xml:space="preserve">continuously from Mogador to Cape Blanco.  From here they are</w:t></w:r>
</w:p>
<w:p>
<w:pPr><w:pStyle w:val="Normal"/></w:pPr>
<w:r><w:t xml:space="preserve">absent up to the Gabun river, where they commence to form a</w:t></w:r>
</w:p>
<w:p>
<w:pPr><w:pStyle w:val="Normal"/></w:pPr>
<w:r><w:t xml:space="preserve">narrow fringe as far as the Kunene river, though often overlain</w:t></w:r>
</w:p>
<w:p>
<w:pPr><w:pStyle w:val="Normal"/></w:pPr>
<w:r><w:t xml:space="preserve">by recent deposits.  They are again absent up to the Sunday</w:t></w:r>
</w:p>
<w:p>
<w:pPr><w:pStyle w:val="Normal"/></w:pPr>
<w:r><w:t xml:space="preserve">river in Cape Colony, where Lower Cretaceous rocks (for long</w:t></w:r>
</w:p>
<w:p>
<w:pPr><w:pStyle w:val="Normal"/></w:pPr>
<w:r><w:t xml:space="preserve">considered to be of Oolitic age) of an inshore character are met</w:t></w:r>
</w:p>
<w:p>
<w:pPr><w:pStyle w:val="Normal"/></w:pPr>
<w:r><w:t xml:space="preserve">with.  Strata of Upper Cretaceous age occur in Pondoland and</w:t></w:r>
</w:p>
<w:p>
<w:pPr><w:pStyle w:val="Normal"/></w:pPr>
<w:r><w:t xml:space="preserve">Natal, and are of exceptional interest since the fossils show an</w:t></w:r>
</w:p>
<w:p>
<w:pPr><w:pStyle w:val="Normal"/></w:pPr>
<w:r><w:t xml:space="preserve">intermingling of Pacific types with other forms having European</w:t></w:r>
</w:p>
<w:p>
<w:pPr><w:pStyle w:val="Normal"/></w:pPr>
<w:r><w:t xml:space="preserve">affinities.  In Mozambique and in German East Africa, Cretaceous</w:t></w:r>
</w:p>
<w:p>
<w:pPr><w:pStyle w:val="Normal"/></w:pPr>
<w:r><w:t xml:space="preserve">rocks extend from the coast to a distance inland of over 100 m.</w:t></w:r>
</w:p>
<w:p>
<w:pPr><w:pStyle w:val="Normal"/></w:pPr>
<w:r><w:t xml:space="preserve">Except in northern Africa, the Tertiary formations only</w:t></w:r>
</w:p>
<w:p>
<w:pPr><w:pStyle w:val="Normal"/></w:pPr>
<w:r><w:t xml:space="preserve">occur in a few isolated patches on the east and west</w:t></w:r>
</w:p>
<w:p>
<w:pPr><w:pStyle w:val="Normal"/></w:pPr>
<w:r><w:t xml:space="preserve">coasts.  In northern Africa they are well developed and of much</w:t></w:r>
</w:p>
<w:p>
<w:pPr><w:pStyle w:val="Normal"/></w:pPr>
<w:r><w:t xml:space="preserve">interest.  They contain the well-known nummulitic limestone</w:t></w:r>
</w:p>
<w:p>
<w:pPr><w:pStyle w:val="Normal"/></w:pPr>
<w:r><w:t xml:space="preserve">of Eocene age, which has been traced from Egypt across Asia to</w:t></w:r>
</w:p>
<w:p>
<w:pPr><w:pStyle w:val="Normal"/></w:pPr>
<w:r><w:t xml:space="preserve">China.  The Upper Eocene rocks of Egypt have also yielded</w:t></w:r>
</w:p>
<w:p>
<w:pPr><w:pStyle w:val="Normal"/></w:pPr>
<w:r><w:t xml:space="preserve">primeval types of the Proboscidea and other mammalia.</w:t></w:r>
</w:p>
<w:p>
<w:pPr><w:pStyle w:val="Normal"/></w:pPr>
<w:r><w:t xml:space="preserve">Evidences for the greater extension of the Eocene seas than</w:t></w:r>
</w:p>
<w:p>
<w:pPr><w:pStyle w:val="Normal"/></w:pPr>
<w:r><w:t xml:space="preserve">was formerly considered to be the case have been discovered</w:t></w:r>
</w:p>
<w:p>
<w:pPr><w:pStyle w:val="Normal"/></w:pPr>
<w:r><w:t xml:space="preserve">around Sokoto.  During Miocene times Passarge considers that</w:t></w:r>
</w:p>
<w:p>
<w:pPr><w:pStyle w:val="Normal"/></w:pPr>
<w:r><w:t xml:space="preserve">the region of the Zambezi underwent extreme desiccation.</w:t></w:r>
</w:p>
<w:p>
<w:pPr><w:pStyle w:val="Normal"/></w:pPr>
<w:r><w:t xml:space="preserve">The effect of the Glacial epoch in Europe is shown in northern</w:t></w:r>
</w:p>
<w:p>
<w:pPr><w:pStyle w:val="Normal"/></w:pPr>
<w:r><w:t xml:space="preserve">Africa by the moraines of the higher Atlas, and the wider</w:t></w:r>
</w:p>
<w:p>
<w:pPr><w:pStyle w:val="Normal"/></w:pPr>
<w:r><w:t xml:space="preserve">extension of the glaciers on Kilimanjaro, Kenya and Ruwenzori,</w:t></w:r>
</w:p>
<w:p>
<w:pPr><w:pStyle w:val="Normal"/></w:pPr>
<w:r><w:t xml:space="preserve">and by the extensive accumulations of gravel over the Sahara.</w:t></w:r>
</w:p>
<w:p>
<w:pPr><w:pStyle w:val="Normal"/></w:pPr>
<w:r><w:t xml:space="preserve">The earliest signs of igneous activity in Africa are to be found</w:t></w:r>
</w:p>
<w:p>
<w:pPr><w:pStyle w:val="Normal"/></w:pPr>
<w:r><w:t xml:space="preserve">in the granites, intrusive into the older rocks of the Cape</w:t></w:r>
</w:p>
<w:p>
<w:pPr><w:pStyle w:val="Normal"/></w:pPr>
<w:r><w:t xml:space="preserve">peninsula, into those of the Transvaal, and into the gneisses</w:t></w:r>
</w:p>
<w:p>
<w:pPr><w:pStyle w:val="Normal"/></w:pPr>
<w:r><w:t xml:space="preserve">and schists of Central Africa.  The Ventersdorp boulder beds</w:t></w:r>
</w:p>
<w:p>
<w:pPr><w:pStyle w:val="Normal"/></w:pPr>
<w:r><w:t xml:space="preserve">of the Transvaal may be of early palaeozoic age; but as a</w:t></w:r>
</w:p>
<w:p>
<w:pPr><w:pStyle w:val="Normal"/></w:pPr>
<w:r><w:t xml:space="preserve">whole the palaeozoic period in Africa was remarkably free from</w:t></w:r>
</w:p>
<w:p>
<w:pPr><w:pStyle w:val="Normal"/></w:pPr>
<w:r><w:t xml:space="preserve">volcanic and igneous disturbances.  The close of the Stormberg</w:t></w:r>
</w:p>
<w:p>
<w:pPr><w:pStyle w:val="Normal"/></w:pPr>
<w:r><w:t xml:space="preserve">period (Rhaetic) was one of great volcanic activity in South</w:t></w:r>
</w:p>
<w:p>
<w:pPr><w:pStyle w:val="Normal"/></w:pPr>
<w:r><w:t xml:space="preserve">Africa.  Whilst the later Secondary and Tertiary formations</w:t></w:r>
</w:p>
<w:p>
<w:pPr><w:pStyle w:val="Normal"/></w:pPr>
<w:r><w:t xml:space="preserve">were being laid down in North Africa and around the margins</w:t></w:r>
</w:p>
<w:p>
<w:pPr><w:pStyle w:val="Normal"/></w:pPr>
<w:r><w:t xml:space="preserve">of the rest of the continent, Africa received its last great</w:t></w:r>
</w:p>
<w:p>
<w:pPr><w:pStyle w:val="Normal"/></w:pPr>
<w:r><w:t xml:space="preserve">accumulation of strata and at the same time underwent a</w:t></w:r>
</w:p>
<w:p>
<w:pPr><w:pStyle w:val="Normal"/></w:pPr>
<w:r><w:t xml:space="preserve">consecutive series of earth-movements.  The additional strata</w:t></w:r>
</w:p>
<w:p>
<w:pPr><w:pStyle w:val="Normal"/></w:pPr>
<w:r><w:t xml:space="preserve">consist of the immense quantities of volcanic material on</w:t></w:r>
</w:p>
<w:p>
<w:pPr><w:pStyle w:val="Normal"/></w:pPr>
<w:r><w:t xml:space="preserve">the plateau of East Africa, the basalt flows of West Africa</w:t></w:r>
</w:p>
<w:p>
<w:pPr><w:pStyle w:val="Normal"/></w:pPr>
<w:r><w:t xml:space="preserve">and possibly those of the Zambezi basin.  The exact period</w:t></w:r>
</w:p>
<w:p>
<w:pPr><w:pStyle w:val="Normal"/></w:pPr>
<w:r><w:t xml:space="preserve">of the commencement of volcanic activity is unknown.  In</w:t></w:r>
</w:p>
<w:p>
<w:pPr><w:pStyle w:val="Normal"/></w:pPr>
<w:r><w:t xml:space="preserve">Abyssinia the Ashangi traps are certainly post-Oolitic.  In</w:t></w:r>
</w:p>
<w:p>
<w:pPr><w:pStyle w:val="Normal"/></w:pPr>
<w:r><w:t xml:space="preserve">East Africa the fissure eruptions are considered to belong</w:t></w:r>
</w:p>
<w:p>
<w:pPr><w:pStyle w:val="Normal"/></w:pPr>
<w:r><w:t xml:space="preserve">to the Cretaceous.  These early eruptions were followed by</w:t></w:r>
</w:p>
<w:p>
<w:pPr><w:pStyle w:val="Normal"/></w:pPr>
<w:r><w:t xml:space="preserve">those of Kenya, Mawenzi, Elgon, Chibcharagnani, and these</w:t></w:r>
</w:p>
<w:p>
<w:pPr><w:pStyle w:val="Normal"/></w:pPr>
<w:r><w:t xml:space="preserve">by the eruptions of Kibo, Longonot, Suswa and the Kyulu</w:t></w:r>
</w:p>
<w:p>
<w:pPr><w:pStyle w:val="Normal"/></w:pPr>
<w:r><w:t xml:space="preserve">Mountains.  The last phase of vulcanicity took place along</w:t></w:r>
</w:p>
<w:p>
<w:pPr><w:pStyle w:val="Normal"/></w:pPr>
<w:r><w:t xml:space="preserve">the great meridional rifts of East Africa, and though feebly</w:t></w:r>
</w:p>
<w:p>
<w:pPr><w:pStyle w:val="Normal"/></w:pPr>
<w:r><w:t xml:space="preserve">manifested has not entirely passed away.  In northern Africa</w:t></w:r>
</w:p>
<w:p>
<w:pPr><w:pStyle w:val="Normal"/></w:pPr>
<w:r><w:t xml:space="preserve">a continuous sequence of volcanic events has taken place from</w:t></w:r>
</w:p>
<w:p>
<w:pPr><w:pStyle w:val="Normal"/></w:pPr>
<w:r><w:t xml:space="preserve">Eocene times to latest Tertiary; but in South Africa it is</w:t></w:r>
</w:p>
<w:p>
<w:pPr><w:pStyle w:val="Normal"/></w:pPr>
<w:r><w:t xml:space="preserve">doubtful if there have been any intrusions later then Cretaceous.</w:t></w:r>
</w:p>
<w:p>
<w:pPr><w:pStyle w:val="Normal"/></w:pPr>
<w:r><w:t xml:space="preserve">During this long continuance of vulcanicity, earth-movements</w:t></w:r>
</w:p>
<w:p>
<w:pPr><w:pStyle w:val="Normal"/></w:pPr>
<w:r><w:t xml:space="preserve">were in progress.  In the north the chief movements gave</w:t></w:r>
</w:p>
<w:p>
<w:pPr><w:pStyle w:val="Normal"/></w:pPr>
<w:r><w:t xml:space="preserve">rise to the system of latitudinal folding and faulting of the</w:t></w:r>
</w:p>
<w:p>
<w:pPr><w:pStyle w:val="Normal"/></w:pPr>
<w:r><w:t xml:space="preserve">Moroccan and Algerian Atlas, the last stages being represented</w:t></w:r>
</w:p>
<w:p>
<w:pPr><w:pStyle w:val="Normal"/></w:pPr>
<w:r><w:t xml:space="preserve">by the formation of the Algerian and Moroccan coast-outline</w:t></w:r>
</w:p>
<w:p>
<w:pPr><w:pStyle w:val="Normal"/></w:pPr>
<w:r><w:t xml:space="preserve">and the sundering of Europe from Africa at the Straits of</w:t></w:r>
</w:p>
<w:p>
<w:pPr><w:pStyle w:val="Normal"/></w:pPr>
<w:r><w:t xml:space="preserve">Gibraltar.  Whilst northern Africa was being folded, the East</w:t></w:r>
</w:p>
<w:p>
<w:pPr><w:pStyle w:val="Normal"/></w:pPr>
<w:r><w:t xml:space="preserve">African plateau was broken up by a series of longitudinal</w:t></w:r>
</w:p>
<w:p>
<w:pPr><w:pStyle w:val="Normal"/></w:pPr>
<w:r><w:t xml:space="preserve">rifts extending from Nyasaland to Egypt.  The depressed areas</w:t></w:r>
</w:p>
<w:p>
<w:pPr><w:pStyle w:val="Normal"/></w:pPr>
<w:r><w:t xml:space="preserve">contain the long, narrow, precipitously walled lakes of East</w:t></w:r>
</w:p>
<w:p>
<w:pPr><w:pStyle w:val="Normal"/></w:pPr>
<w:r><w:t xml:space="preserve">Africa.  The Red Sea also occupies a meridional trough.</w:t></w:r>
</w:p>
<w:p>
<w:pPr><w:pStyle w:val="Normal"/></w:pPr>
<w:r><w:t xml:space="preserve">Lastly there are the recent elevations of the northern coastal</w:t></w:r>
</w:p>
<w:p>
<w:pPr><w:pStyle w:val="Normal"/></w:pPr>
<w:r><w:t xml:space="preserve">regions, the Barbary coast and along the east coast. (W. G.*)</w:t></w:r>
</w:p>
<w:p>
<w:pPr><w:pStyle w:val="Heading1"/></w:pPr>
<w:r><w:t>III. ETHNOLOGY In attempting a review of the races and</w:t></w:r>
</w:p>
<w:p>
<w:pPr><w:pStyle w:val="Normal"/></w:pPr>
<w:r><w:t xml:space="preserve">tribes which inhabit Africa, their distribution, movements</w:t></w:r>
</w:p>
<w:p>
<w:pPr><w:pStyle w:val="Normal"/></w:pPr>
<w:r><w:t xml:space="preserve">and culture, it is advisable that three points be borne in</w:t></w:r>
</w:p>
<w:p>
<w:pPr><w:pStyle w:val="Normal"/></w:pPr>
<w:r><w:t xml:space="preserve">mind.  The first of these is the comparative absence of natural</w:t></w:r>
</w:p>
<w:p>
<w:pPr><w:pStyle w:val="Normal"/></w:pPr>
<w:r><w:t xml:space="preserve">barriers in the interior, owing to which intercommunication</w:t></w:r>
</w:p>
<w:p>
<w:pPr><w:pStyle w:val="Normal"/></w:pPr>
<w:r><w:t xml:space="preserve">between tribes, the dissemination of culture and tribal</w:t></w:r>
</w:p>
<w:p>
<w:pPr><w:pStyle w:val="Normal"/></w:pPr>
<w:r><w:t xml:space="preserve">migration have been considerably facilitated.  Hence the</w:t></w:r>
</w:p>
<w:p>
<w:pPr><w:pStyle w:val="Normal"/></w:pPr>
<w:r><w:t xml:space="preserve">student must be prepared to find that, for the most part,</w:t></w:r>
</w:p>
<w:p>
<w:pPr><w:pStyle w:val="Normal"/></w:pPr>
<w:r><w:t xml:space="preserve">there are no sharp divisions to mark the extent of the</w:t></w:r>
</w:p>
<w:p>
<w:pPr><w:pStyle w:val="Normal"/></w:pPr>
<w:r><w:t xml:space="preserve">various races composing the population, but that the number</w:t></w:r>
</w:p>
<w:p>
<w:pPr><w:pStyle w:val="Normal"/></w:pPr>
<w:r><w:t xml:space="preserve">of what may be termed ``transitional&apos;&apos; peoples is unusually</w:t></w:r>
</w:p>
<w:p>
<w:pPr><w:pStyle w:val="Normal"/></w:pPr>
<w:r><w:t xml:space="preserve">large.  The second point is that Africa, with the exception</w:t></w:r>
</w:p>
<w:p>
<w:pPr><w:pStyle w:val="Normal"/></w:pPr>
<w:r><w:t xml:space="preserve">of the lower Nile valley and what is known as Roman Africa</w:t></w:r>
</w:p>
<w:p>
<w:pPr><w:pStyle w:val="Normal"/></w:pPr>
<w:r><w:t xml:space="preserve">(see AFRICA, ROMAN), is, so far as its native inhabitants</w:t></w:r>
</w:p>
<w:p>
<w:pPr><w:pStyle w:val="Normal"/></w:pPr>
<w:r><w:t xml:space="preserve">are concerned, a continent practically without a history,</w:t></w:r>
</w:p>
<w:p>
<w:pPr><w:pStyle w:val="Normal"/></w:pPr>
<w:r><w:t xml:space="preserve">and possessing no records from which such a history might be</w:t></w:r>
</w:p>
<w:p>
<w:pPr><w:pStyle w:val="Normal"/></w:pPr>
<w:r><w:t xml:space="preserve">reconstructed.  The early movements of tribes, the routes by</w:t></w:r>
</w:p>
<w:p>
<w:pPr><w:pStyle w:val="Normal"/></w:pPr>
<w:r><w:t xml:space="preserve">which they reached their present abodes, and the origin of such</w:t></w:r>
</w:p>
<w:p>
<w:pPr><w:pStyle w:val="Normal"/></w:pPr>
<w:r><w:t xml:space="preserve">forms of culture as may be distinguished in the general mass of</w:t></w:r>
</w:p>
<w:p>
<w:pPr><w:pStyle w:val="Normal"/></w:pPr>
<w:r><w:t xml:space="preserve">customs, beliefs, &amp;c., are largely matters of conjecture.  The</w:t></w:r>
</w:p>
<w:p>
<w:pPr><w:pStyle w:val="Normal"/></w:pPr>
<w:r><w:t xml:space="preserve">negro is essentially the child of the moment; and his memory,</w:t></w:r>
</w:p>
<w:p>
<w:pPr><w:pStyle w:val="Normal"/></w:pPr>
<w:r><w:t xml:space="preserve">both tribal and individual, is very short.  The third point</w:t></w:r>
</w:p>
<w:p>
<w:pPr><w:pStyle w:val="Normal"/></w:pPr>
<w:r><w:t xml:space="preserve">is that many theories which have been formulated with respect</w:t></w:r>
</w:p>
<w:p>
<w:pPr><w:pStyle w:val="Normal"/></w:pPr>
<w:r><w:t xml:space="preserve">to such matters are unsatisfactory owing to the small amount</w:t></w:r>
</w:p>
<w:p>
<w:pPr><w:pStyle w:val="Normal"/></w:pPr>
<w:r><w:t xml:space="preserve">of information concerning many of the tribes in the interior.</w:t></w:r>
</w:p>
<w:p>
<w:pPr><w:pStyle w:val="Normal"/></w:pPr>
<w:r><w:t xml:space="preserve">The chief African races.</w:t></w:r>
</w:p>
<w:p>
<w:pPr><w:pStyle w:val="Normal"/></w:pPr>
<w:r><w:t xml:space="preserve">Excluding the Europeans who have found a home in various</w:t></w:r>
</w:p>
<w:p>
<w:pPr><w:pStyle w:val="Normal"/></w:pPr>
<w:r><w:t xml:space="preserve">parts of Africa, and the Asiatics, Chinese and natives of</w:t></w:r>
</w:p>
<w:p>
<w:pPr><w:pStyle w:val="Normal"/></w:pPr>
<w:r><w:t xml:space="preserve">India introduced by them (see section History below), the</w:t></w:r>
</w:p>
<w:p>
<w:pPr><w:pStyle w:val="Normal"/></w:pPr>
<w:r><w:t xml:space="preserve">population of Africa consists of the following elements:</w:t></w:r>
</w:p>
<w:p>
<w:pPr><w:pStyle w:val="Normal"/></w:pPr>
<w:r><w:t xml:space="preserve">--the Bushman, the Negro, the Eastern Hamite, the Libyan</w:t></w:r>
</w:p>
<w:p>
<w:pPr><w:pStyle w:val="Normal"/></w:pPr>
<w:r><w:t xml:space="preserve">and the Semite, from the intermingling of which in various</w:t></w:r>
</w:p>
<w:p>
<w:pPr><w:pStyle w:val="Normal"/></w:pPr>
<w:r><w:t xml:space="preserve">proportions a vast number of ``transitional&apos;&apos; tribes has</w:t></w:r>
</w:p>
<w:p>
<w:pPr><w:pStyle w:val="Normal"/></w:pPr>
<w:r><w:t xml:space="preserve">arisen.  The Bushmen (q.v.), a race of short yellowish-brown</w:t></w:r>
</w:p>
<w:p>
<w:pPr><w:pStyle w:val="Normal"/></w:pPr>
<w:r><w:t xml:space="preserve">nomad hunters, inhabited, in the earliest times of which</w:t></w:r>
</w:p>
<w:p>
<w:pPr><w:pStyle w:val="Normal"/></w:pPr>
<w:r><w:t xml:space="preserve">there is historic knowledge, the land adjoining the southern</w:t></w:r>
</w:p>
<w:p>
<w:pPr><w:pStyle w:val="Normal"/></w:pPr>
<w:r><w:t xml:space="preserve">and eastern borders of the Kalahari desert, into which</w:t></w:r>
</w:p>
<w:p>
<w:pPr><w:pStyle w:val="Normal"/></w:pPr>
<w:r><w:t xml:space="preserve">they were gradually being forced by the encroachment of</w:t></w:r>
</w:p>
<w:p>
<w:pPr><w:pStyle w:val="Normal"/></w:pPr>
<w:r><w:t xml:space="preserve">the Hottentots and Bantu tribes.  But signs of their former</w:t></w:r>
</w:p>
<w:p>
<w:pPr><w:pStyle w:val="Normal"/></w:pPr>
<w:r><w:t xml:space="preserve">presence are not wanting as far north as Lake Tanganyika, and</w:t></w:r>
</w:p>
<w:p>
<w:pPr><w:pStyle w:val="Normal"/></w:pPr>
<w:r><w:t xml:space="preserve">even, it is rumoured, still farther north.  With them may be</w:t></w:r>
</w:p>
<w:p>
<w:pPr><w:pStyle w:val="Normal"/></w:pPr>
<w:r><w:t xml:space="preserve">classed provisionally the Hottentots, a pastoral people of</w:t></w:r>
</w:p>
<w:p>
<w:pPr><w:pStyle w:val="Normal"/></w:pPr>
<w:r><w:t xml:space="preserve">medium stature and yellowish-brown complexion. who in early</w:t></w:r>
</w:p>
<w:p>
<w:pPr><w:pStyle w:val="Normal"/></w:pPr>
<w:r><w:t xml:space="preserve">times shared with the Bushmen the whole of what is now Cape</w:t></w:r>
</w:p>
<w:p>
<w:pPr><w:pStyle w:val="Normal"/></w:pPr>
<w:r><w:t xml:space="preserve">Colony.  Though the racial affinities of the Hottentots have</w:t></w:r>
</w:p>
<w:p>
<w:pPr><w:pStyle w:val="Normal"/></w:pPr>
<w:r><w:t xml:space="preserve">been disputed, the most satisfactory view on the whole is</w:t></w:r>
</w:p>
<w:p>
<w:pPr><w:pStyle w:val="Normal"/></w:pPr>
<w:r><w:t xml:space="preserve">that they represent a blend of Bushman, Negroid and Hamitic</w:t></w:r>
</w:p>
<w:p>
<w:pPr><w:pStyle w:val="Normal"/></w:pPr>
<w:r><w:t xml:space="preserve">elements.  Practically the rest of Africa, from the southern</w:t></w:r>
</w:p>
<w:p>
<w:pPr><w:pStyle w:val="Normal"/></w:pPr>
<w:r><w:t xml:space="preserve">fringe of the Sahara and the upper valley of the Nile to</w:t></w:r>
</w:p>
<w:p>
<w:pPr><w:pStyle w:val="Normal"/></w:pPr>
<w:r><w:t xml:space="preserve">the Cape, with the exception of Abyssinia and Galla and</w:t></w:r>
</w:p>
<w:p>
<w:pPr><w:pStyle w:val="Normal"/></w:pPr>
<w:r><w:t xml:space="preserve">Somali-lands, is peopled by Negroes and the ``transitional&apos;&apos;</w:t></w:r>
</w:p>
<w:p>
<w:pPr><w:pStyle w:val="Normal"/></w:pPr>
<w:r><w:t xml:space="preserve">tribes to which their admixture with Libyans on the north,</w:t></w:r>
</w:p>
<w:p>
<w:pPr><w:pStyle w:val="Normal"/></w:pPr>
<w:r><w:t xml:space="preserve">and Semites (Arabs) and Hamites on the north-east and east,</w:t></w:r>
</w:p>
<w:p>
<w:pPr><w:pStyle w:val="Normal"/></w:pPr>
<w:r><w:t xml:space="preserve">has given rise.  A slight qualification of the last statement</w:t></w:r>
</w:p>
<w:p>
<w:pPr><w:pStyle w:val="Normal"/></w:pPr>
<w:r><w:t xml:space="preserve">is necessary, in so far as, among the Fula in the western</w:t></w:r>
</w:p>
<w:p>
<w:pPr><w:pStyle w:val="Normal"/></w:pPr>
<w:r><w:t xml:space="preserve">Sudan, and the Ba-Hima, &amp;c., of the Victoria Nyanza, Libyan</w:t></w:r>
</w:p>
<w:p>
<w:pPr><w:pStyle w:val="Normal"/></w:pPr>
<w:r><w:t xml:space="preserve">and Hamitic elements are respectively stronger than the</w:t></w:r>
</w:p>
<w:p>
<w:pPr><w:pStyle w:val="Normal"/></w:pPr>
<w:r><w:t xml:space="preserve">Negroid.  Of the tracts excepted, Abyssinia is inhabited mainly</w:t></w:r>
</w:p>
<w:p>
<w:pPr><w:pStyle w:val="Normal"/></w:pPr>
<w:r><w:t xml:space="preserve">by Semito-Hamites (though a fairly strong negroid element can</w:t></w:r>
</w:p>
<w:p>
<w:pPr><w:pStyle w:val="Normal"/></w:pPr>
<w:r><w:t xml:space="preserve">be found), and Somali and Galla-lands by Hamites.  North of</w:t></w:r>
</w:p>
<w:p>
<w:pPr><w:pStyle w:val="Normal"/></w:pPr>
<w:r><w:t xml:space="preserve">the Sahara in Algeria and Morocco are the Libyans (Berbers,</w:t></w:r>
</w:p>
<w:p>
<w:pPr><w:pStyle w:val="Normal"/></w:pPr>
<w:r><w:t xml:space="preserve">q.v.), a distinctively white people, who have in certain</w:t></w:r>
</w:p>
<w:p>
<w:pPr><w:pStyle w:val="Normal"/></w:pPr>
<w:r><w:t xml:space="preserve">respects (e.g. religion) fallen under Arab influence.  In</w:t></w:r>
</w:p>
<w:p>
<w:pPr><w:pStyle w:val="Normal"/></w:pPr>
<w:r><w:t xml:space="preserve">the north-east the brown-skinned Hamite and the Semite mingle</w:t></w:r>
</w:p>
<w:p>
<w:pPr><w:pStyle w:val="Normal"/></w:pPr>
<w:r><w:t xml:space="preserve">in varied proportions.  The Negroid peoples, which inhabit the</w:t></w:r>
</w:p>
<w:p>
<w:pPr><w:pStyle w:val="Normal"/></w:pPr>
<w:r><w:t xml:space="preserve">vast tracts of forest and savanna between the areas held by</w:t></w:r>
</w:p>
<w:p>
<w:pPr><w:pStyle w:val="Normal"/></w:pPr>
<w:r><w:t xml:space="preserve">Bushmen to the south and the Hamites, Semites and Libyans to</w:t></w:r>
</w:p>
<w:p>
<w:pPr><w:pStyle w:val="Normal"/></w:pPr>
<w:r><w:t xml:space="preserve">the north, fall into two groups divided by a line running from</w:t></w:r>
</w:p>
<w:p>
<w:pPr><w:pStyle w:val="Normal"/></w:pPr>
<w:r><w:t xml:space="preserve">the Cameroon (Rio del Rey) crossing the Ubangi river below the</w:t></w:r>
</w:p>
<w:p>
<w:pPr><w:pStyle w:val="Normal"/></w:pPr>
<w:r><w:t xml:space="preserve">bend and passing between the Ituri and the Semliki rivers, to</w:t></w:r>
</w:p>
<w:p>
<w:pPr><w:pStyle w:val="Normal"/></w:pPr>
<w:r><w:t xml:space="preserve">Lake Albert and thence with a slight southerly trend to the</w:t></w:r>
</w:p>
<w:p>
<w:pPr><w:pStyle w:val="Normal"/></w:pPr>
<w:r><w:t xml:space="preserve">coast.  North of this line are the Negroes proper, south are the</w:t></w:r>
</w:p>
<w:p>
<w:pPr><w:pStyle w:val="Normal"/></w:pPr>
<w:r><w:t xml:space="preserve">Bantu.  The division is primarily philological.  Among the</w:t></w:r>
</w:p>
<w:p>
<w:pPr><w:pStyle w:val="Normal"/></w:pPr>
<w:r><w:t xml:space="preserve">true Negroes the greatest linguistic confusion prevails; for</w:t></w:r>
</w:p>
<w:p>
<w:pPr><w:pStyle w:val="Normal"/></w:pPr>
<w:r><w:t xml:space="preserve">instance, in certain parts of Nigeria it is possible to</w:t></w:r>
</w:p>
<w:p>
<w:pPr><w:pStyle w:val="Normal"/></w:pPr>
<w:r><w:t xml:space="preserve">find half-a-dozen villages within a comparatively small area</w:t></w:r>
</w:p>
<w:p>
<w:pPr><w:pStyle w:val="Normal"/></w:pPr>
<w:r><w:t xml:space="preserve">speaking, not different dialects, but different languages,</w:t></w:r>
</w:p>
<w:p>
<w:pPr><w:pStyle w:val="Normal"/></w:pPr>
<w:r><w:t xml:space="preserve">a fact which adds greatly to the difficulty of political</w:t></w:r>
</w:p>
<w:p>
<w:pPr><w:pStyle w:val="Normal"/></w:pPr>
<w:r><w:t xml:space="preserve">administration.  To the south of the line the condition of</w:t></w:r>
</w:p>
<w:p>
<w:pPr><w:pStyle w:val="Normal"/></w:pPr>
<w:r><w:t xml:space="preserve">affairs is entirely different; here the entire population</w:t></w:r>
</w:p>
<w:p>
<w:pPr><w:pStyle w:val="Normal"/></w:pPr>
<w:r><w:t xml:space="preserve">speaks one or another dialect of the Bantu Languages (q.v..)</w:t></w:r>
</w:p>
<w:p>
<w:pPr><w:pStyle w:val="Normal"/></w:pPr>
<w:r><w:t xml:space="preserve">As said before, the division is primarily linguistic and,</w:t></w:r>
</w:p>
<w:p>
<w:pPr><w:pStyle w:val="Normal"/></w:pPr>
<w:r><w:t xml:space="preserve">especially upon the border line, does not always correspond</w:t></w:r>
</w:p>
<w:p>
<w:pPr><w:pStyle w:val="Normal"/></w:pPr>
<w:r><w:t xml:space="preserve">with the variations of physical type.  At the same time it</w:t></w:r>
</w:p>
<w:p>
<w:pPr><w:pStyle w:val="Normal"/></w:pPr>
<w:r><w:t xml:space="preserve">is extremely convenient and to a certain extent justifiable</w:t></w:r>
</w:p>
<w:p>
<w:pPr><w:pStyle w:val="Normal"/></w:pPr>
<w:r><w:t xml:space="preserve">on physical and psychological grounds; and it may be said</w:t></w:r>
</w:p>
<w:p>
<w:pPr><w:pStyle w:val="Normal"/></w:pPr>
<w:r><w:t xml:space="preserve">roughly that while the linguistic uniformity of the Bantu is</w:t></w:r>
</w:p>
<w:p>
<w:pPr><w:pStyle w:val="Normal"/></w:pPr>
<w:r><w:t xml:space="preserve">accompanied by great variation of physical type, the converse</w:t></w:r>
</w:p>
<w:p>
<w:pPr><w:pStyle w:val="Normal"/></w:pPr>
<w:r><w:t xml:space="preserve">is in the main true of the Negro proper, especially where least</w:t></w:r>
</w:p>
<w:p>
<w:pPr><w:pStyle w:val="Normal"/></w:pPr>
<w:r><w:t xml:space="preserve">affected by Libyan and Hamitic admixture, e.g. on the Guinea</w:t></w:r>
</w:p>
<w:p>
<w:pPr><w:pStyle w:val="Normal"/></w:pPr>
<w:r><w:t xml:space="preserve">coast.  The variation of type among the Bantu is due probably</w:t></w:r>
</w:p>
<w:p>
<w:pPr><w:pStyle w:val="Normal"/></w:pPr>
<w:r><w:t xml:space="preserve">to a varying admixture of alien blood, which is more apparent</w:t></w:r>
</w:p>
<w:p>
<w:pPr><w:pStyle w:val="Normal"/></w:pPr>
<w:r><w:t xml:space="preserve">as the east coast is approached.  This foreign element cannot</w:t></w:r>
</w:p>
<w:p>
<w:pPr><w:pStyle w:val="Normal"/></w:pPr>
<w:r><w:t xml:space="preserve">be identified with certainty, but since the Bantu seem to</w:t></w:r>
</w:p>
<w:p>
<w:pPr><w:pStyle w:val="Normal"/></w:pPr>
<w:r><w:t xml:space="preserve">approach the Hamites in those points where they differ from</w:t></w:r>
</w:p>
<w:p>
<w:pPr><w:pStyle w:val="Normal"/></w:pPr>
<w:r><w:t xml:space="preserve">the Negro proper, and since the physical characteristics</w:t></w:r>
</w:p>
<w:p>
<w:pPr><w:pStyle w:val="Normal"/></w:pPr>
<w:r><w:t xml:space="preserve">of Hamites and Semites are very similar, it seems probable</w:t></w:r>
</w:p>
<w:p>
<w:pPr><w:pStyle w:val="Normal"/></w:pPr>
<w:r><w:t xml:space="preserve">that the last two races have entered into the composition</w:t></w:r>
</w:p>
<w:p>
<w:pPr><w:pStyle w:val="Normal"/></w:pPr>
<w:r><w:t xml:space="preserve">of the Bantu, though it is highly improbable that Semitic</w:t></w:r>
</w:p>
<w:p>
<w:pPr><w:pStyle w:val="Normal"/></w:pPr>
<w:r><w:t xml:space="preserve">influence should have permeated any distance from the east</w:t></w:r>
</w:p>
<w:p>
<w:pPr><w:pStyle w:val="Normal"/></w:pPr>
<w:r><w:t xml:space="preserve">coast.  An extremely interesting section of the population</w:t></w:r>
</w:p>
<w:p>
<w:pPr><w:pStyle w:val="Normal"/></w:pPr>
<w:r><w:t xml:space="preserve">not hitherto mentioned is constituted by the Pygmy tribes</w:t></w:r>
</w:p>
<w:p>
<w:pPr><w:pStyle w:val="Normal"/></w:pPr>
<w:r><w:t xml:space="preserve">inhabiting the densely forested regions along the equator</w:t></w:r>
</w:p>
<w:p>
<w:pPr><w:pStyle w:val="Normal"/></w:pPr>
<w:r><w:t xml:space="preserve">from Uganda to the Gabun and living the life of nomadic</w:t></w:r>
</w:p>
<w:p>
<w:pPr><w:pStyle w:val="Normal"/></w:pPr>
<w:r><w:t xml:space="preserve">hunters.  The affinities of this little people are undecided,</w:t></w:r>
</w:p>
<w:p>
<w:pPr><w:pStyle w:val="Normal"/></w:pPr>
<w:r><w:t xml:space="preserve">owing to the small amount of knowledge concerning them.  The</w:t></w:r>
</w:p>
<w:p>
<w:pPr><w:pStyle w:val="Normal"/></w:pPr>
<w:r><w:t xml:space="preserve">theories which connected them with the Bushmen do not seem to be</w:t></w:r>
</w:p>
<w:p>
<w:pPr><w:pStyle w:val="Normal"/></w:pPr>
<w:r><w:t xml:space="preserve">correct.  It is more probable that they are to be classed among</w:t></w:r>
</w:p>
<w:p>
<w:pPr><w:pStyle w:val="Normal"/></w:pPr>
<w:r><w:t xml:space="preserve">the Negroids, with whom they appear to have intermingled to</w:t></w:r>
</w:p>
<w:p>
<w:pPr><w:pStyle w:val="Normal"/></w:pPr>
<w:r><w:t xml:space="preserve">a certain extent in the upper basin of the Ituri, and perhaps</w:t></w:r>
</w:p>
<w:p>
<w:pPr><w:pStyle w:val="Normal"/></w:pPr>
<w:r><w:t xml:space="preserve">elsewhere.  As far as is known they speak no language peculiar</w:t></w:r>
</w:p>
<w:p>
<w:pPr><w:pStyle w:val="Normal"/></w:pPr>
<w:r><w:t xml:space="preserve">to themselves but adopt that of the nearest agricultural</w:t></w:r>
</w:p>
<w:p>
<w:pPr><w:pStyle w:val="Normal"/></w:pPr>
<w:r><w:t xml:space="preserve">tribe.  They are of a dark brown complexion, with very broad</w:t></w:r>
</w:p>
<w:p>
<w:pPr><w:pStyle w:val="Normal"/></w:pPr>
<w:r><w:t xml:space="preserve">noses, lips but slightly everted, and small but usually</w:t></w:r>
</w:p>
<w:p>
<w:pPr><w:pStyle w:val="Normal"/></w:pPr>
<w:r><w:t xml:space="preserve">sturdy physique, though often considerably emaciated owing</w:t></w:r>
</w:p>
<w:p>
<w:pPr><w:pStyle w:val="Normal"/></w:pPr>
<w:r><w:t xml:space="preserve">to insufficiency of food.  Another peculiar tribe, also</w:t></w:r>
</w:p>
<w:p>
<w:pPr><w:pStyle w:val="Normal"/></w:pPr>
<w:r><w:t xml:space="preserve">of short stature, are the Vaalpens of the steppe region</w:t></w:r>
</w:p>
<w:p>
<w:pPr><w:pStyle w:val="Normal"/></w:pPr>
<w:r><w:t xml:space="preserve">of the north Transvaal.  Practically nothing is known of</w:t></w:r>
</w:p>
<w:p>
<w:pPr><w:pStyle w:val="Normal"/></w:pPr>
<w:r><w:t xml:space="preserve">them except that they are said to be very dark in colour</w:t></w:r>
</w:p>
<w:p>
<w:pPr><w:pStyle w:val="Normal"/></w:pPr>
<w:r><w:t xml:space="preserve">and live in holes in the ground, and under rock shelters.</w:t></w:r>
</w:p>
<w:p>
<w:pPr><w:pStyle w:val="Normal"/></w:pPr>
<w:r><w:t xml:space="preserve">Principal ethnological zones.</w:t></w:r>
</w:p>
<w:p>
<w:pPr><w:pStyle w:val="Normal"/></w:pPr>
<w:r><w:t xml:space="preserve">Having indicated the chief races of which in various degrees of</w:t></w:r>
</w:p>
<w:p>
<w:pPr><w:pStyle w:val="Normal"/></w:pPr>
<w:r><w:t xml:space="preserve">purity and intermixture the population of Africa is formed, it</w:t></w:r>
</w:p>
<w:p>
<w:pPr><w:pStyle w:val="Normal"/></w:pPr>
<w:r><w:t xml:space="preserve">remains to consider them in greater detail, particularly from</w:t></w:r>
</w:p>
<w:p>
<w:pPr><w:pStyle w:val="Normal"/></w:pPr>
<w:r><w:t xml:space="preserve">the cultural standpoint.  This is hardly possible without drawing</w:t></w:r>
</w:p>
<w:p>
<w:pPr><w:pStyle w:val="Normal"/></w:pPr>
<w:r><w:t xml:space="preserve">attention to the main physical characters of the continent,</w:t></w:r>
</w:p>
<w:p>
<w:pPr><w:pStyle w:val="Normal"/></w:pPr>
<w:r><w:t xml:space="preserve">as far as they affect the inhabitants.  For ethnological</w:t></w:r>
</w:p>
<w:p>
<w:pPr><w:pStyle w:val="Normal"/></w:pPr>
<w:r><w:t xml:space="preserve">purposes three principal zones may be distinguished; the first</w:t></w:r>
</w:p>
<w:p>
<w:pPr><w:pStyle w:val="Normal"/></w:pPr>
<w:r><w:t xml:space="preserve">two are respectively a large region of steppes and desert in</w:t></w:r>
</w:p>
<w:p>
<w:pPr><w:pStyle w:val="Normal"/></w:pPr>
<w:r><w:t xml:space="preserve">the north, and a smaller region of steppes and desert in the</w:t></w:r>
</w:p>
<w:p>
<w:pPr><w:pStyle w:val="Normal"/></w:pPr>
<w:r><w:t xml:space="preserve">south.  These two zones are connected by a vertical strip of</w:t></w:r>
</w:p>
<w:p>
<w:pPr><w:pStyle w:val="Normal"/></w:pPr>
<w:r><w:t xml:space="preserve">grassy highland lying mainly to the east of the chain of great</w:t></w:r>
</w:p>
<w:p>
<w:pPr><w:pStyle w:val="Normal"/></w:pPr>
<w:r><w:t xml:space="preserve">lakes.  The third zone is a vast region of forest and rivers</w:t></w:r>
</w:p>
<w:p>
<w:pPr><w:pStyle w:val="Normal"/></w:pPr>
<w:r><w:t xml:space="preserve">in the west centre, comprising the greater part of the basin</w:t></w:r>
</w:p>
<w:p>
<w:pPr><w:pStyle w:val="Normal"/></w:pPr>
<w:r><w:t xml:space="preserve">of the Congo and the Guinea coast.  The rainfall, which also</w:t></w:r>
</w:p>
<w:p>
<w:pPr><w:pStyle w:val="Normal"/></w:pPr>
<w:r><w:t xml:space="preserve">has an important bearing upon the culture of peoples, will</w:t></w:r>
</w:p>
<w:p>
<w:pPr><w:pStyle w:val="Normal"/></w:pPr>
<w:r><w:t xml:space="preserve">be found on the whole to be greatest in the third zone and</w:t></w:r>
</w:p>
<w:p>
<w:pPr><w:pStyle w:val="Normal"/></w:pPr>
<w:r><w:t xml:space="preserve">also in the eastern highlands, and of course least in the</w:t></w:r>
</w:p>
<w:p>
<w:pPr><w:pStyle w:val="Normal"/></w:pPr>
<w:r><w:t xml:space="preserve">desert, the steppes and savannas standing midway between the</w:t></w:r>
</w:p>
<w:p>
<w:pPr><w:pStyle w:val="Normal"/></w:pPr>
<w:r><w:t xml:space="preserve">two.  As might be expected these variations are accompanied by</w:t></w:r>
</w:p>
<w:p>
<w:pPr><w:pStyle w:val="Normal"/></w:pPr>
<w:r><w:t xml:space="preserve">certain variations in culture.  In the best-watered districts</w:t></w:r>
</w:p>
<w:p>
<w:pPr><w:pStyle w:val="Normal"/></w:pPr>
<w:r><w:t xml:space="preserve">agriculture is naturally of the greatest importance, except</w:t></w:r>
</w:p>
<w:p>
<w:pPr><w:pStyle w:val="Normal"/></w:pPr>
<w:r><w:t xml:space="preserve">where the density of the forest renders the work of clearing</w:t></w:r>
</w:p>
<w:p>
<w:pPr><w:pStyle w:val="Normal"/></w:pPr>
<w:r><w:t xml:space="preserve">too arduous.  The main portion therefore of the inhabitants</w:t></w:r>
</w:p>
<w:p>
<w:pPr><w:pStyle w:val="Normal"/></w:pPr>
<w:r><w:t xml:space="preserve">of the forest zone are agriculturists, save only the nomad</w:t></w:r>
</w:p>
<w:p>
<w:pPr><w:pStyle w:val="Normal"/></w:pPr>
<w:r><w:t xml:space="preserve">Pygmies, who live in the inmost recesses of the forest and</w:t></w:r>
</w:p>
<w:p>
<w:pPr><w:pStyle w:val="Normal"/></w:pPr>
<w:r><w:t xml:space="preserve">support themselves by hunting the game with which it abounds.</w:t></w:r>
</w:p>
<w:p>
<w:pPr><w:pStyle w:val="Normal"/></w:pPr>
<w:r><w:t xml:space="preserve">Agriculture, too, flourishes in the eastern highlands, and</w:t></w:r>
</w:p>
<w:p>
<w:pPr><w:pStyle w:val="Normal"/></w:pPr>
<w:r><w:t xml:space="preserve">throughout the greater part of the steppe and savanna region</w:t></w:r>
</w:p>
<w:p>
<w:pPr><w:pStyle w:val="Normal"/></w:pPr>
<w:r><w:t xml:space="preserve">of the northern and southern zones, especially the latter.  In</w:t></w:r>
</w:p>
<w:p>
<w:pPr><w:pStyle w:val="Normal"/></w:pPr>
<w:r><w:t xml:space="preserve">fact the only Bantu tribes who are not agriculturists are the</w:t></w:r>
</w:p>
<w:p>
<w:pPr><w:pStyle w:val="Normal"/></w:pPr>
<w:r><w:t xml:space="preserve">Ova-Herero of German South-West Africa, whose purely pastoral</w:t></w:r>
</w:p>
<w:p>
<w:pPr><w:pStyle w:val="Normal"/></w:pPr>
<w:r><w:t xml:space="preserve">habits are the natural outcome of the barren country they</w:t></w:r>
</w:p>
<w:p>
<w:pPr><w:pStyle w:val="Normal"/></w:pPr>
<w:r><w:t xml:space="preserve">inhabit.  But the wide open plains and slopes surrounding</w:t></w:r>
</w:p>
<w:p>
<w:pPr><w:pStyle w:val="Normal"/></w:pPr>
<w:r><w:t xml:space="preserve">the forest area are eminently suited to cattle-breeding,</w:t></w:r>
</w:p>
<w:p>
<w:pPr><w:pStyle w:val="Normal"/></w:pPr>
<w:r><w:t xml:space="preserve">and there are few tribes who do not take advantage of the</w:t></w:r>
</w:p>
<w:p>
<w:pPr><w:pStyle w:val="Normal"/></w:pPr>
<w:r><w:t xml:space="preserve">fact.  At the same time a natural check is imposed upon the</w:t></w:r>
</w:p>
<w:p>
<w:pPr><w:pStyle w:val="Normal"/></w:pPr>
<w:r><w:t xml:space="preserve">desire for cattle, which is so characteristic of the Bantu</w:t></w:r>
</w:p>
<w:p>
<w:pPr><w:pStyle w:val="Normal"/></w:pPr>
<w:r><w:t xml:space="preserve">peoples.  This is constituted by the tsetse fly, which renders</w:t></w:r>
</w:p>
<w:p>
<w:pPr><w:pStyle w:val="Normal"/></w:pPr>
<w:r><w:t xml:space="preserve">a pastoral life absolutely impossible throughout large tracts</w:t></w:r>
</w:p>
<w:p>
<w:pPr><w:pStyle w:val="Normal"/></w:pPr>
<w:r><w:t xml:space="preserve">in central and southern Africa.  In the northern zone this</w:t></w:r>
</w:p>
<w:p>
<w:pPr><w:pStyle w:val="Normal"/></w:pPr>
<w:r><w:t xml:space="preserve">check is absent, and the number of more essentially pastoral</w:t></w:r>
</w:p>
<w:p>
<w:pPr><w:pStyle w:val="Normal"/></w:pPr>
<w:r><w:t xml:space="preserve">peoples, such as the eastern Hamites, Masai, Dinka, Fula,</w:t></w:r>
</w:p>
<w:p>
<w:pPr><w:pStyle w:val="Normal"/></w:pPr>
<w:r><w:t xml:space="preserve">&amp;c., correspondingly greater.  The desert regions yield</w:t></w:r>
</w:p>
<w:p>
<w:pPr><w:pStyle w:val="Normal"/></w:pPr>
<w:r><w:t xml:space="preserve">support only to nomadic peoples, such as the Tuareg, Tibbu,</w:t></w:r>
</w:p>
<w:p>
<w:pPr><w:pStyle w:val="Normal"/></w:pPr>
<w:r><w:t xml:space="preserve">Bedouins and Bushmen, though the presence of numerous oases</w:t></w:r>
</w:p>
<w:p>
<w:pPr><w:pStyle w:val="Normal"/></w:pPr>
<w:r><w:t xml:space="preserve">in the north renders the condition of life easier for the</w:t></w:r>
</w:p>
<w:p>
<w:pPr><w:pStyle w:val="Normal"/></w:pPr>
<w:r><w:t xml:space="preserve">inhabitants.  Upon geographical conditions likewise depend to</w:t></w:r>
</w:p>
<w:p>
<w:pPr><w:pStyle w:val="Normal"/></w:pPr>
<w:r><w:t xml:space="preserve">a large extent the political conditions prevailing among the</w:t></w:r>
</w:p>
<w:p>
<w:pPr><w:pStyle w:val="Normal"/></w:pPr>
<w:r><w:t xml:space="preserve">various tribes.  Thus among the wandering tribes of the desert</w:t></w:r>
</w:p>
<w:p>
<w:pPr><w:pStyle w:val="Normal"/></w:pPr>
<w:r><w:t xml:space="preserve">and of the heart of the forests, where large communities are</w:t></w:r>
</w:p>
<w:p>
<w:pPr><w:pStyle w:val="Normal"/></w:pPr>
<w:r><w:t xml:space="preserve">impossible, a patriarchal system prevails with the family as the</w:t></w:r>
</w:p>
<w:p>
<w:pPr><w:pStyle w:val="Normal"/></w:pPr>
<w:r><w:t xml:space="preserve">unit.  Where the forest is less dense and small agricultural</w:t></w:r>
</w:p>
<w:p>
<w:pPr><w:pStyle w:val="Normal"/></w:pPr>
<w:r><w:t xml:space="preserve">communities begin to make their appearance, the unit expands</w:t></w:r>
</w:p>
<w:p>
<w:pPr><w:pStyle w:val="Normal"/></w:pPr>
<w:r><w:t xml:space="preserve">to the village with its headman.  Where the forest thins to</w:t></w:r>
</w:p>
<w:p>
<w:pPr><w:pStyle w:val="Normal"/></w:pPr>
<w:r><w:t xml:space="preserve">the savanna and steppe, and communication is easier, are found</w:t></w:r>
</w:p>
<w:p>
<w:pPr><w:pStyle w:val="Normal"/></w:pPr>
<w:r><w:t xml:space="preserve">the larger kingdoms and ``empires&apos;&apos; such as, in the north those</w:t></w:r>
</w:p>
<w:p>
<w:pPr><w:pStyle w:val="Normal"/></w:pPr>
<w:r><w:t xml:space="preserve">established by the Songhai, Hausa, Fula, Bagirmi, Ba-Hima, &amp;c.,</w:t></w:r>
</w:p>
<w:p>
<w:pPr><w:pStyle w:val="Normal"/></w:pPr>
<w:r><w:t xml:space="preserve">and in the south the states of Lunda, Kazembe, the Ba-Rotse, &amp;c.</w:t></w:r>
</w:p>
<w:p>
<w:pPr><w:pStyle w:val="Normal"/></w:pPr>
<w:r><w:t xml:space="preserve">But if ease of communication is favourable to the rise of</w:t></w:r>
</w:p>
<w:p>
<w:pPr><w:pStyle w:val="Normal"/></w:pPr>
<w:r><w:t xml:space="preserve">large states and the cultural progress that usually accompanies</w:t></w:r>
</w:p>
<w:p>
<w:pPr><w:pStyle w:val="Normal"/></w:pPr>
<w:r><w:t xml:space="preserve">it, it is, nevertheless, often fatal to the very culture</w:t></w:r>
</w:p>
<w:p>
<w:pPr><w:pStyle w:val="Normal"/></w:pPr>
<w:r><w:t xml:space="preserve">which, at first, it fostered, in so far as the absence of</w:t></w:r>
</w:p>
<w:p>
<w:pPr><w:pStyle w:val="Normal"/></w:pPr>
<w:r><w:t xml:space="preserve">natural boundaries renders invasion easy.  A good example</w:t></w:r>
</w:p>
<w:p>
<w:pPr><w:pStyle w:val="Normal"/></w:pPr>
<w:r><w:t xml:space="preserve">of this is furnished by the history of the western Sudan</w:t></w:r>
</w:p>
<w:p>
<w:pPr><w:pStyle w:val="Normal"/></w:pPr>
<w:r><w:t xml:space="preserve">and particularly of East and South-East Africa.  From its</w:t></w:r>
</w:p>
<w:p>
<w:pPr><w:pStyle w:val="Normal"/></w:pPr>
<w:r><w:t xml:space="preserve">geographical position Africa looks naturally to the east,</w:t></w:r>
</w:p>
<w:p>
<w:pPr><w:pStyle w:val="Normal"/></w:pPr>
<w:r><w:t xml:space="preserve">and it is on this side that it has been most affected by</w:t></w:r>
</w:p>
<w:p>
<w:pPr><w:pStyle w:val="Normal"/></w:pPr>
<w:r><w:t xml:space="preserve">external culture both by land (across the Sinaitic peninsula)</w:t></w:r>
</w:p>
<w:p>
<w:pPr><w:pStyle w:val="Normal"/></w:pPr>
<w:r><w:t xml:space="preserve">and by sea.  Though a certain amount of Indonesian and</w:t></w:r>
</w:p>
<w:p>
<w:pPr><w:pStyle w:val="Normal"/></w:pPr>
<w:r><w:t xml:space="preserve">even aboriginal Indian influence has been traced in African</w:t></w:r>
</w:p>
<w:p>
<w:pPr><w:pStyle w:val="Normal"/></w:pPr>
<w:r><w:t xml:space="preserve">ethnography, the people who have produced the most serious</w:t></w:r>
</w:p>
<w:p>
<w:pPr><w:pStyle w:val="Normal"/></w:pPr>
<w:r><w:t xml:space="preserve">ethnic disturbances (apart from modern Europeans) are the</w:t></w:r>
</w:p>
<w:p>
<w:pPr><w:pStyle w:val="Normal"/></w:pPr>
<w:r><w:t xml:space="preserve">Arabs.  This is particularly the case in East Africa, where</w:t></w:r>
</w:p>
<w:p>
<w:pPr><w:pStyle w:val="Normal"/></w:pPr>
<w:r><w:t xml:space="preserve">the systematic slave raids organized by them and carried</w:t></w:r>
</w:p>
<w:p>
<w:pPr><w:pStyle w:val="Normal"/></w:pPr>
<w:r><w:t xml:space="preserve">out with the assistance of various warlike tribes reduced</w:t></w:r>
</w:p>
<w:p>
<w:pPr><w:pStyle w:val="Normal"/></w:pPr>
<w:r><w:t xml:space="preserve">vast regions to a state of desolation.  In the north and</w:t></w:r>
</w:p>
<w:p>
<w:pPr><w:pStyle w:val="Normal"/></w:pPr>
<w:r><w:t xml:space="preserve">west of Africa, however, the Arab has had a less destructive</w:t></w:r>
</w:p>
<w:p>
<w:pPr><w:pStyle w:val="Normal"/></w:pPr>
<w:r><w:t xml:space="preserve">but more extensive and permanent influence in spreading</w:t></w:r>
</w:p>
<w:p>
<w:pPr><w:pStyle w:val="Normal"/></w:pPr>
<w:r><w:t xml:space="preserve">the Mahommedan religion throughout the whole of the Sudan.</w:t></w:r>
</w:p>
<w:p>
<w:pPr><w:pStyle w:val="Normal"/></w:pPr>
<w:r><w:t xml:space="preserve">The characteristic African culture.</w:t></w:r>
</w:p>
<w:p>
<w:pPr><w:pStyle w:val="Normal"/></w:pPr>
<w:r><w:t xml:space="preserve">The fact that the physical geography of Africa affords fewer</w:t></w:r>
</w:p>
<w:p>
<w:pPr><w:pStyle w:val="Normal"/></w:pPr>
<w:r><w:t xml:space="preserve">natural obstacles to racial movements on the side most exposed</w:t></w:r>
</w:p>
<w:p>
<w:pPr><w:pStyle w:val="Normal"/></w:pPr>
<w:r><w:t xml:space="preserve">to foreign influence, renders it obvious that the culture</w:t></w:r>
</w:p>
<w:p>
<w:pPr><w:pStyle w:val="Normal"/></w:pPr>
<w:r><w:t xml:space="preserve">most characteristically African must be sought on the other</w:t></w:r>
</w:p>
<w:p>
<w:pPr><w:pStyle w:val="Normal"/></w:pPr>
<w:r><w:t xml:space="preserve">side.  It is therefore in the forests of the Congo, and among</w:t></w:r>
</w:p>
<w:p>
<w:pPr><w:pStyle w:val="Normal"/></w:pPr>
<w:r><w:t xml:space="preserve">the lagoons and estuaries of the Guinea coast, that this</w:t></w:r>
</w:p>
<w:p>
<w:pPr><w:pStyle w:val="Normal"/></w:pPr>
<w:r><w:t xml:space="preserve">earlier culture will most probably be found.  That there is a</w:t></w:r>
</w:p>
<w:p>
<w:pPr><w:pStyle w:val="Normal"/></w:pPr>
<w:r><w:t xml:space="preserve">culture distinctive of this area, irrespective of the linguistic</w:t></w:r>
</w:p>
<w:p>
<w:pPr><w:pStyle w:val="Normal"/></w:pPr>
<w:r><w:t xml:space="preserve">line dividing the Bantu from the Negro proper, has now been</w:t></w:r>
</w:p>
<w:p>
<w:pPr><w:pStyle w:val="Normal"/></w:pPr>
<w:r><w:t xml:space="preserve">recognized.  Its main features may be summed as follows:---a</w:t></w:r>
</w:p>
<w:p>
<w:pPr><w:pStyle w:val="Normal"/></w:pPr>
<w:r><w:t xml:space="preserve">purely agricultural life, with the plantain, yam and manioc (the</w:t></w:r>
</w:p>
<w:p>
<w:pPr><w:pStyle w:val="Normal"/></w:pPr>
<w:r><w:t xml:space="preserve">last two of American origin) as the staple food; cannibalism</w:t></w:r>
</w:p>
<w:p>
<w:pPr><w:pStyle w:val="Normal"/></w:pPr>
<w:r><w:t xml:space="preserve">common; rectangular houses with ridged roofs; scar-tattooing;</w:t></w:r>
</w:p>
<w:p>
<w:pPr><w:pStyle w:val="Normal"/></w:pPr>
<w:r><w:t xml:space="preserve">clothing of bark-cloth or palm-fibre; occasional chipping</w:t></w:r>
</w:p>
<w:p>
<w:pPr><w:pStyle w:val="Normal"/></w:pPr>
<w:r><w:t xml:space="preserve">or extraction of upper incisors; bows with strings of cane,</w:t></w:r>
</w:p>
<w:p>
<w:pPr><w:pStyle w:val="Normal"/></w:pPr>
<w:r><w:t xml:space="preserve">as the, principal weapons, shields of wood or wickerwork;</w:t></w:r>
</w:p>
<w:p>
<w:pPr><w:pStyle w:val="Normal"/></w:pPr>
<w:r><w:t xml:space="preserve">religion, a primitive form of fetishism with the belief</w:t></w:r>
</w:p>
<w:p>
<w:pPr><w:pStyle w:val="Normal"/></w:pPr>
<w:r><w:t xml:space="preserve">that death is due to witchcraft; ordeals, secret societies,</w:t></w:r>
</w:p>
<w:p>
<w:pPr><w:pStyle w:val="Normal"/></w:pPr>
<w:r><w:t xml:space="preserve">the use of masks and anthropomorphic figures, and wooden</w:t></w:r>
</w:p>
<w:p>
<w:pPr><w:pStyle w:val="Normal"/></w:pPr>
<w:r><w:t xml:space="preserve">gongs.  With this may be contrasted the culture of the Bantu</w:t></w:r>
</w:p>
<w:p>
<w:pPr><w:pStyle w:val="Normal"/></w:pPr>
<w:r><w:t xml:space="preserve">peoples to the south and east, also agriculturists, but in</w:t></w:r>
</w:p>
<w:p>
<w:pPr><w:pStyle w:val="Normal"/></w:pPr>
<w:r><w:t xml:space="preserve">addition, where possible, great cattle-breeders, whose</w:t></w:r>
</w:p>
<w:p>
<w:pPr><w:pStyle w:val="Normal"/></w:pPr>
<w:r><w:t xml:space="preserve">staple food is millet and milk.  These are distinguished</w:t></w:r>
</w:p>
<w:p>
<w:pPr><w:pStyle w:val="Normal"/></w:pPr>
<w:r><w:t xml:space="preserve">by circular huts with domed or conical roofs; clothing of</w:t></w:r>
</w:p>
<w:p>
<w:pPr><w:pStyle w:val="Normal"/></w:pPr>
<w:r><w:t xml:space="preserve">skin or leather; occasional chipping or extraction of lower</w:t></w:r>
</w:p>
<w:p>
<w:pPr><w:pStyle w:val="Normal"/></w:pPr>
<w:r><w:t xml:space="preserve">incisors; spears as the principal weapons, bows, where found,</w:t></w:r>
</w:p>
<w:p>
<w:pPr><w:pStyle w:val="Normal"/></w:pPr>
<w:r><w:t xml:space="preserve">with a sinew cord, shields of hide or leather; religion,</w:t></w:r>
</w:p>
<w:p>
<w:pPr><w:pStyle w:val="Normal"/></w:pPr>
<w:r><w:t xml:space="preserve">ancestor-worship with belief in the power of the magicians as</w:t></w:r>
</w:p>
<w:p>
<w:pPr><w:pStyle w:val="Normal"/></w:pPr>
<w:r><w:t xml:space="preserve">rain-makers.  Though this difference in culture may well</w:t></w:r>
</w:p>
<w:p>
<w:pPr><w:pStyle w:val="Normal"/></w:pPr>
<w:r><w:t xml:space="preserve">be explained on the supposition that the first is the older</w:t></w:r>
</w:p>
<w:p>
<w:pPr><w:pStyle w:val="Normal"/></w:pPr>
<w:r><w:t xml:space="preserve">and more representative of Africa, this theory must not be</w:t></w:r>
</w:p>
<w:p>
<w:pPr><w:pStyle w:val="Normal"/></w:pPr>
<w:r><w:t xml:space="preserve">pushed too far.  Many of the distinguishing characteristics</w:t></w:r>
</w:p>
<w:p>
<w:pPr><w:pStyle w:val="Normal"/></w:pPr>
<w:r><w:t xml:space="preserve">of the two regions are doubtless due simply to environment,</w:t></w:r>
</w:p>
<w:p>
<w:pPr><w:pStyle w:val="Normal"/></w:pPr>
<w:r><w:t xml:space="preserve">even the difference in religion.  Ancestor-worship occurs</w:t></w:r>
</w:p>
<w:p>
<w:pPr><w:pStyle w:val="Normal"/></w:pPr>
<w:r><w:t xml:space="preserve">most naturally among a people where tribal organization</w:t></w:r>
</w:p>
<w:p>
<w:pPr><w:pStyle w:val="Normal"/></w:pPr>
<w:r><w:t xml:space="preserve">has reached a fairly advanced stage, and is the natural</w:t></w:r>
</w:p>
<w:p>
<w:pPr><w:pStyle w:val="Normal"/></w:pPr>
<w:r><w:t xml:space="preserve">outcome of patriotic reverence for a successful chief and his</w:t></w:r>
</w:p>
<w:p>
<w:pPr><w:pStyle w:val="Normal"/></w:pPr>
<w:r><w:t xml:space="preserve">councillors.  Rain-making, too, is of little importance in</w:t></w:r>
</w:p>
<w:p>
<w:pPr><w:pStyle w:val="Normal"/></w:pPr>
<w:r><w:t xml:space="preserve">a well-watered region, but a matter of vital interest to an</w:t></w:r>
</w:p>
<w:p>
<w:pPr><w:pStyle w:val="Normal"/></w:pPr>
<w:r><w:t xml:space="preserve">agricultural people where the rainfall is slight and irregular.</w:t></w:r>
</w:p>
<w:p>
<w:pPr><w:pStyle w:val="Normal"/></w:pPr>
<w:r><w:t xml:space="preserve">Within the eastern and southern Bantu area certain cultural</w:t></w:r>
</w:p>
<w:p>
<w:pPr><w:pStyle w:val="Normal"/></w:pPr>
<w:r><w:t xml:space="preserve">variations occur; beehive huts are found among the Zulu-Xosa</w:t></w:r>
</w:p>
<w:p>
<w:pPr><w:pStyle w:val="Normal"/></w:pPr>
<w:r><w:t xml:space="preserve">and Herero, giving place among the Bechuana to the cylindrical</w:t></w:r>
</w:p>
<w:p>
<w:pPr><w:pStyle w:val="Normal"/></w:pPr>
<w:r><w:t xml:space="preserve">variety with conical roof, a type which, with few exceptions,</w:t></w:r>
</w:p>
<w:p>
<w:pPr><w:pStyle w:val="Normal"/></w:pPr>
<w:r><w:t xml:space="preserve">extends north to Abyssinia.  The tanged spearhead characteristic</w:t></w:r>
</w:p>
<w:p>
<w:pPr><w:pStyle w:val="Normal"/></w:pPr>
<w:r><w:t xml:space="preserve">of the south is replaced by the socketed variety towards the</w:t></w:r>
</w:p>
<w:p>
<w:pPr><w:pStyle w:val="Normal"/></w:pPr>
<w:r><w:t xml:space="preserve">north.  Circumcision, characteristic of the Zulu-Xosa and</w:t></w:r>
</w:p>
<w:p>
<w:pPr><w:pStyle w:val="Normal"/></w:pPr>
<w:r><w:t xml:space="preserve">Bechuana, is not practised by many tribes farther north;</w:t></w:r>
</w:p>
<w:p>
<w:pPr><w:pStyle w:val="Normal"/></w:pPr>
<w:r><w:t xml:space="preserve">tooth-mutilation, on the contrary, is absent among the</w:t></w:r>
</w:p>
<w:p>
<w:pPr><w:pStyle w:val="Normal"/></w:pPr>
<w:r><w:t xml:space="preserve">more southern tribes.  The lip-plug is found in the eastern</w:t></w:r>
</w:p>
<w:p>
<w:pPr><w:pStyle w:val="Normal"/></w:pPr>
<w:r><w:t xml:space="preserve">area, especially among the Nyasa tribes, but not in the</w:t></w:r>
</w:p>
<w:p>
<w:pPr><w:pStyle w:val="Normal"/></w:pPr>
<w:r><w:t xml:space="preserve">south.  The head-rest common in the south-east and the</w:t></w:r>
</w:p>
<w:p>
<w:pPr><w:pStyle w:val="Normal"/></w:pPr>
<w:r><w:t xml:space="preserve">southern fringe of the forest area is not found far</w:t></w:r>
</w:p>
<w:p>
<w:pPr><w:pStyle w:val="Normal"/></w:pPr>
<w:r><w:t xml:space="preserve">north of Tanganyika until the Horn of Africa is reached.</w:t></w:r>
</w:p>
<w:p>
<w:pPr><w:pStyle w:val="Normal"/></w:pPr>
<w:r><w:t xml:space="preserve">In the regions outside the western area occupied by the Negro</w:t></w:r>
</w:p>
<w:p>
<w:pPr><w:pStyle w:val="Normal"/></w:pPr>
<w:r><w:t xml:space="preserve">proper, exclusive of the upper Nile, the similarities of</w:t></w:r>
</w:p>
<w:p>
<w:pPr><w:pStyle w:val="Normal"/></w:pPr>
<w:r><w:t xml:space="preserve">culture outweigh the differences.  Here the cylindrical type</w:t></w:r>
</w:p>
<w:p>
<w:pPr><w:pStyle w:val="Normal"/></w:pPr>
<w:r><w:t xml:space="preserve">of hut prevails; clothing is of skin or leather but is very</w:t></w:r>
</w:p>
<w:p>
<w:pPr><w:pStyle w:val="Normal"/></w:pPr>
<w:r><w:t xml:space="preserve">scanty; iron ornaments are worn in profusion; arrows are not</w:t></w:r>
</w:p>
<w:p>
<w:pPr><w:pStyle w:val="Normal"/></w:pPr>
<w:r><w:t xml:space="preserve">feathered; shields of hide, spears with leather sheaths are</w:t></w:r>
</w:p>
<w:p>
<w:pPr><w:pStyle w:val="Normal"/></w:pPr>
<w:r><w:t xml:space="preserve">found and also fighting bracelets.  Certain small differences</w:t></w:r>
</w:p>
<w:p>
<w:pPr><w:pStyle w:val="Normal"/></w:pPr>
<w:r><w:t xml:space="preserve">appear between the eastern and western portions, the dividing</w:t></w:r>
</w:p>
<w:p>
<w:pPr><w:pStyle w:val="Normal"/></w:pPr>
<w:r><w:t xml:space="preserve">line being formed by the boundary between Bornu and Hausaland.</w:t></w:r>
</w:p>
<w:p>
<w:pPr><w:pStyle w:val="Normal"/></w:pPr>
<w:r><w:t xml:space="preserve">Characteristic of the east are the harp and the throwing-club</w:t></w:r>
</w:p>
<w:p>
<w:pPr><w:pStyle w:val="Normal"/></w:pPr>
<w:r><w:t xml:space="preserve">and throwing-knife, the last of which has penetrated into</w:t></w:r>
</w:p>
<w:p>
<w:pPr><w:pStyle w:val="Normal"/></w:pPr>
<w:r><w:t xml:space="preserve">the forest area.  Typical of the west are the bow and the</w:t></w:r>
</w:p>
<w:p>
<w:pPr><w:pStyle w:val="Normal"/></w:pPr>
<w:r><w:t xml:space="preserve">dagger with the ring hilt.  The tribes of the upper Nile</w:t></w:r>
</w:p>
<w:p>
<w:pPr><w:pStyle w:val="Normal"/></w:pPr>
<w:r><w:t xml:space="preserve">are somewhat specialized, though here, too, are found the</w:t></w:r>
</w:p>
<w:p>
<w:pPr><w:pStyle w:val="Normal"/></w:pPr>
<w:r><w:t xml:space="preserve">cylindrical hut, iron ornaments, fighting bracelets, &amp;c.,</w:t></w:r>
</w:p>
<w:p>
<w:pPr><w:pStyle w:val="Normal"/></w:pPr>
<w:r><w:t xml:space="preserve">characteristic of the Sudanese tribes.  Here the removal of</w:t></w:r>
</w:p>
<w:p>
<w:pPr><w:pStyle w:val="Normal"/></w:pPr>
<w:r><w:t xml:space="preserve">the lower incisors is common, and circumcision entirely absent.</w:t></w:r>
</w:p>
<w:p>
<w:pPr><w:pStyle w:val="Normal"/></w:pPr>
<w:r><w:t xml:space="preserve">Throughout the rest of the Sudan is found Semitic culture</w:t></w:r>
</w:p>
<w:p>
<w:pPr><w:pStyle w:val="Normal"/></w:pPr>
<w:r><w:t xml:space="preserve">introduced by the Arabized Libyan.  Circumcision, as is usual</w:t></w:r>
</w:p>
<w:p>
<w:pPr><w:pStyle w:val="Normal"/></w:pPr>
<w:r><w:t xml:space="preserve">among Mahommedan tribes, is universal, and tooth-mutilation</w:t></w:r>
</w:p>
<w:p>
<w:pPr><w:pStyle w:val="Normal"/></w:pPr>
<w:r><w:t xml:space="preserve">absent; of other characteristics, the use of the sword has</w:t></w:r>
</w:p>
<w:p>
<w:pPr><w:pStyle w:val="Normal"/></w:pPr>
<w:r><w:t xml:space="preserve">penetrated to the northern portion of the forest area.  The</w:t></w:r>
</w:p>
<w:p>
<w:pPr><w:pStyle w:val="Normal"/></w:pPr>
<w:r><w:t xml:space="preserve">culture prevailing in the Horn of Africa is, naturally, mainly</w:t></w:r>
</w:p>
<w:p>
<w:pPr><w:pStyle w:val="Normal"/></w:pPr>
<w:r><w:t xml:space="preserve">Hamito-Semitic; here are found both cyhnddcal and bee-hive</w:t></w:r>
</w:p>
<w:p>
<w:pPr><w:pStyle w:val="Normal"/></w:pPr>
<w:r><w:t xml:space="preserve">huts, the sword (which has been adopted by the Masai to the</w:t></w:r>
</w:p>
<w:p>
<w:pPr><w:pStyle w:val="Normal"/></w:pPr>
<w:r><w:t xml:space="preserve">south), the lyre (which has found its way to some of the Nilotic</w:t></w:r>
</w:p>
<w:p>
<w:pPr><w:pStyle w:val="Normal"/></w:pPr>
<w:r><w:t xml:space="preserve">tribes) and the head-rest.  Circumcision is practically universal.</w:t></w:r>
</w:p>
<w:p>
<w:pPr><w:pStyle w:val="Normal"/></w:pPr>
<w:r><w:t xml:space="preserve">As has been said earlier, the history of Africa reaches back</w:t></w:r>
</w:p>
<w:p>
<w:pPr><w:pStyle w:val="Normal"/></w:pPr>
<w:r><w:t xml:space="preserve">but a short distance, except, of course, as far as the lower</w:t></w:r>
</w:p>
<w:p>
<w:pPr><w:pStyle w:val="Normal"/></w:pPr>
<w:r><w:t xml:space="preserve">Nile valley and Roman Africa is concerned; elsewhere no records</w:t></w:r>
</w:p>
<w:p>
<w:pPr><w:pStyle w:val="Normal"/></w:pPr>
<w:r><w:t xml:space="preserve">exist, save tribal traditions, and these only relate to very</w:t></w:r>
</w:p>
<w:p>
<w:pPr><w:pStyle w:val="Normal"/></w:pPr>
<w:r><w:t xml:space="preserve">recent events.  Even archaeology, which can often sketch</w:t></w:r>
</w:p>
<w:p>
<w:pPr><w:pStyle w:val="Normal"/></w:pPr>
<w:r><w:t xml:space="preserve">the main outlines of a people&apos;s history, is here practically</w:t></w:r>
</w:p>
<w:p>
<w:pPr><w:pStyle w:val="Normal"/></w:pPr>
<w:r><w:t xml:space="preserve">powerless, owing to the insufficiency of data.  It is true</w:t></w:r>
</w:p>
<w:p>
<w:pPr><w:pStyle w:val="Normal"/></w:pPr>
<w:r><w:t xml:space="preserve">that stone imple. ments of palaeolithic and neolithic types</w:t></w:r>
</w:p>
<w:p>
<w:pPr><w:pStyle w:val="Normal"/></w:pPr>
<w:r><w:t xml:space="preserve">are found sporadically in the Nile valley, Somaliland, on the</w:t></w:r>
</w:p>
<w:p>
<w:pPr><w:pStyle w:val="Normal"/></w:pPr>
<w:r><w:t xml:space="preserve">Zambezi, in Cape Colony and the northern portions of the</w:t></w:r>
</w:p>
<w:p>
<w:pPr><w:pStyle w:val="Normal"/></w:pPr>
<w:r><w:t xml:space="preserve">Congo Free State, as well as in Algeria and Tunisia; but the</w:t></w:r>
</w:p>
<w:p>
<w:pPr><w:pStyle w:val="Normal"/></w:pPr>
<w:r><w:t xml:space="preserve">localities are far too few and too widely separated to warrant</w:t></w:r>
</w:p>
<w:p>
<w:pPr><w:pStyle w:val="Normal"/></w:pPr>
<w:r><w:t xml:space="preserve">the inference that they are to be in any way connected.</w:t></w:r>
</w:p>
<w:p>
<w:pPr><w:pStyle w:val="Normal"/></w:pPr>
<w:r><w:t xml:space="preserve">Moreover, where stone implements are found they are, as a rule,</w:t></w:r>
</w:p>
<w:p>
<w:pPr><w:pStyle w:val="Normal"/></w:pPr>
<w:r><w:t xml:space="preserve">very near, even actually on, the surface of the earth; nothing</w:t></w:r>
</w:p>
<w:p>
<w:pPr><w:pStyle w:val="Normal"/></w:pPr>
<w:r><w:t xml:space="preserve">occurs resembling the regular stratification of Europe, and</w:t></w:r>
</w:p>
<w:p>
<w:pPr><w:pStyle w:val="Normal"/></w:pPr>
<w:r><w:t xml:space="preserve">consequently no argument based on geological grounds is possible.</w:t></w:r>
</w:p>
<w:p>
<w:pPr><w:pStyle w:val="Normal"/></w:pPr>
<w:r><w:t xml:space="preserve">The lower Nile valley, however, forms an exception; flint</w:t></w:r>
</w:p>
<w:p>
<w:pPr><w:pStyle w:val="Normal"/></w:pPr>
<w:r><w:t xml:space="preserve">implements of a palaeolithic type have been found near Thebes.</w:t></w:r>
</w:p>
<w:p>
<w:pPr><w:pStyle w:val="Normal"/></w:pPr>
<w:r><w:t xml:space="preserve">not only on the surface of the ground, which for several</w:t></w:r>
</w:p>
<w:p>
<w:pPr><w:pStyle w:val="Normal"/></w:pPr>
<w:r><w:t xml:space="preserve">thousand years has been desert owing to the contraction of</w:t></w:r>
</w:p>
<w:p>
<w:pPr><w:pStyle w:val="Normal"/></w:pPr>
<w:r><w:t xml:space="preserve">the river-bed, but also in stratified gravel of an older</w:t></w:r>
</w:p>
<w:p>
<w:pPr><w:pStyle w:val="Normal"/></w:pPr>
<w:r><w:t xml:space="preserve">date.  References to a number of papers bearing on the</w:t></w:r>
</w:p>
<w:p>
<w:pPr><w:pStyle w:val="Normal"/></w:pPr>
<w:r><w:t xml:space="preserve">discussion to which then discovery has given rise may be</w:t></w:r>
</w:p>
<w:p>
<w:pPr><w:pStyle w:val="Normal"/></w:pPr>
<w:r><w:t xml:space="preserve">found in an article by Mr H. R. Hall in Man, 1905, No. 19.</w:t></w:r>
</w:p>
<w:p>
<w:pPr><w:pStyle w:val="Normal"/></w:pPr>
<w:r><w:t xml:space="preserve">The Egyptian and also the Somali land finds appear to be true</w:t></w:r>
</w:p>
<w:p>
<w:pPr><w:pStyle w:val="Normal"/></w:pPr>
<w:r><w:t xml:space="preserve">palaeoliths in type and remarkably similar to those found in</w:t></w:r>
</w:p>
<w:p>
<w:pPr><w:pStyle w:val="Normal"/></w:pPr>
<w:r><w:t xml:space="preserve">Europe.  But evidence bearing on the Stone age in Africa,</w:t></w:r>
</w:p>
<w:p>
<w:pPr><w:pStyle w:val="Normal"/></w:pPr>
<w:r><w:t xml:space="preserve">if the latter existed apart from the localities mentioned,</w:t></w:r>
</w:p>
<w:p>
<w:pPr><w:pStyle w:val="Normal"/></w:pPr>
<w:r><w:t xml:space="preserve">is so slight that little can be said save that from the</w:t></w:r>
</w:p>
<w:p>
<w:pPr><w:pStyle w:val="Normal"/></w:pPr>
<w:r><w:t xml:space="preserve">available evidence the palaeoliths of the Nile valley alone</w:t></w:r>
</w:p>
<w:p>
<w:pPr><w:pStyle w:val="Normal"/></w:pPr>
<w:r><w:t xml:space="preserve">can with any degree of certainty be assigned to a remote</w:t></w:r>
</w:p>
<w:p>
<w:pPr><w:pStyle w:val="Normal"/></w:pPr>
<w:r><w:t xml:space="preserve">period of antiquity, and that the chips scattered over</w:t></w:r>
</w:p>
<w:p>
<w:pPr><w:pStyle w:val="Normal"/></w:pPr>
<w:r><w:t xml:space="preserve">Mashonaland and the regions occupied within historic times</w:t></w:r>
</w:p>
<w:p>
<w:pPr><w:pStyle w:val="Normal"/></w:pPr>
<w:r><w:t xml:space="preserve">by Bushmen are the most recent; since it has been shown</w:t></w:r>
</w:p>
<w:p>
<w:pPr><w:pStyle w:val="Normal"/></w:pPr>
<w:r><w:t xml:space="preserve">that the stone flakes were used by the medieval Makalanga to</w:t></w:r>
</w:p>
<w:p>
<w:pPr><w:pStyle w:val="Normal"/></w:pPr>
<w:r><w:t xml:space="preserve">engrave their hard pottery and the Bushmen were still using</w:t></w:r>
</w:p>
<w:p>
<w:pPr><w:pStyle w:val="Normal"/></w:pPr>
<w:r><w:t xml:space="preserve">stone implements in the 19th century.  Other early remains,</w:t></w:r>
</w:p>
<w:p>
<w:pPr><w:pStyle w:val="Normal"/></w:pPr>
<w:r><w:t xml:space="preserve">but of equally uncertain date, are the stone circles of</w:t></w:r>
</w:p>
<w:p>
<w:pPr><w:pStyle w:val="Normal"/></w:pPr>
<w:r><w:t xml:space="preserve">Algeria, the Cross river and the Gambia.  The large system of</w:t></w:r>
</w:p>
<w:p>
<w:pPr><w:pStyle w:val="Normal"/></w:pPr>
<w:r><w:t xml:space="preserve">ruined forts and ``cities&apos;&apos; in Mashonaland, at Zimbabwe and</w:t></w:r>
</w:p>
<w:p>
<w:pPr><w:pStyle w:val="Normal"/></w:pPr>
<w:r><w:t xml:space="preserve">elsewhere, concerning which so many ingenious theories have</w:t></w:r>
</w:p>
<w:p>
<w:pPr><w:pStyle w:val="Normal"/></w:pPr>
<w:r><w:t xml:space="preserve">been woven, have been proved to date from medieval times.</w:t></w:r>
</w:p>
<w:p>
<w:pPr><w:pStyle w:val="Normal"/></w:pPr>
<w:r><w:t xml:space="preserve">Origin and spread of the racial stocks.</w:t></w:r>
</w:p>
<w:p>
<w:pPr><w:pStyle w:val="Normal"/></w:pPr>
<w:r><w:t xml:space="preserve">Thus while in Europe there is a Stone age. divided into</w:t></w:r>
</w:p>
<w:p>
<w:pPr><w:pStyle w:val="Normal"/></w:pPr>
<w:r><w:t xml:space="preserve">periods according to various types of implement disposed</w:t></w:r>
</w:p>
<w:p>
<w:pPr><w:pStyle w:val="Normal"/></w:pPr>
<w:r><w:t xml:space="preserve">in geological strata, and followed in orderly succession by</w:t></w:r>
</w:p>
<w:p>
<w:pPr><w:pStyle w:val="Normal"/></w:pPr>
<w:r><w:t xml:space="preserve">the ages of Bronze and Iron, in Africa can be found no true</w:t></w:r>
</w:p>
<w:p>
<w:pPr><w:pStyle w:val="Normal"/></w:pPr>
<w:r><w:t xml:space="preserve">Stone age and practically no Bronze at all.  The reason is</w:t></w:r>
</w:p>
<w:p>
<w:pPr><w:pStyle w:val="Normal"/></w:pPr>
<w:r><w:t xml:space="preserve">not far to seek; Africa is a country of iron, which is found</w:t></w:r>
</w:p>
<w:p>
<w:pPr><w:pStyle w:val="Normal"/></w:pPr>
<w:r><w:t xml:space="preserve">distributed widely throughout the continent in ores so rich</w:t></w:r>
</w:p>
<w:p>
<w:pPr><w:pStyle w:val="Normal"/></w:pPr>
<w:r><w:t xml:space="preserve">that the metal can be extracted with very little trouble</w:t></w:r>
</w:p>
<w:p>
<w:pPr><w:pStyle w:val="Normal"/></w:pPr>
<w:r><w:t xml:space="preserve">and by the simplest methods.  Iron has been worked from</w:t></w:r>
</w:p>
<w:p>
<w:pPr><w:pStyle w:val="Normal"/></w:pPr>
<w:r><w:t xml:space="preserve">time immemorial by the Negroid peoples, and whole tribes are</w:t></w:r>
</w:p>
<w:p>
<w:pPr><w:pStyle w:val="Normal"/></w:pPr>
<w:r><w:t xml:space="preserve">found whose chief industry is the smelting and forging of the</w:t></w:r>
</w:p>
<w:p>
<w:pPr><w:pStyle w:val="Normal"/></w:pPr>
<w:r><w:t xml:space="preserve">metal.  Under such conditions, questions relating to the</w:t></w:r>
</w:p>
<w:p>
<w:pPr><w:pStyle w:val="Normal"/></w:pPr>
<w:r><w:t xml:space="preserve">origin and spread of the racial stocks which form the</w:t></w:r>
</w:p>
<w:p>
<w:pPr><w:pStyle w:val="Normal"/></w:pPr>
<w:r><w:t xml:space="preserve">population of Africa cannot be answered with any certainty;</w:t></w:r>
</w:p>
<w:p>
<w:pPr><w:pStyle w:val="Normal"/></w:pPr>
<w:r><w:t xml:space="preserve">at best only a certain amount of probability can be attained.</w:t></w:r>
</w:p>
<w:p>
<w:pPr><w:pStyle w:val="Normal"/></w:pPr>
<w:r><w:t xml:space="preserve">Five of these racial stocks have been mentioned: Bushman,</w:t></w:r>
</w:p>
<w:p>
<w:pPr><w:pStyle w:val="Normal"/></w:pPr>
<w:r><w:t xml:space="preserve">Negro, Hamite, Semite, Libyan, the last three probably related</w:t></w:r>
</w:p>
<w:p>
<w:pPr><w:pStyle w:val="Normal"/></w:pPr>
<w:r><w:t xml:space="preserve">through some common ancestor.  Of these the honour of being</w:t></w:r>
</w:p>
<w:p>
<w:pPr><w:pStyle w:val="Normal"/></w:pPr>
<w:r><w:t xml:space="preserve">considered the most truly African belongs to the two first.</w:t></w:r>
</w:p>
<w:p>
<w:pPr><w:pStyle w:val="Normal"/></w:pPr>
<w:r><w:t xml:space="preserve">It is true that people of Negroid type are found elsewhere,</w:t></w:r>
</w:p>
<w:p>
<w:pPr><w:pStyle w:val="Normal"/></w:pPr>
<w:r><w:t xml:space="preserve">principally in Melanesia, but as yet their possible connexion</w:t></w:r>
</w:p>
<w:p>
<w:pPr><w:pStyle w:val="Normal"/></w:pPr>
<w:r><w:t xml:space="preserve">with the African Negro is little more than theoretical,</w:t></w:r>
</w:p>
<w:p>
<w:pPr><w:pStyle w:val="Normal"/></w:pPr>
<w:r><w:t xml:space="preserve">and for the present purposes it need not be considered.</w:t></w:r>
</w:p>
<w:p>
<w:pPr><w:pStyle w:val="Normal"/></w:pPr>
<w:r><w:t xml:space="preserve">The origin of the Bushman is lost in obscurity, but he may be</w:t></w:r>
</w:p>
<w:p>
<w:pPr><w:pStyle w:val="Normal"/></w:pPr>
<w:r><w:t xml:space="preserve">conceived as the original inhabitant of the southern portion</w:t></w:r>
</w:p>
<w:p>
<w:pPr><w:pStyle w:val="Normal"/></w:pPr>
<w:r><w:t xml:space="preserve">of the continent.  The original home of the Negro, at first an</w:t></w:r>
</w:p>
<w:p>
<w:pPr><w:pStyle w:val="Normal"/></w:pPr>
<w:r><w:t xml:space="preserve">agriculturist, is most probably to be found in the neighbourhood</w:t></w:r>
</w:p>
<w:p>
<w:pPr><w:pStyle w:val="Normal"/></w:pPr>
<w:r><w:t xml:space="preserve">of the great lakes, whence he penetrated along the fringe</w:t></w:r>
</w:p>
<w:p>
<w:pPr><w:pStyle w:val="Normal"/></w:pPr>
<w:r><w:t xml:space="preserve">of the Sahara to the west and across the eastern highlands</w:t></w:r>
</w:p>
<w:p>
<w:pPr><w:pStyle w:val="Normal"/></w:pPr>
<w:r><w:t xml:space="preserve">southward.  Northerly expansion was prevented by the early</w:t></w:r>
</w:p>
<w:p>
<w:pPr><w:pStyle w:val="Normal"/></w:pPr>
<w:r><w:t xml:space="preserve">occupation of the Nile valley, the only easy route to the</w:t></w:r>
</w:p>
<w:p>
<w:pPr><w:pStyle w:val="Normal"/></w:pPr>
<w:r><w:t xml:space="preserve">Mediterranean, but there seems no doubt that the population</w:t></w:r>
</w:p>
<w:p>
<w:pPr><w:pStyle w:val="Normal"/></w:pPr>
<w:r><w:t xml:space="preserve">of ancient Egypt contained a distinct Negroid element.  The</w:t></w:r>
</w:p>
<w:p>
<w:pPr><w:pStyle w:val="Normal"/></w:pPr>
<w:r><w:t xml:space="preserve">question as to the ethnic affinities of the pre-dynastic Egyptians</w:t></w:r>
</w:p>
<w:p>
<w:pPr><w:pStyle w:val="Normal"/></w:pPr>
<w:r><w:t xml:space="preserve">is still unsolved; but they may be regarded as, in the main,</w:t></w:r>
</w:p>
<w:p>
<w:pPr><w:pStyle w:val="Normal"/></w:pPr>
<w:r><w:t xml:space="preserve">Hamitic, though it is a question how far it is just to apply</w:t></w:r>
</w:p>
<w:p>
<w:pPr><w:pStyle w:val="Normal"/></w:pPr>
<w:r><w:t xml:space="preserve">a name which implies a definite specialization in what may</w:t></w:r>
</w:p>
<w:p>
<w:pPr><w:pStyle w:val="Normal"/></w:pPr>
<w:r><w:t xml:space="preserve">be comparatively modern times to a people of such antiquity.</w:t></w:r>
</w:p>
<w:p>
<w:pPr><w:pStyle w:val="Normal"/></w:pPr>
<w:r><w:t xml:space="preserve">The Horn of Africa appears to have been the centre from</w:t></w:r>
</w:p>
<w:p>
<w:pPr><w:pStyle w:val="Normal"/></w:pPr>
<w:r><w:t xml:space="preserve">which the Hamites spread, and the pressure they seem to have</w:t></w:r>
</w:p>
<w:p>
<w:pPr><w:pStyle w:val="Normal"/></w:pPr>
<w:r><w:t xml:space="preserve">applied to the Negro tribes, themselves also in process of</w:t></w:r>
</w:p>
<w:p>
<w:pPr><w:pStyle w:val="Normal"/></w:pPr>
<w:r><w:t xml:space="preserve">expansion, sent forth larger waves of emigrants from the</w:t></w:r>
</w:p>
<w:p>
<w:pPr><w:pStyle w:val="Normal"/></w:pPr>
<w:r><w:t xml:space="preserve">latter.  These emigrants, already affected by the Hamitic</w:t></w:r>
</w:p>
<w:p>
<w:pPr><w:pStyle w:val="Normal"/></w:pPr>
<w:r><w:t xml:space="preserve">pastoral culture, and with a strain of Hamitic blood in</w:t></w:r>
</w:p>
<w:p>
<w:pPr><w:pStyle w:val="Normal"/></w:pPr>
<w:r><w:t xml:space="preserve">their veins, passed rapidly down the open tract in the</w:t></w:r>
</w:p>
<w:p>
<w:pPr><w:pStyle w:val="Normal"/></w:pPr>
<w:r><w:t xml:space="preserve">east, doubtless exterminating their predecessors, except</w:t></w:r>
</w:p>
<w:p>
<w:pPr><w:pStyle w:val="Normal"/></w:pPr>
<w:r><w:t xml:space="preserve">such few as took refuge in the mountains and swamps.  The</w:t></w:r>
</w:p>
<w:p>
<w:pPr><w:pStyle w:val="Normal"/></w:pPr>
<w:r><w:t xml:space="preserve">advance-guard of this wave of pastoral Negroids, in fact</w:t></w:r>
</w:p>
<w:p>
<w:pPr><w:pStyle w:val="Normal"/></w:pPr>
<w:r><w:t xml:space="preserve">primitive Bantu, mingled with the Bushmen and produced the</w:t></w:r>
</w:p>
<w:p>
<w:pPr><w:pStyle w:val="Normal"/></w:pPr>
<w:r><w:t xml:space="preserve">Hottentots.  The penetration of the forest area must certainly</w:t></w:r>
</w:p>
<w:p>
<w:pPr><w:pStyle w:val="Normal"/></w:pPr>
<w:r><w:t xml:space="preserve">have taken longer and was probably accomplished as much from</w:t></w:r>
</w:p>
<w:p>
<w:pPr><w:pStyle w:val="Normal"/></w:pPr>
<w:r><w:t xml:space="preserve">the south-east, up the Zambezi valley, as from any other</w:t></w:r>
</w:p>
<w:p>
<w:pPr><w:pStyle w:val="Normal"/></w:pPr>
<w:r><w:t xml:space="preserve">quarter.  It was a more peaceful process, since natural</w:t></w:r>
</w:p>
<w:p>
<w:pPr><w:pStyle w:val="Normal"/></w:pPr>
<w:r><w:t xml:space="preserve">obstacles are unfavourable to rapid movements of large bodies</w:t></w:r>
</w:p>
<w:p>
<w:pPr><w:pStyle w:val="Normal"/></w:pPr>
<w:r><w:t xml:space="preserve">of immigrants, though not so serious as to prevent the spread</w:t></w:r>
</w:p>
<w:p>
<w:pPr><w:pStyle w:val="Normal"/></w:pPr>
<w:r><w:t xml:space="preserve">of language and culture.  A modern parallel to the spread</w:t></w:r>
</w:p>
<w:p>
<w:pPr><w:pStyle w:val="Normal"/></w:pPr>
<w:r><w:t xml:space="preserve">of Bantu speech is found in the rise of the Hausa language,</w:t></w:r>
</w:p>
<w:p>
<w:pPr><w:pStyle w:val="Normal"/></w:pPr>
<w:r><w:t xml:space="preserve">which is gradually enlarging its sphere of influence in the</w:t></w:r>
</w:p>
<w:p>
<w:pPr><w:pStyle w:val="Normal"/></w:pPr>
<w:r><w:t xml:space="preserve">western and central Sudan.  Thus those qualities, physical and</w:t></w:r>
</w:p>
<w:p>
<w:pPr><w:pStyle w:val="Normal"/></w:pPr>
<w:r><w:t xml:space="preserve">otherwise, in which the Bantu approach the Hamites gradually</w:t></w:r>
</w:p>
<w:p>
<w:pPr><w:pStyle w:val="Normal"/></w:pPr>
<w:r><w:t xml:space="preserve">fade as we proceed westward through the Congo basin, while</w:t></w:r>
</w:p>
<w:p>
<w:pPr><w:pStyle w:val="Normal"/></w:pPr>
<w:r><w:t xml:space="preserve">in the east, among the tribes to the west of Tanganyika and</w:t></w:r>
</w:p>
<w:p>
<w:pPr><w:pStyle w:val="Normal"/></w:pPr>
<w:r><w:t xml:space="preserve">on the upper Zambezi, ``transitional&apos;&apos; forms of culture are</w:t></w:r>
</w:p>
<w:p>
<w:pPr><w:pStyle w:val="Normal"/></w:pPr>
<w:r><w:t xml:space="preserve">found.  In later times this gradual pressure from the</w:t></w:r>
</w:p>
<w:p>
<w:pPr><w:pStyle w:val="Normal"/></w:pPr>
<w:r><w:t xml:space="preserve">south-east became greater, and resulted, at a comparatively</w:t></w:r>
</w:p>
<w:p>
<w:pPr><w:pStyle w:val="Normal"/></w:pPr>
<w:r><w:t xml:space="preserve">recent date, in the irruption of the Fang into the Gabun.</w:t></w:r>
</w:p>
<w:p>
<w:pPr><w:pStyle w:val="Normal"/></w:pPr>
<w:r><w:t xml:space="preserve">The earlier stages of the southern movement must have</w:t></w:r>
</w:p>
<w:p>
<w:pPr><w:pStyle w:val="Normal"/></w:pPr>
<w:r><w:t xml:space="preserve">been accompanied by a similar movement westward between</w:t></w:r>
</w:p>
<w:p>
<w:pPr><w:pStyle w:val="Normal"/></w:pPr>
<w:r><w:t xml:space="preserve">the Sahara and the forest; and, probably, at the same</w:t></w:r>
</w:p>
<w:p>
<w:pPr><w:pStyle w:val="Normal"/></w:pPr>
<w:r><w:t xml:space="preserve">time, or even earlier, the Libyans crossing the desert had</w:t></w:r>
</w:p>
<w:p>
<w:pPr><w:pStyle w:val="Normal"/></w:pPr>
<w:r><w:t xml:space="preserve">begun to press upon the primitive Negroes from the north.</w:t></w:r>
</w:p>
<w:p>
<w:pPr><w:pStyle w:val="Normal"/></w:pPr>
<w:r><w:t xml:space="preserve">In this way were produced the Fula, who mingled further</w:t></w:r>
</w:p>
<w:p>
<w:pPr><w:pStyle w:val="Normal"/></w:pPr>
<w:r><w:t xml:space="preserve">with the Negro to give birth to the Mandingo, Wolof and</w:t></w:r>
</w:p>
<w:p>
<w:pPr><w:pStyle w:val="Normal"/></w:pPr>
<w:r><w:t xml:space="preserve">Tukulor.  It would appear that either Libyan (Fula) or, less</w:t></w:r>
</w:p>
<w:p>
<w:pPr><w:pStyle w:val="Normal"/></w:pPr>
<w:r><w:t xml:space="preserve">probably, Hamitic, blood enters into the composition of the</w:t></w:r>
</w:p>
<w:p>
<w:pPr><w:pStyle w:val="Normal"/></w:pPr>
<w:r><w:t xml:space="preserve">Zandeh peoples on the Nile-Congo watershed.  These Libyans or</w:t></w:r>
</w:p>
<w:p>
<w:pPr><w:pStyle w:val="Normal"/></w:pPr>
<w:r><w:t xml:space="preserve">Berbers, included by G. Sergi in his ``Mediterranean Race,&apos;&apos;</w:t></w:r>
</w:p>
<w:p>
<w:pPr><w:pStyle w:val="Normal"/></w:pPr>
<w:r><w:t xml:space="preserve">were active on the north coast of Africa in very early times,</w:t></w:r>
</w:p>
<w:p>
<w:pPr><w:pStyle w:val="Normal"/></w:pPr>
<w:r><w:t xml:space="preserve">and had relations with the Egyptians from a prehistoric</w:t></w:r>
</w:p>
<w:p>
<w:pPr><w:pStyle w:val="Normal"/></w:pPr>
<w:r><w:t xml:space="preserve">period.  For long these movements continued, always in the</w:t></w:r>
</w:p>
<w:p>
<w:pPr><w:pStyle w:val="Normal"/></w:pPr>
<w:r><w:t xml:space="preserve">same direction, from north to south and from east to west;</w:t></w:r>
</w:p>
<w:p>
<w:pPr><w:pStyle w:val="Normal"/></w:pPr>
<w:r><w:t xml:space="preserve">though, of course, more rapid changes took place in the open</w:t></w:r>
</w:p>
<w:p>
<w:pPr><w:pStyle w:val="Normal"/></w:pPr>
<w:r><w:t xml:space="preserve">country, especially in the great eastern highway from north to</w:t></w:r>
</w:p>
<w:p>
<w:pPr><w:pStyle w:val="Normal"/></w:pPr>
<w:r><w:t xml:space="preserve">south, than in the forest area.  Large states arose in the</w:t></w:r>
</w:p>
<w:p>
<w:pPr><w:pStyle w:val="Normal"/></w:pPr>
<w:r><w:t xml:space="preserve">western Sudan; Ghana flourished in the 7th century A.D.,</w:t></w:r>
</w:p>
<w:p>
<w:pPr><w:pStyle w:val="Normal"/></w:pPr>
<w:r><w:t xml:space="preserve">Melle in the 11th, Songhai in the 14th, and Bornu in the 16th.</w:t></w:r>
</w:p>
<w:p>
<w:pPr><w:pStyle w:val="Normal"/></w:pPr>
<w:r><w:t xml:space="preserve">Meanwhile in the east began the southerly movement of the</w:t></w:r>
</w:p>
<w:p>
<w:pPr><w:pStyle w:val="Normal"/></w:pPr>
<w:r><w:t xml:space="preserve">Bechuana, which was probably,spread over a considerable</w:t></w:r>
</w:p>
<w:p>
<w:pPr><w:pStyle w:val="Normal"/></w:pPr>
<w:r><w:t xml:space="preserve">period.  Later than they, hut proceeding faster, came the</w:t></w:r>
</w:p>
<w:p>
<w:pPr><w:pStyle w:val="Normal"/></w:pPr>
<w:r><w:t xml:space="preserve">Zulu-Xosa (``Kaffir&apos;&apos;) peoples, who followed a line nearer</w:t></w:r>
</w:p>
<w:p>
<w:pPr><w:pStyle w:val="Normal"/></w:pPr>
<w:r><w:t xml:space="preserve">the coast and outflanked them, surrounding them on the</w:t></w:r>
</w:p>
<w:p>
<w:pPr><w:pStyle w:val="Normal"/></w:pPr>
<w:r><w:t xml:space="preserve">south.  Then followed a time of great ethnical confusion</w:t></w:r>
</w:p>
<w:p>
<w:pPr><w:pStyle w:val="Normal"/></w:pPr>
<w:r><w:t xml:space="preserve">in South Africa, during which tribes flourished, split up</w:t></w:r>
</w:p>
<w:p>
<w:pPr><w:pStyle w:val="Normal"/></w:pPr>
<w:r><w:t xml:space="preserve">and disappeared; but ere this the culture represented by</w:t></w:r>
</w:p>
<w:p>
<w:pPr><w:pStyle w:val="Normal"/></w:pPr>
<w:r><w:t xml:space="preserve">the ruins in Rhodesia had waxed and waned.  It is uncertain</w:t></w:r>
</w:p>
<w:p>
<w:pPr><w:pStyle w:val="Normal"/></w:pPr>
<w:r><w:t xml:space="preserve">who were the builders of the forts and ``cities,&apos;&apos; but it</w:t></w:r>
</w:p>
<w:p>
<w:pPr><w:pStyle w:val="Normal"/></w:pPr>
<w:r><w:t xml:space="preserve">is not improbable that they may be found to have been early</w:t></w:r>
</w:p>
<w:p>
<w:pPr><w:pStyle w:val="Normal"/></w:pPr>
<w:r><w:t xml:space="preserve">Bechuana.  The Zulu-Xosa, Bechuana and Herero together form</w:t></w:r>
</w:p>
<w:p>
<w:pPr><w:pStyle w:val="Normal"/></w:pPr>
<w:r><w:t xml:space="preserve">a group which may conveniently be termed ``Southern Bantu.&apos;,</w:t></w:r>
</w:p>
<w:p>
<w:pPr><w:pStyle w:val="Normal"/></w:pPr>
<w:r><w:t xml:space="preserve">Finally began a movement hitherto unparalleled in the</w:t></w:r>
</w:p>
<w:p>
<w:pPr><w:pStyle w:val="Normal"/></w:pPr>
<w:r><w:t xml:space="preserve">history of African migration; certain peoples of Zulu</w:t></w:r>
</w:p>
<w:p>
<w:pPr><w:pStyle w:val="Normal"/></w:pPr>
<w:r><w:t xml:space="preserve">blood began to press north, spreading destruction in their</w:t></w:r>
</w:p>
<w:p>
<w:pPr><w:pStyle w:val="Normal"/></w:pPr>
<w:r><w:t xml:space="preserve">wake.  Of these the principal were the Matabele and</w:t></w:r>
</w:p>
<w:p>
<w:pPr><w:pStyle w:val="Normal"/></w:pPr>
<w:r><w:t xml:space="preserve">Angoni.  The movement continued as far as the Victoria</w:t></w:r>
</w:p>
<w:p>
<w:pPr><w:pStyle w:val="Normal"/></w:pPr>
<w:r><w:t xml:space="preserve">Nyanza.  Here, on the border-line of Negro, Bantu and</w:t></w:r>
</w:p>
<w:p>
<w:pPr><w:pStyle w:val="Normal"/></w:pPr>
<w:r><w:t xml:space="preserve">Hamite, important changes had taken place.  Certain of the</w:t></w:r>
</w:p>
<w:p>
<w:pPr><w:pStyle w:val="Normal"/></w:pPr>
<w:r><w:t xml:space="preserve">Negro tribes had retired to the swamps of the Nile, and had</w:t></w:r>
</w:p>
<w:p>
<w:pPr><w:pStyle w:val="Normal"/></w:pPr>
<w:r><w:t xml:space="preserve">become somewhat specialized, both physically and culturally</w:t></w:r>
</w:p>
<w:p>
<w:pPr><w:pStyle w:val="Normal"/></w:pPr>
<w:r><w:t xml:space="preserve">(Shilluk, Dinka, Alur, Acholi, &amp;c.).  These had blended with</w:t></w:r>
</w:p>
<w:p>
<w:pPr><w:pStyle w:val="Normal"/></w:pPr>
<w:r><w:t xml:space="preserve">the Hamites to produce such races as the Masai and kindred</w:t></w:r>
</w:p>
<w:p>
<w:pPr><w:pStyle w:val="Normal"/></w:pPr>
<w:r><w:t xml:space="preserve">tribes.  The old Kitwara empire, which comprised the plateau</w:t></w:r>
</w:p>
<w:p>
<w:pPr><w:pStyle w:val="Normal"/></w:pPr>
<w:r><w:t xml:space="preserve">land between the Ruwenzori range and Kavirondo, had broken</w:t></w:r>
</w:p>
<w:p>
<w:pPr><w:pStyle w:val="Normal"/></w:pPr>
<w:r><w:t xml:space="preserve">up into small states, usually governed by a Hamitic (Ba-Hima)</w:t></w:r>
</w:p>
<w:p>
<w:pPr><w:pStyle w:val="Normal"/></w:pPr>
<w:r><w:t xml:space="preserve">aristocracy.  The more extensive Zang (Zenj) empire, of which.</w:t></w:r>
</w:p>
<w:p>
<w:pPr><w:pStyle w:val="Normal"/></w:pPr>
<w:r><w:t xml:space="preserve">the name Zanzibar (Zanguebar) is a lasting memorial, extending</w:t></w:r>
</w:p>
<w:p>
<w:pPr><w:pStyle w:val="Normal"/></w:pPr>
<w:r><w:t xml:space="preserve">along the sea-board from Somaliland to the Zambezi, was also</w:t></w:r>
</w:p>
<w:p>
<w:pPr><w:pStyle w:val="Normal"/></w:pPr>
<w:r><w:t xml:space="preserve">extinct.  The Arabs had established themselves firmly on the</w:t></w:r>
</w:p>
<w:p>
<w:pPr><w:pStyle w:val="Normal"/></w:pPr>
<w:r><w:t xml:space="preserve">coast, and thence made continual slave-raids into the interior,</w:t></w:r>
</w:p>
<w:p>
<w:pPr><w:pStyle w:val="Normal"/></w:pPr>
<w:r><w:t xml:space="preserve">penetrating later to the Congo.  The Swahili, inhabiting the</w:t></w:r>
</w:p>
<w:p>
<w:pPr><w:pStyle w:val="Normal"/></w:pPr>
<w:r><w:t xml:space="preserve">coast-line from the equator to about 16 deg.  S., are a somewhat</w:t></w:r>
</w:p>
<w:p>
<w:pPr><w:pStyle w:val="Normal"/></w:pPr>
<w:r><w:t xml:space="preserve">heterogeneous mixture of Bantu with a tinge of Arab blood.</w:t></w:r>
</w:p>
<w:p>
<w:pPr><w:pStyle w:val="Normal"/></w:pPr>
<w:r><w:t xml:space="preserve">In the neighbourhood of Victoria Nyanza, where Hamite, Bantu,</w:t></w:r>
</w:p>
<w:p>
<w:pPr><w:pStyle w:val="Normal"/></w:pPr>
<w:r><w:t xml:space="preserve">Nilotic Negro and Pygmy are found in close contact, the ethnic</w:t></w:r>
</w:p>
<w:p>
<w:pPr><w:pStyle w:val="Normal"/></w:pPr>
<w:r><w:t xml:space="preserve">relations of tribes are often puzzling, but the Bantu not under</w:t></w:r>
</w:p>
<w:p>
<w:pPr><w:pStyle w:val="Normal"/></w:pPr>
<w:r><w:t xml:space="preserve">a Hamitic domination have been divided by F. Stuhlmann into</w:t></w:r>
</w:p>
<w:p>
<w:pPr><w:pStyle w:val="Normal"/></w:pPr>
<w:r><w:t xml:space="preserve">the Older Bantu (Wanyamwezi, Wasukuma, Wasambara, Waseguha,</w:t></w:r>
</w:p>
<w:p>
<w:pPr><w:pStyle w:val="Normal"/></w:pPr>
<w:r><w:t xml:space="preserve">Wasagara, Wasaramo, &amp;c.) and the Bantu of Later Immigration</w:t></w:r>
</w:p>
<w:p>
<w:pPr><w:pStyle w:val="Normal"/></w:pPr>
<w:r><w:t xml:space="preserve">(Wakikuyu, Wakamba, Wapokomo, Wataita, Wachaga, &amp;c.), who are</w:t></w:r>
</w:p>
<w:p>
<w:pPr><w:pStyle w:val="Normal"/></w:pPr>
<w:r><w:t xml:space="preserve">more strongly Hamitized and in many cases have adopted Masai</w:t></w:r>
</w:p>
<w:p>
<w:pPr><w:pStyle w:val="Normal"/></w:pPr>
<w:r><w:t xml:space="preserve">customs.  These peoples, from the Victoria Nyanza to the</w:t></w:r>
</w:p>
<w:p>
<w:pPr><w:pStyle w:val="Normal"/></w:pPr>
<w:r><w:t xml:space="preserve">Zambezi, may conveniently be termed the ``Eastern Bantu.&apos;&apos;</w:t></w:r>
</w:p>
<w:p>
<w:pPr><w:pStyle w:val="Normal"/></w:pPr>
<w:r><w:t xml:space="preserve">Turning to the Congo basin in the south, the great Luba</w:t></w:r>
</w:p>
<w:p>
<w:pPr><w:pStyle w:val="Normal"/></w:pPr>
<w:r><w:t xml:space="preserve">and Lunda peoples are found stretching nearly across the</w:t></w:r>
</w:p>
<w:p>
<w:pPr><w:pStyle w:val="Normal"/></w:pPr>
<w:r><w:t xml:space="preserve">continent, the latter, from at any rate the end of the 16th</w:t></w:r>
</w:p>
<w:p>
<w:pPr><w:pStyle w:val="Normal"/></w:pPr>
<w:r><w:t xml:space="preserve">century until the close of the 19th century, more or less</w:t></w:r>
</w:p>
<w:p>
<w:pPr><w:pStyle w:val="Normal"/></w:pPr>
<w:r><w:t xml:space="preserve">united under a single ruler, styled Muata Yanvo.  These seem</w:t></w:r>
</w:p>
<w:p>
<w:pPr><w:pStyle w:val="Normal"/></w:pPr>
<w:r><w:t xml:space="preserve">to have been the most recent immigrants from the south-east,</w:t></w:r>
</w:p>
<w:p>
<w:pPr><w:pStyle w:val="Normal"/></w:pPr>
<w:r><w:t xml:space="preserve">and to exhibit certain affinities with the Barotse on the</w:t></w:r>
</w:p>
<w:p>
<w:pPr><w:pStyle w:val="Normal"/></w:pPr>
<w:r><w:t xml:space="preserve">upper Zambezi.  Among the western Baluba, or Bashilange,</w:t></w:r>
</w:p>
<w:p>
<w:pPr><w:pStyle w:val="Normal"/></w:pPr>
<w:r><w:t xml:space="preserve">a remarkable politico-religious revolution took place at</w:t></w:r>
</w:p>
<w:p>
<w:pPr><w:pStyle w:val="Normal"/></w:pPr>
<w:r><w:t xml:space="preserve">a comparatively recent date, initiated by a secret society</w:t></w:r>
</w:p>
<w:p>
<w:pPr><w:pStyle w:val="Normal"/></w:pPr>
<w:r><w:t xml:space="preserve">termed Bena Riamba or ``Sons of Hemp,&apos;&apos; and resulted in</w:t></w:r>
</w:p>
<w:p>
<w:pPr><w:pStyle w:val="Normal"/></w:pPr>
<w:r><w:t xml:space="preserve">the subordination of the old fetishism to a cult of hemp, in</w:t></w:r>
</w:p>
<w:p>
<w:pPr><w:pStyle w:val="Normal"/></w:pPr>
<w:r><w:t xml:space="preserve">accordance with which all hemp-smokers consider themselves</w:t></w:r>
</w:p>
<w:p>
<w:pPr><w:pStyle w:val="Normal"/></w:pPr>
<w:r><w:t xml:space="preserve">brothers, and the duty of mutual hospitality, &amp;c., is</w:t></w:r>
</w:p>
<w:p>
<w:pPr><w:pStyle w:val="Normal"/></w:pPr>
<w:r><w:t xml:space="preserve">acknowledged.  North of these, in the great bend of the Congo,</w:t></w:r>
</w:p>
<w:p>
<w:pPr><w:pStyle w:val="Normal"/></w:pPr>
<w:r><w:t xml:space="preserve">are the Balolo, &amp;c., the Balolo a nation of iron-workers;</w:t></w:r>
</w:p>
<w:p>
<w:pPr><w:pStyle w:val="Normal"/></w:pPr>
<w:r><w:t xml:space="preserve">and westward, on the Kasai, the Bakuba, and a large number</w:t></w:r>
</w:p>
<w:p>
<w:pPr><w:pStyle w:val="Normal"/></w:pPr>
<w:r><w:t xml:space="preserve">of tribes as yet imperfectly known.  Farther west are the</w:t></w:r>
</w:p>
<w:p>
<w:pPr><w:pStyle w:val="Normal"/></w:pPr>
<w:r><w:t xml:space="preserve">tribes of Angola, many of whom were included within the</w:t></w:r>
</w:p>
<w:p>
<w:pPr><w:pStyle w:val="Normal"/></w:pPr>
<w:r><w:t xml:space="preserve">old ``Congo empire,&apos;&apos; of which the kingdom of Loango was an</w:t></w:r>
</w:p>
<w:p>
<w:pPr><w:pStyle w:val="Normal"/></w:pPr>
<w:r><w:t xml:space="preserve">offshoot.  North of the latter lies the Gabun, with a large</w:t></w:r>
</w:p>
<w:p>
<w:pPr><w:pStyle w:val="Normal"/></w:pPr>
<w:r><w:t xml:space="preserve">number of small tribes dominated by the Fang who are recent</w:t></w:r>
</w:p>
<w:p>
<w:pPr><w:pStyle w:val="Normal"/></w:pPr>
<w:r><w:t xml:space="preserve">arrivals from the Congo.  Farther to the north are the Bali</w:t></w:r>
</w:p>
<w:p>
<w:pPr><w:pStyle w:val="Normal"/></w:pPr>
<w:r><w:t xml:space="preserve">and other tribes of the Cameroon, among whom many primitive</w:t></w:r>
</w:p>
<w:p>
<w:pPr><w:pStyle w:val="Normal"/></w:pPr>
<w:r><w:t xml:space="preserve">Negroid elements begin to appear.  Eastward are the Zandeh</w:t></w:r>
</w:p>
<w:p>
<w:pPr><w:pStyle w:val="Normal"/></w:pPr>
<w:r><w:t xml:space="preserve">peoples of the Welle district (primitive Negroids with a</w:t></w:r>
</w:p>
<w:p>
<w:pPr><w:pStyle w:val="Normal"/></w:pPr>
<w:r><w:t xml:space="preserve">Hamitic or, more probably, Libyan strain), with whom the</w:t></w:r>
</w:p>
<w:p>
<w:pPr><w:pStyle w:val="Normal"/></w:pPr>
<w:r><w:t xml:space="preserve">Dor trine of Nilotes on their eastern border show certain</w:t></w:r>
</w:p>
<w:p>
<w:pPr><w:pStyle w:val="Normal"/></w:pPr>
<w:r><w:t xml:space="preserve">affinities; while to the west along the coast are the Guinea</w:t></w:r>
</w:p>
<w:p>
<w:pPr><w:pStyle w:val="Normal"/></w:pPr>
<w:r><w:t xml:space="preserve">Negroes of primitive type.  Here, amidst great linguistic</w:t></w:r>
</w:p>
<w:p>
<w:pPr><w:pStyle w:val="Normal"/></w:pPr>
<w:r><w:t xml:space="preserve">confusion, may be distinguished the tribes of Yoruba speech</w:t></w:r>
</w:p>
<w:p>
<w:pPr><w:pStyle w:val="Normal"/></w:pPr>
<w:r><w:t xml:space="preserve">in the Niger delta and the east portion of the Slave Coast;</w:t></w:r>
</w:p>
<w:p>
<w:pPr><w:pStyle w:val="Normal"/></w:pPr>
<w:r><w:t xml:space="preserve">those of Ewe speech, in the western portion of the latter;</w:t></w:r>
</w:p>
<w:p>
<w:pPr><w:pStyle w:val="Normal"/></w:pPr>
<w:r><w:t xml:space="preserve">and those of Ga and Tshi speech, on the Gold Coast.  Among the</w:t></w:r>
</w:p>
<w:p>
<w:pPr><w:pStyle w:val="Normal"/></w:pPr>
<w:r><w:t xml:space="preserve">last two groups respectively may be mentioned the Dahomi and</w:t></w:r>
</w:p>
<w:p>
<w:pPr><w:pStyle w:val="Normal"/></w:pPr>
<w:r><w:t xml:space="preserve">Ashanti.  Similar tribes are found along the coast to the</w:t></w:r>
</w:p>
<w:p>
<w:pPr><w:pStyle w:val="Normal"/></w:pPr>
<w:r><w:t xml:space="preserve">Bissagos Islands, though the introduction in Sierra Leone and</w:t></w:r>
</w:p>
<w:p>
<w:pPr><w:pStyle w:val="Normal"/></w:pPr>
<w:r><w:t xml:space="preserve">Liberia of settlements of repatriated slaves from the American</w:t></w:r>
</w:p>
<w:p>
<w:pPr><w:pStyle w:val="Normal"/></w:pPr>
<w:r><w:t xml:space="preserve">plantations has in those places modified the original ethnic</w:t></w:r>
</w:p>
<w:p>
<w:pPr><w:pStyle w:val="Normal"/></w:pPr>
<w:r><w:t xml:space="preserve">distribution.  Leaving the forest zone and entering the more</w:t></w:r>
</w:p>
<w:p>
<w:pPr><w:pStyle w:val="Normal"/></w:pPr>
<w:r><w:t xml:space="preserve">open country there are, on the north from the Niger to the</w:t></w:r>
</w:p>
<w:p>
<w:pPr><w:pStyle w:val="Normal"/></w:pPr>
<w:r><w:t xml:space="preserve">Nile, a number of Negroids strongly tinged with Libyan blood and</w:t></w:r>
</w:p>
<w:p>
<w:pPr><w:pStyle w:val="Normal"/></w:pPr>
<w:r><w:t xml:space="preserve">professing the Mahommedan religion.  Such are the Mandingo, the</w:t></w:r>
</w:p>
<w:p>
<w:pPr><w:pStyle w:val="Normal"/></w:pPr>
<w:r><w:t xml:space="preserve">Songhai, the Fula, Hausa, Kanuri, Bagirmi, Kanembu, and the</w:t></w:r>
</w:p>
<w:p>
<w:pPr><w:pStyle w:val="Normal"/></w:pPr>
<w:r><w:t xml:space="preserve">peoples of Wadai and Darfur; the few aborigines who persist, on</w:t></w:r>
</w:p>
<w:p>
<w:pPr><w:pStyle w:val="Normal"/></w:pPr>
<w:r><w:t xml:space="preserve">the southern fringe of the Chad basin, are imperfectly known.</w:t></w:r>
</w:p>
<w:p>
<w:pPr><w:pStyle w:val="Normal"/></w:pPr>
<w:r><w:t xml:space="preserve">Peculiar conditions in Madagascar.</w:t></w:r>
</w:p>
<w:p>
<w:pPr><w:pStyle w:val="Normal"/></w:pPr>
<w:r><w:t xml:space="preserve">The island of Madagascar, belonging to the African continent,</w:t></w:r>
</w:p>
<w:p>
<w:pPr><w:pStyle w:val="Normal"/></w:pPr>
<w:r><w:t xml:space="preserve">still remains for discussion.  Here the ethnological conditions</w:t></w:r>
</w:p>
<w:p>
<w:pPr><w:pStyle w:val="Normal"/></w:pPr>
<w:r><w:t xml:space="preserve">are people were the Hova, a Malayo-Indonesian people who</w:t></w:r>
</w:p>
<w:p>
<w:pPr><w:pStyle w:val="Normal"/></w:pPr>
<w:r><w:t xml:space="preserve">must have come from the Malay Peninsula or the adjacent</w:t></w:r>
</w:p>
<w:p>
<w:pPr><w:pStyle w:val="Normal"/></w:pPr>
<w:r><w:t xml:space="preserve">islands.  The date of their immigration has been line subject</w:t></w:r>
</w:p>
<w:p>
<w:pPr><w:pStyle w:val="Normal"/></w:pPr>
<w:r><w:t xml:space="preserve">of a good deal of dispute, but it may be argued that their</w:t></w:r>
</w:p>
<w:p>
<w:pPr><w:pStyle w:val="Normal"/></w:pPr>
<w:r><w:t xml:space="preserve">arrival must have taken place in early times, since Malagasy</w:t></w:r>
</w:p>
<w:p>
<w:pPr><w:pStyle w:val="Normal"/></w:pPr>
<w:r><w:t xml:space="preserve">speech, which is the language of the island, is principally</w:t></w:r>
</w:p>
<w:p>
<w:pPr><w:pStyle w:val="Normal"/></w:pPr>
<w:r><w:t xml:space="preserve">Malayo-Polynesian in origin, and contains no traces of</w:t></w:r>
</w:p>
<w:p>
<w:pPr><w:pStyle w:val="Normal"/></w:pPr>
<w:r><w:t xml:space="preserve">Sanskrit.  Such traces, introduced with Hinduism, are</w:t></w:r>
</w:p>
<w:p>
<w:pPr><w:pStyle w:val="Normal"/></w:pPr>
<w:r><w:t xml:space="preserve">present in all the cultivated languages of Malaysia at</w:t></w:r>
</w:p>
<w:p>
<w:pPr><w:pStyle w:val="Normal"/></w:pPr>
<w:r><w:t xml:space="preserve">the present day.The Hova occupy the table-land of Imerina</w:t></w:r>
</w:p>
<w:p>
<w:pPr><w:pStyle w:val="Normal"/></w:pPr>
<w:r><w:t xml:space="preserve">and form the first of the three main groups into which the</w:t></w:r>
</w:p>
<w:p>
<w:pPr><w:pStyle w:val="Normal"/></w:pPr>
<w:r><w:t xml:space="preserve">population of Madagascar may be divided.  They are short, of</w:t></w:r>
</w:p>
<w:p>
<w:pPr><w:pStyle w:val="Normal"/></w:pPr>
<w:r><w:t xml:space="preserve">an olive-yellow complexion and have straight or faintly wavy</w:t></w:r>
</w:p>
<w:p>
<w:pPr><w:pStyle w:val="Normal"/></w:pPr>
<w:r><w:t xml:space="preserve">hair.  On the east coast are the Malagasy, who in physical</w:t></w:r>
</w:p>
<w:p>
<w:pPr><w:pStyle w:val="Normal"/></w:pPr>
<w:r><w:t xml:space="preserve">characteristics stand halfway between the Hova and the</w:t></w:r>
</w:p>
<w:p>
<w:pPr><w:pStyle w:val="Normal"/></w:pPr>
<w:r><w:t xml:space="preserve">Sakalava, the last occupying the remaining portion of the</w:t></w:r>
</w:p>
<w:p>
<w:pPr><w:pStyle w:val="Normal"/></w:pPr>
<w:r><w:t xml:space="preserve">island and displaying almost pure Negroid characteristics.</w:t></w:r>
</w:p>
<w:p>
<w:pPr><w:pStyle w:val="Normal"/></w:pPr>
<w:r><w:t xml:space="preserve">Though the Hova belong to a race naturally addicted to</w:t></w:r>
</w:p>
<w:p>
<w:pPr><w:pStyle w:val="Normal"/></w:pPr>
<w:r><w:t xml:space="preserve">seafaring, the contrary is the case respecting the Negroid</w:t></w:r>
</w:p>
<w:p>
<w:pPr><w:pStyle w:val="Normal"/></w:pPr>
<w:r><w:t xml:space="preserve">population, and the presence of the latter in the island has</w:t></w:r>
</w:p>
<w:p>
<w:pPr><w:pStyle w:val="Normal"/></w:pPr>
<w:r><w:t xml:space="preserve">been explained by the supposition that they were imported</w:t></w:r>
</w:p>
<w:p>
<w:pPr><w:pStyle w:val="Normal"/></w:pPr>
<w:r><w:t xml:space="preserve">by the Hova.  Other authorities assign less antiquity</w:t></w:r>
</w:p>
<w:p>
<w:pPr><w:pStyle w:val="Normal"/></w:pPr>
<w:r><w:t xml:space="preserve">to the Hova immigration and believe that they found</w:t></w:r>
</w:p>
<w:p>
<w:pPr><w:pStyle w:val="Normal"/></w:pPr>
<w:r><w:t xml:space="preserve">the Negroid tribes already in occupation of the island.</w:t></w:r>
</w:p>
<w:p>
<w:pPr><w:pStyle w:val="Normal"/></w:pPr>
<w:r><w:t xml:space="preserve">As might be expected, the culture found in Madagascar</w:t></w:r>
</w:p>
<w:p>
<w:pPr><w:pStyle w:val="Normal"/></w:pPr>
<w:r><w:t xml:space="preserve">contains two elements, Negroid and Malayo-Indonesian.</w:t></w:r>
</w:p>
<w:p>
<w:pPr><w:pStyle w:val="Normal"/></w:pPr>
<w:r><w:t xml:space="preserve">The first of these two shows certain affinities with the</w:t></w:r>
</w:p>
<w:p>
<w:pPr><w:pStyle w:val="Normal"/></w:pPr>
<w:r><w:t xml:space="preserve">culture characteristic of the western area of Africa, such as</w:t></w:r>
</w:p>
<w:p>
<w:pPr><w:pStyle w:val="Normal"/></w:pPr>
<w:r><w:t xml:space="preserve">rectangular huts, clothing of bark and palm-fibre, fetishism,</w:t></w:r>
</w:p>
<w:p>
<w:pPr><w:pStyle w:val="Normal"/></w:pPr>
<w:r><w:t xml:space="preserve">&amp;c., but cattle-breeding is found as well as agriculture.</w:t></w:r>
</w:p>
<w:p>
<w:pPr><w:pStyle w:val="Normal"/></w:pPr>
<w:r><w:t xml:space="preserve">However, the Negroid tribes are more and more adopting the</w:t></w:r>
</w:p>
<w:p>
<w:pPr><w:pStyle w:val="Normal"/></w:pPr>
<w:r><w:t xml:space="preserve">customs and mode of life of the Hova, among whom are found</w:t></w:r>
</w:p>
<w:p>
<w:pPr><w:pStyle w:val="Normal"/></w:pPr>
<w:r><w:t xml:space="preserve">pile-houses, the sarong, yadi or tabu applied to food, a</w:t></w:r>
</w:p>
<w:p>
<w:pPr><w:pStyle w:val="Normal"/></w:pPr>
<w:r><w:t xml:space="preserve">non-African form of bellows, &amp;c., all characteristic of their</w:t></w:r>
</w:p>
<w:p>
<w:pPr><w:pStyle w:val="Normal"/></w:pPr>
<w:r><w:t xml:space="preserve">original home.  The Hova, during the 19th century, embraced</w:t></w:r>
</w:p>
<w:p>
<w:pPr><w:pStyle w:val="Normal"/></w:pPr>
<w:r><w:t xml:space="preserve">Christianity, but retain, nevertheless, many of their old</w:t></w:r>
</w:p>
<w:p>
<w:pPr><w:pStyle w:val="Normal"/></w:pPr>
<w:r><w:t xml:space="preserve">animistic beliefs; their original social organization in</w:t></w:r>
</w:p>
<w:p>
<w:pPr><w:pStyle w:val="Normal"/></w:pPr>
<w:r><w:t xml:space="preserve">three classes, andriana or nobles, hova or freemen, and</w:t></w:r>
</w:p>
<w:p>
<w:pPr><w:pStyle w:val="Normal"/></w:pPr>
<w:r><w:t xml:space="preserve">andevo or slaves, has been modified by the French, who have</w:t></w:r>
</w:p>
<w:p>
<w:pPr><w:pStyle w:val="Normal"/></w:pPr>
<w:r><w:t xml:space="preserve">abolished kingship and slavery.  An Arab infusion is also to be</w:t></w:r>
</w:p>
<w:p>
<w:pPr><w:pStyle w:val="Normal"/></w:pPr>
<w:r><w:t xml:space="preserve">noticed, especially on the north-east and south-east coasts.</w:t></w:r>
</w:p>
<w:p>
<w:pPr><w:pStyle w:val="Normal"/></w:pPr>
<w:r><w:t xml:space="preserve">It is impossible to give a complete list of the tribes inhabiting</w:t></w:r>
</w:p>
<w:p>
<w:pPr><w:pStyle w:val="Normal"/></w:pPr>
<w:r><w:t xml:space="preserve">Africa, owing to the fact that the country is not fully explored.</w:t></w:r>
</w:p>
<w:p>
<w:pPr><w:pStyle w:val="Normal"/></w:pPr>
<w:r><w:t xml:space="preserve">Even where the names of the tribes are known their ethnic</w:t></w:r>
</w:p>
<w:p>
<w:pPr><w:pStyle w:val="Normal"/></w:pPr>
<w:r><w:t xml:space="preserve">relations are still a matter of uncertainty in many localities.</w:t></w:r>
</w:p>
<w:p>
<w:pPr><w:pStyle w:val="Normal"/></w:pPr>
<w:r><w:t xml:space="preserve">The following list, therefore, must be regarded as purely tentative,</w:t></w:r>
</w:p>
<w:p>
<w:pPr><w:pStyle w:val="Normal"/></w:pPr>
<w:r><w:t xml:space="preserve">and liable to correction in the light of fuller information:-</w:t></w:r>
</w:p>
<w:p>
<w:pPr><w:pStyle w:val="Normal"/></w:pPr>
<w:r><w:t xml:space="preserve">AFRICAN TRIBAL DISTRIBUTION</w:t></w:r>
</w:p>
<w:p>
<w:pPr><w:pStyle w:val="Normal"/></w:pPr>
<w:r><w:t xml:space="preserve">LIBYANS</w:t></w:r>
</w:p>
<w:p>
<w:pPr><w:pStyle w:val="Normal"/></w:pPr>
<w:r><w:t xml:space="preserve">(North Africa, excluding Egypt)</w:t></w:r>
</w:p>
<w:p>
<w:pPr><w:pStyle w:val="Normal"/></w:pPr>
<w:r><w:t xml:space="preserve">Berbers, including--</w:t></w:r>
</w:p>
<w:p>
<w:pPr><w:pStyle w:val="Normal"/></w:pPr>
<w:r><w:t xml:space="preserve">Kabyles</w:t></w:r>
</w:p>
<w:p>
<w:pPr><w:pStyle w:val="Normal"/></w:pPr>
<w:r><w:t xml:space="preserve">Mzab</w:t></w:r>
</w:p>
<w:p>
<w:pPr><w:pStyle w:val="Normal"/></w:pPr>
<w:r><w:t xml:space="preserve">Shawia</w:t></w:r>
</w:p>
<w:p>
<w:pPr><w:pStyle w:val="Normal"/></w:pPr>
<w:r><w:t xml:space="preserve">Tuareg</w:t></w:r>
</w:p>
<w:p>
<w:pPr><w:pStyle w:val="Normal"/></w:pPr>
<w:r><w:t xml:space="preserve">LIBYO-NEGROID TRANSITIONAL</w:t></w:r>
</w:p>
<w:p>
<w:pPr><w:pStyle w:val="Normal"/></w:pPr>
<w:r><w:t xml:space="preserve">Fula (West Sudan)</w:t></w:r>
</w:p>
<w:p>
<w:pPr><w:pStyle w:val="Normal"/></w:pPr>
<w:r><w:t xml:space="preserve">Tibbu (Central Sudan)</w:t></w:r>
</w:p>
<w:p>
<w:pPr><w:pStyle w:val="Normal"/></w:pPr>
<w:r><w:t xml:space="preserve">HAMITES</w:t></w:r>
</w:p>
<w:p>
<w:pPr><w:pStyle w:val="Normal"/></w:pPr>
<w:r><w:t xml:space="preserve">(East Sudan and Horn of Africa)</w:t></w:r>
</w:p>
<w:p>
<w:pPr><w:pStyle w:val="Normal"/></w:pPr>
<w:r><w:t xml:space="preserve">Beja, including--</w:t></w:r>
</w:p>
<w:p>
<w:pPr><w:pStyle w:val="Normal"/></w:pPr>
<w:r><w:t xml:space="preserve">Ababda</w:t></w:r>
</w:p>
<w:p>
<w:pPr><w:pStyle w:val="Normal"/></w:pPr>
<w:r><w:t xml:space="preserve">Hadendoa</w:t></w:r>
</w:p>
<w:p>
<w:pPr><w:pStyle w:val="Normal"/></w:pPr>
<w:r><w:t xml:space="preserve">Bisharin</w:t></w:r>
</w:p>
<w:p>
<w:pPr><w:pStyle w:val="Normal"/></w:pPr>
<w:r><w:t xml:space="preserve">Beni-Amer</w:t></w:r>
</w:p>
<w:p>
<w:pPr><w:pStyle w:val="Normal"/></w:pPr>
<w:r><w:t xml:space="preserve">Hamran</w:t></w:r>
</w:p>
<w:p>
<w:pPr><w:pStyle w:val="Normal"/></w:pPr>
<w:r><w:t xml:space="preserve">Galla</w:t></w:r>
</w:p>
<w:p>
<w:pPr><w:pStyle w:val="Normal"/></w:pPr>
<w:r><w:t xml:space="preserve">Somali</w:t></w:r>
</w:p>
<w:p>
<w:pPr><w:pStyle w:val="Normal"/></w:pPr>
<w:r><w:t xml:space="preserve">Danakil (Afar)</w:t></w:r>
</w:p>
<w:p>
<w:pPr><w:pStyle w:val="Normal"/></w:pPr>
<w:r><w:t xml:space="preserve">Ba-Hima, including--</w:t></w:r>
</w:p>
<w:p>
<w:pPr><w:pStyle w:val="Normal"/></w:pPr>
<w:r><w:t xml:space="preserve">Wa-Tussi</w:t></w:r>
</w:p>
<w:p>
<w:pPr><w:pStyle w:val="Normal"/></w:pPr>
<w:r><w:t xml:space="preserve">Wa-Hha</w:t></w:r>
</w:p>
<w:p>
<w:pPr><w:pStyle w:val="Normal"/></w:pPr>
<w:r><w:t xml:space="preserve">Wa-Rundi</w:t></w:r>
</w:p>
<w:p>
<w:pPr><w:pStyle w:val="Normal"/></w:pPr>
<w:r><w:t xml:space="preserve">Wa-Ruanda</w:t></w:r>
</w:p>
<w:p>
<w:pPr><w:pStyle w:val="Normal"/></w:pPr>
<w:r><w:t xml:space="preserve">HAMITO-SEMITES</w:t></w:r>
</w:p>
<w:p>
<w:pPr><w:pStyle w:val="Normal"/></w:pPr>
<w:r><w:t xml:space="preserve">Fellahin (Egypt)</w:t></w:r>
</w:p>
<w:p>
<w:pPr><w:pStyle w:val="Normal"/></w:pPr>
<w:r><w:t xml:space="preserve">Abyssinians (with Negroid admixture)</w:t></w:r>
</w:p>
<w:p>
<w:pPr><w:pStyle w:val="Normal"/></w:pPr>
<w:r><w:t xml:space="preserve">HAMITO-NEGROID TRANSITIONAL</w:t></w:r>
</w:p>
<w:p>
<w:pPr><w:pStyle w:val="Normal"/></w:pPr>
<w:r><w:t xml:space="preserve">Masai</w:t></w:r>
</w:p>
<w:p>
<w:pPr><w:pStyle w:val="Normal"/></w:pPr>
<w:r><w:t xml:space="preserve">Wa-Kuafi</w:t></w:r>
</w:p>
<w:p>
<w:pPr><w:pStyle w:val="Normal"/></w:pPr>
<w:r><w:t xml:space="preserve">NEGROID TRIBES</w:t></w:r>
</w:p>
<w:p>
<w:pPr><w:pStyle w:val="Normal"/></w:pPr>
<w:r><w:t xml:space="preserve">West Sudan       Central Sudan                 Eastern</w:t></w:r>
</w:p>
<w:p>
<w:pPr><w:pStyle w:val="Normal"/></w:pPr>
<w:r><w:t xml:space="preserve">Tukulor                  Songhai                      Fur       Kargo</w:t></w:r>
</w:p>
<w:p>
<w:pPr><w:pStyle w:val="Normal"/></w:pPr>
<w:r><w:t xml:space="preserve">Wolof                    Hausa                        Dago      Kulfan</w:t></w:r>
</w:p>
<w:p>
<w:pPr><w:pStyle w:val="Normal"/></w:pPr>
<w:r><w:t xml:space="preserve">Serer                    Bagirmi                      Kunjara   Kolaji</w:t></w:r>
</w:p>
<w:p>
<w:pPr><w:pStyle w:val="Normal"/></w:pPr>
<w:r><w:t xml:space="preserve">Leybu                    Kanembu                      Tegele    Tumali</w:t></w:r>
</w:p>
<w:p>
<w:pPr><w:pStyle w:val="Normal"/></w:pPr>
<w:r><w:t xml:space="preserve">Mandingo, including--    Kanuri                       Nuba</w:t></w:r>
</w:p>
<w:p>
<w:pPr><w:pStyle w:val="Normal"/></w:pPr>
<w:r><w:t xml:space="preserve">Kassonke          Tama</w:t></w:r>
</w:p>
<w:p>
<w:pPr><w:pStyle w:val="Normal"/></w:pPr>
<w:r><w:t xml:space="preserve">Yallonke          Maba                             Zandeh Tribes</w:t></w:r>
</w:p>
<w:p>
<w:pPr><w:pStyle w:val="Normal"/></w:pPr>
<w:r><w:t xml:space="preserve">Soninke           Birkit                        (Akin to Nilotics, but</w:t></w:r>
</w:p>
<w:p>
<w:pPr><w:pStyle w:val="Normal"/></w:pPr>
<w:r><w:t xml:space="preserve">Bambara              Massalit                       probably with Fula</w:t></w:r>
</w:p>
<w:p>
<w:pPr><w:pStyle w:val="Normal"/></w:pPr>
<w:r><w:t xml:space="preserve">Vei                  Korunga                        element)</w:t></w:r>
</w:p>
<w:p>
<w:pPr><w:pStyle w:val="Normal"/></w:pPr>
<w:r><w:t xml:space="preserve">Susu                 Kabbaga                       Azandeh (Niam Niam)</w:t></w:r>
</w:p>
<w:p>
<w:pPr><w:pStyle w:val="Normal"/></w:pPr>
<w:r><w:t xml:space="preserve">Solima                  &amp;c.                        Makaraka</w:t></w:r>
</w:p>
<w:p>
<w:pPr><w:pStyle w:val="Normal"/></w:pPr>
<w:r><w:t xml:space="preserve">Malinke                                         Mundu</w:t></w:r>
</w:p>
<w:p>
<w:pPr><w:pStyle w:val="Normal"/></w:pPr>
<w:r><w:t xml:space="preserve">Mangbettu</w:t></w:r>
</w:p>
<w:p>
<w:pPr><w:pStyle w:val="Normal"/></w:pPr>
<w:r><w:t xml:space="preserve">Probably also--                                        Ababwa</w:t></w:r>
</w:p>
<w:p>
<w:pPr><w:pStyle w:val="Normal"/></w:pPr>
<w:r><w:t xml:space="preserve">Mossi                                              Mege</w:t></w:r>
</w:p>
<w:p>
<w:pPr><w:pStyle w:val="Normal"/></w:pPr>
<w:r><w:t xml:space="preserve">Borgu                                              Abisanga</w:t></w:r>
</w:p>
<w:p>
<w:pPr><w:pStyle w:val="Normal"/></w:pPr>
<w:r><w:t xml:space="preserve">Tombo    }                                             Mabode{ probably</w:t></w:r>
</w:p>
<w:p>
<w:pPr><w:pStyle w:val="Normal"/></w:pPr>
<w:r><w:t xml:space="preserve">Gurma    }                                             Momfu { with Pygmy</w:t></w:r>
</w:p>
<w:p>
<w:pPr><w:pStyle w:val="Normal"/></w:pPr>
<w:r><w:t xml:space="preserve">Gurunga  }                                                   { element</w:t></w:r>
</w:p>
<w:p>
<w:pPr><w:pStyle w:val="Normal"/></w:pPr>
<w:r><w:t xml:space="preserve">Dagomba  } Probably with Mandingan element                Allied are--</w:t></w:r>
</w:p>
<w:p>
<w:pPr><w:pStyle w:val="Normal"/></w:pPr>
<w:r><w:t xml:space="preserve">Mampursi }                                            Banziri  Languassi</w:t></w:r>
</w:p>
<w:p>
<w:pPr><w:pStyle w:val="Normal"/></w:pPr>
<w:r><w:t xml:space="preserve">Gonja    }                                            Ndris    Wia-Wia</w:t></w:r>
</w:p>
<w:p>
<w:pPr><w:pStyle w:val="Normal"/></w:pPr>
<w:r><w:t xml:space="preserve">&amp;c.      }                                            Togbo    Awaka</w:t></w:r>
</w:p>
<w:p>
<w:pPr><w:pStyle w:val="Normal"/></w:pPr>
<w:r><w:t xml:space="preserve">&amp;c.</w:t></w:r>
</w:p>
<w:p>
<w:pPr><w:pStyle w:val="Normal"/></w:pPr>
<w:r><w:t xml:space="preserve">NEGROES</w:t></w:r>
</w:p>
<w:p>
<w:pPr><w:pStyle w:val="Normal"/></w:pPr>
<w:r><w:t xml:space="preserve">West African Tribes</w:t></w:r>
</w:p>
<w:p>
<w:pPr><w:pStyle w:val="Normal"/></w:pPr>
<w:r><w:t xml:space="preserve">Tribes of Tshi and Ga    Tribes of Yeruba</w:t></w:r>
</w:p>
<w:p>
<w:pPr><w:pStyle w:val="Normal"/></w:pPr>
<w:r><w:t xml:space="preserve">speech, including---     speech, including--</w:t></w:r>
</w:p>
<w:p>
<w:pPr><w:pStyle w:val="Normal"/></w:pPr>
<w:r><w:t xml:space="preserve">Khabunke</w:t></w:r>
</w:p>
<w:p>
<w:pPr><w:pStyle w:val="Normal"/></w:pPr>
<w:r><w:t xml:space="preserve">Balanta                         Ashanti                      Yoruba</w:t></w:r>
</w:p>
<w:p>
<w:pPr><w:pStyle w:val="Normal"/></w:pPr>
<w:r><w:t xml:space="preserve">Bagnori                         Safwi                        Ibadan</w:t></w:r>
</w:p>
<w:p>
<w:pPr><w:pStyle w:val="Normal"/></w:pPr>
<w:r><w:t xml:space="preserve">Bagnum                          Denkera                      Ketu</w:t></w:r>
</w:p>
<w:p>
<w:pPr><w:pStyle w:val="Normal"/></w:pPr>
<w:r><w:t xml:space="preserve">Felup, including--              Bekwai                       Egba</w:t></w:r>
</w:p>
<w:p>
<w:pPr><w:pStyle w:val="Normal"/></w:pPr>
<w:r><w:t xml:space="preserve">Ayamat                      Nkoranza                     Jebu</w:t></w:r>
</w:p>
<w:p>
<w:pPr><w:pStyle w:val="Normal"/></w:pPr>
<w:r><w:t xml:space="preserve">Jola                        Adansi                       Remo</w:t></w:r>
</w:p>
<w:p>
<w:pPr><w:pStyle w:val="Normal"/></w:pPr>
<w:r><w:t xml:space="preserve">Jigush                      Assin                        Ode</w:t></w:r>
</w:p>
<w:p>
<w:pPr><w:pStyle w:val="Normal"/></w:pPr>
<w:r><w:t xml:space="preserve">Vaca                        Wassaw                       Illorin</w:t></w:r>
</w:p>
<w:p>
<w:pPr><w:pStyle w:val="Normal"/></w:pPr>
<w:r><w:t xml:space="preserve">Joat                        Ahanta                       Ijesa</w:t></w:r>
</w:p>
<w:p>
<w:pPr><w:pStyle w:val="Normal"/></w:pPr>
<w:r><w:t xml:space="preserve">Karon                       Fanti                        Ondo</w:t></w:r>
</w:p>
<w:p>
<w:pPr><w:pStyle w:val="Normal"/></w:pPr>
<w:r><w:t xml:space="preserve">Banyum                      Angona                       Mahin</w:t></w:r>
</w:p>
<w:p>
<w:pPr><w:pStyle w:val="Normal"/></w:pPr>
<w:r><w:t xml:space="preserve">Banjar                      Akwapim                      Bini</w:t></w:r>
</w:p>
<w:p>
<w:pPr><w:pStyle w:val="Normal"/></w:pPr>
<w:r><w:t xml:space="preserve">Fulum                       Akim                         Kakanda</w:t></w:r>
</w:p>
<w:p>
<w:pPr><w:pStyle w:val="Normal"/></w:pPr>
<w:r><w:t xml:space="preserve">Bayot                       Akwamu                       Wari</w:t></w:r>
</w:p>
<w:p>
<w:pPr><w:pStyle w:val="Normal"/></w:pPr>
<w:r><w:t xml:space="preserve">&amp;c.                       Kwao                         Ibo</w:t></w:r>
</w:p>
<w:p>
<w:pPr><w:pStyle w:val="Normal"/></w:pPr>
<w:r><w:t xml:space="preserve">Bujagos                         Ga                           Efik</w:t></w:r>
</w:p>
<w:p>
<w:pPr><w:pStyle w:val="Normal"/></w:pPr>
<w:r><w:t xml:space="preserve">Biafare                                                      Andoni</w:t></w:r>
</w:p>
<w:p>
<w:pPr><w:pStyle w:val="Normal"/></w:pPr>
<w:r><w:t xml:space="preserve">Landuman              Tribes of Ewe speech,           Kwa</w:t></w:r>
</w:p>
<w:p>
<w:pPr><w:pStyle w:val="Normal"/></w:pPr>
<w:r><w:t xml:space="preserve">Nalu                        including--                  Ibibio</w:t></w:r>
</w:p>
<w:p>
<w:pPr><w:pStyle w:val="Normal"/></w:pPr>
<w:r><w:t xml:space="preserve">Baga                                                         Ekoi</w:t></w:r>
</w:p>
<w:p>
<w:pPr><w:pStyle w:val="Normal"/></w:pPr>
<w:r><w:t xml:space="preserve">Sape                         Dahomi                       Inokun</w:t></w:r>
</w:p>
<w:p>
<w:pPr><w:pStyle w:val="Normal"/></w:pPr>
<w:r><w:t xml:space="preserve">Bulam                           Eweawo                       Akunakuim</w:t></w:r>
</w:p>
<w:p>
<w:pPr><w:pStyle w:val="Normal"/></w:pPr>
<w:r><w:t xml:space="preserve">Mendi                           Agotine                      Munshi</w:t></w:r>
</w:p>
<w:p>
<w:pPr><w:pStyle w:val="Normal"/></w:pPr>
<w:r><w:t xml:space="preserve">Limba                           Krepi                        Ikwe</w:t></w:r>
</w:p>
<w:p>
<w:pPr><w:pStyle w:val="Normal"/></w:pPr>
<w:r><w:t xml:space="preserve">Gallina                         Avenor</w:t></w:r>
</w:p>
<w:p>
<w:pPr><w:pStyle w:val="Normal"/></w:pPr>
<w:r><w:t xml:space="preserve">Timni                           Awuna</w:t></w:r>
</w:p>
<w:p>
<w:pPr><w:pStyle w:val="Normal"/></w:pPr>
<w:r><w:t xml:space="preserve">Pessi                           Agbosomi</w:t></w:r>
</w:p>
<w:p>
<w:pPr><w:pStyle w:val="Normal"/></w:pPr>
<w:r><w:t xml:space="preserve">Gola                            Aflao</w:t></w:r>
</w:p>
<w:p>
<w:pPr><w:pStyle w:val="Normal"/></w:pPr>
<w:r><w:t xml:space="preserve">Kondo                           Ataklu</w:t></w:r>
</w:p>
<w:p>
<w:pPr><w:pStyle w:val="Normal"/></w:pPr>
<w:r><w:t xml:space="preserve">Bassa                           Krikor</w:t></w:r>
</w:p>
<w:p>
<w:pPr><w:pStyle w:val="Normal"/></w:pPr>
<w:r><w:t xml:space="preserve">Kru                             Geng</w:t></w:r>
</w:p>
<w:p>
<w:pPr><w:pStyle w:val="Normal"/></w:pPr>
<w:r><w:t xml:space="preserve">Grebo                           Attaldoami</w:t></w:r>
</w:p>
<w:p>
<w:pPr><w:pStyle w:val="Normal"/></w:pPr>
<w:r><w:t xml:space="preserve">Awekwom                         Aja</w:t></w:r>
</w:p>
<w:p>
<w:pPr><w:pStyle w:val="Normal"/></w:pPr>
<w:r><w:t xml:space="preserve">Agni                            Ewemi</w:t></w:r>
</w:p>
<w:p>
<w:pPr><w:pStyle w:val="Normal"/></w:pPr>
<w:r><w:t xml:space="preserve">Oshiu                           Appa</w:t></w:r>
</w:p>
<w:p>
<w:pPr><w:pStyle w:val="Normal"/></w:pPr>
<w:r><w:t xml:space="preserve">Central Negroes                           Eastern Negroes</w:t></w:r>
</w:p>
<w:p>
<w:pPr><w:pStyle w:val="Normal"/></w:pPr>
<w:r><w:t xml:space="preserve">Bolo                                               Pure Nilotics</w:t></w:r>
</w:p>
<w:p>
<w:pPr><w:pStyle w:val="Normal"/></w:pPr>
<w:r><w:t xml:space="preserve">Yako                                               Shilluk</w:t></w:r>
</w:p>
<w:p>
<w:pPr><w:pStyle w:val="Normal"/></w:pPr>
<w:r><w:t xml:space="preserve">Tangala                                            Nuer</w:t></w:r>
</w:p>
<w:p>
<w:pPr><w:pStyle w:val="Normal"/></w:pPr>
<w:r><w:t xml:space="preserve">Kali                                               Dinka</w:t></w:r>
</w:p>
<w:p>
<w:pPr><w:pStyle w:val="Normal"/></w:pPr>
<w:r><w:t xml:space="preserve">Mishi                                              Jur (Diur)</w:t></w:r>
</w:p>
<w:p>
<w:pPr><w:pStyle w:val="Normal"/></w:pPr>
<w:r><w:t xml:space="preserve">Doma                                               Mittu</w:t></w:r>
</w:p>
<w:p>
<w:pPr><w:pStyle w:val="Normal"/></w:pPr>
<w:r><w:t xml:space="preserve">Mosgu, including--                                 Jibbeh</w:t></w:r>
</w:p>
<w:p>
<w:pPr><w:pStyle w:val="Normal"/></w:pPr>
<w:r><w:t xml:space="preserve">Mandara                                        Madi</w:t></w:r>
</w:p>
<w:p>
<w:pPr><w:pStyle w:val="Normal"/></w:pPr>
<w:r><w:t xml:space="preserve">Margi                                          Lendu</w:t></w:r>
</w:p>
<w:p>
<w:pPr><w:pStyle w:val="Normal"/></w:pPr>
<w:r><w:t xml:space="preserve">Logon                                          Alur (Lur)</w:t></w:r>
</w:p>
<w:p>
<w:pPr><w:pStyle w:val="Normal"/></w:pPr>
<w:r><w:t xml:space="preserve">Gamergu                                        Acholi</w:t></w:r>
</w:p>
<w:p>
<w:pPr><w:pStyle w:val="Normal"/></w:pPr>
<w:r><w:t xml:space="preserve">Keribina                                       Abaka</w:t></w:r>
</w:p>
<w:p>
<w:pPr><w:pStyle w:val="Normal"/></w:pPr>
<w:r><w:t xml:space="preserve">Kuri                                           Golo</w:t></w:r>
</w:p>
<w:p>
<w:pPr><w:pStyle w:val="Normal"/></w:pPr>
<w:r><w:t xml:space="preserve">&amp;c.</w:t></w:r>
</w:p>
<w:p>
<w:pPr><w:pStyle w:val="Normal"/></w:pPr>
<w:r><w:t xml:space="preserve">Nilotics with affinity</w:t></w:r>
</w:p>
<w:p>
<w:pPr><w:pStyle w:val="Normal"/></w:pPr>
<w:r><w:t xml:space="preserve">Nilotics with Affinity                            with Masai</w:t></w:r>
</w:p>
<w:p>
<w:pPr><w:pStyle w:val="Normal"/></w:pPr>
<w:r><w:t xml:space="preserve">with Zandeh tribes                            Latuka</w:t></w:r>
</w:p>
<w:p>
<w:pPr><w:pStyle w:val="Normal"/></w:pPr>
<w:r><w:t xml:space="preserve">Dor (Bongo)                                       Bari</w:t></w:r>
</w:p>
<w:p>
<w:pPr><w:pStyle w:val="Normal"/></w:pPr>
<w:r><w:t xml:space="preserve">NEGRO-BANTU                                 NILOTIC-BANTU</w:t></w:r>
</w:p>
<w:p>
<w:pPr><w:pStyle w:val="Normal"/></w:pPr>
<w:r><w:t xml:space="preserve">TRANSITIONAL                                TRANSITIONAL</w:t></w:r>
</w:p>
<w:p>
<w:pPr><w:pStyle w:val="Normal"/></w:pPr>
<w:r><w:t xml:space="preserve">Bali        Ba-Kwiri                                   Ja-Luo</w:t></w:r>
</w:p>
<w:p>
<w:pPr><w:pStyle w:val="Normal"/></w:pPr>
<w:r><w:t xml:space="preserve">Ba-Kossi    Abo</w:t></w:r>
</w:p>
<w:p>
<w:pPr><w:pStyle w:val="Normal"/></w:pPr>
<w:r><w:t xml:space="preserve">Ba-Ngwa     Dualla</w:t></w:r>
</w:p>
<w:p>
<w:pPr><w:pStyle w:val="Normal"/></w:pPr>
<w:r><w:t xml:space="preserve">Ba-Nyang    Bassa                                PYGMY TRIBES</w:t></w:r>
</w:p>
<w:p>
<w:pPr><w:pStyle w:val="Normal"/></w:pPr>
<w:r><w:t xml:space="preserve">Ngolo       Ba-Noko                              Central Arica</w:t></w:r>
</w:p>
<w:p>
<w:pPr><w:pStyle w:val="Normal"/></w:pPr>
<w:r><w:t xml:space="preserve">Ba-Fo       Ba-Puko                                    Akka</w:t></w:r>
</w:p>
<w:p>
<w:pPr><w:pStyle w:val="Normal"/></w:pPr>
<w:r><w:t xml:space="preserve">Ba-Kundu    Ba-Koko                                    Ja-Mbute</w:t></w:r>
</w:p>
<w:p>
<w:pPr><w:pStyle w:val="Normal"/></w:pPr>
<w:r><w:t xml:space="preserve">Isubu                                                  Ba-Bongo</w:t></w:r>
</w:p>
<w:p>
<w:pPr><w:pStyle w:val="Normal"/></w:pPr>
<w:r><w:t xml:space="preserve">Ashango</w:t></w:r>
</w:p>
<w:p>
<w:pPr><w:pStyle w:val="Normal"/></w:pPr>
<w:r><w:t xml:space="preserve">&amp;c.</w:t></w:r>
</w:p>
<w:p>
<w:pPr><w:pStyle w:val="Normal"/></w:pPr>
<w:r><w:t xml:space="preserve">BANTU NEGROIDS</w:t></w:r>
</w:p>
<w:p>
<w:pPr><w:pStyle w:val="Normal"/></w:pPr>
<w:r><w:t xml:space="preserve">Western             Central                   Eastern</w:t></w:r>
</w:p>
<w:p>
<w:pPr><w:pStyle w:val="Normal"/></w:pPr>
<w:r><w:t xml:space="preserve">Ogowe              Luba-Lunda Group              Lacustrians</w:t></w:r>
</w:p>
<w:p>
<w:pPr><w:pStyle w:val="Normal"/></w:pPr>
<w:r><w:t xml:space="preserve">Ashira                 Ba-Luba, including--            Ba-Nyoro</w:t></w:r>
</w:p>
<w:p>
<w:pPr><w:pStyle w:val="Normal"/></w:pPr>
<w:r><w:t xml:space="preserve">Ishogo                   Ba-Songe                      Ba-Toro</w:t></w:r>
</w:p>
<w:p>
<w:pPr><w:pStyle w:val="Normal"/></w:pPr>
<w:r><w:t xml:space="preserve">Ashango                  Wa-Rua                        Wa-Siba</w:t></w:r>
</w:p>
<w:p>
<w:pPr><w:pStyle w:val="Normal"/></w:pPr>
<w:r><w:t xml:space="preserve">Bakalai                  Wa-Guha                       Wa-Sinja</w:t></w:r>
</w:p>
<w:p>
<w:pPr><w:pStyle w:val="Normal"/></w:pPr>
<w:r><w:t xml:space="preserve">Nkomi                    Katanga                       Wa-Kerewe</w:t></w:r>
</w:p>
<w:p>
<w:pPr><w:pStyle w:val="Normal"/></w:pPr>
<w:r><w:t xml:space="preserve">Orungu                   Ba-Shilange (with             Wa-Shashi</w:t></w:r>
</w:p>
<w:p>
<w:pPr><w:pStyle w:val="Normal"/></w:pPr>
<w:r><w:t xml:space="preserve">Mpongwe                    Ba-Kete element)            Wa-Rundi</w:t></w:r>
</w:p>
<w:p>
<w:pPr><w:pStyle w:val="Normal"/></w:pPr>
<w:r><w:t xml:space="preserve">Oshekiani                                              Ba-Iro</w:t></w:r>
</w:p>
<w:p>
<w:pPr><w:pStyle w:val="Normal"/></w:pPr>
<w:r><w:t xml:space="preserve">Benga                    Ba-Lunda                      Ba-Ganda</w:t></w:r>
</w:p>
<w:p>
<w:pPr><w:pStyle w:val="Normal"/></w:pPr>
<w:r><w:t xml:space="preserve">Ininga                     Probably connected          Ba-Soga</w:t></w:r>
</w:p>
<w:p>
<w:pPr><w:pStyle w:val="Normal"/></w:pPr>
<w:r><w:t xml:space="preserve">Galao                        are--                     Ba-Kavirondo,</w:t></w:r>
</w:p>
<w:p>
<w:pPr><w:pStyle w:val="Normal"/></w:pPr>
<w:r><w:t xml:space="preserve">Apingi                   Manyema                             including--</w:t></w:r>
</w:p>
<w:p>
<w:pPr><w:pStyle w:val="Normal"/></w:pPr>
<w:r><w:t xml:space="preserve">Okanda                   Ba-Kumu                         Awaware</w:t></w:r>
</w:p>
<w:p>
<w:pPr><w:pStyle w:val="Normal"/></w:pPr>
<w:r><w:t xml:space="preserve">Osaka                    Wa-Regga                        Awarimi</w:t></w:r>
</w:p>
<w:p>
<w:pPr><w:pStyle w:val="Normal"/></w:pPr>
<w:r><w:t xml:space="preserve">Aduma                    Ba-Rotse, including--           Awakisii</w:t></w:r>
</w:p>
<w:p>
<w:pPr><w:pStyle w:val="Normal"/></w:pPr>
<w:r><w:t xml:space="preserve">Mbamba                     Ma-Mbunda                        &amp;c.</w:t></w:r>
</w:p>
<w:p>
<w:pPr><w:pStyle w:val="Normal"/></w:pPr>
<w:r><w:t xml:space="preserve">Umbete                     Ma-Supia</w:t></w:r>
</w:p>
<w:p>
<w:pPr><w:pStyle w:val="Normal"/></w:pPr>
<w:r><w:t xml:space="preserve">Bule                       Ma-Shukulumbwe</w:t></w:r>
</w:p>
<w:p>
<w:pPr><w:pStyle w:val="Normal"/></w:pPr>
<w:r><w:t xml:space="preserve">Bane                       Ba-Tonga                     Bantu of Recent</w:t></w:r>
</w:p>
<w:p>
<w:pPr><w:pStyle w:val="Normal"/></w:pPr>
<w:r><w:t xml:space="preserve">Yaunde                       and probably                  Immigration</w:t></w:r>
</w:p>
<w:p>
<w:pPr><w:pStyle w:val="Normal"/></w:pPr>
<w:r><w:t xml:space="preserve">Maka                       Va-Lovale</w:t></w:r>
</w:p>
<w:p>
<w:pPr><w:pStyle w:val="Normal"/></w:pPr>
<w:r><w:t xml:space="preserve">Bomone                                                 Wa-Kikuyu</w:t></w:r>
</w:p>
<w:p>
<w:pPr><w:pStyle w:val="Normal"/></w:pPr>
<w:r><w:t xml:space="preserve">Kunabembe                  Tribes of the Congo     Wa-Kamba</w:t></w:r>
</w:p>
<w:p>
<w:pPr><w:pStyle w:val="Normal"/></w:pPr>
<w:r><w:t xml:space="preserve">Fang (recent immigrants          bend              Wa-Pokomo</w:t></w:r>
</w:p>
<w:p>
<w:pPr><w:pStyle w:val="Normal"/></w:pPr>
<w:r><w:t xml:space="preserve">from the Congo group)   Ba-Kessu                    Wa-Duruma</w:t></w:r>
</w:p>
<w:p>
<w:pPr><w:pStyle w:val="Normal"/></w:pPr>
<w:r><w:t xml:space="preserve">Ba-Tetela                   Wa-Digo</w:t></w:r>
</w:p>
<w:p>
<w:pPr><w:pStyle w:val="Normal"/></w:pPr>
<w:r><w:t xml:space="preserve">Ba-Songo Mino               Wa-Giriama</w:t></w:r>
</w:p>
<w:p>
<w:pPr><w:pStyle w:val="Normal"/></w:pPr>
<w:r><w:t xml:space="preserve">Ba-Kuba                     Wa-Taita</w:t></w:r>
</w:p>
<w:p>
<w:pPr><w:pStyle w:val="Normal"/></w:pPr>
<w:r><w:t xml:space="preserve">Ba-Kongo,                  Ba-Lolo                     Wa-Nyatura</w:t></w:r>
</w:p>
<w:p>
<w:pPr><w:pStyle w:val="Normal"/></w:pPr>
<w:r><w:t xml:space="preserve">including--            Ba-Kuti                     Wa-Iramba</w:t></w:r>
</w:p>
<w:p>
<w:pPr><w:pStyle w:val="Normal"/></w:pPr>
<w:r><w:t xml:space="preserve">Mushi-Kongo              Ba-Mbala                    Wa-Mbugwe</w:t></w:r>
</w:p>
<w:p>
<w:pPr><w:pStyle w:val="Normal"/></w:pPr>
<w:r><w:t xml:space="preserve">Mussorongo               Ba-Huana                    Wa-Kaguru</w:t></w:r>
</w:p>
<w:p>
<w:pPr><w:pStyle w:val="Normal"/></w:pPr>
<w:r><w:t xml:space="preserve">Kabinda                  Ba-Yaka                     Wa-Gogo  { possible</w:t></w:r>
</w:p>
<w:p>
<w:pPr><w:pStyle w:val="Normal"/></w:pPr>
<w:r><w:t xml:space="preserve">Ka-Kongo                 Ba-Pindi                    Wa-Chaga { Masai</w:t></w:r>
</w:p>
<w:p>
<w:pPr><w:pStyle w:val="Normal"/></w:pPr>
<w:r><w:t xml:space="preserve">Ba-Vili                  Ba-Kwese                             { element</w:t></w:r>
</w:p>
<w:p>
<w:pPr><w:pStyle w:val="Normal"/></w:pPr>
<w:r><w:t xml:space="preserve">Ma-Yumbe                    &amp;c.</w:t></w:r>
</w:p>
<w:p>
<w:pPr><w:pStyle w:val="Normal"/></w:pPr>
<w:r><w:t xml:space="preserve">Ba-Lumbo                                                Older Bantu</w:t></w:r>
</w:p>
<w:p>
<w:pPr><w:pStyle w:val="Normal"/></w:pPr>
<w:r><w:t xml:space="preserve">Ba-Sundi                 Tribes of the Congo     Wa-Nyamwezi,</w:t></w:r>
</w:p>
<w:p>
<w:pPr><w:pStyle w:val="Normal"/></w:pPr>
<w:r><w:t xml:space="preserve">Ba-Bwende                        bank                 including--</w:t></w:r>
</w:p>
<w:p>
<w:pPr><w:pStyle w:val="Normal"/></w:pPr>
<w:r><w:t xml:space="preserve">Ba-Lali                  Wa-Genia                      Wa-Sukuma    }Trans-</w:t></w:r>
</w:p>
<w:p>
<w:pPr><w:pStyle w:val="Normal"/></w:pPr>
<w:r><w:t xml:space="preserve">Ba-Kunya                 Ba-Soko                       Wa-Sumbwa    }itional</w:t></w:r>
</w:p>
<w:p>
<w:pPr><w:pStyle w:val="Normal"/></w:pPr>
<w:r><w:t xml:space="preserve">Ba-Poto                       Wa-Nyanyembe }to</w:t></w:r>
</w:p>
<w:p>
<w:pPr><w:pStyle w:val="Normal"/></w:pPr>
<w:r><w:t xml:space="preserve">Mobali                        Wa-Jui       }Bantu</w:t></w:r>
</w:p>
<w:p>
<w:pPr><w:pStyle w:val="Normal"/></w:pPr>
<w:r><w:t xml:space="preserve">Mogwandi                      Wa-Kimbu     }of</w:t></w:r>
</w:p>
<w:p>
<w:pPr><w:pStyle w:val="Normal"/></w:pPr>
<w:r><w:t xml:space="preserve">Na-Ngala{ Connected           Wa-Kanongo   }recent</w:t></w:r>
</w:p>
<w:p>
<w:pPr><w:pStyle w:val="Normal"/></w:pPr>
<w:r><w:t xml:space="preserve">Ba-Bangi{ with Zandeh         Wa-Wende     }immi-</w:t></w:r>
</w:p>
<w:p>
<w:pPr><w:pStyle w:val="Normal"/></w:pPr>
<w:r><w:t xml:space="preserve">{ group                            }gration</w:t></w:r>
</w:p>
<w:p>
<w:pPr><w:pStyle w:val="Normal"/></w:pPr>
<w:r><w:t xml:space="preserve">Wa-Buma</w:t></w:r>
</w:p>
<w:p>
<w:pPr><w:pStyle w:val="Normal"/></w:pPr>
<w:r><w:t xml:space="preserve">Ba-Nunu                       Wa-Gunda</w:t></w:r>
</w:p>
<w:p>
<w:pPr><w:pStyle w:val="Normal"/></w:pPr>
<w:r><w:t xml:space="preserve">Ba-Loi                        Wa-Guru</w:t></w:r>
</w:p>
<w:p>
<w:pPr><w:pStyle w:val="Normal"/></w:pPr>
<w:r><w:t xml:space="preserve">Ba-Teke                       Wa-Galla</w:t></w:r>
</w:p>
<w:p>
<w:pPr><w:pStyle w:val="Normal"/></w:pPr>
<w:r><w:t xml:space="preserve">Wa-Pfuru                    Wa-Sambara</w:t></w:r>
</w:p>
<w:p>
<w:pPr><w:pStyle w:val="Normal"/></w:pPr>
<w:r><w:t xml:space="preserve">Wa-Mbundu                   Wa-Seguha</w:t></w:r>
</w:p>
<w:p>
<w:pPr><w:pStyle w:val="Normal"/></w:pPr>
<w:r><w:t xml:space="preserve">Wa-Mfumu                    Wa-Nguru</w:t></w:r>
</w:p>
<w:p>
<w:pPr><w:pStyle w:val="Normal"/></w:pPr>
<w:r><w:t xml:space="preserve">Ba-Nsinik                   Wa-Sagara</w:t></w:r>
</w:p>
<w:p>
<w:pPr><w:pStyle w:val="Normal"/></w:pPr>
<w:r><w:t xml:space="preserve">Ma-Wumba                    Wa-Doe</w:t></w:r>
</w:p>
<w:p>
<w:pPr><w:pStyle w:val="Normal"/></w:pPr>
<w:r><w:t xml:space="preserve">Ma-Yakalia                  Wa-Khutu</w:t></w:r>
</w:p>
<w:p>
<w:pPr><w:pStyle w:val="Normal"/></w:pPr>
<w:r><w:t xml:space="preserve">&amp;c                       Wa-Sarmo</w:t></w:r>
</w:p>
<w:p>
<w:pPr><w:pStyle w:val="Normal"/></w:pPr>
<w:r><w:t xml:space="preserve">Wa-Hehe</w:t></w:r>
</w:p>
<w:p>
<w:pPr><w:pStyle w:val="Normal"/></w:pPr>
<w:r><w:t xml:space="preserve">TRANSITIONAL                                       Wa-Bena</w:t></w:r>
</w:p>
<w:p>
<w:pPr><w:pStyle w:val="Normal"/></w:pPr>
<w:r><w:t xml:space="preserve">FROM CENTRAL                                       Wa-Sanga</w:t></w:r>
</w:p>
<w:p>
<w:pPr><w:pStyle w:val="Normal"/></w:pPr>
<w:r><w:t xml:space="preserve">TO SOUTHERN                                        Wa-Swahili (with Arab</w:t></w:r>
</w:p>
<w:p>
<w:pPr><w:pStyle w:val="Normal"/></w:pPr>
<w:r><w:t xml:space="preserve">BANTU                                               elements)</w:t></w:r>
</w:p>
<w:p>
<w:pPr><w:pStyle w:val="Normal"/></w:pPr>
<w:r><w:t xml:space="preserve">Amoela                                                   Connected are--</w:t></w:r>
</w:p>
<w:p>
<w:pPr><w:pStyle w:val="Normal"/></w:pPr>
<w:r><w:t xml:space="preserve">Ganguela                                               Wa-Kisi</w:t></w:r>
</w:p>
<w:p>
<w:pPr><w:pStyle w:val="Normal"/></w:pPr>
<w:r><w:t xml:space="preserve">Kioko                                                  Wa-Mpoto     }</w:t></w:r>
</w:p>
<w:p>
<w:pPr><w:pStyle w:val="Normal"/></w:pPr>
<w:r><w:t xml:space="preserve">Minungo                                                Ba-Tonga     }</w:t></w:r>
</w:p>
<w:p>
<w:pPr><w:pStyle w:val="Normal"/></w:pPr>
<w:r><w:t xml:space="preserve">Imbangala                                              Ba-Tumbuka   }</w:t></w:r>
</w:p>
<w:p>
<w:pPr><w:pStyle w:val="Normal"/></w:pPr>
<w:r><w:t xml:space="preserve">Ba-Achinji                                             Wa-Nyika     }</w:t></w:r>
</w:p>
<w:p>
<w:pPr><w:pStyle w:val="Normal"/></w:pPr>
<w:r><w:t xml:space="preserve">Golo                                                   Wa-Nyamwanga } Akin to</w:t></w:r>
</w:p>
<w:p>
<w:pPr><w:pStyle w:val="Normal"/></w:pPr>
<w:r><w:t xml:space="preserve">Hollo                                                  A-Mambwe     } Luba-</w:t></w:r>
</w:p>
<w:p>
<w:pPr><w:pStyle w:val="Normal"/></w:pPr>
<w:r><w:t xml:space="preserve">&amp;c.                                                Wa-Fipa      } Lunda</w:t></w:r>
</w:p>
<w:p>
<w:pPr><w:pStyle w:val="Normal"/></w:pPr>
<w:r><w:t xml:space="preserve">Mbunda peoples,                                        Wa-Rungu     } group</w:t></w:r>
</w:p>
<w:p>
<w:pPr><w:pStyle w:val="Normal"/></w:pPr>
<w:r><w:t xml:space="preserve">including--                                        A-Wemba      }</w:t></w:r>
</w:p>
<w:p>
<w:pPr><w:pStyle w:val="Normal"/></w:pPr>
<w:r><w:t xml:space="preserve">Bihe                                              A-Chewa      }</w:t></w:r>
</w:p>
<w:p>
<w:pPr><w:pStyle w:val="Normal"/></w:pPr>
<w:r><w:t xml:space="preserve">Dembo                                                A-Maravi     }</w:t></w:r>
</w:p>
<w:p>
<w:pPr><w:pStyle w:val="Normal"/></w:pPr>
<w:r><w:t xml:space="preserve">Mbaka                                                Ba-Senga     }</w:t></w:r>
</w:p>
<w:p>
<w:pPr><w:pStyle w:val="Normal"/></w:pPr>
<w:r><w:t xml:space="preserve">Ngola                                                Ba-Bisa      }</w:t></w:r>
</w:p>
<w:p>
<w:pPr><w:pStyle w:val="Normal"/></w:pPr>
<w:r><w:t xml:space="preserve">Bondo                                                A-Jawa (Yaos)</w:t></w:r>
</w:p>
<w:p>
<w:pPr><w:pStyle w:val="Normal"/></w:pPr>
<w:r><w:t xml:space="preserve">Ba-Ngala                                             Wa-Mwera</w:t></w:r>
</w:p>
<w:p>
<w:pPr><w:pStyle w:val="Normal"/></w:pPr>
<w:r><w:t xml:space="preserve">Songo                                                Wa-Gindo</w:t></w:r>
</w:p>
<w:p>
<w:pPr><w:pStyle w:val="Normal"/></w:pPr>
<w:r><w:t xml:space="preserve">Haku                                                 Ma-Konde</w:t></w:r>
</w:p>
<w:p>
<w:pPr><w:pStyle w:val="Normal"/></w:pPr>
<w:r><w:t xml:space="preserve">Lubolo                                               Ma-Wia</w:t></w:r>
</w:p>
<w:p>
<w:pPr><w:pStyle w:val="Normal"/></w:pPr>
<w:r><w:t xml:space="preserve">Kisama                                               Ma-Nganja</w:t></w:r>
</w:p>
<w:p>
<w:pPr><w:pStyle w:val="Normal"/></w:pPr>
<w:r><w:t xml:space="preserve">&amp;c.                                                Ma-Kua</w:t></w:r>
</w:p>
<w:p>
<w:pPr><w:pStyle w:val="Normal"/></w:pPr>
<w:r><w:t xml:space="preserve">SOUTHERN BANTU</w:t></w:r>
</w:p>
<w:p>
<w:pPr><w:pStyle w:val="Normal"/></w:pPr>
<w:r><w:t xml:space="preserve">(South and South-East Africa)</w:t></w:r>
</w:p>
<w:p>
<w:pPr><w:pStyle w:val="Normal"/></w:pPr>
<w:r><w:t xml:space="preserve">Ba-Nyai       }                             Ama-Zulu, including--</w:t></w:r>
</w:p>
<w:p>
<w:pPr><w:pStyle w:val="Normal"/></w:pPr>
<w:r><w:t xml:space="preserve">Ma-Kalanga,   } Affinity                         Ama-Swazi</w:t></w:r>
</w:p>
<w:p>
<w:pPr><w:pStyle w:val="Normal"/></w:pPr>
<w:r><w:t xml:space="preserve">including } with                             Ama-Tonga</w:t></w:r>
</w:p>
<w:p>
<w:pPr><w:pStyle w:val="Normal"/></w:pPr>
<w:r><w:t xml:space="preserve">Mashona     } Bechuana                         Matabele</w:t></w:r>
</w:p>
<w:p>
<w:pPr><w:pStyle w:val="Normal"/></w:pPr>
<w:r><w:t xml:space="preserve">Ba-Ronga      }                                  Angoni</w:t></w:r>
</w:p>
<w:p>
<w:pPr><w:pStyle w:val="Normal"/></w:pPr>
<w:r><w:t xml:space="preserve">Ba-Chuana,                                       Ma-Gwangwara</w:t></w:r>
</w:p>
<w:p>
<w:pPr><w:pStyle w:val="Normal"/></w:pPr>
<w:r><w:t xml:space="preserve">including--                                  Ma-Huhu</w:t></w:r>
</w:p>
<w:p>
<w:pPr><w:pStyle w:val="Normal"/></w:pPr>
<w:r><w:t xml:space="preserve">Ba-Tlapin                                      Ma-Viti</w:t></w:r>
</w:p>
<w:p>
<w:pPr><w:pStyle w:val="Normal"/></w:pPr>
<w:r><w:t xml:space="preserve">Ba-Rolong                                      Ma-Situ</w:t></w:r>
</w:p>
<w:p>
<w:pPr><w:pStyle w:val="Normal"/></w:pPr>
<w:r><w:t xml:space="preserve">Ba-Ratlou                                      Ma-Henge</w:t></w:r>
</w:p>
<w:p>
<w:pPr><w:pStyle w:val="Normal"/></w:pPr>
<w:r><w:t xml:space="preserve">Ba-Taung                                          &amp;c.</w:t></w:r>
</w:p>
<w:p>
<w:pPr><w:pStyle w:val="Normal"/></w:pPr>
<w:r><w:t xml:space="preserve">Ba-Rapulana                               Ama-Xosa, including--</w:t></w:r>
</w:p>
<w:p>
<w:pPr><w:pStyle w:val="Normal"/></w:pPr>
<w:r><w:t xml:space="preserve">Ba-Seleka                                      Ama-Gcaleka</w:t></w:r>
</w:p>
<w:p>
<w:pPr><w:pStyle w:val="Normal"/></w:pPr>
<w:r><w:t xml:space="preserve">Ba-Hurutsi                                     Ama-Hahebe</w:t></w:r>
</w:p>
<w:p>
<w:pPr><w:pStyle w:val="Normal"/></w:pPr>
<w:r><w:t xml:space="preserve">Ba-Tlaru                                       Ama-Ngqika</w:t></w:r>
</w:p>
<w:p>
<w:pPr><w:pStyle w:val="Normal"/></w:pPr>
<w:r><w:t xml:space="preserve">Ba-Mangwato                                    Ama-Tembu</w:t></w:r>
</w:p>
<w:p>
<w:pPr><w:pStyle w:val="Normal"/></w:pPr>
<w:r><w:t xml:space="preserve">Ba-Tauana                                      Ama-Pondo</w:t></w:r>
</w:p>
<w:p>
<w:pPr><w:pStyle w:val="Normal"/></w:pPr>
<w:r><w:t xml:space="preserve">Ba-Ngwaketse                                       &amp;c.</w:t></w:r>
</w:p>
<w:p>
<w:pPr><w:pStyle w:val="Normal"/></w:pPr>
<w:r><w:t xml:space="preserve">Ba-Kuena                                       Ova-Herero</w:t></w:r>
</w:p>
<w:p>
<w:pPr><w:pStyle w:val="Normal"/></w:pPr>
<w:r><w:t xml:space="preserve">&amp;c.                                         Ova-Mpo</w:t></w:r>
</w:p>
<w:p>
<w:pPr><w:pStyle w:val="Normal"/></w:pPr>
<w:r><w:t xml:space="preserve">HAMITO-BANTU                                   BUSHMEN</w:t></w:r>
</w:p>
<w:p>
<w:pPr><w:pStyle w:val="Normal"/></w:pPr>
<w:r><w:t xml:space="preserve">BUSHMEN</w:t></w:r>
</w:p>
<w:p>
<w:pPr><w:pStyle w:val="Normal"/></w:pPr>
<w:r><w:t xml:space="preserve">TRANSITIONAL</w:t></w:r>
</w:p>
<w:p>
<w:pPr><w:pStyle w:val="Normal"/></w:pPr>
<w:r><w:t xml:space="preserve">Hottentots,     }</w:t></w:r>
</w:p>
<w:p>
<w:pPr><w:pStyle w:val="Normal"/></w:pPr>
<w:r><w:t xml:space="preserve">including-- } S. W.</w:t></w:r>
</w:p>
<w:p>
<w:pPr><w:pStyle w:val="Normal"/></w:pPr>
<w:r><w:t xml:space="preserve">Namaqua       } Africa</w:t></w:r>
</w:p>
<w:p>
<w:pPr><w:pStyle w:val="Normal"/></w:pPr>
<w:r><w:t xml:space="preserve">Koranna       }</w:t></w:r>
</w:p>
<w:p>
<w:pPr><w:pStyle w:val="Normal"/></w:pPr>
<w:r><w:t xml:space="preserve">TRIBES IN MADAGASCAR</w:t></w:r>
</w:p>
<w:p>
<w:pPr><w:pStyle w:val="Normal"/></w:pPr>
<w:r><w:t xml:space="preserve">MALAYO-INDONESIANS                      BANTU-NEGROIDS</w:t></w:r>
</w:p>
<w:p>
<w:pPr><w:pStyle w:val="Normal"/></w:pPr>
<w:r><w:t xml:space="preserve">Hova                                        Sakalava, including--</w:t></w:r>
</w:p>
<w:p>
<w:pPr><w:pStyle w:val="Normal"/></w:pPr>
<w:r><w:t xml:space="preserve">Betsileo (slight Bantu admixture)                Menabe</w:t></w:r>
</w:p>
<w:p>
<w:pPr><w:pStyle w:val="Normal"/></w:pPr>
<w:r><w:t xml:space="preserve">Milaka</w:t></w:r>
</w:p>
<w:p>
<w:pPr><w:pStyle w:val="Normal"/></w:pPr>
<w:r><w:t xml:space="preserve">HOVA-BANTU                         Ronandra</w:t></w:r>
</w:p>
<w:p>
<w:pPr><w:pStyle w:val="Normal"/></w:pPr>
<w:r><w:t xml:space="preserve">TRANSITIONAL                       Mahafali</w:t></w:r>
</w:p>
<w:p>
<w:pPr><w:pStyle w:val="Normal"/></w:pPr>
<w:r><w:t xml:space="preserve">&amp;c.</w:t></w:r>
</w:p>
<w:p>
<w:pPr><w:pStyle w:val="Normal"/></w:pPr>
<w:r><w:t xml:space="preserve">Malagasy, including--</w:t></w:r>
</w:p>
<w:p>
<w:pPr><w:pStyle w:val="Normal"/></w:pPr>
<w:r><w:t xml:space="preserve">Bestimisaraka         Antanosi</w:t></w:r>
</w:p>
<w:p>
<w:pPr><w:pStyle w:val="Normal"/></w:pPr>
<w:r><w:t xml:space="preserve">Antambahoaka          Antsihanaka</w:t></w:r>
</w:p>
<w:p>
<w:pPr><w:pStyle w:val="Normal"/></w:pPr>
<w:r><w:t xml:space="preserve">Antaimoro             Antanala</w:t></w:r>
</w:p>
<w:p>
<w:pPr><w:pStyle w:val="Normal"/></w:pPr>
<w:r><w:t xml:space="preserve">Antaifasina           Antaisara</w:t></w:r>
</w:p>
<w:p>
<w:pPr><w:pStyle w:val="Normal"/></w:pPr>
<w:r><w:t xml:space="preserve">Antaisaka                 &amp;c.</w:t></w:r>
</w:p>
<w:p>
<w:pPr><w:pStyle w:val="Heading1"/></w:pPr>
<w:r><w:t>IV. HISTORY</w:t></w:r>
</w:p>
<w:p>
<w:pPr><w:pStyle w:val="Normal"/></w:pPr>
<w:r><w:t xml:space="preserve">The origin and meaning of the name of the continent are</w:t></w:r>
</w:p>
<w:p>
<w:pPr><w:pStyle w:val="Normal"/></w:pPr>
<w:r><w:t xml:space="preserve">discussed elsewhere (see AFRICA, ROMAN.) The word Africa</w:t></w:r>
</w:p>
<w:p>
<w:pPr><w:pStyle w:val="Normal"/></w:pPr>
<w:r><w:t xml:space="preserve">was applied originally to the country in the immediate</w:t></w:r>
</w:p>
<w:p>
<w:pPr><w:pStyle w:val="Normal"/></w:pPr>
<w:r><w:t xml:space="preserve">neighbourhood of Carthage, that part of the continent</w:t></w:r>
</w:p>
<w:p>
<w:pPr><w:pStyle w:val="Normal"/></w:pPr>
<w:r><w:t xml:space="preserve">first known to the Romans, and it was subsequently extended</w:t></w:r>
</w:p>
<w:p>
<w:pPr><w:pStyle w:val="Normal"/></w:pPr>
<w:r><w:t xml:space="preserve">with their increasing knowledge, till it came at last to</w:t></w:r>
</w:p>
<w:p>
<w:pPr><w:pStyle w:val="Normal"/></w:pPr>
<w:r><w:t xml:space="preserve">include all that they knew of the continent.  The Arabs</w:t></w:r>
</w:p>
<w:p>
<w:pPr><w:pStyle w:val="Normal"/></w:pPr>
<w:r><w:t xml:space="preserve">still confine the name Ifrikia to the territory of Tunisia.</w:t></w:r>
</w:p>
<w:p>
<w:pPr><w:pStyle w:val="Normal"/></w:pPr>
<w:r><w:t xml:space="preserve">Phoenician and Greek colonization.</w:t></w:r>
</w:p>
<w:p>
<w:pPr><w:pStyle w:val="Normal"/></w:pPr>
<w:r><w:t xml:space="preserve">The valley of the lower Nile was the home in remotest</w:t></w:r>
</w:p>
<w:p>
<w:pPr><w:pStyle w:val="Normal"/></w:pPr>
<w:r><w:t xml:space="preserve">antiquity of a civilized race.  Egyptian culture had,</w:t></w:r>
</w:p>
<w:p>
<w:pPr><w:pStyle w:val="Normal"/></w:pPr>
<w:r><w:t xml:space="preserve">however, remarkably little direct influence on the rest of</w:t></w:r>
</w:p>
<w:p>
<w:pPr><w:pStyle w:val="Normal"/></w:pPr>
<w:r><w:t xml:space="preserve">the continent, a result due in large measure to the fact</w:t></w:r>
</w:p>
<w:p>
<w:pPr><w:pStyle w:val="Normal"/></w:pPr>
<w:r><w:t xml:space="preserve">that Egypt is shut off landwards by immense deserts.  If</w:t></w:r>
</w:p>
<w:p>
<w:pPr><w:pStyle w:val="Normal"/></w:pPr>
<w:r><w:t xml:space="preserve">ancient Egypt and Ethiopia (q.v.) be excluded, the story</w:t></w:r>
</w:p>
<w:p>
<w:pPr><w:pStyle w:val="Normal"/></w:pPr>
<w:r><w:t xml:space="preserve">of Africa is largely a record of the doings of its Asiatic</w:t></w:r>
</w:p>
<w:p>
<w:pPr><w:pStyle w:val="Normal"/></w:pPr>
<w:r><w:t xml:space="preserve">and European conquerors and colonizers, Abyssinia being the</w:t></w:r>
</w:p>
<w:p>
<w:pPr><w:pStyle w:val="Normal"/></w:pPr>
<w:r><w:t xml:space="preserve">only state which throughout historic times has maintained its</w:t></w:r>
</w:p>
<w:p>
<w:pPr><w:pStyle w:val="Normal"/></w:pPr>
<w:r><w:t xml:space="preserve">independence.  The countries bordering the Mediterranean</w:t></w:r>
</w:p>
<w:p>
<w:pPr><w:pStyle w:val="Normal"/></w:pPr>
<w:r><w:t xml:space="preserve">were first exploited by the Phoenicians, whose earliest</w:t></w:r>
</w:p>
<w:p>
<w:pPr><w:pStyle w:val="Normal"/></w:pPr>
<w:r><w:t xml:space="preserve">settlements were made before 1000 B.C. Carthage, founded</w:t></w:r>
</w:p>
<w:p>
<w:pPr><w:pStyle w:val="Normal"/></w:pPr>
<w:r><w:t xml:space="preserve">about 800 B.C., speedily grew into a city without rival in</w:t></w:r>
</w:p>
<w:p>
<w:pPr><w:pStyle w:val="Normal"/></w:pPr>
<w:r><w:t xml:space="preserve">the Mediterranean, and the Phoenicians, subduing the Berber</w:t></w:r>
</w:p>
<w:p>
<w:pPr><w:pStyle w:val="Normal"/></w:pPr>
<w:r><w:t xml:space="preserve">tribes, who then as now formed the bulk of the population,</w:t></w:r>
</w:p>
<w:p>
<w:pPr><w:pStyle w:val="Normal"/></w:pPr>
<w:r><w:t xml:space="preserve">became masters of all the habitable region of North Africa</w:t></w:r>
</w:p>
<w:p>
<w:pPr><w:pStyle w:val="Normal"/></w:pPr>
<w:r><w:t xml:space="preserve">west of the Great Syrtis, and found in commerce a source of</w:t></w:r>
</w:p>
<w:p>
<w:pPr><w:pStyle w:val="Normal"/></w:pPr>
<w:r><w:t xml:space="preserve">immense prosperity.  Both Egyptians and Carthaginians made</w:t></w:r>
</w:p>
<w:p>
<w:pPr><w:pStyle w:val="Normal"/></w:pPr>
<w:r><w:t xml:space="preserve">attempts to reach the unknown parts of the continent by</w:t></w:r>
</w:p>
<w:p>
<w:pPr><w:pStyle w:val="Normal"/></w:pPr>
<w:r><w:t xml:space="preserve">sea.  Herodotus relates that an expedition under Phoenician</w:t></w:r>
</w:p>
<w:p>
<w:pPr><w:pStyle w:val="Normal"/></w:pPr>
<w:r><w:t xml:space="preserve">navigators, employed by Necho, king of Egypt, c. 600</w:t></w:r>
</w:p>
<w:p>
<w:pPr><w:pStyle w:val="Normal"/></w:pPr>
<w:r><w:t xml:space="preserve">B.C., circumnavigated Africa from the Red Sea to the</w:t></w:r>
</w:p>
<w:p>
<w:pPr><w:pStyle w:val="Normal"/></w:pPr>
<w:r><w:t xml:space="preserve">Mediterranean, a voyage stated to have been accomplished in</w:t></w:r>
</w:p>
<w:p>
<w:pPr><w:pStyle w:val="Normal"/></w:pPr>
<w:r><w:t xml:space="preserve">three years.  Apart from the reported circumnavigation of the</w:t></w:r>
</w:p>
<w:p>
<w:pPr><w:pStyle w:val="Normal"/></w:pPr>
<w:r><w:t xml:space="preserve">continent, the west coast was well known to the Phoenicians</w:t></w:r>
</w:p>
<w:p>
<w:pPr><w:pStyle w:val="Normal"/></w:pPr>
<w:r><w:t xml:space="preserve">as far as Cape Nun, and c. 520 B.C. Hanno, a Carthaginian,</w:t></w:r>
</w:p>
<w:p>
<w:pPr><w:pStyle w:val="Normal"/></w:pPr>
<w:r><w:t xml:space="preserve">explored the coast as far, perhaps, as the Bight of Benin,</w:t></w:r>
</w:p>
<w:p>
<w:pPr><w:pStyle w:val="Normal"/></w:pPr>
<w:r><w:t xml:space="preserve">certainly as far as Sierra Leone.  A vague knowledge of</w:t></w:r>
</w:p>
<w:p>
<w:pPr><w:pStyle w:val="Normal"/></w:pPr>
<w:r><w:t xml:space="preserve">the Niger regions was also possessed by the Phoenicians.</w:t></w:r>
</w:p>
<w:p>
<w:pPr><w:pStyle w:val="Normal"/></w:pPr>
<w:r><w:t xml:space="preserve">Meantime the first European colonists had planted themselves in</w:t></w:r>
</w:p>
<w:p>
<w:pPr><w:pStyle w:val="Normal"/></w:pPr>
<w:r><w:t xml:space="preserve">Africa.  At the point where the continent approaches nearest</w:t></w:r>
</w:p>
<w:p>
<w:pPr><w:pStyle w:val="Normal"/></w:pPr>
<w:r><w:t xml:space="preserve">the Greek islands, Greeks founded the city of Cyrene (c. 631</w:t></w:r>
</w:p>
<w:p>
<w:pPr><w:pStyle w:val="Normal"/></w:pPr>
<w:r><w:t xml:space="preserve">B.C..) Cyrenaica became a flourishing colony, though being</w:t></w:r>
</w:p>
<w:p>
<w:pPr><w:pStyle w:val="Normal"/></w:pPr>
<w:r><w:t xml:space="preserve">hemmed in on all sides by absolute desert it had little or</w:t></w:r>
</w:p>
<w:p>
<w:pPr><w:pStyle w:val="Normal"/></w:pPr>
<w:r><w:t xml:space="preserve">no influence on inner Africa.  The Greeks, however, exerted</w:t></w:r>
</w:p>
<w:p>
<w:pPr><w:pStyle w:val="Normal"/></w:pPr>
<w:r><w:t xml:space="preserve">a powerful influence in Egypt.  To Alexander the Great the</w:t></w:r>
</w:p>
<w:p>
<w:pPr><w:pStyle w:val="Normal"/></w:pPr>
<w:r><w:t xml:space="preserve">city of Alexandria owes its foundation (332 B.C.), and</w:t></w:r>
</w:p>
<w:p>
<w:pPr><w:pStyle w:val="Normal"/></w:pPr>
<w:r><w:t xml:space="preserve">under the Hellenistic dynasty of the Ptolemies attempts were</w:t></w:r>
</w:p>
<w:p>
<w:pPr><w:pStyle w:val="Normal"/></w:pPr>
<w:r><w:t xml:space="preserve">made to penetrate southward, and in this way was obtained</w:t></w:r>
</w:p>
<w:p>
<w:pPr><w:pStyle w:val="Normal"/></w:pPr>
<w:r><w:t xml:space="preserve">some knowledge of Abyssinia.  Neither Cyrenaica nor Egypt was</w:t></w:r>
</w:p>
<w:p>
<w:pPr><w:pStyle w:val="Normal"/></w:pPr>
<w:r><w:t xml:space="preserve">a serious rival to the Carthaginians, but all three powers</w:t></w:r>
</w:p>
<w:p>
<w:pPr><w:pStyle w:val="Normal"/></w:pPr>
<w:r><w:t xml:space="preserve">were eventually supplanted by the Romans.  After centuries of</w:t></w:r>
</w:p>
<w:p>
<w:pPr><w:pStyle w:val="Normal"/></w:pPr>
<w:r><w:t xml:space="preserve">rivalry for supremacy1 the struggle was ended by the fall of</w:t></w:r>
</w:p>
<w:p>
<w:pPr><w:pStyle w:val="Normal"/></w:pPr>
<w:r><w:t xml:space="preserve">Carthage in 146 B.C. Within little more than a century from</w:t></w:r>
</w:p>
<w:p>
<w:pPr><w:pStyle w:val="Normal"/></w:pPr>
<w:r><w:t xml:space="preserve">that date Egypt and Cyrene had become incorporated in the Roman</w:t></w:r>
</w:p>
<w:p>
<w:pPr><w:pStyle w:val="Normal"/></w:pPr>
<w:r><w:t xml:space="preserve">empire.  Under Rome the settled portions of the country were</w:t></w:r>
</w:p>
<w:p>
<w:pPr><w:pStyle w:val="Normal"/></w:pPr>
<w:r><w:t xml:space="preserve">very prosperous, and a Latin strain was introduced into the</w:t></w:r>
</w:p>
<w:p>
<w:pPr><w:pStyle w:val="Normal"/></w:pPr>
<w:r><w:t xml:space="preserve">land.  Though Fezzan was occupied by them, the Romans</w:t></w:r>
</w:p>
<w:p>
<w:pPr><w:pStyle w:val="Normal"/></w:pPr>
<w:r><w:t xml:space="preserve">elsewhere found the Sahara an impassable barrier.  Nubia</w:t></w:r>
</w:p>
<w:p>
<w:pPr><w:pStyle w:val="Normal"/></w:pPr>
<w:r><w:t xml:space="preserve">and Abyssinia were reached, but an expedition sent by the</w:t></w:r>
</w:p>
<w:p>
<w:pPr><w:pStyle w:val="Normal"/></w:pPr>
<w:r><w:t xml:space="preserve">emperor Nero to discover the source of the Nile ended in</w:t></w:r>
</w:p>
<w:p>
<w:pPr><w:pStyle w:val="Normal"/></w:pPr>
<w:r><w:t xml:space="preserve">failure.  The utmost extent of geographical knowledge of the</w:t></w:r>
</w:p>
<w:p>
<w:pPr><w:pStyle w:val="Normal"/></w:pPr>
<w:r><w:t xml:space="preserve">continent is shown in the writings of Ptolemy (2nd century</w:t></w:r>
</w:p>
<w:p>
<w:pPr><w:pStyle w:val="Normal"/></w:pPr>
<w:r><w:t xml:space="preserve">A.D.), who knew of or guessed the existence of the great</w:t></w:r>
</w:p>
<w:p>
<w:pPr><w:pStyle w:val="Normal"/></w:pPr>
<w:r><w:t xml:space="preserve">lake reservoirs of the Nile and had heard of the river</w:t></w:r>
</w:p>
<w:p>
<w:pPr><w:pStyle w:val="Normal"/></w:pPr>
<w:r><w:t xml:space="preserve">Niger.  Still Africa for the civilized world remained simply</w:t></w:r>
</w:p>
<w:p>
<w:pPr><w:pStyle w:val="Normal"/></w:pPr>
<w:r><w:t xml:space="preserve">the countries bordering the Mediterranean.  The continual</w:t></w:r>
</w:p>
<w:p>
<w:pPr><w:pStyle w:val="Normal"/></w:pPr>
<w:r><w:t xml:space="preserve">struggle between Rome and the Berber tribes; the introduction</w:t></w:r>
</w:p>
<w:p>
<w:pPr><w:pStyle w:val="Normal"/></w:pPr>
<w:r><w:t xml:space="preserve">of Christianity and the glories and sufferings of the</w:t></w:r>
</w:p>
<w:p>
<w:pPr><w:pStyle w:val="Normal"/></w:pPr>
<w:r><w:t xml:space="preserve">Egyptian and African Churches; the invasion and conquest of</w:t></w:r>
</w:p>
<w:p>
<w:pPr><w:pStyle w:val="Normal"/></w:pPr>
<w:r><w:t xml:space="preserve">the African provinces by the Vandals in the 5th century; the</w:t></w:r>
</w:p>
<w:p>
<w:pPr><w:pStyle w:val="Normal"/></w:pPr>
<w:r><w:t xml:space="preserve">passing of the supreme power in the following century to the</w:t></w:r>
</w:p>
<w:p>
<w:pPr><w:pStyle w:val="Normal"/></w:pPr>
<w:r><w:t xml:space="preserve">Byzantine empire--all these events are told fully elsewhere.</w:t></w:r>
</w:p>
<w:p>
<w:pPr><w:pStyle w:val="Normal"/></w:pPr>
<w:r><w:t xml:space="preserve">In the 7th century of the Christian era occurred an event</w:t></w:r>
</w:p>
<w:p>
<w:pPr><w:pStyle w:val="Normal"/></w:pPr>
<w:r><w:t xml:space="preserve">destined to have a permanent influence on the whole continent.</w:t></w:r>
</w:p>
<w:p>
<w:pPr><w:pStyle w:val="Normal"/></w:pPr>
<w:r><w:t xml:space="preserve">North Africa conquered by the Arabs.</w:t></w:r>
</w:p>
<w:p>
<w:pPr><w:pStyle w:val="Normal"/></w:pPr>
<w:r><w:t xml:space="preserve">Invading first Egypt, an Arab host, fanatical believers in</w:t></w:r>
</w:p>
<w:p>
<w:pPr><w:pStyle w:val="Normal"/></w:pPr>
<w:r><w:t xml:space="preserve">the new faith of Mahomet, conquered the whole country from the</w:t></w:r>
</w:p>
<w:p>
<w:pPr><w:pStyle w:val="Normal"/></w:pPr>
<w:r><w:t xml:space="preserve">Red Sea to the Atlantic and carried the Crescent into Spain.</w:t></w:r>
</w:p>
<w:p>
<w:pPr><w:pStyle w:val="Normal"/></w:pPr>
<w:r><w:t xml:space="preserve">Throughout North Africa Christianity well-nigh disappeared,</w:t></w:r>
</w:p>
<w:p>
<w:pPr><w:pStyle w:val="Normal"/></w:pPr>
<w:r><w:t xml:space="preserve">save in Egypt (where the Coptic Church was suffered to exist),</w:t></w:r>
</w:p>
<w:p>
<w:pPr><w:pStyle w:val="Normal"/></w:pPr>
<w:r><w:t xml:space="preserve">and Upper Nubia and Abyssinia, which were not subdued by the</w:t></w:r>
</w:p>
<w:p>
<w:pPr><w:pStyle w:val="Normal"/></w:pPr>
<w:r><w:t xml:space="preserve">Moslems.  In the 8th, 9th and 10th centuries the Arabs in</w:t></w:r>
</w:p>
<w:p>
<w:pPr><w:pStyle w:val="Normal"/></w:pPr>
<w:r><w:t xml:space="preserve">Africa were numerically weak; they held the countries they had</w:t></w:r>
</w:p>
<w:p>
<w:pPr><w:pStyle w:val="Normal"/></w:pPr>
<w:r><w:t xml:space="preserve">conquered by the sword only, but in the 11th century there was</w:t></w:r>
</w:p>
<w:p>
<w:pPr><w:pStyle w:val="Normal"/></w:pPr>
<w:r><w:t xml:space="preserve">a great Arab immigration, resulting in a large absorption of</w:t></w:r>
</w:p>
<w:p>
<w:pPr><w:pStyle w:val="Normal"/></w:pPr>
<w:r><w:t xml:space="preserve">Berber blood.  Even before this the Berbers had very generally</w:t></w:r>
</w:p>
<w:p>
<w:pPr><w:pStyle w:val="Normal"/></w:pPr>
<w:r><w:t xml:space="preserve">adopted the speech and religion of their conquerors.  Arab</w:t></w:r>
</w:p>
<w:p>
<w:pPr><w:pStyle w:val="Normal"/></w:pPr>
<w:r><w:t xml:space="preserve">influence and the Mahommedan religion thus became indelibly</w:t></w:r>
</w:p>
<w:p>
<w:pPr><w:pStyle w:val="Normal"/></w:pPr>
<w:r><w:t xml:space="preserve">stamped on northern Africa.  Together they spread southward</w:t></w:r>
</w:p>
<w:p>
<w:pPr><w:pStyle w:val="Normal"/></w:pPr>
<w:r><w:t xml:space="preserve">across the Sahara.  They also became firmly established along</w:t></w:r>
</w:p>
<w:p>
<w:pPr><w:pStyle w:val="Normal"/></w:pPr>
<w:r><w:t xml:space="preserve">the eastern sea-board, where Arabs, Persians and Indians</w:t></w:r>
</w:p>
<w:p>
<w:pPr><w:pStyle w:val="Normal"/></w:pPr>
<w:r><w:t xml:space="preserve">planted flourishing colonies, such as Mombasa, Malindi and</w:t></w:r>
</w:p>
<w:p>
<w:pPr><w:pStyle w:val="Normal"/></w:pPr>
<w:r><w:t xml:space="preserve">Sofala, playing a role, maritime and commercial, analogous</w:t></w:r>
</w:p>
<w:p>
<w:pPr><w:pStyle w:val="Normal"/></w:pPr>
<w:r><w:t xml:space="preserve">to that filled in earlier centuries by the Carthaginians on</w:t></w:r>
</w:p>
<w:p>
<w:pPr><w:pStyle w:val="Normal"/></w:pPr>
<w:r><w:t xml:space="preserve">the northern sea-board.  Of these eastern cities and states</w:t></w:r>
</w:p>
<w:p>
<w:pPr><w:pStyle w:val="Normal"/></w:pPr>
<w:r><w:t xml:space="preserve">both Europe and the Arabs of North Africa were long ignorant.</w:t></w:r>
</w:p>
<w:p>
<w:pPr><w:pStyle w:val="Normal"/></w:pPr>
<w:r><w:t xml:space="preserve">The first Arab invaders had recognized the authority of the</w:t></w:r>
</w:p>
<w:p>
<w:pPr><w:pStyle w:val="Normal"/></w:pPr>
<w:r><w:t xml:space="preserve">caliphs of Bagdad, and the Aghlabite dynasty--founded by Aghlab,</w:t></w:r>
</w:p>
<w:p>
<w:pPr><w:pStyle w:val="Normal"/></w:pPr>
<w:r><w:t xml:space="preserve">one of Haroun al Raschid&apos;s generals, at the close of the 8th</w:t></w:r>
</w:p>
<w:p>
<w:pPr><w:pStyle w:val="Normal"/></w:pPr>
<w:r><w:t xml:space="preserve">century--ruled as vassals of the caliphate.  However, early in</w:t></w:r>
</w:p>
<w:p>
<w:pPr><w:pStyle w:val="Normal"/></w:pPr>
<w:r><w:t xml:space="preserve">the 10th century the Fatimite dynasty established itself in Egypt,</w:t></w:r>
</w:p>
<w:p>
<w:pPr><w:pStyle w:val="Normal"/></w:pPr>
<w:r><w:t xml:space="preserve">where Cairo had been founded A.D. 968, and from there ruled</w:t></w:r>
</w:p>
<w:p>
<w:pPr><w:pStyle w:val="Normal"/></w:pPr>
<w:r><w:t xml:space="preserve">as far west as the Atlantic.  Later still arose other dynasties</w:t></w:r>
</w:p>
<w:p>
<w:pPr><w:pStyle w:val="Normal"/></w:pPr>
<w:r><w:t xml:space="preserve">Appearance of the Turks.</w:t></w:r>
</w:p>
<w:p>
<w:pPr><w:pStyle w:val="Normal"/></w:pPr>
<w:r><w:t xml:space="preserve">such as the Almoravides and Almohades.  Eventually the</w:t></w:r>
</w:p>
<w:p>
<w:pPr><w:pStyle w:val="Normal"/></w:pPr>
<w:r><w:t xml:space="preserve">Turks, who had conquered Constantinople in 1453, and had</w:t></w:r>
</w:p>
<w:p>
<w:pPr><w:pStyle w:val="Normal"/></w:pPr>
<w:r><w:t xml:space="preserve">seized Egypt in 1517, established the regencies of Algeria,</w:t></w:r>
</w:p>
<w:p>
<w:pPr><w:pStyle w:val="Normal"/></w:pPr>
<w:r><w:t xml:space="preserve">Tunisia and Tripoli (between 1519 and 1551), Morocco remaining</w:t></w:r>
</w:p>
<w:p>
<w:pPr><w:pStyle w:val="Normal"/></w:pPr>
<w:r><w:t xml:space="preserve">an independent Arabized Berber state under the Sharifan</w:t></w:r>
</w:p>
<w:p>
<w:pPr><w:pStyle w:val="Normal"/></w:pPr>
<w:r><w:t xml:space="preserve">dynasty, which had its beginnings at the end of the 13th</w:t></w:r>
</w:p>
<w:p>
<w:pPr><w:pStyle w:val="Normal"/></w:pPr>
<w:r><w:t xml:space="preserve">century.  Under the earlier dynasties Arabian or Moorish culture</w:t></w:r>
</w:p>
<w:p>
<w:pPr><w:pStyle w:val="Normal"/></w:pPr>
<w:r><w:t xml:space="preserve">had attained a high degree of excellence, while the spirit</w:t></w:r>
</w:p>
<w:p>
<w:pPr><w:pStyle w:val="Normal"/></w:pPr>
<w:r><w:t xml:space="preserve">of adventure and the proselytizing zeal of the followers of</w:t></w:r>
</w:p>
<w:p>
<w:pPr><w:pStyle w:val="Normal"/></w:pPr>
<w:r><w:t xml:space="preserve">Islam led to a considerable extension of the knowledge of the</w:t></w:r>
</w:p>
<w:p>
<w:pPr><w:pStyle w:val="Normal"/></w:pPr>
<w:r><w:t xml:space="preserve">continent.  This was rendered more easy by their use of the</w:t></w:r>
</w:p>
<w:p>
<w:pPr><w:pStyle w:val="Normal"/></w:pPr>
<w:r><w:t xml:space="preserve">camel (first introduced into Africa by the Persian conquerors</w:t></w:r>
</w:p>
<w:p>
<w:pPr><w:pStyle w:val="Normal"/></w:pPr>
<w:r><w:t xml:space="preserve">of Egypt), which enabled the Arabs to traverse the desert.</w:t></w:r>
</w:p>
<w:p>
<w:pPr><w:pStyle w:val="Normal"/></w:pPr>
<w:r><w:t xml:space="preserve">In this way Senegambia and the middle Niger regions fell under</w:t></w:r>
</w:p>
<w:p>
<w:pPr><w:pStyle w:val="Normal"/></w:pPr>
<w:r><w:t xml:space="preserve">the influence of the Arabs and Berbers, but it was not until</w:t></w:r>
</w:p>
<w:p>
<w:pPr><w:pStyle w:val="Normal"/></w:pPr>
<w:r><w:t xml:space="preserve">1591 that Timbuktu--a city founded in the 11th century--became</w:t></w:r>
</w:p>
<w:p>
<w:pPr><w:pStyle w:val="Normal"/></w:pPr>
<w:r><w:t xml:space="preserve">Moslem.  That city had been reached in 1352 by the great</w:t></w:r>
</w:p>
<w:p>
<w:pPr><w:pStyle w:val="Normal"/></w:pPr>
<w:r><w:t xml:space="preserve">Arab traveller Ibn Batuta, to whose journey to Mombasa and</w:t></w:r>
</w:p>
<w:p>
<w:pPr><w:pStyle w:val="Normal"/></w:pPr>
<w:r><w:t xml:space="preserve">Quiloa (Kilwa) was due the first accurate knowledge of those</w:t></w:r>
</w:p>
<w:p>
<w:pPr><w:pStyle w:val="Normal"/></w:pPr>
<w:r><w:t xml:space="preserve">flourishing Moslem cities on the east African sea-boards.</w:t></w:r>
</w:p>
<w:p>
<w:pPr><w:pStyle w:val="Normal"/></w:pPr>
<w:r><w:t xml:space="preserve">Except along this sea-board, which was colonized directly</w:t></w:r>
</w:p>
<w:p>
<w:pPr><w:pStyle w:val="Normal"/></w:pPr>
<w:r><w:t xml:space="preserve">from Asia, Arab progress southward was stopped by the broad</w:t></w:r>
</w:p>
<w:p>
<w:pPr><w:pStyle w:val="Normal"/></w:pPr>
<w:r><w:t xml:space="preserve">belt of dense forest which, stretching almost across the</w:t></w:r>
</w:p>
<w:p>
<w:pPr><w:pStyle w:val="Normal"/></w:pPr>
<w:r><w:t xml:space="preserve">continent somewhat south of 10 deg.  N., barred their advance</w:t></w:r>
</w:p>
<w:p>
<w:pPr><w:pStyle w:val="Normal"/></w:pPr>
<w:r><w:t xml:space="preserve">as effectually as had the Sahara that of their predecessors,</w:t></w:r>
</w:p>
<w:p>
<w:pPr><w:pStyle w:val="Normal"/></w:pPr>
<w:r><w:t xml:space="preserve">and cut them off from knowledge of the Guinea coast and of</w:t></w:r>
</w:p>
<w:p>
<w:pPr><w:pStyle w:val="Normal"/></w:pPr>
<w:r><w:t xml:space="preserve">all Africa beyond.  One of the regions which came latest</w:t></w:r>
</w:p>
<w:p>
<w:pPr><w:pStyle w:val="Normal"/></w:pPr>
<w:r><w:t xml:space="preserve">under Arab control was that of Nubia, where a Christian</w:t></w:r>
</w:p>
<w:p>
<w:pPr><w:pStyle w:val="Normal"/></w:pPr>
<w:r><w:t xml:space="preserve">civilization and state existed up to the 14th century.</w:t></w:r>
</w:p>
<w:p>
<w:pPr><w:pStyle w:val="Normal"/></w:pPr>
<w:r><w:t xml:space="preserve">For a time the Moslem conquests in South Europe had virtually</w:t></w:r>
</w:p>
<w:p>
<w:pPr><w:pStyle w:val="Normal"/></w:pPr>
<w:r><w:t xml:space="preserve">made of the Mediterranean an Arab lake, but the expulsion</w:t></w:r>
</w:p>
<w:p>
<w:pPr><w:pStyle w:val="Normal"/></w:pPr>
<w:r><w:t xml:space="preserve">in the 11th century of the Saracens from Sicily and southern</w:t></w:r>
</w:p>
<w:p>
<w:pPr><w:pStyle w:val="Normal"/></w:pPr>
<w:r><w:t xml:space="preserve">Italy by the Normans was followed by descents of the conquerors</w:t></w:r>
</w:p>
<w:p>
<w:pPr><w:pStyle w:val="Normal"/></w:pPr>
<w:r><w:t xml:space="preserve">on Tunisia and Tripoli.  Somewhat later a busy trade with</w:t></w:r>
</w:p>
<w:p>
<w:pPr><w:pStyle w:val="Normal"/></w:pPr>
<w:r><w:t xml:space="preserve">the African coast-lands, and especially with Egypt, was</w:t></w:r>
</w:p>
<w:p>
<w:pPr><w:pStyle w:val="Normal"/></w:pPr>
<w:r><w:t xml:space="preserve">developed by Venice, Pisa, Genoa and other cities of North</w:t></w:r>
</w:p>
<w:p>
<w:pPr><w:pStyle w:val="Normal"/></w:pPr>
<w:r><w:t xml:space="preserve">Italy.  By the end of the 15th century Spain had completely</w:t></w:r>
</w:p>
<w:p>
<w:pPr><w:pStyle w:val="Normal"/></w:pPr>
<w:r><w:t xml:space="preserve">thrown off the Moslem yoke, but even while the Moors were still</w:t></w:r>
</w:p>
<w:p>
<w:pPr><w:pStyle w:val="Normal"/></w:pPr>
<w:r><w:t xml:space="preserve">in Granada, Portugal was strong enough to carry the war into</w:t></w:r>
</w:p>
<w:p>
<w:pPr><w:pStyle w:val="Normal"/></w:pPr>
<w:r><w:t xml:space="preserve">Africa.  In 1415 a Portuguese force captured the citadel of Ceuta</w:t></w:r>
</w:p>
<w:p>
<w:pPr><w:pStyle w:val="Normal"/></w:pPr>
<w:r><w:t xml:space="preserve">on the Moorish coast.  From that time onward Portugal repeatedly</w:t></w:r>
</w:p>
<w:p>
<w:pPr><w:pStyle w:val="Normal"/></w:pPr>
<w:r><w:t xml:space="preserve">Spain and Portugal invade the Barbary States.</w:t></w:r>
</w:p>
<w:p>
<w:pPr><w:pStyle w:val="Normal"/></w:pPr>
<w:r><w:t xml:space="preserve">interfered in the affairs of Morocco, while Spain acquired many</w:t></w:r>
</w:p>
<w:p>
<w:pPr><w:pStyle w:val="Normal"/></w:pPr>
<w:r><w:t xml:space="preserve">ports in Algeria and Tunisia.  Portugal, however, suffered a</w:t></w:r>
</w:p>
<w:p>
<w:pPr><w:pStyle w:val="Normal"/></w:pPr>
<w:r><w:t xml:space="preserve">crushing defeat in 1578 at al Kasr al Kebir, the Moors being</w:t></w:r>
</w:p>
<w:p>
<w:pPr><w:pStyle w:val="Normal"/></w:pPr>
<w:r><w:t xml:space="preserve">led by Abd el Malek I. of the then recently established Sharifan</w:t></w:r>
</w:p>
<w:p>
<w:pPr><w:pStyle w:val="Normal"/></w:pPr>
<w:r><w:t xml:space="preserve">dynasty.  By that time the Spaniards had lost almost all their</w:t></w:r>
</w:p>
<w:p>
<w:pPr><w:pStyle w:val="Normal"/></w:pPr>
<w:r><w:t xml:space="preserve">African possessions.  The Barbary states, primarily from the</w:t></w:r>
</w:p>
<w:p>
<w:pPr><w:pStyle w:val="Normal"/></w:pPr>
<w:r><w:t xml:space="preserve">example of the Moors expelled from Spain, degenerated into mere</w:t></w:r>
</w:p>
<w:p>
<w:pPr><w:pStyle w:val="Normal"/></w:pPr>
<w:r><w:t xml:space="preserve">communities of pirates, and under Turkish influence civilization</w:t></w:r>
</w:p>
<w:p>
<w:pPr><w:pStyle w:val="Normal"/></w:pPr>
<w:r><w:t xml:space="preserve">and commerce declined.  The story of these states from the</w:t></w:r>
</w:p>
<w:p>
<w:pPr><w:pStyle w:val="Normal"/></w:pPr>
<w:r><w:t xml:space="preserve">beginning of the 16th century to the third decade of the 19th</w:t></w:r>
</w:p>
<w:p>
<w:pPr><w:pStyle w:val="Normal"/></w:pPr>
<w:r><w:t xml:space="preserve">century is largely made up of piratical exploits on the one</w:t></w:r>
</w:p>
<w:p>
<w:pPr><w:pStyle w:val="Normal"/></w:pPr>
<w:r><w:t xml:space="preserve">hand and of ineffectual reprisals on the other.  In Algiers,</w:t></w:r>
</w:p>
<w:p>
<w:pPr><w:pStyle w:val="Normal"/></w:pPr>
<w:r><w:t xml:space="preserve">Tunis and other cities were thousands of Christian slaves.</w:t></w:r>
</w:p>
<w:p>
<w:pPr><w:pStyle w:val="Normal"/></w:pPr>
<w:r><w:t xml:space="preserve">But with the battle of Ceuta Africa had ceased to belong solely</w:t></w:r>
</w:p>
<w:p>
<w:pPr><w:pStyle w:val="Normal"/></w:pPr>
<w:r><w:t xml:space="preserve">to the Mediterranean world.  Among those who fought there was</w:t></w:r>
</w:p>
<w:p>
<w:pPr><w:pStyle w:val="Normal"/></w:pPr>
<w:r><w:t xml:space="preserve">Discovery of the Guinea coast--Rise of the slave trade.</w:t></w:r>
</w:p>
<w:p>
<w:pPr><w:pStyle w:val="Normal"/></w:pPr>
<w:r><w:t xml:space="preserve">one.  Prince Henry ``the Navigator,&apos;&apos; son of King John</w:t></w:r>
</w:p>
<w:p>
<w:pPr><w:pStyle w:val="Normal"/></w:pPr>
<w:r><w:t xml:space="preserve">I., who was fired with the ambition to acquire for Portugal</w:t></w:r>
</w:p>
<w:p>
<w:pPr><w:pStyle w:val="Normal"/></w:pPr>
<w:r><w:t xml:space="preserve">the unknown parts of Africa.  Under his inspiration and</w:t></w:r>
</w:p>
<w:p>
<w:pPr><w:pStyle w:val="Normal"/></w:pPr>
<w:r><w:t xml:space="preserve">direction was begun that series of voyages of exploration</w:t></w:r>
</w:p>
<w:p>
<w:pPr><w:pStyle w:val="Normal"/></w:pPr>
<w:r><w:t xml:space="preserve">which resulted in the circumnavigation of Africa and the</w:t></w:r>
</w:p>
<w:p>
<w:pPr><w:pStyle w:val="Normal"/></w:pPr>
<w:r><w:t xml:space="preserve">establishment of Portuguese sovereignty over large areas</w:t></w:r>
</w:p>
<w:p>
<w:pPr><w:pStyle w:val="Normal"/></w:pPr>
<w:r><w:t xml:space="preserve">of the coast-lands.  Cape Bojador was doubled in 1434,</w:t></w:r>
</w:p>
<w:p>
<w:pPr><w:pStyle w:val="Normal"/></w:pPr>
<w:r><w:t xml:space="preserve">Cape Verde in 1445, and by 1480 the whole Guinea coast was</w:t></w:r>
</w:p>
<w:p>
<w:pPr><w:pStyle w:val="Normal"/></w:pPr>
<w:r><w:t xml:space="preserve">known.  In 1482 Diogo Cam or Cao discovered the mouth of the</w:t></w:r>
</w:p>
<w:p>
<w:pPr><w:pStyle w:val="Normal"/></w:pPr>
<w:r><w:t xml:space="preserve">Congo, the Cape of Good Hope was doubled by Bartholomew Diaz</w:t></w:r>
</w:p>
<w:p>
<w:pPr><w:pStyle w:val="Normal"/></w:pPr>
<w:r><w:t xml:space="preserve">in 1488, and in 1498 Vasco da Gama, after having rounded</w:t></w:r>
</w:p>
<w:p>
<w:pPr><w:pStyle w:val="Normal"/></w:pPr>
<w:r><w:t xml:space="preserve">the Cape, sailed up the east coast, touched at Sofala and</w:t></w:r>
</w:p>
<w:p>
<w:pPr><w:pStyle w:val="Normal"/></w:pPr>
<w:r><w:t xml:space="preserve">Malindi, and went thence to India.  Over all the countries</w:t></w:r>
</w:p>
<w:p>
<w:pPr><w:pStyle w:val="Normal"/></w:pPr>
<w:r><w:t xml:space="preserve">discovered by their navigators Portugal claimed sovereign</w:t></w:r>
</w:p>
<w:p>
<w:pPr><w:pStyle w:val="Normal"/></w:pPr>
<w:r><w:t xml:space="preserve">rights, but these were not exercised in the extreme south of the</w:t></w:r>
</w:p>
<w:p>
<w:pPr><w:pStyle w:val="Normal"/></w:pPr>
<w:r><w:t xml:space="preserve">continent.  The Guinea coast, as the first discovered and the</w:t></w:r>
</w:p>
<w:p>
<w:pPr><w:pStyle w:val="Normal"/></w:pPr>
<w:r><w:t xml:space="preserve">nearest to Europe, was first exploited.  Numerous forts and</w:t></w:r>
</w:p>
<w:p>
<w:pPr><w:pStyle w:val="Normal"/></w:pPr>
<w:r><w:t xml:space="preserve">trading stations were established, the earliest being Sao</w:t></w:r>
</w:p>
<w:p>
<w:pPr><w:pStyle w:val="Normal"/></w:pPr>
<w:r><w:t xml:space="preserve">Jorge da Mina (Elmina), begun in 1482.  The chief commodities</w:t></w:r>
</w:p>
<w:p>
<w:pPr><w:pStyle w:val="Normal"/></w:pPr>
<w:r><w:t xml:space="preserve">dealt in were slaves, gold, ivory and spices.  The discovery</w:t></w:r>
</w:p>
<w:p>
<w:pPr><w:pStyle w:val="Normal"/></w:pPr>
<w:r><w:t xml:space="preserve">of America (1492) was followed by a great development of</w:t></w:r>
</w:p>
<w:p>
<w:pPr><w:pStyle w:val="Normal"/></w:pPr>
<w:r><w:t xml:space="preserve">the slave trade, which, before the Portuguese era, had been</w:t></w:r>
</w:p>
<w:p>
<w:pPr><w:pStyle w:val="Normal"/></w:pPr>
<w:r><w:t xml:space="preserve">an overland trade almost exclusively confined to Mahommedan</w:t></w:r>
</w:p>
<w:p>
<w:pPr><w:pStyle w:val="Normal"/></w:pPr>
<w:r><w:t xml:space="preserve">Africa.  The lucrative nature of this trade and the large</w:t></w:r>
</w:p>
<w:p>
<w:pPr><w:pStyle w:val="Normal"/></w:pPr>
<w:r><w:t xml:space="preserve">quantities of alluvial gold obtained by the Portuguese drew</w:t></w:r>
</w:p>
<w:p>
<w:pPr><w:pStyle w:val="Normal"/></w:pPr>
<w:r><w:t xml:space="preserve">other nations to the Guinea coast.  English mariners went</w:t></w:r>
</w:p>
<w:p>
<w:pPr><w:pStyle w:val="Normal"/></w:pPr>
<w:r><w:t xml:space="preserve">thither as early as 1553, and they were followed by Spaniards,</w:t></w:r>
</w:p>
<w:p>
<w:pPr><w:pStyle w:val="Normal"/></w:pPr>
<w:r><w:t xml:space="preserve">Dutch, French, Danish and other adventurers.  Much of Senegambia</w:t></w:r>
</w:p>
<w:p>
<w:pPr><w:pStyle w:val="Normal"/></w:pPr>
<w:r><w:t xml:space="preserve">was made known as a result of quests during the 16th century</w:t></w:r>
</w:p>
<w:p>
<w:pPr><w:pStyle w:val="Normal"/></w:pPr>
<w:r><w:t xml:space="preserve">for the ``hills of gold&apos;&apos; in Bambuk and the fabled wealth of</w:t></w:r>
</w:p>
<w:p>
<w:pPr><w:pStyle w:val="Normal"/></w:pPr>
<w:r><w:t xml:space="preserve">Timbuktu, but the middle Niger was not reached.  The supremacy</w:t></w:r>
</w:p>
<w:p>
<w:pPr><w:pStyle w:val="Normal"/></w:pPr>
<w:r><w:t xml:space="preserve">along the coast passed in the 17th century from Portugal to</w:t></w:r>
</w:p>
<w:p>
<w:pPr><w:pStyle w:val="Normal"/></w:pPr>
<w:r><w:t xml:space="preserve">Holland and from Holland in the 18th and 19th centuries to</w:t></w:r>
</w:p>
<w:p>
<w:pPr><w:pStyle w:val="Normal"/></w:pPr>
<w:r><w:t xml:space="preserve">France and England.  The whole coast from Senegal to Lagos</w:t></w:r>
</w:p>
<w:p>
<w:pPr><w:pStyle w:val="Normal"/></w:pPr>
<w:r><w:t xml:space="preserve">was dotted with forts and ``factories&apos;&apos; of rival powers,</w:t></w:r>
</w:p>
<w:p>
<w:pPr><w:pStyle w:val="Normal"/></w:pPr>
<w:r><w:t xml:space="preserve">and this international patchwork persists though all the</w:t></w:r>
</w:p>
<w:p>
<w:pPr><w:pStyle w:val="Normal"/></w:pPr>
<w:r><w:t xml:space="preserve">hinterland has become either French or British territory.</w:t></w:r>
</w:p>
<w:p>
<w:pPr><w:pStyle w:val="Normal"/></w:pPr>
<w:r><w:t xml:space="preserve">Southward from the mouth of the Congo2 to the inhospitable</w:t></w:r>
</w:p>
<w:p>
<w:pPr><w:pStyle w:val="Normal"/></w:pPr>
<w:r><w:t xml:space="preserve">region of Damaraland, the Portuguese, from 1491 onward, acquired</w:t></w:r>
</w:p>
<w:p>
<w:pPr><w:pStyle w:val="Normal"/></w:pPr>
<w:r><w:t xml:space="preserve">influence over the Bantu-Negro inhabitants, and in the early</w:t></w:r>
</w:p>
<w:p>
<w:pPr><w:pStyle w:val="Heading1"/></w:pPr>
<w:r><w:t>part of the 16th century through their efforts Christianity was</w:t></w:r>
</w:p>
<w:p>
<w:pPr><w:pStyle w:val="Normal"/></w:pPr>
<w:r><w:t xml:space="preserve">largely adopted in the native kingtom of Congo.  An irruption</w:t></w:r>
</w:p>
<w:p>
<w:pPr><w:pStyle w:val="Normal"/></w:pPr>
<w:r><w:t xml:space="preserve">of cannibals from the interior later in the same century</w:t></w:r>
</w:p>
<w:p>
<w:pPr><w:pStyle w:val="Normal"/></w:pPr>
<w:r><w:t xml:space="preserve">broke the power of this semi-Christian state, and Portuguese</w:t></w:r>
</w:p>
<w:p>
<w:pPr><w:pStyle w:val="Normal"/></w:pPr>
<w:r><w:t xml:space="preserve">activity was transferred to a great extent farther south, Sao</w:t></w:r>
</w:p>
<w:p>
<w:pPr><w:pStyle w:val="Normal"/></w:pPr>
<w:r><w:t xml:space="preserve">Paulo de Loanda being founded in 1576.  The sovereignty of</w:t></w:r>
</w:p>
<w:p>
<w:pPr><w:pStyle w:val="Normal"/></w:pPr>
<w:r><w:t xml:space="preserve">Portugal over this coast region, except for the mouth of the</w:t></w:r>
</w:p>
<w:p>
<w:pPr><w:pStyle w:val="Normal"/></w:pPr>
<w:r><w:t xml:space="preserve">Congo, has been once only challenged by a European power,</w:t></w:r>
</w:p>
<w:p>
<w:pPr><w:pStyle w:val="Normal"/></w:pPr>
<w:r><w:t xml:space="preserve">and that was in 1640-1648, when the Dutch held the seaports.</w:t></w:r>
</w:p>
<w:p>
<w:pPr><w:pStyle w:val="Normal"/></w:pPr>
<w:r><w:t xml:space="preserve">Neglecting the comparatively poor and thinly inhabited regions</w:t></w:r>
</w:p>
<w:p>
<w:pPr><w:pStyle w:val="Normal"/></w:pPr>
<w:r><w:t xml:space="preserve">of South Africa, the Portuguese no sooner discovered than</w:t></w:r>
</w:p>
<w:p>
<w:pPr><w:pStyle w:val="Normal"/></w:pPr>
<w:r><w:t xml:space="preserve">they coveted the flourishing cities held by Arabized peoples</w:t></w:r>
</w:p>
<w:p>
<w:pPr><w:pStyle w:val="Normal"/></w:pPr>
<w:r><w:t xml:space="preserve">between Sofala and Cape Guardafui.  By 1520 all these Moslem</w:t></w:r>
</w:p>
<w:p>
<w:pPr><w:pStyle w:val="Normal"/></w:pPr>
<w:r><w:t xml:space="preserve">The Portuguese in East Africa and Abyssinia.</w:t></w:r>
</w:p>
<w:p>
<w:pPr><w:pStyle w:val="Normal"/></w:pPr>
<w:r><w:t xml:space="preserve">sultanates had been seized by Portugal, Mozambique being</w:t></w:r>
</w:p>
<w:p>
<w:pPr><w:pStyle w:val="Normal"/></w:pPr>
<w:r><w:t xml:space="preserve">chosen as the chief city of her East African possessions.</w:t></w:r>
</w:p>
<w:p>
<w:pPr><w:pStyle w:val="Normal"/></w:pPr>
<w:r><w:t xml:space="preserve">Nor was Portuguese activity confined to the coast-lands.  The</w:t></w:r>
</w:p>
<w:p>
<w:pPr><w:pStyle w:val="Normal"/></w:pPr>
<w:r><w:t xml:space="preserve">lower and middle Zambezi valley was explored (16th and 17th</w:t></w:r>
</w:p>
<w:p>
<w:pPr><w:pStyle w:val="Normal"/></w:pPr>
<w:r><w:t xml:space="preserve">centuries), and here the Portuguese found semi-civilized</w:t></w:r>
</w:p>
<w:p>
<w:pPr><w:pStyle w:val="Normal"/></w:pPr>
<w:r><w:t xml:space="preserve">Bantu-Negro tribes, who had been for many years in contact</w:t></w:r>
</w:p>
<w:p>
<w:pPr><w:pStyle w:val="Normal"/></w:pPr>
<w:r><w:t xml:space="preserve">with the coast Arabs.  Strenuous efforts were made to obtain</w:t></w:r>
</w:p>
<w:p>
<w:pPr><w:pStyle w:val="Normal"/></w:pPr>
<w:r><w:t xml:space="preserve">possession of the country (modern Rhodesia) known to them</w:t></w:r>
</w:p>
<w:p>
<w:pPr><w:pStyle w:val="Normal"/></w:pPr>
<w:r><w:t xml:space="preserve">as the kingdom or empire of Monomotapa, where gold had been</w:t></w:r>
</w:p>
<w:p>
<w:pPr><w:pStyle w:val="Normal"/></w:pPr>
<w:r><w:t xml:space="preserve">worked by the natives from about the 12th century A.D.,</w:t></w:r>
</w:p>
<w:p>
<w:pPr><w:pStyle w:val="Normal"/></w:pPr>
<w:r><w:t xml:space="preserve">and whence the Arabs, whom the Portuguese dispossessed,</w:t></w:r>
</w:p>
<w:p>
<w:pPr><w:pStyle w:val="Normal"/></w:pPr>
<w:r><w:t xml:space="preserve">were still obtaining supplies in the 16th century.  Several</w:t></w:r>
</w:p>
<w:p>
<w:pPr><w:pStyle w:val="Normal"/></w:pPr>
<w:r><w:t xml:space="preserve">expeditions were despatched inland from 1569 onward and</w:t></w:r>
</w:p>
<w:p>
<w:pPr><w:pStyle w:val="Normal"/></w:pPr>
<w:r><w:t xml:space="preserve">considerable quantities of gold were obtained.  Portugal&apos;s</w:t></w:r>
</w:p>
<w:p>
<w:pPr><w:pStyle w:val="Normal"/></w:pPr>
<w:r><w:t xml:space="preserve">hold on the interior, never very effective, weakened during</w:t></w:r>
</w:p>
<w:p>
<w:pPr><w:pStyle w:val="Normal"/></w:pPr>
<w:r><w:t xml:space="preserve">the 17th century, and in the middle of the 18th century ceased</w:t></w:r>
</w:p>
<w:p>
<w:pPr><w:pStyle w:val="Normal"/></w:pPr>
<w:r><w:t xml:space="preserve">with the abandonment of the forts in the Manica district.</w:t></w:r>
</w:p>
<w:p>
<w:pPr><w:pStyle w:val="Normal"/></w:pPr>
<w:r><w:t xml:space="preserve">At the period of her greatest power Portugal exercised a strong</w:t></w:r>
</w:p>
<w:p>
<w:pPr><w:pStyle w:val="Normal"/></w:pPr>
<w:r><w:t xml:space="preserve">influence in Abyssinia also.  In the ruler of Abyssinia (to</w:t></w:r>
</w:p>
<w:p>
<w:pPr><w:pStyle w:val="Normal"/></w:pPr>
<w:r><w:t xml:space="preserve">whose dominions a Portuguese traveller had penetrated before</w:t></w:r>
</w:p>
<w:p>
<w:pPr><w:pStyle w:val="Normal"/></w:pPr>
<w:r><w:t xml:space="preserve">Vasco da Gama&apos;s memorable voyage) the Portuguese imagined they</w:t></w:r>
</w:p>
<w:p>
<w:pPr><w:pStyle w:val="Normal"/></w:pPr>
<w:r><w:t xml:space="preserve">had found the legendary Christian king, Prester John, and when</w:t></w:r>
</w:p>
<w:p>
<w:pPr><w:pStyle w:val="Normal"/></w:pPr>
<w:r><w:t xml:space="preserve">the complete overthrow of the native dynasty and the Christian</w:t></w:r>
</w:p>
<w:p>
<w:pPr><w:pStyle w:val="Normal"/></w:pPr>
<w:r><w:t xml:space="preserve">religion was imminent by the victories of Mahommedan invaders,</w:t></w:r>
</w:p>
<w:p>
<w:pPr><w:pStyle w:val="Normal"/></w:pPr>
<w:r><w:t xml:space="preserve">the exploits of a band of 400 Portuguese under Christopher da</w:t></w:r>
</w:p>
<w:p>
<w:pPr><w:pStyle w:val="Normal"/></w:pPr>
<w:r><w:t xml:space="preserve">Gama during 1541-1543 turned the scale in favour of Abyssinia</w:t></w:r>
</w:p>
<w:p>
<w:pPr><w:pStyle w:val="Normal"/></w:pPr>
<w:r><w:t xml:space="preserve">and had thus an enduring result on the future of North-East</w:t></w:r>
</w:p>
<w:p>
<w:pPr><w:pStyle w:val="Normal"/></w:pPr>
<w:r><w:t xml:space="preserve">Africa.  After da Gama&apos;s time Portuguese Jesuits resorted to</w:t></w:r>
</w:p>
<w:p>
<w:pPr><w:pStyle w:val="Normal"/></w:pPr>
<w:r><w:t xml:space="preserve">Abyssinia.  While they failed in their efforts to convert the</w:t></w:r>
</w:p>
<w:p>
<w:pPr><w:pStyle w:val="Normal"/></w:pPr>
<w:r><w:t xml:space="preserve">Abyssinians to Roman Catholicism they acquired an extensive</w:t></w:r>
</w:p>
<w:p>
<w:pPr><w:pStyle w:val="Normal"/></w:pPr>
<w:r><w:t xml:space="preserve">knowledge of the country.  Pedro Paez in 1615, and, ten years</w:t></w:r>
</w:p>
<w:p>
<w:pPr><w:pStyle w:val="Normal"/></w:pPr>
<w:r><w:t xml:space="preserve">later, Jeronimo Lobo, both visited the sources of the Blue</w:t></w:r>
</w:p>
<w:p>
<w:pPr><w:pStyle w:val="Normal"/></w:pPr>
<w:r><w:t xml:space="preserve">Nile.  In 1663 the Portuguese, who had outstayed their welcome,</w:t></w:r>
</w:p>
<w:p>
<w:pPr><w:pStyle w:val="Normal"/></w:pPr>
<w:r><w:t xml:space="preserve">were expelled from the Abyssinian dominions.  At this time</w:t></w:r>
</w:p>
<w:p>
<w:pPr><w:pStyle w:val="Normal"/></w:pPr>
<w:r><w:t xml:space="preserve">Portuguese influence on the Zanzibar coast was waning before</w:t></w:r>
</w:p>
<w:p>
<w:pPr><w:pStyle w:val="Normal"/></w:pPr>
<w:r><w:t xml:space="preserve">the power of the Arabs of Muscat, and by 1730 no point on</w:t></w:r>
</w:p>
<w:p>
<w:pPr><w:pStyle w:val="Normal"/></w:pPr>
<w:r><w:t xml:space="preserve">the east coast north of Cape Delgado was held by Portugal.</w:t></w:r>
</w:p>
<w:p>
<w:pPr><w:pStyle w:val="Normal"/></w:pPr>
<w:r><w:t xml:space="preserve">It has been seen that Portugal took no steps to acquire the</w:t></w:r>
</w:p>
<w:p>
<w:pPr><w:pStyle w:val="Normal"/></w:pPr>
<w:r><w:t xml:space="preserve">southern part of the continent.  To the Portuguese the Cape of</w:t></w:r>
</w:p>
<w:p>
<w:pPr><w:pStyle w:val="Normal"/></w:pPr>
<w:r><w:t xml:space="preserve">English and Dutch at Table Bay--Cape Colony founded.</w:t></w:r>
</w:p>
<w:p>
<w:pPr><w:pStyle w:val="Normal"/></w:pPr>
<w:r><w:t xml:space="preserve">Good Hope was simply a landmark on the road to India, and mariners</w:t></w:r>
</w:p>
<w:p>
<w:pPr><w:pStyle w:val="Normal"/></w:pPr>
<w:r><w:t xml:space="preserve">of other nations who followed in their wake used Table Bay only</w:t></w:r>
</w:p>
<w:p>
<w:pPr><w:pStyle w:val="Normal"/></w:pPr>
<w:r><w:t xml:space="preserve">as a convenient spot wherein to refit on their voyage to the</w:t></w:r>
</w:p>
<w:p>
<w:pPr><w:pStyle w:val="Normal"/></w:pPr>
<w:r><w:t xml:space="preserve">East.  By the beginning of the 17th century the bay was much</w:t></w:r>
</w:p>
<w:p>
<w:pPr><w:pStyle w:val="Normal"/></w:pPr>
<w:r><w:t xml:space="preserve">resorted to for this purpose, chiefly by English and Dutch</w:t></w:r>
</w:p>
<w:p>
<w:pPr><w:pStyle w:val="Normal"/></w:pPr>
<w:r><w:t xml:space="preserve">vessels.  In 1620, with the object of forestalling the</w:t></w:r>
</w:p>
<w:p>
<w:pPr><w:pStyle w:val="Normal"/></w:pPr>
<w:r><w:t xml:space="preserve">Dutch, two officers of the East India Company, on their own</w:t></w:r>
</w:p>
<w:p>
<w:pPr><w:pStyle w:val="Normal"/></w:pPr>
<w:r><w:t xml:space="preserve">initiative, took possession of Table Bay in the name of King</w:t></w:r>
</w:p>
<w:p>
<w:pPr><w:pStyle w:val="Normal"/></w:pPr>
<w:r><w:t xml:space="preserve">James, fearing otherwise that English ships would be ``frustrated</w:t></w:r>
</w:p>
<w:p>
<w:pPr><w:pStyle w:val="Normal"/></w:pPr>
<w:r><w:t xml:space="preserve">of watering but by license.&apos;&apos; Their action was not approved</w:t></w:r>
</w:p>
<w:p>
<w:pPr><w:pStyle w:val="Normal"/></w:pPr>
<w:r><w:t xml:space="preserve">in London and the proclamation they issued remained without</w:t></w:r>
</w:p>
<w:p>
<w:pPr><w:pStyle w:val="Normal"/></w:pPr>
<w:r><w:t xml:space="preserve">effect.  The Netherlands profited by the apathy of the</w:t></w:r>
</w:p>
<w:p>
<w:pPr><w:pStyle w:val="Normal"/></w:pPr>
<w:r><w:t xml:space="preserve">English.  On the advice of sailors who had been shipwrecked</w:t></w:r>
</w:p>
<w:p>
<w:pPr><w:pStyle w:val="Normal"/></w:pPr>
<w:r><w:t xml:space="preserve">in Table Bay the Netherlands East India Company, in 1651,</w:t></w:r>
</w:p>
<w:p>
<w:pPr><w:pStyle w:val="Normal"/></w:pPr>
<w:r><w:t xml:space="preserve">sent out a fleet of three small vessels under Jan van Riebeek</w:t></w:r>
</w:p>
<w:p>
<w:pPr><w:pStyle w:val="Normal"/></w:pPr>
<w:r><w:t xml:space="preserve">which reached Table Bay on the 6th of April 1652, when,</w:t></w:r>
</w:p>
<w:p>
<w:pPr><w:pStyle w:val="Normal"/></w:pPr>
<w:r><w:t xml:space="preserve">164 years after its discovery, the first permanent white</w:t></w:r>
</w:p>
<w:p>
<w:pPr><w:pStyle w:val="Normal"/></w:pPr>
<w:r><w:t xml:space="preserve">settlement was made in South Africa.  The Portuguese, whose</w:t></w:r>
</w:p>
<w:p>
<w:pPr><w:pStyle w:val="Normal"/></w:pPr>
<w:r><w:t xml:space="preserve">power in Africa was already waning, were not in a position</w:t></w:r>
</w:p>
<w:p>
<w:pPr><w:pStyle w:val="Normal"/></w:pPr>
<w:r><w:t xml:space="preserve">to interfere with the Dutch plans, and England was content</w:t></w:r>
</w:p>
<w:p>
<w:pPr><w:pStyle w:val="Normal"/></w:pPr>
<w:r><w:t xml:space="preserve">to seize the island of St Helena as her half-way house to the</w:t></w:r>
</w:p>
<w:p>
<w:pPr><w:pStyle w:val="Normal"/></w:pPr>
<w:r><w:t xml:space="preserve">East3.  In its inception the settlement at the Cape was not</w:t></w:r>
</w:p>
<w:p>
<w:pPr><w:pStyle w:val="Normal"/></w:pPr>
<w:r><w:t xml:space="preserve">intended to become an African colony, but was regarded as the</w:t></w:r>
</w:p>
<w:p>
<w:pPr><w:pStyle w:val="Normal"/></w:pPr>
<w:r><w:t xml:space="preserve">most westerly outpost of the Dutch East Indies.  Nevertheless,</w:t></w:r>
</w:p>
<w:p>
<w:pPr><w:pStyle w:val="Normal"/></w:pPr>
<w:r><w:t xml:space="preserve">despite the paucity of ports and the absence of navigable</w:t></w:r>
</w:p>
<w:p>
<w:pPr><w:pStyle w:val="Normal"/></w:pPr>
<w:r><w:t xml:space="preserve">rivers, the Dutch colonists, freed from any apprehension of</w:t></w:r>
</w:p>
<w:p>
<w:pPr><w:pStyle w:val="Normal"/></w:pPr>
<w:r><w:t xml:space="preserve">European trouble by the friendship between Great Britain and</w:t></w:r>
</w:p>
<w:p>
<w:pPr><w:pStyle w:val="Normal"/></w:pPr>
<w:r><w:t xml:space="preserve">Holland, and leavened by Huguenot blood, gradually spread</w:t></w:r>
</w:p>
<w:p>
<w:pPr><w:pStyle w:val="Normal"/></w:pPr>
<w:r><w:t xml:space="preserve">northward, stamping their language, law and religion indelibly</w:t></w:r>
</w:p>
<w:p>
<w:pPr><w:pStyle w:val="Normal"/></w:pPr>
<w:r><w:t xml:space="preserve">upon South Africa.  This process, however, was exceedingly slow.</w:t></w:r>
</w:p>
<w:p>
<w:pPr><w:pStyle w:val="Normal"/></w:pPr>
<w:r><w:t xml:space="preserve">During the 18th century there is little to record in the history of</w:t></w:r>
</w:p>
<w:p>
<w:pPr><w:pStyle w:val="Normal"/></w:pPr>
<w:r><w:t xml:space="preserve">Africa.  The nations of Europe, engaged in the later half of the</w:t></w:r>
</w:p>
<w:p>
<w:pPr><w:pStyle w:val="Normal"/></w:pPr>
<w:r><w:t xml:space="preserve">Waning and revival of interest in Africa.</w:t></w:r>
</w:p>
<w:p>
<w:pPr><w:pStyle w:val="Normal"/></w:pPr>
<w:r><w:t xml:space="preserve">century in almost constant warfare, and struggling for</w:t></w:r>
</w:p>
<w:p>
<w:pPr><w:pStyle w:val="Normal"/></w:pPr>
<w:r><w:t xml:space="preserve">supremacy in America and the East, to a large extent lost</w:t></w:r>
</w:p>
<w:p>
<w:pPr><w:pStyle w:val="Normal"/></w:pPr>
<w:r><w:t xml:space="preserve">their interest in the continent.  Only on the west coast</w:t></w:r>
</w:p>
<w:p>
<w:pPr><w:pStyle w:val="Normal"/></w:pPr>
<w:r><w:t xml:space="preserve">was there keen rivalry, and here the motive was securance</w:t></w:r>
</w:p>
<w:p>
<w:pPr><w:pStyle w:val="Normal"/></w:pPr>
<w:r><w:t xml:space="preserve">of trade rather than territorial acquisitions.  In this</w:t></w:r>
</w:p>
<w:p>
<w:pPr><w:pStyle w:val="Normal"/></w:pPr>
<w:r><w:t xml:space="preserve">century the slave trade reached its highest development,</w:t></w:r>
</w:p>
<w:p>
<w:pPr><w:pStyle w:val="Normal"/></w:pPr>
<w:r><w:t xml:space="preserve">the trade in gold, ivory, gum and spices being small in</w:t></w:r>
</w:p>
<w:p>
<w:pPr><w:pStyle w:val="Normal"/></w:pPr>
<w:r><w:t xml:space="preserve">comparison.  In the interior of the continent--Portugal&apos;s</w:t></w:r>
</w:p>
<w:p>
<w:pPr><w:pStyle w:val="Normal"/></w:pPr>
<w:r><w:t xml:space="preserve">energy being expended--no interest was shown, the nations with</w:t></w:r>
</w:p>
<w:p>
<w:pPr><w:pStyle w:val="Normal"/></w:pPr>
<w:r><w:t xml:space="preserve">establishments on the coast ``taking no further notice of the</w:t></w:r>
</w:p>
<w:p>
<w:pPr><w:pStyle w:val="Normal"/></w:pPr>
<w:r><w:t xml:space="preserve">inhabitants or their land than to obtain at the easiest rate</w:t></w:r>
</w:p>
<w:p>
<w:pPr><w:pStyle w:val="Normal"/></w:pPr>
<w:r><w:t xml:space="preserve">what they procure with as little trouble as possible, or to</w:t></w:r>
</w:p>
<w:p>
<w:pPr><w:pStyle w:val="Normal"/></w:pPr>
<w:r><w:t xml:space="preserve">carry them off for slaves to their plantations in America&apos;&apos;</w:t></w:r>
</w:p>
<w:p>
<w:pPr><w:pStyle w:val="Normal"/></w:pPr>
<w:r><w:t xml:space="preserve">(Encyclopaedia Britannica, 3rd ed., 1797).  Even the scanty</w:t></w:r>
</w:p>
<w:p>
<w:pPr><w:pStyle w:val="Normal"/></w:pPr>
<w:r><w:t xml:space="preserve">knowledge acquired by the ancients and the Arabs was in the</w:t></w:r>
</w:p>
<w:p>
<w:pPr><w:pStyle w:val="Normal"/></w:pPr>
<w:r><w:t xml:space="preserve">main forgotten or disbelieved.  It was the period when--</w:t></w:r>
</w:p>
<w:p>
<w:pPr><w:pStyle w:val="Normal"/></w:pPr>
<w:r><w:t xml:space="preserve">Geographers, in Afric maps, With savage pictures filled their gaps,</w:t></w:r>
</w:p>
<w:p>
<w:pPr><w:pStyle w:val="Normal"/></w:pPr>
<w:r><w:t xml:space="preserve">And o&apos;er unhabitable downs Placed elephants for want of towns.</w:t></w:r>
</w:p>
<w:p>
<w:pPr><w:pStyle w:val="Normal"/></w:pPr>
<w:r><w:t xml:space="preserve">(Poetry, a Rhapsody. By Jonathan Swift.)</w:t></w:r>
</w:p>
<w:p>
<w:pPr><w:pStyle w:val="Normal"/></w:pPr>
<w:r><w:t xml:space="preserve">The prevailing ignorance may be gauged by the statement in</w:t></w:r>
</w:p>
<w:p>
<w:pPr><w:pStyle w:val="Normal"/></w:pPr>
<w:r><w:t xml:space="preserve">the third edition of the Encyclopaedia Britannica that ``the</w:t></w:r>
</w:p>
<w:p>
<w:pPr><w:pStyle w:val="Normal"/></w:pPr>
<w:r><w:t xml:space="preserve">Gambia and Senegal rivers are only branches of the Niger.&apos;&apos;</w:t></w:r>
</w:p>
<w:p>
<w:pPr><w:pStyle w:val="Normal"/></w:pPr>
<w:r><w:t xml:space="preserve">But the closing years of the 18th century, which witnessed</w:t></w:r>
</w:p>
<w:p>
<w:pPr><w:pStyle w:val="Normal"/></w:pPr>
<w:r><w:t xml:space="preserve">the partial awakening of the public conscience of Europe</w:t></w:r>
</w:p>
<w:p>
<w:pPr><w:pStyle w:val="Normal"/></w:pPr>
<w:r><w:t xml:space="preserve">to the iniquities of the slave trade, were also notable for</w:t></w:r>
</w:p>
<w:p>
<w:pPr><w:pStyle w:val="Normal"/></w:pPr>
<w:r><w:t xml:space="preserve">the revival of interest in inner Africa.  A society, the</w:t></w:r>
</w:p>
<w:p>
<w:pPr><w:pStyle w:val="Normal"/></w:pPr>
<w:r><w:t xml:space="preserve">African Association,4 was formed in London in 1788 for the</w:t></w:r>
</w:p>
<w:p>
<w:pPr><w:pStyle w:val="Normal"/></w:pPr>
<w:r><w:t xml:space="preserve">exploration of the interior of the continent.  The era of</w:t></w:r>
</w:p>
<w:p>
<w:pPr><w:pStyle w:val="Normal"/></w:pPr>
<w:r><w:t xml:space="preserve">great discoveries had begun a little earlier in the famous</w:t></w:r>
</w:p>
<w:p>
<w:pPr><w:pStyle w:val="Normal"/></w:pPr>
<w:r><w:t xml:space="preserve">journey (1770-1772) of James Bruce through Abyssinia and</w:t></w:r>
</w:p>
<w:p>
<w:pPr><w:pStyle w:val="Normal"/></w:pPr>
<w:r><w:t xml:space="preserve">Sennar, during which he determined the course of the Blue</w:t></w:r>
</w:p>
<w:p>
<w:pPr><w:pStyle w:val="Normal"/></w:pPr>
<w:r><w:t xml:space="preserve">Nile.  But it was through the agents of the African Association</w:t></w:r>
</w:p>
<w:p>
<w:pPr><w:pStyle w:val="Normal"/></w:pPr>
<w:r><w:t xml:space="preserve">that knowledge was gained of the Niger regions.  The Niger</w:t></w:r>
</w:p>
<w:p>
<w:pPr><w:pStyle w:val="Normal"/></w:pPr>
<w:r><w:t xml:space="preserve">itself was first reached by Mungo Park, who travelled by way</w:t></w:r>
</w:p>
<w:p>
<w:pPr><w:pStyle w:val="Normal"/></w:pPr>
<w:r><w:t xml:space="preserve">of the Gambia, in 1795.  Park, on a second journey in 1805,</w:t></w:r>
</w:p>
<w:p>
<w:pPr><w:pStyle w:val="Normal"/></w:pPr>
<w:r><w:t xml:space="preserve">passed Timbuktu and descended the Niger to Bussa, where he</w:t></w:r>
</w:p>
<w:p>
<w:pPr><w:pStyle w:val="Normal"/></w:pPr>
<w:r><w:t xml:space="preserve">lost his life, having just failed to solve the question as to</w:t></w:r>
</w:p>
<w:p>
<w:pPr><w:pStyle w:val="Normal"/></w:pPr>
<w:r><w:t xml:space="preserve">where the river reached the ocean. (This problem was ultimately</w:t></w:r>
</w:p>
<w:p>
<w:pPr><w:pStyle w:val="Normal"/></w:pPr>
<w:r><w:t xml:space="preserve">solved by Richard Lander and his brother in 1830.) The first</w:t></w:r>
</w:p>
<w:p>
<w:pPr><w:pStyle w:val="Normal"/></w:pPr>
<w:r><w:t xml:space="preserve">scientific explorer of South-East Africa, Dr Francisco de</w:t></w:r>
</w:p>
<w:p>
<w:pPr><w:pStyle w:val="Normal"/></w:pPr>
<w:r><w:t xml:space="preserve">Lacerda, a Portuguese, also lost his life in that country.</w:t></w:r>
</w:p>
<w:p>
<w:pPr><w:pStyle w:val="Normal"/></w:pPr>
<w:r><w:t xml:space="preserve">Lacerda travelled up the Zambezi to Tete, going thence towards</w:t></w:r>
</w:p>
<w:p>
<w:pPr><w:pStyle w:val="Normal"/></w:pPr>
<w:r><w:t xml:space="preserve">Lake Mweru, near which he died in 1798.  The first recorded</w:t></w:r>
</w:p>
<w:p>
<w:pPr><w:pStyle w:val="Normal"/></w:pPr>
<w:r><w:t xml:space="preserve">crossing of Africa was accomplished between the years 1802</w:t></w:r>
</w:p>
<w:p>
<w:pPr><w:pStyle w:val="Normal"/></w:pPr>
<w:r><w:t xml:space="preserve">and 1811 by two half-caste Portuguese traders, Pedro Baptista</w:t></w:r>
</w:p>
<w:p>
<w:pPr><w:pStyle w:val="Normal"/></w:pPr>
<w:r><w:t xml:space="preserve">and A. Jose, who passed from Angola eastward to the Zambezi.</w:t></w:r>
</w:p>
<w:p>
<w:pPr><w:pStyle w:val="Normal"/></w:pPr>
<w:r><w:t xml:space="preserve">Although the Napoleonic wars distracted the attention of</w:t></w:r>
</w:p>
<w:p>
<w:pPr><w:pStyle w:val="Normal"/></w:pPr>
<w:r><w:t xml:space="preserve">Europe from exploratory work in Africa, those wars nevertheless</w:t></w:r>
</w:p>
<w:p>
<w:pPr><w:pStyle w:val="Normal"/></w:pPr>
<w:r><w:t xml:space="preserve">Effects of the Napoleonic wars--Britain seizes the Cape.</w:t></w:r>
</w:p>
<w:p>
<w:pPr><w:pStyle w:val="Normal"/></w:pPr>
<w:r><w:t xml:space="preserve">exercised great influence on the future of the continent, both</w:t></w:r>
</w:p>
<w:p>
<w:pPr><w:pStyle w:val="Normal"/></w:pPr>
<w:r><w:t xml:space="preserve">in Egypt and South Africa.  The occupation of Egypt (1798-1803)</w:t></w:r>
</w:p>
<w:p>
<w:pPr><w:pStyle w:val="Normal"/></w:pPr>
<w:r><w:t xml:space="preserve">first by France and then by Great Britain resulted in an</w:t></w:r>
</w:p>
<w:p>
<w:pPr><w:pStyle w:val="Normal"/></w:pPr>
<w:r><w:t xml:space="preserve">effort by Turkey to regain direct control over that country,5</w:t></w:r>
</w:p>
<w:p>
<w:pPr><w:pStyle w:val="Normal"/></w:pPr>
<w:r><w:t xml:space="preserve">followed in 1811 by the establishment under Mehemet Ali of</w:t></w:r>
</w:p>
<w:p>
<w:pPr><w:pStyle w:val="Normal"/></w:pPr>
<w:r><w:t xml:space="preserve">an almost independent state, and the extension of Egyptian</w:t></w:r>
</w:p>
<w:p>
<w:pPr><w:pStyle w:val="Normal"/></w:pPr>
<w:r><w:t xml:space="preserve">rule over the eastern Sudan (from 1820 onward).  In South</w:t></w:r>
</w:p>
<w:p>
<w:pPr><w:pStyle w:val="Normal"/></w:pPr>
<w:r><w:t xml:space="preserve">Africa the struggle with Napoleon caused Great Britain to take</w:t></w:r>
</w:p>
<w:p>
<w:pPr><w:pStyle w:val="Normal"/></w:pPr>
<w:r><w:t xml:space="preserve">possession of the Dutch settlements at the Cape, and in 1814</w:t></w:r>
</w:p>
<w:p>
<w:pPr><w:pStyle w:val="Normal"/></w:pPr>
<w:r><w:t xml:space="preserve">Cape Colony, which had been continuously occupied by British</w:t></w:r>
</w:p>
<w:p>
<w:pPr><w:pStyle w:val="Normal"/></w:pPr>
<w:r><w:t xml:space="preserve">troops since 1806, was formally ceded to the British crown.</w:t></w:r>
</w:p>
<w:p>
<w:pPr><w:pStyle w:val="Normal"/></w:pPr>
<w:r><w:t xml:space="preserve">The close of the European conflicts with the battle of</w:t></w:r>
</w:p>
<w:p>
<w:pPr><w:pStyle w:val="Normal"/></w:pPr>
<w:r><w:t xml:space="preserve">Waterloo was followed by vigorous efforts on the part of</w:t></w:r>
</w:p>
<w:p>
<w:pPr><w:pStyle w:val="Normal"/></w:pPr>
<w:r><w:t xml:space="preserve">the British government to become better acquainted with</w:t></w:r>
</w:p>
<w:p>
<w:pPr><w:pStyle w:val="Normal"/></w:pPr>
<w:r><w:t xml:space="preserve">Africa, and to substitute colonization and legitimate trade</w:t></w:r>
</w:p>
<w:p>
<w:pPr><w:pStyle w:val="Normal"/></w:pPr>
<w:r><w:t xml:space="preserve">for the slave traffic, declared illegal for British subjects</w:t></w:r>
</w:p>
<w:p>
<w:pPr><w:pStyle w:val="Normal"/></w:pPr>
<w:r><w:t xml:space="preserve">in 1807 and abolished by all other European powers by</w:t></w:r>
</w:p>
<w:p>
<w:pPr><w:pStyle w:val="Normal"/></w:pPr>
<w:r><w:t xml:space="preserve">1836.  To West Africa Britain devoted much attention.  The</w:t></w:r>
</w:p>
<w:p>
<w:pPr><w:pStyle w:val="Normal"/></w:pPr>
<w:r><w:t xml:space="preserve">slave trade abolitionists had already, in 1788, formed a</w:t></w:r>
</w:p>
<w:p>
<w:pPr><w:pStyle w:val="Normal"/></w:pPr>
<w:r><w:t xml:space="preserve">settlement at Sierra Leone, on the Guinea coast, for freed</w:t></w:r>
</w:p>
<w:p>
<w:pPr><w:pStyle w:val="Normal"/></w:pPr>
<w:r><w:t xml:space="preserve">slaves, and from this establishment grew the colony of Sierra</w:t></w:r>
</w:p>
<w:p>
<w:pPr><w:pStyle w:val="Normal"/></w:pPr>
<w:r><w:t xml:space="preserve">Leone, long notorious, by reason of its deadly climate, as</w:t></w:r>
</w:p>
<w:p>
<w:pPr><w:pStyle w:val="Normal"/></w:pPr>
<w:r><w:t xml:space="preserve">``The White Man&apos;s Grave.&apos;&apos;6 Farther east the establishments</w:t></w:r>
</w:p>
<w:p>
<w:pPr><w:pStyle w:val="Normal"/></w:pPr>
<w:r><w:t xml:space="preserve">on the Gold Coast began to take a part in the politics</w:t></w:r>
</w:p>
<w:p>
<w:pPr><w:pStyle w:val="Normal"/></w:pPr>
<w:r><w:t xml:space="preserve">of the interior, and the first British mission to Kumasi,</w:t></w:r>
</w:p>
<w:p>
<w:pPr><w:pStyle w:val="Normal"/></w:pPr>
<w:r><w:t xml:space="preserve">despatched in 1817, led to the assumption of a protectorate</w:t></w:r>
</w:p>
<w:p>
<w:pPr><w:pStyle w:val="Normal"/></w:pPr>
<w:r><w:t xml:space="preserve">over the maritime tribes heretofore governed by the Ashanti.</w:t></w:r>
</w:p>
<w:p>
<w:pPr><w:pStyle w:val="Normal"/></w:pPr>
<w:r><w:t xml:space="preserve">An expedition sent in 1816 to explore the Congo from its</w:t></w:r>
</w:p>
<w:p>
<w:pPr><w:pStyle w:val="Normal"/></w:pPr>
<w:r><w:t xml:space="preserve">mouth did not succeed in getting beyond the rapids which bar</w:t></w:r>
</w:p>
<w:p>
<w:pPr><w:pStyle w:val="Normal"/></w:pPr>
<w:r><w:t xml:space="preserve">the way to the interior, but in the central Sudan much better</w:t></w:r>
</w:p>
<w:p>
<w:pPr><w:pStyle w:val="Normal"/></w:pPr>
<w:r><w:t xml:space="preserve">results were obtained.  In 1823 three English travellers,</w:t></w:r>
</w:p>
<w:p>
<w:pPr><w:pStyle w:val="Normal"/></w:pPr>
<w:r><w:t xml:space="preserve">Walter Oudney, Dixon Denham and Hugh Clapperton, reached</w:t></w:r>
</w:p>
<w:p>
<w:pPr><w:pStyle w:val="Normal"/></w:pPr>
<w:r><w:t xml:space="preserve">Lake Chad from Tripoli--the first white men to reach that</w:t></w:r>
</w:p>
<w:p>
<w:pPr><w:pStyle w:val="Normal"/></w:pPr>
<w:r><w:t xml:space="preserve">lake.  The partial exploration of Bornu and the Hausa states</w:t></w:r>
</w:p>
<w:p>
<w:pPr><w:pStyle w:val="Normal"/></w:pPr>
<w:r><w:t xml:space="preserve">by Clapperton, which followed, revealed the existence of</w:t></w:r>
</w:p>
<w:p>
<w:pPr><w:pStyle w:val="Normal"/></w:pPr>
<w:r><w:t xml:space="preserve">large and flourishing cities and a semi-civilized people</w:t></w:r>
</w:p>
<w:p>
<w:pPr><w:pStyle w:val="Normal"/></w:pPr>
<w:r><w:t xml:space="preserve">in a region hitherto unknown.  The discovery in 1830 of the</w:t></w:r>
</w:p>
<w:p>
<w:pPr><w:pStyle w:val="Normal"/></w:pPr>
<w:r><w:t xml:space="preserve">mouth of the Niger by Clapperton&apos;s servant Lander, already</w:t></w:r>
</w:p>
<w:p>
<w:pPr><w:pStyle w:val="Normal"/></w:pPr>
<w:r><w:t xml:space="preserve">mentioned, had been preceded by the journeys of Major A.</w:t></w:r>
</w:p>
<w:p>
<w:pPr><w:pStyle w:val="Normal"/></w:pPr>
<w:r><w:t xml:space="preserve">G. Laing (1826) and Rene Caillie (1827) to Timbuktu, and</w:t></w:r>
</w:p>
<w:p>
<w:pPr><w:pStyle w:val="Normal"/></w:pPr>
<w:r><w:t xml:space="preserve">was followed (1832-1833) by the partial ascent of the Benue</w:t></w:r>
</w:p>
<w:p>
<w:pPr><w:pStyle w:val="Normal"/></w:pPr>
<w:r><w:t xml:space="preserve">affluent of the Niger by Macgregor Laird.  In 1841 a disastrous</w:t></w:r>
</w:p>
<w:p>
<w:pPr><w:pStyle w:val="Normal"/></w:pPr>
<w:r><w:t xml:space="preserve">attempt was made to plant a white colony on the lower Niger,</w:t></w:r>
</w:p>
<w:p>
<w:pPr><w:pStyle w:val="Normal"/></w:pPr>
<w:r><w:t xml:space="preserve">an expedition (largely philanthropic and antislavery in its</w:t></w:r>
</w:p>
<w:p>
<w:pPr><w:pStyle w:val="Normal"/></w:pPr>
<w:r><w:t xml:space="preserve">inception) which ended in utter failure.  Nevertheless from</w:t></w:r>
</w:p>
<w:p>
<w:pPr><w:pStyle w:val="Normal"/></w:pPr>
<w:r><w:t xml:space="preserve">that time British traders remained on the lower Niger, their</w:t></w:r>
</w:p>
<w:p>
<w:pPr><w:pStyle w:val="Normal"/></w:pPr>
<w:r><w:t xml:space="preserve">continued presence leading ultimately to the acquisition of</w:t></w:r>
</w:p>
<w:p>
<w:pPr><w:pStyle w:val="Normal"/></w:pPr>
<w:r><w:t xml:space="preserve">political rights over the delta and the Hausa states by Great</w:t></w:r>
</w:p>
<w:p>
<w:pPr><w:pStyle w:val="Normal"/></w:pPr>
<w:r><w:t xml:space="preserve">Britain.7 Another endeavour by the British government to open</w:t></w:r>
</w:p>
<w:p>
<w:pPr><w:pStyle w:val="Normal"/></w:pPr>
<w:r><w:t xml:space="preserve">up commercial relations with the Niger countries resulted in</w:t></w:r>
</w:p>
<w:p>
<w:pPr><w:pStyle w:val="Normal"/></w:pPr>
<w:r><w:t xml:space="preserve">the addition of a vast amount of information concerning the</w:t></w:r>
</w:p>
<w:p>
<w:pPr><w:pStyle w:val="Normal"/></w:pPr>
<w:r><w:t xml:space="preserve">countries between Timbuktu and Lake Chad, owing to the labours</w:t></w:r>
</w:p>
<w:p>
<w:pPr><w:pStyle w:val="Normal"/></w:pPr>
<w:r><w:t xml:space="preserve">of Heinrich Barth (1850-1855), originally a subordinate,</w:t></w:r>
</w:p>
<w:p>
<w:pPr><w:pStyle w:val="Normal"/></w:pPr>
<w:r><w:t xml:space="preserve">but the only surviving member of the expedition sent out.</w:t></w:r>
</w:p>
<w:p>
<w:pPr><w:pStyle w:val="Normal"/></w:pPr>
<w:r><w:t xml:space="preserve">Meantime considerable changes had been made in other parts</w:t></w:r>
</w:p>
<w:p>
<w:pPr><w:pStyle w:val="Normal"/></w:pPr>
<w:r><w:t xml:space="preserve">of the continent, the most notable being--the occupation of</w:t></w:r>
</w:p>
<w:p>
<w:pPr><w:pStyle w:val="Normal"/></w:pPr>
<w:r><w:t xml:space="preserve">Algiers by France in 1830, an end being thereby put to the</w:t></w:r>
</w:p>
<w:p>
<w:pPr><w:pStyle w:val="Normal"/></w:pPr>
<w:r><w:t xml:space="preserve">piratical proceedings of the Barbary states; the continued</w:t></w:r>
</w:p>
<w:p>
<w:pPr><w:pStyle w:val="Normal"/></w:pPr>
<w:r><w:t xml:space="preserve">expansion southward of Egyptian authority with the consequent</w:t></w:r>
</w:p>
<w:p>
<w:pPr><w:pStyle w:val="Normal"/></w:pPr>
<w:r><w:t xml:space="preserve">additions to the knowledge of the Nile; and the establishment</w:t></w:r>
</w:p>
<w:p>
<w:pPr><w:pStyle w:val="Normal"/></w:pPr>
<w:r><w:t xml:space="preserve">of independent states ((Orange Free State and the Transvaal)</w:t></w:r>
</w:p>
<w:p>
<w:pPr><w:pStyle w:val="Normal"/></w:pPr>
<w:r><w:t xml:space="preserve">by Dutch farmers (Boers) dissatisfied with British rule in Cape</w:t></w:r>
</w:p>
<w:p>
<w:pPr><w:pStyle w:val="Normal"/></w:pPr>
<w:r><w:t xml:space="preserve">Colony.  Natal, so named by Vasco da Gama, had been made a</w:t></w:r>
</w:p>
<w:p>
<w:pPr><w:pStyle w:val="Normal"/></w:pPr>
<w:r><w:t xml:space="preserve">British colony (1843), the attempt of the Boers to acquire</w:t></w:r>
</w:p>
<w:p>
<w:pPr><w:pStyle w:val="Normal"/></w:pPr>
<w:r><w:t xml:space="preserve">it being frustrated.  The city of Zanzibar, on the island</w:t></w:r>
</w:p>
<w:p>
<w:pPr><w:pStyle w:val="Normal"/></w:pPr>
<w:r><w:t xml:space="preserve">of that name, founded in 1832 by Seyyid Said of Muscat,</w:t></w:r>
</w:p>
<w:p>
<w:pPr><w:pStyle w:val="Normal"/></w:pPr>
<w:r><w:t xml:space="preserve">rapidly attained importance, and Arabs began to penetrate</w:t></w:r>
</w:p>
<w:p>
<w:pPr><w:pStyle w:val="Normal"/></w:pPr>
<w:r><w:t xml:space="preserve">to the great lakes of East Africa,8 concerning which little</w:t></w:r>
</w:p>
<w:p>
<w:pPr><w:pStyle w:val="Normal"/></w:pPr>
<w:r><w:t xml:space="preserve">more was known (and less believed) than in the time of</w:t></w:r>
</w:p>
<w:p>
<w:pPr><w:pStyle w:val="Normal"/></w:pPr>
<w:r><w:t xml:space="preserve">Ptolemy.  Accounts of a vast inland sea, and the discovery</w:t></w:r>
</w:p>
<w:p>
<w:pPr><w:pStyle w:val="Normal"/></w:pPr>
<w:r><w:t xml:space="preserve">in 1848-1840, by the missionaries Ludwig Krapf and J.</w:t></w:r>
</w:p>
<w:p>
<w:pPr><w:pStyle w:val="Normal"/></w:pPr>
<w:r><w:t xml:space="preserve">Rebmann, of the snow-clad mountains of Kilimanjaro and</w:t></w:r>
</w:p>
<w:p>
<w:pPr><w:pStyle w:val="Normal"/></w:pPr>
<w:r><w:t xml:space="preserve">Kenya, stimulated in Europe the desire for further knowledge.</w:t></w:r>
</w:p>
<w:p>
<w:pPr><w:pStyle w:val="Normal"/></w:pPr>
<w:r><w:t xml:space="preserve">At this period, the middle of the 19th century, Protestant</w:t></w:r>
</w:p>
<w:p>
<w:pPr><w:pStyle w:val="Normal"/></w:pPr>
<w:r><w:t xml:space="preserve">missions were carrying on active propaganda on the Guinea</w:t></w:r>
</w:p>
<w:p>
<w:pPr><w:pStyle w:val="Normal"/></w:pPr>
<w:r><w:t xml:space="preserve">The era of great explorers.</w:t></w:r>
</w:p>
<w:p>
<w:pPr><w:pStyle w:val="Normal"/></w:pPr>
<w:r><w:t xml:space="preserve">coast, in South Africa and in the Zanzibar dominions.  Their</w:t></w:r>
</w:p>
<w:p>
<w:pPr><w:pStyle w:val="Normal"/></w:pPr>
<w:r><w:t xml:space="preserve">work, largely beneficent, was being conducted in regions</w:t></w:r>
</w:p>
<w:p>
<w:pPr><w:pStyle w:val="Normal"/></w:pPr>
<w:r><w:t xml:space="preserve">and among peoples little known, and in many instances</w:t></w:r>
</w:p>
<w:p>
<w:pPr><w:pStyle w:val="Normal"/></w:pPr>
<w:r><w:t xml:space="preserve">missionaries turned explorers and became pioneers of trade and</w:t></w:r>
</w:p>
<w:p>
<w:pPr><w:pStyle w:val="Normal"/></w:pPr>
<w:r><w:t xml:space="preserve">empire.  One of the first to attempt to fill up the remaining</w:t></w:r>
</w:p>
<w:p>
<w:pPr><w:pStyle w:val="Normal"/></w:pPr>
<w:r><w:t xml:space="preserve">blank spaces in the map was David Livings tone, who had</w:t></w:r>
</w:p>
<w:p>
<w:pPr><w:pStyle w:val="Normal"/></w:pPr>
<w:r><w:t xml:space="preserve">been engaged since 1840 in missionary work north of the</w:t></w:r>
</w:p>
<w:p>
<w:pPr><w:pStyle w:val="Normal"/></w:pPr>
<w:r><w:t xml:space="preserve">Orange.  In 1849 Livingstone crossed the Kalahari Desert</w:t></w:r>
</w:p>
<w:p>
<w:pPr><w:pStyle w:val="Normal"/></w:pPr>
<w:r><w:t xml:space="preserve">from south to north and reached Lake Ngami, and between</w:t></w:r>
</w:p>
<w:p>
<w:pPr><w:pStyle w:val="Normal"/></w:pPr>
<w:r><w:t xml:space="preserve">1851 and 1856 he traversed the continent from west to east,</w:t></w:r>
</w:p>
<w:p>
<w:pPr><w:pStyle w:val="Normal"/></w:pPr>
<w:r><w:t xml:space="preserve">making known the great waterways of the upper Zambezi.</w:t></w:r>
</w:p>
<w:p>
<w:pPr><w:pStyle w:val="Normal"/></w:pPr>
<w:r><w:t xml:space="preserve">During these journeyings Livingstone discovered, November</w:t></w:r>
</w:p>
<w:p>
<w:pPr><w:pStyle w:val="Normal"/></w:pPr>
<w:r><w:t xml:space="preserve">1855, the famous Victoria Falls, so named after the queen of</w:t></w:r>
</w:p>
<w:p>
<w:pPr><w:pStyle w:val="Normal"/></w:pPr>
<w:r><w:t xml:space="preserve">England.  In 1858-1864 the lower Zambezi, the Shire and Lake</w:t></w:r>
</w:p>
<w:p>
<w:pPr><w:pStyle w:val="Normal"/></w:pPr>
<w:r><w:t xml:space="preserve">Nyasa were explored by Livingstone, Nyasa having been first</w:t></w:r>
</w:p>
<w:p>
<w:pPr><w:pStyle w:val="Normal"/></w:pPr>
<w:r><w:t xml:space="preserve">reached by the confidential slave of Antonio da Silva Porto, a</w:t></w:r>
</w:p>
<w:p>
<w:pPr><w:pStyle w:val="Normal"/></w:pPr>
<w:r><w:t xml:space="preserve">Portuguese trader established at Bihe in Angola, who crossed</w:t></w:r>
</w:p>
<w:p>
<w:pPr><w:pStyle w:val="Normal"/></w:pPr>
<w:r><w:t xml:space="preserve">Africa during 1853-1856 from Benguella to the mouth of the</w:t></w:r>
</w:p>
<w:p>
<w:pPr><w:pStyle w:val="Normal"/></w:pPr>
<w:r><w:t xml:space="preserve">Rovuma.  While Livingstone circumnavigated Nyasa, the more</w:t></w:r>
</w:p>
<w:p>
<w:pPr><w:pStyle w:val="Normal"/></w:pPr>
<w:r><w:t xml:space="preserve">northerly lake, Tanganyika, had been visited (1858) by Richard</w:t></w:r>
</w:p>
<w:p>
<w:pPr><w:pStyle w:val="Normal"/></w:pPr>
<w:r><w:t xml:space="preserve">Burton and J. H. Speke, and the last named had sighted Victoria</w:t></w:r>
</w:p>
<w:p>
<w:pPr><w:pStyle w:val="Normal"/></w:pPr>
<w:r><w:t xml:space="preserve">Nyanza.  Returning to East Africa with J. A. Grant, Speke</w:t></w:r>
</w:p>
<w:p>
<w:pPr><w:pStyle w:val="Normal"/></w:pPr>
<w:r><w:t xml:space="preserve">reached, in 1862, the river which flowed from Victoria</w:t></w:r>
</w:p>
<w:p>
<w:pPr><w:pStyle w:val="Normal"/></w:pPr>
<w:r><w:t xml:space="preserve">Nyanza, and following it (in the main) down to Egypt, had the</w:t></w:r>
</w:p>
<w:p>
<w:pPr><w:pStyle w:val="Normal"/></w:pPr>
<w:r><w:t xml:space="preserve">distinction of being the first man to read the riddle of the</w:t></w:r>
</w:p>
<w:p>
<w:pPr><w:pStyle w:val="Normal"/></w:pPr>
<w:r><w:t xml:space="preserve">Nile.  In 1864 another Nile explorer, Samuel Baker, discovered</w:t></w:r>
</w:p>
<w:p>
<w:pPr><w:pStyle w:val="Normal"/></w:pPr>
<w:r><w:t xml:space="preserve">the Albert Nyanza, the chief western reservoir of the</w:t></w:r>
</w:p>
<w:p>
<w:pPr><w:pStyle w:val="Normal"/></w:pPr>
<w:r><w:t xml:space="preserve">river.  In 1866 Livingstone began his last great journey, in</w:t></w:r>
</w:p>
<w:p>
<w:pPr><w:pStyle w:val="Normal"/></w:pPr>
<w:r><w:t xml:space="preserve">which he made known Lakes Mweru and Bangweulu and discovered</w:t></w:r>
</w:p>
<w:p>
<w:pPr><w:pStyle w:val="Normal"/></w:pPr>
<w:r><w:t xml:space="preserve">the Lualaba (the upper part of the Congo), but died (1873)</w:t></w:r>
</w:p>
<w:p>
<w:pPr><w:pStyle w:val="Normal"/></w:pPr>
<w:r><w:t xml:space="preserve">before he had been able to demonstrate its ultimate course,</w:t></w:r>
</w:p>
<w:p>
<w:pPr><w:pStyle w:val="Normal"/></w:pPr>
<w:r><w:t xml:space="preserve">believing indeed that the Lualaba belonged to the Nile</w:t></w:r>
</w:p>
<w:p>
<w:pPr><w:pStyle w:val="Normal"/></w:pPr>
<w:r><w:t xml:space="preserve">system.  Livingstone&apos;s lonely death in the heart of Africa</w:t></w:r>
</w:p>
<w:p>
<w:pPr><w:pStyle w:val="Normal"/></w:pPr>
<w:r><w:t xml:space="preserve">evoked a keener desire than ever to complete the work he left</w:t></w:r>
</w:p>
<w:p>
<w:pPr><w:pStyle w:val="Normal"/></w:pPr>
<w:r><w:t xml:space="preserve">undone.  H. M. Stanley, who had in 1871 succeeded in finding</w:t></w:r>
</w:p>
<w:p>
<w:pPr><w:pStyle w:val="Normal"/></w:pPr>
<w:r><w:t xml:space="preserve">and succouring Livingstone, started again for Zanzibar in</w:t></w:r>
</w:p>
<w:p>
<w:pPr><w:pStyle w:val="Normal"/></w:pPr>
<w:r><w:t xml:space="preserve">1874, and in the most memorable of all exploring expeditions</w:t></w:r>
</w:p>
<w:p>
<w:pPr><w:pStyle w:val="Normal"/></w:pPr>
<w:r><w:t xml:space="preserve">in Africa circumnavigated Victoria Nyanza and Tanganyika, and,</w:t></w:r>
</w:p>
<w:p>
<w:pPr><w:pStyle w:val="Normal"/></w:pPr>
<w:r><w:t xml:space="preserve">striking farther inland to the Lualaba, followed that river</w:t></w:r>
</w:p>
<w:p>
<w:pPr><w:pStyle w:val="Normal"/></w:pPr>
<w:r><w:t xml:space="preserve">down to the Atlantic Ocean--reached in August 1877--and proved</w:t></w:r>
</w:p>
<w:p>
<w:pPr><w:pStyle w:val="Normal"/></w:pPr>
<w:r><w:t xml:space="preserve">it to be the Congo.  Stanley had been preceded, in 1874, at</w:t></w:r>
</w:p>
<w:p>
<w:pPr><w:pStyle w:val="Normal"/></w:pPr>
<w:r><w:t xml:space="preserve">Nyangwe, Livingstone&apos;s farthest point on the Lualaba, by Lovett</w:t></w:r>
</w:p>
<w:p>
<w:pPr><w:pStyle w:val="Normal"/></w:pPr>
<w:r><w:t xml:space="preserve">Cameron, who was, however, unable farther to explore its course,</w:t></w:r>
</w:p>
<w:p>
<w:pPr><w:pStyle w:val="Normal"/></w:pPr>
<w:r><w:t xml:space="preserve">making his way to the west coast by a route south of the Congo.</w:t></w:r>
</w:p>
<w:p>
<w:pPr><w:pStyle w:val="Normal"/></w:pPr>
<w:r><w:t xml:space="preserve">While the great mystery of Central Africa was being solved</w:t></w:r>
</w:p>
<w:p>
<w:pPr><w:pStyle w:val="Normal"/></w:pPr>
<w:r><w:t xml:space="preserve">explorers were also active in other parts of the continent.</w:t></w:r>
</w:p>
<w:p>
<w:pPr><w:pStyle w:val="Normal"/></w:pPr>
<w:r><w:t xml:space="preserve">Southern Morocco, the Sahara and the Sudan were traversed</w:t></w:r>
</w:p>
<w:p>
<w:pPr><w:pStyle w:val="Normal"/></w:pPr>
<w:r><w:t xml:space="preserve">in many directions between 1860 and 1875 by Gerhard Rohlfs,</w:t></w:r>
</w:p>
<w:p>
<w:pPr><w:pStyle w:val="Normal"/></w:pPr>
<w:r><w:t xml:space="preserve">Georg Schweinfurth and Gustav Nachtigal.  These travellers</w:t></w:r>
</w:p>
<w:p>
<w:pPr><w:pStyle w:val="Normal"/></w:pPr>
<w:r><w:t xml:space="preserve">not only added considerably to geographical knowledge,</w:t></w:r>
</w:p>
<w:p>
<w:pPr><w:pStyle w:val="Normal"/></w:pPr>
<w:r><w:t xml:space="preserve">but obtained invaluable information concerning the people,</w:t></w:r>
</w:p>
<w:p>
<w:pPr><w:pStyle w:val="Normal"/></w:pPr>
<w:r><w:t xml:space="preserve">languages and natural history of the countries in which they</w:t></w:r>
</w:p>
<w:p>
<w:pPr><w:pStyle w:val="Normal"/></w:pPr>
<w:r><w:t xml:space="preserve">sojourned.9 Among the discoveries of Schweinfurth was one</w:t></w:r>
</w:p>
<w:p>
<w:pPr><w:pStyle w:val="Normal"/></w:pPr>
<w:r><w:t xml:space="preserve">that confirmed the Greek legends of the existence beyond</w:t></w:r>
</w:p>
<w:p>
<w:pPr><w:pStyle w:val="Normal"/></w:pPr>
<w:r><w:t xml:space="preserve">Egypt of a pygmy race.  But the first discoverer of the</w:t></w:r>
</w:p>
<w:p>
<w:pPr><w:pStyle w:val="Normal"/></w:pPr>
<w:r><w:t xml:space="preserve">dwarf races of Central Africa was Paul du Chaillu, who found</w:t></w:r>
</w:p>
<w:p>
<w:pPr><w:pStyle w:val="Normal"/></w:pPr>
<w:r><w:t xml:space="preserve">them in the Ogowe district of the west coast in 1865, five</w:t></w:r>
</w:p>
<w:p>
<w:pPr><w:pStyle w:val="Normal"/></w:pPr>
<w:r><w:t xml:space="preserve">years before Schweinfurth&apos;s first meeting with the Pygmies;</w:t></w:r>
</w:p>
<w:p>
<w:pPr><w:pStyle w:val="Normal"/></w:pPr>
<w:r><w:t xml:space="preserve">du Chaillu having previously, as the result of journeys in</w:t></w:r>
</w:p>
<w:p>
<w:pPr><w:pStyle w:val="Normal"/></w:pPr>
<w:r><w:t xml:space="preserve">the Gabun country between 1855 and 1859, made popular in</w:t></w:r>
</w:p>
<w:p>
<w:pPr><w:pStyle w:val="Normal"/></w:pPr>
<w:r><w:t xml:space="preserve">Europe the knowledge of the existence of the gorilla, perhaps</w:t></w:r>
</w:p>
<w:p>
<w:pPr><w:pStyle w:val="Normal"/></w:pPr>
<w:r><w:t xml:space="preserve">the gigantic ape seen by Hanno the Carthaginian, and whose</w:t></w:r>
</w:p>
<w:p>
<w:pPr><w:pStyle w:val="Normal"/></w:pPr>
<w:r><w:t xml:space="preserve">existence, up to the middle of the 19th century, was thought</w:t></w:r>
</w:p>
<w:p>
<w:pPr><w:pStyle w:val="Normal"/></w:pPr>
<w:r><w:t xml:space="preserve">to be as legendary as that of the Pygmies of Aristotle.</w:t></w:r>
</w:p>
<w:p>
<w:pPr><w:pStyle w:val="Normal"/></w:pPr>
<w:r><w:t xml:space="preserve">In South Africa the filling up of the map also proceeded</w:t></w:r>
</w:p>
<w:p>
<w:pPr><w:pStyle w:val="Normal"/></w:pPr>
<w:r><w:t xml:space="preserve">apace.  The finding, in 1869, of rich diamond fields in</w:t></w:r>
</w:p>
<w:p>
<w:pPr><w:pStyle w:val="Normal"/></w:pPr>
<w:r><w:t xml:space="preserve">the valley of the Vaal river, near its confluence with the</w:t></w:r>
</w:p>
<w:p>
<w:pPr><w:pStyle w:val="Normal"/></w:pPr>
<w:r><w:t xml:space="preserve">Orange, caused a rush of emigrants to that district, and</w:t></w:r>
</w:p>
<w:p>
<w:pPr><w:pStyle w:val="Normal"/></w:pPr>
<w:r><w:t xml:space="preserve">led to conflicts between the Dutch and British authorities</w:t></w:r>
</w:p>
<w:p>
<w:pPr><w:pStyle w:val="Normal"/></w:pPr>
<w:r><w:t xml:space="preserve">and the extension of British authority northward.  In</w:t></w:r>
</w:p>
<w:p>
<w:pPr><w:pStyle w:val="Normal"/></w:pPr>
<w:r><w:t xml:space="preserve">1871 the ruins of the great Zimbabwe in Mashonaland, the</w:t></w:r>
</w:p>
<w:p>
<w:pPr><w:pStyle w:val="Normal"/></w:pPr>
<w:r><w:t xml:space="preserve">chief fortress and distributing centre of the race which</w:t></w:r>
</w:p>
<w:p>
<w:pPr><w:pStyle w:val="Normal"/></w:pPr>
<w:r><w:t xml:space="preserve">in medieval times worked the goldfields of South-East</w:t></w:r>
</w:p>
<w:p>
<w:pPr><w:pStyle w:val="Normal"/></w:pPr>
<w:r><w:t xml:space="preserve">Africa, were explored by Karl Mauch.  In the following year</w:t></w:r>
</w:p>
<w:p>
<w:pPr><w:pStyle w:val="Normal"/></w:pPr>
<w:r><w:t xml:space="preserve">F. C. Selous began his journeys over South Central Africa,</w:t></w:r>
</w:p>
<w:p>
<w:pPr><w:pStyle w:val="Normal"/></w:pPr>
<w:r><w:t xml:space="preserve">which continued for more than twenty years and extended</w:t></w:r>
</w:p>
<w:p>
<w:pPr><w:pStyle w:val="Normal"/></w:pPr>
<w:r><w:t xml:space="preserve">over every part of Mashonaland and Matabeleland. (F. R. C.)</w:t></w:r>
</w:p>
<w:p>
<w:pPr><w:pStyle w:val="Heading1"/></w:pPr>
<w:r><w:t>V. PARTITION AMONG EUROPEAN POWERS</w:t></w:r>
</w:p>
<w:p>
<w:pPr><w:pStyle w:val="Normal"/></w:pPr>
<w:r><w:t xml:space="preserve">In the last quarter of the 19th century the map of Africa was</w:t></w:r>
</w:p>
<w:p>
<w:pPr><w:pStyle w:val="Normal"/></w:pPr>
<w:r><w:t xml:space="preserve">transformed.  After the discovery of the Congo the story</w:t></w:r>
</w:p>
<w:p>
<w:pPr><w:pStyle w:val="Normal"/></w:pPr>
<w:r><w:t xml:space="preserve">of exploration takes second place; the continent becomes</w:t></w:r>
</w:p>
<w:p>
<w:pPr><w:pStyle w:val="Normal"/></w:pPr>
<w:r><w:t xml:space="preserve">the theatre of European expansion.  Lines of partition,</w:t></w:r>
</w:p>
<w:p>
<w:pPr><w:pStyle w:val="Normal"/></w:pPr>
<w:r><w:t xml:space="preserve">drawn often through trackless wildernesses, marked out the</w:t></w:r>
</w:p>
<w:p>
<w:pPr><w:pStyle w:val="Normal"/></w:pPr>
<w:r><w:t xml:space="preserve">possessions of Germany, France, Great Britain and other</w:t></w:r>
</w:p>
<w:p>
<w:pPr><w:pStyle w:val="Normal"/></w:pPr>
<w:r><w:t xml:space="preserve">powers.  Railways penetrated the interior, vast areas were</w:t></w:r>
</w:p>
<w:p>
<w:pPr><w:pStyle w:val="Normal"/></w:pPr>
<w:r><w:t xml:space="preserve">opened up to civilized occupation, and from ancient Egypt</w:t></w:r>
</w:p>
<w:p>
<w:pPr><w:pStyle w:val="Normal"/></w:pPr>
<w:r><w:t xml:space="preserve">to the Zambezi the continent was startled into new life.</w:t></w:r>
</w:p>
<w:p>
<w:pPr><w:pStyle w:val="Normal"/></w:pPr>
<w:r><w:t xml:space="preserve">Before 1875 the only powers with any considerable interest</w:t></w:r>
</w:p>
<w:p>
<w:pPr><w:pStyle w:val="Normal"/></w:pPr>
<w:r><w:t xml:space="preserve">in Africa were Britain, Portugal and France.  Between 1815</w:t></w:r>
</w:p>
<w:p>
<w:pPr><w:pStyle w:val="Normal"/></w:pPr>
<w:r><w:t xml:space="preserve">and 1850, as has been shown above, the British government</w:t></w:r>
</w:p>
<w:p>
<w:pPr><w:pStyle w:val="Normal"/></w:pPr>
<w:r><w:t xml:space="preserve">devoted much energy, not always informed by knowledge,</w:t></w:r>
</w:p>
<w:p>
<w:pPr><w:pStyle w:val="Normal"/></w:pPr>
<w:r><w:t xml:space="preserve">to western and southern Africa.  In both directions Great</w:t></w:r>
</w:p>
<w:p>
<w:pPr><w:pStyle w:val="Normal"/></w:pPr>
<w:r><w:t xml:space="preserve">Britain had met with much discouragement; on the west coast,</w:t></w:r>
</w:p>
<w:p>
<w:pPr><w:pStyle w:val="Normal"/></w:pPr>
<w:r><w:t xml:space="preserve">disease, death, decaying trade and useless conflicts with</w:t></w:r>
</w:p>
<w:p>
<w:pPr><w:pStyle w:val="Normal"/></w:pPr>
<w:r><w:t xml:space="preserve">savage foes had been the normal experience; in the south</w:t></w:r>
</w:p>
<w:p>
<w:pPr><w:pStyle w:val="Normal"/></w:pPr>
<w:r><w:t xml:space="preserve">recalcitrant Boers and hostile Kaffirs caused almost endless</w:t></w:r>
</w:p>
<w:p>
<w:pPr><w:pStyle w:val="Normal"/></w:pPr>
<w:r><w:t xml:space="preserve">trouble.  The visions once entertained of vigorous negro</w:t></w:r>
</w:p>
<w:p>
<w:pPr><w:pStyle w:val="Normal"/></w:pPr>
<w:r><w:t xml:space="preserve">communities at once civilized and Christian faded away;</w:t></w:r>
</w:p>
<w:p>
<w:pPr><w:pStyle w:val="Normal"/></w:pPr>
<w:r><w:t xml:space="preserve">to the hot fit of philanthropy succeeded the cold fit of</w:t></w:r>
</w:p>
<w:p>
<w:pPr><w:pStyle w:val="Normal"/></w:pPr>
<w:r><w:t xml:space="preserve">indifference and a disinclination to bear the burden of</w:t></w:r>
</w:p>
<w:p>
<w:pPr><w:pStyle w:val="Normal"/></w:pPr>
<w:r><w:t xml:space="preserve">empire.  The low-water mark of British interest in South</w:t></w:r>
</w:p>
<w:p>
<w:pPr><w:pStyle w:val="Normal"/></w:pPr>
<w:r><w:t xml:space="preserve">Africa was reached in 1854 when independence was forced</w:t></w:r>
</w:p>
<w:p>
<w:pPr><w:pStyle w:val="Normal"/></w:pPr>
<w:r><w:t xml:space="preserve">on the Orange River Boers, while in 1865 the mind of the</w:t></w:r>
</w:p>
<w:p>
<w:pPr><w:pStyle w:val="Normal"/></w:pPr>
<w:r><w:t xml:space="preserve">nation was fairly reflected by the unanimous resolution of</w:t></w:r>
</w:p>
<w:p>
<w:pPr><w:pStyle w:val="Normal"/></w:pPr>
<w:r><w:t xml:space="preserve">a representative House of Commons committee:10 ``that all</w:t></w:r>
</w:p>
<w:p>
<w:pPr><w:pStyle w:val="Normal"/></w:pPr>
<w:r><w:t xml:space="preserve">further extension of territory or assumption of government,</w:t></w:r>
</w:p>
<w:p>
<w:pPr><w:pStyle w:val="Normal"/></w:pPr>
<w:r><w:t xml:space="preserve">or new treaty offering any protection to native tribes, would</w:t></w:r>
</w:p>
<w:p>
<w:pPr><w:pStyle w:val="Normal"/></w:pPr>
<w:r><w:t xml:space="preserve">be inexpedient.&apos;&apos; For nearly twenty years the spirit of that</w:t></w:r>
</w:p>
<w:p>
<w:pPr><w:pStyle w:val="Normal"/></w:pPr>
<w:r><w:t xml:space="preserve">resolution paralysed British action in Africa, although many</w:t></w:r>
</w:p>
<w:p>
<w:pPr><w:pStyle w:val="Normal"/></w:pPr>
<w:r><w:t xml:space="preserve">circumstances--the absence of any serious European rival, the</w:t></w:r>
</w:p>
<w:p>
<w:pPr><w:pStyle w:val="Normal"/></w:pPr>
<w:r><w:t xml:space="preserve">inevitable border disputes with uncivilized races, and the</w:t></w:r>
</w:p>
<w:p>
<w:pPr><w:pStyle w:val="Normal"/></w:pPr>
<w:r><w:t xml:space="preserve">activity of missionary and trader--conspired to make British</w:t></w:r>
</w:p>
<w:p>
<w:pPr><w:pStyle w:val="Normal"/></w:pPr>
<w:r><w:t xml:space="preserve">influence dominant in large areas of the continent over</w:t></w:r>
</w:p>
<w:p>
<w:pPr><w:pStyle w:val="Normal"/></w:pPr>
<w:r><w:t xml:space="preserve">which the government exercised no definite authority.  The</w:t></w:r>
</w:p>
<w:p>
<w:pPr><w:pStyle w:val="Normal"/></w:pPr>
<w:r><w:t xml:space="preserve">freedom with which blood and treasure were spent to enforce</w:t></w:r>
</w:p>
<w:p>
<w:pPr><w:pStyle w:val="Normal"/></w:pPr>
<w:r><w:t xml:space="preserve">respect for the British flag or to succour British subjects in</w:t></w:r>
</w:p>
<w:p>
<w:pPr><w:pStyle w:val="Normal"/></w:pPr>
<w:r><w:t xml:space="preserve">distress, as in the Abyssinian campaign of 1867-68 and the</w:t></w:r>
</w:p>
<w:p>
<w:pPr><w:pStyle w:val="Normal"/></w:pPr>
<w:r><w:t xml:space="preserve">Ashanti war of 1873, tended further to enhance the reputation</w:t></w:r>
</w:p>
<w:p>
<w:pPr><w:pStyle w:val="Normal"/></w:pPr>
<w:r><w:t xml:space="preserve">of Great Britain among African races, while, as an inevitable</w:t></w:r>
</w:p>
<w:p>
<w:pPr><w:pStyle w:val="Normal"/></w:pPr>
<w:r><w:t xml:space="preserve">result of the possession of India, British officials exercised</w:t></w:r>
</w:p>
<w:p>
<w:pPr><w:pStyle w:val="Normal"/></w:pPr>
<w:r><w:t xml:space="preserve">considerable power at the court of Zanzibar, which indeed</w:t></w:r>
</w:p>
<w:p>
<w:pPr><w:pStyle w:val="Normal"/></w:pPr>
<w:r><w:t xml:space="preserve">owed its separate existence to a decision of Lord Canning, the</w:t></w:r>
</w:p>
<w:p>
<w:pPr><w:pStyle w:val="Normal"/></w:pPr>
<w:r><w:t xml:space="preserve">governor-general of India, in 1861 recognizing the division</w:t></w:r>
</w:p>
<w:p>
<w:pPr><w:pStyle w:val="Normal"/></w:pPr>
<w:r><w:t xml:space="preserve">of the Arabian and African dominions of the imam of Muscat.</w:t></w:r>
</w:p>
<w:p>
<w:pPr><w:pStyle w:val="Normal"/></w:pPr>
<w:r><w:t xml:space="preserve">It has been said that Great Britain was without serious rival.</w:t></w:r>
</w:p>
<w:p>
<w:pPr><w:pStyle w:val="Normal"/></w:pPr>
<w:r><w:t xml:space="preserve">On the Gold Coast she had bought the Danish forts in 1850 and</w:t></w:r>
</w:p>
<w:p>
<w:pPr><w:pStyle w:val="Normal"/></w:pPr>
<w:r><w:t xml:space="preserve">acquired the Dutch, 1871-1872, in exchange for establishments in</w:t></w:r>
</w:p>
<w:p>
<w:pPr><w:pStyle w:val="Normal"/></w:pPr>
<w:r><w:t xml:space="preserve">Sumatra.  But Portugal still held, both in the east and west of</w:t></w:r>
</w:p>
<w:p>
<w:pPr><w:pStyle w:val="Normal"/></w:pPr>
<w:r><w:t xml:space="preserve">Africa, considerable stretches of the tropical coast-lands, and</w:t></w:r>
</w:p>
<w:p>
<w:pPr><w:pStyle w:val="Normal"/></w:pPr>
<w:r><w:t xml:space="preserve">it was in 1875 that she obtained, as a result of the arbitration</w:t></w:r>
</w:p>
<w:p>
<w:pPr><w:pStyle w:val="Normal"/></w:pPr>
<w:r><w:t xml:space="preserve">of Marshal MacMahon, possession of the whole of Delagoa</w:t></w:r>
</w:p>
<w:p>
<w:pPr><w:pStyle w:val="Normal"/></w:pPr>
<w:r><w:t xml:space="preserve">Bay, to the southern part of which England also laid claim by</w:t></w:r>
</w:p>
<w:p>
<w:pPr><w:pStyle w:val="Normal"/></w:pPr>
<w:r><w:t xml:space="preserve">virtue of a treaty of cession concluded with native chiefs in</w:t></w:r>
</w:p>
<w:p>
<w:pPr><w:pStyle w:val="Normal"/></w:pPr>
<w:r><w:t xml:space="preserve">1823.  The only other European power which at the period</w:t></w:r>
</w:p>
<w:p>
<w:pPr><w:pStyle w:val="Normal"/></w:pPr>
<w:r><w:t xml:space="preserve">under consideration had considerable possessions in Africa was</w:t></w:r>
</w:p>
<w:p>
<w:pPr><w:pStyle w:val="Normal"/></w:pPr>
<w:r><w:t xml:space="preserve">France.  Besides Algeria, France had settlements on the</w:t></w:r>
</w:p>
<w:p>
<w:pPr><w:pStyle w:val="Normal"/></w:pPr>
<w:r><w:t xml:space="preserve">Senegal, where in 1854 the appointment of General Faidherbe</w:t></w:r>
</w:p>
<w:p>
<w:pPr><w:pStyle w:val="Normal"/></w:pPr>
<w:r><w:t xml:space="preserve">as governor marked the beginning of a policy of expansion; she</w:t></w:r>
</w:p>
<w:p>
<w:pPr><w:pStyle w:val="Normal"/></w:pPr>
<w:r><w:t xml:space="preserve">had also various posts on the upper Guinea coast, had taken</w:t></w:r>
</w:p>
<w:p>
<w:pPr><w:pStyle w:val="Normal"/></w:pPr>
<w:r><w:t xml:space="preserve">the estuary of the Gabun as a station for her navy, and had</w:t></w:r>
</w:p>
<w:p>
<w:pPr><w:pStyle w:val="Normal"/></w:pPr>
<w:r><w:t xml:space="preserve">acquired (1862) Obok at the southern entrance to the Red Sea.</w:t></w:r>
</w:p>
<w:p>
<w:pPr><w:pStyle w:val="Normal"/></w:pPr>
<w:r><w:t xml:space="preserve">In North Africa the Turks had (in 1835) assumed direct control of</w:t></w:r>
</w:p>
<w:p>
<w:pPr><w:pStyle w:val="Normal"/></w:pPr>
<w:r><w:t xml:space="preserve">Tripoli, while Morocco had fallen into a state of decay though</w:t></w:r>
</w:p>
<w:p>
<w:pPr><w:pStyle w:val="Normal"/></w:pPr>
<w:r><w:t xml:space="preserve">retaining its independence.  The most remarkable change was</w:t></w:r>
</w:p>
<w:p>
<w:pPr><w:pStyle w:val="Normal"/></w:pPr>
<w:r><w:t xml:space="preserve">in Egypt, where the Khedive Ismail had introduced a somewhat</w:t></w:r>
</w:p>
<w:p>
<w:pPr><w:pStyle w:val="Normal"/></w:pPr>
<w:r><w:t xml:space="preserve">fantastic imitation of European civilization.  In addition</w:t></w:r>
</w:p>
<w:p>
<w:pPr><w:pStyle w:val="Normal"/></w:pPr>
<w:r><w:t xml:space="preserve">Ismail had conquered Darfur, annexed Harrar and the Somali</w:t></w:r>
</w:p>
<w:p>
<w:pPr><w:pStyle w:val="Normal"/></w:pPr>
<w:r><w:t xml:space="preserve">ports on the Gulf of Aden, was extending his power southward</w:t></w:r>
</w:p>
<w:p>
<w:pPr><w:pStyle w:val="Normal"/></w:pPr>
<w:r><w:t xml:space="preserve">to the equatorial lakes, and even contemplated reaching the</w:t></w:r>
</w:p>
<w:p>
<w:pPr><w:pStyle w:val="Normal"/></w:pPr>
<w:r><w:t xml:space="preserve">Indian Ocean.  The Suez Canal, opened in 1869, had a great</w:t></w:r>
</w:p>
<w:p>
<w:pPr><w:pStyle w:val="Normal"/></w:pPr>
<w:r><w:t xml:space="preserve">influence on the future of Africa, as it again made Egypt</w:t></w:r>
</w:p>
<w:p>
<w:pPr><w:pStyle w:val="Normal"/></w:pPr>
<w:r><w:t xml:space="preserve">the highway to the East, to the detriment of the Cape route.</w:t></w:r>
</w:p>
<w:p>
<w:pPr><w:pStyle w:val="Normal"/></w:pPr>
<w:r><w:t xml:space="preserve">Any estimate of the area of African territory held by European</w:t></w:r>
</w:p>
<w:p>
<w:pPr><w:pStyle w:val="Normal"/></w:pPr>
<w:r><w:t xml:space="preserve">nations in 1875 is necessarily but approximate, and varies chiefly</w:t></w:r>
</w:p>
<w:p>
<w:pPr><w:pStyle w:val="Normal"/></w:pPr>
<w:r><w:t xml:space="preserve">The division of the continent in 1875.</w:t></w:r>
</w:p>
<w:p>
<w:pPr><w:pStyle w:val="Normal"/></w:pPr>
<w:r><w:t xml:space="preserve">as the compiler of statistics rejects or accepts the vague claims</w:t></w:r>
</w:p>
<w:p>
<w:pPr><w:pStyle w:val="Normal"/></w:pPr>
<w:r><w:t xml:space="preserve">of Portugal to sovereignty over the hinterland of her coast</w:t></w:r>
</w:p>
<w:p>
<w:pPr><w:pStyle w:val="Normal"/></w:pPr>
<w:r><w:t xml:space="preserve">possessions.  At that period other European nations--with</w:t></w:r>
</w:p>
<w:p>
<w:pPr><w:pStyle w:val="Normal"/></w:pPr>
<w:r><w:t xml:space="preserve">the occasional exception of Great Britain--were indifferent</w:t></w:r>
</w:p>
<w:p>
<w:pPr><w:pStyle w:val="Normal"/></w:pPr>
<w:r><w:t xml:space="preserve">to Portugal&apos;s pretensions, and her estimate of her African</w:t></w:r>
</w:p>
<w:p>
<w:pPr><w:pStyle w:val="Normal"/></w:pPr>
<w:r><w:t xml:space="preserve">empire as covering over 700,000 sq. m. was not challenged.11</w:t></w:r>
</w:p>
<w:p>
<w:pPr><w:pStyle w:val="Normal"/></w:pPr>
<w:r><w:t xml:space="preserve">But the area under effective control of Portugal at that time</w:t></w:r>
</w:p>
<w:p>
<w:pPr><w:pStyle w:val="Normal"/></w:pPr>
<w:r><w:t xml:space="preserve">did not exceed 40,000 sq. m.  Great Britain then held some</w:t></w:r>
</w:p>
<w:p>
<w:pPr><w:pStyle w:val="Normal"/></w:pPr>
<w:r><w:t xml:space="preserve">250,000 sq. m., France about 170,000 sq. m. and Spain 1000 sq.</w:t></w:r>
</w:p>
<w:p>
<w:pPr><w:pStyle w:val="Normal"/></w:pPr>
<w:r><w:t xml:space="preserve">m.  The area of the independent Dutch republics (the Transvaal</w:t></w:r>
</w:p>
<w:p>
<w:pPr><w:pStyle w:val="Normal"/></w:pPr>
<w:r><w:t xml:space="preserve">and Orange Free State) was some 150,000 sq. m., so that the</w:t></w:r>
</w:p>
<w:p>
<w:pPr><w:pStyle w:val="Normal"/></w:pPr>
<w:r><w:t xml:space="preserve">total area of Africa ruled by Europeans did not exceed 1,271,000</w:t></w:r>
</w:p>
<w:p>
<w:pPr><w:pStyle w:val="Normal"/></w:pPr>
<w:r><w:t xml:space="preserve">sq. m.; roughly one-tenth of the continent.  This estimate,</w:t></w:r>
</w:p>
<w:p>
<w:pPr><w:pStyle w:val="Normal"/></w:pPr>
<w:r><w:t xml:space="preserve">as it admits the full extent of Portuguese claims and does not</w:t></w:r>
</w:p>
<w:p>
<w:pPr><w:pStyle w:val="Normal"/></w:pPr>
<w:r><w:t xml:space="preserve">include Madagascar, in reality considerably overstates the case.</w:t></w:r>
</w:p>
<w:p>
<w:pPr><w:pStyle w:val="Normal"/></w:pPr>
<w:r><w:t xml:space="preserve">Egypt and the Egyptian Sudan, Tunisia and Tripoli were</w:t></w:r>
</w:p>
<w:p>
<w:pPr><w:pStyle w:val="Normal"/></w:pPr>
<w:r><w:t xml:space="preserve">subject in differing ways to the overlordship of the sultan</w:t></w:r>
</w:p>
<w:p>
<w:pPr><w:pStyle w:val="Normal"/></w:pPr>
<w:r><w:t xml:space="preserve">of Turkey, and with these may be ranked, in the scale of</w:t></w:r>
</w:p>
<w:p>
<w:pPr><w:pStyle w:val="Normal"/></w:pPr>
<w:r><w:t xml:space="preserve">organized governments, the three principal independent states,</w:t></w:r>
</w:p>
<w:p>
<w:pPr><w:pStyle w:val="Normal"/></w:pPr>
<w:r><w:t xml:space="preserve">Morocco, Abyssinia and Zanzibar, as also the negro republic of</w:t></w:r>
</w:p>
<w:p>
<w:pPr><w:pStyle w:val="Normal"/></w:pPr>
<w:r><w:t xml:space="preserve">Liberia.  There remained, apart from the Sahara, roughly one</w:t></w:r>
</w:p>
<w:p>
<w:pPr><w:pStyle w:val="Normal"/></w:pPr>
<w:r><w:t xml:space="preserve">half of Africa, lying mostly within the tropics, inhabited</w:t></w:r>
</w:p>
<w:p>
<w:pPr><w:pStyle w:val="Normal"/></w:pPr>
<w:r><w:t xml:space="preserve">by a multitude of tribes and peoples living under various</w:t></w:r>
</w:p>
<w:p>
<w:pPr><w:pStyle w:val="Normal"/></w:pPr>
<w:r><w:t xml:space="preserve">forms of government and subject to frequent changes in respect</w:t></w:r>
</w:p>
<w:p>
<w:pPr><w:pStyle w:val="Normal"/></w:pPr>
<w:r><w:t xml:space="preserve">of political organization.  In this region were the negro</w:t></w:r>
</w:p>
<w:p>
<w:pPr><w:pStyle w:val="Normal"/></w:pPr>
<w:r><w:t xml:space="preserve">states of Ashanti, Dahomey and Benin on the west coast, the</w:t></w:r>
</w:p>
<w:p>
<w:pPr><w:pStyle w:val="Normal"/></w:pPr>
<w:r><w:t xml:space="preserve">Mahommedan sultanates of the central Sudan, and a number</w:t></w:r>
</w:p>
<w:p>
<w:pPr><w:pStyle w:val="Normal"/></w:pPr>
<w:r><w:t xml:space="preserve">of negro kingdoms in the east central and south central</w:t></w:r>
</w:p>
<w:p>
<w:pPr><w:pStyle w:val="Normal"/></w:pPr>
<w:r><w:t xml:space="preserve">regions.  Of these Uganda on the north-west shores of</w:t></w:r>
</w:p>
<w:p>
<w:pPr><w:pStyle w:val="Normal"/></w:pPr>
<w:r><w:t xml:space="preserve">Victoria Nyanza, Cazembe and Muata Hianvo (or Yanvo) may be</w:t></w:r>
</w:p>
<w:p>
<w:pPr><w:pStyle w:val="Normal"/></w:pPr>
<w:r><w:t xml:space="preserve">mentioned.  The two last-named kingdoms occupied respectively</w:t></w:r>
</w:p>
<w:p>
<w:pPr><w:pStyle w:val="Normal"/></w:pPr>
<w:r><w:t xml:space="preserve">the south-eastern and south-western parts of the Congo</w:t></w:r>
</w:p>
<w:p>
<w:pPr><w:pStyle w:val="Normal"/></w:pPr>
<w:r><w:t xml:space="preserve">basin.  In all this vast region the Negro and Negro-Bantu races</w:t></w:r>
</w:p>
<w:p>
<w:pPr><w:pStyle w:val="Normal"/></w:pPr>
<w:r><w:t xml:space="preserve">predominated, for the most part untouched by Mahommedanism</w:t></w:r>
</w:p>
<w:p>
<w:pPr><w:pStyle w:val="Normal"/></w:pPr>
<w:r><w:t xml:space="preserve">or Christian influences.  They lacked political cohesion,</w:t></w:r>
</w:p>
<w:p>
<w:pPr><w:pStyle w:val="Normal"/></w:pPr>
<w:r><w:t xml:space="preserve">and possessed neither the means nor the inclination to extend</w:t></w:r>
</w:p>
<w:p>
<w:pPr><w:pStyle w:val="Normal"/></w:pPr>
<w:r><w:t xml:space="preserve">their influence beyond their own borders.  The exploitation</w:t></w:r>
</w:p>
<w:p>
<w:pPr><w:pStyle w:val="Normal"/></w:pPr>
<w:r><w:t xml:space="preserve">of Africa continued to be entirely the work of alien races.</w:t></w:r>
</w:p>
<w:p>
<w:pPr><w:pStyle w:val="Normal"/></w:pPr>
<w:r><w:t xml:space="preserve">The causes which led to the partition of Africa may now be</w:t></w:r>
</w:p>
<w:p>
<w:pPr><w:pStyle w:val="Normal"/></w:pPr>
<w:r><w:t xml:space="preserve">considered.  They are to be found in the economic and political</w:t></w:r>
</w:p>
<w:p>
<w:pPr><w:pStyle w:val="Normal"/></w:pPr>
<w:r><w:t xml:space="preserve">Causes which led to partition.</w:t></w:r>
</w:p>
<w:p>
<w:pPr><w:pStyle w:val="Normal"/></w:pPr>
<w:r><w:t xml:space="preserve">state of western Europe at the time.  Germany, strong and</w:t></w:r>
</w:p>
<w:p>
<w:pPr><w:pStyle w:val="Normal"/></w:pPr>
<w:r><w:t xml:space="preserve">united as the result of the Franco-Prussian War of 1870,</w:t></w:r>
</w:p>
<w:p>
<w:pPr><w:pStyle w:val="Normal"/></w:pPr>
<w:r><w:t xml:space="preserve">was seeking new outlets for her energies --new markets for</w:t></w:r>
</w:p>
<w:p>
<w:pPr><w:pStyle w:val="Normal"/></w:pPr>
<w:r><w:t xml:space="preserve">her growing industries, and with the markets, colonies.</w:t></w:r>
</w:p>
<w:p>
<w:pPr><w:pStyle w:val="Normal"/></w:pPr>
<w:r><w:t xml:space="preserve">Yet the idea of colonial expansion was of slow growth in</w:t></w:r>
</w:p>
<w:p>
<w:pPr><w:pStyle w:val="Normal"/></w:pPr>
<w:r><w:t xml:space="preserve">Germany, and when Prince Bismarck at length acted Africa was</w:t></w:r>
</w:p>
<w:p>
<w:pPr><w:pStyle w:val="Normal"/></w:pPr>
<w:r><w:t xml:space="preserve">the only field left to exploit, South America being protected</w:t></w:r>
</w:p>
<w:p>
<w:pPr><w:pStyle w:val="Normal"/></w:pPr>
<w:r><w:t xml:space="preserve">from interference by the known determination of the United</w:t></w:r>
</w:p>
<w:p>
<w:pPr><w:pStyle w:val="Normal"/></w:pPr>
<w:r><w:t xml:space="preserve">States to enforce the Monroe Doctrine, while Great Britain,</w:t></w:r>
</w:p>
<w:p>
<w:pPr><w:pStyle w:val="Normal"/></w:pPr>
<w:r><w:t xml:space="preserve">France, the Netherlands, Portugal and Spain already held</w:t></w:r>
</w:p>
<w:p>
<w:pPr><w:pStyle w:val="Normal"/></w:pPr>
<w:r><w:t xml:space="preserve">most of the other regions of the world where colonization was</w:t></w:r>
</w:p>
<w:p>
<w:pPr><w:pStyle w:val="Normal"/></w:pPr>
<w:r><w:t xml:space="preserve">possible.  For different reasons the war of 1870 was also the</w:t></w:r>
</w:p>
<w:p>
<w:pPr><w:pStyle w:val="Normal"/></w:pPr>
<w:r><w:t xml:space="preserve">starting-point for France in the building up of a new colonial</w:t></w:r>
</w:p>
<w:p>
<w:pPr><w:pStyle w:val="Normal"/></w:pPr>
<w:r><w:t xml:space="preserve">empire.  In her endeavour to regain the position lost in</w:t></w:r>
</w:p>
<w:p>
<w:pPr><w:pStyle w:val="Normal"/></w:pPr>
<w:r><w:t xml:space="preserve">that war France had to look beyond Europe.  To the two causes</w:t></w:r>
</w:p>
<w:p>
<w:pPr><w:pStyle w:val="Normal"/></w:pPr>
<w:r><w:t xml:space="preserve">mentioned must be added others.  Great Britain and Portugal,</w:t></w:r>
</w:p>
<w:p>
<w:pPr><w:pStyle w:val="Normal"/></w:pPr>
<w:r><w:t xml:space="preserve">when they found their interests threatened, bestirred themselves,</w:t></w:r>
</w:p>
<w:p>
<w:pPr><w:pStyle w:val="Normal"/></w:pPr>
<w:r><w:t xml:space="preserve">while Italy also conceived it necessary to become an African</w:t></w:r>
</w:p>
<w:p>
<w:pPr><w:pStyle w:val="Normal"/></w:pPr>
<w:r><w:t xml:space="preserve">power.  Great Britain awoke to the need for action too late to</w:t></w:r>
</w:p>
<w:p>
<w:pPr><w:pStyle w:val="Normal"/></w:pPr>
<w:r><w:t xml:space="preserve">secure predominance in all the regions where formerly hers was</w:t></w:r>
</w:p>
<w:p>
<w:pPr><w:pStyle w:val="Normal"/></w:pPr>
<w:r><w:t xml:space="preserve">the only European influence.  She had to contend not only with</w:t></w:r>
</w:p>
<w:p>
<w:pPr><w:pStyle w:val="Normal"/></w:pPr>
<w:r><w:t xml:space="preserve">the economic forces which urged her rivals to action, but had</w:t></w:r>
</w:p>
<w:p>
<w:pPr><w:pStyle w:val="Normal"/></w:pPr>
<w:r><w:t xml:space="preserve">also to combat the jealous opposition of almost every European</w:t></w:r>
</w:p>
<w:p>
<w:pPr><w:pStyle w:val="Normal"/></w:pPr>
<w:r><w:t xml:space="preserve">nation to the further growth of British power.  Italy alone</w:t></w:r>
</w:p>
<w:p>
<w:pPr><w:pStyle w:val="Normal"/></w:pPr>
<w:r><w:t xml:space="preserve">acted throughout in cordial co-operation with Great Britain.</w:t></w:r>
</w:p>
<w:p>
<w:pPr><w:pStyle w:val="Normal"/></w:pPr>
<w:r><w:t xml:space="preserve">It was not, however, the action of any of the great powers</w:t></w:r>
</w:p>
<w:p>
<w:pPr><w:pStyle w:val="Normal"/></w:pPr>
<w:r><w:t xml:space="preserve">of Europe which precipitated the struggle.  This was brought</w:t></w:r>
</w:p>
<w:p>
<w:pPr><w:pStyle w:val="Normal"/></w:pPr>
<w:r><w:t xml:space="preserve">about by the ambitious projects of Leopold II, king of the</w:t></w:r>
</w:p>
<w:p>
<w:pPr><w:pStyle w:val="Normal"/></w:pPr>
<w:r><w:t xml:space="preserve">Belgians.  The discoveries of Livingstone, Stanley and others</w:t></w:r>
</w:p>
<w:p>
<w:pPr><w:pStyle w:val="Normal"/></w:pPr>
<w:r><w:t xml:space="preserve">had aroused especial interest among two classes of men in western</w:t></w:r>
</w:p>
<w:p>
<w:pPr><w:pStyle w:val="Normal"/></w:pPr>
<w:r><w:t xml:space="preserve">Europe, one the manufacturing and trading class, which saw in</w:t></w:r>
</w:p>
<w:p>
<w:pPr><w:pStyle w:val="Normal"/></w:pPr>
<w:r><w:t xml:space="preserve">Central Africa possibilities of commercial development, the</w:t></w:r>
</w:p>
<w:p>
<w:pPr><w:pStyle w:val="Normal"/></w:pPr>
<w:r><w:t xml:space="preserve">other the philanthropic and missionary class, which beheld in the</w:t></w:r>
</w:p>
<w:p>
<w:pPr><w:pStyle w:val="Normal"/></w:pPr>
<w:r><w:t xml:space="preserve">newly discovered lands millions of savages to Christianize and</w:t></w:r>
</w:p>
<w:p>
<w:pPr><w:pStyle w:val="Normal"/></w:pPr>
<w:r><w:t xml:space="preserve">civilize.  The possibility of utilizing both these classes in</w:t></w:r>
</w:p>
<w:p>
<w:pPr><w:pStyle w:val="Normal"/></w:pPr>
<w:r><w:t xml:space="preserve">the creation of a vast state, of which he should be the chief,</w:t></w:r>
</w:p>
<w:p>
<w:pPr><w:pStyle w:val="Normal"/></w:pPr>
<w:r><w:t xml:space="preserve">formed itself in the mind of Leopold II. even before Stanley</w:t></w:r>
</w:p>
<w:p>
<w:pPr><w:pStyle w:val="Normal"/></w:pPr>
<w:r><w:t xml:space="preserve">had navigated the Congo.  The king&apos;s action was immediate; it</w:t></w:r>
</w:p>
<w:p>
<w:pPr><w:pStyle w:val="Normal"/></w:pPr>
<w:r><w:t xml:space="preserve">proved successful; but no sooner was the nature of his project</w:t></w:r>
</w:p>
<w:p>
<w:pPr><w:pStyle w:val="Normal"/></w:pPr>
<w:r><w:t xml:space="preserve">understood in Europe than it provoked the rivalry of France</w:t></w:r>
</w:p>
<w:p>
<w:pPr><w:pStyle w:val="Normal"/></w:pPr>
<w:r><w:t xml:space="preserve">and Germany, and thus the international struggle was begun.</w:t></w:r>
</w:p>
<w:p>
<w:pPr><w:pStyle w:val="Normal"/></w:pPr>
<w:r><w:t xml:space="preserve">Conflicting ambitions of the European powers.</w:t></w:r>
</w:p>
<w:p>
<w:pPr><w:pStyle w:val="Normal"/></w:pPr>
<w:r><w:t xml:space="preserve">At this point it is expedient, in the light of subsequent</w:t></w:r>
</w:p>
<w:p>
<w:pPr><w:pStyle w:val="Normal"/></w:pPr>
<w:r><w:t xml:space="preserve">events, to set forth the designs then entertained by the</w:t></w:r>
</w:p>
<w:p>
<w:pPr><w:pStyle w:val="Normal"/></w:pPr>
<w:r><w:t xml:space="preserve">European powers that participated in the struggle for</w:t></w:r>
</w:p>
<w:p>
<w:pPr><w:pStyle w:val="Normal"/></w:pPr>
<w:r><w:t xml:space="preserve">Africa.  Portugal was striving to retain as large a share</w:t></w:r>
</w:p>
<w:p>
<w:pPr><w:pStyle w:val="Normal"/></w:pPr>
<w:r><w:t xml:space="preserve">as possible of her shadowy empire, and particularly to</w:t></w:r>
</w:p>
<w:p>
<w:pPr><w:pStyle w:val="Normal"/></w:pPr>
<w:r><w:t xml:space="preserve">establish her claims to the Zambezi region, so as to</w:t></w:r>
</w:p>
<w:p>
<w:pPr><w:pStyle w:val="Normal"/></w:pPr>
<w:r><w:t xml:space="preserve">secure a belt of territory across Africa from Mozambique to</w:t></w:r>
</w:p>
<w:p>
<w:pPr><w:pStyle w:val="Normal"/></w:pPr>
<w:r><w:t xml:space="preserve">Angola.  Great Britain, once aroused to the imminence of</w:t></w:r>
</w:p>
<w:p>
<w:pPr><w:pStyle w:val="Normal"/></w:pPr>
<w:r><w:t xml:space="preserve">danger, put forth vigorous efforts in East Africa and on the</w:t></w:r>
</w:p>
<w:p>
<w:pPr><w:pStyle w:val="Normal"/></w:pPr>
<w:r><w:t xml:space="preserve">Niger, but her most ambitious dream was the establishment of an</w:t></w:r>
</w:p>
<w:p>
<w:pPr><w:pStyle w:val="Normal"/></w:pPr>
<w:r><w:t xml:space="preserve">unbroken line of British possessions and spheres of influence</w:t></w:r>
</w:p>
<w:p>
<w:pPr><w:pStyle w:val="Normal"/></w:pPr>
<w:r><w:t xml:space="preserve">from south to north of the continent, from Cape Colony to</w:t></w:r>
</w:p>
<w:p>
<w:pPr><w:pStyle w:val="Normal"/></w:pPr>
<w:r><w:t xml:space="preserve">Egypt.  Germany&apos;s ambition can be easily described.  It was</w:t></w:r>
</w:p>
<w:p>
<w:pPr><w:pStyle w:val="Normal"/></w:pPr>
<w:r><w:t xml:space="preserve">to secure as much as possible, so as to make up for lost</w:t></w:r>
</w:p>
<w:p>
<w:pPr><w:pStyle w:val="Normal"/></w:pPr>
<w:r><w:t xml:space="preserve">opportunities.  Italy coveted Tripoli, but that province</w:t></w:r>
</w:p>
<w:p>
<w:pPr><w:pStyle w:val="Normal"/></w:pPr>
<w:r><w:t xml:space="preserve">could not be seized without risking war.  For the rest</w:t></w:r>
</w:p>
<w:p>
<w:pPr><w:pStyle w:val="Normal"/></w:pPr>
<w:r><w:t xml:space="preserve">Italy&apos;s territorial ambitions were confined to North-East</w:t></w:r>
</w:p>
<w:p>
<w:pPr><w:pStyle w:val="Normal"/></w:pPr>
<w:r><w:t xml:space="preserve">Africa, where she hoped to acquire a dominating, influence</w:t></w:r>
</w:p>
<w:p>
<w:pPr><w:pStyle w:val="Normal"/></w:pPr>
<w:r><w:t xml:space="preserve">over Abyssinia.  French ambitions, apart from Madagascar,</w:t></w:r>
</w:p>
<w:p>
<w:pPr><w:pStyle w:val="Normal"/></w:pPr>
<w:r><w:t xml:space="preserve">were confined to the northern and central portions of the</w:t></w:r>
</w:p>
<w:p>
<w:pPr><w:pStyle w:val="Normal"/></w:pPr>
<w:r><w:t xml:space="preserve">continent.  To extend her possessions on the Mediterranean</w:t></w:r>
</w:p>
<w:p>
<w:pPr><w:pStyle w:val="Normal"/></w:pPr>
<w:r><w:t xml:space="preserve">littoral, and to connect them with her colonies in West Africa,</w:t></w:r>
</w:p>
<w:p>
<w:pPr><w:pStyle w:val="Normal"/></w:pPr>
<w:r><w:t xml:space="preserve">the western Sudan, and on the Congo, by establishing her</w:t></w:r>
</w:p>
<w:p>
<w:pPr><w:pStyle w:val="Normal"/></w:pPr>
<w:r><w:t xml:space="preserve">influence over the vast intermediate regions, was France&apos;s first</w:t></w:r>
</w:p>
<w:p>
<w:pPr><w:pStyle w:val="Normal"/></w:pPr>
<w:r><w:t xml:space="preserve">ambition.  But the defeat of the Italians in Abyssinia and</w:t></w:r>
</w:p>
<w:p>
<w:pPr><w:pStyle w:val="Normal"/></w:pPr>
<w:r><w:t xml:space="preserve">the impending downfall of the khalifa&apos;s power in the valley</w:t></w:r>
</w:p>
<w:p>
<w:pPr><w:pStyle w:val="Normal"/></w:pPr>
<w:r><w:t xml:space="preserve">of the upper Nile suggested a still more daring project to</w:t></w:r>
</w:p>
<w:p>
<w:pPr><w:pStyle w:val="Normal"/></w:pPr>
<w:r><w:t xml:space="preserve">the French government--none other than the establishment of</w:t></w:r>
</w:p>
<w:p>
<w:pPr><w:pStyle w:val="Normal"/></w:pPr>
<w:r><w:t xml:space="preserve">French influence over a broad belt of territory stretching</w:t></w:r>
</w:p>
<w:p>
<w:pPr><w:pStyle w:val="Normal"/></w:pPr>
<w:r><w:t xml:space="preserve">across the continent from west to east, from Senegal on the</w:t></w:r>
</w:p>
<w:p>
<w:pPr><w:pStyle w:val="Normal"/></w:pPr>
<w:r><w:t xml:space="preserve">Atlantic coast to the Gulf of Aden.  The fact that France</w:t></w:r>
</w:p>
<w:p>
<w:pPr><w:pStyle w:val="Normal"/></w:pPr>
<w:r><w:t xml:space="preserve">possessed a small part of the Red Sea coast gave point to this</w:t></w:r>
</w:p>
<w:p>
<w:pPr><w:pStyle w:val="Normal"/></w:pPr>
<w:r><w:t xml:space="preserve">design.  But these conflicting ambitions could not all be</w:t></w:r>
</w:p>
<w:p>
<w:pPr><w:pStyle w:val="Normal"/></w:pPr>
<w:r><w:t xml:space="preserve">realized and Germany succeeded in preventing Great Britain</w:t></w:r>
</w:p>
<w:p>
<w:pPr><w:pStyle w:val="Normal"/></w:pPr>
<w:r><w:t xml:space="preserve">obtaining a continuous band of British territory from south</w:t></w:r>
</w:p>
<w:p>
<w:pPr><w:pStyle w:val="Normal"/></w:pPr>
<w:r><w:t xml:space="preserve">to north,while Great Britain, by excluding France from</w:t></w:r>
</w:p>
<w:p>
<w:pPr><w:pStyle w:val="Normal"/></w:pPr>
<w:r><w:t xml:space="preserve">the upper Nile valley, dispelled the French dream of an</w:t></w:r>
</w:p>
<w:p>
<w:pPr><w:pStyle w:val="Normal"/></w:pPr>
<w:r><w:t xml:space="preserve">empire from west to east.  King Leopold&apos;s ambitions have</w:t></w:r>
</w:p>
<w:p>
<w:pPr><w:pStyle w:val="Normal"/></w:pPr>
<w:r><w:t xml:space="preserve">already been indicated.  The part of the continent to which</w:t></w:r>
</w:p>
<w:p>
<w:pPr><w:pStyle w:val="Normal"/></w:pPr>
<w:r><w:t xml:space="preserve">from the first he directed his energies was the equatorial</w:t></w:r>
</w:p>
<w:p>
<w:pPr><w:pStyle w:val="Normal"/></w:pPr>
<w:r><w:t xml:space="preserve">region.  In September 1876 he took what may be described</w:t></w:r>
</w:p>
<w:p>
<w:pPr><w:pStyle w:val="Normal"/></w:pPr>
<w:r><w:t xml:space="preserve">as the first definite step in the modern partition of the</w:t></w:r>
</w:p>
<w:p>
<w:pPr><w:pStyle w:val="Normal"/></w:pPr>
<w:r><w:t xml:space="preserve">continent.  He summoned to a conference at Brussels</w:t></w:r>
</w:p>
<w:p>
<w:pPr><w:pStyle w:val="Normal"/></w:pPr>
<w:r><w:t xml:space="preserve">representatives of Great Britain, Belgium, France, Germany,</w:t></w:r>
</w:p>
<w:p>
<w:pPr><w:pStyle w:val="Normal"/></w:pPr>
<w:r><w:t xml:space="preserve">Austria-Hungary, Italy and Russia, to deliberate on the best</w:t></w:r>
</w:p>
<w:p>
<w:pPr><w:pStyle w:val="Normal"/></w:pPr>
<w:r><w:t xml:space="preserve">methods to be adopted for the exploration and civilization of</w:t></w:r>
</w:p>
<w:p>
<w:pPr><w:pStyle w:val="Normal"/></w:pPr>
<w:r><w:t xml:space="preserve">Africa, and the opening up of the interior of the continent</w:t></w:r>
</w:p>
<w:p>
<w:pPr><w:pStyle w:val="Normal"/></w:pPr>
<w:r><w:t xml:space="preserve">to commerce and industry.  The conference was entirely</w:t></w:r>
</w:p>
<w:p>
<w:pPr><w:pStyle w:val="Normal"/></w:pPr>
<w:r><w:t xml:space="preserve">unofficial.  The delegates who attended neither represented</w:t></w:r>
</w:p>
<w:p>
<w:pPr><w:pStyle w:val="Normal"/></w:pPr>
<w:r><w:t xml:space="preserve">nor pledged their respective governments.  Their deliberations</w:t></w:r>
</w:p>
<w:p>
<w:pPr><w:pStyle w:val="Normal"/></w:pPr>
<w:r><w:t xml:space="preserve">lasted three days and resulted in the foundation of ``The</w:t></w:r>
</w:p>
<w:p>
<w:pPr><w:pStyle w:val="Normal"/></w:pPr>
<w:r><w:t xml:space="preserve">International African Association,&apos;&apos; with its headquarters at</w:t></w:r>
</w:p>
<w:p>
<w:pPr><w:pStyle w:val="Normal"/></w:pPr>
<w:r><w:t xml:space="preserve">Brussels.  It was further resolved to establish national</w:t></w:r>
</w:p>
<w:p>
<w:pPr><w:pStyle w:val="Normal"/></w:pPr>
<w:r><w:t xml:space="preserve">committees in the various countries represented, which should</w:t></w:r>
</w:p>
<w:p>
<w:pPr><w:pStyle w:val="Normal"/></w:pPr>
<w:r><w:t xml:space="preserve">collect funds and appoint delegates to the International</w:t></w:r>
</w:p>
<w:p>
<w:pPr><w:pStyle w:val="Normal"/></w:pPr>
<w:r><w:t xml:space="preserve">Association.  The central idea appears to have been to put the</w:t></w:r>
</w:p>
<w:p>
<w:pPr><w:pStyle w:val="Normal"/></w:pPr>
<w:r><w:t xml:space="preserve">exploration and development of Africa upon an international</w:t></w:r>
</w:p>
<w:p>
<w:pPr><w:pStyle w:val="Normal"/></w:pPr>
<w:r><w:t xml:space="preserve">footing.  But it quickly became apparent that this was an</w:t></w:r>
</w:p>
<w:p>
<w:pPr><w:pStyle w:val="Normal"/></w:pPr>
<w:r><w:t xml:space="preserve">unattainable ideal.  The national committees were soon working</w:t></w:r>
</w:p>
<w:p>
<w:pPr><w:pStyle w:val="Normal"/></w:pPr>
<w:r><w:t xml:space="preserve">independently of the International Association, and the</w:t></w:r>
</w:p>
<w:p>
<w:pPr><w:pStyle w:val="Normal"/></w:pPr>
<w:r><w:t xml:space="preserve">Association itself passed through a succession of stages until</w:t></w:r>
</w:p>
<w:p>
<w:pPr><w:pStyle w:val="Normal"/></w:pPr>
<w:r><w:t xml:space="preserve">it became purely Belgian in character, and at last developed</w:t></w:r>
</w:p>
<w:p>
<w:pPr><w:pStyle w:val="Normal"/></w:pPr>
<w:r><w:t xml:space="preserve">into the Congo Free State, under the personal sovereignty</w:t></w:r>
</w:p>
<w:p>
<w:pPr><w:pStyle w:val="Normal"/></w:pPr>
<w:r><w:t xml:space="preserve">of King Leopold.  At first the Association devoted itself</w:t></w:r>
</w:p>
<w:p>
<w:pPr><w:pStyle w:val="Normal"/></w:pPr>
<w:r><w:t xml:space="preserve">to sending expeditions to the great central lakes from the</w:t></w:r>
</w:p>
<w:p>
<w:pPr><w:pStyle w:val="Normal"/></w:pPr>
<w:r><w:t xml:space="preserve">east coast; but failure, more or less complete attended its</w:t></w:r>
</w:p>
<w:p>
<w:pPr><w:pStyle w:val="Normal"/></w:pPr>
<w:r><w:t xml:space="preserve">efforts in this direction, and it was not until the return of</w:t></w:r>
</w:p>
<w:p>
<w:pPr><w:pStyle w:val="Normal"/></w:pPr>
<w:r><w:t xml:space="preserve">Stanley, in January 1878, from his great journey down the</w:t></w:r>
</w:p>
<w:p>
<w:pPr><w:pStyle w:val="Normal"/></w:pPr>
<w:r><w:t xml:space="preserve">Congo, that its ruling spirit, King Leopold, definitely</w:t></w:r>
</w:p>
<w:p>
<w:pPr><w:pStyle w:val="Normal"/></w:pPr>
<w:r><w:t xml:space="preserve">turned his thoughts towards the Congo.  In June of that year,</w:t></w:r>
</w:p>
<w:p>
<w:pPr><w:pStyle w:val="Normal"/></w:pPr>
<w:r><w:t xml:space="preserve">Stanley visited the king at Brussels, and in the following</w:t></w:r>
</w:p>
<w:p>
<w:pPr><w:pStyle w:val="Normal"/></w:pPr>
<w:r><w:t xml:space="preserve">November a private conference was held, and a committee</w:t></w:r>
</w:p>
<w:p>
<w:pPr><w:pStyle w:val="Normal"/></w:pPr>
<w:r><w:t xml:space="preserve">was appointed for the investigation of the upper Congo.</w:t></w:r>
</w:p>
<w:p>
<w:pPr><w:pStyle w:val="Normal"/></w:pPr>
<w:r><w:t xml:space="preserve">Stanley&apos;s remarkable discovery had stirred ambition in other</w:t></w:r>
</w:p>
<w:p>
<w:pPr><w:pStyle w:val="Normal"/></w:pPr>
<w:r><w:t xml:space="preserve">capitals than Brussels.  France had always taken a keen interest</w:t></w:r>
</w:p>
<w:p>
<w:pPr><w:pStyle w:val="Normal"/></w:pPr>
<w:r><w:t xml:space="preserve">The struggle for the Congo.</w:t></w:r>
</w:p>
<w:p>
<w:pPr><w:pStyle w:val="Normal"/></w:pPr>
<w:r><w:t xml:space="preserve">in West Africa, and in the years 1875 to 1878 Savorgnan</w:t></w:r>
</w:p>
<w:p>
<w:pPr><w:pStyle w:val="Normal"/></w:pPr>
<w:r><w:t xml:space="preserve">de Brazza had carried out a successful exploration of the</w:t></w:r>
</w:p>
<w:p>
<w:pPr><w:pStyle w:val="Normal"/></w:pPr>
<w:r><w:t xml:space="preserve">Ogowe river to the south of the Gabun.  De Brazza determined</w:t></w:r>
</w:p>
<w:p>
<w:pPr><w:pStyle w:val="Normal"/></w:pPr>
<w:r><w:t xml:space="preserve">that the Ogowe did not offer that great waterway into the</w:t></w:r>
</w:p>
<w:p>
<w:pPr><w:pStyle w:val="Normal"/></w:pPr>
<w:r><w:t xml:space="preserve">interior of which he was in search, and he returned to Europe</w:t></w:r>
</w:p>
<w:p>
<w:pPr><w:pStyle w:val="Normal"/></w:pPr>
<w:r><w:t xml:space="preserve">without having heard of the discoveries of Stanley farther</w:t></w:r>
</w:p>
<w:p>
<w:pPr><w:pStyle w:val="Normal"/></w:pPr>
<w:r><w:t xml:space="preserve">south.  Naturally, however, Stanley&apos;s discoveries were keenly</w:t></w:r>
</w:p>
<w:p>
<w:pPr><w:pStyle w:val="Normal"/></w:pPr>
<w:r><w:t xml:space="preserve">followed in France.  In Portugal, too, the discovery of the</w:t></w:r>
</w:p>
<w:p>
<w:pPr><w:pStyle w:val="Normal"/></w:pPr>
<w:r><w:t xml:space="preserve">Congo, with its magnificent unbroken waterway of more than a</w:t></w:r>
</w:p>
<w:p>
<w:pPr><w:pStyle w:val="Normal"/></w:pPr>
<w:r><w:t xml:space="preserve">thousand miles into the heart of the continent served to revive</w:t></w:r>
</w:p>
<w:p>
<w:pPr><w:pStyle w:val="Normal"/></w:pPr>
<w:r><w:t xml:space="preserve">the languid energies of the Portuguese, who promptly began</w:t></w:r>
</w:p>
<w:p>
<w:pPr><w:pStyle w:val="Normal"/></w:pPr>
<w:r><w:t xml:space="preserve">to furbish up claims whose age was in inverse ratio to their</w:t></w:r>
</w:p>
<w:p>
<w:pPr><w:pStyle w:val="Normal"/></w:pPr>
<w:r><w:t xml:space="preserve">validity.  Claims, annexations and occupations were in the</w:t></w:r>
</w:p>
<w:p>
<w:pPr><w:pStyle w:val="Normal"/></w:pPr>
<w:r><w:t xml:space="preserve">air, and when in January 1879 Stanley left Europe as the</w:t></w:r>
</w:p>
<w:p>
<w:pPr><w:pStyle w:val="Normal"/></w:pPr>
<w:r><w:t xml:space="preserve">accredited agent of King Leopold and the Congo committee,</w:t></w:r>
</w:p>
<w:p>
<w:pPr><w:pStyle w:val="Normal"/></w:pPr>
<w:r><w:t xml:space="preserve">the strictest secrecy was observed as to his real aims and</w:t></w:r>
</w:p>
<w:p>
<w:pPr><w:pStyle w:val="Normal"/></w:pPr>
<w:r><w:t xml:space="preserve">intentions.  The expedition was, it was alleged, proceeding</w:t></w:r>
</w:p>
<w:p>
<w:pPr><w:pStyle w:val="Normal"/></w:pPr>
<w:r><w:t xml:space="preserve">up the Congo to assist the Belgian expedition which had</w:t></w:r>
</w:p>
<w:p>
<w:pPr><w:pStyle w:val="Normal"/></w:pPr>
<w:r><w:t xml:space="preserve">entered from the east coast, and Stanley himself went first to</w:t></w:r>
</w:p>
<w:p>
<w:pPr><w:pStyle w:val="Normal"/></w:pPr>
<w:r><w:t xml:space="preserve">Zanzibar.  But in August 1879 Stanley found himself again at</w:t></w:r>
</w:p>
<w:p>
<w:pPr><w:pStyle w:val="Normal"/></w:pPr>
<w:r><w:t xml:space="preserve">Banana Point, at the mouth of the Congo, with, as he himself has</w:t></w:r>
</w:p>
<w:p>
<w:pPr><w:pStyle w:val="Normal"/></w:pPr>
<w:r><w:t xml:space="preserve">written, ``the novel mission of sowing along its banks civilized</w:t></w:r>
</w:p>
<w:p>
<w:pPr><w:pStyle w:val="Normal"/></w:pPr>
<w:r><w:t xml:space="preserve">settlements to peacefully conquer and subdue it, to remould</w:t></w:r>
</w:p>
<w:p>
<w:pPr><w:pStyle w:val="Normal"/></w:pPr>
<w:r><w:t xml:space="preserve">it in harmony with modern ideas into national states, within</w:t></w:r>
</w:p>
<w:p>
<w:pPr><w:pStyle w:val="Normal"/></w:pPr>
<w:r><w:t xml:space="preserve">whose limits the European merchant shall go hand in hand with</w:t></w:r>
</w:p>
<w:p>
<w:pPr><w:pStyle w:val="Normal"/></w:pPr>
<w:r><w:t xml:space="preserve">the dark African trader, and justice and law and order shall</w:t></w:r>
</w:p>
<w:p>
<w:pPr><w:pStyle w:val="Normal"/></w:pPr>
<w:r><w:t xml:space="preserve">prevail, and murder and lawlessness and the cruel barter of</w:t></w:r>
</w:p>
<w:p>
<w:pPr><w:pStyle w:val="Normal"/></w:pPr>
<w:r><w:t xml:space="preserve">slaves shall be overcome.&apos;&apos; The irony of human aspirations was</w:t></w:r>
</w:p>
<w:p>
<w:pPr><w:pStyle w:val="Normal"/></w:pPr>
<w:r><w:t xml:space="preserve">never perhaps more plainly demonstrated than in the contrast</w:t></w:r>
</w:p>
<w:p>
<w:pPr><w:pStyle w:val="Normal"/></w:pPr>
<w:r><w:t xml:space="preserve">between the ideal thus set before themselves by those who</w:t></w:r>
</w:p>
<w:p>
<w:pPr><w:pStyle w:val="Normal"/></w:pPr>
<w:r><w:t xml:space="preserve">employed Stanley, and the actual results of their intervention in</w:t></w:r>
</w:p>
<w:p>
<w:pPr><w:pStyle w:val="Normal"/></w:pPr>
<w:r><w:t xml:space="preserve">Africa.  Stanley founded his first station at Vivi, between</w:t></w:r>
</w:p>
<w:p>
<w:pPr><w:pStyle w:val="Normal"/></w:pPr>
<w:r><w:t xml:space="preserve">the mouth of the Congo and the rapids that obstruct its course</w:t></w:r>
</w:p>
<w:p>
<w:pPr><w:pStyle w:val="Normal"/></w:pPr>
<w:r><w:t xml:space="preserve">where it breaks over the western edge of the central continental</w:t></w:r>
</w:p>
<w:p>
<w:pPr><w:pStyle w:val="Normal"/></w:pPr>
<w:r><w:t xml:space="preserve">plateau.  Above the rapids he established a station on Stanley</w:t></w:r>
</w:p>
<w:p>
<w:pPr><w:pStyle w:val="Normal"/></w:pPr>
<w:r><w:t xml:space="preserve">Pool and named it Leopoldville, founding other stations on the</w:t></w:r>
</w:p>
<w:p>
<w:pPr><w:pStyle w:val="Normal"/></w:pPr>
<w:r><w:t xml:space="preserve">main stream in the direction of the falls that bear his name.</w:t></w:r>
</w:p>
<w:p>
<w:pPr><w:pStyle w:val="Normal"/></w:pPr>
<w:r><w:t xml:space="preserve">Meanwhile de Brazza was far from idle.  He had returned to</w:t></w:r>
</w:p>
<w:p>
<w:pPr><w:pStyle w:val="Normal"/></w:pPr>
<w:r><w:t xml:space="preserve">Africa at the beginning of 1880, and while the agents of King</w:t></w:r>
</w:p>
<w:p>
<w:pPr><w:pStyle w:val="Normal"/></w:pPr>
<w:r><w:t xml:space="preserve">Leopold were making treaties and founding stations along the</w:t></w:r>
</w:p>
<w:p>
<w:pPr><w:pStyle w:val="Normal"/></w:pPr>
<w:r><w:t xml:space="preserve">southern bank of the river, de Brazza and other French agents</w:t></w:r>
</w:p>
<w:p>
<w:pPr><w:pStyle w:val="Normal"/></w:pPr>
<w:r><w:t xml:space="preserve">were equally busy on the northern bank.  De Brazza was sent</w:t></w:r>
</w:p>
<w:p>
<w:pPr><w:pStyle w:val="Normal"/></w:pPr>
<w:r><w:t xml:space="preserve">out to Africa by the French committee of the International</w:t></w:r>
</w:p>
<w:p>
<w:pPr><w:pStyle w:val="Normal"/></w:pPr>
<w:r><w:t xml:space="preserve">African Association, which provided him with the funds for the</w:t></w:r>
</w:p>
<w:p>
<w:pPr><w:pStyle w:val="Normal"/></w:pPr>
<w:r><w:t xml:space="preserve">expedition.  His avowed object was to explore the region</w:t></w:r>
</w:p>
<w:p>
<w:pPr><w:pStyle w:val="Normal"/></w:pPr>
<w:r><w:t xml:space="preserve">between the Gabun and Lake Chad.  But his real object was to</w:t></w:r>
</w:p>
<w:p>
<w:pPr><w:pStyle w:val="Normal"/></w:pPr>
<w:r><w:t xml:space="preserve">anticipate Stanley on the Congo.  The international character</w:t></w:r>
</w:p>
<w:p>
<w:pPr><w:pStyle w:val="Normal"/></w:pPr>
<w:r><w:t xml:space="preserve">of the association founded by King Leopold was never more</w:t></w:r>
</w:p>
<w:p>
<w:pPr><w:pStyle w:val="Normal"/></w:pPr>
<w:r><w:t xml:space="preserve">than a polite fiction, and the rivalry between the French and</w:t></w:r>
</w:p>
<w:p>
<w:pPr><w:pStyle w:val="Normal"/></w:pPr>
<w:r><w:t xml:space="preserve">the Belgians on the Congo was soon open, if not avowed.  In</w:t></w:r>
</w:p>
<w:p>
<w:pPr><w:pStyle w:val="Normal"/></w:pPr>
<w:r><w:t xml:space="preserve">October 1880 de Brazza made a solemn treaty with a chief on</w:t></w:r>
</w:p>
<w:p>
<w:pPr><w:pStyle w:val="Normal"/></w:pPr>
<w:r><w:t xml:space="preserve">the north bank of the Congo, who claimed that his authority</w:t></w:r>
</w:p>
<w:p>
<w:pPr><w:pStyle w:val="Normal"/></w:pPr>
<w:r><w:t xml:space="preserve">extended over a large area, including territory on the southern</w:t></w:r>
</w:p>
<w:p>
<w:pPr><w:pStyle w:val="Normal"/></w:pPr>
<w:r><w:t xml:space="preserve">bank of the river.  As soon as this chief had accepted French</w:t></w:r>
</w:p>
<w:p>
<w:pPr><w:pStyle w:val="Normal"/></w:pPr>
<w:r><w:t xml:space="preserve">protection, de Brazza crossed over to the south of the</w:t></w:r>
</w:p>
<w:p>
<w:pPr><w:pStyle w:val="Normal"/></w:pPr>
<w:r><w:t xml:space="preserve">river, and founded a station close to the present site of</w:t></w:r>
</w:p>
<w:p>
<w:pPr><w:pStyle w:val="Normal"/></w:pPr>
<w:r><w:t xml:space="preserve">Leopoldville.  The discovery by Stanley of the French station</w:t></w:r>
</w:p>
<w:p>
<w:pPr><w:pStyle w:val="Normal"/></w:pPr>
<w:r><w:t xml:space="preserve">annoyed King Leopold&apos;s agent, and he promptly challenged</w:t></w:r>
</w:p>
<w:p>
<w:pPr><w:pStyle w:val="Normal"/></w:pPr>
<w:r><w:t xml:space="preserve">the rights of the chief who purported to have placed the</w:t></w:r>
</w:p>
<w:p>
<w:pPr><w:pStyle w:val="Normal"/></w:pPr>
<w:r><w:t xml:space="preserve">country under French protection, and himself founded a Belgian</w:t></w:r>
</w:p>
<w:p>
<w:pPr><w:pStyle w:val="Normal"/></w:pPr>
<w:r><w:t xml:space="preserve">station close to the site selected by de Brazza.  In the</w:t></w:r>
</w:p>
<w:p>
<w:pPr><w:pStyle w:val="Normal"/></w:pPr>
<w:r><w:t xml:space="preserve">result, the French station was withdrawn to the northern</w:t></w:r>
</w:p>
<w:p>
<w:pPr><w:pStyle w:val="Normal"/></w:pPr>
<w:r><w:t xml:space="preserve">side of Stanley Pool, where it is now known as Brazzaville.</w:t></w:r>
</w:p>
<w:p>
<w:pPr><w:pStyle w:val="Normal"/></w:pPr>
<w:r><w:t xml:space="preserve">The activity of French and Belgian agents on the Congo had</w:t></w:r>
</w:p>
<w:p>
<w:pPr><w:pStyle w:val="Normal"/></w:pPr>
<w:r><w:t xml:space="preserve">not passed unnoticed in Lisbon, and the Portuguese government</w:t></w:r>
</w:p>
<w:p>
<w:pPr><w:pStyle w:val="Normal"/></w:pPr>
<w:r><w:t xml:space="preserve">saw that no time was to be lost if the claims it had never</w:t></w:r>
</w:p>
<w:p>
<w:pPr><w:pStyle w:val="Normal"/></w:pPr>
<w:r><w:t xml:space="preserve">ceased to put forward on the west coast were not to go by</w:t></w:r>
</w:p>
<w:p>
<w:pPr><w:pStyle w:val="Normal"/></w:pPr>
<w:r><w:t xml:space="preserve">default.  At varying periods during the 19th century</w:t></w:r>
</w:p>
<w:p>
<w:pPr><w:pStyle w:val="Normal"/></w:pPr>
<w:r><w:t xml:space="preserve">Portugal had put forward claims to the whole of the West</w:t></w:r>
</w:p>
<w:p>
<w:pPr><w:pStyle w:val="Normal"/></w:pPr>
<w:r><w:t xml:space="preserve">African coast, between 5 deg.  12&apos; and 8 deg.  south.  North of</w:t></w:r>
</w:p>
<w:p>
<w:pPr><w:pStyle w:val="Normal"/></w:pPr>
<w:r><w:t xml:space="preserve">the Congo mouth she claimed the territories of Kabinda and</w:t></w:r>
</w:p>
<w:p>
<w:pPr><w:pStyle w:val="Normal"/></w:pPr>
<w:r><w:t xml:space="preserve">Molemba, alleging that they had been in her possession since</w:t></w:r>
</w:p>
<w:p>
<w:pPr><w:pStyle w:val="Normal"/></w:pPr>
<w:r><w:t xml:space="preserve">1484.  Great Britain had never, however, admitted this</w:t></w:r>
</w:p>
<w:p>
<w:pPr><w:pStyle w:val="Normal"/></w:pPr>
<w:r><w:t xml:space="preserve">claim, and south of the Congo had declined to recognize</w:t></w:r>
</w:p>
<w:p>
<w:pPr><w:pStyle w:val="Normal"/></w:pPr>
<w:r><w:t xml:space="preserve">Portuguese possessions as extending north of Ambriz.  In</w:t></w:r>
</w:p>
<w:p>
<w:pPr><w:pStyle w:val="Normal"/></w:pPr>
<w:r><w:t xml:space="preserve">1856 orders were given to British cruisers to prevent by</w:t></w:r>
</w:p>
<w:p>
<w:pPr><w:pStyle w:val="Normal"/></w:pPr>
<w:r><w:t xml:space="preserve">force any attempt to extend Portuguese dominion north of that</w:t></w:r>
</w:p>
<w:p>
<w:pPr><w:pStyle w:val="Normal"/></w:pPr>
<w:r><w:t xml:space="preserve">place.  But the Portuguese had been persistent in urging their</w:t></w:r>
</w:p>
<w:p>
<w:pPr><w:pStyle w:val="Normal"/></w:pPr>
<w:r><w:t xml:space="preserve">claims, and in 1882 negotiations were again opened with the</w:t></w:r>
</w:p>
<w:p>
<w:pPr><w:pStyle w:val="Normal"/></w:pPr>
<w:r><w:t xml:space="preserve">British government for recognition of Portuguese rights over</w:t></w:r>
</w:p>
<w:p>
<w:pPr><w:pStyle w:val="Normal"/></w:pPr>
<w:r><w:t xml:space="preserve">both banks of the Congo on the coast, and for some distance</w:t></w:r>
</w:p>
<w:p>
<w:pPr><w:pStyle w:val="Normal"/></w:pPr>
<w:r><w:t xml:space="preserve">inland.  Into the details of the negotiations, which were</w:t></w:r>
</w:p>
<w:p>
<w:pPr><w:pStyle w:val="Normal"/></w:pPr>
<w:r><w:t xml:space="preserve">conducted for Great Britain by the 2nd Earl Granville, who was</w:t></w:r>
</w:p>
<w:p>
<w:pPr><w:pStyle w:val="Normal"/></w:pPr>
<w:r><w:t xml:space="preserve">then secretary for foreign affairs, it is unnecessary to enter;</w:t></w:r>
</w:p>
<w:p>
<w:pPr><w:pStyle w:val="Normal"/></w:pPr>
<w:r><w:t xml:space="preserve">they resulted in the signing on the 26th of February 1884 of a</w:t></w:r>
</w:p>
<w:p>
<w:pPr><w:pStyle w:val="Normal"/></w:pPr>
<w:r><w:t xml:space="preserve">treaty, by which Great Britain recognized the sovereignty of</w:t></w:r>
</w:p>
<w:p>
<w:pPr><w:pStyle w:val="Normal"/></w:pPr>
<w:r><w:t xml:space="preserve">the king of Portugal ``over that part of the west coast of</w:t></w:r>
</w:p>
<w:p>
<w:pPr><w:pStyle w:val="Normal"/></w:pPr>
<w:r><w:t xml:space="preserve">Africa, situated between 8 deg.  and 5 deg.  12&apos; south latitude,&apos;&apos; and</w:t></w:r>
</w:p>
<w:p>
<w:pPr><w:pStyle w:val="Normal"/></w:pPr>
<w:r><w:t xml:space="preserve">inland as far as Noki, on the south bank of the Congo, below</w:t></w:r>
</w:p>
<w:p>
<w:pPr><w:pStyle w:val="Normal"/></w:pPr>
<w:r><w:t xml:space="preserve">Vivi.  The navigation of the Congo was to be controlled by</w:t></w:r>
</w:p>
<w:p>
<w:pPr><w:pStyle w:val="Normal"/></w:pPr>
<w:r><w:t xml:space="preserve">an Anglo-Portuguese commission.  The publication of this</w:t></w:r>
</w:p>
<w:p>
<w:pPr><w:pStyle w:val="Normal"/></w:pPr>
<w:r><w:t xml:space="preserve">treaty evoked immediate protests, not only on the continent</w:t></w:r>
</w:p>
<w:p>
<w:pPr><w:pStyle w:val="Normal"/></w:pPr>
<w:r><w:t xml:space="preserve">but in Great Britain.  In face of the disapproval aroused</w:t></w:r>
</w:p>
<w:p>
<w:pPr><w:pStyle w:val="Normal"/></w:pPr>
<w:r><w:t xml:space="preserve">by the treaty, Lord Granville found himself unable to ratify</w:t></w:r>
</w:p>
<w:p>
<w:pPr><w:pStyle w:val="Normal"/></w:pPr>
<w:r><w:t xml:space="preserve">it.  The protests had not been confined to France and</w:t></w:r>
</w:p>
<w:p>
<w:pPr><w:pStyle w:val="Normal"/></w:pPr>
<w:r><w:t xml:space="preserve">the king of the Belgians.  Germany had not yet acquired</w:t></w:r>
</w:p>
<w:p>
<w:pPr><w:pStyle w:val="Normal"/></w:pPr>
<w:r><w:t xml:space="preserve">formal footing in Africa, but she was crouching for the</w:t></w:r>
</w:p>
<w:p>
<w:pPr><w:pStyle w:val="Normal"/></w:pPr>
<w:r><w:t xml:space="preserve">spring prior to taking her part in the scramble, and Prince</w:t></w:r>
</w:p>
<w:p>
<w:pPr><w:pStyle w:val="Normal"/></w:pPr>
<w:r><w:t xml:space="preserve">Bismarck had expressed, in vigorous language, the objections</w:t></w:r>
</w:p>
<w:p>
<w:pPr><w:pStyle w:val="Normal"/></w:pPr>
<w:r><w:t xml:space="preserve">entertained by Germany to the Anglo-Portuguese treaty.</w:t></w:r>
</w:p>
<w:p>
<w:pPr><w:pStyle w:val="Normal"/></w:pPr>
<w:r><w:t xml:space="preserve">For some time before 1884 there had been growing up a</w:t></w:r>
</w:p>
<w:p>
<w:pPr><w:pStyle w:val="Normal"/></w:pPr>
<w:r><w:t xml:space="preserve">general conviction that it would be desirable for the powers</w:t></w:r>
</w:p>
<w:p>
<w:pPr><w:pStyle w:val="Normal"/></w:pPr>
<w:r><w:t xml:space="preserve">who were interesting themselves in Africa to come to some</w:t></w:r>
</w:p>
<w:p>
<w:pPr><w:pStyle w:val="Normal"/></w:pPr>
<w:r><w:t xml:space="preserve">agreement as to ``the rules of the game,&apos;&apos; and to define</w:t></w:r>
</w:p>
<w:p>
<w:pPr><w:pStyle w:val="Normal"/></w:pPr>
<w:r><w:t xml:space="preserve">their respective interests so far as that was practicable.</w:t></w:r>
</w:p>
<w:p>
<w:pPr><w:pStyle w:val="Normal"/></w:pPr>
<w:r><w:t xml:space="preserve">Lord Granville&apos;s ill-fated treaty brought this sentiment</w:t></w:r>
</w:p>
<w:p>
<w:pPr><w:pStyle w:val="Normal"/></w:pPr>
<w:r><w:t xml:space="preserve">to a head, and it was agreed to hold an international</w:t></w:r>
</w:p>
<w:p>
<w:pPr><w:pStyle w:val="Normal"/></w:pPr>
<w:r><w:t xml:space="preserve">conference on African affairs.  But before discussing the</w:t></w:r>
</w:p>
<w:p>
<w:pPr><w:pStyle w:val="Normal"/></w:pPr>
<w:r><w:t xml:space="preserve">Berlin conference of 1884-1885, it will be well to see what</w:t></w:r>
</w:p>
<w:p>
<w:pPr><w:pStyle w:val="Normal"/></w:pPr>
<w:r><w:t xml:space="preserve">was the position, on the eve of the conference, in other</w:t></w:r>
</w:p>
<w:p>
<w:pPr><w:pStyle w:val="Normal"/></w:pPr>
<w:r><w:t xml:space="preserve">parts of the African continent.  In the southern section of</w:t></w:r>
</w:p>
<w:p>
<w:pPr><w:pStyle w:val="Normal"/></w:pPr>
<w:r><w:t xml:space="preserve">Africa, south of the Zambezi, important events had been</w:t></w:r>
</w:p>
<w:p>
<w:pPr><w:pStyle w:val="Normal"/></w:pPr>
<w:r><w:t xml:space="preserve">happening.  In 1876 Great Britain had concluded an agreement</w:t></w:r>
</w:p>
<w:p>
<w:pPr><w:pStyle w:val="Normal"/></w:pPr>
<w:r><w:t xml:space="preserve">British influence consolidated in South Africa.</w:t></w:r>
</w:p>
<w:p>
<w:pPr><w:pStyle w:val="Normal"/></w:pPr>
<w:r><w:t xml:space="preserve">with the Orange Free State for an adjustment of frontiers, the</w:t></w:r>
</w:p>
<w:p>
<w:pPr><w:pStyle w:val="Normal"/></w:pPr>
<w:r><w:t xml:space="preserve">result of which was to leave the Kimberley diamond fields in</w:t></w:r>
</w:p>
<w:p>
<w:pPr><w:pStyle w:val="Normal"/></w:pPr>
<w:r><w:t xml:space="preserve">British territory, in exchange for a payment of L. 90,000 to the</w:t></w:r>
</w:p>
<w:p>
<w:pPr><w:pStyle w:val="Normal"/></w:pPr>
<w:r><w:t xml:space="preserve">Orange Free State.  On the 12th of April 1877 Sir Theophilus</w:t></w:r>
</w:p>
<w:p>
<w:pPr><w:pStyle w:val="Normal"/></w:pPr>
<w:r><w:t xml:space="preserve">Shepstone had issued a proclamation declaring the Transvaal--</w:t></w:r>
</w:p>
<w:p>
<w:pPr><w:pStyle w:val="Normal"/></w:pPr>
<w:r><w:t xml:space="preserve">the South African Republic, as it was officially designated--to</w:t></w:r>
</w:p>
<w:p>
<w:pPr><w:pStyle w:val="Normal"/></w:pPr>
<w:r><w:t xml:space="preserve">be British territory (see TRANSVAAL.) In December 1880 war</w:t></w:r>
</w:p>
<w:p>
<w:pPr><w:pStyle w:val="Normal"/></w:pPr>
<w:r><w:t xml:space="preserve">broke out and lasted until March 1881, when a treaty of peace was</w:t></w:r>
</w:p>
<w:p>
<w:pPr><w:pStyle w:val="Normal"/></w:pPr>
<w:r><w:t xml:space="preserve">signed.  This treaty of peace was followed by a convention,</w:t></w:r>
</w:p>
<w:p>
<w:pPr><w:pStyle w:val="Normal"/></w:pPr>
<w:r><w:t xml:space="preserve">signed in August of the same year, under which complete</w:t></w:r>
</w:p>
<w:p>
<w:pPr><w:pStyle w:val="Normal"/></w:pPr>
<w:r><w:t xml:space="preserve">self-government was guaranteed to the inhabitants of the</w:t></w:r>
</w:p>
<w:p>
<w:pPr><w:pStyle w:val="Normal"/></w:pPr>
<w:r><w:t xml:space="preserve">Transvaal, subject to the suzerainty of Great Britain, upon</w:t></w:r>
</w:p>
<w:p>
<w:pPr><w:pStyle w:val="Normal"/></w:pPr>
<w:r><w:t xml:space="preserve">certain terms and conditions and subject to certain reservations</w:t></w:r>
</w:p>
<w:p>
<w:pPr><w:pStyle w:val="Normal"/></w:pPr>
<w:r><w:t xml:space="preserve">and limitations.  No sooner was the convention signed than</w:t></w:r>
</w:p>
<w:p>
<w:pPr><w:pStyle w:val="Normal"/></w:pPr>
<w:r><w:t xml:space="preserve">it became the object of the Boers to obtain a modification of</w:t></w:r>
</w:p>
<w:p>
<w:pPr><w:pStyle w:val="Normal"/></w:pPr>
<w:r><w:t xml:space="preserve">the conditions and limitations imposed, and in February 1884</w:t></w:r>
</w:p>
<w:p>
<w:pPr><w:pStyle w:val="Normal"/></w:pPr>
<w:r><w:t xml:space="preserve">a fresh convention was signed, amending the convention of</w:t></w:r>
</w:p>
<w:p>
<w:pPr><w:pStyle w:val="Normal"/></w:pPr>
<w:r><w:t xml:space="preserve">1881.  Article IV. of the new convention provided that ``The</w:t></w:r>
</w:p>
<w:p>
<w:pPr><w:pStyle w:val="Normal"/></w:pPr>
<w:r><w:t xml:space="preserve">South African Republic will conclude no treaty or engagement</w:t></w:r>
</w:p>
<w:p>
<w:pPr><w:pStyle w:val="Normal"/></w:pPr>
<w:r><w:t xml:space="preserve">with any state or nation other than the Orange Free State,</w:t></w:r>
</w:p>
<w:p>
<w:pPr><w:pStyle w:val="Normal"/></w:pPr>
<w:r><w:t xml:space="preserve">nor with any native tribe to the eastward or westward of the</w:t></w:r>
</w:p>
<w:p>
<w:pPr><w:pStyle w:val="Normal"/></w:pPr>
<w:r><w:t xml:space="preserve">Republic, until the same has been approved by Her Majesty the</w:t></w:r>
</w:p>
<w:p>
<w:pPr><w:pStyle w:val="Normal"/></w:pPr>
<w:r><w:t xml:space="preserve">Queen.&apos;&apos; The precise effect of the two conventions has been</w:t></w:r>
</w:p>
<w:p>
<w:pPr><w:pStyle w:val="Normal"/></w:pPr>
<w:r><w:t xml:space="preserve">the occasion for interminable discussions, but as the subject</w:t></w:r>
</w:p>
<w:p>
<w:pPr><w:pStyle w:val="Normal"/></w:pPr>
<w:r><w:t xml:space="preserve">is now one of merely academic interest, it is sufficient to</w:t></w:r>
</w:p>
<w:p>
<w:pPr><w:pStyle w:val="Normal"/></w:pPr>
<w:r><w:t xml:space="preserve">say that when the Berlin conference held its first meeting</w:t></w:r>
</w:p>
<w:p>
<w:pPr><w:pStyle w:val="Normal"/></w:pPr>
<w:r><w:t xml:space="preserve">in 1884 the Transvaal was practically independent, so far</w:t></w:r>
</w:p>
<w:p>
<w:pPr><w:pStyle w:val="Normal"/></w:pPr>
<w:r><w:t xml:space="preserve">as its internal administration was concerned, while its</w:t></w:r>
</w:p>
<w:p>
<w:pPr><w:pStyle w:val="Normal"/></w:pPr>
<w:r><w:t xml:space="preserve">foreign relations were subject to the control just quoted.</w:t></w:r>
</w:p>
<w:p>
<w:pPr><w:pStyle w:val="Normal"/></w:pPr>
<w:r><w:t xml:space="preserve">But although the Transvaal had thus, between the years 1875</w:t></w:r>
</w:p>
<w:p>
<w:pPr><w:pStyle w:val="Normal"/></w:pPr>
<w:r><w:t xml:space="preserve">and 1884, become and ceased to be British territory, British</w:t></w:r>
</w:p>
<w:p>
<w:pPr><w:pStyle w:val="Normal"/></w:pPr>
<w:r><w:t xml:space="preserve">influence in other parts of Africa south of the Zambezi</w:t></w:r>
</w:p>
<w:p>
<w:pPr><w:pStyle w:val="Normal"/></w:pPr>
<w:r><w:t xml:space="preserve">had been steadily extended.  To the west of the Orange Free</w:t></w:r>
</w:p>
<w:p>
<w:pPr><w:pStyle w:val="Normal"/></w:pPr>
<w:r><w:t xml:space="preserve">State, Griqualand West was annexed to the Cape in 1880,</w:t></w:r>
</w:p>
<w:p>
<w:pPr><w:pStyle w:val="Normal"/></w:pPr>
<w:r><w:t xml:space="preserve">while to the east the territories beyond the Kei river were</w:t></w:r>
</w:p>
<w:p>
<w:pPr><w:pStyle w:val="Normal"/></w:pPr>
<w:r><w:t xml:space="preserve">included in Cape Colony between 1877 and 1884, so that in the</w:t></w:r>
</w:p>
<w:p>
<w:pPr><w:pStyle w:val="Normal"/></w:pPr>
<w:r><w:t xml:space="preserve">latter year, with the exception of Pondoland, the whole of</w:t></w:r>
</w:p>
<w:p>
<w:pPr><w:pStyle w:val="Normal"/></w:pPr>
<w:r><w:t xml:space="preserve">South-East Africa was in one form or another under British</w:t></w:r>
</w:p>
<w:p>
<w:pPr><w:pStyle w:val="Normal"/></w:pPr>
<w:r><w:t xml:space="preserve">control.  North of Natal, Zululand was not actually annexed</w:t></w:r>
</w:p>
<w:p>
<w:pPr><w:pStyle w:val="Normal"/></w:pPr>
<w:r><w:t xml:space="preserve">until 1887, although since 1879, when the military power of</w:t></w:r>
</w:p>
<w:p>
<w:pPr><w:pStyle w:val="Normal"/></w:pPr>
<w:r><w:t xml:space="preserve">the Zulus was broken up, British influence had been admittedly</w:t></w:r>
</w:p>
<w:p>
<w:pPr><w:pStyle w:val="Normal"/></w:pPr>
<w:r><w:t xml:space="preserve">supreme.  In December 1884 St Lucia Bay--upon which Germany was</w:t></w:r>
</w:p>
<w:p>
<w:pPr><w:pStyle w:val="Normal"/></w:pPr>
<w:r><w:t xml:space="preserve">casting covetous eyes--had been taken possession of in virtue</w:t></w:r>
</w:p>
<w:p>
<w:pPr><w:pStyle w:val="Normal"/></w:pPr>
<w:r><w:t xml:space="preserve">of its cession to Great Britain by the Zulu king in 1843, and</w:t></w:r>
</w:p>
<w:p>
<w:pPr><w:pStyle w:val="Normal"/></w:pPr>
<w:r><w:t xml:space="preserve">three years later an agreement of non-cession to foreign powers</w:t></w:r>
</w:p>
<w:p>
<w:pPr><w:pStyle w:val="Normal"/></w:pPr>
<w:r><w:t xml:space="preserve">made by Great Britain with the regent and paramount chief of</w:t></w:r>
</w:p>
<w:p>
<w:pPr><w:pStyle w:val="Normal"/></w:pPr>
<w:r><w:t xml:space="preserve">Tongaland completed the chain of British possessions on the</w:t></w:r>
</w:p>
<w:p>
<w:pPr><w:pStyle w:val="Normal"/></w:pPr>
<w:r><w:t xml:space="preserve">coast of South Africa, from the mouth of the Orange river</w:t></w:r>
</w:p>
<w:p>
<w:pPr><w:pStyle w:val="Normal"/></w:pPr>
<w:r><w:t xml:space="preserve">on the west to Kosi Bay and the Portuguese frontier on the</w:t></w:r>
</w:p>
<w:p>
<w:pPr><w:pStyle w:val="Normal"/></w:pPr>
<w:r><w:t xml:space="preserve">east.  In the interior of South Africa the year 1884 witnessed</w:t></w:r>
</w:p>
<w:p>
<w:pPr><w:pStyle w:val="Normal"/></w:pPr>
<w:r><w:t xml:space="preserve">the beginning of that final stage of the British advance</w:t></w:r>
</w:p>
<w:p>
<w:pPr><w:pStyle w:val="Normal"/></w:pPr>
<w:r><w:t xml:space="preserve">towards the north which was to extend British influence from the</w:t></w:r>
</w:p>
<w:p>
<w:pPr><w:pStyle w:val="Normal"/></w:pPr>
<w:r><w:t xml:space="preserve">Cape to the southern shores of Lake Tanganyika.  The activity</w:t></w:r>
</w:p>
<w:p>
<w:pPr><w:pStyle w:val="Normal"/></w:pPr>
<w:r><w:t xml:space="preserve">of the Germans on the west, and of the Boer republic on the</w:t></w:r>
</w:p>
<w:p>
<w:pPr><w:pStyle w:val="Normal"/></w:pPr>
<w:r><w:t xml:space="preserve">east, had brought home to both the imperial and colonial</w:t></w:r>
</w:p>
<w:p>
<w:pPr><w:pStyle w:val="Normal"/></w:pPr>
<w:r><w:t xml:space="preserve">authorities the impossibility of relying on vague traditional</w:t></w:r>
</w:p>
<w:p>
<w:pPr><w:pStyle w:val="Normal"/></w:pPr>
<w:r><w:t xml:space="preserve">claims.  In May 1884 treaties were made with native chiefs</w:t></w:r>
</w:p>
<w:p>
<w:pPr><w:pStyle w:val="Normal"/></w:pPr>
<w:r><w:t xml:space="preserve">by which the whole of the country north of Cape Colony,</w:t></w:r>
</w:p>
<w:p>
<w:pPr><w:pStyle w:val="Normal"/></w:pPr>
<w:r><w:t xml:space="preserve">west of the Transvaal, south of 22 deg.  S. and east of 20 deg.  E.,</w:t></w:r>
</w:p>
<w:p>
<w:pPr><w:pStyle w:val="Normal"/></w:pPr>
<w:r><w:t xml:space="preserve">was placed under British protection, though a protectorate</w:t></w:r>
</w:p>
<w:p>
<w:pPr><w:pStyle w:val="Normal"/></w:pPr>
<w:r><w:t xml:space="preserve">was not formally declared until the following January.</w:t></w:r>
</w:p>
<w:p>
<w:pPr><w:pStyle w:val="Normal"/></w:pPr>
<w:r><w:t xml:space="preserve">Meanwhile some very interesting events had been taking place</w:t></w:r>
</w:p>
<w:p>
<w:pPr><w:pStyle w:val="Normal"/></w:pPr>
<w:r><w:t xml:space="preserve">or: the west coast, north of the Orange river and south of the</w:t></w:r>
</w:p>
<w:p>
<w:pPr><w:pStyle w:val="Normal"/></w:pPr>
<w:r><w:t xml:space="preserve">Portuguese province of Mossamaede.  It must be sufficient here</w:t></w:r>
</w:p>
<w:p>
<w:pPr><w:pStyle w:val="Normal"/></w:pPr>
<w:r><w:t xml:space="preserve">to touch very briefly on the events that preceded the foundation</w:t></w:r>
</w:p>
<w:p>
<w:pPr><w:pStyle w:val="Normal"/></w:pPr>
<w:r><w:t xml:space="preserve">of the colony of German South-West Africa.  For many years</w:t></w:r>
</w:p>
<w:p>
<w:pPr><w:pStyle w:val="Normal"/></w:pPr>
<w:r><w:t xml:space="preserve">before 1884 German missionaries had settled among the Damaras</w:t></w:r>
</w:p>
<w:p>
<w:pPr><w:pStyle w:val="Normal"/></w:pPr>
<w:r><w:t xml:space="preserve">(Herero) and Namaquas, often combining small trading operations</w:t></w:r>
</w:p>
<w:p>
<w:pPr><w:pStyle w:val="Normal"/></w:pPr>
<w:r><w:t xml:space="preserve">with their missionary work.  From time to time trouble arose</w:t></w:r>
</w:p>
<w:p>
<w:pPr><w:pStyle w:val="Normal"/></w:pPr>
<w:r><w:t xml:space="preserve">between the missionaries and the native chiefs, and appeals</w:t></w:r>
</w:p>
<w:p>
<w:pPr><w:pStyle w:val="Normal"/></w:pPr>
<w:r><w:t xml:space="preserve">Germany enters the field.</w:t></w:r>
</w:p>
<w:p>
<w:pPr><w:pStyle w:val="Normal"/></w:pPr>
<w:r><w:t xml:space="preserve">were made to the German government for protection.  The</w:t></w:r>
</w:p>
<w:p>
<w:pPr><w:pStyle w:val="Normal"/></w:pPr>
<w:r><w:t xml:space="preserve">German government in its turn begged the British government</w:t></w:r>
</w:p>
<w:p>
<w:pPr><w:pStyle w:val="Normal"/></w:pPr>
<w:r><w:t xml:space="preserve">to say whether it assumed responsibility for the protection of</w:t></w:r>
</w:p>
<w:p>
<w:pPr><w:pStyle w:val="Normal"/></w:pPr>
<w:r><w:t xml:space="preserve">Europeans in Damaraland and Namaqualand.  The position of the</w:t></w:r>
</w:p>
<w:p>
<w:pPr><w:pStyle w:val="Normal"/></w:pPr>
<w:r><w:t xml:space="preserve">British government was intelligible, if not very intelligent.</w:t></w:r>
</w:p>
<w:p>
<w:pPr><w:pStyle w:val="Normal"/></w:pPr>
<w:r><w:t xml:space="preserve">It did not desire to see any other European power in these</w:t></w:r>
</w:p>
<w:p>
<w:pPr><w:pStyle w:val="Normal"/></w:pPr>
<w:r><w:t xml:space="preserve">countries, and it did not want to assume the responsibility</w:t></w:r>
</w:p>
<w:p>
<w:pPr><w:pStyle w:val="Normal"/></w:pPr>
<w:r><w:t xml:space="preserve">and incur the expense of protecting the few Europeans settled</w:t></w:r>
</w:p>
<w:p>
<w:pPr><w:pStyle w:val="Normal"/></w:pPr>
<w:r><w:t xml:space="preserve">there.  Sir Bartle Frere, when governor of the Cape (1877-1880),</w:t></w:r>
</w:p>
<w:p>
<w:pPr><w:pStyle w:val="Normal"/></w:pPr>
<w:r><w:t xml:space="preserve">had foreseen that this attitude portended trouble, and had</w:t></w:r>
</w:p>
<w:p>
<w:pPr><w:pStyle w:val="Normal"/></w:pPr>
<w:r><w:t xml:space="preserve">urged that the whole of the unoccupied coastline, up to</w:t></w:r>
</w:p>
<w:p>
<w:pPr><w:pStyle w:val="Normal"/></w:pPr>
<w:r><w:t xml:space="preserve">the Portuguese frontier, should be declared under British</w:t></w:r>
</w:p>
<w:p>
<w:pPr><w:pStyle w:val="Normal"/></w:pPr>
<w:r><w:t xml:space="preserve">protection.  But he preached to deaf ears, and it was as something</w:t></w:r>
</w:p>
<w:p>
<w:pPr><w:pStyle w:val="Normal"/></w:pPr>
<w:r><w:t xml:space="preserve">of a concession to him that in March 1878 the British flag was</w:t></w:r>
</w:p>
<w:p>
<w:pPr><w:pStyle w:val="Normal"/></w:pPr>
<w:r><w:t xml:space="preserve">hoisted at Walfish Bay, and a small part of the adjacent land</w:t></w:r>
</w:p>
<w:p>
<w:pPr><w:pStyle w:val="Normal"/></w:pPr>
<w:r><w:t xml:space="preserve">declared to be British.  The fact appears to be that British</w:t></w:r>
</w:p>
<w:p>
<w:pPr><w:pStyle w:val="Normal"/></w:pPr>
<w:r><w:t xml:space="preserve">statesmen failed to understand the change that had come over</w:t></w:r>
</w:p>
<w:p>
<w:pPr><w:pStyle w:val="Normal"/></w:pPr>
<w:r><w:t xml:space="preserve">Germany.  They believed that Prince Bismarck would never give</w:t></w:r>
</w:p>
<w:p>
<w:pPr><w:pStyle w:val="Normal"/></w:pPr>
<w:r><w:t xml:space="preserve">his sanction to the creation of a colonial empire, and, to</w:t></w:r>
</w:p>
<w:p>
<w:pPr><w:pStyle w:val="Normal"/></w:pPr>
<w:r><w:t xml:space="preserve">the German inquiries as to what rights Great Britain claimed</w:t></w:r>
</w:p>
<w:p>
<w:pPr><w:pStyle w:val="Normal"/></w:pPr>
<w:r><w:t xml:space="preserve">in Damaraland and Namaqualand, procrastinating replies were</w:t></w:r>
</w:p>
<w:p>
<w:pPr><w:pStyle w:val="Normal"/></w:pPr>
<w:r><w:t xml:space="preserve">sent.  Meanwhile the various colonial societies established</w:t></w:r>
</w:p>
<w:p>
<w:pPr><w:pStyle w:val="Normal"/></w:pPr>
<w:r><w:t xml:space="preserve">in Germany had effected a revolution in public opinion,</w:t></w:r>
</w:p>
<w:p>
<w:pPr><w:pStyle w:val="Normal"/></w:pPr>
<w:r><w:t xml:space="preserve">and, more important still, they had convinced the great</w:t></w:r>
</w:p>
<w:p>
<w:pPr><w:pStyle w:val="Normal"/></w:pPr>
<w:r><w:t xml:space="preserve">chancellor.  Accordingly when, in November 1882, F. A. E.</w:t></w:r>
</w:p>
<w:p>
<w:pPr><w:pStyle w:val="Normal"/></w:pPr>
<w:r><w:t xml:space="preserve">Luderitz, a Bremen merchant, informed the German government</w:t></w:r>
</w:p>
<w:p>
<w:pPr><w:pStyle w:val="Normal"/></w:pPr>
<w:r><w:t xml:space="preserve">of his intention to establish a factory on the coast between</w:t></w:r>
</w:p>
<w:p>
<w:pPr><w:pStyle w:val="Normal"/></w:pPr>
<w:r><w:t xml:space="preserve">the Orange river and the Little Fish river, and asked if he</w:t></w:r>
</w:p>
<w:p>
<w:pPr><w:pStyle w:val="Normal"/></w:pPr>
<w:r><w:t xml:space="preserve">might rely on the protection of his government in case of</w:t></w:r>
</w:p>
<w:p>
<w:pPr><w:pStyle w:val="Normal"/></w:pPr>
<w:r><w:t xml:space="preserve">need, he met with no discouragement from Prince Bismarck.</w:t></w:r>
</w:p>
<w:p>
<w:pPr><w:pStyle w:val="Normal"/></w:pPr>
<w:r><w:t xml:space="preserve">In February 1883 the German ambassador in London informed</w:t></w:r>
</w:p>
<w:p>
<w:pPr><w:pStyle w:val="Normal"/></w:pPr>
<w:r><w:t xml:space="preserve">Lord Granville of Luderitz&apos;s design, and asked ``whether</w:t></w:r>
</w:p>
<w:p>
<w:pPr><w:pStyle w:val="Normal"/></w:pPr>
<w:r><w:t xml:space="preserve">Her Majesty&apos;s government exercise any authority in that</w:t></w:r>
</w:p>
<w:p>
<w:pPr><w:pStyle w:val="Normal"/></w:pPr>
<w:r><w:t xml:space="preserve">locality.&apos;&apos; It was intimated that if Her Majesty&apos;s government</w:t></w:r>
</w:p>
<w:p>
<w:pPr><w:pStyle w:val="Normal"/></w:pPr>
<w:r><w:t xml:space="preserve">did not, the German government would extend to Luderitz&apos;s</w:t></w:r>
</w:p>
<w:p>
<w:pPr><w:pStyle w:val="Normal"/></w:pPr>
<w:r><w:t xml:space="preserve">factory ``the same measure of protection which they give</w:t></w:r>
</w:p>
<w:p>
<w:pPr><w:pStyle w:val="Normal"/></w:pPr>
<w:r><w:t xml:space="preserve">to their subjects in remote parts of the world, but without</w:t></w:r>
</w:p>
<w:p>
<w:pPr><w:pStyle w:val="Normal"/></w:pPr>
<w:r><w:t xml:space="preserve">having the least design to establish any footing in South</w:t></w:r>
</w:p>
<w:p>
<w:pPr><w:pStyle w:val="Normal"/></w:pPr>
<w:r><w:t xml:space="preserve">Africa.&apos;&apos; An inconclusive reply was sent, and on the 9th of</w:t></w:r>
</w:p>
<w:p>
<w:pPr><w:pStyle w:val="Normal"/></w:pPr>
<w:r><w:t xml:space="preserve">April Luderitz&apos;s agent landed at Angra Pequena, and after a</w:t></w:r>
</w:p>
<w:p>
<w:pPr><w:pStyle w:val="Normal"/></w:pPr>
<w:r><w:t xml:space="preserve">short delay concluded a treaty with the local chief, by which</w:t></w:r>
</w:p>
<w:p>
<w:pPr><w:pStyle w:val="Normal"/></w:pPr>
<w:r><w:t xml:space="preserve">some 215 square miles around Angra Pequena were ceded to</w:t></w:r>
</w:p>
<w:p>
<w:pPr><w:pStyle w:val="Normal"/></w:pPr>
<w:r><w:t xml:space="preserve">Luderitz.  In England and at the Cape irritation at the news</w:t></w:r>
</w:p>
<w:p>
<w:pPr><w:pStyle w:val="Normal"/></w:pPr>
<w:r><w:t xml:space="preserve">was mingled with incredulity, and it was fully anticipated</w:t></w:r>
</w:p>
<w:p>
<w:pPr><w:pStyle w:val="Normal"/></w:pPr>
<w:r><w:t xml:space="preserve">that Luderitz would be disavowed by his government.  But</w:t></w:r>
</w:p>
<w:p>
<w:pPr><w:pStyle w:val="Normal"/></w:pPr>
<w:r><w:t xml:space="preserve">for this belief it can scarcely be doubted that the rest of</w:t></w:r>
</w:p>
<w:p>
<w:pPr><w:pStyle w:val="Normal"/></w:pPr>
<w:r><w:t xml:space="preserve">the unoccupied coast-line would have been promptly declared</w:t></w:r>
</w:p>
<w:p>
<w:pPr><w:pStyle w:val="Normal"/></w:pPr>
<w:r><w:t xml:space="preserve">under British protection.  Still Prince Bismarck was slow to</w:t></w:r>
</w:p>
<w:p>
<w:pPr><w:pStyle w:val="Normal"/></w:pPr>
<w:r><w:t xml:space="preserve">act.  In November the German ambassador again inquired if Great</w:t></w:r>
</w:p>
<w:p>
<w:pPr><w:pStyle w:val="Normal"/></w:pPr>
<w:r><w:t xml:space="preserve">Britain made any claim over this coast, and Lord Granville</w:t></w:r>
</w:p>
<w:p>
<w:pPr><w:pStyle w:val="Normal"/></w:pPr>
<w:r><w:t xml:space="preserve">replied that Her Majesty exercised sovereignty only over</w:t></w:r>
</w:p>
<w:p>
<w:pPr><w:pStyle w:val="Normal"/></w:pPr>
<w:r><w:t xml:space="preserve">certain parts of the coast, as at Walfish Bay, and suggested</w:t></w:r>
</w:p>
<w:p>
<w:pPr><w:pStyle w:val="Normal"/></w:pPr>
<w:r><w:t xml:space="preserve">that arrangements might be made by which Germany might assist</w:t></w:r>
</w:p>
<w:p>
<w:pPr><w:pStyle w:val="Normal"/></w:pPr>
<w:r><w:t xml:space="preserve">in the settlement of Angra Pequena.  By this time Luderitz</w:t></w:r>
</w:p>
<w:p>
<w:pPr><w:pStyle w:val="Normal"/></w:pPr>
<w:r><w:t xml:space="preserve">had extended his acquisitions southwards to the Orange river,</w:t></w:r>
</w:p>
<w:p>
<w:pPr><w:pStyle w:val="Normal"/></w:pPr>
<w:r><w:t xml:space="preserve">which had been declared by the British government to be the</w:t></w:r>
</w:p>
<w:p>
<w:pPr><w:pStyle w:val="Normal"/></w:pPr>
<w:r><w:t xml:space="preserve">northern frontier of Cape Colony.  Both at the Cape and in</w:t></w:r>
</w:p>
<w:p>
<w:pPr><w:pStyle w:val="Normal"/></w:pPr>
<w:r><w:t xml:space="preserve">England it was now realized that Germany had broken away from</w:t></w:r>
</w:p>
<w:p>
<w:pPr><w:pStyle w:val="Normal"/></w:pPr>
<w:r><w:t xml:space="preserve">her former purely continental policy, and, when too late, the</w:t></w:r>
</w:p>
<w:p>
<w:pPr><w:pStyle w:val="Normal"/></w:pPr>
<w:r><w:t xml:space="preserve">Cape parliament showed great eagerness to acquire the territory</w:t></w:r>
</w:p>
<w:p>
<w:pPr><w:pStyle w:val="Normal"/></w:pPr>
<w:r><w:t xml:space="preserve">which had lain so long at its very doors, to be had for the</w:t></w:r>
</w:p>
<w:p>
<w:pPr><w:pStyle w:val="Normal"/></w:pPr>
<w:r><w:t xml:space="preserve">taking.  It is not necessary to follow the course-of the</w:t></w:r>
</w:p>
<w:p>
<w:pPr><w:pStyle w:val="Normal"/></w:pPr>
<w:r><w:t xml:space="preserve">subsequent negotiations.  On the 15th of August 1884 an</w:t></w:r>
</w:p>
<w:p>
<w:pPr><w:pStyle w:val="Normal"/></w:pPr>
<w:r><w:t xml:space="preserve">official note was addressed by the German consul at Capetown</w:t></w:r>
</w:p>
<w:p>
<w:pPr><w:pStyle w:val="Normal"/></w:pPr>
<w:r><w:t xml:space="preserve">to the high commissioner, intimating that the German emperor</w:t></w:r>
</w:p>
<w:p>
<w:pPr><w:pStyle w:val="Normal"/></w:pPr>
<w:r><w:t xml:space="preserve">had by proclamation taken ``the territory belonging to Mr</w:t></w:r>
</w:p>
<w:p>
<w:pPr><w:pStyle w:val="Normal"/></w:pPr>
<w:r><w:t xml:space="preserve">A. Luderitz on the west coast of Africa under the direct</w:t></w:r>
</w:p>
<w:p>
<w:pPr><w:pStyle w:val="Normal"/></w:pPr>
<w:r><w:t xml:space="preserve">protection of His Majesty.&apos;&apos; This proclamation covered the</w:t></w:r>
</w:p>
<w:p>
<w:pPr><w:pStyle w:val="Normal"/></w:pPr>
<w:r><w:t xml:space="preserve">coast-line from the north bank of the Orange river to 26 deg.  S.</w:t></w:r>
</w:p>
<w:p>
<w:pPr><w:pStyle w:val="Normal"/></w:pPr>
<w:r><w:t xml:space="preserve">latitude, and 20 geographical miles inland, including ``the</w:t></w:r>
</w:p>
<w:p>
<w:pPr><w:pStyle w:val="Normal"/></w:pPr>
<w:r><w:t xml:space="preserve">islands belonging thereto by the law of nations.&apos;&apos; On the</w:t></w:r>
</w:p>
<w:p>
<w:pPr><w:pStyle w:val="Normal"/></w:pPr>
<w:r><w:t xml:space="preserve">8th of September 1884 the German government intimated to Her</w:t></w:r>
</w:p>
<w:p>
<w:pPr><w:pStyle w:val="Normal"/></w:pPr>
<w:r><w:t xml:space="preserve">Majesty&apos;s government ``that the west coast of Africa from</w:t></w:r>
</w:p>
<w:p>
<w:pPr><w:pStyle w:val="Normal"/></w:pPr>
<w:r><w:t xml:space="preserve">26 deg.  S. latitude to Cape Frio, excepting Walfish Bay, had</w:t></w:r>
</w:p>
<w:p>
<w:pPr><w:pStyle w:val="Normal"/></w:pPr>
<w:r><w:t xml:space="preserve">been placed under the protection of the German emperor.&apos;&apos;</w:t></w:r>
</w:p>
<w:p>
<w:pPr><w:pStyle w:val="Normal"/></w:pPr>
<w:r><w:t xml:space="preserve">Thus, before the end of the year 1884, the foundations of</w:t></w:r>
</w:p>
<w:p>
<w:pPr><w:pStyle w:val="Normal"/></w:pPr>
<w:r><w:t xml:space="preserve">Germany&apos;s colonial empire had been laid in South-West Africa.</w:t></w:r>
</w:p>
<w:p>
<w:pPr><w:pStyle w:val="Normal"/></w:pPr>
<w:r><w:t xml:space="preserve">In April of that year Prince Bismarck intimated to the British</w:t></w:r>
</w:p>
<w:p>
<w:pPr><w:pStyle w:val="Normal"/></w:pPr>
<w:r><w:t xml:space="preserve">government, through the German charge d&apos;affaires in London,</w:t></w:r>
</w:p>
<w:p>
<w:pPr><w:pStyle w:val="Normal"/></w:pPr>
<w:r><w:t xml:space="preserve">Nachtigal&apos;s mission to West Africa.</w:t></w:r>
</w:p>
<w:p>
<w:pPr><w:pStyle w:val="Normal"/></w:pPr>
<w:r><w:t xml:space="preserve">that ``the imperial consul-general, Dr Nachtigal, has been</w:t></w:r>
</w:p>
<w:p>
<w:pPr><w:pStyle w:val="Normal"/></w:pPr>
<w:r><w:t xml:space="preserve">commissioned by my government to visit the west coast of</w:t></w:r>
</w:p>
<w:p>
<w:pPr><w:pStyle w:val="Normal"/></w:pPr>
<w:r><w:t xml:space="preserve">Africa in the course of the next few months, in order to</w:t></w:r>
</w:p>
<w:p>
<w:pPr><w:pStyle w:val="Normal"/></w:pPr>
<w:r><w:t xml:space="preserve">complete the information now in the possession of the Foreign</w:t></w:r>
</w:p>
<w:p>
<w:pPr><w:pStyle w:val="Normal"/></w:pPr>
<w:r><w:t xml:space="preserve">Office at Berlin, on the state of German commerce on that</w:t></w:r>
</w:p>
<w:p>
<w:pPr><w:pStyle w:val="Normal"/></w:pPr>
<w:r><w:t xml:space="preserve">coast.  With this object Dr Nachtigal will shortly embark at</w:t></w:r>
</w:p>
<w:p>
<w:pPr><w:pStyle w:val="Normal"/></w:pPr>
<w:r><w:t xml:space="preserve">Lisbon, on board the gunboat `Mowe.&apos; He will put himself into</w:t></w:r>
</w:p>
<w:p>
<w:pPr><w:pStyle w:val="Normal"/></w:pPr>
<w:r><w:t xml:space="preserve">communication with the authorities in the British possessions</w:t></w:r>
</w:p>
<w:p>
<w:pPr><w:pStyle w:val="Normal"/></w:pPr>
<w:r><w:t xml:space="preserve">on the said coast, and is authorized to conduct, on behalf of</w:t></w:r>
</w:p>
<w:p>
<w:pPr><w:pStyle w:val="Normal"/></w:pPr>
<w:r><w:t xml:space="preserve">the imperial government, negotiations connected with certain</w:t></w:r>
</w:p>
<w:p>
<w:pPr><w:pStyle w:val="Normal"/></w:pPr>
<w:r><w:t xml:space="preserve">questions.  I venture,&apos;&apos; the official communication proceeds,</w:t></w:r>
</w:p>
<w:p>
<w:pPr><w:pStyle w:val="Normal"/></w:pPr>
<w:r><w:t xml:space="preserve">``in accordance with my instructions, to beg your excellency</w:t></w:r>
</w:p>
<w:p>
<w:pPr><w:pStyle w:val="Normal"/></w:pPr>
<w:r><w:t xml:space="preserve">to be so good as to cause the authorities in the British</w:t></w:r>
</w:p>
<w:p>
<w:pPr><w:pStyle w:val="Normal"/></w:pPr>
<w:r><w:t xml:space="preserve">possessions in West Africa to be furnished with suitable</w:t></w:r>
</w:p>
<w:p>
<w:pPr><w:pStyle w:val="Normal"/></w:pPr>
<w:r><w:t xml:space="preserve">recommendations.&apos;&apos; Although at the date of this communication</w:t></w:r>
</w:p>
<w:p>
<w:pPr><w:pStyle w:val="Normal"/></w:pPr>
<w:r><w:t xml:space="preserve">it must have been apparent, from what was happening in South</w:t></w:r>
</w:p>
<w:p>
<w:pPr><w:pStyle w:val="Normal"/></w:pPr>
<w:r><w:t xml:space="preserve">Africa, that Germany was prepared to enter on a policy of</w:t></w:r>
</w:p>
<w:p>
<w:pPr><w:pStyle w:val="Normal"/></w:pPr>
<w:r><w:t xml:space="preserve">colonial expansion, and although the wording of the letter was</w:t></w:r>
</w:p>
<w:p>
<w:pPr><w:pStyle w:val="Normal"/></w:pPr>
<w:r><w:t xml:space="preserve">studiously vague, it does not seem to have occurred to the British</w:t></w:r>
</w:p>
<w:p>
<w:pPr><w:pStyle w:val="Normal"/></w:pPr>
<w:r><w:t xml:space="preserve">government that the real object of Gustav Nachtigal&apos;s journey</w:t></w:r>
</w:p>
<w:p>
<w:pPr><w:pStyle w:val="Normal"/></w:pPr>
<w:r><w:t xml:space="preserve">was to make other annexations on the west coast.  Yet such was</w:t></w:r>
</w:p>
<w:p>
<w:pPr><w:pStyle w:val="Normal"/></w:pPr>
<w:r><w:t xml:space="preserve">indeed his mission.  German traders and missionaries had been</w:t></w:r>
</w:p>
<w:p>
<w:pPr><w:pStyle w:val="Normal"/></w:pPr>
<w:r><w:t xml:space="preserve">particularly active of late years on the coast of the Gulf of</w:t></w:r>
</w:p>
<w:p>
<w:pPr><w:pStyle w:val="Normal"/></w:pPr>
<w:r><w:t xml:space="preserve">Guinea.  German factories were dotted all along the coast in</w:t></w:r>
</w:p>
<w:p>
<w:pPr><w:pStyle w:val="Normal"/></w:pPr>
<w:r><w:t xml:space="preserve">districts under British protection, under French protection</w:t></w:r>
</w:p>
<w:p>
<w:pPr><w:pStyle w:val="Normal"/></w:pPr>
<w:r><w:t xml:space="preserve">and under the definite protection of no European power at</w:t></w:r>
</w:p>
<w:p>
<w:pPr><w:pStyle w:val="Normal"/></w:pPr>
<w:r><w:t xml:space="preserve">all.  It was to these latter places that Nachtigal turned his</w:t></w:r>
</w:p>
<w:p>
<w:pPr><w:pStyle w:val="Normal"/></w:pPr>
<w:r><w:t xml:space="preserve">attention.  The net result of his operations was that on</w:t></w:r>
</w:p>
<w:p>
<w:pPr><w:pStyle w:val="Normal"/></w:pPr>
<w:r><w:t xml:space="preserve">the 5th of July 1884 a treaty was signed with the king of</w:t></w:r>
</w:p>
<w:p>
<w:pPr><w:pStyle w:val="Normal"/></w:pPr>
<w:r><w:t xml:space="preserve">Togo, placing his country under German protection, and that</w:t></w:r>
</w:p>
<w:p>
<w:pPr><w:pStyle w:val="Normal"/></w:pPr>
<w:r><w:t xml:space="preserve">just one week later a German protectorate was proclaimed</w:t></w:r>
</w:p>
<w:p>
<w:pPr><w:pStyle w:val="Normal"/></w:pPr>
<w:r><w:t xml:space="preserve">over the Cameroon district.  Before either of these events</w:t></w:r>
</w:p>
<w:p>
<w:pPr><w:pStyle w:val="Normal"/></w:pPr>
<w:r><w:t xml:space="preserve">had occurred Great Britain had become alive to the fact that</w:t></w:r>
</w:p>
<w:p>
<w:pPr><w:pStyle w:val="Normal"/></w:pPr>
<w:r><w:t xml:space="preserve">she could no longer dally with the subject, if she desired</w:t></w:r>
</w:p>
<w:p>
<w:pPr><w:pStyle w:val="Normal"/></w:pPr>
<w:r><w:t xml:space="preserve">to consolidate her possessions in West Africa.  The British</w:t></w:r>
</w:p>
<w:p>
<w:pPr><w:pStyle w:val="Normal"/></w:pPr>
<w:r><w:t xml:space="preserve">government had again and again refused to accord native</w:t></w:r>
</w:p>
<w:p>
<w:pPr><w:pStyle w:val="Normal"/></w:pPr>
<w:r><w:t xml:space="preserve">chiefs the protection they demanded.  The Cameroon chiefs</w:t></w:r>
</w:p>
<w:p>
<w:pPr><w:pStyle w:val="Normal"/></w:pPr>
<w:r><w:t xml:space="preserve">had several times asked for British protection, and always in</w:t></w:r>
</w:p>
<w:p>
<w:pPr><w:pStyle w:val="Normal"/></w:pPr>
<w:r><w:t xml:space="preserve">vain.  But at last it became apparent, even to the official</w:t></w:r>
</w:p>
<w:p>
<w:pPr><w:pStyle w:val="Normal"/></w:pPr>
<w:r><w:t xml:space="preserve">mind, that rapid changes were being effected in Africa,</w:t></w:r>
</w:p>
<w:p>
<w:pPr><w:pStyle w:val="Normal"/></w:pPr>
<w:r><w:t xml:space="preserve">and on the 16th of May Edward Hyde Hewett, British consul,</w:t></w:r>
</w:p>
<w:p>
<w:pPr><w:pStyle w:val="Normal"/></w:pPr>
<w:r><w:t xml:space="preserve">received instructions to return to the west coast and to make</w:t></w:r>
</w:p>
<w:p>
<w:pPr><w:pStyle w:val="Normal"/></w:pPr>
<w:r><w:t xml:space="preserve">arrangements for extending British protection over certain</w:t></w:r>
</w:p>
<w:p>
<w:pPr><w:pStyle w:val="Normal"/></w:pPr>
<w:r><w:t xml:space="preserve">regions.  He arrived too late to save either Togoland or</w:t></w:r>
</w:p>
<w:p>
<w:pPr><w:pStyle w:val="Normal"/></w:pPr>
<w:r><w:t xml:space="preserve">Cameroon, in the latter case arriving five days after King</w:t></w:r>
</w:p>
<w:p>
<w:pPr><w:pStyle w:val="Normal"/></w:pPr>
<w:r><w:t xml:space="preserve">Bell and the other chiefs on the river had signed treaties with</w:t></w:r>
</w:p>
<w:p>
<w:pPr><w:pStyle w:val="Normal"/></w:pPr>
<w:r><w:t xml:space="preserve">Nachtigal.  But the British consul was in time to secure the</w:t></w:r>
</w:p>
<w:p>
<w:pPr><w:pStyle w:val="Normal"/></w:pPr>
<w:r><w:t xml:space="preserve">delta of the river Niger and the Oil Rivers District, extending</w:t></w:r>
</w:p>
<w:p>
<w:pPr><w:pStyle w:val="Normal"/></w:pPr>
<w:r><w:t xml:space="preserve">from Rio del Rey to the Lagos frontier, where for a long</w:t></w:r>
</w:p>
<w:p>
<w:pPr><w:pStyle w:val="Normal"/></w:pPr>
<w:r><w:t xml:space="preserve">period British traders had held almost a monopoly of the trade.</w:t></w:r>
</w:p>
<w:p>
<w:pPr><w:pStyle w:val="Normal"/></w:pPr>
<w:r><w:t xml:space="preserve">Meanwhile France, too, had been busy treaty-making.  While</w:t></w:r>
</w:p>
<w:p>
<w:pPr><w:pStyle w:val="Normal"/></w:pPr>
<w:r><w:t xml:space="preserve">the British government still remained under the spell of the</w:t></w:r>
</w:p>
<w:p>
<w:pPr><w:pStyle w:val="Normal"/></w:pPr>
<w:r><w:t xml:space="preserve">French and British rivalry in West Africa.</w:t></w:r>
</w:p>
<w:p>
<w:pPr><w:pStyle w:val="Normal"/></w:pPr>
<w:r><w:t xml:space="preserve">fatal resolution of 1865, the French government was strenuously</w:t></w:r>
</w:p>
<w:p>
<w:pPr><w:pStyle w:val="Normal"/></w:pPr>
<w:r><w:t xml:space="preserve">endeavouring to extend France&apos;s influence in West Africa, in</w:t></w:r>
</w:p>
<w:p>
<w:pPr><w:pStyle w:val="Normal"/></w:pPr>
<w:r><w:t xml:space="preserve">the countries lying behind the coastline.  During the year</w:t></w:r>
</w:p>
<w:p>
<w:pPr><w:pStyle w:val="Normal"/></w:pPr>
<w:r><w:t xml:space="preserve">1884 no fewer than forty-two treaties were concluded with</w:t></w:r>
</w:p>
<w:p>
<w:pPr><w:pStyle w:val="Normal"/></w:pPr>
<w:r><w:t xml:space="preserve">native chiefs, an even larger number having been concluded</w:t></w:r>
</w:p>
<w:p>
<w:pPr><w:pStyle w:val="Normal"/></w:pPr>
<w:r><w:t xml:space="preserve">in the previous twelve months.  In this fashion France was</w:t></w:r>
</w:p>
<w:p>
<w:pPr><w:pStyle w:val="Normal"/></w:pPr>
<w:r><w:t xml:space="preserve">pushing on towards Timbuktu, in steady pursuance of the</w:t></w:r>
</w:p>
<w:p>
<w:pPr><w:pStyle w:val="Normal"/></w:pPr>
<w:r><w:t xml:space="preserve">policy which resulted in surrounding all the old British</w:t></w:r>
</w:p>
<w:p>
<w:pPr><w:pStyle w:val="Normal"/></w:pPr>
<w:r><w:t xml:space="preserve">possessions in West Africa with a continuous band of French</w:t></w:r>
</w:p>
<w:p>
<w:pPr><w:pStyle w:val="Normal"/></w:pPr>
<w:r><w:t xml:space="preserve">territory.  There was, however, one region on the west coast</w:t></w:r>
</w:p>
<w:p>
<w:pPr><w:pStyle w:val="Normal"/></w:pPr>
<w:r><w:t xml:space="preserve">where, notwithstanding the lethargy of the British government,</w:t></w:r>
</w:p>
<w:p>
<w:pPr><w:pStyle w:val="Normal"/></w:pPr>
<w:r><w:t xml:space="preserve">British interests were being vigorously pushed, protected and</w:t></w:r>
</w:p>
<w:p>
<w:pPr><w:pStyle w:val="Normal"/></w:pPr>
<w:r><w:t xml:space="preserve">consolidated.  This was on the lower Niger, and the leading</w:t></w:r>
</w:p>
<w:p>
<w:pPr><w:pStyle w:val="Normal"/></w:pPr>
<w:r><w:t xml:space="preserve">spirit in the enterprise was Mr Goldie Taubman (afterwards</w:t></w:r>
</w:p>
<w:p>
<w:pPr><w:pStyle w:val="Normal"/></w:pPr>
<w:r><w:t xml:space="preserve">Sir George Taubman Goldie).  In 1877 Sir George Goldie visited</w:t></w:r>
</w:p>
<w:p>
<w:pPr><w:pStyle w:val="Normal"/></w:pPr>
<w:r><w:t xml:space="preserve">the Niger and conceived the idea of establishing a settled</w:t></w:r>
</w:p>
<w:p>
<w:pPr><w:pStyle w:val="Normal"/></w:pPr>
<w:r><w:t xml:space="preserve">government in that region.  Through his efforts the various</w:t></w:r>
</w:p>
<w:p>
<w:pPr><w:pStyle w:val="Normal"/></w:pPr>
<w:r><w:t xml:space="preserve">trading firms on the lower Niger formed themselves in 1879</w:t></w:r>
</w:p>
<w:p>
<w:pPr><w:pStyle w:val="Normal"/></w:pPr>
<w:r><w:t xml:space="preserve">into the ``United African Company,&apos;&apos; and the foundations</w:t></w:r>
</w:p>
<w:p>
<w:pPr><w:pStyle w:val="Normal"/></w:pPr>
<w:r><w:t xml:space="preserve">were laid of something like settled administration.  An</w:t></w:r>
</w:p>
<w:p>
<w:pPr><w:pStyle w:val="Normal"/></w:pPr>
<w:r><w:t xml:space="preserve">application was made to the British government for a charter in</w:t></w:r>
</w:p>
<w:p>
<w:pPr><w:pStyle w:val="Normal"/></w:pPr>
<w:r><w:t xml:space="preserve">1881, and the capital of the company increased to a million</w:t></w:r>
</w:p>
<w:p>
<w:pPr><w:pStyle w:val="Normal"/></w:pPr>
<w:r><w:t xml:space="preserve">sterling.  Henceforth the company was known as the ``National</w:t></w:r>
</w:p>
<w:p>
<w:pPr><w:pStyle w:val="Normal"/></w:pPr>
<w:r><w:t xml:space="preserve">African Company,&apos;&apos; and it was acknowledged that its object</w:t></w:r>
</w:p>
<w:p>
<w:pPr><w:pStyle w:val="Normal"/></w:pPr>
<w:r><w:t xml:space="preserve">was not only to develop the trade of the lower Niger,</w:t></w:r>
</w:p>
<w:p>
<w:pPr><w:pStyle w:val="Normal"/></w:pPr>
<w:r><w:t xml:space="preserve">but to extend its operations to the middle reaches of the</w:t></w:r>
</w:p>
<w:p>
<w:pPr><w:pStyle w:val="Normal"/></w:pPr>
<w:r><w:t xml:space="preserve">river, and to open up direct relations with the great Fula</w:t></w:r>
</w:p>
<w:p>
<w:pPr><w:pStyle w:val="Normal"/></w:pPr>
<w:r><w:t xml:space="preserve">empire of Sokoto and the smaller states associated with</w:t></w:r>
</w:p>
<w:p>
<w:pPr><w:pStyle w:val="Normal"/></w:pPr>
<w:r><w:t xml:space="preserve">Sokoto under a somewhat loosely defined suzerainty.  The</w:t></w:r>
</w:p>
<w:p>
<w:pPr><w:pStyle w:val="Normal"/></w:pPr>
<w:r><w:t xml:space="preserve">great development of trade which followed the combination</w:t></w:r>
</w:p>
<w:p>
<w:pPr><w:pStyle w:val="Normal"/></w:pPr>
<w:r><w:t xml:space="preserve">of British interests carried out under Goldie&apos;s skilful</w:t></w:r>
</w:p>
<w:p>
<w:pPr><w:pStyle w:val="Normal"/></w:pPr>
<w:r><w:t xml:space="preserve">guidance did not pass unnoticed in France, and, encouraged by</w:t></w:r>
</w:p>
<w:p>
<w:pPr><w:pStyle w:val="Normal"/></w:pPr>
<w:r><w:t xml:space="preserve">Gambetta, French traders made a bold bid for a position on the</w:t></w:r>
</w:p>
<w:p>
<w:pPr><w:pStyle w:val="Normal"/></w:pPr>
<w:r><w:t xml:space="preserve">river.  Two French companies, with ample capital, were</w:t></w:r>
</w:p>
<w:p>
<w:pPr><w:pStyle w:val="Normal"/></w:pPr>
<w:r><w:t xml:space="preserve">formed, and various stations were established on the lower</w:t></w:r>
</w:p>
<w:p>
<w:pPr><w:pStyle w:val="Normal"/></w:pPr>
<w:r><w:t xml:space="preserve">Niger.  Goldie realized at once the seriousness of the</w:t></w:r>
</w:p>
<w:p>
<w:pPr><w:pStyle w:val="Normal"/></w:pPr>
<w:r><w:t xml:space="preserve">situation, and lost no time in declaring commercial war on the</w:t></w:r>
</w:p>
<w:p>
<w:pPr><w:pStyle w:val="Normal"/></w:pPr>
<w:r><w:t xml:space="preserve">newcomers.  His bold tactics were entirely successful, and a</w:t></w:r>
</w:p>
<w:p>
<w:pPr><w:pStyle w:val="Normal"/></w:pPr>
<w:r><w:t xml:space="preserve">few days before the meeting of the Berlin conference he had</w:t></w:r>
</w:p>
<w:p>
<w:pPr><w:pStyle w:val="Normal"/></w:pPr>
<w:r><w:t xml:space="preserve">the satisfaction of announcing that he had bought out the</w:t></w:r>
</w:p>
<w:p>
<w:pPr><w:pStyle w:val="Normal"/></w:pPr>
<w:r><w:t xml:space="preserve">whole of the French interests on the river, and that Great</w:t></w:r>
</w:p>
<w:p>
<w:pPr><w:pStyle w:val="Normal"/></w:pPr>
<w:r><w:t xml:space="preserve">Britain alone possessed any interests on the lower Niger.</w:t></w:r>
</w:p>
<w:p>
<w:pPr><w:pStyle w:val="Normal"/></w:pPr>
<w:r><w:t xml:space="preserve">To complete the survey of the political situation in Africa at</w:t></w:r>
</w:p>
<w:p>
<w:pPr><w:pStyle w:val="Normal"/></w:pPr>
<w:r><w:t xml:space="preserve">the time the plenipotentiaries met at Berlin, it is necessary to</w:t></w:r>
</w:p>
<w:p>
<w:pPr><w:pStyle w:val="Normal"/></w:pPr>
<w:r><w:t xml:space="preserve">The position in Tunisia and Egypt.</w:t></w:r>
</w:p>
<w:p>
<w:pPr><w:pStyle w:val="Normal"/></w:pPr>
<w:r><w:t xml:space="preserve">refer briefly to the course of events in North and East</w:t></w:r>
</w:p>
<w:p>
<w:pPr><w:pStyle w:val="Normal"/></w:pPr>
<w:r><w:t xml:space="preserve">Africa since 1875.  In 1881 a French army entered Tunisia,</w:t></w:r>
</w:p>
<w:p>
<w:pPr><w:pStyle w:val="Normal"/></w:pPr>
<w:r><w:t xml:space="preserve">and compelled the bey to sign a treaty placing that country</w:t></w:r>
</w:p>
<w:p>
<w:pPr><w:pStyle w:val="Normal"/></w:pPr>
<w:r><w:t xml:space="preserve">under French protection.  The sultan of Turkey formally</w:t></w:r>
</w:p>
<w:p>
<w:pPr><w:pStyle w:val="Normal"/></w:pPr>
<w:r><w:t xml:space="preserve">protested against this invasion of Ottoman rights, but the</w:t></w:r>
</w:p>
<w:p>
<w:pPr><w:pStyle w:val="Normal"/></w:pPr>
<w:r><w:t xml:space="preserve">great powers took no action, and France was left in undisturbed</w:t></w:r>
</w:p>
<w:p>
<w:pPr><w:pStyle w:val="Normal"/></w:pPr>
<w:r><w:t xml:space="preserve">possession of her newly acquired territory.  In Egypt the</w:t></w:r>
</w:p>
<w:p>
<w:pPr><w:pStyle w:val="Normal"/></w:pPr>
<w:r><w:t xml:space="preserve">extravagance of Ismail Pasha had led to the establishment in</w:t></w:r>
</w:p>
<w:p>
<w:pPr><w:pStyle w:val="Normal"/></w:pPr>
<w:r><w:t xml:space="preserve">1879, in the interests of European bondholders, of a Dual</w:t></w:r>
</w:p>
<w:p>
<w:pPr><w:pStyle w:val="Normal"/></w:pPr>
<w:r><w:t xml:space="preserve">Control exercised by France and Great Britain.  France had,</w:t></w:r>
</w:p>
<w:p>
<w:pPr><w:pStyle w:val="Normal"/></w:pPr>
<w:r><w:t xml:space="preserve">however, in 1882 refused to take part in the suppression</w:t></w:r>
</w:p>
<w:p>
<w:pPr><w:pStyle w:val="Normal"/></w:pPr>
<w:r><w:t xml:space="preserve">of a revolt under Arabi Pasha, which England accomplished</w:t></w:r>
</w:p>
<w:p>
<w:pPr><w:pStyle w:val="Normal"/></w:pPr>
<w:r><w:t xml:space="preserve">unaided.  As a consequence the Dual Control had been abolished</w:t></w:r>
</w:p>
<w:p>
<w:pPr><w:pStyle w:val="Normal"/></w:pPr>
<w:r><w:t xml:space="preserve">in January 1883, since when Great Britain, with an army</w:t></w:r>
</w:p>
<w:p>
<w:pPr><w:pStyle w:val="Normal"/></w:pPr>
<w:r><w:t xml:space="preserve">quartered in the country, had assumed a predominant position</w:t></w:r>
</w:p>
<w:p>
<w:pPr><w:pStyle w:val="Normal"/></w:pPr>
<w:r><w:t xml:space="preserve">in Egyptian affairs (see EGYPT.) In East Africa, north of</w:t></w:r>
</w:p>
<w:p>
<w:pPr><w:pStyle w:val="Normal"/></w:pPr>
<w:r><w:t xml:space="preserve">the Portuguese possessions, where the sultan of Zanzibar was</w:t></w:r>
</w:p>
<w:p>
<w:pPr><w:pStyle w:val="Normal"/></w:pPr>
<w:r><w:t xml:space="preserve">the most considerable native potentate, Germany was secretly</w:t></w:r>
</w:p>
<w:p>
<w:pPr><w:pStyle w:val="Normal"/></w:pPr>
<w:r><w:t xml:space="preserve">preparing the foundations of her present colony of German East</w:t></w:r>
</w:p>
<w:p>
<w:pPr><w:pStyle w:val="Normal"/></w:pPr>
<w:r><w:t xml:space="preserve">Africa.  But no overt act had warned Europe of what was</w:t></w:r>
</w:p>
<w:p>
<w:pPr><w:pStyle w:val="Normal"/></w:pPr>
<w:r><w:t xml:space="preserve">impending.  The story of the foundation of German East Africa</w:t></w:r>
</w:p>
<w:p>
<w:pPr><w:pStyle w:val="Normal"/></w:pPr>
<w:r><w:t xml:space="preserve">is one of the romances of the continent.  Early in 1884 the</w:t></w:r>
</w:p>
<w:p>
<w:pPr><w:pStyle w:val="Normal"/></w:pPr>
<w:r><w:t xml:space="preserve">Society for German Colonization was founded, with the avowed</w:t></w:r>
</w:p>
<w:p>
<w:pPr><w:pStyle w:val="Normal"/></w:pPr>
<w:r><w:t xml:space="preserve">object of furthering the newly awakened colonial aspirations</w:t></w:r>
</w:p>
<w:p>
<w:pPr><w:pStyle w:val="Normal"/></w:pPr>
<w:r><w:t xml:space="preserve">of the German people.12 It was a society inspired and</w:t></w:r>
</w:p>
<w:p>
<w:pPr><w:pStyle w:val="Normal"/></w:pPr>
<w:r><w:t xml:space="preserve">controlled by young men, and on the 4th of November 1884,</w:t></w:r>
</w:p>
<w:p>
<w:pPr><w:pStyle w:val="Normal"/></w:pPr>
<w:r><w:t xml:space="preserve">eleven days before the conference assembled at Berlin, three</w:t></w:r>
</w:p>
<w:p>
<w:pPr><w:pStyle w:val="Normal"/></w:pPr>
<w:r><w:t xml:space="preserve">young Germans arrived as deck passengers at Zanzibar.  They</w:t></w:r>
</w:p>
<w:p>
<w:pPr><w:pStyle w:val="Normal"/></w:pPr>
<w:r><w:t xml:space="preserve">were disguised as mechanics, but were in fact Dr Karl Peters,</w:t></w:r>
</w:p>
<w:p>
<w:pPr><w:pStyle w:val="Normal"/></w:pPr>
<w:r><w:t xml:space="preserve">the president of the Colonization Society, Joachim Count</w:t></w:r>
</w:p>
<w:p>
<w:pPr><w:pStyle w:val="Normal"/></w:pPr>
<w:r><w:t xml:space="preserve">Pfeil, and Dr Juhlke, and their stock-in-trade consisted of</w:t></w:r>
</w:p>
<w:p>
<w:pPr><w:pStyle w:val="Normal"/></w:pPr>
<w:r><w:t xml:space="preserve">a number of German flags and a supply of blank treaty forms.</w:t></w:r>
</w:p>
<w:p>
<w:pPr><w:pStyle w:val="Normal"/></w:pPr>
<w:r><w:t xml:space="preserve">They proposed to land on the mainland opposite Zanzibar, and</w:t></w:r>
</w:p>
<w:p>
<w:pPr><w:pStyle w:val="Normal"/></w:pPr>
<w:r><w:t xml:space="preserve">The German flag raised in East Africa.</w:t></w:r>
</w:p>
<w:p>
<w:pPr><w:pStyle w:val="Normal"/></w:pPr>
<w:r><w:t xml:space="preserve">to conclude treaties in the back country with native chiefs</w:t></w:r>
</w:p>
<w:p>
<w:pPr><w:pStyle w:val="Normal"/></w:pPr>
<w:r><w:t xml:space="preserve">placing their territories under German protection.  The</w:t></w:r>
</w:p>
<w:p>
<w:pPr><w:pStyle w:val="Normal"/></w:pPr>
<w:r><w:t xml:space="preserve">enterprise was frowned upon by the German government;</w:t></w:r>
</w:p>
<w:p>
<w:pPr><w:pStyle w:val="Normal"/></w:pPr>
<w:r><w:t xml:space="preserve">but, encouraged by German residents at Zanzibar, the three</w:t></w:r>
</w:p>
<w:p>
<w:pPr><w:pStyle w:val="Normal"/></w:pPr>
<w:r><w:t xml:space="preserve">young pioneers crossed to the mainland, and on the 19th of</w:t></w:r>
</w:p>
<w:p>
<w:pPr><w:pStyle w:val="Normal"/></w:pPr>
<w:r><w:t xml:space="preserve">November, while the diplomatists assembled at Berlin were</w:t></w:r>
</w:p>
<w:p>
<w:pPr><w:pStyle w:val="Normal"/></w:pPr>
<w:r><w:t xml:space="preserve">solemnly discussing the rules which were to govern the game of</w:t></w:r>
</w:p>
<w:p>
<w:pPr><w:pStyle w:val="Normal"/></w:pPr>
<w:r><w:t xml:space="preserve">partition, the first ``treaty&apos;&apos; was signed at Mbuzini, and</w:t></w:r>
</w:p>
<w:p>
<w:pPr><w:pStyle w:val="Normal"/></w:pPr>
<w:r><w:t xml:space="preserve">the German flag raised for the first time in East Africa.</w:t></w:r>
</w:p>
<w:p>
<w:pPr><w:pStyle w:val="Normal"/></w:pPr>
<w:r><w:t xml:space="preserve">Italy had also obtained a footing on the African continent</w:t></w:r>
</w:p>
<w:p>
<w:pPr><w:pStyle w:val="Normal"/></w:pPr>
<w:r><w:t xml:space="preserve">before the meeting of the Berlin conference.  The Rubattino</w:t></w:r>
</w:p>
<w:p>
<w:pPr><w:pStyle w:val="Normal"/></w:pPr>
<w:r><w:t xml:space="preserve">Steamship Company as far back as 1870 had bought the port of</w:t></w:r>
</w:p>
<w:p>
<w:pPr><w:pStyle w:val="Normal"/></w:pPr>
<w:r><w:t xml:space="preserve">Assab as a coaling station, but it was not until 1882 that</w:t></w:r>
</w:p>
<w:p>
<w:pPr><w:pStyle w:val="Normal"/></w:pPr>
<w:r><w:t xml:space="preserve">it was declared an Italian colony.  This was followed by the</w:t></w:r>
</w:p>
<w:p>
<w:pPr><w:pStyle w:val="Normal"/></w:pPr>
<w:r><w:t xml:space="preserve">conclusion of a treaty with the sultan of Assab, chief of the</w:t></w:r>
</w:p>
<w:p>
<w:pPr><w:pStyle w:val="Normal"/></w:pPr>
<w:r><w:t xml:space="preserve">Danakil, signed on the 15th of March 1883, and subsequently</w:t></w:r>
</w:p>
<w:p>
<w:pPr><w:pStyle w:val="Normal"/></w:pPr>
<w:r><w:t xml:space="preserve">approved by the king of Shoa, whereby Italy obtained the</w:t></w:r>
</w:p>
<w:p>
<w:pPr><w:pStyle w:val="Normal"/></w:pPr>
<w:r><w:t xml:space="preserve">cession of part of Ablis (Aussa) on the Red Sea, Italy</w:t></w:r>
</w:p>
<w:p>
<w:pPr><w:pStyle w:val="Normal"/></w:pPr>
<w:r><w:t xml:space="preserve">undertaking to protect with her fleet the Danakil littoral.</w:t></w:r>
</w:p>
<w:p>
<w:pPr><w:pStyle w:val="Normal"/></w:pPr>
<w:r><w:t xml:space="preserve">One other event must be recorded as happening before the</w:t></w:r>
</w:p>
<w:p>
<w:pPr><w:pStyle w:val="Normal"/></w:pPr>
<w:r><w:t xml:space="preserve">meeting of the Berlin conference.  The king of the Belgians had</w:t></w:r>
</w:p>
<w:p>
<w:pPr><w:pStyle w:val="Normal"/></w:pPr>
<w:r><w:t xml:space="preserve">Recognition of the International Association.</w:t></w:r>
</w:p>
<w:p>
<w:pPr><w:pStyle w:val="Normal"/></w:pPr>
<w:r><w:t xml:space="preserve">been driven to the conclusion that, if his African enterprise</w:t></w:r>
</w:p>
<w:p>
<w:pPr><w:pStyle w:val="Normal"/></w:pPr>
<w:r><w:t xml:space="preserve">was to obtain any measure of permanent success, its international</w:t></w:r>
</w:p>
<w:p>
<w:pPr><w:pStyle w:val="Normal"/></w:pPr>
<w:r><w:t xml:space="preserve">status must be recognized.  To this end negotiations were</w:t></w:r>
</w:p>
<w:p>
<w:pPr><w:pStyle w:val="Normal"/></w:pPr>
<w:r><w:t xml:space="preserve">opened with various governments.  The first government to</w:t></w:r>
</w:p>
<w:p>
<w:pPr><w:pStyle w:val="Normal"/></w:pPr>
<w:r><w:t xml:space="preserve">``recognize the flag of the International Association of the</w:t></w:r>
</w:p>
<w:p>
<w:pPr><w:pStyle w:val="Normal"/></w:pPr>
<w:r><w:t xml:space="preserve">Congo as the flag of a friendly government&apos;&apos; was that of the</w:t></w:r>
</w:p>
<w:p>
<w:pPr><w:pStyle w:val="Normal"/></w:pPr>
<w:r><w:t xml:space="preserve">United States, its declaration to that effect bearing date</w:t></w:r>
</w:p>
<w:p>
<w:pPr><w:pStyle w:val="Normal"/></w:pPr>
<w:r><w:t xml:space="preserve">the 22nd of April 1884.  There were, however, difficulties</w:t></w:r>
</w:p>
<w:p>
<w:pPr><w:pStyle w:val="Normal"/></w:pPr>
<w:r><w:t xml:space="preserve">in the way of obtaining the recognition of the European</w:t></w:r>
</w:p>
<w:p>
<w:pPr><w:pStyle w:val="Normal"/></w:pPr>
<w:r><w:t xml:space="preserve">powers, and in order to obtain that of France, King Leopold,</w:t></w:r>
</w:p>
<w:p>
<w:pPr><w:pStyle w:val="Normal"/></w:pPr>
<w:r><w:t xml:space="preserve">on the 23rd of April 1884, while labouring under the feelings</w:t></w:r>
</w:p>
<w:p>
<w:pPr><w:pStyle w:val="Normal"/></w:pPr>
<w:r><w:t xml:space="preserve">of annoyance which had been aroused by the Anglo-Portuguese</w:t></w:r>
</w:p>
<w:p>
<w:pPr><w:pStyle w:val="Normal"/></w:pPr>
<w:r><w:t xml:space="preserve">treaty concluded by Lord Granville in February, authorized</w:t></w:r>
</w:p>
<w:p>
<w:pPr><w:pStyle w:val="Normal"/></w:pPr>
<w:r><w:t xml:space="preserve">Colonel Strauch, president of the International Association,</w:t></w:r>
</w:p>
<w:p>
<w:pPr><w:pStyle w:val="Normal"/></w:pPr>
<w:r><w:t xml:space="preserve">to engage to give France ``the right of preference if, through</w:t></w:r>
</w:p>
<w:p>
<w:pPr><w:pStyle w:val="Normal"/></w:pPr>
<w:r><w:t xml:space="preserve">unforeseen circumstances, the Association were compelled</w:t></w:r>
</w:p>
<w:p>
<w:pPr><w:pStyle w:val="Normal"/></w:pPr>
<w:r><w:t xml:space="preserve">to sell its possessions.&apos;&apos; France&apos;s formal recognition of</w:t></w:r>
</w:p>
<w:p>
<w:pPr><w:pStyle w:val="Normal"/></w:pPr>
<w:r><w:t xml:space="preserve">the Association as a government was, however, delayed by</w:t></w:r>
</w:p>
<w:p>
<w:pPr><w:pStyle w:val="Normal"/></w:pPr>
<w:r><w:t xml:space="preserve">the discussion of boundary questions until the following</w:t></w:r>
</w:p>
<w:p>
<w:pPr><w:pStyle w:val="Normal"/></w:pPr>
<w:r><w:t xml:space="preserve">February, and in the meantime Germany, Great Britain,</w:t></w:r>
</w:p>
<w:p>
<w:pPr><w:pStyle w:val="Normal"/></w:pPr>
<w:r><w:t xml:space="preserve">Italy, Austria-Hungary, Holland and Spain had all recognized</w:t></w:r>
</w:p>
<w:p>
<w:pPr><w:pStyle w:val="Normal"/></w:pPr>
<w:r><w:t xml:space="preserve">the Association; though Germany alone had done so--on the</w:t></w:r>
</w:p>
<w:p>
<w:pPr><w:pStyle w:val="Normal"/></w:pPr>
<w:r><w:t xml:space="preserve">8th of November--before the assembling of the conference.</w:t></w:r>
</w:p>
<w:p>
<w:pPr><w:pStyle w:val="Normal"/></w:pPr>
<w:r><w:t xml:space="preserve">The conference assembled at Berlin on the 15th of November</w:t></w:r>
</w:p>
<w:p>
<w:pPr><w:pStyle w:val="Normal"/></w:pPr>
<w:r><w:t xml:space="preserve">1884, and after protracted deliberations the ``General Act of</w:t></w:r>
</w:p>
<w:p>
<w:pPr><w:pStyle w:val="Normal"/></w:pPr>
<w:r><w:t xml:space="preserve">The Berlin Conference of 1884-85.</w:t></w:r>
</w:p>
<w:p>
<w:pPr><w:pStyle w:val="Normal"/></w:pPr>
<w:r><w:t xml:space="preserve">the Berlin Conference&apos;&apos; was signed by the representatives of</w:t></w:r>
</w:p>
<w:p>
<w:pPr><w:pStyle w:val="Normal"/></w:pPr>
<w:r><w:t xml:space="preserve">all the powers attending the conference, on the 26th of February</w:t></w:r>
</w:p>
<w:p>
<w:pPr><w:pStyle w:val="Normal"/></w:pPr>
<w:r><w:t xml:space="preserve">1885.  The powers represented were Germany, Austria-Hungary,</w:t></w:r>
</w:p>
<w:p>
<w:pPr><w:pStyle w:val="Normal"/></w:pPr>
<w:r><w:t xml:space="preserve">Belgium, Denmark, Spain, the United States, France, Great</w:t></w:r>
</w:p>
<w:p>
<w:pPr><w:pStyle w:val="Normal"/></w:pPr>
<w:r><w:t xml:space="preserve">Britain, Italy, Holland, Portugal, Russia, Sweden and</w:t></w:r>
</w:p>
<w:p>
<w:pPr><w:pStyle w:val="Normal"/></w:pPr>
<w:r><w:t xml:space="preserve">Norway, and Turkey, to name them in the alphabetical order</w:t></w:r>
</w:p>
<w:p>
<w:pPr><w:pStyle w:val="Normal"/></w:pPr>
<w:r><w:t xml:space="preserve">adopted in the preamble to the French text of the General</w:t></w:r>
</w:p>
<w:p>
<w:pPr><w:pStyle w:val="Normal"/></w:pPr>
<w:r><w:t xml:space="preserve">Act. Ratifications were deposited by all the signatory powers</w:t></w:r>
</w:p>
<w:p>
<w:pPr><w:pStyle w:val="Normal"/></w:pPr>
<w:r><w:t xml:space="preserve">with the exception of the United States.  It is unnecessary</w:t></w:r>
</w:p>
<w:p>
<w:pPr><w:pStyle w:val="Normal"/></w:pPr>
<w:r><w:t xml:space="preserve">to examine in detail the results of the labours of the</w:t></w:r>
</w:p>
<w:p>
<w:pPr><w:pStyle w:val="Normal"/></w:pPr>
<w:r><w:t xml:space="preserve">conference.  The General Act dealt with six specific subjects:</w:t></w:r>
</w:p>
<w:p>
<w:pPr><w:pStyle w:val="Normal"/></w:pPr>
<w:r><w:t xml:space="preserve">(1) freedom of trade in the basin of the Congo, (2) the slave</w:t></w:r>
</w:p>
<w:p>
<w:pPr><w:pStyle w:val="Normal"/></w:pPr>
<w:r><w:t xml:space="preserve">trade, (3) neutrality of territories in the basin of the Congo,</w:t></w:r>
</w:p>
<w:p>
<w:pPr><w:pStyle w:val="Normal"/></w:pPr>
<w:r><w:t xml:space="preserve">(4) navigation of the Congo, (5) navigation of the Niger,</w:t></w:r>
</w:p>
<w:p>
<w:pPr><w:pStyle w:val="Normal"/></w:pPr>
<w:r><w:t xml:space="preserve">(6) rules for future occupation on the coasts of the African</w:t></w:r>
</w:p>
<w:p>
<w:pPr><w:pStyle w:val="Normal"/></w:pPr>
<w:r><w:t xml:space="preserve">continent.  It will be seen that the act dealt with other</w:t></w:r>
</w:p>
<w:p>
<w:pPr><w:pStyle w:val="Normal"/></w:pPr>
<w:r><w:t xml:space="preserve">matters than the political partition of Africa; but, so far as</w:t></w:r>
</w:p>
<w:p>
<w:pPr><w:pStyle w:val="Normal"/></w:pPr>
<w:r><w:t xml:space="preserve">they concern the present purpose, the results effected by the</w:t></w:r>
</w:p>
<w:p>
<w:pPr><w:pStyle w:val="Normal"/></w:pPr>
<w:r><w:t xml:space="preserve">Berlin Act may be summed up as follows.  The signatory powers</w:t></w:r>
</w:p>
<w:p>
<w:pPr><w:pStyle w:val="Normal"/></w:pPr>
<w:r><w:t xml:space="preserve">undertook that any fresh act of taking possession on any portion</w:t></w:r>
</w:p>
<w:p>
<w:pPr><w:pStyle w:val="Normal"/></w:pPr>
<w:r><w:t xml:space="preserve">of the African coast must be notified by the power taking</w:t></w:r>
</w:p>
<w:p>
<w:pPr><w:pStyle w:val="Normal"/></w:pPr>
<w:r><w:t xml:space="preserve">possession, or assuming a protectorate, to the other signatory</w:t></w:r>
</w:p>
<w:p>
<w:pPr><w:pStyle w:val="Normal"/></w:pPr>
<w:r><w:t xml:space="preserve">powers.  It was further provided that any such occupation to be</w:t></w:r>
</w:p>
<w:p>
<w:pPr><w:pStyle w:val="Normal"/></w:pPr>
<w:r><w:t xml:space="preserve">valid must be effective.  It is also noteworthy that the first</w:t></w:r>
</w:p>
<w:p>
<w:pPr><w:pStyle w:val="Normal"/></w:pPr>
<w:r><w:t xml:space="preserve">reference in an international act to the obligations attaching</w:t></w:r>
</w:p>
<w:p>
<w:pPr><w:pStyle w:val="Normal"/></w:pPr>
<w:r><w:t xml:space="preserve">to ``spheres of influence&apos;&apos; is contained in the Berlin Act.</w:t></w:r>
</w:p>
<w:p>
<w:pPr><w:pStyle w:val="Normal"/></w:pPr>
<w:r><w:t xml:space="preserve">It will be remembered that when the conference assembled,</w:t></w:r>
</w:p>
<w:p>
<w:pPr><w:pStyle w:val="Normal"/></w:pPr>
<w:r><w:t xml:space="preserve">the International Association of the Congo had only been</w:t></w:r>
</w:p>
<w:p>
<w:pPr><w:pStyle w:val="Normal"/></w:pPr>
<w:r><w:t xml:space="preserve">Constitution of the Congo State.</w:t></w:r>
</w:p>
<w:p>
<w:pPr><w:pStyle w:val="Normal"/></w:pPr>
<w:r><w:t xml:space="preserve">recognized as a sovereign state by the United States and</w:t></w:r>
</w:p>
<w:p>
<w:pPr><w:pStyle w:val="Normal"/></w:pPr>
<w:r><w:t xml:space="preserve">Germany.  But King Leopold and his agents had taken full</w:t></w:r>
</w:p>
<w:p>
<w:pPr><w:pStyle w:val="Normal"/></w:pPr>
<w:r><w:t xml:space="preserve">advantage of the opportunity which the conference afforded,</w:t></w:r>
</w:p>
<w:p>
<w:pPr><w:pStyle w:val="Normal"/></w:pPr>
<w:r><w:t xml:space="preserve">and before the General Act was signed the Association had</w:t></w:r>
</w:p>
<w:p>
<w:pPr><w:pStyle w:val="Normal"/></w:pPr>
<w:r><w:t xml:space="preserve">been recognized by all the signatory powers, with the not</w:t></w:r>
</w:p>
<w:p>
<w:pPr><w:pStyle w:val="Normal"/></w:pPr>
<w:r><w:t xml:space="preserve">very important exception of Turkey, and the fact communicated</w:t></w:r>
</w:p>
<w:p>
<w:pPr><w:pStyle w:val="Normal"/></w:pPr>
<w:r><w:t xml:space="preserve">to the conference by Colonel Strauch.  It was not, however,</w:t></w:r>
</w:p>
<w:p>
<w:pPr><w:pStyle w:val="Normal"/></w:pPr>
<w:r><w:t xml:space="preserve">until two months later, in April 1885, that King Leopold,</w:t></w:r>
</w:p>
<w:p>
<w:pPr><w:pStyle w:val="Normal"/></w:pPr>
<w:r><w:t xml:space="preserve">with the sanction of the Belgian legislature, formally assumed</w:t></w:r>
</w:p>
<w:p>
<w:pPr><w:pStyle w:val="Normal"/></w:pPr>
<w:r><w:t xml:space="preserve">the headship of the new state; and on the 1st of August</w:t></w:r>
</w:p>
<w:p>
<w:pPr><w:pStyle w:val="Normal"/></w:pPr>
<w:r><w:t xml:space="preserve">in the same year His Majesty notified the powers that from</w:t></w:r>
</w:p>
<w:p>
<w:pPr><w:pStyle w:val="Normal"/></w:pPr>
<w:r><w:t xml:space="preserve">that date the ``Independent State of the Congo&apos;&apos; declared</w:t></w:r>
</w:p>
<w:p>
<w:pPr><w:pStyle w:val="Normal"/></w:pPr>
<w:r><w:t xml:space="preserve">that ``it shall be perpetually neutral&apos;&apos; in conformity</w:t></w:r>
</w:p>
<w:p>
<w:pPr><w:pStyle w:val="Normal"/></w:pPr>
<w:r><w:t xml:space="preserve">with the provisions of the Berlin Act. Thus was finally</w:t></w:r>
</w:p>
<w:p>
<w:pPr><w:pStyle w:val="Normal"/></w:pPr>
<w:r><w:t xml:space="preserve">constituted the Congo Free State, under the sovereignty of</w:t></w:r>
</w:p>
<w:p>
<w:pPr><w:pStyle w:val="Normal"/></w:pPr>
<w:r><w:t xml:space="preserve">King Leopold, though the boundaries claimed for it at that</w:t></w:r>
</w:p>
<w:p>
<w:pPr><w:pStyle w:val="Normal"/></w:pPr>
<w:r><w:t xml:space="preserve">time were considerably modified by subsequent agreements.</w:t></w:r>
</w:p>
<w:p>
<w:pPr><w:pStyle w:val="Normal"/></w:pPr>
<w:r><w:t xml:space="preserve">From 1885 the scramble among the powers went on with renewed</w:t></w:r>
</w:p>
<w:p>
<w:pPr><w:pStyle w:val="Normal"/></w:pPr>
<w:r><w:t xml:space="preserve">vigour, and in the fifteen years that remained of the</w:t></w:r>
</w:p>
<w:p>
<w:pPr><w:pStyle w:val="Normal"/></w:pPr>
<w:r><w:t xml:space="preserve">The chief partition treaties.</w:t></w:r>
</w:p>
<w:p>
<w:pPr><w:pStyle w:val="Normal"/></w:pPr>
<w:r><w:t xml:space="preserve">century the work of partition, so far as international</w:t></w:r>
</w:p>
<w:p>
<w:pPr><w:pStyle w:val="Normal"/></w:pPr>
<w:r><w:t xml:space="preserve">agreements were concerned, was practically completed.  To</w:t></w:r>
</w:p>
<w:p>
<w:pPr><w:pStyle w:val="Normal"/></w:pPr>
<w:r><w:t xml:space="preserve">attempt to follow the process of acquisition year by year</w:t></w:r>
</w:p>
<w:p>
<w:pPr><w:pStyle w:val="Normal"/></w:pPr>
<w:r><w:t xml:space="preserve">would involve a constant shifting of attention from one part</w:t></w:r>
</w:p>
<w:p>
<w:pPr><w:pStyle w:val="Normal"/></w:pPr>
<w:r><w:t xml:space="preserve">of the continent to another, inasmuch as the scramble was</w:t></w:r>
</w:p>
<w:p>
<w:pPr><w:pStyle w:val="Normal"/></w:pPr>
<w:r><w:t xml:space="preserve">proceeding simultaneously all over Africa.  It will therefore</w:t></w:r>
</w:p>
<w:p>
<w:pPr><w:pStyle w:val="Normal"/></w:pPr>
<w:r><w:t xml:space="preserve">be the most convenient plan to deal with the continent in</w:t></w:r>
</w:p>
<w:p>
<w:pPr><w:pStyle w:val="Normal"/></w:pPr>
<w:r><w:t xml:space="preserve">sections.  Before doing so, however, the international</w:t></w:r>
</w:p>
<w:p>
<w:pPr><w:pStyle w:val="Normal"/></w:pPr>
<w:r><w:t xml:space="preserve">agreements which determined in the main the limits of the</w:t></w:r>
</w:p>
<w:p>
<w:pPr><w:pStyle w:val="Normal"/></w:pPr>
<w:r><w:t xml:space="preserve">possessions of the various powers may be set forth.  They</w:t></w:r>
</w:p>
<w:p>
<w:pPr><w:pStyle w:val="Normal"/></w:pPr>
<w:r><w:t xml:space="preserve">are:-- I. The agreement of the 1st of July 1890 between Great</w:t></w:r>
</w:p>
<w:p>
<w:pPr><w:pStyle w:val="Normal"/></w:pPr>
<w:r><w:t xml:space="preserve">Britain and Germany defining their spheres of influence in</w:t></w:r>
</w:p>
<w:p>
<w:pPr><w:pStyle w:val="Normal"/></w:pPr>
<w:r><w:t xml:space="preserve">East, West and South-West Africa.  This agreement was the</w:t></w:r>
</w:p>
<w:p>
<w:pPr><w:pStyle w:val="Normal"/></w:pPr>
<w:r><w:t xml:space="preserve">most comprehensive of all the ``deals&apos;&apos; in African territory,</w:t></w:r>
</w:p>
<w:p>
<w:pPr><w:pStyle w:val="Normal"/></w:pPr>
<w:r><w:t xml:space="preserve">and included in return for the recognition of a British</w:t></w:r>
</w:p>
<w:p>
<w:pPr><w:pStyle w:val="Normal"/></w:pPr>
<w:r><w:t xml:space="preserve">protectorate over Zanzibar the cession of Heligoland to Germany.</w:t></w:r>
</w:p>
<w:p>
<w:pPr><w:pStyle w:val="Heading1"/></w:pPr>
<w:r><w:t>II. The Anglo-French declaration of the 5th of August 1890, which</w:t></w:r>
</w:p>
<w:p>
<w:pPr><w:pStyle w:val="Normal"/></w:pPr>
<w:r><w:t xml:space="preserve">recognized a French protectorate over Madagascar, French influence</w:t></w:r>
</w:p>
<w:p>
<w:pPr><w:pStyle w:val="Normal"/></w:pPr>
<w:r><w:t xml:space="preserve">in the Sahara, and British influence between the Niger and Lake Chad.</w:t></w:r>
</w:p>
<w:p>
<w:pPr><w:pStyle w:val="Heading1"/></w:pPr>
<w:r><w:t>III. The Anglo-Portuguese treaty of the 11th of June</w:t></w:r>
</w:p>
<w:p>
<w:pPr><w:pStyle w:val="Normal"/></w:pPr>
<w:r><w:t xml:space="preserve">1891, whereby the Portuguese possessions on the west</w:t></w:r>
</w:p>
<w:p>
<w:pPr><w:pStyle w:val="Normal"/></w:pPr>
<w:r><w:t xml:space="preserve">and east coasts were separated by a broad belt of</w:t></w:r>
</w:p>
<w:p>
<w:pPr><w:pStyle w:val="Normal"/></w:pPr>
<w:r><w:t xml:space="preserve">British territory, extending north to Lake Tanganyika.</w:t></w:r>
</w:p>
<w:p>
<w:pPr><w:pStyle w:val="Heading1"/></w:pPr>
<w:r><w:t>IV. The Franco-German convention of the 15th of March 1894, by</w:t></w:r>
</w:p>
<w:p>
<w:pPr><w:pStyle w:val="Normal"/></w:pPr>
<w:r><w:t xml:space="preserve">which the Central Sudan was left to France (this region by an</w:t></w:r>
</w:p>
<w:p>
<w:pPr><w:pStyle w:val="Normal"/></w:pPr>
<w:r><w:t xml:space="preserve">Anglo-German agreement of the 15th of November 1893 having been</w:t></w:r>
</w:p>
<w:p>
<w:pPr><w:pStyle w:val="Normal"/></w:pPr>
<w:r><w:t xml:space="preserve">recognized as in the German sphere).  By this convention France</w:t></w:r>
</w:p>
<w:p>
<w:pPr><w:pStyle w:val="Normal"/></w:pPr>
<w:r><w:t xml:space="preserve">was able to effect a territorial )unction of her possessions</w:t></w:r>
</w:p>
<w:p>
<w:pPr><w:pStyle w:val="Normal"/></w:pPr>
<w:r><w:t xml:space="preserve">in North and West Africa with those in the Congo region.</w:t></w:r>
</w:p>
<w:p>
<w:pPr><w:pStyle w:val="Heading1"/></w:pPr>
<w:r><w:t>V. Protocols of the 24th of March and the 15th of April 1891,</w:t></w:r>
</w:p>
<w:p>
<w:pPr><w:pStyle w:val="Normal"/></w:pPr>
<w:r><w:t xml:space="preserve">for the demarcation of the Anglo-Italian spheres in East Africa.</w:t></w:r>
</w:p>
<w:p>
<w:pPr><w:pStyle w:val="Heading1"/></w:pPr>
<w:r><w:t>VI. The Anglo-French convention of the 14th of June 1898,</w:t></w:r>
</w:p>
<w:p>
<w:pPr><w:pStyle w:val="Normal"/></w:pPr>
<w:r><w:t xml:space="preserve">for the delimitation of the possessions of the two countries</w:t></w:r>
</w:p>
<w:p>
<w:pPr><w:pStyle w:val="Normal"/></w:pPr>
<w:r><w:t xml:space="preserve">west of Lake Chad, with the supplementary declaration</w:t></w:r>
</w:p>
<w:p>
<w:pPr><w:pStyle w:val="Normal"/></w:pPr>
<w:r><w:t xml:space="preserve">of the 21st of March 1899 whereby France recognized the</w:t></w:r>
</w:p>
<w:p>
<w:pPr><w:pStyle w:val="Normal"/></w:pPr>
<w:r><w:t xml:space="preserve">upper Nile valley as in the British sphere of influence.</w:t></w:r>
</w:p>
<w:p>
<w:pPr><w:pStyle w:val="Normal"/></w:pPr>
<w:r><w:t xml:space="preserve">Coming now to a more detailed consideration of the operations</w:t></w:r>
</w:p>
<w:p>
<w:pPr><w:pStyle w:val="Normal"/></w:pPr>
<w:r><w:t xml:space="preserve">of the powers, the growth of the Congo Free State, which</w:t></w:r>
</w:p>
<w:p>
<w:pPr><w:pStyle w:val="Normal"/></w:pPr>
<w:r><w:t xml:space="preserve">The growth of the Congo State.</w:t></w:r>
</w:p>
<w:p>
<w:pPr><w:pStyle w:val="Normal"/></w:pPr>
<w:r><w:t xml:space="preserve">occupied, geographically, a central position, may serve as the</w:t></w:r>
</w:p>
<w:p>
<w:pPr><w:pStyle w:val="Normal"/></w:pPr>
<w:r><w:t xml:space="preserve">starting-point for the story of the partition after the Berlin</w:t></w:r>
</w:p>
<w:p>
<w:pPr><w:pStyle w:val="Normal"/></w:pPr>
<w:r><w:t xml:space="preserve">conference.  In the notification to the powers of the 1st of</w:t></w:r>
</w:p>
<w:p>
<w:pPr><w:pStyle w:val="Normal"/></w:pPr>
<w:r><w:t xml:space="preserve">August 1885, the boundaries of the Free State were set out in</w:t></w:r>
</w:p>
<w:p>
<w:pPr><w:pStyle w:val="Normal"/></w:pPr>
<w:r><w:t xml:space="preserve">considerable detail.  The limits thus determined resulted partly</w:t></w:r>
</w:p>
<w:p>
<w:pPr><w:pStyle w:val="Normal"/></w:pPr>
<w:r><w:t xml:space="preserve">from agreements made with France, Germany and Portugal, and</w:t></w:r>
</w:p>
<w:p>
<w:pPr><w:pStyle w:val="Normal"/></w:pPr>
<w:r><w:t xml:space="preserve">partly from treaties with native chiefs.  The state acquired</w:t></w:r>
</w:p>
<w:p>
<w:pPr><w:pStyle w:val="Normal"/></w:pPr>
<w:r><w:t xml:space="preserve">the north bank of the Congo from its mouth to a point in the</w:t></w:r>
</w:p>
<w:p>
<w:pPr><w:pStyle w:val="Normal"/></w:pPr>
<w:r><w:t xml:space="preserve">unnavigable reaches, and in the interior the major part of</w:t></w:r>
</w:p>
<w:p>
<w:pPr><w:pStyle w:val="Normal"/></w:pPr>
<w:r><w:t xml:space="preserve">the Congo basin.  In the north-east the northern limit was 4 deg.</w:t></w:r>
</w:p>
<w:p>
<w:pPr><w:pStyle w:val="Normal"/></w:pPr>
<w:r><w:t xml:space="preserve">N. up to 30 deg.  E., which formed the eastern boundary of, the</w:t></w:r>
</w:p>
<w:p>
<w:pPr><w:pStyle w:val="Normal"/></w:pPr>
<w:r><w:t xml:space="preserve">state.  The south-eastern frontier claimed by King Leopold</w:t></w:r>
</w:p>
<w:p>
<w:pPr><w:pStyle w:val="Normal"/></w:pPr>
<w:r><w:t xml:space="preserve">extended to Lakes Tanganyika, Mweru and Bangweulu, but it</w:t></w:r>
</w:p>
<w:p>
<w:pPr><w:pStyle w:val="Normal"/></w:pPr>
<w:r><w:t xml:space="preserve">was not until some years later that it was recognized and</w:t></w:r>
</w:p>
<w:p>
<w:pPr><w:pStyle w:val="Normal"/></w:pPr>
<w:r><w:t xml:space="preserve">defined by the agreement of May 1894 with Great Britain.</w:t></w:r>
</w:p>
<w:p>
<w:pPr><w:pStyle w:val="Normal"/></w:pPr>
<w:r><w:t xml:space="preserve">The international character of King Leopold&apos;s enterprise had</w:t></w:r>
</w:p>
<w:p>
<w:pPr><w:pStyle w:val="Normal"/></w:pPr>
<w:r><w:t xml:space="preserve">not long been maintained, and his recognition as sovereign</w:t></w:r>
</w:p>
<w:p>
<w:pPr><w:pStyle w:val="Normal"/></w:pPr>
<w:r><w:t xml:space="preserve">of the Free State confirmed the distinctive character</w:t></w:r>
</w:p>
<w:p>
<w:pPr><w:pStyle w:val="Normal"/></w:pPr>
<w:r><w:t xml:space="preserve">which the Association had assumed, even before that event.</w:t></w:r>
</w:p>
<w:p>
<w:pPr><w:pStyle w:val="Normal"/></w:pPr>
<w:r><w:t xml:space="preserve">In April 1887 France was informed that the right of pre-emption</w:t></w:r>
</w:p>
<w:p>
<w:pPr><w:pStyle w:val="Normal"/></w:pPr>
<w:r><w:t xml:space="preserve">accorded to her in 1884 had not been intended by King Leopold</w:t></w:r>
</w:p>
<w:p>
<w:pPr><w:pStyle w:val="Normal"/></w:pPr>
<w:r><w:t xml:space="preserve">to prejudice Belgium&apos;s right to acquire the Congo State,</w:t></w:r>
</w:p>
<w:p>
<w:pPr><w:pStyle w:val="Normal"/></w:pPr>
<w:r><w:t xml:space="preserve">and in reply the French minister at Brussels took note of</w:t></w:r>
</w:p>
<w:p>
<w:pPr><w:pStyle w:val="Normal"/></w:pPr>
<w:r><w:t xml:space="preserve">the explanation, ``in so far as this interpretation is not</w:t></w:r>
</w:p>
<w:p>
<w:pPr><w:pStyle w:val="Normal"/></w:pPr>
<w:r><w:t xml:space="preserve">contrary to pre-existing international engagements.&apos;&apos; By his</w:t></w:r>
</w:p>
<w:p>
<w:pPr><w:pStyle w:val="Normal"/></w:pPr>
<w:r><w:t xml:space="preserve">will, dated the 2nd of August 1889, King Leopold made Belgium</w:t></w:r>
</w:p>
<w:p>
<w:pPr><w:pStyle w:val="Normal"/></w:pPr>
<w:r><w:t xml:space="preserve">formally heir to the sovereign rights of the Congo Free</w:t></w:r>
</w:p>
<w:p>
<w:pPr><w:pStyle w:val="Normal"/></w:pPr>
<w:r><w:t xml:space="preserve">State.  In 1895 an annexation bill was introduced into the</w:t></w:r>
</w:p>
<w:p>
<w:pPr><w:pStyle w:val="Normal"/></w:pPr>
<w:r><w:t xml:space="preserve">Belgian parliament, but at that time Belgium had no desire to</w:t></w:r>
</w:p>
<w:p>
<w:pPr><w:pStyle w:val="Normal"/></w:pPr>
<w:r><w:t xml:space="preserve">assume responsibility for the Congo State, and the bill was</w:t></w:r>
</w:p>
<w:p>
<w:pPr><w:pStyle w:val="Normal"/></w:pPr>
<w:r><w:t xml:space="preserve">withdrawn.  In 1901, by the terms of a loan granted in</w:t></w:r>
</w:p>
<w:p>
<w:pPr><w:pStyle w:val="Normal"/></w:pPr>
<w:r><w:t xml:space="preserve">1890, Belgium had again an opportunity of annexing the Congo</w:t></w:r>
</w:p>
<w:p>
<w:pPr><w:pStyle w:val="Normal"/></w:pPr>
<w:r><w:t xml:space="preserve">State, but a bill in favour of annexation was opposed by the</w:t></w:r>
</w:p>
<w:p>
<w:pPr><w:pStyle w:val="Normal"/></w:pPr>
<w:r><w:t xml:space="preserve">government and was withdrawn after King Leopold had declared</w:t></w:r>
</w:p>
<w:p>
<w:pPr><w:pStyle w:val="Normal"/></w:pPr>
<w:r><w:t xml:space="preserve">that the time was not ripe for the transfer.  Concessionaire</w:t></w:r>
</w:p>
<w:p>
<w:pPr><w:pStyle w:val="Normal"/></w:pPr>
<w:r><w:t xml:space="preserve">companies and a Domaine de la Couronne had been created</w:t></w:r>
</w:p>
<w:p>
<w:pPr><w:pStyle w:val="Normal"/></w:pPr>
<w:r><w:t xml:space="preserve">in the state, from which the sovereign derived considerable</w:t></w:r>
</w:p>
<w:p>
<w:pPr><w:pStyle w:val="Normal"/></w:pPr>
<w:r><w:t xml:space="preserve">revenues--facts which helped to explain the altered attitude</w:t></w:r>
</w:p>
<w:p>
<w:pPr><w:pStyle w:val="Normal"/></w:pPr>
<w:r><w:t xml:space="preserve">of Leopold II. The agitation in Great Britain and America</w:t></w:r>
</w:p>
<w:p>
<w:pPr><w:pStyle w:val="Normal"/></w:pPr>
<w:r><w:t xml:space="preserve">against the Congo system of government, and the admissions of an</w:t></w:r>
</w:p>
<w:p>
<w:pPr><w:pStyle w:val="Normal"/></w:pPr>
<w:r><w:t xml:space="preserve">official commission of inquiry concerning its maladministration,</w:t></w:r>
</w:p>
<w:p>
<w:pPr><w:pStyle w:val="Normal"/></w:pPr>
<w:r><w:t xml:space="preserve">strengthened, however, the movement in favour of transfer.</w:t></w:r>
</w:p>
<w:p>
<w:pPr><w:pStyle w:val="Normal"/></w:pPr>
<w:r><w:t xml:space="preserve">Nevertheless in June 1906 the king again declared himself</w:t></w:r>
</w:p>
<w:p>
<w:pPr><w:pStyle w:val="Normal"/></w:pPr>
<w:r><w:t xml:space="preserve">opposed to immediate annexation.  But under pressure of public</w:t></w:r>
</w:p>
<w:p>
<w:pPr><w:pStyle w:val="Normal"/></w:pPr>
<w:r><w:t xml:space="preserve">opinion the Congo government concluded, 28th of November</w:t></w:r>
</w:p>
<w:p>
<w:pPr><w:pStyle w:val="Normal"/></w:pPr>
<w:r><w:t xml:space="preserve">1907, a new annexation treaty.  As it stipulated for the</w:t></w:r>
</w:p>
<w:p>
<w:pPr><w:pStyle w:val="Normal"/></w:pPr>
<w:r><w:t xml:space="preserve">continued existence of the crown domain the treaty provoked</w:t></w:r>
</w:p>
<w:p>
<w:pPr><w:pStyle w:val="Normal"/></w:pPr>
<w:r><w:t xml:space="preserve">vehement opposition.  Leopold II. was forced to yield, and</w:t></w:r>
</w:p>
<w:p>
<w:pPr><w:pStyle w:val="Normal"/></w:pPr>
<w:r><w:t xml:space="preserve">an additional act was signed, 5th of March 1908, providing</w:t></w:r>
</w:p>
<w:p>
<w:pPr><w:pStyle w:val="Normal"/></w:pPr>
<w:r><w:t xml:space="preserve">for the suppression of the domain in return for financial</w:t></w:r>
</w:p>
<w:p>
<w:pPr><w:pStyle w:val="Normal"/></w:pPr>
<w:r><w:t xml:space="preserve">subsidies.  The treaty, as amended, was approved by the</w:t></w:r>
</w:p>
<w:p>
<w:pPr><w:pStyle w:val="Normal"/></w:pPr>
<w:r><w:t xml:space="preserve">Belgian parliament in the session of 1908.  Thus the Congo</w:t></w:r>
</w:p>
<w:p>
<w:pPr><w:pStyle w:val="Normal"/></w:pPr>
<w:r><w:t xml:space="preserve">state, after an existence of 24 years as an independent</w:t></w:r>
</w:p>
<w:p>
<w:pPr><w:pStyle w:val="Normal"/></w:pPr>
<w:r><w:t xml:space="preserve">power, became a Belgian colony. (See CONGO FREE STATE.)</w:t></w:r>
</w:p>
<w:p>
<w:pPr><w:pStyle w:val="Normal"/></w:pPr>
<w:r><w:t xml:space="preserve">The area of the Free State, vast as it was, did not suffice to</w:t></w:r>
</w:p>
<w:p>
<w:pPr><w:pStyle w:val="Normal"/></w:pPr>
<w:r><w:t xml:space="preserve">satisfy the ambition of its sovereign.  King Leopold maintained</w:t></w:r>
</w:p>
<w:p>
<w:pPr><w:pStyle w:val="Normal"/></w:pPr>
<w:r><w:t xml:space="preserve">that the Free State enjoyed equally with any other state the</w:t></w:r>
</w:p>
<w:p>
<w:pPr><w:pStyle w:val="Normal"/></w:pPr>
<w:r><w:t xml:space="preserve">right to extend its frontiers.  His ambition involved the</w:t></w:r>
</w:p>
<w:p>
<w:pPr><w:pStyle w:val="Normal"/></w:pPr>
<w:r><w:t xml:space="preserve">state in the struggle between Great Britain and France for</w:t></w:r>
</w:p>
<w:p>
<w:pPr><w:pStyle w:val="Normal"/></w:pPr>
<w:r><w:t xml:space="preserve">the upper Nile.  To understand the situation it is necessary</w:t></w:r>
</w:p>
<w:p>
<w:pPr><w:pStyle w:val="Normal"/></w:pPr>
<w:r><w:t xml:space="preserve">to remember the condition of the Egyptian Sudan at that</w:t></w:r>
</w:p>
<w:p>
<w:pPr><w:pStyle w:val="Normal"/></w:pPr>
<w:r><w:t xml:space="preserve">time.  The mahdi, Mahommed Ahmed, had preached a holy war</w:t></w:r>
</w:p>
<w:p>
<w:pPr><w:pStyle w:val="Normal"/></w:pPr>
<w:r><w:t xml:space="preserve">against the Egyptians, and, after the capture of Khartum and</w:t></w:r>
</w:p>
<w:p>
<w:pPr><w:pStyle w:val="Normal"/></w:pPr>
<w:r><w:t xml:space="preserve">the death of General C. G. Gordon, the Sudan was abandoned</w:t></w:r>
</w:p>
<w:p>
<w:pPr><w:pStyle w:val="Normal"/></w:pPr>
<w:r><w:t xml:space="preserve">to the dervishes.  The Egyptian frontier was withdrawn to</w:t></w:r>
</w:p>
<w:p>
<w:pPr><w:pStyle w:val="Normal"/></w:pPr>
<w:r><w:t xml:space="preserve">Wadi Haifa, and the vast provinces of Kordofan, Darfur and</w:t></w:r>
</w:p>
<w:p>
<w:pPr><w:pStyle w:val="Normal"/></w:pPr>
<w:r><w:t xml:space="preserve">the Bahr-el-Ghazal were given over to dervish tyranny and</w:t></w:r>
</w:p>
<w:p>
<w:pPr><w:pStyle w:val="Normal"/></w:pPr>
<w:r><w:t xml:space="preserve">misrule.  It was obvious that Egypt would sooner or later</w:t></w:r>
</w:p>
<w:p>
<w:pPr><w:pStyle w:val="Normal"/></w:pPr>
<w:r><w:t xml:space="preserve">seek to recover her position in the Sudan, as the command of</w:t></w:r>
</w:p>
<w:p>
<w:pPr><w:pStyle w:val="Normal"/></w:pPr>
<w:r><w:t xml:space="preserve">the upper Nile was recognized as essential to her continued</w:t></w:r>
</w:p>
<w:p>
<w:pPr><w:pStyle w:val="Normal"/></w:pPr>
<w:r><w:t xml:space="preserve">prosperity.  But the international position of the abandoned</w:t></w:r>
</w:p>
<w:p>
<w:pPr><w:pStyle w:val="Normal"/></w:pPr>
<w:r><w:t xml:space="preserve">provinces was by no means clear.  The British government,</w:t></w:r>
</w:p>
<w:p>
<w:pPr><w:pStyle w:val="Normal"/></w:pPr>
<w:r><w:t xml:space="preserve">by the Anglo-German agreement of July 1890, had secured the</w:t></w:r>
</w:p>
<w:p>
<w:pPr><w:pStyle w:val="Normal"/></w:pPr>
<w:r><w:t xml:space="preserve">assent of Germany to the statement that the British sphere</w:t></w:r>
</w:p>
<w:p>
<w:pPr><w:pStyle w:val="Normal"/></w:pPr>
<w:r><w:t xml:space="preserve">of influence in East Africa was bounded on the west by the</w:t></w:r>
</w:p>
<w:p>
<w:pPr><w:pStyle w:val="Normal"/></w:pPr>
<w:r><w:t xml:space="preserve">Congo Free State and by ``the western watershed of the basin</w:t></w:r>
</w:p>
<w:p>
<w:pPr><w:pStyle w:val="Normal"/></w:pPr>
<w:r><w:t xml:space="preserve">of the upper Nile&apos;&apos;; but this claim was not recognized either</w:t></w:r>
</w:p>
<w:p>
<w:pPr><w:pStyle w:val="Normal"/></w:pPr>
<w:r><w:t xml:space="preserve">by France or by the Congo Free State.  From her base on the</w:t></w:r>
</w:p>
<w:p>
<w:pPr><w:pStyle w:val="Normal"/></w:pPr>
<w:r><w:t xml:space="preserve">Congo, France was busily engaged pushing forward along the</w:t></w:r>
</w:p>
<w:p>
<w:pPr><w:pStyle w:val="Normal"/></w:pPr>
<w:r><w:t xml:space="preserve">northern tributaries of the great river.  On the 27th of April</w:t></w:r>
</w:p>
<w:p>
<w:pPr><w:pStyle w:val="Normal"/></w:pPr>
<w:r><w:t xml:space="preserve">1887 an agreement was signed with the Congo Free State by</w:t></w:r>
</w:p>
<w:p>
<w:pPr><w:pStyle w:val="Normal"/></w:pPr>
<w:r><w:t xml:space="preserve">which the right bank of the Ubangi river was secured to French</w:t></w:r>
</w:p>
<w:p>
<w:pPr><w:pStyle w:val="Normal"/></w:pPr>
<w:r><w:t xml:space="preserve">influence, and the left bank to the Congo Free State.  The</w:t></w:r>
</w:p>
<w:p>
<w:pPr><w:pStyle w:val="Normal"/></w:pPr>
<w:r><w:t xml:space="preserve">desire of France to secure a footing in the upper Nile valley</w:t></w:r>
</w:p>
<w:p>
<w:pPr><w:pStyle w:val="Normal"/></w:pPr>
<w:r><w:t xml:space="preserve">was partly due, as has been seen, to her anxiety to extend</w:t></w:r>
</w:p>
<w:p>
<w:pPr><w:pStyle w:val="Normal"/></w:pPr>
<w:r><w:t xml:space="preserve">a French zone across Africa, but it was also and to a large</w:t></w:r>
</w:p>
<w:p>
<w:pPr><w:pStyle w:val="Normal"/></w:pPr>
<w:r><w:t xml:space="preserve">The contest for the upper Nile.</w:t></w:r>
</w:p>
<w:p>
<w:pPr><w:pStyle w:val="Normal"/></w:pPr>
<w:r><w:t xml:space="preserve">extent attributable to the belief, widely entertained in</w:t></w:r>
</w:p>
<w:p>
<w:pPr><w:pStyle w:val="Normal"/></w:pPr>
<w:r><w:t xml:space="preserve">France, that by establishing herself on the upper Nile France</w:t></w:r>
</w:p>
<w:p>
<w:pPr><w:pStyle w:val="Normal"/></w:pPr>
<w:r><w:t xml:space="preserve">could regain the position in Egyptian affairs which she had</w:t></w:r>
</w:p>
<w:p>
<w:pPr><w:pStyle w:val="Normal"/></w:pPr>
<w:r><w:t xml:space="preserve">sacrificed in 1882.  With these strong inducements France set</w:t></w:r>
</w:p>
<w:p>
<w:pPr><w:pStyle w:val="Normal"/></w:pPr>
<w:r><w:t xml:space="preserve">steadily to work to consolidate her position on the tributary</w:t></w:r>
</w:p>
<w:p>
<w:pPr><w:pStyle w:val="Normal"/></w:pPr>
<w:r><w:t xml:space="preserve">streams of the upper Congo basin, preparatory to crossing into</w:t></w:r>
</w:p>
<w:p>
<w:pPr><w:pStyle w:val="Normal"/></w:pPr>
<w:r><w:t xml:space="preserve">the valley of the upper Nile.  Meanwhile a similar advance</w:t></w:r>
</w:p>
<w:p>
<w:pPr><w:pStyle w:val="Normal"/></w:pPr>
<w:r><w:t xml:space="preserve">was being made from the Congo Free State northwards and</w:t></w:r>
</w:p>
<w:p>
<w:pPr><w:pStyle w:val="Normal"/></w:pPr>
<w:r><w:t xml:space="preserve">eastwards.  King Leopold had two objects in view---to obtain</w:t></w:r>
</w:p>
<w:p>
<w:pPr><w:pStyle w:val="Normal"/></w:pPr>
<w:r><w:t xml:space="preserve">control of the rich province of the Bahr-el-Ghazal and to</w:t></w:r>
</w:p>
<w:p>
<w:pPr><w:pStyle w:val="Normal"/></w:pPr>
<w:r><w:t xml:space="preserve">secure an outlet on the Nile.  Stations were established on</w:t></w:r>
</w:p>
<w:p>
<w:pPr><w:pStyle w:val="Normal"/></w:pPr>
<w:r><w:t xml:space="preserve">the Welle river, and in February 1891 Captain van Kerckhoven</w:t></w:r>
</w:p>
<w:p>
<w:pPr><w:pStyle w:val="Normal"/></w:pPr>
<w:r><w:t xml:space="preserve">left Leopoldville for the upper Welle with the most powerful</w:t></w:r>
</w:p>
<w:p>
<w:pPr><w:pStyle w:val="Normal"/></w:pPr>
<w:r><w:t xml:space="preserve">expedition which had, up to that time, been organized by the</w:t></w:r>
</w:p>
<w:p>
<w:pPr><w:pStyle w:val="Normal"/></w:pPr>
<w:r><w:t xml:space="preserve">Free State.  After some heavy fighting the expedition reached</w:t></w:r>
</w:p>
<w:p>
<w:pPr><w:pStyle w:val="Normal"/></w:pPr>
<w:r><w:t xml:space="preserve">the Nile in September 1892, and opened up communications</w:t></w:r>
</w:p>
<w:p>
<w:pPr><w:pStyle w:val="Normal"/></w:pPr>
<w:r><w:t xml:space="preserve">with the remains of the old Egyptian garrison at Wadelai.</w:t></w:r>
</w:p>
<w:p>
<w:pPr><w:pStyle w:val="Normal"/></w:pPr>
<w:r><w:t xml:space="preserve">Other expeditions under Belgian officers penetrated into</w:t></w:r>
</w:p>
<w:p>
<w:pPr><w:pStyle w:val="Normal"/></w:pPr>
<w:r><w:t xml:space="preserve">the Bahr-el-Ghazal, and it was apparent that King Leopold</w:t></w:r>
</w:p>
<w:p>
<w:pPr><w:pStyle w:val="Normal"/></w:pPr>
<w:r><w:t xml:space="preserve">proposed to rely on effective occupation as an answer to any</w:t></w:r>
</w:p>
<w:p>
<w:pPr><w:pStyle w:val="Normal"/></w:pPr>
<w:r><w:t xml:space="preserve">claims which might be advanced by either Great Britain or</w:t></w:r>
</w:p>
<w:p>
<w:pPr><w:pStyle w:val="Normal"/></w:pPr>
<w:r><w:t xml:space="preserve">France.  The news of what was happening in this remote region</w:t></w:r>
</w:p>
<w:p>
<w:pPr><w:pStyle w:val="Normal"/></w:pPr>
<w:r><w:t xml:space="preserve">Of Africa filtered through to Europe very slowly, but King</w:t></w:r>
</w:p>
<w:p>
<w:pPr><w:pStyle w:val="Normal"/></w:pPr>
<w:r><w:t xml:space="preserve">Leopold was warned on several occasions that Great Britain</w:t></w:r>
</w:p>
<w:p>
<w:pPr><w:pStyle w:val="Normal"/></w:pPr>
<w:r><w:t xml:space="preserve">would not recognize any claims by the Congo Free State on the</w:t></w:r>
</w:p>
<w:p>
<w:pPr><w:pStyle w:val="Normal"/></w:pPr>
<w:r><w:t xml:space="preserve">Bahr-el-Ghazal.  The difficulty was, however, that neither from</w:t></w:r>
</w:p>
<w:p>
<w:pPr><w:pStyle w:val="Normal"/></w:pPr>
<w:r><w:t xml:space="preserve">Egypt, whence the road was barred by the khalifa (the successor</w:t></w:r>
</w:p>
<w:p>
<w:pPr><w:pStyle w:val="Normal"/></w:pPr>
<w:r><w:t xml:space="preserve">of the mahdi), nor from Uganda, which was far too remote from</w:t></w:r>
</w:p>
<w:p>
<w:pPr><w:pStyle w:val="Normal"/></w:pPr>
<w:r><w:t xml:space="preserve">the coast to serve as the base of a large expedition, could</w:t></w:r>
</w:p>
<w:p>
<w:pPr><w:pStyle w:val="Normal"/></w:pPr>
<w:r><w:t xml:space="preserve">a British force be despatched to take effective occupation</w:t></w:r>
</w:p>
<w:p>
<w:pPr><w:pStyle w:val="Normal"/></w:pPr>
<w:r><w:t xml:space="preserve">of the upper Nile valley.  There was, therefore, danger</w:t></w:r>
</w:p>
<w:p>
<w:pPr><w:pStyle w:val="Normal"/></w:pPr>
<w:r><w:t xml:space="preserve">lest the French should succeed in establishing themselves</w:t></w:r>
</w:p>
<w:p>
<w:pPr><w:pStyle w:val="Normal"/></w:pPr>
<w:r><w:t xml:space="preserve">on the upper Nile before the preparations which were being</w:t></w:r>
</w:p>
<w:p>
<w:pPr><w:pStyle w:val="Normal"/></w:pPr>
<w:r><w:t xml:space="preserve">made in Egypt for ``smashing&apos;&apos; the khalifa were completed.</w:t></w:r>
</w:p>
<w:p>
<w:pPr><w:pStyle w:val="Normal"/></w:pPr>
<w:r><w:t xml:space="preserve">In these circumstances Lord Rosebery, who was then British</w:t></w:r>
</w:p>
<w:p>
<w:pPr><w:pStyle w:val="Normal"/></w:pPr>
<w:r><w:t xml:space="preserve">foreign minister, began, and his successor, the 1st earl of</w:t></w:r>
</w:p>
<w:p>
<w:pPr><w:pStyle w:val="Normal"/></w:pPr>
<w:r><w:t xml:space="preserve">The Anglo-Congolese agreement of 1894.</w:t></w:r>
</w:p>
<w:p>
<w:pPr><w:pStyle w:val="Normal"/></w:pPr>
<w:r><w:t xml:space="preserve">Kimberley, completed, negotiations with King Leopold which</w:t></w:r>
</w:p>
<w:p>
<w:pPr><w:pStyle w:val="Normal"/></w:pPr>
<w:r><w:t xml:space="preserve">resulted in the conclusion of the Anglo-Congolese agreement of</w:t></w:r>
</w:p>
<w:p>
<w:pPr><w:pStyle w:val="Normal"/></w:pPr>
<w:r><w:t xml:space="preserve">12th May 1894.  By this agreement King Leopold recognized the</w:t></w:r>
</w:p>
<w:p>
<w:pPr><w:pStyle w:val="Normal"/></w:pPr>
<w:r><w:t xml:space="preserve">British sphere of influence as laid down in the Anglo-German</w:t></w:r>
</w:p>
<w:p>
<w:pPr><w:pStyle w:val="Normal"/></w:pPr>
<w:r><w:t xml:space="preserve">agreement of July 1890, and Great Britain granted a lease</w:t></w:r>
</w:p>
<w:p>
<w:pPr><w:pStyle w:val="Normal"/></w:pPr>
<w:r><w:t xml:space="preserve">to King Leopold of certain territories in the western basin</w:t></w:r>
</w:p>
<w:p>
<w:pPr><w:pStyle w:val="Normal"/></w:pPr>
<w:r><w:t xml:space="preserve">of the upper Nile, extending on the Nile from a point on</w:t></w:r>
</w:p>
<w:p>
<w:pPr><w:pStyle w:val="Normal"/></w:pPr>
<w:r><w:t xml:space="preserve">Lake Albert to Fashoda, and westwards to the Congo-Nile</w:t></w:r>
</w:p>
<w:p>
<w:pPr><w:pStyle w:val="Normal"/></w:pPr>
<w:r><w:t xml:space="preserve">watershed.  The practical effect of this agreement was to</w:t></w:r>
</w:p>
<w:p>
<w:pPr><w:pStyle w:val="Normal"/></w:pPr>
<w:r><w:t xml:space="preserve">give the Congo Free State a lease, during its sovereign&apos;s</w:t></w:r>
</w:p>
<w:p>
<w:pPr><w:pStyle w:val="Normal"/></w:pPr>
<w:r><w:t xml:space="preserve">lifetime, of the old Bahr-el-Ghazal province, and to secure</w:t></w:r>
</w:p>
<w:p>
<w:pPr><w:pStyle w:val="Normal"/></w:pPr>
<w:r><w:t xml:space="preserve">after His Majesty&apos;s death as much of that territory as lay</w:t></w:r>
</w:p>
<w:p>
<w:pPr><w:pStyle w:val="Normal"/></w:pPr>
<w:r><w:t xml:space="preserve">west of the 30th meridian, together with access to a port on</w:t></w:r>
</w:p>
<w:p>
<w:pPr><w:pStyle w:val="Normal"/></w:pPr>
<w:r><w:t xml:space="preserve">Lake Albert, to his successor.  At the same time the Congo</w:t></w:r>
</w:p>
<w:p>
<w:pPr><w:pStyle w:val="Normal"/></w:pPr>
<w:r><w:t xml:space="preserve">Free State leased to Great Britain a strip of territory,</w:t></w:r>
</w:p>
<w:p>
<w:pPr><w:pStyle w:val="Normal"/></w:pPr>
<w:r><w:t xml:space="preserve">15 1/2 m. in breadth, between the north end of Lake Tanganyika</w:t></w:r>
</w:p>
<w:p>
<w:pPr><w:pStyle w:val="Normal"/></w:pPr>
<w:r><w:t xml:space="preserve">and the south end of Lake Albert Edward.  This agreement</w:t></w:r>
</w:p>
<w:p>
<w:pPr><w:pStyle w:val="Normal"/></w:pPr>
<w:r><w:t xml:space="preserve">was hailed as a notable triumph for British diplomacy.  But</w:t></w:r>
</w:p>
<w:p>
<w:pPr><w:pStyle w:val="Normal"/></w:pPr>
<w:r><w:t xml:space="preserve">the triumph was short-lived.  By the agreement of July 1890</w:t></w:r>
</w:p>
<w:p>
<w:pPr><w:pStyle w:val="Normal"/></w:pPr>
<w:r><w:t xml:space="preserve">with Germany, Great Britain had been reluctantly compelled</w:t></w:r>
</w:p>
<w:p>
<w:pPr><w:pStyle w:val="Normal"/></w:pPr>
<w:r><w:t xml:space="preserve">to abandon her hopes of through communication between the</w:t></w:r>
</w:p>
<w:p>
<w:pPr><w:pStyle w:val="Normal"/></w:pPr>
<w:r><w:t xml:space="preserve">British spheres in the northern and southern parts of the</w:t></w:r>
</w:p>
<w:p>
<w:pPr><w:pStyle w:val="Normal"/></w:pPr>
<w:r><w:t xml:space="preserve">continent, and to Consent to the boundary of German East</w:t></w:r>
</w:p>
<w:p>
<w:pPr><w:pStyle w:val="Normal"/></w:pPr>
<w:r><w:t xml:space="preserve">Africa marching with the eastern frontier of the Congo Free</w:t></w:r>
</w:p>
<w:p>
<w:pPr><w:pStyle w:val="Normal"/></w:pPr>
<w:r><w:t xml:space="preserve">State.  Germany frankly avowed that she did not wish to have a</w:t></w:r>
</w:p>
<w:p>
<w:pPr><w:pStyle w:val="Normal"/></w:pPr>
<w:r><w:t xml:space="preserve">powerful neighbour interposed between herself and the Congo Free</w:t></w:r>
</w:p>
<w:p>
<w:pPr><w:pStyle w:val="Normal"/></w:pPr>
<w:r><w:t xml:space="preserve">State.  It was obvious that the new agreement would effect</w:t></w:r>
</w:p>
<w:p>
<w:pPr><w:pStyle w:val="Normal"/></w:pPr>
<w:r><w:t xml:space="preserve">precisely what Germany had declined to agree to in 1890.</w:t></w:r>
</w:p>
<w:p>
<w:pPr><w:pStyle w:val="Normal"/></w:pPr>
<w:r><w:t xml:space="preserve">Accordingly Germany protested in such vigorous terms that, on</w:t></w:r>
</w:p>
<w:p>
<w:pPr><w:pStyle w:val="Normal"/></w:pPr>
<w:r><w:t xml:space="preserve">the 22nd of June 1894, the offending article was withdrawn by</w:t></w:r>
</w:p>
<w:p>
<w:pPr><w:pStyle w:val="Normal"/></w:pPr>
<w:r><w:t xml:space="preserve">an exchange of notes between Great Britain and the Congo Free</w:t></w:r>
</w:p>
<w:p>
<w:pPr><w:pStyle w:val="Normal"/></w:pPr>
<w:r><w:t xml:space="preserve">State.  Opinion in France was equally excited by the new</w:t></w:r>
</w:p>
<w:p>
<w:pPr><w:pStyle w:val="Normal"/></w:pPr>
<w:r><w:t xml:space="preserve">agreement.  It was obvious that the lease to the Congo Free</w:t></w:r>
</w:p>
<w:p>
<w:pPr><w:pStyle w:val="Normal"/></w:pPr>
<w:r><w:t xml:space="preserve">State was intended to exclude France from the Nile by placing</w:t></w:r>
</w:p>
<w:p>
<w:pPr><w:pStyle w:val="Normal"/></w:pPr>
<w:r><w:t xml:space="preserve">the Congo Free State as a barrier across her path.  Pressure</w:t></w:r>
</w:p>
<w:p>
<w:pPr><w:pStyle w:val="Normal"/></w:pPr>
<w:r><w:t xml:space="preserve">was brought to bear on King Leopold, from Paris, to renounce the</w:t></w:r>
</w:p>
<w:p>
<w:pPr><w:pStyle w:val="Normal"/></w:pPr>
<w:r><w:t xml:space="preserve">rights acquired under the agreement, and on the 14th of August</w:t></w:r>
</w:p>
<w:p>
<w:pPr><w:pStyle w:val="Normal"/></w:pPr>
<w:r><w:t xml:space="preserve">1894 King Leopold signed an agreement with France by which, in</w:t></w:r>
</w:p>
<w:p>
<w:pPr><w:pStyle w:val="Normal"/></w:pPr>
<w:r><w:t xml:space="preserve">exchange for France&apos;s acknowledgment of the Mbomu river as his</w:t></w:r>
</w:p>
<w:p>
<w:pPr><w:pStyle w:val="Normal"/></w:pPr>
<w:r><w:t xml:space="preserve">northern frontier, His Majesty renounced all occupation and all</w:t></w:r>
</w:p>
<w:p>
<w:pPr><w:pStyle w:val="Normal"/></w:pPr>
<w:r><w:t xml:space="preserve">exercise of political influence west of 30 deg.  E., and north of</w:t></w:r>
</w:p>
<w:p>
<w:pPr><w:pStyle w:val="Normal"/></w:pPr>
<w:r><w:t xml:space="preserve">a line drawn from that meridian to the Nile along 5 deg.  30&apos; N.</w:t></w:r>
</w:p>
<w:p>
<w:pPr><w:pStyle w:val="Normal"/></w:pPr>
<w:r><w:t xml:space="preserve">This left the way still open for France to the Nile,</w:t></w:r>
</w:p>
<w:p>
<w:pPr><w:pStyle w:val="Normal"/></w:pPr>
<w:r><w:t xml:space="preserve">and in June 1896 Captain J. Marchand left France with</w:t></w:r>
</w:p>
<w:p>
<w:pPr><w:pStyle w:val="Normal"/></w:pPr>
<w:r><w:t xml:space="preserve">secret instructions to lead an expedition into the Nile</w:t></w:r>
</w:p>
<w:p>
<w:pPr><w:pStyle w:val="Normal"/></w:pPr>
<w:r><w:t xml:space="preserve">valley.  On the 1st of March in the following year he left</w:t></w:r>
</w:p>
<w:p>
<w:pPr><w:pStyle w:val="Normal"/></w:pPr>
<w:r><w:t xml:space="preserve">Brazzaville, and began a journey which all but plunged Great</w:t></w:r>
</w:p>
<w:p>
<w:pPr><w:pStyle w:val="Normal"/></w:pPr>
<w:r><w:t xml:space="preserve">Britain and France into war.  The difficulties which Captain</w:t></w:r>
</w:p>
<w:p>
<w:pPr><w:pStyle w:val="Normal"/></w:pPr>
<w:r><w:t xml:space="preserve">Marchand had to overcome were mainly those connected with</w:t></w:r>
</w:p>
<w:p>
<w:pPr><w:pStyle w:val="Normal"/></w:pPr>
<w:r><w:t xml:space="preserve">transport.  In October 1897 the expedition reached the banks</w:t></w:r>
</w:p>
<w:p>
<w:pPr><w:pStyle w:val="Normal"/></w:pPr>
<w:r><w:t xml:space="preserve">of the Sue, the waters of which eventually flow into the</w:t></w:r>
</w:p>
<w:p>
<w:pPr><w:pStyle w:val="Normal"/></w:pPr>
<w:r><w:t xml:space="preserve">Nile.  Here a post was established and the ``Faidherbe,&apos;&apos; a</w:t></w:r>
</w:p>
<w:p>
<w:pPr><w:pStyle w:val="Normal"/></w:pPr>
<w:r><w:t xml:space="preserve">steamer which had been carried across the Congo-Nile watershed</w:t></w:r>
</w:p>
<w:p>
<w:pPr><w:pStyle w:val="Normal"/></w:pPr>
<w:r><w:t xml:space="preserve">in sections, was put together and launched.  On the 1st of</w:t></w:r>
</w:p>
<w:p>
<w:pPr><w:pStyle w:val="Normal"/></w:pPr>
<w:r><w:t xml:space="preserve">May 1898 Marchand started on the final stage of his journey,</w:t></w:r>
</w:p>
<w:p>
<w:pPr><w:pStyle w:val="Normal"/></w:pPr>
<w:r><w:t xml:space="preserve">and reached Fashoda on the 10th of July, having established</w:t></w:r>
</w:p>
<w:p>
<w:pPr><w:pStyle w:val="Normal"/></w:pPr>
<w:r><w:t xml:space="preserve">a chain of posts en route. At Fashoda the French flag</w:t></w:r>
</w:p>
<w:p>
<w:pPr><w:pStyle w:val="Normal"/></w:pPr>
<w:r><w:t xml:space="preserve">was at once raised, and a ``treaty&apos;&apos; made with the local</w:t></w:r>
</w:p>
<w:p>
<w:pPr><w:pStyle w:val="Normal"/></w:pPr>
<w:r><w:t xml:space="preserve">chief.  Meanwhile other expeditions had been concentrating on</w:t></w:r>
</w:p>
<w:p>
<w:pPr><w:pStyle w:val="Normal"/></w:pPr>
<w:r><w:t xml:space="preserve">The French at Fashoda.</w:t></w:r>
</w:p>
<w:p>
<w:pPr><w:pStyle w:val="Normal"/></w:pPr>
<w:r><w:t xml:space="preserve">Fashoda--a mud-flat situated in a swamp, round which for many</w:t></w:r>
</w:p>
<w:p>
<w:pPr><w:pStyle w:val="Normal"/></w:pPr>
<w:r><w:t xml:space="preserve">months raged the angry passions of two great peoples.  French</w:t></w:r>
</w:p>
<w:p>
<w:pPr><w:pStyle w:val="Normal"/></w:pPr>
<w:r><w:t xml:space="preserve">expeditions, with a certain amount of assistance from the</w:t></w:r>
</w:p>
<w:p>
<w:pPr><w:pStyle w:val="Normal"/></w:pPr>
<w:r><w:t xml:space="preserve">emperor Menelek of Abyssinia, had been striving to reach the</w:t></w:r>
</w:p>
<w:p>
<w:pPr><w:pStyle w:val="Normal"/></w:pPr>
<w:r><w:t xml:space="preserve">Nile from the east, so as to join hands with Marchand and</w:t></w:r>
</w:p>
<w:p>
<w:pPr><w:pStyle w:val="Normal"/></w:pPr>
<w:r><w:t xml:space="preserve">complete the line of posts into the Abyssinian frontier.  In</w:t></w:r>
</w:p>
<w:p>
<w:pPr><w:pStyle w:val="Normal"/></w:pPr>
<w:r><w:t xml:space="preserve">this, however, they were unsuccessful.  No better success</w:t></w:r>
</w:p>
<w:p>
<w:pPr><w:pStyle w:val="Normal"/></w:pPr>
<w:r><w:t xml:space="preserve">attended the expedition under Colonel (afterwards Sir) Ronald</w:t></w:r>
</w:p>
<w:p>
<w:pPr><w:pStyle w:val="Normal"/></w:pPr>
<w:r><w:t xml:space="preserve">Macdonald, R.E., sent by the British government from Uganda</w:t></w:r>
</w:p>
<w:p>
<w:pPr><w:pStyle w:val="Normal"/></w:pPr>
<w:r><w:t xml:space="preserve">to anticipate the French in the occupation of the upper Nile.</w:t></w:r>
</w:p>
<w:p>
<w:pPr><w:pStyle w:val="Normal"/></w:pPr>
<w:r><w:t xml:space="preserve">It was from the north that claimants arrived to dispute with</w:t></w:r>
</w:p>
<w:p>
<w:pPr><w:pStyle w:val="Normal"/></w:pPr>
<w:r><w:t xml:space="preserve">the French their right to Fashoda, and all that the occupation</w:t></w:r>
</w:p>
<w:p>
<w:pPr><w:pStyle w:val="Normal"/></w:pPr>
<w:r><w:t xml:space="preserve">of that dismal post implied.  In 1896 an Anglo-Egyptian</w:t></w:r>
</w:p>
<w:p>
<w:pPr><w:pStyle w:val="Normal"/></w:pPr>
<w:r><w:t xml:space="preserve">army, under the direction of Sir Herbert (afterwards Lord)</w:t></w:r>
</w:p>
<w:p>
<w:pPr><w:pStyle w:val="Normal"/></w:pPr>
<w:r><w:t xml:space="preserve">Kitchener, had begun to advance southwards for the reconquest</w:t></w:r>
</w:p>
<w:p>
<w:pPr><w:pStyle w:val="Normal"/></w:pPr>
<w:r><w:t xml:space="preserve">of the Egyptian Sudan.  On the 2nd of September 1898 Khartum</w:t></w:r>
</w:p>
<w:p>
<w:pPr><w:pStyle w:val="Normal"/></w:pPr>
<w:r><w:t xml:space="preserve">was captured, and the khalifa&apos;s army dispersed.  It was then</w:t></w:r>
</w:p>
<w:p>
<w:pPr><w:pStyle w:val="Normal"/></w:pPr>
<w:r><w:t xml:space="preserve">that news reached the Anglo-Egyptian commander, from native</w:t></w:r>
</w:p>
<w:p>
<w:pPr><w:pStyle w:val="Normal"/></w:pPr>
<w:r><w:t xml:space="preserve">sources, that there were white men flying a strange flag at</w:t></w:r>
</w:p>
<w:p>
<w:pPr><w:pStyle w:val="Normal"/></w:pPr>
<w:r><w:t xml:space="preserve">Fashoda.  The sirdar at once proceeded in a steamer up the</w:t></w:r>
</w:p>
<w:p>
<w:pPr><w:pStyle w:val="Normal"/></w:pPr>
<w:r><w:t xml:space="preserve">Nile, and courteously but firmly requested Captain Marchand</w:t></w:r>
</w:p>
<w:p>
<w:pPr><w:pStyle w:val="Normal"/></w:pPr>
<w:r><w:t xml:space="preserve">to remove the French flag.  On his refusal the Egyptian flag</w:t></w:r>
</w:p>
<w:p>
<w:pPr><w:pStyle w:val="Normal"/></w:pPr>
<w:r><w:t xml:space="preserve">was raised close to the French flag, and the dispute was</w:t></w:r>
</w:p>
<w:p>
<w:pPr><w:pStyle w:val="Normal"/></w:pPr>
<w:r><w:t xml:space="preserve">referred to Europe for adjustment between the British and</w:t></w:r>
</w:p>
<w:p>
<w:pPr><w:pStyle w:val="Normal"/></w:pPr>
<w:r><w:t xml:space="preserve">French governments.  A critical situation ensued.  Neither</w:t></w:r>
</w:p>
<w:p>
<w:pPr><w:pStyle w:val="Normal"/></w:pPr>
<w:r><w:t xml:space="preserve">government was inclined to give way, and for a time war seemed</w:t></w:r>
</w:p>
<w:p>
<w:pPr><w:pStyle w:val="Normal"/></w:pPr>
<w:r><w:t xml:space="preserve">imminent.  Happily Lord Salisbury was able to announce, on</w:t></w:r>
</w:p>
<w:p>
<w:pPr><w:pStyle w:val="Normal"/></w:pPr>
<w:r><w:t xml:space="preserve">the 4th of November, that France was willing to recognize</w:t></w:r>
</w:p>
<w:p>
<w:pPr><w:pStyle w:val="Normal"/></w:pPr>
<w:r><w:t xml:space="preserve">the British claims, and the incident was finally closed on</w:t></w:r>
</w:p>
<w:p>
<w:pPr><w:pStyle w:val="Normal"/></w:pPr>
<w:r><w:t xml:space="preserve">the 21st of March 1899, when an Anglo-French declaration was</w:t></w:r>
</w:p>
<w:p>
<w:pPr><w:pStyle w:val="Normal"/></w:pPr>
<w:r><w:t xml:space="preserve">signed, by the terms of which France withdrew from the Nile</w:t></w:r>
</w:p>
<w:p>
<w:pPr><w:pStyle w:val="Normal"/></w:pPr>
<w:r><w:t xml:space="preserve">valley and accepted a boundary line which satisfied her</w:t></w:r>
</w:p>
<w:p>
<w:pPr><w:pStyle w:val="Normal"/></w:pPr>
<w:r><w:t xml:space="preserve">earlier ambition by uniting the whole of her territories in</w:t></w:r>
</w:p>
<w:p>
<w:pPr><w:pStyle w:val="Normal"/></w:pPr>
<w:r><w:t xml:space="preserve">North, West and Central Africa into a homogeneous whole,</w:t></w:r>
</w:p>
<w:p>
<w:pPr><w:pStyle w:val="Normal"/></w:pPr>
<w:r><w:t xml:space="preserve">while effectually preventing the realization of her dream</w:t></w:r>
</w:p>
<w:p>
<w:pPr><w:pStyle w:val="Normal"/></w:pPr>
<w:r><w:t xml:space="preserve">of a transcontinental empire from west to east.  By this</w:t></w:r>
</w:p>
<w:p>
<w:pPr><w:pStyle w:val="Normal"/></w:pPr>
<w:r><w:t xml:space="preserve">declaration it was agreed that the dividing line between</w:t></w:r>
</w:p>
<w:p>
<w:pPr><w:pStyle w:val="Normal"/></w:pPr>
<w:r><w:t xml:space="preserve">the British and French spheres, north of the Congo Free</w:t></w:r>
</w:p>
<w:p>
<w:pPr><w:pStyle w:val="Normal"/></w:pPr>
<w:r><w:t xml:space="preserve">State, should follow the Congo-Nile water-parting up to its</w:t></w:r>
</w:p>
<w:p>
<w:pPr><w:pStyle w:val="Normal"/></w:pPr>
<w:r><w:t xml:space="preserve">intersection with the 11th parallel of north latitude, from</w:t></w:r>
</w:p>
<w:p>
<w:pPr><w:pStyle w:val="Normal"/></w:pPr>
<w:r><w:t xml:space="preserve">which point it was to be ``drawn as far as the 15th parallel</w:t></w:r>
</w:p>
<w:p>
<w:pPr><w:pStyle w:val="Normal"/></w:pPr>
<w:r><w:t xml:space="preserve">in such a manner as to separate in principle the kingdom of</w:t></w:r>
</w:p>
<w:p>
<w:pPr><w:pStyle w:val="Normal"/></w:pPr>
<w:r><w:t xml:space="preserve">Wadai from what constituted in 1882 the province of Darfur,&apos;&apos;</w:t></w:r>
</w:p>
<w:p>
<w:pPr><w:pStyle w:val="Normal"/></w:pPr>
<w:r><w:t xml:space="preserve">but in no case was it to be drawn west of the 21st degree of</w:t></w:r>
</w:p>
<w:p>
<w:pPr><w:pStyle w:val="Normal"/></w:pPr>
<w:r><w:t xml:space="preserve">east longitude, or east of the 23rd degree.  From the 15th</w:t></w:r>
</w:p>
<w:p>
<w:pPr><w:pStyle w:val="Normal"/></w:pPr>
<w:r><w:t xml:space="preserve">parallel the line was continued north and north-west to the</w:t></w:r>
</w:p>
<w:p>
<w:pPr><w:pStyle w:val="Normal"/></w:pPr>
<w:r><w:t xml:space="preserve">intersection of the Tropic of Cancer with 16 deg.  E. French</w:t></w:r>
</w:p>
<w:p>
<w:pPr><w:pStyle w:val="Normal"/></w:pPr>
<w:r><w:t xml:space="preserve">influence was to prevail west of this line, British influence</w:t></w:r>
</w:p>
<w:p>
<w:pPr><w:pStyle w:val="Normal"/></w:pPr>
<w:r><w:t xml:space="preserve">to the east.  Wadai was thus definitely assigned to France.</w:t></w:r>
</w:p>
<w:p>
<w:pPr><w:pStyle w:val="Normal"/></w:pPr>
<w:r><w:t xml:space="preserve">When, by the declaration of the 21st of March 1899, France</w:t></w:r>
</w:p>
<w:p>
<w:pPr><w:pStyle w:val="Normal"/></w:pPr>
<w:r><w:t xml:space="preserve">renounced all territorial ambitions in the upper Nile basin, King</w:t></w:r>
</w:p>
<w:p>
<w:pPr><w:pStyle w:val="Normal"/></w:pPr>
<w:r><w:t xml:space="preserve">Fate of the Bar-el-Ghazal.</w:t></w:r>
</w:p>
<w:p>
<w:pPr><w:pStyle w:val="Normal"/></w:pPr>
<w:r><w:t xml:space="preserve">Leopold revived his claims to the Bahr-el-Ghazal province</w:t></w:r>
</w:p>
<w:p>
<w:pPr><w:pStyle w:val="Normal"/></w:pPr>
<w:r><w:t xml:space="preserve">under the terms of the lease granted by Article 2 of the</w:t></w:r>
</w:p>
<w:p>
<w:pPr><w:pStyle w:val="Normal"/></w:pPr>
<w:r><w:t xml:space="preserve">Anglo-Congolese agreement of 1894.  This step he was encouraged</w:t></w:r>
</w:p>
<w:p>
<w:pPr><w:pStyle w:val="Normal"/></w:pPr>
<w:r><w:t xml:space="preserve">to take by the assertion of Lord Salisbury, in his capacity as</w:t></w:r>
</w:p>
<w:p>
<w:pPr><w:pStyle w:val="Normal"/></w:pPr>
<w:r><w:t xml:space="preserve">secretary of state for foreign affairs during the negotiations</w:t></w:r>
</w:p>
<w:p>
<w:pPr><w:pStyle w:val="Normal"/></w:pPr>
<w:r><w:t xml:space="preserve">with France concerning Fashoda, that the lease to King Leopold</w:t></w:r>
</w:p>
<w:p>
<w:pPr><w:pStyle w:val="Normal"/></w:pPr>
<w:r><w:t xml:space="preserve">was still in full force.  But the assertion was made simply</w:t></w:r>
</w:p>
<w:p>
<w:pPr><w:pStyle w:val="Normal"/></w:pPr>
<w:r><w:t xml:space="preserve">as a declaration of British right to dispose of the territory,</w:t></w:r>
</w:p>
<w:p>
<w:pPr><w:pStyle w:val="Normal"/></w:pPr>
<w:r><w:t xml:space="preserve">and the sovereign of the Congo State found that there was no</w:t></w:r>
</w:p>
<w:p>
<w:pPr><w:pStyle w:val="Normal"/></w:pPr>
<w:r><w:t xml:space="preserve">disposition in Great Britain to allow the Bahr-el-Ghazal to fall</w:t></w:r>
</w:p>
<w:p>
<w:pPr><w:pStyle w:val="Normal"/></w:pPr>
<w:r><w:t xml:space="preserve">into his hands.  Long and fruitless negotiations ensued.  The</w:t></w:r>
</w:p>
<w:p>
<w:pPr><w:pStyle w:val="Normal"/></w:pPr>
<w:r><w:t xml:space="preserve">king at length (1904) sought to force a settlement by sending</w:t></w:r>
</w:p>
<w:p>
<w:pPr><w:pStyle w:val="Normal"/></w:pPr>
<w:r><w:t xml:space="preserve">armed forces into the province.  Diplomatic representations</w:t></w:r>
</w:p>
<w:p>
<w:pPr><w:pStyle w:val="Normal"/></w:pPr>
<w:r><w:t xml:space="preserve">having failed to secure the withdrawal of these forces, the</w:t></w:r>
</w:p>
<w:p>
<w:pPr><w:pStyle w:val="Normal"/></w:pPr>
<w:r><w:t xml:space="preserve">Sudan government issued a proclamation which had the effect</w:t></w:r>
</w:p>
<w:p>
<w:pPr><w:pStyle w:val="Normal"/></w:pPr>
<w:r><w:t xml:space="preserve">of cutting off the Congo stations from communication with the</w:t></w:r>
</w:p>
<w:p>
<w:pPr><w:pStyle w:val="Normal"/></w:pPr>
<w:r><w:t xml:space="preserve">Nile, and finally King Leopold consented to an agreement,</w:t></w:r>
</w:p>
<w:p>
<w:pPr><w:pStyle w:val="Normal"/></w:pPr>
<w:r><w:t xml:space="preserve">signed in London on the 9th of May 1906, whereby the 1894</w:t></w:r>
</w:p>
<w:p>
<w:pPr><w:pStyle w:val="Normal"/></w:pPr>
<w:r><w:t xml:space="preserve">lease was formally annulled.  The Bahr-el-Ghazal thenceforth</w:t></w:r>
</w:p>
<w:p>
<w:pPr><w:pStyle w:val="Normal"/></w:pPr>
<w:r><w:t xml:space="preserve">became undisputedly an integral part of the Anglo-Egyptian</w:t></w:r>
</w:p>
<w:p>
<w:pPr><w:pStyle w:val="Normal"/></w:pPr>
<w:r><w:t xml:space="preserve">Sudan.  King Leopold had, however, by virtue of the 1894</w:t></w:r>
</w:p>
<w:p>
<w:pPr><w:pStyle w:val="Normal"/></w:pPr>
<w:r><w:t xml:space="preserve">agreement administered the comparatively small portion of</w:t></w:r>
</w:p>
<w:p>
<w:pPr><w:pStyle w:val="Normal"/></w:pPr>
<w:r><w:t xml:space="preserve">the leased area in which his presence was not resented by</w:t></w:r>
</w:p>
<w:p>
<w:pPr><w:pStyle w:val="Normal"/></w:pPr>
<w:r><w:t xml:space="preserve">France.  This territory, including part of the west bank of</w:t></w:r>
</w:p>
<w:p>
<w:pPr><w:pStyle w:val="Normal"/></w:pPr>
<w:r><w:t xml:space="preserve">the Nile and known as the Lado Enclave, the 1906 agreement</w:t></w:r>
</w:p>
<w:p>
<w:pPr><w:pStyle w:val="Normal"/></w:pPr>
<w:r><w:t xml:space="preserve">allowed King Leopold to ``continue during his reign to occupy.&apos;&apos;</w:t></w:r>
</w:p>
<w:p>
<w:pPr><w:pStyle w:val="Normal"/></w:pPr>
<w:r><w:t xml:space="preserve">Provision was made that within six months of the termination</w:t></w:r>
</w:p>
<w:p>
<w:pPr><w:pStyle w:val="Normal"/></w:pPr>
<w:r><w:t xml:space="preserve">of His Majesty&apos;s reign the enclave should be handed over to</w:t></w:r>
</w:p>
<w:p>
<w:pPr><w:pStyle w:val="Normal"/></w:pPr>
<w:r><w:t xml:space="preserve">the Sudan government (see CONGO FREE STATE.) In this manner</w:t></w:r>
</w:p>
<w:p>
<w:pPr><w:pStyle w:val="Normal"/></w:pPr>
<w:r><w:t xml:space="preserve">ended the long struggle for supremacy on the upper Nile,</w:t></w:r>
</w:p>
<w:p>
<w:pPr><w:pStyle w:val="Normal"/></w:pPr>
<w:r><w:t xml:space="preserve">Great Britain securing the withdrawal of all European rivals.</w:t></w:r>
</w:p>
<w:p>
<w:pPr><w:pStyle w:val="Normal"/></w:pPr>
<w:r><w:t xml:space="preserve">The course of events in the southern half of the continent</w:t></w:r>
</w:p>
<w:p>
<w:pPr><w:pStyle w:val="Normal"/></w:pPr>
<w:r><w:t xml:space="preserve">may now be traced.  By the convention of the 14th of February</w:t></w:r>
</w:p>
<w:p>
<w:pPr><w:pStyle w:val="Normal"/></w:pPr>
<w:r><w:t xml:space="preserve">Portugal&apos;s trans-African schemes.</w:t></w:r>
</w:p>
<w:p>
<w:pPr><w:pStyle w:val="Normal"/></w:pPr>
<w:r><w:t xml:space="preserve">1885, in which Portugal recognized the sovereignty of the</w:t></w:r>
</w:p>
<w:p>
<w:pPr><w:pStyle w:val="Normal"/></w:pPr>
<w:r><w:t xml:space="preserve">Congo Free State, and by a further convention concluded with</w:t></w:r>
</w:p>
<w:p>
<w:pPr><w:pStyle w:val="Normal"/></w:pPr>
<w:r><w:t xml:space="preserve">France in 1886, Portugal secured recognition of her claim to</w:t></w:r>
</w:p>
<w:p>
<w:pPr><w:pStyle w:val="Normal"/></w:pPr>
<w:r><w:t xml:space="preserve">the territory known as the Kabinda enclave, lying north of the</w:t></w:r>
</w:p>
<w:p>
<w:pPr><w:pStyle w:val="Normal"/></w:pPr>
<w:r><w:t xml:space="preserve">Congo, but not to the northern bank of the river.  By the same</w:t></w:r>
</w:p>
<w:p>
<w:pPr><w:pStyle w:val="Normal"/></w:pPr>
<w:r><w:t xml:space="preserve">convention of 1885 Portugal&apos;s claim to the southern bank of</w:t></w:r>
</w:p>
<w:p>
<w:pPr><w:pStyle w:val="Normal"/></w:pPr>
<w:r><w:t xml:space="preserve">the river as far as Noki (the limit of navigation from the</w:t></w:r>
</w:p>
<w:p>
<w:pPr><w:pStyle w:val="Normal"/></w:pPr>
<w:r><w:t xml:space="preserve">sea) had been admitted.  Thus Portuguese possessions on the</w:t></w:r>
</w:p>
<w:p>
<w:pPr><w:pStyle w:val="Normal"/></w:pPr>
<w:r><w:t xml:space="preserve">west coast extended from the Congo to the mouth of the Kunene</w:t></w:r>
</w:p>
<w:p>
<w:pPr><w:pStyle w:val="Normal"/></w:pPr>
<w:r><w:t xml:space="preserve">river.  In the interior the boundary with the Free State</w:t></w:r>
</w:p>
<w:p>
<w:pPr><w:pStyle w:val="Normal"/></w:pPr>
<w:r><w:t xml:space="preserve">was settled as far as the Kwango river, but disputes arose</w:t></w:r>
</w:p>
<w:p>
<w:pPr><w:pStyle w:val="Normal"/></w:pPr>
<w:r><w:t xml:space="preserve">as to the right to the country of Lunda, otherwise known as</w:t></w:r>
</w:p>
<w:p>
<w:pPr><w:pStyle w:val="Normal"/></w:pPr>
<w:r><w:t xml:space="preserve">the territory of the Muato Yanvo.  On the 25th of May 1891</w:t></w:r>
</w:p>
<w:p>
<w:pPr><w:pStyle w:val="Normal"/></w:pPr>
<w:r><w:t xml:space="preserve">a treaty was signed at Lisbon, by which this large territory</w:t></w:r>
</w:p>
<w:p>
<w:pPr><w:pStyle w:val="Normal"/></w:pPr>
<w:r><w:t xml:space="preserve">was divided between Portugal and the Free State.  The interior</w:t></w:r>
</w:p>
<w:p>
<w:pPr><w:pStyle w:val="Normal"/></w:pPr>
<w:r><w:t xml:space="preserve">limits of the Portuguese possessions in Africa south of the</w:t></w:r>
</w:p>
<w:p>
<w:pPr><w:pStyle w:val="Normal"/></w:pPr>
<w:r><w:t xml:space="preserve">equator gave rise, however, to much more serious discussions</w:t></w:r>
</w:p>
<w:p>
<w:pPr><w:pStyle w:val="Normal"/></w:pPr>
<w:r><w:t xml:space="preserve">than were involved in the dispute as to the Muato Yanvo&apos;s</w:t></w:r>
</w:p>
<w:p>
<w:pPr><w:pStyle w:val="Normal"/></w:pPr>
<w:r><w:t xml:space="preserve">kingdom.  Portugal, as has been stated, claimed all the</w:t></w:r>
</w:p>
<w:p>
<w:pPr><w:pStyle w:val="Normal"/></w:pPr>
<w:r><w:t xml:space="preserve">territories between Angola and Mozambique, and she succeeded</w:t></w:r>
</w:p>
<w:p>
<w:pPr><w:pStyle w:val="Normal"/></w:pPr>
<w:r><w:t xml:space="preserve">in inducing both France and Germany, in 1886, to recognize</w:t></w:r>
</w:p>
<w:p>
<w:pPr><w:pStyle w:val="Normal"/></w:pPr>
<w:r><w:t xml:space="preserve">the king of Portugal&apos;s ``right to exercise his sovereign</w:t></w:r>
</w:p>
<w:p>
<w:pPr><w:pStyle w:val="Normal"/></w:pPr>
<w:r><w:t xml:space="preserve">and civilizing influence in the territories which separate</w:t></w:r>
</w:p>
<w:p>
<w:pPr><w:pStyle w:val="Normal"/></w:pPr>
<w:r><w:t xml:space="preserve">the Portuguese possessions or Angola and Mozambique.&apos;&apos; The</w:t></w:r>
</w:p>
<w:p>
<w:pPr><w:pStyle w:val="Normal"/></w:pPr>
<w:r><w:t xml:space="preserve">publication of the treaties containing this declaration,</w:t></w:r>
</w:p>
<w:p>
<w:pPr><w:pStyle w:val="Normal"/></w:pPr>
<w:r><w:t xml:space="preserve">together with a map showing Portuguese claims extending over</w:t></w:r>
</w:p>
<w:p>
<w:pPr><w:pStyle w:val="Normal"/></w:pPr>
<w:r><w:t xml:space="preserve">the whole of the Zambezi valley, and over Matabeleland to</w:t></w:r>
</w:p>
<w:p>
<w:pPr><w:pStyle w:val="Normal"/></w:pPr>
<w:r><w:t xml:space="preserve">the south and the greater part of Lake Nyasa to the north,</w:t></w:r>
</w:p>
<w:p>
<w:pPr><w:pStyle w:val="Normal"/></w:pPr>
<w:r><w:t xml:space="preserve">immediately provoked a formal protest from the British</w:t></w:r>
</w:p>
<w:p>
<w:pPr><w:pStyle w:val="Normal"/></w:pPr>
<w:r><w:t xml:space="preserve">government.  On the 13th of August 1887 the British charge</w:t></w:r>
</w:p>
<w:p>
<w:pPr><w:pStyle w:val="Normal"/></w:pPr>
<w:r><w:t xml:space="preserve">d&apos;affaires at Lisbon transmitted to the Portuguese minister</w:t></w:r>
</w:p>
<w:p>
<w:pPr><w:pStyle w:val="Normal"/></w:pPr>
<w:r><w:t xml:space="preserve">for foreign affairs a memorandum from Lord Salisbury, in</w:t></w:r>
</w:p>
<w:p>
<w:pPr><w:pStyle w:val="Normal"/></w:pPr>
<w:r><w:t xml:space="preserve">which the latter formally protested ``against any claims not</w:t></w:r>
</w:p>
<w:p>
<w:pPr><w:pStyle w:val="Normal"/></w:pPr>
<w:r><w:t xml:space="preserve">founded on occupation,&apos;&apos; and contended that the doctrine of</w:t></w:r>
</w:p>
<w:p>
<w:pPr><w:pStyle w:val="Normal"/></w:pPr>
<w:r><w:t xml:space="preserve">effective occupation had been admitted in principle by all the</w:t></w:r>
</w:p>
<w:p>
<w:pPr><w:pStyle w:val="Normal"/></w:pPr>
<w:r><w:t xml:space="preserve">parties to the Act of Berlin.  Lord Salisbury further stated</w:t></w:r>
</w:p>
<w:p>
<w:pPr><w:pStyle w:val="Normal"/></w:pPr>
<w:r><w:t xml:space="preserve">that ``Her Majesty&apos;s government cannot recognize Portuguese</w:t></w:r>
</w:p>
<w:p>
<w:pPr><w:pStyle w:val="Normal"/></w:pPr>
<w:r><w:t xml:space="preserve">sovereignty in territory not occupied by her in sufficient</w:t></w:r>
</w:p>
<w:p>
<w:pPr><w:pStyle w:val="Normal"/></w:pPr>
<w:r><w:t xml:space="preserve">strength to enable her to maintain order, protect foreigners</w:t></w:r>
</w:p>
<w:p>
<w:pPr><w:pStyle w:val="Normal"/></w:pPr>
<w:r><w:t xml:space="preserve">and control the natives.&apos;&apos; To this Portugal replied that the</w:t></w:r>
</w:p>
<w:p>
<w:pPr><w:pStyle w:val="Normal"/></w:pPr>
<w:r><w:t xml:space="preserve">doctrine of effective occupation was expressly confined by</w:t></w:r>
</w:p>
<w:p>
<w:pPr><w:pStyle w:val="Normal"/></w:pPr>
<w:r><w:t xml:space="preserve">the Berlin Act to the African coast, but at the same time</w:t></w:r>
</w:p>
<w:p>
<w:pPr><w:pStyle w:val="Normal"/></w:pPr>
<w:r><w:t xml:space="preserve">expeditions were hastily despatched up the Zambezi and some</w:t></w:r>
</w:p>
<w:p>
<w:pPr><w:pStyle w:val="Normal"/></w:pPr>
<w:r><w:t xml:space="preserve">of its tributaries to discover traces of former Portuguese</w:t></w:r>
</w:p>
<w:p>
<w:pPr><w:pStyle w:val="Normal"/></w:pPr>
<w:r><w:t xml:space="preserve">occupation.  Matabeleland and the districts of Lake Nyasa were</w:t></w:r>
</w:p>
<w:p>
<w:pPr><w:pStyle w:val="Normal"/></w:pPr>
<w:r><w:t xml:space="preserve">specially mentioned in the British protest as countries in which</w:t></w:r>
</w:p>
<w:p>
<w:pPr><w:pStyle w:val="Normal"/></w:pPr>
<w:r><w:t xml:space="preserve">Her Majesty&apos;s government took a special interest.  As a matter</w:t></w:r>
</w:p>
<w:p>
<w:pPr><w:pStyle w:val="Normal"/></w:pPr>
<w:r><w:t xml:space="preserve">of fact the extension of British influence northwards to the</w:t></w:r>
</w:p>
<w:p>
<w:pPr><w:pStyle w:val="Normal"/></w:pPr>
<w:r><w:t xml:space="preserve">Zambezi had engaged the attention of the British authorities</w:t></w:r>
</w:p>
<w:p>
<w:pPr><w:pStyle w:val="Normal"/></w:pPr>
<w:r><w:t xml:space="preserve">ever since the appearance of Germany in South-West Africa and</w:t></w:r>
</w:p>
<w:p>
<w:pPr><w:pStyle w:val="Normal"/></w:pPr>
<w:r><w:t xml:space="preserve">the declaration of a British protectorate over Bechuanaland.</w:t></w:r>
</w:p>
<w:p>
<w:pPr><w:pStyle w:val="Normal"/></w:pPr>
<w:r><w:t xml:space="preserve">There were rumours of German activity in Matabeleland, and</w:t></w:r>
</w:p>
<w:p>
<w:pPr><w:pStyle w:val="Normal"/></w:pPr>
<w:r><w:t xml:space="preserve">Rhodesia secured for Great Britain.</w:t></w:r>
</w:p>
<w:p>
<w:pPr><w:pStyle w:val="Normal"/></w:pPr>
<w:r><w:t xml:space="preserve">of a Boer trek north of the Limpopo.  Hunters and explorers</w:t></w:r>
</w:p>
<w:p>
<w:pPr><w:pStyle w:val="Normal"/></w:pPr>
<w:r><w:t xml:space="preserve">had reported in eulogistic terms on the rich goldfields and</w:t></w:r>
</w:p>
<w:p>
<w:pPr><w:pStyle w:val="Normal"/></w:pPr>
<w:r><w:t xml:space="preserve">healthy plateau lands of Matabeleland and Mashonaland, over</w:t></w:r>
</w:p>
<w:p>
<w:pPr><w:pStyle w:val="Normal"/></w:pPr>
<w:r><w:t xml:space="preserve">both of which countries a powerful chief, Lobengula, claimed</w:t></w:r>
</w:p>
<w:p>
<w:pPr><w:pStyle w:val="Normal"/></w:pPr>
<w:r><w:t xml:space="preserve">authority.  There were many suitors for Lobengula&apos;s favours;</w:t></w:r>
</w:p>
<w:p>
<w:pPr><w:pStyle w:val="Normal"/></w:pPr>
<w:r><w:t xml:space="preserve">but on the 11th of February 1888 he signed a treaty with J.</w:t></w:r>
</w:p>
<w:p>
<w:pPr><w:pStyle w:val="Normal"/></w:pPr>
<w:r><w:t xml:space="preserve">S. Moffat, the assistant commissioner in Bechuanaland, the</w:t></w:r>
</w:p>
<w:p>
<w:pPr><w:pStyle w:val="Normal"/></w:pPr>
<w:r><w:t xml:space="preserve">effect of which was to place all his territory under British</w:t></w:r>
</w:p>
<w:p>
<w:pPr><w:pStyle w:val="Normal"/></w:pPr>
<w:r><w:t xml:space="preserve">protection.  Both the Portuguese and the Transvaal Boers were</w:t></w:r>
</w:p>
<w:p>
<w:pPr><w:pStyle w:val="Normal"/></w:pPr>
<w:r><w:t xml:space="preserve">chagrined at this extension of British influence.  A number of Boers</w:t></w:r>
</w:p>
<w:p>
<w:pPr><w:pStyle w:val="Normal"/></w:pPr>
<w:r><w:t xml:space="preserve">attempted unsuccessfully to trek into the country, and Portugal</w:t></w:r>
</w:p>
<w:p>
<w:pPr><w:pStyle w:val="Normal"/></w:pPr>
<w:r><w:t xml:space="preserve">opposed her ancient claims to the new treaty.  She contended</w:t></w:r>
</w:p>
<w:p>
<w:pPr><w:pStyle w:val="Normal"/></w:pPr>
<w:r><w:t xml:space="preserve">that Lobengula&apos;s authority did not extend over Mashonaland,</w:t></w:r>
</w:p>
<w:p>
<w:pPr><w:pStyle w:val="Normal"/></w:pPr>
<w:r><w:t xml:space="preserve">which she claimed as part of the Portuguese province of Sofala.</w:t></w:r>
</w:p>
<w:p>
<w:pPr><w:pStyle w:val="Normal"/></w:pPr>
<w:r><w:t xml:space="preserve">Meanwhile preparations were being actively made by British</w:t></w:r>
</w:p>
<w:p>
<w:pPr><w:pStyle w:val="Normal"/></w:pPr>
<w:r><w:t xml:space="preserve">capitalists for the exploitation of the mineral and other</w:t></w:r>
</w:p>
<w:p>
<w:pPr><w:pStyle w:val="Normal"/></w:pPr>
<w:r><w:t xml:space="preserve">resources of Lobengula&apos;s territories.  Two rival syndicates</w:t></w:r>
</w:p>
<w:p>
<w:pPr><w:pStyle w:val="Normal"/></w:pPr>
<w:r><w:t xml:space="preserve">obtained, or claimed to have obtained, concessions from</w:t></w:r>
</w:p>
<w:p>
<w:pPr><w:pStyle w:val="Normal"/></w:pPr>
<w:r><w:t xml:space="preserve">Lobengula; but in the summer of 1889 Cecil Rhodes succeeded</w:t></w:r>
</w:p>
<w:p>
<w:pPr><w:pStyle w:val="Normal"/></w:pPr>
<w:r><w:t xml:space="preserve">in amalgamating the conflicting interests, and on the 29th of</w:t></w:r>
</w:p>
<w:p>
<w:pPr><w:pStyle w:val="Normal"/></w:pPr>
<w:r><w:t xml:space="preserve">October of that year the British government granted a charter</w:t></w:r>
</w:p>
<w:p>
<w:pPr><w:pStyle w:val="Normal"/></w:pPr>
<w:r><w:t xml:space="preserve">to the British South Africa Company (see RHODESIA.) The</w:t></w:r>
</w:p>
<w:p>
<w:pPr><w:pStyle w:val="Normal"/></w:pPr>
<w:r><w:t xml:space="preserve">first article of the charter declared that ``the principal</w:t></w:r>
</w:p>
<w:p>
<w:pPr><w:pStyle w:val="Normal"/></w:pPr>
<w:r><w:t xml:space="preserve">field of the operations&apos;&apos; of the company ``shall be the region</w:t></w:r>
</w:p>
<w:p>
<w:pPr><w:pStyle w:val="Normal"/></w:pPr>
<w:r><w:t xml:space="preserve">of South Africa lying immediately to the north of British</w:t></w:r>
</w:p>
<w:p>
<w:pPr><w:pStyle w:val="Normal"/></w:pPr>
<w:r><w:t xml:space="preserve">Bechuanaland, and to the north and west of the South African</w:t></w:r>
</w:p>
<w:p>
<w:pPr><w:pStyle w:val="Normal"/></w:pPr>
<w:r><w:t xml:space="preserve">Republic, and to the west of the Portuguese dominions.&apos;&apos;</w:t></w:r>
</w:p>
<w:p>
<w:pPr><w:pStyle w:val="Normal"/></w:pPr>
<w:r><w:t xml:space="preserve">No time was lost in making preparations for effective</w:t></w:r>
</w:p>
<w:p>
<w:pPr><w:pStyle w:val="Normal"/></w:pPr>
<w:r><w:t xml:space="preserve">occupation.  On the advice of F. C. Selous it was determined</w:t></w:r>
</w:p>
<w:p>
<w:pPr><w:pStyle w:val="Normal"/></w:pPr>
<w:r><w:t xml:space="preserve">to despatch an expedition to eastern Mashonaland by a new</w:t></w:r>
</w:p>
<w:p>
<w:pPr><w:pStyle w:val="Normal"/></w:pPr>
<w:r><w:t xml:space="preserve">route, which would avoid the Matabele country.  This plan was</w:t></w:r>
</w:p>
<w:p>
<w:pPr><w:pStyle w:val="Normal"/></w:pPr>
<w:r><w:t xml:space="preserve">carried out in the summer of 1890, and, thanks to the rapidity</w:t></w:r>
</w:p>
<w:p>
<w:pPr><w:pStyle w:val="Normal"/></w:pPr>
<w:r><w:t xml:space="preserve">with which the column moved and Selous&apos;s intimate knowledge of</w:t></w:r>
</w:p>
<w:p>
<w:pPr><w:pStyle w:val="Normal"/></w:pPr>
<w:r><w:t xml:space="preserve">the country, the British flag was, on the 11th of September,</w:t></w:r>
</w:p>
<w:p>
<w:pPr><w:pStyle w:val="Normal"/></w:pPr>
<w:r><w:t xml:space="preserve">hoisted at a spot on the Makubusi river, where the town of</w:t></w:r>
</w:p>
<w:p>
<w:pPr><w:pStyle w:val="Normal"/></w:pPr>
<w:r><w:t xml:space="preserve">Salisbury now stands, and the country taken possession of</w:t></w:r>
</w:p>
<w:p>
<w:pPr><w:pStyle w:val="Normal"/></w:pPr>
<w:r><w:t xml:space="preserve">in the name of Queen Victoria.  Disputes with the Portuguese</w:t></w:r>
</w:p>
<w:p>
<w:pPr><w:pStyle w:val="Normal"/></w:pPr>
<w:r><w:t xml:space="preserve">ensued, and there were several frontier incidents which for</w:t></w:r>
</w:p>
<w:p>
<w:pPr><w:pStyle w:val="Normal"/></w:pPr>
<w:r><w:t xml:space="preserve">a time embittered the relations between the two countries.</w:t></w:r>
</w:p>
<w:p>
<w:pPr><w:pStyle w:val="Normal"/></w:pPr>
<w:r><w:t xml:space="preserve">Meanwhile, north of the Zambezi, the Portuguese were</w:t></w:r>
</w:p>
<w:p>
<w:pPr><w:pStyle w:val="Normal"/></w:pPr>
<w:r><w:t xml:space="preserve">making desperate but futile attempts to repair the neglect</w:t></w:r>
</w:p>
<w:p>
<w:pPr><w:pStyle w:val="Normal"/></w:pPr>
<w:r><w:t xml:space="preserve">Anglo-Portuguese disputes in Central Africa.</w:t></w:r>
</w:p>
<w:p>
<w:pPr><w:pStyle w:val="Normal"/></w:pPr>
<w:r><w:t xml:space="preserve">of centuries by hastily organized expeditions and the hoisting of</w:t></w:r>
</w:p>
<w:p>
<w:pPr><w:pStyle w:val="Normal"/></w:pPr>
<w:r><w:t xml:space="preserve">flags.  In 1888 an attempt to close the Zambezi to British</w:t></w:r>
</w:p>
<w:p>
<w:pPr><w:pStyle w:val="Normal"/></w:pPr>
<w:r><w:t xml:space="preserve">vessels was frustrated by the firmness of Lord Salisbury.</w:t></w:r>
</w:p>
<w:p>
<w:pPr><w:pStyle w:val="Normal"/></w:pPr>
<w:r><w:t xml:space="preserve">In a despatch to the British minister at Lisbon, dated the</w:t></w:r>
</w:p>
<w:p>
<w:pPr><w:pStyle w:val="Normal"/></w:pPr>
<w:r><w:t xml:space="preserve">25th of June 1888, Lord Salisbury, after brushing aside</w:t></w:r>
</w:p>
<w:p>
<w:pPr><w:pStyle w:val="Normal"/></w:pPr>
<w:r><w:t xml:space="preserve">the Portuguese claims founded on doubtful discoveries three</w:t></w:r>
</w:p>
<w:p>
<w:pPr><w:pStyle w:val="Normal"/></w:pPr>
<w:r><w:t xml:space="preserve">centuries old, stated the British case in a few sentences:--</w:t></w:r>
</w:p>
<w:p>
<w:pPr><w:pStyle w:val="Normal"/></w:pPr>
<w:r><w:t xml:space="preserve">It is (he wrote) an undisputed point that the recent discoveries</w:t></w:r>
</w:p>
<w:p>
<w:pPr><w:pStyle w:val="Normal"/></w:pPr>
<w:r><w:t xml:space="preserve">of the English traveller, Livingstone, were followed by organized</w:t></w:r>
</w:p>
<w:p>
<w:pPr><w:pStyle w:val="Normal"/></w:pPr>
<w:r><w:t xml:space="preserve">attempts on the part of English religious and commercial</w:t></w:r>
</w:p>
<w:p>
<w:pPr><w:pStyle w:val="Normal"/></w:pPr>
<w:r><w:t xml:space="preserve">bodies to open up and civilize the districts surrounding</w:t></w:r>
</w:p>
<w:p>
<w:pPr><w:pStyle w:val="Normal"/></w:pPr>
<w:r><w:t xml:space="preserve">and adjoining the lake.  Many British settlements have been</w:t></w:r>
</w:p>
<w:p>
<w:pPr><w:pStyle w:val="Normal"/></w:pPr>
<w:r><w:t xml:space="preserve">established, the access to which from the sea is by the</w:t></w:r>
</w:p>
<w:p>
<w:pPr><w:pStyle w:val="Normal"/></w:pPr>
<w:r><w:t xml:space="preserve">rivers Zambezi and Shire.  Her Majesty&apos;s government and the</w:t></w:r>
</w:p>
<w:p>
<w:pPr><w:pStyle w:val="Normal"/></w:pPr>
<w:r><w:t xml:space="preserve">British public are much interested in the welfare of these</w:t></w:r>
</w:p>
<w:p>
<w:pPr><w:pStyle w:val="Normal"/></w:pPr>
<w:r><w:t xml:space="preserve">settlements.  Portugal does not occupy, and has never occupied,</w:t></w:r>
</w:p>
<w:p>
<w:pPr><w:pStyle w:val="Normal"/></w:pPr>
<w:r><w:t xml:space="preserve">any portion of the lake, nor of the Shire; she has neither</w:t></w:r>
</w:p>
<w:p>
<w:pPr><w:pStyle w:val="Normal"/></w:pPr>
<w:r><w:t xml:space="preserve">authority nor influence beyond the confluence of the Shire</w:t></w:r>
</w:p>
<w:p>
<w:pPr><w:pStyle w:val="Normal"/></w:pPr>
<w:r><w:t xml:space="preserve">and Zambezi, where her interior custom-house, now withdrawn,</w:t></w:r>
</w:p>
<w:p>
<w:pPr><w:pStyle w:val="Normal"/></w:pPr>
<w:r><w:t xml:space="preserve">was placed by the terms of the Mozambique Tariff of 1877.</w:t></w:r>
</w:p>
<w:p>
<w:pPr><w:pStyle w:val="Normal"/></w:pPr>
<w:r><w:t xml:space="preserve">In 1889 it became known to the British government that a</w:t></w:r>
</w:p>
<w:p>
<w:pPr><w:pStyle w:val="Normal"/></w:pPr>
<w:r><w:t xml:space="preserve">considerable Portuguese expedition was being organized under</w:t></w:r>
</w:p>
<w:p>
<w:pPr><w:pStyle w:val="Normal"/></w:pPr>
<w:r><w:t xml:space="preserve">the command of Major Serpa Pinto, for operating in the Zambezi</w:t></w:r>
</w:p>
<w:p>
<w:pPr><w:pStyle w:val="Normal"/></w:pPr>
<w:r><w:t xml:space="preserve">region.  In answer to inquiries addressed to the Portuguese</w:t></w:r>
</w:p>
<w:p>
<w:pPr><w:pStyle w:val="Normal"/></w:pPr>
<w:r><w:t xml:space="preserve">government, the foreign minister stated that the object of</w:t></w:r>
</w:p>
<w:p>
<w:pPr><w:pStyle w:val="Normal"/></w:pPr>
<w:r><w:t xml:space="preserve">the expedition was to visit the Portuguese settlements on the</w:t></w:r>
</w:p>
<w:p>
<w:pPr><w:pStyle w:val="Normal"/></w:pPr>
<w:r><w:t xml:space="preserve">upper Zambezi.  The British government was, even so late as</w:t></w:r>
</w:p>
<w:p>
<w:pPr><w:pStyle w:val="Normal"/></w:pPr>
<w:r><w:t xml:space="preserve">1889, averse from declaring a formal protectorate over the</w:t></w:r>
</w:p>
<w:p>
<w:pPr><w:pStyle w:val="Normal"/></w:pPr>
<w:r><w:t xml:space="preserve">Nyasa region; but early in that year H. H. (afterwards Sir</w:t></w:r>
</w:p>
<w:p>
<w:pPr><w:pStyle w:val="Normal"/></w:pPr>
<w:r><w:t xml:space="preserve">Harry) Johnston was sent out to Mozambique as British consul,</w:t></w:r>
</w:p>
<w:p>
<w:pPr><w:pStyle w:val="Normal"/></w:pPr>
<w:r><w:t xml:space="preserve">with instructions to travel in the interior and report on</w:t></w:r>
</w:p>
<w:p>
<w:pPr><w:pStyle w:val="Normal"/></w:pPr>
<w:r><w:t xml:space="preserve">the troubles that had arisen with the Arabs on Lake Nyasa</w:t></w:r>
</w:p>
<w:p>
<w:pPr><w:pStyle w:val="Normal"/></w:pPr>
<w:r><w:t xml:space="preserve">and with the Portuguese.  The discovery by D. J. Rankin in</w:t></w:r>
</w:p>
<w:p>
<w:pPr><w:pStyle w:val="Normal"/></w:pPr>
<w:r><w:t xml:space="preserve">1889 of a navigable mouth of the Zambezi--the Chinde--and</w:t></w:r>
</w:p>
<w:p>
<w:pPr><w:pStyle w:val="Normal"/></w:pPr>
<w:r><w:t xml:space="preserve">the offer by Cecil Rhodes of a subsidy of L. 10,000 a year</w:t></w:r>
</w:p>
<w:p>
<w:pPr><w:pStyle w:val="Normal"/></w:pPr>
<w:r><w:t xml:space="preserve">from the British South Africa Company, removed some of the</w:t></w:r>
</w:p>
<w:p>
<w:pPr><w:pStyle w:val="Normal"/></w:pPr>
<w:r><w:t xml:space="preserve">objections to a protectorate entertained by the British</w:t></w:r>
</w:p>
<w:p>
<w:pPr><w:pStyle w:val="Normal"/></w:pPr>
<w:r><w:t xml:space="preserve">government; but Johnston&apos;s instructions were not to proclaim</w:t></w:r>
</w:p>
<w:p>
<w:pPr><w:pStyle w:val="Normal"/></w:pPr>
<w:r><w:t xml:space="preserve">a protectorate unless circumstances compelled him to take that</w:t></w:r>
</w:p>
<w:p>
<w:pPr><w:pStyle w:val="Normal"/></w:pPr>
<w:r><w:t xml:space="preserve">course.  To his surprise Johnston learnt on his arrival at</w:t></w:r>
</w:p>
<w:p>
<w:pPr><w:pStyle w:val="Normal"/></w:pPr>
<w:r><w:t xml:space="preserve">the Zambezi that Major Serpa Pinto&apos;s expedition had been</w:t></w:r>
</w:p>
<w:p>
<w:pPr><w:pStyle w:val="Normal"/></w:pPr>
<w:r><w:t xml:space="preserve">suddenly deflected to the north.  Hurrying forward, Johnston</w:t></w:r>
</w:p>
<w:p>
<w:pPr><w:pStyle w:val="Normal"/></w:pPr>
<w:r><w:t xml:space="preserve">overtook the Portuguese expedition and warned its leader that</w:t></w:r>
</w:p>
<w:p>
<w:pPr><w:pStyle w:val="Normal"/></w:pPr>
<w:r><w:t xml:space="preserve">any attempt to establish political influence north of the</w:t></w:r>
</w:p>
<w:p>
<w:pPr><w:pStyle w:val="Normal"/></w:pPr>
<w:r><w:t xml:space="preserve">Ruo river would compel him to take steps to protect British</w:t></w:r>
</w:p>
<w:p>
<w:pPr><w:pStyle w:val="Normal"/></w:pPr>
<w:r><w:t xml:space="preserve">interests.  On arrival at the Ruo, Major Serpa Pinto returned</w:t></w:r>
</w:p>
<w:p>
<w:pPr><w:pStyle w:val="Normal"/></w:pPr>
<w:r><w:t xml:space="preserve">to Mozambique for instructions, and in his absence Lieutenant</w:t></w:r>
</w:p>
<w:p>
<w:pPr><w:pStyle w:val="Normal"/></w:pPr>
<w:r><w:t xml:space="preserve">Coutinho crossed the river, attacked the Makololo chiefs</w:t></w:r>
</w:p>
<w:p>
<w:pPr><w:pStyle w:val="Normal"/></w:pPr>
<w:r><w:t xml:space="preserve">and sought to obtain possession of the Shire highlands by a</w:t></w:r>
</w:p>
<w:p>
<w:pPr><w:pStyle w:val="Normal"/></w:pPr>
<w:r><w:t xml:space="preserve">coup de main. John Buchanan, the British vice-consul, lost</w:t></w:r>
</w:p>
<w:p>
<w:pPr><w:pStyle w:val="Normal"/></w:pPr>
<w:r><w:t xml:space="preserve">no time in declaring the country under British protection,</w:t></w:r>
</w:p>
<w:p>
<w:pPr><w:pStyle w:val="Normal"/></w:pPr>
<w:r><w:t xml:space="preserve">and his action was subsequently confirmed by Johnston on his</w:t></w:r>
</w:p>
<w:p>
<w:pPr><w:pStyle w:val="Normal"/></w:pPr>
<w:r><w:t xml:space="preserve">return from a treaty-making expedition on Lake Nyasa.  On the</w:t></w:r>
</w:p>
<w:p>
<w:pPr><w:pStyle w:val="Normal"/></w:pPr>
<w:r><w:t xml:space="preserve">news of these events reaching Europe the British government</w:t></w:r>
</w:p>
<w:p>
<w:pPr><w:pStyle w:val="Normal"/></w:pPr>
<w:r><w:t xml:space="preserve">addressed an ultimatum to Portugal, as the result of which</w:t></w:r>
</w:p>
<w:p>
<w:pPr><w:pStyle w:val="Normal"/></w:pPr>
<w:r><w:t xml:space="preserve">Lieutenant Coutinho&apos;s action was disavowed, and he was ordered</w:t></w:r>
</w:p>
<w:p>
<w:pPr><w:pStyle w:val="Normal"/></w:pPr>
<w:r><w:t xml:space="preserve">to withdraw the Portuguese forces south of the Ruo. After</w:t></w:r>
</w:p>
<w:p>
<w:pPr><w:pStyle w:val="Normal"/></w:pPr>
<w:r><w:t xml:space="preserve">prolonged negotiations, a convention was signed between Great</w:t></w:r>
</w:p>
<w:p>
<w:pPr><w:pStyle w:val="Normal"/></w:pPr>
<w:r><w:t xml:space="preserve">Britain and Portugal on the 20th of August 1890, by which</w:t></w:r>
</w:p>
<w:p>
<w:pPr><w:pStyle w:val="Normal"/></w:pPr>
<w:r><w:t xml:space="preserve">Great Britain obtained a broad belt of territory north of the</w:t></w:r>
</w:p>
<w:p>
<w:pPr><w:pStyle w:val="Normal"/></w:pPr>
<w:r><w:t xml:space="preserve">Zambezi, stretching from Lake Nyasa on the east, the southern</w:t></w:r>
</w:p>
<w:p>
<w:pPr><w:pStyle w:val="Normal"/></w:pPr>
<w:r><w:t xml:space="preserve">end of Tanganyika on the north, and the Kabompo tributary of</w:t></w:r>
</w:p>
<w:p>
<w:pPr><w:pStyle w:val="Normal"/></w:pPr>
<w:r><w:t xml:space="preserve">the Zambezi on the west; while south of the Zambezi Portugal</w:t></w:r>
</w:p>
<w:p>
<w:pPr><w:pStyle w:val="Normal"/></w:pPr>
<w:r><w:t xml:space="preserve">retained the right bank of the river from a point ten miles above</w:t></w:r>
</w:p>
<w:p>
<w:pPr><w:pStyle w:val="Normal"/></w:pPr>
<w:r><w:t xml:space="preserve">Zumbo, and the western boundary of her territory south of the</w:t></w:r>
</w:p>
<w:p>
<w:pPr><w:pStyle w:val="Normal"/></w:pPr>
<w:r><w:t xml:space="preserve">river was made to coincide roughly with the 33rd degree of east</w:t></w:r>
</w:p>
<w:p>
<w:pPr><w:pStyle w:val="Normal"/></w:pPr>
<w:r><w:t xml:space="preserve">longitude.  The publication of the convention aroused deep</w:t></w:r>
</w:p>
<w:p>
<w:pPr><w:pStyle w:val="Normal"/></w:pPr>
<w:r><w:t xml:space="preserve">resentment in Portugal, and the government, unable to obtain</w:t></w:r>
</w:p>
<w:p>
<w:pPr><w:pStyle w:val="Normal"/></w:pPr>
<w:r><w:t xml:space="preserve">its ratification by the chamber of deputies, resigned.  In</w:t></w:r>
</w:p>
<w:p>
<w:pPr><w:pStyle w:val="Normal"/></w:pPr>
<w:r><w:t xml:space="preserve">October the abandonment of the convention was accepted by</w:t></w:r>
</w:p>
<w:p>
<w:pPr><w:pStyle w:val="Normal"/></w:pPr>
<w:r><w:t xml:space="preserve">the new Portuguese ministry as a fait accompli; but on</w:t></w:r>
</w:p>
<w:p>
<w:pPr><w:pStyle w:val="Normal"/></w:pPr>
<w:r><w:t xml:space="preserve">the 14th of November the two governments signed an agreement</w:t></w:r>
</w:p>
<w:p>
<w:pPr><w:pStyle w:val="Normal"/></w:pPr>
<w:r><w:t xml:space="preserve">for a modus vivendi, by which they engaged to recognize</w:t></w:r>
</w:p>
<w:p>
<w:pPr><w:pStyle w:val="Normal"/></w:pPr>
<w:r><w:t xml:space="preserve">the territorial limits indicated in the convention of 20th</w:t></w:r>
</w:p>
<w:p>
<w:pPr><w:pStyle w:val="Normal"/></w:pPr>
<w:r><w:t xml:space="preserve">August ``in so far that from the date of the present agreement</w:t></w:r>
</w:p>
<w:p>
<w:pPr><w:pStyle w:val="Normal"/></w:pPr>
<w:r><w:t xml:space="preserve">British and Portuguese spheres defined.</w:t></w:r>
</w:p>
<w:p>
<w:pPr><w:pStyle w:val="Normal"/></w:pPr>
<w:r><w:t xml:space="preserve">to the termination thereof neither Power will make treaties,</w:t></w:r>
</w:p>
<w:p>
<w:pPr><w:pStyle w:val="Normal"/></w:pPr>
<w:r><w:t xml:space="preserve">accept protectorates, nor exercise any act of sovereignty</w:t></w:r>
</w:p>
<w:p>
<w:pPr><w:pStyle w:val="Normal"/></w:pPr>
<w:r><w:t xml:space="preserve">within the spheres of influence assigned to the other party</w:t></w:r>
</w:p>
<w:p>
<w:pPr><w:pStyle w:val="Normal"/></w:pPr>
<w:r><w:t xml:space="preserve">by the said convention.&apos;&apos; The breathing-space thus gained</w:t></w:r>
</w:p>
<w:p>
<w:pPr><w:pStyle w:val="Normal"/></w:pPr>
<w:r><w:t xml:space="preserve">enabled feeling in Portugal to cool down, and on the 11th of</w:t></w:r>
</w:p>
<w:p>
<w:pPr><w:pStyle w:val="Normal"/></w:pPr>
<w:r><w:t xml:space="preserve">June 1891 another treaty was signed, the ratifications being</w:t></w:r>
</w:p>
<w:p>
<w:pPr><w:pStyle w:val="Normal"/></w:pPr>
<w:r><w:t xml:space="preserve">exchanged on the 3rd of July, As already stated, this is the</w:t></w:r>
</w:p>
<w:p>
<w:pPr><w:pStyle w:val="Normal"/></w:pPr>
<w:r><w:t xml:space="preserve">main treaty defining the British and Portuguese spheres both</w:t></w:r>
</w:p>
<w:p>
<w:pPr><w:pStyle w:val="Normal"/></w:pPr>
<w:r><w:t xml:space="preserve">south and north of the Zambezi.  It contained many other</w:t></w:r>
</w:p>
<w:p>
<w:pPr><w:pStyle w:val="Normal"/></w:pPr>
<w:r><w:t xml:space="preserve">provisions relating to trade and navigation, providing, inter</w:t></w:r>
</w:p>
<w:p>
<w:pPr><w:pStyle w:val="Normal"/></w:pPr>
<w:r><w:t xml:space="preserve">alia, a maximum transit duty of 3% on imports and exports</w:t></w:r>
</w:p>
<w:p>
<w:pPr><w:pStyle w:val="Normal"/></w:pPr>
<w:r><w:t xml:space="preserve">crossing Portuguese territories on the east coast to the British</w:t></w:r>
</w:p>
<w:p>
<w:pPr><w:pStyle w:val="Normal"/></w:pPr>
<w:r><w:t xml:space="preserve">sphere, freedom of navigation of the Zambezi and Shire for</w:t></w:r>
</w:p>
<w:p>
<w:pPr><w:pStyle w:val="Normal"/></w:pPr>
<w:r><w:t xml:space="preserve">the ships of all nations, and stipulations as to the making of</w:t></w:r>
</w:p>
<w:p>
<w:pPr><w:pStyle w:val="Normal"/></w:pPr>
<w:r><w:t xml:space="preserve">railways, roads and telegraphs.  The territorial readjustment</w:t></w:r>
</w:p>
<w:p>
<w:pPr><w:pStyle w:val="Normal"/></w:pPr>
<w:r><w:t xml:space="preserve">effected was slightly more favourable to Portugal than that</w:t></w:r>
</w:p>
<w:p>
<w:pPr><w:pStyle w:val="Normal"/></w:pPr>
<w:r><w:t xml:space="preserve">agreed upon by the 1890 convention.  Portugal was given both</w:t></w:r>
</w:p>
<w:p>
<w:pPr><w:pStyle w:val="Normal"/></w:pPr>
<w:r><w:t xml:space="preserve">banks of the Zambezi to a point ten miles west of Zumbo--the</w:t></w:r>
</w:p>
<w:p>
<w:pPr><w:pStyle w:val="Normal"/></w:pPr>
<w:r><w:t xml:space="preserve">farthest settlement of the Portuguese on the river.  South of</w:t></w:r>
</w:p>
<w:p>
<w:pPr><w:pStyle w:val="Normal"/></w:pPr>
<w:r><w:t xml:space="preserve">the Zambezi the frontier takes a south and then an east course</w:t></w:r>
</w:p>
<w:p>
<w:pPr><w:pStyle w:val="Normal"/></w:pPr>
<w:r><w:t xml:space="preserve">till it reaches the edge of the continental plateau, thence</w:t></w:r>
</w:p>
<w:p>
<w:pPr><w:pStyle w:val="Normal"/></w:pPr>
<w:r><w:t xml:space="preserve">running, roughly, along the line of 33 deg.  E. southward to the</w:t></w:r>
</w:p>
<w:p>
<w:pPr><w:pStyle w:val="Normal"/></w:pPr>
<w:r><w:t xml:space="preserve">north-eastern frontier of the Transvaal.  Thus by this treaty</w:t></w:r>
</w:p>
<w:p>
<w:pPr><w:pStyle w:val="Normal"/></w:pPr>
<w:r><w:t xml:space="preserve">Portugal was left in the possession of the coast-lands, while</w:t></w:r>
</w:p>
<w:p>
<w:pPr><w:pStyle w:val="Normal"/></w:pPr>
<w:r><w:t xml:space="preserve">Great Britain maintained her right to Matabele and Mashona</w:t></w:r>
</w:p>
<w:p>
<w:pPr><w:pStyle w:val="Normal"/></w:pPr>
<w:r><w:t xml:space="preserve">lands.  The boundary between the Portuguese sphere of influence</w:t></w:r>
</w:p>
<w:p>
<w:pPr><w:pStyle w:val="Normal"/></w:pPr>
<w:r><w:t xml:space="preserve">on the west coast and the British sphere of influence north</w:t></w:r>
</w:p>
<w:p>
<w:pPr><w:pStyle w:val="Normal"/></w:pPr>
<w:r><w:t xml:space="preserve">of the Zambezi was only vaguely indicated; but it was to be</w:t></w:r>
</w:p>
<w:p>
<w:pPr><w:pStyle w:val="Normal"/></w:pPr>
<w:r><w:t xml:space="preserve">drawn in such a manner as to leave the Barotse country within</w:t></w:r>
</w:p>
<w:p>
<w:pPr><w:pStyle w:val="Normal"/></w:pPr>
<w:r><w:t xml:space="preserve">the British sphere, Lewanika, the paramount chief of the</w:t></w:r>
</w:p>
<w:p>
<w:pPr><w:pStyle w:val="Normal"/></w:pPr>
<w:r><w:t xml:space="preserve">Marotse, claiming that his territory extended much farther</w:t></w:r>
</w:p>
<w:p>
<w:pPr><w:pStyle w:val="Normal"/></w:pPr>
<w:r><w:t xml:space="preserve">to the west than was admitted by the Portuguese.  In August</w:t></w:r>
</w:p>
<w:p>
<w:pPr><w:pStyle w:val="Normal"/></w:pPr>
<w:r><w:t xml:space="preserve">1903 the question what were the limits of the Barotse kingdom</w:t></w:r>
</w:p>
<w:p>
<w:pPr><w:pStyle w:val="Normal"/></w:pPr>
<w:r><w:t xml:space="preserve">was referred to the arbitration of the king of Italy.  By</w:t></w:r>
</w:p>
<w:p>
<w:pPr><w:pStyle w:val="Normal"/></w:pPr>
<w:r><w:t xml:space="preserve">his award, delivered in June 1905, the western limit of the</w:t></w:r>
</w:p>
<w:p>
<w:pPr><w:pStyle w:val="Normal"/></w:pPr>
<w:r><w:t xml:space="preserve">British sphere runs from the northern frontier of German</w:t></w:r>
</w:p>
<w:p>
<w:pPr><w:pStyle w:val="Normal"/></w:pPr>
<w:r><w:t xml:space="preserve">South-West Africa up the Kwando river to 22 deg.  E., follows</w:t></w:r>
</w:p>
<w:p>
<w:pPr><w:pStyle w:val="Normal"/></w:pPr>
<w:r><w:t xml:space="preserve">that meridian north to 13 deg.  S., then runs due east to 24 deg.</w:t></w:r>
</w:p>
<w:p>
<w:pPr><w:pStyle w:val="Normal"/></w:pPr>
<w:r><w:t xml:space="preserve">E., and then north again to the frontier of the Congo State.</w:t></w:r>
</w:p>
<w:p>
<w:pPr><w:pStyle w:val="Normal"/></w:pPr>
<w:r><w:t xml:space="preserve">Before the conclusion of the treaty of June 1891 with Portugal,</w:t></w:r>
</w:p>
<w:p>
<w:pPr><w:pStyle w:val="Normal"/></w:pPr>
<w:r><w:t xml:space="preserve">the British government had made certain arrangements for</w:t></w:r>
</w:p>
<w:p>
<w:pPr><w:pStyle w:val="Normal"/></w:pPr>
<w:r><w:t xml:space="preserve">the administration of the large area north of the Zambezi</w:t></w:r>
</w:p>
<w:p>
<w:pPr><w:pStyle w:val="Normal"/></w:pPr>
<w:r><w:t xml:space="preserve">reserved to British influence.  On the 1st of February</w:t></w:r>
</w:p>
<w:p>
<w:pPr><w:pStyle w:val="Normal"/></w:pPr>
<w:r><w:t xml:space="preserve">Sir Harry Johnston was appointed imperial commissioner in</w:t></w:r>
</w:p>
<w:p>
<w:pPr><w:pStyle w:val="Normal"/></w:pPr>
<w:r><w:t xml:space="preserve">Nyasaland, and a fortnight later the British South Africa</w:t></w:r>
</w:p>
<w:p>
<w:pPr><w:pStyle w:val="Normal"/></w:pPr>
<w:r><w:t xml:space="preserve">Company intimated a desire to extend its operations north of the</w:t></w:r>
</w:p>
<w:p>
<w:pPr><w:pStyle w:val="Normal"/></w:pPr>
<w:r><w:t xml:space="preserve">Zambezi.  Negotiations followed, and the field of operations</w:t></w:r>
</w:p>
<w:p>
<w:pPr><w:pStyle w:val="Normal"/></w:pPr>
<w:r><w:t xml:space="preserve">of the Chartered Company was, on the 2nd of April 1891,</w:t></w:r>
</w:p>
<w:p>
<w:pPr><w:pStyle w:val="Normal"/></w:pPr>
<w:r><w:t xml:space="preserve">extended so as to cover (with the exception of Nyasaland)</w:t></w:r>
</w:p>
<w:p>
<w:pPr><w:pStyle w:val="Normal"/></w:pPr>
<w:r><w:t xml:space="preserve">the whole of the British sphere of influence north of the</w:t></w:r>
</w:p>
<w:p>
<w:pPr><w:pStyle w:val="Normal"/></w:pPr>
<w:r><w:t xml:space="preserve">Zambezi (now known as Northern Rhodesia).  On the 14th of May</w:t></w:r>
</w:p>
<w:p>
<w:pPr><w:pStyle w:val="Normal"/></w:pPr>
<w:r><w:t xml:space="preserve">a formal protectorate was declared over Nyasaland, including</w:t></w:r>
</w:p>
<w:p>
<w:pPr><w:pStyle w:val="Normal"/></w:pPr>
<w:r><w:t xml:space="preserve">the Shire highlands and a belt of territory extending along</w:t></w:r>
</w:p>
<w:p>
<w:pPr><w:pStyle w:val="Normal"/></w:pPr>
<w:r><w:t xml:space="preserve">the whole of the western shore of Lake Nyasa.  The name</w:t></w:r>
</w:p>
<w:p>
<w:pPr><w:pStyle w:val="Normal"/></w:pPr>
<w:r><w:t xml:space="preserve">was changed in 1893 to that of the British Central Africa</w:t></w:r>
</w:p>
<w:p>
<w:pPr><w:pStyle w:val="Normal"/></w:pPr>
<w:r><w:t xml:space="preserve">Protectorate, for which designation was substituted in</w:t></w:r>
</w:p>
<w:p>
<w:pPr><w:pStyle w:val="Normal"/></w:pPr>
<w:r><w:t xml:space="preserve">1907 the more appropriate title of Nyasaland Protectorate.</w:t></w:r>
</w:p>
<w:p>
<w:pPr><w:pStyle w:val="Normal"/></w:pPr>
<w:r><w:t xml:space="preserve">At the date of the assembling of the Berlin conference the</w:t></w:r>
</w:p>
<w:p>
<w:pPr><w:pStyle w:val="Normal"/></w:pPr>
<w:r><w:t xml:space="preserve">German government had notified that the coast-line on the</w:t></w:r>
</w:p>
<w:p>
<w:pPr><w:pStyle w:val="Normal"/></w:pPr>
<w:r><w:t xml:space="preserve">Germany&apos;s share of South Africa.</w:t></w:r>
</w:p>
<w:p>
<w:pPr><w:pStyle w:val="Normal"/></w:pPr>
<w:r><w:t xml:space="preserve">south-west of the continent, from the Orange river to Cape</w:t></w:r>
</w:p>
<w:p>
<w:pPr><w:pStyle w:val="Normal"/></w:pPr>
<w:r><w:t xml:space="preserve">Frio, had been placed under German protection.  On the 13th of</w:t></w:r>
</w:p>
<w:p>
<w:pPr><w:pStyle w:val="Normal"/></w:pPr>
<w:r><w:t xml:space="preserve">April 1885 the German South-West Africa Company was constituted</w:t></w:r>
</w:p>
<w:p>
<w:pPr><w:pStyle w:val="Normal"/></w:pPr>
<w:r><w:t xml:space="preserve">under an order of the imperial cabinet with the rights of state</w:t></w:r>
</w:p>
<w:p>
<w:pPr><w:pStyle w:val="Normal"/></w:pPr>
<w:r><w:t xml:space="preserve">sovereignty, including mining royalties and rights, and a</w:t></w:r>
</w:p>
<w:p>
<w:pPr><w:pStyle w:val="Normal"/></w:pPr>
<w:r><w:t xml:space="preserve">railway and telegraph monopoly.  In that and the following years</w:t></w:r>
</w:p>
<w:p>
<w:pPr><w:pStyle w:val="Normal"/></w:pPr>
<w:r><w:t xml:space="preserve">the Germans vigorously pursued the business of treaty-making</w:t></w:r>
</w:p>
<w:p>
<w:pPr><w:pStyle w:val="Normal"/></w:pPr>
<w:r><w:t xml:space="preserve">with the native chiefs in the interior; and when, in July</w:t></w:r>
</w:p>
<w:p>
<w:pPr><w:pStyle w:val="Normal"/></w:pPr>
<w:r><w:t xml:space="preserve">1890, the British and German governments came to an agreement</w:t></w:r>
</w:p>
<w:p>
<w:pPr><w:pStyle w:val="Normal"/></w:pPr>
<w:r><w:t xml:space="preserve">as to the limits of their respective spheres of influence in</w:t></w:r>
</w:p>
<w:p>
<w:pPr><w:pStyle w:val="Normal"/></w:pPr>
<w:r><w:t xml:space="preserve">various parts of Africa, the boundaries of German South-West</w:t></w:r>
</w:p>
<w:p>
<w:pPr><w:pStyle w:val="Normal"/></w:pPr>
<w:r><w:t xml:space="preserve">Africa were fixed in their present position.  By Article</w:t></w:r>
</w:p>
<w:p>
<w:pPr><w:pStyle w:val="Heading1"/></w:pPr>
<w:r><w:t>III. of this agreement the north bank of the Orange river up</w:t></w:r>
</w:p>
<w:p>
<w:pPr><w:pStyle w:val="Normal"/></w:pPr>
<w:r><w:t xml:space="preserve">to the point of its intersection by the 20th degree of east</w:t></w:r>
</w:p>
<w:p>
<w:pPr><w:pStyle w:val="Normal"/></w:pPr>
<w:r><w:t xml:space="preserve">longitude was made the southern boundary of the German sphere of</w:t></w:r>
</w:p>
<w:p>
<w:pPr><w:pStyle w:val="Normal"/></w:pPr>
<w:r><w:t xml:space="preserve">influence.  The eastern boundary followed the 20th degree</w:t></w:r>
</w:p>
<w:p>
<w:pPr><w:pStyle w:val="Normal"/></w:pPr>
<w:r><w:t xml:space="preserve">of east longitude to its intersection by the 22nd parallel</w:t></w:r>
</w:p>
<w:p>
<w:pPr><w:pStyle w:val="Normal"/></w:pPr>
<w:r><w:t xml:space="preserve">of south latitude, then ran eastwards along that parallel</w:t></w:r>
</w:p>
<w:p>
<w:pPr><w:pStyle w:val="Normal"/></w:pPr>
<w:r><w:t xml:space="preserve">to the point of its intersection by the 21st degree of east</w:t></w:r>
</w:p>
<w:p>
<w:pPr><w:pStyle w:val="Normal"/></w:pPr>
<w:r><w:t xml:space="preserve">longitude.  From that point it ran northwards along the</w:t></w:r>
</w:p>
<w:p>
<w:pPr><w:pStyle w:val="Normal"/></w:pPr>
<w:r><w:t xml:space="preserve">last-named meridian to the point of its intersection by the</w:t></w:r>
</w:p>
<w:p>
<w:pPr><w:pStyle w:val="Normal"/></w:pPr>
<w:r><w:t xml:space="preserve">18th parallel of south latitude, thence eastwards along that</w:t></w:r>
</w:p>
<w:p>
<w:pPr><w:pStyle w:val="Normal"/></w:pPr>
<w:r><w:t xml:space="preserve">parallel to the river Chobe or Kwando, and along the main</w:t></w:r>
</w:p>
<w:p>
<w:pPr><w:pStyle w:val="Normal"/></w:pPr>
<w:r><w:t xml:space="preserve">channel of that river to its junction with the Zambezi, where it</w:t></w:r>
</w:p>
<w:p>
<w:pPr><w:pStyle w:val="Normal"/></w:pPr>
<w:r><w:t xml:space="preserve">terminated.  The northern frontier marched with the southern</w:t></w:r>
</w:p>
<w:p>
<w:pPr><w:pStyle w:val="Normal"/></w:pPr>
<w:r><w:t xml:space="preserve">boundary of Portuguese West Africa.  The object of deflecting</w:t></w:r>
</w:p>
<w:p>
<w:pPr><w:pStyle w:val="Normal"/></w:pPr>
<w:r><w:t xml:space="preserve">the eastern boundary near its northern termination was to give</w:t></w:r>
</w:p>
<w:p>
<w:pPr><w:pStyle w:val="Normal"/></w:pPr>
<w:r><w:t xml:space="preserve">Germany access by her own territory to the upper waters of the</w:t></w:r>
</w:p>
<w:p>
<w:pPr><w:pStyle w:val="Normal"/></w:pPr>
<w:r><w:t xml:space="preserve">Zambezi, and it was declared that this strip of territory</w:t></w:r>
</w:p>
<w:p>
<w:pPr><w:pStyle w:val="Normal"/></w:pPr>
<w:r><w:t xml:space="preserve">was at no part to be less than 20 English miles in width.</w:t></w:r>
</w:p>
<w:p>
<w:pPr><w:pStyle w:val="Normal"/></w:pPr>
<w:r><w:t xml:space="preserve">To complete the survey of the political partition of Africa south</w:t></w:r>
</w:p>
<w:p>
<w:pPr><w:pStyle w:val="Normal"/></w:pPr>
<w:r><w:t xml:space="preserve">of the Zambezi, it is necessary briefly to refer to the events</w:t></w:r>
</w:p>
<w:p>
<w:pPr><w:pStyle w:val="Normal"/></w:pPr>
<w:r><w:t xml:space="preserve">Fate of the Dutch Republics.</w:t></w:r>
</w:p>
<w:p>
<w:pPr><w:pStyle w:val="Normal"/></w:pPr>
<w:r><w:t xml:space="preserve">connected with the South African Republic and the Orange Free</w:t></w:r>
</w:p>
<w:p>
<w:pPr><w:pStyle w:val="Normal"/></w:pPr>
<w:r><w:t xml:space="preserve">State.  In October 1885 the British government made an</w:t></w:r>
</w:p>
<w:p>
<w:pPr><w:pStyle w:val="Normal"/></w:pPr>
<w:r><w:t xml:space="preserve">agreement with the New Republic, a small community of Boer</w:t></w:r>
</w:p>
<w:p>
<w:pPr><w:pStyle w:val="Normal"/></w:pPr>
<w:r><w:t xml:space="preserve">farmers who had in 1884-85 seized part of Zululand and set up a</w:t></w:r>
</w:p>
<w:p>
<w:pPr><w:pStyle w:val="Normal"/></w:pPr>
<w:r><w:t xml:space="preserve">government of their own, defining the frontier between the New</w:t></w:r>
</w:p>
<w:p>
<w:pPr><w:pStyle w:val="Normal"/></w:pPr>
<w:r><w:t xml:space="preserve">Republic and Zululand; but in July 1888 the New Republic was</w:t></w:r>
</w:p>
<w:p>
<w:pPr><w:pStyle w:val="Normal"/></w:pPr>
<w:r><w:t xml:space="preserve">incorporated in the South African Republic.  In a convention</w:t></w:r>
</w:p>
<w:p>
<w:pPr><w:pStyle w:val="Normal"/></w:pPr>
<w:r><w:t xml:space="preserve">of July-August 1890 the British government and the government</w:t></w:r>
</w:p>
<w:p>
<w:pPr><w:pStyle w:val="Normal"/></w:pPr>
<w:r><w:t xml:space="preserve">of the South African Republic confirmed the independence of</w:t></w:r>
</w:p>
<w:p>
<w:pPr><w:pStyle w:val="Normal"/></w:pPr>
<w:r><w:t xml:space="preserve">Swaziland, and on the 8th of November 1893 another convention</w:t></w:r>
</w:p>
<w:p>
<w:pPr><w:pStyle w:val="Normal"/></w:pPr>
<w:r><w:t xml:space="preserve">was signed with the same object; but on the 19th of December</w:t></w:r>
</w:p>
<w:p>
<w:pPr><w:pStyle w:val="Normal"/></w:pPr>
<w:r><w:t xml:space="preserve">1894 the British government agreed to the South African</w:t></w:r>
</w:p>
<w:p>
<w:pPr><w:pStyle w:val="Normal"/></w:pPr>
<w:r><w:t xml:space="preserve">Republic exercising ``all rights and powers of protection,</w:t></w:r>
</w:p>
<w:p>
<w:pPr><w:pStyle w:val="Normal"/></w:pPr>
<w:r><w:t xml:space="preserve">legislation, jurisdiction and administration over Swaziland and</w:t></w:r>
</w:p>
<w:p>
<w:pPr><w:pStyle w:val="Normal"/></w:pPr>
<w:r><w:t xml:space="preserve">the inhabitants thereof,&apos;&apos; subject to certain conditions and</w:t></w:r>
</w:p>
<w:p>
<w:pPr><w:pStyle w:val="Normal"/></w:pPr>
<w:r><w:t xml:space="preserve">provisions, and to the non-incorporation of Swaziland in the</w:t></w:r>
</w:p>
<w:p>
<w:pPr><w:pStyle w:val="Normal"/></w:pPr>
<w:r><w:t xml:space="preserve">Republic.  In the previous September Pondoland had been</w:t></w:r>
</w:p>
<w:p>
<w:pPr><w:pStyle w:val="Normal"/></w:pPr>
<w:r><w:t xml:space="preserve">annexed to Cape Colony; on the 23rd of April 1895 Tongaland</w:t></w:r>
</w:p>
<w:p>
<w:pPr><w:pStyle w:val="Normal"/></w:pPr>
<w:r><w:t xml:space="preserve">was declared by proclamation to be added to the dominions of</w:t></w:r>
</w:p>
<w:p>
<w:pPr><w:pStyle w:val="Normal"/></w:pPr>
<w:r><w:t xml:space="preserve">Queen Victoria, and in December 1897 Zululand and Tongaland,</w:t></w:r>
</w:p>
<w:p>
<w:pPr><w:pStyle w:val="Normal"/></w:pPr>
<w:r><w:t xml:space="preserve">or Amatongaland, were incorporated with the colony of</w:t></w:r>
</w:p>
<w:p>
<w:pPr><w:pStyle w:val="Normal"/></w:pPr>
<w:r><w:t xml:space="preserve">Natal.  The history of the events that led up to the Boer</w:t></w:r>
</w:p>
<w:p>
<w:pPr><w:pStyle w:val="Normal"/></w:pPr>
<w:r><w:t xml:space="preserve">War of 1899-1902 cannot be recounted here (see TRANSVAAL,</w:t></w:r>
</w:p>
<w:p>
<w:pPr><w:pStyle w:val="Normal"/></w:pPr>
<w:r><w:t xml:space="preserve">History), but in October 1899 the South African Republic and</w:t></w:r>
</w:p>
<w:p>
<w:pPr><w:pStyle w:val="Normal"/></w:pPr>
<w:r><w:t xml:space="preserve">the Orange Free State addressed an ultimatum to Great Britain</w:t></w:r>
</w:p>
<w:p>
<w:pPr><w:pStyle w:val="Normal"/></w:pPr>
<w:r><w:t xml:space="preserve">and invaded Natal and Cape Colony.  As a result of the military</w:t></w:r>
</w:p>
<w:p>
<w:pPr><w:pStyle w:val="Normal"/></w:pPr>
<w:r><w:t xml:space="preserve">operations that followed, the Orange Free State was, on the</w:t></w:r>
</w:p>
<w:p>
<w:pPr><w:pStyle w:val="Normal"/></w:pPr>
<w:r><w:t xml:space="preserve">28th of May 1900, proclaimed by Lord Roberts a British colony</w:t></w:r>
</w:p>
<w:p>
<w:pPr><w:pStyle w:val="Normal"/></w:pPr>
<w:r><w:t xml:space="preserve">under the name ``Orange River Colony,&apos;&apos; and the South African</w:t></w:r>
</w:p>
<w:p>
<w:pPr><w:pStyle w:val="Normal"/></w:pPr>
<w:r><w:t xml:space="preserve">Republic was on the 25th of October 1900 incorporated in the</w:t></w:r>
</w:p>
<w:p>
<w:pPr><w:pStyle w:val="Normal"/></w:pPr>
<w:r><w:t xml:space="preserve">British empire as the ``Transvaal Colony.&apos;&apos; In January 1903</w:t></w:r>
</w:p>
<w:p>
<w:pPr><w:pStyle w:val="Normal"/></w:pPr>
<w:r><w:t xml:space="preserve">the districts of Vryheid (formerly the New Republic), Utrecht</w:t></w:r>
</w:p>
<w:p>
<w:pPr><w:pStyle w:val="Normal"/></w:pPr>
<w:r><w:t xml:space="preserve">and part of the Wakkerstroom district, a tract of territory</w:t></w:r>
</w:p>
<w:p>
<w:pPr><w:pStyle w:val="Normal"/></w:pPr>
<w:r><w:t xml:space="preserve">comprising in all about 7000 sq. m., were transferred from</w:t></w:r>
</w:p>
<w:p>
<w:pPr><w:pStyle w:val="Normal"/></w:pPr>
<w:r><w:t xml:space="preserve">the Transvaal colony to Natal.  In 1907 both the Transvaal</w:t></w:r>
</w:p>
<w:p>
<w:pPr><w:pStyle w:val="Normal"/></w:pPr>
<w:r><w:t xml:space="preserve">and Orange River Colony were granted responsible government.</w:t></w:r>
</w:p>
<w:p>
<w:pPr><w:pStyle w:val="Normal"/></w:pPr>
<w:r><w:t xml:space="preserve">On the east coast the two great rivals were Germany and Great</w:t></w:r>
</w:p>
<w:p>
<w:pPr><w:pStyle w:val="Normal"/></w:pPr>
<w:r><w:t xml:space="preserve">Britain.  Germany on the 30th of December 1886, and Great</w:t></w:r>
</w:p>
<w:p>
<w:pPr><w:pStyle w:val="Normal"/></w:pPr>
<w:r><w:t xml:space="preserve">Anglo-German rivalry in East Africa.</w:t></w:r>
</w:p>
<w:p>
<w:pPr><w:pStyle w:val="Normal"/></w:pPr>
<w:r><w:t xml:space="preserve">Britain on the 11th of June 1891, formally recognized the</w:t></w:r>
</w:p>
<w:p>
<w:pPr><w:pStyle w:val="Normal"/></w:pPr>
<w:r><w:t xml:space="preserve">Rovuma river as the northern boundary of the Portuguese sphere</w:t></w:r>
</w:p>
<w:p>
<w:pPr><w:pStyle w:val="Normal"/></w:pPr>
<w:r><w:t xml:space="preserve">of influence on that coast; but it was to the north of that</w:t></w:r>
</w:p>
<w:p>
<w:pPr><w:pStyle w:val="Normal"/></w:pPr>
<w:r><w:t xml:space="preserve">river, over the vast area of East or East Central Africa in</w:t></w:r>
</w:p>
<w:p>
<w:pPr><w:pStyle w:val="Normal"/></w:pPr>
<w:r><w:t xml:space="preserve">which the sultan of Zanzibar claimed to exercise suzerainty,</w:t></w:r>
</w:p>
<w:p>
<w:pPr><w:pStyle w:val="Normal"/></w:pPr>
<w:r><w:t xml:space="preserve">that the struggle between the two rival powers was most</w:t></w:r>
</w:p>
<w:p>
<w:pPr><w:pStyle w:val="Normal"/></w:pPr>
<w:r><w:t xml:space="preserve">acute.  The independence of the sultans of Zanzibar had</w:t></w:r>
</w:p>
<w:p>
<w:pPr><w:pStyle w:val="Normal"/></w:pPr>
<w:r><w:t xml:space="preserve">been recognized by the governments of Great Britain and</w:t></w:r>
</w:p>
<w:p>
<w:pPr><w:pStyle w:val="Normal"/></w:pPr>
<w:r><w:t xml:space="preserve">France in 1862, and the sultan&apos;s authority extended almost</w:t></w:r>
</w:p>
<w:p>
<w:pPr><w:pStyle w:val="Normal"/></w:pPr>
<w:r><w:t xml:space="preserve">uninterruptedly along the coast of the mainland, from Cape</w:t></w:r>
</w:p>
<w:p>
<w:pPr><w:pStyle w:val="Normal"/></w:pPr>
<w:r><w:t xml:space="preserve">Delgado in the south to Warsheik on the north--a stretch of</w:t></w:r>
</w:p>
<w:p>
<w:pPr><w:pStyle w:val="Normal"/></w:pPr>
<w:r><w:t xml:space="preserve">coast more than a thousand miles long--though to the north</w:t></w:r>
</w:p>
<w:p>
<w:pPr><w:pStyle w:val="Normal"/></w:pPr>
<w:r><w:t xml:space="preserve">the sultan&apos;s authority was confined to certain ports.  In</w:t></w:r>
</w:p>
<w:p>
<w:pPr><w:pStyle w:val="Normal"/></w:pPr>
<w:r><w:t xml:space="preserve">Zanzibar itself, where Sir John Kirk, Livingstone&apos;s companion</w:t></w:r>
</w:p>
<w:p>
<w:pPr><w:pStyle w:val="Normal"/></w:pPr>
<w:r><w:t xml:space="preserve">in his second expedition, was British consul-general, British</w:t></w:r>
</w:p>
<w:p>
<w:pPr><w:pStyle w:val="Normal"/></w:pPr>
<w:r><w:t xml:space="preserve">influence was, when the Berlin conference met, practically</w:t></w:r>
</w:p>
<w:p>
<w:pPr><w:pStyle w:val="Normal"/></w:pPr>
<w:r><w:t xml:space="preserve">supreme, though German traders had established themselves on</w:t></w:r>
</w:p>
<w:p>
<w:pPr><w:pStyle w:val="Normal"/></w:pPr>
<w:r><w:t xml:space="preserve">the island and created considerable commercial interests.</w:t></w:r>
</w:p>
<w:p>
<w:pPr><w:pStyle w:val="Normal"/></w:pPr>
<w:r><w:t xml:space="preserve">Away from the coasts the limits and extent of the sultan&apos;s</w:t></w:r>
</w:p>
<w:p>
<w:pPr><w:pStyle w:val="Normal"/></w:pPr>
<w:r><w:t xml:space="preserve">authority were far from being clearly defined.  The sultan</w:t></w:r>
</w:p>
<w:p>
<w:pPr><w:pStyle w:val="Normal"/></w:pPr>
<w:r><w:t xml:space="preserve">himself claimed that it extended as far as Lake Tanganyika, but</w:t></w:r>
</w:p>
<w:p>
<w:pPr><w:pStyle w:val="Normal"/></w:pPr>
<w:r><w:t xml:space="preserve">the claim did not rest on any very solid ground of effective</w:t></w:r>
</w:p>
<w:p>
<w:pPr><w:pStyle w:val="Normal"/></w:pPr>
<w:r><w:t xml:space="preserve">occupation.  The little-known region of the Great Lakes had</w:t></w:r>
</w:p>
<w:p>
<w:pPr><w:pStyle w:val="Normal"/></w:pPr>
<w:r><w:t xml:space="preserve">for some time attracted the attention of the men who were</w:t></w:r>
</w:p>
<w:p>
<w:pPr><w:pStyle w:val="Normal"/></w:pPr>
<w:r><w:t xml:space="preserve">directing the colonial movement in Germany; and, as has been</w:t></w:r>
</w:p>
<w:p>
<w:pPr><w:pStyle w:val="Normal"/></w:pPr>
<w:r><w:t xml:space="preserve">stated, a small band of pioneers actually landed on the</w:t></w:r>
</w:p>
<w:p>
<w:pPr><w:pStyle w:val="Normal"/></w:pPr>
<w:r><w:t xml:space="preserve">mainland opposite Zanzibar in November 1884, and made their</w:t></w:r>
</w:p>
<w:p>
<w:pPr><w:pStyle w:val="Normal"/></w:pPr>
<w:r><w:t xml:space="preserve">first ``treaty&apos;&apos; with the chief of Mbuzini on the 19th of</w:t></w:r>
</w:p>
<w:p>
<w:pPr><w:pStyle w:val="Normal"/></w:pPr>
<w:r><w:t xml:space="preserve">that month Pushing up the Wami river the three adventurers</w:t></w:r>
</w:p>
<w:p>
<w:pPr><w:pStyle w:val="Normal"/></w:pPr>
<w:r><w:t xml:space="preserve">reached the Usagara country, and concluded more ``treaties,&apos;&apos;</w:t></w:r>
</w:p>
<w:p>
<w:pPr><w:pStyle w:val="Normal"/></w:pPr>
<w:r><w:t xml:space="preserve">the net result being that when, in the middle of December,</w:t></w:r>
</w:p>
<w:p>
<w:pPr><w:pStyle w:val="Normal"/></w:pPr>
<w:r><w:t xml:space="preserve">Karl Peters returned to the coast he brought back with him</w:t></w:r>
</w:p>
<w:p>
<w:pPr><w:pStyle w:val="Normal"/></w:pPr>
<w:r><w:t xml:space="preserve">documents which were claimed to concede some 60,000 sq.</w:t></w:r>
</w:p>
<w:p>
<w:pPr><w:pStyle w:val="Normal"/></w:pPr>
<w:r><w:t xml:space="preserve">m. of country to the German Colonization Society.  Peters</w:t></w:r>
</w:p>
<w:p>
<w:pPr><w:pStyle w:val="Normal"/></w:pPr>
<w:r><w:t xml:space="preserve">hurried back to Berlin, and on the 17th of February 1885 the</w:t></w:r>
</w:p>
<w:p>
<w:pPr><w:pStyle w:val="Normal"/></w:pPr>
<w:r><w:t xml:space="preserve">German emperor issued a ``Charter of Protection&apos;&apos; by which</w:t></w:r>
</w:p>
<w:p>
<w:pPr><w:pStyle w:val="Normal"/></w:pPr>
<w:r><w:t xml:space="preserve">His Majesty accepted the suzerainty of the newly-acquired</w:t></w:r>
</w:p>
<w:p>
<w:pPr><w:pStyle w:val="Normal"/></w:pPr>
<w:r><w:t xml:space="preserve">territory, and ``placed under our Imperial protection the</w:t></w:r>
</w:p>
<w:p>
<w:pPr><w:pStyle w:val="Normal"/></w:pPr>
<w:r><w:t xml:space="preserve">territories in question.&apos;&apos; The conclusion of these treaties</w:t></w:r>
</w:p>
<w:p>
<w:pPr><w:pStyle w:val="Normal"/></w:pPr>
<w:r><w:t xml:space="preserve">was, on the 6th of March, notified to the British government</w:t></w:r>
</w:p>
<w:p>
<w:pPr><w:pStyle w:val="Normal"/></w:pPr>
<w:r><w:t xml:space="preserve">and to the sultan of Zanzibar.  Immediately on receipt of</w:t></w:r>
</w:p>
<w:p>
<w:pPr><w:pStyle w:val="Normal"/></w:pPr>
<w:r><w:t xml:space="preserve">the notification the sultan telegraphed an energetic protest</w:t></w:r>
</w:p>
<w:p>
<w:pPr><w:pStyle w:val="Normal"/></w:pPr>
<w:r><w:t xml:space="preserve">to Berlin, alleging that the places placed under German</w:t></w:r>
</w:p>
<w:p>
<w:pPr><w:pStyle w:val="Normal"/></w:pPr>
<w:r><w:t xml:space="preserve">protection had belonged to the sultanate of Zanzibar from</w:t></w:r>
</w:p>
<w:p>
<w:pPr><w:pStyle w:val="Normal"/></w:pPr>
<w:r><w:t xml:space="preserve">the time of his fathers.  The German consul-general refused</w:t></w:r>
</w:p>
<w:p>
<w:pPr><w:pStyle w:val="Normal"/></w:pPr>
<w:r><w:t xml:space="preserve">to admit the sultan&apos;s claims, and meanwhile agents of the</w:t></w:r>
</w:p>
<w:p>
<w:pPr><w:pStyle w:val="Normal"/></w:pPr>
<w:r><w:t xml:space="preserve">German society were energetically pursuing the task of</w:t></w:r>
</w:p>
<w:p>
<w:pPr><w:pStyle w:val="Normal"/></w:pPr>
<w:r><w:t xml:space="preserve">treaty-making.  The sultan (Seyyid Bargash) despatched a</w:t></w:r>
</w:p>
<w:p>
<w:pPr><w:pStyle w:val="Normal"/></w:pPr>
<w:r><w:t xml:space="preserve">small force to the disputed territory, which was subsequently</w:t></w:r>
</w:p>
<w:p>
<w:pPr><w:pStyle w:val="Normal"/></w:pPr>
<w:r><w:t xml:space="preserve">withdrawn, and in May sent a more imposing expedition under</w:t></w:r>
</w:p>
<w:p>
<w:pPr><w:pStyle w:val="Normal"/></w:pPr>
<w:r><w:t xml:space="preserve">the command of General Lloyd Mathews, the commander-in-chief</w:t></w:r>
</w:p>
<w:p>
<w:pPr><w:pStyle w:val="Normal"/></w:pPr>
<w:r><w:t xml:space="preserve">of the Zanzibar army, to the Kilimanjaro district, in</w:t></w:r>
</w:p>
<w:p>
<w:pPr><w:pStyle w:val="Normal"/></w:pPr>
<w:r><w:t xml:space="preserve">order to anticipate the action of German agents.  Meanwhile</w:t></w:r>
</w:p>
<w:p>
<w:pPr><w:pStyle w:val="Normal"/></w:pPr>
<w:r><w:t xml:space="preserve">Lord Granville, then at the British Foreign Office, had</w:t></w:r>
</w:p>
<w:p>
<w:pPr><w:pStyle w:val="Normal"/></w:pPr>
<w:r><w:t xml:space="preserve">Lord Granville&apos;s complaisance towards Germany.</w:t></w:r>
</w:p>
<w:p>
<w:pPr><w:pStyle w:val="Normal"/></w:pPr>
<w:r><w:t xml:space="preserve">taken up an extremely friendly attitude towards the German</w:t></w:r>
</w:p>
<w:p>
<w:pPr><w:pStyle w:val="Normal"/></w:pPr>
<w:r><w:t xml:space="preserve">claims.  Before these events the sultan of Zanzibar had, on</w:t></w:r>
</w:p>
<w:p>
<w:pPr><w:pStyle w:val="Normal"/></w:pPr>
<w:r><w:t xml:space="preserve">more than one occasion, practically invited Great Britain</w:t></w:r>
</w:p>
<w:p>
<w:pPr><w:pStyle w:val="Normal"/></w:pPr>
<w:r><w:t xml:space="preserve">to assume a protectorate over his dominions.  But the</w:t></w:r>
</w:p>
<w:p>
<w:pPr><w:pStyle w:val="Normal"/></w:pPr>
<w:r><w:t xml:space="preserve">invitations had been declined.  Egyptian affairs were, in</w:t></w:r>
</w:p>
<w:p>
<w:pPr><w:pStyle w:val="Normal"/></w:pPr>
<w:r><w:t xml:space="preserve">the year 1885, causing considerable anxiety to the British</w:t></w:r>
</w:p>
<w:p>
<w:pPr><w:pStyle w:val="Normal"/></w:pPr>
<w:r><w:t xml:space="preserve">government, and the fact was not without influence on the</w:t></w:r>
</w:p>
<w:p>
<w:pPr><w:pStyle w:val="Normal"/></w:pPr>
<w:r><w:t xml:space="preserve">attitude of the British foreign secretary.  On the 25th</w:t></w:r>
</w:p>
<w:p>
<w:pPr><w:pStyle w:val="Normal"/></w:pPr>
<w:r><w:t xml:space="preserve">of May 1885, in a despatch to the British ambassador at</w:t></w:r>
</w:p>
<w:p>
<w:pPr><w:pStyle w:val="Normal"/></w:pPr>
<w:r><w:t xml:space="preserve">Berlin, Lord Granville instructed Sir E. Malet to communicate</w:t></w:r>
</w:p>
<w:p>
<w:pPr><w:pStyle w:val="Normal"/></w:pPr>
<w:r><w:t xml:space="preserve">the views of the British cabinet to Prince Bismarck:--</w:t></w:r>
</w:p>
<w:p>
<w:pPr><w:pStyle w:val="Heading1"/></w:pPr>
<w:r><w:t>I have to request your Excellency to state that the supposition</w:t></w:r>
</w:p>
<w:p>
<w:pPr><w:pStyle w:val="Normal"/></w:pPr>
<w:r><w:t xml:space="preserve">that Her Majesty&apos;s Government have no intention of opposing</w:t></w:r>
</w:p>
<w:p>
<w:pPr><w:pStyle w:val="Normal"/></w:pPr>
<w:r><w:t xml:space="preserve">the German scheme of colonization in the neighbourhood of</w:t></w:r>
</w:p>
<w:p>
<w:pPr><w:pStyle w:val="Normal"/></w:pPr>
<w:r><w:t xml:space="preserve">Zanzibar is absolutely correct.  Her Majesty&apos;s Government, on</w:t></w:r>
</w:p>
<w:p>
<w:pPr><w:pStyle w:val="Normal"/></w:pPr>
<w:r><w:t xml:space="preserve">the contrary, view with favour these schemes, the realization</w:t></w:r>
</w:p>
<w:p>
<w:pPr><w:pStyle w:val="Normal"/></w:pPr>
<w:r><w:t xml:space="preserve">of which will entail the civilization of large tracts over</w:t></w:r>
</w:p>
<w:p>
<w:pPr><w:pStyle w:val="Normal"/></w:pPr>
<w:r><w:t xml:space="preserve">which hitherto no European influence has been exercised, the</w:t></w:r>
</w:p>
<w:p>
<w:pPr><w:pStyle w:val="Normal"/></w:pPr>
<w:r><w:t xml:space="preserve">co-operation of Germany with Great Britain in the work of</w:t></w:r>
</w:p>
<w:p>
<w:pPr><w:pStyle w:val="Normal"/></w:pPr>
<w:r><w:t xml:space="preserve">the suppression of the slave gangs, and the encouragement of</w:t></w:r>
</w:p>
<w:p>
<w:pPr><w:pStyle w:val="Normal"/></w:pPr>
<w:r><w:t xml:space="preserve">the efforts of the Sultan both in the extinction of the slave</w:t></w:r>
</w:p>
<w:p>
<w:pPr><w:pStyle w:val="Normal"/></w:pPr>
<w:r><w:t xml:space="preserve">trade and in the commercial development of his dominions.</w:t></w:r>
</w:p>
<w:p>
<w:pPr><w:pStyle w:val="Normal"/></w:pPr>
<w:r><w:t xml:space="preserve">In the same despatch Lord Granville instructed Sir E. Malet</w:t></w:r>
</w:p>
<w:p>
<w:pPr><w:pStyle w:val="Normal"/></w:pPr>
<w:r><w:t xml:space="preserve">to intimate to the German government that some prominent</w:t></w:r>
</w:p>
<w:p>
<w:pPr><w:pStyle w:val="Normal"/></w:pPr>
<w:r><w:t xml:space="preserve">capitalists had originated a plan for a British settlement</w:t></w:r>
</w:p>
<w:p>
<w:pPr><w:pStyle w:val="Normal"/></w:pPr>
<w:r><w:t xml:space="preserve">in the country between the coast and the lakes, which are</w:t></w:r>
</w:p>
<w:p>
<w:pPr><w:pStyle w:val="Normal"/></w:pPr>
<w:r><w:t xml:space="preserve">the sources of the White Nile, ``and for its connexion with</w:t></w:r>
</w:p>
<w:p>
<w:pPr><w:pStyle w:val="Normal"/></w:pPr>
<w:r><w:t xml:space="preserve">the coast by a railway.&apos;&apos; But Her Majesty&apos;s government would</w:t></w:r>
</w:p>
<w:p>
<w:pPr><w:pStyle w:val="Normal"/></w:pPr>
<w:r><w:t xml:space="preserve">not accord to these prominent capitalists the support they</w:t></w:r>
</w:p>
<w:p>
<w:pPr><w:pStyle w:val="Normal"/></w:pPr>
<w:r><w:t xml:space="preserve">had called for, ``unless they were fully satisfied that</w:t></w:r>
</w:p>
<w:p>
<w:pPr><w:pStyle w:val="Normal"/></w:pPr>
<w:r><w:t xml:space="preserve">every precaution was taken to ensure that it should in no</w:t></w:r>
</w:p>
<w:p>
<w:pPr><w:pStyle w:val="Normal"/></w:pPr>
<w:r><w:t xml:space="preserve">way conflict with the interests of the territory that has</w:t></w:r>
</w:p>
<w:p>
<w:pPr><w:pStyle w:val="Normal"/></w:pPr>
<w:r><w:t xml:space="preserve">been taken under German protectorate,&apos;&apos; and Prince Bismarck</w:t></w:r>
</w:p>
<w:p>
<w:pPr><w:pStyle w:val="Normal"/></w:pPr>
<w:r><w:t xml:space="preserve">was practically invited to say whether British capitalists</w:t></w:r>
</w:p>
<w:p>
<w:pPr><w:pStyle w:val="Normal"/></w:pPr>
<w:r><w:t xml:space="preserve">were or were not to receive the protection of the British</w:t></w:r>
</w:p>
<w:p>
<w:pPr><w:pStyle w:val="Normal"/></w:pPr>
<w:r><w:t xml:space="preserve">government.  The reference in Lord Granville&apos;s despatch was</w:t></w:r>
</w:p>
<w:p>
<w:pPr><w:pStyle w:val="Normal"/></w:pPr>
<w:r><w:t xml:space="preserve">to a proposal made by a number of British merchants and others</w:t></w:r>
</w:p>
<w:p>
<w:pPr><w:pStyle w:val="Normal"/></w:pPr>
<w:r><w:t xml:space="preserve">who had long been interested in Zanzibar, and who saw in the</w:t></w:r>
</w:p>
<w:p>
<w:pPr><w:pStyle w:val="Normal"/></w:pPr>
<w:r><w:t xml:space="preserve">rapid advance of Germany a menace to the interests which had</w:t></w:r>
</w:p>
<w:p>
<w:pPr><w:pStyle w:val="Normal"/></w:pPr>
<w:r><w:t xml:space="preserve">hitherto been regarded as paramount in the sultanate.  In</w:t></w:r>
</w:p>
<w:p>
<w:pPr><w:pStyle w:val="Normal"/></w:pPr>
<w:r><w:t xml:space="preserve">1884 H. H. Johnston had concluded treaties with the chief</w:t></w:r>
</w:p>
<w:p>
<w:pPr><w:pStyle w:val="Normal"/></w:pPr>
<w:r><w:t xml:space="preserve">of Taveta in the Kilimanjaro district, and had transferred</w:t></w:r>
</w:p>
<w:p>
<w:pPr><w:pStyle w:val="Normal"/></w:pPr>
<w:r><w:t xml:space="preserve">these treaties to John Hutton of Manchester.  Hutton, with Mr</w:t></w:r>
</w:p>
<w:p>
<w:pPr><w:pStyle w:val="Normal"/></w:pPr>
<w:r><w:t xml:space="preserve">(afterwards Sir William) Mackinnon, was one of the founders</w:t></w:r>
</w:p>
<w:p>
<w:pPr><w:pStyle w:val="Normal"/></w:pPr>
<w:r><w:t xml:space="preserve">of what subsequently became the Imperial British East Africa</w:t></w:r>
</w:p>
<w:p>
<w:pPr><w:pStyle w:val="Normal"/></w:pPr>
<w:r><w:t xml:space="preserve">Company.  But in the early stages the champions of British</w:t></w:r>
</w:p>
<w:p>
<w:pPr><w:pStyle w:val="Normal"/></w:pPr>
<w:r><w:t xml:space="preserve">interests in East Africa received no support from their own</w:t></w:r>
</w:p>
<w:p>
<w:pPr><w:pStyle w:val="Normal"/></w:pPr>
<w:r><w:t xml:space="preserve">government, while Germany was pushing her advantage with the</w:t></w:r>
</w:p>
<w:p>
<w:pPr><w:pStyle w:val="Normal"/></w:pPr>
<w:r><w:t xml:space="preserve">energy of a recent convert to colonial expansion, and had</w:t></w:r>
</w:p>
<w:p>
<w:pPr><w:pStyle w:val="Normal"/></w:pPr>
<w:r><w:t xml:space="preserve">even, on the coast, opened negotiations with the sultan of</w:t></w:r>
</w:p>
<w:p>
<w:pPr><w:pStyle w:val="Normal"/></w:pPr>
<w:r><w:t xml:space="preserve">Witu, a small territory situated north of the Tana river, whose</w:t></w:r>
</w:p>
<w:p>
<w:pPr><w:pStyle w:val="Normal"/></w:pPr>
<w:r><w:t xml:space="preserve">ruler claimed to be independent of Zanzibar.  On the 5th of May</w:t></w:r>
</w:p>
<w:p>
<w:pPr><w:pStyle w:val="Normal"/></w:pPr>
<w:r><w:t xml:space="preserve">1885 the sultan of Witu executed a deed of sale and cession to</w:t></w:r>
</w:p>
<w:p>
<w:pPr><w:pStyle w:val="Normal"/></w:pPr>
<w:r><w:t xml:space="preserve">a German subject of certain tracts of land on the coast, and</w:t></w:r>
</w:p>
<w:p>
<w:pPr><w:pStyle w:val="Normal"/></w:pPr>
<w:r><w:t xml:space="preserve">later in the same year other treaties or sales of territory</w:t></w:r>
</w:p>
<w:p>
<w:pPr><w:pStyle w:val="Normal"/></w:pPr>
<w:r><w:t xml:space="preserve">were effected, by which German subjects acquired rights on</w:t></w:r>
</w:p>
<w:p>
<w:pPr><w:pStyle w:val="Normal"/></w:pPr>
<w:r><w:t xml:space="preserve">the coast-line claimed by the sultan.  Inland, treaties had</w:t></w:r>
</w:p>
<w:p>
<w:pPr><w:pStyle w:val="Normal"/></w:pPr>
<w:r><w:t xml:space="preserve">been concluded on behalf of Germany with the chiefs of the</w:t></w:r>
</w:p>
<w:p>
<w:pPr><w:pStyle w:val="Normal"/></w:pPr>
<w:r><w:t xml:space="preserve">Kilimanjaro region, and an intimation to that effect made to</w:t></w:r>
</w:p>
<w:p>
<w:pPr><w:pStyle w:val="Normal"/></w:pPr>
<w:r><w:t xml:space="preserve">the British government.  But before this occurred the German</w:t></w:r>
</w:p>
<w:p>
<w:pPr><w:pStyle w:val="Normal"/></w:pPr>
<w:r><w:t xml:space="preserve">government had succeeded in extracting an acknowledgment</w:t></w:r>
</w:p>
<w:p>
<w:pPr><w:pStyle w:val="Normal"/></w:pPr>
<w:r><w:t xml:space="preserve">of the validity of the earlier treaties from the sultan of</w:t></w:r>
</w:p>
<w:p>
<w:pPr><w:pStyle w:val="Normal"/></w:pPr>
<w:r><w:t xml:space="preserve">Zanzibar.  Early in August a powerful German squadron appeared</w:t></w:r>
</w:p>
<w:p>
<w:pPr><w:pStyle w:val="Normal"/></w:pPr>
<w:r><w:t xml:space="preserve">off Zanzibar, and on the 14th of that month the sultan yielded</w:t></w:r>
</w:p>
<w:p>
<w:pPr><w:pStyle w:val="Normal"/></w:pPr>
<w:r><w:t xml:space="preserve">to the inevitable, acknowledged the German protectorate over</w:t></w:r>
</w:p>
<w:p>
<w:pPr><w:pStyle w:val="Normal"/></w:pPr>
<w:r><w:t xml:space="preserve">Usagara and Witu, and undertook to withdraw his soldiers.</w:t></w:r>
</w:p>
<w:p>
<w:pPr><w:pStyle w:val="Normal"/></w:pPr>
<w:r><w:t xml:space="preserve">Meanwhile negotiations had been opened for the appointment of</w:t></w:r>
</w:p>
<w:p>
<w:pPr><w:pStyle w:val="Normal"/></w:pPr>
<w:r><w:t xml:space="preserve">an international commission, ``for the purpose of inquiring</w:t></w:r>
</w:p>
<w:p>
<w:pPr><w:pStyle w:val="Normal"/></w:pPr>
<w:r><w:t xml:space="preserve">Partition of the sultanate of Zanzibar.</w:t></w:r>
</w:p>
<w:p>
<w:pPr><w:pStyle w:val="Normal"/></w:pPr>
<w:r><w:t xml:space="preserve">into the claims of the sultans of Zanzibar to sovereignty</w:t></w:r>
</w:p>
<w:p>
<w:pPr><w:pStyle w:val="Normal"/></w:pPr>
<w:r><w:t xml:space="preserve">over certain territories on the east coast of Africa, and</w:t></w:r>
</w:p>
<w:p>
<w:pPr><w:pStyle w:val="Normal"/></w:pPr>
<w:r><w:t xml:space="preserve">of ascertaining their precise limits.&apos;&apos; The governments to</w:t></w:r>
</w:p>
<w:p>
<w:pPr><w:pStyle w:val="Normal"/></w:pPr>
<w:r><w:t xml:space="preserve">be represented were Great Britain, France and Germany, and</w:t></w:r>
</w:p>
<w:p>
<w:pPr><w:pStyle w:val="Normal"/></w:pPr>
<w:r><w:t xml:space="preserve">towards the end of 1885 commissioners were appointed.  The</w:t></w:r>
</w:p>
<w:p>
<w:pPr><w:pStyle w:val="Normal"/></w:pPr>
<w:r><w:t xml:space="preserve">commissioners reported on the 9th of June 1886, and assigned</w:t></w:r>
</w:p>
<w:p>
<w:pPr><w:pStyle w:val="Normal"/></w:pPr>
<w:r><w:t xml:space="preserve">to the sultan the islands of Zanzibar, Pemba, Lamu, Mafia</w:t></w:r>
</w:p>
<w:p>
<w:pPr><w:pStyle w:val="Normal"/></w:pPr>
<w:r><w:t xml:space="preserve">and a number of other small islands.  On the mainland they</w:t></w:r>
</w:p>
<w:p>
<w:pPr><w:pStyle w:val="Normal"/></w:pPr>
<w:r><w:t xml:space="preserve">recognized as belonging to the sultan a continuous strip of</w:t></w:r>
</w:p>
<w:p>
<w:pPr><w:pStyle w:val="Normal"/></w:pPr>
<w:r><w:t xml:space="preserve">territory, 10 sea-miles in depth, from the south bank of</w:t></w:r>
</w:p>
<w:p>
<w:pPr><w:pStyle w:val="Normal"/></w:pPr>
<w:r><w:t xml:space="preserve">the Minengani river, a stream a short distance south of the</w:t></w:r>
</w:p>
<w:p>
<w:pPr><w:pStyle w:val="Normal"/></w:pPr>
<w:r><w:t xml:space="preserve">Rovuma, to Kipini, at the mouth of the Tana river, some 600</w:t></w:r>
</w:p>
<w:p>
<w:pPr><w:pStyle w:val="Normal"/></w:pPr>
<w:r><w:t xml:space="preserve">m. in length.  North of Kipini the commissioners recognized</w:t></w:r>
</w:p>
<w:p>
<w:pPr><w:pStyle w:val="Normal"/></w:pPr>
<w:r><w:t xml:space="preserve">as belonging to the sultan the stations of Kismayu, Brava,</w:t></w:r>
</w:p>
<w:p>
<w:pPr><w:pStyle w:val="Normal"/></w:pPr>
<w:r><w:t xml:space="preserve">Marka and Mukdishu, with radii landwards of 10 sea-miles,</w:t></w:r>
</w:p>
<w:p>
<w:pPr><w:pStyle w:val="Normal"/></w:pPr>
<w:r><w:t xml:space="preserve">and of Warsheik with a radius of 5 sea-miles.  By an exchange</w:t></w:r>
</w:p>
<w:p>
<w:pPr><w:pStyle w:val="Normal"/></w:pPr>
<w:r><w:t xml:space="preserve">of notes in October--November 1886 the governments of Great</w:t></w:r>
</w:p>
<w:p>
<w:pPr><w:pStyle w:val="Normal"/></w:pPr>
<w:r><w:t xml:space="preserve">Britain and Germany accepted the reports of the delimitation</w:t></w:r>
</w:p>
<w:p>
<w:pPr><w:pStyle w:val="Normal"/></w:pPr>
<w:r><w:t xml:space="preserve">commissioners, to which the sultan adhered on the 4th of the</w:t></w:r>
</w:p>
<w:p>
<w:pPr><w:pStyle w:val="Normal"/></w:pPr>
<w:r><w:t xml:space="preserve">following December.  But the British and German governments</w:t></w:r>
</w:p>
<w:p>
<w:pPr><w:pStyle w:val="Normal"/></w:pPr>
<w:r><w:t xml:space="preserve">did more than determine what territories were to be assigned</w:t></w:r>
</w:p>
<w:p>
<w:pPr><w:pStyle w:val="Normal"/></w:pPr>
<w:r><w:t xml:space="preserve">to the sultanate of Zanzibar.  They agreed to a delimitation</w:t></w:r>
</w:p>
<w:p>
<w:pPr><w:pStyle w:val="Normal"/></w:pPr>
<w:r><w:t xml:space="preserve">of their respective spheres of influence in East Africa.</w:t></w:r>
</w:p>
<w:p>
<w:pPr><w:pStyle w:val="Normal"/></w:pPr>
<w:r><w:t xml:space="preserve">The territory to be affected by this arrangement was to be</w:t></w:r>
</w:p>
<w:p>
<w:pPr><w:pStyle w:val="Normal"/></w:pPr>
<w:r><w:t xml:space="preserve">bounded on the south by the Rovuma river, ``and on the north</w:t></w:r>
</w:p>
<w:p>
<w:pPr><w:pStyle w:val="Normal"/></w:pPr>
<w:r><w:t xml:space="preserve">by a line which, starting from the mouth of the Tana river,</w:t></w:r>
</w:p>
<w:p>
<w:pPr><w:pStyle w:val="Normal"/></w:pPr>
<w:r><w:t xml:space="preserve">follows the course of that river or its affluents to the point</w:t></w:r>
</w:p>
<w:p>
<w:pPr><w:pStyle w:val="Normal"/></w:pPr>
<w:r><w:t xml:space="preserve">of intersection of the equator and the 38th degree of east</w:t></w:r>
</w:p>
<w:p>
<w:pPr><w:pStyle w:val="Normal"/></w:pPr>
<w:r><w:t xml:space="preserve">longitude, thence strikes direct to the point of intersection</w:t></w:r>
</w:p>
<w:p>
<w:pPr><w:pStyle w:val="Normal"/></w:pPr>
<w:r><w:t xml:space="preserve">of the 1st degree of north latitude with the 37th degree</w:t></w:r>
</w:p>
<w:p>
<w:pPr><w:pStyle w:val="Normal"/></w:pPr>
<w:r><w:t xml:space="preserve">of east longitude, where the line terminates.&apos;&apos; The line of</w:t></w:r>
</w:p>
<w:p>
<w:pPr><w:pStyle w:val="Normal"/></w:pPr>
<w:r><w:t xml:space="preserve">demarcation between the British and the German spheres of</w:t></w:r>
</w:p>
<w:p>
<w:pPr><w:pStyle w:val="Normal"/></w:pPr>
<w:r><w:t xml:space="preserve">influence was to start from the mouth of the river Wanga or</w:t></w:r>
</w:p>
<w:p>
<w:pPr><w:pStyle w:val="Normal"/></w:pPr>
<w:r><w:t xml:space="preserve">Umba (which enters the ocean opposite Pemba Island to the</w:t></w:r>
</w:p>
<w:p>
<w:pPr><w:pStyle w:val="Normal"/></w:pPr>
<w:r><w:t xml:space="preserve">north of Zanzibar), and running north-west was to skirt the</w:t></w:r>
</w:p>
<w:p>
<w:pPr><w:pStyle w:val="Normal"/></w:pPr>
<w:r><w:t xml:space="preserve">northern base of the Kilimanjaro range, and thence to be</w:t></w:r>
</w:p>
<w:p>
<w:pPr><w:pStyle w:val="Normal"/></w:pPr>
<w:r><w:t xml:space="preserve">drawn direct to the point on the eastern side of Victoria</w:t></w:r>
</w:p>
<w:p>
<w:pPr><w:pStyle w:val="Normal"/></w:pPr>
<w:r><w:t xml:space="preserve">Nyanza intersected by the 1st degree of south latitude.</w:t></w:r>
</w:p>
<w:p>
<w:pPr><w:pStyle w:val="Normal"/></w:pPr>
<w:r><w:t xml:space="preserve">South of this line German influence was to prevail; north</w:t></w:r>
</w:p>
<w:p>
<w:pPr><w:pStyle w:val="Normal"/></w:pPr>
<w:r><w:t xml:space="preserve">of the line was the British sphere.  The sultan&apos;s dominions</w:t></w:r>
</w:p>
<w:p>
<w:pPr><w:pStyle w:val="Normal"/></w:pPr>
<w:r><w:t xml:space="preserve">having been thus truncated, Germany associated herself with</w:t></w:r>
</w:p>
<w:p>
<w:pPr><w:pStyle w:val="Normal"/></w:pPr>
<w:r><w:t xml:space="preserve">the recognition of the ``independence&apos;&apos; of Zanzibar in which</w:t></w:r>
</w:p>
<w:p>
<w:pPr><w:pStyle w:val="Normal"/></w:pPr>
<w:r><w:t xml:space="preserve">France and Great Britain had joined in 1862.  The effect</w:t></w:r>
</w:p>
<w:p>
<w:pPr><w:pStyle w:val="Normal"/></w:pPr>
<w:r><w:t xml:space="preserve">of this agreement was to define the spheres of influence of</w:t></w:r>
</w:p>
<w:p>
<w:pPr><w:pStyle w:val="Normal"/></w:pPr>
<w:r><w:t xml:space="preserve">the two countries as far as Victoria Nyanza, but it provided</w:t></w:r>
</w:p>
<w:p>
<w:pPr><w:pStyle w:val="Normal"/></w:pPr>
<w:r><w:t xml:space="preserve">no limit westwards, and left the country north of the Tana</w:t></w:r>
</w:p>
<w:p>
<w:pPr><w:pStyle w:val="Normal"/></w:pPr>
<w:r><w:t xml:space="preserve">river, in which Germany had already acquired some interests</w:t></w:r>
</w:p>
<w:p>
<w:pPr><w:pStyle w:val="Normal"/></w:pPr>
<w:r><w:t xml:space="preserve">near the coast, open for fresh annexations.  The conclusion</w:t></w:r>
</w:p>
<w:p>
<w:pPr><w:pStyle w:val="Normal"/></w:pPr>
<w:r><w:t xml:space="preserve">of the agreement immediately stimulated the enterprise</w:t></w:r>
</w:p>
<w:p>
<w:pPr><w:pStyle w:val="Normal"/></w:pPr>
<w:r><w:t xml:space="preserve">both of the German East African Company, to which Peters&apos;s</w:t></w:r>
</w:p>
<w:p>
<w:pPr><w:pStyle w:val="Normal"/></w:pPr>
<w:r><w:t xml:space="preserve">earlier treaties had been transferred, and of the British</w:t></w:r>
</w:p>
<w:p>
<w:pPr><w:pStyle w:val="Normal"/></w:pPr>
<w:r><w:t xml:space="preserve">capitalists to whom reference had been made in Lord Granville&apos;s</w:t></w:r>
</w:p>
<w:p>
<w:pPr><w:pStyle w:val="Normal"/></w:pPr>
<w:r><w:t xml:space="preserve">despatch.  The German East African Company was incorporated</w:t></w:r>
</w:p>
<w:p>
<w:pPr><w:pStyle w:val="Normal"/></w:pPr>
<w:r><w:t xml:space="preserve">by imperial charter in March 1887, and the British capitalists</w:t></w:r>
</w:p>
<w:p>
<w:pPr><w:pStyle w:val="Normal"/></w:pPr>
<w:r><w:t xml:space="preserve">formed themselves into the British East Africa Association,</w:t></w:r>
</w:p>
<w:p>
<w:pPr><w:pStyle w:val="Normal"/></w:pPr>
<w:r><w:t xml:space="preserve">and on the 24th of May 1887 obtained, through the good offices</w:t></w:r>
</w:p>
<w:p>
<w:pPr><w:pStyle w:val="Normal"/></w:pPr>
<w:r><w:t xml:space="preserve">of Sir William Mackinnon, a concession of the 10-miles strip</w:t></w:r>
</w:p>
<w:p>
<w:pPr><w:pStyle w:val="Normal"/></w:pPr>
<w:r><w:t xml:space="preserve">of coast from the Umba river in the south to Kipini in the</w:t></w:r>
</w:p>
<w:p>
<w:pPr><w:pStyle w:val="Normal"/></w:pPr>
<w:r><w:t xml:space="preserve">north.  The British association further sought to extend</w:t></w:r>
</w:p>
<w:p>
<w:pPr><w:pStyle w:val="Normal"/></w:pPr>
<w:r><w:t xml:space="preserve">its rights in the sphere reserved to British influence by</w:t></w:r>
</w:p>
<w:p>
<w:pPr><w:pStyle w:val="Normal"/></w:pPr>
<w:r><w:t xml:space="preserve">making treaties with the native chiefs behind the coast</w:t></w:r>
</w:p>
<w:p>
<w:pPr><w:pStyle w:val="Normal"/></w:pPr>
<w:r><w:t xml:space="preserve">strip, and for this purpose various expeditions were sent</w:t></w:r>
</w:p>
<w:p>
<w:pPr><w:pStyle w:val="Normal"/></w:pPr>
<w:r><w:t xml:space="preserve">into the interior.  When they had obtained concessions</w:t></w:r>
</w:p>
<w:p>
<w:pPr><w:pStyle w:val="Normal"/></w:pPr>
<w:r><w:t xml:space="preserve">over the country for some 200 m. inland the associated</w:t></w:r>
</w:p>
<w:p>
<w:pPr><w:pStyle w:val="Normal"/></w:pPr>
<w:r><w:t xml:space="preserve">Formation of British East Africa.</w:t></w:r>
</w:p>
<w:p>
<w:pPr><w:pStyle w:val="Normal"/></w:pPr>
<w:r><w:t xml:space="preserve">capitalists applied to the British government for a charter, which</w:t></w:r>
</w:p>
<w:p>
<w:pPr><w:pStyle w:val="Normal"/></w:pPr>
<w:r><w:t xml:space="preserve">was granted on the 3rd of September 1888, and the association became</w:t></w:r>
</w:p>
<w:p>
<w:pPr><w:pStyle w:val="Normal"/></w:pPr>
<w:r><w:t xml:space="preserve">the Imperial British East Africa Company (see BRITISH EAST AFRICA).</w:t></w:r>
</w:p>
<w:p>
<w:pPr><w:pStyle w:val="Normal"/></w:pPr>
<w:r><w:t xml:space="preserve">The example set by the British company in obtaining a lease</w:t></w:r>
</w:p>
<w:p>
<w:pPr><w:pStyle w:val="Normal"/></w:pPr>
<w:r><w:t xml:space="preserve">of the coast strip between the British sphere of influence</w:t></w:r>
</w:p>
<w:p>
<w:pPr><w:pStyle w:val="Normal"/></w:pPr>
<w:r><w:t xml:space="preserve">and the sea was quickly followed by the German association,</w:t></w:r>
</w:p>
<w:p>
<w:pPr><w:pStyle w:val="Normal"/></w:pPr>
<w:r><w:t xml:space="preserve">which, on the 28th of April 1888, concluded an agreement</w:t></w:r>
</w:p>
<w:p>
<w:pPr><w:pStyle w:val="Normal"/></w:pPr>
<w:r><w:t xml:space="preserve">with the sultan Khalifa, who had succeeded his brother</w:t></w:r>
</w:p>
<w:p>
<w:pPr><w:pStyle w:val="Normal"/></w:pPr>
<w:r><w:t xml:space="preserve">Bargash, by which the association leased the strip of Zanzibar</w:t></w:r>
</w:p>
<w:p>
<w:pPr><w:pStyle w:val="Normal"/></w:pPr>
<w:r><w:t xml:space="preserve">territory between the German sphere and the sea.  It was not,</w:t></w:r>
</w:p>
<w:p>
<w:pPr><w:pStyle w:val="Normal"/></w:pPr>
<w:r><w:t xml:space="preserve">however, until August that the German officials took over the</w:t></w:r>
</w:p>
<w:p>
<w:pPr><w:pStyle w:val="Normal"/></w:pPr>
<w:r><w:t xml:space="preserve">administration, and their want of tact and ignorance of native</w:t></w:r>
</w:p>
<w:p>
<w:pPr><w:pStyle w:val="Normal"/></w:pPr>
<w:r><w:t xml:space="preserve">administration almost immediately provoked a rebellion of</w:t></w:r>
</w:p>
<w:p>
<w:pPr><w:pStyle w:val="Normal"/></w:pPr>
<w:r><w:t xml:space="preserve">so serious a character that it was not suppressed until the</w:t></w:r>
</w:p>
<w:p>
<w:pPr><w:pStyle w:val="Normal"/></w:pPr>
<w:r><w:t xml:space="preserve">imperial authorities had taken the matter in hand.  Shortly</w:t></w:r>
</w:p>
<w:p>
<w:pPr><w:pStyle w:val="Normal"/></w:pPr>
<w:r><w:t xml:space="preserve">after its suppression the administration was entrusted to an</w:t></w:r>
</w:p>
<w:p>
<w:pPr><w:pStyle w:val="Normal"/></w:pPr>
<w:r><w:t xml:space="preserve">imperial officer, and the sultan&apos;s rights on the mainland strip</w:t></w:r>
</w:p>
<w:p>
<w:pPr><w:pStyle w:val="Normal"/></w:pPr>
<w:r><w:t xml:space="preserve">were bought outright by Germany for four millions of marks</w:t></w:r>
</w:p>
<w:p>
<w:pPr><w:pStyle w:val="Normal"/></w:pPr>
<w:r><w:t xml:space="preserve">Events of great importance had been happening, meanwhile, in</w:t></w:r>
</w:p>
<w:p>
<w:pPr><w:pStyle w:val="Normal"/></w:pPr>
<w:r><w:t xml:space="preserve">the country to the west and north of the British sphere of</w:t></w:r>
</w:p>
<w:p>
<w:pPr><w:pStyle w:val="Normal"/></w:pPr>
<w:r><w:t xml:space="preserve">influence.  The British company had sent caravans into the</w:t></w:r>
</w:p>
<w:p>
<w:pPr><w:pStyle w:val="Normal"/></w:pPr>
<w:r><w:t xml:space="preserve">interior to survey the country, to make treaties with the</w:t></w:r>
</w:p>
<w:p>
<w:pPr><w:pStyle w:val="Normal"/></w:pPr>
<w:r><w:t xml:space="preserve">native chiefs and to report on the commercial and agricultural</w:t></w:r>
</w:p>
<w:p>
<w:pPr><w:pStyle w:val="Normal"/></w:pPr>
<w:r><w:t xml:space="preserve">possibilities.  One of these had gone up the Tana river.</w:t></w:r>
</w:p>
<w:p>
<w:pPr><w:pStyle w:val="Normal"/></w:pPr>
<w:r><w:t xml:space="preserve">But another and a rival expedition was proceeding along</w:t></w:r>
</w:p>
<w:p>
<w:pPr><w:pStyle w:val="Normal"/></w:pPr>
<w:r><w:t xml:space="preserve">the northern bank of this same river.  Karl Peters, whose</w:t></w:r>
</w:p>
<w:p>
<w:pPr><w:pStyle w:val="Normal"/></w:pPr>
<w:r><w:t xml:space="preserve">energy cannot be denied, whatever may be thought of his</w:t></w:r>
</w:p>
<w:p>
<w:pPr><w:pStyle w:val="Normal"/></w:pPr>
<w:r><w:t xml:space="preserve">methods, set out with an armed caravan up the Tana on the</w:t></w:r>
</w:p>
<w:p>
<w:pPr><w:pStyle w:val="Normal"/></w:pPr>
<w:r><w:t xml:space="preserve">pretext of leading an expedition to the relief of Emin Pasha,</w:t></w:r>
</w:p>
<w:p>
<w:pPr><w:pStyle w:val="Normal"/></w:pPr>
<w:r><w:t xml:space="preserve">the governor of the equatorial province of the Egyptian</w:t></w:r>
</w:p>
<w:p>
<w:pPr><w:pStyle w:val="Normal"/></w:pPr>
<w:r><w:t xml:space="preserve">Sudan, then reported to be hemmed in by the dervishes at</w:t></w:r>
</w:p>
<w:p>
<w:pPr><w:pStyle w:val="Normal"/></w:pPr>
<w:r><w:t xml:space="preserve">Wadelai.  His expedition was not sanctioned by the German</w:t></w:r>
</w:p>
<w:p>
<w:pPr><w:pStyle w:val="Normal"/></w:pPr>
<w:r><w:t xml:space="preserve">government, and the British naval commander had orders to</w:t></w:r>
</w:p>
<w:p>
<w:pPr><w:pStyle w:val="Normal"/></w:pPr>
<w:r><w:t xml:space="preserve">prevent his landing.  But Peters succeeded in evading the</w:t></w:r>
</w:p>
<w:p>
<w:pPr><w:pStyle w:val="Normal"/></w:pPr>
<w:r><w:t xml:space="preserve">British vessels and proceeded up the river, planting German</w:t></w:r>
</w:p>
<w:p>
<w:pPr><w:pStyle w:val="Normal"/></w:pPr>
<w:r><w:t xml:space="preserve">flags and fighting the natives who opposed his progress.</w:t></w:r>
</w:p>
<w:p>
<w:pPr><w:pStyle w:val="Normal"/></w:pPr>
<w:r><w:t xml:space="preserve">Early in 1890 he reached Kavirondo, and there found letters</w:t></w:r>
</w:p>
<w:p>
<w:pPr><w:pStyle w:val="Normal"/></w:pPr>
<w:r><w:t xml:space="preserve">from Mwanga, king of Uganda, addressed to F. J. Jackson, the</w:t></w:r>
</w:p>
<w:p>
<w:pPr><w:pStyle w:val="Normal"/></w:pPr>
<w:r><w:t xml:space="preserve">leader of an expedition sent out by the British East Africa</w:t></w:r>
</w:p>
<w:p>
<w:pPr><w:pStyle w:val="Normal"/></w:pPr>
<w:r><w:t xml:space="preserve">Uganda secured by Great Britain.</w:t></w:r>
</w:p>
<w:p>
<w:pPr><w:pStyle w:val="Normal"/></w:pPr>
<w:r><w:t xml:space="preserve">Company, imploring the company&apos;s representative to come</w:t></w:r>
</w:p>
<w:p>
<w:pPr><w:pStyle w:val="Normal"/></w:pPr>
<w:r><w:t xml:space="preserve">to his assistance and offering to accept the British</w:t></w:r>
</w:p>
<w:p>
<w:pPr><w:pStyle w:val="Normal"/></w:pPr>
<w:r><w:t xml:space="preserve">flag.  To previous letters, less plainly couched. from the</w:t></w:r>
</w:p>
<w:p>
<w:pPr><w:pStyle w:val="Normal"/></w:pPr>
<w:r><w:t xml:space="preserve">king, Jackson had returned the answer that his instructions</w:t></w:r>
</w:p>
<w:p>
<w:pPr><w:pStyle w:val="Normal"/></w:pPr>
<w:r><w:t xml:space="preserve">were not to enter Uganda, but that he would do so in case of</w:t></w:r>
</w:p>
<w:p>
<w:pPr><w:pStyle w:val="Normal"/></w:pPr>
<w:r><w:t xml:space="preserve">need.  The letters that fell into Peters&apos;s hands were in</w:t></w:r>
</w:p>
<w:p>
<w:pPr><w:pStyle w:val="Normal"/></w:pPr>
<w:r><w:t xml:space="preserve">reply to those from Jackson.  Peters did not hesitate to</w:t></w:r>
</w:p>
<w:p>
<w:pPr><w:pStyle w:val="Normal"/></w:pPr>
<w:r><w:t xml:space="preserve">open the letters, and on reading them he at once proceeded</w:t></w:r>
</w:p>
<w:p>
<w:pPr><w:pStyle w:val="Normal"/></w:pPr>
<w:r><w:t xml:space="preserve">to Uganda, where, with the assistance of the French Roman</w:t></w:r>
</w:p>
<w:p>
<w:pPr><w:pStyle w:val="Normal"/></w:pPr>
<w:r><w:t xml:space="preserve">Catholic priests, he succeeded in inducing Mwanga to sign</w:t></w:r>
</w:p>
<w:p>
<w:pPr><w:pStyle w:val="Normal"/></w:pPr>
<w:r><w:t xml:space="preserve">a loosely worded treaty intended to place him under German</w:t></w:r>
</w:p>
<w:p>
<w:pPr><w:pStyle w:val="Normal"/></w:pPr>
<w:r><w:t xml:space="preserve">protection.  On hearing of this Jackson at once set out for</w:t></w:r>
</w:p>
<w:p>
<w:pPr><w:pStyle w:val="Normal"/></w:pPr>
<w:r><w:t xml:space="preserve">Uganda, but Peters did not wait for his arrival, leaving</w:t></w:r>
</w:p>
<w:p>
<w:pPr><w:pStyle w:val="Normal"/></w:pPr>
<w:r><w:t xml:space="preserve">for the south of Victoria Nyanza some days before Jackson</w:t></w:r>
</w:p>
<w:p>
<w:pPr><w:pStyle w:val="Normal"/></w:pPr>
<w:r><w:t xml:space="preserve">arrived at Mengo, Mwanga&apos;s capital.  As Mwanga would not</w:t></w:r>
</w:p>
<w:p>
<w:pPr><w:pStyle w:val="Normal"/></w:pPr>
<w:r><w:t xml:space="preserve">agree to Jackson&apos;s proposals, Jackson returned to the coast,</w:t></w:r>
</w:p>
<w:p>
<w:pPr><w:pStyle w:val="Normal"/></w:pPr>
<w:r><w:t xml:space="preserve">leaving a representative at Mengo to protect the company&apos;s</w:t></w:r>
</w:p>
<w:p>
<w:pPr><w:pStyle w:val="Normal"/></w:pPr>
<w:r><w:t xml:space="preserve">interests.  Captain (afterwards Sir) F. D. Lugard, who had</w:t></w:r>
</w:p>
<w:p>
<w:pPr><w:pStyle w:val="Normal"/></w:pPr>
<w:r><w:t xml:space="preserve">recently entered the company&apos;s employment, was at once ordered</w:t></w:r>
</w:p>
<w:p>
<w:pPr><w:pStyle w:val="Normal"/></w:pPr>
<w:r><w:t xml:space="preserve">to proceed to Uganda.  But in the meantime an event of great</w:t></w:r>
</w:p>
<w:p>
<w:pPr><w:pStyle w:val="Normal"/></w:pPr>
<w:r><w:t xml:space="preserve">importance had taken place, the conclusion of the agreement</w:t></w:r>
</w:p>
<w:p>
<w:pPr><w:pStyle w:val="Normal"/></w:pPr>
<w:r><w:t xml:space="preserve">between Great Britain and Germany with reference to their</w:t></w:r>
</w:p>
<w:p>
<w:pPr><w:pStyle w:val="Normal"/></w:pPr>
<w:r><w:t xml:space="preserve">different spheres of influence in various parts of Africa.</w:t></w:r>
</w:p>
<w:p>
<w:pPr><w:pStyle w:val="Normal"/></w:pPr>
<w:r><w:t xml:space="preserve">The Anglo-German agreement of the 1st of July 1890 has already</w:t></w:r>
</w:p>
<w:p>
<w:pPr><w:pStyle w:val="Normal"/></w:pPr>
<w:r><w:t xml:space="preserve">been referred to and its importance insisted upon.  Here</w:t></w:r>
</w:p>
<w:p>
<w:pPr><w:pStyle w:val="Normal"/></w:pPr>
<w:r><w:t xml:space="preserve">we have to deal with the provisions in reference to East</w:t></w:r>
</w:p>
<w:p>
<w:pPr><w:pStyle w:val="Normal"/></w:pPr>
<w:r><w:t xml:space="preserve">Africa.  In return for the cession of Heligoland, Lord</w:t></w:r>
</w:p>
<w:p>
<w:pPr><w:pStyle w:val="Normal"/></w:pPr>
<w:r><w:t xml:space="preserve">Salisbury obtained from Germany the recognition of a British</w:t></w:r>
</w:p>
<w:p>
<w:pPr><w:pStyle w:val="Normal"/></w:pPr>
<w:r><w:t xml:space="preserve">protectorate over the dominions of the sultan of Zanzibar,</w:t></w:r>
</w:p>
<w:p>
<w:pPr><w:pStyle w:val="Normal"/></w:pPr>
<w:r><w:t xml:space="preserve">including the islands of Zanzibar and Pemba, but excluding</w:t></w:r>
</w:p>
<w:p>
<w:pPr><w:pStyle w:val="Normal"/></w:pPr>
<w:r><w:t xml:space="preserve">the strip leased to Germany, which was subsequently ceded</w:t></w:r>
</w:p>
<w:p>
<w:pPr><w:pStyle w:val="Normal"/></w:pPr>
<w:r><w:t xml:space="preserve">absolutely to Germany.  Germany further agreed to withdraw</w:t></w:r>
</w:p>
<w:p>
<w:pPr><w:pStyle w:val="Normal"/></w:pPr>
<w:r><w:t xml:space="preserve">the protectorate declared over Witu and the adjoining coast</w:t></w:r>
</w:p>
<w:p>
<w:pPr><w:pStyle w:val="Normal"/></w:pPr>
<w:r><w:t xml:space="preserve">up to Kismayu in favour of Great Britain, and to recognize as</w:t></w:r>
</w:p>
<w:p>
<w:pPr><w:pStyle w:val="Normal"/></w:pPr>
<w:r><w:t xml:space="preserve">within the British sphere of influence the vast area bounded,</w:t></w:r>
</w:p>
<w:p>
<w:pPr><w:pStyle w:val="Normal"/></w:pPr>
<w:r><w:t xml:space="preserve">on the south by the frontier line laid down in the agreement</w:t></w:r>
</w:p>
<w:p>
<w:pPr><w:pStyle w:val="Normal"/></w:pPr>
<w:r><w:t xml:space="preserve">of 1886, which was to be extended along the first parallel</w:t></w:r>
</w:p>
<w:p>
<w:pPr><w:pStyle w:val="Normal"/></w:pPr>
<w:r><w:t xml:space="preserve">of south latitude across Victoria Nyanza to the frontiers of</w:t></w:r>
</w:p>
<w:p>
<w:pPr><w:pStyle w:val="Normal"/></w:pPr>
<w:r><w:t xml:space="preserve">the Congo Free State, on the west by the Congo Free State and</w:t></w:r>
</w:p>
<w:p>
<w:pPr><w:pStyle w:val="Normal"/></w:pPr>
<w:r><w:t xml:space="preserve">the western watershed of the Nile, and on the north by a line</w:t></w:r>
</w:p>
<w:p>
<w:pPr><w:pStyle w:val="Normal"/></w:pPr>
<w:r><w:t xml:space="preserve">commencing on the coast at the north bank of the mouth of the</w:t></w:r>
</w:p>
<w:p>
<w:pPr><w:pStyle w:val="Normal"/></w:pPr>
<w:r><w:t xml:space="preserve">river Juba, then ascending that bank of the river until it</w:t></w:r>
</w:p>
<w:p>
<w:pPr><w:pStyle w:val="Normal"/></w:pPr>
<w:r><w:t xml:space="preserve">reached the territory at that time regarded as reserved to</w:t></w:r>
</w:p>
<w:p>
<w:pPr><w:pStyle w:val="Normal"/></w:pPr>
<w:r><w:t xml:space="preserve">the influence of Italy13 in Gallaland and Abyssinia, when it</w:t></w:r>
</w:p>
<w:p>
<w:pPr><w:pStyle w:val="Normal"/></w:pPr>
<w:r><w:t xml:space="preserve">followed the frontier of the Italian sphere to the confines of</w:t></w:r>
</w:p>
<w:p>
<w:pPr><w:pStyle w:val="Normal"/></w:pPr>
<w:r><w:t xml:space="preserve">Egypt.  To the south-west of the German sphere in East Africa</w:t></w:r>
</w:p>
<w:p>
<w:pPr><w:pStyle w:val="Normal"/></w:pPr>
<w:r><w:t xml:space="preserve">the boundary was formed by the eastern and northern shore of</w:t></w:r>
</w:p>
<w:p>
<w:pPr><w:pStyle w:val="Normal"/></w:pPr>
<w:r><w:t xml:space="preserve">Lake Nyasa, and round the western shore to the mouth of the</w:t></w:r>
</w:p>
<w:p>
<w:pPr><w:pStyle w:val="Normal"/></w:pPr>
<w:r><w:t xml:space="preserve">Songwe river, from which point it crossed the Nyasa-Tanganyika</w:t></w:r>
</w:p>
<w:p>
<w:pPr><w:pStyle w:val="Normal"/></w:pPr>
<w:r><w:t xml:space="preserve">plateau to the southern end of the last-named lake,</w:t></w:r>
</w:p>
<w:p>
<w:pPr><w:pStyle w:val="Normal"/></w:pPr>
<w:r><w:t xml:space="preserve">Limits of German East Africa defined.</w:t></w:r>
</w:p>
<w:p>
<w:pPr><w:pStyle w:val="Normal"/></w:pPr>
<w:r><w:t xml:space="preserve">leaving the Stevenson Road on the British side of the boundary.</w:t></w:r>
</w:p>
<w:p>
<w:pPr><w:pStyle w:val="Normal"/></w:pPr>
<w:r><w:t xml:space="preserve">The effect of this treaty was to remove all serious causes of</w:t></w:r>
</w:p>
<w:p>
<w:pPr><w:pStyle w:val="Normal"/></w:pPr>
<w:r><w:t xml:space="preserve">dispute about territory between Germany and Great Britain in East</w:t></w:r>
</w:p>
<w:p>
<w:pPr><w:pStyle w:val="Normal"/></w:pPr>
<w:r><w:t xml:space="preserve">Africa.  It rendered quite valueless Peters&apos;s treaty with</w:t></w:r>
</w:p>
<w:p>
<w:pPr><w:pStyle w:val="Normal"/></w:pPr>
<w:r><w:t xml:space="preserve">Mwanga and his promenade along the Tana; it freed Great Britain</w:t></w:r>
</w:p>
<w:p>
<w:pPr><w:pStyle w:val="Normal"/></w:pPr>
<w:r><w:t xml:space="preserve">from any fear of German competition to the northwards, and</w:t></w:r>
</w:p>
<w:p>
<w:pPr><w:pStyle w:val="Normal"/></w:pPr>
<w:r><w:t xml:space="preserve">recognized that her influence extended to the western limits of</w:t></w:r>
</w:p>
<w:p>
<w:pPr><w:pStyle w:val="Normal"/></w:pPr>
<w:r><w:t xml:space="preserve">the Nile valley.  But, on the other hand, Great Britain had to</w:t></w:r>
</w:p>
<w:p>
<w:pPr><w:pStyle w:val="Normal"/></w:pPr>
<w:r><w:t xml:space="preserve">relinquish the ambition of connecting her sphere of influence</w:t></w:r>
</w:p>
<w:p>
<w:pPr><w:pStyle w:val="Normal"/></w:pPr>
<w:r><w:t xml:space="preserve">in the Nile valley with her possessions in Central and South</w:t></w:r>
</w:p>
<w:p>
<w:pPr><w:pStyle w:val="Normal"/></w:pPr>
<w:r><w:t xml:space="preserve">Africa.  On this point Germany was quite obdurate; and, as</w:t></w:r>
</w:p>
<w:p>
<w:pPr><w:pStyle w:val="Normal"/></w:pPr>
<w:r><w:t xml:space="preserve">already stated, an attempt subsequently made (May 1894) to</w:t></w:r>
</w:p>
<w:p>
<w:pPr><w:pStyle w:val="Normal"/></w:pPr>
<w:r><w:t xml:space="preserve">secure this object by the lease of a strip of territory from</w:t></w:r>
</w:p>
<w:p>
<w:pPr><w:pStyle w:val="Normal"/></w:pPr>
<w:r><w:t xml:space="preserve">the Congo Free State was frustrated by German opposition.</w:t></w:r>
</w:p>
<w:p>
<w:pPr><w:pStyle w:val="Normal"/></w:pPr>
<w:r><w:t xml:space="preserve">Uganda having thus been assigned to the British sphere of</w:t></w:r>
</w:p>
<w:p>
<w:pPr><w:pStyle w:val="Normal"/></w:pPr>
<w:r><w:t xml:space="preserve">influence by the only European power in a position to contest</w:t></w:r>
</w:p>
<w:p>
<w:pPr><w:pStyle w:val="Normal"/></w:pPr>
<w:r><w:t xml:space="preserve">its possession with her, the subsequent history of that</w:t></w:r>
</w:p>
<w:p>
<w:pPr><w:pStyle w:val="Normal"/></w:pPr>
<w:r><w:t xml:space="preserve">region, and of the country between the Victoria Nyanza and the</w:t></w:r>
</w:p>
<w:p>
<w:pPr><w:pStyle w:val="Normal"/></w:pPr>
<w:r><w:t xml:space="preserve">coast, must be traced in the articles on BRITISH EAST AFRICA</w:t></w:r>
</w:p>
<w:p>
<w:pPr><w:pStyle w:val="Normal"/></w:pPr>
<w:r><w:t xml:space="preserve">and UGANDA, but it may be well briefly to record here the</w:t></w:r>
</w:p>
<w:p>
<w:pPr><w:pStyle w:val="Normal"/></w:pPr>
<w:r><w:t xml:space="preserve">following facts:--The Imperial British East Africa Company,</w:t></w:r>
</w:p>
<w:p>
<w:pPr><w:pStyle w:val="Normal"/></w:pPr>
<w:r><w:t xml:space="preserve">finding the burden of administration too heavy for its financial</w:t></w:r>
</w:p>
<w:p>
<w:pPr><w:pStyle w:val="Normal"/></w:pPr>
<w:r><w:t xml:space="preserve">resources, and not receiving the assistance it felt itself</w:t></w:r>
</w:p>
<w:p>
<w:pPr><w:pStyle w:val="Normal"/></w:pPr>
<w:r><w:t xml:space="preserve">entitled to receive from the imperial authorities, intimated</w:t></w:r>
</w:p>
<w:p>
<w:pPr><w:pStyle w:val="Normal"/></w:pPr>
<w:r><w:t xml:space="preserve">that it would be compelled to withdraw at the end of the year</w:t></w:r>
</w:p>
<w:p>
<w:pPr><w:pStyle w:val="Normal"/></w:pPr>
<w:r><w:t xml:space="preserve">1892.  Funds were raised to enable the company to continue</w:t></w:r>
</w:p>
<w:p>
<w:pPr><w:pStyle w:val="Normal"/></w:pPr>
<w:r><w:t xml:space="preserve">its administration until the end of March 1893, and a strong</w:t></w:r>
</w:p>
<w:p>
<w:pPr><w:pStyle w:val="Normal"/></w:pPr>
<w:r><w:t xml:space="preserve">public protest against evacuation compelled the government</w:t></w:r>
</w:p>
<w:p>
<w:pPr><w:pStyle w:val="Normal"/></w:pPr>
<w:r><w:t xml:space="preserve">to determine in favour of the retention of the country.  In</w:t></w:r>
</w:p>
<w:p>
<w:pPr><w:pStyle w:val="Normal"/></w:pPr>
<w:r><w:t xml:space="preserve">January 1893 Sir Gerald Portal left the coast as a special</w:t></w:r>
</w:p>
<w:p>
<w:pPr><w:pStyle w:val="Normal"/></w:pPr>
<w:r><w:t xml:space="preserve">commissioner to inquire into the ``best means of dealing with</w:t></w:r>
</w:p>
<w:p>
<w:pPr><w:pStyle w:val="Normal"/></w:pPr>
<w:r><w:t xml:space="preserve">the country, whether through Zanzibar or otherwise.&apos;&apos; On the</w:t></w:r>
</w:p>
<w:p>
<w:pPr><w:pStyle w:val="Normal"/></w:pPr>
<w:r><w:t xml:space="preserve">31st of March the union jack was raised, and on the 29th of</w:t></w:r>
</w:p>
<w:p>
<w:pPr><w:pStyle w:val="Normal"/></w:pPr>
<w:r><w:t xml:space="preserve">May a fresh treaty was concluded with King Mwanga placing his</w:t></w:r>
</w:p>
<w:p>
<w:pPr><w:pStyle w:val="Normal"/></w:pPr>
<w:r><w:t xml:space="preserve">country under British protection.  A formal protectorate was</w:t></w:r>
</w:p>
<w:p>
<w:pPr><w:pStyle w:val="Normal"/></w:pPr>
<w:r><w:t xml:space="preserve">declared over Uganda proper on the 19th of June 1894, which was</w:t></w:r>
</w:p>
<w:p>
<w:pPr><w:pStyle w:val="Normal"/></w:pPr>
<w:r><w:t xml:space="preserve">subsequently extended so as to include the countries westwards</w:t></w:r>
</w:p>
<w:p>
<w:pPr><w:pStyle w:val="Normal"/></w:pPr>
<w:r><w:t xml:space="preserve">towards the Congo Free State, eastwards to the British East</w:t></w:r>
</w:p>
<w:p>
<w:pPr><w:pStyle w:val="Normal"/></w:pPr>
<w:r><w:t xml:space="preserve">Africa protectorate and Abyssinia, and northwards to the</w:t></w:r>
</w:p>
<w:p>
<w:pPr><w:pStyle w:val="Normal"/></w:pPr>
<w:r><w:t xml:space="preserve">Anglo-Egyptian Sudan.  The British East Africa protectorate</w:t></w:r>
</w:p>
<w:p>
<w:pPr><w:pStyle w:val="Normal"/></w:pPr>
<w:r><w:t xml:space="preserve">was constituted in June 1895, when the Imperial British East</w:t></w:r>
</w:p>
<w:p>
<w:pPr><w:pStyle w:val="Normal"/></w:pPr>
<w:r><w:t xml:space="preserve">Africa Company relinquished all its rights in exchange for</w:t></w:r>
</w:p>
<w:p>
<w:pPr><w:pStyle w:val="Normal"/></w:pPr>
<w:r><w:t xml:space="preserve">a money payment, and the administration was assumed by the</w:t></w:r>
</w:p>
<w:p>
<w:pPr><w:pStyle w:val="Normal"/></w:pPr>
<w:r><w:t xml:space="preserve">imperial authorities.  On the 1st of April 1902 the eastern</w:t></w:r>
</w:p>
<w:p>
<w:pPr><w:pStyle w:val="Normal"/></w:pPr>
<w:r><w:t xml:space="preserve">province of the Uganda protectorate was transferred to the</w:t></w:r>
</w:p>
<w:p>
<w:pPr><w:pStyle w:val="Normal"/></w:pPr>
<w:r><w:t xml:space="preserve">British East Africa protectorate, which thus secured control</w:t></w:r>
</w:p>
<w:p>
<w:pPr><w:pStyle w:val="Normal"/></w:pPr>
<w:r><w:t xml:space="preserve">of the whole length of the so-called Uganda railway, and</w:t></w:r>
</w:p>
<w:p>
<w:pPr><w:pStyle w:val="Normal"/></w:pPr>
<w:r><w:t xml:space="preserve">at the same time obtained access to the Victoria Nyanza.</w:t></w:r>
</w:p>
<w:p>
<w:pPr><w:pStyle w:val="Normal"/></w:pPr>
<w:r><w:t xml:space="preserve">Early in the &apos;eighties, as already seen, Italy had obtained her</w:t></w:r>
</w:p>
<w:p>
<w:pPr><w:pStyle w:val="Normal"/></w:pPr>
<w:r><w:t xml:space="preserve">first formal footing on the African coast at the Bay of Assab</w:t></w:r>
</w:p>
<w:p>
<w:pPr><w:pStyle w:val="Normal"/></w:pPr>
<w:r><w:t xml:space="preserve">Italy in East Africa.</w:t></w:r>
</w:p>
<w:p>
<w:pPr><w:pStyle w:val="Normal"/></w:pPr>
<w:r><w:t xml:space="preserve">(Aussa) on the Red Sea. In 1885 the troubles in which Egypt</w:t></w:r>
</w:p>
<w:p>
<w:pPr><w:pStyle w:val="Normal"/></w:pPr>
<w:r><w:t xml:space="preserve">found herself involved compelled the khedive and his advisers to</w:t></w:r>
</w:p>
<w:p>
<w:pPr><w:pStyle w:val="Normal"/></w:pPr>
<w:r><w:t xml:space="preserve">loosen their hold on the Red Sea littoral, and, with the tacit</w:t></w:r>
</w:p>
<w:p>
<w:pPr><w:pStyle w:val="Normal"/></w:pPr>
<w:r><w:t xml:space="preserve">approval of Great Britain, Italy took possession of Massawa and</w:t></w:r>
</w:p>
<w:p>
<w:pPr><w:pStyle w:val="Normal"/></w:pPr>
<w:r><w:t xml:space="preserve">other ports on that coast.  By 1888 Italian influence had been</w:t></w:r>
</w:p>
<w:p>
<w:pPr><w:pStyle w:val="Normal"/></w:pPr>
<w:r><w:t xml:space="preserve">extended from Ras Kasar on the north to the northern frontier of</w:t></w:r>
</w:p>
<w:p>
<w:pPr><w:pStyle w:val="Normal"/></w:pPr>
<w:r><w:t xml:space="preserve">the French colony of Obok on the south, a distance of some 650</w:t></w:r>
</w:p>
<w:p>
<w:pPr><w:pStyle w:val="Normal"/></w:pPr>
<w:r><w:t xml:space="preserve">m.  The interior limits of Italian influence were but ill</w:t></w:r>
</w:p>
<w:p>
<w:pPr><w:pStyle w:val="Normal"/></w:pPr>
<w:r><w:t xml:space="preserve">defined, and the negus Johannes (King John) of Abyssinia viewed</w:t></w:r>
</w:p>
<w:p>
<w:pPr><w:pStyle w:val="Normal"/></w:pPr>
<w:r><w:t xml:space="preserve">with anything but a favourable eye the approach of the Italians</w:t></w:r>
</w:p>
<w:p>
<w:pPr><w:pStyle w:val="Normal"/></w:pPr>
<w:r><w:t xml:space="preserve">towards the Abyssinian highlands.  In January 1887 an Italian</w:t></w:r>
</w:p>
<w:p>
<w:pPr><w:pStyle w:val="Normal"/></w:pPr>
<w:r><w:t xml:space="preserve">force was almost annihilated at Dogali, but the check only</w:t></w:r>
</w:p>
<w:p>
<w:pPr><w:pStyle w:val="Normal"/></w:pPr>
<w:r><w:t xml:space="preserve">served to spur on the Italian government to fresh efforts.</w:t></w:r>
</w:p>
<w:p>
<w:pPr><w:pStyle w:val="Normal"/></w:pPr>
<w:r><w:t xml:space="preserve">The Italians occupied Keren and Asmara in the highlands, and</w:t></w:r>
</w:p>
<w:p>
<w:pPr><w:pStyle w:val="Normal"/></w:pPr>
<w:r><w:t xml:space="preserve">eventually, in May 1889, concluded a treaty of peace and</w:t></w:r>
</w:p>
<w:p>
<w:pPr><w:pStyle w:val="Normal"/></w:pPr>
<w:r><w:t xml:space="preserve">friendship with the negus Menelek, who had seized the throne</w:t></w:r>
</w:p>
<w:p>
<w:pPr><w:pStyle w:val="Normal"/></w:pPr>
<w:r><w:t xml:space="preserve">on the death of Johannes, killed in battle with the dervishes</w:t></w:r>
</w:p>
<w:p>
<w:pPr><w:pStyle w:val="Normal"/></w:pPr>
<w:r><w:t xml:space="preserve">in March of the same year.  This agreement, known as the</w:t></w:r>
</w:p>
<w:p>
<w:pPr><w:pStyle w:val="Normal"/></w:pPr>
<w:r><w:t xml:space="preserve">treaty of Uccialli, settled the frontiers between Abyssinia</w:t></w:r>
</w:p>
<w:p>
<w:pPr><w:pStyle w:val="Normal"/></w:pPr>
<w:r><w:t xml:space="preserve">and the Italian sphere, and contained the following article:--</w:t></w:r>
</w:p>
<w:p>
<w:pPr><w:pStyle w:val="Heading1"/></w:pPr>
<w:r><w:t>XVII.  His Majesty the King of Kings of Ethiopia consents to</w:t></w:r>
</w:p>
<w:p>
<w:pPr><w:pStyle w:val="Normal"/></w:pPr>
<w:r><w:t xml:space="preserve">avail himself of the Italian government for any negotiations</w:t></w:r>
</w:p>
<w:p>
<w:pPr><w:pStyle w:val="Normal"/></w:pPr>
<w:r><w:t xml:space="preserve">which he may enter into with the other powers or governments.</w:t></w:r>
</w:p>
<w:p>
<w:pPr><w:pStyle w:val="Normal"/></w:pPr>
<w:r><w:t xml:space="preserve">In Italy and by other European governments this article was</w:t></w:r>
</w:p>
<w:p>
<w:pPr><w:pStyle w:val="Normal"/></w:pPr>
<w:r><w:t xml:space="preserve">generally regarded as establishing an Italian protectorate</w:t></w:r>
</w:p>
<w:p>
<w:pPr><w:pStyle w:val="Normal"/></w:pPr>
<w:r><w:t xml:space="preserve">over Abyssinia; but this interpretation was never accepted</w:t></w:r>
</w:p>
<w:p>
<w:pPr><w:pStyle w:val="Normal"/></w:pPr>
<w:r><w:t xml:space="preserve">by the emperor Menelek, and at no time did Italy succeed</w:t></w:r>
</w:p>
<w:p>
<w:pPr><w:pStyle w:val="Normal"/></w:pPr>
<w:r><w:t xml:space="preserve">in establishing any very effective control over Abyssinian</w:t></w:r>
</w:p>
<w:p>
<w:pPr><w:pStyle w:val="Normal"/></w:pPr>
<w:r><w:t xml:space="preserve">affairs.  North of the Italian coast sphere the Red Sea littoral</w:t></w:r>
</w:p>
<w:p>
<w:pPr><w:pStyle w:val="Normal"/></w:pPr>
<w:r><w:t xml:space="preserve">was still under Egyptian rule, while immediately to the south</w:t></w:r>
</w:p>
<w:p>
<w:pPr><w:pStyle w:val="Normal"/></w:pPr>
<w:r><w:t xml:space="preserve">a small stretch of coast on the Gulf of Tajura constituted</w:t></w:r>
</w:p>
<w:p>
<w:pPr><w:pStyle w:val="Normal"/></w:pPr>
<w:r><w:t xml:space="preserve">the sole French possession on the East African mainland (see</w:t></w:r>
</w:p>
<w:p>
<w:pPr><w:pStyle w:val="Normal"/></w:pPr>
<w:r><w:t xml:space="preserve">SOMALILAND.) Moreover, when Egyptian claims to the Somali</w:t></w:r>
</w:p>
<w:p>
<w:pPr><w:pStyle w:val="Normal"/></w:pPr>
<w:r><w:t xml:space="preserve">coast were withdrawn, Great Britain took the opportunity to</w:t></w:r>
</w:p>
<w:p>
<w:pPr><w:pStyle w:val="Normal"/></w:pPr>
<w:r><w:t xml:space="preserve">establish her influence on the northern Somali coast, opposite</w:t></w:r>
</w:p>
<w:p>
<w:pPr><w:pStyle w:val="Normal"/></w:pPr>
<w:r><w:t xml:space="preserve">Aden.  Between the 1st of May 1884 and the 15th of March 1886</w:t></w:r>
</w:p>
<w:p>
<w:pPr><w:pStyle w:val="Normal"/></w:pPr>
<w:r><w:t xml:space="preserve">ten treaties were concluded, placing under British influence</w:t></w:r>
</w:p>
<w:p>
<w:pPr><w:pStyle w:val="Normal"/></w:pPr>
<w:r><w:t xml:space="preserve">the northern Somali coast from Ras Jibuti on the west to Bandar</w:t></w:r>
</w:p>
<w:p>
<w:pPr><w:pStyle w:val="Normal"/></w:pPr>
<w:r><w:t xml:space="preserve">Ziada on the east.  In the meantime Italy, not content with</w:t></w:r>
</w:p>
<w:p>
<w:pPr><w:pStyle w:val="Normal"/></w:pPr>
<w:r><w:t xml:space="preserve">her acquisitions on the Red Sea, had been concluding treaties</w:t></w:r>
</w:p>
<w:p>
<w:pPr><w:pStyle w:val="Normal"/></w:pPr>
<w:r><w:t xml:space="preserve">with the Somali chiefs on the east coast.  The first treaty</w:t></w:r>
</w:p>
<w:p>
<w:pPr><w:pStyle w:val="Normal"/></w:pPr>
<w:r><w:t xml:space="preserve">was made with the sultan of Obbia on the 8th of February</w:t></w:r>
</w:p>
<w:p>
<w:pPr><w:pStyle w:val="Normal"/></w:pPr>
<w:r><w:t xml:space="preserve">1889.  Later in the same year the British East Africa Company</w:t></w:r>
</w:p>
<w:p>
<w:pPr><w:pStyle w:val="Normal"/></w:pPr>
<w:r><w:t xml:space="preserve">transferred to Italy--the transference being subsequently</w:t></w:r>
</w:p>
<w:p>
<w:pPr><w:pStyle w:val="Normal"/></w:pPr>
<w:r><w:t xml:space="preserve">approved by the sultan of Zanzibar--the ports of Brava, Marka,</w:t></w:r>
</w:p>
<w:p>
<w:pPr><w:pStyle w:val="Normal"/></w:pPr>
<w:r><w:t xml:space="preserve">Mukdishu and Warsheik, leased from Zanzibar.  On the 24th</w:t></w:r>
</w:p>
<w:p>
<w:pPr><w:pStyle w:val="Normal"/></w:pPr>
<w:r><w:t xml:space="preserve">of March 1891 an agreement between Italy and Great Britain</w:t></w:r>
</w:p>
<w:p>
<w:pPr><w:pStyle w:val="Normal"/></w:pPr>
<w:r><w:t xml:space="preserve">fixed the northern bank of the Juba up to latitude 6 deg.  N. as</w:t></w:r>
</w:p>
<w:p>
<w:pPr><w:pStyle w:val="Normal"/></w:pPr>
<w:r><w:t xml:space="preserve">the southern boundary of Italian influence in Somaliland, the</w:t></w:r>
</w:p>
<w:p>
<w:pPr><w:pStyle w:val="Normal"/></w:pPr>
<w:r><w:t xml:space="preserve">boundary being provisionally prolonged along lines of latitude</w:t></w:r>
</w:p>
<w:p>
<w:pPr><w:pStyle w:val="Normal"/></w:pPr>
<w:r><w:t xml:space="preserve">and longitude to the intersection of the Blue Nile with 35 deg.  E.</w:t></w:r>
</w:p>
<w:p>
<w:pPr><w:pStyle w:val="Normal"/></w:pPr>
<w:r><w:t xml:space="preserve">longitude.  On the 15th of April 1891 a further agreement</w:t></w:r>
</w:p>
<w:p>
<w:pPr><w:pStyle w:val="Normal"/></w:pPr>
<w:r><w:t xml:space="preserve">fixed the northern limit of the Italian sphere from Ras Kasar</w:t></w:r>
</w:p>
<w:p>
<w:pPr><w:pStyle w:val="Normal"/></w:pPr>
<w:r><w:t xml:space="preserve">on the Red Sea to the point on the Blue Nile just mentioned.</w:t></w:r>
</w:p>
<w:p>
<w:pPr><w:pStyle w:val="Normal"/></w:pPr>
<w:r><w:t xml:space="preserve">By this agreement Italy was to have the right temporarily to</w:t></w:r>
</w:p>
<w:p>
<w:pPr><w:pStyle w:val="Normal"/></w:pPr>
<w:r><w:t xml:space="preserve">occupy Kassala, which was left in the Anglo-Egyptian sphere,</w:t></w:r>
</w:p>
<w:p>
<w:pPr><w:pStyle w:val="Normal"/></w:pPr>
<w:r><w:t xml:space="preserve">in trust for Egypt--a right of which she availed herself in</w:t></w:r>
</w:p>
<w:p>
<w:pPr><w:pStyle w:val="Normal"/></w:pPr>
<w:r><w:t xml:space="preserve">1894.  To complete the work of delimitation the British and</w:t></w:r>
</w:p>
<w:p>
<w:pPr><w:pStyle w:val="Normal"/></w:pPr>
<w:r><w:t xml:space="preserve">Italian governments, on the 5th of May 1894, fixed the boundary</w:t></w:r>
</w:p>
<w:p>
<w:pPr><w:pStyle w:val="Normal"/></w:pPr>
<w:r><w:t xml:space="preserve">of the British sphere of influence in Somaliland from the</w:t></w:r>
</w:p>
<w:p>
<w:pPr><w:pStyle w:val="Normal"/></w:pPr>
<w:r><w:t xml:space="preserve">Anglo-French boundary, which had been settled in February 1888.</w:t></w:r>
</w:p>
<w:p>
<w:pPr><w:pStyle w:val="Normal"/></w:pPr>
<w:r><w:t xml:space="preserve">But while Great Britain was thus lending her sanction to</w:t></w:r>
</w:p>
<w:p>
<w:pPr><w:pStyle w:val="Normal"/></w:pPr>
<w:r><w:t xml:space="preserve">Italy&apos;s ambitious schemes, the Abyssinian emperor was becoming</w:t></w:r>
</w:p>
<w:p>
<w:pPr><w:pStyle w:val="Normal"/></w:pPr>
<w:r><w:t xml:space="preserve">more and more incensed at Italy&apos;s pretensions to exercise a</w:t></w:r>
</w:p>
<w:p>
<w:pPr><w:pStyle w:val="Normal"/></w:pPr>
<w:r><w:t xml:space="preserve">protectorate over Ethiopia.  In 1893 Menelek denounced the</w:t></w:r>
</w:p>
<w:p>
<w:pPr><w:pStyle w:val="Normal"/></w:pPr>
<w:r><w:t xml:space="preserve">treaty of Uccialli, and eventually, in a great battle, fought at</w:t></w:r>
</w:p>
<w:p>
<w:pPr><w:pStyle w:val="Normal"/></w:pPr>
<w:r><w:t xml:space="preserve">Adowa on the 1st of March 1896, the Italians were disastrously</w:t></w:r>
</w:p>
<w:p>
<w:pPr><w:pStyle w:val="Normal"/></w:pPr>
<w:r><w:t xml:space="preserve">defeated.  By the subsequent treaty of Adis Ababa, concluded</w:t></w:r>
</w:p>
<w:p>
<w:pPr><w:pStyle w:val="Normal"/></w:pPr>
<w:r><w:t xml:space="preserve">on the 26th of October 1896, the whole of the country to the</w:t></w:r>
</w:p>
<w:p>
<w:pPr><w:pStyle w:val="Normal"/></w:pPr>
<w:r><w:t xml:space="preserve">The independence of Abyssinia recognized.</w:t></w:r>
</w:p>
<w:p>
<w:pPr><w:pStyle w:val="Normal"/></w:pPr>
<w:r><w:t xml:space="preserve">south of the Mareb, Belesa and Muna rivers was restored to</w:t></w:r>
</w:p>
<w:p>
<w:pPr><w:pStyle w:val="Normal"/></w:pPr>
<w:r><w:t xml:space="preserve">Abyssinia, and Italy acknowledged the absolute independence of</w:t></w:r>
</w:p>
<w:p>
<w:pPr><w:pStyle w:val="Normal"/></w:pPr>
<w:r><w:t xml:space="preserve">Abyssinia.  The effect of this was practically to destroy</w:t></w:r>
</w:p>
<w:p>
<w:pPr><w:pStyle w:val="Normal"/></w:pPr>
<w:r><w:t xml:space="preserve">the value of the Anglo-Italian agreement as to the boundaries</w:t></w:r>
</w:p>
<w:p>
<w:pPr><w:pStyle w:val="Normal"/></w:pPr>
<w:r><w:t xml:space="preserve">to the south and west of Abyssinia; and negotiations were</w:t></w:r>
</w:p>
<w:p>
<w:pPr><w:pStyle w:val="Normal"/></w:pPr>
<w:r><w:t xml:space="preserve">afterwards set on foot between the emperor Menelek and his</w:t></w:r>
</w:p>
<w:p>
<w:pPr><w:pStyle w:val="Normal"/></w:pPr>
<w:r><w:t xml:space="preserve">European neighbours with the object of determining the Abyssinian</w:t></w:r>
</w:p>
<w:p>
<w:pPr><w:pStyle w:val="Normal"/></w:pPr>
<w:r><w:t xml:space="preserve">frontiers.  Italian Somaliland, bordering on the south-eastern</w:t></w:r>
</w:p>
<w:p>
<w:pPr><w:pStyle w:val="Normal"/></w:pPr>
<w:r><w:t xml:space="preserve">frontier of Abyssinia, became limited to a belt of territory</w:t></w:r>
</w:p>
<w:p>
<w:pPr><w:pStyle w:val="Normal"/></w:pPr>
<w:r><w:t xml:space="preserve">with a depth inland from the Indian Ocean of from 180 to 250</w:t></w:r>
</w:p>
<w:p>
<w:pPr><w:pStyle w:val="Normal"/></w:pPr>
<w:r><w:t xml:space="preserve">m.  The negotiations concerning the frontier lasted until</w:t></w:r>
</w:p>
<w:p>
<w:pPr><w:pStyle w:val="Normal"/></w:pPr>
<w:r><w:t xml:space="preserve">1908, being protracted over the question as to the possession</w:t></w:r>
</w:p>
<w:p>
<w:pPr><w:pStyle w:val="Normal"/></w:pPr>
<w:r><w:t xml:space="preserve">of Lugh, a town on the Juba, which eventually fell to Italy.</w:t></w:r>
</w:p>
<w:p>
<w:pPr><w:pStyle w:val="Normal"/></w:pPr>
<w:r><w:t xml:space="preserve">After the battle of Adowa the Italian government handed over</w:t></w:r>
</w:p>
<w:p>
<w:pPr><w:pStyle w:val="Normal"/></w:pPr>
<w:r><w:t xml:space="preserve">the administration of the southern part of the country to the</w:t></w:r>
</w:p>
<w:p>
<w:pPr><w:pStyle w:val="Normal"/></w:pPr>
<w:r><w:t xml:space="preserve">Benadir Company, but in January 1905 the government resumed</w:t></w:r>
</w:p>
<w:p>
<w:pPr><w:pStyle w:val="Normal"/></w:pPr>
<w:r><w:t xml:space="preserve">control and at the same time transformed the leasehold rights</w:t></w:r>
</w:p>
<w:p>
<w:pPr><w:pStyle w:val="Normal"/></w:pPr>
<w:r><w:t xml:space="preserve">it held from the sultan of Zanzibar into sovereign rights by</w:t></w:r>
</w:p>
<w:p>
<w:pPr><w:pStyle w:val="Normal"/></w:pPr>
<w:r><w:t xml:space="preserve">the payment to the sultan of L. 144,000.  To facilitate her</w:t></w:r>
</w:p>
<w:p>
<w:pPr><w:pStyle w:val="Normal"/></w:pPr>
<w:r><w:t xml:space="preserve">communications with the interior, Italy also secured from the</w:t></w:r>
</w:p>
<w:p>
<w:pPr><w:pStyle w:val="Normal"/></w:pPr>
<w:r><w:t xml:space="preserve">British government the lease of a small area of land immediately</w:t></w:r>
</w:p>
<w:p>
<w:pPr><w:pStyle w:val="Normal"/></w:pPr>
<w:r><w:t xml:space="preserve">to the north of Kismayu.  In British Somaliland the frontier</w:t></w:r>
</w:p>
<w:p>
<w:pPr><w:pStyle w:val="Normal"/></w:pPr>
<w:r><w:t xml:space="preserve">fixed by agreement with Italy in 1894 was modified, in so</w:t></w:r>
</w:p>
<w:p>
<w:pPr><w:pStyle w:val="Normal"/></w:pPr>
<w:r><w:t xml:space="preserve">far as it marched with Abyssinian territory, by an agreement</w:t></w:r>
</w:p>
<w:p>
<w:pPr><w:pStyle w:val="Normal"/></w:pPr>
<w:r><w:t xml:space="preserve">which Sir Rennell Rodd concluded with the emperor Menelek in</w:t></w:r>
</w:p>
<w:p>
<w:pPr><w:pStyle w:val="Normal"/></w:pPr>
<w:r><w:t xml:space="preserve">1897.  The effect of this agreement was to reduce the area</w:t></w:r>
</w:p>
<w:p>
<w:pPr><w:pStyle w:val="Normal"/></w:pPr>
<w:r><w:t xml:space="preserve">of British Somaliland from 75,000 to 68,000 sq. m.  In the</w:t></w:r>
</w:p>
<w:p>
<w:pPr><w:pStyle w:val="Normal"/></w:pPr>
<w:r><w:t xml:space="preserve">same year France concluded an agreement with the emperor,</w:t></w:r>
</w:p>
<w:p>
<w:pPr><w:pStyle w:val="Normal"/></w:pPr>
<w:r><w:t xml:space="preserve">which is known to have fixed the frontier of the French Somali</w:t></w:r>
</w:p>
<w:p>
<w:pPr><w:pStyle w:val="Normal"/></w:pPr>
<w:r><w:t xml:space="preserve">Coast protectorate at a distance of 90 kilometres (56 m.)</w:t></w:r>
</w:p>
<w:p>
<w:pPr><w:pStyle w:val="Normal"/></w:pPr>
<w:r><w:t xml:space="preserve">from the coast.  The determination of the northern, western</w:t></w:r>
</w:p>
<w:p>
<w:pPr><w:pStyle w:val="Normal"/></w:pPr>
<w:r><w:t xml:space="preserve">and southern limits of Abyssinia proved a more difficult</w:t></w:r>
</w:p>
<w:p>
<w:pPr><w:pStyle w:val="Normal"/></w:pPr>
<w:r><w:t xml:space="preserve">matter.  A treaty of July 1900 followed by an agreement</w:t></w:r>
</w:p>
<w:p>
<w:pPr><w:pStyle w:val="Normal"/></w:pPr>
<w:r><w:t xml:space="preserve">of November 1901 defined the boundaries of Eritrea on the</w:t></w:r>
</w:p>
<w:p>
<w:pPr><w:pStyle w:val="Normal"/></w:pPr>
<w:r><w:t xml:space="preserve">side of Abyssinia and the Sudan respectively.  In certain</w:t></w:r>
</w:p>
<w:p>
<w:pPr><w:pStyle w:val="Normal"/></w:pPr>
<w:r><w:t xml:space="preserve">details the boundaries thus laid down were modified by an</w:t></w:r>
</w:p>
<w:p>
<w:pPr><w:pStyle w:val="Normal"/></w:pPr>
<w:r><w:t xml:space="preserve">Anglo-Italian-Abyssinian treaty signed at Adis Ababa on the</w:t></w:r>
</w:p>
<w:p>
<w:pPr><w:pStyle w:val="Normal"/></w:pPr>
<w:r><w:t xml:space="preserve">15th of May 1902.  On the same day another treaty was signed</w:t></w:r>
</w:p>
<w:p>
<w:pPr><w:pStyle w:val="Normal"/></w:pPr>
<w:r><w:t xml:space="preserve">at the Abyssinian capital by Sir John Harrington, the British</w:t></w:r>
</w:p>
<w:p>
<w:pPr><w:pStyle w:val="Normal"/></w:pPr>
<w:r><w:t xml:space="preserve">minister plenipotentiary, and the emperor Menelek, whereby the</w:t></w:r>
</w:p>
<w:p>
<w:pPr><w:pStyle w:val="Normal"/></w:pPr>
<w:r><w:t xml:space="preserve">western, or Sudan-Abyssinian, frontier was defined as far south</w:t></w:r>
</w:p>
<w:p>
<w:pPr><w:pStyle w:val="Normal"/></w:pPr>
<w:r><w:t xml:space="preserve">as the intersection of 6 deg.  N. and 35 deg.  E. Within the British</w:t></w:r>
</w:p>
<w:p>
<w:pPr><w:pStyle w:val="Normal"/></w:pPr>
<w:r><w:t xml:space="preserve">sphere were left the Atbara up to Gallabat, the Blue Nile up</w:t></w:r>
</w:p>
<w:p>
<w:pPr><w:pStyle w:val="Normal"/></w:pPr>
<w:r><w:t xml:space="preserve">to Famaka and the Sobat up to the junction of the Baro and</w:t></w:r>
</w:p>
<w:p>
<w:pPr><w:pStyle w:val="Normal"/></w:pPr>
<w:r><w:t xml:space="preserve">Pibor.  While not satisfying Abyssinian claims to their full</w:t></w:r>
</w:p>
<w:p>
<w:pPr><w:pStyle w:val="Normal"/></w:pPr>
<w:r><w:t xml:space="preserve">extent, the frontier laid down was on the whole more favourable</w:t></w:r>
</w:p>
<w:p>
<w:pPr><w:pStyle w:val="Normal"/></w:pPr>
<w:r><w:t xml:space="preserve">to Abyssinia than was the line fixed in the Anglo-Italian</w:t></w:r>
</w:p>
<w:p>
<w:pPr><w:pStyle w:val="Normal"/></w:pPr>
<w:r><w:t xml:space="preserve">agreement of 1891.  On the other hand, Menelek gave important</w:t></w:r>
</w:p>
<w:p>
<w:pPr><w:pStyle w:val="Normal"/></w:pPr>
<w:r><w:t xml:space="preserve">economic guarantees and concessions to the Sudan government.</w:t></w:r>
</w:p>
<w:p>
<w:pPr><w:pStyle w:val="Normal"/></w:pPr>
<w:r><w:t xml:space="preserve">In Egypt the result of the abolition of the Dual Control</w:t></w:r>
</w:p>
<w:p>
<w:pPr><w:pStyle w:val="Normal"/></w:pPr>
<w:r><w:t xml:space="preserve">was to make British influence virtually predominant, though</w:t></w:r>
</w:p>
<w:p>
<w:pPr><w:pStyle w:val="Normal"/></w:pPr>
<w:r><w:t xml:space="preserve">theoretically Turkey remained the suzerain power; and after</w:t></w:r>
</w:p>
<w:p>
<w:pPr><w:pStyle w:val="Normal"/></w:pPr>
<w:r><w:t xml:space="preserve">the reconquest of the Sudan by the Anglo-Egyptian army a</w:t></w:r>
</w:p>
<w:p>
<w:pPr><w:pStyle w:val="Normal"/></w:pPr>
<w:r><w:t xml:space="preserve">convention between the British and Egyptian governments was</w:t></w:r>
</w:p>
<w:p>
<w:pPr><w:pStyle w:val="Normal"/></w:pPr>
<w:r><w:t xml:space="preserve">signed at Cairo on the 19th of January 1899, which, inter</w:t></w:r>
</w:p>
<w:p>
<w:pPr><w:pStyle w:val="Normal"/></w:pPr>
<w:r><w:t xml:space="preserve">alia, provided for the joint use of the British and Egyptian</w:t></w:r>
</w:p>
<w:p>
<w:pPr><w:pStyle w:val="Normal"/></w:pPr>
<w:r><w:t xml:space="preserve">flags in the territories south of the 22nd parallel of north</w:t></w:r>
</w:p>
<w:p>
<w:pPr><w:pStyle w:val="Normal"/></w:pPr>
<w:r><w:t xml:space="preserve">latitude.  From the international point of view the British</w:t></w:r>
</w:p>
<w:p>
<w:pPr><w:pStyle w:val="Normal"/></w:pPr>
<w:r><w:t xml:space="preserve">position in Egypt was strengthened by the Anglo-French declaration</w:t></w:r>
</w:p>
<w:p>
<w:pPr><w:pStyle w:val="Normal"/></w:pPr>
<w:r><w:t xml:space="preserve">of the 8th of April 1904.  For some time previously there had been</w:t></w:r>
</w:p>
<w:p>
<w:pPr><w:pStyle w:val="Normal"/></w:pPr>
<w:r><w:t xml:space="preserve">The Anglo-French agreements of April 1904.</w:t></w:r>
</w:p>
<w:p>
<w:pPr><w:pStyle w:val="Normal"/></w:pPr>
<w:r><w:t xml:space="preserve">a movement on both sides of the Channel in favour of the</w:t></w:r>
</w:p>
<w:p>
<w:pPr><w:pStyle w:val="Normal"/></w:pPr>
<w:r><w:t xml:space="preserve">settlement of a number of important questions in which</w:t></w:r>
</w:p>
<w:p>
<w:pPr><w:pStyle w:val="Normal"/></w:pPr>
<w:r><w:t xml:space="preserve">British and French interests were involved.  The movement</w:t></w:r>
</w:p>
<w:p>
<w:pPr><w:pStyle w:val="Normal"/></w:pPr>
<w:r><w:t xml:space="preserve">was no doubt strengthened by the desire to reduce to their</w:t></w:r>
</w:p>
<w:p>
<w:pPr><w:pStyle w:val="Normal"/></w:pPr>
<w:r><w:t xml:space="preserve">least dimensions the possible causes of trouble between the</w:t></w:r>
</w:p>
<w:p>
<w:pPr><w:pStyle w:val="Normal"/></w:pPr>
<w:r><w:t xml:space="preserve">two countries at a time when the outbreak of hostilities</w:t></w:r>
</w:p>
<w:p>
<w:pPr><w:pStyle w:val="Normal"/></w:pPr>
<w:r><w:t xml:space="preserve">between Russia (the ally of France) and Japan (the ally of</w:t></w:r>
</w:p>
<w:p>
<w:pPr><w:pStyle w:val="Normal"/></w:pPr>
<w:r><w:t xml:space="preserve">Great Britain) rendered the European situation peculiarly</w:t></w:r>
</w:p>
<w:p>
<w:pPr><w:pStyle w:val="Normal"/></w:pPr>
<w:r><w:t xml:space="preserve">delicate.  On the 8th of April 1904 there was signed in</w:t></w:r>
</w:p>
<w:p>
<w:pPr><w:pStyle w:val="Normal"/></w:pPr>
<w:r><w:t xml:space="preserve">London by the British foreign secretary, the marquess of</w:t></w:r>
</w:p>
<w:p>
<w:pPr><w:pStyle w:val="Normal"/></w:pPr>
<w:r><w:t xml:space="preserve">Lansdowne, and the French ambassador, M. Paul Cambon, a series</w:t></w:r>
</w:p>
<w:p>
<w:pPr><w:pStyle w:val="Normal"/></w:pPr>
<w:r><w:t xml:space="preserve">of agreements relating to several parts of the globe.  Here we</w:t></w:r>
</w:p>
<w:p>
<w:pPr><w:pStyle w:val="Normal"/></w:pPr>
<w:r><w:t xml:space="preserve">are concerned only with the joint declaration respecting Egypt</w:t></w:r>
</w:p>
<w:p>
<w:pPr><w:pStyle w:val="Normal"/></w:pPr>
<w:r><w:t xml:space="preserve">and Morocco and a convention relating, in part, to British</w:t></w:r>
</w:p>
<w:p>
<w:pPr><w:pStyle w:val="Normal"/></w:pPr>
<w:r><w:t xml:space="preserve">and French frontiers in West Africa.  The latter we shall</w:t></w:r>
</w:p>
<w:p>
<w:pPr><w:pStyle w:val="Normal"/></w:pPr>
<w:r><w:t xml:space="preserve">have occasion to refer to later.  The former, notwithstanding</w:t></w:r>
</w:p>
<w:p>
<w:pPr><w:pStyle w:val="Normal"/></w:pPr>
<w:r><w:t xml:space="preserve">the declarations embodied in it that there was ``no intention</w:t></w:r>
</w:p>
<w:p>
<w:pPr><w:pStyle w:val="Normal"/></w:pPr>
<w:r><w:t xml:space="preserve">of altering the political status&apos;&apos; either of Egypt or of</w:t></w:r>
</w:p>
<w:p>
<w:pPr><w:pStyle w:val="Normal"/></w:pPr>
<w:r><w:t xml:space="preserve">Morocco, cannot be ignored in any account of the partition in</w:t></w:r>
</w:p>
<w:p>
<w:pPr><w:pStyle w:val="Normal"/></w:pPr>
<w:r><w:t xml:space="preserve">Africa.  With regard to Egypt the French government declared</w:t></w:r>
</w:p>
<w:p>
<w:pPr><w:pStyle w:val="Normal"/></w:pPr>
<w:r><w:t xml:space="preserve">``that they will not obstruct the action of Great Britain</w:t></w:r>
</w:p>
<w:p>
<w:pPr><w:pStyle w:val="Normal"/></w:pPr>
<w:r><w:t xml:space="preserve">in that country by asking that a limit of time be fixed for</w:t></w:r>
</w:p>
<w:p>
<w:pPr><w:pStyle w:val="Normal"/></w:pPr>
<w:r><w:t xml:space="preserve">the British occupation or in any other manner.&apos;&apos; France also</w:t></w:r>
</w:p>
<w:p>
<w:pPr><w:pStyle w:val="Normal"/></w:pPr>
<w:r><w:t xml:space="preserve">assented--as did subsequently the other powers interested--to</w:t></w:r>
</w:p>
<w:p>
<w:pPr><w:pStyle w:val="Normal"/></w:pPr>
<w:r><w:t xml:space="preserve">a khedivial decree simplifying the international control</w:t></w:r>
</w:p>
<w:p>
<w:pPr><w:pStyle w:val="Normal"/></w:pPr>
<w:r><w:t xml:space="preserve">exercised by the Caisse de la Dette over the finances of Egypt.</w:t></w:r>
</w:p>
<w:p>
<w:pPr><w:pStyle w:val="Normal"/></w:pPr>
<w:r><w:t xml:space="preserve">In order to appreciate aright that portion of the declaration</w:t></w:r>
</w:p>
<w:p>
<w:pPr><w:pStyle w:val="Normal"/></w:pPr>
<w:r><w:t xml:space="preserve">relating to Morocco it is necessary to say a few words about</w:t></w:r>
</w:p>
<w:p>
<w:pPr><w:pStyle w:val="Normal"/></w:pPr>
<w:r><w:t xml:space="preserve">the course of French policy in North-West Africa.  In Tunisia</w:t></w:r>
</w:p>
<w:p>
<w:pPr><w:pStyle w:val="Normal"/></w:pPr>
<w:r><w:t xml:space="preserve">the work of strengthening the protectorate established in</w:t></w:r>
</w:p>
<w:p>
<w:pPr><w:pStyle w:val="Normal"/></w:pPr>
<w:r><w:t xml:space="preserve">1881 had gone steadily forward; but it was in Algeria that</w:t></w:r>
</w:p>
<w:p>
<w:pPr><w:pStyle w:val="Normal"/></w:pPr>
<w:r><w:t xml:space="preserve">the extension of French influence had been most marked.</w:t></w:r>
</w:p>
<w:p>
<w:pPr><w:pStyle w:val="Normal"/></w:pPr>
<w:r><w:t xml:space="preserve">The movement of expansion southwards was inevitable.  With</w:t></w:r>
</w:p>
<w:p>
<w:pPr><w:pStyle w:val="Normal"/></w:pPr>
<w:r><w:t xml:space="preserve">the progress of exploration it became increasingly evident</w:t></w:r>
</w:p>
<w:p>
<w:pPr><w:pStyle w:val="Normal"/></w:pPr>
<w:r><w:t xml:space="preserve">that the Sahara constituted no insurmountable barrier</w:t></w:r>
</w:p>
<w:p>
<w:pPr><w:pStyle w:val="Normal"/></w:pPr>
<w:r><w:t xml:space="preserve">between the French possessions in North and West Central</w:t></w:r>
</w:p>
<w:p>
<w:pPr><w:pStyle w:val="Normal"/></w:pPr>
<w:r><w:t xml:space="preserve">Africa.  But France had not only the hope of placing Algeria</w:t></w:r>
</w:p>
<w:p>
<w:pPr><w:pStyle w:val="Normal"/></w:pPr>
<w:r><w:t xml:space="preserve">in touch with the Sudan to spur her forward.  To consolidate</w:t></w:r>
</w:p>
<w:p>
<w:pPr><w:pStyle w:val="Normal"/></w:pPr>
<w:r><w:t xml:space="preserve">her position in North-West Africa she desired to make</w:t></w:r>
</w:p>
<w:p>
<w:pPr><w:pStyle w:val="Normal"/></w:pPr>
<w:r><w:t xml:space="preserve">French influence supreme in Morocco.  The relations between</w:t></w:r>
</w:p>
<w:p>
<w:pPr><w:pStyle w:val="Normal"/></w:pPr>
<w:r><w:t xml:space="preserve">the two countries did not favour the realization of that</w:t></w:r>
</w:p>
<w:p>
<w:pPr><w:pStyle w:val="Normal"/></w:pPr>
<w:r><w:t xml:space="preserve">ambition.  The advance southwards of the French forces of</w:t></w:r>
</w:p>
<w:p>
<w:pPr><w:pStyle w:val="Normal"/></w:pPr>
<w:r><w:t xml:space="preserve">occupation evoked loud protests from the Moorish government,</w:t></w:r>
</w:p>
<w:p>
<w:pPr><w:pStyle w:val="Normal"/></w:pPr>
<w:r><w:t xml:space="preserve">particularly with regard to the occupation in 1900-1901 of</w:t></w:r>
</w:p>
<w:p>
<w:pPr><w:pStyle w:val="Normal"/></w:pPr>
<w:r><w:t xml:space="preserve">the Tuat Oases.  Under the Franco-Moorish treaty of 1845 the</w:t></w:r>
</w:p>
<w:p>
<w:pPr><w:pStyle w:val="Normal"/></w:pPr>
<w:r><w:t xml:space="preserve">frontier between Algeria and Morocco was defined from the</w:t></w:r>
</w:p>
<w:p>
<w:pPr><w:pStyle w:val="Normal"/></w:pPr>
<w:r><w:t xml:space="preserve">Mediterranean coast as far south as the pass of Teniet el</w:t></w:r>
</w:p>
<w:p>
<w:pPr><w:pStyle w:val="Normal"/></w:pPr>
<w:r><w:t xml:space="preserve">Sassi, in about 34 deg.  N.; beyond that came a zone in which</w:t></w:r>
</w:p>
<w:p>
<w:pPr><w:pStyle w:val="Normal"/></w:pPr>
<w:r><w:t xml:space="preserve">no frontier was defined, but in which the tribes and desert</w:t></w:r>
</w:p>
<w:p>
<w:pPr><w:pStyle w:val="Normal"/></w:pPr>
<w:r><w:t xml:space="preserve">villages (ksurs) belonging to the respective spheres of</w:t></w:r>
</w:p>
<w:p>
<w:pPr><w:pStyle w:val="Normal"/></w:pPr>
<w:r><w:t xml:space="preserve">influence were named; while south of the desert villages the</w:t></w:r>
</w:p>
<w:p>
<w:pPr><w:pStyle w:val="Normal"/></w:pPr>
<w:r><w:t xml:space="preserve">treaty stated that in view of the character of the country</w:t></w:r>
</w:p>
<w:p>
<w:pPr><w:pStyle w:val="Normal"/></w:pPr>
<w:r><w:t xml:space="preserve">``the delimitation of it would be superfluous.&apos;&apos; Though</w:t></w:r>
</w:p>
<w:p>
<w:pPr><w:pStyle w:val="Normal"/></w:pPr>
<w:r><w:t xml:space="preserve">the frontier was thus left undefined, the sultan maintained</w:t></w:r>
</w:p>
<w:p>
<w:pPr><w:pStyle w:val="Normal"/></w:pPr>
<w:r><w:t xml:space="preserve">that in her advance southwards France had trespassed on</w:t></w:r>
</w:p>
<w:p>
<w:pPr><w:pStyle w:val="Normal"/></w:pPr>
<w:r><w:t xml:space="preserve">territories that unmistakably belonged to Morocco.  After</w:t></w:r>
</w:p>
<w:p>
<w:pPr><w:pStyle w:val="Normal"/></w:pPr>
<w:r><w:t xml:space="preserve">some negotiation, however, a protocol was signed in Paris on</w:t></w:r>
</w:p>
<w:p>
<w:pPr><w:pStyle w:val="Normal"/></w:pPr>
<w:r><w:t xml:space="preserve">France&apos;s privileged position in Morocco.</w:t></w:r>
</w:p>
<w:p>
<w:pPr><w:pStyle w:val="Normal"/></w:pPr>
<w:r><w:t xml:space="preserve">the 20th of July 1901, and commissioners appointed to devise</w:t></w:r>
</w:p>
<w:p>
<w:pPr><w:pStyle w:val="Normal"/></w:pPr>
<w:r><w:t xml:space="preserve">measures for the co-operation of the French and Moorish</w:t></w:r>
</w:p>
<w:p>
<w:pPr><w:pStyle w:val="Normal"/></w:pPr>
<w:r><w:t xml:space="preserve">authorities in the maintenance of peaceful conditions in</w:t></w:r>
</w:p>
<w:p>
<w:pPr><w:pStyle w:val="Normal"/></w:pPr>
<w:r><w:t xml:space="preserve">the frontier region.  It was reported that in April 1902</w:t></w:r>
</w:p>
<w:p>
<w:pPr><w:pStyle w:val="Normal"/></w:pPr>
<w:r><w:t xml:space="preserve">the commissioners signed an agreement whereby the Sharifan</w:t></w:r>
</w:p>
<w:p>
<w:pPr><w:pStyle w:val="Normal"/></w:pPr>
<w:r><w:t xml:space="preserve">government undertook to consolidate its authority on the</w:t></w:r>
</w:p>
<w:p>
<w:pPr><w:pStyle w:val="Normal"/></w:pPr>
<w:r><w:t xml:space="preserve">Moorish side of the frontier as far south as Figig.  The</w:t></w:r>
</w:p>
<w:p>
<w:pPr><w:pStyle w:val="Normal"/></w:pPr>
<w:r><w:t xml:space="preserve">agreement continued: ``Le Gouvernement francais, en</w:t></w:r>
</w:p>
<w:p>
<w:pPr><w:pStyle w:val="Normal"/></w:pPr>
<w:r><w:t xml:space="preserve">raison de son voisinage, lui pretera son appui, en cas de</w:t></w:r>
</w:p>
<w:p>
<w:pPr><w:pStyle w:val="Normal"/></w:pPr>
<w:r><w:t xml:space="preserve">besoin.  Le Gouvernement francais etablira son autorite</w:t></w:r>
</w:p>
<w:p>
<w:pPr><w:pStyle w:val="Normal"/></w:pPr>
<w:r><w:t xml:space="preserve">et la paix dans les regions du Sahara, et le Gouvernement</w:t></w:r>
</w:p>
<w:p>
<w:pPr><w:pStyle w:val="Normal"/></w:pPr>
<w:r><w:t xml:space="preserve">marocain, son voisin, lui aidera de tout son pouvoir.&apos;&apos;</w:t></w:r>
</w:p>
<w:p>
<w:pPr><w:pStyle w:val="Normal"/></w:pPr>
<w:r><w:t xml:space="preserve">Meanwhile in the northern districts of Morocco the conditions</w:t></w:r>
</w:p>
<w:p>
<w:pPr><w:pStyle w:val="Normal"/></w:pPr>
<w:r><w:t xml:space="preserve">of unrest under the rule of the young sultan, Abd el Aziz IV.,</w:t></w:r>
</w:p>
<w:p>
<w:pPr><w:pStyle w:val="Normal"/></w:pPr>
<w:r><w:t xml:space="preserve">were attracting an increasing amount of attention in Europe</w:t></w:r>
</w:p>
<w:p>
<w:pPr><w:pStyle w:val="Normal"/></w:pPr>
<w:r><w:t xml:space="preserve">and were calling forth demands for their suppression.  It was</w:t></w:r>
</w:p>
<w:p>
<w:pPr><w:pStyle w:val="Normal"/></w:pPr>
<w:r><w:t xml:space="preserve">in these circumstances that in the Anglo-French declaration</w:t></w:r>
</w:p>
<w:p>
<w:pPr><w:pStyle w:val="Normal"/></w:pPr>
<w:r><w:t xml:space="preserve">of April 1904 the British government recognized ``that it</w:t></w:r>
</w:p>
<w:p>
<w:pPr><w:pStyle w:val="Normal"/></w:pPr>
<w:r><w:t xml:space="preserve">appertains to France, more particularly as a power whose</w:t></w:r>
</w:p>
<w:p>
<w:pPr><w:pStyle w:val="Normal"/></w:pPr>
<w:r><w:t xml:space="preserve">dominions are conterminous for a great distance with those of</w:t></w:r>
</w:p>
<w:p>
<w:pPr><w:pStyle w:val="Normal"/></w:pPr>
<w:r><w:t xml:space="preserve">Morocco, to preserve order in that country, and to provide</w:t></w:r>
</w:p>
<w:p>
<w:pPr><w:pStyle w:val="Normal"/></w:pPr>
<w:r><w:t xml:space="preserve">assistance for the purpose of all administrative, economic,</w:t></w:r>
</w:p>
<w:p>
<w:pPr><w:pStyle w:val="Normal"/></w:pPr>
<w:r><w:t xml:space="preserve">financial and military reforms which it may require.&apos;&apos; Both</w:t></w:r>
</w:p>
<w:p>
<w:pPr><w:pStyle w:val="Normal"/></w:pPr>
<w:r><w:t xml:space="preserve">parties to the declaration, ``inspired by their feeling of</w:t></w:r>
</w:p>
<w:p>
<w:pPr><w:pStyle w:val="Normal"/></w:pPr>
<w:r><w:t xml:space="preserve">sincere friendship for Spain, take into special consideration</w:t></w:r>
</w:p>
<w:p>
<w:pPr><w:pStyle w:val="Normal"/></w:pPr>
<w:r><w:t xml:space="preserve">the interests which that country derives from her geographical</w:t></w:r>
</w:p>
<w:p>
<w:pPr><w:pStyle w:val="Normal"/></w:pPr>
<w:r><w:t xml:space="preserve">position and from her territorial possessions on the Moorish</w:t></w:r>
</w:p>
<w:p>
<w:pPr><w:pStyle w:val="Normal"/></w:pPr>
<w:r><w:t xml:space="preserve">coast of the Mediterranean.  In regard to these interests</w:t></w:r>
</w:p>
<w:p>
<w:pPr><w:pStyle w:val="Normal"/></w:pPr>
<w:r><w:t xml:space="preserve">the French government will come to an understanding with the</w:t></w:r>
</w:p>
<w:p>
<w:pPr><w:pStyle w:val="Normal"/></w:pPr>
<w:r><w:t xml:space="preserve">Spanish government.&apos;&apos; The understanding thus foreshadowed</w:t></w:r>
</w:p>
<w:p>
<w:pPr><w:pStyle w:val="Normal"/></w:pPr>
<w:r><w:t xml:space="preserve">was reached later in the same year, Spain securing a sphere</w:t></w:r>
</w:p>
<w:p>
<w:pPr><w:pStyle w:val="Normal"/></w:pPr>
<w:r><w:t xml:space="preserve">of interest on the Mediterranean coast.  In pursuance of</w:t></w:r>
</w:p>
<w:p>
<w:pPr><w:pStyle w:val="Normal"/></w:pPr>
<w:r><w:t xml:space="preserve">the policy marked out in the Anglo-French declaration,</w:t></w:r>
</w:p>
<w:p>
<w:pPr><w:pStyle w:val="Normal"/></w:pPr>
<w:r><w:t xml:space="preserve">France was seeking to strengthen her influence in Morocco</w:t></w:r>
</w:p>
<w:p>
<w:pPr><w:pStyle w:val="Normal"/></w:pPr>
<w:r><w:t xml:space="preserve">when in 1905 the attitude of Germany seriously affected her</w:t></w:r>
</w:p>
<w:p>
<w:pPr><w:pStyle w:val="Normal"/></w:pPr>
<w:r><w:t xml:space="preserve">position.  On the 8th of July France secured from the German</w:t></w:r>
</w:p>
<w:p>
<w:pPr><w:pStyle w:val="Normal"/></w:pPr>
<w:r><w:t xml:space="preserve">government formal ``recognition of the situation created</w:t></w:r>
</w:p>
<w:p>
<w:pPr><w:pStyle w:val="Normal"/></w:pPr>
<w:r><w:t xml:space="preserve">for France in Morocco by the contiguity of a vast extent</w:t></w:r>
</w:p>
<w:p>
<w:pPr><w:pStyle w:val="Normal"/></w:pPr>
<w:r><w:t xml:space="preserve">of territory of Algeria and the Sharifan empire, and by the</w:t></w:r>
</w:p>
<w:p>
<w:pPr><w:pStyle w:val="Normal"/></w:pPr>
<w:r><w:t xml:space="preserve">special relations resulting therefrom between the two adjacent</w:t></w:r>
</w:p>
<w:p>
<w:pPr><w:pStyle w:val="Normal"/></w:pPr>
<w:r><w:t xml:space="preserve">countries, as well as by the special interest for France,</w:t></w:r>
</w:p>
<w:p>
<w:pPr><w:pStyle w:val="Normal"/></w:pPr>
<w:r><w:t xml:space="preserve">due to this fact, that order should reign in the Sharifan</w:t></w:r>
</w:p>
<w:p>
<w:pPr><w:pStyle w:val="Normal"/></w:pPr>
<w:r><w:t xml:space="preserve">Empire.&apos;&apos; Finally, in January-April 1906, a conference of the</w:t></w:r>
</w:p>
<w:p>
<w:pPr><w:pStyle w:val="Normal"/></w:pPr>
<w:r><w:t xml:space="preserve">powers was held at Algeciras to devise, by invitation of the</w:t></w:r>
</w:p>
<w:p>
<w:pPr><w:pStyle w:val="Normal"/></w:pPr>
<w:r><w:t xml:space="preserve">sultan, a scheme of reforms to be introduced into Morocco</w:t></w:r>
</w:p>
<w:p>
<w:pPr><w:pStyle w:val="Normal"/></w:pPr>
<w:r><w:t xml:space="preserve">(q.v..) French capital was allotted a larger share than</w:t></w:r>
</w:p>
<w:p>
<w:pPr><w:pStyle w:val="Normal"/></w:pPr>
<w:r><w:t xml:space="preserve">that of any other power in the Moorish state bank which it</w:t></w:r>
</w:p>
<w:p>
<w:pPr><w:pStyle w:val="Normal"/></w:pPr>
<w:r><w:t xml:space="preserve">was decided to institute, and French and Spanish officers</w:t></w:r>
</w:p>
<w:p>
<w:pPr><w:pStyle w:val="Normal"/></w:pPr>
<w:r><w:t xml:space="preserve">were entrusted with the organization of a police force for</w:t></w:r>
</w:p>
<w:p>
<w:pPr><w:pStyle w:val="Normal"/></w:pPr>
<w:r><w:t xml:space="preserve">the maintenance of order in the principal coast towns.  The</w:t></w:r>
</w:p>
<w:p>
<w:pPr><w:pStyle w:val="Normal"/></w:pPr>
<w:r><w:t xml:space="preserve">new regime had not been fully inaugurated, however, when a</w:t></w:r>
</w:p>
<w:p>
<w:pPr><w:pStyle w:val="Normal"/></w:pPr>
<w:r><w:t xml:space="preserve">series of outrages led, in 1907, to the military occupation</w:t></w:r>
</w:p>
<w:p>
<w:pPr><w:pStyle w:val="Normal"/></w:pPr>
<w:r><w:t xml:space="preserve">by France of Udja, a town near the Algerian frontier, and</w:t></w:r>
</w:p>
<w:p>
<w:pPr><w:pStyle w:val="Normal"/></w:pPr>
<w:r><w:t xml:space="preserve">of the port of Casablanca on the Atlantic coast of Morocco.</w:t></w:r>
</w:p>
<w:p>
<w:pPr><w:pStyle w:val="Normal"/></w:pPr>
<w:r><w:t xml:space="preserve">It only remains to be noted, in connexion with the story</w:t></w:r>
</w:p>
<w:p>
<w:pPr><w:pStyle w:val="Normal"/></w:pPr>
<w:r><w:t xml:space="preserve">of French activity in North-West Africa, that with such</w:t></w:r>
</w:p>
<w:p>
<w:pPr><w:pStyle w:val="Normal"/></w:pPr>
<w:r><w:t xml:space="preserve">energy was the penetration of the Sahara pursued that in</w:t></w:r>
</w:p>
<w:p>
<w:pPr><w:pStyle w:val="Normal"/></w:pPr>
<w:r><w:t xml:space="preserve">April 1904 flying columns from Insalah and Timbuktu met</w:t></w:r>
</w:p>
<w:p>
<w:pPr><w:pStyle w:val="Normal"/></w:pPr>
<w:r><w:t xml:space="preserve">by arrangement in mid-desert, and in the following year it</w:t></w:r>
</w:p>
<w:p>
<w:pPr><w:pStyle w:val="Normal"/></w:pPr>
<w:r><w:t xml:space="preserve">was deemed advisable to indicate on the maps the boundary</w:t></w:r>
</w:p>
<w:p>
<w:pPr><w:pStyle w:val="Normal"/></w:pPr>
<w:r><w:t xml:space="preserve">between the Algerian and French West African territories.</w:t></w:r>
</w:p>
<w:p>
<w:pPr><w:pStyle w:val="Normal"/></w:pPr>
<w:r><w:t xml:space="preserve">Brief reference must be made to the position of Tripoli.</w:t></w:r>
</w:p>
<w:p>
<w:pPr><w:pStyle w:val="Normal"/></w:pPr>
<w:r><w:t xml:space="preserve">While Egypt was brought under British control and Tunisia</w:t></w:r>
</w:p>
<w:p>
<w:pPr><w:pStyle w:val="Normal"/></w:pPr>
<w:r><w:t xml:space="preserve">became a French protectorate, Tripoli remained a province</w:t></w:r>
</w:p>
<w:p>
<w:pPr><w:pStyle w:val="Normal"/></w:pPr>
<w:r><w:t xml:space="preserve">of the Turkish empire with undefined frontiers in the</w:t></w:r>
</w:p>
<w:p>
<w:pPr><w:pStyle w:val="Normal"/></w:pPr>
<w:r><w:t xml:space="preserve">hinterland, a state of affairs which more than once threatened</w:t></w:r>
</w:p>
<w:p>
<w:pPr><w:pStyle w:val="Normal"/></w:pPr>
<w:r><w:t xml:space="preserve">to lead to trouble with France during the expansion of the</w:t></w:r>
</w:p>
<w:p>
<w:pPr><w:pStyle w:val="Normal"/></w:pPr>
<w:r><w:t xml:space="preserve">latter&apos;s influence in the Sahara.  As already stated, Italy</w:t></w:r>
</w:p>
<w:p>
<w:pPr><w:pStyle w:val="Normal"/></w:pPr>
<w:r><w:t xml:space="preserve">early gave evidence that it was her ambition to succeed</w:t></w:r>
</w:p>
<w:p>
<w:pPr><w:pStyle w:val="Normal"/></w:pPr>
<w:r><w:t xml:space="preserve">to the province, and, not only by the sultan of Turkey but</w:t></w:r>
</w:p>
<w:p>
<w:pPr><w:pStyle w:val="Normal"/></w:pPr>
<w:r><w:t xml:space="preserve">in Italy also, the Anglo-French declaration of March 1899,</w:t></w:r>
</w:p>
<w:p>
<w:pPr><w:pStyle w:val="Normal"/></w:pPr>
<w:r><w:t xml:space="preserve">respecting the limits of the British and French spheres</w:t></w:r>
</w:p>
<w:p>
<w:pPr><w:pStyle w:val="Normal"/></w:pPr>
<w:r><w:t xml:space="preserve">of influence in north Central Africa, was viewed with some</w:t></w:r>
</w:p>
<w:p>
<w:pPr><w:pStyle w:val="Normal"/></w:pPr>
<w:r><w:t xml:space="preserve">concern.  By means of a series of public utterances on the</w:t></w:r>
</w:p>
<w:p>
<w:pPr><w:pStyle w:val="Heading1"/></w:pPr>
<w:r><w:t>part of French and Italian statesmen in the winter 1901-1902 it</w:t></w:r>
</w:p>
<w:p>
<w:pPr><w:pStyle w:val="Normal"/></w:pPr>
<w:r><w:t xml:space="preserve">Italy&apos;s interest in Tripoli.</w:t></w:r>
</w:p>
<w:p>
<w:pPr><w:pStyle w:val="Normal"/></w:pPr>
<w:r><w:t xml:space="preserve">was made known that the two powers had come to an understanding</w:t></w:r>
</w:p>
<w:p>
<w:pPr><w:pStyle w:val="Normal"/></w:pPr>
<w:r><w:t xml:space="preserve">with regard to their interests in North Africa, and in May 1902</w:t></w:r>
</w:p>
<w:p>
<w:pPr><w:pStyle w:val="Normal"/></w:pPr>
<w:r><w:t xml:space="preserve">Signor Prinetti, then Italian minister for foreign affairs,</w:t></w:r>
</w:p>
<w:p>
<w:pPr><w:pStyle w:val="Normal"/></w:pPr>
<w:r><w:t xml:space="preserve">speaking in parliament in reply to an interpellation on the</w:t></w:r>
</w:p>
<w:p>
<w:pPr><w:pStyle w:val="Normal"/></w:pPr>
<w:r><w:t xml:space="preserve">subject of Tripoli, declared that if ``the status quo in</w:t></w:r>
</w:p>
<w:p>
<w:pPr><w:pStyle w:val="Normal"/></w:pPr>
<w:r><w:t xml:space="preserve">the Mediterranean were ever disturbed, Italy would be sure of</w:t></w:r>
</w:p>
<w:p>
<w:pPr><w:pStyle w:val="Normal"/></w:pPr>
<w:r><w:t xml:space="preserve">finding no one to bar the way to her legitimate aspirations.&apos;&apos;</w:t></w:r>
</w:p>
<w:p>
<w:pPr><w:pStyle w:val="Normal"/></w:pPr>
<w:r><w:t xml:space="preserve">At the opening of the Berlin conference Spain had established no</w:t></w:r>
</w:p>
<w:p>
<w:pPr><w:pStyle w:val="Normal"/></w:pPr>
<w:r><w:t xml:space="preserve">formal claim to any part of the coast to the south of Morocco;</w:t></w:r>
</w:p>
<w:p>
<w:pPr><w:pStyle w:val="Normal"/></w:pPr>
<w:r><w:t xml:space="preserve">but while the conference was sitting, on the 9th of January 1885,</w:t></w:r>
</w:p>
<w:p>
<w:pPr><w:pStyle w:val="Normal"/></w:pPr>
<w:r><w:t xml:space="preserve">the Spanish government intimated that in view of the importance</w:t></w:r>
</w:p>
<w:p>
<w:pPr><w:pStyle w:val="Normal"/></w:pPr>
<w:r><w:t xml:space="preserve">of the Spanish settlements on the Rio de Oro, at Angra de Cintra,</w:t></w:r>
</w:p>
<w:p>
<w:pPr><w:pStyle w:val="Normal"/></w:pPr>
<w:r><w:t xml:space="preserve">Spanish colonies.</w:t></w:r>
</w:p>
<w:p>
<w:pPr><w:pStyle w:val="Normal"/></w:pPr>
<w:r><w:t xml:space="preserve">and at Western Bay (Cape Blanco), and of the documents</w:t></w:r>
</w:p>
<w:p>
<w:pPr><w:pStyle w:val="Normal"/></w:pPr>
<w:r><w:t xml:space="preserve">signed with the independent tribes on that coast, the king</w:t></w:r>
</w:p>
<w:p>
<w:pPr><w:pStyle w:val="Normal"/></w:pPr>
<w:r><w:t xml:space="preserve">of Spain had taken under his protection ``the territories</w:t></w:r>
</w:p>
<w:p>
<w:pPr><w:pStyle w:val="Normal"/></w:pPr>
<w:r><w:t xml:space="preserve">of the western coast of Africa comprised between the</w:t></w:r>
</w:p>
<w:p>
<w:pPr><w:pStyle w:val="Normal"/></w:pPr>
<w:r><w:t xml:space="preserve">fore-mentioned Western Bay and Cape Bojador.&apos;&apos; The interior</w:t></w:r>
</w:p>
<w:p>
<w:pPr><w:pStyle w:val="Normal"/></w:pPr>
<w:r><w:t xml:space="preserve">limits of the Spanish sphere were defined by an agreement</w:t></w:r>
</w:p>
<w:p>
<w:pPr><w:pStyle w:val="Normal"/></w:pPr>
<w:r><w:t xml:space="preserve">concluded in 1900 with France.  By this document some 70,000</w:t></w:r>
</w:p>
<w:p>
<w:pPr><w:pStyle w:val="Normal"/></w:pPr>
<w:r><w:t xml:space="preserve">sq. m. of the western Sahara were recognized as Spanish.</w:t></w:r>
</w:p>
<w:p>
<w:pPr><w:pStyle w:val="Normal"/></w:pPr>
<w:r><w:t xml:space="preserve">The same agreement settled a long-standing dispute between</w:t></w:r>
</w:p>
<w:p>
<w:pPr><w:pStyle w:val="Normal"/></w:pPr>
<w:r><w:t xml:space="preserve">Spain and France as to the ownership of the district around</w:t></w:r>
</w:p>
<w:p>
<w:pPr><w:pStyle w:val="Normal"/></w:pPr>
<w:r><w:t xml:space="preserve">the Muni river to be south of Cameroon, Spain securing a block</w:t></w:r>
</w:p>
<w:p>
<w:pPr><w:pStyle w:val="Normal"/></w:pPr>
<w:r><w:t xml:space="preserve">of territory with a coast-line from the Campo river on the</w:t></w:r>
</w:p>
<w:p>
<w:pPr><w:pStyle w:val="Normal"/></w:pPr>
<w:r><w:t xml:space="preserve">north to the Muni river on the south.  The northern frontier</w:t></w:r>
</w:p>
<w:p>
<w:pPr><w:pStyle w:val="Normal"/></w:pPr>
<w:r><w:t xml:space="preserve">is formed by the German Cameroon colony, the eastern by</w:t></w:r>
</w:p>
<w:p>
<w:pPr><w:pStyle w:val="Normal"/></w:pPr>
<w:r><w:t xml:space="preserve">11 deg.  20&apos; E., and the southern by the first parallel of north</w:t></w:r>
</w:p>
<w:p>
<w:pPr><w:pStyle w:val="Normal"/></w:pPr>
<w:r><w:t xml:space="preserve">latitude to its point of intersection with the Muni river.</w:t></w:r>
</w:p>
<w:p>
<w:pPr><w:pStyle w:val="Normal"/></w:pPr>
<w:r><w:t xml:space="preserve">Apart from this small block of Spanish territory south of</w:t></w:r>
</w:p>
<w:p>
<w:pPr><w:pStyle w:val="Normal"/></w:pPr>
<w:r><w:t xml:space="preserve">Cameroon, the stretch of coast between Cape Blanco and the</w:t></w:r>
</w:p>
<w:p>
<w:pPr><w:pStyle w:val="Normal"/></w:pPr>
<w:r><w:t xml:space="preserve">Division of the Guinea coast.</w:t></w:r>
</w:p>
<w:p>
<w:pPr><w:pStyle w:val="Normal"/></w:pPr>
<w:r><w:t xml:space="preserve">mouth of the Congo is partitioned among four European powers--Great</w:t></w:r>
</w:p>
<w:p>
<w:pPr><w:pStyle w:val="Normal"/></w:pPr>
<w:r><w:t xml:space="preserve">Britain, France, Germany and Portugal --and the negro republic of</w:t></w:r>
</w:p>
<w:p>
<w:pPr><w:pStyle w:val="Normal"/></w:pPr>
<w:r><w:t xml:space="preserve">Liberia.  Following the coast southwards from Cape Blanco is</w:t></w:r>
</w:p>
<w:p>
<w:pPr><w:pStyle w:val="Normal"/></w:pPr>
<w:r><w:t xml:space="preserve">first the French colony of Senegal, which is indented, along</w:t></w:r>
</w:p>
<w:p>
<w:pPr><w:pStyle w:val="Normal"/></w:pPr>
<w:r><w:t xml:space="preserve">the Gambia river, by the small British colony of that name, and</w:t></w:r>
</w:p>
<w:p>
<w:pPr><w:pStyle w:val="Normal"/></w:pPr>
<w:r><w:t xml:space="preserve">then the comparatively small territory of Portuguese Guinea,</w:t></w:r>
</w:p>
<w:p>
<w:pPr><w:pStyle w:val="Normal"/></w:pPr>
<w:r><w:t xml:space="preserve">all that remains on this Coast to represent Portugal&apos;s share in</w:t></w:r>
</w:p>
<w:p>
<w:pPr><w:pStyle w:val="Normal"/></w:pPr>
<w:r><w:t xml:space="preserve">the scramble in a region where she once played so conspicuous a</w:t></w:r>
</w:p>
<w:p>
<w:pPr><w:pStyle w:val="Normal"/></w:pPr>
<w:r><w:t xml:space="preserve">part.  To the south of Portuguese Guinea is the French Guinea</w:t></w:r>
</w:p>
<w:p>
<w:pPr><w:pStyle w:val="Normal"/></w:pPr>
<w:r><w:t xml:space="preserve">colony, and still going south and east are the British</w:t></w:r>
</w:p>
<w:p>
<w:pPr><w:pStyle w:val="Normal"/></w:pPr>
<w:r><w:t xml:space="preserve">colony of Sierra Leone, the republic of Liberia, the French</w:t></w:r>
</w:p>
<w:p>
<w:pPr><w:pStyle w:val="Normal"/></w:pPr>
<w:r><w:t xml:space="preserve">colony of the Ivory coast, the British Gold Coast, German</w:t></w:r>
</w:p>
<w:p>
<w:pPr><w:pStyle w:val="Normal"/></w:pPr>
<w:r><w:t xml:space="preserve">Togoland, French Dahomey, the British colony (formerly known</w:t></w:r>
</w:p>
<w:p>
<w:pPr><w:pStyle w:val="Normal"/></w:pPr>
<w:r><w:t xml:space="preserve">as the Lagos colony) and protectorate of Southern Nigeria,</w:t></w:r>
</w:p>
<w:p>
<w:pPr><w:pStyle w:val="Normal"/></w:pPr>
<w:r><w:t xml:space="preserve">the German colony of Cameroon, the Spanish settlements on the</w:t></w:r>
</w:p>
<w:p>
<w:pPr><w:pStyle w:val="Normal"/></w:pPr>
<w:r><w:t xml:space="preserve">Muni river, the French Congo colony, and the small Portuguese</w:t></w:r>
</w:p>
<w:p>
<w:pPr><w:pStyle w:val="Normal"/></w:pPr>
<w:r><w:t xml:space="preserve">enclave north of the Congo to which reference has already been</w:t></w:r>
</w:p>
<w:p>
<w:pPr><w:pStyle w:val="Normal"/></w:pPr>
<w:r><w:t xml:space="preserve">made, which is administratively part of the Angola colony.</w:t></w:r>
</w:p>
<w:p>
<w:pPr><w:pStyle w:val="Normal"/></w:pPr>
<w:r><w:t xml:space="preserve">When the General Act of the Berlin conference was signed the</w:t></w:r>
</w:p>
<w:p>
<w:pPr><w:pStyle w:val="Normal"/></w:pPr>
<w:r><w:t xml:space="preserve">whole of this coast-line had not been formally claimed; but</w:t></w:r>
</w:p>
<w:p>
<w:pPr><w:pStyle w:val="Normal"/></w:pPr>
<w:r><w:t xml:space="preserve">no time was lost by the powers interested in notifying claims</w:t></w:r>
</w:p>
<w:p>
<w:pPr><w:pStyle w:val="Normal"/></w:pPr>
<w:r><w:t xml:space="preserve">to the unappropriated sections, and the conflicting claims</w:t></w:r>
</w:p>
<w:p>
<w:pPr><w:pStyle w:val="Normal"/></w:pPr>
<w:r><w:t xml:space="preserve">put forward necessitated frequent adjustments by international</w:t></w:r>
</w:p>
<w:p>
<w:pPr><w:pStyle w:val="Normal"/></w:pPr>
<w:r><w:t xml:space="preserve">agreements.  By a Franco-Portuguese agreement of the 12th of</w:t></w:r>
</w:p>
<w:p>
<w:pPr><w:pStyle w:val="Normal"/></w:pPr>
<w:r><w:t xml:space="preserve">May 1886 the limits of Portuguese Guinea--surrounded landwards</w:t></w:r>
</w:p>
<w:p>
<w:pPr><w:pStyle w:val="Normal"/></w:pPr>
<w:r><w:t xml:space="preserve">by French territory--were defined, and by agreements with</w:t></w:r>
</w:p>
<w:p>
<w:pPr><w:pStyle w:val="Normal"/></w:pPr>
<w:r><w:t xml:space="preserve">Great Britain in 1885 and France in 1892 and 1907 the Liberian</w:t></w:r>
</w:p>
<w:p>
<w:pPr><w:pStyle w:val="Normal"/></w:pPr>
<w:r><w:t xml:space="preserve">republic was Confined to an area of about 43,000 sq. m.</w:t></w:r>
</w:p>
<w:p>
<w:pPr><w:pStyle w:val="Normal"/></w:pPr>
<w:r><w:t xml:space="preserve">The real struggle in West Africa was between France and Great</w:t></w:r>
</w:p>
<w:p>
<w:pPr><w:pStyle w:val="Normal"/></w:pPr>
<w:r><w:t xml:space="preserve">Britain, and France played the dominant part, the exhaustion</w:t></w:r>
</w:p>
<w:p>
<w:pPr><w:pStyle w:val="Normal"/></w:pPr>
<w:r><w:t xml:space="preserve">of Portugal, the apathy of the British government and the</w:t></w:r>
</w:p>
<w:p>
<w:pPr><w:pStyle w:val="Normal"/></w:pPr>
<w:r><w:t xml:space="preserve">late appearance of Germany in the field being all elements</w:t></w:r>
</w:p>
<w:p>
<w:pPr><w:pStyle w:val="Normal"/></w:pPr>
<w:r><w:t xml:space="preserve">that favoured the success of French policy.  Before tracing</w:t></w:r>
</w:p>
<w:p>
<w:pPr><w:pStyle w:val="Normal"/></w:pPr>
<w:r><w:t xml:space="preserve">the steps in the historic contest between France and Great</w:t></w:r>
</w:p>
<w:p>
<w:pPr><w:pStyle w:val="Normal"/></w:pPr>
<w:r><w:t xml:space="preserve">Britain it is necessary, however, to deal briefly with the</w:t></w:r>
</w:p>
<w:p>
<w:pPr><w:pStyle w:val="Heading1"/></w:pPr>
<w:r><w:t>part played by Germany.  She naturally could not be disposed</w:t></w:r>
</w:p>
<w:p>
<w:pPr><w:pStyle w:val="Normal"/></w:pPr>
<w:r><w:t xml:space="preserve">of by the chief rivals as easily as were Portugal and</w:t></w:r>
</w:p>
<w:p>
<w:pPr><w:pStyle w:val="Normal"/></w:pPr>
<w:r><w:t xml:space="preserve">Liberia.  It will be remembered that Dr Nachtigal, while the</w:t></w:r>
</w:p>
<w:p>
<w:pPr><w:pStyle w:val="Normal"/></w:pPr>
<w:r><w:t xml:space="preserve">proposals for the Berlin conference were under discussion,</w:t></w:r>
</w:p>
<w:p>
<w:pPr><w:pStyle w:val="Normal"/></w:pPr>
<w:r><w:t xml:space="preserve">had planted the German flag on the coast of Togo and in</w:t></w:r>
</w:p>
<w:p>
<w:pPr><w:pStyle w:val="Normal"/></w:pPr>
<w:r><w:t xml:space="preserve">Cameroon in the month of July 1884.  In Cameroon Germany</w:t></w:r>
</w:p>
<w:p>
<w:pPr><w:pStyle w:val="Normal"/></w:pPr>
<w:r><w:t xml:space="preserve">found herself with Great Britain for a neighbour to the</w:t></w:r>
</w:p>
<w:p>
<w:pPr><w:pStyle w:val="Normal"/></w:pPr>
<w:r><w:t xml:space="preserve">north, and with France as her southern neighbour on the Gabun</w:t></w:r>
</w:p>
<w:p>
<w:pPr><w:pStyle w:val="Normal"/></w:pPr>
<w:r><w:t xml:space="preserve">river.  The utmost activity was displayed in making treaties</w:t></w:r>
</w:p>
<w:p>
<w:pPr><w:pStyle w:val="Normal"/></w:pPr>
<w:r><w:t xml:space="preserve">with native chiefs, and in securing as wide a range of coast for</w:t></w:r>
</w:p>
<w:p>
<w:pPr><w:pStyle w:val="Normal"/></w:pPr>
<w:r><w:t xml:space="preserve">German enterprise as was possible.  After various provisional</w:t></w:r>
</w:p>
<w:p>
<w:pPr><w:pStyle w:val="Normal"/></w:pPr>
<w:r><w:t xml:space="preserve">agreements had been concluded between Great Britain and</w:t></w:r>
</w:p>
<w:p>
<w:pPr><w:pStyle w:val="Normal"/></w:pPr>
<w:r><w:t xml:space="preserve">Germany, a ``provisional line of demarcation&apos;&apos; was adopted in</w:t></w:r>
</w:p>
<w:p>
<w:pPr><w:pStyle w:val="Normal"/></w:pPr>
<w:r><w:t xml:space="preserve">the famous agreement of the 1st of July 1890, starting from</w:t></w:r>
</w:p>
<w:p>
<w:pPr><w:pStyle w:val="Normal"/></w:pPr>
<w:r><w:t xml:space="preserve">the head of the Rio del Rey creek and going to the point,</w:t></w:r>
</w:p>
<w:p>
<w:pPr><w:pStyle w:val="Normal"/></w:pPr>
<w:r><w:t xml:space="preserve">about 9 deg.  8&apos; E., marked ``rapids&apos;&apos; on the British Admiralty</w:t></w:r>
</w:p>
<w:p>
<w:pPr><w:pStyle w:val="Normal"/></w:pPr>
<w:r><w:t xml:space="preserve">chart.  By a further agreement of the 14th of April 1893,</w:t></w:r>
</w:p>
<w:p>
<w:pPr><w:pStyle w:val="Normal"/></w:pPr>
<w:r><w:t xml:space="preserve">the right bank of the Rio del Rey was made the boundary</w:t></w:r>
</w:p>
<w:p>
<w:pPr><w:pStyle w:val="Normal"/></w:pPr>
<w:r><w:t xml:space="preserve">between the Oil Rivers Protectorate (now Southern Nigeria) and</w:t></w:r>
</w:p>
<w:p>
<w:pPr><w:pStyle w:val="Normal"/></w:pPr>
<w:r><w:t xml:space="preserve">Cameroon.  In the following November (1893) the boundary was</w:t></w:r>
</w:p>
<w:p>
<w:pPr><w:pStyle w:val="Normal"/></w:pPr>
<w:r><w:t xml:space="preserve">continued from the ``rapids&apos;&apos; before mentioned, on the Calabar</w:t></w:r>
</w:p>
<w:p>
<w:pPr><w:pStyle w:val="Normal"/></w:pPr>
<w:r><w:t xml:space="preserve">or Cross river, in a straight line towards the centre of the</w:t></w:r>
</w:p>
<w:p>
<w:pPr><w:pStyle w:val="Normal"/></w:pPr>
<w:r><w:t xml:space="preserve">town of Yola, on the Benue river.  Yola itself, with a radius</w:t></w:r>
</w:p>
<w:p>
<w:pPr><w:pStyle w:val="Normal"/></w:pPr>
<w:r><w:t xml:space="preserve">Germany in west Central Africa.</w:t></w:r>
</w:p>
<w:p>
<w:pPr><w:pStyle w:val="Normal"/></w:pPr>
<w:r><w:t xml:space="preserve">of some 3 m., was left in the British sphere, and the German</w:t></w:r>
</w:p>
<w:p>
<w:pPr><w:pStyle w:val="Normal"/></w:pPr>
<w:r><w:t xml:space="preserve">boundary followed the circle eastwards from the point of</w:t></w:r>
</w:p>
<w:p>
<w:pPr><w:pStyle w:val="Normal"/></w:pPr>
<w:r><w:t xml:space="preserve">intersection as it neared Yola until it met the Benue river.</w:t></w:r>
</w:p>
<w:p>
<w:pPr><w:pStyle w:val="Normal"/></w:pPr>
<w:r><w:t xml:space="preserve">From that point it crossed the river to the intersection of</w:t></w:r>
</w:p>
<w:p>
<w:pPr><w:pStyle w:val="Normal"/></w:pPr>
<w:r><w:t xml:space="preserve">the 13th degree of longitude with the 10th degree of north</w:t></w:r>
</w:p>
<w:p>
<w:pPr><w:pStyle w:val="Normal"/></w:pPr>
<w:r><w:t xml:space="preserve">latitude, and then made direct for a point on the southern</w:t></w:r>
</w:p>
<w:p>
<w:pPr><w:pStyle w:val="Normal"/></w:pPr>
<w:r><w:t xml:space="preserve">shore of Lake Chad ``situated 35 minutes east of the meridian</w:t></w:r>
</w:p>
<w:p>
<w:pPr><w:pStyle w:val="Normal"/></w:pPr>
<w:r><w:t xml:space="preserve">of Kuka.&apos;&apos; By this agreement the British government withdrew</w:t></w:r>
</w:p>
<w:p>
<w:pPr><w:pStyle w:val="Normal"/></w:pPr>
<w:r><w:t xml:space="preserve">from a considerable section of the upper waters of the</w:t></w:r>
</w:p>
<w:p>
<w:pPr><w:pStyle w:val="Normal"/></w:pPr>
<w:r><w:t xml:space="preserve">Benue with which the Royal Niger Company had entered into</w:t></w:r>
</w:p>
<w:p>
<w:pPr><w:pStyle w:val="Normal"/></w:pPr>
<w:r><w:t xml:space="preserve">relations.  The limit of Germany&apos;s possible extension</w:t></w:r>
</w:p>
<w:p>
<w:pPr><w:pStyle w:val="Normal"/></w:pPr>
<w:r><w:t xml:space="preserve">eastwards was fixed at the basin of the river Shari, and</w:t></w:r>
</w:p>
<w:p>
<w:pPr><w:pStyle w:val="Normal"/></w:pPr>
<w:r><w:t xml:space="preserve">Darfur, Kordofan and the Bahr-el-Ghazal were to be excluded</w:t></w:r>
</w:p>
<w:p>
<w:pPr><w:pStyle w:val="Normal"/></w:pPr>
<w:r><w:t xml:space="preserve">from her sphere of influence.  The object of Great Britain</w:t></w:r>
</w:p>
<w:p>
<w:pPr><w:pStyle w:val="Normal"/></w:pPr>
<w:r><w:t xml:space="preserve">in making the sacrifice she did was two-fold.  By satisfying</w:t></w:r>
</w:p>
<w:p>
<w:pPr><w:pStyle w:val="Normal"/></w:pPr>
<w:r><w:t xml:space="preserve">Germany&apos;s desire for a part of Lake Chad a check was put on</w:t></w:r>
</w:p>
<w:p>
<w:pPr><w:pStyle w:val="Normal"/></w:pPr>
<w:r><w:t xml:space="preserve">French designs on the Benue region, while by recognizing the</w:t></w:r>
</w:p>
<w:p>
<w:pPr><w:pStyle w:val="Normal"/></w:pPr>
<w:r><w:t xml:space="preserve">central Sudan (Wadai, &amp;c.) in the German sphere, a barrier</w:t></w:r>
</w:p>
<w:p>
<w:pPr><w:pStyle w:val="Normal"/></w:pPr>
<w:r><w:t xml:space="preserve">was interposed to the advance of France from the Congo to the</w:t></w:r>
</w:p>
<w:p>
<w:pPr><w:pStyle w:val="Normal"/></w:pPr>
<w:r><w:t xml:space="preserve">Nile.  This last object was not attained, inasmuch as Germany</w:t></w:r>
</w:p>
<w:p>
<w:pPr><w:pStyle w:val="Normal"/></w:pPr>
<w:r><w:t xml:space="preserve">in coming to terms with France as to the southern and eastern</w:t></w:r>
</w:p>
<w:p>
<w:pPr><w:pStyle w:val="Normal"/></w:pPr>
<w:r><w:t xml:space="preserve">limits of Cameroon abandoned her claims to the central</w:t></w:r>
</w:p>
<w:p>
<w:pPr><w:pStyle w:val="Normal"/></w:pPr>
<w:r><w:t xml:space="preserve">Sudan.  She had already, on the 24th of December 1885, signed</w:t></w:r>
</w:p>
<w:p>
<w:pPr><w:pStyle w:val="Normal"/></w:pPr>
<w:r><w:t xml:space="preserve">a protocol with France fixing her southern frontier, where it</w:t></w:r>
</w:p>
<w:p>
<w:pPr><w:pStyle w:val="Normal"/></w:pPr>
<w:r><w:t xml:space="preserve">was coterminous with the French Congo colony.  But to the east</w:t></w:r>
</w:p>
<w:p>
<w:pPr><w:pStyle w:val="Normal"/></w:pPr>
<w:r><w:t xml:space="preserve">German explorers were crossing the track of French explorers</w:t></w:r>
</w:p>
<w:p>
<w:pPr><w:pStyle w:val="Normal"/></w:pPr>
<w:r><w:t xml:space="preserve">from the northern bank of the Ubangi, and the need for an</w:t></w:r>
</w:p>
<w:p>
<w:pPr><w:pStyle w:val="Normal"/></w:pPr>
<w:r><w:t xml:space="preserve">agreement was obvious.  Accordingly, on the 4th of February</w:t></w:r>
</w:p>
<w:p>
<w:pPr><w:pStyle w:val="Normal"/></w:pPr>
<w:r><w:t xml:space="preserve">1894, a protocol--which, some weeks later, was confirmed by</w:t></w:r>
</w:p>
<w:p>
<w:pPr><w:pStyle w:val="Normal"/></w:pPr>
<w:r><w:t xml:space="preserve">a convention-- was signed at Berlin, by which France accepted</w:t></w:r>
</w:p>
<w:p>
<w:pPr><w:pStyle w:val="Normal"/></w:pPr>
<w:r><w:t xml:space="preserve">the presence of Germany on Lake Chad as a fait accompli and</w:t></w:r>
</w:p>
<w:p>
<w:pPr><w:pStyle w:val="Normal"/></w:pPr>
<w:r><w:t xml:space="preserve">effected the best bargain she could by making the left bank</w:t></w:r>
</w:p>
<w:p>
<w:pPr><w:pStyle w:val="Normal"/></w:pPr>
<w:r><w:t xml:space="preserve">of the Shari river, from its outlet into Lake Chad to the</w:t></w:r>
</w:p>
<w:p>
<w:pPr><w:pStyle w:val="Normal"/></w:pPr>
<w:r><w:t xml:space="preserve">10th parallel of north latitude, the eastern limit of German</w:t></w:r>
</w:p>
<w:p>
<w:pPr><w:pStyle w:val="Normal"/></w:pPr>
<w:r><w:t xml:space="preserve">extension.  From this point the boundary line went due west</w:t></w:r>
</w:p>
<w:p>
<w:pPr><w:pStyle w:val="Normal"/></w:pPr>
<w:r><w:t xml:space="preserve">some 230 m., then turned south, and with various indentations</w:t></w:r>
</w:p>
<w:p>
<w:pPr><w:pStyle w:val="Normal"/></w:pPr>
<w:r><w:t xml:space="preserve">joined the south-eastern frontier, which had been slightly</w:t></w:r>
</w:p>
<w:p>
<w:pPr><w:pStyle w:val="Normal"/></w:pPr>
<w:r><w:t xml:space="preserve">extended so as to give Germany access to the Sanga river--</w:t></w:r>
</w:p>
<w:p>
<w:pPr><w:pStyle w:val="Normal"/></w:pPr>
<w:r><w:t xml:space="preserve">a tributary of the Congo.  Thus, early in 1894, the German</w:t></w:r>
</w:p>
<w:p>
<w:pPr><w:pStyle w:val="Normal"/></w:pPr>
<w:r><w:t xml:space="preserve">Cameroon colony had reached fairly definite limits.  In 1908</w:t></w:r>
</w:p>
<w:p>
<w:pPr><w:pStyle w:val="Normal"/></w:pPr>
<w:r><w:t xml:space="preserve">another convention, modifying the frontier, gave Germany</w:t></w:r>
</w:p>
<w:p>
<w:pPr><w:pStyle w:val="Normal"/></w:pPr>
<w:r><w:t xml:space="preserve">a larger share of the Sanga, while France, among other</w:t></w:r>
</w:p>
<w:p>
<w:pPr><w:pStyle w:val="Normal"/></w:pPr>
<w:r><w:t xml:space="preserve">advantages, gained the left bank of the Shari to 10 deg.  40&apos; N.</w:t></w:r>
</w:p>
<w:p>
<w:pPr><w:pStyle w:val="Normal"/></w:pPr>
<w:r><w:t xml:space="preserve">The German Togoland settlements occupy a narrow strip of</w:t></w:r>
</w:p>
<w:p>
<w:pPr><w:pStyle w:val="Normal"/></w:pPr>
<w:r><w:t xml:space="preserve">the Guinea coast, some 35 m. only in length, wedged in</w:t></w:r>
</w:p>
<w:p>
<w:pPr><w:pStyle w:val="Normal"/></w:pPr>
<w:r><w:t xml:space="preserve">between the British Gold Coast and French Dahomey.  At first</w:t></w:r>
</w:p>
<w:p>
<w:pPr><w:pStyle w:val="Normal"/></w:pPr>
<w:r><w:t xml:space="preserve">France was inclined to dispute Germany&apos;s claims to Little</w:t></w:r>
</w:p>
<w:p>
<w:pPr><w:pStyle w:val="Normal"/></w:pPr>
<w:r><w:t xml:space="preserve">Popo and Porto Seguro; but in December 1885 the French</w:t></w:r>
</w:p>
<w:p>
<w:pPr><w:pStyle w:val="Normal"/></w:pPr>
<w:r><w:t xml:space="preserve">government acknowledged the German protectorate over these</w:t></w:r>
</w:p>
<w:p>
<w:pPr><w:pStyle w:val="Normal"/></w:pPr>
<w:r><w:t xml:space="preserve">Exclusion of Germany from the Niger.</w:t></w:r>
</w:p>
<w:p>
<w:pPr><w:pStyle w:val="Normal"/></w:pPr>
<w:r><w:t xml:space="preserve">places, and the boundary between French and German territory,</w:t></w:r>
</w:p>
<w:p>
<w:pPr><w:pStyle w:val="Normal"/></w:pPr>
<w:r><w:t xml:space="preserve">which runs north from the coast to the 11th decree of</w:t></w:r>
</w:p>
<w:p>
<w:pPr><w:pStyle w:val="Normal"/></w:pPr>
<w:r><w:t xml:space="preserve">latitude, was laid down by the Franco-German convention</w:t></w:r>
</w:p>
<w:p>
<w:pPr><w:pStyle w:val="Normal"/></w:pPr>
<w:r><w:t xml:space="preserve">of the 12th of July 1897.  The fixing of the 11th parallel</w:t></w:r>
</w:p>
<w:p>
<w:pPr><w:pStyle w:val="Normal"/></w:pPr>
<w:r><w:t xml:space="preserve">as the northern boundary of German expansion towards the</w:t></w:r>
</w:p>
<w:p>
<w:pPr><w:pStyle w:val="Normal"/></w:pPr>
<w:r><w:t xml:space="preserve">interior was not accomplished without some sacrifice of German</w:t></w:r>
</w:p>
<w:p>
<w:pPr><w:pStyle w:val="Normal"/></w:pPr>
<w:r><w:t xml:space="preserve">ambitions.  Having secured an opening on Lake Chad for her</w:t></w:r>
</w:p>
<w:p>
<w:pPr><w:pStyle w:val="Normal"/></w:pPr>
<w:r><w:t xml:space="preserve">Cameroon colony, Germany was anxious to obtain a footing on</w:t></w:r>
</w:p>
<w:p>
<w:pPr><w:pStyle w:val="Normal"/></w:pPr>
<w:r><w:t xml:space="preserve">the middle Niger for Togoland.  German expeditions reached</w:t></w:r>
</w:p>
<w:p>
<w:pPr><w:pStyle w:val="Normal"/></w:pPr>
<w:r><w:t xml:space="preserve">Gando, one of the tributary states of the Sokoto empire on</w:t></w:r>
</w:p>
<w:p>
<w:pPr><w:pStyle w:val="Normal"/></w:pPr>
<w:r><w:t xml:space="preserve">the middle Niger, and, notwithstanding the existence of prior</w:t></w:r>
</w:p>
<w:p>
<w:pPr><w:pStyle w:val="Normal"/></w:pPr>
<w:r><w:t xml:space="preserve">treaties with Great Britain, sought to conclude agreements</w:t></w:r>
</w:p>
<w:p>
<w:pPr><w:pStyle w:val="Normal"/></w:pPr>
<w:r><w:t xml:space="preserve">with the sultan of that country.  But this German ambition</w:t></w:r>
</w:p>
<w:p>
<w:pPr><w:pStyle w:val="Normal"/></w:pPr>
<w:r><w:t xml:space="preserve">conflicted both with the British and the French designs in</w:t></w:r>
</w:p>
<w:p>
<w:pPr><w:pStyle w:val="Normal"/></w:pPr>
<w:r><w:t xml:space="preserve">West Africa, and eventually Germany had to be content with</w:t></w:r>
</w:p>
<w:p>
<w:pPr><w:pStyle w:val="Normal"/></w:pPr>
<w:r><w:t xml:space="preserve">the 11th parallel as her northern frontier.  On the west</w:t></w:r>
</w:p>
<w:p>
<w:pPr><w:pStyle w:val="Normal"/></w:pPr>
<w:r><w:t xml:space="preserve">the Togoland frontier on the coast was fixed in July 1886</w:t></w:r>
</w:p>
<w:p>
<w:pPr><w:pStyle w:val="Normal"/></w:pPr>
<w:r><w:t xml:space="preserve">by British and German commissioners at 1 deg.  10&apos; E. longitude,</w:t></w:r>
</w:p>
<w:p>
<w:pPr><w:pStyle w:val="Normal"/></w:pPr>
<w:r><w:t xml:space="preserve">and its extension towards the interior laid down for a short</w:t></w:r>
</w:p>
<w:p>
<w:pPr><w:pStyle w:val="Normal"/></w:pPr>
<w:r><w:t xml:space="preserve">distance.  A curious feature in the history of its prolongation</w:t></w:r>
</w:p>
<w:p>
<w:pPr><w:pStyle w:val="Normal"/></w:pPr>
<w:r><w:t xml:space="preserve">was the establishment in 1888 of a neutral zone wherein neither</w:t></w:r>
</w:p>
<w:p>
<w:pPr><w:pStyle w:val="Normal"/></w:pPr>
<w:r><w:t xml:space="preserve">power was to seek to acquire protectorates nor exclusive</w:t></w:r>
</w:p>
<w:p>
<w:pPr><w:pStyle w:val="Normal"/></w:pPr>
<w:r><w:t xml:space="preserve">influence.  It was not until November 1899 that, as part of</w:t></w:r>
</w:p>
<w:p>
<w:pPr><w:pStyle w:val="Normal"/></w:pPr>
<w:r><w:t xml:space="preserve">the Samoa settlement, this neutral zone was partitioned between</w:t></w:r>
</w:p>
<w:p>
<w:pPr><w:pStyle w:val="Normal"/></w:pPr>
<w:r><w:t xml:space="preserve">the two powers and the frontier extended to the 11th parallel.</w:t></w:r>
</w:p>
<w:p>
<w:pPr><w:pStyle w:val="Normal"/></w:pPr>
<w:r><w:t xml:space="preserve">The story of the struggle between France and Great Britain</w:t></w:r>
</w:p>
<w:p>
<w:pPr><w:pStyle w:val="Normal"/></w:pPr>
<w:r><w:t xml:space="preserve">in West Africa may roughly be divided into two sections, the</w:t></w:r>
</w:p>
<w:p>
<w:pPr><w:pStyle w:val="Normal"/></w:pPr>
<w:r><w:t xml:space="preserve">Anglo-French rivalry in West Africa.</w:t></w:r>
</w:p>
<w:p>
<w:pPr><w:pStyle w:val="Normal"/></w:pPr>
<w:r><w:t xml:space="preserve">first dealing with the Coast colonies, the second dealing with</w:t></w:r>
</w:p>
<w:p>
<w:pPr><w:pStyle w:val="Normal"/></w:pPr>
<w:r><w:t xml:space="preserve">the struggle for the middle Niger and Lake Chad.  As regards</w:t></w:r>
</w:p>
<w:p>
<w:pPr><w:pStyle w:val="Normal"/></w:pPr>
<w:r><w:t xml:space="preserve">the Coast colonies, France was wholly successful in her design</w:t></w:r>
</w:p>
<w:p>
<w:pPr><w:pStyle w:val="Normal"/></w:pPr>
<w:r><w:t xml:space="preserve">of isolating all Great Britain&apos;s separate possessions in that</w:t></w:r>
</w:p>
<w:p>
<w:pPr><w:pStyle w:val="Normal"/></w:pPr>
<w:r><w:t xml:space="preserve">region, and of securing for herself undisputed possession of</w:t></w:r>
</w:p>
<w:p>
<w:pPr><w:pStyle w:val="Normal"/></w:pPr>
<w:r><w:t xml:space="preserve">the upper Niger and of the countries lying within the great</w:t></w:r>
</w:p>
<w:p>
<w:pPr><w:pStyle w:val="Normal"/></w:pPr>
<w:r><w:t xml:space="preserve">bend of that river.  When the British government awoke to</w:t></w:r>
</w:p>
<w:p>
<w:pPr><w:pStyle w:val="Normal"/></w:pPr>
<w:r><w:t xml:space="preserve">the consciousness of what was at stake France had obtained</w:t></w:r>
</w:p>
<w:p>
<w:pPr><w:pStyle w:val="Normal"/></w:pPr>
<w:r><w:t xml:space="preserve">too great a start.  French governors of the Senegal had</w:t></w:r>
</w:p>
<w:p>
<w:pPr><w:pStyle w:val="Normal"/></w:pPr>
<w:r><w:t xml:space="preserve">succeeded, before the Berlin Conference, in establishing forts</w:t></w:r>
</w:p>
<w:p>
<w:pPr><w:pStyle w:val="Normal"/></w:pPr>
<w:r><w:t xml:space="preserve">on the upper Niger, and the advantage thus gained was steadily</w:t></w:r>
</w:p>
<w:p>
<w:pPr><w:pStyle w:val="Normal"/></w:pPr>
<w:r><w:t xml:space="preserve">pursued.  Every winter season French posts were pushed farther</w:t></w:r>
</w:p>
<w:p>
<w:pPr><w:pStyle w:val="Normal"/></w:pPr>
<w:r><w:t xml:space="preserve">and farther along the river, or in the vast regions watered</w:t></w:r>
</w:p>
<w:p>
<w:pPr><w:pStyle w:val="Normal"/></w:pPr>
<w:r><w:t xml:space="preserve">by the southern tributaries of the Senegal and Niger rivers.</w:t></w:r>
</w:p>
<w:p>
<w:pPr><w:pStyle w:val="Normal"/></w:pPr>
<w:r><w:t xml:space="preserve">This ceaseless activity met with its reward.  Great Britain</w:t></w:r>
</w:p>
<w:p>
<w:pPr><w:pStyle w:val="Normal"/></w:pPr>
<w:r><w:t xml:space="preserve">found herself compelled to acknowledge accomplished facts and</w:t></w:r>
</w:p>
<w:p>
<w:pPr><w:pStyle w:val="Normal"/></w:pPr>
<w:r><w:t xml:space="preserve">to conclude agreements with France, which left her colonies</w:t></w:r>
</w:p>
<w:p>
<w:pPr><w:pStyle w:val="Normal"/></w:pPr>
<w:r><w:t xml:space="preserve">mere coast patches, with a very limited extension towards the</w:t></w:r>
</w:p>
<w:p>
<w:pPr><w:pStyle w:val="Normal"/></w:pPr>
<w:r><w:t xml:space="preserve">interior.  On the 10th of August 1889 an agreement was signed</w:t></w:r>
</w:p>
<w:p>
<w:pPr><w:pStyle w:val="Normal"/></w:pPr>
<w:r><w:t xml:space="preserve">by which the Gambia colony and protectorate was confined to</w:t></w:r>
</w:p>
<w:p>
<w:pPr><w:pStyle w:val="Normal"/></w:pPr>
<w:r><w:t xml:space="preserve">a narrow strip of territory on both banks of the river for</w:t></w:r>
</w:p>
<w:p>
<w:pPr><w:pStyle w:val="Normal"/></w:pPr>
<w:r><w:t xml:space="preserve">about 200 m. from the sea.  In June 1882 and in August 1889</w:t></w:r>
</w:p>
<w:p>
<w:pPr><w:pStyle w:val="Normal"/></w:pPr>
<w:r><w:t xml:space="preserve">provisional agreements were made with France fixing the western</w:t></w:r>
</w:p>
<w:p>
<w:pPr><w:pStyle w:val="Normal"/></w:pPr>
<w:r><w:t xml:space="preserve">and northern limits of Sierra Leone, and commissioners were</w:t></w:r>
</w:p>
<w:p>
<w:pPr><w:pStyle w:val="Normal"/></w:pPr>
<w:r><w:t xml:space="preserve">appointed to trace the line of demarcation agreed upon by the two</w:t></w:r>
</w:p>
<w:p>
<w:pPr><w:pStyle w:val="Normal"/></w:pPr>
<w:r><w:t xml:space="preserve">governments.  But the commissioners failed to agree, and on the</w:t></w:r>
</w:p>
<w:p>
<w:pPr><w:pStyle w:val="Normal"/></w:pPr>
<w:r><w:t xml:space="preserve">21st of January 1895 a fresh agreement was made, the boundary</w:t></w:r>
</w:p>
<w:p>
<w:pPr><w:pStyle w:val="Normal"/></w:pPr>
<w:r><w:t xml:space="preserve">being subsequently traced by a mixed commission.  Sierra Leone,</w:t></w:r>
</w:p>
<w:p>
<w:pPr><w:pStyle w:val="Normal"/></w:pPr>
<w:r><w:t xml:space="preserve">as now definitely constituted, has a coast-line of about 180</w:t></w:r>
</w:p>
<w:p>
<w:pPr><w:pStyle w:val="Normal"/></w:pPr>
<w:r><w:t xml:space="preserve">m. and a maximum extension towards the interior of some 200 m.</w:t></w:r>
</w:p>
<w:p>
<w:pPr><w:pStyle w:val="Normal"/></w:pPr>
<w:r><w:t xml:space="preserve">At the date of the Berlin conference the present colonies</w:t></w:r>
</w:p>
<w:p>
<w:pPr><w:pStyle w:val="Normal"/></w:pPr>
<w:r><w:t xml:space="preserve">of Southern Nigeria and the Gold Coast constituted a single</w:t></w:r>
</w:p>
<w:p>
<w:pPr><w:pStyle w:val="Normal"/></w:pPr>
<w:r><w:t xml:space="preserve">colony under the title of the Gold Coast colony, but on the</w:t></w:r>
</w:p>
<w:p>
<w:pPr><w:pStyle w:val="Normal"/></w:pPr>
<w:r><w:t xml:space="preserve">13th of January 1886 the territory comprised under that title</w:t></w:r>
</w:p>
<w:p>
<w:pPr><w:pStyle w:val="Normal"/></w:pPr>
<w:r><w:t xml:space="preserve">was erected into two separate colonies--Lagos and the Gold</w:t></w:r>
</w:p>
<w:p>
<w:pPr><w:pStyle w:val="Normal"/></w:pPr>
<w:r><w:t xml:space="preserve">Coast (the name of the former being changed in February 1906</w:t></w:r>
</w:p>
<w:p>
<w:pPr><w:pStyle w:val="Normal"/></w:pPr>
<w:r><w:t xml:space="preserve">to the colony of Southern Nigeria).  The coast limits of the</w:t></w:r>
</w:p>
<w:p>
<w:pPr><w:pStyle w:val="Normal"/></w:pPr>
<w:r><w:t xml:space="preserve">new Gold Coast colony were declared to extend from 5 deg.  W.</w:t></w:r>
</w:p>
<w:p>
<w:pPr><w:pStyle w:val="Normal"/></w:pPr>
<w:r><w:t xml:space="preserve">to 2 deg.  E., but these limits were subsequently curtailed by</w:t></w:r>
</w:p>
<w:p>
<w:pPr><w:pStyle w:val="Normal"/></w:pPr>
<w:r><w:t xml:space="preserve">agreements with France and Germany.  The arrangements that</w:t></w:r>
</w:p>
<w:p>
<w:pPr><w:pStyle w:val="Normal"/></w:pPr>
<w:r><w:t xml:space="preserve">fixed the eastern frontier of the Gold Coast colony and its</w:t></w:r>
</w:p>
<w:p>
<w:pPr><w:pStyle w:val="Normal"/></w:pPr>
<w:r><w:t xml:space="preserve">hinterland have already been stated in connexion with German</w:t></w:r>
</w:p>
<w:p>
<w:pPr><w:pStyle w:val="Normal"/></w:pPr>
<w:r><w:t xml:space="preserve">Togoland.  On the western frontier it marches with the French</w:t></w:r>
</w:p>
<w:p>
<w:pPr><w:pStyle w:val="Normal"/></w:pPr>
<w:r><w:t xml:space="preserve">colony of the Ivory Coast, and in July 1893, after an unsuccessful</w:t></w:r>
</w:p>
<w:p>
<w:pPr><w:pStyle w:val="Normal"/></w:pPr>
<w:r><w:t xml:space="preserve">attempt to achieve the same end by an agreement concluded in</w:t></w:r>
</w:p>
<w:p>
<w:pPr><w:pStyle w:val="Normal"/></w:pPr>
<w:r><w:t xml:space="preserve">1889, the frontier was defined from the neighbourhood of the</w:t></w:r>
</w:p>
<w:p>
<w:pPr><w:pStyle w:val="Normal"/></w:pPr>
<w:r><w:t xml:space="preserve">Tano lagoon and river of the same name, to the 9th degree of</w:t></w:r>
</w:p>
<w:p>
<w:pPr><w:pStyle w:val="Normal"/></w:pPr>
<w:r><w:t xml:space="preserve">north latitude.  In August 1896, following the destruction of</w:t></w:r>
</w:p>
<w:p>
<w:pPr><w:pStyle w:val="Normal"/></w:pPr>
<w:r><w:t xml:space="preserve">the Ashanti power and the deportation of King Prempeh, as a</w:t></w:r>
</w:p>
<w:p>
<w:pPr><w:pStyle w:val="Normal"/></w:pPr>
<w:r><w:t xml:space="preserve">result of the second Ashanti campaign, a British protectorate</w:t></w:r>
</w:p>
<w:p>
<w:pPr><w:pStyle w:val="Normal"/></w:pPr>
<w:r><w:t xml:space="preserve">was declared over the whole of the Ashanti territories and</w:t></w:r>
</w:p>
<w:p>
<w:pPr><w:pStyle w:val="Normal"/></w:pPr>
<w:r><w:t xml:space="preserve">a resident was installed at Kumasi.  But no northern limit</w:t></w:r>
</w:p>
<w:p>
<w:pPr><w:pStyle w:val="Normal"/></w:pPr>
<w:r><w:t xml:space="preserve">had been fixed by the 1893 agreement beyond the 9th parallel,</w:t></w:r>
</w:p>
<w:p>
<w:pPr><w:pStyle w:val="Normal"/></w:pPr>
<w:r><w:t xml:space="preserve">and the countries to the north--Gurunsi (Grusi), Mossi and</w:t></w:r>
</w:p>
<w:p>
<w:pPr><w:pStyle w:val="Normal"/></w:pPr>
<w:r><w:t xml:space="preserve">Gurma---were entered from all sides by rival British, French</w:t></w:r>
</w:p>
<w:p>
<w:pPr><w:pStyle w:val="Normal"/></w:pPr>
<w:r><w:t xml:space="preserve">and German expeditions.  The conflicting claims established</w:t></w:r>
</w:p>
<w:p>
<w:pPr><w:pStyle w:val="Normal"/></w:pPr>
<w:r><w:t xml:space="preserve">by these rival expeditions may, however, best be considered in</w:t></w:r>
</w:p>
<w:p>
<w:pPr><w:pStyle w:val="Normal"/></w:pPr>
<w:r><w:t xml:space="preserve">connexion with the struggle for supremacy on the middle Niger</w:t></w:r>
</w:p>
<w:p>
<w:pPr><w:pStyle w:val="Normal"/></w:pPr>
<w:r><w:t xml:space="preserve">and in the Chad region, to which it is now necessary to turn.</w:t></w:r>
</w:p>
<w:p>
<w:pPr><w:pStyle w:val="Normal"/></w:pPr>
<w:r><w:t xml:space="preserve">A few days before the meeting of the Berlin conference Sir</w:t></w:r>
</w:p>
<w:p>
<w:pPr><w:pStyle w:val="Normal"/></w:pPr>
<w:r><w:t xml:space="preserve">George Goldie had succeeded in buying up all the French</w:t></w:r>
</w:p>
<w:p>
<w:pPr><w:pStyle w:val="Normal"/></w:pPr>
<w:r><w:t xml:space="preserve">interests on the lower Niger.  The British company&apos;s influence</w:t></w:r>
</w:p>
<w:p>
<w:pPr><w:pStyle w:val="Normal"/></w:pPr>
<w:r><w:t xml:space="preserve">had at that date been extended by treaties with the native</w:t></w:r>
</w:p>
<w:p>
<w:pPr><w:pStyle w:val="Normal"/></w:pPr>
<w:r><w:t xml:space="preserve">chiefs up the main Niger stream to its junction with the</w:t></w:r>
</w:p>
<w:p>
<w:pPr><w:pStyle w:val="Normal"/></w:pPr>
<w:r><w:t xml:space="preserve">Benue, and some distance along this latter river But the</w:t></w:r>
</w:p>
<w:p>
<w:pPr><w:pStyle w:val="Normal"/></w:pPr>
<w:r><w:t xml:space="preserve">great Fula states of the central Sudan were still outside</w:t></w:r>
</w:p>
<w:p>
<w:pPr><w:pStyle w:val="Normal"/></w:pPr>
<w:r><w:t xml:space="preserve">European influence, and this fact did not escape attention in</w:t></w:r>
</w:p>
<w:p>
<w:pPr><w:pStyle w:val="Normal"/></w:pPr>
<w:r><w:t xml:space="preserve">Germany.  German merchants had been settled for some years</w:t></w:r>
</w:p>
<w:p>
<w:pPr><w:pStyle w:val="Normal"/></w:pPr>
<w:r><w:t xml:space="preserve">on the coast, and one of them, E. R. Flegel, had displayed</w:t></w:r>
</w:p>
<w:p>
<w:pPr><w:pStyle w:val="Normal"/></w:pPr>
<w:r><w:t xml:space="preserve">great interest in, and activity on, the river.  He recognized</w:t></w:r>
</w:p>
<w:p>
<w:pPr><w:pStyle w:val="Normal"/></w:pPr>
<w:r><w:t xml:space="preserve">that in the densely populated states of the middle Niger,</w:t></w:r>
</w:p>
<w:p>
<w:pPr><w:pStyle w:val="Normal"/></w:pPr>
<w:r><w:t xml:space="preserve">Sokoto and Gando, and in Bornu to the west of Lake Chad, there</w:t></w:r>
</w:p>
<w:p>
<w:pPr><w:pStyle w:val="Normal"/></w:pPr>
<w:r><w:t xml:space="preserve">was a magnificent field for Germany&apos;s new-born colonizing</w:t></w:r>
</w:p>
<w:p>
<w:pPr><w:pStyle w:val="Normal"/></w:pPr>
<w:r><w:t xml:space="preserve">zeal.  The German African Company14 and the German Colonial</w:t></w:r>
</w:p>
<w:p>
<w:pPr><w:pStyle w:val="Normal"/></w:pPr>
<w:r><w:t xml:space="preserve">Society listened eagerly to Flegel&apos;s proposals, and in April</w:t></w:r>
</w:p>
<w:p>
<w:pPr><w:pStyle w:val="Normal"/></w:pPr>
<w:r><w:t xml:space="preserve">1885 he left Berlin on a mission to the Fula states of Sokoto and</w:t></w:r>
</w:p>
<w:p>
<w:pPr><w:pStyle w:val="Normal"/></w:pPr>
<w:r><w:t xml:space="preserve">Gando.  But it was impossible to keep his intentions entirely</w:t></w:r>
</w:p>
<w:p>
<w:pPr><w:pStyle w:val="Normal"/></w:pPr>
<w:r><w:t xml:space="preserve">secret, and the (British) National African Company had no</w:t></w:r>
</w:p>
<w:p>
<w:pPr><w:pStyle w:val="Normal"/></w:pPr>
<w:r><w:t xml:space="preserve">desire to see the French rivals, whom they had with so much</w:t></w:r>
</w:p>
<w:p>
<w:pPr><w:pStyle w:val="Normal"/></w:pPr>
<w:r><w:t xml:space="preserve">difficulty dislodged from the river, replaced by the even</w:t></w:r>
</w:p>
<w:p>
<w:pPr><w:pStyle w:val="Normal"/></w:pPr>
<w:r><w:t xml:space="preserve">more troublesome German.  Accordingly Joseph Thomson, the</w:t></w:r>
</w:p>
<w:p>
<w:pPr><w:pStyle w:val="Normal"/></w:pPr>
<w:r><w:t xml:space="preserve">young Scottish explorer, was sent out to the Niger, and had</w:t></w:r>
</w:p>
<w:p>
<w:pPr><w:pStyle w:val="Normal"/></w:pPr>
<w:r><w:t xml:space="preserve">the satisfaction of concluding on the 1st of June 1885 a</w:t></w:r>
</w:p>
<w:p>
<w:pPr><w:pStyle w:val="Normal"/></w:pPr>
<w:r><w:t xml:space="preserve">treaty with ``Umoru, King of the Mussulmans of the Sudan and</w:t></w:r>
</w:p>
<w:p>
<w:pPr><w:pStyle w:val="Normal"/></w:pPr>
<w:r><w:t xml:space="preserve">Sultan of Sokoto,&apos;&apos; which practically secured the whole of</w:t></w:r>
</w:p>
<w:p>
<w:pPr><w:pStyle w:val="Normal"/></w:pPr>
<w:r><w:t xml:space="preserve">the trading rights and the control of the sultan&apos;s foreign</w:t></w:r>
</w:p>
<w:p>
<w:pPr><w:pStyle w:val="Normal"/></w:pPr>
<w:r><w:t xml:space="preserve">relations to the British company.  Thomson concluded a similar</w:t></w:r>
</w:p>
<w:p>
<w:pPr><w:pStyle w:val="Normal"/></w:pPr>
<w:r><w:t xml:space="preserve">treaty with the sultan of Gando, so as to provide against the</w:t></w:r>
</w:p>
<w:p>
<w:pPr><w:pStyle w:val="Normal"/></w:pPr>
<w:r><w:t xml:space="preserve">possibility of its being alleged that Gando was an independent</w:t></w:r>
</w:p>
<w:p>
<w:pPr><w:pStyle w:val="Normal"/></w:pPr>
<w:r><w:t xml:space="preserve">state and not subject to the suzerainty of the sultan of</w:t></w:r>
</w:p>
<w:p>
<w:pPr><w:pStyle w:val="Normal"/></w:pPr>
<w:r><w:t xml:space="preserve">Sokoto.  As Thomson descended the river with his treaties, he</w:t></w:r>
</w:p>
<w:p>
<w:pPr><w:pStyle w:val="Normal"/></w:pPr>
<w:r><w:t xml:space="preserve">met Flegel going up the river, with bundles of German flags</w:t></w:r>
</w:p>
<w:p>
<w:pPr><w:pStyle w:val="Normal"/></w:pPr>
<w:r><w:t xml:space="preserve">and presents for the chiefs.  The German government continued</w:t></w:r>
</w:p>
<w:p>
<w:pPr><w:pStyle w:val="Normal"/></w:pPr>
<w:r><w:t xml:space="preserve">its efforts to secure a footing on the lower Niger until</w:t></w:r>
</w:p>
<w:p>
<w:pPr><w:pStyle w:val="Normal"/></w:pPr>
<w:r><w:t xml:space="preserve">the fall of Prince Bismarck from power in March 1890, when</w:t></w:r>
</w:p>
<w:p>
<w:pPr><w:pStyle w:val="Normal"/></w:pPr>
<w:r><w:t xml:space="preserve">opposition ceased, and on the failure of the half-hearted</w:t></w:r>
</w:p>
<w:p>
<w:pPr><w:pStyle w:val="Normal"/></w:pPr>
<w:r><w:t xml:space="preserve">attempt made later to establish relations with Gando from</w:t></w:r>
</w:p>
<w:p>
<w:pPr><w:pStyle w:val="Normal"/></w:pPr>
<w:r><w:t xml:space="preserve">Togoland, Germany dropped out of the competition for the</w:t></w:r>
</w:p>
<w:p>
<w:pPr><w:pStyle w:val="Normal"/></w:pPr>
<w:r><w:t xml:space="preserve">The Niger Company granted a charter.</w:t></w:r>
</w:p>
<w:p>
<w:pPr><w:pStyle w:val="Normal"/></w:pPr>
<w:r><w:t xml:space="preserve">western Sudan and left the field to France and Great Britain.</w:t></w:r>
</w:p>
<w:p>
<w:pPr><w:pStyle w:val="Normal"/></w:pPr>
<w:r><w:t xml:space="preserve">After its first great success the National African Company</w:t></w:r>
</w:p>
<w:p>
<w:pPr><w:pStyle w:val="Normal"/></w:pPr>
<w:r><w:t xml:space="preserve">renewed its efforts to obtain a charter from the British</w:t></w:r>
</w:p>
<w:p>
<w:pPr><w:pStyle w:val="Normal"/></w:pPr>
<w:r><w:t xml:space="preserve">government, and on the 10th of July 1886 the charter was</w:t></w:r>
</w:p>
<w:p>
<w:pPr><w:pStyle w:val="Normal"/></w:pPr>
<w:r><w:t xml:space="preserve">granted, and the company became ``The Royal Niger Company,</w:t></w:r>
</w:p>
<w:p>
<w:pPr><w:pStyle w:val="Normal"/></w:pPr>
<w:r><w:t xml:space="preserve">chartered and limited.&apos;&apos; In June of the previous year a British</w:t></w:r>
</w:p>
<w:p>
<w:pPr><w:pStyle w:val="Normal"/></w:pPr>
<w:r><w:t xml:space="preserve">protectorate had been proclaimed Over the whole of the coast</w:t></w:r>
</w:p>
<w:p>
<w:pPr><w:pStyle w:val="Normal"/></w:pPr>
<w:r><w:t xml:space="preserve">from the Rio del Rey to the Lagos frontier, and as already</w:t></w:r>
</w:p>
<w:p>
<w:pPr><w:pStyle w:val="Normal"/></w:pPr>
<w:r><w:t xml:space="preserve">stated, on the 13th of January 1886 the Lagos settlements had</w:t></w:r>
</w:p>
<w:p>
<w:pPr><w:pStyle w:val="Normal"/></w:pPr>
<w:r><w:t xml:space="preserve">been separated from the Gold Coast and erected into a separate</w:t></w:r>
</w:p>
<w:p>
<w:pPr><w:pStyle w:val="Normal"/></w:pPr>
<w:r><w:t xml:space="preserve">colony.  It may be convenient to state here that the western</w:t></w:r>
</w:p>
<w:p>
<w:pPr><w:pStyle w:val="Normal"/></w:pPr>
<w:r><w:t xml:space="preserve">boundary of Lagos with French territory (Dahomey) was determined</w:t></w:r>
</w:p>
<w:p>
<w:pPr><w:pStyle w:val="Normal"/></w:pPr>
<w:r><w:t xml:space="preserve">in the Anglo-French agreement of the 10th of August 1889, ``as</w:t></w:r>
</w:p>
<w:p>
<w:pPr><w:pStyle w:val="Normal"/></w:pPr>
<w:r><w:t xml:space="preserve">far as the 9th degree of north latitude, where it shall stop.&apos;&apos;</w:t></w:r>
</w:p>
<w:p>
<w:pPr><w:pStyle w:val="Normal"/></w:pPr>
<w:r><w:t xml:space="preserve">Thus both in the Gold Coast hinterland and in the Lagos hinterland</w:t></w:r>
</w:p>
<w:p>
<w:pPr><w:pStyle w:val="Normal"/></w:pPr>
<w:r><w:t xml:space="preserve">a door was left wide open to the north of the 9th parallel.</w:t></w:r>
</w:p>
<w:p>
<w:pPr><w:pStyle w:val="Normal"/></w:pPr>
<w:r><w:t xml:space="preserve">Notwithstanding her strenuous efforts, France, in her advance</w:t></w:r>
</w:p>
<w:p>
<w:pPr><w:pStyle w:val="Normal"/></w:pPr>
<w:r><w:t xml:space="preserve">down the Niger from Senegal, did not succeed in reaching Sego</w:t></w:r>
</w:p>
<w:p>
<w:pPr><w:pStyle w:val="Normal"/></w:pPr>
<w:r><w:t xml:space="preserve">on the upper Niger, a considerable distance above Timbuktu,</w:t></w:r>
</w:p>
<w:p>
<w:pPr><w:pStyle w:val="Normal"/></w:pPr>
<w:r><w:t xml:space="preserve">until the winter of 1890-1891, and the rapid advance of British</w:t></w:r>
</w:p>
<w:p>
<w:pPr><w:pStyle w:val="Normal"/></w:pPr>
<w:r><w:t xml:space="preserve">influence up the river raised serious fears lest the Royal Niger</w:t></w:r>
</w:p>
<w:p>
<w:pPr><w:pStyle w:val="Normal"/></w:pPr>
<w:r><w:t xml:space="preserve">Company should reach Timbuktu before France could forestall</w:t></w:r>
</w:p>
<w:p>
<w:pPr><w:pStyle w:val="Normal"/></w:pPr>
<w:r><w:t xml:space="preserve">her.  It was, no doubt, this consideration that induced the</w:t></w:r>
</w:p>
<w:p>
<w:pPr><w:pStyle w:val="Normal"/></w:pPr>
<w:r><w:t xml:space="preserve">French government to consent to the insertion in the agreement</w:t></w:r>
</w:p>
<w:p>
<w:pPr><w:pStyle w:val="Normal"/></w:pPr>
<w:r><w:t xml:space="preserve">of the 5th of August 1890, by which Great Britain recognized</w:t></w:r>
</w:p>
<w:p>
<w:pPr><w:pStyle w:val="Normal"/></w:pPr>
<w:r><w:t xml:space="preserve">France&apos;s protectorate over Madagascar, of the following article:</w:t></w:r>
</w:p>
<w:p>
<w:pPr><w:pStyle w:val="Normal"/></w:pPr>
<w:r><w:t xml:space="preserve">The Government of Her Britannic Majesty recognizes the sphere of</w:t></w:r>
</w:p>
<w:p>
<w:pPr><w:pStyle w:val="Normal"/></w:pPr>
<w:r><w:t xml:space="preserve">influence of France to the south of her Mediterranean possessions</w:t></w:r>
</w:p>
<w:p>
<w:pPr><w:pStyle w:val="Normal"/></w:pPr>
<w:r><w:t xml:space="preserve">up to a line from Say on the Niger to Barrua on Lake Chad, drawn</w:t></w:r>
</w:p>
<w:p>
<w:pPr><w:pStyle w:val="Normal"/></w:pPr>
<w:r><w:t xml:space="preserve">m such a manner as to comprise in the sphere of action of the</w:t></w:r>
</w:p>
<w:p>
<w:pPr><w:pStyle w:val="Normal"/></w:pPr>
<w:r><w:t xml:space="preserve">Niger Company all that fairly belongs to the kingdom of Sokoto;</w:t></w:r>
</w:p>
<w:p>
<w:pPr><w:pStyle w:val="Normal"/></w:pPr>
<w:r><w:t xml:space="preserve">the line to be determined by the commissioners to be appointed.</w:t></w:r>
</w:p>
<w:p>
<w:pPr><w:pStyle w:val="Normal"/></w:pPr>
<w:r><w:t xml:space="preserve">The commissioners never were in fact appointed, and the</w:t></w:r>
</w:p>
<w:p>
<w:pPr><w:pStyle w:val="Normal"/></w:pPr>
<w:r><w:t xml:space="preserve">proper meaning to be attached to this article subsequently</w:t></w:r>
</w:p>
<w:p>
<w:pPr><w:pStyle w:val="Normal"/></w:pPr>
<w:r><w:t xml:space="preserve">became a subject of bitter controversy between the two</w:t></w:r>
</w:p>
<w:p>
<w:pPr><w:pStyle w:val="Normal"/></w:pPr>
<w:r><w:t xml:space="preserve">countries.  An examination of the map of West Africa will</w:t></w:r>
</w:p>
<w:p>
<w:pPr><w:pStyle w:val="Normal"/></w:pPr>
<w:r><w:t xml:space="preserve">show what possibilities of trouble were left open at the</w:t></w:r>
</w:p>
<w:p>
<w:pPr><w:pStyle w:val="Normal"/></w:pPr>
<w:r><w:t xml:space="preserve">end of 1890 by the various agreements concluded up to that</w:t></w:r>
</w:p>
<w:p>
<w:pPr><w:pStyle w:val="Normal"/></w:pPr>
<w:r><w:t xml:space="preserve">date.  From Say on the Niger to where the Lagos frontier came</w:t></w:r>
</w:p>
<w:p>
<w:pPr><w:pStyle w:val="Normal"/></w:pPr>
<w:r><w:t xml:space="preserve">to an abrupt stop in 9 deg.  N. there was no boundary line between</w:t></w:r>
</w:p>
<w:p>
<w:pPr><w:pStyle w:val="Normal"/></w:pPr>
<w:r><w:t xml:space="preserve">the French and British spheres of influence.  To the north</w:t></w:r>
</w:p>
<w:p>
<w:pPr><w:pStyle w:val="Normal"/></w:pPr>
<w:r><w:t xml:space="preserve">of the Gold Coast and of the French Ivory Coast colony the</w:t></w:r>
</w:p>
<w:p>
<w:pPr><w:pStyle w:val="Normal"/></w:pPr>
<w:r><w:t xml:space="preserve">way was equally open to Great Britain and to France, while</w:t></w:r>
</w:p>
<w:p>
<w:pPr><w:pStyle w:val="Normal"/></w:pPr>
<w:r><w:t xml:space="preserve">the vagueness of the Say-Barrua line left an opening of which</w:t></w:r>
</w:p>
<w:p>
<w:pPr><w:pStyle w:val="Normal"/></w:pPr>
<w:r><w:t xml:space="preserve">France was quick to avail herself.  Captain P. L. Monteil,</w:t></w:r>
</w:p>
<w:p>
<w:pPr><w:pStyle w:val="Normal"/></w:pPr>
<w:r><w:t xml:space="preserve">who was despatched by the French government to West Africa in</w:t></w:r>
</w:p>
<w:p>
<w:pPr><w:pStyle w:val="Normal"/></w:pPr>
<w:r><w:t xml:space="preserve">1890, immediately after the conclusion of the August agreement,</w:t></w:r>
</w:p>
<w:p>
<w:pPr><w:pStyle w:val="Normal"/></w:pPr>
<w:r><w:t xml:space="preserve">did not hesitate to pass well to the south of the Say-Barrua</w:t></w:r>
</w:p>
<w:p>
<w:pPr><w:pStyle w:val="Normal"/></w:pPr>
<w:r><w:t xml:space="preserve">line, and to attempt to conclude treaties with chiefs who</w:t></w:r>
</w:p>
<w:p>
<w:pPr><w:pStyle w:val="Normal"/></w:pPr>
<w:r><w:t xml:space="preserve">were, beyond all question, within the British sphere.  Still</w:t></w:r>
</w:p>
<w:p>
<w:pPr><w:pStyle w:val="Normal"/></w:pPr>
<w:r><w:t xml:space="preserve">farther south, on the Benue river, the two expeditions of</w:t></w:r>
</w:p>
<w:p>
<w:pPr><w:pStyle w:val="Normal"/></w:pPr>
<w:r><w:t xml:space="preserve">Lieutenant Mizon--in 1890 and 1892--failed to do any real</w:t></w:r>
</w:p>
<w:p>
<w:pPr><w:pStyle w:val="Normal"/></w:pPr>
<w:r><w:t xml:space="preserve">harm to British interests.  In 1892 an event happened which</w:t></w:r>
</w:p>
<w:p>
<w:pPr><w:pStyle w:val="Normal"/></w:pPr>
<w:r><w:t xml:space="preserve">had an important bearing on the future course of the dispute.</w:t></w:r>
</w:p>
<w:p>
<w:pPr><w:pStyle w:val="Normal"/></w:pPr>
<w:r><w:t xml:space="preserve">French advance Timbuktu.</w:t></w:r>
</w:p>
<w:p>
<w:pPr><w:pStyle w:val="Normal"/></w:pPr>
<w:r><w:t xml:space="preserve">After a troublesome war with Behanzin king of to the native</w:t></w:r>
</w:p>
<w:p>
<w:pPr><w:pStyle w:val="Normal"/></w:pPr>
<w:r><w:t xml:space="preserve">state of Dahomey, France annexed some portion of Dahomeyan</w:t></w:r>
</w:p>
<w:p>
<w:pPr><w:pStyle w:val="Normal"/></w:pPr>
<w:r><w:t xml:space="preserve">territory on the coast, and declared a protectorate over</w:t></w:r>
</w:p>
<w:p>
<w:pPr><w:pStyle w:val="Normal"/></w:pPr>
<w:r><w:t xml:space="preserve">the rest of the kingdom.  Thus was removed the barrier which</w:t></w:r>
</w:p>
<w:p>
<w:pPr><w:pStyle w:val="Normal"/></w:pPr>
<w:r><w:t xml:space="preserve">had up to that time prevented France from pushing her way</w:t></w:r>
</w:p>
<w:p>
<w:pPr><w:pStyle w:val="Normal"/></w:pPr>
<w:r><w:t xml:space="preserve">Nigerwards from her possessions on the Slave Coast, as well</w:t></w:r>
</w:p>
<w:p>
<w:pPr><w:pStyle w:val="Normal"/></w:pPr>
<w:r><w:t xml:space="preserve">as from the upper Niger and the Ivory Coast.  Henceforth</w:t></w:r>
</w:p>
<w:p>
<w:pPr><w:pStyle w:val="Normal"/></w:pPr>
<w:r><w:t xml:space="preserve">her progress from all these directions was rapid, and in</w:t></w:r>
</w:p>
<w:p>
<w:pPr><w:pStyle w:val="Normal"/></w:pPr>
<w:r><w:t xml:space="preserve">particular Timbuktu was occupied in the last days of 1893.</w:t></w:r>
</w:p>
<w:p>
<w:pPr><w:pStyle w:val="Normal"/></w:pPr>
<w:r><w:t xml:space="preserve">In 1894 it appears to have been suddenly realized in France</w:t></w:r>
</w:p>
<w:p>
<w:pPr><w:pStyle w:val="Normal"/></w:pPr>
<w:r><w:t xml:space="preserve">that, for the development of the vast regions which she was</w:t></w:r>
</w:p>
<w:p>
<w:pPr><w:pStyle w:val="Normal"/></w:pPr>
<w:r><w:t xml:space="preserve">placing under her protection in West Africa, it was extremely</w:t></w:r>
</w:p>
<w:p>
<w:pPr><w:pStyle w:val="Normal"/></w:pPr>
<w:r><w:t xml:space="preserve">desirable that she should obtain free access to the navigable</w:t></w:r>
</w:p>
<w:p>
<w:pPr><w:pStyle w:val="Normal"/></w:pPr>
<w:r><w:t xml:space="preserve">portions of the Niger, if not on the left bank, from which she</w:t></w:r>
</w:p>
<w:p>
<w:pPr><w:pStyle w:val="Normal"/></w:pPr>
<w:r><w:t xml:space="preserve">was excluded by the Say-Barrua agreement, then on the right</w:t></w:r>
</w:p>
<w:p>
<w:pPr><w:pStyle w:val="Normal"/></w:pPr>
<w:r><w:t xml:space="preserve">bank, where the frontier had still to be fixed by international</w:t></w:r>
</w:p>
<w:p>
<w:pPr><w:pStyle w:val="Normal"/></w:pPr>
<w:r><w:t xml:space="preserve">agreement.  In the neighbourhood of Bussa there is a long</w:t></w:r>
</w:p>
<w:p>
<w:pPr><w:pStyle w:val="Normal"/></w:pPr>
<w:r><w:t xml:space="preserve">stretch of the river so impeded by rapids that navigation is</w:t></w:r>
</w:p>
<w:p>
<w:pPr><w:pStyle w:val="Normal"/></w:pPr>
<w:r><w:t xml:space="preserve">practically impossible, except in small boats and at considerable</w:t></w:r>
</w:p>
<w:p>
<w:pPr><w:pStyle w:val="Normal"/></w:pPr>
<w:r><w:t xml:space="preserve">risk.  Below these rapids France had no foothold on the river,</w:t></w:r>
</w:p>
<w:p>
<w:pPr><w:pStyle w:val="Normal"/></w:pPr>
<w:r><w:t xml:space="preserve">both banks from Bussa to the sea being within the British</w:t></w:r>
</w:p>
<w:p>
<w:pPr><w:pStyle w:val="Normal"/></w:pPr>
<w:r><w:t xml:space="preserve">sphere.  In 1890 the Royal Niger Company had concluded a treaty</w:t></w:r>
</w:p>
<w:p>
<w:pPr><w:pStyle w:val="Normal"/></w:pPr>
<w:r><w:t xml:space="preserve">with the emir and chiefs of Bussa (or Borgu); but the French</w:t></w:r>
</w:p>
<w:p>
<w:pPr><w:pStyle w:val="Normal"/></w:pPr>
<w:r><w:t xml:space="preserve">declared that the real paramount chief of Borgu was not the</w:t></w:r>
</w:p>
<w:p>
<w:pPr><w:pStyle w:val="Normal"/></w:pPr>
<w:r><w:t xml:space="preserve">king of Bussa, but the king of Nikki, and three expeditions</w:t></w:r>
</w:p>
<w:p>
<w:pPr><w:pStyle w:val="Normal"/></w:pPr>
<w:r><w:t xml:space="preserve">were despatched in hot haste to Nikki to take the king under</w:t></w:r>
</w:p>
<w:p>
<w:pPr><w:pStyle w:val="Normal"/></w:pPr>
<w:r><w:t xml:space="preserve">French protection.  Sir George Goldie, however, was not to be</w:t></w:r>
</w:p>
<w:p>
<w:pPr><w:pStyle w:val="Normal"/></w:pPr>
<w:r><w:t xml:space="preserve">baffled.  While maintaining the validity of the earlier treaty</w:t></w:r>
</w:p>
<w:p>
<w:pPr><w:pStyle w:val="Normal"/></w:pPr>
<w:r><w:t xml:space="preserve">with Bussa, he despatched Captain (afterwards General Sir) F.</w:t></w:r>
</w:p>
<w:p>
<w:pPr><w:pStyle w:val="Normal"/></w:pPr>
<w:r><w:t xml:space="preserve">D. Lugard to Nikki, and Lugard was successful in distancing</w:t></w:r>
</w:p>
<w:p>
<w:pPr><w:pStyle w:val="Normal"/></w:pPr>
<w:r><w:t xml:space="preserve">all his French competitors by several days, reaching Nikki</w:t></w:r>
</w:p>
<w:p>
<w:pPr><w:pStyle w:val="Normal"/></w:pPr>
<w:r><w:t xml:space="preserve">on the 5th of November 1894 and concluding a treaty with the</w:t></w:r>
</w:p>
<w:p>
<w:pPr><w:pStyle w:val="Normal"/></w:pPr>
<w:r><w:t xml:space="preserve">king and chiefs.  The French expeditions, which were in great</w:t></w:r>
</w:p>
<w:p>
<w:pPr><w:pStyle w:val="Normal"/></w:pPr>
<w:r><w:t xml:space="preserve">strength, did not hesitate on their arrival to compel the</w:t></w:r>
</w:p>
<w:p>
<w:pPr><w:pStyle w:val="Normal"/></w:pPr>
<w:r><w:t xml:space="preserve">king to execute fresh treaties with France, and with these in</w:t></w:r>
</w:p>
<w:p>
<w:pPr><w:pStyle w:val="Normal"/></w:pPr>
<w:r><w:t xml:space="preserve">their possession they returned to Dahomey.  Shortly afterwards</w:t></w:r>
</w:p>
<w:p>
<w:pPr><w:pStyle w:val="Normal"/></w:pPr>
<w:r><w:t xml:space="preserve">a fresh act of aggression was committed.  On the 13th of</w:t></w:r>
</w:p>
<w:p>
<w:pPr><w:pStyle w:val="Normal"/></w:pPr>
<w:r><w:t xml:space="preserve">February 1895 a French officer, Commandant Toutee, arrived</w:t></w:r>
</w:p>
<w:p>
<w:pPr><w:pStyle w:val="Normal"/></w:pPr>
<w:r><w:t xml:space="preserve">on the right bank of the Niger opposite Bajibo and built a</w:t></w:r>
</w:p>
<w:p>
<w:pPr><w:pStyle w:val="Normal"/></w:pPr>
<w:r><w:t xml:space="preserve">fort.  His presence there was notified to the Royal Niger</w:t></w:r>
</w:p>
<w:p>
<w:pPr><w:pStyle w:val="Normal"/></w:pPr>
<w:r><w:t xml:space="preserve">Company, who protested to the British government against</w:t></w:r>
</w:p>
<w:p>
<w:pPr><w:pStyle w:val="Normal"/></w:pPr>
<w:r><w:t xml:space="preserve">this invasion of their territory.  Lord Rosebery, who was</w:t></w:r>
</w:p>
<w:p>
<w:pPr><w:pStyle w:val="Normal"/></w:pPr>
<w:r><w:t xml:space="preserve">then foreign minister, at once made inquiries in Paris, and</w:t></w:r>
</w:p>
<w:p>
<w:pPr><w:pStyle w:val="Normal"/></w:pPr>
<w:r><w:t xml:space="preserve">received the assurance that Commandant Toutee was ``a private</w:t></w:r>
</w:p>
<w:p>
<w:pPr><w:pStyle w:val="Normal"/></w:pPr>
<w:r><w:t xml:space="preserve">traveller.&apos;&apos; Eventually Commandant Toutee was ordered to</w:t></w:r>
</w:p>
<w:p>
<w:pPr><w:pStyle w:val="Normal"/></w:pPr>
<w:r><w:t xml:space="preserve">withdraw, and the fort was occupied by the Royal Niger Company&apos;s</w:t></w:r>
</w:p>
<w:p>
<w:pPr><w:pStyle w:val="Normal"/></w:pPr>
<w:r><w:t xml:space="preserve">troops.  Commandant Toutee subsequently published the official</w:t></w:r>
</w:p>
<w:p>
<w:pPr><w:pStyle w:val="Normal"/></w:pPr>
<w:r><w:t xml:space="preserve">instructions from the French government under which he had</w:t></w:r>
</w:p>
<w:p>
<w:pPr><w:pStyle w:val="Normal"/></w:pPr>
<w:r><w:t xml:space="preserve">acted.  It was thought that the recognition of the British</w:t></w:r>
</w:p>
<w:p>
<w:pPr><w:pStyle w:val="Normal"/></w:pPr>
<w:r><w:t xml:space="preserve">claims, involved in the withdrawal of Commandant Toutee,</w:t></w:r>
</w:p>
<w:p>
<w:pPr><w:pStyle w:val="Normal"/></w:pPr>
<w:r><w:t xml:space="preserve">had marked the final abandonment by France of the attempt</w:t></w:r>
</w:p>
<w:p>
<w:pPr><w:pStyle w:val="Normal"/></w:pPr>
<w:r><w:t xml:space="preserve">to establish herself on the navigable portions of the Niger</w:t></w:r>
</w:p>
<w:p>
<w:pPr><w:pStyle w:val="Normal"/></w:pPr>
<w:r><w:t xml:space="preserve">below Bussa, but in 1897 the attempt was renewed in the most</w:t></w:r>
</w:p>
<w:p>
<w:pPr><w:pStyle w:val="Normal"/></w:pPr>
<w:r><w:t xml:space="preserve">determined manner.  In February of that year a French force</w:t></w:r>
</w:p>
<w:p>
<w:pPr><w:pStyle w:val="Normal"/></w:pPr>
<w:r><w:t xml:space="preserve">suddenly occupied Bussa, and this act was quickly followed</w:t></w:r>
</w:p>
<w:p>
<w:pPr><w:pStyle w:val="Normal"/></w:pPr>
<w:r><w:t xml:space="preserve">by the occupation of Gomba and Illo higher up the river.  In</w:t></w:r>
</w:p>
<w:p>
<w:pPr><w:pStyle w:val="Normal"/></w:pPr>
<w:r><w:t xml:space="preserve">November 1897 Nikki was occupied.  The situation on the Niger</w:t></w:r>
</w:p>
<w:p>
<w:pPr><w:pStyle w:val="Normal"/></w:pPr>
<w:r><w:t xml:space="preserve">had so obviously been outgrowing the capacity of a chartered</w:t></w:r>
</w:p>
<w:p>
<w:pPr><w:pStyle w:val="Normal"/></w:pPr>
<w:r><w:t xml:space="preserve">company that for some time before these occurrences the</w:t></w:r>
</w:p>
<w:p>
<w:pPr><w:pStyle w:val="Normal"/></w:pPr>
<w:r><w:t xml:space="preserve">assumption of responsibility for the whole of the Niger region</w:t></w:r>
</w:p>
<w:p>
<w:pPr><w:pStyle w:val="Normal"/></w:pPr>
<w:r><w:t xml:space="preserve">The Franco-British settlement of 1898.</w:t></w:r>
</w:p>
<w:p>
<w:pPr><w:pStyle w:val="Normal"/></w:pPr>
<w:r><w:t xml:space="preserve">by the imperial authorities had been practically decided on;</w:t></w:r>
</w:p>
<w:p>
<w:pPr><w:pStyle w:val="Normal"/></w:pPr>
<w:r><w:t xml:space="preserve">and early in 1898 Lugard was sent out to the Niger with a number</w:t></w:r>
</w:p>
<w:p>
<w:pPr><w:pStyle w:val="Normal"/></w:pPr>
<w:r><w:t xml:space="preserve">of imperial officers to raise a local force in preparation for</w:t></w:r>
</w:p>
<w:p>
<w:pPr><w:pStyle w:val="Normal"/></w:pPr>
<w:r><w:t xml:space="preserve">the contemplated change.  The advance of the French forces from</w:t></w:r>
</w:p>
<w:p>
<w:pPr><w:pStyle w:val="Normal"/></w:pPr>
<w:r><w:t xml:space="preserve">the south and west was the signal for an advance of British</w:t></w:r>
</w:p>
<w:p>
<w:pPr><w:pStyle w:val="Normal"/></w:pPr>
<w:r><w:t xml:space="preserve">troops from the Niger, from Lagos and from the Gold Coast</w:t></w:r>
</w:p>
<w:p>
<w:pPr><w:pStyle w:val="Normal"/></w:pPr>
<w:r><w:t xml:space="preserve">protectorate.  The situation thus created was extremely</w:t></w:r>
</w:p>
<w:p>
<w:pPr><w:pStyle w:val="Normal"/></w:pPr>
<w:r><w:t xml:space="preserve">serious.  The British and French flags were flying in close</w:t></w:r>
</w:p>
<w:p>
<w:pPr><w:pStyle w:val="Normal"/></w:pPr>
<w:r><w:t xml:space="preserve">proximity, in some cases in the same village.  Meanwhile the</w:t></w:r>
</w:p>
<w:p>
<w:pPr><w:pStyle w:val="Normal"/></w:pPr>
<w:r><w:t xml:space="preserve">diplomatists were busy in London and in Paris, and in the latter</w:t></w:r>
</w:p>
<w:p>
<w:pPr><w:pStyle w:val="Normal"/></w:pPr>
<w:r><w:t xml:space="preserve">capital a commission sat for many months to adjust the conflicting</w:t></w:r>
</w:p>
<w:p>
<w:pPr><w:pStyle w:val="Normal"/></w:pPr>
<w:r><w:t xml:space="preserve">claims.  Fortunately, by the tact and forbearance of the officers</w:t></w:r>
</w:p>
<w:p>
<w:pPr><w:pStyle w:val="Normal"/></w:pPr>
<w:r><w:t xml:space="preserve">on both sides, no local incident occurred to precipitate a</w:t></w:r>
</w:p>
<w:p>
<w:pPr><w:pStyle w:val="Normal"/></w:pPr>
<w:r><w:t xml:space="preserve">collision, and on the 14th of June 1898 a convention was signed</w:t></w:r>
</w:p>
<w:p>
<w:pPr><w:pStyle w:val="Normal"/></w:pPr>
<w:r><w:t xml:space="preserve">by Sir Edmund Monson and M. G. Hanotaux which practically</w:t></w:r>
</w:p>
<w:p>
<w:pPr><w:pStyle w:val="Normal"/></w:pPr>
<w:r><w:t xml:space="preserve">completed the partition of this part of the continent.</w:t></w:r>
</w:p>
<w:p>
<w:pPr><w:pStyle w:val="Normal"/></w:pPr>
<w:r><w:t xml:space="preserve">The settlement effected was in the nature of a compromise.</w:t></w:r>
</w:p>
<w:p>
<w:pPr><w:pStyle w:val="Normal"/></w:pPr>
<w:r><w:t xml:space="preserve">France withdrew from Bussa, Gomba and Illo, the frontier</w:t></w:r>
</w:p>
<w:p>
<w:pPr><w:pStyle w:val="Normal"/></w:pPr>
<w:r><w:t xml:space="preserve">line west of the Niger being drawn from the 9th parallel to</w:t></w:r>
</w:p>
<w:p>
<w:pPr><w:pStyle w:val="Normal"/></w:pPr>
<w:r><w:t xml:space="preserve">a point ten miles, as the crow flies, above Giri, the port of</w:t></w:r>
</w:p>
<w:p>
<w:pPr><w:pStyle w:val="Normal"/></w:pPr>
<w:r><w:t xml:space="preserve">Illo.  France was thus shut out from the navigable portion of</w:t></w:r>
</w:p>
<w:p>
<w:pPr><w:pStyle w:val="Normal"/></w:pPr>
<w:r><w:t xml:space="preserve">the middle and lower Niger; but for purely commercial purposes</w:t></w:r>
</w:p>
<w:p>
<w:pPr><w:pStyle w:val="Normal"/></w:pPr>
<w:r><w:t xml:space="preserve">Great Britain agreed to lease to France two small plots of land</w:t></w:r>
</w:p>
<w:p>
<w:pPr><w:pStyle w:val="Normal"/></w:pPr>
<w:r><w:t xml:space="preserve">on the river-the one on the right bank between Leaba and the</w:t></w:r>
</w:p>
<w:p>
<w:pPr><w:pStyle w:val="Normal"/></w:pPr>
<w:r><w:t xml:space="preserve">mouth of the Moshi river, the other at one of the mouths of the</w:t></w:r>
</w:p>
<w:p>
<w:pPr><w:pStyle w:val="Normal"/></w:pPr>
<w:r><w:t xml:space="preserve">Niger.  By accepting this line Great Britain abandoned Nikki</w:t></w:r>
</w:p>
<w:p>
<w:pPr><w:pStyle w:val="Normal"/></w:pPr>
<w:r><w:t xml:space="preserve">and a great part of Borgu as well as some part of Gando to</w:t></w:r>
</w:p>
<w:p>
<w:pPr><w:pStyle w:val="Normal"/></w:pPr>
<w:r><w:t xml:space="preserve">France.  East of the Niger the Say-Barrua line was modified</w:t></w:r>
</w:p>
<w:p>
<w:pPr><w:pStyle w:val="Normal"/></w:pPr>
<w:r><w:t xml:space="preserve">in favour of France, which gained parts of both Sokoto and</w:t></w:r>
</w:p>
<w:p>
<w:pPr><w:pStyle w:val="Normal"/></w:pPr>
<w:r><w:t xml:space="preserve">Bornu where they meet the southern edge of the Sahara.  In the</w:t></w:r>
</w:p>
<w:p>
<w:pPr><w:pStyle w:val="Normal"/></w:pPr>
<w:r><w:t xml:space="preserve">Gold Coast hinterland the French withdrew from Wa, and Great</w:t></w:r>
</w:p>
<w:p>
<w:pPr><w:pStyle w:val="Normal"/></w:pPr>
<w:r><w:t xml:space="preserve">Britain abandoned all claim to Mossi, though the capital of</w:t></w:r>
</w:p>
<w:p>
<w:pPr><w:pStyle w:val="Normal"/></w:pPr>
<w:r><w:t xml:space="preserve">the latter country, together with a further extensive area</w:t></w:r>
</w:p>
<w:p>
<w:pPr><w:pStyle w:val="Normal"/></w:pPr>
<w:r><w:t xml:space="preserve">in the territory assigned to both powers, was declared to be</w:t></w:r>
</w:p>
<w:p>
<w:pPr><w:pStyle w:val="Normal"/></w:pPr>
<w:r><w:t xml:space="preserve">equally free, so far as trade and navigation were concerned,</w:t></w:r>
</w:p>
<w:p>
<w:pPr><w:pStyle w:val="Normal"/></w:pPr>
<w:r><w:t xml:space="preserve">to the subjects and protected persons of both nationalities.</w:t></w:r>
</w:p>
<w:p>
<w:pPr><w:pStyle w:val="Normal"/></w:pPr>
<w:r><w:t xml:space="preserve">The western boundary of the Gold Coast was prolonged along</w:t></w:r>
</w:p>
<w:p>
<w:pPr><w:pStyle w:val="Normal"/></w:pPr>
<w:r><w:t xml:space="preserve">the Black Volta as far as latitude 11 deg.  N., and this parallel</w:t></w:r>
</w:p>
<w:p>
<w:pPr><w:pStyle w:val="Normal"/></w:pPr>
<w:r><w:t xml:space="preserve">was followed with slight deflexions to the Togoland frontier.</w:t></w:r>
</w:p>
<w:p>
<w:pPr><w:pStyle w:val="Normal"/></w:pPr>
<w:r><w:t xml:space="preserve">In consequence of the acute crisis which shortly afterwards</w:t></w:r>
</w:p>
<w:p>
<w:pPr><w:pStyle w:val="Normal"/></w:pPr>
<w:r><w:t xml:space="preserve">occurred between France and Great Britain on the upper Nile,</w:t></w:r>
</w:p>
<w:p>
<w:pPr><w:pStyle w:val="Normal"/></w:pPr>
<w:r><w:t xml:space="preserve">the ratification of this agreement was delayed until after</w:t></w:r>
</w:p>
<w:p>
<w:pPr><w:pStyle w:val="Normal"/></w:pPr>
<w:r><w:t xml:space="preserve">the conclusion of the Fashoda agreement of March 1899 already</w:t></w:r>
</w:p>
<w:p>
<w:pPr><w:pStyle w:val="Normal"/></w:pPr>
<w:r><w:t xml:space="preserve">referred to.  In 1900 the two patches on the Niger leased to</w:t></w:r>
</w:p>
<w:p>
<w:pPr><w:pStyle w:val="Normal"/></w:pPr>
<w:r><w:t xml:space="preserve">France were selected by commissioners representing the two</w:t></w:r>
</w:p>
<w:p>
<w:pPr><w:pStyle w:val="Normal"/></w:pPr>
<w:r><w:t xml:space="preserve">countries, and in the same year the Anglo-French frontier</w:t></w:r>
</w:p>
<w:p>
<w:pPr><w:pStyle w:val="Normal"/></w:pPr>
<w:r><w:t xml:space="preserve">from Lagos to the west bank of the Niger was delimited.</w:t></w:r>
</w:p>
<w:p>
<w:pPr><w:pStyle w:val="Normal"/></w:pPr>
<w:r><w:t xml:space="preserve">East of the Niger the frontier, even as modified in 1898,</w:t></w:r>
</w:p>
<w:p>
<w:pPr><w:pStyle w:val="Normal"/></w:pPr>
<w:r><w:t xml:space="preserve">failed to satisfy the French need for a practicable route to</w:t></w:r>
</w:p>
<w:p>
<w:pPr><w:pStyle w:val="Normal"/></w:pPr>
<w:r><w:t xml:space="preserve">Lake Chad, and in the convention of the 8th of April 1904, to</w:t></w:r>
</w:p>
<w:p>
<w:pPr><w:pStyle w:val="Normal"/></w:pPr>
<w:r><w:t xml:space="preserve">which reference has been made under Egypt and Morocco, it was</w:t></w:r>
</w:p>
<w:p>
<w:pPr><w:pStyle w:val="Normal"/></w:pPr>
<w:r><w:t xml:space="preserve">Further concessions to France.</w:t></w:r>
</w:p>
<w:p>
<w:pPr><w:pStyle w:val="Normal"/></w:pPr>
<w:r><w:t xml:space="preserve">agreed, as part of the settlement of the French shore question</w:t></w:r>
</w:p>
<w:p>
<w:pPr><w:pStyle w:val="Normal"/></w:pPr>
<w:r><w:t xml:space="preserve">in Newfoundland, to deflect the frontier line more to the</w:t></w:r>
</w:p>
<w:p>
<w:pPr><w:pStyle w:val="Normal"/></w:pPr>
<w:r><w:t xml:space="preserve">south.  The new boundary was described at some length, but</w:t></w:r>
</w:p>
<w:p>
<w:pPr><w:pStyle w:val="Normal"/></w:pPr>
<w:r><w:t xml:space="preserve">provision was made for its modification in points of detail</w:t></w:r>
</w:p>
<w:p>
<w:pPr><w:pStyle w:val="Normal"/></w:pPr>
<w:r><w:t xml:space="preserve">on the return of the commissioners engaged in surveying the</w:t></w:r>
</w:p>
<w:p>
<w:pPr><w:pStyle w:val="Normal"/></w:pPr>
<w:r><w:t xml:space="preserve">frontier region.  In 1906 an agreement was reached on all</w:t></w:r>
</w:p>
<w:p>
<w:pPr><w:pStyle w:val="Normal"/></w:pPr>
<w:r><w:t xml:space="preserve">points, and the frontier at last definitely settled, sixteen</w:t></w:r>
</w:p>
<w:p>
<w:pPr><w:pStyle w:val="Normal"/></w:pPr>
<w:r><w:t xml:space="preserve">years after the Say-Barrua line had been fixed.  This revision</w:t></w:r>
</w:p>
<w:p>
<w:pPr><w:pStyle w:val="Normal"/></w:pPr>
<w:r><w:t xml:space="preserve">of the Niger-Chad frontier did not, however, represent the</w:t></w:r>
</w:p>
<w:p>
<w:pPr><w:pStyle w:val="Normal"/></w:pPr>
<w:r><w:t xml:space="preserve">only territorial compensation received by France in West</w:t></w:r>
</w:p>
<w:p>
<w:pPr><w:pStyle w:val="Normal"/></w:pPr>
<w:r><w:t xml:space="preserve">Africa in connexion with the settlement of the Newfoundland</w:t></w:r>
</w:p>
<w:p>
<w:pPr><w:pStyle w:val="Normal"/></w:pPr>
<w:r><w:t xml:space="preserve">question.  By the same convention of April 1904 the British</w:t></w:r>
</w:p>
<w:p>
<w:pPr><w:pStyle w:val="Normal"/></w:pPr>
<w:r><w:t xml:space="preserve">government consented to modify the frontier between Senegal</w:t></w:r>
</w:p>
<w:p>
<w:pPr><w:pStyle w:val="Normal"/></w:pPr>
<w:r><w:t xml:space="preserve">and the Gambia colony ``so as to give to France Yarbutenda</w:t></w:r>
</w:p>
<w:p>
<w:pPr><w:pStyle w:val="Normal"/></w:pPr>
<w:r><w:t xml:space="preserve">and the lands and landing-places belonging to that locality,&apos;&apos;</w:t></w:r>
</w:p>
<w:p>
<w:pPr><w:pStyle w:val="Normal"/></w:pPr>
<w:r><w:t xml:space="preserve">and further agreed to cede to France the tiny group of islands</w:t></w:r>
</w:p>
<w:p>
<w:pPr><w:pStyle w:val="Normal"/></w:pPr>
<w:r><w:t xml:space="preserve">off the coast of French Guinea known as the Los Islands.</w:t></w:r>
</w:p>
<w:p>
<w:pPr><w:pStyle w:val="Normal"/></w:pPr>
<w:r><w:t xml:space="preserve">Meantime the conclusion of the 1898 convention had left both</w:t></w:r>
</w:p>
<w:p>
<w:pPr><w:pStyle w:val="Normal"/></w:pPr>
<w:r><w:t xml:space="preserve">the British and the French governments free to devote increased</w:t></w:r>
</w:p>
<w:p>
<w:pPr><w:pStyle w:val="Normal"/></w:pPr>
<w:r><w:t xml:space="preserve">attention to the subdivision and control of their West African</w:t></w:r>
</w:p>
<w:p>
<w:pPr><w:pStyle w:val="Normal"/></w:pPr>
<w:r><w:t xml:space="preserve">possessions.  On the 1st of January 1900 the imperial authorities</w:t></w:r>
</w:p>
<w:p>
<w:pPr><w:pStyle w:val="Normal"/></w:pPr>
<w:r><w:t xml:space="preserve">assumed direct responsibility for the whole of the territories</w:t></w:r>
</w:p>
<w:p>
<w:pPr><w:pStyle w:val="Normal"/></w:pPr>
<w:r><w:t xml:space="preserve">of the Royal Niger Company, which became henceforth a purely</w:t></w:r>
</w:p>
<w:p>
<w:pPr><w:pStyle w:val="Normal"/></w:pPr>
<w:r><w:t xml:space="preserve">commercial undertaking.  The Lagos protectorate was extended</w:t></w:r>
</w:p>
<w:p>
<w:pPr><w:pStyle w:val="Normal"/></w:pPr>
<w:r><w:t xml:space="preserve">northwards; the Niger Coast protectorate, likewise with extended</w:t></w:r>
</w:p>
<w:p>
<w:pPr><w:pStyle w:val="Normal"/></w:pPr>
<w:r><w:t xml:space="preserve">frontiers, became Southern Nigeria; while the greater part</w:t></w:r>
</w:p>
<w:p>
<w:pPr><w:pStyle w:val="Normal"/></w:pPr>
<w:r><w:t xml:space="preserve">of the territories formerly administered by the company were</w:t></w:r>
</w:p>
<w:p>
<w:pPr><w:pStyle w:val="Normal"/></w:pPr>
<w:r><w:t xml:space="preserve">constituted into the protectorate of Northern Nigeria--all</w:t></w:r>
</w:p>
<w:p>
<w:pPr><w:pStyle w:val="Normal"/></w:pPr>
<w:r><w:t xml:space="preserve">three administrations being directly under the Colonial</w:t></w:r>
</w:p>
<w:p>
<w:pPr><w:pStyle w:val="Normal"/></w:pPr>
<w:r><w:t xml:space="preserve">Office In February 1906 the administration of the Southern</w:t></w:r>
</w:p>
<w:p>
<w:pPr><w:pStyle w:val="Normal"/></w:pPr>
<w:r><w:t xml:space="preserve">Nigerian protectorate was placed under that of Lagos at the</w:t></w:r>
</w:p>
<w:p>
<w:pPr><w:pStyle w:val="Normal"/></w:pPr>
<w:r><w:t xml:space="preserve">same time as the name of the latter was changed to the Colony</w:t></w:r>
</w:p>
<w:p>
<w:pPr><w:pStyle w:val="Normal"/></w:pPr>
<w:r><w:t xml:space="preserve">of Southern Nigeria, this being a step towards the eventual</w:t></w:r>
</w:p>
<w:p>
<w:pPr><w:pStyle w:val="Normal"/></w:pPr>
<w:r><w:t xml:space="preserve">Organization of the British and French protectorates.</w:t></w:r>
</w:p>
<w:p>
<w:pPr><w:pStyle w:val="Normal"/></w:pPr>
<w:r><w:t xml:space="preserve">amalgamation of all three dependencies under one governor or</w:t></w:r>
</w:p>
<w:p>
<w:pPr><w:pStyle w:val="Normal"/></w:pPr>
<w:r><w:t xml:space="preserve">governor-general.  In French West Africa changes in the</w:t></w:r>
</w:p>
<w:p>
<w:pPr><w:pStyle w:val="Normal"/></w:pPr>
<w:r><w:t xml:space="preserve">internal frontiers have been numerous and important.  The</w:t></w:r>
</w:p>
<w:p>
<w:pPr><w:pStyle w:val="Normal"/></w:pPr>
<w:r><w:t xml:space="preserve">coast colonies have all been increased in size at the expense</w:t></w:r>
</w:p>
<w:p>
<w:pPr><w:pStyle w:val="Normal"/></w:pPr>
<w:r><w:t xml:space="preserve">of the French Sudan, which has vanished from the maps as</w:t></w:r>
</w:p>
<w:p>
<w:pPr><w:pStyle w:val="Normal"/></w:pPr>
<w:r><w:t xml:space="preserve">an administrative entity.  There are carved out of the</w:t></w:r>
</w:p>
<w:p>
<w:pPr><w:pStyle w:val="Normal"/></w:pPr>
<w:r><w:t xml:space="preserve">territories comprised in what is officially known as French</w:t></w:r>
</w:p>
<w:p>
<w:pPr><w:pStyle w:val="Normal"/></w:pPr>
<w:r><w:t xml:space="preserve">West Africa five colonies--Senegal, French Guinea, the Ivory</w:t></w:r>
</w:p>
<w:p>
<w:pPr><w:pStyle w:val="Normal"/></w:pPr>
<w:r><w:t xml:space="preserve">Coast, Dahomey and the Upper Senegal and Niger, this last</w:t></w:r>
</w:p>
<w:p>
<w:pPr><w:pStyle w:val="Normal"/></w:pPr>
<w:r><w:t xml:space="preserve">being entirely cut off from the sea--and the civil territory of</w:t></w:r>
</w:p>
<w:p>
<w:pPr><w:pStyle w:val="Normal"/></w:pPr>
<w:r><w:t xml:space="preserve">Mauritania.  To the colony of the Upper Senegal and Niger</w:t></w:r>
</w:p>
<w:p>
<w:pPr><w:pStyle w:val="Normal"/></w:pPr>
<w:r><w:t xml:space="preserve">is attached the military territory of the Niger, embracing</w:t></w:r>
</w:p>
<w:p>
<w:pPr><w:pStyle w:val="Normal"/></w:pPr>
<w:r><w:t xml:space="preserve">the French Sahara up to the limit of the Algerian sphere of</w:t></w:r>
</w:p>
<w:p>
<w:pPr><w:pStyle w:val="Normal"/></w:pPr>
<w:r><w:t xml:space="preserve">influence.  Not only are all these divisions of French West</w:t></w:r>
</w:p>
<w:p>
<w:pPr><w:pStyle w:val="Normal"/></w:pPr>
<w:r><w:t xml:space="preserve">Africa connected territorially, but administratively they</w:t></w:r>
</w:p>
<w:p>
<w:pPr><w:pStyle w:val="Normal"/></w:pPr>
<w:r><w:t xml:space="preserve">are united under a governor-general.  Similarly the French</w:t></w:r>
</w:p>
<w:p>
<w:pPr><w:pStyle w:val="Normal"/></w:pPr>
<w:r><w:t xml:space="preserve">Congo territories have been divided into three colonies--the</w:t></w:r>
</w:p>
<w:p>
<w:pPr><w:pStyle w:val="Normal"/></w:pPr>
<w:r><w:t xml:space="preserve">Gabun, the Middle Congo and the Ubangi-Shari-Chad--all</w:t></w:r>
</w:p>
<w:p>
<w:pPr><w:pStyle w:val="Normal"/></w:pPr>
<w:r><w:t xml:space="preserve">united administratively under a commissioner-general.</w:t></w:r>
</w:p>
<w:p>
<w:pPr><w:pStyle w:val="Normal"/></w:pPr>
<w:r><w:t xml:space="preserve">There are, around the coast, numerous islands or groups of</w:t></w:r>
</w:p>
<w:p>
<w:pPr><w:pStyle w:val="Normal"/></w:pPr>
<w:r><w:t xml:space="preserve">islands, which are regarded by geographers as outliers of the</w:t></w:r>
</w:p>
<w:p>
<w:pPr><w:pStyle w:val="Normal"/></w:pPr>
<w:r><w:t xml:space="preserve">Ownership of the African Islands.</w:t></w:r>
</w:p>
<w:p>
<w:pPr><w:pStyle w:val="Normal"/></w:pPr>
<w:r><w:t xml:space="preserve">African mainland.  The majority of these African islands were</w:t></w:r>
</w:p>
<w:p>
<w:pPr><w:pStyle w:val="Normal"/></w:pPr>
<w:r><w:t xml:space="preserve">occupied by one or other of the European powers long before</w:t></w:r>
</w:p>
<w:p>
<w:pPr><w:pStyle w:val="Normal"/></w:pPr>
<w:r><w:t xml:space="preserve">the period of continental partition.  The Madeira Islands</w:t></w:r>
</w:p>
<w:p>
<w:pPr><w:pStyle w:val="Normal"/></w:pPr>
<w:r><w:t xml:space="preserve">to the west of Morocco, the Bissagos Islands, off the Guinea</w:t></w:r>
</w:p>
<w:p>
<w:pPr><w:pStyle w:val="Normal"/></w:pPr>
<w:r><w:t xml:space="preserve">coast, and Prince&apos;s Island and St Thomas&apos; Island, in the</w:t></w:r>
</w:p>
<w:p>
<w:pPr><w:pStyle w:val="Normal"/></w:pPr>
<w:r><w:t xml:space="preserve">Gulf of Guinea, are Portuguese possessions of old standing;</w:t></w:r>
</w:p>
<w:p>
<w:pPr><w:pStyle w:val="Normal"/></w:pPr>
<w:r><w:t xml:space="preserve">while in the Canary Islands and Fernando Po Spain possesses</w:t></w:r>
</w:p>
<w:p>
<w:pPr><w:pStyle w:val="Normal"/></w:pPr>
<w:r><w:t xml:space="preserve">remnants of her ancient colonial empire which are a more</w:t></w:r>
</w:p>
<w:p>
<w:pPr><w:pStyle w:val="Normal"/></w:pPr>
<w:r><w:t xml:space="preserve">valuable asset than any she has acquired in recent times on the</w:t></w:r>
</w:p>
<w:p>
<w:pPr><w:pStyle w:val="Normal"/></w:pPr>
<w:r><w:t xml:space="preserve">mainland.  St Helena in the Atlantic, Mauritius and some</w:t></w:r>
</w:p>
<w:p>
<w:pPr><w:pStyle w:val="Normal"/></w:pPr>
<w:r><w:t xml:space="preserve">small groups north of Madagascar in the Indian Ocean, are</w:t></w:r>
</w:p>
<w:p>
<w:pPr><w:pStyle w:val="Normal"/></w:pPr>
<w:r><w:t xml:space="preserve">British possessions acquired long before the opening of the</w:t></w:r>
</w:p>
<w:p>
<w:pPr><w:pStyle w:val="Normal"/></w:pPr>
<w:r><w:t xml:space="preserve">last quarter of the 19th century.  Zanzibar, Pemba and some</w:t></w:r>
</w:p>
<w:p>
<w:pPr><w:pStyle w:val="Normal"/></w:pPr>
<w:r><w:t xml:space="preserve">smaller islands which the sultan was allowed to retain were,</w:t></w:r>
</w:p>
<w:p>
<w:pPr><w:pStyle w:val="Normal"/></w:pPr>
<w:r><w:t xml:space="preserve">as has already been stated, placed under British protection in</w:t></w:r>
</w:p>
<w:p>
<w:pPr><w:pStyle w:val="Normal"/></w:pPr>
<w:r><w:t xml:space="preserve">1890, and the island of Sokotra was placed under the ``gracious</w:t></w:r>
</w:p>
<w:p>
<w:pPr><w:pStyle w:val="Normal"/></w:pPr>
<w:r><w:t xml:space="preserve">favour and protection&apos;&apos; of Great Britain on the 23rd of April</w:t></w:r>
</w:p>
<w:p>
<w:pPr><w:pStyle w:val="Normal"/></w:pPr>
<w:r><w:t xml:space="preserve">1886.  France&apos;s ownership of Reunion dates back to the 17th</w:t></w:r>
</w:p>
<w:p>
<w:pPr><w:pStyle w:val="Normal"/></w:pPr>
<w:r><w:t xml:space="preserve">century, but the Comoro archipelago was not placed under French</w:t></w:r>
</w:p>
<w:p>
<w:pPr><w:pStyle w:val="Normal"/></w:pPr>
<w:r><w:t xml:space="preserve">protection until April 1886.  None of these islands, with the</w:t></w:r>
</w:p>
<w:p>
<w:pPr><w:pStyle w:val="Normal"/></w:pPr>
<w:r><w:t xml:space="preserve">exception of the Zanzibar group, have, however, materially</w:t></w:r>
</w:p>
<w:p>
<w:pPr><w:pStyle w:val="Normal"/></w:pPr>
<w:r><w:t xml:space="preserve">affected the partition of the continent, and they need not</w:t></w:r>
</w:p>
<w:p>
<w:pPr><w:pStyle w:val="Normal"/></w:pPr>
<w:r><w:t xml:space="preserve">be enumerated in the table which follows.  But the important</w:t></w:r>
</w:p>
<w:p>
<w:pPr><w:pStyle w:val="Normal"/></w:pPr>
<w:r><w:t xml:space="preserve">island of Madagascar stands in a different category, both on</w:t></w:r>
</w:p>
<w:p>
<w:pPr><w:pStyle w:val="Normal"/></w:pPr>
<w:r><w:t xml:space="preserve">account of its size and because it was during the period under</w:t></w:r>
</w:p>
<w:p>
<w:pPr><w:pStyle w:val="Normal"/></w:pPr>
<w:r><w:t xml:space="preserve">review that it passed through the various stages which led to</w:t></w:r>
</w:p>
<w:p>
<w:pPr><w:pStyle w:val="Normal"/></w:pPr>
<w:r><w:t xml:space="preserve">its becoming a French colony.  The first step was the placing</w:t></w:r>
</w:p>
<w:p>
<w:pPr><w:pStyle w:val="Normal"/></w:pPr>
<w:r><w:t xml:space="preserve">of the foreign relations of the island under French control,</w:t></w:r>
</w:p>
<w:p>
<w:pPr><w:pStyle w:val="Normal"/></w:pPr>
<w:r><w:t xml:space="preserve">which was effected by the treaty of the 17th of December</w:t></w:r>
</w:p>
<w:p>
<w:pPr><w:pStyle w:val="Normal"/></w:pPr>
<w:r><w:t xml:space="preserve">1885, after the Franco-Malagasy war that had broken out in</w:t></w:r>
</w:p>
<w:p>
<w:pPr><w:pStyle w:val="Normal"/></w:pPr>
<w:r><w:t xml:space="preserve">1883.  In 1890 Great Britain and Germany recognized a French</w:t></w:r>
</w:p>
<w:p>
<w:pPr><w:pStyle w:val="Normal"/></w:pPr>
<w:r><w:t xml:space="preserve">protectorate over the island, but the Hova government declined</w:t></w:r>
</w:p>
<w:p>
<w:pPr><w:pStyle w:val="Normal"/></w:pPr>
<w:r><w:t xml:space="preserve">to acquiesce in this view, and in May 1895 France sent an</w:t></w:r>
</w:p>
<w:p>
<w:pPr><w:pStyle w:val="Normal"/></w:pPr>
<w:r><w:t xml:space="preserve">expedition to enforce her claims.  The capital was occupied on</w:t></w:r>
</w:p>
<w:p>
<w:pPr><w:pStyle w:val="Normal"/></w:pPr>
<w:r><w:t xml:space="preserve">the 30th of September in the same year, and on the day following</w:t></w:r>
</w:p>
<w:p>
<w:pPr><w:pStyle w:val="Normal"/></w:pPr>
<w:r><w:t xml:space="preserve">Queen Ranavalona signed a convention recognizing the French</w:t></w:r>
</w:p>
<w:p>
<w:pPr><w:pStyle w:val="Normal"/></w:pPr>
<w:r><w:t xml:space="preserve">protectorate.  In January 1896 the island was declared a</w:t></w:r>
</w:p>
<w:p>
<w:pPr><w:pStyle w:val="Normal"/></w:pPr>
<w:r><w:t xml:space="preserve">French possession, and on the 6th of August was declared to</w:t></w:r>
</w:p>
<w:p>
<w:pPr><w:pStyle w:val="Normal"/></w:pPr>
<w:r><w:t xml:space="preserve">be a French colony.  In February 1897 the last vestige of</w:t></w:r>
</w:p>
<w:p>
<w:pPr><w:pStyle w:val="Normal"/></w:pPr>
<w:r><w:t xml:space="preserve">ancient rule was swept away by the deportation of the queen.</w:t></w:r>
</w:p>
<w:p>
<w:pPr><w:pStyle w:val="Normal"/></w:pPr>
<w:r><w:t xml:space="preserve">Thus in its broad outlines the partition of Africa was begun</w:t></w:r>
</w:p>
<w:p>
<w:pPr><w:pStyle w:val="Normal"/></w:pPr>
<w:r><w:t xml:space="preserve">and ended in the short space of a quarter of a century.</w:t></w:r>
</w:p>
<w:p>
<w:pPr><w:pStyle w:val="Normal"/></w:pPr>
<w:r><w:t xml:space="preserve">There are still many finishing touches to be put to the</w:t></w:r>
</w:p>
<w:p>
<w:pPr><w:pStyle w:val="Normal"/></w:pPr>
<w:r><w:t xml:space="preserve">structure.  The southern frontiers of Morocco and Tripoli remain</w:t></w:r>
</w:p>
<w:p>
<w:pPr><w:pStyle w:val="Normal"/></w:pPr>
<w:r><w:t xml:space="preserve">undefined, while the mathematical lines by which the spheres</w:t></w:r>
</w:p>
<w:p>
<w:pPr><w:pStyle w:val="Normal"/></w:pPr>
<w:r><w:t xml:space="preserve">of influence of the powers were separated one from the other</w:t></w:r>
</w:p>
<w:p>
<w:pPr><w:pStyle w:val="Normal"/></w:pPr>
<w:r><w:t xml:space="preserve">are being variously modified on the do ut des principle as</w:t></w:r>
</w:p>
<w:p>
<w:pPr><w:pStyle w:val="Normal"/></w:pPr>
<w:r><w:t xml:space="preserve">they come to be surveyed and as the effective occupation of</w:t></w:r>
</w:p>
<w:p>
<w:pPr><w:pStyle w:val="Normal"/></w:pPr>
<w:r><w:t xml:space="preserve">the continent progresses.  Much labour is necessary before the</w:t></w:r>
</w:p>
<w:p>
<w:pPr><w:pStyle w:val="Normal"/></w:pPr>
<w:r><w:t xml:space="preserve">actual area of Africa and its subdivisions can be accurately</w:t></w:r>
</w:p>
<w:p>
<w:pPr><w:pStyle w:val="Normal"/></w:pPr>
<w:r><w:t xml:space="preserve">determined, but in the following table the figures are at least</w:t></w:r>
</w:p>
<w:p>
<w:pPr><w:pStyle w:val="Normal"/></w:pPr>
<w:r><w:t xml:space="preserve">approximately correct.  Large areas of the spheres assigned</w:t></w:r>
</w:p>
<w:p>
<w:pPr><w:pStyle w:val="Normal"/></w:pPr>
<w:r><w:t xml:space="preserve">to different European powers have still to be brought under</w:t></w:r>
</w:p>
<w:p>
<w:pPr><w:pStyle w:val="Normal"/></w:pPr>
<w:r><w:t xml:space="preserve">European control; but this work is advancing by rapid strides.</w:t></w:r>
</w:p>
<w:p>
<w:pPr><w:pStyle w:val="Normal"/></w:pPr>
<w:r><w:t xml:space="preserve">BRITISH-- Sq. m.</w:t></w:r>
</w:p>
<w:p>
<w:pPr><w:pStyle w:val="Normal"/></w:pPr>
<w:r><w:t xml:space="preserve">Cape Colony  . . . . . . . . . . . . . .  276,995</w:t></w:r>
</w:p>
<w:p>
<w:pPr><w:pStyle w:val="Normal"/></w:pPr>
<w:r><w:t xml:space="preserve">Natal and Zululand . . . . . . . . . . .   35,371</w:t></w:r>
</w:p>
<w:p>
<w:pPr><w:pStyle w:val="Normal"/></w:pPr>
<w:r><w:t xml:space="preserve">Basutoland . . . . . . . . . . . . . . .   10,293</w:t></w:r>
</w:p>
<w:p>
<w:pPr><w:pStyle w:val="Normal"/></w:pPr>
<w:r><w:t xml:space="preserve">Bechuanaland Protectorate  . . . . . . .  225,000</w:t></w:r>
</w:p>
<w:p>
<w:pPr><w:pStyle w:val="Normal"/></w:pPr>
<w:r><w:t xml:space="preserve">Transvaal and Swaziland  . . . . . . . .  117,732</w:t></w:r>
</w:p>
<w:p>
<w:pPr><w:pStyle w:val="Normal"/></w:pPr>
<w:r><w:t xml:space="preserve">Orange River Colony  . . . . . . . . . .   50,392</w:t></w:r>
</w:p>
<w:p>
<w:pPr><w:pStyle w:val="Normal"/></w:pPr>
<w:r><w:t xml:space="preserve">Rhodesia . . . . . . . . . . . . . . . .  450,000</w:t></w:r>
</w:p>
<w:p>
<w:pPr><w:pStyle w:val="Normal"/></w:pPr>
<w:r><w:t xml:space="preserve">Nyasaland Protectorate . . . . . . . . .   43,608</w:t></w:r>
</w:p>
<w:p>
<w:pPr><w:pStyle w:val="Normal"/></w:pPr>
<w:r><w:t xml:space="preserve">British East Africa Protectorate . . . .  240,000</w:t></w:r>
</w:p>
<w:p>
<w:pPr><w:pStyle w:val="Normal"/></w:pPr>
<w:r><w:t xml:space="preserve">Uganda Protectorate  . . . . . . . . . .  125,000</w:t></w:r>
</w:p>
<w:p>
<w:pPr><w:pStyle w:val="Normal"/></w:pPr>
<w:r><w:t xml:space="preserve">Zanzibar Protectorate  . . . . . . . . .    1,020</w:t></w:r>
</w:p>
<w:p>
<w:pPr><w:pStyle w:val="Normal"/></w:pPr>
<w:r><w:t xml:space="preserve">Somaliland . . . . . . . . . . . . . . .   68,000</w:t></w:r>
</w:p>
<w:p>
<w:pPr><w:pStyle w:val="Normal"/></w:pPr>
<w:r><w:t xml:space="preserve">Northern Nigeria   . . . . . . . . . . .  258,000</w:t></w:r>
</w:p>
<w:p>
<w:pPr><w:pStyle w:val="Normal"/></w:pPr>
<w:r><w:t xml:space="preserve">Southern Nigeria (colony and protectorate) 80,000</w:t></w:r>
</w:p>
<w:p>
<w:pPr><w:pStyle w:val="Normal"/></w:pPr>
<w:r><w:t xml:space="preserve">Gold Coast and hinterland  . . . . .   82,000</w:t></w:r>
</w:p>
<w:p>
<w:pPr><w:pStyle w:val="Normal"/></w:pPr>
<w:r><w:t xml:space="preserve">Sierre Leone (colony and protectorate) .   34,000</w:t></w:r>
</w:p>
<w:p>
<w:pPr><w:pStyle w:val="Normal"/></w:pPr>
<w:r><w:t xml:space="preserve">Gambia . . . . . . . . . . . . . . . . .    4,000</w:t></w:r>
</w:p>
<w:p>
<w:pPr><w:pStyle w:val="Normal"/></w:pPr>
<w:r><w:t xml:space="preserve">Total British Africa . . . . . . .  2,101,411</w:t></w:r>
</w:p>
<w:p>
<w:pPr><w:pStyle w:val="Normal"/></w:pPr>
<w:r><w:t xml:space="preserve">Egypt and Libyan Desert  . . . . . . . .  650,000</w:t></w:r>
</w:p>
<w:p>
<w:pPr><w:pStyle w:val="Normal"/></w:pPr>
<w:r><w:t xml:space="preserve">Anglo-Egyptian Sudan . . . . . . . . . .  950,000</w:t></w:r>
</w:p>
<w:p>
<w:pPr><w:pStyle w:val="Normal"/></w:pPr>
<w:r><w:t xml:space="preserve">1,600,000</w:t></w:r>
</w:p>
<w:p>
<w:pPr><w:pStyle w:val="Normal"/></w:pPr>
<w:r><w:t xml:space="preserve">FRENCH--</w:t></w:r>
</w:p>
<w:p>
<w:pPr><w:pStyle w:val="Normal"/></w:pPr>
<w:r><w:t xml:space="preserve">Algeria and Algerian Sahara  . . . . . .  945,000</w:t></w:r>
</w:p>
<w:p>
<w:pPr><w:pStyle w:val="Normal"/></w:pPr>
<w:r><w:t xml:space="preserve">Tunisia  . . . . . . . . . . . . . . . .   51,000</w:t></w:r>
</w:p>
<w:p>
<w:pPr><w:pStyle w:val="Normal"/></w:pPr>
<w:r><w:t xml:space="preserve">French West Africa--</w:t></w:r>
</w:p>
<w:p>
<w:pPr><w:pStyle w:val="Normal"/></w:pPr>
<w:r><w:t xml:space="preserve">Senegal  . . . . . . . . . . . . . . .   74,000</w:t></w:r>
</w:p>
<w:p>
<w:pPr><w:pStyle w:val="Normal"/></w:pPr>
<w:r><w:t xml:space="preserve">French Guinea  . . . . . . . . . . . .  107,000</w:t></w:r>
</w:p>
<w:p>
<w:pPr><w:pStyle w:val="Normal"/></w:pPr>
<w:r><w:t xml:space="preserve">Ivory Coast  . . . . . . . . . . . . .  129,000</w:t></w:r>
</w:p>
<w:p>
<w:pPr><w:pStyle w:val="Normal"/></w:pPr>
<w:r><w:t xml:space="preserve">Dahomey  . . . . . . . . . . . . . . .   40,000</w:t></w:r>
</w:p>
<w:p>
<w:pPr><w:pStyle w:val="Normal"/></w:pPr>
<w:r><w:t xml:space="preserve">Upper Senegal and Niger, and</w:t></w:r>
</w:p>
<w:p>
<w:pPr><w:pStyle w:val="Normal"/></w:pPr>
<w:r><w:t xml:space="preserve">Mauritania (including French West</w:t></w:r>
</w:p>
<w:p>
<w:pPr><w:pStyle w:val="Normal"/></w:pPr>
<w:r><w:t xml:space="preserve">African Sahara)  . . . .  1,581,000 1,931,000</w:t></w:r>
</w:p>
<w:p>
<w:pPr><w:pStyle w:val="Normal"/></w:pPr>
<w:r><w:t xml:space="preserve">French Congo . . . . . . . . . . . . . .  700,000</w:t></w:r>
</w:p>
<w:p>
<w:pPr><w:pStyle w:val="Normal"/></w:pPr>
<w:r><w:t xml:space="preserve">French Somaliland  . . . . . . . . . . .   12,000</w:t></w:r>
</w:p>
<w:p>
<w:pPr><w:pStyle w:val="Normal"/></w:pPr>
<w:r><w:t xml:space="preserve">Madagascar . . . . . . . . . . . . . . .  227,950</w:t></w:r>
</w:p>
<w:p>
<w:pPr><w:pStyle w:val="Normal"/></w:pPr>
<w:r><w:t xml:space="preserve">Total French Africa  . . . . . . .  3,866,950</w:t></w:r>
</w:p>
<w:p>
<w:pPr><w:pStyle w:val="Normal"/></w:pPr>
<w:r><w:t xml:space="preserve">GERMAN--</w:t></w:r>
</w:p>
<w:p>
<w:pPr><w:pStyle w:val="Normal"/></w:pPr>
<w:r><w:t xml:space="preserve">East Africa  . . . . . . . . . . . . . .  364,000</w:t></w:r>
</w:p>
<w:p>
<w:pPr><w:pStyle w:val="Normal"/></w:pPr>
<w:r><w:t xml:space="preserve">South.West Africa  . . . . . . . . . . .  322,450</w:t></w:r>
</w:p>
<w:p>
<w:pPr><w:pStyle w:val="Normal"/></w:pPr>
<w:r><w:t xml:space="preserve">Cameroon . . . . . . . . . . . . . . . .  190,000</w:t></w:r>
</w:p>
<w:p>
<w:pPr><w:pStyle w:val="Normal"/></w:pPr>
<w:r><w:t xml:space="preserve">Togoland . . . . . . . . . . . . . . . .   33,700</w:t></w:r>
</w:p>
<w:p>
<w:pPr><w:pStyle w:val="Normal"/></w:pPr>
<w:r><w:t xml:space="preserve">Total German Africa  . . . . . . . .  910,150</w:t></w:r>
</w:p>
<w:p>
<w:pPr><w:pStyle w:val="Normal"/></w:pPr>
<w:r><w:t xml:space="preserve">ITALIAN--</w:t></w:r>
</w:p>
<w:p>
<w:pPr><w:pStyle w:val="Normal"/></w:pPr>
<w:r><w:t xml:space="preserve">Eritrea  . . . . . . . . . . . . . . . .   60,000</w:t></w:r>
</w:p>
<w:p>
<w:pPr><w:pStyle w:val="Normal"/></w:pPr>
<w:r><w:t xml:space="preserve">Somaliland . . . . . . . . . . . . . . .  140,000</w:t></w:r>
</w:p>
<w:p>
<w:pPr><w:pStyle w:val="Normal"/></w:pPr>
<w:r><w:t xml:space="preserve">Total Italian Africa . . . . . . . .  200,000</w:t></w:r>
</w:p>
<w:p>
<w:pPr><w:pStyle w:val="Normal"/></w:pPr>
<w:r><w:t xml:space="preserve">PORTUGUESE--</w:t></w:r>
</w:p>
<w:p>
<w:pPr><w:pStyle w:val="Normal"/></w:pPr>
<w:r><w:t xml:space="preserve">Guinea . . . . . . . . . . . . . . . . .   14,000</w:t></w:r>
</w:p>
<w:p>
<w:pPr><w:pStyle w:val="Normal"/></w:pPr>
<w:r><w:t xml:space="preserve">West Africa  . . . . . . . . . . . . . .  480,000</w:t></w:r>
</w:p>
<w:p>
<w:pPr><w:pStyle w:val="Normal"/></w:pPr>
<w:r><w:t xml:space="preserve">East Africa  . . . . . . . . . . . . . .  293,500</w:t></w:r>
</w:p>
<w:p>
<w:pPr><w:pStyle w:val="Normal"/></w:pPr>
<w:r><w:t xml:space="preserve">Total Portuguese Africa  . . . . . .  787,500</w:t></w:r>
</w:p>
<w:p>
<w:pPr><w:pStyle w:val="Normal"/></w:pPr>
<w:r><w:t xml:space="preserve">SPANISH--</w:t></w:r>
</w:p>
<w:p>
<w:pPr><w:pStyle w:val="Normal"/></w:pPr>
<w:r><w:t xml:space="preserve">Rio de Oro . . . . . . . . . . . . . . . . 70,000</w:t></w:r>
</w:p>
<w:p>
<w:pPr><w:pStyle w:val="Normal"/></w:pPr>
<w:r><w:t xml:space="preserve">Muni River Settlements . . . . . . . . . .  9,800</w:t></w:r>
</w:p>
<w:p>
<w:pPr><w:pStyle w:val="Normal"/></w:pPr>
<w:r><w:t xml:space="preserve">Total Spanish Africa . . . . . . . . 79,800</w:t></w:r>
</w:p>
<w:p>
<w:pPr><w:pStyle w:val="Normal"/></w:pPr>
<w:r><w:t xml:space="preserve">BELGIAN--</w:t></w:r>
</w:p>
<w:p>
<w:pPr><w:pStyle w:val="Normal"/></w:pPr>
<w:r><w:t xml:space="preserve">Congo State . . . . . . . . . . . . . . . 900,000</w:t></w:r>
</w:p>
<w:p>
<w:pPr><w:pStyle w:val="Normal"/></w:pPr>
<w:r><w:t xml:space="preserve">TURKISH--</w:t></w:r>
</w:p>
<w:p>
<w:pPr><w:pStyle w:val="Normal"/></w:pPr>
<w:r><w:t xml:space="preserve">Tripoli and Benghazi  . . . . . . . . . . 400,000</w:t></w:r>
</w:p>
<w:p>
<w:pPr><w:pStyle w:val="Normal"/></w:pPr>
<w:r><w:t xml:space="preserve">SEPARATE STATES--</w:t></w:r>
</w:p>
<w:p>
<w:pPr><w:pStyle w:val="Normal"/></w:pPr>
<w:r><w:t xml:space="preserve">Liberia . . . . . . . . . . . . . . . . .  43,000</w:t></w:r>
</w:p>
<w:p>
<w:pPr><w:pStyle w:val="Normal"/></w:pPr>
<w:r><w:t xml:space="preserve">Morocco . . . . . . . . . . . . . . . . . 220,000</w:t></w:r>
</w:p>
<w:p>
<w:pPr><w:pStyle w:val="Normal"/></w:pPr>
<w:r><w:t xml:space="preserve">Abyssinia . . . . . . . . . . . . . . . . 350,000</w:t></w:r>
</w:p>
<w:p>
<w:pPr><w:pStyle w:val="Normal"/></w:pPr>
<w:r><w:t xml:space="preserve">Total Independent Africa  . . . . . . 613,000</w:t></w:r>
</w:p>
<w:p>
<w:pPr><w:pStyle w:val="Normal"/></w:pPr>
<w:r><w:t xml:space="preserve">Thus, collecting the totals, the result of the ``scramble&apos;&apos;</w:t></w:r>
</w:p>
<w:p>
<w:pPr><w:pStyle w:val="Normal"/></w:pPr>
<w:r><w:t xml:space="preserve">has been to divide Africa among the powers as follows:--</w:t></w:r>
</w:p>
<w:p>
<w:pPr><w:pStyle w:val="Normal"/></w:pPr>
<w:r><w:t xml:space="preserve">Sq. m.</w:t></w:r>
</w:p>
<w:p>
<w:pPr><w:pStyle w:val="Normal"/></w:pPr>
<w:r><w:t xml:space="preserve">British Africa  . . . . . . . . . . . . 2,101,411</w:t></w:r>
</w:p>
<w:p>
<w:pPr><w:pStyle w:val="Normal"/></w:pPr>
<w:r><w:t xml:space="preserve">Egyptian Africa . . . . . . . . . . . . 1,600,000</w:t></w:r>
</w:p>
<w:p>
<w:pPr><w:pStyle w:val="Normal"/></w:pPr>
<w:r><w:t xml:space="preserve">French Africa . . . . . . . . . . . . . 3,866,950</w:t></w:r>
</w:p>
<w:p>
<w:pPr><w:pStyle w:val="Normal"/></w:pPr>
<w:r><w:t xml:space="preserve">German Africa . . . . . . . . . . . . . . 910,150</w:t></w:r>
</w:p>
<w:p>
<w:pPr><w:pStyle w:val="Normal"/></w:pPr>
<w:r><w:t xml:space="preserve">Italian Africa  . . . . . . . . . . . . . 200,000</w:t></w:r>
</w:p>
<w:p>
<w:pPr><w:pStyle w:val="Normal"/></w:pPr>
<w:r><w:t xml:space="preserve">Portuguese Africa . . . . . . . . . . . . 787,500</w:t></w:r>
</w:p>
<w:p>
<w:pPr><w:pStyle w:val="Normal"/></w:pPr>
<w:r><w:t xml:space="preserve">Spanish Africa  . . . . . . . . . . . . .  79,800</w:t></w:r>
</w:p>
<w:p>
<w:pPr><w:pStyle w:val="Normal"/></w:pPr>
<w:r><w:t xml:space="preserve">Belgian Africa  . . . . . . . . . . . . . 900,000</w:t></w:r>
</w:p>
<w:p>
<w:pPr><w:pStyle w:val="Normal"/></w:pPr>
<w:r><w:t xml:space="preserve">Turkish Africa  . . . . . . . . . . . . . 400,000</w:t></w:r>
</w:p>
<w:p>
<w:pPr><w:pStyle w:val="Normal"/></w:pPr>
<w:r><w:t xml:space="preserve">Independent Africa  . . . . . . . . . . . 613,000</w:t></w:r>
</w:p>
<w:p>
<w:pPr><w:pStyle w:val="Normal"/></w:pPr>
<w:r><w:t xml:space="preserve">11,458,811</w:t></w:r>
</w:p>
<w:p>
<w:pPr><w:pStyle w:val="Normal"/></w:pPr>
<w:r><w:t xml:space="preserve">(J. S. K.)</w:t></w:r>
</w:p>
<w:p>
<w:pPr><w:pStyle w:val="Normal"/></w:pPr>
<w:r><w:t xml:space="preserve">1 Commercial treaties between Carthage and Rome were</w:t></w:r>
</w:p>
<w:p>
<w:pPr><w:pStyle w:val="Normal"/></w:pPr>
<w:r><w:t xml:space="preserve">made in the 6th and 5th centuries B.C..  The first</w:t></w:r>
</w:p>
<w:p>
<w:pPr><w:pStyle w:val="Normal"/></w:pPr>
<w:r><w:t xml:space="preserve">armed conflict between the rival powers, begun in 264</w:t></w:r>
</w:p>
<w:p>
<w:pPr><w:pStyle w:val="Normal"/></w:pPr>
<w:r><w:t xml:space="preserve">B.C., was a contest for the possession of Sicily.</w:t></w:r>
</w:p>
<w:p>
<w:pPr><w:pStyle w:val="Normal"/></w:pPr>
<w:r><w:t xml:space="preserve">2 This river was called by the Portuguese the Zaire.</w:t></w:r>
</w:p>
<w:p>
<w:pPr><w:pStyle w:val="Normal"/></w:pPr>
<w:r><w:t xml:space="preserve">They appear to have made no attempt to trace its course</w:t></w:r>
</w:p>
<w:p>
<w:pPr><w:pStyle w:val="Normal"/></w:pPr>
<w:r><w:t xml:space="preserve">beyond the rapids which stop navigation from the sea.</w:t></w:r>
</w:p>
<w:p>
<w:pPr><w:pStyle w:val="Normal"/></w:pPr>
<w:r><w:t xml:space="preserve">3 France acquired, as stations for her ships on the</w:t></w:r>
</w:p>
<w:p>
<w:pPr><w:pStyle w:val="Normal"/></w:pPr>
<w:r><w:t xml:space="preserve">voyage to and from India, settlements in Madagascar and the</w:t></w:r>
</w:p>
<w:p>
<w:pPr><w:pStyle w:val="Normal"/></w:pPr>
<w:r><w:t xml:space="preserve">neighbouring islands.  The first settlement was made in 1642.</w:t></w:r>
</w:p>
<w:p>
<w:pPr><w:pStyle w:val="Normal"/></w:pPr>
<w:r><w:t xml:space="preserve">4 The Association, in 1831, was merged in the Royal Geographical Society.</w:t></w:r>
</w:p>
<w:p>
<w:pPr><w:pStyle w:val="Normal"/></w:pPr>
<w:r><w:t xml:space="preserve">5 The Mamelukes, whom the Turks had overthrown in the</w:t></w:r>
</w:p>
<w:p>
<w:pPr><w:pStyle w:val="Normal"/></w:pPr>
<w:r><w:t xml:space="preserve">16th century, had regained practically independent power.</w:t></w:r>
</w:p>
<w:p>
<w:pPr><w:pStyle w:val="Normal"/></w:pPr>
<w:r><w:t xml:space="preserve">6 In imitation of the British example, an American society</w:t></w:r>
</w:p>
<w:p>
<w:pPr><w:pStyle w:val="Normal"/></w:pPr>
<w:r><w:t xml:space="preserve">founded in 1822 the negro colony (now republic) of Liberia.</w:t></w:r>
</w:p>
<w:p>
<w:pPr><w:pStyle w:val="Normal"/></w:pPr>
<w:r><w:t xml:space="preserve">7 The first territorial acquisition made by Great Britain</w:t></w:r>
</w:p>
<w:p>
<w:pPr><w:pStyle w:val="Normal"/></w:pPr>
<w:r><w:t xml:space="preserve">in this region was in 1851, when Lagos Island was annexed.</w:t></w:r>
</w:p>
<w:p>
<w:pPr><w:pStyle w:val="Normal"/></w:pPr>
<w:r><w:t xml:space="preserve">8 As early as 1848 an Arab from Zanzibar journeying</w:t></w:r>
</w:p>
<w:p>
<w:pPr><w:pStyle w:val="Normal"/></w:pPr>
<w:r><w:t xml:space="preserve">across the continent had arrived at Benguella.</w:t></w:r>
</w:p>
<w:p>
<w:pPr><w:pStyle w:val="Normal"/></w:pPr>
<w:r><w:t xml:space="preserve">9 Another great traveller of this stamp was Wilhelm Junker, who spent</w:t></w:r>
</w:p>
<w:p>
<w:pPr><w:pStyle w:val="Normal"/></w:pPr>
<w:r><w:t xml:space="preserve">the greater part of the period 1875-1886 in the east central Sudan.</w:t></w:r>
</w:p>
<w:p>
<w:pPr><w:pStyle w:val="Normal"/></w:pPr>
<w:r><w:t xml:space="preserve">10 Specially appointed to consider West African affairs.</w:t></w:r>
</w:p>
<w:p>
<w:pPr><w:pStyle w:val="Normal"/></w:pPr>
<w:r><w:t xml:space="preserve">11 See the tables in Behm and Wagner&apos;s</w:t></w:r>
</w:p>
<w:p>
<w:pPr><w:pStyle w:val="Normal"/></w:pPr>
<w:r><w:t xml:space="preserve">Bevolkerung der Erde (Gotha, 1872).</w:t></w:r>
</w:p>
<w:p>
<w:pPr><w:pStyle w:val="Normal"/></w:pPr>
<w:r><w:t xml:space="preserve">12 in 1887 this society united with the German Colonial</w:t></w:r>
</w:p>
<w:p>
<w:pPr><w:pStyle w:val="Normal"/></w:pPr>
<w:r><w:t xml:space="preserve">Society, an organization founded in 1882.  The united</w:t></w:r>
</w:p>
<w:p>
<w:pPr><w:pStyle w:val="Normal"/></w:pPr>
<w:r><w:t xml:space="preserve">society took the title of the German Colonial Company.</w:t></w:r>
</w:p>
<w:p>
<w:pPr><w:pStyle w:val="Normal"/></w:pPr>
<w:r><w:t xml:space="preserve">13 At this period negotiations between Great</w:t></w:r>
</w:p>
<w:p>
<w:pPr><w:pStyle w:val="Normal"/></w:pPr>
<w:r><w:t xml:space="preserve">Britain and Italy had begun but were not concluded.</w:t></w:r>
</w:p>
<w:p>
<w:pPr><w:pStyle w:val="Normal"/></w:pPr>
<w:r><w:t xml:space="preserve">14 This association, formed in 1878 by a union of associations</w:t></w:r>
</w:p>
<w:p>
<w:pPr><w:pStyle w:val="Normal"/></w:pPr>
<w:r><w:t xml:space="preserve">primarily intended for the exploration of Africa, ceased to exist in 1891.</w:t></w:r>
</w:p>
<w:p>
<w:pPr><w:pStyle w:val="Heading1"/></w:pPr>
<w:r><w:t>VI. EXPLORATION AND SURVEY SINCE 1875</w:t></w:r>
</w:p>
<w:p>
<w:pPr><w:pStyle w:val="Normal"/></w:pPr>
<w:r><w:t xml:space="preserve">In giving the history of the partition of the continent,</w:t></w:r>
</w:p>
<w:p>
<w:pPr><w:pStyle w:val="Normal"/></w:pPr>
<w:r><w:t xml:space="preserve">the later work of exploration, except where, as in the</w:t></w:r>
</w:p>
<w:p>
<w:pPr><w:pStyle w:val="Normal"/></w:pPr>
<w:r><w:t xml:space="preserve">case of de Brazza&apos;s expeditions, it had direct political</w:t></w:r>
</w:p>
<w:p>
<w:pPr><w:pStyle w:val="Normal"/></w:pPr>
<w:r><w:t xml:space="preserve">consequences, has of necessity not been told.  The results</w:t></w:r>
</w:p>
<w:p>
<w:pPr><w:pStyle w:val="Normal"/></w:pPr>
<w:r><w:t xml:space="preserve">achieved during and after the period of partition may now be</w:t></w:r>
</w:p>
<w:p>
<w:pPr><w:pStyle w:val="Normal"/></w:pPr>
<w:r><w:t xml:space="preserve">indicated.  Stanley&apos;s great journey down the Congo in</w:t></w:r>
</w:p>
<w:p>
<w:pPr><w:pStyle w:val="Normal"/></w:pPr>
<w:r><w:t xml:space="preserve">1875-1876 initiated a new era in African exploration.  The</w:t></w:r>
</w:p>
<w:p>
<w:pPr><w:pStyle w:val="Normal"/></w:pPr>
<w:r><w:t xml:space="preserve">numbers of travellers soon became so great that the once</w:t></w:r>
</w:p>
<w:p>
<w:pPr><w:pStyle w:val="Normal"/></w:pPr>
<w:r><w:t xml:space="preserve">marvellous feat of crossing the continent from sea to sea</w:t></w:r>
</w:p>
<w:p>
<w:pPr><w:pStyle w:val="Normal"/></w:pPr>
<w:r><w:t xml:space="preserve">became common.  With increased knowledge and much ampler</w:t></w:r>
</w:p>
<w:p>
<w:pPr><w:pStyle w:val="Normal"/></w:pPr>
<w:r><w:t xml:space="preserve">means of communication trans-African travel now presents few</w:t></w:r>
</w:p>
<w:p>
<w:pPr><w:pStyle w:val="Normal"/></w:pPr>
<w:r><w:t xml:space="preserve">difficulties.  While d&apos;Anville and other cartographers of</w:t></w:r>
</w:p>
<w:p>
<w:pPr><w:pStyle w:val="Normal"/></w:pPr>
<w:r><w:t xml:space="preserve">the 18th century, by omitting all that was uncertain, had</w:t></w:r>
</w:p>
<w:p>
<w:pPr><w:pStyle w:val="Normal"/></w:pPr>
<w:r><w:t xml:space="preserve">left a great blank on the map, the work accomplished since</w:t></w:r>
</w:p>
<w:p>
<w:pPr><w:pStyle w:val="Normal"/></w:pPr>
<w:r><w:t xml:space="preserve">1875 has filled it with authentic topographical details.</w:t></w:r>
</w:p>
<w:p>
<w:pPr><w:pStyle w:val="Normal"/></w:pPr>
<w:r><w:t xml:space="preserve">Moreover surveys of high accuracy have been made at several</w:t></w:r>
</w:p>
<w:p>
<w:pPr><w:pStyle w:val="Normal"/></w:pPr>
<w:r><w:t xml:space="preserve">points.  As the work of exploration and survey progressed</w:t></w:r>
</w:p>
<w:p>
<w:pPr><w:pStyle w:val="Normal"/></w:pPr>
<w:r><w:t xml:space="preserve">journeys of startling novelty became impossible--save in</w:t></w:r>
</w:p>
<w:p>
<w:pPr><w:pStyle w:val="Normal"/></w:pPr>
<w:r><w:t xml:space="preserve">the eastern Sahara, where the absence of water and boundless</w:t></w:r>
</w:p>
<w:p>
<w:pPr><w:pStyle w:val="Normal"/></w:pPr>
<w:r><w:t xml:space="preserve">wastes of sand render exploration more difficult, perhaps,</w:t></w:r>
</w:p>
<w:p>
<w:pPr><w:pStyle w:val="Normal"/></w:pPr>
<w:r><w:t xml:space="preserve">than in any other region of the globe.  Within their</w:t></w:r>
</w:p>
<w:p>
<w:pPr><w:pStyle w:val="Normal"/></w:pPr>
<w:r><w:t xml:space="preserve">respective spheres of influence each power undertook detailed</w:t></w:r>
</w:p>
<w:p>
<w:pPr><w:pStyle w:val="Normal"/></w:pPr>
<w:r><w:t xml:space="preserve">surveys, and the most solid of the latest accessions to</w:t></w:r>
</w:p>
<w:p>
<w:pPr><w:pStyle w:val="Normal"/></w:pPr>
<w:r><w:t xml:space="preserve">knowledge have resulted from the labours of hard-working</w:t></w:r>
</w:p>
<w:p>
<w:pPr><w:pStyle w:val="Normal"/></w:pPr>
<w:r><w:t xml:space="preserve">colonial officials toiling individually in obscurity.  Their</w:t></w:r>
</w:p>
<w:p>
<w:pPr><w:pStyle w:val="Normal"/></w:pPr>
<w:r><w:t xml:space="preserve">work it is impossible here to recognize adequately; the</w:t></w:r>
</w:p>
<w:p>
<w:pPr><w:pStyle w:val="Normal"/></w:pPr>
<w:r><w:t xml:space="preserve">following lines record only the more obvious achievements.</w:t></w:r>
</w:p>
<w:p>
<w:pPr><w:pStyle w:val="Normal"/></w:pPr>
<w:r><w:t xml:space="preserve">The relation of the Congo basin to the neighbouring river</w:t></w:r>
</w:p>
<w:p>
<w:pPr><w:pStyle w:val="Normal"/></w:pPr>
<w:r><w:t xml:space="preserve">systems was brought out by the journeys of many travellers.</w:t></w:r>
</w:p>
<w:p>
<w:pPr><w:pStyle w:val="Normal"/></w:pPr>
<w:r><w:t xml:space="preserve">In 1877 an important expedition was sent out by the Portuguese</w:t></w:r>
</w:p>
<w:p>
<w:pPr><w:pStyle w:val="Normal"/></w:pPr>
<w:r><w:t xml:space="preserve">government under Serpa Pinto, Brito Capello and Roberto</w:t></w:r>
</w:p>
<w:p>
<w:pPr><w:pStyle w:val="Normal"/></w:pPr>
<w:r><w:t xml:space="preserve">Work in the Congo.</w:t></w:r>
</w:p>
<w:p>
<w:pPr><w:pStyle w:val="Normal"/></w:pPr>
<w:r><w:t xml:space="preserve">Ivens for the exploration of the interior of Angola.  The</w:t></w:r>
</w:p>
<w:p>
<w:pPr><w:pStyle w:val="Normal"/></w:pPr>
<w:r><w:t xml:space="preserve">first named made his way by the head-streams of the Kubango</w:t></w:r>
</w:p>
<w:p>
<w:pPr><w:pStyle w:val="Normal"/></w:pPr>
<w:r><w:t xml:space="preserve">to the upper Zambezi, which he descended to the Victoria</w:t></w:r>
</w:p>
<w:p>
<w:pPr><w:pStyle w:val="Normal"/></w:pPr>
<w:r><w:t xml:space="preserve">Falls, proceeding thence to Pretoria and Durban.  Capello</w:t></w:r>
</w:p>
<w:p>
<w:pPr><w:pStyle w:val="Normal"/></w:pPr>
<w:r><w:t xml:space="preserve">and Ivens confined their attention to the south-west Congo</w:t></w:r>
</w:p>
<w:p>
<w:pPr><w:pStyle w:val="Normal"/></w:pPr>
<w:r><w:t xml:space="preserve">basin, where they disproved the existence of Lake Aquilunda,</w:t></w:r>
</w:p>
<w:p>
<w:pPr><w:pStyle w:val="Normal"/></w:pPr>
<w:r><w:t xml:space="preserve">which had figured on the maps of that region since the 16th</w:t></w:r>
</w:p>
<w:p>
<w:pPr><w:pStyle w:val="Normal"/></w:pPr>
<w:r><w:t xml:space="preserve">century.  In a later journey (1884- 1885) Capello and Ivens</w:t></w:r>
</w:p>
<w:p>
<w:pPr><w:pStyle w:val="Normal"/></w:pPr>
<w:r><w:t xml:space="preserve">crossed the continent from Mossamedes to the mouth of the</w:t></w:r>
</w:p>
<w:p>
<w:pPr><w:pStyle w:val="Normal"/></w:pPr>
<w:r><w:t xml:space="preserve">Zambezi, adding considerably to the knowledge of the borderlands</w:t></w:r>
</w:p>
<w:p>
<w:pPr><w:pStyle w:val="Normal"/></w:pPr>
<w:r><w:t xml:space="preserve">between the upper Congo and the upper Zambezi.  More important</w:t></w:r>
</w:p>
<w:p>
<w:pPr><w:pStyle w:val="Normal"/></w:pPr>
<w:r><w:t xml:space="preserve">results were obtained by the German travellers Paul Pogge and</w:t></w:r>
</w:p>
<w:p>
<w:pPr><w:pStyle w:val="Normal"/></w:pPr>
<w:r><w:t xml:space="preserve">Hermann von Wissmann, who (1880-1882) passed through previously</w:t></w:r>
</w:p>
<w:p>
<w:pPr><w:pStyle w:val="Normal"/></w:pPr>
<w:r><w:t xml:space="preserve">unknown regions beyond Muata Yanvo&apos;s kingdom, and reached the</w:t></w:r>
</w:p>
<w:p>
<w:pPr><w:pStyle w:val="Normal"/></w:pPr>
<w:r><w:t xml:space="preserve">upper Congo at Nyangwe, whence Wissmann made his way to the east</w:t></w:r>
</w:p>
<w:p>
<w:pPr><w:pStyle w:val="Normal"/></w:pPr>
<w:r><w:t xml:space="preserve">coast.  In 1884-1885 a German expedition under Wissmann solved</w:t></w:r>
</w:p>
<w:p>
<w:pPr><w:pStyle w:val="Normal"/></w:pPr>
<w:r><w:t xml:space="preserve">the most important geographical problem relating to the southern</w:t></w:r>
</w:p>
<w:p>
<w:pPr><w:pStyle w:val="Normal"/></w:pPr>
<w:r><w:t xml:space="preserve">Congo basin by descending the Kasai, the largest southern</w:t></w:r>
</w:p>
<w:p>
<w:pPr><w:pStyle w:val="Normal"/></w:pPr>
<w:r><w:t xml:space="preserve">tributary, which, contrary to expectation, proved to unite</w:t></w:r>
</w:p>
<w:p>
<w:pPr><w:pStyle w:val="Normal"/></w:pPr>
<w:r><w:t xml:space="preserve">with the Kwango and other streams before joining the main</w:t></w:r>
</w:p>
<w:p>
<w:pPr><w:pStyle w:val="Normal"/></w:pPr>
<w:r><w:t xml:space="preserve">river.  Further additions to the knowledge of the Congo</w:t></w:r>
</w:p>
<w:p>
<w:pPr><w:pStyle w:val="Normal"/></w:pPr>
<w:r><w:t xml:space="preserve">tributaries were made at the same time by the Rev. George</w:t></w:r>
</w:p>
<w:p>
<w:pPr><w:pStyle w:val="Normal"/></w:pPr>
<w:r><w:t xml:space="preserve">Grenfell, a Baptist missionary, who (accompanied in 1885 by K.</w:t></w:r>
</w:p>
<w:p>
<w:pPr><w:pStyle w:val="Normal"/></w:pPr>
<w:r><w:t xml:space="preserve">von Francois) made several voyages in the steamer ``Peace,&apos;&apos;</w:t></w:r>
</w:p>
<w:p>
<w:pPr><w:pStyle w:val="Normal"/></w:pPr>
<w:r><w:t xml:space="preserve">especially up the great Ubangi, ultimately proved to be the</w:t></w:r>
</w:p>
<w:p>
<w:pPr><w:pStyle w:val="Normal"/></w:pPr>
<w:r><w:t xml:space="preserve">lower course of the Welle, discovered in 1870 by Schweinfurth.</w:t></w:r>
</w:p>
<w:p>
<w:pPr><w:pStyle w:val="Normal"/></w:pPr>
<w:r><w:t xml:space="preserve">In East as in West Africa operations were started by agents of</w:t></w:r>
</w:p>
<w:p>
<w:pPr><w:pStyle w:val="Normal"/></w:pPr>
<w:r><w:t xml:space="preserve">the Belgian committee, but with less success than on the Congo.</w:t></w:r>
</w:p>
<w:p>
<w:pPr><w:pStyle w:val="Normal"/></w:pPr>
<w:r><w:t xml:space="preserve">Opening up East Africa.</w:t></w:r>
</w:p>
<w:p>
<w:pPr><w:pStyle w:val="Normal"/></w:pPr>
<w:r><w:t xml:space="preserve">The first new journey of importance on this side was made</w:t></w:r>
</w:p>
<w:p>
<w:pPr><w:pStyle w:val="Normal"/></w:pPr>
<w:r><w:t xml:space="preserve">(1878-1880) on behalf of the British African Exploration</w:t></w:r>
</w:p>
<w:p>
<w:pPr><w:pStyle w:val="Normal"/></w:pPr>
<w:r><w:t xml:space="preserve">Committee by Joseph Thomson, who after the death of his</w:t></w:r>
</w:p>
<w:p>
<w:pPr><w:pStyle w:val="Normal"/></w:pPr>
<w:r><w:t xml:space="preserve">leader, Keith Johnston, made his way from the coast to the</w:t></w:r>
</w:p>
<w:p>
<w:pPr><w:pStyle w:val="Normal"/></w:pPr>
<w:r><w:t xml:space="preserve">north end of Nyasa, thence to Tanganyika, on both sides</w:t></w:r>
</w:p>
<w:p>
<w:pPr><w:pStyle w:val="Normal"/></w:pPr>
<w:r><w:t xml:space="preserve">of which he broke new ground, sighting the north end of</w:t></w:r>
</w:p>
<w:p>
<w:pPr><w:pStyle w:val="Normal"/></w:pPr>
<w:r><w:t xml:space="preserve">Lake Rukwa on the east.  In 1882-1884 the French naval</w:t></w:r>
</w:p>
<w:p>
<w:pPr><w:pStyle w:val="Normal"/></w:pPr>
<w:r><w:t xml:space="preserve">lieutenant Victor Giraud proceeded by the north of Nyasa to</w:t></w:r>
</w:p>
<w:p>
<w:pPr><w:pStyle w:val="Normal"/></w:pPr>
<w:r><w:t xml:space="preserve">Lake Bangweulu, of which he made the first fairly correct</w:t></w:r>
</w:p>
<w:p>
<w:pPr><w:pStyle w:val="Normal"/></w:pPr>
<w:r><w:t xml:space="preserve">map.  North of the Zanzibar-Tanganyika route a large area</w:t></w:r>
</w:p>
<w:p>
<w:pPr><w:pStyle w:val="Normal"/></w:pPr>
<w:r><w:t xml:space="preserve">of new ground was opened in 1883-1884 by Joseph Thomson,</w:t></w:r>
</w:p>
<w:p>
<w:pPr><w:pStyle w:val="Normal"/></w:pPr>
<w:r><w:t xml:space="preserve">who traversed the whole length of the Masai country to Lake</w:t></w:r>
</w:p>
<w:p>
<w:pPr><w:pStyle w:val="Normal"/></w:pPr>
<w:r><w:t xml:space="preserve">Baringo and Victoria Nyanza, shedding the first clear light</w:t></w:r>
</w:p>
<w:p>
<w:pPr><w:pStyle w:val="Normal"/></w:pPr>
<w:r><w:t xml:space="preserve">on the great East African rift-valley and neighbouring</w:t></w:r>
</w:p>
<w:p>
<w:pPr><w:pStyle w:val="Normal"/></w:pPr>
<w:r><w:t xml:space="preserve">highlands, including Mounts Kenya and Elgon.  A great advance</w:t></w:r>
</w:p>
<w:p>
<w:pPr><w:pStyle w:val="Normal"/></w:pPr>
<w:r><w:t xml:space="preserve">in the region between Victoria Nyanza and Abyssinia was</w:t></w:r>
</w:p>
<w:p>
<w:pPr><w:pStyle w:val="Normal"/></w:pPr>
<w:r><w:t xml:space="preserve">made in 1887-1889 by the Austrians, Count Samuel Teleki and</w:t></w:r>
</w:p>
<w:p>
<w:pPr><w:pStyle w:val="Normal"/></w:pPr>
<w:r><w:t xml:space="preserve">Lieut.  Ludwig von Hohnel, who discovered the large Basso</w:t></w:r>
</w:p>
<w:p>
<w:pPr><w:pStyle w:val="Normal"/></w:pPr>
<w:r><w:t xml:space="preserve">Norok, now known as Lake Rudolf, till then only vaguely</w:t></w:r>
</w:p>
<w:p>
<w:pPr><w:pStyle w:val="Normal"/></w:pPr>
<w:r><w:t xml:space="preserve">indicated on the map as Samburu.  At this time Somaliland was</w:t></w:r>
</w:p>
<w:p>
<w:pPr><w:pStyle w:val="Normal"/></w:pPr>
<w:r><w:t xml:space="preserve">being opened up by English and Italian travellers.  In 1883</w:t></w:r>
</w:p>
<w:p>
<w:pPr><w:pStyle w:val="Normal"/></w:pPr>
<w:r><w:t xml:space="preserve">the brothers F. L. and W. D. James penetrated from Berbera</w:t></w:r>
</w:p>
<w:p>
<w:pPr><w:pStyle w:val="Normal"/></w:pPr>
<w:r><w:t xml:space="preserve">to the Webi Shebeli; in 1892 Vittorio Bottego (afterwards</w:t></w:r>
</w:p>
<w:p>
<w:pPr><w:pStyle w:val="Normal"/></w:pPr>
<w:r><w:t xml:space="preserve">murdered in the Abyssinian highlands) started from Berbera</w:t></w:r>
</w:p>
<w:p>
<w:pPr><w:pStyle w:val="Normal"/></w:pPr>
<w:r><w:t xml:space="preserve">and reached the upper Juba, which he explored to its</w:t></w:r>
</w:p>
<w:p>
<w:pPr><w:pStyle w:val="Normal"/></w:pPr>
<w:r><w:t xml:space="preserve">source.  The first person, however, to cross from the Gulf</w:t></w:r>
</w:p>
<w:p>
<w:pPr><w:pStyle w:val="Normal"/></w:pPr>
<w:r><w:t xml:space="preserve">of Aden to the Indian Ocean was an American, A. Donaldson</w:t></w:r>
</w:p>
<w:p>
<w:pPr><w:pStyle w:val="Normal"/></w:pPr>
<w:r><w:t xml:space="preserve">Smith, who in 1894-1895 explored the headstreams of the Webi</w:t></w:r>
</w:p>
<w:p>
<w:pPr><w:pStyle w:val="Normal"/></w:pPr>
<w:r><w:t xml:space="preserve">Shebeli and also explored the Omo, the feeder of Lake Rudolf.</w:t></w:r>
</w:p>
<w:p>
<w:pPr><w:pStyle w:val="Normal"/></w:pPr>
<w:r><w:t xml:space="preserve">In the region north-west of Victoria Nyanza the greatest</w:t></w:r>
</w:p>
<w:p>
<w:pPr><w:pStyle w:val="Normal"/></w:pPr>
<w:r><w:t xml:space="preserve">additions to geographical knowledge were made by H. M. Stanley</w:t></w:r>
</w:p>
<w:p>
<w:pPr><w:pStyle w:val="Normal"/></w:pPr>
<w:r><w:t xml:space="preserve">in his last expedition, undertaken for the relief of Emin</w:t></w:r>
</w:p>
<w:p>
<w:pPr><w:pStyle w:val="Normal"/></w:pPr>
<w:r><w:t xml:space="preserve">Pasha.  The expedition set out in 1887 by way of the Congo to</w:t></w:r>
</w:p>
<w:p>
<w:pPr><w:pStyle w:val="Normal"/></w:pPr>
<w:r><w:t xml:space="preserve">carry supplies to the governor of the old Egyptian Equatorial</w:t></w:r>
</w:p>
<w:p>
<w:pPr><w:pStyle w:val="Normal"/></w:pPr>
<w:r><w:t xml:space="preserve">province.  The route lay up the Aruwimi, the principal</w:t></w:r>
</w:p>
<w:p>
<w:pPr><w:pStyle w:val="Normal"/></w:pPr>
<w:r><w:t xml:space="preserve">tributary of the Congo from the north-east, by which the</w:t></w:r>
</w:p>
<w:p>
<w:pPr><w:pStyle w:val="Normal"/></w:pPr>
<w:r><w:t xml:space="preserve">expedition made its way, encountering immense difficulties,</w:t></w:r>
</w:p>
<w:p>
<w:pPr><w:pStyle w:val="Normal"/></w:pPr>
<w:r><w:t xml:space="preserve">through the great equatorial forest, the character and extent</w:t></w:r>
</w:p>
<w:p>
<w:pPr><w:pStyle w:val="Normal"/></w:pPr>
<w:r><w:t xml:space="preserve">of which were thus for the first time brought to light.</w:t></w:r>
</w:p>
<w:p>
<w:pPr><w:pStyle w:val="Normal"/></w:pPr>
<w:r><w:t xml:space="preserve">The return was made to the east coast, and resulted in the</w:t></w:r>
</w:p>
<w:p>
<w:pPr><w:pStyle w:val="Normal"/></w:pPr>
<w:r><w:t xml:space="preserve">discovery of the great snowy range of Ruwenzori or Runsoro,</w:t></w:r>
</w:p>
<w:p>
<w:pPr><w:pStyle w:val="Normal"/></w:pPr>
<w:r><w:t xml:space="preserve">and the confirmation of the existence of a third Nile lake</w:t></w:r>
</w:p>
<w:p>
<w:pPr><w:pStyle w:val="Normal"/></w:pPr>
<w:r><w:t xml:space="preserve">discharging its waters into the Albert Nyanza by the Semliki</w:t></w:r>
</w:p>
<w:p>
<w:pPr><w:pStyle w:val="Normal"/></w:pPr>
<w:r><w:t xml:space="preserve">river.  A further discovery was that of a large bay, hitherto</w:t></w:r>
</w:p>
<w:p>
<w:pPr><w:pStyle w:val="Normal"/></w:pPr>
<w:r><w:t xml:space="preserve">unsuspected, forming the south-west corner of the Victoria Nyanza.</w:t></w:r>
</w:p>
<w:p>
<w:pPr><w:pStyle w:val="Normal"/></w:pPr>
<w:r><w:t xml:space="preserve">Great activity was also displayed in completing the work of</w:t></w:r>
</w:p>
<w:p>
<w:pPr><w:pStyle w:val="Normal"/></w:pPr>
<w:r><w:t xml:space="preserve">earlier explorers in North and West Africa.  Morocco was in</w:t></w:r>
</w:p>
<w:p>
<w:pPr><w:pStyle w:val="Normal"/></w:pPr>
<w:r><w:t xml:space="preserve">Expeditions in North and West Africa.</w:t></w:r>
</w:p>
<w:p>
<w:pPr><w:pStyle w:val="Normal"/></w:pPr>
<w:r><w:t xml:space="preserve">1883-1884 the scene of important explorations by de Foucauld,</w:t></w:r>
</w:p>
<w:p>
<w:pPr><w:pStyle w:val="Normal"/></w:pPr>
<w:r><w:t xml:space="preserve">a Frenchman who, disguised as a Jew, crossed and re-crossed</w:t></w:r>
</w:p>
<w:p>
<w:pPr><w:pStyle w:val="Normal"/></w:pPr>
<w:r><w:t xml:space="preserve">the Atlas and supplied the first trustworthy information as</w:t></w:r>
</w:p>
<w:p>
<w:pPr><w:pStyle w:val="Normal"/></w:pPr>
<w:r><w:t xml:space="preserve">to the orography of many parts of the chain.  In 1887-1889</w:t></w:r>
</w:p>
<w:p>
<w:pPr><w:pStyle w:val="Normal"/></w:pPr>
<w:r><w:t xml:space="preserve">Louis Gustave Binger, a French officer, made a great journey</w:t></w:r>
</w:p>
<w:p>
<w:pPr><w:pStyle w:val="Normal"/></w:pPr>
<w:r><w:t xml:space="preserve">through the countries enclosed in the Niger bend, and in</w:t></w:r>
</w:p>
<w:p>
<w:pPr><w:pStyle w:val="Normal"/></w:pPr>
<w:r><w:t xml:space="preserve">1890-1892 Col. P. F. Monteil went from St Louis to Say, on the</w:t></w:r>
</w:p>
<w:p>
<w:pPr><w:pStyle w:val="Normal"/></w:pPr>
<w:r><w:t xml:space="preserve">Niger, thence through Sokoto to Bornu and Lake Chad, whence</w:t></w:r>
</w:p>
<w:p>
<w:pPr><w:pStyle w:val="Normal"/></w:pPr>
<w:r><w:t xml:space="preserve">he crossed the Sahara to Tripoli.  Meantime explorers had</w:t></w:r>
</w:p>
<w:p>
<w:pPr><w:pStyle w:val="Normal"/></w:pPr>
<w:r><w:t xml:space="preserve">been busy in the region between Lake Chad, the Gulf of Guinea</w:t></w:r>
</w:p>
<w:p>
<w:pPr><w:pStyle w:val="Normal"/></w:pPr>
<w:r><w:t xml:space="preserve">and the Congo.  The Sanga, one of the principal northern</w:t></w:r>
</w:p>
<w:p>
<w:pPr><w:pStyle w:val="Normal"/></w:pPr>
<w:r><w:t xml:space="preserve">tributaries of the Congo, was reached from the north by</w:t></w:r>
</w:p>
<w:p>
<w:pPr><w:pStyle w:val="Normal"/></w:pPr>
<w:r><w:t xml:space="preserve">Lieut.  Louis Mizon, a French naval officer, who drew the</w:t></w:r>
</w:p>
<w:p>
<w:pPr><w:pStyle w:val="Normal"/></w:pPr>
<w:r><w:t xml:space="preserve">first line of communication between the Benue and the Congo</w:t></w:r>
</w:p>
<w:p>
<w:pPr><w:pStyle w:val="Normal"/></w:pPr>
<w:r><w:t xml:space="preserve">(1890-1892).  In 1890 Paul Crampel, who in the previous</w:t></w:r>
</w:p>
<w:p>
<w:pPr><w:pStyle w:val="Normal"/></w:pPr>
<w:r><w:t xml:space="preserve">year had explored north of the Ogowe, undertook a great</w:t></w:r>
</w:p>
<w:p>
<w:pPr><w:pStyle w:val="Normal"/></w:pPr>
<w:r><w:t xml:space="preserve">expedition from the Ubangi to the Shari, but was attacked and</w:t></w:r>
</w:p>
<w:p>
<w:pPr><w:pStyle w:val="Normal"/></w:pPr>
<w:r><w:t xml:space="preserve">killed, with several of his companions, on the borders of the</w:t></w:r>
</w:p>
<w:p>
<w:pPr><w:pStyle w:val="Normal"/></w:pPr>
<w:r><w:t xml:space="preserve">Bagirmi.  Several other expeditions followed, and in 1806</w:t></w:r>
</w:p>
<w:p>
<w:pPr><w:pStyle w:val="Normal"/></w:pPr>
<w:r><w:t xml:space="preserve">Emile Gentil reached the Shari, launched a steamer on its</w:t></w:r>
</w:p>
<w:p>
<w:pPr><w:pStyle w:val="Normal"/></w:pPr>
<w:r><w:t xml:space="preserve">waters and pushed on to Lake Chad.  Early in 1900 Lake</w:t></w:r>
</w:p>
<w:p>
<w:pPr><w:pStyle w:val="Normal"/></w:pPr>
<w:r><w:t xml:space="preserve">Chad was also reached by F. Foureau, a French traveller,</w:t></w:r>
</w:p>
<w:p>
<w:pPr><w:pStyle w:val="Normal"/></w:pPr>
<w:r><w:t xml:space="preserve">who had already devoted twelve years to the exploration of</w:t></w:r>
</w:p>
<w:p>
<w:pPr><w:pStyle w:val="Normal"/></w:pPr>
<w:r><w:t xml:space="preserve">the Sahara and who on this occasion had crossed the desert</w:t></w:r>
</w:p>
<w:p>
<w:pPr><w:pStyle w:val="Normal"/></w:pPr>
<w:r><w:t xml:space="preserve">from Algeria and had reached the lake via Air and Zinder.</w:t></w:r>
</w:p>
<w:p>
<w:pPr><w:pStyle w:val="Normal"/></w:pPr>
<w:r><w:t xml:space="preserve">The last ten years of the 19th century also witnessed many</w:t></w:r>
</w:p>
<w:p>
<w:pPr><w:pStyle w:val="Normal"/></w:pPr>
<w:r><w:t xml:space="preserve">interesting expeditions in east Central Africa.  In 1891 Emin</w:t></w:r>
</w:p>
<w:p>
<w:pPr><w:pStyle w:val="Normal"/></w:pPr>
<w:r><w:t xml:space="preserve">Lakes and mountains of Equatorial Africa.</w:t></w:r>
</w:p>
<w:p>
<w:pPr><w:pStyle w:val="Normal"/></w:pPr>
<w:r><w:t xml:space="preserve">Pasha, accompanied by Dr F. Stuhlmann, made his way south</w:t></w:r>
</w:p>
<w:p>
<w:pPr><w:pStyle w:val="Normal"/></w:pPr>
<w:r><w:t xml:space="preserve">of Victoria Nyanza to the western Nile lakes, visiting for</w:t></w:r>
</w:p>
<w:p>
<w:pPr><w:pStyle w:val="Normal"/></w:pPr>
<w:r><w:t xml:space="preserve">the first time the southern and western shores of Albert</w:t></w:r>
</w:p>
<w:p>
<w:pPr><w:pStyle w:val="Normal"/></w:pPr>
<w:r><w:t xml:space="preserve">Edward.  Stuhlmann also ascended the Ruwenzori range to a</w:t></w:r>
</w:p>
<w:p>
<w:pPr><w:pStyle w:val="Normal"/></w:pPr>
<w:r><w:t xml:space="preserve">height of over 13,000 ft.  In the same year Dr O. Baumann,</w:t></w:r>
</w:p>
<w:p>
<w:pPr><w:pStyle w:val="Normal"/></w:pPr>
<w:r><w:t xml:space="preserve">who had already done good work in Usambara, near the coast,</w:t></w:r>
</w:p>
<w:p>
<w:pPr><w:pStyle w:val="Normal"/></w:pPr>
<w:r><w:t xml:space="preserve">started on a more extended journey through the region of steppes</w:t></w:r>
</w:p>
<w:p>
<w:pPr><w:pStyle w:val="Normal"/></w:pPr>
<w:r><w:t xml:space="preserve">between Kilimanjaro and Victoria Nyanza, afterwards exploring</w:t></w:r>
</w:p>
<w:p>
<w:pPr><w:pStyle w:val="Normal"/></w:pPr>
<w:r><w:t xml:space="preserve">the headstreams of the Kagera, the ultimate sources of the</w:t></w:r>
</w:p>
<w:p>
<w:pPr><w:pStyle w:val="Normal"/></w:pPr>
<w:r><w:t xml:space="preserve">Nile.  In the steppe region referred to he discovered two new</w:t></w:r>
</w:p>
<w:p>
<w:pPr><w:pStyle w:val="Normal"/></w:pPr>
<w:r><w:t xml:space="preserve">lakes, Manyara and Eiassi, occupying parts of the East African</w:t></w:r>
</w:p>
<w:p>
<w:pPr><w:pStyle w:val="Normal"/></w:pPr>
<w:r><w:t xml:space="preserve">valley system.  This region was again traversed in 1893-1894</w:t></w:r>
</w:p>
<w:p>
<w:pPr><w:pStyle w:val="Normal"/></w:pPr>
<w:r><w:t xml:space="preserve">by Count von Gotzen, who continued his route westwards to Lake</w:t></w:r>
</w:p>
<w:p>
<w:pPr><w:pStyle w:val="Normal"/></w:pPr>
<w:r><w:t xml:space="preserve">Kivu, north of Tanganyika, which, though heard of by Speke</w:t></w:r>
</w:p>
<w:p>
<w:pPr><w:pStyle w:val="Normal"/></w:pPr>
<w:r><w:t xml:space="preserve">over thirty years before, had never yet been visited.  He also</w:t></w:r>
</w:p>
<w:p>
<w:pPr><w:pStyle w:val="Normal"/></w:pPr>
<w:r><w:t xml:space="preserve">reached for the first time the line of volcanic peaks north of</w:t></w:r>
</w:p>
<w:p>
<w:pPr><w:pStyle w:val="Normal"/></w:pPr>
<w:r><w:t xml:space="preserve">Kivu, one of which he ascended, afterwards crossing the great</w:t></w:r>
</w:p>
<w:p>
<w:pPr><w:pStyle w:val="Normal"/></w:pPr>
<w:r><w:t xml:space="preserve">equatorial forest by a new route to the Congo and the west</w:t></w:r>
</w:p>
<w:p>
<w:pPr><w:pStyle w:val="Normal"/></w:pPr>
<w:r><w:t xml:space="preserve">coast.  Valuable scientific work was done in 1893 by Dr J.</w:t></w:r>
</w:p>
<w:p>
<w:pPr><w:pStyle w:val="Normal"/></w:pPr>
<w:r><w:t xml:space="preserve">W. Gregory, who ascended Mount Kenya to a height of 16,000</w:t></w:r>
</w:p>
<w:p>
<w:pPr><w:pStyle w:val="Normal"/></w:pPr>
<w:r><w:t xml:space="preserve">ft.  In 1893-1894 Scott Elliot reached Ruwenzori by way of</w:t></w:r>
</w:p>
<w:p>
<w:pPr><w:pStyle w:val="Normal"/></w:pPr>
<w:r><w:t xml:space="preserve">Uganda, returning by Tanganyika and Nyasa, and in 1896 C. W.</w:t></w:r>
</w:p>
<w:p>
<w:pPr><w:pStyle w:val="Normal"/></w:pPr>
<w:r><w:t xml:space="preserve">Hobley made the circuit of the great mountain Elgon, north-east</w:t></w:r>
</w:p>
<w:p>
<w:pPr><w:pStyle w:val="Normal"/></w:pPr>
<w:r><w:t xml:space="preserve">of Victoria Nyanza.  In 1899 Mount Kenya was ascended to its</w:t></w:r>
</w:p>
<w:p>
<w:pPr><w:pStyle w:val="Normal"/></w:pPr>
<w:r><w:t xml:space="preserve">summit by a party under H. J. Mackinder.  The exploration</w:t></w:r>
</w:p>
<w:p>
<w:pPr><w:pStyle w:val="Normal"/></w:pPr>
<w:r><w:t xml:space="preserve">of Mount Kilimanjaro has been the special work of Dr Hans</w:t></w:r>
</w:p>
<w:p>
<w:pPr><w:pStyle w:val="Normal"/></w:pPr>
<w:r><w:t xml:space="preserve">Meyer, who first directed his attention to it in 1887.</w:t></w:r>
</w:p>
<w:p>
<w:pPr><w:pStyle w:val="Normal"/></w:pPr>
<w:r><w:t xml:space="preserve">The region south of Abyssinia proper and north of Lake Rudolf,</w:t></w:r>
</w:p>
<w:p>
<w:pPr><w:pStyle w:val="Normal"/></w:pPr>
<w:r><w:t xml:space="preserve">being largely the basin of the Sobat tributary of the Nile,</w:t></w:r>
</w:p>
<w:p>
<w:pPr><w:pStyle w:val="Normal"/></w:pPr>
<w:r><w:t xml:space="preserve">was traversed by several explorers, among whom may be mentioned</w:t></w:r>
</w:p>
<w:p>
<w:pPr><w:pStyle w:val="Normal"/></w:pPr>
<w:r><w:t xml:space="preserve">Capt.  M. S. Wellby, who in 1898-1899 explored the chain of</w:t></w:r>
</w:p>
<w:p>
<w:pPr><w:pStyle w:val="Normal"/></w:pPr>
<w:r><w:t xml:space="preserve">small lakes in south-east Abyssinia, pushed on to Lake Rudolf,</w:t></w:r>
</w:p>
<w:p>
<w:pPr><w:pStyle w:val="Normal"/></w:pPr>
<w:r><w:t xml:space="preserve">and thence traversed hitherto unknown country to the lower</w:t></w:r>
</w:p>
<w:p>
<w:pPr><w:pStyle w:val="Normal"/></w:pPr>
<w:r><w:t xml:space="preserve">Sobat.  Donaldson Smith crossed from Berbera to the Nile by</w:t></w:r>
</w:p>
<w:p>
<w:pPr><w:pStyle w:val="Normal"/></w:pPr>
<w:r><w:t xml:space="preserve">Lake Rudolf in 1899-1900, and Major H. H. Austin commanded</w:t></w:r>
</w:p>
<w:p>
<w:pPr><w:pStyle w:val="Normal"/></w:pPr>
<w:r><w:t xml:space="preserve">two survey parties between the Anglo-Egyptian Sudan and Lake</w:t></w:r>
</w:p>
<w:p>
<w:pPr><w:pStyle w:val="Normal"/></w:pPr>
<w:r><w:t xml:space="preserve">Rudolf during 1899-1901.  Meantime in south Central Africa the</w:t></w:r>
</w:p>
<w:p>
<w:pPr><w:pStyle w:val="Normal"/></w:pPr>
<w:r><w:t xml:space="preserve">Barotse country had been partly made known by the missionary</w:t></w:r>
</w:p>
<w:p>
<w:pPr><w:pStyle w:val="Normal"/></w:pPr>
<w:r><w:t xml:space="preserve">F. Coillard, who settled there in 1884, while the middle and</w:t></w:r>
</w:p>
<w:p>
<w:pPr><w:pStyle w:val="Normal"/></w:pPr>
<w:r><w:t xml:space="preserve">upper Zambezi basin were scientifically explored and mapped</w:t></w:r>
</w:p>
<w:p>
<w:pPr><w:pStyle w:val="Normal"/></w:pPr>
<w:r><w:t xml:space="preserve">by Major A. St H. Gibbons and his assistants in 1895-1896 and</w:t></w:r>
</w:p>
<w:p>
<w:pPr><w:pStyle w:val="Normal"/></w:pPr>
<w:r><w:t xml:space="preserve">1898-1900.  In the same period the Congo-Zambezi watershed</w:t></w:r>
</w:p>
<w:p>
<w:pPr><w:pStyle w:val="Normal"/></w:pPr>
<w:r><w:t xml:space="preserve">was traced by a Belgian officer, Capt.  C. Lemaire, who</w:t></w:r>
</w:p>
<w:p>
<w:pPr><w:pStyle w:val="Normal"/></w:pPr>
<w:r><w:t xml:space="preserve">had ascended one of the upper tributaries of the Kasai.</w:t></w:r>
</w:p>
<w:p>
<w:pPr><w:pStyle w:val="Normal"/></w:pPr>
<w:r><w:t xml:space="preserve">In the early years of the 19th century the first recorded</w:t></w:r>
</w:p>
<w:p>
<w:pPr><w:pStyle w:val="Normal"/></w:pPr>
<w:r><w:t xml:space="preserve">crossing of Africa took place.  That crossing and all subsequent</w:t></w:r>
</w:p>
<w:p>
<w:pPr><w:pStyle w:val="Normal"/></w:pPr>
<w:r><w:t xml:space="preserve">crossings had been made either from west to east or east to</w:t></w:r>
</w:p>
<w:p>
<w:pPr><w:pStyle w:val="Normal"/></w:pPr>
<w:r><w:t xml:space="preserve">west.  The first journey through the whole length of the</w:t></w:r>
</w:p>
<w:p>
<w:pPr><w:pStyle w:val="Normal"/></w:pPr>
<w:r><w:t xml:space="preserve">continent was accomplished in the two last years of the</w:t></w:r>
</w:p>
<w:p>
<w:pPr><w:pStyle w:val="Normal"/></w:pPr>
<w:r><w:t xml:space="preserve">century when a young Englishman, E. S. Grogan, starting from</w:t></w:r>
</w:p>
<w:p>
<w:pPr><w:pStyle w:val="Normal"/></w:pPr>
<w:r><w:t xml:space="preserve">Cape Town reached the Mediterranean by way of the Zambezi,</w:t></w:r>
</w:p>
<w:p>
<w:pPr><w:pStyle w:val="Normal"/></w:pPr>
<w:r><w:t xml:space="preserve">the central line of lakes and the Nile.  Other travellers</w:t></w:r>
</w:p>
<w:p>
<w:pPr><w:pStyle w:val="Normal"/></w:pPr>
<w:r><w:t xml:space="preserve">followed in Grogan&apos;s footsteps, among the first, Major Gibbons.</w:t></w:r>
</w:p>
<w:p>
<w:pPr><w:pStyle w:val="Normal"/></w:pPr>
<w:r><w:t xml:space="preserve">Additions to topographical knowledge were made from about</w:t></w:r>
</w:p>
<w:p>
<w:pPr><w:pStyle w:val="Normal"/></w:pPr>
<w:r><w:t xml:space="preserve">1890 onwards by the international commissions which traced</w:t></w:r>
</w:p>
<w:p>
<w:pPr><w:pStyle w:val="Normal"/></w:pPr>
<w:r><w:t xml:space="preserve">Work of international commissions and surveying parties.</w:t></w:r>
</w:p>
<w:p>
<w:pPr><w:pStyle w:val="Normal"/></w:pPr>
<w:r><w:t xml:space="preserve">the frontiers of the protectorates of the European powers.</w:t></w:r>
</w:p>
<w:p>
<w:pPr><w:pStyle w:val="Normal"/></w:pPr>
<w:r><w:t xml:space="preserve">On several occasions the labours of the commissions disclosed</w:t></w:r>
</w:p>
<w:p>
<w:pPr><w:pStyle w:val="Normal"/></w:pPr>
<w:r><w:t xml:space="preserve">errors of importance in the maps upon which international</w:t></w:r>
</w:p>
<w:p>
<w:pPr><w:pStyle w:val="Normal"/></w:pPr>
<w:r><w:t xml:space="preserve">agreements had been based.  Among those which yielded</w:t></w:r>
</w:p>
<w:p>
<w:pPr><w:pStyle w:val="Normal"/></w:pPr>
<w:r><w:t xml:space="preserve">valuable results were the Anglo-French commission which in</w:t></w:r>
</w:p>
<w:p>
<w:pPr><w:pStyle w:val="Normal"/></w:pPr>
<w:r><w:t xml:space="preserve">1903 traced the Nigerian frontier from the Niger to Lake</w:t></w:r>
</w:p>
<w:p>
<w:pPr><w:pStyle w:val="Normal"/></w:pPr>
<w:r><w:t xml:space="preserve">Chad, and the Anglo-German commission which in 1903-1904 fixed</w:t></w:r>
</w:p>
<w:p>
<w:pPr><w:pStyle w:val="Normal"/></w:pPr>
<w:r><w:t xml:space="preserve">the Cameroon boundary between Yola, on the Benue, and Lake</w:t></w:r>
</w:p>
<w:p>
<w:pPr><w:pStyle w:val="Normal"/></w:pPr>
<w:r><w:t xml:space="preserve">Chad.  These expeditions and French surveys in the same region</w:t></w:r>
</w:p>
<w:p>
<w:pPr><w:pStyle w:val="Normal"/></w:pPr>
<w:r><w:t xml:space="preserve">during 1902-1903 resulted in the discovery that Lake Chad</w:t></w:r>
</w:p>
<w:p>
<w:pPr><w:pStyle w:val="Normal"/></w:pPr>
<w:r><w:t xml:space="preserve">had greatly decreased in area since the middle of the 19th</w:t></w:r>
</w:p>
<w:p>
<w:pPr><w:pStyle w:val="Normal"/></w:pPr>
<w:r><w:t xml:space="preserve">century.  In 1903 a French officer, Capt.  E. Lenfant, succeeded</w:t></w:r>
</w:p>
<w:p>
<w:pPr><w:pStyle w:val="Normal"/></w:pPr>
<w:r><w:t xml:space="preserve">in establishing the fact of a connexion between the Niger and Chad</w:t></w:r>
</w:p>
<w:p>
<w:pPr><w:pStyle w:val="Normal"/></w:pPr>
<w:r><w:t xml:space="preserve">basins.  Subsequently Lenfant explored the western basin of the</w:t></w:r>
</w:p>
<w:p>
<w:pPr><w:pStyle w:val="Normal"/></w:pPr>
<w:r><w:t xml:space="preserve">Shari, determining (1907) the true upper branch of that river.</w:t></w:r>
</w:p>
<w:p>
<w:pPr><w:pStyle w:val="Normal"/></w:pPr>
<w:r><w:t xml:space="preserve">In East Africa a German-Congolese commission surveyed (1901-1902)</w:t></w:r>
</w:p>
<w:p>
<w:pPr><w:pStyle w:val="Normal"/></w:pPr>
<w:r><w:t xml:space="preserve">Lake Kivu and the volcanic region north of the lake, R. Kandt</w:t></w:r>
</w:p>
<w:p>
<w:pPr><w:pStyle w:val="Normal"/></w:pPr>
<w:r><w:t xml:space="preserve">making a special study of Kivu and the Kagera sources, while</w:t></w:r>
</w:p>
<w:p>
<w:pPr><w:pStyle w:val="Normal"/></w:pPr>
<w:r><w:t xml:space="preserve">the Anglo-German boundary commission of 1902-1904 surveyed</w:t></w:r>
</w:p>
<w:p>
<w:pPr><w:pStyle w:val="Normal"/></w:pPr>
<w:r><w:t xml:space="preserve">the valley of the lower Kagera, and fixed the exact position</w:t></w:r>
</w:p>
<w:p>
<w:pPr><w:pStyle w:val="Normal"/></w:pPr>
<w:r><w:t xml:space="preserve">of Albert Edward Nyanza.  Much new information concerning</w:t></w:r>
</w:p>
<w:p>
<w:pPr><w:pStyle w:val="Normal"/></w:pPr>
<w:r><w:t xml:space="preserve">the border-lands of British East Africa and Abyssinia between</w:t></w:r>
</w:p>
<w:p>
<w:pPr><w:pStyle w:val="Normal"/></w:pPr>
<w:r><w:t xml:space="preserve">Lake Rudolf and the lower Juba was obtained by the survey</w:t></w:r>
</w:p>
<w:p>
<w:pPr><w:pStyle w:val="Normal"/></w:pPr>
<w:r><w:t xml:space="preserve">executed in 1902-1903 by a British officer, Captain P. Maud.</w:t></w:r>
</w:p>
<w:p>
<w:pPr><w:pStyle w:val="Normal"/></w:pPr>
<w:r><w:t xml:space="preserve">While political requirements led to the exact determination</w:t></w:r>
</w:p>
<w:p>
<w:pPr><w:pStyle w:val="Normal"/></w:pPr>
<w:r><w:t xml:space="preserve">of frontiers, administrative needs forced the governments</w:t></w:r>
</w:p>
<w:p>
<w:pPr><w:pStyle w:val="Normal"/></w:pPr>
<w:r><w:t xml:space="preserve">concerned to take in hand the survey of the countries under their</w:t></w:r>
</w:p>
<w:p>
<w:pPr><w:pStyle w:val="Normal"/></w:pPr>
<w:r><w:t xml:space="preserve">protection.  Before the close of the first decade of the 20th</w:t></w:r>
</w:p>
<w:p>
<w:pPr><w:pStyle w:val="Normal"/></w:pPr>
<w:r><w:t xml:space="preserve">century tolerably accurate maps had been made of the German</w:t></w:r>
</w:p>
<w:p>
<w:pPr><w:pStyle w:val="Normal"/></w:pPr>
<w:r><w:t xml:space="preserve">colonies, of a considerable part of West Africa, the Algerian</w:t></w:r>
</w:p>
<w:p>
<w:pPr><w:pStyle w:val="Normal"/></w:pPr>
<w:r><w:t xml:space="preserve">Sahara and the Anglo-Egyptian Sudan, mainly by military</w:t></w:r>
</w:p>
<w:p>
<w:pPr><w:pStyle w:val="Normal"/></w:pPr>
<w:r><w:t xml:space="preserve">officers.  A British naval officer, Commander B. Whitehouse,</w:t></w:r>
</w:p>
<w:p>
<w:pPr><w:pStyle w:val="Normal"/></w:pPr>
<w:r><w:t xml:space="preserve">mapped the entire coastdine of Victoria Nyanza.  Government</w:t></w:r>
</w:p>
<w:p>
<w:pPr><w:pStyle w:val="Normal"/></w:pPr>
<w:r><w:t xml:space="preserve">and railway surveys apart, the chief points of interest for</w:t></w:r>
</w:p>
<w:p>
<w:pPr><w:pStyle w:val="Normal"/></w:pPr>
<w:r><w:t xml:space="preserve">explorers during 1904-1906 were the Ruwenzori range and the</w:t></w:r>
</w:p>
<w:p>
<w:pPr><w:pStyle w:val="Normal"/></w:pPr>
<w:r><w:t xml:space="preserve">connexion of the basin of Lake Chad with the Niger and Congo</w:t></w:r>
</w:p>
<w:p>
<w:pPr><w:pStyle w:val="Normal"/></w:pPr>
<w:r><w:t xml:space="preserve">systems.  Lieut.  Boyd Alexander was the leader of a party which</w:t></w:r>
</w:p>
<w:p>
<w:pPr><w:pStyle w:val="Normal"/></w:pPr>
<w:r><w:t xml:space="preserve">during the years named surveyed Lake Chad and a considerable</w:t></w:r>
</w:p>
<w:p>
<w:pPr><w:pStyle w:val="Heading1"/></w:pPr>
<w:r><w:t>part of eastern Nigeria, returning to England via the Shari,</w:t></w:r>
</w:p>
<w:p>
<w:pPr><w:pStyle w:val="Normal"/></w:pPr>
<w:r><w:t xml:space="preserve">the Ubangi and the Nile.  Two members of the party, Capt.</w:t></w:r>
</w:p>
<w:p>
<w:pPr><w:pStyle w:val="Normal"/></w:pPr>
<w:r><w:t xml:space="preserve">Claud Alexander and Capt.  G. B. Gosling, died during the</w:t></w:r>
</w:p>
<w:p>
<w:pPr><w:pStyle w:val="Normal"/></w:pPr>
<w:r><w:t xml:space="preserve">expedition.  The Ruwenzori Mountains proved a great source of</w:t></w:r>
</w:p>
<w:p>
<w:pPr><w:pStyle w:val="Normal"/></w:pPr>
<w:r><w:t xml:space="preserve">attraction.  Sir H. H. Johnston had in 1900 ascended beyond</w:t></w:r>
</w:p>
<w:p>
<w:pPr><w:pStyle w:val="Normal"/></w:pPr>
<w:r><w:t xml:space="preserve">the snow-line to 14,800 ft.; in 1903 Dr J. J. David had reached</w:t></w:r>
</w:p>
<w:p>
<w:pPr><w:pStyle w:val="Normal"/></w:pPr>
<w:r><w:t xml:space="preserve">from the west to a height he believed to exceed 16,000 ft.;</w:t></w:r>
</w:p>
<w:p>
<w:pPr><w:pStyle w:val="Normal"/></w:pPr>
<w:r><w:t xml:space="preserve">and in the same year Capt.  T. T. Behrens, of the Anglo-German</w:t></w:r>
</w:p>
<w:p>
<w:pPr><w:pStyle w:val="Normal"/></w:pPr>
<w:r><w:t xml:space="preserve">Uganda boundary commission, fixed the highest summit at 16,619</w:t></w:r>
</w:p>
<w:p>
<w:pPr><w:pStyle w:val="Normal"/></w:pPr>
<w:r><w:t xml:space="preserve">ft.  During 1904-1906 some half-dozen expeditions were at work</w:t></w:r>
</w:p>
<w:p>
<w:pPr><w:pStyle w:val="Normal"/></w:pPr>
<w:r><w:t xml:space="preserve">in the region.  That of the duke of the Abruzzi was the most</w:t></w:r>
</w:p>
<w:p>
<w:pPr><w:pStyle w:val="Normal"/></w:pPr>
<w:r><w:t xml:space="preserve">successful.  In the summer of 1906 the duke or members of his</w:t></w:r>
</w:p>
<w:p>
<w:pPr><w:pStyle w:val="Normal"/></w:pPr>
<w:r><w:t xml:space="preserve">party climbed all the highest peaks, none of which reaches 17,000</w:t></w:r>
</w:p>
<w:p>
<w:pPr><w:pStyle w:val="Normal"/></w:pPr>
<w:r><w:t xml:space="preserve">ft., and determined the main lines of the watershed.  Major</w:t></w:r>
</w:p>
<w:p>
<w:pPr><w:pStyle w:val="Normal"/></w:pPr>
<w:r><w:t xml:space="preserve">Powell-Cotton, a British officer who had previously done good</w:t></w:r>
</w:p>
<w:p>
<w:pPr><w:pStyle w:val="Normal"/></w:pPr>
<w:r><w:t xml:space="preserve">work in Abyssinia and British East Africa, spent 1905-1906 in a</w:t></w:r>
</w:p>
<w:p>
<w:pPr><w:pStyle w:val="Normal"/></w:pPr>
<w:r><w:t xml:space="preserve">detailed examination of the Lado enclave and the country west of</w:t></w:r>
</w:p>
<w:p>
<w:pPr><w:pStyle w:val="Normal"/></w:pPr>
<w:r><w:t xml:space="preserve">Ruwenzori and Albert and Albert Edward lakes.  This expedition</w:t></w:r>
</w:p>
<w:p>
<w:pPr><w:pStyle w:val="Normal"/></w:pPr>
<w:r><w:t xml:space="preserve">was specially fruitful in additions to zoological knowledge.</w:t></w:r>
</w:p>
<w:p>
<w:pPr><w:pStyle w:val="Normal"/></w:pPr>
<w:r><w:t xml:space="preserve">Archaeological research, stimulated by the reports of Thomas</w:t></w:r>
</w:p>
<w:p>
<w:pPr><w:pStyle w:val="Normal"/></w:pPr>
<w:r><w:t xml:space="preserve">Shaw, British consular chaplain at Algiers in 1719- 1731,</w:t></w:r>
</w:p>
<w:p>
<w:pPr><w:pStyle w:val="Normal"/></w:pPr>
<w:r><w:t xml:space="preserve">by James Bruce&apos;s exploration, 1765-1767, of the ruins in</w:t></w:r>
</w:p>
<w:p>
<w:pPr><w:pStyle w:val="Normal"/></w:pPr>
<w:r><w:t xml:space="preserve">Barbary, and by the French conquest of Egypt in 1798,</w:t></w:r>
</w:p>
<w:p>
<w:pPr><w:pStyle w:val="Normal"/></w:pPr>
<w:r><w:t xml:space="preserve">has been systematically carried out in North Africa since</w:t></w:r>
</w:p>
<w:p>
<w:pPr><w:pStyle w:val="Normal"/></w:pPr>
<w:r><w:t xml:space="preserve">the middle of the 19th century (see EGYPT and AFRICA,</w:t></w:r>
</w:p>
<w:p>
<w:pPr><w:pStyle w:val="Normal"/></w:pPr>
<w:r><w:t xml:space="preserve">ROMAN.) In South Africa the first thorough examination of</w:t></w:r>
</w:p>
<w:p>
<w:pPr><w:pStyle w:val="Normal"/></w:pPr>
<w:r><w:t xml:space="preserve">the ruins in Rhodesia was made in 1905, when Randall-MacIver</w:t></w:r>
</w:p>
<w:p>
<w:pPr><w:pStyle w:val="Normal"/></w:pPr>
<w:r><w:t xml:space="preserve">demonstrated that the great Zimbabwe and similar buildings</w:t></w:r>
</w:p>
<w:p>
<w:pPr><w:pStyle w:val="Normal"/></w:pPr>
<w:r><w:t xml:space="preserve">were of medieval or post-medieval origin. (F. R. C.)</w:t></w:r>
</w:p>
<w:p>
<w:pPr><w:pStyle w:val="Heading1"/></w:pPr>
<w:r><w:t>VII. SOCIAL AND ECONOMIC CONDITIONS</w:t></w:r>
</w:p>
<w:p>
<w:pPr><w:pStyle w:val="Normal"/></w:pPr>
<w:r><w:t xml:space="preserve">The eagerness with which the nations of western Europe</w:t></w:r>
</w:p>
<w:p>
<w:pPr><w:pStyle w:val="Normal"/></w:pPr>
<w:r><w:t xml:space="preserve">partitioned Africa between them was due, as has been seen,</w:t></w:r>
</w:p>
<w:p>
<w:pPr><w:pStyle w:val="Normal"/></w:pPr>
<w:r><w:t xml:space="preserve">more to the necessities of commerce than to mere land</w:t></w:r>
</w:p>
<w:p>
<w:pPr><w:pStyle w:val="Normal"/></w:pPr>
<w:r><w:t xml:space="preserve">hunger.  Yet, except in the north and south temperate</w:t></w:r>
</w:p>
<w:p>
<w:pPr><w:pStyle w:val="Normal"/></w:pPr>
<w:r><w:t xml:space="preserve">regions, the commercial intercourse of the continent with</w:t></w:r>
</w:p>
<w:p>
<w:pPr><w:pStyle w:val="Normal"/></w:pPr>
<w:r><w:t xml:space="preserve">the rest of the world had been until the closing years of the</w:t></w:r>
</w:p>
<w:p>
<w:pPr><w:pStyle w:val="Normal"/></w:pPr>
<w:r><w:t xml:space="preserve">19th century of insignificant proportions.  In addition to</w:t></w:r>
</w:p>
<w:p>
<w:pPr><w:pStyle w:val="Normal"/></w:pPr>
<w:r><w:t xml:space="preserve">slaves, furnished by the continent from the earliest times,</w:t></w:r>
</w:p>
<w:p>
<w:pPr><w:pStyle w:val="Normal"/></w:pPr>
<w:r><w:t xml:space="preserve">a certain amount of gold and ivory was exported from the</w:t></w:r>
</w:p>
<w:p>
<w:pPr><w:pStyle w:val="Normal"/></w:pPr>
<w:r><w:t xml:space="preserve">tropical regions, but no other product supplied the material</w:t></w:r>
</w:p>
<w:p>
<w:pPr><w:pStyle w:val="Normal"/></w:pPr>
<w:r><w:t xml:space="preserve">for a flourishing trade with those parts.  To their Asiatic</w:t></w:r>
</w:p>
<w:p>
<w:pPr><w:pStyle w:val="Normal"/></w:pPr>
<w:r><w:t xml:space="preserve">and European invaders the Africans indeed owed many creature</w:t></w:r>
</w:p>
<w:p>
<w:pPr><w:pStyle w:val="Normal"/></w:pPr>
<w:r><w:t xml:space="preserve">comforts--the introduction of maize, rice, the sugar cane,</w:t></w:r>
</w:p>
<w:p>
<w:pPr><w:pStyle w:val="Normal"/></w:pPr>
<w:r><w:t xml:space="preserve">the orange, the lemon and the lime, cloves, tobacco and many</w:t></w:r>
</w:p>
<w:p>
<w:pPr><w:pStyle w:val="Normal"/></w:pPr>
<w:r><w:t xml:space="preserve">other vegetable products, the camel, the horse and other</w:t></w:r>
</w:p>
<w:p>
<w:pPr><w:pStyle w:val="Normal"/></w:pPr>
<w:r><w:t xml:space="preserve">animals--but invaluable to Africa as were these gifts they led</w:t></w:r>
</w:p>
<w:p>
<w:pPr><w:pStyle w:val="Normal"/></w:pPr>
<w:r><w:t xml:space="preserve">to little development of commerce.  The continent continued</w:t></w:r>
</w:p>
<w:p>
<w:pPr><w:pStyle w:val="Normal"/></w:pPr>
<w:r><w:t xml:space="preserve">in virtual isolation from the great trade movements of the</w:t></w:r>
</w:p>
<w:p>
<w:pPr><w:pStyle w:val="Normal"/></w:pPr>
<w:r><w:t xml:space="preserve">Causes of isolation.</w:t></w:r>
</w:p>
<w:p>
<w:pPr><w:pStyle w:val="Normal"/></w:pPr>
<w:r><w:t xml:space="preserve">world, an isolation due not so much to its poverty in natural</w:t></w:r>
</w:p>
<w:p>
<w:pPr><w:pStyle w:val="Normal"/></w:pPr>
<w:r><w:t xml:space="preserve">resources, as to the special circumstances which likewise</w:t></w:r>
</w:p>
<w:p>
<w:pPr><w:pStyle w:val="Normal"/></w:pPr>
<w:r><w:t xml:space="preserve">caused so large a part of the continent to remain so long a</w:t></w:r>
</w:p>
<w:p>
<w:pPr><w:pStyle w:val="Normal"/></w:pPr>
<w:r><w:t xml:space="preserve">terra incognita. The principal drawbacks may be summarized</w:t></w:r>
</w:p>
<w:p>
<w:pPr><w:pStyle w:val="Normal"/></w:pPr>
<w:r><w:t xml:space="preserve">as: (1) the absence of means of communication with the</w:t></w:r>
</w:p>
<w:p>
<w:pPr><w:pStyle w:val="Normal"/></w:pPr>
<w:r><w:t xml:space="preserve">interior; (2) the unhealthiness of the coast-lands; (3) the</w:t></w:r>
</w:p>
<w:p>
<w:pPr><w:pStyle w:val="Normal"/></w:pPr>
<w:r><w:t xml:space="preserve">small productive activity of the natives; (4) the effects of</w:t></w:r>
</w:p>
<w:p>
<w:pPr><w:pStyle w:val="Normal"/></w:pPr>
<w:r><w:t xml:space="preserve">the slave trade in discouraging legitimate commerce.  None</w:t></w:r>
</w:p>
<w:p>
<w:pPr><w:pStyle w:val="Normal"/></w:pPr>
<w:r><w:t xml:space="preserve">of these causes is necessarily permanent, that most difficult</w:t></w:r>
</w:p>
<w:p>
<w:pPr><w:pStyle w:val="Normal"/></w:pPr>
<w:r><w:t xml:space="preserve">to remove being the third; the negro races finding the means</w:t></w:r>
</w:p>
<w:p>
<w:pPr><w:pStyle w:val="Normal"/></w:pPr>
<w:r><w:t xml:space="preserve">of existence easy have little incentive to toil.  The first</w:t></w:r>
</w:p>
<w:p>
<w:pPr><w:pStyle w:val="Normal"/></w:pPr>
<w:r><w:t xml:space="preserve">drawback has almost disappeared, and the building of railways</w:t></w:r>
</w:p>
<w:p>
<w:pPr><w:pStyle w:val="Normal"/></w:pPr>
<w:r><w:t xml:space="preserve">and the placing of steamers on the rivers and lakes--a work</w:t></w:r>
</w:p>
<w:p>
<w:pPr><w:pStyle w:val="Normal"/></w:pPr>
<w:r><w:t xml:space="preserve">continually progressing --renders it year by year easier for</w:t></w:r>
</w:p>
<w:p>
<w:pPr><w:pStyle w:val="Normal"/></w:pPr>
<w:r><w:t xml:space="preserve">producer and consumer to come together.  As to the second</w:t></w:r>
</w:p>
<w:p>
<w:pPr><w:pStyle w:val="Normal"/></w:pPr>
<w:r><w:t xml:space="preserve">drawback, while the coast-lands in the tropics will always</w:t></w:r>
</w:p>
<w:p>
<w:pPr><w:pStyle w:val="Normal"/></w:pPr>
<w:r><w:t xml:space="preserve">remain comparatively unhealthy, improved sanitation and the</w:t></w:r>
</w:p>
<w:p>
<w:pPr><w:pStyle w:val="Normal"/></w:pPr>
<w:r><w:t xml:space="preserve">destruction of the malarial mosquito have rendered tolerable to</w:t></w:r>
</w:p>
<w:p>
<w:pPr><w:pStyle w:val="Normal"/></w:pPr>
<w:r><w:t xml:space="preserve">Europeans regions formerly notorious for their deadly climate.</w:t></w:r>
</w:p>
<w:p>
<w:pPr><w:pStyle w:val="Normal"/></w:pPr>
<w:r><w:t xml:space="preserve">At various periods since the partition of the continent began,</w:t></w:r>
</w:p>
<w:p>
<w:pPr><w:pStyle w:val="Normal"/></w:pPr>
<w:r><w:t xml:space="preserve">united action has been taken by the powers of Europe in the</w:t></w:r>
</w:p>
<w:p>
<w:pPr><w:pStyle w:val="Normal"/></w:pPr>
<w:r><w:t xml:space="preserve">interests of African trade.  The Berlin conference of 1884-1885</w:t></w:r>
</w:p>
<w:p>
<w:pPr><w:pStyle w:val="Normal"/></w:pPr>
<w:r><w:t xml:space="preserve">decreed freedom of navigation and trade on the Congo and the</w:t></w:r>
</w:p>
<w:p>
<w:pPr><w:pStyle w:val="Normal"/></w:pPr>
<w:r><w:t xml:space="preserve">Niger, and the Anglo-Portuguese treaty of 1891 secured like</w:t></w:r>
</w:p>
<w:p>
<w:pPr><w:pStyle w:val="Normal"/></w:pPr>
<w:r><w:t xml:space="preserve">privileges for the Zambezi.  The Berlin conference likewise</w:t></w:r>
</w:p>
<w:p>
<w:pPr><w:pStyle w:val="Normal"/></w:pPr>
<w:r><w:t xml:space="preserve">enacted that over a wide area of Central Africa--the conventional</w:t></w:r>
</w:p>
<w:p>
<w:pPr><w:pStyle w:val="Normal"/></w:pPr>
<w:r><w:t xml:space="preserve">basin of the Congo--there should be complete freedom of trade,</w:t></w:r>
</w:p>
<w:p>
<w:pPr><w:pStyle w:val="Normal"/></w:pPr>
<w:r><w:t xml:space="preserve">a freedom which later on was held to be infringed in the Congo</w:t></w:r>
</w:p>
<w:p>
<w:pPr><w:pStyle w:val="Normal"/></w:pPr>
<w:r><w:t xml:space="preserve">State and French Congo by the granting to various companies</w:t></w:r>
</w:p>
<w:p>
<w:pPr><w:pStyle w:val="Normal"/></w:pPr>
<w:r><w:t xml:space="preserve">proprietary rights in the disposal of the product of the</w:t></w:r>
</w:p>
<w:p>
<w:pPr><w:pStyle w:val="Normal"/></w:pPr>
<w:r><w:t xml:space="preserve">soil.  More important in their effect on the economic condition</w:t></w:r>
</w:p>
<w:p>
<w:pPr><w:pStyle w:val="Normal"/></w:pPr>
<w:r><w:t xml:space="preserve">of the continent than the steps taken to ensure freedom</w:t></w:r>
</w:p>
<w:p>
<w:pPr><w:pStyle w:val="Normal"/></w:pPr>
<w:r><w:t xml:space="preserve">of trade were the measures concerted by the powers for the</w:t></w:r>
</w:p>
<w:p>
<w:pPr><w:pStyle w:val="Normal"/></w:pPr>
<w:r><w:t xml:space="preserve">suppression of the slave trade.  The British government had</w:t></w:r>
</w:p>
<w:p>
<w:pPr><w:pStyle w:val="Normal"/></w:pPr>
<w:r><w:t xml:space="preserve">for long borne the greater part of the burden of combating</w:t></w:r>
</w:p>
<w:p>
<w:pPr><w:pStyle w:val="Normal"/></w:pPr>
<w:r><w:t xml:space="preserve">the slave trade on the east coast of Africa and in the Indian</w:t></w:r>
</w:p>
<w:p>
<w:pPr><w:pStyle w:val="Normal"/></w:pPr>
<w:r><w:t xml:space="preserve">Ocean, but the changed conditions which resulted from the</w:t></w:r>
</w:p>
<w:p>
<w:pPr><w:pStyle w:val="Normal"/></w:pPr>
<w:r><w:t xml:space="preserve">appearance of other European powers in Africa induced Lord</w:t></w:r>
</w:p>
<w:p>
<w:pPr><w:pStyle w:val="Normal"/></w:pPr>
<w:r><w:t xml:space="preserve">Salisbury, then foreign secretary, to address, in the autumn of</w:t></w:r>
</w:p>
<w:p>
<w:pPr><w:pStyle w:val="Normal"/></w:pPr>
<w:r><w:t xml:space="preserve">1888, an invitation to the king of the Belgians to take the</w:t></w:r>
</w:p>
<w:p>
<w:pPr><w:pStyle w:val="Normal"/></w:pPr>
<w:r><w:t xml:space="preserve">initiative in inviting a conference of the powers at Brussels</w:t></w:r>
</w:p>
<w:p>
<w:pPr><w:pStyle w:val="Normal"/></w:pPr>
<w:r><w:t xml:space="preserve">to concert measures for ``the gradual suppression of the</w:t></w:r>
</w:p>
<w:p>
<w:pPr><w:pStyle w:val="Normal"/></w:pPr>
<w:r><w:t xml:space="preserve">Suppression of the slave trade.</w:t></w:r>
</w:p>
<w:p>
<w:pPr><w:pStyle w:val="Normal"/></w:pPr>
<w:r><w:t xml:space="preserve">slave trade on the continent of Africa, and the immediate</w:t></w:r>
</w:p>
<w:p>
<w:pPr><w:pStyle w:val="Normal"/></w:pPr>
<w:r><w:t xml:space="preserve">closing of all the external markets which it still supplies.&apos;&apos;</w:t></w:r>
</w:p>
<w:p>
<w:pPr><w:pStyle w:val="Normal"/></w:pPr>
<w:r><w:t xml:space="preserve">The conference assembled in November 1889, and on the 2nd of</w:t></w:r>
</w:p>
<w:p>
<w:pPr><w:pStyle w:val="Normal"/></w:pPr>
<w:r><w:t xml:space="preserve">July 1890 a general act was signed subject to the ratification</w:t></w:r>
</w:p>
<w:p>
<w:pPr><w:pStyle w:val="Normal"/></w:pPr>
<w:r><w:t xml:space="preserve">of the various governments represented, ratification taking</w:t></w:r>
</w:p>
<w:p>
<w:pPr><w:pStyle w:val="Normal"/></w:pPr>
<w:r><w:t xml:space="preserve">place subsequently at different dates, and in the case of</w:t></w:r>
</w:p>
<w:p>
<w:pPr><w:pStyle w:val="Normal"/></w:pPr>
<w:r><w:t xml:space="preserve">France with certain reservations.  The general act began with</w:t></w:r>
</w:p>
<w:p>
<w:pPr><w:pStyle w:val="Normal"/></w:pPr>
<w:r><w:t xml:space="preserve">a declaration of the means which the powers were of opinion</w:t></w:r>
</w:p>
<w:p>
<w:pPr><w:pStyle w:val="Normal"/></w:pPr>
<w:r><w:t xml:space="preserve">might be most effectually adopted for ``putting an end to the</w:t></w:r>
</w:p>
<w:p>
<w:pPr><w:pStyle w:val="Normal"/></w:pPr>
<w:r><w:t xml:space="preserve">crimes and devastations engendered by the traffic in African</w:t></w:r>
</w:p>
<w:p>
<w:pPr><w:pStyle w:val="Normal"/></w:pPr>
<w:r><w:t xml:space="preserve">slaves, protecting effectively the aboriginal populations of</w:t></w:r>
</w:p>
<w:p>
<w:pPr><w:pStyle w:val="Normal"/></w:pPr>
<w:r><w:t xml:space="preserve">Africa, and ensuring for that vast continent the benefits of</w:t></w:r>
</w:p>
<w:p>
<w:pPr><w:pStyle w:val="Normal"/></w:pPr>
<w:r><w:t xml:space="preserve">peace and civilization.&apos;&apos; It proceeded to lay down certain</w:t></w:r>
</w:p>
<w:p>
<w:pPr><w:pStyle w:val="Normal"/></w:pPr>
<w:r><w:t xml:space="preserve">rules and regulations of a practical character on the lines</w:t></w:r>
</w:p>
<w:p>
<w:pPr><w:pStyle w:val="Normal"/></w:pPr>
<w:r><w:t xml:space="preserve">suggested.  The act covers a wide field, and includes no</w:t></w:r>
</w:p>
<w:p>
<w:pPr><w:pStyle w:val="Normal"/></w:pPr>
<w:r><w:t xml:space="preserve">fewer than a hundred separate articles.  It established</w:t></w:r>
</w:p>
<w:p>
<w:pPr><w:pStyle w:val="Normal"/></w:pPr>
<w:r><w:t xml:space="preserve">a zone ``between the 20th parallel of north latitude, and</w:t></w:r>
</w:p>
<w:p>
<w:pPr><w:pStyle w:val="Normal"/></w:pPr>
<w:r><w:t xml:space="preserve">the 22nd parallel of south latitude, and extending westward</w:t></w:r>
</w:p>
<w:p>
<w:pPr><w:pStyle w:val="Normal"/></w:pPr>
<w:r><w:t xml:space="preserve">to the Atlantic and eastward to the Indian Ocean and its</w:t></w:r>
</w:p>
<w:p>
<w:pPr><w:pStyle w:val="Normal"/></w:pPr>
<w:r><w:t xml:space="preserve">dependencies, comprising the islands adjacent to the coast as</w:t></w:r>
</w:p>
<w:p>
<w:pPr><w:pStyle w:val="Normal"/></w:pPr>
<w:r><w:t xml:space="preserve">far as 100 nautical miles from the shore,&apos;&apos; within which the</w:t></w:r>
</w:p>
<w:p>
<w:pPr><w:pStyle w:val="Normal"/></w:pPr>
<w:r><w:t xml:space="preserve">importation of firearms and ammunition was forbidden except</w:t></w:r>
</w:p>
<w:p>
<w:pPr><w:pStyle w:val="Normal"/></w:pPr>
<w:r><w:t xml:space="preserve">in certain specified cases, and within which also the powers</w:t></w:r>
</w:p>
<w:p>
<w:pPr><w:pStyle w:val="Normal"/></w:pPr>
<w:r><w:t xml:space="preserve">undertook either to prohibit altogether the importation and</w:t></w:r>
</w:p>
<w:p>
<w:pPr><w:pStyle w:val="Normal"/></w:pPr>
<w:r><w:t xml:space="preserve">manufacture of spirituous liquors, or to impose duties not</w:t></w:r>
</w:p>
<w:p>
<w:pPr><w:pStyle w:val="Normal"/></w:pPr>
<w:r><w:t xml:space="preserve">below an agreed-on minimum.1 An elaborate series of rules</w:t></w:r>
</w:p>
<w:p>
<w:pPr><w:pStyle w:val="Normal"/></w:pPr>
<w:r><w:t xml:space="preserve">was framed for the prevention of the transit of slaves by</w:t></w:r>
</w:p>
<w:p>
<w:pPr><w:pStyle w:val="Normal"/></w:pPr>
<w:r><w:t xml:space="preserve">sea, the conditions on which European powers were to grant</w:t></w:r>
</w:p>
<w:p>
<w:pPr><w:pStyle w:val="Normal"/></w:pPr>
<w:r><w:t xml:space="preserve">to natives the right to fly the flag of the protecting power,</w:t></w:r>
</w:p>
<w:p>
<w:pPr><w:pStyle w:val="Normal"/></w:pPr>
<w:r><w:t xml:space="preserve">and regulating the procedure connected with the right of</w:t></w:r>
</w:p>
<w:p>
<w:pPr><w:pStyle w:val="Normal"/></w:pPr>
<w:r><w:t xml:space="preserve">search on vessels flying a foreign flag.  The Brussels Act</w:t></w:r>
</w:p>
<w:p>
<w:pPr><w:pStyle w:val="Normal"/></w:pPr>
<w:r><w:t xml:space="preserve">was in effect a joint declaration by the signatory powers of</w:t></w:r>
</w:p>
<w:p>
<w:pPr><w:pStyle w:val="Normal"/></w:pPr>
<w:r><w:t xml:space="preserve">their joint and several responsibility towards the African</w:t></w:r>
</w:p>
<w:p>
<w:pPr><w:pStyle w:val="Normal"/></w:pPr>
<w:r><w:t xml:space="preserve">native, and notwithstanding the fact that many of its articles</w:t></w:r>
</w:p>
<w:p>
<w:pPr><w:pStyle w:val="Normal"/></w:pPr>
<w:r><w:t xml:space="preserve">have proved difficult, if not impossible, of enforcement,</w:t></w:r>
</w:p>
<w:p>
<w:pPr><w:pStyle w:val="Normal"/></w:pPr>
<w:r><w:t xml:space="preserve">the solemn engagement taken by Europe in the face of the</w:t></w:r>
</w:p>
<w:p>
<w:pPr><w:pStyle w:val="Normal"/></w:pPr>
<w:r><w:t xml:space="preserve">world has undoubtedly exercised a material influence on the</w:t></w:r>
</w:p>
<w:p>
<w:pPr><w:pStyle w:val="Normal"/></w:pPr>
<w:r><w:t xml:space="preserve">action of several of the powers.  Moreover, with the increase</w:t></w:r>
</w:p>
<w:p>
<w:pPr><w:pStyle w:val="Normal"/></w:pPr>
<w:r><w:t xml:space="preserve">of means of communication and the extension of effective</w:t></w:r>
</w:p>
<w:p>
<w:pPr><w:pStyle w:val="Normal"/></w:pPr>
<w:r><w:t xml:space="preserve">European control, slave-raiding in the interior was largely</w:t></w:r>
</w:p>
<w:p>
<w:pPr><w:pStyle w:val="Normal"/></w:pPr>
<w:r><w:t xml:space="preserve">checked and inter-tribal wars prevented, the natives being</w:t></w:r>
</w:p>
<w:p>
<w:pPr><w:pStyle w:val="Normal"/></w:pPr>
<w:r><w:t xml:space="preserve">thus given security in the pursuit of trade and agriculture.</w:t></w:r>
</w:p>
<w:p>
<w:pPr><w:pStyle w:val="Normal"/></w:pPr>
<w:r><w:t xml:space="preserve">Other important factors in the economic as well as the social</w:t></w:r>
</w:p>
<w:p>
<w:pPr><w:pStyle w:val="Normal"/></w:pPr>
<w:r><w:t xml:space="preserve">conditions of Africa are the advance in civilization made</w:t></w:r>
</w:p>
<w:p>
<w:pPr><w:pStyle w:val="Normal"/></w:pPr>
<w:r><w:t xml:space="preserve">by the natives in several regions and the increase of the</w:t></w:r>
</w:p>
<w:p>
<w:pPr><w:pStyle w:val="Normal"/></w:pPr>
<w:r><w:t xml:space="preserve">areas found suitable for white colonization.  The advance in</w:t></w:r>
</w:p>
<w:p>
<w:pPr><w:pStyle w:val="Normal"/></w:pPr>
<w:r><w:t xml:space="preserve">civilization among the natives, exemplified by the granting to</w:t></w:r>
</w:p>
<w:p>
<w:pPr><w:pStyle w:val="Normal"/></w:pPr>
<w:r><w:t xml:space="preserve">them of political rights in such countries as Algeria and Cape</w:t></w:r>
</w:p>
<w:p>
<w:pPr><w:pStyle w:val="Normal"/></w:pPr>
<w:r><w:t xml:space="preserve">Colony, leads directly to increased commercial activity; and</w:t></w:r>
</w:p>
<w:p>
<w:pPr><w:pStyle w:val="Normal"/></w:pPr>
<w:r><w:t xml:space="preserve">commerce increases in a much greater degree when new countries--</w:t></w:r>
</w:p>
<w:p>
<w:pPr><w:pStyle w:val="Normal"/></w:pPr>
<w:r><w:t xml:space="preserve">e.g. Rhodesia and British East Africa--become the homes of</w:t></w:r>
</w:p>
<w:p>
<w:pPr><w:pStyle w:val="Normal"/></w:pPr>
<w:r><w:t xml:space="preserve">Europeans.  Finally, in reviewing the chief factors which govern</w:t></w:r>
</w:p>
<w:p>
<w:pPr><w:pStyle w:val="Normal"/></w:pPr>
<w:r><w:t xml:space="preserve">the commercial development of the continent, note must be taken</w:t></w:r>
</w:p>
<w:p>
<w:pPr><w:pStyle w:val="Normal"/></w:pPr>
<w:r><w:t xml:space="preserve">of the sparsity of the population over the greater part of</w:t></w:r>
</w:p>
<w:p>
<w:pPr><w:pStyle w:val="Normal"/></w:pPr>
<w:r><w:t xml:space="preserve">Africa, and the efforts made to supplement the insufficient and</w:t></w:r>
</w:p>
<w:p>
<w:pPr><w:pStyle w:val="Normal"/></w:pPr>
<w:r><w:t xml:space="preserve">often ineffective native labour by the introduction of Asiatic</w:t></w:r>
</w:p>
<w:p>
<w:pPr><w:pStyle w:val="Normal"/></w:pPr>
<w:r><w:t xml:space="preserve">labourers in various districts--of Indian coolies in Natal and</w:t></w:r>
</w:p>
<w:p>
<w:pPr><w:pStyle w:val="Normal"/></w:pPr>
<w:r><w:t xml:space="preserve">elsewhere, and of Chinese for the gold mines of the Transvaal.</w:t></w:r>
</w:p>
<w:p>
<w:pPr><w:pStyle w:val="Normal"/></w:pPr>
<w:r><w:t xml:space="preserve">The resources of Africa may be considered under the head</w:t></w:r>
</w:p>
<w:p>
<w:pPr><w:pStyle w:val="Normal"/></w:pPr>
<w:r><w:t xml:space="preserve">of: (1) jungle products; (2) cultivated products; (3) animal</w:t></w:r>
</w:p>
<w:p>
<w:pPr><w:pStyle w:val="Normal"/></w:pPr>
<w:r><w:t xml:space="preserve">Chief economic resources.</w:t></w:r>
</w:p>
<w:p>
<w:pPr><w:pStyle w:val="Normal"/></w:pPr>
<w:r><w:t xml:space="preserve">products; (4) minerals.  Of the first named the most important</w:t></w:r>
</w:p>
<w:p>
<w:pPr><w:pStyle w:val="Normal"/></w:pPr>
<w:r><w:t xml:space="preserve">are india-rubber and palm-oil. which in tropical Africa supply by</w:t></w:r>
</w:p>
<w:p>
<w:pPr><w:pStyle w:val="Normal"/></w:pPr>
<w:r><w:t xml:space="preserve">far the largest items in the export list.  The rubber-producing</w:t></w:r>
</w:p>
<w:p>
<w:pPr><w:pStyle w:val="Normal"/></w:pPr>
<w:r><w:t xml:space="preserve">plants are found throughout the whole tropical belt, and the</w:t></w:r>
</w:p>
<w:p>
<w:pPr><w:pStyle w:val="Normal"/></w:pPr>
<w:r><w:t xml:space="preserve">most important are creepers of the order Apocynaceae, especially</w:t></w:r>
</w:p>
<w:p>
<w:pPr><w:pStyle w:val="Normal"/></w:pPr>
<w:r><w:t xml:space="preserve">various species of Landolphia (with which genus Vahea is now</w:t></w:r>
</w:p>
<w:p>
<w:pPr><w:pStyle w:val="Normal"/></w:pPr>
<w:r><w:t xml:space="preserve">united).  In East Africa Landolphia kirkii (Dyer) supplies</w:t></w:r>
</w:p>
<w:p>
<w:pPr><w:pStyle w:val="Normal"/></w:pPr>
<w:r><w:t xml:space="preserve">the largest amount, though various other species are known.</w:t></w:r>
</w:p>
<w:p>
<w:pPr><w:pStyle w:val="Normal"/></w:pPr>
<w:r><w:t xml:space="preserve">Forms of apparently wider distribution are L. hendelotii,</w:t></w:r>
</w:p>
<w:p>
<w:pPr><w:pStyle w:val="Normal"/></w:pPr>
<w:r><w:t xml:space="preserve">which is found in the Bahr-el-Ghazal, and extends right</w:t></w:r>
</w:p>
<w:p>
<w:pPr><w:pStyle w:val="Normal"/></w:pPr>
<w:r><w:t xml:space="preserve">across the continent to Senegambia; and L. (formerly Vahea)</w:t></w:r>
</w:p>
<w:p>
<w:pPr><w:pStyle w:val="Normal"/></w:pPr>
<w:r><w:t xml:space="preserve">comorensis, which, including its variety L. florida, has</w:t></w:r>
</w:p>
<w:p>
<w:pPr><w:pStyle w:val="Normal"/></w:pPr>
<w:r><w:t xml:space="preserve">the widest distribution of all the species, occurring in Upper</w:t></w:r>
</w:p>
<w:p>
<w:pPr><w:pStyle w:val="Normal"/></w:pPr>
<w:r><w:t xml:space="preserve">and Lower Guinea, the whole of Central Africa, the east coast,</w:t></w:r>
</w:p>
<w:p>
<w:pPr><w:pStyle w:val="Normal"/></w:pPr>
<w:r><w:t xml:space="preserve">the Comoro Islands and Madagascar.  In parts of East Africa</w:t></w:r>
</w:p>
<w:p>
<w:pPr><w:pStyle w:val="Normal"/></w:pPr>
<w:r><w:t xml:space="preserve">Clitandra orienitalis is a valuable rubber vine.  In Lagos</w:t></w:r>
</w:p>
<w:p>
<w:pPr><w:pStyle w:val="Normal"/></w:pPr>
<w:r><w:t xml:space="preserve">and elsewhere rubber is produced by the apocynaceous tree,</w:t></w:r>
</w:p>
<w:p>
<w:pPr><w:pStyle w:val="Normal"/></w:pPr>
<w:r><w:t xml:space="preserve">Funtumia elastica, and in West Africa generally by various</w:t></w:r>
</w:p>
<w:p>
<w:pPr><w:pStyle w:val="Normal"/></w:pPr>
<w:r><w:t xml:space="preserve">species of Ficus, some species of which are also found in East</w:t></w:r>
</w:p>
<w:p>
<w:pPr><w:pStyle w:val="Normal"/></w:pPr>
<w:r><w:t xml:space="preserve">Africa.  The rubber produced is somewhat inferior to that of</w:t></w:r>
</w:p>
<w:p>
<w:pPr><w:pStyle w:val="Normal"/></w:pPr>
<w:r><w:t xml:space="preserve">South America, but this is largely due to careless methods of</w:t></w:r>
</w:p>
<w:p>
<w:pPr><w:pStyle w:val="Normal"/></w:pPr>
<w:r><w:t xml:space="preserve">preparation.  The great destruction of vines brought about</w:t></w:r>
</w:p>
<w:p>
<w:pPr><w:pStyle w:val="Normal"/></w:pPr>
<w:r><w:t xml:space="preserve">by native methods of collection much reduced the supply in</w:t></w:r>
</w:p>
<w:p>
<w:pPr><w:pStyle w:val="Normal"/></w:pPr>
<w:r><w:t xml:space="preserve">some districts, and rendered it necessary to take steps to</w:t></w:r>
</w:p>
<w:p>
<w:pPr><w:pStyle w:val="Normal"/></w:pPr>
<w:r><w:t xml:space="preserve">preserve and cultivate the rubber-yielding plants.  This</w:t></w:r>
</w:p>
<w:p>
<w:pPr><w:pStyle w:val="Normal"/></w:pPr>
<w:r><w:t xml:space="preserve">has been done in many districts with usually encouraging</w:t></w:r>
</w:p>
<w:p>
<w:pPr><w:pStyle w:val="Normal"/></w:pPr>
<w:r><w:t xml:space="preserve">results.  Experiments have been made in the introduction of</w:t></w:r>
</w:p>
<w:p>
<w:pPr><w:pStyle w:val="Normal"/></w:pPr>
<w:r><w:t xml:space="preserve">South American rubber plants, but opinions differ as to the</w:t></w:r>
</w:p>
<w:p>
<w:pPr><w:pStyle w:val="Normal"/></w:pPr>
<w:r><w:t xml:space="preserve">prospects of success, as the plants in question seem to demand</w:t></w:r>
</w:p>
<w:p>
<w:pPr><w:pStyle w:val="Normal"/></w:pPr>
<w:r><w:t xml:space="preserve">very definite conditions of soil and climate.  The second</w:t></w:r>
</w:p>
<w:p>
<w:pPr><w:pStyle w:val="Normal"/></w:pPr>
<w:r><w:t xml:space="preserve">product, palm-oil, is derived from a much more limited area</w:t></w:r>
</w:p>
<w:p>
<w:pPr><w:pStyle w:val="Normal"/></w:pPr>
<w:r><w:t xml:space="preserve">than rubber, for although the oil palm is found throughout the</w:t></w:r>
</w:p>
<w:p>
<w:pPr><w:pStyle w:val="Normal"/></w:pPr>
<w:r><w:t xml:space="preserve">greater part of West Africa, from 10 deg.  N. to 10 deg.  S., the great</w:t></w:r>
</w:p>
<w:p>
<w:pPr><w:pStyle w:val="Normal"/></w:pPr>
<w:r><w:t xml:space="preserve">bulk of the export comes from the coast districts at the head</w:t></w:r>
</w:p>
<w:p>
<w:pPr><w:pStyle w:val="Normal"/></w:pPr>
<w:r><w:t xml:space="preserve">of the Gulf of Guinea.  A larger supply, equal to any market</w:t></w:r>
</w:p>
<w:p>
<w:pPr><w:pStyle w:val="Normal"/></w:pPr>
<w:r><w:t xml:space="preserve">demand, could easily be obtained.  A third valuable product</w:t></w:r>
</w:p>
<w:p>
<w:pPr><w:pStyle w:val="Normal"/></w:pPr>
<w:r><w:t xml:space="preserve">is the timber supplied by the forest regions, principally in</w:t></w:r>
</w:p>
<w:p>
<w:pPr><w:pStyle w:val="Normal"/></w:pPr>
<w:r><w:t xml:space="preserve">West Africa.  It includes African teak or oak (Oldfieldia</w:t></w:r>
</w:p>
<w:p>
<w:pPr><w:pStyle w:val="Normal"/></w:pPr>
<w:r><w:t xml:space="preserve">africana), excellent for shipbuilding; the durable odum</w:t></w:r>
</w:p>
<w:p>
<w:pPr><w:pStyle w:val="Normal"/></w:pPr>
<w:r><w:t xml:space="preserve">of the Gold Coast (Chlorophora excelsa); African mahogany</w:t></w:r>
</w:p>
<w:p>
<w:pPr><w:pStyle w:val="Normal"/></w:pPr>
<w:r><w:t xml:space="preserve">(Khaya senegalensis); ebony (Diospyros ebenum); camwood</w:t></w:r>
</w:p>
<w:p>
<w:pPr><w:pStyle w:val="Normal"/></w:pPr>
<w:r><w:t xml:space="preserve">(Baphia nitida); and many other ornamental and dye woods.</w:t></w:r>
</w:p>
<w:p>
<w:pPr><w:pStyle w:val="Normal"/></w:pPr>
<w:r><w:t xml:space="preserve">The timber industry on the west coast was long neglected, but</w:t></w:r>
</w:p>
<w:p>
<w:pPr><w:pStyle w:val="Normal"/></w:pPr>
<w:r><w:t xml:space="preserve">since 1898 there have been large exports to Europe.  In parts</w:t></w:r>
</w:p>
<w:p>
<w:pPr><w:pStyle w:val="Normal"/></w:pPr>
<w:r><w:t xml:space="preserve">of East Africa the Podocarpus milanjianus, a conifer, is</w:t></w:r>
</w:p>
<w:p>
<w:pPr><w:pStyle w:val="Normal"/></w:pPr>
<w:r><w:t xml:space="preserve">economically important.  Valuable timber grows too in South</w:t></w:r>
</w:p>
<w:p>
<w:pPr><w:pStyle w:val="Normal"/></w:pPr>
<w:r><w:t xml:space="preserve">Africa, including the yellow wood (Podocarpus), stinkwood</w:t></w:r>
</w:p>
<w:p>
<w:pPr><w:pStyle w:val="Normal"/></w:pPr>
<w:r><w:t xml:space="preserve">(Ocotea), sneezewood or Cape ebony (Euclea) and ironwood.</w:t></w:r>
</w:p>
<w:p>
<w:pPr><w:pStyle w:val="Normal"/></w:pPr>
<w:r><w:t xml:space="preserve">Other vegetable products of importance are: Gum arabic, obtained</w:t></w:r>
</w:p>
<w:p>
<w:pPr><w:pStyle w:val="Normal"/></w:pPr>
<w:r><w:t xml:space="preserve">from various species of acacia (especially A. senegal),</w:t></w:r>
</w:p>
<w:p>
<w:pPr><w:pStyle w:val="Normal"/></w:pPr>
<w:r><w:t xml:space="preserve">the chief supplies of which are obtained from Senegambia</w:t></w:r>
</w:p>
<w:p>
<w:pPr><w:pStyle w:val="Normal"/></w:pPr>
<w:r><w:t xml:space="preserve">and the steppe regions of North Africa (Kordofan, &amp;c.); gum</w:t></w:r>
</w:p>
<w:p>
<w:pPr><w:pStyle w:val="Normal"/></w:pPr>
<w:r><w:t xml:space="preserve">copal, a valuable resin produced by trees of the leguminous</w:t></w:r>
</w:p>
<w:p>
<w:pPr><w:pStyle w:val="Normal"/></w:pPr>
<w:r><w:t xml:space="preserve">order, the best, known as Zanzibar or Mozambique copal, coming</w:t></w:r>
</w:p>
<w:p>
<w:pPr><w:pStyle w:val="Normal"/></w:pPr>
<w:r><w:t xml:space="preserve">from the East African Trachylobium hornemannianum, and also</w:t></w:r>
</w:p>
<w:p>
<w:pPr><w:pStyle w:val="Normal"/></w:pPr>
<w:r><w:t xml:space="preserve">found in a fossil state under the soil; kola nuts, produced</w:t></w:r>
</w:p>
<w:p>
<w:pPr><w:pStyle w:val="Normal"/></w:pPr>
<w:r><w:t xml:space="preserve">chiefly in the coast-lands of Upper Guinea by a tree of the</w:t></w:r>
</w:p>
<w:p>
<w:pPr><w:pStyle w:val="Normal"/></w:pPr>
<w:r><w:t xml:space="preserve">order Sterculiaceae (Kola acuminata); archil or orchilla,</w:t></w:r>
</w:p>
<w:p>
<w:pPr><w:pStyle w:val="Normal"/></w:pPr>
<w:r><w:t xml:space="preserve">a dye-yielding lichen (Rocella tinctoria and triciformis)</w:t></w:r>
</w:p>
<w:p>
<w:pPr><w:pStyle w:val="Normal"/></w:pPr>
<w:r><w:t xml:space="preserve">growing on trees and rocks in East Africa, the Congo basin,</w:t></w:r>
</w:p>
<w:p>
<w:pPr><w:pStyle w:val="Normal"/></w:pPr>
<w:r><w:t xml:space="preserve">&amp;c.; cork, the bark of the cork oak, which flourishes</w:t></w:r>
</w:p>
<w:p>
<w:pPr><w:pStyle w:val="Normal"/></w:pPr>
<w:r><w:t xml:space="preserve">in Algeria; and alfa, a grass used in paper manufacture</w:t></w:r>
</w:p>
<w:p>
<w:pPr><w:pStyle w:val="Normal"/></w:pPr>
<w:r><w:t xml:space="preserve">(Machrochloa tenacissima), growing in great abundance on</w:t></w:r>
</w:p>
<w:p>
<w:pPr><w:pStyle w:val="Normal"/></w:pPr>
<w:r><w:t xml:space="preserve">the dry steppes of Algeria, Tripoli, &amp;c. A product to which</w:t></w:r>
</w:p>
<w:p>
<w:pPr><w:pStyle w:val="Normal"/></w:pPr>
<w:r><w:t xml:space="preserve">attention has been paid in Angola is the Almeidina gum or</w:t></w:r>
</w:p>
<w:p>
<w:pPr><w:pStyle w:val="Normal"/></w:pPr>
<w:r><w:t xml:space="preserve">resin, derived from the juice of Euphorbia tirucalli.</w:t></w:r>
</w:p>
<w:p>
<w:pPr><w:pStyle w:val="Normal"/></w:pPr>
<w:r><w:t xml:space="preserve">The cultivated products include those of the tropical and warm</w:t></w:r>
</w:p>
<w:p>
<w:pPr><w:pStyle w:val="Normal"/></w:pPr>
<w:r><w:t xml:space="preserve">temperate zones.  Of the former, coffee is perhaps the most</w:t></w:r>
</w:p>
<w:p>
<w:pPr><w:pStyle w:val="Normal"/></w:pPr>
<w:r><w:t xml:space="preserve">valuable indigenous plant.  It grows wild in many parts, the</w:t></w:r>
</w:p>
<w:p>
<w:pPr><w:pStyle w:val="Normal"/></w:pPr>
<w:r><w:t xml:space="preserve">home of one species being in Kaffa and other Galla countries</w:t></w:r>
</w:p>
<w:p>
<w:pPr><w:pStyle w:val="Normal"/></w:pPr>
<w:r><w:t xml:space="preserve">south of Abyssinia, and of another in Liberia.  The Abyssinian</w:t></w:r>
</w:p>
<w:p>
<w:pPr><w:pStyle w:val="Normal"/></w:pPr>
<w:r><w:t xml:space="preserve">coffee is equal to the best produced in any other part of the</w:t></w:r>
</w:p>
<w:p>
<w:pPr><w:pStyle w:val="Normal"/></w:pPr>
<w:r><w:t xml:space="preserve">world.  Cultivation is, however, necessary to ensure the best</w:t></w:r>
</w:p>
<w:p>
<w:pPr><w:pStyle w:val="Normal"/></w:pPr>
<w:r><w:t xml:space="preserve">results, and attention has been given to this in various European</w:t></w:r>
</w:p>
<w:p>
<w:pPr><w:pStyle w:val="Normal"/></w:pPr>
<w:r><w:t xml:space="preserve">colonies.  Plantations have been established in Angola,</w:t></w:r>
</w:p>
<w:p>
<w:pPr><w:pStyle w:val="Normal"/></w:pPr>
<w:r><w:t xml:space="preserve">Nyasaland, German East Africa, Cameroon, the Congo Free State, &amp;c.</w:t></w:r>
</w:p>
<w:p>
<w:pPr><w:pStyle w:val="Normal"/></w:pPr>
<w:r><w:t xml:space="preserve">Copra, the produce of the cocoa-nut palm, is supplied</w:t></w:r>
</w:p>
<w:p>
<w:pPr><w:pStyle w:val="Normal"/></w:pPr>
<w:r><w:t xml:space="preserve">chiefly by Zanzibar and neighbouring parts of the east</w:t></w:r>
</w:p>
<w:p>
<w:pPr><w:pStyle w:val="Normal"/></w:pPr>
<w:r><w:t xml:space="preserve">coast.  Groundnuts, produced by the leguminous plant, Arachis</w:t></w:r>
</w:p>
<w:p>
<w:pPr><w:pStyle w:val="Normal"/></w:pPr>
<w:r><w:t xml:space="preserve">hypogaea, are grown chiefly in West Africa, and the largest</w:t></w:r>
</w:p>
<w:p>
<w:pPr><w:pStyle w:val="Normal"/></w:pPr>
<w:r><w:t xml:space="preserve">export is from Senegal and the Gambia; while Bambarra</w:t></w:r>
</w:p>
<w:p>
<w:pPr><w:pStyle w:val="Normal"/></w:pPr>
<w:r><w:t xml:space="preserve">ground-nuts (Voandzeia subterranea) are very generally</w:t></w:r>
</w:p>
<w:p>
<w:pPr><w:pStyle w:val="Normal"/></w:pPr>
<w:r><w:t xml:space="preserve">cultivated from Guinea to Natal.  Cloves are extensively</w:t></w:r>
</w:p>
<w:p>
<w:pPr><w:pStyle w:val="Normal"/></w:pPr>
<w:r><w:t xml:space="preserve">grown on Zanzibar and Pemba islands, Pemba being the chief</w:t></w:r>
</w:p>
<w:p>
<w:pPr><w:pStyle w:val="Normal"/></w:pPr>
<w:r><w:t xml:space="preserve">source of the world&apos;s supply of cloves.  The chief drawbacks</w:t></w:r>
</w:p>
<w:p>
<w:pPr><w:pStyle w:val="Normal"/></w:pPr>
<w:r><w:t xml:space="preserve">to the industry are the fluctuations of the yield of the</w:t></w:r>
</w:p>
<w:p>
<w:pPr><w:pStyle w:val="Normal"/></w:pPr>
<w:r><w:t xml:space="preserve">trees, and the risk of over-production in good seasons.</w:t></w:r>
</w:p>
<w:p>
<w:pPr><w:pStyle w:val="Normal"/></w:pPr>
<w:r><w:t xml:space="preserve">Cotton grows wild in many parts of tropical Africa, and is</w:t></w:r>
</w:p>
<w:p>
<w:pPr><w:pStyle w:val="Normal"/></w:pPr>
<w:r><w:t xml:space="preserve">exported in small quantities in the raw state; but the main</w:t></w:r>
</w:p>
<w:p>
<w:pPr><w:pStyle w:val="Normal"/></w:pPr>
<w:r><w:t xml:space="preserve">export is from Egypt, which comes third among the world&apos;s</w:t></w:r>
</w:p>
<w:p>
<w:pPr><w:pStyle w:val="Normal"/></w:pPr>
<w:r><w:t xml:space="preserve">sources of supply of the article.  It is also cultivated in</w:t></w:r>
</w:p>
<w:p>
<w:pPr><w:pStyle w:val="Normal"/></w:pPr>
<w:r><w:t xml:space="preserve">West Africa--the industry in the Guinea coast colonies having</w:t></w:r>
</w:p>
<w:p>
<w:pPr><w:pStyle w:val="Normal"/></w:pPr>
<w:r><w:t xml:space="preserve">been developed since the beginning of the 20th century--and</w:t></w:r>
</w:p>
<w:p>
<w:pPr><w:pStyle w:val="Normal"/></w:pPr>
<w:r><w:t xml:space="preserve">in the Anglo-Egyptian Sudan, whence came the plants from</w:t></w:r>
</w:p>
<w:p>
<w:pPr><w:pStyle w:val="Normal"/></w:pPr>
<w:r><w:t xml:space="preserve">which Egyptian cotton is grown.  Sugar, which is the staple</w:t></w:r>
</w:p>
<w:p>
<w:pPr><w:pStyle w:val="Normal"/></w:pPr>
<w:r><w:t xml:space="preserve">crop of Mauritius, and in a lesser degree of Reunion, is</w:t></w:r>
</w:p>
<w:p>
<w:pPr><w:pStyle w:val="Normal"/></w:pPr>
<w:r><w:t xml:space="preserve">also produced in Natal, Egypt, and, to a certain extent, in</w:t></w:r>
</w:p>
<w:p>
<w:pPr><w:pStyle w:val="Normal"/></w:pPr>
<w:r><w:t xml:space="preserve">Mozambique.  Dates are grown in Tunisia and the Saharan</w:t></w:r>
</w:p>
<w:p>
<w:pPr><w:pStyle w:val="Normal"/></w:pPr>
<w:r><w:t xml:space="preserve">oases, especially Tafilet; maize in Egypt, South Africa and</w:t></w:r>
</w:p>
<w:p>
<w:pPr><w:pStyle w:val="Normal"/></w:pPr>
<w:r><w:t xml:space="preserve">parts of the tropical zone; wheat in Egypt, Algeria and the</w:t></w:r>
</w:p>
<w:p>
<w:pPr><w:pStyle w:val="Normal"/></w:pPr>
<w:r><w:t xml:space="preserve">higher regions of Abyssinia; rice in Madagascar.  Wine is</w:t></w:r>
</w:p>
<w:p>
<w:pPr><w:pStyle w:val="Normal"/></w:pPr>
<w:r><w:t xml:space="preserve">largely exported from Algeria, and in a much smaller quantity</w:t></w:r>
</w:p>
<w:p>
<w:pPr><w:pStyle w:val="Normal"/></w:pPr>
<w:r><w:t xml:space="preserve">from Cape Colony; fruit and vegetables from Algeria.  Tobacco</w:t></w:r>
</w:p>
<w:p>
<w:pPr><w:pStyle w:val="Normal"/></w:pPr>
<w:r><w:t xml:space="preserve">is widely grown on a small scale, but, except perhaps from</w:t></w:r>
</w:p>
<w:p>
<w:pPr><w:pStyle w:val="Normal"/></w:pPr>
<w:r><w:t xml:space="preserve">Algeria, has not become an important article of export,</w:t></w:r>
</w:p>
<w:p>
<w:pPr><w:pStyle w:val="Normal"/></w:pPr>
<w:r><w:t xml:space="preserve">though plantations have been established in various tropical</w:t></w:r>
</w:p>
<w:p>
<w:pPr><w:pStyle w:val="Normal"/></w:pPr>
<w:r><w:t xml:space="preserve">colonies.  The cultivation of cocoa has proved successful in</w:t></w:r>
</w:p>
<w:p>
<w:pPr><w:pStyle w:val="Normal"/></w:pPr>
<w:r><w:t xml:space="preserve">the Gold Coast, Cameroon and other colonies, and in various</w:t></w:r>
</w:p>
<w:p>
<w:pPr><w:pStyle w:val="Normal"/></w:pPr>
<w:r><w:t xml:space="preserve">districts the tea plant is cultivated.  Indigo, though not</w:t></w:r>
</w:p>
<w:p>
<w:pPr><w:pStyle w:val="Normal"/></w:pPr>
<w:r><w:t xml:space="preserve">originally an African product, has become naturalized and grows</w:t></w:r>
</w:p>
<w:p>
<w:pPr><w:pStyle w:val="Normal"/></w:pPr>
<w:r><w:t xml:space="preserve">wild in many parts, while it is also cultivated on a small</w:t></w:r>
</w:p>
<w:p>
<w:pPr><w:pStyle w:val="Normal"/></w:pPr>
<w:r><w:t xml:space="preserve">scale.  The main difficulty in the way of tropical cultivation</w:t></w:r>
</w:p>
<w:p>
<w:pPr><w:pStyle w:val="Normal"/></w:pPr>
<w:r><w:t xml:space="preserve">is the labour question, which has already been referred to.</w:t></w:r>
</w:p>
<w:p>
<w:pPr><w:pStyle w:val="Normal"/></w:pPr>
<w:r><w:t xml:space="preserve">Of animal products one of the most important is ivory, the</w:t></w:r>
</w:p>
<w:p>
<w:pPr><w:pStyle w:val="Normal"/></w:pPr>
<w:r><w:t xml:space="preserve">largest export of which is from the Congo Free State.  The</w:t></w:r>
</w:p>
<w:p>
<w:pPr><w:pStyle w:val="Normal"/></w:pPr>
<w:r><w:t xml:space="preserve">diminution in the number of elephants with the opening up</w:t></w:r>
</w:p>
<w:p>
<w:pPr><w:pStyle w:val="Normal"/></w:pPr>
<w:r><w:t xml:space="preserve">of the remoter districts must in time cause a falling-off</w:t></w:r>
</w:p>
<w:p>
<w:pPr><w:pStyle w:val="Normal"/></w:pPr>
<w:r><w:t xml:space="preserve">in this export.  Beeswax is obtained from various parts</w:t></w:r>
</w:p>
<w:p>
<w:pPr><w:pStyle w:val="Normal"/></w:pPr>
<w:r><w:t xml:space="preserve">of the interior of West Africa, and from Madagascar.  Raw</w:t></w:r>
</w:p>
<w:p>
<w:pPr><w:pStyle w:val="Normal"/></w:pPr>
<w:r><w:t xml:space="preserve">hides are exported in large quantities from South Africa,</w:t></w:r>
</w:p>
<w:p>
<w:pPr><w:pStyle w:val="Normal"/></w:pPr>
<w:r><w:t xml:space="preserve">as are also the wool and hair of the merino sheep and Angora</w:t></w:r>
</w:p>
<w:p>
<w:pPr><w:pStyle w:val="Normal"/></w:pPr>
<w:r><w:t xml:space="preserve">goat.  Both hides and wool are also exported from Algeria and</w:t></w:r>
</w:p>
<w:p>
<w:pPr><w:pStyle w:val="Normal"/></w:pPr>
<w:r><w:t xml:space="preserve">Morocco, and hides from Abyssinia and Somaliland.  Ostrich</w:t></w:r>
</w:p>
<w:p>
<w:pPr><w:pStyle w:val="Normal"/></w:pPr>
<w:r><w:t xml:space="preserve">feathers are produced chiefly by the ostrich farms of Cape</w:t></w:r>
</w:p>
<w:p>
<w:pPr><w:pStyle w:val="Normal"/></w:pPr>
<w:r><w:t xml:space="preserve">Colony, but some are also obtained from the steppes to</w:t></w:r>
</w:p>
<w:p>
<w:pPr><w:pStyle w:val="Normal"/></w:pPr>
<w:r><w:t xml:space="preserve">the north of the Central Sudan.  Live stock, principally</w:t></w:r>
</w:p>
<w:p>
<w:pPr><w:pStyle w:val="Normal"/></w:pPr>
<w:r><w:t xml:space="preserve">sheep, is exported from Algeria and cattle from Morocco.</w:t></w:r>
</w:p>
<w:p>
<w:pPr><w:pStyle w:val="Normal"/></w:pPr>
<w:r><w:t xml:space="preserve">The exploited minerals of Africa are confined to a few districts,</w:t></w:r>
</w:p>
<w:p>
<w:pPr><w:pStyle w:val="Normal"/></w:pPr>
<w:r><w:t xml:space="preserve">the resources of the continent in this respect being largely</w:t></w:r>
</w:p>
<w:p>
<w:pPr><w:pStyle w:val="Normal"/></w:pPr>
<w:r><w:t xml:space="preserve">Mineral Wealth.</w:t></w:r>
</w:p>
<w:p>
<w:pPr><w:pStyle w:val="Normal"/></w:pPr>
<w:r><w:t xml:space="preserve">undeveloped.  Since the discovery of gold in the Transvaal,</w:t></w:r>
</w:p>
<w:p>
<w:pPr><w:pStyle w:val="Normal"/></w:pPr>
<w:r><w:t xml:space="preserve">particularly in the district known as the Rand (1885), the</w:t></w:r>
</w:p>
<w:p>
<w:pPr><w:pStyle w:val="Normal"/></w:pPr>
<w:r><w:t xml:space="preserve">output has grown enormously, so that in 1898 the output of gold</w:t></w:r>
</w:p>
<w:p>
<w:pPr><w:pStyle w:val="Normal"/></w:pPr>
<w:r><w:t xml:space="preserve">from South Africa was greater than from any other gold-field</w:t></w:r>
</w:p>
<w:p>
<w:pPr><w:pStyle w:val="Normal"/></w:pPr>
<w:r><w:t xml:space="preserve">in the world.  The Anglo-Boer War of 1899-1902 lost the Rand</w:t></w:r>
</w:p>
<w:p>
<w:pPr><w:pStyle w:val="Normal"/></w:pPr>
<w:r><w:t xml:space="preserve">the leading position, but by 1905 the output--in that year</w:t></w:r>
</w:p>
<w:p>
<w:pPr><w:pStyle w:val="Normal"/></w:pPr>
<w:r><w:t xml:space="preserve">over L. 20,800,000--was greater than it had ever been.  The</w:t></w:r>
</w:p>
<w:p>
<w:pPr><w:pStyle w:val="Normal"/></w:pPr>
<w:r><w:t xml:space="preserve">supply of gold from South Africa is roughly 25% of the world&apos;s</w:t></w:r>
</w:p>
<w:p>
<w:pPr><w:pStyle w:val="Normal"/></w:pPr>
<w:r><w:t xml:space="preserve">output.  The gold-yielding formations extend northwards through</w:t></w:r>
</w:p>
<w:p>
<w:pPr><w:pStyle w:val="Normal"/></w:pPr>
<w:r><w:t xml:space="preserve">Rhodesia.  The Gold Coast is so named from the quantity</w:t></w:r>
</w:p>
<w:p>
<w:pPr><w:pStyle w:val="Normal"/></w:pPr>
<w:r><w:t xml:space="preserve">of gold obtained there, and since the close of the 19th</w:t></w:r>
</w:p>
<w:p>
<w:pPr><w:pStyle w:val="Normal"/></w:pPr>
<w:r><w:t xml:space="preserve">century the industry has developed largely in the hands of</w:t></w:r>
</w:p>
<w:p>
<w:pPr><w:pStyle w:val="Normal"/></w:pPr>
<w:r><w:t xml:space="preserve">Europeans.  In the Galla countries gold has long been an</w:t></w:r>
</w:p>
<w:p>
<w:pPr><w:pStyle w:val="Normal"/></w:pPr>
<w:r><w:t xml:space="preserve">article of native commerce.  It is also found in various parts</w:t></w:r>
</w:p>
<w:p>
<w:pPr><w:pStyle w:val="Normal"/></w:pPr>
<w:r><w:t xml:space="preserve">of the Anglo-Egyptian Sudan and along the western shore of the</w:t></w:r>
</w:p>
<w:p>
<w:pPr><w:pStyle w:val="Normal"/></w:pPr>
<w:r><w:t xml:space="preserve">Red Sea. Diamonds are found in large quantities in a series</w:t></w:r>
</w:p>
<w:p>
<w:pPr><w:pStyle w:val="Normal"/></w:pPr>
<w:r><w:t xml:space="preserve">of beds known as the Kimberley shales, the principal mines</w:t></w:r>
</w:p>
<w:p>
<w:pPr><w:pStyle w:val="Normal"/></w:pPr>
<w:r><w:t xml:space="preserve">being at Kimberley, Cape Colony.  Diamonds are also found in</w:t></w:r>
</w:p>
<w:p>
<w:pPr><w:pStyle w:val="Normal"/></w:pPr>
<w:r><w:t xml:space="preserve">Orange River Colony, while one of the richest diamond mines</w:t></w:r>
</w:p>
<w:p>
<w:pPr><w:pStyle w:val="Normal"/></w:pPr>
<w:r><w:t xml:space="preserve">in the world--the Premier--is situated in the Transvaal near</w:t></w:r>
</w:p>
<w:p>
<w:pPr><w:pStyle w:val="Normal"/></w:pPr>
<w:r><w:t xml:space="preserve">Pretoria.  Some 80% of the world&apos;s production of diamonds</w:t></w:r>
</w:p>
<w:p>
<w:pPr><w:pStyle w:val="Normal"/></w:pPr>
<w:r><w:t xml:space="preserve">comes from South Africa.  Copper is found in the west of Cape</w:t></w:r>
</w:p>
<w:p>
<w:pPr><w:pStyle w:val="Normal"/></w:pPr>
<w:r><w:t xml:space="preserve">Colony, in German South-West Africa, and in the Katanga country</w:t></w:r>
</w:p>
<w:p>
<w:pPr><w:pStyle w:val="Normal"/></w:pPr>
<w:r><w:t xml:space="preserve">in the southern Congo basin, where vast beds of copper ore</w:t></w:r>
</w:p>
<w:p>
<w:pPr><w:pStyle w:val="Normal"/></w:pPr>
<w:r><w:t xml:space="preserve">exist.  There are also extensive deposits of copper in the</w:t></w:r>
</w:p>
<w:p>
<w:pPr><w:pStyle w:val="Normal"/></w:pPr>
<w:r><w:t xml:space="preserve">Broken Hill district of Northern Rhodesia.  It also occurs in</w:t></w:r>
</w:p>
<w:p>
<w:pPr><w:pStyle w:val="Normal"/></w:pPr>
<w:r><w:t xml:space="preserve">Morocco, Algeria, the Bahr-el-Ghazal, &amp;c. Rich tin deposits</w:t></w:r>
</w:p>
<w:p>
<w:pPr><w:pStyle w:val="Normal"/></w:pPr>
<w:r><w:t xml:space="preserve">have been found in the southern Congo basin and in Northern</w:t></w:r>
</w:p>
<w:p>
<w:pPr><w:pStyle w:val="Normal"/></w:pPr>
<w:r><w:t xml:space="preserve">Rhodesia.  Iron is found in Morocco, Algeria (whence there</w:t></w:r>
</w:p>
<w:p>
<w:pPr><w:pStyle w:val="Normal"/></w:pPr>
<w:r><w:t xml:space="preserve">is an export trade), and is widely diffused, and worked by</w:t></w:r>
</w:p>
<w:p>
<w:pPr><w:pStyle w:val="Normal"/></w:pPr>
<w:r><w:t xml:space="preserve">the natives, in the tropical zone.  But the deposits are</w:t></w:r>
</w:p>
<w:p>
<w:pPr><w:pStyle w:val="Normal"/></w:pPr>
<w:r><w:t xml:space="preserve">generally not rich.  Coal is worked, principally for home</w:t></w:r>
</w:p>
<w:p>
<w:pPr><w:pStyle w:val="Normal"/></w:pPr>
<w:r><w:t xml:space="preserve">consumption, in Cape Colony, Natal, the Transvaal, Orange</w:t></w:r>
</w:p>
<w:p>
<w:pPr><w:pStyle w:val="Normal"/></w:pPr>
<w:r><w:t xml:space="preserve">River Colony, and in Rhodesia in the neighbourhood of the</w:t></w:r>
</w:p>
<w:p>
<w:pPr><w:pStyle w:val="Normal"/></w:pPr>
<w:r><w:t xml:space="preserve">Zambezi.  Coal deposits also exist in the German territory</w:t></w:r>
</w:p>
<w:p>
<w:pPr><w:pStyle w:val="Normal"/></w:pPr>
<w:r><w:t xml:space="preserve">north of Lake Nyasa.  Phosphates are exported from Algeria and</w:t></w:r>
</w:p>
<w:p>
<w:pPr><w:pStyle w:val="Normal"/></w:pPr>
<w:r><w:t xml:space="preserve">Tunisia.  Of other minerals which occur, but are little</w:t></w:r>
</w:p>
<w:p>
<w:pPr><w:pStyle w:val="Normal"/></w:pPr>
<w:r><w:t xml:space="preserve">worked, zinc, lead and antimony are found in Algeria, lead</w:t></w:r>
</w:p>
<w:p>
<w:pPr><w:pStyle w:val="Normal"/></w:pPr>
<w:r><w:t xml:space="preserve">and manganese in Cape Colony, plumbago in Sierra Leone.</w:t></w:r>
</w:p>
<w:p>
<w:pPr><w:pStyle w:val="Normal"/></w:pPr>
<w:r><w:t xml:space="preserve">The imports from foreign countries into Africa consist chiefly</w:t></w:r>
</w:p>
<w:p>
<w:pPr><w:pStyle w:val="Normal"/></w:pPr>
<w:r><w:t xml:space="preserve">of manufactured goods, varying in character according to the</w:t></w:r>
</w:p>
<w:p>
<w:pPr><w:pStyle w:val="Normal"/></w:pPr>
<w:r><w:t xml:space="preserve">development of the different countries in civilization.  In</w:t></w:r>
</w:p>
<w:p>
<w:pPr><w:pStyle w:val="Normal"/></w:pPr>
<w:r><w:t xml:space="preserve">Egypt, Algeria and South Africa they include most of the</w:t></w:r>
</w:p>
<w:p>
<w:pPr><w:pStyle w:val="Normal"/></w:pPr>
<w:r><w:t xml:space="preserve">necessaries and luxuries of civilized life, manufactured</w:t></w:r>
</w:p>
<w:p>
<w:pPr><w:pStyle w:val="Normal"/></w:pPr>
<w:r><w:t xml:space="preserve">cotton and woollen goods, especially the former, taking the</w:t></w:r>
</w:p>
<w:p>
<w:pPr><w:pStyle w:val="Normal"/></w:pPr>
<w:r><w:t xml:space="preserve">first place, but various food stuffs, metal goods, coal and</w:t></w:r>
</w:p>
<w:p>
<w:pPr><w:pStyle w:val="Normal"/></w:pPr>
<w:r><w:t xml:space="preserve">miscellaneous articles being also included.  In tropical</w:t></w:r>
</w:p>
<w:p>
<w:pPr><w:pStyle w:val="Normal"/></w:pPr>
<w:r><w:t xml:space="preserve">Africa, and generally where few Europeans have settled,</w:t></w:r>
</w:p>
<w:p>
<w:pPr><w:pStyle w:val="Normal"/></w:pPr>
<w:r><w:t xml:space="preserve">the great bulk of the imports consists as a rule of cotton</w:t></w:r>
</w:p>
<w:p>
<w:pPr><w:pStyle w:val="Normal"/></w:pPr>
<w:r><w:t xml:space="preserve">goods, articles for which there is a constant native demand.</w:t></w:r>
</w:p>
<w:p>
<w:pPr><w:pStyle w:val="Normal"/></w:pPr>
<w:r><w:t xml:space="preserve">No continent has in the past been so lacking in means of</w:t></w:r>
</w:p>
<w:p>
<w:pPr><w:pStyle w:val="Normal"/></w:pPr>
<w:r><w:t xml:space="preserve">communication as Africa, and it was only in the last decade</w:t></w:r>
</w:p>
<w:p>
<w:pPr><w:pStyle w:val="Normal"/></w:pPr>
<w:r><w:t xml:space="preserve">Development of means of communication.</w:t></w:r>
</w:p>
<w:p>
<w:pPr><w:pStyle w:val="Normal"/></w:pPr>
<w:r><w:t xml:space="preserve">of the 19th century that decided steps were taken to remedy these</w:t></w:r>
</w:p>
<w:p>
<w:pPr><w:pStyle w:val="Normal"/></w:pPr>
<w:r><w:t xml:space="preserve">defects.  The African rivers, with the exception of the middle</w:t></w:r>
</w:p>
<w:p>
<w:pPr><w:pStyle w:val="Normal"/></w:pPr>
<w:r><w:t xml:space="preserve">Congo and its affluents, and the middle course of the three</w:t></w:r>
</w:p>
<w:p>
<w:pPr><w:pStyle w:val="Normal"/></w:pPr>
<w:r><w:t xml:space="preserve">other chief rivers, are generally unfavourable to navigation,</w:t></w:r>
</w:p>
<w:p>
<w:pPr><w:pStyle w:val="Normal"/></w:pPr>
<w:r><w:t xml:space="preserve">and throughout the tropical region almost the sole routes have</w:t></w:r>
</w:p>
<w:p>
<w:pPr><w:pStyle w:val="Normal"/></w:pPr>
<w:r><w:t xml:space="preserve">been native footpaths, admitting the passage of a single file</w:t></w:r>
</w:p>
<w:p>
<w:pPr><w:pStyle w:val="Normal"/></w:pPr>
<w:r><w:t xml:space="preserve">of porters, on whose heads all goods have been carried from</w:t></w:r>
</w:p>
<w:p>
<w:pPr><w:pStyle w:val="Normal"/></w:pPr>
<w:r><w:t xml:space="preserve">place to place.  Certain of these native trade routes are,</w:t></w:r>
</w:p>
<w:p>
<w:pPr><w:pStyle w:val="Normal"/></w:pPr>
<w:r><w:t xml:space="preserve">however, much frequented, and lead for hundreds of miles from</w:t></w:r>
</w:p>
<w:p>
<w:pPr><w:pStyle w:val="Normal"/></w:pPr>
<w:r><w:t xml:space="preserve">the coast to the interior.  In the desert regions of the north</w:t></w:r>
</w:p>
<w:p>
<w:pPr><w:pStyle w:val="Normal"/></w:pPr>
<w:r><w:t xml:space="preserve">transport is by caravans of camels, and in the south ox-wagons,</w:t></w:r>
</w:p>
<w:p>
<w:pPr><w:pStyle w:val="Normal"/></w:pPr>
<w:r><w:t xml:space="preserve">before the advent of railways, supplied the general means of</w:t></w:r>
</w:p>
<w:p>
<w:pPr><w:pStyle w:val="Normal"/></w:pPr>
<w:r><w:t xml:space="preserve">locomotion.  The native trade routes led generally from the</w:t></w:r>
</w:p>
<w:p>
<w:pPr><w:pStyle w:val="Normal"/></w:pPr>
<w:r><w:t xml:space="preserve">centres of greatest population or production to the seaports</w:t></w:r>
</w:p>
<w:p>
<w:pPr><w:pStyle w:val="Normal"/></w:pPr>
<w:r><w:t xml:space="preserve">by the nearest route, but to this rule there was a striking</w:t></w:r>
</w:p>
<w:p>
<w:pPr><w:pStyle w:val="Normal"/></w:pPr>
<w:r><w:t xml:space="preserve">exception.  The dense forests of Upper Guinea and the upper</w:t></w:r>
</w:p>
<w:p>
<w:pPr><w:pStyle w:val="Normal"/></w:pPr>
<w:r><w:t xml:space="preserve">Congo proved a barrier which kept the peoples of the Sudan</w:t></w:r>
</w:p>
<w:p>
<w:pPr><w:pStyle w:val="Normal"/></w:pPr>
<w:r><w:t xml:space="preserve">from direct access to the sea, and from Timbuktu to Darfur</w:t></w:r>
</w:p>
<w:p>
<w:pPr><w:pStyle w:val="Normal"/></w:pPr>
<w:r><w:t xml:space="preserve">the great trade routes were either west to east or south</w:t></w:r>
</w:p>
<w:p>
<w:pPr><w:pStyle w:val="Normal"/></w:pPr>
<w:r><w:t xml:space="preserve">to north across the Sahara.  The principal caravan routes</w:t></w:r>
</w:p>
<w:p>
<w:pPr><w:pStyle w:val="Normal"/></w:pPr>
<w:r><w:t xml:space="preserve">across the desert lead from different points in Morocco and</w:t></w:r>
</w:p>
<w:p>
<w:pPr><w:pStyle w:val="Normal"/></w:pPr>
<w:r><w:t xml:space="preserve">Algeria to Timbuktu; from Tripoli to Timbuktu, Kano and other</w:t></w:r>
</w:p>
<w:p>
<w:pPr><w:pStyle w:val="Normal"/></w:pPr>
<w:r><w:t xml:space="preserve">great marts of the western and central Sudan; from Bengazi</w:t></w:r>
</w:p>
<w:p>
<w:pPr><w:pStyle w:val="Normal"/></w:pPr>
<w:r><w:t xml:space="preserve">to Wadai; and from Assiut on the Nile through the Great Oasis</w:t></w:r>
</w:p>
<w:p>
<w:pPr><w:pStyle w:val="Normal"/></w:pPr>
<w:r><w:t xml:space="preserve">and the Libyan desert to Darfur.  South of the equator the</w:t></w:r>
</w:p>
<w:p>
<w:pPr><w:pStyle w:val="Normal"/></w:pPr>
<w:r><w:t xml:space="preserve">principal long-established routes are those from Loanda to the</w:t></w:r>
</w:p>
<w:p>
<w:pPr><w:pStyle w:val="Normal"/></w:pPr>
<w:r><w:t xml:space="preserve">Lunda and Baluba countries; from Benguella via Bihe to Urua</w:t></w:r>
</w:p>
<w:p>
<w:pPr><w:pStyle w:val="Normal"/></w:pPr>
<w:r><w:t xml:space="preserve">and the upper Zambezi; from Mossamedes across the Kunene to</w:t></w:r>
</w:p>
<w:p>
<w:pPr><w:pStyle w:val="Normal"/></w:pPr>
<w:r><w:t xml:space="preserve">the upper Zambezi; and from Bagamoyo, opposite Zanzibar, to</w:t></w:r>
</w:p>
<w:p>
<w:pPr><w:pStyle w:val="Normal"/></w:pPr>
<w:r><w:t xml:space="preserve">Tanganyika.  Many of the native routes have been superseded</w:t></w:r>
</w:p>
<w:p>
<w:pPr><w:pStyle w:val="Normal"/></w:pPr>
<w:r><w:t xml:space="preserve">by the improved communications introduced by Europeans in the</w:t></w:r>
</w:p>
<w:p>
<w:pPr><w:pStyle w:val="Normal"/></w:pPr>
<w:r><w:t xml:space="preserve">utilization of waterways and the construction of roads and</w:t></w:r>
</w:p>
<w:p>
<w:pPr><w:pStyle w:val="Normal"/></w:pPr>
<w:r><w:t xml:space="preserve">railways.  Steamers have been conveyed overland in sections and</w:t></w:r>
</w:p>
<w:p>
<w:pPr><w:pStyle w:val="Normal"/></w:pPr>
<w:r><w:t xml:space="preserve">launched on the interior waterways above the obstructions to</w:t></w:r>
</w:p>
<w:p>
<w:pPr><w:pStyle w:val="Normal"/></w:pPr>
<w:r><w:t xml:space="preserve">navigation.  On the upper Nile and Albert Nyanza their</w:t></w:r>
</w:p>
<w:p>
<w:pPr><w:pStyle w:val="Normal"/></w:pPr>
<w:r><w:t xml:space="preserve">introduction was due to Sir S. Baker and General C. G. Gordon</w:t></w:r>
</w:p>
<w:p>
<w:pPr><w:pStyle w:val="Normal"/></w:pPr>
<w:r><w:t xml:space="preserve">(1871-1876); on the middle Congo and its affluents to Sir H.</w:t></w:r>
</w:p>
<w:p>
<w:pPr><w:pStyle w:val="Normal"/></w:pPr>
<w:r><w:t xml:space="preserve">M. Stanley and the officials of the Congo Free State, as well</w:t></w:r>
</w:p>
<w:p>
<w:pPr><w:pStyle w:val="Normal"/></w:pPr>
<w:r><w:t xml:space="preserve">as to the Baptist missionaries on the river; and on Lake Nyasa</w:t></w:r>
</w:p>
<w:p>
<w:pPr><w:pStyle w:val="Normal"/></w:pPr>
<w:r><w:t xml:space="preserve">to the supporters of the Scottish mission.  A small vessel</w:t></w:r>
</w:p>
<w:p>
<w:pPr><w:pStyle w:val="Normal"/></w:pPr>
<w:r><w:t xml:space="preserve">was launched on Victoria Nyanza 1896 by a British mercantile</w:t></w:r>
</w:p>
<w:p>
<w:pPr><w:pStyle w:val="Normal"/></w:pPr>
<w:r><w:t xml:space="preserve">firm, and a British government steamer made its first trip</w:t></w:r>
</w:p>
<w:p>
<w:pPr><w:pStyle w:val="Normal"/></w:pPr>
<w:r><w:t xml:space="preserve">in November 1900.  On the other great lakes and on most of</w:t></w:r>
</w:p>
<w:p>
<w:pPr><w:pStyle w:val="Normal"/></w:pPr>
<w:r><w:t xml:space="preserve">the navigable rivers steamers were plying regularly before</w:t></w:r>
</w:p>
<w:p>
<w:pPr><w:pStyle w:val="Normal"/></w:pPr>
<w:r><w:t xml:space="preserve">the close of the 19th century.  However, the shallowness of</w:t></w:r>
</w:p>
<w:p>
<w:pPr><w:pStyle w:val="Normal"/></w:pPr>
<w:r><w:t xml:space="preserve">the water in the Niger and Zambezi renders their navigation</w:t></w:r>
</w:p>
<w:p>
<w:pPr><w:pStyle w:val="Normal"/></w:pPr>
<w:r><w:t xml:space="preserve">possible only to light-draught steamers.  Roads suitable for</w:t></w:r>
</w:p>
<w:p>
<w:pPr><w:pStyle w:val="Normal"/></w:pPr>
<w:r><w:t xml:space="preserve">wheeled traffic are few.  The first attempt at road-making</w:t></w:r>
</w:p>
<w:p>
<w:pPr><w:pStyle w:val="Normal"/></w:pPr>
<w:r><w:t xml:space="preserve">in Central Africa on a large scale was that of Sir T. Fowell</w:t></w:r>
</w:p>
<w:p>
<w:pPr><w:pStyle w:val="Normal"/></w:pPr>
<w:r><w:t xml:space="preserve">Buxton and Mr (afterwards Sir W.) Mackinnon, who completed</w:t></w:r>
</w:p>
<w:p>
<w:pPr><w:pStyle w:val="Normal"/></w:pPr>
<w:r><w:t xml:space="preserve">the first section of a track leading into the interior from</w:t></w:r>
</w:p>
<w:p>
<w:pPr><w:pStyle w:val="Normal"/></w:pPr>
<w:r><w:t xml:space="preserve">Dar-es-Salaam (1879).  A still more important undertaking</w:t></w:r>
</w:p>
<w:p>
<w:pPr><w:pStyle w:val="Normal"/></w:pPr>
<w:r><w:t xml:space="preserve">was the ``Stevenson road,&apos;&apos; begun in 1881 from the head of</w:t></w:r>
</w:p>
<w:p>
<w:pPr><w:pStyle w:val="Normal"/></w:pPr>
<w:r><w:t xml:space="preserve">Lake Nyasa to the south end of Tanganyika, and constructed</w:t></w:r>
</w:p>
<w:p>
<w:pPr><w:pStyle w:val="Normal"/></w:pPr>
<w:r><w:t xml:space="preserve">mainly at the expense of Mr James Stevenson, a director of the</w:t></w:r>
</w:p>
<w:p>
<w:pPr><w:pStyle w:val="Normal"/></w:pPr>
<w:r><w:t xml:space="preserve">African Lakes Company--a company which helped materially in</w:t></w:r>
</w:p>
<w:p>
<w:pPr><w:pStyle w:val="Normal"/></w:pPr>
<w:r><w:t xml:space="preserve">the opening up of Nyasaland.  The Stevenson road forms a link</w:t></w:r>
</w:p>
<w:p>
<w:pPr><w:pStyle w:val="Normal"/></w:pPr>
<w:r><w:t xml:space="preserve">in the ``Lakes route&apos;&apos; into the heart of the continent.  In</w:t></w:r>
</w:p>
<w:p>
<w:pPr><w:pStyle w:val="Normal"/></w:pPr>
<w:r><w:t xml:space="preserve">British East Africa a road connecting Mombasa with Victoria</w:t></w:r>
</w:p>
<w:p>
<w:pPr><w:pStyle w:val="Normal"/></w:pPr>
<w:r><w:t xml:space="preserve">Nyanza was completed in 1897, but has since been in great</w:t></w:r>
</w:p>
<w:p>
<w:pPr><w:pStyle w:val="Normal"/></w:pPr>
<w:r><w:t xml:space="preserve">measure superseded by the railway.  Good roads have also been</w:t></w:r>
</w:p>
<w:p>
<w:pPr><w:pStyle w:val="Normal"/></w:pPr>
<w:r><w:t xml:space="preserve">made in German East Africa and Cameroon and in Madagascar.</w:t></w:r>
</w:p>
<w:p>
<w:pPr><w:pStyle w:val="Normal"/></w:pPr>
<w:r><w:t xml:space="preserve">Railways, the chief means of affording easy access to the</w:t></w:r>
</w:p>
<w:p>
<w:pPr><w:pStyle w:val="Normal"/></w:pPr>
<w:r><w:t xml:space="preserve">interior of the continent, were for many years after their</w:t></w:r>
</w:p>
<w:p>
<w:pPr><w:pStyle w:val="Normal"/></w:pPr>
<w:r><w:t xml:space="preserve">first introduction to Africa almost entirely confined to</w:t></w:r>
</w:p>
<w:p>
<w:pPr><w:pStyle w:val="Normal"/></w:pPr>
<w:r><w:t xml:space="preserve">the extreme north and south (Egypt, Algeria, Cape Colony and</w:t></w:r>
</w:p>
<w:p>
<w:pPr><w:pStyle w:val="Normal"/></w:pPr>
<w:r><w:t xml:space="preserve">Natal).  Apart from short lines in Senegal, Angola and at</w:t></w:r>
</w:p>
<w:p>
<w:pPr><w:pStyle w:val="Normal"/></w:pPr>
<w:r><w:t xml:space="preserve">Lourenco Marques, the rest of the continent was in 1890</w:t></w:r>
</w:p>
<w:p>
<w:pPr><w:pStyle w:val="Normal"/></w:pPr>
<w:r><w:t xml:space="preserve">without a railway system.  In Egypt the Alexandria and</w:t></w:r>
</w:p>
<w:p>
<w:pPr><w:pStyle w:val="Normal"/></w:pPr>
<w:r><w:t xml:space="preserve">Cairo railway dates from 1855, while in 1877 the lines open</w:t></w:r>
</w:p>
<w:p>
<w:pPr><w:pStyle w:val="Normal"/></w:pPr>
<w:r><w:t xml:space="preserve">reached about 1100 miles, and in 1890, in addition to the</w:t></w:r>
</w:p>
<w:p>
<w:pPr><w:pStyle w:val="Normal"/></w:pPr>
<w:r><w:t xml:space="preserve">lines traversing the delta, the Nile had been ascended to</w:t></w:r>
</w:p>
<w:p>
<w:pPr><w:pStyle w:val="Normal"/></w:pPr>
<w:r><w:t xml:space="preserve">Assiut.  In Algeria the construction of an inter-provincial</w:t></w:r>
</w:p>
<w:p>
<w:pPr><w:pStyle w:val="Normal"/></w:pPr>
<w:r><w:t xml:space="preserve">railway was decreed in 1857, but was still incomplete twenty</w:t></w:r>
</w:p>
<w:p>
<w:pPr><w:pStyle w:val="Normal"/></w:pPr>
<w:r><w:t xml:space="preserve">years later, when the total length of the lines open hardly</w:t></w:r>
</w:p>
<w:p>
<w:pPr><w:pStyle w:val="Normal"/></w:pPr>
<w:r><w:t xml:space="preserve">exceeded 300 miles.  Before 1890 an extension to Tunis had</w:t></w:r>
</w:p>
<w:p>
<w:pPr><w:pStyle w:val="Normal"/></w:pPr>
<w:r><w:t xml:space="preserve">been opened, while the plateau had been crossed by the lines</w:t></w:r>
</w:p>
<w:p>
<w:pPr><w:pStyle w:val="Normal"/></w:pPr>
<w:r><w:t xml:space="preserve">to Ain Sefra in the west and Biskra in the east.  In Senegal</w:t></w:r>
</w:p>
<w:p>
<w:pPr><w:pStyle w:val="Normal"/></w:pPr>
<w:r><w:t xml:space="preserve">the railway from Dakar to St Louis had been commenced and</w:t></w:r>
</w:p>
<w:p>
<w:pPr><w:pStyle w:val="Normal"/></w:pPr>
<w:r><w:t xml:space="preserve">completed during the &apos;eighties, while the first section of the</w:t></w:r>
</w:p>
<w:p>
<w:pPr><w:pStyle w:val="Normal"/></w:pPr>
<w:r><w:t xml:space="preserve">Senegal-Niger railway, that from Kayes to Bafulabe, was also</w:t></w:r>
</w:p>
<w:p>
<w:pPr><w:pStyle w:val="Normal"/></w:pPr>
<w:r><w:t xml:space="preserve">constructed during the same decade.  In Cape Colony, where</w:t></w:r>
</w:p>
<w:p>
<w:pPr><w:pStyle w:val="Normal"/></w:pPr>
<w:r><w:t xml:space="preserve">in about 1880 the railways were limited to the neighbourhood</w:t></w:r>
</w:p>
<w:p>
<w:pPr><w:pStyle w:val="Normal"/></w:pPr>
<w:r><w:t xml:space="preserve">of Cape Town, Port Elizabeth and East London, the next</w:t></w:r>
</w:p>
<w:p>
<w:pPr><w:pStyle w:val="Normal"/></w:pPr>
<w:r><w:t xml:space="preserve">decade saw the completion of the trunk-line from Cape Town</w:t></w:r>
</w:p>
<w:p>
<w:pPr><w:pStyle w:val="Normal"/></w:pPr>
<w:r><w:t xml:space="preserve">to Kimberley, with a junction at De Aar with that from Port</w:t></w:r>
</w:p>
<w:p>
<w:pPr><w:pStyle w:val="Normal"/></w:pPr>
<w:r><w:t xml:space="preserve">Elizabeth.  The northern frontier had, however, nowhere been</w:t></w:r>
</w:p>
<w:p>
<w:pPr><w:pStyle w:val="Normal"/></w:pPr>
<w:r><w:t xml:space="preserve">crossed.  In Natal, also, the main line had not advanced beyond</w:t></w:r>
</w:p>
<w:p>
<w:pPr><w:pStyle w:val="Normal"/></w:pPr>
<w:r><w:t xml:space="preserve">Ladysmith.  The settlement, c. 1890, of the main lines of</w:t></w:r>
</w:p>
<w:p>
<w:pPr><w:pStyle w:val="Normal"/></w:pPr>
<w:r><w:t xml:space="preserve">the partition of the continent was followed by many projects</w:t></w:r>
</w:p>
<w:p>
<w:pPr><w:pStyle w:val="Normal"/></w:pPr>
<w:r><w:t xml:space="preserve">for the opening up of the possessions and spheres of influence</w:t></w:r>
</w:p>
<w:p>
<w:pPr><w:pStyle w:val="Normal"/></w:pPr>
<w:r><w:t xml:space="preserve">of the various powers by the building of railways; several of</w:t></w:r>
</w:p>
<w:p>
<w:pPr><w:pStyle w:val="Normal"/></w:pPr>
<w:r><w:t xml:space="preserve">these schemes being carried through in a comparatively short</w:t></w:r>
</w:p>
<w:p>
<w:pPr><w:pStyle w:val="Normal"/></w:pPr>
<w:r><w:t xml:space="preserve">time.  The building of railways was undertaken by the governments</w:t></w:r>
</w:p>
<w:p>
<w:pPr><w:pStyle w:val="Normal"/></w:pPr>
<w:r><w:t xml:space="preserve">concerned, nearly all the African lines being state-owned.  In</w:t></w:r>
</w:p>
<w:p>
<w:pPr><w:pStyle w:val="Normal"/></w:pPr>
<w:r><w:t xml:space="preserve">the Congo Free State a railway, which took some ten years to</w:t></w:r>
</w:p>
<w:p>
<w:pPr><w:pStyle w:val="Normal"/></w:pPr>
<w:r><w:t xml:space="preserve">build, connecting the navigable waters of the lower and middle</w:t></w:r>
</w:p>
<w:p>
<w:pPr><w:pStyle w:val="Normal"/></w:pPr>
<w:r><w:t xml:space="preserve">Congo, was completed in 1898, while in 1906 the middle and</w:t></w:r>
</w:p>
<w:p>
<w:pPr><w:pStyle w:val="Normal"/></w:pPr>
<w:r><w:t xml:space="preserve">upper courses of the river were linked by the opening of a</w:t></w:r>
</w:p>
<w:p>
<w:pPr><w:pStyle w:val="Normal"/></w:pPr>
<w:r><w:t xml:space="preserve">line past Stanley Falls.  Thus the vast basin of the Congo</w:t></w:r>
</w:p>
<w:p>
<w:pPr><w:pStyle w:val="Normal"/></w:pPr>
<w:r><w:t xml:space="preserve">was rendered easily accessible to commercial enterprise.  In</w:t></w:r>
</w:p>
<w:p>
<w:pPr><w:pStyle w:val="Normal"/></w:pPr>
<w:r><w:t xml:space="preserve">North Africa the Algerian and Tunisian railways were largely</w:t></w:r>
</w:p>
<w:p>
<w:pPr><w:pStyle w:val="Normal"/></w:pPr>
<w:r><w:t xml:space="preserve">extended, and proposals were made for a great trunk-line</w:t></w:r>
</w:p>
<w:p>
<w:pPr><w:pStyle w:val="Normal"/></w:pPr>
<w:r><w:t xml:space="preserve">from Tangier to Alexandria.  The railway from Ain Sefra was</w:t></w:r>
</w:p>
<w:p>
<w:pPr><w:pStyle w:val="Normal"/></w:pPr>
<w:r><w:t xml:space="preserve">continued southward towards Tuat, the project of a trans-Saharan</w:t></w:r>
</w:p>
<w:p>
<w:pPr><w:pStyle w:val="Normal"/></w:pPr>
<w:r><w:t xml:space="preserve">line having occupied the attention of French engineers since</w:t></w:r>
</w:p>
<w:p>
<w:pPr><w:pStyle w:val="Normal"/></w:pPr>
<w:r><w:t xml:space="preserve">1880.  In French West Africa railway communication between</w:t></w:r>
</w:p>
<w:p>
<w:pPr><w:pStyle w:val="Normal"/></w:pPr>
<w:r><w:t xml:space="preserve">the upper Senegal and the upper Niger was completed in 1904;</w:t></w:r>
</w:p>
<w:p>
<w:pPr><w:pStyle w:val="Normal"/></w:pPr>
<w:r><w:t xml:space="preserve">from the Guinea coast at Konakry another line runs north-east</w:t></w:r>
</w:p>
<w:p>
<w:pPr><w:pStyle w:val="Normal"/></w:pPr>
<w:r><w:t xml:space="preserve">to the upper Niger, while from Dahomey a third line goes to</w:t></w:r>
</w:p>
<w:p>
<w:pPr><w:pStyle w:val="Normal"/></w:pPr>
<w:r><w:t xml:space="preserve">the Niger at Garu.  In the British colonies on the same coast</w:t></w:r>
</w:p>
<w:p>
<w:pPr><w:pStyle w:val="Normal"/></w:pPr>
<w:r><w:t xml:space="preserve">the building of railways was begun in 1896.  A line to Kumasi</w:t></w:r>
</w:p>
<w:p>
<w:pPr><w:pStyle w:val="Normal"/></w:pPr>
<w:r><w:t xml:space="preserve">was completed in 1903, and the line from Lagos to the lower</w:t></w:r>
</w:p>
<w:p>
<w:pPr><w:pStyle w:val="Normal"/></w:pPr>
<w:r><w:t xml:space="preserve">Niger had reached Illorin in 1908.  Thence the railway was</w:t></w:r>
</w:p>
<w:p>
<w:pPr><w:pStyle w:val="Normal"/></w:pPr>
<w:r><w:t xml:space="preserve">continued to the Niger at Jebba.  From Baro, a port on the</w:t></w:r>
</w:p>
<w:p>
<w:pPr><w:pStyle w:val="Normal"/></w:pPr>
<w:r><w:t xml:space="preserve">lower Niger which can be reached by steamers all the year</w:t></w:r>
</w:p>
<w:p>
<w:pPr><w:pStyle w:val="Normal"/></w:pPr>
<w:r><w:t xml:space="preserve">round, another railway, begun in 1907, goes via Bida, Zungeru</w:t></w:r>
</w:p>
<w:p>
<w:pPr><w:pStyle w:val="Normal"/></w:pPr>
<w:r><w:t xml:space="preserve">and Zaria to Kano, a total distance of 400 miles.  A line from</w:t></w:r>
</w:p>
<w:p>
<w:pPr><w:pStyle w:val="Normal"/></w:pPr>
<w:r><w:t xml:space="preserve">Jebba to Zungeru affords connexion with the Lagos railway.</w:t></w:r>
</w:p>
<w:p>
<w:pPr><w:pStyle w:val="Normal"/></w:pPr>
<w:r><w:t xml:space="preserve">But the greatest development of the railway systems was in</w:t></w:r>
</w:p>
<w:p>
<w:pPr><w:pStyle w:val="Normal"/></w:pPr>
<w:r><w:t xml:space="preserve">the south and east of the continent.  In British East Africa</w:t></w:r>
</w:p>
<w:p>
<w:pPr><w:pStyle w:val="Normal"/></w:pPr>
<w:r><w:t xml:space="preserve">a survey for a railway from Mombasa to Victoria Nyanza was</w:t></w:r>
</w:p>
<w:p>
<w:pPr><w:pStyle w:val="Normal"/></w:pPr>
<w:r><w:t xml:space="preserve">made in 1892.  The first rails were laid in 1896 and the line</w:t></w:r>
</w:p>
<w:p>
<w:pPr><w:pStyle w:val="Normal"/></w:pPr>
<w:r><w:t xml:space="preserve">reached the lake in December 1901.  Meanwhile, there had been</w:t></w:r>
</w:p>
<w:p>
<w:pPr><w:pStyle w:val="Normal"/></w:pPr>
<w:r><w:t xml:space="preserve">a great extension of railways in South Africa.  Lines from</w:t></w:r>
</w:p>
<w:p>
<w:pPr><w:pStyle w:val="Normal"/></w:pPr>
<w:r><w:t xml:space="preserve">Cape Town, Port Elizabeth, East London, Durban and Delagoa</w:t></w:r>
</w:p>
<w:p>
<w:pPr><w:pStyle w:val="Normal"/></w:pPr>
<w:r><w:t xml:space="preserve">Bay all converged on the newly risen city of Johannesburg,</w:t></w:r>
</w:p>
<w:p>
<w:pPr><w:pStyle w:val="Normal"/></w:pPr>
<w:r><w:t xml:space="preserve">the centre of the Rand gold mines.  A more ambitious project</w:t></w:r>
</w:p>
<w:p>
<w:pPr><w:pStyle w:val="Normal"/></w:pPr>
<w:r><w:t xml:space="preserve">was that identified with the name of Cecil Rhodes, namely,</w:t></w:r>
</w:p>
<w:p>
<w:pPr><w:pStyle w:val="Normal"/></w:pPr>
<w:r><w:t xml:space="preserve">the extension northward of the railway from Kimberley with</w:t></w:r>
</w:p>
<w:p>
<w:pPr><w:pStyle w:val="Normal"/></w:pPr>
<w:r><w:t xml:space="preserve">the object of effecting a continuous railway connexion from</w:t></w:r>
</w:p>
<w:p>
<w:pPr><w:pStyle w:val="Normal"/></w:pPr>
<w:r><w:t xml:space="preserve">Cape Town to Cairo.  The line from Kimberley reached Bulawayo</w:t></w:r>
</w:p>
<w:p>
<w:pPr><w:pStyle w:val="Normal"/></w:pPr>
<w:r><w:t xml:space="preserve">in 1897. (Bulawayo is also reached from Beira on the east</w:t></w:r>
</w:p>
<w:p>
<w:pPr><w:pStyle w:val="Normal"/></w:pPr>
<w:r><w:t xml:space="preserve">coast by another line, completed in 1902, which goes through</w:t></w:r>
</w:p>
<w:p>
<w:pPr><w:pStyle w:val="Normal"/></w:pPr>
<w:r><w:t xml:space="preserve">Portuguese territory and Mashonaland.) The extension of the</w:t></w:r>
</w:p>
<w:p>
<w:pPr><w:pStyle w:val="Normal"/></w:pPr>
<w:r><w:t xml:space="preserve">line northward from Bulawayo was begun in 1899, the Zambezi</w:t></w:r>
</w:p>
<w:p>
<w:pPr><w:pStyle w:val="Normal"/></w:pPr>
<w:r><w:t xml:space="preserve">being bridged, immediately below the Victoria Falls, in</w:t></w:r>
</w:p>
<w:p>
<w:pPr><w:pStyle w:val="Normal"/></w:pPr>
<w:r><w:t xml:space="preserve">1905.  From this point the railway goes north to the Katanga</w:t></w:r>
</w:p>
<w:p>
<w:pPr><w:pStyle w:val="Normal"/></w:pPr>
<w:r><w:t xml:space="preserve">district of the Congo State.  In the north of the continent</w:t></w:r>
</w:p>
<w:p>
<w:pPr><w:pStyle w:val="Normal"/></w:pPr>
<w:r><w:t xml:space="preserve">a step towards the completion of the Cape to Cairo route was</w:t></w:r>
</w:p>
<w:p>
<w:pPr><w:pStyle w:val="Normal"/></w:pPr>
<w:r><w:t xml:space="preserve">taken in the opening in 1899 of the railway from Wadi Haifa to</w:t></w:r>
</w:p>
<w:p>
<w:pPr><w:pStyle w:val="Normal"/></w:pPr>
<w:r><w:t xml:space="preserve">Khartum.  A line of greater economic importance than the last</w:t></w:r>
</w:p>
<w:p>
<w:pPr><w:pStyle w:val="Normal"/></w:pPr>
<w:r><w:t xml:space="preserve">named is the railway (completed in 1905) from Port Sudan on the</w:t></w:r>
</w:p>
<w:p>
<w:pPr><w:pStyle w:val="Normal"/></w:pPr>
<w:r><w:t xml:space="preserve">Red Sea to the Nile a little south of Berber, thus placing the</w:t></w:r>
</w:p>
<w:p>
<w:pPr><w:pStyle w:val="Normal"/></w:pPr>
<w:r><w:t xml:space="preserve">Anglo-Egyptian Sudan within easy reach of the markets of the</w:t></w:r>
</w:p>
<w:p>
<w:pPr><w:pStyle w:val="Normal"/></w:pPr>
<w:r><w:t xml:space="preserve">world.  A west to east connexion across the continent by rail</w:t></w:r>
</w:p>
<w:p>
<w:pPr><w:pStyle w:val="Normal"/></w:pPr>
<w:r><w:t xml:space="preserve">and steamer, from the mouth of the Congo to Port Sudan, was</w:t></w:r>
</w:p>
<w:p>
<w:pPr><w:pStyle w:val="Normal"/></w:pPr>
<w:r><w:t xml:space="preserve">arranged in 1906 when an agreement was entered into by the Congo</w:t></w:r>
</w:p>
<w:p>
<w:pPr><w:pStyle w:val="Normal"/></w:pPr>
<w:r><w:t xml:space="preserve">and Sudan governments for the building of a railway from Lado,</w:t></w:r>
</w:p>
<w:p>
<w:pPr><w:pStyle w:val="Normal"/></w:pPr>
<w:r><w:t xml:space="preserve">on the Nile, to the Congo frontier, there to meet a railway</w:t></w:r>
</w:p>
<w:p>
<w:pPr><w:pStyle w:val="Normal"/></w:pPr>
<w:r><w:t xml:space="preserve">starting from the river Congo near Stanley Falls.  A railway of</w:t></w:r>
</w:p>
<w:p>
<w:pPr><w:pStyle w:val="Normal"/></w:pPr>
<w:r><w:t xml:space="preserve">considerable importance is that from Jibuti in the Gulf of Aden</w:t></w:r>
</w:p>
<w:p>
<w:pPr><w:pStyle w:val="Normal"/></w:pPr>
<w:r><w:t xml:space="preserve">to Harrar, giving access to the markets of southern Abyssinia.</w:t></w:r>
</w:p>
<w:p>
<w:pPr><w:pStyle w:val="Normal"/></w:pPr>
<w:r><w:t xml:space="preserve">Besides the railways mentioned there are several others of</w:t></w:r>
</w:p>
<w:p>
<w:pPr><w:pStyle w:val="Normal"/></w:pPr>
<w:r><w:t xml:space="preserve">less importance.  Lines run from Loanda and other ports of</w:t></w:r>
</w:p>
<w:p>
<w:pPr><w:pStyle w:val="Normal"/></w:pPr>
<w:r><w:t xml:space="preserve">Angola towards the Congo State frontier, and from Tanga and</w:t></w:r>
</w:p>
<w:p>
<w:pPr><w:pStyle w:val="Normal"/></w:pPr>
<w:r><w:t xml:space="preserve">Dar-es-Salaam on the coast of German East Africa towards the</w:t></w:r>
</w:p>
<w:p>
<w:pPr><w:pStyle w:val="Normal"/></w:pPr>
<w:r><w:t xml:space="preserve">great lakes.  In British Central Africa a railway connects</w:t></w:r>
</w:p>
<w:p>
<w:pPr><w:pStyle w:val="Normal"/></w:pPr>
<w:r><w:t xml:space="preserve">Lake Nyasa with the navigable waters of the Shire, and</w:t></w:r>
</w:p>
<w:p>
<w:pPr><w:pStyle w:val="Normal"/></w:pPr>
<w:r><w:t xml:space="preserve">various lines have been built by the French in Madagascar.</w:t></w:r>
</w:p>
<w:p>
<w:pPr><w:pStyle w:val="Normal"/></w:pPr>
<w:r><w:t xml:space="preserve">All the main railways in South Africa, the lines in British</w:t></w:r>
</w:p>
<w:p>
<w:pPr><w:pStyle w:val="Normal"/></w:pPr>
<w:r><w:t xml:space="preserve">West Africa, in the Anglo-Egyptian Sudan and in Egypt</w:t></w:r>
</w:p>
<w:p>
<w:pPr><w:pStyle w:val="Normal"/></w:pPr>
<w:r><w:t xml:space="preserve">south of Luxor are of 3 ft. 6 in. gauge.  The main lines</w:t></w:r>
</w:p>
<w:p>
<w:pPr><w:pStyle w:val="Normal"/></w:pPr>
<w:r><w:t xml:space="preserve">in Lower Egypt and in Algeria and Tunisia are of 4 ft.</w:t></w:r>
</w:p>
<w:p>
<w:pPr><w:pStyle w:val="Normal"/></w:pPr>
<w:r><w:t xml:space="preserve">8 1/2 in. gauge.  Elsewhere as in French West and British</w:t></w:r>
</w:p>
<w:p>
<w:pPr><w:pStyle w:val="Normal"/></w:pPr>
<w:r><w:t xml:space="preserve">East Africa the lines are of metre (3.28 ft.) gauge.</w:t></w:r>
</w:p>
<w:p>
<w:pPr><w:pStyle w:val="Normal"/></w:pPr>
<w:r><w:t xml:space="preserve">The telegraphic system of Africa is on the whole older than</w:t></w:r>
</w:p>
<w:p>
<w:pPr><w:pStyle w:val="Normal"/></w:pPr>
<w:r><w:t xml:space="preserve">that of the railways, the newer European possessions having</w:t></w:r>
</w:p>
<w:p>
<w:pPr><w:pStyle w:val="Normal"/></w:pPr>
<w:r><w:t xml:space="preserve">in most cases been provided with telegraph lines before</w:t></w:r>
</w:p>
<w:p>
<w:pPr><w:pStyle w:val="Normal"/></w:pPr>
<w:r><w:t xml:space="preserve">railway projects had been set on foot.  In Algeria, Egypt</w:t></w:r>
</w:p>
<w:p>
<w:pPr><w:pStyle w:val="Normal"/></w:pPr>
<w:r><w:t xml:space="preserve">and Cape Colony the systems date back to the middle of the</w:t></w:r>
</w:p>
<w:p>
<w:pPr><w:pStyle w:val="Normal"/></w:pPr>
<w:r><w:t xml:space="preserve">19th century, before the end of which the lines had in each</w:t></w:r>
</w:p>
<w:p>
<w:pPr><w:pStyle w:val="Normal"/></w:pPr>
<w:r><w:t xml:space="preserve">country reached some thousands of miles.  In tropical Africa</w:t></w:r>
</w:p>
<w:p>
<w:pPr><w:pStyle w:val="Normal"/></w:pPr>
<w:r><w:t xml:space="preserve">the systems of French West Africa, where the line from Dakar</w:t></w:r>
</w:p>
<w:p>
<w:pPr><w:pStyle w:val="Normal"/></w:pPr>
<w:r><w:t xml:space="preserve">to St Louis was begun in 1862, were the first to be fully</w:t></w:r>
</w:p>
<w:p>
<w:pPr><w:pStyle w:val="Normal"/></w:pPr>
<w:r><w:t xml:space="preserve">developed, lines having been carried from different points</w:t></w:r>
</w:p>
<w:p>
<w:pPr><w:pStyle w:val="Normal"/></w:pPr>
<w:r><w:t xml:space="preserve">on the coast of Senegal and Guinea towards the Niger, the</w:t></w:r>
</w:p>
<w:p>
<w:pPr><w:pStyle w:val="Normal"/></w:pPr>
<w:r><w:t xml:space="preserve">main line being prolonged north-west to Timbuktu, and west</w:t></w:r>
</w:p>
<w:p>
<w:pPr><w:pStyle w:val="Normal"/></w:pPr>
<w:r><w:t xml:space="preserve">and south to the coast of Dahomey.  The route for a telegraph</w:t></w:r>
</w:p>
<w:p>
<w:pPr><w:pStyle w:val="Normal"/></w:pPr>
<w:r><w:t xml:space="preserve">line to connect Timbuktu with Algeria was surveyed in</w:t></w:r>
</w:p>
<w:p>
<w:pPr><w:pStyle w:val="Normal"/></w:pPr>
<w:r><w:t xml:space="preserve">1905.  The Congo region is furnished with several telegraphic</w:t></w:r>
</w:p>
<w:p>
<w:pPr><w:pStyle w:val="Normal"/></w:pPr>
<w:r><w:t xml:space="preserve">systems, the longest going from the mouth of the river to Lake</w:t></w:r>
</w:p>
<w:p>
<w:pPr><w:pStyle w:val="Normal"/></w:pPr>
<w:r><w:t xml:space="preserve">Tanganyika.  From Ujiji on the east coast of that lake there</w:t></w:r>
</w:p>
<w:p>
<w:pPr><w:pStyle w:val="Normal"/></w:pPr>
<w:r><w:t xml:space="preserve">is telegraphic communication via Tabora with Dar-es-Salaam and</w:t></w:r>
</w:p>
<w:p>
<w:pPr><w:pStyle w:val="Normal"/></w:pPr>
<w:r><w:t xml:space="preserve">via Nyasa and Rhodesia with Cape Town.  The last-named line is</w:t></w:r>
</w:p>
<w:p>
<w:pPr><w:pStyle w:val="Normal"/></w:pPr>
<w:r><w:t xml:space="preserve">the longest link in the trans-continental line first suggested</w:t></w:r>
</w:p>
<w:p>
<w:pPr><w:pStyle w:val="Normal"/></w:pPr>
<w:r><w:t xml:space="preserve">in 1876 by Sir (then Mr) Edwin Arnold and afterwards taken</w:t></w:r>
</w:p>
<w:p>
<w:pPr><w:pStyle w:val="Normal"/></w:pPr>
<w:r><w:t xml:space="preserve">up by Cecil Rhodes.  The northern link from Egypt to Khartum</w:t></w:r>
</w:p>
<w:p>
<w:pPr><w:pStyle w:val="Normal"/></w:pPr>
<w:r><w:t xml:space="preserve">has been continued southward to Uganda, while another line</w:t></w:r>
</w:p>
<w:p>
<w:pPr><w:pStyle w:val="Normal"/></w:pPr>
<w:r><w:t xml:space="preserve">connects Uganda with Mombasa.  At the principal seaports the</w:t></w:r>
</w:p>
<w:p>
<w:pPr><w:pStyle w:val="Normal"/></w:pPr>
<w:r><w:t xml:space="preserve">inland systems are connected with submarine cables which place</w:t></w:r>
</w:p>
<w:p>
<w:pPr><w:pStyle w:val="Normal"/></w:pPr>
<w:r><w:t xml:space="preserve">Africa in telegraphic communication with the rest of the world.</w:t></w:r>
</w:p>
<w:p>
<w:pPr><w:pStyle w:val="Normal"/></w:pPr>
<w:r><w:t xml:space="preserve">Numerous steamship lines run from Great Britain, Germany,</w:t></w:r>
</w:p>
<w:p>
<w:pPr><w:pStyle w:val="Normal"/></w:pPr>
<w:r><w:t xml:space="preserve">France and other countries to the African seaports,</w:t></w:r>
</w:p>
<w:p>
<w:pPr><w:pStyle w:val="Normal"/></w:pPr>
<w:r><w:t xml:space="preserve">the journey from any place in western Europe to any</w:t></w:r>
</w:p>
<w:p>
<w:pPr><w:pStyle w:val="Normal"/></w:pPr>
<w:r><w:t xml:space="preserve">port on the African coast occupying, by the shortest</w:t></w:r>
</w:p>
<w:p>
<w:pPr><w:pStyle w:val="Normal"/></w:pPr>
<w:r><w:t xml:space="preserve">route, not more than three weeks. (E. HE., F. R. C.)</w:t></w:r>
</w:p>
<w:p>
<w:pPr><w:pStyle w:val="Normal"/></w:pPr>
<w:r><w:t xml:space="preserve">1 Further conferences respecting the liquor traffic</w:t></w:r>
</w:p>
<w:p>
<w:pPr><w:pStyle w:val="Normal"/></w:pPr>
<w:r><w:t xml:space="preserve">in Africa were held in Brussels in 1899 and 1906.  In</w:t></w:r>
</w:p>
<w:p>
<w:pPr><w:pStyle w:val="Normal"/></w:pPr>
<w:r><w:t xml:space="preserve">both instances conventions were signed by the powers,</w:t></w:r>
</w:p>
<w:p>
<w:pPr><w:pStyle w:val="Normal"/></w:pPr>
<w:r><w:t xml:space="preserve">raising the minimum duty on imported spirituous liquors.</w:t></w:r>
</w:p>
<w:p>
<w:pPr><w:pStyle w:val="Normal"/></w:pPr>
<w:r><w:t xml:space="preserve">BIBLIOGRAPHY.--Authoritative works dealing with Africa</w:t></w:r>
</w:p>
<w:p>
<w:pPr><w:pStyle w:val="Normal"/></w:pPr>
<w:r><w:t xml:space="preserve">as a whole in any of its aspects are comparatively</w:t></w:r>
</w:p>
<w:p>
<w:pPr><w:pStyle w:val="Normal"/></w:pPr>
<w:r><w:t xml:space="preserve">rare.  Besides such volumes the following list includes</w:t></w:r>
</w:p>
<w:p>
<w:pPr><w:pStyle w:val="Normal"/></w:pPr>
<w:r><w:t xml:space="preserve">therefore books containing valuable information</w:t></w:r>
</w:p>
<w:p>
<w:pPr><w:pStyle w:val="Normal"/></w:pPr>
<w:r><w:t xml:space="preserve">concerning large or typical sections of the continent:--</w:t></w:r>
</w:p>
<w:p>
<w:pPr><w:pStyle w:val="Normal"/></w:pPr>
<w:r><w:t xml:space="preserve">sec.  I. General Descriptions.--(a) Ancient and Medieval.</w:t></w:r>
</w:p>
<w:p>
<w:pPr><w:pStyle w:val="Normal"/></w:pPr>
<w:r><w:t xml:space="preserve">Herodotus, ed.  G. Rawlinson, 4 vols.1 (1880); Ptolemy&apos;s</w:t></w:r>
</w:p>
<w:p>
<w:pPr><w:pStyle w:val="Normal"/></w:pPr>
<w:r><w:t xml:space="preserve">Geographia, ed.  C. Muller, vol. i. (Paris, 1883-1901); Ibn</w:t></w:r>
</w:p>
<w:p>
<w:pPr><w:pStyle w:val="Normal"/></w:pPr>
<w:r><w:t xml:space="preserve">Haukal, ``Description de l&apos;Afrique (transl.  McG. de Slane),</w:t></w:r>
</w:p>
<w:p>
<w:pPr><w:pStyle w:val="Normal"/></w:pPr>
<w:r><w:t xml:space="preserve">Nouv.  Journal asiatique, 1842; Edrisi, ``Geographie&apos;&apos;</w:t></w:r>
</w:p>
<w:p>
<w:pPr><w:pStyle w:val="Normal"/></w:pPr>
<w:r><w:t xml:space="preserve">(transl.  Jaubert), Rec. de voyages . . . Soc. de</w:t></w:r>
</w:p>
<w:p>
<w:pPr><w:pStyle w:val="Normal"/></w:pPr>
<w:r><w:t xml:space="preserve">Geogr. vol. v. (Paris, 1836); Abulfeda, Geographie</w:t></w:r>
</w:p>
<w:p>
<w:pPr><w:pStyle w:val="Normal"/></w:pPr>
<w:r><w:t xml:space="preserve">(transl.  Reinaud and Guyard, Paris, 1848-1883); M. A. P.</w:t></w:r>
</w:p>
<w:p>
<w:pPr><w:pStyle w:val="Normal"/></w:pPr>
<w:r><w:t xml:space="preserve">d&apos;Avezac, Description de l&apos;Afrique ancienne (Paris, 1845);</w:t></w:r>
</w:p>
<w:p>
<w:pPr><w:pStyle w:val="Heading1"/></w:pPr>
<w:r><w:t>L. de Marmol, Description general de Africa (Granada,</w:t></w:r>
</w:p>
<w:p>
<w:pPr><w:pStyle w:val="Normal"/></w:pPr>
<w:r><w:t xml:space="preserve">1573); L. Sanuto, Geografia dell&apos; Africa (Venice, 1588); F.</w:t></w:r>
</w:p>
<w:p>
<w:pPr><w:pStyle w:val="Normal"/></w:pPr>
<w:r><w:t xml:space="preserve">Pigafetta, A Report of the Kingdom of Congo, &amp;c. (1597);</w:t></w:r>
</w:p>
<w:p>
<w:pPr><w:pStyle w:val="Normal"/></w:pPr>
<w:r><w:t xml:space="preserve">Leo Africanus, The History and Description of Africa</w:t></w:r>
</w:p>
<w:p>
<w:pPr><w:pStyle w:val="Normal"/></w:pPr>
<w:r><w:t xml:space="preserve">(transl.  J. Pory, ed.  R. Brown), 3 vols. (1896); O. Dapper,</w:t></w:r>
</w:p>
<w:p>
<w:pPr><w:pStyle w:val="Normal"/></w:pPr>
<w:r><w:t xml:space="preserve">Naukeurige beschrijvinge der afrikaensche gewesten, &amp;c.</w:t></w:r>
</w:p>
<w:p>
<w:pPr><w:pStyle w:val="Normal"/></w:pPr>
<w:r><w:t xml:space="preserve">(Amsterdam, 1668) (also English version by Ogilvy, 1670, and</w:t></w:r>
</w:p>
<w:p>
<w:pPr><w:pStyle w:val="Normal"/></w:pPr>
<w:r><w:t xml:space="preserve">French version, Amsterdam, 1686); B. Tellez, ``Travels of</w:t></w:r>
</w:p>
<w:p>
<w:pPr><w:pStyle w:val="Normal"/></w:pPr>
<w:r><w:t xml:space="preserve">the Jesuits in Ethiopia,&apos;&apos; A New Collection of Voyages,</w:t></w:r>
</w:p>
<w:p>
<w:pPr><w:pStyle w:val="Normal"/></w:pPr>
<w:r><w:t xml:space="preserve">vol. vii. (1710); G. A. Cavazzi da Montecuccolo, Istorica</w:t></w:r>
</w:p>
<w:p>
<w:pPr><w:pStyle w:val="Normal"/></w:pPr>
<w:r><w:t xml:space="preserve">Descrittione de tre Regni Congo, Matamba, et Angola (Milan,</w:t></w:r>
</w:p>
<w:p>
<w:pPr><w:pStyle w:val="Normal"/></w:pPr>
<w:r><w:t xml:space="preserve">1690) (account of the labours of the Capuchin missionaries</w:t></w:r>
</w:p>
<w:p>
<w:pPr><w:pStyle w:val="Normal"/></w:pPr>
<w:r><w:t xml:space="preserve">and their observations on the country and people); J. Barbot,</w:t></w:r>
</w:p>
<w:p>
<w:pPr><w:pStyle w:val="Normal"/></w:pPr>
<w:r><w:t xml:space="preserve">``Description of the Coasts of North and South Guinea and of</w:t></w:r>
</w:p>
<w:p>
<w:pPr><w:pStyle w:val="Normal"/></w:pPr>
<w:r><w:t xml:space="preserve">Ethiopia Inferior,&apos;, Churchill&apos;s Voyages, vol. v. (1707); W.</w:t></w:r>
</w:p>
<w:p>
<w:pPr><w:pStyle w:val="Normal"/></w:pPr>
<w:r><w:t xml:space="preserve">Bosman, A New . . . Description of the Coasts of North and</w:t></w:r>
</w:p>
<w:p>
<w:pPr><w:pStyle w:val="Normal"/></w:pPr>
<w:r><w:t xml:space="preserve">South Guinea, &amp;c., 2nd ed. (1721); J. B. Labat, Nouvelle</w:t></w:r>
</w:p>
<w:p>
<w:pPr><w:pStyle w:val="Normal"/></w:pPr>
<w:r><w:t xml:space="preserve">relation de l&apos;Afrique occidentale, 5 vols. (Paris, 1728);</w:t></w:r>
</w:p>
<w:p>
<w:pPr><w:pStyle w:val="Normal"/></w:pPr>
<w:r><w:t xml:space="preserve">Idem, Relation historique de l&apos;Ethiopie occidentale, 5</w:t></w:r>
</w:p>
<w:p>
<w:pPr><w:pStyle w:val="Normal"/></w:pPr>
<w:r><w:t xml:space="preserve">vols. (Paris, 1732). (b) Modern.  B. d&apos;Anville, Memoire</w:t></w:r>
</w:p>
<w:p>
<w:pPr><w:pStyle w:val="Normal"/></w:pPr>
<w:r><w:t xml:space="preserve">conc. les rivieres de l&apos;interieur de l&apos;Afrique (Paris,</w:t></w:r>
</w:p>
<w:p>
<w:pPr><w:pStyle w:val="Normal"/></w:pPr>
<w:r><w:t xml:space="preserve">n.d.); M. Vollkommer, Die Quellen B. d&apos;Anville&apos;s fur seine</w:t></w:r>
</w:p>
<w:p>
<w:pPr><w:pStyle w:val="Normal"/></w:pPr>
<w:r><w:t xml:space="preserve">kritische Karte von Afrika Munich, 1904); C. Ritter, Die</w:t></w:r>
</w:p>
<w:p>
<w:pPr><w:pStyle w:val="Normal"/></w:pPr>
<w:r><w:t xml:space="preserve">Erdkunde, i.  Theil, 1. Buch, ``Afrika&apos;&apos; (Berlin, 1822);</w:t></w:r>
</w:p>
<w:p>
<w:pPr><w:pStyle w:val="Normal"/></w:pPr>
<w:r><w:t xml:space="preserve">l.  M`Queen, Geographical and Commercial View of Northern and</w:t></w:r>
</w:p>
<w:p>
<w:pPr><w:pStyle w:val="Normal"/></w:pPr>
<w:r><w:t xml:space="preserve">Central Africa (Edinburgh, 1821 ); Idem, Geographical Survey</w:t></w:r>
</w:p>
<w:p>
<w:pPr><w:pStyle w:val="Normal"/></w:pPr>
<w:r><w:t xml:space="preserve">of Africa ( 1840); W. D. Cooley, Inner Africa laid open</w:t></w:r>
</w:p>
<w:p>
<w:pPr><w:pStyle w:val="Normal"/></w:pPr>
<w:r><w:t xml:space="preserve">(1852); E. Reclus, Nouvelle geographie universelle, vols.</w:t></w:r>
</w:p>
<w:p>
<w:pPr><w:pStyle w:val="Normal"/></w:pPr>
<w:r><w:t xml:space="preserve">x.-xiii. (1885-1888); A. H. Keane, Africa (in Stanford&apos;s</w:t></w:r>
</w:p>
<w:p>
<w:pPr><w:pStyle w:val="Normal"/></w:pPr>
<w:r><w:t xml:space="preserve">Compendium), 2 vols., 2nd ed. (1904-1907); F. Hahn and W.</w:t></w:r>
</w:p>
<w:p>
<w:pPr><w:pStyle w:val="Normal"/></w:pPr>
<w:r><w:t xml:space="preserve">Sievers, Afrika, 2. Aufl. (Leipzig, 1901); M. Fallex and A.</w:t></w:r>
</w:p>
<w:p>
<w:pPr><w:pStyle w:val="Normal"/></w:pPr>
<w:r><w:t xml:space="preserve">Mairey, L&apos;Afrique au debut du XXe siecle (Paris, 1906);</w:t></w:r>
</w:p>
<w:p>
<w:pPr><w:pStyle w:val="Normal"/></w:pPr>
<w:r><w:t xml:space="preserve">Sir C. P. Lucas, Historical Geography of the British Colonies,</w:t></w:r>
</w:p>
<w:p>
<w:pPr><w:pStyle w:val="Normal"/></w:pPr>
<w:r><w:t xml:space="preserve">vols. iii. and iv. (Oxford, 1894, 1904); F. D. and A. J.</w:t></w:r>
</w:p>
<w:p>
<w:pPr><w:pStyle w:val="Normal"/></w:pPr>
<w:r><w:t xml:space="preserve">Herbertson, Descriptive Geographies from Original Sources:</w:t></w:r>
</w:p>
<w:p>
<w:pPr><w:pStyle w:val="Normal"/></w:pPr>
<w:r><w:t xml:space="preserve">Africa (1902); British Africa (The British Empire Series,</w:t></w:r>
</w:p>
<w:p>
<w:pPr><w:pStyle w:val="Normal"/></w:pPr>
<w:r><w:t xml:space="preserve">vol. ii., 1899); Journal of the African Society; Comite</w:t></w:r>
</w:p>
<w:p>
<w:pPr><w:pStyle w:val="Normal"/></w:pPr>
<w:r><w:t xml:space="preserve">de l&apos;Afrique francaise, Bulletin, Paris; Mutteilungen der</w:t></w:r>
</w:p>
<w:p>
<w:pPr><w:pStyle w:val="Normal"/></w:pPr>
<w:r><w:t xml:space="preserve">afrikan.  Gesellschaft in Deutschland (Berlin, 1879-1889);</w:t></w:r>
</w:p>
<w:p>
<w:pPr><w:pStyle w:val="Normal"/></w:pPr>
<w:r><w:t xml:space="preserve">Mitteilungen . . . aus den deutschen Schutzegebieten</w:t></w:r>
</w:p>
<w:p>
<w:pPr><w:pStyle w:val="Normal"/></w:pPr>
<w:r><w:t xml:space="preserve">(Berlin); H. Schirmer, Le Sahara (Paris, 1893); Mary H.</w:t></w:r>
</w:p>
<w:p>
<w:pPr><w:pStyle w:val="Normal"/></w:pPr>
<w:r><w:t xml:space="preserve">Kingsley, West African Studies, 2nd ed. (1901); J. Bryce,</w:t></w:r>
</w:p>
<w:p>
<w:pPr><w:pStyle w:val="Normal"/></w:pPr>
<w:r><w:t xml:space="preserve">Impressions of South Africa (1897); Sir Harry Johnston, The</w:t></w:r>
</w:p>
<w:p>
<w:pPr><w:pStyle w:val="Normal"/></w:pPr>
<w:r><w:t xml:space="preserve">Uganda Protectorate, 2 vols. (1902) (vol ii. is devoted to</w:t></w:r>
</w:p>
<w:p>
<w:pPr><w:pStyle w:val="Normal"/></w:pPr>
<w:r><w:t xml:space="preserve">anthropology); E. D. Morel, Affairs of West Africa (1902).</w:t></w:r>
</w:p>
<w:p>
<w:pPr><w:pStyle w:val="Normal"/></w:pPr>
<w:r><w:t xml:space="preserve">sec.  II. Geography (Physical), Geology, Climate, Flora and</w:t></w:r>
</w:p>
<w:p>
<w:pPr><w:pStyle w:val="Normal"/></w:pPr>
<w:r><w:t xml:space="preserve">Fauna. -- (For Descriptive Geogr. see sec.  I.)--G.  Gurich,</w:t></w:r>
</w:p>
<w:p>
<w:pPr><w:pStyle w:val="Normal"/></w:pPr>
<w:r><w:t xml:space="preserve">``Uberblick uber den geolog.  Bau des afr.  Kontinents,&apos;&apos;</w:t></w:r>
</w:p>
<w:p>
<w:pPr><w:pStyle w:val="Normal"/></w:pPr>
<w:r><w:t xml:space="preserve">Peterm.  Mitt., 1887; A. Knox, Notes on the Geology of the</w:t></w:r>
</w:p>
<w:p>
<w:pPr><w:pStyle w:val="Normal"/></w:pPr>
<w:r><w:t xml:space="preserve">Continent of Africa (1906) (includes a bibliography); L. von</w:t></w:r>
</w:p>
<w:p>
<w:pPr><w:pStyle w:val="Normal"/></w:pPr>
<w:r><w:t xml:space="preserve">Hohnel, A. Rosiwal, F. Toula and E. Suess, B eitrage zur</w:t></w:r>
</w:p>
<w:p>
<w:pPr><w:pStyle w:val="Normal"/></w:pPr>
<w:r><w:t xml:space="preserve">geologischen Kenntniss des omstlichcn Afrika (Vienna, 1891);</w:t></w:r>
</w:p>
<w:p>
<w:pPr><w:pStyle w:val="Normal"/></w:pPr>
<w:r><w:t xml:space="preserve">E. Stromer, Die Geologie der deutschen Schutzgebieten</w:t></w:r>
</w:p>
<w:p>
<w:pPr><w:pStyle w:val="Normal"/></w:pPr>
<w:r><w:t xml:space="preserve">in Afrika (Munich, 1896); J. Chavanne, Afrika im Lichte</w:t></w:r>
</w:p>
<w:p>
<w:pPr><w:pStyle w:val="Normal"/></w:pPr>
<w:r><w:t xml:space="preserve">uniserer Tage: Bodengestalt, &amp;c. (Vienna, 1881); F.</w:t></w:r>
</w:p>
<w:p>
<w:pPr><w:pStyle w:val="Normal"/></w:pPr>
<w:r><w:t xml:space="preserve">Heidrich, ``Die mittlere Hohe Afrikas,&apos;&apos; Peterm.  Mitt.,</w:t></w:r>
</w:p>
<w:p>
<w:pPr><w:pStyle w:val="Normal"/></w:pPr>
<w:r><w:t xml:space="preserve">1888; J. W. Gregory, The Great Rift-Valley (1896); H. G.</w:t></w:r>
</w:p>
<w:p>
<w:pPr><w:pStyle w:val="Normal"/></w:pPr>
<w:r><w:t xml:space="preserve">Lyons, The Physiography of the River Nile and its Basin</w:t></w:r>
</w:p>
<w:p>
<w:pPr><w:pStyle w:val="Normal"/></w:pPr>
<w:r><w:t xml:space="preserve">(Cairo, 1906); S. Passarage, Die Kalahari: Versuch einer</w:t></w:r>
</w:p>
<w:p>
<w:pPr><w:pStyle w:val="Normal"/></w:pPr>
<w:r><w:t xml:space="preserve">physischgeogr.  Darstellung . . . des sudafr.  Beckens (Berlin,</w:t></w:r>
</w:p>
<w:p>
<w:pPr><w:pStyle w:val="Normal"/></w:pPr>
<w:r><w:t xml:space="preserve">1904); Idem, ``Inselberglandschaften im tropischen Afrika,&apos;&apos;</w:t></w:r>
</w:p>
<w:p>
<w:pPr><w:pStyle w:val="Normal"/></w:pPr>
<w:r><w:t xml:space="preserve">Naturw. Wochenschrift, 1904. 654-665; J. E. S. Moore, The</w:t></w:r>
</w:p>
<w:p>
<w:pPr><w:pStyle w:val="Normal"/></w:pPr>
<w:r><w:t xml:space="preserve">Tanganyika, Problem (1903); W. H. Hudleston, ``On the Origin</w:t></w:r>
</w:p>
<w:p>
<w:pPr><w:pStyle w:val="Normal"/></w:pPr>
<w:r><w:t xml:space="preserve">of the Marine (Halolimnic) Fauna of Lake Tanganyika,&apos;&apos; Journ. of</w:t></w:r>
</w:p>
<w:p>
<w:pPr><w:pStyle w:val="Normal"/></w:pPr>
<w:r><w:t xml:space="preserve">Trans.  Victoria Inst., 1904, 300-351 (discusses the whole</w:t></w:r>
</w:p>
<w:p>
<w:pPr><w:pStyle w:val="Normal"/></w:pPr>
<w:r><w:t xml:space="preserve">question of the geological history of equatorial Africa); E.</w:t></w:r>
</w:p>
<w:p>
<w:pPr><w:pStyle w:val="Normal"/></w:pPr>
<w:r><w:t xml:space="preserve">Stromer, ``Ist der Tanganyika ein Rellikten-See?&apos;&apos; Peterm.</w:t></w:r>
</w:p>
<w:p>
<w:pPr><w:pStyle w:val="Normal"/></w:pPr>
<w:r><w:t xml:space="preserve">Mitt., 1901, 275-278; E. Kohlschutter, ``Die . . . Arbeiten</w:t></w:r>
</w:p>
<w:p>
<w:pPr><w:pStyle w:val="Normal"/></w:pPr>
<w:r><w:t xml:space="preserve">der Pendelexpedition . . . in Deutsch-Ost-Afrika,&apos;&apos; Verh.</w:t></w:r>
</w:p>
<w:p>
<w:pPr><w:pStyle w:val="Normal"/></w:pPr>
<w:r><w:t xml:space="preserve">Deuts.  Geographentages Breslau, 1901, 133-153; J. Cornet,</w:t></w:r>
</w:p>
<w:p>
<w:pPr><w:pStyle w:val="Normal"/></w:pPr>
<w:r><w:t xml:space="preserve">``La geologie du bassin du Congo,&apos;&apos; Bull.  Soc. Beige</w:t></w:r>
</w:p>
<w:p>
<w:pPr><w:pStyle w:val="Normal"/></w:pPr>
<w:r><w:t xml:space="preserve">geol., 1898; E. G. Ravenstein, ``The Climatology of Africa&apos;&apos;</w:t></w:r>
</w:p>
<w:p>
<w:pPr><w:pStyle w:val="Normal"/></w:pPr>
<w:r><w:t xml:space="preserve">(ten reports), Reports Brit.  Association, 1892-1901; Idem,</w:t></w:r>
</w:p>
<w:p>
<w:pPr><w:pStyle w:val="Normal"/></w:pPr>
<w:r><w:t xml:space="preserve">``Climatological Observations . . . I. Tropical Africa&apos;&apos;</w:t></w:r>
</w:p>
<w:p>
<w:pPr><w:pStyle w:val="Normal"/></w:pPr>
<w:r><w:t xml:space="preserve">(1904); H. G. Lyons, ``On the Relations between Variations of</w:t></w:r>
</w:p>
<w:p>
<w:pPr><w:pStyle w:val="Normal"/></w:pPr>
<w:r><w:t xml:space="preserve">Atmospheric Pressure . . . and the Nile Flood,&apos;&apos; Proc.  Roy.</w:t></w:r>
</w:p>
<w:p>
<w:pPr><w:pStyle w:val="Normal"/></w:pPr>
<w:r><w:t xml:space="preserve">Soc., Ser. A, vol. lxxvi., 1905; P. Reichard, ``Zur Frage</w:t></w:r>
</w:p>
<w:p>
<w:pPr><w:pStyle w:val="Normal"/></w:pPr>
<w:r><w:t xml:space="preserve">der Austrocknung Afrikas,&apos;&apos; Geogr.  Zeitschrift, 1895; J.</w:t></w:r>
</w:p>
<w:p>
<w:pPr><w:pStyle w:val="Normal"/></w:pPr>
<w:r><w:t xml:space="preserve">Hoffmann, ``Die tiefsten Temperaturen auf den Hochlandern,&apos;&apos;</w:t></w:r>
</w:p>
<w:p>
<w:pPr><w:pStyle w:val="Normal"/></w:pPr>
<w:r><w:t xml:space="preserve">&amp;c., Peterm.  Mitt., 1905; G. Fraunberger, ``Studien uber die</w:t></w:r>
</w:p>
<w:p>
<w:pPr><w:pStyle w:val="Normal"/></w:pPr>
<w:r><w:t xml:space="preserve">jahrlichen Niederschlagsmengen des afrik.  Kontinents,&apos;&apos;</w:t></w:r>
</w:p>
<w:p>
<w:pPr><w:pStyle w:val="Normal"/></w:pPr>
<w:r><w:t xml:space="preserve">Peterm. Mitt., 1906; D. Oliver and Sir W. T. Thiselton-Dyer,</w:t></w:r>
</w:p>
<w:p>
<w:pPr><w:pStyle w:val="Normal"/></w:pPr>
<w:r><w:t xml:space="preserve">Flora of) Tropical Africa, 10 vols. (1888-1906); K.</w:t></w:r>
</w:p>
<w:p>
<w:pPr><w:pStyle w:val="Normal"/></w:pPr>
<w:r><w:t xml:space="preserve">Oschatz, Anordnung der Vegetation in Afrika (Erlangen,</w:t></w:r>
</w:p>
<w:p>
<w:pPr><w:pStyle w:val="Normal"/></w:pPr>
<w:r><w:t xml:space="preserve">1900); A. Engler, Hochgebirgs-flora des tropischen Afrika</w:t></w:r>
</w:p>
<w:p>
<w:pPr><w:pStyle w:val="Normal"/></w:pPr>
<w:r><w:t xml:space="preserve">(Berlin, 1892); Idem, Die Pflanzenwelt Ostaftikras und der</w:t></w:r>
</w:p>
<w:p>
<w:pPr><w:pStyle w:val="Normal"/></w:pPr>
<w:r><w:t xml:space="preserve">Nachbargebiete, 3 vols. (Berlin, 1895); Idem, Beitrage zur</w:t></w:r>
</w:p>
<w:p>
<w:pPr><w:pStyle w:val="Normal"/></w:pPr>
<w:r><w:t xml:space="preserve">Flora von Afrika (Engler&apos;s Botan.  Jahrbucher, 14 vols.</w:t></w:r>
</w:p>
<w:p>
<w:pPr><w:pStyle w:val="Normal"/></w:pPr>
<w:r><w:t xml:space="preserve">&amp;c.); W. P. Hiern, Catalogue of the African Plants Collected by</w:t></w:r>
</w:p>
<w:p>
<w:pPr><w:pStyle w:val="Normal"/></w:pPr>
<w:r><w:t xml:space="preserve">Dr Friedrich Welwitsch in 1853-1861, 2 vols. (1896-1901); R.</w:t></w:r>
</w:p>
<w:p>
<w:pPr><w:pStyle w:val="Normal"/></w:pPr>
<w:r><w:t xml:space="preserve">Schlechter, Westafrikanische Kautschuk-Expedition (Berlin,</w:t></w:r>
</w:p>
<w:p>
<w:pPr><w:pStyle w:val="Normal"/></w:pPr>
<w:r><w:t xml:space="preserve">1903); H. Baum, Kunene-Sambesi-Expedition (Berlin, 1903)</w:t></w:r>
</w:p>
<w:p>
<w:pPr><w:pStyle w:val="Normal"/></w:pPr>
<w:r><w:t xml:space="preserve">(largely concerned with botany); W. L. Sclater, ``Geography of</w:t></w:r>
</w:p>
<w:p>
<w:pPr><w:pStyle w:val="Normal"/></w:pPr>
<w:r><w:t xml:space="preserve">Mammals, No. iv.  The Ethiopian Region,&apos;&apos; Geog.  Journal,</w:t></w:r>
</w:p>
<w:p>
<w:pPr><w:pStyle w:val="Normal"/></w:pPr>
<w:r><w:t xml:space="preserve">March 1896; H. A. Bryden and others, Great and Small Game</w:t></w:r>
</w:p>
<w:p>
<w:pPr><w:pStyle w:val="Normal"/></w:pPr>
<w:r><w:t xml:space="preserve">of Africa (1899); F. C. Selous, African Nature Notes and</w:t></w:r>
</w:p>
<w:p>
<w:pPr><w:pStyle w:val="Normal"/></w:pPr>
<w:r><w:t xml:space="preserve">Reminiscences (1908); E. N. Buxton, Two African Trips:</w:t></w:r>
</w:p>
<w:p>
<w:pPr><w:pStyle w:val="Normal"/></w:pPr>
<w:r><w:t xml:space="preserve">with Notes and Suggestions on Big-Game Preservation in</w:t></w:r>
</w:p>
<w:p>
<w:pPr><w:pStyle w:val="Normal"/></w:pPr>
<w:r><w:t xml:space="preserve">Africa (1902) (contains photographs of living animals); G.</w:t></w:r>
</w:p>
<w:p>
<w:pPr><w:pStyle w:val="Normal"/></w:pPr>
<w:r><w:t xml:space="preserve">Schillings, With Flash-light and Rifle in Equatorial East</w:t></w:r>
</w:p>
<w:p>
<w:pPr><w:pStyle w:val="Normal"/></w:pPr>
<w:r><w:t xml:space="preserve">Africa (1906); Idem, In Wildest Africa (1907) (striking</w:t></w:r>
</w:p>
<w:p>
<w:pPr><w:pStyle w:val="Normal"/></w:pPr>
<w:r><w:t xml:space="preserve">collection of photographs of living wild animals); Exploration</w:t></w:r>
</w:p>
<w:p>
<w:pPr><w:pStyle w:val="Normal"/></w:pPr>
<w:r><w:t xml:space="preserve">scientifique de l&apos;Algerie: Histoire naturelle, 14 vols.</w:t></w:r>
</w:p>
<w:p>
<w:pPr><w:pStyle w:val="Normal"/></w:pPr>
<w:r><w:t xml:space="preserve">and 4 atlases, Paris (1846-1850); Annales du Musee du</w:t></w:r>
</w:p>
<w:p>
<w:pPr><w:pStyle w:val="Normal"/></w:pPr>
<w:r><w:t xml:space="preserve">Congo: Botanique, Zoologie (Brussels, 1898, &amp;c.).  The</w:t></w:r>
</w:p>
<w:p>
<w:pPr><w:pStyle w:val="Normal"/></w:pPr>
<w:r><w:t xml:space="preserve">latest results of geographical research and a bibliography</w:t></w:r>
</w:p>
<w:p>
<w:pPr><w:pStyle w:val="Normal"/></w:pPr>
<w:r><w:t xml:space="preserve">of current literature are given in the Geographical</w:t></w:r>
</w:p>
<w:p>
<w:pPr><w:pStyle w:val="Normal"/></w:pPr>
<w:r><w:t xml:space="preserve">Journal, published monthly by the Royal Geographical Society.</w:t></w:r>
</w:p>
<w:p>
<w:pPr><w:pStyle w:val="Normal"/></w:pPr>
<w:r><w:t xml:space="preserve">sec.  III. Ethnology.--H.  Hartmann, Die Volker Afrikas</w:t></w:r>
</w:p>
<w:p>
<w:pPr><w:pStyle w:val="Normal"/></w:pPr>
<w:r><w:t xml:space="preserve">(Leipzig, 1879); B. Ankermann, ``Kulturkreise in Afrika,&apos;&apos; Zeit.</w:t></w:r>
</w:p>
<w:p>
<w:pPr><w:pStyle w:val="Normal"/></w:pPr>
<w:r><w:t xml:space="preserve">f.  Eth. vol. xxxvii. p. 34; Idem, ``Uber den gegenwartigen</w:t></w:r>
</w:p>
<w:p>
<w:pPr><w:pStyle w:val="Normal"/></w:pPr>
<w:r><w:t xml:space="preserve">Stand der Ethnographie der Sudhalfte Afrikas,&apos;&apos; Arch.</w:t></w:r>
</w:p>
<w:p>
<w:pPr><w:pStyle w:val="Normal"/></w:pPr>
<w:r><w:t xml:space="preserve">f.  Anth. n.f. iv. p. 24;G.Sergi, Antropologia della</w:t></w:r>
</w:p>
<w:p>
<w:pPr><w:pStyle w:val="Normal"/></w:pPr>
<w:r><w:t xml:space="preserve">stirpe camitica (Turin, 1897); J. Deniker, ``Distribution</w:t></w:r>
</w:p>
<w:p>
<w:pPr><w:pStyle w:val="Normal"/></w:pPr>
<w:r><w:t xml:space="preserve">geogr. et caracteres physiques des Pygmees africains,&apos;&apos;</w:t></w:r>
</w:p>
<w:p>
<w:pPr><w:pStyle w:val="Normal"/></w:pPr>
<w:r><w:t xml:space="preserve">La Geographie, Paris, vol. viii. pp. 213-220; G. W.</w:t></w:r>
</w:p>
<w:p>
<w:pPr><w:pStyle w:val="Normal"/></w:pPr>
<w:r><w:t xml:space="preserve">Stow and G. M. Theal, The Native Races of South Africa</w:t></w:r>
</w:p>
<w:p>
<w:pPr><w:pStyle w:val="Normal"/></w:pPr>
<w:r><w:t xml:space="preserve">(1905); K. Barthel, Volkerbewegungen auf der Sudhalfte des</w:t></w:r>
</w:p>
<w:p>
<w:pPr><w:pStyle w:val="Normal"/></w:pPr>
<w:r><w:t xml:space="preserve">afrik.  Kontinents (Leipzig, 1893); A. B. Ellis, The</w:t></w:r>
</w:p>
<w:p>
<w:pPr><w:pStyle w:val="Normal"/></w:pPr>
<w:r><w:t xml:space="preserve">Tshi-speaking Peoples of the Gold Coast (1887); Idem, The</w:t></w:r>
</w:p>
<w:p>
<w:pPr><w:pStyle w:val="Normal"/></w:pPr>
<w:r><w:t xml:space="preserve">Ewe-speaking Peoples of the Slave Coast (1890); Idem, The</w:t></w:r>
</w:p>
<w:p>
<w:pPr><w:pStyle w:val="Normal"/></w:pPr>
<w:r><w:t xml:space="preserve">Yoruba-speaking Peoples of the Slave Coast (1894); H. Ling</w:t></w:r>
</w:p>
<w:p>
<w:pPr><w:pStyle w:val="Normal"/></w:pPr>
<w:r><w:t xml:space="preserve">Roth, Great Benin, its Customs, &amp;c. (Halifax, 1903); H.</w:t></w:r>
</w:p>
<w:p>
<w:pPr><w:pStyle w:val="Normal"/></w:pPr>
<w:r><w:t xml:space="preserve">Frobenius, Die Heiden-Neger des agyptischen Sudan</w:t></w:r>
</w:p>
<w:p>
<w:pPr><w:pStyle w:val="Normal"/></w:pPr>
<w:r><w:t xml:space="preserve">(Berlin, 1893); Herbert Spencer and D. Duncan, Descriptive</w:t></w:r>
</w:p>
<w:p>
<w:pPr><w:pStyle w:val="Normal"/></w:pPr>
<w:r><w:t xml:space="preserve">Sociology, vol. iv. African Races (1875); A. de Preville,</w:t></w:r>
</w:p>
<w:p>
<w:pPr><w:pStyle w:val="Normal"/></w:pPr>
<w:r><w:t xml:space="preserve">Les Societes africaines (Paris, 1894); D. Macdonald,</w:t></w:r>
</w:p>
<w:p>
<w:pPr><w:pStyle w:val="Normal"/></w:pPr>
<w:r><w:t xml:space="preserve">Africana or, the Heart of Heathen Africa, 2 vols. (1882);</w:t></w:r>
</w:p>
<w:p>
<w:pPr><w:pStyle w:val="Heading1"/></w:pPr>
<w:r><w:t>L. Frobenius, Der Ursprung der afrikanischen Kulturen</w:t></w:r>
</w:p>
<w:p>
<w:pPr><w:pStyle w:val="Normal"/></w:pPr>
<w:r><w:t xml:space="preserve">(Der Ursprung der Kultur, Band i.) (Berlin, 1898); Idem,</w:t></w:r>
</w:p>
<w:p>
<w:pPr><w:pStyle w:val="Normal"/></w:pPr>
<w:r><w:t xml:space="preserve">``Die Masken und Geheimbunde Afrikas,&apos;&apos; Abhandl.  Kaiserl.</w:t></w:r>
</w:p>
<w:p>
<w:pPr><w:pStyle w:val="Normal"/></w:pPr>
<w:r><w:t xml:space="preserve">Leopoldin.-Carolin.  Deuts.  Akad. Naturforscher, 1899,</w:t></w:r>
</w:p>
<w:p>
<w:pPr><w:pStyle w:val="Normal"/></w:pPr>
<w:r><w:t xml:space="preserve">1-278; G. Schweinfurth, Artes africanae Illustrations and</w:t></w:r>
</w:p>
<w:p>
<w:pPr><w:pStyle w:val="Normal"/></w:pPr>
<w:r><w:t xml:space="preserve">Descriptions of . . . industrial Arts, &amp;c. (in German and</w:t></w:r>
</w:p>
<w:p>
<w:pPr><w:pStyle w:val="Normal"/></w:pPr>
<w:r><w:t xml:space="preserve">English) (Leipzig, 1875); F. Ratzel, Die afsikanischen Bogen</w:t></w:r>
</w:p>
<w:p>
<w:pPr><w:pStyle w:val="Normal"/></w:pPr>
<w:r><w:t xml:space="preserve">. . . eine anthrop. geographische Studie (Leipzig, 1891); K.</w:t></w:r>
</w:p>
<w:p>
<w:pPr><w:pStyle w:val="Normal"/></w:pPr>
<w:r><w:t xml:space="preserve">Weule, . Der afrikanische Pfeil (Leipzig, 1899); H. Frobenius,</w:t></w:r>
</w:p>
<w:p>
<w:pPr><w:pStyle w:val="Normal"/></w:pPr>
<w:r><w:t xml:space="preserve">Afrikanische Bautypen (Dauchau bei Munchen, 1894); H.</w:t></w:r>
</w:p>
<w:p>
<w:pPr><w:pStyle w:val="Normal"/></w:pPr>
<w:r><w:t xml:space="preserve">Schurtz, Die afrikan. Gewerbe (Leipzig, 1900); E. W.</w:t></w:r>
</w:p>
<w:p>
<w:pPr><w:pStyle w:val="Normal"/></w:pPr>
<w:r><w:t xml:space="preserve">Blyden, Christianity, Islam and the Negro Race (1887);</w:t></w:r>
</w:p>
<w:p>
<w:pPr><w:pStyle w:val="Normal"/></w:pPr>
<w:r><w:t xml:space="preserve">James Stewart, Dawn in the Dark Continent, or Africa and</w:t></w:r>
</w:p>
<w:p>
<w:pPr><w:pStyle w:val="Normal"/></w:pPr>
<w:r><w:t xml:space="preserve">its Missions (Edinburgh and London, 1903); W. H. J. Bleek,</w:t></w:r>
</w:p>
<w:p>
<w:pPr><w:pStyle w:val="Normal"/></w:pPr>
<w:r><w:t xml:space="preserve">Comparative Grammar of South African Languages, 2 parts</w:t></w:r>
</w:p>
<w:p>
<w:pPr><w:pStyle w:val="Normal"/></w:pPr>
<w:r><w:t xml:space="preserve">(1862-1869); Idem, Vocabularies of the Districts of Lourenzo</w:t></w:r>
</w:p>
<w:p>
<w:pPr><w:pStyle w:val="Normal"/></w:pPr>
<w:r><w:t xml:space="preserve">Marques, &amp;c., &amp;c. (1900); R. N. Cust, Sketch of the</w:t></w:r>
</w:p>
<w:p>
<w:pPr><w:pStyle w:val="Normal"/></w:pPr>
<w:r><w:t xml:space="preserve">Modern Languages of Africa, 2 vols. (1993): F. W. Kolbe, A</w:t></w:r>
</w:p>
<w:p>
<w:pPr><w:pStyle w:val="Normal"/></w:pPr>
<w:r><w:t xml:space="preserve">Language Study based on Bantu (1888); J. T. Last, Polyglotta</w:t></w:r>
</w:p>
<w:p>
<w:pPr><w:pStyle w:val="Normal"/></w:pPr>
<w:r><w:t xml:space="preserve">Africana orientalis (1885); J. Torrend, Comparative Grammar</w:t></w:r>
</w:p>
<w:p>
<w:pPr><w:pStyle w:val="Normal"/></w:pPr>
<w:r><w:t xml:space="preserve">of the South African Bantu Languages (1891); S. W. Koelle,</w:t></w:r>
</w:p>
<w:p>
<w:pPr><w:pStyle w:val="Normal"/></w:pPr>
<w:r><w:t xml:space="preserve">Polyglotta Africana (1854); C. Velten, Schilderungen</w:t></w:r>
</w:p>
<w:p>
<w:pPr><w:pStyle w:val="Normal"/></w:pPr>
<w:r><w:t xml:space="preserve">der Suaheli von Expeditionen v.  Wissmanns, &amp;c., &amp;c. (1900)</w:t></w:r>
</w:p>
<w:p>
<w:pPr><w:pStyle w:val="Normal"/></w:pPr>
<w:r><w:t xml:space="preserve">(narratives taken down from the mouths of natives); A. Vierkandt,</w:t></w:r>
</w:p>
<w:p>
<w:pPr><w:pStyle w:val="Normal"/></w:pPr>
<w:r><w:t xml:space="preserve">Volksgedichte im westlichen Central-Afrika (Leipzig, 1895).</w:t></w:r>
</w:p>
<w:p>
<w:pPr><w:pStyle w:val="Normal"/></w:pPr>
<w:r><w:t xml:space="preserve">For latest information the following periodicals should be</w:t></w:r>
</w:p>
<w:p>
<w:pPr><w:pStyle w:val="Normal"/></w:pPr>
<w:r><w:t xml:space="preserve">consulted:-- Journal of the Anthropological Institute of Great</w:t></w:r>
</w:p>
<w:p>
<w:pPr><w:pStyle w:val="Normal"/></w:pPr>
<w:r><w:t xml:space="preserve">Britain and Ireland; Man (same publishers); Zeitschrift</w:t></w:r>
</w:p>
<w:p>
<w:pPr><w:pStyle w:val="Normal"/></w:pPr>
<w:r><w:t xml:space="preserve">f.  Ethnologie; Archiv f.  Anthropologie; L&apos;Anthropologie.</w:t></w:r>
</w:p>
<w:p>
<w:pPr><w:pStyle w:val="Normal"/></w:pPr>
<w:r><w:t xml:space="preserve">sec.  IV. Archaeology and Art.-- Publications of the Egyptian</w:t></w:r>
</w:p>
<w:p>
<w:pPr><w:pStyle w:val="Normal"/></w:pPr>
<w:r><w:t xml:space="preserve">Exploration Fund; A. Mariette-Bey, The Monuments of Upper</w:t></w:r>
</w:p>
<w:p>
<w:pPr><w:pStyle w:val="Normal"/></w:pPr>
<w:r><w:t xml:space="preserve">Egypt (1890); H. Brugsch, Die Agyptologie (Leipzig, 1891);</w:t></w:r>
</w:p>
<w:p>
<w:pPr><w:pStyle w:val="Normal"/></w:pPr>
<w:r><w:t xml:space="preserve">G. Maspero, L&apos; Archeologie egyptienne (Paris, 1890?);</w:t></w:r>
</w:p>
<w:p>
<w:pPr><w:pStyle w:val="Normal"/></w:pPr>
<w:r><w:t xml:space="preserve">R. Lepsius, Denkmaler aus Agypten und Athiopien . .</w:t></w:r>
</w:p>
<w:p>
<w:pPr><w:pStyle w:val="Normal"/></w:pPr>
<w:r><w:t xml:space="preserve">., 6 vols. (Berlin, 1849-1859); G. A. Hoskins, Travels in</w:t></w:r>
</w:p>
<w:p>
<w:pPr><w:pStyle w:val="Normal"/></w:pPr>
<w:r><w:t xml:space="preserve">Ethiopia . . . illustrating the Antiquities of the Ancient</w:t></w:r>
</w:p>
<w:p>
<w:pPr><w:pStyle w:val="Normal"/></w:pPr>
<w:r><w:t xml:space="preserve">Kingdom of Meroe (1835); Records of the Past: being English</w:t></w:r>
</w:p>
<w:p>
<w:pPr><w:pStyle w:val="Normal"/></w:pPr>
<w:r><w:t xml:space="preserve">Translations of . . . Egyptian Monuments, vols. 2, 4, 6, 8,</w:t></w:r>
</w:p>
<w:p>
<w:pPr><w:pStyle w:val="Normal"/></w:pPr>
<w:r><w:t xml:space="preserve">10, 12 (1873-1881); Ditto, new series, 6 vols. (1890-1892);</w:t></w:r>
</w:p>
<w:p>
<w:pPr><w:pStyle w:val="Normal"/></w:pPr>
<w:r><w:t xml:space="preserve">D. Randall-MacIver and A. Wilkin, Libyan Notes (1901)</w:t></w:r>
</w:p>
<w:p>
<w:pPr><w:pStyle w:val="Normal"/></w:pPr>
<w:r><w:t xml:space="preserve">(archaeology and ethnology of North Africa); G. Boissier,</w:t></w:r>
</w:p>
<w:p>
<w:pPr><w:pStyle w:val="Normal"/></w:pPr>
<w:r><w:t xml:space="preserve">L&apos;Afrique romaine Promenades archeologiques en Algerie</w:t></w:r>
</w:p>
<w:p>
<w:pPr><w:pStyle w:val="Normal"/></w:pPr>
<w:r><w:t xml:space="preserve">et en Tunisie, 2nd ed. (Paris, 1901); H. Randall-MacIver,</w:t></w:r>
</w:p>
<w:p>
<w:pPr><w:pStyle w:val="Normal"/></w:pPr>
<w:r><w:t xml:space="preserve">Mediaeval Rhodesia (1906); Prisse d&apos;Avennes, Histoire de</w:t></w:r>
</w:p>
<w:p>
<w:pPr><w:pStyle w:val="Normal"/></w:pPr>
<w:r><w:t xml:space="preserve">l&apos;art egyptien d&apos;apres les monuments, &amp;c. with atlas (Paris,</w:t></w:r>
</w:p>
<w:p>
<w:pPr><w:pStyle w:val="Normal"/></w:pPr>
<w:r><w:t xml:space="preserve">1879; G. Perrot and C. Chipiez, History of Art in Ancient</w:t></w:r>
</w:p>
<w:p>
<w:pPr><w:pStyle w:val="Normal"/></w:pPr>
<w:r><w:t xml:space="preserve">Egypt, 2 vols. (1993); H. Wallis, Egyptian Ceramic Art</w:t></w:r>
</w:p>
<w:p>
<w:pPr><w:pStyle w:val="Normal"/></w:pPr>
<w:r><w:t xml:space="preserve">(1900); C. H. Read and O. M. Dalton, Antiquities from the</w:t></w:r>
</w:p>
<w:p>
<w:pPr><w:pStyle w:val="Normal"/></w:pPr>
<w:r><w:t xml:space="preserve">City of Benin and from other parts of West Africa (1899).</w:t></w:r>
</w:p>
<w:p>
<w:pPr><w:pStyle w:val="Normal"/></w:pPr>
<w:r><w:t xml:space="preserve">sec.  V. Travel and Exploration.--Dean W. Vincent, The Commerce</w:t></w:r>
</w:p>
<w:p>
<w:pPr><w:pStyle w:val="Normal"/></w:pPr>
<w:r><w:t xml:space="preserve">and Navigation of the Ancients, vol. 2, The Periplus ofthe</w:t></w:r>
</w:p>
<w:p>
<w:pPr><w:pStyle w:val="Normal"/></w:pPr>
<w:r><w:t xml:space="preserve">Erythraean Sea (1807); G. E. de Azurara, Chronicle of the</w:t></w:r>
</w:p>
<w:p>
<w:pPr><w:pStyle w:val="Normal"/></w:pPr>
<w:r><w:t xml:space="preserve">Discovery and Conquest of Guinea (Eng. trans., 2 vols.,</w:t></w:r>
</w:p>
<w:p>
<w:pPr><w:pStyle w:val="Normal"/></w:pPr>
<w:r><w:t xml:space="preserve">1896, 1899); R. H. Major, Life of Prince Henry the Navigator</w:t></w:r>
</w:p>
<w:p>
<w:pPr><w:pStyle w:val="Normal"/></w:pPr>
<w:r><w:t xml:space="preserve">(1868); E. G. Ravenstein, ``The Voyages of Diogo Cao and</w:t></w:r>
</w:p>
<w:p>
<w:pPr><w:pStyle w:val="Normal"/></w:pPr>
<w:r><w:t xml:space="preserve">Barth.  Diaz,&apos;&apos; Geogr.  Journ., Dec. 1900; O. Hartig,</w:t></w:r>
</w:p>
<w:p>
<w:pPr><w:pStyle w:val="Normal"/></w:pPr>
<w:r><w:t xml:space="preserve">``Altere Entdeckungsgeschichte und Kartographie Afrikas,&apos;&apos;</w:t></w:r>
</w:p>
<w:p>
<w:pPr><w:pStyle w:val="Normal"/></w:pPr>
<w:r><w:t xml:space="preserve">Mitt. Geogr.  Gesells.  Wien, 1905; J. Leyden and H.</w:t></w:r>
</w:p>
<w:p>
<w:pPr><w:pStyle w:val="Normal"/></w:pPr>
<w:r><w:t xml:space="preserve">Murray, Historical Account of Discoveries, &amp;c., 2 vols.,</w:t></w:r>
</w:p>
<w:p>
<w:pPr><w:pStyle w:val="Normal"/></w:pPr>
<w:r><w:t xml:space="preserve">2nd ed. (1818); T. E. Bowditch, Account of the Discoveries</w:t></w:r>
</w:p>
<w:p>
<w:pPr><w:pStyle w:val="Normal"/></w:pPr>
<w:r><w:t xml:space="preserve">of the Portuguese in the Interior of Angola and Mozambique</w:t></w:r>
</w:p>
<w:p>
<w:pPr><w:pStyle w:val="Normal"/></w:pPr>
<w:r><w:t xml:space="preserve">(1824); P. Paulitschke, Die geogr.  Forschung des afrikan.</w:t></w:r>
</w:p>
<w:p>
<w:pPr><w:pStyle w:val="Normal"/></w:pPr>
<w:r><w:t xml:space="preserve">Continents (Vienna, 1880); A. Supan, ``Ein Jahrhundert der</w:t></w:r>
</w:p>
<w:p>
<w:pPr><w:pStyle w:val="Normal"/></w:pPr>
<w:r><w:t xml:space="preserve">Afrika-Forschung,&apos;&apos; Peterm.  Mitt., 1888; R. Brown, The</w:t></w:r>
</w:p>
<w:p>
<w:pPr><w:pStyle w:val="Normal"/></w:pPr>
<w:r><w:t xml:space="preserve">Story of Africa and its Explorers, 4 vols. (1892-1895);</w:t></w:r>
</w:p>
<w:p>
<w:pPr><w:pStyle w:val="Normal"/></w:pPr>
<w:r><w:t xml:space="preserve">Sir Harry Johnston, The Nile Quest (1903); James Bruce,</w:t></w:r>
</w:p>
<w:p>
<w:pPr><w:pStyle w:val="Normal"/></w:pPr>
<w:r><w:t xml:space="preserve">Travels to discover the Source of the Nile in 1768-1773, 5</w:t></w:r>
</w:p>
<w:p>
<w:pPr><w:pStyle w:val="Normal"/></w:pPr>
<w:r><w:t xml:space="preserve">vols., Edinburgh (1790); Proceedings of the Association</w:t></w:r>
</w:p>
<w:p>
<w:pPr><w:pStyle w:val="Normal"/></w:pPr>
<w:r><w:t xml:space="preserve">for . . . Discovery of!the Interior Parts of Africa,</w:t></w:r>
</w:p>
<w:p>
<w:pPr><w:pStyle w:val="Normal"/></w:pPr>
<w:r><w:t xml:space="preserve">1790-1810; Mungo Park, Travels into the Interior Districts</w:t></w:r>
</w:p>
<w:p>
<w:pPr><w:pStyle w:val="Normal"/></w:pPr>
<w:r><w:t xml:space="preserve">of Africa (1799); Idem, Journal of a Mission, &amp;c. (1815);</w:t></w:r>
</w:p>
<w:p>
<w:pPr><w:pStyle w:val="Normal"/></w:pPr>
<w:r><w:t xml:space="preserve">Capt.  J. K. Tuckey, Narrative of an Expedition to explore</w:t></w:r>
</w:p>
<w:p>
<w:pPr><w:pStyle w:val="Normal"/></w:pPr>
<w:r><w:t xml:space="preserve">the River Zaire or Congo in 1816 (1818): D. Denham and H.</w:t></w:r>
</w:p>
<w:p>
<w:pPr><w:pStyle w:val="Normal"/></w:pPr>
<w:r><w:t xml:space="preserve">Clapperton, Narrative of Travels and Discoveries in N. and</w:t></w:r>
</w:p>
<w:p>
<w:pPr><w:pStyle w:val="Normal"/></w:pPr>
<w:r><w:t xml:space="preserve">Cent.  Africa (1826); R. Caillie, Journal d&apos;un voyage</w:t></w:r>
</w:p>
<w:p>
<w:pPr><w:pStyle w:val="Normal"/></w:pPr>
<w:r><w:t xml:space="preserve">a Temboctu et a Jenne, 3 vols., Paris (1830); D. Livingstone,</w:t></w:r>
</w:p>
<w:p>
<w:pPr><w:pStyle w:val="Normal"/></w:pPr>
<w:r><w:t xml:space="preserve">Missionary Travels . . . in South Africa (1857); The Last</w:t></w:r>
</w:p>
<w:p>
<w:pPr><w:pStyle w:val="Normal"/></w:pPr>
<w:r><w:t xml:space="preserve">Journals of David Livingstone in Central Africa, ed.  H.</w:t></w:r>
</w:p>
<w:p>
<w:pPr><w:pStyle w:val="Normal"/></w:pPr>
<w:r><w:t xml:space="preserve">Waller (1874); H. Barth, Travels and Discoveries in North</w:t></w:r>
</w:p>
<w:p>
<w:pPr><w:pStyle w:val="Normal"/></w:pPr>
<w:r><w:t xml:space="preserve">and Central Africa, 5 vols. (1857); J. L. Krapf, Travels,</w:t></w:r>
</w:p>
<w:p>
<w:pPr><w:pStyle w:val="Normal"/></w:pPr>
<w:r><w:t xml:space="preserve">Researches, &amp;c., in Eastern Africa (1860); Sir R. F. Burton,</w:t></w:r>
</w:p>
<w:p>
<w:pPr><w:pStyle w:val="Normal"/></w:pPr>
<w:r><w:t xml:space="preserve">The Lake Regions of Central Africa, 2 vols. (1860); J. H.</w:t></w:r>
</w:p>
<w:p>
<w:pPr><w:pStyle w:val="Normal"/></w:pPr>
<w:r><w:t xml:space="preserve">Speke, Journal of the Discovery of the Source of the Nile</w:t></w:r>
</w:p>
<w:p>
<w:pPr><w:pStyle w:val="Normal"/></w:pPr>
<w:r><w:t xml:space="preserve">(1863).: Sir S. W. Baker, The Albert Nyanza, 2 vols. (1866);</w:t></w:r>
</w:p>
<w:p>
<w:pPr><w:pStyle w:val="Normal"/></w:pPr>
<w:r><w:t xml:space="preserve">G. Schweinfurth, The Heart of Africa, 2 vols. (1873); V. L.</w:t></w:r>
</w:p>
<w:p>
<w:pPr><w:pStyle w:val="Normal"/></w:pPr>
<w:r><w:t xml:space="preserve">Cameron, Across Africa, 2 vols. (1877); T. Baines, The</w:t></w:r>
</w:p>
<w:p>
<w:pPr><w:pStyle w:val="Normal"/></w:pPr>
<w:r><w:t xml:space="preserve">Gold Regions of South-Eastern Africa (1877); Sir H. M.</w:t></w:r>
</w:p>
<w:p>
<w:pPr><w:pStyle w:val="Normal"/></w:pPr>
<w:r><w:t xml:space="preserve">Stanley, Through the Dark Continent, 2 vols. (1878);</w:t></w:r>
</w:p>
<w:p>
<w:pPr><w:pStyle w:val="Normal"/></w:pPr>
<w:r><w:t xml:space="preserve">Idem, In Darkest Africa, 2 vols. (1890); G. Nachtigal,</w:t></w:r>
</w:p>
<w:p>
<w:pPr><w:pStyle w:val="Normal"/></w:pPr>
<w:r><w:t xml:space="preserve">Sahara und Sudan, 3 vols. (Berlin, 1879-1889); P. S. de</w:t></w:r>
</w:p>
<w:p>
<w:pPr><w:pStyle w:val="Normal"/></w:pPr>
<w:r><w:t xml:space="preserve">Brazza, Les Voyages de . . . (1875-1882), Paris, 1884;</w:t></w:r>
</w:p>
<w:p>
<w:pPr><w:pStyle w:val="Normal"/></w:pPr>
<w:r><w:t xml:space="preserve">i.  Thomson, Through Masai Land (1885); H. von Wissmann,</w:t></w:r>
</w:p>
<w:p>
<w:pPr><w:pStyle w:val="Normal"/></w:pPr>
<w:r><w:t xml:space="preserve">Unter Deutscher Flagge quer durch Afrika, &amp;c. (Berlin,</w:t></w:r>
</w:p>
<w:p>
<w:pPr><w:pStyle w:val="Normal"/></w:pPr>
<w:r><w:t xml:space="preserve">1889); Idem, My Second Journey through Equatorial Africa</w:t></w:r>
</w:p>
<w:p>
<w:pPr><w:pStyle w:val="Normal"/></w:pPr>
<w:r><w:t xml:space="preserve">(1891); W. Junker, Travels in Africa 1875-1886, 3 vols.</w:t></w:r>
</w:p>
<w:p>
<w:pPr><w:pStyle w:val="Normal"/></w:pPr>
<w:r><w:t xml:space="preserve">(1890-1892); L. G. Binger, Du Niger au Golfe de Guinee, &amp;c.</w:t></w:r>
</w:p>
<w:p>
<w:pPr><w:pStyle w:val="Normal"/></w:pPr>
<w:r><w:t xml:space="preserve">(Paris, 1892); O. Baumann, Durch Masailand zur Nilquelle</w:t></w:r>
</w:p>
<w:p>
<w:pPr><w:pStyle w:val="Normal"/></w:pPr>
<w:r><w:t xml:space="preserve">(Berlin, 1894); R. Kandt, Caput Nili (Berlin, 1904); C. A. von</w:t></w:r>
</w:p>
<w:p>
<w:pPr><w:pStyle w:val="Normal"/></w:pPr>
<w:r><w:t xml:space="preserve">Gotzen, Durch Afrika von Ost nach West (Berlin, 1896); L.</w:t></w:r>
</w:p>
<w:p>
<w:pPr><w:pStyle w:val="Normal"/></w:pPr>
<w:r><w:t xml:space="preserve">Vanutelli and C. Citerni, Seconda spedizione Bottego: L&apos;Omo</w:t></w:r>
</w:p>
<w:p>
<w:pPr><w:pStyle w:val="Normal"/></w:pPr>
<w:r><w:t xml:space="preserve">(Milan, 1899); P. Foureau, D&apos;Alger au Congo par le Tchad</w:t></w:r>
</w:p>
<w:p>
<w:pPr><w:pStyle w:val="Normal"/></w:pPr>
<w:r><w:t xml:space="preserve">(Paris, 1902); C. Lemaire, Mission scientifique du Ka-Tanga:</w:t></w:r>
</w:p>
<w:p>
<w:pPr><w:pStyle w:val="Normal"/></w:pPr>
<w:r><w:t xml:space="preserve">Journal de route, 1 vol., Resultats des observations,</w:t></w:r>
</w:p>
<w:p>
<w:pPr><w:pStyle w:val="Normal"/></w:pPr>
<w:r><w:t xml:space="preserve">16 parts (Brussels, 1902); A. St. H. Gibbons, Africa from</w:t></w:r>
</w:p>
<w:p>
<w:pPr><w:pStyle w:val="Normal"/></w:pPr>
<w:r><w:t xml:space="preserve">South to North through Marotseland, 2 vols. (1904); E.</w:t></w:r>
</w:p>
<w:p>
<w:pPr><w:pStyle w:val="Normal"/></w:pPr>
<w:r><w:t xml:space="preserve">Lenfant, La Grande Route du Tchad (Paris, 1905); Boyd</w:t></w:r>
</w:p>
<w:p>
<w:pPr><w:pStyle w:val="Normal"/></w:pPr>
<w:r><w:t xml:space="preserve">Alexander, From the Niger to the Nile, 2 vols. (1907).</w:t></w:r>
</w:p>
<w:p>
<w:pPr><w:pStyle w:val="Normal"/></w:pPr>
<w:r><w:t xml:space="preserve">sec.  VI. Historical and Political.--H.Schurtz, Africa</w:t></w:r>
</w:p>
<w:p>
<w:pPr><w:pStyle w:val="Normal"/></w:pPr>
<w:r><w:t xml:space="preserve">(World&apos;s History, vol. 3, part 3) (1903); Sir H. H. Johnston,</w:t></w:r>
</w:p>
<w:p>
<w:pPr><w:pStyle w:val="Normal"/></w:pPr>
<w:r><w:t xml:space="preserve">History of the Colonization of Africa by Alien Races</w:t></w:r>
</w:p>
<w:p>
<w:pPr><w:pStyle w:val="Normal"/></w:pPr>
<w:r><w:t xml:space="preserve">(Cambridge, 1899) (reprint with additional chapter ``Latest</w:t></w:r>
</w:p>
<w:p>
<w:pPr><w:pStyle w:val="Normal"/></w:pPr>
<w:r><w:t xml:space="preserve">Developments,&apos;&apos; 1905); A. H. L. Heeren, Reflections on the</w:t></w:r>
</w:p>
<w:p>
<w:pPr><w:pStyle w:val="Normal"/></w:pPr>
<w:r><w:t xml:space="preserve">Politics, Intercourse and Trade of the Ancient Nations of</w:t></w:r>
</w:p>
<w:p>
<w:pPr><w:pStyle w:val="Normal"/></w:pPr>
<w:r><w:t xml:space="preserve">Africa, 2 vols. (Oxford, 1832); G. Rawlinson, History of</w:t></w:r>
</w:p>
<w:p>
<w:pPr><w:pStyle w:val="Normal"/></w:pPr>
<w:r><w:t xml:space="preserve">Ancient Egypt (1881); A. Graham, Roman Africa (1902); J. de</w:t></w:r>
</w:p>
<w:p>
<w:pPr><w:pStyle w:val="Normal"/></w:pPr>
<w:r><w:t xml:space="preserve">Barros, Asia: Ira Decada, Lisbon (1552 and 1777-1778); J.</w:t></w:r>
</w:p>
<w:p>
<w:pPr><w:pStyle w:val="Normal"/></w:pPr>
<w:r><w:t xml:space="preserve">Strandes, Die Portugiesenzeit von . . . Ostafrika (Berlin,</w:t></w:r>
</w:p>
<w:p>
<w:pPr><w:pStyle w:val="Normal"/></w:pPr>
<w:r><w:t xml:space="preserve">1899); R. Schuck, Brandenburg- Preussens Kolonial-Politik</w:t></w:r>
</w:p>
<w:p>
<w:pPr><w:pStyle w:val="Normal"/></w:pPr>
<w:r><w:t xml:space="preserve">. . . 1641-1721, 2 vols.  Leipzig, 1889): G. M`Call Theal,</w:t></w:r>
</w:p>
<w:p>
<w:pPr><w:pStyle w:val="Normal"/></w:pPr>
<w:r><w:t xml:space="preserve">History and Ethnography of Africa south of the Zambesi</w:t></w:r>
</w:p>
<w:p>
<w:pPr><w:pStyle w:val="Normal"/></w:pPr>
<w:r><w:t xml:space="preserve">. . . to 1795, 3 vols. (1907-1910), and History of South</w:t></w:r>
</w:p>
<w:p>
<w:pPr><w:pStyle w:val="Normal"/></w:pPr>
<w:r><w:t xml:space="preserve">Africa since September 1795 (to 1872) 5 vols. (1908); Idem,</w:t></w:r>
</w:p>
<w:p>
<w:pPr><w:pStyle w:val="Normal"/></w:pPr>
<w:r><w:t xml:space="preserve">Records of South-Eastern Africa, 9 vols., 1898-1903; Lady</w:t></w:r>
</w:p>
<w:p>
<w:pPr><w:pStyle w:val="Normal"/></w:pPr>
<w:r><w:t xml:space="preserve">Lugard, A Tropical Dependency: Outline of the History of</w:t></w:r>
</w:p>
<w:p>
<w:pPr><w:pStyle w:val="Normal"/></w:pPr>
<w:r><w:t xml:space="preserve">the Western Sudan, &amp;c.; (1905); Sir F. Hertslet, The Map</w:t></w:r>
</w:p>
<w:p>
<w:pPr><w:pStyle w:val="Normal"/></w:pPr>
<w:r><w:t xml:space="preserve">of Africa by Treaty, 3 vols. (3rd ed., 1909); J . S. Keltie,</w:t></w:r>
</w:p>
<w:p>
<w:pPr><w:pStyle w:val="Normal"/></w:pPr>
<w:r><w:t xml:space="preserve">The Partition of Africa, 2nd ed. (1895); F. Van Ortroy,</w:t></w:r>
</w:p>
<w:p>
<w:pPr><w:pStyle w:val="Normal"/></w:pPr>
<w:r><w:t xml:space="preserve">Conventions internationales definissant les limites . . .</w:t></w:r>
</w:p>
<w:p>
<w:pPr><w:pStyle w:val="Normal"/></w:pPr>
<w:r><w:t xml:space="preserve">en Afrique (Brussels, 1898); General Act of the Conference</w:t></w:r>
</w:p>
<w:p>
<w:pPr><w:pStyle w:val="Normal"/></w:pPr>
<w:r><w:t xml:space="preserve">of Berlin, 1885: The Surveys and Explorations of British</w:t></w:r>
</w:p>
<w:p>
<w:pPr><w:pStyle w:val="Normal"/></w:pPr>
<w:r><w:t xml:space="preserve">Africa (Colonial Reports, No. 500) (1906), and annual reports</w:t></w:r>
</w:p>
<w:p>
<w:pPr><w:pStyle w:val="Normal"/></w:pPr>
<w:r><w:t xml:space="preserve">thereafter; Sir F. D. Lugard, The Rise or our East African</w:t></w:r>
</w:p>
<w:p>
<w:pPr><w:pStyle w:val="Normal"/></w:pPr>
<w:r><w:t xml:space="preserve">Empire, 2 vols. (1893); E. Petit, Les colonies francaises,</w:t></w:r>
</w:p>
<w:p>
<w:pPr><w:pStyle w:val="Normal"/></w:pPr>
<w:r><w:t xml:space="preserve">2 vols. (Paris, 1902-1904); E. Rouard de Card, Les Traites</w:t></w:r>
</w:p>
<w:p>
<w:pPr><w:pStyle w:val="Normal"/></w:pPr>
<w:r><w:t xml:space="preserve">de protectorat conclus par la France en Afrique, 1870-1895</w:t></w:r>
</w:p>
<w:p>
<w:pPr><w:pStyle w:val="Normal"/></w:pPr>
<w:r><w:t xml:space="preserve">(Paris, 1897); A. J. de Araujo, Colonies portuguaises d&apos;Afrique</w:t></w:r>
</w:p>
<w:p>
<w:pPr><w:pStyle w:val="Normal"/></w:pPr>
<w:r><w:t xml:space="preserve">Lisbon, 1900); B.Trognitz, ``Neue Arealbestimmung des Continents</w:t></w:r>
</w:p>
<w:p>
<w:pPr><w:pStyle w:val="Normal"/></w:pPr>
<w:r><w:t xml:space="preserve">Afrika,&apos;&apos; Petermanns Mitt., 1893, 220-221; A. Supan, ``Die</w:t></w:r>
</w:p>
<w:p>
<w:pPr><w:pStyle w:val="Normal"/></w:pPr>
<w:r><w:t xml:space="preserve">Bevolkerung der Erde,&apos;&apos; xii., Peterm.  Mitt. Erganzungsh.</w:t></w:r>
</w:p>
<w:p>
<w:pPr><w:pStyle w:val="Normal"/></w:pPr>
<w:r><w:t xml:space="preserve">146 (Gotha, 1904) (deals with areas as well as population).</w:t></w:r>
</w:p>
<w:p>
<w:pPr><w:pStyle w:val="Normal"/></w:pPr>
<w:r><w:t xml:space="preserve">sec.  VII. Commerce and Economics.--A.  Silva White, The</w:t></w:r>
</w:p>
<w:p>
<w:pPr><w:pStyle w:val="Normal"/></w:pPr>
<w:r><w:t xml:space="preserve">Development of Africa, 2nd ed. (1892): K. Dove, ``Grundzuge</w:t></w:r>
</w:p>
<w:p>
<w:pPr><w:pStyle w:val="Normal"/></w:pPr>
<w:r><w:t xml:space="preserve">einer Wirtschaftsgeographie Afrikas,&apos;&apos; Geographische</w:t></w:r>
</w:p>
<w:p>
<w:pPr><w:pStyle w:val="Normal"/></w:pPr>
<w:r><w:t xml:space="preserve">Zeitschrift, 1905, i-18; E. Hahn, ``Die Stellung Afrikas in</w:t></w:r>
</w:p>
<w:p>
<w:pPr><w:pStyle w:val="Normal"/></w:pPr>
<w:r><w:t xml:space="preserve">der Geschichte des Welthandels,&apos;&apos; Verhandl. 11. Deutsch.</w:t></w:r>
</w:p>
<w:p>
<w:pPr><w:pStyle w:val="Normal"/></w:pPr>
<w:r><w:t xml:space="preserve">Geographentags zu Bremen (Berlin, 1896); L. de Launay,</w:t></w:r>
</w:p>
<w:p>
<w:pPr><w:pStyle w:val="Normal"/></w:pPr>
<w:r><w:t xml:space="preserve">Les Richesses minerales de l&apos;Afrique (Paris, 1903); K.</w:t></w:r>
</w:p>
<w:p>
<w:pPr><w:pStyle w:val="Normal"/></w:pPr>
<w:r><w:t xml:space="preserve">Futterer, Afrika in seiner Bedeutung fur die Goldproduktion</w:t></w:r>
</w:p>
<w:p>
<w:pPr><w:pStyle w:val="Normal"/></w:pPr>
<w:r><w:t xml:space="preserve">(Berlin, 1894); P. Reichard, ``Das afrikan.  Elfenbein und</w:t></w:r>
</w:p>
<w:p>
<w:pPr><w:pStyle w:val="Normal"/></w:pPr>
<w:r><w:t xml:space="preserve">sein Handel,&apos;&apos; Deutsche geogr.  Blatter (Bremen, 1889); Sir</w:t></w:r>
</w:p>
<w:p>
<w:pPr><w:pStyle w:val="Normal"/></w:pPr>
<w:r><w:t xml:space="preserve">A. Moloney, Sketch of the Forestry of West Africa (1887);</w:t></w:r>
</w:p>
<w:p>
<w:pPr><w:pStyle w:val="Normal"/></w:pPr>
<w:r><w:t xml:space="preserve">Dewevre, ``Les Caoutchoucs africains,&apos;&apos; Ann. Soc. Sci.</w:t></w:r>
</w:p>
<w:p>
<w:pPr><w:pStyle w:val="Normal"/></w:pPr>
<w:r><w:t xml:space="preserve">Bruxelles, 1895; Sir T. F. Buxton, The African Slave Trade</w:t></w:r>
</w:p>
<w:p>
<w:pPr><w:pStyle w:val="Normal"/></w:pPr>
<w:r><w:t xml:space="preserve">and its Remedy (1840); C. M. A. Lavigerie, L&apos;Esclavage</w:t></w:r>
</w:p>
<w:p>
<w:pPr><w:pStyle w:val="Normal"/></w:pPr>
<w:r><w:t xml:space="preserve">africain (Paris, 1888); E. de Renty, Les chemins de fer</w:t></w:r>
</w:p>
<w:p>
<w:pPr><w:pStyle w:val="Normal"/></w:pPr>
<w:r><w:t xml:space="preserve">coloniaux en Afrique, 3 vols. (Paris, 1903-1905); H. Meyer,</w:t></w:r>
</w:p>
<w:p>
<w:pPr><w:pStyle w:val="Normal"/></w:pPr>
<w:r><w:t xml:space="preserve">Die Eisenbahnen im tropischen Afrika (Leipzig, 1902); G.</w:t></w:r>
</w:p>
<w:p>
<w:pPr><w:pStyle w:val="Normal"/></w:pPr>
<w:r><w:t xml:space="preserve">Grenfell, ``The Upper Congo as a Waterway,&apos;&apos; Geogr.  Journ.,</w:t></w:r>
</w:p>
<w:p>
<w:pPr><w:pStyle w:val="Normal"/></w:pPr>
<w:r><w:t xml:space="preserve">Nov. 1902; A. St. H. Gibbons, ``The Nile and Zambezi Systems</w:t></w:r>
</w:p>
<w:p>
<w:pPr><w:pStyle w:val="Normal"/></w:pPr>
<w:r><w:t xml:space="preserve">as Waterways,&apos;&apos; Journ.  R. Colon.  Inst., 1901; K. Lent,</w:t></w:r>
</w:p>
<w:p>
<w:pPr><w:pStyle w:val="Normal"/></w:pPr>
<w:r><w:t xml:space="preserve">``Verkehrsmittel in Ostafrika,&apos;&apos; Deutsches Kolonialblatt,</w:t></w:r>
</w:p>
<w:p>
<w:pPr><w:pStyle w:val="Normal"/></w:pPr>
<w:r><w:t xml:space="preserve">1894; ``Trade of the United Kingdom with the African Continent</w:t></w:r>
</w:p>
<w:p>
<w:pPr><w:pStyle w:val="Normal"/></w:pPr>
<w:r><w:t xml:space="preserve">in 1898-1902,&apos;&apos; Board of T. Journ., 1903; Diplomatic and</w:t></w:r>
</w:p>
<w:p>
<w:pPr><w:pStyle w:val="Normal"/></w:pPr>
<w:r><w:t xml:space="preserve">Consular Peports, Annual Series; Colonial Reports; T. H.</w:t></w:r>
</w:p>
<w:p>
<w:pPr><w:pStyle w:val="Normal"/></w:pPr>
<w:r><w:t xml:space="preserve">Parke, Guide to Health in Africa (1893); R. W. Felkin,</w:t></w:r>
</w:p>
<w:p>
<w:pPr><w:pStyle w:val="Normal"/></w:pPr>
<w:r><w:t xml:space="preserve">Geographical Distribution of Tropical Diseases in Africa (1895)</w:t></w:r>
</w:p>
<w:p>
<w:pPr><w:pStyle w:val="Normal"/></w:pPr>
<w:r><w:t xml:space="preserve">The following bibliographies may also be consulted: J. Gay,</w:t></w:r>
</w:p>
<w:p>
<w:pPr><w:pStyle w:val="Normal"/></w:pPr>
<w:r><w:t xml:space="preserve">Bibliographie des ouvrages relatifs a l&apos;Afrique, &amp;c. (San Remo,</w:t></w:r>
</w:p>
<w:p>
<w:pPr><w:pStyle w:val="Normal"/></w:pPr>
<w:r><w:t xml:space="preserve">1875); P. Paulitschke, Die Afrika-Literatur von 1500 bis 1750</w:t></w:r>
</w:p>
<w:p>
<w:pPr><w:pStyle w:val="Normal"/></w:pPr>
<w:r><w:t xml:space="preserve">(Vienne, 1882); Catalogue of the Colonial Office Library, vol.</w:t></w:r>
</w:p>
<w:p>
<w:pPr><w:pStyle w:val="Normal"/></w:pPr>
<w:r><w:t xml:space="preserve">3, Africa (specially for government publications). (E. HE.)</w:t></w:r>
</w:p>
<w:p>
<w:pPr><w:pStyle w:val="Normal"/></w:pPr>
<w:r><w:t xml:space="preserve">1 Where no place of publication is given, London is to be understood.</w:t></w:r>
</w:p>
<w:p>
<w:pPr><w:pStyle w:val="Normal"/></w:pPr>
<w:r><w:t xml:space="preserve">AFRICA, ROMAN. The Romans gave the name of Africa to</w:t></w:r>
</w:p>
<w:p>
<w:pPr><w:pStyle w:val="Normal"/></w:pPr>
<w:r><w:t xml:space="preserve">that part of the world which the Greeks called Libya</w:t></w:r>
</w:p>
<w:p>
<w:pPr><w:pStyle w:val="Normal"/></w:pPr>
<w:r><w:t xml:space="preserve">(Aibbe.) It comprised the whole of the portion of the</w:t></w:r>
</w:p>
<w:p>
<w:pPr><w:pStyle w:val="Normal"/></w:pPr>
<w:r><w:t xml:space="preserve">African continent known to the ancients, except Egypt and</w:t></w:r>
</w:p>
<w:p>
<w:pPr><w:pStyle w:val="Normal"/></w:pPr>
<w:r><w:t xml:space="preserve">Ethiopia.  But besides this general sense, which occurs in</w:t></w:r>
</w:p>
<w:p>
<w:pPr><w:pStyle w:val="Normal"/></w:pPr>
<w:r><w:t xml:space="preserve">Pliny (iii. 3), Pomponius Mela (i. 8) and other authors, the</w:t></w:r>
</w:p>
<w:p>
<w:pPr><w:pStyle w:val="Normal"/></w:pPr>
<w:r><w:t xml:space="preserve">official and administrative language used the word Africa</w:t></w:r>
</w:p>
<w:p>
<w:pPr><w:pStyle w:val="Normal"/></w:pPr>
<w:r><w:t xml:space="preserve">in a narrower sense, which is noticed below.  The term was</w:t></w:r>
</w:p>
<w:p>
<w:pPr><w:pStyle w:val="Normal"/></w:pPr>
<w:r><w:t xml:space="preserve">certainly borrowed by the Romans from the language of the</w:t></w:r>
</w:p>
<w:p>
<w:pPr><w:pStyle w:val="Normal"/></w:pPr>
<w:r><w:t xml:space="preserve">natives.  In Latin literature it was employed for the</w:t></w:r>
</w:p>
<w:p>
<w:pPr><w:pStyle w:val="Normal"/></w:pPr>
<w:r><w:t xml:space="preserve">first time by the poet Ennius, who wrote in the interval</w:t></w:r>
</w:p>
<w:p>
<w:pPr><w:pStyle w:val="Normal"/></w:pPr>
<w:r><w:t xml:space="preserve">between the First and Second Punic Wars (Ann. vi.; Sat.</w:t></w:r>
</w:p>
<w:p>
<w:pPr><w:pStyle w:val="Normal"/></w:pPr>
<w:r><w:t xml:space="preserve">iii.).  By him the term was confined to the territory of</w:t></w:r>
</w:p>
<w:p>
<w:pPr><w:pStyle w:val="Normal"/></w:pPr>
<w:r><w:t xml:space="preserve">Carthage and the regions composing the eastern group of the</w:t></w:r>
</w:p>
<w:p>
<w:pPr><w:pStyle w:val="Normal"/></w:pPr>
<w:r><w:t xml:space="preserve">Atlas.  Among the numerous conjectures which have been made</w:t></w:r>
</w:p>
<w:p>
<w:pPr><w:pStyle w:val="Normal"/></w:pPr>
<w:r><w:t xml:space="preserve">as to the etymology of the term Africa (&apos;Afrike) may be</w:t></w:r>
</w:p>
<w:p>
<w:pPr><w:pStyle w:val="Normal"/></w:pPr>
<w:r><w:t xml:space="preserve">quoted that which derives it from the Semitic radical resh</w:t></w:r>
</w:p>
<w:p>
<w:pPr><w:pStyle w:val="Normal"/></w:pPr>
<w:r><w:t xml:space="preserve">daleth pe (``separate&apos;&apos;), Africa being considered, in this</w:t></w:r>
</w:p>
<w:p>
<w:pPr><w:pStyle w:val="Normal"/></w:pPr>
<w:r><w:t xml:space="preserve">connexion, as a Phoenician settlement ``separated&apos;&apos; from the</w:t></w:r>
</w:p>
<w:p>
<w:pPr><w:pStyle w:val="Normal"/></w:pPr>
<w:r><w:t xml:space="preserve">mother country, Asiatic Phoenicia.  It has also been held that</w:t></w:r>
</w:p>
<w:p>
<w:pPr><w:pStyle w:val="Normal"/></w:pPr>
<w:r><w:t xml:space="preserve">the word Africa comes from friqi, farikia (the country of</w:t></w:r>
</w:p>
<w:p>
<w:pPr><w:pStyle w:val="Normal"/></w:pPr>
<w:r><w:t xml:space="preserve">fruit).  The best hypothesis in the writer&apos;s opinion is that</w:t></w:r>
</w:p>
<w:p>
<w:pPr><w:pStyle w:val="Normal"/></w:pPr>
<w:r><w:t xml:space="preserve">maintained by Charles Tissot, who sees in the word ``Africa&apos;&apos;</w:t></w:r>
</w:p>
<w:p>
<w:pPr><w:pStyle w:val="Normal"/></w:pPr>
<w:r><w:t xml:space="preserve">the name of the great Berber tribe, the Aourigha (whose name</w:t></w:r>
</w:p>
<w:p>
<w:pPr><w:pStyle w:val="Normal"/></w:pPr>
<w:r><w:t xml:space="preserve">would have been pronounced Afarika), the modern Aouraghen,</w:t></w:r>
</w:p>
<w:p>
<w:pPr><w:pStyle w:val="Normal"/></w:pPr>
<w:r><w:t xml:space="preserve">now driven back into the Sahara, but in ancient times the</w:t></w:r>
</w:p>
<w:p>
<w:pPr><w:pStyle w:val="Normal"/></w:pPr>
<w:r><w:t xml:space="preserve">principal indigenous element of the African empire of Carthage</w:t></w:r>
</w:p>
<w:p>
<w:pPr><w:pStyle w:val="Normal"/></w:pPr>
<w:r><w:t xml:space="preserve">(Tissot, Geogr. comp. i. 389).  Thus Africa was originally,</w:t></w:r>
</w:p>
<w:p>
<w:pPr><w:pStyle w:val="Normal"/></w:pPr>
<w:r><w:t xml:space="preserve">in the eyes of the Romans and Carthaginians alike, the country</w:t></w:r>
</w:p>
<w:p>
<w:pPr><w:pStyle w:val="Normal"/></w:pPr>
<w:r><w:t xml:space="preserve">inhabited by the great tribe of Berbers or Numidians called</w:t></w:r>
</w:p>
<w:p>
<w:pPr><w:pStyle w:val="Normal"/></w:pPr>
<w:r><w:t xml:space="preserve">Afarik.  Cyrenaica, on the east, attached to Egypt, was then</w:t></w:r>
</w:p>
<w:p>
<w:pPr><w:pStyle w:val="Normal"/></w:pPr>
<w:r><w:t xml:space="preserve">excluded from it, and, similarly, Mauretania, on the west.</w:t></w:r>
</w:p>
<w:p>
<w:pPr><w:pStyle w:val="Normal"/></w:pPr>
<w:r><w:t xml:space="preserve">At the time of the Third Punic War the Africa of the Carthaginians</w:t></w:r>
</w:p>
<w:p>
<w:pPr><w:pStyle w:val="Normal"/></w:pPr>
<w:r><w:t xml:space="preserve">was but a fragment of their ancient native empire.  It comprised</w:t></w:r>
</w:p>
<w:p>
<w:pPr><w:pStyle w:val="Normal"/></w:pPr>
<w:r><w:t xml:space="preserve">the territory bounded by a vague line running from the mouth</w:t></w:r>
</w:p>
<w:p>
<w:pPr><w:pStyle w:val="Normal"/></w:pPr>
<w:r><w:t xml:space="preserve">of the Tusca (Wad el Kebir), opposite the island of Tabraca</w:t></w:r>
</w:p>
<w:p>
<w:pPr><w:pStyle w:val="Normal"/></w:pPr>
<w:r><w:t xml:space="preserve">(Tabarca), as far as the town of Thenae (Tina), at the mouth</w:t></w:r>
</w:p>
<w:p>
<w:pPr><w:pStyle w:val="Normal"/></w:pPr>
<w:r><w:t xml:space="preserve">of the Gulf of Gabes.  The rest of Africa had passed into the</w:t></w:r>
</w:p>
<w:p>
<w:pPr><w:pStyle w:val="Normal"/></w:pPr>
<w:r><w:t xml:space="preserve">hands of the kings of Numidia, who were allies of the Romans.</w:t></w:r>
</w:p>
<w:p>
<w:pPr><w:pStyle w:val="Normal"/></w:pPr>
<w:r><w:t xml:space="preserve">After the capture of Carthage by Scipio (146 B.C.) this</w:t></w:r>
</w:p>
<w:p>
<w:pPr><w:pStyle w:val="Normal"/></w:pPr>
<w:r><w:t xml:space="preserve">territory was erected into a Roman province, and a trench,</w:t></w:r>
</w:p>
<w:p>
<w:pPr><w:pStyle w:val="Normal"/></w:pPr>
<w:r><w:t xml:space="preserve">the fossa regia, was dug to mark the boundary of the</w:t></w:r>
</w:p>
<w:p>
<w:pPr><w:pStyle w:val="Normal"/></w:pPr>
<w:r><w:t xml:space="preserve">Roman province of Africa and the dominions of the Numidian</w:t></w:r>
</w:p>
<w:p>
<w:pPr><w:pStyle w:val="Normal"/></w:pPr>
<w:r><w:t xml:space="preserve">princes.  There have been discovered (1907) the remains of</w:t></w:r>
</w:p>
<w:p>
<w:pPr><w:pStyle w:val="Normal"/></w:pPr>
<w:r><w:t xml:space="preserve">this ditch protected by a low wall or a stone dyke; some of</w:t></w:r>
</w:p>
<w:p>
<w:pPr><w:pStyle w:val="Normal"/></w:pPr>
<w:r><w:t xml:space="preserve">the boundary stones which marked its course, and inscriptions</w:t></w:r>
</w:p>
<w:p>
<w:pPr><w:pStyle w:val="Normal"/></w:pPr>
<w:r><w:t xml:space="preserve">mentioning it, have also been found.  From Testur on the</w:t></w:r>
</w:p>
<w:p>
<w:pPr><w:pStyle w:val="Normal"/></w:pPr>
<w:r><w:t xml:space="preserve">Mejerda the fossa regia can be followed by these indications</w:t></w:r>
</w:p>
<w:p>
<w:pPr><w:pStyle w:val="Normal"/></w:pPr>
<w:r><w:t xml:space="preserve">for several miles along the Jebel esh-Sheid.  The ditch ran</w:t></w:r>
</w:p>
<w:p>
<w:pPr><w:pStyle w:val="Normal"/></w:pPr>
<w:r><w:t xml:space="preserve">northward to Tabarca and southward to Tina.  The importance</w:t></w:r>
</w:p>
<w:p>
<w:pPr><w:pStyle w:val="Normal"/></w:pPr>
<w:r><w:t xml:space="preserve">of the discoveries lies in the fact that the ditch which</w:t></w:r>
</w:p>
<w:p>
<w:pPr><w:pStyle w:val="Normal"/></w:pPr>
<w:r><w:t xml:space="preserve">in later times divided the provinces of Africa vetus and</w:t></w:r>
</w:p>
<w:p>
<w:pPr><w:pStyle w:val="Normal"/></w:pPr>
<w:r><w:t xml:space="preserve">Africa nova was at the time of the Third Punic War the</w:t></w:r>
</w:p>
<w:p>
<w:pPr><w:pStyle w:val="Normal"/></w:pPr>
<w:r><w:t xml:space="preserve">boundary of Carthaginian territory (R. Cagnat, ``Le fosse</w:t></w:r>
</w:p>
<w:p>
<w:pPr><w:pStyle w:val="Normal"/></w:pPr>
<w:r><w:t xml:space="preserve">des frontieres romaines&apos;&apos; in Melanges Boissier, 1905, p.</w:t></w:r>
</w:p>
<w:p>
<w:pPr><w:pStyle w:val="Normal"/></w:pPr>
<w:r><w:t xml:space="preserve">227; L. Poinssot in Comptes rendus de l&apos;Acad. des Inscript.</w:t></w:r>
</w:p>
<w:p>
<w:pPr><w:pStyle w:val="Normal"/></w:pPr>
<w:r><w:t xml:space="preserve">et Belles Lettres, 1907, p. 466; Classical Review, 1907,</w:t></w:r>
</w:p>
<w:p>
<w:pPr><w:pStyle w:val="Normal"/></w:pPr>
<w:r><w:t xml:space="preserve">December, p. 255).  The government of the Roman province thus</w:t></w:r>
</w:p>
<w:p>
<w:pPr><w:pStyle w:val="Normal"/></w:pPr>
<w:r><w:t xml:space="preserve">delimited was entrusted to a praetor or propraetor, of</w:t></w:r>
</w:p>
<w:p>
<w:pPr><w:pStyle w:val="Normal"/></w:pPr>
<w:r><w:t xml:space="preserve">whom several are now known, e.g. P. Sextilius, propraetor</w:t></w:r>
</w:p>
<w:p>
<w:pPr><w:pStyle w:val="Normal"/></w:pPr>
<w:r><w:t xml:space="preserve">Africae, according to coins of Hadrumetum of the year 94</w:t></w:r>
</w:p>
<w:p>
<w:pPr><w:pStyle w:val="Normal"/></w:pPr>
<w:r><w:t xml:space="preserve">B.C. The towns which had fought on the side of the Romans</w:t></w:r>
</w:p>
<w:p>
<w:pPr><w:pStyle w:val="Normal"/></w:pPr>
<w:r><w:t xml:space="preserve">during the Third Punic War were declared civitates liberae,</w:t></w:r>
</w:p>
<w:p>
<w:pPr><w:pStyle w:val="Normal"/></w:pPr>
<w:r><w:t xml:space="preserve">and became exceedingly prosperous.  They were Utica (Bu</w:t></w:r>
</w:p>
<w:p>
<w:pPr><w:pStyle w:val="Normal"/></w:pPr>
<w:r><w:t xml:space="preserve">Shatir), Hadrumetum (Susa), Thapsus (Dimas), Leptis Minor</w:t></w:r>
</w:p>
<w:p>
<w:pPr><w:pStyle w:val="Normal"/></w:pPr>
<w:r><w:t xml:space="preserve">(Lemta), Achulla (Badria), Uzalis (about 11 m. from Utica)</w:t></w:r>
</w:p>
<w:p>
<w:pPr><w:pStyle w:val="Normal"/></w:pPr>
<w:r><w:t xml:space="preserve">and Theudalis.  Those towns, however, which had remained</w:t></w:r>
</w:p>
<w:p>
<w:pPr><w:pStyle w:val="Normal"/></w:pPr>
<w:r><w:t xml:space="preserve">faithful to Carthage were destroyed, like Carthage itself.</w:t></w:r>
</w:p>
<w:p>
<w:pPr><w:pStyle w:val="Normal"/></w:pPr>
<w:r><w:t xml:space="preserve">After the Jugurthine war in 106, the whole of the regio</w:t></w:r>
</w:p>
<w:p>
<w:pPr><w:pStyle w:val="Normal"/></w:pPr>
<w:r><w:t xml:space="preserve">Tripolitana, comprising Leptis Magna (Lebda), Oea (Tripoli),</w:t></w:r>
</w:p>
<w:p>
<w:pPr><w:pStyle w:val="Normal"/></w:pPr>
<w:r><w:t xml:space="preserve">Sabrata, and the other towns on the littoral of the two Syrtes,</w:t></w:r>
</w:p>
<w:p>
<w:pPr><w:pStyle w:val="Normal"/></w:pPr>
<w:r><w:t xml:space="preserve">appears to have been annexed to the Roman province in a more</w:t></w:r>
</w:p>
<w:p>
<w:pPr><w:pStyle w:val="Normal"/></w:pPr>
<w:r><w:t xml:space="preserve">or less regular manner (Tissot ii. 21). The battle of Thapsus</w:t></w:r>
</w:p>
<w:p>
<w:pPr><w:pStyle w:val="Normal"/></w:pPr>
<w:r><w:t xml:space="preserve">in 46 made the Romans definitely masters of Numidia, and the</w:t></w:r>
</w:p>
<w:p>
<w:pPr><w:pStyle w:val="Normal"/></w:pPr>
<w:r><w:t xml:space="preserve">spheres of administration were clearly marked out.  Numidia was</w:t></w:r>
</w:p>
<w:p>
<w:pPr><w:pStyle w:val="Normal"/></w:pPr>
<w:r><w:t xml:space="preserve">converted into a new province called ``Africa Nova,&apos;&apos; and of</w:t></w:r>
</w:p>
<w:p>
<w:pPr><w:pStyle w:val="Normal"/></w:pPr>
<w:r><w:t xml:space="preserve">this province the historian Sallust was appointed proconsul and</w:t></w:r>
</w:p>
<w:p>
<w:pPr><w:pStyle w:val="Normal"/></w:pPr>
<w:r><w:t xml:space="preserve">invested with the imperium. From that time the old province</w:t></w:r>
</w:p>
<w:p>
<w:pPr><w:pStyle w:val="Normal"/></w:pPr>
<w:r><w:t xml:space="preserve">of Africa was known as ``Africa Vetus&apos;&apos; or ``Africa Propria.&apos;&apos;</w:t></w:r>
</w:p>
<w:p>
<w:pPr><w:pStyle w:val="Normal"/></w:pPr>
<w:r><w:t xml:space="preserve">This state of affairs, however, lasted but a short time.  In</w:t></w:r>
</w:p>
<w:p>
<w:pPr><w:pStyle w:val="Normal"/></w:pPr>
<w:r><w:t xml:space="preserve">31 B.C. Octavius gave up Numidia, or Africa Nova, to King</w:t></w:r>
</w:p>
<w:p>
<w:pPr><w:pStyle w:val="Normal"/></w:pPr>
<w:r><w:t xml:space="preserve">Juba II. Five years later Augustus gave Mauretania and some</w:t></w:r>
</w:p>
<w:p>
<w:pPr><w:pStyle w:val="Normal"/></w:pPr>
<w:r><w:t xml:space="preserve">Gaetulian districts to Juba, and received in exchange Numidia,</w:t></w:r>
</w:p>
<w:p>
<w:pPr><w:pStyle w:val="Normal"/></w:pPr>
<w:r><w:t xml:space="preserve">which thus reverted to direct Roman control.  Numidia, however,</w:t></w:r>
</w:p>
<w:p>
<w:pPr><w:pStyle w:val="Normal"/></w:pPr>
<w:r><w:t xml:space="preserve">no longer formed a distinct government, but was attached to the</w:t></w:r>
</w:p>
<w:p>
<w:pPr><w:pStyle w:val="Normal"/></w:pPr>
<w:r><w:t xml:space="preserve">old province of Africa.  From 25 B.C. the Roman province of</w:t></w:r>
</w:p>
<w:p>
<w:pPr><w:pStyle w:val="Normal"/></w:pPr>
<w:r><w:t xml:space="preserve">Africa comprised the whole of the region between the mouth of</w:t></w:r>
</w:p>
<w:p>
<w:pPr><w:pStyle w:val="Normal"/></w:pPr>
<w:r><w:t xml:space="preserve">the Ampsaga (Wad Rummel, Wad el Kebir) on the west, and the two</w:t></w:r>
</w:p>
<w:p>
<w:pPr><w:pStyle w:val="Normal"/></w:pPr>
<w:r><w:t xml:space="preserve">tumuli called the altars of the Philaeni, the immutable boundary</w:t></w:r>
</w:p>
<w:p>
<w:pPr><w:pStyle w:val="Normal"/></w:pPr>
<w:r><w:t xml:space="preserve">between Tripolitana and Cyrenaica, on the east (Tissot ii.</w:t></w:r>
</w:p>
<w:p>
<w:pPr><w:pStyle w:val="Normal"/></w:pPr>
<w:r><w:t xml:space="preserve">261).  In the partition of the government of the provinces of</w:t></w:r>
</w:p>
<w:p>
<w:pPr><w:pStyle w:val="Normal"/></w:pPr>
<w:r><w:t xml:space="preserve">the Roman empire between the senate and the emperor, Africa</w:t></w:r>
</w:p>
<w:p>
<w:pPr><w:pStyle w:val="Normal"/></w:pPr>
<w:r><w:t xml:space="preserve">fell to the senate, and was henceforth administered by a</w:t></w:r>
</w:p>
<w:p>
<w:pPr><w:pStyle w:val="Normal"/></w:pPr>
<w:r><w:t xml:space="preserve">proconsul.  Subordinate to him were the legati pro consule,</w:t></w:r>
</w:p>
<w:p>
<w:pPr><w:pStyle w:val="Normal"/></w:pPr>
<w:r><w:t xml:space="preserve">who were placed at the head of districts called dioceses.</w:t></w:r>
</w:p>
<w:p>
<w:pPr><w:pStyle w:val="Normal"/></w:pPr>
<w:r><w:t xml:space="preserve">At first there were only three dioceses: Carthaginiensis,</w:t></w:r>
</w:p>
<w:p>
<w:pPr><w:pStyle w:val="Normal"/></w:pPr>
<w:r><w:t xml:space="preserve">Hipponiensis (headquarters Hippo Diarrhytus, now Bizerta),</w:t></w:r>
</w:p>
<w:p>
<w:pPr><w:pStyle w:val="Normal"/></w:pPr>
<w:r><w:t xml:space="preserve">and Numidica (headquarters Cirta, now Constantine).  At</w:t></w:r>
</w:p>
<w:p>
<w:pPr><w:pStyle w:val="Normal"/></w:pPr>
<w:r><w:t xml:space="preserve">a later date the diocesis Hadrumetina was formed, and</w:t></w:r>
</w:p>
<w:p>
<w:pPr><w:pStyle w:val="Normal"/></w:pPr>
<w:r><w:t xml:space="preserve">perhaps at some date unknown the diocesis Tripolitana.</w:t></w:r>
</w:p>
<w:p>
<w:pPr><w:pStyle w:val="Normal"/></w:pPr>
<w:r><w:t xml:space="preserve">The province of Africa was the only senatorial province</w:t></w:r>
</w:p>
<w:p>
<w:pPr><w:pStyle w:val="Normal"/></w:pPr>
<w:r><w:t xml:space="preserve">whose governor had originally been invested with military</w:t></w:r>
</w:p>
<w:p>
<w:pPr><w:pStyle w:val="Normal"/></w:pPr>
<w:r><w:t xml:space="preserve">powers.  The proconsul of Africa, in fact, had command of</w:t></w:r>
</w:p>
<w:p>
<w:pPr><w:pStyle w:val="Normal"/></w:pPr>
<w:r><w:t xml:space="preserve">the legio III. Augusta and the auxiliary corps.  But in</w:t></w:r>
</w:p>
<w:p>
<w:pPr><w:pStyle w:val="Normal"/></w:pPr>
<w:r><w:t xml:space="preserve">A.D. 37 Caligula deprived the proconsul of his military</w:t></w:r>
</w:p>
<w:p>
<w:pPr><w:pStyle w:val="Normal"/></w:pPr>
<w:r><w:t xml:space="preserve">powers and gave them to the imperial legate (legatus Augusti</w:t></w:r>
</w:p>
<w:p>
<w:pPr><w:pStyle w:val="Normal"/></w:pPr>
<w:r><w:t xml:space="preserve">pro praetore provinciae Africae), who was nominated directly</w:t></w:r>
</w:p>
<w:p>
<w:pPr><w:pStyle w:val="Normal"/></w:pPr>
<w:r><w:t xml:space="preserve">by the emperor, and whose special duty it was to guard the</w:t></w:r>
</w:p>
<w:p>
<w:pPr><w:pStyle w:val="Normal"/></w:pPr>
<w:r><w:t xml:space="preserve">frontier zone (Tacitus, Mist. iv. 48; Dio Cass. lix. 20). The</w:t></w:r>
</w:p>
<w:p>
<w:pPr><w:pStyle w:val="Normal"/></w:pPr>
<w:r><w:t xml:space="preserve">headquarters of the imperial legate were originally at Cirta</w:t></w:r>
</w:p>
<w:p>
<w:pPr><w:pStyle w:val="Normal"/></w:pPr>
<w:r><w:t xml:space="preserve">and afterwards at Lambaesa (Lambessa).  The military posts were</w:t></w:r>
</w:p>
<w:p>
<w:pPr><w:pStyle w:val="Normal"/></w:pPr>
<w:r><w:t xml:space="preserve">drawn up in echelon along the frontier of the desert, especially</w:t></w:r>
</w:p>
<w:p>
<w:pPr><w:pStyle w:val="Normal"/></w:pPr>
<w:r><w:t xml:space="preserve">along the southern slopes of the Aures, as far as Ad Majores</w:t></w:r>
</w:p>
<w:p>
<w:pPr><w:pStyle w:val="Normal"/></w:pPr>
<w:r><w:t xml:space="preserve">(Besseriani), and on the Tripolitan frontier as far as Cydamus</w:t></w:r>
</w:p>
<w:p>
<w:pPr><w:pStyle w:val="Normal"/></w:pPr>
<w:r><w:t xml:space="preserve">(Ghadames), forming an immense arc extending from Cyrenaica to</w:t></w:r>
</w:p>
<w:p>
<w:pPr><w:pStyle w:val="Normal"/></w:pPr>
<w:r><w:t xml:space="preserve">Mauretania.  A network of military routes, constructed and</w:t></w:r>
</w:p>
<w:p>
<w:pPr><w:pStyle w:val="Normal"/></w:pPr>
<w:r><w:t xml:space="preserve">kept in repair by the soldiers, led from Lambaesa in all</w:t></w:r>
</w:p>
<w:p>
<w:pPr><w:pStyle w:val="Normal"/></w:pPr>
<w:r><w:t xml:space="preserve">directions, and stretched along the frontier as far as</w:t></w:r>
</w:p>
<w:p>
<w:pPr><w:pStyle w:val="Normal"/></w:pPr>
<w:r><w:t xml:space="preserve">Leptis Magna, passing Theveste (Tebessa), Thenae and Tacape</w:t></w:r>
</w:p>
<w:p>
<w:pPr><w:pStyle w:val="Normal"/></w:pPr>
<w:r><w:t xml:space="preserve">(Gabes).  The powers of the proconsul, however, extended</w:t></w:r>
</w:p>
<w:p>
<w:pPr><w:pStyle w:val="Normal"/></w:pPr>
<w:r><w:t xml:space="preserve">scarcely beyond the ancient Africa Vetus and the towns on the</w:t></w:r>
</w:p>
<w:p>
<w:pPr><w:pStyle w:val="Normal"/></w:pPr>
<w:r><w:t xml:space="preserve">littoral.  Towards 194 Septimius Severus completed the reform</w:t></w:r>
</w:p>
<w:p>
<w:pPr><w:pStyle w:val="Normal"/></w:pPr>
<w:r><w:t xml:space="preserve">of Caligula by detaching from the province of Africa the greater</w:t></w:r>
</w:p>
<w:p>
<w:pPr><w:pStyle w:val="Heading1"/></w:pPr>
<w:r><w:t>part of Numidia to constitute a special province governed by a</w:t></w:r>
</w:p>
<w:p>
<w:pPr><w:pStyle w:val="Normal"/></w:pPr>
<w:r><w:t xml:space="preserve">procurator, subordinate to the imperial legate and resident</w:t></w:r>
</w:p>
<w:p>
<w:pPr><w:pStyle w:val="Normal"/></w:pPr>
<w:r><w:t xml:space="preserve">at Cirta (Tissot ii. 34). This province was called Numidia</w:t></w:r>
</w:p>
<w:p>
<w:pPr><w:pStyle w:val="Normal"/></w:pPr>
<w:r><w:t xml:space="preserve">Cirtensis, as opposed to Numidia Inferior or proconsular Numidia.</w:t></w:r>
</w:p>
<w:p>
<w:pPr><w:pStyle w:val="Normal"/></w:pPr>
<w:r><w:t xml:space="preserve">In Diocletian&apos;s great reform of the administrative system of</w:t></w:r>
</w:p>
<w:p>
<w:pPr><w:pStyle w:val="Normal"/></w:pPr>
<w:r><w:t xml:space="preserve">the empire, the whole of Roman Africa, with the exception of</w:t></w:r>
</w:p>
<w:p>
<w:pPr><w:pStyle w:val="Normal"/></w:pPr>
<w:r><w:t xml:space="preserve">Mauretania Tingitana (which was attached to the province of</w:t></w:r>
</w:p>
<w:p>
<w:pPr><w:pStyle w:val="Normal"/></w:pPr>
<w:r><w:t xml:space="preserve">Spain), constituted a single diocese subdivided into six</w:t></w:r>
</w:p>
<w:p>
<w:pPr><w:pStyle w:val="Normal"/></w:pPr>
<w:r><w:t xml:space="preserve">provinces: Zeugitana (Carthage), Byzacium (Hadrumetum, now</w:t></w:r>
</w:p>
<w:p>
<w:pPr><w:pStyle w:val="Normal"/></w:pPr>
<w:r><w:t xml:space="preserve">Susa), Numidia Cirtensis (Cirta, Constantine), Tripolitana</w:t></w:r>
</w:p>
<w:p>
<w:pPr><w:pStyle w:val="Normal"/></w:pPr>
<w:r><w:t xml:space="preserve">(Tripolis), Mauretania Sitifensis (Sitifis, Setif), and</w:t></w:r>
</w:p>
<w:p>
<w:pPr><w:pStyle w:val="Normal"/></w:pPr>
<w:r><w:t xml:space="preserve">Mauretania Caesariensis (Caesarea, now Cherchel).  These</w:t></w:r>
</w:p>
<w:p>
<w:pPr><w:pStyle w:val="Normal"/></w:pPr>
<w:r><w:t xml:space="preserve">provinces were administered, according to circumstances, by</w:t></w:r>
</w:p>
<w:p>
<w:pPr><w:pStyle w:val="Normal"/></w:pPr>
<w:r><w:t xml:space="preserve">a praeses of senatorial rank, a legatus pro praetore, or</w:t></w:r>
</w:p>
<w:p>
<w:pPr><w:pStyle w:val="Normal"/></w:pPr>
<w:r><w:t xml:space="preserve">a vir clarissimus consularis. Some changes were eventually</w:t></w:r>
</w:p>
<w:p>
<w:pPr><w:pStyle w:val="Normal"/></w:pPr>
<w:r><w:t xml:space="preserve">necessitated by the wars with the Moors and the Vandals.</w:t></w:r>
</w:p>
<w:p>
<w:pPr><w:pStyle w:val="Normal"/></w:pPr>
<w:r><w:t xml:space="preserve">By a treaty concluded in 476, the emperor Zeno recognized</w:t></w:r>
</w:p>
<w:p>
<w:pPr><w:pStyle w:val="Normal"/></w:pPr>
<w:r><w:t xml:space="preserve">Genseric as master of all Africa.  Reconquered by Belisarius in</w:t></w:r>
</w:p>
<w:p>
<w:pPr><w:pStyle w:val="Normal"/></w:pPr>
<w:r><w:t xml:space="preserve">534, Africa formed, under the name of praefectura Africae,</w:t></w:r>
</w:p>
<w:p>
<w:pPr><w:pStyle w:val="Normal"/></w:pPr>
<w:r><w:t xml:space="preserve">one of the great administrative districts of the Byzantine</w:t></w:r>
</w:p>
<w:p>
<w:pPr><w:pStyle w:val="Normal"/></w:pPr>
<w:r><w:t xml:space="preserve">empire.  It was subdivided into six provinces, which were</w:t></w:r>
</w:p>
<w:p>
<w:pPr><w:pStyle w:val="Normal"/></w:pPr>
<w:r><w:t xml:space="preserve">placed under the authority of the praetorian prefect of</w:t></w:r>
</w:p>
<w:p>
<w:pPr><w:pStyle w:val="Normal"/></w:pPr>
<w:r><w:t xml:space="preserve">Africa.  These provinces were Zeugitana (the former</w:t></w:r>
</w:p>
<w:p>
<w:pPr><w:pStyle w:val="Normal"/></w:pPr>
<w:r><w:t xml:space="preserve">Proconsularis), Carthage, Byzacium, Tripolitana, Numidia and</w:t></w:r>
</w:p>
<w:p>
<w:pPr><w:pStyle w:val="Normal"/></w:pPr>
<w:r><w:t xml:space="preserve">Mauretania.  The civil government was carried on by consulares</w:t></w:r>
</w:p>
<w:p>
<w:pPr><w:pStyle w:val="Normal"/></w:pPr>
<w:r><w:t xml:space="preserve">or praesides, while the military government was in the</w:t></w:r>
</w:p>
<w:p>
<w:pPr><w:pStyle w:val="Normal"/></w:pPr>
<w:r><w:t xml:space="preserve">hands of four duces militum, who made strenuous efforts to</w:t></w:r>
</w:p>
<w:p>
<w:pPr><w:pStyle w:val="Normal"/></w:pPr>
<w:r><w:t xml:space="preserve">drive out the barbarians.  The country was studded thickly</w:t></w:r>
</w:p>
<w:p>
<w:pPr><w:pStyle w:val="Normal"/></w:pPr>
<w:r><w:t xml:space="preserve">with burgi (small forts) and clausurae (long walls), the</w:t></w:r>
</w:p>
<w:p>
<w:pPr><w:pStyle w:val="Normal"/></w:pPr>
<w:r><w:t xml:space="preserve">ruins of which still subsist.  In 647 the Arabs penetrated</w:t></w:r>
</w:p>
<w:p>
<w:pPr><w:pStyle w:val="Normal"/></w:pPr>
<w:r><w:t xml:space="preserve">into Ifrikia, which was destined to fall for ever out</w:t></w:r>
</w:p>
<w:p>
<w:pPr><w:pStyle w:val="Normal"/></w:pPr>
<w:r><w:t xml:space="preserve">of the grasp of the Romans.  In 697 Carthage was taken.</w:t></w:r>
</w:p>
<w:p>
<w:pPr><w:pStyle w:val="Normal"/></w:pPr>
<w:r><w:t xml:space="preserve">The bulk of the population of Roman Africa was invariably</w:t></w:r>
</w:p>
<w:p>
<w:pPr><w:pStyle w:val="Normal"/></w:pPr>
<w:r><w:t xml:space="preserve">composed of three chief elements: the indigenous Berber tribes,</w:t></w:r>
</w:p>
<w:p>
<w:pPr><w:pStyle w:val="Normal"/></w:pPr>
<w:r><w:t xml:space="preserve">the ancient Carthaginians of Phoenician origin and the Roman</w:t></w:r>
</w:p>
<w:p>
<w:pPr><w:pStyle w:val="Normal"/></w:pPr>
<w:r><w:t xml:space="preserve">colonists.  The Berber tribes, whose racial unity is attested by</w:t></w:r>
</w:p>
<w:p>
<w:pPr><w:pStyle w:val="Normal"/></w:pPr>
<w:r><w:t xml:space="preserve">their common spoken language and by the comparatively numerous</w:t></w:r>
</w:p>
<w:p>
<w:pPr><w:pStyle w:val="Normal"/></w:pPr>
<w:r><w:t xml:space="preserve">Berber inscriptions that have come down to us, bore in ancient</w:t></w:r>
</w:p>
<w:p>
<w:pPr><w:pStyle w:val="Normal"/></w:pPr>
<w:r><w:t xml:space="preserve">times the generic names of Numidians, Gaetulians and Moors or</w:t></w:r>
</w:p>
<w:p>
<w:pPr><w:pStyle w:val="Normal"/></w:pPr>
<w:r><w:t xml:space="preserve">Maurusiani.  Herodotus mentions a great number of these</w:t></w:r>
</w:p>
<w:p>
<w:pPr><w:pStyle w:val="Normal"/></w:pPr>
<w:r><w:t xml:space="preserve">tribes.  During the Roman period, according to Pliny, there</w:t></w:r>
</w:p>
<w:p>
<w:pPr><w:pStyle w:val="Normal"/></w:pPr>
<w:r><w:t xml:space="preserve">were settlements of 26 indigenous tribes extending from the</w:t></w:r>
</w:p>
<w:p>
<w:pPr><w:pStyle w:val="Normal"/></w:pPr>
<w:r><w:t xml:space="preserve">Ampsaga as far as Cyrenaica.  The much more detailed list of</w:t></w:r>
</w:p>
<w:p>
<w:pPr><w:pStyle w:val="Normal"/></w:pPr>
<w:r><w:t xml:space="preserve">Ptolemy enumerates 39 indigenous tribes in the province of</w:t></w:r>
</w:p>
<w:p>
<w:pPr><w:pStyle w:val="Normal"/></w:pPr>
<w:r><w:t xml:space="preserve">Africa and 25 in Mauretania Caesariensis.  Ammianus Marcellinus,</w:t></w:r>
</w:p>
<w:p>
<w:pPr><w:pStyle w:val="Normal"/></w:pPr>
<w:r><w:t xml:space="preserve">Procopius and Flavius Cresconius Corippus give still further</w:t></w:r>
</w:p>
<w:p>
<w:pPr><w:pStyle w:val="Normal"/></w:pPr>
<w:r><w:t xml:space="preserve">names.  Besides the Afri (Aourigha) of the territory of</w:t></w:r>
</w:p>
<w:p>
<w:pPr><w:pStyle w:val="Normal"/></w:pPr>
<w:r><w:t xml:space="preserve">Carthage, the principal tribes that took part in the wars</w:t></w:r>
</w:p>
<w:p>
<w:pPr><w:pStyle w:val="Normal"/></w:pPr>
<w:r><w:t xml:space="preserve">against the Romans were the Lotophagi, the Garamantes, the</w:t></w:r>
</w:p>
<w:p>
<w:pPr><w:pStyle w:val="Normal"/></w:pPr>
<w:r><w:t xml:space="preserve">Maces, the Nasamones in the regions of the S.E., the Misulani</w:t></w:r>
</w:p>
<w:p>
<w:pPr><w:pStyle w:val="Normal"/></w:pPr>
<w:r><w:t xml:space="preserve">or Musulamii (whence the name Mussulman), the Massyli</w:t></w:r>
</w:p>
<w:p>
<w:pPr><w:pStyle w:val="Normal"/></w:pPr>
<w:r><w:t xml:space="preserve">and the Massaesyli in the E., who were neighbours of the</w:t></w:r>
</w:p>
<w:p>
<w:pPr><w:pStyle w:val="Normal"/></w:pPr>
<w:r><w:t xml:space="preserve">Moors.  The non-nomads of these Libyan tribes dwelt in huts</w:t></w:r>
</w:p>
<w:p>
<w:pPr><w:pStyle w:val="Normal"/></w:pPr>
<w:r><w:t xml:space="preserve">made of stakes supporting plaited mats of rush or asphodel.</w:t></w:r>
</w:p>
<w:p>
<w:pPr><w:pStyle w:val="Normal"/></w:pPr>
<w:r><w:t xml:space="preserve">These dwellings, which were called mapalia, are the modern</w:t></w:r>
</w:p>
<w:p>
<w:pPr><w:pStyle w:val="Normal"/></w:pPr>
<w:r><w:t xml:space="preserve">gourbis. African epigraphy has revealed the names of some</w:t></w:r>
</w:p>
<w:p>
<w:pPr><w:pStyle w:val="Normal"/></w:pPr>
<w:r><w:t xml:space="preserve">of their deities: deus invictus Aulisva; the god Motmanius,</w:t></w:r>
</w:p>
<w:p>
<w:pPr><w:pStyle w:val="Normal"/></w:pPr>
<w:r><w:t xml:space="preserve">associated with Mercury; the god Lilleus; Baldir Augustus;</w:t></w:r>
</w:p>
<w:p>
<w:pPr><w:pStyle w:val="Normal"/></w:pPr>
<w:r><w:t xml:space="preserve">Kautus pater; the goddess Gilva, identified with Tellus, and</w:t></w:r>
</w:p>
<w:p>
<w:pPr><w:pStyle w:val="Normal"/></w:pPr>
<w:r><w:t xml:space="preserve">Ifru Augustus (Tissot i. 486).  The Johannis of Corippus</w:t></w:r>
</w:p>
<w:p>
<w:pPr><w:pStyle w:val="Normal"/></w:pPr>
<w:r><w:t xml:space="preserve">mentions three native divinities: Sinifere, Mastiman and</w:t></w:r>
</w:p>
<w:p>
<w:pPr><w:pStyle w:val="Normal"/></w:pPr>
<w:r><w:t xml:space="preserve">Gurzil.  There were also local divinities in all the principal</w:t></w:r>
</w:p>
<w:p>
<w:pPr><w:pStyle w:val="Normal"/></w:pPr>
<w:r><w:t xml:space="preserve">districts.  The rock bas-reliefs and other monuments showing</w:t></w:r>
</w:p>
<w:p>
<w:pPr><w:pStyle w:val="Normal"/></w:pPr>
<w:r><w:t xml:space="preserve">native divinities are rare, and give only very summary</w:t></w:r>
</w:p>
<w:p>
<w:pPr><w:pStyle w:val="Normal"/></w:pPr>
<w:r><w:t xml:space="preserve">representations.  Dolmens, however, occur in great numbers</w:t></w:r>
</w:p>
<w:p>
<w:pPr><w:pStyle w:val="Normal"/></w:pPr>
<w:r><w:t xml:space="preserve">in Tunisia and the province of Constantine.  Tumuli, too,</w:t></w:r>
</w:p>
<w:p>
<w:pPr><w:pStyle w:val="Normal"/></w:pPr>
<w:r><w:t xml:space="preserve">are found throughout northern Africa, the most celebrated</w:t></w:r>
</w:p>
<w:p>
<w:pPr><w:pStyle w:val="Normal"/></w:pPr>
<w:r><w:t xml:space="preserve">being that near Cherchel, the Kubr-er-Rumia (``tomb of</w:t></w:r>
</w:p>
<w:p>
<w:pPr><w:pStyle w:val="Normal"/></w:pPr>
<w:r><w:t xml:space="preserve">the Christian lady&apos;&apos;), which was regarded by Pomponius</w:t></w:r>
</w:p>
<w:p>
<w:pPr><w:pStyle w:val="Normal"/></w:pPr>
<w:r><w:t xml:space="preserve">Mela as the royal burying-place of the kings of Numidia.</w:t></w:r>
</w:p>
<w:p>
<w:pPr><w:pStyle w:val="Normal"/></w:pPr>
<w:r><w:t xml:space="preserve">During the Roman period the ancient Carthaginians of Phoenician</w:t></w:r>
</w:p>
<w:p>
<w:pPr><w:pStyle w:val="Normal"/></w:pPr>
<w:r><w:t xml:space="preserve">origin and the bastard population termed by ancient authors</w:t></w:r>
</w:p>
<w:p>
<w:pPr><w:pStyle w:val="Normal"/></w:pPr>
<w:r><w:t xml:space="preserve">Libyo-Phoenicians, like the modern Maltese, invariably formed</w:t></w:r>
</w:p>
<w:p>
<w:pPr><w:pStyle w:val="Normal"/></w:pPr>
<w:r><w:t xml:space="preserve">the predominant population of the towns on the littoral,</w:t></w:r>
</w:p>
<w:p>
<w:pPr><w:pStyle w:val="Normal"/></w:pPr>
<w:r><w:t xml:space="preserve">and retained the Punic language until the 6th century of the</w:t></w:r>
</w:p>
<w:p>
<w:pPr><w:pStyle w:val="Normal"/></w:pPr>
<w:r><w:t xml:space="preserve">Christian era.  The municipal magistrates took the title of</w:t></w:r>
</w:p>
<w:p>
<w:pPr><w:pStyle w:val="Normal"/></w:pPr>
<w:r><w:t xml:space="preserve">suffetes in place of that of duumvirs, and in certain</w:t></w:r>
</w:p>
<w:p>
<w:pPr><w:pStyle w:val="Normal"/></w:pPr>
<w:r><w:t xml:space="preserve">towns the Christian bishops were obliged to know the lingua</w:t></w:r>
</w:p>
<w:p>
<w:pPr><w:pStyle w:val="Normal"/></w:pPr>
<w:r><w:t xml:space="preserve">Punica, since it was the only language that the people</w:t></w:r>
</w:p>
<w:p>
<w:pPr><w:pStyle w:val="Normal"/></w:pPr>
<w:r><w:t xml:space="preserve">understood.  Nevertheless, the Roman functionaries, the</w:t></w:r>
</w:p>
<w:p>
<w:pPr><w:pStyle w:val="Normal"/></w:pPr>
<w:r><w:t xml:space="preserve">army and the colonists from Italy soon brought the Latin</w:t></w:r>
</w:p>
<w:p>
<w:pPr><w:pStyle w:val="Normal"/></w:pPr>
<w:r><w:t xml:space="preserve">element into Africa, where it flourished with such vigour</w:t></w:r>
</w:p>
<w:p>
<w:pPr><w:pStyle w:val="Normal"/></w:pPr>
<w:r><w:t xml:space="preserve">that, in the 3rd century, Carthage became the centre of a</w:t></w:r>
</w:p>
<w:p>
<w:pPr><w:pStyle w:val="Normal"/></w:pPr>
<w:r><w:t xml:space="preserve">Romano-African civilization of extraordinary literary brilliancy,</w:t></w:r>
</w:p>
<w:p>
<w:pPr><w:pStyle w:val="Normal"/></w:pPr>
<w:r><w:t xml:space="preserve">which numbered among its leaders such men as Apuleius,</w:t></w:r>
</w:p>
<w:p>
<w:pPr><w:pStyle w:val="Normal"/></w:pPr>
<w:r><w:t xml:space="preserve">Tertullian, Arnobius, Cyprian, Augustine and many others.</w:t></w:r>
</w:p>
<w:p>
<w:pPr><w:pStyle w:val="Normal"/></w:pPr>
<w:r><w:t xml:space="preserve">Carthage regained its rank of capital of Africa under</w:t></w:r>
</w:p>
<w:p>
<w:pPr><w:pStyle w:val="Normal"/></w:pPr>
<w:r><w:t xml:space="preserve">Augustus, when thousands of Roman colonists flocked to the</w:t></w:r>
</w:p>
<w:p>
<w:pPr><w:pStyle w:val="Normal"/></w:pPr>
<w:r><w:t xml:space="preserve">town.  Utica became a Roman colony under Hadrian, and the</w:t></w:r>
</w:p>
<w:p>
<w:pPr><w:pStyle w:val="Normal"/></w:pPr>
<w:r><w:t xml:space="preserve">civitates liberae, municipia, castella, pagi and turres</w:t></w:r>
</w:p>
<w:p>
<w:pPr><w:pStyle w:val="Normal"/></w:pPr>
<w:r><w:t xml:space="preserve">were peopled with Latins.  The towns of the ancient province</w:t></w:r>
</w:p>
<w:p>
<w:pPr><w:pStyle w:val="Normal"/></w:pPr>
<w:r><w:t xml:space="preserve">of Africa which received coloniae were very numerous:</w:t></w:r>
</w:p>
<w:p>
<w:pPr><w:pStyle w:val="Normal"/></w:pPr>
<w:r><w:t xml:space="preserve">Abitensis (civitas Avittensis Bibba), Bisica Lucana</w:t></w:r>
</w:p>
<w:p>
<w:pPr><w:pStyle w:val="Normal"/></w:pPr>
<w:r><w:t xml:space="preserve">(Tastour), Byzacium, Capsa (Gafsa), Carthage, Cuina, Curubis</w:t></w:r>
</w:p>
<w:p>
<w:pPr><w:pStyle w:val="Normal"/></w:pPr>
<w:r><w:t xml:space="preserve">(Kurba), Hadrumetum (Susa), Hippo Diarrhytus or Zarytus</w:t></w:r>
</w:p>
<w:p>
<w:pPr><w:pStyle w:val="Normal"/></w:pPr>
<w:r><w:t xml:space="preserve">(Bizerta), Leptis Magna (Lebda), Maxula (Ghades, Rades or</w:t></w:r>
</w:p>
<w:p>
<w:pPr><w:pStyle w:val="Normal"/></w:pPr>
<w:r><w:t xml:space="preserve">Gades), Neapolis (Nabel, Nebeul), Oea (Tripoli), Sabrata</w:t></w:r>
</w:p>
<w:p>
<w:pPr><w:pStyle w:val="Normal"/></w:pPr>
<w:r><w:t xml:space="preserve">(Zoara), colonia Scillitana (Ghasrin), Sufes (Sbiba), Tacape</w:t></w:r>
</w:p>
<w:p>
<w:pPr><w:pStyle w:val="Normal"/></w:pPr>
<w:r><w:t xml:space="preserve">(Gabes), Thaenae or Thenae (Tina), Thelepte (Medinet Kedima),</w:t></w:r>
</w:p>
<w:p>
<w:pPr><w:pStyle w:val="Normal"/></w:pPr>
<w:r><w:t xml:space="preserve">Thugga (Dugga), Thuburbo maius (Kasbat), Thysdrus (El Jem),</w:t></w:r>
</w:p>
<w:p>
<w:pPr><w:pStyle w:val="Normal"/></w:pPr>
<w:r><w:t xml:space="preserve">Uthina (Wadna) and Vallis (Median).  Of the municipia may</w:t></w:r>
</w:p>
<w:p>
<w:pPr><w:pStyle w:val="Normal"/></w:pPr>
<w:r><w:t xml:space="preserve">be mentioned Gigthis or Gigthi (Bu Grara), Thibussicensium</w:t></w:r>
</w:p>
<w:p>
<w:pPr><w:pStyle w:val="Normal"/></w:pPr>
<w:r><w:t xml:space="preserve">Bure (Tebursuk), Zita and the turris Tamalleni (Telmin).</w:t></w:r>
</w:p>
<w:p>
<w:pPr><w:pStyle w:val="Normal"/></w:pPr>
<w:r><w:t xml:space="preserve">The province of Numidia was at first colonized principally by</w:t></w:r>
</w:p>
<w:p>
<w:pPr><w:pStyle w:val="Normal"/></w:pPr>
<w:r><w:t xml:space="preserve">the military settlements of the Romans.  Cirta (Constantine)</w:t></w:r>
</w:p>
<w:p>
<w:pPr><w:pStyle w:val="Normal"/></w:pPr>
<w:r><w:t xml:space="preserve">and Bulla Regia(Hammam Darraj), its chief towns, received</w:t></w:r>
</w:p>
<w:p>
<w:pPr><w:pStyle w:val="Normal"/></w:pPr>
<w:r><w:t xml:space="preserve">coloniae of soldiers and veterans, as well as Theveste</w:t></w:r>
</w:p>
<w:p>
<w:pPr><w:pStyle w:val="Normal"/></w:pPr>
<w:r><w:t xml:space="preserve">(Tebessa) and Thamugas (Timgad).  The fine ruins which have</w:t></w:r>
</w:p>
<w:p>
<w:pPr><w:pStyle w:val="Normal"/></w:pPr>
<w:r><w:t xml:space="preserve">been discovered at the last-mentioned place have earned</w:t></w:r>
</w:p>
<w:p>
<w:pPr><w:pStyle w:val="Normal"/></w:pPr>
<w:r><w:t xml:space="preserve">for it the surname of the African Pompeii (see below).</w:t></w:r>
</w:p>
<w:p>
<w:pPr><w:pStyle w:val="Normal"/></w:pPr>
<w:r><w:t xml:space="preserve">Archaeology.--Roman Africa has been the subject of innumerable</w:t></w:r>
</w:p>
<w:p>
<w:pPr><w:pStyle w:val="Normal"/></w:pPr>
<w:r><w:t xml:space="preserve">historical and archaeological researches, especially since</w:t></w:r>
</w:p>
<w:p>
<w:pPr><w:pStyle w:val="Normal"/></w:pPr>
<w:r><w:t xml:space="preserve">the conquest of Algeria and Tunisia by the French.  The</w:t></w:r>
</w:p>
<w:p>
<w:pPr><w:pStyle w:val="Normal"/></w:pPr>
<w:r><w:t xml:space="preserve">country is covered with Roman and Byzantine remains.  Each</w:t></w:r>
</w:p>
<w:p>
<w:pPr><w:pStyle w:val="Normal"/></w:pPr>
<w:r><w:t xml:space="preserve">of these ruins has been visited by archaeologists who have</w:t></w:r>
</w:p>
<w:p>
<w:pPr><w:pStyle w:val="Normal"/></w:pPr>
<w:r><w:t xml:space="preserve">copied inscriptions, described the temples, triumphal arches,</w:t></w:r>
</w:p>
<w:p>
<w:pPr><w:pStyle w:val="Normal"/></w:pPr>
<w:r><w:t xml:space="preserve">porticos, mausoleums and the other monuments which are still</w:t></w:r>
</w:p>
<w:p>
<w:pPr><w:pStyle w:val="Normal"/></w:pPr>
<w:r><w:t xml:space="preserve">standing, collected statues or other antiquities; and in many</w:t></w:r>
</w:p>
<w:p>
<w:pPr><w:pStyle w:val="Normal"/></w:pPr>
<w:r><w:t xml:space="preserve">cases they have actually excavated.  The results of all these</w:t></w:r>
</w:p>
<w:p>
<w:pPr><w:pStyle w:val="Normal"/></w:pPr>
<w:r><w:t xml:space="preserve">labours have been published, from about 1850 onwards, annually,</w:t></w:r>
</w:p>
<w:p>
<w:pPr><w:pStyle w:val="Normal"/></w:pPr>
<w:r><w:t xml:space="preserve">and, indeed, almost from day to day, in various scientific</w:t></w:r>
</w:p>
<w:p>
<w:pPr><w:pStyle w:val="Normal"/></w:pPr>
<w:r><w:t xml:space="preserve">periodicals.  Among the principal of these are:--Memoires</w:t></w:r>
</w:p>
<w:p>
<w:pPr><w:pStyle w:val="Normal"/></w:pPr>
<w:r><w:t xml:space="preserve">de la Societe archeologique de Constantine, Bulletin</w:t></w:r>
</w:p>
<w:p>
<w:pPr><w:pStyle w:val="Normal"/></w:pPr>
<w:r><w:t xml:space="preserve">de la Societe geographique et archeologique d&apos;Oran,</w:t></w:r>
</w:p>
<w:p>
<w:pPr><w:pStyle w:val="Normal"/></w:pPr>
<w:r><w:t xml:space="preserve">Revue africaine of Algiers, to which we should add the</w:t></w:r>
</w:p>
<w:p>
<w:pPr><w:pStyle w:val="Normal"/></w:pPr>
<w:r><w:t xml:space="preserve">Revue archeologique of Paris, the Archives des missions</w:t></w:r>
</w:p>
<w:p>
<w:pPr><w:pStyle w:val="Normal"/></w:pPr>
<w:r><w:t xml:space="preserve">scientifiques and the Bulletin archeologique du Comite</w:t></w:r>
</w:p>
<w:p>
<w:pPr><w:pStyle w:val="Normal"/></w:pPr>
<w:r><w:t xml:space="preserve">des travaux historiques and the Melanges of the French</w:t></w:r>
</w:p>
<w:p>
<w:pPr><w:pStyle w:val="Normal"/></w:pPr>
<w:r><w:t xml:space="preserve">School at Rome.  In all the towns of Algeria and Tunisia</w:t></w:r>
</w:p>
<w:p>
<w:pPr><w:pStyle w:val="Normal"/></w:pPr>
<w:r><w:t xml:space="preserve">museums have been founded for storing the antiquities of</w:t></w:r>
</w:p>
<w:p>
<w:pPr><w:pStyle w:val="Normal"/></w:pPr>
<w:r><w:t xml:space="preserve">the region; the most important of these are the museums of</w:t></w:r>
</w:p>
<w:p>
<w:pPr><w:pStyle w:val="Normal"/></w:pPr>
<w:r><w:t xml:space="preserve">St Louis, Carthage and the palace of Bardo (musee Alaoui)</w:t></w:r>
</w:p>
<w:p>
<w:pPr><w:pStyle w:val="Normal"/></w:pPr>
<w:r><w:t xml:space="preserve">near Tunis, those of Susa, Constantine, Lambessa, Timgad,</w:t></w:r>
</w:p>
<w:p>
<w:pPr><w:pStyle w:val="Normal"/></w:pPr>
<w:r><w:t xml:space="preserve">Tebessa, Philippeville, Cherchel and Oran.  Under the title</w:t></w:r>
</w:p>
<w:p>
<w:pPr><w:pStyle w:val="Normal"/></w:pPr>
<w:r><w:t xml:space="preserve">of Musees et collections archeologiques de l&apos;Algerie</w:t></w:r>
</w:p>
<w:p>
<w:pPr><w:pStyle w:val="Normal"/></w:pPr>
<w:r><w:t xml:space="preserve">et de la Tunisie, the Ministry of Public Instruction</w:t></w:r>
</w:p>
<w:p>
<w:pPr><w:pStyle w:val="Normal"/></w:pPr>
<w:r><w:t xml:space="preserve">publishes from time to time illustrated descriptions of all</w:t></w:r>
</w:p>
<w:p>
<w:pPr><w:pStyle w:val="Normal"/></w:pPr>
<w:r><w:t xml:space="preserve">these archaeological treasures.  In this collection have</w:t></w:r>
</w:p>
<w:p>
<w:pPr><w:pStyle w:val="Normal"/></w:pPr>
<w:r><w:t xml:space="preserve">already appeared descriptions of the museums of Algiers by</w:t></w:r>
</w:p>
<w:p>
<w:pPr><w:pStyle w:val="Normal"/></w:pPr>
<w:r><w:t xml:space="preserve">G. Doublet; of Constantine by G. Doublet and P. Gauckler;</w:t></w:r>
</w:p>
<w:p>
<w:pPr><w:pStyle w:val="Normal"/></w:pPr>
<w:r><w:t xml:space="preserve">of Oran by R. de La Blanchere; of Cherchel by P. Gauckler;</w:t></w:r>
</w:p>
<w:p>
<w:pPr><w:pStyle w:val="Normal"/></w:pPr>
<w:r><w:t xml:space="preserve">of Lambessa by R. Cagnat; of Philippeville by S. Gsell and</w:t></w:r>
</w:p>
<w:p>
<w:pPr><w:pStyle w:val="Normal"/></w:pPr>
<w:r><w:t xml:space="preserve">Bertrand; of the Bardo by R. de La Blanchere and P. Gauckler;</w:t></w:r>
</w:p>
<w:p>
<w:pPr><w:pStyle w:val="Normal"/></w:pPr>
<w:r><w:t xml:space="preserve">of Carthage by R. P. Delattre; of Tebessa by S. Gsell; of</w:t></w:r>
</w:p>
<w:p>
<w:pPr><w:pStyle w:val="Normal"/></w:pPr>
<w:r><w:t xml:space="preserve">Susa by P. Gauckler; of Timgad by R. Cagnat and A. Ballu.</w:t></w:r>
</w:p>
<w:p>
<w:pPr><w:pStyle w:val="Normal"/></w:pPr>
<w:r><w:t xml:space="preserve">The archaeological exploration of Algeria has kept pace with</w:t></w:r>
</w:p>
<w:p>
<w:pPr><w:pStyle w:val="Normal"/></w:pPr>
<w:r><w:t xml:space="preserve">the expansion of French dominion.  From 1846 to 1854 Delamarre</w:t></w:r>
</w:p>
<w:p>
<w:pPr><w:pStyle w:val="Normal"/></w:pPr>
<w:r><w:t xml:space="preserve">published his Exploration archeologique de l&apos;Algerie, in</w:t></w:r>
</w:p>
<w:p>
<w:pPr><w:pStyle w:val="Normal"/></w:pPr>
<w:r><w:t xml:space="preserve">collaboration with the French officers.  In 1850 Leon Renier</w:t></w:r>
</w:p>
<w:p>
<w:pPr><w:pStyle w:val="Normal"/></w:pPr>
<w:r><w:t xml:space="preserve">was officially instructed to collect all the inscriptions in</w:t></w:r>
</w:p>
<w:p>
<w:pPr><w:pStyle w:val="Normal"/></w:pPr>
<w:r><w:t xml:space="preserve">Algeria which should be found by the military expeditionary</w:t></w:r>
</w:p>
<w:p>
<w:pPr><w:pStyle w:val="Normal"/></w:pPr>
<w:r><w:t xml:space="preserve">columns.  This scholar examined first the ruins of Lambessa,</w:t></w:r>
</w:p>
<w:p>
<w:pPr><w:pStyle w:val="Normal"/></w:pPr>
<w:r><w:t xml:space="preserve">an account of which he published in 1854 in his Melanges</w:t></w:r>
</w:p>
<w:p>
<w:pPr><w:pStyle w:val="Normal"/></w:pPr>
<w:r><w:t xml:space="preserve">d&apos;epigraphie; subsequently he made his important collection</w:t></w:r>
</w:p>
<w:p>
<w:pPr><w:pStyle w:val="Normal"/></w:pPr>
<w:r><w:t xml:space="preserve">of Inscriptions romaines de l&apos;Algerie (1855-1858)</w:t></w:r>
</w:p>
<w:p>
<w:pPr><w:pStyle w:val="Normal"/></w:pPr>
<w:r><w:t xml:space="preserve">which formed the groundwork of the volume of the Corpus</w:t></w:r>
</w:p>
<w:p>
<w:pPr><w:pStyle w:val="Normal"/></w:pPr>
<w:r><w:t xml:space="preserve">Inscr.  Lat. of the Academy of Berlin, devoted to Roman</w:t></w:r>
</w:p>
<w:p>
<w:pPr><w:pStyle w:val="Normal"/></w:pPr>
<w:r><w:t xml:space="preserve">Africa.  A little later General Faidherbe published his</w:t></w:r>
</w:p>
<w:p>
<w:pPr><w:pStyle w:val="Normal"/></w:pPr>
<w:r><w:t xml:space="preserve">Collection complete des inscriptions numidiques</w:t></w:r>
</w:p>
<w:p>
<w:pPr><w:pStyle w:val="Normal"/></w:pPr>
<w:r><w:t xml:space="preserve">(1870).  Apart from the province of Constantine, Algeria</w:t></w:r>
</w:p>
<w:p>
<w:pPr><w:pStyle w:val="Normal"/></w:pPr>
<w:r><w:t xml:space="preserve">is less rich in Roman remains than Tunisia; mention must,</w:t></w:r>
</w:p>
<w:p>
<w:pPr><w:pStyle w:val="Normal"/></w:pPr>
<w:r><w:t xml:space="preserve">however, be made of the excavations of Victor Waille at</w:t></w:r>
</w:p>
<w:p>
<w:pPr><w:pStyle w:val="Normal"/></w:pPr>
<w:r><w:t xml:space="preserve">Cherchel, where were found fine statues in the Greek style</w:t></w:r>
</w:p>
<w:p>
<w:pPr><w:pStyle w:val="Normal"/></w:pPr>
<w:r><w:t xml:space="preserve">of the time of King Juba II.; of P. Gavault at Tigzirt</w:t></w:r>
</w:p>
<w:p>
<w:pPr><w:pStyle w:val="Normal"/></w:pPr>
<w:r><w:t xml:space="preserve">(Rusuccuru), and finally of those of Stephane Gsell at Tipasa</w:t></w:r>
</w:p>
<w:p>
<w:pPr><w:pStyle w:val="Normal"/></w:pPr>
<w:r><w:t xml:space="preserve">(basilica of St Salsa) and throughout the district of Setif</w:t></w:r>
</w:p>
<w:p>
<w:pPr><w:pStyle w:val="Normal"/></w:pPr>
<w:r><w:t xml:space="preserve">and at Khamissa (Thuburticum Numidarum).  In the department</w:t></w:r>
</w:p>
<w:p>
<w:pPr><w:pStyle w:val="Normal"/></w:pPr>
<w:r><w:t xml:space="preserve">of Constantine, which is peculiarly rich in Roman remains,</w:t></w:r>
</w:p>
<w:p>
<w:pPr><w:pStyle w:val="Normal"/></w:pPr>
<w:r><w:t xml:space="preserve">Tebessa has been most carefully explored by M. Heron de</w:t></w:r>
</w:p>
<w:p>
<w:pPr><w:pStyle w:val="Normal"/></w:pPr>
<w:r><w:t xml:space="preserve">Villefosse, who has laid bare a beautiful temple of Jupiter,</w:t></w:r>
</w:p>
<w:p>
<w:pPr><w:pStyle w:val="Normal"/></w:pPr>
<w:r><w:t xml:space="preserve">a triumphal arch of Caracalla, a Byzantine basilica and the</w:t></w:r>
</w:p>
<w:p>
<w:pPr><w:pStyle w:val="Normal"/></w:pPr>
<w:r><w:t xml:space="preserve">gate of the Byzantine general Solomon.  But all these ruins</w:t></w:r>
</w:p>
<w:p>
<w:pPr><w:pStyle w:val="Normal"/></w:pPr>
<w:r><w:t xml:space="preserve">fade into insignificance in comparison with the majestic</w:t></w:r>
</w:p>
<w:p>
<w:pPr><w:pStyle w:val="Normal"/></w:pPr>
<w:r><w:t xml:space="preserve">grandeur of those of Timgad which are almost entirely laid</w:t></w:r>
</w:p>
<w:p>
<w:pPr><w:pStyle w:val="Normal"/></w:pPr>
<w:r><w:t xml:space="preserve">bare; they are described in Timgad, une cite africaine sous</w:t></w:r>
</w:p>
<w:p>
<w:pPr><w:pStyle w:val="Normal"/></w:pPr>
<w:r><w:t xml:space="preserve">l&apos;empire romain, by R. Cagnat, G. Boeswillwald and A. Ballu.</w:t></w:r>
</w:p>
<w:p>
<w:pPr><w:pStyle w:val="Normal"/></w:pPr>
<w:r><w:t xml:space="preserve">In Tunisia, Carthage early became the object of archaeological</w:t></w:r>
</w:p>
<w:p>
<w:pPr><w:pStyle w:val="Normal"/></w:pPr>
<w:r><w:t xml:space="preserve">investigation.  Major Humbert was sent there by Napoleon</w:t></w:r>
</w:p>
<w:p>
<w:pPr><w:pStyle w:val="Normal"/></w:pPr>
<w:r><w:t xml:space="preserve">in 1808 and his notes are still preserved in the museum of</w:t></w:r>
</w:p>
<w:p>
<w:pPr><w:pStyle w:val="Normal"/></w:pPr>
<w:r><w:t xml:space="preserve">Leiden.  Chateaubriand visited and described the ruins; the Dane</w:t></w:r>
</w:p>
<w:p>
<w:pPr><w:pStyle w:val="Normal"/></w:pPr>
<w:r><w:t xml:space="preserve">Falbe, the Englishman Nathan Davis, Beule, P. de Sainte-Marie</w:t></w:r>
</w:p>
<w:p>
<w:pPr><w:pStyle w:val="Normal"/></w:pPr>
<w:r><w:t xml:space="preserve">and others also have carried out researches; for more than</w:t></w:r>
</w:p>
<w:p>
<w:pPr><w:pStyle w:val="Normal"/></w:pPr>
<w:r><w:t xml:space="preserve">twenty years Pere Delattre has explored the ruins of Carthage</w:t></w:r>
</w:p>
<w:p>
<w:pPr><w:pStyle w:val="Normal"/></w:pPr>
<w:r><w:t xml:space="preserve">(q.v.) with extraordinary success.  For the rest of Tunisia,</w:t></w:r>
</w:p>
<w:p>
<w:pPr><w:pStyle w:val="Normal"/></w:pPr>
<w:r><w:t xml:space="preserve">the first explorer interested in archaeology was Victor</w:t></w:r>
</w:p>
<w:p>
<w:pPr><w:pStyle w:val="Normal"/></w:pPr>
<w:r><w:t xml:space="preserve">Guerin in 1860; his results are contained in his remarkable</w:t></w:r>
</w:p>
<w:p>
<w:pPr><w:pStyle w:val="Normal"/></w:pPr>
<w:r><w:t xml:space="preserve">Voyage archeologique dans la Regence de Tunis (1862, 2</w:t></w:r>
</w:p>
<w:p>
<w:pPr><w:pStyle w:val="Normal"/></w:pPr>
<w:r><w:t xml:space="preserve">vols.).  A. Daux, in the years preceding 1869, explored the</w:t></w:r>
</w:p>
<w:p>
<w:pPr><w:pStyle w:val="Normal"/></w:pPr>
<w:r><w:t xml:space="preserve">sites of the ancient harbours of Utica, Hadrumetum, Thapsus</w:t></w:r>
</w:p>
<w:p>
<w:pPr><w:pStyle w:val="Normal"/></w:pPr>
<w:r><w:t xml:space="preserve">(Dimas).  But it was the occupation of Tunisia by the French</w:t></w:r>
</w:p>
<w:p>
<w:pPr><w:pStyle w:val="Normal"/></w:pPr>
<w:r><w:t xml:space="preserve">in 1881 which really gave the impetus to modern investigations</w:t></w:r>
</w:p>
<w:p>
<w:pPr><w:pStyle w:val="Normal"/></w:pPr>
<w:r><w:t xml:space="preserve">in this district of ruined cities.  They were put on a solid</w:t></w:r>
</w:p>
<w:p>
<w:pPr><w:pStyle w:val="Normal"/></w:pPr>
<w:r><w:t xml:space="preserve">foundation by the publication of the Geographie comparee</w:t></w:r>
</w:p>
<w:p>
<w:pPr><w:pStyle w:val="Normal"/></w:pPr>
<w:r><w:t xml:space="preserve">of Charles Tissot (1884).  Trained scholars were sent there</w:t></w:r>
</w:p>
<w:p>
<w:pPr><w:pStyle w:val="Normal"/></w:pPr>
<w:r><w:t xml:space="preserve">annually by the French government: Cagnat, Saladin, Poinssot,</w:t></w:r>
</w:p>
<w:p>
<w:pPr><w:pStyle w:val="Normal"/></w:pPr>
<w:r><w:t xml:space="preserve">La Blanchere, S. Reinach, E. Babelon, Carton, Audollent,</w:t></w:r>
</w:p>
<w:p>
<w:pPr><w:pStyle w:val="Normal"/></w:pPr>
<w:r><w:t xml:space="preserve">Steph.  Gsell, J. Toutain, Esperandieu, Gauckler, Merlin,</w:t></w:r>
</w:p>
<w:p>
<w:pPr><w:pStyle w:val="Normal"/></w:pPr>
<w:r><w:t xml:space="preserve">Homo and many others, to say nothing of German scholars, such</w:t></w:r>
</w:p>
<w:p>
<w:pPr><w:pStyle w:val="Normal"/></w:pPr>
<w:r><w:t xml:space="preserve">as Willmans and Schulten, and especially of a great number</w:t></w:r>
</w:p>
<w:p>
<w:pPr><w:pStyle w:val="Normal"/></w:pPr>
<w:r><w:t xml:space="preserve">of enthusiastic officers of the army of occupation, who</w:t></w:r>
</w:p>
<w:p>
<w:pPr><w:pStyle w:val="Normal"/></w:pPr>
<w:r><w:t xml:space="preserve">explored all the ancient sites, and in many cases excavated</w:t></w:r>
</w:p>
<w:p>
<w:pPr><w:pStyle w:val="Normal"/></w:pPr>
<w:r><w:t xml:space="preserve">with great success (for their results see the works quoted</w:t></w:r>
</w:p>
<w:p>
<w:pPr><w:pStyle w:val="Normal"/></w:pPr>
<w:r><w:t xml:space="preserve">above).  It would be impossible to enumerate here all the</w:t></w:r>
</w:p>
<w:p>
<w:pPr><w:pStyle w:val="Normal"/></w:pPr>
<w:r><w:t xml:space="preserve">monographs describing, for example, the ruins of Carthage, those</w:t></w:r>
</w:p>
<w:p>
<w:pPr><w:pStyle w:val="Normal"/></w:pPr>
<w:r><w:t xml:space="preserve">of the temple of the waters at Mount Zaghuan, the amphitheatre</w:t></w:r>
</w:p>
<w:p>
<w:pPr><w:pStyle w:val="Normal"/></w:pPr>
<w:r><w:t xml:space="preserve">of El Jem (Thysdrus), the temple of Saturn, the royal tomb</w:t></w:r>
</w:p>
<w:p>
<w:pPr><w:pStyle w:val="Normal"/></w:pPr>
<w:r><w:t xml:space="preserve">and the theatre of Dugga (Thugga), the bridge of Chemtu</w:t></w:r>
</w:p>
<w:p>
<w:pPr><w:pStyle w:val="Normal"/></w:pPr>
<w:r><w:t xml:space="preserve">(Simitthu), the ruins and cemeteries of Tebursuk and Medeina</w:t></w:r>
</w:p>
<w:p>
<w:pPr><w:pStyle w:val="Normal"/></w:pPr>
<w:r><w:t xml:space="preserve">(Althiburus), the rich villa of the Laberii at Wadna (Uthina),</w:t></w:r>
</w:p>
<w:p>
<w:pPr><w:pStyle w:val="Normal"/></w:pPr>
<w:r><w:t xml:space="preserve">the sanctuary of Saturn Balcaranensis on the hill called</w:t></w:r>
</w:p>
<w:p>
<w:pPr><w:pStyle w:val="Normal"/></w:pPr>
<w:r><w:t xml:space="preserve">Bu-Kornain, the ruins of the district of Enfida (Aphrodisium,</w:t></w:r>
</w:p>
<w:p>
<w:pPr><w:pStyle w:val="Normal"/></w:pPr>
<w:r><w:t xml:space="preserve">Uppenna, Segermes), those of Leptis minor (Lemta), of Thenae</w:t></w:r>
</w:p>
<w:p>
<w:pPr><w:pStyle w:val="Normal"/></w:pPr>
<w:r><w:t xml:space="preserve">(near Sfax), those of the island of Meninx (Jerba), of the</w:t></w:r>
</w:p>
<w:p>
<w:pPr><w:pStyle w:val="Normal"/></w:pPr>
<w:r><w:t xml:space="preserve">peninsula of Zarzis, of Mactar, Sbeitla (Sufetula), Gigthis</w:t></w:r>
</w:p>
<w:p>
<w:pPr><w:pStyle w:val="Normal"/></w:pPr>
<w:r><w:t xml:space="preserve">(Bu-Grara), Gafsa (Capsa), Kef (Sicca Veneria), Bulla Regia, &amp;c.</w:t></w:r>
</w:p>
<w:p>
<w:pPr><w:pStyle w:val="Normal"/></w:pPr>
<w:r><w:t xml:space="preserve">From this accumulation of results most valuable evidence as to</w:t></w:r>
</w:p>
<w:p>
<w:pPr><w:pStyle w:val="Normal"/></w:pPr>
<w:r><w:t xml:space="preserve">the history and more especially the internal administration of</w:t></w:r>
</w:p>
<w:p>
<w:pPr><w:pStyle w:val="Normal"/></w:pPr>
<w:r><w:t xml:space="preserve">Africa under the Romans has been derived.  In particular we know</w:t></w:r>
</w:p>
<w:p>
<w:pPr><w:pStyle w:val="Normal"/></w:pPr>
<w:r><w:t xml:space="preserve">how rural life was there developed, and with what care the water</w:t></w:r>
</w:p>
<w:p>
<w:pPr><w:pStyle w:val="Normal"/></w:pPr>
<w:r><w:t xml:space="preserve">necessary for the growing of cereals was everywhere provided.</w:t></w:r>
</w:p>
<w:p>
<w:pPr><w:pStyle w:val="Normal"/></w:pPr>
<w:r><w:t xml:space="preserve">Sculpture throughout the district is very provincial and of</w:t></w:r>
</w:p>
<w:p>
<w:pPr><w:pStyle w:val="Normal"/></w:pPr>
<w:r><w:t xml:space="preserve">minor importance; the only exceptions are certain statues found</w:t></w:r>
</w:p>
<w:p>
<w:pPr><w:pStyle w:val="Normal"/></w:pPr>
<w:r><w:t xml:space="preserve">at Carthage and Cherchel, the capital of the Mauretanian kings.</w:t></w:r>
</w:p>
<w:p>
<w:pPr><w:pStyle w:val="Normal"/></w:pPr>
<w:r><w:t xml:space="preserve">AUTHORITIES.--Among general works on the subject may be</w:t></w:r>
</w:p>
<w:p>
<w:pPr><w:pStyle w:val="Normal"/></w:pPr>
<w:r><w:t xml:space="preserve">mentioned: Morcelli, Africa christiana (1816); Gustave</w:t></w:r>
</w:p>
<w:p>
<w:pPr><w:pStyle w:val="Normal"/></w:pPr>
<w:r><w:t xml:space="preserve">Boissiere, L&apos;Algerie romaine (2nd ed., 1883); E. Mercier,</w:t></w:r>
</w:p>
<w:p>
<w:pPr><w:pStyle w:val="Normal"/></w:pPr>
<w:r><w:t xml:space="preserve">Histoire de l&apos;Afrique septentrionale (1888); Charles Tissot,</w:t></w:r>
</w:p>
<w:p>
<w:pPr><w:pStyle w:val="Normal"/></w:pPr>
<w:r><w:t xml:space="preserve">Geographie comparee de la province romaine d&apos;Afrique</w:t></w:r>
</w:p>
<w:p>
<w:pPr><w:pStyle w:val="Normal"/></w:pPr>
<w:r><w:t xml:space="preserve">(1884-1888), with atlas; Vivien de Saint-Martin, Le Nord</w:t></w:r>
</w:p>
<w:p>
<w:pPr><w:pStyle w:val="Normal"/></w:pPr>
<w:r><w:t xml:space="preserve">de l&apos;Afrique dans l&apos;antiquite grecque et romaine (1883);</w:t></w:r>
</w:p>
<w:p>
<w:pPr><w:pStyle w:val="Normal"/></w:pPr>
<w:r><w:t xml:space="preserve">Gaston Boissier, L&apos;Afrique romaine (1895); Cl. Pallu de</w:t></w:r>
</w:p>
<w:p>
<w:pPr><w:pStyle w:val="Normal"/></w:pPr>
<w:r><w:t xml:space="preserve">Lessert, Fastes des provinces africaines (Proconsulaire,</w:t></w:r>
</w:p>
<w:p>
<w:pPr><w:pStyle w:val="Normal"/></w:pPr>
<w:r><w:t xml:space="preserve">Numidie, Mauretainie) sous la domination romaine</w:t></w:r>
</w:p>
<w:p>
<w:pPr><w:pStyle w:val="Normal"/></w:pPr>
<w:r><w:t xml:space="preserve">(1896-1901); R. Cagnat, L&apos;Armee romaine d&apos;Afrique</w:t></w:r>
</w:p>
<w:p>
<w:pPr><w:pStyle w:val="Normal"/></w:pPr>
<w:r><w:t xml:space="preserve">(1892); A. Daux, Les Emporia pheniciens dans le Zeugis</w:t></w:r>
</w:p>
<w:p>
<w:pPr><w:pStyle w:val="Normal"/></w:pPr>
<w:r><w:t xml:space="preserve">et le Byzacium (1869); Ludwig Muller, Numismatique de</w:t></w:r>
</w:p>
<w:p>
<w:pPr><w:pStyle w:val="Normal"/></w:pPr>
<w:r><w:t xml:space="preserve">l&apos;ancienne Afrique (1860-1862; Supplement, 1874); Ch. Diehl,</w:t></w:r>
</w:p>
<w:p>
<w:pPr><w:pStyle w:val="Normal"/></w:pPr>
<w:r><w:t xml:space="preserve">L&apos;Afrique byzantine (1896); Stephane Gsell, Recherches</w:t></w:r>
</w:p>
<w:p>
<w:pPr><w:pStyle w:val="Normal"/></w:pPr>
<w:r><w:t xml:space="preserve">archeologiques en Afrique (1893); Paul Monceaux, Histoire</w:t></w:r>
</w:p>
<w:p>
<w:pPr><w:pStyle w:val="Normal"/></w:pPr>
<w:r><w:t xml:space="preserve">litteraire de l&apos;Afrique chretienne (1901-1905); J.</w:t></w:r>
</w:p>
<w:p>
<w:pPr><w:pStyle w:val="Normal"/></w:pPr>
<w:r><w:t xml:space="preserve">Toutain, Les Cites romaines de la Tunisie (1895); Atlas</w:t></w:r>
</w:p>
<w:p>
<w:pPr><w:pStyle w:val="Normal"/></w:pPr>
<w:r><w:t xml:space="preserve">archeologique de la Tunisie, published by the Ministry of</w:t></w:r>
</w:p>
<w:p>
<w:pPr><w:pStyle w:val="Normal"/></w:pPr>
<w:r><w:t xml:space="preserve">Public Instruction (1895 foll.); Atlas archeologique de</w:t></w:r>
</w:p>
<w:p>
<w:pPr><w:pStyle w:val="Normal"/></w:pPr>
<w:r><w:t xml:space="preserve">l&apos;Algerie, published by Stephane Gsell (1900 foll.);</w:t></w:r>
</w:p>
<w:p>
<w:pPr><w:pStyle w:val="Normal"/></w:pPr>
<w:r><w:t xml:space="preserve">Toulotte, Geographie de l&apos;Afrique chretienne (1892-1894);</w:t></w:r>
</w:p>
<w:p>
<w:pPr><w:pStyle w:val="Normal"/></w:pPr>
<w:r><w:t xml:space="preserve">Corpus inscriptionum latiniarum, vol. viii. and Supplement</w:t></w:r>
</w:p>
<w:p>
<w:pPr><w:pStyle w:val="Normal"/></w:pPr>
<w:r><w:t xml:space="preserve">(1881).  Cf. also articles CARTHAGE, NUMIDIA, &amp;c.,</w:t></w:r>
</w:p>
<w:p>
<w:pPr><w:pStyle w:val="Normal"/></w:pPr>
<w:r><w:t xml:space="preserve">JUGURTHA, and articles relating to Roman History. (E. B.n)</w:t></w:r>
</w:p>
<w:p>
<w:pPr><w:pStyle w:val="Normal"/></w:pPr>
<w:r><w:t xml:space="preserve">AFRICAN LILY (Agapanthus umbellatus), a member of</w:t></w:r>
</w:p>
<w:p>
<w:pPr><w:pStyle w:val="Normal"/></w:pPr>
<w:r><w:t xml:space="preserve">the natural order Liliaceae, a native of the Cape of Good</w:t></w:r>
</w:p>
<w:p>
<w:pPr><w:pStyle w:val="Normal"/></w:pPr>
<w:r><w:t xml:space="preserve">Hope, whence it was introduced at the close of the 17th</w:t></w:r>
</w:p>
<w:p>
<w:pPr><w:pStyle w:val="Normal"/></w:pPr>
<w:r><w:t xml:space="preserve">century.  It is a handsome greenhouse plant, which is hardy</w:t></w:r>
</w:p>
<w:p>
<w:pPr><w:pStyle w:val="Normal"/></w:pPr>
<w:r><w:t xml:space="preserve">in the south of England and Ireland if protected from severe</w:t></w:r>
</w:p>
<w:p>
<w:pPr><w:pStyle w:val="Normal"/></w:pPr>
<w:r><w:t xml:space="preserve">frosts.  It has a short stem bearing a tuft of long, narrow,</w:t></w:r>
</w:p>
<w:p>
<w:pPr><w:pStyle w:val="Normal"/></w:pPr>
<w:r><w:t xml:space="preserve">arching leaves,  1/2 to 2 ft. long, and a central flower-stalk, 2</w:t></w:r>
</w:p>
<w:p>
<w:pPr><w:pStyle w:val="Normal"/></w:pPr>
<w:r><w:t xml:space="preserve">to 3 ft. high, ending in an umbel of bright blue, funnel-shaped</w:t></w:r>
</w:p>
<w:p>
<w:pPr><w:pStyle w:val="Normal"/></w:pPr>
<w:r><w:t xml:space="preserve">flowers.  The plants are easy to cultivate, and are generally</w:t></w:r>
</w:p>
<w:p>
<w:pPr><w:pStyle w:val="Normal"/></w:pPr>
<w:r><w:t xml:space="preserve">grown in large pots or tubs which can be protected from frost in</w:t></w:r>
</w:p>
<w:p>
<w:pPr><w:pStyle w:val="Normal"/></w:pPr>
<w:r><w:t xml:space="preserve">winter.  During the summer they require plenty of water,</w:t></w:r>
</w:p>
<w:p>
<w:pPr><w:pStyle w:val="Normal"/></w:pPr>
<w:r><w:t xml:space="preserve">and are very effective on the margins of lakes or running</w:t></w:r>
</w:p>
<w:p>
<w:pPr><w:pStyle w:val="Normal"/></w:pPr>
<w:r><w:t xml:space="preserve">streams, where they thrive admirably.  They increase by</w:t></w:r>
</w:p>
<w:p>
<w:pPr><w:pStyle w:val="Normal"/></w:pPr>
<w:r><w:t xml:space="preserve">offsets, or may be propagated by dividing the root-stock</w:t></w:r>
</w:p>
<w:p>
<w:pPr><w:pStyle w:val="Normal"/></w:pPr>
<w:r><w:t xml:space="preserve">in early spring or autumn.  A number of forms are known in</w:t></w:r>
</w:p>
<w:p>
<w:pPr><w:pStyle w:val="Normal"/></w:pPr>
<w:r><w:t xml:space="preserve">cultivation; such are albidus, with white flowers, aureus,</w:t></w:r>
</w:p>
<w:p>
<w:pPr><w:pStyle w:val="Normal"/></w:pPr>
<w:r><w:t xml:space="preserve">with leaves striped with yellow, and variegatus, with leaves</w:t></w:r>
</w:p>
<w:p>
<w:pPr><w:pStyle w:val="Normal"/></w:pPr>
<w:r><w:t xml:space="preserve">almost entirely white with a few green bands.  There are</w:t></w:r>
</w:p>
<w:p>
<w:pPr><w:pStyle w:val="Normal"/></w:pPr>
<w:r><w:t xml:space="preserve">also double-flowered and larger and smaller flowered forms.</w:t></w:r>
</w:p>
<w:p>
<w:pPr><w:pStyle w:val="Normal"/></w:pPr>
<w:r><w:t xml:space="preserve">AFRICANUS, SEXTUS JULIUS, a Christian traveller and historian</w:t></w:r>
</w:p>
<w:p>
<w:pPr><w:pStyle w:val="Normal"/></w:pPr>
<w:r><w:t xml:space="preserve">of the 3rd century, was probably born in Libya, and may have</w:t></w:r>
</w:p>
<w:p>
<w:pPr><w:pStyle w:val="Normal"/></w:pPr>
<w:r><w:t xml:space="preserve">served under Septimius Severus against the Osrhoenians in</w:t></w:r>
</w:p>
<w:p>
<w:pPr><w:pStyle w:val="Normal"/></w:pPr>
<w:r><w:t xml:space="preserve">A.D. 195. Little is known of his personal history, except</w:t></w:r>
</w:p>
<w:p>
<w:pPr><w:pStyle w:val="Normal"/></w:pPr>
<w:r><w:t xml:space="preserve">that he lived at Emmaus, and that he went on an embassy to</w:t></w:r>
</w:p>
<w:p>
<w:pPr><w:pStyle w:val="Normal"/></w:pPr>
<w:r><w:t xml:space="preserve">the emperor Heliogabalus1 to ask for the restoration of the</w:t></w:r>
</w:p>
<w:p>
<w:pPr><w:pStyle w:val="Normal"/></w:pPr>
<w:r><w:t xml:space="preserve">town, which had fallen into ruins.  His mission succeeded,</w:t></w:r>
</w:p>
<w:p>
<w:pPr><w:pStyle w:val="Normal"/></w:pPr>
<w:r><w:t xml:space="preserve">and Emmaus was henceforward known as Nicopolis.  Dionysius</w:t></w:r>
</w:p>
<w:p>
<w:pPr><w:pStyle w:val="Normal"/></w:pPr>
<w:r><w:t xml:space="preserve">bar-Salibi makes him a bishop, but probably he was not even a</w:t></w:r>
</w:p>
<w:p>
<w:pPr><w:pStyle w:val="Normal"/></w:pPr>
<w:r><w:t xml:space="preserve">presbyter.  He wrote a history of the world(Chronografiai,</w:t></w:r>
</w:p>
<w:p>
<w:pPr><w:pStyle w:val="Normal"/></w:pPr>
<w:r><w:t xml:space="preserve">in five books) from the creation to the year A.D. 221, a</w:t></w:r>
</w:p>
<w:p>
<w:pPr><w:pStyle w:val="Normal"/></w:pPr>
<w:r><w:t xml:space="preserve">period, according to his computation, of 5723 years.  He</w:t></w:r>
</w:p>
<w:p>
<w:pPr><w:pStyle w:val="Normal"/></w:pPr>
<w:r><w:t xml:space="preserve">calculated the period between the creation and the birth of</w:t></w:r>
</w:p>
<w:p>
<w:pPr><w:pStyle w:val="Normal"/></w:pPr>
<w:r><w:t xml:space="preserve">Christ as 5499 years, and ante-dated the latter event by three</w:t></w:r>
</w:p>
<w:p>
<w:pPr><w:pStyle w:val="Normal"/></w:pPr>
<w:r><w:t xml:space="preserve">years.  This method of reckoning became known as the Alexandrian</w:t></w:r>
</w:p>
<w:p>
<w:pPr><w:pStyle w:val="Normal"/></w:pPr>
<w:r><w:t xml:space="preserve">era, and was adopted by almost all the eastern churches.  The</w:t></w:r>
</w:p>
<w:p>
<w:pPr><w:pStyle w:val="Normal"/></w:pPr>
<w:r><w:t xml:space="preserve">history, which had an apologetic aim, is no longer extant, but</w:t></w:r>
</w:p>
<w:p>
<w:pPr><w:pStyle w:val="Normal"/></w:pPr>
<w:r><w:t xml:space="preserve">copious extracts from it are to be found in the Chronicon of</w:t></w:r>
</w:p>
<w:p>
<w:pPr><w:pStyle w:val="Normal"/></w:pPr>
<w:r><w:t xml:space="preserve">Eusebius, who used it extensively in compiling the early episcopal</w:t></w:r>
</w:p>
<w:p>
<w:pPr><w:pStyle w:val="Normal"/></w:pPr>
<w:r><w:t xml:space="preserve">lists.  There are also fragments in Syncellus, Cedrenus and</w:t></w:r>
</w:p>
<w:p>
<w:pPr><w:pStyle w:val="Normal"/></w:pPr>
<w:r><w:t xml:space="preserve">the Paschale Chronicon. Eusebius (Hist.  Ecc. i. 7, cf.</w:t></w:r>
</w:p>
<w:p>
<w:pPr><w:pStyle w:val="Normal"/></w:pPr>
<w:r><w:t xml:space="preserve">vi. 31) gives some extracts from his letter to one Aristides,</w:t></w:r>
</w:p>
<w:p>
<w:pPr><w:pStyle w:val="Normal"/></w:pPr>
<w:r><w:t xml:space="preserve">reconciling the apparent discrepancy between Matthew and</w:t></w:r>
</w:p>
<w:p>
<w:pPr><w:pStyle w:val="Normal"/></w:pPr>
<w:r><w:t xml:space="preserve">Luke in the genealogy of Christ by a reference to the Jewish</w:t></w:r>
</w:p>
<w:p>
<w:pPr><w:pStyle w:val="Normal"/></w:pPr>
<w:r><w:t xml:space="preserve">law, which compelled a man to marry the widow of his deceased</w:t></w:r>
</w:p>
<w:p>
<w:pPr><w:pStyle w:val="Normal"/></w:pPr>
<w:r><w:t xml:space="preserve">brother, if the latter died without issue.  His terse and</w:t></w:r>
</w:p>
<w:p>
<w:pPr><w:pStyle w:val="Normal"/></w:pPr>
<w:r><w:t xml:space="preserve">pertinent letter to Origen, impugning the authority of the</w:t></w:r>
</w:p>
<w:p>
<w:pPr><w:pStyle w:val="Normal"/></w:pPr>
<w:r><w:t xml:space="preserve">apocryphal book of Susanna, and Origen&apos;s wordy and uncritical</w:t></w:r>
</w:p>
<w:p>
<w:pPr><w:pStyle w:val="Normal"/></w:pPr>
<w:r><w:t xml:space="preserve">answer, are both extant.  The ascription to Africanus of an</w:t></w:r>
</w:p>
<w:p>
<w:pPr><w:pStyle w:val="Normal"/></w:pPr>
<w:r><w:t xml:space="preserve">encyclopaedic work entitled Kestoi (embroidered girdles),</w:t></w:r>
</w:p>
<w:p>
<w:pPr><w:pStyle w:val="Normal"/></w:pPr>
<w:r><w:t xml:space="preserve">treating of agriculture, natural history, military science,</w:t></w:r>
</w:p>
<w:p>
<w:pPr><w:pStyle w:val="Normal"/></w:pPr>
<w:r><w:t xml:space="preserve">&amp;c., has been needlessly disputed on account of its secular</w:t></w:r>
</w:p>
<w:p>
<w:pPr><w:pStyle w:val="Normal"/></w:pPr>
<w:r><w:t xml:space="preserve">and often credulous character.  Neander suggests that it</w:t></w:r>
</w:p>
<w:p>
<w:pPr><w:pStyle w:val="Normal"/></w:pPr>
<w:r><w:t xml:space="preserve">was written by Africanus before he had devoted himself</w:t></w:r>
</w:p>
<w:p>
<w:pPr><w:pStyle w:val="Normal"/></w:pPr>
<w:r><w:t xml:space="preserve">to religious subjects.  For a new fragment of this work</w:t></w:r>
</w:p>
<w:p>
<w:pPr><w:pStyle w:val="Normal"/></w:pPr>
<w:r><w:t xml:space="preserve">see Oxyrhynchus Papyri (Grenfell and Hunt), iii. 36 ff.</w:t></w:r>
</w:p>
<w:p>
<w:pPr><w:pStyle w:val="Normal"/></w:pPr>
<w:r><w:t xml:space="preserve">AUTHORITIES.--Edition in M. J. Routh, Rel. Sac. ii. 219-509;</w:t></w:r>
</w:p>
<w:p>
<w:pPr><w:pStyle w:val="Normal"/></w:pPr>
<w:r><w:t xml:space="preserve">translation in Ante-Nicene Fathers (S. D. F. Salmond) vi.</w:t></w:r>
</w:p>
<w:p>
<w:pPr><w:pStyle w:val="Normal"/></w:pPr>
<w:r><w:t xml:space="preserve">125-140.  See H. Gelzer, Sex. Jul. Africanus und die</w:t></w:r>
</w:p>
<w:p>
<w:pPr><w:pStyle w:val="Normal"/></w:pPr>
<w:r><w:t xml:space="preserve">byzant.  Chronographie, 2 vols. (Leipzig, 1880-1885);</w:t></w:r>
</w:p>
<w:p>
<w:pPr><w:pStyle w:val="Normal"/></w:pPr>
<w:r><w:t xml:space="preserve">G. Kruger, Early Christian Literature, 248-253; A.</w:t></w:r>
</w:p>
<w:p>
<w:pPr><w:pStyle w:val="Normal"/></w:pPr>
<w:r><w:t xml:space="preserve">Harnack, Altchristl.  Litt.  Gesch. i. 507, ii. 70.</w:t></w:r>
</w:p>
<w:p>
<w:pPr><w:pStyle w:val="Normal"/></w:pPr>
<w:r><w:t xml:space="preserve">1 So Eusebius.  Syncellus says Alexander Severus.</w:t></w:r>
</w:p>
<w:p>
<w:pPr><w:pStyle w:val="Normal"/></w:pPr>
<w:r><w:t xml:space="preserve">AFRIDI, a Pathan tribe inhabiting the mountains on the</w:t></w:r>
</w:p>
<w:p>
<w:pPr><w:pStyle w:val="Normal"/></w:pPr>
<w:r><w:t xml:space="preserve">Peshawar border of the North-West Frontier province of</w:t></w:r>
</w:p>
<w:p>
<w:pPr><w:pStyle w:val="Normal"/></w:pPr>
<w:r><w:t xml:space="preserve">India.  The Afridis are the most powerful and independent</w:t></w:r>
</w:p>
<w:p>
<w:pPr><w:pStyle w:val="Normal"/></w:pPr>
<w:r><w:t xml:space="preserve">tribe on the border, and the largest with the exception of the</w:t></w:r>
</w:p>
<w:p>
<w:pPr><w:pStyle w:val="Normal"/></w:pPr>
<w:r><w:t xml:space="preserve">Waziris.  Their special country is the lower and easternmost</w:t></w:r>
</w:p>
<w:p>
<w:pPr><w:pStyle w:val="Normal"/></w:pPr>
<w:r><w:t xml:space="preserve">spurs of the Safed Koh range, to the west and south of the</w:t></w:r>
</w:p>
<w:p>
<w:pPr><w:pStyle w:val="Normal"/></w:pPr>
<w:r><w:t xml:space="preserve">Peshawar district, including the Bazar and Bara valleys.</w:t></w:r>
</w:p>
<w:p>
<w:pPr><w:pStyle w:val="Normal"/></w:pPr>
<w:r><w:t xml:space="preserve">On their east they are bounded by British districts, on the</w:t></w:r>
</w:p>
<w:p>
<w:pPr><w:pStyle w:val="Normal"/></w:pPr>
<w:r><w:t xml:space="preserve">north by the Mohmands, on the west by the Shinwaris and on</w:t></w:r>
</w:p>
<w:p>
<w:pPr><w:pStyle w:val="Normal"/></w:pPr>
<w:r><w:t xml:space="preserve">the south by the Orakzai and Bangash tribes.  Their origin</w:t></w:r>
</w:p>
<w:p>
<w:pPr><w:pStyle w:val="Normal"/></w:pPr>
<w:r><w:t xml:space="preserve">is obscure, but they are said to have Israelitish blood</w:t></w:r>
</w:p>
<w:p>
<w:pPr><w:pStyle w:val="Normal"/></w:pPr>
<w:r><w:t xml:space="preserve">in their veins, and they have a decidedly Semitic cast of</w:t></w:r>
</w:p>
<w:p>
<w:pPr><w:pStyle w:val="Normal"/></w:pPr>
<w:r><w:t xml:space="preserve">features.  They are possibly the Aparytai of Herodotus,</w:t></w:r>
</w:p>
<w:p>
<w:pPr><w:pStyle w:val="Normal"/></w:pPr>
<w:r><w:t xml:space="preserve">the names and positions being identical.  If this theory is</w:t></w:r>
</w:p>
<w:p>
<w:pPr><w:pStyle w:val="Normal"/></w:pPr>
<w:r><w:t xml:space="preserve">correct, they were then a powerful people, and held a large</w:t></w:r>
</w:p>
<w:p>
<w:pPr><w:pStyle w:val="Normal"/></w:pPr>
<w:r><w:t xml:space="preserve">tract of country, but have been gradually driven back by the</w:t></w:r>
</w:p>
<w:p>
<w:pPr><w:pStyle w:val="Normal"/></w:pPr>
<w:r><w:t xml:space="preserve">encroachments of other tribes.  The tribe is divided into</w:t></w:r>
</w:p>
<w:p>
<w:pPr><w:pStyle w:val="Normal"/></w:pPr>
<w:r><w:t xml:space="preserve">the following eight clans:--Kuki Khel, Malikdin Khel, Kambar</w:t></w:r>
</w:p>
<w:p>
<w:pPr><w:pStyle w:val="Normal"/></w:pPr>
<w:r><w:t xml:space="preserve">Khel, Kamar Khel, Zakka Khel (the most numerous and the most</w:t></w:r>
</w:p>
<w:p>
<w:pPr><w:pStyle w:val="Normal"/></w:pPr>
<w:r><w:t xml:space="preserve">turbulent), Sipah, Aka Khel and Adam Khel.  The first seven</w:t></w:r>
</w:p>
<w:p>
<w:pPr><w:pStyle w:val="Normal"/></w:pPr>
<w:r><w:t xml:space="preserve">clans live in the vicinity of the Khyber Pass, and migrate</w:t></w:r>
</w:p>
<w:p>
<w:pPr><w:pStyle w:val="Normal"/></w:pPr>
<w:r><w:t xml:space="preserve">to Tirah in the summer months.  The Adam Khel (5900 fighting</w:t></w:r>
</w:p>
<w:p>
<w:pPr><w:pStyle w:val="Normal"/></w:pPr>
<w:r><w:t xml:space="preserve">men) live round the Kohat Pass, and are more settled and less</w:t></w:r>
</w:p>
<w:p>
<w:pPr><w:pStyle w:val="Normal"/></w:pPr>
<w:r><w:t xml:space="preserve">migratory in their habits.  In appearance the Afridi is a</w:t></w:r>
</w:p>
<w:p>
<w:pPr><w:pStyle w:val="Normal"/></w:pPr>
<w:r><w:t xml:space="preserve">fine, tall, athletic highlander with a long, gaunt face,</w:t></w:r>
</w:p>
<w:p>
<w:pPr><w:pStyle w:val="Normal"/></w:pPr>
<w:r><w:t xml:space="preserve">high nose and cheek-bones, and a fair complexion.  On his own</w:t></w:r>
</w:p>
<w:p>
<w:pPr><w:pStyle w:val="Normal"/></w:pPr>
<w:r><w:t xml:space="preserve">hillside he is one of the finest skirmishers in the world,</w:t></w:r>
</w:p>
<w:p>
<w:pPr><w:pStyle w:val="Normal"/></w:pPr>
<w:r><w:t xml:space="preserve">and in the Indian army makes a first-rate soldier, but he is</w:t></w:r>
</w:p>
<w:p>
<w:pPr><w:pStyle w:val="Normal"/></w:pPr>
<w:r><w:t xml:space="preserve">apt to be home-sick when removed from the air of his native</w:t></w:r>
</w:p>
<w:p>
<w:pPr><w:pStyle w:val="Normal"/></w:pPr>
<w:r><w:t xml:space="preserve">mountains.  In character the Afridi has obtained an evil name</w:t></w:r>
</w:p>
<w:p>
<w:pPr><w:pStyle w:val="Normal"/></w:pPr>
<w:r><w:t xml:space="preserve">for ferocity, craft and treachery, but Colonel Sir Robert</w:t></w:r>
</w:p>
<w:p>
<w:pPr><w:pStyle w:val="Normal"/></w:pPr>
<w:r><w:t xml:space="preserve">Warburton, who lived eighteen years in charge of the Khyber</w:t></w:r>
</w:p>
<w:p>
<w:pPr><w:pStyle w:val="Normal"/></w:pPr>
<w:r><w:t xml:space="preserve">Pass and knew the Afridi better than any other Englishman,</w:t></w:r>
</w:p>
<w:p>
<w:pPr><w:pStyle w:val="Normal"/></w:pPr>
<w:r><w:t xml:space="preserve">says:--``The Afridi lad from his earliest childhood is taught</w:t></w:r>
</w:p>
<w:p>
<w:pPr><w:pStyle w:val="Normal"/></w:pPr>
<w:r><w:t xml:space="preserve">by the circumstances of his existence and life to distrust</w:t></w:r>
</w:p>
<w:p>
<w:pPr><w:pStyle w:val="Normal"/></w:pPr>
<w:r><w:t xml:space="preserve">all mankind, and very often his near relations, heirs to his</w:t></w:r>
</w:p>
<w:p>
<w:pPr><w:pStyle w:val="Normal"/></w:pPr>
<w:r><w:t xml:space="preserve">small plot of land by right of inheritance, are his deadliest</w:t></w:r>
</w:p>
<w:p>
<w:pPr><w:pStyle w:val="Normal"/></w:pPr>
<w:r><w:t xml:space="preserve">enemies.  Distrust of all mankind, and readiness to strike</w:t></w:r>
</w:p>
<w:p>
<w:pPr><w:pStyle w:val="Normal"/></w:pPr>
<w:r><w:t xml:space="preserve">the first blow for the safety of his own life, have therefore</w:t></w:r>
</w:p>
<w:p>
<w:pPr><w:pStyle w:val="Normal"/></w:pPr>
<w:r><w:t xml:space="preserve">become the maxims of the Afridi.  If you can overcome this</w:t></w:r>
</w:p>
<w:p>
<w:pPr><w:pStyle w:val="Normal"/></w:pPr>
<w:r><w:t xml:space="preserve">mistrust, and be kind in words to him, he will repay you by</w:t></w:r>
</w:p>
<w:p>
<w:pPr><w:pStyle w:val="Normal"/></w:pPr>
<w:r><w:t xml:space="preserve">a great devotion, and he will put up with any treatment you</w:t></w:r>
</w:p>
<w:p>
<w:pPr><w:pStyle w:val="Normal"/></w:pPr>
<w:r><w:t xml:space="preserve">like to give him except abuse.&apos;&apos; In short the Afridi has the</w:t></w:r>
</w:p>
<w:p>
<w:pPr><w:pStyle w:val="Normal"/></w:pPr>
<w:r><w:t xml:space="preserve">vices and virtues of all Pathans in an enhanced degree.  The</w:t></w:r>
</w:p>
<w:p>
<w:pPr><w:pStyle w:val="Normal"/></w:pPr>
<w:r><w:t xml:space="preserve">fighting strength of the Afridis is said to be 27,000, but this</w:t></w:r>
</w:p>
<w:p>
<w:pPr><w:pStyle w:val="Normal"/></w:pPr>
<w:r><w:t xml:space="preserve">estimate is excessive, judged by the number and size of their</w:t></w:r>
</w:p>
<w:p>
<w:pPr><w:pStyle w:val="Normal"/></w:pPr>
<w:r><w:t xml:space="preserve">villages.  They derive their importance from their geographical</w:t></w:r>
</w:p>
<w:p>
<w:pPr><w:pStyle w:val="Normal"/></w:pPr>
<w:r><w:t xml:space="preserve">position, which gives them command of the Khyber and Kohat</w:t></w:r>
</w:p>
<w:p>
<w:pPr><w:pStyle w:val="Normal"/></w:pPr>
<w:r><w:t xml:space="preserve">roads, and the history of the British connexion with them</w:t></w:r>
</w:p>
<w:p>
<w:pPr><w:pStyle w:val="Normal"/></w:pPr>
<w:r><w:t xml:space="preserve">has been almost entirely with reference to these two passes.</w:t></w:r>
</w:p>
<w:p>
<w:pPr><w:pStyle w:val="Normal"/></w:pPr>
<w:r><w:t xml:space="preserve">There have been several British expeditions against the separate clans:--</w:t></w:r>
</w:p>
<w:p>
<w:pPr><w:pStyle w:val="Normal"/></w:pPr>
<w:r><w:t xml:space="preserve">(1) Expedition against the Kohat Pass Afridis under Sir Colin</w:t></w:r>
</w:p>
<w:p>
<w:pPr><w:pStyle w:val="Normal"/></w:pPr>
<w:r><w:t xml:space="preserve">Campbell in 1850.  The British connexion with the Adam Khel</w:t></w:r>
</w:p>
<w:p>
<w:pPr><w:pStyle w:val="Normal"/></w:pPr>
<w:r><w:t xml:space="preserve">Afridis commenced immediately after the annexation of the Peshawar</w:t></w:r>
</w:p>
<w:p>
<w:pPr><w:pStyle w:val="Normal"/></w:pPr>
<w:r><w:t xml:space="preserve">and Kohat districts.  Following the example of all previous</w:t></w:r>
</w:p>
<w:p>
<w:pPr><w:pStyle w:val="Normal"/></w:pPr>
<w:r><w:t xml:space="preserve">rulers of the country, the British agreed to pay the tribe a</w:t></w:r>
</w:p>
<w:p>
<w:pPr><w:pStyle w:val="Normal"/></w:pPr>
<w:r><w:t xml:space="preserve">subsidy to protect the pass.  But in 1850 a thousand Afridis</w:t></w:r>
</w:p>
<w:p>
<w:pPr><w:pStyle w:val="Normal"/></w:pPr>
<w:r><w:t xml:space="preserve">attacked a body of sappers engaged in making the road, killing</w:t></w:r>
</w:p>
<w:p>
<w:pPr><w:pStyle w:val="Normal"/></w:pPr>
<w:r><w:t xml:space="preserve">twelve and wounding six.  It was supposed that they disliked</w:t></w:r>
</w:p>
<w:p>
<w:pPr><w:pStyle w:val="Normal"/></w:pPr>
<w:r><w:t xml:space="preserve">the making of a road which would lay open their fastnesses</w:t></w:r>
</w:p>
<w:p>
<w:pPr><w:pStyle w:val="Normal"/></w:pPr>
<w:r><w:t xml:space="preserve">to regular troops.  An expedition of 3200 British troops was</w:t></w:r>
</w:p>
<w:p>
<w:pPr><w:pStyle w:val="Normal"/></w:pPr>
<w:r><w:t xml:space="preserve">despatched, which traversed the country and punished them.</w:t></w:r>
</w:p>
<w:p>
<w:pPr><w:pStyle w:val="Normal"/></w:pPr>
<w:r><w:t xml:space="preserve">(2) Expedition against the Jowaki Afridis of the Bori villages in</w:t></w:r>
</w:p>
<w:p>
<w:pPr><w:pStyle w:val="Normal"/></w:pPr>
<w:r><w:t xml:space="preserve">1853.  When the Afridis of the Kohat Pass misbehaved in 1850, the</w:t></w:r>
</w:p>
<w:p>
<w:pPr><w:pStyle w:val="Normal"/></w:pPr>
<w:r><w:t xml:space="preserve">Jowaki Afridis offered the use of their route instead; but they</w:t></w:r>
</w:p>
<w:p>
<w:pPr><w:pStyle w:val="Normal"/></w:pPr>
<w:r><w:t xml:space="preserve">turned out worse than the others, and in 1853 a force of 1700</w:t></w:r>
</w:p>
<w:p>
<w:pPr><w:pStyle w:val="Normal"/></w:pPr>
<w:r><w:t xml:space="preserve">British traversed their country and destroyed their stronghold at</w:t></w:r>
</w:p>
<w:p>
<w:pPr><w:pStyle w:val="Normal"/></w:pPr>
<w:r><w:t xml:space="preserve">Bori.  The Jowaki Afridis are a clan of the Adam Khel, who inhabit</w:t></w:r>
</w:p>
<w:p>
<w:pPr><w:pStyle w:val="Normal"/></w:pPr>
<w:r><w:t xml:space="preserve">the country lying between the Kohat Pass and the river Indus.</w:t></w:r>
</w:p>
<w:p>
<w:pPr><w:pStyle w:val="Normal"/></w:pPr>
<w:r><w:t xml:space="preserve">(3) Expedition against the Aka Khel Afridis under Colonel</w:t></w:r>
</w:p>
<w:p>
<w:pPr><w:pStyle w:val="Normal"/></w:pPr>
<w:r><w:t xml:space="preserve">Craigie in 1855.  In 1854 the Aka Khels, not finding</w:t></w:r>
</w:p>
<w:p>
<w:pPr><w:pStyle w:val="Normal"/></w:pPr>
<w:r><w:t xml:space="preserve">themselves admitted to a share of the allowances of the</w:t></w:r>
</w:p>
<w:p>
<w:pPr><w:pStyle w:val="Normal"/></w:pPr>
<w:r><w:t xml:space="preserve">Kohat Pass, commenced a series of raids on the Peshawar</w:t></w:r>
</w:p>
<w:p>
<w:pPr><w:pStyle w:val="Normal"/></w:pPr>
<w:r><w:t xml:space="preserve">border and attacked a British camp.  An expedition of 1500</w:t></w:r>
</w:p>
<w:p>
<w:pPr><w:pStyle w:val="Normal"/></w:pPr>
<w:r><w:t xml:space="preserve">troops entered the country and inflicted severe punishment</w:t></w:r>
</w:p>
<w:p>
<w:pPr><w:pStyle w:val="Normal"/></w:pPr>
<w:r><w:t xml:space="preserve">on the tribe, who made their submission and paid a fine.</w:t></w:r>
</w:p>
<w:p>
<w:pPr><w:pStyle w:val="Normal"/></w:pPr>
<w:r><w:t xml:space="preserve">(4) Expedition against the Jowaki Afridis under Colonel Mocatta in</w:t></w:r>
</w:p>
<w:p>
<w:pPr><w:pStyle w:val="Normal"/></w:pPr>
<w:r><w:t xml:space="preserve">1877.  In that year the government proposed to reduce the Jowaki</w:t></w:r>
</w:p>
<w:p>
<w:pPr><w:pStyle w:val="Normal"/></w:pPr>
<w:r><w:t xml:space="preserve">allowance for guarding the Kohat Pass, and the tribesmen resented</w:t></w:r>
</w:p>
<w:p>
<w:pPr><w:pStyle w:val="Normal"/></w:pPr>
<w:r><w:t xml:space="preserve">this by cutting the telegraph wire and raiding into British</w:t></w:r>
</w:p>
<w:p>
<w:pPr><w:pStyle w:val="Normal"/></w:pPr>
<w:r><w:t xml:space="preserve">territory.  A force of 1500 troops penetrated their country in</w:t></w:r>
</w:p>
<w:p>
<w:pPr><w:pStyle w:val="Normal"/></w:pPr>
<w:r><w:t xml:space="preserve">three columns, and did considerable damage by way of punishment.</w:t></w:r>
</w:p>
<w:p>
<w:pPr><w:pStyle w:val="Normal"/></w:pPr>
<w:r><w:t xml:space="preserve">(5) Expedition against the Jowaki Afridis under Brigadier-General</w:t></w:r>
</w:p>
<w:p>
<w:pPr><w:pStyle w:val="Normal"/></w:pPr>
<w:r><w:t xml:space="preserve">Keyes in 1877-78.  The punishment inflicted by the previous</w:t></w:r>
</w:p>
<w:p>
<w:pPr><w:pStyle w:val="Normal"/></w:pPr>
<w:r><w:t xml:space="preserve">expedition did not prove sufficiently severe, the attitude of</w:t></w:r>
</w:p>
<w:p>
<w:pPr><w:pStyle w:val="Normal"/></w:pPr>
<w:r><w:t xml:space="preserve">the Jowakis continued the same and their raids into British</w:t></w:r>
</w:p>
<w:p>
<w:pPr><w:pStyle w:val="Normal"/></w:pPr>
<w:r><w:t xml:space="preserve">territory went on.  A much stronger force, therefore, of</w:t></w:r>
</w:p>
<w:p>
<w:pPr><w:pStyle w:val="Normal"/></w:pPr>
<w:r><w:t xml:space="preserve">7400 British troops, divided into three columns, destroyed</w:t></w:r>
</w:p>
<w:p>
<w:pPr><w:pStyle w:val="Normal"/></w:pPr>
<w:r><w:t xml:space="preserve">their principal villages and occupied their country for some</w:t></w:r>
</w:p>
<w:p>
<w:pPr><w:pStyle w:val="Normal"/></w:pPr>
<w:r><w:t xml:space="preserve">time, until the tribe submitted and accepted government</w:t></w:r>
</w:p>
<w:p>
<w:pPr><w:pStyle w:val="Normal"/></w:pPr>
<w:r><w:t xml:space="preserve">terms.  The Kohat Pass was afterwards practically undisturbed.</w:t></w:r>
</w:p>
<w:p>
<w:pPr><w:pStyle w:val="Normal"/></w:pPr>
<w:r><w:t xml:space="preserve">(6) Expedition against the Zakka Khel Afridis of the Bazar</w:t></w:r>
</w:p>
<w:p>
<w:pPr><w:pStyle w:val="Normal"/></w:pPr>
<w:r><w:t xml:space="preserve">Valley under Brigadier-General Tytler in 1878.  At the time of</w:t></w:r>
</w:p>
<w:p>
<w:pPr><w:pStyle w:val="Normal"/></w:pPr>
<w:r><w:t xml:space="preserve">the British advance into Afghanistan, during the second Afghan</w:t></w:r>
</w:p>
<w:p>
<w:pPr><w:pStyle w:val="Normal"/></w:pPr>
<w:r><w:t xml:space="preserve">War, the Zakka Khel opposed the British advance and attacked</w:t></w:r>
</w:p>
<w:p>
<w:pPr><w:pStyle w:val="Normal"/></w:pPr>
<w:r><w:t xml:space="preserve">their outposts.  A force of 2500 British troops traversed</w:t></w:r>
</w:p>
<w:p>
<w:pPr><w:pStyle w:val="Normal"/></w:pPr>
<w:r><w:t xml:space="preserve">their country, and the tribesmen made their submission.</w:t></w:r>
</w:p>
<w:p>
<w:pPr><w:pStyle w:val="Normal"/></w:pPr>
<w:r><w:t xml:space="preserve">(7) Expedition against the Zakka Khel Afridis of the Bazar</w:t></w:r>
</w:p>
<w:p>
<w:pPr><w:pStyle w:val="Normal"/></w:pPr>
<w:r><w:t xml:space="preserve">Valley under Lieutenant-General Maude in 1879.  After the</w:t></w:r>
</w:p>
<w:p>
<w:pPr><w:pStyle w:val="Normal"/></w:pPr>
<w:r><w:t xml:space="preserve">previous expedition the Afridis of the Khyber Pass continued</w:t></w:r>
</w:p>
<w:p>
<w:pPr><w:pStyle w:val="Normal"/></w:pPr>
<w:r><w:t xml:space="preserve">to give trouble during the progress of the second Afghan</w:t></w:r>
</w:p>
<w:p>
<w:pPr><w:pStyle w:val="Normal"/></w:pPr>
<w:r><w:t xml:space="preserve">War, so another force of 3750 British troops traversed their</w:t></w:r>
</w:p>
<w:p>
<w:pPr><w:pStyle w:val="Normal"/></w:pPr>
<w:r><w:t xml:space="preserve">country, and after suffering some loss the tribesmen made</w:t></w:r>
</w:p>
<w:p>
<w:pPr><w:pStyle w:val="Normal"/></w:pPr>
<w:r><w:t xml:space="preserve">their submission.  After this both the Khyber and Kohat</w:t></w:r>
</w:p>
<w:p>
<w:pPr><w:pStyle w:val="Normal"/></w:pPr>
<w:r><w:t xml:space="preserve">Passes were put on a stable footing, and no further trouble</w:t></w:r>
</w:p>
<w:p>
<w:pPr><w:pStyle w:val="Normal"/></w:pPr>
<w:r><w:t xml:space="preserve">of any consequence occurred in either down to the time of</w:t></w:r>
</w:p>
<w:p>
<w:pPr><w:pStyle w:val="Normal"/></w:pPr>
<w:r><w:t xml:space="preserve">the frontier risings of 1897, when the Afridis attacked</w:t></w:r>
</w:p>
<w:p>
<w:pPr><w:pStyle w:val="Normal"/></w:pPr>
<w:r><w:t xml:space="preserve">the Khyber Pass, which was defended by Afridi levies.</w:t></w:r>
</w:p>
<w:p>
<w:pPr><w:pStyle w:val="Normal"/></w:pPr>
<w:r><w:t xml:space="preserve">(8) For the Tirah Campaign of 1897 see TIRAH CAMPAIGN.</w:t></w:r>
</w:p>
<w:p>
<w:pPr><w:pStyle w:val="Normal"/></w:pPr>
<w:r><w:t xml:space="preserve">(9) In the February of 1908 the restlessness of the Zakka Khel</w:t></w:r>
</w:p>
<w:p>
<w:pPr><w:pStyle w:val="Normal"/></w:pPr>
<w:r><w:t xml:space="preserve">again made a British expedition necessary, under Sir James</w:t></w:r>
</w:p>
<w:p>
<w:pPr><w:pStyle w:val="Normal"/></w:pPr>
<w:r><w:t xml:space="preserve">Willcocks; but the campaign was speedily ended, though in the</w:t></w:r>
</w:p>
<w:p>
<w:pPr><w:pStyle w:val="Normal"/></w:pPr>
<w:r><w:t xml:space="preserve">following April he had again to proceed against the Mohmands,</w:t></w:r>
</w:p>
<w:p>
<w:pPr><w:pStyle w:val="Normal"/></w:pPr>
<w:r><w:t xml:space="preserve">the situation being complicated by an incursion from Afghanistan.</w:t></w:r>
</w:p>
<w:p>
<w:pPr><w:pStyle w:val="Normal"/></w:pPr>
<w:r><w:t xml:space="preserve">See also Paget and Mason&apos;s Frontier Expeditions (1884);</w:t></w:r>
</w:p>
<w:p>
<w:pPr><w:pStyle w:val="Normal"/></w:pPr>
<w:r><w:t xml:space="preserve">Warburton&apos;s Eighteen Years in the Khyber (1900). (C. L.)</w:t></w:r>
</w:p>
<w:p>
<w:pPr><w:pStyle w:val="Normal"/></w:pPr>
<w:r><w:t xml:space="preserve">AFTERGLOW, a broad high arch of whitish or rosy light appearing</w:t></w:r>
</w:p>
<w:p>
<w:pPr><w:pStyle w:val="Normal"/></w:pPr>
<w:r><w:t xml:space="preserve">occasionally in the sky above the highest clouds in the hour</w:t></w:r>
</w:p>
<w:p>
<w:pPr><w:pStyle w:val="Normal"/></w:pPr>
<w:r><w:t xml:space="preserve">of deepening twilight, or reflected from the high snowfields</w:t></w:r>
</w:p>
<w:p>
<w:pPr><w:pStyle w:val="Normal"/></w:pPr>
<w:r><w:t xml:space="preserve">in mountain regions long after sunset.  The phenomenon is due</w:t></w:r>
</w:p>
<w:p>
<w:pPr><w:pStyle w:val="Normal"/></w:pPr>
<w:r><w:t xml:space="preserve">to very fine particles of dust suspended in the high regions</w:t></w:r>
</w:p>
<w:p>
<w:pPr><w:pStyle w:val="Normal"/></w:pPr>
<w:r><w:t xml:space="preserve">of the atmosphere that produce a scattering effect upon the</w:t></w:r>
</w:p>
<w:p>
<w:pPr><w:pStyle w:val="Normal"/></w:pPr>
<w:r><w:t xml:space="preserve">component parts of white light.  After the eruption of Krakatoa in</w:t></w:r>
</w:p>
<w:p>
<w:pPr><w:pStyle w:val="Normal"/></w:pPr>
<w:r><w:t xml:space="preserve">1883, a remarkable series of red sunsets appeared all over the</w:t></w:r>
</w:p>
<w:p>
<w:pPr><w:pStyle w:val="Normal"/></w:pPr>
<w:r><w:t xml:space="preserve">world.  These were due to an enormous amount of exceedingly</w:t></w:r>
</w:p>
<w:p>
<w:pPr><w:pStyle w:val="Normal"/></w:pPr>
<w:r><w:t xml:space="preserve">fine dust blown to a great height by that terrific explosion,</w:t></w:r>
</w:p>
<w:p>
<w:pPr><w:pStyle w:val="Normal"/></w:pPr>
<w:r><w:t xml:space="preserve">and then universally diffused by the high atmospheric currents.</w:t></w:r>
</w:p>
<w:p>
<w:pPr><w:pStyle w:val="Normal"/></w:pPr>
<w:r><w:t xml:space="preserve">AFZELIUS, ADAM (1750-1837), Swedish botanist, was born at</w:t></w:r>
</w:p>
<w:p>
<w:pPr><w:pStyle w:val="Normal"/></w:pPr>
<w:r><w:t xml:space="preserve">Larf, Vestergotland, in 1750.  He was appointed teacher</w:t></w:r>
</w:p>
<w:p>
<w:pPr><w:pStyle w:val="Normal"/></w:pPr>
<w:r><w:t xml:space="preserve">of oriental languages at Upsala in 1777, and in 1785</w:t></w:r>
</w:p>
<w:p>
<w:pPr><w:pStyle w:val="Normal"/></w:pPr>
<w:r><w:t xml:space="preserve">demonstrator of botany.  From 1792 he spent some years on</w:t></w:r>
</w:p>
<w:p>
<w:pPr><w:pStyle w:val="Normal"/></w:pPr>
<w:r><w:t xml:space="preserve">the west coast of Africa, and in 1797-1798 acted as secretary</w:t></w:r>
</w:p>
<w:p>
<w:pPr><w:pStyle w:val="Normal"/></w:pPr>
<w:r><w:t xml:space="preserve">of the Swedish embassy in London.  Returning to Sweden, he</w:t></w:r>
</w:p>
<w:p>
<w:pPr><w:pStyle w:val="Normal"/></w:pPr>
<w:r><w:t xml:space="preserve">founded the Linnaean institute at Upsala in 1802, and in</w:t></w:r>
</w:p>
<w:p>
<w:pPr><w:pStyle w:val="Normal"/></w:pPr>
<w:r><w:t xml:space="preserve">1812 became professor of materia medica at the university.</w:t></w:r>
</w:p>
<w:p>
<w:pPr><w:pStyle w:val="Normal"/></w:pPr>
<w:r><w:t xml:space="preserve">He died at Upsala in 1837.  In addition to various botanical</w:t></w:r>
</w:p>
<w:p>
<w:pPr><w:pStyle w:val="Normal"/></w:pPr>
<w:r><w:t xml:space="preserve">writings, he published the autobiography of Linnaeus in 1823.</w:t></w:r>
</w:p>
<w:p>
<w:pPr><w:pStyle w:val="Normal"/></w:pPr>
<w:r><w:t xml:space="preserve">His brother, JOHAN AFZELIUS (1753-1837),known as ARVIDSON,</w:t></w:r>
</w:p>
<w:p>
<w:pPr><w:pStyle w:val="Normal"/></w:pPr>
<w:r><w:t xml:space="preserve">was professor of chemistry at Upsala; and another brother, PER</w:t></w:r>
</w:p>
<w:p>
<w:pPr><w:pStyle w:val="Normal"/></w:pPr>
<w:r><w:t xml:space="preserve">AF (1760-1843), who became professor of medicine at Upsala in</w:t></w:r>
</w:p>
<w:p>
<w:pPr><w:pStyle w:val="Normal"/></w:pPr>
<w:r><w:t xml:space="preserve">1801, was distinguished as a medical teacher and practitioner.</w:t></w:r>
</w:p>
<w:p>
<w:pPr><w:pStyle w:val="Normal"/></w:pPr>
<w:r><w:t xml:space="preserve">AFZELIUS, ARVID AUGUST (1785-1871), Swedish pastor, poet,</w:t></w:r>
</w:p>
<w:p>
<w:pPr><w:pStyle w:val="Normal"/></w:pPr>
<w:r><w:t xml:space="preserve">historian and mythologist, was born on the 8th of October</w:t></w:r>
</w:p>
<w:p>
<w:pPr><w:pStyle w:val="Normal"/></w:pPr>
<w:r><w:t xml:space="preserve">1785.  From 1828 till his death on the 25th of September 1871</w:t></w:r>
</w:p>
<w:p>
<w:pPr><w:pStyle w:val="Normal"/></w:pPr>
<w:r><w:t xml:space="preserve">he was parish priest of Enkoping.  He is mainly known as a</w:t></w:r>
</w:p>
<w:p>
<w:pPr><w:pStyle w:val="Normal"/></w:pPr>
<w:r><w:t xml:space="preserve">collaborator with the learned historian, Erik Gustaf Geijer, in</w:t></w:r>
</w:p>
<w:p>
<w:pPr><w:pStyle w:val="Normal"/></w:pPr>
<w:r><w:t xml:space="preserve">the great collection of Swedish folk-songs, Svenske folkirsor</w:t></w:r>
</w:p>
<w:p>
<w:pPr><w:pStyle w:val="Normal"/></w:pPr>
<w:r><w:t xml:space="preserve">fran forntiden, 3 vols. (Stockholm, 1814-1816).  He published</w:t></w:r>
</w:p>
<w:p>
<w:pPr><w:pStyle w:val="Normal"/></w:pPr>
<w:r><w:t xml:space="preserve">also translations of the Samunder Edda and Herwara-Saga,</w:t></w:r>
</w:p>
<w:p>
<w:pPr><w:pStyle w:val="Normal"/></w:pPr>
<w:r><w:t xml:space="preserve">and a history of Sweden to Charles XII. (of which a German</w:t></w:r>
</w:p>
<w:p>
<w:pPr><w:pStyle w:val="Normal"/></w:pPr>
<w:r><w:t xml:space="preserve">translation was published in 1842), as well as original poems.</w:t></w:r>
</w:p>
<w:p>
<w:pPr><w:pStyle w:val="Normal"/></w:pPr>
<w:r><w:t xml:space="preserve">AGA, or AGHA, a word, said to be of Tatar origin, signifying</w:t></w:r>
</w:p>
<w:p>
<w:pPr><w:pStyle w:val="Normal"/></w:pPr>
<w:r><w:t xml:space="preserve">a dignitary or lord.  Among the Turks it is applied to the</w:t></w:r>
</w:p>
<w:p>
<w:pPr><w:pStyle w:val="Normal"/></w:pPr>
<w:r><w:t xml:space="preserve">chief of the janissaries, to the commanders of the artillery,</w:t></w:r>
</w:p>
<w:p>
<w:pPr><w:pStyle w:val="Normal"/></w:pPr>
<w:r><w:t xml:space="preserve">cavalry and infantry, and to the eunuchs in charge of the</w:t></w:r>
</w:p>
<w:p>
<w:pPr><w:pStyle w:val="Normal"/></w:pPr>
<w:r><w:t xml:space="preserve">seraglio.  It is also employed generally as a term of</w:t></w:r>
</w:p>
<w:p>
<w:pPr><w:pStyle w:val="Normal"/></w:pPr>
<w:r><w:t xml:space="preserve">respect in addressing wealthy men of leisure, landowners, &amp;c.</w:t></w:r>
</w:p>
<w:p>
<w:pPr><w:pStyle w:val="Normal"/></w:pPr>
<w:r><w:t xml:space="preserve">AGAIAMBO, or AGAUMBU, a race of dwarf marsh-dwellers</w:t></w:r>
</w:p>
<w:p>
<w:pPr><w:pStyle w:val="Normal"/></w:pPr>
<w:r><w:t xml:space="preserve">in British New Guinea, now almost extinct.  In his annual</w:t></w:r>
</w:p>
<w:p>
<w:pPr><w:pStyle w:val="Normal"/></w:pPr>
<w:r><w:t xml:space="preserve">report for 1904 the acting administrator of British New</w:t></w:r>
</w:p>
<w:p>
<w:pPr><w:pStyle w:val="Normal"/></w:pPr>
<w:r><w:t xml:space="preserve">Guinea stated that on a visit he paid to their district</w:t></w:r>
</w:p>
<w:p>
<w:pPr><w:pStyle w:val="Normal"/></w:pPr>
<w:r><w:t xml:space="preserve">he saw six males and four females.  The Agaiambo live in</w:t></w:r>
</w:p>
<w:p>
<w:pPr><w:pStyle w:val="Normal"/></w:pPr>
<w:r><w:t xml:space="preserve">huts erected on piles in the lakes and marshes.  Dwarfish</w:t></w:r>
</w:p>
<w:p>
<w:pPr><w:pStyle w:val="Normal"/></w:pPr>
<w:r><w:t xml:space="preserve">in stature but broadly built, they are remarkable for the</w:t></w:r>
</w:p>
<w:p>
<w:pPr><w:pStyle w:val="Normal"/></w:pPr>
<w:r><w:t xml:space="preserve">shortness of their legs.  They live almost entirely in their</w:t></w:r>
</w:p>
<w:p>
<w:pPr><w:pStyle w:val="Normal"/></w:pPr>
<w:r><w:t xml:space="preserve">``dug-outs&apos;&apos; or canoes, or actually wading in the water.</w:t></w:r>
</w:p>
<w:p>
<w:pPr><w:pStyle w:val="Normal"/></w:pPr>
<w:r><w:t xml:space="preserve">Their food consists of sago, the roots of the water-lily and</w:t></w:r>
</w:p>
<w:p>
<w:pPr><w:pStyle w:val="Normal"/></w:pPr>
<w:r><w:t xml:space="preserve">fish.  The Agaiambo are believed to have been formerly</w:t></w:r>
</w:p>
<w:p>
<w:pPr><w:pStyle w:val="Normal"/></w:pPr>
<w:r><w:t xml:space="preserve">numerous, but within the last few years have suffered from the</w:t></w:r>
</w:p>
<w:p>
<w:pPr><w:pStyle w:val="Normal"/></w:pPr>
<w:r><w:t xml:space="preserve">raids of their cannibalistic Papuan neighbours.  In features,</w:t></w:r>
</w:p>
<w:p>
<w:pPr><w:pStyle w:val="Normal"/></w:pPr>
<w:r><w:t xml:space="preserve">colour and hair they closely resemble the true Papuans.</w:t></w:r>
</w:p>
<w:p>
<w:pPr><w:pStyle w:val="Normal"/></w:pPr>
<w:r><w:t xml:space="preserve">AGA KHAN I., HIS HIGHNESS THE (1800-1881), the title</w:t></w:r>
</w:p>
<w:p>
<w:pPr><w:pStyle w:val="Normal"/></w:pPr>
<w:r><w:t xml:space="preserve">accorded by general consent to HASAN ALI SHAH (born in Persia,</w:t></w:r>
</w:p>
<w:p>
<w:pPr><w:pStyle w:val="Normal"/></w:pPr>
<w:r><w:t xml:space="preserve">1800), when, in early life, he first settled in Bombay under</w:t></w:r>
</w:p>
<w:p>
<w:pPr><w:pStyle w:val="Normal"/></w:pPr>
<w:r><w:t xml:space="preserve">the protection of the British government.  He was believed to</w:t></w:r>
</w:p>
<w:p>
<w:pPr><w:pStyle w:val="Normal"/></w:pPr>
<w:r><w:t xml:space="preserve">have descended in direct line from Ali by his wife Fatima, the</w:t></w:r>
</w:p>
<w:p>
<w:pPr><w:pStyle w:val="Normal"/></w:pPr>
<w:r><w:t xml:space="preserve">daughter of the Prophet Mahomet.  Ali&apos;s son, Hosain, having</w:t></w:r>
</w:p>
<w:p>
<w:pPr><w:pStyle w:val="Normal"/></w:pPr>
<w:r><w:t xml:space="preserve">married a daughter of one of the rulers of Persia before the</w:t></w:r>
</w:p>
<w:p>
<w:pPr><w:pStyle w:val="Normal"/></w:pPr>
<w:r><w:t xml:space="preserve">time of Mahomet, the Aga Khan traced his descent from the</w:t></w:r>
</w:p>
<w:p>
<w:pPr><w:pStyle w:val="Normal"/></w:pPr>
<w:r><w:t xml:space="preserve">royal house of Persia from the most remote, almost prehistoric,</w:t></w:r>
</w:p>
<w:p>
<w:pPr><w:pStyle w:val="Normal"/></w:pPr>
<w:r><w:t xml:space="preserve">times.  His ancestors had also ruled in Egypt as caliphs</w:t></w:r>
</w:p>
<w:p>
<w:pPr><w:pStyle w:val="Normal"/></w:pPr>
<w:r><w:t xml:space="preserve">of the Beni-Fatimites for a number of years, at a period</w:t></w:r>
</w:p>
<w:p>
<w:pPr><w:pStyle w:val="Normal"/></w:pPr>
<w:r><w:t xml:space="preserve">coeval with the Crusades.  Before the Aga Khan emigrated from</w:t></w:r>
</w:p>
<w:p>
<w:pPr><w:pStyle w:val="Normal"/></w:pPr>
<w:r><w:t xml:space="preserve">Persia, he was appointed by the emperor Fateh Ali Shah to be</w:t></w:r>
</w:p>
<w:p>
<w:pPr><w:pStyle w:val="Normal"/></w:pPr>
<w:r><w:t xml:space="preserve">governor-general of the extensive and important province of</w:t></w:r>
</w:p>
<w:p>
<w:pPr><w:pStyle w:val="Normal"/></w:pPr>
<w:r><w:t xml:space="preserve">Kerman.  His rule was noted for firmness, moderation and</w:t></w:r>
</w:p>
<w:p>
<w:pPr><w:pStyle w:val="Normal"/></w:pPr>
<w:r><w:t xml:space="preserve">high political sagacity, and he succeeded for a long time</w:t></w:r>
</w:p>
<w:p>
<w:pPr><w:pStyle w:val="Normal"/></w:pPr>
<w:r><w:t xml:space="preserve">in retaining the friendship and confidence of his master the</w:t></w:r>
</w:p>
<w:p>
<w:pPr><w:pStyle w:val="Normal"/></w:pPr>
<w:r><w:t xml:space="preserve">shah, although his career was beset with political intrigues</w:t></w:r>
</w:p>
<w:p>
<w:pPr><w:pStyle w:val="Normal"/></w:pPr>
<w:r><w:t xml:space="preserve">and jealousy on the part of rival and court favourites,</w:t></w:r>
</w:p>
<w:p>
<w:pPr><w:pStyle w:val="Normal"/></w:pPr>
<w:r><w:t xml:space="preserve">and with internal turbulence.  At last, however, the fate</w:t></w:r>
</w:p>
<w:p>
<w:pPr><w:pStyle w:val="Normal"/></w:pPr>
<w:r><w:t xml:space="preserve">usual to statesmen in oriental countries overtook him, and</w:t></w:r>
</w:p>
<w:p>
<w:pPr><w:pStyle w:val="Normal"/></w:pPr>
<w:r><w:t xml:space="preserve">he incurred the mortal displeasure of Fateh Ali Shah.  He</w:t></w:r>
</w:p>
<w:p>
<w:pPr><w:pStyle w:val="Normal"/></w:pPr>
<w:r><w:t xml:space="preserve">fled from Persia and sought protection in British territory,</w:t></w:r>
</w:p>
<w:p>
<w:pPr><w:pStyle w:val="Normal"/></w:pPr>
<w:r><w:t xml:space="preserve">preferring to settle down eventually in India, making Bombay his</w:t></w:r>
</w:p>
<w:p>
<w:pPr><w:pStyle w:val="Normal"/></w:pPr>
<w:r><w:t xml:space="preserve">headquarters.  At that period the first Afghan War was at its</w:t></w:r>
</w:p>
<w:p>
<w:pPr><w:pStyle w:val="Normal"/></w:pPr>
<w:r><w:t xml:space="preserve">height, and in crossing over from Persia through Afghanistan</w:t></w:r>
</w:p>
<w:p>
<w:pPr><w:pStyle w:val="Normal"/></w:pPr>
<w:r><w:t xml:space="preserve">the Aga Khan found opportunities of rendering valuable services</w:t></w:r>
</w:p>
<w:p>
<w:pPr><w:pStyle w:val="Normal"/></w:pPr>
<w:r><w:t xml:space="preserve">to the British army, and thus cast in his lot for ever with the</w:t></w:r>
</w:p>
<w:p>
<w:pPr><w:pStyle w:val="Normal"/></w:pPr>
<w:r><w:t xml:space="preserve">British.  A few years later he rendered similar conspicuous</w:t></w:r>
</w:p>
<w:p>
<w:pPr><w:pStyle w:val="Normal"/></w:pPr>
<w:r><w:t xml:space="preserve">services in the course of the Sind campaign, when his help</w:t></w:r>
</w:p>
<w:p>
<w:pPr><w:pStyle w:val="Normal"/></w:pPr>
<w:r><w:t xml:space="preserve">was utilized by Napier in the process of subduing the frontier</w:t></w:r>
</w:p>
<w:p>
<w:pPr><w:pStyle w:val="Normal"/></w:pPr>
<w:r><w:t xml:space="preserve">tribes, a large number of whom acknowledged the Aga&apos;s authority</w:t></w:r>
</w:p>
<w:p>
<w:pPr><w:pStyle w:val="Normal"/></w:pPr>
<w:r><w:t xml:space="preserve">as their spiritual head.  Napier held his Moslem ally in great</w:t></w:r>
</w:p>
<w:p>
<w:pPr><w:pStyle w:val="Normal"/></w:pPr>
<w:r><w:t xml:space="preserve">esteem, and entertained a very high opinion of his political</w:t></w:r>
</w:p>
<w:p>
<w:pPr><w:pStyle w:val="Normal"/></w:pPr>
<w:r><w:t xml:space="preserve">acumen and chivalry as a leader and soldier.  The Aga Khan</w:t></w:r>
</w:p>
<w:p>
<w:pPr><w:pStyle w:val="Normal"/></w:pPr>
<w:r><w:t xml:space="preserve">reciprocated the British commander&apos;s confidence and friendship</w:t></w:r>
</w:p>
<w:p>
<w:pPr><w:pStyle w:val="Normal"/></w:pPr>
<w:r><w:t xml:space="preserve">by giving repeated proofs of his devotion and attachment to</w:t></w:r>
</w:p>
<w:p>
<w:pPr><w:pStyle w:val="Normal"/></w:pPr>
<w:r><w:t xml:space="preserve">the British government, and when he finally settled down in</w:t></w:r>
</w:p>
<w:p>
<w:pPr><w:pStyle w:val="Normal"/></w:pPr>
<w:r><w:t xml:space="preserve">India, his position as the leader of the large Ismailiah</w:t></w:r>
</w:p>
<w:p>
<w:pPr><w:pStyle w:val="Normal"/></w:pPr>
<w:r><w:t xml:space="preserve">section of Mahommedan British subjects was recognized by the</w:t></w:r>
</w:p>
<w:p>
<w:pPr><w:pStyle w:val="Normal"/></w:pPr>
<w:r><w:t xml:space="preserve">government, and the title of His Highness was conferred on</w:t></w:r>
</w:p>
<w:p>
<w:pPr><w:pStyle w:val="Normal"/></w:pPr>
<w:r><w:t xml:space="preserve">him, with a large pension.  From that time until his death</w:t></w:r>
</w:p>
<w:p>
<w:pPr><w:pStyle w:val="Normal"/></w:pPr>
<w:r><w:t xml:space="preserve">in 1881 the Aga Khan, while leading the life of a peaceful</w:t></w:r>
</w:p>
<w:p>
<w:pPr><w:pStyle w:val="Normal"/></w:pPr>
<w:r><w:t xml:space="preserve">and peacemaking citizen, under the protection of British</w:t></w:r>
</w:p>
<w:p>
<w:pPr><w:pStyle w:val="Normal"/></w:pPr>
<w:r><w:t xml:space="preserve">rule, continued to discharge his sacerdotal functions,</w:t></w:r>
</w:p>
<w:p>
<w:pPr><w:pStyle w:val="Normal"/></w:pPr>
<w:r><w:t xml:space="preserve">not only among his followers in India, but towards the</w:t></w:r>
</w:p>
<w:p>
<w:pPr><w:pStyle w:val="Normal"/></w:pPr>
<w:r><w:t xml:space="preserve">more numerous communities which acknowledged his religious</w:t></w:r>
</w:p>
<w:p>
<w:pPr><w:pStyle w:val="Normal"/></w:pPr>
<w:r><w:t xml:space="preserve">sway in distant countries, such as Afghanistan, Khorasan,</w:t></w:r>
</w:p>
<w:p>
<w:pPr><w:pStyle w:val="Normal"/></w:pPr>
<w:r><w:t xml:space="preserve">Persia, Arabia, Central Asia, and even distant Syria and</w:t></w:r>
</w:p>
<w:p>
<w:pPr><w:pStyle w:val="Normal"/></w:pPr>
<w:r><w:t xml:space="preserve">Morocco.  He remained throughout unflinchingly loyal to the</w:t></w:r>
</w:p>
<w:p>
<w:pPr><w:pStyle w:val="Normal"/></w:pPr>
<w:r><w:t xml:space="preserve">British Raj, and by his vast and unquestioned influence</w:t></w:r>
</w:p>
<w:p>
<w:pPr><w:pStyle w:val="Normal"/></w:pPr>
<w:r><w:t xml:space="preserve">among the frontier tribes on the northern borders of India</w:t></w:r>
</w:p>
<w:p>
<w:pPr><w:pStyle w:val="Normal"/></w:pPr>
<w:r><w:t xml:space="preserve">he exercised a control over their unruly passions in times of</w:t></w:r>
</w:p>
<w:p>
<w:pPr><w:pStyle w:val="Normal"/></w:pPr>
<w:r><w:t xml:space="preserve">trouble, which proved of invaluable service in the several</w:t></w:r>
</w:p>
<w:p>
<w:pPr><w:pStyle w:val="Normal"/></w:pPr>
<w:r><w:t xml:space="preserve">expeditions led by British arms on the north-west frontier of</w:t></w:r>
</w:p>
<w:p>
<w:pPr><w:pStyle w:val="Normal"/></w:pPr>
<w:r><w:t xml:space="preserve">India.  He was also the means of checking the fanaticism</w:t></w:r>
</w:p>
<w:p>
<w:pPr><w:pStyle w:val="Normal"/></w:pPr>
<w:r><w:t xml:space="preserve">of the more turbulent Mahommedans in British India,</w:t></w:r>
</w:p>
<w:p>
<w:pPr><w:pStyle w:val="Normal"/></w:pPr>
<w:r><w:t xml:space="preserve">which in times of internal troubles and misunderstandings</w:t></w:r>
</w:p>
<w:p>
<w:pPr><w:pStyle w:val="Normal"/></w:pPr>
<w:r><w:t xml:space="preserve">finds vent in the shape of religious or political riots.</w:t></w:r>
</w:p>
<w:p>
<w:pPr><w:pStyle w:val="Normal"/></w:pPr>
<w:r><w:t xml:space="preserve">He was succeeded by his eldest son, AGA KHAN II. This prince</w:t></w:r>
</w:p>
<w:p>
<w:pPr><w:pStyle w:val="Normal"/></w:pPr>
<w:r><w:t xml:space="preserve">continued the traditions and work of his father in a manner</w:t></w:r>
</w:p>
<w:p>
<w:pPr><w:pStyle w:val="Normal"/></w:pPr>
<w:r><w:t xml:space="preserve">that won the approbation of the local government, and earned</w:t></w:r>
</w:p>
<w:p>
<w:pPr><w:pStyle w:val="Normal"/></w:pPr>
<w:r><w:t xml:space="preserve">for him the distinction of a knighthood of the Order of the</w:t></w:r>
</w:p>
<w:p>
<w:pPr><w:pStyle w:val="Normal"/></w:pPr>
<w:r><w:t xml:space="preserve">Indian Empire and a seat in the legislative council of Bombay.</w:t></w:r>
</w:p>
<w:p>
<w:pPr><w:pStyle w:val="Normal"/></w:pPr>
<w:r><w:t xml:space="preserve">AGA KHAN III. (Sultan Mahommed Shah), only son of the</w:t></w:r>
</w:p>
<w:p>
<w:pPr><w:pStyle w:val="Normal"/></w:pPr>
<w:r><w:t xml:space="preserve">foregoing, succeeded him on his death in 1885, and became</w:t></w:r>
</w:p>
<w:p>
<w:pPr><w:pStyle w:val="Normal"/></w:pPr>
<w:r><w:t xml:space="preserve">the head of the family and its devotees.  He was born in</w:t></w:r>
</w:p>
<w:p>
<w:pPr><w:pStyle w:val="Normal"/></w:pPr>
<w:r><w:t xml:space="preserve">1877, and, under the care of his mother, a daughter of the</w:t></w:r>
</w:p>
<w:p>
<w:pPr><w:pStyle w:val="Normal"/></w:pPr>
<w:r><w:t xml:space="preserve">ruling house of Persia, was given not only that religious and</w:t></w:r>
</w:p>
<w:p>
<w:pPr><w:pStyle w:val="Normal"/></w:pPr>
<w:r><w:t xml:space="preserve">oriental education which his position as the religious leader</w:t></w:r>
</w:p>
<w:p>
<w:pPr><w:pStyle w:val="Normal"/></w:pPr>
<w:r><w:t xml:space="preserve">of the Ismailians made indispensable, but a sound European</w:t></w:r>
</w:p>
<w:p>
<w:pPr><w:pStyle w:val="Normal"/></w:pPr>
<w:r><w:t xml:space="preserve">training, a boon denied to his father and grandfather.  This</w:t></w:r>
</w:p>
<w:p>
<w:pPr><w:pStyle w:val="Normal"/></w:pPr>
<w:r><w:t xml:space="preserve">blending of the two systems of education produced the happy</w:t></w:r>
</w:p>
<w:p>
<w:pPr><w:pStyle w:val="Normal"/></w:pPr>
<w:r><w:t xml:space="preserve">result of fitting this Moslem chief in an eminent degree both</w:t></w:r>
</w:p>
<w:p>
<w:pPr><w:pStyle w:val="Normal"/></w:pPr>
<w:r><w:t xml:space="preserve">for the sacerdotal functions which appertain to his spiritual</w:t></w:r>
</w:p>
<w:p>
<w:pPr><w:pStyle w:val="Normal"/></w:pPr>
<w:r><w:t xml:space="preserve">position, and for those social duties of a great and enlightened</w:t></w:r>
</w:p>
<w:p>
<w:pPr><w:pStyle w:val="Normal"/></w:pPr>
<w:r><w:t xml:space="preserve">leader which he was called upon to discharge by virtue of that</w:t></w:r>
</w:p>
<w:p>
<w:pPr><w:pStyle w:val="Normal"/></w:pPr>
<w:r><w:t xml:space="preserve">position.  He travelled in distant parts of the world to</w:t></w:r>
</w:p>
<w:p>
<w:pPr><w:pStyle w:val="Normal"/></w:pPr>
<w:r><w:t xml:space="preserve">receive the homage of his followers, and with the object</w:t></w:r>
</w:p>
<w:p>
<w:pPr><w:pStyle w:val="Normal"/></w:pPr>
<w:r><w:t xml:space="preserve">either of settling differences or of advancing their welfare</w:t></w:r>
</w:p>
<w:p>
<w:pPr><w:pStyle w:val="Normal"/></w:pPr>
<w:r><w:t xml:space="preserve">by pecuniary help and personal advice and guidance.  The</w:t></w:r>
</w:p>
<w:p>
<w:pPr><w:pStyle w:val="Normal"/></w:pPr>
<w:r><w:t xml:space="preserve">distinction of a knight commander of the Indian Empire was</w:t></w:r>
</w:p>
<w:p>
<w:pPr><w:pStyle w:val="Normal"/></w:pPr>
<w:r><w:t xml:space="preserve">conferred upon him by Queen Victoria in 1897, and he received</w:t></w:r>
</w:p>
<w:p>
<w:pPr><w:pStyle w:val="Normal"/></w:pPr>
<w:r><w:t xml:space="preserve">like recognition for his public services from the German emperor,</w:t></w:r>
</w:p>
<w:p>
<w:pPr><w:pStyle w:val="Normal"/></w:pPr>
<w:r><w:t xml:space="preserve">the sultan of Turkey, the shah of Persia and other potentates.</w:t></w:r>
</w:p>
<w:p>
<w:pPr><w:pStyle w:val="Normal"/></w:pPr>
<w:r><w:t xml:space="preserve">See Naoroji M. Dumasia, A Brief History of the Aga Khan (1903) (M. M. BH.)</w:t></w:r>
</w:p>
<w:p>
<w:pPr><w:pStyle w:val="Normal"/></w:pPr>
<w:r><w:t xml:space="preserve">AGALMATOLITE (from Gr. agalma, statue, and</w:t></w:r>
</w:p>
<w:p>
<w:pPr><w:pStyle w:val="Normal"/></w:pPr>
<w:r><w:t xml:space="preserve">lithos, stone), a soft species of mineral, also called</w:t></w:r>
</w:p>
<w:p>
<w:pPr><w:pStyle w:val="Normal"/></w:pPr>
<w:r><w:t xml:space="preserve">pagodite, used by the Chinese for carving, especially</w:t></w:r>
</w:p>
<w:p>
<w:pPr><w:pStyle w:val="Normal"/></w:pPr>
<w:r><w:t xml:space="preserve">into grotesque figures (whence called ``figure-stone&apos;&apos;).</w:t></w:r>
</w:p>
<w:p>
<w:pPr><w:pStyle w:val="Normal"/></w:pPr>
<w:r><w:t xml:space="preserve">AGAMEDES, in Greek legend, son of Erginus, king of Orchomenus in</w:t></w:r>
</w:p>
<w:p>
<w:pPr><w:pStyle w:val="Normal"/></w:pPr>
<w:r><w:t xml:space="preserve">Boeotia.  He is always associated with his brother Trophonius</w:t></w:r>
</w:p>
<w:p>
<w:pPr><w:pStyle w:val="Normal"/></w:pPr>
<w:r><w:t xml:space="preserve">as a wonderful architect, the constructor of underground</w:t></w:r>
</w:p>
<w:p>
<w:pPr><w:pStyle w:val="Normal"/></w:pPr>
<w:r><w:t xml:space="preserve">shrines and grottos for the reception of hidden treasure.  When</w:t></w:r>
</w:p>
<w:p>
<w:pPr><w:pStyle w:val="Normal"/></w:pPr>
<w:r><w:t xml:space="preserve">building a treasure-house for Hyrieus, the brothers fixed one</w:t></w:r>
</w:p>
<w:p>
<w:pPr><w:pStyle w:val="Normal"/></w:pPr>
<w:r><w:t xml:space="preserve">of the stones in the wall so that they could remove it whenever</w:t></w:r>
</w:p>
<w:p>
<w:pPr><w:pStyle w:val="Normal"/></w:pPr>
<w:r><w:t xml:space="preserve">they pleased, and from time to time carried off some of the</w:t></w:r>
</w:p>
<w:p>
<w:pPr><w:pStyle w:val="Normal"/></w:pPr>
<w:r><w:t xml:space="preserve">treasure.  Hyrieus thereupon set a trap in which Agamedes</w:t></w:r>
</w:p>
<w:p>
<w:pPr><w:pStyle w:val="Normal"/></w:pPr>
<w:r><w:t xml:space="preserve">was caught; Trophonius, to prevent discovery, cut off his</w:t></w:r>
</w:p>
<w:p>
<w:pPr><w:pStyle w:val="Normal"/></w:pPr>
<w:r><w:t xml:space="preserve">brother&apos;s head and fled with it.  He was pursued by Hyrieus,</w:t></w:r>
</w:p>
<w:p>
<w:pPr><w:pStyle w:val="Normal"/></w:pPr>
<w:r><w:t xml:space="preserve">and swallowed up by the earth in the grove of Lebadeia.  On</w:t></w:r>
</w:p>
<w:p>
<w:pPr><w:pStyle w:val="Normal"/></w:pPr>
<w:r><w:t xml:space="preserve">this spot was the oracle of Trophonius in an underground cave;</w:t></w:r>
</w:p>
<w:p>
<w:pPr><w:pStyle w:val="Normal"/></w:pPr>
<w:r><w:t xml:space="preserve">those who wished to consult it first offered the sacrifice of</w:t></w:r>
</w:p>
<w:p>
<w:pPr><w:pStyle w:val="Normal"/></w:pPr>
<w:r><w:t xml:space="preserve">a ram and called upon the name of Agamedes.  A similar story</w:t></w:r>
</w:p>
<w:p>
<w:pPr><w:pStyle w:val="Normal"/></w:pPr>
<w:r><w:t xml:space="preserve">is told of Rhampsinitus by Herodotus (ii. 121).  According</w:t></w:r>
</w:p>
<w:p>
<w:pPr><w:pStyle w:val="Normal"/></w:pPr>
<w:r><w:t xml:space="preserve">to Pindar (apud Plutarch), the brothers built the temple</w:t></w:r>
</w:p>
<w:p>
<w:pPr><w:pStyle w:val="Normal"/></w:pPr>
<w:r><w:t xml:space="preserve">of Apollo at Delphi; when they asked for a reward, the god</w:t></w:r>
</w:p>
<w:p>
<w:pPr><w:pStyle w:val="Normal"/></w:pPr>
<w:r><w:t xml:space="preserve">promised them one in seven days; on the seventh day they died.</w:t></w:r>
</w:p>
<w:p>
<w:pPr><w:pStyle w:val="Normal"/></w:pPr>
<w:r><w:t xml:space="preserve">Pausanias ix. 37; Plutarch, Consolatio ad</w:t></w:r>
</w:p>
<w:p>
<w:pPr><w:pStyle w:val="Normal"/></w:pPr>
<w:r><w:t xml:space="preserve">Apollonium, 14; Cicero, Tusc.  Disp. i. 47.</w:t></w:r>
</w:p>
<w:p>
<w:pPr><w:pStyle w:val="Normal"/></w:pPr>
<w:r><w:t xml:space="preserve">AGAMEMNON, one of the most distinguished of the Greek</w:t></w:r>
</w:p>
<w:p>
<w:pPr><w:pStyle w:val="Normal"/></w:pPr>
<w:r><w:t xml:space="preserve">heroes, was the son of Atreus (king of Mycenae) and Aerope,</w:t></w:r>
</w:p>
<w:p>
<w:pPr><w:pStyle w:val="Normal"/></w:pPr>
<w:r><w:t xml:space="preserve">grandson of Pelops, great-grandson of Tantalus and brother of</w:t></w:r>
</w:p>
<w:p>
<w:pPr><w:pStyle w:val="Normal"/></w:pPr>
<w:r><w:t xml:space="preserve">Menelaus.  Another account makes him the son of Pleisthenes</w:t></w:r>
</w:p>
<w:p>
<w:pPr><w:pStyle w:val="Normal"/></w:pPr>
<w:r><w:t xml:space="preserve">(the son or father of Atreus), who is said to have been</w:t></w:r>
</w:p>
<w:p>
<w:pPr><w:pStyle w:val="Normal"/></w:pPr>
<w:r><w:t xml:space="preserve">Aerope&apos;s first husband.  Atreus was murdered by Aegisthus</w:t></w:r>
</w:p>
<w:p>
<w:pPr><w:pStyle w:val="Normal"/></w:pPr>
<w:r><w:t xml:space="preserve">(q.v.), who took possession of the throne of Mycenae and</w:t></w:r>
</w:p>
<w:p>
<w:pPr><w:pStyle w:val="Normal"/></w:pPr>
<w:r><w:t xml:space="preserve">ruled jointly with his father Thyestes.  During this period</w:t></w:r>
</w:p>
<w:p>
<w:pPr><w:pStyle w:val="Normal"/></w:pPr>
<w:r><w:t xml:space="preserve">Agamemnon and Menelaus took refuge with Tyndareus, king</w:t></w:r>
</w:p>
<w:p>
<w:pPr><w:pStyle w:val="Normal"/></w:pPr>
<w:r><w:t xml:space="preserve">of Sparta, whose daughters Clytaemnestra (more correctly</w:t></w:r>
</w:p>
<w:p>
<w:pPr><w:pStyle w:val="Normal"/></w:pPr>
<w:r><w:t xml:space="preserve">Clytaemestra) and Helen they respectively married.  By</w:t></w:r>
</w:p>
<w:p>
<w:pPr><w:pStyle w:val="Normal"/></w:pPr>
<w:r><w:t xml:space="preserve">Clytaemnestra, Agamemnon had three daughters, Iphigeneia</w:t></w:r>
</w:p>
<w:p>
<w:pPr><w:pStyle w:val="Normal"/></w:pPr>
<w:r><w:t xml:space="preserve">(Iphianassa), Electra (Laodice), Chrysothemis, and a son,</w:t></w:r>
</w:p>
<w:p>
<w:pPr><w:pStyle w:val="Normal"/></w:pPr>
<w:r><w:t xml:space="preserve">Orestes.  Menelaus succeeded Tyndareus, and Agamemnon,</w:t></w:r>
</w:p>
<w:p>
<w:pPr><w:pStyle w:val="Normal"/></w:pPr>
<w:r><w:t xml:space="preserve">with his brother&apos;s assistance, drove out Aegisthus and</w:t></w:r>
</w:p>
<w:p>
<w:pPr><w:pStyle w:val="Normal"/></w:pPr>
<w:r><w:t xml:space="preserve">Thyestes, and recovered his father&apos;s kingdom.  He extended his</w:t></w:r>
</w:p>
<w:p>
<w:pPr><w:pStyle w:val="Normal"/></w:pPr>
<w:r><w:t xml:space="preserve">dominion by conquest and became the most powerful prince in</w:t></w:r>
</w:p>
<w:p>
<w:pPr><w:pStyle w:val="Normal"/></w:pPr>
<w:r><w:t xml:space="preserve">Greece.  When Paris (Alexander), son of Priam, had carried</w:t></w:r>
</w:p>
<w:p>
<w:pPr><w:pStyle w:val="Normal"/></w:pPr>
<w:r><w:t xml:space="preserve">off his brother&apos;s wife, he went round to the princes of the</w:t></w:r>
</w:p>
<w:p>
<w:pPr><w:pStyle w:val="Normal"/></w:pPr>
<w:r><w:t xml:space="preserve">country and called upon them to unite in a war of revenge</w:t></w:r>
</w:p>
<w:p>
<w:pPr><w:pStyle w:val="Normal"/></w:pPr>
<w:r><w:t xml:space="preserve">against the Trojans.  He himself furnished 100 ships, and</w:t></w:r>
</w:p>
<w:p>
<w:pPr><w:pStyle w:val="Normal"/></w:pPr>
<w:r><w:t xml:space="preserve">was chosen commander-in-chief of the combined forces.  The</w:t></w:r>
</w:p>
<w:p>
<w:pPr><w:pStyle w:val="Normal"/></w:pPr>
<w:r><w:t xml:space="preserve">fleet, numbering 1200 ships, assembled at the port of Aulis in</w:t></w:r>
</w:p>
<w:p>
<w:pPr><w:pStyle w:val="Normal"/></w:pPr>
<w:r><w:t xml:space="preserve">Boeotia.  But Agamemnon had offended the goddess Artemis by</w:t></w:r>
</w:p>
<w:p>
<w:pPr><w:pStyle w:val="Normal"/></w:pPr>
<w:r><w:t xml:space="preserve">slaying a hind sacred to her, and boasting himself a better</w:t></w:r>
</w:p>
<w:p>
<w:pPr><w:pStyle w:val="Normal"/></w:pPr>
<w:r><w:t xml:space="preserve">hunter.  The army was visited by a plague, and the fleet was</w:t></w:r>
</w:p>
<w:p>
<w:pPr><w:pStyle w:val="Normal"/></w:pPr>
<w:r><w:t xml:space="preserve">prevented from sailing by the total absence of wind.  Calchas</w:t></w:r>
</w:p>
<w:p>
<w:pPr><w:pStyle w:val="Normal"/></w:pPr>
<w:r><w:t xml:space="preserve">announced that the wrath of the goddess could only be appeased</w:t></w:r>
</w:p>
<w:p>
<w:pPr><w:pStyle w:val="Normal"/></w:pPr>
<w:r><w:t xml:space="preserve">by the sacrifice of Iphigeneia (q.v..) The fleet then set</w:t></w:r>
</w:p>
<w:p>
<w:pPr><w:pStyle w:val="Normal"/></w:pPr>
<w:r><w:t xml:space="preserve">sail.  Little is heard of Agamemnon until his quarrel with Achilles</w:t></w:r>
</w:p>
<w:p>
<w:pPr><w:pStyle w:val="Normal"/></w:pPr>
<w:r><w:t xml:space="preserve">(q.v..) After the capture of Troy, Cassandra, the daughter of</w:t></w:r>
</w:p>
<w:p>
<w:pPr><w:pStyle w:val="Normal"/></w:pPr>
<w:r><w:t xml:space="preserve">Priam, fell to his lot in the distribution of the prizes of</w:t></w:r>
</w:p>
<w:p>
<w:pPr><w:pStyle w:val="Normal"/></w:pPr>
<w:r><w:t xml:space="preserve">war.  On his return, after a stormy voyage, he landed in</w:t></w:r>
</w:p>
<w:p>
<w:pPr><w:pStyle w:val="Normal"/></w:pPr>
<w:r><w:t xml:space="preserve">Argolis.  His kinsman, Aegisthus, who in the interval had</w:t></w:r>
</w:p>
<w:p>
<w:pPr><w:pStyle w:val="Normal"/></w:pPr>
<w:r><w:t xml:space="preserve">seduced his wife Clytaemnestra, invited him to a banquet at</w:t></w:r>
</w:p>
<w:p>
<w:pPr><w:pStyle w:val="Normal"/></w:pPr>
<w:r><w:t xml:space="preserve">which he was treacherously slain, Cassandra also being put</w:t></w:r>
</w:p>
<w:p>
<w:pPr><w:pStyle w:val="Normal"/></w:pPr>
<w:r><w:t xml:space="preserve">to death by Clytaemnestra.  According to the account given</w:t></w:r>
</w:p>
<w:p>
<w:pPr><w:pStyle w:val="Normal"/></w:pPr>
<w:r><w:t xml:space="preserve">by Pindar and the tragedians, Agamemnon was slain by his</w:t></w:r>
</w:p>
<w:p>
<w:pPr><w:pStyle w:val="Normal"/></w:pPr>
<w:r><w:t xml:space="preserve">wife alone in a bath, a piece of cloth or a net having first</w:t></w:r>
</w:p>
<w:p>
<w:pPr><w:pStyle w:val="Normal"/></w:pPr>
<w:r><w:t xml:space="preserve">been thrown over him to prevent resistance.  Her wrath at the</w:t></w:r>
</w:p>
<w:p>
<w:pPr><w:pStyle w:val="Normal"/></w:pPr>
<w:r><w:t xml:space="preserve">sacrifice of Iphigeneia, and her jealousy of Cassandra, are</w:t></w:r>
</w:p>
<w:p>
<w:pPr><w:pStyle w:val="Normal"/></w:pPr>
<w:r><w:t xml:space="preserve">said to have been the motives of her crime.  The murder of</w:t></w:r>
</w:p>
<w:p>
<w:pPr><w:pStyle w:val="Normal"/></w:pPr>
<w:r><w:t xml:space="preserve">Agamemnon was avenged by his son Orestes (q.v..) Although</w:t></w:r>
</w:p>
<w:p>
<w:pPr><w:pStyle w:val="Normal"/></w:pPr>
<w:r><w:t xml:space="preserve">not the equal of Achilles in bravery, Agamemnon is a dignified</w:t></w:r>
</w:p>
<w:p>
<w:pPr><w:pStyle w:val="Normal"/></w:pPr>
<w:r><w:t xml:space="preserve">representative of kingly authority.  As commander-in-chief,</w:t></w:r>
</w:p>
<w:p>
<w:pPr><w:pStyle w:val="Normal"/></w:pPr>
<w:r><w:t xml:space="preserve">he summons the princes to the council and leads the army in</w:t></w:r>
</w:p>
<w:p>
<w:pPr><w:pStyle w:val="Normal"/></w:pPr>
<w:r><w:t xml:space="preserve">battle.  He takes the field himself, and performs many heroic</w:t></w:r>
</w:p>
<w:p>
<w:pPr><w:pStyle w:val="Normal"/></w:pPr>
<w:r><w:t xml:space="preserve">deeds until he is wounded and forced to withdraw to his</w:t></w:r>
</w:p>
<w:p>
<w:pPr><w:pStyle w:val="Normal"/></w:pPr>
<w:r><w:t xml:space="preserve">tent.  His chief fault is his overweening haughtiness, due to</w:t></w:r>
</w:p>
<w:p>
<w:pPr><w:pStyle w:val="Normal"/></w:pPr>
<w:r><w:t xml:space="preserve">an over-exalted opinion of his position, which leads him to</w:t></w:r>
</w:p>
<w:p>
<w:pPr><w:pStyle w:val="Normal"/></w:pPr>
<w:r><w:t xml:space="preserve">insult Chryses and Achilles, thereby bringing great disaster</w:t></w:r>
</w:p>
<w:p>
<w:pPr><w:pStyle w:val="Normal"/></w:pPr>
<w:r><w:t xml:space="preserve">upon the Greeks.  But his family had been marked out for</w:t></w:r>
</w:p>
<w:p>
<w:pPr><w:pStyle w:val="Normal"/></w:pPr>
<w:r><w:t xml:space="preserve">misfortune from the outset.  His kingly office had come to</w:t></w:r>
</w:p>
<w:p>
<w:pPr><w:pStyle w:val="Normal"/></w:pPr>
<w:r><w:t xml:space="preserve">him from Pelops through the blood-stained hands of Atreus and</w:t></w:r>
</w:p>
<w:p>
<w:pPr><w:pStyle w:val="Normal"/></w:pPr>
<w:r><w:t xml:space="preserve">Thyestes, and had brought with it a certain fatality which.</w:t></w:r>
</w:p>
<w:p>
<w:pPr><w:pStyle w:val="Normal"/></w:pPr>
<w:r><w:t xml:space="preserve">explained the hostile destiny which pursued him.  The fortunes</w:t></w:r>
</w:p>
<w:p>
<w:pPr><w:pStyle w:val="Normal"/></w:pPr>
<w:r><w:t xml:space="preserve">of Agamemnon have formed the subject of numerous tragedies,</w:t></w:r>
</w:p>
<w:p>
<w:pPr><w:pStyle w:val="Normal"/></w:pPr>
<w:r><w:t xml:space="preserve">ancient and modern, the most famous being the Oresteia of</w:t></w:r>
</w:p>
<w:p>
<w:pPr><w:pStyle w:val="Normal"/></w:pPr>
<w:r><w:t xml:space="preserve">Aeschylus.  In the legends of Peloponnesus, Agamemnon was</w:t></w:r>
</w:p>
<w:p>
<w:pPr><w:pStyle w:val="Normal"/></w:pPr>
<w:r><w:t xml:space="preserve">regarded as the highest type of a powerful monarch, and in</w:t></w:r>
</w:p>
<w:p>
<w:pPr><w:pStyle w:val="Normal"/></w:pPr>
<w:r><w:t xml:space="preserve">Sparta he was worshipped under the title of Zeus Agamemnon.  His</w:t></w:r>
</w:p>
<w:p>
<w:pPr><w:pStyle w:val="Normal"/></w:pPr>
<w:r><w:t xml:space="preserve">tomb was pointed out among the ruins of Mycenae and at Amyclae.</w:t></w:r>
</w:p>
<w:p>
<w:pPr><w:pStyle w:val="Normal"/></w:pPr>
<w:r><w:t xml:space="preserve">In works of art there is considerable resemblance between</w:t></w:r>
</w:p>
<w:p>
<w:pPr><w:pStyle w:val="Normal"/></w:pPr>
<w:r><w:t xml:space="preserve">the representations of Zeus, king of the gods, and</w:t></w:r>
</w:p>
<w:p>
<w:pPr><w:pStyle w:val="Normal"/></w:pPr>
<w:r><w:t xml:space="preserve">Agamemnon, king of men.  He is generally characterized</w:t></w:r>
</w:p>
<w:p>
<w:pPr><w:pStyle w:val="Normal"/></w:pPr>
<w:r><w:t xml:space="preserve">by the sceptre and diadem, the usual attributes of kings.</w:t></w:r>
</w:p>
<w:p>
<w:pPr><w:pStyle w:val="Normal"/></w:pPr>
<w:r><w:t xml:space="preserve">See articles in Pauly-Wissowa&apos;s Realencyclopadie</w:t></w:r>
</w:p>
<w:p>
<w:pPr><w:pStyle w:val="Normal"/></w:pPr>
<w:r><w:t xml:space="preserve">and Roscher&apos;s Lexikon der Mythologie.</w:t></w:r>
</w:p>
<w:p>
<w:pPr><w:pStyle w:val="Normal"/></w:pPr>
<w:r><w:t xml:space="preserve">AGAPE (Gr. agape, ``Love&apos;&apos;), the early Christian</w:t></w:r>
</w:p>
<w:p>
<w:pPr><w:pStyle w:val="Normal"/></w:pPr>
<w:r><w:t xml:space="preserve">lovefeast.  The word seems to be used in this sense in the</w:t></w:r>
</w:p>
<w:p>
<w:pPr><w:pStyle w:val="Normal"/></w:pPr>
<w:r><w:t xml:space="preserve">epistle of Jude 12: ``These are they who are hidden rocks in</w:t></w:r>
</w:p>
<w:p>
<w:pPr><w:pStyle w:val="Normal"/></w:pPr>
<w:r><w:t xml:space="preserve">your lovefeasts when they banquet with you.&apos;&apos; But this is not</w:t></w:r>
</w:p>
<w:p>
<w:pPr><w:pStyle w:val="Normal"/></w:pPr>
<w:r><w:t xml:space="preserve">certain, for in 2 Pet. ii. 13 the verse is cited, but reading</w:t></w:r>
</w:p>
<w:p>
<w:pPr><w:pStyle w:val="Normal"/></w:pPr>
<w:r><w:t xml:space="preserve">apatais (``deceits&apos;&apos;) for agapais, and the oldest MSS.</w:t></w:r>
</w:p>
<w:p>
<w:pPr><w:pStyle w:val="Normal"/></w:pPr>
<w:r><w:t xml:space="preserve">hesitate.  The history of the agape coincides, until the</w:t></w:r>
</w:p>
<w:p>
<w:pPr><w:pStyle w:val="Normal"/></w:pPr>
<w:r><w:t xml:space="preserve">end of the 2nd century, with that of the eucharist (q.v.),</w:t></w:r>
</w:p>
<w:p>
<w:pPr><w:pStyle w:val="Normal"/></w:pPr>
<w:r><w:t xml:space="preserve">and it is doubtful whether the following detailed account of</w:t></w:r>
</w:p>
<w:p>
<w:pPr><w:pStyle w:val="Normal"/></w:pPr>
<w:r><w:t xml:space="preserve">the agape given in Tertullian&apos;s Apology (c. 39) is to</w:t></w:r>
</w:p>
<w:p>
<w:pPr><w:pStyle w:val="Normal"/></w:pPr>
<w:r><w:t xml:space="preserve">be regarded as exclusive of an accompanying eucharist: ``It</w:t></w:r>
</w:p>
<w:p>
<w:pPr><w:pStyle w:val="Normal"/></w:pPr>
<w:r><w:t xml:space="preserve">is the banquet (triclinium) alone of the Christians that is</w:t></w:r>
</w:p>
<w:p>
<w:pPr><w:pStyle w:val="Normal"/></w:pPr>
<w:r><w:t xml:space="preserve">criticised.  Our supper (coena) shows its character by its</w:t></w:r>
</w:p>
<w:p>
<w:pPr><w:pStyle w:val="Normal"/></w:pPr>
<w:r><w:t xml:space="preserve">name.  It is called by a word which in Greek signifies love</w:t></w:r>
</w:p>
<w:p>
<w:pPr><w:pStyle w:val="Normal"/></w:pPr>
<w:r><w:t xml:space="preserve">(i.e. agape.) Whatever it costs, it is anyhow a clear</w:t></w:r>
</w:p>
<w:p>
<w:pPr><w:pStyle w:val="Normal"/></w:pPr>
<w:r><w:t xml:space="preserve">gain that it is incurred on the score of piety, seeing that</w:t></w:r>
</w:p>
<w:p>
<w:pPr><w:pStyle w:val="Normal"/></w:pPr>
<w:r><w:t xml:space="preserve">we succour the poorest by such entertainments (refrigerio.)</w:t></w:r>
</w:p>
<w:p>
<w:pPr><w:pStyle w:val="Normal"/></w:pPr>
<w:r><w:t xml:space="preserve">We do not lie down at table until prayer has been offered to</w:t></w:r>
</w:p>
<w:p>
<w:pPr><w:pStyle w:val="Normal"/></w:pPr>
<w:r><w:t xml:space="preserve">God, as it were a first taste.  We eat only to appease our</w:t></w:r>
</w:p>
<w:p>
<w:pPr><w:pStyle w:val="Normal"/></w:pPr>
<w:r><w:t xml:space="preserve">hunger, we drink only so much as it is good for temperate</w:t></w:r>
</w:p>
<w:p>
<w:pPr><w:pStyle w:val="Normal"/></w:pPr>
<w:r><w:t xml:space="preserve">persons to do.  If we satisfy our appetites, we do so without</w:t></w:r>
</w:p>
<w:p>
<w:pPr><w:pStyle w:val="Normal"/></w:pPr>
<w:r><w:t xml:space="preserve">forgetting that throughout the night we must say our prayers</w:t></w:r>
</w:p>
<w:p>
<w:pPr><w:pStyle w:val="Normal"/></w:pPr>
<w:r><w:t xml:space="preserve">to God. If we converse, it is with the knowledge that the</w:t></w:r>
</w:p>
<w:p>
<w:pPr><w:pStyle w:val="Normal"/></w:pPr>
<w:r><w:t xml:space="preserve">Lord is listening.  After washing our hands and lighting the</w:t></w:r>
</w:p>
<w:p>
<w:pPr><w:pStyle w:val="Normal"/></w:pPr>
<w:r><w:t xml:space="preserve">lamps, each is invited to sing a hymn before all to God,</w:t></w:r>
</w:p>
<w:p>
<w:pPr><w:pStyle w:val="Normal"/></w:pPr>
<w:r><w:t xml:space="preserve">either taken from holy writ or of his own composition.  So</w:t></w:r>
</w:p>
<w:p>
<w:pPr><w:pStyle w:val="Normal"/></w:pPr>
<w:r><w:t xml:space="preserve">we prove him, and see how well he has drunk.  Prayer ends,</w:t></w:r>
</w:p>
<w:p>
<w:pPr><w:pStyle w:val="Normal"/></w:pPr>
<w:r><w:t xml:space="preserve">as it began, the banquet; and we break up not in bands of</w:t></w:r>
</w:p>
<w:p>
<w:pPr><w:pStyle w:val="Normal"/></w:pPr>
<w:r><w:t xml:space="preserve">brigands, nor in groups of vagabonds, nor do we burst out</w:t></w:r>
</w:p>
<w:p>
<w:pPr><w:pStyle w:val="Normal"/></w:pPr>
<w:r><w:t xml:space="preserve">into debauchery. . . . This meeting of Christians we admit</w:t></w:r>
</w:p>
<w:p>
<w:pPr><w:pStyle w:val="Normal"/></w:pPr>
<w:r><w:t xml:space="preserve">deserves to be made illicit, if it resembles illicit acts; it</w:t></w:r>
</w:p>
<w:p>
<w:pPr><w:pStyle w:val="Normal"/></w:pPr>
<w:r><w:t xml:space="preserve">deserves to be condemned, if any complain of it on the same</w:t></w:r>
</w:p>
<w:p>
<w:pPr><w:pStyle w:val="Normal"/></w:pPr>
<w:r><w:t xml:space="preserve">score on which complaints are levelled at factious meetings.</w:t></w:r>
</w:p>
<w:p>
<w:pPr><w:pStyle w:val="Normal"/></w:pPr>
<w:r><w:t xml:space="preserve">But to do harm to whom do we ever thus come together?&apos;&apos;</w:t></w:r>
</w:p>
<w:p>
<w:pPr><w:pStyle w:val="Normal"/></w:pPr>
<w:r><w:t xml:space="preserve">The evidence of Tertullian is good for Africa.  But in Egypt</w:t></w:r>
</w:p>
<w:p>
<w:pPr><w:pStyle w:val="Normal"/></w:pPr>
<w:r><w:t xml:space="preserve">about the same time (180-210), Clement of Alexandria in his</w:t></w:r>
</w:p>
<w:p>
<w:pPr><w:pStyle w:val="Normal"/></w:pPr>
<w:r><w:t xml:space="preserve">Pedagogus (ii. 1) condemns the ``little suppers which were</w:t></w:r>
</w:p>
<w:p>
<w:pPr><w:pStyle w:val="Normal"/></w:pPr>
<w:r><w:t xml:space="preserve">called, not without presumption, agape.&apos;&apos; This word, he</w:t></w:r>
</w:p>
<w:p>
<w:pPr><w:pStyle w:val="Normal"/></w:pPr>
<w:r><w:t xml:space="preserve">complains, should denote the heavenly food, the reasonable</w:t></w:r>
</w:p>
<w:p>
<w:pPr><w:pStyle w:val="Normal"/></w:pPr>
<w:r><w:t xml:space="preserve">feast alone, and the Lord never used it of mere junketings.</w:t></w:r>
</w:p>
<w:p>
<w:pPr><w:pStyle w:val="Normal"/></w:pPr>
<w:r><w:t xml:space="preserve">Clement wished the name to be reserved for the eucharist.</w:t></w:r>
</w:p>
<w:p>
<w:pPr><w:pStyle w:val="Normal"/></w:pPr>
<w:r><w:t xml:space="preserve">because the love-feasts of the church had degenerated, as</w:t></w:r>
</w:p>
<w:p>
<w:pPr><w:pStyle w:val="Normal"/></w:pPr>
<w:r><w:t xml:space="preserve">Tertullian too discovered, as soon as he turned Montanist.</w:t></w:r>
</w:p>
<w:p>
<w:pPr><w:pStyle w:val="Normal"/></w:pPr>
<w:r><w:t xml:space="preserve">For in his tract on fasting (ch. xvii.) he complains that the</w:t></w:r>
</w:p>
<w:p>
<w:pPr><w:pStyle w:val="Normal"/></w:pPr>
<w:r><w:t xml:space="preserve">young men misbehaved with the sisters after the agapee.</w:t></w:r>
</w:p>
<w:p>
<w:pPr><w:pStyle w:val="Normal"/></w:pPr>
<w:r><w:t xml:space="preserve">Among the spurious works of Athanasius is printed a tract</w:t></w:r>
</w:p>
<w:p>
<w:pPr><w:pStyle w:val="Normal"/></w:pPr>
<w:r><w:t xml:space="preserve">entitled About Virginity, ch. xiii. of which directs how</w:t></w:r>
</w:p>
<w:p>
<w:pPr><w:pStyle w:val="Normal"/></w:pPr>
<w:r><w:t xml:space="preserve">the sisters after the synaxis of the ninth hour (3 P.M.)</w:t></w:r>
</w:p>
<w:p>
<w:pPr><w:pStyle w:val="Normal"/></w:pPr>
<w:r><w:t xml:space="preserve">are to dine: ``When you sit down at a table and come to break</w:t></w:r>
</w:p>
<w:p>
<w:pPr><w:pStyle w:val="Normal"/></w:pPr>
<w:r><w:t xml:space="preserve">bread, seal it thrice with the sign of the cross and thus give</w:t></w:r>
</w:p>
<w:p>
<w:pPr><w:pStyle w:val="Normal"/></w:pPr>
<w:r><w:t xml:space="preserve">thanks: `We thank thee, our Father, for thy holy resurrection;</w:t></w:r>
</w:p>
<w:p>
<w:pPr><w:pStyle w:val="Normal"/></w:pPr>
<w:r><w:t xml:space="preserve">for through Jesus thy servant thou hast shewn it unto us.</w:t></w:r>
</w:p>
<w:p>
<w:pPr><w:pStyle w:val="Normal"/></w:pPr>
<w:r><w:t xml:space="preserve">And as this bread on this table was scattered, but has been</w:t></w:r>
</w:p>
<w:p>
<w:pPr><w:pStyle w:val="Normal"/></w:pPr>
<w:r><w:t xml:space="preserve">brought together and become one, so may thy church be brought</w:t></w:r>
</w:p>
<w:p>
<w:pPr><w:pStyle w:val="Normal"/></w:pPr>
<w:r><w:t xml:space="preserve">together into thy kingdom.  For thine is the power and the</w:t></w:r>
</w:p>
<w:p>
<w:pPr><w:pStyle w:val="Normal"/></w:pPr>
<w:r><w:t xml:space="preserve">glory, for ever and ever, Amen.&apos; This prayer as you break the</w:t></w:r>
</w:p>
<w:p>
<w:pPr><w:pStyle w:val="Normal"/></w:pPr>
<w:r><w:t xml:space="preserve">bread, and are about to eat, you must say.  And when you lay</w:t></w:r>
</w:p>
<w:p>
<w:pPr><w:pStyle w:val="Normal"/></w:pPr>
<w:r><w:t xml:space="preserve">it on the table and desire to eat it, repeat the `Our Father&apos;</w:t></w:r>
</w:p>
<w:p>
<w:pPr><w:pStyle w:val="Normal"/></w:pPr>
<w:r><w:t xml:space="preserve">entire.  But after dinner (or breakfast), and when we rise</w:t></w:r>
</w:p>
<w:p>
<w:pPr><w:pStyle w:val="Normal"/></w:pPr>
<w:r><w:t xml:space="preserve">from table, we use the prayer given above, viz. `Blessed be</w:t></w:r>
</w:p>
<w:p>
<w:pPr><w:pStyle w:val="Normal"/></w:pPr>
<w:r><w:t xml:space="preserve">God, who hath pity and nourisheth us from our infancy, who</w:t></w:r>
</w:p>
<w:p>
<w:pPr><w:pStyle w:val="Normal"/></w:pPr>
<w:r><w:t xml:space="preserve">giveth food to all flesh.  Fill our hearts with joy and</w:t></w:r>
</w:p>
<w:p>
<w:pPr><w:pStyle w:val="Normal"/></w:pPr>
<w:r><w:t xml:space="preserve">gladness, that ever having of all things a sufficiency, we</w:t></w:r>
</w:p>
<w:p>
<w:pPr><w:pStyle w:val="Normal"/></w:pPr>
<w:r><w:t xml:space="preserve">may superabound in all good works, in Christ Jesus our Lord,</w:t></w:r>
</w:p>
<w:p>
<w:pPr><w:pStyle w:val="Normal"/></w:pPr>
<w:r><w:t xml:space="preserve">&amp;c.&apos;&apos;&apos; The writer then enjoins that, ``if two or three other</w:t></w:r>
</w:p>
<w:p>
<w:pPr><w:pStyle w:val="Normal"/></w:pPr>
<w:r><w:t xml:space="preserve">virgins are present, they also shall give thanks over the</w:t></w:r>
</w:p>
<w:p>
<w:pPr><w:pStyle w:val="Normal"/></w:pPr>
<w:r><w:t xml:space="preserve">bread set out, and join in the prayers.  But if a catechumen</w:t></w:r>
</w:p>
<w:p>
<w:pPr><w:pStyle w:val="Normal"/></w:pPr>
<w:r><w:t xml:space="preserve">be found at the table, she shall not be suffered to join with</w:t></w:r>
</w:p>
<w:p>
<w:pPr><w:pStyle w:val="Normal"/></w:pPr>
<w:r><w:t xml:space="preserve">the full believers in their prayers, nor shall the latter sit</w:t></w:r>
</w:p>
<w:p>
<w:pPr><w:pStyle w:val="Normal"/></w:pPr>
<w:r><w:t xml:space="preserve">with her to eat the morsel&apos;&apos; (fiomon, used specially of</w:t></w:r>
</w:p>
<w:p>
<w:pPr><w:pStyle w:val="Normal"/></w:pPr>
<w:r><w:t xml:space="preserve">the sanctified bread). ``Nor shall they sit with frivolous</w:t></w:r>
</w:p>
<w:p>
<w:pPr><w:pStyle w:val="Normal"/></w:pPr>
<w:r><w:t xml:space="preserve">and joking women, if they can help it, for they are sanctified</w:t></w:r>
</w:p>
<w:p>
<w:pPr><w:pStyle w:val="Normal"/></w:pPr>
<w:r><w:t xml:space="preserve">to God, and their food and drink have been hallowed by the</w:t></w:r>
</w:p>
<w:p>
<w:pPr><w:pStyle w:val="Normal"/></w:pPr>
<w:r><w:t xml:space="preserve">prayers and holy words used over them. . . . If a rich woman</w:t></w:r>
</w:p>
<w:p>
<w:pPr><w:pStyle w:val="Normal"/></w:pPr>
<w:r><w:t xml:space="preserve">sits down with them at table, and they see a poor woman,</w:t></w:r>
</w:p>
<w:p>
<w:pPr><w:pStyle w:val="Normal"/></w:pPr>
<w:r><w:t xml:space="preserve">they shall invite her also to eat with them, and not put</w:t></w:r>
</w:p>
<w:p>
<w:pPr><w:pStyle w:val="Normal"/></w:pPr>
<w:r><w:t xml:space="preserve">her to shame because of the rich one.&apos;&apos; The last words echo</w:t></w:r>
</w:p>
<w:p>
<w:pPr><w:pStyle w:val="Normal"/></w:pPr>
<w:r><w:t xml:space="preserve">1 Cor. x., and the prayer is nearly the same as that which</w:t></w:r>
</w:p>
<w:p>
<w:pPr><w:pStyle w:val="Normal"/></w:pPr>
<w:r><w:t xml:space="preserve">the teaching of the Apostles assigns for the eucharistic</w:t></w:r>
</w:p>
<w:p>
<w:pPr><w:pStyle w:val="Normal"/></w:pPr>
<w:r><w:t xml:space="preserve">rite.  Here, then, we have pictured as late as the 4th century</w:t></w:r>
</w:p>
<w:p>
<w:pPr><w:pStyle w:val="Normal"/></w:pPr>
<w:r><w:t xml:space="preserve">a Lord&apos;s supper, which like the one described in 1 Cor. x.</w:t></w:r>
</w:p>
<w:p>
<w:pPr><w:pStyle w:val="Normal"/></w:pPr>
<w:r><w:t xml:space="preserve">is agape and eucharist in one, and it is held in a private</w:t></w:r>
</w:p>
<w:p>
<w:pPr><w:pStyle w:val="Normal"/></w:pPr>
<w:r><w:t xml:space="preserve">house and not in church, and the celebrants are holy women!</w:t></w:r>
</w:p>
<w:p>
<w:pPr><w:pStyle w:val="Normal"/></w:pPr>
<w:r><w:t xml:space="preserve">The historian Socrates (Hist.  Eccl. v. 22) testifies to the</w:t></w:r>
</w:p>
<w:p>
<w:pPr><w:pStyle w:val="Normal"/></w:pPr>
<w:r><w:t xml:space="preserve">survival in Egypt of such Lord&apos;s suppers as were love-feasts</w:t></w:r>
</w:p>
<w:p>
<w:pPr><w:pStyle w:val="Normal"/></w:pPr>
<w:r><w:t xml:space="preserve">and eucharists in one.  Around Alexandria and in the Thebaid,</w:t></w:r>
</w:p>
<w:p>
<w:pPr><w:pStyle w:val="Normal"/></w:pPr>
<w:r><w:t xml:space="preserve">he says, they hold services on the sabbath, and unlike other</w:t></w:r>
</w:p>
<w:p>
<w:pPr><w:pStyle w:val="Normal"/></w:pPr>
<w:r><w:t xml:space="preserve">Christians partake of the mysteries (i.e. sacrament).  For</w:t></w:r>
</w:p>
<w:p>
<w:pPr><w:pStyle w:val="Normal"/></w:pPr>
<w:r><w:t xml:space="preserve">after holding good cheer and filling themselves with meats of</w:t></w:r>
</w:p>
<w:p>
<w:pPr><w:pStyle w:val="Normal"/></w:pPr>
<w:r><w:t xml:space="preserve">all kinds, they at eventide make the offering (prosfora)</w:t></w:r>
</w:p>
<w:p>
<w:pPr><w:pStyle w:val="Normal"/></w:pPr>
<w:r><w:t xml:space="preserve">and partake of it.  So Basil of Cappadocia (Epistle 93), about</w:t></w:r>
</w:p>
<w:p>
<w:pPr><w:pStyle w:val="Normal"/></w:pPr>
<w:r><w:t xml:space="preserve">the year 350, records that in Egypt the laity, as a rule,</w:t></w:r>
</w:p>
<w:p>
<w:pPr><w:pStyle w:val="Normal"/></w:pPr>
<w:r><w:t xml:space="preserve">celebrated the communion in their own houses, and partook of</w:t></w:r>
</w:p>
<w:p>
<w:pPr><w:pStyle w:val="Normal"/></w:pPr>
<w:r><w:t xml:space="preserve">the sacrament by themselves whenever they chose.  In the old</w:t></w:r>
</w:p>
<w:p>
<w:pPr><w:pStyle w:val="Normal"/></w:pPr>
<w:r><w:t xml:space="preserve">Egyptian church order, known as the Canons of Hippolytus,</w:t></w:r>
</w:p>
<w:p>
<w:pPr><w:pStyle w:val="Normal"/></w:pPr>
<w:r><w:t xml:space="preserve">there are numerous directions for the service of the agape,</w:t></w:r>
</w:p>
<w:p>
<w:pPr><w:pStyle w:val="Normal"/></w:pPr>
<w:r><w:t xml:space="preserve">held on Sundays, saints&apos; days or at commemorations of the</w:t></w:r>
</w:p>
<w:p>
<w:pPr><w:pStyle w:val="Normal"/></w:pPr>
<w:r><w:t xml:space="preserve">dead.  The 74th canon of the council of Trullo (A.D. 692)</w:t></w:r>
</w:p>
<w:p>
<w:pPr><w:pStyle w:val="Normal"/></w:pPr>
<w:r><w:t xml:space="preserve">forbade the holding of symposia known as agapes in church.</w:t></w:r>
</w:p>
<w:p>
<w:pPr><w:pStyle w:val="Normal"/></w:pPr>
<w:r><w:t xml:space="preserve">In his 54th homily (tom. v. p. 365) Chrysostom describes how</w:t></w:r>
</w:p>
<w:p>
<w:pPr><w:pStyle w:val="Normal"/></w:pPr>
<w:r><w:t xml:space="preserve">after the eucharistic synaxis was over, the faithful remained</w:t></w:r>
</w:p>
<w:p>
<w:pPr><w:pStyle w:val="Normal"/></w:pPr>
<w:r><w:t xml:space="preserve">in church, while the rich brought out meats and drink from</w:t></w:r>
</w:p>
<w:p>
<w:pPr><w:pStyle w:val="Normal"/></w:pPr>
<w:r><w:t xml:space="preserve">their houses, and invited the poor, and furnished ``common</w:t></w:r>
</w:p>
<w:p>
<w:pPr><w:pStyle w:val="Normal"/></w:pPr>
<w:r><w:t xml:space="preserve">tables, common banquets, common symposia in the church</w:t></w:r>
</w:p>
<w:p>
<w:pPr><w:pStyle w:val="Normal"/></w:pPr>
<w:r><w:t xml:space="preserve">itself.&apos;&apos; The council of Gangra (A.D. 355) anathematized</w:t></w:r>
</w:p>
<w:p>
<w:pPr><w:pStyle w:val="Normal"/></w:pPr>
<w:r><w:t xml:space="preserve">the over-ascetic people who despised ``the agapes based</w:t></w:r>
</w:p>
<w:p>
<w:pPr><w:pStyle w:val="Normal"/></w:pPr>
<w:r><w:t xml:space="preserve">on faith.&apos;&apos; Only a few years later, however, the council of</w:t></w:r>
</w:p>
<w:p>
<w:pPr><w:pStyle w:val="Normal"/></w:pPr>
<w:r><w:t xml:space="preserve">Laodicea forbade the holding of agapes in churches.  The</w:t></w:r>
</w:p>
<w:p>
<w:pPr><w:pStyle w:val="Normal"/></w:pPr>
<w:r><w:t xml:space="preserve">42nd canon of the council of Carthage under Aurelius likewise</w:t></w:r>
</w:p>
<w:p>
<w:pPr><w:pStyle w:val="Normal"/></w:pPr>
<w:r><w:t xml:space="preserve">forbade them, but these were only local councils.  In the</w:t></w:r>
</w:p>
<w:p>
<w:pPr><w:pStyle w:val="Normal"/></w:pPr>
<w:r><w:t xml:space="preserve">age of Chrysostom and Augustine the agape was frequent.</w:t></w:r>
</w:p>
<w:p>
<w:pPr><w:pStyle w:val="Normal"/></w:pPr>
<w:r><w:t xml:space="preserve">In the east Syrian, the Armenian and the Georgian churches,</w:t></w:r>
</w:p>
<w:p>
<w:pPr><w:pStyle w:val="Normal"/></w:pPr>
<w:r><w:t xml:space="preserve">respectively Nestorian, Monophysite and Greek Orthodox in their</w:t></w:r>
</w:p>
<w:p>
<w:pPr><w:pStyle w:val="Normal"/></w:pPr>
<w:r><w:t xml:space="preserve">tenets, the agape was from the first a survival, under</w:t></w:r>
</w:p>
<w:p>
<w:pPr><w:pStyle w:val="Normal"/></w:pPr>
<w:r><w:t xml:space="preserve">Christian and Jewish forms, of the old sacrificial systems of</w:t></w:r>
</w:p>
<w:p>
<w:pPr><w:pStyle w:val="Normal"/></w:pPr>
<w:r><w:t xml:space="preserve">a pre-Christian age.  Sheep, rams, bullocks, fowls are given</w:t></w:r>
</w:p>
<w:p>
<w:pPr><w:pStyle w:val="Normal"/></w:pPr>
<w:r><w:t xml:space="preserve">sacrificial salt to lick, and then sacrificed by the priest and</w:t></w:r>
</w:p>
<w:p>
<w:pPr><w:pStyle w:val="Normal"/></w:pPr>
<w:r><w:t xml:space="preserve">deacon, who has the levitical portions of the victim as his</w:t></w:r>
</w:p>
<w:p>
<w:pPr><w:pStyle w:val="Normal"/></w:pPr>
<w:r><w:t xml:space="preserve">perquisite.  In Armenia the Greek word agape has been</w:t></w:r>
</w:p>
<w:p>
<w:pPr><w:pStyle w:val="Normal"/></w:pPr>
<w:r><w:t xml:space="preserve">used ever since the 4th century to indicate these sacrificial</w:t></w:r>
</w:p>
<w:p>
<w:pPr><w:pStyle w:val="Normal"/></w:pPr>
<w:r><w:t xml:space="preserve">meals, which either began or ended with a eucharistic</w:t></w:r>
</w:p>
<w:p>
<w:pPr><w:pStyle w:val="Normal"/></w:pPr>
<w:r><w:t xml:space="preserve">celebration.  The earlier usage of the Armenians is expressed</w:t></w:r>
</w:p>
<w:p>
<w:pPr><w:pStyle w:val="Normal"/></w:pPr>
<w:r><w:t xml:space="preserve">in the two following rules recorded against them by a renegade</w:t></w:r>
</w:p>
<w:p>
<w:pPr><w:pStyle w:val="Normal"/></w:pPr>
<w:r><w:t xml:space="preserve">Armenian prelate named Isaac, who in the 8th century went over</w:t></w:r>
</w:p>
<w:p>
<w:pPr><w:pStyle w:val="Normal"/></w:pPr>
<w:r><w:t xml:space="preserve">to the Byzantine church: ``Christ did not hand down to us the</w:t></w:r>
</w:p>
<w:p>
<w:pPr><w:pStyle w:val="Normal"/></w:pPr>
<w:r><w:t xml:space="preserve">teaching to celebrate the mystery of the offering of the bread</w:t></w:r>
</w:p>
<w:p>
<w:pPr><w:pStyle w:val="Normal"/></w:pPr>
<w:r><w:t xml:space="preserve">in church, but in an ordinary house, and sitting at a common</w:t></w:r>
</w:p>
<w:p>
<w:pPr><w:pStyle w:val="Normal"/></w:pPr>
<w:r><w:t xml:space="preserve">table.  So then let them not sacrifice the offering of bread in</w:t></w:r>
</w:p>
<w:p>
<w:pPr><w:pStyle w:val="Normal"/></w:pPr>
<w:r><w:t xml:space="preserve">churches.  It was after supper, when his disciples were</w:t></w:r>
</w:p>
<w:p>
<w:pPr><w:pStyle w:val="Normal"/></w:pPr>
<w:r><w:t xml:space="preserve">thoroughly sated, that Christ gave them of his own body to</w:t></w:r>
</w:p>
<w:p>
<w:pPr><w:pStyle w:val="Normal"/></w:pPr>
<w:r><w:t xml:space="preserve">eat.  Therefore let them first eat meats and be sated, and</w:t></w:r>
</w:p>
<w:p>
<w:pPr><w:pStyle w:val="Normal"/></w:pPr>
<w:r><w:t xml:space="preserve">then let them partake of the mysteries.&apos;&apos; These old canons are</w:t></w:r>
</w:p>
<w:p>
<w:pPr><w:pStyle w:val="Normal"/></w:pPr>
<w:r><w:t xml:space="preserve">adduced by way of ridiculing the Armenians, yet they reflect old</w:t></w:r>
</w:p>
<w:p>
<w:pPr><w:pStyle w:val="Normal"/></w:pPr>
<w:r><w:t xml:space="preserve">usage.  They are given in the Historia Monothelitarum of</w:t></w:r>
</w:p>
<w:p>
<w:pPr><w:pStyle w:val="Normal"/></w:pPr>
<w:r><w:t xml:space="preserve">Combefisius, col. 317. Older MSS. of the Greek Euchologion</w:t></w:r>
</w:p>
<w:p>
<w:pPr><w:pStyle w:val="Normal"/></w:pPr>
<w:r><w:t xml:space="preserve">contain numerous prayers to be offered over animals sacrificed;</w:t></w:r>
</w:p>
<w:p>
<w:pPr><w:pStyle w:val="Normal"/></w:pPr>
<w:r><w:t xml:space="preserve">and in the form of agape such sacrifices were common</w:t></w:r>
</w:p>
<w:p>
<w:pPr><w:pStyle w:val="Normal"/></w:pPr>
<w:r><w:t xml:space="preserve">in Italy and Gaul on the natalis dies of a saint, and</w:t></w:r>
</w:p>
<w:p>
<w:pPr><w:pStyle w:val="Normal"/></w:pPr>
<w:r><w:t xml:space="preserve">Paulinus of Nola, the friend of Augustine, in his Latin</w:t></w:r>
</w:p>
<w:p>
<w:pPr><w:pStyle w:val="Normal"/></w:pPr>
<w:r><w:t xml:space="preserve">poems, describes them (c. 400) in detail.  Gregory the</w:t></w:r>
</w:p>
<w:p>
<w:pPr><w:pStyle w:val="Normal"/></w:pPr>
<w:r><w:t xml:space="preserve">Great sent to Mellitus, bishop of London, a written rite of</w:t></w:r>
</w:p>
<w:p>
<w:pPr><w:pStyle w:val="Normal"/></w:pPr>
<w:r><w:t xml:space="preserve">sacrificing bulls for use in the English church of the early 7th</w:t></w:r>
</w:p>
<w:p>
<w:pPr><w:pStyle w:val="Normal"/></w:pPr>
<w:r><w:t xml:space="preserve">century.  In Augustine&apos;s work against Faustus the Manichean</w:t></w:r>
</w:p>
<w:p>
<w:pPr><w:pStyle w:val="Normal"/></w:pPr>
<w:r><w:t xml:space="preserve">(xx. 4), the latter taxes the Catholics with having turned</w:t></w:r>
</w:p>
<w:p>
<w:pPr><w:pStyle w:val="Normal"/></w:pPr>
<w:r><w:t xml:space="preserve">the sacrifices of the heathen into agapes, their idols into</w:t></w:r>
</w:p>
<w:p>
<w:pPr><w:pStyle w:val="Normal"/></w:pPr>
<w:r><w:t xml:space="preserve">martyrs, whom they worship with similar rites. ``You appease,&apos;&apos;</w:t></w:r>
</w:p>
<w:p>
<w:pPr><w:pStyle w:val="Normal"/></w:pPr>
<w:r><w:t xml:space="preserve">he says, ``the shades of the dead with wines and banquets, you</w:t></w:r>
</w:p>
<w:p>
<w:pPr><w:pStyle w:val="Normal"/></w:pPr>
<w:r><w:t xml:space="preserve">celebrate the feast-days of the heathen along with them . . .</w:t></w:r>
</w:p>
<w:p>
<w:pPr><w:pStyle w:val="Normal"/></w:pPr>
<w:r><w:t xml:space="preserve">in their way of living you have certainly changed nothing.&apos;&apos;</w:t></w:r>
</w:p>
<w:p>
<w:pPr><w:pStyle w:val="Normal"/></w:pPr>
<w:r><w:t xml:space="preserve">This was true enough, but there is truth also in the remark of</w:t></w:r>
</w:p>
<w:p>
<w:pPr><w:pStyle w:val="Normal"/></w:pPr>
<w:r><w:t xml:space="preserve">Prof.  Sanday (``Eucharist&apos;&apos; in Hastings&apos; Dictionary of</w:t></w:r>
</w:p>
<w:p>
<w:pPr><w:pStyle w:val="Normal"/></w:pPr>
<w:r><w:t xml:space="preserve">the Bible) that Providence even in its revolutions is</w:t></w:r>
</w:p>
<w:p>
<w:pPr><w:pStyle w:val="Normal"/></w:pPr>
<w:r><w:t xml:space="preserve">conservative.  The world could only be christianized on</w:t></w:r>
</w:p>
<w:p>
<w:pPr><w:pStyle w:val="Normal"/></w:pPr>
<w:r><w:t xml:space="preserve">condition that old holy days and customs were continued.</w:t></w:r>
</w:p>
<w:p>
<w:pPr><w:pStyle w:val="Normal"/></w:pPr>
<w:r><w:t xml:space="preserve">The early Christian agape admitted of adaptation to the</w:t></w:r>
</w:p>
<w:p>
<w:pPr><w:pStyle w:val="Normal"/></w:pPr>
<w:r><w:t xml:space="preserve">older funeral and sacrificial feasts, and was so adapted.  The</w:t></w:r>
</w:p>
<w:p>
<w:pPr><w:pStyle w:val="Normal"/></w:pPr>
<w:r><w:t xml:space="preserve">association in the synoptics of the earliest eucharist with</w:t></w:r>
</w:p>
<w:p>
<w:pPr><w:pStyle w:val="Normal"/></w:pPr>
<w:r><w:t xml:space="preserve">the paschal sacrifice provided a model, and long after the</w:t></w:r>
</w:p>
<w:p>
<w:pPr><w:pStyle w:val="Normal"/></w:pPr>
<w:r><w:t xml:space="preserve">eucharist was separated with the agape on other days of the</w:t></w:r>
</w:p>
<w:p>
<w:pPr><w:pStyle w:val="Normal"/></w:pPr>
<w:r><w:t xml:space="preserve">year, we still find celebrated on the evening of Maundy Thursday</w:t></w:r>
</w:p>
<w:p>
<w:pPr><w:pStyle w:val="Normal"/></w:pPr>
<w:r><w:t xml:space="preserve">the sacrifice of the paschal lamb, immediately followed by an</w:t></w:r>
</w:p>
<w:p>
<w:pPr><w:pStyle w:val="Normal"/></w:pPr>
<w:r><w:t xml:space="preserve">eucharist.  The 41st canon of the council of Carthage enacted</w:t></w:r>
</w:p>
<w:p>
<w:pPr><w:pStyle w:val="Normal"/></w:pPr>
<w:r><w:t xml:space="preserve">that the sacraments of the altar should be received fasting,</w:t></w:r>
</w:p>
<w:p>
<w:pPr><w:pStyle w:val="Normal"/></w:pPr>
<w:r><w:t xml:space="preserve">except on the anniversary of the Lord&apos;s supper.  It is clear</w:t></w:r>
</w:p>
<w:p>
<w:pPr><w:pStyle w:val="Normal"/></w:pPr>
<w:r><w:t xml:space="preserve">that at an earlier date the agape preceded the eucharist.</w:t></w:r>
</w:p>
<w:p>
<w:pPr><w:pStyle w:val="Normal"/></w:pPr>
<w:r><w:t xml:space="preserve">Pagan Analogues.--In ancient states common meals called</w:t></w:r>
</w:p>
<w:p>
<w:pPr><w:pStyle w:val="Normal"/></w:pPr>
<w:r><w:t xml:space="preserve">sussitia (sussitia) were instituted, particularly in</w:t></w:r>
</w:p>
<w:p>
<w:pPr><w:pStyle w:val="Normal"/></w:pPr>
<w:r><w:t xml:space="preserve">the Doric states, e.g. in Lacaedemon and in Crete.  Plato</w:t></w:r>
</w:p>
<w:p>
<w:pPr><w:pStyle w:val="Normal"/></w:pPr>
<w:r><w:t xml:space="preserve">advocated them, and perhaps the later Jews imitated the</w:t></w:r>
</w:p>
<w:p>
<w:pPr><w:pStyle w:val="Normal"/></w:pPr>
<w:r><w:t xml:space="preserve">Spartan community.  Trade and other gilds in antiquity held</w:t></w:r>
</w:p>
<w:p>
<w:pPr><w:pStyle w:val="Normal"/></w:pPr>
<w:r><w:t xml:space="preserve">subscription suppers or iranoi, similar to those of the early</w:t></w:r>
</w:p>
<w:p>
<w:pPr><w:pStyle w:val="Normal"/></w:pPr>
<w:r><w:t xml:space="preserve">Corinthian church, usually to support the needs of the poorer</w:t></w:r>
</w:p>
<w:p>
<w:pPr><w:pStyle w:val="Normal"/></w:pPr>
<w:r><w:t xml:space="preserve">members.  These hetairiae or clubs were forbidden (except in</w:t></w:r>
</w:p>
<w:p>
<w:pPr><w:pStyle w:val="Normal"/></w:pPr>
<w:r><w:t xml:space="preserve">cities formally allied to Rome) by Trajan and other emperors,</w:t></w:r>
</w:p>
<w:p>
<w:pPr><w:pStyle w:val="Normal"/></w:pPr>
<w:r><w:t xml:space="preserve">as being likely to be centres of disaffection; and on this</w:t></w:r>
</w:p>
<w:p>
<w:pPr><w:pStyle w:val="Normal"/></w:pPr>
<w:r><w:t xml:space="preserve">ground Pliny forbade the agape of the Bithynian churches,</w:t></w:r>
</w:p>
<w:p>
<w:pPr><w:pStyle w:val="Normal"/></w:pPr>
<w:r><w:t xml:space="preserve">Christianity not being a lawful religion licensed for such</w:t></w:r>
</w:p>
<w:p>
<w:pPr><w:pStyle w:val="Normal"/></w:pPr>
<w:r><w:t xml:space="preserve">gatherings.  The custom which most resembles the eucharist</w:t></w:r>
</w:p>
<w:p>
<w:pPr><w:pStyle w:val="Normal"/></w:pPr>
<w:r><w:t xml:space="preserve">and agape was that known as charistia described by</w:t></w:r>
</w:p>
<w:p>
<w:pPr><w:pStyle w:val="Normal"/></w:pPr>
<w:r><w:t xml:space="preserve">Valerius Maximus ii. 1. 8. It was a solemn feast attended</w:t></w:r>
</w:p>
<w:p>
<w:pPr><w:pStyle w:val="Normal"/></w:pPr>
<w:r><w:t xml:space="preserve">only by members of one clan, at which those who had quarrelled</w:t></w:r>
</w:p>
<w:p>
<w:pPr><w:pStyle w:val="Normal"/></w:pPr>
<w:r><w:t xml:space="preserve">were at the sacrament of the table (apud sacra mensae)</w:t></w:r>
</w:p>
<w:p>
<w:pPr><w:pStyle w:val="Normal"/></w:pPr>
<w:r><w:t xml:space="preserve">reconciled.  It was held on the 20th of February.  Ovid in</w:t></w:r>
</w:p>
<w:p>
<w:pPr><w:pStyle w:val="Normal"/></w:pPr>
<w:r><w:t xml:space="preserve">his Fasti, ii. 617, alludes to it-- Proxima cognati dixere</w:t></w:r>
</w:p>
<w:p>
<w:pPr><w:pStyle w:val="Normal"/></w:pPr>
<w:r><w:t xml:space="preserve">charistia cari, Et venit ad socios turba propinqua deos.</w:t></w:r>
</w:p>
<w:p>
<w:pPr><w:pStyle w:val="Normal"/></w:pPr>
<w:r><w:t xml:space="preserve">AUTHORITIES.--``The Canons of Hippolytus,&apos;&apos; in Duchesne&apos;s</w:t></w:r>
</w:p>
<w:p>
<w:pPr><w:pStyle w:val="Normal"/></w:pPr>
<w:r><w:t xml:space="preserve">Origines du culte chretien (Paris, 1898).; A. Allen,</w:t></w:r>
</w:p>
<w:p>
<w:pPr><w:pStyle w:val="Normal"/></w:pPr>
<w:r><w:t xml:space="preserve">Christian Institutions (London, 1898); P. Batiffol,</w:t></w:r>
</w:p>
<w:p>
<w:pPr><w:pStyle w:val="Normal"/></w:pPr>
<w:r><w:t xml:space="preserve">Etudes d&apos;histoire (Paris, 1902 and 1905); F. X. Funk,</w:t></w:r>
</w:p>
<w:p>
<w:pPr><w:pStyle w:val="Normal"/></w:pPr>
<w:r><w:t xml:space="preserve">``L&apos;Agape,&apos;&apos; in the Revue de l&apos;histoire ecclesiastique</w:t></w:r>
</w:p>
<w:p>
<w:pPr><w:pStyle w:val="Normal"/></w:pPr>
<w:r><w:t xml:space="preserve">(Louvain, Jan. 1903); Ad. Harnack, ``Brod und Wasser&apos;&apos; (Texte</w:t></w:r>
</w:p>
<w:p>
<w:pPr><w:pStyle w:val="Normal"/></w:pPr>
<w:r><w:t xml:space="preserve">und Untersuch. vii. 2, Leipzig, 1891); J. F. Keating,</w:t></w:r>
</w:p>
<w:p>
<w:pPr><w:pStyle w:val="Normal"/></w:pPr>
<w:r><w:t xml:space="preserve">The Agape and the Eucharist (London, 1901): F. X. Kraus,</w:t></w:r>
</w:p>
<w:p>
<w:pPr><w:pStyle w:val="Normal"/></w:pPr>
<w:r><w:t xml:space="preserve">arts. ``Agapes&apos;&apos; and ``Mahle&apos;&apos; in the Realencycklop. d.</w:t></w:r>
</w:p>
<w:p>
<w:pPr><w:pStyle w:val="Normal"/></w:pPr>
<w:r><w:t xml:space="preserve">christl.  Altertumer; P. Ladeuze, ``L&apos;Eucharistie et les</w:t></w:r>
</w:p>
<w:p>
<w:pPr><w:pStyle w:val="Normal"/></w:pPr>
<w:r><w:t xml:space="preserve">repas communs&apos;&apos; in the Revue de l&apos;orient chretien, No.</w:t></w:r>
</w:p>
<w:p>
<w:pPr><w:pStyle w:val="Normal"/></w:pPr>
<w:r><w:t xml:space="preserve">3, 1902; Sir W. M. Ramsay, The Church in the Roman Empire</w:t></w:r>
</w:p>
<w:p>
<w:pPr><w:pStyle w:val="Normal"/></w:pPr>
<w:r><w:t xml:space="preserve">(London, 1894); A. Spitta, Zur Geschichte und Litteratur</w:t></w:r>
</w:p>
<w:p>
<w:pPr><w:pStyle w:val="Normal"/></w:pPr>
<w:r><w:t xml:space="preserve">(Gottingen, 1893); E. von der Goltz, Das Gebet in</w:t></w:r>
</w:p>
<w:p>
<w:pPr><w:pStyle w:val="Normal"/></w:pPr>
<w:r><w:t xml:space="preserve">altesten Christianheit (Leipzig, 1901); F. E. Warren; The</w:t></w:r>
</w:p>
<w:p>
<w:pPr><w:pStyle w:val="Normal"/></w:pPr>
<w:r><w:t xml:space="preserve">Liturgy and Ritual of the Antenicene Church (London, 1897);</w:t></w:r>
</w:p>
<w:p>
<w:pPr><w:pStyle w:val="Normal"/></w:pPr>
<w:r><w:t xml:space="preserve">T. Zahn, art. ``Agapen&apos;&apos; in Hauck&apos;s Realencyklop.; F.. C.</w:t></w:r>
</w:p>
<w:p>
<w:pPr><w:pStyle w:val="Normal"/></w:pPr>
<w:r><w:t xml:space="preserve">Conybeare, Rituale Armenorum (Oxford, 1905; it contains the</w:t></w:r>
</w:p>
<w:p>
<w:pPr><w:pStyle w:val="Normal"/></w:pPr>
<w:r><w:t xml:space="preserve">oldest Latin and Greek forms), The Key of Truth (Oxford,</w:t></w:r>
</w:p>
<w:p>
<w:pPr><w:pStyle w:val="Normal"/></w:pPr>
<w:r><w:t xml:space="preserve">1898), and art. on ``The Survival of Animal Sacrifices&apos;&apos; in</w:t></w:r>
</w:p>
<w:p>
<w:pPr><w:pStyle w:val="Normal"/></w:pPr>
<w:r><w:t xml:space="preserve">the American Journal of Theology (Chicago, Jan. 1903); F. X.</w:t></w:r>
</w:p>
<w:p>
<w:pPr><w:pStyle w:val="Normal"/></w:pPr>
<w:r><w:t xml:space="preserve">Funk, Didascalia et Constitutiones Apostolorum (Paderborn,</w:t></w:r>
</w:p>
<w:p>
<w:pPr><w:pStyle w:val="Normal"/></w:pPr>
<w:r><w:t xml:space="preserve">1906); V. Ermoni, L&apos;Agape (Paris, 1904); G. Horner, The</w:t></w:r>
</w:p>
<w:p>
<w:pPr><w:pStyle w:val="Normal"/></w:pPr>
<w:r><w:t xml:space="preserve">Statutes of the Apostles, translated from Ethiopic and</w:t></w:r>
</w:p>
<w:p>
<w:pPr><w:pStyle w:val="Normal"/></w:pPr>
<w:r><w:t xml:space="preserve">Arabic MSS. (London, 1904); Thefr.  Drescher, Diss. de</w:t></w:r>
</w:p>
<w:p>
<w:pPr><w:pStyle w:val="Normal"/></w:pPr>
<w:r><w:t xml:space="preserve">vet.  Christianorum Agapis (Giesse, 1824); L. A. Muratori,</w:t></w:r>
</w:p>
<w:p>
<w:pPr><w:pStyle w:val="Normal"/></w:pPr>
<w:r><w:t xml:space="preserve">Anecdota Graeca, ``De agapis sublatis&apos;&apos; (Patavii, 1709); I.</w:t></w:r>
</w:p>
<w:p>
<w:pPr><w:pStyle w:val="Normal"/></w:pPr>
<w:r><w:t xml:space="preserve">A. Fabricius, Bibliogr.  Ant. p. 587; Muenter, Primord.</w:t></w:r>
</w:p>
<w:p>
<w:pPr><w:pStyle w:val="Normal"/></w:pPr>
<w:r><w:t xml:space="preserve">Eccl.  Afr. p. 111; Walafrid Strabo, De Rebus Eccles.</w:t></w:r>
</w:p>
<w:p>
<w:pPr><w:pStyle w:val="Normal"/></w:pPr>
<w:r><w:t xml:space="preserve">capita 18,19; Gregory of Tours, De miraculis S. Juliani,</w:t></w:r>
</w:p>
<w:p>
<w:pPr><w:pStyle w:val="Normal"/></w:pPr>
<w:r><w:t xml:space="preserve">xxxi.; Pualini Nolani Carmen xii. in S. Felicem. (F. C. C.)</w:t></w:r>
</w:p>
<w:p>
<w:pPr><w:pStyle w:val="Normal"/></w:pPr>
<w:r><w:t xml:space="preserve">AGAPEMONITES, or COMMUNITY OF THE SON OF MAN. This sect,</w:t></w:r>
</w:p>
<w:p>
<w:pPr><w:pStyle w:val="Normal"/></w:pPr>
<w:r><w:t xml:space="preserve">based upon the theories of various German religious mystics,</w:t></w:r>
</w:p>
<w:p>
<w:pPr><w:pStyle w:val="Normal"/></w:pPr>
<w:r><w:t xml:space="preserve">and having for its primary object the spiritualization of the</w:t></w:r>
</w:p>
<w:p>
<w:pPr><w:pStyle w:val="Normal"/></w:pPr>
<w:r><w:t xml:space="preserve">matrimonial state, was founded in 1846 by the Rev. Henry James</w:t></w:r>
</w:p>
<w:p>
<w:pPr><w:pStyle w:val="Normal"/></w:pPr>
<w:r><w:t xml:space="preserve">Prince, a clergyman of the Church of England (1811-1899).</w:t></w:r>
</w:p>
<w:p>
<w:pPr><w:pStyle w:val="Normal"/></w:pPr>
<w:r><w:t xml:space="preserve">He studied medicine, obtained his qualifications in 1832</w:t></w:r>
</w:p>
<w:p>
<w:pPr><w:pStyle w:val="Normal"/></w:pPr>
<w:r><w:t xml:space="preserve">and was appointed medical officer to the General Hospital in</w:t></w:r>
</w:p>
<w:p>
<w:pPr><w:pStyle w:val="Normal"/></w:pPr>
<w:r><w:t xml:space="preserve">Bath, his native city.  Compelled by ill-health to abandon</w:t></w:r>
</w:p>
<w:p>
<w:pPr><w:pStyle w:val="Normal"/></w:pPr>
<w:r><w:t xml:space="preserve">his profession, he entered himself in 1837 as a student at</w:t></w:r>
</w:p>
<w:p>
<w:pPr><w:pStyle w:val="Normal"/></w:pPr>
<w:r><w:t xml:space="preserve">St. David&apos;s Theological College, Lampeter, where he gathered</w:t></w:r>
</w:p>
<w:p>
<w:pPr><w:pStyle w:val="Normal"/></w:pPr>
<w:r><w:t xml:space="preserve">about him a band of earnest religious enthusiasts, known as</w:t></w:r>
</w:p>
<w:p>
<w:pPr><w:pStyle w:val="Normal"/></w:pPr>
<w:r><w:t xml:space="preserve">the Lampeter Brethren, and was eventually ordained to the</w:t></w:r>
</w:p>
<w:p>
<w:pPr><w:pStyle w:val="Normal"/></w:pPr>
<w:r><w:t xml:space="preserve">curacy of Charlinch in Somerset, where he had sole charge</w:t></w:r>
</w:p>
<w:p>
<w:pPr><w:pStyle w:val="Normal"/></w:pPr>
<w:r><w:t xml:space="preserve">in the illness and absence of the rector, the Rev. Samuel</w:t></w:r>
</w:p>
<w:p>
<w:pPr><w:pStyle w:val="Normal"/></w:pPr>
<w:r><w:t xml:space="preserve">Starkey.  By that time he had contracted his first ``spiritual</w:t></w:r>
</w:p>
<w:p>
<w:pPr><w:pStyle w:val="Normal"/></w:pPr>
<w:r><w:t xml:space="preserve">marriage,&apos;&apos; and had persuaded himself that he had been absorbed</w:t></w:r>
</w:p>
<w:p>
<w:pPr><w:pStyle w:val="Normal"/></w:pPr>
<w:r><w:t xml:space="preserve">into the personality of God and had become a visible embodiment</w:t></w:r>
</w:p>
<w:p>
<w:pPr><w:pStyle w:val="Normal"/></w:pPr>
<w:r><w:t xml:space="preserve">of the Holy Spirit.  During his illness Mr. Starkey read one</w:t></w:r>
</w:p>
<w:p>
<w:pPr><w:pStyle w:val="Normal"/></w:pPr>
<w:r><w:t xml:space="preserve">of his curate&apos;s sermons and was not only ``cured&apos;&apos; forthwith,</w:t></w:r>
</w:p>
<w:p>
<w:pPr><w:pStyle w:val="Normal"/></w:pPr>
<w:r><w:t xml:space="preserve">but embraced his strange doctrines, and together they procured</w:t></w:r>
</w:p>
<w:p>
<w:pPr><w:pStyle w:val="Normal"/></w:pPr>
<w:r><w:t xml:space="preserve">many conversions in the countryside and the neighbouring</w:t></w:r>
</w:p>
<w:p>
<w:pPr><w:pStyle w:val="Normal"/></w:pPr>
<w:r><w:t xml:space="preserve">towns.  In the end the rector was deprived of his living and</w:t></w:r>
</w:p>
<w:p>
<w:pPr><w:pStyle w:val="Normal"/></w:pPr>
<w:r><w:t xml:space="preserve">Prince&apos;s licence withdrawn, and together with a few disciples</w:t></w:r>
</w:p>
<w:p>
<w:pPr><w:pStyle w:val="Normal"/></w:pPr>
<w:r><w:t xml:space="preserve">they started the Charlinch Free Church, which had a very brief</w:t></w:r>
</w:p>
<w:p>
<w:pPr><w:pStyle w:val="Normal"/></w:pPr>
<w:r><w:t xml:space="preserve">existence.  Prince shortly afterwards became curate of Stoke in</w:t></w:r>
</w:p>
<w:p>
<w:pPr><w:pStyle w:val="Normal"/></w:pPr>
<w:r><w:t xml:space="preserve">Suffolk, where, however, the character of his revivalist zeal</w:t></w:r>
</w:p>
<w:p>
<w:pPr><w:pStyle w:val="Normal"/></w:pPr>
<w:r><w:t xml:space="preserve">caused his departure at the end of twelve months.  It was now</w:t></w:r>
</w:p>
<w:p>
<w:pPr><w:pStyle w:val="Normal"/></w:pPr>
<w:r><w:t xml:space="preserve">decided that Prince, Starkey (whose sister Prince had married</w:t></w:r>
</w:p>
<w:p>
<w:pPr><w:pStyle w:val="Normal"/></w:pPr>
<w:r><w:t xml:space="preserve">as his second wife) and the Rev. Lewis Prince should leave the</w:t></w:r>
</w:p>
<w:p>
<w:pPr><w:pStyle w:val="Normal"/></w:pPr>
<w:r><w:t xml:space="preserve">Church of England and preach their own gospel; Prince opened</w:t></w:r>
</w:p>
<w:p>
<w:pPr><w:pStyle w:val="Normal"/></w:pPr>
<w:r><w:t xml:space="preserve">Adullam Chapel, Brighton, and Starkey established himself at</w:t></w:r>
</w:p>
<w:p>
<w:pPr><w:pStyle w:val="Normal"/></w:pPr>
<w:r><w:t xml:space="preserve">Weymouth.  The chief success lay in the latter town, and</w:t></w:r>
</w:p>
<w:p>
<w:pPr><w:pStyle w:val="Normal"/></w:pPr>
<w:r><w:t xml:space="preserve">thither Prince soon migrated.  A number of followers,</w:t></w:r>
</w:p>
<w:p>
<w:pPr><w:pStyle w:val="Normal"/></w:pPr>
<w:r><w:t xml:space="preserve">estimated by Prince at 500, but by his critics at one-fifth</w:t></w:r>
</w:p>
<w:p>
<w:pPr><w:pStyle w:val="Normal"/></w:pPr>
<w:r><w:t xml:space="preserve">of the number, were got together, and it was given out by</w:t></w:r>
</w:p>
<w:p>
<w:pPr><w:pStyle w:val="Normal"/></w:pPr>
<w:r><w:t xml:space="preserve">``Beloved&apos;&apos; or ``The Lamb&apos;&apos;--the names by which the Agapemonites</w:t></w:r>
</w:p>
<w:p>
<w:pPr><w:pStyle w:val="Normal"/></w:pPr>
<w:r><w:t xml:space="preserve">designated their leader--that his disciples must divest</w:t></w:r>
</w:p>
<w:p>
<w:pPr><w:pStyle w:val="Normal"/></w:pPr>
<w:r><w:t xml:space="preserve">themselves of their possessions and throw them into the common</w:t></w:r>
</w:p>
<w:p>
<w:pPr><w:pStyle w:val="Normal"/></w:pPr>
<w:r><w:t xml:space="preserve">stock.  This was done, even by the poor or ill-furnished,</w:t></w:r>
</w:p>
<w:p>
<w:pPr><w:pStyle w:val="Normal"/></w:pPr>
<w:r><w:t xml:space="preserve">all of whom looked forward to the speedy end of the present</w:t></w:r>
</w:p>
<w:p>
<w:pPr><w:pStyle w:val="Normal"/></w:pPr>
<w:r><w:t xml:space="preserve">dispensation, and were content, for the short remainder of this</w:t></w:r>
</w:p>
<w:p>
<w:pPr><w:pStyle w:val="Normal"/></w:pPr>
<w:r><w:t xml:space="preserve">world, to live in common, and, while not repudiating earthly</w:t></w:r>
</w:p>
<w:p>
<w:pPr><w:pStyle w:val="Normal"/></w:pPr>
<w:r><w:t xml:space="preserve">ties, to treat them as purely spiritual.  With the money</w:t></w:r>
</w:p>
<w:p>
<w:pPr><w:pStyle w:val="Normal"/></w:pPr>
<w:r><w:t xml:space="preserve">thus obtained the house at Spaxton, which was to become the</w:t></w:r>
</w:p>
<w:p>
<w:pPr><w:pStyle w:val="Normal"/></w:pPr>
<w:r><w:t xml:space="preserve">``Abode of Love,&apos;&apos; was enlarged and furnished luxuriously, and</w:t></w:r>
</w:p>
<w:p>
<w:pPr><w:pStyle w:val="Normal"/></w:pPr>
<w:r><w:t xml:space="preserve">three sisters, who contributed L. 6000 each, were immediately</w:t></w:r>
</w:p>
<w:p>
<w:pPr><w:pStyle w:val="Normal"/></w:pPr>
<w:r><w:t xml:space="preserve">married to three of Prince&apos;s nearest disciples.  Despite the</w:t></w:r>
</w:p>
<w:p>
<w:pPr><w:pStyle w:val="Normal"/></w:pPr>
<w:r><w:t xml:space="preserve">purely spiritual ideas which underlay the Agapemonite view</w:t></w:r>
</w:p>
<w:p>
<w:pPr><w:pStyle w:val="Normal"/></w:pPr>
<w:r><w:t xml:space="preserve">of marriage, a son was born to one of these couples, and</w:t></w:r>
</w:p>
<w:p>
<w:pPr><w:pStyle w:val="Normal"/></w:pPr>
<w:r><w:t xml:space="preserve">when the father endeavoured to carry it away an action was</w:t></w:r>
</w:p>
<w:p>
<w:pPr><w:pStyle w:val="Normal"/></w:pPr>
<w:r><w:t xml:space="preserve">brought which resulted in the affirmation of the mother&apos;s</w:t></w:r>
</w:p>
<w:p>
<w:pPr><w:pStyle w:val="Normal"/></w:pPr>
<w:r><w:t xml:space="preserve">right to its custody.  The circumstance in which a fourth</w:t></w:r>
</w:p>
<w:p>
<w:pPr><w:pStyle w:val="Normal"/></w:pPr>
<w:r><w:t xml:space="preserve">sister who joined the community was abducted by her brothers</w:t></w:r>
</w:p>
<w:p>
<w:pPr><w:pStyle w:val="Normal"/></w:pPr>
<w:r><w:t xml:space="preserve">led to an inquiry in lunacy and to her final settlement at</w:t></w:r>
</w:p>
<w:p>
<w:pPr><w:pStyle w:val="Normal"/></w:pPr>
<w:r><w:t xml:space="preserve">Spaxton.  A few years after the establishment of the ``Abode</w:t></w:r>
</w:p>
<w:p>
<w:pPr><w:pStyle w:val="Normal"/></w:pPr>
<w:r><w:t xml:space="preserve">of Love,&apos;&apos; a peculiarly gross scandal, in which Prince and one</w:t></w:r>
</w:p>
<w:p>
<w:pPr><w:pStyle w:val="Normal"/></w:pPr>
<w:r><w:t xml:space="preserve">of his female followers were involved, led to the secession</w:t></w:r>
</w:p>
<w:p>
<w:pPr><w:pStyle w:val="Normal"/></w:pPr>
<w:r><w:t xml:space="preserve">of some of his most faithful friends, who were unable any</w:t></w:r>
</w:p>
<w:p>
<w:pPr><w:pStyle w:val="Normal"/></w:pPr>
<w:r><w:t xml:space="preserve">longer to endure what they regarded as the amazing mixture</w:t></w:r>
</w:p>
<w:p>
<w:pPr><w:pStyle w:val="Normal"/></w:pPr>
<w:r><w:t xml:space="preserve">of blasphemy and immorality offered for their acceptance.</w:t></w:r>
</w:p>
<w:p>
<w:pPr><w:pStyle w:val="Normal"/></w:pPr>
<w:r><w:t xml:space="preserve">The most prominent of those who remained received such titles</w:t></w:r>
</w:p>
<w:p>
<w:pPr><w:pStyle w:val="Normal"/></w:pPr>
<w:r><w:t xml:space="preserve">as the ``Anointed Ones,&apos;&apos; the ``Angel of the Last Trumpet,&apos;&apos;</w:t></w:r>
</w:p>
<w:p>
<w:pPr><w:pStyle w:val="Normal"/></w:pPr>
<w:r><w:t xml:space="preserve">the ``Seven Witnesses&apos;&apos; and so forth.  In 1862 ``Brother</w:t></w:r>
</w:p>
<w:p>
<w:pPr><w:pStyle w:val="Normal"/></w:pPr>
<w:r><w:t xml:space="preserve">Prince&apos;&apos; sent ``to the kings and people of the earth&apos;&apos; letters</w:t></w:r>
</w:p>
<w:p>
<w:pPr><w:pStyle w:val="Normal"/></w:pPr>
<w:r><w:t xml:space="preserve">``making known to all men that flesh is saved from death.&apos;&apos;</w:t></w:r>
</w:p>
<w:p>
<w:pPr><w:pStyle w:val="Normal"/></w:pPr>
<w:r><w:t xml:space="preserve">At that period the Agapemonites counted their adherents at</w:t></w:r>
</w:p>
<w:p>
<w:pPr><w:pStyle w:val="Normal"/></w:pPr>
<w:r><w:t xml:space="preserve">600, and it was no doubt a grievous shock to them when their</w:t></w:r>
</w:p>
<w:p>
<w:pPr><w:pStyle w:val="Normal"/></w:pPr>
<w:r><w:t xml:space="preserve">deathless founder died on the 8th of March 1899, four years</w:t></w:r>
</w:p>
<w:p>
<w:pPr><w:pStyle w:val="Normal"/></w:pPr>
<w:r><w:t xml:space="preserve">after he had opened a branch church at Clapton, London, which</w:t></w:r>
</w:p>
<w:p>
<w:pPr><w:pStyle w:val="Normal"/></w:pPr>
<w:r><w:t xml:space="preserve">is said to have cost L. 20.000.  This church, decorated with</w:t></w:r>
</w:p>
<w:p>
<w:pPr><w:pStyle w:val="Normal"/></w:pPr>
<w:r><w:t xml:space="preserve">elaborate symbolism,&apos;was styled the ``Ark of the Covenant,&apos;&apos;</w:t></w:r>
</w:p>
<w:p>
<w:pPr><w:pStyle w:val="Normal"/></w:pPr>
<w:r><w:t xml:space="preserve">and in it the elect were to await the coming of the Lord.</w:t></w:r>
</w:p>
<w:p>
<w:pPr><w:pStyle w:val="Normal"/></w:pPr>
<w:r><w:t xml:space="preserve">On the death of ``Brother&apos;&apos; Prince, the Rev. T. H. Smyth-Pigott,</w:t></w:r>
</w:p>
<w:p>
<w:pPr><w:pStyle w:val="Normal"/></w:pPr>
<w:r><w:t xml:space="preserve">pastor of the ``Ark,&apos;&apos; became the acknowledged head of the</w:t></w:r>
</w:p>
<w:p>
<w:pPr><w:pStyle w:val="Normal"/></w:pPr>
<w:r><w:t xml:space="preserve">sect.  He was born in 1852, of an old Somersetshire county</w:t></w:r>
</w:p>
<w:p>
<w:pPr><w:pStyle w:val="Normal"/></w:pPr>
<w:r><w:t xml:space="preserve">family, and, after a varied career as university man, sailor</w:t></w:r>
</w:p>
<w:p>
<w:pPr><w:pStyle w:val="Normal"/></w:pPr>
<w:r><w:t xml:space="preserve">before the mast, soldier, coffee-planter, curate in the Church</w:t></w:r>
</w:p>
<w:p>
<w:pPr><w:pStyle w:val="Normal"/></w:pPr>
<w:r><w:t xml:space="preserve">of England and evangelist in the Salvation Army, was converted</w:t></w:r>
</w:p>
<w:p>
<w:pPr><w:pStyle w:val="Normal"/></w:pPr>
<w:r><w:t xml:space="preserve">about 1897 to the views of Prince.  For five years after</w:t></w:r>
</w:p>
<w:p>
<w:pPr><w:pStyle w:val="Normal"/></w:pPr>
<w:r><w:t xml:space="preserve">this he was not heard of outside his own sect.  On the 7th of</w:t></w:r>
</w:p>
<w:p>
<w:pPr><w:pStyle w:val="Normal"/></w:pPr>
<w:r><w:t xml:space="preserve">September 1902, however, the congregation, assembled at the</w:t></w:r>
</w:p>
<w:p>
<w:pPr><w:pStyle w:val="Normal"/></w:pPr>
<w:r><w:t xml:space="preserve">Ark of the Covenant for service, found the communion table</w:t></w:r>
</w:p>
<w:p>
<w:pPr><w:pStyle w:val="Normal"/></w:pPr>
<w:r><w:t xml:space="preserve">replaced by a chair.  In this Pigott presently seated himself</w:t></w:r>
</w:p>
<w:p>
<w:pPr><w:pStyle w:val="Normal"/></w:pPr>
<w:r><w:t xml:space="preserve">and proclaimed himself as the Messiah with the words, ``God is</w:t></w:r>
</w:p>
<w:p>
<w:pPr><w:pStyle w:val="Normal"/></w:pPr>
<w:r><w:t xml:space="preserve">no longer there,&apos;&apos; pointing upwards, ``but here,&apos;&apos; pointing to</w:t></w:r>
</w:p>
<w:p>
<w:pPr><w:pStyle w:val="Normal"/></w:pPr>
<w:r><w:t xml:space="preserve">himself.  This astonishing announcement was followed by an</w:t></w:r>
</w:p>
<w:p>
<w:pPr><w:pStyle w:val="Normal"/></w:pPr>
<w:r><w:t xml:space="preserve">excellent sermon on Christian love.  Pigott&apos;s claim was at</w:t></w:r>
</w:p>
<w:p>
<w:pPr><w:pStyle w:val="Normal"/></w:pPr>
<w:r><w:t xml:space="preserve">once admitted by the members of his sect, including even</w:t></w:r>
</w:p>
<w:p>
<w:pPr><w:pStyle w:val="Normal"/></w:pPr>
<w:r><w:t xml:space="preserve">his own wife, as the fulfilment of the promise of Christ to</w:t></w:r>
</w:p>
<w:p>
<w:pPr><w:pStyle w:val="Normal"/></w:pPr>
<w:r><w:t xml:space="preserve">appear in due time in the ``Ark.&apos;&apos; By the outside world the</w:t></w:r>
</w:p>
<w:p>
<w:pPr><w:pStyle w:val="Normal"/></w:pPr>
<w:r><w:t xml:space="preserve">affair was greeted with mingled ridicule and indignation,</w:t></w:r>
</w:p>
<w:p>
<w:pPr><w:pStyle w:val="Normal"/></w:pPr>
<w:r><w:t xml:space="preserve">and the new Messiah had to be protected by the police from</w:t></w:r>
</w:p>
<w:p>
<w:pPr><w:pStyle w:val="Normal"/></w:pPr>
<w:r><w:t xml:space="preserve">the violence of an angry mob.  After providing ``copy&apos;&apos; for</w:t></w:r>
</w:p>
<w:p>
<w:pPr><w:pStyle w:val="Normal"/></w:pPr>
<w:r><w:t xml:space="preserve">the newspapers for a few days, however, the whole thing was</w:t></w:r>
</w:p>
<w:p>
<w:pPr><w:pStyle w:val="Normal"/></w:pPr>
<w:r><w:t xml:space="preserve">forgotten.  Pigott retired to the headquarters of the sect,</w:t></w:r>
</w:p>
<w:p>
<w:pPr><w:pStyle w:val="Normal"/></w:pPr>
<w:r><w:t xml:space="preserve">the ``Abode of Love&apos;&apos; in Somerset, and all efforts to interview</w:t></w:r>
</w:p>
<w:p>
<w:pPr><w:pStyle w:val="Normal"/></w:pPr>
<w:r><w:t xml:space="preserve">him or to obtain details of the life of the community were</w:t></w:r>
</w:p>
<w:p>
<w:pPr><w:pStyle w:val="Normal"/></w:pPr>
<w:r><w:t xml:space="preserve">abortive.  At last, in August 1905, the long and mysterious</w:t></w:r>
</w:p>
<w:p>
<w:pPr><w:pStyle w:val="Normal"/></w:pPr>
<w:r><w:t xml:space="preserve">silence was broken by the announcement that a son had been</w:t></w:r>
</w:p>
<w:p>
<w:pPr><w:pStyle w:val="Normal"/></w:pPr>
<w:r><w:t xml:space="preserve">born to Pigott by his ``spiritual wife,&apos;&apos; Miss Ruth Preece, an</w:t></w:r>
</w:p>
<w:p>
<w:pPr><w:pStyle w:val="Normal"/></w:pPr>
<w:r><w:t xml:space="preserve">inmate of the Agapemone.  This event by no means disconcerted</w:t></w:r>
</w:p>
<w:p>
<w:pPr><w:pStyle w:val="Normal"/></w:pPr>
<w:r><w:t xml:space="preserve">the believers, who saw in it only another manifestation</w:t></w:r>
</w:p>
<w:p>
<w:pPr><w:pStyle w:val="Normal"/></w:pPr>
<w:r><w:t xml:space="preserve">of Pigott&apos;s divinity, and proclaimed it as ``an earnest of</w:t></w:r>
</w:p>
<w:p>
<w:pPr><w:pStyle w:val="Normal"/></w:pPr>
<w:r><w:t xml:space="preserve">the total redemption of man.&apos;&apos; The child was registered as</w:t></w:r>
</w:p>
<w:p>
<w:pPr><w:pStyle w:val="Normal"/></w:pPr>
<w:r><w:t xml:space="preserve">``Glory,&apos;&apos; and, at the christening service in the chapel</w:t></w:r>
</w:p>
<w:p>
<w:pPr><w:pStyle w:val="Normal"/></w:pPr>
<w:r><w:t xml:space="preserve">of the Abode, hymns were sung in its honour as it lay in</w:t></w:r>
</w:p>
<w:p>
<w:pPr><w:pStyle w:val="Normal"/></w:pPr>
<w:r><w:t xml:space="preserve">a jewelled cradle in the chancel.  Another child by Miss</w:t></w:r>
</w:p>
<w:p>
<w:pPr><w:pStyle w:val="Normal"/></w:pPr>
<w:r><w:t xml:space="preserve">Preece, christened ``Power,&apos;&apos; was born on the 20th of August</w:t></w:r>
</w:p>
<w:p>
<w:pPr><w:pStyle w:val="Normal"/></w:pPr>
<w:r><w:t xml:space="preserve">1908.  The publicity given to this event renewed the</w:t></w:r>
</w:p>
<w:p>
<w:pPr><w:pStyle w:val="Normal"/></w:pPr>
<w:r><w:t xml:space="preserve">scandal, and in November an attempt to ``tar and feather&apos;&apos;</w:t></w:r>
</w:p>
<w:p>
<w:pPr><w:pStyle w:val="Normal"/></w:pPr>
<w:r><w:t xml:space="preserve">Mr Pigott resulted in two men being sent to prison.  Later</w:t></w:r>
</w:p>
<w:p>
<w:pPr><w:pStyle w:val="Normal"/></w:pPr>
<w:r><w:t xml:space="preserve">in the month proceedings were instituted against him by the</w:t></w:r>
</w:p>
<w:p>
<w:pPr><w:pStyle w:val="Normal"/></w:pPr>
<w:r><w:t xml:space="preserve">bishop of Bath and Wells under the Clergy Discipline Act.</w:t></w:r>
</w:p>
<w:p>
<w:pPr><w:pStyle w:val="Normal"/></w:pPr>
<w:r><w:t xml:space="preserve">One outcome of the disclosures connected with the Agapemone</w:t></w:r>
</w:p>
<w:p>
<w:pPr><w:pStyle w:val="Normal"/></w:pPr>
<w:r><w:t xml:space="preserve">deserves passing mention, as throwing some light on the</w:t></w:r>
</w:p>
<w:p>
<w:pPr><w:pStyle w:val="Normal"/></w:pPr>
<w:r><w:t xml:space="preserve">origin of the wealth of the community.  Mr Charles Stokes</w:t></w:r>
</w:p>
<w:p>
<w:pPr><w:pStyle w:val="Normal"/></w:pPr>
<w:r><w:t xml:space="preserve">Read, a resident at the Agapemone and director of the V.</w:t></w:r>
</w:p>
<w:p>
<w:pPr><w:pStyle w:val="Heading1"/></w:pPr>
<w:r><w:t>V. Bread Company, was requested by his fellow-directors to</w:t></w:r>
</w:p>
<w:p>
<w:pPr><w:pStyle w:val="Normal"/></w:pPr>
<w:r><w:t xml:space="preserve">resign, on the ground that his connexion with the sect</w:t></w:r>
</w:p>
<w:p>
<w:pPr><w:pStyle w:val="Normal"/></w:pPr>
<w:r><w:t xml:space="preserve">was damaging the business of the company.  He denied this</w:t></w:r>
</w:p>
<w:p>
<w:pPr><w:pStyle w:val="Normal"/></w:pPr>
<w:r><w:t xml:space="preserve">to be the case and refused to resign, pleading religious</w:t></w:r>
</w:p>
<w:p>
<w:pPr><w:pStyle w:val="Normal"/></w:pPr>
<w:r><w:t xml:space="preserve">liberty and the large interests of Agapemonites in the</w:t></w:r>
</w:p>
<w:p>
<w:pPr><w:pStyle w:val="Normal"/></w:pPr>
<w:r><w:t xml:space="preserve">concern.  On the 13th of September 1905, a meeting of the</w:t></w:r>
</w:p>
<w:p>
<w:pPr><w:pStyle w:val="Normal"/></w:pPr>
<w:r><w:t xml:space="preserve">shareholders of the company was held, and Read ``asked them</w:t></w:r>
</w:p>
<w:p>
<w:pPr><w:pStyle w:val="Normal"/></w:pPr>
<w:r><w:t xml:space="preserve">to believe that it was not in the interests of the company,</w:t></w:r>
</w:p>
<w:p>
<w:pPr><w:pStyle w:val="Normal"/></w:pPr>
<w:r><w:t xml:space="preserve">but because he knew that the Lord Jesus Christ had come</w:t></w:r>
</w:p>
<w:p>
<w:pPr><w:pStyle w:val="Normal"/></w:pPr>
<w:r><w:t xml:space="preserve">again and was now dwelling at the Agapemone, that he was</w:t></w:r>
</w:p>
<w:p>
<w:pPr><w:pStyle w:val="Normal"/></w:pPr>
<w:r><w:t xml:space="preserve">thus cast out by his colleagues.&apos;&apos; The motion calling on</w:t></w:r>
</w:p>
<w:p>
<w:pPr><w:pStyle w:val="Normal"/></w:pPr>
<w:r><w:t xml:space="preserve">him to resign was carried on a poll being taken by 46,770</w:t></w:r>
</w:p>
<w:p>
<w:pPr><w:pStyle w:val="Normal"/></w:pPr>
<w:r><w:t xml:space="preserve">votes to 2953. (See The Times, 14th of September 1905.)</w:t></w:r>
</w:p>
<w:p>
<w:pPr><w:pStyle w:val="Normal"/></w:pPr>
<w:r><w:t xml:space="preserve">AGAPETAE, a class of ``virgins&apos;&apos; who, in the church of</w:t></w:r>
</w:p>
<w:p>
<w:pPr><w:pStyle w:val="Normal"/></w:pPr>
<w:r><w:t xml:space="preserve">the early middle ages, lived with professedly celibate monks</w:t></w:r>
</w:p>
<w:p>
<w:pPr><w:pStyle w:val="Normal"/></w:pPr>
<w:r><w:t xml:space="preserve">to whom they were said to be united by spiritual love.</w:t></w:r>
</w:p>
<w:p>
<w:pPr><w:pStyle w:val="Normal"/></w:pPr>
<w:r><w:t xml:space="preserve">The practice was suppressed by the Lateran Council of 1139.</w:t></w:r>
</w:p>
<w:p>
<w:pPr><w:pStyle w:val="Normal"/></w:pPr>
<w:r><w:t xml:space="preserve">AGAPETUS, the name of two popes:--</w:t></w:r>
</w:p>
<w:p>
<w:pPr><w:pStyle w:val="Normal"/></w:pPr>
<w:r><w:t xml:space="preserve">AGAPETUS I., pope from 535 to 536. He was an enlightened</w:t></w:r>
</w:p>
<w:p>
<w:pPr><w:pStyle w:val="Normal"/></w:pPr>
<w:r><w:t xml:space="preserve">pontiff and collaborated with Cassiodorus in founding at</w:t></w:r>
</w:p>
<w:p>
<w:pPr><w:pStyle w:val="Normal"/></w:pPr>
<w:r><w:t xml:space="preserve">Rome a library of ecclesiastical authors.  King Theodahad</w:t></w:r>
</w:p>
<w:p>
<w:pPr><w:pStyle w:val="Normal"/></w:pPr>
<w:r><w:t xml:space="preserve">sent him on an embassy to Constantinople, where he</w:t></w:r>
</w:p>
<w:p>
<w:pPr><w:pStyle w:val="Normal"/></w:pPr>
<w:r><w:t xml:space="preserve">died, after having deposed Anthimus, the monophysite</w:t></w:r>
</w:p>
<w:p>
<w:pPr><w:pStyle w:val="Normal"/></w:pPr>
<w:r><w:t xml:space="preserve">bishop of that town, and ordained Menas his successor.</w:t></w:r>
</w:p>
<w:p>
<w:pPr><w:pStyle w:val="Normal"/></w:pPr>
<w:r><w:t xml:space="preserve">AGAPETUS II., pope from 946 to 955, at the time when Alberic,</w:t></w:r>
</w:p>
<w:p>
<w:pPr><w:pStyle w:val="Normal"/></w:pPr>
<w:r><w:t xml:space="preserve">son of Marozia, was governing the independent republic of</w:t></w:r>
</w:p>
<w:p>
<w:pPr><w:pStyle w:val="Normal"/></w:pPr>
<w:r><w:t xml:space="preserve">Rome under the title of ``prince and senator of the Romans.&apos;&apos;</w:t></w:r>
</w:p>
<w:p>
<w:pPr><w:pStyle w:val="Normal"/></w:pPr>
<w:r><w:t xml:space="preserve">Agapetus, a man of some force of character, did his best</w:t></w:r>
</w:p>
<w:p>
<w:pPr><w:pStyle w:val="Normal"/></w:pPr>
<w:r><w:t xml:space="preserve">to put a stop to the degradation into which the papacy had</w:t></w:r>
</w:p>
<w:p>
<w:pPr><w:pStyle w:val="Normal"/></w:pPr>
<w:r><w:t xml:space="preserve">fallen, the so-called ``Pornocracy,&apos;&apos; which lasted from</w:t></w:r>
</w:p>
<w:p>
<w:pPr><w:pStyle w:val="Normal"/></w:pPr>
<w:r><w:t xml:space="preserve">the accession of Sergius III. in 904 to the deposition of</w:t></w:r>
</w:p>
<w:p>
<w:pPr><w:pStyle w:val="Normal"/></w:pPr>
<w:r><w:t xml:space="preserve">John XII. in 963. His appeal to Otto the Great to intervene</w:t></w:r>
</w:p>
<w:p>
<w:pPr><w:pStyle w:val="Normal"/></w:pPr>
<w:r><w:t xml:space="preserve">in Rome remained without immediate effect, since Alberic&apos;s</w:t></w:r>
</w:p>
<w:p>
<w:pPr><w:pStyle w:val="Normal"/></w:pPr>
<w:r><w:t xml:space="preserve">position was too strong to be attacked, but it bore fruit</w:t></w:r>
</w:p>
<w:p>
<w:pPr><w:pStyle w:val="Normal"/></w:pPr>
<w:r><w:t xml:space="preserve">after his death.  Agapetus died on the 8th of November 955.</w:t></w:r>
</w:p>
<w:p>
<w:pPr><w:pStyle w:val="Normal"/></w:pPr>
<w:r><w:t xml:space="preserve">AGAPETUS, a deacon of the church of St Sophia at</w:t></w:r>
</w:p>
<w:p>
<w:pPr><w:pStyle w:val="Normal"/></w:pPr>
<w:r><w:t xml:space="preserve">Constantinople.  He presented to the emperor Justinian, on his</w:t></w:r>
</w:p>
<w:p>
<w:pPr><w:pStyle w:val="Normal"/></w:pPr>
<w:r><w:t xml:space="preserve">accession in 527, a work entitled Scheda regia sive de officio</w:t></w:r>
</w:p>
<w:p>
<w:pPr><w:pStyle w:val="Normal"/></w:pPr>
<w:r><w:t xml:space="preserve">regis, which contained advice on the duties of a Christian</w:t></w:r>
</w:p>
<w:p>
<w:pPr><w:pStyle w:val="Normal"/></w:pPr>
<w:r><w:t xml:space="preserve">prince.  The work was often reprinted and is included in Dom</w:t></w:r>
</w:p>
<w:p>
<w:pPr><w:pStyle w:val="Normal"/></w:pPr>
<w:r><w:t xml:space="preserve">Anselme Banduri&apos;s Imperium Orientale (Paris, 1711).  There</w:t></w:r>
</w:p>
<w:p>
<w:pPr><w:pStyle w:val="Normal"/></w:pPr>
<w:r><w:t xml:space="preserve">is an English translation by Thomas Paynell (1550) and a French</w:t></w:r>
</w:p>
<w:p>
<w:pPr><w:pStyle w:val="Normal"/></w:pPr>
<w:r><w:t xml:space="preserve">translation, executed in 1612 from a Latin version by Louis</w:t></w:r>
</w:p>
<w:p>
<w:pPr><w:pStyle w:val="Normal"/></w:pPr>
<w:r><w:t xml:space="preserve">XIII., with the assistance of his tutor, David Rivault.</w:t></w:r>
</w:p>
<w:p>
<w:pPr><w:pStyle w:val="Normal"/></w:pPr>
<w:r><w:t xml:space="preserve">AGARDE, ARTHUR (1540-1615), English antiquary, was born at</w:t></w:r>
</w:p>
<w:p>
<w:pPr><w:pStyle w:val="Normal"/></w:pPr>
<w:r><w:t xml:space="preserve">Foston, Derbyshire, in 1540.  He was trained as a lawyer,</w:t></w:r>
</w:p>
<w:p>
<w:pPr><w:pStyle w:val="Normal"/></w:pPr>
<w:r><w:t xml:space="preserve">but entered the exchequer as a clerk.  On the authority of</w:t></w:r>
</w:p>
<w:p>
<w:pPr><w:pStyle w:val="Normal"/></w:pPr>
<w:r><w:t xml:space="preserve">Anthony a Wood it has been stated that he was appointed</w:t></w:r>
</w:p>
<w:p>
<w:pPr><w:pStyle w:val="Normal"/></w:pPr>
<w:r><w:t xml:space="preserve">by Sir Nicholas Throckmorton to be deputy-chamberlain in</w:t></w:r>
</w:p>
<w:p>
<w:pPr><w:pStyle w:val="Normal"/></w:pPr>
<w:r><w:t xml:space="preserve">1570, and that he held this office for forty-five years.  His</w:t></w:r>
</w:p>
<w:p>
<w:pPr><w:pStyle w:val="Normal"/></w:pPr>
<w:r><w:t xml:space="preserve">patent of appointment, however, preserved in the Rolls Office,</w:t></w:r>
</w:p>
<w:p>
<w:pPr><w:pStyle w:val="Normal"/></w:pPr>
<w:r><w:t xml:space="preserve">proves that he succeeded one Thomas Reve in the post on the</w:t></w:r>
</w:p>
<w:p>
<w:pPr><w:pStyle w:val="Normal"/></w:pPr>
<w:r><w:t xml:space="preserve">11th of July 1603.  With his friends, Sir Robert Cotton and</w:t></w:r>
</w:p>
<w:p>
<w:pPr><w:pStyle w:val="Normal"/></w:pPr>
<w:r><w:t xml:space="preserve">Camden, he was one of the original members of the Society of</w:t></w:r>
</w:p>
<w:p>
<w:pPr><w:pStyle w:val="Normal"/></w:pPr>
<w:r><w:t xml:space="preserve">Antiquaries.  He spent much labour in cataloguing the records</w:t></w:r>
</w:p>
<w:p>
<w:pPr><w:pStyle w:val="Normal"/></w:pPr>
<w:r><w:t xml:space="preserve">and state papers, and made a special study of the Domesday</w:t></w:r>
</w:p>
<w:p>
<w:pPr><w:pStyle w:val="Normal"/></w:pPr>
<w:r><w:t xml:space="preserve">Book, preparing an explanation of its more obscure terms.</w:t></w:r>
</w:p>
<w:p>
<w:pPr><w:pStyle w:val="Normal"/></w:pPr>
<w:r><w:t xml:space="preserve">Thomas Hearne, in his Collection of Curious Discourses</w:t></w:r>
</w:p>
<w:p>
<w:pPr><w:pStyle w:val="Normal"/></w:pPr>
<w:r><w:t xml:space="preserve">written by Eminent Antiquaries (Oxford, 1720), includes</w:t></w:r>
</w:p>
<w:p>
<w:pPr><w:pStyle w:val="Normal"/></w:pPr>
<w:r><w:t xml:space="preserve">six by Agarde on such subjects as the origin of parliament,</w:t></w:r>
</w:p>
<w:p>
<w:pPr><w:pStyle w:val="Normal"/></w:pPr>
<w:r><w:t xml:space="preserve">the antiquity of shires, the authority and privileges of</w:t></w:r>
</w:p>
<w:p>
<w:pPr><w:pStyle w:val="Normal"/></w:pPr>
<w:r><w:t xml:space="preserve">heralds, &amp;c. Agarde died on the 22nd of August 1615 and was</w:t></w:r>
</w:p>
<w:p>
<w:pPr><w:pStyle w:val="Normal"/></w:pPr>
<w:r><w:t xml:space="preserve">buried in the cloister of Westminster Abbey, on his tomb</w:t></w:r>
</w:p>
<w:p>
<w:pPr><w:pStyle w:val="Normal"/></w:pPr>
<w:r><w:t xml:space="preserve">being inscribed ``Recordorum regiorum hic prope depositorum</w:t></w:r>
</w:p>
<w:p>
<w:pPr><w:pStyle w:val="Normal"/></w:pPr>
<w:r><w:t xml:space="preserve">diligens scrutator.&apos;&apos; He bequeathed to the exchequer all</w:t></w:r>
</w:p>
<w:p>
<w:pPr><w:pStyle w:val="Normal"/></w:pPr>
<w:r><w:t xml:space="preserve">his papers relating to that court, and to his friend Sir</w:t></w:r>
</w:p>
<w:p>
<w:pPr><w:pStyle w:val="Normal"/></w:pPr>
<w:r><w:t xml:space="preserve">Robert Cotton his other manuscripts, amounting to twenty</w:t></w:r>
</w:p>
<w:p>
<w:pPr><w:pStyle w:val="Normal"/></w:pPr>
<w:r><w:t xml:space="preserve">volumes, most of which are now in the British Museum.</w:t></w:r>
</w:p>
<w:p>
<w:pPr><w:pStyle w:val="Normal"/></w:pPr>
<w:r><w:t xml:space="preserve">AGAS, RADULPH, or RALPH (c. 1540-1621), English land</w:t></w:r>
</w:p>
<w:p>
<w:pPr><w:pStyle w:val="Normal"/></w:pPr>
<w:r><w:t xml:space="preserve">surveyor, was born at Stoke-by-Nayland, Suffolk, about</w:t></w:r>
</w:p>
<w:p>
<w:pPr><w:pStyle w:val="Normal"/></w:pPr>
<w:r><w:t xml:space="preserve">1540, and entered upon the practice of his profession in</w:t></w:r>
</w:p>
<w:p>
<w:pPr><w:pStyle w:val="Normal"/></w:pPr>
<w:r><w:t xml:space="preserve">1566.  Letters which he wrote to Lord Burghley, describing the</w:t></w:r>
</w:p>
<w:p>
<w:pPr><w:pStyle w:val="Normal"/></w:pPr>
<w:r><w:t xml:space="preserve">methods of surveying, are extant, and a kind of advertising</w:t></w:r>
</w:p>
<w:p>
<w:pPr><w:pStyle w:val="Normal"/></w:pPr>
<w:r><w:t xml:space="preserve">prospectus of his abilities, in which he describes himself as</w:t></w:r>
</w:p>
<w:p>
<w:pPr><w:pStyle w:val="Normal"/></w:pPr>
<w:r><w:t xml:space="preserve">clever at arithmetic and ``skilled in writing smaule, after</w:t></w:r>
</w:p>
<w:p>
<w:pPr><w:pStyle w:val="Normal"/></w:pPr>
<w:r><w:t xml:space="preserve">the skantelinge &amp; proportion of copiynge the Oulde &amp; New</w:t></w:r>
</w:p>
<w:p>
<w:pPr><w:pStyle w:val="Normal"/></w:pPr>
<w:r><w:t xml:space="preserve">Testamentes seven tymes in one skinne of partchmente without</w:t></w:r>
</w:p>
<w:p>
<w:pPr><w:pStyle w:val="Normal"/></w:pPr>
<w:r><w:t xml:space="preserve">anie woorde abreviate or contracted, which maie also serve</w:t></w:r>
</w:p>
<w:p>
<w:pPr><w:pStyle w:val="Normal"/></w:pPr>
<w:r><w:t xml:space="preserve">for drawinge discriptions of contries into volumes portable in</w:t></w:r>
</w:p>
<w:p>
<w:pPr><w:pStyle w:val="Normal"/></w:pPr>
<w:r><w:t xml:space="preserve">verie little cases.&apos;&apos; He is best known for his maps of Oxford</w:t></w:r>
</w:p>
<w:p>
<w:pPr><w:pStyle w:val="Normal"/></w:pPr>
<w:r><w:t xml:space="preserve">(1578), Cambridge (1592) and London.  Copies of the first two</w:t></w:r>
</w:p>
<w:p>
<w:pPr><w:pStyle w:val="Normal"/></w:pPr>
<w:r><w:t xml:space="preserve">are preserved in the Bodleian Library.  Of the map of London</w:t></w:r>
</w:p>
<w:p>
<w:pPr><w:pStyle w:val="Normal"/></w:pPr>
<w:r><w:t xml:space="preserve">and Westminster, which was probably prepared about 1591, two</w:t></w:r>
</w:p>
<w:p>
<w:pPr><w:pStyle w:val="Normal"/></w:pPr>
<w:r><w:t xml:space="preserve">copies have been preserved, one by the Corporation of London</w:t></w:r>
</w:p>
<w:p>
<w:pPr><w:pStyle w:val="Normal"/></w:pPr>
<w:r><w:t xml:space="preserve">and the other in the Pepysian collection at Magdalene College,</w:t></w:r>
</w:p>
<w:p>
<w:pPr><w:pStyle w:val="Normal"/></w:pPr>
<w:r><w:t xml:space="preserve">Cambridge.  The map is over six feet long, printed from</w:t></w:r>
</w:p>
<w:p>
<w:pPr><w:pStyle w:val="Normal"/></w:pPr>
<w:r><w:t xml:space="preserve">wooden blocks, and gives a valuable picture of the London of</w:t></w:r>
</w:p>
<w:p>
<w:pPr><w:pStyle w:val="Normal"/></w:pPr>
<w:r><w:t xml:space="preserve">Elizabeth&apos;s time.  Agas died on the 26th of November 1621.</w:t></w:r>
</w:p>
<w:p>
<w:pPr><w:pStyle w:val="Normal"/></w:pPr>
<w:r><w:t xml:space="preserve">AGASIAS. There were two Greek sculptors of this name.</w:t></w:r>
</w:p>
<w:p>
<w:pPr><w:pStyle w:val="Normal"/></w:pPr>
<w:r><w:t xml:space="preserve">Agasias, son of Dositheus, has signed the remarkable statue</w:t></w:r>
</w:p>
<w:p>
<w:pPr><w:pStyle w:val="Normal"/></w:pPr>
<w:r><w:t xml:space="preserve">called the Borghese Warrior, in the Louvre.  Agasias, son</w:t></w:r>
</w:p>
<w:p>
<w:pPr><w:pStyle w:val="Normal"/></w:pPr>
<w:r><w:t xml:space="preserve">of Menophilus, is the author of another striking figure</w:t></w:r>
</w:p>
<w:p>
<w:pPr><w:pStyle w:val="Normal"/></w:pPr>
<w:r><w:t xml:space="preserve">of a warrior in the museum of Athens.  Both belonged to</w:t></w:r>
</w:p>
<w:p>
<w:pPr><w:pStyle w:val="Normal"/></w:pPr>
<w:r><w:t xml:space="preserve">the school of Ephesus and flourished about 100 B.C.</w:t></w:r>
</w:p>
<w:p>
<w:pPr><w:pStyle w:val="Normal"/></w:pPr>
<w:r><w:t xml:space="preserve">See E. A. Gardner, Handbook Greek Sculpture, ii. p. 475.</w:t></w:r>
</w:p>
<w:p>
<w:pPr><w:pStyle w:val="Normal"/></w:pPr>
<w:r><w:t xml:space="preserve">AGASSIZ, ALEXANDER EMANUEL (1835-1910), American man of</w:t></w:r>
</w:p>
<w:p>
<w:pPr><w:pStyle w:val="Normal"/></w:pPr>
<w:r><w:t xml:space="preserve">science, son of J. L. R. Agassiz, was born in Neuchatel,</w:t></w:r>
</w:p>
<w:p>
<w:pPr><w:pStyle w:val="Normal"/></w:pPr>
<w:r><w:t xml:space="preserve">Switzerland, on the 17th of December 1835.  He came to the</w:t></w:r>
</w:p>
<w:p>
<w:pPr><w:pStyle w:val="Normal"/></w:pPr>
<w:r><w:t xml:space="preserve">United States with his father in 1846; graduated at Harvard</w:t></w:r>
</w:p>
<w:p>
<w:pPr><w:pStyle w:val="Normal"/></w:pPr>
<w:r><w:t xml:space="preserve">in 1855, subsequently studying engineering and chemistry,</w:t></w:r>
</w:p>
<w:p>
<w:pPr><w:pStyle w:val="Normal"/></w:pPr>
<w:r><w:t xml:space="preserve">and taking the degree of bachelor of science at the Lawrence</w:t></w:r>
</w:p>
<w:p>
<w:pPr><w:pStyle w:val="Normal"/></w:pPr>
<w:r><w:t xml:space="preserve">scientific school of the same institution in 1857; and in</w:t></w:r>
</w:p>
<w:p>
<w:pPr><w:pStyle w:val="Normal"/></w:pPr>
<w:r><w:t xml:space="preserve">1859 became an assistant in the United States Coast Survey.</w:t></w:r>
</w:p>
<w:p>
<w:pPr><w:pStyle w:val="Normal"/></w:pPr>
<w:r><w:t xml:space="preserve">Thenceforward he became a specialist in marine ichthyology,</w:t></w:r>
</w:p>
<w:p>
<w:pPr><w:pStyle w:val="Normal"/></w:pPr>
<w:r><w:t xml:space="preserve">but devoted much time to the investigation, superintendence</w:t></w:r>
</w:p>
<w:p>
<w:pPr><w:pStyle w:val="Normal"/></w:pPr>
<w:r><w:t xml:space="preserve">and exploitation of mines, being superintendent of the Calumet</w:t></w:r>
</w:p>
<w:p>
<w:pPr><w:pStyle w:val="Normal"/></w:pPr>
<w:r><w:t xml:space="preserve">and Hecla copper mines, Lake Superior, from 1866 to 1869, and</w:t></w:r>
</w:p>
<w:p>
<w:pPr><w:pStyle w:val="Normal"/></w:pPr>
<w:r><w:t xml:space="preserve">afterwards, as a stockholder, acquiring a fortune, out of</w:t></w:r>
</w:p>
<w:p>
<w:pPr><w:pStyle w:val="Normal"/></w:pPr>
<w:r><w:t xml:space="preserve">which he gave to Harvard, for the museum of comparative zoology</w:t></w:r>
</w:p>
<w:p>
<w:pPr><w:pStyle w:val="Normal"/></w:pPr>
<w:r><w:t xml:space="preserve">and other purposes, some $500,000.  In 1875 he surveyed Lake</w:t></w:r>
</w:p>
<w:p>
<w:pPr><w:pStyle w:val="Normal"/></w:pPr>
<w:r><w:t xml:space="preserve">Titicaca, Peru, examined the copper mines of Peru and Chile,</w:t></w:r>
</w:p>
<w:p>
<w:pPr><w:pStyle w:val="Normal"/></w:pPr>
<w:r><w:t xml:space="preserve">and made a collection of Peruvian antiquities for that museum,</w:t></w:r>
</w:p>
<w:p>
<w:pPr><w:pStyle w:val="Normal"/></w:pPr>
<w:r><w:t xml:space="preserve">of which he was curator from 1874 to 1885.  He assisted Sir</w:t></w:r>
</w:p>
<w:p>
<w:pPr><w:pStyle w:val="Normal"/></w:pPr>
<w:r><w:t xml:space="preserve">Wyville Thomson in the examination and classification of the</w:t></w:r>
</w:p>
<w:p>
<w:pPr><w:pStyle w:val="Normal"/></w:pPr>
<w:r><w:t xml:space="preserve">collections of the ``Challenger&apos;&apos; exploring expedition, and</w:t></w:r>
</w:p>
<w:p>
<w:pPr><w:pStyle w:val="Normal"/></w:pPr>
<w:r><w:t xml:space="preserve">wrote the Review of the Echini (2 vols., 1872-1874) in the</w:t></w:r>
</w:p>
<w:p>
<w:pPr><w:pStyle w:val="Normal"/></w:pPr>
<w:r><w:t xml:space="preserve">reports.  Between 1877 and 1880 he took part in the three</w:t></w:r>
</w:p>
<w:p>
<w:pPr><w:pStyle w:val="Normal"/></w:pPr>
<w:r><w:t xml:space="preserve">dredging expeditions of the steamer ``Blake,&apos;&apos; of the United</w:t></w:r>
</w:p>
<w:p>
<w:pPr><w:pStyle w:val="Normal"/></w:pPr>
<w:r><w:t xml:space="preserve">States Coast Survey, and presented a full account of them</w:t></w:r>
</w:p>
<w:p>
<w:pPr><w:pStyle w:val="Normal"/></w:pPr>
<w:r><w:t xml:space="preserve">in two volumes (1888).  Of his other writings on marine</w:t></w:r>
</w:p>
<w:p>
<w:pPr><w:pStyle w:val="Normal"/></w:pPr>
<w:r><w:t xml:space="preserve">zoology, most are contained in the bulletins and memoirs of</w:t></w:r>
</w:p>
<w:p>
<w:pPr><w:pStyle w:val="Normal"/></w:pPr>
<w:r><w:t xml:space="preserve">the museum of comparative zoology; but he published in 1865</w:t></w:r>
</w:p>
<w:p>
<w:pPr><w:pStyle w:val="Normal"/></w:pPr>
<w:r><w:t xml:space="preserve">(with Elizabeth Cary Agassiz, his step-mother) Seaside Studies</w:t></w:r>
</w:p>
<w:p>
<w:pPr><w:pStyle w:val="Normal"/></w:pPr>
<w:r><w:t xml:space="preserve">in Natural History, a work at once exact and stimulating,</w:t></w:r>
</w:p>
<w:p>
<w:pPr><w:pStyle w:val="Normal"/></w:pPr>
<w:r><w:t xml:space="preserve">and in 1871 Marine Animals of Massachusetts Bay.</w:t></w:r>
</w:p>
<w:p>
<w:pPr><w:pStyle w:val="Normal"/></w:pPr>
<w:r><w:t xml:space="preserve">AGASSIZ, JEAN LOUIS RODOLPHE (1807-1873), Swiss naturalist</w:t></w:r>
</w:p>
<w:p>
<w:pPr><w:pStyle w:val="Normal"/></w:pPr>
<w:r><w:t xml:space="preserve">and geologist, was the son of the Protestant pastor of the</w:t></w:r>
</w:p>
<w:p>
<w:pPr><w:pStyle w:val="Normal"/></w:pPr>
<w:r><w:t xml:space="preserve">parish of Motier, on the north-eastern shore of the Lake of</w:t></w:r>
</w:p>
<w:p>
<w:pPr><w:pStyle w:val="Normal"/></w:pPr>
<w:r><w:t xml:space="preserve">Morat (Murten See), and not far from the eastern extremity</w:t></w:r>
</w:p>
<w:p>
<w:pPr><w:pStyle w:val="Normal"/></w:pPr>
<w:r><w:t xml:space="preserve">of the Lake of Neuchatel.  Agassiz was born at this retired</w:t></w:r>
</w:p>
<w:p>
<w:pPr><w:pStyle w:val="Normal"/></w:pPr>
<w:r><w:t xml:space="preserve">place on the 28th of May 1807.  Educated first at home, then</w:t></w:r>
</w:p>
<w:p>
<w:pPr><w:pStyle w:val="Normal"/></w:pPr>
<w:r><w:t xml:space="preserve">spending four years at the gymnasium of Bienne, he completed</w:t></w:r>
</w:p>
<w:p>
<w:pPr><w:pStyle w:val="Normal"/></w:pPr>
<w:r><w:t xml:space="preserve">his elementary studies at the academy of Lausanne.  Having</w:t></w:r>
</w:p>
<w:p>
<w:pPr><w:pStyle w:val="Normal"/></w:pPr>
<w:r><w:t xml:space="preserve">adopted medicine as his profession, he studied successively</w:t></w:r>
</w:p>
<w:p>
<w:pPr><w:pStyle w:val="Normal"/></w:pPr>
<w:r><w:t xml:space="preserve">at the universities of Zurich, Heidelberg and Munich; and</w:t></w:r>
</w:p>
<w:p>
<w:pPr><w:pStyle w:val="Normal"/></w:pPr>
<w:r><w:t xml:space="preserve">he availed himself of the advantages afforded by these</w:t></w:r>
</w:p>
<w:p>
<w:pPr><w:pStyle w:val="Normal"/></w:pPr>
<w:r><w:t xml:space="preserve">universities for extending his knowledge of natural history,</w:t></w:r>
</w:p>
<w:p>
<w:pPr><w:pStyle w:val="Normal"/></w:pPr>
<w:r><w:t xml:space="preserve">especially of botany.  After completing his academical</w:t></w:r>
</w:p>
<w:p>
<w:pPr><w:pStyle w:val="Normal"/></w:pPr>
<w:r><w:t xml:space="preserve">course, he took in 1829 his degree of doctor of philosophy at</w:t></w:r>
</w:p>
<w:p>
<w:pPr><w:pStyle w:val="Normal"/></w:pPr>
<w:r><w:t xml:space="preserve">Erlangen, and in 1830 that of doctor of medicine at Munich.</w:t></w:r>
</w:p>
<w:p>
<w:pPr><w:pStyle w:val="Normal"/></w:pPr>
<w:r><w:t xml:space="preserve">Up to this time he had paid no special attention to the study of</w:t></w:r>
</w:p>
<w:p>
<w:pPr><w:pStyle w:val="Normal"/></w:pPr>
<w:r><w:t xml:space="preserve">ichthyology, which soon afterwards became the great occupation</w:t></w:r>
</w:p>
<w:p>
<w:pPr><w:pStyle w:val="Normal"/></w:pPr>
<w:r><w:t xml:space="preserve">of his life.  Agassiz always declared that he was led into</w:t></w:r>
</w:p>
<w:p>
<w:pPr><w:pStyle w:val="Normal"/></w:pPr>
<w:r><w:t xml:space="preserve">ichthyological pursuits through the following circumstances:--</w:t></w:r>
</w:p>
<w:p>
<w:pPr><w:pStyle w:val="Normal"/></w:pPr>
<w:r><w:t xml:space="preserve">In 1819-1820, J. B. Spix and C. F. P. von Martius were engaged</w:t></w:r>
</w:p>
<w:p>
<w:pPr><w:pStyle w:val="Normal"/></w:pPr>
<w:r><w:t xml:space="preserve">in their celebrated Brazilian tour, and on their return to</w:t></w:r>
</w:p>
<w:p>
<w:pPr><w:pStyle w:val="Normal"/></w:pPr>
<w:r><w:t xml:space="preserve">Europe, amongst other collections of natural objects they</w:t></w:r>
</w:p>
<w:p>
<w:pPr><w:pStyle w:val="Normal"/></w:pPr>
<w:r><w:t xml:space="preserve">brought home an important set of the freshwater fishes of</w:t></w:r>
</w:p>
<w:p>
<w:pPr><w:pStyle w:val="Normal"/></w:pPr>
<w:r><w:t xml:space="preserve">Brazil, and especially of the Amazon river.  Spix, who died</w:t></w:r>
</w:p>
<w:p>
<w:pPr><w:pStyle w:val="Normal"/></w:pPr>
<w:r><w:t xml:space="preserve">in 1826, did not live long enough to work out the history</w:t></w:r>
</w:p>
<w:p>
<w:pPr><w:pStyle w:val="Normal"/></w:pPr>
<w:r><w:t xml:space="preserve">of these fishes; and Agassiz though little more than a youth</w:t></w:r>
</w:p>
<w:p>
<w:pPr><w:pStyle w:val="Normal"/></w:pPr>
<w:r><w:t xml:space="preserve">just liberated from his academic studies, was selected by</w:t></w:r>
</w:p>
<w:p>
<w:pPr><w:pStyle w:val="Normal"/></w:pPr>
<w:r><w:t xml:space="preserve">Prof.  Martius for this purpose.  He at once threw himself into</w:t></w:r>
</w:p>
<w:p>
<w:pPr><w:pStyle w:val="Normal"/></w:pPr>
<w:r><w:t xml:space="preserve">the work with that earnestness of spirit which characterized</w:t></w:r>
</w:p>
<w:p>
<w:pPr><w:pStyle w:val="Normal"/></w:pPr>
<w:r><w:t xml:space="preserve">him to the end of his busy life, and the task of describing and</w:t></w:r>
</w:p>
<w:p>
<w:pPr><w:pStyle w:val="Normal"/></w:pPr>
<w:r><w:t xml:space="preserve">figuring the Brazilian fishes was completed and published in</w:t></w:r>
</w:p>
<w:p>
<w:pPr><w:pStyle w:val="Normal"/></w:pPr>
<w:r><w:t xml:space="preserve">1829.  This was followed by an elaborate research into the</w:t></w:r>
</w:p>
<w:p>
<w:pPr><w:pStyle w:val="Normal"/></w:pPr>
<w:r><w:t xml:space="preserve">history of the fishes found in the Lake of Neuchatel.</w:t></w:r>
</w:p>
<w:p>
<w:pPr><w:pStyle w:val="Normal"/></w:pPr>
<w:r><w:t xml:space="preserve">Enlarging his plans, he issued in 1830 a prospectus of a</w:t></w:r>
</w:p>
<w:p>
<w:pPr><w:pStyle w:val="Normal"/></w:pPr>
<w:r><w:t xml:space="preserve">History of the Freshwater Fishes of Central Europe. It was</w:t></w:r>
</w:p>
<w:p>
<w:pPr><w:pStyle w:val="Normal"/></w:pPr>
<w:r><w:t xml:space="preserve">only in 1839, however, that the first part of this publication</w:t></w:r>
</w:p>
<w:p>
<w:pPr><w:pStyle w:val="Normal"/></w:pPr>
<w:r><w:t xml:space="preserve">appeared, and it was completed in 1842.  In 1832 he was</w:t></w:r>
</w:p>
<w:p>
<w:pPr><w:pStyle w:val="Normal"/></w:pPr>
<w:r><w:t xml:space="preserve">appointed professor of natural history in the university of</w:t></w:r>
</w:p>
<w:p>
<w:pPr><w:pStyle w:val="Normal"/></w:pPr>
<w:r><w:t xml:space="preserve">Neuchatel.  Having become a professed ichthyologist, it was</w:t></w:r>
</w:p>
<w:p>
<w:pPr><w:pStyle w:val="Normal"/></w:pPr>
<w:r><w:t xml:space="preserve">impossible that the fossil fishes should fail to attract his</w:t></w:r>
</w:p>
<w:p>
<w:pPr><w:pStyle w:val="Normal"/></w:pPr>
<w:r><w:t xml:space="preserve">attention.  The rich stores furnished by the slates of Glarus</w:t></w:r>
</w:p>
<w:p>
<w:pPr><w:pStyle w:val="Normal"/></w:pPr>
<w:r><w:t xml:space="preserve">and the limestones of Monte Bolca were already well known;</w:t></w:r>
</w:p>
<w:p>
<w:pPr><w:pStyle w:val="Normal"/></w:pPr>
<w:r><w:t xml:space="preserve">but very little had been accomplished in the way of scientific</w:t></w:r>
</w:p>
<w:p>
<w:pPr><w:pStyle w:val="Normal"/></w:pPr>
<w:r><w:t xml:space="preserve">study of them.  Agassiz, as early as 1829, with his wonted</w:t></w:r>
</w:p>
<w:p>
<w:pPr><w:pStyle w:val="Normal"/></w:pPr>
<w:r><w:t xml:space="preserve">enthusiasm, planned the publication of the work which, more</w:t></w:r>
</w:p>
<w:p>
<w:pPr><w:pStyle w:val="Normal"/></w:pPr>
<w:r><w:t xml:space="preserve">than any other, laid the foundation of his world-wide fame.</w:t></w:r>
</w:p>
<w:p>
<w:pPr><w:pStyle w:val="Normal"/></w:pPr>
<w:r><w:t xml:space="preserve">Five volumes of his Recherches sur les poissons fossiles</w:t></w:r>
</w:p>
<w:p>
<w:pPr><w:pStyle w:val="Normal"/></w:pPr>
<w:r><w:t xml:space="preserve">appeared at intervals from 1833 to 1843 [1844].  They were</w:t></w:r>
</w:p>
<w:p>
<w:pPr><w:pStyle w:val="Normal"/></w:pPr>
<w:r><w:t xml:space="preserve">magnificently illustrated, chiefly through the labours of Joseph</w:t></w:r>
</w:p>
<w:p>
<w:pPr><w:pStyle w:val="Normal"/></w:pPr>
<w:r><w:t xml:space="preserve">Dinkel, an artist of remarkable power in delineating natural</w:t></w:r>
</w:p>
<w:p>
<w:pPr><w:pStyle w:val="Normal"/></w:pPr>
<w:r><w:t xml:space="preserve">objects.  In gathering materials for this great work Agassiz</w:t></w:r>
</w:p>
<w:p>
<w:pPr><w:pStyle w:val="Normal"/></w:pPr>
<w:r><w:t xml:space="preserve">visited the principal museums in Europe, and meeting Cuvier in</w:t></w:r>
</w:p>
<w:p>
<w:pPr><w:pStyle w:val="Normal"/></w:pPr>
<w:r><w:t xml:space="preserve">Paris, he received much encouragement and assistance from him.</w:t></w:r>
</w:p>
<w:p>
<w:pPr><w:pStyle w:val="Normal"/></w:pPr>
<w:r><w:t xml:space="preserve">Agassiz found that his palaeontological labours rendered</w:t></w:r>
</w:p>
<w:p>
<w:pPr><w:pStyle w:val="Normal"/></w:pPr>
<w:r><w:t xml:space="preserve">necessary a new basis of ichthyological classification.  The</w:t></w:r>
</w:p>
<w:p>
<w:pPr><w:pStyle w:val="Normal"/></w:pPr>
<w:r><w:t xml:space="preserve">fossils rarely exhibited any traces of the soft tissues of</w:t></w:r>
</w:p>
<w:p>
<w:pPr><w:pStyle w:val="Normal"/></w:pPr>
<w:r><w:t xml:space="preserve">fishes.  They consisted chiefly of the teeth, scales and fins,</w:t></w:r>
</w:p>
<w:p>
<w:pPr><w:pStyle w:val="Normal"/></w:pPr>
<w:r><w:t xml:space="preserve">even the bones being perfectly preserved in comparatively few</w:t></w:r>
</w:p>
<w:p>
<w:pPr><w:pStyle w:val="Normal"/></w:pPr>
<w:r><w:t xml:space="preserve">instances.  He therefore adopted his well-known classification,</w:t></w:r>
</w:p>
<w:p>
<w:pPr><w:pStyle w:val="Normal"/></w:pPr>
<w:r><w:t xml:space="preserve">which divided fishes into four groups--viz.  Ganoids,</w:t></w:r>
</w:p>
<w:p>
<w:pPr><w:pStyle w:val="Normal"/></w:pPr>
<w:r><w:t xml:space="preserve">Placoids, Cycloids and Ctenoids, based on the nature of</w:t></w:r>
</w:p>
<w:p>
<w:pPr><w:pStyle w:val="Normal"/></w:pPr>
<w:r><w:t xml:space="preserve">the scales and other dermal appendages.  While Agassiz</w:t></w:r>
</w:p>
<w:p>
<w:pPr><w:pStyle w:val="Normal"/></w:pPr>
<w:r><w:t xml:space="preserve">did much to place the subject on a scientific basis, his</w:t></w:r>
</w:p>
<w:p>
<w:pPr><w:pStyle w:val="Normal"/></w:pPr>
<w:r><w:t xml:space="preserve">classification has not been found to meet the requirements</w:t></w:r>
</w:p>
<w:p>
<w:pPr><w:pStyle w:val="Normal"/></w:pPr>
<w:r><w:t xml:space="preserve">of modern research.  As remarked by Dr A. Smith Woodward,</w:t></w:r>
</w:p>
<w:p>
<w:pPr><w:pStyle w:val="Normal"/></w:pPr>
<w:r><w:t xml:space="preserve">he sought to interpret the past structures by too rigorous</w:t></w:r>
</w:p>
<w:p>
<w:pPr><w:pStyle w:val="Normal"/></w:pPr>
<w:r><w:t xml:space="preserve">a comparison with those of living forms. (See Catalogue</w:t></w:r>
</w:p>
<w:p>
<w:pPr><w:pStyle w:val="Normal"/></w:pPr>
<w:r><w:t xml:space="preserve">of Fossil Fishes in the British Natural History Museum.)</w:t></w:r>
</w:p>
<w:p>
<w:pPr><w:pStyle w:val="Normal"/></w:pPr>
<w:r><w:t xml:space="preserve">As the important descriptive work of Agassiz proceeded, it</w:t></w:r>
</w:p>
<w:p>
<w:pPr><w:pStyle w:val="Normal"/></w:pPr>
<w:r><w:t xml:space="preserve">became obvious that it would over-tax his resources, unless</w:t></w:r>
</w:p>
<w:p>
<w:pPr><w:pStyle w:val="Normal"/></w:pPr>
<w:r><w:t xml:space="preserve">assistance could be afforded.  The British Association came</w:t></w:r>
</w:p>
<w:p>
<w:pPr><w:pStyle w:val="Normal"/></w:pPr>
<w:r><w:t xml:space="preserve">to his aid, and the earl of Ellesmere--then Lord Francis</w:t></w:r>
</w:p>
<w:p>
<w:pPr><w:pStyle w:val="Normal"/></w:pPr>
<w:r><w:t xml:space="preserve">Egerton--gave him yet more efficient help.  The original</w:t></w:r>
</w:p>
<w:p>
<w:pPr><w:pStyle w:val="Normal"/></w:pPr>
<w:r><w:t xml:space="preserve">drawings made for the work, chiefly by Dinkel, amounted</w:t></w:r>
</w:p>
<w:p>
<w:pPr><w:pStyle w:val="Normal"/></w:pPr>
<w:r><w:t xml:space="preserve">to 1290 in number.  These were purchased by the Earl, and</w:t></w:r>
</w:p>
<w:p>
<w:pPr><w:pStyle w:val="Normal"/></w:pPr>
<w:r><w:t xml:space="preserve">presented by him to the Geological Society of London.</w:t></w:r>
</w:p>
<w:p>
<w:pPr><w:pStyle w:val="Normal"/></w:pPr>
<w:r><w:t xml:space="preserve">In 1836 the Wollaston medal was awarded by the council of</w:t></w:r>
</w:p>
<w:p>
<w:pPr><w:pStyle w:val="Normal"/></w:pPr>
<w:r><w:t xml:space="preserve">that society to Agassiz for his work on fossil ichthyology;</w:t></w:r>
</w:p>
<w:p>
<w:pPr><w:pStyle w:val="Normal"/></w:pPr>
<w:r><w:t xml:space="preserve">and in 1838 he was elected a foreign member of the Royal</w:t></w:r>
</w:p>
<w:p>
<w:pPr><w:pStyle w:val="Normal"/></w:pPr>
<w:r><w:t xml:space="preserve">Society.  Meanwhile the invertebrate animals engaged his</w:t></w:r>
</w:p>
<w:p>
<w:pPr><w:pStyle w:val="Normal"/></w:pPr>
<w:r><w:t xml:space="preserve">attention.  In 1837 he issued the ``Prodrome&apos;&apos; of a monograph</w:t></w:r>
</w:p>
<w:p>
<w:pPr><w:pStyle w:val="Normal"/></w:pPr>
<w:r><w:t xml:space="preserve">on the recent and fossil Echinodermata, the first part of which</w:t></w:r>
</w:p>
<w:p>
<w:pPr><w:pStyle w:val="Normal"/></w:pPr>
<w:r><w:t xml:space="preserve">appeared in 1838; in 1839-1840 he published two quarto volumes</w:t></w:r>
</w:p>
<w:p>
<w:pPr><w:pStyle w:val="Normal"/></w:pPr>
<w:r><w:t xml:space="preserve">on the fossil Echinoderms of Switzerland; and in 1840-1845 he</w:t></w:r>
</w:p>
<w:p>
<w:pPr><w:pStyle w:val="Normal"/></w:pPr>
<w:r><w:t xml:space="preserve">issued his Etudes critiques sur les mollusques fossiles.</w:t></w:r>
</w:p>
<w:p>
<w:pPr><w:pStyle w:val="Normal"/></w:pPr>
<w:r><w:t xml:space="preserve">Subsequently to his first visit to England in 1834, the labours</w:t></w:r>
</w:p>
<w:p>
<w:pPr><w:pStyle w:val="Normal"/></w:pPr>
<w:r><w:t xml:space="preserve">of Hugh Miller and other geologists brought to light the</w:t></w:r>
</w:p>
<w:p>
<w:pPr><w:pStyle w:val="Normal"/></w:pPr>
<w:r><w:t xml:space="preserve">remarkable fishes of the Old Red Sandstone of the north-east of</w:t></w:r>
</w:p>
<w:p>
<w:pPr><w:pStyle w:val="Normal"/></w:pPr>
<w:r><w:t xml:space="preserve">Scotland.  The strange forms of the Pterichthys, the</w:t></w:r>
</w:p>
<w:p>
<w:pPr><w:pStyle w:val="Normal"/></w:pPr>
<w:r><w:t xml:space="preserve">Coccosteus and other genera were then made known to geologists</w:t></w:r>
</w:p>
<w:p>
<w:pPr><w:pStyle w:val="Normal"/></w:pPr>
<w:r><w:t xml:space="preserve">for the first time.  They naturally were of intense interest</w:t></w:r>
</w:p>
<w:p>
<w:pPr><w:pStyle w:val="Normal"/></w:pPr>
<w:r><w:t xml:space="preserve">to Agassiz, and formed the subject of a special monograph</w:t></w:r>
</w:p>
<w:p>
<w:pPr><w:pStyle w:val="Normal"/></w:pPr>
<w:r><w:t xml:space="preserve">by him published in 1844-1845: Monographie des poissons</w:t></w:r>
</w:p>
<w:p>
<w:pPr><w:pStyle w:val="Normal"/></w:pPr>
<w:r><w:t xml:space="preserve">fossiles du Vieux Gres Rouge, ou Systeme Devonien</w:t></w:r>
</w:p>
<w:p>
<w:pPr><w:pStyle w:val="Normal"/></w:pPr>
<w:r><w:t xml:space="preserve">(Old Red Sandstone) des Iles Britanniques et de Russie.</w:t></w:r>
</w:p>
<w:p>
<w:pPr><w:pStyle w:val="Normal"/></w:pPr>
<w:r><w:t xml:space="preserve">The year 1836 witnessed the inauguration of a new investigation,</w:t></w:r>
</w:p>
<w:p>
<w:pPr><w:pStyle w:val="Normal"/></w:pPr>
<w:r><w:t xml:space="preserve">which proved to be of the utmost importance to geological</w:t></w:r>
</w:p>
<w:p>
<w:pPr><w:pStyle w:val="Normal"/></w:pPr>
<w:r><w:t xml:space="preserve">science.  Previously to this date de Saussure, Venetz,</w:t></w:r>
</w:p>
<w:p>
<w:pPr><w:pStyle w:val="Normal"/></w:pPr>
<w:r><w:t xml:space="preserve">Charpentier and others had made the glaciers of the Alps</w:t></w:r>
</w:p>
<w:p>
<w:pPr><w:pStyle w:val="Normal"/></w:pPr>
<w:r><w:t xml:space="preserve">the subjects of special study, and Charpentier had even</w:t></w:r>
</w:p>
<w:p>
<w:pPr><w:pStyle w:val="Normal"/></w:pPr>
<w:r><w:t xml:space="preserve">arrived at the conclusion that the erratic blocks of alpine</w:t></w:r>
</w:p>
<w:p>
<w:pPr><w:pStyle w:val="Normal"/></w:pPr>
<w:r><w:t xml:space="preserve">rocks scattered over the slopes and summits of the Jura</w:t></w:r>
</w:p>
<w:p>
<w:pPr><w:pStyle w:val="Normal"/></w:pPr>
<w:r><w:t xml:space="preserve">mountains had been conveyed thither by glaciers.  The question</w:t></w:r>
</w:p>
<w:p>
<w:pPr><w:pStyle w:val="Normal"/></w:pPr>
<w:r><w:t xml:space="preserve">having attracted the attention of Agassiz, he not only made</w:t></w:r>
</w:p>
<w:p>
<w:pPr><w:pStyle w:val="Normal"/></w:pPr>
<w:r><w:t xml:space="preserve">successive journeys to the alpine regions in company with</w:t></w:r>
</w:p>
<w:p>
<w:pPr><w:pStyle w:val="Normal"/></w:pPr>
<w:r><w:t xml:space="preserve">Charpentier, but he had a hut constructed upon one of the Aar</w:t></w:r>
</w:p>
<w:p>
<w:pPr><w:pStyle w:val="Normal"/></w:pPr>
<w:r><w:t xml:space="preserve">glaciers, which for a time he made his home, in order to</w:t></w:r>
</w:p>
<w:p>
<w:pPr><w:pStyle w:val="Normal"/></w:pPr>
<w:r><w:t xml:space="preserve">investigate thoroughly the structure and movements of the</w:t></w:r>
</w:p>
<w:p>
<w:pPr><w:pStyle w:val="Normal"/></w:pPr>
<w:r><w:t xml:space="preserve">ice.  These labours resulted in the publication of his grand</w:t></w:r>
</w:p>
<w:p>
<w:pPr><w:pStyle w:val="Normal"/></w:pPr>
<w:r><w:t xml:space="preserve">work in two volumes entitled Etudes sur les glaciers,</w:t></w:r>
</w:p>
<w:p>
<w:pPr><w:pStyle w:val="Normal"/></w:pPr>
<w:r><w:t xml:space="preserve">1840.  Therein he discussed the movements of the glaciers,</w:t></w:r>
</w:p>
<w:p>
<w:pPr><w:pStyle w:val="Normal"/></w:pPr>
<w:r><w:t xml:space="preserve">their moraines, their influence in grooving and rounding</w:t></w:r>
</w:p>
<w:p>
<w:pPr><w:pStyle w:val="Normal"/></w:pPr>
<w:r><w:t xml:space="preserve">the rocks over which they travelled, and in producing the</w:t></w:r>
</w:p>
<w:p>
<w:pPr><w:pStyle w:val="Normal"/></w:pPr>
<w:r><w:t xml:space="preserve">striations and roches moutonnees with which we are now so</w:t></w:r>
</w:p>
<w:p>
<w:pPr><w:pStyle w:val="Normal"/></w:pPr>
<w:r><w:t xml:space="preserve">familiar.  He not only accepted Charpentier&apos;s idea that some</w:t></w:r>
</w:p>
<w:p>
<w:pPr><w:pStyle w:val="Normal"/></w:pPr>
<w:r><w:t xml:space="preserve">of the alpine glaciers had extended across the wide plains and</w:t></w:r>
</w:p>
<w:p>
<w:pPr><w:pStyle w:val="Normal"/></w:pPr>
<w:r><w:t xml:space="preserve">valleys drained by the Aar and the Rhone, and thus landed parts</w:t></w:r>
</w:p>
<w:p>
<w:pPr><w:pStyle w:val="Normal"/></w:pPr>
<w:r><w:t xml:space="preserve">of their remains upon the uplands of the Jura, but he went still</w:t></w:r>
</w:p>
<w:p>
<w:pPr><w:pStyle w:val="Normal"/></w:pPr>
<w:r><w:t xml:space="preserve">farther.  He concluded that, at a period geologically recent,</w:t></w:r>
</w:p>
<w:p>
<w:pPr><w:pStyle w:val="Normal"/></w:pPr>
<w:r><w:t xml:space="preserve">Switzerland had been another Greenland; that instead of a few</w:t></w:r>
</w:p>
<w:p>
<w:pPr><w:pStyle w:val="Normal"/></w:pPr>
<w:r><w:t xml:space="preserve">glaciers stretching across the areas referred to, one vast</w:t></w:r>
</w:p>
<w:p>
<w:pPr><w:pStyle w:val="Normal"/></w:pPr>
<w:r><w:t xml:space="preserve">sheet of ice, originating in the higher Alps, had extended</w:t></w:r>
</w:p>
<w:p>
<w:pPr><w:pStyle w:val="Normal"/></w:pPr>
<w:r><w:t xml:space="preserve">over the entire valley of north-western Switzerland until</w:t></w:r>
</w:p>
<w:p>
<w:pPr><w:pStyle w:val="Normal"/></w:pPr>
<w:r><w:t xml:space="preserve">it reached the southern slopes of the Jura, which, though</w:t></w:r>
</w:p>
<w:p>
<w:pPr><w:pStyle w:val="Normal"/></w:pPr>
<w:r><w:t xml:space="preserve">they checked and deflected its further extension, did not</w:t></w:r>
</w:p>
<w:p>
<w:pPr><w:pStyle w:val="Normal"/></w:pPr>
<w:r><w:t xml:space="preserve">prevent the ice from reaching in many places the summit of the</w:t></w:r>
</w:p>
<w:p>
<w:pPr><w:pStyle w:val="Normal"/></w:pPr>
<w:r><w:t xml:space="preserve">range.  The publication of this work gave a fresh impetus</w:t></w:r>
</w:p>
<w:p>
<w:pPr><w:pStyle w:val="Normal"/></w:pPr>
<w:r><w:t xml:space="preserve">to the study of glacial phenomena in all parts of the world.</w:t></w:r>
</w:p>
<w:p>
<w:pPr><w:pStyle w:val="Normal"/></w:pPr>
<w:r><w:t xml:space="preserve">Thus familiarized with the phenomena attendant on the</w:t></w:r>
</w:p>
<w:p>
<w:pPr><w:pStyle w:val="Normal"/></w:pPr>
<w:r><w:t xml:space="preserve">movements of recent glaciers, Agassiz was prepared for a</w:t></w:r>
</w:p>
<w:p>
<w:pPr><w:pStyle w:val="Normal"/></w:pPr>
<w:r><w:t xml:space="preserve">discovery which he made in 1840, in conjunction with William</w:t></w:r>
</w:p>
<w:p>
<w:pPr><w:pStyle w:val="Normal"/></w:pPr>
<w:r><w:t xml:space="preserve">Buckland.  These two savants visited the mountains of Scotland</w:t></w:r>
</w:p>
<w:p>
<w:pPr><w:pStyle w:val="Normal"/></w:pPr>
<w:r><w:t xml:space="preserve">together, and found in different localities clear evidence of</w:t></w:r>
</w:p>
<w:p>
<w:pPr><w:pStyle w:val="Normal"/></w:pPr>
<w:r><w:t xml:space="preserve">ancient glacial action.  The discovery was announced to the</w:t></w:r>
</w:p>
<w:p>
<w:pPr><w:pStyle w:val="Normal"/></w:pPr>
<w:r><w:t xml:space="preserve">Geological Society of London in successive communications from</w:t></w:r>
</w:p>
<w:p>
<w:pPr><w:pStyle w:val="Normal"/></w:pPr>
<w:r><w:t xml:space="preserve">the two distinguished observers.  The mountainous districts</w:t></w:r>
</w:p>
<w:p>
<w:pPr><w:pStyle w:val="Normal"/></w:pPr>
<w:r><w:t xml:space="preserve">of England and Wales and Ireland were also considered to</w:t></w:r>
</w:p>
<w:p>
<w:pPr><w:pStyle w:val="Normal"/></w:pPr>
<w:r><w:t xml:space="preserve">constitute centres for the dispersion of glacial debris; and</w:t></w:r>
</w:p>
<w:p>
<w:pPr><w:pStyle w:val="Normal"/></w:pPr>
<w:r><w:t xml:space="preserve">Agassiz remarked ``that great sheets of ice, resembling those</w:t></w:r>
</w:p>
<w:p>
<w:pPr><w:pStyle w:val="Normal"/></w:pPr>
<w:r><w:t xml:space="preserve">now existing in Greenland, once covered all the countries</w:t></w:r>
</w:p>
<w:p>
<w:pPr><w:pStyle w:val="Normal"/></w:pPr>
<w:r><w:t xml:space="preserve">in which unstratified gravel (boulder drift) is found;</w:t></w:r>
</w:p>
<w:p>
<w:pPr><w:pStyle w:val="Normal"/></w:pPr>
<w:r><w:t xml:space="preserve">that this gravel was in general produced by the trituration</w:t></w:r>
</w:p>
<w:p>
<w:pPr><w:pStyle w:val="Normal"/></w:pPr>
<w:r><w:t xml:space="preserve">of the sheets of ice upon the subjacent surface, &amp;c.&apos;&apos;</w:t></w:r>
</w:p>
<w:p>
<w:pPr><w:pStyle w:val="Normal"/></w:pPr>
<w:r><w:t xml:space="preserve">In 1842-1846 he issued his Nomenclator Zoologicus, a</w:t></w:r>
</w:p>
<w:p>
<w:pPr><w:pStyle w:val="Normal"/></w:pPr>
<w:r><w:t xml:space="preserve">classified list, with references, of all names employed in</w:t></w:r>
</w:p>
<w:p>
<w:pPr><w:pStyle w:val="Normal"/></w:pPr>
<w:r><w:t xml:space="preserve">zoology for genera and groups--a work of great labour and</w:t></w:r>
</w:p>
<w:p>
<w:pPr><w:pStyle w:val="Normal"/></w:pPr>
<w:r><w:t xml:space="preserve">research.  With the aid of a grant of money from the king of</w:t></w:r>
</w:p>
<w:p>
<w:pPr><w:pStyle w:val="Normal"/></w:pPr>
<w:r><w:t xml:space="preserve">Prussia, Agassiz, in the autumn of 1846, crossed the Atlantic,</w:t></w:r>
</w:p>
<w:p>
<w:pPr><w:pStyle w:val="Normal"/></w:pPr>
<w:r><w:t xml:space="preserve">with the twofold design of investigating the natural history</w:t></w:r>
</w:p>
<w:p>
<w:pPr><w:pStyle w:val="Normal"/></w:pPr>
<w:r><w:t xml:space="preserve">and geology of the United States and delivering a course of</w:t></w:r>
</w:p>
<w:p>
<w:pPr><w:pStyle w:val="Normal"/></w:pPr>
<w:r><w:t xml:space="preserve">lectures on zoology, by invitation from J. A. Lowell, at the</w:t></w:r>
</w:p>
<w:p>
<w:pPr><w:pStyle w:val="Normal"/></w:pPr>
<w:r><w:t xml:space="preserve">Lowell Institute at Boston; the tempting advantages, pecuniary</w:t></w:r>
</w:p>
<w:p>
<w:pPr><w:pStyle w:val="Normal"/></w:pPr>
<w:r><w:t xml:space="preserve">and scientific, presented to him in the New World induced</w:t></w:r>
</w:p>
<w:p>
<w:pPr><w:pStyle w:val="Normal"/></w:pPr>
<w:r><w:t xml:space="preserve">him to settle in the United States, where he remained to the</w:t></w:r>
</w:p>
<w:p>
<w:pPr><w:pStyle w:val="Normal"/></w:pPr>
<w:r><w:t xml:space="preserve">end of his life.  He was appointed professor of zoology and</w:t></w:r>
</w:p>
<w:p>
<w:pPr><w:pStyle w:val="Normal"/></w:pPr>
<w:r><w:t xml:space="preserve">geology in Harvard University, Cambridge, U.S., in 1847.</w:t></w:r>
</w:p>
<w:p>
<w:pPr><w:pStyle w:val="Normal"/></w:pPr>
<w:r><w:t xml:space="preserve">In 1852 he accepted a medical professorship of comparative</w:t></w:r>
</w:p>
<w:p>
<w:pPr><w:pStyle w:val="Normal"/></w:pPr>
<w:r><w:t xml:space="preserve">anatomy at Charlestown, but this he resigned in two years.</w:t></w:r>
</w:p>
<w:p>
<w:pPr><w:pStyle w:val="Normal"/></w:pPr>
<w:r><w:t xml:space="preserve">The transfer to a new field and the association with</w:t></w:r>
</w:p>
<w:p>
<w:pPr><w:pStyle w:val="Normal"/></w:pPr>
<w:r><w:t xml:space="preserve">fresh objects of interest gave his energies an increased</w:t></w:r>
</w:p>
<w:p>
<w:pPr><w:pStyle w:val="Normal"/></w:pPr>
<w:r><w:t xml:space="preserve">stimulus.  Volume after volume now proceeded from his pen:</w:t></w:r>
</w:p>
<w:p>
<w:pPr><w:pStyle w:val="Normal"/></w:pPr>
<w:r><w:t xml:space="preserve">some of his writings were popular, but most of them dealt</w:t></w:r>
</w:p>
<w:p>
<w:pPr><w:pStyle w:val="Normal"/></w:pPr>
<w:r><w:t xml:space="preserve">with the higher departments of scientific research.  His work</w:t></w:r>
</w:p>
<w:p>
<w:pPr><w:pStyle w:val="Normal"/></w:pPr>
<w:r><w:t xml:space="preserve">on Lake Superior, and his four volumes of Contributions to</w:t></w:r>
</w:p>
<w:p>
<w:pPr><w:pStyle w:val="Normal"/></w:pPr>
<w:r><w:t xml:space="preserve">the Natural History of the United States, 1857-1862, were</w:t></w:r>
</w:p>
<w:p>
<w:pPr><w:pStyle w:val="Normal"/></w:pPr>
<w:r><w:t xml:space="preserve">of this latter character.  We must not overlook the valuable</w:t></w:r>
</w:p>
<w:p>
<w:pPr><w:pStyle w:val="Normal"/></w:pPr>
<w:r><w:t xml:space="preserve">service he rendered to science by the formation, for his own</w:t></w:r>
</w:p>
<w:p>
<w:pPr><w:pStyle w:val="Normal"/></w:pPr>
<w:r><w:t xml:space="preserve">use, of a catalogue of scientific memoirs--an extraordinary</w:t></w:r>
</w:p>
<w:p>
<w:pPr><w:pStyle w:val="Normal"/></w:pPr>
<w:r><w:t xml:space="preserve">work for a man whose hands were already so full.  This</w:t></w:r>
</w:p>
<w:p>
<w:pPr><w:pStyle w:val="Normal"/></w:pPr>
<w:r><w:t xml:space="preserve">catalogue, edited and materially enlarged by the late Hugh</w:t></w:r>
</w:p>
<w:p>
<w:pPr><w:pStyle w:val="Normal"/></w:pPr>
<w:r><w:t xml:space="preserve">E. Strickland, was published by the Ray Society under the</w:t></w:r>
</w:p>
<w:p>
<w:pPr><w:pStyle w:val="Normal"/></w:pPr>
<w:r><w:t xml:space="preserve">title of Bibliographia Zoologiae et Geologiae, in 4 vols.,</w:t></w:r>
</w:p>
<w:p>
<w:pPr><w:pStyle w:val="Normal"/></w:pPr>
<w:r><w:t xml:space="preserve">1848-1854.  Nor must we forget that he was building up another</w:t></w:r>
</w:p>
<w:p>
<w:pPr><w:pStyle w:val="Normal"/></w:pPr>
<w:r><w:t xml:space="preserve">magnificent monument of his industry in the Museum of Natural</w:t></w:r>
</w:p>
<w:p>
<w:pPr><w:pStyle w:val="Normal"/></w:pPr>
<w:r><w:t xml:space="preserve">History, which rose under his fostering care, at Cambridge.</w:t></w:r>
</w:p>
<w:p>
<w:pPr><w:pStyle w:val="Normal"/></w:pPr>
<w:r><w:t xml:space="preserve">But at length the great strain on his physical powers began to</w:t></w:r>
</w:p>
<w:p>
<w:pPr><w:pStyle w:val="Normal"/></w:pPr>
<w:r><w:t xml:space="preserve">tell.  His early labours among the fishes of Brazil had often</w:t></w:r>
</w:p>
<w:p>
<w:pPr><w:pStyle w:val="Normal"/></w:pPr>
<w:r><w:t xml:space="preserve">caused him to cast a longing glance towards that country,</w:t></w:r>
</w:p>
<w:p>
<w:pPr><w:pStyle w:val="Normal"/></w:pPr>
<w:r><w:t xml:space="preserve">and he now resolved to combine the pursuit of health with the</w:t></w:r>
</w:p>
<w:p>
<w:pPr><w:pStyle w:val="Normal"/></w:pPr>
<w:r><w:t xml:space="preserve">gratification of his long cherished desires.  In April 1865</w:t></w:r>
</w:p>
<w:p>
<w:pPr><w:pStyle w:val="Normal"/></w:pPr>
<w:r><w:t xml:space="preserve">he started for Brazil, with his wife and class of qualified</w:t></w:r>
</w:p>
<w:p>
<w:pPr><w:pStyle w:val="Normal"/></w:pPr>
<w:r><w:t xml:space="preserve">assistants.  An interesting account of this expedition,</w:t></w:r>
</w:p>
<w:p>
<w:pPr><w:pStyle w:val="Normal"/></w:pPr>
<w:r><w:t xml:space="preserve">entitled A Journey in Brazil (1868), was published by Mrs</w:t></w:r>
</w:p>
<w:p>
<w:pPr><w:pStyle w:val="Normal"/></w:pPr>
<w:r><w:t xml:space="preserve">Agassiz and himself after they returned home in August 1866.</w:t></w:r>
</w:p>
<w:p>
<w:pPr><w:pStyle w:val="Normal"/></w:pPr>
<w:r><w:t xml:space="preserve">In 1871 he made a second excursion, visiting the southern shores</w:t></w:r>
</w:p>
<w:p>
<w:pPr><w:pStyle w:val="Normal"/></w:pPr>
<w:r><w:t xml:space="preserve">of the North American continent, both on its Atlantic and its</w:t></w:r>
</w:p>
<w:p>
<w:pPr><w:pStyle w:val="Normal"/></w:pPr>
<w:r><w:t xml:space="preserve">Pacific sea-boards.  He had for many years yearned after the</w:t></w:r>
</w:p>
<w:p>
<w:pPr><w:pStyle w:val="Normal"/></w:pPr>
<w:r><w:t xml:space="preserve">establishment of a permanent school where zoological science</w:t></w:r>
</w:p>
<w:p>
<w:pPr><w:pStyle w:val="Normal"/></w:pPr>
<w:r><w:t xml:space="preserve">could be pursued amidst the haunts of the living subjects of</w:t></w:r>
</w:p>
<w:p>
<w:pPr><w:pStyle w:val="Normal"/></w:pPr>
<w:r><w:t xml:space="preserve">study.  The last, and possibly the most influential, of</w:t></w:r>
</w:p>
<w:p>
<w:pPr><w:pStyle w:val="Normal"/></w:pPr>
<w:r><w:t xml:space="preserve">the labours of his life was the establishment of such an</w:t></w:r>
</w:p>
<w:p>
<w:pPr><w:pStyle w:val="Normal"/></w:pPr>
<w:r><w:t xml:space="preserve">institution, which he was enabled to effect through the</w:t></w:r>
</w:p>
<w:p>
<w:pPr><w:pStyle w:val="Normal"/></w:pPr>
<w:r><w:t xml:space="preserve">liberality of Mr John Anderson, a citizen of New York.  That</w:t></w:r>
</w:p>
<w:p>
<w:pPr><w:pStyle w:val="Normal"/></w:pPr>
<w:r><w:t xml:space="preserve">gentleman, in 1873, not only handed over to Agassiz the island</w:t></w:r>
</w:p>
<w:p>
<w:pPr><w:pStyle w:val="Normal"/></w:pPr>
<w:r><w:t xml:space="preserve">of Penikese, in Buzzard&apos;s Bay, on the east coast, but also</w:t></w:r>
</w:p>
<w:p>
<w:pPr><w:pStyle w:val="Normal"/></w:pPr>
<w:r><w:t xml:space="preserve">presented him with $50,000 wherewith permanently to endow it</w:t></w:r>
</w:p>
<w:p>
<w:pPr><w:pStyle w:val="Normal"/></w:pPr>
<w:r><w:t xml:space="preserve">as a practical school of natural science, especially devoted</w:t></w:r>
</w:p>
<w:p>
<w:pPr><w:pStyle w:val="Normal"/></w:pPr>
<w:r><w:t xml:space="preserve">to the study of marine zoology.  Unfortunately he did not</w:t></w:r>
</w:p>
<w:p>
<w:pPr><w:pStyle w:val="Normal"/></w:pPr>
<w:r><w:t xml:space="preserve">long survive the establishment of this institution.  The</w:t></w:r>
</w:p>
<w:p>
<w:pPr><w:pStyle w:val="Normal"/></w:pPr>
<w:r><w:t xml:space="preserve">disease with which he had struggled for some years proved</w:t></w:r>
</w:p>
<w:p>
<w:pPr><w:pStyle w:val="Normal"/></w:pPr>
<w:r><w:t xml:space="preserve">fatal on the 14th of December 1873.  He was buried at Mount</w:t></w:r>
</w:p>
<w:p>
<w:pPr><w:pStyle w:val="Normal"/></w:pPr>
<w:r><w:t xml:space="preserve">Auburn.  His monument is a boulder selected from the moraine</w:t></w:r>
</w:p>
<w:p>
<w:pPr><w:pStyle w:val="Normal"/></w:pPr>
<w:r><w:t xml:space="preserve">of the glacier of the Aar near the site of the old Hotel des</w:t></w:r>
</w:p>
<w:p>
<w:pPr><w:pStyle w:val="Normal"/></w:pPr>
<w:r><w:t xml:space="preserve">Neuchatelois, not far from the spot where his hut once stood;</w:t></w:r>
</w:p>
<w:p>
<w:pPr><w:pStyle w:val="Normal"/></w:pPr>
<w:r><w:t xml:space="preserve">and the pine-trees which shelter his grave were sent from his</w:t></w:r>
</w:p>
<w:p>
<w:pPr><w:pStyle w:val="Normal"/></w:pPr>
<w:r><w:t xml:space="preserve">old home in Switzerland.  His extensive knowledge of natural</w:t></w:r>
</w:p>
<w:p>
<w:pPr><w:pStyle w:val="Normal"/></w:pPr>
<w:r><w:t xml:space="preserve">history makes it somewhat remarkable to find that from first</w:t></w:r>
</w:p>
<w:p>
<w:pPr><w:pStyle w:val="Normal"/></w:pPr>
<w:r><w:t xml:space="preserve">to last he steadily rejected the doctrine of evolution, and</w:t></w:r>
</w:p>
<w:p>
<w:pPr><w:pStyle w:val="Normal"/></w:pPr>
<w:r><w:t xml:space="preserve">affirmed his belief in independent creations.  When studying</w:t></w:r>
</w:p>
<w:p>
<w:pPr><w:pStyle w:val="Normal"/></w:pPr>
<w:r><w:t xml:space="preserve">the superficial deposits of the Brazilian plains in 1865,</w:t></w:r>
</w:p>
<w:p>
<w:pPr><w:pStyle w:val="Normal"/></w:pPr>
<w:r><w:t xml:space="preserve">his vivid imagination covered even that wide tropical area,</w:t></w:r>
</w:p>
<w:p>
<w:pPr><w:pStyle w:val="Normal"/></w:pPr>
<w:r><w:t xml:space="preserve">as it had covered Switzerland before, with one vast glacier,</w:t></w:r>
</w:p>
<w:p>
<w:pPr><w:pStyle w:val="Normal"/></w:pPr>
<w:r><w:t xml:space="preserve">extending from the Andes to the sea.  This view, however,</w:t></w:r>
</w:p>
<w:p>
<w:pPr><w:pStyle w:val="Normal"/></w:pPr>
<w:r><w:t xml:space="preserve">has not been generally accepted.  His daring conceptions were</w:t></w:r>
</w:p>
<w:p>
<w:pPr><w:pStyle w:val="Normal"/></w:pPr>
<w:r><w:t xml:space="preserve">only equalled by the unwearied industry and genuine enthusiasm</w:t></w:r>
</w:p>
<w:p>
<w:pPr><w:pStyle w:val="Normal"/></w:pPr>
<w:r><w:t xml:space="preserve">with which he worked them out; and if in details his labours</w:t></w:r>
</w:p>
<w:p>
<w:pPr><w:pStyle w:val="Normal"/></w:pPr>
<w:r><w:t xml:space="preserve">were somewhat defective, it was only because he had ventured</w:t></w:r>
</w:p>
<w:p>
<w:pPr><w:pStyle w:val="Normal"/></w:pPr>
<w:r><w:t xml:space="preserve">to attempt what was too much for any one man to accomplish.</w:t></w:r>
</w:p>
<w:p>
<w:pPr><w:pStyle w:val="Normal"/></w:pPr>
<w:r><w:t xml:space="preserve">It may be interesting to mention that the charming verses</w:t></w:r>
</w:p>
<w:p>
<w:pPr><w:pStyle w:val="Normal"/></w:pPr>
<w:r><w:t xml:space="preserve">written by Longfellow on ``The fiftieth birthday of</w:t></w:r>
</w:p>
<w:p>
<w:pPr><w:pStyle w:val="Normal"/></w:pPr>
<w:r><w:t xml:space="preserve">Agassiz&apos;&apos; were read by the author at a dinner given to</w:t></w:r>
</w:p>
<w:p>
<w:pPr><w:pStyle w:val="Normal"/></w:pPr>
<w:r><w:t xml:space="preserve">Agassiz by the Saturday Club in Cambridge, Mass., in 1857.</w:t></w:r>
</w:p>
<w:p>
<w:pPr><w:pStyle w:val="Normal"/></w:pPr>
<w:r><w:t xml:space="preserve">Louis Agassiz was twice married, and by his first wife he had</w:t></w:r>
</w:p>
<w:p>
<w:pPr><w:pStyle w:val="Normal"/></w:pPr>
<w:r><w:t xml:space="preserve">an only son, Alexander Agassiz (q.v.), born in 1835; in 1850,</w:t></w:r>
</w:p>
<w:p>
<w:pPr><w:pStyle w:val="Normal"/></w:pPr>
<w:r><w:t xml:space="preserve">after her death, he married his second wife, Elizabeth Cabot</w:t></w:r>
</w:p>
<w:p>
<w:pPr><w:pStyle w:val="Normal"/></w:pPr>
<w:r><w:t xml:space="preserve">Cary of Boston, Mass., afterwards well known as a writer and</w:t></w:r>
</w:p>
<w:p>
<w:pPr><w:pStyle w:val="Normal"/></w:pPr>
<w:r><w:t xml:space="preserve">as an active promoter of educational work in connexion with</w:t></w:r>
</w:p>
<w:p>
<w:pPr><w:pStyle w:val="Normal"/></w:pPr>
<w:r><w:t xml:space="preserve">Radcliffe College (see an article on Radcliffe College, by</w:t></w:r>
</w:p>
<w:p>
<w:pPr><w:pStyle w:val="Normal"/></w:pPr>
<w:r><w:t xml:space="preserve">Helen Leah Reed in the New England Magazine for January 1895).</w:t></w:r>
</w:p>
<w:p>
<w:pPr><w:pStyle w:val="Normal"/></w:pPr>
<w:r><w:t xml:space="preserve">AUTHORITIES--L. Agassiz, His Life and Correspondence, 2 vols.,</w:t></w:r>
</w:p>
<w:p>
<w:pPr><w:pStyle w:val="Normal"/></w:pPr>
<w:r><w:t xml:space="preserve">by E. C (Mrs) Agassiz (London, 1885); Louis Agassiz, His Life and</w:t></w:r>
</w:p>
<w:p>
<w:pPr><w:pStyle w:val="Normal"/></w:pPr>
<w:r><w:t xml:space="preserve">Work, by C. F. Holder (New York and London, 1893). (H. B. Wo.)</w:t></w:r>
</w:p>
<w:p>
<w:pPr><w:pStyle w:val="Normal"/></w:pPr>
<w:r><w:t xml:space="preserve">AGATE, a term applied not to a distinct mineral species,</w:t></w:r>
</w:p>
<w:p>
<w:pPr><w:pStyle w:val="Normal"/></w:pPr>
<w:r><w:t xml:space="preserve">but to an aggregate of various forms of silica, chiefly</w:t></w:r>
</w:p>
<w:p>
<w:pPr><w:pStyle w:val="Normal"/></w:pPr>
<w:r><w:t xml:space="preserve">Chalcedony (q.v..) According to Theophrastus the agate</w:t></w:r>
</w:p>
<w:p>
<w:pPr><w:pStyle w:val="Normal"/></w:pPr>
<w:r><w:t xml:space="preserve">(achates) was named from the river Achates, now the Drillo,</w:t></w:r>
</w:p>
<w:p>
<w:pPr><w:pStyle w:val="Normal"/></w:pPr>
<w:r><w:t xml:space="preserve">in Sicily, where the stone was originally found.  Most agates</w:t></w:r>
</w:p>
<w:p>
<w:pPr><w:pStyle w:val="Normal"/></w:pPr>
<w:r><w:t xml:space="preserve">occur as nodules in eruptive rocks, or ancient lavas, where</w:t></w:r>
</w:p>
<w:p>
<w:pPr><w:pStyle w:val="Normal"/></w:pPr>
<w:r><w:t xml:space="preserve">they represent cavities originally produced by the disengagement</w:t></w:r>
</w:p>
<w:p>
<w:pPr><w:pStyle w:val="Normal"/></w:pPr>
<w:r><w:t xml:space="preserve">of vapour in the molten mass, and since filled, wholly or</w:t></w:r>
</w:p>
<w:p>
<w:pPr><w:pStyle w:val="Normal"/></w:pPr>
<w:r><w:t xml:space="preserve">partially, by siliceous matter deposited in regular layers</w:t></w:r>
</w:p>
<w:p>
<w:pPr><w:pStyle w:val="Normal"/></w:pPr>
<w:r><w:t xml:space="preserve">upon the walls.  Such agates, when cut transversely, exhibit</w:t></w:r>
</w:p>
<w:p>
<w:pPr><w:pStyle w:val="Normal"/></w:pPr>
<w:r><w:t xml:space="preserve">a succession of parallel lines, often of extreme tenuity,</w:t></w:r>
</w:p>
<w:p>
<w:pPr><w:pStyle w:val="Normal"/></w:pPr>
<w:r><w:t xml:space="preserve">giving a banded appearance to the section, whence such stones</w:t></w:r>
</w:p>
<w:p>
<w:pPr><w:pStyle w:val="Normal"/></w:pPr>
<w:r><w:t xml:space="preserve">are known as banded agate, riband agate and striped agate.</w:t></w:r>
</w:p>
<w:p>
<w:pPr><w:pStyle w:val="Normal"/></w:pPr>
<w:r><w:t xml:space="preserve">Certain agates also occur, to a limited extent, in veins, of</w:t></w:r>
</w:p>
<w:p>
<w:pPr><w:pStyle w:val="Normal"/></w:pPr>
<w:r><w:t xml:space="preserve">which a notable example is the beautiful brecciated agate of</w:t></w:r>
</w:p>
<w:p>
<w:pPr><w:pStyle w:val="Normal"/></w:pPr>
<w:r><w:t xml:space="preserve">Schlottwitz, near Wesenstein in Saxony--a stone mostly composed</w:t></w:r>
</w:p>
<w:p>
<w:pPr><w:pStyle w:val="Normal"/></w:pPr>
<w:r><w:t xml:space="preserve">of angular fragments of agate cemented with amethystine quartz.</w:t></w:r>
</w:p>
<w:p>
<w:pPr><w:pStyle w:val="Normal"/></w:pPr>
<w:r><w:t xml:space="preserve">In the formation of an ordinary agate, it is probable that</w:t></w:r>
</w:p>
<w:p>
<w:pPr><w:pStyle w:val="Normal"/></w:pPr>
<w:r><w:t xml:space="preserve">waters containing silica in solution--derived, perhaps,</w:t></w:r>
</w:p>
<w:p>
<w:pPr><w:pStyle w:val="Normal"/></w:pPr>
<w:r><w:t xml:space="preserve">from the decomposition of some of the silicates in the lava</w:t></w:r>
</w:p>
<w:p>
<w:pPr><w:pStyle w:val="Normal"/></w:pPr>
<w:r><w:t xml:space="preserve">itself--percolated through the rock, and deposited a siliceous</w:t></w:r>
</w:p>
<w:p>
<w:pPr><w:pStyle w:val="Normal"/></w:pPr>
<w:r><w:t xml:space="preserve">coating on the interior of the vapour-vesicles.  Variations in</w:t></w:r>
</w:p>
<w:p>
<w:pPr><w:pStyle w:val="Normal"/></w:pPr>
<w:r><w:t xml:space="preserve">the character of the solution, or in the conditions of deposit,</w:t></w:r>
</w:p>
<w:p>
<w:pPr><w:pStyle w:val="Normal"/></w:pPr>
<w:r><w:t xml:space="preserve">may have caused corresponding variation in the successive</w:t></w:r>
</w:p>
<w:p>
<w:pPr><w:pStyle w:val="Normal"/></w:pPr>
<w:r><w:t xml:space="preserve">layers, so that bands . of chalcedony often alternate with</w:t></w:r>
</w:p>
<w:p>
<w:pPr><w:pStyle w:val="Normal"/></w:pPr>
<w:r><w:t xml:space="preserve">layers of crystalline quartz, and occasionally of opaline</w:t></w:r>
</w:p>
<w:p>
<w:pPr><w:pStyle w:val="Normal"/></w:pPr>
<w:r><w:t xml:space="preserve">silica.  By movement of the lava, when originally viscous,</w:t></w:r>
</w:p>
<w:p>
<w:pPr><w:pStyle w:val="Normal"/></w:pPr>
<w:r><w:t xml:space="preserve">the vesicles were in many cases drawn out and compressed,</w:t></w:r>
</w:p>
<w:p>
<w:pPr><w:pStyle w:val="Normal"/></w:pPr>
<w:r><w:t xml:space="preserve">whence the mineral matter with which they became filled</w:t></w:r>
</w:p>
<w:p>
<w:pPr><w:pStyle w:val="Normal"/></w:pPr>
<w:r><w:t xml:space="preserve">assumed an elongated form, having the longer axis in the</w:t></w:r>
</w:p>
<w:p>
<w:pPr><w:pStyle w:val="Normal"/></w:pPr>
<w:r><w:t xml:space="preserve">direction in which the magma flowed.  From the fact that</w:t></w:r>
</w:p>
<w:p>
<w:pPr><w:pStyle w:val="Normal"/></w:pPr>
<w:r><w:t xml:space="preserve">these kernels are more or less almond-shaped they are called</w:t></w:r>
</w:p>
<w:p>
<w:pPr><w:pStyle w:val="Normal"/></w:pPr>
<w:r><w:t xml:space="preserve">amygdales, whilst the rock which encloses them is known as an</w:t></w:r>
</w:p>
<w:p>
<w:pPr><w:pStyle w:val="Normal"/></w:pPr>
<w:r><w:t xml:space="preserve">amygdaloid.  Several vapour-vesicles may unite while the</w:t></w:r>
</w:p>
<w:p>
<w:pPr><w:pStyle w:val="Normal"/></w:pPr>
<w:r><w:t xml:space="preserve">rock is viscous, and thus form a large cavity which may</w:t></w:r>
</w:p>
<w:p>
<w:pPr><w:pStyle w:val="Normal"/></w:pPr>
<w:r><w:t xml:space="preserve">become the home of an agate of exceptional size; thus a</w:t></w:r>
</w:p>
<w:p>
<w:pPr><w:pStyle w:val="Normal"/></w:pPr>
<w:r><w:t xml:space="preserve">Brazilian geode, lined with amethyst, of the weight of 35</w:t></w:r>
</w:p>
<w:p>
<w:pPr><w:pStyle w:val="Normal"/></w:pPr>
<w:r><w:t xml:space="preserve">tons, was exhibited at the Dusseldorf Exhibition of 1902.</w:t></w:r>
</w:p>
<w:p>
<w:pPr><w:pStyle w:val="Normal"/></w:pPr>
<w:r><w:t xml:space="preserve">The first deposit on the wall of a cavity, forming the</w:t></w:r>
</w:p>
<w:p>
<w:pPr><w:pStyle w:val="Normal"/></w:pPr>
<w:r><w:t xml:space="preserve">``skin&apos;&apos; of the agate, is generally a dark greenish mineral</w:t></w:r>
</w:p>
<w:p>
<w:pPr><w:pStyle w:val="Normal"/></w:pPr>
<w:r><w:t xml:space="preserve">substance, like celadonite, delessite or ``green earth,&apos;&apos;</w:t></w:r>
</w:p>
<w:p>
<w:pPr><w:pStyle w:val="Normal"/></w:pPr>
<w:r><w:t xml:space="preserve">which are hydrous silicates rich in iron, derived probably</w:t></w:r>
</w:p>
<w:p>
<w:pPr><w:pStyle w:val="Normal"/></w:pPr>
<w:r><w:t xml:space="preserve">from the decomposition of the augite in the mother-rock.,</w:t></w:r>
</w:p>
<w:p>
<w:pPr><w:pStyle w:val="Normal"/></w:pPr>
<w:r><w:t xml:space="preserve">This green silicate may give rise by alteration to a brown</w:t></w:r>
</w:p>
<w:p>
<w:pPr><w:pStyle w:val="Normal"/></w:pPr>
<w:r><w:t xml:space="preserve">oxide of iron (limonite), producing a rusty appearance on</w:t></w:r>
</w:p>
<w:p>
<w:pPr><w:pStyle w:val="Normal"/></w:pPr>
<w:r><w:t xml:space="preserve">the outside of the agate-nodule.  The outer surface of an</w:t></w:r>
</w:p>
<w:p>
<w:pPr><w:pStyle w:val="Normal"/></w:pPr>
<w:r><w:t xml:space="preserve">agate, freed from its matrix, is often pitted and rough,</w:t></w:r>
</w:p>
<w:p>
<w:pPr><w:pStyle w:val="Normal"/></w:pPr>
<w:r><w:t xml:space="preserve">apparently in consequence of the removal of the original</w:t></w:r>
</w:p>
<w:p>
<w:pPr><w:pStyle w:val="Normal"/></w:pPr>
<w:r><w:t xml:space="preserve">coating.  The first layer spread over the wall of the cavity</w:t></w:r>
</w:p>
<w:p>
<w:pPr><w:pStyle w:val="Normal"/></w:pPr>
<w:r><w:t xml:space="preserve">has been called the ``priming,&apos;&apos; and upon this basis zeolitic</w:t></w:r>
</w:p>
<w:p>
<w:pPr><w:pStyle w:val="Normal"/></w:pPr>
<w:r><w:t xml:space="preserve">minerals may be deposited, as was pointed out by Dr M. F.</w:t></w:r>
</w:p>
<w:p>
<w:pPr><w:pStyle w:val="Normal"/></w:pPr>
<w:r><w:t xml:space="preserve">Heddle.  Chalcedony is generally one of the earlier deposits</w:t></w:r>
</w:p>
<w:p>
<w:pPr><w:pStyle w:val="Normal"/></w:pPr>
<w:r><w:t xml:space="preserve">and crystallized quartz one of later formation.  Tubular</w:t></w:r>
</w:p>
<w:p>
<w:pPr><w:pStyle w:val="Normal"/></w:pPr>
<w:r><w:t xml:space="preserve">channels, usually choked with siliceous deposits, are often</w:t></w:r>
</w:p>
<w:p>
<w:pPr><w:pStyle w:val="Normal"/></w:pPr>
<w:r><w:t xml:space="preserve">visible in sections of agate, and were formerly regarded,</w:t></w:r>
</w:p>
<w:p>
<w:pPr><w:pStyle w:val="Normal"/></w:pPr>
<w:r><w:t xml:space="preserve">especially by L. von Buch and J. Noggerath, as inlets of</w:t></w:r>
</w:p>
<w:p>
<w:pPr><w:pStyle w:val="Normal"/></w:pPr>
<w:r><w:t xml:space="preserve">infiltration, by which the siliceous solutions gained access</w:t></w:r>
</w:p>
<w:p>
<w:pPr><w:pStyle w:val="Normal"/></w:pPr>
<w:r><w:t xml:space="preserve">to the interior of the amygdaloidal cavity.  It seems likely,</w:t></w:r>
</w:p>
<w:p>
<w:pPr><w:pStyle w:val="Normal"/></w:pPr>
<w:r><w:t xml:space="preserve">however, that the solution transuded through the walls</w:t></w:r>
</w:p>
<w:p>
<w:pPr><w:pStyle w:val="Normal"/></w:pPr>
<w:r><w:t xml:space="preserve">generally, penetrating the chalcedonic layers, as Heddle</w:t></w:r>
</w:p>
<w:p>
<w:pPr><w:pStyle w:val="Normal"/></w:pPr>
<w:r><w:t xml:space="preserve">maintained, by osmotic action.  Much of the chalcedony in an</w:t></w:r>
</w:p>
<w:p>
<w:pPr><w:pStyle w:val="Normal"/></w:pPr>
<w:r><w:t xml:space="preserve">agate is known, from the method of artificially staining the</w:t></w:r>
</w:p>
<w:p>
<w:pPr><w:pStyle w:val="Normal"/></w:pPr>
<w:r><w:t xml:space="preserve">stone, to be readily permeable.  It was argued by E. Reusch</w:t></w:r>
</w:p>
<w:p>
<w:pPr><w:pStyle w:val="Normal"/></w:pPr>
<w:r><w:t xml:space="preserve">that the cavities were alternately filled and emptied by means</w:t></w:r>
</w:p>
<w:p>
<w:pPr><w:pStyle w:val="Normal"/></w:pPr>
<w:r><w:t xml:space="preserve">of intermittent hot springs carrying silica; while G. Lange, of</w:t></w:r>
</w:p>
<w:p>
<w:pPr><w:pStyle w:val="Normal"/></w:pPr>
<w:r><w:t xml:space="preserve">Idar, suggested that the tension of the confined steam might</w:t></w:r>
</w:p>
<w:p>
<w:pPr><w:pStyle w:val="Normal"/></w:pPr>
<w:r><w:t xml:space="preserve">pierce an outlet through some weak point in the coating of</w:t></w:r>
</w:p>
<w:p>
<w:pPr><w:pStyle w:val="Normal"/></w:pPr>
<w:r><w:t xml:space="preserve">gelatinous silica, deposited on the walls, so that the tubes</w:t></w:r>
</w:p>
<w:p>
<w:pPr><w:pStyle w:val="Normal"/></w:pPr>
<w:r><w:t xml:space="preserve">would be channels of egress rather than of ingress--a view</w:t></w:r>
</w:p>
<w:p>
<w:pPr><w:pStyle w:val="Normal"/></w:pPr>
<w:r><w:t xml:space="preserve">supported by Heddle, who described them as ``tubes of escape.&apos;&apos;</w:t></w:r>
</w:p>
<w:p>
<w:pPr><w:pStyle w:val="Normal"/></w:pPr>
<w:r><w:t xml:space="preserve">It sometimes happens that horizontal deposits, or strata usually</w:t></w:r>
</w:p>
<w:p>
<w:pPr><w:pStyle w:val="Normal"/></w:pPr>
<w:r><w:t xml:space="preserve">opaline in character, are formed on the floor of a cavity</w:t></w:r>
</w:p>
<w:p>
<w:pPr><w:pStyle w:val="Normal"/></w:pPr>
<w:r><w:t xml:space="preserve">after the walls have been lined with successive layers of</w:t></w:r>
</w:p>
<w:p>
<w:pPr><w:pStyle w:val="Normal"/></w:pPr>
<w:r><w:t xml:space="preserve">chalcedony.  Many agates are hollow, since deposition has</w:t></w:r>
</w:p>
<w:p>
<w:pPr><w:pStyle w:val="Normal"/></w:pPr>
<w:r><w:t xml:space="preserve">not proceeded far enough to fill the cavity, and in such</w:t></w:r>
</w:p>
<w:p>
<w:pPr><w:pStyle w:val="Normal"/></w:pPr>
<w:r><w:t xml:space="preserve">cases the last deposit commonly consists of quartz, often</w:t></w:r>
</w:p>
<w:p>
<w:pPr><w:pStyle w:val="Normal"/></w:pPr>
<w:r><w:t xml:space="preserve">amethystine, having the apices of the crystals directed towards</w:t></w:r>
</w:p>
<w:p>
<w:pPr><w:pStyle w:val="Normal"/></w:pPr>
<w:r><w:t xml:space="preserve">the free space, so as to form a crystal-lined cavity or geode.</w:t></w:r>
</w:p>
<w:p>
<w:pPr><w:pStyle w:val="Normal"/></w:pPr>
<w:r><w:t xml:space="preserve">When the deposits in an agate have been formed on a crop of</w:t></w:r>
</w:p>
<w:p>
<w:pPr><w:pStyle w:val="Normal"/></w:pPr>
<w:r><w:t xml:space="preserve">crystals, or on a rugose base, the cross-section presents a</w:t></w:r>
</w:p>
<w:p>
<w:pPr><w:pStyle w:val="Normal"/></w:pPr>
<w:r><w:t xml:space="preserve">zigzag pattern, rather like the plan of a fortress with salient</w:t></w:r>
</w:p>
<w:p>
<w:pPr><w:pStyle w:val="Normal"/></w:pPr>
<w:r><w:t xml:space="preserve">and retiring angles, whence the stone is termed fortification</w:t></w:r>
</w:p>
<w:p>
<w:pPr><w:pStyle w:val="Normal"/></w:pPr>
<w:r><w:t xml:space="preserve">agate.  If the section shows concentric circles, due either to</w:t></w:r>
</w:p>
<w:p>
<w:pPr><w:pStyle w:val="Normal"/></w:pPr>
<w:r><w:t xml:space="preserve">stalactitic growth or to deposition in the form of bosses and</w:t></w:r>
</w:p>
<w:p>
<w:pPr><w:pStyle w:val="Normal"/></w:pPr>
<w:r><w:t xml:space="preserve">beads on the floor, the stone is known as ring agate or eye</w:t></w:r>
</w:p>
<w:p>
<w:pPr><w:pStyle w:val="Normal"/></w:pPr>
<w:r><w:t xml:space="preserve">agate.  A Mexican agate, showing only a single eye, has</w:t></w:r>
</w:p>
<w:p>
<w:pPr><w:pStyle w:val="Normal"/></w:pPr>
<w:r><w:t xml:space="preserve">received the name of ``cyclops.&apos;&apos; Included matter of a green</w:t></w:r>
</w:p>
<w:p>
<w:pPr><w:pStyle w:val="Normal"/></w:pPr>
<w:r><w:t xml:space="preserve">colour, like fragments of ``green earth,&apos;&apos; embedded in</w:t></w:r>
</w:p>
<w:p>
<w:pPr><w:pStyle w:val="Normal"/></w:pPr>
<w:r><w:t xml:space="preserve">the chalcedony and disposed in filaments and other forms</w:t></w:r>
</w:p>
<w:p>
<w:pPr><w:pStyle w:val="Normal"/></w:pPr>
<w:r><w:t xml:space="preserve">suggestive of vegetable growth, gives rise to moss agate.</w:t></w:r>
</w:p>
<w:p>
<w:pPr><w:pStyle w:val="Normal"/></w:pPr>
<w:r><w:t xml:space="preserve">These inorganic enclosures in the agate have been sometimes</w:t></w:r>
</w:p>
<w:p>
<w:pPr><w:pStyle w:val="Normal"/></w:pPr>
<w:r><w:t xml:space="preserve">described, even after microscopic examination, as true vegetable</w:t></w:r>
</w:p>
<w:p>
<w:pPr><w:pStyle w:val="Normal"/></w:pPr>
<w:r><w:t xml:space="preserve">structures.  Dendritic markings of black or brown colour, due</w:t></w:r>
</w:p>
<w:p>
<w:pPr><w:pStyle w:val="Normal"/></w:pPr>
<w:r><w:t xml:space="preserve">to infiltration of oxides of manganese and iron, produce the</w:t></w:r>
</w:p>
<w:p>
<w:pPr><w:pStyle w:val="Normal"/></w:pPr>
<w:r><w:t xml:space="preserve">variety of agate known as Mocha stone.  Agates of exceptional</w:t></w:r>
</w:p>
<w:p>
<w:pPr><w:pStyle w:val="Normal"/></w:pPr>
<w:r><w:t xml:space="preserve">beauty often pass in trade under the name of Oriental agate.</w:t></w:r>
</w:p>
<w:p>
<w:pPr><w:pStyle w:val="Normal"/></w:pPr>
<w:r><w:t xml:space="preserve">Certain stones, when examined in thin sections by transmitted</w:t></w:r>
</w:p>
<w:p>
<w:pPr><w:pStyle w:val="Normal"/></w:pPr>
<w:r><w:t xml:space="preserve">light, show a diffraction spectrum, due to the extreme delicacy</w:t></w:r>
</w:p>
<w:p>
<w:pPr><w:pStyle w:val="Normal"/></w:pPr>
<w:r><w:t xml:space="preserve">of the successive bands, whence they are termed rainbow agates.</w:t></w:r>
</w:p>
<w:p>
<w:pPr><w:pStyle w:val="Normal"/></w:pPr>
<w:r><w:t xml:space="preserve">On the disintegration of the matrix in which the agates are</w:t></w:r>
</w:p>
<w:p>
<w:pPr><w:pStyle w:val="Normal"/></w:pPr>
<w:r><w:t xml:space="preserve">embedded, they are set free, and, being by their siliceous</w:t></w:r>
</w:p>
<w:p>
<w:pPr><w:pStyle w:val="Normal"/></w:pPr>
<w:r><w:t xml:space="preserve">nature extremely resistant to the action of air and water,</w:t></w:r>
</w:p>
<w:p>
<w:pPr><w:pStyle w:val="Normal"/></w:pPr>
<w:r><w:t xml:space="preserve">remain as nodules in the soil and gravel, or become rolled as</w:t></w:r>
</w:p>
<w:p>
<w:pPr><w:pStyle w:val="Normal"/></w:pPr>
<w:r><w:t xml:space="preserve">pebbles in the streams.  Such is the origin of the ``Scotch</w:t></w:r>
</w:p>
<w:p>
<w:pPr><w:pStyle w:val="Normal"/></w:pPr>
<w:r><w:t xml:space="preserve">pebbles,&apos;&apos; used as ornamental stones.  They are agates derived</w:t></w:r>
</w:p>
<w:p>
<w:pPr><w:pStyle w:val="Normal"/></w:pPr>
<w:r><w:t xml:space="preserve">from the andesitic lavas of Old Red Sandstone age, chiefly</w:t></w:r>
</w:p>
<w:p>
<w:pPr><w:pStyle w:val="Normal"/></w:pPr>
<w:r><w:t xml:space="preserve">in the Ochils and the Sidlaws.  In like manner, the South</w:t></w:r>
</w:p>
<w:p>
<w:pPr><w:pStyle w:val="Normal"/></w:pPr>
<w:r><w:t xml:space="preserve">American agates, so largely cut and polished at the present</w:t></w:r>
</w:p>
<w:p>
<w:pPr><w:pStyle w:val="Normal"/></w:pPr>
<w:r><w:t xml:space="preserve">time, are found mostly as boulders in the beds of rivers.</w:t></w:r>
</w:p>
<w:p>
<w:pPr><w:pStyle w:val="Normal"/></w:pPr>
<w:r><w:t xml:space="preserve">An enormous trade in agate-working is carried on in a small</w:t></w:r>
</w:p>
<w:p>
<w:pPr><w:pStyle w:val="Normal"/></w:pPr>
<w:r><w:t xml:space="preserve">district in Germany, around Oberstein on the Nahe, a tributary</w:t></w:r>
</w:p>
<w:p>
<w:pPr><w:pStyle w:val="Normal"/></w:pPr>
<w:r><w:t xml:space="preserve">of the Rhine at Bingen.  Here the industry was located many</w:t></w:r>
</w:p>
<w:p>
<w:pPr><w:pStyle w:val="Normal"/></w:pPr>
<w:r><w:t xml:space="preserve">centuries ago, in consequence of the abundant occurrence</w:t></w:r>
</w:p>
<w:p>
<w:pPr><w:pStyle w:val="Normal"/></w:pPr>
<w:r><w:t xml:space="preserve">of agates in the amygdaloidal melaphyre of the district,</w:t></w:r>
</w:p>
<w:p>
<w:pPr><w:pStyle w:val="Normal"/></w:pPr>
<w:r><w:t xml:space="preserve">notably in the Galgenberg, or Steinkaulenberg, overlooking</w:t></w:r>
</w:p>
<w:p>
<w:pPr><w:pStyle w:val="Normal"/></w:pPr>
<w:r><w:t xml:space="preserve">the village of Idar, on the Idar Bach, about two miles from</w:t></w:r>
</w:p>
<w:p>
<w:pPr><w:pStyle w:val="Normal"/></w:pPr>
<w:r><w:t xml:space="preserve">Oberstein.  The abundant water-power in the neighbourhood</w:t></w:r>
</w:p>
<w:p>
<w:pPr><w:pStyle w:val="Normal"/></w:pPr>
<w:r><w:t xml:space="preserve">had also a share in the determination of the industrial</w:t></w:r>
</w:p>
<w:p>
<w:pPr><w:pStyle w:val="Normal"/></w:pPr>
<w:r><w:t xml:space="preserve">site.  At the present time, however, steam power and even</w:t></w:r>
</w:p>
<w:p>
<w:pPr><w:pStyle w:val="Normal"/></w:pPr>
<w:r><w:t xml:space="preserve">electricity are employed in the mills of the Oberstein</w:t></w:r>
</w:p>
<w:p>
<w:pPr><w:pStyle w:val="Normal"/></w:pPr>
<w:r><w:t xml:space="preserve">district.  Although the agateindustry is still carried on</w:t></w:r>
</w:p>
<w:p>
<w:pPr><w:pStyle w:val="Normal"/></w:pPr>
<w:r><w:t xml:space="preserve">there, especially at Idar, the stones operated on are</w:t></w:r>
</w:p>
<w:p>
<w:pPr><w:pStyle w:val="Normal"/></w:pPr>
<w:r><w:t xml:space="preserve">not of indigenous origin, but are imported mostly from</w:t></w:r>
</w:p>
<w:p>
<w:pPr><w:pStyle w:val="Normal"/></w:pPr>
<w:r><w:t xml:space="preserve">Brazil (Rio Grande do Sul) and from Uruguay, where they</w:t></w:r>
</w:p>
<w:p>
<w:pPr><w:pStyle w:val="Normal"/></w:pPr>
<w:r><w:t xml:space="preserve">were discovered in 1827.  Agate-working is also carried</w:t></w:r>
</w:p>
<w:p>
<w:pPr><w:pStyle w:val="Normal"/></w:pPr>
<w:r><w:t xml:space="preserve">on to a limited extent at Waldkirch in the Black Forest.</w:t></w:r>
</w:p>
<w:p>
<w:pPr><w:pStyle w:val="Normal"/></w:pPr>
<w:r><w:t xml:space="preserve">Most commercial agate is artificially stained, so that stones</w:t></w:r>
</w:p>
<w:p>
<w:pPr><w:pStyle w:val="Normal"/></w:pPr>
<w:r><w:t xml:space="preserve">naturally unattractive by their dull grey tints come to be</w:t></w:r>
</w:p>
<w:p>
<w:pPr><w:pStyle w:val="Normal"/></w:pPr>
<w:r><w:t xml:space="preserve">valuable for ornamental purposes.  The art of staining the</w:t></w:r>
</w:p>
<w:p>
<w:pPr><w:pStyle w:val="Normal"/></w:pPr>
<w:r><w:t xml:space="preserve">stone is believed to be very ancient.  Possibly referred to</w:t></w:r>
</w:p>
<w:p>
<w:pPr><w:pStyle w:val="Normal"/></w:pPr>
<w:r><w:t xml:space="preserve">by Pliny (bk. xxxvii. cap. 75), it was certainly practised</w:t></w:r>
</w:p>
<w:p>
<w:pPr><w:pStyle w:val="Normal"/></w:pPr>
<w:r><w:t xml:space="preserve">at an early date by the Italian cameo-workers, and from</w:t></w:r>
</w:p>
<w:p>
<w:pPr><w:pStyle w:val="Normal"/></w:pPr>
<w:r><w:t xml:space="preserve">Italy a knowledge of the art--long kept secret and practised</w:t></w:r>
</w:p>
<w:p>
<w:pPr><w:pStyle w:val="Normal"/></w:pPr>
<w:r><w:t xml:space="preserve">traditionally--passed in the early part of the 19th century to</w:t></w:r>
</w:p>
<w:p>
<w:pPr><w:pStyle w:val="Normal"/></w:pPr>
<w:r><w:t xml:space="preserve">the agate-workers in Germany, by whom it has since been greatly</w:t></w:r>
</w:p>
<w:p>
<w:pPr><w:pStyle w:val="Normal"/></w:pPr>
<w:r><w:t xml:space="preserve">developed.  The colouring matter is absorbed by the porosity</w:t></w:r>
</w:p>
<w:p>
<w:pPr><w:pStyle w:val="Normal"/></w:pPr>
<w:r><w:t xml:space="preserve">of the stone, but different stones and even different layers</w:t></w:r>
</w:p>
<w:p>
<w:pPr><w:pStyle w:val="Normal"/></w:pPr>
<w:r><w:t xml:space="preserve">in the same stone exhibit great variation in absorptive</w:t></w:r>
</w:p>
<w:p>
<w:pPr><w:pStyle w:val="Normal"/></w:pPr>
<w:r><w:t xml:space="preserve">power.  The Brazilian agates lend themselves readily to</w:t></w:r>
</w:p>
<w:p>
<w:pPr><w:pStyle w:val="Normal"/></w:pPr>
<w:r><w:t xml:space="preserve">coloration, while the German agates are much less receptive.</w:t></w:r>
</w:p>
<w:p>
<w:pPr><w:pStyle w:val="Normal"/></w:pPr>
<w:r><w:t xml:space="preserve">To produce a dark brown or black colour, the stone is kept perhaps</w:t></w:r>
</w:p>
<w:p>
<w:pPr><w:pStyle w:val="Normal"/></w:pPr>
<w:r><w:t xml:space="preserve">for two or three weeks in a saccharine solution, or in olive</w:t></w:r>
</w:p>
<w:p>
<w:pPr><w:pStyle w:val="Normal"/></w:pPr>
<w:r><w:t xml:space="preserve">oil, at a moderate temperature.  After removal from this medium,</w:t></w:r>
</w:p>
<w:p>
<w:pPr><w:pStyle w:val="Normal"/></w:pPr>
<w:r><w:t xml:space="preserve">the agate is well washed and then digested for a short time in</w:t></w:r>
</w:p>
<w:p>
<w:pPr><w:pStyle w:val="Normal"/></w:pPr>
<w:r><w:t xml:space="preserve">sulphuric acid, which entering the pores chars or carbonizes</w:t></w:r>
</w:p>
<w:p>
<w:pPr><w:pStyle w:val="Normal"/></w:pPr>
<w:r><w:t xml:space="preserve">the absorbed sugar or oil.  Certain layers of chalcedony are</w:t></w:r>
</w:p>
<w:p>
<w:pPr><w:pStyle w:val="Normal"/></w:pPr>
<w:r><w:t xml:space="preserve">practically impermeable, and these consequently remain uncoloured,</w:t></w:r>
</w:p>
<w:p>
<w:pPr><w:pStyle w:val="Normal"/></w:pPr>
<w:r><w:t xml:space="preserve">so that an alternation of dark and white bands is obtained,</w:t></w:r>
</w:p>
<w:p>
<w:pPr><w:pStyle w:val="Normal"/></w:pPr>
<w:r><w:t xml:space="preserve">thus giving rise to an onyx.  If stained too dark, the colour</w:t></w:r>
</w:p>
<w:p>
<w:pPr><w:pStyle w:val="Normal"/></w:pPr>
<w:r><w:t xml:space="preserve">may be ``drawn,&apos;&apos; or lightened, by the action of nitric acid.</w:t></w:r>
</w:p>
<w:p>
<w:pPr><w:pStyle w:val="Normal"/></w:pPr>
<w:r><w:t xml:space="preserve">Agate is stained red, so as to form carnelian and sardonyx,</w:t></w:r>
</w:p>
<w:p>
<w:pPr><w:pStyle w:val="Normal"/></w:pPr>
<w:r><w:t xml:space="preserve">by means of ferric oxide.  This may be derived from any iron</w:t></w:r>
</w:p>
<w:p>
<w:pPr><w:pStyle w:val="Normal"/></w:pPr>
<w:r><w:t xml:space="preserve">compound naturally present in the stone, especially from limonite</w:t></w:r>
</w:p>
<w:p>
<w:pPr><w:pStyle w:val="Normal"/></w:pPr>
<w:r><w:t xml:space="preserve">by dehydration on baking.  Some stones are ``burnt&apos;&apos; by mere</w:t></w:r>
</w:p>
<w:p>
<w:pPr><w:pStyle w:val="Normal"/></w:pPr>
<w:r><w:t xml:space="preserve">exposure to the heat of the sun, whereby the brown colour passes to</w:t></w:r>
</w:p>
<w:p>
<w:pPr><w:pStyle w:val="Normal"/></w:pPr>
<w:r><w:t xml:space="preserve">red.  Usually, however, an iron-salt, like ferrous sulphate,</w:t></w:r>
</w:p>
<w:p>
<w:pPr><w:pStyle w:val="Normal"/></w:pPr>
<w:r><w:t xml:space="preserve">is artificially introduced in solution and then decomposed</w:t></w:r>
</w:p>
<w:p>
<w:pPr><w:pStyle w:val="Normal"/></w:pPr>
<w:r><w:t xml:space="preserve">by heat, so as to form in the pores a rich red pigment.</w:t></w:r>
</w:p>
<w:p>
<w:pPr><w:pStyle w:val="Normal"/></w:pPr>
<w:r><w:t xml:space="preserve">A blue colour, supposed to render the agate rather like lapis</w:t></w:r>
</w:p>
<w:p>
<w:pPr><w:pStyle w:val="Normal"/></w:pPr>
<w:r><w:t xml:space="preserve">lazuli, is produced by using first an iron salt and then</w:t></w:r>
</w:p>
<w:p>
<w:pPr><w:pStyle w:val="Normal"/></w:pPr>
<w:r><w:t xml:space="preserve">a solution of ferrocyanide or ferricyanide of potassium;</w:t></w:r>
</w:p>
<w:p>
<w:pPr><w:pStyle w:val="Normal"/></w:pPr>
<w:r><w:t xml:space="preserve">a green colour, like that of chrysoprase, is obtained</w:t></w:r>
</w:p>
<w:p>
<w:pPr><w:pStyle w:val="Normal"/></w:pPr>
<w:r><w:t xml:space="preserve">by means of salts of nickel or of chromium; and a yellow</w:t></w:r>
</w:p>
<w:p>
<w:pPr><w:pStyle w:val="Normal"/></w:pPr>
<w:r><w:t xml:space="preserve">tint is developed by the action of hydrochloric acid.</w:t></w:r>
</w:p>
<w:p>
<w:pPr><w:pStyle w:val="Normal"/></w:pPr>
<w:r><w:t xml:space="preserve">Among the uses to which agate is applied may be mentioned the</w:t></w:r>
</w:p>
<w:p>
<w:pPr><w:pStyle w:val="Normal"/></w:pPr>
<w:r><w:t xml:space="preserve">formation of knife-edges of delicate balances, small mortars</w:t></w:r>
</w:p>
<w:p>
<w:pPr><w:pStyle w:val="Normal"/></w:pPr>
<w:r><w:t xml:space="preserve">and pestles for chemical work, burnishers and writing styles,</w:t></w:r>
</w:p>
<w:p>
<w:pPr><w:pStyle w:val="Normal"/></w:pPr>
<w:r><w:t xml:space="preserve">umbrella-handles, paper-knives, seals, brooches and other trivial</w:t></w:r>
</w:p>
<w:p>
<w:pPr><w:pStyle w:val="Normal"/></w:pPr>
<w:r><w:t xml:space="preserve">ornaments.  Most of these are cut and polished in the Oberstein</w:t></w:r>
</w:p>
<w:p>
<w:pPr><w:pStyle w:val="Normal"/></w:pPr>
<w:r><w:t xml:space="preserve">district, at a very cheap rate, from South American stones.</w:t></w:r>
</w:p>
<w:p>
<w:pPr><w:pStyle w:val="Normal"/></w:pPr>
<w:r><w:t xml:space="preserve">Numerous localities in the United States and Canada yield</w:t></w:r>
</w:p>
<w:p>
<w:pPr><w:pStyle w:val="Normal"/></w:pPr>
<w:r><w:t xml:space="preserve">agates, as described by Dr G. F. Kunz.  They are abundant in</w:t></w:r>
</w:p>
<w:p>
<w:pPr><w:pStyle w:val="Normal"/></w:pPr>
<w:r><w:t xml:space="preserve">the trap rocks of the Lake Superior region, some of the finest</w:t></w:r>
</w:p>
<w:p>
<w:pPr><w:pStyle w:val="Normal"/></w:pPr>
<w:r><w:t xml:space="preserve">coming from Michipicoten Island, Ontario.  A locality on the</w:t></w:r>
</w:p>
<w:p>
<w:pPr><w:pStyle w:val="Normal"/></w:pPr>
<w:r><w:t xml:space="preserve">shore of the lake is called Agate Bay. Wood agate, or agatized</w:t></w:r>
</w:p>
<w:p>
<w:pPr><w:pStyle w:val="Normal"/></w:pPr>
<w:r><w:t xml:space="preserve">wood, is not infrequently found in Colorado, California and</w:t></w:r>
</w:p>
<w:p>
<w:pPr><w:pStyle w:val="Normal"/></w:pPr>
<w:r><w:t xml:space="preserve">elsewhere in the West, the most notable locality being the</w:t></w:r>
</w:p>
<w:p>
<w:pPr><w:pStyle w:val="Normal"/></w:pPr>
<w:r><w:t xml:space="preserve">famous ``silicified forest&apos;&apos; known as Chalcedony Park, in Apache</w:t></w:r>
</w:p>
<w:p>
<w:pPr><w:pStyle w:val="Normal"/></w:pPr>
<w:r><w:t xml:space="preserve">county, Arizona.  Here there are vast numbers of water-rolled</w:t></w:r>
</w:p>
<w:p>
<w:pPr><w:pStyle w:val="Normal"/></w:pPr>
<w:r><w:t xml:space="preserve">logs of silicified wood, in rocks of Triassic age, but only</w:t></w:r>
</w:p>
<w:p>
<w:pPr><w:pStyle w:val="Normal"/></w:pPr>
<w:r><w:t xml:space="preserve">a small quantity of the wood is fine enough for ornamental</w:t></w:r>
</w:p>
<w:p>
<w:pPr><w:pStyle w:val="Normal"/></w:pPr>
<w:r><w:t xml:space="preserve">purposes.  The cellular tissue of the vegetable matter is</w:t></w:r>
</w:p>
<w:p>
<w:pPr><w:pStyle w:val="Normal"/></w:pPr>
<w:r><w:t xml:space="preserve">filled, or even replaced, by various siliceous minerals like</w:t></w:r>
</w:p>
<w:p>
<w:pPr><w:pStyle w:val="Normal"/></w:pPr>
<w:r><w:t xml:space="preserve">chalcedony, jasper, crystalline quartz and semi-opal, the silica</w:t></w:r>
</w:p>
<w:p>
<w:pPr><w:pStyle w:val="Normal"/></w:pPr>
<w:r><w:t xml:space="preserve">having probably been introduced by thermal waters.  Some of the</w:t></w:r>
</w:p>
<w:p>
<w:pPr><w:pStyle w:val="Normal"/></w:pPr>
<w:r><w:t xml:space="preserve">agate shows the microscopic structure of araucarian wood.  The</w:t></w:r>
</w:p>
<w:p>
<w:pPr><w:pStyle w:val="Normal"/></w:pPr>
<w:r><w:t xml:space="preserve">agatized wood is sometimes known by the Indian name of shinarump.</w:t></w:r>
</w:p>
<w:p>
<w:pPr><w:pStyle w:val="Normal"/></w:pPr>
<w:r><w:t xml:space="preserve">In India agates occur abundantly in the amygdaloidal varieties of</w:t></w:r>
</w:p>
<w:p>
<w:pPr><w:pStyle w:val="Normal"/></w:pPr>
<w:r><w:t xml:space="preserve">the Deccan and Rajmahal traps, and as pebbles in the detritus</w:t></w:r>
</w:p>
<w:p>
<w:pPr><w:pStyle w:val="Normal"/></w:pPr>
<w:r><w:t xml:space="preserve">derived from these rocks.  Some of the finest are found in the</w:t></w:r>
</w:p>
<w:p>
<w:pPr><w:pStyle w:val="Normal"/></w:pPr>
<w:r><w:t xml:space="preserve">agate-gravels near Ratanpur, in Rajpipla.  The trade in agates</w:t></w:r>
</w:p>
<w:p>
<w:pPr><w:pStyle w:val="Normal"/></w:pPr>
<w:r><w:t xml:space="preserve">has been carried on from early times at Cambay, where the stones</w:t></w:r>
</w:p>
<w:p>
<w:pPr><w:pStyle w:val="Normal"/></w:pPr>
<w:r><w:t xml:space="preserve">are cut and polished.  Agates are also worked at Jubbulpore.</w:t></w:r>
</w:p>
<w:p>
<w:pPr><w:pStyle w:val="Normal"/></w:pPr>
<w:r><w:t xml:space="preserve">In many parts of New South Wales, agates, resulting from the</w:t></w:r>
</w:p>
<w:p>
<w:pPr><w:pStyle w:val="Normal"/></w:pPr>
<w:r><w:t xml:space="preserve">disintegration of trap rocks, are common in the river-beds and old</w:t></w:r>
</w:p>
<w:p>
<w:pPr><w:pStyle w:val="Normal"/></w:pPr>
<w:r><w:t xml:space="preserve">drifts.  They occur also in Queensland, as at Agate Creek, running</w:t></w:r>
</w:p>
<w:p>
<w:pPr><w:pStyle w:val="Normal"/></w:pPr>
<w:r><w:t xml:space="preserve">into the Gilbert river.  South Africa likewise yields numerous</w:t></w:r>
</w:p>
<w:p>
<w:pPr><w:pStyle w:val="Normal"/></w:pPr>
<w:r><w:t xml:space="preserve">agates, especially in the gravels of the Orange and Vaal rivers.</w:t></w:r>
</w:p>
<w:p>
<w:pPr><w:pStyle w:val="Normal"/></w:pPr>
<w:r><w:t xml:space="preserve">It should be noted that in England agates are found not</w:t></w:r>
</w:p>
<w:p>
<w:pPr><w:pStyle w:val="Normal"/></w:pPr>
<w:r><w:t xml:space="preserve">only in old lavas, like the andesites of the Cheviots, but</w:t></w:r>
</w:p>
<w:p>
<w:pPr><w:pStyle w:val="Normal"/></w:pPr>
<w:r><w:t xml:space="preserve">also to a limited extent in the Dolomitic Conglomerate,</w:t></w:r>
</w:p>
<w:p>
<w:pPr><w:pStyle w:val="Normal"/></w:pPr>
<w:r><w:t xml:space="preserve">an old beachdeposit of Triassic age in the Mendips and</w:t></w:r>
</w:p>
<w:p>
<w:pPr><w:pStyle w:val="Normal"/></w:pPr>
<w:r><w:t xml:space="preserve">the neighbourhood of Bristol.  They are also found as</w:t></w:r>
</w:p>
<w:p>
<w:pPr><w:pStyle w:val="Normal"/></w:pPr>
<w:r><w:t xml:space="preserve">weathered pebbles in the drift of Lichfield in Staffordshire.</w:t></w:r>
</w:p>
<w:p>
<w:pPr><w:pStyle w:val="Normal"/></w:pPr>
<w:r><w:t xml:space="preserve">For Scottish agates see M. F. Heddle, ``On the Structure of</w:t></w:r>
</w:p>
<w:p>
<w:pPr><w:pStyle w:val="Normal"/></w:pPr>
<w:r><w:t xml:space="preserve">Agates,&apos;&apos; Trans.  Geolog.  Soc. Glasgow, vol. xi. part ii.,</w:t></w:r>
</w:p>
<w:p>
<w:pPr><w:pStyle w:val="Normal"/></w:pPr>
<w:r><w:t xml:space="preserve">1900, p. 153; and Mineralogy of Scotland (1901), vol. i.</w:t></w:r>
</w:p>
<w:p>
<w:pPr><w:pStyle w:val="Normal"/></w:pPr>
<w:r><w:t xml:space="preserve">p. 58; J. G. Goodchild, Proc.  Phys.  Soc. Edinburgh, vol.</w:t></w:r>
</w:p>
<w:p>
<w:pPr><w:pStyle w:val="Normal"/></w:pPr>
<w:r><w:t xml:space="preserve">xiv., 1899, p. 191. For the agate-industry see G. Lange, Die</w:t></w:r>
</w:p>
<w:p>
<w:pPr><w:pStyle w:val="Normal"/></w:pPr>
<w:r><w:t xml:space="preserve">Halbedelsteine (Kreuznach, 1868).  For American agates, G. F.</w:t></w:r>
</w:p>
<w:p>
<w:pPr><w:pStyle w:val="Normal"/></w:pPr>
<w:r><w:t xml:space="preserve">Kunz, Gems and Precious Stones of North America (1890), p.</w:t></w:r>
</w:p>
<w:p>
<w:pPr><w:pStyle w:val="Normal"/></w:pPr>
<w:r><w:t xml:space="preserve">128. For agates in general see Max Bauer&apos;s Precious Stones,</w:t></w:r>
</w:p>
<w:p>
<w:pPr><w:pStyle w:val="Normal"/></w:pPr>
<w:r><w:t xml:space="preserve">translated by L. J. Spencer (London, 1904). (F. W. R.n)</w:t></w:r>
</w:p>
<w:p>
<w:pPr><w:pStyle w:val="Normal"/></w:pPr>
<w:r><w:t xml:space="preserve">AGATHA, SAINT, the patron saint of Catania, Sicily, where</w:t></w:r>
</w:p>
<w:p>
<w:pPr><w:pStyle w:val="Normal"/></w:pPr>
<w:r><w:t xml:space="preserve">her festival is celebrated on the 5th of February.  The legend</w:t></w:r>
</w:p>
<w:p>
<w:pPr><w:pStyle w:val="Normal"/></w:pPr>
<w:r><w:t xml:space="preserve">is that she was a native of Sicily (probably of Catania,</w:t></w:r>
</w:p>
<w:p>
<w:pPr><w:pStyle w:val="Normal"/></w:pPr>
<w:r><w:t xml:space="preserve">though Palermo also claims her), of noble birth and great</w:t></w:r>
</w:p>
<w:p>
<w:pPr><w:pStyle w:val="Normal"/></w:pPr>
<w:r><w:t xml:space="preserve">beauty.  She repelled the advances of the Roman prefect sent</w:t></w:r>
</w:p>
<w:p>
<w:pPr><w:pStyle w:val="Normal"/></w:pPr>
<w:r><w:t xml:space="preserve">by the emperor Decius to govern Sicily, and was by his orders</w:t></w:r>
</w:p>
<w:p>
<w:pPr><w:pStyle w:val="Normal"/></w:pPr>
<w:r><w:t xml:space="preserve">brutally tortured and finally sent to the stake.  As soon as</w:t></w:r>
</w:p>
<w:p>
<w:pPr><w:pStyle w:val="Normal"/></w:pPr>
<w:r><w:t xml:space="preserve">the fire was lighted, an earthquake occurred, and the people</w:t></w:r>
</w:p>
<w:p>
<w:pPr><w:pStyle w:val="Normal"/></w:pPr>
<w:r><w:t xml:space="preserve">insisted on her release.  She died in prison on the 5th</w:t></w:r>
</w:p>
<w:p>
<w:pPr><w:pStyle w:val="Normal"/></w:pPr>
<w:r><w:t xml:space="preserve">of February 251. The rescue of Catania from fire during an</w:t></w:r>
</w:p>
<w:p>
<w:pPr><w:pStyle w:val="Normal"/></w:pPr>
<w:r><w:t xml:space="preserve">eruption of Mount Etna was later attributed to St Agatha&apos;s veil.</w:t></w:r>
</w:p>
<w:p>
<w:pPr><w:pStyle w:val="Normal"/></w:pPr>
<w:r><w:t xml:space="preserve">AGATHANGELUS, AGATHANGE or AKATHANKELOS, Armenian</w:t></w:r>
</w:p>
<w:p>
<w:pPr><w:pStyle w:val="Normal"/></w:pPr>
<w:r><w:t xml:space="preserve">historian, lived during the 4th century, and wrote a History</w:t></w:r>
</w:p>
<w:p>
<w:pPr><w:pStyle w:val="Normal"/></w:pPr>
<w:r><w:t xml:space="preserve">of the Reign of Dertad, or Tiridates, and of the Preaching</w:t></w:r>
</w:p>
<w:p>
<w:pPr><w:pStyle w:val="Normal"/></w:pPr>
<w:r><w:t xml:space="preserve">of St Gregory the Illuminator. The text of this history</w:t></w:r>
</w:p>
<w:p>
<w:pPr><w:pStyle w:val="Normal"/></w:pPr>
<w:r><w:t xml:space="preserve">has been considerably altered, but it has always been in</w:t></w:r>
</w:p>
<w:p>
<w:pPr><w:pStyle w:val="Normal"/></w:pPr>
<w:r><w:t xml:space="preserve">high favour with the Armenians.  It has been translated</w:t></w:r>
</w:p>
<w:p>
<w:pPr><w:pStyle w:val="Normal"/></w:pPr>
<w:r><w:t xml:space="preserve">into several languages, and Greek and Latin translations</w:t></w:r>
</w:p>
<w:p>
<w:pPr><w:pStyle w:val="Normal"/></w:pPr>
<w:r><w:t xml:space="preserve">are found in the Acta Sanctorum Bollandistarum, tome</w:t></w:r>
</w:p>
<w:p>
<w:pPr><w:pStyle w:val="Normal"/></w:pPr>
<w:r><w:t xml:space="preserve">viii.  As known to us the history consists of three parts,</w:t></w:r>
</w:p>
<w:p>
<w:pPr><w:pStyle w:val="Normal"/></w:pPr>
<w:r><w:t xml:space="preserve">a history of St Gregory and his companions, the doctrine of</w:t></w:r>
</w:p>
<w:p>
<w:pPr><w:pStyle w:val="Normal"/></w:pPr>
<w:r><w:t xml:space="preserve">Gregory, and the conversion of Armenia to Christianity.</w:t></w:r>
</w:p>
<w:p>
<w:pPr><w:pStyle w:val="Normal"/></w:pPr>
<w:r><w:t xml:space="preserve">See V. Langlois, Collection des historiens</w:t></w:r>
</w:p>
<w:p>
<w:pPr><w:pStyle w:val="Normal"/></w:pPr>
<w:r><w:t xml:space="preserve">anciens et modernes de l&apos;Armenie (Paris, 1868).</w:t></w:r>
</w:p>
<w:p>
<w:pPr><w:pStyle w:val="Normal"/></w:pPr>
<w:r><w:t xml:space="preserve">AGATHARCHIDES, or AGATHARCHUS, of Cnidus, Greek historian</w:t></w:r>
</w:p>
<w:p>
<w:pPr><w:pStyle w:val="Normal"/></w:pPr>
<w:r><w:t xml:space="preserve">and geographer, lived in the time of Ptolemy Philometor</w:t></w:r>
</w:p>
<w:p>
<w:pPr><w:pStyle w:val="Normal"/></w:pPr>
<w:r><w:t xml:space="preserve">(181-146 B.C.) and his successors.  Amongst other works,</w:t></w:r>
</w:p>
<w:p>
<w:pPr><w:pStyle w:val="Normal"/></w:pPr>
<w:r><w:t xml:space="preserve">he wrote treatises on Asia, Europe and The Red Sea.</w:t></w:r>
</w:p>
<w:p>
<w:pPr><w:pStyle w:val="Normal"/></w:pPr>
<w:r><w:t xml:space="preserve">Interesting extracts from the last, of some length, are</w:t></w:r>
</w:p>
<w:p>
<w:pPr><w:pStyle w:val="Normal"/></w:pPr>
<w:r><w:t xml:space="preserve">preserved in Photius (cod. 213), who praises the style</w:t></w:r>
</w:p>
<w:p>
<w:pPr><w:pStyle w:val="Normal"/></w:pPr>
<w:r><w:t xml:space="preserve">of the author, which was modelled on that of Thucydides.</w:t></w:r>
</w:p>
<w:p>
<w:pPr><w:pStyle w:val="Normal"/></w:pPr>
<w:r><w:t xml:space="preserve">See H. Leopoldi, De Agatharchide Cnidio Dissertatio</w:t></w:r>
</w:p>
<w:p>
<w:pPr><w:pStyle w:val="Normal"/></w:pPr>
<w:r><w:t xml:space="preserve">(1892); C. W. Muller, Fragmenta Historicorum Graecorum,</w:t></w:r>
</w:p>
<w:p>
<w:pPr><w:pStyle w:val="Normal"/></w:pPr>
<w:r><w:t xml:space="preserve">iii., and Geographi Graeci Minores, i.; E. H.</w:t></w:r>
</w:p>
<w:p>
<w:pPr><w:pStyle w:val="Normal"/></w:pPr>
<w:r><w:t xml:space="preserve">Bunbury, Hist. of Ancient Geography, ii. (1879).</w:t></w:r>
</w:p>
<w:p>
<w:pPr><w:pStyle w:val="Normal"/></w:pPr>
<w:r><w:t xml:space="preserve">AGATHARCHUS, an Athenian painter of the 5th century B.C.</w:t></w:r>
</w:p>
<w:p>
<w:pPr><w:pStyle w:val="Normal"/></w:pPr>
<w:r><w:t xml:space="preserve">He is said by Vitruvius to have been the first to paint a scene</w:t></w:r>
</w:p>
<w:p>
<w:pPr><w:pStyle w:val="Normal"/></w:pPr>
<w:r><w:t xml:space="preserve">for the acting of tragedies.  Hence some writers, such as Karl</w:t></w:r>
</w:p>
<w:p>
<w:pPr><w:pStyle w:val="Normal"/></w:pPr>
<w:r><w:t xml:space="preserve">Woermann, have supposed that he introduced perspective and</w:t></w:r>
</w:p>
<w:p>
<w:pPr><w:pStyle w:val="Normal"/></w:pPr>
<w:r><w:t xml:space="preserve">illusion into painting.  This is a mistaken view, for ancient</w:t></w:r>
</w:p>
<w:p>
<w:pPr><w:pStyle w:val="Normal"/></w:pPr>
<w:r><w:t xml:space="preserve">writers know nothing of canvas scenes; the background painted</w:t></w:r>
</w:p>
<w:p>
<w:pPr><w:pStyle w:val="Normal"/></w:pPr>
<w:r><w:t xml:space="preserve">by Agatharchus was the wooden front of the stage building,</w:t></w:r>
</w:p>
<w:p>
<w:pPr><w:pStyle w:val="Normal"/></w:pPr>
<w:r><w:t xml:space="preserve">and it was painted, not with reference to any particular</w:t></w:r>
</w:p>
<w:p>
<w:pPr><w:pStyle w:val="Normal"/></w:pPr>
<w:r><w:t xml:space="preserve">play, but as a permanent decorative background, representing</w:t></w:r>
</w:p>
<w:p>
<w:pPr><w:pStyle w:val="Normal"/></w:pPr>
<w:r><w:t xml:space="preserve">no doubt a palace or temple.  Agatharchus is said to have</w:t></w:r>
</w:p>
<w:p>
<w:pPr><w:pStyle w:val="Normal"/></w:pPr>
<w:r><w:t xml:space="preserve">been seized by Alcibiades and compelled by him to paint the</w:t></w:r>
</w:p>
<w:p>
<w:pPr><w:pStyle w:val="Normal"/></w:pPr>
<w:r><w:t xml:space="preserve">interior of his house, which shows that at the time (about</w:t></w:r>
</w:p>
<w:p>
<w:pPr><w:pStyle w:val="Normal"/></w:pPr>
<w:r><w:t xml:space="preserve">435 B.C.) decorative painting of rooms was the fashion.</w:t></w:r>
</w:p>
<w:p>
<w:pPr><w:pStyle w:val="Normal"/></w:pPr>
<w:r><w:t xml:space="preserve">AGATHIAS (c. A.D. 536-582), of Myrina in Aeolis,</w:t></w:r>
</w:p>
<w:p>
<w:pPr><w:pStyle w:val="Normal"/></w:pPr>
<w:r><w:t xml:space="preserve">Greek poet and historian.  He studied law at Alexandria,</w:t></w:r>
</w:p>
<w:p>
<w:pPr><w:pStyle w:val="Normal"/></w:pPr>
<w:r><w:t xml:space="preserve">completed his training at Constantinople and practised as</w:t></w:r>
</w:p>
<w:p>
<w:pPr><w:pStyle w:val="Normal"/></w:pPr>
<w:r><w:t xml:space="preserve">an advocate (scholasticus) in the courts.  Literature,</w:t></w:r>
</w:p>
<w:p>
<w:pPr><w:pStyle w:val="Normal"/></w:pPr>
<w:r><w:t xml:space="preserve">however, was his favourite pursuit.  He wrote a number of</w:t></w:r>
</w:p>
<w:p>
<w:pPr><w:pStyle w:val="Normal"/></w:pPr>
<w:r><w:t xml:space="preserve">short love-poems in epic metre, called Daphniaca. He next</w:t></w:r>
</w:p>
<w:p>
<w:pPr><w:pStyle w:val="Normal"/></w:pPr>
<w:r><w:t xml:space="preserve">put together a kind of anthology, containing epigrams by</w:t></w:r>
</w:p>
<w:p>
<w:pPr><w:pStyle w:val="Normal"/></w:pPr>
<w:r><w:t xml:space="preserve">earlier and contemporary poets and himself, under the title</w:t></w:r>
</w:p>
<w:p>
<w:pPr><w:pStyle w:val="Normal"/></w:pPr>
<w:r><w:t xml:space="preserve">of a Cycle of new Epigrams. About a hundred epigrams by</w:t></w:r>
</w:p>
<w:p>
<w:pPr><w:pStyle w:val="Normal"/></w:pPr>
<w:r><w:t xml:space="preserve">Agathias have been preserved in the Greek Anthology and</w:t></w:r>
</w:p>
<w:p>
<w:pPr><w:pStyle w:val="Normal"/></w:pPr>
<w:r><w:t xml:space="preserve">show considerable taste and elegance.  After the death of</w:t></w:r>
</w:p>
<w:p>
<w:pPr><w:pStyle w:val="Normal"/></w:pPr>
<w:r><w:t xml:space="preserve">Justinian (565), some of Agathias&apos;s friends persuaded him</w:t></w:r>
</w:p>
<w:p>
<w:pPr><w:pStyle w:val="Normal"/></w:pPr>
<w:r><w:t xml:space="preserve">to write the history of his own times.  This work, in five</w:t></w:r>
</w:p>
<w:p>
<w:pPr><w:pStyle w:val="Normal"/></w:pPr>
<w:r><w:t xml:space="preserve">books, begins where Procopius ends, and is the chief authority</w:t></w:r>
</w:p>
<w:p>
<w:pPr><w:pStyle w:val="Normal"/></w:pPr>
<w:r><w:t xml:space="preserve">for the period 552-558.  It deals chiefly with the struggles</w:t></w:r>
</w:p>
<w:p>
<w:pPr><w:pStyle w:val="Normal"/></w:pPr>
<w:r><w:t xml:space="preserve">of the Byzantine army, under the command of the eunuch</w:t></w:r>
</w:p>
<w:p>
<w:pPr><w:pStyle w:val="Normal"/></w:pPr>
<w:r><w:t xml:space="preserve">Narses, against the Goths, Vandals, Franks and Persians.  The</w:t></w:r>
</w:p>
<w:p>
<w:pPr><w:pStyle w:val="Normal"/></w:pPr>
<w:r><w:t xml:space="preserve">author prides himself on his honesty and impartiality, but</w:t></w:r>
</w:p>
<w:p>
<w:pPr><w:pStyle w:val="Normal"/></w:pPr>
<w:r><w:t xml:space="preserve">he is lacking in judgment and knowledge of facts; the work,</w:t></w:r>
</w:p>
<w:p>
<w:pPr><w:pStyle w:val="Normal"/></w:pPr>
<w:r><w:t xml:space="preserve">however, is valuable from the importance of the events of</w:t></w:r>
</w:p>
<w:p>
<w:pPr><w:pStyle w:val="Normal"/></w:pPr>
<w:r><w:t xml:space="preserve">which it treats.  Gibbon contrasts Agathias as ``a poet and</w:t></w:r>
</w:p>
<w:p>
<w:pPr><w:pStyle w:val="Normal"/></w:pPr>
<w:r><w:t xml:space="preserve">rhetorician&apos;&apos; with Procopius ``a statesman and soldier.&apos;&apos;</w:t></w:r>
</w:p>
<w:p>
<w:pPr><w:pStyle w:val="Normal"/></w:pPr>
<w:r><w:t xml:space="preserve">AUTHORITIES.--Editio princeps, by B. Vulcanius (1594); in</w:t></w:r>
</w:p>
<w:p>
<w:pPr><w:pStyle w:val="Normal"/></w:pPr>
<w:r><w:t xml:space="preserve">the Bonn Corpus Scriptorum Byz. Hist., by B. G. Niebuhr</w:t></w:r>
</w:p>
<w:p>
<w:pPr><w:pStyle w:val="Normal"/></w:pPr>
<w:r><w:t xml:space="preserve">(1828); in Migne, Patrologia Graeca, lxxxviii.; L. Dindorf,</w:t></w:r>
</w:p>
<w:p>
<w:pPr><w:pStyle w:val="Normal"/></w:pPr>
<w:r><w:t xml:space="preserve">Historici Graeci Minores (1871); W. S. Teuffel, ``Agathias</w:t></w:r>
</w:p>
<w:p>
<w:pPr><w:pStyle w:val="Normal"/></w:pPr>
<w:r><w:t xml:space="preserve">von Myrine,&apos;&apos; in Philolegus (i. 1846); C. Krumbacher,</w:t></w:r>
</w:p>
<w:p>
<w:pPr><w:pStyle w:val="Normal"/></w:pPr>
<w:r><w:t xml:space="preserve">Geschichte der byzantinischen Litteratur (2nd ed. 1897).</w:t></w:r>
</w:p>
<w:p>
<w:pPr><w:pStyle w:val="Normal"/></w:pPr>
<w:r><w:t xml:space="preserve">AGATHO, pope from 678 to 681, was born in Sicily.  He is</w:t></w:r>
</w:p>
<w:p>
<w:pPr><w:pStyle w:val="Normal"/></w:pPr>
<w:r><w:t xml:space="preserve">noteworthy as the pope who ordered St Wilfrid to be restored</w:t></w:r>
</w:p>
<w:p>
<w:pPr><w:pStyle w:val="Normal"/></w:pPr>
<w:r><w:t xml:space="preserve">to his bishopric at York in 679, and as the first to cease</w:t></w:r>
</w:p>
<w:p>
<w:pPr><w:pStyle w:val="Normal"/></w:pPr>
<w:r><w:t xml:space="preserve">payment of the tribute hitherto paid on election to the</w:t></w:r>
</w:p>
<w:p>
<w:pPr><w:pStyle w:val="Normal"/></w:pPr>
<w:r><w:t xml:space="preserve">emperor at Constantinople.  It was during his pontificate</w:t></w:r>
</w:p>
<w:p>
<w:pPr><w:pStyle w:val="Normal"/></w:pPr>
<w:r><w:t xml:space="preserve">that the 6th oecumenical council was held at Constantinople,</w:t></w:r>
</w:p>
<w:p>
<w:pPr><w:pStyle w:val="Normal"/></w:pPr>
<w:r><w:t xml:space="preserve">to which he sent his legates and those from a Roman council</w:t></w:r>
</w:p>
<w:p>
<w:pPr><w:pStyle w:val="Normal"/></w:pPr>
<w:r><w:t xml:space="preserve">held in 679. Agatho died on the 10th of January 681.</w:t></w:r>
</w:p>
<w:p>
<w:pPr><w:pStyle w:val="Normal"/></w:pPr>
<w:r><w:t xml:space="preserve">AGATHOCLES (361-289 B.C.), tyrant of Syracuse, was</w:t></w:r>
</w:p>
<w:p>
<w:pPr><w:pStyle w:val="Normal"/></w:pPr>
<w:r><w:t xml:space="preserve">born at Thermae Himeraeae (mod. Termini Imerese) in</w:t></w:r>
</w:p>
<w:p>
<w:pPr><w:pStyle w:val="Normal"/></w:pPr>
<w:r><w:t xml:space="preserve">Sicily.  The son of a potter who had removed to Syracuse,</w:t></w:r>
</w:p>
<w:p>
<w:pPr><w:pStyle w:val="Normal"/></w:pPr>
<w:r><w:t xml:space="preserve">he learned his father&apos;s trade, but afterwards entered the</w:t></w:r>
</w:p>
<w:p>
<w:pPr><w:pStyle w:val="Normal"/></w:pPr>
<w:r><w:t xml:space="preserve">army.  In 333 he married the widow of his patron Damas, a</w:t></w:r>
</w:p>
<w:p>
<w:pPr><w:pStyle w:val="Normal"/></w:pPr>
<w:r><w:t xml:space="preserve">distinguished and wealthy citizen.  He was twice banished for</w:t></w:r>
</w:p>
<w:p>
<w:pPr><w:pStyle w:val="Normal"/></w:pPr>
<w:r><w:t xml:space="preserve">attempting to overthrow the oligarchical party in Syracuse</w:t></w:r>
</w:p>
<w:p>
<w:pPr><w:pStyle w:val="Normal"/></w:pPr>
<w:r><w:t xml:space="preserve">(q.v.); in 317 he returned with an army of mercenaries under</w:t></w:r>
</w:p>
<w:p>
<w:pPr><w:pStyle w:val="Normal"/></w:pPr>
<w:r><w:t xml:space="preserve">a solemn oath to observe the democratic constitution which</w:t></w:r>
</w:p>
<w:p>
<w:pPr><w:pStyle w:val="Normal"/></w:pPr>
<w:r><w:t xml:space="preserve">was then set up.  Having banished or murdered some 10,000</w:t></w:r>
</w:p>
<w:p>
<w:pPr><w:pStyle w:val="Normal"/></w:pPr>
<w:r><w:t xml:space="preserve">citizens, and thus made himself master of Syracuse, he created</w:t></w:r>
</w:p>
<w:p>
<w:pPr><w:pStyle w:val="Normal"/></w:pPr>
<w:r><w:t xml:space="preserve">a strong army and fleet and subdued the greater part of</w:t></w:r>
</w:p>
<w:p>
<w:pPr><w:pStyle w:val="Normal"/></w:pPr>
<w:r><w:t xml:space="preserve">Sicily.  War with Carthage followed.  In 310 Agathocles,</w:t></w:r>
</w:p>
<w:p>
<w:pPr><w:pStyle w:val="Normal"/></w:pPr>
<w:r><w:t xml:space="preserve">defeated and besieged in Syracuse, took the desperate resolve</w:t></w:r>
</w:p>
<w:p>
<w:pPr><w:pStyle w:val="Normal"/></w:pPr>
<w:r><w:t xml:space="preserve">of breaking through the blockade and attacking the enemy in</w:t></w:r>
</w:p>
<w:p>
<w:pPr><w:pStyle w:val="Normal"/></w:pPr>
<w:r><w:t xml:space="preserve">Africa.  After several victories he was at last completely</w:t></w:r>
</w:p>
<w:p>
<w:pPr><w:pStyle w:val="Normal"/></w:pPr>
<w:r><w:t xml:space="preserve">defeated (306) and fled secretly to Sicily.  After concluding</w:t></w:r>
</w:p>
<w:p>
<w:pPr><w:pStyle w:val="Normal"/></w:pPr>
<w:r><w:t xml:space="preserve">peace with Carthage, Agathocles styled himself king of</w:t></w:r>
</w:p>
<w:p>
<w:pPr><w:pStyle w:val="Normal"/></w:pPr>
<w:r><w:t xml:space="preserve">Sicily, and established his rule over the Greek cities of</w:t></w:r>
</w:p>
<w:p>
<w:pPr><w:pStyle w:val="Normal"/></w:pPr>
<w:r><w:t xml:space="preserve">the island more firmly than ever.  Even in his old age he</w:t></w:r>
</w:p>
<w:p>
<w:pPr><w:pStyle w:val="Normal"/></w:pPr>
<w:r><w:t xml:space="preserve">displayed the same restless energy, and is said to have been</w:t></w:r>
</w:p>
<w:p>
<w:pPr><w:pStyle w:val="Normal"/></w:pPr>
<w:r><w:t xml:space="preserve">meditating a fresh attack on Carthage at the time of his</w:t></w:r>
</w:p>
<w:p>
<w:pPr><w:pStyle w:val="Normal"/></w:pPr>
<w:r><w:t xml:space="preserve">death.  His last years were harassed by ill-health and the</w:t></w:r>
</w:p>
<w:p>
<w:pPr><w:pStyle w:val="Normal"/></w:pPr>
<w:r><w:t xml:space="preserve">turbulence of his grandson Archagathus, at whose instigation</w:t></w:r>
</w:p>
<w:p>
<w:pPr><w:pStyle w:val="Normal"/></w:pPr>
<w:r><w:t xml:space="preserve">he is said to have been poisoned; according to others, he</w:t></w:r>
</w:p>
<w:p>
<w:pPr><w:pStyle w:val="Normal"/></w:pPr>
<w:r><w:t xml:space="preserve">died a natural death.  He was a born leader of mercenaries,</w:t></w:r>
</w:p>
<w:p>
<w:pPr><w:pStyle w:val="Normal"/></w:pPr>
<w:r><w:t xml:space="preserve">and, although he did not shrink from cruelty to gain his ends,</w:t></w:r>
</w:p>
<w:p>
<w:pPr><w:pStyle w:val="Normal"/></w:pPr>
<w:r><w:t xml:space="preserve">he afterwards showed himself a mild and popular ``tyrant.&apos;&apos;</w:t></w:r>
</w:p>
<w:p>
<w:pPr><w:pStyle w:val="Normal"/></w:pPr>
<w:r><w:t xml:space="preserve">See Justin xxii., xxiii.; Diodorus Siculus xix., xxi., xxii.</w:t></w:r>
</w:p>
<w:p>
<w:pPr><w:pStyle w:val="Normal"/></w:pPr>
<w:r><w:t xml:space="preserve">(follows generally Timaeus who had a special grudge against</w:t></w:r>
</w:p>
<w:p>
<w:pPr><w:pStyle w:val="Normal"/></w:pPr>
<w:r><w:t xml:space="preserve">Agathocles); Polybius ix. 23; Schubert, Geschichte des</w:t></w:r>
</w:p>
<w:p>
<w:pPr><w:pStyle w:val="Normal"/></w:pPr>
<w:r><w:t xml:space="preserve">Agathokles (1887); Grote, History of Greece, ch. 97; also</w:t></w:r>
</w:p>
<w:p>
<w:pPr><w:pStyle w:val="Normal"/></w:pPr>
<w:r><w:t xml:space="preserve">SICILY, History. AGATHODAEMON; in Greek mythology, the</w:t></w:r>
</w:p>
<w:p>
<w:pPr><w:pStyle w:val="Normal"/></w:pPr>
<w:r><w:t xml:space="preserve">``good spirit&apos;&apos; of cornfields and vineyards.  It was the custom</w:t></w:r>
</w:p>
<w:p>
<w:pPr><w:pStyle w:val="Normal"/></w:pPr>
<w:r><w:t xml:space="preserve">of the Greeks to drink a cup of pure wine in his honour at</w:t></w:r>
</w:p>
<w:p>
<w:pPr><w:pStyle w:val="Normal"/></w:pPr>
<w:r><w:t xml:space="preserve">the end of each meal (Aristophanes, Equites, 106).  He was</w:t></w:r>
</w:p>
<w:p>
<w:pPr><w:pStyle w:val="Normal"/></w:pPr>
<w:r><w:t xml:space="preserve">also regarded as the protecting spirit of the state and of</w:t></w:r>
</w:p>
<w:p>
<w:pPr><w:pStyle w:val="Normal"/></w:pPr>
<w:r><w:t xml:space="preserve">individuals.  He was often accompanied by &apos;Agathe Tuche</w:t></w:r>
</w:p>
<w:p>
<w:pPr><w:pStyle w:val="Normal"/></w:pPr>
<w:r><w:t xml:space="preserve">(good fortune), and in this aspect may be compared with</w:t></w:r>
</w:p>
<w:p>
<w:pPr><w:pStyle w:val="Normal"/></w:pPr>
<w:r><w:t xml:space="preserve">the Roman Bonus Eventus (Pliny, Nat Hist. xxxvi. 23), and</w:t></w:r>
</w:p>
<w:p>
<w:pPr><w:pStyle w:val="Normal"/></w:pPr>
<w:r><w:t xml:space="preserve">Genius.  He is represented in works of art in the form of a</w:t></w:r>
</w:p>
<w:p>
<w:pPr><w:pStyle w:val="Normal"/></w:pPr>
<w:r><w:t xml:space="preserve">serpent, or of a young man with a cornucopia and a bowl</w:t></w:r>
</w:p>
<w:p>
<w:pPr><w:pStyle w:val="Normal"/></w:pPr>
<w:r><w:t xml:space="preserve">in one hand, and a poppy and ears of corn in the other.</w:t></w:r>
</w:p>
<w:p>
<w:pPr><w:pStyle w:val="Normal"/></w:pPr>
<w:r><w:t xml:space="preserve">See Gerhard, Uber Agathodamon und Bona Dea (Berlin, 1849).</w:t></w:r>
</w:p>
<w:p>
<w:pPr><w:pStyle w:val="Normal"/></w:pPr>
<w:r><w:t xml:space="preserve">AGATHODAEMON, of Alexandria, map designer, probably lived</w:t></w:r>
</w:p>
<w:p>
<w:pPr><w:pStyle w:val="Normal"/></w:pPr>
<w:r><w:t xml:space="preserve">in the 2nd century A.D. Some MSS. of the Geography of</w:t></w:r>
</w:p>
<w:p>
<w:pPr><w:pStyle w:val="Normal"/></w:pPr>
<w:r><w:t xml:space="preserve">Ptolemy contain twenty-seven maps, which are stated to have</w:t></w:r>
</w:p>
<w:p>
<w:pPr><w:pStyle w:val="Normal"/></w:pPr>
<w:r><w:t xml:space="preserve">been drawn by Agathodaemon of Alexandria, who ``delineated</w:t></w:r>
</w:p>
<w:p>
<w:pPr><w:pStyle w:val="Normal"/></w:pPr>
<w:r><w:t xml:space="preserve">the whole world according to the eight books of Ptolemy&apos;s</w:t></w:r>
</w:p>
<w:p>
<w:pPr><w:pStyle w:val="Normal"/></w:pPr>
<w:r><w:t xml:space="preserve">geography.&apos;&apos; As Ptolemy speaks of IIinakes to accompany his</w:t></w:r>
</w:p>
<w:p>
<w:pPr><w:pStyle w:val="Normal"/></w:pPr>
<w:r><w:t xml:space="preserve">treatise, these maps were probably the work of a contemporary</w:t></w:r>
</w:p>
<w:p>
<w:pPr><w:pStyle w:val="Normal"/></w:pPr>
<w:r><w:t xml:space="preserve">acting under his instructions.  About 1470 Nicolaus Doris,</w:t></w:r>
</w:p>
<w:p>
<w:pPr><w:pStyle w:val="Normal"/></w:pPr>
<w:r><w:t xml:space="preserve">a Benedictine monk, brought out a revised edition of</w:t></w:r>
</w:p>
<w:p>
<w:pPr><w:pStyle w:val="Normal"/></w:pPr>
<w:r><w:t xml:space="preserve">them, the names being inserted in Latin instead of Greek.</w:t></w:r>
</w:p>
<w:p>
<w:pPr><w:pStyle w:val="Normal"/></w:pPr>
<w:r><w:t xml:space="preserve">See Bunbury, History of Ancient Geography, ii.</w:t></w:r>
</w:p>
<w:p>
<w:pPr><w:pStyle w:val="Normal"/></w:pPr>
<w:r><w:t xml:space="preserve">AGATHON (c. 448-400 B.C.), Athenian tragic poet, friend of</w:t></w:r>
</w:p>
<w:p>
<w:pPr><w:pStyle w:val="Normal"/></w:pPr>
<w:r><w:t xml:space="preserve">Euripides and Plato, best known from his mention by Aristophanes</w:t></w:r>
</w:p>
<w:p>
<w:pPr><w:pStyle w:val="Normal"/></w:pPr>
<w:r><w:t xml:space="preserve">(Thesmophoriazusae) and in Plato&apos;s Symposium, which describes</w:t></w:r>
</w:p>
<w:p>
<w:pPr><w:pStyle w:val="Normal"/></w:pPr>
<w:r><w:t xml:space="preserve">the banquet given to celebrate his obtaining a prize for a tragedy</w:t></w:r>
</w:p>
<w:p>
<w:pPr><w:pStyle w:val="Normal"/></w:pPr>
<w:r><w:t xml:space="preserve">(416).  He probably died at the court of Archelaus, king of</w:t></w:r>
</w:p>
<w:p>
<w:pPr><w:pStyle w:val="Normal"/></w:pPr>
<w:r><w:t xml:space="preserve">Macedonia.  He introduced certain innovations, and Aristotle</w:t></w:r>
</w:p>
<w:p>
<w:pPr><w:pStyle w:val="Normal"/></w:pPr>
<w:r><w:t xml:space="preserve">(Poetica, 9) tells us that the plot of his 0Antho1 was</w:t></w:r>
</w:p>
<w:p>
<w:pPr><w:pStyle w:val="Normal"/></w:pPr>
<w:r><w:t xml:space="preserve">original, not, as usually, borrowed from mythological subjects.</w:t></w:r>
</w:p>
<w:p>
<w:pPr><w:pStyle w:val="Normal"/></w:pPr>
<w:r><w:t xml:space="preserve">See Aristophanes, Thesmoph. 59, 106, Eccles. 100; Plato, Symp.</w:t></w:r>
</w:p>
<w:p>
<w:pPr><w:pStyle w:val="Normal"/></w:pPr>
<w:r><w:t xml:space="preserve">198 c; Plutarch, Symp. 3; Aelian, Var. Hist. xiv. 13; Ritsch,</w:t></w:r>
</w:p>
<w:p>
<w:pPr><w:pStyle w:val="Normal"/></w:pPr>
<w:r><w:t xml:space="preserve">Opuscula, i.; fragments in Nauck, Tragicorum Graecorum Fragmenta.</w:t></w:r>
</w:p>
<w:p>
<w:pPr><w:pStyle w:val="Normal"/></w:pPr>
<w:r><w:t xml:space="preserve">AGATHYRSI, a people of Thracian origin, who in the earliest</w:t></w:r>
</w:p>
<w:p>
<w:pPr><w:pStyle w:val="Normal"/></w:pPr>
<w:r><w:t xml:space="preserve">historical times occupied the plain of the Maris (Maros), in</w:t></w:r>
</w:p>
<w:p>
<w:pPr><w:pStyle w:val="Normal"/></w:pPr>
<w:r><w:t xml:space="preserve">the region now known as Transylvania.  Thyrsi is supposed to</w:t></w:r>
</w:p>
<w:p>
<w:pPr><w:pStyle w:val="Normal"/></w:pPr>
<w:r><w:t xml:space="preserve">be a Scythian form of Trausoi (Trausi), a Thracian tribe</w:t></w:r>
</w:p>
<w:p>
<w:pPr><w:pStyle w:val="Normal"/></w:pPr>
<w:r><w:t xml:space="preserve">mentioned by Stephanus of Byzantium.  They are described</w:t></w:r>
</w:p>
<w:p>
<w:pPr><w:pStyle w:val="Normal"/></w:pPr>
<w:r><w:t xml:space="preserve">by Herodotus (iv. 104) as of luxurious habits, wearing gold</w:t></w:r>
</w:p>
<w:p>
<w:pPr><w:pStyle w:val="Normal"/></w:pPr>
<w:r><w:t xml:space="preserve">ornaments (the district is still auriferous) and having wives in</w:t></w:r>
</w:p>
<w:p>
<w:pPr><w:pStyle w:val="Normal"/></w:pPr>
<w:r><w:t xml:space="preserve">common.  They tattooed their bodies (picti, Aeneid iv. 136),</w:t></w:r>
</w:p>
<w:p>
<w:pPr><w:pStyle w:val="Normal"/></w:pPr>
<w:r><w:t xml:space="preserve">degrees of rank being indicated by the manner in which this</w:t></w:r>
</w:p>
<w:p>
<w:pPr><w:pStyle w:val="Normal"/></w:pPr>
<w:r><w:t xml:space="preserve">was done, and coloured their hair dark blue.  Like the Gallic</w:t></w:r>
</w:p>
<w:p>
<w:pPr><w:pStyle w:val="Normal"/></w:pPr>
<w:r><w:t xml:space="preserve">Druids, they recited their laws in a kind of sing-song to</w:t></w:r>
</w:p>
<w:p>
<w:pPr><w:pStyle w:val="Normal"/></w:pPr>
<w:r><w:t xml:space="preserve">prevent their being forgotten, a practice still in existence</w:t></w:r>
</w:p>
<w:p>
<w:pPr><w:pStyle w:val="Normal"/></w:pPr>
<w:r><w:t xml:space="preserve">in the days of Aristotle (Problemata, xix. 28). Valerius</w:t></w:r>
</w:p>
<w:p>
<w:pPr><w:pStyle w:val="Normal"/></w:pPr>
<w:r><w:t xml:space="preserve">Flaccus (Argonautica, vi. 135) calls them Thyrsagetae,</w:t></w:r>
</w:p>
<w:p>
<w:pPr><w:pStyle w:val="Normal"/></w:pPr>
<w:r><w:t xml:space="preserve">probably in reference to their celebration of orgiastic rites</w:t></w:r>
</w:p>
<w:p>
<w:pPr><w:pStyle w:val="Normal"/></w:pPr>
<w:r><w:t xml:space="preserve">in honour of some divinity akin to the Thracian Dionysus.</w:t></w:r>
</w:p>
<w:p>
<w:pPr><w:pStyle w:val="Normal"/></w:pPr>
<w:r><w:t xml:space="preserve">In later times the Agathyrsi were driven farther north, and</w:t></w:r>
</w:p>
<w:p>
<w:pPr><w:pStyle w:val="Normal"/></w:pPr>
<w:r><w:t xml:space="preserve">their name was unknown to the Romans in their original home.</w:t></w:r>
</w:p>
<w:p>
<w:pPr><w:pStyle w:val="Normal"/></w:pPr>
<w:r><w:t xml:space="preserve">[26]. 88; Pomponius Mela ii. 1. 10: W. Tomaschek, ``Die alten</w:t></w:r>
</w:p>
<w:p>
<w:pPr><w:pStyle w:val="Normal"/></w:pPr>
<w:r><w:t xml:space="preserve">Thraker,&apos;&apos; in Sitzungsber. der philosophisch-historischen</w:t></w:r>
</w:p>
<w:p>
<w:pPr><w:pStyle w:val="Normal"/></w:pPr>
<w:r><w:t xml:space="preserve">Klasse der kaiserl.  Akad. der Wiss. cxxviii. (Vienna, 1893).</w:t></w:r>
</w:p>
<w:p>
<w:pPr><w:pStyle w:val="Normal"/></w:pPr>
<w:r><w:t xml:space="preserve">AGAVE, a large botanical genus of the natural order Amaryllidaceae,</w:t></w:r>
</w:p>
<w:p>
<w:pPr><w:pStyle w:val="Normal"/></w:pPr>
<w:r><w:t xml:space="preserve">chiefly Mexican, but occurring also in the southern and western</w:t></w:r>
</w:p>
<w:p>
<w:pPr><w:pStyle w:val="Normal"/></w:pPr>
<w:r><w:t xml:space="preserve">United States and in central and tropical South America.  The</w:t></w:r>
</w:p>
<w:p>
<w:pPr><w:pStyle w:val="Normal"/></w:pPr>
<w:r><w:t xml:space="preserve">plants have a large rosette of thick fleshy leaves generally</w:t></w:r>
</w:p>
<w:p>
<w:pPr><w:pStyle w:val="Normal"/></w:pPr>
<w:r><w:t xml:space="preserve">ending in a sharp point and with a spiny margin; the stout</w:t></w:r>
</w:p>
<w:p>
<w:pPr><w:pStyle w:val="Normal"/></w:pPr>
<w:r><w:t xml:space="preserve">stem is usually short, the leaves apparently springing from the</w:t></w:r>
</w:p>
<w:p>
<w:pPr><w:pStyle w:val="Normal"/></w:pPr>
<w:r><w:t xml:space="preserve">root.  They grow slowly and flower but once after a number of</w:t></w:r>
</w:p>
<w:p>
<w:pPr><w:pStyle w:val="Normal"/></w:pPr>
<w:r><w:t xml:space="preserve">years, when a tall stem or ``mast&apos;&apos; grows from the centre of</w:t></w:r>
</w:p>
<w:p>
<w:pPr><w:pStyle w:val="Normal"/></w:pPr>
<w:r><w:t xml:space="preserve">the leaf rosette and bears a large number of shortly tubular</w:t></w:r>
</w:p>
<w:p>
<w:pPr><w:pStyle w:val="Normal"/></w:pPr>
<w:r><w:t xml:space="preserve">flowers.  After development of fruit the plant dies down,</w:t></w:r>
</w:p>
<w:p>
<w:pPr><w:pStyle w:val="Normal"/></w:pPr>
<w:r><w:t xml:space="preserve">but suckers are frequently produced from the base of the</w:t></w:r>
</w:p>
<w:p>
<w:pPr><w:pStyle w:val="Normal"/></w:pPr>
<w:r><w:t xml:space="preserve">stem which become new plants.  The most familiar species is</w:t></w:r>
</w:p>
<w:p>
<w:pPr><w:pStyle w:val="Normal"/></w:pPr>
<w:r><w:t xml:space="preserve">Agave americana (see fig.), a native of tropical America,</w:t></w:r>
</w:p>
<w:p>
<w:pPr><w:pStyle w:val="Normal"/></w:pPr>
<w:r><w:t xml:space="preserve">the so-called century plant or American aloe (the maguey of</w:t></w:r>
</w:p>
<w:p>
<w:pPr><w:pStyle w:val="Normal"/></w:pPr>
<w:r><w:t xml:space="preserve">Mexico).  The number of years before flowering occurs depends</w:t></w:r>
</w:p>
<w:p>
<w:pPr><w:pStyle w:val="Normal"/></w:pPr>
<w:r><w:t xml:space="preserve">on the vigour of the individual, the richness of the soil</w:t></w:r>
</w:p>
<w:p>
<w:pPr><w:pStyle w:val="Normal"/></w:pPr>
<w:r><w:t xml:space="preserve">and the climate; during these years the plant is storing in</w:t></w:r>
</w:p>
<w:p>
<w:pPr><w:pStyle w:val="Normal"/></w:pPr>
<w:r><w:t xml:space="preserve">its fleshy leaves the nourishment required for the effort of</w:t></w:r>
</w:p>
<w:p>
<w:pPr><w:pStyle w:val="Normal"/></w:pPr>
<w:r><w:t xml:space="preserve">flowering.  During the development of the inflorescence there</w:t></w:r>
</w:p>
<w:p>
<w:pPr><w:pStyle w:val="Normal"/></w:pPr>
<w:r><w:t xml:space="preserve">is a rush of sap to the base of the young flowerstalk.  In</w:t></w:r>
</w:p>
<w:p>
<w:pPr><w:pStyle w:val="Normal"/></w:pPr>
<w:r><w:t xml:space="preserve">the case of A. americana and other species this is used by</w:t></w:r>
</w:p>
<w:p>
<w:pPr><w:pStyle w:val="Normal"/></w:pPr>
<w:r><w:t xml:space="preserve">the Mexicans to make their national beverage, pulque; the</w:t></w:r>
</w:p>
<w:p>
<w:pPr><w:pStyle w:val="Normal"/></w:pPr>
<w:r><w:t xml:space="preserve">flower shoot is cut out and the sap collected and subsequently</w:t></w:r>
</w:p>
<w:p>
<w:pPr><w:pStyle w:val="Normal"/></w:pPr>
<w:r><w:t xml:space="preserve">fermented.  By distillation a spirit called mescal is</w:t></w:r>
</w:p>
<w:p>
<w:pPr><w:pStyle w:val="Normal"/></w:pPr>
<w:r><w:t xml:space="preserve">prepared.  The leaves of several species yield fibre, as for</w:t></w:r>
</w:p>
<w:p>
<w:pPr><w:pStyle w:val="Normal"/></w:pPr>
<w:r><w:t xml:space="preserve">instance, A. rigida var. sisalana, sisal hemp (q.v.),</w:t></w:r>
</w:p>
<w:p>
<w:pPr><w:pStyle w:val="Normal"/></w:pPr>
<w:r><w:t xml:space="preserve">A. decipiens, false sisal hemp; A. americana is the</w:t></w:r>
</w:p>
<w:p>
<w:pPr><w:pStyle w:val="Normal"/></w:pPr>
<w:r><w:t xml:space="preserve">source of pita fibre, and is used as a fibre plant in</w:t></w:r>
</w:p>
<w:p>
<w:pPr><w:pStyle w:val="Normal"/></w:pPr>
<w:r><w:t xml:space="preserve">Mexico, the West Indies and southern Europe.  The flowering</w:t></w:r>
</w:p>
<w:p>
<w:pPr><w:pStyle w:val="Normal"/></w:pPr>
<w:r><w:t xml:space="preserve">stem of the last named, dried and cut in slices, forms</w:t></w:r>
</w:p>
<w:p>
<w:pPr><w:pStyle w:val="Normal"/></w:pPr>
<w:r><w:t xml:space="preserve">Agave americana, Century plant or American aloe.  About</w:t></w:r>
</w:p>
<w:p>
<w:pPr><w:pStyle w:val="Normal"/></w:pPr>
<w:r><w:t xml:space="preserve">1/40 nat. size. 1, Flower; 2, same flower split open above the</w:t></w:r>
</w:p>
<w:p>
<w:pPr><w:pStyle w:val="Normal"/></w:pPr>
<w:r><w:t xml:space="preserve">ovary; 3, ovary cut across; 1, 2, and 3, about  1/2 nat. size.</w:t></w:r>
</w:p>
<w:p>
<w:pPr><w:pStyle w:val="Normal"/></w:pPr>
<w:r><w:t xml:space="preserve">From the Botanical Magazine, by permission of Lovell Reeve and Co.</w:t></w:r>
</w:p>
<w:p>
<w:pPr><w:pStyle w:val="Normal"/></w:pPr>
<w:r><w:t xml:space="preserve">natural razor strops, and the expressed juice of the leaves</w:t></w:r>
</w:p>
<w:p>
<w:pPr><w:pStyle w:val="Normal"/></w:pPr>
<w:r><w:t xml:space="preserve">will lather in water like soap.  In the Madras Presidency</w:t></w:r>
</w:p>
<w:p>
<w:pPr><w:pStyle w:val="Normal"/></w:pPr>
<w:r><w:t xml:space="preserve">the plant is extensively used for hedges along railroads.</w:t></w:r>
</w:p>
<w:p>
<w:pPr><w:pStyle w:val="Normal"/></w:pPr>
<w:r><w:t xml:space="preserve">Agave americana, century plant, was introduced into Europe</w:t></w:r>
</w:p>
<w:p>
<w:pPr><w:pStyle w:val="Normal"/></w:pPr>
<w:r><w:t xml:space="preserve">about the middle of the 16th century and is now widely</w:t></w:r>
</w:p>
<w:p>
<w:pPr><w:pStyle w:val="Normal"/></w:pPr>
<w:r><w:t xml:space="preserve">cultivated for its handsome appearance; in the variegated</w:t></w:r>
</w:p>
<w:p>
<w:pPr><w:pStyle w:val="Normal"/></w:pPr>
<w:r><w:t xml:space="preserve">forms the leaf has a white or yellow marginal or central</w:t></w:r>
</w:p>
<w:p>
<w:pPr><w:pStyle w:val="Normal"/></w:pPr>
<w:r><w:t xml:space="preserve">stripe from base to apex.  As the leaves unfold from the</w:t></w:r>
</w:p>
<w:p>
<w:pPr><w:pStyle w:val="Normal"/></w:pPr>
<w:r><w:t xml:space="preserve">centre of the rosette the impression of the marginal spines</w:t></w:r>
</w:p>
<w:p>
<w:pPr><w:pStyle w:val="Normal"/></w:pPr>
<w:r><w:t xml:space="preserve">is very conspicuous on the still erect younger leaves.  The</w:t></w:r>
</w:p>
<w:p>
<w:pPr><w:pStyle w:val="Normal"/></w:pPr>
<w:r><w:t xml:space="preserve">plants are usually grown in tubs and put out in the summer</w:t></w:r>
</w:p>
<w:p>
<w:pPr><w:pStyle w:val="Normal"/></w:pPr>
<w:r><w:t xml:space="preserve">months, but in the winter require to be protected from</w:t></w:r>
</w:p>
<w:p>
<w:pPr><w:pStyle w:val="Normal"/></w:pPr>
<w:r><w:t xml:space="preserve">frost.  They mature very slowly and die after flowering, but</w:t></w:r>
</w:p>
<w:p>
<w:pPr><w:pStyle w:val="Normal"/></w:pPr>
<w:r><w:t xml:space="preserve">are easily propagated by the offsets from the base of the stem.</w:t></w:r>
</w:p>
<w:p>
<w:pPr><w:pStyle w:val="Normal"/></w:pPr>
<w:r><w:t xml:space="preserve">AGDE, a town of southern France, in the department of Herault,</w:t></w:r>
</w:p>
<w:p>
<w:pPr><w:pStyle w:val="Normal"/></w:pPr>
<w:r><w:t xml:space="preserve">on the left bank of the river of that name, 2 1/2 m. from the</w:t></w:r>
</w:p>
<w:p>
<w:pPr><w:pStyle w:val="Normal"/></w:pPr>
<w:r><w:t xml:space="preserve">Mediterranean Sea and 32 m.  S.W. of Montpellier on the Southern</w:t></w:r>
</w:p>
<w:p>
<w:pPr><w:pStyle w:val="Normal"/></w:pPr>
<w:r><w:t xml:space="preserve">railway.  Pop. (1906) 7146.  The town lies at the foot of</w:t></w:r>
</w:p>
<w:p>
<w:pPr><w:pStyle w:val="Normal"/></w:pPr>
<w:r><w:t xml:space="preserve">an extinct volcano, the Montagne St Loup, and is built of</w:t></w:r>
</w:p>
<w:p>
<w:pPr><w:pStyle w:val="Normal"/></w:pPr>
<w:r><w:t xml:space="preserve">black volcanic basalt, which gives it a gloomy appearance.</w:t></w:r>
</w:p>
<w:p>
<w:pPr><w:pStyle w:val="Normal"/></w:pPr>
<w:r><w:t xml:space="preserve">Overlooking the river is the church of St Andre, which dates</w:t></w:r>
</w:p>
<w:p>
<w:pPr><w:pStyle w:val="Normal"/></w:pPr>
<w:r><w:t xml:space="preserve">partly from the 12th century, and, till the Revolution, was a</w:t></w:r>
</w:p>
<w:p>
<w:pPr><w:pStyle w:val="Normal"/></w:pPr>
<w:r><w:t xml:space="preserve">cathedral.  It is a plain and massive structure with crenelated</w:t></w:r>
</w:p>
<w:p>
<w:pPr><w:pStyle w:val="Normal"/></w:pPr>
<w:r><w:t xml:space="preserve">walls, and has the aspect of a fortress rather than of a</w:t></w:r>
</w:p>
<w:p>
<w:pPr><w:pStyle w:val="Normal"/></w:pPr>
<w:r><w:t xml:space="preserve">church.  The exterior is diversified by arched recesses forming</w:t></w:r>
</w:p>
<w:p>
<w:pPr><w:pStyle w:val="Normal"/></w:pPr>
<w:r><w:t xml:space="preserve">machicolations, and the same architectural feature is reproduced</w:t></w:r>
</w:p>
<w:p>
<w:pPr><w:pStyle w:val="Normal"/></w:pPr>
<w:r><w:t xml:space="preserve">in the square tower which rises like a donjon above the</w:t></w:r>
</w:p>
<w:p>
<w:pPr><w:pStyle w:val="Normal"/></w:pPr>
<w:r><w:t xml:space="preserve">building.  The Canal du Midi, or Languedoc canal, uniting the</w:t></w:r>
</w:p>
<w:p>
<w:pPr><w:pStyle w:val="Normal"/></w:pPr>
<w:r><w:t xml:space="preserve">Garonne with the Mediterranean, passes under the walls of the</w:t></w:r>
</w:p>
<w:p>
<w:pPr><w:pStyle w:val="Normal"/></w:pPr>
<w:r><w:t xml:space="preserve">town, and the mouth of the Herault forms a harbour which is</w:t></w:r>
</w:p>
<w:p>
<w:pPr><w:pStyle w:val="Normal"/></w:pPr>
<w:r><w:t xml:space="preserve">protected by a fort.  The maritime commerce of the town has</w:t></w:r>
</w:p>
<w:p>
<w:pPr><w:pStyle w:val="Normal"/></w:pPr>
<w:r><w:t xml:space="preserve">declined, owing partly to the neighbourhood of Cette, partly</w:t></w:r>
</w:p>
<w:p>
<w:pPr><w:pStyle w:val="Normal"/></w:pPr>
<w:r><w:t xml:space="preserve">to the shallowness of the Herault.  The fishing industry</w:t></w:r>
</w:p>
<w:p>
<w:pPr><w:pStyle w:val="Normal"/></w:pPr>
<w:r><w:t xml:space="preserve">is, however, still active.  The chief public institutions</w:t></w:r>
</w:p>
<w:p>
<w:pPr><w:pStyle w:val="Normal"/></w:pPr>
<w:r><w:t xml:space="preserve">are the tribunal of commerce and the communal college.</w:t></w:r>
</w:p>
<w:p>
<w:pPr><w:pStyle w:val="Normal"/></w:pPr>
<w:r><w:t xml:space="preserve">Agde is a place of great antiquity and is said to have</w:t></w:r>
</w:p>
<w:p>
<w:pPr><w:pStyle w:val="Normal"/></w:pPr>
<w:r><w:t xml:space="preserve">been founded under the name of agathe polis (Good</w:t></w:r>
</w:p>
<w:p>
<w:pPr><w:pStyle w:val="Normal"/></w:pPr>
<w:r><w:t xml:space="preserve">City) by the Phocaeans.  The bishopric was established</w:t></w:r>
</w:p>
<w:p>
<w:pPr><w:pStyle w:val="Normal"/></w:pPr>
<w:r><w:t xml:space="preserve">about the year 400 and was suppressed in 1790.</w:t></w:r>
</w:p>
<w:p>
<w:pPr><w:pStyle w:val="Normal"/></w:pPr>
<w:r><w:t xml:space="preserve">SYNOD OF AGDE (Concilium Agathense.)--With the permission</w:t></w:r>
</w:p>
<w:p>
<w:pPr><w:pStyle w:val="Normal"/></w:pPr>
<w:r><w:t xml:space="preserve">of the West Goth Alaric II. thirty-five bishops of southern</w:t></w:r>
</w:p>
<w:p>
<w:pPr><w:pStyle w:val="Normal"/></w:pPr>
<w:r><w:t xml:space="preserve">Gaul assembled in person or sent deputies to Agde on the 11th</w:t></w:r>
</w:p>
<w:p>
<w:pPr><w:pStyle w:val="Normal"/></w:pPr>
<w:r><w:t xml:space="preserve">of September 506. Caesarius, bishop of Arles, presided.  The</w:t></w:r>
</w:p>
<w:p>
<w:pPr><w:pStyle w:val="Normal"/></w:pPr>
<w:r><w:t xml:space="preserve">forty seven genuine canons of the synod deal with discipline,</w:t></w:r>
</w:p>
<w:p>
<w:pPr><w:pStyle w:val="Normal"/></w:pPr>
<w:r><w:t xml:space="preserve">church life, the alienation of ecclesiastical property and</w:t></w:r>
</w:p>
<w:p>
<w:pPr><w:pStyle w:val="Normal"/></w:pPr>
<w:r><w:t xml:space="preserve">the treatment of Jews.  While favouring sacerdotal celibacy</w:t></w:r>
</w:p>
<w:p>
<w:pPr><w:pStyle w:val="Normal"/></w:pPr>
<w:r><w:t xml:space="preserve">the council laid rather rigid restrictions on monasticism.  It</w:t></w:r>
</w:p>
<w:p>
<w:pPr><w:pStyle w:val="Normal"/></w:pPr>
<w:r><w:t xml:space="preserve">commanded that the laity communicate at Christmas, Easter and</w:t></w:r>
</w:p>
<w:p>
<w:pPr><w:pStyle w:val="Normal"/></w:pPr>
<w:r><w:t xml:space="preserve">Whitsuntide.  The canons of Agde are based in part on earlier</w:t></w:r>
</w:p>
<w:p>
<w:pPr><w:pStyle w:val="Normal"/></w:pPr>
<w:r><w:t xml:space="preserve">Gallic, African and Spanish legislation; and some of them</w:t></w:r>
</w:p>
<w:p>
<w:pPr><w:pStyle w:val="Normal"/></w:pPr>
<w:r><w:t xml:space="preserve">were re-enacted by later councils, and found their way into</w:t></w:r>
</w:p>
<w:p>
<w:pPr><w:pStyle w:val="Normal"/></w:pPr>
<w:r><w:t xml:space="preserve">collections such as the Hispana, Pseudo-Isidore and Gratian.</w:t></w:r>
</w:p>
<w:p>
<w:pPr><w:pStyle w:val="Normal"/></w:pPr>
<w:r><w:t xml:space="preserve">See Mansi viii. 319 ff.; Hefele, Conciliengeschichte,</w:t></w:r>
</w:p>
<w:p>
<w:pPr><w:pStyle w:val="Normal"/></w:pPr>
<w:r><w:t xml:space="preserve">2nd edition, ii. 649 ff. (English translation, iv.</w:t></w:r>
</w:p>
<w:p>
<w:pPr><w:pStyle w:val="Normal"/></w:pPr>
<w:r><w:t xml:space="preserve">76 ff.); Herzog-Hauck, Realencyklopadie, i. 242.</w:t></w:r>
</w:p>
<w:p>
<w:pPr><w:pStyle w:val="Normal"/></w:pPr>
<w:r><w:t xml:space="preserve">AGE (Fr. age, through late Lat. aetaticum, from</w:t></w:r>
</w:p>
<w:p>
<w:pPr><w:pStyle w:val="Normal"/></w:pPr>
<w:r><w:t xml:space="preserve">aetas), a term used (1) of the divisions into which it</w:t></w:r>
</w:p>
<w:p>
<w:pPr><w:pStyle w:val="Normal"/></w:pPr>
<w:r><w:t xml:space="preserve">is suggested that human history may be divided, whether</w:t></w:r>
</w:p>
<w:p>
<w:pPr><w:pStyle w:val="Normal"/></w:pPr>
<w:r><w:t xml:space="preserve">regarded from the geological, cultural or moral aspects,</w:t></w:r>
</w:p>
<w:p>
<w:pPr><w:pStyle w:val="Normal"/></w:pPr>
<w:r><w:t xml:space="preserve">e.g. the palaeolithic age, the bronze age, the dark ages;</w:t></w:r>
</w:p>
<w:p>
<w:pPr><w:pStyle w:val="Normal"/></w:pPr>
<w:r><w:t xml:space="preserve">(2) of an historic epoch or generation; (3) of any period</w:t></w:r>
</w:p>
<w:p>
<w:pPr><w:pStyle w:val="Normal"/></w:pPr>
<w:r><w:t xml:space="preserve">or stage in the physical life of a person, animal or thing;</w:t></w:r>
</w:p>
<w:p>
<w:pPr><w:pStyle w:val="Normal"/></w:pPr>
<w:r><w:t xml:space="preserve">(4) of that time of life at which the law attributes full</w:t></w:r>
</w:p>
<w:p>
<w:pPr><w:pStyle w:val="Normal"/></w:pPr>
<w:r><w:t xml:space="preserve">responsibility for his or her acts to the individual.</w:t></w:r>
</w:p>
<w:p>
<w:pPr><w:pStyle w:val="Normal"/></w:pPr>
<w:r><w:t xml:space="preserve">(1) From the earliest times there would appear to have been</w:t></w:r>
</w:p>
<w:p>
<w:pPr><w:pStyle w:val="Normal"/></w:pPr>
<w:r><w:t xml:space="preserve">the belief that the history of the earth and of mankind</w:t></w:r>
</w:p>
<w:p>
<w:pPr><w:pStyle w:val="Normal"/></w:pPr>
<w:r><w:t xml:space="preserve">falls naturally into periods or ages.  Classical mythology</w:t></w:r>
</w:p>
<w:p>
<w:pPr><w:pStyle w:val="Normal"/></w:pPr>
<w:r><w:t xml:space="preserve">popularized the idea.  Hesiod, for example, in his poem Works</w:t></w:r>
</w:p>
<w:p>
<w:pPr><w:pStyle w:val="Normal"/></w:pPr>
<w:r><w:t xml:space="preserve">and Days, describes minutely five successive ages, during</w:t></w:r>
</w:p>
<w:p>
<w:pPr><w:pStyle w:val="Normal"/></w:pPr>
<w:r><w:t xml:space="preserve">each of which the earth was peopled by an entirely distinct</w:t></w:r>
</w:p>
<w:p>
<w:pPr><w:pStyle w:val="Normal"/></w:pPr>
<w:r><w:t xml:space="preserve">race.  The first or golden race lived in perfect happiness</w:t></w:r>
</w:p>
<w:p>
<w:pPr><w:pStyle w:val="Normal"/></w:pPr>
<w:r><w:t xml:space="preserve">on the fruits of the untilled earth, suffered from no bodily</w:t></w:r>
</w:p>
<w:p>
<w:pPr><w:pStyle w:val="Normal"/></w:pPr>
<w:r><w:t xml:space="preserve">infirmity, passed away in a gentle sleep, and became after</w:t></w:r>
</w:p>
<w:p>
<w:pPr><w:pStyle w:val="Normal"/></w:pPr>
<w:r><w:t xml:space="preserve">death guardian daemons of this world.  The second or silver</w:t></w:r>
</w:p>
<w:p>
<w:pPr><w:pStyle w:val="Normal"/></w:pPr>
<w:r><w:t xml:space="preserve">race was degenerate, and refusing to worship the immortal</w:t></w:r>
</w:p>
<w:p>
<w:pPr><w:pStyle w:val="Normal"/></w:pPr>
<w:r><w:t xml:space="preserve">gods, was buried by Jove in the earth.  The third or brazen</w:t></w:r>
</w:p>
<w:p>
<w:pPr><w:pStyle w:val="Normal"/></w:pPr>
<w:r><w:t xml:space="preserve">race, still more degraded, was warlike and cruel, and perished</w:t></w:r>
</w:p>
<w:p>
<w:pPr><w:pStyle w:val="Normal"/></w:pPr>
<w:r><w:t xml:space="preserve">at last by internal violence.  The fourth or heroic race</w:t></w:r>
</w:p>
<w:p>
<w:pPr><w:pStyle w:val="Normal"/></w:pPr>
<w:r><w:t xml:space="preserve">was a marked advance upon the preceding, its members being</w:t></w:r>
</w:p>
<w:p>
<w:pPr><w:pStyle w:val="Normal"/></w:pPr>
<w:r><w:t xml:space="preserve">the heroes or demi-gods who fought at Troy and Thebes, and who</w:t></w:r>
</w:p>
<w:p>
<w:pPr><w:pStyle w:val="Normal"/></w:pPr>
<w:r><w:t xml:space="preserve">were rewarded after death by being permitted to reap thrice</w:t></w:r>
</w:p>
<w:p>
<w:pPr><w:pStyle w:val="Normal"/></w:pPr>
<w:r><w:t xml:space="preserve">a year the free produce of the earth.  The fifth or iron</w:t></w:r>
</w:p>
<w:p>
<w:pPr><w:pStyle w:val="Normal"/></w:pPr>
<w:r><w:t xml:space="preserve">race, to which the poet supposes himself to belong, is the</w:t></w:r>
</w:p>
<w:p>
<w:pPr><w:pStyle w:val="Normal"/></w:pPr>
<w:r><w:t xml:space="preserve">most degenerate of all, sunk so low in every vice that any new</w:t></w:r>
</w:p>
<w:p>
<w:pPr><w:pStyle w:val="Normal"/></w:pPr>
<w:r><w:t xml:space="preserve">change must be for the better.  Ovid, in his Metamorphoses,</w:t></w:r>
</w:p>
<w:p>
<w:pPr><w:pStyle w:val="Normal"/></w:pPr>
<w:r><w:t xml:space="preserve">follows Hesiod exactly as to nomenclature and very closely as to</w:t></w:r>
</w:p>
<w:p>
<w:pPr><w:pStyle w:val="Normal"/></w:pPr>
<w:r><w:t xml:space="preserve">substance.  He makes the degeneracy continuous, however,</w:t></w:r>
</w:p>
<w:p>
<w:pPr><w:pStyle w:val="Normal"/></w:pPr>
<w:r><w:t xml:space="preserve">by omitting the heroic race or age, which, as Grote points</w:t></w:r>
</w:p>
<w:p>
<w:pPr><w:pStyle w:val="Normal"/></w:pPr>
<w:r><w:t xml:space="preserve">out, was probably introduced by Hesiod, not as part of his</w:t></w:r>
</w:p>
<w:p>
<w:pPr><w:pStyle w:val="Normal"/></w:pPr>
<w:r><w:t xml:space="preserve">didactic plan, but from a desire to conciliate popular feeling</w:t></w:r>
</w:p>
<w:p>
<w:pPr><w:pStyle w:val="Normal"/></w:pPr>
<w:r><w:t xml:space="preserve">by including in his poem the chief myths that were already</w:t></w:r>
</w:p>
<w:p>
<w:pPr><w:pStyle w:val="Normal"/></w:pPr>
<w:r><w:t xml:space="preserve">current among the Greeks.  Varro recognized three ages: (1)</w:t></w:r>
</w:p>
<w:p>
<w:pPr><w:pStyle w:val="Normal"/></w:pPr>
<w:r><w:t xml:space="preserve">from the beginning of mankind to the Deluge, a quite indefinite</w:t></w:r>
</w:p>
<w:p>
<w:pPr><w:pStyle w:val="Normal"/></w:pPr>
<w:r><w:t xml:space="preserve">period; (2) from the Deluge to the First Olympiad, called the</w:t></w:r>
</w:p>
<w:p>
<w:pPr><w:pStyle w:val="Normal"/></w:pPr>
<w:r><w:t xml:space="preserve">Mythical Period; (3) from the First Olympiad to his own time,</w:t></w:r>
</w:p>
<w:p>
<w:pPr><w:pStyle w:val="Normal"/></w:pPr>
<w:r><w:t xml:space="preserve">called the Historic Period.  Lucretius divided man&apos;s history</w:t></w:r>
</w:p>
<w:p>
<w:pPr><w:pStyle w:val="Normal"/></w:pPr>
<w:r><w:t xml:space="preserve">into three cultural periods: (1) the Age of Stone; (2) the</w:t></w:r>
</w:p>
<w:p>
<w:pPr><w:pStyle w:val="Normal"/></w:pPr>
<w:r><w:t xml:space="preserve">Age of Bronze; (3) the Age of Iron.  He thus anticipated the</w:t></w:r>
</w:p>
<w:p>
<w:pPr><w:pStyle w:val="Normal"/></w:pPr>
<w:r><w:t xml:space="preserve">conclusions of some of the greatest of modern archaeologists.</w:t></w:r>
</w:p>
<w:p>
<w:pPr><w:pStyle w:val="Normal"/></w:pPr>
<w:r><w:t xml:space="preserve">(2) A definite period in history, distinguished by some</w:t></w:r>
</w:p>
<w:p>
<w:pPr><w:pStyle w:val="Normal"/></w:pPr>
<w:r><w:t xml:space="preserve">special characteristic, such as great literary activity, is</w:t></w:r>
</w:p>
<w:p>
<w:pPr><w:pStyle w:val="Normal"/></w:pPr>
<w:r><w:t xml:space="preserve">generally styled, with some appropriate epithet, an age.  It</w:t></w:r>
</w:p>
<w:p>
<w:pPr><w:pStyle w:val="Normal"/></w:pPr>
<w:r><w:t xml:space="preserve">is usual, for example, to speak of the Age of Pericles, the</w:t></w:r>
</w:p>
<w:p>
<w:pPr><w:pStyle w:val="Normal"/></w:pPr>
<w:r><w:t xml:space="preserve">Augustan, the Elizabethan or the Victorian Ages; of the Age</w:t></w:r>
</w:p>
<w:p>
<w:pPr><w:pStyle w:val="Normal"/></w:pPr>
<w:r><w:t xml:space="preserve">of the Crusades, the Dark Ages, the Middle Ages, the Age of</w:t></w:r>
</w:p>
<w:p>
<w:pPr><w:pStyle w:val="Normal"/></w:pPr>
<w:r><w:t xml:space="preserve">Steam.  Such isolated periods, with no continuity or necessary</w:t></w:r>
</w:p>
<w:p>
<w:pPr><w:pStyle w:val="Normal"/></w:pPr>
<w:r><w:t xml:space="preserve">connexion of any kind, are obviously quite distinct from the</w:t></w:r>
</w:p>
<w:p>
<w:pPr><w:pStyle w:val="Normal"/></w:pPr>
<w:r><w:t xml:space="preserve">ages or organically related periods into which philosophers have</w:t></w:r>
</w:p>
<w:p>
<w:pPr><w:pStyle w:val="Normal"/></w:pPr>
<w:r><w:t xml:space="preserve">divided the whole course of human history.  Auguste Comte, for</w:t></w:r>
</w:p>
<w:p>
<w:pPr><w:pStyle w:val="Normal"/></w:pPr>
<w:r><w:t xml:space="preserve">instance, distinguishes three ages according to the state of</w:t></w:r>
</w:p>
<w:p>
<w:pPr><w:pStyle w:val="Normal"/></w:pPr>
<w:r><w:t xml:space="preserve">knowledge in each, and he supposes that we are now entering</w:t></w:r>
</w:p>
<w:p>
<w:pPr><w:pStyle w:val="Normal"/></w:pPr>
<w:r><w:t xml:space="preserve">upon the third of these.  In the first age of his scheme</w:t></w:r>
</w:p>
<w:p>
<w:pPr><w:pStyle w:val="Normal"/></w:pPr>
<w:r><w:t xml:space="preserve">knowledge is supernatural or fictitious; in the second it is</w:t></w:r>
</w:p>
<w:p>
<w:pPr><w:pStyle w:val="Normal"/></w:pPr>
<w:r><w:t xml:space="preserve">metaphysical or abstract; in the third it is positive or</w:t></w:r>
</w:p>
<w:p>
<w:pPr><w:pStyle w:val="Normal"/></w:pPr>
<w:r><w:t xml:space="preserve">scientific.  Schemes somewhat similar have been proposed by other</w:t></w:r>
</w:p>
<w:p>
<w:pPr><w:pStyle w:val="Normal"/></w:pPr>
<w:r><w:t xml:space="preserve">philosophers, chiefly of France and Germany, and seem to be</w:t></w:r>
</w:p>
<w:p>
<w:pPr><w:pStyle w:val="Normal"/></w:pPr>
<w:r><w:t xml:space="preserve">regarded by them as essential to any complete science of history.</w:t></w:r>
</w:p>
<w:p>
<w:pPr><w:pStyle w:val="Normal"/></w:pPr>
<w:r><w:t xml:space="preserve">(3) The subject of the duration of human and animal life</w:t></w:r>
</w:p>
<w:p>
<w:pPr><w:pStyle w:val="Normal"/></w:pPr>
<w:r><w:t xml:space="preserve">does not fall within the scope of this article, and the</w:t></w:r>
</w:p>
<w:p>
<w:pPr><w:pStyle w:val="Normal"/></w:pPr>
<w:r><w:t xml:space="preserve">reader is referred to LONGEVITY. But the word ``age&apos;&apos;</w:t></w:r>
</w:p>
<w:p>
<w:pPr><w:pStyle w:val="Normal"/></w:pPr>
<w:r><w:t xml:space="preserve">has been used by physiologists to express certain natural</w:t></w:r>
</w:p>
<w:p>
<w:pPr><w:pStyle w:val="Normal"/></w:pPr>
<w:r><w:t xml:space="preserve">divisions in human development and decay.  These are usually</w:t></w:r>
</w:p>
<w:p>
<w:pPr><w:pStyle w:val="Normal"/></w:pPr>
<w:r><w:t xml:space="preserve">regarded as numbering five, viz. infancy, lasting to the</w:t></w:r>
</w:p>
<w:p>
<w:pPr><w:pStyle w:val="Normal"/></w:pPr>
<w:r><w:t xml:space="preserve">seventh year; childhood to the fourteenth; youth to</w:t></w:r>
</w:p>
<w:p>
<w:pPr><w:pStyle w:val="Normal"/></w:pPr>
<w:r><w:t xml:space="preserve">the twenty-first; adult life till fifty; and old age.</w:t></w:r>
</w:p>
<w:p>
<w:pPr><w:pStyle w:val="Normal"/></w:pPr>
<w:r><w:t xml:space="preserve">(4) The division of human life into periods for legal purposes</w:t></w:r>
</w:p>
<w:p>
<w:pPr><w:pStyle w:val="Normal"/></w:pPr>
<w:r><w:t xml:space="preserve">is naturally more sharp and definite than in physiology.  It</w:t></w:r>
</w:p>
<w:p>
<w:pPr><w:pStyle w:val="Normal"/></w:pPr>
<w:r><w:t xml:space="preserve">would be unscientific in the physiologist to name any precise</w:t></w:r>
</w:p>
<w:p>
<w:pPr><w:pStyle w:val="Normal"/></w:pPr>
<w:r><w:t xml:space="preserve">year for the transition from one of his stages to another,</w:t></w:r>
</w:p>
<w:p>
<w:pPr><w:pStyle w:val="Normal"/></w:pPr>
<w:r><w:t xml:space="preserve">inasmuch as that differs very considerably among different</w:t></w:r>
</w:p>
<w:p>
<w:pPr><w:pStyle w:val="Normal"/></w:pPr>
<w:r><w:t xml:space="preserve">nations, and even to some extent among different individuals</w:t></w:r>
</w:p>
<w:p>
<w:pPr><w:pStyle w:val="Normal"/></w:pPr>
<w:r><w:t xml:space="preserve">of the same nation.  But the law must necessarily be fixed and</w:t></w:r>
</w:p>
<w:p>
<w:pPr><w:pStyle w:val="Normal"/></w:pPr>
<w:r><w:t xml:space="preserve">uniform, and even where it professes to proceed according to</w:t></w:r>
</w:p>
<w:p>
<w:pPr><w:pStyle w:val="Normal"/></w:pPr>
<w:r><w:t xml:space="preserve">nature, must be more precise than nature.  The Roman law divided</w:t></w:r>
</w:p>
<w:p>
<w:pPr><w:pStyle w:val="Normal"/></w:pPr>
<w:r><w:t xml:space="preserve">human life for its purposes into four chief periods, which</w:t></w:r>
</w:p>
<w:p>
<w:pPr><w:pStyle w:val="Normal"/></w:pPr>
<w:r><w:t xml:space="preserve">had their subdivisions--(1) infantia, lasting till the close</w:t></w:r>
</w:p>
<w:p>
<w:pPr><w:pStyle w:val="Normal"/></w:pPr>
<w:r><w:t xml:space="preserve">of the seventh year; (2) the period between infantia and</w:t></w:r>
</w:p>
<w:p>
<w:pPr><w:pStyle w:val="Normal"/></w:pPr>
<w:r><w:t xml:space="preserve">pubertas, males becoming puberes at fourteen and females</w:t></w:r>
</w:p>
<w:p>
<w:pPr><w:pStyle w:val="Normal"/></w:pPr>
<w:r><w:t xml:space="preserve">at twelve; (3) adolescentia, the period between puberty</w:t></w:r>
</w:p>
<w:p>
<w:pPr><w:pStyle w:val="Normal"/></w:pPr>
<w:r><w:t xml:space="preserve">and majority; and (4) the period after the twenty-fifth year,</w:t></w:r>
</w:p>
<w:p>
<w:pPr><w:pStyle w:val="Normal"/></w:pPr>
<w:r><w:t xml:space="preserve">when males became majores. The first period was one of total</w:t></w:r>
</w:p>
<w:p>
<w:pPr><w:pStyle w:val="Normal"/></w:pPr>
<w:r><w:t xml:space="preserve">legal incapacity; in the second period a person could lawfully</w:t></w:r>
</w:p>
<w:p>
<w:pPr><w:pStyle w:val="Normal"/></w:pPr>
<w:r><w:t xml:space="preserve">do certain specified acts, but only with the sanction of his</w:t></w:r>
</w:p>
<w:p>
<w:pPr><w:pStyle w:val="Normal"/></w:pPr>
<w:r><w:t xml:space="preserve">tutor or guardian; in the third the restrictions were fewer,</w:t></w:r>
</w:p>
<w:p>
<w:pPr><w:pStyle w:val="Normal"/></w:pPr>
<w:r><w:t xml:space="preserve">males being permitted to manage their own property, contract</w:t></w:r>
</w:p>
<w:p>
<w:pPr><w:pStyle w:val="Normal"/></w:pPr>
<w:r><w:t xml:space="preserve">marriage and make a will; but majority was not reached until</w:t></w:r>
</w:p>
<w:p>
<w:pPr><w:pStyle w:val="Normal"/></w:pPr>
<w:r><w:t xml:space="preserve">the age of twenty-five.  By English law there are two great</w:t></w:r>
</w:p>
<w:p>
<w:pPr><w:pStyle w:val="Normal"/></w:pPr>
<w:r><w:t xml:space="preserve">periods into which life is divided--infancy, which lasts</w:t></w:r>
</w:p>
<w:p>
<w:pPr><w:pStyle w:val="Normal"/></w:pPr>
<w:r><w:t xml:space="preserve">in both sexes until the twenty-first year, and manhood or</w:t></w:r>
</w:p>
<w:p>
<w:pPr><w:pStyle w:val="Normal"/></w:pPr>
<w:r><w:t xml:space="preserve">womanhood.  The period of infancy, again, is divided into several</w:t></w:r>
</w:p>
<w:p>
<w:pPr><w:pStyle w:val="Normal"/></w:pPr>
<w:r><w:t xml:space="preserve">stages, marked by the growing development both of rights and</w:t></w:r>
</w:p>
<w:p>
<w:pPr><w:pStyle w:val="Normal"/></w:pPr>
<w:r><w:t xml:space="preserve">obligations.  Thus at twelve years of age a male may take</w:t></w:r>
</w:p>
<w:p>
<w:pPr><w:pStyle w:val="Normal"/></w:pPr>
<w:r><w:t xml:space="preserve">the oath of allegiance; at fourteen both sexes are held</w:t></w:r>
</w:p>
<w:p>
<w:pPr><w:pStyle w:val="Normal"/></w:pPr>
<w:r><w:t xml:space="preserve">to have arrived at years of discretion, and may therefore</w:t></w:r>
</w:p>
<w:p>
<w:pPr><w:pStyle w:val="Normal"/></w:pPr>
<w:r><w:t xml:space="preserve">choose guardians, give evidence and consent or disagree to a</w:t></w:r>
</w:p>
<w:p>
<w:pPr><w:pStyle w:val="Normal"/></w:pPr>
<w:r><w:t xml:space="preserve">marriage.  A female has the last privilege from the twelfth</w:t></w:r>
</w:p>
<w:p>
<w:pPr><w:pStyle w:val="Normal"/></w:pPr>
<w:r><w:t xml:space="preserve">year, but the marriage cannot be celebrated until the majority</w:t></w:r>
</w:p>
<w:p>
<w:pPr><w:pStyle w:val="Normal"/></w:pPr>
<w:r><w:t xml:space="preserve">of the parties without the consent of parents or guardians.  At</w:t></w:r>
</w:p>
<w:p>
<w:pPr><w:pStyle w:val="Normal"/></w:pPr>
<w:r><w:t xml:space="preserve">fourteen, too, both sexes are fully responsible to the criminal</w:t></w:r>
</w:p>
<w:p>
<w:pPr><w:pStyle w:val="Normal"/></w:pPr>
<w:r><w:t xml:space="preserve">law.  Between seven and fourteen there is responsibility only</w:t></w:r>
</w:p>
<w:p>
<w:pPr><w:pStyle w:val="Normal"/></w:pPr>
<w:r><w:t xml:space="preserve">if the accused be proved doli capax, capable of discerning</w:t></w:r>
</w:p>
<w:p>
<w:pPr><w:pStyle w:val="Normal"/></w:pPr>
<w:r><w:t xml:space="preserve">between right and wrong, the principle in that case being that</w:t></w:r>
</w:p>
<w:p>
<w:pPr><w:pStyle w:val="Normal"/></w:pPr>
<w:r><w:t xml:space="preserve">malitia supplet aetatem. At twenty-one both males and females</w:t></w:r>
</w:p>
<w:p>
<w:pPr><w:pStyle w:val="Normal"/></w:pPr>
<w:r><w:t xml:space="preserve">obtain their full legal rights, and become liable to all legal</w:t></w:r>
</w:p>
<w:p>
<w:pPr><w:pStyle w:val="Normal"/></w:pPr>
<w:r><w:t xml:space="preserve">obligations.  A seat in the British parliament may be taken at</w:t></w:r>
</w:p>
<w:p>
<w:pPr><w:pStyle w:val="Normal"/></w:pPr>
<w:r><w:t xml:space="preserve">twenty-one.  Certain professions, however, demand as a</w:t></w:r>
</w:p>
<w:p>
<w:pPr><w:pStyle w:val="Normal"/></w:pPr>
<w:r><w:t xml:space="preserve">qualification in entrants a more advanced age than that of</w:t></w:r>
</w:p>
<w:p>
<w:pPr><w:pStyle w:val="Normal"/></w:pPr>
<w:r><w:t xml:space="preserve">legal man. hood.  In the Church of England a candidate for</w:t></w:r>
</w:p>
<w:p>
<w:pPr><w:pStyle w:val="Normal"/></w:pPr>
<w:r><w:t xml:space="preserve">deacon&apos;s orders must be twenty-three (in the Roman Catholic</w:t></w:r>
</w:p>
<w:p>
<w:pPr><w:pStyle w:val="Normal"/></w:pPr>
<w:r><w:t xml:space="preserve">Church, twenty-two) and for priest&apos;s orders twenty-four years</w:t></w:r>
</w:p>
<w:p>
<w:pPr><w:pStyle w:val="Normal"/></w:pPr>
<w:r><w:t xml:space="preserve">of age; and no clergyman is eligible for a bishopric under</w:t></w:r>
</w:p>
<w:p>
<w:pPr><w:pStyle w:val="Normal"/></w:pPr>
<w:r><w:t xml:space="preserve">thirty.  In Scotland infancy is not a legal term.  The time</w:t></w:r>
</w:p>
<w:p>
<w:pPr><w:pStyle w:val="Normal"/></w:pPr>
<w:r><w:t xml:space="preserve">previous to majority, which, as in England, is reached by both</w:t></w:r>
</w:p>
<w:p>
<w:pPr><w:pStyle w:val="Normal"/></w:pPr>
<w:r><w:t xml:space="preserve">sexes at twenty-one, is divided into two stages: pupilage</w:t></w:r>
</w:p>
<w:p>
<w:pPr><w:pStyle w:val="Normal"/></w:pPr>
<w:r><w:t xml:space="preserve">lasts until the attainment of puberty, which the law fixes</w:t></w:r>
</w:p>
<w:p>
<w:pPr><w:pStyle w:val="Normal"/></w:pPr>
<w:r><w:t xml:space="preserve">at fourteen in males and twelve in females; minority lasts</w:t></w:r>
</w:p>
<w:p>
<w:pPr><w:pStyle w:val="Normal"/></w:pPr>
<w:r><w:t xml:space="preserve">from these ages respectively until twenty-one. Minority</w:t></w:r>
</w:p>
<w:p>
<w:pPr><w:pStyle w:val="Normal"/></w:pPr>
<w:r><w:t xml:space="preserve">obviously corresponds in some degree to the English years of</w:t></w:r>
</w:p>
<w:p>
<w:pPr><w:pStyle w:val="Normal"/></w:pPr>
<w:r><w:t xml:space="preserve">discretion, but a Scottish minor has more personal rights</w:t></w:r>
</w:p>
<w:p>
<w:pPr><w:pStyle w:val="Normal"/></w:pPr>
<w:r><w:t xml:space="preserve">than an English infant in the last stage of his infancy, e.g</w:t></w:r>
</w:p>
<w:p>
<w:pPr><w:pStyle w:val="Normal"/></w:pPr>
<w:r><w:t xml:space="preserve">he may dispose by will of movable property, make contracts,</w:t></w:r>
</w:p>
<w:p>
<w:pPr><w:pStyle w:val="Normal"/></w:pPr>
<w:r><w:t xml:space="preserve">carry on trade, and, as a necessary consequence, is liable</w:t></w:r>
</w:p>
<w:p>
<w:pPr><w:pStyle w:val="Normal"/></w:pPr>
<w:r><w:t xml:space="preserve">to be declared a bankrupt.  In France the year of majority</w:t></w:r>
</w:p>
<w:p>
<w:pPr><w:pStyle w:val="Normal"/></w:pPr>
<w:r><w:t xml:space="preserve">is twenty-one, and the nubile age eighteen for males and</w:t></w:r>
</w:p>
<w:p>
<w:pPr><w:pStyle w:val="Normal"/></w:pPr>
<w:r><w:t xml:space="preserve">fifteen for females, with a restriction as to the consent of</w:t></w:r>
</w:p>
<w:p>
<w:pPr><w:pStyle w:val="Normal"/></w:pPr>
<w:r><w:t xml:space="preserve">guardians.  Age qualification for the chamber of deputies</w:t></w:r>
</w:p>
<w:p>
<w:pPr><w:pStyle w:val="Normal"/></w:pPr>
<w:r><w:t xml:space="preserve">is twenty-five and for the senate forty years.  In Germany,</w:t></w:r>
</w:p>
<w:p>
<w:pPr><w:pStyle w:val="Normal"/></w:pPr>
<w:r><w:t xml:space="preserve">majority is reached at twenty-one, the nubile age is twenty</w:t></w:r>
</w:p>
<w:p>
<w:pPr><w:pStyle w:val="Normal"/></w:pPr>
<w:r><w:t xml:space="preserve">for males and sixteen for females, subject to the consent of</w:t></w:r>
</w:p>
<w:p>
<w:pPr><w:pStyle w:val="Normal"/></w:pPr>
<w:r><w:t xml:space="preserve">parents.  Without the consent of parents, the age is</w:t></w:r>
</w:p>
<w:p>
<w:pPr><w:pStyle w:val="Normal"/></w:pPr>
<w:r><w:t xml:space="preserve">twenty-five for males and twenty-four for females.  The</w:t></w:r>
</w:p>
<w:p>
<w:pPr><w:pStyle w:val="Normal"/></w:pPr>
<w:r><w:t xml:space="preserve">age qualification for the Reichstag is twenty-five.  In</w:t></w:r>
</w:p>
<w:p>
<w:pPr><w:pStyle w:val="Normal"/></w:pPr>
<w:r><w:t xml:space="preserve">Austria the age of majority is twenty-four, and the nubile</w:t></w:r>
</w:p>
<w:p>
<w:pPr><w:pStyle w:val="Normal"/></w:pPr>
<w:r><w:t xml:space="preserve">age fourteen for either sex, subject to the consent of the</w:t></w:r>
</w:p>
<w:p>
<w:pPr><w:pStyle w:val="Normal"/></w:pPr>
<w:r><w:t xml:space="preserve">parents.  In Denmark, qualified majority is reached at eighteen</w:t></w:r>
</w:p>
<w:p>
<w:pPr><w:pStyle w:val="Normal"/></w:pPr>
<w:r><w:t xml:space="preserve">and full majority at twenty-five.  The nubile age is twenty</w:t></w:r>
</w:p>
<w:p>
<w:pPr><w:pStyle w:val="Normal"/></w:pPr>
<w:r><w:t xml:space="preserve">for males and sixteen for females.  In Spain, majority is</w:t></w:r>
</w:p>
<w:p>
<w:pPr><w:pStyle w:val="Normal"/></w:pPr>
<w:r><w:t xml:space="preserve">reached at twenty-three; the nubile age is eighteen for males</w:t></w:r>
</w:p>
<w:p>
<w:pPr><w:pStyle w:val="Normal"/></w:pPr>
<w:r><w:t xml:space="preserve">and sixteen for females.  In Greece the age of majority is</w:t></w:r>
</w:p>
<w:p>
<w:pPr><w:pStyle w:val="Normal"/></w:pPr>
<w:r><w:t xml:space="preserve">twenty-one, and the nubile age sixteen for males and fourteen</w:t></w:r>
</w:p>
<w:p>
<w:pPr><w:pStyle w:val="Normal"/></w:pPr>
<w:r><w:t xml:space="preserve">for females.  In Holland the age of majority is twenty-one,</w:t></w:r>
</w:p>
<w:p>
<w:pPr><w:pStyle w:val="Normal"/></w:pPr>
<w:r><w:t xml:space="preserve">and the nubile age eighteen for males and sixteen for</w:t></w:r>
</w:p>
<w:p>
<w:pPr><w:pStyle w:val="Normal"/></w:pPr>
<w:r><w:t xml:space="preserve">females.  In Italy, majority is reached at twenty-one; the</w:t></w:r>
</w:p>
<w:p>
<w:pPr><w:pStyle w:val="Normal"/></w:pPr>
<w:r><w:t xml:space="preserve">nubile age is eighteen for males and fifteen for females.  In</w:t></w:r>
</w:p>
<w:p>
<w:pPr><w:pStyle w:val="Normal"/></w:pPr>
<w:r><w:t xml:space="preserve">Switzerland the age of majority is twenty, and the nubile age</w:t></w:r>
</w:p>
<w:p>
<w:pPr><w:pStyle w:val="Normal"/></w:pPr>
<w:r><w:t xml:space="preserve">is eighteen for males and sixteen for females.  In the United</w:t></w:r>
</w:p>
<w:p>
<w:pPr><w:pStyle w:val="Normal"/></w:pPr>
<w:r><w:t xml:space="preserve">States the age qualification for a president is thirty-five,</w:t></w:r>
</w:p>
<w:p>
<w:pPr><w:pStyle w:val="Normal"/></w:pPr>
<w:r><w:t xml:space="preserve">for a senator thirty and for a representative twenty-five.</w:t></w:r>
</w:p>
<w:p>
<w:pPr><w:pStyle w:val="Normal"/></w:pPr>
<w:r><w:t xml:space="preserve">AGELADAS, or (as the name is spelt in an inscription)</w:t></w:r>
</w:p>
<w:p>
<w:pPr><w:pStyle w:val="Normal"/></w:pPr>
<w:r><w:t xml:space="preserve">HAGELAIDAS, a great Argive sculptor, who flourished in the</w:t></w:r>
</w:p>
<w:p>
<w:pPr><w:pStyle w:val="Normal"/></w:pPr>
<w:r><w:t xml:space="preserve">latter part of the 6th and the early part of the 5th century</w:t></w:r>
</w:p>
<w:p>
<w:pPr><w:pStyle w:val="Normal"/></w:pPr>
<w:r><w:t xml:space="preserve">B.C. He was specially noted for his statues of Olympic victors</w:t></w:r>
</w:p>
<w:p>
<w:pPr><w:pStyle w:val="Normal"/></w:pPr>
<w:r><w:t xml:space="preserve">(of 520, 516, 508 B.C.); also for a statue at Messene of</w:t></w:r>
</w:p>
<w:p>
<w:pPr><w:pStyle w:val="Normal"/></w:pPr>
<w:r><w:t xml:space="preserve">Zeus, copied on the coins of that city.  Ageladas was said to</w:t></w:r>
</w:p>
<w:p>
<w:pPr><w:pStyle w:val="Normal"/></w:pPr>
<w:r><w:t xml:space="preserve">have been the teacher of Myron, Phidias and Polyclitus; this</w:t></w:r>
</w:p>
<w:p>
<w:pPr><w:pStyle w:val="Normal"/></w:pPr>
<w:r><w:t xml:space="preserve">tradition is a testimony to his wide fame, though historically</w:t></w:r>
</w:p>
<w:p>
<w:pPr><w:pStyle w:val="Normal"/></w:pPr>
<w:r><w:t xml:space="preserve">doubtful.  We have no work of Ageladas surviving; but we have</w:t></w:r>
</w:p>
<w:p>
<w:pPr><w:pStyle w:val="Normal"/></w:pPr>
<w:r><w:t xml:space="preserve">an inscription which contains the name of his son Argeiadas.</w:t></w:r>
</w:p>
<w:p>
<w:pPr><w:pStyle w:val="Normal"/></w:pPr>
<w:r><w:t xml:space="preserve">AGEN, a city of south-western France, capital of the</w:t></w:r>
</w:p>
<w:p>
<w:pPr><w:pStyle w:val="Normal"/></w:pPr>
<w:r><w:t xml:space="preserve">department of Lot-et-Garonne, 84 m.  S.E. of Bordeaux by the</w:t></w:r>
</w:p>
<w:p>
<w:pPr><w:pStyle w:val="Normal"/></w:pPr>
<w:r><w:t xml:space="preserve">Southern railway between Bordeaux and Toulouse.  Pop. (1906)</w:t></w:r>
</w:p>
<w:p>
<w:pPr><w:pStyle w:val="Normal"/></w:pPr>
<w:r><w:t xml:space="preserve">18,640.  It is skirted on the west by the Garonne itself, and</w:t></w:r>
</w:p>
<w:p>
<w:pPr><w:pStyle w:val="Normal"/></w:pPr>
<w:r><w:t xml:space="preserve">on the north by its lateral canal.  The river is crossed by</w:t></w:r>
</w:p>
<w:p>
<w:pPr><w:pStyle w:val="Normal"/></w:pPr>
<w:r><w:t xml:space="preserve">a stone bridge, by a suspension bridge for foot-passengers,</w:t></w:r>
</w:p>
<w:p>
<w:pPr><w:pStyle w:val="Normal"/></w:pPr>
<w:r><w:t xml:space="preserve">and by a fine canal bridge, carrying the lateral canal.</w:t></w:r>
</w:p>
<w:p>
<w:pPr><w:pStyle w:val="Normal"/></w:pPr>
<w:r><w:t xml:space="preserve">Pleasant promenades stretch for some distance along the right</w:t></w:r>
</w:p>
<w:p>
<w:pPr><w:pStyle w:val="Normal"/></w:pPr>
<w:r><w:t xml:space="preserve">bank.  The town is a medley of old narrow streets contrasting</w:t></w:r>
</w:p>
<w:p>
<w:pPr><w:pStyle w:val="Normal"/></w:pPr>
<w:r><w:t xml:space="preserve">with the wide modern boulevards which cross it at intervals.</w:t></w:r>
</w:p>
<w:p>
<w:pPr><w:pStyle w:val="Normal"/></w:pPr>
<w:r><w:t xml:space="preserve">The chief building in Agen is the cathedral of St Caprais,</w:t></w:r>
</w:p>
<w:p>
<w:pPr><w:pStyle w:val="Normal"/></w:pPr>
<w:r><w:t xml:space="preserve">the most interesting portion of which is the apse of the</w:t></w:r>
</w:p>
<w:p>
<w:pPr><w:pStyle w:val="Normal"/></w:pPr>
<w:r><w:t xml:space="preserve">12th century with its three apse-chapels; the transept dates</w:t></w:r>
</w:p>
<w:p>
<w:pPr><w:pStyle w:val="Normal"/></w:pPr>
<w:r><w:t xml:space="preserve">from the 12th and 13th centuries, the nave from the 14th to</w:t></w:r>
</w:p>
<w:p>
<w:pPr><w:pStyle w:val="Normal"/></w:pPr>
<w:r><w:t xml:space="preserve">the 16th centuries; the tower flanking the south facade is</w:t></w:r>
</w:p>
<w:p>
<w:pPr><w:pStyle w:val="Normal"/></w:pPr>
<w:r><w:t xml:space="preserve">modern.  The interior is decorated with modern paintings and</w:t></w:r>
</w:p>
<w:p>
<w:pPr><w:pStyle w:val="Normal"/></w:pPr>
<w:r><w:t xml:space="preserve">frescoes.  There are several other churches, among them the</w:t></w:r>
</w:p>
<w:p>
<w:pPr><w:pStyle w:val="Normal"/></w:pPr>
<w:r><w:t xml:space="preserve">church of the Jacobins, a brick building of the 13th century,</w:t></w:r>
</w:p>
<w:p>
<w:pPr><w:pStyle w:val="Normal"/></w:pPr>
<w:r><w:t xml:space="preserve">and the church of St Hilaire of the 16th century, which has</w:t></w:r>
</w:p>
<w:p>
<w:pPr><w:pStyle w:val="Normal"/></w:pPr>
<w:r><w:t xml:space="preserve">a modern tower.  In the prefecture, a building of the 18th</w:t></w:r>
</w:p>
<w:p>
<w:pPr><w:pStyle w:val="Normal"/></w:pPr>
<w:r><w:t xml:space="preserve">century, once the bishop&apos;s palace, is a collection of historical</w:t></w:r>
</w:p>
<w:p>
<w:pPr><w:pStyle w:val="Normal"/></w:pPr>
<w:r><w:t xml:space="preserve">portraits.  The hotel de ville occupies the former Hotel du</w:t></w:r>
</w:p>
<w:p>
<w:pPr><w:pStyle w:val="Normal"/></w:pPr>
<w:r><w:t xml:space="preserve">Presidial, an obsolete tribunal, and contains the municipal</w:t></w:r>
</w:p>
<w:p>
<w:pPr><w:pStyle w:val="Normal"/></w:pPr>
<w:r><w:t xml:space="preserve">library.  Two houses of the 16th century, the Hotel d&apos;Estrades</w:t></w:r>
</w:p>
<w:p>
<w:pPr><w:pStyle w:val="Normal"/></w:pPr>
<w:r><w:t xml:space="preserve">and the Hotel de Vaurs, are used as the museum, which has</w:t></w:r>
</w:p>
<w:p>
<w:pPr><w:pStyle w:val="Normal"/></w:pPr>
<w:r><w:t xml:space="preserve">a rich collection of fossils, prehistoric and Roman remains,</w:t></w:r>
</w:p>
<w:p>
<w:pPr><w:pStyle w:val="Normal"/></w:pPr>
<w:r><w:t xml:space="preserve">and other antiquities and curiosities.  The poet Jacques</w:t></w:r>
</w:p>
<w:p>
<w:pPr><w:pStyle w:val="Normal"/></w:pPr>
<w:r><w:t xml:space="preserve">Jasmin was a native of the town, which has erected a statue to</w:t></w:r>
</w:p>
<w:p>
<w:pPr><w:pStyle w:val="Normal"/></w:pPr>
<w:r><w:t xml:space="preserve">him.  Through its excellent water communication it affords</w:t></w:r>
</w:p>
<w:p>
<w:pPr><w:pStyle w:val="Normal"/></w:pPr>
<w:r><w:t xml:space="preserve">an outlet for the agricultural produce of the district,</w:t></w:r>
</w:p>
<w:p>
<w:pPr><w:pStyle w:val="Normal"/></w:pPr>
<w:r><w:t xml:space="preserve">and forms an entrepot of trade between Bordeaux and</w:t></w:r>
</w:p>
<w:p>
<w:pPr><w:pStyle w:val="Normal"/></w:pPr>
<w:r><w:t xml:space="preserve">Toulouse.  Agen is the seat of a bishop.  It is the seat of</w:t></w:r>
</w:p>
<w:p>
<w:pPr><w:pStyle w:val="Normal"/></w:pPr>
<w:r><w:t xml:space="preserve">a court of appeal and a court of assizes, and has tribunals</w:t></w:r>
</w:p>
<w:p>
<w:pPr><w:pStyle w:val="Normal"/></w:pPr>
<w:r><w:t xml:space="preserve">of first instance and of commerce and a chamber of commerce.</w:t></w:r>
</w:p>
<w:p>
<w:pPr><w:pStyle w:val="Normal"/></w:pPr>
<w:r><w:t xml:space="preserve">There are also ecclesiastical seminaries, lycees for boys and</w:t></w:r>
</w:p>
<w:p>
<w:pPr><w:pStyle w:val="Normal"/></w:pPr>
<w:r><w:t xml:space="preserve">girls, training-colleges, a school of commerce and industry,</w:t></w:r>
</w:p>
<w:p>
<w:pPr><w:pStyle w:val="Normal"/></w:pPr>
<w:r><w:t xml:space="preserve">and a branch of the Bank of France.  Agen is the market for</w:t></w:r>
</w:p>
<w:p>
<w:pPr><w:pStyle w:val="Normal"/></w:pPr>
<w:r><w:t xml:space="preserve">a rich agricultural region.  The chief articles of commerce</w:t></w:r>
</w:p>
<w:p>
<w:pPr><w:pStyle w:val="Normal"/></w:pPr>
<w:r><w:t xml:space="preserve">are fattened poultry, prunes (pruneaux d&apos;Agen) and other</w:t></w:r>
</w:p>
<w:p>
<w:pPr><w:pStyle w:val="Normal"/></w:pPr>
<w:r><w:t xml:space="preserve">fruit, cork, wine, vegetables and cattle.  Manufactures</w:t></w:r>
</w:p>
<w:p>
<w:pPr><w:pStyle w:val="Normal"/></w:pPr>
<w:r><w:t xml:space="preserve">include flour, dried plums, pate de foie gras and other</w:t></w:r>
</w:p>
<w:p>
<w:pPr><w:pStyle w:val="Normal"/></w:pPr>
<w:r><w:t xml:space="preserve">delicacies, hardware, manures, brooms, drugs, woven goods tiles.</w:t></w:r>
</w:p>
<w:p>
<w:pPr><w:pStyle w:val="Normal"/></w:pPr>
<w:r><w:t xml:space="preserve">Agen (Aginnum) was the capital Of the Celtic tribe of the</w:t></w:r>
</w:p>
<w:p>
<w:pPr><w:pStyle w:val="Normal"/></w:pPr>
<w:r><w:t xml:space="preserve">Nitiobroges, and the discovery of extensive ruins attests</w:t></w:r>
</w:p>
<w:p>
<w:pPr><w:pStyle w:val="Normal"/></w:pPr>
<w:r><w:t xml:space="preserve">its importance under the Romans.  In later times it was the</w:t></w:r>
</w:p>
<w:p>
<w:pPr><w:pStyle w:val="Normal"/></w:pPr>
<w:r><w:t xml:space="preserve">capital of the Agenais.  Its bishopric was founded in the 4th</w:t></w:r>
</w:p>
<w:p>
<w:pPr><w:pStyle w:val="Normal"/></w:pPr>
<w:r><w:t xml:space="preserve">century.  Agen changed hands more than once in the course of the</w:t></w:r>
</w:p>
<w:p>
<w:pPr><w:pStyle w:val="Normal"/></w:pPr>
<w:r><w:t xml:space="preserve">Albigensian wars, and at their close a tribunal of inquisition</w:t></w:r>
</w:p>
<w:p>
<w:pPr><w:pStyle w:val="Normal"/></w:pPr>
<w:r><w:t xml:space="preserve">was established in the town and inflicted cruel persecution on the</w:t></w:r>
</w:p>
<w:p>
<w:pPr><w:pStyle w:val="Normal"/></w:pPr>
<w:r><w:t xml:space="preserve">heretics.  During the religious wars of the 16th century Agen took</w:t></w:r>
</w:p>
<w:p>
<w:pPr><w:pStyle w:val="Normal"/></w:pPr>
<w:r><w:t xml:space="preserve">the part of the Catholics and openly joined the League in 1589.</w:t></w:r>
</w:p>
<w:p>
<w:pPr><w:pStyle w:val="Normal"/></w:pPr>
<w:r><w:t xml:space="preserve">See Labenazie, Histoire de la ville d&apos;Agen et pays</w:t></w:r>
</w:p>
<w:p>
<w:pPr><w:pStyle w:val="Normal"/></w:pPr>
<w:r><w:t xml:space="preserve">d&apos;Agenois, ed. by A.-G. de Dampierre (1888); A. Ducom, La</w:t></w:r>
</w:p>
<w:p>
<w:pPr><w:pStyle w:val="Normal"/></w:pPr>
<w:r><w:t xml:space="preserve">Commune d&apos;Agen: essai sur son histoire et son organisation</w:t></w:r>
</w:p>
<w:p>
<w:pPr><w:pStyle w:val="Normal"/></w:pPr>
<w:r><w:t xml:space="preserve">depuis son origine jusqu&apos;au traite de Bretigny (1892).</w:t></w:r>
</w:p>
<w:p>
<w:pPr><w:pStyle w:val="Normal"/></w:pPr>
<w:r><w:t xml:space="preserve">AGENAIS, or AGENOIS, a former province of France.  In</w:t></w:r>
</w:p>
<w:p>
<w:pPr><w:pStyle w:val="Normal"/></w:pPr>
<w:r><w:t xml:space="preserve">ancient Gaul it was the country of the Nitiobroges with Aginnum</w:t></w:r>
</w:p>
<w:p>
<w:pPr><w:pStyle w:val="Normal"/></w:pPr>
<w:r><w:t xml:space="preserve">for its capital, and in the 4th century it was the Civitas</w:t></w:r>
</w:p>
<w:p>
<w:pPr><w:pStyle w:val="Normal"/></w:pPr>
<w:r><w:t xml:space="preserve">Agennensium which was a part of Aquitania Secunda and</w:t></w:r>
</w:p>
<w:p>
<w:pPr><w:pStyle w:val="Normal"/></w:pPr>
<w:r><w:t xml:space="preserve">which formed the diocese of Agen.  Having in general shared the</w:t></w:r>
</w:p>
<w:p>
<w:pPr><w:pStyle w:val="Normal"/></w:pPr>
<w:r><w:t xml:space="preserve">fortunes of Aquitaine during the Merovingian and Carolingian</w:t></w:r>
</w:p>
<w:p>
<w:pPr><w:pStyle w:val="Normal"/></w:pPr>
<w:r><w:t xml:space="preserve">periods, Agenais next became an hereditary countship in the part</w:t></w:r>
</w:p>
<w:p>
<w:pPr><w:pStyle w:val="Normal"/></w:pPr>
<w:r><w:t xml:space="preserve">of the country now called Gascony (Vasconia.) In 1038 this</w:t></w:r>
</w:p>
<w:p>
<w:pPr><w:pStyle w:val="Normal"/></w:pPr>
<w:r><w:t xml:space="preserve">countship was purchased by the dukes of Aquitaine and counts of</w:t></w:r>
</w:p>
<w:p>
<w:pPr><w:pStyle w:val="Normal"/></w:pPr>
<w:r><w:t xml:space="preserve">Poitiers.  The marriage of Eleanor of Aquitaine with Henry</w:t></w:r>
</w:p>
<w:p>
<w:pPr><w:pStyle w:val="Normal"/></w:pPr>
<w:r><w:t xml:space="preserve">Plantagenet in 1152 brought it under the sway of England; but</w:t></w:r>
</w:p>
<w:p>
<w:pPr><w:pStyle w:val="Normal"/></w:pPr>
<w:r><w:t xml:space="preserve">when Richard Coeur-de-Lion married his sister Joan to Raymund</w:t></w:r>
</w:p>
<w:p>
<w:pPr><w:pStyle w:val="Normal"/></w:pPr>
<w:r><w:t xml:space="preserve">VI., count of Toulouse, in 1196, Agenais formed part of the</w:t></w:r>
</w:p>
<w:p>
<w:pPr><w:pStyle w:val="Normal"/></w:pPr>
<w:r><w:t xml:space="preserve">princess&apos;s dowry; and with the other estates of the last</w:t></w:r>
</w:p>
<w:p>
<w:pPr><w:pStyle w:val="Normal"/></w:pPr>
<w:r><w:t xml:space="preserve">independent count of Toulouse it lapsed to the crown of France in</w:t></w:r>
</w:p>
<w:p>
<w:pPr><w:pStyle w:val="Normal"/></w:pPr>
<w:r><w:t xml:space="preserve">1271.  This, however, was not for long; the king of France</w:t></w:r>
</w:p>
<w:p>
<w:pPr><w:pStyle w:val="Normal"/></w:pPr>
<w:r><w:t xml:space="preserve">had to recognize the prior rights of the king of England to</w:t></w:r>
</w:p>
<w:p>
<w:pPr><w:pStyle w:val="Normal"/></w:pPr>
<w:r><w:t xml:space="preserve">the possession of the countship, and restored it to him in</w:t></w:r>
</w:p>
<w:p>
<w:pPr><w:pStyle w:val="Normal"/></w:pPr>
<w:r><w:t xml:space="preserve">1279.  During the wars between the English and the French</w:t></w:r>
</w:p>
<w:p>
<w:pPr><w:pStyle w:val="Normal"/></w:pPr>
<w:r><w:t xml:space="preserve">in the 14th and 15th centuries, Agenais was frequently taken</w:t></w:r>
</w:p>
<w:p>
<w:pPr><w:pStyle w:val="Normal"/></w:pPr>
<w:r><w:t xml:space="preserve">and retaken, the final retreat of the English in 1453 at</w:t></w:r>
</w:p>
<w:p>
<w:pPr><w:pStyle w:val="Normal"/></w:pPr>
<w:r><w:t xml:space="preserve">last leaving the king of France in peaceable possession.</w:t></w:r>
</w:p>
<w:p>
<w:pPr><w:pStyle w:val="Normal"/></w:pPr>
<w:r><w:t xml:space="preserve">Thenceforth Agenais was no more than an administrative</w:t></w:r>
</w:p>
<w:p>
<w:pPr><w:pStyle w:val="Normal"/></w:pPr>
<w:r><w:t xml:space="preserve">term.  At the end of the ancien regime it formed part</w:t></w:r>
</w:p>
<w:p>
<w:pPr><w:pStyle w:val="Normal"/></w:pPr>
<w:r><w:t xml:space="preserve">of the ``Gouvernement&apos;&apos; of Guienne, and at the Revolution</w:t></w:r>
</w:p>
<w:p>
<w:pPr><w:pStyle w:val="Normal"/></w:pPr>
<w:r><w:t xml:space="preserve">it was incorporated in the department of Lot-et-Garonne, of</w:t></w:r>
</w:p>
<w:p>
<w:pPr><w:pStyle w:val="Normal"/></w:pPr>
<w:r><w:t xml:space="preserve">which it constitutes nearly the whole.  The title of count</w:t></w:r>
</w:p>
<w:p>
<w:pPr><w:pStyle w:val="Normal"/></w:pPr>
<w:r><w:t xml:space="preserve">of Agenais, which the kings of England had allowed to fall</w:t></w:r>
</w:p>
<w:p>
<w:pPr><w:pStyle w:val="Normal"/></w:pPr>
<w:r><w:t xml:space="preserve">into desuetude, was revived by the kings of France, and</w:t></w:r>
</w:p>
<w:p>
<w:pPr><w:pStyle w:val="Normal"/></w:pPr>
<w:r><w:t xml:space="preserve">in 1789 was held by the family of the dukes of Richelieu.</w:t></w:r>
</w:p>
<w:p>
<w:pPr><w:pStyle w:val="Normal"/></w:pPr>
<w:r><w:t xml:space="preserve">There is no good history of Agenais; that published by Jules</w:t></w:r>
</w:p>
<w:p>
<w:pPr><w:pStyle w:val="Normal"/></w:pPr>
<w:r><w:t xml:space="preserve">Andrieu in 1893 (Histoire de l&apos;Agenais, 2 vols.) being quite</w:t></w:r>
</w:p>
<w:p>
<w:pPr><w:pStyle w:val="Normal"/></w:pPr>
<w:r><w:t xml:space="preserve">inadequate.  The Bibliographie generale de l&apos;Agenais, by the</w:t></w:r>
</w:p>
<w:p>
<w:pPr><w:pStyle w:val="Normal"/></w:pPr>
<w:r><w:t xml:space="preserve">same author (1886-1891, 3 vols.), may be found useful. (C. B.n)</w:t></w:r>
</w:p>
<w:p>
<w:pPr><w:pStyle w:val="Normal"/></w:pPr>
<w:r><w:t xml:space="preserve">AGENT (from Lat. agere, to act), a name applied generally</w:t></w:r>
</w:p>
<w:p>
<w:pPr><w:pStyle w:val="Normal"/></w:pPr>
<w:r><w:t xml:space="preserve">to, any person who acts for another.  It has probably been</w:t></w:r>
</w:p>
<w:p>
<w:pPr><w:pStyle w:val="Normal"/></w:pPr>
<w:r><w:t xml:space="preserve">adopted from France, as its function in modern civil law was</w:t></w:r>
</w:p>
<w:p>
<w:pPr><w:pStyle w:val="Normal"/></w:pPr>
<w:r><w:t xml:space="preserve">otherwise expressed in Roman jurisprudence.  Ducange (s.v.</w:t></w:r>
</w:p>
<w:p>
<w:pPr><w:pStyle w:val="Normal"/></w:pPr>
<w:r><w:t xml:space="preserve">Agentes) tells us that in the later Roman empire the officers</w:t></w:r>
</w:p>
<w:p>
<w:pPr><w:pStyle w:val="Normal"/></w:pPr>
<w:r><w:t xml:space="preserve">who collected the grain in the provinces for the troops and</w:t></w:r>
</w:p>
<w:p>
<w:pPr><w:pStyle w:val="Normal"/></w:pPr>
<w:r><w:t xml:space="preserve">the household, and afterwards extended their functions so</w:t></w:r>
</w:p>
<w:p>
<w:pPr><w:pStyle w:val="Normal"/></w:pPr>
<w:r><w:t xml:space="preserve">as to include those of government postmasters or spies, came</w:t></w:r>
</w:p>
<w:p>
<w:pPr><w:pStyle w:val="Normal"/></w:pPr>
<w:r><w:t xml:space="preserve">to be called agentes in rebus, their earlier name having</w:t></w:r>
</w:p>
<w:p>
<w:pPr><w:pStyle w:val="Normal"/></w:pPr>
<w:r><w:t xml:space="preserve">been frumentarii. In law an agent is a person authorized,</w:t></w:r>
</w:p>
<w:p>
<w:pPr><w:pStyle w:val="Normal"/></w:pPr>
<w:r><w:t xml:space="preserve">expressedly or impliedly, to act for another, who is thence</w:t></w:r>
</w:p>
<w:p>
<w:pPr><w:pStyle w:val="Normal"/></w:pPr>
<w:r><w:t xml:space="preserve">called the principal, and who is, in consequence of, and to</w:t></w:r>
</w:p>
<w:p>
<w:pPr><w:pStyle w:val="Normal"/></w:pPr>
<w:r><w:t xml:space="preserve">the extent of, the authority delegated by him, bound by the</w:t></w:r>
</w:p>
<w:p>
<w:pPr><w:pStyle w:val="Normal"/></w:pPr>
<w:r><w:t xml:space="preserve">acts of his agent. (See PRINCIPAL AND AGENT; FACTOR, &amp;c.)</w:t></w:r>
</w:p>
<w:p>
<w:pPr><w:pStyle w:val="Normal"/></w:pPr>
<w:r><w:t xml:space="preserve">In Scotland the procurators or solicitors who act in the preparation of</w:t></w:r>
</w:p>
<w:p>
<w:pPr><w:pStyle w:val="Normal"/></w:pPr>
<w:r><w:t xml:space="preserve">cases in the various law-courts are called agents. (See SOLICITOR.)</w:t></w:r>
</w:p>
<w:p>
<w:pPr><w:pStyle w:val="Normal"/></w:pPr>
<w:r><w:t xml:space="preserve">In France the agents de change were formerly the class</w:t></w:r>
</w:p>
<w:p>
<w:pPr><w:pStyle w:val="Normal"/></w:pPr>
<w:r><w:t xml:space="preserve">generally licensed for conducting all negotiations, as</w:t></w:r>
</w:p>
<w:p>
<w:pPr><w:pStyle w:val="Normal"/></w:pPr>
<w:r><w:t xml:space="preserve">they were termed, whether in commerce or the money market.</w:t></w:r>
</w:p>
<w:p>
<w:pPr><w:pStyle w:val="Normal"/></w:pPr>
<w:r><w:t xml:space="preserve">The term has, however, become practically limited to those</w:t></w:r>
</w:p>
<w:p>
<w:pPr><w:pStyle w:val="Normal"/></w:pPr>
<w:r><w:t xml:space="preserve">who conduct transactions in public stock.  The laws and</w:t></w:r>
</w:p>
<w:p>
<w:pPr><w:pStyle w:val="Normal"/></w:pPr>
<w:r><w:t xml:space="preserve">regulations as to courtiers, or those whose functions were</w:t></w:r>
</w:p>
<w:p>
<w:pPr><w:pStyle w:val="Normal"/></w:pPr>
<w:r><w:t xml:space="preserve">more distinctly confined to transactions in merchandise, have</w:t></w:r>
</w:p>
<w:p>
<w:pPr><w:pStyle w:val="Normal"/></w:pPr>
<w:r><w:t xml:space="preserve">been mixed up with those applicable to agents de change.</w:t></w:r>
</w:p>
<w:p>
<w:pPr><w:pStyle w:val="Normal"/></w:pPr>
<w:r><w:t xml:space="preserve">Down to the year 1572 both functions were free; but at that</w:t></w:r>
</w:p>
<w:p>
<w:pPr><w:pStyle w:val="Normal"/></w:pPr>
<w:r><w:t xml:space="preserve">period, partly for financial reasons, a system of licensing</w:t></w:r>
</w:p>
<w:p>
<w:pPr><w:pStyle w:val="Normal"/></w:pPr>
<w:r><w:t xml:space="preserve">was adopted at the suggestion of the chancellor, l&apos;Hopital.</w:t></w:r>
</w:p>
<w:p>
<w:pPr><w:pStyle w:val="Normal"/></w:pPr>
<w:r><w:t xml:space="preserve">Among the other revolutionary measures of the year 1791, the</w:t></w:r>
</w:p>
<w:p>
<w:pPr><w:pStyle w:val="Normal"/></w:pPr>
<w:r><w:t xml:space="preserve">professions of agent and courtier were again opened to the</w:t></w:r>
</w:p>
<w:p>
<w:pPr><w:pStyle w:val="Normal"/></w:pPr>
<w:r><w:t xml:space="preserve">public.  Many of the financial convulsions of the ensuing years,</w:t></w:r>
</w:p>
<w:p>
<w:pPr><w:pStyle w:val="Normal"/></w:pPr>
<w:r><w:t xml:space="preserve">which were due to more serious causes, were attributed to this</w:t></w:r>
</w:p>
<w:p>
<w:pPr><w:pStyle w:val="Normal"/></w:pPr>
<w:r><w:t xml:space="preserve">indiscriminate removal of restrictions, and they were reimposed in</w:t></w:r>
</w:p>
<w:p>
<w:pPr><w:pStyle w:val="Normal"/></w:pPr>
<w:r><w:t xml:space="preserve">1801.  From that period regulations have been made from time</w:t></w:r>
</w:p>
<w:p>
<w:pPr><w:pStyle w:val="Normal"/></w:pPr>
<w:r><w:t xml:space="preserve">to time as to the qualifications of agents, the security to be</w:t></w:r>
</w:p>
<w:p>
<w:pPr><w:pStyle w:val="Normal"/></w:pPr>
<w:r><w:t xml:space="preserve">found by them and the like.  They are now regarded as public</w:t></w:r>
</w:p>
<w:p>
<w:pPr><w:pStyle w:val="Normal"/></w:pPr>
<w:r><w:t xml:space="preserve">officers, appointed, with certain privileges and duties,</w:t></w:r>
</w:p>
<w:p>
<w:pPr><w:pStyle w:val="Normal"/></w:pPr>
<w:r><w:t xml:space="preserve">by the government to act as intermediaries in negotiating</w:t></w:r>
</w:p>
<w:p>
<w:pPr><w:pStyle w:val="Normal"/></w:pPr>
<w:r><w:t xml:space="preserve">transfers of public funds and commercial stocks and for dealing</w:t></w:r>
</w:p>
<w:p>
<w:pPr><w:pStyle w:val="Normal"/></w:pPr>
<w:r><w:t xml:space="preserve">in metallic currency. (See STOCK EXCHANGE: France.)</w:t></w:r>
</w:p>
<w:p>
<w:pPr><w:pStyle w:val="Normal"/></w:pPr>
<w:r><w:t xml:space="preserve">In diplomacy the term ``agent&apos;&apos; was originally applied to all</w:t></w:r>
</w:p>
<w:p>
<w:pPr><w:pStyle w:val="Normal"/></w:pPr>
<w:r><w:t xml:space="preserve">``diplomatic agents,&apos;&apos; including ambassadors.  With the evolution</w:t></w:r>
</w:p>
<w:p>
<w:pPr><w:pStyle w:val="Normal"/></w:pPr>
<w:r><w:t xml:space="preserve">of the diplomatic hierarchy, however, the term gradually sank</w:t></w:r>
</w:p>
<w:p>
<w:pPr><w:pStyle w:val="Normal"/></w:pPr>
<w:r><w:t xml:space="preserve">until it was technically applied only to the lowest class of</w:t></w:r>
</w:p>
<w:p>
<w:pPr><w:pStyle w:val="Normal"/></w:pPr>
<w:r><w:t xml:space="preserve">``diplomatic agents,&apos;&apos; without a representative character and</w:t></w:r>
</w:p>
<w:p>
<w:pPr><w:pStyle w:val="Normal"/></w:pPr>
<w:r><w:t xml:space="preserve">of a status and character so dubious that, by the regulation</w:t></w:r>
</w:p>
<w:p>
<w:pPr><w:pStyle w:val="Normal"/></w:pPr>
<w:r><w:t xml:space="preserve">of the congress of Vienna, they were wholly excluded from</w:t></w:r>
</w:p>
<w:p>
<w:pPr><w:pStyle w:val="Normal"/></w:pPr>
<w:r><w:t xml:space="preserve">the immunities of the diplomatic service. (See DIPLOMACY.)</w:t></w:r>
</w:p>
<w:p>
<w:pPr><w:pStyle w:val="Normal"/></w:pPr>
<w:r><w:t xml:space="preserve">AGENT-GENERAL, the term given to a representative in England</w:t></w:r>
</w:p>
<w:p>
<w:pPr><w:pStyle w:val="Normal"/></w:pPr>
<w:r><w:t xml:space="preserve">of one of the self-governing British colonies.  Agents-general</w:t></w:r>
</w:p>
<w:p>
<w:pPr><w:pStyle w:val="Normal"/></w:pPr>
<w:r><w:t xml:space="preserve">may be said to hold a position mid-way between agents of</w:t></w:r>
</w:p>
<w:p>
<w:pPr><w:pStyle w:val="Normal"/></w:pPr>
<w:r><w:t xml:space="preserve">provinces and ambassadors of foreign countries.  They are</w:t></w:r>
</w:p>
<w:p>
<w:pPr><w:pStyle w:val="Normal"/></w:pPr>
<w:r><w:t xml:space="preserve">appointed, and their expenses and salaries provided, by the</w:t></w:r>
</w:p>
<w:p>
<w:pPr><w:pStyle w:val="Normal"/></w:pPr>
<w:r><w:t xml:space="preserve">governments of the colonies they represent, viz.  Cape of</w:t></w:r>
</w:p>
<w:p>
<w:pPr><w:pStyle w:val="Normal"/></w:pPr>
<w:r><w:t xml:space="preserve">Good Hope, Natal, the Transvaal, New South Wales, Queensland,</w:t></w:r>
</w:p>
<w:p>
<w:pPr><w:pStyle w:val="Normal"/></w:pPr>
<w:r><w:t xml:space="preserve">South Australia, Tasmania, Victoria, Western Australia, New</w:t></w:r>
</w:p>
<w:p>
<w:pPr><w:pStyle w:val="Normal"/></w:pPr>
<w:r><w:t xml:space="preserve">Zealand and Canada (whose representatives are termed high</w:t></w:r>
</w:p>
<w:p>
<w:pPr><w:pStyle w:val="Normal"/></w:pPr>
<w:r><w:t xml:space="preserve">commissioners).  Their duties are to look after the political</w:t></w:r>
</w:p>
<w:p>
<w:pPr><w:pStyle w:val="Normal"/></w:pPr>
<w:r><w:t xml:space="preserve">and economic interests of their colonies in London, to</w:t></w:r>
</w:p>
<w:p>
<w:pPr><w:pStyle w:val="Normal"/></w:pPr>
<w:r><w:t xml:space="preserve">assist in all financial and commercial matters in which their</w:t></w:r>
</w:p>
<w:p>
<w:pPr><w:pStyle w:val="Normal"/></w:pPr>
<w:r><w:t xml:space="preserve">colonies may be concerned, such as shipping arrangements and</w:t></w:r>
</w:p>
<w:p>
<w:pPr><w:pStyle w:val="Normal"/></w:pPr>
<w:r><w:t xml:space="preserve">rates of freight, cable communications and rates, tenders for</w:t></w:r>
</w:p>
<w:p>
<w:pPr><w:pStyle w:val="Normal"/></w:pPr>
<w:r><w:t xml:space="preserve">public works, &amp;c., and to make known the products of their</w:t></w:r>
</w:p>
<w:p>
<w:pPr><w:pStyle w:val="Normal"/></w:pPr>
<w:r><w:t xml:space="preserve">colonies.  Those colonies which are not under responsible</w:t></w:r>
</w:p>
<w:p>
<w:pPr><w:pStyle w:val="Normal"/></w:pPr>
<w:r><w:t xml:space="preserve">government are represented in London by crown agents.</w:t></w:r>
</w:p>
<w:p>
<w:pPr><w:pStyle w:val="Normal"/></w:pPr>
<w:r><w:t xml:space="preserve">AGESANDER, a Rhodian sculptor, whose title to fame is</w:t></w:r>
</w:p>
<w:p>
<w:pPr><w:pStyle w:val="Normal"/></w:pPr>
<w:r><w:t xml:space="preserve">that he is mentioned by Pliny (Nat. Hist. xxxvi. 37) as</w:t></w:r>
</w:p>
<w:p>
<w:pPr><w:pStyle w:val="Normal"/></w:pPr>
<w:r><w:t xml:space="preserve">author (with Polydorus and Athenodorus) of the group of the</w:t></w:r>
</w:p>
<w:p>
<w:pPr><w:pStyle w:val="Normal"/></w:pPr>
<w:r><w:t xml:space="preserve">Laocoon.  Inscriptions recently found at Lindus in Rhodes</w:t></w:r>
</w:p>
<w:p>
<w:pPr><w:pStyle w:val="Normal"/></w:pPr>
<w:r><w:t xml:space="preserve">date Agesander and Athenodorus to the period 42-21 B.C. The</w:t></w:r>
</w:p>
<w:p>
<w:pPr><w:pStyle w:val="Normal"/></w:pPr>
<w:r><w:t xml:space="preserve">date of the Laocoon seems thus finally settled, after long</w:t></w:r>
</w:p>
<w:p>
<w:pPr><w:pStyle w:val="Normal"/></w:pPr>
<w:r><w:t xml:space="preserve">controversy.  It represents the culmination of a sentimental</w:t></w:r>
</w:p>
<w:p>
<w:pPr><w:pStyle w:val="Normal"/></w:pPr>
<w:r><w:t xml:space="preserve">or pathetic tendency in art, which is prominent in the</w:t></w:r>
</w:p>
<w:p>
<w:pPr><w:pStyle w:val="Normal"/></w:pPr>
<w:r><w:t xml:space="preserve">somewhat earlier sculpture of Pergamum. (See GREEK ART.)</w:t></w:r>
</w:p>
<w:p>
<w:pPr><w:pStyle w:val="Normal"/></w:pPr>
<w:r><w:t xml:space="preserve">AGESILAUS II., king of Sparta, of the Eurypontid family,</w:t></w:r>
</w:p>
<w:p>
<w:pPr><w:pStyle w:val="Normal"/></w:pPr>
<w:r><w:t xml:space="preserve">was the son of Archidamus II. and Eupolia, and younger</w:t></w:r>
</w:p>
<w:p>
<w:pPr><w:pStyle w:val="Normal"/></w:pPr>
<w:r><w:t xml:space="preserve">step-brother of Agis II., whom he succeeded about 401 B.C.</w:t></w:r>
</w:p>
<w:p>
<w:pPr><w:pStyle w:val="Normal"/></w:pPr>
<w:r><w:t xml:space="preserve">Agis had, indeed, a son Leotychides, but he was set aside as</w:t></w:r>
</w:p>
<w:p>
<w:pPr><w:pStyle w:val="Normal"/></w:pPr>
<w:r><w:t xml:space="preserve">illegitimate, current rumour representing him as the son of</w:t></w:r>
</w:p>
<w:p>
<w:pPr><w:pStyle w:val="Normal"/></w:pPr>
<w:r><w:t xml:space="preserve">Alcibiades.  Agesilaus&apos; success was largely due to Lysander,</w:t></w:r>
</w:p>
<w:p>
<w:pPr><w:pStyle w:val="Normal"/></w:pPr>
<w:r><w:t xml:space="preserve">who hoped to find in him a willing tool for the furtherance</w:t></w:r>
</w:p>
<w:p>
<w:pPr><w:pStyle w:val="Normal"/></w:pPr>
<w:r><w:t xml:space="preserve">of his political designs; in this hope, however, Lysander war</w:t></w:r>
</w:p>
<w:p>
<w:pPr><w:pStyle w:val="Normal"/></w:pPr>
<w:r><w:t xml:space="preserve">disappointed, and the increasing power of Agesilaus soon</w:t></w:r>
</w:p>
<w:p>
<w:pPr><w:pStyle w:val="Normal"/></w:pPr>
<w:r><w:t xml:space="preserve">led to his downfall.  In 396 Agesilaus was sent to Asia</w:t></w:r>
</w:p>
<w:p>
<w:pPr><w:pStyle w:val="Normal"/></w:pPr>
<w:r><w:t xml:space="preserve">with a force of 2000 Neodamodes (enfranchized Helots) and</w:t></w:r>
</w:p>
<w:p>
<w:pPr><w:pStyle w:val="Normal"/></w:pPr>
<w:r><w:t xml:space="preserve">6000 allies to secure the Greek cities against a Persian</w:t></w:r>
</w:p>
<w:p>
<w:pPr><w:pStyle w:val="Normal"/></w:pPr>
<w:r><w:t xml:space="preserve">attack.  On the eve of sailing from Aulis he attempted to</w:t></w:r>
</w:p>
<w:p>
<w:pPr><w:pStyle w:val="Normal"/></w:pPr>
<w:r><w:t xml:space="preserve">offer a sacrifice, as Agamemnon had done before the Trojan</w:t></w:r>
</w:p>
<w:p>
<w:pPr><w:pStyle w:val="Normal"/></w:pPr>
<w:r><w:t xml:space="preserve">expedition, but the Thebans intervened to prevent it, an</w:t></w:r>
</w:p>
<w:p>
<w:pPr><w:pStyle w:val="Normal"/></w:pPr>
<w:r><w:t xml:space="preserve">insult for which he never forgave them.  On his arrival at</w:t></w:r>
</w:p>
<w:p>
<w:pPr><w:pStyle w:val="Normal"/></w:pPr>
<w:r><w:t xml:space="preserve">Ephesus a three months&apos; truce was concluded with Tissaphernes,</w:t></w:r>
</w:p>
<w:p>
<w:pPr><w:pStyle w:val="Normal"/></w:pPr>
<w:r><w:t xml:space="preserve">the satrap of Lydia and Caria, but negotiations conducted</w:t></w:r>
</w:p>
<w:p>
<w:pPr><w:pStyle w:val="Normal"/></w:pPr>
<w:r><w:t xml:space="preserve">during that time proved fruitless, and on its termination</w:t></w:r>
</w:p>
<w:p>
<w:pPr><w:pStyle w:val="Normal"/></w:pPr>
<w:r><w:t xml:space="preserve">Agesilaus raided Phrygia, where he easily won immense booty</w:t></w:r>
</w:p>
<w:p>
<w:pPr><w:pStyle w:val="Normal"/></w:pPr>
<w:r><w:t xml:space="preserve">since Tissaphernes had concentrated his troops in Carla.</w:t></w:r>
</w:p>
<w:p>
<w:pPr><w:pStyle w:val="Normal"/></w:pPr>
<w:r><w:t xml:space="preserve">After spending the winter in organizing a cavalry force, he</w:t></w:r>
</w:p>
<w:p>
<w:pPr><w:pStyle w:val="Normal"/></w:pPr>
<w:r><w:t xml:space="preserve">made a successful incursion into Lydia in the spring of 395.</w:t></w:r>
</w:p>
<w:p>
<w:pPr><w:pStyle w:val="Normal"/></w:pPr>
<w:r><w:t xml:space="preserve">Tithraustes was thereupon sent to replace Tissaphernes, who</w:t></w:r>
</w:p>
<w:p>
<w:pPr><w:pStyle w:val="Normal"/></w:pPr>
<w:r><w:t xml:space="preserve">paid with his life for his continued failure.  An armistice</w:t></w:r>
</w:p>
<w:p>
<w:pPr><w:pStyle w:val="Normal"/></w:pPr>
<w:r><w:t xml:space="preserve">was concluded between Tithraustes and Agesilaus, who left the</w:t></w:r>
</w:p>
<w:p>
<w:pPr><w:pStyle w:val="Normal"/></w:pPr>
<w:r><w:t xml:space="preserve">southern satrapy and again invaded Phrygia, which he ravaged</w:t></w:r>
</w:p>
<w:p>
<w:pPr><w:pStyle w:val="Normal"/></w:pPr>
<w:r><w:t xml:space="preserve">until the following spring.  He then came to an agreement</w:t></w:r>
</w:p>
<w:p>
<w:pPr><w:pStyle w:val="Normal"/></w:pPr>
<w:r><w:t xml:space="preserve">with the satrap Pharnabazus and once more turned southward.</w:t></w:r>
</w:p>
<w:p>
<w:pPr><w:pStyle w:val="Normal"/></w:pPr>
<w:r><w:t xml:space="preserve">It was said that he was planning a campaign in the interior,</w:t></w:r>
</w:p>
<w:p>
<w:pPr><w:pStyle w:val="Normal"/></w:pPr>
<w:r><w:t xml:space="preserve">or even an attack on Artaxerxes himself, when he was recalled</w:t></w:r>
</w:p>
<w:p>
<w:pPr><w:pStyle w:val="Normal"/></w:pPr>
<w:r><w:t xml:space="preserve">to Greece owing to the war between Sparta and the combined</w:t></w:r>
</w:p>
<w:p>
<w:pPr><w:pStyle w:val="Normal"/></w:pPr>
<w:r><w:t xml:space="preserve">forces of Athens, Thebes, Corinth, Argos and several minor</w:t></w:r>
</w:p>
<w:p>
<w:pPr><w:pStyle w:val="Normal"/></w:pPr>
<w:r><w:t xml:space="preserve">states.  A rapid march through Thrace and Macedonia brought</w:t></w:r>
</w:p>
<w:p>
<w:pPr><w:pStyle w:val="Normal"/></w:pPr>
<w:r><w:t xml:space="preserve">him to Thessaly, where he repulsed the Thessalian cavalry who</w:t></w:r>
</w:p>
<w:p>
<w:pPr><w:pStyle w:val="Normal"/></w:pPr>
<w:r><w:t xml:space="preserve">tried to impede him.  Reinforced by Phocian and Orchomenian</w:t></w:r>
</w:p>
<w:p>
<w:pPr><w:pStyle w:val="Normal"/></w:pPr>
<w:r><w:t xml:space="preserve">troops and a Spartan army, he met the confederate forces</w:t></w:r>
</w:p>
<w:p>
<w:pPr><w:pStyle w:val="Normal"/></w:pPr>
<w:r><w:t xml:space="preserve">at Coronea in Boeotia, and in a hotly contested battle was</w:t></w:r>
</w:p>
<w:p>
<w:pPr><w:pStyle w:val="Normal"/></w:pPr>
<w:r><w:t xml:space="preserve">technically victorious, but the success was a barren one</w:t></w:r>
</w:p>
<w:p>
<w:pPr><w:pStyle w:val="Normal"/></w:pPr>
<w:r><w:t xml:space="preserve">and he had to retire by way of Delphi to the Peloponnese.</w:t></w:r>
</w:p>
<w:p>
<w:pPr><w:pStyle w:val="Normal"/></w:pPr>
<w:r><w:t xml:space="preserve">Shortly before this battle the Spartan navy, of which he had</w:t></w:r>
</w:p>
<w:p>
<w:pPr><w:pStyle w:val="Normal"/></w:pPr>
<w:r><w:t xml:space="preserve">received the supreme command, was totally defeated off Cnidus</w:t></w:r>
</w:p>
<w:p>
<w:pPr><w:pStyle w:val="Normal"/></w:pPr>
<w:r><w:t xml:space="preserve">by a powerful Persian fleet under Conon and Pharnabazus.</w:t></w:r>
</w:p>
<w:p>
<w:pPr><w:pStyle w:val="Normal"/></w:pPr>
<w:r><w:t xml:space="preserve">Subsequently Agesilaus took a prominent part in the Corinthian</w:t></w:r>
</w:p>
<w:p>
<w:pPr><w:pStyle w:val="Normal"/></w:pPr>
<w:r><w:t xml:space="preserve">war, making several successful expeditions into Corinthian</w:t></w:r>
</w:p>
<w:p>
<w:pPr><w:pStyle w:val="Normal"/></w:pPr>
<w:r><w:t xml:space="preserve">territory and capturing Lechaeum and Piraeum.  The loss,</w:t></w:r>
</w:p>
<w:p>
<w:pPr><w:pStyle w:val="Normal"/></w:pPr>
<w:r><w:t xml:space="preserve">however, of a mora, which was destroyed by Iphicrates,</w:t></w:r>
</w:p>
<w:p>
<w:pPr><w:pStyle w:val="Normal"/></w:pPr>
<w:r><w:t xml:space="preserve">neutralized these successes, and Agesilaus returned to</w:t></w:r>
</w:p>
<w:p>
<w:pPr><w:pStyle w:val="Normal"/></w:pPr>
<w:r><w:t xml:space="preserve">Sparta.  In 389 he conducted a campaign in Acarnania, but</w:t></w:r>
</w:p>
<w:p>
<w:pPr><w:pStyle w:val="Normal"/></w:pPr>
<w:r><w:t xml:space="preserve">two years later the Peace of Antalcidas, which was warmly</w:t></w:r>
</w:p>
<w:p>
<w:pPr><w:pStyle w:val="Normal"/></w:pPr>
<w:r><w:t xml:space="preserve">supported by Agesilaus, put an end to hostilities.  When war</w:t></w:r>
</w:p>
<w:p>
<w:pPr><w:pStyle w:val="Normal"/></w:pPr>
<w:r><w:t xml:space="preserve">broke out afresh with Thebes the king twice invaded Boeotia</w:t></w:r>
</w:p>
<w:p>
<w:pPr><w:pStyle w:val="Normal"/></w:pPr>
<w:r><w:t xml:space="preserve">(378, 377), and it was on his advice that Cleombrotus was</w:t></w:r>
</w:p>
<w:p>
<w:pPr><w:pStyle w:val="Normal"/></w:pPr>
<w:r><w:t xml:space="preserve">ordered to march against Thebes in 371. Cleombrotus was</w:t></w:r>
</w:p>
<w:p>
<w:pPr><w:pStyle w:val="Normal"/></w:pPr>
<w:r><w:t xml:space="preserve">defeated at Leuctra and the Spartan supremacy overthrown.</w:t></w:r>
</w:p>
<w:p>
<w:pPr><w:pStyle w:val="Normal"/></w:pPr>
<w:r><w:t xml:space="preserve">In 370 Agesilaus tried to restore Spartan prestige by an</w:t></w:r>
</w:p>
<w:p>
<w:pPr><w:pStyle w:val="Normal"/></w:pPr>
<w:r><w:t xml:space="preserve">invasion of Mantinean territory, and his prudence and heroism</w:t></w:r>
</w:p>
<w:p>
<w:pPr><w:pStyle w:val="Normal"/></w:pPr>
<w:r><w:t xml:space="preserve">saved Sparta when her enemies, led by Epaminondas, penetrated</w:t></w:r>
</w:p>
<w:p>
<w:pPr><w:pStyle w:val="Normal"/></w:pPr>
<w:r><w:t xml:space="preserve">Laconia that same year, and again in 362 when they all but</w:t></w:r>
</w:p>
<w:p>
<w:pPr><w:pStyle w:val="Normal"/></w:pPr>
<w:r><w:t xml:space="preserve">succeeded in seizing the city by a rapid and unexpected</w:t></w:r>
</w:p>
<w:p>
<w:pPr><w:pStyle w:val="Normal"/></w:pPr>
<w:r><w:t xml:space="preserve">march.  The battle of Mantinea (362), in which Agesilaus took</w:t></w:r>
</w:p>
<w:p>
<w:pPr><w:pStyle w:val="Normal"/></w:pPr>
<w:r><w:t xml:space="preserve">no part, was followed by a general peace: Sparta, however,</w:t></w:r>
</w:p>
<w:p>
<w:pPr><w:pStyle w:val="Normal"/></w:pPr>
<w:r><w:t xml:space="preserve">stood aloof, hoping even yet to recover her supremacy.</w:t></w:r>
</w:p>
<w:p>
<w:pPr><w:pStyle w:val="Normal"/></w:pPr>
<w:r><w:t xml:space="preserve">In order to gain money for prosecuting the war Agesilaus</w:t></w:r>
</w:p>
<w:p>
<w:pPr><w:pStyle w:val="Normal"/></w:pPr>
<w:r><w:t xml:space="preserve">had supported the revolted satraps, and in 361 he went to</w:t></w:r>
</w:p>
<w:p>
<w:pPr><w:pStyle w:val="Normal"/></w:pPr>
<w:r><w:t xml:space="preserve">Egypt at the head of a mercenary force to aid Tachos against</w:t></w:r>
</w:p>
<w:p>
<w:pPr><w:pStyle w:val="Normal"/></w:pPr>
<w:r><w:t xml:space="preserve">Persia.  He soon transferred his services to Tachos&apos;s cousin</w:t></w:r>
</w:p>
<w:p>
<w:pPr><w:pStyle w:val="Normal"/></w:pPr>
<w:r><w:t xml:space="preserve">and rival Nectanabis, who, in return for his help, gave</w:t></w:r>
</w:p>
<w:p>
<w:pPr><w:pStyle w:val="Normal"/></w:pPr>
<w:r><w:t xml:space="preserve">him a sum of over 200 talents.  On his way home Agesilaus</w:t></w:r>
</w:p>
<w:p>
<w:pPr><w:pStyle w:val="Normal"/></w:pPr>
<w:r><w:t xml:space="preserve">died at the age of 84, after a reign of some 41 years.</w:t></w:r>
</w:p>
<w:p>
<w:pPr><w:pStyle w:val="Normal"/></w:pPr>
<w:r><w:t xml:space="preserve">A man of small stature and unimpressive appearance, he was</w:t></w:r>
</w:p>
<w:p>
<w:pPr><w:pStyle w:val="Normal"/></w:pPr>
<w:r><w:t xml:space="preserve">somewhat lame from birth, a fact which was used as an argument</w:t></w:r>
</w:p>
<w:p>
<w:pPr><w:pStyle w:val="Normal"/></w:pPr>
<w:r><w:t xml:space="preserve">against his succession, an oracle having warned Sparta against</w:t></w:r>
</w:p>
<w:p>
<w:pPr><w:pStyle w:val="Normal"/></w:pPr>
<w:r><w:t xml:space="preserve">a ``lame reign.&apos;&apos; He was a successful leader in guerilla</w:t></w:r>
</w:p>
<w:p>
<w:pPr><w:pStyle w:val="Normal"/></w:pPr>
<w:r><w:t xml:space="preserve">warfare, alert and quick, yet cautious--a man, moreover, whose</w:t></w:r>
</w:p>
<w:p>
<w:pPr><w:pStyle w:val="Normal"/></w:pPr>
<w:r><w:t xml:space="preserve">personal bravery was unquestioned.  As a statesman he won</w:t></w:r>
</w:p>
<w:p>
<w:pPr><w:pStyle w:val="Normal"/></w:pPr>
<w:r><w:t xml:space="preserve">himself both enthusiastic adherents and bitter enemies, but</w:t></w:r>
</w:p>
<w:p>
<w:pPr><w:pStyle w:val="Normal"/></w:pPr>
<w:r><w:t xml:space="preserve">of his patriotism there can be no doubt.  He lived in the most</w:t></w:r>
</w:p>
<w:p>
<w:pPr><w:pStyle w:val="Normal"/></w:pPr>
<w:r><w:t xml:space="preserve">frugal style alike at home and in the field, and though his</w:t></w:r>
</w:p>
<w:p>
<w:pPr><w:pStyle w:val="Normal"/></w:pPr>
<w:r><w:t xml:space="preserve">campaigns were undertaken largely to secure booty, he was content</w:t></w:r>
</w:p>
<w:p>
<w:pPr><w:pStyle w:val="Normal"/></w:pPr>
<w:r><w:t xml:space="preserve">to enrich the state and his friends and to return as poor as</w:t></w:r>
</w:p>
<w:p>
<w:pPr><w:pStyle w:val="Normal"/></w:pPr>
<w:r><w:t xml:space="preserve">he had set forth. . The worst trait in his character is his</w:t></w:r>
</w:p>
<w:p>
<w:pPr><w:pStyle w:val="Normal"/></w:pPr>
<w:r><w:t xml:space="preserve">implacable hatred of Thebes, which led directly to the battle</w:t></w:r>
</w:p>
<w:p>
<w:pPr><w:pStyle w:val="Normal"/></w:pPr>
<w:r><w:t xml:space="preserve">of Leuctra and Sparta&apos;s fall from her position of supremacy.</w:t></w:r>
</w:p>
<w:p>
<w:pPr><w:pStyle w:val="Normal"/></w:pPr>
<w:r><w:t xml:space="preserve">See lives of Agesilaus by Xenophon (the panegyric of a friend),</w:t></w:r>
</w:p>
<w:p>
<w:pPr><w:pStyle w:val="Normal"/></w:pPr>
<w:r><w:t xml:space="preserve">Cornelius Nepos and Plutarch; Xenophon&apos;s Hellenica and Diodorus</w:t></w:r>
</w:p>
<w:p>
<w:pPr><w:pStyle w:val="Normal"/></w:pPr>
<w:r><w:t xml:space="preserve">xiv., xv.  Among modern authorities, besides the general</w:t></w:r>
</w:p>
<w:p>
<w:pPr><w:pStyle w:val="Normal"/></w:pPr>
<w:r><w:t xml:space="preserve">histories of Greece, J. C. F. Manso, Sparta, iii. 39 ff.; G. F.</w:t></w:r>
</w:p>
<w:p>
<w:pPr><w:pStyle w:val="Normal"/></w:pPr>
<w:r><w:t xml:space="preserve">Hertzberg, Das Leben des Konigs Agesilaos II. von Sparta</w:t></w:r>
</w:p>
<w:p>
<w:pPr><w:pStyle w:val="Normal"/></w:pPr>
<w:r><w:t xml:space="preserve">(1856); Buttmann, Agesilaus Sohn des Archidamus (1872); C.</w:t></w:r>
</w:p>
<w:p>
<w:pPr><w:pStyle w:val="Normal"/></w:pPr>
<w:r><w:t xml:space="preserve">Haupt, Agesilaus in Asien (1874); E. von Stern, Geschichte der</w:t></w:r>
</w:p>
<w:p>
<w:pPr><w:pStyle w:val="Normal"/></w:pPr>
<w:r><w:t xml:space="preserve">spartanischen und thebanischen Hegemonie (1884). (M. N. T.)</w:t></w:r>
</w:p>
<w:p>
<w:pPr><w:pStyle w:val="Normal"/></w:pPr>
<w:r><w:t xml:space="preserve">AGGLOMERATE (from the Lat. agglomerare, to form into a ball,</w:t></w:r>
</w:p>
<w:p>
<w:pPr><w:pStyle w:val="Normal"/></w:pPr>
<w:r><w:t xml:space="preserve">glomus, glomeris), a term used in botany, meaning crowded</w:t></w:r>
</w:p>
<w:p>
<w:pPr><w:pStyle w:val="Normal"/></w:pPr>
<w:r><w:t xml:space="preserve">in a close cluster or head, and, in geology, applied to the</w:t></w:r>
</w:p>
<w:p>
<w:pPr><w:pStyle w:val="Normal"/></w:pPr>
<w:r><w:t xml:space="preserve">accumulations of coarse volcanic ejectamenta such as frequently</w:t></w:r>
</w:p>
<w:p>
<w:pPr><w:pStyle w:val="Normal"/></w:pPr>
<w:r><w:t xml:space="preserve">occur near extinct or active volcanoes.  Agglomerates in the</w:t></w:r>
</w:p>
<w:p>
<w:pPr><w:pStyle w:val="Normal"/></w:pPr>
<w:r><w:t xml:space="preserve">geological sense, with which this article is concerned, consist</w:t></w:r>
</w:p>
<w:p>
<w:pPr><w:pStyle w:val="Normal"/></w:pPr>
<w:r><w:t xml:space="preserve">typically of blocks of various igneous rocks, mixed often</w:t></w:r>
</w:p>
<w:p>
<w:pPr><w:pStyle w:val="Normal"/></w:pPr>
<w:r><w:t xml:space="preserve">with more or less material of rudimentary origin and embedded</w:t></w:r>
</w:p>
<w:p>
<w:pPr><w:pStyle w:val="Normal"/></w:pPr>
<w:r><w:t xml:space="preserve">in a finer-grained matrix, similar in nature to the coarser</w:t></w:r>
</w:p>
<w:p>
<w:pPr><w:pStyle w:val="Normal"/></w:pPr>
<w:r><w:t xml:space="preserve">fragments.  As distinguished from ordinary ash beds or tuffs,</w:t></w:r>
</w:p>
<w:p>
<w:pPr><w:pStyle w:val="Normal"/></w:pPr>
<w:r><w:t xml:space="preserve">they are essentially coarser, less frequently well-bedded;</w:t></w:r>
</w:p>
<w:p>
<w:pPr><w:pStyle w:val="Normal"/></w:pPr>
<w:r><w:t xml:space="preserve">they are less persistent and tend to occur locally, but</w:t></w:r>
</w:p>
<w:p>
<w:pPr><w:pStyle w:val="Normal"/></w:pPr>
<w:r><w:t xml:space="preserve">may attain a very great thickness.  Showers of fine ash may</w:t></w:r>
</w:p>
<w:p>
<w:pPr><w:pStyle w:val="Normal"/></w:pPr>
<w:r><w:t xml:space="preserve">be distributed over a wide area of country and will form</w:t></w:r>
</w:p>
<w:p>
<w:pPr><w:pStyle w:val="Normal"/></w:pPr>
<w:r><w:t xml:space="preserve">thin layers of great extent.  Coarser accumulations gather</w:t></w:r>
</w:p>
<w:p>
<w:pPr><w:pStyle w:val="Normal"/></w:pPr>
<w:r><w:t xml:space="preserve">only near the actual foci of eruption (craters, fissures,</w:t></w:r>
</w:p>
<w:p>
<w:pPr><w:pStyle w:val="Normal"/></w:pPr>
<w:r><w:t xml:space="preserve">&amp;c.).  When the activity of a volcanic vent comes to an</w:t></w:r>
</w:p>
<w:p>
<w:pPr><w:pStyle w:val="Normal"/></w:pPr>
<w:r><w:t xml:space="preserve">end, the orifice is often choked by masses of debris, which</w:t></w:r>
</w:p>
<w:p>
<w:pPr><w:pStyle w:val="Normal"/></w:pPr>
<w:r><w:t xml:space="preserve">will in time become compacted into firm agglomerates.  Hence</w:t></w:r>
</w:p>
<w:p>
<w:pPr><w:pStyle w:val="Normal"/></w:pPr>
<w:r><w:t xml:space="preserve">rocks of this type very commonly mark the sites of necks, the</w:t></w:r>
</w:p>
<w:p>
<w:pPr><w:pStyle w:val="Normal"/></w:pPr>
<w:r><w:t xml:space="preserve">remains of once-active volcanic craters.  In this connexion</w:t></w:r>
</w:p>
<w:p>
<w:pPr><w:pStyle w:val="Normal"/></w:pPr>
<w:r><w:t xml:space="preserve">they are of especial interest to geologists, as it is always</w:t></w:r>
</w:p>
<w:p>
<w:pPr><w:pStyle w:val="Normal"/></w:pPr>
<w:r><w:t xml:space="preserve">important to be able to locate the exact points at which</w:t></w:r>
</w:p>
<w:p>
<w:pPr><w:pStyle w:val="Normal"/></w:pPr>
<w:r><w:t xml:space="preserve">volcanic products, such as lavas and ash-beds, were emitted.</w:t></w:r>
</w:p>
<w:p>
<w:pPr><w:pStyle w:val="Normal"/></w:pPr>
<w:r><w:t xml:space="preserve">The blocks in agglomerates vary greatly in size.  Some</w:t></w:r>
</w:p>
<w:p>
<w:pPr><w:pStyle w:val="Normal"/></w:pPr>
<w:r><w:t xml:space="preserve">are thirty or forty feet in diameter, and weigh many tons;</w:t></w:r>
</w:p>
<w:p>
<w:pPr><w:pStyle w:val="Normal"/></w:pPr>
<w:r><w:t xml:space="preserve">these are usually pieces of the strata through which the</w:t></w:r>
</w:p>
<w:p>
<w:pPr><w:pStyle w:val="Normal"/></w:pPr>
<w:r><w:t xml:space="preserve">volcano has forced an outlet.  They are never far from the</w:t></w:r>
</w:p>
<w:p>
<w:pPr><w:pStyle w:val="Normal"/></w:pPr>
<w:r><w:t xml:space="preserve">crater; most of them, in fact, lie within its boundaries,</w:t></w:r>
</w:p>
<w:p>
<w:pPr><w:pStyle w:val="Normal"/></w:pPr>
<w:r><w:t xml:space="preserve">and cases are known in which enormous masses of this kind</w:t></w:r>
</w:p>
<w:p>
<w:pPr><w:pStyle w:val="Normal"/></w:pPr>
<w:r><w:t xml:space="preserve">(half an acre in area) have been found in such situations.</w:t></w:r>
</w:p>
<w:p>
<w:pPr><w:pStyle w:val="Normal"/></w:pPr>
<w:r><w:t xml:space="preserve">They are masses which have been dislodged, by fissures and</w:t></w:r>
</w:p>
<w:p>
<w:pPr><w:pStyle w:val="Normal"/></w:pPr>
<w:r><w:t xml:space="preserve">landslides, from the crater&apos;s walls and have tumbled into the</w:t></w:r>
</w:p>
<w:p>
<w:pPr><w:pStyle w:val="Normal"/></w:pPr>
<w:r><w:t xml:space="preserve">cavity.  Pieces of sandstone, limestone and shale occur in</w:t></w:r>
</w:p>
<w:p>
<w:pPr><w:pStyle w:val="Normal"/></w:pPr>
<w:r><w:t xml:space="preserve">the agglomerates mixed with volcanic materials, and very</w:t></w:r>
</w:p>
<w:p>
<w:pPr><w:pStyle w:val="Normal"/></w:pPr>
<w:r><w:t xml:space="preserve">often have been baked and partly recrystallized by contact</w:t></w:r>
</w:p>
<w:p>
<w:pPr><w:pStyle w:val="Normal"/></w:pPr>
<w:r><w:t xml:space="preserve">with the hot igneous rocks and the gases discharged by the</w:t></w:r>
</w:p>
<w:p>
<w:pPr><w:pStyle w:val="Normal"/></w:pPr>
<w:r><w:t xml:space="preserve">volcano.  At Vesuvius such blocks of altered limestone</w:t></w:r>
</w:p>
<w:p>
<w:pPr><w:pStyle w:val="Normal"/></w:pPr>
<w:r><w:t xml:space="preserve">are rich in new minerals and are well known to collectors.</w:t></w:r>
</w:p>
<w:p>
<w:pPr><w:pStyle w:val="Normal"/></w:pPr>
<w:r><w:t xml:space="preserve">Agglomerates also are usually full of volcanic bombs.  These</w:t></w:r>
</w:p>
<w:p>
<w:pPr><w:pStyle w:val="Normal"/></w:pPr>
<w:r><w:t xml:space="preserve">are spongy globular masses of lava which have been shot from</w:t></w:r>
</w:p>
<w:p>
<w:pPr><w:pStyle w:val="Normal"/></w:pPr>
<w:r><w:t xml:space="preserve">the crater at a time when liquid molten lava was exposed in</w:t></w:r>
</w:p>
<w:p>
<w:pPr><w:pStyle w:val="Normal"/></w:pPr>
<w:r><w:t xml:space="preserve">it, and was frequently shattered by the sudden outbursts of</w:t></w:r>
</w:p>
<w:p>
<w:pPr><w:pStyle w:val="Normal"/></w:pPr>
<w:r><w:t xml:space="preserve">steam.  These bombs were more or less viscous at the moment of</w:t></w:r>
</w:p>
<w:p>
<w:pPr><w:pStyle w:val="Normal"/></w:pPr>
<w:r><w:t xml:space="preserve">ejection and by rotation in the air acquired their spheroidal</w:t></w:r>
</w:p>
<w:p>
<w:pPr><w:pStyle w:val="Normal"/></w:pPr>
<w:r><w:t xml:space="preserve">form.  They are commonly one or two feet in diameter,</w:t></w:r>
</w:p>
<w:p>
<w:pPr><w:pStyle w:val="Normal"/></w:pPr>
<w:r><w:t xml:space="preserve">but specimens as large as nine or twelve feet have been</w:t></w:r>
</w:p>
<w:p>
<w:pPr><w:pStyle w:val="Normal"/></w:pPr>
<w:r><w:t xml:space="preserve">observed.  There is less variety in their composition at any</w:t></w:r>
</w:p>
<w:p>
<w:pPr><w:pStyle w:val="Normal"/></w:pPr>
<w:r><w:t xml:space="preserve">volcanic centre than in the case of the foreign blocks above</w:t></w:r>
</w:p>
<w:p>
<w:pPr><w:pStyle w:val="Normal"/></w:pPr>
<w:r><w:t xml:space="preserve">described.  They correspond in nature to the lava which at</w:t></w:r>
</w:p>
<w:p>
<w:pPr><w:pStyle w:val="Normal"/></w:pPr>
<w:r><w:t xml:space="preserve">the time fills the crater of the volcano, and as this varies</w:t></w:r>
</w:p>
<w:p>
<w:pPr><w:pStyle w:val="Normal"/></w:pPr>
<w:r><w:t xml:space="preserve">only very slowly the bombs belong mostly to only a few kinds</w:t></w:r>
</w:p>
<w:p>
<w:pPr><w:pStyle w:val="Normal"/></w:pPr>
<w:r><w:t xml:space="preserve">of rock and are similar in composition to the lava flows.</w:t></w:r>
</w:p>
<w:p>
<w:pPr><w:pStyle w:val="Normal"/></w:pPr>
<w:r><w:t xml:space="preserve">Crystalline masses of a different kind occur in some</w:t></w:r>
</w:p>
<w:p>
<w:pPr><w:pStyle w:val="Normal"/></w:pPr>
<w:r><w:t xml:space="preserve">numbers in certain agglomerates.  They consist of volcanic</w:t></w:r>
</w:p>
<w:p>
<w:pPr><w:pStyle w:val="Normal"/></w:pPr>
<w:r><w:t xml:space="preserve">minerals very much the same as those formed in the lavas,</w:t></w:r>
</w:p>
<w:p>
<w:pPr><w:pStyle w:val="Normal"/></w:pPr>
<w:r><w:t xml:space="preserve">but exhibiting certain peculiarities which indicate that</w:t></w:r>
</w:p>
<w:p>
<w:pPr><w:pStyle w:val="Normal"/></w:pPr>
<w:r><w:t xml:space="preserve">they have formed slowly under pressure at considerable</w:t></w:r>
</w:p>
<w:p>
<w:pPr><w:pStyle w:val="Normal"/></w:pPr>
<w:r><w:t xml:space="preserve">depths.  Hence they bear a resemblance to plutonic igneous</w:t></w:r>
</w:p>
<w:p>
<w:pPr><w:pStyle w:val="Normal"/></w:pPr>
<w:r><w:t xml:space="preserve">rocks, but are more correctly to be regarded as agglomerations</w:t></w:r>
</w:p>
<w:p>
<w:pPr><w:pStyle w:val="Normal"/></w:pPr>
<w:r><w:t xml:space="preserve">of crystals formed within the liquid lava as it slowly rose</w:t></w:r>
</w:p>
<w:p>
<w:pPr><w:pStyle w:val="Normal"/></w:pPr>
<w:r><w:t xml:space="preserve">towards the surface, and at a subsequent period cast out</w:t></w:r>
</w:p>
<w:p>
<w:pPr><w:pStyle w:val="Normal"/></w:pPr>
<w:r><w:t xml:space="preserve">by violent steam explosions.  The sanidinites of the Eifel</w:t></w:r>
</w:p>
<w:p>
<w:pPr><w:pStyle w:val="Normal"/></w:pPr>
<w:r><w:t xml:space="preserve">belong to this group.  At Vesuvius, Ascension, St Vincent</w:t></w:r>
</w:p>
<w:p>
<w:pPr><w:pStyle w:val="Normal"/></w:pPr>
<w:r><w:t xml:space="preserve">and many other volcanoes, they form a not inconsiderable</w:t></w:r>
</w:p>
<w:p>
<w:pPr><w:pStyle w:val="Heading1"/></w:pPr>
<w:r><w:t>part of the coarser ash-beds.  Their commonest minerals are</w:t></w:r>
</w:p>
<w:p>
<w:pPr><w:pStyle w:val="Normal"/></w:pPr>
<w:r><w:t xml:space="preserve">olivine, anorthite, hornblende, augite, biotite and leucite.</w:t></w:r>
</w:p>
<w:p>
<w:pPr><w:pStyle w:val="Normal"/></w:pPr>
<w:r><w:t xml:space="preserve">Agglomerates occur wherever volcanoes are known.  In many</w:t></w:r>
</w:p>
<w:p>
<w:pPr><w:pStyle w:val="Normal"/></w:pPr>
<w:r><w:t xml:space="preserve">parts of Britain they attain a great development either in</w:t></w:r>
</w:p>
<w:p>
<w:pPr><w:pStyle w:val="Normal"/></w:pPr>
<w:r><w:t xml:space="preserve">beds alternating with lavas or as the material occupying</w:t></w:r>
</w:p>
<w:p>
<w:pPr><w:pStyle w:val="Normal"/></w:pPr>
<w:r><w:t xml:space="preserve">necks.  In the latter case they are often penetrated by</w:t></w:r>
</w:p>
<w:p>
<w:pPr><w:pStyle w:val="Normal"/></w:pPr>
<w:r><w:t xml:space="preserve">dikes.  They also show a steep, angular, funnel-shaped</w:t></w:r>
</w:p>
<w:p>
<w:pPr><w:pStyle w:val="Normal"/></w:pPr>
<w:r><w:t xml:space="preserve">dip (e.g. Arthur&apos;s Seat, Edinburgh), and may contain</w:t></w:r>
</w:p>
<w:p>
<w:pPr><w:pStyle w:val="Normal"/></w:pPr>
<w:r><w:t xml:space="preserve">thin layers of clay or ashy sand-stone, which gathered</w:t></w:r>
</w:p>
<w:p>
<w:pPr><w:pStyle w:val="Normal"/></w:pPr>
<w:r><w:t xml:space="preserve">in the crater during intervals of repose. (J. S. F.)</w:t></w:r>
</w:p>
<w:p>
<w:pPr><w:pStyle w:val="Normal"/></w:pPr>
<w:r><w:t xml:space="preserve">AGGLUTINATION (Lat. ad, and gluten, glutinare, literally</w:t></w:r>
</w:p>
<w:p>
<w:pPr><w:pStyle w:val="Normal"/></w:pPr>
<w:r><w:t xml:space="preserve">to fasten together with glue), a term used technically in</w:t></w:r>
</w:p>
<w:p>
<w:pPr><w:pStyle w:val="Normal"/></w:pPr>
<w:r><w:t xml:space="preserve">philology for the method of word-formation by which two</w:t></w:r>
</w:p>
<w:p>
<w:pPr><w:pStyle w:val="Normal"/></w:pPr>
<w:r><w:t xml:space="preserve">significant words or roots are joined together in a single</w:t></w:r>
</w:p>
<w:p>
<w:pPr><w:pStyle w:val="Normal"/></w:pPr>
<w:r><w:t xml:space="preserve">word to express a combination of the two meanings each of</w:t></w:r>
</w:p>
<w:p>
<w:pPr><w:pStyle w:val="Normal"/></w:pPr>
<w:r><w:t xml:space="preserve">which retains its force.  This juxtaposition or conjoining</w:t></w:r>
</w:p>
<w:p>
<w:pPr><w:pStyle w:val="Normal"/></w:pPr>
<w:r><w:t xml:space="preserve">of roots is characteristic of languages such as the Turkish</w:t></w:r>
</w:p>
<w:p>
<w:pPr><w:pStyle w:val="Normal"/></w:pPr>
<w:r><w:t xml:space="preserve">and Japanese, which are therefore known as agglutinative,</w:t></w:r>
</w:p>
<w:p>
<w:pPr><w:pStyle w:val="Normal"/></w:pPr>
<w:r><w:t xml:space="preserve">as opposed to others, known generically as inflexional,</w:t></w:r>
</w:p>
<w:p>
<w:pPr><w:pStyle w:val="Normal"/></w:pPr>
<w:r><w:t xml:space="preserve">in which differences of termination or combinations in</w:t></w:r>
</w:p>
<w:p>
<w:pPr><w:pStyle w:val="Normal"/></w:pPr>
<w:r><w:t xml:space="preserve">which all separate identity disappears are predominant.</w:t></w:r>
</w:p>
<w:p>
<w:pPr><w:pStyle w:val="Normal"/></w:pPr>
<w:r><w:t xml:space="preserve">The term was also formerly used by associationist</w:t></w:r>
</w:p>
<w:p>
<w:pPr><w:pStyle w:val="Normal"/></w:pPr>
<w:r><w:t xml:space="preserve">philosophers for those mental associations which were</w:t></w:r>
</w:p>
<w:p>
<w:pPr><w:pStyle w:val="Normal"/></w:pPr>
<w:r><w:t xml:space="preserve">regarded as peculiarly close.  Combination in its</w:t></w:r>
</w:p>
<w:p>
<w:pPr><w:pStyle w:val="Normal"/></w:pPr>
<w:r><w:t xml:space="preserve">simplest form has been called Agglutination by W. Wundt.</w:t></w:r>
</w:p>
<w:p>
<w:pPr><w:pStyle w:val="Normal"/></w:pPr>
<w:r><w:t xml:space="preserve">AGGRAVATION (from Lat. ad, increasing, and gravis,</w:t></w:r>
</w:p>
<w:p>
<w:pPr><w:pStyle w:val="Normal"/></w:pPr>
<w:r><w:t xml:space="preserve">heavy), the making anything graver or more serious, especially</w:t></w:r>
</w:p>
<w:p>
<w:pPr><w:pStyle w:val="Normal"/></w:pPr>
<w:r><w:t xml:space="preserve">of offences; also used as synonymous with ``irritation.&apos;&apos; In the</w:t></w:r>
</w:p>
<w:p>
<w:pPr><w:pStyle w:val="Normal"/></w:pPr>
<w:r><w:t xml:space="preserve">canon law ``aggravation&apos;&apos; was a form of ecclesiastical censure,</w:t></w:r>
</w:p>
<w:p>
<w:pPr><w:pStyle w:val="Normal"/></w:pPr>
<w:r><w:t xml:space="preserve">threatening excommunication after three disregarded admonitions.</w:t></w:r>
</w:p>
<w:p>
<w:pPr><w:pStyle w:val="Normal"/></w:pPr>
<w:r><w:t xml:space="preserve">AGGREGATION (from the Lat. ad, to, gregare, to collect</w:t></w:r>
</w:p>
<w:p>
<w:pPr><w:pStyle w:val="Normal"/></w:pPr>
<w:r><w:t xml:space="preserve">together), in physics, a collective term for the forms or</w:t></w:r>
</w:p>
<w:p>
<w:pPr><w:pStyle w:val="Normal"/></w:pPr>
<w:r><w:t xml:space="preserve">states in which matter exists.  Three primary ``states of</w:t></w:r>
</w:p>
<w:p>
<w:pPr><w:pStyle w:val="Normal"/></w:pPr>
<w:r><w:t xml:space="preserve">aggregation&apos;&apos; are recognized--gaseous, liquid and solid.</w:t></w:r>
</w:p>
<w:p>
<w:pPr><w:pStyle w:val="Normal"/></w:pPr>
<w:r><w:t xml:space="preserve">Generally, if a solid be heated to a certain temperature, it</w:t></w:r>
</w:p>
<w:p>
<w:pPr><w:pStyle w:val="Normal"/></w:pPr>
<w:r><w:t xml:space="preserve">melts or fuses, assuming the liquid condition (see FUSION);</w:t></w:r>
</w:p>
<w:p>
<w:pPr><w:pStyle w:val="Normal"/></w:pPr>
<w:r><w:t xml:space="preserve">if the heating be continued the liquid boils and becomes</w:t></w:r>
</w:p>
<w:p>
<w:pPr><w:pStyle w:val="Normal"/></w:pPr>
<w:r><w:t xml:space="preserve">a vapour (see VAPORIZATION.) On the other hand, if a gas</w:t></w:r>
</w:p>
<w:p>
<w:pPr><w:pStyle w:val="Normal"/></w:pPr>
<w:r><w:t xml:space="preserve">be sufficiently cooled and compressed, it liquefies; this</w:t></w:r>
</w:p>
<w:p>
<w:pPr><w:pStyle w:val="Normal"/></w:pPr>
<w:r><w:t xml:space="preserve">transition is treated theoretically in the article CONDENSATION</w:t></w:r>
</w:p>
<w:p>
<w:pPr><w:pStyle w:val="Normal"/></w:pPr>
<w:r><w:t xml:space="preserve">OF GASES, and experimentally in the article LIQUID GASES.</w:t></w:r>
</w:p>
<w:p>
<w:pPr><w:pStyle w:val="Normal"/></w:pPr>
<w:r><w:t xml:space="preserve">AGGTELEK, a village of Hungary, in the county of Gomor,</w:t></w:r>
</w:p>
<w:p>
<w:pPr><w:pStyle w:val="Normal"/></w:pPr>
<w:r><w:t xml:space="preserve">situated to the south of Rozsnyo, on the road from Budapest to</w:t></w:r>
</w:p>
<w:p>
<w:pPr><w:pStyle w:val="Normal"/></w:pPr>
<w:r><w:t xml:space="preserve">Dobsina.  Pop. (1900) 557. In the neighbourhood is the</w:t></w:r>
</w:p>
<w:p>
<w:pPr><w:pStyle w:val="Normal"/></w:pPr>
<w:r><w:t xml:space="preserve">celebrated Aggtelek or Baradla cavern, one of the largest</w:t></w:r>
</w:p>
<w:p>
<w:pPr><w:pStyle w:val="Normal"/></w:pPr>
<w:r><w:t xml:space="preserve">and most remarkable stalactite grottos in Europe.  It has a</w:t></w:r>
</w:p>
<w:p>
<w:pPr><w:pStyle w:val="Normal"/></w:pPr>
<w:r><w:t xml:space="preserve">length, together with its ramifications, of over 5 miles, and</w:t></w:r>
</w:p>
<w:p>
<w:pPr><w:pStyle w:val="Normal"/></w:pPr>
<w:r><w:t xml:space="preserve">is formed of two caverns--one known for several centuries,</w:t></w:r>
</w:p>
<w:p>
<w:pPr><w:pStyle w:val="Normal"/></w:pPr>
<w:r><w:t xml:space="preserve">and another discovered by the naturalist Adolf Schmidl in</w:t></w:r>
</w:p>
<w:p>
<w:pPr><w:pStyle w:val="Normal"/></w:pPr>
<w:r><w:t xml:space="preserve">1856.  Two entrances give access to the grotto, an old one</w:t></w:r>
</w:p>
<w:p>
<w:pPr><w:pStyle w:val="Normal"/></w:pPr>
<w:r><w:t xml:space="preserve">extremely narrow, and a new one, made in 1890, through which</w:t></w:r>
</w:p>
<w:p>
<w:pPr><w:pStyle w:val="Normal"/></w:pPr>
<w:r><w:t xml:space="preserve">the exploration of the cavern can be made in about 8 hours,</w:t></w:r>
</w:p>
<w:p>
<w:pPr><w:pStyle w:val="Normal"/></w:pPr>
<w:r><w:t xml:space="preserve">half the time it took before.  The cavern is composed of</w:t></w:r>
</w:p>
<w:p>
<w:pPr><w:pStyle w:val="Normal"/></w:pPr>
<w:r><w:t xml:space="preserve">a labyrinth of passages and large and small halls, and is</w:t></w:r>
</w:p>
<w:p>
<w:pPr><w:pStyle w:val="Normal"/></w:pPr>
<w:r><w:t xml:space="preserve">traversed by a stream.  In these caverns there are numerous</w:t></w:r>
</w:p>
<w:p>
<w:pPr><w:pStyle w:val="Normal"/></w:pPr>
<w:r><w:t xml:space="preserve">stalactite structures, which, from their curious and fantastic</w:t></w:r>
</w:p>
<w:p>
<w:pPr><w:pStyle w:val="Normal"/></w:pPr>
<w:r><w:t xml:space="preserve">shapes, have received such names as the Image of the Virgin,</w:t></w:r>
</w:p>
<w:p>
<w:pPr><w:pStyle w:val="Normal"/></w:pPr>
<w:r><w:t xml:space="preserve">the Mosaic Altar, &amp;c. The principal parts are the Paradies</w:t></w:r>
</w:p>
<w:p>
<w:pPr><w:pStyle w:val="Normal"/></w:pPr>
<w:r><w:t xml:space="preserve">with the finest stalactites, the Astronomical Tower and the</w:t></w:r>
</w:p>
<w:p>
<w:pPr><w:pStyle w:val="Normal"/></w:pPr>
<w:r><w:t xml:space="preserve">Beinhaus.  Rats, frogs and bats form actually the only</w:t></w:r>
</w:p>
<w:p>
<w:pPr><w:pStyle w:val="Normal"/></w:pPr>
<w:r><w:t xml:space="preserve">animal life in the caves, but a great number of antediluvian</w:t></w:r>
</w:p>
<w:p>
<w:pPr><w:pStyle w:val="Normal"/></w:pPr>
<w:r><w:t xml:space="preserve">animal bones have been found here, as well as human bones</w:t></w:r>
</w:p>
<w:p>
<w:pPr><w:pStyle w:val="Normal"/></w:pPr>
<w:r><w:t xml:space="preserve">and numerous remains of prehistoric human settlements.</w:t></w:r>
</w:p>
<w:p>
<w:pPr><w:pStyle w:val="Normal"/></w:pPr>
<w:r><w:t xml:space="preserve">AGINCOURT (AZINCOURT), a village of northern France in</w:t></w:r>
</w:p>
<w:p>
<w:pPr><w:pStyle w:val="Normal"/></w:pPr>
<w:r><w:t xml:space="preserve">the department of Pas de Calais, 14 m.  N.W. of St Pol by</w:t></w:r>
</w:p>
<w:p>
<w:pPr><w:pStyle w:val="Normal"/></w:pPr>
<w:r><w:t xml:space="preserve">road, famous on account of the victory, on the 25th of October</w:t></w:r>
</w:p>
<w:p>
<w:pPr><w:pStyle w:val="Normal"/></w:pPr>
<w:r><w:t xml:space="preserve">1415, of Henry V. of England over the French.  The battle</w:t></w:r>
</w:p>
<w:p>
<w:pPr><w:pStyle w:val="Normal"/></w:pPr>
<w:r><w:t xml:space="preserve">was fought in the defile formed by the wood of Agincourt and</w:t></w:r>
</w:p>
<w:p>
<w:pPr><w:pStyle w:val="Normal"/></w:pPr>
<w:r><w:t xml:space="preserve">that of Tramecourt, at the northern exit of which the army</w:t></w:r>
</w:p>
<w:p>
<w:pPr><w:pStyle w:val="Normal"/></w:pPr>
<w:r><w:t xml:space="preserve">under d&apos;Albret, constable of France, had placed itself so</w:t></w:r>
</w:p>
<w:p>
<w:pPr><w:pStyle w:val="Normal"/></w:pPr>
<w:r><w:t xml:space="preserve">as to bar the way to Calais against the English forces which</w:t></w:r>
</w:p>
<w:p>
<w:pPr><w:pStyle w:val="Normal"/></w:pPr>
<w:r><w:t xml:space="preserve">had been campaigning on the Somme.  The night of the 24th</w:t></w:r>
</w:p>
<w:p>
<w:pPr><w:pStyle w:val="Normal"/></w:pPr>
<w:r><w:t xml:space="preserve">of October was spent by the two armies on the ground, and</w:t></w:r>
</w:p>
<w:p>
<w:pPr><w:pStyle w:val="Normal"/></w:pPr>
<w:r><w:t xml:space="preserve">the English had but little shelter from the heavy rain which</w:t></w:r>
</w:p>
<w:p>
<w:pPr><w:pStyle w:val="Normal"/></w:pPr>
<w:r><w:t xml:space="preserve">fell.  Early on the 25th, St Crispin&apos;s day, Henry arrayed</w:t></w:r>
</w:p>
<w:p>
<w:pPr><w:pStyle w:val="Normal"/></w:pPr>
<w:r><w:t xml:space="preserve">his little army (about 1000 men-at-arms, 6000 archers, and a</w:t></w:r>
</w:p>
<w:p>
<w:pPr><w:pStyle w:val="Normal"/></w:pPr>
<w:r><w:t xml:space="preserve">few thousands of other foot).  It is probable that the usual</w:t></w:r>
</w:p>
<w:p>
<w:pPr><w:pStyle w:val="Normal"/></w:pPr>
<w:r><w:t xml:space="preserve">three ``battles&apos;&apos; were drawn up in line, each with its archers</w:t></w:r>
</w:p>
<w:p>
<w:pPr><w:pStyle w:val="Normal"/></w:pPr>
<w:r><w:t xml:space="preserve">on the flanks and the dismounted men-at-arms in the centre;</w:t></w:r>
</w:p>
<w:p>
<w:pPr><w:pStyle w:val="Normal"/></w:pPr>
<w:r><w:t xml:space="preserve">the archers being thrown forward in wedge-shaped salients,</w:t></w:r>
</w:p>
<w:p>
<w:pPr><w:pStyle w:val="Normal"/></w:pPr>
<w:r><w:t xml:space="preserve">almost exactly as at Crecy (q.v..) The French, on the other</w:t></w:r>
</w:p>
<w:p>
<w:pPr><w:pStyle w:val="Normal"/></w:pPr>
<w:r><w:t xml:space="preserve">hand, were drawn up in three lines, each line formed in deep</w:t></w:r>
</w:p>
<w:p>
<w:pPr><w:pStyle w:val="Normal"/></w:pPr>
<w:r><w:t xml:space="preserve">masses.  They were at least four times more numerous than the</w:t></w:r>
</w:p>
<w:p>
<w:pPr><w:pStyle w:val="Normal"/></w:pPr>
<w:r><w:t xml:space="preserve">English, but restricted by the nature of the ground to the</w:t></w:r>
</w:p>
<w:p>
<w:pPr><w:pStyle w:val="Normal"/></w:pPr>
<w:r><w:t xml:space="preserve">same extent of front, they were unable to use their full</w:t></w:r>
</w:p>
<w:p>
<w:pPr><w:pStyle w:val="Normal"/></w:pPr>
<w:r><w:t xml:space="preserve">weight (cf. Bannockburn); further, the deep mud prevented</w:t></w:r>
</w:p>
<w:p>
<w:pPr><w:pStyle w:val="Normal"/></w:pPr>
<w:r><w:t xml:space="preserve">their artillery from taking part, and the crossbowmen were as</w:t></w:r>
</w:p>
<w:p>
<w:pPr><w:pStyle w:val="Normal"/></w:pPr>
<w:r><w:t xml:space="preserve">usual relegated to the rear of the knights and men-at-arms.</w:t></w:r>
</w:p>
<w:p>
<w:pPr><w:pStyle w:val="Normal"/></w:pPr>
<w:r><w:t xml:space="preserve">All were dismounted save a few knights and men-at-arms on</w:t></w:r>
</w:p>
<w:p>
<w:pPr><w:pStyle w:val="Normal"/></w:pPr>
<w:r><w:t xml:space="preserve">the flanks, who were intended to charge the archers of the</w:t></w:r>
</w:p>
<w:p>
<w:pPr><w:pStyle w:val="Normal"/></w:pPr>
<w:r><w:t xml:space="preserve">enemy.  For three hours after sunrise there was no fighting;</w:t></w:r>
</w:p>
<w:p>
<w:pPr><w:pStyle w:val="Normal"/></w:pPr>
<w:r><w:t xml:space="preserve">then Henry, finding that the French would not advance,</w:t></w:r>
</w:p>
<w:p>
<w:pPr><w:pStyle w:val="Normal"/></w:pPr>
<w:r><w:t xml:space="preserve">moved his army farther into the defile.  The archers fixed</w:t></w:r>
</w:p>
<w:p>
<w:pPr><w:pStyle w:val="Normal"/></w:pPr>
<w:r><w:t xml:space="preserve">the pointed stakes, which they carried to ward off cavalry</w:t></w:r>
</w:p>
<w:p>
<w:pPr><w:pStyle w:val="Normal"/></w:pPr>
<w:r><w:t xml:space="preserve">charges, and opened the engagement with flights of arrows.</w:t></w:r>
</w:p>
<w:p>
<w:pPr><w:pStyle w:val="Normal"/></w:pPr>
<w:r><w:t xml:space="preserve">The chivalry of France, undisciplined and careless of the</w:t></w:r>
</w:p>
<w:p>
<w:pPr><w:pStyle w:val="Normal"/></w:pPr>
<w:r><w:t xml:space="preserve">lesson of Crecy and Poitiers, was quickly stung into action,</w:t></w:r>
</w:p>
<w:p>
<w:pPr><w:pStyle w:val="Normal"/></w:pPr>
<w:r><w:t xml:space="preserve">and the French mounted men charged, only to be driven back in</w:t></w:r>
</w:p>
<w:p>
<w:pPr><w:pStyle w:val="Normal"/></w:pPr>
<w:r><w:t xml:space="preserve">confusion.  The constable himself headed the leading line</w:t></w:r>
</w:p>
<w:p>
<w:pPr><w:pStyle w:val="Normal"/></w:pPr>
<w:r><w:t xml:space="preserve">of dismounted men-at-arms; weighted with their armour, and</w:t></w:r>
</w:p>
<w:p>
<w:pPr><w:pStyle w:val="Normal"/></w:pPr>
<w:r><w:t xml:space="preserve">sinking deep into the mud with every step, they yet reached and</w:t></w:r>
</w:p>
<w:p>
<w:pPr><w:pStyle w:val="Normal"/></w:pPr>
<w:r><w:t xml:space="preserve">engaged the English men-at-arms; for a time the fighting was</w:t></w:r>
</w:p>
<w:p>
<w:pPr><w:pStyle w:val="Normal"/></w:pPr>
<w:r><w:t xml:space="preserve">severe.  The thin line of the defenders was borne back and</w:t></w:r>
</w:p>
<w:p>
<w:pPr><w:pStyle w:val="Normal"/></w:pPr>
<w:r><w:t xml:space="preserve">King Henry was almost beaten to the ground.  But at this</w:t></w:r>
</w:p>
<w:p>
<w:pPr><w:pStyle w:val="Normal"/></w:pPr>
<w:r><w:t xml:space="preserve">moment the archers, taking their hatchets, swords or other</w:t></w:r>
</w:p>
<w:p>
<w:pPr><w:pStyle w:val="Normal"/></w:pPr>
<w:r><w:t xml:space="preserve">weapons, penetrated the gaps in the now disordered French,</w:t></w:r>
</w:p>
<w:p>
<w:pPr><w:pStyle w:val="Normal"/></w:pPr>
<w:r><w:t xml:space="preserve">who could not move to cope with their unarmoured assailants,</w:t></w:r>
</w:p>
<w:p>
<w:pPr><w:pStyle w:val="Normal"/></w:pPr>
<w:r><w:t xml:space="preserve">and were slaughtered or taken prisoners to a man.  The</w:t></w:r>
</w:p>
<w:p>
<w:pPr><w:pStyle w:val="Normal"/></w:pPr>
<w:r><w:t xml:space="preserve">second line of the French came on, only to be engulfed in the</w:t></w:r>
</w:p>
<w:p>
<w:pPr><w:pStyle w:val="Normal"/></w:pPr>
<w:r><w:t xml:space="preserve">melee; its leaders, like those of the first line, were</w:t></w:r>
</w:p>
<w:p>
<w:pPr><w:pStyle w:val="Normal"/></w:pPr>
<w:r><w:t xml:space="preserve">killed or taken, and the commanders of the third sought and</w:t></w:r>
</w:p>
<w:p>
<w:pPr><w:pStyle w:val="Normal"/></w:pPr>
<w:r><w:t xml:space="preserve">found their death in the battle, while their men rode off to</w:t></w:r>
</w:p>
<w:p>
<w:pPr><w:pStyle w:val="Normal"/></w:pPr>
<w:r><w:t xml:space="preserve">safety.  The closing scene of the battle was a half-hearted</w:t></w:r>
</w:p>
<w:p>
<w:pPr><w:pStyle w:val="Normal"/></w:pPr>
<w:r><w:t xml:space="preserve">attack made by a body of fugitives, which led merely to the</w:t></w:r>
</w:p>
<w:p>
<w:pPr><w:pStyle w:val="Normal"/></w:pPr>
<w:r><w:t xml:space="preserve">slaughter of the French prisoners, which was ordered by Henry</w:t></w:r>
</w:p>
<w:p>
<w:pPr><w:pStyle w:val="Normal"/></w:pPr>
<w:r><w:t xml:space="preserve">because he had not enough men both to guard them and to meet</w:t></w:r>
</w:p>
<w:p>
<w:pPr><w:pStyle w:val="Normal"/></w:pPr>
<w:r><w:t xml:space="preserve">the attack.  The slaughter ceased when the assailants drew</w:t></w:r>
</w:p>
<w:p>
<w:pPr><w:pStyle w:val="Normal"/></w:pPr>
<w:r><w:t xml:space="preserve">off.  The total loss of the English is stated at thirteen</w:t></w:r>
</w:p>
<w:p>
<w:pPr><w:pStyle w:val="Normal"/></w:pPr>
<w:r><w:t xml:space="preserve">men-at-arms (including the duke of York, grandson of Edward</w:t></w:r>
</w:p>
<w:p>
<w:pPr><w:pStyle w:val="Normal"/></w:pPr>
<w:r><w:t xml:space="preserve">III.) and about 100 of the foot.  The French lost 5000 of</w:t></w:r>
</w:p>
<w:p>
<w:pPr><w:pStyle w:val="Normal"/></w:pPr>
<w:r><w:t xml:space="preserve">noble birth killed, including the constable, 3 dukes, 5 counts</w:t></w:r>
</w:p>
<w:p>
<w:pPr><w:pStyle w:val="Normal"/></w:pPr>
<w:r><w:t xml:space="preserve">and 90 barons; 1000 more were taken prisoners, amongst them</w:t></w:r>
</w:p>
<w:p>
<w:pPr><w:pStyle w:val="Normal"/></w:pPr>
<w:r><w:t xml:space="preserve">the duke of Orleans (the Charles d&apos;Orleans of literature).</w:t></w:r>
</w:p>
<w:p>
<w:pPr><w:pStyle w:val="Normal"/></w:pPr>
<w:r><w:t xml:space="preserve">See Sir Harris Nicolas, Battle of Agincourt;</w:t></w:r>
</w:p>
<w:p>
<w:pPr><w:pStyle w:val="Normal"/></w:pPr>
<w:r><w:t xml:space="preserve">Fortescue, History of the British Army, vol. i.;</w:t></w:r>
</w:p>
<w:p>
<w:pPr><w:pStyle w:val="Normal"/></w:pPr>
<w:r><w:t xml:space="preserve">and H. B. George, Battles of English History.</w:t></w:r>
</w:p>
<w:p>
<w:pPr><w:pStyle w:val="Normal"/></w:pPr>
<w:r><w:t xml:space="preserve">AGIO (Ital. aggio, exchange, discount, premium), a term</w:t></w:r>
</w:p>
<w:p>
<w:pPr><w:pStyle w:val="Normal"/></w:pPr>
<w:r><w:t xml:space="preserve">used in commerce in three slightly different connexions.</w:t></w:r>
</w:p>
<w:p>
<w:pPr><w:pStyle w:val="Normal"/></w:pPr>
<w:r><w:t xml:space="preserve">(a) The variations from fixed pars or rates of exchange</w:t></w:r>
</w:p>
<w:p>
<w:pPr><w:pStyle w:val="Normal"/></w:pPr>
<w:r><w:t xml:space="preserve">in the currencies of different countries.  For example, in</w:t></w:r>
</w:p>
<w:p>
<w:pPr><w:pStyle w:val="Normal"/></w:pPr>
<w:r><w:t xml:space="preserve">most of the gold-standard countries, the standard coin is</w:t></w:r>
</w:p>
<w:p>
<w:pPr><w:pStyle w:val="Normal"/></w:pPr>
<w:r><w:t xml:space="preserve">kept up to a uniform point of fineness, so that an English</w:t></w:r>
</w:p>
<w:p>
<w:pPr><w:pStyle w:val="Normal"/></w:pPr>
<w:r><w:t xml:space="preserve">sovereign fresh from the mini will bear the following</w:t></w:r>
</w:p>
<w:p>
<w:pPr><w:pStyle w:val="Normal"/></w:pPr>
<w:r><w:t xml:space="preserve">constant relation to coins of other countries in a similar</w:t></w:r>
</w:p>
<w:p>
<w:pPr><w:pStyle w:val="Normal"/></w:pPr>
<w:r><w:t xml:space="preserve">condition:--L. 1 =frcs. 25.221 =mks. 2O.429=$4.867, &amp;c. This</w:t></w:r>
</w:p>
<w:p>
<w:pPr><w:pStyle w:val="Normal"/></w:pPr>
<w:r><w:t xml:space="preserve">is what is known as the mint par of exchange.  But the mint</w:t></w:r>
</w:p>
<w:p>
<w:pPr><w:pStyle w:val="Normal"/></w:pPr>
<w:r><w:t xml:space="preserve">par of exchange, say, between France and England is not</w:t></w:r>
</w:p>
<w:p>
<w:pPr><w:pStyle w:val="Normal"/></w:pPr>
<w:r><w:t xml:space="preserve">necessarily the market value of French currency in England,</w:t></w:r>
</w:p>
<w:p>
<w:pPr><w:pStyle w:val="Normal"/></w:pPr>
<w:r><w:t xml:space="preserve">or English currency in France.  The balance of trade between</w:t></w:r>
</w:p>
<w:p>
<w:pPr><w:pStyle w:val="Normal"/></w:pPr>
<w:r><w:t xml:space="preserve">the various countries is the factor determining the rate of</w:t></w:r>
</w:p>
<w:p>
<w:pPr><w:pStyle w:val="Normal"/></w:pPr>
<w:r><w:t xml:space="preserve">exchange.  Should the balance of trade (q.v.) be against</w:t></w:r>
</w:p>
<w:p>
<w:pPr><w:pStyle w:val="Normal"/></w:pPr>
<w:r><w:t xml:space="preserve">England, money must be remitted to France in payment of the</w:t></w:r>
</w:p>
<w:p>
<w:pPr><w:pStyle w:val="Normal"/></w:pPr>
<w:r><w:t xml:space="preserve">indebtedness, but owing to the cost for,the transmission</w:t></w:r>
</w:p>
<w:p>
<w:pPr><w:pStyle w:val="Normal"/></w:pPr>
<w:r><w:t xml:space="preserve">of specie there will be a demand for bills drawn on Paris</w:t></w:r>
</w:p>
<w:p>
<w:pPr><w:pStyle w:val="Normal"/></w:pPr>
<w:r><w:t xml:space="preserve">as a cheaper and more expeditious method of sending money,</w:t></w:r>
</w:p>
<w:p>
<w:pPr><w:pStyle w:val="Normal"/></w:pPr>
<w:r><w:t xml:space="preserve">and it therefore will be necessary, in order to procure the</w:t></w:r>
</w:p>
<w:p>
<w:pPr><w:pStyle w:val="Normal"/></w:pPr>
<w:r><w:t xml:space="preserve">one of the higher current value, to pay a premium for it,</w:t></w:r>
</w:p>
<w:p>
<w:pPr><w:pStyle w:val="Normal"/></w:pPr>
<w:r><w:t xml:space="preserve">called the agio. (b) The term is also used to denote the</w:t></w:r>
</w:p>
<w:p>
<w:pPr><w:pStyle w:val="Normal"/></w:pPr>
<w:r><w:t xml:space="preserve">difference in exchange between two currencies in the same</w:t></w:r>
</w:p>
<w:p>
<w:pPr><w:pStyle w:val="Normal"/></w:pPr>
<w:r><w:t xml:space="preserve">country; where silver coinage is the legal tender, agio is</w:t></w:r>
</w:p>
<w:p>
<w:pPr><w:pStyle w:val="Normal"/></w:pPr>
<w:r><w:t xml:space="preserve">sometimes allowed for payment in the more convenient form of</w:t></w:r>
</w:p>
<w:p>
<w:pPr><w:pStyle w:val="Normal"/></w:pPr>
<w:r><w:t xml:space="preserve">gold, or where the paper currency of a country is reduced</w:t></w:r>
</w:p>
<w:p>
<w:pPr><w:pStyle w:val="Normal"/></w:pPr>
<w:r><w:t xml:space="preserve">below the bullion which it professes to represent, an agio</w:t></w:r>
</w:p>
<w:p>
<w:pPr><w:pStyle w:val="Normal"/></w:pPr>
<w:r><w:t xml:space="preserve">is payable on the appreciated currency. (c) Lastly, in</w:t></w:r>
</w:p>
<w:p>
<w:pPr><w:pStyle w:val="Normal"/></w:pPr>
<w:r><w:t xml:space="preserve">some states the coinage is so debased, owing to the wear of</w:t></w:r>
</w:p>
<w:p>
<w:pPr><w:pStyle w:val="Normal"/></w:pPr>
<w:r><w:t xml:space="preserve">circulation, that the real is greatly reduced below the nominal</w:t></w:r>
</w:p>
<w:p>
<w:pPr><w:pStyle w:val="Normal"/></w:pPr>
<w:r><w:t xml:space="preserve">value.  Supposing that this reduction amounts to 5%, then if</w:t></w:r>
</w:p>
<w:p>
<w:pPr><w:pStyle w:val="Normal"/></w:pPr>
<w:r><w:t xml:space="preserve">100 sovereigns were offered as payment of a debt in England</w:t></w:r>
</w:p>
<w:p>
<w:pPr><w:pStyle w:val="Normal"/></w:pPr>
<w:r><w:t xml:space="preserve">while such sovereigns were current there at their nominal</w:t></w:r>
</w:p>
<w:p>
<w:pPr><w:pStyle w:val="Normal"/></w:pPr>
<w:r><w:t xml:space="preserve">value, they would be received as just payment; but if they</w:t></w:r>
</w:p>
<w:p>
<w:pPr><w:pStyle w:val="Normal"/></w:pPr>
<w:r><w:t xml:space="preserve">were offered as payment of the same amount of debt in a foreign</w:t></w:r>
</w:p>
<w:p>
<w:pPr><w:pStyle w:val="Normal"/></w:pPr>
<w:r><w:t xml:space="preserve">state, they would be received only at their intrinsic value of</w:t></w:r>
</w:p>
<w:p>
<w:pPr><w:pStyle w:val="Heading1"/></w:pPr>
<w:r><w:t>L. 95, the additional L. 5 constituting the agio.  Where the state</w:t></w:r>
</w:p>
<w:p>
<w:pPr><w:pStyle w:val="Normal"/></w:pPr>
<w:r><w:t xml:space="preserve">keeps its coinage up to a standard value no agio is required.</w:t></w:r>
</w:p>
<w:p>
<w:pPr><w:pStyle w:val="Normal"/></w:pPr>
<w:r><w:t xml:space="preserve">AGIRA (formerly SAN FILIPPO D&apos;ARGIRO), a town of the</w:t></w:r>
</w:p>
<w:p>
<w:pPr><w:pStyle w:val="Normal"/></w:pPr>
<w:r><w:t xml:space="preserve">province of Catania, Sicily, with a railway station 4 1/2 m.</w:t></w:r>
</w:p>
<w:p>
<w:pPr><w:pStyle w:val="Normal"/></w:pPr>
<w:r><w:t xml:space="preserve">to the south of the town, 35 m.  W. of Catania.  Pop. (1901)</w:t></w:r>
</w:p>
<w:p>
<w:pPr><w:pStyle w:val="Normal"/></w:pPr>
<w:r><w:t xml:space="preserve">17,738.  It occupies the site of Agyrion, an ancient Sicel</w:t></w:r>
</w:p>
<w:p>
<w:pPr><w:pStyle w:val="Normal"/></w:pPr>
<w:r><w:t xml:space="preserve">city which was ruled by tyrants, one of whom, Agyris, was</w:t></w:r>
</w:p>
<w:p>
<w:pPr><w:pStyle w:val="Normal"/></w:pPr>
<w:r><w:t xml:space="preserve">the most powerful ruler in the centre of Sicily.  He was</w:t></w:r>
</w:p>
<w:p>
<w:pPr><w:pStyle w:val="Normal"/></w:pPr>
<w:r><w:t xml:space="preserve">a contemporary of Dionysius I., and with him successfully</w:t></w:r>
</w:p>
<w:p>
<w:pPr><w:pStyle w:val="Normal"/></w:pPr>
<w:r><w:t xml:space="preserve">resisted the Carthaginians when they invaded the territory of</w:t></w:r>
</w:p>
<w:p>
<w:pPr><w:pStyle w:val="Normal"/></w:pPr>
<w:r><w:t xml:space="preserve">Agyrium in 392 B.C. Agira was not colonized by the Greeks</w:t></w:r>
</w:p>
<w:p>
<w:pPr><w:pStyle w:val="Normal"/></w:pPr>
<w:r><w:t xml:space="preserve">until Timoleon drove out the last tyrant in 339 B.C. and</w:t></w:r>
</w:p>
<w:p>
<w:pPr><w:pStyle w:val="Normal"/></w:pPr>
<w:r><w:t xml:space="preserve">erected various splendid buildings of which no traces remain.</w:t></w:r>
</w:p>
<w:p>
<w:pPr><w:pStyle w:val="Normal"/></w:pPr>
<w:r><w:t xml:space="preserve">Agyrion was the birthplace of the historian Diodorus Siculus.</w:t></w:r>
</w:p>
<w:p>
<w:pPr><w:pStyle w:val="Normal"/></w:pPr>
<w:r><w:t xml:space="preserve">AGIS, the name of four Spartan kings:--</w:t></w:r>
</w:p>
<w:p>
<w:pPr><w:pStyle w:val="Normal"/></w:pPr>
<w:r><w:t xml:space="preserve">(1) Son of Eurysthenes, founder of the royal house of the</w:t></w:r>
</w:p>
<w:p>
<w:pPr><w:pStyle w:val="Normal"/></w:pPr>
<w:r><w:t xml:space="preserve">Agiadae (Pausanias iii. 2.1).  His genealogy was traced</w:t></w:r>
</w:p>
<w:p>
<w:pPr><w:pStyle w:val="Normal"/></w:pPr>
<w:r><w:t xml:space="preserve">through Aristodemus, Aristomachus, Cleodaeus and Hyllus</w:t></w:r>
</w:p>
<w:p>
<w:pPr><w:pStyle w:val="Normal"/></w:pPr>
<w:r><w:t xml:space="preserve">to Heracles (Herodotus vii. 204), and he belongs rather</w:t></w:r>
</w:p>
<w:p>
<w:pPr><w:pStyle w:val="Normal"/></w:pPr>
<w:r><w:t xml:space="preserve">to mythology than to history.  Tradition ascribed to him</w:t></w:r>
</w:p>
<w:p>
<w:pPr><w:pStyle w:val="Normal"/></w:pPr>
<w:r><w:t xml:space="preserve">the capture of the maritime town of Helos, which resisted</w:t></w:r>
</w:p>
<w:p>
<w:pPr><w:pStyle w:val="Normal"/></w:pPr>
<w:r><w:t xml:space="preserve">his attempt to curtail its guaranteed rights, and the</w:t></w:r>
</w:p>
<w:p>
<w:pPr><w:pStyle w:val="Normal"/></w:pPr>
<w:r><w:t xml:space="preserve">institution of the class of serfs called Helots (q.v..)</w:t></w:r>
</w:p>
<w:p>
<w:pPr><w:pStyle w:val="Normal"/></w:pPr>
<w:r><w:t xml:space="preserve">Ephorus ap. Strabo, viii. p. 365.</w:t></w:r>
</w:p>
<w:p>
<w:pPr><w:pStyle w:val="Normal"/></w:pPr>
<w:r><w:t xml:space="preserve">(2) Son of Archidamus II., Eurypontid, commonly called Agis</w:t></w:r>
</w:p>
<w:p>
<w:pPr><w:pStyle w:val="Heading1"/></w:pPr>
<w:r><w:t>I. He succeeded his father, probably in 427 B.C., and from</w:t></w:r>
</w:p>
<w:p>
<w:pPr><w:pStyle w:val="Normal"/></w:pPr>
<w:r><w:t xml:space="preserve">his first invasion of Attica in 425 down to the close of</w:t></w:r>
</w:p>
<w:p>
<w:pPr><w:pStyle w:val="Normal"/></w:pPr>
<w:r><w:t xml:space="preserve">the Peloponnesian war was the chief leader of the Spartan</w:t></w:r>
</w:p>
<w:p>
<w:pPr><w:pStyle w:val="Normal"/></w:pPr>
<w:r><w:t xml:space="preserve">operations on land.  After the conclusion of the peace of</w:t></w:r>
</w:p>
<w:p>
<w:pPr><w:pStyle w:val="Normal"/></w:pPr>
<w:r><w:t xml:space="preserve">Nicias (421 B.C.) he marched against the Argives in defence of</w:t></w:r>
</w:p>
<w:p>
<w:pPr><w:pStyle w:val="Normal"/></w:pPr>
<w:r><w:t xml:space="preserve">Epidaurus, and after skilful manoeuvring surrounded the Argive</w:t></w:r>
</w:p>
<w:p>
<w:pPr><w:pStyle w:val="Normal"/></w:pPr>
<w:r><w:t xml:space="preserve">army, and seemed to have victory within his grasp when he</w:t></w:r>
</w:p>
<w:p>
<w:pPr><w:pStyle w:val="Normal"/></w:pPr>
<w:r><w:t xml:space="preserve">unaccountably concluded a four months&apos; truce and withdrew his</w:t></w:r>
</w:p>
<w:p>
<w:pPr><w:pStyle w:val="Normal"/></w:pPr>
<w:r><w:t xml:space="preserve">forces.  The Spartans were indignant, and when the Argives and</w:t></w:r>
</w:p>
<w:p>
<w:pPr><w:pStyle w:val="Normal"/></w:pPr>
<w:r><w:t xml:space="preserve">their allies, in flagrant disregard of the truce, took Arcadian</w:t></w:r>
</w:p>
<w:p>
<w:pPr><w:pStyle w:val="Normal"/></w:pPr>
<w:r><w:t xml:space="preserve">Orchomenus and prepared to march on Tegea, their fury knew no</w:t></w:r>
</w:p>
<w:p>
<w:pPr><w:pStyle w:val="Normal"/></w:pPr>
<w:r><w:t xml:space="preserve">bounds, and Agis escaped having his house razed and a fine</w:t></w:r>
</w:p>
<w:p>
<w:pPr><w:pStyle w:val="Normal"/></w:pPr>
<w:r><w:t xml:space="preserve">of 100,000 drachmae imposed only by promising to atone for</w:t></w:r>
</w:p>
<w:p>
<w:pPr><w:pStyle w:val="Normal"/></w:pPr>
<w:r><w:t xml:space="preserve">his error by a signal victory.  This promise he brilliantly</w:t></w:r>
</w:p>
<w:p>
<w:pPr><w:pStyle w:val="Normal"/></w:pPr>
<w:r><w:t xml:space="preserve">fulfilled by routing the forces of the Argive confederacy</w:t></w:r>
</w:p>
<w:p>
<w:pPr><w:pStyle w:val="Normal"/></w:pPr>
<w:r><w:t xml:space="preserve">at the battle of Mantinea (418), the moral effect of which</w:t></w:r>
</w:p>
<w:p>
<w:pPr><w:pStyle w:val="Normal"/></w:pPr>
<w:r><w:t xml:space="preserve">was out of all proportion to the losses inflicted on the</w:t></w:r>
</w:p>
<w:p>
<w:pPr><w:pStyle w:val="Normal"/></w:pPr>
<w:r><w:t xml:space="preserve">enemy.  In the winter 417-416 a further expedition to Argos</w:t></w:r>
</w:p>
<w:p>
<w:pPr><w:pStyle w:val="Normal"/></w:pPr>
<w:r><w:t xml:space="preserve">resulted in the destruction of the half-finished Long Walls</w:t></w:r>
</w:p>
<w:p>
<w:pPr><w:pStyle w:val="Normal"/></w:pPr>
<w:r><w:t xml:space="preserve">and the capture of Hysiae.  In 413, on the suggestion of</w:t></w:r>
</w:p>
<w:p>
<w:pPr><w:pStyle w:val="Normal"/></w:pPr>
<w:r><w:t xml:space="preserve">Alcibiades, he fortified Decelea in Attica, where he remained</w:t></w:r>
</w:p>
<w:p>
<w:pPr><w:pStyle w:val="Normal"/></w:pPr>
<w:r><w:t xml:space="preserve">directing operations until, after the battle of Aegospotami</w:t></w:r>
</w:p>
<w:p>
<w:pPr><w:pStyle w:val="Normal"/></w:pPr>
<w:r><w:t xml:space="preserve">(405), he took the leading part in the blockade of Athens,</w:t></w:r>
</w:p>
<w:p>
<w:pPr><w:pStyle w:val="Normal"/></w:pPr>
<w:r><w:t xml:space="preserve">which was ended in spring 404 by the surrender of the city.</w:t></w:r>
</w:p>
<w:p>
<w:pPr><w:pStyle w:val="Normal"/></w:pPr>
<w:r><w:t xml:space="preserve">Subsequently he invaded and ravaged Elis, forcing the Eleans</w:t></w:r>
</w:p>
<w:p>
<w:pPr><w:pStyle w:val="Normal"/></w:pPr>
<w:r><w:t xml:space="preserve">to acknowledge the freedom of their perioeci and to allow</w:t></w:r>
</w:p>
<w:p>
<w:pPr><w:pStyle w:val="Normal"/></w:pPr>
<w:r><w:t xml:space="preserve">Spartans to take part in the Olympic games and sacrifices.</w:t></w:r>
</w:p>
<w:p>
<w:pPr><w:pStyle w:val="Normal"/></w:pPr>
<w:r><w:t xml:space="preserve">He fell ill on his return from Delphi, where he had gone to</w:t></w:r>
</w:p>
<w:p>
<w:pPr><w:pStyle w:val="Normal"/></w:pPr>
<w:r><w:t xml:space="preserve">dedicate a tithe of the spoils, and, probably in 401, died at</w:t></w:r>
</w:p>
<w:p>
<w:pPr><w:pStyle w:val="Normal"/></w:pPr>
<w:r><w:t xml:space="preserve">Sparta, where he was buried with unparalleled solemnity and pomp.</w:t></w:r>
</w:p>
<w:p>
<w:pPr><w:pStyle w:val="Normal"/></w:pPr>
<w:r><w:t xml:space="preserve">Thuc. iii. 89, iv. 2. 6, v., vii. 19. 27, viii.; Xenophon,</w:t></w:r>
</w:p>
<w:p>
<w:pPr><w:pStyle w:val="Normal"/></w:pPr>
<w:r><w:t xml:space="preserve">Hellenica, i 1. ii. 2. 3, iii. 2. 3; Diodorus xii. 35, xiii.</w:t></w:r>
</w:p>
<w:p>
<w:pPr><w:pStyle w:val="Normal"/></w:pPr>
<w:r><w:t xml:space="preserve">72, 73, 107; Pausanias iii. 8. 3-8; Plutarch, Lysander</w:t></w:r>
</w:p>
<w:p>
<w:pPr><w:pStyle w:val="Normal"/></w:pPr>
<w:r><w:t xml:space="preserve">ix. 14. 22, Alcibiades 23-25, Lycurgus 12, Agesilaus</w:t></w:r>
</w:p>
<w:p>
<w:pPr><w:pStyle w:val="Normal"/></w:pPr>
<w:r><w:t xml:space="preserve">i. 3, de Tranquill.  Anim. 6. (See PELOPONNESIAN WAR.)</w:t></w:r>
</w:p>
<w:p>
<w:pPr><w:pStyle w:val="Normal"/></w:pPr>
<w:r><w:t xml:space="preserve">(3) Son of Archidamus III., of the Eurypontid line, commonly</w:t></w:r>
</w:p>
<w:p>
<w:pPr><w:pStyle w:val="Normal"/></w:pPr>
<w:r><w:t xml:space="preserve">called Agis II. He succeeded his father in 338 B.C., on</w:t></w:r>
</w:p>
<w:p>
<w:pPr><w:pStyle w:val="Normal"/></w:pPr>
<w:r><w:t xml:space="preserve">the very day of the battle of Chaeronea.  During Alexander&apos;s</w:t></w:r>
</w:p>
<w:p>
<w:pPr><w:pStyle w:val="Normal"/></w:pPr>
<w:r><w:t xml:space="preserve">Asiatic campaign he revolted against Macedonia (333 B.C.)</w:t></w:r>
</w:p>
<w:p>
<w:pPr><w:pStyle w:val="Normal"/></w:pPr>
<w:r><w:t xml:space="preserve">and, with the aid of Persian money and ships and a force</w:t></w:r>
</w:p>
<w:p>
<w:pPr><w:pStyle w:val="Normal"/></w:pPr>
<w:r><w:t xml:space="preserve">of 8000 Greek mercenaries, gained considerable successes in</w:t></w:r>
</w:p>
<w:p>
<w:pPr><w:pStyle w:val="Normal"/></w:pPr>
<w:r><w:t xml:space="preserve">Crete.  In the Peloponnese he routed a force under Corragus</w:t></w:r>
</w:p>
<w:p>
<w:pPr><w:pStyle w:val="Normal"/></w:pPr>
<w:r><w:t xml:space="preserve">and, although Athens held aloof, he was joined by Elis, Achaea</w:t></w:r>
</w:p>
<w:p>
<w:pPr><w:pStyle w:val="Normal"/></w:pPr>
<w:r><w:t xml:space="preserve">(except Pellene) and Arcadia, with the exception of Megalopolis,</w:t></w:r>
</w:p>
<w:p>
<w:pPr><w:pStyle w:val="Normal"/></w:pPr>
<w:r><w:t xml:space="preserve">which the allies besieged.  Antipater marched rapidly to its</w:t></w:r>
</w:p>
<w:p>
<w:pPr><w:pStyle w:val="Normal"/></w:pPr>
<w:r><w:t xml:space="preserve">relief at the head of a large army, and the allied force was</w:t></w:r>
</w:p>
<w:p>
<w:pPr><w:pStyle w:val="Normal"/></w:pPr>
<w:r><w:t xml:space="preserve">defeated after a desperate struggle (331) and Agis was slain.</w:t></w:r>
</w:p>
<w:p>
<w:pPr><w:pStyle w:val="Normal"/></w:pPr>
<w:r><w:t xml:space="preserve">Pausanias iii. 10. 5; Diodorus xvii. 48, 62, 63; Justin xii. 1;</w:t></w:r>
</w:p>
<w:p>
<w:pPr><w:pStyle w:val="Normal"/></w:pPr>
<w:r><w:t xml:space="preserve">Quintus Curtius iv. 1, 39, vi. 1; Arrian, Anabasis, ii. 13.</w:t></w:r>
</w:p>
<w:p>
<w:pPr><w:pStyle w:val="Normal"/></w:pPr>
<w:r><w:t xml:space="preserve">(4) Son of Eudamidas II., of the Eurypontid family, commonly</w:t></w:r>
</w:p>
<w:p>
<w:pPr><w:pStyle w:val="Normal"/></w:pPr>
<w:r><w:t xml:space="preserve">called Agis III. He succeeded his father probably in 245</w:t></w:r>
</w:p>
<w:p>
<w:pPr><w:pStyle w:val="Normal"/></w:pPr>
<w:r><w:t xml:space="preserve">B.C., in his twentieth year.  At this time the state had</w:t></w:r>
</w:p>
<w:p>
<w:pPr><w:pStyle w:val="Normal"/></w:pPr>
<w:r><w:t xml:space="preserve">been brought to the brink of ruin by the growth of avarice and</w:t></w:r>
</w:p>
<w:p>
<w:pPr><w:pStyle w:val="Normal"/></w:pPr>
<w:r><w:t xml:space="preserve">luxury; there was a glaring inequality in the distribution of</w:t></w:r>
</w:p>
<w:p>
<w:pPr><w:pStyle w:val="Normal"/></w:pPr>
<w:r><w:t xml:space="preserve">land and wealth, and the number of full citizens had sunk to</w:t></w:r>
</w:p>
<w:p>
<w:pPr><w:pStyle w:val="Normal"/></w:pPr>
<w:r><w:t xml:space="preserve">700, of whom about 100 practically monopolized the land.</w:t></w:r>
</w:p>
<w:p>
<w:pPr><w:pStyle w:val="Normal"/></w:pPr>
<w:r><w:t xml:space="preserve">Though reared in the height of luxury he at once determined to</w:t></w:r>
</w:p>
<w:p>
<w:pPr><w:pStyle w:val="Normal"/></w:pPr>
<w:r><w:t xml:space="preserve">restore the traditional institutions of Lycurgus, with the aid</w:t></w:r>
</w:p>
<w:p>
<w:pPr><w:pStyle w:val="Normal"/></w:pPr>
<w:r><w:t xml:space="preserve">of Lysander, a descendant of the victor of Aegospotami, and</w:t></w:r>
</w:p>
<w:p>
<w:pPr><w:pStyle w:val="Normal"/></w:pPr>
<w:r><w:t xml:space="preserve">Mandrocleidas, a man of noted prudence and courage; even his</w:t></w:r>
</w:p>
<w:p>
<w:pPr><w:pStyle w:val="Normal"/></w:pPr>
<w:r><w:t xml:space="preserve">mother, the wealthy Agesistrata, threw herself heartily into</w:t></w:r>
</w:p>
<w:p>
<w:pPr><w:pStyle w:val="Normal"/></w:pPr>
<w:r><w:t xml:space="preserve">the cause.  A powerful but not disinterested ally was found</w:t></w:r>
</w:p>
<w:p>
<w:pPr><w:pStyle w:val="Normal"/></w:pPr>
<w:r><w:t xml:space="preserve">in the king&apos;s uncle, Agesilaus, who hoped to rid himself</w:t></w:r>
</w:p>
<w:p>
<w:pPr><w:pStyle w:val="Normal"/></w:pPr>
<w:r><w:t xml:space="preserve">of his debts without losing his vast estates.  Lysander as</w:t></w:r>
</w:p>
<w:p>
<w:pPr><w:pStyle w:val="Normal"/></w:pPr>
<w:r><w:t xml:space="preserve">ephor proposed on behalf of Agis that all debts should be</w:t></w:r>
</w:p>
<w:p>
<w:pPr><w:pStyle w:val="Normal"/></w:pPr>
<w:r><w:t xml:space="preserve">cancelled and that Laconia should be divided into 19,500</w:t></w:r>
</w:p>
<w:p>
<w:pPr><w:pStyle w:val="Normal"/></w:pPr>
<w:r><w:t xml:space="preserve">lots, of which 4500 should be given to Spartiates, whose</w:t></w:r>
</w:p>
<w:p>
<w:pPr><w:pStyle w:val="Normal"/></w:pPr>
<w:r><w:t xml:space="preserve">number was to be recruited from the best of the perioeci and</w:t></w:r>
</w:p>
<w:p>
<w:pPr><w:pStyle w:val="Normal"/></w:pPr>
<w:r><w:t xml:space="preserve">foreigners, and the remaining 15,000 to perioeci who could</w:t></w:r>
</w:p>
<w:p>
<w:pPr><w:pStyle w:val="Normal"/></w:pPr>
<w:r><w:t xml:space="preserve">bear arms.  The Agiad king Leonidas having prevailed on the</w:t></w:r>
</w:p>
<w:p>
<w:pPr><w:pStyle w:val="Normal"/></w:pPr>
<w:r><w:t xml:space="preserve">council to reject this measure, though by a majority of only</w:t></w:r>
</w:p>
<w:p>
<w:pPr><w:pStyle w:val="Normal"/></w:pPr>
<w:r><w:t xml:space="preserve">one, was deposed in favour of his son-in-law Cleombrotus,</w:t></w:r>
</w:p>
<w:p>
<w:pPr><w:pStyle w:val="Normal"/></w:pPr>
<w:r><w:t xml:space="preserve">who assisted Agis in bearing down opposition by the threat of</w:t></w:r>
</w:p>
<w:p>
<w:pPr><w:pStyle w:val="Normal"/></w:pPr>
<w:r><w:t xml:space="preserve">force.  The abolition of debts was carried into effect, but</w:t></w:r>
</w:p>
<w:p>
<w:pPr><w:pStyle w:val="Normal"/></w:pPr>
<w:r><w:t xml:space="preserve">the land distribution was put off by Agesilaus on various</w:t></w:r>
</w:p>
<w:p>
<w:pPr><w:pStyle w:val="Normal"/></w:pPr>
<w:r><w:t xml:space="preserve">pretexts.  At this point Aratus appealed to Sparta to help the</w:t></w:r>
</w:p>
<w:p>
<w:pPr><w:pStyle w:val="Normal"/></w:pPr>
<w:r><w:t xml:space="preserve">Achaeans in repelling an expected Aetolian attack, and Agis</w:t></w:r>
</w:p>
<w:p>
<w:pPr><w:pStyle w:val="Normal"/></w:pPr>
<w:r><w:t xml:space="preserve">was sent to the Isthmus at the head of an army.  In his absence</w:t></w:r>
</w:p>
<w:p>
<w:pPr><w:pStyle w:val="Normal"/></w:pPr>
<w:r><w:t xml:space="preserve">the open violence and extortion of Agesilaus, combined with the</w:t></w:r>
</w:p>
<w:p>
<w:pPr><w:pStyle w:val="Normal"/></w:pPr>
<w:r><w:t xml:space="preserve">popular disappointment at the failure of the agrarian scheme,</w:t></w:r>
</w:p>
<w:p>
<w:pPr><w:pStyle w:val="Normal"/></w:pPr>
<w:r><w:t xml:space="preserve">brought about the restoration of Leonidas and the deposition</w:t></w:r>
</w:p>
<w:p>
<w:pPr><w:pStyle w:val="Normal"/></w:pPr>
<w:r><w:t xml:space="preserve">of Cleombrotus, who took refuge at the temple of Apollo at</w:t></w:r>
</w:p>
<w:p>
<w:pPr><w:pStyle w:val="Normal"/></w:pPr>
<w:r><w:t xml:space="preserve">Taenarum and escaped death only at the entreaty of his wife,</w:t></w:r>
</w:p>
<w:p>
<w:pPr><w:pStyle w:val="Normal"/></w:pPr>
<w:r><w:t xml:space="preserve">Leonidas&apos;s daughter Chilonis.  On his return Agis fled to the</w:t></w:r>
</w:p>
<w:p>
<w:pPr><w:pStyle w:val="Normal"/></w:pPr>
<w:r><w:t xml:space="preserve">temple of Athene Chalcioecus at Sparta, but soon afterwards</w:t></w:r>
</w:p>
<w:p>
<w:pPr><w:pStyle w:val="Normal"/></w:pPr>
<w:r><w:t xml:space="preserve">he was treacherously induced to leave his asylum and, after</w:t></w:r>
</w:p>
<w:p>
<w:pPr><w:pStyle w:val="Normal"/></w:pPr>
<w:r><w:t xml:space="preserve">a mockery of a trial, was strangled in prison, his mother and</w:t></w:r>
</w:p>
<w:p>
<w:pPr><w:pStyle w:val="Normal"/></w:pPr>
<w:r><w:t xml:space="preserve">grandmother sharing the same fate (241).  Though too weak and</w:t></w:r>
</w:p>
<w:p>
<w:pPr><w:pStyle w:val="Normal"/></w:pPr>
<w:r><w:t xml:space="preserve">good-natured to cope with the problem which confronted him,</w:t></w:r>
</w:p>
<w:p>
<w:pPr><w:pStyle w:val="Normal"/></w:pPr>
<w:r><w:t xml:space="preserve">Agis was characterized by a sincerity of purpose and a blend of</w:t></w:r>
</w:p>
<w:p>
<w:pPr><w:pStyle w:val="Normal"/></w:pPr>
<w:r><w:t xml:space="preserve">youthful modesty with royal dignity, which render him perhaps</w:t></w:r>
</w:p>
<w:p>
<w:pPr><w:pStyle w:val="Normal"/></w:pPr>
<w:r><w:t xml:space="preserve">the most attractive figure in the whole of Spartan history.</w:t></w:r>
</w:p>
<w:p>
<w:pPr><w:pStyle w:val="Normal"/></w:pPr>
<w:r><w:t xml:space="preserve">See Plutarch&apos;s biography.  Pausanias&apos; accounts (ii. 8. 5, vii.</w:t></w:r>
</w:p>
<w:p>
<w:pPr><w:pStyle w:val="Normal"/></w:pPr>
<w:r><w:t xml:space="preserve">7. 3, viii. 10. 5-8, 27. 13) of his attack on Megalopolis,</w:t></w:r>
</w:p>
<w:p>
<w:pPr><w:pStyle w:val="Normal"/></w:pPr>
<w:r><w:t xml:space="preserve">his seizure of Pellene and his death at Mantinea fighting</w:t></w:r>
</w:p>
<w:p>
<w:pPr><w:pStyle w:val="Normal"/></w:pPr>
<w:r><w:t xml:space="preserve">against the Arcadians, Achaeans and Sicyonians are without</w:t></w:r>
</w:p>
<w:p>
<w:pPr><w:pStyle w:val="Normal"/></w:pPr>
<w:r><w:t xml:space="preserve">foundation (J. C. F. Manso, Sparta, iii. 2. 123-127).  See also</w:t></w:r>
</w:p>
<w:p>
<w:pPr><w:pStyle w:val="Normal"/></w:pPr>
<w:r><w:t xml:space="preserve">Manso, op. cit. iii. 1. 276-302; B. Niese, Geschichte der</w:t></w:r>
</w:p>
<w:p>
<w:pPr><w:pStyle w:val="Normal"/></w:pPr>
<w:r><w:t xml:space="preserve">griechischen und makedonischcn Staaten, ii. 299-303. (M. N. T.)</w:t></w:r>
</w:p>
<w:p>
<w:pPr><w:pStyle w:val="Normal"/></w:pPr>
<w:r><w:t xml:space="preserve">AGISTMENT. To ``agist&apos;&apos; (from O. Fr. agister, derived</w:t></w:r>
</w:p>
<w:p>
<w:pPr><w:pStyle w:val="Normal"/></w:pPr>
<w:r><w:t xml:space="preserve">from gesir--Lat. jacere--to lie) is, in law, to take</w:t></w:r>
</w:p>
<w:p>
<w:pPr><w:pStyle w:val="Normal"/></w:pPr>
<w:r><w:t xml:space="preserve">cattle to graze, for a renumeration. ``Agistment,&apos;&apos; in the</w:t></w:r>
</w:p>
<w:p>
<w:pPr><w:pStyle w:val="Normal"/></w:pPr>
<w:r><w:t xml:space="preserve">first instance, referred more particularly to the proceeds of</w:t></w:r>
</w:p>
<w:p>
<w:pPr><w:pStyle w:val="Normal"/></w:pPr>
<w:r><w:t xml:space="preserve">pasturage in the king&apos;s forests, but now means either (a)</w:t></w:r>
</w:p>
<w:p>
<w:pPr><w:pStyle w:val="Normal"/></w:pPr>
<w:r><w:t xml:space="preserve">the contract for taking in and feeding horses or other cattle</w:t></w:r>
</w:p>
<w:p>
<w:pPr><w:pStyle w:val="Normal"/></w:pPr>
<w:r><w:t xml:space="preserve">on pasture land, for the consideration of a weekly payment</w:t></w:r>
</w:p>
<w:p>
<w:pPr><w:pStyle w:val="Normal"/></w:pPr>
<w:r><w:t xml:space="preserve">of money, or (b) the profit derived from such pasturing.</w:t></w:r>
</w:p>
<w:p>
<w:pPr><w:pStyle w:val="Normal"/></w:pPr>
<w:r><w:t xml:space="preserve">Agistment is a contract of bailment, and the bailer is bound</w:t></w:r>
</w:p>
<w:p>
<w:pPr><w:pStyle w:val="Normal"/></w:pPr>
<w:r><w:t xml:space="preserve">to take reasonable care of the animals entrusted to him;</w:t></w:r>
</w:p>
<w:p>
<w:pPr><w:pStyle w:val="Normal"/></w:pPr>
<w:r><w:t xml:space="preserve">he is responsible for damages and injury which result from</w:t></w:r>
</w:p>
<w:p>
<w:pPr><w:pStyle w:val="Normal"/></w:pPr>
<w:r><w:t xml:space="preserve">ordinary casualties, if it be proved that such might have been</w:t></w:r>
</w:p>
<w:p>
<w:pPr><w:pStyle w:val="Normal"/></w:pPr>
<w:r><w:t xml:space="preserve">prevented by the exercise of great care.  There is no lien on</w:t></w:r>
</w:p>
<w:p>
<w:pPr><w:pStyle w:val="Normal"/></w:pPr>
<w:r><w:t xml:space="preserve">the cattle for the price of the agistment, unless by express</w:t></w:r>
</w:p>
<w:p>
<w:pPr><w:pStyle w:val="Normal"/></w:pPr>
<w:r><w:t xml:space="preserve">agreement.  Under the Agricultural Holdings Act 1883, agisted</w:t></w:r>
</w:p>
<w:p>
<w:pPr><w:pStyle w:val="Normal"/></w:pPr>
<w:r><w:t xml:space="preserve">cattle cannot be distrained on for rent if there be other</w:t></w:r>
</w:p>
<w:p>
<w:pPr><w:pStyle w:val="Normal"/></w:pPr>
<w:r><w:t xml:space="preserve">sufficient distress to be found, and if such other distress</w:t></w:r>
</w:p>
<w:p>
<w:pPr><w:pStyle w:val="Normal"/></w:pPr>
<w:r><w:t xml:space="preserve">be not found, and the cattle be distrained, the owner may</w:t></w:r>
</w:p>
<w:p>
<w:pPr><w:pStyle w:val="Normal"/></w:pPr>
<w:r><w:t xml:space="preserve">redeem them on paying the price of their agistment.  The tithe</w:t></w:r>
</w:p>
<w:p>
<w:pPr><w:pStyle w:val="Normal"/></w:pPr>
<w:r><w:t xml:space="preserve">of agistment or ``tithe of cattle and other produce of grass</w:t></w:r>
</w:p>
<w:p>
<w:pPr><w:pStyle w:val="Normal"/></w:pPr>
<w:r><w:t xml:space="preserve">lands,&apos;&apos; was formally abolished by the act of union in 1707,</w:t></w:r>
</w:p>
<w:p>
<w:pPr><w:pStyle w:val="Normal"/></w:pPr>
<w:r><w:t xml:space="preserve">on a motion submitted with a view to defeat that measure.</w:t></w:r>
</w:p>
<w:p>
<w:pPr><w:pStyle w:val="Normal"/></w:pPr>
<w:r><w:t xml:space="preserve">AGITATORS, or ADJUTATORS, the name given to representatives</w:t></w:r>
</w:p>
<w:p>
<w:pPr><w:pStyle w:val="Normal"/></w:pPr>
<w:r><w:t xml:space="preserve">elected in 1647 by the different regiments of the English</w:t></w:r>
</w:p>
<w:p>
<w:pPr><w:pStyle w:val="Normal"/></w:pPr>
<w:r><w:t xml:space="preserve">Parliamentary army.  The word really means an agent, but it</w:t></w:r>
</w:p>
<w:p>
<w:pPr><w:pStyle w:val="Normal"/></w:pPr>
<w:r><w:t xml:space="preserve">was confused with ``adjutant,&apos;&apos; often called ``agitant,&apos;&apos; a</w:t></w:r>
</w:p>
<w:p>
<w:pPr><w:pStyle w:val="Normal"/></w:pPr>
<w:r><w:t xml:space="preserve">title familiar to the soldiers, and thus the form ``adjutator&apos;&apos;</w:t></w:r>
</w:p>
<w:p>
<w:pPr><w:pStyle w:val="Normal"/></w:pPr>
<w:r><w:t xml:space="preserve">came into use.  Early in 1647 the Long Parliament wished</w:t></w:r>
</w:p>
<w:p>
<w:pPr><w:pStyle w:val="Normal"/></w:pPr>
<w:r><w:t xml:space="preserve">either to disband many of the regiments or to send them to</w:t></w:r>
</w:p>
<w:p>
<w:pPr><w:pStyle w:val="Normal"/></w:pPr>
<w:r><w:t xml:space="preserve">Ireland.  The soldiers, whose pay was largely in arrear,</w:t></w:r>
</w:p>
<w:p>
<w:pPr><w:pStyle w:val="Normal"/></w:pPr>
<w:r><w:t xml:space="preserve">refused to accept either alternative, and eight of the cavalry</w:t></w:r>
</w:p>
<w:p>
<w:pPr><w:pStyle w:val="Normal"/></w:pPr>
<w:r><w:t xml:space="preserve">regiments elected agitators, called at first commissioners,</w:t></w:r>
</w:p>
<w:p>
<w:pPr><w:pStyle w:val="Normal"/></w:pPr>
<w:r><w:t xml:space="preserve">who laid their grievances before the three generals, and whose</w:t></w:r>
</w:p>
<w:p>
<w:pPr><w:pStyle w:val="Normal"/></w:pPr>
<w:r><w:t xml:space="preserve">letter was read in the House of Commons on the 30th of April</w:t></w:r>
</w:p>
<w:p>
<w:pPr><w:pStyle w:val="Normal"/></w:pPr>
<w:r><w:t xml:space="preserve">1647.  The other regiments followed the example of the</w:t></w:r>
</w:p>
<w:p>
<w:pPr><w:pStyle w:val="Normal"/></w:pPr>
<w:r><w:t xml:space="preserve">cavalry, and the agitators, who belonged to the lower ranks</w:t></w:r>
</w:p>
<w:p>
<w:pPr><w:pStyle w:val="Normal"/></w:pPr>
<w:r><w:t xml:space="preserve">of the army, were supported by many of the officers, who</w:t></w:r>
</w:p>
<w:p>
<w:pPr><w:pStyle w:val="Normal"/></w:pPr>
<w:r><w:t xml:space="preserve">showed their sympathy by signing the Declaration of the</w:t></w:r>
</w:p>
<w:p>
<w:pPr><w:pStyle w:val="Normal"/></w:pPr>
<w:r><w:t xml:space="preserve">army.  Cromwell and other generals succeeded to some extent</w:t></w:r>
</w:p>
<w:p>
<w:pPr><w:pStyle w:val="Normal"/></w:pPr>
<w:r><w:t xml:space="preserve">in pacifying the troops by promising the payment of arrears</w:t></w:r>
</w:p>
<w:p>
<w:pPr><w:pStyle w:val="Normal"/></w:pPr>
<w:r><w:t xml:space="preserve">for eight weeks at once; but before the return of the generals</w:t></w:r>
</w:p>
<w:p>
<w:pPr><w:pStyle w:val="Normal"/></w:pPr>
<w:r><w:t xml:space="preserve">to London parliament had again decided to disband the army,</w:t></w:r>
</w:p>
<w:p>
<w:pPr><w:pStyle w:val="Normal"/></w:pPr>
<w:r><w:t xml:space="preserve">and soon afterwards fixed the 1st of June as the date on</w:t></w:r>
</w:p>
<w:p>
<w:pPr><w:pStyle w:val="Normal"/></w:pPr>
<w:r><w:t xml:space="preserve">which this process was to begin.  Again alarmed, the agitators</w:t></w:r>
</w:p>
<w:p>
<w:pPr><w:pStyle w:val="Normal"/></w:pPr>
<w:r><w:t xml:space="preserve">decided to resist; a mutiny occurred in one regiment and the</w:t></w:r>
</w:p>
<w:p>
<w:pPr><w:pStyle w:val="Normal"/></w:pPr>
<w:r><w:t xml:space="preserve">attempt at disbandment failed.  Then followed the seizure</w:t></w:r>
</w:p>
<w:p>
<w:pPr><w:pStyle w:val="Normal"/></w:pPr>
<w:r><w:t xml:space="preserve">of the king by Cornet Joyce, Cromwell&apos;s definite adherence</w:t></w:r>
</w:p>
<w:p>
<w:pPr><w:pStyle w:val="Normal"/></w:pPr>
<w:r><w:t xml:space="preserve">to the policy of the army, the signing of the manifestoes,</w:t></w:r>
</w:p>
<w:p>
<w:pPr><w:pStyle w:val="Normal"/></w:pPr>
<w:r><w:t xml:space="preserve">a Humble Representation and a Solemn Engagement, and the</w:t></w:r>
</w:p>
<w:p>
<w:pPr><w:pStyle w:val="Normal"/></w:pPr>
<w:r><w:t xml:space="preserve">establishment of the army council composed of officers and</w:t></w:r>
</w:p>
<w:p>
<w:pPr><w:pStyle w:val="Normal"/></w:pPr>
<w:r><w:t xml:space="preserve">agitators.  Having, at an assembly on Thriplow Heath, near</w:t></w:r>
</w:p>
<w:p>
<w:pPr><w:pStyle w:val="Normal"/></w:pPr>
<w:r><w:t xml:space="preserve">Royston, virtually refused the offers made by parliament, the</w:t></w:r>
</w:p>
<w:p>
<w:pPr><w:pStyle w:val="Normal"/></w:pPr>
<w:r><w:t xml:space="preserve">agitators demanded a march towards London and the ``purging&apos;&apos;</w:t></w:r>
</w:p>
<w:p>
<w:pPr><w:pStyle w:val="Normal"/></w:pPr>
<w:r><w:t xml:space="preserve">of the House of Commons.  Subsequent events are part of the</w:t></w:r>
</w:p>
<w:p>
<w:pPr><w:pStyle w:val="Normal"/></w:pPr>
<w:r><w:t xml:space="preserve">general history of England.  Gradually the agitators ceased to</w:t></w:r>
</w:p>
<w:p>
<w:pPr><w:pStyle w:val="Normal"/></w:pPr>
<w:r><w:t xml:space="preserve">exist, but many of their ideas were adopted by the Levellers</w:t></w:r>
</w:p>
<w:p>
<w:pPr><w:pStyle w:val="Normal"/></w:pPr>
<w:r><w:t xml:space="preserve">(q.v.), who may perhaps be regarded as their successors.</w:t></w:r>
</w:p>
<w:p>
<w:pPr><w:pStyle w:val="Normal"/></w:pPr>
<w:r><w:t xml:space="preserve">Gardiner says of them, ``Little as it was intended at the</w:t></w:r>
</w:p>
<w:p>
<w:pPr><w:pStyle w:val="Normal"/></w:pPr>
<w:r><w:t xml:space="preserve">time, nothing was more calculated than the existence of this</w:t></w:r>
</w:p>
<w:p>
<w:pPr><w:pStyle w:val="Normal"/></w:pPr>
<w:r><w:t xml:space="preserve">elected body of agitators to give to the army that distinctive</w:t></w:r>
</w:p>
<w:p>
<w:pPr><w:pStyle w:val="Normal"/></w:pPr>
<w:r><w:t xml:space="preserve">political and religious character which it ultimately bore.&apos;&apos;</w:t></w:r>
</w:p>
<w:p>
<w:pPr><w:pStyle w:val="Normal"/></w:pPr>
<w:r><w:t xml:space="preserve">See S. R. Gardiner, History of the Great</w:t></w:r>
</w:p>
<w:p>
<w:pPr><w:pStyle w:val="Normal"/></w:pPr>
<w:r><w:t xml:space="preserve">Civil War, vols. iii. and iv. (London, 1905).</w:t></w:r>
</w:p>
<w:p>
<w:pPr><w:pStyle w:val="Normal"/></w:pPr>
<w:r><w:t xml:space="preserve">AGLIARDI, ANTONIO (1832- ), papal diplomatist, was born at</w:t></w:r>
</w:p>
<w:p>
<w:pPr><w:pStyle w:val="Normal"/></w:pPr>
<w:r><w:t xml:space="preserve">Cologno (Bergamo), Italy, on the 4th of September 1832.  He</w:t></w:r>
</w:p>
<w:p>
<w:pPr><w:pStyle w:val="Normal"/></w:pPr>
<w:r><w:t xml:space="preserve">studied theology and canon law, and, after acting as parish</w:t></w:r>
</w:p>
<w:p>
<w:pPr><w:pStyle w:val="Normal"/></w:pPr>
<w:r><w:t xml:space="preserve">priest in his native diocese for twelve years, was sent by</w:t></w:r>
</w:p>
<w:p>
<w:pPr><w:pStyle w:val="Normal"/></w:pPr>
<w:r><w:t xml:space="preserve">the pope to Canada as a bishop&apos;s chaplain.  On his return he</w:t></w:r>
</w:p>
<w:p>
<w:pPr><w:pStyle w:val="Normal"/></w:pPr>
<w:r><w:t xml:space="preserve">was appointed secretary to the Propaganda.  In 1884 he was</w:t></w:r>
</w:p>
<w:p>
<w:pPr><w:pStyle w:val="Normal"/></w:pPr>
<w:r><w:t xml:space="preserve">created by Leo XIII. archbishop of Caesarea in partibus and</w:t></w:r>
</w:p>
<w:p>
<w:pPr><w:pStyle w:val="Normal"/></w:pPr>
<w:r><w:t xml:space="preserve">sent to India to report on the establishment of the hierarchy</w:t></w:r>
</w:p>
<w:p>
<w:pPr><w:pStyle w:val="Normal"/></w:pPr>
<w:r><w:t xml:space="preserve">there.  In 1887 he again visited India, to carry out the terms</w:t></w:r>
</w:p>
<w:p>
<w:pPr><w:pStyle w:val="Normal"/></w:pPr>
<w:r><w:t xml:space="preserve">of the concordat arranged with Portugal.  The same year he</w:t></w:r>
</w:p>
<w:p>
<w:pPr><w:pStyle w:val="Normal"/></w:pPr>
<w:r><w:t xml:space="preserve">was appointed secretary to the Congregation super negotiis</w:t></w:r>
</w:p>
<w:p>
<w:pPr><w:pStyle w:val="Normal"/></w:pPr>
<w:r><w:t xml:space="preserve">ecclesiae extraordinariis, in 1889 became papal nuncio at</w:t></w:r>
</w:p>
<w:p>
<w:pPr><w:pStyle w:val="Normal"/></w:pPr>
<w:r><w:t xml:space="preserve">Munich and in 1892 at Vienna.  Allowing himself to be involved</w:t></w:r>
</w:p>
<w:p>
<w:pPr><w:pStyle w:val="Normal"/></w:pPr>
<w:r><w:t xml:space="preserve">in the ecclesiastical disputes by which Hungary was divided</w:t></w:r>
</w:p>
<w:p>
<w:pPr><w:pStyle w:val="Normal"/></w:pPr>
<w:r><w:t xml:space="preserve">in 1895, he was made the subject of formal complaint by the</w:t></w:r>
</w:p>
<w:p>
<w:pPr><w:pStyle w:val="Normal"/></w:pPr>
<w:r><w:t xml:space="preserve">Hungarian government and in 1896 was recalled.  His services</w:t></w:r>
</w:p>
<w:p>
<w:pPr><w:pStyle w:val="Normal"/></w:pPr>
<w:r><w:t xml:space="preserve">were rewarded by a Cardinalate and the archbishopric of</w:t></w:r>
</w:p>
<w:p>
<w:pPr><w:pStyle w:val="Normal"/></w:pPr>
<w:r><w:t xml:space="preserve">Ferrara.  In 1903 he was named vice-chancellor of the Roman Church.</w:t></w:r>
</w:p>
<w:p>
<w:pPr><w:pStyle w:val="Normal"/></w:pPr>
<w:r><w:t xml:space="preserve">AGNANO, LAGO DI, a circular lake, 5 m.  W. of Naples,</w:t></w:r>
</w:p>
<w:p>
<w:pPr><w:pStyle w:val="Normal"/></w:pPr>
<w:r><w:t xml:space="preserve">Italy.  It was apparently not formed until the middle ages,</w:t></w:r>
</w:p>
<w:p>
<w:pPr><w:pStyle w:val="Normal"/></w:pPr>
<w:r><w:t xml:space="preserve">as it is not mentioned by ancient writers; it was drained in</w:t></w:r>
</w:p>
<w:p>
<w:pPr><w:pStyle w:val="Normal"/></w:pPr>
<w:r><w:t xml:space="preserve">1870.  It occupied the crater of an extinct volcano, 4 m. in</w:t></w:r>
</w:p>
<w:p>
<w:pPr><w:pStyle w:val="Normal"/></w:pPr>
<w:r><w:t xml:space="preserve">circumference.  On the south bank are the Stufe di S. Germano,</w:t></w:r>
</w:p>
<w:p>
<w:pPr><w:pStyle w:val="Normal"/></w:pPr>
<w:r><w:t xml:space="preserve">natural sulphureous vapour baths, and close by is the Grotta</w:t></w:r>
</w:p>
<w:p>
<w:pPr><w:pStyle w:val="Normal"/></w:pPr>
<w:r><w:t xml:space="preserve">del Cane, from the floor of which warm carbonic acid gas</w:t></w:r>
</w:p>
<w:p>
<w:pPr><w:pStyle w:val="Normal"/></w:pPr>
<w:r><w:t xml:space="preserve">constantly rises to a height of 18 in., the fumes of which</w:t></w:r>
</w:p>
<w:p>
<w:pPr><w:pStyle w:val="Normal"/></w:pPr>
<w:r><w:t xml:space="preserve">render a dog insensible in a few seconds.  It is mentioned</w:t></w:r>
</w:p>
<w:p>
<w:pPr><w:pStyle w:val="Normal"/></w:pPr>
<w:r><w:t xml:space="preserve">by Pliny (Nat. Hist. ii. 93). Remains of an extensive Roman</w:t></w:r>
</w:p>
<w:p>
<w:pPr><w:pStyle w:val="Normal"/></w:pPr>
<w:r><w:t xml:space="preserve">building and some statues have been discovered close by.</w:t></w:r>
</w:p>
<w:p>
<w:pPr><w:pStyle w:val="Normal"/></w:pPr>
<w:r><w:t xml:space="preserve">AGNATES (Agnati), in Roman law, persons related through</w:t></w:r>
</w:p>
<w:p>
<w:pPr><w:pStyle w:val="Normal"/></w:pPr>
<w:r><w:t xml:space="preserve">males only, as opposed to cognates.  Agnation was founded on</w:t></w:r>
</w:p>
<w:p>
<w:pPr><w:pStyle w:val="Normal"/></w:pPr>
<w:r><w:t xml:space="preserve">the idea of the family held together by the patria potestas;</w:t></w:r>
</w:p>
<w:p>
<w:pPr><w:pStyle w:val="Normal"/></w:pPr>
<w:r><w:t xml:space="preserve">cognatio involves simply the modern idea of kindred.</w:t></w:r>
</w:p>
<w:p>
<w:pPr><w:pStyle w:val="Normal"/></w:pPr>
<w:r><w:t xml:space="preserve">AGNES, SAINT, a virgin martyr of the Catholic Church.  The</w:t></w:r>
</w:p>
<w:p>
<w:pPr><w:pStyle w:val="Normal"/></w:pPr>
<w:r><w:t xml:space="preserve">legend of St Agnes is that she was a Roman maid, by birth a</w:t></w:r>
</w:p>
<w:p>
<w:pPr><w:pStyle w:val="Normal"/></w:pPr>
<w:r><w:t xml:space="preserve">Christian, who suffered martyrdom when but thirteen during</w:t></w:r>
</w:p>
<w:p>
<w:pPr><w:pStyle w:val="Normal"/></w:pPr>
<w:r><w:t xml:space="preserve">the reign of the emperor Diocletian, on the 21st of January</w:t></w:r>
</w:p>
<w:p>
<w:pPr><w:pStyle w:val="Normal"/></w:pPr>
<w:r><w:t xml:space="preserve">304. The prefect Sempronius wished her to marry his son,</w:t></w:r>
</w:p>
<w:p>
<w:pPr><w:pStyle w:val="Normal"/></w:pPr>
<w:r><w:t xml:space="preserve">and on her refusal condemned her to be outraged before her</w:t></w:r>
</w:p>
<w:p>
<w:pPr><w:pStyle w:val="Normal"/></w:pPr>
<w:r><w:t xml:space="preserve">execution, but her honour was miraculously preserved.  When</w:t></w:r>
</w:p>
<w:p>
<w:pPr><w:pStyle w:val="Normal"/></w:pPr>
<w:r><w:t xml:space="preserve">led out to die she was tied to a stake, but the faggots would</w:t></w:r>
</w:p>
<w:p>
<w:pPr><w:pStyle w:val="Normal"/></w:pPr>
<w:r><w:t xml:space="preserve">not burn, whereupon the officer in charge of the troops drew</w:t></w:r>
</w:p>
<w:p>
<w:pPr><w:pStyle w:val="Normal"/></w:pPr>
<w:r><w:t xml:space="preserve">his sword and struck off her head.  St Agnes is the patron</w:t></w:r>
</w:p>
<w:p>
<w:pPr><w:pStyle w:val="Normal"/></w:pPr>
<w:r><w:t xml:space="preserve">saint of young girls, who, in rural districts, formerly</w:t></w:r>
</w:p>
<w:p>
<w:pPr><w:pStyle w:val="Normal"/></w:pPr>
<w:r><w:t xml:space="preserve">indulged in all sorts of quaint country magic on St Agnes&apos; Eve</w:t></w:r>
</w:p>
<w:p>
<w:pPr><w:pStyle w:val="Normal"/></w:pPr>
<w:r><w:t xml:space="preserve">(20th-21st January) with a view to discovering their future</w:t></w:r>
</w:p>
<w:p>
<w:pPr><w:pStyle w:val="Normal"/></w:pPr>
<w:r><w:t xml:space="preserve">husbands.  This superstition has been immortalized in Keats&apos;s</w:t></w:r>
</w:p>
<w:p>
<w:pPr><w:pStyle w:val="Normal"/></w:pPr>
<w:r><w:t xml:space="preserve">poem, ``The Eve of St Agnes.&apos;&apos; St Agnes&apos;s bones are supposed</w:t></w:r>
</w:p>
<w:p>
<w:pPr><w:pStyle w:val="Normal"/></w:pPr>
<w:r><w:t xml:space="preserve">to rest in the church of her name at Rome, originally built</w:t></w:r>
</w:p>
<w:p>
<w:pPr><w:pStyle w:val="Normal"/></w:pPr>
<w:r><w:t xml:space="preserve">by Constantine and repaired by Pope Honorius in the 7th</w:t></w:r>
</w:p>
<w:p>
<w:pPr><w:pStyle w:val="Normal"/></w:pPr>
<w:r><w:t xml:space="preserve">century.  Here on her festival (21st of January) two lambs</w:t></w:r>
</w:p>
<w:p>
<w:pPr><w:pStyle w:val="Normal"/></w:pPr>
<w:r><w:t xml:space="preserve">are specially blessed after pontifical high mass, and</w:t></w:r>
</w:p>
<w:p>
<w:pPr><w:pStyle w:val="Normal"/></w:pPr>
<w:r><w:t xml:space="preserve">their wool is later woven into pallia (see PALLIUM.)</w:t></w:r>
</w:p>
<w:p>
<w:pPr><w:pStyle w:val="Normal"/></w:pPr>
<w:r><w:t xml:space="preserve">AGNES OF MERAN (d. 1201), queen of France, was the daughter</w:t></w:r>
</w:p>
<w:p>
<w:pPr><w:pStyle w:val="Normal"/></w:pPr>
<w:r><w:t xml:space="preserve">of Bertold IV., duke of Meran in Tirol.  She is called Marie</w:t></w:r>
</w:p>
<w:p>
<w:pPr><w:pStyle w:val="Normal"/></w:pPr>
<w:r><w:t xml:space="preserve">by some of the chroniclers.  In June 1196 she married Philip</w:t></w:r>
</w:p>
<w:p>
<w:pPr><w:pStyle w:val="Normal"/></w:pPr>
<w:r><w:t xml:space="preserve">II., king of France, who had repudiated Ingeborg of Denmark in</w:t></w:r>
</w:p>
<w:p>
<w:pPr><w:pStyle w:val="Normal"/></w:pPr>
<w:r><w:t xml:space="preserve">1193.  The pope espoused the cause of Ingeborg; but Philip</w:t></w:r>
</w:p>
<w:p>
<w:pPr><w:pStyle w:val="Normal"/></w:pPr>
<w:r><w:t xml:space="preserve">did not submit until 1200, when, interdict having been</w:t></w:r>
</w:p>
<w:p>
<w:pPr><w:pStyle w:val="Normal"/></w:pPr>
<w:r><w:t xml:space="preserve">added to excommunication, he consented to a separation from</w:t></w:r>
</w:p>
<w:p>
<w:pPr><w:pStyle w:val="Normal"/></w:pPr>
<w:r><w:t xml:space="preserve">Agnes.  She died in July of the next year, at the castle of</w:t></w:r>
</w:p>
<w:p>
<w:pPr><w:pStyle w:val="Normal"/></w:pPr>
<w:r><w:t xml:space="preserve">Poissy, and was buried in the church of St Corentin, near</w:t></w:r>
</w:p>
<w:p>
<w:pPr><w:pStyle w:val="Normal"/></w:pPr>
<w:r><w:t xml:space="preserve">Nantes.  Her two children by Philip II., Philip, count of</w:t></w:r>
</w:p>
<w:p>
<w:pPr><w:pStyle w:val="Normal"/></w:pPr>
<w:r><w:t xml:space="preserve">Clermont (d. 1234), and Mary, who married Philip, count of</w:t></w:r>
</w:p>
<w:p>
<w:pPr><w:pStyle w:val="Normal"/></w:pPr>
<w:r><w:t xml:space="preserve">Namur, were legitimized by Innocent III. in 1201 on the</w:t></w:r>
</w:p>
<w:p>
<w:pPr><w:pStyle w:val="Normal"/></w:pPr>
<w:r><w:t xml:space="preserve">demand of the king.  Little is known of the personality</w:t></w:r>
</w:p>
<w:p>
<w:pPr><w:pStyle w:val="Normal"/></w:pPr>
<w:r><w:t xml:space="preserve">of Agnes, beyond the remarkable influence which she</w:t></w:r>
</w:p>
<w:p>
<w:pPr><w:pStyle w:val="Normal"/></w:pPr>
<w:r><w:t xml:space="preserve">exercised over Philip II. She has been made the heroine</w:t></w:r>
</w:p>
<w:p>
<w:pPr><w:pStyle w:val="Normal"/></w:pPr>
<w:r><w:t xml:space="preserve">of a tragedy by Francois Ponsard, Agnes de Meranie.</w:t></w:r>
</w:p>
<w:p>
<w:pPr><w:pStyle w:val="Normal"/></w:pPr>
<w:r><w:t xml:space="preserve">See the notes of Robert Davidsohn in Philipp II. August</w:t></w:r>
</w:p>
<w:p>
<w:pPr><w:pStyle w:val="Normal"/></w:pPr>
<w:r><w:t xml:space="preserve">von Frankreich und Ingeborg (Stuttgart, 1888).  A</w:t></w:r>
</w:p>
<w:p>
<w:pPr><w:pStyle w:val="Normal"/></w:pPr>
<w:r><w:t xml:space="preserve">genealogical notice is furnished by the Chronicon of</w:t></w:r>
</w:p>
<w:p>
<w:pPr><w:pStyle w:val="Normal"/></w:pPr>
<w:r><w:t xml:space="preserve">the monk Alberic (Aubry) of Fontaines, (Albericus Trium</w:t></w:r>
</w:p>
<w:p>
<w:pPr><w:pStyle w:val="Normal"/></w:pPr>
<w:r><w:t xml:space="preserve">Fontium) in Pertz, Scriptores, vol. xxiii. pp. 872</w:t></w:r>
</w:p>
<w:p>
<w:pPr><w:pStyle w:val="Normal"/></w:pPr>
<w:r><w:t xml:space="preserve">f., and by the Genealogia Wettinensis, ibid. p. 229.</w:t></w:r>
</w:p>
<w:p>
<w:pPr><w:pStyle w:val="Normal"/></w:pPr>
<w:r><w:t xml:space="preserve">AGNESI, MARIA GAETANA (1718-1799), Italian mathematician,</w:t></w:r>
</w:p>
<w:p>
<w:pPr><w:pStyle w:val="Normal"/></w:pPr>
<w:r><w:t xml:space="preserve">linguist and philosopher, was born at Milan on the 16th of May</w:t></w:r>
</w:p>
<w:p>
<w:pPr><w:pStyle w:val="Normal"/></w:pPr>
<w:r><w:t xml:space="preserve">1718, her father being professor of mathematics in the university</w:t></w:r>
</w:p>
<w:p>
<w:pPr><w:pStyle w:val="Normal"/></w:pPr>
<w:r><w:t xml:space="preserve">of Bologna.  When only nine years old she had such command of</w:t></w:r>
</w:p>
<w:p>
<w:pPr><w:pStyle w:val="Normal"/></w:pPr>
<w:r><w:t xml:space="preserve">Latin as to be able to publish an elaborate address in that</w:t></w:r>
</w:p>
<w:p>
<w:pPr><w:pStyle w:val="Normal"/></w:pPr>
<w:r><w:t xml:space="preserve">language, maintaining that the pursuit of liberal studies</w:t></w:r>
</w:p>
<w:p>
<w:pPr><w:pStyle w:val="Normal"/></w:pPr>
<w:r><w:t xml:space="preserve">was not improper for her sex.  By her thirteenth year she</w:t></w:r>
</w:p>
<w:p>
<w:pPr><w:pStyle w:val="Normal"/></w:pPr>
<w:r><w:t xml:space="preserve">had acquired Greek, Hebrew, French, Spanish, German and other</w:t></w:r>
</w:p>
<w:p>
<w:pPr><w:pStyle w:val="Normal"/></w:pPr>
<w:r><w:t xml:space="preserve">languages.  Two years later her father began to assemble in</w:t></w:r>
</w:p>
<w:p>
<w:pPr><w:pStyle w:val="Normal"/></w:pPr>
<w:r><w:t xml:space="preserve">his house at stated intervals a circle of the most learned</w:t></w:r>
</w:p>
<w:p>
<w:pPr><w:pStyle w:val="Normal"/></w:pPr>
<w:r><w:t xml:space="preserve">men in Bologna, before whom she read and maintained a series</w:t></w:r>
</w:p>
<w:p>
<w:pPr><w:pStyle w:val="Normal"/></w:pPr>
<w:r><w:t xml:space="preserve">of theses on the most abstruse philosophical questions.</w:t></w:r>
</w:p>
<w:p>
<w:pPr><w:pStyle w:val="Normal"/></w:pPr>
<w:r><w:t xml:space="preserve">Records of these meetings are given in de Brosse&apos;s Lettres</w:t></w:r>
</w:p>
<w:p>
<w:pPr><w:pStyle w:val="Normal"/></w:pPr>
<w:r><w:t xml:space="preserve">sur l&apos;Italie and in the Propositiones Philosophicae, which</w:t></w:r>
</w:p>
<w:p>
<w:pPr><w:pStyle w:val="Normal"/></w:pPr>
<w:r><w:t xml:space="preserve">her father caused to be published in 1738.  These displays,</w:t></w:r>
</w:p>
<w:p>
<w:pPr><w:pStyle w:val="Normal"/></w:pPr>
<w:r><w:t xml:space="preserve">being probably not altogether congenial to Maria, who was of a</w:t></w:r>
</w:p>
<w:p>
<w:pPr><w:pStyle w:val="Normal"/></w:pPr>
<w:r><w:t xml:space="preserve">retiring disposition, ceased in her twentieth year, and it is</w:t></w:r>
</w:p>
<w:p>
<w:pPr><w:pStyle w:val="Normal"/></w:pPr>
<w:r><w:t xml:space="preserve">even said that she had at that age a strong desire to enter a</w:t></w:r>
</w:p>
<w:p>
<w:pPr><w:pStyle w:val="Normal"/></w:pPr>
<w:r><w:t xml:space="preserve">convent.  Though the wish was not gratified, she lived from that</w:t></w:r>
</w:p>
<w:p>
<w:pPr><w:pStyle w:val="Normal"/></w:pPr>
<w:r><w:t xml:space="preserve">time in a retirement almost conventual, avoiding all society</w:t></w:r>
</w:p>
<w:p>
<w:pPr><w:pStyle w:val="Normal"/></w:pPr>
<w:r><w:t xml:space="preserve">and devoting herself entirely to the study of mathematics.</w:t></w:r>
</w:p>
<w:p>
<w:pPr><w:pStyle w:val="Normal"/></w:pPr>
<w:r><w:t xml:space="preserve">The most valuable result of her labours was the Instituzioni</w:t></w:r>
</w:p>
<w:p>
<w:pPr><w:pStyle w:val="Normal"/></w:pPr>
<w:r><w:t xml:space="preserve">analitiche ad uso della gioventu italiana, a work of great</w:t></w:r>
</w:p>
<w:p>
<w:pPr><w:pStyle w:val="Normal"/></w:pPr>
<w:r><w:t xml:space="preserve">merit, which was published at Milan in 1748.  The first volume</w:t></w:r>
</w:p>
<w:p>
<w:pPr><w:pStyle w:val="Normal"/></w:pPr>
<w:r><w:t xml:space="preserve">treats of the analysis of finite quantities. and the second of</w:t></w:r>
</w:p>
<w:p>
<w:pPr><w:pStyle w:val="Normal"/></w:pPr>
<w:r><w:t xml:space="preserve">the analysis of infinitesimals.  A French translation of the</w:t></w:r>
</w:p>
<w:p>
<w:pPr><w:pStyle w:val="Normal"/></w:pPr>
<w:r><w:t xml:space="preserve">second volume by P. T. d&apos;Antelmy, with additions by Charles</w:t></w:r>
</w:p>
<w:p>
<w:pPr><w:pStyle w:val="Normal"/></w:pPr>
<w:r><w:t xml:space="preserve">Bossut (1730-1814), appeared at Paris in 1775; and an English</w:t></w:r>
</w:p>
<w:p>
<w:pPr><w:pStyle w:val="Normal"/></w:pPr>
<w:r><w:t xml:space="preserve">translation of the whole work by John Colson (1680-1760),</w:t></w:r>
</w:p>
<w:p>
<w:pPr><w:pStyle w:val="Normal"/></w:pPr>
<w:r><w:t xml:space="preserve">the Lucasian professor of mathematics at Cambridge, was</w:t></w:r>
</w:p>
<w:p>
<w:pPr><w:pStyle w:val="Normal"/></w:pPr>
<w:r><w:t xml:space="preserve">published in 1801 at the expense of Baron Maseres.  Madame</w:t></w:r>
</w:p>
<w:p>
<w:pPr><w:pStyle w:val="Normal"/></w:pPr>
<w:r><w:t xml:space="preserve">Agnesi also wrote a commentary on the Traite analytique des</w:t></w:r>
</w:p>
<w:p>
<w:pPr><w:pStyle w:val="Normal"/></w:pPr>
<w:r><w:t xml:space="preserve">sections coniques of the marquis de l&apos;Hopital, which, though</w:t></w:r>
</w:p>
<w:p>
<w:pPr><w:pStyle w:val="Normal"/></w:pPr>
<w:r><w:t xml:space="preserve">highly praised by those who saw it in manuscript, was never</w:t></w:r>
</w:p>
<w:p>
<w:pPr><w:pStyle w:val="Normal"/></w:pPr>
<w:r><w:t xml:space="preserve">published.  She invented and discussed the curve known as</w:t></w:r>
</w:p>
<w:p>
<w:pPr><w:pStyle w:val="Normal"/></w:pPr>
<w:r><w:t xml:space="preserve">the ``witch of Agnesi&apos;&apos; (q.v.) or versiera.  In 1750, on</w:t></w:r>
</w:p>
<w:p>
<w:pPr><w:pStyle w:val="Normal"/></w:pPr>
<w:r><w:t xml:space="preserve">the illness of her father, she was appointed by Pope Benedict</w:t></w:r>
</w:p>
<w:p>
<w:pPr><w:pStyle w:val="Heading1"/></w:pPr>
<w:r><w:t>XIV. to the chair of mathematics and natural Philosophy at</w:t></w:r>
</w:p>
<w:p>
<w:pPr><w:pStyle w:val="Normal"/></w:pPr>
<w:r><w:t xml:space="preserve">Bologna.  After the death of her father in 1752 she carried</w:t></w:r>
</w:p>
<w:p>
<w:pPr><w:pStyle w:val="Normal"/></w:pPr>
<w:r><w:t xml:space="preserve">out a long-cherished purpose by giving herself to the study of</w:t></w:r>
</w:p>
<w:p>
<w:pPr><w:pStyle w:val="Normal"/></w:pPr>
<w:r><w:t xml:space="preserve">theology, and especially of the Fathers.  After holding for</w:t></w:r>
</w:p>
<w:p>
<w:pPr><w:pStyle w:val="Normal"/></w:pPr>
<w:r><w:t xml:space="preserve">some years the office of directress of the Hospice Trivulzio for</w:t></w:r>
</w:p>
<w:p>
<w:pPr><w:pStyle w:val="Normal"/></w:pPr>
<w:r><w:t xml:space="preserve">Blue Nuns at Milan, she herself joined the sisterhood, and in</w:t></w:r>
</w:p>
<w:p>
<w:pPr><w:pStyle w:val="Normal"/></w:pPr>
<w:r><w:t xml:space="preserve">this austere order ended her days on the 9th of January 1799.</w:t></w:r>
</w:p>
<w:p>
<w:pPr><w:pStyle w:val="Normal"/></w:pPr>
<w:r><w:t xml:space="preserve">Her sister, MARIA TERESA AGNESI (1724-1780), a well-known</w:t></w:r>
</w:p>
<w:p>
<w:pPr><w:pStyle w:val="Normal"/></w:pPr>
<w:r><w:t xml:space="preserve">Italian pianist and composer, was born at Milan in</w:t></w:r>
</w:p>
<w:p>
<w:pPr><w:pStyle w:val="Normal"/></w:pPr>
<w:r><w:t xml:space="preserve">1724.  She composed several cantatas, two pianoforte</w:t></w:r>
</w:p>
<w:p>
<w:pPr><w:pStyle w:val="Normal"/></w:pPr>
<w:r><w:t xml:space="preserve">concertos and five operas, Sofenisbe, Ciro in Armenia,</w:t></w:r>
</w:p>
<w:p>
<w:pPr><w:pStyle w:val="Normal"/></w:pPr>
<w:r><w:t xml:space="preserve">Nitocri, Il Re Pastore and Insubria consolata.</w:t></w:r>
</w:p>
<w:p>
<w:pPr><w:pStyle w:val="Normal"/></w:pPr>
<w:r><w:t xml:space="preserve">See Antonio Francesco Frisi, Eloge historique de</w:t></w:r>
</w:p>
<w:p>
<w:pPr><w:pStyle w:val="Normal"/></w:pPr>
<w:r><w:t xml:space="preserve">Mademoiselle Agnesi, translated by Boulard (Paris, 1807);</w:t></w:r>
</w:p>
<w:p>
<w:pPr><w:pStyle w:val="Normal"/></w:pPr>
<w:r><w:t xml:space="preserve">Milesi-Mojon, Vita di M. G. Agnesi (Milan, 1836); J.</w:t></w:r>
</w:p>
<w:p>
<w:pPr><w:pStyle w:val="Normal"/></w:pPr>
<w:r><w:t xml:space="preserve">Boyer, ``La Mathematicienne Agnesi&apos;&apos; in the Revue Catholique</w:t></w:r>
</w:p>
<w:p>
<w:pPr><w:pStyle w:val="Normal"/></w:pPr>
<w:r><w:t xml:space="preserve">des revues francaises et etrangeres (Paris, 1897).</w:t></w:r>
</w:p>
<w:p>
<w:pPr><w:pStyle w:val="Normal"/></w:pPr>
<w:r><w:t xml:space="preserve">AGNEW, DAVID HAYES (1818-1892), American surgeon, was born</w:t></w:r>
</w:p>
<w:p>
<w:pPr><w:pStyle w:val="Normal"/></w:pPr>
<w:r><w:t xml:space="preserve">in Lancaster county, Pennsylvania, on the 24th of November</w:t></w:r>
</w:p>
<w:p>
<w:pPr><w:pStyle w:val="Normal"/></w:pPr>
<w:r><w:t xml:space="preserve">1818.  He graduated from the medical department of the</w:t></w:r>
</w:p>
<w:p>
<w:pPr><w:pStyle w:val="Normal"/></w:pPr>
<w:r><w:t xml:space="preserve">university of Pennsylvania in 1838, and a few years later set</w:t></w:r>
</w:p>
<w:p>
<w:pPr><w:pStyle w:val="Normal"/></w:pPr>
<w:r><w:t xml:space="preserve">up in practice at Philadelphia and became a lecturer at the</w:t></w:r>
</w:p>
<w:p>
<w:pPr><w:pStyle w:val="Normal"/></w:pPr>
<w:r><w:t xml:space="preserve">Philadelphia School of Anatomy.  He was appointed surgeon at</w:t></w:r>
</w:p>
<w:p>
<w:pPr><w:pStyle w:val="Normal"/></w:pPr>
<w:r><w:t xml:space="preserve">the Philadelphia Hospital in 1854 and was the founder of its</w:t></w:r>
</w:p>
<w:p>
<w:pPr><w:pStyle w:val="Normal"/></w:pPr>
<w:r><w:t xml:space="preserve">pathological museum.  For twenty-six years (1863-1889) he</w:t></w:r>
</w:p>
<w:p>
<w:pPr><w:pStyle w:val="Normal"/></w:pPr>
<w:r><w:t xml:space="preserve">was connected with the medical faculty of the university of</w:t></w:r>
</w:p>
<w:p>
<w:pPr><w:pStyle w:val="Normal"/></w:pPr>
<w:r><w:t xml:space="preserve">Pennsylvania, being elected professor of operative surgery</w:t></w:r>
</w:p>
<w:p>
<w:pPr><w:pStyle w:val="Normal"/></w:pPr>
<w:r><w:t xml:space="preserve">in 1870 and professor of the principles and practice of</w:t></w:r>
</w:p>
<w:p>
<w:pPr><w:pStyle w:val="Normal"/></w:pPr>
<w:r><w:t xml:space="preserve">surgery in the following year.  From 1865 to 1884--except</w:t></w:r>
</w:p>
<w:p>
<w:pPr><w:pStyle w:val="Normal"/></w:pPr>
<w:r><w:t xml:space="preserve">for a brief interval --he was a surgeon at the Pennsylvania</w:t></w:r>
</w:p>
<w:p>
<w:pPr><w:pStyle w:val="Normal"/></w:pPr>
<w:r><w:t xml:space="preserve">Hospital.  During the American Civil War he was consulting</w:t></w:r>
</w:p>
<w:p>
<w:pPr><w:pStyle w:val="Normal"/></w:pPr>
<w:r><w:t xml:space="preserve">surgeon in the Mower Army Hospital, near Philadelphia, and</w:t></w:r>
</w:p>
<w:p>
<w:pPr><w:pStyle w:val="Normal"/></w:pPr>
<w:r><w:t xml:space="preserve">acquired considerable reputation for his operations in cases</w:t></w:r>
</w:p>
<w:p>
<w:pPr><w:pStyle w:val="Normal"/></w:pPr>
<w:r><w:t xml:space="preserve">of gun-shot wounds.  He attended as operating surgeon when</w:t></w:r>
</w:p>
<w:p>
<w:pPr><w:pStyle w:val="Normal"/></w:pPr>
<w:r><w:t xml:space="preserve">President Garfield was fatally wounded by the bullet of an</w:t></w:r>
</w:p>
<w:p>
<w:pPr><w:pStyle w:val="Normal"/></w:pPr>
<w:r><w:t xml:space="preserve">assassin in 1881.  He was the author of several works, the</w:t></w:r>
</w:p>
<w:p>
<w:pPr><w:pStyle w:val="Normal"/></w:pPr>
<w:r><w:t xml:space="preserve">most important being The Principles and Practice of Surgery</w:t></w:r>
</w:p>
<w:p>
<w:pPr><w:pStyle w:val="Normal"/></w:pPr>
<w:r><w:t xml:space="preserve">(1878-1883).  He died at Philadelphia on the 22nd of March 1892.</w:t></w:r>
</w:p>
<w:p>
<w:pPr><w:pStyle w:val="Normal"/></w:pPr>
<w:r><w:t xml:space="preserve">AGNI, the Hindu God of Fire, second only to Indra in the</w:t></w:r>
</w:p>
<w:p>
<w:pPr><w:pStyle w:val="Normal"/></w:pPr>
<w:r><w:t xml:space="preserve">power and importance attributed to him in Vedic mythology.</w:t></w:r>
</w:p>
<w:p>
<w:pPr><w:pStyle w:val="Normal"/></w:pPr>
<w:r><w:t xml:space="preserve">His name is the first word of the first hymn of the Rig-veda:</w:t></w:r>
</w:p>
<w:p>
<w:pPr><w:pStyle w:val="Normal"/></w:pPr>
<w:r><w:t xml:space="preserve">``Agni, I entreat, divine appointed priest of sacrifice.&apos;&apos;</w:t></w:r>
</w:p>
<w:p>
<w:pPr><w:pStyle w:val="Normal"/></w:pPr>
<w:r><w:t xml:space="preserve">The sacrifices made to Agni pass to the gods, for Agni is a</w:t></w:r>
</w:p>
<w:p>
<w:pPr><w:pStyle w:val="Normal"/></w:pPr>
<w:r><w:t xml:space="preserve">messenger from and to the gods; but, at the same time, he is</w:t></w:r>
</w:p>
<w:p>
<w:pPr><w:pStyle w:val="Normal"/></w:pPr>
<w:r><w:t xml:space="preserve">more than a mere messenger, he is an immortal, for another</w:t></w:r>
</w:p>
<w:p>
<w:pPr><w:pStyle w:val="Normal"/></w:pPr>
<w:r><w:t xml:space="preserve">hymn runs: ``No god indeed, no mortal is beyond the might of</w:t></w:r>
</w:p>
<w:p>
<w:pPr><w:pStyle w:val="Normal"/></w:pPr>
<w:r><w:t xml:space="preserve">thee, the mighty One. . . .&apos;&apos; He is a god who lives among men,</w:t></w:r>
</w:p>
<w:p>
<w:pPr><w:pStyle w:val="Normal"/></w:pPr>
<w:r><w:t xml:space="preserve">miraculously reborn each day by the fire-drill, by the friction</w:t></w:r>
</w:p>
<w:p>
<w:pPr><w:pStyle w:val="Normal"/></w:pPr>
<w:r><w:t xml:space="preserve">of the two sticks which are regarded as his parents; he is</w:t></w:r>
</w:p>
<w:p>
<w:pPr><w:pStyle w:val="Normal"/></w:pPr>
<w:r><w:t xml:space="preserve">the supreme director of religious ceremonies and duties,and</w:t></w:r>
</w:p>
<w:p>
<w:pPr><w:pStyle w:val="Normal"/></w:pPr>
<w:r><w:t xml:space="preserve">even has the power of influencing the lot of man in the future</w:t></w:r>
</w:p>
<w:p>
<w:pPr><w:pStyle w:val="Normal"/></w:pPr>
<w:r><w:t xml:space="preserve">world.  He is worshipped under a threefold form, fire on earth,</w:t></w:r>
</w:p>
<w:p>
<w:pPr><w:pStyle w:val="Normal"/></w:pPr>
<w:r><w:t xml:space="preserve">lightning and the sun.  His cult survived the metamorphosis</w:t></w:r>
</w:p>
<w:p>
<w:pPr><w:pStyle w:val="Normal"/></w:pPr>
<w:r><w:t xml:space="preserve">of the ancient Vedic nature-worship into modern Hinduism,</w:t></w:r>
</w:p>
<w:p>
<w:pPr><w:pStyle w:val="Normal"/></w:pPr>
<w:r><w:t xml:space="preserve">and there still are in India fire-priests (agnihotri) whose</w:t></w:r>
</w:p>
<w:p>
<w:pPr><w:pStyle w:val="Normal"/></w:pPr>
<w:r><w:t xml:space="preserve">duty is to superintend his worship.  The sacred fire-drill for</w:t></w:r>
</w:p>
<w:p>
<w:pPr><w:pStyle w:val="Normal"/></w:pPr>
<w:r><w:t xml:space="preserve">procuring the temple-fire by friction--symbolic of Agni&apos;s daily</w:t></w:r>
</w:p>
<w:p>
<w:pPr><w:pStyle w:val="Normal"/></w:pPr>
<w:r><w:t xml:space="preserve">miraculous birth--is still used.  In pictorial art Agni is</w:t></w:r>
</w:p>
<w:p>
<w:pPr><w:pStyle w:val="Normal"/></w:pPr>
<w:r><w:t xml:space="preserve">always represented as red, two-faced, suggesting his destructive</w:t></w:r>
</w:p>
<w:p>
<w:pPr><w:pStyle w:val="Normal"/></w:pPr>
<w:r><w:t xml:space="preserve">and beneficent qualities, and with three legs and seven arms.</w:t></w:r>
</w:p>
<w:p>
<w:pPr><w:pStyle w:val="Normal"/></w:pPr>
<w:r><w:t xml:space="preserve">See W. J. Wilkins, Hindu Mythology (London, 1900);</w:t></w:r>
</w:p>
<w:p>
<w:pPr><w:pStyle w:val="Normal"/></w:pPr>
<w:r><w:t xml:space="preserve">A. A. Macdonell, Vedic Mythology (Strassburg, 1897).</w:t></w:r>
</w:p>
<w:p>
<w:pPr><w:pStyle w:val="Normal"/></w:pPr>
<w:r><w:t xml:space="preserve">AGNOETAE (Gr. agnoeo, to be ignorant of), a monophysite</w:t></w:r>
</w:p>
<w:p>
<w:pPr><w:pStyle w:val="Normal"/></w:pPr>
<w:r><w:t xml:space="preserve">sect who maintained that Christ&apos;s human nature was like other</w:t></w:r>
</w:p>
<w:p>
<w:pPr><w:pStyle w:val="Normal"/></w:pPr>
<w:r><w:t xml:space="preserve">men&apos;s in all respects, including limited knowledge.  Its</w:t></w:r>
</w:p>
<w:p>
<w:pPr><w:pStyle w:val="Normal"/></w:pPr>
<w:r><w:t xml:space="preserve">founder was Themistius, a deacon in Alexandria in the 6th</w:t></w:r>
</w:p>
<w:p>
<w:pPr><w:pStyle w:val="Normal"/></w:pPr>
<w:r><w:t xml:space="preserve">century.  The sect was anathematized by Gregory the Great.</w:t></w:r>
</w:p>
<w:p>
<w:pPr><w:pStyle w:val="Normal"/></w:pPr>
<w:r><w:t xml:space="preserve">AGNOIOLOGY (from Gr. agnoi-a, ignorance), the science or</w:t></w:r>
</w:p>
<w:p>
<w:pPr><w:pStyle w:val="Normal"/></w:pPr>
<w:r><w:t xml:space="preserve">study of ignorance, which determines its quality and conditions.</w:t></w:r>
</w:p>
<w:p>
<w:pPr><w:pStyle w:val="Normal"/></w:pPr>
<w:r><w:t xml:space="preserve">AGNOSTICISM. The term ``agnostic&apos;&apos; was invented by Huxley</w:t></w:r>
</w:p>
<w:p>
<w:pPr><w:pStyle w:val="Normal"/></w:pPr>
<w:r><w:t xml:space="preserve">in 1869 to describe the philosophical and religious attitude</w:t></w:r>
</w:p>
<w:p>
<w:pPr><w:pStyle w:val="Normal"/></w:pPr>
<w:r><w:t xml:space="preserve">of those who hold that we can have scientific or real</w:t></w:r>
</w:p>
<w:p>
<w:pPr><w:pStyle w:val="Normal"/></w:pPr>
<w:r><w:t xml:space="preserve">knowledge of phenomena only, and that so far as what may lie</w:t></w:r>
</w:p>
<w:p>
<w:pPr><w:pStyle w:val="Normal"/></w:pPr>
<w:r><w:t xml:space="preserve">behind phenomena is concerned--God, immortality, &amp;c.--there</w:t></w:r>
</w:p>
<w:p>
<w:pPr><w:pStyle w:val="Normal"/></w:pPr>
<w:r><w:t xml:space="preserve">is no evidence which entitles us either to deny or aflirm</w:t></w:r>
</w:p>
<w:p>
<w:pPr><w:pStyle w:val="Normal"/></w:pPr>
<w:r><w:t xml:space="preserve">anything.  The attitude itself is as old as Scepticism</w:t></w:r>
</w:p>
<w:p>
<w:pPr><w:pStyle w:val="Normal"/></w:pPr>
<w:r><w:t xml:space="preserve">(q.v.); but the expressions ``agnostic&apos;&apos; and ``agnosticism&apos;&apos;</w:t></w:r>
</w:p>
<w:p>
<w:pPr><w:pStyle w:val="Normal"/></w:pPr>
<w:r><w:t xml:space="preserve">were applied by Huxley to sum up his deductions from those</w:t></w:r>
</w:p>
<w:p>
<w:pPr><w:pStyle w:val="Normal"/></w:pPr>
<w:r><w:t xml:space="preserve">contemporary developments of metaphysics with which the</w:t></w:r>
</w:p>
<w:p>
<w:pPr><w:pStyle w:val="Normal"/></w:pPr>
<w:r><w:t xml:space="preserve">names of Hamilton (``the Unconditioned&apos;&apos;) and Herbert Spencer</w:t></w:r>
</w:p>
<w:p>
<w:pPr><w:pStyle w:val="Normal"/></w:pPr>
<w:r><w:t xml:space="preserve">(``the Unknowable&apos;&apos;) were associated; and it is important,</w:t></w:r>
</w:p>
<w:p>
<w:pPr><w:pStyle w:val="Normal"/></w:pPr>
<w:r><w:t xml:space="preserve">therefore, to fix precisely his own intellectual standpoint</w:t></w:r>
</w:p>
<w:p>
<w:pPr><w:pStyle w:val="Normal"/></w:pPr>
<w:r><w:t xml:space="preserve">in the matter.  Though Huxley only began to use the term</w:t></w:r>
</w:p>
<w:p>
<w:pPr><w:pStyle w:val="Normal"/></w:pPr>
<w:r><w:t xml:space="preserve">``agnostic&apos;&apos; in 1869, his opinions had taken shape some time</w:t></w:r>
</w:p>
<w:p>
<w:pPr><w:pStyle w:val="Normal"/></w:pPr>
<w:r><w:t xml:space="preserve">before that date.  In a letter to Charles Kingsley (September</w:t></w:r>
</w:p>
<w:p>
<w:pPr><w:pStyle w:val="Normal"/></w:pPr>
<w:r><w:t xml:space="preserve">23, 1860) he wrote very fully concerning his beliefs:--</w:t></w:r>
</w:p>
<w:p>
<w:pPr><w:pStyle w:val="Normal"/></w:pPr>
<w:r><w:t xml:space="preserve">``I neither affirm nor deny the immortality of man.  I</w:t></w:r>
</w:p>
<w:p>
<w:pPr><w:pStyle w:val="Normal"/></w:pPr>
<w:r><w:t xml:space="preserve">see no reason for believing it, but, on the other hand,</w:t></w:r>
</w:p>
<w:p>
<w:pPr><w:pStyle w:val="Heading1"/></w:pPr>
<w:r><w:t>I have no means of disproving it.  I have no a priori</w:t></w:r>
</w:p>
<w:p>
<w:pPr><w:pStyle w:val="Normal"/></w:pPr>
<w:r><w:t xml:space="preserve">objections to the doctrine.  No man who has to deal daily</w:t></w:r>
</w:p>
<w:p>
<w:pPr><w:pStyle w:val="Normal"/></w:pPr>
<w:r><w:t xml:space="preserve">and hourly with nature can trouble himself about a priori</w:t></w:r>
</w:p>
<w:p>
<w:pPr><w:pStyle w:val="Normal"/></w:pPr>
<w:r><w:t xml:space="preserve">difficulties.  Give me such evidence as would justify</w:t></w:r>
</w:p>
<w:p>
<w:pPr><w:pStyle w:val="Normal"/></w:pPr>
<w:r><w:t xml:space="preserve">me in believing in anything else, and I will believe</w:t></w:r>
</w:p>
<w:p>
<w:pPr><w:pStyle w:val="Normal"/></w:pPr>
<w:r><w:t xml:space="preserve">that.  Why should I not? It is not half so wonderful as the</w:t></w:r>
</w:p>
<w:p>
<w:pPr><w:pStyle w:val="Normal"/></w:pPr>
<w:r><w:t xml:space="preserve">conservation of force or the indestructibility of matter. . . .</w:t></w:r>
</w:p>
<w:p>
<w:pPr><w:pStyle w:val="Normal"/></w:pPr>
<w:r><w:t xml:space="preserve">``It is no use to talk to me of analogies and</w:t></w:r>
</w:p>
<w:p>
<w:pPr><w:pStyle w:val="Normal"/></w:pPr>
<w:r><w:t xml:space="preserve">probabilities.  I know what I mean when I say I believe</w:t></w:r>
</w:p>
<w:p>
<w:pPr><w:pStyle w:val="Normal"/></w:pPr>
<w:r><w:t xml:space="preserve">in the law of the inverse squares, and I will not rest</w:t></w:r>
</w:p>
<w:p>
<w:pPr><w:pStyle w:val="Normal"/></w:pPr>
<w:r><w:t xml:space="preserve">my life and my hopes upon weaker convictions. . . .</w:t></w:r>
</w:p>
<w:p>
<w:pPr><w:pStyle w:val="Normal"/></w:pPr>
<w:r><w:t xml:space="preserve">``That my personality is the surest thing I know may be true.</w:t></w:r>
</w:p>
<w:p>
<w:pPr><w:pStyle w:val="Normal"/></w:pPr>
<w:r><w:t xml:space="preserve">But the attempt to conceive what it is leads me into mere verbal</w:t></w:r>
</w:p>
<w:p>
<w:pPr><w:pStyle w:val="Normal"/></w:pPr>
<w:r><w:t xml:space="preserve">subtleties.  I have champed up all that chaff about the ego</w:t></w:r>
</w:p>
<w:p>
<w:pPr><w:pStyle w:val="Normal"/></w:pPr>
<w:r><w:t xml:space="preserve">and the non-ego, noumena and phenomena, and all the rest of it,</w:t></w:r>
</w:p>
<w:p>
<w:pPr><w:pStyle w:val="Normal"/></w:pPr>
<w:r><w:t xml:space="preserve">too often not to know that in attempting even to think of these</w:t></w:r>
</w:p>
<w:p>
<w:pPr><w:pStyle w:val="Normal"/></w:pPr>
<w:r><w:t xml:space="preserve">questions, the human intellect flounders at once out of its depth.&apos;&apos;</w:t></w:r>
</w:p>
<w:p>
<w:pPr><w:pStyle w:val="Normal"/></w:pPr>
<w:r><w:t xml:space="preserve">And again, to the same correspondent, the 5th of May 1863:--</w:t></w:r>
</w:p>
<w:p>
<w:pPr><w:pStyle w:val="Normal"/></w:pPr>
<w:r><w:t xml:space="preserve">``I have never had the least sympathy with the a priori reasons</w:t></w:r>
</w:p>
<w:p>
<w:pPr><w:pStyle w:val="Normal"/></w:pPr>
<w:r><w:t xml:space="preserve">against orthodoxy, and I have by nature and disposition the</w:t></w:r>
</w:p>
<w:p>
<w:pPr><w:pStyle w:val="Normal"/></w:pPr>
<w:r><w:t xml:space="preserve">greatest possible antipathy to all the atheistic and infidel</w:t></w:r>
</w:p>
<w:p>
<w:pPr><w:pStyle w:val="Normal"/></w:pPr>
<w:r><w:t xml:space="preserve">school.  Nevertheless I know that I am, in spite of myself,</w:t></w:r>
</w:p>
<w:p>
<w:pPr><w:pStyle w:val="Normal"/></w:pPr>
<w:r><w:t xml:space="preserve">exactly what the Christian would call, and, so far as I can</w:t></w:r>
</w:p>
<w:p>
<w:pPr><w:pStyle w:val="Normal"/></w:pPr>
<w:r><w:t xml:space="preserve">see, is justified in calling, atheist and infidel. l cannot</w:t></w:r>
</w:p>
<w:p>
<w:pPr><w:pStyle w:val="Normal"/></w:pPr>
<w:r><w:t xml:space="preserve">see one shadow or tittle of evidence that the great unknown</w:t></w:r>
</w:p>
<w:p>
<w:pPr><w:pStyle w:val="Normal"/></w:pPr>
<w:r><w:t xml:space="preserve">underlying the phenomenon of the universe stands to us in the</w:t></w:r>
</w:p>
<w:p>
<w:pPr><w:pStyle w:val="Normal"/></w:pPr>
<w:r><w:t xml:space="preserve">relation of a Father--loves us and cares for us as Christianity</w:t></w:r>
</w:p>
<w:p>
<w:pPr><w:pStyle w:val="Normal"/></w:pPr>
<w:r><w:t xml:space="preserve">asserts.  So with regard to the other great Christian dogmas,</w:t></w:r>
</w:p>
<w:p>
<w:pPr><w:pStyle w:val="Normal"/></w:pPr>
<w:r><w:t xml:space="preserve">immortality of soul and future state of rewards and punishments,</w:t></w:r>
</w:p>
<w:p>
<w:pPr><w:pStyle w:val="Normal"/></w:pPr>
<w:r><w:t xml:space="preserve">what possible objection can I--who am compelled perforce to</w:t></w:r>
</w:p>
<w:p>
<w:pPr><w:pStyle w:val="Normal"/></w:pPr>
<w:r><w:t xml:space="preserve">believe in the immortality of what we call Matter and Force,</w:t></w:r>
</w:p>
<w:p>
<w:pPr><w:pStyle w:val="Normal"/></w:pPr>
<w:r><w:t xml:space="preserve">and in a very unmistakable present state of rewards and</w:t></w:r>
</w:p>
<w:p>
<w:pPr><w:pStyle w:val="Normal"/></w:pPr>
<w:r><w:t xml:space="preserve">punishments for our deeds--have to these doctrines? Give me</w:t></w:r>
</w:p>
<w:p>
<w:pPr><w:pStyle w:val="Normal"/></w:pPr>
<w:r><w:t xml:space="preserve">a scintilla of evidence, and I am ready to jump at them.&apos;&apos;</w:t></w:r>
</w:p>
<w:p>
<w:pPr><w:pStyle w:val="Normal"/></w:pPr>
<w:r><w:t xml:space="preserve">Of the origin of the name ``agnostic&apos;&apos; to cover this attitude,</w:t></w:r>
</w:p>
<w:p>
<w:pPr><w:pStyle w:val="Normal"/></w:pPr>
<w:r><w:t xml:space="preserve">Huxley gave (Coll.  Ess. v. pp. 237-239) the following account:--</w:t></w:r>
</w:p>
<w:p>
<w:pPr><w:pStyle w:val="Normal"/></w:pPr>
<w:r><w:t xml:space="preserve">``When I reached intellectual maturity, and began to ask</w:t></w:r>
</w:p>
<w:p>
<w:pPr><w:pStyle w:val="Normal"/></w:pPr>
<w:r><w:t xml:space="preserve">myself whether I was an atheist, a theist or a pantheist, a</w:t></w:r>
</w:p>
<w:p>
<w:pPr><w:pStyle w:val="Normal"/></w:pPr>
<w:r><w:t xml:space="preserve">materialist or an idealist, a Christian or a freethinker, I</w:t></w:r>
</w:p>
<w:p>
<w:pPr><w:pStyle w:val="Normal"/></w:pPr>
<w:r><w:t xml:space="preserve">found that the more I learned and reflected, the less ready</w:t></w:r>
</w:p>
<w:p>
<w:pPr><w:pStyle w:val="Normal"/></w:pPr>
<w:r><w:t xml:space="preserve">was the answer.  The one thing on which most of these good</w:t></w:r>
</w:p>
<w:p>
<w:pPr><w:pStyle w:val="Normal"/></w:pPr>
<w:r><w:t xml:space="preserve">people were agreed was the one thing in which I differed from</w:t></w:r>
</w:p>
<w:p>
<w:pPr><w:pStyle w:val="Normal"/></w:pPr>
<w:r><w:t xml:space="preserve">them.  They were quite sure they had attained a certain</w:t></w:r>
</w:p>
<w:p>
<w:pPr><w:pStyle w:val="Normal"/></w:pPr>
<w:r><w:t xml:space="preserve">`gnosis&apos;--had more or less successfully solved the problem</w:t></w:r>
</w:p>
<w:p>
<w:pPr><w:pStyle w:val="Normal"/></w:pPr>
<w:r><w:t xml:space="preserve">of existence; while I was quite sure that I had not, and had</w:t></w:r>
</w:p>
<w:p>
<w:pPr><w:pStyle w:val="Normal"/></w:pPr>
<w:r><w:t xml:space="preserve">a pretty strong conviction that the problem was insoluble.</w:t></w:r>
</w:p>
<w:p>
<w:pPr><w:pStyle w:val="Normal"/></w:pPr>
<w:r><w:t xml:space="preserve">This was my situation when I had the good fortune to find a</w:t></w:r>
</w:p>
<w:p>
<w:pPr><w:pStyle w:val="Normal"/></w:pPr>
<w:r><w:t xml:space="preserve">place among the members of that remarkable confraternity of</w:t></w:r>
</w:p>
<w:p>
<w:pPr><w:pStyle w:val="Normal"/></w:pPr>
<w:r><w:t xml:space="preserve">antagonists, the Metaphysical Society.  Every variety of</w:t></w:r>
</w:p>
<w:p>
<w:pPr><w:pStyle w:val="Normal"/></w:pPr>
<w:r><w:t xml:space="preserve">philosophical and theological opinion was represented there;</w:t></w:r>
</w:p>
<w:p>
<w:pPr><w:pStyle w:val="Normal"/></w:pPr>
<w:r><w:t xml:space="preserve">most of my colleagues were -ists of one sort or another; and</w:t></w:r>
</w:p>
<w:p>
<w:pPr><w:pStyle w:val="Normal"/></w:pPr>
<w:r><w:t xml:space="preserve">I, the man without a rag of a belief to cover himself with, could</w:t></w:r>
</w:p>
<w:p>
<w:pPr><w:pStyle w:val="Normal"/></w:pPr>
<w:r><w:t xml:space="preserve">not fail to have some of the uneasy feelings which must have</w:t></w:r>
</w:p>
<w:p>
<w:pPr><w:pStyle w:val="Normal"/></w:pPr>
<w:r><w:t xml:space="preserve">beset the historical fox when, after leaving the trap in which</w:t></w:r>
</w:p>
<w:p>
<w:pPr><w:pStyle w:val="Normal"/></w:pPr>
<w:r><w:t xml:space="preserve">his tail remained, he presented himself to his normally elongated</w:t></w:r>
</w:p>
<w:p>
<w:pPr><w:pStyle w:val="Normal"/></w:pPr>
<w:r><w:t xml:space="preserve">companions.  So I took thought, and invented what I conceived</w:t></w:r>
</w:p>
<w:p>
<w:pPr><w:pStyle w:val="Normal"/></w:pPr>
<w:r><w:t xml:space="preserve">to be the appropriate title of `agnostic.&apos; It came into my head</w:t></w:r>
</w:p>
<w:p>
<w:pPr><w:pStyle w:val="Normal"/></w:pPr>
<w:r><w:t xml:space="preserve">as suggestively antithetic to the `gnostic&apos; of Church history,</w:t></w:r>
</w:p>
<w:p>
<w:pPr><w:pStyle w:val="Normal"/></w:pPr>
<w:r><w:t xml:space="preserve">who professed to know so much about the very things of which</w:t></w:r>
</w:p>
<w:p>
<w:pPr><w:pStyle w:val="Heading1"/></w:pPr>
<w:r><w:t>I was ignorant.  To my great satisfaction the term took.&apos;&apos;</w:t></w:r>
</w:p>
<w:p>
<w:pPr><w:pStyle w:val="Normal"/></w:pPr>
<w:r><w:t xml:space="preserve">This account is confirmed by R. H. Hutton, who in 1881 wrote</w:t></w:r>
</w:p>
<w:p>
<w:pPr><w:pStyle w:val="Normal"/></w:pPr>
<w:r><w:t xml:space="preserve">that the word ``was suggested by Huxley at a meeting held</w:t></w:r>
</w:p>
<w:p>
<w:pPr><w:pStyle w:val="Normal"/></w:pPr>
<w:r><w:t xml:space="preserve">previous to the formation of the now defunct Metaphysical</w:t></w:r>
</w:p>
<w:p>
<w:pPr><w:pStyle w:val="Normal"/></w:pPr>
<w:r><w:t xml:space="preserve">Society at Mr Knowles&apos;s house on Clapham Common in 1869, in my</w:t></w:r>
</w:p>
<w:p>
<w:pPr><w:pStyle w:val="Normal"/></w:pPr>
<w:r><w:t xml:space="preserve">hearing.  He took it from St Paul&apos;s mention of the altar</w:t></w:r>
</w:p>
<w:p>
<w:pPr><w:pStyle w:val="Normal"/></w:pPr>
<w:r><w:t xml:space="preserve">to the Unknown God.&apos;&apos; Hutton here gives a variant etymology</w:t></w:r>
</w:p>
<w:p>
<w:pPr><w:pStyle w:val="Normal"/></w:pPr>
<w:r><w:t xml:space="preserve">for the word, which may be therefore taken as partly derived</w:t></w:r>
</w:p>
<w:p>
<w:pPr><w:pStyle w:val="Normal"/></w:pPr>
<w:r><w:t xml:space="preserve">from agnostos (the ``unknown&apos;&apos; God), and partly from an</w:t></w:r>
</w:p>
<w:p>
<w:pPr><w:pStyle w:val="Normal"/></w:pPr>
<w:r><w:t xml:space="preserve">antithesis to ``gnostic&apos;&apos;; but the meaning remains the same</w:t></w:r>
</w:p>
<w:p>
<w:pPr><w:pStyle w:val="Normal"/></w:pPr>
<w:r><w:t xml:space="preserve">in either case.  The name, as Huxley said, ``took&apos;&apos;; it was</w:t></w:r>
</w:p>
<w:p>
<w:pPr><w:pStyle w:val="Normal"/></w:pPr>
<w:r><w:t xml:space="preserve">constantly used by Hutton in the Spectator and became a</w:t></w:r>
</w:p>
<w:p>
<w:pPr><w:pStyle w:val="Normal"/></w:pPr>
<w:r><w:t xml:space="preserve">fashionable label for contemporary unbelief in Christian</w:t></w:r>
</w:p>
<w:p>
<w:pPr><w:pStyle w:val="Normal"/></w:pPr>
<w:r><w:t xml:space="preserve">dogma.  Hutton himself frequently misrepresented the doctrine</w:t></w:r>
</w:p>
<w:p>
<w:pPr><w:pStyle w:val="Normal"/></w:pPr>
<w:r><w:t xml:space="preserve">by describing it as ``belief in an unknown and unknowable</w:t></w:r>
</w:p>
<w:p>
<w:pPr><w:pStyle w:val="Normal"/></w:pPr>
<w:r><w:t xml:space="preserve">God&apos;&apos;; but agnosticism as defined by Huxley meant not belief,</w:t></w:r>
</w:p>
<w:p>
<w:pPr><w:pStyle w:val="Normal"/></w:pPr>
<w:r><w:t xml:space="preserve">but absence of belief, as much distinct from belief on the</w:t></w:r>
</w:p>
<w:p>
<w:pPr><w:pStyle w:val="Normal"/></w:pPr>
<w:r><w:t xml:space="preserve">one hand as from disbelief on the other; it was the half-way</w:t></w:r>
</w:p>
<w:p>
<w:pPr><w:pStyle w:val="Normal"/></w:pPr>
<w:r><w:t xml:space="preserve">house between the two, where all questions were ``open.&apos;&apos; All</w:t></w:r>
</w:p>
<w:p>
<w:pPr><w:pStyle w:val="Normal"/></w:pPr>
<w:r><w:t xml:space="preserve">that Huxley asked for was evidence, either for or against;</w:t></w:r>
</w:p>
<w:p>
<w:pPr><w:pStyle w:val="Normal"/></w:pPr>
<w:r><w:t xml:space="preserve">but this he believed it impossible to get.  Occasionally</w:t></w:r>
</w:p>
<w:p>
<w:pPr><w:pStyle w:val="Normal"/></w:pPr>
<w:r><w:t xml:space="preserve">he too mis-stated the meaning of the word he had invented,</w:t></w:r>
</w:p>
<w:p>
<w:pPr><w:pStyle w:val="Normal"/></w:pPr>
<w:r><w:t xml:space="preserve">and described agnosticism as meaning ``that a man shall not</w:t></w:r>
</w:p>
<w:p>
<w:pPr><w:pStyle w:val="Normal"/></w:pPr>
<w:r><w:t xml:space="preserve">say he knows or believes what he has no scientific ground</w:t></w:r>
</w:p>
<w:p>
<w:pPr><w:pStyle w:val="Normal"/></w:pPr>
<w:r><w:t xml:space="preserve">for professing to know or believe.&apos;&apos; But as the late Rev.</w:t></w:r>
</w:p>
<w:p>
<w:pPr><w:pStyle w:val="Normal"/></w:pPr>
<w:r><w:t xml:space="preserve">A. W. Momerie remarked, this would merely be ``a definition</w:t></w:r>
</w:p>
<w:p>
<w:pPr><w:pStyle w:val="Normal"/></w:pPr>
<w:r><w:t xml:space="preserve">of honesty; in that sense we ought all to be agnostics.&apos;&apos;</w:t></w:r>
</w:p>
<w:p>
<w:pPr><w:pStyle w:val="Normal"/></w:pPr>
<w:r><w:t xml:space="preserve">Agnosticism really rests on the doctrine of the Unknowable,</w:t></w:r>
</w:p>
<w:p>
<w:pPr><w:pStyle w:val="Normal"/></w:pPr>
<w:r><w:t xml:space="preserve">the assertion that concerning certain objects--among them</w:t></w:r>
</w:p>
<w:p>
<w:pPr><w:pStyle w:val="Normal"/></w:pPr>
<w:r><w:t xml:space="preserve">the Deity--we never can have any ``scientific&apos;&apos; ground for</w:t></w:r>
</w:p>
<w:p>
<w:pPr><w:pStyle w:val="Normal"/></w:pPr>
<w:r><w:t xml:space="preserve">belief.  This way of solving, or passing over, the ultimate</w:t></w:r>
</w:p>
<w:p>
<w:pPr><w:pStyle w:val="Normal"/></w:pPr>
<w:r><w:t xml:space="preserve">problems of thought has had many followers in cultured circles</w:t></w:r>
</w:p>
<w:p>
<w:pPr><w:pStyle w:val="Normal"/></w:pPr>
<w:r><w:t xml:space="preserve">imbued with the new physical science of the day, and with</w:t></w:r>
</w:p>
<w:p>
<w:pPr><w:pStyle w:val="Normal"/></w:pPr>
<w:r><w:t xml:space="preserve">disgust for the dogmatic creeds of contemporary orthodoxy; and</w:t></w:r>
</w:p>
<w:p>
<w:pPr><w:pStyle w:val="Normal"/></w:pPr>
<w:r><w:t xml:space="preserve">its outspoken and even aggressive vindication by physicists</w:t></w:r>
</w:p>
<w:p>
<w:pPr><w:pStyle w:val="Normal"/></w:pPr>
<w:r><w:t xml:space="preserve">of the eminence of Huxley had a potent influence upon the</w:t></w:r>
</w:p>
<w:p>
<w:pPr><w:pStyle w:val="Normal"/></w:pPr>
<w:r><w:t xml:space="preserve">attitude taken towards metaphysics, and upon the form which</w:t></w:r>
</w:p>
<w:p>
<w:pPr><w:pStyle w:val="Normal"/></w:pPr>
<w:r><w:t xml:space="preserve">subsequent Christian apologetics adopted.  As a nickname</w:t></w:r>
</w:p>
<w:p>
<w:pPr><w:pStyle w:val="Normal"/></w:pPr>
<w:r><w:t xml:space="preserve">the term ``agnostic&apos;&apos; was soon misused to cover any and</w:t></w:r>
</w:p>
<w:p>
<w:pPr><w:pStyle w:val="Normal"/></w:pPr>
<w:r><w:t xml:space="preserve">every variation of scepticism, and just as popular preachers</w:t></w:r>
</w:p>
<w:p>
<w:pPr><w:pStyle w:val="Normal"/></w:pPr>
<w:r><w:t xml:space="preserve">confused it with atheism (q.v.) in their denunciations,</w:t></w:r>
</w:p>
<w:p>
<w:pPr><w:pStyle w:val="Normal"/></w:pPr>
<w:r><w:t xml:space="preserve">so the callow freethinker--following Tennyson&apos;s path of</w:t></w:r>
</w:p>
<w:p>
<w:pPr><w:pStyle w:val="Normal"/></w:pPr>
<w:r><w:t xml:space="preserve">``honest doubt&apos;&apos;--classed himself with the agnostics, even</w:t></w:r>
</w:p>
<w:p>
<w:pPr><w:pStyle w:val="Normal"/></w:pPr>
<w:r><w:t xml:space="preserve">while he combined an instinctively Christian theism with a</w:t></w:r>
</w:p>
<w:p>
<w:pPr><w:pStyle w:val="Normal"/></w:pPr>
<w:r><w:t xml:space="preserve">facile rejection of the historical evidences for Christianity.</w:t></w:r>
</w:p>
<w:p>
<w:pPr><w:pStyle w:val="Normal"/></w:pPr>
<w:r><w:t xml:space="preserve">The term is now less fashionable, though the state of mind</w:t></w:r>
</w:p>
<w:p>
<w:pPr><w:pStyle w:val="Normal"/></w:pPr>
<w:r><w:t xml:space="preserve">persists.  Huxley&apos;s agnosticism was a natural consequence of</w:t></w:r>
</w:p>
<w:p>
<w:pPr><w:pStyle w:val="Normal"/></w:pPr>
<w:r><w:t xml:space="preserve">the intellectual and philosophical conditions of the &apos;sixties,</w:t></w:r>
</w:p>
<w:p>
<w:pPr><w:pStyle w:val="Normal"/></w:pPr>
<w:r><w:t xml:space="preserve">when clerical intolerance was trying to excommunicate scientific</w:t></w:r>
</w:p>
<w:p>
<w:pPr><w:pStyle w:val="Normal"/></w:pPr>
<w:r><w:t xml:space="preserve">discovery because it appeared to clash with the book of</w:t></w:r>
</w:p>
<w:p>
<w:pPr><w:pStyle w:val="Normal"/></w:pPr>
<w:r><w:t xml:space="preserve">Genesis.  But as the theory of evolution was accepted, a new</w:t></w:r>
</w:p>
<w:p>
<w:pPr><w:pStyle w:val="Normal"/></w:pPr>
<w:r><w:t xml:space="preserve">spirit was gradually introduced into Christian theology, which</w:t></w:r>
</w:p>
<w:p>
<w:pPr><w:pStyle w:val="Normal"/></w:pPr>
<w:r><w:t xml:space="preserve">has turned the controversies between religion and science</w:t></w:r>
</w:p>
<w:p>
<w:pPr><w:pStyle w:val="Normal"/></w:pPr>
<w:r><w:t xml:space="preserve">into other channels and removed the temptation to flaunt a</w:t></w:r>
</w:p>
<w:p>
<w:pPr><w:pStyle w:val="Normal"/></w:pPr>
<w:r><w:t xml:space="preserve">disagreement.  A similar effect has been produced by the</w:t></w:r>
</w:p>
<w:p>
<w:pPr><w:pStyle w:val="Normal"/></w:pPr>
<w:r><w:t xml:space="preserve">philosophical reaction against Herbert Spencer, and by</w:t></w:r>
</w:p>
<w:p>
<w:pPr><w:pStyle w:val="Normal"/></w:pPr>
<w:r><w:t xml:space="preserve">the perception that the canons of evidence required in</w:t></w:r>
</w:p>
<w:p>
<w:pPr><w:pStyle w:val="Normal"/></w:pPr>
<w:r><w:t xml:space="preserve">physical science must not be exalted into universal rules of</w:t></w:r>
</w:p>
<w:p>
<w:pPr><w:pStyle w:val="Normal"/></w:pPr>
<w:r><w:t xml:space="preserve">thought.  It does not follow that justification by faith</w:t></w:r>
</w:p>
<w:p>
<w:pPr><w:pStyle w:val="Normal"/></w:pPr>
<w:r><w:t xml:space="preserve">must be eliminated in spiritual matters where sight cannot</w:t></w:r>
</w:p>
<w:p>
<w:pPr><w:pStyle w:val="Normal"/></w:pPr>
<w:r><w:t xml:space="preserve">follow, because the physicist&apos;s duty and success lie in</w:t></w:r>
</w:p>
<w:p>
<w:pPr><w:pStyle w:val="Normal"/></w:pPr>
<w:r><w:t xml:space="preserve">pinning belief solely on verification by physical phenomena,</w:t></w:r>
</w:p>
<w:p>
<w:pPr><w:pStyle w:val="Normal"/></w:pPr>
<w:r><w:t xml:space="preserve">when they alone are in question; and for mankind generally,</w:t></w:r>
</w:p>
<w:p>
<w:pPr><w:pStyle w:val="Normal"/></w:pPr>
<w:r><w:t xml:space="preserve">though possibly not for an exceptional man like Huxley, an</w:t></w:r>
</w:p>
<w:p>
<w:pPr><w:pStyle w:val="Normal"/></w:pPr>
<w:r><w:t xml:space="preserve">impotent suspension of judgment on such issues as a future</w:t></w:r>
</w:p>
<w:p>
<w:pPr><w:pStyle w:val="Normal"/></w:pPr>
<w:r><w:t xml:space="preserve">life or the Being of God is both unsatisfying and demoralizing.</w:t></w:r>
</w:p>
<w:p>
<w:pPr><w:pStyle w:val="Normal"/></w:pPr>
<w:r><w:t xml:space="preserve">It is impossible here to do more than indicate the path out</w:t></w:r>
</w:p>
<w:p>
<w:pPr><w:pStyle w:val="Normal"/></w:pPr>
<w:r><w:t xml:space="preserve">of the difficulties raised by Huxley in the letter to Kingsley</w:t></w:r>
</w:p>
<w:p>
<w:pPr><w:pStyle w:val="Normal"/></w:pPr>
<w:r><w:t xml:space="preserve">quoted above.  They involve an elaborate discussion, not</w:t></w:r>
</w:p>
<w:p>
<w:pPr><w:pStyle w:val="Normal"/></w:pPr>
<w:r><w:t xml:space="preserve">only of Christian evidences, but of the entire subject-matter</w:t></w:r>
</w:p>
<w:p>
<w:pPr><w:pStyle w:val="Normal"/></w:pPr>
<w:r><w:t xml:space="preserve">alike of Ethics and Metaphysics, of Philosophy as a whole,</w:t></w:r>
</w:p>
<w:p>
<w:pPr><w:pStyle w:val="Normal"/></w:pPr>
<w:r><w:t xml:space="preserve">and of the philosophies of individual writers who have dealt</w:t></w:r>
</w:p>
<w:p>
<w:pPr><w:pStyle w:val="Normal"/></w:pPr>
<w:r><w:t xml:space="preserve">in their different ways with the problems of existence and</w:t></w:r>
</w:p>
<w:p>
<w:pPr><w:pStyle w:val="Normal"/></w:pPr>
<w:r><w:t xml:space="preserve">epistemology.  It is, however, permissible to point out that,</w:t></w:r>
</w:p>
<w:p>
<w:pPr><w:pStyle w:val="Normal"/></w:pPr>
<w:r><w:t xml:space="preserve">as has been exhaustively argued by Professor J. Ward in his</w:t></w:r>
</w:p>
<w:p>
<w:pPr><w:pStyle w:val="Normal"/></w:pPr>
<w:r><w:t xml:space="preserve">Gifford lectures for 1896-1898 (Naturalism and Agnosticism,</w:t></w:r>
</w:p>
<w:p>
<w:pPr><w:pStyle w:val="Normal"/></w:pPr>
<w:r><w:t xml:space="preserve">1899), Huxley&apos;s challenge ( ``I know what I mean when I</w:t></w:r>
</w:p>
<w:p>
<w:pPr><w:pStyle w:val="Normal"/></w:pPr>
<w:r><w:t xml:space="preserve">say I believe in the law of the inverse squares, and I will</w:t></w:r>
</w:p>
<w:p>
<w:pPr><w:pStyle w:val="Normal"/></w:pPr>
<w:r><w:t xml:space="preserve">not rest my life and my hopes upon weaker convictions&apos;&apos;) is</w:t></w:r>
</w:p>
<w:p>
<w:pPr><w:pStyle w:val="Normal"/></w:pPr>
<w:r><w:t xml:space="preserve">one which a spiritualistic philosophy need not shrink from</w:t></w:r>
</w:p>
<w:p>
<w:pPr><w:pStyle w:val="Normal"/></w:pPr>
<w:r><w:t xml:space="preserve">accepting at the hands of naturalistic agnosticism.  If, as</w:t></w:r>
</w:p>
<w:p>
<w:pPr><w:pStyle w:val="Normal"/></w:pPr>
<w:r><w:t xml:space="preserve">Huxley admits, even putting it with unnecessary force against</w:t></w:r>
</w:p>
<w:p>
<w:pPr><w:pStyle w:val="Normal"/></w:pPr>
<w:r><w:t xml:space="preserve">himself,``the immortality of man is not half so wonderful</w:t></w:r>
</w:p>
<w:p>
<w:pPr><w:pStyle w:val="Normal"/></w:pPr>
<w:r><w:t xml:space="preserve">as the conservation of force or the indestructibility of</w:t></w:r>
</w:p>
<w:p>
<w:pPr><w:pStyle w:val="Normal"/></w:pPr>
<w:r><w:t xml:space="preserve">matter,&apos;&apos; the question then is, how far a critical analysis</w:t></w:r>
</w:p>
<w:p>
<w:pPr><w:pStyle w:val="Normal"/></w:pPr>
<w:r><w:t xml:space="preserve">of our belief in the last-named doctrines will leave us in</w:t></w:r>
</w:p>
<w:p>
<w:pPr><w:pStyle w:val="Normal"/></w:pPr>
<w:r><w:t xml:space="preserve">a position to regard them as the last stage in systematic</w:t></w:r>
</w:p>
<w:p>
<w:pPr><w:pStyle w:val="Normal"/></w:pPr>
<w:r><w:t xml:space="preserve">thinking.  It is the pitfall of physical science, immersed as</w:t></w:r>
</w:p>
<w:p>
<w:pPr><w:pStyle w:val="Normal"/></w:pPr>
<w:r><w:t xml:space="preserve">its students are apt to be in problems dealing with tangible</w:t></w:r>
</w:p>
<w:p>
<w:pPr><w:pStyle w:val="Normal"/></w:pPr>
<w:r><w:t xml:space="preserve">facts in the world of experience, that there is a tendency</w:t></w:r>
</w:p>
<w:p>
<w:pPr><w:pStyle w:val="Normal"/></w:pPr>
<w:r><w:t xml:space="preserve">among them to claim a superior status of objective reality</w:t></w:r>
</w:p>
<w:p>
<w:pPr><w:pStyle w:val="Normal"/></w:pPr>
<w:r><w:t xml:space="preserve">and finality for the laws to which their data are found to</w:t></w:r>
</w:p>
<w:p>
<w:pPr><w:pStyle w:val="Normal"/></w:pPr>
<w:r><w:t xml:space="preserve">conform.  But these generalizations are not ultimate truths,</w:t></w:r>
</w:p>
<w:p>
<w:pPr><w:pStyle w:val="Normal"/></w:pPr>
<w:r><w:t xml:space="preserve">when we have to consider the nature of experience itself.</w:t></w:r>
</w:p>
<w:p>
<w:pPr><w:pStyle w:val="Normal"/></w:pPr>
<w:r><w:t xml:space="preserve">``Because reference to the Deity will not serve for a</w:t></w:r>
</w:p>
<w:p>
<w:pPr><w:pStyle w:val="Normal"/></w:pPr>
<w:r><w:t xml:space="preserve">physical explanation in physics, or a chemical explanation</w:t></w:r>
</w:p>
<w:p>
<w:pPr><w:pStyle w:val="Normal"/></w:pPr>
<w:r><w:t xml:space="preserve">in chemistry, it does not therefore follow,&apos;&apos; as Professor</w:t></w:r>
</w:p>
<w:p>
<w:pPr><w:pStyle w:val="Normal"/></w:pPr>
<w:r><w:t xml:space="preserve">Ward says (op. cit. vol. i. p. 24), ``that the sum total</w:t></w:r>
</w:p>
<w:p>
<w:pPr><w:pStyle w:val="Normal"/></w:pPr>
<w:r><w:t xml:space="preserve">of scientific knowledge is equally intelligible whether</w:t></w:r>
</w:p>
<w:p>
<w:pPr><w:pStyle w:val="Normal"/></w:pPr>
<w:r><w:t xml:space="preserve">we accept the theistic hypothesis or not.  It is true that</w:t></w:r>
</w:p>
<w:p>
<w:pPr><w:pStyle w:val="Normal"/></w:pPr>
<w:r><w:t xml:space="preserve">every item of scientific knowledge is concerned with some</w:t></w:r>
</w:p>
<w:p>
<w:pPr><w:pStyle w:val="Normal"/></w:pPr>
<w:r><w:t xml:space="preserve">definite relation of definite phenomena, and with nothing</w:t></w:r>
</w:p>
<w:p>
<w:pPr><w:pStyle w:val="Normal"/></w:pPr>
<w:r><w:t xml:space="preserve">else; but, for all that, the systematic organization of</w:t></w:r>
</w:p>
<w:p>
<w:pPr><w:pStyle w:val="Normal"/></w:pPr>
<w:r><w:t xml:space="preserve">such items may quite well yield further knowledge, which</w:t></w:r>
</w:p>
<w:p>
<w:pPr><w:pStyle w:val="Normal"/></w:pPr>
<w:r><w:t xml:space="preserve">transcends the special relations of definite phenomena.&apos;&apos;</w:t></w:r>
</w:p>
<w:p>
<w:pPr><w:pStyle w:val="Normal"/></w:pPr>
<w:r><w:t xml:space="preserve">At the opening of the era of modern scientific discovery,</w:t></w:r>
</w:p>
<w:p>
<w:pPr><w:pStyle w:val="Normal"/></w:pPr>
<w:r><w:t xml:space="preserve">with all its fruitful new generalizations, the still more</w:t></w:r>
</w:p>
<w:p>
<w:pPr><w:pStyle w:val="Normal"/></w:pPr>
<w:r><w:t xml:space="preserve">highly generalized laws of epistemology and of the spiritual</w:t></w:r>
</w:p>
<w:p>
<w:pPr><w:pStyle w:val="Normal"/></w:pPr>
<w:r><w:t xml:space="preserve">constitution of man might well baffle the physicist and lead</w:t></w:r>
</w:p>
<w:p>
<w:pPr><w:pStyle w:val="Normal"/></w:pPr>
<w:r><w:t xml:space="preserve">his intellect to ``flounder.&apos;&apos; It is fundamentally necessary,</w:t></w:r>
</w:p>
<w:p>
<w:pPr><w:pStyle w:val="Normal"/></w:pPr>
<w:r><w:t xml:space="preserve">in order to avoid such floundering, that the ``knowledge&apos;&apos; of</w:t></w:r>
</w:p>
<w:p>
<w:pPr><w:pStyle w:val="Normal"/></w:pPr>
<w:r><w:t xml:space="preserve">things sensible should be kept distinct from the ``knowledge&apos;&apos;</w:t></w:r>
</w:p>
<w:p>
<w:pPr><w:pStyle w:val="Normal"/></w:pPr>
<w:r><w:t xml:space="preserve">of things spiritual; yet in practice they are constantly</w:t></w:r>
</w:p>
<w:p>
<w:pPr><w:pStyle w:val="Normal"/></w:pPr>
<w:r><w:t xml:space="preserve">confused.  When the physicist limits the term ``knowledge&apos;,</w:t></w:r>
</w:p>
<w:p>
<w:pPr><w:pStyle w:val="Normal"/></w:pPr>
<w:r><w:t xml:space="preserve">to the conclusions from physical apprehensions, his refusal</w:t></w:r>
</w:p>
<w:p>
<w:pPr><w:pStyle w:val="Normal"/></w:pPr>
<w:r><w:t xml:space="preserve">to extend it to conclusions from moral and spiritual</w:t></w:r>
</w:p>
<w:p>
<w:pPr><w:pStyle w:val="Normal"/></w:pPr>
<w:r><w:t xml:space="preserve">apprehensions is merely the consequence of an illegitimate</w:t></w:r>
</w:p>
<w:p>
<w:pPr><w:pStyle w:val="Normal"/></w:pPr>
<w:r><w:t xml:space="preserve">definition.  He relies on the validity of his perceptions of</w:t></w:r>
</w:p>
<w:p>
<w:pPr><w:pStyle w:val="Normal"/></w:pPr>
<w:r><w:t xml:space="preserve">physical facts; but the saint and the theologian are no less</w:t></w:r>
</w:p>
<w:p>
<w:pPr><w:pStyle w:val="Normal"/></w:pPr>
<w:r><w:t xml:space="preserve">entitled to rely on the validity of their moral and spiritual</w:t></w:r>
</w:p>
<w:p>
<w:pPr><w:pStyle w:val="Normal"/></w:pPr>
<w:r><w:t xml:space="preserve">experiences.  In each case the data rest on an ultimate basis,</w:t></w:r>
</w:p>
<w:p>
<w:pPr><w:pStyle w:val="Normal"/></w:pPr>
<w:r><w:t xml:space="preserve">undemonstrable, indeed to any one who denies them (even if he</w:t></w:r>
</w:p>
<w:p>
<w:pPr><w:pStyle w:val="Normal"/></w:pPr>
<w:r><w:t xml:space="preserve">be called mad for doing so), except by the continuous process</w:t></w:r>
</w:p>
<w:p>
<w:pPr><w:pStyle w:val="Normal"/></w:pPr>
<w:r><w:t xml:space="preserve">of working out their own proofs, and showing their consistency</w:t></w:r>
</w:p>
<w:p>
<w:pPr><w:pStyle w:val="Normal"/></w:pPr>
<w:r><w:t xml:space="preserve">with, or necessity in, the scheme of things terrestrial on</w:t></w:r>
</w:p>
<w:p>
<w:pPr><w:pStyle w:val="Normal"/></w:pPr>
<w:r><w:t xml:space="preserve">the one hand, or the mind and happiness of man on the other.</w:t></w:r>
</w:p>
<w:p>
<w:pPr><w:pStyle w:val="Normal"/></w:pPr>
<w:r><w:t xml:space="preserve">The tests in each case differ; and it is as irrelevant for the</w:t></w:r>
</w:p>
<w:p>
<w:pPr><w:pStyle w:val="Normal"/></w:pPr>
<w:r><w:t xml:space="preserve">theologian to dispute the ``knowledge&apos;&apos; of the physicist, by</w:t></w:r>
</w:p>
<w:p>
<w:pPr><w:pStyle w:val="Normal"/></w:pPr>
<w:r><w:t xml:space="preserve">arguments from faith and religion, as it is for the physicist</w:t></w:r>
</w:p>
<w:p>
<w:pPr><w:pStyle w:val="Normal"/></w:pPr>
<w:r><w:t xml:space="preserve">to deny the ``knowledge&apos;&apos; of the theologian from the point</w:t></w:r>
</w:p>
<w:p>
<w:pPr><w:pStyle w:val="Normal"/></w:pPr>
<w:r><w:t xml:space="preserve">of view of one who ignores the possibility of spiritual</w:t></w:r>
</w:p>
<w:p>
<w:pPr><w:pStyle w:val="Normal"/></w:pPr>
<w:r><w:t xml:space="preserve">apprehension altogether.  On the ground of secular history and</w:t></w:r>
</w:p>
<w:p>
<w:pPr><w:pStyle w:val="Normal"/></w:pPr>
<w:r><w:t xml:space="preserve">secular evidence both might reasonably meet, as regards the</w:t></w:r>
</w:p>
<w:p>
<w:pPr><w:pStyle w:val="Normal"/></w:pPr>
<w:r><w:t xml:space="preserve">facts, though not perhaps as to their interpretation; but the</w:t></w:r>
</w:p>
<w:p>
<w:pPr><w:pStyle w:val="Normal"/></w:pPr>
<w:r><w:t xml:space="preserve">reason why they ultimately differ is to be found simply in</w:t></w:r>
</w:p>
<w:p>
<w:pPr><w:pStyle w:val="Normal"/></w:pPr>
<w:r><w:t xml:space="preserve">the difference of their mental attitude towards the nature of</w:t></w:r>
</w:p>
<w:p>
<w:pPr><w:pStyle w:val="Normal"/></w:pPr>
<w:r><w:t xml:space="preserve">``knowledge,&apos;-itself a difference of opinion as to the nature of man.</w:t></w:r>
</w:p>
<w:p>
<w:pPr><w:pStyle w:val="Normal"/></w:pPr>
<w:r><w:t xml:space="preserve">In addition to the literature cited above, see L. Stephen, An</w:t></w:r>
</w:p>
<w:p>
<w:pPr><w:pStyle w:val="Normal"/></w:pPr>
<w:r><w:t xml:space="preserve">Agnostic&apos;s Apology (1893); R. Flint, Agnosticism (1903); T.</w:t></w:r>
</w:p>
<w:p>
<w:pPr><w:pStyle w:val="Normal"/></w:pPr>
<w:r><w:t xml:space="preserve">Bailey Saunders, The Quest of Faith, chap. ii. (1899); A. W. Benn,</w:t></w:r>
</w:p>
<w:p>
<w:pPr><w:pStyle w:val="Normal"/></w:pPr>
<w:r><w:t xml:space="preserve">English Rationalism in the XIXth Century (London, 1906). (H. CH.)</w:t></w:r>
</w:p>
<w:p>
<w:pPr><w:pStyle w:val="Normal"/></w:pPr>
<w:r><w:t xml:space="preserve">AGNUS DEI, the figure of a lamb bearing a cross, symbolical</w:t></w:r>
</w:p>
<w:p>
<w:pPr><w:pStyle w:val="Normal"/></w:pPr>
<w:r><w:t xml:space="preserve">of the Saviour as the ``Lamb of God.&apos;&apos; The device is common</w:t></w:r>
</w:p>
<w:p>
<w:pPr><w:pStyle w:val="Normal"/></w:pPr>
<w:r><w:t xml:space="preserve">in ecclesiastical art, but the name is especially given in</w:t></w:r>
</w:p>
<w:p>
<w:pPr><w:pStyle w:val="Normal"/></w:pPr>
<w:r><w:t xml:space="preserve">the Church of Rome to a small cake made of the wax of the</w:t></w:r>
</w:p>
<w:p>
<w:pPr><w:pStyle w:val="Normal"/></w:pPr>
<w:r><w:t xml:space="preserve">Easter candles and impressed with this figure.  Since the 9th</w:t></w:r>
</w:p>
<w:p>
<w:pPr><w:pStyle w:val="Normal"/></w:pPr>
<w:r><w:t xml:space="preserve">century it has been customary for the popes to bless these</w:t></w:r>
</w:p>
<w:p>
<w:pPr><w:pStyle w:val="Normal"/></w:pPr>
<w:r><w:t xml:space="preserve">cakes, and distribute them on the Sunday after Easter among</w:t></w:r>
</w:p>
<w:p>
<w:pPr><w:pStyle w:val="Normal"/></w:pPr>
<w:r><w:t xml:space="preserve">the faithful, by whom they are highly prized as having the</w:t></w:r>
</w:p>
<w:p>
<w:pPr><w:pStyle w:val="Normal"/></w:pPr>
<w:r><w:t xml:space="preserve">power to avert evil.  In modern times the distribution has</w:t></w:r>
</w:p>
<w:p>
<w:pPr><w:pStyle w:val="Normal"/></w:pPr>
<w:r><w:t xml:space="preserve">been limited to persons of distinction, and is made by the</w:t></w:r>
</w:p>
<w:p>
<w:pPr><w:pStyle w:val="Normal"/></w:pPr>
<w:r><w:t xml:space="preserve">pope on his accession and every seven years thereafter.</w:t></w:r>
</w:p>
<w:p>
<w:pPr><w:pStyle w:val="Normal"/></w:pPr>
<w:r><w:t xml:space="preserve">Agnus Dei is also the popular name for the anthem beginning</w:t></w:r>
</w:p>
<w:p>
<w:pPr><w:pStyle w:val="Normal"/></w:pPr>
<w:r><w:t xml:space="preserve">with these words, which is said to have been introduced</w:t></w:r>
</w:p>
<w:p>
<w:pPr><w:pStyle w:val="Normal"/></w:pPr>
<w:r><w:t xml:space="preserve">into the missal by Pope Sergius I. (687-701).  Based upon</w:t></w:r>
</w:p>
<w:p>
<w:pPr><w:pStyle w:val="Normal"/></w:pPr>
<w:r><w:t xml:space="preserve">John i. 29, the Latin form is Agnus Dei, qui tollis peccata</w:t></w:r>
</w:p>
<w:p>
<w:pPr><w:pStyle w:val="Normal"/></w:pPr>
<w:r><w:t xml:space="preserve">mundi, miserere nobis. In the celebration of the mass it</w:t></w:r>
</w:p>
<w:p>
<w:pPr><w:pStyle w:val="Normal"/></w:pPr>
<w:r><w:t xml:space="preserve">is repeated three times before the communion, and it is also</w:t></w:r>
</w:p>
<w:p>
<w:pPr><w:pStyle w:val="Normal"/></w:pPr>
<w:r><w:t xml:space="preserve">appended to many of the litanies.  By the judgment in the</w:t></w:r>
</w:p>
<w:p>
<w:pPr><w:pStyle w:val="Normal"/></w:pPr>
<w:r><w:t xml:space="preserve">case of ``Read and others v. The Bishop of Lincoln&apos;&apos; it was</w:t></w:r>
</w:p>
<w:p>
<w:pPr><w:pStyle w:val="Normal"/></w:pPr>
<w:r><w:t xml:space="preserve">decided in 1890 that the singing of the Agnus Dei in English</w:t></w:r>
</w:p>
<w:p>
<w:pPr><w:pStyle w:val="Normal"/></w:pPr>
<w:r><w:t xml:space="preserve">by the choir during the administration of the Holy Communion,</w:t></w:r>
</w:p>
<w:p>
<w:pPr><w:pStyle w:val="Normal"/></w:pPr>
<w:r><w:t xml:space="preserve">provided that the reception of the elements be not delayed</w:t></w:r>
</w:p>
<w:p>
<w:pPr><w:pStyle w:val="Normal"/></w:pPr>
<w:r><w:t xml:space="preserve">till its conclusion, is not illegal in the Church of England.</w:t></w:r>
</w:p>
<w:p>
<w:pPr><w:pStyle w:val="Normal"/></w:pPr>
<w:r><w:t xml:space="preserve">For the various ceremonies in the blessing of the Agnus</w:t></w:r>
</w:p>
<w:p>
<w:pPr><w:pStyle w:val="Normal"/></w:pPr>
<w:r><w:t xml:space="preserve">Dei see A. Vacant, Dict. de theologie (cols. 605-613).</w:t></w:r>
</w:p>
<w:p>
<w:pPr><w:pStyle w:val="Normal"/></w:pPr>
<w:r><w:t xml:space="preserve">AGOBARD (c. 779-840), Carolingian prelate and reformer,</w:t></w:r>
</w:p>
<w:p>
<w:pPr><w:pStyle w:val="Normal"/></w:pPr>
<w:r><w:t xml:space="preserve">became coadjutor to Leidrad, archbishop of Lyons, in 813, and</w:t></w:r>
</w:p>
<w:p>
<w:pPr><w:pStyle w:val="Normal"/></w:pPr>
<w:r><w:t xml:space="preserve">on the death of the latter succeeded him in the see (816).  We</w:t></w:r>
</w:p>
<w:p>
<w:pPr><w:pStyle w:val="Normal"/></w:pPr>
<w:r><w:t xml:space="preserve">know nothing of his early life nor of his descent.  He pursued</w:t></w:r>
</w:p>
<w:p>
<w:pPr><w:pStyle w:val="Normal"/></w:pPr>
<w:r><w:t xml:space="preserve">the same vigorous policy as his predecessor, who had been one</w:t></w:r>
</w:p>
<w:p>
<w:pPr><w:pStyle w:val="Normal"/></w:pPr>
<w:r><w:t xml:space="preserve">of Charlemagne&apos;s most active agents in the reformation of the</w:t></w:r>
</w:p>
<w:p>
<w:pPr><w:pStyle w:val="Normal"/></w:pPr>
<w:r><w:t xml:space="preserve">Church.  He was strongly opposed to the schemes of the</w:t></w:r>
</w:p>
<w:p>
<w:pPr><w:pStyle w:val="Normal"/></w:pPr>
<w:r><w:t xml:space="preserve">empress Judith for a redivision of the empire in favour of</w:t></w:r>
</w:p>
<w:p>
<w:pPr><w:pStyle w:val="Normal"/></w:pPr>
<w:r><w:t xml:space="preserve">her son Charles the Bald, Which he regarded as the cause of</w:t></w:r>
</w:p>
<w:p>
<w:pPr><w:pStyle w:val="Normal"/></w:pPr>
<w:r><w:t xml:space="preserve">all the subsequent evils, and supported Lothair and Pippin</w:t></w:r>
</w:p>
<w:p>
<w:pPr><w:pStyle w:val="Normal"/></w:pPr>
<w:r><w:t xml:space="preserve">against their father the emperor Louis I. Deposed in 835 by</w:t></w:r>
</w:p>
<w:p>
<w:pPr><w:pStyle w:val="Normal"/></w:pPr>
<w:r><w:t xml:space="preserve">the council of Thionville, he made his peace with the emperor</w:t></w:r>
</w:p>
<w:p>
<w:pPr><w:pStyle w:val="Normal"/></w:pPr>
<w:r><w:t xml:space="preserve">and was reinstated in 837. Agobard occupies an important</w:t></w:r>
</w:p>
<w:p>
<w:pPr><w:pStyle w:val="Normal"/></w:pPr>
<w:r><w:t xml:space="preserve">place in the Carolingian renaissance.  He wrote extensively</w:t></w:r>
</w:p>
<w:p>
<w:pPr><w:pStyle w:val="Normal"/></w:pPr>
<w:r><w:t xml:space="preserve">not only theological works but also political pamphlets and</w:t></w:r>
</w:p>
<w:p>
<w:pPr><w:pStyle w:val="Normal"/></w:pPr>
<w:r><w:t xml:space="preserve">dissertations directed against popular superstitions.  These</w:t></w:r>
</w:p>
<w:p>
<w:pPr><w:pStyle w:val="Normal"/></w:pPr>
<w:r><w:t xml:space="preserve">last works are unique in the literature of the time.  He</w:t></w:r>
</w:p>
<w:p>
<w:pPr><w:pStyle w:val="Normal"/></w:pPr>
<w:r><w:t xml:space="preserve">denounced the trial by ordeal of fire and water, the belief</w:t></w:r>
</w:p>
<w:p>
<w:pPr><w:pStyle w:val="Normal"/></w:pPr>
<w:r><w:t xml:space="preserve">in witchcraft, and the ascription of tempests to magic,</w:t></w:r>
</w:p>
<w:p>
<w:pPr><w:pStyle w:val="Normal"/></w:pPr>
<w:r><w:t xml:space="preserve">maintained the Carolingian opposition to image-worship, but</w:t></w:r>
</w:p>
<w:p>
<w:pPr><w:pStyle w:val="Normal"/></w:pPr>
<w:r><w:t xml:space="preserve">carried his logic farther and opposed the adoration of the</w:t></w:r>
</w:p>
<w:p>
<w:pPr><w:pStyle w:val="Normal"/></w:pPr>
<w:r><w:t xml:space="preserve">saints.  The basis for this crusade was theological, not</w:t></w:r>
</w:p>
<w:p>
<w:pPr><w:pStyle w:val="Normal"/></w:pPr>
<w:r><w:t xml:space="preserve">scientific; but it reveals a clear intellect and independent</w:t></w:r>
</w:p>
<w:p>
<w:pPr><w:pStyle w:val="Normal"/></w:pPr>
<w:r><w:t xml:space="preserve">judgment In his purely theological works Agobard was strictly</w:t></w:r>
</w:p>
<w:p>
<w:pPr><w:pStyle w:val="Normal"/></w:pPr>
<w:r><w:t xml:space="preserve">orthodox, except that he denied the verbal inspiration of the</w:t></w:r>
</w:p>
<w:p>
<w:pPr><w:pStyle w:val="Normal"/></w:pPr>
<w:r><w:t xml:space="preserve">Scriptures.  Agobard was reverenced as a saint in Lyons,</w:t></w:r>
</w:p>
<w:p>
<w:pPr><w:pStyle w:val="Normal"/></w:pPr>
<w:r><w:t xml:space="preserve">and although his canonization is disputed his life is</w:t></w:r>
</w:p>
<w:p>
<w:pPr><w:pStyle w:val="Normal"/></w:pPr>
<w:r><w:t xml:space="preserve">given by the Bollandists, Acta Sanctorum, Jun. ii. 748.</w:t></w:r>
</w:p>
<w:p>
<w:pPr><w:pStyle w:val="Normal"/></w:pPr>
<w:r><w:t xml:space="preserve">BIBLIOGRAPHY.--Agobard&apos;s works were lost until 1605, when a</w:t></w:r>
</w:p>
<w:p>
<w:pPr><w:pStyle w:val="Normal"/></w:pPr>
<w:r><w:t xml:space="preserve">manuscript was discovered in Lyons and published by Papirius</w:t></w:r>
</w:p>
<w:p>
<w:pPr><w:pStyle w:val="Normal"/></w:pPr>
<w:r><w:t xml:space="preserve">Masson, again by Baluze in 1666.  For later editions see Potthast,</w:t></w:r>
</w:p>
<w:p>
<w:pPr><w:pStyle w:val="Normal"/></w:pPr>
<w:r><w:t xml:space="preserve">Bibliotheca Historica Medii Aevi. The life of Agobard in</w:t></w:r>
</w:p>
<w:p>
<w:pPr><w:pStyle w:val="Normal"/></w:pPr>
<w:r><w:t xml:space="preserve">Ebert&apos;s Geschichte der Litteratur des Mittelalters (1880), Band</w:t></w:r>
</w:p>
<w:p>
<w:pPr><w:pStyle w:val="Normal"/></w:pPr>
<w:r><w:t xml:space="preserve">ii., is still one the best to consult.  For further indications</w:t></w:r>
</w:p>
<w:p>
<w:pPr><w:pStyle w:val="Normal"/></w:pPr>
<w:r><w:t xml:space="preserve">see A. Molinier, Sources de l&apos;histoire de France, i. p. 235.</w:t></w:r>
</w:p>
<w:p>
<w:pPr><w:pStyle w:val="Normal"/></w:pPr>
<w:r><w:t xml:space="preserve">AGONALIA, in ancient Rome, festivals celebrated on the</w:t></w:r>
</w:p>
<w:p>
<w:pPr><w:pStyle w:val="Normal"/></w:pPr>
<w:r><w:t xml:space="preserve">9th of January, 17th of March, 21st of May, and 11th of</w:t></w:r>
</w:p>
<w:p>
<w:pPr><w:pStyle w:val="Normal"/></w:pPr>
<w:r><w:t xml:space="preserve">December in each year in honour of various divinities (Ovid,</w:t></w:r>
</w:p>
<w:p>
<w:pPr><w:pStyle w:val="Normal"/></w:pPr>
<w:r><w:t xml:space="preserve">Fasti, i. 319-332).  The word is derived either from</w:t></w:r>
</w:p>
<w:p>
<w:pPr><w:pStyle w:val="Normal"/></w:pPr>
<w:r><w:t xml:space="preserve">agonia, ``a victim,&apos;&apos; or from agonium, ``a festival.&apos;&apos;</w:t></w:r>
</w:p>
<w:p>
<w:pPr><w:pStyle w:val="Normal"/></w:pPr>
<w:r><w:t xml:space="preserve">AGONIC LINES (from Gr. a-, privative, and gonia, an</w:t></w:r>
</w:p>
<w:p>
<w:pPr><w:pStyle w:val="Normal"/></w:pPr>
<w:r><w:t xml:space="preserve">angle), the term given to the imaginary lines on the earth&apos;s</w:t></w:r>
</w:p>
<w:p>
<w:pPr><w:pStyle w:val="Normal"/></w:pPr>
<w:r><w:t xml:space="preserve">surface connecting points at which the magnetic needle points to</w:t></w:r>
</w:p>
<w:p>
<w:pPr><w:pStyle w:val="Normal"/></w:pPr>
<w:r><w:t xml:space="preserve">the geographical north and south. (See MAGNETISM, TERRESTRIAL.)</w:t></w:r>
</w:p>
<w:p>
<w:pPr><w:pStyle w:val="Normal"/></w:pPr>
<w:r><w:t xml:space="preserve">AGONOTHETES, in ancient Greece, the president or superintendent</w:t></w:r>
</w:p>
<w:p>
<w:pPr><w:pStyle w:val="Normal"/></w:pPr>
<w:r><w:t xml:space="preserve">of the sacred games.  At first the person who instituted the</w:t></w:r>
</w:p>
<w:p>
<w:pPr><w:pStyle w:val="Normal"/></w:pPr>
<w:r><w:t xml:space="preserve">games and defrayed the expenses was the Agonothetes; but in</w:t></w:r>
</w:p>
<w:p>
<w:pPr><w:pStyle w:val="Normal"/></w:pPr>
<w:r><w:t xml:space="preserve">the great public games, such as the Olympic and Pythian, these</w:t></w:r>
</w:p>
<w:p>
<w:pPr><w:pStyle w:val="Normal"/></w:pPr>
<w:r><w:t xml:space="preserve">presidents were the representatives of different states, or</w:t></w:r>
</w:p>
<w:p>
<w:pPr><w:pStyle w:val="Normal"/></w:pPr>
<w:r><w:t xml:space="preserve">were chosen from the people in whose country the games were</w:t></w:r>
</w:p>
<w:p>
<w:pPr><w:pStyle w:val="Normal"/></w:pPr>
<w:r><w:t xml:space="preserve">celebrated; thus at the Panathenaic festival at Athens ten</w:t></w:r>
</w:p>
<w:p>
<w:pPr><w:pStyle w:val="Normal"/></w:pPr>
<w:r><w:t xml:space="preserve">athlothetae were elected for four years to superintend the</w:t></w:r>
</w:p>
<w:p>
<w:pPr><w:pStyle w:val="Normal"/></w:pPr>
<w:r><w:t xml:space="preserve">various contests.  They were variously called aisumnetai,</w:t></w:r>
</w:p>
<w:p>
<w:pPr><w:pStyle w:val="Normal"/></w:pPr>
<w:r><w:t xml:space="preserve">brabeutai, agonarchai, agonodikai, athlothetai (at Athens),</w:t></w:r>
</w:p>
<w:p>
<w:pPr><w:pStyle w:val="Normal"/></w:pPr>
<w:r><w:t xml:space="preserve">eabdouchoi or eabdonomoi (from the rod or sceptre emblematic</w:t></w:r>
</w:p>
<w:p>
<w:pPr><w:pStyle w:val="Normal"/></w:pPr>
<w:r><w:t xml:space="preserve">of their authority), but their functions were generally the same.</w:t></w:r>
</w:p>
<w:p>
<w:pPr><w:pStyle w:val="Normal"/></w:pPr>
<w:r><w:t xml:space="preserve">AGORA, originally, in primitive times, the assembly of the</w:t></w:r>
</w:p>
<w:p>
<w:pPr><w:pStyle w:val="Normal"/></w:pPr>
<w:r><w:t xml:space="preserve">Greek people, convoked by the king or one of his nobles.  The</w:t></w:r>
</w:p>
<w:p>
<w:pPr><w:pStyle w:val="Normal"/></w:pPr>
<w:r><w:t xml:space="preserve">right of speech and vote was restricted to the nobles, the</w:t></w:r>
</w:p>
<w:p>
<w:pPr><w:pStyle w:val="Normal"/></w:pPr>
<w:r><w:t xml:space="preserve">people being permitted to express their opinion only by signs</w:t></w:r>
</w:p>
<w:p>
<w:pPr><w:pStyle w:val="Normal"/></w:pPr>
<w:r><w:t xml:space="preserve">of applause or disapproval.  The word then came to be used</w:t></w:r>
</w:p>
<w:p>
<w:pPr><w:pStyle w:val="Normal"/></w:pPr>
<w:r><w:t xml:space="preserve">for the place where assemblies were held, and thus from its</w:t></w:r>
</w:p>
<w:p>
<w:pPr><w:pStyle w:val="Normal"/></w:pPr>
<w:r><w:t xml:space="preserve">convenience as a meeting-place the agora became in most of the</w:t></w:r>
</w:p>
<w:p>
<w:pPr><w:pStyle w:val="Normal"/></w:pPr>
<w:r><w:t xml:space="preserve">cities of Greece the general resort for public and especially</w:t></w:r>
</w:p>
<w:p>
<w:pPr><w:pStyle w:val="Normal"/></w:pPr>
<w:r><w:t xml:space="preserve">commercial intercourse, corresponding in general with the Roman</w:t></w:r>
</w:p>
<w:p>
<w:pPr><w:pStyle w:val="Normal"/></w:pPr>
<w:r><w:t xml:space="preserve">forum.  At Athens, with the increase of commerce and political</w:t></w:r>
</w:p>
<w:p>
<w:pPr><w:pStyle w:val="Normal"/></w:pPr>
<w:r><w:t xml:space="preserve">interest, it was found advisable to call public meetings</w:t></w:r>
</w:p>
<w:p>
<w:pPr><w:pStyle w:val="Normal"/></w:pPr>
<w:r><w:t xml:space="preserve">at the Pnyx or the temple of Dionysus; but the important</w:t></w:r>
</w:p>
<w:p>
<w:pPr><w:pStyle w:val="Normal"/></w:pPr>
<w:r><w:t xml:space="preserve">assemblies, such as meetings for ostracism, were held in the</w:t></w:r>
</w:p>
<w:p>
<w:pPr><w:pStyle w:val="Normal"/></w:pPr>
<w:r><w:t xml:space="preserve">agora.  In the best days of Greece the agora was the place</w:t></w:r>
</w:p>
<w:p>
<w:pPr><w:pStyle w:val="Normal"/></w:pPr>
<w:r><w:t xml:space="preserve">where nearly all public traffic was conducted.  It was most</w:t></w:r>
</w:p>
<w:p>
<w:pPr><w:pStyle w:val="Normal"/></w:pPr>
<w:r><w:t xml:space="preserve">frequented in the forenoon, and then only by men.  Slaves</w:t></w:r>
</w:p>
<w:p>
<w:pPr><w:pStyle w:val="Normal"/></w:pPr>
<w:r><w:t xml:space="preserve">did the greater part of the purchasing, though even the</w:t></w:r>
</w:p>
<w:p>
<w:pPr><w:pStyle w:val="Normal"/></w:pPr>
<w:r><w:t xml:space="preserve">noblest citizens of Athens did not scruple to buy and sell</w:t></w:r>
</w:p>
<w:p>
<w:pPr><w:pStyle w:val="Normal"/></w:pPr>
<w:r><w:t xml:space="preserve">there.  Citizens were allowed a free market; foreigners</w:t></w:r>
</w:p>
<w:p>
<w:pPr><w:pStyle w:val="Normal"/></w:pPr>
<w:r><w:t xml:space="preserve">and metics had to pay a toll.  Public festivals also were</w:t></w:r>
</w:p>
<w:p>
<w:pPr><w:pStyle w:val="Normal"/></w:pPr>
<w:r><w:t xml:space="preserve">celebrated in the open area of the agora.  At Athens the</w:t></w:r>
</w:p>
<w:p>
<w:pPr><w:pStyle w:val="Normal"/></w:pPr>
<w:r><w:t xml:space="preserve">agora of classical times was adorned with trees planted by</w:t></w:r>
</w:p>
<w:p>
<w:pPr><w:pStyle w:val="Normal"/></w:pPr>
<w:r><w:t xml:space="preserve">Cimon; around it numerous public buildings were erected,</w:t></w:r>
</w:p>
<w:p>
<w:pPr><w:pStyle w:val="Normal"/></w:pPr>
<w:r><w:t xml:space="preserve">such as the council chamber and the law courts (for its</w:t></w:r>
</w:p>
<w:p>
<w:pPr><w:pStyle w:val="Normal"/></w:pPr>
<w:r><w:t xml:space="preserve">topography, see ATHENS.) Pausanias (especially vi. 24) is</w:t></w:r>
</w:p>
<w:p>
<w:pPr><w:pStyle w:val="Normal"/></w:pPr>
<w:r><w:t xml:space="preserve">the great architectural authority on the agorae of various</w:t></w:r>
</w:p>
<w:p>
<w:pPr><w:pStyle w:val="Normal"/></w:pPr>
<w:r><w:t xml:space="preserve">Greek cities, and details are also given by Vitruvius (v. 1).</w:t></w:r>
</w:p>
<w:p>
<w:pPr><w:pStyle w:val="Normal"/></w:pPr>
<w:r><w:t xml:space="preserve">AGORACRITUS, a Parian and Athenian sculptor of the age of</w:t></w:r>
</w:p>
<w:p>
<w:pPr><w:pStyle w:val="Normal"/></w:pPr>
<w:r><w:t xml:space="preserve">Phidias, and said to have been his favourite pupil.  His</w:t></w:r>
</w:p>
<w:p>
<w:pPr><w:pStyle w:val="Normal"/></w:pPr>
<w:r><w:t xml:space="preserve">most noted work was the statue at Rhamnus of Nemesis, by some</w:t></w:r>
</w:p>
<w:p>
<w:pPr><w:pStyle w:val="Normal"/></w:pPr>
<w:r><w:t xml:space="preserve">attributed to Phidias himself.  Of this statue part of the</w:t></w:r>
</w:p>
<w:p>
<w:pPr><w:pStyle w:val="Normal"/></w:pPr>
<w:r><w:t xml:space="preserve">head is in the British Museum; some fragments of the reliefs</w:t></w:r>
</w:p>
<w:p>
<w:pPr><w:pStyle w:val="Normal"/></w:pPr>
<w:r><w:t xml:space="preserve">which adorned the pedestal are in the museum at Athens.</w:t></w:r>
</w:p>
<w:p>
<w:pPr><w:pStyle w:val="Normal"/></w:pPr>
<w:r><w:t xml:space="preserve">AGORANOMI, magistrates in the republics of Greece, whose</w:t></w:r>
</w:p>
<w:p>
<w:pPr><w:pStyle w:val="Normal"/></w:pPr>
<w:r><w:t xml:space="preserve">position and duties were in many respects similar to those</w:t></w:r>
</w:p>
<w:p>
<w:pPr><w:pStyle w:val="Normal"/></w:pPr>
<w:r><w:t xml:space="preserve">of the aediles of Rome.  In Athens there were ten, chosen</w:t></w:r>
</w:p>
<w:p>
<w:pPr><w:pStyle w:val="Normal"/></w:pPr>
<w:r><w:t xml:space="preserve">annually by lot, five of whom took charge of the city and</w:t></w:r>
</w:p>
<w:p>
<w:pPr><w:pStyle w:val="Normal"/></w:pPr>
<w:r><w:t xml:space="preserve">five of the Peiraeus.  They maintained order in the markets,</w:t></w:r>
</w:p>
<w:p>
<w:pPr><w:pStyle w:val="Normal"/></w:pPr>
<w:r><w:t xml:space="preserve">settled disputes, examined the quality of the articles</w:t></w:r>
</w:p>
<w:p>
<w:pPr><w:pStyle w:val="Normal"/></w:pPr>
<w:r><w:t xml:space="preserve">exposed for sale, tested weights and measures, collected</w:t></w:r>
</w:p>
<w:p>
<w:pPr><w:pStyle w:val="Normal"/></w:pPr>
<w:r><w:t xml:space="preserve">the harbour dues and enforced the shipping regulations.</w:t></w:r>
</w:p>
<w:p>
<w:pPr><w:pStyle w:val="Normal"/></w:pPr>
<w:r><w:t xml:space="preserve">AGORDAT, a town of Eritrea, N.E. Africa, on the route between</w:t></w:r>
</w:p>
<w:p>
<w:pPr><w:pStyle w:val="Normal"/></w:pPr>
<w:r><w:t xml:space="preserve">Massawa and Kassala.  At Agordat on the 21st of December 1893</w:t></w:r>
</w:p>
<w:p>
<w:pPr><w:pStyle w:val="Normal"/></w:pPr>
<w:r><w:t xml:space="preserve">the Italian troops under Colonel Arimondi inflicted a severe</w:t></w:r>
</w:p>
<w:p>
<w:pPr><w:pStyle w:val="Normal"/></w:pPr>
<w:r><w:t xml:space="preserve">defeat on the followers of the khalifa.  Agordat is protected</w:t></w:r>
</w:p>
<w:p>
<w:pPr><w:pStyle w:val="Normal"/></w:pPr>
<w:r><w:t xml:space="preserve">by a strong fort. (See ERITREA and SUDAN, History.)</w:t></w:r>
</w:p>
<w:p>
<w:pPr><w:pStyle w:val="Normal"/></w:pPr>
<w:r><w:t xml:space="preserve">AGOSTINI, LEONARDO, Italian antiquary of the 17th century, was</w:t></w:r>
</w:p>
<w:p>
<w:pPr><w:pStyle w:val="Normal"/></w:pPr>
<w:r><w:t xml:space="preserve">born at Siena.  After being employed for some time to collect</w:t></w:r>
</w:p>
<w:p>
<w:pPr><w:pStyle w:val="Normal"/></w:pPr>
<w:r><w:t xml:space="preserve">works of art for the Barberini palace, he was appointed by</w:t></w:r>
</w:p>
<w:p>
<w:pPr><w:pStyle w:val="Normal"/></w:pPr>
<w:r><w:t xml:space="preserve">Pope Alexander VII. superintendent of antiquities in the Roman</w:t></w:r>
</w:p>
<w:p>
<w:pPr><w:pStyle w:val="Normal"/></w:pPr>
<w:r><w:t xml:space="preserve">states.  He issued a new edition of Paruta&apos;s Sicilian</w:t></w:r>
</w:p>
<w:p>
<w:pPr><w:pStyle w:val="Normal"/></w:pPr>
<w:r><w:t xml:space="preserve">Medals, with engravings of 400 additional specimens; and</w:t></w:r>
</w:p>
<w:p>
<w:pPr><w:pStyle w:val="Normal"/></w:pPr>
<w:r><w:t xml:space="preserve">in conjunction with Giovanni Bellori (1615-1696) he also</w:t></w:r>
</w:p>
<w:p>
<w:pPr><w:pStyle w:val="Normal"/></w:pPr>
<w:r><w:t xml:space="preserve">published a work on antique sculptured gems, which was</w:t></w:r>
</w:p>
<w:p>
<w:pPr><w:pStyle w:val="Normal"/></w:pPr>
<w:r><w:t xml:space="preserve">translated into Latin by Jakob Gronovius (Amsterdam, 1685).</w:t></w:r>
</w:p>
<w:p>
<w:pPr><w:pStyle w:val="Normal"/></w:pPr>
<w:r><w:t xml:space="preserve">AGOSTINO, or AGOSTINI [AUGUSTINUS], PAOLO (1593-1629),</w:t></w:r>
</w:p>
<w:p>
<w:pPr><w:pStyle w:val="Normal"/></w:pPr>
<w:r><w:t xml:space="preserve">Italian musician, was born at Valerano, and studied under G. B.</w:t></w:r>
</w:p>
<w:p>
<w:pPr><w:pStyle w:val="Normal"/></w:pPr>
<w:r><w:t xml:space="preserve">Nanini, as we learn from the dedication in the third and fourth</w:t></w:r>
</w:p>
<w:p>
<w:pPr><w:pStyle w:val="Normal"/></w:pPr>
<w:r><w:t xml:space="preserve">books of his masses, subsequently becoming the son-in-law of his</w:t></w:r>
</w:p>
<w:p>
<w:pPr><w:pStyle w:val="Normal"/></w:pPr>
<w:r><w:t xml:space="preserve">master.  He succeeded Ugolini as conductor of the pope&apos;s orchestra</w:t></w:r>
</w:p>
<w:p>
<w:pPr><w:pStyle w:val="Normal"/></w:pPr>
<w:r><w:t xml:space="preserve">in St. Peter&apos;s.  His musical compositions are numerous and of great</w:t></w:r>
</w:p>
<w:p>
<w:pPr><w:pStyle w:val="Normal"/></w:pPr>
<w:r><w:t xml:space="preserve">merit, an Agnus Dei for eight voices being specially admired.</w:t></w:r>
</w:p>
<w:p>
<w:pPr><w:pStyle w:val="Normal"/></w:pPr>
<w:r><w:t xml:space="preserve">AGOSTINO and AGNOLO (or ANGELO) DA SIENA, Italian</w:t></w:r>
</w:p>
<w:p>
<w:pPr><w:pStyle w:val="Normal"/></w:pPr>
<w:r><w:t xml:space="preserve">architects and sculptors in the first half of the 14th</w:t></w:r>
</w:p>
<w:p>
<w:pPr><w:pStyle w:val="Normal"/></w:pPr>
<w:r><w:t xml:space="preserve">century.  Della Valle and other commentators deny that they were</w:t></w:r>
</w:p>
<w:p>
<w:pPr><w:pStyle w:val="Normal"/></w:pPr>
<w:r><w:t xml:space="preserve">brothers.  They certainly studied together under Giovanni</w:t></w:r>
</w:p>
<w:p>
<w:pPr><w:pStyle w:val="Normal"/></w:pPr>
<w:r><w:t xml:space="preserve">Pisano, and in 1317 were jointly appointed architects</w:t></w:r>
</w:p>
<w:p>
<w:pPr><w:pStyle w:val="Normal"/></w:pPr>
<w:r><w:t xml:space="preserve">of their native town, for which they designed the Porto</w:t></w:r>
</w:p>
<w:p>
<w:pPr><w:pStyle w:val="Normal"/></w:pPr>
<w:r><w:t xml:space="preserve">Romana, the church and convent of St Francis, and other</w:t></w:r>
</w:p>
<w:p>
<w:pPr><w:pStyle w:val="Normal"/></w:pPr>
<w:r><w:t xml:space="preserve">buildings.  On the recommendation of the celebrated Giotto,</w:t></w:r>
</w:p>
<w:p>
<w:pPr><w:pStyle w:val="Normal"/></w:pPr>
<w:r><w:t xml:space="preserve">who styled them the best sculptors of the time, they executed</w:t></w:r>
</w:p>
<w:p>
<w:pPr><w:pStyle w:val="Normal"/></w:pPr>
<w:r><w:t xml:space="preserve">in 1330 the tomb of Bishop Guido Tarlati in the cathedral of</w:t></w:r>
</w:p>
<w:p>
<w:pPr><w:pStyle w:val="Normal"/></w:pPr>
<w:r><w:t xml:space="preserve">Arezzo, which Giotto had designed.  It was esteemed one of the</w:t></w:r>
</w:p>
<w:p>
<w:pPr><w:pStyle w:val="Normal"/></w:pPr>
<w:r><w:t xml:space="preserve">finest artistic works of the 14th century, but unfortunately</w:t></w:r>
</w:p>
<w:p>
<w:pPr><w:pStyle w:val="Normal"/></w:pPr>
<w:r><w:t xml:space="preserve">was destroyed by the French under the duke of Anjou.</w:t></w:r>
</w:p>
<w:p>
<w:pPr><w:pStyle w:val="Normal"/></w:pPr>
<w:r><w:t xml:space="preserve">AGOULT, MARIE CATHERINE SOPHIE DE FLAVIGNY, COMTESSE D&apos;</w:t></w:r>
</w:p>
<w:p>
<w:pPr><w:pStyle w:val="Normal"/></w:pPr>
<w:r><w:t xml:space="preserve">(1805-1876), French author, whose nom de plume was ``Daniel</w:t></w:r>
</w:p>
<w:p>
<w:pPr><w:pStyle w:val="Normal"/></w:pPr>
<w:r><w:t xml:space="preserve">Stern,&apos;&apos; was born at Frankfort-on-Main on the 31st of December</w:t></w:r>
</w:p>
<w:p>
<w:pPr><w:pStyle w:val="Normal"/></w:pPr>
<w:r><w:t xml:space="preserve">1805.  Her father was a French officer who had served in</w:t></w:r>
</w:p>
<w:p>
<w:pPr><w:pStyle w:val="Normal"/></w:pPr>
<w:r><w:t xml:space="preserve">the army of the emigrant princes, and her mother was the</w:t></w:r>
</w:p>
<w:p>
<w:pPr><w:pStyle w:val="Normal"/></w:pPr>
<w:r><w:t xml:space="preserve">daughter of a Frankfort banker.  She was married in 1827</w:t></w:r>
</w:p>
<w:p>
<w:pPr><w:pStyle w:val="Normal"/></w:pPr>
<w:r><w:t xml:space="preserve">to the comte Charles d&apos;Agoult.  In Paris she gathered</w:t></w:r>
</w:p>
<w:p>
<w:pPr><w:pStyle w:val="Normal"/></w:pPr>
<w:r><w:t xml:space="preserve">round her a brilliant society which included Alfred de</w:t></w:r>
</w:p>
<w:p>
<w:pPr><w:pStyle w:val="Normal"/></w:pPr>
<w:r><w:t xml:space="preserve">Vigny, Sainte-Beuve, Ingres, Chopin, Meyerbeer, Heine and</w:t></w:r>
</w:p>
<w:p>
<w:pPr><w:pStyle w:val="Normal"/></w:pPr>
<w:r><w:t xml:space="preserve">others.  She was separated from her husband, and became the</w:t></w:r>
</w:p>
<w:p>
<w:pPr><w:pStyle w:val="Normal"/></w:pPr>
<w:r><w:t xml:space="preserve">mistress of Franz Liszt.  During her frequent travels in</w:t></w:r>
</w:p>
<w:p>
<w:pPr><w:pStyle w:val="Normal"/></w:pPr>
<w:r><w:t xml:space="preserve">Switzerland, France and Italy she made the acquaintance of</w:t></w:r>
</w:p>
<w:p>
<w:pPr><w:pStyle w:val="Normal"/></w:pPr>
<w:r><w:t xml:space="preserve">George Sand, and figures in the Lettres d&apos;un voyageur</w:t></w:r>
</w:p>
<w:p>
<w:pPr><w:pStyle w:val="Normal"/></w:pPr>
<w:r><w:t xml:space="preserve">as&apos;`Arabella.&apos;&apos; By Liszt she had three children--a son who</w:t></w:r>
</w:p>
<w:p>
<w:pPr><w:pStyle w:val="Normal"/></w:pPr>
<w:r><w:t xml:space="preserve">died young; Blandine, who married M. Emile Ollivier; and</w:t></w:r>
</w:p>
<w:p>
<w:pPr><w:pStyle w:val="Normal"/></w:pPr>
<w:r><w:t xml:space="preserve">Cosima, who married first Hans von Bulow and later Richard</w:t></w:r>
</w:p>
<w:p>
<w:pPr><w:pStyle w:val="Normal"/></w:pPr>
<w:r><w:t xml:space="preserve">Wagner.  The story of her breach with Liszt is told under a</w:t></w:r>
</w:p>
<w:p>
<w:pPr><w:pStyle w:val="Normal"/></w:pPr>
<w:r><w:t xml:space="preserve">very slight disguise in her novel Nelida (1845).  On her</w:t></w:r>
</w:p>
<w:p>
<w:pPr><w:pStyle w:val="Normal"/></w:pPr>
<w:r><w:t xml:space="preserve">return to Paris in 1841 she began to write art criticisms for</w:t></w:r>
</w:p>
<w:p>
<w:pPr><w:pStyle w:val="Normal"/></w:pPr>
<w:r><w:t xml:space="preserve">the Presse, and in 1844 she contributed to the Revue des</w:t></w:r>
</w:p>
<w:p>
<w:pPr><w:pStyle w:val="Normal"/></w:pPr>
<w:r><w:t xml:space="preserve">deux Mondes articles on Bettina von Arnim and on Heinrich</w:t></w:r>
</w:p>
<w:p>
<w:pPr><w:pStyle w:val="Normal"/></w:pPr>
<w:r><w:t xml:space="preserve">Heine, but her views were not acceptable to the editor, and</w:t></w:r>
</w:p>
<w:p>
<w:pPr><w:pStyle w:val="Normal"/></w:pPr>
<w:r><w:t xml:space="preserve">Daniel Stern withdrew to become a contributor to the Revue</w:t></w:r>
</w:p>
<w:p>
<w:pPr><w:pStyle w:val="Normal"/></w:pPr>
<w:r><w:t xml:space="preserve">independante. Mme. d&apos;Agoult was an ardent apostle of the</w:t></w:r>
</w:p>
<w:p>
<w:pPr><w:pStyle w:val="Normal"/></w:pPr>
<w:r><w:t xml:space="preserve">ideas of&apos; 48, and from this date her salon, which had</w:t></w:r>
</w:p>
<w:p>
<w:pPr><w:pStyle w:val="Normal"/></w:pPr>
<w:r><w:t xml:space="preserve">been literary and artistic, took on a more political tone;</w:t></w:r>
</w:p>
<w:p>
<w:pPr><w:pStyle w:val="Normal"/></w:pPr>
<w:r><w:t xml:space="preserve">revolutionists of various nationalities were welcomed by her,</w:t></w:r>
</w:p>
<w:p>
<w:pPr><w:pStyle w:val="Normal"/></w:pPr>
<w:r><w:t xml:space="preserve">and she had an especial friendship and sympathy for Daniele</w:t></w:r>
</w:p>
<w:p>
<w:pPr><w:pStyle w:val="Normal"/></w:pPr>
<w:r><w:t xml:space="preserve">Manin.  In 1857 she produced a national drama, Jeanne</w:t></w:r>
</w:p>
<w:p>
<w:pPr><w:pStyle w:val="Normal"/></w:pPr>
<w:r><w:t xml:space="preserve">Darc, which was translated into Italian and presented with</w:t></w:r>
</w:p>
<w:p>
<w:pPr><w:pStyle w:val="Normal"/></w:pPr>
<w:r><w:t xml:space="preserve">brilliant success at Turin.  The most important section of</w:t></w:r>
</w:p>
<w:p>
<w:pPr><w:pStyle w:val="Normal"/></w:pPr>
<w:r><w:t xml:space="preserve">Daniel Stern&apos;s work is her political and historical essays:</w:t></w:r>
</w:p>
<w:p>
<w:pPr><w:pStyle w:val="Normal"/></w:pPr>
<w:r><w:t xml:space="preserve">Lettres republicaines (1848), Esquisses morales et</w:t></w:r>
</w:p>
<w:p>
<w:pPr><w:pStyle w:val="Normal"/></w:pPr>
<w:r><w:t xml:space="preserve">politiques (1849), Histoire de la Revolution de 1848</w:t></w:r>
</w:p>
<w:p>
<w:pPr><w:pStyle w:val="Normal"/></w:pPr>
<w:r><w:t xml:space="preserve">(3 vols., 1850-1853), Histoire des commencements de la</w:t></w:r>
</w:p>
<w:p>
<w:pPr><w:pStyle w:val="Normal"/></w:pPr>
<w:r><w:t xml:space="preserve">Republique aux Pays-Bas (1872).  Mme. d&apos;Agoult died in Paris</w:t></w:r>
</w:p>
<w:p>
<w:pPr><w:pStyle w:val="Normal"/></w:pPr>
<w:r><w:t xml:space="preserve">on the 5th of March 1876.  Her daughter Claire Christine (b.</w:t></w:r>
</w:p>
<w:p>
<w:pPr><w:pStyle w:val="Normal"/></w:pPr>
<w:r><w:t xml:space="preserve">1830), who married Guy de Charnace, is known as a writer.</w:t></w:r>
</w:p>
<w:p>
<w:pPr><w:pStyle w:val="Normal"/></w:pPr>
<w:r><w:t xml:space="preserve">See Mme. d&apos;Agoult, Mes Souvenirs (1806-1833), 1877; A.</w:t></w:r>
</w:p>
<w:p>
<w:pPr><w:pStyle w:val="Normal"/></w:pPr>
<w:r><w:t xml:space="preserve">Cuvillier Fleury, Portraits revolutionnaires, vol. i.</w:t></w:r>
</w:p>
<w:p>
<w:pPr><w:pStyle w:val="Normal"/></w:pPr>
<w:r><w:t xml:space="preserve">(1889); J. Mazzini, Lettres de Joseph Mazzini a Daniel</w:t></w:r>
</w:p>
<w:p>
<w:pPr><w:pStyle w:val="Normal"/></w:pPr>
<w:r><w:t xml:space="preserve">Stern (1872): A. Pommier, Madame la comtesse d&apos;Agoult</w:t></w:r>
</w:p>
<w:p>
<w:pPr><w:pStyle w:val="Normal"/></w:pPr>
<w:r><w:t xml:space="preserve">(Daniel Stern), 1876; A. Ungherini, ``Daniel Stern&apos;&apos; in the</w:t></w:r>
</w:p>
<w:p>
<w:pPr><w:pStyle w:val="Normal"/></w:pPr>
<w:r><w:t xml:space="preserve">Revista repubblicana (1880, No. 9); S. Rocheblave, Une</w:t></w:r>
</w:p>
<w:p>
<w:pPr><w:pStyle w:val="Normal"/></w:pPr>
<w:r><w:t xml:space="preserve">Amitie romanesque, George Sand et Madame d&apos;Agoult (1895).</w:t></w:r>
</w:p>
<w:p>
<w:pPr><w:pStyle w:val="Normal"/></w:pPr>
<w:r><w:t xml:space="preserve">AGOUTI, or AGUTI, the West Indian name of Dasyprocta</w:t></w:r>
</w:p>
<w:p>
<w:pPr><w:pStyle w:val="Normal"/></w:pPr>
<w:r><w:t xml:space="preserve">aguti, a terrestrial rodent of the size of a rabbit, common</w:t></w:r>
</w:p>
<w:p>
<w:pPr><w:pStyle w:val="Normal"/></w:pPr>
<w:r><w:t xml:space="preserve">to Trinidad and Guiana, and classed in the family Caviidae.</w:t></w:r>
</w:p>
<w:p>
<w:pPr><w:pStyle w:val="Normal"/></w:pPr>
<w:r><w:t xml:space="preserve">Under the same term may be included the other species of</w:t></w:r>
</w:p>
<w:p>
<w:pPr><w:pStyle w:val="Normal"/></w:pPr>
<w:r><w:t xml:space="preserve">Dasyprocta, of which there are about half a score in tropical</w:t></w:r>
</w:p>
<w:p>
<w:pPr><w:pStyle w:val="Normal"/></w:pPr>
<w:r><w:t xml:space="preserve">America.  Agoutis are slender-limbed rodents, with five front</w:t></w:r>
</w:p>
<w:p>
<w:pPr><w:pStyle w:val="Normal"/></w:pPr>
<w:r><w:t xml:space="preserve">and three hind toes (the first front toe very minute), and very</w:t></w:r>
</w:p>
<w:p>
<w:pPr><w:pStyle w:val="Normal"/></w:pPr>
<w:r><w:t xml:space="preserve">short tails.  The hair, especially on the hind-quarters, is</w:t></w:r>
</w:p>
<w:p>
<w:pPr><w:pStyle w:val="Normal"/></w:pPr>
<w:r><w:t xml:space="preserve">coarse and somewhat rough; the colour being generally rufous</w:t></w:r>
</w:p>
<w:p>
<w:pPr><w:pStyle w:val="Normal"/></w:pPr>
<w:r><w:t xml:space="preserve">brown.  The molar teeth have cylindrical crowns, with several</w:t></w:r>
</w:p>
<w:p>
<w:pPr><w:pStyle w:val="Normal"/></w:pPr>
<w:r><w:t xml:space="preserve">islands and a single lateral fold of enamel when worn.  In</w:t></w:r>
</w:p>
<w:p>
<w:pPr><w:pStyle w:val="Normal"/></w:pPr>
<w:r><w:t xml:space="preserve">habits agoutis are nocturnal, dwelling in forests, where</w:t></w:r>
</w:p>
<w:p>
<w:pPr><w:pStyle w:val="Normal"/></w:pPr>
<w:r><w:t xml:space="preserve">they conceal themselves during the day in hollow tree-trunks,</w:t></w:r>
</w:p>
<w:p>
<w:pPr><w:pStyle w:val="Normal"/></w:pPr>
<w:r><w:t xml:space="preserve">or in burrows among roots.  Active and graceful in their</w:t></w:r>
</w:p>
<w:p>
<w:pPr><w:pStyle w:val="Normal"/></w:pPr>
<w:r><w:t xml:space="preserve">movements, their pace is either a kind of trot or a series</w:t></w:r>
</w:p>
<w:p>
<w:pPr><w:pStyle w:val="Normal"/></w:pPr>
<w:r><w:t xml:space="preserve">of springs following one another so rapidly as to look like a</w:t></w:r>
</w:p>
<w:p>
<w:pPr><w:pStyle w:val="Normal"/></w:pPr>
<w:r><w:t xml:space="preserve">gallop.  They take readily to water, in which they swim well.</w:t></w:r>
</w:p>
<w:p>
<w:pPr><w:pStyle w:val="Normal"/></w:pPr>
<w:r><w:t xml:space="preserve">Their food comprises leaves, roots, nuts and other fruits.</w:t></w:r>
</w:p>
<w:p>
<w:pPr><w:pStyle w:val="Normal"/></w:pPr>
<w:r><w:t xml:space="preserve">They do much harm to plantations of sugar-cane and bananas.  In</w:t></w:r>
</w:p>
<w:p>
<w:pPr><w:pStyle w:val="Normal"/></w:pPr>
<w:r><w:t xml:space="preserve">captivity the females produce only one or two young at a birth.</w:t></w:r>
</w:p>
<w:p>
<w:pPr><w:pStyle w:val="Normal"/></w:pPr>
<w:r><w:t xml:space="preserve">AGRA, an ancient city of India, which gives its name to</w:t></w:r>
</w:p>
<w:p>
<w:pPr><w:pStyle w:val="Normal"/></w:pPr>
<w:r><w:t xml:space="preserve">a district and division in the United Provinces.  It is</w:t></w:r>
</w:p>
<w:p>
<w:pPr><w:pStyle w:val="Normal"/></w:pPr>
<w:r><w:t xml:space="preserve">famous for containing the most perfect specimens of Mogul</w:t></w:r>
</w:p>
<w:p>
<w:pPr><w:pStyle w:val="Normal"/></w:pPr>
<w:r><w:t xml:space="preserve">architecture.  Agra, like Delhi, owes much of its importance</w:t></w:r>
</w:p>
<w:p>
<w:pPr><w:pStyle w:val="Normal"/></w:pPr>
<w:r><w:t xml:space="preserve">in both historical and modern times to the Commercial and</w:t></w:r>
</w:p>
<w:p>
<w:pPr><w:pStyle w:val="Normal"/></w:pPr>
<w:r><w:t xml:space="preserve">strategical advantages of its position.  The river Jumna,</w:t></w:r>
</w:p>
<w:p>
<w:pPr><w:pStyle w:val="Normal"/></w:pPr>
<w:r><w:t xml:space="preserve">which washes the walls of its fort, was the natural highway</w:t></w:r>
</w:p>
<w:p>
<w:pPr><w:pStyle w:val="Normal"/></w:pPr>
<w:r><w:t xml:space="preserve">for the traffic of the rich delta of Bengal to the heart of</w:t></w:r>
</w:p>
<w:p>
<w:pPr><w:pStyle w:val="Normal"/></w:pPr>
<w:r><w:t xml:space="preserve">India, and it formed, moreover, from very ancient times, the</w:t></w:r>
</w:p>
<w:p>
<w:pPr><w:pStyle w:val="Normal"/></w:pPr>
<w:r><w:t xml:space="preserve">frontier defence of the Aryan stock settled in the plain between</w:t></w:r>
</w:p>
<w:p>
<w:pPr><w:pStyle w:val="Normal"/></w:pPr>
<w:r><w:t xml:space="preserve">the Ganges and the Jumna against their western neighbours,</w:t></w:r>
</w:p>
<w:p>
<w:pPr><w:pStyle w:val="Normal"/></w:pPr>
<w:r><w:t xml:space="preserve">hereditary freebooters who occupied the highlands of Central</w:t></w:r>
</w:p>
<w:p>
<w:pPr><w:pStyle w:val="Normal"/></w:pPr>
<w:r><w:t xml:space="preserve">India.  No place was better fitted for both an emporium and</w:t></w:r>
</w:p>
<w:p>
<w:pPr><w:pStyle w:val="Normal"/></w:pPr>
<w:r><w:t xml:space="preserve">a frontier fortress.  The river formed an unfordable barrier</w:t></w:r>
</w:p>
<w:p>
<w:pPr><w:pStyle w:val="Normal"/></w:pPr>
<w:r><w:t xml:space="preserve">and also a useful means of communication.  Jehangir tells us</w:t></w:r>
</w:p>
<w:p>
<w:pPr><w:pStyle w:val="Normal"/></w:pPr>
<w:r><w:t xml:space="preserve">in his autobiography that before his father Akbar built the</w:t></w:r>
</w:p>
<w:p>
<w:pPr><w:pStyle w:val="Normal"/></w:pPr>
<w:r><w:t xml:space="preserve">present fort, the town was defended by a citadel of great</w:t></w:r>
</w:p>
<w:p>
<w:pPr><w:pStyle w:val="Normal"/></w:pPr>
<w:r><w:t xml:space="preserve">antiquity.  For three hundred years the Afghans and other</w:t></w:r>
</w:p>
<w:p>
<w:pPr><w:pStyle w:val="Normal"/></w:pPr>
<w:r><w:t xml:space="preserve">tribes came down from the north and founded kingdoms; and</w:t></w:r>
</w:p>
<w:p>
<w:pPr><w:pStyle w:val="Normal"/></w:pPr>
<w:r><w:t xml:space="preserve">their power radiated from Delhi and Agra.  It was Sikandar,</w:t></w:r>
</w:p>
<w:p>
<w:pPr><w:pStyle w:val="Normal"/></w:pPr>
<w:r><w:t xml:space="preserve">of the house of Lodi (A.D. 1500), the last of the Afghan</w:t></w:r>
</w:p>
<w:p>
<w:pPr><w:pStyle w:val="Normal"/></w:pPr>
<w:r><w:t xml:space="preserve">dynasties, who realized the strategic importance of Agra as</w:t></w:r>
</w:p>
<w:p>
<w:pPr><w:pStyle w:val="Normal"/></w:pPr>
<w:r><w:t xml:space="preserve">a point for keeping in check his rebellious vassals to the</w:t></w:r>
</w:p>
<w:p>
<w:pPr><w:pStyle w:val="Normal"/></w:pPr>
<w:r><w:t xml:space="preserve">south.  He removed his court there, and Agra from being ``a mere</w:t></w:r>
</w:p>
<w:p>
<w:pPr><w:pStyle w:val="Normal"/></w:pPr>
<w:r><w:t xml:space="preserve">village of old standing,&apos;&apos; says a Persian chronicler, became</w:t></w:r>
</w:p>
<w:p>
<w:pPr><w:pStyle w:val="Normal"/></w:pPr>
<w:r><w:t xml:space="preserve">the capital of a kingdom.  In 1526 the city was captured by the</w:t></w:r>
</w:p>
<w:p>
<w:pPr><w:pStyle w:val="Normal"/></w:pPr>
<w:r><w:t xml:space="preserve">emperor Baber, the famous Koh-i-noor diamond being part of the</w:t></w:r>
</w:p>
<w:p>
<w:pPr><w:pStyle w:val="Normal"/></w:pPr>
<w:r><w:t xml:space="preserve">loot; and it was here that Baber announced that his invasion</w:t></w:r>
</w:p>
<w:p>
<w:pPr><w:pStyle w:val="Normal"/></w:pPr>
<w:r><w:t xml:space="preserve">was to be a permanent conquest, and not a mere temporary</w:t></w:r>
</w:p>
<w:p>
<w:pPr><w:pStyle w:val="Normal"/></w:pPr>
<w:r><w:t xml:space="preserve">inroad.  It was Baber&apos;s grandson Akbar that built the present</w:t></w:r>
</w:p>
<w:p>
<w:pPr><w:pStyle w:val="Normal"/></w:pPr>
<w:r><w:t xml:space="preserve">fort, whose strong and lofty walls of red sandstone are a mile</w:t></w:r>
</w:p>
<w:p>
<w:pPr><w:pStyle w:val="Normal"/></w:pPr>
<w:r><w:t xml:space="preserve">and a,half in circumference.  The building was completed in</w:t></w:r>
</w:p>
<w:p>
<w:pPr><w:pStyle w:val="Normal"/></w:pPr>
<w:r><w:t xml:space="preserve">1665, when Charles II. was on the throne of England and the</w:t></w:r>
</w:p>
<w:p>
<w:pPr><w:pStyle w:val="Normal"/></w:pPr>
<w:r><w:t xml:space="preserve">plague was devastating London.  Another building of much the</w:t></w:r>
</w:p>
<w:p>
<w:pPr><w:pStyle w:val="Normal"/></w:pPr>
<w:r><w:t xml:space="preserve">same date is the red stone palace generally attributed to Akbar,</w:t></w:r>
</w:p>
<w:p>
<w:pPr><w:pStyle w:val="Normal"/></w:pPr>
<w:r><w:t xml:space="preserve">but probably of an earlier time, which is the finest example</w:t></w:r>
</w:p>
<w:p>
<w:pPr><w:pStyle w:val="Normal"/></w:pPr>
<w:r><w:t xml:space="preserve">of pure Hindu architecture; while the Moti Masjid, or Pearl</w:t></w:r>
</w:p>
<w:p>
<w:pPr><w:pStyle w:val="Normal"/></w:pPr>
<w:r><w:t xml:space="preserve">Mosque, is an equally perfect example of the Mahommedan style.</w:t></w:r>
</w:p>
<w:p>
<w:pPr><w:pStyle w:val="Normal"/></w:pPr>
<w:r><w:t xml:space="preserve">But the glory of Agra, the most splendidly poetic building in the</w:t></w:r>
</w:p>
<w:p>
<w:pPr><w:pStyle w:val="Normal"/></w:pPr>
<w:r><w:t xml:space="preserve">world, is the Taj Mahal, the mausoleum built (A.D. 1632) by</w:t></w:r>
</w:p>
<w:p>
<w:pPr><w:pStyle w:val="Normal"/></w:pPr>
<w:r><w:t xml:space="preserve">Taj Mahal.</w:t></w:r>
</w:p>
<w:p>
<w:pPr><w:pStyle w:val="Normal"/></w:pPr>
<w:r><w:t xml:space="preserve">the emperor Shah Jahan for the remains of his favourite wife,</w:t></w:r>
</w:p>
<w:p>
<w:pPr><w:pStyle w:val="Normal"/></w:pPr>
<w:r><w:t xml:space="preserve">Mumtaz Manal, in which he himself also also lies buried.  The</w:t></w:r>
</w:p>
<w:p>
<w:pPr><w:pStyle w:val="Normal"/></w:pPr>
<w:r><w:t xml:space="preserve">building is of white marble throughout, crowned with a great</w:t></w:r>
</w:p>
<w:p>
<w:pPr><w:pStyle w:val="Normal"/></w:pPr>
<w:r><w:t xml:space="preserve">white dome in the centre, and with a smaller dome at each of</w:t></w:r>
</w:p>
<w:p>
<w:pPr><w:pStyle w:val="Normal"/></w:pPr>
<w:r><w:t xml:space="preserve">its four corners.  From the marble terrace which surrounds</w:t></w:r>
</w:p>
<w:p>
<w:pPr><w:pStyle w:val="Normal"/></w:pPr>
<w:r><w:t xml:space="preserve">it rise four tall minarets of the same material, one at each</w:t></w:r>
</w:p>
<w:p>
<w:pPr><w:pStyle w:val="Normal"/></w:pPr>
<w:r><w:t xml:space="preserve">corner.  The Taj has been modelled and painted more frequently</w:t></w:r>
</w:p>
<w:p>
<w:pPr><w:pStyle w:val="Normal"/></w:pPr>
<w:r><w:t xml:space="preserve">than any other building in the world, and the word pictures of</w:t></w:r>
</w:p>
<w:p>
<w:pPr><w:pStyle w:val="Normal"/></w:pPr>
<w:r><w:t xml:space="preserve">it are numberless.  But it can only be described as a dream in</w:t></w:r>
</w:p>
<w:p>
<w:pPr><w:pStyle w:val="Normal"/></w:pPr>
<w:r><w:t xml:space="preserve">marble.  It amply justifies the saying that the Moguls</w:t></w:r>
</w:p>
<w:p>
<w:pPr><w:pStyle w:val="Normal"/></w:pPr>
<w:r><w:t xml:space="preserve">designed like Titans and finished like jewellers.  In regard</w:t></w:r>
</w:p>
<w:p>
<w:pPr><w:pStyle w:val="Normal"/></w:pPr>
<w:r><w:t xml:space="preserve">to colour and design the Taj ranks first in the world for</w:t></w:r>
</w:p>
<w:p>
<w:pPr><w:pStyle w:val="Normal"/></w:pPr>
<w:r><w:t xml:space="preserve">purely decorative workmanship; while the perfect symmetry of</w:t></w:r>
</w:p>
<w:p>
<w:pPr><w:pStyle w:val="Normal"/></w:pPr>
<w:r><w:t xml:space="preserve">its exterior once seen can never be forgotten, nor the aerial</w:t></w:r>
</w:p>
<w:p>
<w:pPr><w:pStyle w:val="Normal"/></w:pPr>
<w:r><w:t xml:space="preserve">grace of its domes, rising like marble bubbles into the azure</w:t></w:r>
</w:p>
<w:p>
<w:pPr><w:pStyle w:val="Normal"/></w:pPr>
<w:r><w:t xml:space="preserve">sky.  In his History of Architecture, Fergusson says of it:--</w:t></w:r>
</w:p>
<w:p>
<w:pPr><w:pStyle w:val="Normal"/></w:pPr>
<w:r><w:t xml:space="preserve">``This building is an early example of that system of inlaying</w:t></w:r>
</w:p>
<w:p>
<w:pPr><w:pStyle w:val="Normal"/></w:pPr>
<w:r><w:t xml:space="preserve">with precious stones which became the great characteristic</w:t></w:r>
</w:p>
<w:p>
<w:pPr><w:pStyle w:val="Normal"/></w:pPr>
<w:r><w:t xml:space="preserve">of the style of the Moghals aftrer the death of Akbar.  All</w:t></w:r>
</w:p>
<w:p>
<w:pPr><w:pStyle w:val="Normal"/></w:pPr>
<w:r><w:t xml:space="preserve">the spandrils of the Taj, all the angles and more important</w:t></w:r>
</w:p>
<w:p>
<w:pPr><w:pStyle w:val="Normal"/></w:pPr>
<w:r><w:t xml:space="preserve">architectural details, are heightened by being inlaid with</w:t></w:r>
</w:p>
<w:p>
<w:pPr><w:pStyle w:val="Normal"/></w:pPr>
<w:r><w:t xml:space="preserve">precious stones such as agates, bloodstones, jaspers and the</w:t></w:r>
</w:p>
<w:p>
<w:pPr><w:pStyle w:val="Normal"/></w:pPr>
<w:r><w:t xml:space="preserve">like.  These are combined in wreaths, scrolls and frets,</w:t></w:r>
</w:p>
<w:p>
<w:pPr><w:pStyle w:val="Normal"/></w:pPr>
<w:r><w:t xml:space="preserve">as exquisite in design as they are beautiful in colour, and</w:t></w:r>
</w:p>
<w:p>
<w:pPr><w:pStyle w:val="Normal"/></w:pPr>
<w:r><w:t xml:space="preserve">relieved by the pure white marble in which they are inlaid,</w:t></w:r>
</w:p>
<w:p>
<w:pPr><w:pStyle w:val="Normal"/></w:pPr>
<w:r><w:t xml:space="preserve">they form the most beautiful and precious style of ornament</w:t></w:r>
</w:p>
<w:p>
<w:pPr><w:pStyle w:val="Normal"/></w:pPr>
<w:r><w:t xml:space="preserve">ever adopted in architecture. 1t is lavishly bestowed on</w:t></w:r>
</w:p>
<w:p>
<w:pPr><w:pStyle w:val="Normal"/></w:pPr>
<w:r><w:t xml:space="preserve">the tombs themselves and the screens which surround them,</w:t></w:r>
</w:p>
<w:p>
<w:pPr><w:pStyle w:val="Normal"/></w:pPr>
<w:r><w:t xml:space="preserve">but more sparingly introduced on the mosque that forms</w:t></w:r>
</w:p>
<w:p>
<w:pPr><w:pStyle w:val="Normal"/></w:pPr>
<w:r><w:t xml:space="preserve">one wing of the Taj, and on the fountains and surrounding</w:t></w:r>
</w:p>
<w:p>
<w:pPr><w:pStyle w:val="Normal"/></w:pPr>
<w:r><w:t xml:space="preserve">buildings.  The judgment, indeed, with which this style of</w:t></w:r>
</w:p>
<w:p>
<w:pPr><w:pStyle w:val="Normal"/></w:pPr>
<w:r><w:t xml:space="preserve">ornament is apportioned to the various parts, is almost as</w:t></w:r>
</w:p>
<w:p>
<w:pPr><w:pStyle w:val="Normal"/></w:pPr>
<w:r><w:t xml:space="preserve">remarkable as the ornament itself, and conveys a high idea</w:t></w:r>
</w:p>
<w:p>
<w:pPr><w:pStyle w:val="Normal"/></w:pPr>
<w:r><w:t xml:space="preserve">of the taste and skill of the architects of this age.&apos;&apos;</w:t></w:r>
</w:p>
<w:p>
<w:pPr><w:pStyle w:val="Normal"/></w:pPr>
<w:r><w:t xml:space="preserve">Of the Taj as a whole Lord Roberts says in his Forty-one Years in India:--</w:t></w:r>
</w:p>
<w:p>
<w:pPr><w:pStyle w:val="Normal"/></w:pPr>
<w:r><w:t xml:space="preserve">``Neither words nor pencil could give to the most imaginative reader</w:t></w:r>
</w:p>
<w:p>
<w:pPr><w:pStyle w:val="Normal"/></w:pPr>
<w:r><w:t xml:space="preserve">the slightest idea of the all-satisfying beauty and purity of this</w:t></w:r>
</w:p>
<w:p>
<w:pPr><w:pStyle w:val="Normal"/></w:pPr>
<w:r><w:t xml:space="preserve">glorious conception.  To those who have not already seen it I would</w:t></w:r>
</w:p>
<w:p>
<w:pPr><w:pStyle w:val="Normal"/></w:pPr>
<w:r><w:t xml:space="preserve">say, `Go to India.  The Taj alone is well worth the journey.&apos;&apos;&apos;</w:t></w:r>
</w:p>
<w:p>
<w:pPr><w:pStyle w:val="Normal"/></w:pPr>
<w:r><w:t xml:space="preserve">The Taj was designed by Ustad Isa, variously described as a</w:t></w:r>
</w:p>
<w:p>
<w:pPr><w:pStyle w:val="Normal"/></w:pPr>
<w:r><w:t xml:space="preserve">Byzantine Turk and a native of Shiraz in Persia.  The pietra</w:t></w:r>
</w:p>
<w:p>
<w:pPr><w:pStyle w:val="Normal"/></w:pPr>
<w:r><w:t xml:space="preserve">dura work belongs to the Persian school and the common</w:t></w:r>
</w:p>
<w:p>
<w:pPr><w:pStyle w:val="Normal"/></w:pPr>
<w:r><w:t xml:space="preserve">belief that it was designed by Austin de Bordeaux, a French</w:t></w:r>
</w:p>
<w:p>
<w:pPr><w:pStyle w:val="Normal"/></w:pPr>
<w:r><w:t xml:space="preserve">architect in the service of Shah Jahan, is probably incorrect.</w:t></w:r>
</w:p>
<w:p>
<w:pPr><w:pStyle w:val="Normal"/></w:pPr>
<w:r><w:t xml:space="preserve">Agra was formerly the capital of the North-West Provinces,</w:t></w:r>
</w:p>
<w:p>
<w:pPr><w:pStyle w:val="Normal"/></w:pPr>
<w:r><w:t xml:space="preserve">but after the Mutiny the seat of government was removed to</w:t></w:r>
</w:p>
<w:p>
<w:pPr><w:pStyle w:val="Normal"/></w:pPr>
<w:r><w:t xml:space="preserve">Allahabad.  Situated 841 m. from Calcutta it is now an important</w:t></w:r>
</w:p>
<w:p>
<w:pPr><w:pStyle w:val="Normal"/></w:pPr>
<w:r><w:t xml:space="preserve">railway centre, whence two main lines diverge southwards towards</w:t></w:r>
</w:p>
<w:p>
<w:pPr><w:pStyle w:val="Normal"/></w:pPr>
<w:r><w:t xml:space="preserve">Bombay.  In 1901 the population was 188,022, showing an increase</w:t></w:r>
</w:p>
<w:p>
<w:pPr><w:pStyle w:val="Normal"/></w:pPr>
<w:r><w:t xml:space="preserve">of 12% during the decade.  The city contains cotton mills,</w:t></w:r>
</w:p>
<w:p>
<w:pPr><w:pStyle w:val="Normal"/></w:pPr>
<w:r><w:t xml:space="preserve">factories for ginning and pressing cotton, a tannery and boot</w:t></w:r>
</w:p>
<w:p>
<w:pPr><w:pStyle w:val="Normal"/></w:pPr>
<w:r><w:t xml:space="preserve">factory and flour mill.  There are also two missionary colleges.</w:t></w:r>
</w:p>
<w:p>
<w:pPr><w:pStyle w:val="Normal"/></w:pPr>
<w:r><w:t xml:space="preserve">The DISTRICT OF AGRA has an area of 1856 sq. m.  Its general</w:t></w:r>
</w:p>
<w:p>
<w:pPr><w:pStyle w:val="Normal"/></w:pPr>
<w:r><w:t xml:space="preserve">appearance is that common to the Doab, a level plain intersected</w:t></w:r>
</w:p>
<w:p>
<w:pPr><w:pStyle w:val="Normal"/></w:pPr>
<w:r><w:t xml:space="preserve">by watercourses and ravines.  Its general elevation is estimated</w:t></w:r>
</w:p>
<w:p>
<w:pPr><w:pStyle w:val="Normal"/></w:pPr>
<w:r><w:t xml:space="preserve">at from 650 to 700 ft. above the level of the sea.  The district</w:t></w:r>
</w:p>
<w:p>
<w:pPr><w:pStyle w:val="Normal"/></w:pPr>
<w:r><w:t xml:space="preserve">is intersected by the Jumna, and is also watered by the Agra</w:t></w:r>
</w:p>
<w:p>
<w:pPr><w:pStyle w:val="Normal"/></w:pPr>
<w:r><w:t xml:space="preserve">canal.  The principal crops are millets, pulses, barley,</w:t></w:r>
</w:p>
<w:p>
<w:pPr><w:pStyle w:val="Normal"/></w:pPr>
<w:r><w:t xml:space="preserve">wheat, cotton and a little indigo.  The population in 1901</w:t></w:r>
</w:p>
<w:p>
<w:pPr><w:pStyle w:val="Normal"/></w:pPr>
<w:r><w:t xml:space="preserve">was 1,060,528, showing an increase of 6% during the decade.</w:t></w:r>
</w:p>
<w:p>
<w:pPr><w:pStyle w:val="Normal"/></w:pPr>
<w:r><w:t xml:space="preserve">The DIVISION OF AGRA has an area of 10,154 sq. m.  In</w:t></w:r>
</w:p>
<w:p>
<w:pPr><w:pStyle w:val="Normal"/></w:pPr>
<w:r><w:t xml:space="preserve">1901 the population was 5,249,542, showing an increase</w:t></w:r>
</w:p>
<w:p>
<w:pPr><w:pStyle w:val="Normal"/></w:pPr>
<w:r><w:t xml:space="preserve">of 10% during the decade, attributed to the extension of</w:t></w:r>
</w:p>
<w:p>
<w:pPr><w:pStyle w:val="Normal"/></w:pPr>
<w:r><w:t xml:space="preserve">irrigation from canals.  It comprises the six districts</w:t></w:r>
</w:p>
<w:p>
<w:pPr><w:pStyle w:val="Normal"/></w:pPr>
<w:r><w:t xml:space="preserve">of Muttra, Agra, Farukhabad, Mainpuri, Etawah and Etah.</w:t></w:r>
</w:p>
<w:p>
<w:pPr><w:pStyle w:val="Normal"/></w:pPr>
<w:r><w:t xml:space="preserve">For an account of the architecture of Agra see Fergusson&apos;s</w:t></w:r>
</w:p>
<w:p>
<w:pPr><w:pStyle w:val="Normal"/></w:pPr>
<w:r><w:t xml:space="preserve">History of Architecture; Cities of India (1903) by G. W. Forest;</w:t></w:r>
</w:p>
<w:p>
<w:pPr><w:pStyle w:val="Normal"/></w:pPr>
<w:r><w:t xml:space="preserve">Enchanted India (1899), by Prince Bojidar Karageorgevitch;</w:t></w:r>
</w:p>
<w:p>
<w:pPr><w:pStyle w:val="Normal"/></w:pPr>
<w:r><w:t xml:space="preserve">and E. B. Havelln, Handbook to Agra and the Taj (1904).</w:t></w:r>
</w:p>
<w:p>
<w:pPr><w:pStyle w:val="Normal"/></w:pPr>
<w:r><w:t xml:space="preserve">AGRA CANAL, an important Indian irrigation work, available</w:t></w:r>
</w:p>
<w:p>
<w:pPr><w:pStyle w:val="Normal"/></w:pPr>
<w:r><w:t xml:space="preserve">also for navigation, in Delhi, Gurgaon, Muttra and Agra</w:t></w:r>
</w:p>
<w:p>
<w:pPr><w:pStyle w:val="Normal"/></w:pPr>
<w:r><w:t xml:space="preserve">districts, and Bharatpur state.  The canal receives its</w:t></w:r>
</w:p>
<w:p>
<w:pPr><w:pStyle w:val="Normal"/></w:pPr>
<w:r><w:t xml:space="preserve">water from the Jumna river at Okia, about 10 m. below</w:t></w:r>
</w:p>
<w:p>
<w:pPr><w:pStyle w:val="Normal"/></w:pPr>
<w:r><w:t xml:space="preserve">Delhi.  The weir across the Jumna was the first attempted</w:t></w:r>
</w:p>
<w:p>
<w:pPr><w:pStyle w:val="Normal"/></w:pPr>
<w:r><w:t xml:space="preserve">in Upper India upon a foundation of fine sand; it is about</w:t></w:r>
</w:p>
<w:p>
<w:pPr><w:pStyle w:val="Normal"/></w:pPr>
<w:r><w:t xml:space="preserve">800 yds. long, and rises 7 ft. above the summer level of the</w:t></w:r>
</w:p>
<w:p>
<w:pPr><w:pStyle w:val="Normal"/></w:pPr>
<w:r><w:t xml:space="preserve">river.  From Okla the canal follows the high land between</w:t></w:r>
</w:p>
<w:p>
<w:pPr><w:pStyle w:val="Normal"/></w:pPr>
<w:r><w:t xml:space="preserve">the Khari-nadi and the Jumna, and finally joins the Banganga</w:t></w:r>
</w:p>
<w:p>
<w:pPr><w:pStyle w:val="Normal"/></w:pPr>
<w:r><w:t xml:space="preserve">river about 20 m. below Agra.  Navigable branches connect</w:t></w:r>
</w:p>
<w:p>
<w:pPr><w:pStyle w:val="Normal"/></w:pPr>
<w:r><w:t xml:space="preserve">the canal with Muttra and Agra.  It was opened in 1874.</w:t></w:r>
</w:p>
<w:p>
<w:pPr><w:pStyle w:val="Normal"/></w:pPr>
<w:r><w:t xml:space="preserve">AGRAM (Hungarian Zagrab, Croatian Zagreb), the capital of</w:t></w:r>
</w:p>
<w:p>
<w:pPr><w:pStyle w:val="Normal"/></w:pPr>
<w:r><w:t xml:space="preserve">Croatia-Slavonia, and a royal free town of Hungary; pleasantly</w:t></w:r>
</w:p>
<w:p>
<w:pPr><w:pStyle w:val="Normal"/></w:pPr>
<w:r><w:t xml:space="preserve">situated between the north bank of the Save and the mountains</w:t></w:r>
</w:p>
<w:p>
<w:pPr><w:pStyle w:val="Normal"/></w:pPr>
<w:r><w:t xml:space="preserve">which culminate in Sljeme (3396 ft.); 187 m. by rail S. of</w:t></w:r>
</w:p>
<w:p>
<w:pPr><w:pStyle w:val="Normal"/></w:pPr>
<w:r><w:t xml:space="preserve">Vienna.  Pop. (1890) 38,742; (1900) 57,930, or with garrison</w:t></w:r>
</w:p>
<w:p>
<w:pPr><w:pStyle w:val="Normal"/></w:pPr>
<w:r><w:t xml:space="preserve">61,002.  Agram is the seat of the ban, or viceroy, of</w:t></w:r>
</w:p>
<w:p>
<w:pPr><w:pStyle w:val="Normal"/></w:pPr>
<w:r><w:t xml:space="preserve">Croatia-Slavonia, of the Banal and Septemviral courts, the</w:t></w:r>
</w:p>
<w:p>
<w:pPr><w:pStyle w:val="Normal"/></w:pPr>
<w:r><w:t xml:space="preserve">highest in the land, and of a chamber of commerce.  It is also</w:t></w:r>
</w:p>
<w:p>
<w:pPr><w:pStyle w:val="Normal"/></w:pPr>
<w:r><w:t xml:space="preserve">the meeting-place of the parliament; but local affairs are</w:t></w:r>
</w:p>
<w:p>
<w:pPr><w:pStyle w:val="Normal"/></w:pPr>
<w:r><w:t xml:space="preserve">conducted by a municipal council.  The city is divided into three</w:t></w:r>
</w:p>
<w:p>
<w:pPr><w:pStyle w:val="Normal"/></w:pPr>
<w:r><w:t xml:space="preserve">districts.  The Kapitel-Stadt, sometimes called the Bishop&apos;s</w:t></w:r>
</w:p>
<w:p>
<w:pPr><w:pStyle w:val="Normal"/></w:pPr>
<w:r><w:t xml:space="preserve">Town, with the palace of the Roman Catholic archbishop, and</w:t></w:r>
</w:p>
<w:p>
<w:pPr><w:pStyle w:val="Normal"/></w:pPr>
<w:r><w:t xml:space="preserve">his late Gothic cathedral, dating from the 15th century, lies</w:t></w:r>
</w:p>
<w:p>
<w:pPr><w:pStyle w:val="Normal"/></w:pPr>
<w:r><w:t xml:space="preserve">eastward of the Medvescak, a brook which flows into the</w:t></w:r>
</w:p>
<w:p>
<w:pPr><w:pStyle w:val="Normal"/></w:pPr>
<w:r><w:t xml:space="preserve">Save.  The Upper Town, on high ground west of the</w:t></w:r>
</w:p>
<w:p>
<w:pPr><w:pStyle w:val="Normal"/></w:pPr>
<w:r><w:t xml:space="preserve">Medvescak, contains the palace of the ban and the natural</w:t></w:r>
</w:p>
<w:p>
<w:pPr><w:pStyle w:val="Normal"/></w:pPr>
<w:r><w:t xml:space="preserve">history museum.  On the south, the Lower Town is separated</w:t></w:r>
</w:p>
<w:p>
<w:pPr><w:pStyle w:val="Normal"/></w:pPr>
<w:r><w:t xml:space="preserve">from the other districts by the Inca, a long street traversed</w:t></w:r>
</w:p>
<w:p>
<w:pPr><w:pStyle w:val="Normal"/></w:pPr>
<w:r><w:t xml:space="preserve">by a cable tramway.  In it are the business and industrial</w:t></w:r>
</w:p>
<w:p>
<w:pPr><w:pStyle w:val="Normal"/></w:pPr>
<w:r><w:t xml:space="preserve">quarters; the palace of justice; the academy of science, with</w:t></w:r>
</w:p>
<w:p>
<w:pPr><w:pStyle w:val="Normal"/></w:pPr>
<w:r><w:t xml:space="preserve">picture-galleries, a library and a collection of antiquities;</w:t></w:r>
</w:p>
<w:p>
<w:pPr><w:pStyle w:val="Normal"/></w:pPr>
<w:r><w:t xml:space="preserve">the theatre; the Franz Josef University, founded in 1874 to</w:t></w:r>
</w:p>
<w:p>
<w:pPr><w:pStyle w:val="Normal"/></w:pPr>
<w:r><w:t xml:space="preserve">teach theology, law and philosophy; the synagogue; and the</w:t></w:r>
</w:p>
<w:p>
<w:pPr><w:pStyle w:val="Normal"/></w:pPr>
<w:r><w:t xml:space="preserve">only Protestant church existing in the country at the beginning</w:t></w:r>
</w:p>
<w:p>
<w:pPr><w:pStyle w:val="Normal"/></w:pPr>
<w:r><w:t xml:space="preserve">of the 20th century.  Roman Catholic churches and schools are</w:t></w:r>
</w:p>
<w:p>
<w:pPr><w:pStyle w:val="Normal"/></w:pPr>
<w:r><w:t xml:space="preserve">numerous.  Besides the large Maximir park and botanical</w:t></w:r>
</w:p>
<w:p>
<w:pPr><w:pStyle w:val="Normal"/></w:pPr>
<w:r><w:t xml:space="preserve">gardens, many of the squares are planted with trees and adorned</w:t></w:r>
</w:p>
<w:p>
<w:pPr><w:pStyle w:val="Normal"/></w:pPr>
<w:r><w:t xml:space="preserve">with statues; while the whole city is surrounded by vineyards</w:t></w:r>
</w:p>
<w:p>
<w:pPr><w:pStyle w:val="Normal"/></w:pPr>
<w:r><w:t xml:space="preserve">and country houses.  Tobacco, leather, linen, carpets and</w:t></w:r>
</w:p>
<w:p>
<w:pPr><w:pStyle w:val="Normal"/></w:pPr>
<w:r><w:t xml:space="preserve">war-material are manufactured in Agram, which also contains</w:t></w:r>
</w:p>
<w:p>
<w:pPr><w:pStyle w:val="Normal"/></w:pPr>
<w:r><w:t xml:space="preserve">the works of the Hungarian state railways, and has a brisk</w:t></w:r>
</w:p>
<w:p>
<w:pPr><w:pStyle w:val="Normal"/></w:pPr>
<w:r><w:t xml:space="preserve">trade in grain, wine, potash, honey, silk and porcelain.</w:t></w:r>
</w:p>
<w:p>
<w:pPr><w:pStyle w:val="Normal"/></w:pPr>
<w:r><w:t xml:space="preserve">In 1094 Agram was founded by Ladislaus I. of Hungary, as the</w:t></w:r>
</w:p>
<w:p>
<w:pPr><w:pStyle w:val="Normal"/></w:pPr>
<w:r><w:t xml:space="preserve">seat of a bishop; and on the expulsion of its Mongol colony,</w:t></w:r>
</w:p>
<w:p>
<w:pPr><w:pStyle w:val="Normal"/></w:pPr>
<w:r><w:t xml:space="preserve">in 1242, it was raised to the rank of a royal free city.</w:t></w:r>
</w:p>
<w:p>
<w:pPr><w:pStyle w:val="Normal"/></w:pPr>
<w:r><w:t xml:space="preserve">For centuries a bitter feud raged between the Kapitel-Stadt</w:t></w:r>
</w:p>
<w:p>
<w:pPr><w:pStyle w:val="Normal"/></w:pPr>
<w:r><w:t xml:space="preserve">and the Upper Town, until these rivals were forced to join</w:t></w:r>
</w:p>
<w:p>
<w:pPr><w:pStyle w:val="Normal"/></w:pPr>
<w:r><w:t xml:space="preserve">hands against the Turks.  Agram, already the political</w:t></w:r>
</w:p>
<w:p>
<w:pPr><w:pStyle w:val="Normal"/></w:pPr>
<w:r><w:t xml:space="preserve">centre of Croatia-Slavonia, was selected as the capital in</w:t></w:r>
</w:p>
<w:p>
<w:pPr><w:pStyle w:val="Normal"/></w:pPr>
<w:r><w:t xml:space="preserve">1867.  It suffered severely from earthquake in 1880 and 1901.</w:t></w:r>
</w:p>
<w:p>
<w:pPr><w:pStyle w:val="Normal"/></w:pPr>
<w:r><w:t xml:space="preserve">AGRAPHA (i.e. ``unwritten&apos;&apos;), the name given to certain</w:t></w:r>
</w:p>
<w:p>
<w:pPr><w:pStyle w:val="Normal"/></w:pPr>
<w:r><w:t xml:space="preserve">utterances ascribed, with some degree of certainty, to</w:t></w:r>
</w:p>
<w:p>
<w:pPr><w:pStyle w:val="Normal"/></w:pPr>
<w:r><w:t xml:space="preserve">Jesus, which have been preserved in documents other than</w:t></w:r>
</w:p>
<w:p>
<w:pPr><w:pStyle w:val="Normal"/></w:pPr>
<w:r><w:t xml:space="preserve">the Gospels, e.g. Acts xx. 35; 1 Tim. v. 18; 1 Cor. vii.</w:t></w:r>
</w:p>
<w:p>
<w:pPr><w:pStyle w:val="Normal"/></w:pPr>
<w:r><w:t xml:space="preserve">10-12, and the Logia (q.v.) discovered in 1897 and 1903 at</w:t></w:r>
</w:p>
<w:p>
<w:pPr><w:pStyle w:val="Normal"/></w:pPr>
<w:r><w:t xml:space="preserve">Oxyrhyncus.  Two interesting examples of such sayings may</w:t></w:r>
</w:p>
<w:p>
<w:pPr><w:pStyle w:val="Normal"/></w:pPr>
<w:r><w:t xml:space="preserve">be quoted: (1) ``That which is weak shall be saved by that</w:t></w:r>
</w:p>
<w:p>
<w:pPr><w:pStyle w:val="Normal"/></w:pPr>
<w:r><w:t xml:space="preserve">which is strong&apos;&apos;; (2) ``Jesus, on whom be peace, has said:</w:t></w:r>
</w:p>
<w:p>
<w:pPr><w:pStyle w:val="Normal"/></w:pPr>
<w:r><w:t xml:space="preserve">`The world is merely a bridge; ye are to pass over it,</w:t></w:r>
</w:p>
<w:p>
<w:pPr><w:pStyle w:val="Normal"/></w:pPr>
<w:r><w:t xml:space="preserve">and not to build your dwellings upon it.&apos;&apos;&apos; The first of</w:t></w:r>
</w:p>
<w:p>
<w:pPr><w:pStyle w:val="Normal"/></w:pPr>
<w:r><w:t xml:space="preserve">these is from the Apostolic Canons (c. A.D. 300), the</w:t></w:r>
</w:p>
<w:p>
<w:pPr><w:pStyle w:val="Normal"/></w:pPr>
<w:r><w:t xml:space="preserve">second was found by the missionary Alexander Duff inscribed</w:t></w:r>
</w:p>
<w:p>
<w:pPr><w:pStyle w:val="Normal"/></w:pPr>
<w:r><w:t xml:space="preserve">in Arabic on the gateway of the mosque at Fatehpur Sikri.</w:t></w:r>
</w:p>
<w:p>
<w:pPr><w:pStyle w:val="Normal"/></w:pPr>
<w:r><w:t xml:space="preserve">The earliest modern collection of such sayings was by</w:t></w:r>
</w:p>
<w:p>
<w:pPr><w:pStyle w:val="Normal"/></w:pPr>
<w:r><w:t xml:space="preserve">Cotelerius, Ecclesiae Graecae Monumenta (1677-1688), followed</w:t></w:r>
</w:p>
<w:p>
<w:pPr><w:pStyle w:val="Normal"/></w:pPr>
<w:r><w:t xml:space="preserve">by J. E. Grabe, Spicelegium (1698 and 1700), and J. B.</w:t></w:r>
</w:p>
<w:p>
<w:pPr><w:pStyle w:val="Normal"/></w:pPr>
<w:r><w:t xml:space="preserve">Fabricius, Codex Apocryph. N. T. (2nd ed., 1719).  See</w:t></w:r>
</w:p>
<w:p>
<w:pPr><w:pStyle w:val="Normal"/></w:pPr>
<w:r><w:t xml:space="preserve">also A. Resch, Agrapha (Leipzig, 1889); J. H. Ropes, Die</w:t></w:r>
</w:p>
<w:p>
<w:pPr><w:pStyle w:val="Normal"/></w:pPr>
<w:r><w:t xml:space="preserve">Spruche Jesu (Leipzig, 1896); and the article ``Sayings&apos;&apos;</w:t></w:r>
</w:p>
<w:p>
<w:pPr><w:pStyle w:val="Normal"/></w:pPr>
<w:r><w:t xml:space="preserve">in J. Hastings&apos; Dictionary of Christ and the Gospels.</w:t></w:r>
</w:p>
<w:p>
<w:pPr><w:pStyle w:val="Normal"/></w:pPr>
<w:r><w:t xml:space="preserve">AGRARIAN LAWS (Lat. ager, land).  Under this heading we deal</w:t></w:r>
</w:p>
<w:p>
<w:pPr><w:pStyle w:val="Normal"/></w:pPr>
<w:r><w:t xml:space="preserve">with the disposal of the public land (ager publicus) of ancient</w:t></w:r>
</w:p>
<w:p>
<w:pPr><w:pStyle w:val="Normal"/></w:pPr>
<w:r><w:t xml:space="preserve">Rome.  It was a principle of the Republican constitution</w:t></w:r>
</w:p>
<w:p>
<w:pPr><w:pStyle w:val="Normal"/></w:pPr>
<w:r><w:t xml:space="preserve">that no gratuitous disposition of state property should be</w:t></w:r>
</w:p>
<w:p>
<w:pPr><w:pStyle w:val="Normal"/></w:pPr>
<w:r><w:t xml:space="preserve">made without the consent of the people.  Hence many of the</w:t></w:r>
</w:p>
<w:p>
<w:pPr><w:pStyle w:val="Normal"/></w:pPr>
<w:r><w:t xml:space="preserve">ordinances affecting the public land were laws (leges)</w:t></w:r>
</w:p>
<w:p>
<w:pPr><w:pStyle w:val="Normal"/></w:pPr>
<w:r><w:t xml:space="preserve">in the strictest sense of that word.  It is, however, both</w:t></w:r>
</w:p>
<w:p>
<w:pPr><w:pStyle w:val="Normal"/></w:pPr>
<w:r><w:t xml:space="preserve">justifiable and convenient to consider in this article all</w:t></w:r>
</w:p>
<w:p>
<w:pPr><w:pStyle w:val="Normal"/></w:pPr>
<w:r><w:t xml:space="preserve">the regulations that were made for the administration of</w:t></w:r>
</w:p>
<w:p>
<w:pPr><w:pStyle w:val="Normal"/></w:pPr>
<w:r><w:t xml:space="preserve">the public land by the executive authorities, as well as by</w:t></w:r>
</w:p>
<w:p>
<w:pPr><w:pStyle w:val="Normal"/></w:pPr>
<w:r><w:t xml:space="preserve">the people during the Republic, and by the commands of the</w:t></w:r>
</w:p>
<w:p>
<w:pPr><w:pStyle w:val="Normal"/></w:pPr>
<w:r><w:t xml:space="preserve">emperor, which had the force of law during the Principate.</w:t></w:r>
</w:p>
<w:p>
<w:pPr><w:pStyle w:val="Normal"/></w:pPr>
<w:r><w:t xml:space="preserve">The existence of public land, first in Italy, and then</w:t></w:r>
</w:p>
<w:p>
<w:pPr><w:pStyle w:val="Normal"/></w:pPr>
<w:r><w:t xml:space="preserve">in the Mediterranean world, was the outcome of two ideas</w:t></w:r>
</w:p>
<w:p>
<w:pPr><w:pStyle w:val="Normal"/></w:pPr>
<w:r><w:t xml:space="preserve">which are very familiar to students of antiquity.  This</w:t></w:r>
</w:p>
<w:p>
<w:pPr><w:pStyle w:val="Normal"/></w:pPr>
<w:r><w:t xml:space="preserve">land was the prize of conquest and was one of the means of</w:t></w:r>
</w:p>
<w:p>
<w:pPr><w:pStyle w:val="Normal"/></w:pPr>
<w:r><w:t xml:space="preserve">defraying the current expenses of state-administration.</w:t></w:r>
</w:p>
<w:p>
<w:pPr><w:pStyle w:val="Normal"/></w:pPr>
<w:r><w:t xml:space="preserve">For the latter purpose land is often leased or allowed to</w:t></w:r>
</w:p>
<w:p>
<w:pPr><w:pStyle w:val="Normal"/></w:pPr>
<w:r><w:t xml:space="preserve">be occupied on the condition of the payment of dues.  But it</w:t></w:r>
</w:p>
<w:p>
<w:pPr><w:pStyle w:val="Normal"/></w:pPr>
<w:r><w:t xml:space="preserve">may be made to fulfil another purpose as well--this purpose</w:t></w:r>
</w:p>
<w:p>
<w:pPr><w:pStyle w:val="Normal"/></w:pPr>
<w:r><w:t xml:space="preserve">being the satisfaction of the individual needs of poorer</w:t></w:r>
</w:p>
<w:p>
<w:pPr><w:pStyle w:val="Normal"/></w:pPr>
<w:r><w:t xml:space="preserve">citizens.  To meet this object the land is usually assigned,</w:t></w:r>
</w:p>
<w:p>
<w:pPr><w:pStyle w:val="Normal"/></w:pPr>
<w:r><w:t xml:space="preserve">and on assignment generally ceases to be the property of the</w:t></w:r>
</w:p>
<w:p>
<w:pPr><w:pStyle w:val="Normal"/></w:pPr>
<w:r><w:t xml:space="preserve">state.  But it often happens that the state is not wholly</w:t></w:r>
</w:p>
<w:p>
<w:pPr><w:pStyle w:val="Normal"/></w:pPr>
<w:r><w:t xml:space="preserve">disinterested in undertaking such acts of assignment.  It</w:t></w:r>
</w:p>
<w:p>
<w:pPr><w:pStyle w:val="Normal"/></w:pPr>
<w:r><w:t xml:space="preserve">gains security and territorial control by planting garrisons</w:t></w:r>
</w:p>
<w:p>
<w:pPr><w:pStyle w:val="Normal"/></w:pPr>
<w:r><w:t xml:space="preserve">in conquered country, and it relieves itself of the necessity</w:t></w:r>
</w:p>
<w:p>
<w:pPr><w:pStyle w:val="Normal"/></w:pPr>
<w:r><w:t xml:space="preserve">of providing for its poorer classes whether by state-aid</w:t></w:r>
</w:p>
<w:p>
<w:pPr><w:pStyle w:val="Normal"/></w:pPr>
<w:r><w:t xml:space="preserve">or by a hazardous tampering with the rights of private</w:t></w:r>
</w:p>
<w:p>
<w:pPr><w:pStyle w:val="Normal"/></w:pPr>
<w:r><w:t xml:space="preserve">property.  In this use to which public land could be turned</w:t></w:r>
</w:p>
<w:p>
<w:pPr><w:pStyle w:val="Normal"/></w:pPr>
<w:r><w:t xml:space="preserve">we see at once the connexion between agrarian legislation</w:t></w:r>
</w:p>
<w:p>
<w:pPr><w:pStyle w:val="Normal"/></w:pPr>
<w:r><w:t xml:space="preserve">and colonization--a connexion which was so close that</w:t></w:r>
</w:p>
<w:p>
<w:pPr><w:pStyle w:val="Normal"/></w:pPr>
<w:r><w:t xml:space="preserve">when a Roman spoke of an agrarian law he seems generally</w:t></w:r>
</w:p>
<w:p>
<w:pPr><w:pStyle w:val="Normal"/></w:pPr>
<w:r><w:t xml:space="preserve">to have understood by it a law establishing a colony--and</w:t></w:r>
</w:p>
<w:p>
<w:pPr><w:pStyle w:val="Normal"/></w:pPr>
<w:r><w:t xml:space="preserve">also the two aspects of colonization, the military and the</w:t></w:r>
</w:p>
<w:p>
<w:pPr><w:pStyle w:val="Normal"/></w:pPr>
<w:r><w:t xml:space="preserve">social.  These two objects were indissolubly connected</w:t></w:r>
</w:p>
<w:p>
<w:pPr><w:pStyle w:val="Normal"/></w:pPr>
<w:r><w:t xml:space="preserve">throughout the whole of the earlier period of Roman agrarian</w:t></w:r>
</w:p>
<w:p>
<w:pPr><w:pStyle w:val="Normal"/></w:pPr>
<w:r><w:t xml:space="preserve">assignation.  They only became separated in the period subsequent</w:t></w:r>
</w:p>
<w:p>
<w:pPr><w:pStyle w:val="Normal"/></w:pPr>
<w:r><w:t xml:space="preserve">to the Gracchi in so far as social motives still continued</w:t></w:r>
</w:p>
<w:p>
<w:pPr><w:pStyle w:val="Normal"/></w:pPr>
<w:r><w:t xml:space="preserve">to be operative when military precautions had ceased to be</w:t></w:r>
</w:p>
<w:p>
<w:pPr><w:pStyle w:val="Normal"/></w:pPr>
<w:r><w:t xml:space="preserve">necessary.  It is probable that one of the chief motives</w:t></w:r>
</w:p>
<w:p>
<w:pPr><w:pStyle w:val="Normal"/></w:pPr>
<w:r><w:t xml:space="preserve">which prompted infant Rome to war with her neighbours was</w:t></w:r>
</w:p>
<w:p>
<w:pPr><w:pStyle w:val="Normal"/></w:pPr>
<w:r><w:t xml:space="preserve">the land-hunger of her citizens.  This hunger she satisfied</w:t></w:r>
</w:p>
<w:p>
<w:pPr><w:pStyle w:val="Normal"/></w:pPr>
<w:r><w:t xml:space="preserve">after conquest by annexing a portion of the enemy&apos;s</w:t></w:r>
</w:p>
<w:p>
<w:pPr><w:pStyle w:val="Normal"/></w:pPr>
<w:r><w:t xml:space="preserve">territory.  The amount thus confiscated varied from time to</w:t></w:r>
</w:p>
<w:p>
<w:pPr><w:pStyle w:val="Normal"/></w:pPr>
<w:r><w:t xml:space="preserve">time.  It was usually a third, but sometimes a half or even</w:t></w:r>
</w:p>
<w:p>
<w:pPr><w:pStyle w:val="Normal"/></w:pPr>
<w:r><w:t xml:space="preserve">two-thirds, and after the fall of Capua in the Second Punic</w:t></w:r>
</w:p>
<w:p>
<w:pPr><w:pStyle w:val="Normal"/></w:pPr>
<w:r><w:t xml:space="preserve">War the whole territory of the state was annexed.  It is</w:t></w:r>
</w:p>
<w:p>
<w:pPr><w:pStyle w:val="Normal"/></w:pPr>
<w:r><w:t xml:space="preserve">possible that by the close of the 2nd century B.C. one-half</w:t></w:r>
</w:p>
<w:p>
<w:pPr><w:pStyle w:val="Normal"/></w:pPr>
<w:r><w:t xml:space="preserve">of the land of Italy belonged to Rome whether in private</w:t></w:r>
</w:p>
<w:p>
<w:pPr><w:pStyle w:val="Normal"/></w:pPr>
<w:r><w:t xml:space="preserve">ownership or as the property of the state.  Annexation was</w:t></w:r>
</w:p>
<w:p>
<w:pPr><w:pStyle w:val="Normal"/></w:pPr>
<w:r><w:t xml:space="preserve">carried on in the provinces on a relatively smaller scale:</w:t></w:r>
</w:p>
<w:p>
<w:pPr><w:pStyle w:val="Normal"/></w:pPr>
<w:r><w:t xml:space="preserve">but Rome retained as domain-land much of the territory of</w:t></w:r>
</w:p>
<w:p>
<w:pPr><w:pStyle w:val="Normal"/></w:pPr>
<w:r><w:t xml:space="preserve">communities which had been destroyed, such as Carthage and</w:t></w:r>
</w:p>
<w:p>
<w:pPr><w:pStyle w:val="Normal"/></w:pPr>
<w:r><w:t xml:space="preserve">Corinth, and the estates of former kings, such as the lands</w:t></w:r>
</w:p>
<w:p>
<w:pPr><w:pStyle w:val="Normal"/></w:pPr>
<w:r><w:t xml:space="preserve">of the Attalids in the Chersonese.  Other domains in Sicily</w:t></w:r>
</w:p>
<w:p>
<w:pPr><w:pStyle w:val="Normal"/></w:pPr>
<w:r><w:t xml:space="preserve">and Greece, such as the territory of Leontini in the former,</w:t></w:r>
</w:p>
<w:p>
<w:pPr><w:pStyle w:val="Normal"/></w:pPr>
<w:r><w:t xml:space="preserve">or Oropus in the latter case, are also found.  This peculiar</w:t></w:r>
</w:p>
<w:p>
<w:pPr><w:pStyle w:val="Normal"/></w:pPr>
<w:r><w:t xml:space="preserve">property of the Roman state in the provinces must be carefully</w:t></w:r>
</w:p>
<w:p>
<w:pPr><w:pStyle w:val="Normal"/></w:pPr>
<w:r><w:t xml:space="preserve">distinguished from the general overlordship which Rome was</w:t></w:r>
</w:p>
<w:p>
<w:pPr><w:pStyle w:val="Normal"/></w:pPr>
<w:r><w:t xml:space="preserve">supposed to hold over all provincial soil, expressed in the</w:t></w:r>
</w:p>
<w:p>
<w:pPr><w:pStyle w:val="Normal"/></w:pPr>
<w:r><w:t xml:space="preserve">statement that provincials had only possession or usufruct</w:t></w:r>
</w:p>
<w:p>
<w:pPr><w:pStyle w:val="Normal"/></w:pPr>
<w:r><w:t xml:space="preserve">of their land (Gaius ii. 7; Gromatici, p. 36, Lachmann).</w:t></w:r>
</w:p>
<w:p>
<w:pPr><w:pStyle w:val="Normal"/></w:pPr>
<w:r><w:t xml:space="preserve">This overlordship was probably merely a legal fiction by which</w:t></w:r>
</w:p>
<w:p>
<w:pPr><w:pStyle w:val="Normal"/></w:pPr>
<w:r><w:t xml:space="preserve">the juristic mind assigned a reason for the fact that the</w:t></w:r>
</w:p>
<w:p>
<w:pPr><w:pStyle w:val="Normal"/></w:pPr>
<w:r><w:t xml:space="preserve">provincials paid a land tax from which Italians were exempt.</w:t></w:r>
</w:p>
<w:p>
<w:pPr><w:pStyle w:val="Normal"/></w:pPr>
<w:r><w:t xml:space="preserve">Such portions of the territories of conquered cities as were</w:t></w:r>
</w:p>
<w:p>
<w:pPr><w:pStyle w:val="Normal"/></w:pPr>
<w:r><w:t xml:space="preserve">not claimed by Rome were as a matter of course left in the</w:t></w:r>
</w:p>
<w:p>
<w:pPr><w:pStyle w:val="Normal"/></w:pPr>
<w:r><w:t xml:space="preserve">undisturbed possession of these cities.  If the city was</w:t></w:r>
</w:p>
<w:p>
<w:pPr><w:pStyle w:val="Normal"/></w:pPr>
<w:r><w:t xml:space="preserve">a federate state (civitas foederata), his possession was</w:t></w:r>
</w:p>
<w:p>
<w:pPr><w:pStyle w:val="Normal"/></w:pPr>
<w:r><w:t xml:space="preserve">guaranteed by a treaty; if it was a free city, the guarantee</w:t></w:r>
</w:p>
<w:p>
<w:pPr><w:pStyle w:val="Normal"/></w:pPr>
<w:r><w:t xml:space="preserve">was made by charter; if it was neither federate nor free, the</w:t></w:r>
</w:p>
<w:p>
<w:pPr><w:pStyle w:val="Normal"/></w:pPr>
<w:r><w:t xml:space="preserve">abandonment of the territory by Rome must have been taken as a</w:t></w:r>
</w:p>
<w:p>
<w:pPr><w:pStyle w:val="Normal"/></w:pPr>
<w:r><w:t xml:space="preserve">sufficient guarantee of the city&apos;s right to possess, although</w:t></w:r>
</w:p>
<w:p>
<w:pPr><w:pStyle w:val="Normal"/></w:pPr>
<w:r><w:t xml:space="preserve">statements relative to the surrender may have been contained</w:t></w:r>
</w:p>
<w:p>
<w:pPr><w:pStyle w:val="Normal"/></w:pPr>
<w:r><w:t xml:space="preserve">in the charter of the province (lex provinciae) to which</w:t></w:r>
</w:p>
<w:p>
<w:pPr><w:pStyle w:val="Normal"/></w:pPr>
<w:r><w:t xml:space="preserve">the city belonged.  But, whether the states were federate,</w:t></w:r>
</w:p>
<w:p>
<w:pPr><w:pStyle w:val="Normal"/></w:pPr>
<w:r><w:t xml:space="preserve">free or stipendiary, there was only one case in which it was</w:t></w:r>
</w:p>
<w:p>
<w:pPr><w:pStyle w:val="Normal"/></w:pPr>
<w:r><w:t xml:space="preserve">important to specify precisely that land had been restored</w:t></w:r>
</w:p>
<w:p>
<w:pPr><w:pStyle w:val="Normal"/></w:pPr>
<w:r><w:t xml:space="preserve">(redditus) to its former occupants.  This was the case where</w:t></w:r>
</w:p>
<w:p>
<w:pPr><w:pStyle w:val="Normal"/></w:pPr>
<w:r><w:t xml:space="preserve">Rome had marked out a territory for assignment to her own</w:t></w:r>
</w:p>
<w:p>
<w:pPr><w:pStyle w:val="Normal"/></w:pPr>
<w:r><w:t xml:space="preserve">citizens, but where in or near the limits of the assignment</w:t></w:r>
</w:p>
<w:p>
<w:pPr><w:pStyle w:val="Normal"/></w:pPr>
<w:r><w:t xml:space="preserve">some of the land had been left in the hands or its former</w:t></w:r>
</w:p>
<w:p>
<w:pPr><w:pStyle w:val="Normal"/></w:pPr>
<w:r><w:t xml:space="preserve">proprietors.  Such land was noted in the state registers as</w:t></w:r>
</w:p>
<w:p>
<w:pPr><w:pStyle w:val="Normal"/></w:pPr>
<w:r><w:t xml:space="preserve">redditus veteri possessori. Sometimes it was found that such</w:t></w:r>
</w:p>
<w:p>
<w:pPr><w:pStyle w:val="Normal"/></w:pPr>
<w:r><w:t xml:space="preserve">an ancient possessor owned pieces of land separated from one</w:t></w:r>
</w:p>
<w:p>
<w:pPr><w:pStyle w:val="Normal"/></w:pPr>
<w:r><w:t xml:space="preserve">another.  In such cases an exchange might be effected between</w:t></w:r>
</w:p>
<w:p>
<w:pPr><w:pStyle w:val="Normal"/></w:pPr>
<w:r><w:t xml:space="preserve">him and some other possessor, so that his possessions might be</w:t></w:r>
</w:p>
<w:p>
<w:pPr><w:pStyle w:val="Normal"/></w:pPr>
<w:r><w:t xml:space="preserve">continuous.  The fact of such an exchange was symbolized in the</w:t></w:r>
</w:p>
<w:p>
<w:pPr><w:pStyle w:val="Normal"/></w:pPr>
<w:r><w:t xml:space="preserve">registers by the entry of land redditus et commutatus pro suo.</w:t></w:r>
</w:p>
<w:p>
<w:pPr><w:pStyle w:val="Normal"/></w:pPr>
<w:r><w:t xml:space="preserve">When the claims of earlier owners had been satisfied, the</w:t></w:r>
</w:p>
<w:p>
<w:pPr><w:pStyle w:val="Normal"/></w:pPr>
<w:r><w:t xml:space="preserve">state proceeded to deal with such land as it retained.  It</w:t></w:r>
</w:p>
<w:p>
<w:pPr><w:pStyle w:val="Normal"/></w:pPr>
<w:r><w:t xml:space="preserve">dealt with it in two ways.  It either alienated it, whether</w:t></w:r>
</w:p>
<w:p>
<w:pPr><w:pStyle w:val="Normal"/></w:pPr>
<w:r><w:t xml:space="preserve">in exchange for a price or gratuitously; or it kept it as a</w:t></w:r>
</w:p>
<w:p>
<w:pPr><w:pStyle w:val="Normal"/></w:pPr>
<w:r><w:t xml:space="preserve">source of revenue, whether on a system of lease or on some</w:t></w:r>
</w:p>
<w:p>
<w:pPr><w:pStyle w:val="Normal"/></w:pPr>
<w:r><w:t xml:space="preserve">system of remunerative occupation.  We may first consider</w:t></w:r>
</w:p>
<w:p>
<w:pPr><w:pStyle w:val="Normal"/></w:pPr>
<w:r><w:t xml:space="preserve">the cases in which the state decided to alienate.  The land</w:t></w:r>
</w:p>
<w:p>
<w:pPr><w:pStyle w:val="Normal"/></w:pPr>
<w:r><w:t xml:space="preserve">might be sold for the benefit of the treasury.  Typical</w:t></w:r>
</w:p>
<w:p>
<w:pPr><w:pStyle w:val="Normal"/></w:pPr>
<w:r><w:t xml:space="preserve">instances of this treatment are furnished by the sale of</w:t></w:r>
</w:p>
<w:p>
<w:pPr><w:pStyle w:val="Normal"/></w:pPr>
<w:r><w:t xml:space="preserve">some Campanian land during the Second Punic War (Livy xxviii.</w:t></w:r>
</w:p>
<w:p>
<w:pPr><w:pStyle w:val="Normal"/></w:pPr>
<w:r><w:t xml:space="preserve">46, xxxii. 7). The censors may have directed the sale, but</w:t></w:r>
</w:p>
<w:p>
<w:pPr><w:pStyle w:val="Normal"/></w:pPr>
<w:r><w:t xml:space="preserve">it was executed by the quaestors as the regular officials</w:t></w:r>
</w:p>
<w:p>
<w:pPr><w:pStyle w:val="Normal"/></w:pPr>
<w:r><w:t xml:space="preserve">of the treasury.  Hence such land was described as ager</w:t></w:r>
</w:p>
<w:p>
<w:pPr><w:pStyle w:val="Normal"/></w:pPr>
<w:r><w:t xml:space="preserve">quaestorius. The land was sold in definitely marked out</w:t></w:r>
</w:p>
<w:p>
<w:pPr><w:pStyle w:val="Normal"/></w:pPr>
<w:r><w:t xml:space="preserve">plots, and we must suppose that, as a rule, when this sale</w:t></w:r>
</w:p>
<w:p>
<w:pPr><w:pStyle w:val="Normal"/></w:pPr>
<w:r><w:t xml:space="preserve">had been effected, the lots fell under the absolute ownership</w:t></w:r>
</w:p>
<w:p>
<w:pPr><w:pStyle w:val="Normal"/></w:pPr>
<w:r><w:t xml:space="preserve">of their purchasers.  Yet there was some period of Roman</w:t></w:r>
</w:p>
<w:p>
<w:pPr><w:pStyle w:val="Normal"/></w:pPr>
<w:r><w:t xml:space="preserve">history when this ownership was (at least in certain cases)</w:t></w:r>
</w:p>
<w:p>
<w:pPr><w:pStyle w:val="Normal"/></w:pPr>
<w:r><w:t xml:space="preserve">conditioned.  The Roman writers on agriculture speak of</w:t></w:r>
</w:p>
<w:p>
<w:pPr><w:pStyle w:val="Normal"/></w:pPr>
<w:r><w:t xml:space="preserve">conditions and their neglect (Gromatici, p. 115).  The</w:t></w:r>
</w:p>
<w:p>
<w:pPr><w:pStyle w:val="Normal"/></w:pPr>
<w:r><w:t xml:space="preserve">conditions were probably those of military service or frontier</w:t></w:r>
</w:p>
<w:p>
<w:pPr><w:pStyle w:val="Normal"/></w:pPr>
<w:r><w:t xml:space="preserve">defence.  The epoch of history at which this conditioned</w:t></w:r>
</w:p>
<w:p>
<w:pPr><w:pStyle w:val="Normal"/></w:pPr>
<w:r><w:t xml:space="preserve">ownership was recognized cannot be determined.  It is a form</w:t></w:r>
</w:p>
<w:p>
<w:pPr><w:pStyle w:val="Normal"/></w:pPr>
<w:r><w:t xml:space="preserve">of tenure that would be equally appropriate to the needs of the</w:t></w:r>
</w:p>
<w:p>
<w:pPr><w:pStyle w:val="Normal"/></w:pPr>
<w:r><w:t xml:space="preserve">earliest period of Roman history and to those of imperial times.</w:t></w:r>
</w:p>
<w:p>
<w:pPr><w:pStyle w:val="Normal"/></w:pPr>
<w:r><w:t xml:space="preserve">The second mode of alienation was that by assignation.  Lands</w:t></w:r>
</w:p>
<w:p>
<w:pPr><w:pStyle w:val="Normal"/></w:pPr>
<w:r><w:t xml:space="preserve">thus assigned were known as agri dati assignati. The gift</w:t></w:r>
</w:p>
<w:p>
<w:pPr><w:pStyle w:val="Normal"/></w:pPr>
<w:r><w:t xml:space="preserve">on the part of the state was gratuitous, and ownership passed</w:t></w:r>
</w:p>
<w:p>
<w:pPr><w:pStyle w:val="Normal"/></w:pPr>
<w:r><w:t xml:space="preserve">wholly to the assignee.  The land so given was definitely</w:t></w:r>
</w:p>
<w:p>
<w:pPr><w:pStyle w:val="Normal"/></w:pPr>
<w:r><w:t xml:space="preserve">surveyed, marked out and registered.  Such an assignment</w:t></w:r>
</w:p>
<w:p>
<w:pPr><w:pStyle w:val="Normal"/></w:pPr>
<w:r><w:t xml:space="preserve">might take one of two possible forms.  It might be the</w:t></w:r>
</w:p>
<w:p>
<w:pPr><w:pStyle w:val="Normal"/></w:pPr>
<w:r><w:t xml:space="preserve">means of establishing a new ``plantation&apos;&apos; (colonia), with</w:t></w:r>
</w:p>
<w:p>
<w:pPr><w:pStyle w:val="Normal"/></w:pPr>
<w:r><w:t xml:space="preserve">some independent political organization of its own, however</w:t></w:r>
</w:p>
<w:p>
<w:pPr><w:pStyle w:val="Normal"/></w:pPr>
<w:r><w:t xml:space="preserve">slight--a settlement, therefore, which could be thought of as</w:t></w:r>
</w:p>
<w:p>
<w:pPr><w:pStyle w:val="Normal"/></w:pPr>
<w:r><w:t xml:space="preserve">an entity separate from the city of Rome and from any other</w:t></w:r>
</w:p>
<w:p>
<w:pPr><w:pStyle w:val="Normal"/></w:pPr>
<w:r><w:t xml:space="preserve">municipality.  Or it might be the means of providing allotments</w:t></w:r>
</w:p>
<w:p>
<w:pPr><w:pStyle w:val="Normal"/></w:pPr>
<w:r><w:t xml:space="preserve">for individuals who remained domiciled at Rome or continued</w:t></w:r>
</w:p>
<w:p>
<w:pPr><w:pStyle w:val="Normal"/></w:pPr>
<w:r><w:t xml:space="preserve">to be members of some already existing municipality.  It has</w:t></w:r>
</w:p>
<w:p>
<w:pPr><w:pStyle w:val="Normal"/></w:pPr>
<w:r><w:t xml:space="preserve">been frequently held in modern times that this latter method of</w:t></w:r>
</w:p>
<w:p>
<w:pPr><w:pStyle w:val="Normal"/></w:pPr>
<w:r><w:t xml:space="preserve">assignment is the one which our ancient authorities describe as</w:t></w:r>
</w:p>
<w:p>
<w:pPr><w:pStyle w:val="Normal"/></w:pPr>
<w:r><w:t xml:space="preserve">assignment to individuals (viritim), and that the antithesis</w:t></w:r>
</w:p>
<w:p>
<w:pPr><w:pStyle w:val="Normal"/></w:pPr>
<w:r><w:t xml:space="preserve">lies between the ``colonial&apos;&apos; and the ``viritane&apos;&apos; method of</w:t></w:r>
</w:p>
<w:p>
<w:pPr><w:pStyle w:val="Normal"/></w:pPr>
<w:r><w:t xml:space="preserve">distribution.  It is true that the passages which speak of</w:t></w:r>
</w:p>
<w:p>
<w:pPr><w:pStyle w:val="Normal"/></w:pPr>
<w:r><w:t xml:space="preserve">the latter mode of assignation need not, and perhaps cannot,</w:t></w:r>
</w:p>
<w:p>
<w:pPr><w:pStyle w:val="Normal"/></w:pPr>
<w:r><w:t xml:space="preserve">be interpreted as presenting the antithesis (Varro, de Re</w:t></w:r>
</w:p>
<w:p>
<w:pPr><w:pStyle w:val="Normal"/></w:pPr>
<w:r><w:t xml:space="preserve">Rustica, i. 2. 7, i. 10. 2; Livy iv. 48, v. 24; Festus, p.</w:t></w:r>
</w:p>
<w:p>
<w:pPr><w:pStyle w:val="Normal"/></w:pPr>
<w:r><w:t xml:space="preserve">373; Gromatici, pp. 154, 160); yet it is not improbable</w:t></w:r>
</w:p>
<w:p>
<w:pPr><w:pStyle w:val="Normal"/></w:pPr>
<w:r><w:t xml:space="preserve">that the antithesis is latent in this specific use of the</w:t></w:r>
</w:p>
<w:p>
<w:pPr><w:pStyle w:val="Normal"/></w:pPr>
<w:r><w:t xml:space="preserve">term.  It seems clear that the idea of assignation to, and,</w:t></w:r>
</w:p>
<w:p>
<w:pPr><w:pStyle w:val="Normal"/></w:pPr>
<w:r><w:t xml:space="preserve">therefore, of ownership by, individuals must originally have</w:t></w:r>
</w:p>
<w:p>
<w:pPr><w:pStyle w:val="Normal"/></w:pPr>
<w:r><w:t xml:space="preserve">been developed in contrast to the idea of ownership by some</w:t></w:r>
</w:p>
<w:p>
<w:pPr><w:pStyle w:val="Normal"/></w:pPr>
<w:r><w:t xml:space="preserve">larger group (see ROMAN LAW).  When the stage of individual</w:t></w:r>
</w:p>
<w:p>
<w:pPr><w:pStyle w:val="Normal"/></w:pPr>
<w:r><w:t xml:space="preserve">ownership was reached, all assignation was ``viritane,&apos;&apos; but</w:t></w:r>
</w:p>
<w:p>
<w:pPr><w:pStyle w:val="Normal"/></w:pPr>
<w:r><w:t xml:space="preserve">only some assignation was ``colonial.&apos;&apos; ``Viritane&apos;&apos; was,</w:t></w:r>
</w:p>
<w:p>
<w:pPr><w:pStyle w:val="Normal"/></w:pPr>
<w:r><w:t xml:space="preserve">therefore, the wider term which would cover, and may sometimes</w:t></w:r>
</w:p>
<w:p>
<w:pPr><w:pStyle w:val="Normal"/></w:pPr>
<w:r><w:t xml:space="preserve">have been used specially to denote, the system of non-colonial</w:t></w:r>
</w:p>
<w:p>
<w:pPr><w:pStyle w:val="Normal"/></w:pPr>
<w:r><w:t xml:space="preserve">assignment.  The amount granted to individuals in assignments</w:t></w:r>
</w:p>
<w:p>
<w:pPr><w:pStyle w:val="Normal"/></w:pPr>
<w:r><w:t xml:space="preserve">of both types varied from time to time.  It was reckoned in</w:t></w:r>
</w:p>
<w:p>
<w:pPr><w:pStyle w:val="Normal"/></w:pPr>
<w:r><w:t xml:space="preserve">terms of the jugerum, which was approximately  5/8 of an English</w:t></w:r>
</w:p>
<w:p>
<w:pPr><w:pStyle w:val="Normal"/></w:pPr>
<w:r><w:t xml:space="preserve">acre.  The earliest and smallest assignment was 2 jugera--an</w:t></w:r>
</w:p>
<w:p>
<w:pPr><w:pStyle w:val="Normal"/></w:pPr>
<w:r><w:t xml:space="preserve">amount so small that it seems to presuppose on the part of</w:t></w:r>
</w:p>
<w:p>
<w:pPr><w:pStyle w:val="Normal"/></w:pPr>
<w:r><w:t xml:space="preserve">the recipient some share in common or gentile property or</w:t></w:r>
</w:p>
<w:p>
<w:pPr><w:pStyle w:val="Normal"/></w:pPr>
<w:r><w:t xml:space="preserve">some additional private property of his own.  Other quotas</w:t></w:r>
</w:p>
<w:p>
<w:pPr><w:pStyle w:val="Normal"/></w:pPr>
<w:r><w:t xml:space="preserve">were 3, 3  7/12, 7, 10 + 14 jugera. The last was the maximum</w:t></w:r>
</w:p>
<w:p>
<w:pPr><w:pStyle w:val="Normal"/></w:pPr>
<w:r><w:t xml:space="preserve">amount granted before the time of Ti. Gracchus (133 B.C.),</w:t></w:r>
</w:p>
<w:p>
<w:pPr><w:pStyle w:val="Normal"/></w:pPr>
<w:r><w:t xml:space="preserve">and it was held by representatives of the old school that</w:t></w:r>
</w:p>
<w:p>
<w:pPr><w:pStyle w:val="Normal"/></w:pPr>
<w:r><w:t xml:space="preserve">7 jugera were as much as any frugal Roman should want</w:t></w:r>
</w:p>
<w:p>
<w:pPr><w:pStyle w:val="Normal"/></w:pPr>
<w:r><w:t xml:space="preserve">(Pliny, Historia Naturalis, xviii. 18). The division was</w:t></w:r>
</w:p>
<w:p>
<w:pPr><w:pStyle w:val="Normal"/></w:pPr>
<w:r><w:t xml:space="preserve">carried out by commissions of 3, 5 or 10 men appointed by</w:t></w:r>
</w:p>
<w:p>
<w:pPr><w:pStyle w:val="Normal"/></w:pPr>
<w:r><w:t xml:space="preserve">the people (Cicero, de Lege Agraria ii. 7. 17). The land</w:t></w:r>
</w:p>
<w:p>
<w:pPr><w:pStyle w:val="Normal"/></w:pPr>
<w:r><w:t xml:space="preserve">which the state retained as ager publicus was always placed</w:t></w:r>
</w:p>
<w:p>
<w:pPr><w:pStyle w:val="Normal"/></w:pPr>
<w:r><w:t xml:space="preserve">in the hands of individuals, who occupied it in some manner</w:t></w:r>
</w:p>
<w:p>
<w:pPr><w:pStyle w:val="Normal"/></w:pPr>
<w:r><w:t xml:space="preserve">remunerative to the state.  These individuals (possessores)</w:t></w:r>
</w:p>
<w:p>
<w:pPr><w:pStyle w:val="Normal"/></w:pPr>
<w:r><w:t xml:space="preserve">were never regarded as owners of the land thus occupied.</w:t></w:r>
</w:p>
<w:p>
<w:pPr><w:pStyle w:val="Normal"/></w:pPr>
<w:r><w:t xml:space="preserve">It remained the property of the state, was held without a</w:t></w:r>
</w:p>
<w:p>
<w:pPr><w:pStyle w:val="Normal"/></w:pPr>
<w:r><w:t xml:space="preserve">contract (precario) and could be resumed by the state at</w:t></w:r>
</w:p>
<w:p>
<w:pPr><w:pStyle w:val="Normal"/></w:pPr>
<w:r><w:t xml:space="preserve">will.  But though the possessors had no claim against the</w:t></w:r>
</w:p>
<w:p>
<w:pPr><w:pStyle w:val="Normal"/></w:pPr>
<w:r><w:t xml:space="preserve">state, their ownership could be defended against all other</w:t></w:r>
</w:p>
<w:p>
<w:pPr><w:pStyle w:val="Normal"/></w:pPr>
<w:r><w:t xml:space="preserve">individual claimants; and it seems probable that from an</w:t></w:r>
</w:p>
<w:p>
<w:pPr><w:pStyle w:val="Normal"/></w:pPr>
<w:r><w:t xml:space="preserve">early date the praetor&apos;s possessory interdict was used</w:t></w:r>
</w:p>
<w:p>
<w:pPr><w:pStyle w:val="Normal"/></w:pPr>
<w:r><w:t xml:space="preserve">to protect all occupiers, provided their tenure had been</w:t></w:r>
</w:p>
<w:p>
<w:pPr><w:pStyle w:val="Normal"/></w:pPr>
<w:r><w:t xml:space="preserve">acquired neither by force (vi) nor by seizure of land in</w:t></w:r>
</w:p>
<w:p>
<w:pPr><w:pStyle w:val="Normal"/></w:pPr>
<w:r><w:t xml:space="preserve">its occupiers, absence (clam), nor by mere permission of</w:t></w:r>
</w:p>
<w:p>
<w:pPr><w:pStyle w:val="Normal"/></w:pPr>
<w:r><w:t xml:space="preserve">the previous holder to occupy (precario alter ab altero.)</w:t></w:r>
</w:p>
<w:p>
<w:pPr><w:pStyle w:val="Normal"/></w:pPr>
<w:r><w:t xml:space="preserve">Moreover, Appian says that possessors of this type could</w:t></w:r>
</w:p>
<w:p>
<w:pPr><w:pStyle w:val="Normal"/></w:pPr>
<w:r><w:t xml:space="preserve">transfer their land by inheritance, and that the land was</w:t></w:r>
</w:p>
<w:p>
<w:pPr><w:pStyle w:val="Normal"/></w:pPr>
<w:r><w:t xml:space="preserve">accepted as security by creditors.  This kind of occupation,</w:t></w:r>
</w:p>
<w:p>
<w:pPr><w:pStyle w:val="Normal"/></w:pPr>
<w:r><w:t xml:space="preserve">therefore, though clearly distinguished from ownership</w:t></w:r>
</w:p>
<w:p>
<w:pPr><w:pStyle w:val="Normal"/></w:pPr>
<w:r><w:t xml:space="preserve">(dominium), was yet regarded as a perfectly secure form of</w:t></w:r>
</w:p>
<w:p>
<w:pPr><w:pStyle w:val="Normal"/></w:pPr>
<w:r><w:t xml:space="preserve">tenure.  All occupiers of public land paid dues to the state</w:t></w:r>
</w:p>
<w:p>
<w:pPr><w:pStyle w:val="Normal"/></w:pPr>
<w:r><w:t xml:space="preserve">through a state contractor (publicanus.) These dues varied</w:t></w:r>
</w:p>
<w:p>
<w:pPr><w:pStyle w:val="Normal"/></w:pPr>
<w:r><w:t xml:space="preserve">in amount, and in the method of their collection.  We learn</w:t></w:r>
</w:p>
<w:p>
<w:pPr><w:pStyle w:val="Normal"/></w:pPr>
<w:r><w:t xml:space="preserve">from Appian that the ordinary dues paid by occupiers of</w:t></w:r>
</w:p>
<w:p>
<w:pPr><w:pStyle w:val="Normal"/></w:pPr>
<w:r><w:t xml:space="preserve">arable land in Italy were  1/10 of seed crops and  1/5 of plant</w:t></w:r>
</w:p>
<w:p>
<w:pPr><w:pStyle w:val="Normal"/></w:pPr>
<w:r><w:t xml:space="preserve">produce.  Owners who turned cattle or sheep on pasture</w:t></w:r>
</w:p>
<w:p>
<w:pPr><w:pStyle w:val="Normal"/></w:pPr>
<w:r><w:t xml:space="preserve">land belonging to the state also paid fixed dues to the</w:t></w:r>
</w:p>
<w:p>
<w:pPr><w:pStyle w:val="Normal"/></w:pPr>
<w:r><w:t xml:space="preserve">treasury.  The occupiers of the Roman public land in Campania</w:t></w:r>
</w:p>
<w:p>
<w:pPr><w:pStyle w:val="Normal"/></w:pPr>
<w:r><w:t xml:space="preserve">paid a large rent (Cic. de leg.  Agr. i. 7. 21). Appian&apos;s</w:t></w:r>
</w:p>
<w:p>
<w:pPr><w:pStyle w:val="Normal"/></w:pPr>
<w:r><w:t xml:space="preserve">account of the public land (Bell. Civ. i. 7) would lead</w:t></w:r>
</w:p>
<w:p>
<w:pPr><w:pStyle w:val="Normal"/></w:pPr>
<w:r><w:t xml:space="preserve">us to suppose that the amount of tax paid by the occupier,</w:t></w:r>
</w:p>
<w:p>
<w:pPr><w:pStyle w:val="Normal"/></w:pPr>
<w:r><w:t xml:space="preserve">and the method adopted by the state for the collection of the</w:t></w:r>
</w:p>
<w:p>
<w:pPr><w:pStyle w:val="Normal"/></w:pPr>
<w:r><w:t xml:space="preserve">revenues, depended upon the nature of the land at the time</w:t></w:r>
</w:p>
<w:p>
<w:pPr><w:pStyle w:val="Normal"/></w:pPr>
<w:r><w:t xml:space="preserve">when it first passed to a possessor. He says that some of</w:t></w:r>
</w:p>
<w:p>
<w:pPr><w:pStyle w:val="Normal"/></w:pPr>
<w:r><w:t xml:space="preserve">the public land which was in a good state of cultivation was</w:t></w:r>
</w:p>
<w:p>
<w:pPr><w:pStyle w:val="Normal"/></w:pPr>
<w:r><w:t xml:space="preserve">let on lease; but that with regard to the poor or devastated</w:t></w:r>
</w:p>
<w:p>
<w:pPr><w:pStyle w:val="Normal"/></w:pPr>
<w:r><w:t xml:space="preserve">land proclamation was made that anyone might squat on it and</w:t></w:r>
</w:p>
<w:p>
<w:pPr><w:pStyle w:val="Normal"/></w:pPr>
<w:r><w:t xml:space="preserve">till it in return for the small payment in kind mentioned</w:t></w:r>
</w:p>
<w:p>
<w:pPr><w:pStyle w:val="Normal"/></w:pPr>
<w:r><w:t xml:space="preserve">above.  It has been questioned whether the land described by</w:t></w:r>
</w:p>
<w:p>
<w:pPr><w:pStyle w:val="Normal"/></w:pPr>
<w:r><w:t xml:space="preserve">Appian and by Cicero as let on lease, of which the Campanian</w:t></w:r>
</w:p>
<w:p>
<w:pPr><w:pStyle w:val="Normal"/></w:pPr>
<w:r><w:t xml:space="preserve">land and some lands in Sicily are typical, represents a legally</w:t></w:r>
</w:p>
<w:p>
<w:pPr><w:pStyle w:val="Normal"/></w:pPr>
<w:r><w:t xml:space="preserve">distinct class.  It seems probable that the distinction is</w:t></w:r>
</w:p>
<w:p>
<w:pPr><w:pStyle w:val="Normal"/></w:pPr>
<w:r><w:t xml:space="preserve">one of practice rather than of law, and that the difference</w:t></w:r>
</w:p>
<w:p>
<w:pPr><w:pStyle w:val="Normal"/></w:pPr>
<w:r><w:t xml:space="preserve">lay not in the relation between the state and the possessor</w:t></w:r>
</w:p>
<w:p>
<w:pPr><w:pStyle w:val="Normal"/></w:pPr>
<w:r><w:t xml:space="preserve">(as would be the case if the leased land were really let to</w:t></w:r>
</w:p>
<w:p>
<w:pPr><w:pStyle w:val="Normal"/></w:pPr>
<w:r><w:t xml:space="preserve">individuals by the censor, while the occupied land was held</w:t></w:r>
</w:p>
<w:p>
<w:pPr><w:pStyle w:val="Normal"/></w:pPr>
<w:r><w:t xml:space="preserve">by mere permission of the state without any contract) but</w:t></w:r>
</w:p>
<w:p>
<w:pPr><w:pStyle w:val="Normal"/></w:pPr>
<w:r><w:t xml:space="preserve">in the details of the contract between the censor and the</w:t></w:r>
</w:p>
<w:p>
<w:pPr><w:pStyle w:val="Normal"/></w:pPr>
<w:r><w:t xml:space="preserve">publicanus with regard to the collection of the dues.  The</w:t></w:r>
</w:p>
<w:p>
<w:pPr><w:pStyle w:val="Normal"/></w:pPr>
<w:r><w:t xml:space="preserve">conditions of the tenure of the Roman public land in Africa</w:t></w:r>
</w:p>
<w:p>
<w:pPr><w:pStyle w:val="Normal"/></w:pPr>
<w:r><w:t xml:space="preserve">are known to us from the Lex Agraria of 111 B.C. (Bruns,</w:t></w:r>
</w:p>
<w:p>
<w:pPr><w:pStyle w:val="Normal"/></w:pPr>
<w:r><w:t xml:space="preserve">Fontes, i. 3. 11, vv. 85 foll.).  Here the publicanus</w:t></w:r>
</w:p>
<w:p>
<w:pPr><w:pStyle w:val="Normal"/></w:pPr>
<w:r><w:t xml:space="preserve">is the middleman between the state and the possessor, and</w:t></w:r>
</w:p>
<w:p>
<w:pPr><w:pStyle w:val="Normal"/></w:pPr>
<w:r><w:t xml:space="preserve">purchases from the censor the right of collecting dues.  The</w:t></w:r>
</w:p>
<w:p>
<w:pPr><w:pStyle w:val="Normal"/></w:pPr>
<w:r><w:t xml:space="preserve">law places no restriction on bargaining between the censor and</w:t></w:r>
</w:p>
<w:p>
<w:pPr><w:pStyle w:val="Normal"/></w:pPr>
<w:r><w:t xml:space="preserve">the publicanus, but enacts that no possessor or pastor</w:t></w:r>
</w:p>
<w:p>
<w:pPr><w:pStyle w:val="Normal"/></w:pPr>
<w:r><w:t xml:space="preserve">shall ever be required by the publicanus to pay more than the</w:t></w:r>
</w:p>
<w:p>
<w:pPr><w:pStyle w:val="Normal"/></w:pPr>
<w:r><w:t xml:space="preserve">amount prescribed by the censors of 115 B.C. These conditions</w:t></w:r>
</w:p>
<w:p>
<w:pPr><w:pStyle w:val="Normal"/></w:pPr>
<w:r><w:t xml:space="preserve">may be regarded as typical for the occupation of public</w:t></w:r>
</w:p>
<w:p>
<w:pPr><w:pStyle w:val="Normal"/></w:pPr>
<w:r><w:t xml:space="preserve">lands.  And when Cicero speaks of public land as let on lease</w:t></w:r>
</w:p>
<w:p>
<w:pPr><w:pStyle w:val="Normal"/></w:pPr>
<w:r><w:t xml:space="preserve">(locatus) by the censor, he no doubt refers to the farming</w:t></w:r>
</w:p>
<w:p>
<w:pPr><w:pStyle w:val="Normal"/></w:pPr>
<w:r><w:t xml:space="preserve">of the taxes to a publicanus for a fixed period, and not</w:t></w:r>
</w:p>
<w:p>
<w:pPr><w:pStyle w:val="Normal"/></w:pPr>
<w:r><w:t xml:space="preserve">to the letting of the land.  This seems clear from a passage</w:t></w:r>
</w:p>
<w:p>
<w:pPr><w:pStyle w:val="Normal"/></w:pPr>
<w:r><w:t xml:space="preserve">(in Verr. iii. 6. 12) where he speaks of land in Sicily</w:t></w:r>
</w:p>
<w:p>
<w:pPr><w:pStyle w:val="Normal"/></w:pPr>
<w:r><w:t xml:space="preserve">which had been restored by Rome to former owners as being</w:t></w:r>
</w:p>
<w:p>
<w:pPr><w:pStyle w:val="Normal"/></w:pPr>
<w:r><w:t xml:space="preserve">leased.  The land itself could not be leased by Rome if it</w:t></w:r>
</w:p>
<w:p>
<w:pPr><w:pStyle w:val="Normal"/></w:pPr>
<w:r><w:t xml:space="preserve">belonged not to Rome but to the Sicilian inhabitants; but the</w:t></w:r>
</w:p>
<w:p>
<w:pPr><w:pStyle w:val="Normal"/></w:pPr>
<w:r><w:t xml:space="preserve">collection of the revenues due to Rome could be so leased to</w:t></w:r>
</w:p>
<w:p>
<w:pPr><w:pStyle w:val="Normal"/></w:pPr>
<w:r><w:t xml:space="preserve">Publicani (q.v..) And the same explanation would apply to</w:t></w:r>
</w:p>
<w:p>
<w:pPr><w:pStyle w:val="Normal"/></w:pPr>
<w:r><w:t xml:space="preserve">Cicero&apos;s statements that the Campanian land was let on lease</w:t></w:r>
</w:p>
<w:p>
<w:pPr><w:pStyle w:val="Normal"/></w:pPr>
<w:r><w:t xml:space="preserve">by the censors (cf. Festus, s.v. venditiones.) The view</w:t></w:r>
</w:p>
<w:p>
<w:pPr><w:pStyle w:val="Normal"/></w:pPr>
<w:r><w:t xml:space="preserve">that there was a distinct class of the public land which was</w:t></w:r>
</w:p>
<w:p>
<w:pPr><w:pStyle w:val="Normal"/></w:pPr>
<w:r><w:t xml:space="preserve">let out for a fixed term of years to tenants on a definite</w:t></w:r>
</w:p>
<w:p>
<w:pPr><w:pStyle w:val="Normal"/></w:pPr>
<w:r><w:t xml:space="preserve">lease, unlike the ordinary public land which was always held</w:t></w:r>
</w:p>
<w:p>
<w:pPr><w:pStyle w:val="Normal"/></w:pPr>
<w:r><w:t xml:space="preserve">in occupation merely at will (precario), has been maintained</w:t></w:r>
</w:p>
<w:p>
<w:pPr><w:pStyle w:val="Normal"/></w:pPr>
<w:r><w:t xml:space="preserve">by W. A. Becker, and seems to be supported, with the help</w:t></w:r>
</w:p>
<w:p>
<w:pPr><w:pStyle w:val="Normal"/></w:pPr>
<w:r><w:t xml:space="preserve">of conjecture, by a few passages in Cicero and by Hyginus</w:t></w:r>
</w:p>
<w:p>
<w:pPr><w:pStyle w:val="Normal"/></w:pPr>
<w:r><w:t xml:space="preserve">(Gromatici, p. 116).  But the passage of Hyginus is barely</w:t></w:r>
</w:p>
<w:p>
<w:pPr><w:pStyle w:val="Normal"/></w:pPr>
<w:r><w:t xml:space="preserve">intelligible even on this supposition; and Cicero&apos;s repeated</w:t></w:r>
</w:p>
<w:p>
<w:pPr><w:pStyle w:val="Normal"/></w:pPr>
<w:r><w:t xml:space="preserve">statement that the Campanian land was expressly exempted from</w:t></w:r>
</w:p>
<w:p>
<w:pPr><w:pStyle w:val="Normal"/></w:pPr>
<w:r><w:t xml:space="preserve">the legislation of the Gracchi (cf. Lex Agraria, Bruns, loc.</w:t></w:r>
</w:p>
<w:p>
<w:pPr><w:pStyle w:val="Normal"/></w:pPr>
<w:r><w:t xml:space="preserve">cit. v. 6) shows that there was not sufficient distinction</w:t></w:r>
</w:p>
<w:p>
<w:pPr><w:pStyle w:val="Normal"/></w:pPr>
<w:r><w:t xml:space="preserve">between the Campanian tenure and that of other public land in</w:t></w:r>
</w:p>
<w:p>
<w:pPr><w:pStyle w:val="Normal"/></w:pPr>
<w:r><w:t xml:space="preserve">Italy to make this definite exception by name superfluous.</w:t></w:r>
</w:p>
<w:p>
<w:pPr><w:pStyle w:val="Normal"/></w:pPr>
<w:r><w:t xml:space="preserve">The Sempronian law could obviously not touch land which the</w:t></w:r>
</w:p>
<w:p>
<w:pPr><w:pStyle w:val="Normal"/></w:pPr>
<w:r><w:t xml:space="preserve">state had leased to occupiers on the basis of a definite</w:t></w:r>
</w:p>
<w:p>
<w:pPr><w:pStyle w:val="Normal"/></w:pPr>
<w:r><w:t xml:space="preserve">contract.  Moreover, we have absolutely no evidence for such a</w:t></w:r>
</w:p>
<w:p>
<w:pPr><w:pStyle w:val="Normal"/></w:pPr>
<w:r><w:t xml:space="preserve">contract, even in Cicero&apos;s speeches against Rullus, when he</w:t></w:r>
</w:p>
<w:p>
<w:pPr><w:pStyle w:val="Normal"/></w:pPr>
<w:r><w:t xml:space="preserve">might be expected to mention it as an objection to Rullus&apos;s</w:t></w:r>
</w:p>
<w:p>
<w:pPr><w:pStyle w:val="Normal"/></w:pPr>
<w:r><w:t xml:space="preserve">bill.  That there were some distinctive characteristics</w:t></w:r>
</w:p>
<w:p>
<w:pPr><w:pStyle w:val="Normal"/></w:pPr>
<w:r><w:t xml:space="preserve">about the tenure of certain lands, of which the Campanian</w:t></w:r>
</w:p>
<w:p>
<w:pPr><w:pStyle w:val="Normal"/></w:pPr>
<w:r><w:t xml:space="preserve">land is typical, seems proved by the repeated association</w:t></w:r>
</w:p>
<w:p>
<w:pPr><w:pStyle w:val="Normal"/></w:pPr>
<w:r><w:t xml:space="preserve">of these lands with certain special lands in the provinces,</w:t></w:r>
</w:p>
<w:p>
<w:pPr><w:pStyle w:val="Normal"/></w:pPr>
<w:r><w:t xml:space="preserve">especially at Leontini in Sicily, and by some passages in the</w:t></w:r>
</w:p>
<w:p>
<w:pPr><w:pStyle w:val="Normal"/></w:pPr>
<w:r><w:t xml:space="preserve">Gromatici where agri vectigales are spoken of as a distinct</w:t></w:r>
</w:p>
<w:p>
<w:pPr><w:pStyle w:val="Normal"/></w:pPr>
<w:r><w:t xml:space="preserve">class.  But what these characteristics were cannot be clearly</w:t></w:r>
</w:p>
<w:p>
<w:pPr><w:pStyle w:val="Normal"/></w:pPr>
<w:r><w:t xml:space="preserve">determined.  It seems certain that in every case the</w:t></w:r>
</w:p>
<w:p>
<w:pPr><w:pStyle w:val="Normal"/></w:pPr>
<w:r><w:t xml:space="preserve">possessor occupied precario, and that only in the bargain</w:t></w:r>
</w:p>
<w:p>
<w:pPr><w:pStyle w:val="Normal"/></w:pPr>
<w:r><w:t xml:space="preserve">between the censor and the middleman was there room for</w:t></w:r>
</w:p>
<w:p>
<w:pPr><w:pStyle w:val="Normal"/></w:pPr>
<w:r><w:t xml:space="preserve">contract.  Thus the state was justified in the claim to</w:t></w:r>
</w:p>
<w:p>
<w:pPr><w:pStyle w:val="Normal"/></w:pPr>
<w:r><w:t xml:space="preserve">resume public land which it made in many of the Agrarian laws.</w:t></w:r>
</w:p>
<w:p>
<w:pPr><w:pStyle w:val="Normal"/></w:pPr>
<w:r><w:t xml:space="preserve">The earliest agrarian measures of which we have any record are</w:t></w:r>
</w:p>
<w:p>
<w:pPr><w:pStyle w:val="Normal"/></w:pPr>
<w:r><w:t xml:space="preserve">the distributions of land conquered in war to poor citizens,</w:t></w:r>
</w:p>
<w:p>
<w:pPr><w:pStyle w:val="Normal"/></w:pPr>
<w:r><w:t xml:space="preserve">which later authorities attribute to Numa and Servius Tullius.</w:t></w:r>
</w:p>
<w:p>
<w:pPr><w:pStyle w:val="Normal"/></w:pPr>
<w:r><w:t xml:space="preserve">Such assignments, however, are not the result of legislative</w:t></w:r>
</w:p>
<w:p>
<w:pPr><w:pStyle w:val="Normal"/></w:pPr>
<w:r><w:t xml:space="preserve">acts, but of a voluntary surrender on the king&apos;s part of his</w:t></w:r>
</w:p>
<w:p>
<w:pPr><w:pStyle w:val="Normal"/></w:pPr>
<w:r><w:t xml:space="preserve">own portion of the spoils.  It is probable that the agrarian</w:t></w:r>
</w:p>
<w:p>
<w:pPr><w:pStyle w:val="Normal"/></w:pPr>
<w:r><w:t xml:space="preserve">law which resulted from the proposals of Spurius Cassius</w:t></w:r>
</w:p>
<w:p>
<w:pPr><w:pStyle w:val="Normal"/></w:pPr>
<w:r><w:t xml:space="preserve">(consul 486 B.C.) was the first attempt made by the Roman</w:t></w:r>
</w:p>
<w:p>
<w:pPr><w:pStyle w:val="Normal"/></w:pPr>
<w:r><w:t xml:space="preserve">people to exercise its control over the occupation of state</w:t></w:r>
</w:p>
<w:p>
<w:pPr><w:pStyle w:val="Normal"/></w:pPr>
<w:r><w:t xml:space="preserve">territory.  According to the traditional account, Cassius</w:t></w:r>
</w:p>
<w:p>
<w:pPr><w:pStyle w:val="Normal"/></w:pPr>
<w:r><w:t xml:space="preserve">proposed that such portion of lands lately conquered from</w:t></w:r>
</w:p>
<w:p>
<w:pPr><w:pStyle w:val="Normal"/></w:pPr>
<w:r><w:t xml:space="preserve">the Hernici as fell to the Roman state should be divided</w:t></w:r>
</w:p>
<w:p>
<w:pPr><w:pStyle w:val="Normal"/></w:pPr>
<w:r><w:t xml:space="preserve">in equal shares between the Roman plebs and the Latins;</w:t></w:r>
</w:p>
<w:p>
<w:pPr><w:pStyle w:val="Normal"/></w:pPr>
<w:r><w:t xml:space="preserve">and further that poor citizens should receive allotments of</w:t></w:r>
</w:p>
<w:p>
<w:pPr><w:pStyle w:val="Normal"/></w:pPr>
<w:r><w:t xml:space="preserve">land previously conquered, and occupied without any legal</w:t></w:r>
</w:p>
<w:p>
<w:pPr><w:pStyle w:val="Normal"/></w:pPr>
<w:r><w:t xml:space="preserve">right by the Patricians.  The inclusion of the Latins in</w:t></w:r>
</w:p>
<w:p>
<w:pPr><w:pStyle w:val="Normal"/></w:pPr>
<w:r><w:t xml:space="preserve">the distribution was afterwards dropped; but the law in its</w:t></w:r>
</w:p>
<w:p>
<w:pPr><w:pStyle w:val="Normal"/></w:pPr>
<w:r><w:t xml:space="preserve">final form certainly asserted the right of the Plebeians</w:t></w:r>
</w:p>
<w:p>
<w:pPr><w:pStyle w:val="Normal"/></w:pPr>
<w:r><w:t xml:space="preserve">to take their share in the public land.  The accounts given</w:t></w:r>
</w:p>
<w:p>
<w:pPr><w:pStyle w:val="Normal"/></w:pPr>
<w:r><w:t xml:space="preserve">of it by Livy and Dionysius are no doubt coloured by their</w:t></w:r>
</w:p>
<w:p>
<w:pPr><w:pStyle w:val="Normal"/></w:pPr>
<w:r><w:t xml:space="preserve">knowledge of later agrarian legislation, and it seems hardly</w:t></w:r>
</w:p>
<w:p>
<w:pPr><w:pStyle w:val="Normal"/></w:pPr>
<w:r><w:t xml:space="preserve">likely that the proposal to resume and redistribute public</w:t></w:r>
</w:p>
<w:p>
<w:pPr><w:pStyle w:val="Normal"/></w:pPr>
<w:r><w:t xml:space="preserve">land already occupied was made at this early stage; but it</w:t></w:r>
</w:p>
<w:p>
<w:pPr><w:pStyle w:val="Normal"/></w:pPr>
<w:r><w:t xml:space="preserve">probably challenged the exclusive claim of Patricians to</w:t></w:r>
</w:p>
<w:p>
<w:pPr><w:pStyle w:val="Normal"/></w:pPr>
<w:r><w:t xml:space="preserve">occupy.  We hear of another agrarian law proposed by the</w:t></w:r>
</w:p>
<w:p>
<w:pPr><w:pStyle w:val="Normal"/></w:pPr>
<w:r><w:t xml:space="preserve">tribune Lucius Icilius in 456 B.C. (Lex Icilia de Aventino</w:t></w:r>
</w:p>
<w:p>
<w:pPr><w:pStyle w:val="Normal"/></w:pPr>
<w:r><w:t xml:space="preserve">publicando) which regulated in some way the tenure of public</w:t></w:r>
</w:p>
<w:p>
<w:pPr><w:pStyle w:val="Normal"/></w:pPr>
<w:r><w:t xml:space="preserve">land on the Aventine.  In 376 B.C. the tribunes Licinius</w:t></w:r>
</w:p>
<w:p>
<w:pPr><w:pStyle w:val="Normal"/></w:pPr>
<w:r><w:t xml:space="preserve">and Sextius introduced into their laws, for the promotion</w:t></w:r>
</w:p>
<w:p>
<w:pPr><w:pStyle w:val="Normal"/></w:pPr>
<w:r><w:t xml:space="preserve">of the privileges of the plebs, a clause enacting that no</w:t></w:r>
</w:p>
<w:p>
<w:pPr><w:pStyle w:val="Normal"/></w:pPr>
<w:r><w:t xml:space="preserve">more than 500 jugera of land should be occupied by a single</w:t></w:r>
</w:p>
<w:p>
<w:pPr><w:pStyle w:val="Normal"/></w:pPr>
<w:r><w:t xml:space="preserve">cultivator.  It seems almost certain from Livy&apos;s account</w:t></w:r>
</w:p>
<w:p>
<w:pPr><w:pStyle w:val="Normal"/></w:pPr>
<w:r><w:t xml:space="preserve">that this measure referred only to the occupation of ager</w:t></w:r>
</w:p>
<w:p>
<w:pPr><w:pStyle w:val="Normal"/></w:pPr>
<w:r><w:t xml:space="preserve">publicus, though some modern authorities have upheld the</w:t></w:r>
</w:p>
<w:p>
<w:pPr><w:pStyle w:val="Normal"/></w:pPr>
<w:r><w:t xml:space="preserve">view that it dealt with land held on any kind of tenure,</w:t></w:r>
</w:p>
<w:p>
<w:pPr><w:pStyle w:val="Normal"/></w:pPr>
<w:r><w:t xml:space="preserve">others again that it dealtonlywith private property in</w:t></w:r>
</w:p>
<w:p>
<w:pPr><w:pStyle w:val="Normal"/></w:pPr>
<w:r><w:t xml:space="preserve">land.  According to Appian, the law also enacted that only 100</w:t></w:r>
</w:p>
<w:p>
<w:pPr><w:pStyle w:val="Normal"/></w:pPr>
<w:r><w:t xml:space="preserve">cattle and 500 sheep might be turned by one owner on the public</w:t></w:r>
</w:p>
<w:p>
<w:pPr><w:pStyle w:val="Normal"/></w:pPr>
<w:r><w:t xml:space="preserve">pastures.  But it failed of its object because it did not</w:t></w:r>
</w:p>
<w:p>
<w:pPr><w:pStyle w:val="Normal"/></w:pPr>
<w:r><w:t xml:space="preserve">provide any adequate machinery for the resumption by the</w:t></w:r>
</w:p>
<w:p>
<w:pPr><w:pStyle w:val="Normal"/></w:pPr>
<w:r><w:t xml:space="preserve">state of land held in excess of the prescribed amount, and</w:t></w:r>
</w:p>
<w:p>
<w:pPr><w:pStyle w:val="Normal"/></w:pPr>
<w:r><w:t xml:space="preserve">was therefore easily evaded.  The next agrarian law we hear</w:t></w:r>
</w:p>
<w:p>
<w:pPr><w:pStyle w:val="Normal"/></w:pPr>
<w:r><w:t xml:space="preserve">of was a more special measure dealing with lands conquered</w:t></w:r>
</w:p>
<w:p>
<w:pPr><w:pStyle w:val="Normal"/></w:pPr>
<w:r><w:t xml:space="preserve">from the Senones and Picentines.  In 232 B.C. C. Flaminius,</w:t></w:r>
</w:p>
<w:p>
<w:pPr><w:pStyle w:val="Normal"/></w:pPr>
<w:r><w:t xml:space="preserve">then tribune of the plebs, proposed to resume these lands</w:t></w:r>
</w:p>
<w:p>
<w:pPr><w:pStyle w:val="Normal"/></w:pPr>
<w:r><w:t xml:space="preserve">for the state, although they were already occupied by large</w:t></w:r>
</w:p>
<w:p>
<w:pPr><w:pStyle w:val="Normal"/></w:pPr>
<w:r><w:t xml:space="preserve">landholders, and to distribute them in allotments to poor</w:t></w:r>
</w:p>
<w:p>
<w:pPr><w:pStyle w:val="Normal"/></w:pPr>
<w:r><w:t xml:space="preserve">citizens.  The measure met with much opposition from the</w:t></w:r>
</w:p>
<w:p>
<w:pPr><w:pStyle w:val="Normal"/></w:pPr>
<w:r><w:t xml:space="preserve">richer classes, and did not gain the sanction of the senate;</w:t></w:r>
</w:p>
<w:p>
<w:pPr><w:pStyle w:val="Normal"/></w:pPr>
<w:r><w:t xml:space="preserve">but C. Flaminius ignored constitutional usage and brought it</w:t></w:r>
</w:p>
<w:p>
<w:pPr><w:pStyle w:val="Normal"/></w:pPr>
<w:r><w:t xml:space="preserve">direct before the council of the plebs, by which it was made</w:t></w:r>
</w:p>
<w:p>
<w:pPr><w:pStyle w:val="Normal"/></w:pPr>
<w:r><w:t xml:space="preserve">law.  In 133 B.C. the tribune Tiberius Gracchus (q.v.)</w:t></w:r>
</w:p>
<w:p>
<w:pPr><w:pStyle w:val="Normal"/></w:pPr>
<w:r><w:t xml:space="preserve">re-enacted the earlier measure of Licinius and Sextius, with</w:t></w:r>
</w:p>
<w:p>
<w:pPr><w:pStyle w:val="Normal"/></w:pPr>
<w:r><w:t xml:space="preserve">the additional provisions that each owner might occupy 250</w:t></w:r>
</w:p>
<w:p>
<w:pPr><w:pStyle w:val="Normal"/></w:pPr>
<w:r><w:t xml:space="preserve">jugera for each son, in addition to the original 500, and that</w:t></w:r>
</w:p>
<w:p>
<w:pPr><w:pStyle w:val="Normal"/></w:pPr>
<w:r><w:t xml:space="preserve">a commission of three (iii. viri agris dandis adsignandis)</w:t></w:r>
</w:p>
<w:p>
<w:pPr><w:pStyle w:val="Normal"/></w:pPr>
<w:r><w:t xml:space="preserve">should be appointed to carry out the terms of the law.  He</w:t></w:r>
</w:p>
<w:p>
<w:pPr><w:pStyle w:val="Normal"/></w:pPr>
<w:r><w:t xml:space="preserve">also enacted that the land occupied in excess of the prescribed</w:t></w:r>
</w:p>
<w:p>
<w:pPr><w:pStyle w:val="Normal"/></w:pPr>
<w:r><w:t xml:space="preserve">amount, and on that account resumed for the state by the land</w:t></w:r>
</w:p>
<w:p>
<w:pPr><w:pStyle w:val="Normal"/></w:pPr>
<w:r><w:t xml:space="preserve">commission, should be distributed in inalienable lots to poor</w:t></w:r>
</w:p>
<w:p>
<w:pPr><w:pStyle w:val="Normal"/></w:pPr>
<w:r><w:t xml:space="preserve">citizens.  Subsequent modifications of those provisions</w:t></w:r>
</w:p>
<w:p>
<w:pPr><w:pStyle w:val="Normal"/></w:pPr>
<w:r><w:t xml:space="preserve">which dealt with the powers of the land commission led to</w:t></w:r>
</w:p>
<w:p>
<w:pPr><w:pStyle w:val="Normal"/></w:pPr>
<w:r><w:t xml:space="preserve">a re-enactment of the whole by C. Gracchus, the brother of</w:t></w:r>
</w:p>
<w:p>
<w:pPr><w:pStyle w:val="Normal"/></w:pPr>
<w:r><w:t xml:space="preserve">Tiberius, tribune in 123 B.C. But within 15 years from</w:t></w:r>
</w:p>
<w:p>
<w:pPr><w:pStyle w:val="Normal"/></w:pPr>
<w:r><w:t xml:space="preserve">the tribunate of C. Gracchus the whole of his law had been</w:t></w:r>
</w:p>
<w:p>
<w:pPr><w:pStyle w:val="Normal"/></w:pPr>
<w:r><w:t xml:space="preserve">rendered null by three further enactments.  The first of these</w:t></w:r>
</w:p>
<w:p>
<w:pPr><w:pStyle w:val="Normal"/></w:pPr>
<w:r><w:t xml:space="preserve">permitted the sale of land allotted under the law, which thus</w:t></w:r>
</w:p>
<w:p>
<w:pPr><w:pStyle w:val="Normal"/></w:pPr>
<w:r><w:t xml:space="preserve">tended to return into the hands of its former occupiers as</w:t></w:r>
</w:p>
<w:p>
<w:pPr><w:pStyle w:val="Normal"/></w:pPr>
<w:r><w:t xml:space="preserve">private property, which the state had no longer any right to</w:t></w:r>
</w:p>
<w:p>
<w:pPr><w:pStyle w:val="Normal"/></w:pPr>
<w:r><w:t xml:space="preserve">resume.  The second abolished the commission appointed to</w:t></w:r>
</w:p>
<w:p>
<w:pPr><w:pStyle w:val="Normal"/></w:pPr>
<w:r><w:t xml:space="preserve">carry out the terms of the law, thus putting a stop to further</w:t></w:r>
</w:p>
<w:p>
<w:pPr><w:pStyle w:val="Normal"/></w:pPr>
<w:r><w:t xml:space="preserve">resumption and distribution, and also transformed existing</w:t></w:r>
</w:p>
<w:p>
<w:pPr><w:pStyle w:val="Normal"/></w:pPr>
<w:r><w:t xml:space="preserve">occupiers into owners of the land they occupied, paying</w:t></w:r>
</w:p>
<w:p>
<w:pPr><w:pStyle w:val="Normal"/></w:pPr>
<w:r><w:t xml:space="preserve">only a small due to the treasury.  The third (probably the</w:t></w:r>
</w:p>
<w:p>
<w:pPr><w:pStyle w:val="Normal"/></w:pPr>
<w:r><w:t xml:space="preserve">surviving Lex Agraria, Bruns, loc. cit.) abolished the</w:t></w:r>
</w:p>
<w:p>
<w:pPr><w:pStyle w:val="Normal"/></w:pPr>
<w:r><w:t xml:space="preserve">payment.  This law belongs to the year 111 B.C. The dates</w:t></w:r>
</w:p>
<w:p>
<w:pPr><w:pStyle w:val="Normal"/></w:pPr>
<w:r><w:t xml:space="preserve">of the two former laws are uncertain, but it is probable that</w:t></w:r>
</w:p>
<w:p>
<w:pPr><w:pStyle w:val="Normal"/></w:pPr>
<w:r><w:t xml:space="preserve">the first was passed in 121, the second in 119 or 118. From</w:t></w:r>
</w:p>
<w:p>
<w:pPr><w:pStyle w:val="Normal"/></w:pPr>
<w:r><w:t xml:space="preserve">this time forward a change comes over land legislation.  The</w:t></w:r>
</w:p>
<w:p>
<w:pPr><w:pStyle w:val="Normal"/></w:pPr>
<w:r><w:t xml:space="preserve">ordinary public land in Italy, in the hands of occupiers,</w:t></w:r>
</w:p>
<w:p>
<w:pPr><w:pStyle w:val="Normal"/></w:pPr>
<w:r><w:t xml:space="preserve">which had given rise to all the agrarian legislation between</w:t></w:r>
</w:p>
<w:p>
<w:pPr><w:pStyle w:val="Normal"/></w:pPr>
<w:r><w:t xml:space="preserve">376 and 111, had practically ceased to exist.  The Campanian</w:t></w:r>
</w:p>
<w:p>
<w:pPr><w:pStyle w:val="Normal"/></w:pPr>
<w:r><w:t xml:space="preserve">land still remained, but the same reasons which led to its</w:t></w:r>
</w:p>
<w:p>
<w:pPr><w:pStyle w:val="Normal"/></w:pPr>
<w:r><w:t xml:space="preserve">exemption from the Gracchan legislation seem to have continued</w:t></w:r>
</w:p>
<w:p>
<w:pPr><w:pStyle w:val="Normal"/></w:pPr>
<w:r><w:t xml:space="preserve">to protect its holders until 63 B.C. In the meantime several</w:t></w:r>
</w:p>
<w:p>
<w:pPr><w:pStyle w:val="Normal"/></w:pPr>
<w:r><w:t xml:space="preserve">agrarian laws were passed which provided for the distribution</w:t></w:r>
</w:p>
<w:p>
<w:pPr><w:pStyle w:val="Normal"/></w:pPr>
<w:r><w:t xml:space="preserve">of land placed in some other way at the disposal of the</w:t></w:r>
</w:p>
<w:p>
<w:pPr><w:pStyle w:val="Normal"/></w:pPr>
<w:r><w:t xml:space="preserve">state.  In 100 B.C. Appuleius Saturninus (q.v.), tribune</w:t></w:r>
</w:p>
<w:p>
<w:pPr><w:pStyle w:val="Normal"/></w:pPr>
<w:r><w:t xml:space="preserve">of the plebs, proposed the allotment of lands recently taken</w:t></w:r>
</w:p>
<w:p>
<w:pPr><w:pStyle w:val="Normal"/></w:pPr>
<w:r><w:t xml:space="preserve">from the Cimbri in Gaul.  This law was passed, but eventually</w:t></w:r>
</w:p>
<w:p>
<w:pPr><w:pStyle w:val="Normal"/></w:pPr>
<w:r><w:t xml:space="preserve">declared null by the senate, with the rest of Saturninus&apos;s</w:t></w:r>
</w:p>
<w:p>
<w:pPr><w:pStyle w:val="Normal"/></w:pPr>
<w:r><w:t xml:space="preserve">laws.  A more dangerous precedent was set by Sulla in his</w:t></w:r>
</w:p>
<w:p>
<w:pPr><w:pStyle w:val="Normal"/></w:pPr>
<w:r><w:t xml:space="preserve">dictatorship (82-81 B.C..) He was the first to confiscate</w:t></w:r>
</w:p>
<w:p>
<w:pPr><w:pStyle w:val="Normal"/></w:pPr>
<w:r><w:t xml:space="preserve">the lands of his political foes, and of communities which had</w:t></w:r>
</w:p>
<w:p>
<w:pPr><w:pStyle w:val="Normal"/></w:pPr>
<w:r><w:t xml:space="preserve">resisted him, and treating them as ager publicus, assign</w:t></w:r>
</w:p>
<w:p>
<w:pPr><w:pStyle w:val="Normal"/></w:pPr>
<w:r><w:t xml:space="preserve">them to his veterans as a prize.  This example was followed</w:t></w:r>
</w:p>
<w:p>
<w:pPr><w:pStyle w:val="Normal"/></w:pPr>
<w:r><w:t xml:space="preserve">by Octavian (Augustus) and Antony (M. Antonius) after their</w:t></w:r>
</w:p>
<w:p>
<w:pPr><w:pStyle w:val="Normal"/></w:pPr>
<w:r><w:t xml:space="preserve">proscriptions in 43 B.C. A third method of providing land</w:t></w:r>
</w:p>
<w:p>
<w:pPr><w:pStyle w:val="Normal"/></w:pPr>
<w:r><w:t xml:space="preserve">for distribution was that adopted by Servilius Rullus (q.v.)</w:t></w:r>
</w:p>
<w:p>
<w:pPr><w:pStyle w:val="Normal"/></w:pPr>
<w:r><w:t xml:space="preserve">in 63 B.C. His bill enacted that land should be purchased</w:t></w:r>
</w:p>
<w:p>
<w:pPr><w:pStyle w:val="Normal"/></w:pPr>
<w:r><w:t xml:space="preserve">in Italy with money gained by the sale of Roman territories</w:t></w:r>
</w:p>
<w:p>
<w:pPr><w:pStyle w:val="Normal"/></w:pPr>
<w:r><w:t xml:space="preserve">abroad, and allotted to citizens.  A commission of ten (x.</w:t></w:r>
</w:p>
<w:p>
<w:pPr><w:pStyle w:val="Normal"/></w:pPr>
<w:r><w:t xml:space="preserve">viri agris dandis adsignandis), annually elected by 9</w:t></w:r>
</w:p>
<w:p>
<w:pPr><w:pStyle w:val="Normal"/></w:pPr>
<w:r><w:t xml:space="preserve">out of the 35 tribes, was to carry out the terms of the</w:t></w:r>
</w:p>
<w:p>
<w:pPr><w:pStyle w:val="Normal"/></w:pPr>
<w:r><w:t xml:space="preserve">law.  Rullus also ventured to propose the distribution of the</w:t></w:r>
</w:p>
<w:p>
<w:pPr><w:pStyle w:val="Normal"/></w:pPr>
<w:r><w:t xml:space="preserve">Campanian land, which had hitherto been respected by all agrarian</w:t></w:r>
</w:p>
<w:p>
<w:pPr><w:pStyle w:val="Normal"/></w:pPr>
<w:r><w:t xml:space="preserve">reformers.  It was chiefly on this ground that Cicero in</w:t></w:r>
</w:p>
<w:p>
<w:pPr><w:pStyle w:val="Normal"/></w:pPr>
<w:r><w:t xml:space="preserve">his three speeches on the Agrarian law succeeded in exciting</w:t></w:r>
</w:p>
<w:p>
<w:pPr><w:pStyle w:val="Normal"/></w:pPr>
<w:r><w:t xml:space="preserve">such a general feeling against it that it was eventually</w:t></w:r>
</w:p>
<w:p>
<w:pPr><w:pStyle w:val="Normal"/></w:pPr>
<w:r><w:t xml:space="preserve">withdrawn.  In 60 B.C. the tribune L. Flavius brought</w:t></w:r>
</w:p>
<w:p>
<w:pPr><w:pStyle w:val="Normal"/></w:pPr>
<w:r><w:t xml:space="preserve">forward a bill for the distribution of lands to Pompey&apos;s</w:t></w:r>
</w:p>
<w:p>
<w:pPr><w:pStyle w:val="Normal"/></w:pPr>
<w:r><w:t xml:space="preserve">veterans.  The Campanian land was certainly to be included in</w:t></w:r>
</w:p>
<w:p>
<w:pPr><w:pStyle w:val="Normal"/></w:pPr>
<w:r><w:t xml:space="preserve">the distribution, and it is clear from Cicero that the bill in</w:t></w:r>
</w:p>
<w:p>
<w:pPr><w:pStyle w:val="Normal"/></w:pPr>
<w:r><w:t xml:space="preserve">some way dealt violently with the rights of private owners.  It</w:t></w:r>
</w:p>
<w:p>
<w:pPr><w:pStyle w:val="Normal"/></w:pPr>
<w:r><w:t xml:space="preserve">also, however, enacted that land should be purchased by the</w:t></w:r>
</w:p>
<w:p>
<w:pPr><w:pStyle w:val="Normal"/></w:pPr>
<w:r><w:t xml:space="preserve">state with the wealth which Pompey&apos;s conquests had brought</w:t></w:r>
</w:p>
<w:p>
<w:pPr><w:pStyle w:val="Normal"/></w:pPr>
<w:r><w:t xml:space="preserve">into the treasury.  The last proposal was supported by Cicero,</w:t></w:r>
</w:p>
<w:p>
<w:pPr><w:pStyle w:val="Normal"/></w:pPr>
<w:r><w:t xml:space="preserve">but the bill seems to have been dropped, only to reappear in</w:t></w:r>
</w:p>
<w:p>
<w:pPr><w:pStyle w:val="Normal"/></w:pPr>
<w:r><w:t xml:space="preserve">more moderate form in the following year.  A consular bill,</w:t></w:r>
</w:p>
<w:p>
<w:pPr><w:pStyle w:val="Normal"/></w:pPr>
<w:r><w:t xml:space="preserve">the lex Julia Campana, was passed by Julius Caesar in 59</w:t></w:r>
</w:p>
<w:p>
<w:pPr><w:pStyle w:val="Normal"/></w:pPr>
<w:r><w:t xml:space="preserve">B.C., which provided for the settlement of Pompey&apos;s veterans</w:t></w:r>
</w:p>
<w:p>
<w:pPr><w:pStyle w:val="Normal"/></w:pPr>
<w:r><w:t xml:space="preserve">on the Campanian land, and other lands purchased by the state</w:t></w:r>
</w:p>
<w:p>
<w:pPr><w:pStyle w:val="Normal"/></w:pPr>
<w:r><w:t xml:space="preserve">from private owners in Italy with the full consent of the</w:t></w:r>
</w:p>
<w:p>
<w:pPr><w:pStyle w:val="Normal"/></w:pPr>
<w:r><w:t xml:space="preserve">latter.  In its original form, the bill omitted all reference</w:t></w:r>
</w:p>
<w:p>
<w:pPr><w:pStyle w:val="Normal"/></w:pPr>
<w:r><w:t xml:space="preserve">to the Campanian land, which seems to have been included</w:t></w:r>
</w:p>
<w:p>
<w:pPr><w:pStyle w:val="Normal"/></w:pPr>
<w:r><w:t xml:space="preserve">by Caesar in the distribution only when the continued and</w:t></w:r>
</w:p>
<w:p>
<w:pPr><w:pStyle w:val="Normal"/></w:pPr>
<w:r><w:t xml:space="preserve">unreasoning opposition of the senate had goaded him to extreme</w:t></w:r>
</w:p>
<w:p>
<w:pPr><w:pStyle w:val="Normal"/></w:pPr>
<w:r><w:t xml:space="preserve">measures.  A commission of twenty was to be appointed to</w:t></w:r>
</w:p>
<w:p>
<w:pPr><w:pStyle w:val="Normal"/></w:pPr>
<w:r><w:t xml:space="preserve">carry out the law, from which Caesar himself was expressly</w:t></w:r>
</w:p>
<w:p>
<w:pPr><w:pStyle w:val="Normal"/></w:pPr>
<w:r><w:t xml:space="preserve">excluded.  This measure finally settled the question of</w:t></w:r>
</w:p>
<w:p>
<w:pPr><w:pStyle w:val="Normal"/></w:pPr>
<w:r><w:t xml:space="preserve">the Campanian land, which now passed out of the category of</w:t></w:r>
</w:p>
<w:p>
<w:pPr><w:pStyle w:val="Normal"/></w:pPr>
<w:r><w:t xml:space="preserve">ager publicus. The last agrarian law of the republic was</w:t></w:r>
</w:p>
<w:p>
<w:pPr><w:pStyle w:val="Normal"/></w:pPr>
<w:r><w:t xml:space="preserve">that passed in 44 B.C. on the proposal of the consul M.</w:t></w:r>
</w:p>
<w:p>
<w:pPr><w:pStyle w:val="Normal"/></w:pPr>
<w:r><w:t xml:space="preserve">Antonius, or of his brother L. Antonius.  We have no detailed</w:t></w:r>
</w:p>
<w:p>
<w:pPr><w:pStyle w:val="Normal"/></w:pPr>
<w:r><w:t xml:space="preserve">account of the measure, but it seems to have provided grants</w:t></w:r>
</w:p>
<w:p>
<w:pPr><w:pStyle w:val="Normal"/></w:pPr>
<w:r><w:t xml:space="preserve">of land for veterans, and was to be administered by seven</w:t></w:r>
</w:p>
<w:p>
<w:pPr><w:pStyle w:val="Normal"/></w:pPr>
<w:r><w:t xml:space="preserve">commissioners.  The law was afterwards cancelled by decree of</w:t></w:r>
</w:p>
<w:p>
<w:pPr><w:pStyle w:val="Normal"/></w:pPr>
<w:r><w:t xml:space="preserve">the senate, probably on the ground of some technical flaw.</w:t></w:r>
</w:p>
<w:p>
<w:pPr><w:pStyle w:val="Normal"/></w:pPr>
<w:r><w:t xml:space="preserve">The emperor Vespasian attempted to reclaim for the state small</w:t></w:r>
</w:p>
<w:p>
<w:pPr><w:pStyle w:val="Normal"/></w:pPr>
<w:r><w:t xml:space="preserve">oddments of land (subseciva) which were held by neighbouring</w:t></w:r>
</w:p>
<w:p>
<w:pPr><w:pStyle w:val="Normal"/></w:pPr>
<w:r><w:t xml:space="preserve">owners to whom they had never been definitely assigned.  The</w:t></w:r>
</w:p>
<w:p>
<w:pPr><w:pStyle w:val="Normal"/></w:pPr>
<w:r><w:t xml:space="preserve">attempt met with violent opposition, and though resumed by</w:t></w:r>
</w:p>
<w:p>
<w:pPr><w:pStyle w:val="Normal"/></w:pPr>
<w:r><w:t xml:space="preserve">Titus, was finally crushed by Domitian, who issued an edict</w:t></w:r>
</w:p>
<w:p>
<w:pPr><w:pStyle w:val="Normal"/></w:pPr>
<w:r><w:t xml:space="preserve">recognizing all oddments of land thus held to be private property.</w:t></w:r>
</w:p>
<w:p>
<w:pPr><w:pStyle w:val="Normal"/></w:pPr>
<w:r><w:t xml:space="preserve">AUTHORITIES.--Niebuhr, History of Rome (English</w:t></w:r>
</w:p>
<w:p>
<w:pPr><w:pStyle w:val="Normal"/></w:pPr>
<w:r><w:t xml:space="preserve">translation), ii. p. 129 foll. (Cambridge, 1832); Becker,</w:t></w:r>
</w:p>
<w:p>
<w:pPr><w:pStyle w:val="Normal"/></w:pPr>
<w:r><w:t xml:space="preserve">Handbuch der romischen Alterthumer, iii. 2, p. 142</w:t></w:r>
</w:p>
<w:p>
<w:pPr><w:pStyle w:val="Normal"/></w:pPr>
<w:r><w:t xml:space="preserve">(Leipzig, 1843); Marquardt, Romische Staatsverwaltung,</w:t></w:r>
</w:p>
<w:p>
<w:pPr><w:pStyle w:val="Normal"/></w:pPr>
<w:r><w:t xml:space="preserve">i. p. 96 foll. (Leipzig, 1881); Madvig, Verfassung und</w:t></w:r>
</w:p>
<w:p>
<w:pPr><w:pStyle w:val="Normal"/></w:pPr>
<w:r><w:t xml:space="preserve">Verwaltung des romischen Staates, ii. p. 364 foll. (Leipzig,</w:t></w:r>
</w:p>
<w:p>
<w:pPr><w:pStyle w:val="Normal"/></w:pPr>
<w:r><w:t xml:space="preserve">1882), (See also ROME, History.) (A. H. J. G; A. M. CL.)</w:t></w:r>
</w:p>
<w:p>
<w:pPr><w:pStyle w:val="Normal"/></w:pPr>
<w:r><w:t xml:space="preserve">AGREDA, MARIA FERNANDEZ CORONEL, ABBESS OF, known in</w:t></w:r>
</w:p>
<w:p>
<w:pPr><w:pStyle w:val="Normal"/></w:pPr>
<w:r><w:t xml:space="preserve">religion as Sor (Sister) Maria de Jesus (1602-1665), was the</w:t></w:r>
</w:p>
<w:p>
<w:pPr><w:pStyle w:val="Normal"/></w:pPr>
<w:r><w:t xml:space="preserve">daughter of Don Francisco Coronel and of his wife Catalina de</w:t></w:r>
</w:p>
<w:p>
<w:pPr><w:pStyle w:val="Normal"/></w:pPr>
<w:r><w:t xml:space="preserve">Arana.  She was born at Agreda, on the borders of Navarre</w:t></w:r>
</w:p>
<w:p>
<w:pPr><w:pStyle w:val="Normal"/></w:pPr>
<w:r><w:t xml:space="preserve">and Aragon, on the 2nd of April 1602.  All her family were</w:t></w:r>
</w:p>
<w:p>
<w:pPr><w:pStyle w:val="Normal"/></w:pPr>
<w:r><w:t xml:space="preserve">powerfully influenced by the ecstatic piety of Spain in that</w:t></w:r>
</w:p>
<w:p>
<w:pPr><w:pStyle w:val="Normal"/></w:pPr>
<w:r><w:t xml:space="preserve">age.  Her biographer, Samaniego, records that even as an</w:t></w:r>
</w:p>
<w:p>
<w:pPr><w:pStyle w:val="Normal"/></w:pPr>
<w:r><w:t xml:space="preserve">infant in arms she was filled with divine knowledge.  Her</w:t></w:r>
</w:p>
<w:p>
<w:pPr><w:pStyle w:val="Normal"/></w:pPr>
<w:r><w:t xml:space="preserve">stupidity as a child is piously accounted for by extreme</w:t></w:r>
</w:p>
<w:p>
<w:pPr><w:pStyle w:val="Normal"/></w:pPr>
<w:r><w:t xml:space="preserve">humility.  From childhood she was favoured by ecstasies and</w:t></w:r>
</w:p>
<w:p>
<w:pPr><w:pStyle w:val="Normal"/></w:pPr>
<w:r><w:t xml:space="preserve">visions.  When she was fifteen the whole family entered</w:t></w:r>
</w:p>
<w:p>
<w:pPr><w:pStyle w:val="Normal"/></w:pPr>
<w:r><w:t xml:space="preserve">religion.  The father, now an old man, and the two sons</w:t></w:r>
</w:p>
<w:p>
<w:pPr><w:pStyle w:val="Normal"/></w:pPr>
<w:r><w:t xml:space="preserve">entered the Franciscan house of San Antonio de Nalda.  Maria,</w:t></w:r>
</w:p>
<w:p>
<w:pPr><w:pStyle w:val="Normal"/></w:pPr>
<w:r><w:t xml:space="preserve">her mother and sister established a Franciscan nunnery in the</w:t></w:r>
</w:p>
<w:p>
<w:pPr><w:pStyle w:val="Normal"/></w:pPr>
<w:r><w:t xml:space="preserve">family house at Agreda, which, when Maria&apos;s reputation had</w:t></w:r>
</w:p>
<w:p>
<w:pPr><w:pStyle w:val="Normal"/></w:pPr>
<w:r><w:t xml:space="preserve">extended, was replaced by the existing building.  She began</w:t></w:r>
</w:p>
<w:p>
<w:pPr><w:pStyle w:val="Normal"/></w:pPr>
<w:r><w:t xml:space="preserve">it with one hundred reals (one pound sterling) lent her by a</w:t></w:r>
</w:p>
<w:p>
<w:pPr><w:pStyle w:val="Normal"/></w:pPr>
<w:r><w:t xml:space="preserve">devotee, and it was completed in fourteen years by voluntary</w:t></w:r>
</w:p>
<w:p>
<w:pPr><w:pStyle w:val="Normal"/></w:pPr>
<w:r><w:t xml:space="preserve">gifts.  Much against her own wish, we are told, she was</w:t></w:r>
</w:p>
<w:p>
<w:pPr><w:pStyle w:val="Normal"/></w:pPr>
<w:r><w:t xml:space="preserve">appointed abbess at the age of twenty-five.  In 1668, four</w:t></w:r>
</w:p>
<w:p>
<w:pPr><w:pStyle w:val="Normal"/></w:pPr>
<w:r><w:t xml:space="preserve">years after her death, the Franciscans published a story that</w:t></w:r>
</w:p>
<w:p>
<w:pPr><w:pStyle w:val="Normal"/></w:pPr>
<w:r><w:t xml:space="preserve">at the age of twenty-two she had been miraculously conveyed to</w:t></w:r>
</w:p>
<w:p>
<w:pPr><w:pStyle w:val="Normal"/></w:pPr>
<w:r><w:t xml:space="preserve">Mexico, to convert a native people, and had made five hundred</w:t></w:r>
</w:p>
<w:p>
<w:pPr><w:pStyle w:val="Normal"/></w:pPr>
<w:r><w:t xml:space="preserve">journeys through the air for that purpose in one year.</w:t></w:r>
</w:p>
<w:p>
<w:pPr><w:pStyle w:val="Normal"/></w:pPr>
<w:r><w:t xml:space="preserve">Though the rule required the abbess to be changed every three</w:t></w:r>
</w:p>
<w:p>
<w:pPr><w:pStyle w:val="Normal"/></w:pPr>
<w:r><w:t xml:space="preserve">years, Maria remained the effective ruler of Agreda till her</w:t></w:r>
</w:p>
<w:p>
<w:pPr><w:pStyle w:val="Normal"/></w:pPr>
<w:r><w:t xml:space="preserve">death.  The Virgin was declared abbess, and Maria acted as</w:t></w:r>
</w:p>
<w:p>
<w:pPr><w:pStyle w:val="Normal"/></w:pPr>
<w:r><w:t xml:space="preserve">her locus tenens. In her later years she inclined to the</w:t></w:r>
</w:p>
<w:p>
<w:pPr><w:pStyle w:val="Normal"/></w:pPr>
<w:r><w:t xml:space="preserve">``internal prayer,&apos;&apos; and neglect of the outward offices</w:t></w:r>
</w:p>
<w:p>
<w:pPr><w:pStyle w:val="Normal"/></w:pPr>
<w:r><w:t xml:space="preserve">of the church, which was usual with the ``alumbrados&apos;&apos; or</w:t></w:r>
</w:p>
<w:p>
<w:pPr><w:pStyle w:val="Normal"/></w:pPr>
<w:r><w:t xml:space="preserve">Quietists.  The Inquisition took notice of her, but she was</w:t></w:r>
</w:p>
<w:p>
<w:pPr><w:pStyle w:val="Normal"/></w:pPr>
<w:r><w:t xml:space="preserve">not proceeded against with severity.  Maria&apos;s importance in</w:t></w:r>
</w:p>
<w:p>
<w:pPr><w:pStyle w:val="Normal"/></w:pPr>
<w:r><w:t xml:space="preserve">religion and Spanish history is based on two grounds.  In the</w:t></w:r>
</w:p>
<w:p>
<w:pPr><w:pStyle w:val="Normal"/></w:pPr>
<w:r><w:t xml:space="preserve">earlier part of her life, while the Franciscan, Francisco Andres</w:t></w:r>
</w:p>
<w:p>
<w:pPr><w:pStyle w:val="Normal"/></w:pPr>
<w:r><w:t xml:space="preserve">de la Torre, was her confessor, she wrote an Introduction to</w:t></w:r>
</w:p>
<w:p>
<w:pPr><w:pStyle w:val="Normal"/></w:pPr>
<w:r><w:t xml:space="preserve">the History of the Most Blessed Virgin. It was destroyed by</w:t></w:r>
</w:p>
<w:p>
<w:pPr><w:pStyle w:val="Normal"/></w:pPr>
<w:r><w:t xml:space="preserve">the direction of another confessor.  Later on, by the order</w:t></w:r>
</w:p>
<w:p>
<w:pPr><w:pStyle w:val="Normal"/></w:pPr>
<w:r><w:t xml:space="preserve">of her superiors, and under the guidance of her Franciscan</w:t></w:r>
</w:p>
<w:p>
<w:pPr><w:pStyle w:val="Normal"/></w:pPr>
<w:r><w:t xml:space="preserve">confessor, Andres de Fuen Mayor, she wrote The Mystic City</w:t></w:r>
</w:p>
<w:p>
<w:pPr><w:pStyle w:val="Normal"/></w:pPr>
<w:r><w:t xml:space="preserve">of God. It is an extraordinary book, full of apocryphal</w:t></w:r>
</w:p>
<w:p>
<w:pPr><w:pStyle w:val="Normal"/></w:pPr>
<w:r><w:t xml:space="preserve">history, visions and scholasticism, which professes to have</w:t></w:r>
</w:p>
<w:p>
<w:pPr><w:pStyle w:val="Normal"/></w:pPr>
<w:r><w:t xml:space="preserve">been written by divine inspiration, and is devoted to praise</w:t></w:r>
</w:p>
<w:p>
<w:pPr><w:pStyle w:val="Normal"/></w:pPr>
<w:r><w:t xml:space="preserve">of the Virgin.  In 1642 she sent to Philip IV. an account of</w:t></w:r>
</w:p>
<w:p>
<w:pPr><w:pStyle w:val="Normal"/></w:pPr>
<w:r><w:t xml:space="preserve">a vision she had had, of a council of the infernal powers for</w:t></w:r>
</w:p>
<w:p>
<w:pPr><w:pStyle w:val="Normal"/></w:pPr>
<w:r><w:t xml:space="preserve">the destruction of Catholicism and Spain.  The king visited</w:t></w:r>
</w:p>
<w:p>
<w:pPr><w:pStyle w:val="Normal"/></w:pPr>
<w:r><w:t xml:space="preserve">her when on his way to Aragon to suppress the rebellion of</w:t></w:r>
</w:p>
<w:p>
<w:pPr><w:pStyle w:val="Normal"/></w:pPr>
<w:r><w:t xml:space="preserve">Catalonia.  A long correspondence, which lasted till her death</w:t></w:r>
</w:p>
<w:p>
<w:pPr><w:pStyle w:val="Normal"/></w:pPr>
<w:r><w:t xml:space="preserve">on the 29th of March 1665, was begun.  The king folded a sheet</w:t></w:r>
</w:p>
<w:p>
<w:pPr><w:pStyle w:val="Normal"/></w:pPr>
<w:r><w:t xml:space="preserve">of paper down the middle and wrote on the one side of the</w:t></w:r>
</w:p>
<w:p>
<w:pPr><w:pStyle w:val="Normal"/></w:pPr>
<w:r><w:t xml:space="preserve">division.  The answers were to be written on the other and</w:t></w:r>
</w:p>
<w:p>
<w:pPr><w:pStyle w:val="Normal"/></w:pPr>
<w:r><w:t xml:space="preserve">the sheet returned.  By a pious fraud copies were kept at</w:t></w:r>
</w:p>
<w:p>
<w:pPr><w:pStyle w:val="Normal"/></w:pPr>
<w:r><w:t xml:space="preserve">Agreda.  How far Maria was only the mouthpiece of the Franciscans</w:t></w:r>
</w:p>
<w:p>
<w:pPr><w:pStyle w:val="Normal"/></w:pPr>
<w:r><w:t xml:space="preserve">must of course be a matter of doubt.  Her correspondence was</w:t></w:r>
</w:p>
<w:p>
<w:pPr><w:pStyle w:val="Normal"/></w:pPr>
<w:r><w:t xml:space="preserve">apparently suspended whenever her confessor was absent.  She</w:t></w:r>
</w:p>
<w:p>
<w:pPr><w:pStyle w:val="Normal"/></w:pPr>
<w:r><w:t xml:space="preserve">must, however, have co-operated at least, and it is certain</w:t></w:r>
</w:p>
<w:p>
<w:pPr><w:pStyle w:val="Normal"/></w:pPr>
<w:r><w:t xml:space="preserve">that the Franciscans, who were very unfortunate in some of</w:t></w:r>
</w:p>
<w:p>
<w:pPr><w:pStyle w:val="Normal"/></w:pPr>
<w:r><w:t xml:space="preserve">their pious women, owed not a little to her.  The letters are</w:t></w:r>
</w:p>
<w:p>
<w:pPr><w:pStyle w:val="Normal"/></w:pPr>
<w:r><w:t xml:space="preserve">in excellent Spanish, are curious reading, and are invaluable</w:t></w:r>
</w:p>
<w:p>
<w:pPr><w:pStyle w:val="Normal"/></w:pPr>
<w:r><w:t xml:space="preserve">as illustrations for the second part of the reign of Philip IV.</w:t></w:r>
</w:p>
<w:p>
<w:pPr><w:pStyle w:val="Normal"/></w:pPr>
<w:r><w:t xml:space="preserve">The correspondence of Sor Maria with the king has been</w:t></w:r>
</w:p>
<w:p>
<w:pPr><w:pStyle w:val="Normal"/></w:pPr>
<w:r><w:t xml:space="preserve">published in full by Don F. Siluela, Cartas de la Venerable</w:t></w:r>
</w:p>
<w:p>
<w:pPr><w:pStyle w:val="Normal"/></w:pPr>
<w:r><w:t xml:space="preserve">Madre Sor Maria de Agreda y del Senor Rey Don Filipe IV.</w:t></w:r>
</w:p>
<w:p>
<w:pPr><w:pStyle w:val="Normal"/></w:pPr>
<w:r><w:t xml:space="preserve">(Madrid, 1885). The Mystic City of God is one of the most</w:t></w:r>
</w:p>
<w:p>
<w:pPr><w:pStyle w:val="Normal"/></w:pPr>
<w:r><w:t xml:space="preserve">characteristic monuments of Mariolatry, and has continued to be</w:t></w:r>
</w:p>
<w:p>
<w:pPr><w:pStyle w:val="Normal"/></w:pPr>
<w:r><w:t xml:space="preserve">much in favour with supporters of the dogma of the Immaculate</w:t></w:r>
</w:p>
<w:p>
<w:pPr><w:pStyle w:val="Normal"/></w:pPr>
<w:r><w:t xml:space="preserve">Conception.  It appeared in Madrid in 1668, with a biographical</w:t></w:r>
</w:p>
<w:p>
<w:pPr><w:pStyle w:val="Normal"/></w:pPr>
<w:r><w:t xml:space="preserve">introduction by Samaniego, has been often reprinted, and was</w:t></w:r>
</w:p>
<w:p>
<w:pPr><w:pStyle w:val="Normal"/></w:pPr>
<w:r><w:t xml:space="preserve">translated into French and Italian.  It was for a time reserved</w:t></w:r>
</w:p>
<w:p>
<w:pPr><w:pStyle w:val="Normal"/></w:pPr>
<w:r><w:t xml:space="preserve">by the Index, both Spanish and Papal, but was taken off by the</w:t></w:r>
</w:p>
<w:p>
<w:pPr><w:pStyle w:val="Normal"/></w:pPr>
<w:r><w:t xml:space="preserve">influence of the Franciscans and of Spain, the chief supporters</w:t></w:r>
</w:p>
<w:p>
<w:pPr><w:pStyle w:val="Normal"/></w:pPr>
<w:r><w:t xml:space="preserve">of the immaculate Conception.  An account of Maria de Agreda</w:t></w:r>
</w:p>
<w:p>
<w:pPr><w:pStyle w:val="Normal"/></w:pPr>
<w:r><w:t xml:space="preserve">will be found in the Tracts of Michael Geddes (London,</w:t></w:r>
</w:p>
<w:p>
<w:pPr><w:pStyle w:val="Normal"/></w:pPr>
<w:r><w:t xml:space="preserve">1706),vol. iii., written by a competent critic and Anglican</w:t></w:r>
</w:p>
<w:p>
<w:pPr><w:pStyle w:val="Normal"/></w:pPr>
<w:r><w:t xml:space="preserve">divine of the 18th century who detested ``enthusiasm.&apos;&apos; (D. H.)</w:t></w:r>
</w:p>
<w:p>
<w:pPr><w:pStyle w:val="Normal"/></w:pPr>
<w:r><w:t xml:space="preserve">AGRICOLA, CHRISTOPH LUDWIG (1667-1719), German landscape</w:t></w:r>
</w:p>
<w:p>
<w:pPr><w:pStyle w:val="Normal"/></w:pPr>
<w:r><w:t xml:space="preserve">painter, was born and died at Regensburg (Ratisbon).  He</w:t></w:r>
</w:p>
<w:p>
<w:pPr><w:pStyle w:val="Normal"/></w:pPr>
<w:r><w:t xml:space="preserve">spent a great part of his life in travel, visiting England,</w:t></w:r>
</w:p>
<w:p>
<w:pPr><w:pStyle w:val="Normal"/></w:pPr>
<w:r><w:t xml:space="preserve">Holland and France, and residing for a considerable period at</w:t></w:r>
</w:p>
<w:p>
<w:pPr><w:pStyle w:val="Normal"/></w:pPr>
<w:r><w:t xml:space="preserve">Naples.  His numerous landscapes, chiefly cabinet pictures,</w:t></w:r>
</w:p>
<w:p>
<w:pPr><w:pStyle w:val="Normal"/></w:pPr>
<w:r><w:t xml:space="preserve">are remarkable for fidelity to nature, and especially for</w:t></w:r>
</w:p>
<w:p>
<w:pPr><w:pStyle w:val="Normal"/></w:pPr>
<w:r><w:t xml:space="preserve">their skilful representation of varied phases of climate.  In</w:t></w:r>
</w:p>
<w:p>
<w:pPr><w:pStyle w:val="Normal"/></w:pPr>
<w:r><w:t xml:space="preserve">composition his style shows the influence of Caspar Poussin,</w:t></w:r>
</w:p>
<w:p>
<w:pPr><w:pStyle w:val="Normal"/></w:pPr>
<w:r><w:t xml:space="preserve">while in light and colour he imitates Claude Lorraine.</w:t></w:r>
</w:p>
<w:p>
<w:pPr><w:pStyle w:val="Normal"/></w:pPr>
<w:r><w:t xml:space="preserve">His pictures are to be found in Dresden, Brunswick, Vienna,</w:t></w:r>
</w:p>
<w:p>
<w:pPr><w:pStyle w:val="Normal"/></w:pPr>
<w:r><w:t xml:space="preserve">Florence, Naples and many other towns of both Germany and Italy.</w:t></w:r>
</w:p>
<w:p>
<w:pPr><w:pStyle w:val="Normal"/></w:pPr>
<w:r><w:t xml:space="preserve">AGRICOLA (the Latinized form of the name BAUER), GEORG</w:t></w:r>
</w:p>
<w:p>
<w:pPr><w:pStyle w:val="Normal"/></w:pPr>
<w:r><w:t xml:space="preserve">(1490-1555), German scholar and man of science, known as ``the</w:t></w:r>
</w:p>
<w:p>
<w:pPr><w:pStyle w:val="Normal"/></w:pPr>
<w:r><w:t xml:space="preserve">father of mineralogy,&apos;&apos; was born at Glauchau in Saxony on the</w:t></w:r>
</w:p>
<w:p>
<w:pPr><w:pStyle w:val="Normal"/></w:pPr>
<w:r><w:t xml:space="preserve">24th of March 1490.  Gifted with a precocious intellect, he</w:t></w:r>
</w:p>
<w:p>
<w:pPr><w:pStyle w:val="Normal"/></w:pPr>
<w:r><w:t xml:space="preserve">early threw himself into the pursuit of the ``new learning,&apos;&apos;</w:t></w:r>
</w:p>
<w:p>
<w:pPr><w:pStyle w:val="Normal"/></w:pPr>
<w:r><w:t xml:space="preserve">with such effect that at the age of twenty he was appointed</w:t></w:r>
</w:p>
<w:p>
<w:pPr><w:pStyle w:val="Normal"/></w:pPr>
<w:r><w:t xml:space="preserve">Rector extraordinarius of Greek at the so-called Great</w:t></w:r>
</w:p>
<w:p>
<w:pPr><w:pStyle w:val="Normal"/></w:pPr>
<w:r><w:t xml:space="preserve">School of Zwickau, and made his appearance as a writer on</w:t></w:r>
</w:p>
<w:p>
<w:pPr><w:pStyle w:val="Normal"/></w:pPr>
<w:r><w:t xml:space="preserve">philology.  After two years he gave up his appointment in</w:t></w:r>
</w:p>
<w:p>
<w:pPr><w:pStyle w:val="Normal"/></w:pPr>
<w:r><w:t xml:space="preserve">order to pursue his studies at Leipzig, where, as rector, he</w:t></w:r>
</w:p>
<w:p>
<w:pPr><w:pStyle w:val="Normal"/></w:pPr>
<w:r><w:t xml:space="preserve">received the powerful support of the professor of classics,</w:t></w:r>
</w:p>
<w:p>
<w:pPr><w:pStyle w:val="Normal"/></w:pPr>
<w:r><w:t xml:space="preserve">Peter Mosellanus (1493-1524), a celebrated humanist of the</w:t></w:r>
</w:p>
<w:p>
<w:pPr><w:pStyle w:val="Normal"/></w:pPr>
<w:r><w:t xml:space="preserve">time, with whom he had already been in correspondence.  Here</w:t></w:r>
</w:p>
<w:p>
<w:pPr><w:pStyle w:val="Normal"/></w:pPr>
<w:r><w:t xml:space="preserve">he also devoted himself to the study of medicine, physics and</w:t></w:r>
</w:p>
<w:p>
<w:pPr><w:pStyle w:val="Normal"/></w:pPr>
<w:r><w:t xml:space="preserve">chemistry.  After the death of Mosellanus he went for a short</w:t></w:r>
</w:p>
<w:p>
<w:pPr><w:pStyle w:val="Normal"/></w:pPr>
<w:r><w:t xml:space="preserve">time to Italy, where he took his doctor&apos;s degree.  On his</w:t></w:r>
</w:p>
<w:p>
<w:pPr><w:pStyle w:val="Normal"/></w:pPr>
<w:r><w:t xml:space="preserve">return he settled as practising physician in the Joachimstal,</w:t></w:r>
</w:p>
<w:p>
<w:pPr><w:pStyle w:val="Normal"/></w:pPr>
<w:r><w:t xml:space="preserve">a centre of mining and smelting works, his object being partly</w:t></w:r>
</w:p>
<w:p>
<w:pPr><w:pStyle w:val="Normal"/></w:pPr>
<w:r><w:t xml:space="preserve">``to fill in the gaps in the art of healing,&apos;&apos; partly to test</w:t></w:r>
</w:p>
<w:p>
<w:pPr><w:pStyle w:val="Normal"/></w:pPr>
<w:r><w:t xml:space="preserve">what had been written about mineralogy by careful observation</w:t></w:r>
</w:p>
<w:p>
<w:pPr><w:pStyle w:val="Normal"/></w:pPr>
<w:r><w:t xml:space="preserve">of ores and the methods of their treatment.  His thorough</w:t></w:r>
</w:p>
<w:p>
<w:pPr><w:pStyle w:val="Normal"/></w:pPr>
<w:r><w:t xml:space="preserve">grounding in philology and philosophy had accustomed him to</w:t></w:r>
</w:p>
<w:p>
<w:pPr><w:pStyle w:val="Normal"/></w:pPr>
<w:r><w:t xml:space="preserve">systematic thinking, and this enabled him to construct out of</w:t></w:r>
</w:p>
<w:p>
<w:pPr><w:pStyle w:val="Normal"/></w:pPr>
<w:r><w:t xml:space="preserve">his studies and observations of minerals a logical system which</w:t></w:r>
</w:p>
<w:p>
<w:pPr><w:pStyle w:val="Normal"/></w:pPr>
<w:r><w:t xml:space="preserve">he began to publish in 1528. Bermannus, sive de re metallica</w:t></w:r>
</w:p>
<w:p>
<w:pPr><w:pStyle w:val="Normal"/></w:pPr>
<w:r><w:t xml:space="preserve">dialogus, the first attempt to reduce to scientific order</w:t></w:r>
</w:p>
<w:p>
<w:pPr><w:pStyle w:val="Normal"/></w:pPr>
<w:r><w:t xml:space="preserve">the knowledge won by practical work, brought Agricola into</w:t></w:r>
</w:p>
<w:p>
<w:pPr><w:pStyle w:val="Normal"/></w:pPr>
<w:r><w:t xml:space="preserve">notice.  In 1530 Prince Maurice of Saxony appointed him</w:t></w:r>
</w:p>
<w:p>
<w:pPr><w:pStyle w:val="Normal"/></w:pPr>
<w:r><w:t xml:space="preserve">historiographer with an annual allowance, and he migrated to</w:t></w:r>
</w:p>
<w:p>
<w:pPr><w:pStyle w:val="Normal"/></w:pPr>
<w:r><w:t xml:space="preserve">Chemnitz, the centre of the mining industry, in order to widen</w:t></w:r>
</w:p>
<w:p>
<w:pPr><w:pStyle w:val="Normal"/></w:pPr>
<w:r><w:t xml:space="preserve">the range of his observations.  The citizens showed their</w:t></w:r>
</w:p>
<w:p>
<w:pPr><w:pStyle w:val="Normal"/></w:pPr>
<w:r><w:t xml:space="preserve">appreciation of his learning by appointing him town physician</w:t></w:r>
</w:p>
<w:p>
<w:pPr><w:pStyle w:val="Normal"/></w:pPr>
<w:r><w:t xml:space="preserve">and electing him burgomaster.  His popularity was, however,</w:t></w:r>
</w:p>
<w:p>
<w:pPr><w:pStyle w:val="Normal"/></w:pPr>
<w:r><w:t xml:space="preserve">short-lived.  Chemnitz was a violent centre of the Protestant</w:t></w:r>
</w:p>
<w:p>
<w:pPr><w:pStyle w:val="Normal"/></w:pPr>
<w:r><w:t xml:space="preserve">movement, while Agricola never wavered in his allegiance</w:t></w:r>
</w:p>
<w:p>
<w:pPr><w:pStyle w:val="Normal"/></w:pPr>
<w:r><w:t xml:space="preserve">to the old religion; and he was forced to resign his</w:t></w:r>
</w:p>
<w:p>
<w:pPr><w:pStyle w:val="Normal"/></w:pPr>
<w:r><w:t xml:space="preserve">office.  He now lived apart from the contentious movements</w:t></w:r>
</w:p>
<w:p>
<w:pPr><w:pStyle w:val="Normal"/></w:pPr>
<w:r><w:t xml:space="preserve">of the time, devoting himself wholly to learning.  His chief</w:t></w:r>
</w:p>
<w:p>
<w:pPr><w:pStyle w:val="Normal"/></w:pPr>
<w:r><w:t xml:space="preserve">interest was still in mineralogy; but he occupied himself</w:t></w:r>
</w:p>
<w:p>
<w:pPr><w:pStyle w:val="Normal"/></w:pPr>
<w:r><w:t xml:space="preserve">also with medical, mathematical, theological and historical</w:t></w:r>
</w:p>
<w:p>
<w:pPr><w:pStyle w:val="Normal"/></w:pPr>
<w:r><w:t xml:space="preserve">subjects, his chief historical work being the Dominatores</w:t></w:r>
</w:p>
<w:p>
<w:pPr><w:pStyle w:val="Normal"/></w:pPr>
<w:r><w:t xml:space="preserve">Saxonici a prima origine ad hanc aetatem, published at</w:t></w:r>
</w:p>
<w:p>
<w:pPr><w:pStyle w:val="Normal"/></w:pPr>
<w:r><w:t xml:space="preserve">Freiberg.  In 1544 he published the De ortu et causis</w:t></w:r>
</w:p>
<w:p>
<w:pPr><w:pStyle w:val="Normal"/></w:pPr>
<w:r><w:t xml:space="preserve">subterraneorum, in which he laid the first foundations</w:t></w:r>
</w:p>
<w:p>
<w:pPr><w:pStyle w:val="Normal"/></w:pPr>
<w:r><w:t xml:space="preserve">of a physical geology, and criticized the theories of the</w:t></w:r>
</w:p>
<w:p>
<w:pPr><w:pStyle w:val="Normal"/></w:pPr>
<w:r><w:t xml:space="preserve">ancients.  In 1545 followed the De natura eorum quae effluunt</w:t></w:r>
</w:p>
<w:p>
<w:pPr><w:pStyle w:val="Normal"/></w:pPr>
<w:r><w:t xml:space="preserve">e terra; in 1546 the De veteribus et novis metallis, a</w:t></w:r>
</w:p>
<w:p>
<w:pPr><w:pStyle w:val="Normal"/></w:pPr>
<w:r><w:t xml:space="preserve">comprehensive account of the discovery and occurrence of</w:t></w:r>
</w:p>
<w:p>
<w:pPr><w:pStyle w:val="Normal"/></w:pPr>
<w:r><w:t xml:space="preserve">minerals; in 1548 the De animantibus subterraneis; and</w:t></w:r>
</w:p>
<w:p>
<w:pPr><w:pStyle w:val="Normal"/></w:pPr>
<w:r><w:t xml:space="preserve">in the two following years a number of smaller works on the</w:t></w:r>
</w:p>
<w:p>
<w:pPr><w:pStyle w:val="Normal"/></w:pPr>
<w:r><w:t xml:space="preserve">metals.  His most famous work, the De re metallica, libri</w:t></w:r>
</w:p>
<w:p>
<w:pPr><w:pStyle w:val="Normal"/></w:pPr>
<w:r><w:t xml:space="preserve">xii., was published in 1556, though apparently finished</w:t></w:r>
</w:p>
<w:p>
<w:pPr><w:pStyle w:val="Normal"/></w:pPr>
<w:r><w:t xml:space="preserve">several years before, since the dedication to the elector and</w:t></w:r>
</w:p>
<w:p>
<w:pPr><w:pStyle w:val="Normal"/></w:pPr>
<w:r><w:t xml:space="preserve">his brother is dated 1550.  It is a complete and systematic</w:t></w:r>
</w:p>
<w:p>
<w:pPr><w:pStyle w:val="Normal"/></w:pPr>
<w:r><w:t xml:space="preserve">treatise on mining and metallurgy, illustrated with many fine</w:t></w:r>
</w:p>
<w:p>
<w:pPr><w:pStyle w:val="Normal"/></w:pPr>
<w:r><w:t xml:space="preserve">and interesting woodcuts and containing, in an appendix, the</w:t></w:r>
</w:p>
<w:p>
<w:pPr><w:pStyle w:val="Normal"/></w:pPr>
<w:r><w:t xml:space="preserve">German equivalents for the technical terms used in the Latin</w:t></w:r>
</w:p>
<w:p>
<w:pPr><w:pStyle w:val="Normal"/></w:pPr>
<w:r><w:t xml:space="preserve">text.  It long remained a standard work, and marks its</w:t></w:r>
</w:p>
<w:p>
<w:pPr><w:pStyle w:val="Normal"/></w:pPr>
<w:r><w:t xml:space="preserve">author as one of the most accomplished chemists of his</w:t></w:r>
</w:p>
<w:p>
<w:pPr><w:pStyle w:val="Normal"/></w:pPr>
<w:r><w:t xml:space="preserve">time.  Believing the black rock of the Schlossberg at Stolpen</w:t></w:r>
</w:p>
<w:p>
<w:pPr><w:pStyle w:val="Normal"/></w:pPr>
<w:r><w:t xml:space="preserve">to be the same as Pliny&apos;s basalt, he applied this name to</w:t></w:r>
</w:p>
<w:p>
<w:pPr><w:pStyle w:val="Normal"/></w:pPr>
<w:r><w:t xml:space="preserve">it, and thus originated a petrological term which has been</w:t></w:r>
</w:p>
<w:p>
<w:pPr><w:pStyle w:val="Normal"/></w:pPr>
<w:r><w:t xml:space="preserve">permanently incorporated in the vocabulary of science.</w:t></w:r>
</w:p>
<w:p>
<w:pPr><w:pStyle w:val="Normal"/></w:pPr>
<w:r><w:t xml:space="preserve">In spite of the early proof that Agricola had given of the</w:t></w:r>
</w:p>
<w:p>
<w:pPr><w:pStyle w:val="Normal"/></w:pPr>
<w:r><w:t xml:space="preserve">tolerance of his own religious attitude, he was not suffered</w:t></w:r>
</w:p>
<w:p>
<w:pPr><w:pStyle w:val="Normal"/></w:pPr>
<w:r><w:t xml:space="preserve">to end his days in peace.  He remained to the end a staunch</w:t></w:r>
</w:p>
<w:p>
<w:pPr><w:pStyle w:val="Normal"/></w:pPr>
<w:r><w:t xml:space="preserve">Catholic, though all Chemnitz had gone over to the Lutheran</w:t></w:r>
</w:p>
<w:p>
<w:pPr><w:pStyle w:val="Normal"/></w:pPr>
<w:r><w:t xml:space="preserve">creed; and it is said that his life was ended by a fit of</w:t></w:r>
</w:p>
<w:p>
<w:pPr><w:pStyle w:val="Normal"/></w:pPr>
<w:r><w:t xml:space="preserve">apoplexy brought on by a heated discussion with a Protestant</w:t></w:r>
</w:p>
<w:p>
<w:pPr><w:pStyle w:val="Normal"/></w:pPr>
<w:r><w:t xml:space="preserve">divine.  He died at Chemnitz on the 21st of November 1555,</w:t></w:r>
</w:p>
<w:p>
<w:pPr><w:pStyle w:val="Normal"/></w:pPr>
<w:r><w:t xml:space="preserve">and so violent was the theological feeling against him, that</w:t></w:r>
</w:p>
<w:p>
<w:pPr><w:pStyle w:val="Normal"/></w:pPr>
<w:r><w:t xml:space="preserve">he was not suffered to rest in the town to which he had added</w:t></w:r>
</w:p>
<w:p>
<w:pPr><w:pStyle w:val="Normal"/></w:pPr>
<w:r><w:t xml:space="preserve">lustre.  Amidst hostile demonstrations he was carried</w:t></w:r>
</w:p>
<w:p>
<w:pPr><w:pStyle w:val="Normal"/></w:pPr>
<w:r><w:t xml:space="preserve">to Zeitz, seven miles from Chemnitz, and there buried.</w:t></w:r>
</w:p>
<w:p>
<w:pPr><w:pStyle w:val="Normal"/></w:pPr>
<w:r><w:t xml:space="preserve">See article by Gumbel in Allgem.  Deutsche Biog.</w:t></w:r>
</w:p>
<w:p>
<w:pPr><w:pStyle w:val="Normal"/></w:pPr>
<w:r><w:t xml:space="preserve">(1875); F. L. Becher, Georg Agricola und Werner</w:t></w:r>
</w:p>
<w:p>
<w:pPr><w:pStyle w:val="Normal"/></w:pPr>
<w:r><w:t xml:space="preserve">(Freiberg, 1819); F. A. Schmidt, Georg Agricola&apos;s</w:t></w:r>
</w:p>
<w:p>
<w:pPr><w:pStyle w:val="Normal"/></w:pPr>
<w:r><w:t xml:space="preserve">Bermannus mit Einleitung (Freiberg, 1806); Poggendorff,</w:t></w:r>
</w:p>
<w:p>
<w:pPr><w:pStyle w:val="Normal"/></w:pPr>
<w:r><w:t xml:space="preserve">Biographisches Handworterbuch; Agricola&apos;s works passim.</w:t></w:r>
</w:p>
<w:p>
<w:pPr><w:pStyle w:val="Normal"/></w:pPr>
<w:r><w:t xml:space="preserve">AGRICOLA, GNAEUS JULIUS (A.D. 37-93), Roman statesman and</w:t></w:r>
</w:p>
<w:p>
<w:pPr><w:pStyle w:val="Normal"/></w:pPr>
<w:r><w:t xml:space="preserve">general, father-in-law of the historian Tacitus, was born on</w:t></w:r>
</w:p>
<w:p>
<w:pPr><w:pStyle w:val="Normal"/></w:pPr>
<w:r><w:t xml:space="preserve">the 13th of June A.D. 37 (according to others, 39) at Forum</w:t></w:r>
</w:p>
<w:p>
<w:pPr><w:pStyle w:val="Normal"/></w:pPr>
<w:r><w:t xml:space="preserve">Julii (Frejus) in Gallia Narbonensis.  His father, Julius</w:t></w:r>
</w:p>
<w:p>
<w:pPr><w:pStyle w:val="Normal"/></w:pPr>
<w:r><w:t xml:space="preserve">Graecinus, having been put to death by Caligula, Agricola</w:t></w:r>
</w:p>
<w:p>
<w:pPr><w:pStyle w:val="Normal"/></w:pPr>
<w:r><w:t xml:space="preserve">was brought up by his mother Julia Procilla.  After studying</w:t></w:r>
</w:p>
<w:p>
<w:pPr><w:pStyle w:val="Normal"/></w:pPr>
<w:r><w:t xml:space="preserve">philosophy at Massilia, he entered the army and served (59)</w:t></w:r>
</w:p>
<w:p>
<w:pPr><w:pStyle w:val="Normal"/></w:pPr>
<w:r><w:t xml:space="preserve">under Suetonius Paulinus in Britain.  In 61 he returned to</w:t></w:r>
</w:p>
<w:p>
<w:pPr><w:pStyle w:val="Normal"/></w:pPr>
<w:r><w:t xml:space="preserve">Rome, where he married Domitia Decidiana, a Roman lady of</w:t></w:r>
</w:p>
<w:p>
<w:pPr><w:pStyle w:val="Normal"/></w:pPr>
<w:r><w:t xml:space="preserve">distinction.  In 63 he was quaestor in Asia, in 65 tribune,</w:t></w:r>
</w:p>
<w:p>
<w:pPr><w:pStyle w:val="Normal"/></w:pPr>
<w:r><w:t xml:space="preserve">in 68 praetor, and when Vespasian was proclaimed emperor,</w:t></w:r>
</w:p>
<w:p>
<w:pPr><w:pStyle w:val="Normal"/></w:pPr>
<w:r><w:t xml:space="preserve">he immediately declared himself his supporter.  In 70 he was</w:t></w:r>
</w:p>
<w:p>
<w:pPr><w:pStyle w:val="Normal"/></w:pPr>
<w:r><w:t xml:space="preserve">appointed to the command of the 20th legion in Britain, then</w:t></w:r>
</w:p>
<w:p>
<w:pPr><w:pStyle w:val="Normal"/></w:pPr>
<w:r><w:t xml:space="preserve">stationed at Deva (Chester).  On his return to Rome at the</w:t></w:r>
</w:p>
<w:p>
<w:pPr><w:pStyle w:val="Normal"/></w:pPr>
<w:r><w:t xml:space="preserve">end of three years he was made censor, raised to the rank of</w:t></w:r>
</w:p>
<w:p>
<w:pPr><w:pStyle w:val="Normal"/></w:pPr>
<w:r><w:t xml:space="preserve">patrician, and appointed governor of Aquitania (74-78).</w:t></w:r>
</w:p>
<w:p>
<w:pPr><w:pStyle w:val="Normal"/></w:pPr>
<w:r><w:t xml:space="preserve">Appointed consul suffectus in the following year, he was</w:t></w:r>
</w:p>
<w:p>
<w:pPr><w:pStyle w:val="Normal"/></w:pPr>
<w:r><w:t xml:space="preserve">admitted into the college of pontiffs and made governor of</w:t></w:r>
</w:p>
<w:p>
<w:pPr><w:pStyle w:val="Normal"/></w:pPr>
<w:r><w:t xml:space="preserve">Britain.  In the same year he betrothed his daughter to</w:t></w:r>
</w:p>
<w:p>
<w:pPr><w:pStyle w:val="Normal"/></w:pPr>
<w:r><w:t xml:space="preserve">Tacitus.  Although the legation of Britain lasted as a rule</w:t></w:r>
</w:p>
<w:p>
<w:pPr><w:pStyle w:val="Normal"/></w:pPr>
<w:r><w:t xml:space="preserve">only three years, Agricola held the post for at least seven</w:t></w:r>
</w:p>
<w:p>
<w:pPr><w:pStyle w:val="Normal"/></w:pPr>
<w:r><w:t xml:space="preserve">and succeeded in reconciling the inhabitants to Roman rule</w:t></w:r>
</w:p>
<w:p>
<w:pPr><w:pStyle w:val="Normal"/></w:pPr>
<w:r><w:t xml:space="preserve">and inducing them to adopt the customs and civilization of</w:t></w:r>
</w:p>
<w:p>
<w:pPr><w:pStyle w:val="Normal"/></w:pPr>
<w:r><w:t xml:space="preserve">their conquerors.  His military achievements were equally</w:t></w:r>
</w:p>
<w:p>
<w:pPr><w:pStyle w:val="Normal"/></w:pPr>
<w:r><w:t xml:space="preserve">brilliant.  After conquering the Ordovices in North Wales and</w:t></w:r>
</w:p>
<w:p>
<w:pPr><w:pStyle w:val="Normal"/></w:pPr>
<w:r><w:t xml:space="preserve">the island of Mona (Anglesey), during the next two years he</w:t></w:r>
</w:p>
<w:p>
<w:pPr><w:pStyle w:val="Normal"/></w:pPr>
<w:r><w:t xml:space="preserve">carried his victorious arms to the Taus (Tay; others read</w:t></w:r>
</w:p>
<w:p>
<w:pPr><w:pStyle w:val="Normal"/></w:pPr>
<w:r><w:t xml:space="preserve">Tanaus, perhaps the north Tyne), and in his fourth campaign</w:t></w:r>
</w:p>
<w:p>
<w:pPr><w:pStyle w:val="Normal"/></w:pPr>
<w:r><w:t xml:space="preserve">fortified the country between Clota and Bodotria (the firths</w:t></w:r>
</w:p>
<w:p>
<w:pPr><w:pStyle w:val="Normal"/></w:pPr>
<w:r><w:t xml:space="preserve">of Clyde and Forth) as a protection against the attacks of the</w:t></w:r>
</w:p>
<w:p>
<w:pPr><w:pStyle w:val="Normal"/></w:pPr>
<w:r><w:t xml:space="preserve">Caledonians.  Having explored the coasts of Fife and Forfar, he</w:t></w:r>
</w:p>
<w:p>
<w:pPr><w:pStyle w:val="Normal"/></w:pPr>
<w:r><w:t xml:space="preserve">gained a decisive victory over the Caledonians under Galgacus</w:t></w:r>
</w:p>
<w:p>
<w:pPr><w:pStyle w:val="Normal"/></w:pPr>
<w:r><w:t xml:space="preserve">at the Graupian hill (see BRITAIN, Roman.) His successes,</w:t></w:r>
</w:p>
<w:p>
<w:pPr><w:pStyle w:val="Normal"/></w:pPr>
<w:r><w:t xml:space="preserve">however, had aroused the envy and suspicion of Domitian.</w:t></w:r>
</w:p>
<w:p>
<w:pPr><w:pStyle w:val="Normal"/></w:pPr>
<w:r><w:t xml:space="preserve">He was recalled to Rome, where he lived a life of studied</w:t></w:r>
</w:p>
<w:p>
<w:pPr><w:pStyle w:val="Normal"/></w:pPr>
<w:r><w:t xml:space="preserve">retirement, to avoid the possibility of giving offence to the</w:t></w:r>
</w:p>
<w:p>
<w:pPr><w:pStyle w:val="Normal"/></w:pPr>
<w:r><w:t xml:space="preserve">tyrant.  He died in 93, poisoned, it was rumoured, by the</w:t></w:r>
</w:p>
<w:p>
<w:pPr><w:pStyle w:val="Normal"/></w:pPr>
<w:r><w:t xml:space="preserve">emperor&apos;s orders.  The Life of Agricola by his son-in-law</w:t></w:r>
</w:p>
<w:p>
<w:pPr><w:pStyle w:val="Normal"/></w:pPr>
<w:r><w:t xml:space="preserve">Tacitus is practically a panegyric or funeral oration.</w:t></w:r>
</w:p>
<w:p>
<w:pPr><w:pStyle w:val="Normal"/></w:pPr>
<w:r><w:t xml:space="preserve">See Urlichs, De Vita et Honoribus Agricolae (1868);</w:t></w:r>
</w:p>
<w:p>
<w:pPr><w:pStyle w:val="Normal"/></w:pPr>
<w:r><w:t xml:space="preserve">Dio Cassius xxxix. 50, lxvi. 20: Mommsen, Provinces of</w:t></w:r>
</w:p>
<w:p>
<w:pPr><w:pStyle w:val="Normal"/></w:pPr>
<w:r><w:t xml:space="preserve">the Roman Empire (Eng. trans., 1886), i. 183-184, 194.</w:t></w:r>
</w:p>
<w:p>
<w:pPr><w:pStyle w:val="Normal"/></w:pPr>
<w:r><w:t xml:space="preserve">AGRICOLA, JOHANN FRIEDRICH (1720-1774), German musician, was</w:t></w:r>
</w:p>
<w:p>
<w:pPr><w:pStyle w:val="Normal"/></w:pPr>
<w:r><w:t xml:space="preserve">born at Dobitschen in Saxe-Altenburg, on the 4th of January</w:t></w:r>
</w:p>
<w:p>
<w:pPr><w:pStyle w:val="Normal"/></w:pPr>
<w:r><w:t xml:space="preserve">1720.  While a student of law at Leipzig he studied music</w:t></w:r>
</w:p>
<w:p>
<w:pPr><w:pStyle w:val="Normal"/></w:pPr>
<w:r><w:t xml:space="preserve">under Johann Sebastian Bach.  In 1741 he went to Berlin,</w:t></w:r>
</w:p>
<w:p>
<w:pPr><w:pStyle w:val="Normal"/></w:pPr>
<w:r><w:t xml:space="preserve">where he studied musical composition.  He was soon generally</w:t></w:r>
</w:p>
<w:p>
<w:pPr><w:pStyle w:val="Normal"/></w:pPr>
<w:r><w:t xml:space="preserve">recognized as one of the most skilful organists of his time;</w:t></w:r>
</w:p>
<w:p>
<w:pPr><w:pStyle w:val="Normal"/></w:pPr>
<w:r><w:t xml:space="preserve">and in 1751, as the result of a comic opera, Il Filosofo</w:t></w:r>
</w:p>
<w:p>
<w:pPr><w:pStyle w:val="Normal"/></w:pPr>
<w:r><w:t xml:space="preserve">convinto in amore, performed at Potsdam, he was made court</w:t></w:r>
</w:p>
<w:p>
<w:pPr><w:pStyle w:val="Normal"/></w:pPr>
<w:r><w:t xml:space="preserve">composer to Frederick the Great.  He died in Berlin on the</w:t></w:r>
</w:p>
<w:p>
<w:pPr><w:pStyle w:val="Normal"/></w:pPr>
<w:r><w:t xml:space="preserve">1st of December 1774.  In 1759, on the death of Karl Heinrich</w:t></w:r>
</w:p>
<w:p>
<w:pPr><w:pStyle w:val="Normal"/></w:pPr>
<w:r><w:t xml:space="preserve">Graun, he was appointed conductor of the royal orchestra.</w:t></w:r>
</w:p>
<w:p>
<w:pPr><w:pStyle w:val="Normal"/></w:pPr>
<w:r><w:t xml:space="preserve">Besides several operas of merit, he composed instrumental</w:t></w:r>
</w:p>
<w:p>
<w:pPr><w:pStyle w:val="Normal"/></w:pPr>
<w:r><w:t xml:space="preserve">pieces and church music.  His reputation chiefly rests,</w:t></w:r>
</w:p>
<w:p>
<w:pPr><w:pStyle w:val="Normal"/></w:pPr>
<w:r><w:t xml:space="preserve">however, on his theoretical and critical writings on musical</w:t></w:r>
</w:p>
<w:p>
<w:pPr><w:pStyle w:val="Normal"/></w:pPr>
<w:r><w:t xml:space="preserve">subjects.  He wrote under the pseudonym of Flavio Anicio Olibrio.</w:t></w:r>
</w:p>
<w:p>
<w:pPr><w:pStyle w:val="Normal"/></w:pPr>
<w:r><w:t xml:space="preserve">AGRICOLA (originally SCHNEIDER, then SCHNITTER), JOHANNES</w:t></w:r>
</w:p>
<w:p>
<w:pPr><w:pStyle w:val="Normal"/></w:pPr>
<w:r><w:t xml:space="preserve">(1494-1566), German Protestant reformer, was born on the 20th of</w:t></w:r>
</w:p>
<w:p>
<w:pPr><w:pStyle w:val="Normal"/></w:pPr>
<w:r><w:t xml:space="preserve">April 1494, at Eisleben, whence he is sometimes called Magister</w:t></w:r>
</w:p>
<w:p>
<w:pPr><w:pStyle w:val="Normal"/></w:pPr>
<w:r><w:t xml:space="preserve">Islebius. He studied at Wittenberg, where he soon gained the</w:t></w:r>
</w:p>
<w:p>
<w:pPr><w:pStyle w:val="Normal"/></w:pPr>
<w:r><w:t xml:space="preserve">friendship of Luther.  In 1519 he accompanied Luther to the great</w:t></w:r>
</w:p>
<w:p>
<w:pPr><w:pStyle w:val="Normal"/></w:pPr>
<w:r><w:t xml:space="preserve">assembly of German divines at Leipzig, and acted as recording</w:t></w:r>
</w:p>
<w:p>
<w:pPr><w:pStyle w:val="Normal"/></w:pPr>
<w:r><w:t xml:space="preserve">secretary.  After teaching for some time in Wittenberg, he</w:t></w:r>
</w:p>
<w:p>
<w:pPr><w:pStyle w:val="Normal"/></w:pPr>
<w:r><w:t xml:space="preserve">went to Frankfort in 1525 to establish the reformed mode of</w:t></w:r>
</w:p>
<w:p>
<w:pPr><w:pStyle w:val="Normal"/></w:pPr>
<w:r><w:t xml:space="preserve">worship.  He had resided there only a month when he was called</w:t></w:r>
</w:p>
<w:p>
<w:pPr><w:pStyle w:val="Normal"/></w:pPr>
<w:r><w:t xml:space="preserve">to Eisleben, where he remained till 1526 as teacher in the</w:t></w:r>
</w:p>
<w:p>
<w:pPr><w:pStyle w:val="Normal"/></w:pPr>
<w:r><w:t xml:space="preserve">school of St Andrew, and preacher in the Nicolai church.  In</w:t></w:r>
</w:p>
<w:p>
<w:pPr><w:pStyle w:val="Normal"/></w:pPr>
<w:r><w:t xml:space="preserve">1536 he was recalled to teach in Wittenberg, and was welcomed by</w:t></w:r>
</w:p>
<w:p>
<w:pPr><w:pStyle w:val="Normal"/></w:pPr>
<w:r><w:t xml:space="preserve">Luther.  Almost immediately, however, a controversy, which</w:t></w:r>
</w:p>
<w:p>
<w:pPr><w:pStyle w:val="Normal"/></w:pPr>
<w:r><w:t xml:space="preserve">had been begun ten years before and been temporarily silenced,</w:t></w:r>
</w:p>
<w:p>
<w:pPr><w:pStyle w:val="Normal"/></w:pPr>
<w:r><w:t xml:space="preserve">broke out more violently than ever.  Agricola was the first</w:t></w:r>
</w:p>
<w:p>
<w:pPr><w:pStyle w:val="Normal"/></w:pPr>
<w:r><w:t xml:space="preserve">to teach the views which Luther was the first to stigmatize</w:t></w:r>
</w:p>
<w:p>
<w:pPr><w:pStyle w:val="Normal"/></w:pPr>
<w:r><w:t xml:space="preserve">by the now well-known name Antinomian (q.v.), maintaining</w:t></w:r>
</w:p>
<w:p>
<w:pPr><w:pStyle w:val="Normal"/></w:pPr>
<w:r><w:t xml:space="preserve">that while the unregenerate were still under the Mosaic</w:t></w:r>
</w:p>
<w:p>
<w:pPr><w:pStyle w:val="Normal"/></w:pPr>
<w:r><w:t xml:space="preserve">law, Christians were entirely free from it, being under</w:t></w:r>
</w:p>
<w:p>
<w:pPr><w:pStyle w:val="Normal"/></w:pPr>
<w:r><w:t xml:space="preserve">the gospel alone.  In consequence of the bitter controversy</w:t></w:r>
</w:p>
<w:p>
<w:pPr><w:pStyle w:val="Normal"/></w:pPr>
<w:r><w:t xml:space="preserve">with Luther that resulted, Agricola in 1540 left Wittenberg</w:t></w:r>
</w:p>
<w:p>
<w:pPr><w:pStyle w:val="Normal"/></w:pPr>
<w:r><w:t xml:space="preserve">secretly for Berlin, where he published a letter addressed</w:t></w:r>
</w:p>
<w:p>
<w:pPr><w:pStyle w:val="Normal"/></w:pPr>
<w:r><w:t xml:space="preserve">to the elector of Saxony, which was generally interpreted</w:t></w:r>
</w:p>
<w:p>
<w:pPr><w:pStyle w:val="Normal"/></w:pPr>
<w:r><w:t xml:space="preserve">as a recantation of his obnoxious views.  Luther, however,</w:t></w:r>
</w:p>
<w:p>
<w:pPr><w:pStyle w:val="Normal"/></w:pPr>
<w:r><w:t xml:space="preserve">seems not to have so accepted it, and Agricola remained at</w:t></w:r>
</w:p>
<w:p>
<w:pPr><w:pStyle w:val="Normal"/></w:pPr>
<w:r><w:t xml:space="preserve">Berlin.  The elector Joachim II. of Brandenburg, having taken</w:t></w:r>
</w:p>
<w:p>
<w:pPr><w:pStyle w:val="Normal"/></w:pPr>
<w:r><w:t xml:space="preserve">him into his favour, appointed him court preacher and general</w:t></w:r>
</w:p>
<w:p>
<w:pPr><w:pStyle w:val="Normal"/></w:pPr>
<w:r><w:t xml:space="preserve">superintendent.  He held both offices until his death in 1566,</w:t></w:r>
</w:p>
<w:p>
<w:pPr><w:pStyle w:val="Normal"/></w:pPr>
<w:r><w:t xml:space="preserve">and his career in Brandenburg was one of great activity and</w:t></w:r>
</w:p>
<w:p>
<w:pPr><w:pStyle w:val="Normal"/></w:pPr>
<w:r><w:t xml:space="preserve">influence.  Along with Julius von Pflug, bishop of Naumburg-Zeitz,</w:t></w:r>
</w:p>
<w:p>
<w:pPr><w:pStyle w:val="Normal"/></w:pPr>
<w:r><w:t xml:space="preserve">and Michael Helding, titular bishop of Sidon. he prepared</w:t></w:r>
</w:p>
<w:p>
<w:pPr><w:pStyle w:val="Normal"/></w:pPr>
<w:r><w:t xml:space="preserve">the Augsburg Interim of 1548.  He endeavoured in vain to</w:t></w:r>
</w:p>
<w:p>
<w:pPr><w:pStyle w:val="Normal"/></w:pPr>
<w:r><w:t xml:space="preserve">appease the Adiaphoristic controversy (see ADIAPHORISTS.)</w:t></w:r>
</w:p>
<w:p>
<w:pPr><w:pStyle w:val="Normal"/></w:pPr>
<w:r><w:t xml:space="preserve">He died during an epidemic of plague on the 22nd of September</w:t></w:r>
</w:p>
<w:p>
<w:pPr><w:pStyle w:val="Normal"/></w:pPr>
<w:r><w:t xml:space="preserve">1566.  Agricola wrote a number of theological works which</w:t></w:r>
</w:p>
<w:p>
<w:pPr><w:pStyle w:val="Normal"/></w:pPr>
<w:r><w:t xml:space="preserve">are now of little interest.  He was the first to make a</w:t></w:r>
</w:p>
<w:p>
<w:pPr><w:pStyle w:val="Normal"/></w:pPr>
<w:r><w:t xml:space="preserve">collection of German proverbs which he illustrated with a</w:t></w:r>
</w:p>
<w:p>
<w:pPr><w:pStyle w:val="Normal"/></w:pPr>
<w:r><w:t xml:space="preserve">commentary.  The most complete edition, which contains</w:t></w:r>
</w:p>
<w:p>
<w:pPr><w:pStyle w:val="Normal"/></w:pPr>
<w:r><w:t xml:space="preserve">seven hundred and fifty proverbs, is that published at</w:t></w:r>
</w:p>
<w:p>
<w:pPr><w:pStyle w:val="Normal"/></w:pPr>
<w:r><w:t xml:space="preserve">Wittenberg in 1592; a modern one is that of Latendorf, 1862.</w:t></w:r>
</w:p>
<w:p>
<w:pPr><w:pStyle w:val="Normal"/></w:pPr>
<w:r><w:t xml:space="preserve">See Cordes, Joh. Agricola&apos;s Schriften moglichst</w:t></w:r>
</w:p>
<w:p>
<w:pPr><w:pStyle w:val="Normal"/></w:pPr>
<w:r><w:t xml:space="preserve">verzeichnet (Altona, 1817); Life by G. Kawerau (1881),</w:t></w:r>
</w:p>
<w:p>
<w:pPr><w:pStyle w:val="Normal"/></w:pPr>
<w:r><w:t xml:space="preserve">who also wrote the notice in Hauck-Herzog, Realencyk.</w:t></w:r>
</w:p>
<w:p>
<w:pPr><w:pStyle w:val="Normal"/></w:pPr>
<w:r><w:t xml:space="preserve">fur prot.  Theol., where other literature is cited.</w:t></w:r>
</w:p>
<w:p>
<w:pPr><w:pStyle w:val="Normal"/></w:pPr>
<w:r><w:t xml:space="preserve">AGRICOLA, MARTIN (c. 1500-1556), German musician, was</w:t></w:r>
</w:p>
<w:p>
<w:pPr><w:pStyle w:val="Normal"/></w:pPr>
<w:r><w:t xml:space="preserve">born about 1500 in Lower Silesia.  His German name was Sohr or</w:t></w:r>
</w:p>
<w:p>
<w:pPr><w:pStyle w:val="Normal"/></w:pPr>
<w:r><w:t xml:space="preserve">Sore.  From 1524 till his death he lived at Magdeburg, where</w:t></w:r>
</w:p>
<w:p>
<w:pPr><w:pStyle w:val="Normal"/></w:pPr>
<w:r><w:t xml:space="preserve">he occupied the post of teacher or cantor in the Protestant</w:t></w:r>
</w:p>
<w:p>
<w:pPr><w:pStyle w:val="Normal"/></w:pPr>
<w:r><w:t xml:space="preserve">school.  The senator and music-printer Rhau, of Wittenberg, was</w:t></w:r>
</w:p>
<w:p>
<w:pPr><w:pStyle w:val="Normal"/></w:pPr>
<w:r><w:t xml:space="preserve">a close friend of Agricola, whose theoretical works, providing</w:t></w:r>
</w:p>
<w:p>
<w:pPr><w:pStyle w:val="Normal"/></w:pPr>
<w:r><w:t xml:space="preserve">valuable material concerning the change from the old to the new</w:t></w:r>
</w:p>
<w:p>
<w:pPr><w:pStyle w:val="Normal"/></w:pPr>
<w:r><w:t xml:space="preserve">system of notation, he published.  Agricola was also the first</w:t></w:r>
</w:p>
<w:p>
<w:pPr><w:pStyle w:val="Normal"/></w:pPr>
<w:r><w:t xml:space="preserve">to harmonize in four parts Luther&apos;s chorale, Ein&apos; feste Burg.</w:t></w:r>
</w:p>
<w:p>
<w:pPr><w:pStyle w:val="Normal"/></w:pPr>
<w:r><w:t xml:space="preserve">Four other Agricolas1 are known as composers between</w:t></w:r>
</w:p>
<w:p>
<w:pPr><w:pStyle w:val="Normal"/></w:pPr>
<w:r><w:t xml:space="preserve">the end of the 15th century and the middle of the 17th.</w:t></w:r>
</w:p>
<w:p>
<w:pPr><w:pStyle w:val="Normal"/></w:pPr>
<w:r><w:t xml:space="preserve">In the 18th century we find Burney, in the course of his tour in</w:t></w:r>
</w:p>
<w:p>
<w:pPr><w:pStyle w:val="Normal"/></w:pPr>
<w:r><w:t xml:space="preserve">Germany (1772), much impressed by JOHANN FRIEDRICH AGRICOLA</w:t></w:r>
</w:p>
<w:p>
<w:pPr><w:pStyle w:val="Normal"/></w:pPr>
<w:r><w:t xml:space="preserve">(1720-1774), court composer and director of the royal chapel to</w:t></w:r>
</w:p>
<w:p>
<w:pPr><w:pStyle w:val="Normal"/></w:pPr>
<w:r><w:t xml:space="preserve">Frederick the Great.  This Agricola was a pupil of Bach, and a</w:t></w:r>
</w:p>
<w:p>
<w:pPr><w:pStyle w:val="Normal"/></w:pPr>
<w:r><w:t xml:space="preserve">fine organist and clever writer on music, especially on operatic</w:t></w:r>
</w:p>
<w:p>
<w:pPr><w:pStyle w:val="Normal"/></w:pPr>
<w:r><w:t xml:space="preserve">style, the problems of which were beginning to be raised by</w:t></w:r>
</w:p>
<w:p>
<w:pPr><w:pStyle w:val="Normal"/></w:pPr>
<w:r><w:t xml:space="preserve">French writers-and composers in preparation for the work of Gluck.</w:t></w:r>
</w:p>
<w:p>
<w:pPr><w:pStyle w:val="Normal"/></w:pPr>
<w:r><w:t xml:space="preserve">AGRICOLA, RODOLPHUS (properly ROELOF HUYSMANN) (1443-1485),</w:t></w:r>
</w:p>
<w:p>
<w:pPr><w:pStyle w:val="Normal"/></w:pPr>
<w:r><w:t xml:space="preserve">Dutch scholar, was born at Baflo, near Groningen, in 1443.</w:t></w:r>
</w:p>
<w:p>
<w:pPr><w:pStyle w:val="Normal"/></w:pPr>
<w:r><w:t xml:space="preserve">He was educated at Louvain, where he graduated as master of</w:t></w:r>
</w:p>
<w:p>
<w:pPr><w:pStyle w:val="Normal"/></w:pPr>
<w:r><w:t xml:space="preserve">arts.  After residing for some time in Paris, he went in</w:t></w:r>
</w:p>
<w:p>
<w:pPr><w:pStyle w:val="Normal"/></w:pPr>
<w:r><w:t xml:space="preserve">1476 to Ferrara in Italy, and attended the lectures of the</w:t></w:r>
</w:p>
<w:p>
<w:pPr><w:pStyle w:val="Normal"/></w:pPr>
<w:r><w:t xml:space="preserve">celebrated Theodorus Gaza (1400-1478) on the Greek language.</w:t></w:r>
</w:p>
<w:p>
<w:pPr><w:pStyle w:val="Normal"/></w:pPr>
<w:r><w:t xml:space="preserve">Having visited Pavia and Rome, he returned to his native</w:t></w:r>
</w:p>
<w:p>
<w:pPr><w:pStyle w:val="Normal"/></w:pPr>
<w:r><w:t xml:space="preserve">country about 1479, and was soon afterwards appointed syndic of</w:t></w:r>
</w:p>
<w:p>
<w:pPr><w:pStyle w:val="Normal"/></w:pPr>
<w:r><w:t xml:space="preserve">Groningen.  In 1482, on the invitation of Johann von Dalberg,</w:t></w:r>
</w:p>
<w:p>
<w:pPr><w:pStyle w:val="Normal"/></w:pPr>
<w:r><w:t xml:space="preserve">bishop of Worms (1445-1503), whose friendship he had gained</w:t></w:r>
</w:p>
<w:p>
<w:pPr><w:pStyle w:val="Normal"/></w:pPr>
<w:r><w:t xml:space="preserve">in Italy, he accepted a professorship at Heidelberg, and</w:t></w:r>
</w:p>
<w:p>
<w:pPr><w:pStyle w:val="Normal"/></w:pPr>
<w:r><w:t xml:space="preserve">for three years delivered lectures there and at Worms on the</w:t></w:r>
</w:p>
<w:p>
<w:pPr><w:pStyle w:val="Normal"/></w:pPr>
<w:r><w:t xml:space="preserve">literature of Greece and Rome.  By his personal influence</w:t></w:r>
</w:p>
<w:p>
<w:pPr><w:pStyle w:val="Normal"/></w:pPr>
<w:r><w:t xml:space="preserve">much more than by his writings he did much for the promotion</w:t></w:r>
</w:p>
<w:p>
<w:pPr><w:pStyle w:val="Normal"/></w:pPr>
<w:r><w:t xml:space="preserve">of learning in Germany; and Erasmus and other critics of the</w:t></w:r>
</w:p>
<w:p>
<w:pPr><w:pStyle w:val="Normal"/></w:pPr>
<w:r><w:t xml:space="preserve">generation immediately succeeding his own are full of his</w:t></w:r>
</w:p>
<w:p>
<w:pPr><w:pStyle w:val="Normal"/></w:pPr>
<w:r><w:t xml:space="preserve">praises.  In his opposition to the scholastic philosophy he</w:t></w:r>
</w:p>
<w:p>
<w:pPr><w:pStyle w:val="Normal"/></w:pPr>
<w:r><w:t xml:space="preserve">in some degree anticipated the great intellectual revolution</w:t></w:r>
</w:p>
<w:p>
<w:pPr><w:pStyle w:val="Normal"/></w:pPr>
<w:r><w:t xml:space="preserve">in which many of his pupils were conspicuous actors.  He died</w:t></w:r>
</w:p>
<w:p>
<w:pPr><w:pStyle w:val="Normal"/></w:pPr>
<w:r><w:t xml:space="preserve">at Heidelberg on the 28th of October 1485.  His principal</w:t></w:r>
</w:p>
<w:p>
<w:pPr><w:pStyle w:val="Normal"/></w:pPr>
<w:r><w:t xml:space="preserve">work is De inventione dialectica, libri iii., in which</w:t></w:r>
</w:p>
<w:p>
<w:pPr><w:pStyle w:val="Normal"/></w:pPr>
<w:r><w:t xml:space="preserve">he attempts to change the scholastic philosophy of the day.</w:t></w:r>
</w:p>
<w:p>
<w:pPr><w:pStyle w:val="Normal"/></w:pPr>
<w:r><w:t xml:space="preserve">See T. F. Tresling, Vita et Merita Rudolphi Agricolae (Groningen,</w:t></w:r>
</w:p>
<w:p>
<w:pPr><w:pStyle w:val="Normal"/></w:pPr>
<w:r><w:t xml:space="preserve">1830); v.  Bezold, R. Agricola (Munchen, 1884): and Ihm, Der</w:t></w:r>
</w:p>
<w:p>
<w:pPr><w:pStyle w:val="Normal"/></w:pPr>
<w:r><w:t xml:space="preserve">Humanist R. Agricola, sein Leben und seine Schriften (Paderb., 1893).</w:t></w:r>
</w:p>
<w:p>
<w:pPr><w:pStyle w:val="Normal"/></w:pPr>
<w:r><w:t xml:space="preserve">AGRICULTURAL GANGS, groups of women, girls and boys organized</w:t></w:r>
</w:p>
<w:p>
<w:pPr><w:pStyle w:val="Normal"/></w:pPr>
<w:r><w:t xml:space="preserve">by an independent gang-master, under whose supervision they</w:t></w:r>
</w:p>
<w:p>
<w:pPr><w:pStyle w:val="Normal"/></w:pPr>
<w:r><w:t xml:space="preserve">execute agricultural piece-work for farmers in certain parts of</w:t></w:r>
</w:p>
<w:p>
<w:pPr><w:pStyle w:val="Normal"/></w:pPr>
<w:r><w:t xml:space="preserve">England.  They are sometimes called ``public gangs&apos;&apos; to</w:t></w:r>
</w:p>
<w:p>
<w:pPr><w:pStyle w:val="Normal"/></w:pPr>
<w:r><w:t xml:space="preserve">distinguish them from ``private gangs&apos;&apos; consisting of workers</w:t></w:r>
</w:p>
<w:p>
<w:pPr><w:pStyle w:val="Normal"/></w:pPr>
<w:r><w:t xml:space="preserve">engaged by the farmer himself, and undertaking work solely for</w:t></w:r>
</w:p>
<w:p>
<w:pPr><w:pStyle w:val="Normal"/></w:pPr>
<w:r><w:t xml:space="preserve">him, under his own supervision or under that of one of his</w:t></w:r>
</w:p>
<w:p>
<w:pPr><w:pStyle w:val="Normal"/></w:pPr>
<w:r><w:t xml:space="preserve">men.  The system was for long prevalent in the counties of</w:t></w:r>
</w:p>
<w:p>
<w:pPr><w:pStyle w:val="Normal"/></w:pPr>
<w:r><w:t xml:space="preserve">Cambridgeshire, Huntingdonshire, Lincolnshire, Nottinghamshire,</w:t></w:r>
</w:p>
<w:p>
<w:pPr><w:pStyle w:val="Normal"/></w:pPr>
<w:r><w:t xml:space="preserve">Norfolk and Suffolk, and is still to be found in a much</w:t></w:r>
</w:p>
<w:p>
<w:pPr><w:pStyle w:val="Normal"/></w:pPr>
<w:r><w:t xml:space="preserve">modified form in the fen district.  The practice dates</w:t></w:r>
</w:p>
<w:p>
<w:pPr><w:pStyle w:val="Normal"/></w:pPr>
<w:r><w:t xml:space="preserve">from the latter years of the reign of George III., when the</w:t></w:r>
</w:p>
<w:p>
<w:pPr><w:pStyle w:val="Normal"/></w:pPr>
<w:r><w:t xml:space="preserve">low-lying, marshy lands surrounding the basin of the Wash</w:t></w:r>
</w:p>
<w:p>
<w:pPr><w:pStyle w:val="Normal"/></w:pPr>
<w:r><w:t xml:space="preserve">were being rapidly drained and converted into rich alluvial</w:t></w:r>
</w:p>
<w:p>
<w:pPr><w:pStyle w:val="Normal"/></w:pPr>
<w:r><w:t xml:space="preserve">districts.  The unreformed condition of the poor-law, under</w:t></w:r>
</w:p>
<w:p>
<w:pPr><w:pStyle w:val="Normal"/></w:pPr>
<w:r><w:t xml:space="preserve">which the support of the poor fell upon each individual parish,</w:t></w:r>
</w:p>
<w:p>
<w:pPr><w:pStyle w:val="Normal"/></w:pPr>
<w:r><w:t xml:space="preserve">instead of a union of parishes, made landlords reluctant to</w:t></w:r>
</w:p>
<w:p>
<w:pPr><w:pStyle w:val="Normal"/></w:pPr>
<w:r><w:t xml:space="preserve">erect cottages on the reclaimed land for the benefit of their</w:t></w:r>
</w:p>
<w:p>
<w:pPr><w:pStyle w:val="Normal"/></w:pPr>
<w:r><w:t xml:space="preserve">tenants.  Labour had to be obtained for the cultivation of</w:t></w:r>
</w:p>
<w:p>
<w:pPr><w:pStyle w:val="Normal"/></w:pPr>
<w:r><w:t xml:space="preserve">these new lands, and that of women, girls and boys, being</w:t></w:r>
</w:p>
<w:p>
<w:pPr><w:pStyle w:val="Normal"/></w:pPr>
<w:r><w:t xml:space="preserve">cheaper than the labour of men, was consequently very largely</w:t></w:r>
</w:p>
<w:p>
<w:pPr><w:pStyle w:val="Normal"/></w:pPr>
<w:r><w:t xml:space="preserve">employed.  The tendency to moral and physical ruin which resulted</w:t></w:r>
</w:p>
<w:p>
<w:pPr><w:pStyle w:val="Normal"/></w:pPr>
<w:r><w:t xml:space="preserve">from this nomadic life was so great that an inquiry into the</w:t></w:r>
</w:p>
<w:p>
<w:pPr><w:pStyle w:val="Normal"/></w:pPr>
<w:r><w:t xml:space="preserve">condition of agricultural child-labour was included in the</w:t></w:r>
</w:p>
<w:p>
<w:pPr><w:pStyle w:val="Normal"/></w:pPr>
<w:r><w:t xml:space="preserve">reference to the commission on child-labour appointed in 1862,</w:t></w:r>
</w:p>
<w:p>
<w:pPr><w:pStyle w:val="Normal"/></w:pPr>
<w:r><w:t xml:space="preserve">and the results were so startling that the Agricultural Gangs</w:t></w:r>
</w:p>
<w:p>
<w:pPr><w:pStyle w:val="Normal"/></w:pPr>
<w:r><w:t xml:space="preserve">Act was passed in 1867, forbidding the employment of any child</w:t></w:r>
</w:p>
<w:p>
<w:pPr><w:pStyle w:val="Normal"/></w:pPr>
<w:r><w:t xml:space="preserve">under eight years old, and of any female under a male gangmaster</w:t></w:r>
</w:p>
<w:p>
<w:pPr><w:pStyle w:val="Normal"/></w:pPr>
<w:r><w:t xml:space="preserve">unless a female licensed to act as gang-mistress were also</w:t></w:r>
</w:p>
<w:p>
<w:pPr><w:pStyle w:val="Normal"/></w:pPr>
<w:r><w:t xml:space="preserve">1 Alexander, died 1506; Johann, flor. 1600; Wolfgang Christoph,</w:t></w:r>
</w:p>
<w:p>
<w:pPr><w:pStyle w:val="Normal"/></w:pPr>
<w:r><w:t xml:space="preserve">flor. 1630; and George Ludwig, 1643-1676. present.  Gang-masters</w:t></w:r>
</w:p>
<w:p>
<w:pPr><w:pStyle w:val="Normal"/></w:pPr>
<w:r><w:t xml:space="preserve">must be licensed by two justices, and may not hold a liquor</w:t></w:r>
</w:p>
<w:p>
<w:pPr><w:pStyle w:val="Normal"/></w:pPr>
<w:r><w:t xml:space="preserve">license.  The distance to be traversed on foot is fixed by</w:t></w:r>
</w:p>
<w:p>
<w:pPr><w:pStyle w:val="Normal"/></w:pPr>
<w:r><w:t xml:space="preserve">the justices, and the licenses must be renewed every six</w:t></w:r>
</w:p>
<w:p>
<w:pPr><w:pStyle w:val="Normal"/></w:pPr>
<w:r><w:t xml:space="preserve">months.  Later legislation made more stringent the regulations</w:t></w:r>
</w:p>
<w:p>
<w:pPr><w:pStyle w:val="Normal"/></w:pPr>
<w:r><w:t xml:space="preserve">under which children are employed in agricultural gangs.  By</w:t></w:r>
</w:p>
<w:p>
<w:pPr><w:pStyle w:val="Normal"/></w:pPr>
<w:r><w:t xml:space="preserve">the Elementary Education Act 1876, repealing and re-enacting</w:t></w:r>
</w:p>
<w:p>
<w:pPr><w:pStyle w:val="Normal"/></w:pPr>
<w:r><w:t xml:space="preserve">the principal provisions of the Agricultural (Children) Act</w:t></w:r>
</w:p>
<w:p>
<w:pPr><w:pStyle w:val="Normal"/></w:pPr>
<w:r><w:t xml:space="preserve">1873, no child shall be employed under the age of eleven years,</w:t></w:r>
</w:p>
<w:p>
<w:pPr><w:pStyle w:val="Normal"/></w:pPr>
<w:r><w:t xml:space="preserve">and none between eleven years and thirteen years before the</w:t></w:r>
</w:p>
<w:p>
<w:pPr><w:pStyle w:val="Normal"/></w:pPr>
<w:r><w:t xml:space="preserve">child has obtained a certificate of having reached the standard</w:t></w:r>
</w:p>
<w:p>
<w:pPr><w:pStyle w:val="Normal"/></w:pPr>
<w:r><w:t xml:space="preserve">of education fixed by a by-law in force in the district.</w:t></w:r>
</w:p>
<w:p>
<w:pPr><w:pStyle w:val="Normal"/></w:pPr>
<w:r><w:t xml:space="preserve">AGRICULTURE (from Lat. ager, field, and colere, to</w:t></w:r>
</w:p>
<w:p>
<w:pPr><w:pStyle w:val="Normal"/></w:pPr>
<w:r><w:t xml:space="preserve">cultivate), the science, art and industry of utilizing the soil</w:t></w:r>
</w:p>
<w:p>
<w:pPr><w:pStyle w:val="Normal"/></w:pPr>
<w:r><w:t xml:space="preserve">so as to produce the means of human subsistence, embracing in its</w:t></w:r>
</w:p>
<w:p>
<w:pPr><w:pStyle w:val="Normal"/></w:pPr>
<w:r><w:t xml:space="preserve">widest sense the rearing of live-stock as well as the raising of</w:t></w:r>
</w:p>
<w:p>
<w:pPr><w:pStyle w:val="Normal"/></w:pPr>
<w:r><w:t xml:space="preserve">crops.  The history of agriculture is the history of man in</w:t></w:r>
</w:p>
<w:p>
<w:pPr><w:pStyle w:val="Normal"/></w:pPr>
<w:r><w:t xml:space="preserve">his most primitive, and most permanent aspect.  Hence the</w:t></w:r>
</w:p>
<w:p>
<w:pPr><w:pStyle w:val="Normal"/></w:pPr>
<w:r><w:t xml:space="preserve">nations of antiquity ascribed to it a divine origin; Brahma</w:t></w:r>
</w:p>
<w:p>
<w:pPr><w:pStyle w:val="Normal"/></w:pPr>
<w:r><w:t xml:space="preserve">in Hindustan, Isis in Egypt, Demeter in Greece, and Ceres in</w:t></w:r>
</w:p>
<w:p>
<w:pPr><w:pStyle w:val="Normal"/></w:pPr>
<w:r><w:t xml:space="preserve">Italy, were its founders.  The simplest form of agriculture is</w:t></w:r>
</w:p>
<w:p>
<w:pPr><w:pStyle w:val="Normal"/></w:pPr>
<w:r><w:t xml:space="preserve">that in which crops are raised from one patch of ground till it</w:t></w:r>
</w:p>
<w:p>
<w:pPr><w:pStyle w:val="Normal"/></w:pPr>
<w:r><w:t xml:space="preserve">is exhausted, when it is allowed to go wild and abandoned for</w:t></w:r>
</w:p>
<w:p>
<w:pPr><w:pStyle w:val="Normal"/></w:pPr>
<w:r><w:t xml:space="preserve">another.  This ``extensive&apos;&apos; husbandry is found in combination</w:t></w:r>
</w:p>
<w:p>
<w:pPr><w:pStyle w:val="Normal"/></w:pPr>
<w:r><w:t xml:space="preserve">with a nomadic or semi-nomadic and pastoral organization, such</w:t></w:r>
</w:p>
<w:p>
<w:pPr><w:pStyle w:val="Normal"/></w:pPr>
<w:r><w:t xml:space="preserve">as that of the German tribes described by Caesar and Tacitus</w:t></w:r>
</w:p>
<w:p>
<w:pPr><w:pStyle w:val="Normal"/></w:pPr>
<w:r><w:t xml:space="preserve">(see especially Germania, 26). The discovery of the uses</w:t></w:r>
</w:p>
<w:p>
<w:pPr><w:pStyle w:val="Normal"/></w:pPr>
<w:r><w:t xml:space="preserve">of the bare fallow and of manure, by making it possible to</w:t></w:r>
</w:p>
<w:p>
<w:pPr><w:pStyle w:val="Normal"/></w:pPr>
<w:r><w:t xml:space="preserve">raise crops from the same area for an indefinite period, marks</w:t></w:r>
</w:p>
<w:p>
<w:pPr><w:pStyle w:val="Normal"/></w:pPr>
<w:r><w:t xml:space="preserve">a stage of progress.  This ``intensive&apos;&apos; culture in a more</w:t></w:r>
</w:p>
<w:p>
<w:pPr><w:pStyle w:val="Normal"/></w:pPr>
<w:r><w:t xml:space="preserve">or less developed form was practised by the great nations of</w:t></w:r>
</w:p>
<w:p>
<w:pPr><w:pStyle w:val="Normal"/></w:pPr>
<w:r><w:t xml:space="preserve">antiquity, and little decided advance was made till after the</w:t></w:r>
</w:p>
<w:p>
<w:pPr><w:pStyle w:val="Normal"/></w:pPr>
<w:r><w:t xml:space="preserve">middle ages.  The introduction of new plants, which made it</w:t></w:r>
</w:p>
<w:p>
<w:pPr><w:pStyle w:val="Normal"/></w:pPr>
<w:r><w:t xml:space="preserve">possible to dispense with the bare fallow, and still later the</w:t></w:r>
</w:p>
<w:p>
<w:pPr><w:pStyle w:val="Normal"/></w:pPr>
<w:r><w:t xml:space="preserve">application to husbandry of scientific discoveries as to soils,</w:t></w:r>
</w:p>
<w:p>
<w:pPr><w:pStyle w:val="Normal"/></w:pPr>
<w:r><w:t xml:space="preserve">plant constituents and manures, brought about a revolution in</w:t></w:r>
</w:p>
<w:p>
<w:pPr><w:pStyle w:val="Normal"/></w:pPr>
<w:r><w:t xml:space="preserve">farming.  But the progress of husbandry, evidenced by the</w:t></w:r>
</w:p>
<w:p>
<w:pPr><w:pStyle w:val="Normal"/></w:pPr>
<w:r><w:t xml:space="preserve">production of larger and better crops with more certainty, is</w:t></w:r>
</w:p>
<w:p>
<w:pPr><w:pStyle w:val="Normal"/></w:pPr>
<w:r><w:t xml:space="preserve">due to that rationalizing of agricultural practices which is</w:t></w:r>
</w:p>
<w:p>
<w:pPr><w:pStyle w:val="Normal"/></w:pPr>
<w:r><w:t xml:space="preserve">the work of modern times.  What before was done in the light</w:t></w:r>
</w:p>
<w:p>
<w:pPr><w:pStyle w:val="Normal"/></w:pPr>
<w:r><w:t xml:space="preserve">of experience is nowadays done in the light of knowledge.</w:t></w:r>
</w:p>
<w:p>
<w:pPr><w:pStyle w:val="Normal"/></w:pPr>
<w:r><w:t xml:space="preserve">Even the earliest forms of intensive cultivation demand the</w:t></w:r>
</w:p>
<w:p>
<w:pPr><w:pStyle w:val="Normal"/></w:pPr>
<w:r><w:t xml:space="preserve">practice of the fundamental processes of husbandry--ploughing,</w:t></w:r>
</w:p>
<w:p>
<w:pPr><w:pStyle w:val="Normal"/></w:pPr>
<w:r><w:t xml:space="preserve">manuring, sowing, weeding, reaping.  It is the improvements</w:t></w:r>
</w:p>
<w:p>
<w:pPr><w:pStyle w:val="Normal"/></w:pPr>
<w:r><w:t xml:space="preserve">in methods, implements and materials, brought about by the</w:t></w:r>
</w:p>
<w:p>
<w:pPr><w:pStyle w:val="Normal"/></w:pPr>
<w:r><w:t xml:space="preserve">application of science, that distinguish the husbandry of</w:t></w:r>
</w:p>
<w:p>
<w:pPr><w:pStyle w:val="Normal"/></w:pPr>
<w:r><w:t xml:space="preserve">the 20th century from that of medieval and ancient times.</w:t></w:r>
</w:p>
<w:p>
<w:pPr><w:pStyle w:val="Normal"/></w:pPr>
<w:r><w:t xml:space="preserve">Ancient Husbandry.--The monumental records of Egypt are</w:t></w:r>
</w:p>
<w:p>
<w:pPr><w:pStyle w:val="Normal"/></w:pPr>
<w:r><w:t xml:space="preserve">the source of the earliest information on farming.  The Egypt</w:t></w:r>
</w:p>
<w:p>
<w:pPr><w:pStyle w:val="Normal"/></w:pPr>
<w:r><w:t xml:space="preserve">Egypt.</w:t></w:r>
</w:p>
<w:p>
<w:pPr><w:pStyle w:val="Normal"/></w:pPr>
<w:r><w:t xml:space="preserve">of the Pharaohs was a country of great estates farmed either</w:t></w:r>
</w:p>
<w:p>
<w:pPr><w:pStyle w:val="Normal"/></w:pPr>
<w:r><w:t xml:space="preserve">by tenants or by slaves or labourers under the superintendence</w:t></w:r>
</w:p>
<w:p>
<w:pPr><w:pStyle w:val="Normal"/></w:pPr>
<w:r><w:t xml:space="preserve">of stewards.  It owed its fertility to the Nile, which,</w:t></w:r>
</w:p>
<w:p>
<w:pPr><w:pStyle w:val="Normal"/></w:pPr>
<w:r><w:t xml:space="preserve">inundating the land near its banks, was distributed by means</w:t></w:r>
</w:p>
<w:p>
<w:pPr><w:pStyle w:val="Normal"/></w:pPr>
<w:r><w:t xml:space="preserve">of canals over more distant portions of its valley.  The</w:t></w:r>
</w:p>
<w:p>
<w:pPr><w:pStyle w:val="Normal"/></w:pPr>
<w:r><w:t xml:space="preserve">autumnal subsidence of the river was followed by shallow</w:t></w:r>
</w:p>
<w:p>
<w:pPr><w:pStyle w:val="Normal"/></w:pPr>
<w:r><w:t xml:space="preserve">ploughing performed by oxen yoked to clumsy wooden ploughs,</w:t></w:r>
</w:p>
<w:p>
<w:pPr><w:pStyle w:val="Normal"/></w:pPr>
<w:r><w:t xml:space="preserve">the clods being afterwards levelled with wooden hoes by</w:t></w:r>
</w:p>
<w:p>
<w:pPr><w:pStyle w:val="Normal"/></w:pPr>
<w:r><w:t xml:space="preserve">hand.  Next came the sowing, the seed being pressed into</w:t></w:r>
</w:p>
<w:p>
<w:pPr><w:pStyle w:val="Normal"/></w:pPr>
<w:r><w:t xml:space="preserve">the soil by the feet of sheep which were driven over the</w:t></w:r>
</w:p>
<w:p>
<w:pPr><w:pStyle w:val="Normal"/></w:pPr>
<w:r><w:t xml:space="preserve">fields.  At harvest the corn was cut high on the stalk with</w:t></w:r>
</w:p>
<w:p>
<w:pPr><w:pStyle w:val="Normal"/></w:pPr>
<w:r><w:t xml:space="preserve">short sickles and put up in sheaves, after which it was carried</w:t></w:r>
</w:p>
<w:p>
<w:pPr><w:pStyle w:val="Normal"/></w:pPr>
<w:r><w:t xml:space="preserve">to the threshing-floor and there trodden out by the hoofs of</w:t></w:r>
</w:p>
<w:p>
<w:pPr><w:pStyle w:val="Normal"/></w:pPr>
<w:r><w:t xml:space="preserve">oxen.  Winnowing was done by women, who tossed the grain into the</w:t></w:r>
</w:p>
<w:p>
<w:pPr><w:pStyle w:val="Normal"/></w:pPr>
<w:r><w:t xml:space="preserve">air with small wooden boards, the chaff being blown away by the</w:t></w:r>
</w:p>
<w:p>
<w:pPr><w:pStyle w:val="Normal"/></w:pPr>
<w:r><w:t xml:space="preserve">winds.  Wheat and barley were the chief crops, and another</w:t></w:r>
</w:p>
<w:p>
<w:pPr><w:pStyle w:val="Normal"/></w:pPr>
<w:r><w:t xml:space="preserve">plant, perhaps identical with the durra, i.e. millet, of</w:t></w:r>
</w:p>
<w:p>
<w:pPr><w:pStyle w:val="Normal"/></w:pPr>
<w:r><w:t xml:space="preserve">modern Egypt, was also cultivated.  The latter, when ripe, was</w:t></w:r>
</w:p>
<w:p>
<w:pPr><w:pStyle w:val="Normal"/></w:pPr>
<w:r><w:t xml:space="preserve">pulled up by the roots, and the grain was separated by means</w:t></w:r>
</w:p>
<w:p>
<w:pPr><w:pStyle w:val="Normal"/></w:pPr>
<w:r><w:t xml:space="preserve">of an implement resembling a comb.  To these crops may be added</w:t></w:r>
</w:p>
<w:p>
<w:pPr><w:pStyle w:val="Normal"/></w:pPr>
<w:r><w:t xml:space="preserve">peas, beans and many herbs and esculent roots.  Oxen were much</w:t></w:r>
</w:p>
<w:p>
<w:pPr><w:pStyle w:val="Normal"/></w:pPr>
<w:r><w:t xml:space="preserve">prized, and breeding was carried on with a careful eye to</w:t></w:r>
</w:p>
<w:p>
<w:pPr><w:pStyle w:val="Normal"/></w:pPr>
<w:r><w:t xml:space="preserve">selection.  Immense numbers of ducks and geese were reared.</w:t></w:r>
</w:p>
<w:p>
<w:pPr><w:pStyle w:val="Normal"/></w:pPr>
<w:r><w:t xml:space="preserve">Diodorus Siculus, writing of later times, says that cattle</w:t></w:r>
</w:p>
<w:p>
<w:pPr><w:pStyle w:val="Normal"/></w:pPr>
<w:r><w:t xml:space="preserve">were sent during a portion of each year to the marshy pastures</w:t></w:r>
</w:p>
<w:p>
<w:pPr><w:pStyle w:val="Normal"/></w:pPr>
<w:r><w:t xml:space="preserve">of the delta, where they roamed under the care of herdsmen.</w:t></w:r>
</w:p>
<w:p>
<w:pPr><w:pStyle w:val="Normal"/></w:pPr>
<w:r><w:t xml:space="preserve">They were fed with hay during the annual inundation, and at</w:t></w:r>
</w:p>
<w:p>
<w:pPr><w:pStyle w:val="Normal"/></w:pPr>
<w:r><w:t xml:space="preserve">other times tethered in meadows of green clover.  The flocks</w:t></w:r>
</w:p>
<w:p>
<w:pPr><w:pStyle w:val="Normal"/></w:pPr>
<w:r><w:t xml:space="preserve">were shorn twice annually (a practice common to several Asiatic</w:t></w:r>
</w:p>
<w:p>
<w:pPr><w:pStyle w:val="Normal"/></w:pPr>
<w:r><w:t xml:space="preserve">countries), and the ewes yeaned twice a year. (See also EGYPT.)</w:t></w:r>
</w:p>
<w:p>
<w:pPr><w:pStyle w:val="Normal"/></w:pPr>
<w:r><w:t xml:space="preserve">The agriculture of the region bordering the Tigris and Euphrates,</w:t></w:r>
</w:p>
<w:p>
<w:pPr><w:pStyle w:val="Normal"/></w:pPr>
<w:r><w:t xml:space="preserve">like that of Egypt, depended largely on irrigation, and traces</w:t></w:r>
</w:p>
<w:p>
<w:pPr><w:pStyle w:val="Normal"/></w:pPr>
<w:r><w:t xml:space="preserve">of ancient canals are still to be seen in Babylonia.  But</w:t></w:r>
</w:p>
<w:p>
<w:pPr><w:pStyle w:val="Normal"/></w:pPr>
<w:r><w:t xml:space="preserve">beyond the fact that both Babylonia and Assyria were large</w:t></w:r>
</w:p>
<w:p>
<w:pPr><w:pStyle w:val="Normal"/></w:pPr>
<w:r><w:t xml:space="preserve">producers of cereals, little is known of their husbandry.</w:t></w:r>
</w:p>
<w:p>
<w:pPr><w:pStyle w:val="Normal"/></w:pPr>
<w:r><w:t xml:space="preserve">The nomads of the patriarchal ages, whilst mainly dependent</w:t></w:r>
</w:p>
<w:p>
<w:pPr><w:pStyle w:val="Normal"/></w:pPr>
<w:r><w:t xml:space="preserve">upon their flocks and herds, practised also agriculture proper.</w:t></w:r>
</w:p>
<w:p>
<w:pPr><w:pStyle w:val="Normal"/></w:pPr>
<w:r><w:t xml:space="preserve">Biblical accounts among the Israelites.</w:t></w:r>
</w:p>
<w:p>
<w:pPr><w:pStyle w:val="Normal"/></w:pPr>
<w:r><w:t xml:space="preserve">The tracts over which they roamed were in ordinary circumstances</w:t></w:r>
</w:p>
<w:p>
<w:pPr><w:pStyle w:val="Normal"/></w:pPr>
<w:r><w:t xml:space="preserve">common to all shepherds alike.  During the summer they frequented</w:t></w:r>
</w:p>
<w:p>
<w:pPr><w:pStyle w:val="Normal"/></w:pPr>
<w:r><w:t xml:space="preserve">the mountainous districts, and retired to the valleys to</w:t></w:r>
</w:p>
<w:p>
<w:pPr><w:pStyle w:val="Normal"/></w:pPr>
<w:r><w:t xml:space="preserve">winter.  Vast flocks of sheep and of goat constituted their</w:t></w:r>
</w:p>
<w:p>
<w:pPr><w:pStyle w:val="Normal"/></w:pPr>
<w:r><w:t xml:space="preserve">wealth, although they also possessed oxen.  When the last</w:t></w:r>
</w:p>
<w:p>
<w:pPr><w:pStyle w:val="Normal"/></w:pPr>
<w:r><w:t xml:space="preserve">were abundant, it seems to be an indication that tillage was</w:t></w:r>
</w:p>
<w:p>
<w:pPr><w:pStyle w:val="Normal"/></w:pPr>
<w:r><w:t xml:space="preserve">practised.  Job, besides immense possessions in flocks</w:t></w:r>
</w:p>
<w:p>
<w:pPr><w:pStyle w:val="Normal"/></w:pPr>
<w:r><w:t xml:space="preserve">and herds, had 500 yoke of oxen, which he employed in</w:t></w:r>
</w:p>
<w:p>
<w:pPr><w:pStyle w:val="Normal"/></w:pPr>
<w:r><w:t xml:space="preserve">ploughing, and a ``very great husbandry.&apos;&apos; Isaac, too,</w:t></w:r>
</w:p>
<w:p>
<w:pPr><w:pStyle w:val="Normal"/></w:pPr>
<w:r><w:t xml:space="preserve">conjoined tillage with pastoral husbandry, and that with</w:t></w:r>
</w:p>
<w:p>
<w:pPr><w:pStyle w:val="Normal"/></w:pPr>
<w:r><w:t xml:space="preserve">success, for ``he sowed in the land Gerar, and reaped an</w:t></w:r>
</w:p>
<w:p>
<w:pPr><w:pStyle w:val="Normal"/></w:pPr>
<w:r><w:t xml:space="preserve">hundred-fold&apos;&apos;--a return which, it would appear, in some</w:t></w:r>
</w:p>
<w:p>
<w:pPr><w:pStyle w:val="Normal"/></w:pPr>
<w:r><w:t xml:space="preserve">favoured regions, occasionally rewarded the labour of the</w:t></w:r>
</w:p>
<w:p>
<w:pPr><w:pStyle w:val="Normal"/></w:pPr>
<w:r><w:t xml:space="preserve">husbandman.  In the parable of the sower, Jesus Christ</w:t></w:r>
</w:p>
<w:p>
<w:pPr><w:pStyle w:val="Normal"/></w:pPr>
<w:r><w:t xml:space="preserve">mentions an increase of thirty, sixty and an hundred fold.</w:t></w:r>
</w:p>
<w:p>
<w:pPr><w:pStyle w:val="Normal"/></w:pPr>
<w:r><w:t xml:space="preserve">Along with the Babylonians, Egyptians and Romans, the Israelites</w:t></w:r>
</w:p>
<w:p>
<w:pPr><w:pStyle w:val="Normal"/></w:pPr>
<w:r><w:t xml:space="preserve">are classed as one of the great agricultural nations of</w:t></w:r>
</w:p>
<w:p>
<w:pPr><w:pStyle w:val="Normal"/></w:pPr>
<w:r><w:t xml:space="preserve">antiquity.  The Mosaic Institute contained an agrarian law,</w:t></w:r>
</w:p>
<w:p>
<w:pPr><w:pStyle w:val="Normal"/></w:pPr>
<w:r><w:t xml:space="preserve">based upon an equal division of the soil amongst the adult</w:t></w:r>
</w:p>
<w:p>
<w:pPr><w:pStyle w:val="Normal"/></w:pPr>
<w:r><w:t xml:space="preserve">males, a census of whom was taken just before their entrance</w:t></w:r>
</w:p>
<w:p>
<w:pPr><w:pStyle w:val="Normal"/></w:pPr>
<w:r><w:t xml:space="preserve">into Canaan.  Provision was thus made for 600,000 yeomen,</w:t></w:r>
</w:p>
<w:p>
<w:pPr><w:pStyle w:val="Normal"/></w:pPr>
<w:r><w:t xml:space="preserve">assigning (according to different calculations) from sixteen</w:t></w:r>
</w:p>
<w:p>
<w:pPr><w:pStyle w:val="Normal"/></w:pPr>
<w:r><w:t xml:space="preserve">to twenty-five acres of land to each.  This land, held in</w:t></w:r>
</w:p>
<w:p>
<w:pPr><w:pStyle w:val="Normal"/></w:pPr>
<w:r><w:t xml:space="preserve">direct tenure from Jehovah, their sovereign, was in theory</w:t></w:r>
</w:p>
<w:p>
<w:pPr><w:pStyle w:val="Normal"/></w:pPr>
<w:r><w:t xml:space="preserve">inalienable.  The accumulation of debt upon it was prevented</w:t></w:r>
</w:p>
<w:p>
<w:pPr><w:pStyle w:val="Normal"/></w:pPr>
<w:r><w:t xml:space="preserve">by the prohibition of interest, the release of debts every</w:t></w:r>
</w:p>
<w:p>
<w:pPr><w:pStyle w:val="Normal"/></w:pPr>
<w:r><w:t xml:space="preserve">seventh year, and the reversion of the land to the proprietor,</w:t></w:r>
</w:p>
<w:p>
<w:pPr><w:pStyle w:val="Normal"/></w:pPr>
<w:r><w:t xml:space="preserve">or his heirs, at each return of the year of jubilee.  The</w:t></w:r>
</w:p>
<w:p>
<w:pPr><w:pStyle w:val="Normal"/></w:pPr>
<w:r><w:t xml:space="preserve">owners of these small farms cultivated them with much care,</w:t></w:r>
</w:p>
<w:p>
<w:pPr><w:pStyle w:val="Normal"/></w:pPr>
<w:r><w:t xml:space="preserve">and rendered them highly productive.  They were favoured</w:t></w:r>
</w:p>
<w:p>
<w:pPr><w:pStyle w:val="Normal"/></w:pPr>
<w:r><w:t xml:space="preserve">with a soil extremely fertile, and one which their skill and</w:t></w:r>
</w:p>
<w:p>
<w:pPr><w:pStyle w:val="Normal"/></w:pPr>
<w:r><w:t xml:space="preserve">diligence kept in good condition.  The stones were carefully</w:t></w:r>
</w:p>
<w:p>
<w:pPr><w:pStyle w:val="Normal"/></w:pPr>
<w:r><w:t xml:space="preserve">cleared from the fields, which were also watered from canals</w:t></w:r>
</w:p>
<w:p>
<w:pPr><w:pStyle w:val="Normal"/></w:pPr>
<w:r><w:t xml:space="preserve">and conduits, communicating with the brooks and streams</w:t></w:r>
</w:p>
<w:p>
<w:pPr><w:pStyle w:val="Normal"/></w:pPr>
<w:r><w:t xml:space="preserve">with which the country ``was well watered everywhere,&apos;&apos; and</w:t></w:r>
</w:p>
<w:p>
<w:pPr><w:pStyle w:val="Normal"/></w:pPr>
<w:r><w:t xml:space="preserve">enriched by the application of manures.  The seventh year&apos;s</w:t></w:r>
</w:p>
<w:p>
<w:pPr><w:pStyle w:val="Normal"/></w:pPr>
<w:r><w:t xml:space="preserve">fallow prevented the exhaustion of the soil, which was further</w:t></w:r>
</w:p>
<w:p>
<w:pPr><w:pStyle w:val="Normal"/></w:pPr>
<w:r><w:t xml:space="preserve">enriched by the burning of the weeds and spontaneous growth</w:t></w:r>
</w:p>
<w:p>
<w:pPr><w:pStyle w:val="Normal"/></w:pPr>
<w:r><w:t xml:space="preserve">of the Sabbatical year.  The crops chiefly cultivated were</w:t></w:r>
</w:p>
<w:p>
<w:pPr><w:pStyle w:val="Normal"/></w:pPr>
<w:r><w:t xml:space="preserve">wheat, millet, barley, beans and lentils; to which it is</w:t></w:r>
</w:p>
<w:p>
<w:pPr><w:pStyle w:val="Normal"/></w:pPr>
<w:r><w:t xml:space="preserve">supposed, on grounds not improbable, may be added rice and</w:t></w:r>
</w:p>
<w:p>
<w:pPr><w:pStyle w:val="Normal"/></w:pPr>
<w:r><w:t xml:space="preserve">cotton.  The chief implements were a wooden plough of</w:t></w:r>
</w:p>
<w:p>
<w:pPr><w:pStyle w:val="Normal"/></w:pPr>
<w:r><w:t xml:space="preserve">simple and light construction, a hoe or mattock, and a light</w:t></w:r>
</w:p>
<w:p>
<w:pPr><w:pStyle w:val="Normal"/></w:pPr>
<w:r><w:t xml:space="preserve">harrow.  The ox and the ass were used for labour.  The word</w:t></w:r>
</w:p>
<w:p>
<w:pPr><w:pStyle w:val="Normal"/></w:pPr>
<w:r><w:t xml:space="preserve">``oxen,&apos;&apos; which occurs in our version of the Scriptures, as</w:t></w:r>
</w:p>
<w:p>
<w:pPr><w:pStyle w:val="Normal"/></w:pPr>
<w:r><w:t xml:space="preserve">well as in the Septuagint and Vulgate, denotes the species,</w:t></w:r>
</w:p>
<w:p>
<w:pPr><w:pStyle w:val="Normal"/></w:pPr>
<w:r><w:t xml:space="preserve">rather than the sex.  As the Hebrews did not mutilate any of</w:t></w:r>
</w:p>
<w:p>
<w:pPr><w:pStyle w:val="Normal"/></w:pPr>
<w:r><w:t xml:space="preserve">their animals, bulls were in common use.  The quantity of land</w:t></w:r>
</w:p>
<w:p>
<w:pPr><w:pStyle w:val="Normal"/></w:pPr>
<w:r><w:t xml:space="preserve">ploughed by a yoke of oxen in one day was called a yoke or</w:t></w:r>
</w:p>
<w:p>
<w:pPr><w:pStyle w:val="Normal"/></w:pPr>
<w:r><w:t xml:space="preserve">acre.  Towards the end of October, with which month the rainy</w:t></w:r>
</w:p>
<w:p>
<w:pPr><w:pStyle w:val="Normal"/></w:pPr>
<w:r><w:t xml:space="preserve">season begins, seedtime commenced, and of course does so</w:t></w:r>
</w:p>
<w:p>
<w:pPr><w:pStyle w:val="Normal"/></w:pPr>
<w:r><w:t xml:space="preserve">still.  The seedtime, begun in October, extends, for wheat</w:t></w:r>
</w:p>
<w:p>
<w:pPr><w:pStyle w:val="Normal"/></w:pPr>
<w:r><w:t xml:space="preserve">and some other white crops, through November and December;</w:t></w:r>
</w:p>
<w:p>
<w:pPr><w:pStyle w:val="Normal"/></w:pPr>
<w:r><w:t xml:space="preserve">and barley continues to be sown until about the middle of</w:t></w:r>
</w:p>
<w:p>
<w:pPr><w:pStyle w:val="Normal"/></w:pPr>
<w:r><w:t xml:space="preserve">February.  The seed appears to have been sometimes ploughed</w:t></w:r>
</w:p>
<w:p>
<w:pPr><w:pStyle w:val="Normal"/></w:pPr>
<w:r><w:t xml:space="preserve">in, and at other times to have been covered by harrowing.</w:t></w:r>
</w:p>
<w:p>
<w:pPr><w:pStyle w:val="Normal"/></w:pPr>
<w:r><w:t xml:space="preserve">The cold winds which prevail in January and February</w:t></w:r>
</w:p>
<w:p>
<w:pPr><w:pStyle w:val="Normal"/></w:pPr>
<w:r><w:t xml:space="preserve">frequently injured the crops in the more exposed and higher</w:t></w:r>
</w:p>
<w:p>
<w:pPr><w:pStyle w:val="Normal"/></w:pPr>
<w:r><w:t xml:space="preserve">districts.  The rainy season extends from October to April,</w:t></w:r>
</w:p>
<w:p>
<w:pPr><w:pStyle w:val="Normal"/></w:pPr>
<w:r><w:t xml:space="preserve">during which time refreshing showers fall, chiefly during the</w:t></w:r>
</w:p>
<w:p>
<w:pPr><w:pStyle w:val="Normal"/></w:pPr>
<w:r><w:t xml:space="preserve">night, and generally at intervals of a few days.  The harvest</w:t></w:r>
</w:p>
<w:p>
<w:pPr><w:pStyle w:val="Normal"/></w:pPr>
<w:r><w:t xml:space="preserve">was earlier or later as the rains towards the end of the season</w:t></w:r>
</w:p>
<w:p>
<w:pPr><w:pStyle w:val="Normal"/></w:pPr>
<w:r><w:t xml:space="preserve">were more or less copious.  It, however, generally began in</w:t></w:r>
</w:p>
<w:p>
<w:pPr><w:pStyle w:val="Normal"/></w:pPr>
<w:r><w:t xml:space="preserve">April, and continued through May for the different crops in</w:t></w:r>
</w:p>
<w:p>
<w:pPr><w:pStyle w:val="Normal"/></w:pPr>
<w:r><w:t xml:space="preserve">succession.  In the south, and in the plains, the harvest, as</w:t></w:r>
</w:p>
<w:p>
<w:pPr><w:pStyle w:val="Normal"/></w:pPr>
<w:r><w:t xml:space="preserve">might be expected, commenced some weeks earlier than in the</w:t></w:r>
</w:p>
<w:p>
<w:pPr><w:pStyle w:val="Normal"/></w:pPr>
<w:r><w:t xml:space="preserve">northern and mountainous districts.  The slopes of the hills</w:t></w:r>
</w:p>
<w:p>
<w:pPr><w:pStyle w:val="Normal"/></w:pPr>
<w:r><w:t xml:space="preserve">were carefully terraced and irrigated wherever practicable,</w:t></w:r>
</w:p>
<w:p>
<w:pPr><w:pStyle w:val="Normal"/></w:pPr>
<w:r><w:t xml:space="preserve">and on these slopes the vine and olive were cultivated with</w:t></w:r>
</w:p>
<w:p>
<w:pPr><w:pStyle w:val="Normal"/></w:pPr>
<w:r><w:t xml:space="preserve">great success.  At the same time the hill districts and</w:t></w:r>
</w:p>
<w:p>
<w:pPr><w:pStyle w:val="Normal"/></w:pPr>
<w:r><w:t xml:space="preserve">neighbouring deserts afforded pasturage for numerous flocks</w:t></w:r>
</w:p>
<w:p>
<w:pPr><w:pStyle w:val="Normal"/></w:pPr>
<w:r><w:t xml:space="preserve">and herds, and thus admitted of the benefits of a mixed</w:t></w:r>
</w:p>
<w:p>
<w:pPr><w:pStyle w:val="Normal"/></w:pPr>
<w:r><w:t xml:space="preserve">husbandry.  Not by a figure of speech but literally,</w:t></w:r>
</w:p>
<w:p>
<w:pPr><w:pStyle w:val="Normal"/></w:pPr>
<w:r><w:t xml:space="preserve">every Israelite sat under the shadow of his own vine and</w:t></w:r>
</w:p>
<w:p>
<w:pPr><w:pStyle w:val="Normal"/></w:pPr>
<w:r><w:t xml:space="preserve">fig-tree; whilst the country as a whole is described (2</w:t></w:r>
</w:p>
<w:p>
<w:pPr><w:pStyle w:val="Normal"/></w:pPr>
<w:r><w:t xml:space="preserve">Kings xviii. 32) as ``a land of corn and wine, a land of</w:t></w:r>
</w:p>
<w:p>
<w:pPr><w:pStyle w:val="Normal"/></w:pPr>
<w:r><w:t xml:space="preserve">bread and vineyards, a land Of oil olive and of honey.&apos;&apos;</w:t></w:r>
</w:p>
<w:p>
<w:pPr><w:pStyle w:val="Normal"/></w:pPr>
<w:r><w:t xml:space="preserve">The earliest known forms of intensive husbandry were based</w:t></w:r>
</w:p>
<w:p>
<w:pPr><w:pStyle w:val="Normal"/></w:pPr>
<w:r><w:t xml:space="preserve">chiefly upon the proximity of rivers and irrigation.  The</w:t></w:r>
</w:p>
<w:p>
<w:pPr><w:pStyle w:val="Normal"/></w:pPr>
<w:r><w:t xml:space="preserve">Greece.</w:t></w:r>
</w:p>
<w:p>
<w:pPr><w:pStyle w:val="Normal"/></w:pPr>
<w:r><w:t xml:space="preserve">agriculture of classical ages was slightly more developed in</w:t></w:r>
</w:p>
<w:p>
<w:pPr><w:pStyle w:val="Normal"/></w:pPr>
<w:r><w:t xml:space="preserve">so far as the husbandman of Greece and Rome was less likely to</w:t></w:r>
</w:p>
<w:p>
<w:pPr><w:pStyle w:val="Normal"/></w:pPr>
<w:r><w:t xml:space="preserve">leave to nature the fertilization of the soil.  Greece being</w:t></w:r>
</w:p>
<w:p>
<w:pPr><w:pStyle w:val="Normal"/></w:pPr>
<w:r><w:t xml:space="preserve">a mountainous land was favourable to the culture of the vine</w:t></w:r>
</w:p>
<w:p>
<w:pPr><w:pStyle w:val="Normal"/></w:pPr>
<w:r><w:t xml:space="preserve">rather than to that of cereals.  Scanty information on its</w:t></w:r>
</w:p>
<w:p>
<w:pPr><w:pStyle w:val="Normal"/></w:pPr>
<w:r><w:t xml:space="preserve">agriculture is to be derived from the Works and Days of Hesiod</w:t></w:r>
</w:p>
<w:p>
<w:pPr><w:pStyle w:val="Normal"/></w:pPr>
<w:r><w:t xml:space="preserve">(about the 8th century B.C.), the Oeconomicus of Xenophon</w:t></w:r>
</w:p>
<w:p>
<w:pPr><w:pStyle w:val="Normal"/></w:pPr>
<w:r><w:t xml:space="preserve">(4th century B.C.), the History o/ Plants and the Origin</w:t></w:r>
</w:p>
<w:p>
<w:pPr><w:pStyle w:val="Normal"/></w:pPr>
<w:r><w:t xml:space="preserve">o/.  Plants of Theophrastus (4th century B.C..)The latter is</w:t></w:r>
</w:p>
<w:p>
<w:pPr><w:pStyle w:val="Normal"/></w:pPr>
<w:r><w:t xml:space="preserve">the first writer on botany, and his works also contain interesting</w:t></w:r>
</w:p>
<w:p>
<w:pPr><w:pStyle w:val="Normal"/></w:pPr>
<w:r><w:t xml:space="preserve">remarks on manures, the mixing of soils and other agricultural</w:t></w:r>
</w:p>
<w:p>
<w:pPr><w:pStyle w:val="Normal"/></w:pPr>
<w:r><w:t xml:space="preserve">topics (see also GEOPONICI.) Greek husbandry had no salient</w:t></w:r>
</w:p>
<w:p>
<w:pPr><w:pStyle w:val="Normal"/></w:pPr>
<w:r><w:t xml:space="preserve">characteristics.  The summer fallow with repeated ploughing</w:t></w:r>
</w:p>
<w:p>
<w:pPr><w:pStyle w:val="Normal"/></w:pPr>
<w:r><w:t xml:space="preserve">was its basis.  The young crop was hoed, reaping was performed</w:t></w:r>
</w:p>
<w:p>
<w:pPr><w:pStyle w:val="Normal"/></w:pPr>
<w:r><w:t xml:space="preserve">with a sickle, and a high stubble left on the ground as</w:t></w:r>
</w:p>
<w:p>
<w:pPr><w:pStyle w:val="Normal"/></w:pPr>
<w:r><w:t xml:space="preserve">manure.  The methods of threshing and winnowing were the same</w:t></w:r>
</w:p>
<w:p>
<w:pPr><w:pStyle w:val="Normal"/></w:pPr>
<w:r><w:t xml:space="preserve">as those in use in ancient Egypt.  Wheat, barley and spelt</w:t></w:r>
</w:p>
<w:p>
<w:pPr><w:pStyle w:val="Normal"/></w:pPr>
<w:r><w:t xml:space="preserve">were the leading crops.  Meadows were pastured rather than</w:t></w:r>
</w:p>
<w:p>
<w:pPr><w:pStyle w:val="Normal"/></w:pPr>
<w:r><w:t xml:space="preserve">mown.  Attica was famous for its olives and figs, but general</w:t></w:r>
</w:p>
<w:p>
<w:pPr><w:pStyle w:val="Normal"/></w:pPr>
<w:r><w:t xml:space="preserve">agriculture excelled in Peloponnesus, where, by means of</w:t></w:r>
</w:p>
<w:p>
<w:pPr><w:pStyle w:val="Normal"/></w:pPr>
<w:r><w:t xml:space="preserve">irrigation and drainage, all the available land was utilized.</w:t></w:r>
</w:p>
<w:p>
<w:pPr><w:pStyle w:val="Normal"/></w:pPr>
<w:r><w:t xml:space="preserve">In the early days of the Roman republic land in Italy was held</w:t></w:r>
</w:p>
<w:p>
<w:pPr><w:pStyle w:val="Normal"/></w:pPr>
<w:r><w:t xml:space="preserve">largely by small proprietors, and agriculture was highly esteemed</w:t></w:r>
</w:p>
<w:p>
<w:pPr><w:pStyle w:val="Normal"/></w:pPr>
<w:r><w:t xml:space="preserve">Rome.</w:t></w:r>
</w:p>
<w:p>
<w:pPr><w:pStyle w:val="Normal"/></w:pPr>
<w:r><w:t xml:space="preserve">and classed with war as an occupation becoming a free</w:t></w:r>
</w:p>
<w:p>
<w:pPr><w:pStyle w:val="Normal"/></w:pPr>
<w:r><w:t xml:space="preserve">man.  The story of Cincinnatus, twice summoned from the</w:t></w:r>
</w:p>
<w:p>
<w:pPr><w:pStyle w:val="Normal"/></w:pPr>
<w:r><w:t xml:space="preserve">plough to the highest offices in the state, illustrates</w:t></w:r>
</w:p>
<w:p>
<w:pPr><w:pStyle w:val="Normal"/></w:pPr>
<w:r><w:t xml:space="preserve">the status of the Roman husbandman.  The later tendency</w:t></w:r>
</w:p>
<w:p>
<w:pPr><w:pStyle w:val="Normal"/></w:pPr>
<w:r><w:t xml:space="preserve">was towards the absorption of smaller holdings into large</w:t></w:r>
</w:p>
<w:p>
<w:pPr><w:pStyle w:val="Normal"/></w:pPr>
<w:r><w:t xml:space="preserve">estates.  As wealth increased the peasant-farmer gave way</w:t></w:r>
</w:p>
<w:p>
<w:pPr><w:pStyle w:val="Normal"/></w:pPr>
<w:r><w:t xml:space="preserve">before the large landowner, who cultivated his property by</w:t></w:r>
</w:p>
<w:p>
<w:pPr><w:pStyle w:val="Normal"/></w:pPr>
<w:r><w:t xml:space="preserve">means of slave-labour, superintended by slave-bailiffs.  The</w:t></w:r>
</w:p>
<w:p>
<w:pPr><w:pStyle w:val="Normal"/></w:pPr>
<w:r><w:t xml:space="preserve">low price of grain, which was imported in huge quantities</w:t></w:r>
</w:p>
<w:p>
<w:pPr><w:pStyle w:val="Normal"/></w:pPr>
<w:r><w:t xml:space="preserve">from Sicily and other Roman provinces, operated to crush</w:t></w:r>
</w:p>
<w:p>
<w:pPr><w:pStyle w:val="Normal"/></w:pPr>
<w:r><w:t xml:space="preserve">the small holder, at the same time as it made arable farming</w:t></w:r>
</w:p>
<w:p>
<w:pPr><w:pStyle w:val="Normal"/></w:pPr>
<w:r><w:t xml:space="preserve">unremunerative.  Sheep-raising, involving larger holdings,</w:t></w:r>
</w:p>
<w:p>
<w:pPr><w:pStyle w:val="Normal"/></w:pPr>
<w:r><w:t xml:space="preserve">less supervision and less labour, was preferred by the</w:t></w:r>
</w:p>
<w:p>
<w:pPr><w:pStyle w:val="Normal"/></w:pPr>
<w:r><w:t xml:space="preserve">capitalist land-holder to the cultivation of the wheat,</w:t></w:r>
</w:p>
<w:p>
<w:pPr><w:pStyle w:val="Normal"/></w:pPr>
<w:r><w:t xml:space="preserve">spelt, vines or olives which were the chief crops of the</w:t></w:r>
</w:p>
<w:p>
<w:pPr><w:pStyle w:val="Normal"/></w:pPr>
<w:r><w:t xml:space="preserve">country.  Lupine, beans, peas and vetches were grown for</w:t></w:r>
</w:p>
<w:p>
<w:pPr><w:pStyle w:val="Normal"/></w:pPr>
<w:r><w:t xml:space="preserve">fodder, and meadows, often artificially watered, supplied</w:t></w:r>
</w:p>
<w:p>
<w:pPr><w:pStyle w:val="Normal"/></w:pPr>
<w:r><w:t xml:space="preserve">hay.  Swine and poultry were used for food to a greater</w:t></w:r>
</w:p>
<w:p>
<w:pPr><w:pStyle w:val="Normal"/></w:pPr>
<w:r><w:t xml:space="preserve">extent than oxen, which were bred chiefly for ploughing.</w:t></w:r>
</w:p>
<w:p>
<w:pPr><w:pStyle w:val="Normal"/></w:pPr>
<w:r><w:t xml:space="preserve">The following epitome of Virgil&apos;s advice to the husbandman</w:t></w:r>
</w:p>
<w:p>
<w:pPr><w:pStyle w:val="Normal"/></w:pPr>
<w:r><w:t xml:space="preserve">in the first book of the Georgics suggests the outline</w:t></w:r>
</w:p>
<w:p>
<w:pPr><w:pStyle w:val="Normal"/></w:pPr>
<w:r><w:t xml:space="preserve">of Roman husbandry: ``First learn the peculiarities of your</w:t></w:r>
</w:p>
<w:p>
<w:pPr><w:pStyle w:val="Normal"/></w:pPr>
<w:r><w:t xml:space="preserve">soil and climate.  Plough the fallow in early spring, and</w:t></w:r>
</w:p>
<w:p>
<w:pPr><w:pStyle w:val="Normal"/></w:pPr>
<w:r><w:t xml:space="preserve">plough frequently--twice in winter, twice in summer unless</w:t></w:r>
</w:p>
<w:p>
<w:pPr><w:pStyle w:val="Normal"/></w:pPr>
<w:r><w:t xml:space="preserve">your land is poor, when a light ploughing in September will</w:t></w:r>
</w:p>
<w:p>
<w:pPr><w:pStyle w:val="Normal"/></w:pPr>
<w:r><w:t xml:space="preserve">do.  Either let the land lie fallow every other year or else</w:t></w:r>
</w:p>
<w:p>
<w:pPr><w:pStyle w:val="Normal"/></w:pPr>
<w:r><w:t xml:space="preserve">let spelt follow pulse, vetches or lupine.  Repetition of one</w:t></w:r>
</w:p>
<w:p>
<w:pPr><w:pStyle w:val="Normal"/></w:pPr>
<w:r><w:t xml:space="preserve">crop exhausts the ground; rotation will lighten the strain,</w:t></w:r>
</w:p>
<w:p>
<w:pPr><w:pStyle w:val="Normal"/></w:pPr>
<w:r><w:t xml:space="preserve">only the exhausted soil must be copiously dressed with manure</w:t></w:r>
</w:p>
<w:p>
<w:pPr><w:pStyle w:val="Normal"/></w:pPr>
<w:r><w:t xml:space="preserve">or ashes.  It often does good to burn the stubble on the</w:t></w:r>
</w:p>
<w:p>
<w:pPr><w:pStyle w:val="Normal"/></w:pPr>
<w:r><w:t xml:space="preserve">ground.  Harrow down the clods, level the ridges by cross</w:t></w:r>
</w:p>
<w:p>
<w:pPr><w:pStyle w:val="Normal"/></w:pPr>
<w:r><w:t xml:space="preserve">ploughing, work the land thoroughly.  Irrigation benefits a</w:t></w:r>
</w:p>
<w:p>
<w:pPr><w:pStyle w:val="Normal"/></w:pPr>
<w:r><w:t xml:space="preserve">sandy soil, draining a marshy soil.  It is well to feed down</w:t></w:r>
</w:p>
<w:p>
<w:pPr><w:pStyle w:val="Normal"/></w:pPr>
<w:r><w:t xml:space="preserve">a luxuriant crop when the plants are level with the ridge</w:t></w:r>
</w:p>
<w:p>
<w:pPr><w:pStyle w:val="Normal"/></w:pPr>
<w:r><w:t xml:space="preserve">tops.  Geese and cranes, chicory, mildew, thistles, cleavers,</w:t></w:r>
</w:p>
<w:p>
<w:pPr><w:pStyle w:val="Normal"/></w:pPr>
<w:r><w:t xml:space="preserve">caltrops, darnel and shade are farmer&apos;s enemies.  Scare off</w:t></w:r>
</w:p>
<w:p>
<w:pPr><w:pStyle w:val="Normal"/></w:pPr>
<w:r><w:t xml:space="preserve">the birds, harrow up the weeds, cut down all that shades the</w:t></w:r>
</w:p>
<w:p>
<w:pPr><w:pStyle w:val="Normal"/></w:pPr>
<w:r><w:t xml:space="preserve">crop.  Ploughs, waggons, threshing-sledges, harrows, baskets,</w:t></w:r>
</w:p>
<w:p>
<w:pPr><w:pStyle w:val="Normal"/></w:pPr>
<w:r><w:t xml:space="preserve">hurdles, winnowing-fans are the farmer&apos;s implements.</w:t></w:r>
</w:p>
<w:p>
<w:pPr><w:pStyle w:val="Normal"/></w:pPr>
<w:r><w:t xml:space="preserve">The plough consists of several parts made of seasoned</w:t></w:r>
</w:p>
<w:p>
<w:pPr><w:pStyle w:val="Normal"/></w:pPr>
<w:r><w:t xml:space="preserve">wood.  The threshing-floor must be smooth and rammed hard</w:t></w:r>
</w:p>
<w:p>
<w:pPr><w:pStyle w:val="Normal"/></w:pPr>
<w:r><w:t xml:space="preserve">to leave no crevices for weeds and small animals to get</w:t></w:r>
</w:p>
<w:p>
<w:pPr><w:pStyle w:val="Normal"/></w:pPr>
<w:r><w:t xml:space="preserve">through.  Some steep seed in soda and oil lees to get a larger</w:t></w:r>
</w:p>
<w:p>
<w:pPr><w:pStyle w:val="Normal"/></w:pPr>
<w:r><w:t xml:space="preserve">produce.  Careful annual selection by hand of the best</w:t></w:r>
</w:p>
<w:p>
<w:pPr><w:pStyle w:val="Normal"/></w:pPr>
<w:r><w:t xml:space="preserve">seed is the only way to prevent degeneration.  It is best</w:t></w:r>
</w:p>
<w:p>
<w:pPr><w:pStyle w:val="Normal"/></w:pPr>
<w:r><w:t xml:space="preserve">to mow stubble and hay at night when they are moist.&apos;&apos;</w:t></w:r>
</w:p>
<w:p>
<w:pPr><w:pStyle w:val="Normal"/></w:pPr>
<w:r><w:t xml:space="preserve">In addition to the use of several kinds of animal and other</w:t></w:r>
</w:p>
<w:p>
<w:pPr><w:pStyle w:val="Normal"/></w:pPr>
<w:r><w:t xml:space="preserve">manures, green crops were sometimes ploughed in by the</w:t></w:r>
</w:p>
<w:p>
<w:pPr><w:pStyle w:val="Normal"/></w:pPr>
<w:r><w:t xml:space="preserve">Romans.  The shrewdness which, more than inventiveness,</w:t></w:r>
</w:p>
<w:p>
<w:pPr><w:pStyle w:val="Normal"/></w:pPr>
<w:r><w:t xml:space="preserve">characterized their husbandry comes out well in the following</w:t></w:r>
</w:p>
<w:p>
<w:pPr><w:pStyle w:val="Normal"/></w:pPr>
<w:r><w:t xml:space="preserve">quotation from the 18th book of the Natural History</w:t></w:r>
</w:p>
<w:p>
<w:pPr><w:pStyle w:val="Normal"/></w:pPr>
<w:r><w:t xml:space="preserve">of Pliny:--``Cato would have this point especially to be</w:t></w:r>
</w:p>
<w:p>
<w:pPr><w:pStyle w:val="Normal"/></w:pPr>
<w:r><w:t xml:space="preserve">considered, that the soil of a farm be good and fertile; also,</w:t></w:r>
</w:p>
<w:p>
<w:pPr><w:pStyle w:val="Normal"/></w:pPr>
<w:r><w:t xml:space="preserve">that near it there be plenty of labourers and that it be not</w:t></w:r>
</w:p>
<w:p>
<w:pPr><w:pStyle w:val="Normal"/></w:pPr>
<w:r><w:t xml:space="preserve">far from a large town; moreover, that it have sufficient means</w:t></w:r>
</w:p>
<w:p>
<w:pPr><w:pStyle w:val="Normal"/></w:pPr>
<w:r><w:t xml:space="preserve">for transporting its produce, either by water or land.  Also</w:t></w:r>
</w:p>
<w:p>
<w:pPr><w:pStyle w:val="Normal"/></w:pPr>
<w:r><w:t xml:space="preserve">that the house be well built, and the land about it as well</w:t></w:r>
</w:p>
<w:p>
<w:pPr><w:pStyle w:val="Normal"/></w:pPr>
<w:r><w:t xml:space="preserve">managed.  They are in error who hold the opinion that the</w:t></w:r>
</w:p>
<w:p>
<w:pPr><w:pStyle w:val="Normal"/></w:pPr>
<w:r><w:t xml:space="preserve">negligence and bad husbandry of the former owner is good for his</w:t></w:r>
</w:p>
<w:p>
<w:pPr><w:pStyle w:val="Normal"/></w:pPr>
<w:r><w:t xml:space="preserve">successor.  Now, I say there is nothing more dangerous and</w:t></w:r>
</w:p>
<w:p>
<w:pPr><w:pStyle w:val="Normal"/></w:pPr>
<w:r><w:t xml:space="preserve">disadvantageous to the buyer than land so left waste and out</w:t></w:r>
</w:p>
<w:p>
<w:pPr><w:pStyle w:val="Normal"/></w:pPr>
<w:r><w:t xml:space="preserve">of heart; and therefore Cato counsels well to purchase land</w:t></w:r>
</w:p>
<w:p>
<w:pPr><w:pStyle w:val="Normal"/></w:pPr>
<w:r><w:t xml:space="preserve">of one who has managed it well, and not rashly to despise</w:t></w:r>
</w:p>
<w:p>
<w:pPr><w:pStyle w:val="Normal"/></w:pPr>
<w:r><w:t xml:space="preserve">and make light of the skill and knowledge of another.&apos;&apos;</w:t></w:r>
</w:p>
<w:p>
<w:pPr><w:pStyle w:val="Normal"/></w:pPr>
<w:r><w:t xml:space="preserve">Roman writers on agriculture (see GEOPONICI) are more</w:t></w:r>
</w:p>
<w:p>
<w:pPr><w:pStyle w:val="Normal"/></w:pPr>
<w:r><w:t xml:space="preserve">numerous than those of Greece.  The earliest important</w:t></w:r>
</w:p>
<w:p>
<w:pPr><w:pStyle w:val="Normal"/></w:pPr>
<w:r><w:t xml:space="preserve">treatises are the De re Rustica of Cato (234-149 B.C.)</w:t></w:r>
</w:p>
<w:p>
<w:pPr><w:pStyle w:val="Normal"/></w:pPr>
<w:r><w:t xml:space="preserve">and the Rerum Rusticarum Libri of Varro.  More famous</w:t></w:r>
</w:p>
<w:p>
<w:pPr><w:pStyle w:val="Normal"/></w:pPr>
<w:r><w:t xml:space="preserve">than either are the Georgics of Virgil, published</w:t></w:r>
</w:p>
<w:p>
<w:pPr><w:pStyle w:val="Normal"/></w:pPr>
<w:r><w:t xml:space="preserve">about 30 B.C., and treating of tillage, horticulture,</w:t></w:r>
</w:p>
<w:p>
<w:pPr><w:pStyle w:val="Normal"/></w:pPr>
<w:r><w:t xml:space="preserve">cattle-breeding and bee-keeping.  The works of Columella (1st</w:t></w:r>
</w:p>
<w:p>
<w:pPr><w:pStyle w:val="Normal"/></w:pPr>
<w:r><w:t xml:space="preserve">century A.D.) and of Palladius (4th century A.D.) are</w:t></w:r>
</w:p>
<w:p>
<w:pPr><w:pStyle w:val="Normal"/></w:pPr>
<w:r><w:t xml:space="preserve">exhaustive treatises, and the Natural History of the elder</w:t></w:r>
</w:p>
<w:p>
<w:pPr><w:pStyle w:val="Normal"/></w:pPr>
<w:r><w:t xml:space="preserve">Pliny (A.D. 23-70) contains considerable information on</w:t></w:r>
</w:p>
<w:p>
<w:pPr><w:pStyle w:val="Normal"/></w:pPr>
<w:r><w:t xml:space="preserve">husbandry.  Under the later empire agriculture sank into a</w:t></w:r>
</w:p>
<w:p>
<w:pPr><w:pStyle w:val="Normal"/></w:pPr>
<w:r><w:t xml:space="preserve">condition of neglect, in which it remained throughout the Dark</w:t></w:r>
</w:p>
<w:p>
<w:pPr><w:pStyle w:val="Normal"/></w:pPr>
<w:r><w:t xml:space="preserve">Ages.  In Spain its revival was due to the Saracens, and by</w:t></w:r>
</w:p>
<w:p>
<w:pPr><w:pStyle w:val="Normal"/></w:pPr>
<w:r><w:t xml:space="preserve">them, and their successors the Moors, agriculture was carried</w:t></w:r>
</w:p>
<w:p>
<w:pPr><w:pStyle w:val="Normal"/></w:pPr>
<w:r><w:t xml:space="preserve">to a high pitch of excellence.  The work on agriculture1 of</w:t></w:r>
</w:p>
<w:p>
<w:pPr><w:pStyle w:val="Normal"/></w:pPr>
<w:r><w:t xml:space="preserve">Ibn-al-Awame, who lived in the 12th century A.D., treats</w:t></w:r>
</w:p>
<w:p>
<w:pPr><w:pStyle w:val="Normal"/></w:pPr>
<w:r><w:t xml:space="preserve">of the varieties of soils, manuring, irrigation, ploughing,</w:t></w:r>
</w:p>
<w:p>
<w:pPr><w:pStyle w:val="Normal"/></w:pPr>
<w:r><w:t xml:space="preserve">sowing, harvesting, stock, horticulture, arboriculture and plant</w:t></w:r>
</w:p>
<w:p>
<w:pPr><w:pStyle w:val="Normal"/></w:pPr>
<w:r><w:t xml:space="preserve">diseases, and is a lasting record of their skill and industry.</w:t></w:r>
</w:p>
<w:p>
<w:pPr><w:pStyle w:val="Normal"/></w:pPr>
<w:r><w:t xml:space="preserve">The subsequent history of agriculture is treated in the</w:t></w:r>
</w:p>
<w:p>
<w:pPr><w:pStyle w:val="Normal"/></w:pPr>
<w:r><w:t xml:space="preserve">following pages primarily from the British standpoint.  Doubtless</w:t></w:r>
</w:p>
<w:p>
<w:pPr><w:pStyle w:val="Normal"/></w:pPr>
<w:r><w:t xml:space="preserve">Flanders may claim to be the pioneer of ``high farming&apos;&apos; in</w:t></w:r>
</w:p>
<w:p>
<w:pPr><w:pStyle w:val="Normal"/></w:pPr>
<w:r><w:t xml:space="preserve">medieval times, other countries following her lead in many</w:t></w:r>
</w:p>
<w:p>
<w:pPr><w:pStyle w:val="Normal"/></w:pPr>
<w:r><w:t xml:space="preserve">respects.  It is not, however, necessary to deal with the</w:t></w:r>
</w:p>
<w:p>
<w:pPr><w:pStyle w:val="Normal"/></w:pPr>
<w:r><w:t xml:space="preserve">agricultural evolution of continental Europe, the gradual</w:t></w:r>
</w:p>
<w:p>
<w:pPr><w:pStyle w:val="Normal"/></w:pPr>
<w:r><w:t xml:space="preserve">progress of agriculture as a whole being well enough typified</w:t></w:r>
</w:p>
<w:p>
<w:pPr><w:pStyle w:val="Normal"/></w:pPr>
<w:r><w:t xml:space="preserve">in the story of its development in England, which indeed has</w:t></w:r>
</w:p>
<w:p>
<w:pPr><w:pStyle w:val="Normal"/></w:pPr>
<w:r><w:t xml:space="preserve">led the way in modern times.  After sections on the history</w:t></w:r>
</w:p>
<w:p>
<w:pPr><w:pStyle w:val="Normal"/></w:pPr>
<w:r><w:t xml:space="preserve">and chief modern features of British agriculture, a separate</w:t></w:r>
</w:p>
<w:p>
<w:pPr><w:pStyle w:val="Normal"/></w:pPr>
<w:r><w:t xml:space="preserve">account is given of the general features of American agriculture.</w:t></w:r>
</w:p>
<w:p>
<w:pPr><w:pStyle w:val="Normal"/></w:pPr>
<w:r><w:t xml:space="preserve">HISTORY OF ENGLISH AGRICULTURE</w:t></w:r>
</w:p>
<w:p>
<w:pPr><w:pStyle w:val="Normal"/></w:pPr>
<w:r><w:t xml:space="preserve">The ``combined&apos;&apos; or ``common-field&apos;&apos; system of husbandry</w:t></w:r>
</w:p>
<w:p>
<w:pPr><w:pStyle w:val="Normal"/></w:pPr>
<w:r><w:t xml:space="preserve">practised by the village community or township (see VILLAGE</w:t></w:r>
</w:p>
<w:p>
<w:pPr><w:pStyle w:val="Normal"/></w:pPr>
<w:r><w:t xml:space="preserve">COMMUNITIES) may be taken as the starting-point of English</w:t></w:r>
</w:p>
<w:p>
<w:pPr><w:pStyle w:val="Normal"/></w:pPr>
<w:r><w:t xml:space="preserve">agriculture, in which, till the end of the 18th century, it</w:t></w:r>
</w:p>
<w:p>
<w:pPr><w:pStyle w:val="Normal"/></w:pPr>
<w:r><w:t xml:space="preserve">is a dominant influence.  The territory of the ``township&apos;&apos;</w:t></w:r>
</w:p>
<w:p>
<w:pPr><w:pStyle w:val="Normal"/></w:pPr>
<w:r><w:t xml:space="preserve">consisted of arable land, meadow, pasture and waste.  The</w:t></w:r>
</w:p>
<w:p>
<w:pPr><w:pStyle w:val="Normal"/></w:pPr>
<w:r><w:t xml:space="preserve">arable land was divided into two or, more usually, three</w:t></w:r>
</w:p>
<w:p>
<w:pPr><w:pStyle w:val="Normal"/></w:pPr>
<w:r><w:t xml:space="preserve">fields, which were cut up into strips bounded by balks and</w:t></w:r>
</w:p>
<w:p>
<w:pPr><w:pStyle w:val="Normal"/></w:pPr>
<w:r><w:t xml:space="preserve">allotted to the villagers in such a way that one holding might</w:t></w:r>
</w:p>
<w:p>
<w:pPr><w:pStyle w:val="Normal"/></w:pPr>
<w:r><w:t xml:space="preserve">include several disconnected strips in each field--a measure</w:t></w:r>
</w:p>
<w:p>
<w:pPr><w:pStyle w:val="Normal"/></w:pPr>
<w:r><w:t xml:space="preserve">designed to prevent the whole of the best land falling to one</w:t></w:r>
</w:p>
<w:p>
<w:pPr><w:pStyle w:val="Normal"/></w:pPr>
<w:r><w:t xml:space="preserve">man.  The fields were fenced in from seed-time to harvest,</w:t></w:r>
</w:p>
<w:p>
<w:pPr><w:pStyle w:val="Normal"/></w:pPr>
<w:r><w:t xml:space="preserve">after which the fences were taken down and the cattle turned</w:t></w:r>
</w:p>
<w:p>
<w:pPr><w:pStyle w:val="Normal"/></w:pPr>
<w:r><w:t xml:space="preserve">in to feed on the stubble.  According to early methods of</w:t></w:r>
</w:p>
<w:p>
<w:pPr><w:pStyle w:val="Normal"/></w:pPr>
<w:r><w:t xml:space="preserve">cropping, which were destined to prevail for centuries, wheat,</w:t></w:r>
</w:p>
<w:p>
<w:pPr><w:pStyle w:val="Normal"/></w:pPr>
<w:r><w:t xml:space="preserve">the chief article of food, was sown in one autumn, reaped</w:t></w:r>
</w:p>
<w:p>
<w:pPr><w:pStyle w:val="Normal"/></w:pPr>
<w:r><w:t xml:space="preserve">the next August; the following spring, oats or barley were</w:t></w:r>
</w:p>
<w:p>
<w:pPr><w:pStyle w:val="Normal"/></w:pPr>
<w:r><w:t xml:space="preserve">sown, and the year following the harvest was a period of</w:t></w:r>
</w:p>
<w:p>
<w:pPr><w:pStyle w:val="Normal"/></w:pPr>
<w:r><w:t xml:space="preserve">fallow.  This procedure was followed on each of the three</w:t></w:r>
</w:p>
<w:p>
<w:pPr><w:pStyle w:val="Normal"/></w:pPr>
<w:r><w:t xml:space="preserve">fields so that in every year one of them was fallow.  In</w:t></w:r>
</w:p>
<w:p>
<w:pPr><w:pStyle w:val="Normal"/></w:pPr>
<w:r><w:t xml:space="preserve">addition to the cereals, beans, peas and vetches were grown</w:t></w:r>
</w:p>
<w:p>
<w:pPr><w:pStyle w:val="Normal"/></w:pPr>
<w:r><w:t xml:space="preserve">to some extent.  The meadow-land was also divided into</w:t></w:r>
</w:p>
<w:p>
<w:pPr><w:pStyle w:val="Normal"/></w:pPr>
<w:r><w:t xml:space="preserve">strips from which the various holders drew their supply of</w:t></w:r>
</w:p>
<w:p>
<w:pPr><w:pStyle w:val="Normal"/></w:pPr>
<w:r><w:t xml:space="preserve">hay.  The pasture-land was common to all, though the number</w:t></w:r>
</w:p>
<w:p>
<w:pPr><w:pStyle w:val="Normal"/></w:pPr>
<w:r><w:t xml:space="preserve">of beasts which one man might turn into it was sometimes</w:t></w:r>
</w:p>
<w:p>
<w:pPr><w:pStyle w:val="Normal"/></w:pPr>
<w:r><w:t xml:space="preserve">limited.  Rough grazing could also be had on the outlying waste</w:t></w:r>
</w:p>
<w:p>
<w:pPr><w:pStyle w:val="Normal"/></w:pPr>
<w:r><w:t xml:space="preserve">lands.  In the absence of artificial grasses and roots, hay was</w:t></w:r>
</w:p>
<w:p>
<w:pPr><w:pStyle w:val="Normal"/></w:pPr>
<w:r><w:t xml:space="preserve">very valuable; it constituted almost the only winter food for</w:t></w:r>
</w:p>
<w:p>
<w:pPr><w:pStyle w:val="Normal"/></w:pPr>
<w:r><w:t xml:space="preserve">live stock, which were consequently in poor condition in spring.</w:t></w:r>
</w:p>
<w:p>
<w:pPr><w:pStyle w:val="Normal"/></w:pPr>
<w:r><w:t xml:space="preserve">Under the manorial system, the rise of which preceded the Norman</w:t></w:r>
</w:p>
<w:p>
<w:pPr><w:pStyle w:val="Normal"/></w:pPr>
<w:r><w:t xml:space="preserve">Conquest, communal methods of husbandry remained, but the</w:t></w:r>
</w:p>
<w:p>
<w:pPr><w:pStyle w:val="Normal"/></w:pPr>
<w:r><w:t xml:space="preserve">position of the cultivator was radically altered. ``Villeins,&apos;&apos;</w:t></w:r>
</w:p>
<w:p>
<w:pPr><w:pStyle w:val="Normal"/></w:pPr>
<w:r><w:t xml:space="preserve">instead of free-holders, formed the most numerous class of the</w:t></w:r>
</w:p>
<w:p>
<w:pPr><w:pStyle w:val="Normal"/></w:pPr>
<w:r><w:t xml:space="preserve">population.  They were bound to the soil and occupied holdings</w:t></w:r>
</w:p>
<w:p>
<w:pPr><w:pStyle w:val="Normal"/></w:pPr>
<w:r><w:t xml:space="preserve">of scattered strips (amounting usually to a virgate or 30</w:t></w:r>
</w:p>
<w:p>
<w:pPr><w:pStyle w:val="Normal"/></w:pPr>
<w:r><w:t xml:space="preserve">acres) in return for a payment partly in labour and partly in</w:t></w:r>
</w:p>
<w:p>
<w:pPr><w:pStyle w:val="Normal"/></w:pPr>
<w:r><w:t xml:space="preserve">kind.  A portion of the manor, generally about a third,</w:t></w:r>
</w:p>
<w:p>
<w:pPr><w:pStyle w:val="Normal"/></w:pPr>
<w:r><w:t xml:space="preserve">constituted the lord&apos;s demesne, which, though sometimes</w:t></w:r>
</w:p>
<w:p>
<w:pPr><w:pStyle w:val="Normal"/></w:pPr>
<w:r><w:t xml:space="preserve">separate, usually consisted of strips intermingled with</w:t></w:r>
</w:p>
<w:p>
<w:pPr><w:pStyle w:val="Normal"/></w:pPr>
<w:r><w:t xml:space="preserve">those of his villeins.  It thus formed part of the common</w:t></w:r>
</w:p>
<w:p>
<w:pPr><w:pStyle w:val="Normal"/></w:pPr>
<w:r><w:t xml:space="preserve">farm and was cultivated by the villeins and their oxen under</w:t></w:r>
</w:p>
<w:p>
<w:pPr><w:pStyle w:val="Normal"/></w:pPr>
<w:r><w:t xml:space="preserve">the superintendence of a bailiff.  Below the villeins in the</w:t></w:r>
</w:p>
<w:p>
<w:pPr><w:pStyle w:val="Normal"/></w:pPr>
<w:r><w:t xml:space="preserve">social scale came the cottiers possessing smaller holdings,</w:t></w:r>
</w:p>
<w:p>
<w:pPr><w:pStyle w:val="Normal"/></w:pPr>
<w:r><w:t xml:space="preserve">sometimes only a garden, and no oxen.  Free tenants and, after</w:t></w:r>
</w:p>
<w:p>
<w:pPr><w:pStyle w:val="Normal"/></w:pPr>
<w:r><w:t xml:space="preserve">the Norman Conquest, slaves formed small proportions of the</w:t></w:r>
</w:p>
<w:p>
<w:pPr><w:pStyle w:val="Normal"/></w:pPr>
<w:r><w:t xml:space="preserve">population.  During the middle ages cattle and sheep were the</w:t></w:r>
</w:p>
<w:p>
<w:pPr><w:pStyle w:val="Normal"/></w:pPr>
<w:r><w:t xml:space="preserve">chief farm animals, but the intermixture of stock consequent</w:t></w:r>
</w:p>
<w:p>
<w:pPr><w:pStyle w:val="Normal"/></w:pPr>
<w:r><w:t xml:space="preserve">on the common-field system was a barrier to improvement in</w:t></w:r>
</w:p>
<w:p>
<w:pPr><w:pStyle w:val="Normal"/></w:pPr>
<w:r><w:t xml:space="preserve">the breed and conduced to the propagation of disease.  Oxen,</w:t></w:r>
</w:p>
<w:p>
<w:pPr><w:pStyle w:val="Normal"/></w:pPr>
<w:r><w:t xml:space="preserve">usually yoked in teams of eight, were used for ploughing.</w:t></w:r>
</w:p>
<w:p>
<w:pPr><w:pStyle w:val="Normal"/></w:pPr>
<w:r><w:t xml:space="preserve">Sheep were small and their fleeces light, nevertheless, owing</w:t></w:r>
</w:p>
<w:p>
<w:pPr><w:pStyle w:val="Normal"/></w:pPr>
<w:r><w:t xml:space="preserve">to the meagreness of the yields of cereals2 and the demand for</w:t></w:r>
</w:p>
<w:p>
<w:pPr><w:pStyle w:val="Normal"/></w:pPr>
<w:r><w:t xml:space="preserve">wool for export, sheep-farming was looked to, as early as the</w:t></w:r>
</w:p>
<w:p>
<w:pPr><w:pStyle w:val="Normal"/></w:pPr>
<w:r><w:t xml:space="preserve">12th century, as the chief source of profit.  Pigs and poultry</w:t></w:r>
</w:p>
<w:p>
<w:pPr><w:pStyle w:val="Normal"/></w:pPr>
<w:r><w:t xml:space="preserve">were universally kept.  The treatise on husbandry of Walter of</w:t></w:r>
</w:p>
<w:p>
<w:pPr><w:pStyle w:val="Normal"/></w:pPr>
<w:r><w:t xml:space="preserve">Henley, dating from the early 13th century, is very valuable</w:t></w:r>
</w:p>
<w:p>
<w:pPr><w:pStyle w:val="Normal"/></w:pPr>
<w:r><w:t xml:space="preserve">as describing the management of the demesne under the two-</w:t></w:r>
</w:p>
<w:p>
<w:pPr><w:pStyle w:val="Normal"/></w:pPr>
<w:r><w:t xml:space="preserve">or three-field system.  The following are typical passages:--</w:t></w:r>
</w:p>
<w:p>
<w:pPr><w:pStyle w:val="Normal"/></w:pPr>
<w:r><w:t xml:space="preserve">``April is a good season for fallowing, if the earth breaks</w:t></w:r>
</w:p>
<w:p>
<w:pPr><w:pStyle w:val="Normal"/></w:pPr>
<w:r><w:t xml:space="preserve">up behind the plough: for second fallowing after St John&apos;s</w:t></w:r>
</w:p>
<w:p>
<w:pPr><w:pStyle w:val="Normal"/></w:pPr>
<w:r><w:t xml:space="preserve">Day when the dust rises behind the plough; for seed-ploughing</w:t></w:r>
</w:p>
<w:p>
<w:pPr><w:pStyle w:val="Normal"/></w:pPr>
<w:r><w:t xml:space="preserve">when the earth is well settled and not too cracked; however,</w:t></w:r>
</w:p>
<w:p>
<w:pPr><w:pStyle w:val="Normal"/></w:pPr>
<w:r><w:t xml:space="preserve">the busy man cannot be always waiting on the seasons.&apos;&apos;</w:t></w:r>
</w:p>
<w:p>
<w:pPr><w:pStyle w:val="Normal"/></w:pPr>
<w:r><w:t xml:space="preserve">``At sowing do not plough large furrows, but little and</w:t></w:r>
</w:p>
<w:p>
<w:pPr><w:pStyle w:val="Normal"/></w:pPr>
<w:r><w:t xml:space="preserve">well laid together, that the seed may fall evenly.&apos;&apos;</w:t></w:r>
</w:p>
<w:p>
<w:pPr><w:pStyle w:val="Normal"/></w:pPr>
<w:r><w:t xml:space="preserve">``Know that an acre sown with wheat takes three ploughings,</w:t></w:r>
</w:p>
<w:p>
<w:pPr><w:pStyle w:val="Normal"/></w:pPr>
<w:r><w:t xml:space="preserve">except lands that are sown each year, and that each</w:t></w:r>
</w:p>
<w:p>
<w:pPr><w:pStyle w:val="Normal"/></w:pPr>
<w:r><w:t xml:space="preserve">ploughing costs 6d. more or less and the harrowing 1d.</w:t></w:r>
</w:p>
<w:p>
<w:pPr><w:pStyle w:val="Normal"/></w:pPr>
<w:r><w:t xml:space="preserve">It is well to sow at least two bushels to the acre.&apos;&apos;</w:t></w:r>
</w:p>
<w:p>
<w:pPr><w:pStyle w:val="Normal"/></w:pPr>
<w:r><w:t xml:space="preserve">``Change your seed every year at Michaelmas, for the seed grown</w:t></w:r>
</w:p>
<w:p>
<w:pPr><w:pStyle w:val="Normal"/></w:pPr>
<w:r><w:t xml:space="preserve">on other land will bring you more than that grown on your own.&apos;&apos;</w:t></w:r>
</w:p>
<w:p>
<w:pPr><w:pStyle w:val="Normal"/></w:pPr>
<w:r><w:t xml:space="preserve">``Neither sell your stubble nor move it from the ground unless you need</w:t></w:r>
</w:p>
<w:p>
<w:pPr><w:pStyle w:val="Normal"/></w:pPr>
<w:r><w:t xml:space="preserve">it for thatching.  Have manure put up in heaps and mixed with earth.&apos;&apos;</w:t></w:r>
</w:p>
<w:p>
<w:pPr><w:pStyle w:val="Normal"/></w:pPr>
<w:r><w:t xml:space="preserve">``Ridge marshy ground so as to let the water run off.&apos;&apos;</w:t></w:r>
</w:p>
<w:p>
<w:pPr><w:pStyle w:val="Normal"/></w:pPr>
<w:r><w:t xml:space="preserve">During the 13th century there arose a tendency to commute</w:t></w:r>
</w:p>
<w:p>
<w:pPr><w:pStyle w:val="Normal"/></w:pPr>
<w:r><w:t xml:space="preserve">labour-rents for money payments.  This change led to the</w:t></w:r>
</w:p>
<w:p>
<w:pPr><w:pStyle w:val="Normal"/></w:pPr>
<w:r><w:t xml:space="preserve">gradual disappearance of tenants in villeinage--the villeins</w:t></w:r>
</w:p>
<w:p>
<w:pPr><w:pStyle w:val="Normal"/></w:pPr>
<w:r><w:t xml:space="preserve">and cottiers--and the rise on the one hand of the small</w:t></w:r>
</w:p>
<w:p>
<w:pPr><w:pStyle w:val="Normal"/></w:pPr>
<w:r><w:t xml:space="preserve">independent farmer, on the other of the hired labourer.  The</w:t></w:r>
</w:p>
<w:p>
<w:pPr><w:pStyle w:val="Normal"/></w:pPr>
<w:r><w:t xml:space="preserve">plague of 1348 marks an epoch in English agriculture.  The</w:t></w:r>
</w:p>
<w:p>
<w:pPr><w:pStyle w:val="Normal"/></w:pPr>
<w:r><w:t xml:space="preserve">diminution of the population by one-half led to a scarcity of</w:t></w:r>
</w:p>
<w:p>
<w:pPr><w:pStyle w:val="Normal"/></w:pPr>
<w:r><w:t xml:space="preserve">labour and an increase of wages which deprived the landowner</w:t></w:r>
</w:p>
<w:p>
<w:pPr><w:pStyle w:val="Normal"/></w:pPr>
<w:r><w:t xml:space="preserve">of his narrow margin of profit.  To meet this situation, the</w:t></w:r>
</w:p>
<w:p>
<w:pPr><w:pStyle w:val="Normal"/></w:pPr>
<w:r><w:t xml:space="preserve">Statute of Labourers (1351) enacted that no man should refuse</w:t></w:r>
</w:p>
<w:p>
<w:pPr><w:pStyle w:val="Normal"/></w:pPr>
<w:r><w:t xml:space="preserve">to work at the same rate of wages as prevailed before the</w:t></w:r>
</w:p>
<w:p>
<w:pPr><w:pStyle w:val="Normal"/></w:pPr>
<w:r><w:t xml:space="preserve">plague.  In addition the landowners attempted to revive the</w:t></w:r>
</w:p>
<w:p>
<w:pPr><w:pStyle w:val="Normal"/></w:pPr>
<w:r><w:t xml:space="preserve">disappearing system of labour-rents.  The bitter feelings</w:t></w:r>
</w:p>
<w:p>
<w:pPr><w:pStyle w:val="Normal"/></w:pPr>
<w:r><w:t xml:space="preserve">engendered between employer and employed culminated in</w:t></w:r>
</w:p>
<w:p>
<w:pPr><w:pStyle w:val="Normal"/></w:pPr>
<w:r><w:t xml:space="preserve">the peasants&apos; revolt of 1381.  Meanwhile large numbers of</w:t></w:r>
</w:p>
<w:p>
<w:pPr><w:pStyle w:val="Normal"/></w:pPr>
<w:r><w:t xml:space="preserve">landowners were forced to adopt one of two alternatives.</w:t></w:r>
</w:p>
<w:p>
<w:pPr><w:pStyle w:val="Normal"/></w:pPr>
<w:r><w:t xml:space="preserve">In some cases they ceased to farm their own land and let it</w:t></w:r>
</w:p>
<w:p>
<w:pPr><w:pStyle w:val="Normal"/></w:pPr>
<w:r><w:t xml:space="preserve">out on lease often together with the stock upon it; or else</w:t></w:r>
</w:p>
<w:p>
<w:pPr><w:pStyle w:val="Normal"/></w:pPr>
<w:r><w:t xml:space="preserve">they abandoned arable culture, laid down their demesnes to</w:t></w:r>
</w:p>
<w:p>
<w:pPr><w:pStyle w:val="Normal"/></w:pPr>
<w:r><w:t xml:space="preserve">pasture, enclosed the waste lands and devoted themselves to</w:t></w:r>
</w:p>
<w:p>
<w:pPr><w:pStyle w:val="Normal"/></w:pPr>
<w:r><w:t xml:space="preserve">sheep-farming.  In the latter course they were encouraged</w:t></w:r>
</w:p>
<w:p>
<w:pPr><w:pStyle w:val="Normal"/></w:pPr>
<w:r><w:t xml:space="preserve">by the high prices of wool during the 14th century, and by</w:t></w:r>
</w:p>
<w:p>
<w:pPr><w:pStyle w:val="Normal"/></w:pPr>
<w:r><w:t xml:space="preserve">Edward III.&apos;s policy of fostering both the export of wool</w:t></w:r>
</w:p>
<w:p>
<w:pPr><w:pStyle w:val="Normal"/></w:pPr>
<w:r><w:t xml:space="preserve">and the home manufacture of woollen goods.  The 15th century,</w:t></w:r>
</w:p>
<w:p>
<w:pPr><w:pStyle w:val="Normal"/></w:pPr>
<w:r><w:t xml:space="preserve">barren of progress in methods of husbandry, was in its</w:t></w:r>
</w:p>
<w:p>
<w:pPr><w:pStyle w:val="Normal"/></w:pPr>
<w:r><w:t xml:space="preserve">early years moderately prosperous.  Later on the increasing</w:t></w:r>
</w:p>
<w:p>
<w:pPr><w:pStyle w:val="Normal"/></w:pPr>
<w:r><w:t xml:space="preserve">abandonment of arable husbandry for sheep-farming brought</w:t></w:r>
</w:p>
<w:p>
<w:pPr><w:pStyle w:val="Normal"/></w:pPr>
<w:r><w:t xml:space="preserve">about a less demand for labour, and rural depopulation was</w:t></w:r>
</w:p>
<w:p>
<w:pPr><w:pStyle w:val="Normal"/></w:pPr>
<w:r><w:t xml:space="preserve">accelerated as the peasant was deprived of his grazing-ground</w:t></w:r>
</w:p>
<w:p>
<w:pPr><w:pStyle w:val="Normal"/></w:pPr>
<w:r><w:t xml:space="preserve">by the enclosure of more and more of the waste land.3</w:t></w:r>
</w:p>
<w:p>
<w:pPr><w:pStyle w:val="Normal"/></w:pPr>
<w:r><w:t xml:space="preserve">From the beginning of the reign of Henry VII. to the end</w:t></w:r>
</w:p>
<w:p>
<w:pPr><w:pStyle w:val="Normal"/></w:pPr>
<w:r><w:t xml:space="preserve">of Elizabeth&apos;s, a number of statutes were made for the</w:t></w:r>
</w:p>
<w:p>
<w:pPr><w:pStyle w:val="Normal"/></w:pPr>
<w:r><w:t xml:space="preserve">Agriculture under the Tudors and Stuarts.</w:t></w:r>
</w:p>
<w:p>
<w:pPr><w:pStyle w:val="Normal"/></w:pPr>
<w:r><w:t xml:space="preserve">encouragement of tillage, though probably to little purpose.</w:t></w:r>
</w:p>
<w:p>
<w:pPr><w:pStyle w:val="Normal"/></w:pPr>
<w:r><w:t xml:space="preserve">``Where in some towns,&apos;&apos; says the statute 4th Henry VII.</w:t></w:r>
</w:p>
<w:p>
<w:pPr><w:pStyle w:val="Normal"/></w:pPr>
<w:r><w:t xml:space="preserve">(1488), ``two hundred persons were occupied and lived of</w:t></w:r>
</w:p>
<w:p>
<w:pPr><w:pStyle w:val="Normal"/></w:pPr>
<w:r><w:t xml:space="preserve">their lawful labours. now there are occupied two or three</w:t></w:r>
</w:p>
<w:p>
<w:pPr><w:pStyle w:val="Normal"/></w:pPr>
<w:r><w:t xml:space="preserve">herdsmen, and the residue fall into idleness&apos;&apos;; therefore it</w:t></w:r>
</w:p>
<w:p>
<w:pPr><w:pStyle w:val="Normal"/></w:pPr>
<w:r><w:t xml:space="preserve">is ordained that houses which within three years have been</w:t></w:r>
</w:p>
<w:p>
<w:pPr><w:pStyle w:val="Normal"/></w:pPr>
<w:r><w:t xml:space="preserve">let for farms, with twenty acres of land lying in tillage or</w:t></w:r>
</w:p>
<w:p>
<w:pPr><w:pStyle w:val="Normal"/></w:pPr>
<w:r><w:t xml:space="preserve">husbandry, shall be upheld, under the penalty of half the</w:t></w:r>
</w:p>
<w:p>
<w:pPr><w:pStyle w:val="Normal"/></w:pPr>
<w:r><w:t xml:space="preserve">profits, to be forfeited to the king or the lord of the</w:t></w:r>
</w:p>
<w:p>
<w:pPr><w:pStyle w:val="Normal"/></w:pPr>
<w:r><w:t xml:space="preserve">fee.  Almost half a century afterwards the practice had become</w:t></w:r>
</w:p>
<w:p>
<w:pPr><w:pStyle w:val="Normal"/></w:pPr>
<w:r><w:t xml:space="preserve">still more alarming; and in 1534 a new act was tried, apparently</w:t></w:r>
</w:p>
<w:p>
<w:pPr><w:pStyle w:val="Normal"/></w:pPr>
<w:r><w:t xml:space="preserve">with as little success. ``Some have 24,000 sheep, some 20,000</w:t></w:r>
</w:p>
<w:p>
<w:pPr><w:pStyle w:val="Normal"/></w:pPr>
<w:r><w:t xml:space="preserve">sheep, some 10,000, some 6000, some 4000, and some more and</w:t></w:r>
</w:p>
<w:p>
<w:pPr><w:pStyle w:val="Normal"/></w:pPr>
<w:r><w:t xml:space="preserve">some less&apos;&apos;; and yet it is alleged the price of wool had nearly</w:t></w:r>
</w:p>
<w:p>
<w:pPr><w:pStyle w:val="Normal"/></w:pPr>
<w:r><w:t xml:space="preserve">doubled, ``sheep being come to a few persons&apos; hands.&apos;&apos; A</w:t></w:r>
</w:p>
<w:p>
<w:pPr><w:pStyle w:val="Normal"/></w:pPr>
<w:r><w:t xml:space="preserve">penalty was therefore imposed on all who kept above 2000 sheep;</w:t></w:r>
</w:p>
<w:p>
<w:pPr><w:pStyle w:val="Normal"/></w:pPr>
<w:r><w:t xml:space="preserve">and no person was to take in farm more than two tenements of</w:t></w:r>
</w:p>
<w:p>
<w:pPr><w:pStyle w:val="Normal"/></w:pPr>
<w:r><w:t xml:space="preserve">husbandry.  By the 39th Elizabeth (1597) arable land made</w:t></w:r>
</w:p>
<w:p>
<w:pPr><w:pStyle w:val="Normal"/></w:pPr>
<w:r><w:t xml:space="preserve">pasture since the 1st Elizabeth shall be again converted into</w:t></w:r>
</w:p>
<w:p>
<w:pPr><w:pStyle w:val="Normal"/></w:pPr>
<w:r><w:t xml:space="preserve">tillage, and what is arable shall not be converted into pasture.</w:t></w:r>
</w:p>
<w:p>
<w:pPr><w:pStyle w:val="Normal"/></w:pPr>
<w:r><w:t xml:space="preserve">The literature of agriculture, in abeyance since the treatise</w:t></w:r>
</w:p>
<w:p>
<w:pPr><w:pStyle w:val="Normal"/></w:pPr>
<w:r><w:t xml:space="preserve">of Walter of Henley, makes another beginning in the 16th</w:t></w:r>
</w:p>
<w:p>
<w:pPr><w:pStyle w:val="Normal"/></w:pPr>
<w:r><w:t xml:space="preserve">century.  The best of the early works is the Book of</w:t></w:r>
</w:p>
<w:p>
<w:pPr><w:pStyle w:val="Normal"/></w:pPr>
<w:r><w:t xml:space="preserve">Husbandry (1st ed. 1523), commonly ascribed to Sir Anthony</w:t></w:r>
</w:p>
<w:p>
<w:pPr><w:pStyle w:val="Normal"/></w:pPr>
<w:r><w:t xml:space="preserve">Fitzherbert, a judge of the Common Pleas in the reign of</w:t></w:r>
</w:p>
<w:p>
<w:pPr><w:pStyle w:val="Normal"/></w:pPr>
<w:r><w:t xml:space="preserve">Henry VIII., but more probably written by his elder brother</w:t></w:r>
</w:p>
<w:p>
<w:pPr><w:pStyle w:val="Normal"/></w:pPr>
<w:r><w:t xml:space="preserve">John.  This was followed by the Book of Surveying and</w:t></w:r>
</w:p>
<w:p>
<w:pPr><w:pStyle w:val="Normal"/></w:pPr>
<w:r><w:t xml:space="preserve">Improvements (1523), by the same author.  In the former</w:t></w:r>
</w:p>
<w:p>
<w:pPr><w:pStyle w:val="Normal"/></w:pPr>
<w:r><w:t xml:space="preserve">treatise we have a clear and minute description of the rural</w:t></w:r>
</w:p>
<w:p>
<w:pPr><w:pStyle w:val="Normal"/></w:pPr>
<w:r><w:t xml:space="preserve">practices of that period, and from the latter may be learned a</w:t></w:r>
</w:p>
<w:p>
<w:pPr><w:pStyle w:val="Normal"/></w:pPr>
<w:r><w:t xml:space="preserve">good deal of the economy of the feudal system in its decline.</w:t></w:r>
</w:p>
<w:p>
<w:pPr><w:pStyle w:val="Normal"/></w:pPr>
<w:r><w:t xml:space="preserve">The Book of Husbandry begins with a description of the</w:t></w:r>
</w:p>
<w:p>
<w:pPr><w:pStyle w:val="Normal"/></w:pPr>
<w:r><w:t xml:space="preserve">plough and other implements, after which about a third part</w:t></w:r>
</w:p>
<w:p>
<w:pPr><w:pStyle w:val="Normal"/></w:pPr>
<w:r><w:t xml:space="preserve">of it is occupied with the several operations as they succeed</w:t></w:r>
</w:p>
<w:p>
<w:pPr><w:pStyle w:val="Normal"/></w:pPr>
<w:r><w:t xml:space="preserve">one another throughout the year.  Among other passages</w:t></w:r>
</w:p>
<w:p>
<w:pPr><w:pStyle w:val="Normal"/></w:pPr>
<w:r><w:t xml:space="preserve">in this part of the work, the following deserve notice:--</w:t></w:r>
</w:p>
<w:p>
<w:pPr><w:pStyle w:val="Normal"/></w:pPr>
<w:r><w:t xml:space="preserve">``Somme (ploughs) wyll tourn the sheld bredith at every</w:t></w:r>
</w:p>
<w:p>
<w:pPr><w:pStyle w:val="Normal"/></w:pPr>
<w:r><w:t xml:space="preserve">landsende, and plowe all one way&apos;&apos;; the same kind of</w:t></w:r>
</w:p>
<w:p>
<w:pPr><w:pStyle w:val="Normal"/></w:pPr>
<w:r><w:t xml:space="preserve">plough that is now found so useful on hilly grounds.  Of</w:t></w:r>
</w:p>
<w:p>
<w:pPr><w:pStyle w:val="Normal"/></w:pPr>
<w:r><w:t xml:space="preserve">wheel-ploughs he observes, that ``they be good on even</w:t></w:r>
</w:p>
<w:p>
<w:pPr><w:pStyle w:val="Normal"/></w:pPr>
<w:r><w:t xml:space="preserve">grounde that lyeth lyghte&apos;&apos;; and on such lands they are</w:t></w:r>
</w:p>
<w:p>
<w:pPr><w:pStyle w:val="Normal"/></w:pPr>
<w:r><w:t xml:space="preserve">still most commonly employed.  Cart-wheels were sometimes</w:t></w:r>
</w:p>
<w:p>
<w:pPr><w:pStyle w:val="Normal"/></w:pPr>
<w:r><w:t xml:space="preserve">bound with iron; of which he greatly approves.  On the much</w:t></w:r>
</w:p>
<w:p>
<w:pPr><w:pStyle w:val="Normal"/></w:pPr>
<w:r><w:t xml:space="preserve">agitated question about the employment of horses or oxen in</w:t></w:r>
</w:p>
<w:p>
<w:pPr><w:pStyle w:val="Normal"/></w:pPr>
<w:r><w:t xml:space="preserve">labour, the most important arguments are distinctly stated.</w:t></w:r>
</w:p>
<w:p>
<w:pPr><w:pStyle w:val="Normal"/></w:pPr>
<w:r><w:t xml:space="preserve">``In some places,&apos;&apos; he says, ``a horse plough is better,&apos;&apos; and</w:t></w:r>
</w:p>
<w:p>
<w:pPr><w:pStyle w:val="Normal"/></w:pPr>
<w:r><w:t xml:space="preserve">in others an oxen plough, to which, upon the whole, he gives the</w:t></w:r>
</w:p>
<w:p>
<w:pPr><w:pStyle w:val="Normal"/></w:pPr>
<w:r><w:t xml:space="preserve">preference.  Beans and peas seem to have been common crops.  He</w:t></w:r>
</w:p>
<w:p>
<w:pPr><w:pStyle w:val="Normal"/></w:pPr>
<w:r><w:t xml:space="preserve">mentions the different kinds of wheat, barley and oats; and after</w:t></w:r>
</w:p>
<w:p>
<w:pPr><w:pStyle w:val="Normal"/></w:pPr>
<w:r><w:t xml:space="preserve">describing the method of harrowing ``all maner of cornnes,&apos;&apos; we</w:t></w:r>
</w:p>
<w:p>
<w:pPr><w:pStyle w:val="Normal"/></w:pPr>
<w:r><w:t xml:space="preserve">find the roller employed. ``They used to role their barley grounde</w:t></w:r>
</w:p>
<w:p>
<w:pPr><w:pStyle w:val="Normal"/></w:pPr>
<w:r><w:t xml:space="preserve">after a showr of rayne, to make the grounde even to mowe.&apos;&apos;</w:t></w:r>
</w:p>
<w:p>
<w:pPr><w:pStyle w:val="Normal"/></w:pPr>
<w:r><w:t xml:space="preserve">Under the article ``To falowe,&apos;&apos; he observes, ``the greater</w:t></w:r>
</w:p>
<w:p>
<w:pPr><w:pStyle w:val="Normal"/></w:pPr>
<w:r><w:t xml:space="preserve">clottes (clods) the better wheate, for the clottes kepe the</w:t></w:r>
</w:p>
<w:p>
<w:pPr><w:pStyle w:val="Normal"/></w:pPr>
<w:r><w:t xml:space="preserve">wheat warme all wynter; and at March they will melte and</w:t></w:r>
</w:p>
<w:p>
<w:pPr><w:pStyle w:val="Normal"/></w:pPr>
<w:r><w:t xml:space="preserve">breake and fal in manye small peces, the whiche is a new</w:t></w:r>
</w:p>
<w:p>
<w:pPr><w:pStyle w:val="Normal"/></w:pPr>
<w:r><w:t xml:space="preserve">dongynge and refreshynge of the corne.&apos;&apos; This is agreeable to</w:t></w:r>
</w:p>
<w:p>
<w:pPr><w:pStyle w:val="Normal"/></w:pPr>
<w:r><w:t xml:space="preserve">the present practice, founded on the very same reasons. ``In</w:t></w:r>
</w:p>
<w:p>
<w:pPr><w:pStyle w:val="Normal"/></w:pPr>
<w:r><w:t xml:space="preserve">May, the shepe folde is to be set out&apos;&apos;; but Fitzherbert does</w:t></w:r>
</w:p>
<w:p>
<w:pPr><w:pStyle w:val="Normal"/></w:pPr>
<w:r><w:t xml:space="preserve">not much approve of folding, and points out its disadvantages</w:t></w:r>
</w:p>
<w:p>
<w:pPr><w:pStyle w:val="Normal"/></w:pPr>
<w:r><w:t xml:space="preserve">in a very judicious manner. ``In the latter end of May and</w:t></w:r>
</w:p>
<w:p>
<w:pPr><w:pStyle w:val="Normal"/></w:pPr>
<w:r><w:t xml:space="preserve">the begynnynge of June, is tyme to wede the corne&apos;&apos;; and then</w:t></w:r>
</w:p>
<w:p>
<w:pPr><w:pStyle w:val="Normal"/></w:pPr>
<w:r><w:t xml:space="preserve">we have an accurate description of the different weeds, and</w:t></w:r>
</w:p>
<w:p>
<w:pPr><w:pStyle w:val="Normal"/></w:pPr>
<w:r><w:t xml:space="preserve">the instruments and mode of weeding.  Next comes a second</w:t></w:r>
</w:p>
<w:p>
<w:pPr><w:pStyle w:val="Normal"/></w:pPr>
<w:r><w:t xml:space="preserve">ploughing of the fallow; and afterwards, in the latter end of</w:t></w:r>
</w:p>
<w:p>
<w:pPr><w:pStyle w:val="Normal"/></w:pPr>
<w:r><w:t xml:space="preserve">June, the mowing of the meadows begins.  Of this operation,</w:t></w:r>
</w:p>
<w:p>
<w:pPr><w:pStyle w:val="Normal"/></w:pPr>
<w:r><w:t xml:space="preserve">and of the forks and rakes and the haymaking there is a very</w:t></w:r>
</w:p>
<w:p>
<w:pPr><w:pStyle w:val="Normal"/></w:pPr>
<w:r><w:t xml:space="preserve">good account.  The corn harvest naturally follows: rye and</w:t></w:r>
</w:p>
<w:p>
<w:pPr><w:pStyle w:val="Normal"/></w:pPr>
<w:r><w:t xml:space="preserve">wheat were usually shorn, and barley and oats cut with the</w:t></w:r>
</w:p>
<w:p>
<w:pPr><w:pStyle w:val="Normal"/></w:pPr>
<w:r><w:t xml:space="preserve">scythe.  The writer does not approve of the common practice</w:t></w:r>
</w:p>
<w:p>
<w:pPr><w:pStyle w:val="Normal"/></w:pPr>
<w:r><w:t xml:space="preserve">of cutting wheat high and then mowing the stubbles. ``In</w:t></w:r>
</w:p>
<w:p>
<w:pPr><w:pStyle w:val="Normal"/></w:pPr>
<w:r><w:t xml:space="preserve">Somersetshire,&apos;&apos; he says, ``they do shere theyr wheat very</w:t></w:r>
</w:p>
<w:p>
<w:pPr><w:pStyle w:val="Normal"/></w:pPr>
<w:r><w:t xml:space="preserve">lowe; and the wheate strawe that they purpose to make thacke</w:t></w:r>
</w:p>
<w:p>
<w:pPr><w:pStyle w:val="Normal"/></w:pPr>
<w:r><w:t xml:space="preserve">of, they do not threshe it, but cut off the ears, and bynd</w:t></w:r>
</w:p>
<w:p>
<w:pPr><w:pStyle w:val="Normal"/></w:pPr>
<w:r><w:t xml:space="preserve">it in sheves, and call it rede, and therewith they thacke</w:t></w:r>
</w:p>
<w:p>
<w:pPr><w:pStyle w:val="Normal"/></w:pPr>
<w:r><w:t xml:space="preserve">theyr houses.&apos;&apos; He recommends the practice of setting up corn</w:t></w:r>
</w:p>
<w:p>
<w:pPr><w:pStyle w:val="Normal"/></w:pPr>
<w:r><w:t xml:space="preserve">in shocks, with two sheaves to cover eight, instead of ten</w:t></w:r>
</w:p>
<w:p>
<w:pPr><w:pStyle w:val="Normal"/></w:pPr>
<w:r><w:t xml:space="preserve">sheaves as at present--probably owing to the straw being then</w:t></w:r>
</w:p>
<w:p>
<w:pPr><w:pStyle w:val="Normal"/></w:pPr>
<w:r><w:t xml:space="preserve">shorter.  The corn was commonly housed; but if there be</w:t></w:r>
</w:p>
<w:p>
<w:pPr><w:pStyle w:val="Normal"/></w:pPr>
<w:r><w:t xml:space="preserve">a want of room, he advises that the ricks be built on a</w:t></w:r>
</w:p>
<w:p>
<w:pPr><w:pStyle w:val="Normal"/></w:pPr>
<w:r><w:t xml:space="preserve">scaffold and not upon the ground.  The fallow received a</w:t></w:r>
</w:p>
<w:p>
<w:pPr><w:pStyle w:val="Normal"/></w:pPr>
<w:r><w:t xml:space="preserve">third ploughing in September, and was sown about Michaelmas.</w:t></w:r>
</w:p>
<w:p>
<w:pPr><w:pStyle w:val="Normal"/></w:pPr>
<w:r><w:t xml:space="preserve">``Wheat is moost commonlye sowne under the forowe, that is to</w:t></w:r>
</w:p>
<w:p>
<w:pPr><w:pStyle w:val="Normal"/></w:pPr>
<w:r><w:t xml:space="preserve">say, cast it uppon the falowe, and then plowe it under&apos;&apos;;</w:t></w:r>
</w:p>
<w:p>
<w:pPr><w:pStyle w:val="Normal"/></w:pPr>
<w:r><w:t xml:space="preserve">and this branch of his subject is concluded with directions</w:t></w:r>
</w:p>
<w:p>
<w:pPr><w:pStyle w:val="Normal"/></w:pPr>
<w:r><w:t xml:space="preserve">about threshing, winnowing and other kinds of barn-work.</w:t></w:r>
</w:p>
<w:p>
<w:pPr><w:pStyle w:val="Normal"/></w:pPr>
<w:r><w:t xml:space="preserve">Fitzherbert next proceeds to live stock. ``An housbande,&apos;&apos; he</w:t></w:r>
</w:p>
<w:p>
<w:pPr><w:pStyle w:val="Normal"/></w:pPr>
<w:r><w:t xml:space="preserve">says, ``can not well thryue by his corne without he have other</w:t></w:r>
</w:p>
<w:p>
<w:pPr><w:pStyle w:val="Normal"/></w:pPr>
<w:r><w:t xml:space="preserve">cattell, nor by his cattell without corne.  And bycause that</w:t></w:r>
</w:p>
<w:p>
<w:pPr><w:pStyle w:val="Normal"/></w:pPr>
<w:r><w:t xml:space="preserve">shepe, in myne opynyon, is the mooste profytablest cattell</w:t></w:r>
</w:p>
<w:p>
<w:pPr><w:pStyle w:val="Normal"/></w:pPr>
<w:r><w:t xml:space="preserve">that any man can haue, therefore I pourpose to speake fyrst of</w:t></w:r>
</w:p>
<w:p>
<w:pPr><w:pStyle w:val="Normal"/></w:pPr>
<w:r><w:t xml:space="preserve">shepe.&apos;&apos; His remarks on this subject are so accurate that one</w:t></w:r>
</w:p>
<w:p>
<w:pPr><w:pStyle w:val="Normal"/></w:pPr>
<w:r><w:t xml:space="preserve">might imagine they came from a storemaster of the present day.</w:t></w:r>
</w:p>
<w:p>
<w:pPr><w:pStyle w:val="Normal"/></w:pPr>
<w:r><w:t xml:space="preserve">In some places at present ``they neuer seuer their lambes</w:t></w:r>
</w:p>
<w:p>
<w:pPr><w:pStyle w:val="Normal"/></w:pPr>
<w:r><w:t xml:space="preserve">from their dammes&apos;&apos;; ``and the poore of the peeke (high)</w:t></w:r>
</w:p>
<w:p>
<w:pPr><w:pStyle w:val="Normal"/></w:pPr>
<w:r><w:t xml:space="preserve">countreye, and such other places, where, as they vse to</w:t></w:r>
</w:p>
<w:p>
<w:pPr><w:pStyle w:val="Normal"/></w:pPr>
<w:r><w:t xml:space="preserve">mylke theyr ewes, they vse to wayne theyr lambes at 12 weekes</w:t></w:r>
</w:p>
<w:p>
<w:pPr><w:pStyle w:val="Normal"/></w:pPr>
<w:r><w:t xml:space="preserve">olde, and to mylke their ewes fiue or syxe weekes&apos;&apos;; but</w:t></w:r>
</w:p>
<w:p>
<w:pPr><w:pStyle w:val="Normal"/></w:pPr>
<w:r><w:t xml:space="preserve">that, he observes, ``is greate hurte to the ewes, and wyll</w:t></w:r>
</w:p>
<w:p>
<w:pPr><w:pStyle w:val="Normal"/></w:pPr>
<w:r><w:t xml:space="preserve">cause them that they wyll not take the ramme at the tvme of</w:t></w:r>
</w:p>
<w:p>
<w:pPr><w:pStyle w:val="Normal"/></w:pPr>
<w:r><w:t xml:space="preserve">the yere for pouertye, but goo barreyne.&apos;&apos; ``In June is tyme</w:t></w:r>
</w:p>
<w:p>
<w:pPr><w:pStyle w:val="Normal"/></w:pPr>
<w:r><w:t xml:space="preserve">to shere shepe; and ere they be shorne, they must be verye</w:t></w:r>
</w:p>
<w:p>
<w:pPr><w:pStyle w:val="Normal"/></w:pPr>
<w:r><w:t xml:space="preserve">well washen, the which shall be to the owner greate profyte</w:t></w:r>
</w:p>
<w:p>
<w:pPr><w:pStyle w:val="Normal"/></w:pPr>
<w:r><w:t xml:space="preserve">in the sale of his wool, and also to the clothe-maker.&apos;&apos;</w:t></w:r>
</w:p>
<w:p>
<w:pPr><w:pStyle w:val="Normal"/></w:pPr>
<w:r><w:t xml:space="preserve">His remarks on horses, cattle, &amp;c., are not less</w:t></w:r>
</w:p>
<w:p>
<w:pPr><w:pStyle w:val="Normal"/></w:pPr>
<w:r><w:t xml:space="preserve">interesting; and there is a very good account of the</w:t></w:r>
</w:p>
<w:p>
<w:pPr><w:pStyle w:val="Normal"/></w:pPr>
<w:r><w:t xml:space="preserve">diseases of each species, and some just observations</w:t></w:r>
</w:p>
<w:p>
<w:pPr><w:pStyle w:val="Normal"/></w:pPr>
<w:r><w:t xml:space="preserve">on the advantage of mixing different kinds on the same</w:t></w:r>
</w:p>
<w:p>
<w:pPr><w:pStyle w:val="Normal"/></w:pPr>
<w:r><w:t xml:space="preserve">pasture.  Swine and bees conclude this branch of the work.</w:t></w:r>
</w:p>
<w:p>
<w:pPr><w:pStyle w:val="Normal"/></w:pPr>
<w:r><w:t xml:space="preserve">The author then points out the great advantages of enclosure;</w:t></w:r>
</w:p>
<w:p>
<w:pPr><w:pStyle w:val="Normal"/></w:pPr>
<w:r><w:t xml:space="preserve">recommends ``quycksettynge, dychynge and hedgeyng&apos;&apos;; and</w:t></w:r>
</w:p>
<w:p>
<w:pPr><w:pStyle w:val="Normal"/></w:pPr>
<w:r><w:t xml:space="preserve">gives particular directions about settes, and the method</w:t></w:r>
</w:p>
<w:p>
<w:pPr><w:pStyle w:val="Normal"/></w:pPr>
<w:r><w:t xml:space="preserve">of training a hedge, as well as concerning the planting</w:t></w:r>
</w:p>
<w:p>
<w:pPr><w:pStyle w:val="Normal"/></w:pPr>
<w:r><w:t xml:space="preserve">and management of trees.  Fitzherbert throws some light on</w:t></w:r>
</w:p>
<w:p>
<w:pPr><w:pStyle w:val="Normal"/></w:pPr>
<w:r><w:t xml:space="preserve">the position of women in the agriculture of his day. ``It</w:t></w:r>
</w:p>
<w:p>
<w:pPr><w:pStyle w:val="Normal"/></w:pPr>
<w:r><w:t xml:space="preserve">is a wyues occupation,&apos;&apos; he says, ``to wynowe all maner of</w:t></w:r>
</w:p>
<w:p>
<w:pPr><w:pStyle w:val="Normal"/></w:pPr>
<w:r><w:t xml:space="preserve">cornes, to make malte, to washe and wrynge, to make heye,</w:t></w:r>
</w:p>
<w:p>
<w:pPr><w:pStyle w:val="Normal"/></w:pPr>
<w:r><w:t xml:space="preserve">shere corne, and, in time of nede, to helpe her husbande</w:t></w:r>
</w:p>
<w:p>
<w:pPr><w:pStyle w:val="Normal"/></w:pPr>
<w:r><w:t xml:space="preserve">to fyll the mucke wayne or dounge carte, dryue the ploughe,</w:t></w:r>
</w:p>
<w:p>
<w:pPr><w:pStyle w:val="Normal"/></w:pPr>
<w:r><w:t xml:space="preserve">to loode heye, corne and suche other; and to go or ride</w:t></w:r>
</w:p>
<w:p>
<w:pPr><w:pStyle w:val="Normal"/></w:pPr>
<w:r><w:t xml:space="preserve">to the market to sel butter, chese, mylke, egges, chekyns,</w:t></w:r>
</w:p>
<w:p>
<w:pPr><w:pStyle w:val="Normal"/></w:pPr>
<w:r><w:t xml:space="preserve">capons, hennes, pygges, gese, and all maner of cornes.&apos;&apos;</w:t></w:r>
</w:p>
<w:p>
<w:pPr><w:pStyle w:val="Normal"/></w:pPr>
<w:r><w:t xml:space="preserve">The Book of Surveying adds considerably to our knowledge of</w:t></w:r>
</w:p>
<w:p>
<w:pPr><w:pStyle w:val="Normal"/></w:pPr>
<w:r><w:t xml:space="preserve">the rural economy of that age. ``Four maner of commens&apos;&apos; are</w:t></w:r>
</w:p>
<w:p>
<w:pPr><w:pStyle w:val="Normal"/></w:pPr>
<w:r><w:t xml:space="preserve">described; several kinds of mills for corn and other purposes,</w:t></w:r>
</w:p>
<w:p>
<w:pPr><w:pStyle w:val="Normal"/></w:pPr>
<w:r><w:t xml:space="preserve">and also ``quernes that goo with hand&apos;&apos;; different orders of</w:t></w:r>
</w:p>
<w:p>
<w:pPr><w:pStyle w:val="Normal"/></w:pPr>
<w:r><w:t xml:space="preserve">tenants, down to the ``boundmen,&apos;&apos; who ``in some places contynue</w:t></w:r>
</w:p>
<w:p>
<w:pPr><w:pStyle w:val="Normal"/></w:pPr>
<w:r><w:t xml:space="preserve">as yet&apos;&apos;; ``and many tymes, by colour thereof, there be many</w:t></w:r>
</w:p>
<w:p>
<w:pPr><w:pStyle w:val="Normal"/></w:pPr>
<w:r><w:t xml:space="preserve">freemen taken as boundmen, and their lands and goods is taken</w:t></w:r>
</w:p>
<w:p>
<w:pPr><w:pStyle w:val="Normal"/></w:pPr>
<w:r><w:t xml:space="preserve">from them.&apos;&apos; Lime and marl are mentioned as common manures,</w:t></w:r>
</w:p>
<w:p>
<w:pPr><w:pStyle w:val="Normal"/></w:pPr>
<w:r><w:t xml:space="preserve">and the former was sometimes spread on the surface to destroy</w:t></w:r>
</w:p>
<w:p>
<w:pPr><w:pStyle w:val="Normal"/></w:pPr>
<w:r><w:t xml:space="preserve">heath.  Both draining and irrigation are noticed, though</w:t></w:r>
</w:p>
<w:p>
<w:pPr><w:pStyle w:val="Normal"/></w:pPr>
<w:r><w:t xml:space="preserve">the latter but slightly.  And the work concludes with an</w:t></w:r>
</w:p>
<w:p>
<w:pPr><w:pStyle w:val="Normal"/></w:pPr>
<w:r><w:t xml:space="preserve">inquiry ``how to make a township that is worth XX. marke a</w:t></w:r>
</w:p>
<w:p>
<w:pPr><w:pStyle w:val="Normal"/></w:pPr>
<w:r><w:t xml:space="preserve">yere, worth XX.li. a year,&apos;&apos; advocating the transition from</w:t></w:r>
</w:p>
<w:p>
<w:pPr><w:pStyle w:val="Normal"/></w:pPr>
<w:r><w:t xml:space="preserve">communal or open field to individual or enclosure farming.</w:t></w:r>
</w:p>
<w:p>
<w:pPr><w:pStyle w:val="Normal"/></w:pPr>
<w:r><w:t xml:space="preserve">``It is undoubted, that to every townshyppe that standeth</w:t></w:r>
</w:p>
<w:p>
<w:pPr><w:pStyle w:val="Normal"/></w:pPr>
<w:r><w:t xml:space="preserve">in tyllage in the playne countrey, there be errable landes</w:t></w:r>
</w:p>
<w:p>
<w:pPr><w:pStyle w:val="Normal"/></w:pPr>
<w:r><w:t xml:space="preserve">to plowe and sowe, and leyse to tye or tedder theyr horses</w:t></w:r>
</w:p>
<w:p>
<w:pPr><w:pStyle w:val="Normal"/></w:pPr>
<w:r><w:t xml:space="preserve">and mares upon, and common pasture to kepe and pasture their</w:t></w:r>
</w:p>
<w:p>
<w:pPr><w:pStyle w:val="Normal"/></w:pPr>
<w:r><w:t xml:space="preserve">catell, beestes and shepe upon; and also they have medowe</w:t></w:r>
</w:p>
<w:p>
<w:pPr><w:pStyle w:val="Normal"/></w:pPr>
<w:r><w:t xml:space="preserve">grounde to get their hey upon.  Than to let it be known how</w:t></w:r>
</w:p>
<w:p>
<w:pPr><w:pStyle w:val="Normal"/></w:pPr>
<w:r><w:t xml:space="preserve">many acres of errable lande euery man hath in tyllage, and of</w:t></w:r>
</w:p>
<w:p>
<w:pPr><w:pStyle w:val="Normal"/></w:pPr>
<w:r><w:t xml:space="preserve">the same acres in euery felde to chaunge with his neyghbours,</w:t></w:r>
</w:p>
<w:p>
<w:pPr><w:pStyle w:val="Normal"/></w:pPr>
<w:r><w:t xml:space="preserve">and to leve them toguyther, and to make hym one seuerall</w:t></w:r>
</w:p>
<w:p>
<w:pPr><w:pStyle w:val="Normal"/></w:pPr>
<w:r><w:t xml:space="preserve">close in euery felde for his errable lands; and his leyse in</w:t></w:r>
</w:p>
<w:p>
<w:pPr><w:pStyle w:val="Normal"/></w:pPr>
<w:r><w:t xml:space="preserve">euery felde to leve them togyther in one felde, and to make</w:t></w:r>
</w:p>
<w:p>
<w:pPr><w:pStyle w:val="Normal"/></w:pPr>
<w:r><w:t xml:space="preserve">one seuerall close for them all.  And also another seuerall</w:t></w:r>
</w:p>
<w:p>
<w:pPr><w:pStyle w:val="Normal"/></w:pPr>
<w:r><w:t xml:space="preserve">close for his portion of his common pasture, and also his</w:t></w:r>
</w:p>
<w:p>
<w:pPr><w:pStyle w:val="Normal"/></w:pPr>
<w:r><w:t xml:space="preserve">porcion of his medowe in a seuerall close by itselfe, and al</w:t></w:r>
</w:p>
<w:p>
<w:pPr><w:pStyle w:val="Normal"/></w:pPr>
<w:r><w:t xml:space="preserve">kept in seureall both in wynter and somer; and euery cottage</w:t></w:r>
</w:p>
<w:p>
<w:pPr><w:pStyle w:val="Normal"/></w:pPr>
<w:r><w:t xml:space="preserve">shall haue his portion assigned hym accordynge to his rent,</w:t></w:r>
</w:p>
<w:p>
<w:pPr><w:pStyle w:val="Normal"/></w:pPr>
<w:r><w:t xml:space="preserve">and than shall nat the ryche man ouerpresse the poore man</w:t></w:r>
</w:p>
<w:p>
<w:pPr><w:pStyle w:val="Normal"/></w:pPr>
<w:r><w:t xml:space="preserve">with his cattell; and euery man may eate his oun close at his</w:t></w:r>
</w:p>
<w:p>
<w:pPr><w:pStyle w:val="Normal"/></w:pPr>
<w:r><w:t xml:space="preserve">pleasure.  And vndoubted, that hay and strawe that will find</w:t></w:r>
</w:p>
<w:p>
<w:pPr><w:pStyle w:val="Normal"/></w:pPr>
<w:r><w:t xml:space="preserve">one beest in the house wyll finde two beestes in the close,</w:t></w:r>
</w:p>
<w:p>
<w:pPr><w:pStyle w:val="Normal"/></w:pPr>
<w:r><w:t xml:space="preserve">and better they shall lyke.  For those beestis in the house</w:t></w:r>
</w:p>
<w:p>
<w:pPr><w:pStyle w:val="Normal"/></w:pPr>
<w:r><w:t xml:space="preserve">have short heare and thynne, and towards March they will pylle</w:t></w:r>
</w:p>
<w:p>
<w:pPr><w:pStyle w:val="Normal"/></w:pPr>
<w:r><w:t xml:space="preserve">and be bare; and therefore they may nat abyde in the fylde</w:t></w:r>
</w:p>
<w:p>
<w:pPr><w:pStyle w:val="Normal"/></w:pPr>
<w:r><w:t xml:space="preserve">before the heerdmen in wintertyme for colde.  And those that</w:t></w:r>
</w:p>
<w:p>
<w:pPr><w:pStyle w:val="Normal"/></w:pPr>
<w:r><w:t xml:space="preserve">lye in a close under a hedge haue longe heare and thyck, and</w:t></w:r>
</w:p>
<w:p>
<w:pPr><w:pStyle w:val="Normal"/></w:pPr>
<w:r><w:t xml:space="preserve">they will neuer pylle nor be bare: and by this reason the</w:t></w:r>
</w:p>
<w:p>
<w:pPr><w:pStyle w:val="Normal"/></w:pPr>
<w:r><w:t xml:space="preserve">husbande maye keoe twyse so many catell as he did before.</w:t></w:r>
</w:p>
<w:p>
<w:pPr><w:pStyle w:val="Normal"/></w:pPr>
<w:r><w:t xml:space="preserve">``This is the cause of this approwment.  Nowe euery husbande</w:t></w:r>
</w:p>
<w:p>
<w:pPr><w:pStyle w:val="Normal"/></w:pPr>
<w:r><w:t xml:space="preserve">hath sixe seuerall closes, whereof iii. be for corne, the</w:t></w:r>
</w:p>
<w:p>
<w:pPr><w:pStyle w:val="Normal"/></w:pPr>
<w:r><w:t xml:space="preserve">fourthe for his leyse, the fyfte for his commen pastures,</w:t></w:r>
</w:p>
<w:p>
<w:pPr><w:pStyle w:val="Normal"/></w:pPr>
<w:r><w:t xml:space="preserve">and the sixte for his haye; and in wynter time there is but</w:t></w:r>
</w:p>
<w:p>
<w:pPr><w:pStyle w:val="Normal"/></w:pPr>
<w:r><w:t xml:space="preserve">one occupied with corne, and than hath the husbande other</w:t></w:r>
</w:p>
<w:p>
<w:pPr><w:pStyle w:val="Normal"/></w:pPr>
<w:r><w:t xml:space="preserve">fyue to occupiy tyll lente come, and that he hath his falowe</w:t></w:r>
</w:p>
<w:p>
<w:pPr><w:pStyle w:val="Normal"/></w:pPr>
<w:r><w:t xml:space="preserve">felde, his ley felde, and his pasture felde al sommer.</w:t></w:r>
</w:p>
<w:p>
<w:pPr><w:pStyle w:val="Normal"/></w:pPr>
<w:r><w:t xml:space="preserve">And when he hath mowen his medowe, then he hath his medowe</w:t></w:r>
</w:p>
<w:p>
<w:pPr><w:pStyle w:val="Normal"/></w:pPr>
<w:r><w:t xml:space="preserve">grounde, soo that if he hath any weyke catell that wold be</w:t></w:r>
</w:p>
<w:p>
<w:pPr><w:pStyle w:val="Normal"/></w:pPr>
<w:r><w:t xml:space="preserve">amended, or dyvers maner of catell, he may put them in any</w:t></w:r>
</w:p>
<w:p>
<w:pPr><w:pStyle w:val="Normal"/></w:pPr>
<w:r><w:t xml:space="preserve">close he wyll, the which is a great advantage; and if all</w:t></w:r>
</w:p>
<w:p>
<w:pPr><w:pStyle w:val="Normal"/></w:pPr>
<w:r><w:t xml:space="preserve">shulde lye commen, than wolde the edyche of the corne feldes</w:t></w:r>
</w:p>
<w:p>
<w:pPr><w:pStyle w:val="Normal"/></w:pPr>
<w:r><w:t xml:space="preserve">and the aftermath of all the medowes be eaten in X. or XII.</w:t></w:r>
</w:p>
<w:p>
<w:pPr><w:pStyle w:val="Normal"/></w:pPr>
<w:r><w:t xml:space="preserve">dayes.  And the rych men that hath moche catell wold have the</w:t></w:r>
</w:p>
<w:p>
<w:pPr><w:pStyle w:val="Normal"/></w:pPr>
<w:r><w:t xml:space="preserve">advantage, and the poore man can have no help nor relefe in</w:t></w:r>
</w:p>
<w:p>
<w:pPr><w:pStyle w:val="Normal"/></w:pPr>
<w:r><w:t xml:space="preserve">wynter when he hath moste nede; and if an acre of lande be</w:t></w:r>
</w:p>
<w:p>
<w:pPr><w:pStyle w:val="Normal"/></w:pPr>
<w:r><w:t xml:space="preserve">worthe sixe pens, or it be enclosed, it will be worth VIII.</w:t></w:r>
</w:p>
<w:p>
<w:pPr><w:pStyle w:val="Normal"/></w:pPr>
<w:r><w:t xml:space="preserve">pens, when it is enclosed by reason of the compostying and</w:t></w:r>
</w:p>
<w:p>
<w:pPr><w:pStyle w:val="Normal"/></w:pPr>
<w:r><w:t xml:space="preserve">dongyng of the catell that shall go and lye upon it both day</w:t></w:r>
</w:p>
<w:p>
<w:pPr><w:pStyle w:val="Normal"/></w:pPr>
<w:r><w:t xml:space="preserve">and nighte; and if any of his thre closes that he hath for</w:t></w:r>
</w:p>
<w:p>
<w:pPr><w:pStyle w:val="Normal"/></w:pPr>
<w:r><w:t xml:space="preserve">his corne be worne or ware bare, than he may breke and plowe</w:t></w:r>
</w:p>
<w:p>
<w:pPr><w:pStyle w:val="Normal"/></w:pPr>
<w:r><w:t xml:space="preserve">up his close that he hadde for his layse, or the close that</w:t></w:r>
</w:p>
<w:p>
<w:pPr><w:pStyle w:val="Normal"/></w:pPr>
<w:r><w:t xml:space="preserve">he hadde for his commen pasture, or bothe, and sowe them with</w:t></w:r>
</w:p>
<w:p>
<w:pPr><w:pStyle w:val="Normal"/></w:pPr>
<w:r><w:t xml:space="preserve">corne, and let the other lye for a time, and so shall he have</w:t></w:r>
</w:p>
<w:p>
<w:pPr><w:pStyle w:val="Normal"/></w:pPr>
<w:r><w:t xml:space="preserve">always reist grounde, the which will bear moche corne with</w:t></w:r>
</w:p>
<w:p>
<w:pPr><w:pStyle w:val="Normal"/></w:pPr>
<w:r><w:t xml:space="preserve">lytel donge; and also he shall have a great profyte of the wod</w:t></w:r>
</w:p>
<w:p>
<w:pPr><w:pStyle w:val="Normal"/></w:pPr>
<w:r><w:t xml:space="preserve">in the hedges whan it is growen; and not only these profytes</w:t></w:r>
</w:p>
<w:p>
<w:pPr><w:pStyle w:val="Normal"/></w:pPr>
<w:r><w:t xml:space="preserve">and advantages beforesaid, but he shall save moche more than</w:t></w:r>
</w:p>
<w:p>
<w:pPr><w:pStyle w:val="Normal"/></w:pPr>
<w:r><w:t xml:space="preserve">al these, for by reason of these closes he shall save meate,</w:t></w:r>
</w:p>
<w:p>
<w:pPr><w:pStyle w:val="Normal"/></w:pPr>
<w:r><w:t xml:space="preserve">drinke and wages of a shepherde, the wages of the heerdmen, and</w:t></w:r>
</w:p>
<w:p>
<w:pPr><w:pStyle w:val="Normal"/></w:pPr>
<w:r><w:t xml:space="preserve">the wages of the swine herde, the which may fortune to be as</w:t></w:r>
</w:p>
<w:p>
<w:pPr><w:pStyle w:val="Normal"/></w:pPr>
<w:r><w:t xml:space="preserve">chargeable as all his holle rente; and also his corne shall be</w:t></w:r>
</w:p>
<w:p>
<w:pPr><w:pStyle w:val="Normal"/></w:pPr>
<w:r><w:t xml:space="preserve">better saved from eatinge or destroyeng with catel.  For dout</w:t></w:r>
</w:p>
<w:p>
<w:pPr><w:pStyle w:val="Normal"/></w:pPr>
<w:r><w:t xml:space="preserve">ye nat but heerdemen with their catell, shepeherdes with their</w:t></w:r>
</w:p>
<w:p>
<w:pPr><w:pStyle w:val="Normal"/></w:pPr>
<w:r><w:t xml:space="preserve">shepe, and tieng of horses and mares, destroyeth moch corne,</w:t></w:r>
</w:p>
<w:p>
<w:pPr><w:pStyle w:val="Normal"/></w:pPr>
<w:r><w:t xml:space="preserve">the which the hedges wold save.  Paraduenture some men would</w:t></w:r>
</w:p>
<w:p>
<w:pPr><w:pStyle w:val="Normal"/></w:pPr>
<w:r><w:t xml:space="preserve">say that this shuld be against the common weale, bicause the</w:t></w:r>
</w:p>
<w:p>
<w:pPr><w:pStyle w:val="Normal"/></w:pPr>
<w:r><w:t xml:space="preserve">shepeherdes, heerdmen and swyne-herdes shuld than be put out of</w:t></w:r>
</w:p>
<w:p>
<w:pPr><w:pStyle w:val="Normal"/></w:pPr>
<w:r><w:t xml:space="preserve">wages.  To that it may be answered. though these occupations</w:t></w:r>
</w:p>
<w:p>
<w:pPr><w:pStyle w:val="Normal"/></w:pPr>
<w:r><w:t xml:space="preserve">be not used, there be as many newe occupations that were not</w:t></w:r>
</w:p>
<w:p>
<w:pPr><w:pStyle w:val="Normal"/></w:pPr>
<w:r><w:t xml:space="preserve">used before; as getting of quicke settes. diching, hedging</w:t></w:r>
</w:p>
<w:p>
<w:pPr><w:pStyle w:val="Normal"/></w:pPr>
<w:r><w:t xml:space="preserve">and plashing, the which the same men may use and occupye.&apos;&apos;</w:t></w:r>
</w:p>
<w:p>
<w:pPr><w:pStyle w:val="Normal"/></w:pPr>
<w:r><w:t xml:space="preserve">The next author who writes professedly on agriculture is</w:t></w:r>
</w:p>
<w:p>
<w:pPr><w:pStyle w:val="Normal"/></w:pPr>
<w:r><w:t xml:space="preserve">Thomas Tusser, whose Five Hundred Points of Husbandry,</w:t></w:r>
</w:p>
<w:p>
<w:pPr><w:pStyle w:val="Normal"/></w:pPr>
<w:r><w:t xml:space="preserve">published in 1562, enjoyed such lasting repute that in 1723</w:t></w:r>
</w:p>
<w:p>
<w:pPr><w:pStyle w:val="Normal"/></w:pPr>
<w:r><w:t xml:space="preserve">Lord Molesworth recommended that it should be taught in</w:t></w:r>
</w:p>
<w:p>
<w:pPr><w:pStyle w:val="Normal"/></w:pPr>
<w:r><w:t xml:space="preserve">schools.  In it the book of husbandry consists of 118 pages,</w:t></w:r>
</w:p>
<w:p>
<w:pPr><w:pStyle w:val="Normal"/></w:pPr>
<w:r><w:t xml:space="preserve">and then follows the Point of Housewifrie, occupying 42</w:t></w:r>
</w:p>
<w:p>
<w:pPr><w:pStyle w:val="Normal"/></w:pPr>
<w:r><w:t xml:space="preserve">pages more.  It is written in verse.  Amidst much that is</w:t></w:r>
</w:p>
<w:p>
<w:pPr><w:pStyle w:val="Normal"/></w:pPr>
<w:r><w:t xml:space="preserve">valueless there are some useful notices concerning the state</w:t></w:r>
</w:p>
<w:p>
<w:pPr><w:pStyle w:val="Normal"/></w:pPr>
<w:r><w:t xml:space="preserve">of agriculture at the time in different parts of England.</w:t></w:r>
</w:p>
<w:p>
<w:pPr><w:pStyle w:val="Normal"/></w:pPr>
<w:r><w:t xml:space="preserve">Hops, which had been introduced in the early part of the 16th</w:t></w:r>
</w:p>
<w:p>
<w:pPr><w:pStyle w:val="Normal"/></w:pPr>
<w:r><w:t xml:space="preserve">century, and on the culture of which a treatise was published</w:t></w:r>
</w:p>
<w:p>
<w:pPr><w:pStyle w:val="Normal"/></w:pPr>
<w:r><w:t xml:space="preserve">in 1574 by Reginald Scott, are mentioned as a well-known</w:t></w:r>
</w:p>
<w:p>
<w:pPr><w:pStyle w:val="Normal"/></w:pPr>
<w:r><w:t xml:space="preserve">crop.  Buckwheat was sown after barley.  Hemp and flax</w:t></w:r>
</w:p>
<w:p>
<w:pPr><w:pStyle w:val="Normal"/></w:pPr>
<w:r><w:t xml:space="preserve">are mentioned as common crops.  Enclosures must have been</w:t></w:r>
</w:p>
<w:p>
<w:pPr><w:pStyle w:val="Normal"/></w:pPr>
<w:r><w:t xml:space="preserve">numerous in some counties; and there is a very good comparison</w:t></w:r>
</w:p>
<w:p>
<w:pPr><w:pStyle w:val="Normal"/></w:pPr>
<w:r><w:t xml:space="preserve">between ``champion (open fields) country and several,&apos;&apos;</w:t></w:r>
</w:p>
<w:p>
<w:pPr><w:pStyle w:val="Normal"/></w:pPr>
<w:r><w:t xml:space="preserve">which Blith afterwards transcribed into his Improver</w:t></w:r>
</w:p>
<w:p>
<w:pPr><w:pStyle w:val="Normal"/></w:pPr>
<w:r><w:t xml:space="preserve">Improved.  Carrots, cabbages, turnips and rape, not yet</w:t></w:r>
</w:p>
<w:p>
<w:pPr><w:pStyle w:val="Normal"/></w:pPr>
<w:r><w:t xml:space="preserve">cultivated in the fields, are mentioned among the herbs</w:t></w:r>
</w:p>
<w:p>
<w:pPr><w:pStyle w:val="Normal"/></w:pPr>
<w:r><w:t xml:space="preserve">and roots for the kitchen.  There is nothing to be found in</w:t></w:r>
</w:p>
<w:p>
<w:pPr><w:pStyle w:val="Normal"/></w:pPr>
<w:r><w:t xml:space="preserve">Tusser about serfs or bondmen, as in Fitzherbert&apos;s works.</w:t></w:r>
</w:p>
<w:p>
<w:pPr><w:pStyle w:val="Normal"/></w:pPr>
<w:r><w:t xml:space="preserve">In 1577 appeared the Foure Bookes of Husbandry, translated, with</w:t></w:r>
</w:p>
<w:p>
<w:pPr><w:pStyle w:val="Normal"/></w:pPr>
<w:r><w:t xml:space="preserve">augmentation, from the work of Conrad Heresbach.  Much stress</w:t></w:r>
</w:p>
<w:p>
<w:pPr><w:pStyle w:val="Normal"/></w:pPr>
<w:r><w:t xml:space="preserve">is laid on the value of manure, and mention is made of clover.</w:t></w:r>
</w:p>
<w:p>
<w:pPr><w:pStyle w:val="Normal"/></w:pPr>
<w:r><w:t xml:space="preserve">Fitzherbert, in deploring the gradual discontinuance of the</w:t></w:r>
</w:p>
<w:p>
<w:pPr><w:pStyle w:val="Normal"/></w:pPr>
<w:r><w:t xml:space="preserve">practice of marling land, had alluded to the grievance familiar</w:t></w:r>
</w:p>
<w:p>
<w:pPr><w:pStyle w:val="Normal"/></w:pPr>
<w:r><w:t xml:space="preserve">in modern times of tenants ``who, if they should marl and</w:t></w:r>
</w:p>
<w:p>
<w:pPr><w:pStyle w:val="Normal"/></w:pPr>
<w:r><w:t xml:space="preserve">make their holdings much better, fear lest they should be</w:t></w:r>
</w:p>
<w:p>
<w:pPr><w:pStyle w:val="Normal"/></w:pPr>
<w:r><w:t xml:space="preserve">put out, or make a great fine or else pay more rent.&apos;&apos; This</w:t></w:r>
</w:p>
<w:p>
<w:pPr><w:pStyle w:val="Normal"/></w:pPr>
<w:r><w:t xml:space="preserve">subject is treated at length in Sir John Norden&apos;s Surveyor&apos;s</w:t></w:r>
</w:p>
<w:p>
<w:pPr><w:pStyle w:val="Normal"/></w:pPr>
<w:r><w:t xml:space="preserve">Dialogue (1st ed. 1607), the next agricultural work demanding</w:t></w:r>
</w:p>
<w:p>
<w:pPr><w:pStyle w:val="Normal"/></w:pPr>
<w:r><w:t xml:space="preserve">notice.  The author, writing from the landowner&apos;s point of</w:t></w:r>
</w:p>
<w:p>
<w:pPr><w:pStyle w:val="Normal"/></w:pPr>
<w:r><w:t xml:space="preserve">view, ascribes the rise in rents and the rise in the price</w:t></w:r>
</w:p>
<w:p>
<w:pPr><w:pStyle w:val="Normal"/></w:pPr>
<w:r><w:t xml:space="preserve">of corn4 to the ``emulation&apos;&apos; of tenants in competing for</w:t></w:r>
</w:p>
<w:p>
<w:pPr><w:pStyle w:val="Normal"/></w:pPr>
<w:r><w:t xml:space="preserve">holdings, a practice implying that the agriculture of the</w:t></w:r>
</w:p>
<w:p>
<w:pPr><w:pStyle w:val="Normal"/></w:pPr>
<w:r><w:t xml:space="preserve">period was prosperous.  Norden&apos;s work contains many judicious</w:t></w:r>
</w:p>
<w:p>
<w:pPr><w:pStyle w:val="Normal"/></w:pPr>
<w:r><w:t xml:space="preserve">observations on the ``different natures of grounds, how</w:t></w:r>
</w:p>
<w:p>
<w:pPr><w:pStyle w:val="Normal"/></w:pPr>
<w:r><w:t xml:space="preserve">they may be employed, how they may be bettered, reformed and</w:t></w:r>
</w:p>
<w:p>
<w:pPr><w:pStyle w:val="Normal"/></w:pPr>
<w:r><w:t xml:space="preserve">amended.&apos;&apos; The famous meadows near Salisbury are mentioned,</w:t></w:r>
</w:p>
<w:p>
<w:pPr><w:pStyle w:val="Normal"/></w:pPr>
<w:r><w:t xml:space="preserve">where, when cattle have fed their fill, hogs, it is said,</w:t></w:r>
</w:p>
<w:p>
<w:pPr><w:pStyle w:val="Normal"/></w:pPr>
<w:r><w:t xml:space="preserve">``are made fat with the remnant--namely, with the knots and</w:t></w:r>
</w:p>
<w:p>
<w:pPr><w:pStyle w:val="Normal"/></w:pPr>
<w:r><w:t xml:space="preserve">sappe of the grasse.&apos;&apos; ``Clouer grasse, or the grasse honey</w:t></w:r>
</w:p>
<w:p>
<w:pPr><w:pStyle w:val="Normal"/></w:pPr>
<w:r><w:t xml:space="preserve">suckle&apos;&apos; (white clover), is directed to be sown with other</w:t></w:r>
</w:p>
<w:p>
<w:pPr><w:pStyle w:val="Normal"/></w:pPr>
<w:r><w:t xml:space="preserve">hay seeds. ``Carrot rootes&apos;&apos; were then raised in several</w:t></w:r>
</w:p>
<w:p>
<w:pPr><w:pStyle w:val="Normal"/></w:pPr>
<w:r><w:t xml:space="preserve">parts of England, and sometimes by farmers.  London street</w:t></w:r>
</w:p>
<w:p>
<w:pPr><w:pStyle w:val="Normal"/></w:pPr>
<w:r><w:t xml:space="preserve">and stable dung was carried to a distance by water, and</w:t></w:r>
</w:p>
<w:p>
<w:pPr><w:pStyle w:val="Normal"/></w:pPr>
<w:r><w:t xml:space="preserve">appears from later writers to have been got for the trouble of</w:t></w:r>
</w:p>
<w:p>
<w:pPr><w:pStyle w:val="Normal"/></w:pPr>
<w:r><w:t xml:space="preserve">removing.  Leases of 21 years are recommended for persons</w:t></w:r>
</w:p>
<w:p>
<w:pPr><w:pStyle w:val="Normal"/></w:pPr>
<w:r><w:t xml:space="preserve">of small capital as better than employing it in purchasing</w:t></w:r>
</w:p>
<w:p>
<w:pPr><w:pStyle w:val="Normal"/></w:pPr>
<w:r><w:t xml:space="preserve">land.  The works of Gervase Markham, Leonard Mascall, Gabriel</w:t></w:r>
</w:p>
<w:p>
<w:pPr><w:pStyle w:val="Normal"/></w:pPr>
<w:r><w:t xml:space="preserve">Plattes and other authors of the first half of the 17th</w:t></w:r>
</w:p>
<w:p>
<w:pPr><w:pStyle w:val="Normal"/></w:pPr>
<w:r><w:t xml:space="preserve">century may be passed over, the best part of them being</w:t></w:r>
</w:p>
<w:p>
<w:pPr><w:pStyle w:val="Normal"/></w:pPr>
<w:r><w:t xml:space="preserve">preserved by Blith and Hartlib, who are referred to below.</w:t></w:r>
</w:p>
<w:p>
<w:pPr><w:pStyle w:val="Normal"/></w:pPr>
<w:r><w:t xml:space="preserve">Sir Richard Weston&apos;s Discourse on the Husbandry of Brabant</w:t></w:r>
</w:p>
<w:p>
<w:pPr><w:pStyle w:val="Normal"/></w:pPr>
<w:r><w:t xml:space="preserve">and Flanders was published by Hartlib in 1645, and its</w:t></w:r>
</w:p>
<w:p>
<w:pPr><w:pStyle w:val="Normal"/></w:pPr>
<w:r><w:t xml:space="preserve">title indicates the source to which England owed much of its</w:t></w:r>
</w:p>
<w:p>
<w:pPr><w:pStyle w:val="Normal"/></w:pPr>
<w:r><w:t xml:space="preserve">subsequent agricultural advancement.  Weston was ambassador</w:t></w:r>
</w:p>
<w:p>
<w:pPr><w:pStyle w:val="Normal"/></w:pPr>
<w:r><w:t xml:space="preserve">from England to the elector palatine in 1619, and had the</w:t></w:r>
</w:p>
<w:p>
<w:pPr><w:pStyle w:val="Normal"/></w:pPr>
<w:r><w:t xml:space="preserve">merit of being the first who introduced the Great Clover,</w:t></w:r>
</w:p>
<w:p>
<w:pPr><w:pStyle w:val="Normal"/></w:pPr>
<w:r><w:t xml:space="preserve">as it was then called, into English agriculture, about</w:t></w:r>
</w:p>
<w:p>
<w:pPr><w:pStyle w:val="Normal"/></w:pPr>
<w:r><w:t xml:space="preserve">1652, and probably turnips also.  Clover thrives best, he</w:t></w:r>
</w:p>
<w:p>
<w:pPr><w:pStyle w:val="Normal"/></w:pPr>
<w:r><w:t xml:space="preserve">says, when you sow it on the barrenest ground, such as the</w:t></w:r>
</w:p>
<w:p>
<w:pPr><w:pStyle w:val="Normal"/></w:pPr>
<w:r><w:t xml:space="preserve">worst heath ground in England.  The ground is to be pared and</w:t></w:r>
</w:p>
<w:p>
<w:pPr><w:pStyle w:val="Normal"/></w:pPr>
<w:r><w:t xml:space="preserve">burnt, and unslacked lime must be added to the ashes.  It</w:t></w:r>
</w:p>
<w:p>
<w:pPr><w:pStyle w:val="Normal"/></w:pPr>
<w:r><w:t xml:space="preserve">is next to be well ploughed and harrowed; and about 10 lb. of</w:t></w:r>
</w:p>
<w:p>
<w:pPr><w:pStyle w:val="Normal"/></w:pPr>
<w:r><w:t xml:space="preserve">clover seed must be sown on an acre in April or the end of</w:t></w:r>
</w:p>
<w:p>
<w:pPr><w:pStyle w:val="Normal"/></w:pPr>
<w:r><w:t xml:space="preserve">March.  If you intend to preserve seed, then the second crop</w:t></w:r>
</w:p>
<w:p>
<w:pPr><w:pStyle w:val="Normal"/></w:pPr>
<w:r><w:t xml:space="preserve">must be let stand till it come to a full and dead ripeness, and</w:t></w:r>
</w:p>
<w:p>
<w:pPr><w:pStyle w:val="Normal"/></w:pPr>
<w:r><w:t xml:space="preserve">you shall have at the least five bushels per acre.  Being once</w:t></w:r>
</w:p>
<w:p>
<w:pPr><w:pStyle w:val="Normal"/></w:pPr>
<w:r><w:t xml:space="preserve">sown, it will last five years; the land, when ploughed, will</w:t></w:r>
</w:p>
<w:p>
<w:pPr><w:pStyle w:val="Normal"/></w:pPr>
<w:r><w:t xml:space="preserve">yield, three or four years together, rich crops of wheat, and</w:t></w:r>
</w:p>
<w:p>
<w:pPr><w:pStyle w:val="Normal"/></w:pPr>
<w:r><w:t xml:space="preserve">after that a crop of oats, with which clover seed is to be sown</w:t></w:r>
</w:p>
<w:p>
<w:pPr><w:pStyle w:val="Normal"/></w:pPr>
<w:r><w:t xml:space="preserve">again.  It is in itself an excellent manure, Sir Richard</w:t></w:r>
</w:p>
<w:p>
<w:pPr><w:pStyle w:val="Normal"/></w:pPr>
<w:r><w:t xml:space="preserve">adds; and so it should be, to enable land to bear this</w:t></w:r>
</w:p>
<w:p>
<w:pPr><w:pStyle w:val="Normal"/></w:pPr>
<w:r><w:t xml:space="preserve">treatment.  Before 1655 the culture of clover, exactly</w:t></w:r>
</w:p>
<w:p>
<w:pPr><w:pStyle w:val="Normal"/></w:pPr>
<w:r><w:t xml:space="preserve">according to the present method, seems to have been well</w:t></w:r>
</w:p>
<w:p>
<w:pPr><w:pStyle w:val="Normal"/></w:pPr>
<w:r><w:t xml:space="preserve">known in England, and it had also made its way to Ireland.</w:t></w:r>
</w:p>
<w:p>
<w:pPr><w:pStyle w:val="Normal"/></w:pPr>
<w:r><w:t xml:space="preserve">A great many works on agriculture appeared during the time</w:t></w:r>
</w:p>
<w:p>
<w:pPr><w:pStyle w:val="Normal"/></w:pPr>
<w:r><w:t xml:space="preserve">of the Commonwealth, of which Walter Blith&apos;s Improver</w:t></w:r>
</w:p>
<w:p>
<w:pPr><w:pStyle w:val="Normal"/></w:pPr>
<w:r><w:t xml:space="preserve">Improved and Samuel Hartlib&apos;s Legacie are the most</w:t></w:r>
</w:p>
<w:p>
<w:pPr><w:pStyle w:val="Normal"/></w:pPr>
<w:r><w:t xml:space="preserve">valuable.  The first edition of the former was published</w:t></w:r>
</w:p>
<w:p>
<w:pPr><w:pStyle w:val="Normal"/></w:pPr>
<w:r><w:t xml:space="preserve">in 1649, and of the latter in 1651; and both of them were</w:t></w:r>
</w:p>
<w:p>
<w:pPr><w:pStyle w:val="Normal"/></w:pPr>
<w:r><w:t xml:space="preserve">enlarged in subsequent editions.  In the first edition of</w:t></w:r>
</w:p>
<w:p>
<w:pPr><w:pStyle w:val="Normal"/></w:pPr>
<w:r><w:t xml:space="preserve">the Improver Improved no mention is made of clover, nor in</w:t></w:r>
</w:p>
<w:p>
<w:pPr><w:pStyle w:val="Normal"/></w:pPr>
<w:r><w:t xml:space="preserve">the second of turnips, but in the third, clover is treated of</w:t></w:r>
</w:p>
<w:p>
<w:pPr><w:pStyle w:val="Normal"/></w:pPr>
<w:r><w:t xml:space="preserve">at some length, and turnips are recommended as an excellent</w:t></w:r>
</w:p>
<w:p>
<w:pPr><w:pStyle w:val="Normal"/></w:pPr>
<w:r><w:t xml:space="preserve">cattle crop, the culture of which should be extended from</w:t></w:r>
</w:p>
<w:p>
<w:pPr><w:pStyle w:val="Normal"/></w:pPr>
<w:r><w:t xml:space="preserve">the kitchen garden to the field.  Sir Richard Weston must</w:t></w:r>
</w:p>
<w:p>
<w:pPr><w:pStyle w:val="Normal"/></w:pPr>
<w:r><w:t xml:space="preserve">have cultivated turnips before this; for Blith says that</w:t></w:r>
</w:p>
<w:p>
<w:pPr><w:pStyle w:val="Normal"/></w:pPr>
<w:r><w:t xml:space="preserve">Sir Richard affirmed to himself that he fed his swine with</w:t></w:r>
</w:p>
<w:p>
<w:pPr><w:pStyle w:val="Normal"/></w:pPr>
<w:r><w:t xml:space="preserve">them.  They were first given boiled, but afterwards the swine</w:t></w:r>
</w:p>
<w:p>
<w:pPr><w:pStyle w:val="Normal"/></w:pPr>
<w:r><w:t xml:space="preserve">came to eat them raw, and would run after the carts, and</w:t></w:r>
</w:p>
<w:p>
<w:pPr><w:pStyle w:val="Normal"/></w:pPr>
<w:r><w:t xml:space="preserve">pull them forth as they gathered them--an expression which</w:t></w:r>
</w:p>
<w:p>
<w:pPr><w:pStyle w:val="Normal"/></w:pPr>
<w:r><w:t xml:space="preserve">conveys an idea of their being cultivated in the fields.</w:t></w:r>
</w:p>
<w:p>
<w:pPr><w:pStyle w:val="Normal"/></w:pPr>
<w:r><w:t xml:space="preserve">Blith&apos;s book is the first systematic work in which there</w:t></w:r>
</w:p>
<w:p>
<w:pPr><w:pStyle w:val="Normal"/></w:pPr>
<w:r><w:t xml:space="preserve">are some traces of alternate husbandry or the practice of</w:t></w:r>
</w:p>
<w:p>
<w:pPr><w:pStyle w:val="Normal"/></w:pPr>
<w:r><w:t xml:space="preserve">interposing clover and turnip between culmiferous crops.</w:t></w:r>
</w:p>
<w:p>
<w:pPr><w:pStyle w:val="Normal"/></w:pPr>
<w:r><w:t xml:space="preserve">He is a great enemy to commons and common fields, and to</w:t></w:r>
</w:p>
<w:p>
<w:pPr><w:pStyle w:val="Normal"/></w:pPr>
<w:r><w:t xml:space="preserve">retaining land in old pasture, unless it be of the best</w:t></w:r>
</w:p>
<w:p>
<w:pPr><w:pStyle w:val="Normal"/></w:pPr>
<w:r><w:t xml:space="preserve">quality.  His description of the different kinds of ploughs is</w:t></w:r>
</w:p>
<w:p>
<w:pPr><w:pStyle w:val="Normal"/></w:pPr>
<w:r><w:t xml:space="preserve">interesting; and he justly recommends such as were drawn by two</w:t></w:r>
</w:p>
<w:p>
<w:pPr><w:pStyle w:val="Normal"/></w:pPr>
<w:r><w:t xml:space="preserve">horses (some even by one horse) in preference to the weighty</w:t></w:r>
</w:p>
<w:p>
<w:pPr><w:pStyle w:val="Normal"/></w:pPr>
<w:r><w:t xml:space="preserve">and clumsy machines which required four or more horses or</w:t></w:r>
</w:p>
<w:p>
<w:pPr><w:pStyle w:val="Normal"/></w:pPr>
<w:r><w:t xml:space="preserve">oxen.  The following passage indicates the contemporary</w:t></w:r>
</w:p>
<w:p>
<w:pPr><w:pStyle w:val="Normal"/></w:pPr>
<w:r><w:t xml:space="preserve">theory of manuring:---``In thy tillage are these special</w:t></w:r>
</w:p>
<w:p>
<w:pPr><w:pStyle w:val="Normal"/></w:pPr>
<w:r><w:t xml:space="preserve">opportunities to improve it, either by liming, marling,</w:t></w:r>
</w:p>
<w:p>
<w:pPr><w:pStyle w:val="Normal"/></w:pPr>
<w:r><w:t xml:space="preserve">sanding, earthing, mudding, snayl-codding, mucking, chalking,</w:t></w:r>
</w:p>
<w:p>
<w:pPr><w:pStyle w:val="Normal"/></w:pPr>
<w:r><w:t xml:space="preserve">pidgeons-dung, hens-dung, hogs-dung or by any other means</w:t></w:r>
</w:p>
<w:p>
<w:pPr><w:pStyle w:val="Normal"/></w:pPr>
<w:r><w:t xml:space="preserve">as some by rags, some by coarse wool, by pitch marks, and</w:t></w:r>
</w:p>
<w:p>
<w:pPr><w:pStyle w:val="Normal"/></w:pPr>
<w:r><w:t xml:space="preserve">tarry stuff, any oyly stuff, salt and many things more, yea</w:t></w:r>
</w:p>
<w:p>
<w:pPr><w:pStyle w:val="Normal"/></w:pPr>
<w:r><w:t xml:space="preserve">indeed any thing almost that hath any liquidness, foulness,</w:t></w:r>
</w:p>
<w:p>
<w:pPr><w:pStyle w:val="Normal"/></w:pPr>
<w:r><w:t xml:space="preserve">saltness or good moysture in it, is very naturall inrichment</w:t></w:r>
</w:p>
<w:p>
<w:pPr><w:pStyle w:val="Normal"/></w:pPr>
<w:r><w:t xml:space="preserve">to almost any sort of land.&apos;&apos; Blith speaks of an instrument</w:t></w:r>
</w:p>
<w:p>
<w:pPr><w:pStyle w:val="Normal"/></w:pPr>
<w:r><w:t xml:space="preserve">which ploughed, sowed and harrowed at the same time; and the</w:t></w:r>
</w:p>
<w:p>
<w:pPr><w:pStyle w:val="Normal"/></w:pPr>
<w:r><w:t xml:space="preserve">setting of corn was then a subject of much discussion.  Blith</w:t></w:r>
</w:p>
<w:p>
<w:pPr><w:pStyle w:val="Normal"/></w:pPr>
<w:r><w:t xml:space="preserve">was a zealous advocate of drainage and holds that drains to</w:t></w:r>
</w:p>
<w:p>
<w:pPr><w:pStyle w:val="Normal"/></w:pPr>
<w:r><w:t xml:space="preserve">be efficient must be laid 3 or 4 ft. deep.  The drainage of</w:t></w:r>
</w:p>
<w:p>
<w:pPr><w:pStyle w:val="Normal"/></w:pPr>
<w:r><w:t xml:space="preserve">the Great Level of the Fens was prosecuted during the 17th</w:t></w:r>
</w:p>
<w:p>
<w:pPr><w:pStyle w:val="Normal"/></w:pPr>
<w:r><w:t xml:space="preserve">century, but lack of engineering skill and the opposition of</w:t></w:r>
</w:p>
<w:p>
<w:pPr><w:pStyle w:val="Normal"/></w:pPr>
<w:r><w:t xml:space="preserve">the fen-men hindered the reclamation of a now fertile region.</w:t></w:r>
</w:p>
<w:p>
<w:pPr><w:pStyle w:val="Normal"/></w:pPr>
<w:r><w:t xml:space="preserve">Hartlib&apos;s Legacie contains, among some very judicious directions,</w:t></w:r>
</w:p>
<w:p>
<w:pPr><w:pStyle w:val="Normal"/></w:pPr>
<w:r><w:t xml:space="preserve">a great deal of rash speculation.  Several of the deficiencies</w:t></w:r>
</w:p>
<w:p>
<w:pPr><w:pStyle w:val="Normal"/></w:pPr>
<w:r><w:t xml:space="preserve">which the writer complains of in English agriculture must be</w:t></w:r>
</w:p>
<w:p>
<w:pPr><w:pStyle w:val="Normal"/></w:pPr>
<w:r><w:t xml:space="preserve">placed to the account of climate, and never have been or can be</w:t></w:r>
</w:p>
<w:p>
<w:pPr><w:pStyle w:val="Normal"/></w:pPr>
<w:r><w:t xml:space="preserve">supplied.  Some of his recommendations are quite unsuitable to</w:t></w:r>
</w:p>
<w:p>
<w:pPr><w:pStyle w:val="Normal"/></w:pPr>
<w:r><w:t xml:space="preserve">the state of the country, and display more of general knowledge</w:t></w:r>
</w:p>
<w:p>
<w:pPr><w:pStyle w:val="Normal"/></w:pPr>
<w:r><w:t xml:space="preserve">and good intention than of either the theory or practice of</w:t></w:r>
</w:p>
<w:p>
<w:pPr><w:pStyle w:val="Normal"/></w:pPr>
<w:r><w:t xml:space="preserve">agriculture.  Among the subjects deserving notice may be</w:t></w:r>
</w:p>
<w:p>
<w:pPr><w:pStyle w:val="Normal"/></w:pPr>
<w:r><w:t xml:space="preserve">mentioned the practice of steeping and liming seed corn as</w:t></w:r>
</w:p>
<w:p>
<w:pPr><w:pStyle w:val="Normal"/></w:pPr>
<w:r><w:t xml:space="preserve">a preventive of smut; changing every year the Species of</w:t></w:r>
</w:p>
<w:p>
<w:pPr><w:pStyle w:val="Normal"/></w:pPr>
<w:r><w:t xml:space="preserve">grain, and bringing seed corn from a distance; ploughing down</w:t></w:r>
</w:p>
<w:p>
<w:pPr><w:pStyle w:val="Normal"/></w:pPr>
<w:r><w:t xml:space="preserve">green crops as manure; and feeding horses with broken oats and</w:t></w:r>
</w:p>
<w:p>
<w:pPr><w:pStyle w:val="Normal"/></w:pPr>
<w:r><w:t xml:space="preserve">chaff.  This writer seems to differ a good deal from Blith about</w:t></w:r>
</w:p>
<w:p>
<w:pPr><w:pStyle w:val="Normal"/></w:pPr>
<w:r><w:t xml:space="preserve">the advantage of interchanging tillage and pasture. ``It were</w:t></w:r>
</w:p>
<w:p>
<w:pPr><w:pStyle w:val="Normal"/></w:pPr>
<w:r><w:t xml:space="preserve">no losse to this island,&apos;&apos; he says, ``if that we should not</w:t></w:r>
</w:p>
<w:p>
<w:pPr><w:pStyle w:val="Normal"/></w:pPr>
<w:r><w:t xml:space="preserve">plough at all, if so be that we could certainly have corn at</w:t></w:r>
</w:p>
<w:p>
<w:pPr><w:pStyle w:val="Normal"/></w:pPr>
<w:r><w:t xml:space="preserve">a reasonable rate, and likewise vent for all our manufactures</w:t></w:r>
</w:p>
<w:p>
<w:pPr><w:pStyle w:val="Normal"/></w:pPr>
<w:r><w:t xml:space="preserve">of wool&apos;&apos;; and one reason for this is, that pasture employs</w:t></w:r>
</w:p>
<w:p>
<w:pPr><w:pStyle w:val="Normal"/></w:pPr>
<w:r><w:t xml:space="preserve">more hands than tillage, instead of depopulating the country,</w:t></w:r>
</w:p>
<w:p>
<w:pPr><w:pStyle w:val="Normal"/></w:pPr>
<w:r><w:t xml:space="preserve">as was commonly imagined.  The Grout, which he mentions</w:t></w:r>
</w:p>
<w:p>
<w:pPr><w:pStyle w:val="Normal"/></w:pPr>
<w:r><w:t xml:space="preserve">as ``coming over to us in Holland ships,&apos;&apos; about which he</w:t></w:r>
</w:p>
<w:p>
<w:pPr><w:pStyle w:val="Normal"/></w:pPr>
<w:r><w:t xml:space="preserve">desires information, was probably the same as shelled barley;</w:t></w:r>
</w:p>
<w:p>
<w:pPr><w:pStyle w:val="Normal"/></w:pPr>
<w:r><w:t xml:space="preserve">and mills for manufacturing it were introduced into Scotland</w:t></w:r>
</w:p>
<w:p>
<w:pPr><w:pStyle w:val="Normal"/></w:pPr>
<w:r><w:t xml:space="preserve">from Holland towards the beginning of the 18th century.</w:t></w:r>
</w:p>
<w:p>
<w:pPr><w:pStyle w:val="Normal"/></w:pPr>
<w:r><w:t xml:space="preserve">Among the other writers previous to the Revolution mention must</w:t></w:r>
</w:p>
<w:p>
<w:pPr><w:pStyle w:val="Normal"/></w:pPr>
<w:r><w:t xml:space="preserve">be made of John Ray the botanist and of John Evelyn, both men of</w:t></w:r>
</w:p>
<w:p>
<w:pPr><w:pStyle w:val="Normal"/></w:pPr>
<w:r><w:t xml:space="preserve">great talent and research, whose works are still in high estimation.</w:t></w:r>
</w:p>
<w:p>
<w:pPr><w:pStyle w:val="Normal"/></w:pPr>
<w:r><w:t xml:space="preserve">The first half of the 17th century was a period of agricultural</w:t></w:r>
</w:p>
<w:p>
<w:pPr><w:pStyle w:val="Normal"/></w:pPr>
<w:r><w:t xml:space="preserve">activity, partly due, no doubt, to the increase of enclosed</w:t></w:r>
</w:p>
<w:p>
<w:pPr><w:pStyle w:val="Normal"/></w:pPr>
<w:r><w:t xml:space="preserve">farms.  Marling and liming are again practised, new</w:t></w:r>
</w:p>
<w:p>
<w:pPr><w:pStyle w:val="Normal"/></w:pPr>
<w:r><w:t xml:space="preserve">agricultural implements and manures introduced, and the</w:t></w:r>
</w:p>
<w:p>
<w:pPr><w:pStyle w:val="Normal"/></w:pPr>
<w:r><w:t xml:space="preserve">new crops more widely used.  But the Civil War and the</w:t></w:r>
</w:p>
<w:p>
<w:pPr><w:pStyle w:val="Normal"/></w:pPr>
<w:r><w:t xml:space="preserve">subsequent politicaldisturbances intervened to prevent the</w:t></w:r>
</w:p>
<w:p>
<w:pPr><w:pStyle w:val="Normal"/></w:pPr>
<w:r><w:t xml:space="preserve">continuance of this progress, and the agriculture of the</w:t></w:r>
</w:p>
<w:p>
<w:pPr><w:pStyle w:val="Normal"/></w:pPr>
<w:r><w:t xml:space="preserve">end of the century seems to have relapsed into stagnation.</w:t></w:r>
</w:p>
<w:p>
<w:pPr><w:pStyle w:val="Normal"/></w:pPr>
<w:r><w:t xml:space="preserve">Scottish agriculture of the 17th century.</w:t></w:r>
</w:p>
<w:p>
<w:pPr><w:pStyle w:val="Normal"/></w:pPr>
<w:r><w:t xml:space="preserve">Of the state of agriculture in Scotland in the 16th and the</w:t></w:r>
</w:p>
<w:p>
<w:pPr><w:pStyle w:val="Normal"/></w:pPr>
<w:r><w:t xml:space="preserve">greater part of the 17th century very little is known; no</w:t></w:r>
</w:p>
<w:p>
<w:pPr><w:pStyle w:val="Normal"/></w:pPr>
<w:r><w:t xml:space="preserve">professed treatise on the subject appeared till after the</w:t></w:r>
</w:p>
<w:p>
<w:pPr><w:pStyle w:val="Normal"/></w:pPr>
<w:r><w:t xml:space="preserve">Revolution.  The south-eastern counties were the earliest</w:t></w:r>
</w:p>
<w:p>
<w:pPr><w:pStyle w:val="Normal"/></w:pPr>
<w:r><w:t xml:space="preserve">improved, and yet in 1660 their condition seems to have been very</w:t></w:r>
</w:p>
<w:p>
<w:pPr><w:pStyle w:val="Normal"/></w:pPr>
<w:r><w:t xml:space="preserve">wretched.  Ray, who made a tour along the eastern coast in</w:t></w:r>
</w:p>
<w:p>
<w:pPr><w:pStyle w:val="Normal"/></w:pPr>
<w:r><w:t xml:space="preserve">that year, says, ``We observed little or no fallow ground in</w:t></w:r>
</w:p>
<w:p>
<w:pPr><w:pStyle w:val="Normal"/></w:pPr>
<w:r><w:t xml:space="preserve">Scotland; some ley ground we saw, which they manured with sea</w:t></w:r>
</w:p>
<w:p>
<w:pPr><w:pStyle w:val="Normal"/></w:pPr>
<w:r><w:t xml:space="preserve">wreck.  The men seemed to be very lazy, and may be frequently</w:t></w:r>
</w:p>
<w:p>
<w:pPr><w:pStyle w:val="Normal"/></w:pPr>
<w:r><w:t xml:space="preserve">observed to plough in their cloaks.  It is the fashion of them</w:t></w:r>
</w:p>
<w:p>
<w:pPr><w:pStyle w:val="Normal"/></w:pPr>
<w:r><w:t xml:space="preserve">to wear cloaks when they go abroad, but especially on Sundays.</w:t></w:r>
</w:p>
<w:p>
<w:pPr><w:pStyle w:val="Normal"/></w:pPr>
<w:r><w:t xml:space="preserve">They have neither good bread, cheese nor drink.  They cannot make</w:t></w:r>
</w:p>
<w:p>
<w:pPr><w:pStyle w:val="Normal"/></w:pPr>
<w:r><w:t xml:space="preserve">them, nor will they learn.  Their butter is very indifferent,</w:t></w:r>
</w:p>
<w:p>
<w:pPr><w:pStyle w:val="Normal"/></w:pPr>
<w:r><w:t xml:space="preserve">and one would wonder how they could contrive to make it so</w:t></w:r>
</w:p>
<w:p>
<w:pPr><w:pStyle w:val="Normal"/></w:pPr>
<w:r><w:t xml:space="preserve">bad.  They use much pottage made of coal-wort, which they call</w:t></w:r>
</w:p>
<w:p>
<w:pPr><w:pStyle w:val="Normal"/></w:pPr>
<w:r><w:t xml:space="preserve">kail, sometimes broth of decorticated barley.  The ordinary</w:t></w:r>
</w:p>
<w:p>
<w:pPr><w:pStyle w:val="Normal"/></w:pPr>
<w:r><w:t xml:space="preserve">country-houses are pitiful cots, built of stone and covered with</w:t></w:r>
</w:p>
<w:p>
<w:pPr><w:pStyle w:val="Normal"/></w:pPr>
<w:r><w:t xml:space="preserve">turfs, having in them but one room, many of them no chimneys,</w:t></w:r>
</w:p>
<w:p>
<w:pPr><w:pStyle w:val="Normal"/></w:pPr>
<w:r><w:t xml:space="preserve">the windows very small holes and not glazed.  The ground in</w:t></w:r>
</w:p>
<w:p>
<w:pPr><w:pStyle w:val="Normal"/></w:pPr>
<w:r><w:t xml:space="preserve">the valleys and plains bear very good corn, but especially</w:t></w:r>
</w:p>
<w:p>
<w:pPr><w:pStyle w:val="Normal"/></w:pPr>
<w:r><w:t xml:space="preserve">bears barley or bigge, and oats, but rarely wheat and rye.&apos;&apos;</w:t></w:r>
</w:p>
<w:p>
<w:pPr><w:pStyle w:val="Normal"/></w:pPr>
<w:r><w:t xml:space="preserve">It is probable that no great change had taken place in Scotland</w:t></w:r>
</w:p>
<w:p>
<w:pPr><w:pStyle w:val="Normal"/></w:pPr>
<w:r><w:t xml:space="preserve">from the end of the 15th century, except that tenants gradually</w:t></w:r>
</w:p>
<w:p>
<w:pPr><w:pStyle w:val="Normal"/></w:pPr>
<w:r><w:t xml:space="preserve">became possessed of a little stock of their own, instead of</w:t></w:r>
</w:p>
<w:p>
<w:pPr><w:pStyle w:val="Normal"/></w:pPr>
<w:r><w:t xml:space="preserve">having their farm stocked by the landlord. ``The minority of</w:t></w:r>
</w:p>
<w:p>
<w:pPr><w:pStyle w:val="Normal"/></w:pPr>
<w:r><w:t xml:space="preserve">James V., the reign of Mary Stuart, the infancy of her son, and</w:t></w:r>
</w:p>
<w:p>
<w:pPr><w:pStyle w:val="Normal"/></w:pPr>
<w:r><w:t xml:space="preserve">the civil wars of her grandson Charles I., were all periods of</w:t></w:r>
</w:p>
<w:p>
<w:pPr><w:pStyle w:val="Normal"/></w:pPr>
<w:r><w:t xml:space="preserve">lasting waste.  The very laws which were made during successive</w:t></w:r>
</w:p>
<w:p>
<w:pPr><w:pStyle w:val="Normal"/></w:pPr>
<w:r><w:t xml:space="preserve">reigns for protecting the tillers of the soil from spoil are</w:t></w:r>
</w:p>
<w:p>
<w:pPr><w:pStyle w:val="Normal"/></w:pPr>
<w:r><w:t xml:space="preserve">the best proofs of the deplorable state of the husbandman.&apos;&apos;5</w:t></w:r>
</w:p>
<w:p>
<w:pPr><w:pStyle w:val="Normal"/></w:pPr>
<w:r><w:t xml:space="preserve">In the 17th century those laws were made which paved the</w:t></w:r>
</w:p>
<w:p>
<w:pPr><w:pStyle w:val="Normal"/></w:pPr>
<w:r><w:t xml:space="preserve">way for an improved system of agriculture in Scotland.  By a</w:t></w:r>
</w:p>
<w:p>
<w:pPr><w:pStyle w:val="Normal"/></w:pPr>
<w:r><w:t xml:space="preserve">statute of 1633 landholders were enabled to have their tithes</w:t></w:r>
</w:p>
<w:p>
<w:pPr><w:pStyle w:val="Normal"/></w:pPr>
<w:r><w:t xml:space="preserve">valued, and to buy them either at nine or six years&apos; purchase,</w:t></w:r>
</w:p>
<w:p>
<w:pPr><w:pStyle w:val="Normal"/></w:pPr>
<w:r><w:t xml:space="preserve">according to the nature of the property.  The statute of 1685,</w:t></w:r>
</w:p>
<w:p>
<w:pPr><w:pStyle w:val="Normal"/></w:pPr>
<w:r><w:t xml:space="preserve">conferring on landlords a power to entail their estates, was</w:t></w:r>
</w:p>
<w:p>
<w:pPr><w:pStyle w:val="Normal"/></w:pPr>
<w:r><w:t xml:space="preserve">indeed of a very different tendency in regard to its effects on</w:t></w:r>
</w:p>
<w:p>
<w:pPr><w:pStyle w:val="Normal"/></w:pPr>
<w:r><w:t xml:space="preserve">agriculture.  But the two Acts in 1695, for the division of commons</w:t></w:r>
</w:p>
<w:p>
<w:pPr><w:pStyle w:val="Normal"/></w:pPr>
<w:r><w:t xml:space="preserve">and separation of intermixed properties, facilitated improvements.</w:t></w:r>
</w:p>
<w:p>
<w:pPr><w:pStyle w:val="Normal"/></w:pPr>
<w:r><w:t xml:space="preserve">Progress of agriculture from 1688 to 1760.</w:t></w:r>
</w:p>
<w:p>
<w:pPr><w:pStyle w:val="Normal"/></w:pPr>
<w:r><w:t xml:space="preserve">From the Revolution to the accession of George III. the</w:t></w:r>
</w:p>
<w:p>
<w:pPr><w:pStyle w:val="Normal"/></w:pPr>
<w:r><w:t xml:space="preserve">progress of agriculture was by no means so considerable as</w:t></w:r>
</w:p>
<w:p>
<w:pPr><w:pStyle w:val="Normal"/></w:pPr>
<w:r><w:t xml:space="preserve">might be imagined from the great exportation of corn.  It is</w:t></w:r>
</w:p>
<w:p>
<w:pPr><w:pStyle w:val="Normal"/></w:pPr>
<w:r><w:t xml:space="preserve">probable that very little improvement had taken place, either</w:t></w:r>
</w:p>
<w:p>
<w:pPr><w:pStyle w:val="Normal"/></w:pPr>
<w:r><w:t xml:space="preserve">in the cultivation of the soil or in the management of live</w:t></w:r>
</w:p>
<w:p>
<w:pPr><w:pStyle w:val="Normal"/></w:pPr>
<w:r><w:t xml:space="preserve">stock, from the Restoration down to the middle of the 18th</w:t></w:r>
</w:p>
<w:p>
<w:pPr><w:pStyle w:val="Normal"/></w:pPr>
<w:r><w:t xml:space="preserve">century.  Clover and turnips were confined to a few districts,</w:t></w:r>
</w:p>
<w:p>
<w:pPr><w:pStyle w:val="Normal"/></w:pPr>
<w:r><w:t xml:space="preserve">and at the latter period were scarcely cultivated at all by</w:t></w:r>
</w:p>
<w:p>
<w:pPr><w:pStyle w:val="Normal"/></w:pPr>
<w:r><w:t xml:space="preserve">common farmers in the northern part of the island.  Of the writers</w:t></w:r>
</w:p>
<w:p>
<w:pPr><w:pStyle w:val="Normal"/></w:pPr>
<w:r><w:t xml:space="preserve">of this period, therefore, it is necessary to notice only such</w:t></w:r>
</w:p>
<w:p>
<w:pPr><w:pStyle w:val="Normal"/></w:pPr>
<w:r><w:t xml:space="preserve">as describe some improvement in the modes of culture, or some</w:t></w:r>
</w:p>
<w:p>
<w:pPr><w:pStyle w:val="Normal"/></w:pPr>
<w:r><w:t xml:space="preserve">extension of the practices that were formerly little known.</w:t></w:r>
</w:p>
<w:p>
<w:pPr><w:pStyle w:val="Normal"/></w:pPr>
<w:r><w:t xml:space="preserve">In John Houghton&apos;s Collections on Husbandry and Trade, a</w:t></w:r>
</w:p>
<w:p>
<w:pPr><w:pStyle w:val="Normal"/></w:pPr>
<w:r><w:t xml:space="preserve">periodical work begun in 1681, there is one of the earliest</w:t></w:r>
</w:p>
<w:p>
<w:pPr><w:pStyle w:val="Normal"/></w:pPr>
<w:r><w:t xml:space="preserve">notices of turnips being eaten by sheep:----``Some in Essex have</w:t></w:r>
</w:p>
<w:p>
<w:pPr><w:pStyle w:val="Normal"/></w:pPr>
<w:r><w:t xml:space="preserve">their fallow after turnips, which feed their sheep in winter,</w:t></w:r>
</w:p>
<w:p>
<w:pPr><w:pStyle w:val="Normal"/></w:pPr>
<w:r><w:t xml:space="preserve">by which means the turnips are scooped, and so made capable</w:t></w:r>
</w:p>
<w:p>
<w:pPr><w:pStyle w:val="Normal"/></w:pPr>
<w:r><w:t xml:space="preserve">to hold dews and rain water, which, by corrupting, imbibes the</w:t></w:r>
</w:p>
<w:p>
<w:pPr><w:pStyle w:val="Normal"/></w:pPr>
<w:r><w:t xml:space="preserve">nitre of the air, and when the shell breaks it runs about and</w:t></w:r>
</w:p>
<w:p>
<w:pPr><w:pStyle w:val="Normal"/></w:pPr>
<w:r><w:t xml:space="preserve">fertilizes.  By feeding the sheep, the land is dunged as if</w:t></w:r>
</w:p>
<w:p>
<w:pPr><w:pStyle w:val="Normal"/></w:pPr>
<w:r><w:t xml:space="preserve">it had been folded; and those turnips, though few or none be</w:t></w:r>
</w:p>
<w:p>
<w:pPr><w:pStyle w:val="Normal"/></w:pPr>
<w:r><w:t xml:space="preserve">carried off for human use, are a very excellent improvement,</w:t></w:r>
</w:p>
<w:p>
<w:pPr><w:pStyle w:val="Normal"/></w:pPr>
<w:r><w:t xml:space="preserve">nay, some reckon it so, though they only plough the turnips</w:t></w:r>
</w:p>
<w:p>
<w:pPr><w:pStyle w:val="Normal"/></w:pPr>
<w:r><w:t xml:space="preserve">in without feeding.&apos;&apos; This was written in February 1694.  Ten</w:t></w:r>
</w:p>
<w:p>
<w:pPr><w:pStyle w:val="Normal"/></w:pPr>
<w:r><w:t xml:space="preserve">years before, John Worlidge, one of his correspondents, and</w:t></w:r>
</w:p>
<w:p>
<w:pPr><w:pStyle w:val="Normal"/></w:pPr>
<w:r><w:t xml:space="preserve">the author of the Systema Agriculturae (1669), observes,</w:t></w:r>
</w:p>
<w:p>
<w:pPr><w:pStyle w:val="Normal"/></w:pPr>
<w:r><w:t xml:space="preserve">``Sheep fatten very well on turnips, which prove an excellent</w:t></w:r>
</w:p>
<w:p>
<w:pPr><w:pStyle w:val="Normal"/></w:pPr>
<w:r><w:t xml:space="preserve">nourishment for them in hard winters when fodder is scarce; for</w:t></w:r>
</w:p>
<w:p>
<w:pPr><w:pStyle w:val="Normal"/></w:pPr>
<w:r><w:t xml:space="preserve">they will not only eat the greens, but feed on the roots in the</w:t></w:r>
</w:p>
<w:p>
<w:pPr><w:pStyle w:val="Normal"/></w:pPr>
<w:r><w:t xml:space="preserve">ground, and scoop them hollow even to the very skin.  Ten acres</w:t></w:r>
</w:p>
<w:p>
<w:pPr><w:pStyle w:val="Normal"/></w:pPr>
<w:r><w:t xml:space="preserve">(he adds) sown with clover, turnips, &amp;c., will feed as many</w:t></w:r>
</w:p>
<w:p>
<w:pPr><w:pStyle w:val="Normal"/></w:pPr>
<w:r><w:t xml:space="preserve">sheep as one hundred acres thereof would before have done.&apos;&apos;</w:t></w:r>
</w:p>
<w:p>
<w:pPr><w:pStyle w:val="Normal"/></w:pPr>
<w:r><w:t xml:space="preserve">The next writer of note is John Mortimer, whose Whole Art of Husbandry,</w:t></w:r>
</w:p>
<w:p>
<w:pPr><w:pStyle w:val="Normal"/></w:pPr>
<w:r><w:t xml:space="preserve">a regular, systematic work of considerable merit, was published in 1707.</w:t></w:r>
</w:p>
<w:p>
<w:pPr><w:pStyle w:val="Normal"/></w:pPr>
<w:r><w:t xml:space="preserve">From the third edition of Hartlib&apos;s Legacie we learn that</w:t></w:r>
</w:p>
<w:p>
<w:pPr><w:pStyle w:val="Normal"/></w:pPr>
<w:r><w:t xml:space="preserve">clover was cut green and given to cattle; and it appears that</w:t></w:r>
</w:p>
<w:p>
<w:pPr><w:pStyle w:val="Normal"/></w:pPr>
<w:r><w:t xml:space="preserve">this practice of soiling, as it is now called, had become very</w:t></w:r>
</w:p>
<w:p>
<w:pPr><w:pStyle w:val="Normal"/></w:pPr>
<w:r><w:t xml:space="preserve">common about the beginning of the 18th century, wherever clover was</w:t></w:r>
</w:p>
<w:p>
<w:pPr><w:pStyle w:val="Normal"/></w:pPr>
<w:r><w:t xml:space="preserve">cultivated.  Rye-grass was now sown along with it.  Turnips were</w:t></w:r>
</w:p>
<w:p>
<w:pPr><w:pStyle w:val="Normal"/></w:pPr>
<w:r><w:t xml:space="preserve">hand-hoed and extensively employed in feeding sheep and cattle.</w:t></w:r>
</w:p>
<w:p>
<w:pPr><w:pStyle w:val="Normal"/></w:pPr>
<w:r><w:t xml:space="preserve">The first considerable improvement in the practice of</w:t></w:r>
</w:p>
<w:p>
<w:pPr><w:pStyle w:val="Normal"/></w:pPr>
<w:r><w:t xml:space="preserve">that period was introduced by Jethro Tull, a gentleman of</w:t></w:r>
</w:p>
<w:p>
<w:pPr><w:pStyle w:val="Normal"/></w:pPr>
<w:r><w:t xml:space="preserve">Berkshire, who about the year 1701 invented the drill, and</w:t></w:r>
</w:p>
<w:p>
<w:pPr><w:pStyle w:val="Normal"/></w:pPr>
<w:r><w:t xml:space="preserve">whose Horse-hoeing Husbandry, published in 1731, exhibits</w:t></w:r>
</w:p>
<w:p>
<w:pPr><w:pStyle w:val="Normal"/></w:pPr>
<w:r><w:t xml:space="preserve">the first decided step in advance upon the principles and</w:t></w:r>
</w:p>
<w:p>
<w:pPr><w:pStyle w:val="Normal"/></w:pPr>
<w:r><w:t xml:space="preserve">practices of his predecessors.  Not contented with a careful</w:t></w:r>
</w:p>
<w:p>
<w:pPr><w:pStyle w:val="Normal"/></w:pPr>
<w:r><w:t xml:space="preserve">attention to details, Tull set himself, with admirable skill</w:t></w:r>
</w:p>
<w:p>
<w:pPr><w:pStyle w:val="Normal"/></w:pPr>
<w:r><w:t xml:space="preserve">and perseverance, to investigate the growth of plants, and</w:t></w:r>
</w:p>
<w:p>
<w:pPr><w:pStyle w:val="Normal"/></w:pPr>
<w:r><w:t xml:space="preserve">thus to arrive at a knowledge of the principles by which</w:t></w:r>
</w:p>
<w:p>
<w:pPr><w:pStyle w:val="Normal"/></w:pPr>
<w:r><w:t xml:space="preserve">the cultivation of field-crops should be regulated.  Having</w:t></w:r>
</w:p>
<w:p>
<w:pPr><w:pStyle w:val="Normal"/></w:pPr>
<w:r><w:t xml:space="preserve">arrived at the conclusion that the food of plants consists</w:t></w:r>
</w:p>
<w:p>
<w:pPr><w:pStyle w:val="Normal"/></w:pPr>
<w:r><w:t xml:space="preserve">of minute particles of earth taken up by their rootlets, it</w:t></w:r>
</w:p>
<w:p>
<w:pPr><w:pStyle w:val="Normal"/></w:pPr>
<w:r><w:t xml:space="preserve">followed that the more thoroughly the soil in which they grew</w:t></w:r>
</w:p>
<w:p>
<w:pPr><w:pStyle w:val="Normal"/></w:pPr>
<w:r><w:t xml:space="preserve">was disintegrated, the more abundant would be the ``pasture&apos;&apos;</w:t></w:r>
</w:p>
<w:p>
<w:pPr><w:pStyle w:val="Normal"/></w:pPr>
<w:r><w:t xml:space="preserve">(as he called it) to which their fibres would have access.</w:t></w:r>
</w:p>
<w:p>
<w:pPr><w:pStyle w:val="Normal"/></w:pPr>
<w:r><w:t xml:space="preserve">He was thus led to adopt that system of sowing his crops in</w:t></w:r>
</w:p>
<w:p>
<w:pPr><w:pStyle w:val="Normal"/></w:pPr>
<w:r><w:t xml:space="preserve">rows or drills, so wide apart as to admit of tillage of the</w:t></w:r>
</w:p>
<w:p>
<w:pPr><w:pStyle w:val="Normal"/></w:pPr>
<w:r><w:t xml:space="preserve">intervals, both by ploughing and hoeing, being continued until</w:t></w:r>
</w:p>
<w:p>
<w:pPr><w:pStyle w:val="Normal"/></w:pPr>
<w:r><w:t xml:space="preserve">they had well-nigh arrived at maturity.  Such reliance did he</w:t></w:r>
</w:p>
<w:p>
<w:pPr><w:pStyle w:val="Normal"/></w:pPr>
<w:r><w:t xml:space="preserve">place in the pulverization of the soil that he grew as many</w:t></w:r>
</w:p>
<w:p>
<w:pPr><w:pStyle w:val="Normal"/></w:pPr>
<w:r><w:t xml:space="preserve">as thirteen crops of wheat on the same field without manure.</w:t></w:r>
</w:p>
<w:p>
<w:pPr><w:pStyle w:val="Normal"/></w:pPr>
<w:r><w:t xml:space="preserve">As the distance between his rows appeared much greater than</w:t></w:r>
</w:p>
<w:p>
<w:pPr><w:pStyle w:val="Normal"/></w:pPr>
<w:r><w:t xml:space="preserve">was necessary for the range of the roots of the plants, he</w:t></w:r>
</w:p>
<w:p>
<w:pPr><w:pStyle w:val="Normal"/></w:pPr>
<w:r><w:t xml:space="preserve">begins by showing that these roots extend much farther than</w:t></w:r>
</w:p>
<w:p>
<w:pPr><w:pStyle w:val="Normal"/></w:pPr>
<w:r><w:t xml:space="preserve">is commonly believed, and then proceeds to inquire into the</w:t></w:r>
</w:p>
<w:p>
<w:pPr><w:pStyle w:val="Normal"/></w:pPr>
<w:r><w:t xml:space="preserve">nature of their food.  After examining several hypotheses,</w:t></w:r>
</w:p>
<w:p>
<w:pPr><w:pStyle w:val="Normal"/></w:pPr>
<w:r><w:t xml:space="preserve">he decides this to be fine particles of earth.  The chief</w:t></w:r>
</w:p>
<w:p>
<w:pPr><w:pStyle w:val="Normal"/></w:pPr>
<w:r><w:t xml:space="preserve">and almost the only use of dung, he thinks, is to divide the</w:t></w:r>
</w:p>
<w:p>
<w:pPr><w:pStyle w:val="Normal"/></w:pPr>
<w:r><w:t xml:space="preserve">earth, to dissolve ``this terrestrial matter, which affords</w:t></w:r>
</w:p>
<w:p>
<w:pPr><w:pStyle w:val="Normal"/></w:pPr>
<w:r><w:t xml:space="preserve">nutriment to the mouths of vegetable roots&apos;&apos;; and this can be</w:t></w:r>
</w:p>
<w:p>
<w:pPr><w:pStyle w:val="Normal"/></w:pPr>
<w:r><w:t xml:space="preserve">done more completely by tillage.  It is therefore necessary not</w:t></w:r>
</w:p>
<w:p>
<w:pPr><w:pStyle w:val="Normal"/></w:pPr>
<w:r><w:t xml:space="preserve">only to pulverize the soil by repeated ploughings before it be</w:t></w:r>
</w:p>
<w:p>
<w:pPr><w:pStyle w:val="Normal"/></w:pPr>
<w:r><w:t xml:space="preserve">seeded, but, as it becomes gradually more and more compressed</w:t></w:r>
</w:p>
<w:p>
<w:pPr><w:pStyle w:val="Normal"/></w:pPr>
<w:r><w:t xml:space="preserve">afterwards, recourse must be had to tillage while the plants</w:t></w:r>
</w:p>
<w:p>
<w:pPr><w:pStyle w:val="Normal"/></w:pPr>
<w:r><w:t xml:space="preserve">are growing; and this is hoeing, which also destroys the</w:t></w:r>
</w:p>
<w:p>
<w:pPr><w:pStyle w:val="Normal"/></w:pPr>
<w:r><w:t xml:space="preserve">weeds that would deprive the plants of their nourishment.</w:t></w:r>
</w:p>
<w:p>
<w:pPr><w:pStyle w:val="Normal"/></w:pPr>
<w:r><w:t xml:space="preserve">The leading features of Tull&apos;s husbandry are his practice</w:t></w:r>
</w:p>
<w:p>
<w:pPr><w:pStyle w:val="Normal"/></w:pPr>
<w:r><w:t xml:space="preserve">of laying the land into narrow ridges of 5 or 6 ft.,</w:t></w:r>
</w:p>
<w:p>
<w:pPr><w:pStyle w:val="Normal"/></w:pPr>
<w:r><w:t xml:space="preserve">and upon the middle of these drilling one, two, or three</w:t></w:r>
</w:p>
<w:p>
<w:pPr><w:pStyle w:val="Normal"/></w:pPr>
<w:r><w:t xml:space="preserve">rows, distant from one another about 7 in. when there were</w:t></w:r>
</w:p>
<w:p>
<w:pPr><w:pStyle w:val="Normal"/></w:pPr>
<w:r><w:t xml:space="preserve">three, and 10 in. when only two.  The distance of the plants</w:t></w:r>
</w:p>
<w:p>
<w:pPr><w:pStyle w:val="Normal"/></w:pPr>
<w:r><w:t xml:space="preserve">on one ridge from those on the contiguous one he called</w:t></w:r>
</w:p>
<w:p>
<w:pPr><w:pStyle w:val="Normal"/></w:pPr>
<w:r><w:t xml:space="preserve">an interval; the distance between the rows on the same</w:t></w:r>
</w:p>
<w:p>
<w:pPr><w:pStyle w:val="Normal"/></w:pPr>
<w:r><w:t xml:space="preserve">ridge, a space or partition; the former was stirred</w:t></w:r>
</w:p>
<w:p>
<w:pPr><w:pStyle w:val="Normal"/></w:pPr>
<w:r><w:t xml:space="preserve">repeatedly by the horse-hoe, the latter by the hand-hoe.</w:t></w:r>
</w:p>
<w:p>
<w:pPr><w:pStyle w:val="Normal"/></w:pPr>
<w:r><w:t xml:space="preserve">``Hoeing,&apos;&apos; he says, ``may be divided into deep, which is our</w:t></w:r>
</w:p>
<w:p>
<w:pPr><w:pStyle w:val="Normal"/></w:pPr>
<w:r><w:t xml:space="preserve">horse-hoeing; and shallow, which is the English hand-hoeing;</w:t></w:r>
</w:p>
<w:p>
<w:pPr><w:pStyle w:val="Normal"/></w:pPr>
<w:r><w:t xml:space="preserve">and also the shallow horse-hoeing used in some places betwixt</w:t></w:r>
</w:p>
<w:p>
<w:pPr><w:pStyle w:val="Normal"/></w:pPr>
<w:r><w:t xml:space="preserve">rows, where the intervals are very narrow, as 16 or 18</w:t></w:r>
</w:p>
<w:p>
<w:pPr><w:pStyle w:val="Normal"/></w:pPr>
<w:r><w:t xml:space="preserve">inches.  This is but an imitation of the hand-hoe, or a</w:t></w:r>
</w:p>
<w:p>
<w:pPr><w:pStyle w:val="Normal"/></w:pPr>
<w:r><w:t xml:space="preserve">succenadeum to it, and can neither supply the use of dung nor</w:t></w:r>
</w:p>
<w:p>
<w:pPr><w:pStyle w:val="Normal"/></w:pPr>
<w:r><w:t xml:space="preserve">fallow, and may be properly called scratch-hoeing.&apos;&apos; But in</w:t></w:r>
</w:p>
<w:p>
<w:pPr><w:pStyle w:val="Normal"/></w:pPr>
<w:r><w:t xml:space="preserve">his mode of forming ridges his practice seems to have been</w:t></w:r>
</w:p>
<w:p>
<w:pPr><w:pStyle w:val="Normal"/></w:pPr>
<w:r><w:t xml:space="preserve">original; his implements, especially his drill, display much</w:t></w:r>
</w:p>
<w:p>
<w:pPr><w:pStyle w:val="Normal"/></w:pPr>
<w:r><w:t xml:space="preserve">ingenuity; and his claim to the title of founder of the present</w:t></w:r>
</w:p>
<w:p>
<w:pPr><w:pStyle w:val="Normal"/></w:pPr>
<w:r><w:t xml:space="preserve">horse-hoeing husbandry of Great Britain seems indisputable.</w:t></w:r>
</w:p>
<w:p>
<w:pPr><w:pStyle w:val="Normal"/></w:pPr>
<w:r><w:t xml:space="preserve">Contemporary with Tull was Charles, 2nd Viscount Townshend,</w:t></w:r>
</w:p>
<w:p>
<w:pPr><w:pStyle w:val="Normal"/></w:pPr>
<w:r><w:t xml:space="preserve">a typical representative of the large landowners to whom</w:t></w:r>
</w:p>
<w:p>
<w:pPr><w:pStyle w:val="Normal"/></w:pPr>
<w:r><w:t xml:space="preserve">the strides made by agriculture in the 18th century were</w:t></w:r>
</w:p>
<w:p>
<w:pPr><w:pStyle w:val="Normal"/></w:pPr>
<w:r><w:t xml:space="preserve">due.  The class to which he belonged was the only one which</w:t></w:r>
</w:p>
<w:p>
<w:pPr><w:pStyle w:val="Normal"/></w:pPr>
<w:r><w:t xml:space="preserve">could afford to initiate improvements.  The bulk of the land</w:t></w:r>
</w:p>
<w:p>
<w:pPr><w:pStyle w:val="Normal"/></w:pPr>
<w:r><w:t xml:space="preserve">was still farmed by small tenants on the old common-field</w:t></w:r>
</w:p>
<w:p>
<w:pPr><w:pStyle w:val="Normal"/></w:pPr>
<w:r><w:t xml:space="preserve">system, which made it impossible for the individual to adopt</w:t></w:r>
</w:p>
<w:p>
<w:pPr><w:pStyle w:val="Normal"/></w:pPr>
<w:r><w:t xml:space="preserve">a new crop rotation and hindered innovation of every kind.</w:t></w:r>
</w:p>
<w:p>
<w:pPr><w:pStyle w:val="Normal"/></w:pPr>
<w:r><w:t xml:space="preserve">On the other hand, the small farmers who occupied separated</w:t></w:r>
</w:p>
<w:p>
<w:pPr><w:pStyle w:val="Normal"/></w:pPr>
<w:r><w:t xml:space="preserve">holdings were deterred from improving by the fear of a rise in</w:t></w:r>
</w:p>
<w:p>
<w:pPr><w:pStyle w:val="Normal"/></w:pPr>
<w:r><w:t xml:space="preserve">rent.  Townshend&apos;s belief in the growing of turnips gained</w:t></w:r>
</w:p>
<w:p>
<w:pPr><w:pStyle w:val="Normal"/></w:pPr>
<w:r><w:t xml:space="preserve">him the nickname of ``Turnip Townshend.&apos;&apos; In their cultivation</w:t></w:r>
</w:p>
<w:p>
<w:pPr><w:pStyle w:val="Normal"/></w:pPr>
<w:r><w:t xml:space="preserve">he adopted Tull&apos;s practice of drilling and horse-hoeing,</w:t></w:r>
</w:p>
<w:p>
<w:pPr><w:pStyle w:val="Normal"/></w:pPr>
<w:r><w:t xml:space="preserve">and he was also the founder of the Norfolk or four-course</w:t></w:r>
</w:p>
<w:p>
<w:pPr><w:pStyle w:val="Normal"/></w:pPr>
<w:r><w:t xml:space="preserve">system, the first of those rotations which dispense with</w:t></w:r>
</w:p>
<w:p>
<w:pPr><w:pStyle w:val="Normal"/></w:pPr>
<w:r><w:t xml:space="preserve">the necessity of a summer-fallow and provide winter-keep for</w:t></w:r>
</w:p>
<w:p>
<w:pPr><w:pStyle w:val="Normal"/></w:pPr>
<w:r><w:t xml:space="preserve">live-stock (see below, Rotation of Crops).  The spread of</w:t></w:r>
</w:p>
<w:p>
<w:pPr><w:pStyle w:val="Normal"/></w:pPr>
<w:r><w:t xml:space="preserve">these principles in Norfolk made it, according to Arthur Young</w:t></w:r>
</w:p>
<w:p>
<w:pPr><w:pStyle w:val="Normal"/></w:pPr>
<w:r><w:t xml:space="preserve">(writing in 1770), one of the best cultivated counties in</w:t></w:r>
</w:p>
<w:p>
<w:pPr><w:pStyle w:val="Normal"/></w:pPr>
<w:r><w:t xml:space="preserve">England.  In the latter half of the century another Norfolk</w:t></w:r>
</w:p>
<w:p>
<w:pPr><w:pStyle w:val="Normal"/></w:pPr>
<w:r><w:t xml:space="preserve">farmer, Thomas William Coke of Holkham, earl of Leicester,</w:t></w:r>
</w:p>
<w:p>
<w:pPr><w:pStyle w:val="Normal"/></w:pPr>
<w:r><w:t xml:space="preserve">(1752-1842), figures as a pioneer of high-farming.  He was one</w:t></w:r>
</w:p>
<w:p>
<w:pPr><w:pStyle w:val="Normal"/></w:pPr>
<w:r><w:t xml:space="preserve">of the first to use oil-cake and bone-manure, to distinguish</w:t></w:r>
</w:p>
<w:p>
<w:pPr><w:pStyle w:val="Normal"/></w:pPr>
<w:r><w:t xml:space="preserve">the feeding values of grasses, to appreciate to the full the</w:t></w:r>
</w:p>
<w:p>
<w:pPr><w:pStyle w:val="Normal"/></w:pPr>
<w:r><w:t xml:space="preserve">beneficial effects of stock on light lands and to realize</w:t></w:r>
</w:p>
<w:p>
<w:pPr><w:pStyle w:val="Normal"/></w:pPr>
<w:r><w:t xml:space="preserve">the value of long leases as an incentive to good farming.</w:t></w:r>
</w:p>
<w:p>
<w:pPr><w:pStyle w:val="Normal"/></w:pPr>
<w:r><w:t xml:space="preserve">Agriculture in Scotland in the 18th century.</w:t></w:r>
</w:p>
<w:p>
<w:pPr><w:pStyle w:val="Normal"/></w:pPr>
<w:r><w:t xml:space="preserve">Of the progress of the art in Scotland, till towards the</w:t></w:r>
</w:p>
<w:p>
<w:pPr><w:pStyle w:val="Normal"/></w:pPr>
<w:r><w:t xml:space="preserve">end of the 17th century, we are almost entirely ignorant.</w:t></w:r>
</w:p>
<w:p>
<w:pPr><w:pStyle w:val="Normal"/></w:pPr>
<w:r><w:t xml:space="preserve">The first work, written by James Donaldson, was printed in</w:t></w:r>
</w:p>
<w:p>
<w:pPr><w:pStyle w:val="Normal"/></w:pPr>
<w:r><w:t xml:space="preserve">1697, under the title of Husbandry Anatomized; or, Inquiry</w:t></w:r>
</w:p>
<w:p>
<w:pPr><w:pStyle w:val="Normal"/></w:pPr>
<w:r><w:t xml:space="preserve">into the Present Manner of Tilling and Manuring the Ground in</w:t></w:r>
</w:p>
<w:p>
<w:pPr><w:pStyle w:val="Normal"/></w:pPr>
<w:r><w:t xml:space="preserve">Scotland.  It appears from this treatise that the state of</w:t></w:r>
</w:p>
<w:p>
<w:pPr><w:pStyle w:val="Normal"/></w:pPr>
<w:r><w:t xml:space="preserve">the art was not more advanced at that time in North Britain</w:t></w:r>
</w:p>
<w:p>
<w:pPr><w:pStyle w:val="Normal"/></w:pPr>
<w:r><w:t xml:space="preserve">than it had been in England in the time of Fitzherbert.  Farms</w:t></w:r>
</w:p>
<w:p>
<w:pPr><w:pStyle w:val="Normal"/></w:pPr>
<w:r><w:t xml:space="preserve">were divided into infield and outfield; corn crops followed</w:t></w:r>
</w:p>
<w:p>
<w:pPr><w:pStyle w:val="Normal"/></w:pPr>
<w:r><w:t xml:space="preserve">one another without the intervention of fallow, cultivated</w:t></w:r>
</w:p>
<w:p>
<w:pPr><w:pStyle w:val="Normal"/></w:pPr>
<w:r><w:t xml:space="preserve">herbage or turnips, though something is said about fallowing</w:t></w:r>
</w:p>
<w:p>
<w:pPr><w:pStyle w:val="Normal"/></w:pPr>
<w:r><w:t xml:space="preserve">the outfield; enclosures were very rare; the tenantry had not</w:t></w:r>
</w:p>
<w:p>
<w:pPr><w:pStyle w:val="Normal"/></w:pPr>
<w:r><w:t xml:space="preserve">begun to emerge from a state of great poverty and depression;</w:t></w:r>
</w:p>
<w:p>
<w:pPr><w:pStyle w:val="Normal"/></w:pPr>
<w:r><w:t xml:space="preserve">and the wages of labour, compared with the price of corn,</w:t></w:r>
</w:p>
<w:p>
<w:pPr><w:pStyle w:val="Normal"/></w:pPr>
<w:r><w:t xml:space="preserve">were much lower than at present, though that price, at least</w:t></w:r>
</w:p>
<w:p>
<w:pPr><w:pStyle w:val="Normal"/></w:pPr>
<w:r><w:t xml:space="preserve">in ordinary years, must appear extremely moderate in our</w:t></w:r>
</w:p>
<w:p>
<w:pPr><w:pStyle w:val="Normal"/></w:pPr>
<w:r><w:t xml:space="preserve">times.  Leases for a term of years, however, were not</w:t></w:r>
</w:p>
<w:p>
<w:pPr><w:pStyle w:val="Normal"/></w:pPr>
<w:r><w:t xml:space="preserve">uncommon; but the want of capital rendered it impossible</w:t></w:r>
</w:p>
<w:p>
<w:pPr><w:pStyle w:val="Normal"/></w:pPr>
<w:r><w:t xml:space="preserve">for the tenantry to attempt any spirited improvements.</w:t></w:r>
</w:p>
<w:p>
<w:pPr><w:pStyle w:val="Normal"/></w:pPr>
<w:r><w:t xml:space="preserve">The next work on the husbandry of Scotland is The Countryman&apos;s</w:t></w:r>
</w:p>
<w:p>
<w:pPr><w:pStyle w:val="Normal"/></w:pPr>
<w:r><w:t xml:space="preserve">Rudiments, or Advice to the Farmers in East Lothian, how to</w:t></w:r>
</w:p>
<w:p>
<w:pPr><w:pStyle w:val="Normal"/></w:pPr>
<w:r><w:t xml:space="preserve">labour and improve their Grounds, said to have been written</w:t></w:r>
</w:p>
<w:p>
<w:pPr><w:pStyle w:val="Normal"/></w:pPr>
<w:r><w:t xml:space="preserve">by John Hamilton, 2nd Lord Belhaven about the time of the</w:t></w:r>
</w:p>
<w:p>
<w:pPr><w:pStyle w:val="Normal"/></w:pPr>
<w:r><w:t xml:space="preserve">Union, and reprinted in 1723.  The author bespeaks the favour of</w:t></w:r>
</w:p>
<w:p>
<w:pPr><w:pStyle w:val="Normal"/></w:pPr>
<w:r><w:t xml:space="preserve">those to whom he addresses himself in the following significant</w:t></w:r>
</w:p>
<w:p>
<w:pPr><w:pStyle w:val="Normal"/></w:pPr>
<w:r><w:t xml:space="preserve">terms:---``Neither shall I affright you with hedging, ditching,</w:t></w:r>
</w:p>
<w:p>
<w:pPr><w:pStyle w:val="Normal"/></w:pPr>
<w:r><w:t xml:space="preserve">marling, chalking, paring and burning, draining, watering and</w:t></w:r>
</w:p>
<w:p>
<w:pPr><w:pStyle w:val="Normal"/></w:pPr>
<w:r><w:t xml:space="preserve">such like, which are all very good improvements indeed, and</w:t></w:r>
</w:p>
<w:p>
<w:pPr><w:pStyle w:val="Normal"/></w:pPr>
<w:r><w:t xml:space="preserve">very agreeable with the soil and situation of East Lothian,</w:t></w:r>
</w:p>
<w:p>
<w:pPr><w:pStyle w:val="Normal"/></w:pPr>
<w:r><w:t xml:space="preserve">but I know ye cannot bear as yet a crowd of improvements, this</w:t></w:r>
</w:p>
<w:p>
<w:pPr><w:pStyle w:val="Normal"/></w:pPr>
<w:r><w:t xml:space="preserve">being only intended to initiate you in the true method and</w:t></w:r>
</w:p>
<w:p>
<w:pPr><w:pStyle w:val="Normal"/></w:pPr>
<w:r><w:t xml:space="preserve">principles of husbandry.&apos;&apos; The farm-rooms in East Lothian, as</w:t></w:r>
</w:p>
<w:p>
<w:pPr><w:pStyle w:val="Normal"/></w:pPr>
<w:r><w:t xml:space="preserve">in other districts, were divided into infield and outfield.</w:t></w:r>
</w:p>
<w:p>
<w:pPr><w:pStyle w:val="Normal"/></w:pPr>
<w:r><w:t xml:space="preserve">``The infield (where wheat is sown) is generally divided by</w:t></w:r>
</w:p>
<w:p>
<w:pPr><w:pStyle w:val="Normal"/></w:pPr>
<w:r><w:t xml:space="preserve">the tenant into four divisions or breaks, as they call them,</w:t></w:r>
</w:p>
<w:p>
<w:pPr><w:pStyle w:val="Normal"/></w:pPr>
<w:r><w:t xml:space="preserve">viz. one of wheat, one of barley, one of pease and one of</w:t></w:r>
</w:p>
<w:p>
<w:pPr><w:pStyle w:val="Normal"/></w:pPr>
<w:r><w:t xml:space="preserve">oats, so that the wheat is sowd after the pease, the barley</w:t></w:r>
</w:p>
<w:p>
<w:pPr><w:pStyle w:val="Normal"/></w:pPr>
<w:r><w:t xml:space="preserve">after the wheat and the oats after the barley.  The outfield</w:t></w:r>
</w:p>
<w:p>
<w:pPr><w:pStyle w:val="Normal"/></w:pPr>
<w:r><w:t xml:space="preserve">land is ordinarily made use of promiscuously for feeding of</w:t></w:r>
</w:p>
<w:p>
<w:pPr><w:pStyle w:val="Normal"/></w:pPr>
<w:r><w:t xml:space="preserve">their cows, horse, sheep and oxen; &apos;tis also dunged by their</w:t></w:r>
</w:p>
<w:p>
<w:pPr><w:pStyle w:val="Normal"/></w:pPr>
<w:r><w:t xml:space="preserve">sheep who lay in earthen folds; and sometimes, when they</w:t></w:r>
</w:p>
<w:p>
<w:pPr><w:pStyle w:val="Normal"/></w:pPr>
<w:r><w:t xml:space="preserve">have much of it, they fauch or fallow a part of it yearly.&apos;&apos;</w:t></w:r>
</w:p>
<w:p>
<w:pPr><w:pStyle w:val="Normal"/></w:pPr>
<w:r><w:t xml:space="preserve">Under this management the produce seems to have been three</w:t></w:r>
</w:p>
<w:p>
<w:pPr><w:pStyle w:val="Normal"/></w:pPr>
<w:r><w:t xml:space="preserve">times the seed; and yet, says the writer, ``if in East Lothian</w:t></w:r>
</w:p>
<w:p>
<w:pPr><w:pStyle w:val="Normal"/></w:pPr>
<w:r><w:t xml:space="preserve">they did not leave a higher stubble than in other places of the</w:t></w:r>
</w:p>
<w:p>
<w:pPr><w:pStyle w:val="Normal"/></w:pPr>
<w:r><w:t xml:space="preserve">kingdom, their grounds would be in a much worse condition than</w:t></w:r>
</w:p>
<w:p>
<w:pPr><w:pStyle w:val="Normal"/></w:pPr>
<w:r><w:t xml:space="preserve">at present they are, though bad enough.&apos;&apos; ``A good crop of corn</w:t></w:r>
</w:p>
<w:p>
<w:pPr><w:pStyle w:val="Normal"/></w:pPr>
<w:r><w:t xml:space="preserve">makes a good stubble, and a good stubble is the equalest mucking</w:t></w:r>
</w:p>
<w:p>
<w:pPr><w:pStyle w:val="Normal"/></w:pPr>
<w:r><w:t xml:space="preserve">that is.&apos;&apos; Among the advantages of enclosures, he observes,</w:t></w:r>
</w:p>
<w:p>
<w:pPr><w:pStyle w:val="Normal"/></w:pPr>
<w:r><w:t xml:space="preserve">``you will gain much more labour from your servants, a great</w:t></w:r>
</w:p>
<w:p>
<w:pPr><w:pStyle w:val="Heading1"/></w:pPr>
<w:r><w:t>part of whose time was taken up in gathering thistles and other</w:t></w:r>
</w:p>
<w:p>
<w:pPr><w:pStyle w:val="Normal"/></w:pPr>
<w:r><w:t xml:space="preserve">garbage for their horses to feed upon in their stables; and</w:t></w:r>
</w:p>
<w:p>
<w:pPr><w:pStyle w:val="Normal"/></w:pPr>
<w:r><w:t xml:space="preserve">thereby the great trampling and pulling up and other destruction</w:t></w:r>
</w:p>
<w:p>
<w:pPr><w:pStyle w:val="Normal"/></w:pPr>
<w:r><w:t xml:space="preserve">of the corns while they are yet tender will be prevented.&apos;&apos;</w:t></w:r>
</w:p>
<w:p>
<w:pPr><w:pStyle w:val="Normal"/></w:pPr>
<w:r><w:t xml:space="preserve">Potatoes and turnips are recommended to be sown in the yard</w:t></w:r>
</w:p>
<w:p>
<w:pPr><w:pStyle w:val="Normal"/></w:pPr>
<w:r><w:t xml:space="preserve">(kitchen-garden).  Clover does not seem to have been in</w:t></w:r>
</w:p>
<w:p>
<w:pPr><w:pStyle w:val="Normal"/></w:pPr>
<w:r><w:t xml:space="preserve">use.  Rents were paid in corn; and for the largest farm, which</w:t></w:r>
</w:p>
<w:p>
<w:pPr><w:pStyle w:val="Normal"/></w:pPr>
<w:r><w:t xml:space="preserve">he thinks should employ no more than two ploughs, the rent was</w:t></w:r>
</w:p>
<w:p>
<w:pPr><w:pStyle w:val="Normal"/></w:pPr>
<w:r><w:t xml:space="preserve">about six chalders of victual ``when the ground is very good,</w:t></w:r>
</w:p>
<w:p>
<w:pPr><w:pStyle w:val="Normal"/></w:pPr>
<w:r><w:t xml:space="preserve">and four in that which is not so good.  But I am most fully</w:t></w:r>
</w:p>
<w:p>
<w:pPr><w:pStyle w:val="Normal"/></w:pPr>
<w:r><w:t xml:space="preserve">convinced they should take long leases or tacks, that they</w:t></w:r>
</w:p>
<w:p>
<w:pPr><w:pStyle w:val="Normal"/></w:pPr>
<w:r><w:t xml:space="preserve">may not be straitened with time in the improvement of their</w:t></w:r>
</w:p>
<w:p>
<w:pPr><w:pStyle w:val="Normal"/></w:pPr>
<w:r><w:t xml:space="preserve">rooms; and this is profitable both for master and tenant.&apos;&apos;</w:t></w:r>
</w:p>
<w:p>
<w:pPr><w:pStyle w:val="Normal"/></w:pPr>
<w:r><w:t xml:space="preserve">Such was the state of the husbandry of Scotland in the early</w:t></w:r>
</w:p>
<w:p>
<w:pPr><w:pStyle w:val="Heading1"/></w:pPr>
<w:r><w:t>part of the 18th century.  The first attempts at improvement</w:t></w:r>
</w:p>
<w:p>
<w:pPr><w:pStyle w:val="Normal"/></w:pPr>
<w:r><w:t xml:space="preserve">cannot be traced farther back than 1723, when a number of</w:t></w:r>
</w:p>
<w:p>
<w:pPr><w:pStyle w:val="Normal"/></w:pPr>
<w:r><w:t xml:space="preserve">landholders formed themselves into a society, under the title</w:t></w:r>
</w:p>
<w:p>
<w:pPr><w:pStyle w:val="Normal"/></w:pPr>
<w:r><w:t xml:space="preserve">of the Society of Improvers in the Knowledge of Agriculture</w:t></w:r>
</w:p>
<w:p>
<w:pPr><w:pStyle w:val="Normal"/></w:pPr>
<w:r><w:t xml:space="preserve">in Scotland.  John, 2nd earl of Stair, one of their most</w:t></w:r>
</w:p>
<w:p>
<w:pPr><w:pStyle w:val="Normal"/></w:pPr>
<w:r><w:t xml:space="preserve">active members, is said to have been the first who cultivated</w:t></w:r>
</w:p>
<w:p>
<w:pPr><w:pStyle w:val="Normal"/></w:pPr>
<w:r><w:t xml:space="preserve">turnips in that country.  The Select Transactions of this</w:t></w:r>
</w:p>
<w:p>
<w:pPr><w:pStyle w:val="Normal"/></w:pPr>
<w:r><w:t xml:space="preserve">society were collected and published in 1743 by Robert Maxwell,</w:t></w:r>
</w:p>
<w:p>
<w:pPr><w:pStyle w:val="Normal"/></w:pPr>
<w:r><w:t xml:space="preserve">who took a large part in its proceedings.  It is evident from</w:t></w:r>
</w:p>
<w:p>
<w:pPr><w:pStyle w:val="Normal"/></w:pPr>
<w:r><w:t xml:space="preserve">this book that the society had exerted itself with success</w:t></w:r>
</w:p>
<w:p>
<w:pPr><w:pStyle w:val="Normal"/></w:pPr>
<w:r><w:t xml:space="preserve">in introducing cultivated herbage and turnips, as well as</w:t></w:r>
</w:p>
<w:p>
<w:pPr><w:pStyle w:val="Normal"/></w:pPr>
<w:r><w:t xml:space="preserve">in improving the former methods of culture.  But there is</w:t></w:r>
</w:p>
<w:p>
<w:pPr><w:pStyle w:val="Normal"/></w:pPr>
<w:r><w:t xml:space="preserve">reason to believe that the influence of the example of its</w:t></w:r>
</w:p>
<w:p>
<w:pPr><w:pStyle w:val="Normal"/></w:pPr>
<w:r><w:t xml:space="preserve">numerous members did not extend to the common tenantry, who</w:t></w:r>
</w:p>
<w:p>
<w:pPr><w:pStyle w:val="Normal"/></w:pPr>
<w:r><w:t xml:space="preserve">not unnaturally were reluctant to adopt the practices of those</w:t></w:r>
</w:p>
<w:p>
<w:pPr><w:pStyle w:val="Normal"/></w:pPr>
<w:r><w:t xml:space="preserve">by whom farming was perhaps regarded as primarily a source</w:t></w:r>
</w:p>
<w:p>
<w:pPr><w:pStyle w:val="Normal"/></w:pPr>
<w:r><w:t xml:space="preserve">of pleasure rather than of profit.  Though this society,</w:t></w:r>
</w:p>
<w:p>
<w:pPr><w:pStyle w:val="Normal"/></w:pPr>
<w:r><w:t xml:space="preserve">the earliest probably in the United Kingdom, soon counted</w:t></w:r>
</w:p>
<w:p>
<w:pPr><w:pStyle w:val="Normal"/></w:pPr>
<w:r><w:t xml:space="preserve">upwards of 300 members, it existed little more than 20 years.</w:t></w:r>
</w:p>
<w:p>
<w:pPr><w:pStyle w:val="Normal"/></w:pPr>
<w:r><w:t xml:space="preserve">In the introductory paper in Maxwell&apos;s collection we are told that--</w:t></w:r>
</w:p>
<w:p>
<w:pPr><w:pStyle w:val="Normal"/></w:pPr>
<w:r><w:t xml:space="preserve">``The practice of draining, enclosing, summer fallowing, sowing</w:t></w:r>
</w:p>
<w:p>
<w:pPr><w:pStyle w:val="Normal"/></w:pPr>
<w:r><w:t xml:space="preserve">flax, hemp, rape, turnip and grass seeds, planting cabbages</w:t></w:r>
</w:p>
<w:p>
<w:pPr><w:pStyle w:val="Normal"/></w:pPr>
<w:r><w:t xml:space="preserve">after, and potatoes with, the plough, in fields of great extent,</w:t></w:r>
</w:p>
<w:p>
<w:pPr><w:pStyle w:val="Normal"/></w:pPr>
<w:r><w:t xml:space="preserve">is introduced; and that, according to the general opinion,</w:t></w:r>
</w:p>
<w:p>
<w:pPr><w:pStyle w:val="Normal"/></w:pPr>
<w:r><w:t xml:space="preserve">more corn grows now yearly where it was never known to grow</w:t></w:r>
</w:p>
<w:p>
<w:pPr><w:pStyle w:val="Normal"/></w:pPr>
<w:r><w:t xml:space="preserve">before, these twenty years last past, than perhaps a sixth of</w:t></w:r>
</w:p>
<w:p>
<w:pPr><w:pStyle w:val="Normal"/></w:pPr>
<w:r><w:t xml:space="preserve">all that the kingdom was in use to produce at any time before.&apos;&apos;</w:t></w:r>
</w:p>
<w:p>
<w:pPr><w:pStyle w:val="Normal"/></w:pPr>
<w:r><w:t xml:space="preserve">In 1757 Maxwell issued another work entitled The Practical</w:t></w:r>
</w:p>
<w:p>
<w:pPr><w:pStyle w:val="Normal"/></w:pPr>
<w:r><w:t xml:space="preserve">Husbandman; being a collection of miscellaneous papers</w:t></w:r>
</w:p>
<w:p>
<w:pPr><w:pStyle w:val="Normal"/></w:pPr>
<w:r><w:t xml:space="preserve">on Husbandry, &amp;c. In it the greater part of the Select</w:t></w:r>
</w:p>
<w:p>
<w:pPr><w:pStyle w:val="Normal"/></w:pPr>
<w:r><w:t xml:space="preserve">Transactions is republished, with a number of new papers,</w:t></w:r>
</w:p>
<w:p>
<w:pPr><w:pStyle w:val="Normal"/></w:pPr>
<w:r><w:t xml:space="preserve">among which an Essay on the Husbandry of Scotland,</w:t></w:r>
</w:p>
<w:p>
<w:pPr><w:pStyle w:val="Normal"/></w:pPr>
<w:r><w:t xml:space="preserve">with a proposal for the improvement of it, is the most</w:t></w:r>
</w:p>
<w:p>
<w:pPr><w:pStyle w:val="Normal"/></w:pPr>
<w:r><w:t xml:space="preserve">valuable.  In this he lays it down as a rule that it is</w:t></w:r>
</w:p>
<w:p>
<w:pPr><w:pStyle w:val="Normal"/></w:pPr>
<w:r><w:t xml:space="preserve">bad husbandry to take two crops of grain successively,</w:t></w:r>
</w:p>
<w:p>
<w:pPr><w:pStyle w:val="Normal"/></w:pPr>
<w:r><w:t xml:space="preserve">which marks a considerable progress in the knowledge of</w:t></w:r>
</w:p>
<w:p>
<w:pPr><w:pStyle w:val="Normal"/></w:pPr>
<w:r><w:t xml:space="preserve">modern husbandry; though he adds that in Scotland the best</w:t></w:r>
</w:p>
<w:p>
<w:pPr><w:pStyle w:val="Normal"/></w:pPr>
<w:r><w:t xml:space="preserve">husbandmen after a fallow take a crop of wheat; after the</w:t></w:r>
</w:p>
<w:p>
<w:pPr><w:pStyle w:val="Normal"/></w:pPr>
<w:r><w:t xml:space="preserve">wheat, peas; then barley, and then oats; and after that they</w:t></w:r>
</w:p>
<w:p>
<w:pPr><w:pStyle w:val="Normal"/></w:pPr>
<w:r><w:t xml:space="preserve">fallow again.  The want of enclosures was still a matter of</w:t></w:r>
</w:p>
<w:p>
<w:pPr><w:pStyle w:val="Normal"/></w:pPr>
<w:r><w:t xml:space="preserve">complaint.  The ground continued to be cropped so long</w:t></w:r>
</w:p>
<w:p>
<w:pPr><w:pStyle w:val="Normal"/></w:pPr>
<w:r><w:t xml:space="preserve">as it produced two seeds; the best farmers were contented</w:t></w:r>
</w:p>
<w:p>
<w:pPr><w:pStyle w:val="Normal"/></w:pPr>
<w:r><w:t xml:space="preserve">with four seeds, which was more than the general produce.</w:t></w:r>
</w:p>
<w:p>
<w:pPr><w:pStyle w:val="Normal"/></w:pPr>
<w:r><w:t xml:space="preserve">1760 to 1815.</w:t></w:r>
</w:p>
<w:p>
<w:pPr><w:pStyle w:val="Normal"/></w:pPr>
<w:r><w:t xml:space="preserve">The gradual advance in the price of farm produce soon after</w:t></w:r>
</w:p>
<w:p>
<w:pPr><w:pStyle w:val="Normal"/></w:pPr>
<w:r><w:t xml:space="preserve">the year 1760, occasioned by the increase of population and of</w:t></w:r>
</w:p>
<w:p>
<w:pPr><w:pStyle w:val="Normal"/></w:pPr>
<w:r><w:t xml:space="preserve">wealth derived from manufactures and commerce, gave a powerful</w:t></w:r>
</w:p>
<w:p>
<w:pPr><w:pStyle w:val="Normal"/></w:pPr>
<w:r><w:t xml:space="preserve">stimulus to rural industry, augmented agricultural capital and</w:t></w:r>
</w:p>
<w:p>
<w:pPr><w:pStyle w:val="Normal"/></w:pPr>
<w:r><w:t xml:space="preserve">called forth a more skilful and enterprising race of farmers.</w:t></w:r>
</w:p>
<w:p>
<w:pPr><w:pStyle w:val="Normal"/></w:pPr>
<w:r><w:t xml:space="preserve">A more rational system of cropping now began to take the</w:t></w:r>
</w:p>
<w:p>
<w:pPr><w:pStyle w:val="Normal"/></w:pPr>
<w:r><w:t xml:space="preserve">place of the thriftless and barbarous practice of sowing</w:t></w:r>
</w:p>
<w:p>
<w:pPr><w:pStyle w:val="Normal"/></w:pPr>
<w:r><w:t xml:space="preserve">successive crops of corn until the land was utterly exhausted,</w:t></w:r>
</w:p>
<w:p>
<w:pPr><w:pStyle w:val="Normal"/></w:pPr>
<w:r><w:t xml:space="preserve">and then leaving it foul with weeds to recover its pover</w:t></w:r>
</w:p>
<w:p>
<w:pPr><w:pStyle w:val="Normal"/></w:pPr>
<w:r><w:t xml:space="preserve">by an indefinite period of rest.  Green crops, such as</w:t></w:r>
</w:p>
<w:p>
<w:pPr><w:pStyle w:val="Normal"/></w:pPr>
<w:r><w:t xml:space="preserve">turnips, clover and rye. grass, began to be alternated</w:t></w:r>
</w:p>
<w:p>
<w:pPr><w:pStyle w:val="Normal"/></w:pPr>
<w:r><w:t xml:space="preserve">with grain crops, whence the name alternate husbandry.</w:t></w:r>
</w:p>
<w:p>
<w:pPr><w:pStyle w:val="Normal"/></w:pPr>
<w:r><w:t xml:space="preserve">The writings of Arthur Young (q.v.), secretary to the Board of</w:t></w:r>
</w:p>
<w:p>
<w:pPr><w:pStyle w:val="Normal"/></w:pPr>
<w:r><w:t xml:space="preserve">Agriculture, describe the transition from the old to the new</w:t></w:r>
</w:p>
<w:p>
<w:pPr><w:pStyle w:val="Normal"/></w:pPr>
<w:r><w:t xml:space="preserve">agriculture.  In many places turnips and clover were still</w:t></w:r>
</w:p>
<w:p>
<w:pPr><w:pStyle w:val="Normal"/></w:pPr>
<w:r><w:t xml:space="preserve">unknown or ignored.  Large districts still clung to the old</w:t></w:r>
</w:p>
<w:p>
<w:pPr><w:pStyle w:val="Normal"/></w:pPr>
<w:r><w:t xml:space="preserve">common-field system, to the old habits of ploughing with teams</w:t></w:r>
</w:p>
<w:p>
<w:pPr><w:pStyle w:val="Normal"/></w:pPr>
<w:r><w:t xml:space="preserve">of four or eight, and to slovenly methods of cultivation.</w:t></w:r>
</w:p>
<w:p>
<w:pPr><w:pStyle w:val="Normal"/></w:pPr>
<w:r><w:t xml:space="preserve">Young&apos;s condemnation of these survivals was as pronounced as</w:t></w:r>
</w:p>
<w:p>
<w:pPr><w:pStyle w:val="Normal"/></w:pPr>
<w:r><w:t xml:space="preserve">his support of the methods of the large farmers to whom he</w:t></w:r>
</w:p>
<w:p>
<w:pPr><w:pStyle w:val="Normal"/></w:pPr>
<w:r><w:t xml:space="preserve">ascribed the excellence of the husbandry of Kent, Norfolk and</w:t></w:r>
</w:p>
<w:p>
<w:pPr><w:pStyle w:val="Normal"/></w:pPr>
<w:r><w:t xml:space="preserve">Essex.  He realized that with the enclosure of the waste</w:t></w:r>
</w:p>
<w:p>
<w:pPr><w:pStyle w:val="Normal"/></w:pPr>
<w:r><w:t xml:space="preserve">lands and the absorption of small into large holdings, the</w:t></w:r>
</w:p>
<w:p>
<w:pPr><w:pStyle w:val="Normal"/></w:pPr>
<w:r><w:t xml:space="preserve">common-field farmer must migrate to the town or become a</w:t></w:r>
</w:p>
<w:p>
<w:pPr><w:pStyle w:val="Normal"/></w:pPr>
<w:r><w:t xml:space="preserve">hired labourer; but he also realized that to feed a rapidly</w:t></w:r>
</w:p>
<w:p>
<w:pPr><w:pStyle w:val="Normal"/></w:pPr>
<w:r><w:t xml:space="preserve">growing industrial population, the land must be improved by</w:t></w:r>
</w:p>
<w:p>
<w:pPr><w:pStyle w:val="Normal"/></w:pPr>
<w:r><w:t xml:space="preserve">draining, marling, manuring and the use of better implements,</w:t></w:r>
</w:p>
<w:p>
<w:pPr><w:pStyle w:val="Normal"/></w:pPr>
<w:r><w:t xml:space="preserve">in short by the investment of the capital which the yeoman</w:t></w:r>
</w:p>
<w:p>
<w:pPr><w:pStyle w:val="Normal"/></w:pPr>
<w:r><w:t xml:space="preserve">farmer, content to feed himself and his own family, did not</w:t></w:r>
</w:p>
<w:p>
<w:pPr><w:pStyle w:val="Normal"/></w:pPr>
<w:r><w:t xml:space="preserve">possess.  The enlargement of farms, and in Scotland the</w:t></w:r>
</w:p>
<w:p>
<w:pPr><w:pStyle w:val="Normal"/></w:pPr>
<w:r><w:t xml:space="preserve">letting of them under leases for a considerable term of</w:t></w:r>
</w:p>
<w:p>
<w:pPr><w:pStyle w:val="Normal"/></w:pPr>
<w:r><w:t xml:space="preserve">years, continued to be a marked feature in the agricultural</w:t></w:r>
</w:p>
<w:p>
<w:pPr><w:pStyle w:val="Normal"/></w:pPr>
<w:r><w:t xml:space="preserve">progress of the country until the end of the century, and</w:t></w:r>
</w:p>
<w:p>
<w:pPr><w:pStyle w:val="Normal"/></w:pPr>
<w:r><w:t xml:space="preserve">is to be regarded both as a cause and a consequence of that</w:t></w:r>
</w:p>
<w:p>
<w:pPr><w:pStyle w:val="Normal"/></w:pPr>
<w:r><w:t xml:space="preserve">progress.  The passing of some 3500 enclosure bills,</w:t></w:r>
</w:p>
<w:p>
<w:pPr><w:pStyle w:val="Normal"/></w:pPr>
<w:r><w:t xml:space="preserve">affecting between 5 and 5 1/2 million acres, during the</w:t></w:r>
</w:p>
<w:p>
<w:pPr><w:pStyle w:val="Normal"/></w:pPr>
<w:r><w:t xml:space="preserve">reign of George III., before which the whole number was</w:t></w:r>
</w:p>
<w:p>
<w:pPr><w:pStyle w:val="Normal"/></w:pPr>
<w:r><w:t xml:space="preserve">between 200 and 250, shows how rapidly the break-up of the</w:t></w:r>
</w:p>
<w:p>
<w:pPr><w:pStyle w:val="Normal"/></w:pPr>
<w:r><w:t xml:space="preserve">common-field husbandry and the cultivation of new land now</w:t></w:r>
</w:p>
<w:p>
<w:pPr><w:pStyle w:val="Normal"/></w:pPr>
<w:r><w:t xml:space="preserve">proceeded.  The disastrous American War for a time interfered</w:t></w:r>
</w:p>
<w:p>
<w:pPr><w:pStyle w:val="Normal"/></w:pPr>
<w:r><w:t xml:space="preserve">with the national prosperity; but with the return of peace</w:t></w:r>
</w:p>
<w:p>
<w:pPr><w:pStyle w:val="Normal"/></w:pPr>
<w:r><w:t xml:space="preserve">in 1783 the cultivation of the country made more rapid</w:t></w:r>
</w:p>
<w:p>
<w:pPr><w:pStyle w:val="Normal"/></w:pPr>
<w:r><w:t xml:space="preserve">progress.  The quarter of a century immediately following</w:t></w:r>
</w:p>
<w:p>
<w:pPr><w:pStyle w:val="Normal"/></w:pPr>
<w:r><w:t xml:space="preserve">1760 is memorable for the introduction of various important</w:t></w:r>
</w:p>
<w:p>
<w:pPr><w:pStyle w:val="Normal"/></w:pPr>
<w:r><w:t xml:space="preserve">improvements.  It was during this period that the genius of</w:t></w:r>
</w:p>
<w:p>
<w:pPr><w:pStyle w:val="Normal"/></w:pPr>
<w:r><w:t xml:space="preserve">Robert Bakewell produced an extraordinary change in the character</w:t></w:r>
</w:p>
<w:p>
<w:pPr><w:pStyle w:val="Normal"/></w:pPr>
<w:r><w:t xml:space="preserve">of our more important breeds of live stock, more especially</w:t></w:r>
</w:p>
<w:p>
<w:pPr><w:pStyle w:val="Normal"/></w:pPr>
<w:r><w:t xml:space="preserve">by the perfecting of a new race of sheep--the well-known</w:t></w:r>
</w:p>
<w:p>
<w:pPr><w:pStyle w:val="Normal"/></w:pPr>
<w:r><w:t xml:space="preserve">Leicesters.  Bakewell&apos;s fame as a breeder was for a time</w:t></w:r>
</w:p>
<w:p>
<w:pPr><w:pStyle w:val="Normal"/></w:pPr>
<w:r><w:t xml:space="preserve">enhanced by the improvement which he effected on the Long-horned</w:t></w:r>
</w:p>
<w:p>
<w:pPr><w:pStyle w:val="Normal"/></w:pPr>
<w:r><w:t xml:space="preserve">cattle, then the prevailing breed of the midland counties of</w:t></w:r>
</w:p>
<w:p>
<w:pPr><w:pStyle w:val="Normal"/></w:pPr>
<w:r><w:t xml:space="preserve">England.  These, however, were ere long rivalled and afterwards</w:t></w:r>
</w:p>
<w:p>
<w:pPr><w:pStyle w:val="Normal"/></w:pPr>
<w:r><w:t xml:space="preserve">superseded by the Shorthorn or Durham breed, which the</w:t></w:r>
</w:p>
<w:p>
<w:pPr><w:pStyle w:val="Normal"/></w:pPr>
<w:r><w:t xml:space="preserve">brothers Charles and Robert Colling obtained from the useful</w:t></w:r>
</w:p>
<w:p>
<w:pPr><w:pStyle w:val="Normal"/></w:pPr>
<w:r><w:t xml:space="preserve">race of cattle that had long existed in the valley of the</w:t></w:r>
</w:p>
<w:p>
<w:pPr><w:pStyle w:val="Normal"/></w:pPr>
<w:r><w:t xml:space="preserve">Tees, by applying to them the principle of breeding which</w:t></w:r>
</w:p>
<w:p>
<w:pPr><w:pStyle w:val="Normal"/></w:pPr>
<w:r><w:t xml:space="preserve">Bakewell had already established.  To this period also belong</w:t></w:r>
</w:p>
<w:p>
<w:pPr><w:pStyle w:val="Normal"/></w:pPr>
<w:r><w:t xml:space="preserve">George and Matthew Culley--the former a pupil of Bakewell--</w:t></w:r>
</w:p>
<w:p>
<w:pPr><w:pStyle w:val="Normal"/></w:pPr>
<w:r><w:t xml:space="preserve">who left their paternal property on the bank of the Tees and</w:t></w:r>
</w:p>
<w:p>
<w:pPr><w:pStyle w:val="Normal"/></w:pPr>
<w:r><w:t xml:space="preserve">settled on the Northumbrian side of the Tweed, bringing with</w:t></w:r>
</w:p>
<w:p>
<w:pPr><w:pStyle w:val="Normal"/></w:pPr>
<w:r><w:t xml:space="preserve">them the valuable breeds of live stock and improved husbandry</w:t></w:r>
</w:p>
<w:p>
<w:pPr><w:pStyle w:val="Normal"/></w:pPr>
<w:r><w:t xml:space="preserve">of their native district.  The improvements introduced by</w:t></w:r>
</w:p>
<w:p>
<w:pPr><w:pStyle w:val="Normal"/></w:pPr>
<w:r><w:t xml:space="preserve">these energetic and skilful farmers spread rapidly, and</w:t></w:r>
</w:p>
<w:p>
<w:pPr><w:pStyle w:val="Normal"/></w:pPr>
<w:r><w:t xml:space="preserve">exerted a most beneficial influence upon the border counties.</w:t></w:r>
</w:p>
<w:p>
<w:pPr><w:pStyle w:val="Normal"/></w:pPr>
<w:r><w:t xml:space="preserve">From 1784 to 1795 improvements advanced with steady steps.</w:t></w:r>
</w:p>
<w:p>
<w:pPr><w:pStyle w:val="Normal"/></w:pPr>
<w:r><w:t xml:space="preserve">This period was distinguished for the adoption and working out</w:t></w:r>
</w:p>
<w:p>
<w:pPr><w:pStyle w:val="Normal"/></w:pPr>
<w:r><w:t xml:space="preserve">of ascertained improvements.  Small&apos;s swing plough and Andrew</w:t></w:r>
</w:p>
<w:p>
<w:pPr><w:pStyle w:val="Normal"/></w:pPr>
<w:r><w:t xml:space="preserve">Meikle&apos;s threshing-machine, although invented some years before</w:t></w:r>
</w:p>
<w:p>
<w:pPr><w:pStyle w:val="Normal"/></w:pPr>
<w:r><w:t xml:space="preserve">this, were now perfected and brought into general use, to the</w:t></w:r>
</w:p>
<w:p>
<w:pPr><w:pStyle w:val="Normal"/></w:pPr>
<w:r><w:t xml:space="preserve">great furtherance of agriculture.  Two important additions</w:t></w:r>
</w:p>
<w:p>
<w:pPr><w:pStyle w:val="Normal"/></w:pPr>
<w:r><w:t xml:space="preserve">were about this time made to the field crops, viz. the Swedish</w:t></w:r>
</w:p>
<w:p>
<w:pPr><w:pStyle w:val="Normal"/></w:pPr>
<w:r><w:t xml:space="preserve">turnip and potato oat.  The latter was accidentally discovered</w:t></w:r>
</w:p>
<w:p>
<w:pPr><w:pStyle w:val="Normal"/></w:pPr>
<w:r><w:t xml:space="preserve">in 1788, and both soon came into general cultivation.  In the</w:t></w:r>
</w:p>
<w:p>
<w:pPr><w:pStyle w:val="Normal"/></w:pPr>
<w:r><w:t xml:space="preserve">same year Merino sheep were introduced by George III., who</w:t></w:r>
</w:p>
<w:p>
<w:pPr><w:pStyle w:val="Normal"/></w:pPr>
<w:r><w:t xml:space="preserve">was a zealous farmer.  For a time this breed attracted much</w:t></w:r>
</w:p>
<w:p>
<w:pPr><w:pStyle w:val="Normal"/></w:pPr>
<w:r><w:t xml:space="preserve">attention, and sanguine expectations were entertained that</w:t></w:r>
</w:p>
<w:p>
<w:pPr><w:pStyle w:val="Normal"/></w:pPr>
<w:r><w:t xml:space="preserve">it would prove of national importance.  Its unfitness for the</w:t></w:r>
</w:p>
<w:p>
<w:pPr><w:pStyle w:val="Normal"/></w:pPr>
<w:r><w:t xml:space="preserve">production of mutton, and increasing supplies of fine clothing</w:t></w:r>
</w:p>
<w:p>
<w:pPr><w:pStyle w:val="Normal"/></w:pPr>
<w:r><w:t xml:space="preserve">wool from other countries, soon led to its total rejection.</w:t></w:r>
</w:p>
<w:p>
<w:pPr><w:pStyle w:val="Normal"/></w:pPr>
<w:r><w:t xml:space="preserve">In Scotland the opening up of the country by the construction</w:t></w:r>
</w:p>
<w:p>
<w:pPr><w:pStyle w:val="Normal"/></w:pPr>
<w:r><w:t xml:space="preserve">of practicable roads, and the enclosing and subdividing</w:t></w:r>
</w:p>
<w:p>
<w:pPr><w:pStyle w:val="Normal"/></w:pPr>
<w:r><w:t xml:space="preserve">of farms by hedge and ditch, was now in active progress.</w:t></w:r>
</w:p>
<w:p>
<w:pPr><w:pStyle w:val="Normal"/></w:pPr>
<w:r><w:t xml:space="preserve">The former admitted of the general use of wheel-carriages,</w:t></w:r>
</w:p>
<w:p>
<w:pPr><w:pStyle w:val="Normal"/></w:pPr>
<w:r><w:t xml:space="preserve">of the ready conveyance of produce to markets, and in</w:t></w:r>
</w:p>
<w:p>
<w:pPr><w:pStyle w:val="Normal"/></w:pPr>
<w:r><w:t xml:space="preserve">particular of the extended use of lime, the application</w:t></w:r>
</w:p>
<w:p>
<w:pPr><w:pStyle w:val="Normal"/></w:pPr>
<w:r><w:t xml:space="preserve">of which was immediately followed by a great increase of</w:t></w:r>
</w:p>
<w:p>
<w:pPr><w:pStyle w:val="Normal"/></w:pPr>
<w:r><w:t xml:space="preserve">produce.  The latter, besides its more obvious advantages,</w:t></w:r>
</w:p>
<w:p>
<w:pPr><w:pStyle w:val="Normal"/></w:pPr>
<w:r><w:t xml:space="preserve">speedily freed large tracts of country from stagnant water</w:t></w:r>
</w:p>
<w:p>
<w:pPr><w:pStyle w:val="Normal"/></w:pPr>
<w:r><w:t xml:space="preserve">and their inhabitants from ague, and prepared the way</w:t></w:r>
</w:p>
<w:p>
<w:pPr><w:pStyle w:val="Normal"/></w:pPr>
<w:r><w:t xml:space="preserve">for the underground draining which soon after began to be</w:t></w:r>
</w:p>
<w:p>
<w:pPr><w:pStyle w:val="Normal"/></w:pPr>
<w:r><w:t xml:space="preserve">practised.  Dawson of Frogden in Roxburghshire is believed to</w:t></w:r>
</w:p>
<w:p>
<w:pPr><w:pStyle w:val="Normal"/></w:pPr>
<w:r><w:t xml:space="preserve">have been the first who grew turnips as a field crop to any</w:t></w:r>
</w:p>
<w:p>
<w:pPr><w:pStyle w:val="Normal"/></w:pPr>
<w:r><w:t xml:space="preserve">extent.  It is on record that as early as 1764 he had 100 acres</w:t></w:r>
</w:p>
<w:p>
<w:pPr><w:pStyle w:val="Normal"/></w:pPr>
<w:r><w:t xml:space="preserve">of drilled turnips on his farm in one year.  An Act passed in</w:t></w:r>
</w:p>
<w:p>
<w:pPr><w:pStyle w:val="Normal"/></w:pPr>
<w:r><w:t xml:space="preserve">1770, which relaxed the rigour of strict entails and afforded</w:t></w:r>
</w:p>
<w:p>
<w:pPr><w:pStyle w:val="Normal"/></w:pPr>
<w:r><w:t xml:space="preserve">power to landlords to grant leases and otherwise improve their</w:t></w:r>
</w:p>
<w:p>
<w:pPr><w:pStyle w:val="Normal"/></w:pPr>
<w:r><w:t xml:space="preserve">estates, had a beneficial effect on Scottish agriculture.</w:t></w:r>
</w:p>
<w:p>
<w:pPr><w:pStyle w:val="Normal"/></w:pPr>
<w:r><w:t xml:space="preserve">The husbandry of the country was thus steadily improving, when</w:t></w:r>
</w:p>
<w:p>
<w:pPr><w:pStyle w:val="Normal"/></w:pPr>
<w:r><w:t xml:space="preserve">suddenly the whole of Europe became involved in the wars of</w:t></w:r>
</w:p>
<w:p>
<w:pPr><w:pStyle w:val="Normal"/></w:pPr>
<w:r><w:t xml:space="preserve">the French Revolution.  In 1795, under the joint operation</w:t></w:r>
</w:p>
<w:p>
<w:pPr><w:pStyle w:val="Normal"/></w:pPr>
<w:r><w:t xml:space="preserve">of a deficient harvest and the diminution in foreign supplies</w:t></w:r>
</w:p>
<w:p>
<w:pPr><w:pStyle w:val="Normal"/></w:pPr>
<w:r><w:t xml:space="preserve">of grain owing to outbreak of war, the price of wheat,</w:t></w:r>
</w:p>
<w:p>
<w:pPr><w:pStyle w:val="Normal"/></w:pPr>
<w:r><w:t xml:space="preserve">which, for the twenty preceding years, had been under 50s. a</w:t></w:r>
</w:p>
<w:p>
<w:pPr><w:pStyle w:val="Normal"/></w:pPr>
<w:r><w:t xml:space="preserve">quarter, suddenly rose to 81s. 6d., and in the following year</w:t></w:r>
</w:p>
<w:p>
<w:pPr><w:pStyle w:val="Normal"/></w:pPr>
<w:r><w:t xml:space="preserve">reached 96s. In 1797 the fear of foreign invasion led to a</w:t></w:r>
</w:p>
<w:p>
<w:pPr><w:pStyle w:val="Normal"/></w:pPr>
<w:r><w:t xml:space="preserve">panic and run upon the banks, in which emergency the Bank</w:t></w:r>
</w:p>
<w:p>
<w:pPr><w:pStyle w:val="Normal"/></w:pPr>
<w:r><w:t xml:space="preserve">Restriction Act, suspending cash payment, was passed, and</w:t></w:r>
</w:p>
<w:p>
<w:pPr><w:pStyle w:val="Normal"/></w:pPr>
<w:r><w:t xml:space="preserve">ushered in a system of unlimited credit transactions.  Under</w:t></w:r>
</w:p>
<w:p>
<w:pPr><w:pStyle w:val="Normal"/></w:pPr>
<w:r><w:t xml:space="preserve">the unnatural stimulus of these extra-ordinary events, every</w:t></w:r>
</w:p>
<w:p>
<w:pPr><w:pStyle w:val="Normal"/></w:pPr>
<w:r><w:t xml:space="preserve">branch of industry extended with unexampled rapidity.  But</w:t></w:r>
</w:p>
<w:p>
<w:pPr><w:pStyle w:val="Normal"/></w:pPr>
<w:r><w:t xml:space="preserve">in nothing was this so apparent as in agriculture; the high</w:t></w:r>
</w:p>
<w:p>
<w:pPr><w:pStyle w:val="Normal"/></w:pPr>
<w:r><w:t xml:space="preserve">prices of produce holding out a great inducement to improve</w:t></w:r>
</w:p>
<w:p>
<w:pPr><w:pStyle w:val="Normal"/></w:pPr>
<w:r><w:t xml:space="preserve">lands then arable, to reclaim others that had previously lain</w:t></w:r>
</w:p>
<w:p>
<w:pPr><w:pStyle w:val="Normal"/></w:pPr>
<w:r><w:t xml:space="preserve">waste, and to bring much pasture-land under the plough.  Nor</w:t></w:r>
</w:p>
<w:p>
<w:pPr><w:pStyle w:val="Normal"/></w:pPr>
<w:r><w:t xml:space="preserve">did this increased tillage interfere with the increase of</w:t></w:r>
</w:p>
<w:p>
<w:pPr><w:pStyle w:val="Normal"/></w:pPr>
<w:r><w:t xml:space="preserve">live stock, as the green crops of the alternate husbandry</w:t></w:r>
</w:p>
<w:p>
<w:pPr><w:pStyle w:val="Normal"/></w:pPr>
<w:r><w:t xml:space="preserve">more than compensated for the diminished pasturage.  This</w:t></w:r>
</w:p>
<w:p>
<w:pPr><w:pStyle w:val="Normal"/></w:pPr>
<w:r><w:t xml:space="preserve">extraordinary state of matters lasted from 1795 to 1814, the</w:t></w:r>
</w:p>
<w:p>
<w:pPr><w:pStyle w:val="Normal"/></w:pPr>
<w:r><w:t xml:space="preserve">prices of produce even increasing towards the close of that</w:t></w:r>
</w:p>
<w:p>
<w:pPr><w:pStyle w:val="Normal"/></w:pPr>
<w:r><w:t xml:space="preserve">period.  The average price of wheat for the whole period</w:t></w:r>
</w:p>
<w:p>
<w:pPr><w:pStyle w:val="Normal"/></w:pPr>
<w:r><w:t xml:space="preserve">was 89s. 7d. per quarter; but for the last five years it was</w:t></w:r>
</w:p>
<w:p>
<w:pPr><w:pStyle w:val="Normal"/></w:pPr>
<w:r><w:t xml:space="preserve">107s., and in 1812 it reached 126s. 6d. The agriculture</w:t></w:r>
</w:p>
<w:p>
<w:pPr><w:pStyle w:val="Normal"/></w:pPr>
<w:r><w:t xml:space="preserve">of Great Britain, as a whole, advanced with rapid strides</w:t></w:r>
</w:p>
<w:p>
<w:pPr><w:pStyle w:val="Normal"/></w:pPr>
<w:r><w:t xml:space="preserve">during this period; but nowhere was the change so great as in</w:t></w:r>
</w:p>
<w:p>
<w:pPr><w:pStyle w:val="Normal"/></w:pPr>
<w:r><w:t xml:space="preserve">Scotland.  Indeed, its progress there, during these twenty</w:t></w:r>
</w:p>
<w:p>
<w:pPr><w:pStyle w:val="Normal"/></w:pPr>
<w:r><w:t xml:space="preserve">years, is probably without parallel in the history of any</w:t></w:r>
</w:p>
<w:p>
<w:pPr><w:pStyle w:val="Normal"/></w:pPr>
<w:r><w:t xml:space="preserve">other country.  This is accounted for by a concurrence of</w:t></w:r>
</w:p>
<w:p>
<w:pPr><w:pStyle w:val="Normal"/></w:pPr>
<w:r><w:t xml:space="preserve">circumstances.  Previous to this period the husbandry of</w:t></w:r>
</w:p>
<w:p>
<w:pPr><w:pStyle w:val="Normal"/></w:pPr>
<w:r><w:t xml:space="preserve">Scotland was still in a backward state as compared with the</w:t></w:r>
</w:p>
<w:p>
<w:pPr><w:pStyle w:val="Normal"/></w:pPr>
<w:r><w:t xml:space="preserve">best districts of England, where many practices, only of</w:t></w:r>
</w:p>
<w:p>
<w:pPr><w:pStyle w:val="Normal"/></w:pPr>
<w:r><w:t xml:space="preserve">recent introduction in the north, had been in general use for</w:t></w:r>
</w:p>
<w:p>
<w:pPr><w:pStyle w:val="Normal"/></w:pPr>
<w:r><w:t xml:space="preserve">generations.  This disparity made the subsequent contrast the</w:t></w:r>
</w:p>
<w:p>
<w:pPr><w:pStyle w:val="Normal"/></w:pPr>
<w:r><w:t xml:space="preserve">more striking.  The land in Scotland was now, with trifling</w:t></w:r>
</w:p>
<w:p>
<w:pPr><w:pStyle w:val="Normal"/></w:pPr>
<w:r><w:t xml:space="preserve">exceptions, let on leases for terms varying from twenty to</w:t></w:r>
</w:p>
<w:p>
<w:pPr><w:pStyle w:val="Normal"/></w:pPr>
<w:r><w:t xml:space="preserve">thirty years, and in farms of sufficient size to employ at</w:t></w:r>
</w:p>
<w:p>
<w:pPr><w:pStyle w:val="Normal"/></w:pPr>
<w:r><w:t xml:space="preserve">the least two or three ploughs.  The unlimited issues of</w:t></w:r>
</w:p>
<w:p>
<w:pPr><w:pStyle w:val="Normal"/></w:pPr>
<w:r><w:t xml:space="preserve">government paper and the security afforded by these leases</w:t></w:r>
</w:p>
<w:p>
<w:pPr><w:pStyle w:val="Normal"/></w:pPr>
<w:r><w:t xml:space="preserve">induced the Scottish banks to afford every facility to landlords</w:t></w:r>
</w:p>
<w:p>
<w:pPr><w:pStyle w:val="Normal"/></w:pPr>
<w:r><w:t xml:space="preserve">and tenants to embark capital in the improvement of the</w:t></w:r>
</w:p>
<w:p>
<w:pPr><w:pStyle w:val="Normal"/></w:pPr>
<w:r><w:t xml:space="preserve">land.  The substantial education supplied by the parish</w:t></w:r>
</w:p>
<w:p>
<w:pPr><w:pStyle w:val="Normal"/></w:pPr>
<w:r><w:t xml:space="preserve">schools, of which nearly the whole population could then avail</w:t></w:r>
</w:p>
<w:p>
<w:pPr><w:pStyle w:val="Normal"/></w:pPr>
<w:r><w:t xml:space="preserve">themselves, had diffused through all ranks such a measure of</w:t></w:r>
</w:p>
<w:p>
<w:pPr><w:pStyle w:val="Normal"/></w:pPr>
<w:r><w:t xml:space="preserve">intelligence as enabled them promptly to dhscern and skilfully</w:t></w:r>
</w:p>
<w:p>
<w:pPr><w:pStyle w:val="Normal"/></w:pPr>
<w:r><w:t xml:space="preserve">and energetically to take advantage of this spring-tide of</w:t></w:r>
</w:p>
<w:p>
<w:pPr><w:pStyle w:val="Normal"/></w:pPr>
<w:r><w:t xml:space="preserve">prosperity, and to profit by the agricultural information now</w:t></w:r>
</w:p>
<w:p>
<w:pPr><w:pStyle w:val="Normal"/></w:pPr>
<w:r><w:t xml:space="preserve">plentifully furnished by means of the Bath and West of England</w:t></w:r>
</w:p>
<w:p>
<w:pPr><w:pStyle w:val="Normal"/></w:pPr>
<w:r><w:t xml:space="preserve">Society, established in 1777; the Highland Society, instituted</w:t></w:r>
</w:p>
<w:p>
<w:pPr><w:pStyle w:val="Normal"/></w:pPr>
<w:r><w:t xml:space="preserve">in 1784; and the National Board of Agriculture, in 1793.</w:t></w:r>
</w:p>
<w:p>
<w:pPr><w:pStyle w:val="Normal"/></w:pPr>
<w:r><w:t xml:space="preserve">1815 to 1875.</w:t></w:r>
</w:p>
<w:p>
<w:pPr><w:pStyle w:val="Normal"/></w:pPr>
<w:r><w:t xml:space="preserve">The restoration of peace to Europe, and the re-enactment of</w:t></w:r>
</w:p>
<w:p>
<w:pPr><w:pStyle w:val="Normal"/></w:pPr>
<w:r><w:t xml:space="preserve">the Corn Laws in 1815, mark the beginning of another era in</w:t></w:r>
</w:p>
<w:p>
<w:pPr><w:pStyle w:val="Normal"/></w:pPr>
<w:r><w:t xml:space="preserve">the history of agriculture.  The sudden return to peace-prices</w:t></w:r>
</w:p>
<w:p>
<w:pPr><w:pStyle w:val="Normal"/></w:pPr>
<w:r><w:t xml:space="preserve">was followed by a time of severe depression, low wages,</w:t></w:r>
</w:p>
<w:p>
<w:pPr><w:pStyle w:val="Normal"/></w:pPr>
<w:r><w:t xml:space="preserve">diminished rents and bad farming.  The fall in prices was</w:t></w:r>
</w:p>
<w:p>
<w:pPr><w:pStyle w:val="Normal"/></w:pPr>
<w:r><w:t xml:space="preserve">aggravated, first by the unpropitious weather and deficient</w:t></w:r>
</w:p>
<w:p>
<w:pPr><w:pStyle w:val="Normal"/></w:pPr>
<w:r><w:t xml:space="preserve">harvest of the years 1816, 1817, and still more by the passing</w:t></w:r>
</w:p>
<w:p>
<w:pPr><w:pStyle w:val="Normal"/></w:pPr>
<w:r><w:t xml:space="preserve">in 1819 of the bill restoring cash payments, which, coming</w:t></w:r>
</w:p>
<w:p>
<w:pPr><w:pStyle w:val="Normal"/></w:pPr>
<w:r><w:t xml:space="preserve">into operation in 1821, caused serious embarrassment to all</w:t></w:r>
</w:p>
<w:p>
<w:pPr><w:pStyle w:val="Normal"/></w:pPr>
<w:r><w:t xml:space="preserve">persons who had entered into engagements at a depreciated</w:t></w:r>
</w:p>
<w:p>
<w:pPr><w:pStyle w:val="Normal"/></w:pPr>
<w:r><w:t xml:space="preserve">currency, which had now to be met with the lower prices of</w:t></w:r>
</w:p>
<w:p>
<w:pPr><w:pStyle w:val="Normal"/></w:pPr>
<w:r><w:t xml:space="preserve">an enhanced one.  The frequency of select-committees and</w:t></w:r>
</w:p>
<w:p>
<w:pPr><w:pStyle w:val="Normal"/></w:pPr>
<w:r><w:t xml:space="preserve">commissions, which sat in 1814, 1821 and 1822, 1833 and 1836,</w:t></w:r>
</w:p>
<w:p>
<w:pPr><w:pStyle w:val="Normal"/></w:pPr>
<w:r><w:t xml:space="preserve">testifies to the gravity of the crisis.  The years 1830-1833</w:t></w:r>
</w:p>
<w:p>
<w:pPr><w:pStyle w:val="Normal"/></w:pPr>
<w:r><w:t xml:space="preserve">are especially memorable for a disastrous outbreak of sheep-rot</w:t></w:r>
</w:p>
<w:p>
<w:pPr><w:pStyle w:val="Normal"/></w:pPr>
<w:r><w:t xml:space="preserve">and for agrarian outrages, caused partly by the dislike of</w:t></w:r>
</w:p>
<w:p>
<w:pPr><w:pStyle w:val="Normal"/></w:pPr>
<w:r><w:t xml:space="preserve">the labourers to the introduction of agricultural machines.</w:t></w:r>
</w:p>
<w:p>
<w:pPr><w:pStyle w:val="Normal"/></w:pPr>
<w:r><w:t xml:space="preserve">During this period of depression, which lasted till the &apos;forties,</w:t></w:r>
</w:p>
<w:p>
<w:pPr><w:pStyle w:val="Normal"/></w:pPr>
<w:r><w:t xml:space="preserve">want of confidence prevented any general improvement in agricultural</w:t></w:r>
</w:p>
<w:p>
<w:pPr><w:pStyle w:val="Normal"/></w:pPr>
<w:r><w:t xml:space="preserve">methods.  At the same time, certain developments destined</w:t></w:r>
</w:p>
<w:p>
<w:pPr><w:pStyle w:val="Normal"/></w:pPr>
<w:r><w:t xml:space="preserve">to exercise considerable influence in later times are to be</w:t></w:r>
</w:p>
<w:p>
<w:pPr><w:pStyle w:val="Normal"/></w:pPr>
<w:r><w:t xml:space="preserve">noted.  Before the close of the 18th century, and during the</w:t></w:r>
</w:p>
<w:p>
<w:pPr><w:pStyle w:val="Normal"/></w:pPr>
<w:r><w:t xml:space="preserve">first quarter of the 19th, a good deal had been done in the</w:t></w:r>
</w:p>
<w:p>
<w:pPr><w:pStyle w:val="Normal"/></w:pPr>
<w:r><w:t xml:space="preserve">way of draining the land, either by open ditches or by James</w:t></w:r>
</w:p>
<w:p>
<w:pPr><w:pStyle w:val="Normal"/></w:pPr>
<w:r><w:t xml:space="preserve">Elkington&apos;s system of deep covered drains.  In 1834 James Smith</w:t></w:r>
</w:p>
<w:p>
<w:pPr><w:pStyle w:val="Normal"/></w:pPr>
<w:r><w:t xml:space="preserve">of Deanston promulgated his system of thorough draining and</w:t></w:r>
</w:p>
<w:p>
<w:pPr><w:pStyle w:val="Normal"/></w:pPr>
<w:r><w:t xml:space="preserve">deep ploughing, the adoption of which immeasurably improved</w:t></w:r>
</w:p>
<w:p>
<w:pPr><w:pStyle w:val="Normal"/></w:pPr>
<w:r><w:t xml:space="preserve">the clay lands of the country.  The early years of the reign</w:t></w:r>
</w:p>
<w:p>
<w:pPr><w:pStyle w:val="Normal"/></w:pPr>
<w:r><w:t xml:space="preserve">of Queen Victoria witnessed the strengthening of the union</w:t></w:r>
</w:p>
<w:p>
<w:pPr><w:pStyle w:val="Normal"/></w:pPr>
<w:r><w:t xml:space="preserve">between agriculture and chemistry.  The Board of Agriculture</w:t></w:r>
</w:p>
<w:p>
<w:pPr><w:pStyle w:val="Normal"/></w:pPr>
<w:r><w:t xml:space="preserve">in 1803 had commissioned Sir Humphry Davy to deliver a course</w:t></w:r>
</w:p>
<w:p>
<w:pPr><w:pStyle w:val="Normal"/></w:pPr>
<w:r><w:t xml:space="preserve">of lectures on the connexion of chemistry with vegetable</w:t></w:r>
</w:p>
<w:p>
<w:pPr><w:pStyle w:val="Normal"/></w:pPr>
<w:r><w:t xml:space="preserve">physiology.  In 1840 the appearance of Chemistry in its</w:t></w:r>
</w:p>
<w:p>
<w:pPr><w:pStyle w:val="Normal"/></w:pPr>
<w:r><w:t xml:space="preserve">Application to Agriculture and Physiology by Justus von</w:t></w:r>
</w:p>
<w:p>
<w:pPr><w:pStyle w:val="Normal"/></w:pPr>
<w:r><w:t xml:space="preserve">Liebig set on foot a movement in favour of scientific husbandry,</w:t></w:r>
</w:p>
<w:p>
<w:pPr><w:pStyle w:val="Normal"/></w:pPr>
<w:r><w:t xml:space="preserve">the most notable outcome of which was the establishment by</w:t></w:r>
</w:p>
<w:p>
<w:pPr><w:pStyle w:val="Normal"/></w:pPr>
<w:r><w:t xml:space="preserve">Sir John Bennet Lawes in 1843 of the experimental station of</w:t></w:r>
</w:p>
<w:p>
<w:pPr><w:pStyle w:val="Normal"/></w:pPr>
<w:r><w:t xml:space="preserve">Rothamsted.  Since Blith&apos;s time bone was the one new fertilizer</w:t></w:r>
</w:p>
<w:p>
<w:pPr><w:pStyle w:val="Normal"/></w:pPr>
<w:r><w:t xml:space="preserve">that had come into use.  Nitrate of soda, Peruvian guano</w:t></w:r>
</w:p>
<w:p>
<w:pPr><w:pStyle w:val="Normal"/></w:pPr>
<w:r><w:t xml:space="preserve">and superphosphate of lime in the form of bones dissolved</w:t></w:r>
</w:p>
<w:p>
<w:pPr><w:pStyle w:val="Normal"/></w:pPr>
<w:r><w:t xml:space="preserve">by sulphuric acid were now added to the list of manures, and</w:t></w:r>
</w:p>
<w:p>
<w:pPr><w:pStyle w:val="Normal"/></w:pPr>
<w:r><w:t xml:space="preserve">the practice of analysing soils became more general.  Manual</w:t></w:r>
</w:p>
<w:p>
<w:pPr><w:pStyle w:val="Normal"/></w:pPr>
<w:r><w:t xml:space="preserve">labour in farming operations began to be superseded by the</w:t></w:r>
</w:p>
<w:p>
<w:pPr><w:pStyle w:val="Normal"/></w:pPr>
<w:r><w:t xml:space="preserve">use of drills, hay-makers and horse-rakes, chaff-cutters and</w:t></w:r>
</w:p>
<w:p>
<w:pPr><w:pStyle w:val="Normal"/></w:pPr>
<w:r><w:t xml:space="preserve">root-pulpers.  The reaping-machine, invented in 1812 by John</w:t></w:r>
</w:p>
<w:p>
<w:pPr><w:pStyle w:val="Normal"/></w:pPr>
<w:r><w:t xml:space="preserve">Common, improved upon by the Rev. Patrick Bell in England</w:t></w:r>
</w:p>
<w:p>
<w:pPr><w:pStyle w:val="Normal"/></w:pPr>
<w:r><w:t xml:space="preserve">and by Cyrus H. McCormick and others in America, and finally</w:t></w:r>
</w:p>
<w:p>
<w:pPr><w:pStyle w:val="Normal"/></w:pPr>
<w:r><w:t xml:space="preserve">perfected about 1879 by the addition of an efficient self-binding</w:t></w:r>
</w:p>
<w:p>
<w:pPr><w:pStyle w:val="Normal"/></w:pPr>
<w:r><w:t xml:space="preserve">apparatus, is the most striking example of the application</w:t></w:r>
</w:p>
<w:p>
<w:pPr><w:pStyle w:val="Normal"/></w:pPr>
<w:r><w:t xml:space="preserve">of mechanics to agriculture.  Improvements in the plough,</w:t></w:r>
</w:p>
<w:p>
<w:pPr><w:pStyle w:val="Normal"/></w:pPr>
<w:r><w:t xml:space="preserve">harrow and roller were introduced, adapting those implements</w:t></w:r>
</w:p>
<w:p>
<w:pPr><w:pStyle w:val="Normal"/></w:pPr>
<w:r><w:t xml:space="preserve">to different soils and purposes.  The steam-engine first took</w:t></w:r>
</w:p>
<w:p>
<w:pPr><w:pStyle w:val="Normal"/></w:pPr>
<w:r><w:t xml:space="preserve">the place of horses as a threshing power in 1803, but it was</w:t></w:r>
</w:p>
<w:p>
<w:pPr><w:pStyle w:val="Normal"/></w:pPr>
<w:r><w:t xml:space="preserve">not until after 1850 that it was applied to the plough and</w:t></w:r>
</w:p>
<w:p>
<w:pPr><w:pStyle w:val="Normal"/></w:pPr>
<w:r><w:t xml:space="preserve">cultivator.  The employment of agricultural machines</w:t></w:r>
</w:p>
<w:p>
<w:pPr><w:pStyle w:val="Normal"/></w:pPr>
<w:r><w:t xml:space="preserve">received considerable impetus from the Great Exhibition of</w:t></w:r>
</w:p>
<w:p>
<w:pPr><w:pStyle w:val="Normal"/></w:pPr>
<w:r><w:t xml:space="preserve">1851.  The much-debated Corn Laws, after undergoing various</w:t></w:r>
</w:p>
<w:p>
<w:pPr><w:pStyle w:val="Normal"/></w:pPr>
<w:r><w:t xml:space="preserve">modifications, and proving the fruitful source of business</w:t></w:r>
</w:p>
<w:p>
<w:pPr><w:pStyle w:val="Normal"/></w:pPr>
<w:r><w:t xml:space="preserve">uncertainty, social discontent and angry partisanship, were</w:t></w:r>
</w:p>
<w:p>
<w:pPr><w:pStyle w:val="Normal"/></w:pPr>
<w:r><w:t xml:space="preserve">finally abolished in 1846, although the act was not consummated</w:t></w:r>
</w:p>
<w:p>
<w:pPr><w:pStyle w:val="Normal"/></w:pPr>
<w:r><w:t xml:space="preserve">until three years later.  Several other acts of the legislature</w:t></w:r>
</w:p>
<w:p>
<w:pPr><w:pStyle w:val="Normal"/></w:pPr>
<w:r><w:t xml:space="preserve">passed during this period exerted a beneficial influence on</w:t></w:r>
</w:p>
<w:p>
<w:pPr><w:pStyle w:val="Normal"/></w:pPr>
<w:r><w:t xml:space="preserve">agriculture.  Of these, the first in date and importance</w:t></w:r>
</w:p>
<w:p>
<w:pPr><w:pStyle w:val="Normal"/></w:pPr>
<w:r><w:t xml:space="preserve">is the Tithe Commutation Act of 1836.  Improvement was also</w:t></w:r>
</w:p>
<w:p>
<w:pPr><w:pStyle w:val="Normal"/></w:pPr>
<w:r><w:t xml:space="preserve">stimulated by the Public Money Drainage Acts 1846-1856, under</w:t></w:r>
</w:p>
<w:p>
<w:pPr><w:pStyle w:val="Normal"/></w:pPr>
<w:r><w:t xml:space="preserve">which government was empowered to advance money on certain</w:t></w:r>
</w:p>
<w:p>
<w:pPr><w:pStyle w:val="Normal"/></w:pPr>
<w:r><w:t xml:space="preserve">conditions for the improvement of estates.  Additional</w:t></w:r>
</w:p>
<w:p>
<w:pPr><w:pStyle w:val="Normal"/></w:pPr>
<w:r><w:t xml:space="preserve">facilities were granted by the act passed in 1848 for</w:t></w:r>
</w:p>
<w:p>
<w:pPr><w:pStyle w:val="Normal"/></w:pPr>
<w:r><w:t xml:space="preserve">disentailing estates, and for burdening such as are entailed</w:t></w:r>
</w:p>
<w:p>
<w:pPr><w:pStyle w:val="Normal"/></w:pPr>
<w:r><w:t xml:space="preserve">with the share of the cost of certain specified improvements.</w:t></w:r>
</w:p>
<w:p>
<w:pPr><w:pStyle w:val="Normal"/></w:pPr>
<w:r><w:t xml:space="preserve">Meanwhile much had been done in the organization of agricultural</w:t></w:r>
</w:p>
<w:p>
<w:pPr><w:pStyle w:val="Normal"/></w:pPr>
<w:r><w:t xml:space="preserve">knowledge.  Mention has already been made of the institution</w:t></w:r>
</w:p>
<w:p>
<w:pPr><w:pStyle w:val="Normal"/></w:pPr>
<w:r><w:t xml:space="preserve">of the Highland Society and the National Board of Agriculture.</w:t></w:r>
</w:p>
<w:p>
<w:pPr><w:pStyle w:val="Normal"/></w:pPr>
<w:r><w:t xml:space="preserve">These institutions were the means of collecting a vast amount of</w:t></w:r>
</w:p>
<w:p>
<w:pPr><w:pStyle w:val="Normal"/></w:pPr>
<w:r><w:t xml:space="preserve">statistical and general information connected with agriculture,</w:t></w:r>
</w:p>
<w:p>
<w:pPr><w:pStyle w:val="Normal"/></w:pPr>
<w:r><w:t xml:space="preserve">and by their publications and premiums made known the practices</w:t></w:r>
</w:p>
<w:p>
<w:pPr><w:pStyle w:val="Normal"/></w:pPr>
<w:r><w:t xml:space="preserve">of the best-farmed districts and encouraged their adoption</w:t></w:r>
</w:p>
<w:p>
<w:pPr><w:pStyle w:val="Normal"/></w:pPr>
<w:r><w:t xml:space="preserve">elsewhere.  These associations were soon aided in their important</w:t></w:r>
</w:p>
<w:p>
<w:pPr><w:pStyle w:val="Normal"/></w:pPr>
<w:r><w:t xml:space="preserve">labours by numerous local societies which sprang up in all</w:t></w:r>
</w:p>
<w:p>
<w:pPr><w:pStyle w:val="Normal"/></w:pPr>
<w:r><w:t xml:space="preserve">parts of the kingdom.  After a highly useful career, under</w:t></w:r>
</w:p>
<w:p>
<w:pPr><w:pStyle w:val="Normal"/></w:pPr>
<w:r><w:t xml:space="preserve">the presidency till 1813 of Sir John Sinclair, the Board of</w:t></w:r>
</w:p>
<w:p>
<w:pPr><w:pStyle w:val="Normal"/></w:pPr>
<w:r><w:t xml:space="preserve">Agriculture was dissolved in 1819, but left in its statistical</w:t></w:r>
</w:p>
<w:p>
<w:pPr><w:pStyle w:val="Normal"/></w:pPr>
<w:r><w:t xml:space="preserve">account, county surveys and other documents much interesting</w:t></w:r>
</w:p>
<w:p>
<w:pPr><w:pStyle w:val="Normal"/></w:pPr>
<w:r><w:t xml:space="preserve">and valuable information regarding the agriculture of the</w:t></w:r>
</w:p>
<w:p>
<w:pPr><w:pStyle w:val="Normal"/></w:pPr>
<w:r><w:t xml:space="preserve">period.  In 1800 the original Farmer&apos;s Magazine came into</w:t></w:r>
</w:p>
<w:p>
<w:pPr><w:pStyle w:val="Normal"/></w:pPr>
<w:r><w:t xml:space="preserve">existence under the editorship of Robert Brown of Markle,</w:t></w:r>
</w:p>
<w:p>
<w:pPr><w:pStyle w:val="Normal"/></w:pPr>
<w:r><w:t xml:space="preserve">the author of the well-known treatise on Rural Affairs.</w:t></w:r>
</w:p>
<w:p>
<w:pPr><w:pStyle w:val="Normal"/></w:pPr>
<w:r><w:t xml:space="preserve">The Highland Society having early extended its operations</w:t></w:r>
</w:p>
<w:p>
<w:pPr><w:pStyle w:val="Normal"/></w:pPr>
<w:r><w:t xml:space="preserve">to the whole of Scotland, by and by made a corresponding</w:t></w:r>
</w:p>
<w:p>
<w:pPr><w:pStyle w:val="Normal"/></w:pPr>
<w:r><w:t xml:space="preserve">addition to its title, and as the Highland and Agricultural</w:t></w:r>
</w:p>
<w:p>
<w:pPr><w:pStyle w:val="Normal"/></w:pPr>
<w:r><w:t xml:space="preserve">Society of Scotland gradually extended its operations.  In</w:t></w:r>
</w:p>
<w:p>
<w:pPr><w:pStyle w:val="Normal"/></w:pPr>
<w:r><w:t xml:space="preserve">1828, shortly after the discontinuance of the Farmers&apos;</w:t></w:r>
</w:p>
<w:p>
<w:pPr><w:pStyle w:val="Normal"/></w:pPr>
<w:r><w:t xml:space="preserve">Magazine, its Prize Essays and Transactions began to be</w:t></w:r>
</w:p>
<w:p>
<w:pPr><w:pStyle w:val="Normal"/></w:pPr>
<w:r><w:t xml:space="preserve">issued statedly in connexion with the Quarterly Journal of</w:t></w:r>
</w:p>
<w:p>
<w:pPr><w:pStyle w:val="Normal"/></w:pPr>
<w:r><w:t xml:space="preserve">Agriculture.  This society early began to hold a great show</w:t></w:r>
</w:p>
<w:p>
<w:pPr><w:pStyle w:val="Normal"/></w:pPr>
<w:r><w:t xml:space="preserve">of live stock, implements, &amp;c. In 1842 certain Midlothian</w:t></w:r>
</w:p>
<w:p>
<w:pPr><w:pStyle w:val="Normal"/></w:pPr>
<w:r><w:t xml:space="preserve">tenant-farmers had the merit of originating an Agricultural</w:t></w:r>
</w:p>
<w:p>
<w:pPr><w:pStyle w:val="Normal"/></w:pPr>
<w:r><w:t xml:space="preserve">Chemistry Association (the first of its kind), by which funds</w:t></w:r>
</w:p>
<w:p>
<w:pPr><w:pStyle w:val="Normal"/></w:pPr>
<w:r><w:t xml:space="preserve">were raised for the purpose of conducting such investigations</w:t></w:r>
</w:p>
<w:p>
<w:pPr><w:pStyle w:val="Normal"/></w:pPr>
<w:r><w:t xml:space="preserve">as the title of the society implies.  After a successful trial</w:t></w:r>
</w:p>
<w:p>
<w:pPr><w:pStyle w:val="Normal"/></w:pPr>
<w:r><w:t xml:space="preserve">of a few years this association was dissolved, transferring</w:t></w:r>
</w:p>
<w:p>
<w:pPr><w:pStyle w:val="Normal"/></w:pPr>
<w:r><w:t xml:space="preserve">its functions to the Highland and Agricultural Society.</w:t></w:r>
</w:p>
<w:p>
<w:pPr><w:pStyle w:val="Normal"/></w:pPr>
<w:r><w:t xml:space="preserve">In England the Agricultural Society was founded in 1838, with</w:t></w:r>
</w:p>
<w:p>
<w:pPr><w:pStyle w:val="Normal"/></w:pPr>
<w:r><w:t xml:space="preserve">the motto ``Practice with Science,&apos;&apos; and shortly afterwards</w:t></w:r>
</w:p>
<w:p>
<w:pPr><w:pStyle w:val="Normal"/></w:pPr>
<w:r><w:t xml:space="preserve">incorporated by royal charter.  In 1845 the Royal Agricultural</w:t></w:r>
</w:p>
<w:p>
<w:pPr><w:pStyle w:val="Normal"/></w:pPr>
<w:r><w:t xml:space="preserve">College at Cirencester was incorporated.  This era of revival</w:t></w:r>
</w:p>
<w:p>
<w:pPr><w:pStyle w:val="Normal"/></w:pPr>
<w:r><w:t xml:space="preserve">was not, however, without its calamities.  The foot-and-mouth</w:t></w:r>
</w:p>
<w:p>
<w:pPr><w:pStyle w:val="Normal"/></w:pPr>
<w:r><w:t xml:space="preserve">disease first appeared about 1840, having been introduced,</w:t></w:r>
</w:p>
<w:p>
<w:pPr><w:pStyle w:val="Normal"/></w:pPr>
<w:r><w:t xml:space="preserve">as is supposed, by foreign cattle.  It spread rapidly over</w:t></w:r>
</w:p>
<w:p>
<w:pPr><w:pStyle w:val="Normal"/></w:pPr>
<w:r><w:t xml:space="preserve">the country, affecting all domesticated animals except</w:t></w:r>
</w:p>
<w:p>
<w:pPr><w:pStyle w:val="Normal"/></w:pPr>
<w:r><w:t xml:space="preserve">horses, and although seldom attended by fatal results, caused</w:t></w:r>
</w:p>
<w:p>
<w:pPr><w:pStyle w:val="Normal"/></w:pPr>
<w:r><w:t xml:space="preserve">everywhere great alarm and loss.  It was soon followed by the</w:t></w:r>
</w:p>
<w:p>
<w:pPr><w:pStyle w:val="Normal"/></w:pPr>
<w:r><w:t xml:space="preserve">more terrible lung-disease, or pleuro-pneumonia.  In 1865 the</w:t></w:r>
</w:p>
<w:p>
<w:pPr><w:pStyle w:val="Normal"/></w:pPr>
<w:r><w:t xml:space="preserve">rinderpest, or steppe murrain, originating amongst the vast</w:t></w:r>
</w:p>
<w:p>
<w:pPr><w:pStyle w:val="Normal"/></w:pPr>
<w:r><w:t xml:space="preserve">herds of the Russian steppes, had spread westward over Europe,</w:t></w:r>
</w:p>
<w:p>
<w:pPr><w:pStyle w:val="Normal"/></w:pPr>
<w:r><w:t xml:space="preserve">until it was brought to London by foreign cattle.  Several</w:t></w:r>
</w:p>
<w:p>
<w:pPr><w:pStyle w:val="Normal"/></w:pPr>
<w:r><w:t xml:space="preserve">weeks elapsed before the true character of the disease was</w:t></w:r>
</w:p>
<w:p>
<w:pPr><w:pStyle w:val="Normal"/></w:pPr>
<w:r><w:t xml:space="preserve">known, and in this brief space it had already been carried</w:t></w:r>
</w:p>
<w:p>
<w:pPr><w:pStyle w:val="Normal"/></w:pPr>
<w:r><w:t xml:space="preserve">by animals purchased in Smithfield market to all parts of the</w:t></w:r>
</w:p>
<w:p>
<w:pPr><w:pStyle w:val="Normal"/></w:pPr>
<w:r><w:t xml:space="preserve">country.  After causing the most frightful losses, it</w:t></w:r>
</w:p>
<w:p>
<w:pPr><w:pStyle w:val="Normal"/></w:pPr>
<w:r><w:t xml:space="preserve">was at last stamped out by the resolute slaughter of all</w:t></w:r>
</w:p>
<w:p>
<w:pPr><w:pStyle w:val="Normal"/></w:pPr>
<w:r><w:t xml:space="preserve">affected animals and of all that had been in contact with</w:t></w:r>
</w:p>
<w:p>
<w:pPr><w:pStyle w:val="Normal"/></w:pPr>
<w:r><w:t xml:space="preserve">them.  Severe as were the losses in flocks and herds from</w:t></w:r>
</w:p>
<w:p>
<w:pPr><w:pStyle w:val="Normal"/></w:pPr>
<w:r><w:t xml:space="preserve">these imported diseases, they were eclipsed by the ravages</w:t></w:r>
</w:p>
<w:p>
<w:pPr><w:pStyle w:val="Normal"/></w:pPr>
<w:r><w:t xml:space="preserve">of the mysterious potato blight, which, first appearing</w:t></w:r>
</w:p>
<w:p>
<w:pPr><w:pStyle w:val="Normal"/></w:pPr>
<w:r><w:t xml:space="preserve">in 1845, pervaded the whole of Europe, and in Ireland</w:t></w:r>
</w:p>
<w:p>
<w:pPr><w:pStyle w:val="Normal"/></w:pPr>
<w:r><w:t xml:space="preserve">especially proved the precursor of famine and pestilence.</w:t></w:r>
</w:p>
<w:p>
<w:pPr><w:pStyle w:val="Normal"/></w:pPr>
<w:r><w:t xml:space="preserve">A short period of low prices followed the repeal of the Corn</w:t></w:r>
</w:p>
<w:p>
<w:pPr><w:pStyle w:val="Normal"/></w:pPr>
<w:r><w:t xml:space="preserve">Laws, wheat averaging only 38s. 6d. a quarter in 1851, but</w:t></w:r>
</w:p>
<w:p>
<w:pPr><w:pStyle w:val="Normal"/></w:pPr>
<w:r><w:t xml:space="preserve">the years from 1852 to 1875 were the most prosperous of the</w:t></w:r>
</w:p>
<w:p>
<w:pPr><w:pStyle w:val="Normal"/></w:pPr>
<w:r><w:t xml:space="preserve">century.  The letters written by Sir James Caird to The</w:t></w:r>
</w:p>
<w:p>
<w:pPr><w:pStyle w:val="Normal"/></w:pPr>
<w:r><w:t xml:space="preserve">Times during 1850, and republished in 1852 under the title</w:t></w:r>
</w:p>
<w:p>
<w:pPr><w:pStyle w:val="Normal"/></w:pPr>
<w:r><w:t xml:space="preserve">English Agriculture in 1850-1851, give a general review of</w:t></w:r>
</w:p>
<w:p>
<w:pPr><w:pStyle w:val="Normal"/></w:pPr>
<w:r><w:t xml:space="preserve">English agriculture at the time.  The scientific and mechanical</w:t></w:r>
</w:p>
<w:p>
<w:pPr><w:pStyle w:val="Normal"/></w:pPr>
<w:r><w:t xml:space="preserve">improvements of the first half of the century were widely</w:t></w:r>
</w:p>
<w:p>
<w:pPr><w:pStyle w:val="Normal"/></w:pPr>
<w:r><w:t xml:space="preserve">adopted, while the prices of the protectionist period showed</w:t></w:r>
</w:p>
<w:p>
<w:pPr><w:pStyle w:val="Normal"/></w:pPr>
<w:r><w:t xml:space="preserve">little decline.  Amelioration in all breeds of domesticated</w:t></w:r>
</w:p>
<w:p>
<w:pPr><w:pStyle w:val="Normal"/></w:pPr>
<w:r><w:t xml:space="preserve">animals was manifested, not so much in the production of</w:t></w:r>
</w:p>
<w:p>
<w:pPr><w:pStyle w:val="Normal"/></w:pPr>
<w:r><w:t xml:space="preserve">individual specimens of high merit as in the diffusion of</w:t></w:r>
</w:p>
<w:p>
<w:pPr><w:pStyle w:val="Normal"/></w:pPr>
<w:r><w:t xml:space="preserve">these and other good breeds over the country, and in the</w:t></w:r>
</w:p>
<w:p>
<w:pPr><w:pStyle w:val="Normal"/></w:pPr>
<w:r><w:t xml:space="preserve">improved quality of live stock as a whole.  The fattening of</w:t></w:r>
</w:p>
<w:p>
<w:pPr><w:pStyle w:val="Normal"/></w:pPr>
<w:r><w:t xml:space="preserve">animals was conducted on more scientific principles.  Increased</w:t></w:r>
</w:p>
<w:p>
<w:pPr><w:pStyle w:val="Normal"/></w:pPr>
<w:r><w:t xml:space="preserve">attention was successfully bestowed on the improvement of field</w:t></w:r>
</w:p>
<w:p>
<w:pPr><w:pStyle w:val="Normal"/></w:pPr>
<w:r><w:t xml:space="preserve">crops.  Improved varieties, obtained by cross-impregnation</w:t></w:r>
</w:p>
<w:p>
<w:pPr><w:pStyle w:val="Normal"/></w:pPr>
<w:r><w:t xml:space="preserve">either naturally or artificially brought about, were carefully</w:t></w:r>
</w:p>
<w:p>
<w:pPr><w:pStyle w:val="Normal"/></w:pPr>
<w:r><w:t xml:space="preserve">propagated and generally adopted, and increased attention was</w:t></w:r>
</w:p>
<w:p>
<w:pPr><w:pStyle w:val="Normal"/></w:pPr>
<w:r><w:t xml:space="preserve">bestowed on the cultivation of the natural grasses.  The most</w:t></w:r>
</w:p>
<w:p>
<w:pPr><w:pStyle w:val="Normal"/></w:pPr>
<w:r><w:t xml:space="preserve">important additions to the list of field crops were Italian</w:t></w:r>
</w:p>
<w:p>
<w:pPr><w:pStyle w:val="Normal"/></w:pPr>
<w:r><w:t xml:space="preserve">rye-grass, winter beans, white Belgian carrot and alsike clover.</w:t></w:r>
</w:p>
<w:p>
<w:pPr><w:pStyle w:val="Normal"/></w:pPr>
<w:r><w:t xml:space="preserve">Agriculture since 1875.</w:t></w:r>
</w:p>
<w:p>
<w:pPr><w:pStyle w:val="Normal"/></w:pPr>
<w:r><w:t xml:space="preserve">The last quarter of the 19th century proved, however, a</w:t></w:r>
</w:p>
<w:p>
<w:pPr><w:pStyle w:val="Normal"/></w:pPr>
<w:r><w:t xml:space="preserve">fateful period for British agriculture.  The great future</w:t></w:r>
</w:p>
<w:p>
<w:pPr><w:pStyle w:val="Normal"/></w:pPr>
<w:r><w:t xml:space="preserve">that seemed to await the application of steam power to the</w:t></w:r>
</w:p>
<w:p>
<w:pPr><w:pStyle w:val="Normal"/></w:pPr>
<w:r><w:t xml:space="preserve">tillage of the soil proved illusory.  The clay soils of</w:t></w:r>
</w:p>
<w:p>
<w:pPr><w:pStyle w:val="Normal"/></w:pPr>
<w:r><w:t xml:space="preserve">England, the latent fertility of which was to be brought into</w:t></w:r>
</w:p>
<w:p>
<w:pPr><w:pStyle w:val="Normal"/></w:pPr>
<w:r><w:t xml:space="preserve">play in a fashion that should mightily augment the home-grown</w:t></w:r>
</w:p>
<w:p>
<w:pPr><w:pStyle w:val="Normal"/></w:pPr>
<w:r><w:t xml:space="preserve">supplies of food, remained intractable, and the extent of</w:t></w:r>
</w:p>
<w:p>
<w:pPr><w:pStyle w:val="Normal"/></w:pPr>
<w:r><w:t xml:space="preserve">land devoted to the cultivation of corn crops, instead of</w:t></w:r>
</w:p>
<w:p>
<w:pPr><w:pStyle w:val="Normal"/></w:pPr>
<w:r><w:t xml:space="preserve">expanding, diminished in a marked degree.  British farmers of</w:t></w:r>
</w:p>
<w:p>
<w:pPr><w:pStyle w:val="Normal"/></w:pPr>
<w:r><w:t xml:space="preserve">long experience look back to 1874 as the last of the really</w:t></w:r>
</w:p>
<w:p>
<w:pPr><w:pStyle w:val="Normal"/></w:pPr>
<w:r><w:t xml:space="preserve">good years, and consider that the palmy days of British</w:t></w:r>
</w:p>
<w:p>
<w:pPr><w:pStyle w:val="Normal"/></w:pPr>
<w:r><w:t xml:space="preserve">agriculture began to dwindle at about that time.  The shadow</w:t></w:r>
</w:p>
<w:p>
<w:pPr><w:pStyle w:val="Normal"/></w:pPr>
<w:r><w:t xml:space="preserve">of the approaching depression had already fallen upon the</w:t></w:r>
</w:p>
<w:p>
<w:pPr><w:pStyle w:val="Normal"/></w:pPr>
<w:r><w:t xml:space="preserve">land before the year 1875 had run its course, and the outlook</w:t></w:r>
</w:p>
<w:p>
<w:pPr><w:pStyle w:val="Normal"/></w:pPr>
<w:r><w:t xml:space="preserve">became ominous as the decade of the &apos;seventies neared its</w:t></w:r>
</w:p>
<w:p>
<w:pPr><w:pStyle w:val="Normal"/></w:pPr>
<w:r><w:t xml:space="preserve">close.  One memorable feature was associated with 1877 in</w:t></w:r>
</w:p>
<w:p>
<w:pPr><w:pStyle w:val="Normal"/></w:pPr>
<w:r><w:t xml:space="preserve">that this was the last year in which the dreaded cattle plague</w:t></w:r>
</w:p>
<w:p>
<w:pPr><w:pStyle w:val="Normal"/></w:pPr>
<w:r><w:t xml:space="preserve">(rinderpest) made its appearance in England.  The same year,</w:t></w:r>
</w:p>
<w:p>
<w:pPr><w:pStyle w:val="Normal"/></w:pPr>
<w:r><w:t xml:space="preserve">1877, was the last also in which the annual average price of</w:t></w:r>
</w:p>
<w:p>
<w:pPr><w:pStyle w:val="Normal"/></w:pPr>
<w:r><w:t xml:space="preserve">English wheat (then 56s. 9d.) exceeded 50s. a quarter.  With</w:t></w:r>
</w:p>
<w:p>
<w:pPr><w:pStyle w:val="Normal"/></w:pPr>
<w:r><w:t xml:space="preserve">declining prices for farm produce came that year of unhappy</w:t></w:r>
</w:p>
<w:p>
<w:pPr><w:pStyle w:val="Normal"/></w:pPr>
<w:r><w:t xml:space="preserve">memory, 1879, when persistent rains and an almost sunless</w:t></w:r>
</w:p>
<w:p>
<w:pPr><w:pStyle w:val="Normal"/></w:pPr>
<w:r><w:t xml:space="preserve">summer ruined the crops and reduced many farmers to a state of</w:t></w:r>
</w:p>
<w:p>
<w:pPr><w:pStyle w:val="Normal"/></w:pPr>
<w:r><w:t xml:space="preserve">destitution.  Much of the grain was never harvested, whilst</w:t></w:r>
</w:p>
<w:p>
<w:pPr><w:pStyle w:val="Normal"/></w:pPr>
<w:r><w:t xml:space="preserve">owing mainly to the excessive floods there commenced an</w:t></w:r>
</w:p>
<w:p>
<w:pPr><w:pStyle w:val="Normal"/></w:pPr>
<w:r><w:t xml:space="preserve">outbreak of liver-rot in sheep, due to the ravages of the</w:t></w:r>
</w:p>
<w:p>
<w:pPr><w:pStyle w:val="Normal"/></w:pPr>
<w:r><w:t xml:space="preserve">fluke parasite.  This continued for several years, and the</w:t></w:r>
</w:p>
<w:p>
<w:pPr><w:pStyle w:val="Normal"/></w:pPr>
<w:r><w:t xml:space="preserve">mortality was so great that its adverse effects upon the ovine</w:t></w:r>
</w:p>
<w:p>
<w:pPr><w:pStyle w:val="Normal"/></w:pPr>
<w:r><w:t xml:space="preserve">population of the country were still perceptible ten years</w:t></w:r>
</w:p>
<w:p>
<w:pPr><w:pStyle w:val="Normal"/></w:pPr>
<w:r><w:t xml:space="preserve">afterwards.  A fall in rents was the necessary sequel of</w:t></w:r>
</w:p>
<w:p>
<w:pPr><w:pStyle w:val="Normal"/></w:pPr>
<w:r><w:t xml:space="preserve">the agricultural distress, to inquire into which a royal</w:t></w:r>
</w:p>
<w:p>
<w:pPr><w:pStyle w:val="Normal"/></w:pPr>
<w:r><w:t xml:space="preserve">commission was appointed in 1879, under the chairmanship</w:t></w:r>
</w:p>
<w:p>
<w:pPr><w:pStyle w:val="Normal"/></w:pPr>
<w:r><w:t xml:space="preserve">of the duke of Richmond and Gordon.  Its report, published</w:t></w:r>
</w:p>
<w:p>
<w:pPr><w:pStyle w:val="Normal"/></w:pPr>
<w:r><w:t xml:space="preserve">in 1882, testified to ``the great extent and intensity</w:t></w:r>
</w:p>
<w:p>
<w:pPr><w:pStyle w:val="Normal"/></w:pPr>
<w:r><w:t xml:space="preserve">of the distress which has fallen upon the agricultural</w:t></w:r>
</w:p>
<w:p>
<w:pPr><w:pStyle w:val="Normal"/></w:pPr>
<w:r><w:t xml:space="preserve">community.  Owners and occupiers have alike suffered from</w:t></w:r>
</w:p>
<w:p>
<w:pPr><w:pStyle w:val="Normal"/></w:pPr>
<w:r><w:t xml:space="preserve">it.  No description of estate or tenure has been exempted.</w:t></w:r>
</w:p>
<w:p>
<w:pPr><w:pStyle w:val="Normal"/></w:pPr>
<w:r><w:t xml:space="preserve">The owner in fee and life tenant, the occupier, whether of</w:t></w:r>
</w:p>
<w:p>
<w:pPr><w:pStyle w:val="Normal"/></w:pPr>
<w:r><w:t xml:space="preserve">large or of small holding, whether under lease, or custom, or</w:t></w:r>
</w:p>
<w:p>
<w:pPr><w:pStyle w:val="Normal"/></w:pPr>
<w:r><w:t xml:space="preserve">agreement, or the provisions of the Agricultural Holdings</w:t></w:r>
</w:p>
<w:p>
<w:pPr><w:pStyle w:val="Normal"/></w:pPr>
<w:r><w:t xml:space="preserve">Act--all without distinction have been involved in a general</w:t></w:r>
</w:p>
<w:p>
<w:pPr><w:pStyle w:val="Normal"/></w:pPr>
<w:r><w:t xml:space="preserve">calamity.&apos;&apos; The two most prominent causes assigned for the</w:t></w:r>
</w:p>
<w:p>
<w:pPr><w:pStyle w:val="Normal"/></w:pPr>
<w:r><w:t xml:space="preserve">depression were bad seasons and foreign competition, aggravated</w:t></w:r>
</w:p>
<w:p>
<w:pPr><w:pStyle w:val="Normal"/></w:pPr>
<w:r><w:t xml:space="preserve">by the increased cost of production and the heavy losses of live</w:t></w:r>
</w:p>
<w:p>
<w:pPr><w:pStyle w:val="Normal"/></w:pPr>
<w:r><w:t xml:space="preserve">stock.  Abundant evidence was forthcoming as to the extent</w:t></w:r>
</w:p>
<w:p>
<w:pPr><w:pStyle w:val="Normal"/></w:pPr>
<w:r><w:t xml:space="preserve">to which agriculture had been injuriously affected ``by an</w:t></w:r>
</w:p>
<w:p>
<w:pPr><w:pStyle w:val="Normal"/></w:pPr>
<w:r><w:t xml:space="preserve">unprecedented succession of bad seasons.&apos;&apos; As regards the</w:t></w:r>
</w:p>
<w:p>
<w:pPr><w:pStyle w:val="Normal"/></w:pPr>
<w:r><w:t xml:space="preserve">pressure of foreign competition, it was stated to be greatly</w:t></w:r>
</w:p>
<w:p>
<w:pPr><w:pStyle w:val="Normal"/></w:pPr>
<w:r><w:t xml:space="preserve">in excess of the anticipations of the supporters, and of the</w:t></w:r>
</w:p>
<w:p>
<w:pPr><w:pStyle w:val="Normal"/></w:pPr>
<w:r><w:t xml:space="preserve">apprehensions of the opponents of the repeal of the Corn Laws.</w:t></w:r>
</w:p>
<w:p>
<w:pPr><w:pStyle w:val="Normal"/></w:pPr>
<w:r><w:t xml:space="preserve">Whereas formerly the farmer was to some extent compensated by</w:t></w:r>
</w:p>
<w:p>
<w:pPr><w:pStyle w:val="Normal"/></w:pPr>
<w:r><w:t xml:space="preserve">a higher price for a smaller yield, in recent years he had had</w:t></w:r>
</w:p>
<w:p>
<w:pPr><w:pStyle w:val="Normal"/></w:pPr>
<w:r><w:t xml:space="preserve">to compete with an unusually large supply at greatly reduced</w:t></w:r>
</w:p>
<w:p>
<w:pPr><w:pStyle w:val="Normal"/></w:pPr>
<w:r><w:t xml:space="preserve">prices.  On the other hand, he had enjoyed the advantage of an</w:t></w:r>
</w:p>
<w:p>
<w:pPr><w:pStyle w:val="Normal"/></w:pPr>
<w:r><w:t xml:space="preserve">extended supply of feeding-stuffs---such as maize, linseedcake</w:t></w:r>
</w:p>
<w:p>
<w:pPr><w:pStyle w:val="Normal"/></w:pPr>
<w:r><w:t xml:space="preserve">and cotton-cake---and of artificial manures imported from</w:t></w:r>
</w:p>
<w:p>
<w:pPr><w:pStyle w:val="Normal"/></w:pPr>
<w:r><w:t xml:space="preserve">abroad.  The low price of agricultural produce, beneficial</w:t></w:r>
</w:p>
<w:p>
<w:pPr><w:pStyle w:val="Normal"/></w:pPr>
<w:r><w:t xml:space="preserve">though it might be to the general community, had lessened the</w:t></w:r>
</w:p>
<w:p>
<w:pPr><w:pStyle w:val="Normal"/></w:pPr>
<w:r><w:t xml:space="preserve">ability of the land to bear the proportion of taxation which</w:t></w:r>
</w:p>
<w:p>
<w:pPr><w:pStyle w:val="Normal"/></w:pPr>
<w:r><w:t xml:space="preserve">had heretofore been imposed upon it.  The legislative outcome</w:t></w:r>
</w:p>
<w:p>
<w:pPr><w:pStyle w:val="Normal"/></w:pPr>
<w:r><w:t xml:space="preserve">of the findings of this royal commission was the Agricultural</w:t></w:r>
</w:p>
<w:p>
<w:pPr><w:pStyle w:val="Normal"/></w:pPr>
<w:r><w:t xml:space="preserve">Holdings Act 1883, a measure which continued in force in</w:t></w:r>
</w:p>
<w:p>
<w:pPr><w:pStyle w:val="Normal"/></w:pPr>
<w:r><w:t xml:space="preserve">its entirety till 1901, when a new act came into operation.</w:t></w:r>
</w:p>
<w:p>
<w:pPr><w:pStyle w:val="Normal"/></w:pPr>
<w:r><w:t xml:space="preserve">The apparently hopeless outlook for corn-growing compelled</w:t></w:r>
</w:p>
<w:p>
<w:pPr><w:pStyle w:val="Normal"/></w:pPr>
<w:r><w:t xml:space="preserve">farmers to cast about for some other means of subsistence, and to</w:t></w:r>
</w:p>
<w:p>
<w:pPr><w:pStyle w:val="Normal"/></w:pPr>
<w:r><w:t xml:space="preserve">rely more than they had hitherto done upon the possibilities of</w:t></w:r>
</w:p>
<w:p>
<w:pPr><w:pStyle w:val="Normal"/></w:pPr>
<w:r><w:t xml:space="preserve">stock-breeding.  It was in particular the misfortunes of the</w:t></w:r>
</w:p>
<w:p>
<w:pPr><w:pStyle w:val="Normal"/></w:pPr>
<w:r><w:t xml:space="preserve">later &apos;seventies that gave the needed fillip to that branch of</w:t></w:r>
</w:p>
<w:p>
<w:pPr><w:pStyle w:val="Normal"/></w:pPr>
<w:r><w:t xml:space="preserve">stock-farming concerned with the production of milk, butter and</w:t></w:r>
</w:p>
<w:p>
<w:pPr><w:pStyle w:val="Normal"/></w:pPr>
<w:r><w:t xml:space="preserve">cheese, and from this period may be said to date the revival of</w:t></w:r>
</w:p>
<w:p>
<w:pPr><w:pStyle w:val="Normal"/></w:pPr>
<w:r><w:t xml:space="preserve">the dairying industry, which received a powerful impetus through</w:t></w:r>
</w:p>
<w:p>
<w:pPr><w:pStyle w:val="Normal"/></w:pPr>
<w:r><w:t xml:space="preserve">the introduction of the centrifugal cream separator, and was</w:t></w:r>
</w:p>
<w:p>
<w:pPr><w:pStyle w:val="Normal"/></w:pPr>
<w:r><w:t xml:space="preserve">fostered by the British Dairy Farmers&apos; Association (formed in</w:t></w:r>
</w:p>
<w:p>
<w:pPr><w:pStyle w:val="Normal"/></w:pPr>
<w:r><w:t xml:space="preserve">1875).  The generally wet character of the seasons in 1879</w:t></w:r>
</w:p>
<w:p>
<w:pPr><w:pStyle w:val="Normal"/></w:pPr>
<w:r><w:t xml:space="preserve">and the two or three years following was mainly responsible</w:t></w:r>
</w:p>
<w:p>
<w:pPr><w:pStyle w:val="Normal"/></w:pPr>
<w:r><w:t xml:space="preserve">for the high prices of meat, so that the supplies of fresh</w:t></w:r>
</w:p>
<w:p>
<w:pPr><w:pStyle w:val="Normal"/></w:pPr>
<w:r><w:t xml:space="preserve">beef and mutton from Australia which now began to arrive found</w:t></w:r>
</w:p>
<w:p>
<w:pPr><w:pStyle w:val="Normal"/></w:pPr>
<w:r><w:t xml:space="preserve">a ready market, and the trade in imported fresh meat which</w:t></w:r>
</w:p>
<w:p>
<w:pPr><w:pStyle w:val="Normal"/></w:pPr>
<w:r><w:t xml:space="preserve">was thus commenced has practically continued to expand ever</w:t></w:r>
</w:p>
<w:p>
<w:pPr><w:pStyle w:val="Normal"/></w:pPr>
<w:r><w:t xml:space="preserve">since.  The great losses arising from spoilt hay crops served</w:t></w:r>
</w:p>
<w:p>
<w:pPr><w:pStyle w:val="Normal"/></w:pPr>
<w:r><w:t xml:space="preserve">to stimulate experimental inquiry into the method of preserving</w:t></w:r>
</w:p>
<w:p>
<w:pPr><w:pStyle w:val="Normal"/></w:pPr>
<w:r><w:t xml:space="preserve">green fodder known as ensilage, with the result that the</w:t></w:r>
</w:p>
<w:p>
<w:pPr><w:pStyle w:val="Normal"/></w:pPr>
<w:r><w:t xml:space="preserve">system eventually became successfully incorporated in the</w:t></w:r>
</w:p>
<w:p>
<w:pPr><w:pStyle w:val="Normal"/></w:pPr>
<w:r><w:t xml:space="preserve">ordinary routine of agricultural practice.  A contemporaneous</w:t></w:r>
</w:p>
<w:p>
<w:pPr><w:pStyle w:val="Normal"/></w:pPr>
<w:r><w:t xml:space="preserve">effort in the direction of drying hay by artificial means</w:t></w:r>
</w:p>
<w:p>
<w:pPr><w:pStyle w:val="Normal"/></w:pPr>
<w:r><w:t xml:space="preserve">led to nothing of practical importance.  By 1882 the cry as</w:t></w:r>
</w:p>
<w:p>
<w:pPr><w:pStyle w:val="Normal"/></w:pPr>
<w:r><w:t xml:space="preserve">to land going out of cultivation became loud and general,</w:t></w:r>
</w:p>
<w:p>
<w:pPr><w:pStyle w:val="Normal"/></w:pPr>
<w:r><w:t xml:space="preserve">and the migration of the rural population into the towns in</w:t></w:r>
</w:p>
<w:p>
<w:pPr><w:pStyle w:val="Normal"/></w:pPr>
<w:r><w:t xml:space="preserve">search of work continued unchecked (see below, Agricultural</w:t></w:r>
</w:p>
<w:p>
<w:pPr><w:pStyle w:val="Normal"/></w:pPr>
<w:r><w:t xml:space="preserve">Population) . In 1883 foot-and-mouth disease was terribly</w:t></w:r>
</w:p>
<w:p>
<w:pPr><w:pStyle w:val="Normal"/></w:pPr>
<w:r><w:t xml:space="preserve">rampant amongst the herds and flocks of Great Britain, and</w:t></w:r>
</w:p>
<w:p>
<w:pPr><w:pStyle w:val="Normal"/></w:pPr>
<w:r><w:t xml:space="preserve">was far more prevalent than it has ever been since.  It was</w:t></w:r>
</w:p>
<w:p>
<w:pPr><w:pStyle w:val="Normal"/></w:pPr>
<w:r><w:t xml:space="preserve">about this time that the first experiments were made (in</w:t></w:r>
</w:p>
<w:p>
<w:pPr><w:pStyle w:val="Normal"/></w:pPr>
<w:r><w:t xml:space="preserve">Germany) with basic slag, a material which had hitherto been</w:t></w:r>
</w:p>
<w:p>
<w:pPr><w:pStyle w:val="Normal"/></w:pPr>
<w:r><w:t xml:space="preserve">regarded as a worthless by-product of steel manufacture.  A</w:t></w:r>
</w:p>
<w:p>
<w:pPr><w:pStyle w:val="Normal"/></w:pPr>
<w:r><w:t xml:space="preserve">year or two later field trials were begun in England, with</w:t></w:r>
</w:p>
<w:p>
<w:pPr><w:pStyle w:val="Normal"/></w:pPr>
<w:r><w:t xml:space="preserve">the final result that basic slag has become recognized as a</w:t></w:r>
</w:p>
<w:p>
<w:pPr><w:pStyle w:val="Normal"/></w:pPr>
<w:r><w:t xml:space="preserve">valuable source of phosphorus for growing crops, and is now in</w:t></w:r>
</w:p>
<w:p>
<w:pPr><w:pStyle w:val="Normal"/></w:pPr>
<w:r><w:t xml:space="preserve">constant demand for application to the soil as a fertilizer.</w:t></w:r>
</w:p>
<w:p>
<w:pPr><w:pStyle w:val="Normal"/></w:pPr>
<w:r><w:t xml:space="preserve">In 1883 the veterinary department of the Privy Council--which</w:t></w:r>
</w:p>
<w:p>
<w:pPr><w:pStyle w:val="Normal"/></w:pPr>
<w:r><w:t xml:space="preserve">had been constituted in 1865 when the country was ravaged by</w:t></w:r>
</w:p>
<w:p>
<w:pPr><w:pStyle w:val="Normal"/></w:pPr>
<w:r><w:t xml:space="preserve">cattle plague---was abolished by order in council, and the</w:t></w:r>
</w:p>
<w:p>
<w:pPr><w:pStyle w:val="Normal"/></w:pPr>
<w:r><w:t xml:space="preserve">``Agricultural Department&apos;&apos; was substituted, but no alteration was</w:t></w:r>
</w:p>
<w:p>
<w:pPr><w:pStyle w:val="Normal"/></w:pPr>
<w:r><w:t xml:space="preserve">effected in the work of the department, so far as it related to</w:t></w:r>
</w:p>
<w:p>
<w:pPr><w:pStyle w:val="Normal"/></w:pPr>
<w:r><w:t xml:space="preserve">animals.  In 1889 the Board of Agriculture (for Great Britain)</w:t></w:r>
</w:p>
<w:p>
<w:pPr><w:pStyle w:val="Normal"/></w:pPr>
<w:r><w:t xml:space="preserve">was formed under an act of parliament of that year (see</w:t></w:r>
</w:p>
<w:p>
<w:pPr><w:pStyle w:val="Normal"/></w:pPr>
<w:r><w:t xml:space="preserve">AGRICULTURE, BOARD OF).  The election took place in the same</w:t></w:r>
</w:p>
<w:p>
<w:pPr><w:pStyle w:val="Normal"/></w:pPr>
<w:r><w:t xml:space="preserve">year (1889) of the first county councils, and the allotment to</w:t></w:r>
</w:p>
<w:p>
<w:pPr><w:pStyle w:val="Normal"/></w:pPr>
<w:r><w:t xml:space="preserve">them of various sums of money under the Local Taxation (Customs</w:t></w:r>
</w:p>
<w:p>
<w:pPr><w:pStyle w:val="Normal"/></w:pPr>
<w:r><w:t xml:space="preserve">and Excise) Act 1890 enabled local provision to be made for</w:t></w:r>
</w:p>
<w:p>
<w:pPr><w:pStyle w:val="Normal"/></w:pPr>
<w:r><w:t xml:space="preserve">the promotion of technical instruction in agriculture (see</w:t></w:r>
</w:p>
<w:p>
<w:pPr><w:pStyle w:val="Normal"/></w:pPr>
<w:r><w:t xml:space="preserve">below, Agricultural Education.) It was about this time that</w:t></w:r>
</w:p>
<w:p>
<w:pPr><w:pStyle w:val="Normal"/></w:pPr>
<w:r><w:t xml:space="preserve">the value of a mixture of lime and sulphate of copper (bouillie</w:t></w:r>
</w:p>
<w:p>
<w:pPr><w:pStyle w:val="Normal"/></w:pPr>
<w:r><w:t xml:space="preserve">bordelaise), sprayed in solution upon the growing plants, came</w:t></w:r>
</w:p>
<w:p>
<w:pPr><w:pStyle w:val="Normal"/></w:pPr>
<w:r><w:t xml:space="preserve">to be recognized as a check upon the ravages of potato disease.</w:t></w:r>
</w:p>
<w:p>
<w:pPr><w:pStyle w:val="Normal"/></w:pPr>
<w:r><w:t xml:space="preserve">The general experience of the decade of the &apos;eighties</w:t></w:r>
</w:p>
<w:p>
<w:pPr><w:pStyle w:val="Normal"/></w:pPr>
<w:r><w:t xml:space="preserve">was that of disappointing summers, harsh winters, falling</w:t></w:r>
</w:p>
<w:p>
<w:pPr><w:pStyle w:val="Normal"/></w:pPr>
<w:r><w:t xml:space="preserve">prices, declining rents and the shrinkage of land values.</w:t></w:r>
</w:p>
<w:p>
<w:pPr><w:pStyle w:val="Normal"/></w:pPr>
<w:r><w:t xml:space="preserve">It is true that one season of the series, that of 1887, was</w:t></w:r>
</w:p>
<w:p>
<w:pPr><w:pStyle w:val="Normal"/></w:pPr>
<w:r><w:t xml:space="preserve">hot and droughty, but the following summer was exceedingly</w:t></w:r>
</w:p>
<w:p>
<w:pPr><w:pStyle w:val="Normal"/></w:pPr>
<w:r><w:t xml:space="preserve">wet.  Nevertheless, the decade closed more hopefully than it</w:t></w:r>
</w:p>
<w:p>
<w:pPr><w:pStyle w:val="Normal"/></w:pPr>
<w:r><w:t xml:space="preserve">opened, and found farmers taking a keener interest in grass</w:t></w:r>
</w:p>
<w:p>
<w:pPr><w:pStyle w:val="Normal"/></w:pPr>
<w:r><w:t xml:space="preserve">land, in live stock and in dairying.  Cattle-breeders did</w:t></w:r>
</w:p>
<w:p>
<w:pPr><w:pStyle w:val="Normal"/></w:pPr>
<w:r><w:t xml:space="preserve">well in 1889, but sheep-breeders fared better; on the other</w:t></w:r>
</w:p>
<w:p>
<w:pPr><w:pStyle w:val="Normal"/></w:pPr>
<w:r><w:t xml:space="preserve">hand, owing to receding prices, corn growers were more</w:t></w:r>
</w:p>
<w:p>
<w:pPr><w:pStyle w:val="Normal"/></w:pPr>
<w:r><w:t xml:space="preserve">disheartened than ever.  With the incoming of the last decade</w:t></w:r>
</w:p>
<w:p>
<w:pPr><w:pStyle w:val="Normal"/></w:pPr>
<w:r><w:t xml:space="preserve">of the century there seemed to be some justifiable hopes of</w:t></w:r>
</w:p>
<w:p>
<w:pPr><w:pStyle w:val="Normal"/></w:pPr>
<w:r><w:t xml:space="preserve">the dawn of better times, but they were speedily doomed to</w:t></w:r>
</w:p>
<w:p>
<w:pPr><w:pStyle w:val="Normal"/></w:pPr>
<w:r><w:t xml:space="preserve">disappointment.  In 1891 excessively heavy autumn rains washed</w:t></w:r>
</w:p>
<w:p>
<w:pPr><w:pStyle w:val="Normal"/></w:pPr>
<w:r><w:t xml:space="preserve">the arable soils to such an extent that the next season&apos;s</w:t></w:r>
</w:p>
<w:p>
<w:pPr><w:pStyle w:val="Normal"/></w:pPr>
<w:r><w:t xml:space="preserve">corn crops were below average.  Wheat in particular was a</w:t></w:r>
</w:p>
<w:p>
<w:pPr><w:pStyle w:val="Normal"/></w:pPr>
<w:r><w:t xml:space="preserve">poor crop in 1892, and the low yield was associated with</w:t></w:r>
</w:p>
<w:p>
<w:pPr><w:pStyle w:val="Normal"/></w:pPr>
<w:r><w:t xml:space="preserve">falling prices due to large imports.  The hay crop was very</w:t></w:r>
</w:p>
<w:p>
<w:pPr><w:pStyle w:val="Normal"/></w:pPr>
<w:r><w:t xml:space="preserve">inferior, and in some cases it was practically ruined.  This</w:t></w:r>
</w:p>
<w:p>
<w:pPr><w:pStyle w:val="Normal"/></w:pPr>
<w:r><w:t xml:space="preserve">gave a stimulus to the trade in imported hay, which rose</w:t></w:r>
</w:p>
<w:p>
<w:pPr><w:pStyle w:val="Normal"/></w:pPr>
<w:r><w:t xml:space="preserve">from 61,237 tons in 1892 to 263,050 tons in 1893, and despite</w:t></w:r>
</w:p>
<w:p>
<w:pPr><w:pStyle w:val="Normal"/></w:pPr>
<w:r><w:t xml:space="preserve">some large home-grown crops in certain subsequent years (1897</w:t></w:r>
</w:p>
<w:p>
<w:pPr><w:pStyle w:val="Normal"/></w:pPr>
<w:r><w:t xml:space="preserve">and 1898) this expansion has never since been wholly lost.</w:t></w:r>
</w:p>
<w:p>
<w:pPr><w:pStyle w:val="Normal"/></w:pPr>
<w:r><w:t xml:space="preserve">The misfortunes of 1892 proved to be merely a preparation for the</w:t></w:r>
</w:p>
<w:p>
<w:pPr><w:pStyle w:val="Normal"/></w:pPr>
<w:r><w:t xml:space="preserve">disasters of 1893, in which year occurred the most destructive</w:t></w:r>
</w:p>
<w:p>
<w:pPr><w:pStyle w:val="Normal"/></w:pPr>
<w:r><w:t xml:space="preserve">drought within living memory.  Its worst effects were seen</w:t></w:r>
</w:p>
<w:p>
<w:pPr><w:pStyle w:val="Normal"/></w:pPr>
<w:r><w:t xml:space="preserve">upon the light land farms of England, and so deplorable was</w:t></w:r>
</w:p>
<w:p>
<w:pPr><w:pStyle w:val="Normal"/></w:pPr>
<w:r><w:t xml:space="preserve">the position that a royal commission on agricultural depression</w:t></w:r>
</w:p>
<w:p>
<w:pPr><w:pStyle w:val="Normal"/></w:pPr>
<w:r><w:t xml:space="preserve">was appointed in September of that year under the chairmanship</w:t></w:r>
</w:p>
<w:p>
<w:pPr><w:pStyle w:val="Normal"/></w:pPr>
<w:r><w:t xml:space="preserve">of Mr Shaw Lefevre (afterwards Lord Eversley).  Thus, within</w:t></w:r>
</w:p>
<w:p>
<w:pPr><w:pStyle w:val="Normal"/></w:pPr>
<w:r><w:t xml:space="preserve">the last quarter of the 19th century--and, as a matter of</w:t></w:r>
</w:p>
<w:p>
<w:pPr><w:pStyle w:val="Normal"/></w:pPr>
<w:r><w:t xml:space="preserve">fact, only fourteen years apart--two royal commissions on</w:t></w:r>
</w:p>
<w:p>
<w:pPr><w:pStyle w:val="Normal"/></w:pPr>
<w:r><w:t xml:space="preserve">agriculture were appointed, the one in a year of memorable</w:t></w:r>
</w:p>
<w:p>
<w:pPr><w:pStyle w:val="Normal"/></w:pPr>
<w:r><w:t xml:space="preserve">flood, 1879, and the other in a year of disastrous drought,</w:t></w:r>
</w:p>
<w:p>
<w:pPr><w:pStyle w:val="Normal"/></w:pPr>
<w:r><w:t xml:space="preserve">1893.  The report of the commission of 1893 was issued in March</w:t></w:r>
</w:p>
<w:p>
<w:pPr><w:pStyle w:val="Normal"/></w:pPr>
<w:r><w:t xml:space="preserve">1896.  Amongst its chief recommendations were those relating</w:t></w:r>
</w:p>
<w:p>
<w:pPr><w:pStyle w:val="Normal"/></w:pPr>
<w:r><w:t xml:space="preserve">to amendments in the Agricultural Holdings Acts, and to</w:t></w:r>
</w:p>
<w:p>
<w:pPr><w:pStyle w:val="Normal"/></w:pPr>
<w:r><w:t xml:space="preserve">tithe rent-charge, railway rates, damage by game, sale of</w:t></w:r>
</w:p>
<w:p>
<w:pPr><w:pStyle w:val="Normal"/></w:pPr>
<w:r><w:t xml:space="preserve">adulterated products, and sale of imported goods (meat,</w:t></w:r>
</w:p>
<w:p>
<w:pPr><w:pStyle w:val="Normal"/></w:pPr>
<w:r><w:t xml:space="preserve">for example) as home produce.  Two legislative enactments</w:t></w:r>
</w:p>
<w:p>
<w:pPr><w:pStyle w:val="Normal"/></w:pPr>
<w:r><w:t xml:space="preserve">arose out of the work of this commission.  In the majority</w:t></w:r>
</w:p>
<w:p>
<w:pPr><w:pStyle w:val="Normal"/></w:pPr>
<w:r><w:t xml:space="preserve">report it was stated ``that, in order to place agricultural</w:t></w:r>
</w:p>
<w:p>
<w:pPr><w:pStyle w:val="Normal"/></w:pPr>
<w:r><w:t xml:space="preserve">lands in their right position as compared with other ratable</w:t></w:r>
</w:p>
<w:p>
<w:pPr><w:pStyle w:val="Normal"/></w:pPr>
<w:r><w:t xml:space="preserve">properties, it is essential that they should be assessed</w:t></w:r>
</w:p>
<w:p>
<w:pPr><w:pStyle w:val="Normal"/></w:pPr>
<w:r><w:t xml:space="preserve">to all local rates in a reduced proportion of their ratable</w:t></w:r>
</w:p>
<w:p>
<w:pPr><w:pStyle w:val="Normal"/></w:pPr>
<w:r><w:t xml:space="preserve">value.&apos;&apos; The Agricultural Rates Act 1896 gave effect to this</w:t></w:r>
</w:p>
<w:p>
<w:pPr><w:pStyle w:val="Normal"/></w:pPr>
<w:r><w:t xml:space="preserve">recommendation.  Its objects were to relieve agricultural</w:t></w:r>
</w:p>
<w:p>
<w:pPr><w:pStyle w:val="Normal"/></w:pPr>
<w:r><w:t xml:space="preserve">land from half the local rates, and to provide the means of</w:t></w:r>
</w:p>
<w:p>
<w:pPr><w:pStyle w:val="Normal"/></w:pPr>
<w:r><w:t xml:space="preserve">making good out of imperial funds the deficiency in local</w:t></w:r>
</w:p>
<w:p>
<w:pPr><w:pStyle w:val="Normal"/></w:pPr>
<w:r><w:t xml:space="preserve">taxation caused thereby.  It was provided that the act should</w:t></w:r>
</w:p>
<w:p>
<w:pPr><w:pStyle w:val="Normal"/></w:pPr>
<w:r><w:t xml:space="preserve">continue in force only till the 31st of March 1902, but a</w:t></w:r>
</w:p>
<w:p>
<w:pPr><w:pStyle w:val="Normal"/></w:pPr>
<w:r><w:t xml:space="preserve">further act in 1901 extended the period by four years, and</w:t></w:r>
</w:p>
<w:p>
<w:pPr><w:pStyle w:val="Normal"/></w:pPr>
<w:r><w:t xml:space="preserve">in 1905 its operation was extended to the 31st of March</w:t></w:r>
</w:p>
<w:p>
<w:pPr><w:pStyle w:val="Normal"/></w:pPr>
<w:r><w:t xml:space="preserve">1910.  The other measure arising out of the report of the</w:t></w:r>
</w:p>
<w:p>
<w:pPr><w:pStyle w:val="Normal"/></w:pPr>
<w:r><w:t xml:space="preserve">royal commission of 1893 was the Agricultural Holdings Act</w:t></w:r>
</w:p>
<w:p>
<w:pPr><w:pStyle w:val="Normal"/></w:pPr>
<w:r><w:t xml:space="preserve">1900.  This was an amending act and not a consolidating act;</w:t></w:r>
</w:p>
<w:p>
<w:pPr><w:pStyle w:val="Normal"/></w:pPr>
<w:r><w:t xml:space="preserve">consequently it had to be read as if incorporated into the</w:t></w:r>
</w:p>
<w:p>
<w:pPr><w:pStyle w:val="Normal"/></w:pPr>
<w:r><w:t xml:space="preserve">already existing acts.  As affecting agricultural practice there</w:t></w:r>
</w:p>
<w:p>
<w:pPr><w:pStyle w:val="Normal"/></w:pPr>
<w:r><w:t xml:space="preserve">were three noteworthy improvements in respect of the making</w:t></w:r>
</w:p>
<w:p>
<w:pPr><w:pStyle w:val="Normal"/></w:pPr>
<w:r><w:t xml:space="preserve">of which, without the consent of or notice to his landlord,</w:t></w:r>
</w:p>
<w:p>
<w:pPr><w:pStyle w:val="Normal"/></w:pPr>
<w:r><w:t xml:space="preserve">a tenant might claim compensation---(1) the consumption on</w:t></w:r>
</w:p>
<w:p>
<w:pPr><w:pStyle w:val="Normal"/></w:pPr>
<w:r><w:t xml:space="preserve">the holding ``by horses, other than those regularly employed</w:t></w:r>
</w:p>
<w:p>
<w:pPr><w:pStyle w:val="Normal"/></w:pPr>
<w:r><w:t xml:space="preserve">on the holding,&apos;&apos; of corn, cake or other feeding-stuff</w:t></w:r>
</w:p>
<w:p>
<w:pPr><w:pStyle w:val="Normal"/></w:pPr>
<w:r><w:t xml:space="preserve">not produced on the holding; (2) the ``consumption on the</w:t></w:r>
</w:p>
<w:p>
<w:pPr><w:pStyle w:val="Normal"/></w:pPr>
<w:r><w:t xml:space="preserve">holding by cattle, sheep, or pigs, or by horses other than</w:t></w:r>
</w:p>
<w:p>
<w:pPr><w:pStyle w:val="Normal"/></w:pPr>
<w:r><w:t xml:space="preserve">those regularly employed on the holding, of corn proved by</w:t></w:r>
</w:p>
<w:p>
<w:pPr><w:pStyle w:val="Normal"/></w:pPr>
<w:r><w:t xml:space="preserve">satisfactory evidence to have been produced and consumed on</w:t></w:r>
</w:p>
<w:p>
<w:pPr><w:pStyle w:val="Normal"/></w:pPr>
<w:r><w:t xml:space="preserve">the holding&apos;&apos;; (3) ``laying down temporary pasture with clover,</w:t></w:r>
</w:p>
<w:p>
<w:pPr><w:pStyle w:val="Normal"/></w:pPr>
<w:r><w:t xml:space="preserve">grass, lucerne, sainfoin or other seeds sown more than two</w:t></w:r>
</w:p>
<w:p>
<w:pPr><w:pStyle w:val="Normal"/></w:pPr>
<w:r><w:t xml:space="preserve">years prior to the determination of the tenancy.&apos;&apos; A further</w:t></w:r>
</w:p>
<w:p>
<w:pPr><w:pStyle w:val="Normal"/></w:pPr>
<w:r><w:t xml:space="preserve">act was passed in 1906 (the Agricultural Holdings Act 1906)</w:t></w:r>
</w:p>
<w:p>
<w:pPr><w:pStyle w:val="Normal"/></w:pPr>
<w:r><w:t xml:space="preserve">which improved the tenant&apos;s position in respect of freedom of</w:t></w:r>
</w:p>
<w:p>
<w:pPr><w:pStyle w:val="Normal"/></w:pPr>
<w:r><w:t xml:space="preserve">cropping, disposal of produce and compensation for disturbance.</w:t></w:r>
</w:p>
<w:p>
<w:pPr><w:pStyle w:val="Normal"/></w:pPr>
<w:r><w:t xml:space="preserve">After 1894, in which year the brilliant prospects of a bountiful</w:t></w:r>
</w:p>
<w:p>
<w:pPr><w:pStyle w:val="Normal"/></w:pPr>
<w:r><w:t xml:space="preserve">harvest were ultimately extinguished by untimely and heavy</w:t></w:r>
</w:p>
<w:p>
<w:pPr><w:pStyle w:val="Normal"/></w:pPr>
<w:r><w:t xml:space="preserve">rains, all the remaining seasons of the closing decade of</w:t></w:r>
</w:p>
<w:p>
<w:pPr><w:pStyle w:val="Normal"/></w:pPr>
<w:r><w:t xml:space="preserve">the 19th century were dominated by drought.  A fact that was</w:t></w:r>
</w:p>
<w:p>
<w:pPr><w:pStyle w:val="Normal"/></w:pPr>
<w:r><w:t xml:space="preserve">amply illustrated, moreover, is that the period of incidence</w:t></w:r>
</w:p>
<w:p>
<w:pPr><w:pStyle w:val="Normal"/></w:pPr>
<w:r><w:t xml:space="preserve">of a drought is not less important than its duration, and</w:t></w:r>
</w:p>
<w:p>
<w:pPr><w:pStyle w:val="Normal"/></w:pPr>
<w:r><w:t xml:space="preserve">the same is true of abnormal rainfall.  A spring drought, a</w:t></w:r>
</w:p>
<w:p>
<w:pPr><w:pStyle w:val="Normal"/></w:pPr>
<w:r><w:t xml:space="preserve">summer drought, an autumn drought, each has its distinctive</w:t></w:r>
</w:p>
<w:p>
<w:pPr><w:pStyle w:val="Normal"/></w:pPr>
<w:r><w:t xml:space="preserve">characteristics in so far as the effect upon the crops is</w:t></w:r>
</w:p>
<w:p>
<w:pPr><w:pStyle w:val="Normal"/></w:pPr>
<w:r><w:t xml:space="preserve">concerned.  The hot drought of 1893 extended over the spring</w:t></w:r>
</w:p>
<w:p>
<w:pPr><w:pStyle w:val="Normal"/></w:pPr>
<w:r><w:t xml:space="preserve">and summer months, but there was an abundant rainfall in the</w:t></w:r>
</w:p>
<w:p>
<w:pPr><w:pStyle w:val="Normal"/></w:pPr>
<w:r><w:t xml:space="preserve">autumn; correspondingly there was an unprecedentedly bad yield</w:t></w:r>
</w:p>
<w:p>
<w:pPr><w:pStyle w:val="Normal"/></w:pPr>
<w:r><w:t xml:space="preserve">of corn and hay crops, but a moderately fair yield of the main</w:t></w:r>
</w:p>
<w:p>
<w:pPr><w:pStyle w:val="Normal"/></w:pPr>
<w:r><w:t xml:space="preserve">root crops (turnips and swedes).  In 1899 the drought became</w:t></w:r>
</w:p>
<w:p>
<w:pPr><w:pStyle w:val="Normal"/></w:pPr>
<w:r><w:t xml:space="preserve">most intense in the autumn after the corn crops had been</w:t></w:r>
</w:p>
<w:p>
<w:pPr><w:pStyle w:val="Normal"/></w:pPr>
<w:r><w:t xml:space="preserve">harvested, but during the chief period, of growth of the root</w:t></w:r>
</w:p>
<w:p>
<w:pPr><w:pStyle w:val="Normal"/></w:pPr>
<w:r><w:t xml:space="preserve">crops; correspondingly the corn crops of that year rank very</w:t></w:r>
</w:p>
<w:p>
<w:pPr><w:pStyle w:val="Normal"/></w:pPr>
<w:r><w:t xml:space="preserve">well amongst the crops of the decade, but the yield of turnips</w:t></w:r>
</w:p>
<w:p>
<w:pPr><w:pStyle w:val="Normal"/></w:pPr>
<w:r><w:t xml:space="preserve">and swedes was the worst on record.  It is quite possible</w:t></w:r>
</w:p>
<w:p>
<w:pPr><w:pStyle w:val="Normal"/></w:pPr>
<w:r><w:t xml:space="preserve">for a hot dry season to be associated with a large yield of</w:t></w:r>
</w:p>
<w:p>
<w:pPr><w:pStyle w:val="Normal"/></w:pPr>
<w:r><w:t xml:space="preserve">corn, provided the drought is confined to a suitable period,</w:t></w:r>
</w:p>
<w:p>
<w:pPr><w:pStyle w:val="Normal"/></w:pPr>
<w:r><w:t xml:space="preserve">as was the case in 1896 and still more so in 1898; the English</w:t></w:r>
</w:p>
<w:p>
<w:pPr><w:pStyle w:val="Normal"/></w:pPr>
<w:r><w:t xml:space="preserve">wheat crops in those years were probably the biggest in yield</w:t></w:r>
</w:p>
<w:p>
<w:pPr><w:pStyle w:val="Normal"/></w:pPr>
<w:r><w:t xml:space="preserve">per acre that had been harvested since 1868, which is always</w:t></w:r>
</w:p>
<w:p>
<w:pPr><w:pStyle w:val="Normal"/></w:pPr>
<w:r><w:t xml:space="preserve">looked back upon as a remarkable year for wheat.  The drought</w:t></w:r>
</w:p>
<w:p>
<w:pPr><w:pStyle w:val="Normal"/></w:pPr>
<w:r><w:t xml:space="preserve">of 1898 was interrupted by copious rains in June, and these</w:t></w:r>
</w:p>
<w:p>
<w:pPr><w:pStyle w:val="Normal"/></w:pPr>
<w:r><w:t xml:space="preserve">falling on a warm soil led to a rapid growth of grass and, as</w:t></w:r>
</w:p>
<w:p>
<w:pPr><w:pStyle w:val="Normal"/></w:pPr>
<w:r><w:t xml:space="preserve">measured by yield per acre, an exceedingly heavy crop of hay.</w:t></w:r>
</w:p>
<w:p>
<w:pPr><w:pStyle w:val="Normal"/></w:pPr>
<w:r><w:t xml:space="preserve">With the exceptions of 1891 and 1894, every year in the period</w:t></w:r>
</w:p>
<w:p>
<w:pPr><w:pStyle w:val="Normal"/></w:pPr>
<w:r><w:t xml:space="preserve">1891-1900 was stricken by drought.  The two meteorological</w:t></w:r>
</w:p>
<w:p>
<w:pPr><w:pStyle w:val="Normal"/></w:pPr>
<w:r><w:t xml:space="preserve">events of the decade which will probably live longest in the</w:t></w:r>
</w:p>
<w:p>
<w:pPr><w:pStyle w:val="Normal"/></w:pPr>
<w:r><w:t xml:space="preserve">recollection were, however, the terrible drought of 1893,</w:t></w:r>
</w:p>
<w:p>
<w:pPr><w:pStyle w:val="Normal"/></w:pPr>
<w:r><w:t xml:space="preserve">resulting in a fodder famine in the succeeding winter, and</w:t></w:r>
</w:p>
<w:p>
<w:pPr><w:pStyle w:val="Normal"/></w:pPr>
<w:r><w:t xml:space="preserve">the severe frost of ten weeks&apos; duration at the beginning of</w:t></w:r>
</w:p>
<w:p>
<w:pPr><w:pStyle w:val="Normal"/></w:pPr>
<w:r><w:t xml:space="preserve">1895.  Between these two occurrences came the disastrous</w:t></w:r>
</w:p>
<w:p>
<w:pPr><w:pStyle w:val="Normal"/></w:pPr>
<w:r><w:t xml:space="preserve">decline in the value of grain in the autumn of 1894, when</w:t></w:r>
</w:p>
<w:p>
<w:pPr><w:pStyle w:val="Normal"/></w:pPr>
<w:r><w:t xml:space="preserve">the weekly average price of English wheat fell to the record</w:t></w:r>
</w:p>
<w:p>
<w:pPr><w:pStyle w:val="Normal"/></w:pPr>
<w:r><w:t xml:space="preserve">minimum of 17s. 6d. per imperial quarter.  As a consequence,</w:t></w:r>
</w:p>
<w:p>
<w:pPr><w:pStyle w:val="Normal"/></w:pPr>
<w:r><w:t xml:space="preserve">the extent of land devoted to wheat in the British Isles</w:t></w:r>
</w:p>
<w:p>
<w:pPr><w:pStyle w:val="Normal"/></w:pPr>
<w:r><w:t xml:space="preserve">receded in 1895 to less than 1 1/2 million acres.  The year</w:t></w:r>
</w:p>
<w:p>
<w:pPr><w:pStyle w:val="Normal"/></w:pPr>
<w:r><w:t xml:space="preserve">1903 was memorable for a very heavy rainfall, comparable</w:t></w:r>
</w:p>
<w:p>
<w:pPr><w:pStyle w:val="Normal"/></w:pPr>
<w:r><w:t xml:space="preserve">though not equal in its disastrous effects to that of 1879.</w:t></w:r>
</w:p>
<w:p>
<w:pPr><w:pStyle w:val="Normal"/></w:pPr>
<w:r><w:t xml:space="preserve">Successful trials of sulphate of copper solution as a means</w:t></w:r>
</w:p>
<w:p>
<w:pPr><w:pStyle w:val="Normal"/></w:pPr>
<w:r><w:t xml:space="preserve">of destroying charlock in corn crops took place in the years</w:t></w:r>
</w:p>
<w:p>
<w:pPr><w:pStyle w:val="Normal"/></w:pPr>
<w:r><w:t xml:space="preserve">1898-1900.  Charlock is a most persistent cruciferous weed,</w:t></w:r>
</w:p>
<w:p>
<w:pPr><w:pStyle w:val="Normal"/></w:pPr>
<w:r><w:t xml:space="preserve">but if sprayed when young with the solution named it is</w:t></w:r>
</w:p>
<w:p>
<w:pPr><w:pStyle w:val="Normal"/></w:pPr>
<w:r><w:t xml:space="preserve">killed, the corn plants being uninjured.  In 1901 the formation</w:t></w:r>
</w:p>
<w:p>
<w:pPr><w:pStyle w:val="Normal"/></w:pPr>
<w:r><w:t xml:space="preserve">of the Agricultural Organization Society marked the first</w:t></w:r>
</w:p>
<w:p>
<w:pPr><w:pStyle w:val="Normal"/></w:pPr>
<w:r><w:t xml:space="preserve">systematic attempt to organize co-operation among the farmers</w:t></w:r>
</w:p>
<w:p>
<w:pPr><w:pStyle w:val="Normal"/></w:pPr>
<w:r><w:t xml:space="preserve">of Great Britain.  In the subsequent years the principle,</w:t></w:r>
</w:p>
<w:p>
<w:pPr><w:pStyle w:val="Normal"/></w:pPr>
<w:r><w:t xml:space="preserve">which had already made great progress in Ireland, began to</w:t></w:r>
</w:p>
<w:p>
<w:pPr><w:pStyle w:val="Normal"/></w:pPr>
<w:r><w:t xml:space="preserve">obtain a hold in England and Wales, where, in 1906, there</w:t></w:r>
</w:p>
<w:p>
<w:pPr><w:pStyle w:val="Normal"/></w:pPr>
<w:r><w:t xml:space="preserve">were 145 local co-operative societies with a turn-over of</w:t></w:r>
</w:p>
<w:p>
<w:pPr><w:pStyle w:val="Normal"/></w:pPr>
<w:r><w:t xml:space="preserve">Amongst legislative measures of importance to agriculturists</w:t></w:r>
</w:p>
<w:p>
<w:pPr><w:pStyle w:val="Normal"/></w:pPr>
<w:r><w:t xml:space="preserve">mention should be made, in addition to those that have been</w:t></w:r>
</w:p>
<w:p>
<w:pPr><w:pStyle w:val="Normal"/></w:pPr>
<w:r><w:t xml:space="preserve">referred to, of the Tithe Rent-charge Recovery Act 1891,</w:t></w:r>
</w:p>
<w:p>
<w:pPr><w:pStyle w:val="Normal"/></w:pPr>
<w:r><w:t xml:space="preserve">which transfers the liability for payment of tithe from</w:t></w:r>
</w:p>
<w:p>
<w:pPr><w:pStyle w:val="Normal"/></w:pPr>
<w:r><w:t xml:space="preserve">the occupier to the owner.  In the same year was passed the</w:t></w:r>
</w:p>
<w:p>
<w:pPr><w:pStyle w:val="Normal"/></w:pPr>
<w:r><w:t xml:space="preserve">Markets and Fairs (Weighing of Cattle) Act. The object of</w:t></w:r>
</w:p>
<w:p>
<w:pPr><w:pStyle w:val="Normal"/></w:pPr>
<w:r><w:t xml:space="preserve">the Small Holdings Act 1892 was to facilitate the acquisition</w:t></w:r>
</w:p>
<w:p>
<w:pPr><w:pStyle w:val="Normal"/></w:pPr>
<w:r><w:t xml:space="preserve">of small agricultural holdings.  It provided that a county</w:t></w:r>
</w:p>
<w:p>
<w:pPr><w:pStyle w:val="Normal"/></w:pPr>
<w:r><w:t xml:space="preserve">council might acquire any suitable land, with the object of</w:t></w:r>
</w:p>
<w:p>
<w:pPr><w:pStyle w:val="Normal"/></w:pPr>
<w:r><w:t xml:space="preserve">allotting from one to fifty acres, or, if more than fifty</w:t></w:r>
</w:p>
<w:p>
<w:pPr><w:pStyle w:val="Normal"/></w:pPr>
<w:r><w:t xml:space="preserve">acres, of an annual value not exceeding L. 50, to persons who</w:t></w:r>
</w:p>
<w:p>
<w:pPr><w:pStyle w:val="Normal"/></w:pPr>
<w:r><w:t xml:space="preserve">desired to buy, and would themselves cultivate, the holdings.</w:t></w:r>
</w:p>
<w:p>
<w:pPr><w:pStyle w:val="Normal"/></w:pPr>
<w:r><w:t xml:space="preserve">If, owing to proximity to a town or otherwise, the prospective</w:t></w:r>
</w:p>
<w:p>
<w:pPr><w:pStyle w:val="Normal"/></w:pPr>
<w:r><w:t xml:space="preserve">value were too high, the council might hire such land for the</w:t></w:r>
</w:p>
<w:p>
<w:pPr><w:pStyle w:val="Normal"/></w:pPr>
<w:r><w:t xml:space="preserve">purpose of letting it. (See ALLOTMENTS AND SMALL HOLDINGS</w:t></w:r>
</w:p>
<w:p>
<w:pPr><w:pStyle w:val="Normal"/></w:pPr>
<w:r><w:t xml:space="preserve">for this and other acts.) The Fertilizers and Feeding Stuffs</w:t></w:r>
</w:p>
<w:p>
<w:pPr><w:pStyle w:val="Normal"/></w:pPr>
<w:r><w:t xml:space="preserve">Act 1893 compelled sellers of fertilizers (i.e. manures),</w:t></w:r>
</w:p>
<w:p>
<w:pPr><w:pStyle w:val="Normal"/></w:pPr>
<w:r><w:t xml:space="preserve">manufactured or imported, to state the percentage of the</w:t></w:r>
</w:p>
<w:p>
<w:pPr><w:pStyle w:val="Normal"/></w:pPr>
<w:r><w:t xml:space="preserve">nitrogen, of the soluble and insoluble phosphates, and of</w:t></w:r>
</w:p>
<w:p>
<w:pPr><w:pStyle w:val="Normal"/></w:pPr>
<w:r><w:t xml:space="preserve">the potash in each article sold, and this statement was to</w:t></w:r>
</w:p>
<w:p>
<w:pPr><w:pStyle w:val="Normal"/></w:pPr>
<w:r><w:t xml:space="preserve">have the effect of a warranty.  Similar stringent conditions</w:t></w:r>
</w:p>
<w:p>
<w:pPr><w:pStyle w:val="Normal"/></w:pPr>
<w:r><w:t xml:space="preserve">applied as regards the sale of feeding-stuffs for live</w:t></w:r>
</w:p>
<w:p>
<w:pPr><w:pStyle w:val="Normal"/></w:pPr>
<w:r><w:t xml:space="preserve">stock.  The Fertilizers and Feeding Stuffs Act 1906, amending</w:t></w:r>
</w:p>
<w:p>
<w:pPr><w:pStyle w:val="Normal"/></w:pPr>
<w:r><w:t xml:space="preserve">and re-enacting the act of 1893, provided for the compulsory</w:t></w:r>
</w:p>
<w:p>
<w:pPr><w:pStyle w:val="Normal"/></w:pPr>
<w:r><w:t xml:space="preserve">appointment by county councils of official samplers.  It</w:t></w:r>
</w:p>
<w:p>
<w:pPr><w:pStyle w:val="Normal"/></w:pPr>
<w:r><w:t xml:space="preserve">also provides penalties for breaches of duty by the seller,</w:t></w:r>
</w:p>
<w:p>
<w:pPr><w:pStyle w:val="Normal"/></w:pPr>
<w:r><w:t xml:space="preserve">but grants him protection in cases where he is not morally</w:t></w:r>
</w:p>
<w:p>
<w:pPr><w:pStyle w:val="Normal"/></w:pPr>
<w:r><w:t xml:space="preserve">responsible.  The Finance Act of 1894, with its great changes</w:t></w:r>
</w:p>
<w:p>
<w:pPr><w:pStyle w:val="Normal"/></w:pPr>
<w:r><w:t xml:space="preserve">in the death duties, overshadowed all other acts of that</w:t></w:r>
</w:p>
<w:p>
<w:pPr><w:pStyle w:val="Normal"/></w:pPr>
<w:r><w:t xml:space="preserve">year both in its immediate effects and in its far-reaching</w:t></w:r>
</w:p>
<w:p>
<w:pPr><w:pStyle w:val="Normal"/></w:pPr>
<w:r><w:t xml:space="preserve">consequences.  The Copyhold Consolidation Act 1894 supersedes</w:t></w:r>
</w:p>
<w:p>
<w:pPr><w:pStyle w:val="Normal"/></w:pPr>
<w:r><w:t xml:space="preserve">six previous copyhold statutes, but does not effect any</w:t></w:r>
</w:p>
<w:p>
<w:pPr><w:pStyle w:val="Normal"/></w:pPr>
<w:r><w:t xml:space="preserve">alteration in the law concerning enfranchisement.  The</w:t></w:r>
</w:p>
<w:p>
<w:pPr><w:pStyle w:val="Normal"/></w:pPr>
<w:r><w:t xml:space="preserve">Diseases of Animals Act 1896 provided for the compulsory</w:t></w:r>
</w:p>
<w:p>
<w:pPr><w:pStyle w:val="Normal"/></w:pPr>
<w:r><w:t xml:space="preserve">slaughter of imported live stock at the place of landing.</w:t></w:r>
</w:p>
<w:p>
<w:pPr><w:pStyle w:val="Normal"/></w:pPr>
<w:r><w:t xml:space="preserve">The Light Railways Act and the Locomotives on Highways Act</w:t></w:r>
</w:p>
<w:p>
<w:pPr><w:pStyle w:val="Normal"/></w:pPr>
<w:r><w:t xml:space="preserve">were added to the statute book in 1896, and various clauses</w:t></w:r>
</w:p>
<w:p>
<w:pPr><w:pStyle w:val="Normal"/></w:pPr>
<w:r><w:t xml:space="preserve">in the Finance Act effected reforms in respect of the death</w:t></w:r>
</w:p>
<w:p>
<w:pPr><w:pStyle w:val="Normal"/></w:pPr>
<w:r><w:t xml:space="preserve">duties, the land-tax, farmers&apos; income-tax and the beer</w:t></w:r>
</w:p>
<w:p>
<w:pPr><w:pStyle w:val="Normal"/></w:pPr>
<w:r><w:t xml:space="preserve">duty.  The Chaff-cutting Machines (Accidents) Act 1897 is</w:t></w:r>
</w:p>
<w:p>
<w:pPr><w:pStyle w:val="Normal"/></w:pPr>
<w:r><w:t xml:space="preserve">a measure very similar in its intention to the Threshing</w:t></w:r>
</w:p>
<w:p>
<w:pPr><w:pStyle w:val="Normal"/></w:pPr>
<w:r><w:t xml:space="preserve">Machines Act 1878, and provides for the automatic prevention</w:t></w:r>
</w:p>
<w:p>
<w:pPr><w:pStyle w:val="Normal"/></w:pPr>
<w:r><w:t xml:space="preserve">of accidents to persons in charge of chaff-cutting machines.</w:t></w:r>
</w:p>
<w:p>
<w:pPr><w:pStyle w:val="Normal"/></w:pPr>
<w:r><w:t xml:space="preserve">The Sale of Food and Drugs Act 1899 has special reference</w:t></w:r>
</w:p>
<w:p>
<w:pPr><w:pStyle w:val="Normal"/></w:pPr>
<w:r><w:t xml:space="preserve">in its earlier sections to the trade in dairy produce and</w:t></w:r>
</w:p>
<w:p>
<w:pPr><w:pStyle w:val="Normal"/></w:pPr>
<w:r><w:t xml:space="preserve">margarine.  In 1899 was also passed the act establishing the</w:t></w:r>
</w:p>
<w:p>
<w:pPr><w:pStyle w:val="Normal"/></w:pPr>
<w:r><w:t xml:space="preserve">Department of Agriculture and Technical Instruction in Ireland.</w:t></w:r>
</w:p>
<w:p>
<w:pPr><w:pStyle w:val="Normal"/></w:pPr>
<w:r><w:t xml:space="preserve">The year 1900 saw the passing of a Workmen&apos;s Compensation Act, which</w:t></w:r>
</w:p>
<w:p>
<w:pPr><w:pStyle w:val="Normal"/></w:pPr>
<w:r><w:t xml:space="preserve">extended the benefits of the act of 1807 to agricultural labourers.</w:t></w:r>
</w:p>
<w:p>
<w:pPr><w:pStyle w:val="Normal"/></w:pPr>
<w:r><w:t xml:space="preserve">Acreage and Yields of British Crops.</w:t></w:r>
</w:p>
<w:p>
<w:pPr><w:pStyle w:val="Normal"/></w:pPr>
<w:r><w:t xml:space="preserve">The most notable feature in connexion with the cropping of</w:t></w:r>
</w:p>
<w:p>
<w:pPr><w:pStyle w:val="Normal"/></w:pPr>
<w:r><w:t xml:space="preserve">the land of the United Kingdom between 1875 and 1905 was</w:t></w:r>
</w:p>
<w:p>
<w:pPr><w:pStyle w:val="Normal"/></w:pPr>
<w:r><w:t xml:space="preserve">the lessened cultivation of the cereal crops associated with</w:t></w:r>
</w:p>
<w:p>
<w:pPr><w:pStyle w:val="Normal"/></w:pPr>
<w:r><w:t xml:space="preserve">an expansion in the area of grass land.  At the beginning</w:t></w:r>
</w:p>
<w:p>
<w:pPr><w:pStyle w:val="Normal"/></w:pPr>
<w:r><w:t xml:space="preserve">of the period the aggregate area under wheat, barley and</w:t></w:r>
</w:p>
<w:p>
<w:pPr><w:pStyle w:val="Normal"/></w:pPr>
<w:r><w:t xml:space="preserve">oats was nearly 10 1/2 million acres; at the close it did</w:t></w:r>
</w:p>
<w:p>
<w:pPr><w:pStyle w:val="Normal"/></w:pPr>
<w:r><w:t xml:space="preserve">not amount to 8 million acres.  There was thus a withdrawal</w:t></w:r>
</w:p>
<w:p>
<w:pPr><w:pStyle w:val="Normal"/></w:pPr>
<w:r><w:t xml:space="preserve">during the period of over 2 1/2 million acres from cereal</w:t></w:r>
</w:p>
<w:p>
<w:pPr><w:pStyle w:val="Normal"/></w:pPr>
<w:r><w:t xml:space="preserve">cultivation.  From Table I., showing the acreages at intervals</w:t></w:r>
</w:p>
<w:p>
<w:pPr><w:pStyle w:val="Normal"/></w:pPr>
<w:r><w:t xml:space="preserve">of five years, it will be learnt that the loss fell chiefly</w:t></w:r>
</w:p>
<w:p>
<w:pPr><w:pStyle w:val="Normal"/></w:pPr>
<w:r><w:t xml:space="preserve">upon the wheat crop, which at the close of the period</w:t></w:r>
</w:p>
<w:p>
<w:pPr><w:pStyle w:val="Normal"/></w:pPr>
<w:r><w:t xml:space="preserve">TABLE 1.--Areas of Cereal Crops in the United Kingdom</w:t></w:r>
</w:p>
<w:p>
<w:pPr><w:pStyle w:val="Normal"/></w:pPr>
<w:r><w:t xml:space="preserve">-- Acres</w:t></w:r>
</w:p>
<w:p>
<w:pPr><w:pStyle w:val="Normal"/></w:pPr>
<w:r><w:t xml:space="preserve">YEAR.  WHEAT.      BARLEY.     OATS.       TOTAL.</w:t></w:r>
</w:p>
<w:p>
<w:pPr><w:pStyle w:val="Normal"/></w:pPr>
<w:r><w:t xml:space="preserve">1875   3,514,088   2,751,362   4,176,177   10,441,627</w:t></w:r>
</w:p>
<w:p>
<w:pPr><w:pStyle w:val="Normal"/></w:pPr>
<w:r><w:t xml:space="preserve">1880   3,065,895   2,695,000   4,191,716    9,952,611</w:t></w:r>
</w:p>
<w:p>
<w:pPr><w:pStyle w:val="Normal"/></w:pPr>
<w:r><w:t xml:space="preserve">1885   2,553,092   2,447,169   4,282,594    9,282,855</w:t></w:r>
</w:p>
<w:p>
<w:pPr><w:pStyle w:val="Normal"/></w:pPr>
<w:r><w:t xml:space="preserve">1890   2,483,595   2,300,994   4,137,790    8,922,379</w:t></w:r>
</w:p>
<w:p>
<w:pPr><w:pStyle w:val="Normal"/></w:pPr>
<w:r><w:t xml:space="preserve">1895   1,456,042   2,346,367   4,527,899    8,330,308</w:t></w:r>
</w:p>
<w:p>
<w:pPr><w:pStyle w:val="Normal"/></w:pPr>
<w:r><w:t xml:space="preserve">1900   1,901,014   2,172,140   4,145,633    8,218,787</w:t></w:r>
</w:p>
<w:p>
<w:pPr><w:pStyle w:val="Normal"/></w:pPr>
<w:r><w:t xml:space="preserve">1905   1,836,598   1,872,305   4,137,406    7,846,309</w:t></w:r>
</w:p>
<w:p>
<w:pPr><w:pStyle w:val="Normal"/></w:pPr>
<w:r><w:t xml:space="preserve">occupied barely more than half the area assigned to it at the</w:t></w:r>
</w:p>
<w:p>
<w:pPr><w:pStyle w:val="Normal"/></w:pPr>
<w:r><w:t xml:space="preserve">beginning.  If the land taken from wheat had been cropped with</w:t></w:r>
</w:p>
<w:p>
<w:pPr><w:pStyle w:val="Normal"/></w:pPr>
<w:r><w:t xml:space="preserve">one or both of the other cereals, the aggregate area would</w:t></w:r>
</w:p>
<w:p>
<w:pPr><w:pStyle w:val="Normal"/></w:pPr>
<w:r><w:t xml:space="preserve">have remained about the same.  This, however, was not the</w:t></w:r>
</w:p>
<w:p>
<w:pPr><w:pStyle w:val="Normal"/></w:pPr>
<w:r><w:t xml:space="preserve">case, for a fairly uniform decrease in the barley area was</w:t></w:r>
</w:p>
<w:p>
<w:pPr><w:pStyle w:val="Normal"/></w:pPr>
<w:r><w:t xml:space="preserve">accompanied by somewhat irregular fluctuations in the acreage of</w:t></w:r>
</w:p>
<w:p>
<w:pPr><w:pStyle w:val="Normal"/></w:pPr>
<w:r><w:t xml:space="preserve">oats.  To the decline in prices of home-grown cereals the</w:t></w:r>
</w:p>
<w:p>
<w:pPr><w:pStyle w:val="Normal"/></w:pPr>
<w:r><w:t xml:space="preserve">decrease in area is largely attributable.  The extent of this</w:t></w:r>
</w:p>
<w:p>
<w:pPr><w:pStyle w:val="Normal"/></w:pPr>
<w:r><w:t xml:space="preserve">decline is seen in Table II., wherein are given the annual</w:t></w:r>
</w:p>
<w:p>
<w:pPr><w:pStyle w:val="Normal"/></w:pPr>
<w:r><w:t xml:space="preserve">average prices from 1875 to 1905, calculated upon returns from</w:t></w:r>
</w:p>
<w:p>
<w:pPr><w:pStyle w:val="Normal"/></w:pPr>
<w:r><w:t xml:space="preserve">the 190 statutory markets of England and Wales (Corn Returns Act</w:t></w:r>
</w:p>
<w:p>
<w:pPr><w:pStyle w:val="Normal"/></w:pPr>
<w:r><w:t xml:space="preserve">1882).  These prices are per imperial quarter,---that is, 480</w:t></w:r>
</w:p>
<w:p>
<w:pPr><w:pStyle w:val="Normal"/></w:pPr>
<w:r><w:t xml:space="preserve">lb. of wheat, 400 lb. of barley and 312 lb. of oats, representing</w:t></w:r>
</w:p>
<w:p>
<w:pPr><w:pStyle w:val="Normal"/></w:pPr>
<w:r><w:t xml:space="preserve">60 lb, 50 lb. and 39 lb. per bushel respectively.  After 1883</w:t></w:r>
</w:p>
<w:p>
<w:pPr><w:pStyle w:val="Normal"/></w:pPr>
<w:r><w:t xml:space="preserve">the annual average price of English wheat was never so high as</w:t></w:r>
</w:p>
<w:p>
<w:pPr><w:pStyle w:val="Normal"/></w:pPr>
<w:r><w:t xml:space="preserve">40s. per quarter, and only twice after 1892 did it exceed 30s.</w:t></w:r>
</w:p>
<w:p>
<w:pPr><w:pStyle w:val="Normal"/></w:pPr>
<w:r><w:t xml:space="preserve">In one of these exceptional years, 1898, the average rose to</w:t></w:r>
</w:p>
<w:p>
<w:pPr><w:pStyle w:val="Normal"/></w:pPr>
<w:r><w:t xml:space="preserve">34s., but this was due entirely to a couple of months of inflated</w:t></w:r>
</w:p>
<w:p>
<w:pPr><w:pStyle w:val="Normal"/></w:pPr>
<w:r><w:t xml:space="preserve">prices in the early half of the year, when the outbreak of</w:t></w:r>
</w:p>
<w:p>
<w:pPr><w:pStyle w:val="Normal"/></w:pPr>
<w:r><w:t xml:space="preserve">war between Spain and the United States of America coincided</w:t></w:r>
</w:p>
<w:p>
<w:pPr><w:pStyle w:val="Normal"/></w:pPr>
<w:r><w:t xml:space="preserve">with a huge speculative deal in the latter country.  The</w:t></w:r>
</w:p>
<w:p>
<w:pPr><w:pStyle w:val="Normal"/></w:pPr>
<w:r><w:t xml:space="preserve">TABLE II.--Gazette Annual Average Prices per Imperial Quarter</w:t></w:r>
</w:p>
<w:p>
<w:pPr><w:pStyle w:val="Normal"/></w:pPr>
<w:r><w:t xml:space="preserve">of British Cereals in England and Wales, 1875-1905.</w:t></w:r>
</w:p>
<w:p>
<w:pPr><w:pStyle w:val="Normal"/></w:pPr>
<w:r><w:t xml:space="preserve">Year.  Wheat.   Barley.  Oats.</w:t></w:r>
</w:p>
<w:p>
<w:pPr><w:pStyle w:val="Normal"/></w:pPr>
<w:r><w:t xml:space="preserve">s.  d.   s.  d.   s.  d.</w:t></w:r>
</w:p>
<w:p>
<w:pPr><w:pStyle w:val="Normal"/></w:pPr>
<w:r><w:t xml:space="preserve">1875   45   2   38   5   28   8</w:t></w:r>
</w:p>
<w:p>
<w:pPr><w:pStyle w:val="Normal"/></w:pPr>
<w:r><w:t xml:space="preserve">1876   46   2   35   2   26   3</w:t></w:r>
</w:p>
<w:p>
<w:pPr><w:pStyle w:val="Normal"/></w:pPr>
<w:r><w:t xml:space="preserve">1877   56   9   39   8   25  []</w:t></w:r>
</w:p>
<w:p>
<w:pPr><w:pStyle w:val="Normal"/></w:pPr>
<w:r><w:t xml:space="preserve">1878   46   5   40   2   24   4</w:t></w:r>
</w:p>
<w:p>
<w:pPr><w:pStyle w:val="Normal"/></w:pPr>
<w:r><w:t xml:space="preserve">1879   43  10   34   0   21   9</w:t></w:r>
</w:p>
<w:p>
<w:pPr><w:pStyle w:val="Normal"/></w:pPr>
<w:r><w:t xml:space="preserve">1880   44   4   33   1   23   1</w:t></w:r>
</w:p>
<w:p>
<w:pPr><w:pStyle w:val="Normal"/></w:pPr>
<w:r><w:t xml:space="preserve">1881   45   4   31  11   21   9</w:t></w:r>
</w:p>
<w:p>
<w:pPr><w:pStyle w:val="Normal"/></w:pPr>
<w:r><w:t xml:space="preserve">1882   45   1   31   2   21  10</w:t></w:r>
</w:p>
<w:p>
<w:pPr><w:pStyle w:val="Normal"/></w:pPr>
<w:r><w:t xml:space="preserve">1883   41   7   31  10   21   5</w:t></w:r>
</w:p>
<w:p>
<w:pPr><w:pStyle w:val="Normal"/></w:pPr>
<w:r><w:t xml:space="preserve">1884   35   8   30   8   20   3</w:t></w:r>
</w:p>
<w:p>
<w:pPr><w:pStyle w:val="Normal"/></w:pPr>
<w:r><w:t xml:space="preserve">1885   32  10   30   1   20   7</w:t></w:r>
</w:p>
<w:p>
<w:pPr><w:pStyle w:val="Normal"/></w:pPr>
<w:r><w:t xml:space="preserve">1886   31   0   26   7   19   0</w:t></w:r>
</w:p>
<w:p>
<w:pPr><w:pStyle w:val="Normal"/></w:pPr>
<w:r><w:t xml:space="preserve">1887   32   6   25   4   16   3</w:t></w:r>
</w:p>
<w:p>
<w:pPr><w:pStyle w:val="Normal"/></w:pPr>
<w:r><w:t xml:space="preserve">1888   31  10   27  10   16   9</w:t></w:r>
</w:p>
<w:p>
<w:pPr><w:pStyle w:val="Normal"/></w:pPr>
<w:r><w:t xml:space="preserve">1889   29   9   25  10   17   9</w:t></w:r>
</w:p>
<w:p>
<w:pPr><w:pStyle w:val="Normal"/></w:pPr>
<w:r><w:t xml:space="preserve">1890   31  11   28   8   18   7</w:t></w:r>
</w:p>
<w:p>
<w:pPr><w:pStyle w:val="Normal"/></w:pPr>
<w:r><w:t xml:space="preserve">1891   37   0   28   2   20   0</w:t></w:r>
</w:p>
<w:p>
<w:pPr><w:pStyle w:val="Normal"/></w:pPr>
<w:r><w:t xml:space="preserve">1892   30   3   26   2   19  10</w:t></w:r>
</w:p>
<w:p>
<w:pPr><w:pStyle w:val="Normal"/></w:pPr>
<w:r><w:t xml:space="preserve">1893   26   4   25   7   18   9</w:t></w:r>
</w:p>
<w:p>
<w:pPr><w:pStyle w:val="Normal"/></w:pPr>
<w:r><w:t xml:space="preserve">1894   22  10   24   6   17   1</w:t></w:r>
</w:p>
<w:p>
<w:pPr><w:pStyle w:val="Normal"/></w:pPr>
<w:r><w:t xml:space="preserve">1895   23   1   21  11   14   6</w:t></w:r>
</w:p>
<w:p>
<w:pPr><w:pStyle w:val="Normal"/></w:pPr>
<w:r><w:t xml:space="preserve">1896   26   2   22  11   14   9</w:t></w:r>
</w:p>
<w:p>
<w:pPr><w:pStyle w:val="Normal"/></w:pPr>
<w:r><w:t xml:space="preserve">1897   30   2   23   6   16  11</w:t></w:r>
</w:p>
<w:p>
<w:pPr><w:pStyle w:val="Normal"/></w:pPr>
<w:r><w:t xml:space="preserve">1898   34   0   27   2   18   5</w:t></w:r>
</w:p>
<w:p>
<w:pPr><w:pStyle w:val="Normal"/></w:pPr>
<w:r><w:t xml:space="preserve">1899   25   8   25   7   17   0</w:t></w:r>
</w:p>
<w:p>
<w:pPr><w:pStyle w:val="Normal"/></w:pPr>
<w:r><w:t xml:space="preserve">1900   26  11   24  11   17   7</w:t></w:r>
</w:p>
<w:p>
<w:pPr><w:pStyle w:val="Normal"/></w:pPr>
<w:r><w:t xml:space="preserve">1901   26   9   25   2   18   5</w:t></w:r>
</w:p>
<w:p>
<w:pPr><w:pStyle w:val="Normal"/></w:pPr>
<w:r><w:t xml:space="preserve">1902   28   1   25   8   20   2</w:t></w:r>
</w:p>
<w:p>
<w:pPr><w:pStyle w:val="Normal"/></w:pPr>
<w:r><w:t xml:space="preserve">1903   26   9   22   8   17   2</w:t></w:r>
</w:p>
<w:p>
<w:pPr><w:pStyle w:val="Normal"/></w:pPr>
<w:r><w:t xml:space="preserve">1904   28   4   22   4   16   4</w:t></w:r>
</w:p>
<w:p>
<w:pPr><w:pStyle w:val="Normal"/></w:pPr>
<w:r><w:t xml:space="preserve">1905   29   8   24   4   17   4</w:t></w:r>
</w:p>
<w:p>
<w:pPr><w:pStyle w:val="Normal"/></w:pPr>
<w:r><w:t xml:space="preserve">weekly average prices of English wheat in 1898 fluctuated</w:t></w:r>
</w:p>
<w:p>
<w:pPr><w:pStyle w:val="Normal"/></w:pPr>
<w:r><w:t xml:space="preserve">between 48s. 1d. and 25s. 5d. per quarter, the former being</w:t></w:r>
</w:p>
<w:p>
<w:pPr><w:pStyle w:val="Normal"/></w:pPr>
<w:r><w:t xml:space="preserve">the highest weekly average since 1882.  The minimum annual</w:t></w:r>
</w:p>
<w:p>
<w:pPr><w:pStyle w:val="Normal"/></w:pPr>
<w:r><w:t xml:space="preserve">average was 22s. 10d. in 1894, in the autumn of which year</w:t></w:r>
</w:p>
<w:p>
<w:pPr><w:pStyle w:val="Normal"/></w:pPr>
<w:r><w:t xml:space="preserve">the weekly average sank to 17s. 6d. per quarter, the lowest on</w:t></w:r>
</w:p>
<w:p>
<w:pPr><w:pStyle w:val="Normal"/></w:pPr>
<w:r><w:t xml:space="preserve">record.  Wheat was so great a glut in the market that various</w:t></w:r>
</w:p>
<w:p>
<w:pPr><w:pStyle w:val="Normal"/></w:pPr>
<w:r><w:t xml:space="preserve">methods were devised for feeding it to stock, a purpose</w:t></w:r>
</w:p>
<w:p>
<w:pPr><w:pStyle w:val="Normal"/></w:pPr>
<w:r><w:t xml:space="preserve">for which it is not specially suited; in thus utilizing the</w:t></w:r>
</w:p>
<w:p>
<w:pPr><w:pStyle w:val="Normal"/></w:pPr>
<w:r><w:t xml:space="preserve">grain, however, a smaller loss was often incurred than in</w:t></w:r>
</w:p>
<w:p>
<w:pPr><w:pStyle w:val="Normal"/></w:pPr>
<w:r><w:t xml:space="preserve">sending it to market.  In 1894 the monthly average price for</w:t></w:r>
</w:p>
<w:p>
<w:pPr><w:pStyle w:val="Normal"/></w:pPr>
<w:r><w:t xml:space="preserve">October, the chief month for wheat-sowing in England, was</w:t></w:r>
</w:p>
<w:p>
<w:pPr><w:pStyle w:val="Normal"/></w:pPr>
<w:r><w:t xml:space="preserve">only 17s. 8d. per quarter, and farmers naturally shrank from</w:t></w:r>
</w:p>
<w:p>
<w:pPr><w:pStyle w:val="Normal"/></w:pPr>
<w:r><w:t xml:space="preserve">seeding the land freely with a crop which could not be grown</w:t></w:r>
</w:p>
<w:p>
<w:pPr><w:pStyle w:val="Normal"/></w:pPr>
<w:r><w:t xml:space="preserve">except at a heavy loss.  The result was that in the following</w:t></w:r>
</w:p>
<w:p>
<w:pPr><w:pStyle w:val="Normal"/></w:pPr>
<w:r><w:t xml:space="preserve">year the wheat crop of the United Kingdom was harvested</w:t></w:r>
</w:p>
<w:p>
<w:pPr><w:pStyle w:val="Normal"/></w:pPr>
<w:r><w:t xml:space="preserve">upon the smallest area on record--less than 1 1/2 million</w:t></w:r>
</w:p>
<w:p>
<w:pPr><w:pStyle w:val="Normal"/></w:pPr>
<w:r><w:t xml:space="preserve">acres.  In only one year, 1878, did the annual average price</w:t></w:r>
</w:p>
<w:p>
<w:pPr><w:pStyle w:val="Normal"/></w:pPr>
<w:r><w:t xml:space="preserve">of English barley touch 40s. per quarter; it never reached</w:t></w:r>
</w:p>
<w:p>
<w:pPr><w:pStyle w:val="Normal"/></w:pPr>
<w:r><w:t xml:space="preserve">30s. after 1885, whilst in 1895 it fell to so low a level</w:t></w:r>
</w:p>
<w:p>
<w:pPr><w:pStyle w:val="Normal"/></w:pPr>
<w:r><w:t xml:space="preserve">as 21s. 11d. The same story of declining prices applies to</w:t></w:r>
</w:p>
<w:p>
<w:pPr><w:pStyle w:val="Normal"/></w:pPr>
<w:r><w:t xml:space="preserve">oats.  An average of 20s. per quarter was touched in 1891 and</w:t></w:r>
</w:p>
<w:p>
<w:pPr><w:pStyle w:val="Normal"/></w:pPr>
<w:r><w:t xml:space="preserve">1902, but with those exceptions this useful feeding grain</w:t></w:r>
</w:p>
<w:p>
<w:pPr><w:pStyle w:val="Normal"/></w:pPr>
<w:r><w:t xml:space="preserve">did not reach that figure after 1885.  In 1895 the average</w:t></w:r>
</w:p>
<w:p>
<w:pPr><w:pStyle w:val="Normal"/></w:pPr>
<w:r><w:t xml:space="preserve">price of 480 lb. of wheat, at 23s. 1d., was identical with that</w:t></w:r>
</w:p>
<w:p>
<w:pPr><w:pStyle w:val="Normal"/></w:pPr>
<w:r><w:t xml:space="preserve">of 312 lb. of oats in 1880, and it was less in the preceding</w:t></w:r>
</w:p>
<w:p>
<w:pPr><w:pStyle w:val="Normal"/></w:pPr>
<w:r><w:t xml:space="preserve">year.  The declining prices that have operated against the</w:t></w:r>
</w:p>
<w:p>
<w:pPr><w:pStyle w:val="Normal"/></w:pPr>
<w:r><w:t xml:space="preserve">growers of wheat should be studied in conjunction with Table</w:t></w:r>
</w:p>
<w:p>
<w:pPr><w:pStyle w:val="Normal"/></w:pPr>
<w:r><w:t xml:space="preserve">III., which shows, at intervals of five years, the imports of</w:t></w:r>
</w:p>
<w:p>
<w:pPr><w:pStyle w:val="Normal"/></w:pPr>
<w:r><w:t xml:space="preserve">TABLE III.--Imports into the United Kingdom of Wheat Grain,</w:t></w:r>
</w:p>
<w:p>
<w:pPr><w:pStyle w:val="Normal"/></w:pPr>
<w:r><w:t xml:space="preserve">and of Wheat Meal and Flour--Cwt.</w:t></w:r>
</w:p>
<w:p>
<w:pPr><w:pStyle w:val="Normal"/></w:pPr>
<w:r><w:t xml:space="preserve">Year.  Wheat Grain.   Meal and Flour.    Total.</w:t></w:r>
</w:p>
<w:p>
<w:pPr><w:pStyle w:val="Normal"/></w:pPr>
<w:r><w:t xml:space="preserve">1875   51,876,517      6,136,083          58,012,600</w:t></w:r>
</w:p>
<w:p>
<w:pPr><w:pStyle w:val="Normal"/></w:pPr>
<w:r><w:t xml:space="preserve">1880   55,261,924     10,558,312          65,820,236</w:t></w:r>
</w:p>
<w:p>
<w:pPr><w:pStyle w:val="Normal"/></w:pPr>
<w:r><w:t xml:space="preserve">1885   61,498,864     15,832,843          77,331,707</w:t></w:r>
</w:p>
<w:p>
<w:pPr><w:pStyle w:val="Normal"/></w:pPr>
<w:r><w:t xml:space="preserve">1890   60,474,180     15,773,336          76,247,516</w:t></w:r>
</w:p>
<w:p>
<w:pPr><w:pStyle w:val="Normal"/></w:pPr>
<w:r><w:t xml:space="preserve">1895   81,749,955     18,368,410         100,118,365</w:t></w:r>
</w:p>
<w:p>
<w:pPr><w:pStyle w:val="Normal"/></w:pPr>
<w:r><w:t xml:space="preserve">1900   68,669,490     21,548,131          90,217,621</w:t></w:r>
</w:p>
<w:p>
<w:pPr><w:pStyle w:val="Normal"/></w:pPr>
<w:r><w:t xml:space="preserve">1905   97,622,752     11,954,763         109,577,515</w:t></w:r>
</w:p>
<w:p>
<w:pPr><w:pStyle w:val="Normal"/></w:pPr>
<w:r><w:t xml:space="preserve">wheat grain and of wheat meal and flour into the United</w:t></w:r>
</w:p>
<w:p>
<w:pPr><w:pStyle w:val="Normal"/></w:pPr>
<w:r><w:t xml:space="preserve">Kingdom.  The import of the manufactured product from 1875 to</w:t></w:r>
</w:p>
<w:p>
<w:pPr><w:pStyle w:val="Normal"/></w:pPr>
<w:r><w:t xml:space="preserve">1900 increased at a much greater ratio than that of the raw</w:t></w:r>
</w:p>
<w:p>
<w:pPr><w:pStyle w:val="Normal"/></w:pPr>
<w:r><w:t xml:space="preserve">grain, for whilst in 1875 the former represented less than</w:t></w:r>
</w:p>
<w:p>
<w:pPr><w:pStyle w:val="Normal"/></w:pPr>
<w:r><w:t xml:space="preserve">one-ninth of the total, by 1900 the proportion had risen to</w:t></w:r>
</w:p>
<w:p>
<w:pPr><w:pStyle w:val="Normal"/></w:pPr>
<w:r><w:t xml:space="preserve">nearly one-fourth.  The offal, which is quite as valuable as</w:t></w:r>
</w:p>
<w:p>
<w:pPr><w:pStyle w:val="Normal"/></w:pPr>
<w:r><w:t xml:space="preserve">the flour itself, was thus retained abroad instead of being</w:t></w:r>
</w:p>
<w:p>
<w:pPr><w:pStyle w:val="Normal"/></w:pPr>
<w:r><w:t xml:space="preserve">utilized for stock-feeding purposes in the United Kingdom.</w:t></w:r>
</w:p>
<w:p>
<w:pPr><w:pStyle w:val="Normal"/></w:pPr>
<w:r><w:t xml:space="preserve">In the five subsequent years the proportion was fundamentally</w:t></w:r>
</w:p>
<w:p>
<w:pPr><w:pStyle w:val="Normal"/></w:pPr>
<w:r><w:t xml:space="preserve">altered, so that with a greatly increased importation of</w:t></w:r>
</w:p>
<w:p>
<w:pPr><w:pStyle w:val="Normal"/></w:pPr>
<w:r><w:t xml:space="preserve">grain, that of meal and flour was in the proportion of about</w:t></w:r>
</w:p>
<w:p>
<w:pPr><w:pStyle w:val="Normal"/></w:pPr>
<w:r><w:t xml:space="preserve">one-ninth.  The highest and lowest areas of wheat, barley and</w:t></w:r>
</w:p>
<w:p>
<w:pPr><w:pStyle w:val="Normal"/></w:pPr>
<w:r><w:t xml:space="preserve">oats in the United Kingdom during the period 1875-1905 were the</w:t></w:r>
</w:p>
<w:p>
<w:pPr><w:pStyle w:val="Normal"/></w:pPr>
<w:r><w:t xml:space="preserve">Wheat    .   3,514,088 acres in 1875; 1,407,618 acres in 1904.</w:t></w:r>
</w:p>
<w:p>
<w:pPr><w:pStyle w:val="Normal"/></w:pPr>
<w:r><w:t xml:space="preserve">Barley   .   2,931,809 acres in 1879; 1,872,305 acres in 1905.</w:t></w:r>
</w:p>
<w:p>
<w:pPr><w:pStyle w:val="Normal"/></w:pPr>
<w:r><w:t xml:space="preserve">Oats     .   4,527,899 acres in 1895; 3,998,200 acres in 1879.</w:t></w:r>
</w:p>
<w:p>
<w:pPr><w:pStyle w:val="Normal"/></w:pPr>
<w:r><w:t xml:space="preserve">These show differences amounting to 2,106,470 acres for</w:t></w:r>
</w:p>
<w:p>
<w:pPr><w:pStyle w:val="Normal"/></w:pPr>
<w:r><w:t xml:space="preserve">wheat, 1,059,504 acres for barley, and 529,699 acres for</w:t></w:r>
</w:p>
<w:p>
<w:pPr><w:pStyle w:val="Normal"/></w:pPr>
<w:r><w:t xml:space="preserve">oats.  The acreage of wheat, therefore, fluctuated the</w:t></w:r>
</w:p>
<w:p>
<w:pPr><w:pStyle w:val="Normal"/></w:pPr>
<w:r><w:t xml:space="preserve">most, and that of oats the least.  Going back to 1869,</w:t></w:r>
</w:p>
<w:p>
<w:pPr><w:pStyle w:val="Normal"/></w:pPr>
<w:r><w:t xml:space="preserve">it is found that the extent of wheat in that year was</w:t></w:r>
</w:p>
<w:p>
<w:pPr><w:pStyle w:val="Normal"/></w:pPr>
<w:r><w:t xml:space="preserve">3,981,989 acres or very little short of four million acres.</w:t></w:r>
</w:p>
<w:p>
<w:pPr><w:pStyle w:val="Normal"/></w:pPr>
<w:r><w:t xml:space="preserve">The acreage of rye grown in the United Kingdom as a grain crop is</w:t></w:r>
</w:p>
<w:p>
<w:pPr><w:pStyle w:val="Normal"/></w:pPr>
<w:r><w:t xml:space="preserve">small, the respective maximum and minimum areas during the period</w:t></w:r>
</w:p>
<w:p>
<w:pPr><w:pStyle w:val="Normal"/></w:pPr>
<w:r><w:t xml:space="preserve">1875-1905 having been 102,676 acres in 1894 and 47,937 acres in</w:t></w:r>
</w:p>
<w:p>
<w:pPr><w:pStyle w:val="Normal"/></w:pPr>
<w:r><w:t xml:space="preserve">1880.  Rye is perhaps more largely grown as a green crop to be</w:t></w:r>
</w:p>
<w:p>
<w:pPr><w:pStyle w:val="Normal"/></w:pPr>
<w:r><w:t xml:space="preserve">fed off by sheep, or cut green for soiling, in the spring months.</w:t></w:r>
</w:p>
<w:p>
<w:pPr><w:pStyle w:val="Normal"/></w:pPr>
<w:r><w:t xml:space="preserve">Of corn crops other than cereals, beans and peas are both</w:t></w:r>
</w:p>
<w:p>
<w:pPr><w:pStyle w:val="Normal"/></w:pPr>
<w:r><w:t xml:space="preserve">less cultivated than formerly.  In the period 1875-1905</w:t></w:r>
</w:p>
<w:p>
<w:pPr><w:pStyle w:val="Normal"/></w:pPr>
<w:r><w:t xml:space="preserve">the area of beans in the United Kingdom fluctuated between</w:t></w:r>
</w:p>
<w:p>
<w:pPr><w:pStyle w:val="Normal"/></w:pPr>
<w:r><w:t xml:space="preserve">574,414 acres in 1875 and 230,429 acres in 1897, and that</w:t></w:r>
</w:p>
<w:p>
<w:pPr><w:pStyle w:val="Normal"/></w:pPr>
<w:r><w:t xml:space="preserve">of peas between 318,410 acres in 1875 and 155,668 acres in</w:t></w:r>
</w:p>
<w:p>
<w:pPr><w:pStyle w:val="Normal"/></w:pPr>
<w:r><w:t xml:space="preserve">1901.  The area of peas (175,624 acres in 1905) shrank</w:t></w:r>
</w:p>
<w:p>
<w:pPr><w:pStyle w:val="Normal"/></w:pPr>
<w:r><w:t xml:space="preserve">by nearly one-half, and that of beans (256,583 acres in</w:t></w:r>
</w:p>
<w:p>
<w:pPr><w:pStyle w:val="Normal"/></w:pPr>
<w:r><w:t xml:space="preserve">1905) by more than one-half.  Taking cereals and pulse</w:t></w:r>
</w:p>
<w:p>
<w:pPr><w:pStyle w:val="Normal"/></w:pPr>
<w:r><w:t xml:space="preserve">corn together, the aggregate areas of wheat, barley, oats,</w:t></w:r>
</w:p>
<w:p>
<w:pPr><w:pStyle w:val="Normal"/></w:pPr>
<w:r><w:t xml:space="preserve">rye, beans and peas in the United Kingdom varied as follows</w:t></w:r>
</w:p>
<w:p>
<w:pPr><w:pStyle w:val="Normal"/></w:pPr>
<w:r><w:t xml:space="preserve">over the six quinquennial intervals embraced in the period</w:t></w:r>
</w:p>
<w:p>
<w:pPr><w:pStyle w:val="Normal"/></w:pPr>
<w:r><w:t xml:space="preserve">Year.      Acres.   | Year.      Acres.</w:t></w:r>
</w:p>
<w:p>
<w:pPr><w:pStyle w:val="Normal"/></w:pPr>
<w:r><w:t xml:space="preserve">1875 . . 11,399,030 | 1890 . . 9,574,249</w:t></w:r>
</w:p>
<w:p>
<w:pPr><w:pStyle w:val="Normal"/></w:pPr>
<w:r><w:t xml:space="preserve">1880 . . 10,672,086 | 1895 . . 8,865,338</w:t></w:r>
</w:p>
<w:p>
<w:pPr><w:pStyle w:val="Normal"/></w:pPr>
<w:r><w:t xml:space="preserve">1885 . . 10,014,625 | 1900 . . 8,707,602</w:t></w:r>
</w:p>
<w:p>
<w:pPr><w:pStyle w:val="Normal"/></w:pPr>
<w:r><w:t xml:space="preserve">| 1905 . . 8,333,770</w:t></w:r>
</w:p>
<w:p>
<w:pPr><w:pStyle w:val="Normal"/></w:pPr>
<w:r><w:t xml:space="preserve">Disregarding minor fluctuations, there was thus a loss of</w:t></w:r>
</w:p>
<w:p>
<w:pPr><w:pStyle w:val="Normal"/></w:pPr>
<w:r><w:t xml:space="preserve">corn land over the 30 years of 3,065,260 acres, or 27%.</w:t></w:r>
</w:p>
<w:p>
<w:pPr><w:pStyle w:val="Normal"/></w:pPr>
<w:r><w:t xml:space="preserve">The area withdrawn from corn-growing is not to be found under the</w:t></w:r>
</w:p>
<w:p>
<w:pPr><w:pStyle w:val="Normal"/></w:pPr>
<w:r><w:t xml:space="preserve">head of what are termed ``green crops.&apos;&apos; In 1905 the total area</w:t></w:r>
</w:p>
<w:p>
<w:pPr><w:pStyle w:val="Normal"/></w:pPr>
<w:r><w:t xml:space="preserve">of these crops in the United Kingdom was 4,144,374 acres, made up</w:t></w:r>
</w:p>
<w:p>
<w:pPr><w:pStyle w:val="Normal"/></w:pPr>
<w:r><w:t xml:space="preserve">Crop.                             Acres.</w:t></w:r>
</w:p>
<w:p>
<w:pPr><w:pStyle w:val="Normal"/></w:pPr>
<w:r><w:t xml:space="preserve">Potatoes . . . . . . . . . . . . . . 1,236,768</w:t></w:r>
</w:p>
<w:p>
<w:pPr><w:pStyle w:val="Normal"/></w:pPr>
<w:r><w:t xml:space="preserve">Turnips and swedes . . . . . . . . . 1,879,384</w:t></w:r>
</w:p>
<w:p>
<w:pPr><w:pStyle w:val="Normal"/></w:pPr>
<w:r><w:t xml:space="preserve">Mangel . . . . . . . . . . . . . . .   477,540</w:t></w:r>
</w:p>
<w:p>
<w:pPr><w:pStyle w:val="Normal"/></w:pPr>
<w:r><w:t xml:space="preserve">Cabbage, kohl-rabi and rape  . . . .   225,315</w:t></w:r>
</w:p>
<w:p>
<w:pPr><w:pStyle w:val="Normal"/></w:pPr>
<w:r><w:t xml:space="preserve">Vetches or tares . . . . . . . . . .   139,285</w:t></w:r>
</w:p>
<w:p>
<w:pPr><w:pStyle w:val="Normal"/></w:pPr>
<w:r><w:t xml:space="preserve">Other green crops  . . . . . . . . .   186,082</w:t></w:r>
</w:p>
<w:p>
<w:pPr><w:pStyle w:val="Normal"/></w:pPr>
<w:r><w:t xml:space="preserve">The extreme aggregate areas of these crops during the</w:t></w:r>
</w:p>
<w:p>
<w:pPr><w:pStyle w:val="Normal"/></w:pPr>
<w:r><w:t xml:space="preserve">thirty years were 5,057,029 acres in 1875 and 4,109,394</w:t></w:r>
</w:p>
<w:p>
<w:pPr><w:pStyle w:val="Normal"/></w:pPr>
<w:r><w:t xml:space="preserve">acres in 1904.  At five-year intervals the areas</w:t></w:r>
</w:p>
<w:p>
<w:pPr><w:pStyle w:val="Normal"/></w:pPr>
<w:r><w:t xml:space="preserve">Year.      Acres.  | Year.      Acres.</w:t></w:r>
</w:p>
<w:p>
<w:pPr><w:pStyle w:val="Normal"/></w:pPr>
<w:r><w:t xml:space="preserve">1875 . . 5,057,029 | 1890 . . 4,534,145</w:t></w:r>
</w:p>
<w:p>
<w:pPr><w:pStyle w:val="Normal"/></w:pPr>
<w:r><w:t xml:space="preserve">1880 . . 4,746,293 | 1895 . . 4,399,949</w:t></w:r>
</w:p>
<w:p>
<w:pPr><w:pStyle w:val="Normal"/></w:pPr>
<w:r><w:t xml:space="preserve">1885 . . 4,765,195 | 1900 . . 4,301,774</w:t></w:r>
</w:p>
<w:p>
<w:pPr><w:pStyle w:val="Normal"/></w:pPr>
<w:r><w:t xml:space="preserve">| 1905 . . 4,144,374</w:t></w:r>
</w:p>
<w:p>
<w:pPr><w:pStyle w:val="Normal"/></w:pPr>
<w:r><w:t xml:space="preserve">These crops, therefore, which, except potatoes, are</w:t></w:r>
</w:p>
<w:p>
<w:pPr><w:pStyle w:val="Normal"/></w:pPr>
<w:r><w:t xml:space="preserve">used mainly for stock-feeding, have like the corn</w:t></w:r>
</w:p>
<w:p>
<w:pPr><w:pStyle w:val="Normal"/></w:pPr>
<w:r><w:t xml:space="preserve">crops been grown on gradually diminishing areas.</w:t></w:r>
</w:p>
<w:p>
<w:pPr><w:pStyle w:val="Normal"/></w:pPr>
<w:r><w:t xml:space="preserve">The land that has been lost to the plough is found to be</w:t></w:r>
</w:p>
<w:p>
<w:pPr><w:pStyle w:val="Normal"/></w:pPr>
<w:r><w:t xml:space="preserve">still further augmented when an inquiry is instituted into</w:t></w:r>
</w:p>
<w:p>
<w:pPr><w:pStyle w:val="Normal"/></w:pPr>
<w:r><w:t xml:space="preserve">the area devoted to clover, sainfoin and grasses under</w:t></w:r>
</w:p>
<w:p>
<w:pPr><w:pStyle w:val="Normal"/></w:pPr>
<w:r><w:t xml:space="preserve">rotation.  The areas of five-year intervals are given in</w:t></w:r>
</w:p>
<w:p>
<w:pPr><w:pStyle w:val="Normal"/></w:pPr>
<w:r><w:t xml:space="preserve">Table IV. Under the old Norfolk or four-course rotation</w:t></w:r>
</w:p>
<w:p>
<w:pPr><w:pStyle w:val="Normal"/></w:pPr>
<w:r><w:t xml:space="preserve">(roots, barley, clover, wheat) land thus seeded with clover</w:t></w:r>
</w:p>
<w:p>
<w:pPr><w:pStyle w:val="Normal"/></w:pPr>
<w:r><w:t xml:space="preserve">or grass seeds was intended to be ploughed up at the end of a</w:t></w:r>
</w:p>
<w:p>
<w:pPr><w:pStyle w:val="Normal"/></w:pPr>
<w:r><w:t xml:space="preserve">year.  Labour difficulties, low prices of produce, bad seasons</w:t></w:r>
</w:p>
<w:p>
<w:pPr><w:pStyle w:val="Normal"/></w:pPr>
<w:r><w:t xml:space="preserve">and similar causes provided inducements for leaving the land</w:t></w:r>
</w:p>
<w:p>
<w:pPr><w:pStyle w:val="Normal"/></w:pPr>
<w:r><w:t xml:space="preserve">in grass for two years, or over three years or more, before</w:t></w:r>
</w:p>
<w:p>
<w:pPr><w:pStyle w:val="Normal"/></w:pPr>
<w:r><w:t xml:space="preserve">breaking it up for wheat.  In many cases it would be decided</w:t></w:r>
</w:p>
<w:p>
<w:pPr><w:pStyle w:val="Normal"/></w:pPr>
<w:r><w:t xml:space="preserve">to let such land remain under grass indefinitely, and thus</w:t></w:r>
</w:p>
<w:p>
<w:pPr><w:pStyle w:val="Normal"/></w:pPr>
<w:r><w:t xml:space="preserve">it would no longer be enumerated in the Agricultural Returns</w:t></w:r>
</w:p>
<w:p>
<w:pPr><w:pStyle w:val="Normal"/></w:pPr>
<w:r><w:t xml:space="preserve">as temporary grass land, but would pass into the category of</w:t></w:r>
</w:p>
<w:p>
<w:pPr><w:pStyle w:val="Normal"/></w:pPr>
<w:r><w:t xml:space="preserve">permanent grass land, or what is often spoken of as ``permanent</w:t></w:r>
</w:p>
<w:p>
<w:pPr><w:pStyle w:val="Normal"/></w:pPr>
<w:r><w:t xml:space="preserve">pasture.&apos;&apos; Whilst much grass land has been laid down with</w:t></w:r>
</w:p>
<w:p>
<w:pPr><w:pStyle w:val="Normal"/></w:pPr>
<w:r><w:t xml:space="preserve">the intention from the outset that it should be permanent,</w:t></w:r>
</w:p>
<w:p>
<w:pPr><w:pStyle w:val="Normal"/></w:pPr>
<w:r><w:t xml:space="preserve">at the same time some considerable areas have through stress</w:t></w:r>
</w:p>
<w:p>
<w:pPr><w:pStyle w:val="Normal"/></w:pPr>
<w:r><w:t xml:space="preserve">of circumstances been allowed to drift from the temporary</w:t></w:r>
</w:p>
<w:p>
<w:pPr><w:pStyle w:val="Normal"/></w:pPr>
<w:r><w:t xml:space="preserve">or rotation grass area to the permanent list, and have thus</w:t></w:r>
</w:p>
<w:p>
<w:pPr><w:pStyle w:val="Normal"/></w:pPr>
<w:r><w:t xml:space="preserve">still further diminished the area formerly under the dominion</w:t></w:r>
</w:p>
<w:p>
<w:pPr><w:pStyle w:val="Normal"/></w:pPr>
<w:r><w:t xml:space="preserve">of the plough.  The column relating to permanent grass in</w:t></w:r>
</w:p>
<w:p>
<w:pPr><w:pStyle w:val="Normal"/></w:pPr>
<w:r><w:t xml:space="preserve">Table IV. shows clearly enough how the British Isles became</w:t></w:r>
</w:p>
<w:p>
<w:pPr><w:pStyle w:val="Normal"/></w:pPr>
<w:r><w:t xml:space="preserve">TABLE IV.--Areas of Grass Land (excluding Heath and Mountain</w:t></w:r>
</w:p>
<w:p>
<w:pPr><w:pStyle w:val="Normal"/></w:pPr>
<w:r><w:t xml:space="preserve">Land) in the United Kingdom--Acres.</w:t></w:r>
</w:p>
<w:p>
<w:pPr><w:pStyle w:val="Normal"/></w:pPr>
<w:r><w:t xml:space="preserve">Permanent</w:t></w:r>
</w:p>
<w:p>
<w:pPr><w:pStyle w:val="Normal"/></w:pPr>
<w:r><w:t xml:space="preserve">Year.   Temporary (i.e.   (i.e. not broken up         Total.</w:t></w:r>
</w:p>
<w:p>
<w:pPr><w:pStyle w:val="Normal"/></w:pPr>
<w:r><w:t xml:space="preserve">under rotation).      in rotation).</w:t></w:r>
</w:p>
<w:p>
<w:pPr><w:pStyle w:val="Normal"/></w:pPr>
<w:r><w:t xml:space="preserve">1875    6,337,953              23,772,602          30,110,555</w:t></w:r>
</w:p>
<w:p>
<w:pPr><w:pStyle w:val="Normal"/></w:pPr>
<w:r><w:t xml:space="preserve">1880    6,389,232              24,717,092          31,106,324</w:t></w:r>
</w:p>
<w:p>
<w:pPr><w:pStyle w:val="Normal"/></w:pPr>
<w:r><w:t xml:space="preserve">1885    6,738,206              25,616,071          32,354,277</w:t></w:r>
</w:p>
<w:p>
<w:pPr><w:pStyle w:val="Normal"/></w:pPr>
<w:r><w:t xml:space="preserve">1890    6,097,210              27,115,425          33,212,635</w:t></w:r>
</w:p>
<w:p>
<w:pPr><w:pStyle w:val="Normal"/></w:pPr>
<w:r><w:t xml:space="preserve">1895    6,061,139              27,831,117          33,892,256</w:t></w:r>
</w:p>
<w:p>
<w:pPr><w:pStyle w:val="Normal"/></w:pPr>
<w:r><w:t xml:space="preserve">1900    6,025,025              28,266,712          34,291,737</w:t></w:r>
</w:p>
<w:p>
<w:pPr><w:pStyle w:val="Normal"/></w:pPr>
<w:r><w:t xml:space="preserve">1905    5,779,323              28,865,373          34,644,696</w:t></w:r>
</w:p>
<w:p>
<w:pPr><w:pStyle w:val="Normal"/></w:pPr>
<w:r><w:t xml:space="preserve">more pastoral, while the figures already given demonstrate</w:t></w:r>
</w:p>
<w:p>
<w:pPr><w:pStyle w:val="Normal"/></w:pPr>
<w:r><w:t xml:space="preserve">the extent to which they became less arable.  In the</w:t></w:r>
</w:p>
<w:p>
<w:pPr><w:pStyle w:val="Normal"/></w:pPr>
<w:r><w:t xml:space="preserve">period 1875-1905 the extreme areas returned as ``permanent</w:t></w:r>
</w:p>
<w:p>
<w:pPr><w:pStyle w:val="Normal"/></w:pPr>
<w:r><w:t xml:space="preserve">pasture&apos;&apos;--a term which, it should be clearly understood,</w:t></w:r>
</w:p>
<w:p>
<w:pPr><w:pStyle w:val="Normal"/></w:pPr>
<w:r><w:t xml:space="preserve">does not include heath or mountain land, of which there</w:t></w:r>
</w:p>
<w:p>
<w:pPr><w:pStyle w:val="Normal"/></w:pPr>
<w:r><w:t xml:space="preserve">are in Great Britain alone about 13 million acres used for</w:t></w:r>
</w:p>
<w:p>
<w:pPr><w:pStyle w:val="Normal"/></w:pPr>
<w:r><w:t xml:space="preserve">grazing---were 23,772,602 acres in 1875, and 28,865,373 acres in</w:t></w:r>
</w:p>
<w:p>
<w:pPr><w:pStyle w:val="Normal"/></w:pPr>
<w:r><w:t xml:space="preserve">1905.  Comparing 1905 with 1875 the increase in permanent</w:t></w:r>
</w:p>
<w:p>
<w:pPr><w:pStyle w:val="Normal"/></w:pPr>
<w:r><w:t xml:space="preserve">grass land amounted to over five million acres, or about 21%.</w:t></w:r>
</w:p>
<w:p>
<w:pPr><w:pStyle w:val="Normal"/></w:pPr>
<w:r><w:t xml:space="preserve">On account of the greater humidity and mildness of its climate,</w:t></w:r>
</w:p>
<w:p>
<w:pPr><w:pStyle w:val="Normal"/></w:pPr>
<w:r><w:t xml:space="preserve">Ireland is more essentially a pastoral country than Great Britain.</w:t></w:r>
</w:p>
<w:p>
<w:pPr><w:pStyle w:val="Normal"/></w:pPr>
<w:r><w:t xml:space="preserve">The distribution between the two islands of such important crops</w:t></w:r>
</w:p>
<w:p>
<w:pPr><w:pStyle w:val="Normal"/></w:pPr>
<w:r><w:t xml:space="preserve">of arable land as cereals and potatoes is indicated in Table V.</w:t></w:r>
</w:p>
<w:p>
<w:pPr><w:pStyle w:val="Normal"/></w:pPr>
<w:r><w:t xml:space="preserve">The figures are those for 1905, but, though the absolute acreages</w:t></w:r>
</w:p>
<w:p>
<w:pPr><w:pStyle w:val="Normal"/></w:pPr>
<w:r><w:t xml:space="preserve">TABLE V.--Areas of Cereal and Potato Crops in Great Britain</w:t></w:r>
</w:p>
<w:p>
<w:pPr><w:pStyle w:val="Normal"/></w:pPr>
<w:r><w:t xml:space="preserve">and Ireland in 1905.</w:t></w:r>
</w:p>
<w:p>
<w:pPr><w:pStyle w:val="Normal"/></w:pPr>
<w:r><w:t xml:space="preserve">Wheat.        Barley.</w:t></w:r>
</w:p>
<w:p>
<w:pPr><w:pStyle w:val="Normal"/></w:pPr>
<w:r><w:t xml:space="preserve">Acres.         Acres.</w:t></w:r>
</w:p>
<w:p>
<w:pPr><w:pStyle w:val="Normal"/></w:pPr>
<w:r><w:t xml:space="preserve">Great Britain .     1,796,993      1,713,664</w:t></w:r>
</w:p>
<w:p>
<w:pPr><w:pStyle w:val="Normal"/></w:pPr>
<w:r><w:t xml:space="preserve">Ireland . . . .        37,860        154,645</w:t></w:r>
</w:p>
<w:p>
<w:pPr><w:pStyle w:val="Normal"/></w:pPr>
<w:r><w:t xml:space="preserve">Total . . . . .     1,834,853      1,868,309</w:t></w:r>
</w:p>
<w:p>
<w:pPr><w:pStyle w:val="Normal"/></w:pPr>
<w:r><w:t xml:space="preserve">Oats.         Potatoes.</w:t></w:r>
</w:p>
<w:p>
<w:pPr><w:pStyle w:val="Normal"/></w:pPr>
<w:r><w:t xml:space="preserve">Great Britain .     3,051,376        608,473</w:t></w:r>
</w:p>
<w:p>
<w:pPr><w:pStyle w:val="Normal"/></w:pPr>
<w:r><w:t xml:space="preserve">Ireland . . . .     1,066,806        616,755</w:t></w:r>
</w:p>
<w:p>
<w:pPr><w:pStyle w:val="Normal"/></w:pPr>
<w:r><w:t xml:space="preserve">Total . . . . .     4,118,182      1,225,228</w:t></w:r>
</w:p>
<w:p>
<w:pPr><w:pStyle w:val="Normal"/></w:pPr>
<w:r><w:t xml:space="preserve">vary somewhat from year to year, there is not much variation</w:t></w:r>
</w:p>
<w:p>
<w:pPr><w:pStyle w:val="Normal"/></w:pPr>
<w:r><w:t xml:space="preserve">in the proportions.  The comparative insignificance of Ireland</w:t></w:r>
</w:p>
<w:p>
<w:pPr><w:pStyle w:val="Normal"/></w:pPr>
<w:r><w:t xml:space="preserve">in the case of the wheat and barley crops, represented by 2</w:t></w:r>
</w:p>
<w:p>
<w:pPr><w:pStyle w:val="Normal"/></w:pPr>
<w:r><w:t xml:space="preserve">and 8% respectively, receives some compensation when oats and</w:t></w:r>
</w:p>
<w:p>
<w:pPr><w:pStyle w:val="Normal"/></w:pPr>
<w:r><w:t xml:space="preserve">potatoes are considered, about one-fourth of the area of the</w:t></w:r>
</w:p>
<w:p>
<w:pPr><w:pStyle w:val="Normal"/></w:pPr>
<w:r><w:t xml:space="preserve">former and more than half that of the latter being claimed by</w:t></w:r>
</w:p>
<w:p>
<w:pPr><w:pStyle w:val="Normal"/></w:pPr>
<w:r><w:t xml:space="preserve">Ireland.  It is noteworthy, however, that Ireland year by</w:t></w:r>
</w:p>
<w:p>
<w:pPr><w:pStyle w:val="Normal"/></w:pPr>
<w:r><w:t xml:space="preserve">year places less reliance upon the potato crop.  In 1888</w:t></w:r>
</w:p>
<w:p>
<w:pPr><w:pStyle w:val="Normal"/></w:pPr>
<w:r><w:t xml:space="preserve">the area of potatoes in Ireland was 804,566 acres, but it</w:t></w:r>
</w:p>
<w:p>
<w:pPr><w:pStyle w:val="Normal"/></w:pPr>
<w:r><w:t xml:space="preserve">continuously contracted each year, until in 1905 it was only</w:t></w:r>
</w:p>
<w:p>
<w:pPr><w:pStyle w:val="Normal"/></w:pPr>
<w:r><w:t xml:space="preserve">616,755 acres, or 187,811 acres less than 17 years previously.</w:t></w:r>
</w:p>
<w:p>
<w:pPr><w:pStyle w:val="Normal"/></w:pPr>
<w:r><w:t xml:space="preserve">A similar comparison for the several sections of Great</w:t></w:r>
</w:p>
<w:p>
<w:pPr><w:pStyle w:val="Normal"/></w:pPr>
<w:r><w:t xml:space="preserve">Britain, as set forth in Table VI., shows that to England</w:t></w:r>
</w:p>
<w:p>
<w:pPr><w:pStyle w:val="Normal"/></w:pPr>
<w:r><w:t xml:space="preserve">belong about 95% of the wheat area, over 80% of the barley</w:t></w:r>
</w:p>
<w:p>
<w:pPr><w:pStyle w:val="Normal"/></w:pPr>
<w:r><w:t xml:space="preserve">area, over 60% of the oats area, and over 70% of the potato</w:t></w:r>
</w:p>
<w:p>
<w:pPr><w:pStyle w:val="Normal"/></w:pPr>
<w:r><w:t xml:space="preserve">area, and these proportions do not vary much from year to</w:t></w:r>
</w:p>
<w:p>
<w:pPr><w:pStyle w:val="Normal"/></w:pPr>
<w:r><w:t xml:space="preserve">year.  The figures for cereals are important, as they</w:t></w:r>
</w:p>
<w:p>
<w:pPr><w:pStyle w:val="Normal"/></w:pPr>
<w:r><w:t xml:space="preserve">indicate that it is the farmers of England who are the</w:t></w:r>
</w:p>
<w:p>
<w:pPr><w:pStyle w:val="Normal"/></w:pPr>
<w:r><w:t xml:space="preserve">chief sufferers through the diminishing prices of corn; and</w:t></w:r>
</w:p>
<w:p>
<w:pPr><w:pStyle w:val="Normal"/></w:pPr>
<w:r><w:t xml:space="preserve">particularly is this true of East Anglia, where corn-growing</w:t></w:r>
</w:p>
<w:p>
<w:pPr><w:pStyle w:val="Normal"/></w:pPr>
<w:r><w:t xml:space="preserve">is more largely pursued than in any other part of the</w:t></w:r>
</w:p>
<w:p>
<w:pPr><w:pStyle w:val="Normal"/></w:pPr>
<w:r><w:t xml:space="preserve">TABLE VI.--Areas of Cereal and Potato Crops in England, Wales</w:t></w:r>
</w:p>
<w:p>
<w:pPr><w:pStyle w:val="Normal"/></w:pPr>
<w:r><w:t xml:space="preserve">and Scotland, and in Great Britain, in 1905.</w:t></w:r>
</w:p>
<w:p>
<w:pPr><w:pStyle w:val="Normal"/></w:pPr>
<w:r><w:t xml:space="preserve">Wheat.        Barley.</w:t></w:r>
</w:p>
<w:p>
<w:pPr><w:pStyle w:val="Normal"/></w:pPr>
<w:r><w:t xml:space="preserve">Acres.         Acres.</w:t></w:r>
</w:p>
<w:p>
<w:pPr><w:pStyle w:val="Normal"/></w:pPr>
<w:r><w:t xml:space="preserve">England . . . .      1,704,281      1,410,287</w:t></w:r>
</w:p>
<w:p>
<w:pPr><w:pStyle w:val="Normal"/></w:pPr>
<w:r><w:t xml:space="preserve">Wales . . . . .         44,073         91,243</w:t></w:r>
</w:p>
<w:p>
<w:pPr><w:pStyle w:val="Normal"/></w:pPr>
<w:r><w:t xml:space="preserve">Scotland  . . .         48,641        212,134</w:t></w:r>
</w:p>
<w:p>
<w:pPr><w:pStyle w:val="Normal"/></w:pPr>
<w:r><w:t xml:space="preserve">Great Britain .      1,796,995      1,713,664</w:t></w:r>
</w:p>
<w:p>
<w:pPr><w:pStyle w:val="Normal"/></w:pPr>
<w:r><w:t xml:space="preserve">Oats.         Potatoes.</w:t></w:r>
</w:p>
<w:p>
<w:pPr><w:pStyle w:val="Normal"/></w:pPr>
<w:r><w:t xml:space="preserve">England . . . .      1,880,475        434,773</w:t></w:r>
</w:p>
<w:p>
<w:pPr><w:pStyle w:val="Normal"/></w:pPr>
<w:r><w:t xml:space="preserve">Wales . . . . .        207,929         29,435</w:t></w:r>
</w:p>
<w:p>
<w:pPr><w:pStyle w:val="Normal"/></w:pPr>
<w:r><w:t xml:space="preserve">Scotland  . . .        962,972        144,265</w:t></w:r>
</w:p>
<w:p>
<w:pPr><w:pStyle w:val="Normal"/></w:pPr>
<w:r><w:t xml:space="preserve">Great Britain .      3,051,376        608,473</w:t></w:r>
</w:p>
<w:p>
<w:pPr><w:pStyle w:val="Normal"/></w:pPr>
<w:r><w:t xml:space="preserve">country.  Scotland possesses nearly one-third of the area</w:t></w:r>
</w:p>
<w:p>
<w:pPr><w:pStyle w:val="Normal"/></w:pPr>
<w:r><w:t xml:space="preserve">of oats and nearly one-fourth of that of potatoes.  Beans</w:t></w:r>
</w:p>
<w:p>
<w:pPr><w:pStyle w:val="Normal"/></w:pPr>
<w:r><w:t xml:space="preserve">are almost entirely confined to England, and this is even</w:t></w:r>
</w:p>
<w:p>
<w:pPr><w:pStyle w:val="Normal"/></w:pPr>
<w:r><w:t xml:space="preserve">more the case with peas.  The mangel crop also is mainly</w:t></w:r>
</w:p>
<w:p>
<w:pPr><w:pStyle w:val="Normal"/></w:pPr>
<w:r><w:t xml:space="preserve">English, the summer in most parts of Scotland being neither</w:t></w:r>
</w:p>
<w:p>
<w:pPr><w:pStyle w:val="Normal"/></w:pPr>
<w:r><w:t xml:space="preserve">long enough nor warm enough to bring it to maturity.</w:t></w:r>
</w:p>
<w:p>
<w:pPr><w:pStyle w:val="Normal"/></w:pPr>
<w:r><w:t xml:space="preserve">The Produce of British Crops.</w:t></w:r>
</w:p>
<w:p>
<w:pPr><w:pStyle w:val="Normal"/></w:pPr>
<w:r><w:t xml:space="preserve">Whilst the returns relating to the acreage of crops and the</w:t></w:r>
</w:p>
<w:p>
<w:pPr><w:pStyle w:val="Normal"/></w:pPr>
<w:r><w:t xml:space="preserve">number of live stock in Great Britain have been officially</w:t></w:r>
</w:p>
<w:p>
<w:pPr><w:pStyle w:val="Normal"/></w:pPr>
<w:r><w:t xml:space="preserve">collected in each year since 1866, the annual official estimates</w:t></w:r>
</w:p>
<w:p>
<w:pPr><w:pStyle w:val="Normal"/></w:pPr>
<w:r><w:t xml:space="preserve">of the produce of the crops in the several sections of the</w:t></w:r>
</w:p>
<w:p>
<w:pPr><w:pStyle w:val="Normal"/></w:pPr>
<w:r><w:t xml:space="preserve">kingdom do not extend back beyond 1885.  The practice is for</w:t></w:r>
</w:p>
<w:p>
<w:pPr><w:pStyle w:val="Normal"/></w:pPr>
<w:r><w:t xml:space="preserve">the Board of Agriculture to appoint local estimators, who report</w:t></w:r>
</w:p>
<w:p>
<w:pPr><w:pStyle w:val="Normal"/></w:pPr>
<w:r><w:t xml:space="preserve">in the autumn as to the total production of the crops in the</w:t></w:r>
</w:p>
<w:p>
<w:pPr><w:pStyle w:val="Normal"/></w:pPr>
<w:r><w:t xml:space="preserve">localities respectively assigned to them.  By dividing the</w:t></w:r>
</w:p>
<w:p>
<w:pPr><w:pStyle w:val="Normal"/></w:pPr>
<w:r><w:t xml:space="preserve">total production, say of wheat, in each county by the number</w:t></w:r>
</w:p>
<w:p>
<w:pPr><w:pStyle w:val="Normal"/></w:pPr>
<w:r><w:t xml:space="preserve">of acres of wheat as returned by the occupiers on June 4, the</w:t></w:r>
</w:p>
<w:p>
<w:pPr><w:pStyle w:val="Normal"/></w:pPr>
<w:r><w:t xml:space="preserve">estimated average yield per acre is obtained.  It is important</w:t></w:r>
</w:p>
<w:p>
<w:pPr><w:pStyle w:val="Normal"/></w:pPr>
<w:r><w:t xml:space="preserve">to notice that the figures relating to total production and</w:t></w:r>
</w:p>
<w:p>
<w:pPr><w:pStyle w:val="Normal"/></w:pPr>
<w:r><w:t xml:space="preserve">yield per acre are only estimates, and it is not claimed</w:t></w:r>
</w:p>
<w:p>
<w:pPr><w:pStyle w:val="Normal"/></w:pPr>
<w:r><w:t xml:space="preserve">for them that they are anything more.  The fact that much of</w:t></w:r>
</w:p>
<w:p>
<w:pPr><w:pStyle w:val="Normal"/></w:pPr>
<w:r><w:t xml:space="preserve">the wheat to which the figures apply is still in the stack</w:t></w:r>
</w:p>
<w:p>
<w:pPr><w:pStyle w:val="Normal"/></w:pPr>
<w:r><w:t xml:space="preserve">after the publication of the figures shows that the latter</w:t></w:r>
</w:p>
<w:p>
<w:pPr><w:pStyle w:val="Normal"/></w:pPr>
<w:r><w:t xml:space="preserve">are essentially estimates.  The total produce of any crop in</w:t></w:r>
</w:p>
<w:p>
<w:pPr><w:pStyle w:val="Normal"/></w:pPr>
<w:r><w:t xml:space="preserve">a given year must depend mainly upon the acreage grown, whilst</w:t></w:r>
</w:p>
<w:p>
<w:pPr><w:pStyle w:val="Normal"/></w:pPr>
<w:r><w:t xml:space="preserve">the average yield per acre will be determined chiefly by the</w:t></w:r>
</w:p>
<w:p>
<w:pPr><w:pStyle w:val="Normal"/></w:pPr>
<w:r><w:t xml:space="preserve">character of the season.  In Table VII. are shown, in thousands</w:t></w:r>
</w:p>
<w:p>
<w:pPr><w:pStyle w:val="Normal"/></w:pPr>
<w:r><w:t xml:space="preserve">TABLE VII.--Estimated Annual Total Produce of Corn Crops in</w:t></w:r>
</w:p>
<w:p>
<w:pPr><w:pStyle w:val="Normal"/></w:pPr>
<w:r><w:t xml:space="preserve">the United Kingdom, 1890-1905 --Thousands of Bushels.</w:t></w:r>
</w:p>
<w:p>
<w:pPr><w:pStyle w:val="Normal"/></w:pPr>
<w:r><w:t xml:space="preserve">Year.   Wheat.   Barley.  Oats.    Beans.   Peas.</w:t></w:r>
</w:p>
<w:p>
<w:pPr><w:pStyle w:val="Normal"/></w:pPr>
<w:r><w:t xml:space="preserve">1890    75,994   80,794   171,295  11,860   6313</w:t></w:r>
</w:p>
<w:p>
<w:pPr><w:pStyle w:val="Normal"/></w:pPr>
<w:r><w:t xml:space="preserve">1891    74,743   79,555   166,472  10,694   5777</w:t></w:r>
</w:p>
<w:p>
<w:pPr><w:pStyle w:val="Normal"/></w:pPr>
<w:r><w:t xml:space="preserve">1892    60,775   76,939   168,181   7,054   5028</w:t></w:r>
</w:p>
<w:p>
<w:pPr><w:pStyle w:val="Normal"/></w:pPr>
<w:r><w:t xml:space="preserve">1893    50,913   65,746   168,588   4,863   4756</w:t></w:r>
</w:p>
<w:p>
<w:pPr><w:pStyle w:val="Normal"/></w:pPr>
<w:r><w:t xml:space="preserve">1894    60,704   78,601   190,863   7,198   6229</w:t></w:r>
</w:p>
<w:p>
<w:pPr><w:pStyle w:val="Normal"/></w:pPr>
<w:r><w:t xml:space="preserve">1895    38,285   75,028   174,476   5,626   4732</w:t></w:r>
</w:p>
<w:p>
<w:pPr><w:pStyle w:val="Normal"/></w:pPr>
<w:r><w:t xml:space="preserve">1896    58,247   77,825   162,860   6,491   4979</w:t></w:r>
</w:p>
<w:p>
<w:pPr><w:pStyle w:val="Normal"/></w:pPr>
<w:r><w:t xml:space="preserve">1897    56,296   72,613   163,556   6,650   5250</w:t></w:r>
</w:p>
<w:p>
<w:pPr><w:pStyle w:val="Normal"/></w:pPr>
<w:r><w:t xml:space="preserve">1898    74,885   74,731   172,578   7,267   4858</w:t></w:r>
</w:p>
<w:p>
<w:pPr><w:pStyle w:val="Normal"/></w:pPr>
<w:r><w:t xml:space="preserve">1899    67,261   74,532   166,140   7,566   4431</w:t></w:r>
</w:p>
<w:p>
<w:pPr><w:pStyle w:val="Normal"/></w:pPr>
<w:r><w:t xml:space="preserve">1900    54,322   68,546   165,137   7,469   4072</w:t></w:r>
</w:p>
<w:p>
<w:pPr><w:pStyle w:val="Normal"/></w:pPr>
<w:r><w:t xml:space="preserve">1901    53,928   67,643   161,175   6,154   4017</w:t></w:r>
</w:p>
<w:p>
<w:pPr><w:pStyle w:val="Normal"/></w:pPr>
<w:r><w:t xml:space="preserve">1902    58,278   74,439   184,184   7,704   5106</w:t></w:r>
</w:p>
<w:p>
<w:pPr><w:pStyle w:val="Normal"/></w:pPr>
<w:r><w:t xml:space="preserve">1903    48,819   65,310   172,941   7,535   4812</w:t></w:r>
</w:p>
<w:p>
<w:pPr><w:pStyle w:val="Normal"/></w:pPr>
<w:r><w:t xml:space="preserve">1904    37,920   62,453   176,755   5,901   4446</w:t></w:r>
</w:p>
<w:p>
<w:pPr><w:pStyle w:val="Normal"/></w:pPr>
<w:r><w:t xml:space="preserve">1905    60,333   65,004   166,286   8,262   4446</w:t></w:r>
</w:p>
<w:p>
<w:pPr><w:pStyle w:val="Normal"/></w:pPr>
<w:r><w:t xml:space="preserve">of bushels, the estimated produce of the corn crops of the</w:t></w:r>
</w:p>
<w:p>
<w:pPr><w:pStyle w:val="Normal"/></w:pPr>
<w:r><w:t xml:space="preserve">United Kingdom in the years 1890-1905.  The largest area</w:t></w:r>
</w:p>
<w:p>
<w:pPr><w:pStyle w:val="Normal"/></w:pPr>
<w:r><w:t xml:space="preserve">of wheat in the period was that of 1890, and the smallest</w:t></w:r>
</w:p>
<w:p>
<w:pPr><w:pStyle w:val="Normal"/></w:pPr>
<w:r><w:t xml:space="preserve">was that of 1904; the same two years are seen to have been</w:t></w:r>
</w:p>
<w:p>
<w:pPr><w:pStyle w:val="Normal"/></w:pPr>
<w:r><w:t xml:space="preserve">respectively those of highest and lowest total produce.  It</w:t></w:r>
</w:p>
<w:p>
<w:pPr><w:pStyle w:val="Normal"/></w:pPr>
<w:r><w:t xml:space="preserve">is noteworthy that in 1895 the country produced about half</w:t></w:r>
</w:p>
<w:p>
<w:pPr><w:pStyle w:val="Normal"/></w:pPr>
<w:r><w:t xml:space="preserve">as much wheat as in any one of the years 1890, 1891 and</w:t></w:r>
</w:p>
<w:p>
<w:pPr><w:pStyle w:val="Normal"/></w:pPr>
<w:r><w:t xml:space="preserve">1898.  The produce of barley, like that of oats, is less</w:t></w:r>
</w:p>
<w:p>
<w:pPr><w:pStyle w:val="Normal"/></w:pPr>
<w:r><w:t xml:space="preserve">irregular than that of wheat, the extremes for barley</w:t></w:r>
</w:p>
<w:p>
<w:pPr><w:pStyle w:val="Normal"/></w:pPr>
<w:r><w:t xml:space="preserve">being 80,794,000 bushels (1890) and 62,453,000 bushels</w:t></w:r>
</w:p>
<w:p>
<w:pPr><w:pStyle w:val="Normal"/></w:pPr>
<w:r><w:t xml:space="preserve">(1904), and those for oats 190,863,000 bushels (1894) and</w:t></w:r>
</w:p>
<w:p>
<w:pPr><w:pStyle w:val="Normal"/></w:pPr>
<w:r><w:t xml:space="preserve">161,175,000 bushels (1901).  Similar details for potatoes,</w:t></w:r>
</w:p>
<w:p>
<w:pPr><w:pStyle w:val="Normal"/></w:pPr>
<w:r><w:t xml:space="preserve">roots and hay, brought together in Table VIII., show that the</w:t></w:r>
</w:p>
<w:p>
<w:pPr><w:pStyle w:val="Normal"/></w:pPr>
<w:r><w:t xml:space="preserve">TABLE VIII.--Estimated Annual Total Produce of Potatoes, Roots</w:t></w:r>
</w:p>
<w:p>
<w:pPr><w:pStyle w:val="Normal"/></w:pPr>
<w:r><w:t xml:space="preserve">and Hay in the United Kingdom, 1890-1905--Thousands of</w:t></w:r>
</w:p>
<w:p>
<w:pPr><w:pStyle w:val="Normal"/></w:pPr>
<w:r><w:t xml:space="preserve">Tons.</w:t></w:r>
</w:p>
<w:p>
<w:pPr><w:pStyle w:val="Normal"/></w:pPr>
<w:r><w:t xml:space="preserve">Year.   Potatoes.   Turnips.   Mangels.   Hay.</w:t></w:r>
</w:p>
<w:p>
<w:pPr><w:pStyle w:val="Normal"/></w:pPr>
<w:r><w:t xml:space="preserve">1890    4622        32,002       6709     14,466</w:t></w:r>
</w:p>
<w:p>
<w:pPr><w:pStyle w:val="Normal"/></w:pPr>
<w:r><w:t xml:space="preserve">1891    6090        29,742       7558     12,671</w:t></w:r>
</w:p>
<w:p>
<w:pPr><w:pStyle w:val="Normal"/></w:pPr>
<w:r><w:t xml:space="preserve">1892    5634        31,419       7428     11,567</w:t></w:r>
</w:p>
<w:p>
<w:pPr><w:pStyle w:val="Normal"/></w:pPr>
<w:r><w:t xml:space="preserve">1893    6541        31,110       5225      9,082</w:t></w:r>
</w:p>
<w:p>
<w:pPr><w:pStyle w:val="Normal"/></w:pPr>
<w:r><w:t xml:space="preserve">1894    4662        30,678       7310     15,699</w:t></w:r>
</w:p>
<w:p>
<w:pPr><w:pStyle w:val="Normal"/></w:pPr>
<w:r><w:t xml:space="preserve">1895    7065        29,221       6376     12,238</w:t></w:r>
</w:p>
<w:p>
<w:pPr><w:pStyle w:val="Normal"/></w:pPr>
<w:r><w:t xml:space="preserve">1896    6263        28,037       5875     11,416</w:t></w:r>
</w:p>
<w:p>
<w:pPr><w:pStyle w:val="Normal"/></w:pPr>
<w:r><w:t xml:space="preserve">1897    4107        29,785       7379     14,043</w:t></w:r>
</w:p>
<w:p>
<w:pPr><w:pStyle w:val="Normal"/></w:pPr>
<w:r><w:t xml:space="preserve">1898    6225        26,499       7228     15,916</w:t></w:r>
</w:p>
<w:p>
<w:pPr><w:pStyle w:val="Normal"/></w:pPr>
<w:r><w:t xml:space="preserve">1899    5837        20,370       7604     12,898</w:t></w:r>
</w:p>
<w:p>
<w:pPr><w:pStyle w:val="Normal"/></w:pPr>
<w:r><w:t xml:space="preserve">1900    4577        28,387       9650     13,742</w:t></w:r>
</w:p>
<w:p>
<w:pPr><w:pStyle w:val="Normal"/></w:pPr>
<w:r><w:t xml:space="preserve">1901    7043        25,298       9224     11,358</w:t></w:r>
</w:p>
<w:p>
<w:pPr><w:pStyle w:val="Normal"/></w:pPr>
<w:r><w:t xml:space="preserve">1902    5920        29,116     10,809     15,246</w:t></w:r>
</w:p>
<w:p>
<w:pPr><w:pStyle w:val="Normal"/></w:pPr>
<w:r><w:t xml:space="preserve">1903    5277        23,523       8212     14,955</w:t></w:r>
</w:p>
<w:p>
<w:pPr><w:pStyle w:val="Normal"/></w:pPr>
<w:r><w:t xml:space="preserve">1904    6230        28,033       8813     14,860</w:t></w:r>
</w:p>
<w:p>
<w:pPr><w:pStyle w:val="Normal"/></w:pPr>
<w:r><w:t xml:space="preserve">1905    7186        26,563       9493     13,554</w:t></w:r>
</w:p>
<w:p>
<w:pPr><w:pStyle w:val="Normal"/></w:pPr>
<w:r><w:t xml:space="preserve">production of potatoes varies much from year to year.  The</w:t></w:r>
</w:p>
<w:p>
<w:pPr><w:pStyle w:val="Normal"/></w:pPr>
<w:r><w:t xml:space="preserve">imports of potatoes into the United Kingdom vary, to some</w:t></w:r>
</w:p>
<w:p>
<w:pPr><w:pStyle w:val="Normal"/></w:pPr>
<w:r><w:t xml:space="preserve">extend inversely; thus, the low production in 1897 was</w:t></w:r>
</w:p>
<w:p>
<w:pPr><w:pStyle w:val="Normal"/></w:pPr>
<w:r><w:t xml:space="preserve">accompanied by an increase of import from 3,921,205 cwt.</w:t></w:r>
</w:p>
<w:p>
<w:pPr><w:pStyle w:val="Normal"/></w:pPr>
<w:r><w:t xml:space="preserve">in 1897 to 6,751,728 cwt. in 1898.  No very great reliance</w:t></w:r>
</w:p>
<w:p>
<w:pPr><w:pStyle w:val="Normal"/></w:pPr>
<w:r><w:t xml:space="preserve">can be placed upon the figures relating to turnips (which</w:t></w:r>
</w:p>
<w:p>
<w:pPr><w:pStyle w:val="Normal"/></w:pPr>
<w:r><w:t xml:space="preserve">include swedes), as these are mostly fed to sheep on the</w:t></w:r>
</w:p>
<w:p>
<w:pPr><w:pStyle w:val="Normal"/></w:pPr>
<w:r><w:t xml:space="preserve">ground, so that the estimates as to yield are necessarily</w:t></w:r>
</w:p>
<w:p>
<w:pPr><w:pStyle w:val="Normal"/></w:pPr>
<w:r><w:t xml:space="preserve">vague.  Mangels are probably more closely estimated, as these</w:t></w:r>
</w:p>
<w:p>
<w:pPr><w:pStyle w:val="Normal"/></w:pPr>
<w:r><w:t xml:space="preserve">valuable roots are carted and stored for subsequent use for</w:t></w:r>
</w:p>
<w:p>
<w:pPr><w:pStyle w:val="Normal"/></w:pPr>
<w:r><w:t xml:space="preserve">feeding stock.  Under hay are included the produce of closer,</w:t></w:r>
</w:p>
<w:p>
<w:pPr><w:pStyle w:val="Normal"/></w:pPr>
<w:r><w:t xml:space="preserve">sainfoin and rotation grasses, and also that of permanent</w:t></w:r>
</w:p>
<w:p>
<w:pPr><w:pStyle w:val="Normal"/></w:pPr>
<w:r><w:t xml:space="preserve">meadow.  The extent to which the annual production of the</w:t></w:r>
</w:p>
<w:p>
<w:pPr><w:pStyle w:val="Normal"/></w:pPr>
<w:r><w:t xml:space="preserve">leading fodder crop may vary is shown in the table by the</w:t></w:r>
</w:p>
<w:p>
<w:pPr><w:pStyle w:val="Normal"/></w:pPr>
<w:r><w:t xml:space="preserve">two consecutive years 1893 and 1894; from only nine million</w:t></w:r>
</w:p>
<w:p>
<w:pPr><w:pStyle w:val="Normal"/></w:pPr>
<w:r><w:t xml:space="preserve">tons in the former year the production rose to upwards of</w:t></w:r>
</w:p>
<w:p>
<w:pPr><w:pStyle w:val="Normal"/></w:pPr>
<w:r><w:t xml:space="preserve">fifteen million tons in the latter, an increase of over 70%.</w:t></w:r>
</w:p>
<w:p>
<w:pPr><w:pStyle w:val="Normal"/></w:pPr>
<w:r><w:t xml:space="preserve">Turning to the average yields per acre, as ascertained by dividing</w:t></w:r>
</w:p>
<w:p>
<w:pPr><w:pStyle w:val="Normal"/></w:pPr>
<w:r><w:t xml:space="preserve">the number of acres into the total produce, the results of a</w:t></w:r>
</w:p>
<w:p>
<w:pPr><w:pStyle w:val="Normal"/></w:pPr>
<w:r><w:t xml:space="preserve">decade are collected in Table IX. The effects of a prolonged</w:t></w:r>
</w:p>
<w:p>
<w:pPr><w:pStyle w:val="Normal"/></w:pPr>
<w:r><w:t xml:space="preserve">TABLE IX.--Estimated Annual Average Yield per Acre of Crops</w:t></w:r>
</w:p>
<w:p>
<w:pPr><w:pStyle w:val="Normal"/></w:pPr>
<w:r><w:t xml:space="preserve">in United Kingdom, 1895-1904.</w:t></w:r>
</w:p>
<w:p>
<w:pPr><w:pStyle w:val="Normal"/></w:pPr>
<w:r><w:t xml:space="preserve">Year.     Wheat.  Barley.  Oats.   Beans.  Peas.   Potatoes.</w:t></w:r>
</w:p>
<w:p>
<w:pPr><w:pStyle w:val="Normal"/></w:pPr>
<w:r><w:t xml:space="preserve">Bush.   Bush.    Bush.   Bush.   Bush.   Tons.</w:t></w:r>
</w:p>
<w:p>
<w:pPr><w:pStyle w:val="Normal"/></w:pPr>
<w:r><w:t xml:space="preserve">1895      26.33   32.09    38.67   22.98   22.62   5.64</w:t></w:r>
</w:p>
<w:p>
<w:pPr><w:pStyle w:val="Normal"/></w:pPr>
<w:r><w:t xml:space="preserve">1896      33.63   34.16    37.97   25.69   25.34   4.93</w:t></w:r>
</w:p>
<w:p>
<w:pPr><w:pStyle w:val="Normal"/></w:pPr>
<w:r><w:t xml:space="preserve">1897      29.07   32.91    38.84   28.91   27.55   3.47</w:t></w:r>
</w:p>
<w:p>
<w:pPr><w:pStyle w:val="Normal"/></w:pPr>
<w:r><w:t xml:space="preserve">1898      34.75   36.24    42.27   31.13   27.60   5.23</w:t></w:r>
</w:p>
<w:p>
<w:pPr><w:pStyle w:val="Normal"/></w:pPr>
<w:r><w:t xml:space="preserve">1899      32.76   34.64    40.57   30.19   27.22   4.82</w:t></w:r>
</w:p>
<w:p>
<w:pPr><w:pStyle w:val="Normal"/></w:pPr>
<w:r><w:t xml:space="preserve">1900      28.61   31.67    39.97   28.18   25.89   3.77</w:t></w:r>
</w:p>
<w:p>
<w:pPr><w:pStyle w:val="Normal"/></w:pPr>
<w:r><w:t xml:space="preserve">1901      30.93   31.70    39.35   24.29   25.97   5.81</w:t></w:r>
</w:p>
<w:p>
<w:pPr><w:pStyle w:val="Normal"/></w:pPr>
<w:r><w:t xml:space="preserve">1902      32.91   35.83    44.50   31.49   28.51   4.92</w:t></w:r>
</w:p>
<w:p>
<w:pPr><w:pStyle w:val="Normal"/></w:pPr>
<w:r><w:t xml:space="preserve">1903      30.15   32.38    40.81   31.27   26.56   4.45</w:t></w:r>
</w:p>
<w:p>
<w:pPr><w:pStyle w:val="Normal"/></w:pPr>
<w:r><w:t xml:space="preserve">1904      26.97   31.25    40.80   23.23   25.75   5.24</w:t></w:r>
</w:p>
<w:p>
<w:pPr><w:pStyle w:val="Normal"/></w:pPr>
<w:r><w:t xml:space="preserve">Mean,</w:t></w:r>
</w:p>
<w:p>
<w:pPr><w:pStyle w:val="Normal"/></w:pPr>
<w:r><w:t xml:space="preserve">10 Years  30.85   33.28    20.35   27.68   26.24   4.84</w:t></w:r>
</w:p>
<w:p>
<w:pPr><w:pStyle w:val="Normal"/></w:pPr>
<w:r><w:t xml:space="preserve">1905      32.88   34.79    40.38   32.33   25.71   5.86</w:t></w:r>
</w:p>
<w:p>
<w:pPr><w:pStyle w:val="Normal"/></w:pPr>
<w:r><w:t xml:space="preserve">Turnips</w:t></w:r>
</w:p>
<w:p>
<w:pPr><w:pStyle w:val="Normal"/></w:pPr>
<w:r><w:t xml:space="preserve">and                 Hay,        Hay,</w:t></w:r>
</w:p>
<w:p>
<w:pPr><w:pStyle w:val="Normal"/></w:pPr>
<w:r><w:t xml:space="preserve">Year.     Swedes.  Mangels.  Rotation.   Permanent.</w:t></w:r>
</w:p>
<w:p>
<w:pPr><w:pStyle w:val="Normal"/></w:pPr>
<w:r><w:t xml:space="preserve">Tons.     Tons.       Cwt.        Cwt.</w:t></w:r>
</w:p>
<w:p>
<w:pPr><w:pStyle w:val="Normal"/></w:pPr>
<w:r><w:t xml:space="preserve">1895      13.11     16.44      29.08       25.21</w:t></w:r>
</w:p>
<w:p>
<w:pPr><w:pStyle w:val="Normal"/></w:pPr>
<w:r><w:t xml:space="preserve">1896      12.79     14.99      27.95       24.14</w:t></w:r>
</w:p>
<w:p>
<w:pPr><w:pStyle w:val="Normal"/></w:pPr>
<w:r><w:t xml:space="preserve">1897      13.90     18.03      32.53       30.71</w:t></w:r>
</w:p>
<w:p>
<w:pPr><w:pStyle w:val="Normal"/></w:pPr>
<w:r><w:t xml:space="preserve">1898      12.74     17.71      36.49       34.27</w:t></w:r>
</w:p>
<w:p>
<w:pPr><w:pStyle w:val="Normal"/></w:pPr>
<w:r><w:t xml:space="preserve">1899       9.97     17.41      31.04       29.11</w:t></w:r>
</w:p>
<w:p>
<w:pPr><w:pStyle w:val="Normal"/></w:pPr>
<w:r><w:t xml:space="preserve">1900      14.29     19.97      32.42       30.98</w:t></w:r>
</w:p>
<w:p>
<w:pPr><w:pStyle w:val="Normal"/></w:pPr>
<w:r><w:t xml:space="preserve">1901      12.95     19.37      28.98       23.85</w:t></w:r>
</w:p>
<w:p>
<w:pPr><w:pStyle w:val="Normal"/></w:pPr>
<w:r><w:t xml:space="preserve">1902      15.35     20.85      35.29       32.57</w:t></w:r>
</w:p>
<w:p>
<w:pPr><w:pStyle w:val="Normal"/></w:pPr>
<w:r><w:t xml:space="preserve">1903      12.44     17.19      33.07       31.27</w:t></w:r>
</w:p>
<w:p>
<w:pPr><w:pStyle w:val="Normal"/></w:pPr>
<w:r><w:t xml:space="preserve">1904      14.83     18.57      33.43       31.04</w:t></w:r>
</w:p>
<w:p>
<w:pPr><w:pStyle w:val="Normal"/></w:pPr>
<w:r><w:t xml:space="preserve">Mean,</w:t></w:r>
</w:p>
<w:p>
<w:pPr><w:pStyle w:val="Normal"/></w:pPr>
<w:r><w:t xml:space="preserve">10 Years  13.21     18.18      32.06       29.32</w:t></w:r>
</w:p>
<w:p>
<w:pPr><w:pStyle w:val="Normal"/></w:pPr>
<w:r><w:t xml:space="preserve">1905      14.19     19.91      32.24       28.37</w:t></w:r>
</w:p>
<w:p>
<w:pPr><w:pStyle w:val="Normal"/></w:pPr>
<w:r><w:t xml:space="preserve">spring and summer drought, like that of 1893, are exemplified</w:t></w:r>
</w:p>
<w:p>
<w:pPr><w:pStyle w:val="Normal"/></w:pPr>
<w:r><w:t xml:space="preserve">in the circumstance that four corn crops and the two hay crops</w:t></w:r>
</w:p>
<w:p>
<w:pPr><w:pStyle w:val="Normal"/></w:pPr>
<w:r><w:t xml:space="preserve">all registered very low average yields that year, viz. wheat</w:t></w:r>
</w:p>
<w:p>
<w:pPr><w:pStyle w:val="Normal"/></w:pPr>
<w:r><w:t xml:space="preserve">26.08 bushels, barley 29.30 bushels, oats 38.14 bushels, beans</w:t></w:r>
</w:p>
<w:p>
<w:pPr><w:pStyle w:val="Normal"/></w:pPr>
<w:r><w:t xml:space="preserve">19.61 bushels, rotation hay 23.55 cwt., permanent hay 20.41</w:t></w:r>
</w:p>
<w:p>
<w:pPr><w:pStyle w:val="Normal"/></w:pPr>
<w:r><w:t xml:space="preserve">cwt.  On the other hand, the season of 1898 was exceptionally</w:t></w:r>
</w:p>
<w:p>
<w:pPr><w:pStyle w:val="Normal"/></w:pPr>
<w:r><w:t xml:space="preserve">favourable to cereals and to hay.  The effects of a prolonged</w:t></w:r>
</w:p>
<w:p>
<w:pPr><w:pStyle w:val="Normal"/></w:pPr>
<w:r><w:t xml:space="preserve">autumn drought, as distinguished from spring and summer</w:t></w:r>
</w:p>
<w:p>
<w:pPr><w:pStyle w:val="Normal"/></w:pPr>
<w:r><w:t xml:space="preserve">drought, are shown in the very low yield of turnips in</w:t></w:r>
</w:p>
<w:p>
<w:pPr><w:pStyle w:val="Normal"/></w:pPr>
<w:r><w:t xml:space="preserve">1899.  Mangels are sown earlier and have a longer period of</w:t></w:r>
</w:p>
<w:p>
<w:pPr><w:pStyle w:val="Normal"/></w:pPr>
<w:r><w:t xml:space="preserve">growth than turnips; if they become well established in the</w:t></w:r>
</w:p>
<w:p>
<w:pPr><w:pStyle w:val="Normal"/></w:pPr>
<w:r><w:t xml:space="preserve">summer they are less susceptible to autumn drought.  The hay</w:t></w:r>
</w:p>
<w:p>
<w:pPr><w:pStyle w:val="Normal"/></w:pPr>
<w:r><w:t xml:space="preserve">made from closer, sainfoin and grasses under rotation generally</w:t></w:r>
</w:p>
<w:p>
<w:pPr><w:pStyle w:val="Normal"/></w:pPr>
<w:r><w:t xml:space="preserve">gives a bigger average yield than that from permanent grass</w:t></w:r>
</w:p>
<w:p>
<w:pPr><w:pStyle w:val="Normal"/></w:pPr>
<w:r><w:t xml:space="preserve">land.  The mean values at the foot of the table--they are</w:t></w:r>
</w:p>
<w:p>
<w:pPr><w:pStyle w:val="Normal"/></w:pPr>
<w:r><w:t xml:space="preserve">not, strictly speaking, exact averages--indicate the</w:t></w:r>
</w:p>
<w:p>
<w:pPr><w:pStyle w:val="Normal"/></w:pPr>
<w:r><w:t xml:space="preserve">average yields per acre in the United Kingdom to be about</w:t></w:r>
</w:p>
<w:p>
<w:pPr><w:pStyle w:val="Normal"/></w:pPr>
<w:r><w:t xml:space="preserve">31 bushels of wheat, 33 bushels of barley, 40 bushels of</w:t></w:r>
</w:p>
<w:p>
<w:pPr><w:pStyle w:val="Normal"/></w:pPr>
<w:r><w:t xml:space="preserve">oats, 28 bushels of neams, 26 bushels of peas, 4 3/4 tons of</w:t></w:r>
</w:p>
<w:p>
<w:pPr><w:pStyle w:val="Normal"/></w:pPr>
<w:r><w:t xml:space="preserve">potatoes, 13 1/4 tons of turnips and swedes, 18 1/4 tons of</w:t></w:r>
</w:p>
<w:p>
<w:pPr><w:pStyle w:val="Normal"/></w:pPr>
<w:r><w:t xml:space="preserve">mangels, 32 cwt. of hay from temporary grass, and 29 cwt. of</w:t></w:r>
</w:p>
<w:p>
<w:pPr><w:pStyle w:val="Normal"/></w:pPr>
<w:r><w:t xml:space="preserve">hay from permanenet grass.  Although enormous single crops of</w:t></w:r>
</w:p>
<w:p>
<w:pPr><w:pStyle w:val="Normal"/></w:pPr>
<w:r><w:t xml:space="preserve">TABLE X. Decennial Average Yields in Great Britain of Wheat,</w:t></w:r>
</w:p>
<w:p>
<w:pPr><w:pStyle w:val="Normal"/></w:pPr>
<w:r><w:t xml:space="preserve">Barley and Oats--Bushels per Acre.</w:t></w:r>
</w:p>
<w:p>
<w:pPr><w:pStyle w:val="Normal"/></w:pPr>
<w:r><w:t xml:space="preserve">10-Year</w:t></w:r>
</w:p>
<w:p>
<w:pPr><w:pStyle w:val="Normal"/></w:pPr>
<w:r><w:t xml:space="preserve">Periods.    Wheat.  Barley.  Oats.</w:t></w:r>
</w:p>
<w:p>
<w:pPr><w:pStyle w:val="Normal"/></w:pPr>
<w:r><w:t xml:space="preserve">1885-1894   29.32   33.02    38.21</w:t></w:r>
</w:p>
<w:p>
<w:pPr><w:pStyle w:val="Normal"/></w:pPr>
<w:r><w:t xml:space="preserve">1886-1895   28.81   32.68    38.23</w:t></w:r>
</w:p>
<w:p>
<w:pPr><w:pStyle w:val="Normal"/></w:pPr>
<w:r><w:t xml:space="preserve">1887-1896   29.49   32.82    38.13</w:t></w:r>
</w:p>
<w:p>
<w:pPr><w:pStyle w:val="Normal"/></w:pPr>
<w:r><w:t xml:space="preserve">1888-1897   29.19   32.97    38.51</w:t></w:r>
</w:p>
<w:p>
<w:pPr><w:pStyle w:val="Normal"/></w:pPr>
<w:r><w:t xml:space="preserve">1889-1898   29.86   33.26    38.86</w:t></w:r>
</w:p>
<w:p>
<w:pPr><w:pStyle w:val="Normal"/></w:pPr>
<w:r><w:t xml:space="preserve">1890-1899   30.15   33.50    38.81</w:t></w:r>
</w:p>
<w:p>
<w:pPr><w:pStyle w:val="Normal"/></w:pPr>
<w:r><w:t xml:space="preserve">1891-1900   29.92   33.13    38.46</w:t></w:r>
</w:p>
<w:p>
<w:pPr><w:pStyle w:val="Normal"/></w:pPr>
<w:r><w:t xml:space="preserve">1892-1901   29.83   32.80    38.26</w:t></w:r>
</w:p>
<w:p>
<w:pPr><w:pStyle w:val="Normal"/></w:pPr>
<w:r><w:t xml:space="preserve">1893-1902   30.53   32.83    38.64</w:t></w:r>
</w:p>
<w:p>
<w:pPr><w:pStyle w:val="Normal"/></w:pPr>
<w:r><w:t xml:space="preserve">1894-1903   30.95   33.16    39.05</w:t></w:r>
</w:p>
<w:p>
<w:pPr><w:pStyle w:val="Normal"/></w:pPr>
<w:r><w:t xml:space="preserve">1895-1904   30.56   32.82    38.81</w:t></w:r>
</w:p>
<w:p>
<w:pPr><w:pStyle w:val="Normal"/></w:pPr>
<w:r><w:t xml:space="preserve">1896-1905   31.21   33.04    38.92</w:t></w:r>
</w:p>
<w:p>
<w:pPr><w:pStyle w:val="Normal"/></w:pPr>
<w:r><w:t xml:space="preserve">mangels are sometimes grown, amounting occasionally to 100</w:t></w:r>
</w:p>
<w:p>
<w:pPr><w:pStyle w:val="Normal"/></w:pPr>
<w:r><w:t xml:space="preserve">tons per acre, the general average yield of 18 1/4 tons is</w:t></w:r>
</w:p>
<w:p>
<w:pPr><w:pStyle w:val="Normal"/></w:pPr>
<w:r><w:t xml:space="preserve">about 5 tons more than that of turnips and swedes.  Again,</w:t></w:r>
</w:p>
<w:p>
<w:pPr><w:pStyle w:val="Normal"/></w:pPr>
<w:r><w:t xml:space="preserve">although from the richest old permanent meadow-lands very</w:t></w:r>
</w:p>
<w:p>
<w:pPr><w:pStyle w:val="Normal"/></w:pPr>
<w:r><w:t xml:space="preserve">heavy crops of hay are taken season after season, the general</w:t></w:r>
</w:p>
<w:p>
<w:pPr><w:pStyle w:val="Normal"/></w:pPr>
<w:r><w:t xml:space="preserve">average yield of permanent grass is about 3 cwt. of hay per</w:t></w:r>
</w:p>
<w:p>
<w:pPr><w:pStyle w:val="Normal"/></w:pPr>
<w:r><w:t xml:space="preserve">acre less than that from clover, sainfoin and grasses under</w:t></w:r>
</w:p>
<w:p>
<w:pPr><w:pStyle w:val="Normal"/></w:pPr>
<w:r><w:t xml:space="preserve">rotation.  The general average yields of the corn crops are</w:t></w:r>
</w:p>
<w:p>
<w:pPr><w:pStyle w:val="Normal"/></w:pPr>
<w:r><w:t xml:space="preserve">not fairly comparable one with the other, because they are</w:t></w:r>
</w:p>
<w:p>
<w:pPr><w:pStyle w:val="Normal"/></w:pPr>
<w:r><w:t xml:space="preserve">given by measure and not by weight, whereas the weight per</w:t></w:r>
</w:p>
<w:p>
<w:pPr><w:pStyle w:val="Normal"/></w:pPr>
<w:r><w:t xml:space="preserve">bushel varies considerably.  For purposes of comparison it</w:t></w:r>
</w:p>
<w:p>
<w:pPr><w:pStyle w:val="Normal"/></w:pPr>
<w:r><w:t xml:space="preserve">would be much better if the yields of corn crops were estimated</w:t></w:r>
</w:p>
<w:p>
<w:pPr><w:pStyle w:val="Normal"/></w:pPr>
<w:r><w:t xml:space="preserve">in cwt. per acre.  This, indeed, is the practice in Ireland,</w:t></w:r>
</w:p>
<w:p>
<w:pPr><w:pStyle w:val="Normal"/></w:pPr>
<w:r><w:t xml:space="preserve">and in order to incorporate the Irish figures with those for</w:t></w:r>
</w:p>
<w:p>
<w:pPr><w:pStyle w:val="Normal"/></w:pPr>
<w:r><w:t xml:space="preserve">Great Britain so as to obtain average values for the United</w:t></w:r>
</w:p>
<w:p>
<w:pPr><w:pStyle w:val="Normal"/></w:pPr>
<w:r><w:t xml:space="preserve">Kingdom, the Irish yields are calculated into bushels at</w:t></w:r>
</w:p>
<w:p>
<w:pPr><w:pStyle w:val="Normal"/></w:pPr>
<w:r><w:t xml:space="preserve">the rate of 60lb to the bushel of wheat, of beans and peas,</w:t></w:r>
</w:p>
<w:p>
<w:pPr><w:pStyle w:val="Normal"/></w:pPr>
<w:r><w:t xml:space="preserve">50lb to the bushel of barley and 39lb to the bushel of oats.</w:t></w:r>
</w:p>
<w:p>
<w:pPr><w:pStyle w:val="Normal"/></w:pPr>
<w:r><w:t xml:space="preserve">The figure denoting the general average yield per acre of</w:t></w:r>
</w:p>
<w:p>
<w:pPr><w:pStyle w:val="Normal"/></w:pPr>
<w:r><w:t xml:space="preserve">any class of crop need re-adjustment after every successive</w:t></w:r>
</w:p>
<w:p>
<w:pPr><w:pStyle w:val="Normal"/></w:pPr>
<w:r><w:t xml:space="preserve">harvest.  If a decennial period be taken, then--for the</w:t></w:r>
</w:p>
<w:p>
<w:pPr><w:pStyle w:val="Normal"/></w:pPr>
<w:r><w:t xml:space="preserve">purpose of the new calculation--the earliest year is omitted</w:t></w:r>
</w:p>
<w:p>
<w:pPr><w:pStyle w:val="Normal"/></w:pPr>
<w:r><w:t xml:space="preserve">and the latest year added, the number of years continuing at</w:t></w:r>
</w:p>
<w:p>
<w:pPr><w:pStyle w:val="Normal"/></w:pPr>
<w:r><w:t xml:space="preserve">ten.  Adopting this course in the case of the cereal crops</w:t></w:r>
</w:p>
<w:p>
<w:pPr><w:pStyle w:val="Normal"/></w:pPr>
<w:r><w:t xml:space="preserve">of Great Britain the decennial averages recorded in Table</w:t></w:r>
</w:p>
<w:p>
<w:pPr><w:pStyle w:val="Heading1"/></w:pPr>
<w:r><w:t>X. are obtained, the period 1885-1894 being the earliest</w:t></w:r>
</w:p>
<w:p>
<w:pPr><w:pStyle w:val="Normal"/></w:pPr>
<w:r><w:t xml:space="preserve">decade for which the official figures are available.</w:t></w:r>
</w:p>
<w:p>
<w:pPr><w:pStyle w:val="Normal"/></w:pPr>
<w:r><w:t xml:space="preserve">It thus appears that the average yield of wheat in Great</w:t></w:r>
</w:p>
<w:p>
<w:pPr><w:pStyle w:val="Normal"/></w:pPr>
<w:r><w:t xml:space="preserve">Britain, as calculated upon the crops harvested during the</w:t></w:r>
</w:p>
<w:p>
<w:pPr><w:pStyle w:val="Normal"/></w:pPr>
<w:r><w:t xml:space="preserve">ten years (1896-1905), exceeded 31 bushels to the acre,</w:t></w:r>
</w:p>
<w:p>
<w:pPr><w:pStyle w:val="Normal"/></w:pPr>
<w:r><w:t xml:space="preserve">whereas, for the ten years ended 1895, it fell below 29</w:t></w:r>
</w:p>
<w:p>
<w:pPr><w:pStyle w:val="Normal"/></w:pPr>
<w:r><w:t xml:space="preserve">bushels.  A large expansion in the acreage of the wheat crop</w:t></w:r>
</w:p>
<w:p>
<w:pPr><w:pStyle w:val="Normal"/></w:pPr>
<w:r><w:t xml:space="preserve">would probably be attended by a decline in the average yield</w:t></w:r>
</w:p>
<w:p>
<w:pPr><w:pStyle w:val="Normal"/></w:pPr>
<w:r><w:t xml:space="preserve">per acre, for when a crop is shrinking in area the tendency</w:t></w:r>
</w:p>
<w:p>
<w:pPr><w:pStyle w:val="Normal"/></w:pPr>
<w:r><w:t xml:space="preserve">is to withdraw from it first the land least suited to its</w:t></w:r>
</w:p>
<w:p>
<w:pPr><w:pStyle w:val="Normal"/></w:pPr>
<w:r><w:t xml:space="preserve">growth.  The general average for the United Kingdom might then</w:t></w:r>
</w:p>
<w:p>
<w:pPr><w:pStyle w:val="Normal"/></w:pPr>
<w:r><w:t xml:space="preserve">recede to rather less than 28 bushels of 60 lb. per bushel,</w:t></w:r>
</w:p>
<w:p>
<w:pPr><w:pStyle w:val="Normal"/></w:pPr>
<w:r><w:t xml:space="preserve">which was for a long time the accepted average--unless, of</w:t></w:r>
</w:p>
<w:p>
<w:pPr><w:pStyle w:val="Normal"/></w:pPr>
<w:r><w:t xml:space="preserve">course, improved methods of cultivating and manuring the</w:t></w:r>
</w:p>
<w:p>
<w:pPr><w:pStyle w:val="Normal"/></w:pPr>
<w:r><w:t xml:space="preserve">soil were to increase its general wheat-yielding capacity.6</w:t></w:r>
</w:p>
<w:p>
<w:pPr><w:pStyle w:val="Normal"/></w:pPr>
<w:r><w:t xml:space="preserve">Crops and Cropping.</w:t></w:r>
</w:p>
<w:p>
<w:pPr><w:pStyle w:val="Normal"/></w:pPr>
<w:r><w:t xml:space="preserve">The greater freedom of cropping and the less close adherence</w:t></w:r>
</w:p>
<w:p>
<w:pPr><w:pStyle w:val="Normal"/></w:pPr>
<w:r><w:t xml:space="preserve">to the formal system of rotation of crops, which characterize</w:t></w:r>
</w:p>
<w:p>
<w:pPr><w:pStyle w:val="Normal"/></w:pPr>
<w:r><w:t xml:space="preserve">the early years of the 20th century, rest upon a scientific</w:t></w:r>
</w:p>
<w:p>
<w:pPr><w:pStyle w:val="Normal"/></w:pPr>
<w:r><w:t xml:space="preserve">basis.  Experimental inquiry has done much to enlighten the</w:t></w:r>
</w:p>
<w:p>
<w:pPr><w:pStyle w:val="Normal"/></w:pPr>
<w:r><w:t xml:space="preserve">farmer as to the requirements of plant-life, and to enable</w:t></w:r>
</w:p>
<w:p>
<w:pPr><w:pStyle w:val="Normal"/></w:pPr>
<w:r><w:t xml:space="preserve">him to see how best to meet these requirements in the case</w:t></w:r>
</w:p>
<w:p>
<w:pPr><w:pStyle w:val="Normal"/></w:pPr>
<w:r><w:t xml:space="preserve">of field crops.  He cannot afford to ignore the results</w:t></w:r>
</w:p>
<w:p>
<w:pPr><w:pStyle w:val="Normal"/></w:pPr>
<w:r><w:t xml:space="preserve">that have been gradually accumulated--the truths that have</w:t></w:r>
</w:p>
<w:p>
<w:pPr><w:pStyle w:val="Normal"/></w:pPr>
<w:r><w:t xml:space="preserve">been slowly established--at the agricultural experiment</w:t></w:r>
</w:p>
<w:p>
<w:pPr><w:pStyle w:val="Normal"/></w:pPr>
<w:r><w:t xml:space="preserve">stations in various parts of the world.  Of these stations</w:t></w:r>
</w:p>
<w:p>
<w:pPr><w:pStyle w:val="Normal"/></w:pPr>
<w:r><w:t xml:space="preserve">the greatest, and the oldest now existing, is that at</w:t></w:r>
</w:p>
<w:p>
<w:pPr><w:pStyle w:val="Normal"/></w:pPr>
<w:r><w:t xml:space="preserve">Rothamsted, Harpenden, Herts, England, which was founded in</w:t></w:r>
</w:p>
<w:p>
<w:pPr><w:pStyle w:val="Normal"/></w:pPr>
<w:r><w:t xml:space="preserve">1843 by Sir John Bennet Lawes (q.v.).  The results of more</w:t></w:r>
</w:p>
<w:p>
<w:pPr><w:pStyle w:val="Normal"/></w:pPr>
<w:r><w:t xml:space="preserve">than half a century of sustained experimental inquiry were</w:t></w:r>
</w:p>
<w:p>
<w:pPr><w:pStyle w:val="Normal"/></w:pPr>
<w:r><w:t xml:space="preserve">communicated to the world by Lawes and his collaborator,</w:t></w:r>
</w:p>
<w:p>
<w:pPr><w:pStyle w:val="Normal"/></w:pPr>
<w:r><w:t xml:space="preserve">Sir J. H. Gilbert, in about 130 separate papers or reports,</w:t></w:r>
</w:p>
<w:p>
<w:pPr><w:pStyle w:val="Normal"/></w:pPr>
<w:r><w:t xml:space="preserve">many of which were published, from 1847 onwards, in the</w:t></w:r>
</w:p>
<w:p>
<w:pPr><w:pStyle w:val="Normal"/></w:pPr>
<w:r><w:t xml:space="preserve">Journal of the Royal Agricultural Society of England.7</w:t></w:r>
</w:p>
<w:p>
<w:pPr><w:pStyle w:val="Normal"/></w:pPr>
<w:r><w:t xml:space="preserve">In the case of plants the method of procedure was to grow</w:t></w:r>
</w:p>
<w:p>
<w:pPr><w:pStyle w:val="Normal"/></w:pPr>
<w:r><w:t xml:space="preserve">some of the most important crops of rotation, each separately</w:t></w:r>
</w:p>
<w:p>
<w:pPr><w:pStyle w:val="Normal"/></w:pPr>
<w:r><w:t xml:space="preserve">year after year, for many years in succession on the same</w:t></w:r>
</w:p>
<w:p>
<w:pPr><w:pStyle w:val="Normal"/></w:pPr>
<w:r><w:t xml:space="preserve">land, (a) without manure, (b) with farmyard manure and</w:t></w:r>
</w:p>
<w:p>
<w:pPr><w:pStyle w:val="Normal"/></w:pPr>
<w:r><w:t xml:space="preserve">(c) with a great variety of chemical manures; the same</w:t></w:r>
</w:p>
<w:p>
<w:pPr><w:pStyle w:val="Normal"/></w:pPr>
<w:r><w:t xml:space="preserve">description of manure being, as a rule, applied year after</w:t></w:r>
</w:p>
<w:p>
<w:pPr><w:pStyle w:val="Normal"/></w:pPr>
<w:r><w:t xml:space="preserve">year on the same plot.  Experiments on an actual course of</w:t></w:r>
</w:p>
<w:p>
<w:pPr><w:pStyle w:val="Normal"/></w:pPr>
<w:r><w:t xml:space="preserve">rotation, without manure, and with different manures, have</w:t></w:r>
</w:p>
<w:p>
<w:pPr><w:pStyle w:val="Normal"/></w:pPr>
<w:r><w:t xml:space="preserve">also been made.  Wheat, barley, oats, beans, clover and other</w:t></w:r>
</w:p>
<w:p>
<w:pPr><w:pStyle w:val="Normal"/></w:pPr>
<w:r><w:t xml:space="preserve">leguminous plants, turnips, sugar beet, mangels, potatoes and</w:t></w:r>
</w:p>
<w:p>
<w:pPr><w:pStyle w:val="Normal"/></w:pPr>
<w:r><w:t xml:space="preserve">grass crops have thus been experimented upon.  Incidentally</w:t></w:r>
</w:p>
<w:p>
<w:pPr><w:pStyle w:val="Normal"/></w:pPr>
<w:r><w:t xml:space="preserve">there have been extensive sampling and analysing of soils,</w:t></w:r>
</w:p>
<w:p>
<w:pPr><w:pStyle w:val="Normal"/></w:pPr>
<w:r><w:t xml:space="preserve">investigations into rainfall and the composition of drainage</w:t></w:r>
</w:p>
<w:p>
<w:pPr><w:pStyle w:val="Normal"/></w:pPr>
<w:r><w:t xml:space="preserve">waters, inquiries into the amount of water transpired by</w:t></w:r>
</w:p>
<w:p>
<w:pPr><w:pStyle w:val="Normal"/></w:pPr>
<w:r><w:t xml:space="preserve">plants, and experiments on the assimilation of free nitrogen.</w:t></w:r>
</w:p>
<w:p>
<w:pPr><w:pStyle w:val="Normal"/></w:pPr>
<w:r><w:t xml:space="preserve">Cereals--Amongst the field experiments there is, perhaps,</w:t></w:r>
</w:p>
<w:p>
<w:pPr><w:pStyle w:val="Normal"/></w:pPr>
<w:r><w:t xml:space="preserve">not one of more universal interest than that in which wheat</w:t></w:r>
</w:p>
<w:p>
<w:pPr><w:pStyle w:val="Normal"/></w:pPr>
<w:r><w:t xml:space="preserve">was grown for fifty-seven years in succession, (a) without</w:t></w:r>
</w:p>
<w:p>
<w:pPr><w:pStyle w:val="Normal"/></w:pPr>
<w:r><w:t xml:space="preserve">manure, (b) with farmyard manure and (c) with various</w:t></w:r>
</w:p>
<w:p>
<w:pPr><w:pStyle w:val="Normal"/></w:pPr>
<w:r><w:t xml:space="preserve">artificial manures.  The results show that, unlike leguminous</w:t></w:r>
</w:p>
<w:p>
<w:pPr><w:pStyle w:val="Normal"/></w:pPr>
<w:r><w:t xml:space="preserve">crops such as beans or clover, wheat may be successfully</w:t></w:r>
</w:p>
<w:p>
<w:pPr><w:pStyle w:val="Normal"/></w:pPr>
<w:r><w:t xml:space="preserve">grown for many years in succession on ordinary arable land,</w:t></w:r>
</w:p>
<w:p>
<w:pPr><w:pStyle w:val="Normal"/></w:pPr>
<w:r><w:t xml:space="preserve">provided suitable manures be applied and the land be kept</w:t></w:r>
</w:p>
<w:p>
<w:pPr><w:pStyle w:val="Normal"/></w:pPr>
<w:r><w:t xml:space="preserve">clean.  Even without manure the average produce over forty-six</w:t></w:r>
</w:p>
<w:p>
<w:pPr><w:pStyle w:val="Normal"/></w:pPr>
<w:r><w:t xml:space="preserve">years, 1852-1897, was nearly thirteen bushels per acre, or</w:t></w:r>
</w:p>
<w:p>
<w:pPr><w:pStyle w:val="Normal"/></w:pPr>
<w:r><w:t xml:space="preserve">about the average yield per acre of the wheat lands of the whole</w:t></w:r>
</w:p>
<w:p>
<w:pPr><w:pStyle w:val="Normal"/></w:pPr>
<w:r><w:t xml:space="preserve">world.  Mineral manures alone give very little increase,</w:t></w:r>
</w:p>
<w:p>
<w:pPr><w:pStyle w:val="Normal"/></w:pPr>
<w:r><w:t xml:space="preserve">nitrogenous manures alone considerably more than mineral</w:t></w:r>
</w:p>
<w:p>
<w:pPr><w:pStyle w:val="Normal"/></w:pPr>
<w:r><w:t xml:space="preserve">manures alone, but the mixture of the two considerably more</w:t></w:r>
</w:p>
<w:p>
<w:pPr><w:pStyle w:val="Normal"/></w:pPr>
<w:r><w:t xml:space="preserve">than either separately.  In one case, indeed, the average</w:t></w:r>
</w:p>
<w:p>
<w:pPr><w:pStyle w:val="Normal"/></w:pPr>
<w:r><w:t xml:space="preserve">produce by mixed minerals and nitrogenous manure was more</w:t></w:r>
</w:p>
<w:p>
<w:pPr><w:pStyle w:val="Normal"/></w:pPr>
<w:r><w:t xml:space="preserve">than that by the annual application of farmyard manure; and</w:t></w:r>
</w:p>
<w:p>
<w:pPr><w:pStyle w:val="Normal"/></w:pPr>
<w:r><w:t xml:space="preserve">in seven out of the ten cases in which such mixtures were</w:t></w:r>
</w:p>
<w:p>
<w:pPr><w:pStyle w:val="Normal"/></w:pPr>
<w:r><w:t xml:space="preserve">used the average yield per acre was from over two to over</w:t></w:r>
</w:p>
<w:p>
<w:pPr><w:pStyle w:val="Normal"/></w:pPr>
<w:r><w:t xml:space="preserve">eight bushels more than the average yield of the United</w:t></w:r>
</w:p>
<w:p>
<w:pPr><w:pStyle w:val="Normal"/></w:pPr>
<w:r><w:t xml:space="preserve">Kingdom (assuming this to be about twenty-eight bushels of</w:t></w:r>
</w:p>
<w:p>
<w:pPr><w:pStyle w:val="Normal"/></w:pPr>
<w:r><w:t xml:space="preserve">60 lb. per bushel) under ordinary rotation.  It is estimated</w:t></w:r>
</w:p>
<w:p>
<w:pPr><w:pStyle w:val="Normal"/></w:pPr>
<w:r><w:t xml:space="preserve">that the reduction in yield of the unmanured plot over the</w:t></w:r>
</w:p>
<w:p>
<w:pPr><w:pStyle w:val="Normal"/></w:pPr>
<w:r><w:t xml:space="preserve">forty years, 1852-1891, after the growth of the crops without</w:t></w:r>
</w:p>
<w:p>
<w:pPr><w:pStyle w:val="Normal"/></w:pPr>
<w:r><w:t xml:space="preserve">manure during the eight preceding years, was, provided it had</w:t></w:r>
</w:p>
<w:p>
<w:pPr><w:pStyle w:val="Normal"/></w:pPr>
<w:r><w:t xml:space="preserve">been uniform throughout, equivalent to a decline of one-sixth</w:t></w:r>
</w:p>
<w:p>
<w:pPr><w:pStyle w:val="Normal"/></w:pPr>
<w:r><w:t xml:space="preserve">of a bushel from year to year due to exhaustion--that is,</w:t></w:r>
</w:p>
<w:p>
<w:pPr><w:pStyle w:val="Normal"/></w:pPr>
<w:r><w:t xml:space="preserve">irrespectively of fluctuations due to season.  It is related</w:t></w:r>
</w:p>
<w:p>
<w:pPr><w:pStyle w:val="Normal"/></w:pPr>
<w:r><w:t xml:space="preserve">that a visitor from the United States, talking to Sir John</w:t></w:r>
</w:p>
<w:p>
<w:pPr><w:pStyle w:val="Normal"/></w:pPr>
<w:r><w:t xml:space="preserve">Lawes, said, ``Americans have learnt more from this field</w:t></w:r>
</w:p>
<w:p>
<w:pPr><w:pStyle w:val="Normal"/></w:pPr>
<w:r><w:t xml:space="preserve">than from any other agricultural experiment in the world.&apos;&apos;</w:t></w:r>
</w:p>
<w:p>
<w:pPr><w:pStyle w:val="Normal"/></w:pPr>
<w:r><w:t xml:space="preserve">Experiments upon the growth of barley for fifty years in</w:t></w:r>
</w:p>
<w:p>
<w:pPr><w:pStyle w:val="Normal"/></w:pPr>
<w:r><w:t xml:space="preserve">succession on rather heavy ordinary arable soil resulted in</w:t></w:r>
</w:p>
<w:p>
<w:pPr><w:pStyle w:val="Normal"/></w:pPr>
<w:r><w:t xml:space="preserve">showing that the produce by mineral manures alone is larger</w:t></w:r>
</w:p>
<w:p>
<w:pPr><w:pStyle w:val="Normal"/></w:pPr>
<w:r><w:t xml:space="preserve">than that without manure; that nitrogenous manures alone give</w:t></w:r>
</w:p>
<w:p>
<w:pPr><w:pStyle w:val="Normal"/></w:pPr>
<w:r><w:t xml:space="preserve">more produce than mineral manures alone; and that mixtures</w:t></w:r>
</w:p>
<w:p>
<w:pPr><w:pStyle w:val="Normal"/></w:pPr>
<w:r><w:t xml:space="preserve">of mineral and nitrogenous manure give much more than either</w:t></w:r>
</w:p>
<w:p>
<w:pPr><w:pStyle w:val="Normal"/></w:pPr>
<w:r><w:t xml:space="preserve">used alone--generally twice, or more than twice, as much as</w:t></w:r>
</w:p>
<w:p>
<w:pPr><w:pStyle w:val="Normal"/></w:pPr>
<w:r><w:t xml:space="preserve">mineral manures alone.  Of mineral constituents, whether used</w:t></w:r>
</w:p>
<w:p>
<w:pPr><w:pStyle w:val="Normal"/></w:pPr>
<w:r><w:t xml:space="preserve">alone or in mixture with nitrogenous manures, phosphates are</w:t></w:r>
</w:p>
<w:p>
<w:pPr><w:pStyle w:val="Normal"/></w:pPr>
<w:r><w:t xml:space="preserve">much more effective than mixtures of salts of potash, soda and</w:t></w:r>
</w:p>
<w:p>
<w:pPr><w:pStyle w:val="Normal"/></w:pPr>
<w:r><w:t xml:space="preserve">magnesia.  The average results show that, under all conditions</w:t></w:r>
</w:p>
<w:p>
<w:pPr><w:pStyle w:val="Normal"/></w:pPr>
<w:r><w:t xml:space="preserve">of manuring--excepting with farmyard manure--the produce</w:t></w:r>
</w:p>
<w:p>
<w:pPr><w:pStyle w:val="Normal"/></w:pPr>
<w:r><w:t xml:space="preserve">was less over the later than over the earlier periods of the</w:t></w:r>
</w:p>
<w:p>
<w:pPr><w:pStyle w:val="Normal"/></w:pPr>
<w:r><w:t xml:space="preserve">experiments, an effect partly due to the seasons.  But the</w:t></w:r>
</w:p>
<w:p>
<w:pPr><w:pStyle w:val="Normal"/></w:pPr>
<w:r><w:t xml:space="preserve">average produce over forty years of continuous growth of</w:t></w:r>
</w:p>
<w:p>
<w:pPr><w:pStyle w:val="Normal"/></w:pPr>
<w:r><w:t xml:space="preserve">barley was, in all cases where nitrogenous and mineral manures</w:t></w:r>
</w:p>
<w:p>
<w:pPr><w:pStyle w:val="Normal"/></w:pPr>
<w:r><w:t xml:space="preserve">(containing phosphates) were used together, much higher than</w:t></w:r>
</w:p>
<w:p>
<w:pPr><w:pStyle w:val="Normal"/></w:pPr>
<w:r><w:t xml:space="preserve">the average produce of the crop grown in ordinary rotation</w:t></w:r>
</w:p>
<w:p>
<w:pPr><w:pStyle w:val="Normal"/></w:pPr>
<w:r><w:t xml:space="preserve">in the United Kingdom, and very much higher than the average</w:t></w:r>
</w:p>
<w:p>
<w:pPr><w:pStyle w:val="Normal"/></w:pPr>
<w:r><w:t xml:space="preserve">in most other countries when so grown.  The requirements of</w:t></w:r>
</w:p>
<w:p>
<w:pPr><w:pStyle w:val="Normal"/></w:pPr>
<w:r><w:t xml:space="preserve">barley within the soil, and its susceptibility to the external</w:t></w:r>
</w:p>
<w:p>
<w:pPr><w:pStyle w:val="Normal"/></w:pPr>
<w:r><w:t xml:space="preserve">influences of season, are very similar to those of its near ally,</w:t></w:r>
</w:p>
<w:p>
<w:pPr><w:pStyle w:val="Normal"/></w:pPr>
<w:r><w:t xml:space="preserve">wheat.  Nevertheless there are distinctions of result dependent</w:t></w:r>
</w:p>
<w:p>
<w:pPr><w:pStyle w:val="Normal"/></w:pPr>
<w:r><w:t xml:space="preserve">on differences in the habits of the two plants, and in the</w:t></w:r>
</w:p>
<w:p>
<w:pPr><w:pStyle w:val="Normal"/></w:pPr>
<w:r><w:t xml:space="preserve">conditions of their cultivation accordingly.  In the British</w:t></w:r>
</w:p>
<w:p>
<w:pPr><w:pStyle w:val="Normal"/></w:pPr>
<w:r><w:t xml:space="preserve">Isles wheat is, as a rule, sown in the autumn on a heavier</w:t></w:r>
</w:p>
<w:p>
<w:pPr><w:pStyle w:val="Normal"/></w:pPr>
<w:r><w:t xml:space="preserve">soil, and has four or five months in which to distribute its</w:t></w:r>
</w:p>
<w:p>
<w:pPr><w:pStyle w:val="Normal"/></w:pPr>
<w:r><w:t xml:space="preserve">roots, and so it gets possession of a wide range of soil and</w:t></w:r>
</w:p>
<w:p>
<w:pPr><w:pStyle w:val="Normal"/></w:pPr>
<w:r><w:t xml:space="preserve">subsoil before barley is sown in the spring.  Barley, on the</w:t></w:r>
</w:p>
<w:p>
<w:pPr><w:pStyle w:val="Normal"/></w:pPr>
<w:r><w:t xml:space="preserve">other hand, is sown in a lighter surface soil, and, with its</w:t></w:r>
</w:p>
<w:p>
<w:pPr><w:pStyle w:val="Normal"/></w:pPr>
<w:r><w:t xml:space="preserve">short period for root-development, relies in a much greater</w:t></w:r>
</w:p>
<w:p>
<w:pPr><w:pStyle w:val="Normal"/></w:pPr>
<w:r><w:t xml:space="preserve">degree on the stores of plant-food within the surface soil.</w:t></w:r>
</w:p>
<w:p>
<w:pPr><w:pStyle w:val="Normal"/></w:pPr>
<w:r><w:t xml:space="preserve">Accordingly it is more susceptible to exhaustion of surface</w:t></w:r>
</w:p>
<w:p>
<w:pPr><w:pStyle w:val="Normal"/></w:pPr>
<w:r><w:t xml:space="preserve">soil as to its nitrogenous, and especially as to its mineral</w:t></w:r>
</w:p>
<w:p>
<w:pPr><w:pStyle w:val="Normal"/></w:pPr>
<w:r><w:t xml:space="preserve">supplies; and in the common practice of agriculture it is found</w:t></w:r>
</w:p>
<w:p>
<w:pPr><w:pStyle w:val="Normal"/></w:pPr>
<w:r><w:t xml:space="preserve">to be more benefited by direct mineral manures, especially</w:t></w:r>
</w:p>
<w:p>
<w:pPr><w:pStyle w:val="Normal"/></w:pPr>
<w:r><w:t xml:space="preserve">phosphatic manures, than is wheat when sown under equal soil</w:t></w:r>
</w:p>
<w:p>
<w:pPr><w:pStyle w:val="Normal"/></w:pPr>
<w:r><w:t xml:space="preserve">conditions.  The exhaustion of the soil induced by both barley</w:t></w:r>
</w:p>
<w:p>
<w:pPr><w:pStyle w:val="Normal"/></w:pPr>
<w:r><w:t xml:space="preserve">and wheat is, however, characteristically that of available</w:t></w:r>
</w:p>
<w:p>
<w:pPr><w:pStyle w:val="Normal"/></w:pPr>
<w:r><w:t xml:space="preserve">nitrogen; and when, under the ordinary conditions of manuring</w:t></w:r>
</w:p>
<w:p>
<w:pPr><w:pStyle w:val="Normal"/></w:pPr>
<w:r><w:t xml:space="preserve">and cropping, artificial manure is still required, nitrogenous</w:t></w:r>
</w:p>
<w:p>
<w:pPr><w:pStyle w:val="Normal"/></w:pPr>
<w:r><w:t xml:space="preserve">manures are, as a rule, necessary for both crops, and, for</w:t></w:r>
</w:p>
<w:p>
<w:pPr><w:pStyle w:val="Normal"/></w:pPr>
<w:r><w:t xml:space="preserve">the spring-sown barley, superphosphate also.  Although barley</w:t></w:r>
</w:p>
<w:p>
<w:pPr><w:pStyle w:val="Normal"/></w:pPr>
<w:r><w:t xml:space="preserve">is appropriately grown on lighter soils than wheat, good</w:t></w:r>
</w:p>
<w:p>
<w:pPr><w:pStyle w:val="Normal"/></w:pPr>
<w:r><w:t xml:space="preserve">crops, of fair quality, may be grown on the heavier soils</w:t></w:r>
</w:p>
<w:p>
<w:pPr><w:pStyle w:val="Normal"/></w:pPr>
<w:r><w:t xml:space="preserve">after another grain crop by the aid of artificial manures,</w:t></w:r>
</w:p>
<w:p>
<w:pPr><w:pStyle w:val="Normal"/></w:pPr>
<w:r><w:t xml:space="preserve">provided that the land is sufficiently clean.  Experiments</w:t></w:r>
</w:p>
<w:p>
<w:pPr><w:pStyle w:val="Normal"/></w:pPr>
<w:r><w:t xml:space="preserve">similar to the foregoing were carried on for many years in</w:t></w:r>
</w:p>
<w:p>
<w:pPr><w:pStyle w:val="Normal"/></w:pPr>
<w:r><w:t xml:space="preserve">succession at Rothamsted upon oats, and gave results which were</w:t></w:r>
</w:p>
<w:p>
<w:pPr><w:pStyle w:val="Normal"/></w:pPr>
<w:r><w:t xml:space="preserve">in general accordance with those on the other cereal crops.</w:t></w:r>
</w:p>
<w:p>
<w:pPr><w:pStyle w:val="Normal"/></w:pPr>
<w:r><w:t xml:space="preserve">Additional significance to the value of the above experiments</w:t></w:r>
</w:p>
<w:p>
<w:pPr><w:pStyle w:val="Normal"/></w:pPr>
<w:r><w:t xml:space="preserve">on wheat and barley is afforded by the fact that the same</w:t></w:r>
</w:p>
<w:p>
<w:pPr><w:pStyle w:val="Normal"/></w:pPr>
<w:r><w:t xml:space="preserve">series, with but slight modifications, has also been carried</w:t></w:r>
</w:p>
<w:p>
<w:pPr><w:pStyle w:val="Normal"/></w:pPr>
<w:r><w:t xml:space="preserve">out since 1876 at the Woburn (Bedfordshire) experimental</w:t></w:r>
</w:p>
<w:p>
<w:pPr><w:pStyle w:val="Normal"/></w:pPr>
<w:r><w:t xml:space="preserve">farm of the Royal Agricultural Society of England, the soil</w:t></w:r>
</w:p>
<w:p>
<w:pPr><w:pStyle w:val="Normal"/></w:pPr>
<w:r><w:t xml:space="preserve">here being of light sandy character, and thus very different</w:t></w:r>
</w:p>
<w:p>
<w:pPr><w:pStyle w:val="Normal"/></w:pPr>
<w:r><w:t xml:space="preserve">from the heavy soil of Rothamsted.  The results for the</w:t></w:r>
</w:p>
<w:p>
<w:pPr><w:pStyle w:val="Normal"/></w:pPr>
<w:r><w:t xml:space="preserve">thirty years, 1877-1906, are in their general features</w:t></w:r>
</w:p>
<w:p>
<w:pPr><w:pStyle w:val="Normal"/></w:pPr>
<w:r><w:t xml:space="preserve">entirely confirmatory of those obtained at Rothamsted.</w:t></w:r>
</w:p>
<w:p>
<w:pPr><w:pStyle w:val="Normal"/></w:pPr>
<w:r><w:t xml:space="preserve">Root-Crops.--Experiments upon root-crops--chiefly white</w:t></w:r>
</w:p>
<w:p>
<w:pPr><w:pStyle w:val="Normal"/></w:pPr>
<w:r><w:t xml:space="preserve">turnips, Swedish turnips (swedes) and mangels--have resulted</w:t></w:r>
</w:p>
<w:p>
<w:pPr><w:pStyle w:val="Normal"/></w:pPr>
<w:r><w:t xml:space="preserve">in the establishment of the following conclusions.  Both the</w:t></w:r>
</w:p>
<w:p>
<w:pPr><w:pStyle w:val="Normal"/></w:pPr>
<w:r><w:t xml:space="preserve">quantity and the quality of the produce, and consequently</w:t></w:r>
</w:p>
<w:p>
<w:pPr><w:pStyle w:val="Normal"/></w:pPr>
<w:r><w:t xml:space="preserve">its feeding value, must depend greatly upon the selection</w:t></w:r>
</w:p>
<w:p>
<w:pPr><w:pStyle w:val="Normal"/></w:pPr>
<w:r><w:t xml:space="preserve">of the best description of roots to be grown, and on the</w:t></w:r>
</w:p>
<w:p>
<w:pPr><w:pStyle w:val="Normal"/></w:pPr>
<w:r><w:t xml:space="preserve">character and the amount of the manures, and especially on</w:t></w:r>
</w:p>
<w:p>
<w:pPr><w:pStyle w:val="Normal"/></w:pPr>
<w:r><w:t xml:space="preserve">the amount of nitrogenous manure employed.  At the same time,</w:t></w:r>
</w:p>
<w:p>
<w:pPr><w:pStyle w:val="Normal"/></w:pPr>
<w:r><w:t xml:space="preserve">no hard-and-fast rules can be laid down concerning these</w:t></w:r>
</w:p>
<w:p>
<w:pPr><w:pStyle w:val="Normal"/></w:pPr>
<w:r><w:t xml:space="preserve">points.  Independently of the necessary consideration of the</w:t></w:r>
</w:p>
<w:p>
<w:pPr><w:pStyle w:val="Normal"/></w:pPr>
<w:r><w:t xml:space="preserve">general economy of the farm, the choice must be influenced</w:t></w:r>
</w:p>
<w:p>
<w:pPr><w:pStyle w:val="Normal"/></w:pPr>
<w:r><w:t xml:space="preserve">partly by the character of the soil, but very much more</w:t></w:r>
</w:p>
<w:p>
<w:pPr><w:pStyle w:val="Normal"/></w:pPr>
<w:r><w:t xml:space="preserve">by that of the climate.  Judgment founded on knowledge and</w:t></w:r>
</w:p>
<w:p>
<w:pPr><w:pStyle w:val="Normal"/></w:pPr>
<w:r><w:t xml:space="preserve">aided by careful observation, both in the field and in the</w:t></w:r>
</w:p>
<w:p>
<w:pPr><w:pStyle w:val="Normal"/></w:pPr>
<w:r><w:t xml:space="preserve">feeding-shed, must be relied upon as the guide of the practical</w:t></w:r>
</w:p>
<w:p>
<w:pPr><w:pStyle w:val="Normal"/></w:pPr>
<w:r><w:t xml:space="preserve">farmer.  Over and above the great advantage arising from the</w:t></w:r>
</w:p>
<w:p>
<w:pPr><w:pStyle w:val="Normal"/></w:pPr>
<w:r><w:t xml:space="preserve">opportunity which the growth of root-crops affords for the</w:t></w:r>
</w:p>
<w:p>
<w:pPr><w:pStyle w:val="Normal"/></w:pPr>
<w:r><w:t xml:space="preserve">cleaning of the land, the benefits of growing the root-crop</w:t></w:r>
</w:p>
<w:p>
<w:pPr><w:pStyle w:val="Normal"/></w:pPr>
<w:r><w:t xml:space="preserve">in rotation are due (1) to the large amount of manure applied</w:t></w:r>
</w:p>
<w:p>
<w:pPr><w:pStyle w:val="Normal"/></w:pPr>
<w:r><w:t xml:space="preserve">for its growth, (2) to the large residue of the manure left</w:t></w:r>
</w:p>
<w:p>
<w:pPr><w:pStyle w:val="Normal"/></w:pPr>
<w:r><w:t xml:space="preserve">in the soil for future crops, (3) to the large amount of</w:t></w:r>
</w:p>
<w:p>
<w:pPr><w:pStyle w:val="Normal"/></w:pPr>
<w:r><w:t xml:space="preserve">matter at once returned as manure again in the leaves, (4)</w:t></w:r>
</w:p>
<w:p>
<w:pPr><w:pStyle w:val="Normal"/></w:pPr>
<w:r><w:t xml:space="preserve">to the large amount of food produced, and (5) to the small</w:t></w:r>
</w:p>
<w:p>
<w:pPr><w:pStyle w:val="Normal"/></w:pPr>
<w:r><w:t xml:space="preserve">proportion of the most important manurial constituents of</w:t></w:r>
</w:p>
<w:p>
<w:pPr><w:pStyle w:val="Normal"/></w:pPr>
<w:r><w:t xml:space="preserve">the roots which is retained by store or fattening animals</w:t></w:r>
</w:p>
<w:p>
<w:pPr><w:pStyle w:val="Normal"/></w:pPr>
<w:r><w:t xml:space="preserve">consuming them, the rest returning as manure again; though,</w:t></w:r>
</w:p>
<w:p>
<w:pPr><w:pStyle w:val="Normal"/></w:pPr>
<w:r><w:t xml:space="preserve">when the roots are consumed for the production of milk, a much</w:t></w:r>
</w:p>
<w:p>
<w:pPr><w:pStyle w:val="Normal"/></w:pPr>
<w:r><w:t xml:space="preserve">larger proportion of the constituents is lost to the manure.</w:t></w:r>
</w:p>
<w:p>
<w:pPr><w:pStyle w:val="Normal"/></w:pPr>
<w:r><w:t xml:space="preserve">Leguminous Crops and the Acquisition of Nitrogen.--The fact</w:t></w:r>
</w:p>
<w:p>
<w:pPr><w:pStyle w:val="Normal"/></w:pPr>
<w:r><w:t xml:space="preserve">that the growth of a leguminous crop, such as red clover, leaves</w:t></w:r>
</w:p>
<w:p>
<w:pPr><w:pStyle w:val="Normal"/></w:pPr>
<w:r><w:t xml:space="preserve">the soil in a higher condition for the subsequent growth of</w:t></w:r>
</w:p>
<w:p>
<w:pPr><w:pStyle w:val="Normal"/></w:pPr>
<w:r><w:t xml:space="preserve">a grain crop--that, indeed, the growth of such a leguminous</w:t></w:r>
</w:p>
<w:p>
<w:pPr><w:pStyle w:val="Normal"/></w:pPr>
<w:r><w:t xml:space="preserve">crop is to a great extent equivalent to the application of a</w:t></w:r>
</w:p>
<w:p>
<w:pPr><w:pStyle w:val="Normal"/></w:pPr>
<w:r><w:t xml:space="preserve">nitrogenous manure for the cereal crop--was in effect known ages</w:t></w:r>
</w:p>
<w:p>
<w:pPr><w:pStyle w:val="Normal"/></w:pPr>
<w:r><w:t xml:space="preserve">ago.  Nevertheless it was not till near the approach of the</w:t></w:r>
</w:p>
<w:p>
<w:pPr><w:pStyle w:val="Normal"/></w:pPr>
<w:r><w:t xml:space="preserve">closing decade of the 19th century that the explanation of</w:t></w:r>
</w:p>
<w:p>
<w:pPr><w:pStyle w:val="Normal"/></w:pPr>
<w:r><w:t xml:space="preserve">this long-established point of agricultural practice was</w:t></w:r>
</w:p>
<w:p>
<w:pPr><w:pStyle w:val="Normal"/></w:pPr>
<w:r><w:t xml:space="preserve">forthcoming.  It was in the year 1886 that Hellriegel and</w:t></w:r>
</w:p>
<w:p>
<w:pPr><w:pStyle w:val="Normal"/></w:pPr>
<w:r><w:t xml:space="preserve">Wilfarth first published in Germany the results of investigations</w:t></w:r>
</w:p>
<w:p>
<w:pPr><w:pStyle w:val="Normal"/></w:pPr>
<w:r><w:t xml:space="preserve">in which they demonstrated that, through the agency of</w:t></w:r>
</w:p>
<w:p>
<w:pPr><w:pStyle w:val="Normal"/></w:pPr>
<w:r><w:t xml:space="preserve">micro-organisms dwelling in nodular outgrowths on the roots</w:t></w:r>
</w:p>
<w:p>
<w:pPr><w:pStyle w:val="Normal"/></w:pPr>
<w:r><w:t xml:space="preserve">of ordinary leguminous plants, the latter are enabled to</w:t></w:r>
</w:p>
<w:p>
<w:pPr><w:pStyle w:val="Normal"/></w:pPr>
<w:r><w:t xml:space="preserve">assimilate the free nitrogen of the air.  The existence of</w:t></w:r>
</w:p>
<w:p>
<w:pPr><w:pStyle w:val="Normal"/></w:pPr>
<w:r><w:t xml:space="preserve">the root nodules had long been recognized, but hitherto no</w:t></w:r>
</w:p>
<w:p>
<w:pPr><w:pStyle w:val="Normal"/></w:pPr>
<w:r><w:t xml:space="preserve">adequate explanation had been afforded as to their function.</w:t></w:r>
</w:p>
<w:p>
<w:pPr><w:pStyle w:val="Normal"/></w:pPr>
<w:r><w:t xml:space="preserve">Since Hellriegel&apos;s striking discovery farm crops have</w:t></w:r>
</w:p>
<w:p>
<w:pPr><w:pStyle w:val="Normal"/></w:pPr>
<w:r><w:t xml:space="preserve">been conveniently classified as nitrogen-accumulating and</w:t></w:r>
</w:p>
<w:p>
<w:pPr><w:pStyle w:val="Normal"/></w:pPr>
<w:r><w:t xml:space="preserve">nitrogen-consuming.  To the former belong the ordinary leguminous</w:t></w:r>
</w:p>
<w:p>
<w:pPr><w:pStyle w:val="Normal"/></w:pPr>
<w:r><w:t xml:space="preserve">crops--the clovers, beans, peas, vetches or tares, sainfoin,</w:t></w:r>
</w:p>
<w:p>
<w:pPr><w:pStyle w:val="Normal"/></w:pPr>
<w:r><w:t xml:space="preserve">lucerne, for example--which obtain their nitrogen from the air,</w:t></w:r>
</w:p>
<w:p>
<w:pPr><w:pStyle w:val="Normal"/></w:pPr>
<w:r><w:t xml:space="preserve">and are independent of the application of nitrogenous manures,</w:t></w:r>
</w:p>
<w:p>
<w:pPr><w:pStyle w:val="Normal"/></w:pPr>
<w:r><w:t xml:space="preserve">whilst in their roots they accumulate a store of nitrogen which</w:t></w:r>
</w:p>
<w:p>
<w:pPr><w:pStyle w:val="Normal"/></w:pPr>
<w:r><w:t xml:space="preserve">will ultimately become available for future crops of other</w:t></w:r>
</w:p>
<w:p>
<w:pPr><w:pStyle w:val="Normal"/></w:pPr>
<w:r><w:t xml:space="preserve">kinds.  It is, in fact, fully established that these leguminous</w:t></w:r>
</w:p>
<w:p>
<w:pPr><w:pStyle w:val="Normal"/></w:pPr>
<w:r><w:t xml:space="preserve">crops acquire a considerable amount of nitrogen by the fixation</w:t></w:r>
</w:p>
<w:p>
<w:pPr><w:pStyle w:val="Normal"/></w:pPr>
<w:r><w:t xml:space="preserve">of the free nitrogen of the atmosphere under the influence of</w:t></w:r>
</w:p>
<w:p>
<w:pPr><w:pStyle w:val="Normal"/></w:pPr>
<w:r><w:t xml:space="preserve">the symbiotic growth of their root-nodule-microbes and the higher</w:t></w:r>
</w:p>
<w:p>
<w:pPr><w:pStyle w:val="Normal"/></w:pPr>
<w:r><w:t xml:space="preserve">plant.  The cereal crops (wheat, barley, oats, rye, maize);</w:t></w:r>
</w:p>
<w:p>
<w:pPr><w:pStyle w:val="Normal"/></w:pPr>
<w:r><w:t xml:space="preserve">the cruciferous crops (turnips, cabbage, kale, rape, mustard);</w:t></w:r>
</w:p>
<w:p>
<w:pPr><w:pStyle w:val="Normal"/></w:pPr>
<w:r><w:t xml:space="preserve">the solanaceous crops (potatoes); the chenopodiaceous crops</w:t></w:r>
</w:p>
<w:p>
<w:pPr><w:pStyle w:val="Normal"/></w:pPr>
<w:r><w:t xml:space="preserve">(mangels, sugar-beets), and other non-leguminous crops have,</w:t></w:r>
</w:p>
<w:p>
<w:pPr><w:pStyle w:val="Normal"/></w:pPr>
<w:r><w:t xml:space="preserve">so far as is known, no such power, and are therefore more</w:t></w:r>
</w:p>
<w:p>
<w:pPr><w:pStyle w:val="Normal"/></w:pPr>
<w:r><w:t xml:space="preserve">or less benefited by the direct application of nitrogenous</w:t></w:r>
</w:p>
<w:p>
<w:pPr><w:pStyle w:val="Normal"/></w:pPr>
<w:r><w:t xml:space="preserve">manures.  The field experiments on leguminous plants at</w:t></w:r>
</w:p>
<w:p>
<w:pPr><w:pStyle w:val="Normal"/></w:pPr>
<w:r><w:t xml:space="preserve">Rothamsted have shown that land which is, so to speak,</w:t></w:r>
</w:p>
<w:p>
<w:pPr><w:pStyle w:val="Normal"/></w:pPr>
<w:r><w:t xml:space="preserve">exhausted so far as the growth of one leguminous crop is</w:t></w:r>
</w:p>
<w:p>
<w:pPr><w:pStyle w:val="Normal"/></w:pPr>
<w:r><w:t xml:space="preserve">concerned, may still grow very luxuriant crops of another</w:t></w:r>
</w:p>
<w:p>
<w:pPr><w:pStyle w:val="Normal"/></w:pPr>
<w:r><w:t xml:space="preserve">plant of the same natural order, but of different habits of</w:t></w:r>
</w:p>
<w:p>
<w:pPr><w:pStyle w:val="Normal"/></w:pPr>
<w:r><w:t xml:space="preserve">growth, and especially of different character and range of</w:t></w:r>
</w:p>
<w:p>
<w:pPr><w:pStyle w:val="Normal"/></w:pPr>
<w:r><w:t xml:space="preserve">roots.  This result is doubtless largely dependent on the</w:t></w:r>
</w:p>
<w:p>
<w:pPr><w:pStyle w:val="Normal"/></w:pPr>
<w:r><w:t xml:space="preserve">existence, the distribution and the condition of the appropriate</w:t></w:r>
</w:p>
<w:p>
<w:pPr><w:pStyle w:val="Normal"/></w:pPr>
<w:r><w:t xml:space="preserve">microbes for the due infection of the different descriptions of</w:t></w:r>
</w:p>
<w:p>
<w:pPr><w:pStyle w:val="Normal"/></w:pPr>
<w:r><w:t xml:space="preserve">plant, for the micro-organism that dwells symbiotically with one</w:t></w:r>
</w:p>
<w:p>
<w:pPr><w:pStyle w:val="Normal"/></w:pPr>
<w:r><w:t xml:space="preserve">species is not identical with that which similarly dwells with</w:t></w:r>
</w:p>
<w:p>
<w:pPr><w:pStyle w:val="Normal"/></w:pPr>
<w:r><w:t xml:space="preserve">another.  It seems certain that success in any system involving</w:t></w:r>
</w:p>
<w:p>
<w:pPr><w:pStyle w:val="Normal"/></w:pPr>
<w:r><w:t xml:space="preserve">a more extended growth of leguminous crops in rotations must</w:t></w:r>
</w:p>
<w:p>
<w:pPr><w:pStyle w:val="Normal"/></w:pPr>
<w:r><w:t xml:space="preserve">be dependent on a considerable variation in the description</w:t></w:r>
</w:p>
<w:p>
<w:pPr><w:pStyle w:val="Normal"/></w:pPr>
<w:r><w:t xml:space="preserve">grown.  Other essential conditions of success will commonly</w:t></w:r>
</w:p>
<w:p>
<w:pPr><w:pStyle w:val="Normal"/></w:pPr>
<w:r><w:t xml:space="preserve">include the liberal application of potash and phosphatic</w:t></w:r>
</w:p>
<w:p>
<w:pPr><w:pStyle w:val="Normal"/></w:pPr>
<w:r><w:t xml:space="preserve">manures, and sometimes chalking or liming for the leguminous</w:t></w:r>
</w:p>
<w:p>
<w:pPr><w:pStyle w:val="Normal"/></w:pPr>
<w:r><w:t xml:space="preserve">crop.  As to how long the leguminous crop should occupy the</w:t></w:r>
</w:p>
<w:p>
<w:pPr><w:pStyle w:val="Normal"/></w:pPr>
<w:r><w:t xml:space="preserve">land, the extent to which it should be consumed on the</w:t></w:r>
</w:p>
<w:p>
<w:pPr><w:pStyle w:val="Normal"/></w:pPr>
<w:r><w:t xml:space="preserve">land, or the manure from its consumption be returned, and</w:t></w:r>
</w:p>
<w:p>
<w:pPr><w:pStyle w:val="Normal"/></w:pPr>
<w:r><w:t xml:space="preserve">under what conditions the whole or part of it should be</w:t></w:r>
</w:p>
<w:p>
<w:pPr><w:pStyle w:val="Normal"/></w:pPr>
<w:r><w:t xml:space="preserve">ploughed in--these are points which must be decided as</w:t></w:r>
</w:p>
<w:p>
<w:pPr><w:pStyle w:val="Normal"/></w:pPr>
<w:r><w:t xml:space="preserve">they arise in practice.  It seems obvious that the lighter</w:t></w:r>
</w:p>
<w:p>
<w:pPr><w:pStyle w:val="Normal"/></w:pPr>
<w:r><w:t xml:space="preserve">and poorer soils would benefit more than the heavier or</w:t></w:r>
</w:p>
<w:p>
<w:pPr><w:pStyle w:val="Normal"/></w:pPr>
<w:r><w:t xml:space="preserve">richer soils by the extended growth of leguminous crops.</w:t></w:r>
</w:p>
<w:p>
<w:pPr><w:pStyle w:val="Normal"/></w:pPr>
<w:r><w:t xml:space="preserve">Remarkable as Hellriegel&apos;s discovery was, it merely furnished</w:t></w:r>
</w:p>
<w:p>
<w:pPr><w:pStyle w:val="Normal"/></w:pPr>
<w:r><w:t xml:space="preserve">the explanation of a fact which had been empirically</w:t></w:r>
</w:p>
<w:p>
<w:pPr><w:pStyle w:val="Normal"/></w:pPr>
<w:r><w:t xml:space="preserve">established by the husbandman long before, and had received</w:t></w:r>
</w:p>
<w:p>
<w:pPr><w:pStyle w:val="Normal"/></w:pPr>
<w:r><w:t xml:space="preserve">most intelligent application when the old four-course (or</w:t></w:r>
</w:p>
<w:p>
<w:pPr><w:pStyle w:val="Normal"/></w:pPr>
<w:r><w:t xml:space="preserve">Norfolk) rotation was devised.  But it gave some impetus to</w:t></w:r>
</w:p>
<w:p>
<w:pPr><w:pStyle w:val="Normal"/></w:pPr>
<w:r><w:t xml:space="preserve">the practice of green manuring with leguminous crops, which</w:t></w:r>
</w:p>
<w:p>
<w:pPr><w:pStyle w:val="Normal"/></w:pPr>
<w:r><w:t xml:space="preserve">are equally capable with such a crop as mustard of enriching</w:t></w:r>
</w:p>
<w:p>
<w:pPr><w:pStyle w:val="Normal"/></w:pPr>
<w:r><w:t xml:space="preserve">the soil in humus, whilst in addition they bring into the</w:t></w:r>
</w:p>
<w:p>
<w:pPr><w:pStyle w:val="Normal"/></w:pPr>
<w:r><w:t xml:space="preserve">soil from the atmosphere a quantity of nitrogen available</w:t></w:r>
</w:p>
<w:p>
<w:pPr><w:pStyle w:val="Normal"/></w:pPr>
<w:r><w:t xml:space="preserve">for the use of subsequent crops of any kind.  In Canada and</w:t></w:r>
</w:p>
<w:p>
<w:pPr><w:pStyle w:val="Normal"/></w:pPr>
<w:r><w:t xml:space="preserve">the United States this rational employment of a leguminous</w:t></w:r>
</w:p>
<w:p>
<w:pPr><w:pStyle w:val="Normal"/></w:pPr>
<w:r><w:t xml:space="preserve">crop for ploughing in green is largely resorted to for the</w:t></w:r>
</w:p>
<w:p>
<w:pPr><w:pStyle w:val="Normal"/></w:pPr>
<w:r><w:t xml:space="preserve">amelioration of worn-out wheat lands and other soils, the</w:t></w:r>
</w:p>
<w:p>
<w:pPr><w:pStyle w:val="Normal"/></w:pPr>
<w:r><w:t xml:space="preserve">condition of which has been lowered to an unremunerative</w:t></w:r>
</w:p>
<w:p>
<w:pPr><w:pStyle w:val="Normal"/></w:pPr>
<w:r><w:t xml:space="preserve">level by the repeated growth year after year of a cereal</w:t></w:r>
</w:p>
<w:p>
<w:pPr><w:pStyle w:val="Normal"/></w:pPr>
<w:r><w:t xml:space="preserve">crop.  The well-known paper of Lawes, Gilbert and Pugh (1861),</w:t></w:r>
</w:p>
<w:p>
<w:pPr><w:pStyle w:val="Normal"/></w:pPr>
<w:r><w:t xml:space="preserve">``On the Sources of the Nitrogen of Vegetation with special</w:t></w:r>
</w:p>
<w:p>
<w:pPr><w:pStyle w:val="Normal"/></w:pPr>
<w:r><w:t xml:space="preserve">reference to the Question whether Plants assimilate free or</w:t></w:r>
</w:p>
<w:p>
<w:pPr><w:pStyle w:val="Normal"/></w:pPr>
<w:r><w:t xml:space="preserve">uncombined Nitrogen,&apos;&apos; answered the question referred to in the</w:t></w:r>
</w:p>
<w:p>
<w:pPr><w:pStyle w:val="Normal"/></w:pPr>
<w:r><w:t xml:space="preserve">negative.  The attitude taken up later on with regard to this</w:t></w:r>
</w:p>
<w:p>
<w:pPr><w:pStyle w:val="Normal"/></w:pPr>
<w:r><w:t xml:space="preserve">problem is set forth in the following words, which are quoted</w:t></w:r>
</w:p>
<w:p>
<w:pPr><w:pStyle w:val="Normal"/></w:pPr>
<w:r><w:t xml:space="preserve">from the Memoranda of the Rothamsted Experiments, 1900 (p. 7):--</w:t></w:r>
</w:p>
<w:p>
<w:pPr><w:pStyle w:val="Normal"/></w:pPr>
<w:r><w:t xml:space="preserve">``Experiments were commenced in 1857, and conducted for several</w:t></w:r>
</w:p>
<w:p>
<w:pPr><w:pStyle w:val="Normal"/></w:pPr>
<w:r><w:t xml:space="preserve">years in succession, to determine whether plants assimilate</w:t></w:r>
</w:p>
<w:p>
<w:pPr><w:pStyle w:val="Normal"/></w:pPr>
<w:r><w:t xml:space="preserve">free or uncombined nitrogen, and also various collateral</w:t></w:r>
</w:p>
<w:p>
<w:pPr><w:pStyle w:val="Normal"/></w:pPr>
<w:r><w:t xml:space="preserve">points.  Plants of the gramincous, the leguminous and of</w:t></w:r>
</w:p>
<w:p>
<w:pPr><w:pStyle w:val="Normal"/></w:pPr>
<w:r><w:t xml:space="preserve">other families were operated upon.  The late Dr Pugh took a</w:t></w:r>
</w:p>
<w:p>
<w:pPr><w:pStyle w:val="Normal"/></w:pPr>
<w:r><w:t xml:space="preserve">prominent part in this inquiry.  The conclusion arrived at</w:t></w:r>
</w:p>
<w:p>
<w:pPr><w:pStyle w:val="Normal"/></w:pPr>
<w:r><w:t xml:space="preserve">was that our agricultural plants do not themselves directly</w:t></w:r>
</w:p>
<w:p>
<w:pPr><w:pStyle w:val="Normal"/></w:pPr>
<w:r><w:t xml:space="preserve">assimilate the free nitrogen of the air by their leaves.</w:t></w:r>
</w:p>
<w:p>
<w:pPr><w:pStyle w:val="Normal"/></w:pPr>
<w:r><w:t xml:space="preserve">``In recent years, however, the question has assumed quite</w:t></w:r>
</w:p>
<w:p>
<w:pPr><w:pStyle w:val="Normal"/></w:pPr>
<w:r><w:t xml:space="preserve">a new aspect.  It now is--whether the free nitrogen of the</w:t></w:r>
</w:p>
<w:p>
<w:pPr><w:pStyle w:val="Normal"/></w:pPr>
<w:r><w:t xml:space="preserve">atmosphere is brought into combination under the influence of</w:t></w:r>
</w:p>
<w:p>
<w:pPr><w:pStyle w:val="Normal"/></w:pPr>
<w:r><w:t xml:space="preserve">micro-organisms, or other low forms, either within the soil or</w:t></w:r>
</w:p>
<w:p>
<w:pPr><w:pStyle w:val="Normal"/></w:pPr>
<w:r><w:t xml:space="preserve">in symbiosis with a higher plant, thus serving indirectly as</w:t></w:r>
</w:p>
<w:p>
<w:pPr><w:pStyle w:val="Normal"/></w:pPr>
<w:r><w:t xml:space="preserve">a source of nitrogen to plants of a higher order.  Considering</w:t></w:r>
</w:p>
<w:p>
<w:pPr><w:pStyle w:val="Normal"/></w:pPr>
<w:r><w:t xml:space="preserve">that the results of Hellriegel and Wilfarth on this point were,</w:t></w:r>
</w:p>
<w:p>
<w:pPr><w:pStyle w:val="Normal"/></w:pPr>
<w:r><w:t xml:space="preserve">if confirmed, of great significance and importance, it was</w:t></w:r>
</w:p>
<w:p>
<w:pPr><w:pStyle w:val="Normal"/></w:pPr>
<w:r><w:t xml:space="preserve">decided to make experimenis at Rothamsted on somewhat similar</w:t></w:r>
</w:p>
<w:p>
<w:pPr><w:pStyle w:val="Normal"/></w:pPr>
<w:r><w:t xml:space="preserve">lines.  Accordingly, a preliminary series was undertaken in</w:t></w:r>
</w:p>
<w:p>
<w:pPr><w:pStyle w:val="Normal"/></w:pPr>
<w:r><w:t xml:space="preserve">1888; more extended series were conducted in 1889 and in 1890;</w:t></w:r>
</w:p>
<w:p>
<w:pPr><w:pStyle w:val="Normal"/></w:pPr>
<w:r><w:t xml:space="preserve">and the investigation was continued up to the commencement</w:t></w:r>
</w:p>
<w:p>
<w:pPr><w:pStyle w:val="Normal"/></w:pPr>
<w:r><w:t xml:space="preserve">of the year 1893.  Further experiments relating to certain</w:t></w:r>
</w:p>
<w:p>
<w:pPr><w:pStyle w:val="Normal"/></w:pPr>
<w:r><w:t xml:space="preserve">aspects of the subject were begun in 1898.  The resuits have</w:t></w:r>
</w:p>
<w:p>
<w:pPr><w:pStyle w:val="Normal"/></w:pPr>
<w:r><w:t xml:space="preserve">shown that, when a soil growing leguminous plants is infected</w:t></w:r>
</w:p>
<w:p>
<w:pPr><w:pStyle w:val="Normal"/></w:pPr>
<w:r><w:t xml:space="preserve">with appropriate organisms, there is a development of the</w:t></w:r>
</w:p>
<w:p>
<w:pPr><w:pStyle w:val="Normal"/></w:pPr>
<w:r><w:t xml:space="preserve">so-called leguminous nodules on the roots of the plants,</w:t></w:r>
</w:p>
<w:p>
<w:pPr><w:pStyle w:val="Normal"/></w:pPr>
<w:r><w:t xml:space="preserve">and, coincidenrly, increased growth and gain of nitrogen.&apos;&apos;</w:t></w:r>
</w:p>
<w:p>
<w:pPr><w:pStyle w:val="Normal"/></w:pPr>
<w:r><w:t xml:space="preserve">The conclusions of Hellriegel and Wilfarth have thus been</w:t></w:r>
</w:p>
<w:p>
<w:pPr><w:pStyle w:val="Normal"/></w:pPr>
<w:r><w:t xml:space="preserve">confirmed by the later experiences of Rothamsted, and since that</w:t></w:r>
</w:p>
<w:p>
<w:pPr><w:pStyle w:val="Normal"/></w:pPr>
<w:r><w:t xml:space="preserve">time efforts have been directed energetically to the practical</w:t></w:r>
</w:p>
<w:p>
<w:pPr><w:pStyle w:val="Normal"/></w:pPr>
<w:r><w:t xml:space="preserve">application of the discovery.  This has taken the form of</w:t></w:r>
</w:p>
<w:p>
<w:pPr><w:pStyle w:val="Normal"/></w:pPr>
<w:r><w:t xml:space="preserve">inoculating the soil with the particular organism required by the</w:t></w:r>
</w:p>
<w:p>
<w:pPr><w:pStyle w:val="Normal"/></w:pPr>
<w:r><w:t xml:space="preserve">particular kind of leguminous crop.  To this end the endeavour</w:t></w:r>
</w:p>
<w:p>
<w:pPr><w:pStyle w:val="Normal"/></w:pPr>
<w:r><w:t xml:space="preserve">has been made to produce preparations which shall contain in</w:t></w:r>
</w:p>
<w:p>
<w:pPr><w:pStyle w:val="Normal"/></w:pPr>
<w:r><w:t xml:space="preserve">portable form the organisms required by the several plants, and</w:t></w:r>
</w:p>
<w:p>
<w:pPr><w:pStyle w:val="Normal"/></w:pPr>
<w:r><w:t xml:space="preserve">though, as yet, it can hardly be claimed that they have been</w:t></w:r>
</w:p>
<w:p>
<w:pPr><w:pStyle w:val="Normal"/></w:pPr>
<w:r><w:t xml:space="preserve">generally successful, the work done justifies hopes that the</w:t></w:r>
</w:p>
<w:p>
<w:pPr><w:pStyle w:val="Normal"/></w:pPr>
<w:r><w:t xml:space="preserve">problem will eventually be solved in a practical direction.</w:t></w:r>
</w:p>
<w:p>
<w:pPr><w:pStyle w:val="Normal"/></w:pPr>
<w:r><w:t xml:space="preserve">Grass.--Another field experiment of singular interest</w:t></w:r>
</w:p>
<w:p>
<w:pPr><w:pStyle w:val="Normal"/></w:pPr>
<w:r><w:t xml:space="preserve">is that relating to the mixed herbage of permanent meadow,</w:t></w:r>
</w:p>
<w:p>
<w:pPr><w:pStyle w:val="Normal"/></w:pPr>
<w:r><w:t xml:space="preserve">for which seven acres of old grass land were set apart in</w:t></w:r>
</w:p>
<w:p>
<w:pPr><w:pStyle w:val="Normal"/></w:pPr>
<w:r><w:t xml:space="preserve">Rothamsted Park in 1856.  Of the twenty plots into which</w:t></w:r>
</w:p>
<w:p>
<w:pPr><w:pStyle w:val="Normal"/></w:pPr>
<w:r><w:t xml:space="preserve">this land is divided, two were left without manure from the</w:t></w:r>
</w:p>
<w:p>
<w:pPr><w:pStyle w:val="Normal"/></w:pPr>
<w:r><w:t xml:space="preserve">outset, two received ordinary farmyard manure for a series</w:t></w:r>
</w:p>
<w:p>
<w:pPr><w:pStyle w:val="Normal"/></w:pPr>
<w:r><w:t xml:space="preserve">of years, whilst the remainder each received a different</w:t></w:r>
</w:p>
<w:p>
<w:pPr><w:pStyle w:val="Normal"/></w:pPr>
<w:r><w:t xml:space="preserve">description of artificial or chemical manure, the same being,</w:t></w:r>
</w:p>
<w:p>
<w:pPr><w:pStyle w:val="Normal"/></w:pPr>
<w:r><w:t xml:space="preserve">except in special cases, applied year after year on the same</w:t></w:r>
</w:p>
<w:p>
<w:pPr><w:pStyle w:val="Normal"/></w:pPr>
<w:r><w:t xml:space="preserve">plot.  During the growing season the field affords striking</w:t></w:r>
</w:p>
<w:p>
<w:pPr><w:pStyle w:val="Normal"/></w:pPr>
<w:r><w:t xml:space="preserve">evidence of the influence of different manurial dressings.</w:t></w:r>
</w:p>
<w:p>
<w:pPr><w:pStyle w:val="Normal"/></w:pPr>
<w:r><w:t xml:space="preserve">So much, indeed, does the character of the herbage vary</w:t></w:r>
</w:p>
<w:p>
<w:pPr><w:pStyle w:val="Normal"/></w:pPr>
<w:r><w:t xml:space="preserve">from plot to plot that the effect may fairly be described as</w:t></w:r>
</w:p>
<w:p>
<w:pPr><w:pStyle w:val="Normal"/></w:pPr>
<w:r><w:t xml:space="preserve">kaleidoscopic.  Repeated analyses have shown how greatly both</w:t></w:r>
</w:p>
<w:p>
<w:pPr><w:pStyle w:val="Normal"/></w:pPr>
<w:r><w:t xml:space="preserve">the botanical constitution and the chemical composition of</w:t></w:r>
</w:p>
<w:p>
<w:pPr><w:pStyle w:val="Normal"/></w:pPr>
<w:r><w:t xml:space="preserve">the mixed herbage vary according to the description of manure</w:t></w:r>
</w:p>
<w:p>
<w:pPr><w:pStyle w:val="Normal"/></w:pPr>
<w:r><w:t xml:space="preserve">applied.  They have further shown how dominant is the influence of</w:t></w:r>
</w:p>
<w:p>
<w:pPr><w:pStyle w:val="Normal"/></w:pPr>
<w:r><w:t xml:space="preserve">season.  Such, moreover, is the effect of different manures</w:t></w:r>
</w:p>
<w:p>
<w:pPr><w:pStyle w:val="Normal"/></w:pPr>
<w:r><w:t xml:space="preserve">that the gross produce of the mixed herbage is totally different</w:t></w:r>
</w:p>
<w:p>
<w:pPr><w:pStyle w:val="Normal"/></w:pPr>
<w:r><w:t xml:space="preserve">on the respective plots according to the manure employed,</w:t></w:r>
</w:p>
<w:p>
<w:pPr><w:pStyle w:val="Normal"/></w:pPr>
<w:r><w:t xml:space="preserve">both as to the proportion of the various species composing</w:t></w:r>
</w:p>
<w:p>
<w:pPr><w:pStyle w:val="Normal"/></w:pPr>
<w:r><w:t xml:space="preserve">it and as to their condition of development and maturity.</w:t></w:r>
</w:p>
<w:p>
<w:pPr><w:pStyle w:val="Normal"/></w:pPr>
<w:r><w:t xml:space="preserve">The Rotation of Crops.</w:t></w:r>
</w:p>
<w:p>
<w:pPr><w:pStyle w:val="Normal"/></w:pPr>
<w:r><w:t xml:space="preserve">The growth, year after year, on the same soil of one kind of</w:t></w:r>
</w:p>
<w:p>
<w:pPr><w:pStyle w:val="Normal"/></w:pPr>
<w:r><w:t xml:space="preserve">plant unfits it for bearing further crops of the kind which has</w:t></w:r>
</w:p>
<w:p>
<w:pPr><w:pStyle w:val="Normal"/></w:pPr>
<w:r><w:t xml:space="preserve">exhausted it, and renders them less vigorous and more liable to</w:t></w:r>
</w:p>
<w:p>
<w:pPr><w:pStyle w:val="Normal"/></w:pPr>
<w:r><w:t xml:space="preserve">disease.  The farmer therefore arranges his cropping in such a</w:t></w:r>
</w:p>
<w:p>
<w:pPr><w:pStyle w:val="Normal"/></w:pPr>
<w:r><w:t xml:space="preserve">way that roots, or leguminous crops, succeed the cereal crops.</w:t></w:r>
</w:p>
<w:p>
<w:pPr><w:pStyle w:val="Normal"/></w:pPr>
<w:r><w:t xml:space="preserve">It is not only the conditions of growth, but the uses to</w:t></w:r>
</w:p>
<w:p>
<w:pPr><w:pStyle w:val="Normal"/></w:pPr>
<w:r><w:t xml:space="preserve">which the different crops are put, that have to be considered</w:t></w:r>
</w:p>
<w:p>
<w:pPr><w:pStyle w:val="Normal"/></w:pPr>
<w:r><w:t xml:space="preserve">in the case of rotation.  Thus the cereal crops, when grown</w:t></w:r>
</w:p>
<w:p>
<w:pPr><w:pStyle w:val="Normal"/></w:pPr>
<w:r><w:t xml:space="preserve">in rotation, yield more produce for sale in the season of</w:t></w:r>
</w:p>
<w:p>
<w:pPr><w:pStyle w:val="Normal"/></w:pPr>
<w:r><w:t xml:space="preserve">growth than when grown continuously.  Moreover, the crops</w:t></w:r>
</w:p>
<w:p>
<w:pPr><w:pStyle w:val="Normal"/></w:pPr>
<w:r><w:t xml:space="preserve">alternated with the cereals accumulate very much more of</w:t></w:r>
</w:p>
<w:p>
<w:pPr><w:pStyle w:val="Normal"/></w:pPr>
<w:r><w:t xml:space="preserve">mineral constituents and of nitrogen in their produce than do</w:t></w:r>
</w:p>
<w:p>
<w:pPr><w:pStyle w:val="Normal"/></w:pPr>
<w:r><w:t xml:space="preserve">the cereals themselves.  By far the greater proportion of those</w:t></w:r>
</w:p>
<w:p>
<w:pPr><w:pStyle w:val="Normal"/></w:pPr>
<w:r><w:t xml:space="preserve">constituents remains in circulation in the manure of the farm,</w:t></w:r>
</w:p>
<w:p>
<w:pPr><w:pStyle w:val="Normal"/></w:pPr>
<w:r><w:t xml:space="preserve">whilst the remainder yields highly valuable products for sale</w:t></w:r>
</w:p>
<w:p>
<w:pPr><w:pStyle w:val="Normal"/></w:pPr>
<w:r><w:t xml:space="preserve">in the forms of meat and milk.  For this reason these crops</w:t></w:r>
</w:p>
<w:p>
<w:pPr><w:pStyle w:val="Normal"/></w:pPr>
<w:r><w:t xml:space="preserve">are known as ``restorative,&apos;&apos; cereals the produce of which</w:t></w:r>
</w:p>
<w:p>
<w:pPr><w:pStyle w:val="Normal"/></w:pPr>
<w:r><w:t xml:space="preserve">is sold off the farm being classed as ``exhaustive.&apos;&apos; With</w:t></w:r>
</w:p>
<w:p>
<w:pPr><w:pStyle w:val="Normal"/></w:pPr>
<w:r><w:t xml:space="preserve">a variety of crops, again, the mechanical operations of the</w:t></w:r>
</w:p>
<w:p>
<w:pPr><w:pStyle w:val="Normal"/></w:pPr>
<w:r><w:t xml:space="preserve">farm, involving horse and hand labour, are better distributed</w:t></w:r>
</w:p>
<w:p>
<w:pPr><w:pStyle w:val="Normal"/></w:pPr>
<w:r><w:t xml:space="preserve">over the year, and are therefore more economically performed.</w:t></w:r>
</w:p>
<w:p>
<w:pPr><w:pStyle w:val="Normal"/></w:pPr>
<w:r><w:t xml:space="preserve">The opportunities which rotation cropping affords for the</w:t></w:r>
</w:p>
<w:p>
<w:pPr><w:pStyle w:val="Normal"/></w:pPr>
<w:r><w:t xml:space="preserve">cleaning of the land from weeds is another distinct element of</w:t></w:r>
</w:p>
<w:p>
<w:pPr><w:pStyle w:val="Normal"/></w:pPr>
<w:r><w:t xml:space="preserve">advantage.  Although many different rotations of crops are</w:t></w:r>
</w:p>
<w:p>
<w:pPr><w:pStyle w:val="Normal"/></w:pPr>
<w:r><w:t xml:space="preserve">practised, they may for the most part be considered as little</w:t></w:r>
</w:p>
<w:p>
<w:pPr><w:pStyle w:val="Normal"/></w:pPr>
<w:r><w:t xml:space="preserve">more than local adaptations of the system of alternating</w:t></w:r>
</w:p>
<w:p>
<w:pPr><w:pStyle w:val="Normal"/></w:pPr>
<w:r><w:t xml:space="preserve">root-crops and leguminous crops with cereal crops, as exemplified</w:t></w:r>
</w:p>
<w:p>
<w:pPr><w:pStyle w:val="Normal"/></w:pPr>
<w:r><w:t xml:space="preserve">in the old four-course rotation--roots, barley, clover, wheat.</w:t></w:r>
</w:p>
<w:p>
<w:pPr><w:pStyle w:val="Normal"/></w:pPr>
<w:r><w:t xml:space="preserve">Under this system the clover is ploughed up in the autumn, the</w:t></w:r>
</w:p>
<w:p>
<w:pPr><w:pStyle w:val="Normal"/></w:pPr>
<w:r><w:t xml:space="preserve">nitrogen stored up in its roots being left in the soil for the</w:t></w:r>
</w:p>
<w:p>
<w:pPr><w:pStyle w:val="Normal"/></w:pPr>
<w:r><w:t xml:space="preserve">nourishment of the cereal crop.  The following summer the wheat</w:t></w:r>
</w:p>
<w:p>
<w:pPr><w:pStyle w:val="Normal"/></w:pPr>
<w:r><w:t xml:space="preserve">crop is harvested, and an opportunity is afforded for extirpating</w:t></w:r>
</w:p>
<w:p>
<w:pPr><w:pStyle w:val="Normal"/></w:pPr>
<w:r><w:t xml:space="preserve">weeds which in the three previous years have received little</w:t></w:r>
</w:p>
<w:p>
<w:pPr><w:pStyle w:val="Normal"/></w:pPr>
<w:r><w:t xml:space="preserve">check.  Or, where the climate is warm and the soil light,</w:t></w:r>
</w:p>
<w:p>
<w:pPr><w:pStyle w:val="Normal"/></w:pPr>
<w:r><w:t xml:space="preserve">a ``catch-crop,&apos;&apos; i.e. rye, vetches, winter-oats or some</w:t></w:r>
</w:p>
<w:p>
<w:pPr><w:pStyle w:val="Normal"/></w:pPr>
<w:r><w:t xml:space="preserve">other rapidly-growing crop may be sown in autumn and fed off</w:t></w:r>
</w:p>
<w:p>
<w:pPr><w:pStyle w:val="Normal"/></w:pPr>
<w:r><w:t xml:space="preserve">or otherwise disposed of prior to the root-sowing.  On heavy</w:t></w:r>
</w:p>
<w:p>
<w:pPr><w:pStyle w:val="Normal"/></w:pPr>
<w:r><w:t xml:space="preserve">soils, however, the farmer cannot afford to curtail the time</w:t></w:r>
</w:p>
<w:p>
<w:pPr><w:pStyle w:val="Normal"/></w:pPr>
<w:r><w:t xml:space="preserve">necessary for thorough cultivation of the land.  The cleaning</w:t></w:r>
</w:p>
<w:p>
<w:pPr><w:pStyle w:val="Normal"/></w:pPr>
<w:r><w:t xml:space="preserve">process is carried on through.the next summer by means of</w:t></w:r>
</w:p>
<w:p>
<w:pPr><w:pStyle w:val="Normal"/></w:pPr>
<w:r><w:t xml:space="preserve">successive hoeings of the spring-sown root-crop.  As turnips or</w:t></w:r>
</w:p>
<w:p>
<w:pPr><w:pStyle w:val="Normal"/></w:pPr>
<w:r><w:t xml:space="preserve">swedes may occupy the ground till after Christmas little time</w:t></w:r>
</w:p>
<w:p>
<w:pPr><w:pStyle w:val="Normal"/></w:pPr>
<w:r><w:t xml:space="preserve">is left for the preparation of a seed-bed for barley, but as</w:t></w:r>
</w:p>
<w:p>
<w:pPr><w:pStyle w:val="Normal"/></w:pPr>
<w:r><w:t xml:space="preserve">the latter is a shallow-rooted crop only surface-stirring is</w:t></w:r>
</w:p>
<w:p>
<w:pPr><w:pStyle w:val="Normal"/></w:pPr>
<w:r><w:t xml:space="preserve">required.  Clover is sown at the same time or shortly</w:t></w:r>
</w:p>
<w:p>
<w:pPr><w:pStyle w:val="Normal"/></w:pPr>
<w:r><w:t xml:space="preserve">after the cereal and thus occupies the land for two years.</w:t></w:r>
</w:p>
<w:p>
<w:pPr><w:pStyle w:val="Normal"/></w:pPr>
<w:r><w:t xml:space="preserve">The rotations extending to five, six, seven or more years are,</w:t></w:r>
</w:p>
<w:p>
<w:pPr><w:pStyle w:val="Normal"/></w:pPr>
<w:r><w:t xml:space="preserve">in most cases, only adaptations of the principle to variations</w:t></w:r>
</w:p>
<w:p>
<w:pPr><w:pStyle w:val="Normal"/></w:pPr>
<w:r><w:t xml:space="preserve">of soil, altitude, aspect, climate, markets and other local</w:t></w:r>
</w:p>
<w:p>
<w:pPr><w:pStyle w:val="Normal"/></w:pPr>
<w:r><w:t xml:space="preserve">conditions.  They are effected chiefly by some alteration in the</w:t></w:r>
</w:p>
<w:p>
<w:pPr><w:pStyle w:val="Normal"/></w:pPr>
<w:r><w:t xml:space="preserve">description of the root-crop, and perhaps by the introduction</w:t></w:r>
</w:p>
<w:p>
<w:pPr><w:pStyle w:val="Normal"/></w:pPr>
<w:r><w:t xml:space="preserve">of the potato crop; by growing a different cereal, or it may</w:t></w:r>
</w:p>
<w:p>
<w:pPr><w:pStyle w:val="Normal"/></w:pPr>
<w:r><w:t xml:space="preserve">be more than one cereal consecutively; by the growth of some</w:t></w:r>
</w:p>
<w:p>
<w:pPr><w:pStyle w:val="Normal"/></w:pPr>
<w:r><w:t xml:space="preserve">other leguminous crop than clover, since ``clover-sickness&apos;&apos;</w:t></w:r>
</w:p>
<w:p>
<w:pPr><w:pStyle w:val="Normal"/></w:pPr>
<w:r><w:t xml:space="preserve">may result if that crop is grown at too short intervals, or</w:t></w:r>
</w:p>
<w:p>
<w:pPr><w:pStyle w:val="Normal"/></w:pPr>
<w:r><w:t xml:space="preserve">the intermixture of grass seeds with the clover, and perhaps</w:t></w:r>
</w:p>
<w:p>
<w:pPr><w:pStyle w:val="Normal"/></w:pPr>
<w:r><w:t xml:space="preserve">by the extension by one or more years of the period allotted</w:t></w:r>
</w:p>
<w:p>
<w:pPr><w:pStyle w:val="Normal"/></w:pPr>
<w:r><w:t xml:space="preserve">to this member of the rotation.  Whatever the specific</w:t></w:r>
</w:p>
<w:p>
<w:pPr><w:pStyle w:val="Normal"/></w:pPr>
<w:r><w:t xml:space="preserve">rotation, there may in practice be deviations from the plan of</w:t></w:r>
</w:p>
<w:p>
<w:pPr><w:pStyle w:val="Normal"/></w:pPr>
<w:r><w:t xml:space="preserve">retaining on the farm the whole of the root-crops, the straw</w:t></w:r>
</w:p>
<w:p>
<w:pPr><w:pStyle w:val="Normal"/></w:pPr>
<w:r><w:t xml:space="preserve">of the grain crops and the leguminous fodder crops (clover,</w:t></w:r>
</w:p>
<w:p>
<w:pPr><w:pStyle w:val="Normal"/></w:pPr>
<w:r><w:t xml:space="preserve">vetches, sainfoin, &amp;c;) for the production of meat or milk,</w:t></w:r>
</w:p>
<w:p>
<w:pPr><w:pStyle w:val="Normal"/></w:pPr>
<w:r><w:t xml:space="preserve">and, coincidently, for that of manure to be returned to the</w:t></w:r>
</w:p>
<w:p>
<w:pPr><w:pStyle w:val="Normal"/></w:pPr>
<w:r><w:t xml:space="preserve">land.  It is equally true that, when under the influence</w:t></w:r>
</w:p>
<w:p>
<w:pPr><w:pStyle w:val="Normal"/></w:pPr>
<w:r><w:t xml:space="preserve">of special local or other demand--proximity to towns, easy</w:t></w:r>
</w:p>
<w:p>
<w:pPr><w:pStyle w:val="Normal"/></w:pPr>
<w:r><w:t xml:space="preserve">railway or other communication, for example--the products</w:t></w:r>
</w:p>
<w:p>
<w:pPr><w:pStyle w:val="Normal"/></w:pPr>
<w:r><w:t xml:space="preserve">which would otherwise be retained on the farm are exported</w:t></w:r>
</w:p>
<w:p>
<w:pPr><w:pStyle w:val="Normal"/></w:pPr>
<w:r><w:t xml:space="preserve">from it, the import of town or other manures is generally</w:t></w:r>
</w:p>
<w:p>
<w:pPr><w:pStyle w:val="Normal"/></w:pPr>
<w:r><w:t xml:space="preserve">an essential condition of such practice.  This system of</w:t></w:r>
</w:p>
<w:p>
<w:pPr><w:pStyle w:val="Normal"/></w:pPr>
<w:r><w:t xml:space="preserve">free sale, indeed, frequently involves full compensation by</w:t></w:r>
</w:p>
<w:p>
<w:pPr><w:pStyle w:val="Normal"/></w:pPr>
<w:r><w:t xml:space="preserve">purchased manures of some kind.  Such deviations from the</w:t></w:r>
</w:p>
<w:p>
<w:pPr><w:pStyle w:val="Normal"/></w:pPr>
<w:r><w:t xml:space="preserve">practice of merely selling grain and meat off the farm have</w:t></w:r>
</w:p>
<w:p>
<w:pPr><w:pStyle w:val="Normal"/></w:pPr>
<w:r><w:t xml:space="preserve">much extended in recent years, and will probably continue to</w:t></w:r>
</w:p>
<w:p>
<w:pPr><w:pStyle w:val="Normal"/></w:pPr>
<w:r><w:t xml:space="preserve">do so under the altered conditions of British agriculture,</w:t></w:r>
</w:p>
<w:p>
<w:pPr><w:pStyle w:val="Normal"/></w:pPr>
<w:r><w:t xml:space="preserve">determined by very large imports of grain, increasing imports</w:t></w:r>
</w:p>
<w:p>
<w:pPr><w:pStyle w:val="Normal"/></w:pPr>
<w:r><w:t xml:space="preserve">of meat and of other products of stock-feeding, and very</w:t></w:r>
</w:p>
<w:p>
<w:pPr><w:pStyle w:val="Normal"/></w:pPr>
<w:r><w:t xml:space="preserve">large imports of cattle-food and other agricultural produce.</w:t></w:r>
</w:p>
<w:p>
<w:pPr><w:pStyle w:val="Normal"/></w:pPr>
<w:r><w:t xml:space="preserve">More attention is thus being devoted to dairy produce, not</w:t></w:r>
</w:p>
<w:p>
<w:pPr><w:pStyle w:val="Normal"/></w:pPr>
<w:r><w:t xml:space="preserve">only on grass farms, but on those that are mainly arable.</w:t></w:r>
</w:p>
<w:p>
<w:pPr><w:pStyle w:val="Normal"/></w:pPr>
<w:r><w:t xml:space="preserve">The benefits that accrue from the practice of rotation are well</w:t></w:r>
</w:p>
<w:p>
<w:pPr><w:pStyle w:val="Normal"/></w:pPr>
<w:r><w:t xml:space="preserve">illustrated in the results obtained from the investigations at</w:t></w:r>
</w:p>
<w:p>
<w:pPr><w:pStyle w:val="Normal"/></w:pPr>
<w:r><w:t xml:space="preserve">Rothamsted into the simple four-course system, which may fairly</w:t></w:r>
</w:p>
<w:p>
<w:pPr><w:pStyle w:val="Normal"/></w:pPr>
<w:r><w:t xml:space="preserve">be regarded as a self-supporting system.  Reference may first</w:t></w:r>
</w:p>
<w:p>
<w:pPr><w:pStyle w:val="Normal"/></w:pPr>
<w:r><w:t xml:space="preserve">be made to the important mineral constituents of different</w:t></w:r>
</w:p>
<w:p>
<w:pPr><w:pStyle w:val="Normal"/></w:pPr>
<w:r><w:t xml:space="preserve">crops of the four-course rotation.  Of phosphoric acid, the</w:t></w:r>
</w:p>
<w:p>
<w:pPr><w:pStyle w:val="Normal"/></w:pPr>
<w:r><w:t xml:space="preserve">cereal crops take up as much as, or more than, any other crops</w:t></w:r>
</w:p>
<w:p>
<w:pPr><w:pStyle w:val="Normal"/></w:pPr>
<w:r><w:t xml:space="preserve">of the rotation, excepting clover; and the greater portion</w:t></w:r>
</w:p>
<w:p>
<w:pPr><w:pStyle w:val="Normal"/></w:pPr>
<w:r><w:t xml:space="preserve">thus taken up is lost to the farm in the saleable product--the</w:t></w:r>
</w:p>
<w:p>
<w:pPr><w:pStyle w:val="Normal"/></w:pPr>
<w:r><w:t xml:space="preserve">grain.  The remainder, that in the straw, as well as that in</w:t></w:r>
</w:p>
<w:p>
<w:pPr><w:pStyle w:val="Normal"/></w:pPr>
<w:r><w:t xml:space="preserve">the roots and the leguminous crops, is supposed to be retained</w:t></w:r>
</w:p>
<w:p>
<w:pPr><w:pStyle w:val="Normal"/></w:pPr>
<w:r><w:t xml:space="preserve">on the farm, excepting the small amount exported in meat and</w:t></w:r>
</w:p>
<w:p>
<w:pPr><w:pStyle w:val="Normal"/></w:pPr>
<w:r><w:t xml:space="preserve">milk.  Of potash, each of the rotation crops takes up very</w:t></w:r>
</w:p>
<w:p>
<w:pPr><w:pStyle w:val="Normal"/></w:pPr>
<w:r><w:t xml:space="preserve">much more than of phosphoric acid.  But much less potash than</w:t></w:r>
</w:p>
<w:p>
<w:pPr><w:pStyle w:val="Normal"/></w:pPr>
<w:r><w:t xml:space="preserve">phosphoric acid is exported in the cereal grains, much more</w:t></w:r>
</w:p>
<w:p>
<w:pPr><w:pStyle w:val="Normal"/></w:pPr>
<w:r><w:t xml:space="preserve">being retained in the straw, whilst the other products of</w:t></w:r>
</w:p>
<w:p>
<w:pPr><w:pStyle w:val="Normal"/></w:pPr>
<w:r><w:t xml:space="preserve">the rotation--the root and leguminous crops--which are also</w:t></w:r>
</w:p>
<w:p>
<w:pPr><w:pStyle w:val="Normal"/></w:pPr>
<w:r><w:t xml:space="preserve">supposed to be retained on the farm, contain very much more</w:t></w:r>
</w:p>
<w:p>
<w:pPr><w:pStyle w:val="Normal"/></w:pPr>
<w:r><w:t xml:space="preserve">potash than the cereals, and comparatively little of it is</w:t></w:r>
</w:p>
<w:p>
<w:pPr><w:pStyle w:val="Normal"/></w:pPr>
<w:r><w:t xml:space="preserve">exported in meat and milk.  Thus the whole of the crops of</w:t></w:r>
</w:p>
<w:p>
<w:pPr><w:pStyle w:val="Normal"/></w:pPr>
<w:r><w:t xml:space="preserve">rotation take up very much more of potash than of phosphoric</w:t></w:r>
</w:p>
<w:p>
<w:pPr><w:pStyle w:val="Normal"/></w:pPr>
<w:r><w:t xml:space="preserve">acid, whilst probably even less of it is ultimately lost to the</w:t></w:r>
</w:p>
<w:p>
<w:pPr><w:pStyle w:val="Normal"/></w:pPr>
<w:r><w:t xml:space="preserve">land.  Of lime, very little is taken up by the cereal</w:t></w:r>
</w:p>
<w:p>
<w:pPr><w:pStyle w:val="Normal"/></w:pPr>
<w:r><w:t xml:space="preserve">crops, and by the root-crops much less than of potash; more</w:t></w:r>
</w:p>
<w:p>
<w:pPr><w:pStyle w:val="Normal"/></w:pPr>
<w:r><w:t xml:space="preserve">by the leguminous than by the other crops, and, by the clover</w:t></w:r>
</w:p>
<w:p>
<w:pPr><w:pStyle w:val="Normal"/></w:pPr>
<w:r><w:t xml:space="preserve">especially, sometimes much more than by all the other crops</w:t></w:r>
</w:p>
<w:p>
<w:pPr><w:pStyle w:val="Normal"/></w:pPr>
<w:r><w:t xml:space="preserve">of the rotation put together.  Very little of the lime of</w:t></w:r>
</w:p>
<w:p>
<w:pPr><w:pStyle w:val="Normal"/></w:pPr>
<w:r><w:t xml:space="preserve">the crops, however, goes off in the saleable products of</w:t></w:r>
</w:p>
<w:p>
<w:pPr><w:pStyle w:val="Normal"/></w:pPr>
<w:r><w:t xml:space="preserve">the farm in the case of the self-supporting rotation under</w:t></w:r>
</w:p>
<w:p>
<w:pPr><w:pStyle w:val="Normal"/></w:pPr>
<w:r><w:t xml:space="preserve">consideration.  Although, therefore, different, and sometimes</w:t></w:r>
</w:p>
<w:p>
<w:pPr><w:pStyle w:val="Normal"/></w:pPr>
<w:r><w:t xml:space="preserve">very large, amounts of these typical mineral constituents</w:t></w:r>
</w:p>
<w:p>
<w:pPr><w:pStyle w:val="Normal"/></w:pPr>
<w:r><w:t xml:space="preserve">are taken up by the various crops of rotation, there is no</w:t></w:r>
</w:p>
<w:p>
<w:pPr><w:pStyle w:val="Normal"/></w:pPr>
<w:r><w:t xml:space="preserve">material export of any in the saleable products, excepting</w:t></w:r>
</w:p>
<w:p>
<w:pPr><w:pStyle w:val="Normal"/></w:pPr>
<w:r><w:t xml:space="preserve">of phosphoric acid and of potash; and, so far at least</w:t></w:r>
</w:p>
<w:p>
<w:pPr><w:pStyle w:val="Normal"/></w:pPr>
<w:r><w:t xml:space="preserve">as phosphoric acid is concerned, experience has shown that</w:t></w:r>
</w:p>
<w:p>
<w:pPr><w:pStyle w:val="Normal"/></w:pPr>
<w:r><w:t xml:space="preserve">it may be advantageously supplied in purchased manures.</w:t></w:r>
</w:p>
<w:p>
<w:pPr><w:pStyle w:val="Normal"/></w:pPr>
<w:r><w:t xml:space="preserve">Of nitrogen, the cereal crops take up and retain much less</w:t></w:r>
</w:p>
<w:p>
<w:pPr><w:pStyle w:val="Normal"/></w:pPr>
<w:r><w:t xml:space="preserve">than any of the crops alternated with them, notwithstanding</w:t></w:r>
</w:p>
<w:p>
<w:pPr><w:pStyle w:val="Normal"/></w:pPr>
<w:r><w:t xml:space="preserve">the circumstance that the cereals are very characteristically</w:t></w:r>
</w:p>
<w:p>
<w:pPr><w:pStyle w:val="Normal"/></w:pPr>
<w:r><w:t xml:space="preserve">benefited by nitrogenous manures.  The root-crops, indeed, may</w:t></w:r>
</w:p>
<w:p>
<w:pPr><w:pStyle w:val="Normal"/></w:pPr>
<w:r><w:t xml:space="preserve">contain two or more times as much nitrogen as either of the</w:t></w:r>
</w:p>
<w:p>
<w:pPr><w:pStyle w:val="Normal"/></w:pPr>
<w:r><w:t xml:space="preserve">cereals, and the leguminous crops, especially the clover, much</w:t></w:r>
</w:p>
<w:p>
<w:pPr><w:pStyle w:val="Normal"/></w:pPr>
<w:r><w:t xml:space="preserve">more than the root-crops.  The greater part of the nitrogen</w:t></w:r>
</w:p>
<w:p>
<w:pPr><w:pStyle w:val="Normal"/></w:pPr>
<w:r><w:t xml:space="preserve">of the cereals is, however, sold off the farm; but perhaps</w:t></w:r>
</w:p>
<w:p>
<w:pPr><w:pStyle w:val="Normal"/></w:pPr>
<w:r><w:t xml:space="preserve">not more than 10 or 15% of the of either the root-crop of</w:t></w:r>
</w:p>
<w:p>
<w:pPr><w:pStyle w:val="Normal"/></w:pPr>
<w:r><w:t xml:space="preserve">the clover (or other forage leguminous crop) is sold off in</w:t></w:r>
</w:p>
<w:p>
<w:pPr><w:pStyle w:val="Normal"/></w:pPr>
<w:r><w:t xml:space="preserve">the animal increase of in milk.  Most of the nitrogen is the</w:t></w:r>
</w:p>
<w:p>
<w:pPr><w:pStyle w:val="Normal"/></w:pPr>
<w:r><w:t xml:space="preserve">straw of the cereals, and a very large proportion of that of</w:t></w:r>
</w:p>
<w:p>
<w:pPr><w:pStyle w:val="Normal"/></w:pPr>
<w:r><w:t xml:space="preserve">the much more highly nitrogen-yielding crops, returns to the</w:t></w:r>
</w:p>
<w:p>
<w:pPr><w:pStyle w:val="Normal"/></w:pPr>
<w:r><w:t xml:space="preserve">land as manure, for the benefit of future cereals and other</w:t></w:r>
</w:p>
<w:p>
<w:pPr><w:pStyle w:val="Normal"/></w:pPr>
<w:r><w:t xml:space="preserve">crops.  As to the source of the nitrogren of the root-crops--the</w:t></w:r>
</w:p>
<w:p>
<w:pPr><w:pStyle w:val="Normal"/></w:pPr>
<w:r><w:t xml:space="preserve">so-called ``restorative crops&apos;&apos;--these are as dependent as any</w:t></w:r>
</w:p>
<w:p>
<w:pPr><w:pStyle w:val="Normal"/></w:pPr>
<w:r><w:t xml:space="preserve">crop that is grown on available nitrogen within the soil, which</w:t></w:r>
</w:p>
<w:p>
<w:pPr><w:pStyle w:val="Normal"/></w:pPr>
<w:r><w:t xml:space="preserve">is generally supplied by the direct application of nitrogenous</w:t></w:r>
</w:p>
<w:p>
<w:pPr><w:pStyle w:val="Normal"/></w:pPr>
<w:r><w:t xml:space="preserve">manures, natural or artificial.  Under such conditions of</w:t></w:r>
</w:p>
<w:p>
<w:pPr><w:pStyle w:val="Normal"/></w:pPr>
<w:r><w:t xml:space="preserve">supply, however, the root-crops, gross feeders as they are,</w:t></w:r>
</w:p>
<w:p>
<w:pPr><w:pStyle w:val="Normal"/></w:pPr>
<w:r><w:t xml:space="preserve">and distributing a very large extent of fibrous feeding root</w:t></w:r>
</w:p>
<w:p>
<w:pPr><w:pStyle w:val="Normal"/></w:pPr>
<w:r><w:t xml:space="preserve">within the soil, avail themselves of a much larger quantity of</w:t></w:r>
</w:p>
<w:p>
<w:pPr><w:pStyle w:val="Normal"/></w:pPr>
<w:r><w:t xml:space="preserve">the nitrogen supplied than the cereal crops would do in similar</w:t></w:r>
</w:p>
<w:p>
<w:pPr><w:pStyle w:val="Normal"/></w:pPr>
<w:r><w:t xml:space="preserve">circumstances.  This result is partly due to their period</w:t></w:r>
</w:p>
<w:p>
<w:pPr><w:pStyle w:val="Normal"/></w:pPr>
<w:r><w:t xml:space="preserve">of accumulation of nitrates in it is the greatest.  When a</w:t></w:r>
</w:p>
<w:p>
<w:pPr><w:pStyle w:val="Normal"/></w:pPr>
<w:r><w:t xml:space="preserve">full supply of both mineral constituents and nitrogen is at</w:t></w:r>
</w:p>
<w:p>
<w:pPr><w:pStyle w:val="Normal"/></w:pPr>
<w:r><w:t xml:space="preserve">command, these root-crops assimilate a very large amount of</w:t></w:r>
</w:p>
<w:p>
<w:pPr><w:pStyle w:val="Normal"/></w:pPr>
<w:r><w:t xml:space="preserve">TABLE XI.--The Weight and Average Composition of Ordinary Crops,</w:t></w:r>
</w:p>
<w:p>
<w:pPr><w:pStyle w:val="Normal"/></w:pPr>
<w:r><w:t xml:space="preserve">in lb. per Acre.</w:t></w:r>
</w:p>
<w:p>
<w:pPr><w:pStyle w:val="Normal"/></w:pPr>
<w:r><w:t xml:space="preserve">Weight of</w:t></w:r>
</w:p>
<w:p>
<w:pPr><w:pStyle w:val="Normal"/></w:pPr>
<w:r><w:t xml:space="preserve">Crop.       Total  Nitro Sul-</w:t></w:r>
</w:p>
<w:p>
<w:pPr><w:pStyle w:val="Normal"/></w:pPr>
<w:r><w:t xml:space="preserve">Crop.                     At              Pure   -gen. phur.  Potash.</w:t></w:r>
</w:p>
<w:p>
<w:pPr><w:pStyle w:val="Normal"/></w:pPr>
<w:r><w:t xml:space="preserve">Harvest.  Dry.  Ash.</w:t></w:r>
</w:p>
<w:p>
<w:pPr><w:pStyle w:val="Normal"/></w:pPr>
<w:r><w:t xml:space="preserve">Wheat, grain, 30 bushels  1,800     1530   30     34    2.7     9.3</w:t></w:r>
</w:p>
<w:p>
<w:pPr><w:pStyle w:val="Normal"/></w:pPr>
<w:r><w:t xml:space="preserve">Wheat, straw              3,158     2653  142     16    5.1    19.5</w:t></w:r>
</w:p>
<w:p>
<w:pPr><w:pStyle w:val="Normal"/></w:pPr>
<w:r><w:t xml:space="preserve">Total crop            4,958     4183  172     50    7.8    28.8</w:t></w:r>
</w:p>
<w:p>
<w:pPr><w:pStyle w:val="Normal"/></w:pPr>
<w:r><w:t xml:space="preserve">Barley, grain, 40 bushels 2,080     1747   46     35    2.9     9.8</w:t></w:r>
</w:p>
<w:p>
<w:pPr><w:pStyle w:val="Normal"/></w:pPr>
<w:r><w:t xml:space="preserve">Barley, straw             2,447     2080  111     14    3.2    25.9</w:t></w:r>
</w:p>
<w:p>
<w:pPr><w:pStyle w:val="Normal"/></w:pPr>
<w:r><w:t xml:space="preserve">Total crop            4,527     3827  157     49    6.1    35.7</w:t></w:r>
</w:p>
<w:p>
<w:pPr><w:pStyle w:val="Normal"/></w:pPr>
<w:r><w:t xml:space="preserve">Oats, grain, 45 bushels   1,890     1625   51     34    3.2     9.1</w:t></w:r>
</w:p>
<w:p>
<w:pPr><w:pStyle w:val="Normal"/></w:pPr>
<w:r><w:t xml:space="preserve">Oats, straw               2,835     2353  140     18    4.8    37.0</w:t></w:r>
</w:p>
<w:p>
<w:pPr><w:pStyle w:val="Normal"/></w:pPr>
<w:r><w:t xml:space="preserve">Total crop            4,725     3978  191     52    8.0    46.1</w:t></w:r>
</w:p>
<w:p>
<w:pPr><w:pStyle w:val="Normal"/></w:pPr>
<w:r><w:t xml:space="preserve">Maize, grain, 30 bushels  1,680     1500   22     28    1.8     6.5</w:t></w:r>
</w:p>
<w:p>
<w:pPr><w:pStyle w:val="Normal"/></w:pPr>
<w:r><w:t xml:space="preserve">Maize, stalks, &amp;c.        2,208     1877   99     15    ..     29.8</w:t></w:r>
</w:p>
<w:p>
<w:pPr><w:pStyle w:val="Normal"/></w:pPr>
<w:r><w:t xml:space="preserve">Total crop            3,888     3377  121     43    ..     36.3</w:t></w:r>
</w:p>
<w:p>
<w:pPr><w:pStyle w:val="Normal"/></w:pPr>
<w:r><w:t xml:space="preserve">Meadow hay, 1 1/2 ton     3,360     2822  203     49    5.7    50.9</w:t></w:r>
</w:p>
<w:p>
<w:pPr><w:pStyle w:val="Normal"/></w:pPr>
<w:r><w:t xml:space="preserve">Red Clover hay, 2 tons    4,480     3763  258     98    9.4    83.4</w:t></w:r>
</w:p>
<w:p>
<w:pPr><w:pStyle w:val="Normal"/></w:pPr>
<w:r><w:t xml:space="preserve">Beans, grain, 30 bushels  1,920     1613   58     78    4.4    24.3</w:t></w:r>
</w:p>
<w:p>
<w:pPr><w:pStyle w:val="Normal"/></w:pPr>
<w:r><w:t xml:space="preserve">Beans, straw              2,240     1848   99     29    4.9    42.8</w:t></w:r>
</w:p>
<w:p>
<w:pPr><w:pStyle w:val="Normal"/></w:pPr>
<w:r><w:t xml:space="preserve">Total crop            4,160     3461  157    107    9.3    67.1</w:t></w:r>
</w:p>
<w:p>
<w:pPr><w:pStyle w:val="Normal"/></w:pPr>
<w:r><w:t xml:space="preserve">Turnip, root, 17 tons    38,080     3126  218     61   15.2   108.6</w:t></w:r>
</w:p>
<w:p>
<w:pPr><w:pStyle w:val="Normal"/></w:pPr>
<w:r><w:t xml:space="preserve">Turnip, leaf             11,424     1531  146     49    5.7    40.2</w:t></w:r>
</w:p>
<w:p>
<w:pPr><w:pStyle w:val="Normal"/></w:pPr>
<w:r><w:t xml:space="preserve">Total crop           49,504     4657  346    110   20.9   148.8</w:t></w:r>
</w:p>
<w:p>
<w:pPr><w:pStyle w:val="Normal"/></w:pPr>
<w:r><w:t xml:space="preserve">Swedes, root, 14 tons    31,360     3349  163     70   14.6    63.3</w:t></w:r>
</w:p>
<w:p>
<w:pPr><w:pStyle w:val="Normal"/></w:pPr>
<w:r><w:t xml:space="preserve">Swedes, leaf              4,704      706   75     28    3.2    16.4</w:t></w:r>
</w:p>
<w:p>
<w:pPr><w:pStyle w:val="Normal"/></w:pPr>
<w:r><w:t xml:space="preserve">Total crop           36,064     4055  238     98   17.8(*) 79.7</w:t></w:r>
</w:p>
<w:p>
<w:pPr><w:pStyle w:val="Normal"/></w:pPr>
<w:r><w:t xml:space="preserve">Mangels, root, 22 tons   49,280     5914  426     98    4.9   222.8</w:t></w:r>
</w:p>
<w:p>
<w:pPr><w:pStyle w:val="Normal"/></w:pPr>
<w:r><w:t xml:space="preserve">Mangels, leaf            18,233     1654  254     51    9.1    77.9</w:t></w:r>
</w:p>
<w:p>
<w:pPr><w:pStyle w:val="Normal"/></w:pPr>
<w:r><w:t xml:space="preserve">Total crop           67,513     7568  680    149   14.0   300.7</w:t></w:r>
</w:p>
<w:p>
<w:pPr><w:pStyle w:val="Normal"/></w:pPr>
<w:r><w:t xml:space="preserve">Potatoes, tubers, 6 tons 13,440     3360  127     46    2.7    76.5</w:t></w:r>
</w:p>
<w:p>
<w:pPr><w:pStyle w:val="Normal"/></w:pPr>
<w:r><w:t xml:space="preserve">Mag-   Phosph-   Chlor-</w:t></w:r>
</w:p>
<w:p>
<w:pPr><w:pStyle w:val="Normal"/></w:pPr>
<w:r><w:t xml:space="preserve">Crop.                      Soda.  Lime.   nesia. ric Acid. ine.   Silica.</w:t></w:r>
</w:p>
<w:p>
<w:pPr><w:pStyle w:val="Normal"/></w:pPr>
<w:r><w:t xml:space="preserve">Wheat, grain, 30 bushels    0.6    1.0    3.6    14.2       0.1     0.6</w:t></w:r>
</w:p>
<w:p>
<w:pPr><w:pStyle w:val="Normal"/></w:pPr>
<w:r><w:t xml:space="preserve">Wheat, straw                2.0    8.2    3.5     6.9       2.4    96.3</w:t></w:r>
</w:p>
<w:p>
<w:pPr><w:pStyle w:val="Normal"/></w:pPr>
<w:r><w:t xml:space="preserve">Total crop              2.6    9.2    7.1    21.1       2.5    96.9</w:t></w:r>
</w:p>
<w:p>
<w:pPr><w:pStyle w:val="Normal"/></w:pPr>
<w:r><w:t xml:space="preserve">Barley, grain, 40 bushels   1.1    1.2    4.0    16.0       0.5    11.8</w:t></w:r>
</w:p>
<w:p>
<w:pPr><w:pStyle w:val="Normal"/></w:pPr>
<w:r><w:t xml:space="preserve">Barley, straw               3.9    8.0    2.9     4.7       3.6    56.8</w:t></w:r>
</w:p>
<w:p>
<w:pPr><w:pStyle w:val="Normal"/></w:pPr>
<w:r><w:t xml:space="preserve">Total crop              5.0    9.2    6.9    20.7       4.1    68.6</w:t></w:r>
</w:p>
<w:p>
<w:pPr><w:pStyle w:val="Normal"/></w:pPr>
<w:r><w:t xml:space="preserve">Oats, grain, 45 bushels     0.8    1.8    3.6    13.0       0.5    19.9</w:t></w:r>
</w:p>
<w:p>
<w:pPr><w:pStyle w:val="Normal"/></w:pPr>
<w:r><w:t xml:space="preserve">Oats, straw                 4.6    9.8    5.1     6.4       6.1    65.4</w:t></w:r>
</w:p>
<w:p>
<w:pPr><w:pStyle w:val="Normal"/></w:pPr>
<w:r><w:t xml:space="preserve">Total crop              5.4   11.6    8.7    19.4       6.6    85.3</w:t></w:r>
</w:p>
<w:p>
<w:pPr><w:pStyle w:val="Normal"/></w:pPr>
<w:r><w:t xml:space="preserve">Maize, grain, 30 bushels    0.2    0.5    3.4    10.0       0.2     0.5</w:t></w:r>
</w:p>
<w:p>
<w:pPr><w:pStyle w:val="Normal"/></w:pPr>
<w:r><w:t xml:space="preserve">Maize, stalks, &amp;c.           ..     ..     ..     8.0        ..      ..</w:t></w:r>
</w:p>
<w:p>
<w:pPr><w:pStyle w:val="Normal"/></w:pPr>
<w:r><w:t xml:space="preserve">Total crop               ..     ..     ..    18.0        ..      ..</w:t></w:r>
</w:p>
<w:p>
<w:pPr><w:pStyle w:val="Normal"/></w:pPr>
<w:r><w:t xml:space="preserve">Meadow hay, 1 1/2 ton       9.2   32.1   14.4    12.3      14.6    56.9</w:t></w:r>
</w:p>
<w:p>
<w:pPr><w:pStyle w:val="Normal"/></w:pPr>
<w:r><w:t xml:space="preserve">Red Clover hay, 2 tons      5.1   90.1   28.2    22.9       9.8     7.0</w:t></w:r>
</w:p>
<w:p>
<w:pPr><w:pStyle w:val="Normal"/></w:pPr>
<w:r><w:t xml:space="preserve">Beans, grain, 30 bushels    0.6    2.9    4.2    22.8       1.1     0.4</w:t></w:r>
</w:p>
<w:p>
<w:pPr><w:pStyle w:val="Normal"/></w:pPr>
<w:r><w:t xml:space="preserve">Beans, straw                1.7   26.3    5.7     6.3       4.3     6.9</w:t></w:r>
</w:p>
<w:p>
<w:pPr><w:pStyle w:val="Normal"/></w:pPr>
<w:r><w:t xml:space="preserve">Total crop              2.3   29.2    9.9    29.1       5.4     7.3</w:t></w:r>
</w:p>
<w:p>
<w:pPr><w:pStyle w:val="Normal"/></w:pPr>
<w:r><w:t xml:space="preserve">Turnip, root, 17 tons      17.0   25.5    5.7    22.4      10.9     2.6</w:t></w:r>
</w:p>
<w:p>
<w:pPr><w:pStyle w:val="Normal"/></w:pPr>
<w:r><w:t xml:space="preserve">Turnip, leaf                7.5   48.5    3.8    10.7      11.2     5.1</w:t></w:r>
</w:p>
<w:p>
<w:pPr><w:pStyle w:val="Normal"/></w:pPr>
<w:r><w:t xml:space="preserve">Total crop             24.5   74.0    9.5    33.1      22.1     7.7</w:t></w:r>
</w:p>
<w:p>
<w:pPr><w:pStyle w:val="Normal"/></w:pPr>
<w:r><w:t xml:space="preserve">Swedes, root, 14 tons      22.8   19.7    6.8    16.9       6.8     3.1</w:t></w:r>
</w:p>
<w:p>
<w:pPr><w:pStyle w:val="Normal"/></w:pPr>
<w:r><w:t xml:space="preserve">Swedes, leaf                9.2   22.7    2.4     4.8       8.3     3.6</w:t></w:r>
</w:p>
<w:p>
<w:pPr><w:pStyle w:val="Normal"/></w:pPr>
<w:r><w:t xml:space="preserve">Total crop             32.0   42.4    9.2    21.7      15.1     6.7</w:t></w:r>
</w:p>
<w:p>
<w:pPr><w:pStyle w:val="Normal"/></w:pPr>
<w:r><w:t xml:space="preserve">Mangels, root, 22 tons     69.4   15.9   18.3    36.4      42.5     8.7</w:t></w:r>
</w:p>
<w:p>
<w:pPr><w:pStyle w:val="Normal"/></w:pPr>
<w:r><w:t xml:space="preserve">Mangels, leaf              49.3   27.0   24.2    16.5      40.6     9.2</w:t></w:r>
</w:p>
<w:p>
<w:pPr><w:pStyle w:val="Normal"/></w:pPr>
<w:r><w:t xml:space="preserve">Total crop            118.7   42.9   42.5    52.9      83.1    17.9</w:t></w:r>
</w:p>
<w:p>
<w:pPr><w:pStyle w:val="Normal"/></w:pPr>
<w:r><w:t xml:space="preserve">Potatoes, tubers, 6 tons    3.8    3.4    6.3    21.5       4.4     2.6</w:t></w:r>
</w:p>
<w:p>
<w:pPr><w:pStyle w:val="Normal"/></w:pPr>
<w:r><w:t xml:space="preserve">(*) Calculated from a single analysis only.</w:t></w:r>
</w:p>
<w:p>
<w:pPr><w:pStyle w:val="Normal"/></w:pPr>
<w:r><w:t xml:space="preserve">carbon from the atmosphere, and produce, besides nitrogenous</w:t></w:r>
</w:p>
<w:p>
<w:pPr><w:pStyle w:val="Normal"/></w:pPr>
<w:r><w:t xml:space="preserve">food materials, a very large amount of the carbohydrate sugar,</w:t></w:r>
</w:p>
<w:p>
<w:pPr><w:pStyle w:val="Normal"/></w:pPr>
<w:r><w:t xml:space="preserve">as respiratory and fat-forming food for the live stock of the</w:t></w:r>
</w:p>
<w:p>
<w:pPr><w:pStyle w:val="Normal"/></w:pPr>
<w:r><w:t xml:space="preserve">farm.  The still more highly nitrogenous leguminous crops,</w:t></w:r>
</w:p>
<w:p>
<w:pPr><w:pStyle w:val="Normal"/></w:pPr>
<w:r><w:t xml:space="preserve">although not characteristically benefited by nitrogenous</w:t></w:r>
</w:p>
<w:p>
<w:pPr><w:pStyle w:val="Normal"/></w:pPr>
<w:r><w:t xml:space="preserve">manures, nevertheless contribute much more nitrogen to the</w:t></w:r>
</w:p>
<w:p>
<w:pPr><w:pStyle w:val="Normal"/></w:pPr>
<w:r><w:t xml:space="preserve">total produce of the rotation than any of the other crops</w:t></w:r>
</w:p>
<w:p>
<w:pPr><w:pStyle w:val="Normal"/></w:pPr>
<w:r><w:t xml:space="preserve">comprised in it.  It is the leguminous fodder crops--especially</w:t></w:r>
</w:p>
<w:p>
<w:pPr><w:pStyle w:val="Normal"/></w:pPr>
<w:r><w:t xml:space="preserve">clover, which has a much more extended period of growth,</w:t></w:r>
</w:p>
<w:p>
<w:pPr><w:pStyle w:val="Normal"/></w:pPr>
<w:r><w:t xml:space="preserve">and much wider range of collection within the soil and</w:t></w:r>
</w:p>
<w:p>
<w:pPr><w:pStyle w:val="Normal"/></w:pPr>
<w:r><w:t xml:space="preserve">subsoil, than any of the other crops of the rotation--that</w:t></w:r>
</w:p>
<w:p>
<w:pPr><w:pStyle w:val="Normal"/></w:pPr>
<w:r><w:t xml:space="preserve">yield in their produce the largest amount of nitrogen per</w:t></w:r>
</w:p>
<w:p>
<w:pPr><w:pStyle w:val="Normal"/></w:pPr>
<w:r><w:t xml:space="preserve">acre.  Much of this is, doubtless taken up as nitrate, yet the</w:t></w:r>
</w:p>
<w:p>
<w:pPr><w:pStyle w:val="Normal"/></w:pPr>
<w:r><w:t xml:space="preserve">direct application of nitrate of soda has comparatively little</w:t></w:r>
</w:p>
<w:p>
<w:pPr><w:pStyle w:val="Normal"/></w:pPr>
<w:r><w:t xml:space="preserve">beneficial influence on their growth.  The nitric acid is most</w:t></w:r>
</w:p>
<w:p>
<w:pPr><w:pStyle w:val="Normal"/></w:pPr>
<w:r><w:t xml:space="preserve">likely taken up chiefly as nitrate of lime, but probably as</w:t></w:r>
</w:p>
<w:p>
<w:pPr><w:pStyle w:val="Normal"/></w:pPr>
<w:r><w:t xml:space="preserve">nitrate of potash also, and it is significant that the high</w:t></w:r>
</w:p>
<w:p>
<w:pPr><w:pStyle w:val="Normal"/></w:pPr>
<w:r><w:t xml:space="preserve">nitrogen-yielding clover takes up, or at least retains, very</w:t></w:r>
</w:p>
<w:p>
<w:pPr><w:pStyle w:val="Normal"/></w:pPr>
<w:r><w:t xml:space="preserve">little soda.  Table XI., from Warington&apos;s Chemistry of the</w:t></w:r>
</w:p>
<w:p>
<w:pPr><w:pStyle w:val="Normal"/></w:pPr>
<w:r><w:t xml:space="preserve">Farm, 19th edition (Vinton and Co.), will serve to illustrate</w:t></w:r>
</w:p>
<w:p>
<w:pPr><w:pStyle w:val="Normal"/></w:pPr>
<w:r><w:t xml:space="preserve">the subjects that have been discussed in this section.</w:t></w:r>
</w:p>
<w:p>
<w:pPr><w:pStyle w:val="Normal"/></w:pPr>
<w:r><w:t xml:space="preserve">For further information on the routine and details of</w:t></w:r>
</w:p>
<w:p>
<w:pPr><w:pStyle w:val="Normal"/></w:pPr>
<w:r><w:t xml:space="preserve">farming, reference may be made to the articles under</w:t></w:r>
</w:p>
<w:p>
<w:pPr><w:pStyle w:val="Normal"/></w:pPr>
<w:r><w:t xml:space="preserve">the headings of the various crops and implements.</w:t></w:r>
</w:p>
<w:p>
<w:pPr><w:pStyle w:val="Normal"/></w:pPr>
<w:r><w:t xml:space="preserve">British Live Stock.</w:t></w:r>
</w:p>
<w:p>
<w:pPr><w:pStyle w:val="Normal"/></w:pPr>
<w:r><w:t xml:space="preserve">The numbers of live stock in the United Kingdom are shown at</w:t></w:r>
</w:p>
<w:p>
<w:pPr><w:pStyle w:val="Normal"/></w:pPr>
<w:r><w:t xml:space="preserve">five-yearly intervals in Table XII. Under horses are embraced only</w:t></w:r>
</w:p>
<w:p>
<w:pPr><w:pStyle w:val="Normal"/></w:pPr>
<w:r><w:t xml:space="preserve">unbroken horses and horses used solely for agriculture (including</w:t></w:r>
</w:p>
<w:p>
<w:pPr><w:pStyle w:val="Normal"/></w:pPr>
<w:r><w:t xml:space="preserve">mares kept for breeding).  The highest and lowest annual totals for</w:t></w:r>
</w:p>
<w:p>
<w:pPr><w:pStyle w:val="Normal"/></w:pPr>
<w:r><w:t xml:space="preserve">the United Kingdom in the period 1875-1905 were the following:--</w:t></w:r>
</w:p>
<w:p>
<w:pPr><w:pStyle w:val="Normal"/></w:pPr>
<w:r><w:t xml:space="preserve">Highest.            Lowest.       Difference</w:t></w:r>
</w:p>
<w:p>
<w:pPr><w:pStyle w:val="Normal"/></w:pPr>
<w:r><w:t xml:space="preserve">Horses   2,116,800 in 1905   1,819,687 in 1875    295,113</w:t></w:r>
</w:p>
<w:p>
<w:pPr><w:pStyle w:val="Normal"/></w:pPr>
<w:r><w:t xml:space="preserve">Cattle  11,674,019 in 1905   9,731,537 in 1877  1,942,482</w:t></w:r>
</w:p>
<w:p>
<w:pPr><w:pStyle w:val="Normal"/></w:pPr>
<w:r><w:t xml:space="preserve">Sheep   33,642,808 in 1892  27,448,220 in 1882  6,194,588</w:t></w:r>
</w:p>
<w:p>
<w:pPr><w:pStyle w:val="Normal"/></w:pPr>
<w:r><w:t xml:space="preserve">Pigs     4,362,040 in 1890   2,863,488 in 1880  1,498,552</w:t></w:r>
</w:p>
<w:p>
<w:pPr><w:pStyle w:val="Normal"/></w:pPr>
<w:r><w:t xml:space="preserve">After 1892 cattle, which in that year numbered 11,119,417,</w:t></w:r>
</w:p>
<w:p>
<w:pPr><w:pStyle w:val="Normal"/></w:pPr>
<w:r><w:t xml:space="preserve">and sheep declined continuously for three years to the</w:t></w:r>
</w:p>
<w:p>
<w:pPr><w:pStyle w:val="Normal"/></w:pPr>
<w:r><w:t xml:space="preserve">totals of 1895, the diminution being mainly the result</w:t></w:r>
</w:p>
<w:p>
<w:pPr><w:pStyle w:val="Normal"/></w:pPr>
<w:r><w:t xml:space="preserve">of the memorable drought of 1803.  Sheep, which numbered</w:t></w:r>
</w:p>
<w:p>
<w:pPr><w:pStyle w:val="Normal"/></w:pPr>
<w:r><w:t xml:space="preserve">32,571,018 in 1878, declined continuously to 27,448,220 in</w:t></w:r>
</w:p>
<w:p>
<w:pPr><w:pStyle w:val="Normal"/></w:pPr>
<w:r><w:t xml:space="preserve">1882--a loss of over five million head in five years.  This</w:t></w:r>
</w:p>
<w:p>
<w:pPr><w:pStyle w:val="Normal"/></w:pPr>
<w:r><w:t xml:space="preserve">was chiefly attributable to the ravages of the liver fluke</w:t></w:r>
</w:p>
<w:p>
<w:pPr><w:pStyle w:val="Normal"/></w:pPr>
<w:r><w:t xml:space="preserve">which began in the disastrously wet season of 1879.  Pigs,</w:t></w:r>
</w:p>
<w:p>
<w:pPr><w:pStyle w:val="Normal"/></w:pPr>
<w:r><w:t xml:space="preserve">being prolific breeders, fluctuate more widely in numbers</w:t></w:r>
</w:p>
<w:p>
<w:pPr><w:pStyle w:val="Normal"/></w:pPr>
<w:r><w:t xml:space="preserve">than cattle or sheep, for the difference of 1,498,552 in their</w:t></w:r>
</w:p>
<w:p>
<w:pPr><w:pStyle w:val="Normal"/></w:pPr>
<w:r><w:t xml:space="preserve">case represents one-third of the highest total, whereas the</w:t></w:r>
</w:p>
<w:p>
<w:pPr><w:pStyle w:val="Normal"/></w:pPr>
<w:r><w:t xml:space="preserve">difference is less than one-seventh for horses. less than</w:t></w:r>
</w:p>
<w:p>
<w:pPr><w:pStyle w:val="Normal"/></w:pPr>
<w:r><w:t xml:space="preserve">one-sixth for cattle, and less than one-fifth for sheep.  The</w:t></w:r>
</w:p>
<w:p>
<w:pPr><w:pStyle w:val="Normal"/></w:pPr>
<w:r><w:t xml:space="preserve">TABLE XII.--Numbers of Horses, Cattle, Sheep and Pigs in the</w:t></w:r>
</w:p>
<w:p>
<w:pPr><w:pStyle w:val="Normal"/></w:pPr>
<w:r><w:t xml:space="preserve">United Kingdom.</w:t></w:r>
</w:p>
<w:p>
<w:pPr><w:pStyle w:val="Normal"/></w:pPr>
<w:r><w:t xml:space="preserve">Year.    Horses.     Cattle.      Sheep.       Pigs.</w:t></w:r>
</w:p>
<w:p>
<w:pPr><w:pStyle w:val="Normal"/></w:pPr>
<w:r><w:t xml:space="preserve">1875   1,819,687   10,162,787   33,491,948   3,495,167</w:t></w:r>
</w:p>
<w:p>
<w:pPr><w:pStyle w:val="Normal"/></w:pPr>
<w:r><w:t xml:space="preserve">1880   1,929,680    9,871,533   30,239,620   2,865,488</w:t></w:r>
</w:p>
<w:p>
<w:pPr><w:pStyle w:val="Normal"/></w:pPr>
<w:r><w:t xml:space="preserve">1885   1,909,200   10,868,760   30,086,200   3,686,628</w:t></w:r>
</w:p>
<w:p>
<w:pPr><w:pStyle w:val="Normal"/></w:pPr>
<w:r><w:t xml:space="preserve">1890   1,964,911   10,789,858   31,667,195   4,362,040</w:t></w:r>
</w:p>
<w:p>
<w:pPr><w:pStyle w:val="Normal"/></w:pPr>
<w:r><w:t xml:space="preserve">1895   2,112,207   10,753,314   29,774,853   4,238,870</w:t></w:r>
</w:p>
<w:p>
<w:pPr><w:pStyle w:val="Normal"/></w:pPr>
<w:r><w:t xml:space="preserve">1900   2,000,402   11,454,902   31,054,547   3,663,669</w:t></w:r>
</w:p>
<w:p>
<w:pPr><w:pStyle w:val="Normal"/></w:pPr>
<w:r><w:t xml:space="preserve">1905   2,116,800   11,674,019   29,076,777   3,601,659</w:t></w:r>
</w:p>
<w:p>
<w:pPr><w:pStyle w:val="Normal"/></w:pPr>
<w:r><w:t xml:space="preserve">relative proportions--as distinguished from the actual numbers</w:t></w:r>
</w:p>
<w:p>
<w:pPr><w:pStyle w:val="Normal"/></w:pPr>
<w:r><w:t xml:space="preserve">--in which stock are distributed over the several sections</w:t></w:r>
</w:p>
<w:p>
<w:pPr><w:pStyle w:val="Normal"/></w:pPr>
<w:r><w:t xml:space="preserve">of the United Kingdom do not vary greatly from year to</w:t></w:r>
</w:p>
<w:p>
<w:pPr><w:pStyle w:val="Normal"/></w:pPr>
<w:r><w:t xml:space="preserve">year.  Table XIII., in which the totals for the United</w:t></w:r>
</w:p>
<w:p>
<w:pPr><w:pStyle w:val="Normal"/></w:pPr>
<w:r><w:t xml:space="preserve">Kingdom include those for the Channel Islands and Isle of</w:t></w:r>
</w:p>
<w:p>
<w:pPr><w:pStyle w:val="Normal"/></w:pPr>
<w:r><w:t xml:space="preserve">Man, illustrates the preponderance of the sheep-breeding</w:t></w:r>
</w:p>
<w:p>
<w:pPr><w:pStyle w:val="Normal"/></w:pPr>
<w:r><w:t xml:space="preserve">industry in the drier climate of Great Britain, and of the</w:t></w:r>
</w:p>
<w:p>
<w:pPr><w:pStyle w:val="Normal"/></w:pPr>
<w:r><w:t xml:space="preserve">cattle-breeding industry in the more humid atmosphere of</w:t></w:r>
</w:p>
<w:p>
<w:pPr><w:pStyle w:val="Normal"/></w:pPr>
<w:r><w:t xml:space="preserve">Ireland.  In Great Britain in 1905, for every head of</w:t></w:r>
</w:p>
<w:p>
<w:pPr><w:pStyle w:val="Normal"/></w:pPr>
<w:r><w:t xml:space="preserve">cattle there were about four head of sheep, whereas in</w:t></w:r>
</w:p>
<w:p>
<w:pPr><w:pStyle w:val="Normal"/></w:pPr>
<w:r><w:t xml:space="preserve">Ireland the cattle outnumbered the sheep.  Again. whilst</w:t></w:r>
</w:p>
<w:p>
<w:pPr><w:pStyle w:val="Normal"/></w:pPr>
<w:r><w:t xml:space="preserve">Great Britain possessed only half as many cattle more than</w:t></w:r>
</w:p>
<w:p>
<w:pPr><w:pStyle w:val="Normal"/></w:pPr>
<w:r><w:t xml:space="preserve">TABLE XIII.--Numbers of Horses, Cattle, Sheep and Pigs in the</w:t></w:r>
</w:p>
<w:p>
<w:pPr><w:pStyle w:val="Normal"/></w:pPr>
<w:r><w:t xml:space="preserve">United Kingdom in 1905.</w:t></w:r>
</w:p>
<w:p>
<w:pPr><w:pStyle w:val="Normal"/></w:pPr>
<w:r><w:t xml:space="preserve">1905.             Horses.     Cattle.     Sheep.      Pigs.</w:t></w:r>
</w:p>
<w:p>
<w:pPr><w:pStyle w:val="Normal"/></w:pPr>
<w:r><w:t xml:space="preserve">England         1,204,124    5,020,936  14,698,018  2,083,226</w:t></w:r>
</w:p>
<w:p>
<w:pPr><w:pStyle w:val="Normal"/></w:pPr>
<w:r><w:t xml:space="preserve">Wales             161,923      738,789   3,534,967    211,479</w:t></w:r>
</w:p>
<w:p>
<w:pPr><w:pStyle w:val="Normal"/></w:pPr>
<w:r><w:t xml:space="preserve">Scotland          206,386    1,227,295   7,024,211    130,214</w:t></w:r>
</w:p>
<w:p>
<w:pPr><w:pStyle w:val="Normal"/></w:pPr>
<w:r><w:t xml:space="preserve">Great Britain   1,572,433    6,987,020  25,257,196  2,424,919</w:t></w:r>
</w:p>
<w:p>
<w:pPr><w:pStyle w:val="Normal"/></w:pPr>
<w:r><w:t xml:space="preserve">Ireland           534,875    4,645,215   3,749,352  1,164,316</w:t></w:r>
</w:p>
<w:p>
<w:pPr><w:pStyle w:val="Normal"/></w:pPr>
<w:r><w:t xml:space="preserve">United</w:t></w:r>
</w:p>
<w:p>
<w:pPr><w:pStyle w:val="Normal"/></w:pPr>
<w:r><w:t xml:space="preserve">Kingdom8     2,116,800   11,674,019  29,076,777  3,601,659</w:t></w:r>
</w:p>
<w:p>
<w:pPr><w:pStyle w:val="Normal"/></w:pPr>
<w:r><w:t xml:space="preserve">Ireland, she possessed six times as many sheep.  The cattle</w:t></w:r>
</w:p>
<w:p>
<w:pPr><w:pStyle w:val="Normal"/></w:pPr>
<w:r><w:t xml:space="preserve">population of England alone slightly exceeded that of</w:t></w:r>
</w:p>
<w:p>
<w:pPr><w:pStyle w:val="Normal"/></w:pPr>
<w:r><w:t xml:space="preserve">Ireland. but cattle are more at home on the broad plains of</w:t></w:r>
</w:p>
<w:p>
<w:pPr><w:pStyle w:val="Normal"/></w:pPr>
<w:r><w:t xml:space="preserve">England than amongst the hills and mountains of Wales and</w:t></w:r>
</w:p>
<w:p>
<w:pPr><w:pStyle w:val="Normal"/></w:pPr>
<w:r><w:t xml:space="preserve">Scotland. which are suitable for sheep.  Hence, whilst in</w:t></w:r>
</w:p>
<w:p>
<w:pPr><w:pStyle w:val="Normal"/></w:pPr>
<w:r><w:t xml:space="preserve">England sheep were not three times as numerous as cattle,</w:t></w:r>
</w:p>
<w:p>
<w:pPr><w:pStyle w:val="Normal"/></w:pPr>
<w:r><w:t xml:space="preserve">in Wales they were nearly five times, and in Scotland nearly</w:t></w:r>
</w:p>
<w:p>
<w:pPr><w:pStyle w:val="Normal"/></w:pPr>
<w:r><w:t xml:space="preserve">six times as many.  Great Britain had twice as many pigs as</w:t></w:r>
</w:p>
<w:p>
<w:pPr><w:pStyle w:val="Normal"/></w:pPr>
<w:r><w:t xml:space="preserve">Ireland, but the swine industry is mainly English and Irish,</w:t></w:r>
</w:p>
<w:p>
<w:pPr><w:pStyle w:val="Normal"/></w:pPr>
<w:r><w:t xml:space="preserve">and England possessed more than six times as many pigs as</w:t></w:r>
</w:p>
<w:p>
<w:pPr><w:pStyle w:val="Normal"/></w:pPr>
<w:r><w:t xml:space="preserve">Wales and Scotland together. the number in the last-named</w:t></w:r>
</w:p>
<w:p>
<w:pPr><w:pStyle w:val="Normal"/></w:pPr>
<w:r><w:t xml:space="preserve">country being particularly small.  One English county alone,</w:t></w:r>
</w:p>
<w:p>
<w:pPr><w:pStyle w:val="Normal"/></w:pPr>
<w:r><w:t xml:space="preserve">Suffolk, maintained more pigs than the whole of Scotland.</w:t></w:r>
</w:p>
<w:p>
<w:pPr><w:pStyle w:val="Normal"/></w:pPr>
<w:r><w:t xml:space="preserve">British Imports of Live Animals and Meat.</w:t></w:r>
</w:p>
<w:p>
<w:pPr><w:pStyle w:val="Normal"/></w:pPr>
<w:r><w:t xml:space="preserve">The stock-breeders and graziers of the United Kinudom have, equally</w:t></w:r>
</w:p>
<w:p>
<w:pPr><w:pStyle w:val="Normal"/></w:pPr>
<w:r><w:t xml:space="preserve">with the corn-growers, to face the brunt of foreign competition.</w:t></w:r>
</w:p>
<w:p>
<w:pPr><w:pStyle w:val="Normal"/></w:pPr>
<w:r><w:t xml:space="preserve">Up tp 1896 store cattle were admitted into the United</w:t></w:r>
</w:p>
<w:p>
<w:pPr><w:pStyle w:val="Normal"/></w:pPr>
<w:r><w:t xml:space="preserve">Kingdom for the purpose of being fattened, but under the</w:t></w:r>
</w:p>
<w:p>
<w:pPr><w:pStyle w:val="Normal"/></w:pPr>
<w:r><w:t xml:space="preserve">Diseases of Animals Act of that year animals imported</w:t></w:r>
</w:p>
<w:p>
<w:pPr><w:pStyle w:val="Normal"/></w:pPr>
<w:r><w:t xml:space="preserve">since then have to be slaughtered at the place of landing.</w:t></w:r>
</w:p>
<w:p>
<w:pPr><w:pStyle w:val="Normal"/></w:pPr>
<w:r><w:t xml:space="preserve">The dimensions of this trade are shown in Table XIV.</w:t></w:r>
</w:p>
<w:p>
<w:pPr><w:pStyle w:val="Normal"/></w:pPr>
<w:r><w:t xml:space="preserve">TABLE XIV.--Numbers of Cattle, Sheep and Pigs Imported into the</w:t></w:r>
</w:p>
<w:p>
<w:pPr><w:pStyle w:val="Normal"/></w:pPr>
<w:r><w:t xml:space="preserve">United Kingdom, 1891-1905.</w:t></w:r>
</w:p>
<w:p>
<w:pPr><w:pStyle w:val="Normal"/></w:pPr>
<w:r><w:t xml:space="preserve">Year.     Cattle.    Sheep.      Pigs.</w:t></w:r>
</w:p>
<w:p>
<w:pPr><w:pStyle w:val="Normal"/></w:pPr>
<w:r><w:t xml:space="preserve">1891      507,407      344,504    542</w:t></w:r>
</w:p>
<w:p>
<w:pPr><w:pStyle w:val="Normal"/></w:pPr>
<w:r><w:t xml:space="preserve">1892      502,237       79,048   3826</w:t></w:r>
</w:p>
<w:p>
<w:pPr><w:pStyle w:val="Normal"/></w:pPr>
<w:r><w:t xml:space="preserve">1993      340,045       62,682    138</w:t></w:r>
</w:p>
<w:p>
<w:pPr><w:pStyle w:val="Normal"/></w:pPr>
<w:r><w:t xml:space="preserve">1894      475,440      484,597      8</w:t></w:r>
</w:p>
<w:p>
<w:pPr><w:pStyle w:val="Normal"/></w:pPr>
<w:r><w:t xml:space="preserve">1895      415,565    1,065,470    321</w:t></w:r>
</w:p>
<w:p>
<w:pPr><w:pStyle w:val="Normal"/></w:pPr>
<w:r><w:t xml:space="preserve">1896      562,553      769,592      4</w:t></w:r>
</w:p>
<w:p>
<w:pPr><w:pStyle w:val="Normal"/></w:pPr>
<w:r><w:t xml:space="preserve">1897      618,321      611,504     ..</w:t></w:r>
</w:p>
<w:p>
<w:pPr><w:pStyle w:val="Normal"/></w:pPr>
<w:r><w:t xml:space="preserve">1898      569,066      663,747    450</w:t></w:r>
</w:p>
<w:p>
<w:pPr><w:pStyle w:val="Normal"/></w:pPr>
<w:r><w:t xml:space="preserve">1899      503,504      607,755     ..</w:t></w:r>
</w:p>
<w:p>
<w:pPr><w:pStyle w:val="Normal"/></w:pPr>
<w:r><w:t xml:space="preserve">1900      495,645      382,833     ..</w:t></w:r>
</w:p>
<w:p>
<w:pPr><w:pStyle w:val="Normal"/></w:pPr>
<w:r><w:t xml:space="preserve">1901      495,635      383,594     ..</w:t></w:r>
</w:p>
<w:p>
<w:pPr><w:pStyle w:val="Normal"/></w:pPr>
<w:r><w:t xml:space="preserve">1902      419,488      293,203     ..</w:t></w:r>
</w:p>
<w:p>
<w:pPr><w:pStyle w:val="Normal"/></w:pPr>
<w:r><w:t xml:space="preserve">1903      522,546      354,241     ..</w:t></w:r>
</w:p>
<w:p>
<w:pPr><w:pStyle w:val="Normal"/></w:pPr>
<w:r><w:t xml:space="preserve">1904      549,532      382,240     ..</w:t></w:r>
</w:p>
<w:p>
<w:pPr><w:pStyle w:val="Normal"/></w:pPr>
<w:r><w:t xml:space="preserve">1905      565,139      183,084    150</w:t></w:r>
</w:p>
<w:p>
<w:pPr><w:pStyle w:val="Normal"/></w:pPr>
<w:r><w:t xml:space="preserve">The animals come mainly from the United States of America, Canada</w:t></w:r>
</w:p>
<w:p>
<w:pPr><w:pStyle w:val="Normal"/></w:pPr>
<w:r><w:t xml:space="preserve">and Argentina, and the traffic in cattle is more uniform than that</w:t></w:r>
</w:p>
<w:p>
<w:pPr><w:pStyle w:val="Normal"/></w:pPr>
<w:r><w:t xml:space="preserve">in sheep, whilst that in pigs seems practically to have reached</w:t></w:r>
</w:p>
<w:p>
<w:pPr><w:pStyle w:val="Normal"/></w:pPr>
<w:r><w:t xml:space="preserve">extinction.  The quantities of dead meat imported increased</w:t></w:r>
</w:p>
<w:p>
<w:pPr><w:pStyle w:val="Normal"/></w:pPr>
<w:r><w:t xml:space="preserve">with great rapidity from 1891 to 1905, a circumstance largely</w:t></w:r>
</w:p>
<w:p>
<w:pPr><w:pStyle w:val="Normal"/></w:pPr>
<w:r><w:t xml:space="preserve">due to the rise of the trade in chilled and frozen meat.  Fresh</w:t></w:r>
</w:p>
<w:p>
<w:pPr><w:pStyle w:val="Normal"/></w:pPr>
<w:r><w:t xml:space="preserve">beef in this form is imported chiefly from the United States</w:t></w:r>
</w:p>
<w:p>
<w:pPr><w:pStyle w:val="Normal"/></w:pPr>
<w:r><w:t xml:space="preserve">and Australasia, fresh mutton from Australasia and Argentina.</w:t></w:r>
</w:p>
<w:p>
<w:pPr><w:pStyle w:val="Normal"/></w:pPr>
<w:r><w:t xml:space="preserve">Table XV. shows how rapidly this trade expanded during the decade</w:t></w:r>
</w:p>
<w:p>
<w:pPr><w:pStyle w:val="Normal"/></w:pPr>
<w:r><w:t xml:space="preserve">of the &apos;nineties.  The column headed bacon and hams indicates</w:t></w:r>
</w:p>
<w:p>
<w:pPr><w:pStyle w:val="Normal"/></w:pPr>
<w:r><w:t xml:space="preserve">clearly enough that the imports of fresh meat did not displace</w:t></w:r>
</w:p>
<w:p>
<w:pPr><w:pStyle w:val="Normal"/></w:pPr>
<w:r><w:t xml:space="preserve">those of preserved pig meat, for the latter expanded from</w:t></w:r>
</w:p>
<w:p>
<w:pPr><w:pStyle w:val="Normal"/></w:pPr>
<w:r><w:t xml:space="preserve">4,715,000 cwt. to 7,784,000 cwt. during the decade.  The column</w:t></w:r>
</w:p>
<w:p>
<w:pPr><w:pStyle w:val="Normal"/></w:pPr>
<w:r><w:t xml:space="preserve">for all dead meat includes not only the items tabulated, but also</w:t></w:r>
</w:p>
<w:p>
<w:pPr><w:pStyle w:val="Normal"/></w:pPr>
<w:r><w:t xml:space="preserve">TABLE XV.--Quantities of Dead Meat Imported into the United</w:t></w:r>
</w:p>
<w:p>
<w:pPr><w:pStyle w:val="Normal"/></w:pPr>
<w:r><w:t xml:space="preserve">Kingdom, 1891-1905--Thousands of Cwt.</w:t></w:r>
</w:p>
<w:p>
<w:pPr><w:pStyle w:val="Normal"/></w:pPr>
<w:r><w:t xml:space="preserve">Year.   Fresh   Fresh     Fresh    Bacon          All</w:t></w:r>
</w:p>
<w:p>
<w:pPr><w:pStyle w:val="Normal"/></w:pPr>
<w:r><w:t xml:space="preserve">Beef.   Mutton.   Pork.    and Hams.   Dead Meat.</w:t></w:r>
</w:p>
<w:p>
<w:pPr><w:pStyle w:val="Normal"/></w:pPr>
<w:r><w:t xml:space="preserve">1891    1921    1663      128      4715           9,790</w:t></w:r>
</w:p>
<w:p>
<w:pPr><w:pStyle w:val="Normal"/></w:pPr>
<w:r><w:t xml:space="preserve">1892    2080    1700      132      5135          10,300</w:t></w:r>
</w:p>
<w:p>
<w:pPr><w:pStyle w:val="Normal"/></w:pPr>
<w:r><w:t xml:space="preserve">1893    1808    1971      182      4187           9,305</w:t></w:r>
</w:p>
<w:p>
<w:pPr><w:pStyle w:val="Normal"/></w:pPr>
<w:r><w:t xml:space="preserve">1894    2104    2295      180      4819          10,610</w:t></w:r>
</w:p>
<w:p>
<w:pPr><w:pStyle w:val="Normal"/></w:pPr>
<w:r><w:t xml:space="preserve">1895    2191    2611      288      5353          11,977</w:t></w:r>
</w:p>
<w:p>
<w:pPr><w:pStyle w:val="Normal"/></w:pPr>
<w:r><w:t xml:space="preserve">1896    2660    2895      299      6009          13,347</w:t></w:r>
</w:p>
<w:p>
<w:pPr><w:pStyle w:val="Normal"/></w:pPr>
<w:r><w:t xml:space="preserve">1897    3010    3193      348      6731          14,729</w:t></w:r>
</w:p>
<w:p>
<w:pPr><w:pStyle w:val="Normal"/></w:pPr>
<w:r><w:t xml:space="preserve">1898    3101    3314      558      7684          16,445</w:t></w:r>
</w:p>
<w:p>
<w:pPr><w:pStyle w:val="Normal"/></w:pPr>
<w:r><w:t xml:space="preserve">1899    3803    3446      669      7784          17,658</w:t></w:r>
</w:p>
<w:p>
<w:pPr><w:pStyle w:val="Normal"/></w:pPr>
<w:r><w:t xml:space="preserve">1900    4128    3393      695      7444          17,912</w:t></w:r>
</w:p>
<w:p>
<w:pPr><w:pStyle w:val="Normal"/></w:pPr>
<w:r><w:t xml:space="preserve">1901    4509    3608      792      7633          18,764</w:t></w:r>
</w:p>
<w:p>
<w:pPr><w:pStyle w:val="Normal"/></w:pPr>
<w:r><w:t xml:space="preserve">1902    3707    3660      655      6572          16,971</w:t></w:r>
</w:p>
<w:p>
<w:pPr><w:pStyle w:val="Normal"/></w:pPr>
<w:r><w:t xml:space="preserve">1903    4160    4017      706      6298          17,498</w:t></w:r>
</w:p>
<w:p>
<w:pPr><w:pStyle w:val="Normal"/></w:pPr>
<w:r><w:t xml:space="preserve">1904    4350    3495      610      6696          17,517</w:t></w:r>
</w:p>
<w:p>
<w:pPr><w:pStyle w:val="Normal"/></w:pPr>
<w:r><w:t xml:space="preserve">1905    5038    3811      506      6817          18,680</w:t></w:r>
</w:p>
<w:p>
<w:pPr><w:pStyle w:val="Normal"/></w:pPr>
<w:r><w:t xml:space="preserve">the following, the quantities stated being those for 1905:--Beef,</w:t></w:r>
</w:p>
<w:p>
<w:pPr><w:pStyle w:val="Normal"/></w:pPr>
<w:r><w:t xml:space="preserve">salted, 142,806 cwt.; beef, otherwise preserved, 598,030 cwt.;</w:t></w:r>
</w:p>
<w:p>
<w:pPr><w:pStyle w:val="Normal"/></w:pPr>
<w:r><w:t xml:space="preserve">preserved mutton, 30,111 cwt.; salted pork, 205,965 cwt.;</w:t></w:r>
</w:p>
<w:p>
<w:pPr><w:pStyle w:val="Normal"/></w:pPr>
<w:r><w:t xml:space="preserve">dead rabbits, 656,078 cwt.; meat, unenumerated, 875,032 cwt.</w:t></w:r>
</w:p>
<w:p>
<w:pPr><w:pStyle w:val="Normal"/></w:pPr>
<w:r><w:t xml:space="preserve">The quantities of these are relatively small, and, excepting</w:t></w:r>
</w:p>
<w:p>
<w:pPr><w:pStyle w:val="Normal"/></w:pPr>
<w:r><w:t xml:space="preserve">rabbits from Australia, they show no general tendency to</w:t></w:r>
</w:p>
<w:p>
<w:pPr><w:pStyle w:val="Normal"/></w:pPr>
<w:r><w:t xml:space="preserve">increase.  The extent to which these growing imports were</w:t></w:r>
</w:p>
<w:p>
<w:pPr><w:pStyle w:val="Normal"/></w:pPr>
<w:r><w:t xml:space="preserve">associated with a decline in value is shown in Table XVI.</w:t></w:r>
</w:p>
<w:p>
<w:pPr><w:pStyle w:val="Normal"/></w:pPr>
<w:r><w:t xml:space="preserve">The trend of the import trade in meat, live and dead (exclusive</w:t></w:r>
</w:p>
<w:p>
<w:pPr><w:pStyle w:val="Normal"/></w:pPr>
<w:r><w:t xml:space="preserve">of rabbits), may be gathered from Table XVII., in which are</w:t></w:r>
</w:p>
<w:p>
<w:pPr><w:pStyle w:val="Normal"/></w:pPr>
<w:r><w:t xml:space="preserve">given the annual average imports from the eight quinquennial</w:t></w:r>
</w:p>
<w:p>
<w:pPr><w:pStyle w:val="Normal"/></w:pPr>
<w:r><w:t xml:space="preserve">periods embraced between 1866 and 1905.  An increase in live</w:t></w:r>
</w:p>
<w:p>
<w:pPr><w:pStyle w:val="Normal"/></w:pPr>
<w:r><w:t xml:space="preserve">cattle accompanied a decrease in live sheep and pigs, but the</w:t></w:r>
</w:p>
<w:p>
<w:pPr><w:pStyle w:val="Normal"/></w:pPr>
<w:r><w:t xml:space="preserve">imports of dead meat expanded fifteen-fold over the period,</w:t></w:r>
</w:p>
<w:p>
<w:pPr><w:pStyle w:val="Normal"/></w:pPr>
<w:r><w:t xml:space="preserve">The rate at which the trade in imported frozen mutton</w:t></w:r>
</w:p>
<w:p>
<w:pPr><w:pStyle w:val="Normal"/></w:pPr>
<w:r><w:t xml:space="preserve">increased as compared with the industry in home-grown mutton</w:t></w:r>
</w:p>
<w:p>
<w:pPr><w:pStyle w:val="Normal"/></w:pPr>
<w:r><w:t xml:space="preserve">is illustrated in the figures published annually by Messrs</w:t></w:r>
</w:p>
<w:p>
<w:pPr><w:pStyle w:val="Normal"/></w:pPr>
<w:r><w:t xml:space="preserve">W. Weddel and Company, from which those for 1885 and 1890 and</w:t></w:r>
</w:p>
<w:p>
<w:pPr><w:pStyle w:val="Normal"/></w:pPr>
<w:r><w:t xml:space="preserve">for each year from 1895 to 1906 are given in Table XVIII.  The</w:t></w:r>
</w:p>
<w:p>
<w:pPr><w:pStyle w:val="Normal"/></w:pPr>
<w:r><w:t xml:space="preserve">home-grown is the estimated dead weight of sheep and lambs</w:t></w:r>
</w:p>
<w:p>
<w:pPr><w:pStyle w:val="Normal"/></w:pPr>
<w:r><w:t xml:space="preserve">slaughtered, which is taken at 40% of the total number of sheep</w:t></w:r>
</w:p>
<w:p>
<w:pPr><w:pStyle w:val="Normal"/></w:pPr>
<w:r><w:t xml:space="preserve">and lambs returned each year in the United Kingdom.  In the</w:t></w:r>
</w:p>
<w:p>
<w:pPr><w:pStyle w:val="Normal"/></w:pPr>
<w:r><w:t xml:space="preserve">TABLE XVI.--Average Values of Fresh Meat, Bacon and Hams</w:t></w:r>
</w:p>
<w:p>
<w:pPr><w:pStyle w:val="Normal"/></w:pPr>
<w:r><w:t xml:space="preserve">Imported into the United Kingdom, 1891-1905--per Cwt.</w:t></w:r>
</w:p>
<w:p>
<w:pPr><w:pStyle w:val="Normal"/></w:pPr>
<w:r><w:t xml:space="preserve">Year.    Fresh     Fresh     Fresh    Bacon.    Hams.</w:t></w:r>
</w:p>
<w:p>
<w:pPr><w:pStyle w:val="Normal"/></w:pPr>
<w:r><w:t xml:space="preserve">Beef.     Mutton.   Pork.</w:t></w:r>
</w:p>
<w:p>
<w:pPr><w:pStyle w:val="Normal"/></w:pPr>
<w:r><w:t xml:space="preserve">s.  d.    s.  d.    s.  d.   s.  d.    s.  d.</w:t></w:r>
</w:p>
<w:p>
<w:pPr><w:pStyle w:val="Normal"/></w:pPr>
<w:r><w:t xml:space="preserve">1891     42   1    39   6    47   6   37  11    46   4</w:t></w:r>
</w:p>
<w:p>
<w:pPr><w:pStyle w:val="Normal"/></w:pPr>
<w:r><w:t xml:space="preserve">1892     42   5    40   6    46  11   40  10    47   4</w:t></w:r>
</w:p>
<w:p>
<w:pPr><w:pStyle w:val="Normal"/></w:pPr>
<w:r><w:t xml:space="preserve">1893     42   4    39   3    50   0   53   0    58   5</w:t></w:r>
</w:p>
<w:p>
<w:pPr><w:pStyle w:val="Normal"/></w:pPr>
<w:r><w:t xml:space="preserve">1894     40   0    37  10    48   5   43  10    49   1</w:t></w:r>
</w:p>
<w:p>
<w:pPr><w:pStyle w:val="Normal"/></w:pPr>
<w:r><w:t xml:space="preserve">1895     39   0    35   2    46   1   39   0    44  11</w:t></w:r>
</w:p>
<w:p>
<w:pPr><w:pStyle w:val="Normal"/></w:pPr>
<w:r><w:t xml:space="preserve">1896     37  10    32   7    45  11   34   6    43   0</w:t></w:r>
</w:p>
<w:p>
<w:pPr><w:pStyle w:val="Normal"/></w:pPr>
<w:r><w:t xml:space="preserve">1897     38   5    30   3    44   0   35   5    42   8</w:t></w:r>
</w:p>
<w:p>
<w:pPr><w:pStyle w:val="Normal"/></w:pPr>
<w:r><w:t xml:space="preserve">1898     38   2    29   7    41  10   36   2    39   6</w:t></w:r>
</w:p>
<w:p>
<w:pPr><w:pStyle w:val="Normal"/></w:pPr>
<w:r><w:t xml:space="preserve">1899     38   8    31   7    41  11   35  10    41   5</w:t></w:r>
</w:p>
<w:p>
<w:pPr><w:pStyle w:val="Normal"/></w:pPr>
<w:r><w:t xml:space="preserve">1900     39   7    34   5    43   0   41   9    46  10</w:t></w:r>
</w:p>
<w:p>
<w:pPr><w:pStyle w:val="Normal"/></w:pPr>
<w:r><w:t xml:space="preserve">1901     39   6    36   7    43   4   47   1    48   8</w:t></w:r>
</w:p>
<w:p>
<w:pPr><w:pStyle w:val="Normal"/></w:pPr>
<w:r><w:t xml:space="preserve">1902     42   8    37   9    44   2   52   9    52   1</w:t></w:r>
</w:p>
<w:p>
<w:pPr><w:pStyle w:val="Normal"/></w:pPr>
<w:r><w:t xml:space="preserve">1903     40   3    39   0    44   1   52  10    55   1</w:t></w:r>
</w:p>
<w:p>
<w:pPr><w:pStyle w:val="Normal"/></w:pPr>
<w:r><w:t xml:space="preserve">1904     37   1    39   3    45   2   47   1    49  11</w:t></w:r>
</w:p>
<w:p>
<w:pPr><w:pStyle w:val="Normal"/></w:pPr>
<w:r><w:t xml:space="preserve">1905     35   6    38   6    46   0   46   6    47   4</w:t></w:r>
</w:p>
<w:p>
<w:pPr><w:pStyle w:val="Normal"/></w:pPr>
<w:r><w:t xml:space="preserve">imported column is given the weight of fresh (frozen) mutton</w:t></w:r>
</w:p>
<w:p>
<w:pPr><w:pStyle w:val="Normal"/></w:pPr>
<w:r><w:t xml:space="preserve">and lamb imported, plus the estimated dead weight of the</w:t></w:r>
</w:p>
<w:p>
<w:pPr><w:pStyle w:val="Normal"/></w:pPr>
<w:r><w:t xml:space="preserve">sheep imported on the hoof for slaughter.  The quantity imported</w:t></w:r>
</w:p>
<w:p>
<w:pPr><w:pStyle w:val="Normal"/></w:pPr>
<w:r><w:t xml:space="preserve">in 1899 was double that in 1890, and quadruple that in 1885.</w:t></w:r>
</w:p>
<w:p>
<w:pPr><w:pStyle w:val="Normal"/></w:pPr>
<w:r><w:t xml:space="preserve">Moreover, in 1885 the imported product was only about one-seventh</w:t></w:r>
</w:p>
<w:p>
<w:pPr><w:pStyle w:val="Normal"/></w:pPr>
<w:r><w:t xml:space="preserve">TABLE XVII.--Average Annual Imports of Cattle, Sheep and Pigs,</w:t></w:r>
</w:p>
<w:p>
<w:pPr><w:pStyle w:val="Normal"/></w:pPr>
<w:r><w:t xml:space="preserve">and of Dead Meat, into the United Kingdom over eight 5-yearly</w:t></w:r>
</w:p>
<w:p>
<w:pPr><w:pStyle w:val="Normal"/></w:pPr>
<w:r><w:t xml:space="preserve">periods.</w:t></w:r>
</w:p>
<w:p>
<w:pPr><w:pStyle w:val="Normal"/></w:pPr>
<w:r><w:t xml:space="preserve">Period.     Cattle.    Sheep.    Pigs.  Dead Meat.</w:t></w:r>
</w:p>
<w:p>
<w:pPr><w:pStyle w:val="Normal"/></w:pPr>
<w:r><w:t xml:space="preserve">No.       No.       No.     Cwt.</w:t></w:r>
</w:p>
<w:p>
<w:pPr><w:pStyle w:val="Normal"/></w:pPr>
<w:r><w:t xml:space="preserve">1866-1870   194,947   610,300   64,827    1,155,867</w:t></w:r>
</w:p>
<w:p>
<w:pPr><w:pStyle w:val="Normal"/></w:pPr>
<w:r><w:t xml:space="preserve">1871-1875   215,990   864,516   74,040    3,134,175</w:t></w:r>
</w:p>
<w:p>
<w:pPr><w:pStyle w:val="Normal"/></w:pPr>
<w:r><w:t xml:space="preserve">1876-1880   272,745   938,704   44,613    5,841,913</w:t></w:r>
</w:p>
<w:p>
<w:pPr><w:pStyle w:val="Normal"/></w:pPr>
<w:r><w:t xml:space="preserve">1881-1885   387,282   974,316   24,355    6,012,495</w:t></w:r>
</w:p>
<w:p>
<w:pPr><w:pStyle w:val="Normal"/></w:pPr>
<w:r><w:t xml:space="preserve">1886-1890   438,098   800,599   19,437    7,681,729</w:t></w:r>
</w:p>
<w:p>
<w:pPr><w:pStyle w:val="Normal"/></w:pPr>
<w:r><w:t xml:space="preserve">1891-1895   448,139   407,260      967   10,436,549</w:t></w:r>
</w:p>
<w:p>
<w:pPr><w:pStyle w:val="Normal"/></w:pPr>
<w:r><w:t xml:space="preserve">1896-1900   549,818   607,086       91   15,785,354</w:t></w:r>
</w:p>
<w:p>
<w:pPr><w:pStyle w:val="Normal"/></w:pPr>
<w:r><w:t xml:space="preserve">1901-1905   510,468   319,272       30   17,384,366</w:t></w:r>
</w:p>
<w:p>
<w:pPr><w:pStyle w:val="Normal"/></w:pPr>
<w:r><w:t xml:space="preserve">as much as the home-grown. whereas in 1890 it was more than</w:t></w:r>
</w:p>
<w:p>
<w:pPr><w:pStyle w:val="Normal"/></w:pPr>
<w:r><w:t xml:space="preserve">one-fourth, and in 1906 close on two-thirds.  This large import</w:t></w:r>
</w:p>
<w:p>
<w:pPr><w:pStyle w:val="Normal"/></w:pPr>
<w:r><w:t xml:space="preserve">trade in fresh meat, which sprang up entirely within the last</w:t></w:r>
</w:p>
<w:p>
<w:pPr><w:pStyle w:val="Normal"/></w:pPr>
<w:r><w:t xml:space="preserve">quarter of the 19th century, has placed an abundance of cheap</w:t></w:r>
</w:p>
<w:p>
<w:pPr><w:pStyle w:val="Normal"/></w:pPr>
<w:r><w:t xml:space="preserve">and wholesome food well within the reach of the great industrial</w:t></w:r>
</w:p>
<w:p>
<w:pPr><w:pStyle w:val="Normal"/></w:pPr>
<w:r><w:t xml:space="preserve">TABLE XVIII.--Home Product and Imports of Sheep and Mutton</w:t></w:r>
</w:p>
<w:p>
<w:pPr><w:pStyle w:val="Normal"/></w:pPr>
<w:r><w:t xml:space="preserve">into the United Kingdom--Thousands of Tons.</w:t></w:r>
</w:p>
<w:p>
<w:pPr><w:pStyle w:val="Normal"/></w:pPr>
<w:r><w:t xml:space="preserve">Year.  Home-   Imported.       Year.  Home-   Imported.</w:t></w:r>
</w:p>
<w:p>
<w:pPr><w:pStyle w:val="Normal"/></w:pPr>
<w:r><w:t xml:space="preserve">grown.                         grown.</w:t></w:r>
</w:p>
<w:p>
<w:pPr><w:pStyle w:val="Normal"/></w:pPr>
<w:r><w:t xml:space="preserve">1885   322        47           1900   332       179</w:t></w:r>
</w:p>
<w:p>
<w:pPr><w:pStyle w:val="Normal"/></w:pPr>
<w:r><w:t xml:space="preserve">1890   339        92           1901   330       191</w:t></w:r>
</w:p>
<w:p>
<w:pPr><w:pStyle w:val="Normal"/></w:pPr>
<w:r><w:t xml:space="preserve">1895   319       157           1902   322       191</w:t></w:r>
</w:p>
<w:p>
<w:pPr><w:pStyle w:val="Normal"/></w:pPr>
<w:r><w:t xml:space="preserve">1896   329       164           1903   318       2109</w:t></w:r>
</w:p>
<w:p>
<w:pPr><w:pStyle w:val="Normal"/></w:pPr>
<w:r><w:t xml:space="preserve">1897   327       175           1904   311       185</w:t></w:r>
</w:p>
<w:p>
<w:pPr><w:pStyle w:val="Normal"/></w:pPr>
<w:r><w:t xml:space="preserve">1898   333       182           1905   312       195</w:t></w:r>
</w:p>
<w:p>
<w:pPr><w:pStyle w:val="Normal"/></w:pPr>
<w:r><w:t xml:space="preserve">1899   339       187           1906   313       207</w:t></w:r>
</w:p>
<w:p>
<w:pPr><w:pStyle w:val="Normal"/></w:pPr>
<w:r><w:t xml:space="preserve">populations of the United Kingdom.  At the same time it</w:t></w:r>
</w:p>
<w:p>
<w:pPr><w:pStyle w:val="Normal"/></w:pPr>
<w:r><w:t xml:space="preserve">cannot. be gainsaid that it has opened the way to fraud.</w:t></w:r>
</w:p>
<w:p>
<w:pPr><w:pStyle w:val="Normal"/></w:pPr>
<w:r><w:t xml:space="preserve">Butchers have palmed off upon their customers imported</w:t></w:r>
</w:p>
<w:p>
<w:pPr><w:pStyle w:val="Normal"/></w:pPr>
<w:r><w:t xml:space="preserve">fresh meat as home-grown, and secured a dishonest profit</w:t></w:r>
</w:p>
<w:p>
<w:pPr><w:pStyle w:val="Normal"/></w:pPr>
<w:r><w:t xml:space="preserve">by charging for it the prices of the latter, which are</w:t></w:r>
</w:p>
<w:p>
<w:pPr><w:pStyle w:val="Normal"/></w:pPr>
<w:r><w:t xml:space="preserve">considerably in excess of those of the imported product.</w:t></w:r>
</w:p>
<w:p>
<w:pPr><w:pStyle w:val="Normal"/></w:pPr>
<w:r><w:t xml:space="preserve">Sale of Cattle by Live Weight</w:t></w:r>
</w:p>
<w:p>
<w:pPr><w:pStyle w:val="Normal"/></w:pPr>
<w:r><w:t xml:space="preserve">In connexion with the internal live stock trade of Great</w:t></w:r>
</w:p>
<w:p>
<w:pPr><w:pStyle w:val="Normal"/></w:pPr>
<w:r><w:t xml:space="preserve">Britain attention must be directed to the Markets and Fairs</w:t></w:r>
</w:p>
<w:p>
<w:pPr><w:pStyle w:val="Normal"/></w:pPr>
<w:r><w:t xml:space="preserve">(Weighing of Cattle) Act 1891.  The object of this measure</w:t></w:r>
</w:p>
<w:p>
<w:pPr><w:pStyle w:val="Normal"/></w:pPr>
<w:r><w:t xml:space="preserve">is to replace the old-fashioned system of guessing at the</w:t></w:r>
</w:p>
<w:p>
<w:pPr><w:pStyle w:val="Normal"/></w:pPr>
<w:r><w:t xml:space="preserve">weight of an animal by the sounder method of obtaining the</w:t></w:r>
</w:p>
<w:p>
<w:pPr><w:pStyle w:val="Normal"/></w:pPr>
<w:r><w:t xml:space="preserve">exact weight by means of the weighbridge.  The grazier buys</w:t></w:r>
</w:p>
<w:p>
<w:pPr><w:pStyle w:val="Normal"/></w:pPr>
<w:r><w:t xml:space="preserve">and sells cattle much less frequently than the butcher buys</w:t></w:r>
</w:p>
<w:p>
<w:pPr><w:pStyle w:val="Normal"/></w:pPr>
<w:r><w:t xml:space="preserve">them, so that the latter is naturally more skilled in estimating</w:t></w:r>
</w:p>
<w:p>
<w:pPr><w:pStyle w:val="Normal"/></w:pPr>
<w:r><w:t xml:space="preserve">the weight of a beast through the use of the eye and the</w:t></w:r>
</w:p>
<w:p>
<w:pPr><w:pStyle w:val="Normal"/></w:pPr>
<w:r><w:t xml:space="preserve">hand.  The resort to the weighbridge should put both on an</w:t></w:r>
</w:p>
<w:p>
<w:pPr><w:pStyle w:val="Normal"/></w:pPr>
<w:r><w:t xml:space="preserve">equality, and its use tends to increase.  Under the act,</w:t></w:r>
</w:p>
<w:p>
<w:pPr><w:pStyle w:val="Normal"/></w:pPr>
<w:r><w:t xml:space="preserve">as supplemented by an order of the Board of Agriculture</w:t></w:r>
</w:p>
<w:p>
<w:pPr><w:pStyle w:val="Normal"/></w:pPr>
<w:r><w:t xml:space="preserve">in 1905, there were in that year 26 scheduled places in</w:t></w:r>
</w:p>
<w:p>
<w:pPr><w:pStyle w:val="Normal"/></w:pPr>
<w:r><w:t xml:space="preserve">England and 10 in Scotland, or 36 altogether, from which</w:t></w:r>
</w:p>
<w:p>
<w:pPr><w:pStyle w:val="Normal"/></w:pPr>
<w:r><w:t xml:space="preserve">returns were obtained.  The numbers of cattle (both fat</w:t></w:r>
</w:p>
<w:p>
<w:pPr><w:pStyle w:val="Normal"/></w:pPr>
<w:r><w:t xml:space="preserve">and store) weighed at scheduled places in 1893 and 190510</w:t></w:r>
</w:p>
<w:p>
<w:pPr><w:pStyle w:val="Normal"/></w:pPr>
<w:r><w:t xml:space="preserve">were respectively 7.59 and 18% of those entering those</w:t></w:r>
</w:p>
<w:p>
<w:pPr><w:pStyle w:val="Normal"/></w:pPr>
<w:r><w:t xml:space="preserve">markets.  The numbers for Scotland are greater throughout</w:t></w:r>
</w:p>
<w:p>
<w:pPr><w:pStyle w:val="Normal"/></w:pPr>
<w:r><w:t xml:space="preserve">than those for England, 72% of the fat cattle entering the</w:t></w:r>
</w:p>
<w:p>
<w:pPr><w:pStyle w:val="Normal"/></w:pPr>
<w:r><w:t xml:space="preserve">scheduled markets in Scotland in 1905 (2) having been weighed,</w:t></w:r>
</w:p>
<w:p>
<w:pPr><w:pStyle w:val="Normal"/></w:pPr>
<w:r><w:t xml:space="preserve">while in England the proportion was only 20%. Little use is</w:t></w:r>
</w:p>
<w:p>
<w:pPr><w:pStyle w:val="Normal"/></w:pPr>
<w:r><w:t xml:space="preserve">made of the weighbridge in selling store-cattle, sheep or</w:t></w:r>
</w:p>
<w:p>
<w:pPr><w:pStyle w:val="Normal"/></w:pPr>
<w:r><w:t xml:space="preserve">swine.  As the main object of the act is to obtain records of</w:t></w:r>
</w:p>
<w:p>
<w:pPr><w:pStyle w:val="Normal"/></w:pPr>
<w:r><w:t xml:space="preserve">prices, it follows that only in so far as statements of the</w:t></w:r>
</w:p>
<w:p>
<w:pPr><w:pStyle w:val="Normal"/></w:pPr>
<w:r><w:t xml:space="preserve">prices realized, together with the description of the animals</w:t></w:r>
</w:p>
<w:p>
<w:pPr><w:pStyle w:val="Normal"/></w:pPr>
<w:r><w:t xml:space="preserve">involved, are obtained, is the full advantage of the statute</w:t></w:r>
</w:p>
<w:p>
<w:pPr><w:pStyle w:val="Normal"/></w:pPr>
<w:r><w:t xml:space="preserve">secured.  In 1905 the average price per cwt. for fat cattle in</w:t></w:r>
</w:p>
<w:p>
<w:pPr><w:pStyle w:val="Normal"/></w:pPr>
<w:r><w:t xml:space="preserve">Great Britain was 32s. 11d. as compared with 35s. 2d. in 1900.</w:t></w:r>
</w:p>
<w:p>
<w:pPr><w:pStyle w:val="Normal"/></w:pPr>
<w:r><w:t xml:space="preserve">Food Values and Early Maturity.</w:t></w:r>
</w:p>
<w:p>
<w:pPr><w:pStyle w:val="Normal"/></w:pPr>
<w:r><w:t xml:space="preserve">In the feeding experiments which have been carried on at</w:t></w:r>
</w:p>
<w:p>
<w:pPr><w:pStyle w:val="Normal"/></w:pPr>
<w:r><w:t xml:space="preserve">Rothamsted it has been shown that the amount consumed both</w:t></w:r>
</w:p>
<w:p>
<w:pPr><w:pStyle w:val="Normal"/></w:pPr>
<w:r><w:t xml:space="preserve">for a given live weight of animal within a given time, and for</w:t></w:r>
</w:p>
<w:p>
<w:pPr><w:pStyle w:val="Normal"/></w:pPr>
<w:r><w:t xml:space="preserve">the production of a given amount of increase, is, as current</w:t></w:r>
</w:p>
<w:p>
<w:pPr><w:pStyle w:val="Normal"/></w:pPr>
<w:r><w:t xml:space="preserve">food stuffs go, measurable more by the amounts they contain</w:t></w:r>
</w:p>
<w:p>
<w:pPr><w:pStyle w:val="Normal"/></w:pPr>
<w:r><w:t xml:space="preserve">of digestible and available non-nitrogenous constituents than</w:t></w:r>
</w:p>
<w:p>
<w:pPr><w:pStyle w:val="Normal"/></w:pPr>
<w:r><w:t xml:space="preserve">by the amounts of the digestible and available nitrogenous</w:t></w:r>
</w:p>
<w:p>
<w:pPr><w:pStyle w:val="Normal"/></w:pPr>
<w:r><w:t xml:space="preserve">constituents they supply.  The non-nitrogenous substance</w:t></w:r>
</w:p>
<w:p>
<w:pPr><w:pStyle w:val="Normal"/></w:pPr>
<w:r><w:t xml:space="preserve">(the fat) in the increase in live weight of an animal is,</w:t></w:r>
</w:p>
<w:p>
<w:pPr><w:pStyle w:val="Normal"/></w:pPr>
<w:r><w:t xml:space="preserve">at any rate in great part, if not entirely, derived from the</w:t></w:r>
</w:p>
<w:p>
<w:pPr><w:pStyle w:val="Normal"/></w:pPr>
<w:r><w:t xml:space="preserve">non-nitrogenous constituents of the food.  Of the nitrogenous</w:t></w:r>
</w:p>
<w:p>
<w:pPr><w:pStyle w:val="Normal"/></w:pPr>
<w:r><w:t xml:space="preserve">compounds in food, on the other hand, only a small proportion</w:t></w:r>
</w:p>
<w:p>
<w:pPr><w:pStyle w:val="Normal"/></w:pPr>
<w:r><w:t xml:space="preserve">of the whole consumed is finally stored up in the increase of</w:t></w:r>
</w:p>
<w:p>
<w:pPr><w:pStyle w:val="Normal"/></w:pPr>
<w:r><w:t xml:space="preserve">the animal--in other words, a very large amount of nitrogen</w:t></w:r>
</w:p>
<w:p>
<w:pPr><w:pStyle w:val="Normal"/></w:pPr>
<w:r><w:t xml:space="preserve">passes through the body beyond that which is finally retained</w:t></w:r>
</w:p>
<w:p>
<w:pPr><w:pStyle w:val="Normal"/></w:pPr>
<w:r><w:t xml:space="preserve">in the increase, and so remains for manure.  Hence it is</w:t></w:r>
</w:p>
<w:p>
<w:pPr><w:pStyle w:val="Normal"/></w:pPr>
<w:r><w:t xml:space="preserve">that the amount of food consumed to produce a given amount</w:t></w:r>
</w:p>
<w:p>
<w:pPr><w:pStyle w:val="Normal"/></w:pPr>
<w:r><w:t xml:space="preserve">of increase in live weight, as well as that required for</w:t></w:r>
</w:p>
<w:p>
<w:pPr><w:pStyle w:val="Normal"/></w:pPr>
<w:r><w:t xml:space="preserve">the sustentation of a given live weight for a given time,</w:t></w:r>
</w:p>
<w:p>
<w:pPr><w:pStyle w:val="Normal"/></w:pPr>
<w:r><w:t xml:space="preserve">should--provided the food be not abnormally deficient in</w:t></w:r>
</w:p>
<w:p>
<w:pPr><w:pStyle w:val="Normal"/></w:pPr>
<w:r><w:t xml:space="preserve">nitrogenous substance--be characteristically dependent on</w:t></w:r>
</w:p>
<w:p>
<w:pPr><w:pStyle w:val="Normal"/></w:pPr>
<w:r><w:t xml:space="preserve">its supplies of digestible and available non-nitrogenous</w:t></w:r>
</w:p>
<w:p>
<w:pPr><w:pStyle w:val="Normal"/></w:pPr>
<w:r><w:t xml:space="preserve">constituents.  It has further been shown that, in the exercise</w:t></w:r>
</w:p>
<w:p>
<w:pPr><w:pStyle w:val="Normal"/></w:pPr>
<w:r><w:t xml:space="preserve">of force by animals, there is a greatly increased expenditure</w:t></w:r>
</w:p>
<w:p>
<w:pPr><w:pStyle w:val="Normal"/></w:pPr>
<w:r><w:t xml:space="preserve">of the non-nitrogenous constituents of food, but little, if</w:t></w:r>
</w:p>
<w:p>
<w:pPr><w:pStyle w:val="Normal"/></w:pPr>
<w:r><w:t xml:space="preserve">any, Of the nitrogenous.  Thus, then, alike for maintenance, for</w:t></w:r>
</w:p>
<w:p>
<w:pPr><w:pStyle w:val="Normal"/></w:pPr>
<w:r><w:t xml:space="preserve">increase, and for the exercise of force, the exigencies of the</w:t></w:r>
</w:p>
<w:p>
<w:pPr><w:pStyle w:val="Normal"/></w:pPr>
<w:r><w:t xml:space="preserve">system are characterized more by the demand for the digestible</w:t></w:r>
</w:p>
<w:p>
<w:pPr><w:pStyle w:val="Normal"/></w:pPr>
<w:r><w:t xml:space="preserve">non-nitrogenous or more specially respiratory and fat-forming</w:t></w:r>
</w:p>
<w:p>
<w:pPr><w:pStyle w:val="Normal"/></w:pPr>
<w:r><w:t xml:space="preserve">constituents than by that for the nitrogenous or more specially</w:t></w:r>
</w:p>
<w:p>
<w:pPr><w:pStyle w:val="Normal"/></w:pPr>
<w:r><w:t xml:space="preserve">flesh-forming ones.  Hence, as current fattening food-stuffs</w:t></w:r>
</w:p>
<w:p>
<w:pPr><w:pStyle w:val="Normal"/></w:pPr>
<w:r><w:t xml:space="preserve">go--assuming, of course, that they are not abnormally low</w:t></w:r>
</w:p>
<w:p>
<w:pPr><w:pStyle w:val="Normal"/></w:pPr>
<w:r><w:t xml:space="preserve">in the nitrogenous constituents--they are, as foods, more</w:t></w:r>
</w:p>
<w:p>
<w:pPr><w:pStyle w:val="Normal"/></w:pPr>
<w:r><w:t xml:space="preserve">valuable in proportion to their richness in digestible and</w:t></w:r>
</w:p>
<w:p>
<w:pPr><w:pStyle w:val="Normal"/></w:pPr>
<w:r><w:t xml:space="preserve">available non-nitrogenous than to that of their nitrogenous</w:t></w:r>
</w:p>
<w:p>
<w:pPr><w:pStyle w:val="Normal"/></w:pPr>
<w:r><w:t xml:space="preserve">constituents.  As, however, the manure of the animals of the</w:t></w:r>
</w:p>
<w:p>
<w:pPr><w:pStyle w:val="Normal"/></w:pPr>
<w:r><w:t xml:space="preserve">farm is valuable largely in proportion to the nitrogen it</w:t></w:r>
</w:p>
<w:p>
<w:pPr><w:pStyle w:val="Normal"/></w:pPr>
<w:r><w:t xml:space="preserve">contains, there is, so far, an advantage in giving a food</w:t></w:r>
</w:p>
<w:p>
<w:pPr><w:pStyle w:val="Normal"/></w:pPr>
<w:r><w:t xml:space="preserve">somewhat rich in nitrogen, provided it is in other respects</w:t></w:r>
</w:p>
<w:p>
<w:pPr><w:pStyle w:val="Normal"/></w:pPr>
<w:r><w:t xml:space="preserve">a good one, and, weight for weight, not much more costly.</w:t></w:r>
</w:p>
<w:p>
<w:pPr><w:pStyle w:val="Normal"/></w:pPr>
<w:r><w:t xml:space="preserve">The quantity of digestible nutritive matter in 1000 lb. of ordinary</w:t></w:r>
</w:p>
<w:p>
<w:pPr><w:pStyle w:val="Normal"/></w:pPr>
<w:r><w:t xml:space="preserve">feeding-stuffs when supplied to sheep or oxen is shown in Table</w:t></w:r>
</w:p>
<w:p>
<w:pPr><w:pStyle w:val="Heading1"/></w:pPr>
<w:r><w:t>XIX. This table is taken from Warington&apos;s Chemistry of the</w:t></w:r>
</w:p>
<w:p>
<w:pPr><w:pStyle w:val="Normal"/></w:pPr>
<w:r><w:t xml:space="preserve">Farm, 10th edition (Vinton and Co.), to which reference may</w:t></w:r>
</w:p>
<w:p>
<w:pPr><w:pStyle w:val="Normal"/></w:pPr>
<w:r><w:t xml:space="preserve">be made for a detailed discussion of the feeding of animals.</w:t></w:r>
</w:p>
<w:p>
<w:pPr><w:pStyle w:val="Normal"/></w:pPr>
<w:r><w:t xml:space="preserve">In the fattening of animals for the butcher the principle of</w:t></w:r>
</w:p>
<w:p>
<w:pPr><w:pStyle w:val="Normal"/></w:pPr>
<w:r><w:t xml:space="preserve">early maturity has received full recognition.  If the sole</w:t></w:r>
</w:p>
<w:p>
<w:pPr><w:pStyle w:val="Normal"/></w:pPr>
<w:r><w:t xml:space="preserve">purpose for which an animal is reared is to prepare it for</w:t></w:r>
</w:p>
<w:p>
<w:pPr><w:pStyle w:val="Normal"/></w:pPr>
<w:r><w:t xml:space="preserve">the block--and this is the case with steers amongst cattle</w:t></w:r>
</w:p>
<w:p>
<w:pPr><w:pStyle w:val="Normal"/></w:pPr>
<w:r><w:t xml:space="preserve">and with wethers amongst sheep--the sooner it is ready for</w:t></w:r>
</w:p>
<w:p>
<w:pPr><w:pStyle w:val="Normal"/></w:pPr>
<w:r><w:t xml:space="preserve">slaughter the less should be the outlay involved.  During the</w:t></w:r>
</w:p>
<w:p>
<w:pPr><w:pStyle w:val="Normal"/></w:pPr>
<w:r><w:t xml:space="preserve">whole time the animal is living the feeder has to pay what</w:t></w:r>
</w:p>
<w:p>
<w:pPr><w:pStyle w:val="Normal"/></w:pPr>
<w:r><w:t xml:space="preserve">has been termed the ``life tax&apos;&apos;--that is, so much of the</w:t></w:r>
</w:p>
<w:p>
<w:pPr><w:pStyle w:val="Normal"/></w:pPr>
<w:r><w:t xml:space="preserve">food has to go to the maintenance of the animal as a living</w:t></w:r>
</w:p>
<w:p>
<w:pPr><w:pStyle w:val="Normal"/></w:pPr>
<w:r><w:t xml:space="preserve">organism into what will subsequenctly be available in the</w:t></w:r>
</w:p>
<w:p>
<w:pPr><w:pStyle w:val="Normal"/></w:pPr>
<w:r><w:t xml:space="preserve">form of beef or mutton.  If a bullock can be rendered fit</w:t></w:r>
</w:p>
<w:p>
<w:pPr><w:pStyle w:val="Normal"/></w:pPr>
<w:r><w:t xml:space="preserve">for the butcher at the age of two or three years, will the</w:t></w:r>
</w:p>
<w:p>
<w:pPr><w:pStyle w:val="Normal"/></w:pPr>
<w:r><w:t xml:space="preserve">animal repay another year&apos;s feeding? It has been proved at</w:t></w:r>
</w:p>
<w:p>
<w:pPr><w:pStyle w:val="Normal"/></w:pPr>
<w:r><w:t xml:space="preserve">the Christmas fat stock shows that the older a bullock gets</w:t></w:r>
</w:p>
<w:p>
<w:pPr><w:pStyle w:val="Normal"/></w:pPr>
<w:r><w:t xml:space="preserve">the less will he gain in weight per day as a result of the</w:t></w:r>
</w:p>
<w:p>
<w:pPr><w:pStyle w:val="Normal"/></w:pPr>
<w:r><w:t xml:space="preserve">feeding.  With regard to this point the work of the Smithfield</w:t></w:r>
</w:p>
<w:p>
<w:pPr><w:pStyle w:val="Normal"/></w:pPr>
<w:r><w:t xml:space="preserve">Club deserves recognition.  This body was instituted in 1798</w:t></w:r>
</w:p>
<w:p>
<w:pPr><w:pStyle w:val="Normal"/></w:pPr>
<w:r><w:t xml:space="preserve">as the Smithfield Cattle and Sheep Society, the title being</w:t></w:r>
</w:p>
<w:p>
<w:pPr><w:pStyle w:val="Normal"/></w:pPr>
<w:r><w:t xml:space="preserve">TABLE XIX.--Digestible Matter in 1000 lb. of Various Foods.</w:t></w:r>
</w:p>
<w:p>
<w:pPr><w:pStyle w:val="Normal"/></w:pPr>
<w:r><w:t xml:space="preserve">Total  Nitrogeneaous         Soluble</w:t></w:r>
</w:p>
<w:p>
<w:pPr><w:pStyle w:val="Normal"/></w:pPr>
<w:r><w:t xml:space="preserve">Organic   Substances.    Fat. Carbo-   Fibre</w:t></w:r>
</w:p>
<w:p>
<w:pPr><w:pStyle w:val="Normal"/></w:pPr>
<w:r><w:t xml:space="preserve">Matter. Alba-   Amides,      hydrates</w:t></w:r>
</w:p>
<w:p>
<w:pPr><w:pStyle w:val="Normal"/></w:pPr>
<w:r><w:t xml:space="preserve">minoids. etc.</w:t></w:r>
</w:p>
<w:p>
<w:pPr><w:pStyle w:val="Normal"/></w:pPr>
<w:r><w:t xml:space="preserve">Cotton cake</w:t></w:r>
</w:p>
<w:p>
<w:pPr><w:pStyle w:val="Normal"/></w:pPr>
<w:r><w:t xml:space="preserve">(decorticated)       691     374     18      128    158      13</w:t></w:r>
</w:p>
<w:p>
<w:pPr><w:pStyle w:val="Normal"/></w:pPr>
<w:r><w:t xml:space="preserve">(undecorticated)     422     150     13       50    177      32</w:t></w:r>
</w:p>
<w:p>
<w:pPr><w:pStyle w:val="Normal"/></w:pPr>
<w:r><w:t xml:space="preserve">Linseed cake             655     230     11      103    266      45</w:t></w:r>
</w:p>
<w:p>
<w:pPr><w:pStyle w:val="Normal"/></w:pPr>
<w:r><w:t xml:space="preserve">Peas                     747     175     25       12    499      36</w:t></w:r>
</w:p>
<w:p>
<w:pPr><w:pStyle w:val="Normal"/></w:pPr>
<w:r><w:t xml:space="preserve">Beans                    733     196     28       12    446      51</w:t></w:r>
</w:p>
<w:p>
<w:pPr><w:pStyle w:val="Normal"/></w:pPr>
<w:r><w:t xml:space="preserve">Wheat11                786      92     13       15    656      10</w:t></w:r>
</w:p>
<w:p>
<w:pPr><w:pStyle w:val="Normal"/></w:pPr>
<w:r><w:t xml:space="preserve">Oats                     600      81      7       45    441      26</w:t></w:r>
</w:p>
<w:p>
<w:pPr><w:pStyle w:val="Normal"/></w:pPr>
<w:r><w:t xml:space="preserve">Barley                   715      70      4       19    607      15</w:t></w:r>
</w:p>
<w:p>
<w:pPr><w:pStyle w:val="Normal"/></w:pPr>
<w:r><w:t xml:space="preserve">Maize                    786      73      6       44    651      12</w:t></w:r>
</w:p>
<w:p>
<w:pPr><w:pStyle w:val="Normal"/></w:pPr>
<w:r><w:t xml:space="preserve">Rice meal                612      67     10      102    411      22</w:t></w:r>
</w:p>
<w:p>
<w:pPr><w:pStyle w:val="Normal"/></w:pPr>
<w:r><w:t xml:space="preserve">Wheat bran               585      90     20       27    426      22</w:t></w:r>
</w:p>
<w:p>
<w:pPr><w:pStyle w:val="Normal"/></w:pPr>
<w:r><w:t xml:space="preserve">Malt sprouts             681     114     71       11    379     106</w:t></w:r>
</w:p>
<w:p>
<w:pPr><w:pStyle w:val="Normal"/></w:pPr>
<w:r><w:t xml:space="preserve">Brewers&apos; grains          137      34      2       14     67      20</w:t></w:r>
</w:p>
<w:p>
<w:pPr><w:pStyle w:val="Normal"/></w:pPr>
<w:r><w:t xml:space="preserve">&apos;&apos; (dried)         529     136      8       57    266      62</w:t></w:r>
</w:p>
<w:p>
<w:pPr><w:pStyle w:val="Normal"/></w:pPr>
<w:r><w:t xml:space="preserve">Pasture grass            156      19     11        6     84      36</w:t></w:r>
</w:p>
<w:p>
<w:pPr><w:pStyle w:val="Normal"/></w:pPr>
<w:r><w:t xml:space="preserve">Clover (bloom beginning) 123      17      8        5     63      30</w:t></w:r>
</w:p>
<w:p>
<w:pPr><w:pStyle w:val="Normal"/></w:pPr>
<w:r><w:t xml:space="preserve">Clover hay (medium)      440      47     25       13    242     113</w:t></w:r>
</w:p>
<w:p>
<w:pPr><w:pStyle w:val="Normal"/></w:pPr>
<w:r><w:t xml:space="preserve">Meadow hay (best)        511      60     18       13    269     151</w:t></w:r>
</w:p>
<w:p>
<w:pPr><w:pStyle w:val="Normal"/></w:pPr>
<w:r><w:t xml:space="preserve">(medium)        485      40     12       12    269     152</w:t></w:r>
</w:p>
<w:p>
<w:pPr><w:pStyle w:val="Normal"/></w:pPr>
<w:r><w:t xml:space="preserve">(poor)        460      29      5       10    242     174</w:t></w:r>
</w:p>
<w:p>
<w:pPr><w:pStyle w:val="Normal"/></w:pPr>
<w:r><w:t xml:space="preserve">Maize silage             124       1      7        7     75      34</w:t></w:r>
</w:p>
<w:p>
<w:pPr><w:pStyle w:val="Normal"/></w:pPr>
<w:r><w:t xml:space="preserve">\    /</w:t></w:r>
</w:p>
<w:p>
<w:pPr><w:pStyle w:val="Normal"/></w:pPr>
<w:r><w:t xml:space="preserve">Bean straw               412          40           6    211     155</w:t></w:r>
</w:p>
<w:p>
<w:pPr><w:pStyle w:val="Normal"/></w:pPr>
<w:r><w:t xml:space="preserve">Oat straw                381       7      5        7    163     199</w:t></w:r>
</w:p>
<w:p>
<w:pPr><w:pStyle w:val="Normal"/></w:pPr>
<w:r><w:t xml:space="preserve">Barley straw             426       4      3        6    211     202</w:t></w:r>
</w:p>
<w:p>
<w:pPr><w:pStyle w:val="Normal"/></w:pPr>
<w:r><w:t xml:space="preserve">\    /</w:t></w:r>
</w:p>
<w:p>
<w:pPr><w:pStyle w:val="Normal"/></w:pPr>
<w:r><w:t xml:space="preserve">Wheat straw              351           4           4    150     193</w:t></w:r>
</w:p>
<w:p>
<w:pPr><w:pStyle w:val="Normal"/></w:pPr>
<w:r><w:t xml:space="preserve">Potatoes                 213       5      9        1    195       3</w:t></w:r>
</w:p>
<w:p>
<w:pPr><w:pStyle w:val="Normal"/></w:pPr>
<w:r><w:t xml:space="preserve">Mangels (large)           89       1      8      1/2     74       6</w:t></w:r>
</w:p>
<w:p>
<w:pPr><w:pStyle w:val="Normal"/></w:pPr>
<w:r><w:t xml:space="preserve">(small)          109       2      6      1/2     96       5</w:t></w:r>
</w:p>
<w:p>
<w:pPr><w:pStyle w:val="Normal"/></w:pPr>
<w:r><w:t xml:space="preserve">Swedes                    87       2      7      1/2     71       6</w:t></w:r>
</w:p>
<w:p>
<w:pPr><w:pStyle w:val="Normal"/></w:pPr>
<w:r><w:t xml:space="preserve">Turnips                   68       1      5      1/2     56       5</w:t></w:r>
</w:p>
<w:p>
<w:pPr><w:pStyle w:val="Normal"/></w:pPr>
<w:r><w:t xml:space="preserve">changed to that of the Smithfield Club in 1802.  The original</w:t></w:r>
</w:p>
<w:p>
<w:pPr><w:pStyle w:val="Normal"/></w:pPr>
<w:r><w:t xml:space="preserve">object--the supply of the cattle markets of Smithfield and</w:t></w:r>
</w:p>
<w:p>
<w:pPr><w:pStyle w:val="Normal"/></w:pPr>
<w:r><w:t xml:space="preserve">other places with the cheapest and best meat--is still kept</w:t></w:r>
</w:p>
<w:p>
<w:pPr><w:pStyle w:val="Normal"/></w:pPr>
<w:r><w:t xml:space="preserve">strictly in view.  The judges, in making their awards at the</w:t></w:r>
</w:p>
<w:p>
<w:pPr><w:pStyle w:val="Normal"/></w:pPr>
<w:r><w:t xml:space="preserve">show held annually in December, at Islington, North London</w:t></w:r>
</w:p>
<w:p>
<w:pPr><w:pStyle w:val="Normal"/></w:pPr>
<w:r><w:t xml:space="preserve">(since 1862), are instructed to decide according to quality of</w:t></w:r>
</w:p>
<w:p>
<w:pPr><w:pStyle w:val="Normal"/></w:pPr>
<w:r><w:t xml:space="preserve">flesh, lightness of offal, age and early maturity, with no</w:t></w:r>
</w:p>
<w:p>
<w:pPr><w:pStyle w:val="Normal"/></w:pPr>
<w:r><w:t xml:space="preserve">restrictions as to feeding, and thus to promote the primary</w:t></w:r>
</w:p>
<w:p>
<w:pPr><w:pStyle w:val="Normal"/></w:pPr>
<w:r><w:t xml:space="preserve">aim of the club in encouraging the selection and breeding of</w:t></w:r>
</w:p>
<w:p>
<w:pPr><w:pStyle w:val="Normal"/></w:pPr>
<w:r><w:t xml:space="preserve">the best and most useful animals for the production of meat,</w:t></w:r>
</w:p>
<w:p>
<w:pPr><w:pStyle w:val="Normal"/></w:pPr>
<w:r><w:t xml:space="preserve">and testing their capabilities in respect of early maturity.</w:t></w:r>
</w:p>
<w:p>
<w:pPr><w:pStyle w:val="Normal"/></w:pPr>
<w:r><w:t xml:space="preserve">At the first show, held at Smithfield in 1799, two classes</w:t></w:r>
</w:p>
<w:p>
<w:pPr><w:pStyle w:val="Normal"/></w:pPr>
<w:r><w:t xml:space="preserve">were provided for cattle and two for sheep, the prizes offered</w:t></w:r>
</w:p>
<w:p>
<w:pPr><w:pStyle w:val="Normal"/></w:pPr>
<w:r><w:t xml:space="preserve">amounting to L. 52 : 10s. In 1839 the classes comprised seven</w:t></w:r>
</w:p>
<w:p>
<w:pPr><w:pStyle w:val="Normal"/></w:pPr>
<w:r><w:t xml:space="preserve">for cattle, six for sheep, and one for pigs, with prizes to</w:t></w:r>
</w:p>
<w:p>
<w:pPr><w:pStyle w:val="Normal"/></w:pPr>
<w:r><w:t xml:space="preserve">the amount of L. 300.  By 1862 the classes had risen to 29 for</w:t></w:r>
</w:p>
<w:p>
<w:pPr><w:pStyle w:val="Normal"/></w:pPr>
<w:r><w:t xml:space="preserve">cattle, 17 for sheep and 4 for pigs, and the prize money to</w:t></w:r>
</w:p>
<w:p>
<w:pPr><w:pStyle w:val="Heading1"/></w:pPr>
<w:r><w:t>L. 2072.  At the centenary show in 1898 provision was made for</w:t></w:r>
</w:p>
<w:p>
<w:pPr><w:pStyle w:val="Normal"/></w:pPr>
<w:r><w:t xml:space="preserve">40 classes for cattle, 29 for sheep, 18 for pigs, and 7 for</w:t></w:r>
</w:p>
<w:p>
<w:pPr><w:pStyle w:val="Normal"/></w:pPr>
<w:r><w:t xml:space="preserve">animals to be slaughtered, whilst to mark the importance of the</w:t></w:r>
</w:p>
<w:p>
<w:pPr><w:pStyle w:val="Normal"/></w:pPr>
<w:r><w:t xml:space="preserve">occasion the prizes offered amounted to close upon L. 5000 in</w:t></w:r>
</w:p>
<w:p>
<w:pPr><w:pStyle w:val="Normal"/></w:pPr>
<w:r><w:t xml:space="preserve">value.  In 1907 there were 38 classes for cattle, 29 for sheep,</w:t></w:r>
</w:p>
<w:p>
<w:pPr><w:pStyle w:val="Normal"/></w:pPr>
<w:r><w:t xml:space="preserve">20 or pigs and 12 for carcase competitors, and the value of</w:t></w:r>
</w:p>
<w:p>
<w:pPr><w:pStyle w:val="Normal"/></w:pPr>
<w:r><w:t xml:space="preserve">the prizes was L. 4113.  The sections provided for cattle are</w:t></w:r>
</w:p>
<w:p>
<w:pPr><w:pStyle w:val="Normal"/></w:pPr>
<w:r><w:t xml:space="preserve">properly restricted to what may be termed the beef brands;</w:t></w:r>
</w:p>
<w:p>
<w:pPr><w:pStyle w:val="Normal"/></w:pPr>
<w:r><w:t xml:space="preserve">in the catalogue order they are Devon, South Devon, Hereford,</w:t></w:r>
</w:p>
<w:p>
<w:pPr><w:pStyle w:val="Normal"/></w:pPr>
<w:r><w:t xml:space="preserve">Shorthorn, Sussex, Red Polled, Aberdeen-Angus, Galloway, Welsh,</w:t></w:r>
</w:p>
<w:p>
<w:pPr><w:pStyle w:val="Normal"/></w:pPr>
<w:r><w:t xml:space="preserve">Highland, Cross-bred, Kerry and Dexter, and Small Cross-bred.</w:t></w:r>
</w:p>
<w:p>
<w:pPr><w:pStyle w:val="Normal"/></w:pPr>
<w:r><w:t xml:space="preserve">It will be noticed that such characteristically milking</w:t></w:r>
</w:p>
<w:p>
<w:pPr><w:pStyle w:val="Normal"/></w:pPr>
<w:r><w:t xml:space="preserve">breeds as the Ayrshire, Jersey and Guernsey have no place</w:t></w:r>
</w:p>
<w:p>
<w:pPr><w:pStyle w:val="Normal"/></w:pPr>
<w:r><w:t xml:space="preserve">here.  Provision is made, however, for all the well-known</w:t></w:r>
</w:p>
<w:p>
<w:pPr><w:pStyle w:val="Normal"/></w:pPr>
<w:r><w:t xml:space="preserve">breeds of sheep and swine.  In the cattle classes, aged beasts</w:t></w:r>
</w:p>
<w:p>
<w:pPr><w:pStyle w:val="Normal"/></w:pPr>
<w:r><w:t xml:space="preserve">of huge size and of considerably over a ton in weight used</w:t></w:r>
</w:p>
<w:p>
<w:pPr><w:pStyle w:val="Normal"/></w:pPr>
<w:r><w:t xml:space="preserve">to be common, but in recent years the tendency has been to</w:t></w:r>
</w:p>
<w:p>
<w:pPr><w:pStyle w:val="Normal"/></w:pPr>
<w:r><w:t xml:space="preserve">reduce the upper limit of age, and thus to bring out animals</w:t></w:r>
</w:p>
<w:p>
<w:pPr><w:pStyle w:val="Normal"/></w:pPr>
<w:r><w:t xml:space="preserve">ripe for the butcher in a shorted time than was formerly the</w:t></w:r>
</w:p>
<w:p>
<w:pPr><w:pStyle w:val="Normal"/></w:pPr>
<w:r><w:t xml:space="preserve">case.  An important step in this direction was taken in 1896,</w:t></w:r>
</w:p>
<w:p>
<w:pPr><w:pStyle w:val="Normal"/></w:pPr>
<w:r><w:t xml:space="preserve">when the senior class for steers, viz. animals three to four</w:t></w:r>
</w:p>
<w:p>
<w:pPr><w:pStyle w:val="Normal"/></w:pPr>
<w:r><w:t xml:space="preserve">years old, was abolished, the maximum age at which steers</w:t></w:r>
</w:p>
<w:p>
<w:pPr><w:pStyle w:val="Normal"/></w:pPr>
<w:r><w:t xml:space="preserve">were allowed to compete for prizes being reduced to three</w:t></w:r>
</w:p>
<w:p>
<w:pPr><w:pStyle w:val="Normal"/></w:pPr>
<w:r><w:t xml:space="preserve">years.  The cow classes were abolished in 1897, and in the</w:t></w:r>
</w:p>
<w:p>
<w:pPr><w:pStyle w:val="Normal"/></w:pPr>
<w:r><w:t xml:space="preserve">schedule of the 1905 exhibition the classes for each breed</w:t></w:r>
</w:p>
<w:p>
<w:pPr><w:pStyle w:val="Normal"/></w:pPr>
<w:r><w:t xml:space="preserve">of cattle were (1) for steers not exceeding two years old,</w:t></w:r>
</w:p>
<w:p>
<w:pPr><w:pStyle w:val="Normal"/></w:pPr>
<w:r><w:t xml:space="preserve">(2) for steers above two years and not exceeding three years</w:t></w:r>
</w:p>
<w:p>
<w:pPr><w:pStyle w:val="Normal"/></w:pPr>
<w:r><w:t xml:space="preserve">old, and (3) for heifers not exceeding three years old.  The</w:t></w:r>
</w:p>
<w:p>
<w:pPr><w:pStyle w:val="Normal"/></w:pPr>
<w:r><w:t xml:space="preserve">single exception is provided by the slowly-maturing Highland</w:t></w:r>
</w:p>
<w:p>
<w:pPr><w:pStyle w:val="Normal"/></w:pPr>
<w:r><w:t xml:space="preserve">breed of cattle, for which classes were allotted to (1) steers</w:t></w:r>
</w:p>
<w:p>
<w:pPr><w:pStyle w:val="Normal"/></w:pPr>
<w:r><w:t xml:space="preserve">not exceeding three years old, (2) steers or oxen above three</w:t></w:r>
</w:p>
<w:p>
<w:pPr><w:pStyle w:val="Normal"/></w:pPr>
<w:r><w:t xml:space="preserve">years old (with no maximum limit), and (3) heifers not</w:t></w:r>
</w:p>
<w:p>
<w:pPr><w:pStyle w:val="Normal"/></w:pPr>
<w:r><w:t xml:space="preserve">exceeding four years old.  As illustrating heavy weights,</w:t></w:r>
</w:p>
<w:p>
<w:pPr><w:pStyle w:val="Normal"/></w:pPr>
<w:r><w:t xml:space="preserve">there were in the 1893 show, out of 310 entries of cattle,</w:t></w:r>
</w:p>
<w:p>
<w:pPr><w:pStyle w:val="Normal"/></w:pPr>
<w:r><w:t xml:space="preserve">four beasts which weighed over a ton.  They were all steers of</w:t></w:r>
</w:p>
<w:p>
<w:pPr><w:pStyle w:val="Normal"/></w:pPr>
<w:r><w:t xml:space="preserve">three to four years old, one being a Hereford weighing 20 cwt.</w:t></w:r>
</w:p>
<w:p>
<w:pPr><w:pStyle w:val="Normal"/></w:pPr>
<w:r><w:t xml:space="preserve">2 qr. 4 lb, and the others Shorthorns weighing respectively</w:t></w:r>
</w:p>
<w:p>
<w:pPr><w:pStyle w:val="Normal"/></w:pPr>
<w:r><w:t xml:space="preserve">20 cwt. 2 qr., 20 cwt. 3 qr. 21 lb, and 22 cwt. 2 qr. 18</w:t></w:r>
</w:p>
<w:p>
<w:pPr><w:pStyle w:val="Normal"/></w:pPr>
<w:r><w:t xml:space="preserve">lb.  In the 1895 show, out of 356 entries of cattle, there</w:t></w:r>
</w:p>
<w:p>
<w:pPr><w:pStyle w:val="Normal"/></w:pPr>
<w:r><w:t xml:space="preserve">were seven beasts of more than a ton in weight.  They were</w:t></w:r>
</w:p>
<w:p>
<w:pPr><w:pStyle w:val="Normal"/></w:pPr>
<w:r><w:t xml:space="preserve">all three to four years old, and comprised four Shorthorns</w:t></w:r>
</w:p>
<w:p>
<w:pPr><w:pStyle w:val="Normal"/></w:pPr>
<w:r><w:t xml:space="preserve">(top weight 21 cwt. 1 qr. 18 lb), one Sussex (22 cwt. 3</w:t></w:r>
</w:p>
<w:p>
<w:pPr><w:pStyle w:val="Normal"/></w:pPr>
<w:r><w:t xml:space="preserve">qr. 7 lb), and two cross-breds (top weight 20 cwt. 3 qr. 24</w:t></w:r>
</w:p>
<w:p>
<w:pPr><w:pStyle w:val="Normal"/></w:pPr>
<w:r><w:t xml:space="preserve">lb).  In the 1899 show, with 311 entries of cattle, and the</w:t></w:r>
</w:p>
<w:p>
<w:pPr><w:pStyle w:val="Normal"/></w:pPr>
<w:r><w:t xml:space="preserve">age limited to three years, no beast reached the weight of a</w:t></w:r>
</w:p>
<w:p>
<w:pPr><w:pStyle w:val="Normal"/></w:pPr>
<w:r><w:t xml:space="preserve">ton, the heaviest animal being a crossbred (Aberdeen-Angus</w:t></w:r>
</w:p>
<w:p>
<w:pPr><w:pStyle w:val="Normal"/></w:pPr>
<w:r><w:t xml:space="preserve">and Shorthorn) which, at three years old, turned the scale</w:t></w:r>
</w:p>
<w:p>
<w:pPr><w:pStyle w:val="Normal"/></w:pPr>
<w:r><w:t xml:space="preserve">at 19 cwt. 1 qr. 5 lb.  Out of 301 entries in 1905 the top</w:t></w:r>
</w:p>
<w:p>
<w:pPr><w:pStyle w:val="Normal"/></w:pPr>
<w:r><w:t xml:space="preserve">weight was 19 cwt. 1 qr. 25 lb in the case of a Shorthorn</w:t></w:r>
</w:p>
<w:p>
<w:pPr><w:pStyle w:val="Normal"/></w:pPr>
<w:r><w:t xml:space="preserve">steer.  Useful figures for purposes of comparison are obtained</w:t></w:r>
</w:p>
<w:p>
<w:pPr><w:pStyle w:val="Normal"/></w:pPr>
<w:r><w:t xml:space="preserve">by dividing the weight of a fat beast by the number of days</w:t></w:r>
</w:p>
<w:p>
<w:pPr><w:pStyle w:val="Normal"/></w:pPr>
<w:r><w:t xml:space="preserve">in its age, the weight at birth being thrown in.  The average</w:t></w:r>
</w:p>
<w:p>
<w:pPr><w:pStyle w:val="Normal"/></w:pPr>
<w:r><w:t xml:space="preserve">daily gain in live weight is thus arrived at, and as the animal</w:t></w:r>
</w:p>
<w:p>
<w:pPr><w:pStyle w:val="Normal"/></w:pPr>
<w:r><w:t xml:space="preserve">increases in age this average gradually diminishes, until the</w:t></w:r>
</w:p>
<w:p>
<w:pPr><w:pStyle w:val="Normal"/></w:pPr>
<w:r><w:t xml:space="preserve">daily gain reaches a stage at which it does not afford any</w:t></w:r>
</w:p>
<w:p>
<w:pPr><w:pStyle w:val="Normal"/></w:pPr>
<w:r><w:t xml:space="preserve">profitable return upon the food consumed.  At the centenary</w:t></w:r>
</w:p>
<w:p>
<w:pPr><w:pStyle w:val="Normal"/></w:pPr>
<w:r><w:t xml:space="preserve">show of the Smithfield Club in 1898 the highest average daily</w:t></w:r>
</w:p>
<w:p>
<w:pPr><w:pStyle w:val="Normal"/></w:pPr>
<w:r><w:t xml:space="preserve">gains in weight amongst prize-winning cattle were providrd</w:t></w:r>
</w:p>
<w:p>
<w:pPr><w:pStyle w:val="Normal"/></w:pPr>
<w:r><w:t xml:space="preserve">by a Shorthorn-Aberdeen cross-bred steer (age, one year seven</w:t></w:r>
</w:p>
<w:p>
<w:pPr><w:pStyle w:val="Normal"/></w:pPr>
<w:r><w:t xml:space="preserve">months; daily gain 2.47 lb); a Shorthorn steer (age, one year</w:t></w:r>
</w:p>
<w:p>
<w:pPr><w:pStyle w:val="Normal"/></w:pPr>
<w:r><w:t xml:space="preserve">seven months; daily gain, 2.44 lb); and an Aberdeen-Shorthorn</w:t></w:r>
</w:p>
<w:p>
<w:pPr><w:pStyle w:val="Normal"/></w:pPr>
<w:r><w:t xml:space="preserve">cross-bred steer (age, one year ten months; daily gain, 2.33</w:t></w:r>
</w:p>
<w:p>
<w:pPr><w:pStyle w:val="Normal"/></w:pPr>
<w:r><w:t xml:space="preserve">lb).  These beasts, it will be observed, were all under two years</w:t></w:r>
</w:p>
<w:p>
<w:pPr><w:pStyle w:val="Normal"/></w:pPr>
<w:r><w:t xml:space="preserve">old.  Amongst prize steers of two and a half to three years</w:t></w:r>
</w:p>
<w:p>
<w:pPr><w:pStyle w:val="Normal"/></w:pPr>
<w:r><w:t xml:space="preserve">old, on the same occasion, the three highest daily average</w:t></w:r>
</w:p>
<w:p>
<w:pPr><w:pStyle w:val="Normal"/></w:pPr>
<w:r><w:t xml:space="preserve">gains in live weight were 2.07 lb. for an Aberdeen-Angus,</w:t></w:r>
</w:p>
<w:p>
<w:pPr><w:pStyle w:val="Normal"/></w:pPr>
<w:r><w:t xml:space="preserve">1.99 lb. for a Shorthorn-Aberdeen cross-bred and 1.97 lb. for a</w:t></w:r>
</w:p>
<w:p>
<w:pPr><w:pStyle w:val="Normal"/></w:pPr>
<w:r><w:t xml:space="preserve">Sussex.  In the sheep section of the Smithfield show the</w:t></w:r>
</w:p>
<w:p>
<w:pPr><w:pStyle w:val="Normal"/></w:pPr>
<w:r><w:t xml:space="preserve">classes for ewes were finally abolished in 1898, and the</w:t></w:r>
</w:p>
<w:p>
<w:pPr><w:pStyle w:val="Normal"/></w:pPr>
<w:r><w:t xml:space="preserve">classes restricted to wethers and wether lambs, whose function</w:t></w:r>
</w:p>
<w:p>
<w:pPr><w:pStyle w:val="Normal"/></w:pPr>
<w:r><w:t xml:space="preserve">is exclusively the production of meat.  At the 1905 show,</w:t></w:r>
</w:p>
<w:p>
<w:pPr><w:pStyle w:val="Normal"/></w:pPr>
<w:r><w:t xml:space="preserve">sheep of each breed, and also cross-breds, competed as (1)</w:t></w:r>
</w:p>
<w:p>
<w:pPr><w:pStyle w:val="Normal"/></w:pPr>
<w:r><w:t xml:space="preserve">wether lambs under twelve months old, and (2) wether sheep</w:t></w:r>
</w:p>
<w:p>
<w:pPr><w:pStyle w:val="Normal"/></w:pPr>
<w:r><w:t xml:space="preserve">above twelve and under twenty-four months old.  The only</w:t></w:r>
</w:p>
<w:p>
<w:pPr><w:pStyle w:val="Normal"/></w:pPr>
<w:r><w:t xml:space="preserve">exception was in the case of the slowly-maturing Cheviot and</w:t></w:r>
</w:p>
<w:p>
<w:pPr><w:pStyle w:val="Normal"/></w:pPr>
<w:r><w:t xml:space="preserve">mountain breeds, for which the second class was for wether</w:t></w:r>
</w:p>
<w:p>
<w:pPr><w:pStyle w:val="Normal"/></w:pPr>
<w:r><w:t xml:space="preserve">sheep of any age above twelve months.  Of prize sheep at the</w:t></w:r>
</w:p>
<w:p>
<w:pPr><w:pStyle w:val="Normal"/></w:pPr>
<w:r><w:t xml:space="preserve">centenary show the largest average daily gain was 0.77 lb. per</w:t></w:r>
</w:p>
<w:p>
<w:pPr><w:pStyle w:val="Normal"/></w:pPr>
<w:r><w:t xml:space="preserve">head given by Oxford-Hampshire cross-bred wether lambs, aged</w:t></w:r>
</w:p>
<w:p>
<w:pPr><w:pStyle w:val="Normal"/></w:pPr>
<w:r><w:t xml:space="preserve">nine months two weeks.  In the case of wether sheep, twelve</w:t></w:r>
</w:p>
<w:p>
<w:pPr><w:pStyle w:val="Normal"/></w:pPr>
<w:r><w:t xml:space="preserve">to twenty-four months old, the highest daily increase was</w:t></w:r>
</w:p>
<w:p>
<w:pPr><w:pStyle w:val="Normal"/></w:pPr>
<w:r><w:t xml:space="preserve">0.56 lb per head as yielded by Lincolns, aged twenty-one</w:t></w:r>
</w:p>
<w:p>
<w:pPr><w:pStyle w:val="Normal"/></w:pPr>
<w:r><w:t xml:space="preserve">months.  Within the last quarter of the 19th century the</w:t></w:r>
</w:p>
<w:p>
<w:pPr><w:pStyle w:val="Normal"/></w:pPr>
<w:r><w:t xml:space="preserve">stock-feeding practices of the country were much modified</w:t></w:r>
</w:p>
<w:p>
<w:pPr><w:pStyle w:val="Normal"/></w:pPr>
<w:r><w:t xml:space="preserve">in accordance with these ideas of early maturity.  The</w:t></w:r>
</w:p>
<w:p>
<w:pPr><w:pStyle w:val="Normal"/></w:pPr>
<w:r><w:t xml:space="preserve">three-year-old wethers and older oxen that used to be common</w:t></w:r>
</w:p>
<w:p>
<w:pPr><w:pStyle w:val="Normal"/></w:pPr>
<w:r><w:t xml:space="preserve">in the fat stock markets are now rarely seen, excepting</w:t></w:r>
</w:p>
<w:p>
<w:pPr><w:pStyle w:val="Normal"/></w:pPr>
<w:r><w:t xml:space="preserve">perhaps in the case of mountain breeds of sheep and Highland</w:t></w:r>
</w:p>
<w:p>
<w:pPr><w:pStyle w:val="Normal"/></w:pPr>
<w:r><w:t xml:space="preserve">cattle.  It was in 1875 that the Smithfield Club first provided</w:t></w:r>
</w:p>
<w:p>
<w:pPr><w:pStyle w:val="Normal"/></w:pPr>
<w:r><w:t xml:space="preserve">the competitive classes for lambs, and in 1883 the champion</w:t></w:r>
</w:p>
<w:p>
<w:pPr><w:pStyle w:val="Normal"/></w:pPr>
<w:r><w:t xml:space="preserve">plate offered for the best pen of sheep of any age in the</w:t></w:r>
</w:p>
<w:p>
<w:pPr><w:pStyle w:val="Normal"/></w:pPr>
<w:r><w:t xml:space="preserve">show was for the first time won by lambs, a pen of Hampshire</w:t></w:r>
</w:p>
<w:p>
<w:pPr><w:pStyle w:val="Normal"/></w:pPr>
<w:r><w:t xml:space="preserve">Downs.  The young classes for bullocks were established in</w:t></w:r>
</w:p>
<w:p>
<w:pPr><w:pStyle w:val="Normal"/></w:pPr>
<w:r><w:t xml:space="preserve">1880.  The time-honoured notion that an animal must have</w:t></w:r>
</w:p>
<w:p>
<w:pPr><w:pStyle w:val="Normal"/></w:pPr>
<w:r><w:t xml:space="preserve">completed its growth before it could be profitably fattened is</w:t></w:r>
</w:p>
<w:p>
<w:pPr><w:pStyle w:val="Normal"/></w:pPr>
<w:r><w:t xml:space="preserve">no longer held, and the improved breeds which now exist rival</w:t></w:r>
</w:p>
<w:p>
<w:pPr><w:pStyle w:val="Normal"/></w:pPr>
<w:r><w:t xml:space="preserve">one another as regards the early period at which they may be</w:t></w:r>
</w:p>
<w:p>
<w:pPr><w:pStyle w:val="Normal"/></w:pPr>
<w:r><w:t xml:space="preserve">made ready for the butcher by appropriate feeding and management.</w:t></w:r>
</w:p>
<w:p>
<w:pPr><w:pStyle w:val="Normal"/></w:pPr>
<w:r><w:t xml:space="preserve">In 1895 the Smithfield Club instituted a carcase competition</w:t></w:r>
</w:p>
<w:p>
<w:pPr><w:pStyle w:val="Normal"/></w:pPr>
<w:r><w:t xml:space="preserve">in association with its annual show of fat stock, and it</w:t></w:r>
</w:p>
<w:p>
<w:pPr><w:pStyle w:val="Normal"/></w:pPr>
<w:r><w:t xml:space="preserve">has been continued each year since.  The cattle and sheep</w:t></w:r>
</w:p>
<w:p>
<w:pPr><w:pStyle w:val="Normal"/></w:pPr>
<w:r><w:t xml:space="preserve">entered for this competition are shown alive on the first</w:t></w:r>
</w:p>
<w:p>
<w:pPr><w:pStyle w:val="Normal"/></w:pPr>
<w:r><w:t xml:space="preserve">day, at the close of which they are slaughtered and the</w:t></w:r>
</w:p>
<w:p>
<w:pPr><w:pStyle w:val="Normal"/></w:pPr>
<w:r><w:t xml:space="preserve">carcases hung up for exhibition, with details of live and dead</w:t></w:r>
</w:p>
<w:p>
<w:pPr><w:pStyle w:val="Normal"/></w:pPr>
<w:r><w:t xml:space="preserve">weights.  The competition thus constitutes what is termed</w:t></w:r>
</w:p>
<w:p>
<w:pPr><w:pStyle w:val="Normal"/></w:pPr>
<w:r><w:t xml:space="preserve">a ``block test,&apos;&apos; and it is instructive in affording the</w:t></w:r>
</w:p>
<w:p>
<w:pPr><w:pStyle w:val="Normal"/></w:pPr>
<w:r><w:t xml:space="preserve">opportunity of seeing the quality of the carcases furnished by</w:t></w:r>
</w:p>
<w:p>
<w:pPr><w:pStyle w:val="Normal"/></w:pPr>
<w:r><w:t xml:space="preserve">the several animals, and in particular the relative proportion</w:t></w:r>
</w:p>
<w:p>
<w:pPr><w:pStyle w:val="Normal"/></w:pPr>
<w:r><w:t xml:space="preserve">and distribution of fat and lean meat.  The live animals are</w:t></w:r>
</w:p>
<w:p>
<w:pPr><w:pStyle w:val="Normal"/></w:pPr>
<w:r><w:t xml:space="preserve">judged and subsequently the carcases, and, though the results</w:t></w:r>
</w:p>
<w:p>
<w:pPr><w:pStyle w:val="Normal"/></w:pPr>
<w:r><w:t xml:space="preserve">sometimes agree, more often they do not.  Tables are constructed</w:t></w:r>
</w:p>
<w:p>
<w:pPr><w:pStyle w:val="Normal"/></w:pPr>
<w:r><w:t xml:space="preserve">showing the fasted live weight, the carcase weight, and the</w:t></w:r>
</w:p>
<w:p>
<w:pPr><w:pStyle w:val="Normal"/></w:pPr>
<w:r><w:t xml:space="preserve">weight of the various parts that are separated from and not</w:t></w:r>
</w:p>
<w:p>
<w:pPr><w:pStyle w:val="Normal"/></w:pPr>
<w:r><w:t xml:space="preserve">included with the carcase.  An abundance of lean meat and a</w:t></w:r>
</w:p>
<w:p>
<w:pPr><w:pStyle w:val="Normal"/></w:pPr>
<w:r><w:t xml:space="preserve">moderate amount of fat well distributed constitutes a better</w:t></w:r>
</w:p>
<w:p>
<w:pPr><w:pStyle w:val="Normal"/></w:pPr>
<w:r><w:t xml:space="preserve">carcase, and a more economical one for the consumer, than a</w:t></w:r>
</w:p>
<w:p>
<w:pPr><w:pStyle w:val="Normal"/></w:pPr>
<w:r><w:t xml:space="preserve">carcase in which gross accumulations of fat are prominent.</w:t></w:r>
</w:p>
<w:p>
<w:pPr><w:pStyle w:val="Normal"/></w:pPr>
<w:r><w:t xml:space="preserve">To add to the educational value of the display, information</w:t></w:r>
</w:p>
<w:p>
<w:pPr><w:pStyle w:val="Normal"/></w:pPr>
<w:r><w:t xml:space="preserve">as to the methods of feeding would be desirable, as it would</w:t></w:r>
</w:p>
<w:p>
<w:pPr><w:pStyle w:val="Normal"/></w:pPr>
<w:r><w:t xml:space="preserve">then be possible to correlate the quality of the meat with the</w:t></w:r>
</w:p>
<w:p>
<w:pPr><w:pStyle w:val="Normal"/></w:pPr>
<w:r><w:t xml:space="preserve">mode of its manufacture.  A point of high practical interest</w:t></w:r>
</w:p>
<w:p>
<w:pPr><w:pStyle w:val="Normal"/></w:pPr>
<w:r><w:t xml:space="preserve">is the ratio of carcase weight to fasted live weight, and</w:t></w:r>
</w:p>
<w:p>
<w:pPr><w:pStyle w:val="Normal"/></w:pPr>
<w:r><w:t xml:space="preserve">in the case of prize-winning carcases these ratios usually</w:t></w:r>
</w:p>
<w:p>
<w:pPr><w:pStyle w:val="Normal"/></w:pPr>
<w:r><w:t xml:space="preserve">fluctuate within very narrow limits.  At the 1890 show, for</w:t></w:r>
</w:p>
<w:p>
<w:pPr><w:pStyle w:val="Normal"/></w:pPr>
<w:r><w:t xml:space="preserve">example, the highest proportion of the carcase weight to</w:t></w:r>
</w:p>
<w:p>
<w:pPr><w:pStyle w:val="Normal"/></w:pPr>
<w:r><w:t xml:space="preserve">live weight was 68% in the case of an Aberdeen-Angus steer</w:t></w:r>
</w:p>
<w:p>
<w:pPr><w:pStyle w:val="Normal"/></w:pPr>
<w:r><w:t xml:space="preserve">and of a Cheviot wether, whilst the lowest was 61%, afforded</w:t></w:r>
</w:p>
<w:p>
<w:pPr><w:pStyle w:val="Normal"/></w:pPr>
<w:r><w:t xml:space="preserve">alike by a Shorthorn-Sussex cross-bred heifer and a mountain</w:t></w:r>
</w:p>
<w:p>
<w:pPr><w:pStyle w:val="Normal"/></w:pPr>
<w:r><w:t xml:space="preserve">lamb.  A familiar practical method of estimating carcase</w:t></w:r>
</w:p>
<w:p>
<w:pPr><w:pStyle w:val="Normal"/></w:pPr>
<w:r><w:t xml:space="preserve">weight from live weight is to reckon one Smithfield stone</w:t></w:r>
</w:p>
<w:p>
<w:pPr><w:pStyle w:val="Normal"/></w:pPr>
<w:r><w:t xml:space="preserve">(8 lb) of carcase for each imperial stone (14 lb) of live</w:t></w:r>
</w:p>
<w:p>
<w:pPr><w:pStyle w:val="Normal"/></w:pPr>
<w:r><w:t xml:space="preserve">weight.  This gives carcase weight as equal to 57% of live</w:t></w:r>
</w:p>
<w:p>
<w:pPr><w:pStyle w:val="Normal"/></w:pPr>
<w:r><w:t xml:space="preserve">weight, a ratio much inferior to the best results obtained</w:t></w:r>
</w:p>
<w:p>
<w:pPr><w:pStyle w:val="Normal"/></w:pPr>
<w:r><w:t xml:space="preserve">at the carcase competition promoted by the Smithfield Club.</w:t></w:r>
</w:p>
<w:p>
<w:pPr><w:pStyle w:val="Normal"/></w:pPr>
<w:r><w:t xml:space="preserve">Breed societies.</w:t></w:r>
</w:p>
<w:p>
<w:pPr><w:pStyle w:val="Normal"/></w:pPr>
<w:r><w:t xml:space="preserve">A noteworthy feature of the closing decades of the 19th</w:t></w:r>
</w:p>
<w:p>
<w:pPr><w:pStyle w:val="Normal"/></w:pPr>
<w:r><w:t xml:space="preserve">century was the formation of voluntary associations of</w:t></w:r>
</w:p>
<w:p>
<w:pPr><w:pStyle w:val="Normal"/></w:pPr>
<w:r><w:t xml:space="preserve">stockbreeders, with the object of promoting the interests of</w:t></w:r>
</w:p>
<w:p>
<w:pPr><w:pStyle w:val="Normal"/></w:pPr>
<w:r><w:t xml:space="preserve">the respective breeds of live stock.  As a typical example of</w:t></w:r>
</w:p>
<w:p>
<w:pPr><w:pStyle w:val="Normal"/></w:pPr>
<w:r><w:t xml:space="preserve">these organizations the Shire Horse Society may be mentioned.</w:t></w:r>
</w:p>
<w:p>
<w:pPr><w:pStyle w:val="Normal"/></w:pPr>
<w:r><w:t xml:space="preserve">It was incorporated in 1878 to improve and promote the breeding</w:t></w:r>
</w:p>
<w:p>
<w:pPr><w:pStyle w:val="Normal"/></w:pPr>
<w:r><w:t xml:space="preserve">of the Shire or old English race of cart-horses, and to effect</w:t></w:r>
</w:p>
<w:p>
<w:pPr><w:pStyle w:val="Normal"/></w:pPr>
<w:r><w:t xml:space="preserve">the distribution of sound and healthy sires throughout the</w:t></w:r>
</w:p>
<w:p>
<w:pPr><w:pStyle w:val="Normal"/></w:pPr>
<w:r><w:t xml:space="preserve">country.  The society holds annual shows, publishes annually</w:t></w:r>
</w:p>
<w:p>
<w:pPr><w:pStyle w:val="Normal"/></w:pPr>
<w:r><w:t xml:space="preserve">the Shire Horse Stud Book and offers gold and silver medals</w:t></w:r>
</w:p>
<w:p>
<w:pPr><w:pStyle w:val="Normal"/></w:pPr>
<w:r><w:t xml:space="preserve">for competition amongst Shire horses at agricultural shows</w:t></w:r>
</w:p>
<w:p>
<w:pPr><w:pStyle w:val="Normal"/></w:pPr>
<w:r><w:t xml:space="preserve">in different parts of the country, The society has carried</w:t></w:r>
</w:p>
<w:p>
<w:pPr><w:pStyle w:val="Normal"/></w:pPr>
<w:r><w:t xml:space="preserve">on a work of high national importance, and has effected a</w:t></w:r>
</w:p>
<w:p>
<w:pPr><w:pStyle w:val="Normal"/></w:pPr>
<w:r><w:t xml:space="preserve">marked improvement in the character and quality of the Shire</w:t></w:r>
</w:p>
<w:p>
<w:pPr><w:pStyle w:val="Normal"/></w:pPr>
<w:r><w:t xml:space="preserve">horse.  What has thus voluntarily been done in England</w:t></w:r>
</w:p>
<w:p>
<w:pPr><w:pStyle w:val="Normal"/></w:pPr>
<w:r><w:t xml:space="preserve">would in most other countries be left to the state, or would</w:t></w:r>
</w:p>
<w:p>
<w:pPr><w:pStyle w:val="Normal"/></w:pPr>
<w:r><w:t xml:space="preserve">not be attempted at all.  It is hardly necessary to say</w:t></w:r>
</w:p>
<w:p>
<w:pPr><w:pStyle w:val="Normal"/></w:pPr>
<w:r><w:t xml:space="preserve">that the Shire Horse Society has never received a penny of</w:t></w:r>
</w:p>
<w:p>
<w:pPr><w:pStyle w:val="Normal"/></w:pPr>
<w:r><w:t xml:space="preserve">public money, nor has any other of the voluntary breeders&apos;</w:t></w:r>
</w:p>
<w:p>
<w:pPr><w:pStyle w:val="Normal"/></w:pPr>
<w:r><w:t xml:space="preserve">societies.  The Hackney Horse Society and the Hunters&apos;</w:t></w:r>
</w:p>
<w:p>
<w:pPr><w:pStyle w:val="Normal"/></w:pPr>
<w:r><w:t xml:space="preserve">Improvement Society are conducted on much the same lines as</w:t></w:r>
</w:p>
<w:p>
<w:pPr><w:pStyle w:val="Normal"/></w:pPr>
<w:r><w:t xml:space="preserve">the Shire Horse Society, and, like it, they each hold a show</w:t></w:r>
</w:p>
<w:p>
<w:pPr><w:pStyle w:val="Normal"/></w:pPr>
<w:r><w:t xml:space="preserve">in London in the spring of the year and publish an annual</w:t></w:r>
</w:p>
<w:p>
<w:pPr><w:pStyle w:val="Normal"/></w:pPr>
<w:r><w:t xml:space="preserve">volume.  Other horsebreeders&apos; associations, all doing useful</w:t></w:r>
</w:p>
<w:p>
<w:pPr><w:pStyle w:val="Normal"/></w:pPr>
<w:r><w:t xml:space="preserve">work in the interests of their respective breeds, are the</w:t></w:r>
</w:p>
<w:p>
<w:pPr><w:pStyle w:val="Normal"/></w:pPr>
<w:r><w:t xml:space="preserve">Suffolk Horse Society, the Clydesdale Horse Society, the</w:t></w:r>
</w:p>
<w:p>
<w:pPr><w:pStyle w:val="Normal"/></w:pPr>
<w:r><w:t xml:space="preserve">Yorkshire Coach Horse Society, the Cleveland Bay Horse</w:t></w:r>
</w:p>
<w:p>
<w:pPr><w:pStyle w:val="Normal"/></w:pPr>
<w:r><w:t xml:space="preserve">Society, the Polo Pony Society, the Shetland Pony Stud Book</w:t></w:r>
</w:p>
<w:p>
<w:pPr><w:pStyle w:val="Normal"/></w:pPr>
<w:r><w:t xml:space="preserve">Society, the Welsh Pony and Cob Society and the New Forest Pony</w:t></w:r>
</w:p>
<w:p>
<w:pPr><w:pStyle w:val="Normal"/></w:pPr>
<w:r><w:t xml:space="preserve">Association.  Thoroughbred race-horses are registered in the</w:t></w:r>
</w:p>
<w:p>
<w:pPr><w:pStyle w:val="Normal"/></w:pPr>
<w:r><w:t xml:space="preserve">General Stud Book.  The Royal Commission on Horse Breeding,</w:t></w:r>
</w:p>
<w:p>
<w:pPr><w:pStyle w:val="Normal"/></w:pPr>
<w:r><w:t xml:space="preserve">which dates from 1887, is, as its name implies, not a voluntary</w:t></w:r>
</w:p>
<w:p>
<w:pPr><w:pStyle w:val="Normal"/></w:pPr>
<w:r><w:t xml:space="preserve">organization.  Through the commission the money previously</w:t></w:r>
</w:p>
<w:p>
<w:pPr><w:pStyle w:val="Normal"/></w:pPr>
<w:r><w:t xml:space="preserve">spent upon Queen&apos;s Plates is offered in the form of ``King&apos;s</w:t></w:r>
</w:p>
<w:p>
<w:pPr><w:pStyle w:val="Normal"/></w:pPr>
<w:r><w:t xml:space="preserve">Premiums&apos;&apos; (to the number of twenty-eight in 1907) of L. 150 each</w:t></w:r>
</w:p>
<w:p>
<w:pPr><w:pStyle w:val="Normal"/></w:pPr>
<w:r><w:t xml:space="preserve">for thoroughbred stallions, on condition that each stallion</w:t></w:r>
</w:p>
<w:p>
<w:pPr><w:pStyle w:val="Normal"/></w:pPr>
<w:r><w:t xml:space="preserve">winning a premium shall serve not less than fifty half-bred</w:t></w:r>
</w:p>
<w:p>
<w:pPr><w:pStyle w:val="Normal"/></w:pPr>
<w:r><w:t xml:space="preserve">mares, if required.  The winning stallions are distributed</w:t></w:r>
</w:p>
<w:p>
<w:pPr><w:pStyle w:val="Normal"/></w:pPr>
<w:r><w:t xml:space="preserve">in districts throughout Great Britain, and the use of these</w:t></w:r>
</w:p>
<w:p>
<w:pPr><w:pStyle w:val="Normal"/></w:pPr>
<w:r><w:t xml:space="preserve">selected sires has resulted in a decided improvement in the</w:t></w:r>
</w:p>
<w:p>
<w:pPr><w:pStyle w:val="Normal"/></w:pPr>
<w:r><w:t xml:space="preserve">quality of half-bred horses.  The annual show of the Royal</w:t></w:r>
</w:p>
<w:p>
<w:pPr><w:pStyle w:val="Normal"/></w:pPr>
<w:r><w:t xml:space="preserve">Commission on Horse Breeding is held in London jointly. and</w:t></w:r>
</w:p>
<w:p>
<w:pPr><w:pStyle w:val="Normal"/></w:pPr>
<w:r><w:t xml:space="preserve">concurrently with that of the Hunters&apos; Improvement Society.</w:t></w:r>
</w:p>
<w:p>
<w:pPr><w:pStyle w:val="Normal"/></w:pPr>
<w:r><w:t xml:space="preserve">Of organizations of cattle-breeders the English Jersey Cattle</w:t></w:r>
</w:p>
<w:p>
<w:pPr><w:pStyle w:val="Normal"/></w:pPr>
<w:r><w:t xml:space="preserve">Society, established in 1878, may be taken as a type.  It</w:t></w:r>
</w:p>
<w:p>
<w:pPr><w:pStyle w:val="Normal"/></w:pPr>
<w:r><w:t xml:space="preserve">offers prizes in butter-test competitions and milking trials</w:t></w:r>
</w:p>
<w:p>
<w:pPr><w:pStyle w:val="Normal"/></w:pPr>
<w:r><w:t xml:space="preserve">at various agricultural shows, and publishes the English Herd</w:t></w:r>
</w:p>
<w:p>
<w:pPr><w:pStyle w:val="Normal"/></w:pPr>
<w:r><w:t xml:space="preserve">Book and Register of Pure-Bred Jersey Cattle. This volume</w:t></w:r>
</w:p>
<w:p>
<w:pPr><w:pStyle w:val="Normal"/></w:pPr>
<w:r><w:t xml:space="preserve">records the births in the herds of members of the society,</w:t></w:r>
</w:p>
<w:p>
<w:pPr><w:pStyle w:val="Normal"/></w:pPr>
<w:r><w:t xml:space="preserve">and gives the pedigrees of cows and bulls, besides furnishing</w:t></w:r>
</w:p>
<w:p>
<w:pPr><w:pStyle w:val="Normal"/></w:pPr>
<w:r><w:t xml:space="preserve">lists of prize-winners at the principal shows and butter-test</w:t></w:r>
</w:p>
<w:p>
<w:pPr><w:pStyle w:val="Normal"/></w:pPr>
<w:r><w:t xml:space="preserve">awards, and reports of sales by auction of Jersey cattle.</w:t></w:r>
</w:p>
<w:p>
<w:pPr><w:pStyle w:val="Normal"/></w:pPr>
<w:r><w:t xml:space="preserve">Other cattle societies, all well caring for the interest of</w:t></w:r>
</w:p>
<w:p>
<w:pPr><w:pStyle w:val="Normal"/></w:pPr>
<w:r><w:t xml:space="preserve">their respective breeds, are the Shorthorn Society of Great</w:t></w:r>
</w:p>
<w:p>
<w:pPr><w:pStyle w:val="Normal"/></w:pPr>
<w:r><w:t xml:space="preserve">Britain and Ireland, the Lincolnshire Red Shorthorn Association,</w:t></w:r>
</w:p>
<w:p>
<w:pPr><w:pStyle w:val="Normal"/></w:pPr>
<w:r><w:t xml:space="preserve">the Hereford Herd Book Society, the Devon Cattle Breeders&apos;</w:t></w:r>
</w:p>
<w:p>
<w:pPr><w:pStyle w:val="Normal"/></w:pPr>
<w:r><w:t xml:space="preserve">Society, the South Devon Herd Book Society, the Sussex Herd</w:t></w:r>
</w:p>
<w:p>
<w:pPr><w:pStyle w:val="Normal"/></w:pPr>
<w:r><w:t xml:space="preserve">Book Society, the Long-horned Cattle Society, the Red Polled</w:t></w:r>
</w:p>
<w:p>
<w:pPr><w:pStyle w:val="Normal"/></w:pPr>
<w:r><w:t xml:space="preserve">Society, the English Guernsey Cattle Society, the English Kerry</w:t></w:r>
</w:p>
<w:p>
<w:pPr><w:pStyle w:val="Normal"/></w:pPr>
<w:r><w:t xml:space="preserve">and Dexter Cattle Society, the Welsh Black Cattle Society,</w:t></w:r>
</w:p>
<w:p>
<w:pPr><w:pStyle w:val="Normal"/></w:pPr>
<w:r><w:t xml:space="preserve">the Polled Cattle Society (for the Aberdeen-Angus breed), the</w:t></w:r>
</w:p>
<w:p>
<w:pPr><w:pStyle w:val="Normal"/></w:pPr>
<w:r><w:t xml:space="preserve">English Aberdeen-Angus Cattle Association, the Galloway Cattle</w:t></w:r>
</w:p>
<w:p>
<w:pPr><w:pStyle w:val="Normal"/></w:pPr>
<w:r><w:t xml:space="preserve">Society, the Ayrshire Cattle Herd Book Society, the Highland</w:t></w:r>
</w:p>
<w:p>
<w:pPr><w:pStyle w:val="Normal"/></w:pPr>
<w:r><w:t xml:space="preserve">Cattle Society of Scotland and the Dairy Shorthorn Association.</w:t></w:r>
</w:p>
<w:p>
<w:pPr><w:pStyle w:val="Normal"/></w:pPr>
<w:r><w:t xml:space="preserve">In the case of sheep the National Sheep Breeders&apos; Association</w:t></w:r>
</w:p>
<w:p>
<w:pPr><w:pStyle w:val="Normal"/></w:pPr>
<w:r><w:t xml:space="preserve">looks after the interests of flockmasters in general, whilst</w:t></w:r>
</w:p>
<w:p>
<w:pPr><w:pStyle w:val="Normal"/></w:pPr>
<w:r><w:t xml:space="preserve">most of the pure breeds are represented also by separate</w:t></w:r>
</w:p>
<w:p>
<w:pPr><w:pStyle w:val="Normal"/></w:pPr>
<w:r><w:t xml:space="preserve">organizations.  The Hampshire Down Sheep Breeders&apos; Association</w:t></w:r>
</w:p>
<w:p>
<w:pPr><w:pStyle w:val="Normal"/></w:pPr>
<w:r><w:t xml:space="preserve">may be taken as a type of the latter, its principal object being</w:t></w:r>
</w:p>
<w:p>
<w:pPr><w:pStyle w:val="Normal"/></w:pPr>
<w:r><w:t xml:space="preserve">to encourage the breeding of Hampshire Down sheep at home and</w:t></w:r>
</w:p>
<w:p>
<w:pPr><w:pStyle w:val="Normal"/></w:pPr>
<w:r><w:t xml:space="preserve">abroad, and to maintain the purity of the breed.  It publishes</w:t></w:r>
</w:p>
<w:p>
<w:pPr><w:pStyle w:val="Normal"/></w:pPr>
<w:r><w:t xml:space="preserve">an annual Flock Book, the first volume of which appeared in</w:t></w:r>
</w:p>
<w:p>
<w:pPr><w:pStyle w:val="Normal"/></w:pPr>
<w:r><w:t xml:space="preserve">1890.  In this book are named the recognized and pure-bred</w:t></w:r>
</w:p>
<w:p>
<w:pPr><w:pStyle w:val="Normal"/></w:pPr>
<w:r><w:t xml:space="preserve">sires which have been used, and ewes which have been bred</w:t></w:r>
</w:p>
<w:p>
<w:pPr><w:pStyle w:val="Normal"/></w:pPr>
<w:r><w:t xml:space="preserve">from, whilst there are also registered the pedigrees of such</w:t></w:r>
</w:p>
<w:p>
<w:pPr><w:pStyle w:val="Normal"/></w:pPr>
<w:r><w:t xml:space="preserve">sheep as are proved to be eligible for entry.  Prizes are</w:t></w:r>
</w:p>
<w:p>
<w:pPr><w:pStyle w:val="Normal"/></w:pPr>
<w:r><w:t xml:space="preserve">offered by the society at various agricultural shows where</w:t></w:r>
</w:p>
<w:p>
<w:pPr><w:pStyle w:val="Normal"/></w:pPr>
<w:r><w:t xml:space="preserve">Hampshire Down sheep are exhibited.  Other sheep societies</w:t></w:r>
</w:p>
<w:p>
<w:pPr><w:pStyle w:val="Normal"/></w:pPr>
<w:r><w:t xml:space="preserve">include the Leicester Sheep Breeders&apos; Association, the</w:t></w:r>
</w:p>
<w:p>
<w:pPr><w:pStyle w:val="Normal"/></w:pPr>
<w:r><w:t xml:space="preserve">Cotswold Sheep Society, the Lincoln Longwool Sheep Breeders&apos;</w:t></w:r>
</w:p>
<w:p>
<w:pPr><w:pStyle w:val="Normal"/></w:pPr>
<w:r><w:t xml:space="preserve">Association, the Oxford Down Sheep Breeders&apos; Association,</w:t></w:r>
</w:p>
<w:p>
<w:pPr><w:pStyle w:val="Normal"/></w:pPr>
<w:r><w:t xml:space="preserve">the Shropshire Sheep Breeders&apos; Association and Flock Book</w:t></w:r>
</w:p>
<w:p>
<w:pPr><w:pStyle w:val="Normal"/></w:pPr>
<w:r><w:t xml:space="preserve">Society, the Southdown Sheep Society, the Suffolk Sheep</w:t></w:r>
</w:p>
<w:p>
<w:pPr><w:pStyle w:val="Normal"/></w:pPr>
<w:r><w:t xml:space="preserve">Society, the Border Leicester Sheep Breeders&apos; Society, the</w:t></w:r>
</w:p>
<w:p>
<w:pPr><w:pStyle w:val="Normal"/></w:pPr>
<w:r><w:t xml:space="preserve">Wensleydale Longwool Sheep Breeders&apos; Association and Flock</w:t></w:r>
</w:p>
<w:p>
<w:pPr><w:pStyle w:val="Normal"/></w:pPr>
<w:r><w:t xml:space="preserve">Book Society, the Incorporated Wensleydale Blue-faced Sheep</w:t></w:r>
</w:p>
<w:p>
<w:pPr><w:pStyle w:val="Normal"/></w:pPr>
<w:r><w:t xml:space="preserve">Breeders&apos; Association and Flock Book Society, the Kent Sheep</w:t></w:r>
</w:p>
<w:p>
<w:pPr><w:pStyle w:val="Normal"/></w:pPr>
<w:r><w:t xml:space="preserve">Breeders&apos; Association, the Devon Longwool Sheep Breeders&apos;</w:t></w:r>
</w:p>
<w:p>
<w:pPr><w:pStyle w:val="Normal"/></w:pPr>
<w:r><w:t xml:space="preserve">Society, the Dorset Horn Sheep Breeders&apos; Association, the Cheviot</w:t></w:r>
</w:p>
<w:p>
<w:pPr><w:pStyle w:val="Normal"/></w:pPr>
<w:r><w:t xml:space="preserve">Sheep Society and the Roscommon Sheep Breeders&apos; Association.</w:t></w:r>
</w:p>
<w:p>
<w:pPr><w:pStyle w:val="Normal"/></w:pPr>
<w:r><w:t xml:space="preserve">The interests of pig-breeders are the care of the</w:t></w:r>
</w:p>
<w:p>
<w:pPr><w:pStyle w:val="Normal"/></w:pPr>
<w:r><w:t xml:space="preserve">National Pig Breeders&apos; Association, in addition to which</w:t></w:r>
</w:p>
<w:p>
<w:pPr><w:pStyle w:val="Normal"/></w:pPr>
<w:r><w:t xml:space="preserve">there exist the British Berkshire, the Large Black Pig,</w:t></w:r>
</w:p>
<w:p>
<w:pPr><w:pStyle w:val="Normal"/></w:pPr>
<w:r><w:t xml:space="preserve">and the Lincoln Curly-Coated White Pig Societies, and</w:t></w:r>
</w:p>
<w:p>
<w:pPr><w:pStyle w:val="Normal"/></w:pPr>
<w:r><w:t xml:space="preserve">the Incorporated Tamworth Pig Breeders&apos; Association.</w:t></w:r>
</w:p>
<w:p>
<w:pPr><w:pStyle w:val="Normal"/></w:pPr>
<w:r><w:t xml:space="preserve">The addresses of the secretaries of the various</w:t></w:r>
</w:p>
<w:p>
<w:pPr><w:pStyle w:val="Normal"/></w:pPr>
<w:r><w:t xml:space="preserve">live-stock societies in the United Kingdom are</w:t></w:r>
</w:p>
<w:p>
<w:pPr><w:pStyle w:val="Normal"/></w:pPr>
<w:r><w:t xml:space="preserve">published annually in the Live Stock Journal Almanac.</w:t></w:r>
</w:p>
<w:p>
<w:pPr><w:pStyle w:val="Normal"/></w:pPr>
<w:r><w:t xml:space="preserve">The Maintenance of the Health of Live Stock.</w:t></w:r>
</w:p>
<w:p>
<w:pPr><w:pStyle w:val="Normal"/></w:pPr>
<w:r><w:t xml:space="preserve">It was not till the closing decade of the 19th century that</w:t></w:r>
</w:p>
<w:p>
<w:pPr><w:pStyle w:val="Normal"/></w:pPr>
<w:r><w:t xml:space="preserve">the stock-breeders of the United Kingdom found themselves in</w:t></w:r>
</w:p>
<w:p>
<w:pPr><w:pStyle w:val="Normal"/></w:pPr>
<w:r><w:t xml:space="preserve">a position to prosecute their industry free from the fear of</w:t></w:r>
</w:p>
<w:p>
<w:pPr><w:pStyle w:val="Normal"/></w:pPr>
<w:r><w:t xml:space="preserve">the introduction of contagious disease through the medium of</w:t></w:r>
</w:p>
<w:p>
<w:pPr><w:pStyle w:val="Normal"/></w:pPr>
<w:r><w:t xml:space="preserve">store animals imported from abroad for fattening on the native</w:t></w:r>
</w:p>
<w:p>
<w:pPr><w:pStyle w:val="Normal"/></w:pPr>
<w:r><w:t xml:space="preserve">pastures.  By the Diseases of Animals Act 1896 (59 &amp; 60 Vict.</w:t></w:r>
</w:p>
<w:p>
<w:pPr><w:pStyle w:val="Normal"/></w:pPr>
<w:r><w:t xml:space="preserve">c. 15) it was provided that cattle, sheep and pigs imported</w:t></w:r>
</w:p>
<w:p>
<w:pPr><w:pStyle w:val="Normal"/></w:pPr>
<w:r><w:t xml:space="preserve">into the United Kingdom should be slaughtered at the place of</w:t></w:r>
</w:p>
<w:p>
<w:pPr><w:pStyle w:val="Normal"/></w:pPr>
<w:r><w:t xml:space="preserve">landing.  The effect was to reduce to a minimum the risk</w:t></w:r>
</w:p>
<w:p>
<w:pPr><w:pStyle w:val="Normal"/></w:pPr>
<w:r><w:t xml:space="preserve">of the introduction of disease amongst the herds and flocks</w:t></w:r>
</w:p>
<w:p>
<w:pPr><w:pStyle w:val="Normal"/></w:pPr>
<w:r><w:t xml:space="preserve">of the country, and at the same time to confine the trade in</w:t></w:r>
</w:p>
<w:p>
<w:pPr><w:pStyle w:val="Normal"/></w:pPr>
<w:r><w:t xml:space="preserve">store stock exclusively to the breeders of Great Britain and</w:t></w:r>
</w:p>
<w:p>
<w:pPr><w:pStyle w:val="Normal"/></w:pPr>
<w:r><w:t xml:space="preserve">Ireland.  This arrangement makes no difference to the food-supply</w:t></w:r>
</w:p>
<w:p>
<w:pPr><w:pStyle w:val="Normal"/></w:pPr>
<w:r><w:t xml:space="preserve">of the people, for dead meat continues to arrive at British</w:t></w:r>
</w:p>
<w:p>
<w:pPr><w:pStyle w:val="Normal"/></w:pPr>
<w:r><w:t xml:space="preserve">ports in ever-increasing quantity.  Moreover, live animals are</w:t></w:r>
</w:p>
<w:p>
<w:pPr><w:pStyle w:val="Normal"/></w:pPr>
<w:r><w:t xml:space="preserve">admitted freely from certain countries, provided such animals are</w:t></w:r>
</w:p>
<w:p>
<w:pPr><w:pStyle w:val="Normal"/></w:pPr>
<w:r><w:t xml:space="preserve">slaughtered at the place of landing.  At Deptford, for example,</w:t></w:r>
</w:p>
<w:p>
<w:pPr><w:pStyle w:val="Normal"/></w:pPr>
<w:r><w:t xml:space="preserve">large numbers of cattle and sheep which thus arrive--mainly</w:t></w:r>
</w:p>
<w:p>
<w:pPr><w:pStyle w:val="Normal"/></w:pPr>
<w:r><w:t xml:space="preserve">from Argentina, Canada and the United States--are at once</w:t></w:r>
</w:p>
<w:p>
<w:pPr><w:pStyle w:val="Normal"/></w:pPr>
<w:r><w:t xml:space="preserve">slaughtered, and so furnish a steady supply of fresh-killed</w:t></w:r>
</w:p>
<w:p>
<w:pPr><w:pStyle w:val="Normal"/></w:pPr>
<w:r><w:t xml:space="preserve">beef and mutton.  The animals which are shipped in this way</w:t></w:r>
</w:p>
<w:p>
<w:pPr><w:pStyle w:val="Normal"/></w:pPr>
<w:r><w:t xml:space="preserve">are necessarily of the best quality, because the freight</w:t></w:r>
</w:p>
<w:p>
<w:pPr><w:pStyle w:val="Normal"/></w:pPr>
<w:r><w:t xml:space="preserve">on a superior beast is no more costly than on an inferior</w:t></w:r>
</w:p>
<w:p>
<w:pPr><w:pStyle w:val="Normal"/></w:pPr>
<w:r><w:t xml:space="preserve">one, and the proportion of freight to sale price is therefore</w:t></w:r>
</w:p>
<w:p>
<w:pPr><w:pStyle w:val="Normal"/></w:pPr>
<w:r><w:t xml:space="preserve">less.  With this superior description of butchers&apos; stock all</w:t></w:r>
</w:p>
<w:p>
<w:pPr><w:pStyle w:val="Normal"/></w:pPr>
<w:r><w:t xml:space="preserve">classes of home-grown stock--good, bad and indifferent--have,</w:t></w:r>
</w:p>
<w:p>
<w:pPr><w:pStyle w:val="Normal"/></w:pPr>
<w:r><w:t xml:space="preserve">of course, to compete.  The Board of Agriculture has the power</w:t></w:r>
</w:p>
<w:p>
<w:pPr><w:pStyle w:val="Normal"/></w:pPr>
<w:r><w:t xml:space="preserve">to close the ports of the United Kingdom against live animals</w:t></w:r>
</w:p>
<w:p>
<w:pPr><w:pStyle w:val="Normal"/></w:pPr>
<w:r><w:t xml:space="preserve">from any country in which contagious disease is known to</w:t></w:r>
</w:p>
<w:p>
<w:pPr><w:pStyle w:val="Normal"/></w:pPr>
<w:r><w:t xml:space="preserve">exist.  This accounts for the circumstance that so few</w:t></w:r>
</w:p>
<w:p>
<w:pPr><w:pStyle w:val="Normal"/></w:pPr>
<w:r><w:t xml:space="preserve">countries--none of them in Europe--enjoy the privilege of</w:t></w:r>
</w:p>
<w:p>
<w:pPr><w:pStyle w:val="Normal"/></w:pPr>
<w:r><w:t xml:space="preserve">sending live animals to British ports.  In 1900 the discovery</w:t></w:r>
</w:p>
<w:p>
<w:pPr><w:pStyle w:val="Normal"/></w:pPr>
<w:r><w:t xml:space="preserve">early in the year of the existence of foot-and-mouth disease</w:t></w:r>
</w:p>
<w:p>
<w:pPr><w:pStyle w:val="Normal"/></w:pPr>
<w:r><w:t xml:space="preserve">amongst cattle and sheep shipped from Argentina to the United</w:t></w:r>
</w:p>
<w:p>
<w:pPr><w:pStyle w:val="Normal"/></w:pPr>
<w:r><w:t xml:space="preserve">Kingdom led to the issue of an order by which all British</w:t></w:r>
</w:p>
<w:p>
<w:pPr><w:pStyle w:val="Normal"/></w:pPr>
<w:r><w:t xml:space="preserve">ports were closed against live animals from the country</w:t></w:r>
</w:p>
<w:p>
<w:pPr><w:pStyle w:val="Normal"/></w:pPr>
<w:r><w:t xml:space="preserve">named.  This order came into force on the 30th of April, and</w:t></w:r>
</w:p>
<w:p>
<w:pPr><w:pStyle w:val="Normal"/></w:pPr>
<w:r><w:t xml:space="preserve">the result was a marked decline in the shipments of live cattle</w:t></w:r>
</w:p>
<w:p>
<w:pPr><w:pStyle w:val="Normal"/></w:pPr>
<w:r><w:t xml:space="preserve">and sheep from the River Plate, but a decided increase in the</w:t></w:r>
</w:p>
<w:p>
<w:pPr><w:pStyle w:val="Normal"/></w:pPr>
<w:r><w:t xml:space="preserve">quantity of frozen meat sent thence to the United Kingdom.</w:t></w:r>
</w:p>
<w:p>
<w:pPr><w:pStyle w:val="Normal"/></w:pPr>
<w:r><w:t xml:space="preserve">The last quarter of the 19th century witnessed an important</w:t></w:r>
</w:p>
<w:p>
<w:pPr><w:pStyle w:val="Normal"/></w:pPr>
<w:r><w:t xml:space="preserve">change in the attitude of public opinion towards legislative</w:t></w:r>
</w:p>
<w:p>
<w:pPr><w:pStyle w:val="Normal"/></w:pPr>
<w:r><w:t xml:space="preserve">control over the contagious diseases of animals.  When, after</w:t></w:r>
</w:p>
<w:p>
<w:pPr><w:pStyle w:val="Normal"/></w:pPr>
<w:r><w:t xml:space="preserve">the introduction of cattle plague or rinderpest in 1865, the</w:t></w:r>
</w:p>
<w:p>
<w:pPr><w:pStyle w:val="Normal"/></w:pPr>
<w:r><w:t xml:space="preserve">proposal was made to resort to the extreme remedy of slaughter</w:t></w:r>
</w:p>
<w:p>
<w:pPr><w:pStyle w:val="Normal"/></w:pPr>
<w:r><w:t xml:space="preserve">in order to check the ravages of a disease which was pursuing</w:t></w:r>
</w:p>
<w:p>
<w:pPr><w:pStyle w:val="Normal"/></w:pPr>
<w:r><w:t xml:space="preserve">its course with ruinous results, the idea was received with</w:t></w:r>
</w:p>
<w:p>
<w:pPr><w:pStyle w:val="Normal"/></w:pPr>
<w:r><w:t xml:space="preserve">public indignation and denounced as barbarous.  Views have</w:t></w:r>
</w:p>
<w:p>
<w:pPr><w:pStyle w:val="Normal"/></w:pPr>
<w:r><w:t xml:space="preserve">undergone profound modification since then, and the most</w:t></w:r>
</w:p>
<w:p>
<w:pPr><w:pStyle w:val="Normal"/></w:pPr>
<w:r><w:t xml:space="preserve">drastic remedy has come to be regarded as the most effective,</w:t></w:r>
</w:p>
<w:p>
<w:pPr><w:pStyle w:val="Normal"/></w:pPr>
<w:r><w:t xml:space="preserve">and in the long run the least costly.  The Cattle Diseases</w:t></w:r>
</w:p>
<w:p>
<w:pPr><w:pStyle w:val="Normal"/></w:pPr>
<w:r><w:t xml:space="preserve">Prevention Act 1866 (29 &amp; 30 Vict. c. 2) made compulsory the</w:t></w:r>
</w:p>
<w:p>
<w:pPr><w:pStyle w:val="Normal"/></w:pPr>
<w:r><w:t xml:space="preserve">slaughter of diseased cattle, and permitted the slaughter</w:t></w:r>
</w:p>
<w:p>
<w:pPr><w:pStyle w:val="Normal"/></w:pPr>
<w:r><w:t xml:space="preserve">of cattle which had been exposed to infection, compensation</w:t></w:r>
</w:p>
<w:p>
<w:pPr><w:pStyle w:val="Normal"/></w:pPr>
<w:r><w:t xml:space="preserve">being provided out of the rates.  The Act 30 &amp; 31 Vict. c.</w:t></w:r>
</w:p>
<w:p>
<w:pPr><w:pStyle w:val="Normal"/></w:pPr>
<w:r><w:t xml:space="preserve">125, 1867, is of historical interest, in that it contains</w:t></w:r>
</w:p>
<w:p>
<w:pPr><w:pStyle w:val="Normal"/></w:pPr>
<w:r><w:t xml:space="preserve">the first mention of pleuro-pneumonia, and the exposure in</w:t></w:r>
</w:p>
<w:p>
<w:pPr><w:pStyle w:val="Normal"/></w:pPr>
<w:r><w:t xml:space="preserve">any market of cattle suffering from that disease was made an</w:t></w:r>
</w:p>
<w:p>
<w:pPr><w:pStyle w:val="Normal"/></w:pPr>
<w:r><w:t xml:space="preserve">offence.  The Contagious Diseases (Animals) Act 1869 (32 &amp; 33</w:t></w:r>
</w:p>
<w:p>
<w:pPr><w:pStyle w:val="Normal"/></w:pPr>
<w:r><w:t xml:space="preserve">Vict. c. 70) revoked all former acts, and defined disease to</w:t></w:r>
</w:p>
<w:p>
<w:pPr><w:pStyle w:val="Normal"/></w:pPr>
<w:r><w:t xml:space="preserve">mean cattle plague, pleuro-pneumonia, foot-and-mouth disease,</w:t></w:r>
</w:p>
<w:p>
<w:pPr><w:pStyle w:val="Normal"/></w:pPr>
<w:r><w:t xml:space="preserve">sheep-pox, sheep-scab and glanders, together with any disease</w:t></w:r>
</w:p>
<w:p>
<w:pPr><w:pStyle w:val="Normal"/></w:pPr>
<w:r><w:t xml:space="preserve">which the Privy Council might by order specify.  The principle</w:t></w:r>
</w:p>
<w:p>
<w:pPr><w:pStyle w:val="Normal"/></w:pPr>
<w:r><w:t xml:space="preserve">of this act in regard to foreign animals was that of free</w:t></w:r>
</w:p>
<w:p>
<w:pPr><w:pStyle w:val="Normal"/></w:pPr>
<w:r><w:t xml:space="preserve">importation, with power for the Privy Council to prohibit or</w:t></w:r>
</w:p>
<w:p>
<w:pPr><w:pStyle w:val="Normal"/></w:pPr>
<w:r><w:t xml:space="preserve">subject to quarantine and slaughter, as circumstances seemed to</w:t></w:r>
</w:p>
<w:p>
<w:pPr><w:pStyle w:val="Normal"/></w:pPr>
<w:r><w:t xml:space="preserve">require.  The act of 1869 was at that time the most complete</w:t></w:r>
</w:p>
<w:p>
<w:pPr><w:pStyle w:val="Normal"/></w:pPr>
<w:r><w:t xml:space="preserve">measure that had ever been passed for dealing with diseases of</w:t></w:r>
</w:p>
<w:p>
<w:pPr><w:pStyle w:val="Normal"/></w:pPr>
<w:r><w:t xml:space="preserve">animals.  The re-introduction of cattle plague into England</w:t></w:r>
</w:p>
<w:p>
<w:pPr><w:pStyle w:val="Normal"/></w:pPr>
<w:r><w:t xml:space="preserve">in 1877 led to the passing of the Act 41 &amp; 42 Vict. c. 74,</w:t></w:r>
</w:p>
<w:p>
<w:pPr><w:pStyle w:val="Normal"/></w:pPr>
<w:r><w:t xml:space="preserve">1878, which repealed the act of 1869, and affirmed as a</w:t></w:r>
</w:p>
<w:p>
<w:pPr><w:pStyle w:val="Normal"/></w:pPr>
<w:r><w:t xml:space="preserve">principle the landing of foreign animals for slaughter only,</w:t></w:r>
</w:p>
<w:p>
<w:pPr><w:pStyle w:val="Normal"/></w:pPr>
<w:r><w:t xml:space="preserve">though free importation or quarantine on the one hand and</w:t></w:r>
</w:p>
<w:p>
<w:pPr><w:pStyle w:val="Normal"/></w:pPr>
<w:r><w:t xml:space="preserve">prohibition on the other were provided for in exceptional</w:t></w:r>
</w:p>
<w:p>
<w:pPr><w:pStyle w:val="Normal"/></w:pPr>
<w:r><w:t xml:space="preserve">circumstances.  By an order of council which came into</w:t></w:r>
</w:p>
<w:p>
<w:pPr><w:pStyle w:val="Normal"/></w:pPr>
<w:r><w:t xml:space="preserve">operation in December 1878, swine fever was declared to be</w:t></w:r>
</w:p>
<w:p>
<w:pPr><w:pStyle w:val="Normal"/></w:pPr>
<w:r><w:t xml:space="preserve">a disease for the purposes of the act of that year.  It was</w:t></w:r>
</w:p>
<w:p>
<w:pPr><w:pStyle w:val="Normal"/></w:pPr>
<w:r><w:t xml:space="preserve">not, however, till October 1886 that anthrax and rabies were</w:t></w:r>
</w:p>
<w:p>
<w:pPr><w:pStyle w:val="Normal"/></w:pPr>
<w:r><w:t xml:space="preserve">officially declared to be contagious diseases for the purposes</w:t></w:r>
</w:p>
<w:p>
<w:pPr><w:pStyle w:val="Normal"/></w:pPr>
<w:r><w:t xml:space="preserve">of certain sections of the act of 1878.  In 1884 the Act 47</w:t></w:r>
</w:p>
<w:p>
<w:pPr><w:pStyle w:val="Normal"/></w:pPr>
<w:r><w:t xml:space="preserve">&amp; 48 Vict. c. 13 empowered the Privy Council to prohibit the</w:t></w:r>
</w:p>
<w:p>
<w:pPr><w:pStyle w:val="Normal"/></w:pPr>
<w:r><w:t xml:space="preserve">landing of animals from any country in respect of which the</w:t></w:r>
</w:p>
<w:p>
<w:pPr><w:pStyle w:val="Normal"/></w:pPr>
<w:r><w:t xml:space="preserve">circumstances were not such as to afford reasonable security</w:t></w:r>
</w:p>
<w:p>
<w:pPr><w:pStyle w:val="Normal"/></w:pPr>
<w:r><w:t xml:space="preserve">against the introduction of foot-and-mouth disease.  After one</w:t></w:r>
</w:p>
<w:p>
<w:pPr><w:pStyle w:val="Normal"/></w:pPr>
<w:r><w:t xml:space="preserve">or two other measures of minor importance came the Act 53 &amp;</w:t></w:r>
</w:p>
<w:p>
<w:pPr><w:pStyle w:val="Normal"/></w:pPr>
<w:r><w:t xml:space="preserve">54 Vict. c. 14, known as the Pleuro-pneumonia Act 1890, which</w:t></w:r>
</w:p>
<w:p>
<w:pPr><w:pStyle w:val="Normal"/></w:pPr>
<w:r><w:t xml:space="preserve">transferred the powers of local authorities to slaughter and</w:t></w:r>
</w:p>
<w:p>
<w:pPr><w:pStyle w:val="Normal"/></w:pPr>
<w:r><w:t xml:space="preserve">pay compensation in cases of pleuro-pneumonia to the Board of</w:t></w:r>
</w:p>
<w:p>
<w:pPr><w:pStyle w:val="Normal"/></w:pPr>
<w:r><w:t xml:space="preserve">Agriculture, and provided further for the payment of such</w:t></w:r>
</w:p>
<w:p>
<w:pPr><w:pStyle w:val="Normal"/></w:pPr>
<w:r><w:t xml:space="preserve">compensation out of money specifically voted by parliament.</w:t></w:r>
</w:p>
<w:p>
<w:pPr><w:pStyle w:val="Normal"/></w:pPr>
<w:r><w:t xml:space="preserve">This measure was regarded at the time as a marked step in</w:t></w:r>
</w:p>
<w:p>
<w:pPr><w:pStyle w:val="Normal"/></w:pPr>
<w:r><w:t xml:space="preserve">advance, and was only carried after a vigorous campaign in its</w:t></w:r>
</w:p>
<w:p>
<w:pPr><w:pStyle w:val="Normal"/></w:pPr>
<w:r><w:t xml:space="preserve">favour.  In 1892 by the Act 55 &amp; 56 Vict. c. 47 power was given</w:t></w:r>
</w:p>
<w:p>
<w:pPr><w:pStyle w:val="Normal"/></w:pPr>
<w:r><w:t xml:space="preserve">to the Board of Agriculture to use the sums voted on account</w:t></w:r>
</w:p>
<w:p>
<w:pPr><w:pStyle w:val="Normal"/></w:pPr>
<w:r><w:t xml:space="preserve">of pleuro-pneumonia for paying the costs involved in dealing</w:t></w:r>
</w:p>
<w:p>
<w:pPr><w:pStyle w:val="Normal"/></w:pPr>
<w:r><w:t xml:space="preserve">with foot-and-mouth disease; under this act the board could</w:t></w:r>
</w:p>
<w:p>
<w:pPr><w:pStyle w:val="Normal"/></w:pPr>
<w:r><w:t xml:space="preserve">order the slaughter of diseased animals and of animals in</w:t></w:r>
</w:p>
<w:p>
<w:pPr><w:pStyle w:val="Normal"/></w:pPr>
<w:r><w:t xml:space="preserve">contact with these, and could pay compensation for animals so</w:t></w:r>
</w:p>
<w:p>
<w:pPr><w:pStyle w:val="Normal"/></w:pPr>
<w:r><w:t xml:space="preserve">slaughtered.  Under the provisions of the Contagious Diseases</w:t></w:r>
</w:p>
<w:p>
<w:pPr><w:pStyle w:val="Normal"/></w:pPr>
<w:r><w:t xml:space="preserve">(Animals) Act 1893 (56 &amp; 57 Vict. c. 43) swine fever in</w:t></w:r>
</w:p>
<w:p>
<w:pPr><w:pStyle w:val="Normal"/></w:pPr>
<w:r><w:t xml:space="preserve">Great Britain was, from the 1st of November in that year,</w:t></w:r>
</w:p>
<w:p>
<w:pPr><w:pStyle w:val="Normal"/></w:pPr>
<w:r><w:t xml:space="preserve">dealt with by the Board of Agriculture in the same way as</w:t></w:r>
</w:p>
<w:p>
<w:pPr><w:pStyle w:val="Normal"/></w:pPr>
<w:r><w:t xml:space="preserve">pleuro-pneumonia, the slaughter of infected swine being</w:t></w:r>
</w:p>
<w:p>
<w:pPr><w:pStyle w:val="Normal"/></w:pPr>
<w:r><w:t xml:space="preserve">carried out under directions from the central authority, and</w:t></w:r>
</w:p>
<w:p>
<w:pPr><w:pStyle w:val="Normal"/></w:pPr>
<w:r><w:t xml:space="preserve">compensation allowed from the imperial exchequer.  In 1894 was</w:t></w:r>
</w:p>
<w:p>
<w:pPr><w:pStyle w:val="Normal"/></w:pPr>
<w:r><w:t xml:space="preserve">passed the Diseases of Animals Act (57 &amp; 58 Vict. c. 57), the</w:t></w:r>
</w:p>
<w:p>
<w:pPr><w:pStyle w:val="Normal"/></w:pPr>
<w:r><w:t xml:space="preserve">word ``contagious&apos;&apos; being omitted from the title.  This was a</w:t></w:r>
</w:p>
<w:p>
<w:pPr><w:pStyle w:val="Normal"/></w:pPr>
<w:r><w:t xml:space="preserve">measure to consolidate the Contagious Diseases (Animals) Acts</w:t></w:r>
</w:p>
<w:p>
<w:pPr><w:pStyle w:val="Normal"/></w:pPr>
<w:r><w:t xml:space="preserve">1878-1893.  In it ``the expression `disease&apos; means cattle</w:t></w:r>
</w:p>
<w:p>
<w:pPr><w:pStyle w:val="Normal"/></w:pPr>
<w:r><w:t xml:space="preserve">plague (that is to say, rinderpest, or the disease commonly</w:t></w:r>
</w:p>
<w:p>
<w:pPr><w:pStyle w:val="Normal"/></w:pPr>
<w:r><w:t xml:space="preserve">called cattle plague), contagious pleuro-pneumonia of</w:t></w:r>
</w:p>
<w:p>
<w:pPr><w:pStyle w:val="Normal"/></w:pPr>
<w:r><w:t xml:space="preserve">cattle (in this act called pleuro-pneumonia), foot-and-mouth</w:t></w:r>
</w:p>
<w:p>
<w:pPr><w:pStyle w:val="Normal"/></w:pPr>
<w:r><w:t xml:space="preserve">disease, sheep-pox, sheep-scab, or swine fever (that is to</w:t></w:r>
</w:p>
<w:p>
<w:pPr><w:pStyle w:val="Normal"/></w:pPr>
<w:r><w:t xml:space="preserve">say, the disease known as typhoid fever of swine, soldier</w:t></w:r>
</w:p>
<w:p>
<w:pPr><w:pStyle w:val="Normal"/></w:pPr>
<w:r><w:t xml:space="preserve">purples, red disease, hog cholera or swine plague).&apos;&apos; The</w:t></w:r>
</w:p>
<w:p>
<w:pPr><w:pStyle w:val="Normal"/></w:pPr>
<w:r><w:t xml:space="preserve">Diseases of Animals Act 1896 (59 &amp; 60 Vict. c. 15) rendered</w:t></w:r>
</w:p>
<w:p>
<w:pPr><w:pStyle w:val="Normal"/></w:pPr>
<w:r><w:t xml:space="preserve">compulsory the slaughter of imported live stock at the place</w:t></w:r>
</w:p>
<w:p>
<w:pPr><w:pStyle w:val="Normal"/></w:pPr>
<w:r><w:t xml:space="preserve">of landing, a boon for which British stock-breeders had</w:t></w:r>
</w:p>
<w:p>
<w:pPr><w:pStyle w:val="Normal"/></w:pPr>
<w:r><w:t xml:space="preserve">striven for many years.  The ports in Great Britain at which</w:t></w:r>
</w:p>
<w:p>
<w:pPr><w:pStyle w:val="Normal"/></w:pPr>
<w:r><w:t xml:space="preserve">foreign animals may be landed are Bristol, Cardiff, Glasgow,</w:t></w:r>
</w:p>
<w:p>
<w:pPr><w:pStyle w:val="Normal"/></w:pPr>
<w:r><w:t xml:space="preserve">Hull, Liverpool, London, Manchester and Newcastle-upon-Tyne.</w:t></w:r>
</w:p>
<w:p>
<w:pPr><w:pStyle w:val="Normal"/></w:pPr>
<w:r><w:t xml:space="preserve">Animals from the Channel Islands may be landed at Southampton.</w:t></w:r>
</w:p>
<w:p>
<w:pPr><w:pStyle w:val="Normal"/></w:pPr>
<w:r><w:t xml:space="preserve">The Diseases of Animals.</w:t></w:r>
</w:p>
<w:p>
<w:pPr><w:pStyle w:val="Normal"/></w:pPr>
<w:r><w:t xml:space="preserve">Under the Diseases of Animals Acts 1894 and 1896 weekly</w:t></w:r>
</w:p>
<w:p>
<w:pPr><w:pStyle w:val="Normal"/></w:pPr>
<w:r><w:t xml:space="preserve">returns are issued by the Board of Agriculture of outbreaks of</w:t></w:r>
</w:p>
<w:p>
<w:pPr><w:pStyle w:val="Normal"/></w:pPr>
<w:r><w:t xml:space="preserve">anthrax, foot-and-mouth disease, glanders (including farcy),</w:t></w:r>
</w:p>
<w:p>
<w:pPr><w:pStyle w:val="Normal"/></w:pPr>
<w:r><w:t xml:space="preserve">pleuro-pneumonia, rabies and swine fever in the counties of</w:t></w:r>
</w:p>
<w:p>
<w:pPr><w:pStyle w:val="Normal"/></w:pPr>
<w:r><w:t xml:space="preserve">Great Britain; also monthly returns of outbreaks of sheep-scab.</w:t></w:r>
</w:p>
<w:p>
<w:pPr><w:pStyle w:val="Normal"/></w:pPr>
<w:r><w:t xml:space="preserve">Cattle plague, or rinderpest, has not been recorded in Great</w:t></w:r>
</w:p>
<w:p>
<w:pPr><w:pStyle w:val="Normal"/></w:pPr>
<w:r><w:t xml:space="preserve">Britain since 1877.  In that year there were 47 outbreaks</w:t></w:r>
</w:p>
<w:p>
<w:pPr><w:pStyle w:val="Normal"/></w:pPr>
<w:r><w:t xml:space="preserve">distributed over five counties and involving 263 head of cattle.</w:t></w:r>
</w:p>
<w:p>
<w:pPr><w:pStyle w:val="Normal"/></w:pPr>
<w:r><w:t xml:space="preserve">The course of foot-and-mouth disease in Great Britain between</w:t></w:r>
</w:p>
<w:p>
<w:pPr><w:pStyle w:val="Normal"/></w:pPr>
<w:r><w:t xml:space="preserve">1877 and 1905 inclusive is told in Table XX., from which the</w:t></w:r>
</w:p>
<w:p>
<w:pPr><w:pStyle w:val="Normal"/></w:pPr>
<w:r><w:t xml:space="preserve">TABLE XX.--Outbreaks of Foot-and-Mouth Disease in Great Britain,</w:t></w:r>
</w:p>
<w:p>
<w:pPr><w:pStyle w:val="Normal"/></w:pPr>
<w:r><w:t xml:space="preserve">1877-1905.</w:t></w:r>
</w:p>
<w:p>
<w:pPr><w:pStyle w:val="Normal"/></w:pPr>
<w:r><w:t xml:space="preserve">Animals attacked.</w:t></w:r>
</w:p>
<w:p>
<w:pPr><w:pStyle w:val="Normal"/></w:pPr>
<w:r><w:t xml:space="preserve">Out                                Other</w:t></w:r>
</w:p>
<w:p>
<w:pPr><w:pStyle w:val="Normal"/></w:pPr>
<w:r><w:t xml:space="preserve">Year.  Counties.  Breaks.  Cattle.   Sheep.   Swine.  Animals.</w:t></w:r>
</w:p>
<w:p>
<w:pPr><w:pStyle w:val="Normal"/></w:pPr>
<w:r><w:t xml:space="preserve">1877      55         858     5,640     7,405   2,099</w:t></w:r>
</w:p>
<w:p>
<w:pPr><w:pStyle w:val="Normal"/></w:pPr>
<w:r><w:t xml:space="preserve">1878      45         235       912     8,609     245</w:t></w:r>
</w:p>
<w:p>
<w:pPr><w:pStyle w:val="Normal"/></w:pPr>
<w:r><w:t xml:space="preserve">1879      29         137       261    15,681       5</w:t></w:r>
</w:p>
<w:p>
<w:pPr><w:pStyle w:val="Normal"/></w:pPr>
<w:r><w:t xml:space="preserve">1880      38       1,461    20,918     9,572   1,886     2</w:t></w:r>
</w:p>
<w:p>
<w:pPr><w:pStyle w:val="Normal"/></w:pPr>
<w:r><w:t xml:space="preserve">1881      49       4,833    59,484   117,152   6,330    80</w:t></w:r>
</w:p>
<w:p>
<w:pPr><w:pStyle w:val="Normal"/></w:pPr>
<w:r><w:t xml:space="preserve">1882      49       1,970    23,973    11,412   2,564     1</w:t></w:r>
</w:p>
<w:p>
<w:pPr><w:pStyle w:val="Normal"/></w:pPr>
<w:r><w:t xml:space="preserve">1883      75      18,732   219,289   217,492  24,332    32</w:t></w:r>
</w:p>
<w:p>
<w:pPr><w:pStyle w:val="Normal"/></w:pPr>
<w:r><w:t xml:space="preserve">1884      55         949    12,186    14,174   1,860     1</w:t></w:r>
</w:p>
<w:p>
<w:pPr><w:pStyle w:val="Normal"/></w:pPr>
<w:r><w:t xml:space="preserve">1885      10          30       354        34      30</w:t></w:r>
</w:p>
<w:p>
<w:pPr><w:pStyle w:val="Normal"/></w:pPr>
<w:r><w:t xml:space="preserve">1886       1           1        10</w:t></w:r>
</w:p>
<w:p>
<w:pPr><w:pStyle w:val="Normal"/></w:pPr>
<w:r><w:t xml:space="preserve">1892      15          95     1,248     3,412     107</w:t></w:r>
</w:p>
<w:p>
<w:pPr><w:pStyle w:val="Normal"/></w:pPr>
<w:r><w:t xml:space="preserve">1893       2           2        30</w:t></w:r>
</w:p>
<w:p>
<w:pPr><w:pStyle w:val="Normal"/></w:pPr>
<w:r><w:t xml:space="preserve">1894       3           3         7       261</w:t></w:r>
</w:p>
<w:p>
<w:pPr><w:pStyle w:val="Normal"/></w:pPr>
<w:r><w:t xml:space="preserve">1900       9          21       214        50       2</w:t></w:r>
</w:p>
<w:p>
<w:pPr><w:pStyle w:val="Normal"/></w:pPr>
<w:r><w:t xml:space="preserve">1901       3          12        43       626</w:t></w:r>
</w:p>
<w:p>
<w:pPr><w:pStyle w:val="Normal"/></w:pPr>
<w:r><w:t xml:space="preserve">1902       1           1         2       118</w:t></w:r>
</w:p>
<w:p>
<w:pPr><w:pStyle w:val="Normal"/></w:pPr>
<w:r><w:t xml:space="preserve">years 1887 to 1891, 1895 to 1899 and 1903 to 1905 inclusive are</w:t></w:r>
</w:p>
<w:p>
<w:pPr><w:pStyle w:val="Normal"/></w:pPr>
<w:r><w:t xml:space="preserve">omitted, because there was no outbreak during those periods.  The</w:t></w:r>
</w:p>
<w:p>
<w:pPr><w:pStyle w:val="Normal"/></w:pPr>
<w:r><w:t xml:space="preserve">disease is seen to have attained its maximum virulence in 1883.</w:t></w:r>
</w:p>
<w:p>
<w:pPr><w:pStyle w:val="Normal"/></w:pPr>
<w:r><w:t xml:space="preserve">Sheep-scab is a loathsome skin disease due to an acarian</w:t></w:r>
</w:p>
<w:p>
<w:pPr><w:pStyle w:val="Normal"/></w:pPr>
<w:r><w:t xml:space="preserve">parasite.  Table XXI. shows the number of outbreaks and the</w:t></w:r>
</w:p>
<w:p>
<w:pPr><w:pStyle w:val="Normal"/></w:pPr>
<w:r><w:t xml:space="preserve">number of counties over which they were distributed from 1877 to</w:t></w:r>
</w:p>
<w:p>
<w:pPr><w:pStyle w:val="Normal"/></w:pPr>
<w:r><w:t xml:space="preserve">1905.  The recorded outbreaks were more numerous in the</w:t></w:r>
</w:p>
<w:p>
<w:pPr><w:pStyle w:val="Normal"/></w:pPr>
<w:r><w:t xml:space="preserve">decade of the &apos;nineties than in that of the &apos;eighties, though</w:t></w:r>
</w:p>
<w:p>
<w:pPr><w:pStyle w:val="Normal"/></w:pPr>
<w:r><w:t xml:space="preserve">possibly this may have been due to greater official activity</w:t></w:r>
</w:p>
<w:p>
<w:pPr><w:pStyle w:val="Normal"/></w:pPr>
<w:r><w:t xml:space="preserve">in the later period.  The largest number of sheep attacked was</w:t></w:r>
</w:p>
<w:p>
<w:pPr><w:pStyle w:val="Normal"/></w:pPr>
<w:r><w:t xml:space="preserve">TABLE XXI.--Outbreaks of Sheep-Scab in Great Britain,</w:t></w:r>
</w:p>
<w:p>
<w:pPr><w:pStyle w:val="Normal"/></w:pPr>
<w:r><w:t xml:space="preserve">1877-1905.</w:t></w:r>
</w:p>
<w:p>
<w:pPr><w:pStyle w:val="Normal"/></w:pPr>
<w:r><w:t xml:space="preserve">Year.  Counties.  Outbreaks.    Year.   Counties.  Outbreaks.</w:t></w:r>
</w:p>
<w:p>
<w:pPr><w:pStyle w:val="Normal"/></w:pPr>
<w:r><w:t xml:space="preserve">1877       77       3214        1890       75        1506</w:t></w:r>
</w:p>
<w:p>
<w:pPr><w:pStyle w:val="Normal"/></w:pPr>
<w:r><w:t xml:space="preserve">1880       70       1556        1895       88        3092</w:t></w:r>
</w:p>
<w:p>
<w:pPr><w:pStyle w:val="Normal"/></w:pPr>
<w:r><w:t xml:space="preserve">1885       69       1512        1900       78        1939</w:t></w:r>
</w:p>
<w:p>
<w:pPr><w:pStyle w:val="Normal"/></w:pPr>
<w:r><w:t xml:space="preserve">1905       73         918</w:t></w:r>
</w:p>
<w:p>
<w:pPr><w:pStyle w:val="Normal"/></w:pPr>
<w:r><w:t xml:space="preserve">68,715 (in 1877).  It is compulsory on owners to notify</w:t></w:r>
</w:p>
<w:p>
<w:pPr><w:pStyle w:val="Normal"/></w:pPr>
<w:r><w:t xml:space="preserve">the authorities as to the existence of scab amongst their</w:t></w:r>
</w:p>
<w:p>
<w:pPr><w:pStyle w:val="Normal"/></w:pPr>
<w:r><w:t xml:space="preserve">sheep.  By the Diseases of Animals Act(1903) powers to</w:t></w:r>
</w:p>
<w:p>
<w:pPr><w:pStyle w:val="Normal"/></w:pPr>
<w:r><w:t xml:space="preserve">prescribe the dipping of sheep, irrespective of the presence</w:t></w:r>
</w:p>
<w:p>
<w:pPr><w:pStyle w:val="Normal"/></w:pPr>
<w:r><w:t xml:space="preserve">or otherwise of sheep scab, were conferred upon the Board of</w:t></w:r>
</w:p>
<w:p>
<w:pPr><w:pStyle w:val="Normal"/></w:pPr>
<w:r><w:t xml:space="preserve">Agriculture.  An inspector of the board or of the local</w:t></w:r>
</w:p>
<w:p>
<w:pPr><w:pStyle w:val="Normal"/></w:pPr>
<w:r><w:t xml:space="preserve">authority was by the same act authorized to enter premises</w:t></w:r>
</w:p>
<w:p>
<w:pPr><w:pStyle w:val="Normal"/></w:pPr>
<w:r><w:t xml:space="preserve">and examine sheep.  Each year the disorder runs a similar</w:t></w:r>
</w:p>
<w:p>
<w:pPr><w:pStyle w:val="Normal"/></w:pPr>
<w:r><w:t xml:space="preserve">course, the outbreaks dwindling to a minimum in the summer</w:t></w:r>
</w:p>
<w:p>
<w:pPr><w:pStyle w:val="Normal"/></w:pPr>
<w:r><w:t xml:space="preserve">months, June to August, and attaining a maximum in the winter</w:t></w:r>
</w:p>
<w:p>
<w:pPr><w:pStyle w:val="Normal"/></w:pPr>
<w:r><w:t xml:space="preserve">months, December to February.  It is chiefly in the ``flying&apos;&apos;</w:t></w:r>
</w:p>
<w:p>
<w:pPr><w:pStyle w:val="Normal"/></w:pPr>
<w:r><w:t xml:space="preserve">flocks and not in the breeding flocks that the disease is</w:t></w:r>
</w:p>
<w:p>
<w:pPr><w:pStyle w:val="Normal"/></w:pPr>
<w:r><w:t xml:space="preserve">rife, and it is so easily communicable that a drove of</w:t></w:r>
</w:p>
<w:p>
<w:pPr><w:pStyle w:val="Normal"/></w:pPr>
<w:r><w:t xml:space="preserve">scab-infested sheep passing along a road may leave behind</w:t></w:r>
</w:p>
<w:p>
<w:pPr><w:pStyle w:val="Normal"/></w:pPr>
<w:r><w:t xml:space="preserve">them traces sufficient to set up the disorder in a drove of</w:t></w:r>
</w:p>
<w:p>
<w:pPr><w:pStyle w:val="Normal"/></w:pPr>
<w:r><w:t xml:space="preserve">healthy sheep that may follow.  For its size and in relation</w:t></w:r>
</w:p>
<w:p>
<w:pPr><w:pStyle w:val="Normal"/></w:pPr>
<w:r><w:t xml:space="preserve">to its sheep population Wales harbours the disease to a far</w:t></w:r>
</w:p>
<w:p>
<w:pPr><w:pStyle w:val="Normal"/></w:pPr>
<w:r><w:t xml:space="preserve">greater extent than the other divisions of Great Britain.</w:t></w:r>
</w:p>
<w:p>
<w:pPr><w:pStyle w:val="Normal"/></w:pPr>
<w:r><w:t xml:space="preserve">The fatal disease known as anthrax did not form the</w:t></w:r>
</w:p>
<w:p>
<w:pPr><w:pStyle w:val="Normal"/></w:pPr>
<w:r><w:t xml:space="preserve">subject of official returns previous to the passing of</w:t></w:r>
</w:p>
<w:p>
<w:pPr><w:pStyle w:val="Normal"/></w:pPr>
<w:r><w:t xml:space="preserve">the Anthrax Order of 1886.  Isolated outbreaks are of</w:t></w:r>
</w:p>
<w:p>
<w:pPr><w:pStyle w:val="Normal"/></w:pPr>
<w:r><w:t xml:space="preserve">common occurrence, and from the totals for Great Britain</w:t></w:r>
</w:p>
<w:p>
<w:pPr><w:pStyle w:val="Normal"/></w:pPr>
<w:r><w:t xml:space="preserve">given in Table XXII. it would appear that there is little</w:t></w:r>
</w:p>
<w:p>
<w:pPr><w:pStyle w:val="Normal"/></w:pPr>
<w:r><w:t xml:space="preserve">prospect of the eradication of this bacterial disorder.</w:t></w:r>
</w:p>
<w:p>
<w:pPr><w:pStyle w:val="Normal"/></w:pPr>
<w:r><w:t xml:space="preserve">Glanders (including farcy) was the subject during the twenty-four</w:t></w:r>
</w:p>
<w:p>
<w:pPr><w:pStyle w:val="Normal"/></w:pPr>
<w:r><w:t xml:space="preserve">years 1877-1900 of outbreaks in Great Britain ranging between</w:t></w:r>
</w:p>
<w:p>
<w:pPr><w:pStyle w:val="Normal"/></w:pPr>
<w:r><w:t xml:space="preserve">a minimum of 518 in 1877 and a maximum of 1657 in 1892; in</w:t></w:r>
</w:p>
<w:p>
<w:pPr><w:pStyle w:val="Normal"/></w:pPr>
<w:r><w:t xml:space="preserve">the former year 758 horses were attacked, and in the latter</w:t></w:r>
</w:p>
<w:p>
<w:pPr><w:pStyle w:val="Normal"/></w:pPr>
<w:r><w:t xml:space="preserve">3001.  A recrudescence of the disease marked the closing years</w:t></w:r>
</w:p>
<w:p>
<w:pPr><w:pStyle w:val="Normal"/></w:pPr>
<w:r><w:t xml:space="preserve">of the 19th century, the outbreaks having been 748 in 1898,</w:t></w:r>
</w:p>
<w:p>
<w:pPr><w:pStyle w:val="Normal"/></w:pPr>
<w:r><w:t xml:space="preserve">853 in 1899 and 1119 in 1900.  The counties of Great Britain</w:t></w:r>
</w:p>
<w:p>
<w:pPr><w:pStyle w:val="Normal"/></w:pPr>
<w:r><w:t xml:space="preserve">over which the annual outbreaks have been distributed have</w:t></w:r>
</w:p>
<w:p>
<w:pPr><w:pStyle w:val="Normal"/></w:pPr>
<w:r><w:t xml:space="preserve">ranged between 24 in 1890 and 52 in 1879.  As a matter of fact,</w:t></w:r>
</w:p>
<w:p>
<w:pPr><w:pStyle w:val="Normal"/></w:pPr>
<w:r><w:t xml:space="preserve">TABLE XXII.--Outbreaks of Anthrax in Great Britain,</w:t></w:r>
</w:p>
<w:p>
<w:pPr><w:pStyle w:val="Normal"/></w:pPr>
<w:r><w:t xml:space="preserve">1895-1905.</w:t></w:r>
</w:p>
<w:p>
<w:pPr><w:pStyle w:val="Normal"/></w:pPr>
<w:r><w:t xml:space="preserve">Animals Attacked.</w:t></w:r>
</w:p>
<w:p>
<w:pPr><w:pStyle w:val="Normal"/></w:pPr>
<w:r><w:t xml:space="preserve">Year.  Counties.   Outbreaks.  Cattle.  Sheep.  Swine.  Horses.</w:t></w:r>
</w:p>
<w:p>
<w:pPr><w:pStyle w:val="Normal"/></w:pPr>
<w:r><w:t xml:space="preserve">1895       66          434       604     158     140      32</w:t></w:r>
</w:p>
<w:p>
<w:pPr><w:pStyle w:val="Normal"/></w:pPr>
<w:r><w:t xml:space="preserve">1896       64          488       632      34     200      38</w:t></w:r>
</w:p>
<w:p>
<w:pPr><w:pStyle w:val="Normal"/></w:pPr>
<w:r><w:t xml:space="preserve">1897       67          433       521      39     284      38</w:t></w:r>
</w:p>
<w:p>
<w:pPr><w:pStyle w:val="Normal"/></w:pPr>
<w:r><w:t xml:space="preserve">1898       73          556       634      22     161      39</w:t></w:r>
</w:p>
<w:p>
<w:pPr><w:pStyle w:val="Normal"/></w:pPr>
<w:r><w:t xml:space="preserve">1899       67          534       634      69     253      30</w:t></w:r>
</w:p>
<w:p>
<w:pPr><w:pStyle w:val="Normal"/></w:pPr>
<w:r><w:t xml:space="preserve">1900       74          571       668      40     204      44</w:t></w:r>
</w:p>
<w:p>
<w:pPr><w:pStyle w:val="Normal"/></w:pPr>
<w:r><w:t xml:space="preserve">1901       63          651       708      76     152      35</w:t></w:r>
</w:p>
<w:p>
<w:pPr><w:pStyle w:val="Normal"/></w:pPr>
<w:r><w:t xml:space="preserve">1902       71          678       746      50     192      44</w:t></w:r>
</w:p>
<w:p>
<w:pPr><w:pStyle w:val="Normal"/></w:pPr>
<w:r><w:t xml:space="preserve">1903       78          767       809      48     234      51</w:t></w:r>
</w:p>
<w:p>
<w:pPr><w:pStyle w:val="Normal"/></w:pPr>
<w:r><w:t xml:space="preserve">1904       77         1049      1115      62     365      47</w:t></w:r>
</w:p>
<w:p>
<w:pPr><w:pStyle w:val="Normal"/></w:pPr>
<w:r><w:t xml:space="preserve">1905       84          970      1001      53     210      53</w:t></w:r>
</w:p>
<w:p>
<w:pPr><w:pStyle w:val="Normal"/></w:pPr>
<w:r><w:t xml:space="preserve">however, the disease is strongly centred upon the</w:t></w:r>
</w:p>
<w:p>
<w:pPr><w:pStyle w:val="Normal"/></w:pPr>
<w:r><w:t xml:space="preserve">metropolitan area, more than half of the outbreaks</w:t></w:r>
</w:p>
<w:p>
<w:pPr><w:pStyle w:val="Normal"/></w:pPr>
<w:r><w:t xml:space="preserve">being reported from the county of London alone.</w:t></w:r>
</w:p>
<w:p>
<w:pPr><w:pStyle w:val="Normal"/></w:pPr>
<w:r><w:t xml:space="preserve">The rabies order was passed in 1886, and the number of counties</w:t></w:r>
</w:p>
<w:p>
<w:pPr><w:pStyle w:val="Normal"/></w:pPr>
<w:r><w:t xml:space="preserve">in Great Britain in which cases of rabies in dogs were reported</w:t></w:r>
</w:p>
<w:p>
<w:pPr><w:pStyle w:val="Normal"/></w:pPr>
<w:r><w:t xml:space="preserve">in each subsequent year is shown in Table XXIII.  In addition</w:t></w:r>
</w:p>
<w:p>
<w:pPr><w:pStyle w:val="Normal"/></w:pPr>
<w:r><w:t xml:space="preserve">there have been some cases of rabies in animals other than</w:t></w:r>
</w:p>
<w:p>
<w:pPr><w:pStyle w:val="Normal"/></w:pPr>
<w:r><w:t xml:space="preserve">dogs.  The disease was very rife in 1895, but the extensive</w:t></w:r>
</w:p>
<w:p>
<w:pPr><w:pStyle w:val="Normal"/></w:pPr>
<w:r><w:t xml:space="preserve">application of the muzzling restrictions of the Board of</w:t></w:r>
</w:p>
<w:p>
<w:pPr><w:pStyle w:val="Normal"/></w:pPr>
<w:r><w:t xml:space="preserve">Agriculture was accompanied by so steady a diminution in the</w:t></w:r>
</w:p>
<w:p>
<w:pPr><w:pStyle w:val="Normal"/></w:pPr>
<w:r><w:t xml:space="preserve">TABLE XXIII.--Cases of Rabies in Dogs in Great Britain,</w:t></w:r>
</w:p>
<w:p>
<w:pPr><w:pStyle w:val="Normal"/></w:pPr>
<w:r><w:t xml:space="preserve">1887-1902.</w:t></w:r>
</w:p>
<w:p>
<w:pPr><w:pStyle w:val="Normal"/></w:pPr>
<w:r><w:t xml:space="preserve">Year.   Counties.  Cases.      Year.   Counties.   Cases.</w:t></w:r>
</w:p>
<w:p>
<w:pPr><w:pStyle w:val="Normal"/></w:pPr>
<w:r><w:t xml:space="preserve">1887       28       217        1895       29        672</w:t></w:r>
</w:p>
<w:p>
<w:pPr><w:pStyle w:val="Normal"/></w:pPr>
<w:r><w:t xml:space="preserve">1888       19       160        1896       41        438</w:t></w:r>
</w:p>
<w:p>
<w:pPr><w:pStyle w:val="Normal"/></w:pPr>
<w:r><w:t xml:space="preserve">1889       20       312        1897       30        151</w:t></w:r>
</w:p>
<w:p>
<w:pPr><w:pStyle w:val="Normal"/></w:pPr>
<w:r><w:t xml:space="preserve">1890       20       129        1898       10         17</w:t></w:r>
</w:p>
<w:p>
<w:pPr><w:pStyle w:val="Normal"/></w:pPr>
<w:r><w:t xml:space="preserve">1891       17        79        1899        4          9</w:t></w:r>
</w:p>
<w:p>
<w:pPr><w:pStyle w:val="Normal"/></w:pPr>
<w:r><w:t xml:space="preserve">1892       12        38        1900        2          6</w:t></w:r>
</w:p>
<w:p>
<w:pPr><w:pStyle w:val="Normal"/></w:pPr>
<w:r><w:t xml:space="preserve">1893       18        93        1901        1          1</w:t></w:r>
</w:p>
<w:p>
<w:pPr><w:pStyle w:val="Normal"/></w:pPr>
<w:r><w:t xml:space="preserve">1894       17       248        1902        4         13</w:t></w:r>
</w:p>
<w:p>
<w:pPr><w:pStyle w:val="Normal"/></w:pPr>
<w:r><w:t xml:space="preserve">prevalence of the disease, that it was thought the latter had</w:t></w:r>
</w:p>
<w:p>
<w:pPr><w:pStyle w:val="Normal"/></w:pPr>
<w:r><w:t xml:space="preserve">been extirpated.  The entire revocation of the muzzling order,</w:t></w:r>
</w:p>
<w:p>
<w:pPr><w:pStyle w:val="Normal"/></w:pPr>
<w:r><w:t xml:space="preserve">which accordingly followed, proved, however, to be premature,</w:t></w:r>
</w:p>
<w:p>
<w:pPr><w:pStyle w:val="Normal"/></w:pPr>
<w:r><w:t xml:space="preserve">and it became necessary to reimpose it in the districts where</w:t></w:r>
</w:p>
<w:p>
<w:pPr><w:pStyle w:val="Normal"/></w:pPr>
<w:r><w:t xml:space="preserve">it had last been operative, namely, certain parts of South</w:t></w:r>
</w:p>
<w:p>
<w:pPr><w:pStyle w:val="Normal"/></w:pPr>
<w:r><w:t xml:space="preserve">Wales.  No cases were reported in 1903, 1904 or 1905.</w:t></w:r>
</w:p>
<w:p>
<w:pPr><w:pStyle w:val="Normal"/></w:pPr>
<w:r><w:t xml:space="preserve">Pleuro-pneumonia in Great Britain was dealt with by the</w:t></w:r>
</w:p>
<w:p>
<w:pPr><w:pStyle w:val="Normal"/></w:pPr>
<w:r><w:t xml:space="preserve">local authorities up to the year 1890.  Between 1870 and</w:t></w:r>
</w:p>
<w:p>
<w:pPr><w:pStyle w:val="Normal"/></w:pPr>
<w:r><w:t xml:space="preserve">1889 the annual outbreaks had ranged between a minimum</w:t></w:r>
</w:p>
<w:p>
<w:pPr><w:pStyle w:val="Normal"/></w:pPr>
<w:r><w:t xml:space="preserve">of 312 in 1884 and a maximum of 3262 in 1874, the largest</w:t></w:r>
</w:p>
<w:p>
<w:pPr><w:pStyle w:val="Normal"/></w:pPr>
<w:r><w:t xml:space="preserve">number of cattle attacked in any one year being 7983 in</w:t></w:r>
</w:p>
<w:p>
<w:pPr><w:pStyle w:val="Normal"/></w:pPr>
<w:r><w:t xml:space="preserve">1872.  The largest number of counties over which thin outbreaks</w:t></w:r>
</w:p>
<w:p>
<w:pPr><w:pStyle w:val="Normal"/></w:pPr>
<w:r><w:t xml:space="preserve">were distributed was 72 in 1873.  On the 1st of September</w:t></w:r>
</w:p>
<w:p>
<w:pPr><w:pStyle w:val="Normal"/></w:pPr>
<w:r><w:t xml:space="preserve">1890 the Board of Agriculture assumed powers with respect to</w:t></w:r>
</w:p>
<w:p>
<w:pPr><w:pStyle w:val="Normal"/></w:pPr>
<w:r><w:t xml:space="preserve">pleuro-pneumonia under the Diseases of Animals Act of that</w:t></w:r>
</w:p>
<w:p>
<w:pPr><w:pStyle w:val="Normal"/></w:pPr>
<w:r><w:t xml:space="preserve">year.  Their administration was attended by success, for</w:t></w:r>
</w:p>
<w:p>
<w:pPr><w:pStyle w:val="Normal"/></w:pPr>
<w:r><w:t xml:space="preserve">from 192 outbreaks in Great Britain in 1891 the total fell</w:t></w:r>
</w:p>
<w:p>
<w:pPr><w:pStyle w:val="Normal"/></w:pPr>
<w:r><w:t xml:space="preserve">to 35 in 1892 and to 9 in 1893.  In the four subsequent</w:t></w:r>
</w:p>
<w:p>
<w:pPr><w:pStyle w:val="Normal"/></w:pPr>
<w:r><w:t xml:space="preserve">years, 1894-1897, the outbreaks numbered 2, 1, 2, and 7</w:t></w:r>
</w:p>
<w:p>
<w:pPr><w:pStyle w:val="Normal"/></w:pPr>
<w:r><w:t xml:space="preserve">respectively.  In January 1898 an outbreak was discovered</w:t></w:r>
</w:p>
<w:p>
<w:pPr><w:pStyle w:val="Normal"/></w:pPr>
<w:r><w:t xml:space="preserve">in a London cow-shed.  This proved to be the last case in</w:t></w:r>
</w:p>
<w:p>
<w:pPr><w:pStyle w:val="Normal"/></w:pPr>
<w:r><w:t xml:space="preserve">the 19th century of what at one time had been a veritable</w:t></w:r>
</w:p>
<w:p>
<w:pPr><w:pStyle w:val="Normal"/></w:pPr>
<w:r><w:t xml:space="preserve">scourge to cattle-owners and a source of heavy financial loss.</w:t></w:r>
</w:p>
<w:p>
<w:pPr><w:pStyle w:val="Normal"/></w:pPr>
<w:r><w:t xml:space="preserve">Between 1879 and 1892 inclusive, administration with regard to</w:t></w:r>
</w:p>
<w:p>
<w:pPr><w:pStyle w:val="Normal"/></w:pPr>
<w:r><w:t xml:space="preserve">swine-fever was entrusted to local authorities.  The largest</w:t></w:r>
</w:p>
<w:p>
<w:pPr><w:pStyle w:val="Normal"/></w:pPr>
<w:r><w:t xml:space="preserve">number of outbreaks neported in any one of those years was 7926</w:t></w:r>
</w:p>
<w:p>
<w:pPr><w:pStyle w:val="Normal"/></w:pPr>
<w:r><w:t xml:space="preserve">in 1885, and the smallest 1717 in 1881.  In 1893 the Board of</w:t></w:r>
</w:p>
<w:p>
<w:pPr><w:pStyle w:val="Normal"/></w:pPr>
<w:r><w:t xml:space="preserve">Agriculture took over the management, and Table XXIV. shows</w:t></w:r>
</w:p>
<w:p>
<w:pPr><w:pStyle w:val="Normal"/></w:pPr>
<w:r><w:t xml:space="preserve">the number of counties in which swine-fever existed, the number</w:t></w:r>
</w:p>
<w:p>
<w:pPr><w:pStyle w:val="Normal"/></w:pPr>
<w:r><w:t xml:space="preserve">of outbreaks confirmed and the number of swine slaughtered</w:t></w:r>
</w:p>
<w:p>
<w:pPr><w:pStyle w:val="Normal"/></w:pPr>
<w:r><w:t xml:space="preserve">by order of the board in each year since.  The trouble with</w:t></w:r>
</w:p>
<w:p>
<w:pPr><w:pStyle w:val="Normal"/></w:pPr>
<w:r><w:t xml:space="preserve">this disease has been mainly in England, the outbreaks in</w:t></w:r>
</w:p>
<w:p>
<w:pPr><w:pStyle w:val="Normal"/></w:pPr>
<w:r><w:t xml:space="preserve">Wales and Scotland being comparatively few.  What are termed</w:t></w:r>
</w:p>
<w:p>
<w:pPr><w:pStyle w:val="Normal"/></w:pPr>
<w:r><w:t xml:space="preserve">``swine-fever infected areas&apos;&apos; are scheduled by the board</w:t></w:r>
</w:p>
<w:p>
<w:pPr><w:pStyle w:val="Normal"/></w:pPr>
<w:r><w:t xml:space="preserve">when and where circumstances seem to require, and the movement</w:t></w:r>
</w:p>
<w:p>
<w:pPr><w:pStyle w:val="Normal"/></w:pPr>
<w:r><w:t xml:space="preserve">TABLE XXIV.--Outbreaks of Swine Fever in Great Britain,</w:t></w:r>
</w:p>
<w:p>
<w:pPr><w:pStyle w:val="Normal"/></w:pPr>
<w:r><w:t xml:space="preserve">1894-1905.</w:t></w:r>
</w:p>
<w:p>
<w:pPr><w:pStyle w:val="Normal"/></w:pPr>
<w:r><w:t xml:space="preserve">Swine slaughtered as</w:t></w:r>
</w:p>
<w:p>
<w:pPr><w:pStyle w:val="Normal"/></w:pPr>
<w:r><w:t xml:space="preserve">Outbreaks   diseased, or as having been</w:t></w:r>
</w:p>
<w:p>
<w:pPr><w:pStyle w:val="Normal"/></w:pPr>
<w:r><w:t xml:space="preserve">Year.   Counties.  confirmed.     exposed to infection.</w:t></w:r>
</w:p>
<w:p>
<w:pPr><w:pStyle w:val="Normal"/></w:pPr>
<w:r><w:t xml:space="preserve">1894       73         5682              56,296</w:t></w:r>
</w:p>
<w:p>
<w:pPr><w:pStyle w:val="Normal"/></w:pPr>
<w:r><w:t xml:space="preserve">1895       73         6305              69,931</w:t></w:r>
</w:p>
<w:p>
<w:pPr><w:pStyle w:val="Normal"/></w:pPr>
<w:r><w:t xml:space="preserve">1896       77         5166              79,586</w:t></w:r>
</w:p>
<w:p>
<w:pPr><w:pStyle w:val="Normal"/></w:pPr>
<w:r><w:t xml:space="preserve">1897       74         2155              40,432</w:t></w:r>
</w:p>
<w:p>
<w:pPr><w:pStyle w:val="Normal"/></w:pPr>
<w:r><w:t xml:space="preserve">1898       72         2514              43,756</w:t></w:r>
</w:p>
<w:p>
<w:pPr><w:pStyle w:val="Normal"/></w:pPr>
<w:r><w:t xml:space="preserve">1899       71         2322              30,797</w:t></w:r>
</w:p>
<w:p>
<w:pPr><w:pStyle w:val="Normal"/></w:pPr>
<w:r><w:t xml:space="preserve">1900       62         1940              17,933</w:t></w:r>
</w:p>
<w:p>
<w:pPr><w:pStyle w:val="Normal"/></w:pPr>
<w:r><w:t xml:space="preserve">1901       71         3140              15,237</w:t></w:r>
</w:p>
<w:p>
<w:pPr><w:pStyle w:val="Normal"/></w:pPr>
<w:r><w:t xml:space="preserve">1902       67         1688               8,263</w:t></w:r>
</w:p>
<w:p>
<w:pPr><w:pStyle w:val="Normal"/></w:pPr>
<w:r><w:t xml:space="preserve">1903       63         1478               7,933</w:t></w:r>
</w:p>
<w:p>
<w:pPr><w:pStyle w:val="Normal"/></w:pPr>
<w:r><w:t xml:space="preserve">1904       64         1196               5,603</w:t></w:r>
</w:p>
<w:p>
<w:pPr><w:pStyle w:val="Normal"/></w:pPr>
<w:r><w:t xml:space="preserve">1905       58          817               3,876</w:t></w:r>
</w:p>
<w:p>
<w:pPr><w:pStyle w:val="Normal"/></w:pPr>
<w:r><w:t xml:space="preserve">of swine within such areas is prohibited, much inconvenience</w:t></w:r>
</w:p>
<w:p>
<w:pPr><w:pStyle w:val="Normal"/></w:pPr>
<w:r><w:t xml:space="preserve">to trade resulting from restrictions of this kind.  Frequently,</w:t></w:r>
</w:p>
<w:p>
<w:pPr><w:pStyle w:val="Normal"/></w:pPr>
<w:r><w:t xml:space="preserve">moreover, the exhibition of pigs at agricultural shows has to</w:t></w:r>
</w:p>
<w:p>
<w:pPr><w:pStyle w:val="Normal"/></w:pPr>
<w:r><w:t xml:space="preserve">be abandoned in consequence of these swine-fever regulations.</w:t></w:r>
</w:p>
<w:p>
<w:pPr><w:pStyle w:val="Normal"/></w:pPr>
<w:r><w:t xml:space="preserve">The Trade in Live Stock Between Ireland and Great Britain.</w:t></w:r>
</w:p>
<w:p>
<w:pPr><w:pStyle w:val="Normal"/></w:pPr>
<w:r><w:t xml:space="preserve">The compulsory slaughter at the place of landing does not</w:t></w:r>
</w:p>
<w:p>
<w:pPr><w:pStyle w:val="Normal"/></w:pPr>
<w:r><w:t xml:space="preserve">extend to animals shipped from Ireland into Great Britain,</w:t></w:r>
</w:p>
<w:p>
<w:pPr><w:pStyle w:val="Normal"/></w:pPr>
<w:r><w:t xml:space="preserve">and this is a matter of the highest importance to Irish</w:t></w:r>
</w:p>
<w:p>
<w:pPr><w:pStyle w:val="Normal"/></w:pPr>
<w:r><w:t xml:space="preserve">stock-breeders, who find their best market close at hand</w:t></w:r>
</w:p>
<w:p>
<w:pPr><w:pStyle w:val="Normal"/></w:pPr>
<w:r><w:t xml:space="preserve">on the east of St George&apos;s Channel.  Table XXV. shows the</w:t></w:r>
</w:p>
<w:p>
<w:pPr><w:pStyle w:val="Normal"/></w:pPr>
<w:r><w:t xml:space="preserve">number of cattle, sheep and pigs shipped from Ireland into</w:t></w:r>
</w:p>
<w:p>
<w:pPr><w:pStyle w:val="Normal"/></w:pPr>
<w:r><w:t xml:space="preserve">Great Britain in each of the fifteen years 1891-1905, the</w:t></w:r>
</w:p>
<w:p>
<w:pPr><w:pStyle w:val="Normal"/></w:pPr>
<w:r><w:t xml:space="preserve">numbers of horses similarly shipped being also indicated.</w:t></w:r>
</w:p>
<w:p>
<w:pPr><w:pStyle w:val="Normal"/></w:pPr>
<w:r><w:t xml:space="preserve">On the average rather more than half the total of cattle</w:t></w:r>
</w:p>
<w:p>
<w:pPr><w:pStyle w:val="Normal"/></w:pPr>
<w:r><w:t xml:space="preserve">is made up of store animals for fattening or breeding</w:t></w:r>
</w:p>
<w:p>
<w:pPr><w:pStyle w:val="Normal"/></w:pPr>
<w:r><w:t xml:space="preserve">purposes, the fattening of Irish stores being a business of</w:t></w:r>
</w:p>
<w:p>
<w:pPr><w:pStyle w:val="Normal"/></w:pPr>
<w:r><w:t xml:space="preserve">considerable magnitude in Norfolk and other counties.  Calves</w:t></w:r>
</w:p>
<w:p>
<w:pPr><w:pStyle w:val="Normal"/></w:pPr>
<w:r><w:t xml:space="preserve">constitute about one-twelfth of the total number of cattle.</w:t></w:r>
</w:p>
<w:p>
<w:pPr><w:pStyle w:val="Normal"/></w:pPr>
<w:r><w:t xml:space="preserve">TABLE XXV.--Imports of Live Stock from Ireland into Great</w:t></w:r>
</w:p>
<w:p>
<w:pPr><w:pStyle w:val="Normal"/></w:pPr>
<w:r><w:t xml:space="preserve">Britain, 1891-1905.</w:t></w:r>
</w:p>
<w:p>
<w:pPr><w:pStyle w:val="Normal"/></w:pPr>
<w:r><w:t xml:space="preserve">Year.   Cattle.   Sheep.      Pigs.     Horses.</w:t></w:r>
</w:p>
<w:p>
<w:pPr><w:pStyle w:val="Normal"/></w:pPr>
<w:r><w:t xml:space="preserve">1891    630,802     893,175   503,584   33,396</w:t></w:r>
</w:p>
<w:p>
<w:pPr><w:pStyle w:val="Normal"/></w:pPr>
<w:r><w:t xml:space="preserve">1892    624,457   1,080,202   500,951   32,481</w:t></w:r>
</w:p>
<w:p>
<w:pPr><w:pStyle w:val="Normal"/></w:pPr>
<w:r><w:t xml:space="preserve">1893    688,669   1,107,960   456,571   30,390</w:t></w:r>
</w:p>
<w:p>
<w:pPr><w:pStyle w:val="Normal"/></w:pPr>
<w:r><w:t xml:space="preserve">1894    826,954     957,101   584,967   33,589</w:t></w:r>
</w:p>
<w:p>
<w:pPr><w:pStyle w:val="Normal"/></w:pPr>
<w:r><w:t xml:space="preserve">1895    791,607     652,578   547,220   34,560</w:t></w:r>
</w:p>
<w:p>
<w:pPr><w:pStyle w:val="Normal"/></w:pPr>
<w:r><w:t xml:space="preserve">1896    681,560     737,306   610,589   39,856</w:t></w:r>
</w:p>
<w:p>
<w:pPr><w:pStyle w:val="Normal"/></w:pPr>
<w:r><w:t xml:space="preserve">1897    746,012     804,515   695,307   38,422</w:t></w:r>
</w:p>
<w:p>
<w:pPr><w:pStyle w:val="Normal"/></w:pPr>
<w:r><w:t xml:space="preserve">1898    803,362     833,458   588,785   38,804</w:t></w:r>
</w:p>
<w:p>
<w:pPr><w:pStyle w:val="Normal"/></w:pPr>
<w:r><w:t xml:space="preserve">1899    772,272     871,953   688,553   42,087</w:t></w:r>
</w:p>
<w:p>
<w:pPr><w:pStyle w:val="Normal"/></w:pPr>
<w:r><w:t xml:space="preserve">1900    745,519     862,263   715,202   35,606</w:t></w:r>
</w:p>
<w:p>
<w:pPr><w:pStyle w:val="Normal"/></w:pPr>
<w:r><w:t xml:space="preserve">1901    642,638     843,325   596,129   25,607</w:t></w:r>
</w:p>
<w:p>
<w:pPr><w:pStyle w:val="Normal"/></w:pPr>
<w:r><w:t xml:space="preserve">1902    959,241   1,055,802   637,972   25,260</w:t></w:r>
</w:p>
<w:p>
<w:pPr><w:pStyle w:val="Normal"/></w:pPr>
<w:r><w:t xml:space="preserve">1903    897,645     825,679   569,920   27,719</w:t></w:r>
</w:p>
<w:p>
<w:pPr><w:pStyle w:val="Normal"/></w:pPr>
<w:r><w:t xml:space="preserve">1904    772,363     739,266   505,080   27,500</w:t></w:r>
</w:p>
<w:p>
<w:pPr><w:pStyle w:val="Normal"/></w:pPr>
<w:r><w:t xml:space="preserve">1905    749,131     700,626   363,823   30,723</w:t></w:r>
</w:p>
<w:p>
<w:pPr><w:pStyle w:val="Normal"/></w:pPr>
<w:r><w:t xml:space="preserve">Most of the pigs sent from Ireland into Great Britain are fat,</w:t></w:r>
</w:p>
<w:p>
<w:pPr><w:pStyle w:val="Normal"/></w:pPr>
<w:r><w:t xml:space="preserve">the store pigs accounting for less than one-tenth of the total</w:t></w:r>
</w:p>
<w:p>
<w:pPr><w:pStyle w:val="Normal"/></w:pPr>
<w:r><w:t xml:space="preserve">number.  The returns from Ireland under the Diseases of Animals</w:t></w:r>
</w:p>
<w:p>
<w:pPr><w:pStyle w:val="Normal"/></w:pPr>
<w:r><w:t xml:space="preserve">Acts 1894 and 1896 are less significant than those of Great</w:t></w:r>
</w:p>
<w:p>
<w:pPr><w:pStyle w:val="Normal"/></w:pPr>
<w:r><w:t xml:space="preserve">Britain.  Thus, in the year ending June 1905, they included</w:t></w:r>
</w:p>
<w:p>
<w:pPr><w:pStyle w:val="Normal"/></w:pPr>
<w:r><w:t xml:space="preserve">4 outbreaks of anthrax, 219 of swine-fever and 343 of</w:t></w:r>
</w:p>
<w:p>
<w:pPr><w:pStyle w:val="Normal"/></w:pPr>
<w:r><w:t xml:space="preserve">sheep-scab, while there were no cases of rabies.  Compared</w:t></w:r>
</w:p>
<w:p>
<w:pPr><w:pStyle w:val="Normal"/></w:pPr>
<w:r><w:t xml:space="preserve">with the export trade in live stock from Ireland to Great</w:t></w:r>
</w:p>
<w:p>
<w:pPr><w:pStyle w:val="Normal"/></w:pPr>
<w:r><w:t xml:space="preserve">Britain the reciprocal trade from Great Britain to Ireland</w:t></w:r>
</w:p>
<w:p>
<w:pPr><w:pStyle w:val="Normal"/></w:pPr>
<w:r><w:t xml:space="preserve">is small, and is largely restricted to animals for breeding</w:t></w:r>
</w:p>
<w:p>
<w:pPr><w:pStyle w:val="Normal"/></w:pPr>
<w:r><w:t xml:space="preserve">purposes.  Owing to the reappearance of foot-and-mouth</w:t></w:r>
</w:p>
<w:p>
<w:pPr><w:pStyle w:val="Normal"/></w:pPr>
<w:r><w:t xml:space="preserve">disease in Great Britain early in 1900 the importation of</w:t></w:r>
</w:p>
<w:p>
<w:pPr><w:pStyle w:val="Normal"/></w:pPr>
<w:r><w:t xml:space="preserve">cattle, sheep, goats and swine therefrom into Ireland was</w:t></w:r>
</w:p>
<w:p>
<w:pPr><w:pStyle w:val="Normal"/></w:pPr>
<w:r><w:t xml:space="preserve">temporarily suspended by the authorities in the latter country.</w:t></w:r>
</w:p>
<w:p>
<w:pPr><w:pStyle w:val="Normal"/></w:pPr>
<w:r><w:t xml:space="preserve">Exports of Animals from the United Kingdom.</w:t></w:r>
</w:p>
<w:p>
<w:pPr><w:pStyle w:val="Normal"/></w:pPr>
<w:r><w:t xml:space="preserve">The general export trade of the United Kingdom in living animals</w:t></w:r>
</w:p>
<w:p>
<w:pPr><w:pStyle w:val="Normal"/></w:pPr>
<w:r><w:t xml:space="preserve">represented an aggregate average annual value over the five</w:t></w:r>
</w:p>
<w:p>
<w:pPr><w:pStyle w:val="Normal"/></w:pPr>
<w:r><w:t xml:space="preserve">years 1896-1900 of L. 1,017,000 as against L. 935,801 over the</w:t></w:r>
</w:p>
<w:p>
<w:pPr><w:pStyle w:val="Normal"/></w:pPr>
<w:r><w:t xml:space="preserve">five years 1901-1905.  To these sums the value of horses alone</w:t></w:r>
</w:p>
<w:p>
<w:pPr><w:pStyle w:val="Normal"/></w:pPr>
<w:r><w:t xml:space="preserve">contributed about three-fourths, Belgium taking more than half</w:t></w:r>
</w:p>
<w:p>
<w:pPr><w:pStyle w:val="Normal"/></w:pPr>
<w:r><w:t xml:space="preserve">the number of exported horses.  The export trade in cattle,</w:t></w:r>
</w:p>
<w:p>
<w:pPr><w:pStyle w:val="Normal"/></w:pPr>
<w:r><w:t xml:space="preserve">sheep and pigs is practically restricted to pedigree animals</w:t></w:r>
</w:p>
<w:p>
<w:pPr><w:pStyle w:val="Normal"/></w:pPr>
<w:r><w:t xml:space="preserve">required for breeding purposes, and though its aggregate value</w:t></w:r>
</w:p>
<w:p>
<w:pPr><w:pStyle w:val="Normal"/></w:pPr>
<w:r><w:t xml:space="preserve">TABLE XXVI.--Quantities and Value of Home-bred Live Stock</w:t></w:r>
</w:p>
<w:p>
<w:pPr><w:pStyle w:val="Normal"/></w:pPr>
<w:r><w:t xml:space="preserve">Exported from the United Kingdom, 1900-1905.</w:t></w:r>
</w:p>
<w:p>
<w:pPr><w:pStyle w:val="Normal"/></w:pPr>
<w:r><w:t xml:space="preserve">Other</w:t></w:r>
</w:p>
<w:p>
<w:pPr><w:pStyle w:val="Normal"/></w:pPr>
<w:r><w:t xml:space="preserve">Year.   Horses.   Cattle.   Sheep.    Pigs.   Animals.</w:t></w:r>
</w:p>
<w:p>
<w:pPr><w:pStyle w:val="Normal"/></w:pPr>
<w:r><w:t xml:space="preserve">1900    30,038    2,742     4,934     435     75,642</w:t></w:r>
</w:p>
<w:p>
<w:pPr><w:pStyle w:val="Normal"/></w:pPr>
<w:r><w:t xml:space="preserve">1901    27,612    1,648     2,761     378     68,012</w:t></w:r>
</w:p>
<w:p>
<w:pPr><w:pStyle w:val="Normal"/></w:pPr>
<w:r><w:t xml:space="preserve">1902    30,032    2,428     3,596     515     60,941</w:t></w:r>
</w:p>
<w:p>
<w:pPr><w:pStyle w:val="Normal"/></w:pPr>
<w:r><w:t xml:space="preserve">1903    34,798    2,736     5,579     776     52,095</w:t></w:r>
</w:p>
<w:p>
<w:pPr><w:pStyle w:val="Normal"/></w:pPr>
<w:r><w:t xml:space="preserve">1904    32,955    3,311     8,142     732     50,873</w:t></w:r>
</w:p>
<w:p>
<w:pPr><w:pStyle w:val="Normal"/></w:pPr>
<w:r><w:t xml:space="preserve">1905    47,708    3,938     8,378     931     50,307</w:t></w:r>
</w:p>
<w:p>
<w:pPr><w:pStyle w:val="Normal"/></w:pPr>
<w:r><w:t xml:space="preserve">pounds    pounds    pounds    pounds  pounds</w:t></w:r>
</w:p>
<w:p>
<w:pPr><w:pStyle w:val="Normal"/></w:pPr>
<w:r><w:t xml:space="preserve">1900    681,927   118,337    53,306   3032    45,241</w:t></w:r>
</w:p>
<w:p>
<w:pPr><w:pStyle w:val="Normal"/></w:pPr>
<w:r><w:t xml:space="preserve">1901    605,699    61,812    25,727   3437    45,476</w:t></w:r>
</w:p>
<w:p>
<w:pPr><w:pStyle w:val="Normal"/></w:pPr>
<w:r><w:t xml:space="preserve">1902    635,661    96,153    29,069   5053    56,691</w:t></w:r>
</w:p>
<w:p>
<w:pPr><w:pStyle w:val="Normal"/></w:pPr>
<w:r><w:t xml:space="preserve">1903    734,598   140,244    67,758   7053    48,335</w:t></w:r>
</w:p>
<w:p>
<w:pPr><w:pStyle w:val="Normal"/></w:pPr>
<w:r><w:t xml:space="preserve">1904    581,339   146,210    88,421   7850    43,868</w:t></w:r>
</w:p>
<w:p>
<w:pPr><w:pStyle w:val="Normal"/></w:pPr>
<w:r><w:t xml:space="preserve">1905    875,647   190,406   133,413   8024    41,061</w:t></w:r>
</w:p>
<w:p>
<w:pPr><w:pStyle w:val="Normal"/></w:pPr>
<w:r><w:t xml:space="preserve">is not large it is of considerable importance to stock-breeders,</w:t></w:r>
</w:p>
<w:p>
<w:pPr><w:pStyle w:val="Normal"/></w:pPr>
<w:r><w:t xml:space="preserve">as it is a frequent occurrence for buyers for export--to</w:t></w:r>
</w:p>
<w:p>
<w:pPr><w:pStyle w:val="Normal"/></w:pPr>
<w:r><w:t xml:space="preserve">Argentina, Australasia, Canada, the United States and</w:t></w:r>
</w:p>
<w:p>
<w:pPr><w:pStyle w:val="Normal"/></w:pPr>
<w:r><w:t xml:space="preserve">elsewhere--to bid freely at the sale rings, and often to pay</w:t></w:r>
</w:p>
<w:p>
<w:pPr><w:pStyle w:val="Normal"/></w:pPr>
<w:r><w:t xml:space="preserve">the highest prices, thus stimulating the sales and encouraging</w:t></w:r>
</w:p>
<w:p>
<w:pPr><w:pStyle w:val="Normal"/></w:pPr>
<w:r><w:t xml:space="preserve">the breeding of the best types of native stock.  Details</w:t></w:r>
</w:p>
<w:p>
<w:pPr><w:pStyle w:val="Normal"/></w:pPr>
<w:r><w:t xml:space="preserve">for the six years 1900-1905 are summarized in Table XXVI.</w:t></w:r>
</w:p>
<w:p>
<w:pPr><w:pStyle w:val="Normal"/></w:pPr>
<w:r><w:t xml:space="preserve">Implements and Machinery.</w:t></w:r>
</w:p>
<w:p>
<w:pPr><w:pStyle w:val="Normal"/></w:pPr>
<w:r><w:t xml:space="preserve">It is the custom of the Royal Agricultural Society of England</w:t></w:r>
</w:p>
<w:p>
<w:pPr><w:pStyle w:val="Normal"/></w:pPr>
<w:r><w:t xml:space="preserve">to invite competitions at its annual shows in specified</w:t></w:r>
</w:p>
<w:p>
<w:pPr><w:pStyle w:val="Normal"/></w:pPr>
<w:r><w:t xml:space="preserve">classes of implements, and an enumeration of these will</w:t></w:r>
</w:p>
<w:p>
<w:pPr><w:pStyle w:val="Normal"/></w:pPr>
<w:r><w:t xml:space="preserve">indicate the character of the appliances which were thus</w:t></w:r>
</w:p>
<w:p>
<w:pPr><w:pStyle w:val="Normal"/></w:pPr>
<w:r><w:t xml:space="preserve">brought into prominence in the latter years of the 19th and</w:t></w:r>
</w:p>
<w:p>
<w:pPr><w:pStyle w:val="Normal"/></w:pPr>
<w:r><w:t xml:space="preserve">the early years of the 20th century.  These trials taking</w:t></w:r>
</w:p>
<w:p>
<w:pPr><w:pStyle w:val="Normal"/></w:pPr>
<w:r><w:t xml:space="preserve">place, with few intermissions, year after year serve to direct</w:t></w:r>
</w:p>
<w:p>
<w:pPr><w:pStyle w:val="Normal"/></w:pPr>
<w:r><w:t xml:space="preserve">the public mind to the development, which is continually</w:t></w:r>
</w:p>
<w:p>
<w:pPr><w:pStyle w:val="Normal"/></w:pPr>
<w:r><w:t xml:space="preserve">in progress, of the mechanical aids to agriculture.  The</w:t></w:r>
</w:p>
<w:p>
<w:pPr><w:pStyle w:val="Normal"/></w:pPr>
<w:r><w:t xml:space="preserve">awards here summarized are quite distinct from those of</w:t></w:r>
</w:p>
<w:p>
<w:pPr><w:pStyle w:val="Normal"/></w:pPr>
<w:r><w:t xml:space="preserve">silver medals which are given by the society in the case</w:t></w:r>
</w:p>
<w:p>
<w:pPr><w:pStyle w:val="Normal"/></w:pPr>
<w:r><w:t xml:space="preserve">of articles possessing sufficient merit, which are entered</w:t></w:r>
</w:p>
<w:p>
<w:pPr><w:pStyle w:val="Normal"/></w:pPr>
<w:r><w:t xml:space="preserve">as ``new implements for agricultural or estate purposes.&apos;&apos;</w:t></w:r>
</w:p>
<w:p>
<w:pPr><w:pStyle w:val="Normal"/></w:pPr>
<w:r><w:t xml:space="preserve">In 1875, at Taunton, special prizes were awarded for</w:t></w:r>
</w:p>
<w:p>
<w:pPr><w:pStyle w:val="Normal"/></w:pPr>
<w:r><w:t xml:space="preserve">one-horse and two-horse mowing-machines, hay-making machines,</w:t></w:r>
</w:p>
<w:p>
<w:pPr><w:pStyle w:val="Normal"/></w:pPr>
<w:r><w:t xml:space="preserve">horse-rakes (self-acting and not self-acting), guards to</w:t></w:r>
</w:p>
<w:p>
<w:pPr><w:pStyle w:val="Normal"/></w:pPr>
<w:r><w:t xml:space="preserve">the drums of threshing-machines, and combined guards and</w:t></w:r>
</w:p>
<w:p>
<w:pPr><w:pStyle w:val="Normal"/></w:pPr>
<w:r><w:t xml:space="preserve">feeders to the drums of threshing-machines.  In 1876, at</w:t></w:r>
</w:p>
<w:p>
<w:pPr><w:pStyle w:val="Normal"/></w:pPr>
<w:r><w:t xml:space="preserve">Birmingham, the competitions were of self-delivery reapers,</w:t></w:r>
</w:p>
<w:p>
<w:pPr><w:pStyle w:val="Normal"/></w:pPr>
<w:r><w:t xml:space="preserve">one-horse reapers and combined mowers and reapers without</w:t></w:r>
</w:p>
<w:p>
<w:pPr><w:pStyle w:val="Normal"/></w:pPr>
<w:r><w:t xml:space="preserve">self-delivery.  In 1878, at Bristol, the special awards were</w:t></w:r>
</w:p>
<w:p>
<w:pPr><w:pStyle w:val="Normal"/></w:pPr>
<w:r><w:t xml:space="preserve">all for dairy appliances --milk-can for conveying milk long</w:t></w:r>
</w:p>
<w:p>
<w:pPr><w:pStyle w:val="Normal"/></w:pPr>
<w:r><w:t xml:space="preserve">distances, churn for milk, churn for cream, butter-worker for</w:t></w:r>
</w:p>
<w:p>
<w:pPr><w:pStyle w:val="Normal"/></w:pPr>
<w:r><w:t xml:space="preserve">large dairies, butterworker for small dairies, cheese-tub,</w:t></w:r>
</w:p>
<w:p>
<w:pPr><w:pStyle w:val="Normal"/></w:pPr>
<w:r><w:t xml:space="preserve">curd knife, curd mill, cheese-turning apparatus, automatic</w:t></w:r>
</w:p>
<w:p>
<w:pPr><w:pStyle w:val="Normal"/></w:pPr>
<w:r><w:t xml:space="preserve">means of preventing rising of cream, milk-cooler and cooling</w:t></w:r>
</w:p>
<w:p>
<w:pPr><w:pStyle w:val="Normal"/></w:pPr>
<w:r><w:t xml:space="preserve">vat.  A gold medal was awarded for a harvester and self-binder</w:t></w:r>
</w:p>
<w:p>
<w:pPr><w:pStyle w:val="Normal"/></w:pPr>
<w:r><w:t xml:space="preserve">(McCormick&apos;s).  In 1879, at Kilburn, the competition was of</w:t></w:r>
</w:p>
<w:p>
<w:pPr><w:pStyle w:val="Normal"/></w:pPr>
<w:r><w:t xml:space="preserve">railway waggons to convey perishable goods long distances</w:t></w:r>
</w:p>
<w:p>
<w:pPr><w:pStyle w:val="Normal"/></w:pPr>
<w:r><w:t xml:space="preserve">at low temperatures.  In 1880 at Carlisle, and in 1881 at</w:t></w:r>
</w:p>
<w:p>
<w:pPr><w:pStyle w:val="Normal"/></w:pPr>
<w:r><w:t xml:space="preserve">Derby, the special awards were for broadside steam-diggers</w:t></w:r>
</w:p>
<w:p>
<w:pPr><w:pStyle w:val="Normal"/></w:pPr>
<w:r><w:t xml:space="preserve">and string sheaf-binders respectively.  In 1882, at Reading,</w:t></w:r>
</w:p>
<w:p>
<w:pPr><w:pStyle w:val="Normal"/></w:pPr>
<w:r><w:t xml:space="preserve">a gold medal was given for a cream separator for horse</w:t></w:r>
</w:p>
<w:p>
<w:pPr><w:pStyle w:val="Normal"/></w:pPr>
<w:r><w:t xml:space="preserve">power, whilst a prize of 100 guineas offered for the most</w:t></w:r>
</w:p>
<w:p>
<w:pPr><w:pStyle w:val="Normal"/></w:pPr>
<w:r><w:t xml:space="preserve">efficient and most economical method of drying hay or corn</w:t></w:r>
</w:p>
<w:p>
<w:pPr><w:pStyle w:val="Normal"/></w:pPr>
<w:r><w:t xml:space="preserve">crops artificially, either before or after being stacked,</w:t></w:r>
</w:p>
<w:p>
<w:pPr><w:pStyle w:val="Normal"/></w:pPr>
<w:r><w:t xml:space="preserve">was not awarded.  In 1883, at York, a prize of L. 50 was</w:t></w:r>
</w:p>
<w:p>
<w:pPr><w:pStyle w:val="Normal"/></w:pPr>
<w:r><w:t xml:space="preserve">given for a butter dairy suitable for not more than twenty</w:t></w:r>
</w:p>
<w:p>
<w:pPr><w:pStyle w:val="Normal"/></w:pPr>
<w:r><w:t xml:space="preserve">cows.  In 1884, at Shrewsbury, a prize of L. 100 was awarded</w:t></w:r>
</w:p>
<w:p>
<w:pPr><w:pStyle w:val="Normal"/></w:pPr>
<w:r><w:t xml:space="preserve">for a sheaf-binding reaper, and one of L. 50 for a similar</w:t></w:r>
</w:p>
<w:p>
<w:pPr><w:pStyle w:val="Normal"/></w:pPr>
<w:r><w:t xml:space="preserve">machine.  In 1885, at Preston, the competitions were concerned</w:t></w:r>
</w:p>
<w:p>
<w:pPr><w:pStyle w:val="Normal"/></w:pPr>
<w:r><w:t xml:space="preserve">with two-horse, three-horse and four-horse whipple-trees,</w:t></w:r>
</w:p>
<w:p>
<w:pPr><w:pStyle w:val="Normal"/></w:pPr>
<w:r><w:t xml:space="preserve">and packages for conveying fresh butter by rail.  In 1886,</w:t></w:r>
</w:p>
<w:p>
<w:pPr><w:pStyle w:val="Normal"/></w:pPr>
<w:r><w:t xml:space="preserve">at Norwich, a prize of L. 25 was awarded for a thatch-making</w:t></w:r>
</w:p>
<w:p>
<w:pPr><w:pStyle w:val="Normal"/></w:pPr>
<w:r><w:t xml:space="preserve">machine.  In 1887, at Newcastle-on-Tyne, a prize of L. 200 went</w:t></w:r>
</w:p>
<w:p>
<w:pPr><w:pStyle w:val="Normal"/></w:pPr>
<w:r><w:t xml:space="preserve">to a compound portable agricultural engine, one of L. 100 to</w:t></w:r>
</w:p>
<w:p>
<w:pPr><w:pStyle w:val="Normal"/></w:pPr>
<w:r><w:t xml:space="preserve">a simple portable agricultural engine, and lesser prizes to</w:t></w:r>
</w:p>
<w:p>
<w:pPr><w:pStyle w:val="Normal"/></w:pPr>
<w:r><w:t xml:space="preserve">a weighing-machine for horses and cattle, a weighing-machine</w:t></w:r>
</w:p>
<w:p>
<w:pPr><w:pStyle w:val="Normal"/></w:pPr>
<w:r><w:t xml:space="preserve">for sheep and pigs, potato-raisers and one-man-power cream</w:t></w:r>
</w:p>
<w:p>
<w:pPr><w:pStyle w:val="Normal"/></w:pPr>
<w:r><w:t xml:space="preserve">separators.  In 1888, at Nottingham, hay and straw presses for</w:t></w:r>
</w:p>
<w:p>
<w:pPr><w:pStyle w:val="Normal"/></w:pPr>
<w:r><w:t xml:space="preserve">steam-power, horse-power and hand-power were the subjects of</w:t></w:r>
</w:p>
<w:p>
<w:pPr><w:pStyle w:val="Normal"/></w:pPr>
<w:r><w:t xml:space="preserve">competition.  In 1889, at Windsor, prizes were awarded</w:t></w:r>
</w:p>
<w:p>
<w:pPr><w:pStyle w:val="Normal"/></w:pPr>
<w:r><w:t xml:space="preserve">for a fruit and vegetable evaporator, a paring and coring</w:t></w:r>
</w:p>
<w:p>
<w:pPr><w:pStyle w:val="Normal"/></w:pPr>
<w:r><w:t xml:space="preserve">machine, a dairy thermometer, parcel post butter-boxes to</w:t></w:r>
</w:p>
<w:p>
<w:pPr><w:pStyle w:val="Normal"/></w:pPr>
<w:r><w:t xml:space="preserve">carry different weights. and a vessel to contain preserved</w:t></w:r>
</w:p>
<w:p>
<w:pPr><w:pStyle w:val="Normal"/></w:pPr>
<w:r><w:t xml:space="preserve">butter.  In 1890, at Plymouth, competitions took place</w:t></w:r>
</w:p>
<w:p>
<w:pPr><w:pStyle w:val="Normal"/></w:pPr>
<w:r><w:t xml:space="preserve">of light portable engines (a) using solid fuel, (b)</w:t></w:r>
</w:p>
<w:p>
<w:pPr><w:pStyle w:val="Normal"/></w:pPr>
<w:r><w:t xml:space="preserve">using liquid or gaseous fuel, grist mills for use on a</w:t></w:r>
</w:p>
<w:p>
<w:pPr><w:pStyle w:val="Normal"/></w:pPr>
<w:r><w:t xml:space="preserve">farm, disintegrators, and cider-making plant for use on a</w:t></w:r>
</w:p>
<w:p>
<w:pPr><w:pStyle w:val="Normal"/></w:pPr>
<w:r><w:t xml:space="preserve">farm.  In 1891, at Doncaster, special prizes were given</w:t></w:r>
</w:p>
<w:p>
<w:pPr><w:pStyle w:val="Normal"/></w:pPr>
<w:r><w:t xml:space="preserve">for combined portable threshing and finishing machines, and</w:t></w:r>
</w:p>
<w:p>
<w:pPr><w:pStyle w:val="Normal"/></w:pPr>
<w:r><w:t xml:space="preserve">cream separators (hand and power).  In 1892, at Warwick,</w:t></w:r>
</w:p>
<w:p>
<w:pPr><w:pStyle w:val="Normal"/></w:pPr>
<w:r><w:t xml:space="preserve">the competitions related to ploughs--single furrow (a) for</w:t></w:r>
</w:p>
<w:p>
<w:pPr><w:pStyle w:val="Normal"/></w:pPr>
<w:r><w:t xml:space="preserve">light land, (b) for strong land, (c) for press drill and</w:t></w:r>
</w:p>
<w:p>
<w:pPr><w:pStyle w:val="Normal"/></w:pPr>
<w:r><w:t xml:space="preserve">broad-cast sowing; two-furrow; three-furrow; digging (a)</w:t></w:r>
</w:p>
<w:p>
<w:pPr><w:pStyle w:val="Normal"/></w:pPr>
<w:r><w:t xml:space="preserve">for light land, (b) for heavy land; and one-way ploughs.  In</w:t></w:r>
</w:p>
<w:p>
<w:pPr><w:pStyle w:val="Normal"/></w:pPr>
<w:r><w:t xml:space="preserve">1893, at Chester, self-binding harvesters and sheep-shearing</w:t></w:r>
</w:p>
<w:p>
<w:pPr><w:pStyle w:val="Normal"/></w:pPr>
<w:r><w:t xml:space="preserve">machines (power) were the appliances respectively in</w:t></w:r>
</w:p>
<w:p>
<w:pPr><w:pStyle w:val="Normal"/></w:pPr>
<w:r><w:t xml:space="preserve">competition.  In 1894, at Cambridge, the awards were for fixed</w:t></w:r>
</w:p>
<w:p>
<w:pPr><w:pStyle w:val="Normal"/></w:pPr>
<w:r><w:t xml:space="preserve">and portable oil engines, potato-spraying and tree-spraying</w:t></w:r>
</w:p>
<w:p>
<w:pPr><w:pStyle w:val="Normal"/></w:pPr>
<w:r><w:t xml:space="preserve">machines, sheep-dipping apparatus and churns.  In 1895, at</w:t></w:r>
</w:p>
<w:p>
<w:pPr><w:pStyle w:val="Normal"/></w:pPr>
<w:r><w:t xml:space="preserve">Darlington, the competitions were confined to hay-making</w:t></w:r>
</w:p>
<w:p>
<w:pPr><w:pStyle w:val="Normal"/></w:pPr>
<w:r><w:t xml:space="preserve">machines and clover-making machines.  In 1896, at Leicester,</w:t></w:r>
</w:p>
<w:p>
<w:pPr><w:pStyle w:val="Normal"/></w:pPr>
<w:r><w:t xml:space="preserve">prizes were awarded after trial to potato-planting machines,</w:t></w:r>
</w:p>
<w:p>
<w:pPr><w:pStyle w:val="Normal"/></w:pPr>
<w:r><w:t xml:space="preserve">potato-raising machines and butter-drying machines.  In 1897,</w:t></w:r>
</w:p>
<w:p>
<w:pPr><w:pStyle w:val="Normal"/></w:pPr>
<w:r><w:t xml:space="preserve">at Manchester, special awards were made for fruit baskets and</w:t></w:r>
</w:p>
<w:p>
<w:pPr><w:pStyle w:val="Normal"/></w:pPr>
<w:r><w:t xml:space="preserve">milk-testers.  In 1898, at Birmingham, a prize of L. 100 was</w:t></w:r>
</w:p>
<w:p>
<w:pPr><w:pStyle w:val="Normal"/></w:pPr>
<w:r><w:t xml:space="preserve">given for a self-moving vehicle for light loads, L. 100 and</w:t></w:r>
</w:p>
<w:p>
<w:pPr><w:pStyle w:val="Heading1"/></w:pPr>
<w:r><w:t>L. 50 for self-moving vehicles for heavy loads, and L. 10 for</w:t></w:r>
</w:p>
<w:p>
<w:pPr><w:pStyle w:val="Normal"/></w:pPr>
<w:r><w:t xml:space="preserve">safety feeder to chaff-cutter, in accordance with the</w:t></w:r>
</w:p>
<w:p>
<w:pPr><w:pStyle w:val="Normal"/></w:pPr>
<w:r><w:t xml:space="preserve">Chaff-cutting Machines (Accidents) Act 1897.  In 1899, at</w:t></w:r>
</w:p>
<w:p>
<w:pPr><w:pStyle w:val="Normal"/></w:pPr>
<w:r><w:t xml:space="preserve">Maidstone, special prizes were offered for machines for washing</w:t></w:r>
</w:p>
<w:p>
<w:pPr><w:pStyle w:val="Normal"/></w:pPr>
<w:r><w:t xml:space="preserve">hops with liquid insecticides, cream separators (power and</w:t></w:r>
</w:p>
<w:p>
<w:pPr><w:pStyle w:val="Normal"/></w:pPr>
<w:r><w:t xml:space="preserve">hand), machines for the evaporation of fruit and vegetables,</w:t></w:r>
</w:p>
<w:p>
<w:pPr><w:pStyle w:val="Normal"/></w:pPr>
<w:r><w:t xml:space="preserve">and packages for the carriage of (a) soft fruit, (b) hard</w:t></w:r>
</w:p>
<w:p>
<w:pPr><w:pStyle w:val="Normal"/></w:pPr>
<w:r><w:t xml:space="preserve">fruit.  In 1900, at York, the competitions were concerned</w:t></w:r>
</w:p>
<w:p>
<w:pPr><w:pStyle w:val="Normal"/></w:pPr>
<w:r><w:t xml:space="preserve">with horse-power cultivators, self-moving steam diggers,</w:t></w:r>
</w:p>
<w:p>
<w:pPr><w:pStyle w:val="Normal"/></w:pPr>
<w:r><w:t xml:space="preserve">milking machines and sheep-shearing machines (power and</w:t></w:r>
</w:p>
<w:p>
<w:pPr><w:pStyle w:val="Normal"/></w:pPr>
<w:r><w:t xml:space="preserve">hand).  In 1901, at Cardiff, competition was invited in portable</w:t></w:r>
</w:p>
<w:p>
<w:pPr><w:pStyle w:val="Normal"/></w:pPr>
<w:r><w:t xml:space="preserve">oil engines, agricultural locomotive oil engines and small</w:t></w:r>
</w:p>
<w:p>
<w:pPr><w:pStyle w:val="Normal"/></w:pPr>
<w:r><w:t xml:space="preserve">ice-making plant suitable for a dairy.  In the years 1903 and</w:t></w:r>
</w:p>
<w:p>
<w:pPr><w:pStyle w:val="Normal"/></w:pPr>
<w:r><w:t xml:space="preserve">1904 petrol motors adapted for ploughing and other agricultural</w:t></w:r>
</w:p>
<w:p>
<w:pPr><w:pStyle w:val="Normal"/></w:pPr>
<w:r><w:t xml:space="preserve">operations formed a prominent feature of the exhibits.</w:t></w:r>
</w:p>
<w:p>
<w:pPr><w:pStyle w:val="Normal"/></w:pPr>
<w:r><w:t xml:space="preserve">The progress of steam cultivation has not justified the hopes</w:t></w:r>
</w:p>
<w:p>
<w:pPr><w:pStyle w:val="Normal"/></w:pPr>
<w:r><w:t xml:space="preserve">that were once entertained in the United Kingdom concerning</w:t></w:r>
</w:p>
<w:p>
<w:pPr><w:pStyle w:val="Normal"/></w:pPr>
<w:r><w:t xml:space="preserve">this method of working implements in the field.  It was about</w:t></w:r>
</w:p>
<w:p>
<w:pPr><w:pStyle w:val="Normal"/></w:pPr>
<w:r><w:t xml:space="preserve">the year 1870 that its advantages first came into prominent</w:t></w:r>
</w:p>
<w:p>
<w:pPr><w:pStyle w:val="Normal"/></w:pPr>
<w:r><w:t xml:space="preserve">notice.  At that time, owing to labour disputes, the supply of</w:t></w:r>
</w:p>
<w:p>
<w:pPr><w:pStyle w:val="Normal"/></w:pPr>
<w:r><w:t xml:space="preserve">hands was short and horses were dear.  The wet seasons that set</w:t></w:r>
</w:p>
<w:p>
<w:pPr><w:pStyle w:val="Normal"/></w:pPr>
<w:r><w:t xml:space="preserve">in at the end of the &apos;seventies led to so much hindrance in the</w:t></w:r>
</w:p>
<w:p>
<w:pPr><w:pStyle w:val="Normal"/></w:pPr>
<w:r><w:t xml:space="preserve">work on the land that the aid of steam was further called for,</w:t></w:r>
</w:p>
<w:p>
<w:pPr><w:pStyle w:val="Normal"/></w:pPr>
<w:r><w:t xml:space="preserve">and it seemed probable that there would be a lessened demand</w:t></w:r>
</w:p>
<w:p>
<w:pPr><w:pStyle w:val="Normal"/></w:pPr>
<w:r><w:t xml:space="preserve">for horse power.  It was found, however, that the steam work</w:t></w:r>
</w:p>
<w:p>
<w:pPr><w:pStyle w:val="Normal"/></w:pPr>
<w:r><w:t xml:space="preserve">was done with less care than had been bestowed upon the horse</w:t></w:r>
</w:p>
<w:p>
<w:pPr><w:pStyle w:val="Normal"/></w:pPr>
<w:r><w:t xml:space="preserve">tillage, and the result was that steam came to be regarded as</w:t></w:r>
</w:p>
<w:p>
<w:pPr><w:pStyle w:val="Normal"/></w:pPr>
<w:r><w:t xml:space="preserve">an auxiliary to horse labour rather than as a substitute for</w:t></w:r>
</w:p>
<w:p>
<w:pPr><w:pStyle w:val="Normal"/></w:pPr>
<w:r><w:t xml:space="preserve">it.  In this capacity it is capable of rendering most valuable</w:t></w:r>
</w:p>
<w:p>
<w:pPr><w:pStyle w:val="Normal"/></w:pPr>
<w:r><w:t xml:space="preserve">assistance, for it can be utilized in moving extensive areas</w:t></w:r>
</w:p>
<w:p>
<w:pPr><w:pStyle w:val="Normal"/></w:pPr>
<w:r><w:t xml:space="preserve">of land in a very short time.  Accordingly, when a few days</w:t></w:r>
</w:p>
<w:p>
<w:pPr><w:pStyle w:val="Normal"/></w:pPr>
<w:r><w:t xml:space="preserve">occur early in the season favourable to the working of the</w:t></w:r>
</w:p>
<w:p>
<w:pPr><w:pStyle w:val="Normal"/></w:pPr>
<w:r><w:t xml:space="preserve">land, much of it can be got into a forward condition, whilst</w:t></w:r>
</w:p>
<w:p>
<w:pPr><w:pStyle w:val="Normal"/></w:pPr>
<w:r><w:t xml:space="preserve">horses are set free for the lighter operations.  The crops</w:t></w:r>
</w:p>
<w:p>
<w:pPr><w:pStyle w:val="Normal"/></w:pPr>
<w:r><w:t xml:space="preserve">can then be sown in due time, which in wet years, and with</w:t></w:r>
</w:p>
<w:p>
<w:pPr><w:pStyle w:val="Normal"/></w:pPr>
<w:r><w:t xml:space="preserve">the usual teams of horses kept on a farm, is not always</w:t></w:r>
</w:p>
<w:p>
<w:pPr><w:pStyle w:val="Normal"/></w:pPr>
<w:r><w:t xml:space="preserve">practicable.  Much advantage arises from the steam working of</w:t></w:r>
</w:p>
<w:p>
<w:pPr><w:pStyle w:val="Normal"/></w:pPr>
<w:r><w:t xml:space="preserve">bastard fallows in summer, and after harvest a considerable</w:t></w:r>
</w:p>
<w:p>
<w:pPr><w:pStyle w:val="Normal"/></w:pPr>
<w:r><w:t xml:space="preserve">amount of autumn cultivation can be done by steam power,</w:t></w:r>
</w:p>
<w:p>
<w:pPr><w:pStyle w:val="Normal"/></w:pPr>
<w:r><w:t xml:space="preserve">thus materially lightening the work in the succeeding</w:t></w:r>
</w:p>
<w:p>
<w:pPr><w:pStyle w:val="Normal"/></w:pPr>
<w:r><w:t xml:space="preserve">spring.  On farms of moderate size it is usual to hire steam</w:t></w:r>
</w:p>
<w:p>
<w:pPr><w:pStyle w:val="Normal"/></w:pPr>
<w:r><w:t xml:space="preserve">tackle as required, the outlay involved in the purchase of</w:t></w:r>
</w:p>
<w:p>
<w:pPr><w:pStyle w:val="Normal"/></w:pPr>
<w:r><w:t xml:space="preserve">a set being justifiable only in the case of estates or of</w:t></w:r>
</w:p>
<w:p>
<w:pPr><w:pStyle w:val="Normal"/></w:pPr>
<w:r><w:t xml:space="preserve">very big farms where, when not engaged in ploughing, or in</w:t></w:r>
</w:p>
<w:p>
<w:pPr><w:pStyle w:val="Normal"/></w:pPr>
<w:r><w:t xml:space="preserve">cultivating, or in other work upon the land, the steam-engine</w:t></w:r>
</w:p>
<w:p>
<w:pPr><w:pStyle w:val="Normal"/></w:pPr>
<w:r><w:t xml:space="preserve">may be employed in threshing, chaff-cutting, sawing and many</w:t></w:r>
</w:p>
<w:p>
<w:pPr><w:pStyle w:val="Normal"/></w:pPr>
<w:r><w:t xml:space="preserve">similar operations which require power.  The labour question</w:t></w:r>
</w:p>
<w:p>
<w:pPr><w:pStyle w:val="Normal"/></w:pPr>
<w:r><w:t xml:space="preserve">again became acute in the early years of the 20th century,</w:t></w:r>
</w:p>
<w:p>
<w:pPr><w:pStyle w:val="Normal"/></w:pPr>
<w:r><w:t xml:space="preserve">when, owing to the scarcity of hands and the high rate of</w:t></w:r>
</w:p>
<w:p>
<w:pPr><w:pStyle w:val="Normal"/></w:pPr>
<w:r><w:t xml:space="preserve">wages, self-binding harvesters were resorted to in England</w:t></w:r>
</w:p>
<w:p>
<w:pPr><w:pStyle w:val="Normal"/></w:pPr>
<w:r><w:t xml:space="preserve">for the in-gathering of the corn crops to a greater extent</w:t></w:r>
</w:p>
<w:p>
<w:pPr><w:pStyle w:val="Normal"/></w:pPr>
<w:r><w:t xml:space="preserve">than ever before.  For the same reason potato-planting and</w:t></w:r>
</w:p>
<w:p>
<w:pPr><w:pStyle w:val="Normal"/></w:pPr>
<w:r><w:t xml:space="preserve">potato-lifting machines were also in greater requisition.</w:t></w:r>
</w:p>
<w:p>
<w:pPr><w:pStyle w:val="Normal"/></w:pPr>
<w:r><w:t xml:space="preserve">Agricultural Population and Wages.</w:t></w:r>
</w:p>
<w:p>
<w:pPr><w:pStyle w:val="Normal"/></w:pPr>
<w:r><w:t xml:space="preserve">The last half of the 19th century witnessed a remarkable</w:t></w:r>
</w:p>
<w:p>
<w:pPr><w:pStyle w:val="Normal"/></w:pPr>
<w:r><w:t xml:space="preserve">diminution of the British rural population.  The decrease</w:t></w:r>
</w:p>
<w:p>
<w:pPr><w:pStyle w:val="Normal"/></w:pPr>
<w:r><w:t xml:space="preserve">has assumed serious proportions since 1871, as before that</w:t></w:r>
</w:p>
<w:p>
<w:pPr><w:pStyle w:val="Normal"/></w:pPr>
<w:r><w:t xml:space="preserve">date the supply of rural labour exceeded the demand.  A</w:t></w:r>
</w:p>
<w:p>
<w:pPr><w:pStyle w:val="Normal"/></w:pPr>
<w:r><w:t xml:space="preserve">large number of agricultural labourers were thus only in</w:t></w:r>
</w:p>
<w:p>
<w:pPr><w:pStyle w:val="Normal"/></w:pPr>
<w:r><w:t xml:space="preserve">partial employment, and their withdrawal from the land</w:t></w:r>
</w:p>
<w:p>
<w:pPr><w:pStyle w:val="Normal"/></w:pPr>
<w:r><w:t xml:space="preserve">was of minor importance as compared with the shrinkage in</w:t></w:r>
</w:p>
<w:p>
<w:pPr><w:pStyle w:val="Normal"/></w:pPr>
<w:r><w:t xml:space="preserve">the number of those permanently employed.  The following</w:t></w:r>
</w:p>
<w:p>
<w:pPr><w:pStyle w:val="Normal"/></w:pPr>
<w:r><w:t xml:space="preserve">tables indicate the extent of rural depopulation:--</w:t></w:r>
</w:p>
<w:p>
<w:pPr><w:pStyle w:val="Normal"/></w:pPr>
<w:r><w:t xml:space="preserve">Number of ``Persons Engaged in Agriculture&apos;&apos; in the United</w:t></w:r>
</w:p>
<w:p>
<w:pPr><w:pStyle w:val="Normal"/></w:pPr>
<w:r><w:t xml:space="preserve">Kingdom, 1851-1901.</w:t></w:r>
</w:p>
<w:p>
<w:pPr><w:pStyle w:val="Normal"/></w:pPr>
<w:r><w:t xml:space="preserve">1851.      1861.      1871.      1881.      1891.      1901.</w:t></w:r>
</w:p>
<w:p>
<w:pPr><w:pStyle w:val="Normal"/></w:pPr>
<w:r><w:t xml:space="preserve">3,453,500  3,080,500  2,744,000  2,573,900  2,394,500  2,262,600</w:t></w:r>
</w:p>
<w:p>
<w:pPr><w:pStyle w:val="Normal"/></w:pPr>
<w:r><w:t xml:space="preserve">The number of ``agricultural labourers and shepherds, which affords</w:t></w:r>
</w:p>
<w:p>
<w:pPr><w:pStyle w:val="Normal"/></w:pPr>
<w:r><w:t xml:space="preserve">a more precise index, declined in a still more marked degree.</w:t></w:r>
</w:p>
<w:p>
<w:pPr><w:pStyle w:val="Normal"/></w:pPr>
<w:r><w:t xml:space="preserve">1851.      1861.      1871.    1881.    1891.    1901.</w:t></w:r>
</w:p>
<w:p>
<w:pPr><w:pStyle w:val="Normal"/></w:pPr>
<w:r><w:t xml:space="preserve">1,110,311  1,098,261  923,332  830,452  756,557  609,105</w:t></w:r>
</w:p>
<w:p>
<w:pPr><w:pStyle w:val="Normal"/></w:pPr>
<w:r><w:t xml:space="preserve">The decrease in the demand for labour is attributable</w:t></w:r>
</w:p>
<w:p>
<w:pPr><w:pStyle w:val="Normal"/></w:pPr>
<w:r><w:t xml:space="preserve">chiefly to the reduction of the cultivated area and the</w:t></w:r>
</w:p>
<w:p>
<w:pPr><w:pStyle w:val="Normal"/></w:pPr>
<w:r><w:t xml:space="preserve">laying down to pasture of land once under the plough, and</w:t></w:r>
</w:p>
<w:p>
<w:pPr><w:pStyle w:val="Normal"/></w:pPr>
<w:r><w:t xml:space="preserve">to the increasing use of agricultural machinery.  It may</w:t></w:r>
</w:p>
<w:p>
<w:pPr><w:pStyle w:val="Normal"/></w:pPr>
<w:r><w:t xml:space="preserve">however, be noticed that the period was marked by a steady</w:t></w:r>
</w:p>
<w:p>
<w:pPr><w:pStyle w:val="Normal"/></w:pPr>
<w:r><w:t xml:space="preserve">increase of the cash wages of the farm labourer, as indicated</w:t></w:r>
</w:p>
<w:p>
<w:pPr><w:pStyle w:val="Normal"/></w:pPr>
<w:r><w:t xml:space="preserve">by the following table from the Report on the Earnings of</w:t></w:r>
</w:p>
<w:p>
<w:pPr><w:pStyle w:val="Normal"/></w:pPr>
<w:r><w:t xml:space="preserve">Agricultural labourers issued by the Board of Trade in 1905.</w:t></w:r>
</w:p>
<w:p>
<w:pPr><w:pStyle w:val="Normal"/></w:pPr>
<w:r><w:t xml:space="preserve">Average Weekly Cash Wages of Ordinary Agricultural</w:t></w:r>
</w:p>
<w:p>
<w:pPr><w:pStyle w:val="Normal"/></w:pPr>
<w:r><w:t xml:space="preserve">Labourers Employed on Certain Farms in England and Wales.</w:t></w:r>
</w:p>
<w:p>
<w:pPr><w:pStyle w:val="Normal"/></w:pPr>
<w:r><w:t xml:space="preserve">England and Wales,   Eastern counties,</w:t></w:r>
</w:p>
<w:p>
<w:pPr><w:pStyle w:val="Normal"/></w:pPr>
<w:r><w:t xml:space="preserve">Year.      69 Farms.             12 Farms.</w:t></w:r>
</w:p>
<w:p>
<w:pPr><w:pStyle w:val="Normal"/></w:pPr>
<w:r><w:t xml:space="preserve">s.  d.                s.  d.</w:t></w:r>
</w:p>
<w:p>
<w:pPr><w:pStyle w:val="Normal"/></w:pPr>
<w:r><w:t xml:space="preserve">1850        9   3 1/2             8   8</w:t></w:r>
</w:p>
<w:p>
<w:pPr><w:pStyle w:val="Normal"/></w:pPr>
<w:r><w:t xml:space="preserve">1855       10  11 1/2            11   5</w:t></w:r>
</w:p>
<w:p>
<w:pPr><w:pStyle w:val="Normal"/></w:pPr>
<w:r><w:t xml:space="preserve">1860       10  11                10   8</w:t></w:r>
</w:p>
<w:p>
<w:pPr><w:pStyle w:val="Normal"/></w:pPr>
<w:r><w:t xml:space="preserve">1865       11   3                10   5</w:t></w:r>
</w:p>
<w:p>
<w:pPr><w:pStyle w:val="Normal"/></w:pPr>
<w:r><w:t xml:space="preserve">1870       11  10 1/2            11   1 1/2</w:t></w:r>
</w:p>
<w:p>
<w:pPr><w:pStyle w:val="Normal"/></w:pPr>
<w:r><w:t xml:space="preserve">1875       13   7                12  11 1/2</w:t></w:r>
</w:p>
<w:p>
<w:pPr><w:pStyle w:val="Normal"/></w:pPr>
<w:r><w:t xml:space="preserve">1880       13   2 1/2            12   1</w:t></w:r>
</w:p>
<w:p>
<w:pPr><w:pStyle w:val="Normal"/></w:pPr>
<w:r><w:t xml:space="preserve">1885       13   1                11   5</w:t></w:r>
</w:p>
<w:p>
<w:pPr><w:pStyle w:val="Normal"/></w:pPr>
<w:r><w:t xml:space="preserve">1890       13   0 1/2            11   0 1/2</w:t></w:r>
</w:p>
<w:p>
<w:pPr><w:pStyle w:val="Normal"/></w:pPr>
<w:r><w:t xml:space="preserve">1895       13   2 1/2            11   0</w:t></w:r>
</w:p>
<w:p>
<w:pPr><w:pStyle w:val="Normal"/></w:pPr>
<w:r><w:t xml:space="preserve">1900       14   5 1/2            13   1 1/2</w:t></w:r>
</w:p>
<w:p>
<w:pPr><w:pStyle w:val="Normal"/></w:pPr>
<w:r><w:t xml:space="preserve">1903       14   7                13   2 1/2</w:t></w:r>
</w:p>
<w:p>
<w:pPr><w:pStyle w:val="Normal"/></w:pPr>
<w:r><w:t xml:space="preserve">(See also ALLOTMENTS AND SMALL HOLDINGS.)</w:t></w:r>
</w:p>
<w:p>
<w:pPr><w:pStyle w:val="Normal"/></w:pPr>
<w:r><w:t xml:space="preserve">Agricultural Education.</w:t></w:r>
</w:p>
<w:p>
<w:pPr><w:pStyle w:val="Normal"/></w:pPr>
<w:r><w:t xml:space="preserve">In Great Britain agricultural education as a whole lacks</w:t></w:r>
</w:p>
<w:p>
<w:pPr><w:pStyle w:val="Normal"/></w:pPr>
<w:r><w:t xml:space="preserve">the scope and co-ordination which it has in some continental</w:t></w:r>
</w:p>
<w:p>
<w:pPr><w:pStyle w:val="Normal"/></w:pPr>
<w:r><w:t xml:space="preserve">countries.  Centres at which higher agricultural education</w:t></w:r>
</w:p>
<w:p>
<w:pPr><w:pStyle w:val="Normal"/></w:pPr>
<w:r><w:t xml:space="preserve">is given are, however, numerous.  The chief are:--</w:t></w:r>
</w:p>
<w:p>
<w:pPr><w:pStyle w:val="Normal"/></w:pPr>
<w:r><w:t xml:space="preserve">The Royal Agricultural College, Cirencester</w:t></w:r>
</w:p>
<w:p>
<w:pPr><w:pStyle w:val="Normal"/></w:pPr>
<w:r><w:t xml:space="preserve">Aspatria Agricultural College, Carlisle.</w:t></w:r>
</w:p>
<w:p>
<w:pPr><w:pStyle w:val="Normal"/></w:pPr>
<w:r><w:t xml:space="preserve">Tamworth Agricultural College.</w:t></w:r>
</w:p>
<w:p>
<w:pPr><w:pStyle w:val="Normal"/></w:pPr>
<w:r><w:t xml:space="preserve">*Agricultural and Horticultural College, Uckfield, Sussex.</w:t></w:r>
</w:p>
<w:p>
<w:pPr><w:pStyle w:val="Normal"/></w:pPr>
<w:r><w:t xml:space="preserve">*Agricultural and Horticultural College, Holme Chapel, Cheshire.</w:t></w:r>
</w:p>
<w:p>
<w:pPr><w:pStyle w:val="Normal"/></w:pPr>
<w:r><w:t xml:space="preserve">*Midland Agricultural and Dairy College, Kingston, Derby.</w:t></w:r>
</w:p>
<w:p>
<w:pPr><w:pStyle w:val="Normal"/></w:pPr>
<w:r><w:t xml:space="preserve">*Harper-Adams Agricultural College, Newport, Salop.</w:t></w:r>
</w:p>
<w:p>
<w:pPr><w:pStyle w:val="Normal"/></w:pPr>
<w:r><w:t xml:space="preserve">*Lancashire County School, Harris Institute, Preston.</w:t></w:r>
</w:p>
<w:p>
<w:pPr><w:pStyle w:val="Normal"/></w:pPr>
<w:r><w:t xml:space="preserve">*University College of North Wales, Bangor.</w:t></w:r>
</w:p>
<w:p>
<w:pPr><w:pStyle w:val="Normal"/></w:pPr>
<w:r><w:t xml:space="preserve">*University of Leeds.</w:t></w:r>
</w:p>
<w:p>
<w:pPr><w:pStyle w:val="Normal"/></w:pPr>
<w:r><w:t xml:space="preserve">*Armstrong College, Newcastle-on-Tyne.</w:t></w:r>
</w:p>
<w:p>
<w:pPr><w:pStyle w:val="Normal"/></w:pPr>
<w:r><w:t xml:space="preserve">*Cambridge University.</w:t></w:r>
</w:p>
<w:p>
<w:pPr><w:pStyle w:val="Normal"/></w:pPr>
<w:r><w:t xml:space="preserve">*University College, Reading.</w:t></w:r>
</w:p>
<w:p>
<w:pPr><w:pStyle w:val="Normal"/></w:pPr>
<w:r><w:t xml:space="preserve">*South-Eastern Agricultural College, Wye.</w:t></w:r>
</w:p>
<w:p>
<w:pPr><w:pStyle w:val="Normal"/></w:pPr>
<w:r><w:t xml:space="preserve">*University College of Wales, Aberystwyth.</w:t></w:r>
</w:p>
<w:p>
<w:pPr><w:pStyle w:val="Normal"/></w:pPr>
<w:r><w:t xml:space="preserve">*Agricultural Institute, Ridgmont (Bedfordshire County Council).</w:t></w:r>
</w:p>
<w:p>
<w:pPr><w:pStyle w:val="Normal"/></w:pPr>
<w:r><w:t xml:space="preserve">*Essex County Technical Laboratories, Chelmsford.</w:t></w:r>
</w:p>
<w:p>
<w:pPr><w:pStyle w:val="Normal"/></w:pPr>
<w:r><w:t xml:space="preserve">In the year 1904-1905 L. 10,600 was devoted by the Board of</w:t></w:r>
</w:p>
<w:p>
<w:pPr><w:pStyle w:val="Normal"/></w:pPr>
<w:r><w:t xml:space="preserve">Agriculture to agricultural instruction and experiments.  Of</w:t></w:r>
</w:p>
<w:p>
<w:pPr><w:pStyle w:val="Normal"/></w:pPr>
<w:r><w:t xml:space="preserve">this sum the greater part was divided amongst the institutions</w:t></w:r>
</w:p>
<w:p>
<w:pPr><w:pStyle w:val="Normal"/></w:pPr>
<w:r><w:t xml:space="preserve">marked with an asterisk in the above list.  The first three</w:t></w:r>
</w:p>
<w:p>
<w:pPr><w:pStyle w:val="Normal"/></w:pPr>
<w:r><w:t xml:space="preserve">named are private establishments.  The county councils also</w:t></w:r>
</w:p>
<w:p>
<w:pPr><w:pStyle w:val="Normal"/></w:pPr>
<w:r><w:t xml:space="preserve">expend sums varying at their own discretion on instruction in</w:t></w:r>
</w:p>
<w:p>
<w:pPr><w:pStyle w:val="Normal"/></w:pPr>
<w:r><w:t xml:space="preserve">dairy-work, poultry-keeping, farriery and veterinary science,</w:t></w:r>
</w:p>
<w:p>
<w:pPr><w:pStyle w:val="Normal"/></w:pPr>
<w:r><w:t xml:space="preserve">horticulture, agricultural experiments, agricultural lectures</w:t></w:r>
</w:p>
<w:p>
<w:pPr><w:pStyle w:val="Normal"/></w:pPr>
<w:r><w:t xml:space="preserve">at various centres, scholarships at, and grants to, agricintural</w:t></w:r>
</w:p>
<w:p>
<w:pPr><w:pStyle w:val="Normal"/></w:pPr>
<w:r><w:t xml:space="preserve">colleges and schools; the whole amount in 1904-1905 reaching</w:t></w:r>
</w:p>
<w:p>
<w:pPr><w:pStyle w:val="Heading1"/></w:pPr>
<w:r><w:t>L. 87,472.12 The sum spent by individual counties varies</w:t></w:r>
</w:p>
<w:p>
<w:pPr><w:pStyle w:val="Normal"/></w:pPr>
<w:r><w:t xml:space="preserve">considerably.  In 1904-1905 Lancashire (L. 8510), Kent (L. 5922) and</w:t></w:r>
</w:p>
<w:p>
<w:pPr><w:pStyle w:val="Normal"/></w:pPr>
<w:r><w:t xml:space="preserve">Cheshire (L. 4310) spent most in this direction.  In some</w:t></w:r>
</w:p>
<w:p>
<w:pPr><w:pStyle w:val="Normal"/></w:pPr>
<w:r><w:t xml:space="preserve">instances colleges are supported entirely by one county, as</w:t></w:r>
</w:p>
<w:p>
<w:pPr><w:pStyle w:val="Normal"/></w:pPr>
<w:r><w:t xml:space="preserve">is the Holmes Chapel College, Cheshire; in others a college</w:t></w:r>
</w:p>
<w:p>
<w:pPr><w:pStyle w:val="Normal"/></w:pPr>
<w:r><w:t xml:space="preserve">is supported by several affiliated counties, as in the case</w:t></w:r>
</w:p>
<w:p>
<w:pPr><w:pStyle w:val="Normal"/></w:pPr>
<w:r><w:t xml:space="preserve">of the agricultural department of the University College,</w:t></w:r>
</w:p>
<w:p>
<w:pPr><w:pStyle w:val="Normal"/></w:pPr>
<w:r><w:t xml:space="preserve">Reading, which acts in connexion with the counties of Berks,</w:t></w:r>
</w:p>
<w:p>
<w:pPr><w:pStyle w:val="Normal"/></w:pPr>
<w:r><w:t xml:space="preserve">Oxon, Hants and Buckingham.  The organization and supply of</w:t></w:r>
</w:p>
<w:p>
<w:pPr><w:pStyle w:val="Normal"/></w:pPr>
<w:r><w:t xml:space="preserve">county agricultural instruction is often carried out through the</w:t></w:r>
</w:p>
<w:p>
<w:pPr><w:pStyle w:val="Normal"/></w:pPr>
<w:r><w:t xml:space="preserve">medium of the institution to which the county is affiliated.</w:t></w:r>
</w:p>
<w:p>
<w:pPr><w:pStyle w:val="Normal"/></w:pPr>
<w:r><w:t xml:space="preserve">In Scotland higher agricultural instruction is given at:-</w:t></w:r>
</w:p>
<w:p>
<w:pPr><w:pStyle w:val="Normal"/></w:pPr>
<w:r><w:t xml:space="preserve">Edinburgh and East of Scotland Agricultural College.</w:t></w:r>
</w:p>
<w:p>
<w:pPr><w:pStyle w:val="Normal"/></w:pPr>
<w:r><w:t xml:space="preserve">Edinburgh University, Agriculture Department.</w:t></w:r>
</w:p>
<w:p>
<w:pPr><w:pStyle w:val="Normal"/></w:pPr>
<w:r><w:t xml:space="preserve">West of Scotland Agricultural College, Glasgow.</w:t></w:r>
</w:p>
<w:p>
<w:pPr><w:pStyle w:val="Normal"/></w:pPr>
<w:r><w:t xml:space="preserve">Aberdeen and North of Scotland Agricultural College.</w:t></w:r>
</w:p>
<w:p>
<w:pPr><w:pStyle w:val="Normal"/></w:pPr>
<w:r><w:t xml:space="preserve">University of St. Andrews.</w:t></w:r>
</w:p>
<w:p>
<w:pPr><w:pStyle w:val="Normal"/></w:pPr>
<w:r><w:t xml:space="preserve">A typical course at one of the higher colleges lasts for two</w:t></w:r>
</w:p>
<w:p>
<w:pPr><w:pStyle w:val="Normal"/></w:pPr>
<w:r><w:t xml:space="preserve">years and includes instruction under the heads of soils and</w:t></w:r>
</w:p>
<w:p>
<w:pPr><w:pStyle w:val="Normal"/></w:pPr>
<w:r><w:t xml:space="preserve">manure, crops and pasture, live stock, foods and feeding,</w:t></w:r>
</w:p>
<w:p>
<w:pPr><w:pStyle w:val="Normal"/></w:pPr>
<w:r><w:t xml:space="preserve">dairy work, farm and estate management and farm bookkeeping,</w:t></w:r>
</w:p>
<w:p>
<w:pPr><w:pStyle w:val="Normal"/></w:pPr>
<w:r><w:t xml:space="preserve">surveying, agricultural buildings and machinery, agricultural</w:t></w:r>
</w:p>
<w:p>
<w:pPr><w:pStyle w:val="Normal"/></w:pPr>
<w:r><w:t xml:space="preserve">chemistry, agricultural botany, veterinary science and agricultural</w:t></w:r>
</w:p>
<w:p>
<w:pPr><w:pStyle w:val="Normal"/></w:pPr>
<w:r><w:t xml:space="preserve">entomology.  Experimental farms are attached to the colleges.</w:t></w:r>
</w:p>
<w:p>
<w:pPr><w:pStyle w:val="Normal"/></w:pPr>
<w:r><w:t xml:space="preserve">The facilities for intermediate are far inferior to those for</w:t></w:r>
</w:p>
<w:p>
<w:pPr><w:pStyle w:val="Normal"/></w:pPr>
<w:r><w:t xml:space="preserve">higher agricultural education.  Schools for farmers&apos; sons and</w:t></w:r>
</w:p>
<w:p>
<w:pPr><w:pStyle w:val="Normal"/></w:pPr>
<w:r><w:t xml:space="preserve">daughters, and others, answering to the ecoles pratiques</w:t></w:r>
</w:p>
<w:p>
<w:pPr><w:pStyle w:val="Normal"/></w:pPr>
<w:r><w:t xml:space="preserve">d&apos;agriculture (see FRANCE), are few, the principal being</w:t></w:r>
</w:p>
<w:p>
<w:pPr><w:pStyle w:val="Normal"/></w:pPr>
<w:r><w:t xml:space="preserve">the Dauntsey Agricultural School, Wiltshire, the Hampshire</w:t></w:r>
</w:p>
<w:p>
<w:pPr><w:pStyle w:val="Normal"/></w:pPr>
<w:r><w:t xml:space="preserve">Farm School, Basing, and the Farm School at Newton Rigg,</w:t></w:r>
</w:p>
<w:p>
<w:pPr><w:pStyle w:val="Normal"/></w:pPr>
<w:r><w:t xml:space="preserve">Penrith, Cumberland, maintained by the county councils of</w:t></w:r>
</w:p>
<w:p>
<w:pPr><w:pStyle w:val="Normal"/></w:pPr>
<w:r><w:t xml:space="preserve">Cumberland and Westmorland.  Occasionally grammar schools</w:t></w:r>
</w:p>
<w:p>
<w:pPr><w:pStyle w:val="Normal"/></w:pPr>
<w:r><w:t xml:space="preserve">have agricultural sides, and in evening continuation schools</w:t></w:r>
</w:p>
<w:p>
<w:pPr><w:pStyle w:val="Normal"/></w:pPr>
<w:r><w:t xml:space="preserve">agricultural classes are sometimes held.  Both elementary</w:t></w:r>
</w:p>
<w:p>
<w:pPr><w:pStyle w:val="Normal"/></w:pPr>
<w:r><w:t xml:space="preserve">day schools and continuation schools are in many cases</w:t></w:r>
</w:p>
<w:p>
<w:pPr><w:pStyle w:val="Normal"/></w:pPr>
<w:r><w:t xml:space="preserve">provided with gardens in which horticultmal teaching is given.</w:t></w:r>
</w:p>
<w:p>
<w:pPr><w:pStyle w:val="Normal"/></w:pPr>
<w:r><w:t xml:space="preserve">In Ireland agricultural education is under the supervision of</w:t></w:r>
</w:p>
<w:p>
<w:pPr><w:pStyle w:val="Normal"/></w:pPr>
<w:r><w:t xml:space="preserve">the Department of Agriculture and Technical Instruction for</w:t></w:r>
</w:p>
<w:p>
<w:pPr><w:pStyle w:val="Normal"/></w:pPr>
<w:r><w:t xml:space="preserve">Ireland, founded in 1899.  Higher education is given at the</w:t></w:r>
</w:p>
<w:p>
<w:pPr><w:pStyle w:val="Normal"/></w:pPr>
<w:r><w:t xml:space="preserve">Royal College of Science, Dublin; the Albert Agricultural</w:t></w:r>
</w:p>
<w:p>
<w:pPr><w:pStyle w:val="Normal"/></w:pPr>
<w:r><w:t xml:space="preserve">College, Glasnevin; and the Munster Institute, Cork, for female</w:t></w:r>
</w:p>
<w:p>
<w:pPr><w:pStyle w:val="Normal"/></w:pPr>
<w:r><w:t xml:space="preserve">students, where dairying and poultry-keeping are prominent</w:t></w:r>
</w:p>
<w:p>
<w:pPr><w:pStyle w:val="Normal"/></w:pPr>
<w:r><w:t xml:space="preserve">subjects.  Winter classes for boys over sixteen years of</w:t></w:r>
</w:p>
<w:p>
<w:pPr><w:pStyle w:val="Normal"/></w:pPr>
<w:r><w:t xml:space="preserve">age are held at centres in some counties, and there are</w:t></w:r>
</w:p>
<w:p>
<w:pPr><w:pStyle w:val="Normal"/></w:pPr>
<w:r><w:t xml:space="preserve">winter schools of agriculture at Downpatrick, Monaghan</w:t></w:r>
</w:p>
<w:p>
<w:pPr><w:pStyle w:val="Normal"/></w:pPr>
<w:r><w:t xml:space="preserve">and Mount Bellew (Co. Galway); while lectures are given at</w:t></w:r>
</w:p>
<w:p>
<w:pPr><w:pStyle w:val="Normal"/></w:pPr>
<w:r><w:t xml:space="preserve">farmers&apos; meetings by itinerant instructors.  The Department</w:t></w:r>
</w:p>
<w:p>
<w:pPr><w:pStyle w:val="Normal"/></w:pPr>
<w:r><w:t xml:space="preserve">carries on agricultural experiment-stations at Athenry</w:t></w:r>
</w:p>
<w:p>
<w:pPr><w:pStyle w:val="Normal"/></w:pPr>
<w:r><w:t xml:space="preserve">(Co. Galway), Ballyhaise (Co. Cavan) and Clonakilty (Co.</w:t></w:r>
</w:p>
<w:p>
<w:pPr><w:pStyle w:val="Normal"/></w:pPr>
<w:r><w:t xml:space="preserve">Cork), where farm apprentices are received and instructed.</w:t></w:r>
</w:p>
<w:p>
<w:pPr><w:pStyle w:val="Normal"/></w:pPr>
<w:r><w:t xml:space="preserve">Agriculture in the United States</w:t></w:r>
</w:p>
<w:p>
<w:pPr><w:pStyle w:val="Normal"/></w:pPr>
<w:r><w:t xml:space="preserve">Agriculture has been the chief and most characteristic work</w:t></w:r>
</w:p>
<w:p>
<w:pPr><w:pStyle w:val="Normal"/></w:pPr>
<w:r><w:t xml:space="preserve">of the American people, that in which they have achieved the</w:t></w:r>
</w:p>
<w:p>
<w:pPr><w:pStyle w:val="Normal"/></w:pPr>
<w:r><w:t xml:space="preserve">greatest results in proportion to the resources at command, that</w:t></w:r>
</w:p>
<w:p>
<w:pPr><w:pStyle w:val="Normal"/></w:pPr>
<w:r><w:t xml:space="preserve">in which their economic superiority has been most strikingly</w:t></w:r>
</w:p>
<w:p>
<w:pPr><w:pStyle w:val="Normal"/></w:pPr>
<w:r><w:t xml:space="preserve">manifest.  In ten years from 1790, the mean population of the</w:t></w:r>
</w:p>
<w:p>
<w:pPr><w:pStyle w:val="Normal"/></w:pPr>
<w:r><w:t xml:space="preserve">period being 4,500,000, 65,000 sq. m. were for the first time</w:t></w:r>
</w:p>
<w:p>
<w:pPr><w:pStyle w:val="Normal"/></w:pPr>
<w:r><w:t xml:space="preserve">brought within the limits of settlement, crossed with roads and</w:t></w:r>
</w:p>
<w:p>
<w:pPr><w:pStyle w:val="Normal"/></w:pPr>
<w:r><w:t xml:space="preserve">bridges, covered with dwellings, both public and private, much</w:t></w:r>
</w:p>
<w:p>
<w:pPr><w:pStyle w:val="Normal"/></w:pPr>
<w:r><w:t xml:space="preserve">of it also cleared of primeval forest; and this in addition</w:t></w:r>
</w:p>
<w:p>
<w:pPr><w:pStyle w:val="Normal"/></w:pPr>
<w:r><w:t xml:space="preserve">to keeping up and improving the whole extent of previous</w:t></w:r>
</w:p>
<w:p>
<w:pPr><w:pStyle w:val="Normal"/></w:pPr>
<w:r><w:t xml:space="preserve">settlements, and building towns and cities, at a score of favoured</w:t></w:r>
</w:p>
<w:p>
<w:pPr><w:pStyle w:val="Normal"/></w:pPr>
<w:r><w:t xml:space="preserve">points.  In the next decade, the mean number of inhabitants</w:t></w:r>
</w:p>
<w:p>
<w:pPr><w:pStyle w:val="Normal"/></w:pPr>
<w:r><w:t xml:space="preserve">being about 6,500,000, population extended itself over 98,000</w:t></w:r>
</w:p>
<w:p>
<w:pPr><w:pStyle w:val="Normal"/></w:pPr>
<w:r><w:t xml:space="preserve">sq. m. of absolutely new territory, an area eight times as</w:t></w:r>
</w:p>
<w:p>
<w:pPr><w:pStyle w:val="Normal"/></w:pPr>
<w:r><w:t xml:space="preserve">large as Holland.  Between 1810 and 1820, besides increasing</w:t></w:r>
</w:p>
<w:p>
<w:pPr><w:pStyle w:val="Normal"/></w:pPr>
<w:r><w:t xml:space="preserve">the density of population on almost every league of the older</w:t></w:r>
</w:p>
<w:p>
<w:pPr><w:pStyle w:val="Normal"/></w:pPr>
<w:r><w:t xml:space="preserve">territory, besides increasing their manufacturing capital</w:t></w:r>
</w:p>
<w:p>
<w:pPr><w:pStyle w:val="Normal"/></w:pPr>
<w:r><w:t xml:space="preserve">twofold, in spite of a three years&apos; war, the people of the</w:t></w:r>
</w:p>
<w:p>
<w:pPr><w:pStyle w:val="Normal"/></w:pPr>
<w:r><w:t xml:space="preserve">United States advanced their frontier to occupy 101,000 sq.</w:t></w:r>
</w:p>
<w:p>
<w:pPr><w:pStyle w:val="Normal"/></w:pPr>
<w:r><w:t xml:space="preserve">m., the mean population being 8,250,000.  Between 1820 and</w:t></w:r>
</w:p>
<w:p>
<w:pPr><w:pStyle w:val="Normal"/></w:pPr>
<w:r><w:t xml:space="preserve">1830, 124,000 sq. m. were brought within the frontier and made</w:t></w:r>
</w:p>
<w:p>
<w:pPr><w:pStyle w:val="Normal"/></w:pPr>
<w:r><w:t xml:space="preserve">the seat of habitation and cultivation; between 1830 and 1840,</w:t></w:r>
</w:p>
<w:p>
<w:pPr><w:pStyle w:val="Normal"/></w:pPr>
<w:r><w:t xml:space="preserve">175,000 sq. m.; between 1840 and 1850, 215,000 sq. m.  The Civil</w:t></w:r>
</w:p>
<w:p>
<w:pPr><w:pStyle w:val="Normal"/></w:pPr>
<w:r><w:t xml:space="preserve">War, indeed, checked the westward flow of population, though</w:t></w:r>
</w:p>
<w:p>
<w:pPr><w:pStyle w:val="Normal"/></w:pPr>
<w:r><w:t xml:space="preserve">it caused no refluence, but after 1870 great progress was</w:t></w:r>
</w:p>
<w:p>
<w:pPr><w:pStyle w:val="Normal"/></w:pPr>
<w:r><w:t xml:space="preserve">made in the creation of new farms and the development of old.</w:t></w:r>
</w:p>
<w:p>
<w:pPr><w:pStyle w:val="Normal"/></w:pPr>
<w:r><w:t xml:space="preserve">That which has allowed this great work to be done so rapidly</w:t></w:r>
</w:p>
<w:p>
<w:pPr><w:pStyle w:val="Normal"/></w:pPr>
<w:r><w:t xml:space="preserve">and fortunately has been, first, the popular tenure of the soil,</w:t></w:r>
</w:p>
<w:p>
<w:pPr><w:pStyle w:val="Normal"/></w:pPr>
<w:r><w:t xml:space="preserve">and, secondly, the character of the agricultural class.  At</w:t></w:r>
</w:p>
<w:p>
<w:pPr><w:pStyle w:val="Normal"/></w:pPr>
<w:r><w:t xml:space="preserve">no time have the cultivators of the soil north of the Potomac</w:t></w:r>
</w:p>
<w:p>
<w:pPr><w:pStyle w:val="Normal"/></w:pPr>
<w:r><w:t xml:space="preserve">and Ohio constituted a peasantry in the ordinary sense of that</w:t></w:r>
</w:p>
<w:p>
<w:pPr><w:pStyle w:val="Normal"/></w:pPr>
<w:r><w:t xml:space="preserve">term.  They have been the same kind of men, out of precisely</w:t></w:r>
</w:p>
<w:p>
<w:pPr><w:pStyle w:val="Normal"/></w:pPr>
<w:r><w:t xml:space="preserve">the same homes, generally with the same early training, as</w:t></w:r>
</w:p>
<w:p>
<w:pPr><w:pStyle w:val="Normal"/></w:pPr>
<w:r><w:t xml:space="preserve">those who filled the learned professions or who were engaged</w:t></w:r>
</w:p>
<w:p>
<w:pPr><w:pStyle w:val="Normal"/></w:pPr>
<w:r><w:t xml:space="preserve">in manufacturing or commercial pursuits.  Switzerland and</w:t></w:r>
</w:p>
<w:p>
<w:pPr><w:pStyle w:val="Normal"/></w:pPr>
<w:r><w:t xml:space="preserve">Scotland have, in a degree, approached the United States in</w:t></w:r>
</w:p>
<w:p>
<w:pPr><w:pStyle w:val="Normal"/></w:pPr>
<w:r><w:t xml:space="preserve">this particular; but there is no other considerable country</w:t></w:r>
</w:p>
<w:p>
<w:pPr><w:pStyle w:val="Normal"/></w:pPr>
<w:r><w:t xml:space="preserve">where as much mental activity and alertness has been applied</w:t></w:r>
</w:p>
<w:p>
<w:pPr><w:pStyle w:val="Normal"/></w:pPr>
<w:r><w:t xml:space="preserve">to the cultivation of the soil as to trade and manufactures.</w:t></w:r>
</w:p>
<w:p>
<w:pPr><w:pStyle w:val="Normal"/></w:pPr>
<w:r><w:t xml:space="preserve">But even the causes which have been adduced would have failed</w:t></w:r>
</w:p>
<w:p>
<w:pPr><w:pStyle w:val="Normal"/></w:pPr>
<w:r><w:t xml:space="preserve">to produce such effects but for the exceptional inventive</w:t></w:r>
</w:p>
<w:p>
<w:pPr><w:pStyle w:val="Normal"/></w:pPr>
<w:r><w:t xml:space="preserve">ingenuity of the American.  The mechanical genius which</w:t></w:r>
</w:p>
<w:p>
<w:pPr><w:pStyle w:val="Normal"/></w:pPr>
<w:r><w:t xml:space="preserve">has entered into manufacturing in the United States, the</w:t></w:r>
</w:p>
<w:p>
<w:pPr><w:pStyle w:val="Normal"/></w:pPr>
<w:r><w:t xml:space="preserve">engineering skill which has guided the construction of the</w:t></w:r>
</w:p>
<w:p>
<w:pPr><w:pStyle w:val="Normal"/></w:pPr>
<w:r><w:t xml:space="preserve">greatest works of the continent, have been far exceeded</w:t></w:r>
</w:p>
<w:p>
<w:pPr><w:pStyle w:val="Normal"/></w:pPr>
<w:r><w:t xml:space="preserve">in the hurried ``improvements&apos;&apos; of the pioneer farm; in</w:t></w:r>
</w:p>
<w:p>
<w:pPr><w:pStyle w:val="Normal"/></w:pPr>
<w:r><w:t xml:space="preserve">the housing of women, children and live stock and gathered</w:t></w:r>
</w:p>
<w:p>
<w:pPr><w:pStyle w:val="Normal"/></w:pPr>
<w:r><w:t xml:space="preserve">crops against the storms of the first few winters; in</w:t></w:r>
</w:p>
<w:p>
<w:pPr><w:pStyle w:val="Normal"/></w:pPr>
<w:r><w:t xml:space="preserve">the rough-and-ready reconnaissances which determined the</w:t></w:r>
</w:p>
<w:p>
<w:pPr><w:pStyle w:val="Normal"/></w:pPr>
<w:r><w:t xml:space="preserve">``lay of the land&apos;&apos; and the capabilities of the soil; in</w:t></w:r>
</w:p>
<w:p>
<w:pPr><w:pStyle w:val="Normal"/></w:pPr>
<w:r><w:t xml:space="preserve">the preparation for the thousand exigencies of primitive</w:t></w:r>
</w:p>
<w:p>
<w:pPr><w:pStyle w:val="Normal"/></w:pPr>
<w:r><w:t xml:space="preserve">agriculture.  It is no exaggeration to say that the chief</w:t></w:r>
</w:p>
<w:p>
<w:pPr><w:pStyle w:val="Normal"/></w:pPr>
<w:r><w:t xml:space="preserve">manufacture of the United States, prior to 1900, was the</w:t></w:r>
</w:p>
<w:p>
<w:pPr><w:pStyle w:val="Normal"/></w:pPr>
<w:r><w:t xml:space="preserve">manufacture of 5,740,000 farms, comprising 841,200,000 acres.</w:t></w:r>
</w:p>
<w:p>
<w:pPr><w:pStyle w:val="Normal"/></w:pPr>
<w:r><w:t xml:space="preserve">The people of the United States, finding themselves on a</w:t></w:r>
</w:p>
<w:p>
<w:pPr><w:pStyle w:val="Normal"/></w:pPr>
<w:r><w:t xml:space="preserve">continent containing an almost limitless extent of land</w:t></w:r>
</w:p>
<w:p>
<w:pPr><w:pStyle w:val="Normal"/></w:pPr>
<w:r><w:t xml:space="preserve">of fair average fertility, having at the start but little</w:t></w:r>
</w:p>
<w:p>
<w:pPr><w:pStyle w:val="Normal"/></w:pPr>
<w:r><w:t xml:space="preserve">accumulated capital and urgent occasions for the economy of</w:t></w:r>
</w:p>
<w:p>
<w:pPr><w:pStyle w:val="Normal"/></w:pPr>
<w:r><w:t xml:space="preserve">labour, have elected to regard the land in the earliest</w:t></w:r>
</w:p>
<w:p>
<w:pPr><w:pStyle w:val="Normal"/></w:pPr>
<w:r><w:t xml:space="preserve">stages of occupation as practically of no value, and to regard</w:t></w:r>
</w:p>
<w:p>
<w:pPr><w:pStyle w:val="Normal"/></w:pPr>
<w:r><w:t xml:space="preserve">labour as of high value.  In pursuance of this view they</w:t></w:r>
</w:p>
<w:p>
<w:pPr><w:pStyle w:val="Normal"/></w:pPr>
<w:r><w:t xml:space="preserve">have freely sacrificed the land, so far as was necessary, in</w:t></w:r>
</w:p>
<w:p>
<w:pPr><w:pStyle w:val="Normal"/></w:pPr>
<w:r><w:t xml:space="preserve">order to save labour, systematically cropping the fields on</w:t></w:r>
</w:p>
<w:p>
<w:pPr><w:pStyle w:val="Normal"/></w:pPr>
<w:r><w:t xml:space="preserve">the principle of obtaining the largest results with the least</w:t></w:r>
</w:p>
<w:p>
<w:pPr><w:pStyle w:val="Normal"/></w:pPr>
<w:r><w:t xml:space="preserve">expenditure, limiting improvements to what was demanded for</w:t></w:r>
</w:p>
<w:p>
<w:pPr><w:pStyle w:val="Normal"/></w:pPr>
<w:r><w:t xml:space="preserve">immediate uses, and caring little about returning to the</w:t></w:r>
</w:p>
<w:p>
<w:pPr><w:pStyle w:val="Normal"/></w:pPr>
<w:r><w:t xml:space="preserve">soil an equivalent for the properties taken from it in the</w:t></w:r>
</w:p>
<w:p>
<w:pPr><w:pStyle w:val="Normal"/></w:pPr>
<w:r><w:t xml:space="preserve">harvests of successive years.  But, so far as the northern</w:t></w:r>
</w:p>
<w:p>
<w:pPr><w:pStyle w:val="Normal"/></w:pPr>
<w:r><w:t xml:space="preserve">states are concerned, the enormous profits of this alleged</w:t></w:r>
</w:p>
<w:p>
<w:pPr><w:pStyle w:val="Normal"/></w:pPr>
<w:r><w:t xml:space="preserve">wasteful cultivation have in the main been applied, not to</w:t></w:r>
</w:p>
<w:p>
<w:pPr><w:pStyle w:val="Normal"/></w:pPr>
<w:r><w:t xml:space="preserve">personal consumption, but to permanent improvements,--not</w:t></w:r>
</w:p>
<w:p>
<w:pPr><w:pStyle w:val="Normal"/></w:pPr>
<w:r><w:t xml:space="preserve">indeed to improvements of the land, but to what were still</w:t></w:r>
</w:p>
<w:p>
<w:pPr><w:pStyle w:val="Normal"/></w:pPr>
<w:r><w:t xml:space="preserve">more needed in the situation, namely, improvements upon the</w:t></w:r>
</w:p>
<w:p>
<w:pPr><w:pStyle w:val="Normal"/></w:pPr>
<w:r><w:t xml:space="preserve">land.  The first-fruits of a virgin soil have been expended in</w:t></w:r>
</w:p>
<w:p>
<w:pPr><w:pStyle w:val="Normal"/></w:pPr>
<w:r><w:t xml:space="preserve">forms which have vastly enhanced the productive power of the</w:t></w:r>
</w:p>
<w:p>
<w:pPr><w:pStyle w:val="Normal"/></w:pPr>
<w:r><w:t xml:space="preserve">country.  The land, doubtless, as one factor of that productive</w:t></w:r>
</w:p>
<w:p>
<w:pPr><w:pStyle w:val="Normal"/></w:pPr>
<w:r><w:t xml:space="preserve">power, became temporarily less efficient than it would have</w:t></w:r>
</w:p>
<w:p>
<w:pPr><w:pStyle w:val="Normal"/></w:pPr>
<w:r><w:t xml:space="preserve">been under a conservative European treatment; but the joint</w:t></w:r>
</w:p>
<w:p>
<w:pPr><w:pStyle w:val="Normal"/></w:pPr>
<w:r><w:t xml:space="preserve">product of the three factors--land, labour and capital--was</w:t></w:r>
</w:p>
<w:p>
<w:pPr><w:pStyle w:val="Normal"/></w:pPr>
<w:r><w:t xml:space="preserve">for the time enormously increased.  Under this regimen</w:t></w:r>
</w:p>
<w:p>
<w:pPr><w:pStyle w:val="Normal"/></w:pPr>
<w:r><w:t xml:space="preserve">the fertility of the land, of course, in time necessarily</w:t></w:r>
</w:p>
<w:p>
<w:pPr><w:pStyle w:val="Normal"/></w:pPr>
<w:r><w:t xml:space="preserve">declined, sooner or later, according to the nature of the</w:t></w:r>
</w:p>
<w:p>
<w:pPr><w:pStyle w:val="Normal"/></w:pPr>
<w:r><w:t xml:space="preserve">crops grown and to the degree of original strength in the</w:t></w:r>
</w:p>
<w:p>
<w:pPr><w:pStyle w:val="Normal"/></w:pPr>
<w:r><w:t xml:space="preserve">soil.  Resort was then had to new fields farther west.  The</w:t></w:r>
</w:p>
<w:p>
<w:pPr><w:pStyle w:val="Normal"/></w:pPr>
<w:r><w:t xml:space="preserve">granary of the continent moved first to western New York,</w:t></w:r>
</w:p>
<w:p>
<w:pPr><w:pStyle w:val="Normal"/></w:pPr>
<w:r><w:t xml:space="preserve">thence into the Ohio valley, and then, again, to the banks</w:t></w:r>
</w:p>
<w:p>
<w:pPr><w:pStyle w:val="Normal"/></w:pPr>
<w:r><w:t xml:space="preserve">of the Mississippi.  The north and south line dividing the</w:t></w:r>
</w:p>
<w:p>
<w:pPr><w:pStyle w:val="Normal"/></w:pPr>
<w:r><w:t xml:space="preserve">wheat product of the United States into two equal parts was</w:t></w:r>
</w:p>
<w:p>
<w:pPr><w:pStyle w:val="Normal"/></w:pPr>
<w:r><w:t xml:space="preserve">in 1850 drawn along the 82nd meridian (81 deg.  58 minutes 49</w:t></w:r>
</w:p>
<w:p>
<w:pPr><w:pStyle w:val="Normal"/></w:pPr>
<w:r><w:t xml:space="preserve">seconds).  In 1860 that line was drawn along the 86th</w:t></w:r>
</w:p>
<w:p>
<w:pPr><w:pStyle w:val="Normal"/></w:pPr>
<w:r><w:t xml:space="preserve">(86 deg.  1 minute 38 seconds), in 1870 along the 89th (88 deg.</w:t></w:r>
</w:p>
<w:p>
<w:pPr><w:pStyle w:val="Normal"/></w:pPr>
<w:r><w:t xml:space="preserve">48 minutes 40 seconds), in 1880 along the 90th (90 deg.  30</w:t></w:r>
</w:p>
<w:p>
<w:pPr><w:pStyle w:val="Normal"/></w:pPr>
<w:r><w:t xml:space="preserve">minutes 46 seconds), in 1890 along the 93rd (93 deg.  9 minutes</w:t></w:r>
</w:p>
<w:p>
<w:pPr><w:pStyle w:val="Normal"/></w:pPr>
<w:r><w:t xml:space="preserve">18 seconds), and in 1900 along the 95th (94 deg.  59 minutes 23</w:t></w:r>
</w:p>
<w:p>
<w:pPr><w:pStyle w:val="Normal"/></w:pPr>
<w:r><w:t xml:space="preserve">seconds).  Meanwhile one portion of the inhabitants of the</w:t></w:r>
</w:p>
<w:p>
<w:pPr><w:pStyle w:val="Normal"/></w:pPr>
<w:r><w:t xml:space="preserve">earlier settlements joined in the movement across the face</w:t></w:r>
</w:p>
<w:p>
<w:pPr><w:pStyle w:val="Normal"/></w:pPr>
<w:r><w:t xml:space="preserve">of the continent.  As the grain centre passed on to the west</w:t></w:r>
</w:p>
<w:p>
<w:pPr><w:pStyle w:val="Normal"/></w:pPr>
<w:r><w:t xml:space="preserve">they followed it, too restless by character and habit to</w:t></w:r>
</w:p>
<w:p>
<w:pPr><w:pStyle w:val="Normal"/></w:pPr>
<w:r><w:t xml:space="preserve">find pleasure in the work of stable communities.  A second</w:t></w:r>
</w:p>
<w:p>
<w:pPr><w:pStyle w:val="Normal"/></w:pPr>
<w:r><w:t xml:space="preserve">portion of the inhabitants became engaged in raising, upon</w:t></w:r>
</w:p>
<w:p>
<w:pPr><w:pStyle w:val="Normal"/></w:pPr>
<w:r><w:t xml:space="preserve">limited areas, small crops, garden vegetables and orchard</w:t></w:r>
</w:p>
<w:p>
<w:pPr><w:pStyle w:val="Normal"/></w:pPr>
<w:r><w:t xml:space="preserve">fruits, and in producing butter, milk, poultry and eggs, for</w:t></w:r>
</w:p>
<w:p>
<w:pPr><w:pStyle w:val="Normal"/></w:pPr>
<w:r><w:t xml:space="preserve">the suoply of the cities and manufacturing towns which had</w:t></w:r>
</w:p>
<w:p>
<w:pPr><w:pStyle w:val="Normal"/></w:pPr>
<w:r><w:t xml:space="preserve">been built up out of the abundant profits of the primitive</w:t></w:r>
</w:p>
<w:p>
<w:pPr><w:pStyle w:val="Normal"/></w:pPr>
<w:r><w:t xml:space="preserve">agriculture.  Still another portion of the agricultural</w:t></w:r>
</w:p>
<w:p>
<w:pPr><w:pStyle w:val="Normal"/></w:pPr>
<w:r><w:t xml:space="preserve">population gradually became occupied in the more careful and</w:t></w:r>
</w:p>
<w:p>
<w:pPr><w:pStyle w:val="Normal"/></w:pPr>
<w:r><w:t xml:space="preserve">intense culture of the cereal crops upon the better lands, the</w:t></w:r>
</w:p>
<w:p>
<w:pPr><w:pStyle w:val="Normal"/></w:pPr>
<w:r><w:t xml:space="preserve">less eligible fields being allowed to spring up in brush and</w:t></w:r>
</w:p>
<w:p>
<w:pPr><w:pStyle w:val="Normal"/></w:pPr>
<w:r><w:t xml:space="preserve">wood.  Deep ploughing and thorough drainage were resorted to;</w:t></w:r>
</w:p>
<w:p>
<w:pPr><w:pStyle w:val="Normal"/></w:pPr>
<w:r><w:t xml:space="preserve">fertilizers were employed to bring up and to keep up the soil;</w:t></w:r>
</w:p>
<w:p>
<w:pPr><w:pStyle w:val="Normal"/></w:pPr>
<w:r><w:t xml:space="preserve">and thus began the serious systematic agriculture of the older</w:t></w:r>
</w:p>
<w:p>
<w:pPr><w:pStyle w:val="Normal"/></w:pPr>
<w:r><w:t xml:space="preserve">states.  Something continued to be done in wheat, but not</w:t></w:r>
</w:p>
<w:p>
<w:pPr><w:pStyle w:val="Normal"/></w:pPr>
<w:r><w:t xml:space="preserve">much.  New York raised 13 million bushels in 1850; thirty</w:t></w:r>
</w:p>
<w:p>
<w:pPr><w:pStyle w:val="Normal"/></w:pPr>
<w:r><w:t xml:space="preserve">years later she raised 11 1/2 million bushels; and fifty years</w:t></w:r>
</w:p>
<w:p>
<w:pPr><w:pStyle w:val="Normal"/></w:pPr>
<w:r><w:t xml:space="preserve">later 10 1/2 million bushels.  Pennsylvania raised 15 1/2 million</w:t></w:r>
</w:p>
<w:p>
<w:pPr><w:pStyle w:val="Normal"/></w:pPr>
<w:r><w:t xml:space="preserve">bushels in 1850; in 1880 she raised 19 1/2 million bushels; and</w:t></w:r>
</w:p>
<w:p>
<w:pPr><w:pStyle w:val="Normal"/></w:pPr>
<w:r><w:t xml:space="preserve">in 1900 20 1/2 million bushels.  More is done in Indian corn</w:t></w:r>
</w:p>
<w:p>
<w:pPr><w:pStyle w:val="Normal"/></w:pPr>
<w:r><w:t xml:space="preserve">(maize), that most prolific cereal, the backbone of American</w:t></w:r>
</w:p>
<w:p>
<w:pPr><w:pStyle w:val="Normal"/></w:pPr>
<w:r><w:t xml:space="preserve">agriculture; still more is done relatively in buckwheat,</w:t></w:r>
</w:p>
<w:p>
<w:pPr><w:pStyle w:val="Normal"/></w:pPr>
<w:r><w:t xml:space="preserve">barley and rye.  Pennsylvania, though the eleventh state in</w:t></w:r>
</w:p>
<w:p>
<w:pPr><w:pStyle w:val="Normal"/></w:pPr>
<w:r><w:t xml:space="preserve">wheat production in 1905, stood first in rye and second in</w:t></w:r>
</w:p>
<w:p>
<w:pPr><w:pStyle w:val="Normal"/></w:pPr>
<w:r><w:t xml:space="preserve">buckwheat (ninth in oats) New York was only twenty-first in</w:t></w:r>
</w:p>
<w:p>
<w:pPr><w:pStyle w:val="Normal"/></w:pPr>
<w:r><w:t xml:space="preserve">wheat, but first in buckwheat (tenth in barley), fourth in</w:t></w:r>
</w:p>
<w:p>
<w:pPr><w:pStyle w:val="Normal"/></w:pPr>
<w:r><w:t xml:space="preserve">rye.  We do not, however, reach the full significance of</w:t></w:r>
</w:p>
<w:p>
<w:pPr><w:pStyle w:val="Normal"/></w:pPr>
<w:r><w:t xml:space="preserve">the situation until we account for the fourth portion of the</w:t></w:r>
</w:p>
<w:p>
<w:pPr><w:pStyle w:val="Normal"/></w:pPr>
<w:r><w:t xml:space="preserve">former agricultural population, in noting how naturally and</w:t></w:r>
</w:p>
<w:p>
<w:pPr><w:pStyle w:val="Normal"/></w:pPr>
<w:r><w:t xml:space="preserve">fortunately commercial and manufacturing cities spring up</w:t></w:r>
</w:p>
<w:p>
<w:pPr><w:pStyle w:val="Normal"/></w:pPr>
<w:r><w:t xml:space="preserve">in the sites which have been prepared for them by the lavish</w:t></w:r>
</w:p>
<w:p>
<w:pPr><w:pStyle w:val="Normal"/></w:pPr>
<w:r><w:t xml:space="preserve">expenditure of the enormous profits of a primitive agriculture</w:t></w:r>
</w:p>
<w:p>
<w:pPr><w:pStyle w:val="Normal"/></w:pPr>
<w:r><w:t xml:space="preserve">upon permanently useful improvements of a constructive</w:t></w:r>
</w:p>
<w:p>
<w:pPr><w:pStyle w:val="Normal"/></w:pPr>
<w:r><w:t xml:space="preserve">character.  These towns are the gifts of agriculture.</w:t></w:r>
</w:p>
<w:p>
<w:pPr><w:pStyle w:val="Normal"/></w:pPr>
<w:r><w:t xml:space="preserve">Besides the extension of cultivated area, very little was</w:t></w:r>
</w:p>
<w:p>
<w:pPr><w:pStyle w:val="Normal"/></w:pPr>
<w:r><w:t xml:space="preserve">accomplished in the way of agricultural improvement before</w:t></w:r>
</w:p>
<w:p>
<w:pPr><w:pStyle w:val="Normal"/></w:pPr>
<w:r><w:t xml:space="preserve">1850.  With some few exceptions the methods of cultivation were</w:t></w:r>
</w:p>
<w:p>
<w:pPr><w:pStyle w:val="Normal"/></w:pPr>
<w:r><w:t xml:space="preserve">substantially the same as those of colonial days, and were marked</w:t></w:r>
</w:p>
<w:p>
<w:pPr><w:pStyle w:val="Normal"/></w:pPr>
<w:r><w:t xml:space="preserve">by crudeness, waste and a general adherence to rule-of-thumb</w:t></w:r>
</w:p>
<w:p>
<w:pPr><w:pStyle w:val="Normal"/></w:pPr>
<w:r><w:t xml:space="preserve">principles.  The year 1850 roughly marks the beginning of a</w:t></w:r>
</w:p>
<w:p>
<w:pPr><w:pStyle w:val="Normal"/></w:pPr>
<w:r><w:t xml:space="preserve">period of improvement and development.  The Irish famine of</w:t></w:r>
</w:p>
<w:p>
<w:pPr><w:pStyle w:val="Normal"/></w:pPr>
<w:r><w:t xml:space="preserve">1846 and the German political troubles of 1848 were followed</w:t></w:r>
</w:p>
<w:p>
<w:pPr><w:pStyle w:val="Normal"/></w:pPr>
<w:r><w:t xml:space="preserve">by an unprecedented emigration to America of highly desirable</w:t></w:r>
</w:p>
<w:p>
<w:pPr><w:pStyle w:val="Normal"/></w:pPr>
<w:r><w:t xml:space="preserve">European labourers, for whom there were cheap and abundant</w:t></w:r>
</w:p>
<w:p>
<w:pPr><w:pStyle w:val="Normal"/></w:pPr>
<w:r><w:t xml:space="preserve">lands.  The period from 1850 to 1870 was marked by a steady</w:t></w:r>
</w:p>
<w:p>
<w:pPr><w:pStyle w:val="Normal"/></w:pPr>
<w:r><w:t xml:space="preserve">growth, which, in the western states, was highly stimulated by</w:t></w:r>
</w:p>
<w:p>
<w:pPr><w:pStyle w:val="Normal"/></w:pPr>
<w:r><w:t xml:space="preserve">the Civil War. While this conflict withdrew a certain amount</w:t></w:r>
</w:p>
<w:p>
<w:pPr><w:pStyle w:val="Normal"/></w:pPr>
<w:r><w:t xml:space="preserve">of productive energy from agricultural pursuits, it tended</w:t></w:r>
</w:p>
<w:p>
<w:pPr><w:pStyle w:val="Normal"/></w:pPr>
<w:r><w:t xml:space="preserve">at the same time to increase the value of farm labour and of</w:t></w:r>
</w:p>
<w:p>
<w:pPr><w:pStyle w:val="Normal"/></w:pPr>
<w:r><w:t xml:space="preserve">farm products and to extend the use of machinery in order to</w:t></w:r>
</w:p>
<w:p>
<w:pPr><w:pStyle w:val="Normal"/></w:pPr>
<w:r><w:t xml:space="preserve">offset the deficient labour supply.  Agricultural machinery</w:t></w:r>
</w:p>
<w:p>
<w:pPr><w:pStyle w:val="Normal"/></w:pPr>
<w:r><w:t xml:space="preserve">had been employed before the war, but only to a very small</w:t></w:r>
</w:p>
<w:p>
<w:pPr><w:pStyle w:val="Normal"/></w:pPr>
<w:r><w:t xml:space="preserve">extent.  In 1864, 70,000 reapers and mowers were manufactured,</w:t></w:r>
</w:p>
<w:p>
<w:pPr><w:pStyle w:val="Normal"/></w:pPr>
<w:r><w:t xml:space="preserve">twice as many as in 1862, and manufacturers were unable to</w:t></w:r>
</w:p>
<w:p>
<w:pPr><w:pStyle w:val="Normal"/></w:pPr>
<w:r><w:t xml:space="preserve">supply the demand.  Moreover, in the years 1860, 1861 and 1862</w:t></w:r>
</w:p>
<w:p>
<w:pPr><w:pStyle w:val="Normal"/></w:pPr>
<w:r><w:t xml:space="preserve">the wheat crops of Great Britain and the European continent</w:t></w:r>
</w:p>
<w:p>
<w:pPr><w:pStyle w:val="Normal"/></w:pPr>
<w:r><w:t xml:space="preserve">were failures, while those of the United States, far removed</w:t></w:r>
</w:p>
<w:p>
<w:pPr><w:pStyle w:val="Normal"/></w:pPr>
<w:r><w:t xml:space="preserve">from the theatre of military operations, were unusually</w:t></w:r>
</w:p>
<w:p>
<w:pPr><w:pStyle w:val="Normal"/></w:pPr>
<w:r><w:t xml:space="preserve">large.  The wheat exports to Great Britain in 1861 were three</w:t></w:r>
</w:p>
<w:p>
<w:pPr><w:pStyle w:val="Normal"/></w:pPr>
<w:r><w:t xml:space="preserve">times as great as those of any previous year, and the strong</w:t></w:r>
</w:p>
<w:p>
<w:pPr><w:pStyle w:val="Normal"/></w:pPr>
<w:r><w:t xml:space="preserve">demand from abroad was an additional stimulus to higher</w:t></w:r>
</w:p>
<w:p>
<w:pPr><w:pStyle w:val="Normal"/></w:pPr>
<w:r><w:t xml:space="preserve">prices.  In 1864 agricultural prices were from 100 to</w:t></w:r>
</w:p>
<w:p>
<w:pPr><w:pStyle w:val="Normal"/></w:pPr>
<w:r><w:t xml:space="preserve">200% higher than in 1861, while transportation charges had</w:t></w:r>
</w:p>
<w:p>
<w:pPr><w:pStyle w:val="Normal"/></w:pPr>
<w:r><w:t xml:space="preserve">only slightly advanced and in some instances had actually</w:t></w:r>
</w:p>
<w:p>
<w:pPr><w:pStyle w:val="Normal"/></w:pPr>
<w:r><w:t xml:space="preserve">decreased.  In the middle of the war the farmers&apos; profits</w:t></w:r>
</w:p>
<w:p>
<w:pPr><w:pStyle w:val="Normal"/></w:pPr>
<w:r><w:t xml:space="preserve">were normal; toward the end they had increased enormously.</w:t></w:r>
</w:p>
<w:p>
<w:pPr><w:pStyle w:val="Normal"/></w:pPr>
<w:r><w:t xml:space="preserve">This marvellous agricultural prosperity of a nation engaged</w:t></w:r>
</w:p>
<w:p>
<w:pPr><w:pStyle w:val="Normal"/></w:pPr>
<w:r><w:t xml:space="preserve">in one of the world&apos;s most formidable wars has no counterpart</w:t></w:r>
</w:p>
<w:p>
<w:pPr><w:pStyle w:val="Normal"/></w:pPr>
<w:r><w:t xml:space="preserve">in modern history.  In the decade from 1860 to 1870 there</w:t></w:r>
</w:p>
<w:p>
<w:pPr><w:pStyle w:val="Normal"/></w:pPr>
<w:r><w:t xml:space="preserve">was a steady increase in cultivated area, in agricultural</w:t></w:r>
</w:p>
<w:p>
<w:pPr><w:pStyle w:val="Normal"/></w:pPr>
<w:r><w:t xml:space="preserve">products and in population.  The value of the farm lands in</w:t></w:r>
</w:p>
<w:p>
<w:pPr><w:pStyle w:val="Normal"/></w:pPr>
<w:r><w:t xml:space="preserve">the northern states in 1870 exceeded that of 1860 by five</w:t></w:r>
</w:p>
<w:p>
<w:pPr><w:pStyle w:val="Normal"/></w:pPr>
<w:r><w:t xml:space="preserve">dollars an acre.  On the other hand, the farm lands of the</w:t></w:r>
</w:p>
<w:p>
<w:pPr><w:pStyle w:val="Normal"/></w:pPr>
<w:r><w:t xml:space="preserve">southern states had declined in value to an almost equal</w:t></w:r>
</w:p>
<w:p>
<w:pPr><w:pStyle w:val="Normal"/></w:pPr>
<w:r><w:t xml:space="preserve">amount; but after 1870 these states also made substantial</w:t></w:r>
</w:p>
<w:p>
<w:pPr><w:pStyle w:val="Normal"/></w:pPr>
<w:r><w:t xml:space="preserve">progress, and in 1880 they produced more cotton than in 1860,</w:t></w:r>
</w:p>
<w:p>
<w:pPr><w:pStyle w:val="Normal"/></w:pPr>
<w:r><w:t xml:space="preserve">when the greatest crop under the slave system was grown.</w:t></w:r>
</w:p>
<w:p>
<w:pPr><w:pStyle w:val="Normal"/></w:pPr>
<w:r><w:t xml:space="preserve">Since 1870 the most important factors in this development have</w:t></w:r>
</w:p>
<w:p>
<w:pPr><w:pStyle w:val="Normal"/></w:pPr>
<w:r><w:t xml:space="preserve">been the employment of more scientific methods of production</w:t></w:r>
</w:p>
<w:p>
<w:pPr><w:pStyle w:val="Normal"/></w:pPr>
<w:r><w:t xml:space="preserve">and the more extensive use of machinery.  The study of soils</w:t></w:r>
</w:p>
<w:p>
<w:pPr><w:pStyle w:val="Normal"/></w:pPr>
<w:r><w:t xml:space="preserve">with a view of adapting to them the most suitable crops and</w:t></w:r>
</w:p>
<w:p>
<w:pPr><w:pStyle w:val="Normal"/></w:pPr>
<w:r><w:t xml:space="preserve">fertilizers; the increased attention given to diversified</w:t></w:r>
</w:p>
<w:p>
<w:pPr><w:pStyle w:val="Normal"/></w:pPr>
<w:r><w:t xml:space="preserve">farming and crop rotation; the introduction and successful</w:t></w:r>
</w:p>
<w:p>
<w:pPr><w:pStyle w:val="Normal"/></w:pPr>
<w:r><w:t xml:space="preserve">growth of new plants (e.g. the date palm in Arizona and</w:t></w:r>
</w:p>
<w:p>
<w:pPr><w:pStyle w:val="Normal"/></w:pPr>
<w:r><w:t xml:space="preserve">California, and tea in South Carolina); tile drainage; the</w:t></w:r>
</w:p>
<w:p>
<w:pPr><w:pStyle w:val="Normal"/></w:pPr>
<w:r><w:t xml:space="preserve">ensilage of forage; more careful selection in breeding;</w:t></w:r>
</w:p>
<w:p>
<w:pPr><w:pStyle w:val="Normal"/></w:pPr>
<w:r><w:t xml:space="preserve">the use of inoculation to prevent Texas fever in cattle and</w:t></w:r>
</w:p>
<w:p>
<w:pPr><w:pStyle w:val="Normal"/></w:pPr>
<w:r><w:t xml:space="preserve">cholera in swine, of tuberculin to discover the presence</w:t></w:r>
</w:p>
<w:p>
<w:pPr><w:pStyle w:val="Normal"/></w:pPr>
<w:r><w:t xml:space="preserve">of tuberculosis in cows, of organic ferments to hasten</w:t></w:r>
</w:p>
<w:p>
<w:pPr><w:pStyle w:val="Normal"/></w:pPr>
<w:r><w:t xml:space="preserve">the progress of butter-making, of the ``Babcock test&apos;&apos; for</w:t></w:r>
</w:p>
<w:p>
<w:pPr><w:pStyle w:val="Normal"/></w:pPr>
<w:r><w:t xml:space="preserve">ascertaining the amount of fat in milk, of fungicides and</w:t></w:r>
</w:p>
<w:p>
<w:pPr><w:pStyle w:val="Normal"/></w:pPr>
<w:r><w:t xml:space="preserve">insecticides to destroy fruit and vegetable pests,--such are</w:t></w:r>
</w:p>
<w:p>
<w:pPr><w:pStyle w:val="Normal"/></w:pPr>
<w:r><w:t xml:space="preserve">but a few manifestations of the spread of scientific knowledge</w:t></w:r>
</w:p>
<w:p>
<w:pPr><w:pStyle w:val="Normal"/></w:pPr>
<w:r><w:t xml:space="preserve">among the farming population of the United States.  Nearly</w:t></w:r>
</w:p>
<w:p>
<w:pPr><w:pStyle w:val="Normal"/></w:pPr>
<w:r><w:t xml:space="preserve">every county has some sort of agricultural society; in 1899</w:t></w:r>
</w:p>
<w:p>
<w:pPr><w:pStyle w:val="Normal"/></w:pPr>
<w:r><w:t xml:space="preserve">there were about 1500 of these organizations, some of which,</w:t></w:r>
</w:p>
<w:p>
<w:pPr><w:pStyle w:val="Normal"/></w:pPr>
<w:r><w:t xml:space="preserve">especially those holding annual fairs, received state aid.</w:t></w:r>
</w:p>
<w:p>
<w:pPr><w:pStyle w:val="Normal"/></w:pPr>
<w:r><w:t xml:space="preserve">With the improvement in technical processes of production</w:t></w:r>
</w:p>
<w:p>
<w:pPr><w:pStyle w:val="Normal"/></w:pPr>
<w:r><w:t xml:space="preserve">came the conquest of the arid regions of the western states.</w:t></w:r>
</w:p>
<w:p>
<w:pPr><w:pStyle w:val="Normal"/></w:pPr>
<w:r><w:t xml:space="preserve">Irrigation was first employed in the west by the Mormons in</w:t></w:r>
</w:p>
<w:p>
<w:pPr><w:pStyle w:val="Normal"/></w:pPr>
<w:r><w:t xml:space="preserve">1847; but as late as 1870 only about 20,000 acres had been</w:t></w:r>
</w:p>
<w:p>
<w:pPr><w:pStyle w:val="Normal"/></w:pPr>
<w:r><w:t xml:space="preserve">irrigated.  In 1880 the irrigated area was approximately</w:t></w:r>
</w:p>
<w:p>
<w:pPr><w:pStyle w:val="Normal"/></w:pPr>
<w:r><w:t xml:space="preserve">1,000,000 acres, and in the decade from 1889 to 1899 it</w:t></w:r>
</w:p>
<w:p>
<w:pPr><w:pStyle w:val="Normal"/></w:pPr>
<w:r><w:t xml:space="preserve">increased from 3,631,381 to 7,539,545 acres, a gain of</w:t></w:r>
</w:p>
<w:p>
<w:pPr><w:pStyle w:val="Normal"/></w:pPr>
<w:r><w:t xml:space="preserve">107.6%.  By 1902 there had been a still further increase to</w:t></w:r>
</w:p>
<w:p>
<w:pPr><w:pStyle w:val="Normal"/></w:pPr>
<w:r><w:t xml:space="preserve">9,478,852 acres, a gain of 25.7% in three years.  As many</w:t></w:r>
</w:p>
<w:p>
<w:pPr><w:pStyle w:val="Normal"/></w:pPr>
<w:r><w:t xml:space="preserve">of the streams available for irrigation purposes lie within</w:t></w:r>
</w:p>
<w:p>
<w:pPr><w:pStyle w:val="Normal"/></w:pPr>
<w:r><w:t xml:space="preserve">more than one state, the control of water supply is a proper</w:t></w:r>
</w:p>
<w:p>
<w:pPr><w:pStyle w:val="Normal"/></w:pPr>
<w:r><w:t xml:space="preserve">matter for federal jurisdiction, and in June 1902 Congress</w:t></w:r>
</w:p>
<w:p>
<w:pPr><w:pStyle w:val="Normal"/></w:pPr>
<w:r><w:t xml:space="preserve">provided for an extensive system of irrigation works in</w:t></w:r>
</w:p>
<w:p>
<w:pPr><w:pStyle w:val="Normal"/></w:pPr>
<w:r><w:t xml:space="preserve">thirteen states and three territories.  The cost of the work</w:t></w:r>
</w:p>
<w:p>
<w:pPr><w:pStyle w:val="Normal"/></w:pPr>
<w:r><w:t xml:space="preserve">is defrayed from the proceeds of the sales of government</w:t></w:r>
</w:p>
<w:p>
<w:pPr><w:pStyle w:val="Normal"/></w:pPr>
<w:r><w:t xml:space="preserve">lands within the states and territories affected by the</w:t></w:r>
</w:p>
<w:p>
<w:pPr><w:pStyle w:val="Normal"/></w:pPr>
<w:r><w:t xml:space="preserve">act.  The measure is not paternalistic; the settlers on the</w:t></w:r>
</w:p>
<w:p>
<w:pPr><w:pStyle w:val="Normal"/></w:pPr>
<w:r><w:t xml:space="preserve">lands, which are divided into farms of not less than 40 nor</w:t></w:r>
</w:p>
<w:p>
<w:pPr><w:pStyle w:val="Normal"/></w:pPr>
<w:r><w:t xml:space="preserve">more than 160 acres, are required to make annual payments to</w:t></w:r>
</w:p>
<w:p>
<w:pPr><w:pStyle w:val="Normal"/></w:pPr>
<w:r><w:t xml:space="preserve">the government in proportion to the water service they have</w:t></w:r>
</w:p>
<w:p>
<w:pPr><w:pStyle w:val="Normal"/></w:pPr>
<w:r><w:t xml:space="preserve">received, until the original cost of the works has been</w:t></w:r>
</w:p>
<w:p>
<w:pPr><w:pStyle w:val="Normal"/></w:pPr>
<w:r><w:t xml:space="preserve">met.  The first of these works, the so-called Truckee-Carson</w:t></w:r>
</w:p>
<w:p>
<w:pPr><w:pStyle w:val="Normal"/></w:pPr>
<w:r><w:t xml:space="preserve">project, of Nevada, was completed in June 1905, and at the</w:t></w:r>
</w:p>
<w:p>
<w:pPr><w:pStyle w:val="Normal"/></w:pPr>
<w:r><w:t xml:space="preserve">end of that year eight projects, in as many different states,</w:t></w:r>
</w:p>
<w:p>
<w:pPr><w:pStyle w:val="Normal"/></w:pPr>
<w:r><w:t xml:space="preserve">were under construction; bids had been received for three</w:t></w:r>
</w:p>
<w:p>
<w:pPr><w:pStyle w:val="Normal"/></w:pPr>
<w:r><w:t xml:space="preserve">more, and the seven others had received the approval of the</w:t></w:r>
</w:p>
<w:p>
<w:pPr><w:pStyle w:val="Normal"/></w:pPr>
<w:r><w:t xml:space="preserve">secretary of the interior.  With these initial undertakings</w:t></w:r>
</w:p>
<w:p>
<w:pPr><w:pStyle w:val="Normal"/></w:pPr>
<w:r><w:t xml:space="preserve">it was estimated that 1,000,859 acres could be reclaimed.</w:t></w:r>
</w:p>
<w:p>
<w:pPr><w:pStyle w:val="Normal"/></w:pPr>
<w:r><w:t xml:space="preserve">In addition to supplying the soils with water, means have</w:t></w:r>
</w:p>
<w:p>
<w:pPr><w:pStyle w:val="Normal"/></w:pPr>
<w:r><w:t xml:space="preserve">been found of ridding them of their alkali, or of rendering</w:t></w:r>
</w:p>
<w:p>
<w:pPr><w:pStyle w:val="Normal"/></w:pPr>
<w:r><w:t xml:space="preserve">it harmless; and this is an element of reclamation hardly</w:t></w:r>
</w:p>
<w:p>
<w:pPr><w:pStyle w:val="Normal"/></w:pPr>
<w:r><w:t xml:space="preserve">less important than irrigation itself.  A third step in the</w:t></w:r>
</w:p>
<w:p>
<w:pPr><w:pStyle w:val="Normal"/></w:pPr>
<w:r><w:t xml:space="preserve">reclamation of desert lands is arid farming--that is, the</w:t></w:r>
</w:p>
<w:p>
<w:pPr><w:pStyle w:val="Normal"/></w:pPr>
<w:r><w:t xml:space="preserve">adapting to the soils of crops that require a minimum amount of</w:t></w:r>
</w:p>
<w:p>
<w:pPr><w:pStyle w:val="Normal"/></w:pPr>
<w:r><w:t xml:space="preserve">moisture, and the utilization, to the fullest possible extent,</w:t></w:r>
</w:p>
<w:p>
<w:pPr><w:pStyle w:val="Normal"/></w:pPr>
<w:r><w:t xml:space="preserve">of the meagre amount of rainfall in the region.  Experiments</w:t></w:r>
</w:p>
<w:p>
<w:pPr><w:pStyle w:val="Normal"/></w:pPr>
<w:r><w:t xml:space="preserve">conducted in this direction in Utah produced promising results.</w:t></w:r>
</w:p>
<w:p>
<w:pPr><w:pStyle w:val="Normal"/></w:pPr>
<w:r><w:t xml:space="preserve">The development of farming machinery has kept pace with the</w:t></w:r>
</w:p>
<w:p>
<w:pPr><w:pStyle w:val="Normal"/></w:pPr>
<w:r><w:t xml:space="preserve">general progress in scientific agriculture.  Although numerous</w:t></w:r>
</w:p>
<w:p>
<w:pPr><w:pStyle w:val="Normal"/></w:pPr>
<w:r><w:t xml:space="preserve">patents were issued for such machinery before 1850, its use, with</w:t></w:r>
</w:p>
<w:p>
<w:pPr><w:pStyle w:val="Normal"/></w:pPr>
<w:r><w:t xml:space="preserve">the exception of the cotton gin, was very restricted before that</w:t></w:r>
</w:p>
<w:p>
<w:pPr><w:pStyle w:val="Normal"/></w:pPr>
<w:r><w:t xml:space="preserve">date.  Even iron ploughs were not in general use until 1842,</w:t></w:r>
</w:p>
<w:p>
<w:pPr><w:pStyle w:val="Normal"/></w:pPr>
<w:r><w:t xml:space="preserve">and a really scientific plough was practically unknown before</w:t></w:r>
</w:p>
<w:p>
<w:pPr><w:pStyle w:val="Normal"/></w:pPr>
<w:r><w:t xml:space="preserve">1870.  Thirty years later the large farms of the Pacific</w:t></w:r>
</w:p>
<w:p>
<w:pPr><w:pStyle w:val="Normal"/></w:pPr>
<w:r><w:t xml:space="preserve">states were ploughed, harrowed and sowed with wheat in a</w:t></w:r>
</w:p>
<w:p>
<w:pPr><w:pStyle w:val="Normal"/></w:pPr>
<w:r><w:t xml:space="preserve">single operation by fifty-horse-power traction engines drawing</w:t></w:r>
</w:p>
<w:p>
<w:pPr><w:pStyle w:val="Normal"/></w:pPr>
<w:r><w:t xml:space="preserve">ploughs, harrows and press drills.  Since 1850 there has</w:t></w:r>
</w:p>
<w:p>
<w:pPr><w:pStyle w:val="Normal"/></w:pPr>
<w:r><w:t xml:space="preserve">been a transition from the sickle and the scythe to a machine</w:t></w:r>
</w:p>
<w:p>
<w:pPr><w:pStyle w:val="Normal"/></w:pPr>
<w:r><w:t xml:space="preserve">that in one operation mows, threshes, cleans and sacks the</w:t></w:r>
</w:p>
<w:p>
<w:pPr><w:pStyle w:val="Normal"/></w:pPr>
<w:r><w:t xml:space="preserve">wheat, and in five minutes after touching the standing grain</w:t></w:r>
</w:p>
<w:p>
<w:pPr><w:pStyle w:val="Normal"/></w:pPr>
<w:r><w:t xml:space="preserve">has it ready for the market.  Hay-stackers, potato planters</w:t></w:r>
</w:p>
<w:p>
<w:pPr><w:pStyle w:val="Normal"/></w:pPr>
<w:r><w:t xml:space="preserve">and diggers, feed choppers and grinders, manure-spreaders,</w:t></w:r>
</w:p>
<w:p>
<w:pPr><w:pStyle w:val="Normal"/></w:pPr>
<w:r><w:t xml:space="preserve">check-row corn planters and ditch-digging machines are some</w:t></w:r>
</w:p>
<w:p>
<w:pPr><w:pStyle w:val="Normal"/></w:pPr>
<w:r><w:t xml:space="preserve">of the common labour-saving devices.  By the 28th of August</w:t></w:r>
</w:p>
<w:p>
<w:pPr><w:pStyle w:val="Normal"/></w:pPr>
<w:r><w:t xml:space="preserve">1907 the United States Patent Office had issued patents for</w:t></w:r>
</w:p>
<w:p>
<w:pPr><w:pStyle w:val="Normal"/></w:pPr>
<w:r><w:t xml:space="preserve">13,212 harvesting machines, 6352 threshers, 6680 harrows and</w:t></w:r>
</w:p>
<w:p>
<w:pPr><w:pStyle w:val="Normal"/></w:pPr>
<w:r><w:t xml:space="preserve">diggers, 9649 seeders and planters, and 13,171 ploughs.  In the</w:t></w:r>
</w:p>
<w:p>
<w:pPr><w:pStyle w:val="Normal"/></w:pPr>
<w:r><w:t xml:space="preserve">manufacture of agricultural machinery the United States leads the</w:t></w:r>
</w:p>
<w:p>
<w:pPr><w:pStyle w:val="Normal"/></w:pPr>
<w:r><w:t xml:space="preserve">world.  The total value of the implements and machinery used</w:t></w:r>
</w:p>
<w:p>
<w:pPr><w:pStyle w:val="Normal"/></w:pPr>
<w:r><w:t xml:space="preserve">by farmers of the United States in 1880 was $406,520,055; in</w:t></w:r>
</w:p>
<w:p>
<w:pPr><w:pStyle w:val="Normal"/></w:pPr>
<w:r><w:t xml:space="preserve">1890 $494,247,467; in 1900 $761,261,550, a gain in this last</w:t></w:r>
</w:p>
<w:p>
<w:pPr><w:pStyle w:val="Normal"/></w:pPr>
<w:r><w:t xml:space="preserve">decade of 54%. The total value of the implements and machinery</w:t></w:r>
</w:p>
<w:p>
<w:pPr><w:pStyle w:val="Normal"/></w:pPr>
<w:r><w:t xml:space="preserve">manufactured in 1850 was $6,842,611; in 1880 $68,640,486; in</w:t></w:r>
</w:p>
<w:p>
<w:pPr><w:pStyle w:val="Normal"/></w:pPr>
<w:r><w:t xml:space="preserve">1890 $81,271,651; in 1900 $101,207,428.These figures, however,</w:t></w:r>
</w:p>
<w:p>
<w:pPr><w:pStyle w:val="Normal"/></w:pPr>
<w:r><w:t xml:space="preserve">are a very poor indication of the actual use of machinery,</w:t></w:r>
</w:p>
<w:p>
<w:pPr><w:pStyle w:val="Normal"/></w:pPr>
<w:r><w:t xml:space="preserve">on account of the rapid decrease in prices following its</w:t></w:r>
</w:p>
<w:p>
<w:pPr><w:pStyle w:val="Normal"/></w:pPr>
<w:r><w:t xml:space="preserve">manufacture on a more extensive scale and by improved methods.</w:t></w:r>
</w:p>
<w:p>
<w:pPr><w:pStyle w:val="Normal"/></w:pPr>
<w:r><w:t xml:space="preserve">The effects of the new agriculture are apparent from the</w:t></w:r>
</w:p>
<w:p>
<w:pPr><w:pStyle w:val="Normal"/></w:pPr>
<w:r><w:t xml:space="preserve">following figures: By the methods of 1830 it required</w:t></w:r>
</w:p>
<w:p>
<w:pPr><w:pStyle w:val="Normal"/></w:pPr>
<w:r><w:t xml:space="preserve">64 hours and 15 minutes of man-labour and cost $3.71 to</w:t></w:r>
</w:p>
<w:p>
<w:pPr><w:pStyle w:val="Normal"/></w:pPr>
<w:r><w:t xml:space="preserve">produce an acre of wheat; by the methods employed in 1896</w:t></w:r>
</w:p>
<w:p>
<w:pPr><w:pStyle w:val="Normal"/></w:pPr>
<w:r><w:t xml:space="preserve">it required 2 hours and 58 minutes of man-labour and cost 72</w:t></w:r>
</w:p>
<w:p>
<w:pPr><w:pStyle w:val="Normal"/></w:pPr>
<w:r><w:t xml:space="preserve">cents.  To produce an acre of barley in 1830 required 63 hours</w:t></w:r>
</w:p>
<w:p>
<w:pPr><w:pStyle w:val="Normal"/></w:pPr>
<w:r><w:t xml:space="preserve">of man-labour and cost $3.59; in 1896 it required 2 hours</w:t></w:r>
</w:p>
<w:p>
<w:pPr><w:pStyle w:val="Normal"/></w:pPr>
<w:r><w:t xml:space="preserve">and 43 minutes and cost 60 cents.  An acre of oats produced</w:t></w:r>
</w:p>
<w:p>
<w:pPr><w:pStyle w:val="Normal"/></w:pPr>
<w:r><w:t xml:space="preserve">by the methods of 1830 required 66 hours and 15 minutes of</w:t></w:r>
</w:p>
<w:p>
<w:pPr><w:pStyle w:val="Normal"/></w:pPr>
<w:r><w:t xml:space="preserve">man-labour and cost $3.73; the methods of 1893 required only</w:t></w:r>
</w:p>
<w:p>
<w:pPr><w:pStyle w:val="Normal"/></w:pPr>
<w:r><w:t xml:space="preserve">7 hours and 6 minutes and cost $1.07.  With the same unit of</w:t></w:r>
</w:p>
<w:p>
<w:pPr><w:pStyle w:val="Normal"/></w:pPr>
<w:r><w:t xml:space="preserve">labour the average quantity of all leading crops produced by</w:t></w:r>
</w:p>
<w:p>
<w:pPr><w:pStyle w:val="Normal"/></w:pPr>
<w:r><w:t xml:space="preserve">modern methods is about five times as great as that produced</w:t></w:r>
</w:p>
<w:p>
<w:pPr><w:pStyle w:val="Normal"/></w:pPr>
<w:r><w:t xml:space="preserve">by the methods employed in 1850, and the cost of production</w:t></w:r>
</w:p>
<w:p>
<w:pPr><w:pStyle w:val="Normal"/></w:pPr>
<w:r><w:t xml:space="preserve">is reduced by one half.  From 1880 to 1900 the average number</w:t></w:r>
</w:p>
<w:p>
<w:pPr><w:pStyle w:val="Normal"/></w:pPr>
<w:r><w:t xml:space="preserve">of acres of leading crops per male worker increased from</w:t></w:r>
</w:p>
<w:p>
<w:pPr><w:pStyle w:val="Normal"/></w:pPr>
<w:r><w:t xml:space="preserve">23.3 to 31.0, or 34%; the number of horses per worker from</w:t></w:r>
</w:p>
<w:p>
<w:pPr><w:pStyle w:val="Normal"/></w:pPr>
<w:r><w:t xml:space="preserve">1.7 to 2.3, or 35%; and the value of agricultural product</w:t></w:r>
</w:p>
<w:p>
<w:pPr><w:pStyle w:val="Normal"/></w:pPr>
<w:r><w:t xml:space="preserve">per person employed from $286.82 to $454.37, or 58.4%.</w:t></w:r>
</w:p>
<w:p>
<w:pPr><w:pStyle w:val="Normal"/></w:pPr>
<w:r><w:t xml:space="preserve">There are numerous other factors that have operated to the</w:t></w:r>
</w:p>
<w:p>
<w:pPr><w:pStyle w:val="Normal"/></w:pPr>
<w:r><w:t xml:space="preserve">benefit of the agriculturist.  Increased transportation</w:t></w:r>
</w:p>
<w:p>
<w:pPr><w:pStyle w:val="Normal"/></w:pPr>
<w:r><w:t xml:space="preserve">facilities and lower freight charges have widened his market.</w:t></w:r>
</w:p>
<w:p>
<w:pPr><w:pStyle w:val="Normal"/></w:pPr>
<w:r><w:t xml:space="preserve">The processes of canning, packing, preserving and refrigerating</w:t></w:r>
</w:p>
<w:p>
<w:pPr><w:pStyle w:val="Normal"/></w:pPr>
<w:r><w:t xml:space="preserve">have produced a similar effect, and have also provided a means</w:t></w:r>
</w:p>
<w:p>
<w:pPr><w:pStyle w:val="Normal"/></w:pPr>
<w:r><w:t xml:space="preserve">for the disposal of surplus perishable products that otherwise</w:t></w:r>
</w:p>
<w:p>
<w:pPr><w:pStyle w:val="Normal"/></w:pPr>
<w:r><w:t xml:space="preserve">would be lost.  The utilization of by-products, as, for</w:t></w:r>
</w:p>
<w:p>
<w:pPr><w:pStyle w:val="Normal"/></w:pPr>
<w:r><w:t xml:space="preserve">example, the conversion of cotton seed into oil, fertilizers</w:t></w:r>
</w:p>
<w:p>
<w:pPr><w:pStyle w:val="Normal"/></w:pPr>
<w:r><w:t xml:space="preserve">and food for live stock, has become another source of profit.</w:t></w:r>
</w:p>
<w:p>
<w:pPr><w:pStyle w:val="Normal"/></w:pPr>
<w:r><w:t xml:space="preserve">Great economic and social changes have resulted from this</w:t></w:r>
</w:p>
<w:p>
<w:pPr><w:pStyle w:val="Normal"/></w:pPr>
<w:r><w:t xml:space="preserve">progress.  There has been a great division of labour in</w:t></w:r>
</w:p>
<w:p>
<w:pPr><w:pStyle w:val="Normal"/></w:pPr>
<w:r><w:t xml:space="preserve">agriculture.  Makers of agricultural implements, of butter</w:t></w:r>
</w:p>
<w:p>
<w:pPr><w:pStyle w:val="Normal"/></w:pPr>
<w:r><w:t xml:space="preserve">and cheese, cotton ginners, grist and wheat millers, are now</w:t></w:r>
</w:p>
<w:p>
<w:pPr><w:pStyle w:val="Normal"/></w:pPr>
<w:r><w:t xml:space="preserve">classed in the United States census reports as manufacturers,</w:t></w:r>
</w:p>
<w:p>
<w:pPr><w:pStyle w:val="Normal"/></w:pPr>
<w:r><w:t xml:space="preserve">but all their work was once done on the farm.  The farmer</w:t></w:r>
</w:p>
<w:p>
<w:pPr><w:pStyle w:val="Normal"/></w:pPr>
<w:r><w:t xml:space="preserve">is now more of a specialist and more dependent on other</w:t></w:r>
</w:p>
<w:p>
<w:pPr><w:pStyle w:val="Normal"/></w:pPr>
<w:r><w:t xml:space="preserve">industries than formerly.  He has changed from a producer for</w:t></w:r>
</w:p>
<w:p>
<w:pPr><w:pStyle w:val="Normal"/></w:pPr>
<w:r><w:t xml:space="preserve">home consumption or a local market to a producer for a world</w:t></w:r>
</w:p>
<w:p>
<w:pPr><w:pStyle w:val="Normal"/></w:pPr>
<w:r><w:t xml:space="preserve">market.  Unfortunately, his knowledge of economic laws has</w:t></w:r>
</w:p>
<w:p>
<w:pPr><w:pStyle w:val="Normal"/></w:pPr>
<w:r><w:t xml:space="preserve">lagged behind his progress in scientific agriculture.  The</w:t></w:r>
</w:p>
<w:p>
<w:pPr><w:pStyle w:val="Normal"/></w:pPr>
<w:r><w:t xml:space="preserve">farming class at times have experienced periods of great</w:t></w:r>
</w:p>
<w:p>
<w:pPr><w:pStyle w:val="Normal"/></w:pPr>
<w:r><w:t xml:space="preserve">depression, largely on account of their inability to adjust</w:t></w:r>
</w:p>
<w:p>
<w:pPr><w:pStyle w:val="Normal"/></w:pPr>
<w:r><w:t xml:space="preserve">their crops to changing conditions in the world&apos;s markets,</w:t></w:r>
</w:p>
<w:p>
<w:pPr><w:pStyle w:val="Normal"/></w:pPr>
<w:r><w:t xml:space="preserve">and in such cases have been prone to seek a remedy in radical</w:t></w:r>
</w:p>
<w:p>
<w:pPr><w:pStyle w:val="Normal"/></w:pPr>
<w:r><w:t xml:space="preserve">legislation.  Periods of agricultural discontent at different times</w:t></w:r>
</w:p>
<w:p>
<w:pPr><w:pStyle w:val="Normal"/></w:pPr>
<w:r><w:t xml:space="preserve">have been marked by the political activity of the ``Grangers&apos;&apos;</w:t></w:r>
</w:p>
<w:p>
<w:pPr><w:pStyle w:val="Normal"/></w:pPr>
<w:r><w:t xml:space="preserve">and of the ``Farmers&apos; Alliance.&apos;&apos; and even by the formation</w:t></w:r>
</w:p>
<w:p>
<w:pPr><w:pStyle w:val="Normal"/></w:pPr>
<w:r><w:t xml:space="preserve">of new political parties such as the Greenback party in 1874</w:t></w:r>
</w:p>
<w:p>
<w:pPr><w:pStyle w:val="Normal"/></w:pPr>
<w:r><w:t xml:space="preserve">and the Populist or People&apos;s party in 1892--whose strength</w:t></w:r>
</w:p>
<w:p>
<w:pPr><w:pStyle w:val="Normal"/></w:pPr>
<w:r><w:t xml:space="preserve">lay mainly in the agricultural states.  The new industrial</w:t></w:r>
</w:p>
<w:p>
<w:pPr><w:pStyle w:val="Normal"/></w:pPr>
<w:r><w:t xml:space="preserve">conditions that produced combinations among manufacturers</w:t></w:r>
</w:p>
<w:p>
<w:pPr><w:pStyle w:val="Normal"/></w:pPr>
<w:r><w:t xml:space="preserve">were much slower in their effect upon the farming element, but</w:t></w:r>
</w:p>
<w:p>
<w:pPr><w:pStyle w:val="Normal"/></w:pPr>
<w:r><w:t xml:space="preserve">gradually led to increasing co-operation and to the organization</w:t></w:r>
</w:p>
<w:p>
<w:pPr><w:pStyle w:val="Normal"/></w:pPr>
<w:r><w:t xml:space="preserve">of the growers of various commodities for marketing their</w:t></w:r>
</w:p>
<w:p>
<w:pPr><w:pStyle w:val="Normal"/></w:pPr>
<w:r><w:t xml:space="preserve">crops.  The fruit growers of California and the tobacco</w:t></w:r>
</w:p>
<w:p>
<w:pPr><w:pStyle w:val="Normal"/></w:pPr>
<w:r><w:t xml:space="preserve">growers of Kentucky have furnished interesting examples of such</w:t></w:r>
</w:p>
<w:p>
<w:pPr><w:pStyle w:val="Normal"/></w:pPr>
<w:r><w:t xml:space="preserve">organizations.  Under the improved conditions there is less</w:t></w:r>
</w:p>
<w:p>
<w:pPr><w:pStyle w:val="Normal"/></w:pPr>
<w:r><w:t xml:space="preserve">drudgery on the farm; the farmer does more work, produces</w:t></w:r>
</w:p>
<w:p>
<w:pPr><w:pStyle w:val="Normal"/></w:pPr>
<w:r><w:t xml:space="preserve">more, and yet has more leisure than formerly.  Better roads,</w:t></w:r>
</w:p>
<w:p>
<w:pPr><w:pStyle w:val="Normal"/></w:pPr>
<w:r><w:t xml:space="preserve">rural free mail delivery, telephone and electric lines are</w:t></w:r>
</w:p>
<w:p>
<w:pPr><w:pStyle w:val="Normal"/></w:pPr>
<w:r><w:t xml:space="preserve">removing the isolation of country life, and to some extent are</w:t></w:r>
</w:p>
<w:p>
<w:pPr><w:pStyle w:val="Normal"/></w:pPr>
<w:r><w:t xml:space="preserve">diminishing the attractions of the cities for the rural population.</w:t></w:r>
</w:p>
<w:p>
<w:pPr><w:pStyle w:val="Normal"/></w:pPr>
<w:r><w:t xml:space="preserve">Covering as it does the breadth of the North American continent,</w:t></w:r>
</w:p>
<w:p>
<w:pPr><w:pStyle w:val="Normal"/></w:pPr>
<w:r><w:t xml:space="preserve">with 3,000,000 sq. m. of land surface, not including Alaska</w:t></w:r>
</w:p>
<w:p>
<w:pPr><w:pStyle w:val="Normal"/></w:pPr>
<w:r><w:t xml:space="preserve">and the islands, of which over 800,000,000 acres are in farms</w:t></w:r>
</w:p>
<w:p>
<w:pPr><w:pStyle w:val="Normal"/></w:pPr>
<w:r><w:t xml:space="preserve">and over 400,000,000 in actual cultivation, representing every</w:t></w:r>
</w:p>
<w:p>
<w:pPr><w:pStyle w:val="Normal"/></w:pPr>
<w:r><w:t xml:space="preserve">variety of soil and all the climatic life zones of the world,</w:t></w:r>
</w:p>
<w:p>
<w:pPr><w:pStyle w:val="Normal"/></w:pPr>
<w:r><w:t xml:space="preserve">except the extreme boreal and the hottest tropical, the United</w:t></w:r>
</w:p>
<w:p>
<w:pPr><w:pStyle w:val="Normal"/></w:pPr>
<w:r><w:t xml:space="preserve">States affords an important subject of study in respect of</w:t></w:r>
</w:p>
<w:p>
<w:pPr><w:pStyle w:val="Normal"/></w:pPr>
<w:r><w:t xml:space="preserve">agriculture.  Its cotton, wheat and meat are large factors</w:t></w:r>
</w:p>
<w:p>
<w:pPr><w:pStyle w:val="Normal"/></w:pPr>
<w:r><w:t xml:space="preserve">in all markets,and its many other agricultural products are</w:t></w:r>
</w:p>
<w:p>
<w:pPr><w:pStyle w:val="Normal"/></w:pPr>
<w:r><w:t xml:space="preserve">distributed throughout the civilized world.  To the student the</w:t></w:r>
</w:p>
<w:p>
<w:pPr><w:pStyle w:val="Normal"/></w:pPr>
<w:r><w:t xml:space="preserve">equipment and methods of agriculture in the United States form</w:t></w:r>
</w:p>
<w:p>
<w:pPr><w:pStyle w:val="Normal"/></w:pPr>
<w:r><w:t xml:space="preserve">as interesting a subject of examination as do its resources and</w:t></w:r>
</w:p>
<w:p>
<w:pPr><w:pStyle w:val="Normal"/></w:pPr>
<w:r><w:t xml:space="preserve">production.  In quantity, distribution and inter-relation of heat</w:t></w:r>
</w:p>
<w:p>
<w:pPr><w:pStyle w:val="Normal"/></w:pPr>
<w:r><w:t xml:space="preserve">and moisture --the chief factors in agricultural production--the</w:t></w:r>
</w:p>
<w:p>
<w:pPr><w:pStyle w:val="Normal"/></w:pPr>
<w:r><w:t xml:space="preserve">United States is greatly blessed.  We find in this vast</w:t></w:r>
</w:p>
<w:p>
<w:pPr><w:pStyle w:val="Normal"/></w:pPr>
<w:r><w:t xml:space="preserve">territory all the agricultural belts mapped by the biologist,</w:t></w:r>
</w:p>
<w:p>
<w:pPr><w:pStyle w:val="Normal"/></w:pPr>
<w:r><w:t xml:space="preserve">producing all varieties of cereals, fruits and breeds of live</w:t></w:r>
</w:p>
<w:p>
<w:pPr><w:pStyle w:val="Normal"/></w:pPr>
<w:r><w:t xml:space="preserve">stock, whilst all kinds of soils, adapted to different crops,</w:t></w:r>
</w:p>
<w:p>
<w:pPr><w:pStyle w:val="Normal"/></w:pPr>
<w:r><w:t xml:space="preserve">are spread out at all altitudes from 8000 ft. down to sea-level.</w:t></w:r>
</w:p>
<w:p>
<w:pPr><w:pStyle w:val="Normal"/></w:pPr>
<w:r><w:t xml:space="preserve">The story of the vast and varied agriculture of the United States</w:t></w:r>
</w:p>
<w:p>
<w:pPr><w:pStyle w:val="Normal"/></w:pPr>
<w:r><w:t xml:space="preserve">can be outlined by extracts from the figures published by the</w:t></w:r>
</w:p>
<w:p>
<w:pPr><w:pStyle w:val="Normal"/></w:pPr>
<w:r><w:t xml:space="preserve">Census, the Agricultural and other government departments.</w:t></w:r>
</w:p>
<w:p>
<w:pPr><w:pStyle w:val="Normal"/></w:pPr>
<w:r><w:t xml:space="preserve">Farms.</w:t></w:r>
</w:p>
<w:p>
<w:pPr><w:pStyle w:val="Normal"/></w:pPr>
<w:r><w:t xml:space="preserve">As a result of the great supply of available land the</w:t></w:r>
</w:p>
<w:p>
<w:pPr><w:pStyle w:val="Normal"/></w:pPr>
<w:r><w:t xml:space="preserve">number of farms in the United States increased between 1850</w:t></w:r>
</w:p>
<w:p>
<w:pPr><w:pStyle w:val="Normal"/></w:pPr>
<w:r><w:t xml:space="preserve">and 1900 from 1,449,073 to 5,739,657; their total acreage</w:t></w:r>
</w:p>
<w:p>
<w:pPr><w:pStyle w:val="Normal"/></w:pPr>
<w:r><w:t xml:space="preserve">increased from 293,560,614 to 841,201,546 acres; their</w:t></w:r>
</w:p>
<w:p>
<w:pPr><w:pStyle w:val="Normal"/></w:pPr>
<w:r><w:t xml:space="preserve">improved acreage increased from 113,032,614 to 414,793,191</w:t></w:r>
</w:p>
<w:p>
<w:pPr><w:pStyle w:val="Normal"/></w:pPr>
<w:r><w:t xml:space="preserve">acres; and their unimproved13 acreage from 180,528,000</w:t></w:r>
</w:p>
<w:p>
<w:pPr><w:pStyle w:val="Normal"/></w:pPr>
<w:r><w:t xml:space="preserve">to 426,408,355 acres.  Table XXVII. exhibits the increases</w:t></w:r>
</w:p>
<w:p>
<w:pPr><w:pStyle w:val="Normal"/></w:pPr>
<w:r><w:t xml:space="preserve">of number of farms, total and improved acreage by decades.</w:t></w:r>
</w:p>
<w:p>
<w:pPr><w:pStyle w:val="Normal"/></w:pPr>
<w:r><w:t xml:space="preserve">The largest percentage of increase of improved land was 50.7,</w:t></w:r>
</w:p>
<w:p>
<w:pPr><w:pStyle w:val="Normal"/></w:pPr>
<w:r><w:t xml:space="preserve">from 1870 to 1880; the lowest was in the decade 1860 to 1870,</w:t></w:r>
</w:p>
<w:p>
<w:pPr><w:pStyle w:val="Normal"/></w:pPr>
<w:r><w:t xml:space="preserve">the period of the Civil War, and was 15.8.  The chief cause</w:t></w:r>
</w:p>
<w:p>
<w:pPr><w:pStyle w:val="Normal"/></w:pPr>
<w:r><w:t xml:space="preserve">of this wonderful development of agriculture is the large area</w:t></w:r>
</w:p>
<w:p>
<w:pPr><w:pStyle w:val="Normal"/></w:pPr>
<w:r><w:t xml:space="preserve">of cheap public lands which has been available for immigrants</w:t></w:r>
</w:p>
<w:p>
<w:pPr><w:pStyle w:val="Normal"/></w:pPr>
<w:r><w:t xml:space="preserve">and natives alike.  Up to 1906, under the Homestead Act of</w:t></w:r>
</w:p>
<w:p>
<w:pPr><w:pStyle w:val="Normal"/></w:pPr>
<w:r><w:t xml:space="preserve">the 20th of May 1862, the number of entries, both final and</w:t></w:r>
</w:p>
<w:p>
<w:pPr><w:pStyle w:val="Normal"/></w:pPr>
<w:r><w:t xml:space="preserve">pending, covered 185,385,000 acres.  Between 1875 and 1905</w:t></w:r>
</w:p>
<w:p>
<w:pPr><w:pStyle w:val="Normal"/></w:pPr>
<w:r><w:t xml:space="preserve">the public and Indian lands sold for cash and under homestead</w:t></w:r>
</w:p>
<w:p>
<w:pPr><w:pStyle w:val="Normal"/></w:pPr>
<w:r><w:t xml:space="preserve">and timber culture laws, as well as those allotted by scrip,</w:t></w:r>
</w:p>
<w:p>
<w:pPr><w:pStyle w:val="Normal"/></w:pPr>
<w:r><w:t xml:space="preserve">granted to the colleges of agriculture and mechanic arts and</w:t></w:r>
</w:p>
<w:p>
<w:pPr><w:pStyle w:val="Normal"/></w:pPr>
<w:r><w:t xml:space="preserve">other institutions, and by military bounty land warrants, and</w:t></w:r>
</w:p>
<w:p>
<w:pPr><w:pStyle w:val="Normal"/></w:pPr>
<w:r><w:t xml:space="preserve">selected by states and railroad corporations, covered about</w:t></w:r>
</w:p>
<w:p>
<w:pPr><w:pStyle w:val="Normal"/></w:pPr>
<w:r><w:t xml:space="preserve">430,000,000 acres.  In addition to this, the states and railroad</w:t></w:r>
</w:p>
<w:p>
<w:pPr><w:pStyle w:val="Normal"/></w:pPr>
<w:r><w:t xml:space="preserve">corporations sold a large amount of land to farmers of which</w:t></w:r>
</w:p>
<w:p>
<w:pPr><w:pStyle w:val="Normal"/></w:pPr>
<w:r><w:t xml:space="preserve">we have no accurate record.  This vast territory, greater</w:t></w:r>
</w:p>
<w:p>
<w:pPr><w:pStyle w:val="Normal"/></w:pPr>
<w:r><w:t xml:space="preserve">TABLE XXVII.--Percentage of Increase of Number and Acreage of</w:t></w:r>
</w:p>
<w:p>
<w:pPr><w:pStyle w:val="Normal"/></w:pPr>
<w:r><w:t xml:space="preserve">Farms by Census Decades.</w:t></w:r>
</w:p>
<w:p>
<w:pPr><w:pStyle w:val="Normal"/></w:pPr>
<w:r><w:t xml:space="preserve">Number of         Acreage.</w:t></w:r>
</w:p>
<w:p>
<w:pPr><w:pStyle w:val="Normal"/></w:pPr>
<w:r><w:t xml:space="preserve">The United States.     Farms.     Total.   Improved.</w:t></w:r>
</w:p>
<w:p>
<w:pPr><w:pStyle w:val="Normal"/></w:pPr>
<w:r><w:t xml:space="preserve">1850 to 1860           41.1         38.7     44.3</w:t></w:r>
</w:p>
<w:p>
<w:pPr><w:pStyle w:val="Normal"/></w:pPr>
<w:r><w:t xml:space="preserve">1860 to 1870           30.1          0.1     15.8</w:t></w:r>
</w:p>
<w:p>
<w:pPr><w:pStyle w:val="Normal"/></w:pPr>
<w:r><w:t xml:space="preserve">1870 to 1880           50.7         31.5     50.7</w:t></w:r>
</w:p>
<w:p>
<w:pPr><w:pStyle w:val="Normal"/></w:pPr>
<w:r><w:t xml:space="preserve">1880 to 1890           13.9         16.2     25.6</w:t></w:r>
</w:p>
<w:p>
<w:pPr><w:pStyle w:val="Normal"/></w:pPr>
<w:r><w:t xml:space="preserve">1890 to 1900           25.7         35.0     16.0</w:t></w:r>
</w:p>
<w:p>
<w:pPr><w:pStyle w:val="Normal"/></w:pPr>
<w:r><w:t xml:space="preserve">1850 to 1900          296.0        186.5    267.1</w:t></w:r>
</w:p>
<w:p>
<w:pPr><w:pStyle w:val="Normal"/></w:pPr>
<w:r><w:t xml:space="preserve">in extent than Germany and France combined, was added to</w:t></w:r>
</w:p>
<w:p>
<w:pPr><w:pStyle w:val="Normal"/></w:pPr>
<w:r><w:t xml:space="preserve">the farms of the country in thirty years.  In many cases</w:t></w:r>
</w:p>
<w:p>
<w:pPr><w:pStyle w:val="Normal"/></w:pPr>
<w:r><w:t xml:space="preserve">railroad building has made the settlement of the public</w:t></w:r>
</w:p>
<w:p>
<w:pPr><w:pStyle w:val="Normal"/></w:pPr>
<w:r><w:t xml:space="preserve">lands possible for the first time, and the building of branch</w:t></w:r>
</w:p>
<w:p>
<w:pPr><w:pStyle w:val="Normal"/></w:pPr>
<w:r><w:t xml:space="preserve">lines, by providing means for transporting products to</w:t></w:r>
</w:p>
<w:p>
<w:pPr><w:pStyle w:val="Normal"/></w:pPr>
<w:r><w:t xml:space="preserve">market, has greatly facilitated the acquisition of other</w:t></w:r>
</w:p>
<w:p>
<w:pPr><w:pStyle w:val="Normal"/></w:pPr>
<w:r><w:t xml:space="preserve">lands.  The mileage of railways increased 310.7% between</w:t></w:r>
</w:p>
<w:p>
<w:pPr><w:pStyle w:val="Normal"/></w:pPr>
<w:r><w:t xml:space="preserve">1870 and 1905.  The interesting fact is that this increase</w:t></w:r>
</w:p>
<w:p>
<w:pPr><w:pStyle w:val="Normal"/></w:pPr>
<w:r><w:t xml:space="preserve">corresponds geographically to the increase in farms.</w:t></w:r>
</w:p>
<w:p>
<w:pPr><w:pStyle w:val="Normal"/></w:pPr>
<w:r><w:t xml:space="preserve">The agricultural statistics do not include any farm of less</w:t></w:r>
</w:p>
<w:p>
<w:pPr><w:pStyle w:val="Normal"/></w:pPr>
<w:r><w:t xml:space="preserve">than three acres unless it produced at least $500 worth of</w:t></w:r>
</w:p>
<w:p>
<w:pPr><w:pStyle w:val="Normal"/></w:pPr>
<w:r><w:t xml:space="preserve">products in the preceding year.  The census of 1900 showed</w:t></w:r>
</w:p>
<w:p>
<w:pPr><w:pStyle w:val="Normal"/></w:pPr>
<w:r><w:t xml:space="preserve">that the average size of farms was 146 acres, or nine acres</w:t></w:r>
</w:p>
<w:p>
<w:pPr><w:pStyle w:val="Normal"/></w:pPr>
<w:r><w:t xml:space="preserve">more than in 1890 and 57 acres less than in 1850.  This</w:t></w:r>
</w:p>
<w:p>
<w:pPr><w:pStyle w:val="Normal"/></w:pPr>
<w:r><w:t xml:space="preserve">fact, however, does not indicate a general tendency toward</w:t></w:r>
</w:p>
<w:p>
<w:pPr><w:pStyle w:val="Normal"/></w:pPr>
<w:r><w:t xml:space="preserve">the consolidation of holdings.  The increase in the average</w:t></w:r>
</w:p>
<w:p>
<w:pPr><w:pStyle w:val="Normal"/></w:pPr>
<w:r><w:t xml:space="preserve">size of farms for the whole country is due to the extension</w:t></w:r>
</w:p>
<w:p>
<w:pPr><w:pStyle w:val="Normal"/></w:pPr>
<w:r><w:t xml:space="preserve">of grazing lands in the Rocky Mountain region and in Texas,</w:t></w:r>
</w:p>
<w:p>
<w:pPr><w:pStyle w:val="Normal"/></w:pPr>
<w:r><w:t xml:space="preserve">and to the enlargement of the wheat fields in the Mississippi</w:t></w:r>
</w:p>
<w:p>
<w:pPr><w:pStyle w:val="Normal"/></w:pPr>
<w:r><w:t xml:space="preserve">valley.  On the other hand, in the southern states there</w:t></w:r>
</w:p>
<w:p>
<w:pPr><w:pStyle w:val="Normal"/></w:pPr>
<w:r><w:t xml:space="preserve">has been a steady breaking up of holdings and decrease in</w:t></w:r>
</w:p>
<w:p>
<w:pPr><w:pStyle w:val="Normal"/></w:pPr>
<w:r><w:t xml:space="preserve">the average size of farms since the close of the Civil War.</w:t></w:r>
</w:p>
<w:p>
<w:pPr><w:pStyle w:val="Normal"/></w:pPr>
<w:r><w:t xml:space="preserve">In the New England states, where dairying has become the</w:t></w:r>
</w:p>
<w:p>
<w:pPr><w:pStyle w:val="Normal"/></w:pPr>
<w:r><w:t xml:space="preserve">leading agricultural industry, there was an increase of 2</w:t></w:r>
</w:p>
<w:p>
<w:pPr><w:pStyle w:val="Normal"/></w:pPr>
<w:r><w:t xml:space="preserve">acres in the size of farms during the decade 1890-1900.</w:t></w:r>
</w:p>
<w:p>
<w:pPr><w:pStyle w:val="Normal"/></w:pPr>
<w:r><w:t xml:space="preserve">This increase was more than offset by the decrease in the</w:t></w:r>
</w:p>
<w:p>
<w:pPr><w:pStyle w:val="Normal"/></w:pPr>
<w:r><w:t xml:space="preserve">Atlantic states from New York to Maryland inclusive (2.8</w:t></w:r>
</w:p>
<w:p>
<w:pPr><w:pStyle w:val="Normal"/></w:pPr>
<w:r><w:t xml:space="preserve">acres), where there has been a subdivision of farms following</w:t></w:r>
</w:p>
<w:p>
<w:pPr><w:pStyle w:val="Normal"/></w:pPr>
<w:r><w:t xml:space="preserve">the increased attention given to the growing of fruits and</w:t></w:r>
</w:p>
<w:p>
<w:pPr><w:pStyle w:val="Normal"/></w:pPr>
<w:r><w:t xml:space="preserve">vegetables for cities.  The same tendency is noted in the</w:t></w:r>
</w:p>
<w:p>
<w:pPr><w:pStyle w:val="Normal"/></w:pPr>
<w:r><w:t xml:space="preserve">states of Ohio, Indiana and Illinois.  As will be seen from</w:t></w:r>
</w:p>
<w:p>
<w:pPr><w:pStyle w:val="Normal"/></w:pPr>
<w:r><w:t xml:space="preserve">Table XXVIII., the average farm, which steadily diminished</w:t></w:r>
</w:p>
<w:p>
<w:pPr><w:pStyle w:val="Normal"/></w:pPr>
<w:r><w:t xml:space="preserve">in size from 1850 to 1880, increased between 1880 and 1900.</w:t></w:r>
</w:p>
<w:p>
<w:pPr><w:pStyle w:val="Normal"/></w:pPr>
<w:r><w:t xml:space="preserve">TABLE XXVIII.--Average Acreage of Farms and Proportion of</w:t></w:r>
</w:p>
<w:p>
<w:pPr><w:pStyle w:val="Normal"/></w:pPr>
<w:r><w:t xml:space="preserve">Improved Land Therein.</w:t></w:r>
</w:p>
<w:p>
<w:pPr><w:pStyle w:val="Normal"/></w:pPr>
<w:r><w:t xml:space="preserve">Proportion of</w:t></w:r>
</w:p>
<w:p>
<w:pPr><w:pStyle w:val="Normal"/></w:pPr>
<w:r><w:t xml:space="preserve">Whole Farm.   Improved Land.</w:t></w:r>
</w:p>
<w:p>
<w:pPr><w:pStyle w:val="Normal"/></w:pPr>
<w:r><w:t xml:space="preserve">1850   202.6            38.5</w:t></w:r>
</w:p>
<w:p>
<w:pPr><w:pStyle w:val="Normal"/></w:pPr>
<w:r><w:t xml:space="preserve">1860   199.2            40.1</w:t></w:r>
</w:p>
<w:p>
<w:pPr><w:pStyle w:val="Normal"/></w:pPr>
<w:r><w:t xml:space="preserve">1870   153.3            46.3</w:t></w:r>
</w:p>
<w:p>
<w:pPr><w:pStyle w:val="Normal"/></w:pPr>
<w:r><w:t xml:space="preserve">1880   133.7            53.1</w:t></w:r>
</w:p>
<w:p>
<w:pPr><w:pStyle w:val="Normal"/></w:pPr>
<w:r><w:t xml:space="preserve">1890   136.5            57.4</w:t></w:r>
</w:p>
<w:p>
<w:pPr><w:pStyle w:val="Normal"/></w:pPr>
<w:r><w:t xml:space="preserve">1900   146.6            49.3</w:t></w:r>
</w:p>
<w:p>
<w:pPr><w:pStyle w:val="Normal"/></w:pPr>
<w:r><w:t xml:space="preserve">The acreage of North Atlantic farms decreased from 112.6</w:t></w:r>
</w:p>
<w:p>
<w:pPr><w:pStyle w:val="Normal"/></w:pPr>
<w:r><w:t xml:space="preserve">in 1850 to 95.3 in 1890, and increased in 1890-1900 to 96.5</w:t></w:r>
</w:p>
<w:p>
<w:pPr><w:pStyle w:val="Normal"/></w:pPr>
<w:r><w:t xml:space="preserve">acres.  In the north Atlantic states the average was 376.4 acres</w:t></w:r>
</w:p>
<w:p>
<w:pPr><w:pStyle w:val="Normal"/></w:pPr>
<w:r><w:t xml:space="preserve">in 1850, and there has been steady decrease, so that in 1900</w:t></w:r>
</w:p>
<w:p>
<w:pPr><w:pStyle w:val="Normal"/></w:pPr>
<w:r><w:t xml:space="preserve">it was 108.4, or one-third less than the average for the entire</w:t></w:r>
</w:p>
<w:p>
<w:pPr><w:pStyle w:val="Normal"/></w:pPr>
<w:r><w:t xml:space="preserve">country.  In the north central states the averages of 1850</w:t></w:r>
</w:p>
<w:p>
<w:pPr><w:pStyle w:val="Normal"/></w:pPr>
<w:r><w:t xml:space="preserve">and 1900 were nearly the same (143.3 and 144.5 respectively),</w:t></w:r>
</w:p>
<w:p>
<w:pPr><w:pStyle w:val="Normal"/></w:pPr>
<w:r><w:t xml:space="preserve">with the minimum (121.9 acres) in 1880.  The south central</w:t></w:r>
</w:p>
<w:p>
<w:pPr><w:pStyle w:val="Normal"/></w:pPr>
<w:r><w:t xml:space="preserve">states averaged 291 acres in 1850, 321.3 in 1860, 144 in</w:t></w:r>
</w:p>
<w:p>
<w:pPr><w:pStyle w:val="Normal"/></w:pPr>
<w:r><w:t xml:space="preserve">1890, and 155.4 in 1900.  The maximum decade for the western</w:t></w:r>
</w:p>
<w:p>
<w:pPr><w:pStyle w:val="Normal"/></w:pPr>
<w:r><w:t xml:space="preserve">states was that ending in 1850 (694.9 acres), and the minimum</w:t></w:r>
</w:p>
<w:p>
<w:pPr><w:pStyle w:val="Normal"/></w:pPr>
<w:r><w:t xml:space="preserve">1880 (312.9); and the average in 1900 was 386.1 acres.</w:t></w:r>
</w:p>
<w:p>
<w:pPr><w:pStyle w:val="Normal"/></w:pPr>
<w:r><w:t xml:space="preserve">Table XXIX. gives the number of farms, together with their distribution,</w:t></w:r>
</w:p>
<w:p>
<w:pPr><w:pStyle w:val="Normal"/></w:pPr>
<w:r><w:t xml:space="preserve">under different forms of tenure in the years 1880, 1890 and 1900.</w:t></w:r>
</w:p>
<w:p>
<w:pPr><w:pStyle w:val="Normal"/></w:pPr>
<w:r><w:t xml:space="preserve">The steady drift towards farm tenancy of late is believed</w:t></w:r>
</w:p>
<w:p>
<w:pPr><w:pStyle w:val="Normal"/></w:pPr>
<w:r><w:t xml:space="preserve">to be injurious to production; but it is impossible to prove</w:t></w:r>
</w:p>
<w:p>
<w:pPr><w:pStyle w:val="Normal"/></w:pPr>
<w:r><w:t xml:space="preserve">this, so great has been the aggregate increase in products.</w:t></w:r>
</w:p>
<w:p>
<w:pPr><w:pStyle w:val="Normal"/></w:pPr>
<w:r><w:t xml:space="preserve">The number of persons engaged in agriculture as a business</w:t></w:r>
</w:p>
<w:p>
<w:pPr><w:pStyle w:val="Normal"/></w:pPr>
<w:r><w:t xml:space="preserve">in 1900 was 10,381,765, or 36% of all persons in gainful</w:t></w:r>
</w:p>
<w:p>
<w:pPr><w:pStyle w:val="Normal"/></w:pPr>
<w:r><w:t xml:space="preserve">occupations.  It is interesting to note that 977,336 of</w:t></w:r>
</w:p>
<w:p>
<w:pPr><w:pStyle w:val="Normal"/></w:pPr>
<w:r><w:t xml:space="preserve">these were women.  This is an increase of 2,667,890 persons</w:t></w:r>
</w:p>
<w:p>
<w:pPr><w:pStyle w:val="Normal"/></w:pPr>
<w:r><w:t xml:space="preserve">over 1880.  Thus, if the farm family is the same size as</w:t></w:r>
</w:p>
<w:p>
<w:pPr><w:pStyle w:val="Normal"/></w:pPr>
<w:r><w:t xml:space="preserve">that of the remainder of the population--it is probably</w:t></w:r>
</w:p>
<w:p>
<w:pPr><w:pStyle w:val="Normal"/></w:pPr>
<w:r><w:t xml:space="preserve">slightly larger--the agricultural population would be</w:t></w:r>
</w:p>
<w:p>
<w:pPr><w:pStyle w:val="Normal"/></w:pPr>
<w:r><w:t xml:space="preserve">36% of the whole.  Statisticians usually put it at 40%,</w:t></w:r>
</w:p>
<w:p>
<w:pPr><w:pStyle w:val="Normal"/></w:pPr>
<w:r><w:t xml:space="preserve">and this is probably more nrealy correct (Table XXX.).</w:t></w:r>
</w:p>
<w:p>
<w:pPr><w:pStyle w:val="Normal"/></w:pPr>
<w:r><w:t xml:space="preserve">The wages paid farm labourers, as ascertainted by the Department</w:t></w:r>
</w:p>
<w:p>
<w:pPr><w:pStyle w:val="Normal"/></w:pPr>
<w:r><w:t xml:space="preserve">of Agriculture, are rather low compared with the average wages</w:t></w:r>
</w:p>
<w:p>
<w:pPr><w:pStyle w:val="Normal"/></w:pPr>
<w:r><w:t xml:space="preserve">of labour, but not lower than the wages of other unskilled</w:t></w:r>
</w:p>
<w:p>
<w:pPr><w:pStyle w:val="Normal"/></w:pPr>
<w:r><w:t xml:space="preserve">labour.  The average monthly wage of the agricultural labourer,</w:t></w:r>
</w:p>
<w:p>
<w:pPr><w:pStyle w:val="Normal"/></w:pPr>
<w:r><w:t xml:space="preserve">without board, was $19.50 in 1870, $16.42 in 1880, $18.33 in</w:t></w:r>
</w:p>
<w:p>
<w:pPr><w:pStyle w:val="Normal"/></w:pPr>
<w:r><w:t xml:space="preserve">1890, $17.70 in 1895, and $20.23 in 1899, when the maximum</w:t></w:r>
</w:p>
<w:p>
<w:pPr><w:pStyle w:val="Normal"/></w:pPr>
<w:r><w:t xml:space="preserve">for any state was $45.10 in Nevada, the minimum $10.06 in</w:t></w:r>
</w:p>
<w:p>
<w:pPr><w:pStyle w:val="Normal"/></w:pPr>
<w:r><w:t xml:space="preserve">South Carolina. the wages of the American farm labourer were</w:t></w:r>
</w:p>
<w:p>
<w:pPr><w:pStyle w:val="Normal"/></w:pPr>
<w:r><w:t xml:space="preserve">at this last date named (1899) higher than for any other farm</w:t></w:r>
</w:p>
<w:p>
<w:pPr><w:pStyle w:val="Normal"/></w:pPr>
<w:r><w:t xml:space="preserve">labourer save in Canada and the British colonies of Australasia;</w:t></w:r>
</w:p>
<w:p>
<w:pPr><w:pStyle w:val="Normal"/></w:pPr>
<w:r><w:t xml:space="preserve">though lower than wages paid in American cities, they have</w:t></w:r>
</w:p>
<w:p>
<w:pPr><w:pStyle w:val="Normal"/></w:pPr>
<w:r><w:t xml:space="preserve">greater purchasing power.  J.R. Dodge, in ``Farm Labour in the</w:t></w:r>
</w:p>
<w:p>
<w:pPr><w:pStyle w:val="Normal"/></w:pPr>
<w:r><w:t xml:space="preserve">United States&apos;&apos; (vol. xi., Report of Industrial Commission on</w:t></w:r>
</w:p>
<w:p>
<w:pPr><w:pStyle w:val="Normal"/></w:pPr>
<w:r><w:t xml:space="preserve">Agriculture, &amp;c., 1901), says: ``In addition to wages the</w:t></w:r>
</w:p>
<w:p>
<w:pPr><w:pStyle w:val="Normal"/></w:pPr>
<w:r><w:t xml:space="preserve">married labourer has a house free of rent, a garden, firewood,</w:t></w:r>
</w:p>
<w:p>
<w:pPr><w:pStyle w:val="Normal"/></w:pPr>
<w:r><w:t xml:space="preserve">pasturage and other perquisites.  The enterprising labourer</w:t></w:r>
</w:p>
<w:p>
<w:pPr><w:pStyle w:val="Normal"/></w:pPr>
<w:r><w:t xml:space="preserve">usually becomes a tenant and afterwards a farm-owner.&apos;&apos;</w:t></w:r>
</w:p>
<w:p>
<w:pPr><w:pStyle w:val="Normal"/></w:pPr>
<w:r><w:t xml:space="preserve">Value of farms and products.</w:t></w:r>
</w:p>
<w:p>
<w:pPr><w:pStyle w:val="Normal"/></w:pPr>
<w:r><w:t xml:space="preserve">The figures for farm capital and the value of agricultural</w:t></w:r>
</w:p>
<w:p>
<w:pPr><w:pStyle w:val="Normal"/></w:pPr>
<w:r><w:t xml:space="preserve">products are so vast that it is extremely difficult to</w:t></w:r>
</w:p>
<w:p>
<w:pPr><w:pStyle w:val="Normal"/></w:pPr>
<w:r><w:t xml:space="preserve">put them in an intelligible form.  The farm capital of</w:t></w:r>
</w:p>
<w:p>
<w:pPr><w:pStyle w:val="Normal"/></w:pPr>
<w:r><w:t xml:space="preserve">the United States reported by the census of 1900 reached</w:t></w:r>
</w:p>
<w:p>
<w:pPr><w:pStyle w:val="Normal"/></w:pPr>
<w:r><w:t xml:space="preserve">$20,514,002,000, a sum more than four times the capital</w:t></w:r>
</w:p>
<w:p>
<w:pPr><w:pStyle w:val="Normal"/></w:pPr>
<w:r><w:t xml:space="preserve">invested in manufactures, the main classes being, in round</w:t></w:r>
</w:p>
<w:p>
<w:pPr><w:pStyle w:val="Normal"/></w:pPr>
<w:r><w:t xml:space="preserve">numbers:--Land, fences and buildings, $16,674,690,000; machines</w:t></w:r>
</w:p>
<w:p>
<w:pPr><w:pStyle w:val="Normal"/></w:pPr>
<w:r><w:t xml:space="preserve">TABLE XXIX.--Number of Farms of Specified Tenure.</w:t></w:r>
</w:p>
<w:p>
<w:pPr><w:pStyle w:val="Normal"/></w:pPr>
<w:r><w:t xml:space="preserve">Number of farms operated by</w:t></w:r>
</w:p>
<w:p>
<w:pPr><w:pStyle w:val="Normal"/></w:pPr>
<w:r><w:t xml:space="preserve">Number of               Cash      Share</w:t></w:r>
</w:p>
<w:p>
<w:pPr><w:pStyle w:val="Normal"/></w:pPr>
<w:r><w:t xml:space="preserve">Year.   Farms.   Owners. 14   Tenants.  Tenants. 15</w:t></w:r>
</w:p>
<w:p>
<w:pPr><w:pStyle w:val="Normal"/></w:pPr>
<w:r><w:t xml:space="preserve">1880  4,008,907  2,984,306    322,357     702,244</w:t></w:r>
</w:p>
<w:p>
<w:pPr><w:pStyle w:val="Normal"/></w:pPr>
<w:r><w:t xml:space="preserve">1890  4,564,641  3,269,728    454,659     880,254</w:t></w:r>
</w:p>
<w:p>
<w:pPr><w:pStyle w:val="Normal"/></w:pPr>
<w:r><w:t xml:space="preserve">1900  5,737,372  3,712,408    751,665   1,273,299</w:t></w:r>
</w:p>
<w:p>
<w:pPr><w:pStyle w:val="Normal"/></w:pPr>
<w:r><w:t xml:space="preserve">Percentage of farms</w:t></w:r>
</w:p>
<w:p>
<w:pPr><w:pStyle w:val="Normal"/></w:pPr>
<w:r><w:t xml:space="preserve">Cash       Share</w:t></w:r>
</w:p>
<w:p>
<w:pPr><w:pStyle w:val="Normal"/></w:pPr>
<w:r><w:t xml:space="preserve">Year. Owners.  Tenants.   Tenants.</w:t></w:r>
</w:p>
<w:p>
<w:pPr><w:pStyle w:val="Normal"/></w:pPr>
<w:r><w:t xml:space="preserve">1880   74.5      8.0       17.5</w:t></w:r>
</w:p>
<w:p>
<w:pPr><w:pStyle w:val="Normal"/></w:pPr>
<w:r><w:t xml:space="preserve">1890   71.6     10.0       18.4</w:t></w:r>
</w:p>
<w:p>
<w:pPr><w:pStyle w:val="Normal"/></w:pPr>
<w:r><w:t xml:space="preserve">1900   64.7     13.1       22.2</w:t></w:r>
</w:p>
<w:p>
<w:pPr><w:pStyle w:val="Normal"/></w:pPr>
<w:r><w:t xml:space="preserve">and implements, $761,262,000; live stock $3,078,050,000.  The</w:t></w:r>
</w:p>
<w:p>
<w:pPr><w:pStyle w:val="Normal"/></w:pPr>
<w:r><w:t xml:space="preserve">products of the farms in the census year 1899 were valued at</w:t></w:r>
</w:p>
<w:p>
<w:pPr><w:pStyle w:val="Normal"/></w:pPr>
<w:r><w:t xml:space="preserve">$4,739,119,000.  Between 1850 and 1900 the aggregate farm capital</w:t></w:r>
</w:p>
<w:p>
<w:pPr><w:pStyle w:val="Normal"/></w:pPr>
<w:r><w:t xml:space="preserve">increased 416%.  The greatest increase of farm capital was between</w:t></w:r>
</w:p>
<w:p>
<w:pPr><w:pStyle w:val="Normal"/></w:pPr>
<w:r><w:t xml:space="preserve">1850 and 1860, 101%; the next was the decade 1880-1890, when the</w:t></w:r>
</w:p>
<w:p>
<w:pPr><w:pStyle w:val="Normal"/></w:pPr>
<w:r><w:t xml:space="preserve">increase was 32%. Between 1890 and 1900 the increase was 28%.</w:t></w:r>
</w:p>
<w:p>
<w:pPr><w:pStyle w:val="Normal"/></w:pPr>
<w:r><w:t xml:space="preserve">TABLE XXX.--Number of Persons of Ten Years of Age and over in</w:t></w:r>
</w:p>
<w:p>
<w:pPr><w:pStyle w:val="Normal"/></w:pPr>
<w:r><w:t xml:space="preserve">the different Agricultural Pursuits in 1900.</w:t></w:r>
</w:p>
<w:p>
<w:pPr><w:pStyle w:val="Normal"/></w:pPr>
<w:r><w:t xml:space="preserve">Occupation.                               Total Persons.</w:t></w:r>
</w:p>
<w:p>
<w:pPr><w:pStyle w:val="Normal"/></w:pPr>
<w:r><w:t xml:space="preserve">Dairymen and women                            10,875</w:t></w:r>
</w:p>
<w:p>
<w:pPr><w:pStyle w:val="Normal"/></w:pPr>
<w:r><w:t xml:space="preserve">Farmers and farm superintendents           5,674,875</w:t></w:r>
</w:p>
<w:p>
<w:pPr><w:pStyle w:val="Normal"/></w:pPr>
<w:r><w:t xml:space="preserve">Farm labourers                             4,410,877</w:t></w:r>
</w:p>
<w:p>
<w:pPr><w:pStyle w:val="Normal"/></w:pPr>
<w:r><w:t xml:space="preserve">Gardeners, nurserymen and viticulturists      61,788</w:t></w:r>
</w:p>
<w:p>
<w:pPr><w:pStyle w:val="Normal"/></w:pPr>
<w:r><w:t xml:space="preserve">Lumbermen and raftsmen                        72,020</w:t></w:r>
</w:p>
<w:p>
<w:pPr><w:pStyle w:val="Normal"/></w:pPr>
<w:r><w:t xml:space="preserve">Stock-raisers, herders, &amp;c                    84,988</w:t></w:r>
</w:p>
<w:p>
<w:pPr><w:pStyle w:val="Normal"/></w:pPr>
<w:r><w:t xml:space="preserve">Turpentine-farmers and labourers              24,737</w:t></w:r>
</w:p>
<w:p>
<w:pPr><w:pStyle w:val="Normal"/></w:pPr>
<w:r><w:t xml:space="preserve">Wood-choppers                                 36,075</w:t></w:r>
</w:p>
<w:p>
<w:pPr><w:pStyle w:val="Normal"/></w:pPr>
<w:r><w:t xml:space="preserve">Other pursuits                                 5,530</w:t></w:r>
</w:p>
<w:p>
<w:pPr><w:pStyle w:val="Normal"/></w:pPr>
<w:r><w:t xml:space="preserve">Total     10,381,765</w:t></w:r>
</w:p>
<w:p>
<w:pPr><w:pStyle w:val="Normal"/></w:pPr>
<w:r><w:t xml:space="preserve">The growth of farm are and of capital invested in agriculture was</w:t></w:r>
</w:p>
<w:p>
<w:pPr><w:pStyle w:val="Normal"/></w:pPr>
<w:r><w:t xml:space="preserve">followed by a proportionate increase in the chief crops (Table XXXI.).</w:t></w:r>
</w:p>
<w:p>
<w:pPr><w:pStyle w:val="Normal"/></w:pPr>
<w:r><w:t xml:space="preserve">The distinguishing feature of the period 1870-1880 was</w:t></w:r>
</w:p>
<w:p>
<w:pPr><w:pStyle w:val="Normal"/></w:pPr>
<w:r><w:t xml:space="preserve">the rate of increase of barley, Indian corn, wheat and</w:t></w:r>
</w:p>
<w:p>
<w:pPr><w:pStyle w:val="Normal"/></w:pPr>
<w:r><w:t xml:space="preserve">oats.  Since 1870 the production of nearly all of the farm</w:t></w:r>
</w:p>
<w:p>
<w:pPr><w:pStyle w:val="Normal"/></w:pPr>
<w:r><w:t xml:space="preserve">crops increased more rapidly than the population, the most</w:t></w:r>
</w:p>
<w:p>
<w:pPr><w:pStyle w:val="Normal"/></w:pPr>
<w:r><w:t xml:space="preserve">absolute proof of the substantial prosperity of the people.</w:t></w:r>
</w:p>
<w:p>
<w:pPr><w:pStyle w:val="Normal"/></w:pPr>
<w:r><w:t xml:space="preserve">The increase in population for the fifty years from 1840 to</w:t></w:r>
</w:p>
<w:p>
<w:pPr><w:pStyle w:val="Normal"/></w:pPr>
<w:r><w:t xml:space="preserve">1890 was 267%; from 1870 to 1880, 30%; from 1880 to 1890,</w:t></w:r>
</w:p>
<w:p>
<w:pPr><w:pStyle w:val="Normal"/></w:pPr>
<w:r><w:t xml:space="preserve">25%; from 1890 to 1900, 21%; but the food and other supplies</w:t></w:r>
</w:p>
<w:p>
<w:pPr><w:pStyle w:val="Normal"/></w:pPr>
<w:r><w:t xml:space="preserve">far exceeded the demands of even this great population.</w:t></w:r>
</w:p>
<w:p>
<w:pPr><w:pStyle w:val="Normal"/></w:pPr>
<w:r><w:t xml:space="preserve">TABLE XXXI.--Production of Certain Farm Crops from 1870 to 1905</w:t></w:r>
</w:p>
<w:p>
<w:pPr><w:pStyle w:val="Normal"/></w:pPr>
<w:r><w:t xml:space="preserve">--Millions of Bushels.</w:t></w:r>
</w:p>
<w:p>
<w:pPr><w:pStyle w:val="Normal"/></w:pPr>
<w:r><w:t xml:space="preserve">Indian Corn.   Wheat.   Oats.   Barley.</w:t></w:r>
</w:p>
<w:p>
<w:pPr><w:pStyle w:val="Normal"/></w:pPr>
<w:r><w:t xml:space="preserve">1870      1094          235     247       26</w:t></w:r>
</w:p>
<w:p>
<w:pPr><w:pStyle w:val="Normal"/></w:pPr>
<w:r><w:t xml:space="preserve">1880      1717          498     418       45</w:t></w:r>
</w:p>
<w:p>
<w:pPr><w:pStyle w:val="Normal"/></w:pPr>
<w:r><w:t xml:space="preserve">1890      1489          399     523       67</w:t></w:r>
</w:p>
<w:p>
<w:pPr><w:pStyle w:val="Normal"/></w:pPr>
<w:r><w:t xml:space="preserve">1900      2105          522     809       58</w:t></w:r>
</w:p>
<w:p>
<w:pPr><w:pStyle w:val="Normal"/></w:pPr>
<w:r><w:t xml:space="preserve">1905      2707          693     953      136</w:t></w:r>
</w:p>
<w:p>
<w:pPr><w:pStyle w:val="Normal"/></w:pPr>
<w:r><w:t xml:space="preserve">Table XXXII. gives important facts with regard to the cereal</w:t></w:r>
</w:p>
<w:p>
<w:pPr><w:pStyle w:val="Normal"/></w:pPr>
<w:r><w:t xml:space="preserve">production of the United States between 1870 and 1905.</w:t></w:r>
</w:p>
<w:p>
<w:pPr><w:pStyle w:val="Normal"/></w:pPr>
<w:r><w:t xml:space="preserve">The average farm price of wheat declined, as is shown in that</w:t></w:r>
</w:p>
<w:p>
<w:pPr><w:pStyle w:val="Normal"/></w:pPr>
<w:r><w:t xml:space="preserve">table, from $1.05 per bushel for the decade 1870-1880 to</w:t></w:r>
</w:p>
<w:p>
<w:pPr><w:pStyle w:val="Normal"/></w:pPr>
<w:r><w:t xml:space="preserve">65.3 cents for the period 1890-1899.  The farm prices of the</w:t></w:r>
</w:p>
<w:p>
<w:pPr><w:pStyle w:val="Normal"/></w:pPr>
<w:r><w:t xml:space="preserve">other cereals declined less during the thirty years.  Corn</w:t></w:r>
</w:p>
<w:p>
<w:pPr><w:pStyle w:val="Normal"/></w:pPr>
<w:r><w:t xml:space="preserve">declined from an average farm price of 42.6 cents per bushel</w:t></w:r>
</w:p>
<w:p>
<w:pPr><w:pStyle w:val="Normal"/></w:pPr>
<w:r><w:t xml:space="preserve">for 1870-1880 to 34.4. cents in 1890-1899.  The average</w:t></w:r>
</w:p>
<w:p>
<w:pPr><w:pStyle w:val="Normal"/></w:pPr>
<w:r><w:t xml:space="preserve">production per acre shows nothing conclusice with regard to</w:t></w:r>
</w:p>
<w:p>
<w:pPr><w:pStyle w:val="Normal"/></w:pPr>
<w:r><w:t xml:space="preserve">the fertility of the soil of the country.  The expansion of the</w:t></w:r>
</w:p>
<w:p>
<w:pPr><w:pStyle w:val="Normal"/></w:pPr>
<w:r><w:t xml:space="preserve">crop area usually causes a lowering of the average yield per</w:t></w:r>
</w:p>
<w:p>
<w:pPr><w:pStyle w:val="Normal"/></w:pPr>
<w:r><w:t xml:space="preserve">acre by distributing the culture, fertilizers, &amp;c., over more</w:t></w:r>
</w:p>
<w:p>
<w:pPr><w:pStyle w:val="Normal"/></w:pPr>
<w:r><w:t xml:space="preserve">surface.  Likewise the contraction of crop area will usually</w:t></w:r>
</w:p>
<w:p>
<w:pPr><w:pStyle w:val="Normal"/></w:pPr>
<w:r><w:t xml:space="preserve">increase the average yield per acre of the entire country.</w:t></w:r>
</w:p>
<w:p>
<w:pPr><w:pStyle w:val="Normal"/></w:pPr>
<w:r><w:t xml:space="preserve">TABLE XXXII.--Average Yield and Value of Cereal Crops in the United</w:t></w:r>
</w:p>
<w:p>
<w:pPr><w:pStyle w:val="Normal"/></w:pPr>
<w:r><w:t xml:space="preserve">States, by  Periods of Years, 1870-1905.</w:t></w:r>
</w:p>
<w:p>
<w:pPr><w:pStyle w:val="Normal"/></w:pPr>
<w:r><w:t xml:space="preserve">Average     Average     Average    Average</w:t></w:r>
</w:p>
<w:p>
<w:pPr><w:pStyle w:val="Normal"/></w:pPr>
<w:r><w:t xml:space="preserve">Farm Price  Yield Per  Farm Price  Yield Per</w:t></w:r>
</w:p>
<w:p>
<w:pPr><w:pStyle w:val="Normal"/></w:pPr>
<w:r><w:t xml:space="preserve">Period.        per Bushel.   Acre.    per Bushel.   Acre.</w:t></w:r>
</w:p>
<w:p>
<w:pPr><w:pStyle w:val="Normal"/></w:pPr>
<w:r><w:t xml:space="preserve">Dollars.    Bushels.   Dollars.    Bushels.</w:t></w:r>
</w:p>
<w:p>
<w:pPr><w:pStyle w:val="Normal"/></w:pPr>
<w:r><w:t xml:space="preserve">Indian Corn.             Wheat.</w:t></w:r>
</w:p>
<w:p>
<w:pPr><w:pStyle w:val="Normal"/></w:pPr>
<w:r><w:t xml:space="preserve">1870 to 1880    0.426        27.1      1.05         12.4</w:t></w:r>
</w:p>
<w:p>
<w:pPr><w:pStyle w:val="Normal"/></w:pPr>
<w:r><w:t xml:space="preserve">1880 to 1889     .393        24.1       .827        12.1</w:t></w:r>
</w:p>
<w:p>
<w:pPr><w:pStyle w:val="Normal"/></w:pPr>
<w:r><w:t xml:space="preserve">1890 to 1899     .344        24.1       .653        13.1</w:t></w:r>
</w:p>
<w:p>
<w:pPr><w:pStyle w:val="Normal"/></w:pPr>
<w:r><w:t xml:space="preserve">1900 to 1905     .440        24.9       .706        13.6</w:t></w:r>
</w:p>
<w:p>
<w:pPr><w:pStyle w:val="Normal"/></w:pPr>
<w:r><w:t xml:space="preserve">Barley.                 Rye.</w:t></w:r>
</w:p>
<w:p>
<w:pPr><w:pStyle w:val="Normal"/></w:pPr>
<w:r><w:t xml:space="preserve">1870 to 1880    0.738        22.1      0.701        14.1</w:t></w:r>
</w:p>
<w:p>
<w:pPr><w:pStyle w:val="Normal"/></w:pPr>
<w:r><w:t xml:space="preserve">1880 to 1889     .589        21.7       .622        11.9</w:t></w:r>
</w:p>
<w:p>
<w:pPr><w:pStyle w:val="Normal"/></w:pPr>
<w:r><w:t xml:space="preserve">1890 to 1899     .433        23.3       .522        14.0</w:t></w:r>
</w:p>
<w:p>
<w:pPr><w:pStyle w:val="Normal"/></w:pPr>
<w:r><w:t xml:space="preserve">1900 to 1905     .433        25.9       .570        15.7</w:t></w:r>
</w:p>
<w:p>
<w:pPr><w:pStyle w:val="Normal"/></w:pPr>
<w:r><w:t xml:space="preserve">Oats.</w:t></w:r>
</w:p>
<w:p>
<w:pPr><w:pStyle w:val="Normal"/></w:pPr>
<w:r><w:t xml:space="preserve">1870 to 1880    0.353        28.4      0.715        17.7</w:t></w:r>
</w:p>
<w:p>
<w:pPr><w:pStyle w:val="Normal"/></w:pPr>
<w:r><w:t xml:space="preserve">1880 to 1889     .309        26.6       .642        12.8</w:t></w:r>
</w:p>
<w:p>
<w:pPr><w:pStyle w:val="Normal"/></w:pPr>
<w:r><w:t xml:space="preserve">1890 to 1899     .277        26.2       .507        16.8</w:t></w:r>
</w:p>
<w:p>
<w:pPr><w:pStyle w:val="Normal"/></w:pPr>
<w:r><w:t xml:space="preserve">1900 to 1905     .318        30.7       .588        17.9</w:t></w:r>
</w:p>
<w:p>
<w:pPr><w:pStyle w:val="Normal"/></w:pPr>
<w:r><w:t xml:space="preserve">The average yield of wheat per acre was 12.4 bushels in the</w:t></w:r>
</w:p>
<w:p>
<w:pPr><w:pStyle w:val="Normal"/></w:pPr>
<w:r><w:t xml:space="preserve">decade 1870-1880, and 13.1 in the period 1890-1899; of Indian</w:t></w:r>
</w:p>
<w:p>
<w:pPr><w:pStyle w:val="Normal"/></w:pPr>
<w:r><w:t xml:space="preserve">corn, 27.1 in 1870-1880, and 24.1 in 1880-1899 continuously.</w:t></w:r>
</w:p>
<w:p>
<w:pPr><w:pStyle w:val="Normal"/></w:pPr>
<w:r><w:t xml:space="preserve">Oats fell off from 28.4 in 1870-1880 to 26.2 bushels per acre</w:t></w:r>
</w:p>
<w:p>
<w:pPr><w:pStyle w:val="Normal"/></w:pPr>
<w:r><w:t xml:space="preserve">in 1890- 1899.  The averages for the years 1900-1905 show an</w:t></w:r>
</w:p>
<w:p>
<w:pPr><w:pStyle w:val="Normal"/></w:pPr>
<w:r><w:t xml:space="preserve">increase over the previous decade both in yields and (with the</w:t></w:r>
</w:p>
<w:p>
<w:pPr><w:pStyle w:val="Normal"/></w:pPr>
<w:r><w:t xml:space="preserve">exception of the price of barley) in prices of all the cereals.</w:t></w:r>
</w:p>
<w:p>
<w:pPr><w:pStyle w:val="Normal"/></w:pPr>
<w:r><w:t xml:space="preserve">The agricultural returns for 1890-1905 may be taken as</w:t></w:r>
</w:p>
<w:p>
<w:pPr><w:pStyle w:val="Normal"/></w:pPr>
<w:r><w:t xml:space="preserve">an illustration of the cereal production of the United</w:t></w:r>
</w:p>
<w:p>
<w:pPr><w:pStyle w:val="Normal"/></w:pPr>
<w:r><w:t xml:space="preserve">States.  The figures for wheat, oats and Indian corn</w:t></w:r>
</w:p>
<w:p>
<w:pPr><w:pStyle w:val="Normal"/></w:pPr>
<w:r><w:t xml:space="preserve">are presented in Tables XXXIII., XXXIV. and XXXV.</w:t></w:r>
</w:p>
<w:p>
<w:pPr><w:pStyle w:val="Normal"/></w:pPr>
<w:r><w:t xml:space="preserve">TABLE XXXIII.--Acreage, Production, Value, Price and Exports of</w:t></w:r>
</w:p>
<w:p>
<w:pPr><w:pStyle w:val="Normal"/></w:pPr>
<w:r><w:t xml:space="preserve">Wheat in the United States in 1890-1905.</w:t></w:r>
</w:p>
<w:p>
<w:pPr><w:pStyle w:val="Normal"/></w:pPr>
<w:r><w:t xml:space="preserve">Average</w:t></w:r>
</w:p>
<w:p>
<w:pPr><w:pStyle w:val="Normal"/></w:pPr>
<w:r><w:t xml:space="preserve">Average                Farm Price</w:t></w:r>
</w:p>
<w:p>
<w:pPr><w:pStyle w:val="Normal"/></w:pPr>
<w:r><w:t xml:space="preserve">Yield per               per Bushel,  Farm Value,</w:t></w:r>
</w:p>
<w:p>
<w:pPr><w:pStyle w:val="Normal"/></w:pPr>
<w:r><w:t xml:space="preserve">Year.  Acreage.    Acre.   Production.   1st Dec.      1st Dec.</w:t></w:r>
</w:p>
<w:p>
<w:pPr><w:pStyle w:val="Normal"/></w:pPr>
<w:r><w:t xml:space="preserve">Acres.    Bushels.   Bushels.     Cents.       Dollars.</w:t></w:r>
</w:p>
<w:p>
<w:pPr><w:pStyle w:val="Normal"/></w:pPr>
<w:r><w:t xml:space="preserve">1890  36,087,154   11.1    399,262,000     83.8      334,773,678</w:t></w:r>
</w:p>
<w:p>
<w:pPr><w:pStyle w:val="Normal"/></w:pPr>
<w:r><w:t xml:space="preserve">1891  39,916,897   15.3    611,780,000     83.9      513,472,711</w:t></w:r>
</w:p>
<w:p>
<w:pPr><w:pStyle w:val="Normal"/></w:pPr>
<w:r><w:t xml:space="preserve">1892  38,554,430   13.4    515,949,000     62.4      322,111,881</w:t></w:r>
</w:p>
<w:p>
<w:pPr><w:pStyle w:val="Normal"/></w:pPr>
<w:r><w:t xml:space="preserve">1893  34,629,418   11.4    396,131,725     53.8      213,171,381</w:t></w:r>
</w:p>
<w:p>
<w:pPr><w:pStyle w:val="Normal"/></w:pPr>
<w:r><w:t xml:space="preserve">1894  34,882,436   13.2    460,267,416     49.1      225,902,025</w:t></w:r>
</w:p>
<w:p>
<w:pPr><w:pStyle w:val="Normal"/></w:pPr>
<w:r><w:t xml:space="preserve">1895  34,047,332   13.7    467,102,947     50.9      237,938,998</w:t></w:r>
</w:p>
<w:p>
<w:pPr><w:pStyle w:val="Normal"/></w:pPr>
<w:r><w:t xml:space="preserve">1896  34,618,646   12.4    427,684,346     72.6      310,602,539</w:t></w:r>
</w:p>
<w:p>
<w:pPr><w:pStyle w:val="Normal"/></w:pPr>
<w:r><w:t xml:space="preserve">1897  39,465,066   13.4    530,149,168     80.8      428,547,121</w:t></w:r>
</w:p>
<w:p>
<w:pPr><w:pStyle w:val="Normal"/></w:pPr>
<w:r><w:t xml:space="preserve">1898  44,055,278   15.3    675,148,705     58.2      392,770,320</w:t></w:r>
</w:p>
<w:p>
<w:pPr><w:pStyle w:val="Normal"/></w:pPr>
<w:r><w:t xml:space="preserve">1899  44,592,516   12.3    547,303,846     58.4      319,545,259</w:t></w:r>
</w:p>
<w:p>
<w:pPr><w:pStyle w:val="Normal"/></w:pPr>
<w:r><w:t xml:space="preserve">1900  42,495,385   12.3    522,229,505     61.9      323,515,177</w:t></w:r>
</w:p>
<w:p>
<w:pPr><w:pStyle w:val="Normal"/></w:pPr>
<w:r><w:t xml:space="preserve">1901  49,895,514   15.0    748,460,218     62.4      467,350,156</w:t></w:r>
</w:p>
<w:p>
<w:pPr><w:pStyle w:val="Normal"/></w:pPr>
<w:r><w:t xml:space="preserve">1902  46,202,424   14.5    670,063,008     63.0      422,224,117</w:t></w:r>
</w:p>
<w:p>
<w:pPr><w:pStyle w:val="Normal"/></w:pPr>
<w:r><w:t xml:space="preserve">1903  49,464,967   12.9    637,821,835     69.5      443,024,826</w:t></w:r>
</w:p>
<w:p>
<w:pPr><w:pStyle w:val="Normal"/></w:pPr>
<w:r><w:t xml:space="preserve">1904  44,074,875   12.5    552,399,517     92.4      510,489,874</w:t></w:r>
</w:p>
<w:p>
<w:pPr><w:pStyle w:val="Normal"/></w:pPr>
<w:r><w:t xml:space="preserve">1905  47,854,079   14.5    692,979,489     74.8      518,372,727</w:t></w:r>
</w:p>
<w:p>
<w:pPr><w:pStyle w:val="Normal"/></w:pPr>
<w:r><w:t xml:space="preserve">Domestic Exports,</w:t></w:r>
</w:p>
<w:p>
<w:pPr><w:pStyle w:val="Normal"/></w:pPr>
<w:r><w:t xml:space="preserve">including Flour,</w:t></w:r>
</w:p>
<w:p>
<w:pPr><w:pStyle w:val="Normal"/></w:pPr>
<w:r><w:t xml:space="preserve">Fiscal Years</w:t></w:r>
</w:p>
<w:p>
<w:pPr><w:pStyle w:val="Normal"/></w:pPr>
<w:r><w:t xml:space="preserve">Year.   beginning 1st July.</w:t></w:r>
</w:p>
<w:p>
<w:pPr><w:pStyle w:val="Normal"/></w:pPr>
<w:r><w:t xml:space="preserve">Bushels.</w:t></w:r>
</w:p>
<w:p>
<w:pPr><w:pStyle w:val="Normal"/></w:pPr>
<w:r><w:t xml:space="preserve">1890      106,181,316</w:t></w:r>
</w:p>
<w:p>
<w:pPr><w:pStyle w:val="Normal"/></w:pPr>
<w:r><w:t xml:space="preserve">1891      225,665,812</w:t></w:r>
</w:p>
<w:p>
<w:pPr><w:pStyle w:val="Normal"/></w:pPr>
<w:r><w:t xml:space="preserve">1892      191,912,635</w:t></w:r>
</w:p>
<w:p>
<w:pPr><w:pStyle w:val="Normal"/></w:pPr>
<w:r><w:t xml:space="preserve">1893      164,283,129</w:t></w:r>
</w:p>
<w:p>
<w:pPr><w:pStyle w:val="Normal"/></w:pPr>
<w:r><w:t xml:space="preserve">1894      144,812,718</w:t></w:r>
</w:p>
<w:p>
<w:pPr><w:pStyle w:val="Normal"/></w:pPr>
<w:r><w:t xml:space="preserve">1895      126,443,968</w:t></w:r>
</w:p>
<w:p>
<w:pPr><w:pStyle w:val="Normal"/></w:pPr>
<w:r><w:t xml:space="preserve">1896      145,124,972</w:t></w:r>
</w:p>
<w:p>
<w:pPr><w:pStyle w:val="Normal"/></w:pPr>
<w:r><w:t xml:space="preserve">1897      217,306,005</w:t></w:r>
</w:p>
<w:p>
<w:pPr><w:pStyle w:val="Normal"/></w:pPr>
<w:r><w:t xml:space="preserve">1898      222,694,920</w:t></w:r>
</w:p>
<w:p>
<w:pPr><w:pStyle w:val="Normal"/></w:pPr>
<w:r><w:t xml:space="preserve">1899      186,096,762</w:t></w:r>
</w:p>
<w:p>
<w:pPr><w:pStyle w:val="Normal"/></w:pPr>
<w:r><w:t xml:space="preserve">1900      215,990,073</w:t></w:r>
</w:p>
<w:p>
<w:pPr><w:pStyle w:val="Normal"/></w:pPr>
<w:r><w:t xml:space="preserve">1901      234,772,516</w:t></w:r>
</w:p>
<w:p>
<w:pPr><w:pStyle w:val="Normal"/></w:pPr>
<w:r><w:t xml:space="preserve">1902      202,905,598</w:t></w:r>
</w:p>
<w:p>
<w:pPr><w:pStyle w:val="Normal"/></w:pPr>
<w:r><w:t xml:space="preserve">1903      120,727,613</w:t></w:r>
</w:p>
<w:p>
<w:pPr><w:pStyle w:val="Normal"/></w:pPr>
<w:r><w:t xml:space="preserve">1904       44,112,910</w:t></w:r>
</w:p>
<w:p>
<w:pPr><w:pStyle w:val="Normal"/></w:pPr>
<w:r><w:t xml:space="preserve">1905          ..</w:t></w:r>
</w:p>
<w:p>
<w:pPr><w:pStyle w:val="Normal"/></w:pPr>
<w:r><w:t xml:space="preserve">The acreage and production of wheat have steadily</w:t></w:r>
</w:p>
<w:p>
<w:pPr><w:pStyle w:val="Normal"/></w:pPr>
<w:r><w:t xml:space="preserve">increased.  The acreage in Indian corn, the great American</w:t></w:r>
</w:p>
<w:p>
<w:pPr><w:pStyle w:val="Normal"/></w:pPr>
<w:r><w:t xml:space="preserve">crop, reached its highest in 1902, 94,043,613 acres, and its</w:t></w:r>
</w:p>
<w:p>
<w:pPr><w:pStyle w:val="Normal"/></w:pPr>
<w:r><w:t xml:space="preserve">production its highest figure in 1905, 2,707,993,540 bushels.</w:t></w:r>
</w:p>
<w:p>
<w:pPr><w:pStyle w:val="Normal"/></w:pPr>
<w:r><w:t xml:space="preserve">TABLE XXXIV.--Acreage, Production, Value, Prices, Exports and Imports</w:t></w:r>
</w:p>
<w:p>
<w:pPr><w:pStyle w:val="Normal"/></w:pPr>
<w:r><w:t xml:space="preserve">of Oats in the United States in 1890-1905.</w:t></w:r>
</w:p>
<w:p>
<w:pPr><w:pStyle w:val="Normal"/></w:pPr>
<w:r><w:t xml:space="preserve">Average</w:t></w:r>
</w:p>
<w:p>
<w:pPr><w:pStyle w:val="Normal"/></w:pPr>
<w:r><w:t xml:space="preserve">Average               Farm Price</w:t></w:r>
</w:p>
<w:p>
<w:pPr><w:pStyle w:val="Normal"/></w:pPr>
<w:r><w:t xml:space="preserve">Yield per              per Bushel,  Farm Value</w:t></w:r>
</w:p>
<w:p>
<w:pPr><w:pStyle w:val="Normal"/></w:pPr>
<w:r><w:t xml:space="preserve">Year.  Acreage.    Acre.    Production.  1st Dec.     1st Dec.</w:t></w:r>
</w:p>
<w:p>
<w:pPr><w:pStyle w:val="Normal"/></w:pPr>
<w:r><w:t xml:space="preserve">Acres.    Bushels.    Bushels.    Cents.      Dollars.</w:t></w:r>
</w:p>
<w:p>
<w:pPr><w:pStyle w:val="Normal"/></w:pPr>
<w:r><w:t xml:space="preserve">1890  26,431,369   19.8     523,621,000    42.4     222,048,486</w:t></w:r>
</w:p>
<w:p>
<w:pPr><w:pStyle w:val="Normal"/></w:pPr>
<w:r><w:t xml:space="preserve">1891  25,581,861   28.9     738,394,000    31.5     232,312,267</w:t></w:r>
</w:p>
<w:p>
<w:pPr><w:pStyle w:val="Normal"/></w:pPr>
<w:r><w:t xml:space="preserve">1892  27,063,835   24.4     661,035,000    31.7     209,253,611</w:t></w:r>
</w:p>
<w:p>
<w:pPr><w:pStyle w:val="Normal"/></w:pPr>
<w:r><w:t xml:space="preserve">1893  27,273,033   23.4     638,854,850    29.4     187,576,092</w:t></w:r>
</w:p>
<w:p>
<w:pPr><w:pStyle w:val="Normal"/></w:pPr>
<w:r><w:t xml:space="preserve">1894  27,023,553   24.5     662,036,928    32.4     214,816,920</w:t></w:r>
</w:p>
<w:p>
<w:pPr><w:pStyle w:val="Normal"/></w:pPr>
<w:r><w:t xml:space="preserve">1895  27,878,406   29.6     824,443,537    19.9     163,655,068</w:t></w:r>
</w:p>
<w:p>
<w:pPr><w:pStyle w:val="Normal"/></w:pPr>
<w:r><w:t xml:space="preserve">1896  27,565,985   25.7     707,346,404    18.7     132,485,033</w:t></w:r>
</w:p>
<w:p>
<w:pPr><w:pStyle w:val="Normal"/></w:pPr>
<w:r><w:t xml:space="preserve">1897  25,730,375   27.2     698,767,809    21.2     147,974,719</w:t></w:r>
</w:p>
<w:p>
<w:pPr><w:pStyle w:val="Normal"/></w:pPr>
<w:r><w:t xml:space="preserve">1898  25,777,110   28.4     720,906,643    25.5     186,405,364</w:t></w:r>
</w:p>
<w:p>
<w:pPr><w:pStyle w:val="Normal"/></w:pPr>
<w:r><w:t xml:space="preserve">1899  26,341,380   30.2     796,177,713    24.9     198,167,975</w:t></w:r>
</w:p>
<w:p>
<w:pPr><w:pStyle w:val="Normal"/></w:pPr>
<w:r><w:t xml:space="preserve">1900  27,364,795   29.6     809,125,989    25.8     208,669,233</w:t></w:r>
</w:p>
<w:p>
<w:pPr><w:pStyle w:val="Normal"/></w:pPr>
<w:r><w:t xml:space="preserve">1901  28,541,476   25.8     736,808,724    39.9     293,658,777</w:t></w:r>
</w:p>
<w:p>
<w:pPr><w:pStyle w:val="Normal"/></w:pPr>
<w:r><w:t xml:space="preserve">1902  28,653,144   34.5     987,842,712    30.7     303,584,852</w:t></w:r>
</w:p>
<w:p>
<w:pPr><w:pStyle w:val="Normal"/></w:pPr>
<w:r><w:t xml:space="preserve">1903  27,638,126   28.4     784,094,199    34.1     267,661,665</w:t></w:r>
</w:p>
<w:p>
<w:pPr><w:pStyle w:val="Normal"/></w:pPr>
<w:r><w:t xml:space="preserve">1904  27,842,669   32.1     894,395,552    31.3     279,900,013</w:t></w:r>
</w:p>
<w:p>
<w:pPr><w:pStyle w:val="Normal"/></w:pPr>
<w:r><w:t xml:space="preserve">1905  28,046,746   34.0     953,216,197    29.1     277,047,537</w:t></w:r>
</w:p>
<w:p>
<w:pPr><w:pStyle w:val="Normal"/></w:pPr>
<w:r><w:t xml:space="preserve">Domestic Exports,</w:t></w:r>
</w:p>
<w:p>
<w:pPr><w:pStyle w:val="Normal"/></w:pPr>
<w:r><w:t xml:space="preserve">including Oatmeal,        Imports during</w:t></w:r>
</w:p>
<w:p>
<w:pPr><w:pStyle w:val="Normal"/></w:pPr>
<w:r><w:t xml:space="preserve">Fiscal Years             Fiscal Years</w:t></w:r>
</w:p>
<w:p>
<w:pPr><w:pStyle w:val="Normal"/></w:pPr>
<w:r><w:t xml:space="preserve">Year.     beginning 1st July.       beginning 1st July.</w:t></w:r>
</w:p>
<w:p>
<w:pPr><w:pStyle w:val="Normal"/></w:pPr>
<w:r><w:t xml:space="preserve">Bushels.                  Bushels.</w:t></w:r>
</w:p>
<w:p>
<w:pPr><w:pStyle w:val="Normal"/></w:pPr>
<w:r><w:t xml:space="preserve">1890          1,382,836                  41,848</w:t></w:r>
</w:p>
<w:p>
<w:pPr><w:pStyle w:val="Normal"/></w:pPr>
<w:r><w:t xml:space="preserve">1891         10,586,644                  47,782</w:t></w:r>
</w:p>
<w:p>
<w:pPr><w:pStyle w:val="Normal"/></w:pPr>
<w:r><w:t xml:space="preserve">1892          2,700,793                  49,433</w:t></w:r>
</w:p>
<w:p>
<w:pPr><w:pStyle w:val="Normal"/></w:pPr>
<w:r><w:t xml:space="preserve">1893          6,290,229                  31,759</w:t></w:r>
</w:p>
<w:p>
<w:pPr><w:pStyle w:val="Normal"/></w:pPr>
<w:r><w:t xml:space="preserve">1894          1,708,824                 330,317</w:t></w:r>
</w:p>
<w:p>
<w:pPr><w:pStyle w:val="Normal"/></w:pPr>
<w:r><w:t xml:space="preserve">1895         15,156,618                  66,602</w:t></w:r>
</w:p>
<w:p>
<w:pPr><w:pStyle w:val="Normal"/></w:pPr>
<w:r><w:t xml:space="preserve">1896         37,725,083                 893,908</w:t></w:r>
</w:p>
<w:p>
<w:pPr><w:pStyle w:val="Normal"/></w:pPr>
<w:r><w:t xml:space="preserve">1897         73,880,307                  25,093</w:t></w:r>
</w:p>
<w:p>
<w:pPr><w:pStyle w:val="Normal"/></w:pPr>
<w:r><w:t xml:space="preserve">1898         33,534,264                  28,098</w:t></w:r>
</w:p>
<w:p>
<w:pPr><w:pStyle w:val="Normal"/></w:pPr>
<w:r><w:t xml:space="preserve">1899         45,048,857                  54,576</w:t></w:r>
</w:p>
<w:p>
<w:pPr><w:pStyle w:val="Normal"/></w:pPr>
<w:r><w:t xml:space="preserve">1900         42,268,931                  32,107</w:t></w:r>
</w:p>
<w:p>
<w:pPr><w:pStyle w:val="Normal"/></w:pPr>
<w:r><w:t xml:space="preserve">1901         13,277,612                  38,978</w:t></w:r>
</w:p>
<w:p>
<w:pPr><w:pStyle w:val="Normal"/></w:pPr>
<w:r><w:t xml:space="preserve">1902          8,381,805                 150,065</w:t></w:r>
</w:p>
<w:p>
<w:pPr><w:pStyle w:val="Normal"/></w:pPr>
<w:r><w:t xml:space="preserve">1903          1,960,740                 183,983</w:t></w:r>
</w:p>
<w:p>
<w:pPr><w:pStyle w:val="Normal"/></w:pPr>
<w:r><w:t xml:space="preserve">1904          8,394,692                  55,699</w:t></w:r>
</w:p>
<w:p>
<w:pPr><w:pStyle w:val="Normal"/></w:pPr>
<w:r><w:t xml:space="preserve">1905              ..                       ..</w:t></w:r>
</w:p>
<w:p>
<w:pPr><w:pStyle w:val="Normal"/></w:pPr>
<w:r><w:t xml:space="preserve">Producing as the United States does so much more</w:t></w:r>
</w:p>
<w:p>
<w:pPr><w:pStyle w:val="Normal"/></w:pPr>
<w:r><w:t xml:space="preserve">than its people can consume, its exports form a large</w:t></w:r>
</w:p>
<w:p>
<w:pPr><w:pStyle w:val="Normal"/></w:pPr>
<w:r><w:t xml:space="preserve">percentage of some of the crops, as Table XXXVI. shows.</w:t></w:r>
</w:p>
<w:p>
<w:pPr><w:pStyle w:val="Normal"/></w:pPr>
<w:r><w:t xml:space="preserve">Large portions of some of these crops, like Indian corn and</w:t></w:r>
</w:p>
<w:p>
<w:pPr><w:pStyle w:val="Normal"/></w:pPr>
<w:r><w:t xml:space="preserve">oats, are exported in the form of animals and animal products</w:t></w:r>
</w:p>
<w:p>
<w:pPr><w:pStyle w:val="Normal"/></w:pPr>
<w:r><w:t xml:space="preserve">(meats, lard, hides, &amp;c.).  The hay crop is almost entirely</w:t></w:r>
</w:p>
<w:p>
<w:pPr><w:pStyle w:val="Normal"/></w:pPr>
<w:r><w:t xml:space="preserve">used in this way, and the tendency is to convert more and</w:t></w:r>
</w:p>
<w:p>
<w:pPr><w:pStyle w:val="Normal"/></w:pPr>
<w:r><w:t xml:space="preserve">more of these crops into these higher-priced products.  Still,</w:t></w:r>
</w:p>
<w:p>
<w:pPr><w:pStyle w:val="Normal"/></w:pPr>
<w:r><w:t xml:space="preserve">the time is far distant when domestic consumption will come</w:t></w:r>
</w:p>
<w:p>
<w:pPr><w:pStyle w:val="Normal"/></w:pPr>
<w:r><w:t xml:space="preserve">anywhere near overtaking domestic production, especially of</w:t></w:r>
</w:p>
<w:p>
<w:pPr><w:pStyle w:val="Normal"/></w:pPr>
<w:r><w:t xml:space="preserve">wheat and the other cereals.  The certain extension of acreage</w:t></w:r>
</w:p>
<w:p>
<w:pPr><w:pStyle w:val="Normal"/></w:pPr>
<w:r><w:t xml:space="preserve">with the growth of demand and price, the increased use of</w:t></w:r>
</w:p>
<w:p>
<w:pPr><w:pStyle w:val="Normal"/></w:pPr>
<w:r><w:t xml:space="preserve">agricultural implements, and the improvement of methods will</w:t></w:r>
</w:p>
<w:p>
<w:pPr><w:pStyle w:val="Normal"/></w:pPr>
<w:r><w:t xml:space="preserve">be sure to keep up a large surplus for export for many years to</w:t></w:r>
</w:p>
<w:p>
<w:pPr><w:pStyle w:val="Normal"/></w:pPr>
<w:r><w:t xml:space="preserve">come.  The Department of Agriculture has found that for</w:t></w:r>
</w:p>
<w:p>
<w:pPr><w:pStyle w:val="Normal"/></w:pPr>
<w:r><w:t xml:space="preserve">home use there were required per head 5.5 bushels of wheat,</w:t></w:r>
</w:p>
<w:p>
<w:pPr><w:pStyle w:val="Normal"/></w:pPr>
<w:r><w:t xml:space="preserve">28.6 bushels of Indian corn, and 10.7 bushels of oats, the</w:t></w:r>
</w:p>
<w:p>
<w:pPr><w:pStyle w:val="Normal"/></w:pPr>
<w:r><w:t xml:space="preserve">computations being made from the figures for population,</w:t></w:r>
</w:p>
<w:p>
<w:pPr><w:pStyle w:val="Normal"/></w:pPr>
<w:r><w:t xml:space="preserve">production and exports for 1888-1892; in 1905, 6.15 bushels</w:t></w:r>
</w:p>
<w:p>
<w:pPr><w:pStyle w:val="Normal"/></w:pPr>
<w:r><w:t xml:space="preserve">of wheat and wheat-flour, 28.59 bushels of Indian corn and</w:t></w:r>
</w:p>
<w:p>
<w:pPr><w:pStyle w:val="Normal"/></w:pPr>
<w:r><w:t xml:space="preserve">corn-meal.  The following number of acres in these crops</w:t></w:r>
</w:p>
<w:p>
<w:pPr><w:pStyle w:val="Normal"/></w:pPr>
<w:r><w:t xml:space="preserve">was required, therefore, to supply the home demand for</w:t></w:r>
</w:p>
<w:p>
<w:pPr><w:pStyle w:val="Normal"/></w:pPr>
<w:r><w:t xml:space="preserve">1888-1892:--0.43 of an acre in wheat, 1.1.5 acre in corn, and</w:t></w:r>
</w:p>
<w:p>
<w:pPr><w:pStyle w:val="Normal"/></w:pPr>
<w:r><w:t xml:space="preserve">0.43 acre in oats per head of the population.  Taking the year</w:t></w:r>
</w:p>
<w:p>
<w:pPr><w:pStyle w:val="Normal"/></w:pPr>
<w:r><w:t xml:space="preserve">TABLE XXXV.--Acreage, Production, Value, Prices and Exports of Indian</w:t></w:r>
</w:p>
<w:p>
<w:pPr><w:pStyle w:val="Normal"/></w:pPr>
<w:r><w:t xml:space="preserve">Corn in the United States in 1890-1905.</w:t></w:r>
</w:p>
<w:p>
<w:pPr><w:pStyle w:val="Normal"/></w:pPr>
<w:r><w:t xml:space="preserve">Average</w:t></w:r>
</w:p>
<w:p>
<w:pPr><w:pStyle w:val="Normal"/></w:pPr>
<w:r><w:t xml:space="preserve">Average                  Farm Price</w:t></w:r>
</w:p>
<w:p>
<w:pPr><w:pStyle w:val="Normal"/></w:pPr>
<w:r><w:t xml:space="preserve">Yield per                 per Bushel,</w:t></w:r>
</w:p>
<w:p>
<w:pPr><w:pStyle w:val="Normal"/></w:pPr>
<w:r><w:t xml:space="preserve">Year.  Acreage.     Acre.    Production.      1st Dec.</w:t></w:r>
</w:p>
<w:p>
<w:pPr><w:pStyle w:val="Normal"/></w:pPr>
<w:r><w:t xml:space="preserve">Acres.    Bushels.    Bushels.        Cents.</w:t></w:r>
</w:p>
<w:p>
<w:pPr><w:pStyle w:val="Normal"/></w:pPr>
<w:r><w:t xml:space="preserve">1890  71,970,763   20.7     1,489,970,000      50.6</w:t></w:r>
</w:p>
<w:p>
<w:pPr><w:pStyle w:val="Normal"/></w:pPr>
<w:r><w:t xml:space="preserve">1891  76,204,515   27.0     2,060,154,000      40.6</w:t></w:r>
</w:p>
<w:p>
<w:pPr><w:pStyle w:val="Normal"/></w:pPr>
<w:r><w:t xml:space="preserve">1892  70,626,658   23.1     1,628,464,000      39.4</w:t></w:r>
</w:p>
<w:p>
<w:pPr><w:pStyle w:val="Normal"/></w:pPr>
<w:r><w:t xml:space="preserve">1893  72,036,465   22.5     1,619,496,131      36.5</w:t></w:r>
</w:p>
<w:p>
<w:pPr><w:pStyle w:val="Normal"/></w:pPr>
<w:r><w:t xml:space="preserve">1894  62,582,269   19.4     1,212,770,052      45.7</w:t></w:r>
</w:p>
<w:p>
<w:pPr><w:pStyle w:val="Normal"/></w:pPr>
<w:r><w:t xml:space="preserve">1895  82,075,830   26.2     2,151,138,580      25.3</w:t></w:r>
</w:p>
<w:p>
<w:pPr><w:pStyle w:val="Normal"/></w:pPr>
<w:r><w:t xml:space="preserve">1896  81,027,156   28.2     2,283,875,165      21.5</w:t></w:r>
</w:p>
<w:p>
<w:pPr><w:pStyle w:val="Normal"/></w:pPr>
<w:r><w:t xml:space="preserve">1897  80,095,051   23.8     1,902,967,933      26.3</w:t></w:r>
</w:p>
<w:p>
<w:pPr><w:pStyle w:val="Normal"/></w:pPr>
<w:r><w:t xml:space="preserve">1898  77,721,781   24.8     1,924,184,660      28.7</w:t></w:r>
</w:p>
<w:p>
<w:pPr><w:pStyle w:val="Normal"/></w:pPr>
<w:r><w:t xml:space="preserve">1899  82,108,587   25.3     2,078,143,933      30.3</w:t></w:r>
</w:p>
<w:p>
<w:pPr><w:pStyle w:val="Normal"/></w:pPr>
<w:r><w:t xml:space="preserve">1900  83,320,872   25.3     2,105,102,516      35.7</w:t></w:r>
</w:p>
<w:p>
<w:pPr><w:pStyle w:val="Normal"/></w:pPr>
<w:r><w:t xml:space="preserve">1901  91,349,928   16.7     1,522,519,891      60.5</w:t></w:r>
</w:p>
<w:p>
<w:pPr><w:pStyle w:val="Normal"/></w:pPr>
<w:r><w:t xml:space="preserve">1902  94,043,613   26.8     2,523,648,312      40.3</w:t></w:r>
</w:p>
<w:p>
<w:pPr><w:pStyle w:val="Normal"/></w:pPr>
<w:r><w:t xml:space="preserve">1903  88,091,993   25.5     2,244,176,925      42.5</w:t></w:r>
</w:p>
<w:p>
<w:pPr><w:pStyle w:val="Normal"/></w:pPr>
<w:r><w:t xml:space="preserve">1904  92,231,581   26.8     2,467,480,934      44.1</w:t></w:r>
</w:p>
<w:p>
<w:pPr><w:pStyle w:val="Normal"/></w:pPr>
<w:r><w:t xml:space="preserve">1905  94,011,369   28.8     2,707,993,540      41.2</w:t></w:r>
</w:p>
<w:p>
<w:pPr><w:pStyle w:val="Normal"/></w:pPr>
<w:r><w:t xml:space="preserve">Domestic Exports,</w:t></w:r>
</w:p>
<w:p>
<w:pPr><w:pStyle w:val="Normal"/></w:pPr>
<w:r><w:t xml:space="preserve">including Corn-</w:t></w:r>
</w:p>
<w:p>
<w:pPr><w:pStyle w:val="Normal"/></w:pPr>
<w:r><w:t xml:space="preserve">Farm Value        Meal, Fiscal Years</w:t></w:r>
</w:p>
<w:p>
<w:pPr><w:pStyle w:val="Normal"/></w:pPr>
<w:r><w:t xml:space="preserve">Year.       1st Dec.        beginning 1st July.</w:t></w:r>
</w:p>
<w:p>
<w:pPr><w:pStyle w:val="Normal"/></w:pPr>
<w:r><w:t xml:space="preserve">Dollars.             Bushels.</w:t></w:r>
</w:p>
<w:p>
<w:pPr><w:pStyle w:val="Normal"/></w:pPr>
<w:r><w:t xml:space="preserve">1890       754,433,451          32,041,529</w:t></w:r>
</w:p>
<w:p>
<w:pPr><w:pStyle w:val="Normal"/></w:pPr>
<w:r><w:t xml:space="preserve">1891       836,439,228          76,602,285</w:t></w:r>
</w:p>
<w:p>
<w:pPr><w:pStyle w:val="Normal"/></w:pPr>
<w:r><w:t xml:space="preserve">1892       642,146,630          47,121,894</w:t></w:r>
</w:p>
<w:p>
<w:pPr><w:pStyle w:val="Normal"/></w:pPr>
<w:r><w:t xml:space="preserve">1893       591,625,627          66,489,529</w:t></w:r>
</w:p>
<w:p>
<w:pPr><w:pStyle w:val="Normal"/></w:pPr>
<w:r><w:t xml:space="preserve">1894       554,719,162          28,585,405</w:t></w:r>
</w:p>
<w:p>
<w:pPr><w:pStyle w:val="Normal"/></w:pPr>
<w:r><w:t xml:space="preserve">1895       544,985,534         101,100,375</w:t></w:r>
</w:p>
<w:p>
<w:pPr><w:pStyle w:val="Normal"/></w:pPr>
<w:r><w:t xml:space="preserve">1896       491,006,967         178,817,417</w:t></w:r>
</w:p>
<w:p>
<w:pPr><w:pStyle w:val="Normal"/></w:pPr>
<w:r><w:t xml:space="preserve">1897       501,072,952         212,055,543</w:t></w:r>
</w:p>
<w:p>
<w:pPr><w:pStyle w:val="Normal"/></w:pPr>
<w:r><w:t xml:space="preserve">1898       552,023,428         117,255,046</w:t></w:r>
</w:p>
<w:p>
<w:pPr><w:pStyle w:val="Normal"/></w:pPr>
<w:r><w:t xml:space="preserve">1899       629,210,110         213,123,412</w:t></w:r>
</w:p>
<w:p>
<w:pPr><w:pStyle w:val="Normal"/></w:pPr>
<w:r><w:t xml:space="preserve">1900       751,220,324         181,405,473</w:t></w:r>
</w:p>
<w:p>
<w:pPr><w:pStyle w:val="Normal"/></w:pPr>
<w:r><w:t xml:space="preserve">1901       921,555,768          28,028,688</w:t></w:r>
</w:p>
<w:p>
<w:pPr><w:pStyle w:val="Normal"/></w:pPr>
<w:r><w:t xml:space="preserve">1902     1,017,017,349          76,639,261</w:t></w:r>
</w:p>
<w:p>
<w:pPr><w:pStyle w:val="Normal"/></w:pPr>
<w:r><w:t xml:space="preserve">1903       952,868,801          58,222,061</w:t></w:r>
</w:p>
<w:p>
<w:pPr><w:pStyle w:val="Normal"/></w:pPr>
<w:r><w:t xml:space="preserve">1904     1,087,461,440          90,293,483</w:t></w:r>
</w:p>
<w:p>
<w:pPr><w:pStyle w:val="Normal"/></w:pPr>
<w:r><w:t xml:space="preserve">1905     1,116,696,738             ..</w:t></w:r>
</w:p>
<w:p>
<w:pPr><w:pStyle w:val="Normal"/></w:pPr>
<w:r><w:t xml:space="preserve">1890 as an illustration, this gave a surplus area in wheat of 11,264,478</w:t></w:r>
</w:p>
<w:p>
<w:pPr><w:pStyle w:val="Normal"/></w:pPr>
<w:r><w:t xml:space="preserve">acres, of 2,648,404 acres in Indian corn, and of 238,162 acres in oats.</w:t></w:r>
</w:p>
<w:p>
<w:pPr><w:pStyle w:val="Normal"/></w:pPr>
<w:r><w:t xml:space="preserve">TABLE XXXVI.--Percentage of Crops Exported.  Averages for Period</w:t></w:r>
</w:p>
<w:p>
<w:pPr><w:pStyle w:val="Normal"/></w:pPr>
<w:r><w:t xml:space="preserve">1878-1905.</w:t></w:r>
</w:p>
<w:p>
<w:pPr><w:pStyle w:val="Normal"/></w:pPr>
<w:r><w:t xml:space="preserve">Annual Average.</w:t></w:r>
</w:p>
<w:p>
<w:pPr><w:pStyle w:val="Normal"/></w:pPr>
<w:r><w:t xml:space="preserve">Crop.       1878-1882.  1888-1892.   1894-1896.   1896-1904.   1905.</w:t></w:r>
</w:p>
<w:p>
<w:pPr><w:pStyle w:val="Normal"/></w:pPr>
<w:r><w:t xml:space="preserve">Wheat         27.84       17.68        15.96         29.9      7.99</w:t></w:r>
</w:p>
<w:p>
<w:pPr><w:pStyle w:val="Normal"/></w:pPr>
<w:r><w:t xml:space="preserve">Indian Corn    4.82        3.49         5.39          6.4      3.66</w:t></w:r>
</w:p>
<w:p>
<w:pPr><w:pStyle w:val="Normal"/></w:pPr>
<w:r><w:t xml:space="preserve">Rye           10.30         ..         12.21         19.5       ..</w:t></w:r>
</w:p>
<w:p>
<w:pPr><w:pStyle w:val="Normal"/></w:pPr>
<w:r><w:t xml:space="preserve">Oats            .37         .80         2.22          3.7       ..</w:t></w:r>
</w:p>
<w:p>
<w:pPr><w:pStyle w:val="Normal"/></w:pPr>
<w:r><w:t xml:space="preserve">Barley         1.55         ..         12.96         12.15      ..</w:t></w:r>
</w:p>
<w:p>
<w:pPr><w:pStyle w:val="Normal"/></w:pPr>
<w:r><w:t xml:space="preserve">Potatoes        .37         ..           .30          0.31      ..</w:t></w:r>
</w:p>
<w:p>
<w:pPr><w:pStyle w:val="Normal"/></w:pPr>
<w:r><w:t xml:space="preserve">Cotton        72.80       66.79        73.60         66.31    61.55</w:t></w:r>
</w:p>
<w:p>
<w:pPr><w:pStyle w:val="Normal"/></w:pPr>
<w:r><w:t xml:space="preserve">Tables XXXVII. and XXXVIII. give the number, total value and</w:t></w:r>
</w:p>
<w:p>
<w:pPr><w:pStyle w:val="Normal"/></w:pPr>
<w:r><w:t xml:space="preserve">average price of farm animals in 1880, 1890, 1900 and 1906.</w:t></w:r>
</w:p>
<w:p>
<w:pPr><w:pStyle w:val="Normal"/></w:pPr>
<w:r><w:t xml:space="preserve">TABLE XXXVII.--Number and Value of Farm Animals in the United States,</w:t></w:r>
</w:p>
<w:p>
<w:pPr><w:pStyle w:val="Normal"/></w:pPr>
<w:r><w:t xml:space="preserve">1880-1906.</w:t></w:r>
</w:p>
<w:p>
<w:pPr><w:pStyle w:val="Normal"/></w:pPr>
<w:r><w:t xml:space="preserve">January 1         Horses.                   Mules.</w:t></w:r>
</w:p>
<w:p>
<w:pPr><w:pStyle w:val="Normal"/></w:pPr>
<w:r><w:t xml:space="preserve">Number.       Value.       Number.     Value.</w:t></w:r>
</w:p>
<w:p>
<w:pPr><w:pStyle w:val="Normal"/></w:pPr>
<w:r><w:t xml:space="preserve">1880     11,201,800    $613,296,611  1,729,500 $105,948,319</w:t></w:r>
</w:p>
<w:p>
<w:pPr><w:pStyle w:val="Normal"/></w:pPr>
<w:r><w:t xml:space="preserve">1890     14,213,837     978,516,562  2,331,027  182,394,099</w:t></w:r>
</w:p>
<w:p>
<w:pPr><w:pStyle w:val="Normal"/></w:pPr>
<w:r><w:t xml:space="preserve">1900     13,537,524     603,696,422  2,086,027  111,717,092</w:t></w:r>
</w:p>
<w:p>
<w:pPr><w:pStyle w:val="Normal"/></w:pPr>
<w:r><w:t xml:space="preserve">1906     18,718,578   1,510,889,906  3,404,061  334,680,520</w:t></w:r>
</w:p>
<w:p>
<w:pPr><w:pStyle w:val="Normal"/></w:pPr>
<w:r><w:t xml:space="preserve">Milch Cows.              Other Cattle.</w:t></w:r>
</w:p>
<w:p>
<w:pPr><w:pStyle w:val="Normal"/></w:pPr>
<w:r><w:t xml:space="preserve">January 1  Number.      Value.       Number.      Value.</w:t></w:r>
</w:p>
<w:p>
<w:pPr><w:pStyle w:val="Normal"/></w:pPr>
<w:r><w:t xml:space="preserve">1880     12,027,000  $279,899,420  21,231,000  $341,761,154</w:t></w:r>
</w:p>
<w:p>
<w:pPr><w:pStyle w:val="Normal"/></w:pPr>
<w:r><w:t xml:space="preserve">1890     15,952,883   352,152,133  36,849,024   560,625,137</w:t></w:r>
</w:p>
<w:p>
<w:pPr><w:pStyle w:val="Normal"/></w:pPr>
<w:r><w:t xml:space="preserve">1900     16,292,360   514,812,106  27,610,054   689,486,260</w:t></w:r>
</w:p>
<w:p>
<w:pPr><w:pStyle w:val="Normal"/></w:pPr>
<w:r><w:t xml:space="preserve">1906     19,793,866   582,788,592  47,067,656   746,171,709</w:t></w:r>
</w:p>
<w:p>
<w:pPr><w:pStyle w:val="Normal"/></w:pPr>
<w:r><w:t xml:space="preserve">Sheep.                    Swine.</w:t></w:r>
</w:p>
<w:p>
<w:pPr><w:pStyle w:val="Normal"/></w:pPr>
<w:r><w:t xml:space="preserve">January 1  Number.     Value.        Number.   Value.</w:t></w:r>
</w:p>
<w:p>
<w:pPr><w:pStyle w:val="Normal"/></w:pPr>
<w:r><w:t xml:space="preserve">1880     40,765,900  $90,230,537   34,034,100  $145,781,515</w:t></w:r>
</w:p>
<w:p>
<w:pPr><w:pStyle w:val="Normal"/></w:pPr>
<w:r><w:t xml:space="preserve">1890     44,336,072  100,659,761   51,602,780   243,418,336</w:t></w:r>
</w:p>
<w:p>
<w:pPr><w:pStyle w:val="Normal"/></w:pPr>
<w:r><w:t xml:space="preserve">1900     41,883,065  122,665,913   37,079,356   185,472,321</w:t></w:r>
</w:p>
<w:p>
<w:pPr><w:pStyle w:val="Normal"/></w:pPr>
<w:r><w:t xml:space="preserve">1906     50,631,619  179,056,144   52,102,847   321,802,571</w:t></w:r>
</w:p>
<w:p>
<w:pPr><w:pStyle w:val="Normal"/></w:pPr>
<w:r><w:t xml:space="preserve">Total Value of</w:t></w:r>
</w:p>
<w:p>
<w:pPr><w:pStyle w:val="Normal"/></w:pPr>
<w:r><w:t xml:space="preserve">January 1       Farm Animals.</w:t></w:r>
</w:p>
<w:p>
<w:pPr><w:pStyle w:val="Normal"/></w:pPr>
<w:r><w:t xml:space="preserve">1880           $1,576,917,556</w:t></w:r>
</w:p>
<w:p>
<w:pPr><w:pStyle w:val="Normal"/></w:pPr>
<w:r><w:t xml:space="preserve">1890            2,418,766,028</w:t></w:r>
</w:p>
<w:p>
<w:pPr><w:pStyle w:val="Normal"/></w:pPr>
<w:r><w:t xml:space="preserve">1900            2,228,123,134</w:t></w:r>
</w:p>
<w:p>
<w:pPr><w:pStyle w:val="Normal"/></w:pPr>
<w:r><w:t xml:space="preserve">1906            3,675,389,442</w:t></w:r>
</w:p>
<w:p>
<w:pPr><w:pStyle w:val="Normal"/></w:pPr>
<w:r><w:t xml:space="preserve">TABLE XXXVIII.--Average Value of Farm Animals in the</w:t></w:r>
</w:p>
<w:p>
<w:pPr><w:pStyle w:val="Normal"/></w:pPr>
<w:r><w:t xml:space="preserve">United States on 1st January, 1880-1906.</w:t></w:r>
</w:p>
<w:p>
<w:pPr><w:pStyle w:val="Normal"/></w:pPr>
<w:r><w:t xml:space="preserve">Milch   Other</w:t></w:r>
</w:p>
<w:p>
<w:pPr><w:pStyle w:val="Normal"/></w:pPr>
<w:r><w:t xml:space="preserve">Year. Horses.  Mules.  Cows.   Cattle.  Sheep.  Swine.</w:t></w:r>
</w:p>
<w:p>
<w:pPr><w:pStyle w:val="Normal"/></w:pPr>
<w:r><w:t xml:space="preserve">1880  $54.76   $61.26  $23.27  $16.10   $2.21   $4.28</w:t></w:r>
</w:p>
<w:p>
<w:pPr><w:pStyle w:val="Normal"/></w:pPr>
<w:r><w:t xml:space="preserve">1890   68.84    78.25   22.14   15.21    2.27    4.72</w:t></w:r>
</w:p>
<w:p>
<w:pPr><w:pStyle w:val="Normal"/></w:pPr>
<w:r><w:t xml:space="preserve">1900   44.61    53.56   31.60   24.97    2.93    5.00</w:t></w:r>
</w:p>
<w:p>
<w:pPr><w:pStyle w:val="Normal"/></w:pPr>
<w:r><w:t xml:space="preserve">1906   80.72    98.31   29.44   15.85    3.54    6.18</w:t></w:r>
</w:p>
<w:p>
<w:pPr><w:pStyle w:val="Normal"/></w:pPr>
<w:r><w:t xml:space="preserve">After the Civil War the number of horses increased and prices</w:t></w:r>
</w:p>
<w:p>
<w:pPr><w:pStyle w:val="Normal"/></w:pPr>
<w:r><w:t xml:space="preserve">declined.  In 1893 the number of horses reached 16,206,802 (an</w:t></w:r>
</w:p>
<w:p>
<w:pPr><w:pStyle w:val="Normal"/></w:pPr>
<w:r><w:t xml:space="preserve">increase of over 5,005,002 or 44.6% over the number in 1880),</w:t></w:r>
</w:p>
<w:p>
<w:pPr><w:pStyle w:val="Normal"/></w:pPr>
<w:r><w:t xml:space="preserve">and in 1906, 18,718,578.  The average farm price of horses</w:t></w:r>
</w:p>
<w:p>
<w:pPr><w:pStyle w:val="Normal"/></w:pPr>
<w:r><w:t xml:space="preserve">increased from $54.75 in 1880 to $74 in 1884, after which there</w:t></w:r>
</w:p>
<w:p>
<w:pPr><w:pStyle w:val="Normal"/></w:pPr>
<w:r><w:t xml:space="preserve">was a decrease to $31.51 in 1896, followed by rise to $80.72 in</w:t></w:r>
</w:p>
<w:p>
<w:pPr><w:pStyle w:val="Normal"/></w:pPr>
<w:r><w:t xml:space="preserve">1906.  The extension of street-car lines, and the substitution</w:t></w:r>
</w:p>
<w:p>
<w:pPr><w:pStyle w:val="Normal"/></w:pPr>
<w:r><w:t xml:space="preserve">of cable and electric power for that of horses, the use of</w:t></w:r>
</w:p>
<w:p>
<w:pPr><w:pStyle w:val="Normal"/></w:pPr>
<w:r><w:t xml:space="preserve">bicycles and, later, of automobiles, and the improvement of</w:t></w:r>
</w:p>
<w:p>
<w:pPr><w:pStyle w:val="Normal"/></w:pPr>
<w:r><w:t xml:space="preserve">farm-machinery, in which horses are less and less used as</w:t></w:r>
</w:p>
<w:p>
<w:pPr><w:pStyle w:val="Normal"/></w:pPr>
<w:r><w:t xml:space="preserve">power-producers and steam is more common, have been factors</w:t></w:r>
</w:p>
<w:p>
<w:pPr><w:pStyle w:val="Normal"/></w:pPr>
<w:r><w:t xml:space="preserve">in decreasing the demand for these animals.  The fluctuation</w:t></w:r>
</w:p>
<w:p>
<w:pPr><w:pStyle w:val="Normal"/></w:pPr>
<w:r><w:t xml:space="preserve">in prices of mules has been parallel to that for horses.</w:t></w:r>
</w:p>
<w:p>
<w:pPr><w:pStyle w:val="Normal"/></w:pPr>
<w:r><w:t xml:space="preserve">The returns for milch cows show an increase throughout</w:t></w:r>
</w:p>
<w:p>
<w:pPr><w:pStyle w:val="Normal"/></w:pPr>
<w:r><w:t xml:space="preserve">the period 1880-1899 in every year, with the exception of</w:t></w:r>
</w:p>
<w:p>
<w:pPr><w:pStyle w:val="Normal"/></w:pPr>
<w:r><w:t xml:space="preserve">1895-1899, after which there was a steady rise in numbers.</w:t></w:r>
</w:p>
<w:p>
<w:pPr><w:pStyle w:val="Normal"/></w:pPr>
<w:r><w:t xml:space="preserve">For the first ten years the numbers increase 32.6%, and from</w:t></w:r>
</w:p>
<w:p>
<w:pPr><w:pStyle w:val="Normal"/></w:pPr>
<w:r><w:t xml:space="preserve">1890 to 1899, 2%. The total value of milch cows increased each</w:t></w:r>
</w:p>
<w:p>
<w:pPr><w:pStyle w:val="Normal"/></w:pPr>
<w:r><w:t xml:space="preserve">year until 1884, then decreased until 1891, with a gradual</w:t></w:r>
</w:p>
<w:p>
<w:pPr><w:pStyle w:val="Normal"/></w:pPr>
<w:r><w:t xml:space="preserve">increase until the end of the period.  The farm price of milch</w:t></w:r>
</w:p>
<w:p>
<w:pPr><w:pStyle w:val="Normal"/></w:pPr>
<w:r><w:t xml:space="preserve">cows rose from $23.27 in 1880 to $31.37 in 1884, then fell</w:t></w:r>
</w:p>
<w:p>
<w:pPr><w:pStyle w:val="Normal"/></w:pPr>
<w:r><w:t xml:space="preserve">to $21.40 in 1892, after which there was a steady increase</w:t></w:r>
</w:p>
<w:p>
<w:pPr><w:pStyle w:val="Normal"/></w:pPr>
<w:r><w:t xml:space="preserve">to $31.60 in 1899, and afterwards a slight fall, $29.44</w:t></w:r>
</w:p>
<w:p>
<w:pPr><w:pStyle w:val="Normal"/></w:pPr>
<w:r><w:t xml:space="preserve">being the average farm value on the 1st of January 1906.</w:t></w:r>
</w:p>
<w:p>
<w:pPr><w:pStyle w:val="Normal"/></w:pPr>
<w:r><w:t xml:space="preserve">No marked changes in the numbers of sheep have taken place.</w:t></w:r>
</w:p>
<w:p>
<w:pPr><w:pStyle w:val="Normal"/></w:pPr>
<w:r><w:t xml:space="preserve">During the period 1880-1890 there was an increase in numbers</w:t></w:r>
</w:p>
<w:p>
<w:pPr><w:pStyle w:val="Normal"/></w:pPr>
<w:r><w:t xml:space="preserve">amounting to about 8.8%.  After 1893 there was a rather steady</w:t></w:r>
</w:p>
<w:p>
<w:pPr><w:pStyle w:val="Normal"/></w:pPr>
<w:r><w:t xml:space="preserve">decrease, with fluctuations amounting to a marked depression</w:t></w:r>
</w:p>
<w:p>
<w:pPr><w:pStyle w:val="Normal"/></w:pPr>
<w:r><w:t xml:space="preserve">after 1894.  This industry is very susceptible to adverse</w:t></w:r>
</w:p>
<w:p>
<w:pPr><w:pStyle w:val="Normal"/></w:pPr>
<w:r><w:t xml:space="preserve">influences, and felt keenly a depression in the price of</w:t></w:r>
</w:p>
<w:p>
<w:pPr><w:pStyle w:val="Normal"/></w:pPr>
<w:r><w:t xml:space="preserve">wool.  The increase began again in 1898, and in 1903 the</w:t></w:r>
</w:p>
<w:p>
<w:pPr><w:pStyle w:val="Normal"/></w:pPr>
<w:r><w:t xml:space="preserve">figure of 63,964,876 was reached; in 1906 it was 50,631,619,</w:t></w:r>
</w:p>
<w:p>
<w:pPr><w:pStyle w:val="Normal"/></w:pPr>
<w:r><w:t xml:space="preserve">The numbers and values of swine constantly fluctuate with the</w:t></w:r>
</w:p>
<w:p>
<w:pPr><w:pStyle w:val="Normal"/></w:pPr>
<w:r><w:t xml:space="preserve">movement and value of the Indian corn crops.  The returns for</w:t></w:r>
</w:p>
<w:p>
<w:pPr><w:pStyle w:val="Normal"/></w:pPr>
<w:r><w:t xml:space="preserve">1890 (51,602,780) showed a numerical increase of 51.6% over</w:t></w:r>
</w:p>
<w:p>
<w:pPr><w:pStyle w:val="Normal"/></w:pPr>
<w:r><w:t xml:space="preserve">those of 1880; then followed a steady decrease in numbers</w:t></w:r>
</w:p>
<w:p>
<w:pPr><w:pStyle w:val="Normal"/></w:pPr>
<w:r><w:t xml:space="preserve">down to 1900 (57,079,156), since which time there has been</w:t></w:r>
</w:p>
<w:p>
<w:pPr><w:pStyle w:val="Normal"/></w:pPr>
<w:r><w:t xml:space="preserve">considerable increase, so that in 1906 there were 52,102,847--the</w:t></w:r>
</w:p>
<w:p>
<w:pPr><w:pStyle w:val="Normal"/></w:pPr>
<w:r><w:t xml:space="preserve">maximum excepting 1901, when there were 56,982,142 swine on</w:t></w:r>
</w:p>
<w:p>
<w:pPr><w:pStyle w:val="Normal"/></w:pPr>
<w:r><w:t xml:space="preserve">farms.  The movement in values was similar to that in</w:t></w:r>
</w:p>
<w:p>
<w:pPr><w:pStyle w:val="Normal"/></w:pPr>
<w:r><w:t xml:space="preserve">numbers.  From $4.28 in 1880, the average farm price of hogs</w:t></w:r>
</w:p>
<w:p>
<w:pPr><w:pStyle w:val="Normal"/></w:pPr>
<w:r><w:t xml:space="preserve">increased steadily to $6.73 in 1885.  The lowest figure,</w:t></w:r>
</w:p>
<w:p>
<w:pPr><w:pStyle w:val="Normal"/></w:pPr>
<w:r><w:t xml:space="preserve">$4.15, was reached in 1891, and after numerous fluctuations it</w:t></w:r>
</w:p>
<w:p>
<w:pPr><w:pStyle w:val="Normal"/></w:pPr>
<w:r><w:t xml:space="preserve">became $4.40 in 1899 and $7.78 in 1903; in 1906 it was $6.18.</w:t></w:r>
</w:p>
<w:p>
<w:pPr><w:pStyle w:val="Normal"/></w:pPr>
<w:r><w:t xml:space="preserve">The total value of farm animals showed a steady increase from</w:t></w:r>
</w:p>
<w:p>
<w:pPr><w:pStyle w:val="Normal"/></w:pPr>
<w:r><w:t xml:space="preserve">1880 to 1890, with slight variations in 1885 and 1886.  Following</w:t></w:r>
</w:p>
<w:p>
<w:pPr><w:pStyle w:val="Normal"/></w:pPr>
<w:r><w:t xml:space="preserve">1890 there was a steady decrease with the exception of slight</w:t></w:r>
</w:p>
<w:p>
<w:pPr><w:pStyle w:val="Normal"/></w:pPr>
<w:r><w:t xml:space="preserve">increases in 1892 and 1893.  In 1880 the total value of farm</w:t></w:r>
</w:p>
<w:p>
<w:pPr><w:pStyle w:val="Normal"/></w:pPr>
<w:r><w:t xml:space="preserve">animals in the United States was $1,576,917,556.  In 1890 it</w:t></w:r>
</w:p>
<w:p>
<w:pPr><w:pStyle w:val="Normal"/></w:pPr>
<w:r><w:t xml:space="preserve">had increased to $2,418,766,028, or 53.4%.  In 1896 the value</w:t></w:r>
</w:p>
<w:p>
<w:pPr><w:pStyle w:val="Normal"/></w:pPr>
<w:r><w:t xml:space="preserve">had dimished to $1,727,926,084--a decrease of 28.6% from the</w:t></w:r>
</w:p>
<w:p>
<w:pPr><w:pStyle w:val="Normal"/></w:pPr>
<w:r><w:t xml:space="preserve">1890 values, and an increase of 9.6% over those of 1880.  The</w:t></w:r>
</w:p>
<w:p>
<w:pPr><w:pStyle w:val="Normal"/></w:pPr>
<w:r><w:t xml:space="preserve">value in 1906 showed an increase of 133% over that of 1880.</w:t></w:r>
</w:p>
<w:p>
<w:pPr><w:pStyle w:val="Normal"/></w:pPr>
<w:r><w:t xml:space="preserve">The exports of live stock and its products have increased</w:t></w:r>
</w:p>
<w:p>
<w:pPr><w:pStyle w:val="Normal"/></w:pPr>
<w:r><w:t xml:space="preserve">enormously in recent years, both in quantity and value.</w:t></w:r>
</w:p>
<w:p>
<w:pPr><w:pStyle w:val="Normal"/></w:pPr>
<w:r><w:t xml:space="preserve">This is a especially true of the exportation of beef, cattle</w:t></w:r>
</w:p>
<w:p>
<w:pPr><w:pStyle w:val="Normal"/></w:pPr>
<w:r><w:t xml:space="preserve">and meat products.  The exports of cattle increased from</w:t></w:r>
</w:p>
<w:p>
<w:pPr><w:pStyle w:val="Normal"/></w:pPr>
<w:r><w:t xml:space="preserve">182,750 in 1880 to 331,720 in 1895, or 81 1/2%, and to 567,806</w:t></w:r>
</w:p>
<w:p>
<w:pPr><w:pStyle w:val="Normal"/></w:pPr>
<w:r><w:t xml:space="preserve">in 1905 or 210% over 1880, and values from $13,340,000 in</w:t></w:r>
</w:p>
<w:p>
<w:pPr><w:pStyle w:val="Normal"/></w:pPr>
<w:r><w:t xml:space="preserve">1880 to $30,600,000 in 1895, an increase of 129%, and to</w:t></w:r>
</w:p>
<w:p>
<w:pPr><w:pStyle w:val="Normal"/></w:pPr>
<w:r><w:t xml:space="preserve">$40,590,000 in 1905 or 204%.  The average value of cattle</w:t></w:r>
</w:p>
<w:p>
<w:pPr><w:pStyle w:val="Normal"/></w:pPr>
<w:r><w:t xml:space="preserve">exported increase from $19 in 1870 to $73 in 1880 and $92</w:t></w:r>
</w:p>
<w:p>
<w:pPr><w:pStyle w:val="Normal"/></w:pPr>
<w:r><w:t xml:space="preserve">in 1895, decreasing to $71.50 in 1905.  Only the best and</w:t></w:r>
</w:p>
<w:p>
<w:pPr><w:pStyle w:val="Normal"/></w:pPr>
<w:r><w:t xml:space="preserve">heaviest cattle are exported, these, of course, commanding</w:t></w:r>
</w:p>
<w:p>
<w:pPr><w:pStyle w:val="Normal"/></w:pPr>
<w:r><w:t xml:space="preserve">a much higher price than the average of the country.</w:t></w:r>
</w:p>
<w:p>
<w:pPr><w:pStyle w:val="Normal"/></w:pPr>
<w:r><w:t xml:space="preserve">The total value of farm animals exported from the United</w:t></w:r>
</w:p>
<w:p>
<w:pPr><w:pStyle w:val="Normal"/></w:pPr>
<w:r><w:t xml:space="preserve">States has flucuated greatly.  On the whole, however, the</w:t></w:r>
</w:p>
<w:p>
<w:pPr><w:pStyle w:val="Normal"/></w:pPr>
<w:r><w:t xml:space="preserve">value increased from $16,000,000 in round numbers in 1880 to</w:t></w:r>
</w:p>
<w:p>
<w:pPr><w:pStyle w:val="Normal"/></w:pPr>
<w:r><w:t xml:space="preserve">$46,500,000 in 1905, or 190%.  Table XXXIX. shows the number</w:t></w:r>
</w:p>
<w:p>
<w:pPr><w:pStyle w:val="Normal"/></w:pPr>
<w:r><w:t xml:space="preserve">and value of live animals exported between 1880 and 1905.</w:t></w:r>
</w:p>
<w:p>
<w:pPr><w:pStyle w:val="Normal"/></w:pPr>
<w:r><w:t xml:space="preserve">TABLE XXXIX.--Number and Value of Farm Animals Exported from the</w:t></w:r>
</w:p>
<w:p>
<w:pPr><w:pStyle w:val="Normal"/></w:pPr>
<w:r><w:t xml:space="preserve">United States, 1880-1905.</w:t></w:r>
</w:p>
<w:p>
<w:pPr><w:pStyle w:val="Normal"/></w:pPr>
<w:r><w:t xml:space="preserve">Year</w:t></w:r>
</w:p>
<w:p>
<w:pPr><w:pStyle w:val="Normal"/></w:pPr>
<w:r><w:t xml:space="preserve">ending</w:t></w:r>
</w:p>
<w:p>
<w:pPr><w:pStyle w:val="Normal"/></w:pPr>
<w:r><w:t xml:space="preserve">30th             Horses.                   Mules.</w:t></w:r>
</w:p>
<w:p>
<w:pPr><w:pStyle w:val="Normal"/></w:pPr>
<w:r><w:t xml:space="preserve">June.      Number.     Value.       Number.     Value.</w:t></w:r>
</w:p>
<w:p>
<w:pPr><w:pStyle w:val="Normal"/></w:pPr>
<w:r><w:t xml:space="preserve">1880         3,060       $675,139    5,198       $532,362</w:t></w:r>
</w:p>
<w:p>
<w:pPr><w:pStyle w:val="Normal"/></w:pPr>
<w:r><w:t xml:space="preserve">1885         1,947        377,692    1,028        127,580</w:t></w:r>
</w:p>
<w:p>
<w:pPr><w:pStyle w:val="Normal"/></w:pPr>
<w:r><w:t xml:space="preserve">1890         3,501        680,410    3,544        447,108</w:t></w:r>
</w:p>
<w:p>
<w:pPr><w:pStyle w:val="Normal"/></w:pPr>
<w:r><w:t xml:space="preserve">1894         5,246      1,108,995    2,063        240,961</w:t></w:r>
</w:p>
<w:p>
<w:pPr><w:pStyle w:val="Normal"/></w:pPr>
<w:r><w:t xml:space="preserve">1895        13,984      2,209,298    2,515        186,452</w:t></w:r>
</w:p>
<w:p>
<w:pPr><w:pStyle w:val="Normal"/></w:pPr>
<w:r><w:t xml:space="preserve">1900 16     64,722      7,612,616   43,369      3,919,478</w:t></w:r>
</w:p>
<w:p>
<w:pPr><w:pStyle w:val="Normal"/></w:pPr>
<w:r><w:t xml:space="preserve">1901 16     82,250      8,873,845   34,405      3,210,267</w:t></w:r>
</w:p>
<w:p>
<w:pPr><w:pStyle w:val="Normal"/></w:pPr>
<w:r><w:t xml:space="preserve">1902 16    103,020     10,048,046   27,586      2,692,298</w:t></w:r>
</w:p>
<w:p>
<w:pPr><w:pStyle w:val="Normal"/></w:pPr>
<w:r><w:t xml:space="preserve">1903        34,007      3,152,159    4,294        521,725</w:t></w:r>
</w:p>
<w:p>
<w:pPr><w:pStyle w:val="Normal"/></w:pPr>
<w:r><w:t xml:space="preserve">1904        42,001      3,189,100    3,658        412,971</w:t></w:r>
</w:p>
<w:p>
<w:pPr><w:pStyle w:val="Normal"/></w:pPr>
<w:r><w:t xml:space="preserve">1905        34,822      3,175,259    5,826        645,464</w:t></w:r>
</w:p>
<w:p>
<w:pPr><w:pStyle w:val="Normal"/></w:pPr>
<w:r><w:t xml:space="preserve">Year</w:t></w:r>
</w:p>
<w:p>
<w:pPr><w:pStyle w:val="Normal"/></w:pPr>
<w:r><w:t xml:space="preserve">ending</w:t></w:r>
</w:p>
<w:p>
<w:pPr><w:pStyle w:val="Normal"/></w:pPr>
<w:r><w:t xml:space="preserve">30th           Cattle.                Sheep.</w:t></w:r>
</w:p>
<w:p>
<w:pPr><w:pStyle w:val="Normal"/></w:pPr>
<w:r><w:t xml:space="preserve">June.    Number.      Value.     Number.   Value.</w:t></w:r>
</w:p>
<w:p>
<w:pPr><w:pStyle w:val="Normal"/></w:pPr>
<w:r><w:t xml:space="preserve">1880     182,756   $13,344,195   209,137   $892,647</w:t></w:r>
</w:p>
<w:p>
<w:pPr><w:pStyle w:val="Normal"/></w:pPr>
<w:r><w:t xml:space="preserve">1885     135,890    12,906,690   234,509    512,563</w:t></w:r>
</w:p>
<w:p>
<w:pPr><w:pStyle w:val="Normal"/></w:pPr>
<w:r><w:t xml:space="preserve">1890     394,836    31,261,131    67,521    243,077</w:t></w:r>
</w:p>
<w:p>
<w:pPr><w:pStyle w:val="Normal"/></w:pPr>
<w:r><w:t xml:space="preserve">1894     359,278    33,461,922   132,370    852,763</w:t></w:r>
</w:p>
<w:p>
<w:pPr><w:pStyle w:val="Normal"/></w:pPr>
<w:r><w:t xml:space="preserve">1895     331,722    30,603,796   405,748  2,630,686</w:t></w:r>
</w:p>
<w:p>
<w:pPr><w:pStyle w:val="Normal"/></w:pPr>
<w:r><w:t xml:space="preserve">1900 16  397,286    30,635,153   125,772    733,477</w:t></w:r>
</w:p>
<w:p>
<w:pPr><w:pStyle w:val="Normal"/></w:pPr>
<w:r><w:t xml:space="preserve">1901 16  459,218    37,566,980   297,925  1,933,000</w:t></w:r>
</w:p>
<w:p>
<w:pPr><w:pStyle w:val="Normal"/></w:pPr>
<w:r><w:t xml:space="preserve">1902 16  392,884    29,902,212   358,720  1,940,060</w:t></w:r>
</w:p>
<w:p>
<w:pPr><w:pStyle w:val="Normal"/></w:pPr>
<w:r><w:t xml:space="preserve">1903     402,178    29,848,936   176,961  1,067,860</w:t></w:r>
</w:p>
<w:p>
<w:pPr><w:pStyle w:val="Normal"/></w:pPr>
<w:r><w:t xml:space="preserve">1904     593,409    42,256,291   301,313  1,954,604</w:t></w:r>
</w:p>
<w:p>
<w:pPr><w:pStyle w:val="Normal"/></w:pPr>
<w:r><w:t xml:space="preserve">1905     567,806    40,598,048   268,365  1,687,321</w:t></w:r>
</w:p>
<w:p>
<w:pPr><w:pStyle w:val="Normal"/></w:pPr>
<w:r><w:t xml:space="preserve">Year</w:t></w:r>
</w:p>
<w:p>
<w:pPr><w:pStyle w:val="Normal"/></w:pPr>
<w:r><w:t xml:space="preserve">ending</w:t></w:r>
</w:p>
<w:p>
<w:pPr><w:pStyle w:val="Normal"/></w:pPr>
<w:r><w:t xml:space="preserve">30th           Swine.</w:t></w:r>
</w:p>
<w:p>
<w:pPr><w:pStyle w:val="Normal"/></w:pPr>
<w:r><w:t xml:space="preserve">June.   Number.    Value.     Total Value.</w:t></w:r>
</w:p>
<w:p>
<w:pPr><w:pStyle w:val="Normal"/></w:pPr>
<w:r><w:t xml:space="preserve">1880     83,434    $421,089   $15,865,432</w:t></w:r>
</w:p>
<w:p>
<w:pPr><w:pStyle w:val="Normal"/></w:pPr>
<w:r><w:t xml:space="preserve">1885     55,025     579,183    14,503,713</w:t></w:r>
</w:p>
<w:p>
<w:pPr><w:pStyle w:val="Normal"/></w:pPr>
<w:r><w:t xml:space="preserve">1890     91,148     909,042    33,540,768</w:t></w:r>
</w:p>
<w:p>
<w:pPr><w:pStyle w:val="Normal"/></w:pPr>
<w:r><w:t xml:space="preserve">1894      1,553      14,753    35,659,394</w:t></w:r>
</w:p>
<w:p>
<w:pPr><w:pStyle w:val="Normal"/></w:pPr>
<w:r><w:t xml:space="preserve">1895      7,130      72,424    35,702,656</w:t></w:r>
</w:p>
<w:p>
<w:pPr><w:pStyle w:val="Normal"/></w:pPr>
<w:r><w:t xml:space="preserve">1900 16  51,180     394,813    43,295,537</w:t></w:r>
</w:p>
<w:p>
<w:pPr><w:pStyle w:val="Normal"/></w:pPr>
<w:r><w:t xml:space="preserve">1901 16  22,318     238,465    51,822,557</w:t></w:r>
</w:p>
<w:p>
<w:pPr><w:pStyle w:val="Normal"/></w:pPr>
<w:r><w:t xml:space="preserve">1902 16   8,368      88,330    44,670,946</w:t></w:r>
</w:p>
<w:p>
<w:pPr><w:pStyle w:val="Normal"/></w:pPr>
<w:r><w:t xml:space="preserve">1903      4,031      40,923    34,631,603</w:t></w:r>
</w:p>
<w:p>
<w:pPr><w:pStyle w:val="Normal"/></w:pPr>
<w:r><w:t xml:space="preserve">1904      6,345      53,780    47,866,746</w:t></w:r>
</w:p>
<w:p>
<w:pPr><w:pStyle w:val="Normal"/></w:pPr>
<w:r><w:t xml:space="preserve">1905     44,495     414,692    46,520,784</w:t></w:r>
</w:p>
<w:p>
<w:pPr><w:pStyle w:val="Normal"/></w:pPr>
<w:r><w:t xml:space="preserve">Since 1890 there has been a great development in the production</w:t></w:r>
</w:p>
<w:p>
<w:pPr><w:pStyle w:val="Normal"/></w:pPr>
<w:r><w:t xml:space="preserve">of fruit and vegatables.  Local market gardens are numerous</w:t></w:r>
</w:p>
<w:p>
<w:pPr><w:pStyle w:val="Normal"/></w:pPr>
<w:r><w:t xml:space="preserve">in the vicinity of all cities, and highly specialized ``truck</w:t></w:r>
</w:p>
<w:p>
<w:pPr><w:pStyle w:val="Normal"/></w:pPr>
<w:r><w:t xml:space="preserve">gardening,&apos;&apos; that is, the growing of early fruits and vegatables</w:t></w:r>
</w:p>
<w:p>
<w:pPr><w:pStyle w:val="Normal"/></w:pPr>
<w:r><w:t xml:space="preserve">for transportation to distant markets where the seasons</w:t></w:r>
</w:p>
<w:p>
<w:pPr><w:pStyle w:val="Normal"/></w:pPr>
<w:r><w:t xml:space="preserve">are later, has made rapid progress in the South Atlantic</w:t></w:r>
</w:p>
<w:p>
<w:pPr><w:pStyle w:val="Normal"/></w:pPr>
<w:r><w:t xml:space="preserve">states.  The census reports of 1900 use the potato acreage in</w:t></w:r>
</w:p>
<w:p>
<w:pPr><w:pStyle w:val="Normal"/></w:pPr>
<w:r><w:t xml:space="preserve">these states as an index of the rate of development of truck</w:t></w:r>
</w:p>
<w:p>
<w:pPr><w:pStyle w:val="Normal"/></w:pPr>
<w:r><w:t xml:space="preserve">gardening; the southern potato being largely a truck garden</w:t></w:r>
</w:p>
<w:p>
<w:pPr><w:pStyle w:val="Normal"/></w:pPr>
<w:r><w:t xml:space="preserve">crop.  In seven counties of Virginia the increase in acreage</w:t></w:r>
</w:p>
<w:p>
<w:pPr><w:pStyle w:val="Normal"/></w:pPr>
<w:r><w:t xml:space="preserve">from 1889 to 1899 was 100%; in eleven counties of North</w:t></w:r>
</w:p>
<w:p>
<w:pPr><w:pStyle w:val="Normal"/></w:pPr>
<w:r><w:t xml:space="preserve">Carolina, 314%; in five counties of South Carolina, 134%; in</w:t></w:r>
</w:p>
<w:p>
<w:pPr><w:pStyle w:val="Normal"/></w:pPr>
<w:r><w:t xml:space="preserve">nine counties of Georgia, 111%; in six counties of Florida, 309%;</w:t></w:r>
</w:p>
<w:p>
<w:pPr><w:pStyle w:val="Normal"/></w:pPr>
<w:r><w:t xml:space="preserve">in five counties of Alabama, 277%.  Irish and sweet potatoes</w:t></w:r>
</w:p>
<w:p>
<w:pPr><w:pStyle w:val="Normal"/></w:pPr>
<w:r><w:t xml:space="preserve">are the most important vegatables raised; the North Central</w:t></w:r>
</w:p>
<w:p>
<w:pPr><w:pStyle w:val="Normal"/></w:pPr>
<w:r><w:t xml:space="preserve">state leading in the production of the former and the South</w:t></w:r>
</w:p>
<w:p>
<w:pPr><w:pStyle w:val="Normal"/></w:pPr>
<w:r><w:t xml:space="preserve">Atlantic states in the production of the latter.  The growth</w:t></w:r>
</w:p>
<w:p>
<w:pPr><w:pStyle w:val="Normal"/></w:pPr>
<w:r><w:t xml:space="preserve">of the Irish potato industry is shown by the following table:--</w:t></w:r>
</w:p>
<w:p>
<w:pPr><w:pStyle w:val="Normal"/></w:pPr>
<w:r><w:t xml:space="preserve">Year.  Acreage.   Yield (bushels).</w:t></w:r>
</w:p>
<w:p>
<w:pPr><w:pStyle w:val="Normal"/></w:pPr>
<w:r><w:t xml:space="preserve">1870  1,325,119   114,775,000</w:t></w:r>
</w:p>
<w:p>
<w:pPr><w:pStyle w:val="Normal"/></w:pPr>
<w:r><w:t xml:space="preserve">1880  1,842,510   167,659,570</w:t></w:r>
</w:p>
<w:p>
<w:pPr><w:pStyle w:val="Normal"/></w:pPr>
<w:r><w:t xml:space="preserve">1890  2,651,579   148,289,696</w:t></w:r>
</w:p>
<w:p>
<w:pPr><w:pStyle w:val="Normal"/></w:pPr>
<w:r><w:t xml:space="preserve">1900  2,611,054   210,926,897</w:t></w:r>
</w:p>
<w:p>
<w:pPr><w:pStyle w:val="Normal"/></w:pPr>
<w:r><w:t xml:space="preserve">1905  2,996,757   260,741,294</w:t></w:r>
</w:p>
<w:p>
<w:pPr><w:pStyle w:val="Normal"/></w:pPr>
<w:r><w:t xml:space="preserve">The production of sweet potatoes, as</w:t></w:r>
</w:p>
<w:p>
<w:pPr><w:pStyle w:val="Normal"/></w:pPr>
<w:r><w:t xml:space="preserve">reported in census years, was as follows:--</w:t></w:r>
</w:p>
<w:p>
<w:pPr><w:pStyle w:val="Normal"/></w:pPr>
<w:r><w:t xml:space="preserve">Year.  Acreage.   Yield (bushels).</w:t></w:r>
</w:p>
<w:p>
<w:pPr><w:pStyle w:val="Normal"/></w:pPr>
<w:r><w:t xml:space="preserve">1869     ..       21,709,824</w:t></w:r>
</w:p>
<w:p>
<w:pPr><w:pStyle w:val="Normal"/></w:pPr>
<w:r><w:t xml:space="preserve">1879   444,817    33,378,693</w:t></w:r>
</w:p>
<w:p>
<w:pPr><w:pStyle w:val="Normal"/></w:pPr>
<w:r><w:t xml:space="preserve">1889   524,588    43,950,261</w:t></w:r>
</w:p>
<w:p>
<w:pPr><w:pStyle w:val="Normal"/></w:pPr>
<w:r><w:t xml:space="preserve">1899   537,447    42,526,606</w:t></w:r>
</w:p>
<w:p>
<w:pPr><w:pStyle w:val="Normal"/></w:pPr>
<w:r><w:t xml:space="preserve">The total acreage in vegetables reported in 1899 was</w:t></w:r>
</w:p>
<w:p>
<w:pPr><w:pStyle w:val="Normal"/></w:pPr>
<w:r><w:t xml:space="preserve">5,758,191 or 2% of the acreage in all crops; the value of</w:t></w:r>
</w:p>
<w:p>
<w:pPr><w:pStyle w:val="Normal"/></w:pPr>
<w:r><w:t xml:space="preserve">the yield was $242,170,148 or 8.3% of the value of all crops.</w:t></w:r>
</w:p>
<w:p>
<w:pPr><w:pStyle w:val="Normal"/></w:pPr>
<w:r><w:t xml:space="preserve">The value of the fruit crop of 1899 was $131,423,517;</w:t></w:r>
</w:p>
<w:p>
<w:pPr><w:pStyle w:val="Normal"/></w:pPr>
<w:r><w:t xml:space="preserve">the value of orchard fruits was $83,751,840; of grapes,</w:t></w:r>
</w:p>
<w:p>
<w:pPr><w:pStyle w:val="Normal"/></w:pPr>
<w:r><w:t xml:space="preserve">$14,000,937; of small fruits, $25,030,877; of sub-tropical</w:t></w:r>
</w:p>
<w:p>
<w:pPr><w:pStyle w:val="Normal"/></w:pPr>
<w:r><w:t xml:space="preserve">fruits, $8,549,863.  The development of fruit-growing during</w:t></w:r>
</w:p>
<w:p>
<w:pPr><w:pStyle w:val="Normal"/></w:pPr>
<w:r><w:t xml:space="preserve">the decade 1889-1899 appears from the following table:-</w:t></w:r>
</w:p>
<w:p>
<w:pPr><w:pStyle w:val="Normal"/></w:pPr>
<w:r><w:t xml:space="preserve">Yield (bushels).</w:t></w:r>
</w:p>
<w:p>
<w:pPr><w:pStyle w:val="Normal"/></w:pPr>
<w:r><w:t xml:space="preserve">Crop.                1889.            1899.</w:t></w:r>
</w:p>
<w:p>
<w:pPr><w:pStyle w:val="Normal"/></w:pPr>
<w:r><w:t xml:space="preserve">Apples            143,105,689     175,397,626</w:t></w:r>
</w:p>
<w:p>
<w:pPr><w:pStyle w:val="Normal"/></w:pPr>
<w:r><w:t xml:space="preserve">Apricots            1,001,482       2,642,128</w:t></w:r>
</w:p>
<w:p>
<w:pPr><w:pStyle w:val="Normal"/></w:pPr>
<w:r><w:t xml:space="preserve">Cherries            1,476,719       2,873,499</w:t></w:r>
</w:p>
<w:p>
<w:pPr><w:pStyle w:val="Normal"/></w:pPr>
<w:r><w:t xml:space="preserve">Peaches            36,367,747      15,433,62317</w:t></w:r>
</w:p>
<w:p>
<w:pPr><w:pStyle w:val="Normal"/></w:pPr>
<w:r><w:t xml:space="preserve">Pears               3,064,375       6,625,417</w:t></w:r>
</w:p>
<w:p>
<w:pPr><w:pStyle w:val="Normal"/></w:pPr>
<w:r><w:t xml:space="preserve">Plums and Prunes    2,554,392       8,764,032</w:t></w:r>
</w:p>
<w:p>
<w:pPr><w:pStyle w:val="Normal"/></w:pPr>
<w:r><w:t xml:space="preserve">In 1899 California contributed 21.5% of the fruit crop; New</w:t></w:r>
</w:p>
<w:p>
<w:pPr><w:pStyle w:val="Normal"/></w:pPr>
<w:r><w:t xml:space="preserve">York, 12.1%; Pennsylvania, 7.5%; Ohio, 6.8%; and Michigan 4.5%</w:t></w:r>
</w:p>
<w:p>
<w:pPr><w:pStyle w:val="Normal"/></w:pPr>
<w:r><w:t xml:space="preserve">Agricultural Education.</w:t></w:r>
</w:p>
<w:p>
<w:pPr><w:pStyle w:val="Normal"/></w:pPr>
<w:r><w:t xml:space="preserve">The agricultural schools of the United States owe their</w:t></w:r>
</w:p>
<w:p>
<w:pPr><w:pStyle w:val="Normal"/></w:pPr>
<w:r><w:t xml:space="preserve">origin to the movement against the old classical school and</w:t></w:r>
</w:p>
<w:p>
<w:pPr><w:pStyle w:val="Normal"/></w:pPr>
<w:r><w:t xml:space="preserve">in favour of technical education which began in most civilized</w:t></w:r>
</w:p>
<w:p>
<w:pPr><w:pStyle w:val="Normal"/></w:pPr>
<w:r><w:t xml:space="preserve">nations about the middle of the 19th century.  A rapidly</w:t></w:r>
</w:p>
<w:p>
<w:pPr><w:pStyle w:val="Normal"/></w:pPr>
<w:r><w:t xml:space="preserve">growing country with great natural resources needed men</w:t></w:r>
</w:p>
<w:p>
<w:pPr><w:pStyle w:val="Normal"/></w:pPr>
<w:r><w:t xml:space="preserve">educated in the sciences and arts of life, and this want was</w:t></w:r>
</w:p>
<w:p>
<w:pPr><w:pStyle w:val="Normal"/></w:pPr>
<w:r><w:t xml:space="preserve">first manifested in the United States by a popular agitation</w:t></w:r>
</w:p>
<w:p>
<w:pPr><w:pStyle w:val="Normal"/></w:pPr>
<w:r><w:t xml:space="preserve">on behalf of agricultural schools.  A number of so-called</w:t></w:r>
</w:p>
<w:p>
<w:pPr><w:pStyle w:val="Normal"/></w:pPr>
<w:r><w:t xml:space="preserve">agricultural schools were started between 1850 and 1860 in the</w:t></w:r>
</w:p>
<w:p>
<w:pPr><w:pStyle w:val="Normal"/></w:pPr>
<w:r><w:t xml:space="preserve">eastern and middle states, where the movement made itself most</w:t></w:r>
</w:p>
<w:p>
<w:pPr><w:pStyle w:val="Normal"/></w:pPr>
<w:r><w:t xml:space="preserve">felt, but without trained teachers and suitable methods they</w:t></w:r>
</w:p>
<w:p>
<w:pPr><w:pStyle w:val="Normal"/></w:pPr>
<w:r><w:t xml:space="preserve">accomplished very little.  They were only ordinary schools</w:t></w:r>
</w:p>
<w:p>
<w:pPr><w:pStyle w:val="Normal"/></w:pPr>
<w:r><w:t xml:space="preserve">with farms attached.  The second constitution of the state</w:t></w:r>
</w:p>
<w:p>
<w:pPr><w:pStyle w:val="Normal"/></w:pPr>
<w:r><w:t xml:space="preserve">of Michigan, adopted in 1850, provided for an agricultural</w:t></w:r>
</w:p>
<w:p>
<w:pPr><w:pStyle w:val="Normal"/></w:pPr>
<w:r><w:t xml:space="preserve">school, and this was the first one established in the United</w:t></w:r>
</w:p>
<w:p>
<w:pPr><w:pStyle w:val="Normal"/></w:pPr>
<w:r><w:t xml:space="preserve">States.  The General Assembly of the state of Pennsylvania</w:t></w:r>
</w:p>
<w:p>
<w:pPr><w:pStyle w:val="Normal"/></w:pPr>
<w:r><w:t xml:space="preserve">incorporated the Farmers&apos; High School, now the State College, in</w:t></w:r>
</w:p>
<w:p>
<w:pPr><w:pStyle w:val="Normal"/></w:pPr>
<w:r><w:t xml:space="preserve">1854.  Maryland incorporated her agricultural college in 1856,</w:t></w:r>
</w:p>
<w:p>
<w:pPr><w:pStyle w:val="Normal"/></w:pPr>
<w:r><w:t xml:space="preserve">and Massachusetts chartered a school of agriculture in the same</w:t></w:r>
</w:p>
<w:p>
<w:pPr><w:pStyle w:val="Normal"/></w:pPr>
<w:r><w:t xml:space="preserve">year.  The agitation, which finally reached Congress, led</w:t></w:r>
</w:p>
<w:p>
<w:pPr><w:pStyle w:val="Normal"/></w:pPr>
<w:r><w:t xml:space="preserve">to the establishment of the so-called ``land-grant&apos;&apos; or</w:t></w:r>
</w:p>
<w:p>
<w:pPr><w:pStyle w:val="Normal"/></w:pPr>
<w:r><w:t xml:space="preserve">agricultural colleges.  The establishment of these colleges</w:t></w:r>
</w:p>
<w:p>
<w:pPr><w:pStyle w:val="Normal"/></w:pPr>
<w:r><w:t xml:space="preserve">was due chiefly to the wisdom and foresight of Justin S.</w:t></w:r>
</w:p>
<w:p>
<w:pPr><w:pStyle w:val="Normal"/></w:pPr>
<w:r><w:t xml:space="preserve">Morrill, who introduced the first bill for their endowment</w:t></w:r>
</w:p>
<w:p>
<w:pPr><w:pStyle w:val="Normal"/></w:pPr>
<w:r><w:t xml:space="preserve">in the House of Representatives on the 14th of December 1857,</w:t></w:r>
</w:p>
<w:p>
<w:pPr><w:pStyle w:val="Normal"/></w:pPr>
<w:r><w:t xml:space="preserve">saw the latest one approved by the president on the 30th of</w:t></w:r>
</w:p>
<w:p>
<w:pPr><w:pStyle w:val="Normal"/></w:pPr>
<w:r><w:t xml:space="preserve">August 1890, and is justly known, therefore, as the father</w:t></w:r>
</w:p>
<w:p>
<w:pPr><w:pStyle w:val="Normal"/></w:pPr>
<w:r><w:t xml:space="preserve">of the American agricultural colleges.  The first act for</w:t></w:r>
</w:p>
<w:p>
<w:pPr><w:pStyle w:val="Normal"/></w:pPr>
<w:r><w:t xml:space="preserve">the benefit of these colleges, passed in 1862, was entitled</w:t></w:r>
</w:p>
<w:p>
<w:pPr><w:pStyle w:val="Normal"/></w:pPr>
<w:r><w:t xml:space="preserve">``An Act donating public lands to the several states and</w:t></w:r>
</w:p>
<w:p>
<w:pPr><w:pStyle w:val="Normal"/></w:pPr>
<w:r><w:t xml:space="preserve">territories which may provide colleges for the benefit of</w:t></w:r>
</w:p>
<w:p>
<w:pPr><w:pStyle w:val="Normal"/></w:pPr>
<w:r><w:t xml:space="preserve">agriculture and the mechanic arts,&apos;&apos; and granted to each state</w:t></w:r>
</w:p>
<w:p>
<w:pPr><w:pStyle w:val="Normal"/></w:pPr>
<w:r><w:t xml:space="preserve">an amount of land equal to 30,000 acres for each senator and</w:t></w:r>
</w:p>
<w:p>
<w:pPr><w:pStyle w:val="Normal"/></w:pPr>
<w:r><w:t xml:space="preserve">representative in Congress to which the state was entitled</w:t></w:r>
</w:p>
<w:p>
<w:pPr><w:pStyle w:val="Normal"/></w:pPr>
<w:r><w:t xml:space="preserve">at that time.  The object of the grant was stated to be ``the</w:t></w:r>
</w:p>
<w:p>
<w:pPr><w:pStyle w:val="Normal"/></w:pPr>
<w:r><w:t xml:space="preserve">endowment, support and maintenance of at least one college&apos;&apos;</w:t></w:r>
</w:p>
<w:p>
<w:pPr><w:pStyle w:val="Normal"/></w:pPr>
<w:r><w:t xml:space="preserve">(in each state), ``where the leading object shall be, without</w:t></w:r>
</w:p>
<w:p>
<w:pPr><w:pStyle w:val="Normal"/></w:pPr>
<w:r><w:t xml:space="preserve">excluding other scientific and classical studies, and including</w:t></w:r>
</w:p>
<w:p>
<w:pPr><w:pStyle w:val="Normal"/></w:pPr>
<w:r><w:t xml:space="preserve">military tactics, to teach such branches of learning as are</w:t></w:r>
</w:p>
<w:p>
<w:pPr><w:pStyle w:val="Normal"/></w:pPr>
<w:r><w:t xml:space="preserve">related to agriculture and the mechanic arts . . . in order to</w:t></w:r>
</w:p>
<w:p>
<w:pPr><w:pStyle w:val="Normal"/></w:pPr>
<w:r><w:t xml:space="preserve">promote the liberal and practical education of the industrial</w:t></w:r>
</w:p>
<w:p>
<w:pPr><w:pStyle w:val="Normal"/></w:pPr>
<w:r><w:t xml:space="preserve">classes in the several pursuits and professions in life.&apos;&apos;</w:t></w:r>
</w:p>
<w:p>
<w:pPr><w:pStyle w:val="Normal"/></w:pPr>
<w:r><w:t xml:space="preserve">The total number of acres of land granted to the states under</w:t></w:r>
</w:p>
<w:p>
<w:pPr><w:pStyle w:val="Normal"/></w:pPr>
<w:r><w:t xml:space="preserve">this act was 10,320,843, of which by far the greater part is</w:t></w:r>
</w:p>
<w:p>
<w:pPr><w:pStyle w:val="Normal"/></w:pPr>
<w:r><w:t xml:space="preserve">sold.  This grant has produced an endowment fund amounting to</w:t></w:r>
</w:p>
<w:p>
<w:pPr><w:pStyle w:val="Normal"/></w:pPr>
<w:r><w:t xml:space="preserve">$12,045,629.  The land still unsold in 1905 amounted to 844,164</w:t></w:r>
</w:p>
<w:p>
<w:pPr><w:pStyle w:val="Normal"/></w:pPr>
<w:r><w:t xml:space="preserve">acres, valued at $4,168,746.  The invested land-grant funds</w:t></w:r>
</w:p>
<w:p>
<w:pPr><w:pStyle w:val="Normal"/></w:pPr>
<w:r><w:t xml:space="preserve">yielded these colleges a total annual income of $855,083 in</w:t></w:r>
</w:p>
<w:p>
<w:pPr><w:pStyle w:val="Normal"/></w:pPr>
<w:r><w:t xml:space="preserve">1905.  Including the United States appropriation under a</w:t></w:r>
</w:p>
<w:p>
<w:pPr><w:pStyle w:val="Normal"/></w:pPr>
<w:r><w:t xml:space="preserve">supplementary act of 1890, commonly known as the Second</w:t></w:r>
</w:p>
<w:p>
<w:pPr><w:pStyle w:val="Normal"/></w:pPr>
<w:r><w:t xml:space="preserve">Morrill Act, which now gives each college $25,000 a year,</w:t></w:r>
</w:p>
<w:p>
<w:pPr><w:pStyle w:val="Normal"/></w:pPr>
<w:r><w:t xml:space="preserve">the interest on the land-grant and all other invested funds,</w:t></w:r>
</w:p>
<w:p>
<w:pPr><w:pStyle w:val="Normal"/></w:pPr>
<w:r><w:t xml:space="preserve">all state appropriations and other sources of revenue, these</w:t></w:r>
</w:p>
<w:p>
<w:pPr><w:pStyle w:val="Normal"/></w:pPr>
<w:r><w:t xml:space="preserve">colleges had in 1904-1905 a total income of $11,659,955.</w:t></w:r>
</w:p>
<w:p>
<w:pPr><w:pStyle w:val="Normal"/></w:pPr>
<w:r><w:t xml:space="preserve">Sixty-six institutions had been organized under this act up to</w:t></w:r>
</w:p>
<w:p>
<w:pPr><w:pStyle w:val="Normal"/></w:pPr>
<w:r><w:t xml:space="preserve">1905, of which sixty-three maintain courses in agriculture;</w:t></w:r>
</w:p>
<w:p>
<w:pPr><w:pStyle w:val="Normal"/></w:pPr>
<w:r><w:t xml:space="preserve">twenty-one are departments of agriculture and engineering</w:t></w:r>
</w:p>
<w:p>
<w:pPr><w:pStyle w:val="Normal"/></w:pPr>
<w:r><w:t xml:space="preserve">in state universities; twenty-seven are separate colleges of</w:t></w:r>
</w:p>
<w:p>
<w:pPr><w:pStyle w:val="Normal"/></w:pPr>
<w:r><w:t xml:space="preserve">agriculture and mechanic arts; and the remainder are organized</w:t></w:r>
</w:p>
<w:p>
<w:pPr><w:pStyle w:val="Normal"/></w:pPr>
<w:r><w:t xml:space="preserve">in various other ways.  Separate schools for persons of African</w:t></w:r>
</w:p>
<w:p>
<w:pPr><w:pStyle w:val="Normal"/></w:pPr>
<w:r><w:t xml:space="preserve">descent had been established under this act in sixteen southern</w:t></w:r>
</w:p>
<w:p>
<w:pPr><w:pStyle w:val="Normal"/></w:pPr>
<w:r><w:t xml:space="preserve">states.  These colleges take students prepared in the common</w:t></w:r>
</w:p>
<w:p>
<w:pPr><w:pStyle w:val="Normal"/></w:pPr>
<w:r><w:t xml:space="preserve">schools and give them a course of from two to four years in</w:t></w:r>
</w:p>
<w:p>
<w:pPr><w:pStyle w:val="Normal"/></w:pPr>
<w:r><w:t xml:space="preserve">the sciences pertaining to agriculture.  Many of them offer</w:t></w:r>
</w:p>
<w:p>
<w:pPr><w:pStyle w:val="Normal"/></w:pPr>
<w:r><w:t xml:space="preserve">short courses, varying from four to twelve weeks in length, in</w:t></w:r>
</w:p>
<w:p>
<w:pPr><w:pStyle w:val="Normal"/></w:pPr>
<w:r><w:t xml:space="preserve">agriculture, horticulture, forestry and dairying, which are largely</w:t></w:r>
</w:p>
<w:p>
<w:pPr><w:pStyle w:val="Normal"/></w:pPr>
<w:r><w:t xml:space="preserve">attended.  Agricultural experiment stations are connected</w:t></w:r>
</w:p>
<w:p>
<w:pPr><w:pStyle w:val="Normal"/></w:pPr>
<w:r><w:t xml:space="preserve">with all the colleges, and many of them conduct farmers&apos;</w:t></w:r>
</w:p>
<w:p>
<w:pPr><w:pStyle w:val="Normal"/></w:pPr>
<w:r><w:t xml:space="preserve">institutes, farmers&apos; reading clubs and correspondence classes.</w:t></w:r>
</w:p>
<w:p>
<w:pPr><w:pStyle w:val="Normal"/></w:pPr>
<w:r><w:t xml:space="preserve">The agricultural experiment stations of the United States grew</w:t></w:r>
</w:p>
<w:p>
<w:pPr><w:pStyle w:val="Normal"/></w:pPr>
<w:r><w:t xml:space="preserve">up in connexion with the agricultural colleges.  Several of the</w:t></w:r>
</w:p>
<w:p>
<w:pPr><w:pStyle w:val="Normal"/></w:pPr>
<w:r><w:t xml:space="preserve">colleges early attempted to establish separate departments for</w:t></w:r>
</w:p>
<w:p>
<w:pPr><w:pStyle w:val="Normal"/></w:pPr>
<w:r><w:t xml:space="preserve">research and practical experiments, on the plan of the German</w:t></w:r>
</w:p>
<w:p>
<w:pPr><w:pStyle w:val="Normal"/></w:pPr>
<w:r><w:t xml:space="preserve">stations.  The act establishing the Agricultural College of</w:t></w:r>
</w:p>
<w:p>
<w:pPr><w:pStyle w:val="Normal"/></w:pPr>
<w:r><w:t xml:space="preserve">Maryland required it to conduct ``a series of experiments</w:t></w:r>
</w:p>
<w:p>
<w:pPr><w:pStyle w:val="Normal"/></w:pPr>
<w:r><w:t xml:space="preserve">upon the cultivation of cereals and other plants adapted</w:t></w:r>
</w:p>
<w:p>
<w:pPr><w:pStyle w:val="Normal"/></w:pPr>
<w:r><w:t xml:space="preserve">to the latitude and climate of the state of Maryland.&apos;&apos;</w:t></w:r>
</w:p>
<w:p>
<w:pPr><w:pStyle w:val="Normal"/></w:pPr>
<w:r><w:t xml:space="preserve">This was the first suggestion of an experiment station in</w:t></w:r>
</w:p>
<w:p>
<w:pPr><w:pStyle w:val="Normal"/></w:pPr>
<w:r><w:t xml:space="preserve">America, but resulted in little.  The first experiment station</w:t></w:r>
</w:p>
<w:p>
<w:pPr><w:pStyle w:val="Normal"/></w:pPr>
<w:r><w:t xml:space="preserve">was established at Middletown, Connecticut, in 1875, partly</w:t></w:r>
</w:p>
<w:p>
<w:pPr><w:pStyle w:val="Normal"/></w:pPr>
<w:r><w:t xml:space="preserve">under state aid, partly through a gift from Orange Judd,</w:t></w:r>
</w:p>
<w:p>
<w:pPr><w:pStyle w:val="Normal"/></w:pPr>
<w:r><w:t xml:space="preserve">partly in connexion with the Sheffield Scientific School,</w:t></w:r>
</w:p>
<w:p>
<w:pPr><w:pStyle w:val="Normal"/></w:pPr>
<w:r><w:t xml:space="preserve">which from 1863 to 1892 was the College of Agriculture and</w:t></w:r>
</w:p>
<w:p>
<w:pPr><w:pStyle w:val="Normal"/></w:pPr>
<w:r><w:t xml:space="preserve">Mechanic Arts for the state of Connecticut, and partly under</w:t></w:r>
</w:p>
<w:p>
<w:pPr><w:pStyle w:val="Normal"/></w:pPr>
<w:r><w:t xml:space="preserve">control of Wesleyan University, which contributed the use</w:t></w:r>
</w:p>
<w:p>
<w:pPr><w:pStyle w:val="Normal"/></w:pPr>
<w:r><w:t xml:space="preserve">of its chemical laboratory; in 1877 it was removed to New</w:t></w:r>
</w:p>
<w:p>
<w:pPr><w:pStyle w:val="Normal"/></w:pPr>
<w:r><w:t xml:space="preserve">Haven.  The state of Connecticut made in 1875 an appropriation</w:t></w:r>
</w:p>
<w:p>
<w:pPr><w:pStyle w:val="Normal"/></w:pPr>
<w:r><w:t xml:space="preserve">of $2800 (and in 1877 $5000 per annum) for this school--the</w:t></w:r>
</w:p>
<w:p>
<w:pPr><w:pStyle w:val="Normal"/></w:pPr>
<w:r><w:t xml:space="preserve">first state appropriation of the kind.  The state of</w:t></w:r>
</w:p>
<w:p>
<w:pPr><w:pStyle w:val="Normal"/></w:pPr>
<w:r><w:t xml:space="preserve">North Carolina established, on the 12th of March 1877, an</w:t></w:r>
</w:p>
<w:p>
<w:pPr><w:pStyle w:val="Normal"/></w:pPr>
<w:r><w:t xml:space="preserve">agricultural experiment and fertilizer control station in</w:t></w:r>
</w:p>
<w:p>
<w:pPr><w:pStyle w:val="Normal"/></w:pPr>
<w:r><w:t xml:space="preserve">connexion with its state university.  The Cornell University</w:t></w:r>
</w:p>
<w:p>
<w:pPr><w:pStyle w:val="Normal"/></w:pPr>
<w:r><w:t xml:space="preserve">experiment station was organized by that institution in</w:t></w:r>
</w:p>
<w:p>
<w:pPr><w:pStyle w:val="Normal"/></w:pPr>
<w:r><w:t xml:space="preserve">1879.  The New Jersey station was organized in 1880 and the</w:t></w:r>
</w:p>
<w:p>
<w:pPr><w:pStyle w:val="Normal"/></w:pPr>
<w:r><w:t xml:space="preserve">station of the University of Tennessee in 1882.  From these</w:t></w:r>
</w:p>
<w:p>
<w:pPr><w:pStyle w:val="Normal"/></w:pPr>
<w:r><w:t xml:space="preserve">beginnings the experiment stations multiplied until, when</w:t></w:r>
</w:p>
<w:p>
<w:pPr><w:pStyle w:val="Normal"/></w:pPr>
<w:r><w:t xml:space="preserve">Congress passed the National (or Hatch) Experiment Station</w:t></w:r>
</w:p>
<w:p>
<w:pPr><w:pStyle w:val="Normal"/></w:pPr>
<w:r><w:t xml:space="preserve">Act in 1887, there were seventeen already in existence.  The</w:t></w:r>
</w:p>
<w:p>
<w:pPr><w:pStyle w:val="Normal"/></w:pPr>
<w:r><w:t xml:space="preserve">Hatch Experiment Station Act, so called from the fact that</w:t></w:r>
</w:p>
<w:p>
<w:pPr><w:pStyle w:val="Normal"/></w:pPr>
<w:r><w:t xml:space="preserve">its leading advocate was William Henry Hatch (1833-1896) of</w:t></w:r>
</w:p>
<w:p>
<w:pPr><w:pStyle w:val="Normal"/></w:pPr>
<w:r><w:t xml:space="preserve">Missouri, appropriated $15,000 a year to each agricultural</w:t></w:r>
</w:p>
<w:p>
<w:pPr><w:pStyle w:val="Normal"/></w:pPr>
<w:r><w:t xml:space="preserve">college for the purpose of conducting an agricultural experiment</w:t></w:r>
</w:p>
<w:p>
<w:pPr><w:pStyle w:val="Normal"/></w:pPr>
<w:r><w:t xml:space="preserve">station.  The object of the stations was declared to be,</w:t></w:r>
</w:p>
<w:p>
<w:pPr><w:pStyle w:val="Normal"/></w:pPr>
<w:r><w:t xml:space="preserve">``to conduct original researches or verify experiments on the</w:t></w:r>
</w:p>
<w:p>
<w:pPr><w:pStyle w:val="Normal"/></w:pPr>
<w:r><w:t xml:space="preserve">physiology of plants and animals; the diseases to which they</w:t></w:r>
</w:p>
<w:p>
<w:pPr><w:pStyle w:val="Normal"/></w:pPr>
<w:r><w:t xml:space="preserve">are severally subject, with the remedies for the same; the</w:t></w:r>
</w:p>
<w:p>
<w:pPr><w:pStyle w:val="Normal"/></w:pPr>
<w:r><w:t xml:space="preserve">chemical composition of useful plants at their different stages</w:t></w:r>
</w:p>
<w:p>
<w:pPr><w:pStyle w:val="Normal"/></w:pPr>
<w:r><w:t xml:space="preserve">of growth; the comparative advantages of rotative cropping as</w:t></w:r>
</w:p>
<w:p>
<w:pPr><w:pStyle w:val="Normal"/></w:pPr>
<w:r><w:t xml:space="preserve">pursued under a varying series of crops; the capacity of new</w:t></w:r>
</w:p>
<w:p>
<w:pPr><w:pStyle w:val="Normal"/></w:pPr>
<w:r><w:t xml:space="preserve">plants or trees for acclimation; the analysis of soils and water;</w:t></w:r>
</w:p>
<w:p>
<w:pPr><w:pStyle w:val="Normal"/></w:pPr>
<w:r><w:t xml:space="preserve">the chemical composition of manures, natural or artificial,</w:t></w:r>
</w:p>
<w:p>
<w:pPr><w:pStyle w:val="Normal"/></w:pPr>
<w:r><w:t xml:space="preserve">with experiments designed to test their comparative effects on</w:t></w:r>
</w:p>
<w:p>
<w:pPr><w:pStyle w:val="Normal"/></w:pPr>
<w:r><w:t xml:space="preserve">crops of different kinds; the adaptation and value of grasses</w:t></w:r>
</w:p>
<w:p>
<w:pPr><w:pStyle w:val="Normal"/></w:pPr>
<w:r><w:t xml:space="preserve">and forage plants; the composition and digestibility of the</w:t></w:r>
</w:p>
<w:p>
<w:pPr><w:pStyle w:val="Normal"/></w:pPr>
<w:r><w:t xml:space="preserve">different kinds of food for domestic animals; the scientific</w:t></w:r>
</w:p>
<w:p>
<w:pPr><w:pStyle w:val="Normal"/></w:pPr>
<w:r><w:t xml:space="preserve">and economic questions involved in the production of butter</w:t></w:r>
</w:p>
<w:p>
<w:pPr><w:pStyle w:val="Normal"/></w:pPr>
<w:r><w:t xml:space="preserve">and cheese; and such other re-searches or experiments bearing</w:t></w:r>
</w:p>
<w:p>
<w:pPr><w:pStyle w:val="Normal"/></w:pPr>
<w:r><w:t xml:space="preserve">directly on the agricultural industry of the United States</w:t></w:r>
</w:p>
<w:p>
<w:pPr><w:pStyle w:val="Normal"/></w:pPr>
<w:r><w:t xml:space="preserve">as may in each case be deemed advisable, having due regard to</w:t></w:r>
</w:p>
<w:p>
<w:pPr><w:pStyle w:val="Normal"/></w:pPr>
<w:r><w:t xml:space="preserve">the varying conditions and needs of the respective states or</w:t></w:r>
</w:p>
<w:p>
<w:pPr><w:pStyle w:val="Normal"/></w:pPr>
<w:r><w:t xml:space="preserve">territories.&apos;&apos; The stations were authorized to publish annual</w:t></w:r>
</w:p>
<w:p>
<w:pPr><w:pStyle w:val="Normal"/></w:pPr>
<w:r><w:t xml:space="preserve">reports and also bulletins of progress for free distribution</w:t></w:r>
</w:p>
<w:p>
<w:pPr><w:pStyle w:val="Normal"/></w:pPr>
<w:r><w:t xml:space="preserve">to farmers.  The franking privilege was given to these</w:t></w:r>
</w:p>
<w:p>
<w:pPr><w:pStyle w:val="Normal"/></w:pPr>
<w:r><w:t xml:space="preserve">publications.  The office of experiment stations, in the</w:t></w:r>
</w:p>
<w:p>
<w:pPr><w:pStyle w:val="Normal"/></w:pPr>
<w:r><w:t xml:space="preserve">Department of Agriculture, was established in 1888 to be the</w:t></w:r>
</w:p>
<w:p>
<w:pPr><w:pStyle w:val="Normal"/></w:pPr>
<w:r><w:t xml:space="preserve">head office and clearing-house of these stations.  Agricultural</w:t></w:r>
</w:p>
<w:p>
<w:pPr><w:pStyle w:val="Normal"/></w:pPr>
<w:r><w:t xml:space="preserve">experiment stations are now in operation in all the states and</w:t></w:r>
</w:p>
<w:p>
<w:pPr><w:pStyle w:val="Normal"/></w:pPr>
<w:r><w:t xml:space="preserve">territories, including Alaska, Hawaii, Porto Rico and the</w:t></w:r>
</w:p>
<w:p>
<w:pPr><w:pStyle w:val="Normal"/></w:pPr>
<w:r><w:t xml:space="preserve">Philippines.  Alabama, Hawaii, Connecticut, New Jersey and</w:t></w:r>
</w:p>
<w:p>
<w:pPr><w:pStyle w:val="Normal"/></w:pPr>
<w:r><w:t xml:space="preserve">New York each maintain separate stations, supported wholly</w:t></w:r>
</w:p>
<w:p>
<w:pPr><w:pStyle w:val="Normal"/></w:pPr>
<w:r><w:t xml:space="preserve">or in part by state funds; Louisiana has a station for sugar,</w:t></w:r>
</w:p>
<w:p>
<w:pPr><w:pStyle w:val="Normal"/></w:pPr>
<w:r><w:t xml:space="preserve">and Missouri for fruit experiments.  Excluding all branch</w:t></w:r>
</w:p>
<w:p>
<w:pPr><w:pStyle w:val="Normal"/></w:pPr>
<w:r><w:t xml:space="preserve">stations, the total number of experiment stations in the United</w:t></w:r>
</w:p>
<w:p>
<w:pPr><w:pStyle w:val="Normal"/></w:pPr>
<w:r><w:t xml:space="preserve">States is sixty, and of these fifty-five receive the national</w:t></w:r>
</w:p>
<w:p>
<w:pPr><w:pStyle w:val="Normal"/></w:pPr>
<w:r><w:t xml:space="preserve">appropriation.  The total income of the stations during 1904 was</w:t></w:r>
</w:p>
<w:p>
<w:pPr><w:pStyle w:val="Normal"/></w:pPr>
<w:r><w:t xml:space="preserve">$1,508,820, of which $720,000 was received from the national</w:t></w:r>
</w:p>
<w:p>
<w:pPr><w:pStyle w:val="Normal"/></w:pPr>
<w:r><w:t xml:space="preserve">government and the remainder was derived from societies,</w:t></w:r>
</w:p>
<w:p>
<w:pPr><w:pStyle w:val="Normal"/></w:pPr>
<w:r><w:t xml:space="preserve">fees for analyses of fertilizers, sale of products, &amp;c. The</w:t></w:r>
</w:p>
<w:p>
<w:pPr><w:pStyle w:val="Normal"/></w:pPr>
<w:r><w:t xml:space="preserve">stations employed 795 persons in the work of administration</w:t></w:r>
</w:p>
<w:p>
<w:pPr><w:pStyle w:val="Normal"/></w:pPr>
<w:r><w:t xml:space="preserve">and re-search; the chief classes being--directors, 71;</w:t></w:r>
</w:p>
<w:p>
<w:pPr><w:pStyle w:val="Normal"/></w:pPr>
<w:r><w:t xml:space="preserve">chemists, 163; agriculturists, 47; agronomists, 41; besides</w:t></w:r>
</w:p>
<w:p>
<w:pPr><w:pStyle w:val="Normal"/></w:pPr>
<w:r><w:t xml:space="preserve">numerous horticulturists, botanists, entomologists, physicists,</w:t></w:r>
</w:p>
<w:p>
<w:pPr><w:pStyle w:val="Normal"/></w:pPr>
<w:r><w:t xml:space="preserve">bacteriologists, dairymen, weather observers and irrigation</w:t></w:r>
</w:p>
<w:p>
<w:pPr><w:pStyle w:val="Normal"/></w:pPr>
<w:r><w:t xml:space="preserve">experts.  The stations publish annual reports and bulletins,</w:t></w:r>
</w:p>
<w:p>
<w:pPr><w:pStyle w:val="Normal"/></w:pPr>
<w:r><w:t xml:space="preserve">besides a large number of ``press&apos;&apos; bulletins, which are</w:t></w:r>
</w:p>
<w:p>
<w:pPr><w:pStyle w:val="Normal"/></w:pPr>
<w:r><w:t xml:space="preserve">reproduced in the agricultural and county papers.  They act</w:t></w:r>
</w:p>
<w:p>
<w:pPr><w:pStyle w:val="Normal"/></w:pPr>
<w:r><w:t xml:space="preserve">as bureaus of information on all farm questions, and carry</w:t></w:r>
</w:p>
<w:p>
<w:pPr><w:pStyle w:val="Normal"/></w:pPr>
<w:r><w:t xml:space="preserve">on an extensive correspondence covering all conceivable</w:t></w:r>
</w:p>
<w:p>
<w:pPr><w:pStyle w:val="Normal"/></w:pPr>
<w:r><w:t xml:space="preserve">questions.  Their mailing lists aggregate half a million</w:t></w:r>
</w:p>
<w:p>
<w:pPr><w:pStyle w:val="Normal"/></w:pPr>
<w:r><w:t xml:space="preserve">names.  In addition to the experiment stations there is in</w:t></w:r>
</w:p>
<w:p>
<w:pPr><w:pStyle w:val="Normal"/></w:pPr>
<w:r><w:t xml:space="preserve">nearly every state an officer or a special board whose duty is</w:t></w:r>
</w:p>
<w:p>
<w:pPr><w:pStyle w:val="Normal"/></w:pPr>
<w:r><w:t xml:space="preserve">to look after its agricultural interests.  Eighteen states, one</w:t></w:r>
</w:p>
<w:p>
<w:pPr><w:pStyle w:val="Normal"/></w:pPr>
<w:r><w:t xml:space="preserve">territory, Porto Rico and the Philippine Islands have a single</w:t></w:r>
</w:p>
<w:p>
<w:pPr><w:pStyle w:val="Normal"/></w:pPr>
<w:r><w:t xml:space="preserve">official, usually called the Commissioner of Agriculture.</w:t></w:r>
</w:p>
<w:p>
<w:pPr><w:pStyle w:val="Normal"/></w:pPr>
<w:r><w:t xml:space="preserve">Twenty-six states, one territory and Hawaii, have Boards of</w:t></w:r>
</w:p>
<w:p>
<w:pPr><w:pStyle w:val="Normal"/></w:pPr>
<w:r><w:t xml:space="preserve">Agriculture.  Information concerning the Agricultural Department</w:t></w:r>
</w:p>
<w:p>
<w:pPr><w:pStyle w:val="Normal"/></w:pPr>
<w:r><w:t xml:space="preserve">of the United States will be found under AGRICULTURE, BOARD OF.</w:t></w:r>
</w:p>
<w:p>
<w:pPr><w:pStyle w:val="Normal"/></w:pPr>
<w:r><w:t xml:space="preserve">See the articles on the various sorts of crops; also CATTLE,</w:t></w:r>
</w:p>
<w:p>
<w:pPr><w:pStyle w:val="Normal"/></w:pPr>
<w:r><w:t xml:space="preserve">HORSE, PIG, SHEEP, &amp;c.; DAIRY AND DAIRY-FARMING,</w:t></w:r>
</w:p>
<w:p>
<w:pPr><w:pStyle w:val="Normal"/></w:pPr>
<w:r><w:t xml:space="preserve">HORTICULTURE, FRUIT AND FLOWER-FARMING, POULTRY AND</w:t></w:r>
</w:p>
<w:p>
<w:pPr><w:pStyle w:val="Normal"/></w:pPr>
<w:r><w:t xml:space="preserve">POULTRY FARMING; SOIL, GRASS AND GRASSLAND, MANURE,</w:t></w:r>
</w:p>
<w:p>
<w:pPr><w:pStyle w:val="Normal"/></w:pPr>
<w:r><w:t xml:space="preserve">DRAINAGE OF LAND, IRRIGATION, SOWING, REAPING,</w:t></w:r>
</w:p>
<w:p>
<w:pPr><w:pStyle w:val="Normal"/></w:pPr>
<w:r><w:t xml:space="preserve">HAY AND HAY MAKING, PLOUGH, HARROW, THRESHING.</w:t></w:r>
</w:p>
<w:p>
<w:pPr><w:pStyle w:val="Normal"/></w:pPr>
<w:r><w:t xml:space="preserve">LITERATURE.---Besides the contemporary works cited in the</w:t></w:r>
</w:p>
<w:p>
<w:pPr><w:pStyle w:val="Normal"/></w:pPr>
<w:r><w:t xml:space="preserve">text, see the article ``Agricultural&apos;&apos; in Smith&apos;s Dictionary</w:t></w:r>
</w:p>
<w:p>
<w:pPr><w:pStyle w:val="Normal"/></w:pPr>
<w:r><w:t xml:space="preserve">of Greek and Roman Antiquities (1890), and the article</w:t></w:r>
</w:p>
<w:p>
<w:pPr><w:pStyle w:val="Normal"/></w:pPr>
<w:r><w:t xml:space="preserve">``Agriculture&apos;&apos; in J. A. Parral&apos;s Dictionnaire d&apos;Agriculture</w:t></w:r>
</w:p>
<w:p>
<w:pPr><w:pStyle w:val="Normal"/></w:pPr>
<w:r><w:t xml:space="preserve">(1885-1892); R. E. Prothero, Pioneers and Progress of English</w:t></w:r>
</w:p>
<w:p>
<w:pPr><w:pStyle w:val="Normal"/></w:pPr>
<w:r><w:t xml:space="preserve">Farming (1888); sections on agriculture by W.J. Corbett,</w:t></w:r>
</w:p>
<w:p>
<w:pPr><w:pStyle w:val="Normal"/></w:pPr>
<w:r><w:t xml:space="preserve">R. E. Prothero and W. E. Bear in Traill&apos;s Social England</w:t></w:r>
</w:p>
<w:p>
<w:pPr><w:pStyle w:val="Normal"/></w:pPr>
<w:r><w:t xml:space="preserve">(1901-1904); J. E. T. Rogers, History of Agriculture and</w:t></w:r>
</w:p>
<w:p>
<w:pPr><w:pStyle w:val="Normal"/></w:pPr>
<w:r><w:t xml:space="preserve">Prices in England from 1259 to 1793 (7 vols., 1866-1902);</w:t></w:r>
</w:p>
<w:p>
<w:pPr><w:pStyle w:val="Normal"/></w:pPr>
<w:r><w:t xml:space="preserve">W. Cunningham, Growth of English Industry and Commerce</w:t></w:r>
</w:p>
<w:p>
<w:pPr><w:pStyle w:val="Normal"/></w:pPr>
<w:r><w:t xml:space="preserve">During The Early and Middle Ages (2 vols., 1905 and</w:t></w:r>
</w:p>
<w:p>
<w:pPr><w:pStyle w:val="Normal"/></w:pPr>
<w:r><w:t xml:space="preserve">1907); D. M`Donald, Agricultural Writers from Sir Walter of</w:t></w:r>
</w:p>
<w:p>
<w:pPr><w:pStyle w:val="Normal"/></w:pPr>
<w:r><w:t xml:space="preserve">Henley to Arthur Young, 1200-1800 (London, 1908); H. Rider</w:t></w:r>
</w:p>
<w:p>
<w:pPr><w:pStyle w:val="Normal"/></w:pPr>
<w:r><w:t xml:space="preserve">Haggard, Rural England, 2 vols. (1902); Encyclopedia of</w:t></w:r>
</w:p>
<w:p>
<w:pPr><w:pStyle w:val="Normal"/></w:pPr>
<w:r><w:t xml:space="preserve">Agriculture, ed. by C. E. Green and D. Young (Edinburgh,</w:t></w:r>
</w:p>
<w:p>
<w:pPr><w:pStyle w:val="Normal"/></w:pPr>
<w:r><w:t xml:space="preserve">1907-1908); Cyclopaedia of American Agriculture, ed.</w:t></w:r>
</w:p>
<w:p>
<w:pPr><w:pStyle w:val="Normal"/></w:pPr>
<w:r><w:t xml:space="preserve">by L. H. Bailey (New Yorkand London, 1907-1908); W. S.</w:t></w:r>
</w:p>
<w:p>
<w:pPr><w:pStyle w:val="Normal"/></w:pPr>
<w:r><w:t xml:space="preserve">Harwood, The New Earth (New York, 1906); T. B. Collins,</w:t></w:r>
</w:p>
<w:p>
<w:pPr><w:pStyle w:val="Normal"/></w:pPr>
<w:r><w:t xml:space="preserve">The New Agriculture (New York, 1906); Journals of the</w:t></w:r>
</w:p>
<w:p>
<w:pPr><w:pStyle w:val="Normal"/></w:pPr>
<w:r><w:t xml:space="preserve">Royal Agricultural Society of England and other agricultural</w:t></w:r>
</w:p>
<w:p>
<w:pPr><w:pStyle w:val="Normal"/></w:pPr>
<w:r><w:t xml:space="preserve">societies.  Amongst general works on practical agriculture the</w:t></w:r>
</w:p>
<w:p>
<w:pPr><w:pStyle w:val="Normal"/></w:pPr>
<w:r><w:t xml:space="preserve">following may be mentioned:--Stephens&apos;s Book of the Farm, 5</w:t></w:r>
</w:p>
<w:p>
<w:pPr><w:pStyle w:val="Normal"/></w:pPr>
<w:r><w:t xml:space="preserve">vols., revised by J. Macdonald (Edinburgh, 1908).; William</w:t></w:r>
</w:p>
<w:p>
<w:pPr><w:pStyle w:val="Normal"/></w:pPr>
<w:r><w:t xml:space="preserve">Fream, Elements of Agriculture (London, 1905); Rural Science</w:t></w:r>
</w:p>
<w:p>
<w:pPr><w:pStyle w:val="Normal"/></w:pPr>
<w:r><w:t xml:space="preserve">Series, ed. by L. H. Bailey (New York and London, 1895,</w:t></w:r>
</w:p>
<w:p>
<w:pPr><w:pStyle w:val="Normal"/></w:pPr>
<w:r><w:t xml:space="preserve">&amp;c.); Morton&apos;s Handbooks of the Farm (London); R. Wallace,</w:t></w:r>
</w:p>
<w:p>
<w:pPr><w:pStyle w:val="Normal"/></w:pPr>
<w:r><w:t xml:space="preserve">Farm Livestock of Great Britain (Edinburgh, 1907); Youatt&apos;s</w:t></w:r>
</w:p>
<w:p>
<w:pPr><w:pStyle w:val="Normal"/></w:pPr>
<w:r><w:t xml:space="preserve">Complete Grazier, rewritten by W. Fream (London, 1900); E.</w:t></w:r>
</w:p>
<w:p>
<w:pPr><w:pStyle w:val="Heading1"/></w:pPr>
<w:r><w:t>V. Wilcox, Farm Animals (New York, 1907). (W. Fr.; R. Tr.)</w:t></w:r>
</w:p>
<w:p>
<w:pPr><w:pStyle w:val="Normal"/></w:pPr>
<w:r><w:t xml:space="preserve">1 Translation by Clement-Mullet (Paris, 1864).</w:t></w:r>
</w:p>
<w:p>
<w:pPr><w:pStyle w:val="Normal"/></w:pPr>
<w:r><w:t xml:space="preserve">2 Walter of Henley mentions six bushels per acre as a satisfactory crop.</w:t></w:r>
</w:p>
<w:p>
<w:pPr><w:pStyle w:val="Normal"/></w:pPr>
<w:r><w:t xml:space="preserve">3 This process of enclosure must be distinguished from that of enclosing</w:t></w:r>
</w:p>
<w:p>
<w:pPr><w:pStyle w:val="Normal"/></w:pPr>
<w:r><w:t xml:space="preserve">the arable common fields which, though advocated by Fitzherbert in</w:t></w:r>
</w:p>
<w:p>
<w:pPr><w:pStyle w:val="Normal"/></w:pPr>
<w:r><w:t xml:space="preserve">a passage quoted below, proceeded slowly until the 18th century.</w:t></w:r>
</w:p>
<w:p>
<w:pPr><w:pStyle w:val="Normal"/></w:pPr>
<w:r><w:t xml:space="preserve">4 During the 16th century wheat had risen in price,</w:t></w:r>
</w:p>
<w:p>
<w:pPr><w:pStyle w:val="Normal"/></w:pPr>
<w:r><w:t xml:space="preserve">and between 1606 and 1618 never fell below 30s. a</w:t></w:r>
</w:p>
<w:p>
<w:pPr><w:pStyle w:val="Normal"/></w:pPr>
<w:r><w:t xml:space="preserve">quarter.  At the same time wages remained low.</w:t></w:r>
</w:p>
<w:p>
<w:pPr><w:pStyle w:val="Normal"/></w:pPr>
<w:r><w:t xml:space="preserve">5 Chalmers&apos; Caledonia, vol. ii. p. 732.</w:t></w:r>
</w:p>
<w:p>
<w:pPr><w:pStyle w:val="Normal"/></w:pPr>
<w:r><w:t xml:space="preserve">6 The higher yield of wheat in the later years of the 19th</w:t></w:r>
</w:p>
<w:p>
<w:pPr><w:pStyle w:val="Normal"/></w:pPr>
<w:r><w:t xml:space="preserve">century appears to be largely attributable to better grain-growing</w:t></w:r>
</w:p>
<w:p>
<w:pPr><w:pStyle w:val="Normal"/></w:pPr>
<w:r><w:t xml:space="preserve">seasons.  The yields in the experimental wheat-field at</w:t></w:r>
</w:p>
<w:p>
<w:pPr><w:pStyle w:val="Normal"/></w:pPr>
<w:r><w:t xml:space="preserve">Rothamsted--where there is no change either of land or of</w:t></w:r>
</w:p>
<w:p>
<w:pPr><w:pStyle w:val="Normal"/></w:pPr>
<w:r><w:t xml:space="preserve">treatment--indicate this.  The following figures show the</w:t></w:r>
</w:p>
<w:p>
<w:pPr><w:pStyle w:val="Normal"/></w:pPr>
<w:r><w:t xml:space="preserve">average yields per acre of the selected plots at Rothamsted</w:t></w:r>
</w:p>
<w:p>
<w:pPr><w:pStyle w:val="Normal"/></w:pPr>
<w:r><w:t xml:space="preserve">over six 8-yearly periods from 1852 to 1899, and afford evidence</w:t></w:r>
</w:p>
<w:p>
<w:pPr><w:pStyle w:val="Normal"/></w:pPr>
<w:r><w:t xml:space="preserve">that the higher yield of later years is due to the seasons:--</w:t></w:r>
</w:p>
<w:p>
<w:pPr><w:pStyle w:val="Normal"/></w:pPr>
<w:r><w:t xml:space="preserve">Bushels (of 60lb)</w:t></w:r>
</w:p>
<w:p>
<w:pPr><w:pStyle w:val="Normal"/></w:pPr>
<w:r><w:t xml:space="preserve">Averages of---                            per acre.</w:t></w:r>
</w:p>
<w:p>
<w:pPr><w:pStyle w:val="Normal"/></w:pPr>
<w:r><w:t xml:space="preserve">8  years 1852-1859 . . . . . . . . 28 3/8</w:t></w:r>
</w:p>
<w:p>
<w:pPr><w:pStyle w:val="Normal"/></w:pPr>
<w:r><w:t xml:space="preserve">8  years 1860-1867 . . . . . . . . 28 7/8</w:t></w:r>
</w:p>
<w:p>
<w:pPr><w:pStyle w:val="Normal"/></w:pPr>
<w:r><w:t xml:space="preserve">8  years 1868-1875 . . . . . . . . 27 1/8</w:t></w:r>
</w:p>
<w:p>
<w:pPr><w:pStyle w:val="Normal"/></w:pPr>
<w:r><w:t xml:space="preserve">8  years 1876-1883 . . . . . . . . 25 1/4</w:t></w:r>
</w:p>
<w:p>
<w:pPr><w:pStyle w:val="Normal"/></w:pPr>
<w:r><w:t xml:space="preserve">8  years 1884-1891 . . . . . . . . 29 7/8</w:t></w:r>
</w:p>
<w:p>
<w:pPr><w:pStyle w:val="Normal"/></w:pPr>
<w:r><w:t xml:space="preserve">8  years 1892-1899 . . . . . . . . 30</w:t></w:r>
</w:p>
<w:p>
<w:pPr><w:pStyle w:val="Normal"/></w:pPr>
<w:r><w:t xml:space="preserve">------------------               --------</w:t></w:r>
</w:p>
<w:p>
<w:pPr><w:pStyle w:val="Normal"/></w:pPr>
<w:r><w:t xml:space="preserve">32 years 1852-1883 . . . . . . . . 27 3/8</w:t></w:r>
</w:p>
<w:p>
<w:pPr><w:pStyle w:val="Normal"/></w:pPr>
<w:r><w:t xml:space="preserve">16 years 1884-1899 . . . . . . . . 30</w:t></w:r>
</w:p>
<w:p>
<w:pPr><w:pStyle w:val="Normal"/></w:pPr>
<w:r><w:t xml:space="preserve">------------------               --------</w:t></w:r>
</w:p>
<w:p>
<w:pPr><w:pStyle w:val="Normal"/></w:pPr>
<w:r><w:t xml:space="preserve">48 years 1852-1899 . . . . . . . . 28 1/4</w:t></w:r>
</w:p>
<w:p>
<w:pPr><w:pStyle w:val="Normal"/></w:pPr>
<w:r><w:t xml:space="preserve">The average of the first thirty-two years was thus</w:t></w:r>
</w:p>
<w:p>
<w:pPr><w:pStyle w:val="Normal"/></w:pPr>
<w:r><w:t xml:space="preserve">27 3/8 bushels per acre, of the last sixteen years 30</w:t></w:r>
</w:p>
<w:p>
<w:pPr><w:pStyle w:val="Normal"/></w:pPr>
<w:r><w:t xml:space="preserve">bushels, and of the whole forty-eight years 28 1/4 bushels.</w:t></w:r>
</w:p>
<w:p>
<w:pPr><w:pStyle w:val="Normal"/></w:pPr>
<w:r><w:t xml:space="preserve">7 See J.B. Lawes and J.H. Gilbert, Rothamsted Memoirs on</w:t></w:r>
</w:p>
<w:p>
<w:pPr><w:pStyle w:val="Normal"/></w:pPr>
<w:r><w:t xml:space="preserve">Agricultural Chemistry and Physiology, 7 vols. (1893-1899);</w:t></w:r>
</w:p>
<w:p>
<w:pPr><w:pStyle w:val="Normal"/></w:pPr>
<w:r><w:t xml:space="preserve">A. D. Hall, Books of the Rothamsted Experiments (1905).</w:t></w:r>
</w:p>
<w:p>
<w:pPr><w:pStyle w:val="Normal"/></w:pPr>
<w:r><w:t xml:space="preserve">8 including Channel islands and Isle of Man.</w:t></w:r>
</w:p>
<w:p>
<w:pPr><w:pStyle w:val="Normal"/></w:pPr>
<w:r><w:t xml:space="preserve">9 In 1903 two of the principal sources of supply of mutton shipped</w:t></w:r>
</w:p>
<w:p>
<w:pPr><w:pStyle w:val="Normal"/></w:pPr>
<w:r><w:t xml:space="preserve">in excess of their exportable surplus, for which they suffered</w:t></w:r>
</w:p>
<w:p>
<w:pPr><w:pStyle w:val="Normal"/></w:pPr>
<w:r><w:t xml:space="preserve">severely in 1904--hence the somewhat irregular movements after 1903.</w:t></w:r>
</w:p>
<w:p>
<w:pPr><w:pStyle w:val="Normal"/></w:pPr>
<w:r><w:t xml:space="preserve">10 Returns for only ten months were available for this year.</w:t></w:r>
</w:p>
<w:p>
<w:pPr><w:pStyle w:val="Normal"/></w:pPr>
<w:r><w:t xml:space="preserve">11 In the absence of experiments it is assumed that</w:t></w:r>
</w:p>
<w:p>
<w:pPr><w:pStyle w:val="Normal"/></w:pPr>
<w:r><w:t xml:space="preserve">wheat is digested like other foods of the same class.</w:t></w:r>
</w:p>
<w:p>
<w:pPr><w:pStyle w:val="Normal"/></w:pPr>
<w:r><w:t xml:space="preserve">12 This sum was furnished out of a total of L. 693,851, forming</w:t></w:r>
</w:p>
<w:p>
<w:pPr><w:pStyle w:val="Normal"/></w:pPr>
<w:r><w:t xml:space="preserve">the residue grant allocated for the purposes of education</w:t></w:r>
</w:p>
<w:p>
<w:pPr><w:pStyle w:val="Normal"/></w:pPr>
<w:r><w:t xml:space="preserve">to the various county councils of England and Wales</w:t></w:r>
</w:p>
<w:p>
<w:pPr><w:pStyle w:val="Normal"/></w:pPr>
<w:r><w:t xml:space="preserve">under the Local Taxation (Customs and Excise) Act 1890.</w:t></w:r>
</w:p>
<w:p>
<w:pPr><w:pStyle w:val="Normal"/></w:pPr>
<w:r><w:t xml:space="preserve">13 ``Unimproved&apos;&apos; land includes land which has never</w:t></w:r>
</w:p>
<w:p>
<w:pPr><w:pStyle w:val="Normal"/></w:pPr>
<w:r><w:t xml:space="preserve">been ploughed, mown or cropped and also land once</w:t></w:r>
</w:p>
<w:p>
<w:pPr><w:pStyle w:val="Normal"/></w:pPr>
<w:r><w:t xml:space="preserve">cultivated but now overgrown with trees or shrubs.</w:t></w:r>
</w:p>
<w:p>
<w:pPr><w:pStyle w:val="Normal"/></w:pPr>
<w:r><w:t xml:space="preserve">14Includes farms operated by owners, part-owners and tenants, and managers.</w:t></w:r>
</w:p>
<w:p>
<w:pPr><w:pStyle w:val="Normal"/></w:pPr>
<w:r><w:t xml:space="preserve">15Tenants of farms rented for a share of the products.</w:t></w:r>
</w:p>
<w:p>
<w:pPr><w:pStyle w:val="Normal"/></w:pPr>
<w:r><w:t xml:space="preserve">16 The demand for horses for the British</w:t></w:r>
</w:p>
<w:p>
<w:pPr><w:pStyle w:val="Normal"/></w:pPr>
<w:r><w:t xml:space="preserve">troops in South Africa affected these years.</w:t></w:r>
</w:p>
<w:p>
<w:pPr><w:pStyle w:val="Normal"/></w:pPr>
<w:r><w:t xml:space="preserve">17 Decrease due to a severe frost in the winter of</w:t></w:r>
</w:p>
<w:p>
<w:pPr><w:pStyle w:val="Normal"/></w:pPr>
<w:r><w:t xml:space="preserve">1898-1899, which destroyed the peach crop in most of the states</w:t></w:r>
</w:p>
<w:p>
<w:pPr><w:pStyle w:val="Normal"/></w:pPr>
<w:r><w:t xml:space="preserve">AGRICULTURE, BOARD OF. The Board of Agriculture andFisheries,</w:t></w:r>
</w:p>
<w:p>
<w:pPr><w:pStyle w:val="Normal"/></w:pPr>
<w:r><w:t xml:space="preserve">in England, owes its foundation to the establishment of a</w:t></w:r>
</w:p>
<w:p>
<w:pPr><w:pStyle w:val="Normal"/></w:pPr>
<w:r><w:t xml:space="preserve">veterinary department of the privy council in 1865, when the</w:t></w:r>
</w:p>
<w:p>
<w:pPr><w:pStyle w:val="Normal"/></w:pPr>
<w:r><w:t xml:space="preserve">Country was ravaged by cattle plague.  An order in council</w:t></w:r>
</w:p>
<w:p>
<w:pPr><w:pStyle w:val="Normal"/></w:pPr>
<w:r><w:t xml:space="preserve">abolished the name ``veterinary department&apos;&apos; in 1883 and</w:t></w:r>
</w:p>
<w:p>
<w:pPr><w:pStyle w:val="Normal"/></w:pPr>
<w:r><w:t xml:space="preserve">substituted that of ``agricultural department,&apos;&apos; but no</w:t></w:r>
</w:p>
<w:p>
<w:pPr><w:pStyle w:val="Normal"/></w:pPr>
<w:r><w:t xml:space="preserve">alteration was effected in the work of the department, so far</w:t></w:r>
</w:p>
<w:p>
<w:pPr><w:pStyle w:val="Normal"/></w:pPr>
<w:r><w:t xml:space="preserve">as it related to animals.  In 1889 the Board of Agriculture</w:t></w:r>
</w:p>
<w:p>
<w:pPr><w:pStyle w:val="Normal"/></w:pPr>
<w:r><w:t xml:space="preserve">(for Great Britain) was formed under an act of parliament</w:t></w:r>
</w:p>
<w:p>
<w:pPr><w:pStyle w:val="Normal"/></w:pPr>
<w:r><w:t xml:space="preserve">of that year, and the immediate control of the agricultural</w:t></w:r>
</w:p>
<w:p>
<w:pPr><w:pStyle w:val="Normal"/></w:pPr>
<w:r><w:t xml:space="preserve">department was transferred from the clerk of the privy council</w:t></w:r>
</w:p>
<w:p>
<w:pPr><w:pStyle w:val="Normal"/></w:pPr>
<w:r><w:t xml:space="preserve">to the secretary of the Board of Agriculture, where it remains.</w:t></w:r>
</w:p>
<w:p>
<w:pPr><w:pStyle w:val="Normal"/></w:pPr>
<w:r><w:t xml:space="preserve">A minister of agriculture had for years been asked for in the</w:t></w:r>
</w:p>
<w:p>
<w:pPr><w:pStyle w:val="Normal"/></w:pPr>
<w:r><w:t xml:space="preserve">interests of the agricultural community, and the functions</w:t></w:r>
</w:p>
<w:p>
<w:pPr><w:pStyle w:val="Normal"/></w:pPr>
<w:r><w:t xml:space="preserve">of this Office are discharged by the president of the</w:t></w:r>
</w:p>
<w:p>
<w:pPr><w:pStyle w:val="Normal"/></w:pPr>
<w:r><w:t xml:space="preserve">Board of Agriculture and Fisheries, whose appointment is a</w:t></w:r>
</w:p>
<w:p>
<w:pPr><w:pStyle w:val="Normal"/></w:pPr>
<w:r><w:t xml:space="preserve">political one, and may or may not carry with it a seat in the</w:t></w:r>
</w:p>
<w:p>
<w:pPr><w:pStyle w:val="Normal"/></w:pPr>
<w:r><w:t xml:space="preserve">cabinet.  The board consists of the lord president of the</w:t></w:r>
</w:p>
<w:p>
<w:pPr><w:pStyle w:val="Normal"/></w:pPr>
<w:r><w:t xml:space="preserve">council, the five principal secretaries of state, the first</w:t></w:r>
</w:p>
<w:p>
<w:pPr><w:pStyle w:val="Normal"/></w:pPr>
<w:r><w:t xml:space="preserve">lord of the treasury, the chancellor of the exchequer, the</w:t></w:r>
</w:p>
<w:p>
<w:pPr><w:pStyle w:val="Normal"/></w:pPr>
<w:r><w:t xml:space="preserve">chancellor of the duchy of Lancaster and the secretary for</w:t></w:r>
</w:p>
<w:p>
<w:pPr><w:pStyle w:val="Normal"/></w:pPr>
<w:r><w:t xml:space="preserve">Scotland.  The establishment consists of a president, secretary,</w:t></w:r>
</w:p>
<w:p>
<w:pPr><w:pStyle w:val="Normal"/></w:pPr>
<w:r><w:t xml:space="preserve">assistant secretaries, &amp;c. The salary of the president is</w:t></w:r>
</w:p>
<w:p>
<w:pPr><w:pStyle w:val="Heading1"/></w:pPr>
<w:r><w:t>L. 2000 a year, and that of the secretary L. 1500 a year.</w:t></w:r>
</w:p>
<w:p>
<w:pPr><w:pStyle w:val="Normal"/></w:pPr>
<w:r><w:t xml:space="preserve">The Board of Agriculture on its establishment took over from the</w:t></w:r>
</w:p>
<w:p>
<w:pPr><w:pStyle w:val="Normal"/></w:pPr>
<w:r><w:t xml:space="preserve">privy council the responsibilities of the Contagious Diseases</w:t></w:r>
</w:p>
<w:p>
<w:pPr><w:pStyle w:val="Normal"/></w:pPr>
<w:r><w:t xml:space="preserve">(Animals) Acts, besides the comprehensive duties of the Land</w:t></w:r>
</w:p>
<w:p>
<w:pPr><w:pStyle w:val="Normal"/></w:pPr>
<w:r><w:t xml:space="preserve">Commission.  The board, through its intelligence division,</w:t></w:r>
</w:p>
<w:p>
<w:pPr><w:pStyle w:val="Normal"/></w:pPr>
<w:r><w:t xml:space="preserve">collects and prepares statistics relating to agriculture and</w:t></w:r>
</w:p>
<w:p>
<w:pPr><w:pStyle w:val="Normal"/></w:pPr>
<w:r><w:t xml:space="preserve">forestry, and in 1904 appointed a number of honorary agricultural</w:t></w:r>
</w:p>
<w:p>
<w:pPr><w:pStyle w:val="Normal"/></w:pPr>
<w:r><w:t xml:space="preserve">correspondents throughout the country for the purpose of bringing</w:t></w:r>
</w:p>
<w:p>
<w:pPr><w:pStyle w:val="Normal"/></w:pPr>
<w:r><w:t xml:space="preserve">to the notice of the board any special circumstances affecting</w:t></w:r>
</w:p>
<w:p>
<w:pPr><w:pStyle w:val="Normal"/></w:pPr>
<w:r><w:t xml:space="preserve">the practice of agriculture, horticulture and forestry, or</w:t></w:r>
</w:p>
<w:p>
<w:pPr><w:pStyle w:val="Normal"/></w:pPr>
<w:r><w:t xml:space="preserve">the transport of farm, garden and forrest produce in their</w:t></w:r>
</w:p>
<w:p>
<w:pPr><w:pStyle w:val="Normal"/></w:pPr>
<w:r><w:t xml:space="preserve">districts.  The land division of the board prepares the annual</w:t></w:r>
</w:p>
<w:p>
<w:pPr><w:pStyle w:val="Normal"/></w:pPr>
<w:r><w:t xml:space="preserve">agricultural and produce returns, and the three divisions, the</w:t></w:r>
</w:p>
<w:p>
<w:pPr><w:pStyle w:val="Normal"/></w:pPr>
<w:r><w:t xml:space="preserve">animals, intelligence and land, take proceedings under the</w:t></w:r>
</w:p>
<w:p>
<w:pPr><w:pStyle w:val="Normal"/></w:pPr>
<w:r><w:t xml:space="preserve">following acts:--the Diseases of Animals Acts, the Markets</w:t></w:r>
</w:p>
<w:p>
<w:pPr><w:pStyle w:val="Normal"/></w:pPr>
<w:r><w:t xml:space="preserve">and Fairs (Weighing of Cattle) Acts, the Sale of Food and</w:t></w:r>
</w:p>
<w:p>
<w:pPr><w:pStyle w:val="Normal"/></w:pPr>
<w:r><w:t xml:space="preserve">Drugs Acts 1875 to 1800, the Merchandise Marks Acts 1887 to</w:t></w:r>
</w:p>
<w:p>
<w:pPr><w:pStyle w:val="Normal"/></w:pPr>
<w:r><w:t xml:space="preserve">1905, the Fertilizers and Feeding Stuffs Act 1893, the Tithe</w:t></w:r>
</w:p>
<w:p>
<w:pPr><w:pStyle w:val="Normal"/></w:pPr>
<w:r><w:t xml:space="preserve">Acts 1836 to 1891, the Copyhold Act 1894, the Inclosure Acts</w:t></w:r>
</w:p>
<w:p>
<w:pPr><w:pStyle w:val="Normal"/></w:pPr>
<w:r><w:t xml:space="preserve">1845 to 1899, the Agricultural Holdings Acts 1883 to 1900,</w:t></w:r>
</w:p>
<w:p>
<w:pPr><w:pStyle w:val="Normal"/></w:pPr>
<w:r><w:t xml:space="preserve">the Drainage and Improvement of Land Acts, the Universities</w:t></w:r>
</w:p>
<w:p>
<w:pPr><w:pStyle w:val="Normal"/></w:pPr>
<w:r><w:t xml:space="preserve">and College Estates Acts 1858 to 1898, the Glebe Lands Act</w:t></w:r>
</w:p>
<w:p>
<w:pPr><w:pStyle w:val="Normal"/></w:pPr>
<w:r><w:t xml:space="preserve">1888, &amp;c. The board also has charge of the inspection of</w:t></w:r>
</w:p>
<w:p>
<w:pPr><w:pStyle w:val="Normal"/></w:pPr>
<w:r><w:t xml:space="preserve">schools (not being public elementary schools) in which</w:t></w:r>
</w:p>
<w:p>
<w:pPr><w:pStyle w:val="Normal"/></w:pPr>
<w:r><w:t xml:space="preserve">technical instruction is given in agriculture or forestry,</w:t></w:r>
</w:p>
<w:p>
<w:pPr><w:pStyle w:val="Normal"/></w:pPr>
<w:r><w:t xml:space="preserve">and institutes such experimental investigations as may be</w:t></w:r>
</w:p>
<w:p>
<w:pPr><w:pStyle w:val="Normal"/></w:pPr>
<w:r><w:t xml:space="preserve">deemed conducive to the progress of agriculture and forestry.</w:t></w:r>
</w:p>
<w:p>
<w:pPr><w:pStyle w:val="Normal"/></w:pPr>
<w:r><w:t xml:space="preserve">The Ordnance Survey of the United Kingdom is under the</w:t></w:r>
</w:p>
<w:p>
<w:pPr><w:pStyle w:val="Normal"/></w:pPr>
<w:r><w:t xml:space="preserve">control of the board, as well as the arrangements for the</w:t></w:r>
</w:p>
<w:p>
<w:pPr><w:pStyle w:val="Normal"/></w:pPr>
<w:r><w:t xml:space="preserve">advertisement and sale of the publications of the Geological</w:t></w:r>
</w:p>
<w:p>
<w:pPr><w:pStyle w:val="Normal"/></w:pPr>
<w:r><w:t xml:space="preserve">Survey.  In 1903 the powers and duties formerly vested in the</w:t></w:r>
</w:p>
<w:p>
<w:pPr><w:pStyle w:val="Normal"/></w:pPr>
<w:r><w:t xml:space="preserve">commissioners of the Office of Works, relating to the Royal</w:t></w:r>
</w:p>
<w:p>
<w:pPr><w:pStyle w:val="Normal"/></w:pPr>
<w:r><w:t xml:space="preserve">Botanic Gardens, Kew, were transferred to the board.  The</w:t></w:r>
</w:p>
<w:p>
<w:pPr><w:pStyle w:val="Normal"/></w:pPr>
<w:r><w:t xml:space="preserve">various departments of the board are (1) chief clerk&apos;s branch</w:t></w:r>
</w:p>
<w:p>
<w:pPr><w:pStyle w:val="Normal"/></w:pPr>
<w:r><w:t xml:space="preserve">and indoor branch of animals division; (2) outdoor branch of</w:t></w:r>
</w:p>
<w:p>
<w:pPr><w:pStyle w:val="Normal"/></w:pPr>
<w:r><w:t xml:space="preserve">the animals division; (3) veterinary department; (4) fisheries</w:t></w:r>
</w:p>
<w:p>
<w:pPr><w:pStyle w:val="Normal"/></w:pPr>
<w:r><w:t xml:space="preserve">branch; (5) intelligence department; (6) educational branch;</w:t></w:r>
</w:p>
<w:p>
<w:pPr><w:pStyle w:val="Normal"/></w:pPr>
<w:r><w:t xml:space="preserve">(7) accounts branch; (8) inclosure and common branch; (9)</w:t></w:r>
</w:p>
<w:p>
<w:pPr><w:pStyle w:val="Normal"/></w:pPr>
<w:r><w:t xml:space="preserve">copyhold and tithe branch; (10) statistical branch; (11) law</w:t></w:r>
</w:p>
<w:p>
<w:pPr><w:pStyle w:val="Normal"/></w:pPr>
<w:r><w:t xml:space="preserve">branch; (12) survey, land improvement and land drainage branch.</w:t></w:r>
</w:p>
<w:p>
<w:pPr><w:pStyle w:val="Normal"/></w:pPr>
<w:r><w:t xml:space="preserve">In 1903, in pursuance of the Board of Agriculture and Fisheries</w:t></w:r>
</w:p>
<w:p>
<w:pPr><w:pStyle w:val="Normal"/></w:pPr>
<w:r><w:t xml:space="preserve">Act 1903, the powers and duties of the Board of Trade under the</w:t></w:r>
</w:p>
<w:p>
<w:pPr><w:pStyle w:val="Normal"/></w:pPr>
<w:r><w:t xml:space="preserve">Salmon and Freshwater Fisheries Acts, the Sea Fisheries Regulation</w:t></w:r>
</w:p>
<w:p>
<w:pPr><w:pStyle w:val="Normal"/></w:pPr>
<w:r><w:t xml:space="preserve">Acts and other acts relating to the industry of fishing, were</w:t></w:r>
</w:p>
<w:p>
<w:pPr><w:pStyle w:val="Normal"/></w:pPr>
<w:r><w:t xml:space="preserve">transferred from that department to the Board of Agriculture,</w:t></w:r>
</w:p>
<w:p>
<w:pPr><w:pStyle w:val="Normal"/></w:pPr>
<w:r><w:t xml:space="preserve">and its name was changed to its present form.  The Department</w:t></w:r>
</w:p>
<w:p>
<w:pPr><w:pStyle w:val="Normal"/></w:pPr>
<w:r><w:t xml:space="preserve">of Agriculture and Technical Instruction for Ireland covers</w:t></w:r>
</w:p>
<w:p>
<w:pPr><w:pStyle w:val="Normal"/></w:pPr>
<w:r><w:t xml:space="preserve">much the same ground.  The Annual report of the proceedings</w:t></w:r>
</w:p>
<w:p>
<w:pPr><w:pStyle w:val="Normal"/></w:pPr>
<w:r><w:t xml:space="preserve">of the Board of Agriculture under the Tithe and other Acts</w:t></w:r>
</w:p>
<w:p>
<w:pPr><w:pStyle w:val="Normal"/></w:pPr>
<w:r><w:t xml:space="preserve">for 1902 contains a full account of its powers and duties.</w:t></w:r>
</w:p>
<w:p>
<w:pPr><w:pStyle w:val="Normal"/></w:pPr>
<w:r><w:t xml:space="preserve">In the British colonies the interests of agriculture are</w:t></w:r>
</w:p>
<w:p>
<w:pPr><w:pStyle w:val="Normal"/></w:pPr>
<w:r><w:t xml:space="preserve">looked after in New South Wales, by an under-secretary</w:t></w:r>
</w:p>
<w:p>
<w:pPr><w:pStyle w:val="Normal"/></w:pPr>
<w:r><w:t xml:space="preserve">for mines and agriculture; in Victoria, by a member of</w:t></w:r>
</w:p>
<w:p>
<w:pPr><w:pStyle w:val="Normal"/></w:pPr>
<w:r><w:t xml:space="preserve">the executive council who holds the portfolio of lands</w:t></w:r>
</w:p>
<w:p>
<w:pPr><w:pStyle w:val="Normal"/></w:pPr>
<w:r><w:t xml:space="preserve">and agriculture; in Queensland, by an under-secretary for</w:t></w:r>
</w:p>
<w:p>
<w:pPr><w:pStyle w:val="Normal"/></w:pPr>
<w:r><w:t xml:space="preserve">agriculture; in New Zealand, by a minister for lands and</w:t></w:r>
</w:p>
<w:p>
<w:pPr><w:pStyle w:val="Normal"/></w:pPr>
<w:r><w:t xml:space="preserve">agriculture; in Canada (see, for more detail, the article</w:t></w:r>
</w:p>
<w:p>
<w:pPr><w:pStyle w:val="Normal"/></w:pPr>
<w:r><w:t xml:space="preserve">Canada, Canadian Agriculture), by a minister for agriculture</w:t></w:r>
</w:p>
<w:p>
<w:pPr><w:pStyle w:val="Normal"/></w:pPr>
<w:r><w:t xml:space="preserve">(the various provinces have also departments of agriculture).</w:t></w:r>
</w:p>
<w:p>
<w:pPr><w:pStyle w:val="Normal"/></w:pPr>
<w:r><w:t xml:space="preserve">The government of India has a secretary of revenue and</w:t></w:r>
</w:p>
<w:p>
<w:pPr><w:pStyle w:val="Normal"/></w:pPr>
<w:r><w:t xml:space="preserve">agriculture.  Cape Colony has a secretary for agriculture, a</w:t></w:r>
</w:p>
<w:p>
<w:pPr><w:pStyle w:val="Normal"/></w:pPr>
<w:r><w:t xml:space="preserve">member of the cabinet; in the Transvaal Colony the director</w:t></w:r>
</w:p>
<w:p>
<w:pPr><w:pStyle w:val="Normal"/></w:pPr>
<w:r><w:t xml:space="preserve">of agriculture is a departmental secretary; in Natal, the</w:t></w:r>
</w:p>
<w:p>
<w:pPr><w:pStyle w:val="Normal"/></w:pPr>
<w:r><w:t xml:space="preserve">minister for agriculture is a member of the executive council,</w:t></w:r>
</w:p>
<w:p>
<w:pPr><w:pStyle w:val="Normal"/></w:pPr>
<w:r><w:t xml:space="preserve">and the establishment consists, in addition, of a secretary, a</w:t></w:r>
</w:p>
<w:p>
<w:pPr><w:pStyle w:val="Normal"/></w:pPr>
<w:r><w:t xml:space="preserve">director of agriculture, an entomologist, a dairy expert and a</w:t></w:r>
</w:p>
<w:p>
<w:pPr><w:pStyle w:val="Normal"/></w:pPr>
<w:r><w:t xml:space="preserve">conservator of forests.  Cyprus has a director of agriculture.</w:t></w:r>
</w:p>
<w:p>
<w:pPr><w:pStyle w:val="Normal"/></w:pPr>
<w:r><w:t xml:space="preserve">United States--The Department of Agriculture dates its rank as</w:t></w:r>
</w:p>
<w:p>
<w:pPr><w:pStyle w:val="Normal"/></w:pPr>
<w:r><w:t xml:space="preserve">an executive department from 1889.  It was first established as</w:t></w:r>
</w:p>
<w:p>
<w:pPr><w:pStyle w:val="Normal"/></w:pPr>
<w:r><w:t xml:space="preserve">a department in 1862, ranking as a bureau, with a commissioner in</w:t></w:r>
</w:p>
<w:p>
<w:pPr><w:pStyle w:val="Normal"/></w:pPr>
<w:r><w:t xml:space="preserve">charge.  In addition to the commissioner there were appointed</w:t></w:r>
</w:p>
<w:p>
<w:pPr><w:pStyle w:val="Normal"/></w:pPr>
<w:r><w:t xml:space="preserve">a statistician, chemist, entomologist and superintendent</w:t></w:r>
</w:p>
<w:p>
<w:pPr><w:pStyle w:val="Normal"/></w:pPr>
<w:r><w:t xml:space="preserve">of a propagatory and experimental farm.  Its scope was then</w:t></w:r>
</w:p>
<w:p>
<w:pPr><w:pStyle w:val="Normal"/></w:pPr>
<w:r><w:t xml:space="preserve">somewhat limited, but its work was gradually enlarged by the</w:t></w:r>
</w:p>
<w:p>
<w:pPr><w:pStyle w:val="Normal"/></w:pPr>
<w:r><w:t xml:space="preserve">appointment of a botanist in 1868, a microscopist in 1871,</w:t></w:r>
</w:p>
<w:p>
<w:pPr><w:pStyle w:val="Normal"/></w:pPr>
<w:r><w:t xml:space="preserve">the creation of a forestry department in 1877, a bureau of</w:t></w:r>
</w:p>
<w:p>
<w:pPr><w:pStyle w:val="Normal"/></w:pPr>
<w:r><w:t xml:space="preserve">animal industry in 1884 and the establishment of agricultural</w:t></w:r>
</w:p>
<w:p>
<w:pPr><w:pStyle w:val="Normal"/></w:pPr>
<w:r><w:t xml:space="preserve">experiment stations throughout the country in 1887.  In 1889</w:t></w:r>
</w:p>
<w:p>
<w:pPr><w:pStyle w:val="Normal"/></w:pPr>
<w:r><w:t xml:space="preserve">the department became an executive department, the principal</w:t></w:r>
</w:p>
<w:p>
<w:pPr><w:pStyle w:val="Normal"/></w:pPr>
<w:r><w:t xml:space="preserve">official being designated Secretary of Agriculture, with</w:t></w:r>
</w:p>
<w:p>
<w:pPr><w:pStyle w:val="Normal"/></w:pPr>
<w:r><w:t xml:space="preserve">a seat in the president&apos;s cabinet.  His salary is $8000 a</w:t></w:r>
</w:p>
<w:p>
<w:pPr><w:pStyle w:val="Normal"/></w:pPr>
<w:r><w:t xml:space="preserve">year.  The secretary is now charged with the supervision</w:t></w:r>
</w:p>
<w:p>
<w:pPr><w:pStyle w:val="Normal"/></w:pPr>
<w:r><w:t xml:space="preserve">of all business relating to the agricultural and productive</w:t></w:r>
</w:p>
<w:p>
<w:pPr><w:pStyle w:val="Normal"/></w:pPr>
<w:r><w:t xml:space="preserve">industries.  The fisheries have a separate bureau, and</w:t></w:r>
</w:p>
<w:p>
<w:pPr><w:pStyle w:val="Normal"/></w:pPr>
<w:r><w:t xml:space="preserve">the public lands and mining interests are cared for in the</w:t></w:r>
</w:p>
<w:p>
<w:pPr><w:pStyle w:val="Normal"/></w:pPr>
<w:r><w:t xml:space="preserve">Department of the Interior; but with these exceptions, all</w:t></w:r>
</w:p>
<w:p>
<w:pPr><w:pStyle w:val="Normal"/></w:pPr>
<w:r><w:t xml:space="preserve">the productive interests are looked after by the Department of</w:t></w:r>
</w:p>
<w:p>
<w:pPr><w:pStyle w:val="Normal"/></w:pPr>
<w:r><w:t xml:space="preserve">Agriculture.  The department now comprises (1) the weather</w:t></w:r>
</w:p>
<w:p>
<w:pPr><w:pStyle w:val="Normal"/></w:pPr>
<w:r><w:t xml:space="preserve">bureau, which has charge of the forecasting of weather; the</w:t></w:r>
</w:p>
<w:p>
<w:pPr><w:pStyle w:val="Normal"/></w:pPr>
<w:r><w:t xml:space="preserve">issue of storm warnings; the display of weather and flood signals</w:t></w:r>
</w:p>
<w:p>
<w:pPr><w:pStyle w:val="Normal"/></w:pPr>
<w:r><w:t xml:space="preserve">for the benefit of agriculture, commerce and navigation; the</w:t></w:r>
</w:p>
<w:p>
<w:pPr><w:pStyle w:val="Normal"/></w:pPr>
<w:r><w:t xml:space="preserve">gauging and reporting of rivers; the reporting of temperature</w:t></w:r>
</w:p>
<w:p>
<w:pPr><w:pStyle w:val="Normal"/></w:pPr>
<w:r><w:t xml:space="preserve">and rainfall conditions for the cotton, rice, sugar and</w:t></w:r>
</w:p>
<w:p>
<w:pPr><w:pStyle w:val="Normal"/></w:pPr>
<w:r><w:t xml:space="preserve">other interests; the display of frost and cold waves signals;</w:t></w:r>
</w:p>
<w:p>
<w:pPr><w:pStyle w:val="Normal"/></w:pPr>
<w:r><w:t xml:space="preserve">and the distribution of meteorological information in the</w:t></w:r>
</w:p>
<w:p>
<w:pPr><w:pStyle w:val="Normal"/></w:pPr>
<w:r><w:t xml:space="preserve">interest of agriculture and commerce; (2) the bureau of animal</w:t></w:r>
</w:p>
<w:p>
<w:pPr><w:pStyle w:val="Normal"/></w:pPr>
<w:r><w:t xml:space="preserve">industry, which makes investigations as to the existence of</w:t></w:r>
</w:p>
<w:p>
<w:pPr><w:pStyle w:val="Normal"/></w:pPr>
<w:r><w:t xml:space="preserve">contagious pleuro-pneumonia and other dangerous and communicable</w:t></w:r>
</w:p>
<w:p>
<w:pPr><w:pStyle w:val="Normal"/></w:pPr>
<w:r><w:t xml:space="preserve">diseases of live stock, superintends the measures for their</w:t></w:r>
</w:p>
<w:p>
<w:pPr><w:pStyle w:val="Normal"/></w:pPr>
<w:r><w:t xml:space="preserve">extirpation, makes original investigations as to the nature</w:t></w:r>
</w:p>
<w:p>
<w:pPr><w:pStyle w:val="Normal"/></w:pPr>
<w:r><w:t xml:space="preserve">and prevention of such diseases, and reports on the conditions</w:t></w:r>
</w:p>
<w:p>
<w:pPr><w:pStyle w:val="Normal"/></w:pPr>
<w:r><w:t xml:space="preserve">and means of improving the animal industries of the country;</w:t></w:r>
</w:p>
<w:p>
<w:pPr><w:pStyle w:val="Normal"/></w:pPr>
<w:r><w:t xml:space="preserve">(3) the bureau of plant industry, which studies plant life</w:t></w:r>
</w:p>
<w:p>
<w:pPr><w:pStyle w:val="Normal"/></w:pPr>
<w:r><w:t xml:space="preserve">in all its relations to agriculture.  Its work is classified</w:t></w:r>
</w:p>
<w:p>
<w:pPr><w:pStyle w:val="Normal"/></w:pPr>
<w:r><w:t xml:space="preserve">under the general subjects of pathological investigations,</w:t></w:r>
</w:p>
<w:p>
<w:pPr><w:pStyle w:val="Normal"/></w:pPr>
<w:r><w:t xml:space="preserve">physiological investigations, taxonomic investigations,</w:t></w:r>
</w:p>
<w:p>
<w:pPr><w:pStyle w:val="Normal"/></w:pPr>
<w:r><w:t xml:space="preserve">agronomic investigations, horticultural investigations and</w:t></w:r>
</w:p>
<w:p>
<w:pPr><w:pStyle w:val="Normal"/></w:pPr>
<w:r><w:t xml:space="preserve">seed and plant introduction investigations; (4) the forest</w:t></w:r>
</w:p>
<w:p>
<w:pPr><w:pStyle w:val="Normal"/></w:pPr>
<w:r><w:t xml:space="preserve">service, which is occupied with experiments, investigations</w:t></w:r>
</w:p>
<w:p>
<w:pPr><w:pStyle w:val="Normal"/></w:pPr>
<w:r><w:t xml:space="preserve">and reports dealing with the subject of forestry, and with</w:t></w:r>
</w:p>
<w:p>
<w:pPr><w:pStyle w:val="Normal"/></w:pPr>
<w:r><w:t xml:space="preserve">the dissemination of information upon forestry matters; (5)</w:t></w:r>
</w:p>
<w:p>
<w:pPr><w:pStyle w:val="Normal"/></w:pPr>
<w:r><w:t xml:space="preserve">the bureau of chemistry, which investigates methods proposed</w:t></w:r>
</w:p>
<w:p>
<w:pPr><w:pStyle w:val="Normal"/></w:pPr>
<w:r><w:t xml:space="preserve">for the analysis of plants, fertilizers and agricultural</w:t></w:r>
</w:p>
<w:p>
<w:pPr><w:pStyle w:val="Normal"/></w:pPr>
<w:r><w:t xml:space="preserve">products, and makes such analyses as pertain in general to</w:t></w:r>
</w:p>
<w:p>
<w:pPr><w:pStyle w:val="Normal"/></w:pPr>
<w:r><w:t xml:space="preserve">the interests of agriculture; (6) the bureau of soils, which</w:t></w:r>
</w:p>
<w:p>
<w:pPr><w:pStyle w:val="Normal"/></w:pPr>
<w:r><w:t xml:space="preserve">is entrusted with the investigation, survey and mapping of</w:t></w:r>
</w:p>
<w:p>
<w:pPr><w:pStyle w:val="Normal"/></w:pPr>
<w:r><w:t xml:space="preserve">soils; the investigation of the cause and prevention of the</w:t></w:r>
</w:p>
<w:p>
<w:pPr><w:pStyle w:val="Normal"/></w:pPr>
<w:r><w:t xml:space="preserve">rise of alkali in the soil and the drainage of soils; and the</w:t></w:r>
</w:p>
<w:p>
<w:pPr><w:pStyle w:val="Normal"/></w:pPr>
<w:r><w:t xml:space="preserve">investigation of the methods of growing, curing and fermentation</w:t></w:r>
</w:p>
<w:p>
<w:pPr><w:pStyle w:val="Normal"/></w:pPr>
<w:r><w:t xml:space="preserve">of tobacco in the different tobacco districts; (7) the bureau</w:t></w:r>
</w:p>
<w:p>
<w:pPr><w:pStyle w:val="Normal"/></w:pPr>
<w:r><w:t xml:space="preserve">of entomology, which obtains and disseminates information</w:t></w:r>
</w:p>
<w:p>
<w:pPr><w:pStyle w:val="Normal"/></w:pPr>
<w:r><w:t xml:space="preserve">regarding insects injurious to vegetation; (8) the bureau of</w:t></w:r>
</w:p>
<w:p>
<w:pPr><w:pStyle w:val="Normal"/></w:pPr>
<w:r><w:t xml:space="preserve">biological survey, which studies the geographic distribution</w:t></w:r>
</w:p>
<w:p>
<w:pPr><w:pStyle w:val="Normal"/></w:pPr>
<w:r><w:t xml:space="preserve">of animals and plants, and maps the natural life zones of the</w:t></w:r>
</w:p>
<w:p>
<w:pPr><w:pStyle w:val="Normal"/></w:pPr>
<w:r><w:t xml:space="preserve">country; it also investigates the economic relations of birds</w:t></w:r>
</w:p>
<w:p>
<w:pPr><w:pStyle w:val="Normal"/></w:pPr>
<w:r><w:t xml:space="preserve">and mammals, and recommends measures for the preservation of</w:t></w:r>
</w:p>
<w:p>
<w:pPr><w:pStyle w:val="Normal"/></w:pPr>
<w:r><w:t xml:space="preserve">beneficial, and the destruction of injurious, species; (9) the</w:t></w:r>
</w:p>
<w:p>
<w:pPr><w:pStyle w:val="Normal"/></w:pPr>
<w:r><w:t xml:space="preserve">division of accounts and disbursements; (10) the division of</w:t></w:r>
</w:p>
<w:p>
<w:pPr><w:pStyle w:val="Normal"/></w:pPr>
<w:r><w:t xml:space="preserve">publications; (11) the bureau of statistics, which collects</w:t></w:r>
</w:p>
<w:p>
<w:pPr><w:pStyle w:val="Normal"/></w:pPr>
<w:r><w:t xml:space="preserve">information as to the condition, prospects and harvests of</w:t></w:r>
</w:p>
<w:p>
<w:pPr><w:pStyle w:val="Normal"/></w:pPr>
<w:r><w:t xml:space="preserve">the principal crops, and of the number and status of farm</w:t></w:r>
</w:p>
<w:p>
<w:pPr><w:pStyle w:val="Normal"/></w:pPr>
<w:r><w:t xml:space="preserve">animals.  It records, tabulates and co-ordinates statistics</w:t></w:r>
</w:p>
<w:p>
<w:pPr><w:pStyle w:val="Normal"/></w:pPr>
<w:r><w:t xml:space="preserve">of agricultural production, distribution and consumption, and</w:t></w:r>
</w:p>
<w:p>
<w:pPr><w:pStyle w:val="Normal"/></w:pPr>
<w:r><w:t xml:space="preserve">issues monthly and annual crop reports for the information</w:t></w:r>
</w:p>
<w:p>
<w:pPr><w:pStyle w:val="Normal"/></w:pPr>
<w:r><w:t xml:space="preserve">of producers and consumers.  The section of foreign markets</w:t></w:r>
</w:p>
<w:p>
<w:pPr><w:pStyle w:val="Normal"/></w:pPr>
<w:r><w:t xml:space="preserve">makes investigations and disseminates information concerning</w:t></w:r>
</w:p>
<w:p>
<w:pPr><w:pStyle w:val="Normal"/></w:pPr>
<w:r><w:t xml:space="preserve">the feasibility of extending the demands of foreign markets</w:t></w:r>
</w:p>
<w:p>
<w:pPr><w:pStyle w:val="Normal"/></w:pPr>
<w:r><w:t xml:space="preserve">for the agricultural products of the United States; the bureau</w:t></w:r>
</w:p>
<w:p>
<w:pPr><w:pStyle w:val="Normal"/></w:pPr>
<w:r><w:t xml:space="preserve">also makes investigations of land tenures, cost of producing</w:t></w:r>
</w:p>
<w:p>
<w:pPr><w:pStyle w:val="Normal"/></w:pPr>
<w:r><w:t xml:space="preserve">farm products, country life education, transportation and</w:t></w:r>
</w:p>
<w:p>
<w:pPr><w:pStyle w:val="Normal"/></w:pPr>
<w:r><w:t xml:space="preserve">other lines of rural economies; (12) the library; (13) the</w:t></w:r>
</w:p>
<w:p>
<w:pPr><w:pStyle w:val="Normal"/></w:pPr>
<w:r><w:t xml:space="preserve">office of experiment stations which represents the department</w:t></w:r>
</w:p>
<w:p>
<w:pPr><w:pStyle w:val="Normal"/></w:pPr>
<w:r><w:t xml:space="preserve">in its relations to the experiment stations which are now in</w:t></w:r>
</w:p>
<w:p>
<w:pPr><w:pStyle w:val="Normal"/></w:pPr>
<w:r><w:t xml:space="preserve">operation in all the states; it collects and disseminates general</w:t></w:r>
</w:p>
<w:p>
<w:pPr><w:pStyle w:val="Normal"/></w:pPr>
<w:r><w:t xml:space="preserve">information regarding agricultural schools, colleges, stations,</w:t></w:r>
</w:p>
<w:p>
<w:pPr><w:pStyle w:val="Normal"/></w:pPr>
<w:r><w:t xml:space="preserve">and publishes accounts of agricultural investigations at home</w:t></w:r>
</w:p>
<w:p>
<w:pPr><w:pStyle w:val="Normal"/></w:pPr>
<w:r><w:t xml:space="preserve">and abroad; it also indicates lines of inquiry for the stations,</w:t></w:r>
</w:p>
<w:p>
<w:pPr><w:pStyle w:val="Normal"/></w:pPr>
<w:r><w:t xml:space="preserve">aids in the conduct of co-operative experiments, reports upon</w:t></w:r>
</w:p>
<w:p>
<w:pPr><w:pStyle w:val="Normal"/></w:pPr>
<w:r><w:t xml:space="preserve">their expenditures and work, and in general furnishes them with</w:t></w:r>
</w:p>
<w:p>
<w:pPr><w:pStyle w:val="Normal"/></w:pPr>
<w:r><w:t xml:space="preserve">such advice and assistance as will best promote the purposes</w:t></w:r>
</w:p>
<w:p>
<w:pPr><w:pStyle w:val="Normal"/></w:pPr>
<w:r><w:t xml:space="preserve">for which they were established; it conducts investigations</w:t></w:r>
</w:p>
<w:p>
<w:pPr><w:pStyle w:val="Normal"/></w:pPr>
<w:r><w:t xml:space="preserve">relative to irrigation and drainage; (14) the office of public</w:t></w:r>
</w:p>
<w:p>
<w:pPr><w:pStyle w:val="Normal"/></w:pPr>
<w:r><w:t xml:space="preserve">roads, which collects information concerning systems of road</w:t></w:r>
</w:p>
<w:p>
<w:pPr><w:pStyle w:val="Normal"/></w:pPr>
<w:r><w:t xml:space="preserve">management, conducts investigations regarding the best method</w:t></w:r>
</w:p>
<w:p>
<w:pPr><w:pStyle w:val="Normal"/></w:pPr>
<w:r><w:t xml:space="preserve">of road-making, and prepares publications on this subject.</w:t></w:r>
</w:p>
<w:p>
<w:pPr><w:pStyle w:val="Normal"/></w:pPr>
<w:r><w:t xml:space="preserve">In the following countries there are state departments of</w:t></w:r>
</w:p>
<w:p>
<w:pPr><w:pStyle w:val="Normal"/></w:pPr>
<w:r><w:t xml:space="preserve">agriculture:---Argentina, Belgium, Brazil, (industry, agriculture</w:t></w:r>
</w:p>
<w:p>
<w:pPr><w:pStyle w:val="Normal"/></w:pPr>
<w:r><w:t xml:space="preserve">and public works), Bulgaria (commerce and agriculture), Denmark,</w:t></w:r>
</w:p>
<w:p>
<w:pPr><w:pStyle w:val="Normal"/></w:pPr>
<w:r><w:t xml:space="preserve">France, Norway (agriculture and public accounts), Italy, Japan</w:t></w:r>
</w:p>
<w:p>
<w:pPr><w:pStyle w:val="Normal"/></w:pPr>
<w:r><w:t xml:space="preserve">(agriculture and commerce), Prussia (agriculture, woods and</w:t></w:r>
</w:p>
<w:p>
<w:pPr><w:pStyle w:val="Normal"/></w:pPr>
<w:r><w:t xml:space="preserve">forests), Russia (agriculture and crown domains), Sweden.</w:t></w:r>
</w:p>
<w:p>
<w:pPr><w:pStyle w:val="Normal"/></w:pPr>
<w:r><w:t xml:space="preserve">AGRIGENTUM (Gr. `Akragas mod. Girgenti (q.v.)),</w:t></w:r>
</w:p>
<w:p>
<w:pPr><w:pStyle w:val="Normal"/></w:pPr>
<w:r><w:t xml:space="preserve">an ancient city on the south coastof Sicily, 2 1/2m. from the</w:t></w:r>
</w:p>
<w:p>
<w:pPr><w:pStyle w:val="Normal"/></w:pPr>
<w:r><w:t xml:space="preserve">sea.  It was founded (perhaps on the site of an early Sicanian</w:t></w:r>
</w:p>
<w:p>
<w:pPr><w:pStyle w:val="Normal"/></w:pPr>
<w:r><w:t xml:space="preserve">settlement) by colonists from Gela about 582 B.C., and,</w:t></w:r>
</w:p>
<w:p>
<w:pPr><w:pStyle w:val="Normal"/></w:pPr>
<w:r><w:t xml:space="preserve">though the lastest city of importance founded by the Greeks in</w:t></w:r>
</w:p>
<w:p>
<w:pPr><w:pStyle w:val="Normal"/></w:pPr>
<w:r><w:t xml:space="preserve">Sicily, soon acquired a position second to that of Syracuse</w:t></w:r>
</w:p>
<w:p>
<w:pPr><w:pStyle w:val="Normal"/></w:pPr>
<w:r><w:t xml:space="preserve">alone, owing to its favourable situation for trade with Carthage</w:t></w:r>
</w:p>
<w:p>
<w:pPr><w:pStyle w:val="Normal"/></w:pPr>
<w:r><w:t xml:space="preserve">and to the fertility of its territory.  Pindar (Pyth. xii.</w:t></w:r>
</w:p>
<w:p>
<w:pPr><w:pStyle w:val="Normal"/></w:pPr>
<w:r><w:t xml:space="preserve">2) calls it kallista brotean polion. The buildings for</w:t></w:r>
</w:p>
<w:p>
<w:pPr><w:pStyle w:val="Normal"/></w:pPr>
<w:r><w:t xml:space="preserve">which it is famous all belong to the first two centuries of its</w:t></w:r>
</w:p>
<w:p>
<w:pPr><w:pStyle w:val="Normal"/></w:pPr>
<w:r><w:t xml:space="preserve">existence.  Phalaris, who is said to have roasted his enemies</w:t></w:r>
</w:p>
<w:p>
<w:pPr><w:pStyle w:val="Normal"/></w:pPr>
<w:r><w:t xml:space="preserve">to death in a brazen bull (Pindar, Pyth.. i. 184), ruled as</w:t></w:r>
</w:p>
<w:p>
<w:pPr><w:pStyle w:val="Normal"/></w:pPr>
<w:r><w:t xml:space="preserve">tyrant from 570 to 554. What form of government was established</w:t></w:r>
</w:p>
<w:p>
<w:pPr><w:pStyle w:val="Normal"/></w:pPr>
<w:r><w:t xml:space="preserve">after his fall is uncertain; we know only that, after a</w:t></w:r>
</w:p>
<w:p>
<w:pPr><w:pStyle w:val="Normal"/></w:pPr>
<w:r><w:t xml:space="preserve">long interval, Theron became tyrant (488-473); but his son</w:t></w:r>
</w:p>
<w:p>
<w:pPr><w:pStyle w:val="Normal"/></w:pPr>
<w:r><w:t xml:space="preserve">Thrasydaeus was expelled after an unsuccessful war with Hiero</w:t></w:r>
</w:p>
<w:p>
<w:pPr><w:pStyle w:val="Normal"/></w:pPr>
<w:r><w:t xml:space="preserve">in 472 and a democracy established.  In the struggle between</w:t></w:r>
</w:p>
<w:p>
<w:pPr><w:pStyle w:val="Normal"/></w:pPr>
<w:r><w:t xml:space="preserve">Syracuse and Athens (415-413) the city remained absolutely</w:t></w:r>
</w:p>
<w:p>
<w:pPr><w:pStyle w:val="Normal"/></w:pPr>
<w:r><w:t xml:space="preserve">neutral.  Its prosperity continued to increase (its population</w:t></w:r>
</w:p>
<w:p>
<w:pPr><w:pStyle w:val="Normal"/></w:pPr>
<w:r><w:t xml:space="preserve">is given at over 200,000) until in 405 B.C., despite the</w:t></w:r>
</w:p>
<w:p>
<w:pPr><w:pStyle w:val="Normal"/></w:pPr>
<w:r><w:t xml:space="preserve">help of the Siceliot cities, it was captured and plundered</w:t></w:r>
</w:p>
<w:p>
<w:pPr><w:pStyle w:val="Normal"/></w:pPr>
<w:r><w:t xml:space="preserve">by the Carthaginians, a blow from which it never entirely</w:t></w:r>
</w:p>
<w:p>
<w:pPr><w:pStyle w:val="Normal"/></w:pPr>
<w:r><w:t xml:space="preserve">re-covered.  It was colonized by Timoleon in 338 B.C. with</w:t></w:r>
</w:p>
<w:p>
<w:pPr><w:pStyle w:val="Normal"/></w:pPr>
<w:r><w:t xml:space="preserve">settlers from Veha in Lucania, and in the time of the tyrant</w:t></w:r>
</w:p>
<w:p>
<w:pPr><w:pStyle w:val="Normal"/></w:pPr>
<w:r><w:t xml:space="preserve">Phintias (289-279) it had regained some of its power.  In the</w:t></w:r>
</w:p>
<w:p>
<w:pPr><w:pStyle w:val="Normal"/></w:pPr>
<w:r><w:t xml:space="preserve">First Punic War, however, it was sacked by the Romans (261) and</w:t></w:r>
</w:p>
<w:p>
<w:pPr><w:pStyle w:val="Normal"/></w:pPr>
<w:r><w:t xml:space="preserve">the Carthaginians (255), and finally in the Second Punic War</w:t></w:r>
</w:p>
<w:p>
<w:pPr><w:pStyle w:val="Normal"/></w:pPr>
<w:r><w:t xml:space="preserve">by the Romans (210).  But it still retained its importance as</w:t></w:r>
</w:p>
<w:p>
<w:pPr><w:pStyle w:val="Normal"/></w:pPr>
<w:r><w:t xml:space="preserve">a trading and agricultural centre, even in the Roman period,</w:t></w:r>
</w:p>
<w:p>
<w:pPr><w:pStyle w:val="Normal"/></w:pPr>
<w:r><w:t xml:space="preserve">exporting not only agricultural products but textile fabrics and</w:t></w:r>
</w:p>
<w:p>
<w:pPr><w:pStyle w:val="Normal"/></w:pPr>
<w:r><w:t xml:space="preserve">sulphur.  In the local museum are tiles used for stamping</w:t></w:r>
</w:p>
<w:p>
<w:pPr><w:pStyle w:val="Normal"/></w:pPr>
<w:r><w:t xml:space="preserve">cakes of sulphur, which show that the mines, at any rate from</w:t></w:r>
</w:p>
<w:p>
<w:pPr><w:pStyle w:val="Normal"/></w:pPr>
<w:r><w:t xml:space="preserve">the 3rd century, were imperial property leased to contractors.</w:t></w:r>
</w:p>
<w:p>
<w:pPr><w:pStyle w:val="Normal"/></w:pPr>
<w:r><w:t xml:space="preserve">The site is one of great natural strength and remarkable</w:t></w:r>
</w:p>
<w:p>
<w:pPr><w:pStyle w:val="Normal"/></w:pPr>
<w:r><w:t xml:space="preserve">beauty, though quite unlike that of other Greek cities in</w:t></w:r>
</w:p>
<w:p>
<w:pPr><w:pStyle w:val="Normal"/></w:pPr>
<w:r><w:t xml:space="preserve">Sicily.  The northern portion of it consists of a lofty ridge</w:t></w:r>
</w:p>
<w:p>
<w:pPr><w:pStyle w:val="Normal"/></w:pPr>
<w:r><w:t xml:space="preserve">with two summits, the westernmost of which is occupied by</w:t></w:r>
</w:p>
<w:p>
<w:pPr><w:pStyle w:val="Normal"/></w:pPr>
<w:r><w:t xml:space="preserve">the modern town (985 ft.), while the easternmost, which is</w:t></w:r>
</w:p>
<w:p>
<w:pPr><w:pStyle w:val="Normal"/></w:pPr>
<w:r><w:t xml:space="preserve">slightly higher, bears the name of Rock of Athena, owing to its</w:t></w:r>
</w:p>
<w:p>
<w:pPr><w:pStyle w:val="Normal"/></w:pPr>
<w:r><w:t xml:space="preserve">identification in modern days with the acropolis of Acragas as</w:t></w:r>
</w:p>
<w:p>
<w:pPr><w:pStyle w:val="Normal"/></w:pPr>
<w:r><w:t xml:space="preserve">described by Polybius, who places upon it the temple of Zeus</w:t></w:r>
</w:p>
<w:p>
<w:pPr><w:pStyle w:val="Normal"/></w:pPr>
<w:r><w:t xml:space="preserve">Atabyrius (the erection of which was attributed to the half</w:t></w:r>
</w:p>
<w:p>
<w:pPr><w:pStyle w:val="Normal"/></w:pPr>
<w:r><w:t xml:space="preserve">mythical Phalaris) and that of Athena.1 It must be confessed</w:t></w:r>
</w:p>
<w:p>
<w:pPr><w:pStyle w:val="Normal"/></w:pPr>
<w:r><w:t xml:space="preserve">that the available space (about 70 X 20 yds.) on the eastern</w:t></w:r>
</w:p>
<w:p>
<w:pPr><w:pStyle w:val="Normal"/></w:pPr>
<w:r><w:t xml:space="preserve">summit (where there are some remains of ancient buildings) is</w:t></w:r>
</w:p>
<w:p>
<w:pPr><w:pStyle w:val="Normal"/></w:pPr>
<w:r><w:t xml:space="preserve">so small that there would be only room for a single temple,</w:t></w:r>
</w:p>
<w:p>
<w:pPr><w:pStyle w:val="Normal"/></w:pPr>
<w:r><w:t xml:space="preserve">which must have been occupied by the two deities jointly,</w:t></w:r>
</w:p>
<w:p>
<w:pPr><w:pStyle w:val="Normal"/></w:pPr>
<w:r><w:t xml:space="preserve">if the new theory is correct (see Notizie degli scavi,</w:t></w:r>
</w:p>
<w:p>
<w:pPr><w:pStyle w:val="Normal"/></w:pPr>
<w:r><w:t xml:space="preserve">1902, 387 and reff.).  In the modern town, on the other hand,</w:t></w:r>
</w:p>
<w:p>
<w:pPr><w:pStyle w:val="Normal"/></w:pPr>
<w:r><w:t xml:space="preserve">the remains of one temple are to be seen in the church of S.</w:t></w:r>
</w:p>
<w:p>
<w:pPr><w:pStyle w:val="Normal"/></w:pPr>
<w:r><w:t xml:space="preserve">Maria dei Greci, while the other is generally supposed to have</w:t></w:r>
</w:p>
<w:p>
<w:pPr><w:pStyle w:val="Normal"/></w:pPr>
<w:r><w:t xml:space="preserve">occupied the site of the cathedral, though no traces of it are</w:t></w:r>
</w:p>
<w:p>
<w:pPr><w:pStyle w:val="Normal"/></w:pPr>
<w:r><w:t xml:space="preserve">visible.  But whichever of these two summits was the acropolis</w:t></w:r>
</w:p>
<w:p>
<w:pPr><w:pStyle w:val="Normal"/></w:pPr>
<w:r><w:t xml:space="preserve">proper2 it is certain that both were included in the circuit</w:t></w:r>
</w:p>
<w:p>
<w:pPr><w:pStyle w:val="Normal"/></w:pPr>
<w:r><w:t xml:space="preserve">of the city walls.  On the north both summits are defended</w:t></w:r>
</w:p>
<w:p>
<w:pPr><w:pStyle w:val="Normal"/></w:pPr>
<w:r><w:t xml:space="preserve">by cliffs; on the south the ground slopes away somewhat</w:t></w:r>
</w:p>
<w:p>
<w:pPr><w:pStyle w:val="Normal"/></w:pPr>
<w:r><w:t xml:space="preserve">abruptly from the eastern summit towards the plateau on which</w:t></w:r>
</w:p>
<w:p>
<w:pPr><w:pStyle w:val="Normal"/></w:pPr>
<w:r><w:t xml:space="preserve">the town stood, while the western summit is separated from</w:t></w:r>
</w:p>
<w:p>
<w:pPr><w:pStyle w:val="Normal"/></w:pPr>
<w:r><w:t xml:space="preserve">this plateau by a valley traversed by a branch of the Hypsas</w:t></w:r>
</w:p>
<w:p>
<w:pPr><w:pStyle w:val="Normal"/></w:pPr>
<w:r><w:t xml:space="preserve">[mod. drago], the deep ravine of which forms the western</w:t></w:r>
</w:p>
<w:p>
<w:pPr><w:pStyle w:val="Normal"/></w:pPr>
<w:r><w:t xml:space="preserve">boundary and defence of the city.  On the east of the city is</w:t></w:r>
</w:p>
<w:p>
<w:pPr><w:pStyle w:val="Normal"/></w:pPr>
<w:r><w:t xml:space="preserve">the valley of the Acragas [Fiume S. Biagio], from which the</w:t></w:r>
</w:p>
<w:p>
<w:pPr><w:pStyle w:val="Normal"/></w:pPr>
<w:r><w:t xml:space="preserve">city took its name and which, though shallower than that of</w:t></w:r>
</w:p>
<w:p>
<w:pPr><w:pStyle w:val="Normal"/></w:pPr>
<w:r><w:t xml:space="preserve">the Hypsas, still affords a sufficient obstacle to attack,</w:t></w:r>
</w:p>
<w:p>
<w:pPr><w:pStyle w:val="Normal"/></w:pPr>
<w:r><w:t xml:space="preserve">and the two unite a little way to the south of the town; at</w:t></w:r>
</w:p>
<w:p>
<w:pPr><w:pStyle w:val="Normal"/></w:pPr>
<w:r><w:t xml:space="preserve">the mouth was the ancient harbour, small and now abandoned.</w:t></w:r>
</w:p>
<w:p>
<w:pPr><w:pStyle w:val="Normal"/></w:pPr>
<w:r><w:t xml:space="preserve">The most famous remains of the ancient city are the temples,</w:t></w:r>
</w:p>
<w:p>
<w:pPr><w:pStyle w:val="Normal"/></w:pPr>
<w:r><w:t xml:space="preserve">the most important of which form a row along the low cliffs</w:t></w:r>
</w:p>
<w:p>
<w:pPr><w:pStyle w:val="Normal"/></w:pPr>
<w:r><w:t xml:space="preserve">at the south end of the city.  All are built in the Doric</w:t></w:r>
</w:p>
<w:p>
<w:pPr><w:pStyle w:val="Normal"/></w:pPr>
<w:r><w:t xml:space="preserve">style, of the local porous stone, which is of a warm red</w:t></w:r>
</w:p>
<w:p>
<w:pPr><w:pStyle w:val="Normal"/></w:pPr>
<w:r><w:t xml:space="preserve">brown colour, full of fossil shells and easily corroded</w:t></w:r>
</w:p>
<w:p>
<w:pPr><w:pStyle w:val="Normal"/></w:pPr>
<w:r><w:t xml:space="preserve">when exposed to the air.  It should be noted that their</w:t></w:r>
</w:p>
<w:p>
<w:pPr><w:pStyle w:val="Normal"/></w:pPr>
<w:r><w:t xml:space="preserve">traditional names, with the exception of that of Zeus and</w:t></w:r>
</w:p>
<w:p>
<w:pPr><w:pStyle w:val="Normal"/></w:pPr>
<w:r><w:t xml:space="preserve">that of Asclepius, have no foundation in fact, while the</w:t></w:r>
</w:p>
<w:p>
<w:pPr><w:pStyle w:val="Normal"/></w:pPr>
<w:r><w:t xml:space="preserve">attribution of the temple in antis, into the cella of</w:t></w:r>
</w:p>
<w:p>
<w:pPr><w:pStyle w:val="Normal"/></w:pPr>
<w:r><w:t xml:space="preserve">which the church of S. Biagio has been built, is uncertain.3</w:t></w:r>
</w:p>
<w:p>
<w:pPr><w:pStyle w:val="Normal"/></w:pPr>
<w:r><w:t xml:space="preserve">They are described in R. Koldewey and O. Puchstein, Die</w:t></w:r>
</w:p>
<w:p>
<w:pPr><w:pStyle w:val="Normal"/></w:pPr>
<w:r><w:t xml:space="preserve">griechishen Tempel in Unteritalien und Sicilien (Berlin, 1890),</w:t></w:r>
</w:p>
<w:p>
<w:pPr><w:pStyle w:val="Normal"/></w:pPr>
<w:r><w:t xml:space="preserve">138-184.  Of all these temples the oldest is probably that</w:t></w:r>
</w:p>
<w:p>
<w:pPr><w:pStyle w:val="Normal"/></w:pPr>
<w:r><w:t xml:space="preserve">of Heracles, while the best preserved are those of Hera and</w:t></w:r>
</w:p>
<w:p>
<w:pPr><w:pStyle w:val="Normal"/></w:pPr>
<w:r><w:t xml:space="preserve">Concordia, which are very similar in dimensions; the latter,</w:t></w:r>
</w:p>
<w:p>
<w:pPr><w:pStyle w:val="Normal"/></w:pPr>
<w:r><w:t xml:space="preserve">indeed, lacks nothing but its roof, owing its preservation</w:t></w:r>
</w:p>
<w:p>
<w:pPr><w:pStyle w:val="Normal"/></w:pPr>
<w:r><w:t xml:space="preserve">to its conversion into the cathedral in 597 by Gregory II.,</w:t></w:r>
</w:p>
<w:p>
<w:pPr><w:pStyle w:val="Normal"/></w:pPr>
<w:r><w:t xml:space="preserve">bishop of Girgenti.  Both temples belong to the best period</w:t></w:r>
</w:p>
<w:p>
<w:pPr><w:pStyle w:val="Normal"/></w:pPr>
<w:r><w:t xml:space="preserve">of the Doric style and are among the finest in existence.</w:t></w:r>
</w:p>
<w:p>
<w:pPr><w:pStyle w:val="Normal"/></w:pPr>
<w:r><w:t xml:space="preserve">In front of the former, as in front of those of Heracles and</w:t></w:r>
</w:p>
<w:p>
<w:pPr><w:pStyle w:val="Normal"/></w:pPr>
<w:r><w:t xml:space="preserve">Zeus, stood a huge altar for burnt offerings, as long as the</w:t></w:r>
</w:p>
<w:p>
<w:pPr><w:pStyle w:val="Normal"/></w:pPr>
<w:r><w:t xml:space="preserve">facade of the temple itself.  The cella of the temple of</w:t></w:r>
</w:p>
<w:p>
<w:pPr><w:pStyle w:val="Normal"/></w:pPr>
<w:r><w:t xml:space="preserve">Heracles underwent considerable modifications in Roman times,</w:t></w:r>
</w:p>
<w:p>
<w:pPr><w:pStyle w:val="Normal"/></w:pPr>
<w:r><w:t xml:space="preserve">and the discovery in it of a statue of Asclepius seems to</w:t></w:r>
</w:p>
<w:p>
<w:pPr><w:pStyle w:val="Normal"/></w:pPr>
<w:r><w:t xml:space="preserve">show that the cult of this deity superseded the original one.</w:t></w:r>
</w:p>
<w:p>
<w:pPr><w:pStyle w:val="Normal"/></w:pPr>
<w:r><w:t xml:space="preserve">In the colossal temple of Zeus the huge Atlantes (figures</w:t></w:r>
</w:p>
<w:p>
<w:pPr><w:pStyle w:val="Normal"/></w:pPr>
<w:r><w:t xml:space="preserve">of Atlas), 25 ft. in height, are noticeable.  They seem to</w:t></w:r>
</w:p>
<w:p>
<w:pPr><w:pStyle w:val="Normal"/></w:pPr>
<w:r><w:t xml:space="preserve">have stood in the intercolumniations half-way up the outside</w:t></w:r>
</w:p>
<w:p>
<w:pPr><w:pStyle w:val="Normal"/></w:pPr>
<w:r><w:t xml:space="preserve">wall and to have supported the epistyle.  The collapse both</w:t></w:r>
</w:p>
<w:p>
<w:pPr><w:pStyle w:val="Normal"/></w:pPr>
<w:r><w:t xml:space="preserve">of this temple and of that of Heracles must be attributed</w:t></w:r>
</w:p>
<w:p>
<w:pPr><w:pStyle w:val="Normal"/></w:pPr>
<w:r><w:t xml:space="preserve">to an earthquake; many fallen blocks of the former were</w:t></w:r>
</w:p>
<w:p>
<w:pPr><w:pStyle w:val="Normal"/></w:pPr>
<w:r><w:t xml:space="preserve">removed in 1756 for the construction of the harbour of Porto</w:t></w:r>
</w:p>
<w:p>
<w:pPr><w:pStyle w:val="Normal"/></w:pPr>
<w:r><w:t xml:space="preserve">Empedocle.  The four columns erected on the site of the temple</w:t></w:r>
</w:p>
<w:p>
<w:pPr><w:pStyle w:val="Normal"/></w:pPr>
<w:r><w:t xml:space="preserve">of Castor and Pollux are a modern (and incorrect) restoration</w:t></w:r>
</w:p>
<w:p>
<w:pPr><w:pStyle w:val="Normal"/></w:pPr>
<w:r><w:t xml:space="preserve">in which portions of two buildings have been used.  Of that of</w:t></w:r>
</w:p>
<w:p>
<w:pPr><w:pStyle w:val="Normal"/></w:pPr>
<w:r><w:t xml:space="preserve">Hephaestus only two columns remain, while of that of Asclepius,</w:t></w:r>
</w:p>
<w:p>
<w:pPr><w:pStyle w:val="Normal"/></w:pPr>
<w:r><w:t xml:space="preserve">a mile to the south of the town, an anta and two pillars are</w:t></w:r>
</w:p>
<w:p>
<w:pPr><w:pStyle w:val="Normal"/></w:pPr>
<w:r><w:t xml:space="preserve">preserved.  It was in the latter temple that the statue of</w:t></w:r>
</w:p>
<w:p>
<w:pPr><w:pStyle w:val="Normal"/></w:pPr>
<w:r><w:t xml:space="preserve">the god by Myron stood; it had probably been carried off to</w:t></w:r>
</w:p>
<w:p>
<w:pPr><w:pStyle w:val="Normal"/></w:pPr>
<w:r><w:t xml:space="preserve">Carthage, was given to the temple by P. Scipio Africanus from</w:t></w:r>
</w:p>
<w:p>
<w:pPr><w:pStyle w:val="Normal"/></w:pPr>
<w:r><w:t xml:space="preserve">the spoils of that city and aroused the cupidity of Verres.</w:t></w:r>
</w:p>
<w:p>
<w:pPr><w:pStyle w:val="Normal"/></w:pPr>
<w:r><w:t xml:space="preserve">The other remains within the city walls are of surprisingly</w:t></w:r>
</w:p>
<w:p>
<w:pPr><w:pStyle w:val="Normal"/></w:pPr>
<w:r><w:t xml:space="preserve">small importance; near the picturesque church of S. Nicolo</w:t></w:r>
</w:p>
<w:p>
<w:pPr><w:pStyle w:val="Normal"/></w:pPr>
<w:r><w:t xml:space="preserve">is the so-called Oratory of Phalaris, a shrine of the 2nd</w:t></w:r>
</w:p>
<w:p>
<w:pPr><w:pStyle w:val="Normal"/></w:pPr>
<w:r><w:t xml:space="preserve">century B.C., 27 1/4 ft. long (including the porch) by 23 1/3</w:t></w:r>
</w:p>
<w:p>
<w:pPr><w:pStyle w:val="Normal"/></w:pPr>
<w:r><w:t xml:space="preserve">ft. wide; and not far off on the east is a large private house</w:t></w:r>
</w:p>
<w:p>
<w:pPr><w:pStyle w:val="Normal"/></w:pPr>
<w:r><w:t xml:space="preserve">with white tesselated pavements, probably pre-Roman in origin</w:t></w:r>
</w:p>
<w:p>
<w:pPr><w:pStyle w:val="Normal"/></w:pPr>
<w:r><w:t xml:space="preserve">but slightly altered in the Roman period (R. P. Jones and</w:t></w:r>
</w:p>
<w:p>
<w:pPr><w:pStyle w:val="Normal"/></w:pPr>
<w:r><w:t xml:space="preserve">E. A. Gardner in JOURNAL OF HELLENIC STUDIES, xxvi., 1906,</w:t></w:r>
</w:p>
<w:p>
<w:pPr><w:pStyle w:val="Normal"/></w:pPr>
<w:r><w:t xml:space="preserve">207).  Foundations of other buildings are to be seen in other</w:t></w:r>
</w:p>
<w:p>
<w:pPr><w:pStyle w:val="Normal"/></w:pPr>
<w:r><w:t xml:space="preserve">parts of the site, but of little interest.  The huge fishpond,</w:t></w:r>
</w:p>
<w:p>
<w:pPr><w:pStyle w:val="Normal"/></w:pPr>
<w:r><w:t xml:space="preserve">spoken of by Diodorus as being 7 stadia in circumference (xi.</w:t></w:r>
</w:p>
<w:p>
<w:pPr><w:pStyle w:val="Normal"/></w:pPr>
<w:r><w:t xml:space="preserve">25), is to be seen at the south-west corner of the city; it is</w:t></w:r>
</w:p>
<w:p>
<w:pPr><w:pStyle w:val="Normal"/></w:pPr>
<w:r><w:t xml:space="preserve">an enormous excavation in the rock with drains in its sides, at</w:t></w:r>
</w:p>
<w:p>
<w:pPr><w:pStyle w:val="Normal"/></w:pPr>
<w:r><w:t xml:space="preserve">the bottom of which there is now a flourishing orange garden.</w:t></w:r>
</w:p>
<w:p>
<w:pPr><w:pStyle w:val="Normal"/></w:pPr>
<w:r><w:t xml:space="preserve">Demeter     Hera      Con-</w:t></w:r>
</w:p>
<w:p>
<w:pPr><w:pStyle w:val="Normal"/></w:pPr>
<w:r><w:t xml:space="preserve">(Acragas?)  Lacinia.  cordia.  Heracles.  Zeus.</w:t></w:r>
</w:p>
<w:p>
<w:pPr><w:pStyle w:val="Normal"/></w:pPr>
<w:r><w:t xml:space="preserve">Length excluding</w:t></w:r>
</w:p>
<w:p>
<w:pPr><w:pStyle w:val="Normal"/></w:pPr>
<w:r><w:t xml:space="preserve">steps4           90?       125       129 1/4   220        361</w:t></w:r>
</w:p>
<w:p>
<w:pPr><w:pStyle w:val="Normal"/></w:pPr>
<w:r><w:t xml:space="preserve">Breadth             40 1/2     55 1/2    55 1/2    83        173 1/2</w:t></w:r>
</w:p>
<w:p>
<w:pPr><w:pStyle w:val="Normal"/></w:pPr>
<w:r><w:t xml:space="preserve">Length of cella     ..         93        96 1/4   156        332</w:t></w:r>
</w:p>
<w:p>
<w:pPr><w:pStyle w:val="Normal"/></w:pPr>
<w:r><w:t xml:space="preserve">Breadth of cella    ..         32 1/2    31 1/2    45 3/4    144 1/4</w:t></w:r>
</w:p>
<w:p>
<w:pPr><w:pStyle w:val="Normal"/></w:pPr>
<w:r><w:t xml:space="preserve">Height of columns</w:t></w:r>
</w:p>
<w:p>
<w:pPr><w:pStyle w:val="Normal"/></w:pPr>
<w:r><w:t xml:space="preserve">with capital      ..         21        22        33         62 1/2?</w:t></w:r>
</w:p>
<w:p>
<w:pPr><w:pStyle w:val="Normal"/></w:pPr>
<w:r><w:t xml:space="preserve">Diameter of</w:t></w:r>
</w:p>
<w:p>
<w:pPr><w:pStyle w:val="Normal"/></w:pPr>
<w:r><w:t xml:space="preserve">columns at</w:t></w:r>
</w:p>
<w:p>
<w:pPr><w:pStyle w:val="Normal"/></w:pPr>
<w:r><w:t xml:space="preserve">bottom            ..          4 1/2     4 1/2     6 1/2     14</w:t></w:r>
</w:p>
<w:p>
<w:pPr><w:pStyle w:val="Normal"/></w:pPr>
<w:r><w:t xml:space="preserve">Original number</w:t></w:r>
</w:p>
<w:p>
<w:pPr><w:pStyle w:val="Normal"/></w:pPr>
<w:r><w:t xml:space="preserve">of columns        ..         34        34        38         38</w:t></w:r>
</w:p>
<w:p>
<w:pPr><w:pStyle w:val="Normal"/></w:pPr>
<w:r><w:t xml:space="preserve">Class             In antis.   Perip-    Perip-    Perip-    Pseudo</w:t></w:r>
</w:p>
<w:p>
<w:pPr><w:pStyle w:val="Normal"/></w:pPr>
<w:r><w:t xml:space="preserve">teros     teros     teros    Peripteros</w:t></w:r>
</w:p>
<w:p>
<w:pPr><w:pStyle w:val="Normal"/></w:pPr>
<w:r><w:t xml:space="preserve">hexa-     hexa-     hexa-      hexa-</w:t></w:r>
</w:p>
<w:p>
<w:pPr><w:pStyle w:val="Normal"/></w:pPr>
<w:r><w:t xml:space="preserve">stylos.   stylos.   stylos.   stylos.</w:t></w:r>
</w:p>
<w:p>
<w:pPr><w:pStyle w:val="Normal"/></w:pPr>
<w:r><w:t xml:space="preserve">Approximate date  450 B.C.   480-440   440-420    500 B.C.   450 B.C.</w:t></w:r>
</w:p>
<w:p>
<w:pPr><w:pStyle w:val="Normal"/></w:pPr>
<w:r><w:t xml:space="preserve">B.C.      B.C.</w:t></w:r>
</w:p>
<w:p>
<w:pPr><w:pStyle w:val="Normal"/></w:pPr>
<w:r><w:t xml:space="preserve">Unnamed</w:t></w:r>
</w:p>
<w:p>
<w:pPr><w:pStyle w:val="Normal"/></w:pPr>
<w:r><w:t xml:space="preserve">Castor  near Castor</w:t></w:r>
</w:p>
<w:p>
<w:pPr><w:pStyle w:val="Normal"/></w:pPr>
<w:r><w:t xml:space="preserve">and       and      Hephae-</w:t></w:r>
</w:p>
<w:p>
<w:pPr><w:pStyle w:val="Normal"/></w:pPr>
<w:r><w:t xml:space="preserve">Pollux.   Pollux.    scus.    Asclepius.  Athena.</w:t></w:r>
</w:p>
<w:p>
<w:pPr><w:pStyle w:val="Normal"/></w:pPr>
<w:r><w:t xml:space="preserve">Length excluding</w:t></w:r>
</w:p>
<w:p>
<w:pPr><w:pStyle w:val="Normal"/></w:pPr>
<w:r><w:t xml:space="preserve">steps (1)         ..         ..        ..        ..         ..</w:t></w:r>
</w:p>
<w:p>
<w:pPr><w:pStyle w:val="Normal"/></w:pPr>
<w:r><w:t xml:space="preserve">Breadth             ..         67 1/4    57 1/2    30 1/2     45</w:t></w:r>
</w:p>
<w:p>
<w:pPr><w:pStyle w:val="Normal"/></w:pPr>
<w:r><w:t xml:space="preserve">Length of cella     91         ..        ..        ..         ..</w:t></w:r>
</w:p>
<w:p>
<w:pPr><w:pStyle w:val="Normal"/></w:pPr>
<w:r><w:t xml:space="preserve">Breadth of cella    33         ..        ..        ..         ..</w:t></w:r>
</w:p>
<w:p>
<w:pPr><w:pStyle w:val="Normal"/></w:pPr>
<w:r><w:t xml:space="preserve">Height of columns</w:t></w:r>
</w:p>
<w:p>
<w:pPr><w:pStyle w:val="Normal"/></w:pPr>
<w:r><w:t xml:space="preserve">with capital      19 1/2     ..        ..        ..         ..</w:t></w:r>
</w:p>
<w:p>
<w:pPr><w:pStyle w:val="Normal"/></w:pPr>
<w:r><w:t xml:space="preserve">Diameter of</w:t></w:r>
</w:p>
<w:p>
<w:pPr><w:pStyle w:val="Normal"/></w:pPr>
<w:r><w:t xml:space="preserve">columns at</w:t></w:r>
</w:p>
<w:p>
<w:pPr><w:pStyle w:val="Normal"/></w:pPr>
<w:r><w:t xml:space="preserve">bottom             4         ..         5         3 1/3      4 2/3</w:t></w:r>
</w:p>
<w:p>
<w:pPr><w:pStyle w:val="Normal"/></w:pPr>
<w:r><w:t xml:space="preserve">Original number</w:t></w:r>
</w:p>
<w:p>
<w:pPr><w:pStyle w:val="Normal"/></w:pPr>
<w:r><w:t xml:space="preserve">of columns        34         ..        ..        ..         ..</w:t></w:r>
</w:p>
<w:p>
<w:pPr><w:pStyle w:val="Normal"/></w:pPr>
<w:r><w:t xml:space="preserve">Class              Perip-      ..      Perip-    Prostylos    Perip-</w:t></w:r>
</w:p>
<w:p>
<w:pPr><w:pStyle w:val="Normal"/></w:pPr>
<w:r><w:t xml:space="preserve">teros               teros      pseudo      teros</w:t></w:r>
</w:p>
<w:p>
<w:pPr><w:pStyle w:val="Normal"/></w:pPr>
<w:r><w:t xml:space="preserve">hexa-               hexa-      perip-</w:t></w:r>
</w:p>
<w:p>
<w:pPr><w:pStyle w:val="Normal"/></w:pPr>
<w:r><w:t xml:space="preserve">stylos.             stylos.    teros.</w:t></w:r>
</w:p>
<w:p>
<w:pPr><w:pStyle w:val="Normal"/></w:pPr>
<w:r><w:t xml:space="preserve">Approximate date   338-210.    ..      after 338 before 210  488-472</w:t></w:r>
</w:p>
<w:p>
<w:pPr><w:pStyle w:val="Normal"/></w:pPr>
<w:r><w:t xml:space="preserve">B.C.      B.C.      B.C.      B.C.        B.C.</w:t></w:r>
</w:p>
<w:p>
<w:pPr><w:pStyle w:val="Normal"/></w:pPr>
<w:r><w:t xml:space="preserve">The line of the city walls can be distinctly traced for</w:t></w:r>
</w:p>
<w:p>
<w:pPr><w:pStyle w:val="Normal"/></w:pPr>
<w:r><w:t xml:space="preserve">most of the circuit, but the actual remains of them are</w:t></w:r>
</w:p>
<w:p>
<w:pPr><w:pStyle w:val="Normal"/></w:pPr>
<w:r><w:t xml:space="preserve">inconsiderable.  On the east and west the ravines already</w:t></w:r>
</w:p>
<w:p>
<w:pPr><w:pStyle w:val="Normal"/></w:pPr>
<w:r><w:t xml:space="preserve">mentioned afforded, in the main, a sufficient protection,</w:t></w:r>
</w:p>
<w:p>
<w:pPr><w:pStyle w:val="Normal"/></w:pPr>
<w:r><w:t xml:space="preserve">so that a massive wall was unnecessary, while near the</w:t></w:r>
</w:p>
<w:p>
<w:pPr><w:pStyle w:val="Normal"/></w:pPr>
<w:r><w:t xml:space="preserve">south-eastern angle a breastwork was formed by the excavation</w:t></w:r>
</w:p>
<w:p>
<w:pPr><w:pStyle w:val="Normal"/></w:pPr>
<w:r><w:t xml:space="preserve">of the natural rock,5 which in later times was honeycombed with</w:t></w:r>
</w:p>
<w:p>
<w:pPr><w:pStyle w:val="Normal"/></w:pPr>
<w:r><w:t xml:space="preserve">tombs.  E. A. Freeman attributes the southern portion of the</w:t></w:r>
</w:p>
<w:p>
<w:pPr><w:pStyle w:val="Normal"/></w:pPr>
<w:r><w:t xml:space="preserve">walls to Theron (Hist. of Sic. ii. 224), but the question</w:t></w:r>
</w:p>
<w:p>
<w:pPr><w:pStyle w:val="Normal"/></w:pPr>
<w:r><w:t xml:space="preserve">depends upon the date of the temple of Heracles; and if</w:t></w:r>
</w:p>
<w:p>
<w:pPr><w:pStyle w:val="Normal"/></w:pPr>
<w:r><w:t xml:space="preserve">Koldewey and Puchstein are right in dating it so early as 500</w:t></w:r>
</w:p>
<w:p>
<w:pPr><w:pStyle w:val="Normal"/></w:pPr>
<w:r><w:t xml:space="preserve">B.C., it is probable that the wall was in existence by that</w:t></w:r>
</w:p>
<w:p>
<w:pPr><w:pStyle w:val="Normal"/></w:pPr>
<w:r><w:t xml:space="preserve">time.  Close to this temple on the west is the site of the</w:t></w:r>
</w:p>
<w:p>
<w:pPr><w:pStyle w:val="Normal"/></w:pPr>
<w:r><w:t xml:space="preserve">gate known in later times as the porta aurea, through</w:t></w:r>
</w:p>
<w:p>
<w:pPr><w:pStyle w:val="Normal"/></w:pPr>
<w:r><w:t xml:space="preserve">which the modern road passes, so that no traces now remain.</w:t></w:r>
</w:p>
<w:p>
<w:pPr><w:pStyle w:val="Normal"/></w:pPr>
<w:r><w:t xml:space="preserve">Tombs of the Greek period have mainly been found on the west of</w:t></w:r>
</w:p>
<w:p>
<w:pPr><w:pStyle w:val="Normal"/></w:pPr>
<w:r><w:t xml:space="preserve">the town, outside the probable line of the walls, between the</w:t></w:r>
</w:p>
<w:p>
<w:pPr><w:pStyle w:val="Normal"/></w:pPr>
<w:r><w:t xml:space="preserve">Hypsas and a small tributary, the latter having been spanned by</w:t></w:r>
</w:p>
<w:p>
<w:pPr><w:pStyle w:val="Normal"/></w:pPr>
<w:r><w:t xml:space="preserve">a bridge, now called Ponite dei Morti, of which one massive</w:t></w:r>
</w:p>
<w:p>
<w:pPr><w:pStyle w:val="Normal"/></w:pPr>
<w:r><w:t xml:space="preserve">pier, 45 ft. in width, still exists.  Just outside the south</w:t></w:r>
</w:p>
<w:p>
<w:pPr><w:pStyle w:val="Normal"/></w:pPr>
<w:r><w:t xml:space="preserve">wall is a Roman necropolis, with massive tombs in masonry, and</w:t></w:r>
</w:p>
<w:p>
<w:pPr><w:pStyle w:val="Normal"/></w:pPr>
<w:r><w:t xml:space="preserve">a Christian catacomb, and a little farther south a tomb in two</w:t></w:r>
</w:p>
<w:p>
<w:pPr><w:pStyle w:val="Normal"/></w:pPr>
<w:r><w:t xml:space="preserve">stories, a mixture of Doric and Ionic architecture, belonging</w:t></w:r>
</w:p>
<w:p>
<w:pPr><w:pStyle w:val="Normal"/></w:pPr>
<w:r><w:t xml:space="preserve">probably to the 2nd century B.C., though groundlessly called</w:t></w:r>
</w:p>
<w:p>
<w:pPr><w:pStyle w:val="Normal"/></w:pPr>
<w:r><w:t xml:space="preserve">the Tomb of Theron.  A village of the Byzantine period has</w:t></w:r>
</w:p>
<w:p>
<w:pPr><w:pStyle w:val="Normal"/></w:pPr>
<w:r><w:t xml:space="preserve">been explored at Balatizzo, immediately to the south of the</w:t></w:r>
</w:p>
<w:p>
<w:pPr><w:pStyle w:val="Normal"/></w:pPr>
<w:r><w:t xml:space="preserve">modern town (Notizie degli scavi, 1900, 511-520).  The walls</w:t></w:r>
</w:p>
<w:p>
<w:pPr><w:pStyle w:val="Normal"/></w:pPr>
<w:r><w:t xml:space="preserve">of the dwellings are entirely cut out of the natural rock.</w:t></w:r>
</w:p>
<w:p>
<w:pPr><w:pStyle w:val="Normal"/></w:pPr>
<w:r><w:t xml:space="preserve">See J. Schubring, Historische Topographie von Akragas</w:t></w:r>
</w:p>
<w:p>
<w:pPr><w:pStyle w:val="Normal"/></w:pPr>
<w:r><w:t xml:space="preserve">(Leipzig, 1570); R. Koldewey and O. Puchstein, op. cit.; C.</w:t></w:r>
</w:p>
<w:p>
<w:pPr><w:pStyle w:val="Normal"/></w:pPr>
<w:r><w:t xml:space="preserve">Hulsen in Pauly-Wissowa, Encyclopadie, i. 1187. (T. As.)</w:t></w:r>
</w:p>
<w:p>
<w:pPr><w:pStyle w:val="Normal"/></w:pPr>
<w:r><w:t xml:space="preserve">1 E. A. Freeman, History of Sicily (Oxford, 1891), i. 438,</w:t></w:r>
</w:p>
<w:p>
<w:pPr><w:pStyle w:val="Normal"/></w:pPr>
<w:r><w:t xml:space="preserve">accepts the name ``Rock of Athena&apos;&apos; and yet puts the acropolis on</w:t></w:r>
</w:p>
<w:p>
<w:pPr><w:pStyle w:val="Normal"/></w:pPr>
<w:r><w:t xml:space="preserve">the site of the modern town, arguing further that the cathedral</w:t></w:r>
</w:p>
<w:p>
<w:pPr><w:pStyle w:val="Normal"/></w:pPr>
<w:r><w:t xml:space="preserve">hill was an acropolis within an acropolis (II. and XVII.).</w:t></w:r>
</w:p>
<w:p>
<w:pPr><w:pStyle w:val="Normal"/></w:pPr>
<w:r><w:t xml:space="preserve">2 Some writers place Kamikos, the city of the mythical Sican</w:t></w:r>
</w:p>
<w:p>
<w:pPr><w:pStyle w:val="Normal"/></w:pPr>
<w:r><w:t xml:space="preserve">Kokalos, on the site of Acragas or its acropolis; but it appears</w:t></w:r>
</w:p>
<w:p>
<w:pPr><w:pStyle w:val="Normal"/></w:pPr>
<w:r><w:t xml:space="preserve">to have lain to the north-west, possibly at Caltabellotta, 10m.</w:t></w:r>
</w:p>
<w:p>
<w:pPr><w:pStyle w:val="Normal"/></w:pPr>
<w:r><w:t xml:space="preserve">north-east of Sciacca.  We hear of it even in the Punic Wars as a</w:t></w:r>
</w:p>
<w:p>
<w:pPr><w:pStyle w:val="Normal"/></w:pPr>
<w:r><w:t xml:space="preserve">fortified post of Acragas (E. A. Freeman, Hist. of Sic. i. 495).</w:t></w:r>
</w:p>
<w:p>
<w:pPr><w:pStyle w:val="Normal"/></w:pPr>
<w:r><w:t xml:space="preserve">3 The attribution to Demeter is supported by the discovery</w:t></w:r>
</w:p>
<w:p>
<w:pPr><w:pStyle w:val="Normal"/></w:pPr>
<w:r><w:t xml:space="preserve">of votive terra-cottas, representing Demeter and Kore</w:t></w:r>
</w:p>
<w:p>
<w:pPr><w:pStyle w:val="Normal"/></w:pPr>
<w:r><w:t xml:space="preserve">in the neighbourhood, while the conjecture that it was</w:t></w:r>
</w:p>
<w:p>
<w:pPr><w:pStyle w:val="Normal"/></w:pPr>
<w:r><w:t xml:space="preserve">dedicated to the river-god Acragas rests on its position</w:t></w:r>
</w:p>
<w:p>
<w:pPr><w:pStyle w:val="Normal"/></w:pPr>
<w:r><w:t xml:space="preserve">above the river, in the valley of which, indeed, a</w:t></w:r>
</w:p>
<w:p>
<w:pPr><w:pStyle w:val="Normal"/></w:pPr>
<w:r><w:t xml:space="preserve">statue which may represent the deity has been discovered.</w:t></w:r>
</w:p>
<w:p>
<w:pPr><w:pStyle w:val="Normal"/></w:pPr>
<w:r><w:t xml:space="preserve">4 Dimensions in English feet.</w:t></w:r>
</w:p>
<w:p>
<w:pPr><w:pStyle w:val="Normal"/></w:pPr>
<w:r><w:t xml:space="preserve">5 Polybius ix. 27 keitai to teixos epi petras akrotomon kai</w:t></w:r>
</w:p>
<w:p>
<w:pPr><w:pStyle w:val="Normal"/></w:pPr>
<w:r><w:t xml:space="preserve">perirrogos e men autofnous e de xeiropoieton.</w:t></w:r>
</w:p>
<w:p>
<w:pPr><w:pStyle w:val="Normal"/></w:pPr>
<w:r><w:t xml:space="preserve">AGRIMONY (from the Lat. agrimonia, a transformation of</w:t></w:r>
</w:p>
<w:p>
<w:pPr><w:pStyle w:val="Normal"/></w:pPr>
<w:r><w:t xml:space="preserve">argemone, a word of unknown etymology), a slender perennial</w:t></w:r>
</w:p>
<w:p>
<w:pPr><w:pStyle w:val="Normal"/></w:pPr>
<w:r><w:t xml:space="preserve">herb (botanical name, agrimonia eupatoria, natural order</w:t></w:r>
</w:p>
<w:p>
<w:pPr><w:pStyle w:val="Normal"/></w:pPr>
<w:r><w:t xml:space="preserve">Rosaceae), 1 1/2 to 3 ft. high, growing in hedge-banks, copses and</w:t></w:r>
</w:p>
<w:p>
<w:pPr><w:pStyle w:val="Normal"/></w:pPr>
<w:r><w:t xml:space="preserve">borders of fields.  The leafy stem ends in spikes of small yellow</w:t></w:r>
</w:p>
<w:p>
<w:pPr><w:pStyle w:val="Normal"/></w:pPr>
<w:r><w:t xml:space="preserve">flowers.  The flower-stalk becomes recurved in the fruiting</w:t></w:r>
</w:p>
<w:p>
<w:pPr><w:pStyle w:val="Normal"/></w:pPr>
<w:r><w:t xml:space="preserve">stage, and the fruit bears a number of hooks which enable it</w:t></w:r>
</w:p>
<w:p>
<w:pPr><w:pStyle w:val="Normal"/></w:pPr>
<w:r><w:t xml:space="preserve">to cling to rough objects, such as the coat of an animal, thus</w:t></w:r>
</w:p>
<w:p>
<w:pPr><w:pStyle w:val="Normal"/></w:pPr>
<w:r><w:t xml:space="preserve">ensuring distribution of the seed.  The plant is common in</w:t></w:r>
</w:p>
<w:p>
<w:pPr><w:pStyle w:val="Normal"/></w:pPr>
<w:r><w:t xml:space="preserve">Britain and widely spread through the north temperate region.</w:t></w:r>
</w:p>
<w:p>
<w:pPr><w:pStyle w:val="Normal"/></w:pPr>
<w:r><w:t xml:space="preserve">The underground woody stem is astringent and yields a yellow dye.</w:t></w:r>
</w:p>
<w:p>
<w:pPr><w:pStyle w:val="Normal"/></w:pPr>
<w:r><w:t xml:space="preserve">The name has been unsystematically given to several</w:t></w:r>
</w:p>
<w:p>
<w:pPr><w:pStyle w:val="Normal"/></w:pPr>
<w:r><w:t xml:space="preserve">other plants; for instance: bastard, Dutch, hemp or</w:t></w:r>
</w:p>
<w:p>
<w:pPr><w:pStyle w:val="Normal"/></w:pPr>
<w:r><w:t xml:space="preserve">water agrimony (eupatorium cannabinum); noble or</w:t></w:r>
</w:p>
<w:p>
<w:pPr><w:pStyle w:val="Normal"/></w:pPr>
<w:r><w:t xml:space="preserve">three-leaved agrimony (anemone hellalica); water agrimony</w:t></w:r>
</w:p>
<w:p>
<w:pPr><w:pStyle w:val="Normal"/></w:pPr>
<w:r><w:t xml:space="preserve">(bideus); and wild agrimony (potentilla anserina.)</w:t></w:r>
</w:p>
<w:p>
<w:pPr><w:pStyle w:val="Normal"/></w:pPr>
<w:r><w:t xml:space="preserve">AGRIONIA, an ancient Greek festival, which was celebrated</w:t></w:r>
</w:p>
<w:p>
<w:pPr><w:pStyle w:val="Normal"/></w:pPr>
<w:r><w:t xml:space="preserve">annually at Orchomenus in Boeotia and elsewhere, in honour</w:t></w:r>
</w:p>
<w:p>
<w:pPr><w:pStyle w:val="Normal"/></w:pPr>
<w:r><w:t xml:space="preserve">of Dionysus Agrionius, by women and priests at night.  The</w:t></w:r>
</w:p>
<w:p>
<w:pPr><w:pStyle w:val="Normal"/></w:pPr>
<w:r><w:t xml:space="preserve">women, after playfully pretending for some time to search for</w:t></w:r>
</w:p>
<w:p>
<w:pPr><w:pStyle w:val="Normal"/></w:pPr>
<w:r><w:t xml:space="preserve">the god, desisted, saying that he had hidden himself among the</w:t></w:r>
</w:p>
<w:p>
<w:pPr><w:pStyle w:val="Normal"/></w:pPr>
<w:r><w:t xml:space="preserve">Muses.  The tradition is that the daughters of Minyas, king of</w:t></w:r>
</w:p>
<w:p>
<w:pPr><w:pStyle w:val="Normal"/></w:pPr>
<w:r><w:t xml:space="preserve">Orchomenus, having despised the rites of the god, were seized</w:t></w:r>
</w:p>
<w:p>
<w:pPr><w:pStyle w:val="Normal"/></w:pPr>
<w:r><w:t xml:space="preserve">with frenzy and ate the flesh of one of their children.  At this</w:t></w:r>
</w:p>
<w:p>
<w:pPr><w:pStyle w:val="Normal"/></w:pPr>
<w:r><w:t xml:space="preserve">festival it was originally the custom for the priest of the god</w:t></w:r>
</w:p>
<w:p>
<w:pPr><w:pStyle w:val="Normal"/></w:pPr>
<w:r><w:t xml:space="preserve">to pursue a woman of the Minyan family with a drawn sword and</w:t></w:r>
</w:p>
<w:p>
<w:pPr><w:pStyle w:val="Normal"/></w:pPr>
<w:r><w:t xml:space="preserve">kill her. (Plutarch, Quaest.  Rom. 102, Quaest.  Graecae 38.)</w:t></w:r>
</w:p>
<w:p>
<w:pPr><w:pStyle w:val="Normal"/></w:pPr>
<w:r><w:t xml:space="preserve">AGRIPPA, a sceptical philosopher, whose date cannot</w:t></w:r>
</w:p>
<w:p>
<w:pPr><w:pStyle w:val="Normal"/></w:pPr>
<w:r><w:t xml:space="preserve">be accurately determined.  He must have lived later than</w:t></w:r>
</w:p>
<w:p>
<w:pPr><w:pStyle w:val="Normal"/></w:pPr>
<w:r><w:t xml:space="preserve">Aenesidemus, who is generally said to have been a contemporary of</w:t></w:r>
</w:p>
<w:p>
<w:pPr><w:pStyle w:val="Normal"/></w:pPr>
<w:r><w:t xml:space="preserve">Cicero.  To him are ascribed the five tropes pente tropoi</w:t></w:r>
</w:p>
<w:p>
<w:pPr><w:pStyle w:val="Normal"/></w:pPr>
<w:r><w:t xml:space="preserve">which, according to Sextus Empiricus, summarize the attitude</w:t></w:r>
</w:p>
<w:p>
<w:pPr><w:pStyle w:val="Normal"/></w:pPr>
<w:r><w:t xml:space="preserve">of the later ancient sceptics.  The first trope emphasizes</w:t></w:r>
</w:p>
<w:p>
<w:pPr><w:pStyle w:val="Normal"/></w:pPr>
<w:r><w:t xml:space="preserve">the disagreement of philosophers on all fundamental points;</w:t></w:r>
</w:p>
<w:p>
<w:pPr><w:pStyle w:val="Normal"/></w:pPr>
<w:r><w:t xml:space="preserve">knowledge comes either from the senses or from reason.  Some</w:t></w:r>
</w:p>
<w:p>
<w:pPr><w:pStyle w:val="Normal"/></w:pPr>
<w:r><w:t xml:space="preserve">thinkers hold that nothing is known but the things of sense;</w:t></w:r>
</w:p>
<w:p>
<w:pPr><w:pStyle w:val="Normal"/></w:pPr>
<w:r><w:t xml:space="preserve">others that the things of reason alone are known; and so</w:t></w:r>
</w:p>
<w:p>
<w:pPr><w:pStyle w:val="Normal"/></w:pPr>
<w:r><w:t xml:space="preserve">on.  It follows that the only wise course is to be content</w:t></w:r>
</w:p>
<w:p>
<w:pPr><w:pStyle w:val="Normal"/></w:pPr>
<w:r><w:t xml:space="preserve">with an attitude of indifference, neither to affirm nor to</w:t></w:r>
</w:p>
<w:p>
<w:pPr><w:pStyle w:val="Normal"/></w:pPr>
<w:r><w:t xml:space="preserve">deny.  The second trope deals with the validity of proof;</w:t></w:r>
</w:p>
<w:p>
<w:pPr><w:pStyle w:val="Normal"/></w:pPr>
<w:r><w:t xml:space="preserve">the proof of one so-called fact depends on another fact which</w:t></w:r>
</w:p>
<w:p>
<w:pPr><w:pStyle w:val="Normal"/></w:pPr>
<w:r><w:t xml:space="preserve">itself needs demonstration, and so on ad infinitum.  The</w:t></w:r>
</w:p>
<w:p>
<w:pPr><w:pStyle w:val="Normal"/></w:pPr>
<w:r><w:t xml:space="preserve">third points out that the data of sense are relative to the</w:t></w:r>
</w:p>
<w:p>
<w:pPr><w:pStyle w:val="Normal"/></w:pPr>
<w:r><w:t xml:space="preserve">sentient being, those of reason to the intelligent mind; that in</w:t></w:r>
</w:p>
<w:p>
<w:pPr><w:pStyle w:val="Normal"/></w:pPr>
<w:r><w:t xml:space="preserve">different conditions things themselves are seen or thought to be</w:t></w:r>
</w:p>
<w:p>
<w:pPr><w:pStyle w:val="Normal"/></w:pPr>
<w:r><w:t xml:space="preserve">different.  Where, then, is the absolute criterion? Fourthly,</w:t></w:r>
</w:p>
<w:p>
<w:pPr><w:pStyle w:val="Normal"/></w:pPr>
<w:r><w:t xml:space="preserve">if we examine things fairly, we see that in point of fact all</w:t></w:r>
</w:p>
<w:p>
<w:pPr><w:pStyle w:val="Normal"/></w:pPr>
<w:r><w:t xml:space="preserve">knowledge depends on certain hypotheses, or facts taken for</w:t></w:r>
</w:p>
<w:p>
<w:pPr><w:pStyle w:val="Normal"/></w:pPr>
<w:r><w:t xml:space="preserve">granted.  Such knowledge is fundamentally hypothetical,</w:t></w:r>
</w:p>
<w:p>
<w:pPr><w:pStyle w:val="Normal"/></w:pPr>
<w:r><w:t xml:space="preserve">and might well be accepted as such without the labour of a</w:t></w:r>
</w:p>
<w:p>
<w:pPr><w:pStyle w:val="Normal"/></w:pPr>
<w:r><w:t xml:space="preserve">demonstration which is logically invalid.  The fifth trope</w:t></w:r>
</w:p>
<w:p>
<w:pPr><w:pStyle w:val="Normal"/></w:pPr>
<w:r><w:t xml:space="preserve">points out the impossibility of proving the sensible by</w:t></w:r>
</w:p>
<w:p>
<w:pPr><w:pStyle w:val="Normal"/></w:pPr>
<w:r><w:t xml:space="preserve">the intelligible inasmuch as it remains to establish the</w:t></w:r>
</w:p>
<w:p>
<w:pPr><w:pStyle w:val="Normal"/></w:pPr>
<w:r><w:t xml:space="preserve">intelligible in its turn by the sensible.  Such a process is</w:t></w:r>
</w:p>
<w:p>
<w:pPr><w:pStyle w:val="Normal"/></w:pPr>
<w:r><w:t xml:space="preserve">a vicious circle and has no logical validity.  A comparison</w:t></w:r>
</w:p>
<w:p>
<w:pPr><w:pStyle w:val="Normal"/></w:pPr>
<w:r><w:t xml:space="preserve">of these tropes with the ten tropes enumerated in the article</w:t></w:r>
</w:p>
<w:p>
<w:pPr><w:pStyle w:val="Normal"/></w:pPr>
<w:r><w:t xml:space="preserve">AENESIDEMUS shows that scepticism has made an advance into</w:t></w:r>
</w:p>
<w:p>
<w:pPr><w:pStyle w:val="Normal"/></w:pPr>
<w:r><w:t xml:space="preserve">the more abtruse questions of metaphysics.  The first and the</w:t></w:r>
</w:p>
<w:p>
<w:pPr><w:pStyle w:val="Normal"/></w:pPr>
<w:r><w:t xml:space="preserve">third include all the ideas expressed in the ten tropes, and</w:t></w:r>
</w:p>
<w:p>
<w:pPr><w:pStyle w:val="Normal"/></w:pPr>
<w:r><w:t xml:space="preserve">the other three systematize the more profound difficulties</w:t></w:r>
</w:p>
<w:p>
<w:pPr><w:pStyle w:val="Normal"/></w:pPr>
<w:r><w:t xml:space="preserve">which new thinkers had developed.  Aenesidemus was content</w:t></w:r>
</w:p>
<w:p>
<w:pPr><w:pStyle w:val="Normal"/></w:pPr>
<w:r><w:t xml:space="preserve">to attack the validity of sense-given knowledge; Agrippa goes</w:t></w:r>
</w:p>
<w:p>
<w:pPr><w:pStyle w:val="Normal"/></w:pPr>
<w:r><w:t xml:space="preserve">further and impugns the possibility of all truth whatever.</w:t></w:r>
</w:p>
<w:p>
<w:pPr><w:pStyle w:val="Normal"/></w:pPr>
<w:r><w:t xml:space="preserve">His reasons are those of modern scepticism, the reasons</w:t></w:r>
</w:p>
<w:p>
<w:pPr><w:pStyle w:val="Normal"/></w:pPr>
<w:r><w:t xml:space="preserve">which by their very nature are not susceptible of disproof.</w:t></w:r>
</w:p>
<w:p>
<w:pPr><w:pStyle w:val="Normal"/></w:pPr>
<w:r><w:t xml:space="preserve">See Diogenes Laertius x. 88, and Zeller&apos;s Greek</w:t></w:r>
</w:p>
<w:p>
<w:pPr><w:pStyle w:val="Normal"/></w:pPr>
<w:r><w:t xml:space="preserve">Philosophy.  Also the articles SCEPTICISM; AENESIDEMUS.</w:t></w:r>
</w:p>
<w:p>
<w:pPr><w:pStyle w:val="Normal"/></w:pPr>
<w:r><w:t xml:space="preserve">AGRIPPA, HEROD, I. (c. 10 B.C.-A.D. 44), king of Judea,</w:t></w:r>
</w:p>
<w:p>
<w:pPr><w:pStyle w:val="Normal"/></w:pPr>
<w:r><w:t xml:space="preserve">the son of Aristobulus and Berenice, and grandson of Herod the</w:t></w:r>
</w:p>
<w:p>
<w:pPr><w:pStyle w:val="Normal"/></w:pPr>
<w:r><w:t xml:space="preserve">Great, was born about 10 B.C. His original name was Marcus</w:t></w:r>
</w:p>
<w:p>
<w:pPr><w:pStyle w:val="Normal"/></w:pPr>
<w:r><w:t xml:space="preserve">Julius Agrippa.  Josephus informs us that, after the murder</w:t></w:r>
</w:p>
<w:p>
<w:pPr><w:pStyle w:val="Normal"/></w:pPr>
<w:r><w:t xml:space="preserve">of his father, Herod the Great sent him to Rome to the court</w:t></w:r>
</w:p>
<w:p>
<w:pPr><w:pStyle w:val="Normal"/></w:pPr>
<w:r><w:t xml:space="preserve">of Tiberius, who conceived a great affection for him, and</w:t></w:r>
</w:p>
<w:p>
<w:pPr><w:pStyle w:val="Normal"/></w:pPr>
<w:r><w:t xml:space="preserve">placed him near his son Drusus, whose favour he very soon</w:t></w:r>
</w:p>
<w:p>
<w:pPr><w:pStyle w:val="Normal"/></w:pPr>
<w:r><w:t xml:space="preserve">won.  On the death of Drusus, Agrippa, who had been recklessly</w:t></w:r>
</w:p>
<w:p>
<w:pPr><w:pStyle w:val="Normal"/></w:pPr>
<w:r><w:t xml:space="preserve">extravagant, was obliged to leave Rome, overwhelmed with</w:t></w:r>
</w:p>
<w:p>
<w:pPr><w:pStyle w:val="Normal"/></w:pPr>
<w:r><w:t xml:space="preserve">debt.  After a brief seclusion, Herod the Tetrarch, his uncle,</w:t></w:r>
</w:p>
<w:p>
<w:pPr><w:pStyle w:val="Normal"/></w:pPr>
<w:r><w:t xml:space="preserve">who had married Herodias, his sister, made him Agoranomos</w:t></w:r>
</w:p>
<w:p>
<w:pPr><w:pStyle w:val="Normal"/></w:pPr>
<w:r><w:t xml:space="preserve">(Overseer of Markets) of Tiberias, and presented him with</w:t></w:r>
</w:p>
<w:p>
<w:pPr><w:pStyle w:val="Normal"/></w:pPr>
<w:r><w:t xml:space="preserve">a large sum of money; but his uncle being unwilling to</w:t></w:r>
</w:p>
<w:p>
<w:pPr><w:pStyle w:val="Normal"/></w:pPr>
<w:r><w:t xml:space="preserve">continue his support, Agrippa left Judea for Antioch and soon</w:t></w:r>
</w:p>
<w:p>
<w:pPr><w:pStyle w:val="Normal"/></w:pPr>
<w:r><w:t xml:space="preserve">after returned to Rome, where he was welcomed by Tiberius</w:t></w:r>
</w:p>
<w:p>
<w:pPr><w:pStyle w:val="Normal"/></w:pPr>
<w:r><w:t xml:space="preserve">and became the constant campanion of the emperor Gaius</w:t></w:r>
</w:p>
<w:p>
<w:pPr><w:pStyle w:val="Normal"/></w:pPr>
<w:r><w:t xml:space="preserve">(Caligula), then a popular favourite.  Agrippa being one</w:t></w:r>
</w:p>
<w:p>
<w:pPr><w:pStyle w:val="Normal"/></w:pPr>
<w:r><w:t xml:space="preserve">day overheard by Eutyches, a slave whom he had made free,</w:t></w:r>
</w:p>
<w:p>
<w:pPr><w:pStyle w:val="Normal"/></w:pPr>
<w:r><w:t xml:space="preserve">to express a wish for Tiberius&apos; death and the advancement of</w:t></w:r>
</w:p>
<w:p>
<w:pPr><w:pStyle w:val="Normal"/></w:pPr>
<w:r><w:t xml:space="preserve">Gaius, was betrayed to the emperor and cast into prison.</w:t></w:r>
</w:p>
<w:p>
<w:pPr><w:pStyle w:val="Normal"/></w:pPr>
<w:r><w:t xml:space="preserve">In A.D. 37 Caligula, having ascended the throne, heaped</w:t></w:r>
</w:p>
<w:p>
<w:pPr><w:pStyle w:val="Normal"/></w:pPr>
<w:r><w:t xml:space="preserve">wealth and favours upon Agrippa, set a royal diadem upon his</w:t></w:r>
</w:p>
<w:p>
<w:pPr><w:pStyle w:val="Normal"/></w:pPr>
<w:r><w:t xml:space="preserve">head and gave him the tetrarchy of Batanaea and Trachonitis,</w:t></w:r>
</w:p>
<w:p>
<w:pPr><w:pStyle w:val="Normal"/></w:pPr>
<w:r><w:t xml:space="preserve">which Philip, the son of Herod the Great, had formerly</w:t></w:r>
</w:p>
<w:p>
<w:pPr><w:pStyle w:val="Normal"/></w:pPr>
<w:r><w:t xml:space="preserve">possessed.  To this he added that held by Lysanias; and Agrippa</w:t></w:r>
</w:p>
<w:p>
<w:pPr><w:pStyle w:val="Normal"/></w:pPr>
<w:r><w:t xml:space="preserve">returned very soon into Judea to take possession of his new</w:t></w:r>
</w:p>
<w:p>
<w:pPr><w:pStyle w:val="Normal"/></w:pPr>
<w:r><w:t xml:space="preserve">kingdom.  In A.D. 39 he returned to Rome and brought</w:t></w:r>
</w:p>
<w:p>
<w:pPr><w:pStyle w:val="Normal"/></w:pPr>
<w:r><w:t xml:space="preserve">about the banishment of Herod Antipas, to whose tetrarchy he</w:t></w:r>
</w:p>
<w:p>
<w:pPr><w:pStyle w:val="Normal"/></w:pPr>
<w:r><w:t xml:space="preserve">succeeded.  On the assassination of Caligula (A.D. 41)</w:t></w:r>
</w:p>
<w:p>
<w:pPr><w:pStyle w:val="Normal"/></w:pPr>
<w:r><w:t xml:space="preserve">Agrippa contributed much by his advice to maintain Claudius</w:t></w:r>
</w:p>
<w:p>
<w:pPr><w:pStyle w:val="Normal"/></w:pPr>
<w:r><w:t xml:space="preserve">in possession of the imperial dignity, while he made a show</w:t></w:r>
</w:p>
<w:p>
<w:pPr><w:pStyle w:val="Normal"/></w:pPr>
<w:r><w:t xml:space="preserve">of being in the interest of the senate.  The emperor, in</w:t></w:r>
</w:p>
<w:p>
<w:pPr><w:pStyle w:val="Normal"/></w:pPr>
<w:r><w:t xml:space="preserve">acknowledgment, gave him the government of Judea, while the</w:t></w:r>
</w:p>
<w:p>
<w:pPr><w:pStyle w:val="Normal"/></w:pPr>
<w:r><w:t xml:space="preserve">kingdom of Chalcis in Lebanon was at his request given to</w:t></w:r>
</w:p>
<w:p>
<w:pPr><w:pStyle w:val="Normal"/></w:pPr>
<w:r><w:t xml:space="preserve">his brother Herod.  Thus Agrippa became one of the greatest</w:t></w:r>
</w:p>
<w:p>
<w:pPr><w:pStyle w:val="Normal"/></w:pPr>
<w:r><w:t xml:space="preserve">princes of the east, the territory he possessed equalling in</w:t></w:r>
</w:p>
<w:p>
<w:pPr><w:pStyle w:val="Normal"/></w:pPr>
<w:r><w:t xml:space="preserve">extent that held by Herod the Great.  He returned to Judea</w:t></w:r>
</w:p>
<w:p>
<w:pPr><w:pStyle w:val="Normal"/></w:pPr>
<w:r><w:t xml:space="preserve">and governed it to the great satisfaction of the Jews.  His</w:t></w:r>
</w:p>
<w:p>
<w:pPr><w:pStyle w:val="Normal"/></w:pPr>
<w:r><w:t xml:space="preserve">zeal, private and public, for Judaism is celebrated by</w:t></w:r>
</w:p>
<w:p>
<w:pPr><w:pStyle w:val="Normal"/></w:pPr>
<w:r><w:t xml:space="preserve">Josephus and the rabbis; and the narrative of Acts xii. gives</w:t></w:r>
</w:p>
<w:p>
<w:pPr><w:pStyle w:val="Normal"/></w:pPr>
<w:r><w:t xml:space="preserve">a typical example of it.  About the feast of the Passover</w:t></w:r>
</w:p>
<w:p>
<w:pPr><w:pStyle w:val="Normal"/></w:pPr>
<w:r><w:t xml:space="preserve">A.D. 44, James the elder, the son of Zebedee and brother</w:t></w:r>
</w:p>
<w:p>
<w:pPr><w:pStyle w:val="Normal"/></w:pPr>
<w:r><w:t xml:space="preserve">of John the evangelist, was seized by his order and put to</w:t></w:r>
</w:p>
<w:p>
<w:pPr><w:pStyle w:val="Normal"/></w:pPr>
<w:r><w:t xml:space="preserve">death.  He proceeded also to lay hands on Peter and imprisoned</w:t></w:r>
</w:p>
<w:p>
<w:pPr><w:pStyle w:val="Normal"/></w:pPr>
<w:r><w:t xml:space="preserve">him.  After the Passover he went to Caesarea, where he had</w:t></w:r>
</w:p>
<w:p>
<w:pPr><w:pStyle w:val="Normal"/></w:pPr>
<w:r><w:t xml:space="preserve">games performed in honour of Claudius, and the inhabitants of</w:t></w:r>
</w:p>
<w:p>
<w:pPr><w:pStyle w:val="Normal"/></w:pPr>
<w:r><w:t xml:space="preserve">Tyre and Sidon waited on him to sue for peace..  According to</w:t></w:r>
</w:p>
<w:p>
<w:pPr><w:pStyle w:val="Normal"/></w:pPr>
<w:r><w:t xml:space="preserve">the story in Acts xii., Agrippa, gorgeously arrayed, received</w:t></w:r>
</w:p>
<w:p>
<w:pPr><w:pStyle w:val="Normal"/></w:pPr>
<w:r><w:t xml:space="preserve">them in the theatre, and addressed them from a throne, while</w:t></w:r>
</w:p>
<w:p>
<w:pPr><w:pStyle w:val="Normal"/></w:pPr>
<w:r><w:t xml:space="preserve">the audience cried out that his was the voice of a god.  But</w:t></w:r>
</w:p>
<w:p>
<w:pPr><w:pStyle w:val="Normal"/></w:pPr>
<w:r><w:t xml:space="preserve">``the angel of the Lord smote him,&apos;&apos; and shortly afterwards</w:t></w:r>
</w:p>
<w:p>
<w:pPr><w:pStyle w:val="Normal"/></w:pPr>
<w:r><w:t xml:space="preserve">he died ``eaten of worms.&apos;&apos; The story in Acts differs slightly</w:t></w:r>
</w:p>
<w:p>
<w:pPr><w:pStyle w:val="Normal"/></w:pPr>
<w:r><w:t xml:space="preserve">from that in Josephus, who describes how in the midst of</w:t></w:r>
</w:p>
<w:p>
<w:pPr><w:pStyle w:val="Normal"/></w:pPr>
<w:r><w:t xml:space="preserve">his elation he saw an owl perched over his head.  During his</w:t></w:r>
</w:p>
<w:p>
<w:pPr><w:pStyle w:val="Normal"/></w:pPr>
<w:r><w:t xml:space="preserve">confinement by Tiberius a like omen had been interpreted as</w:t></w:r>
</w:p>
<w:p>
<w:pPr><w:pStyle w:val="Normal"/></w:pPr>
<w:r><w:t xml:space="preserve">portending his speedy release, with the warning that should</w:t></w:r>
</w:p>
<w:p>
<w:pPr><w:pStyle w:val="Normal"/></w:pPr>
<w:r><w:t xml:space="preserve">he behold the same sight again he would die within&apos; five</w:t></w:r>
</w:p>
<w:p>
<w:pPr><w:pStyle w:val="Normal"/></w:pPr>
<w:r><w:t xml:space="preserve">days.  He was immediately smitten with violent pains, and</w:t></w:r>
</w:p>
<w:p>
<w:pPr><w:pStyle w:val="Normal"/></w:pPr>
<w:r><w:t xml:space="preserve">after a few days died.  Josephus says nothing of his being</w:t></w:r>
</w:p>
<w:p>
<w:pPr><w:pStyle w:val="Normal"/></w:pPr>
<w:r><w:t xml:space="preserve">``eaten of worms,&apos;&apos; but the discrepancies between the two</w:t></w:r>
</w:p>
<w:p>
<w:pPr><w:pStyle w:val="Normal"/></w:pPr>
<w:r><w:t xml:space="preserve">stories are of slight moment.  A third account omits all the</w:t></w:r>
</w:p>
<w:p>
<w:pPr><w:pStyle w:val="Normal"/></w:pPr>
<w:r><w:t xml:space="preserve">apocryphal elements in the story and says that Agrippa was</w:t></w:r>
</w:p>
<w:p>
<w:pPr><w:pStyle w:val="Normal"/></w:pPr>
<w:r><w:t xml:space="preserve">assassinated by the Romans, who objected to his growing power.</w:t></w:r>
</w:p>
<w:p>
<w:pPr><w:pStyle w:val="Normal"/></w:pPr>
<w:r><w:t xml:space="preserve">See articles in Ency, Bibl. (W. J. Woodhouse),</w:t></w:r>
</w:p>
<w:p>
<w:pPr><w:pStyle w:val="Normal"/></w:pPr>
<w:r><w:t xml:space="preserve">Jewish Ency. (M. Brann), with further relerences; N.</w:t></w:r>
</w:p>
<w:p>
<w:pPr><w:pStyle w:val="Normal"/></w:pPr>
<w:r><w:t xml:space="preserve">S. Libowitz, Herod and Agrippa (New York, 2nd ed.,</w:t></w:r>
</w:p>
<w:p>
<w:pPr><w:pStyle w:val="Normal"/></w:pPr>
<w:r><w:t xml:space="preserve">1898); Gratz, Geschchte d.  Juden, iii. 318-361.</w:t></w:r>
</w:p>
<w:p>
<w:pPr><w:pStyle w:val="Normal"/></w:pPr>
<w:r><w:t xml:space="preserve">AGRIPPA, HEROD, II. (27-100), son of the preceding, and</w:t></w:r>
</w:p>
<w:p>
<w:pPr><w:pStyle w:val="Normal"/></w:pPr>
<w:r><w:t xml:space="preserve">like him originally Marcus Julius Agrippa, was born about</w:t></w:r>
</w:p>
<w:p>
<w:pPr><w:pStyle w:val="Normal"/></w:pPr>
<w:r><w:t xml:space="preserve">A.D. 27, and received the tetrarchy of Chalcis and the</w:t></w:r>
</w:p>
<w:p>
<w:pPr><w:pStyle w:val="Normal"/></w:pPr>
<w:r><w:t xml:space="preserve">oversight of the Temple on the death of his uncle Herod,</w:t></w:r>
</w:p>
<w:p>
<w:pPr><w:pStyle w:val="Normal"/></w:pPr>
<w:r><w:t xml:space="preserve">A.D. 48. In A.D. 53 he was deprived of that kingdom by</w:t></w:r>
</w:p>
<w:p>
<w:pPr><w:pStyle w:val="Normal"/></w:pPr>
<w:r><w:t xml:space="preserve">Claudius, who gave him other provinces instead of it.  In</w:t></w:r>
</w:p>
<w:p>
<w:pPr><w:pStyle w:val="Normal"/></w:pPr>
<w:r><w:t xml:space="preserve">the war which Vespasian carried on against the Jews Herod</w:t></w:r>
</w:p>
<w:p>
<w:pPr><w:pStyle w:val="Normal"/></w:pPr>
<w:r><w:t xml:space="preserve">sent him 2000 men, by which it appears that, though a Jew in</w:t></w:r>
</w:p>
<w:p>
<w:pPr><w:pStyle w:val="Normal"/></w:pPr>
<w:r><w:t xml:space="preserve">religion, he was yet entirely devoted to the Romans, whose</w:t></w:r>
</w:p>
<w:p>
<w:pPr><w:pStyle w:val="Normal"/></w:pPr>
<w:r><w:t xml:space="preserve">assistance indeed he required to secure the peace of his own</w:t></w:r>
</w:p>
<w:p>
<w:pPr><w:pStyle w:val="Normal"/></w:pPr>
<w:r><w:t xml:space="preserve">kingdom.  He died at Rome in the third year of . Trajan,</w:t></w:r>
</w:p>
<w:p>
<w:pPr><w:pStyle w:val="Normal"/></w:pPr>
<w:r><w:t xml:space="preserve">A.D. 100. He was the seventh and last king of the family of</w:t></w:r>
</w:p>
<w:p>
<w:pPr><w:pStyle w:val="Normal"/></w:pPr>
<w:r><w:t xml:space="preserve">Herod the Great.  It was before him and his sister Berenice</w:t></w:r>
</w:p>
<w:p>
<w:pPr><w:pStyle w:val="Normal"/></w:pPr>
<w:r><w:t xml:space="preserve">(q.v., B.2) that St Paul pleaded his cause at Caesarea (Acts</w:t></w:r>
</w:p>
<w:p>
<w:pPr><w:pStyle w:val="Normal"/></w:pPr>
<w:r><w:t xml:space="preserve">xxvi.).  He supplied Josephus with information for his history.</w:t></w:r>
</w:p>
<w:p>
<w:pPr><w:pStyle w:val="Normal"/></w:pPr>
<w:r><w:t xml:space="preserve">AGRIPPA, MARCUS VIPSANIUS (63-12 P.C.), Roman statesman and</w:t></w:r>
</w:p>
<w:p>
<w:pPr><w:pStyle w:val="Normal"/></w:pPr>
<w:r><w:t xml:space="preserve">general, son-in-law and minister of the emperor Augustus,</w:t></w:r>
</w:p>
<w:p>
<w:pPr><w:pStyle w:val="Normal"/></w:pPr>
<w:r><w:t xml:space="preserve">was of humble origin.  He was of the same age as Octavian</w:t></w:r>
</w:p>
<w:p>
<w:pPr><w:pStyle w:val="Normal"/></w:pPr>
<w:r><w:t xml:space="preserve">(as the emperor was then called), and was studying with him</w:t></w:r>
</w:p>
<w:p>
<w:pPr><w:pStyle w:val="Normal"/></w:pPr>
<w:r><w:t xml:space="preserve">at Apollonia when news of Julius Caesar&apos;s assassination (44)</w:t></w:r>
</w:p>
<w:p>
<w:pPr><w:pStyle w:val="Normal"/></w:pPr>
<w:r><w:t xml:space="preserve">arrived.  By his advice Octavian at once set out for Rome.</w:t></w:r>
</w:p>
<w:p>
<w:pPr><w:pStyle w:val="Normal"/></w:pPr>
<w:r><w:t xml:space="preserve">Agrippa played a conspicuous part in the war against Lucius, .</w:t></w:r>
</w:p>
<w:p>
<w:pPr><w:pStyle w:val="Normal"/></w:pPr>
<w:r><w:t xml:space="preserve">brother of Mark Antony, which ended in the capture of Perusia</w:t></w:r>
</w:p>
<w:p>
<w:pPr><w:pStyle w:val="Normal"/></w:pPr>
<w:r><w:t xml:space="preserve">(40).  Two years later he put down a rising of the Aquitallians</w:t></w:r>
</w:p>
<w:p>
<w:pPr><w:pStyle w:val="Normal"/></w:pPr>
<w:r><w:t xml:space="preserve">in Gaul, and crossed the Rhine to punish the aggressions of the</w:t></w:r>
</w:p>
<w:p>
<w:pPr><w:pStyle w:val="Normal"/></w:pPr>
<w:r><w:t xml:space="preserve">Germans.  On his return he refused a triumph but accepted</w:t></w:r>
</w:p>
<w:p>
<w:pPr><w:pStyle w:val="Normal"/></w:pPr>
<w:r><w:t xml:space="preserve">the consulship (37).  At this time Sextus Pompeius, with whom</w:t></w:r>
</w:p>
<w:p>
<w:pPr><w:pStyle w:val="Normal"/></w:pPr>
<w:r><w:t xml:space="preserve">war was imminent, had command of the sea on the coasts of</w:t></w:r>
</w:p>
<w:p>
<w:pPr><w:pStyle w:val="Normal"/></w:pPr>
<w:r><w:t xml:space="preserve">Italy.  Agrippa&apos;s first care was to provide a safe harbour</w:t></w:r>
</w:p>
<w:p>
<w:pPr><w:pStyle w:val="Normal"/></w:pPr>
<w:r><w:t xml:space="preserve">for his ships, which he accomplished by cutting through the</w:t></w:r>
</w:p>
<w:p>
<w:pPr><w:pStyle w:val="Normal"/></w:pPr>
<w:r><w:t xml:space="preserve">strips of land which separated the Lacus Lucrinus from the</w:t></w:r>
</w:p>
<w:p>
<w:pPr><w:pStyle w:val="Normal"/></w:pPr>
<w:r><w:t xml:space="preserve">sea, thus forming an outer harbour; an inner one was also</w:t></w:r>
</w:p>
<w:p>
<w:pPr><w:pStyle w:val="Normal"/></w:pPr>
<w:r><w:t xml:space="preserve">made by joining the lake Avernus to the Lucrinus (Dio Cassius</w:t></w:r>
</w:p>
<w:p>
<w:pPr><w:pStyle w:val="Normal"/></w:pPr>
<w:r><w:t xml:space="preserve">xlviii. 49; Pliny, Nat. Hist. xxxvi. 24). About this time</w:t></w:r>
</w:p>
<w:p>
<w:pPr><w:pStyle w:val="Normal"/></w:pPr>
<w:r><w:t xml:space="preserve">Agrippa married Pomponia, daughter of Cicero&apos;s friend Pomponius</w:t></w:r>
</w:p>
<w:p>
<w:pPr><w:pStyle w:val="Normal"/></w:pPr>
<w:r><w:t xml:space="preserve">Atticus.  Having been appointed naval commander-in-chief he</w:t></w:r>
</w:p>
<w:p>
<w:pPr><w:pStyle w:val="Normal"/></w:pPr>
<w:r><w:t xml:space="preserve">put his crews through a course of training, until he felt</w:t></w:r>
</w:p>
<w:p>
<w:pPr><w:pStyle w:val="Normal"/></w:pPr>
<w:r><w:t xml:space="preserve">in a position to meet the fleet of Pompeius.  In 36 he was</w:t></w:r>
</w:p>
<w:p>
<w:pPr><w:pStyle w:val="Normal"/></w:pPr>
<w:r><w:t xml:space="preserve">victorious at Mylae and Naulochus, and received the honour</w:t></w:r>
</w:p>
<w:p>
<w:pPr><w:pStyle w:val="Normal"/></w:pPr>
<w:r><w:t xml:space="preserve">of a naval crown for his services.  In 33 he was chosen</w:t></w:r>
</w:p>
<w:p>
<w:pPr><w:pStyle w:val="Normal"/></w:pPr>
<w:r><w:t xml:space="preserve">aedile and signalized his tenure of office by effecting great</w:t></w:r>
</w:p>
<w:p>
<w:pPr><w:pStyle w:val="Normal"/></w:pPr>
<w:r><w:t xml:space="preserve">improvements in the city of Rome, restoring and building</w:t></w:r>
</w:p>
<w:p>
<w:pPr><w:pStyle w:val="Normal"/></w:pPr>
<w:r><w:t xml:space="preserve">aqueducts, enlarging and cleansing the sewers, and constructing</w:t></w:r>
</w:p>
<w:p>
<w:pPr><w:pStyle w:val="Normal"/></w:pPr>
<w:r><w:t xml:space="preserve">baths and porticos, and laying out gardens.  He also first</w:t></w:r>
</w:p>
<w:p>
<w:pPr><w:pStyle w:val="Normal"/></w:pPr>
<w:r><w:t xml:space="preserve">gave a stimulus to the public exhibition of works of art.</w:t></w:r>
</w:p>
<w:p>
<w:pPr><w:pStyle w:val="Normal"/></w:pPr>
<w:r><w:t xml:space="preserve">The emperor&apos;s boast that he had found the city of brick but</w:t></w:r>
</w:p>
<w:p>
<w:pPr><w:pStyle w:val="Normal"/></w:pPr>
<w:r><w:t xml:space="preserve">left it of marble (``marmoream se relinquere, quam latericiam</w:t></w:r>
</w:p>
<w:p>
<w:pPr><w:pStyle w:val="Normal"/></w:pPr>
<w:r><w:t xml:space="preserve">accepisset,&apos;&apos; Suet. Aug. 29) might with greater propriety</w:t></w:r>
</w:p>
<w:p>
<w:pPr><w:pStyle w:val="Normal"/></w:pPr>
<w:r><w:t xml:space="preserve">have been uttered by Agrippa.  He was again called away to</w:t></w:r>
</w:p>
<w:p>
<w:pPr><w:pStyle w:val="Normal"/></w:pPr>
<w:r><w:t xml:space="preserve">take command of the fleet when the war with Antony broke</w:t></w:r>
</w:p>
<w:p>
<w:pPr><w:pStyle w:val="Normal"/></w:pPr>
<w:r><w:t xml:space="preserve">out.  The victory at Actium (31), which gave the mastery of</w:t></w:r>
</w:p>
<w:p>
<w:pPr><w:pStyle w:val="Normal"/></w:pPr>
<w:r><w:t xml:space="preserve">Rome and the empire of the world to Octavian, was mainly due to</w:t></w:r>
</w:p>
<w:p>
<w:pPr><w:pStyle w:val="Normal"/></w:pPr>
<w:r><w:t xml:space="preserve">Agrippa.  As a token of signal regard Octavian bestowed upon</w:t></w:r>
</w:p>
<w:p>
<w:pPr><w:pStyle w:val="Normal"/></w:pPr>
<w:r><w:t xml:space="preserve">him the hand of his niece Marcella (28).  We must suppose</w:t></w:r>
</w:p>
<w:p>
<w:pPr><w:pStyle w:val="Normal"/></w:pPr>
<w:r><w:t xml:space="preserve">that his wife Pomponia was either dead or divorced.  In 27</w:t></w:r>
</w:p>
<w:p>
<w:pPr><w:pStyle w:val="Normal"/></w:pPr>
<w:r><w:t xml:space="preserve">Agrippa was consul for the third time, and in the following</w:t></w:r>
</w:p>
<w:p>
<w:pPr><w:pStyle w:val="Normal"/></w:pPr>
<w:r><w:t xml:space="preserve">year the senate bestowed upon Octavian the emperial title of</w:t></w:r>
</w:p>
<w:p>
<w:pPr><w:pStyle w:val="Normal"/></w:pPr>
<w:r><w:t xml:space="preserve">Augustus.  Probably in commemoration of the battle of Actium,</w:t></w:r>
</w:p>
<w:p>
<w:pPr><w:pStyle w:val="Normal"/></w:pPr>
<w:r><w:t xml:space="preserve">Agrippa built and dedicated the Pantheum still in existence as La</w:t></w:r>
</w:p>
<w:p>
<w:pPr><w:pStyle w:val="Normal"/></w:pPr>
<w:r><w:t xml:space="preserve">Rotonda.  The inscription on the portico states that it was</w:t></w:r>
</w:p>
<w:p>
<w:pPr><w:pStyle w:val="Normal"/></w:pPr>
<w:r><w:t xml:space="preserve">erected by him during his third consulship.  His friendship</w:t></w:r>
</w:p>
<w:p>
<w:pPr><w:pStyle w:val="Normal"/></w:pPr>
<w:r><w:t xml:space="preserve">with Augustus seems to have been clouded by the jealousy of</w:t></w:r>
</w:p>
<w:p>
<w:pPr><w:pStyle w:val="Normal"/></w:pPr>
<w:r><w:t xml:space="preserve">his father-in-law Marcellus, which was probably fomented by</w:t></w:r>
</w:p>
<w:p>
<w:pPr><w:pStyle w:val="Normal"/></w:pPr>
<w:r><w:t xml:space="preserve">the intrigues of Livia, the second wife of Augustus, who feared</w:t></w:r>
</w:p>
<w:p>
<w:pPr><w:pStyle w:val="Normal"/></w:pPr>
<w:r><w:t xml:space="preserve">his influence with her husband.  The result was that Agrippa</w:t></w:r>
</w:p>
<w:p>
<w:pPr><w:pStyle w:val="Normal"/></w:pPr>
<w:r><w:t xml:space="preserve">left Rome, ostensibly to take over the governorship of Syria</w:t></w:r>
</w:p>
<w:p>
<w:pPr><w:pStyle w:val="Normal"/></w:pPr>
<w:r><w:t xml:space="preserve">--a sort of honourable exile; but as a matter of fact he only</w:t></w:r>
</w:p>
<w:p>
<w:pPr><w:pStyle w:val="Normal"/></w:pPr>
<w:r><w:t xml:space="preserve">sent his legate to the East, while he himself remained at</w:t></w:r>
</w:p>
<w:p>
<w:pPr><w:pStyle w:val="Normal"/></w:pPr>
<w:r><w:t xml:space="preserve">Lesbos.  On the death of Marcellus, which took place within a</w:t></w:r>
</w:p>
<w:p>
<w:pPr><w:pStyle w:val="Normal"/></w:pPr>
<w:r><w:t xml:space="preserve">year, he was recalled to Rome by Augustus, who found he could</w:t></w:r>
</w:p>
<w:p>
<w:pPr><w:pStyle w:val="Normal"/></w:pPr>
<w:r><w:t xml:space="preserve">not dispense with his services.  It is said that by the advice</w:t></w:r>
</w:p>
<w:p>
<w:pPr><w:pStyle w:val="Normal"/></w:pPr>
<w:r><w:t xml:space="preserve">of Maecenas he resolved to attach Agrippa still more closely</w:t></w:r>
</w:p>
<w:p>
<w:pPr><w:pStyle w:val="Normal"/></w:pPr>
<w:r><w:t xml:space="preserve">to him by making him his son-in-law.  He accordingly induced</w:t></w:r>
</w:p>
<w:p>
<w:pPr><w:pStyle w:val="Normal"/></w:pPr>
<w:r><w:t xml:space="preserve">him to divorce Marcella and marry his daughter Julia (21),</w:t></w:r>
</w:p>
<w:p>
<w:pPr><w:pStyle w:val="Normal"/></w:pPr>
<w:r><w:t xml:space="preserve">the widow of Marcellus, equally celebrated for her beauty</w:t></w:r>
</w:p>
<w:p>
<w:pPr><w:pStyle w:val="Normal"/></w:pPr>
<w:r><w:t xml:space="preserve">and abilities and her shameless profligacy.  In 19 Agrippa</w:t></w:r>
</w:p>
<w:p>
<w:pPr><w:pStyle w:val="Normal"/></w:pPr>
<w:r><w:t xml:space="preserve">was employed in putting down a rising of the Cantabrians in</w:t></w:r>
</w:p>
<w:p>
<w:pPr><w:pStyle w:val="Normal"/></w:pPr>
<w:r><w:t xml:space="preserve">Spain.  He was appointed governor of Syria a second time</w:t></w:r>
</w:p>
<w:p>
<w:pPr><w:pStyle w:val="Normal"/></w:pPr>
<w:r><w:t xml:space="preserve">(17), where his just and prudent administration won him the</w:t></w:r>
</w:p>
<w:p>
<w:pPr><w:pStyle w:val="Normal"/></w:pPr>
<w:r><w:t xml:space="preserve">respect and good-will of the provincials, especially the Hebrew</w:t></w:r>
</w:p>
<w:p>
<w:pPr><w:pStyle w:val="Normal"/></w:pPr>
<w:r><w:t xml:space="preserve">population.  His last public service was the bloodless</w:t></w:r>
</w:p>
<w:p>
<w:pPr><w:pStyle w:val="Normal"/></w:pPr>
<w:r><w:t xml:space="preserve">suppression of an insurrection in Pannonia (13).  He died</w:t></w:r>
</w:p>
<w:p>
<w:pPr><w:pStyle w:val="Normal"/></w:pPr>
<w:r><w:t xml:space="preserve">at Campania in March of the year following his fifty-first</w:t></w:r>
</w:p>
<w:p>
<w:pPr><w:pStyle w:val="Normal"/></w:pPr>
<w:r><w:t xml:space="preserve">year.  Augustus honoured his memory by a magnificent funeral.</w:t></w:r>
</w:p>
<w:p>
<w:pPr><w:pStyle w:val="Normal"/></w:pPr>
<w:r><w:t xml:space="preserve">Agrippa was also known as a writer, especially on</w:t></w:r>
</w:p>
<w:p>
<w:pPr><w:pStyle w:val="Normal"/></w:pPr>
<w:r><w:t xml:space="preserve">geography.  Under his supervision Julius Caesar&apos;s design</w:t></w:r>
</w:p>
<w:p>
<w:pPr><w:pStyle w:val="Normal"/></w:pPr>
<w:r><w:t xml:space="preserve">of having a complete survey of the empire made was carried</w:t></w:r>
</w:p>
<w:p>
<w:pPr><w:pStyle w:val="Normal"/></w:pPr>
<w:r><w:t xml:space="preserve">out.  From the materials at hand he constructed a circular</w:t></w:r>
</w:p>
<w:p>
<w:pPr><w:pStyle w:val="Normal"/></w:pPr>
<w:r><w:t xml:space="preserve">chart, which was engraved on marble by Augustus and afterwards</w:t></w:r>
</w:p>
<w:p>
<w:pPr><w:pStyle w:val="Normal"/></w:pPr>
<w:r><w:t xml:space="preserve">placed in the colonnade built by his sister Polla.  Amongst</w:t></w:r>
</w:p>
<w:p>
<w:pPr><w:pStyle w:val="Normal"/></w:pPr>
<w:r><w:t xml:space="preserve">his writings an autobiography, now lost, is referred</w:t></w:r>
</w:p>
<w:p>
<w:pPr><w:pStyle w:val="Normal"/></w:pPr>
<w:r><w:t xml:space="preserve">to.  Agrippa left several children; by Pomponia, a daughter</w:t></w:r>
</w:p>
<w:p>
<w:pPr><w:pStyle w:val="Normal"/></w:pPr>
<w:r><w:t xml:space="preserve">Vipsania, who became the wife of the emperor Tiberius; by Julia</w:t></w:r>
</w:p>
<w:p>
<w:pPr><w:pStyle w:val="Normal"/></w:pPr>
<w:r><w:t xml:space="preserve">three sons, Gaius and Lucius Caesar and Agrippa Postumus, and</w:t></w:r>
</w:p>
<w:p>
<w:pPr><w:pStyle w:val="Normal"/></w:pPr>
<w:r><w:t xml:space="preserve">two daughters, Agrippina the elder, afterwards the wife of</w:t></w:r>
</w:p>
<w:p>
<w:pPr><w:pStyle w:val="Normal"/></w:pPr>
<w:r><w:t xml:space="preserve">Germanicus, and Julia, who married Lucius Aemihus Pauilus.</w:t></w:r>
</w:p>
<w:p>
<w:pPr><w:pStyle w:val="Normal"/></w:pPr>
<w:r><w:t xml:space="preserve">See Dio Cassius xlix.-liv.; Suetonius, Augustus; Velleius</w:t></w:r>
</w:p>
<w:p>
<w:pPr><w:pStyle w:val="Normal"/></w:pPr>
<w:r><w:t xml:space="preserve">Paternulus ii.; Josephus, Antiq.  Jud. xv. 10, xvi. 2;</w:t></w:r>
</w:p>
<w:p>
<w:pPr><w:pStyle w:val="Normal"/></w:pPr>
<w:r><w:t xml:space="preserve">Turnbull, Three Dissertations, one of the characters of</w:t></w:r>
</w:p>
<w:p>
<w:pPr><w:pStyle w:val="Normal"/></w:pPr>
<w:r><w:t xml:space="preserve">Horace, Augustus and Agrippa (1740); Frandsen, Marcus</w:t></w:r>
</w:p>
<w:p>
<w:pPr><w:pStyle w:val="Normal"/></w:pPr>
<w:r><w:t xml:space="preserve">Vipsanius Agrippa (1836); Motte, Etude sur Marcus</w:t></w:r>
</w:p>
<w:p>
<w:pPr><w:pStyle w:val="Normal"/></w:pPr>
<w:r><w:t xml:space="preserve">Agrippa (1872); Nispi-Landi, Marcus Agrippa e suoi</w:t></w:r>
</w:p>
<w:p>
<w:pPr><w:pStyle w:val="Normal"/></w:pPr>
<w:r><w:t xml:space="preserve">tempi (1901); D. Detlefsen, Ursprung, Einrichtung und</w:t></w:r>
</w:p>
<w:p>
<w:pPr><w:pStyle w:val="Normal"/></w:pPr>
<w:r><w:t xml:space="preserve">Bedeutung der Erdkarte Agrippas (1906); V. Gardthausen,</w:t></w:r>
</w:p>
<w:p>
<w:pPr><w:pStyle w:val="Normal"/></w:pPr>
<w:r><w:t xml:space="preserve">Augustus und seine Zeit, vol. i. 762 foll., ii. 432 foll.</w:t></w:r>
</w:p>
<w:p>
<w:pPr><w:pStyle w:val="Normal"/></w:pPr>
<w:r><w:t xml:space="preserve">AGRIPPA VON NETTESHEIM, HENRY CORNELIUS (1486-1535) German</w:t></w:r>
</w:p>
<w:p>
<w:pPr><w:pStyle w:val="Normal"/></w:pPr>
<w:r><w:t xml:space="preserve">writer, soldier, physician, and by common reputation a magician,</w:t></w:r>
</w:p>
<w:p>
<w:pPr><w:pStyle w:val="Normal"/></w:pPr>
<w:r><w:t xml:space="preserve">belonged to a family many members of which had been in the</w:t></w:r>
</w:p>
<w:p>
<w:pPr><w:pStyle w:val="Normal"/></w:pPr>
<w:r><w:t xml:space="preserve">service of the house of Habsburg, and was born at Cologne on</w:t></w:r>
</w:p>
<w:p>
<w:pPr><w:pStyle w:val="Normal"/></w:pPr>
<w:r><w:t xml:space="preserve">the 14th of September 1486.  The details of his early life are</w:t></w:r>
</w:p>
<w:p>
<w:pPr><w:pStyle w:val="Normal"/></w:pPr>
<w:r><w:t xml:space="preserve">somewhat obscure, but he appears to have obtained a knowledge</w:t></w:r>
</w:p>
<w:p>
<w:pPr><w:pStyle w:val="Normal"/></w:pPr>
<w:r><w:t xml:space="preserve">of eight languages, to have studied at the university of</w:t></w:r>
</w:p>
<w:p>
<w:pPr><w:pStyle w:val="Normal"/></w:pPr>
<w:r><w:t xml:space="preserve">Cologne and to have passed some time in France.  When quite</w:t></w:r>
</w:p>
<w:p>
<w:pPr><w:pStyle w:val="Normal"/></w:pPr>
<w:r><w:t xml:space="preserve">young he entered the service of the German king, Maximilian</w:t></w:r>
</w:p>
<w:p>
<w:pPr><w:pStyle w:val="Normal"/></w:pPr>
<w:r><w:t xml:space="preserve">I., and in 1508 was engaged in an adventurous enterprise in</w:t></w:r>
</w:p>
<w:p>
<w:pPr><w:pStyle w:val="Normal"/></w:pPr>
<w:r><w:t xml:space="preserve">Catalonia.  He probably served Maximilian both as soldier</w:t></w:r>
</w:p>
<w:p>
<w:pPr><w:pStyle w:val="Normal"/></w:pPr>
<w:r><w:t xml:space="preserve">and as secretary, but his wonderful and varied genius was not</w:t></w:r>
</w:p>
<w:p>
<w:pPr><w:pStyle w:val="Normal"/></w:pPr>
<w:r><w:t xml:space="preserve">satisfied with these occupations, and he soon began to take</w:t></w:r>
</w:p>
<w:p>
<w:pPr><w:pStyle w:val="Normal"/></w:pPr>
<w:r><w:t xml:space="preserve">a lively interest in theosophy and magic.  In 1509 he went to</w:t></w:r>
</w:p>
<w:p>
<w:pPr><w:pStyle w:val="Normal"/></w:pPr>
<w:r><w:t xml:space="preserve">the university of Dole, where he lectured on John Reuchlin&apos;s</w:t></w:r>
</w:p>
<w:p>
<w:pPr><w:pStyle w:val="Normal"/></w:pPr>
<w:r><w:t xml:space="preserve">De Verbo Mirifico, but his teaching soon caused charges</w:t></w:r>
</w:p>
<w:p>
<w:pPr><w:pStyle w:val="Normal"/></w:pPr>
<w:r><w:t xml:space="preserve">of heresy to be brought against him, and he was denounced</w:t></w:r>
</w:p>
<w:p>
<w:pPr><w:pStyle w:val="Normal"/></w:pPr>
<w:r><w:t xml:space="preserve">by a monk named John Catilinet in lectures delivered at</w:t></w:r>
</w:p>
<w:p>
<w:pPr><w:pStyle w:val="Normal"/></w:pPr>
<w:r><w:t xml:space="preserve">Ghent.  As a result Agrippa was compelled to leave Dole;</w:t></w:r>
</w:p>
<w:p>
<w:pPr><w:pStyle w:val="Normal"/></w:pPr>
<w:r><w:t xml:space="preserve">proceeding to the Netherlands he took service again with</w:t></w:r>
</w:p>
<w:p>
<w:pPr><w:pStyle w:val="Normal"/></w:pPr>
<w:r><w:t xml:space="preserve">Maximilian.  In 1510 the king sent him on a diplomatic mission</w:t></w:r>
</w:p>
<w:p>
<w:pPr><w:pStyle w:val="Normal"/></w:pPr>
<w:r><w:t xml:space="preserve">to England, where he was the guest of Colet, dean of St Paul&apos;s,</w:t></w:r>
</w:p>
<w:p>
<w:pPr><w:pStyle w:val="Normal"/></w:pPr>
<w:r><w:t xml:space="preserve">and where he replied to the accusations brought against him by</w:t></w:r>
</w:p>
<w:p>
<w:pPr><w:pStyle w:val="Normal"/></w:pPr>
<w:r><w:t xml:space="preserve">Catilinet.  Returning to Cologne he followed Maximilian to</w:t></w:r>
</w:p>
<w:p>
<w:pPr><w:pStyle w:val="Normal"/></w:pPr>
<w:r><w:t xml:space="preserve">Italy in 1511, and as a theologian attended the council of</w:t></w:r>
</w:p>
<w:p>
<w:pPr><w:pStyle w:val="Normal"/></w:pPr>
<w:r><w:t xml:space="preserve">Pisa, which was called by some cardinals in opposition to a</w:t></w:r>
</w:p>
<w:p>
<w:pPr><w:pStyle w:val="Normal"/></w:pPr>
<w:r><w:t xml:space="preserve">council called by Pope Julius II. He remained in Italy for</w:t></w:r>
</w:p>
<w:p>
<w:pPr><w:pStyle w:val="Normal"/></w:pPr>
<w:r><w:t xml:space="preserve">seven years, partly in the service of William VI., marquis of</w:t></w:r>
</w:p>
<w:p>
<w:pPr><w:pStyle w:val="Normal"/></w:pPr>
<w:r><w:t xml:space="preserve">Monferrato, and partly in that of Charles III., duke of Savoy,</w:t></w:r>
</w:p>
<w:p>
<w:pPr><w:pStyle w:val="Normal"/></w:pPr>
<w:r><w:t xml:space="preserve">probably occupied in teaching theology and practising medicine.</w:t></w:r>
</w:p>
<w:p>
<w:pPr><w:pStyle w:val="Normal"/></w:pPr>
<w:r><w:t xml:space="preserve">In 1515 he lectured at the university of Pavia on the Pimander</w:t></w:r>
</w:p>
<w:p>
<w:pPr><w:pStyle w:val="Normal"/></w:pPr>
<w:r><w:t xml:space="preserve">of Hermes Trismegistus, but these lectures were abruptly</w:t></w:r>
</w:p>
<w:p>
<w:pPr><w:pStyle w:val="Normal"/></w:pPr>
<w:r><w:t xml:space="preserve">terminated owing to the victories of Francis I., king of</w:t></w:r>
</w:p>
<w:p>
<w:pPr><w:pStyle w:val="Normal"/></w:pPr>
<w:r><w:t xml:space="preserve">France.  In 1518 the efforts of one or other of his patrons</w:t></w:r>
</w:p>
<w:p>
<w:pPr><w:pStyle w:val="Normal"/></w:pPr>
<w:r><w:t xml:space="preserve">secured for Agrippa the position of town advocate and orator,</w:t></w:r>
</w:p>
<w:p>
<w:pPr><w:pStyle w:val="Normal"/></w:pPr>
<w:r><w:t xml:space="preserve">or syndic, at Metz.  Here, as at Dole, his opinions soon</w:t></w:r>
</w:p>
<w:p>
<w:pPr><w:pStyle w:val="Normal"/></w:pPr>
<w:r><w:t xml:space="preserve">brought him into collision with the monks, and his defence</w:t></w:r>
</w:p>
<w:p>
<w:pPr><w:pStyle w:val="Normal"/></w:pPr>
<w:r><w:t xml:space="preserve">of a woman accused of witchcraft involved him in a dispute</w:t></w:r>
</w:p>
<w:p>
<w:pPr><w:pStyle w:val="Normal"/></w:pPr>
<w:r><w:t xml:space="preserve">with the inquisitor, Nicholas Savin.  The consequence of</w:t></w:r>
</w:p>
<w:p>
<w:pPr><w:pStyle w:val="Normal"/></w:pPr>
<w:r><w:t xml:space="preserve">this was that in 1520 he resigned his office and returned to</w:t></w:r>
</w:p>
<w:p>
<w:pPr><w:pStyle w:val="Normal"/></w:pPr>
<w:r><w:t xml:space="preserve">Cologne, where he stayed about two years.  He then practised</w:t></w:r>
</w:p>
<w:p>
<w:pPr><w:pStyle w:val="Normal"/></w:pPr>
<w:r><w:t xml:space="preserve">for a short time as a physician at Geneva and Freiburg,</w:t></w:r>
</w:p>
<w:p>
<w:pPr><w:pStyle w:val="Normal"/></w:pPr>
<w:r><w:t xml:space="preserve">but in 1524 went to Lyons on being appointed physician to</w:t></w:r>
</w:p>
<w:p>
<w:pPr><w:pStyle w:val="Normal"/></w:pPr>
<w:r><w:t xml:space="preserve">Louise of Savoy, mother of Francis I. In 1528 he gave up this</w:t></w:r>
</w:p>
<w:p>
<w:pPr><w:pStyle w:val="Normal"/></w:pPr>
<w:r><w:t xml:space="preserve">position, and about this time was invited to take part in</w:t></w:r>
</w:p>
<w:p>
<w:pPr><w:pStyle w:val="Normal"/></w:pPr>
<w:r><w:t xml:space="preserve">the dispute over the legality of the divorce of Catherine</w:t></w:r>
</w:p>
<w:p>
<w:pPr><w:pStyle w:val="Normal"/></w:pPr>
<w:r><w:t xml:space="preserve">of Aragon by Henry VIII.; but he preferred an offer made by</w:t></w:r>
</w:p>
<w:p>
<w:pPr><w:pStyle w:val="Normal"/></w:pPr>
<w:r><w:t xml:space="preserve">Margaret, duchess of Savoy and regent of the Netherlands, and</w:t></w:r>
</w:p>
<w:p>
<w:pPr><w:pStyle w:val="Normal"/></w:pPr>
<w:r><w:t xml:space="preserve">became archivist and historiographer to the emperor Charles</w:t></w:r>
</w:p>
<w:p>
<w:pPr><w:pStyle w:val="Heading1"/></w:pPr>
<w:r><w:t>V. Margaret&apos;s death in 1530 weakened his position, and the</w:t></w:r>
</w:p>
<w:p>
<w:pPr><w:pStyle w:val="Normal"/></w:pPr>
<w:r><w:t xml:space="preserve">publication of some of his writings about the same time aroused</w:t></w:r>
</w:p>
<w:p>
<w:pPr><w:pStyle w:val="Normal"/></w:pPr>
<w:r><w:t xml:space="preserve">anew the hatred of his enemies; but after suffering a short</w:t></w:r>
</w:p>
<w:p>
<w:pPr><w:pStyle w:val="Normal"/></w:pPr>
<w:r><w:t xml:space="preserve">imprisonment for debt at Brussels he lived at Cologne and</w:t></w:r>
</w:p>
<w:p>
<w:pPr><w:pStyle w:val="Normal"/></w:pPr>
<w:r><w:t xml:space="preserve">Bonn, under the protection of Hermann of Wied, archbishop of</w:t></w:r>
</w:p>
<w:p>
<w:pPr><w:pStyle w:val="Normal"/></w:pPr>
<w:r><w:t xml:space="preserve">Cologne.  By publishing his works he brought himself into</w:t></w:r>
</w:p>
<w:p>
<w:pPr><w:pStyle w:val="Normal"/></w:pPr>
<w:r><w:t xml:space="preserve">antagonism with the Inquisition, which sought to stop</w:t></w:r>
</w:p>
<w:p>
<w:pPr><w:pStyle w:val="Normal"/></w:pPr>
<w:r><w:t xml:space="preserve">the printing of De occulta philosophia. He then went to</w:t></w:r>
</w:p>
<w:p>
<w:pPr><w:pStyle w:val="Normal"/></w:pPr>
<w:r><w:t xml:space="preserve">France, where he was arrested by order of Francis I. for</w:t></w:r>
</w:p>
<w:p>
<w:pPr><w:pStyle w:val="Normal"/></w:pPr>
<w:r><w:t xml:space="preserve">some disparaging words about the queen-mother; but he was</w:t></w:r>
</w:p>
<w:p>
<w:pPr><w:pStyle w:val="Normal"/></w:pPr>
<w:r><w:t xml:space="preserve">soon released, and on the 18th of February 1535 died at</w:t></w:r>
</w:p>
<w:p>
<w:pPr><w:pStyle w:val="Normal"/></w:pPr>
<w:r><w:t xml:space="preserve">Grenoble.  He was married three times and had a large</w:t></w:r>
</w:p>
<w:p>
<w:pPr><w:pStyle w:val="Normal"/></w:pPr>
<w:r><w:t xml:space="preserve">family.  Agrippa was a man of great ability and undoubted</w:t></w:r>
</w:p>
<w:p>
<w:pPr><w:pStyle w:val="Normal"/></w:pPr>
<w:r><w:t xml:space="preserve">courage, but he lacked perseverance and was himself responsible</w:t></w:r>
</w:p>
<w:p>
<w:pPr><w:pStyle w:val="Normal"/></w:pPr>
<w:r><w:t xml:space="preserve">for many of his misfortunes.  In spite of his inquiring</w:t></w:r>
</w:p>
<w:p>
<w:pPr><w:pStyle w:val="Normal"/></w:pPr>
<w:r><w:t xml:space="preserve">nature and his delight in novelty, he remained a Catholic, and</w:t></w:r>
</w:p>
<w:p>
<w:pPr><w:pStyle w:val="Normal"/></w:pPr>
<w:r><w:t xml:space="preserve">had scant sympathy with the teaching of the reformers.  His</w:t></w:r>
</w:p>
<w:p>
<w:pPr><w:pStyle w:val="Normal"/></w:pPr>
<w:r><w:t xml:space="preserve">memory was nevertheless long defamed in the writings of the</w:t></w:r>
</w:p>
<w:p>
<w:pPr><w:pStyle w:val="Normal"/></w:pPr>
<w:r><w:t xml:space="preserve">monks, who placed a malignant inscription over his grave.</w:t></w:r>
</w:p>
<w:p>
<w:pPr><w:pStyle w:val="Normal"/></w:pPr>
<w:r><w:t xml:space="preserve">Agrippa&apos;s work, De occulta philosophia, was written about</w:t></w:r>
</w:p>
<w:p>
<w:pPr><w:pStyle w:val="Normal"/></w:pPr>
<w:r><w:t xml:space="preserve">1510, partly under the influence of the author&apos;s friend, John</w:t></w:r>
</w:p>
<w:p>
<w:pPr><w:pStyle w:val="Normal"/></w:pPr>
<w:r><w:t xml:space="preserve">Trithemius, abbot of Wurzburg, but its publication was delayed</w:t></w:r>
</w:p>
<w:p>
<w:pPr><w:pStyle w:val="Normal"/></w:pPr>
<w:r><w:t xml:space="preserve">until 1531, when it appeared at Antwerp.  It is a defence</w:t></w:r>
</w:p>
<w:p>
<w:pPr><w:pStyle w:val="Normal"/></w:pPr>
<w:r><w:t xml:space="preserve">of magic, by means of which men may come to a knowledge of</w:t></w:r>
</w:p>
<w:p>
<w:pPr><w:pStyle w:val="Normal"/></w:pPr>
<w:r><w:t xml:space="preserve">nature and of God, and contains Agrippa&apos;s idea of the universe</w:t></w:r>
</w:p>
<w:p>
<w:pPr><w:pStyle w:val="Normal"/></w:pPr>
<w:r><w:t xml:space="preserve">with its three worlds or spheres.  His other principal work,</w:t></w:r>
</w:p>
<w:p>
<w:pPr><w:pStyle w:val="Normal"/></w:pPr>
<w:r><w:t xml:space="preserve">De Incertitudine et Vanitate Scientiarum et Artium Atque</w:t></w:r>
</w:p>
<w:p>
<w:pPr><w:pStyle w:val="Normal"/></w:pPr>
<w:r><w:t xml:space="preserve">Excellentia Verbi Dei Declamatio, was written about 1527</w:t></w:r>
</w:p>
<w:p>
<w:pPr><w:pStyle w:val="Normal"/></w:pPr>
<w:r><w:t xml:space="preserve">and published at Antwerp in 1531.  This is a sarcastic attack</w:t></w:r>
</w:p>
<w:p>
<w:pPr><w:pStyle w:val="Normal"/></w:pPr>
<w:r><w:t xml:space="preserve">on the existing sciences and on the pretensions of learned</w:t></w:r>
</w:p>
<w:p>
<w:pPr><w:pStyle w:val="Normal"/></w:pPr>
<w:r><w:t xml:space="preserve">men.  In it Agrippa denounces the accretions which had grown</w:t></w:r>
</w:p>
<w:p>
<w:pPr><w:pStyle w:val="Normal"/></w:pPr>
<w:r><w:t xml:space="preserve">up around the simple doctrines of Christianity, and wishes</w:t></w:r>
</w:p>
<w:p>
<w:pPr><w:pStyle w:val="Normal"/></w:pPr>
<w:r><w:t xml:space="preserve">for a return to the primitive belief of the early Christian</w:t></w:r>
</w:p>
<w:p>
<w:pPr><w:pStyle w:val="Normal"/></w:pPr>
<w:r><w:t xml:space="preserve">church.  He also wrote De Nobilitate et Praecellentia Deminei</w:t></w:r>
</w:p>
<w:p>
<w:pPr><w:pStyle w:val="Normal"/></w:pPr>
<w:r><w:t xml:space="preserve">Sexus, dedicated to Margaret of Burgundy, De Matrimonii</w:t></w:r>
</w:p>
<w:p>
<w:pPr><w:pStyle w:val="Normal"/></w:pPr>
<w:r><w:t xml:space="preserve">Sacramento and other smaller works.  An edition of his</w:t></w:r>
</w:p>
<w:p>
<w:pPr><w:pStyle w:val="Normal"/></w:pPr>
<w:r><w:t xml:space="preserve">works was published at Leiden in 1550 and they have been</w:t></w:r>
</w:p>
<w:p>
<w:pPr><w:pStyle w:val="Normal"/></w:pPr>
<w:r><w:t xml:space="preserve">republished several times.  See H. Morley, Life of H. C.</w:t></w:r>
</w:p>
<w:p>
<w:pPr><w:pStyle w:val="Normal"/></w:pPr>
<w:r><w:t xml:space="preserve">Agrippa (London, 1856); A. Prost, Les Sciences at les arts</w:t></w:r>
</w:p>
<w:p>
<w:pPr><w:pStyle w:val="Normal"/></w:pPr>
<w:r><w:t xml:space="preserve">occultes au xvi.  Siecle: Corneille Agrippa sa vie et ses</w:t></w:r>
</w:p>
<w:p>
<w:pPr><w:pStyle w:val="Normal"/></w:pPr>
<w:r><w:t xml:space="preserve">oeuvres (Paris, 1881); A. Daguet, Cornelius Agrippa (Paris, 1856).</w:t></w:r>
</w:p>
<w:p>
<w:pPr><w:pStyle w:val="Normal"/></w:pPr>
<w:r><w:t xml:space="preserve">AGRIPPINA, the ``elder,&apos;&apos; daughter of Marcus Vipsanius Agrippa</w:t></w:r>
</w:p>
<w:p>
<w:pPr><w:pStyle w:val="Normal"/></w:pPr>
<w:r><w:t xml:space="preserve">by his third wife Julia, was the grand-daughter of Augustus</w:t></w:r>
</w:p>
<w:p>
<w:pPr><w:pStyle w:val="Normal"/></w:pPr>
<w:r><w:t xml:space="preserve">and the wife of Germanicus.  She accompanied her husband to</w:t></w:r>
</w:p>
<w:p>
<w:pPr><w:pStyle w:val="Normal"/></w:pPr>
<w:r><w:t xml:space="preserve">Germany, when the legions on the Rhine revolted after the</w:t></w:r>
</w:p>
<w:p>
<w:pPr><w:pStyle w:val="Normal"/></w:pPr>
<w:r><w:t xml:space="preserve">death of Augustus (A.D. 14). Three years later she was in</w:t></w:r>
</w:p>
<w:p>
<w:pPr><w:pStyle w:val="Normal"/></w:pPr>
<w:r><w:t xml:space="preserve">the East with Germanicus (q.v.), who died at Antioch in</w:t></w:r>
</w:p>
<w:p>
<w:pPr><w:pStyle w:val="Normal"/></w:pPr>
<w:r><w:t xml:space="preserve">19, poisoned, it was said, by order of Cn. Calpurnius Piso,</w:t></w:r>
</w:p>
<w:p>
<w:pPr><w:pStyle w:val="Normal"/></w:pPr>
<w:r><w:t xml:space="preserve">governor of Syria.  Eager to avenge his death, she returned</w:t></w:r>
</w:p>
<w:p>
<w:pPr><w:pStyle w:val="Normal"/></w:pPr>
<w:r><w:t xml:space="preserve">to Rome and boldly accused Piso of the murder of Germanicus.</w:t></w:r>
</w:p>
<w:p>
<w:pPr><w:pStyle w:val="Normal"/></w:pPr>
<w:r><w:t xml:space="preserve">To avoid public infamy Piso committed suicide.  Tiberius and</w:t></w:r>
</w:p>
<w:p>
<w:pPr><w:pStyle w:val="Normal"/></w:pPr>
<w:r><w:t xml:space="preserve">his favourite Sejanus feared that her ambition might lead</w:t></w:r>
</w:p>
<w:p>
<w:pPr><w:pStyle w:val="Normal"/></w:pPr>
<w:r><w:t xml:space="preserve">her to attempt to secure the throne for her children, and</w:t></w:r>
</w:p>
<w:p>
<w:pPr><w:pStyle w:val="Normal"/></w:pPr>
<w:r><w:t xml:space="preserve">she was banished to the island of Pandataria off the coast of</w:t></w:r>
</w:p>
<w:p>
<w:pPr><w:pStyle w:val="Normal"/></w:pPr>
<w:r><w:t xml:space="preserve">Campania, where she died on the 18th of October 33, starved</w:t></w:r>
</w:p>
<w:p>
<w:pPr><w:pStyle w:val="Normal"/></w:pPr>
<w:r><w:t xml:space="preserve">to death by herself, or, according to some, by order of</w:t></w:r>
</w:p>
<w:p>
<w:pPr><w:pStyle w:val="Normal"/></w:pPr>
<w:r><w:t xml:space="preserve">Tiberius.  Two of her sons, Nero and Drusus, had already</w:t></w:r>
</w:p>
<w:p>
<w:pPr><w:pStyle w:val="Normal"/></w:pPr>
<w:r><w:t xml:space="preserve">fallen victims to the machinations cf Sejanus.  Agrippina</w:t></w:r>
</w:p>
<w:p>
<w:pPr><w:pStyle w:val="Normal"/></w:pPr>
<w:r><w:t xml:space="preserve">had a large family by Germanicus, several of whom died young,</w:t></w:r>
</w:p>
<w:p>
<w:pPr><w:pStyle w:val="Normal"/></w:pPr>
<w:r><w:t xml:space="preserve">while only two are of importance-- Agrippina the ``younger&apos;&apos;</w:t></w:r>
</w:p>
<w:p>
<w:pPr><w:pStyle w:val="Normal"/></w:pPr>
<w:r><w:t xml:space="preserve">and Gaius Caesar, who succeeded Tiberius under the name of</w:t></w:r>
</w:p>
<w:p>
<w:pPr><w:pStyle w:val="Normal"/></w:pPr>
<w:r><w:t xml:space="preserve">Caligula.  It is remarkable that, although Tiberius had</w:t></w:r>
</w:p>
<w:p>
<w:pPr><w:pStyle w:val="Normal"/></w:pPr>
<w:r><w:t xml:space="preserve">ordored the execution of his elder brothers, by his will he</w:t></w:r>
</w:p>
<w:p>
<w:pPr><w:pStyle w:val="Normal"/></w:pPr>
<w:r><w:t xml:space="preserve">left Caligula one of the heirs of the empire.  Agrippina was</w:t></w:r>
</w:p>
<w:p>
<w:pPr><w:pStyle w:val="Normal"/></w:pPr>
<w:r><w:t xml:space="preserve">a woman of the highest character and exemplary morality.</w:t></w:r>
</w:p>
<w:p>
<w:pPr><w:pStyle w:val="Normal"/></w:pPr>
<w:r><w:t xml:space="preserve">There is a portrait of her in the Capitoline Museum at Rome,</w:t></w:r>
</w:p>
<w:p>
<w:pPr><w:pStyle w:val="Normal"/></w:pPr>
<w:r><w:t xml:space="preserve">and a bronze medal in the British Museum representing the</w:t></w:r>
</w:p>
<w:p>
<w:pPr><w:pStyle w:val="Normal"/></w:pPr>
<w:r><w:t xml:space="preserve">bringing back of her ashes to Rome by order of Caligula.</w:t></w:r>
</w:p>
<w:p>
<w:pPr><w:pStyle w:val="Normal"/></w:pPr>
<w:r><w:t xml:space="preserve">See Tac. Ann. i.-vi.; Suetonius, Tiberius, 53; Dio Cassius</w:t></w:r>
</w:p>
<w:p>
<w:pPr><w:pStyle w:val="Normal"/></w:pPr>
<w:r><w:t xml:space="preserve">lvii. 6, lviii. 22, lix. 3; Elizabeth Hamilton, Memoirs</w:t></w:r>
</w:p>
<w:p>
<w:pPr><w:pStyle w:val="Normal"/></w:pPr>
<w:r><w:t xml:space="preserve">of the Life of Agrippina (1804): Burkhard, Agrippina, des</w:t></w:r>
</w:p>
<w:p>
<w:pPr><w:pStyle w:val="Normal"/></w:pPr>
<w:r><w:t xml:space="preserve">Agrippa Tochter (1846); Stahr, Romische Kaiserfrauen (1880).</w:t></w:r>
</w:p>
<w:p>
<w:pPr><w:pStyle w:val="Normal"/></w:pPr>
<w:r><w:t xml:space="preserve">AGRIPPINA, the ``younger&apos;&apos; (A.D. 16-59), daughter of</w:t></w:r>
</w:p>
<w:p>
<w:pPr><w:pStyle w:val="Normal"/></w:pPr>
<w:r><w:t xml:space="preserve">Germanicus and Agrippina the elder, sister of Caligula and</w:t></w:r>
</w:p>
<w:p>
<w:pPr><w:pStyle w:val="Normal"/></w:pPr>
<w:r><w:t xml:space="preserve">mother of Nero, was born at Oppidum Ubiorum on the Rhine,</w:t></w:r>
</w:p>
<w:p>
<w:pPr><w:pStyle w:val="Normal"/></w:pPr>
<w:r><w:t xml:space="preserve">afterwards named in her honour Colonia Agrippinae (mod.</w:t></w:r>
</w:p>
<w:p>
<w:pPr><w:pStyle w:val="Normal"/></w:pPr>
<w:r><w:t xml:space="preserve">Cologne).  Her life was notorious for intrigue and perfidy.</w:t></w:r>
</w:p>
<w:p>
<w:pPr><w:pStyle w:val="Normal"/></w:pPr>
<w:r><w:t xml:space="preserve">By her first husband, Gnaeus Domitius Ahenobarbus, she was the</w:t></w:r>
</w:p>
<w:p>
<w:pPr><w:pStyle w:val="Normal"/></w:pPr>
<w:r><w:t xml:space="preserve">mother of the emperor Nero; her second husband was Passienus</w:t></w:r>
</w:p>
<w:p>
<w:pPr><w:pStyle w:val="Normal"/></w:pPr>
<w:r><w:t xml:space="preserve">Crispus, whom she was accused of poisoning.  Assisted by</w:t></w:r>
</w:p>
<w:p>
<w:pPr><w:pStyle w:val="Normal"/></w:pPr>
<w:r><w:t xml:space="preserve">the influential freedman Tallas, she induced her uncle the</w:t></w:r>
</w:p>
<w:p>
<w:pPr><w:pStyle w:val="Normal"/></w:pPr>
<w:r><w:t xml:space="preserve">emperor Claudius to marry her after the death of Messalina,</w:t></w:r>
</w:p>
<w:p>
<w:pPr><w:pStyle w:val="Normal"/></w:pPr>
<w:r><w:t xml:space="preserve">and adopt the future Nero as heir to the throne in place of</w:t></w:r>
</w:p>
<w:p>
<w:pPr><w:pStyle w:val="Normal"/></w:pPr>
<w:r><w:t xml:space="preserve">Britannicus.  Soon afterwards she poisoned Claudius and secured</w:t></w:r>
</w:p>
<w:p>
<w:pPr><w:pStyle w:val="Normal"/></w:pPr>
<w:r><w:t xml:space="preserve">the throne for her son, with the intention of practically</w:t></w:r>
</w:p>
<w:p>
<w:pPr><w:pStyle w:val="Normal"/></w:pPr>
<w:r><w:t xml:space="preserve">ruling on his behalf.  Being alarmed at the influence of</w:t></w:r>
</w:p>
<w:p>
<w:pPr><w:pStyle w:val="Normal"/></w:pPr>
<w:r><w:t xml:space="preserve">the freedwoman Acte over Nero, sbe threatened to support</w:t></w:r>
</w:p>
<w:p>
<w:pPr><w:pStyle w:val="Normal"/></w:pPr>
<w:r><w:t xml:space="preserve">the claims of the rightful heir Britannicus.  Nero thereupon</w:t></w:r>
</w:p>
<w:p>
<w:pPr><w:pStyle w:val="Normal"/></w:pPr>
<w:r><w:t xml:space="preserve">murdered the young prince and decided to get rid of his</w:t></w:r>
</w:p>
<w:p>
<w:pPr><w:pStyle w:val="Normal"/></w:pPr>
<w:r><w:t xml:space="preserve">mother.  Pretending a reconciliation, he invited her to</w:t></w:r>
</w:p>
<w:p>
<w:pPr><w:pStyle w:val="Normal"/></w:pPr>
<w:r><w:t xml:space="preserve">Baiae, where an attempt was made to drown her on a vessel</w:t></w:r>
</w:p>
<w:p>
<w:pPr><w:pStyle w:val="Normal"/></w:pPr>
<w:r><w:t xml:space="preserve">especially constructed to founder.  As this proved a failure,</w:t></w:r>
</w:p>
<w:p>
<w:pPr><w:pStyle w:val="Normal"/></w:pPr>
<w:r><w:t xml:space="preserve">he had her put to death at her country house.  Agrippina</w:t></w:r>
</w:p>
<w:p>
<w:pPr><w:pStyle w:val="Normal"/></w:pPr>
<w:r><w:t xml:space="preserve">wrote memoirs of her times, referred to by Tacitus (Ann.</w:t></w:r>
</w:p>
<w:p>
<w:pPr><w:pStyle w:val="Normal"/></w:pPr>
<w:r><w:t xml:space="preserve">iv. 53). Her character is set forth in Racine&apos;s Britannicus.</w:t></w:r>
</w:p>
<w:p>
<w:pPr><w:pStyle w:val="Normal"/></w:pPr>
<w:r><w:t xml:space="preserve">See Tac.Ann. xii., xiii., xiv.; Dio Cassius lix.-lxi.; Suetonius,</w:t></w:r>
</w:p>
<w:p>
<w:pPr><w:pStyle w:val="Normal"/></w:pPr>
<w:r><w:t xml:space="preserve">NERO, 34; Stahr, Agrippina. die Mutter Neros (1880); Raffay, Die</w:t></w:r>
</w:p>
<w:p>
<w:pPr><w:pStyle w:val="Normal"/></w:pPr>
<w:r><w:t xml:space="preserve">Memoiren der Kaiserin Agrippina (1884); B. W. Henderson, The Life</w:t></w:r>
</w:p>
<w:p>
<w:pPr><w:pStyle w:val="Normal"/></w:pPr>
<w:r><w:t xml:space="preserve">and Principate of the Emperor Nero (1903); also article NERO.</w:t></w:r>
</w:p>
<w:p>
<w:pPr><w:pStyle w:val="Normal"/></w:pPr>
<w:r><w:t xml:space="preserve">AGROTERAS THUSIA, an annual festival held at Agrae near</w:t></w:r>
</w:p>
<w:p>
<w:pPr><w:pStyle w:val="Normal"/></w:pPr>
<w:r><w:t xml:space="preserve">Athens, in honour of Artemis Agrotera, in fulfilment of</w:t></w:r>
</w:p>
<w:p>
<w:pPr><w:pStyle w:val="Normal"/></w:pPr>
<w:r><w:t xml:space="preserve">a vow made by the city, before the battle of Marathon,</w:t></w:r>
</w:p>
<w:p>
<w:pPr><w:pStyle w:val="Normal"/></w:pPr>
<w:r><w:t xml:space="preserve">to offer in sacrifice a number of goats equal to that</w:t></w:r>
</w:p>
<w:p>
<w:pPr><w:pStyle w:val="Normal"/></w:pPr>
<w:r><w:t xml:space="preserve">of the Persians slain in the conflict.  The number being</w:t></w:r>
</w:p>
<w:p>
<w:pPr><w:pStyle w:val="Normal"/></w:pPr>
<w:r><w:t xml:space="preserve">so great, it was decided to offer 100 goats yearly.</w:t></w:r>
</w:p>
<w:p>
<w:pPr><w:pStyle w:val="Normal"/></w:pPr>
<w:r><w:t xml:space="preserve">See Plutarch, De Malignitate Herodoti, 26; Xenophon, Anab. iii. 2.</w:t></w:r>
</w:p>
<w:p>
<w:pPr><w:pStyle w:val="Normal"/></w:pPr>
<w:r><w:t xml:space="preserve">12; Aelian, Var. Hist. ii. 25; Schol. on Aristophanes, Equites, 660.</w:t></w:r>
</w:p>
<w:p>
<w:pPr><w:pStyle w:val="Normal"/></w:pPr>
<w:r><w:t xml:space="preserve">AGUADILLA, a town and port near the northern extremity</w:t></w:r>
</w:p>
<w:p>
<w:pPr><w:pStyle w:val="Normal"/></w:pPr>
<w:r><w:t xml:space="preserve">of the W. coast of Porto Rico.  Pop. (1899) 6425.  It has</w:t></w:r>
</w:p>
<w:p>
<w:pPr><w:pStyle w:val="Normal"/></w:pPr>
<w:r><w:t xml:space="preserve">a fairly good and safe anchorage, and is the commercial</w:t></w:r>
</w:p>
<w:p>
<w:pPr><w:pStyle w:val="Normal"/></w:pPr>
<w:r><w:t xml:space="preserve">outlet for a very fertile agricultural district.  The town</w:t></w:r>
</w:p>
<w:p>
<w:pPr><w:pStyle w:val="Normal"/></w:pPr>
<w:r><w:t xml:space="preserve">is attractively situated and well built, and is connected</w:t></w:r>
</w:p>
<w:p>
<w:pPr><w:pStyle w:val="Normal"/></w:pPr>
<w:r><w:t xml:space="preserve">by railway with Mayaguez, 20 m. distant, and also with</w:t></w:r>
</w:p>
<w:p>
<w:pPr><w:pStyle w:val="Normal"/></w:pPr>
<w:r><w:t xml:space="preserve">Ponce and San Juan.  The neighbouring district produces</w:t></w:r>
</w:p>
<w:p>
<w:pPr><w:pStyle w:val="Normal"/></w:pPr>
<w:r><w:t xml:space="preserve">sugar-cane, tobacco, cattle, cocoanuts, oranges and lemons.</w:t></w:r>
</w:p>
<w:p>
<w:pPr><w:pStyle w:val="Normal"/></w:pPr>
<w:r><w:t xml:space="preserve">The bay is supposed to have been first visited by Columbus</w:t></w:r>
</w:p>
<w:p>
<w:pPr><w:pStyle w:val="Normal"/></w:pPr>
<w:r><w:t xml:space="preserve">(November 1493), though the town was not founded until 1775.</w:t></w:r>
</w:p>
<w:p>
<w:pPr><w:pStyle w:val="Normal"/></w:pPr>
<w:r><w:t xml:space="preserve">AGUADO, ALEXANDRE MARIE, marquis de Las Marismas del</w:t></w:r>
</w:p>
<w:p>
<w:pPr><w:pStyle w:val="Normal"/></w:pPr>
<w:r><w:t xml:space="preserve">Guadalquivir, viscount de Monte Ricco (1784-1842), Spanish</w:t></w:r>
</w:p>
<w:p>
<w:pPr><w:pStyle w:val="Normal"/></w:pPr>
<w:r><w:t xml:space="preserve">banker, was born of Jewish parentage at Seville, on the 29th</w:t></w:r>
</w:p>
<w:p>
<w:pPr><w:pStyle w:val="Normal"/></w:pPr>
<w:r><w:t xml:space="preserve">of June 1784.  He began life as a soldier, fighting with</w:t></w:r>
</w:p>
<w:p>
<w:pPr><w:pStyle w:val="Normal"/></w:pPr>
<w:r><w:t xml:space="preserve">distinction in the Spanish war of independence on the side</w:t></w:r>
</w:p>
<w:p>
<w:pPr><w:pStyle w:val="Normal"/></w:pPr>
<w:r><w:t xml:space="preserve">of Joseph Bonaparte.  After the battle of Baylen (1808) he</w:t></w:r>
</w:p>
<w:p>
<w:pPr><w:pStyle w:val="Normal"/></w:pPr>
<w:r><w:t xml:space="preserve">entered the French army, in which he rose to be colonel and</w:t></w:r>
</w:p>
<w:p>
<w:pPr><w:pStyle w:val="Normal"/></w:pPr>
<w:r><w:t xml:space="preserve">aide-de-camp to Marshal Soult.  He was exiled in 1815, and</w:t></w:r>
</w:p>
<w:p>
<w:pPr><w:pStyle w:val="Normal"/></w:pPr>
<w:r><w:t xml:space="preserve">immediately started business as a commission-agent in Paris,</w:t></w:r>
</w:p>
<w:p>
<w:pPr><w:pStyle w:val="Normal"/></w:pPr>
<w:r><w:t xml:space="preserve">where, chiefly through his family connexions in Havana and</w:t></w:r>
</w:p>
<w:p>
<w:pPr><w:pStyle w:val="Normal"/></w:pPr>
<w:r><w:t xml:space="preserve">Mexico, he acquired in a few years enough wealth to enable</w:t></w:r>
</w:p>
<w:p>
<w:pPr><w:pStyle w:val="Normal"/></w:pPr>
<w:r><w:t xml:space="preserve">him to undertake banking.  The Spanish government gave him</w:t></w:r>
</w:p>
<w:p>
<w:pPr><w:pStyle w:val="Normal"/></w:pPr>
<w:r><w:t xml:space="preserve">full powers to negotiate the loans of 1823, 1828, 1830 and</w:t></w:r>
</w:p>
<w:p>
<w:pPr><w:pStyle w:val="Normal"/></w:pPr>
<w:r><w:t xml:space="preserve">1831; and Ferdinand VII. rewarded him with the title of</w:t></w:r>
</w:p>
<w:p>
<w:pPr><w:pStyle w:val="Normal"/></w:pPr>
<w:r><w:t xml:space="preserve">marquis, the decorations of several orders and valuable mining</w:t></w:r>
</w:p>
<w:p>
<w:pPr><w:pStyle w:val="Normal"/></w:pPr>
<w:r><w:t xml:space="preserve">concessions in Spain.  Aguado also negotiated the Greek loan of</w:t></w:r>
</w:p>
<w:p>
<w:pPr><w:pStyle w:val="Normal"/></w:pPr>
<w:r><w:t xml:space="preserve">1834.  In 1828, having become possessed of large estates in</w:t></w:r>
</w:p>
<w:p>
<w:pPr><w:pStyle w:val="Normal"/></w:pPr>
<w:r><w:t xml:space="preserve">France, including the chateau Margaux, famous for its wine,</w:t></w:r>
</w:p>
<w:p>
<w:pPr><w:pStyle w:val="Normal"/></w:pPr>
<w:r><w:t xml:space="preserve">he was naturalized as a French citizen.  He died at Gijon in</w:t></w:r>
</w:p>
<w:p>
<w:pPr><w:pStyle w:val="Normal"/></w:pPr>
<w:r><w:t xml:space="preserve">Spain on the 14th of April 1842, leaving a fortune computed</w:t></w:r>
</w:p>
<w:p>
<w:pPr><w:pStyle w:val="Normal"/></w:pPr>
<w:r><w:t xml:space="preserve">at 60,000,000 francs, and a splendid collection of pictures</w:t></w:r>
</w:p>
<w:p>
<w:pPr><w:pStyle w:val="Normal"/></w:pPr>
<w:r><w:t xml:space="preserve">which at his death was bought by the French government.</w:t></w:r>
</w:p>
<w:p>
<w:pPr><w:pStyle w:val="Normal"/></w:pPr>
<w:r><w:t xml:space="preserve">AGUASCALIENTES, an inland state of Mexico, bounded N., E.</w:t></w:r>
</w:p>
<w:p>
<w:pPr><w:pStyle w:val="Normal"/></w:pPr>
<w:r><w:t xml:space="preserve">and W. by the state of Zacatecas, and S. by Jalisco.  Pop.</w:t></w:r>
</w:p>
<w:p>
<w:pPr><w:pStyle w:val="Normal"/></w:pPr>
<w:r><w:t xml:space="preserve">(est. 1900) 102,416, a gradual decrease since the census</w:t></w:r>
</w:p>
<w:p>
<w:pPr><w:pStyle w:val="Normal"/></w:pPr>
<w:r><w:t xml:space="preserve">years of 1895 and 1879; area, 2970 sq. m.  The state occupies</w:t></w:r>
</w:p>
<w:p>
<w:pPr><w:pStyle w:val="Normal"/></w:pPr>
<w:r><w:t xml:space="preserve">an elevated plateau, extending from two spurs of the Sierra</w:t></w:r>
</w:p>
<w:p>
<w:pPr><w:pStyle w:val="Normal"/></w:pPr>
<w:r><w:t xml:space="preserve">Madre, called the Sierra Fria and Sierra de Laurel, eastward</w:t></w:r>
</w:p>
<w:p>
<w:pPr><w:pStyle w:val="Normal"/></w:pPr>
<w:r><w:t xml:space="preserve">to the rolling fertile plains of its eastern and south-eastern</w:t></w:r>
</w:p>
<w:p>
<w:pPr><w:pStyle w:val="Normal"/></w:pPr>
<w:r><w:t xml:space="preserve">districts.  It is well watered by numerous small streams and</w:t></w:r>
</w:p>
<w:p>
<w:pPr><w:pStyle w:val="Normal"/></w:pPr>
<w:r><w:t xml:space="preserve">one larger river, the Aguascalientes or Rio Grande, and has</w:t></w:r>
</w:p>
<w:p>
<w:pPr><w:pStyle w:val="Normal"/></w:pPr>
<w:r><w:t xml:space="preserve">a mild healthy climate with a moderate rainfall.  The fertile</w:t></w:r>
</w:p>
<w:p>
<w:pPr><w:pStyle w:val="Normal"/></w:pPr>
<w:r><w:t xml:space="preserve">valleys of the north and west are devoted to agriculture</w:t></w:r>
</w:p>
<w:p>
<w:pPr><w:pStyle w:val="Normal"/></w:pPr>
<w:r><w:t xml:space="preserve">and the plains to stockraising.  Indian corn, flour, cattle,</w:t></w:r>
</w:p>
<w:p>
<w:pPr><w:pStyle w:val="Normal"/></w:pPr>
<w:r><w:t xml:space="preserve">horses, mules and hides are exported to the neighbouring</w:t></w:r>
</w:p>
<w:p>
<w:pPr><w:pStyle w:val="Normal"/></w:pPr>
<w:r><w:t xml:space="preserve">states.  Mining industries are still undeveloped, but considerable</w:t></w:r>
</w:p>
<w:p>
<w:pPr><w:pStyle w:val="Normal"/></w:pPr>
<w:r><w:t xml:space="preserve">progress has been made in manufactures, especially of textile</w:t></w:r>
</w:p>
<w:p>
<w:pPr><w:pStyle w:val="Normal"/></w:pPr>
<w:r><w:t xml:space="preserve">fabrics.  The state has good railway communications and a</w:t></w:r>
</w:p>
<w:p>
<w:pPr><w:pStyle w:val="Normal"/></w:pPr>
<w:r><w:t xml:space="preserve">prosperous trade.  The capital, Aguascalientes, named from</w:t></w:r>
</w:p>
<w:p>
<w:pPr><w:pStyle w:val="Normal"/></w:pPr>
<w:r><w:t xml:space="preserve">the medicinal hot springs near it, is a flourishing commercial</w:t></w:r>
</w:p>
<w:p>
<w:pPr><w:pStyle w:val="Normal"/></w:pPr>
<w:r><w:t xml:space="preserve">and manufacturing city.  Pop. (est. 1900) 35,052.  It has</w:t></w:r>
</w:p>
<w:p>
<w:pPr><w:pStyle w:val="Normal"/></w:pPr>
<w:r><w:t xml:space="preserve">cotton factories, smelting works, potteries. tanneries,</w:t></w:r>
</w:p>
<w:p>
<w:pPr><w:pStyle w:val="Normal"/></w:pPr>
<w:r><w:t xml:space="preserve">distilleries, and wagon and tobacco factories.  It is a station</w:t></w:r>
</w:p>
<w:p>
<w:pPr><w:pStyle w:val="Normal"/></w:pPr>
<w:r><w:t xml:space="preserve">on the Mexican Central railway, 364 m. by rail north-west of</w:t></w:r>
</w:p>
<w:p>
<w:pPr><w:pStyle w:val="Normal"/></w:pPr>
<w:r><w:t xml:space="preserve">the city of Mexico, and is connected by rail with Tampico on</w:t></w:r>
</w:p>
<w:p>
<w:pPr><w:pStyle w:val="Normal"/></w:pPr>
<w:r><w:t xml:space="preserve">the Gulf of Mexico.  The city is well built, has many fine</w:t></w:r>
</w:p>
<w:p>
<w:pPr><w:pStyle w:val="Normal"/></w:pPr>
<w:r><w:t xml:space="preserve">churches and good public buildings, street cars and electric</w:t></w:r>
</w:p>
<w:p>
<w:pPr><w:pStyle w:val="Normal"/></w:pPr>
<w:r><w:t xml:space="preserve">lights.  The surrounding district is well cultivated and</w:t></w:r>
</w:p>
<w:p>
<w:pPr><w:pStyle w:val="Normal"/></w:pPr>
<w:r><w:t xml:space="preserve">produces an abundance of fruit and vegetables.  Other prominent</w:t></w:r>
</w:p>
<w:p>
<w:pPr><w:pStyle w:val="Normal"/></w:pPr>
<w:r><w:t xml:space="preserve">towns of the state are Rincon de Romos (or Victoria de</w:t></w:r>
</w:p>
<w:p>
<w:pPr><w:pStyle w:val="Normal"/></w:pPr>
<w:r><w:t xml:space="preserve">Calpulalpam), Asientos de Ibarra and Calvillo, the first</w:t></w:r>
</w:p>
<w:p>
<w:pPr><w:pStyle w:val="Normal"/></w:pPr>
<w:r><w:t xml:space="preserve">having more and the others less than 5000 inhabitants.</w:t></w:r>
</w:p>
<w:p>
<w:pPr><w:pStyle w:val="Normal"/></w:pPr>
<w:r><w:t xml:space="preserve">AGUE (from Lat. acuta, sharp; sc. febris, fever), the</w:t></w:r>
</w:p>
<w:p>
<w:pPr><w:pStyle w:val="Normal"/></w:pPr>
<w:r><w:t xml:space="preserve">common name given to a form or stage of malarial disease;</w:t></w:r>
</w:p>
<w:p>
<w:pPr><w:pStyle w:val="Normal"/></w:pPr>
<w:r><w:t xml:space="preserve">the ague fit is the cold, shivering stage, and hence the</w:t></w:r>
</w:p>
<w:p>
<w:pPr><w:pStyle w:val="Normal"/></w:pPr>
<w:r><w:t xml:space="preserve">word is also loosely used for any such paroxysm.  Simple</w:t></w:r>
</w:p>
<w:p>
<w:pPr><w:pStyle w:val="Normal"/></w:pPr>
<w:r><w:t xml:space="preserve">ague is of much the same type whether in temperate or</w:t></w:r>
</w:p>
<w:p>
<w:pPr><w:pStyle w:val="Normal"/></w:pPr>
<w:r><w:t xml:space="preserve">tropical climates, and may take various forms (quotidian,</w:t></w:r>
</w:p>
<w:p>
<w:pPr><w:pStyle w:val="Normal"/></w:pPr>
<w:r><w:t xml:space="preserve">tertian, quartan), passing into ``remittent fever.&apos;&apos; The</w:t></w:r>
</w:p>
<w:p>
<w:pPr><w:pStyle w:val="Normal"/></w:pPr>
<w:r><w:t xml:space="preserve">symptoms are discussed, together with causation, &amp;c., in</w:t></w:r>
</w:p>
<w:p>
<w:pPr><w:pStyle w:val="Normal"/></w:pPr>
<w:r><w:t xml:space="preserve">the article MALARIA.  For ``brow-ague&apos;&apos; see NEURALGIA.</w:t></w:r>
</w:p>
<w:p>
<w:pPr><w:pStyle w:val="Normal"/></w:pPr>
<w:r><w:t xml:space="preserve">AGUESSEAU, HENRI FRANCOIS D&apos; (1668-1751), chancellor of</w:t></w:r>
</w:p>
<w:p>
<w:pPr><w:pStyle w:val="Normal"/></w:pPr>
<w:r><w:t xml:space="preserve">France, illustrious for his virtues, learning and talents,</w:t></w:r>
</w:p>
<w:p>
<w:pPr><w:pStyle w:val="Normal"/></w:pPr>
<w:r><w:t xml:space="preserve">was born at Limoges, of a family of the magistrature.  His</w:t></w:r>
</w:p>
<w:p>
<w:pPr><w:pStyle w:val="Normal"/></w:pPr>
<w:r><w:t xml:space="preserve">father, Henri d&apos; Aguesseau, a hereditary councillor of the</w:t></w:r>
</w:p>
<w:p>
<w:pPr><w:pStyle w:val="Normal"/></w:pPr>
<w:r><w:t xml:space="preserve">parlement of Metz, was a man of singular ability and breadth</w:t></w:r>
</w:p>
<w:p>
<w:pPr><w:pStyle w:val="Normal"/></w:pPr>
<w:r><w:t xml:space="preserve">of view who, after holding successively the posts of intendant</w:t></w:r>
</w:p>
<w:p>
<w:pPr><w:pStyle w:val="Normal"/></w:pPr>
<w:r><w:t xml:space="preserve">of Limousin, Guyenne and Languedoc, was in 1685 called to</w:t></w:r>
</w:p>
<w:p>
<w:pPr><w:pStyle w:val="Normal"/></w:pPr>
<w:r><w:t xml:space="preserve">Paris as councillor of state, appointed director-general of</w:t></w:r>
</w:p>
<w:p>
<w:pPr><w:pStyle w:val="Normal"/></w:pPr>
<w:r><w:t xml:space="preserve">commerce and manufactures in 1695, president of the council of</w:t></w:r>
</w:p>
<w:p>
<w:pPr><w:pStyle w:val="Normal"/></w:pPr>
<w:r><w:t xml:space="preserve">commerce in 1700 and a member of the council of the regency for</w:t></w:r>
</w:p>
<w:p>
<w:pPr><w:pStyle w:val="Normal"/></w:pPr>
<w:r><w:t xml:space="preserve">finance.  By him Francois d&apos;Aguesseau was early initiated into</w:t></w:r>
</w:p>
<w:p>
<w:pPr><w:pStyle w:val="Normal"/></w:pPr>
<w:r><w:t xml:space="preserve">affairs and brought up in religious principles deeply tinged with</w:t></w:r>
</w:p>
<w:p>
<w:pPr><w:pStyle w:val="Normal"/></w:pPr>
<w:r><w:t xml:space="preserve">Jansenism.  He studied law under Jean Domat, whose influence is</w:t></w:r>
</w:p>
<w:p>
<w:pPr><w:pStyle w:val="Normal"/></w:pPr>
<w:r><w:t xml:space="preserve">apparent in both the legal writings and legislative work of the</w:t></w:r>
</w:p>
<w:p>
<w:pPr><w:pStyle w:val="Normal"/></w:pPr>
<w:r><w:t xml:space="preserve">chancellor.  When little more than twenty-one years of age he</w:t></w:r>
</w:p>
<w:p>
<w:pPr><w:pStyle w:val="Normal"/></w:pPr>
<w:r><w:t xml:space="preserve">was, through his father&apos;s influence with the king, appointed</w:t></w:r>
</w:p>
<w:p>
<w:pPr><w:pStyle w:val="Normal"/></w:pPr>
<w:r><w:t xml:space="preserve">one of the three advocates-general to the parlement of Paris;</w:t></w:r>
</w:p>
<w:p>
<w:pPr><w:pStyle w:val="Normal"/></w:pPr>
<w:r><w:t xml:space="preserve">and the eloquence and learning which he displayed in his first</w:t></w:r>
</w:p>
<w:p>
<w:pPr><w:pStyle w:val="Normal"/></w:pPr>
<w:r><w:t xml:space="preserve">speech gained him a very high reputation.  D&apos;Aguesseau was in</w:t></w:r>
</w:p>
<w:p>
<w:pPr><w:pStyle w:val="Normal"/></w:pPr>
<w:r><w:t xml:space="preserve">fact the first great master of forensic eloquence in France.</w:t></w:r>
</w:p>
<w:p>
<w:pPr><w:pStyle w:val="Normal"/></w:pPr>
<w:r><w:t xml:space="preserve">In 1700 he was appointed procurator-general; and in this</w:t></w:r>
</w:p>
<w:p>
<w:pPr><w:pStyle w:val="Normal"/></w:pPr>
<w:r><w:t xml:space="preserve">office, which he filled for seventeen years, he gained</w:t></w:r>
</w:p>
<w:p>
<w:pPr><w:pStyle w:val="Normal"/></w:pPr>
<w:r><w:t xml:space="preserve">the greatest popularity by his defence of the rights of</w:t></w:r>
</w:p>
<w:p>
<w:pPr><w:pStyle w:val="Normal"/></w:pPr>
<w:r><w:t xml:space="preserve">the Gallican Church in the Quietist troubles and in those</w:t></w:r>
</w:p>
<w:p>
<w:pPr><w:pStyle w:val="Normal"/></w:pPr>
<w:r><w:t xml:space="preserve">connected with the bull Unigenitus (see JANSENISM.) In</w:t></w:r>
</w:p>
<w:p>
<w:pPr><w:pStyle w:val="Normal"/></w:pPr>
<w:r><w:t xml:space="preserve">February 1717 he was made chancellor by the regent Orleans;</w:t></w:r>
</w:p>
<w:p>
<w:pPr><w:pStyle w:val="Normal"/></w:pPr>
<w:r><w:t xml:space="preserve">but was deprived of the seals in January of the following</w:t></w:r>
</w:p>
<w:p>
<w:pPr><w:pStyle w:val="Normal"/></w:pPr>
<w:r><w:t xml:space="preserve">year and exiled to his estate of Fresnos in Brie, on account</w:t></w:r>
</w:p>
<w:p>
<w:pPr><w:pStyle w:val="Normal"/></w:pPr>
<w:r><w:t xml:space="preserve">of his steady opposition to the projects of the famous John</w:t></w:r>
</w:p>
<w:p>
<w:pPr><w:pStyle w:val="Normal"/></w:pPr>
<w:r><w:t xml:space="preserve">Law, which had been adopted by the regent and his ministers.</w:t></w:r>
</w:p>
<w:p>
<w:pPr><w:pStyle w:val="Normal"/></w:pPr>
<w:r><w:t xml:space="preserve">In June 1720 he was recalled to satisfy public opinion; and</w:t></w:r>
</w:p>
<w:p>
<w:pPr><w:pStyle w:val="Normal"/></w:pPr>
<w:r><w:t xml:space="preserve">he contributed not a little by the firmness and sagacity of</w:t></w:r>
</w:p>
<w:p>
<w:pPr><w:pStyle w:val="Normal"/></w:pPr>
<w:r><w:t xml:space="preserve">his counsels to calm the public disturbance and repair the</w:t></w:r>
</w:p>
<w:p>
<w:pPr><w:pStyle w:val="Normal"/></w:pPr>
<w:r><w:t xml:space="preserve">mischief which had been done.  Law himself had acted as the</w:t></w:r>
</w:p>
<w:p>
<w:pPr><w:pStyle w:val="Normal"/></w:pPr>
<w:r><w:t xml:space="preserve">messenger of his recall; and it is said that d&apos;Aguesseau&apos;s</w:t></w:r>
</w:p>
<w:p>
<w:pPr><w:pStyle w:val="Normal"/></w:pPr>
<w:r><w:t xml:space="preserve">consent to accept the seals from his hand greatly diminished his</w:t></w:r>
</w:p>
<w:p>
<w:pPr><w:pStyle w:val="Normal"/></w:pPr>
<w:r><w:t xml:space="preserve">popularity.  The parlement continuing its opposition to the</w:t></w:r>
</w:p>
<w:p>
<w:pPr><w:pStyle w:val="Normal"/></w:pPr>
<w:r><w:t xml:space="preserve">registering of the bull UNIGENITUS, d&apos;Aguesseau, fearing</w:t></w:r>
</w:p>
<w:p>
<w:pPr><w:pStyle w:val="Normal"/></w:pPr>
<w:r><w:t xml:space="preserve">a schism and a religious war in France, assisted Guillaume</w:t></w:r>
</w:p>
<w:p>
<w:pPr><w:pStyle w:val="Normal"/></w:pPr>
<w:r><w:t xml:space="preserve">Dubois, the favourite of the regent, in his endeavour to force</w:t></w:r>
</w:p>
<w:p>
<w:pPr><w:pStyle w:val="Normal"/></w:pPr>
<w:r><w:t xml:space="preserve">the parlement to register the bull, acquiesced in the exile</w:t></w:r>
</w:p>
<w:p>
<w:pPr><w:pStyle w:val="Normal"/></w:pPr>
<w:r><w:t xml:space="preserve">of the magistrates and allowed the Great Council to assume the</w:t></w:r>
</w:p>
<w:p>
<w:pPr><w:pStyle w:val="Normal"/></w:pPr>
<w:r><w:t xml:space="preserve">power of registration, which legally belonged to the parlement</w:t></w:r>
</w:p>
<w:p>
<w:pPr><w:pStyle w:val="Normal"/></w:pPr>
<w:r><w:t xml:space="preserve">alone.  The people unjustly attributed his conduct to a base</w:t></w:r>
</w:p>
<w:p>
<w:pPr><w:pStyle w:val="Normal"/></w:pPr>
<w:r><w:t xml:space="preserve">compliance with the favourite.  He certainly opposed Dubois</w:t></w:r>
</w:p>
<w:p>
<w:pPr><w:pStyle w:val="Normal"/></w:pPr>
<w:r><w:t xml:space="preserve">in other matters; and when Dubois became chief minister</w:t></w:r>
</w:p>
<w:p>
<w:pPr><w:pStyle w:val="Normal"/></w:pPr>
<w:r><w:t xml:space="preserve">d&apos;Aguesseau was deprived of his office (March 1, 1722).</w:t></w:r>
</w:p>
<w:p>
<w:pPr><w:pStyle w:val="Normal"/></w:pPr>
<w:r><w:t xml:space="preserve">He retired to his estate, where he passed five years of which</w:t></w:r>
</w:p>
<w:p>
<w:pPr><w:pStyle w:val="Normal"/></w:pPr>
<w:r><w:t xml:space="preserve">he always spoke with delight.  The Scriptures, which he read</w:t></w:r>
</w:p>
<w:p>
<w:pPr><w:pStyle w:val="Normal"/></w:pPr>
<w:r><w:t xml:space="preserve">and compared in various languages, and the jurisprudence</w:t></w:r>
</w:p>
<w:p>
<w:pPr><w:pStyle w:val="Normal"/></w:pPr>
<w:r><w:t xml:space="preserve">of his own and other countries, formed the subjects of his</w:t></w:r>
</w:p>
<w:p>
<w:pPr><w:pStyle w:val="Normal"/></w:pPr>
<w:r><w:t xml:space="preserve">more serious studies; the rest of his time was devoted to</w:t></w:r>
</w:p>
<w:p>
<w:pPr><w:pStyle w:val="Normal"/></w:pPr>
<w:r><w:t xml:space="preserve">philosophy, literature and gardening.  From these occupations</w:t></w:r>
</w:p>
<w:p>
<w:pPr><w:pStyle w:val="Normal"/></w:pPr>
<w:r><w:t xml:space="preserve">he was recalled to court by the advice of Cardinal Fleury in</w:t></w:r>
</w:p>
<w:p>
<w:pPr><w:pStyle w:val="Normal"/></w:pPr>
<w:r><w:t xml:space="preserve">1727, and on the 15th of August was named chancellor for the</w:t></w:r>
</w:p>
<w:p>
<w:pPr><w:pStyle w:val="Normal"/></w:pPr>
<w:r><w:t xml:space="preserve">third time, but the seals were not restored to him till ten</w:t></w:r>
</w:p>
<w:p>
<w:pPr><w:pStyle w:val="Normal"/></w:pPr>
<w:r><w:t xml:space="preserve">years later.  During these years he endeavoured to mediate</w:t></w:r>
</w:p>
<w:p>
<w:pPr><w:pStyle w:val="Normal"/></w:pPr>
<w:r><w:t xml:space="preserve">in the disputes between the court and the parlement.  When</w:t></w:r>
</w:p>
<w:p>
<w:pPr><w:pStyle w:val="Normal"/></w:pPr>
<w:r><w:t xml:space="preserve">he was at last reinstated in office, he completely withdrew</w:t></w:r>
</w:p>
<w:p>
<w:pPr><w:pStyle w:val="Normal"/></w:pPr>
<w:r><w:t xml:space="preserve">from all political affairs, and devoted himself entirely</w:t></w:r>
</w:p>
<w:p>
<w:pPr><w:pStyle w:val="Normal"/></w:pPr>
<w:r><w:t xml:space="preserve">to his duties as chancellor and to the achievement of those</w:t></w:r>
</w:p>
<w:p>
<w:pPr><w:pStyle w:val="Normal"/></w:pPr>
<w:r><w:t xml:space="preserve">reforms which had long occupied his thoughts.  He aimed,</w:t></w:r>
</w:p>
<w:p>
<w:pPr><w:pStyle w:val="Normal"/></w:pPr>
<w:r><w:t xml:space="preserve">as others had tried before him, to draw up in a single code</w:t></w:r>
</w:p>
<w:p>
<w:pPr><w:pStyle w:val="Normal"/></w:pPr>
<w:r><w:t xml:space="preserve">all the laws of France, but was unable to accomplish his</w:t></w:r>
</w:p>
<w:p>
<w:pPr><w:pStyle w:val="Normal"/></w:pPr>
<w:r><w:t xml:space="preserve">task.  Besides some important enactments regarding donations,</w:t></w:r>
</w:p>
<w:p>
<w:pPr><w:pStyle w:val="Normal"/></w:pPr>
<w:r><w:t xml:space="preserve">testaments and successions, he introduced various regulations</w:t></w:r>
</w:p>
<w:p>
<w:pPr><w:pStyle w:val="Normal"/></w:pPr>
<w:r><w:t xml:space="preserve">for improving the forms of procedure, for ascertaining</w:t></w:r>
</w:p>
<w:p>
<w:pPr><w:pStyle w:val="Normal"/></w:pPr>
<w:r><w:t xml:space="preserve">the limits of jurisdictions and for effecting a greater</w:t></w:r>
</w:p>
<w:p>
<w:pPr><w:pStyle w:val="Normal"/></w:pPr>
<w:r><w:t xml:space="preserve">uniformity in the execution of the laws throughout the several</w:t></w:r>
</w:p>
<w:p>
<w:pPr><w:pStyle w:val="Normal"/></w:pPr>
<w:r><w:t xml:space="preserve">provinces.  These reforms constitute an epoch in the</w:t></w:r>
</w:p>
<w:p>
<w:pPr><w:pStyle w:val="Normal"/></w:pPr>
<w:r><w:t xml:space="preserve">history of French jurisprudence, and have placed the name</w:t></w:r>
</w:p>
<w:p>
<w:pPr><w:pStyle w:val="Normal"/></w:pPr>
<w:r><w:t xml:space="preserve">of d&apos;Aguesseau in the same rank with those of L&apos;Hopital and</w:t></w:r>
</w:p>
<w:p>
<w:pPr><w:pStyle w:val="Normal"/></w:pPr>
<w:r><w:t xml:space="preserve">Lamoignon.  As a magistrate also he was so conscientious</w:t></w:r>
</w:p>
<w:p>
<w:pPr><w:pStyle w:val="Normal"/></w:pPr>
<w:r><w:t xml:space="preserve">that the duc de Saint-Simon in his Memoirs complained that</w:t></w:r>
</w:p>
<w:p>
<w:pPr><w:pStyle w:val="Normal"/></w:pPr>
<w:r><w:t xml:space="preserve">he spent too much time over the cases that came before him.</w:t></w:r>
</w:p>
<w:p>
<w:pPr><w:pStyle w:val="Normal"/></w:pPr>
<w:r><w:t xml:space="preserve">In 1750, when upwards of eighty-two years of age, d&apos;Aguesseau</w:t></w:r>
</w:p>
<w:p>
<w:pPr><w:pStyle w:val="Normal"/></w:pPr>
<w:r><w:t xml:space="preserve">retired from the duties without giving up the rank of</w:t></w:r>
</w:p>
<w:p>
<w:pPr><w:pStyle w:val="Normal"/></w:pPr>
<w:r><w:t xml:space="preserve">chancellor.  He died on the 9th of February of the following year.</w:t></w:r>
</w:p>
<w:p>
<w:pPr><w:pStyle w:val="Normal"/></w:pPr>
<w:r><w:t xml:space="preserve">His grandson, HENRI CARDIN JEAN BAPTISTE, MARQUIS D&apos;AGUESSEAU</w:t></w:r>
</w:p>
<w:p>
<w:pPr><w:pStyle w:val="Normal"/></w:pPr>
<w:r><w:t xml:space="preserve">(1746-1826), was advocate-general in the parlement of Paris</w:t></w:r>
</w:p>
<w:p>
<w:pPr><w:pStyle w:val="Normal"/></w:pPr>
<w:r><w:t xml:space="preserve">and deputy in the Estates-General.  Under the Consulate he</w:t></w:r>
</w:p>
<w:p>
<w:pPr><w:pStyle w:val="Normal"/></w:pPr>
<w:r><w:t xml:space="preserve">became president of the court of appeal and later minister at</w:t></w:r>
</w:p>
<w:p>
<w:pPr><w:pStyle w:val="Normal"/></w:pPr>
<w:r><w:t xml:space="preserve">Copenhaaen.  He was elected to the French Academy in 1787.</w:t></w:r>
</w:p>
<w:p>
<w:pPr><w:pStyle w:val="Normal"/></w:pPr>
<w:r><w:t xml:space="preserve">Of d&apos;Aguesseau&apos;s works the most complete edition is that</w:t></w:r>
</w:p>
<w:p>
<w:pPr><w:pStyle w:val="Normal"/></w:pPr>
<w:r><w:t xml:space="preserve">of the eminent lawyer Jean Marie Pardessus, published in 16</w:t></w:r>
</w:p>
<w:p>
<w:pPr><w:pStyle w:val="Normal"/></w:pPr>
<w:r><w:t xml:space="preserve">vols. (1818-1820); his letters were edited separately by Rives</w:t></w:r>
</w:p>
<w:p>
<w:pPr><w:pStyle w:val="Normal"/></w:pPr>
<w:r><w:t xml:space="preserve">(1823); a selection of his works, OEuvres Choisies, was</w:t></w:r>
</w:p>
<w:p>
<w:pPr><w:pStyle w:val="Normal"/></w:pPr>
<w:r><w:t xml:space="preserve">issued, with a biographical notice, by E. Falconnet in 2 vols.</w:t></w:r>
</w:p>
<w:p>
<w:pPr><w:pStyle w:val="Normal"/></w:pPr>
<w:r><w:t xml:space="preserve">(Paris, 1865).  The far greater part of his works relate to</w:t></w:r>
</w:p>
<w:p>
<w:pPr><w:pStyle w:val="Normal"/></w:pPr>
<w:r><w:t xml:space="preserve">matters connected with his profession, hut they also contain</w:t></w:r>
</w:p>
<w:p>
<w:pPr><w:pStyle w:val="Normal"/></w:pPr>
<w:r><w:t xml:space="preserve">an elaborate treatise on money; several theological essays;</w:t></w:r>
</w:p>
<w:p>
<w:pPr><w:pStyle w:val="Normal"/></w:pPr>
<w:r><w:t xml:space="preserve">a life of his father, which is interesting from the account</w:t></w:r>
</w:p>
<w:p>
<w:pPr><w:pStyle w:val="Normal"/></w:pPr>
<w:r><w:t xml:space="preserve">which it gives of his own early education; and Metaphysical</w:t></w:r>
</w:p>
<w:p>
<w:pPr><w:pStyle w:val="Normal"/></w:pPr>
<w:r><w:t xml:space="preserve">Meditations, written to prove that, independently of</w:t></w:r>
</w:p>
<w:p>
<w:pPr><w:pStyle w:val="Normal"/></w:pPr>
<w:r><w:t xml:space="preserve">all revelation and all positive law, there is that in the</w:t></w:r>
</w:p>
<w:p>
<w:pPr><w:pStyle w:val="Normal"/></w:pPr>
<w:r><w:t xml:space="preserve">constitution of the human mind which renders man a law to himself.</w:t></w:r>
</w:p>
<w:p>
<w:pPr><w:pStyle w:val="Normal"/></w:pPr>
<w:r><w:t xml:space="preserve">See Boullee, Histoire de la vie et les ouvrages de</w:t></w:r>
</w:p>
<w:p>
<w:pPr><w:pStyle w:val="Normal"/></w:pPr>
<w:r><w:t xml:space="preserve">chancelier d&apos;Aguesseau (Paris, 1835); Fr. Monnier, Le</w:t></w:r>
</w:p>
<w:p>
<w:pPr><w:pStyle w:val="Normal"/></w:pPr>
<w:r><w:t xml:space="preserve">Chancelier d&apos;Aguesseau (Paris, 1860; 2nd ed., 1863); Charles</w:t></w:r>
</w:p>
<w:p>
<w:pPr><w:pStyle w:val="Normal"/></w:pPr>
<w:r><w:t xml:space="preserve">Butler, Mem. of Life of H. F. d&apos;Aguesseau, &amp;c. (1830).</w:t></w:r>
</w:p>
<w:p>
<w:pPr><w:pStyle w:val="Normal"/></w:pPr>
<w:r><w:t xml:space="preserve">AGUILAR, GRACE (1816-1847), English writer, the daughter of</w:t></w:r>
</w:p>
<w:p>
<w:pPr><w:pStyle w:val="Normal"/></w:pPr>
<w:r><w:t xml:space="preserve">a Jewish merchant in London, was born in June 1816.  Her works</w:t></w:r>
</w:p>
<w:p>
<w:pPr><w:pStyle w:val="Normal"/></w:pPr>
<w:r><w:t xml:space="preserve">consist chiefly of religious fiction, such as The Vale of</w:t></w:r>
</w:p>
<w:p>
<w:pPr><w:pStyle w:val="Normal"/></w:pPr>
<w:r><w:t xml:space="preserve">Cedars (1850) and Home Influence (1847).  She also wrote,</w:t></w:r>
</w:p>
<w:p>
<w:pPr><w:pStyle w:val="Normal"/></w:pPr>
<w:r><w:t xml:space="preserve">in defence of her faith and its professors, The Spirit of</w:t></w:r>
</w:p>
<w:p>
<w:pPr><w:pStyle w:val="Normal"/></w:pPr>
<w:r><w:t xml:space="preserve">Judaism (1842) and other works.  Her services were acknowledged</w:t></w:r>
</w:p>
<w:p>
<w:pPr><w:pStyle w:val="Normal"/></w:pPr>
<w:r><w:t xml:space="preserve">gratefully by the ``women of Israel&apos;&apos; in a testimonial which</w:t></w:r>
</w:p>
<w:p>
<w:pPr><w:pStyle w:val="Normal"/></w:pPr>
<w:r><w:t xml:space="preserve">they presented shortly before her death, which took place</w:t></w:r>
</w:p>
<w:p>
<w:pPr><w:pStyle w:val="Normal"/></w:pPr>
<w:r><w:t xml:space="preserve">at Frankfort-on-the-Main on the 16th of September 1847.</w:t></w:r>
</w:p>
<w:p>
<w:pPr><w:pStyle w:val="Normal"/></w:pPr>
<w:r><w:t xml:space="preserve">AGUILAR, or AGUILAR DE LA FRONTERA, a town of southern</w:t></w:r>
</w:p>
<w:p>
<w:pPr><w:pStyle w:val="Normal"/></w:pPr>
<w:r><w:t xml:space="preserve">Spain, in the province of Cordova; near the small river</w:t></w:r>
</w:p>
<w:p>
<w:pPr><w:pStyle w:val="Normal"/></w:pPr>
<w:r><w:t xml:space="preserve">Cabra, and on the Cordova-Malaga railway.  Pop. (1900)</w:t></w:r>
</w:p>
<w:p>
<w:pPr><w:pStyle w:val="Normal"/></w:pPr>
<w:r><w:t xml:space="preserve">13,236.  Aguilar ``of the Frontier&apos;&apos; was so named in the</w:t></w:r>
</w:p>
<w:p>
<w:pPr><w:pStyle w:val="Normal"/></w:pPr>
<w:r><w:t xml:space="preserve">middle ages from its position on the border of the Moorish</w:t></w:r>
</w:p>
<w:p>
<w:pPr><w:pStyle w:val="Normal"/></w:pPr>
<w:r><w:t xml:space="preserve">territories, which were defended by the castle of Anzur, now</w:t></w:r>
</w:p>
<w:p>
<w:pPr><w:pStyle w:val="Normal"/></w:pPr>
<w:r><w:t xml:space="preserve">a ruin; but the spacious squares and modern houses of the</w:t></w:r>
</w:p>
<w:p>
<w:pPr><w:pStyle w:val="Normal"/></w:pPr>
<w:r><w:t xml:space="preserve">existing town retain few vestiges of Moorish dominion.  The</w:t></w:r>
</w:p>
<w:p>
<w:pPr><w:pStyle w:val="Normal"/></w:pPr>
<w:r><w:t xml:space="preserve">olives and white wine of Aguilar are celebrated in Spain,</w:t></w:r>
</w:p>
<w:p>
<w:pPr><w:pStyle w:val="Normal"/></w:pPr>
<w:r><w:t xml:space="preserve">although the wine, which somewhat resembles sherry, is known</w:t></w:r>
</w:p>
<w:p>
<w:pPr><w:pStyle w:val="Normal"/></w:pPr>
<w:r><w:t xml:space="preserve">as Montilla, from the adjacent town of that name.  Salt</w:t></w:r>
</w:p>
<w:p>
<w:pPr><w:pStyle w:val="Normal"/></w:pPr>
<w:r><w:t xml:space="preserve">springs exist in the neighbourhood, and to the south there</w:t></w:r>
</w:p>
<w:p>
<w:pPr><w:pStyle w:val="Normal"/></w:pPr>
<w:r><w:t xml:space="preserve">are two small lakes, Zonar and Rincon, which abound in fish.</w:t></w:r>
</w:p>
<w:p>
<w:pPr><w:pStyle w:val="Normal"/></w:pPr>
<w:r><w:t xml:space="preserve">AGUILAS, a seaport of south-eastern Spain, in the province of</w:t></w:r>
</w:p>
<w:p>
<w:pPr><w:pStyle w:val="Normal"/></w:pPr>
<w:r><w:t xml:space="preserve">Murcia, on the Mediterranean Sea, at the terminus of a railway from</w:t></w:r>
</w:p>
<w:p>
<w:pPr><w:pStyle w:val="Normal"/></w:pPr>
<w:r><w:t xml:space="preserve">Huercal-Overa.  Pop. (1900) 15,868.  Aguilas is built on the</w:t></w:r>
</w:p>
<w:p>
<w:pPr><w:pStyle w:val="Normal"/></w:pPr>
<w:r><w:t xml:space="preserve">landward side of a small peninsula, between two bays--the Puerto</w:t></w:r>
</w:p>
<w:p>
<w:pPr><w:pStyle w:val="Normal"/></w:pPr>
<w:r><w:t xml:space="preserve">Ponente, a good harbour, on the south-west, and the Puerto</w:t></w:r>
</w:p>
<w:p>
<w:pPr><w:pStyle w:val="Normal"/></w:pPr>
<w:r><w:t xml:space="preserve">Levanto, which is somewhat dangerous to shipping in rough</w:t></w:r>
</w:p>
<w:p>
<w:pPr><w:pStyle w:val="Normal"/></w:pPr>
<w:r><w:t xml:space="preserve">weather, on the north-east.  It is the chief outlet for the</w:t></w:r>
</w:p>
<w:p>
<w:pPr><w:pStyle w:val="Normal"/></w:pPr>
<w:r><w:t xml:space="preserve">Spanish trade in esparto grass, and for the iron ore and other</w:t></w:r>
</w:p>
<w:p>
<w:pPr><w:pStyle w:val="Normal"/></w:pPr>
<w:r><w:t xml:space="preserve">mineral products of the neighbourhood.  It has also some trade</w:t></w:r>
</w:p>
<w:p>
<w:pPr><w:pStyle w:val="Normal"/></w:pPr>
<w:r><w:t xml:space="preserve">in fruit and grain.  The imports consist chiefly of coal.  In</w:t></w:r>
</w:p>
<w:p>
<w:pPr><w:pStyle w:val="Normal"/></w:pPr>
<w:r><w:t xml:space="preserve">1904, 296 vessels, of 238,274 tons, cleared at this port.</w:t></w:r>
</w:p>
<w:p>
<w:pPr><w:pStyle w:val="Normal"/></w:pPr>
<w:r><w:t xml:space="preserve">AGUILERA, VENTURA RUIZ (1820-1881), Spanish poet, was born in</w:t></w:r>
</w:p>
<w:p>
<w:pPr><w:pStyle w:val="Normal"/></w:pPr>
<w:r><w:t xml:space="preserve">1820 at Salamanca, where he graduated in medicine.  He removed</w:t></w:r>
</w:p>
<w:p>
<w:pPr><w:pStyle w:val="Normal"/></w:pPr>
<w:r><w:t xml:space="preserve">to Madrid in 1844, engaged in journalism and won considerable</w:t></w:r>
</w:p>
<w:p>
<w:pPr><w:pStyle w:val="Normal"/></w:pPr>
<w:r><w:t xml:space="preserve">popularity with a collection of poems entitled Ecos Nacionales</w:t></w:r>
</w:p>
<w:p>
<w:pPr><w:pStyle w:val="Normal"/></w:pPr>
<w:r><w:t xml:space="preserve">(1849).  His Elegias y armonias (1863) was no less</w:t></w:r>
</w:p>
<w:p>
<w:pPr><w:pStyle w:val="Normal"/></w:pPr>
<w:r><w:t xml:space="preserve">successful, but his Satiras (1874) and Estaciones del ano</w:t></w:r>
</w:p>
<w:p>
<w:pPr><w:pStyle w:val="Normal"/></w:pPr>
<w:r><w:t xml:space="preserve">(1879) showed that his powers were declining.  He wrote under</w:t></w:r>
</w:p>
<w:p>
<w:pPr><w:pStyle w:val="Normal"/></w:pPr>
<w:r><w:t xml:space="preserve">the obvious influence of Lamartine, preaching the gospel of</w:t></w:r>
</w:p>
<w:p>
<w:pPr><w:pStyle w:val="Normal"/></w:pPr>
<w:r><w:t xml:space="preserve">liberalism and Christianity in verses which, though deficient in</w:t></w:r>
</w:p>
<w:p>
<w:pPr><w:pStyle w:val="Normal"/></w:pPr>
<w:r><w:t xml:space="preserve">force, leave the impression of a sincere devotion and a charming</w:t></w:r>
</w:p>
<w:p>
<w:pPr><w:pStyle w:val="Normal"/></w:pPr>
<w:r><w:t xml:space="preserve">personality.  He became director of the national archaeological</w:t></w:r>
</w:p>
<w:p>
<w:pPr><w:pStyle w:val="Normal"/></w:pPr>
<w:r><w:t xml:space="preserve">museum at Madrid, where he died on the 1st of July 1881.</w:t></w:r>
</w:p>
<w:p>
<w:pPr><w:pStyle w:val="Normal"/></w:pPr>
<w:r><w:t xml:space="preserve">AGUILLON (AGUILONIUS), FRANCOIS D, (1566-1617), Flemish</w:t></w:r>
</w:p>
<w:p>
<w:pPr><w:pStyle w:val="Normal"/></w:pPr>
<w:r><w:t xml:space="preserve">mathematician.  Having entered the Society of Jesus in</w:t></w:r>
</w:p>
<w:p>
<w:pPr><w:pStyle w:val="Normal"/></w:pPr>
<w:r><w:t xml:space="preserve">1586, he was successively professor of philosophy at Douai</w:t></w:r>
</w:p>
<w:p>
<w:pPr><w:pStyle w:val="Normal"/></w:pPr>
<w:r><w:t xml:space="preserve">and rector of the Jesuit College at Antwerp.  He wrote a</w:t></w:r>
</w:p>
<w:p>
<w:pPr><w:pStyle w:val="Normal"/></w:pPr>
<w:r><w:t xml:space="preserve">treatise on optics in six books (Antwerp, 1613), notable</w:t></w:r>
</w:p>
<w:p>
<w:pPr><w:pStyle w:val="Normal"/></w:pPr>
<w:r><w:t xml:space="preserve">for containing the principles of stereographic projection.</w:t></w:r>
</w:p>
<w:p>
<w:pPr><w:pStyle w:val="Normal"/></w:pPr>
<w:r><w:t xml:space="preserve">AHAB (in Heb. ``father&apos;s brother&apos;&apos;), king of Israel, the son</w:t></w:r>
</w:p>
<w:p>
<w:pPr><w:pStyle w:val="Normal"/></w:pPr>
<w:r><w:t xml:space="preserve">and successor of Omri, ascended the throne about 875 B.C.</w:t></w:r>
</w:p>
<w:p>
<w:pPr><w:pStyle w:val="Normal"/></w:pPr>
<w:r><w:t xml:space="preserve">(1 Kings xvi. 29-34).  He married Jezebel, the daughter of</w:t></w:r>
</w:p>
<w:p>
<w:pPr><w:pStyle w:val="Normal"/></w:pPr>
<w:r><w:t xml:space="preserve">the king of Sidon, and the alliance was doubtless the means</w:t></w:r>
</w:p>
<w:p>
<w:pPr><w:pStyle w:val="Normal"/></w:pPr>
<w:r><w:t xml:space="preserve">of procuring him great riches, which brought pomp and luxury</w:t></w:r>
</w:p>
<w:p>
<w:pPr><w:pStyle w:val="Normal"/></w:pPr>
<w:r><w:t xml:space="preserve">in their train.  We read of his building an ivory palace and</w:t></w:r>
</w:p>
<w:p>
<w:pPr><w:pStyle w:val="Normal"/></w:pPr>
<w:r><w:t xml:space="preserve">founding new cities, the effect perhaps of a share in the</w:t></w:r>
</w:p>
<w:p>
<w:pPr><w:pStyle w:val="Normal"/></w:pPr>
<w:r><w:t xml:space="preserve">flourishing commerce of Phoenicia.1 The material prosperity</w:t></w:r>
</w:p>
<w:p>
<w:pPr><w:pStyle w:val="Normal"/></w:pPr>
<w:r><w:t xml:space="preserve">of his reign, which is comparable with that of Solomon a</w:t></w:r>
</w:p>
<w:p>
<w:pPr><w:pStyle w:val="Normal"/></w:pPr>
<w:r><w:t xml:space="preserve">century before, was overshadowed by the religious changes</w:t></w:r>
</w:p>
<w:p>
<w:pPr><w:pStyle w:val="Normal"/></w:pPr>
<w:r><w:t xml:space="preserve">which his marriage involved.  Although he was a worshipper of</w:t></w:r>
</w:p>
<w:p>
<w:pPr><w:pStyle w:val="Normal"/></w:pPr>
<w:r><w:t xml:space="preserve">Yahweh, as the names of his children prove (cp. also xxii. 5</w:t></w:r>
</w:p>
<w:p>
<w:pPr><w:pStyle w:val="Normal"/></w:pPr>
<w:r><w:t xml:space="preserve">seq.), his wife was firmly attached to the worship of the</w:t></w:r>
</w:p>
<w:p>
<w:pPr><w:pStyle w:val="Normal"/></w:pPr>
<w:r><w:t xml:space="preserve">Tyrian Baal, Melkart, and led by her he gave a great impulse</w:t></w:r>
</w:p>
<w:p>
<w:pPr><w:pStyle w:val="Normal"/></w:pPr>
<w:r><w:t xml:space="preserve">to this cult by building a temple in honour of Baal in</w:t></w:r>
</w:p>
<w:p>
<w:pPr><w:pStyle w:val="Normal"/></w:pPr>
<w:r><w:t xml:space="preserve">Samaria.  This roused the indignation of those prophets</w:t></w:r>
</w:p>
<w:p>
<w:pPr><w:pStyle w:val="Normal"/></w:pPr>
<w:r><w:t xml:space="preserve">whose aim it was to purify the worship of Yahweh (see</w:t></w:r>
</w:p>
<w:p>
<w:pPr><w:pStyle w:val="Normal"/></w:pPr>
<w:r><w:t xml:space="preserve">ELIJAH.) During Ahab&apos;s reign Moab, which had been conquered</w:t></w:r>
</w:p>
<w:p>
<w:pPr><w:pStyle w:val="Normal"/></w:pPr>
<w:r><w:t xml:space="preserve">by his father, remained tributary; Judah, with whose king,</w:t></w:r>
</w:p>
<w:p>
<w:pPr><w:pStyle w:val="Normal"/></w:pPr>
<w:r><w:t xml:space="preserve">Jehoshaphat, he was allied by marriage, was probably his</w:t></w:r>
</w:p>
<w:p>
<w:pPr><w:pStyle w:val="Normal"/></w:pPr>
<w:r><w:t xml:space="preserve">vassal; only with Damascus is he said to have had strained</w:t></w:r>
</w:p>
<w:p>
<w:pPr><w:pStyle w:val="Normal"/></w:pPr>
<w:r><w:t xml:space="preserve">relations.  The one event mentioned by external sources is the</w:t></w:r>
</w:p>
<w:p>
<w:pPr><w:pStyle w:val="Normal"/></w:pPr>
<w:r><w:t xml:space="preserve">battle at Karkar (perhaps Apamea), where Shalmaneser II. of</w:t></w:r>
</w:p>
<w:p>
<w:pPr><w:pStyle w:val="Normal"/></w:pPr>
<w:r><w:t xml:space="preserve">Assyria fought a great confederation of princes from Cilicia,</w:t></w:r>
</w:p>
<w:p>
<w:pPr><w:pStyle w:val="Normal"/></w:pPr>
<w:r><w:t xml:space="preserve">N. Syria, Israel, Ammon and the tribes of the Syrian desert</w:t></w:r>
</w:p>
<w:p>
<w:pPr><w:pStyle w:val="Normal"/></w:pPr>
<w:r><w:t xml:space="preserve">(854 B.C..) Here Ahabbu Sir&apos;lai (Ahab the Israelite) with</w:t></w:r>
</w:p>
<w:p>
<w:pPr><w:pStyle w:val="Normal"/></w:pPr>
<w:r><w:t xml:space="preserve">Baasha, son of Ruhub (Rehob) of Ammon and nine others are</w:t></w:r>
</w:p>
<w:p>
<w:pPr><w:pStyle w:val="Normal"/></w:pPr>
<w:r><w:t xml:space="preserve">allied with Bir-&apos;idri (Ben-hadad), Ahab&apos;s contribution being</w:t></w:r>
</w:p>
<w:p>
<w:pPr><w:pStyle w:val="Normal"/></w:pPr>
<w:r><w:t xml:space="preserve">reckoned at 2000 chariots and 10,000 men.  The numbers are</w:t></w:r>
</w:p>
<w:p>
<w:pPr><w:pStyle w:val="Normal"/></w:pPr>
<w:r><w:t xml:space="preserve">comparatively large and possibly include forces from Tyre,</w:t></w:r>
</w:p>
<w:p>
<w:pPr><w:pStyle w:val="Normal"/></w:pPr>
<w:r><w:t xml:space="preserve">Judah, Edom and Moab.  The Assyrian king claimed a victory,</w:t></w:r>
</w:p>
<w:p>
<w:pPr><w:pStyle w:val="Normal"/></w:pPr>
<w:r><w:t xml:space="preserve">but his immediate return and subsequent expeditions in 849</w:t></w:r>
</w:p>
<w:p>
<w:pPr><w:pStyle w:val="Normal"/></w:pPr>
<w:r><w:t xml:space="preserve">and 846 against a similar but unspecified coalition seem to</w:t></w:r>
</w:p>
<w:p>
<w:pPr><w:pStyle w:val="Normal"/></w:pPr>
<w:r><w:t xml:space="preserve">show that he met with no lasting success.  According to the</w:t></w:r>
</w:p>
<w:p>
<w:pPr><w:pStyle w:val="Normal"/></w:pPr>
<w:r><w:t xml:space="preserve">Old Testament narratives, however, Ahab with 7000 troops had</w:t></w:r>
</w:p>
<w:p>
<w:pPr><w:pStyle w:val="Normal"/></w:pPr>
<w:r><w:t xml:space="preserve">previously overthrown Ben-hadad and his thirty-two kings, who</w:t></w:r>
</w:p>
<w:p>
<w:pPr><w:pStyle w:val="Normal"/></w:pPr>
<w:r><w:t xml:space="preserve">had come to lay siege to Samaria, and in the following year</w:t></w:r>
</w:p>
<w:p>
<w:pPr><w:pStyle w:val="Normal"/></w:pPr>
<w:r><w:t xml:space="preserve">obtained a remarkable victory over him at Aphek, probably in</w:t></w:r>
</w:p>
<w:p>
<w:pPr><w:pStyle w:val="Normal"/></w:pPr>
<w:r><w:t xml:space="preserve">the plain of Sharon (1 Kings xx.) . A treaty was made whereby</w:t></w:r>
</w:p>
<w:p>
<w:pPr><w:pStyle w:val="Normal"/></w:pPr>
<w:r><w:t xml:space="preserve">Ben-hadad restored the cities which his father had taken from</w:t></w:r>
</w:p>
<w:p>
<w:pPr><w:pStyle w:val="Normal"/></w:pPr>
<w:r><w:t xml:space="preserve">Ahab&apos;s father (i.e. Omri, but see xv. 20, 2 Kings xiii.</w:t></w:r>
</w:p>
<w:p>
<w:pPr><w:pStyle w:val="Normal"/></w:pPr>
<w:r><w:t xml:space="preserve">25), and trading facilities between Damascus and Samaria were</w:t></w:r>
</w:p>
<w:p>
<w:pPr><w:pStyle w:val="Normal"/></w:pPr>
<w:r><w:t xml:space="preserve">granted.  A late popular story (xx. 35-42, akin in tone to xii.</w:t></w:r>
</w:p>
<w:p>
<w:pPr><w:pStyle w:val="Normal"/></w:pPr>
<w:r><w:t xml:space="preserve">33-xiii. 34) condemned Ahab for his leniency and foretold the</w:t></w:r>
</w:p>
<w:p>
<w:pPr><w:pStyle w:val="Normal"/></w:pPr>
<w:r><w:t xml:space="preserve">destruction of the king and his land.  Three years later, war</w:t></w:r>
</w:p>
<w:p>
<w:pPr><w:pStyle w:val="Normal"/></w:pPr>
<w:r><w:t xml:space="preserve">broke out on the east of Jordan, and Ahab with Jehoshaphat of</w:t></w:r>
</w:p>
<w:p>
<w:pPr><w:pStyle w:val="Normal"/></w:pPr>
<w:r><w:t xml:space="preserve">Judah went to recover Ramoth-Gilead and was mortally wounded</w:t></w:r>
</w:p>
<w:p>
<w:pPr><w:pStyle w:val="Normal"/></w:pPr>
<w:r><w:t xml:space="preserve">(xxii.).  He was succeeded by his sons (Ahaziah and Jehoram).</w:t></w:r>
</w:p>
<w:p>
<w:pPr><w:pStyle w:val="Normal"/></w:pPr>
<w:r><w:t xml:space="preserve">It is very difficult to obtain any clear idea of the order</w:t></w:r>
</w:p>
<w:p>
<w:pPr><w:pStyle w:val="Normal"/></w:pPr>
<w:r><w:t xml:space="preserve">of these events (LXX. places 1 Kings xxi. immediately after</w:t></w:r>
</w:p>
<w:p>
<w:pPr><w:pStyle w:val="Normal"/></w:pPr>
<w:r><w:t xml:space="preserve">xix.).  How the hostile kings of Israel and Syria came to</w:t></w:r>
</w:p>
<w:p>
<w:pPr><w:pStyle w:val="Normal"/></w:pPr>
<w:r><w:t xml:space="preserve">fight a common enemy, and how to correlate the Assyrian and</w:t></w:r>
</w:p>
<w:p>
<w:pPr><w:pStyle w:val="Normal"/></w:pPr>
<w:r><w:t xml:space="preserve">Biblical records, are questions which have perplexed all recent</w:t></w:r>
</w:p>
<w:p>
<w:pPr><w:pStyle w:val="Normal"/></w:pPr>
<w:r><w:t xml:space="preserve">writers.  The reality of the difficulties will be apparent from</w:t></w:r>
</w:p>
<w:p>
<w:pPr><w:pStyle w:val="Normal"/></w:pPr>
<w:r><w:t xml:space="preserve">the fact that it has been suggested that the Assyrian scribe</w:t></w:r>
</w:p>
<w:p>
<w:pPr><w:pStyle w:val="Normal"/></w:pPr>
<w:r><w:t xml:space="preserve">wrote ``Ahab&apos;&apos; for his son ``Jehoram&apos;&apos; (Kamphausen, Chronol. d.</w:t></w:r>
</w:p>
<w:p>
<w:pPr><w:pStyle w:val="Normal"/></w:pPr>
<w:r><w:t xml:space="preserve">hebr.  Kon., Kittel), and that the very identification of</w:t></w:r>
</w:p>
<w:p>
<w:pPr><w:pStyle w:val="Normal"/></w:pPr>
<w:r><w:t xml:space="preserve">the name with Ahab of Israel has been questioned (Horner,</w:t></w:r>
</w:p>
<w:p>
<w:pPr><w:pStyle w:val="Normal"/></w:pPr>
<w:r><w:t xml:space="preserve">Proc.  Soc. Bibl.  Arch., 1898, p. 244).2 Whilst the above</w:t></w:r>
</w:p>
<w:p>
<w:pPr><w:pStyle w:val="Normal"/></w:pPr>
<w:r><w:t xml:space="preserve">passages in 1 Kings view Ahab not unfavourably, there are</w:t></w:r>
</w:p>
<w:p>
<w:pPr><w:pStyle w:val="Normal"/></w:pPr>
<w:r><w:t xml:space="preserve">others which give a less friendly picture.  The tragic murder</w:t></w:r>
</w:p>
<w:p>
<w:pPr><w:pStyle w:val="Normal"/></w:pPr>
<w:r><w:t xml:space="preserve">of Naboth (see JEZEBEL), an act of royal encroachment,</w:t></w:r>
</w:p>
<w:p>
<w:pPr><w:pStyle w:val="Normal"/></w:pPr>
<w:r><w:t xml:space="preserve">stirred up popular resentment just as the new cult aroused</w:t></w:r>
</w:p>
<w:p>
<w:pPr><w:pStyle w:val="Normal"/></w:pPr>
<w:r><w:t xml:space="preserve">the opposition of certain of the prophets.  The latter found</w:t></w:r>
</w:p>
<w:p>
<w:pPr><w:pStyle w:val="Normal"/></w:pPr>
<w:r><w:t xml:space="preserve">their champion in Elijah, whose history reflects the prophetic</w:t></w:r>
</w:p>
<w:p>
<w:pPr><w:pStyle w:val="Normal"/></w:pPr>
<w:r><w:t xml:space="preserve">teaching of more than one age. (See KINGS.) His denunciation</w:t></w:r>
</w:p>
<w:p>
<w:pPr><w:pStyle w:val="Normal"/></w:pPr>
<w:r><w:t xml:space="preserve">of the royal dynasty, and his emphatic insistence on the</w:t></w:r>
</w:p>
<w:p>
<w:pPr><w:pStyle w:val="Normal"/></w:pPr>
<w:r><w:t xml:space="preserve">worship of Yahweh and Yahweh alone, form the keynote to a</w:t></w:r>
</w:p>
<w:p>
<w:pPr><w:pStyle w:val="Normal"/></w:pPr>
<w:r><w:t xml:space="preserve">period which culminated in the accession of Jehu, an event in</w:t></w:r>
</w:p>
<w:p>
<w:pPr><w:pStyle w:val="Normal"/></w:pPr>
<w:r><w:t xml:space="preserve">which Elijah&apos;s chosen disciple Elisha was the leading figure.</w:t></w:r>
</w:p>
<w:p>
<w:pPr><w:pStyle w:val="Normal"/></w:pPr>
<w:r><w:t xml:space="preserve">The allusions to the statutes and works of Omri and Ahab</w:t></w:r>
</w:p>
<w:p>
<w:pPr><w:pStyle w:val="Normal"/></w:pPr>
<w:r><w:t xml:space="preserve">in Mic. vi. 16 may point to legislative measures of these</w:t></w:r>
</w:p>
<w:p>
<w:pPr><w:pStyle w:val="Normal"/></w:pPr>
<w:r><w:t xml:space="preserve">kings, and the reference to the incidents at the building</w:t></w:r>
</w:p>
<w:p>
<w:pPr><w:pStyle w:val="Normal"/></w:pPr>
<w:r><w:t xml:space="preserve">of Jericho (1 Kings xvi. 34) may be taken to show that</w:t></w:r>
</w:p>
<w:p>
<w:pPr><w:pStyle w:val="Normal"/></w:pPr>
<w:r><w:t xml:space="preserve">foundation sacrifices, familiar in nearly all parts of the</w:t></w:r>
</w:p>
<w:p>
<w:pPr><w:pStyle w:val="Normal"/></w:pPr>
<w:r><w:t xml:space="preserve">world, were not unknown in Israel at this period.3 This</w:t></w:r>
</w:p>
<w:p>
<w:pPr><w:pStyle w:val="Normal"/></w:pPr>
<w:r><w:t xml:space="preserve">has in fact been confirmed by excavation in Palestine.</w:t></w:r>
</w:p>
<w:p>
<w:pPr><w:pStyle w:val="Normal"/></w:pPr>
<w:r><w:t xml:space="preserve">Another Ahab is known only as an impious prophet in the</w:t></w:r>
</w:p>
<w:p>
<w:pPr><w:pStyle w:val="Normal"/></w:pPr>
<w:r><w:t xml:space="preserve">time of the Babylonian exile (Jer. xxix. 21). (S. A. C.)</w:t></w:r>
</w:p>
<w:p>
<w:pPr><w:pStyle w:val="Normal"/></w:pPr>
<w:r><w:t xml:space="preserve">1 Ahab&apos;s ivory palace found its imitators (1 Kings xxii. 39;</w:t></w:r>
</w:p>
<w:p>
<w:pPr><w:pStyle w:val="Normal"/></w:pPr>
<w:r><w:t xml:space="preserve">Am. iii. 15). The ivory was probably brought by the Phoenicians</w:t></w:r>
</w:p>
<w:p>
<w:pPr><w:pStyle w:val="Normal"/></w:pPr>
<w:r><w:t xml:space="preserve">from Cyprus or from one of the works on the coast of Asia Minor.</w:t></w:r>
</w:p>
<w:p>
<w:pPr><w:pStyle w:val="Normal"/></w:pPr>
<w:r><w:t xml:space="preserve">2 See the discussions by Cheyne, Ency.  Bib.</w:t></w:r>
</w:p>
<w:p>
<w:pPr><w:pStyle w:val="Normal"/></w:pPr>
<w:r><w:t xml:space="preserve">col. 91 seq., and by Whitehouse, Dict Bib. i. 53.</w:t></w:r>
</w:p>
<w:p>
<w:pPr><w:pStyle w:val="Normal"/></w:pPr>
<w:r><w:t xml:space="preserve">3 See Trumbull, Threshold Covenant, pp. 46 sqq.;</w:t></w:r>
</w:p>
<w:p>
<w:pPr><w:pStyle w:val="Normal"/></w:pPr>
<w:r><w:t xml:space="preserve">Haddon, Study of Man, pp. 347 sqq.; P. Sartori,</w:t></w:r>
</w:p>
<w:p>
<w:pPr><w:pStyle w:val="Normal"/></w:pPr>
<w:r><w:t xml:space="preserve">Zeitschr. fur Ethnologie, 1898, pp. 1 seq.</w:t></w:r>
</w:p>
<w:p>
<w:pPr><w:pStyle w:val="Normal"/></w:pPr>
<w:r><w:t xml:space="preserve">&apos;AHAI, of Sabha, an 8th-century Talmudist of high renown.</w:t></w:r>
</w:p>
<w:p>
<w:pPr><w:pStyle w:val="Normal"/></w:pPr>
<w:r><w:t xml:space="preserve">He was author of Quaestiones (Sheiltoth), a collection</w:t></w:r>
</w:p>
<w:p>
<w:pPr><w:pStyle w:val="Normal"/></w:pPr>
<w:r><w:t xml:space="preserve">of homilies (at once learned and popular) on Jewish law and</w:t></w:r>
</w:p>
<w:p>
<w:pPr><w:pStyle w:val="Normal"/></w:pPr>
<w:r><w:t xml:space="preserve">ethics.  This is recorded to have been the first work written</w:t></w:r>
</w:p>
<w:p>
<w:pPr><w:pStyle w:val="Normal"/></w:pPr>
<w:r><w:t xml:space="preserve">by a Jewish scholar after the completion of the Talmud.</w:t></w:r>
</w:p>
<w:p>
<w:pPr><w:pStyle w:val="Normal"/></w:pPr>
<w:r><w:t xml:space="preserve">AHASUERUS (the Latinized form of the Hebrew shin vav resh</w:t></w:r>
</w:p>
<w:p>
<w:pPr><w:pStyle w:val="Normal"/></w:pPr>
<w:r><w:t xml:space="preserve">tsareh vav shvah shin patach heth patach aleph; in LXX.</w:t></w:r>
</w:p>
<w:p>
<w:pPr><w:pStyle w:val="Normal"/></w:pPr>
<w:r><w:t xml:space="preserve">`Assoueros, once in Tobit `Asueros)), a royal Persian or</w:t></w:r>
</w:p>
<w:p>
<w:pPr><w:pStyle w:val="Normal"/></w:pPr>
<w:r><w:t xml:space="preserve">Median name occurring in three of the books of the Old Testament</w:t></w:r>
</w:p>
<w:p>
<w:pPr><w:pStyle w:val="Normal"/></w:pPr>
<w:r><w:t xml:space="preserve">and in one of the books of the Apocrypha.  In every case the</w:t></w:r>
</w:p>
<w:p>
<w:pPr><w:pStyle w:val="Normal"/></w:pPr>
<w:r><w:t xml:space="preserve">identification of the person named is a matter of controversy.</w:t></w:r>
</w:p>
<w:p>
<w:pPr><w:pStyle w:val="Normal"/></w:pPr>
<w:r><w:t xml:space="preserve">In Dan. ix. 1 Ahasuerus is the father of Darius the Mede,</w:t></w:r>
</w:p>
<w:p>
<w:pPr><w:pStyle w:val="Normal"/></w:pPr>
<w:r><w:t xml:space="preserve">who ``was made king over the realm of the Chaldeans&apos;&apos; after</w:t></w:r>
</w:p>
<w:p>
<w:pPr><w:pStyle w:val="Normal"/></w:pPr>
<w:r><w:t xml:space="preserve">the conquest of Babylon and death of Belshazzar.  Who this</w:t></w:r>
</w:p>
<w:p>
<w:pPr><w:pStyle w:val="Normal"/></w:pPr>
<w:r><w:t xml:space="preserve">Darius was is one of the most difficult questions in ancient</w:t></w:r>
</w:p>
<w:p>
<w:pPr><w:pStyle w:val="Normal"/></w:pPr>
<w:r><w:t xml:space="preserve">history.  Nabonidos (Nabunaid, Nabu-nahid) was immediately</w:t></w:r>
</w:p>
<w:p>
<w:pPr><w:pStyle w:val="Normal"/></w:pPr>
<w:r><w:t xml:space="preserve">succeeded by Cyrus, who ruled the whole Persian empire.</w:t></w:r>
</w:p>
<w:p>
<w:pPr><w:pStyle w:val="Normal"/></w:pPr>
<w:r><w:t xml:space="preserve">Darius may possibly have acted under Cyrus as governor of</w:t></w:r>
</w:p>
<w:p>
<w:pPr><w:pStyle w:val="Normal"/></w:pPr>
<w:r><w:t xml:space="preserve">Babylon, but this view is not favoured by Dan. vi. 1, vi.</w:t></w:r>
</w:p>
<w:p>
<w:pPr><w:pStyle w:val="Normal"/></w:pPr>
<w:r><w:t xml:space="preserve">25, for Darius (v. 31) is said to have been sixty-two</w:t></w:r>
</w:p>
<w:p>
<w:pPr><w:pStyle w:val="Normal"/></w:pPr>
<w:r><w:t xml:space="preserve">years old at the time (638 B.C.) . This would make him</w:t></w:r>
</w:p>
<w:p>
<w:pPr><w:pStyle w:val="Normal"/></w:pPr>
<w:r><w:t xml:space="preserve">contemporary with Nebuchadrezzar, which agrees with Tob. xiv.</w:t></w:r>
</w:p>
<w:p>
<w:pPr><w:pStyle w:val="Normal"/></w:pPr>
<w:r><w:t xml:space="preserve">15, where we read ``of the destruction of Nineveh, which</w:t></w:r>
</w:p>
<w:p>
<w:pPr><w:pStyle w:val="Normal"/></w:pPr>
<w:r><w:t xml:space="preserve">Nebuchadnezzar and Ahasuerus took captive.&apos;&apos; As a matter of</w:t></w:r>
</w:p>
<w:p>
<w:pPr><w:pStyle w:val="Normal"/></w:pPr>
<w:r><w:t xml:space="preserve">fact, however, Cyaxares and Nabopolassar were the conquerors</w:t></w:r>
</w:p>
<w:p>
<w:pPr><w:pStyle w:val="Normal"/></w:pPr>
<w:r><w:t xml:space="preserve">of Nineveh, and the latter was the father of Nebuchadrezzar.</w:t></w:r>
</w:p>
<w:p>
<w:pPr><w:pStyle w:val="Normal"/></w:pPr>
<w:r><w:t xml:space="preserve">Cyrus did, on ascending the throne of Babylon, appoint a</w:t></w:r>
</w:p>
<w:p>
<w:pPr><w:pStyle w:val="Normal"/></w:pPr>
<w:r><w:t xml:space="preserve">governor of the province, but his name was Gobryas, the son of</w:t></w:r>
</w:p>
<w:p>
<w:pPr><w:pStyle w:val="Normal"/></w:pPr>
<w:r><w:t xml:space="preserve">Mardonius.  The truth is, no doubt, as Prof.  Sayce points</w:t></w:r>
</w:p>
<w:p>
<w:pPr><w:pStyle w:val="Normal"/></w:pPr>
<w:r><w:t xml:space="preserve">out, that the book of Daniel was not meant to be strictly</w:t></w:r>
</w:p>
<w:p>
<w:pPr><w:pStyle w:val="Normal"/></w:pPr>
<w:r><w:t xml:space="preserve">historical.  As Prof.  Driver says, ``tradition, it can</w:t></w:r>
</w:p>
<w:p>
<w:pPr><w:pStyle w:val="Normal"/></w:pPr>
<w:r><w:t xml:space="preserve">hardly be doubted, has here confused persons and events in</w:t></w:r>
</w:p>
<w:p>
<w:pPr><w:pStyle w:val="Normal"/></w:pPr>
<w:r><w:t xml:space="preserve">reality distinct&apos;&apos; (Literature of the Old Test. (6) p. 500).</w:t></w:r>
</w:p>
<w:p>
<w:pPr><w:pStyle w:val="Normal"/></w:pPr>
<w:r><w:t xml:space="preserve">In Ezra iv. 6 Ahasuerus is mentioned as a king of Persia, to</w:t></w:r>
</w:p>
<w:p>
<w:pPr><w:pStyle w:val="Normal"/></w:pPr>
<w:r><w:t xml:space="preserve">whom the enemies of the Jews sent representations opposing</w:t></w:r>
</w:p>
<w:p>
<w:pPr><w:pStyle w:val="Normal"/></w:pPr>
<w:r><w:t xml:space="preserve">the rebuilding of the temple at Jerusalem.  Here the sequence</w:t></w:r>
</w:p>
<w:p>
<w:pPr><w:pStyle w:val="Normal"/></w:pPr>
<w:r><w:t xml:space="preserve">of the reigns in the Biblical writer and in the profane</w:t></w:r>
</w:p>
<w:p>
<w:pPr><w:pStyle w:val="Normal"/></w:pPr>
<w:r><w:t xml:space="preserve">historians-- in the one, Cyrus, Ahasuerus, Artaxerxes, Darius;</w:t></w:r>
</w:p>
<w:p>
<w:pPr><w:pStyle w:val="Normal"/></w:pPr>
<w:r><w:t xml:space="preserve">in the other, Cyrus, Cambyses, Smerdis, Darius--led in the past</w:t></w:r>
</w:p>
<w:p>
<w:pPr><w:pStyle w:val="Normal"/></w:pPr>
<w:r><w:t xml:space="preserve">(Ewald, &amp;c.) to the identification of Ahasuerus with Cambyses</w:t></w:r>
</w:p>
<w:p>
<w:pPr><w:pStyle w:val="Normal"/></w:pPr>
<w:r><w:t xml:space="preserve">(529--522 B.C.), son of Cyrus.  The name Khshayarsha,</w:t></w:r>
</w:p>
<w:p>
<w:pPr><w:pStyle w:val="Normal"/></w:pPr>
<w:r><w:t xml:space="preserve">however, has been found in Persian inscriptions, and has been</w:t></w:r>
</w:p>
<w:p>
<w:pPr><w:pStyle w:val="Normal"/></w:pPr>
<w:r><w:t xml:space="preserve">thought to be equivalent to the Xerxes (485-465 B.C.) of the</w:t></w:r>
</w:p>
<w:p>
<w:pPr><w:pStyle w:val="Normal"/></w:pPr>
<w:r><w:t xml:space="preserve">Greeks.  On Babylonian tablets both the forms Khishiarshu</w:t></w:r>
</w:p>
<w:p>
<w:pPr><w:pStyle w:val="Normal"/></w:pPr>
<w:r><w:t xml:space="preserve">and Akkashiarshi occur amongst others.  Modern scholars,</w:t></w:r>
</w:p>
<w:p>
<w:pPr><w:pStyle w:val="Normal"/></w:pPr>
<w:r><w:t xml:space="preserve">therefore, identify the Ahasuerus of Ezra with Xerxes.</w:t></w:r>
</w:p>
<w:p>
<w:pPr><w:pStyle w:val="Normal"/></w:pPr>
<w:r><w:t xml:space="preserve">In the book of Esther the king of Persia is called Ahasuerus</w:t></w:r>
</w:p>
<w:p>
<w:pPr><w:pStyle w:val="Normal"/></w:pPr>
<w:r><w:t xml:space="preserve">(rendered in LXX. ``Artaxerxes&apos;&apos; throughout).  The identification</w:t></w:r>
</w:p>
<w:p>
<w:pPr><w:pStyle w:val="Normal"/></w:pPr>
<w:r><w:t xml:space="preserve">of Ahasuerus with Artaxerxes I. Longimanus, the son and successor</w:t></w:r>
</w:p>
<w:p>
<w:pPr><w:pStyle w:val="Normal"/></w:pPr>
<w:r><w:t xml:space="preserve">of Xerxes, though countenanced by Josephus, deserves little</w:t></w:r>
</w:p>
<w:p>
<w:pPr><w:pStyle w:val="Normal"/></w:pPr>
<w:r><w:t xml:space="preserve">consideration.  Most students are agreed that he must be a</w:t></w:r>
</w:p>
<w:p>
<w:pPr><w:pStyle w:val="Normal"/></w:pPr>
<w:r><w:t xml:space="preserve">monarch of the Achaemenian dynasty, earlier than Artaxerxes</w:t></w:r>
</w:p>
<w:p>
<w:pPr><w:pStyle w:val="Normal"/></w:pPr>
<w:r><w:t xml:space="preserve">I.; and opinion is divided between Darius Hystaspes and</w:t></w:r>
</w:p>
<w:p>
<w:pPr><w:pStyle w:val="Normal"/></w:pPr>
<w:r><w:t xml:space="preserve">Xerxes.  In support of the former view it is alleged, among</w:t></w:r>
</w:p>
<w:p>
<w:pPr><w:pStyle w:val="Normal"/></w:pPr>
<w:r><w:t xml:space="preserve">other things, that Darius was the first Persian king of whom</w:t></w:r>
</w:p>
<w:p>
<w:pPr><w:pStyle w:val="Normal"/></w:pPr>
<w:r><w:t xml:space="preserve">it could be said, as in Esther i. 1, that he ``reigned from</w:t></w:r>
</w:p>
<w:p>
<w:pPr><w:pStyle w:val="Normal"/></w:pPr>
<w:r><w:t xml:space="preserve">India even unto Ethiopia, over an hundred and seven and twenty</w:t></w:r>
</w:p>
<w:p>
<w:pPr><w:pStyle w:val="Normal"/></w:pPr>
<w:r><w:t xml:space="preserve">provinces&apos;&apos;; and that it was also the distinction of Darius</w:t></w:r>
</w:p>
<w:p>
<w:pPr><w:pStyle w:val="Normal"/></w:pPr>
<w:r><w:t xml:space="preserve">that (Esther x. 1) he laid ``a tribute upon the land and upon</w:t></w:r>
</w:p>
<w:p>
<w:pPr><w:pStyle w:val="Normal"/></w:pPr>
<w:r><w:t xml:space="preserve">the isles of the sea&apos;&apos; (cf. Herod. iii. 89). In support of</w:t></w:r>
</w:p>
<w:p>
<w:pPr><w:pStyle w:val="Normal"/></w:pPr>
<w:r><w:t xml:space="preserve">the identification with Xerxes it is alleged (1) that the</w:t></w:r>
</w:p>
<w:p>
<w:pPr><w:pStyle w:val="Normal"/></w:pPr>
<w:r><w:t xml:space="preserve">Hebrew Ahashverosh is the natural equivalent of the old</w:t></w:r>
</w:p>
<w:p>
<w:pPr><w:pStyle w:val="Normal"/></w:pPr>
<w:r><w:t xml:space="preserve">Persian Khshayarsha, the true name of Xerxes; (2) that</w:t></w:r>
</w:p>
<w:p>
<w:pPr><w:pStyle w:val="Normal"/></w:pPr>
<w:r><w:t xml:space="preserve">there is a striking similarity of character between the Xerxes</w:t></w:r>
</w:p>
<w:p>
<w:pPr><w:pStyle w:val="Normal"/></w:pPr>
<w:r><w:t xml:space="preserve">of Herodotus and the Ahasuerus of Esther; (3) that certain</w:t></w:r>
</w:p>
<w:p>
<w:pPr><w:pStyle w:val="Normal"/></w:pPr>
<w:r><w:t xml:space="preserve">coincidences in dates and events corroborate this identity,</w:t></w:r>
</w:p>
<w:p>
<w:pPr><w:pStyle w:val="Normal"/></w:pPr>
<w:r><w:t xml:space="preserve">as, e.g., the feast in the king&apos;s third year (cf. Esther</w:t></w:r>
</w:p>
<w:p>
<w:pPr><w:pStyle w:val="Normal"/></w:pPr>
<w:r><w:t xml:space="preserve">i. 3 with Herod. vii. 8), the return of Xerxes to Susa in</w:t></w:r>
</w:p>
<w:p>
<w:pPr><w:pStyle w:val="Normal"/></w:pPr>
<w:r><w:t xml:space="preserve">the seventh year of his reign and the marriage of Ahasuerus</w:t></w:r>
</w:p>
<w:p>
<w:pPr><w:pStyle w:val="Normal"/></w:pPr>
<w:r><w:t xml:space="preserve">at Shushan in the same year of his.  To this it may be added</w:t></w:r>
</w:p>
<w:p>
<w:pPr><w:pStyle w:val="Normal"/></w:pPr>
<w:r><w:t xml:space="preserve">that the interval of four years between the divorce of Vashti</w:t></w:r>
</w:p>
<w:p>
<w:pPr><w:pStyle w:val="Normal"/></w:pPr>
<w:r><w:t xml:space="preserve">and the marriage of Esther is well accounted for by the</w:t></w:r>
</w:p>
<w:p>
<w:pPr><w:pStyle w:val="Normal"/></w:pPr>
<w:r><w:t xml:space="preserve">intervention of an important series of events fully occupying</w:t></w:r>
</w:p>
<w:p>
<w:pPr><w:pStyle w:val="Normal"/></w:pPr>
<w:r><w:t xml:space="preserve">the monarch&apos;s thoughts, such as the invasion of Greece.</w:t></w:r>
</w:p>
<w:p>
<w:pPr><w:pStyle w:val="Normal"/></w:pPr>
<w:r><w:t xml:space="preserve">See articles ``Ahasuerus&apos;&apos; in the Encyclopaedia Biblica,</w:t></w:r>
</w:p>
<w:p>
<w:pPr><w:pStyle w:val="Normal"/></w:pPr>
<w:r><w:t xml:space="preserve">Hastings&apos; Dictionary, the Jewish Encyclopaedis; S.</w:t></w:r>
</w:p>
<w:p>
<w:pPr><w:pStyle w:val="Normal"/></w:pPr>
<w:r><w:t xml:space="preserve">R. Driver, Introd. to the Lit. of the Old Test.;</w:t></w:r>
</w:p>
<w:p>
<w:pPr><w:pStyle w:val="Normal"/></w:pPr>
<w:r><w:t xml:space="preserve">Friedrich Delitzsch in the Calwer Bibellexikon (1893).</w:t></w:r>
</w:p>
<w:p>
<w:pPr><w:pStyle w:val="Normal"/></w:pPr>
<w:r><w:t xml:space="preserve">AHAZ (Heb. for ``[Yahweh] holds&apos;&apos;), son of Jotham, grandson</w:t></w:r>
</w:p>
<w:p>
<w:pPr><w:pStyle w:val="Normal"/></w:pPr>
<w:r><w:t xml:space="preserve">of Uzziah or Azariah and king of Judah.  After the death of</w:t></w:r>
</w:p>
<w:p>
<w:pPr><w:pStyle w:val="Normal"/></w:pPr>
<w:r><w:t xml:space="preserve">Menahem, Pekah, king of Israel, and Rezin (rather Rasun), king of</w:t></w:r>
</w:p>
<w:p>
<w:pPr><w:pStyle w:val="Normal"/></w:pPr>
<w:r><w:t xml:space="preserve">Syria, allied against Assyria, invaded Judah, and laid siege to</w:t></w:r>
</w:p>
<w:p>
<w:pPr><w:pStyle w:val="Normal"/></w:pPr>
<w:r><w:t xml:space="preserve">Jerusalem in the hope of setting up one of their puppets upon the</w:t></w:r>
</w:p>
<w:p>
<w:pPr><w:pStyle w:val="Normal"/></w:pPr>
<w:r><w:t xml:space="preserve">throne.  At the same time the Edomites recovered Elath on the</w:t></w:r>
</w:p>
<w:p>
<w:pPr><w:pStyle w:val="Normal"/></w:pPr>
<w:r><w:t xml:space="preserve">Gulf of Akabah (so read in 2 Kings xvi. 6; cp. also 2 Chron.</w:t></w:r>
</w:p>
<w:p>
<w:pPr><w:pStyle w:val="Normal"/></w:pPr>
<w:r><w:t xml:space="preserve">xxviii. 16 sqq.) and Judah was isolated.  Notwithstanding</w:t></w:r>
</w:p>
<w:p>
<w:pPr><w:pStyle w:val="Normal"/></w:pPr>
<w:r><w:t xml:space="preserve">the counsel of Isaiah (Is. vii. 1-17), Ahaz lost heart and</w:t></w:r>
</w:p>
<w:p>
<w:pPr><w:pStyle w:val="Normal"/></w:pPr>
<w:r><w:t xml:space="preserve">used the temple funds to call in the aid of Tiglath-pileser</w:t></w:r>
</w:p>
<w:p>
<w:pPr><w:pStyle w:val="Normal"/></w:pPr>
<w:r><w:t xml:space="preserve">IV., who after attacking the Philistines destroyed the power</w:t></w:r>
</w:p>
<w:p>
<w:pPr><w:pStyle w:val="Normal"/></w:pPr>
<w:r><w:t xml:space="preserve">of Syria, taking care to exact heavy tribute from Judah,</w:t></w:r>
</w:p>
<w:p>
<w:pPr><w:pStyle w:val="Normal"/></w:pPr>
<w:r><w:t xml:space="preserve">which led to further despoliation of the temple.  It was as</w:t></w:r>
</w:p>
<w:p>
<w:pPr><w:pStyle w:val="Normal"/></w:pPr>
<w:r><w:t xml:space="preserve">a vassal that Ahaz presented himself to the Assyrian king at</w:t></w:r>
</w:p>
<w:p>
<w:pPr><w:pStyle w:val="Normal"/></w:pPr>
<w:r><w:t xml:space="preserve">Damascus, and he brought back religious innovations (2 Kings</w:t></w:r>
</w:p>
<w:p>
<w:pPr><w:pStyle w:val="Normal"/></w:pPr>
<w:r><w:t xml:space="preserve">xvi. 10 sqq.; for the priest Urijah see Is. viii. 2) and new</w:t></w:r>
</w:p>
<w:p>
<w:pPr><w:pStyle w:val="Normal"/></w:pPr>
<w:r><w:t xml:space="preserve">ideas to which he proceeded to give effect.  His buildings</w:t></w:r>
</w:p>
<w:p>
<w:pPr><w:pStyle w:val="Normal"/></w:pPr>
<w:r><w:t xml:space="preserve">are referred to in 2 Kings xx. 11, xxiii. 12; cf. perhaps</w:t></w:r>
</w:p>
<w:p>
<w:pPr><w:pStyle w:val="Normal"/></w:pPr>
<w:r><w:t xml:space="preserve">Jer. xxii. 15: ``art thou a true king because thou viest with</w:t></w:r>
</w:p>
<w:p>
<w:pPr><w:pStyle w:val="Normal"/></w:pPr>
<w:r><w:t xml:space="preserve">Ahaz&apos;&apos; (see the LXX.).  Ahaz was succeeded by his son Hezekiah.</w:t></w:r>
</w:p>
<w:p>
<w:pPr><w:pStyle w:val="Normal"/></w:pPr>
<w:r><w:t xml:space="preserve">On the ritual changes which he introduced see W. R. Smith,</w:t></w:r>
</w:p>
<w:p>
<w:pPr><w:pStyle w:val="Normal"/></w:pPr>
<w:r><w:t xml:space="preserve">Relig. of Semites (2), pp. 485 sqq.; and on his reign, idem,</w:t></w:r>
</w:p>
<w:p>
<w:pPr><w:pStyle w:val="Normal"/></w:pPr>
<w:r><w:t xml:space="preserve">Prophets of Israel (2), pp. 415 sqq.  On 2 Kings xvi. 3 (cf.</w:t></w:r>
</w:p>
<w:p>
<w:pPr><w:pStyle w:val="Normal"/></w:pPr>
<w:r><w:t xml:space="preserve">2 Chron. xxviii. 3) see Moloch.  See further Isaiah and Jews.</w:t></w:r>
</w:p>
<w:p>
<w:pPr><w:pStyle w:val="Normal"/></w:pPr>
<w:r><w:t xml:space="preserve">AHAZIAH (``he whom Yahweh sustains&apos;&apos;), the name of two</w:t></w:r>
</w:p>
<w:p>
<w:pPr><w:pStyle w:val="Normal"/></w:pPr>
<w:r><w:t xml:space="preserve">kings in the Bible, one of Israel, the other of Judah. (1)</w:t></w:r>
</w:p>
<w:p>
<w:pPr><w:pStyle w:val="Normal"/></w:pPr>
<w:r><w:t xml:space="preserve">Ahaziah, 8th king of Israel, was the son and successor of</w:t></w:r>
</w:p>
<w:p>
<w:pPr><w:pStyle w:val="Normal"/></w:pPr>
<w:r><w:t xml:space="preserve">Ahab, and reigned for less than two years.  On his accession</w:t></w:r>
</w:p>
<w:p>
<w:pPr><w:pStyle w:val="Normal"/></w:pPr>
<w:r><w:t xml:space="preserve">the Moabites refused any longer to pay tribute.  Ahaziah lost</w:t></w:r>
</w:p>
<w:p>
<w:pPr><w:pStyle w:val="Normal"/></w:pPr>
<w:r><w:t xml:space="preserve">his life through a fall from the lattice of an upper room in</w:t></w:r>
</w:p>
<w:p>
<w:pPr><w:pStyle w:val="Normal"/></w:pPr>
<w:r><w:t xml:space="preserve">his palace, and it is stated that in his illness he sent to</w:t></w:r>
</w:p>
<w:p>
<w:pPr><w:pStyle w:val="Normal"/></w:pPr>
<w:r><w:t xml:space="preserve">consult the oracle of Baal-zebub at Ekron; his messengers,</w:t></w:r>
</w:p>
<w:p>
<w:pPr><w:pStyle w:val="Normal"/></w:pPr>
<w:r><w:t xml:space="preserve">however, were met by Elijah, who bade them return and tell the</w:t></w:r>
</w:p>
<w:p>
<w:pPr><w:pStyle w:val="Normal"/></w:pPr>
<w:r><w:t xml:space="preserve">king he must die (e Kings i. 2-17; cf.  Luke ix. 54-56). (2)</w:t></w:r>
</w:p>
<w:p>
<w:pPr><w:pStyle w:val="Normal"/></w:pPr>
<w:r><w:t xml:space="preserve">Ahaziah, 6th king of Judah, was the son cf Jehoram and Ahab&apos;s</w:t></w:r>
</w:p>
<w:p>
<w:pPr><w:pStyle w:val="Normal"/></w:pPr>
<w:r><w:t xml:space="preserve">daughter Athaliah, and reigned one year.  He is described as</w:t></w:r>
</w:p>
<w:p>
<w:pPr><w:pStyle w:val="Normal"/></w:pPr>
<w:r><w:t xml:space="preserve">a wicked and idolatrous king, and was slain by Jehu, son of</w:t></w:r>
</w:p>
<w:p>
<w:pPr><w:pStyle w:val="Normal"/></w:pPr>
<w:r><w:t xml:space="preserve">Nimshi.  He is variously called Jehoahaz and Azariah.</w:t></w:r>
</w:p>
<w:p>
<w:pPr><w:pStyle w:val="Normal"/></w:pPr>
<w:r><w:t xml:space="preserve">AHENOBARBUS (``brazen-bearded&apos;&apos;), the name cf a plebeian</w:t></w:r>
</w:p>
<w:p>
<w:pPr><w:pStyle w:val="Normal"/></w:pPr>
<w:r><w:t xml:space="preserve">Roman family of the gens Domitia.  The name was derived</w:t></w:r>
</w:p>
<w:p>
<w:pPr><w:pStyle w:val="Normal"/></w:pPr>
<w:r><w:t xml:space="preserve">from the red beard and hair by which many of the family were</w:t></w:r>
</w:p>
<w:p>
<w:pPr><w:pStyle w:val="Normal"/></w:pPr>
<w:r><w:t xml:space="preserve">distinguished.  Amongst its members the following may be mentioned:--</w:t></w:r>
</w:p>
<w:p>
<w:pPr><w:pStyle w:val="Normal"/></w:pPr>
<w:r><w:t xml:space="preserve">GNAEUS DOMITIUS AHENOBARBUS, tribune of the people 104 B.C.,</w:t></w:r>
</w:p>
<w:p>
<w:pPr><w:pStyle w:val="Normal"/></w:pPr>
<w:r><w:t xml:space="preserve">brought forward a law (lex Domitia de Sacerdotiis) by which</w:t></w:r>
</w:p>
<w:p>
<w:pPr><w:pStyle w:val="Normal"/></w:pPr>
<w:r><w:t xml:space="preserve">the priests of the superior colleges were to be elected by</w:t></w:r>
</w:p>
<w:p>
<w:pPr><w:pStyle w:val="Normal"/></w:pPr>
<w:r><w:t xml:space="preserve">the people in the comitia tributa (seventeen of the tribes</w:t></w:r>
</w:p>
<w:p>
<w:pPr><w:pStyle w:val="Normal"/></w:pPr>
<w:r><w:t xml:space="preserve">voting) instead of by co-optation; the law was repealed by</w:t></w:r>
</w:p>
<w:p>
<w:pPr><w:pStyle w:val="Normal"/></w:pPr>
<w:r><w:t xml:space="preserve">Sulla, revived by Julius Caesar and (perhaps) again repealed</w:t></w:r>
</w:p>
<w:p>
<w:pPr><w:pStyle w:val="Normal"/></w:pPr>
<w:r><w:t xml:space="preserve">by Marcus Antonius, the triumvir (Cicero, De Lege Agraria,</w:t></w:r>
</w:p>
<w:p>
<w:pPr><w:pStyle w:val="Normal"/></w:pPr>
<w:r><w:t xml:space="preserve">ii. 7; Suetonius, Nero, 2). Ahenobarbus was elected pontifex</w:t></w:r>
</w:p>
<w:p>
<w:pPr><w:pStyle w:val="Normal"/></w:pPr>
<w:r><w:t xml:space="preserve">maximus in 103, consul in 96 and censor in 92 with Lucius</w:t></w:r>
</w:p>
<w:p>
<w:pPr><w:pStyle w:val="Normal"/></w:pPr>
<w:r><w:t xml:space="preserve">Licinius Crassus the orator, with whom he was frequently at</w:t></w:r>
</w:p>
<w:p>
<w:pPr><w:pStyle w:val="Normal"/></w:pPr>
<w:r><w:t xml:space="preserve">variance.  They took joint action, however, in suppressing</w:t></w:r>
</w:p>
<w:p>
<w:pPr><w:pStyle w:val="Normal"/></w:pPr>
<w:r><w:t xml:space="preserve">the recently established Latin rhetorical schools, which they</w:t></w:r>
</w:p>
<w:p>
<w:pPr><w:pStyle w:val="Normal"/></w:pPr>
<w:r><w:t xml:space="preserve">regarded as injurious to public morality (Aulus Gellius xv. 11).</w:t></w:r>
</w:p>
<w:p>
<w:pPr><w:pStyle w:val="Normal"/></w:pPr>
<w:r><w:t xml:space="preserve">LUCIUS DOMITIUS AHENOBARBUS, son of the above, husband of</w:t></w:r>
</w:p>
<w:p>
<w:pPr><w:pStyle w:val="Normal"/></w:pPr>
<w:r><w:t xml:space="preserve">Porcia the sister of Cato Uticensis, friend of Cicero and</w:t></w:r>
</w:p>
<w:p>
<w:pPr><w:pStyle w:val="Normal"/></w:pPr>
<w:r><w:t xml:space="preserve">enemy of Caesar, and a strong supporter of the aristocratical</w:t></w:r>
</w:p>
<w:p>
<w:pPr><w:pStyle w:val="Normal"/></w:pPr>
<w:r><w:t xml:space="preserve">party.  At first strongly opposed to Pompey, he afterwards sided</w:t></w:r>
</w:p>
<w:p>
<w:pPr><w:pStyle w:val="Normal"/></w:pPr>
<w:r><w:t xml:space="preserve">with him against Caesar.  He was consul in 54 B.C., and in 49</w:t></w:r>
</w:p>
<w:p>
<w:pPr><w:pStyle w:val="Normal"/></w:pPr>
<w:r><w:t xml:space="preserve">he was appointed by the senate to succeed Caesar as governor of</w:t></w:r>
</w:p>
<w:p>
<w:pPr><w:pStyle w:val="Normal"/></w:pPr>
<w:r><w:t xml:space="preserve">Gaul.  After the outbreak of the civil war he commanded the</w:t></w:r>
</w:p>
<w:p>
<w:pPr><w:pStyle w:val="Normal"/></w:pPr>
<w:r><w:t xml:space="preserve">Pompeian troops at Corfinium, but was obliged to surrender.</w:t></w:r>
</w:p>
<w:p>
<w:pPr><w:pStyle w:val="Normal"/></w:pPr>
<w:r><w:t xml:space="preserve">Although treated with great generosity by Caesar, he stirred</w:t></w:r>
</w:p>
<w:p>
<w:pPr><w:pStyle w:val="Normal"/></w:pPr>
<w:r><w:t xml:space="preserve">up Massilia (Marseilles) to an unsuccessful resistance against</w:t></w:r>
</w:p>
<w:p>
<w:pPr><w:pStyle w:val="Normal"/></w:pPr>
<w:r><w:t xml:space="preserve">him.  After its surrender, he joined Pompey in Greece and was</w:t></w:r>
</w:p>
<w:p>
<w:pPr><w:pStyle w:val="Normal"/></w:pPr>
<w:r><w:t xml:space="preserve">slain in the flight after the battle of Pharsalus, in which he</w:t></w:r>
</w:p>
<w:p>
<w:pPr><w:pStyle w:val="Normal"/></w:pPr>
<w:r><w:t xml:space="preserve">commanded the right wing against Antony (Caesar, Bellum Civile,</w:t></w:r>
</w:p>
<w:p>
<w:pPr><w:pStyle w:val="Normal"/></w:pPr>
<w:r><w:t xml:space="preserve">i., ii., iii.; Dio Cassius xxxix., xli.; Appian, B.C. ii. 82).</w:t></w:r>
</w:p>
<w:p>
<w:pPr><w:pStyle w:val="Normal"/></w:pPr>
<w:r><w:t xml:space="preserve">GNAEUS DOMITIUS AHENOBARBUS, son of the above, accompanied his</w:t></w:r>
</w:p>
<w:p>
<w:pPr><w:pStyle w:val="Normal"/></w:pPr>
<w:r><w:t xml:space="preserve">father at Corfinium and Pharsalus, and, having been pardoned by</w:t></w:r>
</w:p>
<w:p>
<w:pPr><w:pStyle w:val="Normal"/></w:pPr>
<w:r><w:t xml:space="preserve">Caesar, returned to Rome in 46. After Caesar&apos;s assassination</w:t></w:r>
</w:p>
<w:p>
<w:pPr><w:pStyle w:val="Normal"/></w:pPr>
<w:r><w:t xml:space="preserve">he attached himself to Brutus and Cassius, and in 43 was</w:t></w:r>
</w:p>
<w:p>
<w:pPr><w:pStyle w:val="Normal"/></w:pPr>
<w:r><w:t xml:space="preserve">condemned by the lex Pedia as having been implicated in the</w:t></w:r>
</w:p>
<w:p>
<w:pPr><w:pStyle w:val="Normal"/></w:pPr>
<w:r><w:t xml:space="preserve">plot.  He obtained considerable naval successes in the</w:t></w:r>
</w:p>
<w:p>
<w:pPr><w:pStyle w:val="Normal"/></w:pPr>
<w:r><w:t xml:space="preserve">Ionian Sea against the triumvirate, but finally, through the</w:t></w:r>
</w:p>
<w:p>
<w:pPr><w:pStyle w:val="Normal"/></w:pPr>
<w:r><w:t xml:space="preserve">mediation of Asinius Pollio, became reconciled to Antony,</w:t></w:r>
</w:p>
<w:p>
<w:pPr><w:pStyle w:val="Normal"/></w:pPr>
<w:r><w:t xml:space="preserve">who made him governor of Bithynia.  He took part in Antony&apos;s</w:t></w:r>
</w:p>
<w:p>
<w:pPr><w:pStyle w:val="Normal"/></w:pPr>
<w:r><w:t xml:space="preserve">Parthian campaigns, and was consul in 32. When war broke out</w:t></w:r>
</w:p>
<w:p>
<w:pPr><w:pStyle w:val="Normal"/></w:pPr>
<w:r><w:t xml:space="preserve">between Antony and Octavian, he at first supported Antony,</w:t></w:r>
</w:p>
<w:p>
<w:pPr><w:pStyle w:val="Normal"/></w:pPr>
<w:r><w:t xml:space="preserve">but, disgusted with his intrigue with Cleopatra, went over</w:t></w:r>
</w:p>
<w:p>
<w:pPr><w:pStyle w:val="Normal"/></w:pPr>
<w:r><w:t xml:space="preserve">to Octavian shortly before the battle of Actium (31).  He</w:t></w:r>
</w:p>
<w:p>
<w:pPr><w:pStyle w:val="Normal"/></w:pPr>
<w:r><w:t xml:space="preserve">died soon afterwards (Dio Cassius xlviii.-l; Appian, Bell.</w:t></w:r>
</w:p>
<w:p>
<w:pPr><w:pStyle w:val="Normal"/></w:pPr>
<w:r><w:t xml:space="preserve">Civ. iv., v.).  His son was married to Antonia, daughter</w:t></w:r>
</w:p>
<w:p>
<w:pPr><w:pStyle w:val="Normal"/></w:pPr>
<w:r><w:t xml:space="preserve">of Antony, and became the grandfather of the emperor Nero.</w:t></w:r>
</w:p>
<w:p>
<w:pPr><w:pStyle w:val="Normal"/></w:pPr>
<w:r><w:t xml:space="preserve">See Drumann, Geschichte Rom., 2nd ed. by Groebe,vol. iii. pp.14 ff.</w:t></w:r>
</w:p>
<w:p>
<w:pPr><w:pStyle w:val="Normal"/></w:pPr>
<w:r><w:t xml:space="preserve">AHITHOPHEL (Heb. for ``brother of foolishness,&apos;&apos; i.e.</w:t></w:r>
</w:p>
<w:p>
<w:pPr><w:pStyle w:val="Normal"/></w:pPr>
<w:r><w:t xml:space="preserve">foolish!), a man of Judah whose son was a member of David&apos;s</w:t></w:r>
</w:p>
<w:p>
<w:pPr><w:pStyle w:val="Normal"/></w:pPr>
<w:r><w:t xml:space="preserve">bodyguard.  He was possibly the grandfather of Bathsheiba (see</w:t></w:r>
</w:p>
<w:p>
<w:pPr><w:pStyle w:val="Normal"/></w:pPr>
<w:r><w:t xml:space="preserve">2 Sam. xi. 3, xxiii. 34), a view which has been thought to</w:t></w:r>
</w:p>
<w:p>
<w:pPr><w:pStyle w:val="Normal"/></w:pPr>
<w:r><w:t xml:space="preserve">have some bearing on his policy.  He was one of David&apos;s most</w:t></w:r>
</w:p>
<w:p>
<w:pPr><w:pStyle w:val="Normal"/></w:pPr>
<w:r><w:t xml:space="preserve">trusted advisers, and his counsel was ``as though one inquired</w:t></w:r>
</w:p>
<w:p>
<w:pPr><w:pStyle w:val="Normal"/></w:pPr>
<w:r><w:t xml:space="preserve">of the word of God.&apos;&apos; He took a leading part in Absalom&apos;s</w:t></w:r>
</w:p>
<w:p>
<w:pPr><w:pStyle w:val="Normal"/></w:pPr>
<w:r><w:t xml:space="preserve">revolt, and his defection was a severe blow to the king, who</w:t></w:r>
</w:p>
<w:p>
<w:pPr><w:pStyle w:val="Normal"/></w:pPr>
<w:r><w:t xml:space="preserve">prayed that God would bring his counsel to ``foolishness.&apos;&apos;</w:t></w:r>
</w:p>
<w:p>
<w:pPr><w:pStyle w:val="Normal"/></w:pPr>
<w:r><w:t xml:space="preserve">The subsequent events are rather obscure.  At Ahithophel&apos;s</w:t></w:r>
</w:p>
<w:p>
<w:pPr><w:pStyle w:val="Normal"/></w:pPr>
<w:r><w:t xml:space="preserve">advice Absalom first took the precaution of asserting his</w:t></w:r>
</w:p>
<w:p>
<w:pPr><w:pStyle w:val="Normal"/></w:pPr>
<w:r><w:t xml:space="preserve">claim to the throne by seizing his father&apos;s concubines (cf.</w:t></w:r>
</w:p>
<w:p>
<w:pPr><w:pStyle w:val="Normal"/></w:pPr>
<w:r><w:t xml:space="preserve">ABNER.) The immediate pursuit of David was then suggested;</w:t></w:r>
</w:p>
<w:p>
<w:pPr><w:pStyle w:val="Normal"/></w:pPr>
<w:r><w:t xml:space="preserve">the advice was accepted, and the sequence of events shows</w:t></w:r>
</w:p>
<w:p>
<w:pPr><w:pStyle w:val="Normal"/></w:pPr>
<w:r><w:t xml:space="preserve">that the king, being warned of this, fled across the Jordan</w:t></w:r>
</w:p>
<w:p>
<w:pPr><w:pStyle w:val="Normal"/></w:pPr>
<w:r><w:t xml:space="preserve">(2 Sam. xvi. 20-23, xvii. 1-4, 22). Inconsistent with</w:t></w:r>
</w:p>
<w:p>
<w:pPr><w:pStyle w:val="Normal"/></w:pPr>
<w:r><w:t xml:space="preserve">this is the account of the intervention of Hushai, whose</w:t></w:r>
</w:p>
<w:p>
<w:pPr><w:pStyle w:val="Normal"/></w:pPr>
<w:r><w:t xml:space="preserve">counsel of delay (in order to gather all Israel ``from Dan</w:t></w:r>
</w:p>
<w:p>
<w:pPr><w:pStyle w:val="Normal"/></w:pPr>
<w:r><w:t xml:space="preserve">to Beersheba&apos;&apos;), in spite of popular approbation, was not</w:t></w:r>
</w:p>
<w:p>
<w:pPr><w:pStyle w:val="Normal"/></w:pPr>
<w:r><w:t xml:space="preserve">adopted, and with this episode is connected the tradition</w:t></w:r>
</w:p>
<w:p>
<w:pPr><w:pStyle w:val="Normal"/></w:pPr>
<w:r><w:t xml:space="preserve">that the sagacious counsellor returned to his home and,</w:t></w:r>
</w:p>
<w:p>
<w:pPr><w:pStyle w:val="Normal"/></w:pPr>
<w:r><w:t xml:space="preserve">having disposed of his estate, hanged himself.  Instances of</w:t></w:r>
</w:p>
<w:p>
<w:pPr><w:pStyle w:val="Normal"/></w:pPr>
<w:r><w:t xml:space="preserve">suicide are rare in the Old Testament (cf. SAUL), and it</w:t></w:r>
</w:p>
<w:p>
<w:pPr><w:pStyle w:val="Normal"/></w:pPr>
<w:r><w:t xml:space="preserve">is noteworthy that in this case, at least, a burial was not</w:t></w:r>
</w:p>
<w:p>
<w:pPr><w:pStyle w:val="Normal"/></w:pPr>
<w:r><w:t xml:space="preserve">refused. (See further ABSALOM; DAVID; SAMUEL, BOOKS OF.)</w:t></w:r>
</w:p>
<w:p>
<w:pPr><w:pStyle w:val="Normal"/></w:pPr>
<w:r><w:t xml:space="preserve">AHMAD IBN HANBAL (780-855), the founder, involuntarily and</w:t></w:r>
</w:p>
<w:p>
<w:pPr><w:pStyle w:val="Normal"/></w:pPr>
<w:r><w:t xml:space="preserve">after his death, of the Hanbalite school of canon law, was</w:t></w:r>
</w:p>
<w:p>
<w:pPr><w:pStyle w:val="Normal"/></w:pPr>
<w:r><w:t xml:space="preserve">born at Bagdad in A.H. 164 (A.D. 780) of parents from Merv</w:t></w:r>
</w:p>
<w:p>
<w:pPr><w:pStyle w:val="Normal"/></w:pPr>
<w:r><w:t xml:space="preserve">but of Arab stock.  He studied the Koran and its traditions</w:t></w:r>
</w:p>
<w:p>
<w:pPr><w:pStyle w:val="Normal"/></w:pPr>
<w:r><w:t xml:space="preserve">(hadith, sunna) there and on a student journey through</w:t></w:r>
</w:p>
<w:p>
<w:pPr><w:pStyle w:val="Normal"/></w:pPr>
<w:r><w:t xml:space="preserve">Mesopotamia, Arabia and Syria.  After his return to Bagdad he</w:t></w:r>
</w:p>
<w:p>
<w:pPr><w:pStyle w:val="Normal"/></w:pPr>
<w:r><w:t xml:space="preserve">studied under ash-Shafi&apos;i between 195 and 198, and became,</w:t></w:r>
</w:p>
<w:p>
<w:pPr><w:pStyle w:val="Normal"/></w:pPr>
<w:r><w:t xml:space="preserve">for his life, a devoted Shafi-&apos;ite.  But his position in both</w:t></w:r>
</w:p>
<w:p>
<w:pPr><w:pStyle w:val="Normal"/></w:pPr>
<w:r><w:t xml:space="preserve">theology and law was more narrowly traditional than that of</w:t></w:r>
</w:p>
<w:p>
<w:pPr><w:pStyle w:val="Normal"/></w:pPr>
<w:r><w:t xml:space="preserve">ash-Shafi&apos;i; he rejected all reasoning, whether orthodox</w:t></w:r>
</w:p>
<w:p>
<w:pPr><w:pStyle w:val="Normal"/></w:pPr>
<w:r><w:t xml:space="preserve">or heretical in its conclusions, and stood for acceptance on</w:t></w:r>
</w:p>
<w:p>
<w:pPr><w:pStyle w:val="Normal"/></w:pPr>
<w:r><w:t xml:space="preserve">tradition (naql) only from the Fathers. (See further on this,</w:t></w:r>
</w:p>
<w:p>
<w:pPr><w:pStyle w:val="Normal"/></w:pPr>
<w:r><w:t xml:space="preserve">MAHOMMEDAN RELIGION and MAHOMMEDAN LAW.) In consequence,</w:t></w:r>
</w:p>
<w:p>
<w:pPr><w:pStyle w:val="Normal"/></w:pPr>
<w:r><w:t xml:space="preserve">when al-Ma&apos;mun and, after him, al-Mo&apos;tasim and al-Wathio</w:t></w:r>
</w:p>
<w:p>
<w:pPr><w:pStyle w:val="Normal"/></w:pPr>
<w:r><w:t xml:space="preserve">tried to force upon the people the rationalistic Mo&apos;tazihte</w:t></w:r>
</w:p>
<w:p>
<w:pPr><w:pStyle w:val="Normal"/></w:pPr>
<w:r><w:t xml:space="preserve">doctrine that the Koran was created, Ibn Hanbal, the most</w:t></w:r>
</w:p>
<w:p>
<w:pPr><w:pStyle w:val="Normal"/></w:pPr>
<w:r><w:t xml:space="preserve">prominent and popular theologian who stood for the old view,</w:t></w:r>
</w:p>
<w:p>
<w:pPr><w:pStyle w:val="Normal"/></w:pPr>
<w:r><w:t xml:space="preserve">suffered with others grievous imprisonment and scourging.</w:t></w:r>
</w:p>
<w:p>
<w:pPr><w:pStyle w:val="Normal"/></w:pPr>
<w:r><w:t xml:space="preserve">In 234, under al-Motawakkil, the Koran was finally decreed</w:t></w:r>
</w:p>
<w:p>
<w:pPr><w:pStyle w:val="Normal"/></w:pPr>
<w:r><w:t xml:space="preserve">uncreated, and Ibn Hanbal, who had come through this trial</w:t></w:r>
</w:p>
<w:p>
<w:pPr><w:pStyle w:val="Normal"/></w:pPr>
<w:r><w:t xml:space="preserve">better than any of the other theologians, enjoyed an immense</w:t></w:r>
</w:p>
<w:p>
<w:pPr><w:pStyle w:val="Normal"/></w:pPr>
<w:r><w:t xml:space="preserve">popularity with the mass of the people as a saint, confessor and</w:t></w:r>
</w:p>
<w:p>
<w:pPr><w:pStyle w:val="Normal"/></w:pPr>
<w:r><w:t xml:space="preserve">ascetic.  He died at Bagdad in 241 (A.D. 855) and was buried</w:t></w:r>
</w:p>
<w:p>
<w:pPr><w:pStyle w:val="Normal"/></w:pPr>
<w:r><w:t xml:space="preserve">there.  There was much popular excitement at his funeral, and his</w:t></w:r>
</w:p>
<w:p>
<w:pPr><w:pStyle w:val="Normal"/></w:pPr>
<w:r><w:t xml:space="preserve">tomb was known and visited until at least the 14th century A.D.</w:t></w:r>
</w:p>
<w:p>
<w:pPr><w:pStyle w:val="Normal"/></w:pPr>
<w:r><w:t xml:space="preserve">On his great work, the Musnad, a collection of some thirty</w:t></w:r>
</w:p>
<w:p>
<w:pPr><w:pStyle w:val="Normal"/></w:pPr>
<w:r><w:t xml:space="preserve">thousand selected traditions, see Goldzther in ZDMG, l. 463</w:t></w:r>
</w:p>
<w:p>
<w:pPr><w:pStyle w:val="Normal"/></w:pPr>
<w:r><w:t xml:space="preserve">ff.  For his life and works generally see W. M. Patten, Ahmed</w:t></w:r>
</w:p>
<w:p>
<w:pPr><w:pStyle w:val="Normal"/></w:pPr>
<w:r><w:t xml:space="preserve">ibn Hanbal and the Mihna; C. Browkelmann, Geschichte der</w:t></w:r>
</w:p>
<w:p>
<w:pPr><w:pStyle w:val="Normal"/></w:pPr>
<w:r><w:t xml:space="preserve">Arab.  Lit. i. 181 ff.; F Wustenfeld, Schfai&apos;iten, 55 ff.;</w:t></w:r>
</w:p>
<w:p>
<w:pPr><w:pStyle w:val="Normal"/></w:pPr>
<w:r><w:t xml:space="preserve">M`G. de Slane&apos;s transl. of Ibn Khallikan, i. 44 ff.; Macdonald,</w:t></w:r>
</w:p>
<w:p>
<w:pPr><w:pStyle w:val="Normal"/></w:pPr>
<w:r><w:t xml:space="preserve">Development of Muslim Theology, 110, 157, index. (D. B. MA.)</w:t></w:r>
</w:p>
<w:p>
<w:pPr><w:pStyle w:val="Normal"/></w:pPr>
<w:r><w:t xml:space="preserve">AHMAD SHAH (1724-1773), founder of the Durani dynasty in</w:t></w:r>
</w:p>
<w:p>
<w:pPr><w:pStyle w:val="Normal"/></w:pPr>
<w:r><w:t xml:space="preserve">Afghanistan, was the son of Sammaun-Khan, hereditary chief of</w:t></w:r>
</w:p>
<w:p>
<w:pPr><w:pStyle w:val="Normal"/></w:pPr>
<w:r><w:t xml:space="preserve">the Abdali tribe.  While still a boy Ahmad fell into the hands</w:t></w:r>
</w:p>
<w:p>
<w:pPr><w:pStyle w:val="Normal"/></w:pPr>
<w:r><w:t xml:space="preserve">of the hostile tribe of Ghilzais, by whom he was kept prisoner at</w:t></w:r>
</w:p>
<w:p>
<w:pPr><w:pStyle w:val="Normal"/></w:pPr>
<w:r><w:t xml:space="preserve">Kandahar.  In March 1738 he was rescued by Nadir Shah, who</w:t></w:r>
</w:p>
<w:p>
<w:pPr><w:pStyle w:val="Normal"/></w:pPr>
<w:r><w:t xml:space="preserve">soon afterwards gave him the command of a body of cavalry</w:t></w:r>
</w:p>
<w:p>
<w:pPr><w:pStyle w:val="Normal"/></w:pPr>
<w:r><w:t xml:space="preserve">composed chiefly of Abdalis.  On the assassination of Nadir in</w:t></w:r>
</w:p>
<w:p>
<w:pPr><w:pStyle w:val="Normal"/></w:pPr>
<w:r><w:t xml:space="preserve">1747, Ahmad, having failed in an attempt to seize the Persian</w:t></w:r>
</w:p>
<w:p>
<w:pPr><w:pStyle w:val="Normal"/></w:pPr>
<w:r><w:t xml:space="preserve">treasures, retreated to Afghanistan, where he easily persuaded</w:t></w:r>
</w:p>
<w:p>
<w:pPr><w:pStyle w:val="Normal"/></w:pPr>
<w:r><w:t xml:space="preserve">the native tribes to assert their independence and accept him</w:t></w:r>
</w:p>
<w:p>
<w:pPr><w:pStyle w:val="Normal"/></w:pPr>
<w:r><w:t xml:space="preserve">as their sovereign.  He was crowned at Kandahar in October 1747,</w:t></w:r>
</w:p>
<w:p>
<w:pPr><w:pStyle w:val="Normal"/></w:pPr>
<w:r><w:t xml:space="preserve">and about the same time he changed the name of his tribe to</w:t></w:r>
</w:p>
<w:p>
<w:pPr><w:pStyle w:val="Normal"/></w:pPr>
<w:r><w:t xml:space="preserve">Durani.  Two things may be said to have contributed greatly</w:t></w:r>
</w:p>
<w:p>
<w:pPr><w:pStyle w:val="Normal"/></w:pPr>
<w:r><w:t xml:space="preserve">to the consolidation of his power.  He interfered as little</w:t></w:r>
</w:p>
<w:p>
<w:pPr><w:pStyle w:val="Normal"/></w:pPr>
<w:r><w:t xml:space="preserve">as possible with the independence of the different tribes,</w:t></w:r>
</w:p>
<w:p>
<w:pPr><w:pStyle w:val="Normal"/></w:pPr>
<w:r><w:t xml:space="preserve">demanding from each only its due proportion of tribute and</w:t></w:r>
</w:p>
<w:p>
<w:pPr><w:pStyle w:val="Normal"/></w:pPr>
<w:r><w:t xml:space="preserve">military service; and he kept his army constantly engaged</w:t></w:r>
</w:p>
<w:p>
<w:pPr><w:pStyle w:val="Normal"/></w:pPr>
<w:r><w:t xml:space="preserve">in brilliant schemes of foreign conquest.  Being possessed</w:t></w:r>
</w:p>
<w:p>
<w:pPr><w:pStyle w:val="Normal"/></w:pPr>
<w:r><w:t xml:space="preserve">of the Koh-i-noor diamond, and being fortunate enough to</w:t></w:r>
</w:p>
<w:p>
<w:pPr><w:pStyle w:val="Normal"/></w:pPr>
<w:r><w:t xml:space="preserve">intercept a consignment of treasure on its way to the shah</w:t></w:r>
</w:p>
<w:p>
<w:pPr><w:pStyle w:val="Normal"/></w:pPr>
<w:r><w:t xml:space="preserve">of Persia, he had all the advantages which great wealth can</w:t></w:r>
</w:p>
<w:p>
<w:pPr><w:pStyle w:val="Normal"/></w:pPr>
<w:r><w:t xml:space="preserve">give.  He first crossed the Indus in 1748, when he took</w:t></w:r>
</w:p>
<w:p>
<w:pPr><w:pStyle w:val="Normal"/></w:pPr>
<w:r><w:t xml:space="preserve">Lahore; and in 1751, after a feeble resistance on the part</w:t></w:r>
</w:p>
<w:p>
<w:pPr><w:pStyle w:val="Normal"/></w:pPr>
<w:r><w:t xml:space="preserve">of the Mahommedan viceroy, he became master of the entire</w:t></w:r>
</w:p>
<w:p>
<w:pPr><w:pStyle w:val="Normal"/></w:pPr>
<w:r><w:t xml:space="preserve">Punjab.  In 1750 he took Nishapur, and in 1752 subdued</w:t></w:r>
</w:p>
<w:p>
<w:pPr><w:pStyle w:val="Normal"/></w:pPr>
<w:r><w:t xml:space="preserve">Kashmir.  His great expedition to Delhi was undertaken in</w:t></w:r>
</w:p>
<w:p>
<w:pPr><w:pStyle w:val="Normal"/></w:pPr>
<w:r><w:t xml:space="preserve">1756 in order to avenge himself on the Great Mogul for the</w:t></w:r>
</w:p>
<w:p>
<w:pPr><w:pStyle w:val="Normal"/></w:pPr>
<w:r><w:t xml:space="preserve">recapture of Lahore.  Ahmad entered Delhi with his army in</w:t></w:r>
</w:p>
<w:p>
<w:pPr><w:pStyle w:val="Normal"/></w:pPr>
<w:r><w:t xml:space="preserve">triumph, and for more than a month the city was given over to</w:t></w:r>
</w:p>
<w:p>
<w:pPr><w:pStyle w:val="Normal"/></w:pPr>
<w:r><w:t xml:space="preserve">pillage.  The shah himself added to his wives a princess of</w:t></w:r>
</w:p>
<w:p>
<w:pPr><w:pStyle w:val="Normal"/></w:pPr>
<w:r><w:t xml:space="preserve">the imperial family, and bestowed another upon his son Timur</w:t></w:r>
</w:p>
<w:p>
<w:pPr><w:pStyle w:val="Normal"/></w:pPr>
<w:r><w:t xml:space="preserve">Shah, whom he made governor of the Punjab and Sirhind.  As his</w:t></w:r>
</w:p>
<w:p>
<w:pPr><w:pStyle w:val="Normal"/></w:pPr>
<w:r><w:t xml:space="preserve">viceroy in Delhi he left a Rohilla chief in whom he had all</w:t></w:r>
</w:p>
<w:p>
<w:pPr><w:pStyle w:val="Normal"/></w:pPr>
<w:r><w:t xml:space="preserve">confidence, but scarcely had he crossed the Indus when the</w:t></w:r>
</w:p>
<w:p>
<w:pPr><w:pStyle w:val="Normal"/></w:pPr>
<w:r><w:t xml:space="preserve">Mahommedan wazir drove the chief from the city, killed the</w:t></w:r>
</w:p>
<w:p>
<w:pPr><w:pStyle w:val="Normal"/></w:pPr>
<w:r><w:t xml:space="preserve">Great Mogul and set another prince of the family, a tool of his</w:t></w:r>
</w:p>
<w:p>
<w:pPr><w:pStyle w:val="Normal"/></w:pPr>
<w:r><w:t xml:space="preserve">own, upon the throne.  The Mahratta chiefs availed themselves</w:t></w:r>
</w:p>
<w:p>
<w:pPr><w:pStyle w:val="Normal"/></w:pPr>
<w:r><w:t xml:space="preserve">of these circumstances to endeavour to possess themselves of the</w:t></w:r>
</w:p>
<w:p>
<w:pPr><w:pStyle w:val="Normal"/></w:pPr>
<w:r><w:t xml:space="preserve">whole country, and Ahmad was compelled more than once to cross</w:t></w:r>
</w:p>
<w:p>
<w:pPr><w:pStyle w:val="Normal"/></w:pPr>
<w:r><w:t xml:space="preserve">the Indus in order to protect his territory from them and the</w:t></w:r>
</w:p>
<w:p>
<w:pPr><w:pStyle w:val="Normal"/></w:pPr>
<w:r><w:t xml:space="preserve">Sikhs, who were constantly attacking his garrisons.  In 1758</w:t></w:r>
</w:p>
<w:p>
<w:pPr><w:pStyle w:val="Normal"/></w:pPr>
<w:r><w:t xml:space="preserve">the Mahrattas obtained possession of the Punjab, but on the</w:t></w:r>
</w:p>
<w:p>
<w:pPr><w:pStyle w:val="Normal"/></w:pPr>
<w:r><w:t xml:space="preserve">6th of January 1761 they were totally routed by Ahmad in the</w:t></w:r>
</w:p>
<w:p>
<w:pPr><w:pStyle w:val="Normal"/></w:pPr>
<w:r><w:t xml:space="preserve">great battle of Panipat.  In a later expedition he inflicted</w:t></w:r>
</w:p>
<w:p>
<w:pPr><w:pStyle w:val="Normal"/></w:pPr>
<w:r><w:t xml:space="preserve">a severe defeat upon the Sikhs, but had to hasten westward</w:t></w:r>
</w:p>
<w:p>
<w:pPr><w:pStyle w:val="Normal"/></w:pPr>
<w:r><w:t xml:space="preserve">immediately afterwards in order to quell an insurrection in</w:t></w:r>
</w:p>
<w:p>
<w:pPr><w:pStyle w:val="Normal"/></w:pPr>
<w:r><w:t xml:space="preserve">Afghanistan.  Meanwhile the Sikhs again rose, and Ahmad</w:t></w:r>
</w:p>
<w:p>
<w:pPr><w:pStyle w:val="Normal"/></w:pPr>
<w:r><w:t xml:space="preserve">was now forced to abandon all hope of retaining the command</w:t></w:r>
</w:p>
<w:p>
<w:pPr><w:pStyle w:val="Normal"/></w:pPr>
<w:r><w:t xml:space="preserve">of the Punjab.  After lengthened suffering from a terrible</w:t></w:r>
</w:p>
<w:p>
<w:pPr><w:pStyle w:val="Normal"/></w:pPr>
<w:r><w:t xml:space="preserve">disease, said to have been cancer in the face, he died in</w:t></w:r>
</w:p>
<w:p>
<w:pPr><w:pStyle w:val="Normal"/></w:pPr>
<w:r><w:t xml:space="preserve">1773, leaving to his son Timur the kingdom he had founded.</w:t></w:r>
</w:p>
<w:p>
<w:pPr><w:pStyle w:val="Normal"/></w:pPr>
<w:r><w:t xml:space="preserve">AHMED I. (1589-1617), sultan of Turkey, was the son of</w:t></w:r>
</w:p>
<w:p>
<w:pPr><w:pStyle w:val="Normal"/></w:pPr>
<w:r><w:t xml:space="preserve">Mahommed III., whom he succeeded in 1603, being the first</w:t></w:r>
</w:p>
<w:p>
<w:pPr><w:pStyle w:val="Normal"/></w:pPr>
<w:r><w:t xml:space="preserve">Ottoman sultan who reached the throne before attaining his</w:t></w:r>
</w:p>
<w:p>
<w:pPr><w:pStyle w:val="Normal"/></w:pPr>
<w:r><w:t xml:space="preserve">majority.  He was of kindly and humane disposition, as he</w:t></w:r>
</w:p>
<w:p>
<w:pPr><w:pStyle w:val="Normal"/></w:pPr>
<w:r><w:t xml:space="preserve">showed by refusing to put to death his brother Mustafa, who</w:t></w:r>
</w:p>
<w:p>
<w:pPr><w:pStyle w:val="Normal"/></w:pPr>
<w:r><w:t xml:space="preserve">eventually succeeded him.  In the earlier part of his reign</w:t></w:r>
</w:p>
<w:p>
<w:pPr><w:pStyle w:val="Normal"/></w:pPr>
<w:r><w:t xml:space="preserve">he gave proofs of decision and vigour, which were belied by</w:t></w:r>
</w:p>
<w:p>
<w:pPr><w:pStyle w:val="Normal"/></w:pPr>
<w:r><w:t xml:space="preserve">his subsequent conduct.  The wars which attended his accession</w:t></w:r>
</w:p>
<w:p>
<w:pPr><w:pStyle w:val="Normal"/></w:pPr>
<w:r><w:t xml:space="preserve">both in Hungary and in Persia terminated unfavourably for</w:t></w:r>
</w:p>
<w:p>
<w:pPr><w:pStyle w:val="Normal"/></w:pPr>
<w:r><w:t xml:space="preserve">Turkey, and her prestige received its first check in the</w:t></w:r>
</w:p>
<w:p>
<w:pPr><w:pStyle w:val="Normal"/></w:pPr>
<w:r><w:t xml:space="preserve">peace of Sitvatorok, signed in 1606, whereby the annual</w:t></w:r>
</w:p>
<w:p>
<w:pPr><w:pStyle w:val="Normal"/></w:pPr>
<w:r><w:t xml:space="preserve">tribute paid by Austria was abolished.  Ahmed gave himself</w:t></w:r>
</w:p>
<w:p>
<w:pPr><w:pStyle w:val="Normal"/></w:pPr>
<w:r><w:t xml:space="preserve">up to pleasure during the remainder of his reign, which</w:t></w:r>
</w:p>
<w:p>
<w:pPr><w:pStyle w:val="Normal"/></w:pPr>
<w:r><w:t xml:space="preserve">ended in 1617, and demoralization and corruption became</w:t></w:r>
</w:p>
<w:p>
<w:pPr><w:pStyle w:val="Normal"/></w:pPr>
<w:r><w:t xml:space="preserve">as general throughout the public service as indiscipline</w:t></w:r>
</w:p>
<w:p>
<w:pPr><w:pStyle w:val="Normal"/></w:pPr>
<w:r><w:t xml:space="preserve">in the ranks of the army.  The use of tobacco is said to</w:t></w:r>
</w:p>
<w:p>
<w:pPr><w:pStyle w:val="Normal"/></w:pPr>
<w:r><w:t xml:space="preserve">have been introduced into Turkey during Ahmed I.&apos;s reign.</w:t></w:r>
</w:p>
<w:p>
<w:pPr><w:pStyle w:val="Normal"/></w:pPr>
<w:r><w:t xml:space="preserve">AHMED II. (1643-1695), sultan of Turkey, son of Sultan</w:t></w:r>
</w:p>
<w:p>
<w:pPr><w:pStyle w:val="Normal"/></w:pPr>
<w:r><w:t xml:space="preserve">Ibrahim, succeeded his brother Suleiman II. in 1691.</w:t></w:r>
</w:p>
<w:p>
<w:pPr><w:pStyle w:val="Normal"/></w:pPr>
<w:r><w:t xml:space="preserve">His chief merit was to confirm Mustafa Kuprili as grand</w:t></w:r>
</w:p>
<w:p>
<w:pPr><w:pStyle w:val="Normal"/></w:pPr>
<w:r><w:t xml:space="preserve">vizier.  But a few weeks after his accession Turkey sustained</w:t></w:r>
</w:p>
<w:p>
<w:pPr><w:pStyle w:val="Normal"/></w:pPr>
<w:r><w:t xml:space="preserve">a crushing defeat at Slankamen from the Austrians under</w:t></w:r>
</w:p>
<w:p>
<w:pPr><w:pStyle w:val="Normal"/></w:pPr>
<w:r><w:t xml:space="preserve">Prince Louis of Baden and was driven from Hungary; during</w:t></w:r>
</w:p>
<w:p>
<w:pPr><w:pStyle w:val="Normal"/></w:pPr>
<w:r><w:t xml:space="preserve">the four years of his reign disaster followed on disaster,</w:t></w:r>
</w:p>
<w:p>
<w:pPr><w:pStyle w:val="Normal"/></w:pPr>
<w:r><w:t xml:space="preserve">and in 1695 Ahmed died, worn out by disease and sorrow.</w:t></w:r>
</w:p>
<w:p>
<w:pPr><w:pStyle w:val="Normal"/></w:pPr>
<w:r><w:t xml:space="preserve">AHMED III. (1637-1736), sultan of Turkey, son of Mahommed</w:t></w:r>
</w:p>
<w:p>
<w:pPr><w:pStyle w:val="Normal"/></w:pPr>
<w:r><w:t xml:space="preserve">IV., succeeded to the throne in 1703 on the abdication of</w:t></w:r>
</w:p>
<w:p>
<w:pPr><w:pStyle w:val="Normal"/></w:pPr>
<w:r><w:t xml:space="preserve">his brother Mustafa II. He cultivated good relations with</w:t></w:r>
</w:p>
<w:p>
<w:pPr><w:pStyle w:val="Normal"/></w:pPr>
<w:r><w:t xml:space="preserve">England, in view doubtless of Russia&apos;s menacing attitude.</w:t></w:r>
</w:p>
<w:p>
<w:pPr><w:pStyle w:val="Normal"/></w:pPr>
<w:r><w:t xml:space="preserve">He afforded a refuge in Turkey to Charles XII. of Sweden,</w:t></w:r>
</w:p>
<w:p>
<w:pPr><w:pStyle w:val="Normal"/></w:pPr>
<w:r><w:t xml:space="preserve">after his defeat at Poltava (1709).  Forced against his</w:t></w:r>
</w:p>
<w:p>
<w:pPr><w:pStyle w:val="Normal"/></w:pPr>
<w:r><w:t xml:space="preserve">will into war with Russia, he came nearer than any Turkish</w:t></w:r>
</w:p>
<w:p>
<w:pPr><w:pStyle w:val="Normal"/></w:pPr>
<w:r><w:t xml:space="preserve">sovereign before or since to breaking the power of his northern</w:t></w:r>
</w:p>
<w:p>
<w:pPr><w:pStyle w:val="Normal"/></w:pPr>
<w:r><w:t xml:space="preserve">rival, whom his Grand Vizier Baltaji Mahommed Pasha succeeded</w:t></w:r>
</w:p>
<w:p>
<w:pPr><w:pStyle w:val="Normal"/></w:pPr>
<w:r><w:t xml:space="preserve">in completely surrounding near the Pruth (1711).  In the</w:t></w:r>
</w:p>
<w:p>
<w:pPr><w:pStyle w:val="Normal"/></w:pPr>
<w:r><w:t xml:space="preserve">treaty which Russia was compelled to sign Turkey obtained</w:t></w:r>
</w:p>
<w:p>
<w:pPr><w:pStyle w:val="Normal"/></w:pPr>
<w:r><w:t xml:space="preserve">the restitution of Azov, the destruction of the forts built</w:t></w:r>
</w:p>
<w:p>
<w:pPr><w:pStyle w:val="Normal"/></w:pPr>
<w:r><w:t xml:space="preserve">by Russia and the undertaking that the tsar should abstain</w:t></w:r>
</w:p>
<w:p>
<w:pPr><w:pStyle w:val="Normal"/></w:pPr>
<w:r><w:t xml:space="preserve">from future interference in the affairs of the Poles or the</w:t></w:r>
</w:p>
<w:p>
<w:pPr><w:pStyle w:val="Normal"/></w:pPr>
<w:r><w:t xml:space="preserve">Cossacks.  Discontent at the leniency of these terms was</w:t></w:r>
</w:p>
<w:p>
<w:pPr><w:pStyle w:val="Normal"/></w:pPr>
<w:r><w:t xml:space="preserve">so strong at Constantinople that it nearly brought on a</w:t></w:r>
</w:p>
<w:p>
<w:pPr><w:pStyle w:val="Normal"/></w:pPr>
<w:r><w:t xml:space="preserve">renewal of the war.  In 1715 the Morea was taken from the</w:t></w:r>
</w:p>
<w:p>
<w:pPr><w:pStyle w:val="Normal"/></w:pPr>
<w:r><w:t xml:space="preserve">Venetians.  This led to hostilities with Austria, in which</w:t></w:r>
</w:p>
<w:p>
<w:pPr><w:pStyle w:val="Normal"/></w:pPr>
<w:r><w:t xml:space="preserve">Turkey was unsuccessful, and Belgrade fell into the hands</w:t></w:r>
</w:p>
<w:p>
<w:pPr><w:pStyle w:val="Normal"/></w:pPr>
<w:r><w:t xml:space="preserve">of Austria (1717).  Through the mediation of England and</w:t></w:r>
</w:p>
<w:p>
<w:pPr><w:pStyle w:val="Normal"/></w:pPr>
<w:r><w:t xml:space="preserve">Holland the peace of Passarowitz was concluded (1718), by</w:t></w:r>
</w:p>
<w:p>
<w:pPr><w:pStyle w:val="Normal"/></w:pPr>
<w:r><w:t xml:space="preserve">which Turkey retained her conquests from the Venetians, but</w:t></w:r>
</w:p>
<w:p>
<w:pPr><w:pStyle w:val="Normal"/></w:pPr>
<w:r><w:t xml:space="preserve">lost Hungary.  A war with Persia terminated in disaster,</w:t></w:r>
</w:p>
<w:p>
<w:pPr><w:pStyle w:val="Normal"/></w:pPr>
<w:r><w:t xml:space="preserve">leading to a revolt of the janissaries, who deposed Ahmed</w:t></w:r>
</w:p>
<w:p>
<w:pPr><w:pStyle w:val="Normal"/></w:pPr>
<w:r><w:t xml:space="preserve">in September 1730.  He died in captivity some years later.</w:t></w:r>
</w:p>
<w:p>
<w:pPr><w:pStyle w:val="Normal"/></w:pPr>
<w:r><w:t xml:space="preserve">AHMEDABAD, or AHMADABAD, a city and district of British</w:t></w:r>
</w:p>
<w:p>
<w:pPr><w:pStyle w:val="Normal"/></w:pPr>
<w:r><w:t xml:space="preserve">India in the northern division of Bombay.  The city was once</w:t></w:r>
</w:p>
<w:p>
<w:pPr><w:pStyle w:val="Normal"/></w:pPr>
<w:r><w:t xml:space="preserve">the handsomest and most flourishing in western India, and it</w:t></w:r>
</w:p>
<w:p>
<w:pPr><w:pStyle w:val="Normal"/></w:pPr>
<w:r><w:t xml:space="preserve">still ranks next to Agra and Delhi for the beauty and extent</w:t></w:r>
</w:p>
<w:p>
<w:pPr><w:pStyle w:val="Normal"/></w:pPr>
<w:r><w:t xml:space="preserve">of its architectural remains.  It was founded by Ahmad Shah</w:t></w:r>
</w:p>
<w:p>
<w:pPr><w:pStyle w:val="Normal"/></w:pPr>
<w:r><w:t xml:space="preserve">in A.D. 1411 on the site of several Hindu towns, which had</w:t></w:r>
</w:p>
<w:p>
<w:pPr><w:pStyle w:val="Normal"/></w:pPr>
<w:r><w:t xml:space="preserve">preceded it, and was embellished by him with fine buildings of</w:t></w:r>
</w:p>
<w:p>
<w:pPr><w:pStyle w:val="Normal"/></w:pPr>
<w:r><w:t xml:space="preserve">marble, brought from a distance.  The Portuguese traveller</w:t></w:r>
</w:p>
<w:p>
<w:pPr><w:pStyle w:val="Normal"/></w:pPr>
<w:r><w:t xml:space="preserve">Barbosa, who visited Gujarat in A.D. 1511 and 1514, described</w:t></w:r>
</w:p>
<w:p>
<w:pPr><w:pStyle w:val="Normal"/></w:pPr>
<w:r><w:t xml:space="preserve">Ahmedabad as ``very rich and well embellished with good streets</w:t></w:r>
</w:p>
<w:p>
<w:pPr><w:pStyle w:val="Normal"/></w:pPr>
<w:r><w:t xml:space="preserve">and squares supplied with houses of stone and cement.&apos;&apos; In Sir</w:t></w:r>
</w:p>
<w:p>
<w:pPr><w:pStyle w:val="Normal"/></w:pPr>
<w:r><w:t xml:space="preserve">Thomas Roe&apos;s time, A.D. 1615, ``it was a goodly city as large</w:t></w:r>
</w:p>
<w:p>
<w:pPr><w:pStyle w:val="Normal"/></w:pPr>
<w:r><w:t xml:space="preserve">as London.&apos;&apos; During the course of its history it has passed</w:t></w:r>
</w:p>
<w:p>
<w:pPr><w:pStyle w:val="Normal"/></w:pPr>
<w:r><w:t xml:space="preserve">through two periods of greatness, two of decay and one of</w:t></w:r>
</w:p>
<w:p>
<w:pPr><w:pStyle w:val="Normal"/></w:pPr>
<w:r><w:t xml:space="preserve">revival.  From 1411 to 1511 it grew in size and wealth; from 1512</w:t></w:r>
</w:p>
<w:p>
<w:pPr><w:pStyle w:val="Normal"/></w:pPr>
<w:r><w:t xml:space="preserve">to 1572 it declined with the decay of the dynasty of Gujarat;</w:t></w:r>
</w:p>
<w:p>
<w:pPr><w:pStyle w:val="Normal"/></w:pPr>
<w:r><w:t xml:space="preserve">from 1572 to 1709 it renewed its greatness under the Mogul</w:t></w:r>
</w:p>
<w:p>
<w:pPr><w:pStyle w:val="Normal"/></w:pPr>
<w:r><w:t xml:space="preserve">emperors; from 1709 to 1809 it dwindled with their decline; and</w:t></w:r>
</w:p>
<w:p>
<w:pPr><w:pStyle w:val="Normal"/></w:pPr>
<w:r><w:t xml:space="preserve">from 1818 onwards it has again increased under British rule.</w:t></w:r>
</w:p>
<w:p>
<w:pPr><w:pStyle w:val="Normal"/></w:pPr>
<w:r><w:t xml:space="preserve">The consequence of all these changes of dynasty was that</w:t></w:r>
</w:p>
<w:p>
<w:pPr><w:pStyle w:val="Normal"/></w:pPr>
<w:r><w:t xml:space="preserve">Ahmedabad became the meeting-place of Hindu, Mahommedan and Jain</w:t></w:r>
</w:p>
<w:p>
<w:pPr><w:pStyle w:val="Normal"/></w:pPr>
<w:r><w:t xml:space="preserve">architecture.  Ahmad Shah pulled down Hindu temples in order</w:t></w:r>
</w:p>
<w:p>
<w:pPr><w:pStyle w:val="Normal"/></w:pPr>
<w:r><w:t xml:space="preserve">to build his mosques with the material.  The Jama Masjid</w:t></w:r>
</w:p>
<w:p>
<w:pPr><w:pStyle w:val="Normal"/></w:pPr>
<w:r><w:t xml:space="preserve">itself, which he built in A.D. 1424, with its three hundred</w:t></w:r>
</w:p>
<w:p>
<w:pPr><w:pStyle w:val="Normal"/></w:pPr>
<w:r><w:t xml:space="preserve">pillars fantastically carved, is a Hindu temple converted</w:t></w:r>
</w:p>
<w:p>
<w:pPr><w:pStyle w:val="Normal"/></w:pPr>
<w:r><w:t xml:space="preserve">into a mosque (see INDIAN ARCHITECTURE, Plate III., fig.</w:t></w:r>
</w:p>
<w:p>
<w:pPr><w:pStyle w:val="Normal"/></w:pPr>
<w:r><w:t xml:space="preserve">15). One of the finest buildings is the modern Jain temple of</w:t></w:r>
</w:p>
<w:p>
<w:pPr><w:pStyle w:val="Normal"/></w:pPr>
<w:r><w:t xml:space="preserve">Hathi Singh outside the Delhi gate, which was built only in</w:t></w:r>
</w:p>
<w:p>
<w:pPr><w:pStyle w:val="Normal"/></w:pPr>
<w:r><w:t xml:space="preserve">1848, and is a standing monument to the endurance of Jain</w:t></w:r>
</w:p>
<w:p>
<w:pPr><w:pStyle w:val="Normal"/></w:pPr>
<w:r><w:t xml:space="preserve">architectural art The external porch, between two circular</w:t></w:r>
</w:p>
<w:p>
<w:pPr><w:pStyle w:val="Normal"/></w:pPr>
<w:r><w:t xml:space="preserve">towers, is of great magnificence, most elaborately ornamented,</w:t></w:r>
</w:p>
<w:p>
<w:pPr><w:pStyle w:val="Normal"/></w:pPr>
<w:r><w:t xml:space="preserve">and leads to an outer court, with sixteen cells on either</w:t></w:r>
</w:p>
<w:p>
<w:pPr><w:pStyle w:val="Normal"/></w:pPr>
<w:r><w:t xml:space="preserve">side.  In the centre of this court is a domed porch of the</w:t></w:r>
</w:p>
<w:p>
<w:pPr><w:pStyle w:val="Normal"/></w:pPr>
<w:r><w:t xml:space="preserve">usual form with twenty pillars.  The court leads to an inner</w:t></w:r>
</w:p>
<w:p>
<w:pPr><w:pStyle w:val="Normal"/></w:pPr>
<w:r><w:t xml:space="preserve">porch of twenty-two pillars, two stories in height.  This</w:t></w:r>
</w:p>
<w:p>
<w:pPr><w:pStyle w:val="Normal"/></w:pPr>
<w:r><w:t xml:space="preserve">inner porch conducts to a triple sanctuary.  James Fergusson</w:t></w:r>
</w:p>
<w:p>
<w:pPr><w:pStyle w:val="Normal"/></w:pPr>
<w:r><w:t xml:space="preserve">wrote of this temple that ``each part increases in dignity</w:t></w:r>
</w:p>
<w:p>
<w:pPr><w:pStyle w:val="Normal"/></w:pPr>
<w:r><w:t xml:space="preserve">to the sanctuary; and whether looked at from its courts or</w:t></w:r>
</w:p>
<w:p>
<w:pPr><w:pStyle w:val="Normal"/></w:pPr>
<w:r><w:t xml:space="preserve">from outside, it possesses variety without confusion, and an</w:t></w:r>
</w:p>
<w:p>
<w:pPr><w:pStyle w:val="Normal"/></w:pPr>
<w:r><w:t xml:space="preserve">appropriateness of every part to the purpose for which it was</w:t></w:r>
</w:p>
<w:p>
<w:pPr><w:pStyle w:val="Normal"/></w:pPr>
<w:r><w:t xml:space="preserve">intended.&apos;&apos; But perhaps the most unique sight in Ahmedabad</w:t></w:r>
</w:p>
<w:p>
<w:pPr><w:pStyle w:val="Normal"/></w:pPr>
<w:r><w:t xml:space="preserve">is the two windows in Sidi Said&apos;s mosque of filigree marble</w:t></w:r>
</w:p>
<w:p>
<w:pPr><w:pStyle w:val="Normal"/></w:pPr>
<w:r><w:t xml:space="preserve">work.  The design is an imitation of twining and interlaced</w:t></w:r>
</w:p>
<w:p>
<w:pPr><w:pStyle w:val="Normal"/></w:pPr>
<w:r><w:t xml:space="preserve">branches, a marvel of delicacy and grace, and finer</w:t></w:r>
</w:p>
<w:p>
<w:pPr><w:pStyle w:val="Normal"/></w:pPr>
<w:r><w:t xml:space="preserve">than anything of the kind to be found in Agra or Delhi.</w:t></w:r>
</w:p>
<w:p>
<w:pPr><w:pStyle w:val="Normal"/></w:pPr>
<w:r><w:t xml:space="preserve">The modern city of Ahmedabad is situated on the left bank</w:t></w:r>
</w:p>
<w:p>
<w:pPr><w:pStyle w:val="Normal"/></w:pPr>
<w:r><w:t xml:space="preserve">of the river Sabarmati, and is still surrounded by walls</w:t></w:r>
</w:p>
<w:p>
<w:pPr><w:pStyle w:val="Normal"/></w:pPr>
<w:r><w:t xml:space="preserve">enclosing an area of about 2 sq. m.  Its population in 1901 was</w:t></w:r>
</w:p>
<w:p>
<w:pPr><w:pStyle w:val="Normal"/></w:pPr>
<w:r><w:t xml:space="preserve">185,889.  It has a station on the Bombay and Baroda railway,</w:t></w:r>
</w:p>
<w:p>
<w:pPr><w:pStyle w:val="Normal"/></w:pPr>
<w:r><w:t xml:space="preserve">309 m. from Bombay, whence branch lines diverge into Kathiawar</w:t></w:r>
</w:p>
<w:p>
<w:pPr><w:pStyle w:val="Normal"/></w:pPr>
<w:r><w:t xml:space="preserve">and Mahi Kantha, and is a great centre for both trade and</w:t></w:r>
</w:p>
<w:p>
<w:pPr><w:pStyle w:val="Normal"/></w:pPr>
<w:r><w:t xml:space="preserve">manufacture.  Its native bankers, shopkeepers and workers are all</w:t></w:r>
</w:p>
<w:p>
<w:pPr><w:pStyle w:val="Normal"/></w:pPr>
<w:r><w:t xml:space="preserve">strongly organized in gilds.  It has cotton mills for spinning</w:t></w:r>
</w:p>
<w:p>
<w:pPr><w:pStyle w:val="Normal"/></w:pPr>
<w:r><w:t xml:space="preserve">and weaving, besides many handlooms, and factories for ginning</w:t></w:r>
</w:p>
<w:p>
<w:pPr><w:pStyle w:val="Normal"/></w:pPr>
<w:r><w:t xml:space="preserve">and pressing cotton.  Other industries include the manufacture</w:t></w:r>
</w:p>
<w:p>
<w:pPr><w:pStyle w:val="Normal"/></w:pPr>
<w:r><w:t xml:space="preserve">of gold and silver thread, silk brocades, pottery, paper and</w:t></w:r>
</w:p>
<w:p>
<w:pPr><w:pStyle w:val="Normal"/></w:pPr>
<w:r><w:t xml:space="preserve">shoes.  The prosperity of Ahmedabad, says a native proverb,</w:t></w:r>
</w:p>
<w:p>
<w:pPr><w:pStyle w:val="Normal"/></w:pPr>
<w:r><w:t xml:space="preserve">hangs on three threads--silk, gold and cotton; and though</w:t></w:r>
</w:p>
<w:p>
<w:pPr><w:pStyle w:val="Normal"/></w:pPr>
<w:r><w:t xml:space="preserve">its manufactures are on a smaller scale than formerly, they</w:t></w:r>
</w:p>
<w:p>
<w:pPr><w:pStyle w:val="Normal"/></w:pPr>
<w:r><w:t xml:space="preserve">are still moderately flourishing.  The military cantonment,</w:t></w:r>
</w:p>
<w:p>
<w:pPr><w:pStyle w:val="Normal"/></w:pPr>
<w:r><w:t xml:space="preserve">3 m. north of the native town, is the headquarters of the</w:t></w:r>
</w:p>
<w:p>
<w:pPr><w:pStyle w:val="Normal"/></w:pPr>
<w:r><w:t xml:space="preserve">northern division of the Bombay command, with an arsenal.</w:t></w:r>
</w:p>
<w:p>
<w:pPr><w:pStyle w:val="Normal"/></w:pPr>
<w:r><w:t xml:space="preserve">The DISTRICT OF AHMEDABAD lies at the head of the Gulf of</w:t></w:r>
</w:p>
<w:p>
<w:pPr><w:pStyle w:val="Normal"/></w:pPr>
<w:r><w:t xml:space="preserve">Cambay, between Baroda and Kathiawar.  Area 3816 sq. m.  The</w:t></w:r>
</w:p>
<w:p>
<w:pPr><w:pStyle w:val="Normal"/></w:pPr>
<w:r><w:t xml:space="preserve">river Sabarmati and its tributaries, flowing from north-east</w:t></w:r>
</w:p>
<w:p>
<w:pPr><w:pStyle w:val="Normal"/></w:pPr>
<w:r><w:t xml:space="preserve">to south-west into the Gulf of Cambay, are the principal</w:t></w:r>
</w:p>
<w:p>
<w:pPr><w:pStyle w:val="Normal"/></w:pPr>
<w:r><w:t xml:space="preserve">streams that water the district.  The north-eastern portion is</w:t></w:r>
</w:p>
<w:p>
<w:pPr><w:pStyle w:val="Normal"/></w:pPr>
<w:r><w:t xml:space="preserve">slightly elevated, and dotted with low hills, which gradually</w:t></w:r>
</w:p>
<w:p>
<w:pPr><w:pStyle w:val="Normal"/></w:pPr>
<w:r><w:t xml:space="preserve">sink into a vast plain, subject to inundation on its western</w:t></w:r>
</w:p>
<w:p>
<w:pPr><w:pStyle w:val="Normal"/></w:pPr>
<w:r><w:t xml:space="preserve">extremity.  With the exception of this latter portion, the</w:t></w:r>
</w:p>
<w:p>
<w:pPr><w:pStyle w:val="Normal"/></w:pPr>
<w:r><w:t xml:space="preserve">soil is very fertile, and some parts of the district are</w:t></w:r>
</w:p>
<w:p>
<w:pPr><w:pStyle w:val="Normal"/></w:pPr>
<w:r><w:t xml:space="preserve">beautifully wooded.  The population in 1901 was 795,967,</w:t></w:r>
</w:p>
<w:p>
<w:pPr><w:pStyle w:val="Normal"/></w:pPr>
<w:r><w:t xml:space="preserve">showing a decrease of 14% in the decade, due to the effects of</w:t></w:r>
</w:p>
<w:p>
<w:pPr><w:pStyle w:val="Normal"/></w:pPr>
<w:r><w:t xml:space="preserve">famine.  The principal crops are millets, cotton, wheat and</w:t></w:r>
</w:p>
<w:p>
<w:pPr><w:pStyle w:val="Normal"/></w:pPr>
<w:r><w:t xml:space="preserve">pulse.  The district is traversed by the Bombay and Baroda</w:t></w:r>
</w:p>
<w:p>
<w:pPr><w:pStyle w:val="Normal"/></w:pPr>
<w:r><w:t xml:space="preserve">railway, and has two seaports, Dholera and Gogo, the former of</w:t></w:r>
</w:p>
<w:p>
<w:pPr><w:pStyle w:val="Normal"/></w:pPr>
<w:r><w:t xml:space="preserve">which has given its name to a mark of raw cotton in the Liverpool</w:t></w:r>
</w:p>
<w:p>
<w:pPr><w:pStyle w:val="Normal"/></w:pPr>
<w:r><w:t xml:space="preserve">market.  It suffered severely in the famine of 1899-1900.</w:t></w:r>
</w:p>
<w:p>
<w:pPr><w:pStyle w:val="Normal"/></w:pPr>
<w:r><w:t xml:space="preserve">AHMEDNAGAR, or AHMADNAGAR, a city and district of British</w:t></w:r>
</w:p>
<w:p>
<w:pPr><w:pStyle w:val="Normal"/></w:pPr>
<w:r><w:t xml:space="preserve">India in the Central division of Bombay on the left bank of</w:t></w:r>
</w:p>
<w:p>
<w:pPr><w:pStyle w:val="Normal"/></w:pPr>
<w:r><w:t xml:space="preserve">the river Sina.  The town is of considerable antiquity, having</w:t></w:r>
</w:p>
<w:p>
<w:pPr><w:pStyle w:val="Normal"/></w:pPr>
<w:r><w:t xml:space="preserve">been founded in 1494 by Ahmad Nizam Shah, on the site of a</w:t></w:r>
</w:p>
<w:p>
<w:pPr><w:pStyle w:val="Normal"/></w:pPr>
<w:r><w:t xml:space="preserve">more ancient city, Bhingar.  This Ahmad established a new</w:t></w:r>
</w:p>
<w:p>
<w:pPr><w:pStyle w:val="Normal"/></w:pPr>
<w:r><w:t xml:space="preserve">monarchy, which lasted till its overthrow by Shah Jahan in</w:t></w:r>
</w:p>
<w:p>
<w:pPr><w:pStyle w:val="Normal"/></w:pPr>
<w:r><w:t xml:space="preserve">1636.  In 1759 the Peshwa obtained possession of the</w:t></w:r>
</w:p>
<w:p>
<w:pPr><w:pStyle w:val="Normal"/></w:pPr>
<w:r><w:t xml:space="preserve">place by bribing the Mahommedan commander, and in 1797 it</w:t></w:r>
</w:p>
<w:p>
<w:pPr><w:pStyle w:val="Normal"/></w:pPr>
<w:r><w:t xml:space="preserve">was ceded by the Peshwa to the Mahratta chief Daulat Rao</w:t></w:r>
</w:p>
<w:p>
<w:pPr><w:pStyle w:val="Normal"/></w:pPr>
<w:r><w:t xml:space="preserve">Sindhia.  During the war with the Mahrattas in 1803 Ahmednagar</w:t></w:r>
</w:p>
<w:p>
<w:pPr><w:pStyle w:val="Normal"/></w:pPr>
<w:r><w:t xml:space="preserve">was invested by a British force under General Wellesley and</w:t></w:r>
</w:p>
<w:p>
<w:pPr><w:pStyle w:val="Normal"/></w:pPr>
<w:r><w:t xml:space="preserve">captured.  It was afterwards restored to the Mahrattas,</w:t></w:r>
</w:p>
<w:p>
<w:pPr><w:pStyle w:val="Normal"/></w:pPr>
<w:r><w:t xml:space="preserve">but again came into the possession of the British in 1817,</w:t></w:r>
</w:p>
<w:p>
<w:pPr><w:pStyle w:val="Normal"/></w:pPr>
<w:r><w:t xml:space="preserve">according to the terms of the treaty of Poona.  The town has</w:t></w:r>
</w:p>
<w:p>
<w:pPr><w:pStyle w:val="Normal"/></w:pPr>
<w:r><w:t xml:space="preserve">rapidly advanced in prosperity under British rule.  Several</w:t></w:r>
</w:p>
<w:p>
<w:pPr><w:pStyle w:val="Normal"/></w:pPr>
<w:r><w:t xml:space="preserve">mosques and tombs have been converted to the use of British</w:t></w:r>
</w:p>
<w:p>
<w:pPr><w:pStyle w:val="Normal"/></w:pPr>
<w:r><w:t xml:space="preserve">administration.  The old industries of carpet-weaving and</w:t></w:r>
</w:p>
<w:p>
<w:pPr><w:pStyle w:val="Normal"/></w:pPr>
<w:r><w:t xml:space="preserve">paper-making have died out; but there is a large trade in</w:t></w:r>
</w:p>
<w:p>
<w:pPr><w:pStyle w:val="Normal"/></w:pPr>
<w:r><w:t xml:space="preserve">cotton and silk goods, and in copper and brass pots, and there</w:t></w:r>
</w:p>
<w:p>
<w:pPr><w:pStyle w:val="Normal"/></w:pPr>
<w:r><w:t xml:space="preserve">are factories for ginning and pressing cotton.  Ahmednagar</w:t></w:r>
</w:p>
<w:p>
<w:pPr><w:pStyle w:val="Normal"/></w:pPr>
<w:r><w:t xml:space="preserve">is a station on the loop line of the Great Indian Peninsula</w:t></w:r>
</w:p>
<w:p>
<w:pPr><w:pStyle w:val="Normal"/></w:pPr>
<w:r><w:t xml:space="preserve">railway, 218 m. from Bombay, and a military cantonment,</w:t></w:r>
</w:p>
<w:p>
<w:pPr><w:pStyle w:val="Normal"/></w:pPr>
<w:r><w:t xml:space="preserve">being the headquarters of a brigade in the 6th division of</w:t></w:r>
</w:p>
<w:p>
<w:pPr><w:pStyle w:val="Normal"/></w:pPr>
<w:r><w:t xml:space="preserve">the western army corps.  The population in 1901 was 43,032.</w:t></w:r>
</w:p>
<w:p>
<w:pPr><w:pStyle w:val="Normal"/></w:pPr>
<w:r><w:t xml:space="preserve">The DISTRICT OF AHMEDNACAR is a comparatively barren tract</w:t></w:r>
</w:p>
<w:p>
<w:pPr><w:pStyle w:val="Normal"/></w:pPr>
<w:r><w:t xml:space="preserve">with a small rainfall.  The area is 6586 sq. m.  The population</w:t></w:r>
</w:p>
<w:p>
<w:pPr><w:pStyle w:val="Normal"/></w:pPr>
<w:r><w:t xml:space="preserve">in 1901 was 837,695, showing a decrease of 6% in the decade,</w:t></w:r>
</w:p>
<w:p>
<w:pPr><w:pStyle w:val="Normal"/></w:pPr>
<w:r><w:t xml:space="preserve">due to the results of famine.  The bulk of the population</w:t></w:r>
</w:p>
<w:p>
<w:pPr><w:pStyle w:val="Normal"/></w:pPr>
<w:r><w:t xml:space="preserve">consists of Mahrattas and Kunbis, the latter being the</w:t></w:r>
</w:p>
<w:p>
<w:pPr><w:pStyle w:val="Normal"/></w:pPr>
<w:r><w:t xml:space="preserve">agriculturists.  On the north the district is watered by the</w:t></w:r>
</w:p>
<w:p>
<w:pPr><w:pStyle w:val="Normal"/></w:pPr>
<w:r><w:t xml:space="preserve">Godavari and its tributaries the Prawara and the Mula; on the</w:t></w:r>
</w:p>
<w:p>
<w:pPr><w:pStyle w:val="Normal"/></w:pPr>
<w:r><w:t xml:space="preserve">north-east by the Dor, another tributary of the Godavari; on</w:t></w:r>
</w:p>
<w:p>
<w:pPr><w:pStyle w:val="Normal"/></w:pPr>
<w:r><w:t xml:space="preserve">the east by the Sephani, which flows through the valley below</w:t></w:r>
</w:p>
<w:p>
<w:pPr><w:pStyle w:val="Normal"/></w:pPr>
<w:r><w:t xml:space="preserve">the Balaghat range; and in the extreme south by the Bhima and</w:t></w:r>
</w:p>
<w:p>
<w:pPr><w:pStyle w:val="Normal"/></w:pPr>
<w:r><w:t xml:space="preserve">its tributary the Gor. The Sina river, another tributary of the</w:t></w:r>
</w:p>
<w:p>
<w:pPr><w:pStyle w:val="Normal"/></w:pPr>
<w:r><w:t xml:space="preserve">Bhima, flows through the Nagar and Karjat talukas.  The principal</w:t></w:r>
</w:p>
<w:p>
<w:pPr><w:pStyle w:val="Normal"/></w:pPr>
<w:r><w:t xml:space="preserve">crops are millet, pulse, oil-seeds and wheat.  The district</w:t></w:r>
</w:p>
<w:p>
<w:pPr><w:pStyle w:val="Normal"/></w:pPr>
<w:r><w:t xml:space="preserve">suffered from drought in 1896-1897, and again in 1899-1900.</w:t></w:r>
</w:p>
<w:p>
<w:pPr><w:pStyle w:val="Normal"/></w:pPr>
<w:r><w:t xml:space="preserve">AHMED TEWFIK, PASHA (1845- ), Turkish diplomatist,</w:t></w:r>
</w:p>
<w:p>
<w:pPr><w:pStyle w:val="Normal"/></w:pPr>
<w:r><w:t xml:space="preserve">was the son of Ismail Hakki Pasha.  He was at first in the</w:t></w:r>
</w:p>
<w:p>
<w:pPr><w:pStyle w:val="Normal"/></w:pPr>
<w:r><w:t xml:space="preserve">army, but left the service in 1862; four years later he</w:t></w:r>
</w:p>
<w:p>
<w:pPr><w:pStyle w:val="Normal"/></w:pPr>
<w:r><w:t xml:space="preserve">entered the diplomatic service, being employed at various</w:t></w:r>
</w:p>
<w:p>
<w:pPr><w:pStyle w:val="Normal"/></w:pPr>
<w:r><w:t xml:space="preserve">European capitals.  He became minister at Athens in</w:t></w:r>
</w:p>
<w:p>
<w:pPr><w:pStyle w:val="Normal"/></w:pPr>
<w:r><w:t xml:space="preserve">1883 and ambassador in Berlin in 1884.  He was appointed</w:t></w:r>
</w:p>
<w:p>
<w:pPr><w:pStyle w:val="Normal"/></w:pPr>
<w:r><w:t xml:space="preserve">minister for foreign affairs (Kharijie Naziri) in 1896.</w:t></w:r>
</w:p>
<w:p>
<w:pPr><w:pStyle w:val="Normal"/></w:pPr>
<w:r><w:t xml:space="preserve">AHMED VEFIK, PASHA (1819-1891), Turkish statesman and</w:t></w:r>
</w:p>
<w:p>
<w:pPr><w:pStyle w:val="Normal"/></w:pPr>
<w:r><w:t xml:space="preserve">man of letters, was born in Stambul in 1819.  He was the</w:t></w:r>
</w:p>
<w:p>
<w:pPr><w:pStyle w:val="Normal"/></w:pPr>
<w:r><w:t xml:space="preserve">son of Rouheddin Effendi, at one time charge d&apos;affaires in</w:t></w:r>
</w:p>
<w:p>
<w:pPr><w:pStyle w:val="Normal"/></w:pPr>
<w:r><w:t xml:space="preserve">Paris, an accomplished French scholar, who was, therefore,</w:t></w:r>
</w:p>
<w:p>
<w:pPr><w:pStyle w:val="Normal"/></w:pPr>
<w:r><w:t xml:space="preserve">attached, in the capacity of secretary-interpreter, to Reshid</w:t></w:r>
</w:p>
<w:p>
<w:pPr><w:pStyle w:val="Normal"/></w:pPr>
<w:r><w:t xml:space="preserve">Pasha&apos;s diplomatic mission to Paris in 1834.  Reshid took Ahmed</w:t></w:r>
</w:p>
<w:p>
<w:pPr><w:pStyle w:val="Normal"/></w:pPr>
<w:r><w:t xml:space="preserve">with him and placed him at school, where he remained about</w:t></w:r>
</w:p>
<w:p>
<w:pPr><w:pStyle w:val="Normal"/></w:pPr>
<w:r><w:t xml:space="preserve">five years and completed his studies.  He then returned to</w:t></w:r>
</w:p>
<w:p>
<w:pPr><w:pStyle w:val="Normal"/></w:pPr>
<w:r><w:t xml:space="preserve">Constantinople, and was appointed to a post in the bureau</w:t></w:r>
</w:p>
<w:p>
<w:pPr><w:pStyle w:val="Normal"/></w:pPr>
<w:r><w:t xml:space="preserve">de traduction of the ministry for foreign affairs.  While</w:t></w:r>
</w:p>
<w:p>
<w:pPr><w:pStyle w:val="Normal"/></w:pPr>
<w:r><w:t xml:space="preserve">thus employed he devoted his leisure to the translation</w:t></w:r>
</w:p>
<w:p>
<w:pPr><w:pStyle w:val="Normal"/></w:pPr>
<w:r><w:t xml:space="preserve">of Moliere&apos;s plays into Turkish and to the compilation of</w:t></w:r>
</w:p>
<w:p>
<w:pPr><w:pStyle w:val="Normal"/></w:pPr>
<w:r><w:t xml:space="preserve">educational books--dictionaries, historical and geographical</w:t></w:r>
</w:p>
<w:p>
<w:pPr><w:pStyle w:val="Normal"/></w:pPr>
<w:r><w:t xml:space="preserve">manuals, &amp;c.--for use in Turkish schools, with the object of</w:t></w:r>
</w:p>
<w:p>
<w:pPr><w:pStyle w:val="Normal"/></w:pPr>
<w:r><w:t xml:space="preserve">promoting cultivation of the French language among the rising</w:t></w:r>
</w:p>
<w:p>
<w:pPr><w:pStyle w:val="Normal"/></w:pPr>
<w:r><w:t xml:space="preserve">generation.  In 1847 he brought out the first edition of</w:t></w:r>
</w:p>
<w:p>
<w:pPr><w:pStyle w:val="Normal"/></w:pPr>
<w:r><w:t xml:space="preserve">the Salnameh, the official annual of the Ottoman empire.</w:t></w:r>
</w:p>
<w:p>
<w:pPr><w:pStyle w:val="Normal"/></w:pPr>
<w:r><w:t xml:space="preserve">Two years later he was appointed imperial commissioner in</w:t></w:r>
</w:p>
<w:p>
<w:pPr><w:pStyle w:val="Normal"/></w:pPr>
<w:r><w:t xml:space="preserve">the Danubian principalities, and held that office till early</w:t></w:r>
</w:p>
<w:p>
<w:pPr><w:pStyle w:val="Normal"/></w:pPr>
<w:r><w:t xml:space="preserve">in 1851 when he was sent to Persia as ambassador--a post</w:t></w:r>
</w:p>
<w:p>
<w:pPr><w:pStyle w:val="Normal"/></w:pPr>
<w:r><w:t xml:space="preserve">which suited his temperament, and in which he rendered good</w:t></w:r>
</w:p>
<w:p>
<w:pPr><w:pStyle w:val="Normal"/></w:pPr>
<w:r><w:t xml:space="preserve">service to his goverment for more than four years.  Recalled</w:t></w:r>
</w:p>
<w:p>
<w:pPr><w:pStyle w:val="Normal"/></w:pPr>
<w:r><w:t xml:space="preserve">in 1855, he was sent on a mission to inspect the eastern</w:t></w:r>
</w:p>
<w:p>
<w:pPr><w:pStyle w:val="Normal"/></w:pPr>
<w:r><w:t xml:space="preserve">frontiers, and on his return was appointed member of the</w:t></w:r>
</w:p>
<w:p>
<w:pPr><w:pStyle w:val="Normal"/></w:pPr>
<w:r><w:t xml:space="preserve">Grand Council of Justice, and was entrusted with the revision</w:t></w:r>
</w:p>
<w:p>
<w:pPr><w:pStyle w:val="Normal"/></w:pPr>
<w:r><w:t xml:space="preserve">of the penal code and the code of procedure.  This work</w:t></w:r>
</w:p>
<w:p>
<w:pPr><w:pStyle w:val="Normal"/></w:pPr>
<w:r><w:t xml:space="preserve">occupied him until the beginning of 1860, when he was sent</w:t></w:r>
</w:p>
<w:p>
<w:pPr><w:pStyle w:val="Normal"/></w:pPr>
<w:r><w:t xml:space="preserve">as ambassador to Paris, for the special purpose of averting</w:t></w:r>
</w:p>
<w:p>
<w:pPr><w:pStyle w:val="Normal"/></w:pPr>
<w:r><w:t xml:space="preserve">the much-dreaded intervention of France in the affairs of</w:t></w:r>
</w:p>
<w:p>
<w:pPr><w:pStyle w:val="Normal"/></w:pPr>
<w:r><w:t xml:space="preserve">Syria.  But Ahmed Vefik&apos;s abrupt frankness, irascibility</w:t></w:r>
</w:p>
<w:p>
<w:pPr><w:pStyle w:val="Normal"/></w:pPr>
<w:r><w:t xml:space="preserve">and abhorrence of compromise unfitted him for European</w:t></w:r>
</w:p>
<w:p>
<w:pPr><w:pStyle w:val="Normal"/></w:pPr>
<w:r><w:t xml:space="preserve">diplomacy.  He offended the French government; his mission</w:t></w:r>
</w:p>
<w:p>
<w:pPr><w:pStyle w:val="Normal"/></w:pPr>
<w:r><w:t xml:space="preserve">failed, and he was recalled in January, 1861.  None the less</w:t></w:r>
</w:p>
<w:p>
<w:pPr><w:pStyle w:val="Normal"/></w:pPr>
<w:r><w:t xml:space="preserve">his integrity of purpose was fully understood and appreciated</w:t></w:r>
</w:p>
<w:p>
<w:pPr><w:pStyle w:val="Normal"/></w:pPr>
<w:r><w:t xml:space="preserve">in Paris.  On his return he was appointed minister of the</w:t></w:r>
</w:p>
<w:p>
<w:pPr><w:pStyle w:val="Normal"/></w:pPr>
<w:r><w:t xml:space="preserve">evkaj, but he only retained his seat in the cabinet for</w:t></w:r>
</w:p>
<w:p>
<w:pPr><w:pStyle w:val="Normal"/></w:pPr>
<w:r><w:t xml:space="preserve">a few months.  He was then for a brief period president</w:t></w:r>
</w:p>
<w:p>
<w:pPr><w:pStyle w:val="Normal"/></w:pPr>
<w:r><w:t xml:space="preserve">of the Board of Audit, and subsequently inspector of the</w:t></w:r>
</w:p>
<w:p>
<w:pPr><w:pStyle w:val="Normal"/></w:pPr>
<w:r><w:t xml:space="preserve">Anatolian provinces, where he was engaged for more than three</w:t></w:r>
</w:p>
<w:p>
<w:pPr><w:pStyle w:val="Normal"/></w:pPr>
<w:r><w:t xml:space="preserve">years.  His next appointment was that of director-general of</w:t></w:r>
</w:p>
<w:p>
<w:pPr><w:pStyle w:val="Normal"/></w:pPr>
<w:r><w:t xml:space="preserve">customs, whence he was removed to the office of musteshar</w:t></w:r>
</w:p>
<w:p>
<w:pPr><w:pStyle w:val="Normal"/></w:pPr>
<w:r><w:t xml:space="preserve">of the grand vizierate, and in the following year entered the</w:t></w:r>
</w:p>
<w:p>
<w:pPr><w:pStyle w:val="Normal"/></w:pPr>
<w:r><w:t xml:space="preserve">cabinet of Midhat Pasha as minister of public instruction,</w:t></w:r>
</w:p>
<w:p>
<w:pPr><w:pStyle w:val="Normal"/></w:pPr>
<w:r><w:t xml:space="preserve">but very soon retired to his seat in the Council of State</w:t></w:r>
</w:p>
<w:p>
<w:pPr><w:pStyle w:val="Normal"/></w:pPr>
<w:r><w:t xml:space="preserve">and remained out of office until 1875, when he represented</w:t></w:r>
</w:p>
<w:p>
<w:pPr><w:pStyle w:val="Normal"/></w:pPr>
<w:r><w:t xml:space="preserve">Turkey at the International Telegraphic Conference in St</w:t></w:r>
</w:p>
<w:p>
<w:pPr><w:pStyle w:val="Normal"/></w:pPr>
<w:r><w:t xml:space="preserve">Petersburg.  He was president of the short-lived Turkish</w:t></w:r>
</w:p>
<w:p>
<w:pPr><w:pStyle w:val="Normal"/></w:pPr>
<w:r><w:t xml:space="preserve">parliament during its first session--March 19 to June 28,</w:t></w:r>
</w:p>
<w:p>
<w:pPr><w:pStyle w:val="Normal"/></w:pPr>
<w:r><w:t xml:space="preserve">1877--and at its close was appointed vali of Adrianople, where</w:t></w:r>
</w:p>
<w:p>
<w:pPr><w:pStyle w:val="Normal"/></w:pPr>
<w:r><w:t xml:space="preserve">he rendered invaluable aid to the Red Cross Society.  On his</w:t></w:r>
</w:p>
<w:p>
<w:pPr><w:pStyle w:val="Normal"/></w:pPr>
<w:r><w:t xml:space="preserve">recall, at the beginning of 1878, he accepted the ministry of</w:t></w:r>
</w:p>
<w:p>
<w:pPr><w:pStyle w:val="Normal"/></w:pPr>
<w:r><w:t xml:space="preserve">public instruction in the cabinet of Ahmed Hamdi Pasha, and</w:t></w:r>
</w:p>
<w:p>
<w:pPr><w:pStyle w:val="Normal"/></w:pPr>
<w:r><w:t xml:space="preserve">on the abolition of the grand vizierate (February 5, 1878) he</w:t></w:r>
</w:p>
<w:p>
<w:pPr><w:pStyle w:val="Normal"/></w:pPr>
<w:r><w:t xml:space="preserve">became prime minister and held office till about the middle</w:t></w:r>
</w:p>
<w:p>
<w:pPr><w:pStyle w:val="Normal"/></w:pPr>
<w:r><w:t xml:space="preserve">of April, when he resigned.  Early in the following year he</w:t></w:r>
</w:p>
<w:p>
<w:pPr><w:pStyle w:val="Normal"/></w:pPr>
<w:r><w:t xml:space="preserve">was appointed vali of Brusa, where he remained nearly four</w:t></w:r>
</w:p>
<w:p>
<w:pPr><w:pStyle w:val="Normal"/></w:pPr>
<w:r><w:t xml:space="preserve">years, and rendered admirable services to the province.  The</w:t></w:r>
</w:p>
<w:p>
<w:pPr><w:pStyle w:val="Normal"/></w:pPr>
<w:r><w:t xml:space="preserve">drainage of the pestilent marshes, the water-supply from the</w:t></w:r>
</w:p>
<w:p>
<w:pPr><w:pStyle w:val="Normal"/></w:pPr>
<w:r><w:t xml:space="preserve">mountains, the numerous roads, the suppression of brigandage,</w:t></w:r>
</w:p>
<w:p>
<w:pPr><w:pStyle w:val="Normal"/></w:pPr>
<w:r><w:t xml:space="preserve">the multiplication of schools, the vast development of the silk</w:t></w:r>
</w:p>
<w:p>
<w:pPr><w:pStyle w:val="Normal"/></w:pPr>
<w:r><w:t xml:space="preserve">industry through the substitution of mulberry plantations for</w:t></w:r>
</w:p>
<w:p>
<w:pPr><w:pStyle w:val="Normal"/></w:pPr>
<w:r><w:t xml:space="preserve">rice-fields, the opening out of the mineral springs of Chitli,</w:t></w:r>
</w:p>
<w:p>
<w:pPr><w:pStyle w:val="Normal"/></w:pPr>
<w:r><w:t xml:space="preserve">the introduction of rose-trees and the production of attar</w:t></w:r>
</w:p>
<w:p>
<w:pPr><w:pStyle w:val="Normal"/></w:pPr>
<w:r><w:t xml:space="preserve">of roses--all these were Ahmed Vefik&apos;s work; and he became</w:t></w:r>
</w:p>
<w:p>
<w:pPr><w:pStyle w:val="Normal"/></w:pPr>
<w:r><w:t xml:space="preserve">so popular that when in 1882 he was recalled, it was thought</w:t></w:r>
</w:p>
<w:p>
<w:pPr><w:pStyle w:val="Normal"/></w:pPr>
<w:r><w:t xml:space="preserve">advisable that he should be taken away secretly by night from</w:t></w:r>
</w:p>
<w:p>
<w:pPr><w:pStyle w:val="Normal"/></w:pPr>
<w:r><w:t xml:space="preserve">the konak in Brusa and brought to his private residence</w:t></w:r>
</w:p>
<w:p>
<w:pPr><w:pStyle w:val="Normal"/></w:pPr>
<w:r><w:t xml:space="preserve">on the Bosporus.  A few days after his return he was again</w:t></w:r>
</w:p>
<w:p>
<w:pPr><w:pStyle w:val="Normal"/></w:pPr>
<w:r><w:t xml:space="preserve">appointed prime minister (December 1, 1882), but Ahmed Vefik</w:t></w:r>
</w:p>
<w:p>
<w:pPr><w:pStyle w:val="Normal"/></w:pPr>
<w:r><w:t xml:space="preserve">demanded, as the condition of his acceptance of office, that</w:t></w:r>
</w:p>
<w:p>
<w:pPr><w:pStyle w:val="Normal"/></w:pPr>
<w:r><w:t xml:space="preserve">he should choose the other members of the cabinet, and that</w:t></w:r>
</w:p>
<w:p>
<w:pPr><w:pStyle w:val="Normal"/></w:pPr>
<w:r><w:t xml:space="preserve">a number of persons in the sultan&apos;s entourage should be</w:t></w:r>
</w:p>
<w:p>
<w:pPr><w:pStyle w:val="Normal"/></w:pPr>
<w:r><w:t xml:space="preserve">dismissed.  Upon this, the sultan, on the 3rd of December,</w:t></w:r>
</w:p>
<w:p>
<w:pPr><w:pStyle w:val="Normal"/></w:pPr>
<w:r><w:t xml:space="preserve">revoked the irade of the 1st of December, and appointed</w:t></w:r>
</w:p>
<w:p>
<w:pPr><w:pStyle w:val="Normal"/></w:pPr>
<w:r><w:t xml:space="preserve">Said Pasha prime minister.  For the rest of his life Ahmed</w:t></w:r>
</w:p>
<w:p>
<w:pPr><w:pStyle w:val="Normal"/></w:pPr>
<w:r><w:t xml:space="preserve">Vefik, by the sultan&apos;s orders, was practically a prisoner in</w:t></w:r>
</w:p>
<w:p>
<w:pPr><w:pStyle w:val="Normal"/></w:pPr>
<w:r><w:t xml:space="preserve">his own house; and eventually he died, on the 1st of April</w:t></w:r>
</w:p>
<w:p>
<w:pPr><w:pStyle w:val="Normal"/></w:pPr>
<w:r><w:t xml:space="preserve">1891, of a renal complaint from which he had long been a</w:t></w:r>
</w:p>
<w:p>
<w:pPr><w:pStyle w:val="Normal"/></w:pPr>
<w:r><w:t xml:space="preserve">sufferer.  Ahmed Vefik was a great linguist.  He spoke and</w:t></w:r>
</w:p>
<w:p>
<w:pPr><w:pStyle w:val="Normal"/></w:pPr>
<w:r><w:t xml:space="preserve">wrote French perfectly, and thoroughly understood English,</w:t></w:r>
</w:p>
<w:p>
<w:pPr><w:pStyle w:val="Normal"/></w:pPr>
<w:r><w:t xml:space="preserve">German, Italian, Greek, Arabic and Persian.  From all these</w:t></w:r>
</w:p>
<w:p>
<w:pPr><w:pStyle w:val="Normal"/></w:pPr>
<w:r><w:t xml:space="preserve">languages he translated many books into Turkish, but wrote</w:t></w:r>
</w:p>
<w:p>
<w:pPr><w:pStyle w:val="Normal"/></w:pPr>
<w:r><w:t xml:space="preserve">no original work.  His splendid library of 15,000 volumes</w:t></w:r>
</w:p>
<w:p>
<w:pPr><w:pStyle w:val="Normal"/></w:pPr>
<w:r><w:t xml:space="preserve">contained priceless manuscripts in many languages.  In his</w:t></w:r>
</w:p>
<w:p>
<w:pPr><w:pStyle w:val="Normal"/></w:pPr>
<w:r><w:t xml:space="preserve">lifetime he appreciably aided the progress of education;</w:t></w:r>
</w:p>
<w:p>
<w:pPr><w:pStyle w:val="Normal"/></w:pPr>
<w:r><w:t xml:space="preserve">but, as he had no following, the effects of his labour and</w:t></w:r>
</w:p>
<w:p>
<w:pPr><w:pStyle w:val="Normal"/></w:pPr>
<w:r><w:t xml:space="preserve">influence in a great measure faded away after his death.</w:t></w:r>
</w:p>
<w:p>
<w:pPr><w:pStyle w:val="Normal"/></w:pPr>
<w:r><w:t xml:space="preserve">In all his social and family relations Ahmed Vefik was most</w:t></w:r>
</w:p>
<w:p>
<w:pPr><w:pStyle w:val="Normal"/></w:pPr>
<w:r><w:t xml:space="preserve">exemplary.  His charity knew no bounds.  He was devoted to his</w:t></w:r>
</w:p>
<w:p>
<w:pPr><w:pStyle w:val="Normal"/></w:pPr>
<w:r><w:t xml:space="preserve">aged mother and to his one wife and children.  To his friends</w:t></w:r>
</w:p>
<w:p>
<w:pPr><w:pStyle w:val="Normal"/></w:pPr>
<w:r><w:t xml:space="preserve">and acquaintances he was hospitable, courteous and obliging;</w:t></w:r>
</w:p>
<w:p>
<w:pPr><w:pStyle w:val="Normal"/></w:pPr>
<w:r><w:t xml:space="preserve">his conversation was intellectual and refined, and in every</w:t></w:r>
</w:p>
<w:p>
<w:pPr><w:pStyle w:val="Normal"/></w:pPr>
<w:r><w:t xml:space="preserve">act of his private life he manifested the spirit of a true</w:t></w:r>
</w:p>
<w:p>
<w:pPr><w:pStyle w:val="Normal"/></w:pPr>
<w:r><w:t xml:space="preserve">gentleman.  At home his habits, attire and mode of life</w:t></w:r>
</w:p>
<w:p>
<w:pPr><w:pStyle w:val="Normal"/></w:pPr>
<w:r><w:t xml:space="preserve">were quite Turkish, but he was perfectly at his ease in</w:t></w:r>
</w:p>
<w:p>
<w:pPr><w:pStyle w:val="Normal"/></w:pPr>
<w:r><w:t xml:space="preserve">European society; he had strong English proclivities, and</w:t></w:r>
</w:p>
<w:p>
<w:pPr><w:pStyle w:val="Normal"/></w:pPr>
<w:r><w:t xml:space="preserve">numbered many English men and women amongst his intimate</w:t></w:r>
</w:p>
<w:p>
<w:pPr><w:pStyle w:val="Normal"/></w:pPr>
<w:r><w:t xml:space="preserve">friends.  In public life his gifts were almost sterilized</w:t></w:r>
</w:p>
<w:p>
<w:pPr><w:pStyle w:val="Normal"/></w:pPr>
<w:r><w:t xml:space="preserve">by peculiarities of temperament and incompatibility with</w:t></w:r>
</w:p>
<w:p>
<w:pPr><w:pStyle w:val="Normal"/></w:pPr>
<w:r><w:t xml:space="preserve">official surroundings; and his mission as ambassador to</w:t></w:r>
</w:p>
<w:p>
<w:pPr><w:pStyle w:val="Normal"/></w:pPr>
<w:r><w:t xml:space="preserve">Persia and his administration of Brusa were his only thorough</w:t></w:r>
</w:p>
<w:p>
<w:pPr><w:pStyle w:val="Normal"/></w:pPr>
<w:r><w:t xml:space="preserve">successes.  But his intellectual powers, literary erudition</w:t></w:r>
</w:p>
<w:p>
<w:pPr><w:pStyle w:val="Normal"/></w:pPr>
<w:r><w:t xml:space="preserve">and noble character made him for the last forty years of</w:t></w:r>
</w:p>
<w:p>
<w:pPr><w:pStyle w:val="Normal"/></w:pPr>
<w:r><w:t xml:space="preserve">his life a conspicuous figure in eastern Europe. (E. W.*)</w:t></w:r>
</w:p>
<w:p>
<w:pPr><w:pStyle w:val="Normal"/></w:pPr>
<w:r><w:t xml:space="preserve">AHOM, or AHAM, a tribe of Shan descent inhabiting the</w:t></w:r>
</w:p>
<w:p>
<w:pPr><w:pStyle w:val="Normal"/></w:pPr>
<w:r><w:t xml:space="preserve">Assam Valley, and, prior to the invasion of the Burmese at the</w:t></w:r>
</w:p>
<w:p>
<w:pPr><w:pStyle w:val="Normal"/></w:pPr>
<w:r><w:t xml:space="preserve">commencement of the 19th century, the dominant race in that</w:t></w:r>
</w:p>
<w:p>
<w:pPr><w:pStyle w:val="Normal"/></w:pPr>
<w:r><w:t xml:space="preserve">country.  The Ahoms, together with the Shans of Burma and</w:t></w:r>
</w:p>
<w:p>
<w:pPr><w:pStyle w:val="Normal"/></w:pPr>
<w:r><w:t xml:space="preserve">Eastern China and the Siamese, were members of the Tai</w:t></w:r>
</w:p>
<w:p>
<w:pPr><w:pStyle w:val="Normal"/></w:pPr>
<w:r><w:t xml:space="preserve">race.  The name is believed to be a corruption of the word</w:t></w:r>
</w:p>
<w:p>
<w:pPr><w:pStyle w:val="Normal"/></w:pPr>
<w:r><w:t xml:space="preserve">``A-sam,&apos;&apos; the latter part of which is identical with</w:t></w:r>
</w:p>
<w:p>
<w:pPr><w:pStyle w:val="Normal"/></w:pPr>
<w:r><w:t xml:space="preserve">``Shan&apos;&apos; (properly ``Sham&apos;&apos;) and with ``Siam.&apos;&apos; Under their</w:t></w:r>
</w:p>
<w:p>
<w:pPr><w:pStyle w:val="Normal"/></w:pPr>
<w:r><w:t xml:space="preserve">king Su-ka-pha they invaded Assam (q.v.) from the East in</w:t></w:r>
</w:p>
<w:p>
<w:pPr><w:pStyle w:val="Normal"/></w:pPr>
<w:r><w:t xml:space="preserve">the year A.D. 1228, giving their name to the country.  For</w:t></w:r>
</w:p>
<w:p>
<w:pPr><w:pStyle w:val="Normal"/></w:pPr>
<w:r><w:t xml:space="preserve">a century and a half from 1228 the successors of Su-ka-pha</w:t></w:r>
</w:p>
<w:p>
<w:pPr><w:pStyle w:val="Normal"/></w:pPr>
<w:r><w:t xml:space="preserve">appear to have ruled undisturbed over a small territory in</w:t></w:r>
</w:p>
<w:p>
<w:pPr><w:pStyle w:val="Normal"/></w:pPr>
<w:r><w:t xml:space="preserve">Lakkimpur and Sibsagar districts.  The extension of their</w:t></w:r>
</w:p>
<w:p>
<w:pPr><w:pStyle w:val="Normal"/></w:pPr>
<w:r><w:t xml:space="preserve">power westward down the valley of the Brahmaputra was very</w:t></w:r>
</w:p>
<w:p>
<w:pPr><w:pStyle w:val="Normal"/></w:pPr>
<w:r><w:t xml:space="preserve">gradual, and its success was by no means uniform.  In the</w:t></w:r>
</w:p>
<w:p>
<w:pPr><w:pStyle w:val="Normal"/></w:pPr>
<w:r><w:t xml:space="preserve">time of Aurangzeb the Ahom kings held sway over the entire</w:t></w:r>
</w:p>
<w:p>
<w:pPr><w:pStyle w:val="Normal"/></w:pPr>
<w:r><w:t xml:space="preserve">Brahmaputra valley from Sadiya to near Goalpara, and from the</w:t></w:r>
</w:p>
<w:p>
<w:pPr><w:pStyle w:val="Normal"/></w:pPr>
<w:r><w:t xml:space="preserve">skirts of the southern hills to the Bhutia frontier on the</w:t></w:r>
</w:p>
<w:p>
<w:pPr><w:pStyle w:val="Normal"/></w:pPr>
<w:r><w:t xml:space="preserve">north.  The dynasty attained the height of its power under Rudra</w:t></w:r>
</w:p>
<w:p>
<w:pPr><w:pStyle w:val="Normal"/></w:pPr>
<w:r><w:t xml:space="preserve">Singh, who is said to have ascended the throne in 1695.  In</w:t></w:r>
</w:p>
<w:p>
<w:pPr><w:pStyle w:val="Normal"/></w:pPr>
<w:r><w:t xml:space="preserve">the following century the power of the Ahoms began to decay,</w:t></w:r>
</w:p>
<w:p>
<w:pPr><w:pStyle w:val="Normal"/></w:pPr>
<w:r><w:t xml:space="preserve">alike from internal dissensions and the pressure of outside</w:t></w:r>
</w:p>
<w:p>
<w:pPr><w:pStyle w:val="Normal"/></w:pPr>
<w:r><w:t xml:space="preserve">invaders.  The Burmese were called in to the assistance of one</w:t></w:r>
</w:p>
<w:p>
<w:pPr><w:pStyle w:val="Normal"/></w:pPr>
<w:r><w:t xml:space="preserve">of the contending factions in 1810.  Having once obtained a</w:t></w:r>
</w:p>
<w:p>
<w:pPr><w:pStyle w:val="Normal"/></w:pPr>
<w:r><w:t xml:space="preserve">foothold in the country, they established their power over the</w:t></w:r>
</w:p>
<w:p>
<w:pPr><w:pStyle w:val="Normal"/></w:pPr>
<w:r><w:t xml:space="preserve">entire valley and ruled with merciless barbarity, until they</w:t></w:r>
</w:p>
<w:p>
<w:pPr><w:pStyle w:val="Normal"/></w:pPr>
<w:r><w:t xml:space="preserve">were expelled by the British in 1824-1825.  In the census of</w:t></w:r>
</w:p>
<w:p>
<w:pPr><w:pStyle w:val="Normal"/></w:pPr>
<w:r><w:t xml:space="preserve">1901 the total Ahom population in Assam was returned at 178,049.</w:t></w:r>
</w:p>
<w:p>
<w:pPr><w:pStyle w:val="Normal"/></w:pPr>
<w:r><w:t xml:space="preserve">The Ahoms retained the form of government in Assam peculiar</w:t></w:r>
</w:p>
<w:p>
<w:pPr><w:pStyle w:val="Normal"/></w:pPr>
<w:r><w:t xml:space="preserve">to the Shan tribes, which may he briefly described as an</w:t></w:r>
</w:p>
<w:p>
<w:pPr><w:pStyle w:val="Normal"/></w:pPr>
<w:r><w:t xml:space="preserve">organized system of personal service in lieu of taxation.</w:t></w:r>
</w:p>
<w:p>
<w:pPr><w:pStyle w:val="Normal"/></w:pPr>
<w:r><w:t xml:space="preserve">Their religion was pagan, being quite distinct from Buddhism;</w:t></w:r>
</w:p>
<w:p>
<w:pPr><w:pStyle w:val="Normal"/></w:pPr>
<w:r><w:t xml:space="preserve">but in Assam they gradually became Hinduized, and their</w:t></w:r>
</w:p>
<w:p>
<w:pPr><w:pStyle w:val="Normal"/></w:pPr>
<w:r><w:t xml:space="preserve">kings finally adopted Hindu names and titles.  They believed</w:t></w:r>
</w:p>
<w:p>
<w:pPr><w:pStyle w:val="Normal"/></w:pPr>
<w:r><w:t xml:space="preserve">that there were in the beginning no heavenly bodies, air or</w:t></w:r>
</w:p>
<w:p>
<w:pPr><w:pStyle w:val="Normal"/></w:pPr>
<w:r><w:t xml:space="preserve">earth, only water everywhere, over which at first hovered a</w:t></w:r>
</w:p>
<w:p>
<w:pPr><w:pStyle w:val="Normal"/></w:pPr>
<w:r><w:t xml:space="preserve">formless Supreme Being called Pha. He took corporeal shape</w:t></w:r>
</w:p>
<w:p>
<w:pPr><w:pStyle w:val="Normal"/></w:pPr>
<w:r><w:t xml:space="preserve">as a huge crab that lay floating, face upwards, upon the</w:t></w:r>
</w:p>
<w:p>
<w:pPr><w:pStyle w:val="Normal"/></w:pPr>
<w:r><w:t xml:space="preserve">waters.  In turn other animals took shape, the last being</w:t></w:r>
</w:p>
<w:p>
<w:pPr><w:pStyle w:val="Normal"/></w:pPr>
<w:r><w:t xml:space="preserve">two golden spiders from whose excrement the earth gradually</w:t></w:r>
</w:p>
<w:p>
<w:pPr><w:pStyle w:val="Normal"/></w:pPr>
<w:r><w:t xml:space="preserve">rose above the surrounding ocean.  Pha then formed a female</w:t></w:r>
</w:p>
<w:p>
<w:pPr><w:pStyle w:val="Normal"/></w:pPr>
<w:r><w:t xml:space="preserve">counterpart of himself, who laid four eggs, from which were</w:t></w:r>
</w:p>
<w:p>
<w:pPr><w:pStyle w:val="Normal"/></w:pPr>
<w:r><w:t xml:space="preserve">hatched four sons.  One of these was appointed to rule the</w:t></w:r>
</w:p>
<w:p>
<w:pPr><w:pStyle w:val="Normal"/></w:pPr>
<w:r><w:t xml:space="preserve">earth, but died and became a spirit.  His son also died</w:t></w:r>
</w:p>
<w:p>
<w:pPr><w:pStyle w:val="Normal"/></w:pPr>
<w:r><w:t xml:space="preserve">and became the national household deity of the Ahoms.  The</w:t></w:r>
</w:p>
<w:p>
<w:pPr><w:pStyle w:val="Normal"/></w:pPr>
<w:r><w:t xml:space="preserve">origin of mankind is connected with a flood legend.  The</w:t></w:r>
</w:p>
<w:p>
<w:pPr><w:pStyle w:val="Normal"/></w:pPr>
<w:r><w:t xml:space="preserve">only survivors of the flood, and of the conflagration that</w:t></w:r>
</w:p>
<w:p>
<w:pPr><w:pStyle w:val="Normal"/></w:pPr>
<w:r><w:t xml:space="preserve">followed it, were an old man and a pumpkin-seed.  From the</w:t></w:r>
</w:p>
<w:p>
<w:pPr><w:pStyle w:val="Normal"/></w:pPr>
<w:r><w:t xml:space="preserve">latter there grew a gigantic gourd.  This was split open by</w:t></w:r>
</w:p>
<w:p>
<w:pPr><w:pStyle w:val="Normal"/></w:pPr>
<w:r><w:t xml:space="preserve">a thunderbolt, the old man sacrificing himself to save the</w:t></w:r>
</w:p>
<w:p>
<w:pPr><w:pStyle w:val="Normal"/></w:pPr>
<w:r><w:t xml:space="preserve">lives of those who were inside, and from it there issued the</w:t></w:r>
</w:p>
<w:p>
<w:pPr><w:pStyle w:val="Normal"/></w:pPr>
<w:r><w:t xml:space="preserve">progenitors of the present races of men, beasts, birds, fishes</w:t></w:r>
</w:p>
<w:p>
<w:pPr><w:pStyle w:val="Normal"/></w:pPr>
<w:r><w:t xml:space="preserve">and plants.  The kings claimed independent divine origin.</w:t></w:r>
</w:p>
<w:p>
<w:pPr><w:pStyle w:val="Normal"/></w:pPr>
<w:r><w:t xml:space="preserve">The religion and language have both died out, being only</w:t></w:r>
</w:p>
<w:p>
<w:pPr><w:pStyle w:val="Normal"/></w:pPr>
<w:r><w:t xml:space="preserve">preserved by a few priests of the old cult; but even among them</w:t></w:r>
</w:p>
<w:p>
<w:pPr><w:pStyle w:val="Normal"/></w:pPr>
<w:r><w:t xml:space="preserve">the tradition of the pronunciation of the language has been</w:t></w:r>
</w:p>
<w:p>
<w:pPr><w:pStyle w:val="Normal"/></w:pPr>
<w:r><w:t xml:space="preserve">lost.  The Ahoms had a considerable literature, much of</w:t></w:r>
</w:p>
<w:p>
<w:pPr><w:pStyle w:val="Normal"/></w:pPr>
<w:r><w:t xml:space="preserve">which is still in existence.  Their historic sense was very</w:t></w:r>
</w:p>
<w:p>
<w:pPr><w:pStyle w:val="Normal"/></w:pPr>
<w:r><w:t xml:space="preserve">fully developed, and many priests and nobles maintained</w:t></w:r>
</w:p>
<w:p>
<w:pPr><w:pStyle w:val="Normal"/></w:pPr>
<w:r><w:t xml:space="preserve">bu-ran-jis (i.e. ``stores of instruction for the</w:t></w:r>
</w:p>
<w:p>
<w:pPr><w:pStyle w:val="Normal"/></w:pPr>
<w:r><w:t xml:space="preserve">ignorant&apos;&apos;), or chronicles, which were carefully written up</w:t></w:r>
</w:p>
<w:p>
<w:pPr><w:pStyle w:val="Normal"/></w:pPr>
<w:r><w:t xml:space="preserve">from time to time.  A few of these have been translated, but</w:t></w:r>
</w:p>
<w:p>
<w:pPr><w:pStyle w:val="Normal"/></w:pPr>
<w:r><w:t xml:space="preserve">as yet no European scholar possesses knowledge sufficient to</w:t></w:r>
</w:p>
<w:p>
<w:pPr><w:pStyle w:val="Normal"/></w:pPr>
<w:r><w:t xml:space="preserve">enable him to study these valuable documents at first hand.</w:t></w:r>
</w:p>
<w:p>
<w:pPr><w:pStyle w:val="Normal"/></w:pPr>
<w:r><w:t xml:space="preserve">The Ahom language is the oldest member of the Tai branch of</w:t></w:r>
</w:p>
<w:p>
<w:pPr><w:pStyle w:val="Normal"/></w:pPr>
<w:r><w:t xml:space="preserve">the Siamese-Chinese linguistic family of which we have any</w:t></w:r>
</w:p>
<w:p>
<w:pPr><w:pStyle w:val="Normal"/></w:pPr>
<w:r><w:t xml:space="preserve">record.  It bears much the same relationship to Siamese</w:t></w:r>
</w:p>
<w:p>
<w:pPr><w:pStyle w:val="Normal"/></w:pPr>
<w:r><w:t xml:space="preserve">and Shan that Latin does to Italian.  It is more nearly</w:t></w:r>
</w:p>
<w:p>
<w:pPr><w:pStyle w:val="Normal"/></w:pPr>
<w:r><w:t xml:space="preserve">related to modern Siamese than to modern ahan, but possesses</w:t></w:r>
</w:p>
<w:p>
<w:pPr><w:pStyle w:val="Normal"/></w:pPr>
<w:r><w:t xml:space="preserve">many groups of consonants which have become simplified in</w:t></w:r>
</w:p>
<w:p>
<w:pPr><w:pStyle w:val="Normal"/></w:pPr>
<w:r><w:t xml:space="preserve">both.  It is a language of the isolating class, in which every</w:t></w:r>
</w:p>
<w:p>
<w:pPr><w:pStyle w:val="Normal"/></w:pPr>
<w:r><w:t xml:space="preserve">word is a monosyllable, and may be employed either as a noun</w:t></w:r>
</w:p>
<w:p>
<w:pPr><w:pStyle w:val="Normal"/></w:pPr>
<w:r><w:t xml:space="preserve">or as a verb according to its context and its position in a</w:t></w:r>
</w:p>
<w:p>
<w:pPr><w:pStyle w:val="Normal"/></w:pPr>
<w:r><w:t xml:space="preserve">sentence.  In the order of words, the genitive follows the</w:t></w:r>
</w:p>
<w:p>
<w:pPr><w:pStyle w:val="Normal"/></w:pPr>
<w:r><w:t xml:space="preserve">norm it governs, and, as usual in such cases, the relations</w:t></w:r>
</w:p>
<w:p>
<w:pPr><w:pStyle w:val="Normal"/></w:pPr>
<w:r><w:t xml:space="preserve">of time and place are indicated by prefixes, not by suffixes.</w:t></w:r>
</w:p>
<w:p>
<w:pPr><w:pStyle w:val="Normal"/></w:pPr>
<w:r><w:t xml:space="preserve">The meanings of the monosyllables were differentiated, as</w:t></w:r>
</w:p>
<w:p>
<w:pPr><w:pStyle w:val="Normal"/></w:pPr>
<w:r><w:t xml:space="preserve">in the other Tai languages and in Chinese, by a system of</w:t></w:r>
</w:p>
<w:p>
<w:pPr><w:pStyle w:val="Normal"/></w:pPr>
<w:r><w:t xml:space="preserve">tones, but these were rarely indicated in writing, and the</w:t></w:r>
</w:p>
<w:p>
<w:pPr><w:pStyle w:val="Normal"/></w:pPr>
<w:r><w:t xml:space="preserve">tradition regarding them is lost.  The language had an alphabet</w:t></w:r>
</w:p>
<w:p>
<w:pPr><w:pStyle w:val="Normal"/></w:pPr>
<w:r><w:t xml:space="preserve">of its own, which was clearly related to that of Burmese.</w:t></w:r>
</w:p>
<w:p>
<w:pPr><w:pStyle w:val="Normal"/></w:pPr>
<w:r><w:t xml:space="preserve">See E. A. Gait, A History of Assam (Calcutta, 1906).</w:t></w:r>
</w:p>
<w:p>
<w:pPr><w:pStyle w:val="Normal"/></w:pPr>
<w:r><w:t xml:space="preserve">For the language see The Linguistis Survey of India, vol.</w:t></w:r>
</w:p>
<w:p>
<w:pPr><w:pStyle w:val="Normal"/></w:pPr>
<w:r><w:t xml:space="preserve">ii. (Calcutta, 1906) (contains grammar and vocabulary);</w:t></w:r>
</w:p>
<w:p>
<w:pPr><w:pStyle w:val="Normal"/></w:pPr>
<w:r><w:t xml:space="preserve">G. A. Grierson, ``Notes on Ahom,&apos;&apos; in the Zeitschrift</w:t></w:r>
</w:p>
<w:p>
<w:pPr><w:pStyle w:val="Normal"/></w:pPr>
<w:r><w:t xml:space="preserve">der deutschen morgenlandischen Gesellshaft, vol. lvi.,</w:t></w:r>
</w:p>
<w:p>
<w:pPr><w:pStyle w:val="Normal"/></w:pPr>
<w:r><w:t xml:space="preserve">1902, pp. 1 ff. (contains grammar and vocabulary, with</w:t></w:r>
</w:p>
<w:p>
<w:pPr><w:pStyle w:val="Normal"/></w:pPr>
<w:r><w:t xml:space="preserve">specimens), and ``An Ahom Cosmogony, with a translation and</w:t></w:r>
</w:p>
<w:p>
<w:pPr><w:pStyle w:val="Normal"/></w:pPr>
<w:r><w:t xml:space="preserve">a vocabulary of the Ahom language,&apos;&apos; in the Journal of the</w:t></w:r>
</w:p>
<w:p>
<w:pPr><w:pStyle w:val="Normal"/></w:pPr>
<w:r><w:t xml:space="preserve">Royal Asiatic Society for 1904, pp. 181 ff. (G. A. GR.)</w:t></w:r>
</w:p>
<w:p>
<w:pPr><w:pStyle w:val="Normal"/></w:pPr>
<w:r><w:t xml:space="preserve">AHR, a river of Germany.  It is a left-bank tributary of the</w:t></w:r>
</w:p>
<w:p>
<w:pPr><w:pStyle w:val="Normal"/></w:pPr>
<w:r><w:t xml:space="preserve">Rhine, into which it falls at Sinzig, rising in the Eifel</w:t></w:r>
</w:p>
<w:p>
<w:pPr><w:pStyle w:val="Normal"/></w:pPr>
<w:r><w:t xml:space="preserve">mountains, and having a total length of 55 m.  It flows at first</w:t></w:r>
</w:p>
<w:p>
<w:pPr><w:pStyle w:val="Normal"/></w:pPr>
<w:r><w:t xml:space="preserve">through rather monotonous country, but the latter portion of its</w:t></w:r>
</w:p>
<w:p>
<w:pPr><w:pStyle w:val="Normal"/></w:pPr>
<w:r><w:t xml:space="preserve">course, from the village of Altenahr, over which tower rhe ruins</w:t></w:r>
</w:p>
<w:p>
<w:pPr><w:pStyle w:val="Normal"/></w:pPr>
<w:r><w:t xml:space="preserve">of the castle of Ahr, or Are (10th century), is full of romantic</w:t></w:r>
</w:p>
<w:p>
<w:pPr><w:pStyle w:val="Normal"/></w:pPr>
<w:r><w:t xml:space="preserve">beauty.  It is well stocked with trout, and the steep declivities</w:t></w:r>
</w:p>
<w:p>
<w:pPr><w:pStyle w:val="Normal"/></w:pPr>
<w:r><w:t xml:space="preserve">of the lower valley furnish red wines of excellent quality.</w:t></w:r>
</w:p>
<w:p>
<w:pPr><w:pStyle w:val="Normal"/></w:pPr>
<w:r><w:t xml:space="preserve">AHRENS, FRANZ HEINRICH LUDOLF (1809-1881), German</w:t></w:r>
</w:p>
<w:p>
<w:pPr><w:pStyle w:val="Normal"/></w:pPr>
<w:r><w:t xml:space="preserve">philologist, was born at Helmstedt on the 6th of June</w:t></w:r>
</w:p>
<w:p>
<w:pPr><w:pStyle w:val="Normal"/></w:pPr>
<w:r><w:t xml:space="preserve">1809.  After studying at Gottingen (1826-1829) under K. O.</w:t></w:r>
</w:p>
<w:p>
<w:pPr><w:pStyle w:val="Normal"/></w:pPr>
<w:r><w:t xml:space="preserve">Muller and Ludolf Dissen, and holding several educational</w:t></w:r>
</w:p>
<w:p>
<w:pPr><w:pStyle w:val="Normal"/></w:pPr>
<w:r><w:t xml:space="preserve">appointments, in 1849 he succeeded G. F. Grotefend as director</w:t></w:r>
</w:p>
<w:p>
<w:pPr><w:pStyle w:val="Normal"/></w:pPr>
<w:r><w:t xml:space="preserve">of the Lyceum at Hanover, a post which he filled with great</w:t></w:r>
</w:p>
<w:p>
<w:pPr><w:pStyle w:val="Normal"/></w:pPr>
<w:r><w:t xml:space="preserve">success for thirty years.  He died on the 25th of September</w:t></w:r>
</w:p>
<w:p>
<w:pPr><w:pStyle w:val="Normal"/></w:pPr>
<w:r><w:t xml:space="preserve">1881.  His most important work is De Graecae Linguae</w:t></w:r>
</w:p>
<w:p>
<w:pPr><w:pStyle w:val="Normal"/></w:pPr>
<w:r><w:t xml:space="preserve">Dialectis (1839-1843, new ed. by Meister, 1882-1889),</w:t></w:r>
</w:p>
<w:p>
<w:pPr><w:pStyle w:val="Normal"/></w:pPr>
<w:r><w:t xml:space="preserve">which, although unfortunately incomplete, dealing only with</w:t></w:r>
</w:p>
<w:p>
<w:pPr><w:pStyle w:val="Normal"/></w:pPr>
<w:r><w:t xml:space="preserve">Aeolic and Doric, and in some respects superseded by modern</w:t></w:r>
</w:p>
<w:p>
<w:pPr><w:pStyle w:val="Normal"/></w:pPr>
<w:r><w:t xml:space="preserve">research, will always remain a standard treatise on the</w:t></w:r>
</w:p>
<w:p>
<w:pPr><w:pStyle w:val="Normal"/></w:pPr>
<w:r><w:t xml:space="preserve">subject.  He also published Bucolicorum Graecorum Reliquiae</w:t></w:r>
</w:p>
<w:p>
<w:pPr><w:pStyle w:val="Normal"/></w:pPr>
<w:r><w:t xml:space="preserve">(1855-1859); studies on the dialects of Homer and the Greek</w:t></w:r>
</w:p>
<w:p>
<w:pPr><w:pStyle w:val="Normal"/></w:pPr>
<w:r><w:t xml:space="preserve">lyrists; on Aeschylus; and some excellent school-books.  A</w:t></w:r>
</w:p>
<w:p>
<w:pPr><w:pStyle w:val="Normal"/></w:pPr>
<w:r><w:t xml:space="preserve">volume of his minor works (ed. Haberlin) was published in</w:t></w:r>
</w:p>
<w:p>
<w:pPr><w:pStyle w:val="Normal"/></w:pPr>
<w:r><w:t xml:space="preserve">1891, which also contains a complete list of his writings.</w:t></w:r>
</w:p>
<w:p>
<w:pPr><w:pStyle w:val="Normal"/></w:pPr>
<w:r><w:t xml:space="preserve">AHRIMAN (Gr. &apos;Areimanios in Aristotle, or in Agathias; in</w:t></w:r>
</w:p>
<w:p>
<w:pPr><w:pStyle w:val="Normal"/></w:pPr>
<w:r><w:t xml:space="preserve">the Avesta, Angro Mainyush--``the Destructive Spirit&apos;&apos;),</w:t></w:r>
</w:p>
<w:p>
<w:pPr><w:pStyle w:val="Normal"/></w:pPr>
<w:r><w:t xml:space="preserve">the name of the principle of evil in the dualistic doctrine of</w:t></w:r>
</w:p>
<w:p>
<w:pPr><w:pStyle w:val="Normal"/></w:pPr>
<w:r><w:t xml:space="preserve">Zoroaster.  The name does not occur in the Old Persian</w:t></w:r>
</w:p>
<w:p>
<w:pPr><w:pStyle w:val="Normal"/></w:pPr>
<w:r><w:t xml:space="preserve">inscriptions.  In the Avesta he is called the twin-brother</w:t></w:r>
</w:p>
<w:p>
<w:pPr><w:pStyle w:val="Normal"/></w:pPr>
<w:r><w:t xml:space="preserve">of the Holy Spirits, and contrasted either with the Holy Spirit</w:t></w:r>
</w:p>
<w:p>
<w:pPr><w:pStyle w:val="Normal"/></w:pPr>
<w:r><w:t xml:space="preserve">of Ormazd or with Ormazd himself.  He is the all destroying</w:t></w:r>
</w:p>
<w:p>
<w:pPr><w:pStyle w:val="Normal"/></w:pPr>
<w:r><w:t xml:space="preserve">Satan, the source of all evil in the world and, like Ormazd,</w:t></w:r>
</w:p>
<w:p>
<w:pPr><w:pStyle w:val="Normal"/></w:pPr>
<w:r><w:t xml:space="preserve">exists since the beginning of the world.  Eventually, in the</w:t></w:r>
</w:p>
<w:p>
<w:pPr><w:pStyle w:val="Normal"/></w:pPr>
<w:r><w:t xml:space="preserve">great world catastrophe, he will be defeated by Ormazd and</w:t></w:r>
</w:p>
<w:p>
<w:pPr><w:pStyle w:val="Normal"/></w:pPr>
<w:r><w:t xml:space="preserve">disappear.  The later sect of the Zervanites held that</w:t></w:r>
</w:p>
<w:p>
<w:pPr><w:pStyle w:val="Normal"/></w:pPr>
<w:r><w:t xml:space="preserve">both were visible manifestations of the primeval principle</w:t></w:r>
</w:p>
<w:p>
<w:pPr><w:pStyle w:val="Normal"/></w:pPr>
<w:r><w:t xml:space="preserve">Zruvan akarana (Infinite Time). (See ZOROASTER.)</w:t></w:r>
</w:p>
<w:p>
<w:pPr><w:pStyle w:val="Normal"/></w:pPr>
<w:r><w:t xml:space="preserve">AHRWEILER, a town of Germany, in the Prussian Rhine province,</w:t></w:r>
</w:p>
<w:p>
<w:pPr><w:pStyle w:val="Normal"/></w:pPr>
<w:r><w:t xml:space="preserve">on the river Ahr and the Remagen-Adenau line of railway.  Pop.</w:t></w:r>
</w:p>
<w:p>
<w:pPr><w:pStyle w:val="Normal"/></w:pPr>
<w:r><w:t xml:space="preserve">5000.  It is a town of medieval aspect and is surrounded</w:t></w:r>
</w:p>
<w:p>
<w:pPr><w:pStyle w:val="Normal"/></w:pPr>
<w:r><w:t xml:space="preserve">by ancient walls, with battlements and four gates in good</w:t></w:r>
</w:p>
<w:p>
<w:pPr><w:pStyle w:val="Normal"/></w:pPr>
<w:r><w:t xml:space="preserve">repair.  There is a Gothic church (dating from 1245).  A</w:t></w:r>
</w:p>
<w:p>
<w:pPr><w:pStyle w:val="Normal"/></w:pPr>
<w:r><w:t xml:space="preserve">convent school of the Ursuline nuns is a prominent feature On</w:t></w:r>
</w:p>
<w:p>
<w:pPr><w:pStyle w:val="Normal"/></w:pPr>
<w:r><w:t xml:space="preserve">a hill to the south.  The trade is almost exclusively confined</w:t></w:r>
</w:p>
<w:p>
<w:pPr><w:pStyle w:val="Normal"/></w:pPr>
<w:r><w:t xml:space="preserve">to the manufacture and export of the wines of the district.</w:t></w:r>
</w:p>
<w:p>
<w:pPr><w:pStyle w:val="Normal"/></w:pPr>
<w:r><w:t xml:space="preserve">AHT, a confederacy of twenty-two tribes of North American</w:t></w:r>
</w:p>
<w:p>
<w:pPr><w:pStyle w:val="Normal"/></w:pPr>
<w:r><w:t xml:space="preserve">Indians of the Wakashan stock.  They are settled on the west</w:t></w:r>
</w:p>
<w:p>
<w:pPr><w:pStyle w:val="Normal"/></w:pPr>
<w:r><w:t xml:space="preserve">Coast of Vancouver, British Columbia.  The chief tribes included</w:t></w:r>
</w:p>
<w:p>
<w:pPr><w:pStyle w:val="Normal"/></w:pPr>
<w:r><w:t xml:space="preserve">are the Nitinaht, Tlaasaht or Makah, Tlaokiwaht or Clahoquaht,</w:t></w:r>
</w:p>
<w:p>
<w:pPr><w:pStyle w:val="Normal"/></w:pPr>
<w:r><w:t xml:space="preserve">Ahansaht and Ehatishaht.  The confederacy numbers some 3500.</w:t></w:r>
</w:p>
<w:p>
<w:pPr><w:pStyle w:val="Normal"/></w:pPr>
<w:r><w:t xml:space="preserve">AHTENA (``ice people&apos;&apos;), the name of an Athapascan tribe of</w:t></w:r>
</w:p>
<w:p>
<w:pPr><w:pStyle w:val="Normal"/></w:pPr>
<w:r><w:t xml:space="preserve">North American Indians, in the basin of Copper River, Alaska.</w:t></w:r>
</w:p>
<w:p>
<w:pPr><w:pStyle w:val="Normal"/></w:pPr>
<w:r><w:t xml:space="preserve">See Handbook of American Indians, ed.  F. W. Hodge (Washington, 1907).</w:t></w:r>
</w:p>
<w:p>
<w:pPr><w:pStyle w:val="Normal"/></w:pPr>
<w:r><w:t xml:space="preserve">AHVAZ, a town of Persia, in the province of Arabistan, on</w:t></w:r>
</w:p>
<w:p>
<w:pPr><w:pStyle w:val="Normal"/></w:pPr>
<w:r><w:t xml:space="preserve">the left bank of the river Karun, 48 m.  S. of Shushter, in</w:t></w:r>
</w:p>
<w:p>
<w:pPr><w:pStyle w:val="Normal"/></w:pPr>
<w:r><w:t xml:space="preserve">31 deg.  18&apos; N., 49 deg.  E. It has been identified with the Aginis of</w:t></w:r>
</w:p>
<w:p>
<w:pPr><w:pStyle w:val="Normal"/></w:pPr>
<w:r><w:t xml:space="preserve">Nearchus, 500 stadia from Susa, and occupies the site of what</w:t></w:r>
</w:p>
<w:p>
<w:pPr><w:pStyle w:val="Normal"/></w:pPr>
<w:r><w:t xml:space="preserve">was once an extensive and important city.  Of this ancient</w:t></w:r>
</w:p>
<w:p>
<w:pPr><w:pStyle w:val="Normal"/></w:pPr>
<w:r><w:t xml:space="preserve">city vast remains are left, extending several miles along the</w:t></w:r>
</w:p>
<w:p>
<w:pPr><w:pStyle w:val="Normal"/></w:pPr>
<w:r><w:t xml:space="preserve">bank of the river.  Among the most remarkable are the ruins of</w:t></w:r>
</w:p>
<w:p>
<w:pPr><w:pStyle w:val="Normal"/></w:pPr>
<w:r><w:t xml:space="preserve">a bridge and a citadel, or palace, besides vestiges of canals</w:t></w:r>
</w:p>
<w:p>
<w:pPr><w:pStyle w:val="Normal"/></w:pPr>
<w:r><w:t xml:space="preserve">and watermills, which tell of former commercial activity.</w:t></w:r>
</w:p>
<w:p>
<w:pPr><w:pStyle w:val="Normal"/></w:pPr>
<w:r><w:t xml:space="preserve">There are also the ruins of a band, or stone dam of great</w:t></w:r>
</w:p>
<w:p>
<w:pPr><w:pStyle w:val="Normal"/></w:pPr>
<w:r><w:t xml:space="preserve">strength, which was thrown across the river for the purposes of</w:t></w:r>
</w:p>
<w:p>
<w:pPr><w:pStyle w:val="Normal"/></w:pPr>
<w:r><w:t xml:space="preserve">irrigation.  The band was 1150 yds. in length and had a diameter</w:t></w:r>
</w:p>
<w:p>
<w:pPr><w:pStyle w:val="Normal"/></w:pPr>
<w:r><w:t xml:space="preserve">of 24 ft. at its base.  Remains of massive structure are still</w:t></w:r>
</w:p>
<w:p>
<w:pPr><w:pStyle w:val="Normal"/></w:pPr>
<w:r><w:t xml:space="preserve">visible, and many single blocks in it measure from 8 to 10 ft. in</w:t></w:r>
</w:p>
<w:p>
<w:pPr><w:pStyle w:val="Normal"/></w:pPr>
<w:r><w:t xml:space="preserve">thickness.  Ahvaz reached the height of its prosperity in the</w:t></w:r>
</w:p>
<w:p>
<w:pPr><w:pStyle w:val="Normal"/></w:pPr>
<w:r><w:t xml:space="preserve">12th and 13th centuries and is now a collection of wretched</w:t></w:r>
</w:p>
<w:p>
<w:pPr><w:pStyle w:val="Normal"/></w:pPr>
<w:r><w:t xml:space="preserve">hovels, with a small rectangular fort in a state of ruin,</w:t></w:r>
</w:p>
<w:p>
<w:pPr><w:pStyle w:val="Normal"/></w:pPr>
<w:r><w:t xml:space="preserve">and an Arab population of about 400. Since the opening of the</w:t></w:r>
</w:p>
<w:p>
<w:pPr><w:pStyle w:val="Normal"/></w:pPr>
<w:r><w:t xml:space="preserve">Karun to foreign commerce in October 1888, another settlement</w:t></w:r>
</w:p>
<w:p>
<w:pPr><w:pStyle w:val="Normal"/></w:pPr>
<w:r><w:t xml:space="preserve">called Benderi Nassiri, in compliment to the Shah Nassir</w:t></w:r>
</w:p>
<w:p>
<w:pPr><w:pStyle w:val="Normal"/></w:pPr>
<w:r><w:t xml:space="preserve">ed din (d. 1896), has been established on a slight elevation</w:t></w:r>
</w:p>
<w:p>
<w:pPr><w:pStyle w:val="Normal"/></w:pPr>
<w:r><w:t xml:space="preserve">overlooking the river at the point below the rapids where</w:t></w:r>
</w:p>
<w:p>
<w:pPr><w:pStyle w:val="Normal"/></w:pPr>
<w:r><w:t xml:space="preserve">steamers come to anchor, about one mile below Ahvaz.  It has</w:t></w:r>
</w:p>
<w:p>
<w:pPr><w:pStyle w:val="Normal"/></w:pPr>
<w:r><w:t xml:space="preserve">post and telegraph offices; and agencies of some mercantile</w:t></w:r>
</w:p>
<w:p>
<w:pPr><w:pStyle w:val="Normal"/></w:pPr>
<w:r><w:t xml:space="preserve">firms, a British vice-consul (since 1904) and a Russian</w:t></w:r>
</w:p>
<w:p>
<w:pPr><w:pStyle w:val="Normal"/></w:pPr>
<w:r><w:t xml:space="preserve">consular agent (since 1902) are established there.  The new</w:t></w:r>
</w:p>
<w:p>
<w:pPr><w:pStyle w:val="Normal"/></w:pPr>
<w:r><w:t xml:space="preserve">caravan road to Isfahan, opened for traffic in 1900, promised,</w:t></w:r>
</w:p>
<w:p>
<w:pPr><w:pStyle w:val="Normal"/></w:pPr>
<w:r><w:t xml:space="preserve">if successful, to give Ahvaz greater commercial importance.</w:t></w:r>
</w:p>
<w:p>
<w:pPr><w:pStyle w:val="Normal"/></w:pPr>
<w:r><w:t xml:space="preserve">AI [Sept. &apos;Aggai, &apos;Aggai Gai, Vulg. Hai], a small royal</w:t></w:r>
</w:p>
<w:p>
<w:pPr><w:pStyle w:val="Normal"/></w:pPr>
<w:r><w:t xml:space="preserve">city of the Canaanites, E. of Bethel.  The meaning of the name</w:t></w:r>
</w:p>
<w:p>
<w:pPr><w:pStyle w:val="Normal"/></w:pPr>
<w:r><w:t xml:space="preserve">may be ``the stone heap&apos;&apos;; but it is not necessarily a Hebrew</w:t></w:r>
</w:p>
<w:p>
<w:pPr><w:pStyle w:val="Normal"/></w:pPr>
<w:r><w:t xml:space="preserve">word.  Abraham pitched his tent between Ai and Bethel (Gen.</w:t></w:r>
</w:p>
<w:p>
<w:pPr><w:pStyle w:val="Normal"/></w:pPr>
<w:r><w:t xml:space="preserve">xii. 8, xiii. 3); but it is chiefly noted for its capture</w:t></w:r>
</w:p>
<w:p>
<w:pPr><w:pStyle w:val="Normal"/></w:pPr>
<w:r><w:t xml:space="preserve">and destruction by Joshua (vii. 2-4. viii. 1-20). who made</w:t></w:r>
</w:p>
<w:p>
<w:pPr><w:pStyle w:val="Normal"/></w:pPr>
<w:r><w:t xml:space="preserve">it ``a heap for ever, even a desolation.&apos;&apos; It is mentioned</w:t></w:r>
</w:p>
<w:p>
<w:pPr><w:pStyle w:val="Normal"/></w:pPr>
<w:r><w:t xml:space="preserve">by Isaiah (x. 28), and also after the captivity (Ezra ii.</w:t></w:r>
</w:p>
<w:p>
<w:pPr><w:pStyle w:val="Normal"/></w:pPr>
<w:r><w:t xml:space="preserve">28; Neh. vii. 32), but then probably was not more than a</w:t></w:r>
</w:p>
<w:p>
<w:pPr><w:pStyle w:val="Normal"/></w:pPr>
<w:r><w:t xml:space="preserve">village.  In the later Hebrew writings the name sometimes</w:t></w:r>
</w:p>
<w:p>
<w:pPr><w:pStyle w:val="Normal"/></w:pPr>
<w:r><w:t xml:space="preserve">has a feminine form, Aiath (Is. x. 28), Aija (Neh. xi. 31).</w:t></w:r>
</w:p>
<w:p>
<w:pPr><w:pStyle w:val="Normal"/></w:pPr>
<w:r><w:t xml:space="preserve">The definite article is usually prefixed to the name in</w:t></w:r>
</w:p>
<w:p>
<w:pPr><w:pStyle w:val="Normal"/></w:pPr>
<w:r><w:t xml:space="preserve">Hebrew.  The site was known, and some scanty ruins still</w:t></w:r>
</w:p>
<w:p>
<w:pPr><w:pStyle w:val="Normal"/></w:pPr>
<w:r><w:t xml:space="preserve">existed, in the time of Eusebius and Jerome (Onomast., s.v.</w:t></w:r>
</w:p>
<w:p>
<w:pPr><w:pStyle w:val="Normal"/></w:pPr>
<w:r><w:t xml:space="preserve">&apos;Aggai.) Dr E. Robinson was unable to discover any certain</w:t></w:r>
</w:p>
<w:p>
<w:pPr><w:pStyle w:val="Normal"/></w:pPr>
<w:r><w:t xml:space="preserve">traces of either name or ruins.  He remarks, however (Bib.</w:t></w:r>
</w:p>
<w:p>
<w:pPr><w:pStyle w:val="Normal"/></w:pPr>
<w:r><w:t xml:space="preserve">Researches, ed. 1856, i. p. 443), that it must have been close</w:t></w:r>
</w:p>
<w:p>
<w:pPr><w:pStyle w:val="Normal"/></w:pPr>
<w:r><w:t xml:space="preserve">to Bethel on account of Biblical narrative (Josh. viii. 17)</w:t></w:r>
</w:p>
<w:p>
<w:pPr><w:pStyle w:val="Normal"/></w:pPr>
<w:r><w:t xml:space="preserve">. A little to the south of a village called Deir Diwan, and</w:t></w:r>
</w:p>
<w:p>
<w:pPr><w:pStyle w:val="Normal"/></w:pPr>
<w:r><w:t xml:space="preserve">one hour&apos;s journey south-east from Bethel, is the site of an</w:t></w:r>
</w:p>
<w:p>
<w:pPr><w:pStyle w:val="Normal"/></w:pPr>
<w:r><w:t xml:space="preserve">ancient place called Khirbet Haiyan indicated by reservoirs</w:t></w:r>
</w:p>
<w:p>
<w:pPr><w:pStyle w:val="Normal"/></w:pPr>
<w:r><w:t xml:space="preserve">hewn in the rock, excavated tombs and foundations of hewn</w:t></w:r>
</w:p>
<w:p>
<w:pPr><w:pStyle w:val="Normal"/></w:pPr>
<w:r><w:t xml:space="preserve">stone.  This may possibly be the site of Ai; it agrees with</w:t></w:r>
</w:p>
<w:p>
<w:pPr><w:pStyle w:val="Normal"/></w:pPr>
<w:r><w:t xml:space="preserve">all the intimations as to its position.  It has also been</w:t></w:r>
</w:p>
<w:p>
<w:pPr><w:pStyle w:val="Normal"/></w:pPr>
<w:r><w:t xml:space="preserve">identified with a mound now called Et-Tell (``the heap&apos;&apos;),</w:t></w:r>
</w:p>
<w:p>
<w:pPr><w:pStyle w:val="Normal"/></w:pPr>
<w:r><w:t xml:space="preserve">but though the name of a neighbouring village, Turmus Aya, is</w:t></w:r>
</w:p>
<w:p>
<w:pPr><w:pStyle w:val="Normal"/></w:pPr>
<w:r><w:t xml:space="preserve">suggestive, it is in the wrong direction from Bethel.  In this</w:t></w:r>
</w:p>
<w:p>
<w:pPr><w:pStyle w:val="Normal"/></w:pPr>
<w:r><w:t xml:space="preserve">view recent authorities, such as G. A. Smith, generally coincide.</w:t></w:r>
</w:p>
<w:p>
<w:pPr><w:pStyle w:val="Normal"/></w:pPr>
<w:r><w:t xml:space="preserve">See Palestine Exploration Fund Quarterly Statement, 1869, p. 123;</w:t></w:r>
</w:p>
<w:p>
<w:pPr><w:pStyle w:val="Normal"/></w:pPr>
<w:r><w:t xml:space="preserve">1874, p. 62; 1878, pp. 10, 132, 194, 1881, p. 254. (R. A. S. M.)</w:t></w:r>
</w:p>
<w:p>
<w:pPr><w:pStyle w:val="Normal"/></w:pPr>
<w:r><w:t xml:space="preserve">AIBONITO, an inland town of the electoral district of</w:t></w:r>
</w:p>
<w:p>
<w:pPr><w:pStyle w:val="Normal"/></w:pPr>
<w:r><w:t xml:space="preserve">Guayama, Porto Rico, on the highway between San Juan and</w:t></w:r>
</w:p>
<w:p>
<w:pPr><w:pStyle w:val="Normal"/></w:pPr>
<w:r><w:t xml:space="preserve">Ponce, 25 m.  E.N.E. of the latter.  It is the capital of</w:t></w:r>
</w:p>
<w:p>
<w:pPr><w:pStyle w:val="Normal"/></w:pPr>
<w:r><w:t xml:space="preserve">a municipal district of the same name.  Pop. (1899) of the</w:t></w:r>
</w:p>
<w:p>
<w:pPr><w:pStyle w:val="Normal"/></w:pPr>
<w:r><w:t xml:space="preserve">town, 2085; of the district, 8596.  The town is about 2200</w:t></w:r>
</w:p>
<w:p>
<w:pPr><w:pStyle w:val="Normal"/></w:pPr>
<w:r><w:t xml:space="preserve">ft. above sea level, and owing to its cool climate and</w:t></w:r>
</w:p>
<w:p>
<w:pPr><w:pStyle w:val="Normal"/></w:pPr>
<w:r><w:t xml:space="preserve">freedom from malaria it has been chosen as an acclimatizing</w:t></w:r>
</w:p>
<w:p>
<w:pPr><w:pStyle w:val="Normal"/></w:pPr>
<w:r><w:t xml:space="preserve">station and sanatorium for foreigners.  It is surrounded</w:t></w:r>
</w:p>
<w:p>
<w:pPr><w:pStyle w:val="Normal"/></w:pPr>
<w:r><w:t xml:space="preserve">by coffee plantations, and tobacco of excellent quality</w:t></w:r>
</w:p>
<w:p>
<w:pPr><w:pStyle w:val="Normal"/></w:pPr>
<w:r><w:t xml:space="preserve">is raised in the vicinity.  The town was considerably</w:t></w:r>
</w:p>
<w:p>
<w:pPr><w:pStyle w:val="Normal"/></w:pPr>
<w:r><w:t xml:space="preserve">damaged by the great hurricane of the 8th of August 1899.</w:t></w:r>
</w:p>
<w:p>
<w:pPr><w:pStyle w:val="Normal"/></w:pPr>
<w:r><w:t xml:space="preserve">AICARD, JEAN FRANCOIS VICTOR (1848- ), French poet and</w:t></w:r>
</w:p>
<w:p>
<w:pPr><w:pStyle w:val="Normal"/></w:pPr>
<w:r><w:t xml:space="preserve">dramatist, was born at Toulon on the 4th of February 1848.  His</w:t></w:r>
</w:p>
<w:p>
<w:pPr><w:pStyle w:val="Normal"/></w:pPr>
<w:r><w:t xml:space="preserve">father, Jean Aicard, was a journalist of some distinction, and</w:t></w:r>
</w:p>
<w:p>
<w:pPr><w:pStyle w:val="Normal"/></w:pPr>
<w:r><w:t xml:space="preserve">the son early began his career in 1867 with Les Rebellions</w:t></w:r>
</w:p>
<w:p>
<w:pPr><w:pStyle w:val="Normal"/></w:pPr>
<w:r><w:t xml:space="preserve">et les apaistments (1871); Poemes de Provence (1874), and</w:t></w:r>
</w:p>
<w:p>
<w:pPr><w:pStyle w:val="Normal"/></w:pPr>
<w:r><w:t xml:space="preserve">La Chanson de l&apos;Enfant (1876), both of which were crowned</w:t></w:r>
</w:p>
<w:p>
<w:pPr><w:pStyle w:val="Normal"/></w:pPr>
<w:r><w:t xml:space="preserve">by the Academy; Miette et Nore (1880), a Provencal idyll;</w:t></w:r>
</w:p>
<w:p>
<w:pPr><w:pStyle w:val="Normal"/></w:pPr>
<w:r><w:t xml:space="preserve">Le Livre d&apos;heures de l&apos;amour (1887); Jesus (1896),</w:t></w:r>
</w:p>
<w:p>
<w:pPr><w:pStyle w:val="Normal"/></w:pPr>
<w:r><w:t xml:space="preserve">&amp;c. Of his plays the most successful was Le Pere Lebonnard</w:t></w:r>
</w:p>
<w:p>
<w:pPr><w:pStyle w:val="Normal"/></w:pPr>
<w:r><w:t xml:space="preserve">(1890), which was originally produced at the Theatre Libre.</w:t></w:r>
</w:p>
<w:p>
<w:pPr><w:pStyle w:val="Normal"/></w:pPr>
<w:r><w:t xml:space="preserve">Among his other works are the novels, Le Roi de Camargue</w:t></w:r>
</w:p>
<w:p>
<w:pPr><w:pStyle w:val="Normal"/></w:pPr>
<w:r><w:t xml:space="preserve">(1890), L&apos;Ame d&apos;un enfant (1898) and Talas (1901),</w:t></w:r>
</w:p>
<w:p>
<w:pPr><w:pStyle w:val="Normal"/></w:pPr>
<w:r><w:t xml:space="preserve">Benjamine (1906) and La Venus de Milo (1874), an account</w:t></w:r>
</w:p>
<w:p>
<w:pPr><w:pStyle w:val="Normal"/></w:pPr>
<w:r><w:t xml:space="preserve">of the discovery of the statue from unpublished documents.</w:t></w:r>
</w:p>
<w:p>
<w:pPr><w:pStyle w:val="Normal"/></w:pPr>
<w:r><w:t xml:space="preserve">AICHINGER, GREGOR (c. 1565-1628), one of the greatest German</w:t></w:r>
</w:p>
<w:p>
<w:pPr><w:pStyle w:val="Normal"/></w:pPr>
<w:r><w:t xml:space="preserve">composers of the Golden Age. He was organist to the Fugger family</w:t></w:r>
</w:p>
<w:p>
<w:pPr><w:pStyle w:val="Normal"/></w:pPr>
<w:r><w:t xml:space="preserve">of Augsburg in 1584.  In 1599 he went for a two years&apos; visit to</w:t></w:r>
</w:p>
<w:p>
<w:pPr><w:pStyle w:val="Normal"/></w:pPr>
<w:r><w:t xml:space="preserve">Rome.  This was for musical and not for ecclesiastical reasons,</w:t></w:r>
</w:p>
<w:p>
<w:pPr><w:pStyle w:val="Normal"/></w:pPr>
<w:r><w:t xml:space="preserve">though he had taken orders before his appointment under Fugger.</w:t></w:r>
</w:p>
<w:p>
<w:pPr><w:pStyle w:val="Normal"/></w:pPr>
<w:r><w:t xml:space="preserve">Proske, in the preface to vol. ii. of his Musica Divina,</w:t></w:r>
</w:p>
<w:p>
<w:pPr><w:pStyle w:val="Normal"/></w:pPr>
<w:r><w:t xml:space="preserve">calls him a priest of Regensburg, and is inclined to give him</w:t></w:r>
</w:p>
<w:p>
<w:pPr><w:pStyle w:val="Normal"/></w:pPr>
<w:r><w:t xml:space="preserve">the palm for the devout and ingenuous mastery of his style.</w:t></w:r>
</w:p>
<w:p>
<w:pPr><w:pStyle w:val="Normal"/></w:pPr>
<w:r><w:t xml:space="preserve">Certainly this impression is fully borne out by the beautiful</w:t></w:r>
</w:p>
<w:p>
<w:pPr><w:pStyle w:val="Normal"/></w:pPr>
<w:r><w:t xml:space="preserve">and somewhat quaint works included in that great anthology.</w:t></w:r>
</w:p>
<w:p>
<w:pPr><w:pStyle w:val="Normal"/></w:pPr>
<w:r><w:t xml:space="preserve">AICKIN, FRANCIS (d. 1805), Irish actor, first appeared in</w:t></w:r>
</w:p>
<w:p>
<w:pPr><w:pStyle w:val="Normal"/></w:pPr>
<w:r><w:t xml:space="preserve">London in 1765 as Dick Amlet in Vanbrugh&apos;s The Confederacy</w:t></w:r>
</w:p>
<w:p>
<w:pPr><w:pStyle w:val="Normal"/></w:pPr>
<w:r><w:t xml:space="preserve">at Drury Lane.  He acted there, and at Covent Garden, until</w:t></w:r>
</w:p>
<w:p>
<w:pPr><w:pStyle w:val="Normal"/></w:pPr>
<w:r><w:t xml:space="preserve">1792.  His repertory consisted of over eighty characters,</w:t></w:r>
</w:p>
<w:p>
<w:pPr><w:pStyle w:val="Normal"/></w:pPr>
<w:r><w:t xml:space="preserve">and among his best parts were the Ghost in Hamlet and</w:t></w:r>
</w:p>
<w:p>
<w:pPr><w:pStyle w:val="Normal"/></w:pPr>
<w:r><w:t xml:space="preserve">Jaques in As You Like It. His success in impassioned</w:t></w:r>
</w:p>
<w:p>
<w:pPr><w:pStyle w:val="Normal"/></w:pPr>
<w:r><w:t xml:space="preserve">declamatory roles obtained for him the nickname of ``Tyrant.&apos;&apos;</w:t></w:r>
</w:p>
<w:p>
<w:pPr><w:pStyle w:val="Normal"/></w:pPr>
<w:r><w:t xml:space="preserve">His younger brother James AICHIN (d. 1803) was playing leading</w:t></w:r>
</w:p>
<w:p>
<w:pPr><w:pStyle w:val="Normal"/></w:pPr>
<w:r><w:t xml:space="preserve">parts in both comedy and tragedy at the Edinburgh theatre,</w:t></w:r>
</w:p>
<w:p>
<w:pPr><w:pStyle w:val="Normal"/></w:pPr>
<w:r><w:t xml:space="preserve">when he gave offence to his public by his protest against the</w:t></w:r>
</w:p>
<w:p>
<w:pPr><w:pStyle w:val="Normal"/></w:pPr>
<w:r><w:t xml:space="preserve">discharge of a fellow-actor.  He therefore went to London,</w:t></w:r>
</w:p>
<w:p>
<w:pPr><w:pStyle w:val="Normal"/></w:pPr>
<w:r><w:t xml:space="preserve">and from 1767 to 1800 was a member of the Drury Lane Company</w:t></w:r>
</w:p>
<w:p>
<w:pPr><w:pStyle w:val="Normal"/></w:pPr>
<w:r><w:t xml:space="preserve">and for some years a deputy manager.  He quarrelled with John</w:t></w:r>
</w:p>
<w:p>
<w:pPr><w:pStyle w:val="Normal"/></w:pPr>
<w:r><w:t xml:space="preserve">Philip Kemble, with whom, in 1792, he fought a bloodless duel.</w:t></w:r>
</w:p>
<w:p>
<w:pPr><w:pStyle w:val="Normal"/></w:pPr>
<w:r><w:t xml:space="preserve">AIDAN (d. 606), king of the Scottish kingdom of Dalriada,</w:t></w:r>
</w:p>
<w:p>
<w:pPr><w:pStyle w:val="Normal"/></w:pPr>
<w:r><w:t xml:space="preserve">was the son of Gabran, king of Dalriada, and became king after</w:t></w:r>
</w:p>
<w:p>
<w:pPr><w:pStyle w:val="Normal"/></w:pPr>
<w:r><w:t xml:space="preserve">the death of his kinsman King Conall, when he was crowned at</w:t></w:r>
</w:p>
<w:p>
<w:pPr><w:pStyle w:val="Normal"/></w:pPr>
<w:r><w:t xml:space="preserve">Iona by St Columba.  He refused to allow his kingdom to remain</w:t></w:r>
</w:p>
<w:p>
<w:pPr><w:pStyle w:val="Normal"/></w:pPr>
<w:r><w:t xml:space="preserve">in dependence on the Irish Dairiada, but coming into collision</w:t></w:r>
</w:p>
<w:p>
<w:pPr><w:pStyle w:val="Normal"/></w:pPr>
<w:r><w:t xml:space="preserve">with his southern neighbours he led a large force against</w:t></w:r>
</w:p>
<w:p>
<w:pPr><w:pStyle w:val="Normal"/></w:pPr>
<w:r><w:t xml:space="preserve">AEthelfrith, king of the Northumbrians, and was defeated</w:t></w:r>
</w:p>
<w:p>
<w:pPr><w:pStyle w:val="Normal"/></w:pPr>
<w:r><w:t xml:space="preserve">at a place called Daegsanstane, probablv in Liddesdale.</w:t></w:r>
</w:p>
<w:p>
<w:pPr><w:pStyle w:val="Normal"/></w:pPr>
<w:r><w:t xml:space="preserve">See Bede, Historiae Ecclesiasticae gentis Anglorum,</w:t></w:r>
</w:p>
<w:p>
<w:pPr><w:pStyle w:val="Normal"/></w:pPr>
<w:r><w:t xml:space="preserve">edited by O&apos;. Plummer (Oxford, 1896); Adamnan, Vita</w:t></w:r>
</w:p>
<w:p>
<w:pPr><w:pStyle w:val="Normal"/></w:pPr>
<w:r><w:t xml:space="preserve">S. Columbae, edited by J. T. Fowler (Oxford, 1894).</w:t></w:r>
</w:p>
<w:p>
<w:pPr><w:pStyle w:val="Normal"/></w:pPr>
<w:r><w:t xml:space="preserve">AIDAN, or AEDAN, first bishop of Lindisfarne, a monk</w:t></w:r>
</w:p>
<w:p>
<w:pPr><w:pStyle w:val="Normal"/></w:pPr>
<w:r><w:t xml:space="preserve">of Hii (Iona), was sent by the abbot Senegi to Northumbria,</w:t></w:r>
</w:p>
<w:p>
<w:pPr><w:pStyle w:val="Normal"/></w:pPr>
<w:r><w:t xml:space="preserve">at the request of King Oswald, A.D. 634-635.  He restored</w:t></w:r>
</w:p>
<w:p>
<w:pPr><w:pStyle w:val="Normal"/></w:pPr>
<w:r><w:t xml:space="preserve">Christianity, and in accordance with the traditions of Irish</w:t></w:r>
</w:p>
<w:p>
<w:pPr><w:pStyle w:val="Normal"/></w:pPr>
<w:r><w:t xml:space="preserve">episcopacy chose the island of Lindisfarne, close to the royal</w:t></w:r>
</w:p>
<w:p>
<w:pPr><w:pStyle w:val="Normal"/></w:pPr>
<w:r><w:t xml:space="preserve">city of Bamborough, as his see.  Although he retained the Irish</w:t></w:r>
</w:p>
<w:p>
<w:pPr><w:pStyle w:val="Normal"/></w:pPr>
<w:r><w:t xml:space="preserve">Easter, his character and energy in missionary work won him</w:t></w:r>
</w:p>
<w:p>
<w:pPr><w:pStyle w:val="Normal"/></w:pPr>
<w:r><w:t xml:space="preserve">the respect of Honorius and Felix.  He survived Oswald, and</w:t></w:r>
</w:p>
<w:p>
<w:pPr><w:pStyle w:val="Normal"/></w:pPr>
<w:r><w:t xml:space="preserve">died shortly after the murder of his friend Oswine of Deira,</w:t></w:r>
</w:p>
<w:p>
<w:pPr><w:pStyle w:val="Normal"/></w:pPr>
<w:r><w:t xml:space="preserve">on the 31st of August 651, in the 17th year of his episcopate.</w:t></w:r>
</w:p>
<w:p>
<w:pPr><w:pStyle w:val="Normal"/></w:pPr>
<w:r><w:t xml:space="preserve">See Bede, Hist.  Eccl. (ed. Plummer), iii. 3, 5, 17, 25.</w:t></w:r>
</w:p>
<w:p>
<w:pPr><w:pStyle w:val="Normal"/></w:pPr>
<w:r><w:t xml:space="preserve">AIDE-DE-CAMP (Fr. for camp-assistant or, perhaps,</w:t></w:r>
</w:p>
<w:p>
<w:pPr><w:pStyle w:val="Normal"/></w:pPr>
<w:r><w:t xml:space="preserve">field-assistant), an officer of the personal staff of a general,</w:t></w:r>
</w:p>
<w:p>
<w:pPr><w:pStyle w:val="Normal"/></w:pPr>
<w:r><w:t xml:space="preserve">who acts as his confidential secretary in routine matters.  In</w:t></w:r>
</w:p>
<w:p>
<w:pPr><w:pStyle w:val="Normal"/></w:pPr>
<w:r><w:t xml:space="preserve">Great Britain the office of aide-de-camp to the king is given</w:t></w:r>
</w:p>
<w:p>
<w:pPr><w:pStyle w:val="Normal"/></w:pPr>
<w:r><w:t xml:space="preserve">as a reward or an honorary distinction.  In many foreign armies</w:t></w:r>
</w:p>
<w:p>
<w:pPr><w:pStyle w:val="Normal"/></w:pPr>
<w:r><w:t xml:space="preserve">the word adjutant is used for an aide-de-camp, and adjutant</w:t></w:r>
</w:p>
<w:p>
<w:pPr><w:pStyle w:val="Normal"/></w:pPr>
<w:r><w:t xml:space="preserve">general for a royal aide-de-camp.  The common abbreviation</w:t></w:r>
</w:p>
<w:p>
<w:pPr><w:pStyle w:val="Normal"/></w:pPr>
<w:r><w:t xml:space="preserve">for aide-de-camp in the British service is ``A.D.C.,&apos;&apos; and</w:t></w:r>
</w:p>
<w:p>
<w:pPr><w:pStyle w:val="Normal"/></w:pPr>
<w:r><w:t xml:space="preserve">in the United States ``aid.&apos;&apos; Civil governors, such as the</w:t></w:r>
</w:p>
<w:p>
<w:pPr><w:pStyle w:val="Normal"/></w:pPr>
<w:r><w:t xml:space="preserve">lord lieutenant of Ireland, have also, as a rule, officers on</w:t></w:r>
</w:p>
<w:p>
<w:pPr><w:pStyle w:val="Normal"/></w:pPr>
<w:r><w:t xml:space="preserve">their staffs with the title and functions of aides-de-camp.</w:t></w:r>
</w:p>
<w:p>
<w:pPr><w:pStyle w:val="Normal"/></w:pPr>
<w:r><w:t xml:space="preserve">AIDIN. (1) A vilayet in the S.W. of Asia Minor including</w:t></w:r>
</w:p>
<w:p>
<w:pPr><w:pStyle w:val="Normal"/></w:pPr>
<w:r><w:t xml:space="preserve">the ancient Lydia, Ionia, Carla and western Lycia.  It derives</w:t></w:r>
</w:p>
<w:p>
<w:pPr><w:pStyle w:val="Normal"/></w:pPr>
<w:r><w:t xml:space="preserve">its name from the Seljuk emir who took Tralles, and is the</w:t></w:r>
</w:p>
<w:p>
<w:pPr><w:pStyle w:val="Normal"/></w:pPr>
<w:r><w:t xml:space="preserve">richest and most productive province of Asiatic Turkey.  The</w:t></w:r>
</w:p>
<w:p>
<w:pPr><w:pStyle w:val="Normal"/></w:pPr>
<w:r><w:t xml:space="preserve">seat of government is Smyrna. (2) The principal town of the</w:t></w:r>
</w:p>
<w:p>
<w:pPr><w:pStyle w:val="Normal"/></w:pPr>
<w:r><w:t xml:space="preserve">valley of the Menderes or Maeander, about 70 m.  E.S.E. of</w:t></w:r>
</w:p>
<w:p>
<w:pPr><w:pStyle w:val="Normal"/></w:pPr>
<w:r><w:t xml:space="preserve">Smyrna.  It is called also Guzel Hissar from the beauty of</w:t></w:r>
</w:p>
<w:p>
<w:pPr><w:pStyle w:val="Normal"/></w:pPr>
<w:r><w:t xml:space="preserve">its situation on the lower slopes of Mons Messogis and along</w:t></w:r>
</w:p>
<w:p>
<w:pPr><w:pStyle w:val="Normal"/></w:pPr>
<w:r><w:t xml:space="preserve">the course of the ancient Eudon.  It is the capital of a</w:t></w:r>
</w:p>
<w:p>
<w:pPr><w:pStyle w:val="Normal"/></w:pPr>
<w:r><w:t xml:space="preserve">sanjak.  It was taken by the Seljuks, Aidin and Mentesh,</w:t></w:r>
</w:p>
<w:p>
<w:pPr><w:pStyle w:val="Normal"/></w:pPr>
<w:r><w:t xml:space="preserve">late in the 13th century, and about 1390, when ruled by Isa</w:t></w:r>
</w:p>
<w:p>
<w:pPr><w:pStyle w:val="Normal"/></w:pPr>
<w:r><w:t xml:space="preserve">Bey, a descendant of the first-named, acknowledged Ottoman</w:t></w:r>
</w:p>
<w:p>
<w:pPr><w:pStyle w:val="Normal"/></w:pPr>
<w:r><w:t xml:space="preserve">suzerainty.  In the Seljuk period it was a secondary city under</w:t></w:r>
</w:p>
<w:p>
<w:pPr><w:pStyle w:val="Normal"/></w:pPr>
<w:r><w:t xml:space="preserve">the provincial capital, Tireh (q.v.) In the 17th century it</w:t></w:r>
</w:p>
<w:p>
<w:pPr><w:pStyle w:val="Normal"/></w:pPr>
<w:r><w:t xml:space="preserve">came under the power of the Karasmans of Manisa and remained</w:t></w:r>
</w:p>
<w:p>
<w:pPr><w:pStyle w:val="Normal"/></w:pPr>
<w:r><w:t xml:space="preserve">so till about 1820.  Aidin is on the Smyrna-Dineir railway, has</w:t></w:r>
</w:p>
<w:p>
<w:pPr><w:pStyle w:val="Normal"/></w:pPr>
<w:r><w:t xml:space="preserve">large tanneries and sweetmeat manufactories, and exports figs,</w:t></w:r>
</w:p>
<w:p>
<w:pPr><w:pStyle w:val="Normal"/></w:pPr>
<w:r><w:t xml:space="preserve">cotton and raisins.  It was greatly damaged by an earthquake in</w:t></w:r>
</w:p>
<w:p>
<w:pPr><w:pStyle w:val="Normal"/></w:pPr>
<w:r><w:t xml:space="preserve">1899.  On a neighbouring height are to be seen the ruins</w:t></w:r>
</w:p>
<w:p>
<w:pPr><w:pStyle w:val="Normal"/></w:pPr>
<w:r><w:t xml:space="preserve">of the ancient Tralles (q.v.), the site to which the</w:t></w:r>
</w:p>
<w:p>
<w:pPr><w:pStyle w:val="Normal"/></w:pPr>
<w:r><w:t xml:space="preserve">name Guzel Hissar was particularly given by the Seljuks.</w:t></w:r>
</w:p>
<w:p>
<w:pPr><w:pStyle w:val="Normal"/></w:pPr>
<w:r><w:t xml:space="preserve">Aidin is the seat of a British consular agent.  As there are</w:t></w:r>
</w:p>
<w:p>
<w:pPr><w:pStyle w:val="Normal"/></w:pPr>
<w:r><w:t xml:space="preserve">considerable numbers of Greeks, Armenians and Jews among the</w:t></w:r>
</w:p>
<w:p>
<w:pPr><w:pStyle w:val="Normal"/></w:pPr>
<w:r><w:t xml:space="preserve">inhabitants, there are a Greek cathedral, several churches and</w:t></w:r>
</w:p>
<w:p>
<w:pPr><w:pStyle w:val="Normal"/></w:pPr>
<w:r><w:t xml:space="preserve">synagogues in addition to the fine Turkish mosques. (D. G. H.)</w:t></w:r>
</w:p>
<w:p>
<w:pPr><w:pStyle w:val="Normal"/></w:pPr>
<w:r><w:t xml:space="preserve">AIDONE, a town of Sicily, in the province of Caltanisetta.</w:t></w:r>
</w:p>
<w:p>
<w:pPr><w:pStyle w:val="Normal"/></w:pPr>
<w:r><w:t xml:space="preserve">From the town of Caltanisetta it is 22 m.  E.S.E. direct (18</w:t></w:r>
</w:p>
<w:p>
<w:pPr><w:pStyle w:val="Normal"/></w:pPr>
<w:r><w:t xml:space="preserve">m.  S.S.W. of the railway station of Raddusa, which is 41</w:t></w:r>
</w:p>
<w:p>
<w:pPr><w:pStyle w:val="Normal"/></w:pPr>
<w:r><w:t xml:space="preserve">m.  W. of Catania).  Pop. (1901) 8548.  There are some</w:t></w:r>
</w:p>
<w:p>
<w:pPr><w:pStyle w:val="Normal"/></w:pPr>
<w:r><w:t xml:space="preserve">interesting churches of the 14th century (see E. Mauceri in</w:t></w:r>
</w:p>
<w:p>
<w:pPr><w:pStyle w:val="Normal"/></w:pPr>
<w:r><w:t xml:space="preserve">L&apos;Arte, 1906, 17). On the Serra Orlando, a mountain not</w:t></w:r>
</w:p>
<w:p>
<w:pPr><w:pStyle w:val="Normal"/></w:pPr>
<w:r><w:t xml:space="preserve">far off, are the extensive remains of an unknown city, the</w:t></w:r>
</w:p>
<w:p>
<w:pPr><w:pStyle w:val="Normal"/></w:pPr>
<w:r><w:t xml:space="preserve">finest in eastern Sicily, but rapidly suffering destruction</w:t></w:r>
</w:p>
<w:p>
<w:pPr><w:pStyle w:val="Normal"/></w:pPr>
<w:r><w:t xml:space="preserve">from the spread of cultivation and unauthorized excavations.</w:t></w:r>
</w:p>
<w:p>
<w:pPr><w:pStyle w:val="Normal"/></w:pPr>
<w:r><w:t xml:space="preserve">See P. Orsi in Atti del Congresso di</w:t></w:r>
</w:p>
<w:p>
<w:pPr><w:pStyle w:val="Normal"/></w:pPr>
<w:r><w:t xml:space="preserve">Scienze Storiche, vol. v 178 Rome, 1904).</w:t></w:r>
</w:p>
<w:p>
<w:pPr><w:pStyle w:val="Normal"/></w:pPr>
<w:r><w:t xml:space="preserve">AIDS, a term of medieval finance, were part of the</w:t></w:r>
</w:p>
<w:p>
<w:pPr><w:pStyle w:val="Normal"/></w:pPr>
<w:r><w:t xml:space="preserve">service due to a lord from his men, and appear to have been</w:t></w:r>
</w:p>
<w:p>
<w:pPr><w:pStyle w:val="Normal"/></w:pPr>
<w:r><w:t xml:space="preserve">based upon the principle that they ought to assist him in</w:t></w:r>
</w:p>
<w:p>
<w:pPr><w:pStyle w:val="Normal"/></w:pPr>
<w:r><w:t xml:space="preserve">special emergency or need.  The occasions for demanding</w:t></w:r>
</w:p>
<w:p>
<w:pPr><w:pStyle w:val="Normal"/></w:pPr>
<w:r><w:t xml:space="preserve">them and the amount to be demanded would thus be matters of</w:t></w:r>
</w:p>
<w:p>
<w:pPr><w:pStyle w:val="Normal"/></w:pPr>
<w:r><w:t xml:space="preserve">dispute, while the loose use of the term to denote many</w:t></w:r>
</w:p>
<w:p>
<w:pPr><w:pStyle w:val="Normal"/></w:pPr>
<w:r><w:t xml:space="preserve">different payments increases the difficulty of the subject.</w:t></w:r>
</w:p>
<w:p>
<w:pPr><w:pStyle w:val="Normal"/></w:pPr>
<w:r><w:t xml:space="preserve">Both in Normandy and in England, in the 12th century, the</w:t></w:r>
</w:p>
<w:p>
<w:pPr><w:pStyle w:val="Normal"/></w:pPr>
<w:r><w:t xml:space="preserve">two recognized occasions on which, by custom, the lord could</w:t></w:r>
</w:p>
<w:p>
<w:pPr><w:pStyle w:val="Normal"/></w:pPr>
<w:r><w:t xml:space="preserve">demand ``aid,&apos;&apos; were (1) the knighting of his eldest son, (2)</w:t></w:r>
</w:p>
<w:p>
<w:pPr><w:pStyle w:val="Normal"/></w:pPr>
<w:r><w:t xml:space="preserve">the marriage of his eldest daughter; but while in England the</w:t></w:r>
</w:p>
<w:p>
<w:pPr><w:pStyle w:val="Normal"/></w:pPr>
<w:r><w:t xml:space="preserve">third occasion was, according to Glanvill, as in Normandy, his</w:t></w:r>
</w:p>
<w:p>
<w:pPr><w:pStyle w:val="Normal"/></w:pPr>
<w:r><w:t xml:space="preserve">payment of ``relief&apos;&apos; on his succession, it was, according to</w:t></w:r>
</w:p>
<w:p>
<w:pPr><w:pStyle w:val="Normal"/></w:pPr>
<w:r><w:t xml:space="preserve">the Great Charter (1215), the lord&apos;s ransom from captivity.</w:t></w:r>
</w:p>
<w:p>
<w:pPr><w:pStyle w:val="Normal"/></w:pPr>
<w:r><w:t xml:space="preserve">By its provisions, the king covenanted to exact an ``aid&apos;&apos;</w:t></w:r>
</w:p>
<w:p>
<w:pPr><w:pStyle w:val="Normal"/></w:pPr>
<w:r><w:t xml:space="preserve">from his barons on these three occasions alone--and then only</w:t></w:r>
</w:p>
<w:p>
<w:pPr><w:pStyle w:val="Normal"/></w:pPr>
<w:r><w:t xml:space="preserve">a ``reasonable&apos;&apos; one--except by ``the common counsel&apos;&apos; of his</w:t></w:r>
</w:p>
<w:p>
<w:pPr><w:pStyle w:val="Normal"/></w:pPr>
<w:r><w:t xml:space="preserve">realm.  Enormous importance has been attached to this provision,</w:t></w:r>
</w:p>
<w:p>
<w:pPr><w:pStyle w:val="Normal"/></w:pPr>
<w:r><w:t xml:space="preserve">as establishing the principle of taxation by consent, but its</w:t></w:r>
</w:p>
<w:p>
<w:pPr><w:pStyle w:val="Normal"/></w:pPr>
<w:r><w:t xml:space="preserve">scope was limited to the barons (and the city of London), and</w:t></w:r>
</w:p>
<w:p>
<w:pPr><w:pStyle w:val="Normal"/></w:pPr>
<w:r><w:t xml:space="preserve">the word ``aids&apos;&apos; was omitted from subsequent issues of the</w:t></w:r>
</w:p>
<w:p>
<w:pPr><w:pStyle w:val="Normal"/></w:pPr>
<w:r><w:t xml:space="preserve">charter.  The barons, on their part, covenanted to claim from</w:t></w:r>
</w:p>
<w:p>
<w:pPr><w:pStyle w:val="Normal"/></w:pPr>
<w:r><w:t xml:space="preserve">their feudal tenants only the above three customary aids.  The</w:t></w:r>
</w:p>
<w:p>
<w:pPr><w:pStyle w:val="Normal"/></w:pPr>
<w:r><w:t xml:space="preserve">last levy by the crown was that of James I. on the knighting of</w:t></w:r>
</w:p>
<w:p>
<w:pPr><w:pStyle w:val="Normal"/></w:pPr>
<w:r><w:t xml:space="preserve">his eldest son (1609) and the marriage of his daughter (1613).</w:t></w:r>
</w:p>
<w:p>
<w:pPr><w:pStyle w:val="Normal"/></w:pPr>
<w:r><w:t xml:space="preserve">From at least the days of Henry I. the term ``aid&apos;&apos; was also</w:t></w:r>
</w:p>
<w:p>
<w:pPr><w:pStyle w:val="Normal"/></w:pPr>
<w:r><w:t xml:space="preserve">applied (1) to the special contributions of boroughs to the</w:t></w:r>
</w:p>
<w:p>
<w:pPr><w:pStyle w:val="Normal"/></w:pPr>
<w:r><w:t xml:space="preserve">king&apos;s revenue, (2) to a payment in lieu of the military</w:t></w:r>
</w:p>
<w:p>
<w:pPr><w:pStyle w:val="Normal"/></w:pPr>
<w:r><w:t xml:space="preserve">service due from the crown&apos;s knights.  Both these occur</w:t></w:r>
</w:p>
<w:p>
<w:pPr><w:pStyle w:val="Normal"/></w:pPr>
<w:r><w:t xml:space="preserve">on the pipe roll of 1130, the latter as auxilium militum</w:t></w:r>
</w:p>
<w:p>
<w:pPr><w:pStyle w:val="Normal"/></w:pPr>
<w:r><w:t xml:space="preserve">(and possibly as auxilium comitatus.) The borough ``aids&apos;&apos;</w:t></w:r>
</w:p>
<w:p>
<w:pPr><w:pStyle w:val="Normal"/></w:pPr>
<w:r><w:t xml:space="preserve">were alternatively known as ``gifts&apos;&apos; (dona), resembling</w:t></w:r>
</w:p>
<w:p>
<w:pPr><w:pStyle w:val="Normal"/></w:pPr>
<w:r><w:t xml:space="preserve">in this the ``benevolences&apos;&apos; of later days.  When first met</w:t></w:r>
</w:p>
<w:p>
<w:pPr><w:pStyle w:val="Normal"/></w:pPr>
<w:r><w:t xml:space="preserve">with, under Henry I., they are fixed round sums, but under</w:t></w:r>
</w:p>
<w:p>
<w:pPr><w:pStyle w:val="Normal"/></w:pPr>
<w:r><w:t xml:space="preserve">Henry II. (as the Dialogue of the Exchequer explains) they</w:t></w:r>
</w:p>
<w:p>
<w:pPr><w:pStyle w:val="Normal"/></w:pPr>
<w:r><w:t xml:space="preserve">were either assessed on a population basis by crown officers</w:t></w:r>
</w:p>
<w:p>
<w:pPr><w:pStyle w:val="Normal"/></w:pPr>
<w:r><w:t xml:space="preserve">or were sums offered by the towns and accepted by them as</w:t></w:r>
</w:p>
<w:p>
<w:pPr><w:pStyle w:val="Normal"/></w:pPr>
<w:r><w:t xml:space="preserve">sufficient.  In the latter case the townsfolk were collectively</w:t></w:r>
</w:p>
<w:p>
<w:pPr><w:pStyle w:val="Normal"/></w:pPr>
<w:r><w:t xml:space="preserve">responsible for the amount.  The Great Charter, as stated</w:t></w:r>
</w:p>
<w:p>
<w:pPr><w:pStyle w:val="Normal"/></w:pPr>
<w:r><w:t xml:space="preserve">above, extended specially to London the limitation on baronial</w:t></w:r>
</w:p>
<w:p>
<w:pPr><w:pStyle w:val="Normal"/></w:pPr>
<w:r><w:t xml:space="preserve">``aids,&apos;&apos; but left untouched its liability to tallage, a lower</w:t></w:r>
</w:p>
<w:p>
<w:pPr><w:pStyle w:val="Normal"/></w:pPr>
<w:r><w:t xml:space="preserve">and more arbitrary form of taxation, which the towns shared</w:t></w:r>
</w:p>
<w:p>
<w:pPr><w:pStyle w:val="Normal"/></w:pPr>
<w:r><w:t xml:space="preserve">with the crown&apos;s demesne manors, and which London . resisted in</w:t></w:r>
</w:p>
<w:p>
<w:pPr><w:pStyle w:val="Normal"/></w:pPr>
<w:r><w:t xml:space="preserve">vain.  The two exactions, although distinct, have to be studied</w:t></w:r>
</w:p>
<w:p>
<w:pPr><w:pStyle w:val="Normal"/></w:pPr>
<w:r><w:t xml:space="preserve">together, and when in 1296-1297 Edward I. was forced to his</w:t></w:r>
</w:p>
<w:p>
<w:pPr><w:pStyle w:val="Normal"/></w:pPr>
<w:r><w:t xml:space="preserve">great surrender, he was formerly supposed by historians to</w:t></w:r>
</w:p>
<w:p>
<w:pPr><w:pStyle w:val="Normal"/></w:pPr>
<w:r><w:t xml:space="preserve">have pledged himself, under De tallagio non concedendo,</w:t></w:r>
</w:p>
<w:p>
<w:pPr><w:pStyle w:val="Normal"/></w:pPr>
<w:r><w:t xml:space="preserve">to levy no tallage or aid except by common consent of his</w:t></w:r>
</w:p>
<w:p>
<w:pPr><w:pStyle w:val="Normal"/></w:pPr>
<w:r><w:t xml:space="preserve">people.  It is now held, however, that he limited this</w:t></w:r>
</w:p>
<w:p>
<w:pPr><w:pStyle w:val="Normal"/></w:pPr>
<w:r><w:t xml:space="preserve">concession to ``aides, mises,&apos;&apos; and ``prises,&apos;&apos; retaining</w:t></w:r>
</w:p>
<w:p>
<w:pPr><w:pStyle w:val="Normal"/></w:pPr>
<w:r><w:t xml:space="preserve">the right to tallage.  Eventually, by a statute of 1340, it</w:t></w:r>
</w:p>
<w:p>
<w:pPr><w:pStyle w:val="Normal"/></w:pPr>
<w:r><w:t xml:space="preserve">was provided that the nation should not be called upon ``to</w:t></w:r>
</w:p>
<w:p>
<w:pPr><w:pStyle w:val="Normal"/></w:pPr>
<w:r><w:t xml:space="preserve">make any common aid or sustain charge&apos;&apos; except by consent of</w:t></w:r>
</w:p>
<w:p>
<w:pPr><w:pStyle w:val="Normal"/></w:pPr>
<w:r><w:t xml:space="preserve">parliament.  The aids spoken of at this period are of yet</w:t></w:r>
</w:p>
<w:p>
<w:pPr><w:pStyle w:val="Normal"/></w:pPr>
<w:r><w:t xml:space="preserve">another character, namely, the grant of a certain proportion</w:t></w:r>
</w:p>
<w:p>
<w:pPr><w:pStyle w:val="Normal"/></w:pPr>
<w:r><w:t xml:space="preserve">of all ``movables&apos;&apos; (i.e. personal property), a form of</w:t></w:r>
</w:p>
<w:p>
<w:pPr><w:pStyle w:val="Normal"/></w:pPr>
<w:r><w:t xml:space="preserve">taxation introduced about 1188 and now rapidly increasing in</w:t></w:r>
</w:p>
<w:p>
<w:pPr><w:pStyle w:val="Normal"/></w:pPr>
<w:r><w:t xml:space="preserve">importance.  These subsidies were conveniently classed under</w:t></w:r>
</w:p>
<w:p>
<w:pPr><w:pStyle w:val="Normal"/></w:pPr>
<w:r><w:t xml:space="preserve">the vague term ``aids,&apos;&apos; as were also the grants made by</w:t></w:r>
</w:p>
<w:p>
<w:pPr><w:pStyle w:val="Normal"/></w:pPr>
<w:r><w:t xml:space="preserve">the clergy in convocation, the term covering both feudal and</w:t></w:r>
</w:p>
<w:p>
<w:pPr><w:pStyle w:val="Normal"/></w:pPr>
<w:r><w:t xml:space="preserve">non-feudal levies from the higher clergy and proportions not</w:t></w:r>
</w:p>
<w:p>
<w:pPr><w:pStyle w:val="Normal"/></w:pPr>
<w:r><w:t xml:space="preserve">only of ``movables&apos;&apos; but of ecclesiastical revenues as well.</w:t></w:r>
</w:p>
<w:p>
<w:pPr><w:pStyle w:val="Normal"/></w:pPr>
<w:r><w:t xml:space="preserve">The ``knight&apos;s aid&apos;&apos; of 1130 spoken of above is probably</w:t></w:r>
</w:p>
<w:p>
<w:pPr><w:pStyle w:val="Normal"/></w:pPr>
<w:r><w:t xml:space="preserve">identical with auxilium exercitus spoken of in the oldest</w:t></w:r>
</w:p>
<w:p>
<w:pPr><w:pStyle w:val="Normal"/></w:pPr>
<w:r><w:t xml:space="preserve">custumals of Normandy, where the phrase appears to represent</w:t></w:r>
</w:p>
<w:p>
<w:pPr><w:pStyle w:val="Normal"/></w:pPr>
<w:r><w:t xml:space="preserve">what was known in England as ``scutage.&apos;&apos; Even in England</w:t></w:r>
</w:p>
<w:p>
<w:pPr><w:pStyle w:val="Normal"/></w:pPr>
<w:r><w:t xml:space="preserve">the phrase ``quando Rex accipit auxilium de militibus&apos;&apos;</w:t></w:r>
</w:p>
<w:p>
<w:pPr><w:pStyle w:val="Normal"/></w:pPr>
<w:r><w:t xml:space="preserve">occurs in 1166 and appears to be loosely used for scutage.</w:t></w:r>
</w:p>
<w:p>
<w:pPr><w:pStyle w:val="Normal"/></w:pPr>
<w:r><w:t xml:space="preserve">The same loose use enabled the early barons to demand</w:t></w:r>
</w:p>
<w:p>
<w:pPr><w:pStyle w:val="Normal"/></w:pPr>
<w:r><w:t xml:space="preserve">``aid&apos;&apos; from their tenants on various grounds, such as their</w:t></w:r>
</w:p>
<w:p>
<w:pPr><w:pStyle w:val="Normal"/></w:pPr>
<w:r><w:t xml:space="preserve">indebtedness to the Jews, as is well seen in the Norfolk</w:t></w:r>
</w:p>
<w:p>
<w:pPr><w:pStyle w:val="Normal"/></w:pPr>
<w:r><w:t xml:space="preserve">fragments of returns to the Inquest of Sheriffs (1170).</w:t></w:r>
</w:p>
<w:p>
<w:pPr><w:pStyle w:val="Normal"/></w:pPr>
<w:r><w:t xml:space="preserve">Sheriff&apos;s aid was a local payment of a fixed nature paid</w:t></w:r>
</w:p>
<w:p>
<w:pPr><w:pStyle w:val="Normal"/></w:pPr>
<w:r><w:t xml:space="preserve">in early days to the sheriff for his service.  It was the</w:t></w:r>
</w:p>
<w:p>
<w:pPr><w:pStyle w:val="Normal"/></w:pPr>
<w:r><w:t xml:space="preserve">subject of a hot dispute between Henry II. and Becket in 1163.</w:t></w:r>
</w:p>
<w:p>
<w:pPr><w:pStyle w:val="Normal"/></w:pPr>
<w:r><w:t xml:space="preserve">AUTHORITIES.--Stubbs&apos; Constitutional History and</w:t></w:r>
</w:p>
<w:p>
<w:pPr><w:pStyle w:val="Normal"/></w:pPr>
<w:r><w:t xml:space="preserve">Select Charters; M&apos;Kechnie&apos;s Magna Carta; Pollock and</w:t></w:r>
</w:p>
<w:p>
<w:pPr><w:pStyle w:val="Normal"/></w:pPr>
<w:r><w:t xml:space="preserve">Maitland&apos;s History of English Law; Maitland&apos;s Domesday</w:t></w:r>
</w:p>
<w:p>
<w:pPr><w:pStyle w:val="Normal"/></w:pPr>
<w:r><w:t xml:space="preserve">Book and Beyond; Dialogus de Scaccario (Oxford, 1892);</w:t></w:r>
</w:p>
<w:p>
<w:pPr><w:pStyle w:val="Normal"/></w:pPr>
<w:r><w:t xml:space="preserve">Madox&apos;s History of the Exchequer; Round&apos;s Feudal</w:t></w:r>
</w:p>
<w:p>
<w:pPr><w:pStyle w:val="Normal"/></w:pPr>
<w:r><w:t xml:space="preserve">England and The Commune of London; The Pipe Rolls</w:t></w:r>
</w:p>
<w:p>
<w:pPr><w:pStyle w:val="Normal"/></w:pPr>
<w:r><w:t xml:space="preserve">(Record Commission and Pipe Roll Society). (J. H. R.)</w:t></w:r>
</w:p>
<w:p>
<w:pPr><w:pStyle w:val="Normal"/></w:pPr>
<w:r><w:t xml:space="preserve">AIGRETTE (from the Fr. for egret, or lesser white heron),</w:t></w:r>
</w:p>
<w:p>
<w:pPr><w:pStyle w:val="Normal"/></w:pPr>
<w:r><w:t xml:space="preserve">the tufted crest, or head-plumes of the egret, used for</w:t></w:r>
</w:p>
<w:p>
<w:pPr><w:pStyle w:val="Normal"/></w:pPr>
<w:r><w:t xml:space="preserve">adorning a woman&apos;s head-dress, the term being also given</w:t></w:r>
</w:p>
<w:p>
<w:pPr><w:pStyle w:val="Normal"/></w:pPr>
<w:r><w:t xml:space="preserve">to any similar ornament, in gems, &amp;c. An aigrette is also</w:t></w:r>
</w:p>
<w:p>
<w:pPr><w:pStyle w:val="Normal"/></w:pPr>
<w:r><w:t xml:space="preserve">worn by certain ranks of officers in the French army.  By</w:t></w:r>
</w:p>
<w:p>
<w:pPr><w:pStyle w:val="Normal"/></w:pPr>
<w:r><w:t xml:space="preserve">analogy the word is used in various sciences for feathery</w:t></w:r>
</w:p>
<w:p>
<w:pPr><w:pStyle w:val="Normal"/></w:pPr>
<w:r><w:t xml:space="preserve">excrescences of like appearance, as for the tufts on the heads</w:t></w:r>
</w:p>
<w:p>
<w:pPr><w:pStyle w:val="Normal"/></w:pPr>
<w:r><w:t xml:space="preserve">of insects, the feathery down of the dandelion, the luminous</w:t></w:r>
</w:p>
<w:p>
<w:pPr><w:pStyle w:val="Normal"/></w:pPr>
<w:r><w:t xml:space="preserve">rays at the end of electrified bodies, or the luminous rays</w:t></w:r>
</w:p>
<w:p>
<w:pPr><w:pStyle w:val="Normal"/></w:pPr>
<w:r><w:t xml:space="preserve">seen in solar eclipses, diverging from the moon&apos;s edge.</w:t></w:r>
</w:p>
<w:p>
<w:pPr><w:pStyle w:val="Normal"/></w:pPr>
<w:r><w:t xml:space="preserve">AIGUES-MORTES, a town of south-eastern France, in the</w:t></w:r>
</w:p>
<w:p>
<w:pPr><w:pStyle w:val="Normal"/></w:pPr>
<w:r><w:t xml:space="preserve">department of Gard 25 m.  S.S.W. of Nimes, on a branch</w:t></w:r>
</w:p>
<w:p>
<w:pPr><w:pStyle w:val="Normal"/></w:pPr>
<w:r><w:t xml:space="preserve">line of the Paris-Lyon-Mediterranee railway.  Pop. (1906)</w:t></w:r>
</w:p>
<w:p>
<w:pPr><w:pStyle w:val="Normal"/></w:pPr>
<w:r><w:t xml:space="preserve">3577.  Aigues-Mortes occupies an isolated position in the</w:t></w:r>
</w:p>
<w:p>
<w:pPr><w:pStyle w:val="Normal"/></w:pPr>
<w:r><w:t xml:space="preserve">marshy plain at the western extremity of the Rhone delta,</w:t></w:r>
</w:p>
<w:p>
<w:pPr><w:pStyle w:val="Normal"/></w:pPr>
<w:r><w:t xml:space="preserve">2 1/2 m. from the Golfe du Lion.  It owes its celebrity to the</w:t></w:r>
</w:p>
<w:p>
<w:pPr><w:pStyle w:val="Normal"/></w:pPr>
<w:r><w:t xml:space="preserve">medieval fortifications of remarkable completeness with which</w:t></w:r>
</w:p>
<w:p>
<w:pPr><w:pStyle w:val="Normal"/></w:pPr>
<w:r><w:t xml:space="preserve">it is surrounded.  They form a parallelogram 596 yds. long</w:t></w:r>
</w:p>
<w:p>
<w:pPr><w:pStyle w:val="Normal"/></w:pPr>
<w:r><w:t xml:space="preserve">by 149 yds. broad, and consist of crenellated walls from 25</w:t></w:r>
</w:p>
<w:p>
<w:pPr><w:pStyle w:val="Normal"/></w:pPr>
<w:r><w:t xml:space="preserve">to 36 ft. in height, dominated at intervals by towers.  Of</w:t></w:r>
</w:p>
<w:p>
<w:pPr><w:pStyle w:val="Normal"/></w:pPr>
<w:r><w:t xml:space="preserve">these, the Tour de Constance, built by Louis IX., is the</w:t></w:r>
</w:p>
<w:p>
<w:pPr><w:pStyle w:val="Normal"/></w:pPr>
<w:r><w:t xml:space="preserve">most interesting; it commands the northwestern angle of the</w:t></w:r>
</w:p>
<w:p>
<w:pPr><w:pStyle w:val="Normal"/></w:pPr>
<w:r><w:t xml:space="preserve">ramparts, and contains two circular, Vaulted chambers, used as</w:t></w:r>
</w:p>
<w:p>
<w:pPr><w:pStyle w:val="Normal"/></w:pPr>
<w:r><w:t xml:space="preserve">prisons for Protestants after the revocation of the edict of</w:t></w:r>
</w:p>
<w:p>
<w:pPr><w:pStyle w:val="Normal"/></w:pPr>
<w:r><w:t xml:space="preserve">Nantes.  The remainder of the fortifications were built in</w:t></w:r>
</w:p>
<w:p>
<w:pPr><w:pStyle w:val="Normal"/></w:pPr>
<w:r><w:t xml:space="preserve">the reign of Philip III. Aigues-Mortes is the meeting-place</w:t></w:r>
</w:p>
<w:p>
<w:pPr><w:pStyle w:val="Normal"/></w:pPr>
<w:r><w:t xml:space="preserve">of several canals connecting it with Beaucaire, with Cette,</w:t></w:r>
</w:p>
<w:p>
<w:pPr><w:pStyle w:val="Normal"/></w:pPr>
<w:r><w:t xml:space="preserve">with the Lesser Rhone and with the Mediterranean, on which</w:t></w:r>
</w:p>
<w:p>
<w:pPr><w:pStyle w:val="Normal"/></w:pPr>
<w:r><w:t xml:space="preserve">it has a small port.  Fishing and the manufacture of soda are</w:t></w:r>
</w:p>
<w:p>
<w:pPr><w:pStyle w:val="Normal"/></w:pPr>
<w:r><w:t xml:space="preserve">the chief industries with which the town is connected.  It</w:t></w:r>
</w:p>
<w:p>
<w:pPr><w:pStyle w:val="Normal"/></w:pPr>
<w:r><w:t xml:space="preserve">has trade in coal, oranges and other fruits, and in wine.  In</w:t></w:r>
</w:p>
<w:p>
<w:pPr><w:pStyle w:val="Normal"/></w:pPr>
<w:r><w:t xml:space="preserve">the surrounding country there are important vineyards, which</w:t></w:r>
</w:p>
<w:p>
<w:pPr><w:pStyle w:val="Normal"/></w:pPr>
<w:r><w:t xml:space="preserve">are preserved from disease by periodical submersion.  There</w:t></w:r>
</w:p>
<w:p>
<w:pPr><w:pStyle w:val="Normal"/></w:pPr>
<w:r><w:t xml:space="preserve">is a statue in the town in memory of Louis IX. who embarked</w:t></w:r>
</w:p>
<w:p>
<w:pPr><w:pStyle w:val="Normal"/></w:pPr>
<w:r><w:t xml:space="preserve">from Aigues-Mortes in 1248 and 1270 for the seventh and eighth</w:t></w:r>
</w:p>
<w:p>
<w:pPr><w:pStyle w:val="Normal"/></w:pPr>
<w:r><w:t xml:space="preserve">crusades.  To further the prosperity of the town a most liberal</w:t></w:r>
</w:p>
<w:p>
<w:pPr><w:pStyle w:val="Normal"/></w:pPr>
<w:r><w:t xml:space="preserve">charter was granted to it, and in addition the trade of the port</w:t></w:r>
</w:p>
<w:p>
<w:pPr><w:pStyle w:val="Normal"/></w:pPr>
<w:r><w:t xml:space="preserve">was artificially fostered by a decree requiring that every vessel</w:t></w:r>
</w:p>
<w:p>
<w:pPr><w:pStyle w:val="Normal"/></w:pPr>
<w:r><w:t xml:space="preserve">navigating within sight of its lights should put in there.</w:t></w:r>
</w:p>
<w:p>
<w:pPr><w:pStyle w:val="Normal"/></w:pPr>
<w:r><w:t xml:space="preserve">This ordinance remained in force till the reign of Louis XIV.</w:t></w:r>
</w:p>
<w:p>
<w:pPr><w:pStyle w:val="Normal"/></w:pPr>
<w:r><w:t xml:space="preserve">AIGUILLE (Fr. for needle), the sharp jagged points above</w:t></w:r>
</w:p>
<w:p>
<w:pPr><w:pStyle w:val="Normal"/></w:pPr>
<w:r><w:t xml:space="preserve">the snow-line, standing upon the massif of a mountain split</w:t></w:r>
</w:p>
<w:p>
<w:pPr><w:pStyle w:val="Normal"/></w:pPr>
<w:r><w:t xml:space="preserve">by frost action along joints or planes of cleavage with</w:t></w:r>
</w:p>
<w:p>
<w:pPr><w:pStyle w:val="Normal"/></w:pPr>
<w:r><w:t xml:space="preserve">sides too steep for snow to rest upon them.  Aiguilles are</w:t></w:r>
</w:p>
<w:p>
<w:pPr><w:pStyle w:val="Normal"/></w:pPr>
<w:r><w:t xml:space="preserve">thus the forms remaining from the splitting up of the high</w:t></w:r>
</w:p>
<w:p>
<w:pPr><w:pStyle w:val="Normal"/></w:pPr>
<w:r><w:t xml:space="preserve">ridges with houseroof structure into detached pinnacles.</w:t></w:r>
</w:p>
<w:p>
<w:pPr><w:pStyle w:val="Normal"/></w:pPr>
<w:r><w:t xml:space="preserve">AIGUILLETTE (Fr. diminutive of AIGUILLE, a needle; the</w:t></w:r>
</w:p>
<w:p>
<w:pPr><w:pStyle w:val="Normal"/></w:pPr>
<w:r><w:t xml:space="preserve">obsolete English form is ``aglet&apos;&apos;), originally a tag of</w:t></w:r>
</w:p>
<w:p>
<w:pPr><w:pStyle w:val="Normal"/></w:pPr>
<w:r><w:t xml:space="preserve">metal, often made of precious metals and richly chased,</w:t></w:r>
</w:p>
<w:p>
<w:pPr><w:pStyle w:val="Normal"/></w:pPr>
<w:r><w:t xml:space="preserve">attached to the end of a lace or ribbon, and pointed, so</w:t></w:r>
</w:p>
<w:p>
<w:pPr><w:pStyle w:val="Normal"/></w:pPr>
<w:r><w:t xml:space="preserve">as to pass more easily through eyelet holes.  The term</w:t></w:r>
</w:p>
<w:p>
<w:pPr><w:pStyle w:val="Normal"/></w:pPr>
<w:r><w:t xml:space="preserve">was, in time, applied to any bright ornament or pendant</w:t></w:r>
</w:p>
<w:p>
<w:pPr><w:pStyle w:val="Normal"/></w:pPr>
<w:r><w:t xml:space="preserve">for the dress made of metal, and is now specially used of</w:t></w:r>
</w:p>
<w:p>
<w:pPr><w:pStyle w:val="Normal"/></w:pPr>
<w:r><w:t xml:space="preserve">ornamental cords and tags of gold and silver lace, worn on</w:t></w:r>
</w:p>
<w:p>
<w:pPr><w:pStyle w:val="Normal"/></w:pPr>
<w:r><w:t xml:space="preserve">naval and military uniforms.  The aiguillette is fastened</w:t></w:r>
</w:p>
<w:p>
<w:pPr><w:pStyle w:val="Normal"/></w:pPr>
<w:r><w:t xml:space="preserve">to the shoulder, the various cords hanging down therefrom</w:t></w:r>
</w:p>
<w:p>
<w:pPr><w:pStyle w:val="Normal"/></w:pPr>
<w:r><w:t xml:space="preserve">being fastened at their other end on the front of the coat.</w:t></w:r>
</w:p>
<w:p>
<w:pPr><w:pStyle w:val="Normal"/></w:pPr>
<w:r><w:t xml:space="preserve">AIGUILLON, EMMANUEL ARMAND DE WIGNEROD DU PLESSIS DE</w:t></w:r>
</w:p>
<w:p>
<w:pPr><w:pStyle w:val="Normal"/></w:pPr>
<w:r><w:t xml:space="preserve">RICHELIEU, DUC D&apos; (1720-1782), French statesman, nephew</w:t></w:r>
</w:p>
<w:p>
<w:pPr><w:pStyle w:val="Normal"/></w:pPr>
<w:r><w:t xml:space="preserve">of the marechal de Richelieu, was born on the 31st of July</w:t></w:r>
</w:p>
<w:p>
<w:pPr><w:pStyle w:val="Normal"/></w:pPr>
<w:r><w:t xml:space="preserve">1720.  He entered the army at the age of seventeen, and</w:t></w:r>
</w:p>
<w:p>
<w:pPr><w:pStyle w:val="Normal"/></w:pPr>
<w:r><w:t xml:space="preserve">at the age of nineteen was made colonel of the regiment of</w:t></w:r>
</w:p>
<w:p>
<w:pPr><w:pStyle w:val="Normal"/></w:pPr>
<w:r><w:t xml:space="preserve">Brie.  He served in the campaigns in Italy during the War of</w:t></w:r>
</w:p>
<w:p>
<w:pPr><w:pStyle w:val="Normal"/></w:pPr>
<w:r><w:t xml:space="preserve">the Austrian Succession, was seriously wounded at the siege</w:t></w:r>
</w:p>
<w:p>
<w:pPr><w:pStyle w:val="Normal"/></w:pPr>
<w:r><w:t xml:space="preserve">of Chateau-Dauphin (1744), was taken prisoner (1746) and</w:t></w:r>
</w:p>
<w:p>
<w:pPr><w:pStyle w:val="Normal"/></w:pPr>
<w:r><w:t xml:space="preserve">was made marechal de camp in 1748.  His marriage in 1740</w:t></w:r>
</w:p>
<w:p>
<w:pPr><w:pStyle w:val="Normal"/></w:pPr>
<w:r><w:t xml:space="preserve">with Louise Felicite de Brehan, daughter of the comte de</w:t></w:r>
</w:p>
<w:p>
<w:pPr><w:pStyle w:val="Normal"/></w:pPr>
<w:r><w:t xml:space="preserve">Plelo, coupled with his connexion with the Richelieu family,</w:t></w:r>
</w:p>
<w:p>
<w:pPr><w:pStyle w:val="Normal"/></w:pPr>
<w:r><w:t xml:space="preserve">gave, him an important place at court.  He was a member of</w:t></w:r>
</w:p>
<w:p>
<w:pPr><w:pStyle w:val="Normal"/></w:pPr>
<w:r><w:t xml:space="preserve">the so-called parti devot, the faction opposed to Madame de</w:t></w:r>
</w:p>
<w:p>
<w:pPr><w:pStyle w:val="Normal"/></w:pPr>
<w:r><w:t xml:space="preserve">Pompadour, to the Jansenists and to the parlement, and his</w:t></w:r>
</w:p>
<w:p>
<w:pPr><w:pStyle w:val="Normal"/></w:pPr>
<w:r><w:t xml:space="preserve">hostility to the new ideas drew upon him the anger of the</w:t></w:r>
</w:p>
<w:p>
<w:pPr><w:pStyle w:val="Normal"/></w:pPr>
<w:r><w:t xml:space="preserve">pamphleteers.  In 1753 he was appointed commandant (governor)</w:t></w:r>
</w:p>
<w:p>
<w:pPr><w:pStyle w:val="Normal"/></w:pPr>
<w:r><w:t xml:space="preserve">of Brittany and soon became unpopular in that province, which</w:t></w:r>
</w:p>
<w:p>
<w:pPr><w:pStyle w:val="Normal"/></w:pPr>
<w:r><w:t xml:space="preserve">had retained a large number of privileges called ``liberties.&apos;&apos;</w:t></w:r>
</w:p>
<w:p>
<w:pPr><w:pStyle w:val="Normal"/></w:pPr>
<w:r><w:t xml:space="preserve">He first came into collision with the provincial estates on the</w:t></w:r>
</w:p>
<w:p>
<w:pPr><w:pStyle w:val="Normal"/></w:pPr>
<w:r><w:t xml:space="preserve">question of the royal imposts (1758), but was then blamed for</w:t></w:r>
</w:p>
<w:p>
<w:pPr><w:pStyle w:val="Normal"/></w:pPr>
<w:r><w:t xml:space="preserve">his inertia in the preparation of a squadron against England</w:t></w:r>
</w:p>
<w:p>
<w:pPr><w:pStyle w:val="Normal"/></w:pPr>
<w:r><w:t xml:space="preserve">(1759), and finally alienated the parlement of Brittany by</w:t></w:r>
</w:p>
<w:p>
<w:pPr><w:pStyle w:val="Normal"/></w:pPr>
<w:r><w:t xml:space="preserve">violating the privileges of the province (1762).  In June 1764</w:t></w:r>
</w:p>
<w:p>
<w:pPr><w:pStyle w:val="Normal"/></w:pPr>
<w:r><w:t xml:space="preserve">the king, at the instance of d&apos;Aiguillon, quashed a decree of</w:t></w:r>
</w:p>
<w:p>
<w:pPr><w:pStyle w:val="Normal"/></w:pPr>
<w:r><w:t xml:space="preserve">the parlement forbidding the levying of new imposts without the</w:t></w:r>
</w:p>
<w:p>
<w:pPr><w:pStyle w:val="Normal"/></w:pPr>
<w:r><w:t xml:space="preserve">consent of the estates, and refused to receive the remonstrances</w:t></w:r>
</w:p>
<w:p>
<w:pPr><w:pStyle w:val="Normal"/></w:pPr>
<w:r><w:t xml:space="preserve">of the parlement against the duke.  On the 11th of November</w:t></w:r>
</w:p>
<w:p>
<w:pPr><w:pStyle w:val="Normal"/></w:pPr>
<w:r><w:t xml:space="preserve">1765 La Chalotais, the procureur of the parlement, was</w:t></w:r>
</w:p>
<w:p>
<w:pPr><w:pStyle w:val="Normal"/></w:pPr>
<w:r><w:t xml:space="preserve">arrested, but whether at the instigation of d&apos;Aiguillon is not</w:t></w:r>
</w:p>
<w:p>
<w:pPr><w:pStyle w:val="Normal"/></w:pPr>
<w:r><w:t xml:space="preserve">certain.  The conflict between d&apos;Aiguillon and the Bretons</w:t></w:r>
</w:p>
<w:p>
<w:pPr><w:pStyle w:val="Normal"/></w:pPr>
<w:r><w:t xml:space="preserve">lasted two years.  In the place of the parlement, which had</w:t></w:r>
</w:p>
<w:p>
<w:pPr><w:pStyle w:val="Normal"/></w:pPr>
<w:r><w:t xml:space="preserve">resigned, d&apos;Aiguillon organized a tribunal of more or less</w:t></w:r>
</w:p>
<w:p>
<w:pPr><w:pStyle w:val="Normal"/></w:pPr>
<w:r><w:t xml:space="preserve">competent judges, who were ridiculed by the pamphleteers</w:t></w:r>
</w:p>
<w:p>
<w:pPr><w:pStyle w:val="Normal"/></w:pPr>
<w:r><w:t xml:space="preserve">and ironically termed the bailliage d&apos;Aiguillon. In 1768</w:t></w:r>
</w:p>
<w:p>
<w:pPr><w:pStyle w:val="Normal"/></w:pPr>
<w:r><w:t xml:space="preserve">the duke was forced to suppress this tribunal, and returned</w:t></w:r>
</w:p>
<w:p>
<w:pPr><w:pStyle w:val="Normal"/></w:pPr>
<w:r><w:t xml:space="preserve">to court, where he resumed his intrigue with the parti</w:t></w:r>
</w:p>
<w:p>
<w:pPr><w:pStyle w:val="Normal"/></w:pPr>
<w:r><w:t xml:space="preserve">devot and finally obtained the dismissal of the minister</w:t></w:r>
</w:p>
<w:p>
<w:pPr><w:pStyle w:val="Normal"/></w:pPr>
<w:r><w:t xml:space="preserve">Choiseul (December 24, 1770).  When Louis XV., acting on</w:t></w:r>
</w:p>
<w:p>
<w:pPr><w:pStyle w:val="Normal"/></w:pPr>
<w:r><w:t xml:space="preserve">the advice of Madame Dubarry, reorganized the government</w:t></w:r>
</w:p>
<w:p>
<w:pPr><w:pStyle w:val="Normal"/></w:pPr>
<w:r><w:t xml:space="preserve">with a view to suppressing the resistance of the parlements,</w:t></w:r>
</w:p>
<w:p>
<w:pPr><w:pStyle w:val="Normal"/></w:pPr>
<w:r><w:t xml:space="preserve">d&apos;Aiguillon was made minister of foreign affairs, Maupeou</w:t></w:r>
</w:p>
<w:p>
<w:pPr><w:pStyle w:val="Normal"/></w:pPr>
<w:r><w:t xml:space="preserve">and the Abbe Terray (1715-1778) also obtaining places in the</w:t></w:r>
</w:p>
<w:p>
<w:pPr><w:pStyle w:val="Normal"/></w:pPr>
<w:r><w:t xml:space="preserve">ministry.  The new ministry, albeit one of reform, was very</w:t></w:r>
</w:p>
<w:p>
<w:pPr><w:pStyle w:val="Normal"/></w:pPr>
<w:r><w:t xml:space="preserve">unpopular, and was styled the ``triumvirate.&apos;&apos; All the failures</w:t></w:r>
</w:p>
<w:p>
<w:pPr><w:pStyle w:val="Normal"/></w:pPr>
<w:r><w:t xml:space="preserve">of the government were attributed to the mistakes of the</w:t></w:r>
</w:p>
<w:p>
<w:pPr><w:pStyle w:val="Normal"/></w:pPr>
<w:r><w:t xml:space="preserve">ministers.  Thus d&apos;Aiguillon was blamed for having provoked</w:t></w:r>
</w:p>
<w:p>
<w:pPr><w:pStyle w:val="Normal"/></w:pPr>
<w:r><w:t xml:space="preserve">the coup d&apos;etat of Gustavus III., king of Sweden, in 1772,</w:t></w:r>
</w:p>
<w:p>
<w:pPr><w:pStyle w:val="Normal"/></w:pPr>
<w:r><w:t xml:space="preserve">although the instructions of the comte de Vergennes, the</w:t></w:r>
</w:p>
<w:p>
<w:pPr><w:pStyle w:val="Normal"/></w:pPr>
<w:r><w:t xml:space="preserve">French ambassador in Sweden, had been written by the minister,</w:t></w:r>
</w:p>
<w:p>
<w:pPr><w:pStyle w:val="Normal"/></w:pPr>
<w:r><w:t xml:space="preserve">the duc de la Vrilliere.  D&apos;Aiguillon, however, could do</w:t></w:r>
</w:p>
<w:p>
<w:pPr><w:pStyle w:val="Normal"/></w:pPr>
<w:r><w:t xml:space="preserve">nothing to rehabilitate French diplomacy; he acquiesced in</w:t></w:r>
</w:p>
<w:p>
<w:pPr><w:pStyle w:val="Normal"/></w:pPr>
<w:r><w:t xml:space="preserve">the first division of Poland, renewed the Family Compact,</w:t></w:r>
</w:p>
<w:p>
<w:pPr><w:pStyle w:val="Normal"/></w:pPr>
<w:r><w:t xml:space="preserve">and, although a supporter of the Jesuits, sanctioned the</w:t></w:r>
</w:p>
<w:p>
<w:pPr><w:pStyle w:val="Normal"/></w:pPr>
<w:r><w:t xml:space="preserve">suppression of the society.  After the death of Louis XV.</w:t></w:r>
</w:p>
<w:p>
<w:pPr><w:pStyle w:val="Normal"/></w:pPr>
<w:r><w:t xml:space="preserve">he quarrelled with Maupeou and with the young queen, Marie</w:t></w:r>
</w:p>
<w:p>
<w:pPr><w:pStyle w:val="Normal"/></w:pPr>
<w:r><w:t xml:space="preserve">Antoinette, who demanded his dismissal from the ministry</w:t></w:r>
</w:p>
<w:p>
<w:pPr><w:pStyle w:val="Normal"/></w:pPr>
<w:r><w:t xml:space="preserve">(1774).  He died, forgotten, in 1782.  In no circumstances</w:t></w:r>
</w:p>
<w:p>
<w:pPr><w:pStyle w:val="Normal"/></w:pPr>
<w:r><w:t xml:space="preserve">had he shown any special ability.  He was more fitted for</w:t></w:r>
</w:p>
<w:p>
<w:pPr><w:pStyle w:val="Normal"/></w:pPr>
<w:r><w:t xml:space="preserve">intrigue than for government, and his attempts to restore</w:t></w:r>
</w:p>
<w:p>
<w:pPr><w:pStyle w:val="Normal"/></w:pPr>
<w:r><w:t xml:space="preserve">the status of French diplomacy met with scant success.</w:t></w:r>
</w:p>
<w:p>
<w:pPr><w:pStyle w:val="Normal"/></w:pPr>
<w:r><w:t xml:space="preserve">See Memoires du ministere du duc d&apos;Aiguillon (3rd ed.,</w:t></w:r>
</w:p>
<w:p>
<w:pPr><w:pStyle w:val="Normal"/></w:pPr>
<w:r><w:t xml:space="preserve">Paris and Lyons, 1792), probably written by J. L. Soulavie.</w:t></w:r>
</w:p>
<w:p>
<w:pPr><w:pStyle w:val="Normal"/></w:pPr>
<w:r><w:t xml:space="preserve">On d&apos;Aiguillon&apos;s governorship of Brittany see Carre, La</w:t></w:r>
</w:p>
<w:p>
<w:pPr><w:pStyle w:val="Normal"/></w:pPr>
<w:r><w:t xml:space="preserve">Chalotais et le duc d&apos;Aiguillon (Paris, 1893); Marion, La</w:t></w:r>
</w:p>
<w:p>
<w:pPr><w:pStyle w:val="Normal"/></w:pPr>
<w:r><w:t xml:space="preserve">Bretagne et le duc d&apos;Aiguillon (Paris, 1898); and Barthelemy</w:t></w:r>
</w:p>
<w:p>
<w:pPr><w:pStyle w:val="Normal"/></w:pPr>
<w:r><w:t xml:space="preserve">Pocquet, Le Duc d&apos;Aiguillon et La Chalotais (Paris,</w:t></w:r>
</w:p>
<w:p>
<w:pPr><w:pStyle w:val="Normal"/></w:pPr>
<w:r><w:t xml:space="preserve">1901--1902).  The three last have full biblioaraphies.  See also</w:t></w:r>
</w:p>
<w:p>
<w:pPr><w:pStyle w:val="Normal"/></w:pPr>
<w:r><w:t xml:space="preserve">Flammermont, Le Chancelier Maupeou et les parlements (Paris,</w:t></w:r>
</w:p>
<w:p>
<w:pPr><w:pStyle w:val="Normal"/></w:pPr>
<w:r><w:t xml:space="preserve">1883); Frederic Masson, Le Cardinal de Bernis (Paris, 1884).</w:t></w:r>
</w:p>
<w:p>
<w:pPr><w:pStyle w:val="Normal"/></w:pPr>
<w:r><w:t xml:space="preserve">AIGUILLON, MARIE MADELEINE DE WIGNEROD DU PONT DE COURLAY,</w:t></w:r>
</w:p>
<w:p>
<w:pPr><w:pStyle w:val="Normal"/></w:pPr>
<w:r><w:t xml:space="preserve">DUCHESSE D&apos; (1604-1675), daughter of Cardinal Richelieu&apos;s</w:t></w:r>
</w:p>
<w:p>
<w:pPr><w:pStyle w:val="Normal"/></w:pPr>
<w:r><w:t xml:space="preserve">sister.  In 1620 she married a nephew of the constable de</w:t></w:r>
</w:p>
<w:p>
<w:pPr><w:pStyle w:val="Normal"/></w:pPr>
<w:r><w:t xml:space="preserve">Luynes, Antoine de Beauvoir du Roure, sieur de Combalet, who</w:t></w:r>
</w:p>
<w:p>
<w:pPr><w:pStyle w:val="Normal"/></w:pPr>
<w:r><w:t xml:space="preserve">died in 1622.  In 1625, through her influence, she was made</w:t></w:r>
</w:p>
<w:p>
<w:pPr><w:pStyle w:val="Normal"/></w:pPr>
<w:r><w:t xml:space="preserve">a lady-in-waiting (dame d&apos;atour) to Ihe queen-mother, and</w:t></w:r>
</w:p>
<w:p>
<w:pPr><w:pStyle w:val="Normal"/></w:pPr>
<w:r><w:t xml:space="preserve">in 1638 was created duchess of Aiguihon.  She did not marry</w:t></w:r>
</w:p>
<w:p>
<w:pPr><w:pStyle w:val="Normal"/></w:pPr>
<w:r><w:t xml:space="preserve">a second time, although Richelieu wished to marry her to</w:t></w:r>
</w:p>
<w:p>
<w:pPr><w:pStyle w:val="Normal"/></w:pPr>
<w:r><w:t xml:space="preserve">a prince--either to the comte de Soissons or to the king&apos;s</w:t></w:r>
</w:p>
<w:p>
<w:pPr><w:pStyle w:val="Normal"/></w:pPr>
<w:r><w:t xml:space="preserve">brother.  After the death of the cardinal (1642) she retained</w:t></w:r>
</w:p>
<w:p>
<w:pPr><w:pStyle w:val="Normal"/></w:pPr>
<w:r><w:t xml:space="preserve">her honours and titles, but withdrew from the court, and</w:t></w:r>
</w:p>
<w:p>
<w:pPr><w:pStyle w:val="Normal"/></w:pPr>
<w:r><w:t xml:space="preserve">devoted herself entirely to works of charity.  She entered into</w:t></w:r>
</w:p>
<w:p>
<w:pPr><w:pStyle w:val="Normal"/></w:pPr>
<w:r><w:t xml:space="preserve">relations with Saint Vincent de Paul and helped him to establish</w:t></w:r>
</w:p>
<w:p>
<w:pPr><w:pStyle w:val="Normal"/></w:pPr>
<w:r><w:t xml:space="preserve">the hospital for foundlings.  She also took part in organizing</w:t></w:r>
</w:p>
<w:p>
<w:pPr><w:pStyle w:val="Normal"/></w:pPr>
<w:r><w:t xml:space="preserve">the General Hospital and several others in the provinces.</w:t></w:r>
</w:p>
<w:p>
<w:pPr><w:pStyle w:val="Normal"/></w:pPr>
<w:r><w:t xml:space="preserve">She died on the 17th of April 1675.  She was the patroness of</w:t></w:r>
</w:p>
<w:p>
<w:pPr><w:pStyle w:val="Normal"/></w:pPr>
<w:r><w:t xml:space="preserve">Corneille, who in 1636 dedicated to her his tragedy of The Cid.</w:t></w:r>
</w:p>
<w:p>
<w:pPr><w:pStyle w:val="Normal"/></w:pPr>
<w:r><w:t xml:space="preserve">See E. Flechier, Oraison funebre de Mme. Marie de</w:t></w:r>
</w:p>
<w:p>
<w:pPr><w:pStyle w:val="Normal"/></w:pPr>
<w:r><w:t xml:space="preserve">Wignerod, duchesse d&apos;Aiguillon; Bonneau-Avenant,</w:t></w:r>
</w:p>
<w:p>
<w:pPr><w:pStyle w:val="Normal"/></w:pPr>
<w:r><w:t xml:space="preserve">La duchesse d&apos;Aiguillon (1879); M.emoires de</w:t></w:r>
</w:p>
<w:p>
<w:pPr><w:pStyle w:val="Normal"/></w:pPr>
<w:r><w:t xml:space="preserve">Saint-Simon, ed. by A. de Boislisle (1879 et seq..)</w:t></w:r>
</w:p>
<w:p>
<w:pPr><w:pStyle w:val="Normal"/></w:pPr>
<w:r><w:t xml:space="preserve">AIGUN, or AIHUN (also Sakhalyan-ula-khoto), a town of</w:t></w:r>
</w:p>
<w:p>
<w:pPr><w:pStyle w:val="Normal"/></w:pPr>
<w:r><w:t xml:space="preserve">China, province Hei-lung-kiang, in northern Manchuria, situated</w:t></w:r>
</w:p>
<w:p>
<w:pPr><w:pStyle w:val="Normal"/></w:pPr>
<w:r><w:t xml:space="preserve">on the right bank of the Amur, in a fertile and populous</w:t></w:r>
</w:p>
<w:p>
<w:pPr><w:pStyle w:val="Normal"/></w:pPr>
<w:r><w:t xml:space="preserve">region, 20 m. below Blagovyeshchensk, where it occupies</w:t></w:r>
</w:p>
<w:p>
<w:pPr><w:pStyle w:val="Normal"/></w:pPr>
<w:r><w:t xml:space="preserve">nearly 2 m. on the bank of the river.  There is a palisaded</w:t></w:r>
</w:p>
<w:p>
<w:pPr><w:pStyle w:val="Normal"/></w:pPr>
<w:r><w:t xml:space="preserve">fort in the middle of the town, inside of which is the house</w:t></w:r>
</w:p>
<w:p>
<w:pPr><w:pStyle w:val="Normal"/></w:pPr>
<w:r><w:t xml:space="preserve">of the fu-tu (governor).  Its merchants carry on an active</w:t></w:r>
</w:p>
<w:p>
<w:pPr><w:pStyle w:val="Normal"/></w:pPr>
<w:r><w:t xml:space="preserve">local trade in grain, mustard, oil and tobacco, and some of</w:t></w:r>
</w:p>
<w:p>
<w:pPr><w:pStyle w:val="Normal"/></w:pPr>
<w:r><w:t xml:space="preserve">its firms supply the Russian administration with grain and</w:t></w:r>
</w:p>
<w:p>
<w:pPr><w:pStyle w:val="Normal"/></w:pPr>
<w:r><w:t xml:space="preserve">flour.  During the ``Boxer&apos;&apos; rising of 1900 it was, for a few</w:t></w:r>
</w:p>
<w:p>
<w:pPr><w:pStyle w:val="Normal"/></w:pPr>
<w:r><w:t xml:space="preserve">weeks, the centre of military action directed against the</w:t></w:r>
</w:p>
<w:p>
<w:pPr><w:pStyle w:val="Normal"/></w:pPr>
<w:r><w:t xml:space="preserve">Russians.  The population, of some 20,000, includes a few hundred</w:t></w:r>
</w:p>
<w:p>
<w:pPr><w:pStyle w:val="Normal"/></w:pPr>
<w:r><w:t xml:space="preserve">Mussulmans.  The town was founded first on the left bank of</w:t></w:r>
</w:p>
<w:p>
<w:pPr><w:pStyle w:val="Normal"/></w:pPr>
<w:r><w:t xml:space="preserve">the Amur, below the mouth of the Zeya, but was abandoned, and</w:t></w:r>
</w:p>
<w:p>
<w:pPr><w:pStyle w:val="Normal"/></w:pPr>
<w:r><w:t xml:space="preserve">the present town was founded in 1684.  It was here that Count</w:t></w:r>
</w:p>
<w:p>
<w:pPr><w:pStyle w:val="Normal"/></w:pPr>
<w:r><w:t xml:space="preserve">Muraviev concluded, in May 1857, the Aihun treaty, according</w:t></w:r>
</w:p>
<w:p>
<w:pPr><w:pStyle w:val="Normal"/></w:pPr>
<w:r><w:t xml:space="preserve">to which the left bank of the Amur was conceded to Russia.</w:t></w:r>
</w:p>
<w:p>
<w:pPr><w:pStyle w:val="Normal"/></w:pPr>
<w:r><w:t xml:space="preserve">AIKEN, a city and the county-seat of Aiken county, South</w:t></w:r>
</w:p>
<w:p>
<w:pPr><w:pStyle w:val="Normal"/></w:pPr>
<w:r><w:t xml:space="preserve">Carolina, U.S.A., 17 m.  E.N.E. of Augusta, Georgia.  Pop.</w:t></w:r>
</w:p>
<w:p>
<w:pPr><w:pStyle w:val="Normal"/></w:pPr>
<w:r><w:t xml:space="preserve">(1890) 2362; (1900) 3414 (2131 of negro descent); (1910)</w:t></w:r>
</w:p>
<w:p>
<w:pPr><w:pStyle w:val="Normal"/></w:pPr>
<w:r><w:t xml:space="preserve">3911.  It is served by the Southern railway, and by an electric</w:t></w:r>
</w:p>
<w:p>
<w:pPr><w:pStyle w:val="Normal"/></w:pPr>
<w:r><w:t xml:space="preserve">line connecting with Augusta.  Aiken is a fashionable winter</w:t></w:r>
</w:p>
<w:p>
<w:pPr><w:pStyle w:val="Normal"/></w:pPr>
<w:r><w:t xml:space="preserve">resort, chiefly frequented by Northerners, and is pleasantly</w:t></w:r>
</w:p>
<w:p>
<w:pPr><w:pStyle w:val="Normal"/></w:pPr>
<w:r><w:t xml:space="preserve">situated about 500 ft. above sea level in the heart of the</w:t></w:r>
</w:p>
<w:p>
<w:pPr><w:pStyle w:val="Normal"/></w:pPr>
<w:r><w:t xml:space="preserve">famous sand-hill and pine-forest region of the state.  The dry</w:t></w:r>
</w:p>
<w:p>
<w:pPr><w:pStyle w:val="Normal"/></w:pPr>
<w:r><w:t xml:space="preserve">and unusually equable temperature (mean for winter 50 deg.  F.,</w:t></w:r>
</w:p>
<w:p>
<w:pPr><w:pStyle w:val="Normal"/></w:pPr>
<w:r><w:t xml:space="preserve">for spring 57 deg.  F., and for autumn 64 deg.  F.) and the balmy air</w:t></w:r>
</w:p>
<w:p>
<w:pPr><w:pStyle w:val="Normal"/></w:pPr>
<w:r><w:t xml:space="preserve">laden with the fragrance of the pine forests have combined to</w:t></w:r>
</w:p>
<w:p>
<w:pPr><w:pStyle w:val="Normal"/></w:pPr>
<w:r><w:t xml:space="preserve">make Aiken a health and pleasure resort; its climate is said</w:t></w:r>
</w:p>
<w:p>
<w:pPr><w:pStyle w:val="Normal"/></w:pPr>
<w:r><w:t xml:space="preserve">to be especially beneficial for those afflicted with pulmonary</w:t></w:r>
</w:p>
<w:p>
<w:pPr><w:pStyle w:val="Normal"/></w:pPr>
<w:r><w:t xml:space="preserve">diseases.  There are fine hotels, club houses and cottages,</w:t></w:r>
</w:p>
<w:p>
<w:pPr><w:pStyle w:val="Normal"/></w:pPr>
<w:r><w:t xml:space="preserve">and the Palmetto Golf Links near the city are probably the</w:t></w:r>
</w:p>
<w:p>
<w:pPr><w:pStyle w:val="Normal"/></w:pPr>
<w:r><w:t xml:space="preserve">finest in the southern states; fox-hunting, polo, tennis</w:t></w:r>
</w:p>
<w:p>
<w:pPr><w:pStyle w:val="Normal"/></w:pPr>
<w:r><w:t xml:space="preserve">and shooting are among the popular sports.  There are some</w:t></w:r>
</w:p>
<w:p>
<w:pPr><w:pStyle w:val="Normal"/></w:pPr>
<w:r><w:t xml:space="preserve">excellent drives in the vicinity.  The city is the seat of</w:t></w:r>
</w:p>
<w:p>
<w:pPr><w:pStyle w:val="Normal"/></w:pPr>
<w:r><w:t xml:space="preserve">the Aiken Institute (for whites) and the Schofield Normal</w:t></w:r>
</w:p>
<w:p>
<w:pPr><w:pStyle w:val="Normal"/></w:pPr>
<w:r><w:t xml:space="preserve">and Industrial School (for negroes).  There are lumber mills,</w:t></w:r>
</w:p>
<w:p>
<w:pPr><w:pStyle w:val="Normal"/></w:pPr>
<w:r><w:t xml:space="preserve">cotton mills and cotton-gins; and cotton, farm products</w:t></w:r>
</w:p>
<w:p>
<w:pPr><w:pStyle w:val="Normal"/></w:pPr>
<w:r><w:t xml:space="preserve">and artificial stone are exported.  Considerable quantities</w:t></w:r>
</w:p>
<w:p>
<w:pPr><w:pStyle w:val="Normal"/></w:pPr>
<w:r><w:t xml:space="preserve">of aluminium are obtained from the kaolin deposits in the</w:t></w:r>
</w:p>
<w:p>
<w:pPr><w:pStyle w:val="Normal"/></w:pPr>
<w:r><w:t xml:space="preserve">vicinity.  The city&apos;s water supply is obtained from artesian</w:t></w:r>
</w:p>
<w:p>
<w:pPr><w:pStyle w:val="Normal"/></w:pPr>
<w:r><w:t xml:space="preserve">wells.  Aiken was settled in the early part of the 19th century,</w:t></w:r>
</w:p>
<w:p>
<w:pPr><w:pStyle w:val="Normal"/></w:pPr>
<w:r><w:t xml:space="preserve">but was not incorporated until 1835, when it was named in</w:t></w:r>
</w:p>
<w:p>
<w:pPr><w:pStyle w:val="Normal"/></w:pPr>
<w:r><w:t xml:space="preserve">honour of William Aiken (1806-1887), governor of the state in</w:t></w:r>
</w:p>
<w:p>
<w:pPr><w:pStyle w:val="Normal"/></w:pPr>
<w:r><w:t xml:space="preserve">1844--1847, and a representative in Congress in 1851-1857.</w:t></w:r>
</w:p>
<w:p>
<w:pPr><w:pStyle w:val="Normal"/></w:pPr>
<w:r><w:t xml:space="preserve">AIKIN, ARTHUR (1773-1854), English chemist and mineralogist,</w:t></w:r>
</w:p>
<w:p>
<w:pPr><w:pStyle w:val="Normal"/></w:pPr>
<w:r><w:t xml:space="preserve">was born on the 19th of May 1773, at Warrington in Lancashire.</w:t></w:r>
</w:p>
<w:p>
<w:pPr><w:pStyle w:val="Normal"/></w:pPr>
<w:r><w:t xml:space="preserve">He studied chemistry under Priestley and gave attention to</w:t></w:r>
</w:p>
<w:p>
<w:pPr><w:pStyle w:val="Normal"/></w:pPr>
<w:r><w:t xml:space="preserve">the practical applications of the science.  To mineralogy</w:t></w:r>
</w:p>
<w:p>
<w:pPr><w:pStyle w:val="Normal"/></w:pPr>
<w:r><w:t xml:space="preserve">he was likewise attracted, and he was one of the founders</w:t></w:r>
</w:p>
<w:p>
<w:pPr><w:pStyle w:val="Normal"/></w:pPr>
<w:r><w:t xml:space="preserve">of the Geological Society of London, 1807, and honorary</w:t></w:r>
</w:p>
<w:p>
<w:pPr><w:pStyle w:val="Normal"/></w:pPr>
<w:r><w:t xml:space="preserve">secretary, 1812-1817.  To the transactions of that society</w:t></w:r>
</w:p>
<w:p>
<w:pPr><w:pStyle w:val="Normal"/></w:pPr>
<w:r><w:t xml:space="preserve">he contributed papers on the Wrekin and the Shropshire</w:t></w:r>
</w:p>
<w:p>
<w:pPr><w:pStyle w:val="Normal"/></w:pPr>
<w:r><w:t xml:space="preserve">coalfield, &amp;c. Later he became secretary of the Society of</w:t></w:r>
</w:p>
<w:p>
<w:pPr><w:pStyle w:val="Normal"/></w:pPr>
<w:r><w:t xml:space="preserve">Arts, and in 1841 treasurer of the Chemical Society.  In</w:t></w:r>
</w:p>
<w:p>
<w:pPr><w:pStyle w:val="Normal"/></w:pPr>
<w:r><w:t xml:space="preserve">early life he had been for a short time a Unitarian minister.</w:t></w:r>
</w:p>
<w:p>
<w:pPr><w:pStyle w:val="Normal"/></w:pPr>
<w:r><w:t xml:space="preserve">He was highly esteemed as a man of sound judgment and wide</w:t></w:r>
</w:p>
<w:p>
<w:pPr><w:pStyle w:val="Normal"/></w:pPr>
<w:r><w:t xml:space="preserve">knowledge.  He died in London on the 15th of April 1854.</w:t></w:r>
</w:p>
<w:p>
<w:pPr><w:pStyle w:val="Normal"/></w:pPr>
<w:r><w:t xml:space="preserve">PUBLICATIONS.--Journal of a Tour through North Wales and part</w:t></w:r>
</w:p>
<w:p>
<w:pPr><w:pStyle w:val="Normal"/></w:pPr>
<w:r><w:t xml:space="preserve">of Shropshire with observations in Mineralogy and other branches</w:t></w:r>
</w:p>
<w:p>
<w:pPr><w:pStyle w:val="Normal"/></w:pPr>
<w:r><w:t xml:space="preserve">of Natural History (London, 1797); A Manual of Mineralogy</w:t></w:r>
</w:p>
<w:p>
<w:pPr><w:pStyle w:val="Normal"/></w:pPr>
<w:r><w:t xml:space="preserve">(1814; ed. 2, 1815); A Dictionary of Chemistry and Mineralogy</w:t></w:r>
</w:p>
<w:p>
<w:pPr><w:pStyle w:val="Normal"/></w:pPr>
<w:r><w:t xml:space="preserve">(with his brother C. R. Aikin), 2 vols. (London, 1807, 1814).</w:t></w:r>
</w:p>
<w:p>
<w:pPr><w:pStyle w:val="Normal"/></w:pPr>
<w:r><w:t xml:space="preserve">AIKIN, JOHN (1747-1822), English doctor and writer, was</w:t></w:r>
</w:p>
<w:p>
<w:pPr><w:pStyle w:val="Normal"/></w:pPr>
<w:r><w:t xml:space="preserve">born at Kibworth-Harcourt, and received his elementary</w:t></w:r>
</w:p>
<w:p>
<w:pPr><w:pStyle w:val="Normal"/></w:pPr>
<w:r><w:t xml:space="preserve">education at the Noncomformist academy at Warrington, where</w:t></w:r>
</w:p>
<w:p>
<w:pPr><w:pStyle w:val="Normal"/></w:pPr>
<w:r><w:t xml:space="preserve">his father was tutor.  He studied medicine in the university</w:t></w:r>
</w:p>
<w:p>
<w:pPr><w:pStyle w:val="Normal"/></w:pPr>
<w:r><w:t xml:space="preserve">of Edinburgh, and in London under Dr Wilham Hunter.  He</w:t></w:r>
</w:p>
<w:p>
<w:pPr><w:pStyle w:val="Normal"/></w:pPr>
<w:r><w:t xml:space="preserve">practised as a surgeon at Chester and Warrington.  Finally,</w:t></w:r>
</w:p>
<w:p>
<w:pPr><w:pStyle w:val="Normal"/></w:pPr>
<w:r><w:t xml:space="preserve">he went to Leyden, took the degree of M.D. (1780), and in</w:t></w:r>
</w:p>
<w:p>
<w:pPr><w:pStyle w:val="Normal"/></w:pPr>
<w:r><w:t xml:space="preserve">1784 established himself as a doctor in Yarmouth.  In 1792</w:t></w:r>
</w:p>
<w:p>
<w:pPr><w:pStyle w:val="Normal"/></w:pPr>
<w:r><w:t xml:space="preserve">he removed to London, where he practised as a consulting</w:t></w:r>
</w:p>
<w:p>
<w:pPr><w:pStyle w:val="Normal"/></w:pPr>
<w:r><w:t xml:space="preserve">physician.  But he concerned himself more with the advocacy</w:t></w:r>
</w:p>
<w:p>
<w:pPr><w:pStyle w:val="Normal"/></w:pPr>
<w:r><w:t xml:space="preserve">of liberty of conscience than with his professional duties,</w:t></w:r>
</w:p>
<w:p>
<w:pPr><w:pStyle w:val="Normal"/></w:pPr>
<w:r><w:t xml:space="preserve">and he began at an early period to devote himself to literary</w:t></w:r>
</w:p>
<w:p>
<w:pPr><w:pStyle w:val="Normal"/></w:pPr>
<w:r><w:t xml:space="preserve">pursuits.  In conjunction with his sister, Mrs Barbauld</w:t></w:r>
</w:p>
<w:p>
<w:pPr><w:pStyle w:val="Normal"/></w:pPr>
<w:r><w:t xml:space="preserve">(q.v.), he published a popular series of volumes entitled</w:t></w:r>
</w:p>
<w:p>
<w:pPr><w:pStyle w:val="Normal"/></w:pPr>
<w:r><w:t xml:space="preserve">Evenings at Home (6 vols., 1792-1795), excellently adapted</w:t></w:r>
</w:p>
<w:p>
<w:pPr><w:pStyle w:val="Normal"/></w:pPr>
<w:r><w:t xml:space="preserve">for elementary family reading, which were translated into</w:t></w:r>
</w:p>
<w:p>
<w:pPr><w:pStyle w:val="Normal"/></w:pPr>
<w:r><w:t xml:space="preserve">almost every European language.  In 1798 Dr Aikin retired</w:t></w:r>
</w:p>
<w:p>
<w:pPr><w:pStyle w:val="Normal"/></w:pPr>
<w:r><w:t xml:space="preserve">from professional life and devoted himself with great industry</w:t></w:r>
</w:p>
<w:p>
<w:pPr><w:pStyle w:val="Normal"/></w:pPr>
<w:r><w:t xml:space="preserve">to various literary undertakings, among which his General</w:t></w:r>
</w:p>
<w:p>
<w:pPr><w:pStyle w:val="Normal"/></w:pPr>
<w:r><w:t xml:space="preserve">Biography (10 vols., 1799-1815) holds a conspicuous place.</w:t></w:r>
</w:p>
<w:p>
<w:pPr><w:pStyle w:val="Normal"/></w:pPr>
<w:r><w:t xml:space="preserve">Besides these, he published Biog.  Memoirs of Medicine</w:t></w:r>
</w:p>
<w:p>
<w:pPr><w:pStyle w:val="Normal"/></w:pPr>
<w:r><w:t xml:space="preserve">(1780); Lives of John Selden and Archbishop Usher (1812)</w:t></w:r>
</w:p>
<w:p>
<w:pPr><w:pStyle w:val="Normal"/></w:pPr>
<w:r><w:t xml:space="preserve">and other works.  He edited the Monthly Magazine from 1796</w:t></w:r>
</w:p>
<w:p>
<w:pPr><w:pStyle w:val="Normal"/></w:pPr>
<w:r><w:t xml:space="preserve">to 1807, and conducted a paper called the Athenaeum from</w:t></w:r>
</w:p>
<w:p>
<w:pPr><w:pStyle w:val="Normal"/></w:pPr>
<w:r><w:t xml:space="preserve">1807 to 1809, when it was discontinued.  Aikin died in 1822.</w:t></w:r>
</w:p>
<w:p>
<w:pPr><w:pStyle w:val="Normal"/></w:pPr>
<w:r><w:t xml:space="preserve">His daughter, LUCY AIKIN (1781-1864), born at Warrington</w:t></w:r>
</w:p>
<w:p>
<w:pPr><w:pStyle w:val="Normal"/></w:pPr>
<w:r><w:t xml:space="preserve">on the 6th of November 1781, had some repute as a historical</w:t></w:r>
</w:p>
<w:p>
<w:pPr><w:pStyle w:val="Normal"/></w:pPr>
<w:r><w:t xml:space="preserve">writer.  After producing various books for the young, and a</w:t></w:r>
</w:p>
<w:p>
<w:pPr><w:pStyle w:val="Normal"/></w:pPr>
<w:r><w:t xml:space="preserve">novel, Lorimer (1814), she published in 1818 her Memoirs of</w:t></w:r>
</w:p>
<w:p>
<w:pPr><w:pStyle w:val="Normal"/></w:pPr>
<w:r><w:t xml:space="preserve">the Court of Queen Elizabeth, which passed through several</w:t></w:r>
</w:p>
<w:p>
<w:pPr><w:pStyle w:val="Normal"/></w:pPr>
<w:r><w:t xml:space="preserve">editions.  This was followed by Memoirs of the Court of James</w:t></w:r>
</w:p>
<w:p>
<w:pPr><w:pStyle w:val="Heading1"/></w:pPr>
<w:r><w:t>I. (1822), Memoirs of the Court of Charles I. (1833) and a</w:t></w:r>
</w:p>
<w:p>
<w:pPr><w:pStyle w:val="Normal"/></w:pPr>
<w:r><w:t xml:space="preserve">Life of Addison (1843).  Miss Aikin died at Hampstead, where</w:t></w:r>
</w:p>
<w:p>
<w:pPr><w:pStyle w:val="Normal"/></w:pPr>
<w:r><w:t xml:space="preserve">she had lived for forty years, on the 29th of January 1864.</w:t></w:r>
</w:p>
<w:p>
<w:pPr><w:pStyle w:val="Normal"/></w:pPr>
<w:r><w:t xml:space="preserve">See a Memoir of John Aikin, with selections of his miscellaneous</w:t></w:r>
</w:p>
<w:p>
<w:pPr><w:pStyle w:val="Normal"/></w:pPr>
<w:r><w:t xml:space="preserve">pieces (1823), by his daughter; and the Memoirs, Miscellanies</w:t></w:r>
</w:p>
<w:p>
<w:pPr><w:pStyle w:val="Normal"/></w:pPr>
<w:r><w:t xml:space="preserve">and Letters of William Ellery Channing, edited by P. H. Le Breton.</w:t></w:r>
</w:p>
<w:p>
<w:pPr><w:pStyle w:val="Normal"/></w:pPr>
<w:r><w:t xml:space="preserve">AIKMAN, WILLIAM (1682-1731), British portrait-painter, was</w:t></w:r>
</w:p>
<w:p>
<w:pPr><w:pStyle w:val="Normal"/></w:pPr>
<w:r><w:t xml:space="preserve">born at Cairney, Forfarshire.  He was intended by his father</w:t></w:r>
</w:p>
<w:p>
<w:pPr><w:pStyle w:val="Normal"/></w:pPr>
<w:r><w:t xml:space="preserve">for the bar, but followed his natural bent by becoming a</w:t></w:r>
</w:p>
<w:p>
<w:pPr><w:pStyle w:val="Normal"/></w:pPr>
<w:r><w:t xml:space="preserve">pupil under Sir John Medina, the leading painter of the day in</w:t></w:r>
</w:p>
<w:p>
<w:pPr><w:pStyle w:val="Normal"/></w:pPr>
<w:r><w:t xml:space="preserve">Scotland.  In 1707 he went to Italy, resided in Rome for three</w:t></w:r>
</w:p>
<w:p>
<w:pPr><w:pStyle w:val="Normal"/></w:pPr>
<w:r><w:t xml:space="preserve">years, afterwards travelled to Constantinople and Smyrna, and</w:t></w:r>
</w:p>
<w:p>
<w:pPr><w:pStyle w:val="Normal"/></w:pPr>
<w:r><w:t xml:space="preserve">in 1712 returned home.  In Edinburgh, where he practised as</w:t></w:r>
</w:p>
<w:p>
<w:pPr><w:pStyle w:val="Normal"/></w:pPr>
<w:r><w:t xml:space="preserve">a portrait-painter for some years, he enjoyed the patronage</w:t></w:r>
</w:p>
<w:p>
<w:pPr><w:pStyle w:val="Normal"/></w:pPr>
<w:r><w:t xml:space="preserve">of the duke of Argyll; and on his removal to London in 1723</w:t></w:r>
</w:p>
<w:p>
<w:pPr><w:pStyle w:val="Normal"/></w:pPr>
<w:r><w:t xml:space="preserve">he soon obtained many important commissions.  Perhaps his</w:t></w:r>
</w:p>
<w:p>
<w:pPr><w:pStyle w:val="Normal"/></w:pPr>
<w:r><w:t xml:space="preserve">most successful work was the portrait of the poet Gay. He</w:t></w:r>
</w:p>
<w:p>
<w:pPr><w:pStyle w:val="Normal"/></w:pPr>
<w:r><w:t xml:space="preserve">also painted portraits of himself, Fletcher of Saltoun,</w:t></w:r>
</w:p>
<w:p>
<w:pPr><w:pStyle w:val="Normal"/></w:pPr>
<w:r><w:t xml:space="preserve">William Carstares and Thomson the poet.  The likenesses were</w:t></w:r>
</w:p>
<w:p>
<w:pPr><w:pStyle w:val="Normal"/></w:pPr>
<w:r><w:t xml:space="preserve">generally truthful and the style was modelled very closely</w:t></w:r>
</w:p>
<w:p>
<w:pPr><w:pStyle w:val="Normal"/></w:pPr>
<w:r><w:t xml:space="preserve">upon that of Sir Godfrey Kneller.  Aikman held a good position</w:t></w:r>
</w:p>
<w:p>
<w:pPr><w:pStyle w:val="Normal"/></w:pPr>
<w:r><w:t xml:space="preserve">in literary society and counted among his personal friends</w:t></w:r>
</w:p>
<w:p>
<w:pPr><w:pStyle w:val="Normal"/></w:pPr>
<w:r><w:t xml:space="preserve">Swift, Pope, Thomson, Allan Ramsay, Somervile and Mallet.</w:t></w:r>
</w:p>
<w:p>
<w:pPr><w:pStyle w:val="Normal"/></w:pPr>
<w:r><w:t xml:space="preserve">AILANTHUS (more correctly ailantus, from ailanto, an</w:t></w:r>
</w:p>
<w:p>
<w:pPr><w:pStyle w:val="Normal"/></w:pPr>
<w:r><w:t xml:space="preserve">Amboyna word probably meaning ``Tree of the Gods,&apos;&apos; or ``Tree</w:t></w:r>
</w:p>
<w:p>
<w:pPr><w:pStyle w:val="Normal"/></w:pPr>
<w:r><w:t xml:space="preserve">of Heaven&apos;&apos;), a genus of trees belonging to the natural order</w:t></w:r>
</w:p>
<w:p>
<w:pPr><w:pStyle w:val="Normal"/></w:pPr>
<w:r><w:t xml:space="preserve">Simarubaceae.  The best known species, A. glandulosa, Chinese</w:t></w:r>
</w:p>
<w:p>
<w:pPr><w:pStyle w:val="Normal"/></w:pPr>
<w:r><w:t xml:space="preserve">sumach or tree of heaven, is a handsome, quick-growing tree</w:t></w:r>
</w:p>
<w:p>
<w:pPr><w:pStyle w:val="Normal"/></w:pPr>
<w:r><w:t xml:space="preserve">with spreading branches and large compound leaves, resembling</w:t></w:r>
</w:p>
<w:p>
<w:pPr><w:pStyle w:val="Normal"/></w:pPr>
<w:r><w:t xml:space="preserve">those of the ash, and bearing numerous pairs of long pointed</w:t></w:r>
</w:p>
<w:p>
<w:pPr><w:pStyle w:val="Normal"/></w:pPr>
<w:r><w:t xml:space="preserve">leaflets.  The small greenish flowers are borne on branched</w:t></w:r>
</w:p>
<w:p>
<w:pPr><w:pStyle w:val="Normal"/></w:pPr>
<w:r><w:t xml:space="preserve">panicles; and the male ones are characterized by having a</w:t></w:r>
</w:p>
<w:p>
<w:pPr><w:pStyle w:val="Normal"/></w:pPr>
<w:r><w:t xml:space="preserve">disgusting odour.  The fruits are free in clusters, and each</w:t></w:r>
</w:p>
<w:p>
<w:pPr><w:pStyle w:val="Normal"/></w:pPr>
<w:r><w:t xml:space="preserve">is drawn out into a long wing with the seed in the middle.</w:t></w:r>
</w:p>
<w:p>
<w:pPr><w:pStyle w:val="Normal"/></w:pPr>
<w:r><w:t xml:space="preserve">The wood is fine grained and satiny.  The tree, which is a</w:t></w:r>
</w:p>
<w:p>
<w:pPr><w:pStyle w:val="Normal"/></w:pPr>
<w:r><w:t xml:space="preserve">native of China and Japan, was introduced into England in</w:t></w:r>
</w:p>
<w:p>
<w:pPr><w:pStyle w:val="Normal"/></w:pPr>
<w:r><w:t xml:space="preserve">1751 and is a favourite in parks and gardens.  A silk spinning</w:t></w:r>
</w:p>
<w:p>
<w:pPr><w:pStyle w:val="Normal"/></w:pPr>
<w:r><w:t xml:space="preserve">moth, the ailanthus moth (Bombyx or Philosamia cynthia),</w:t></w:r>
</w:p>
<w:p>
<w:pPr><w:pStyle w:val="Normal"/></w:pPr>
<w:r><w:t xml:space="preserve">lives on its leaves, and yields a silk more durable and</w:t></w:r>
</w:p>
<w:p>
<w:pPr><w:pStyle w:val="Normal"/></w:pPr>
<w:r><w:t xml:space="preserve">cheaper than mulberry silk, but inferior to it in fineness and</w:t></w:r>
</w:p>
<w:p>
<w:pPr><w:pStyle w:val="Normal"/></w:pPr>
<w:r><w:t xml:space="preserve">gloss.  This moth is common near many towns in the eastern United</w:t></w:r>
</w:p>
<w:p>
<w:pPr><w:pStyle w:val="Normal"/></w:pPr>
<w:r><w:t xml:space="preserve">States; it is about 5 in. across, with angulated wings, and</w:t></w:r>
</w:p>
<w:p>
<w:pPr><w:pStyle w:val="Normal"/></w:pPr>
<w:r><w:t xml:space="preserve">in colour olive brown, with white markings.  Other species of</w:t></w:r>
</w:p>
<w:p>
<w:pPr><w:pStyle w:val="Normal"/></w:pPr>
<w:r><w:t xml:space="preserve">ailanthus are: A. imberbifiora and A. punctata, important</w:t></w:r>
</w:p>
<w:p>
<w:pPr><w:pStyle w:val="Normal"/></w:pPr>
<w:r><w:t xml:space="preserve">Australian timber-trees; and A. excelsa, common in India.</w:t></w:r>
</w:p>
<w:p>
<w:pPr><w:pStyle w:val="Normal"/></w:pPr>
<w:r><w:t xml:space="preserve">AILLY, PIERRE D, (1350-1420), French theologian, was</w:t></w:r>
</w:p>
<w:p>
<w:pPr><w:pStyle w:val="Normal"/></w:pPr>
<w:r><w:t xml:space="preserve">born at Compiegne in 1350 of a bourgeois family, and</w:t></w:r>
</w:p>
<w:p>
<w:pPr><w:pStyle w:val="Normal"/></w:pPr>
<w:r><w:t xml:space="preserve">studied in Paris at the celebrated college of Navarre.</w:t></w:r>
</w:p>
<w:p>
<w:pPr><w:pStyle w:val="Normal"/></w:pPr>
<w:r><w:t xml:space="preserve">He became a licentiate of arts in 1367, procurator of</w:t></w:r>
</w:p>
<w:p>
<w:pPr><w:pStyle w:val="Normal"/></w:pPr>
<w:r><w:t xml:space="preserve">the French ``nation&apos;&apos; in 1372, bachelor of theology in</w:t></w:r>
</w:p>
<w:p>
<w:pPr><w:pStyle w:val="Normal"/></w:pPr>
<w:r><w:t xml:space="preserve">1372, and licentiate and doctor in that faculty in 1381.</w:t></w:r>
</w:p>
<w:p>
<w:pPr><w:pStyle w:val="Normal"/></w:pPr>
<w:r><w:t xml:space="preserve">Since 1378 Western Christendom, in consequence of the election</w:t></w:r>
</w:p>
<w:p>
<w:pPr><w:pStyle w:val="Normal"/></w:pPr>
<w:r><w:t xml:space="preserve">of the two popes Urban VI. and Clement VII., had been divided</w:t></w:r>
</w:p>
<w:p>
<w:pPr><w:pStyle w:val="Normal"/></w:pPr>
<w:r><w:t xml:space="preserve">into two obediences.  In the spring of 1379 Pierre d&apos;Ailly,</w:t></w:r>
</w:p>
<w:p>
<w:pPr><w:pStyle w:val="Normal"/></w:pPr>
<w:r><w:t xml:space="preserve">in anticipation even of the decision of the university of</w:t></w:r>
</w:p>
<w:p>
<w:pPr><w:pStyle w:val="Normal"/></w:pPr>
<w:r><w:t xml:space="preserve">Paris, had carried to the pope of Avignon the ``role&apos;&apos; of</w:t></w:r>
</w:p>
<w:p>
<w:pPr><w:pStyle w:val="Normal"/></w:pPr>
<w:r><w:t xml:space="preserve">the French nation, but notwithstanding this prompt adhesion</w:t></w:r>
</w:p>
<w:p>
<w:pPr><w:pStyle w:val="Normal"/></w:pPr>
<w:r><w:t xml:space="preserve">he was firm in his desire to put an end to the schism, and</w:t></w:r>
</w:p>
<w:p>
<w:pPr><w:pStyle w:val="Normal"/></w:pPr>
<w:r><w:t xml:space="preserve">when, on the 20th of May 1381, the university decreed that</w:t></w:r>
</w:p>
<w:p>
<w:pPr><w:pStyle w:val="Normal"/></w:pPr>
<w:r><w:t xml:space="preserve">the best means to this end was to try to gather together a</w:t></w:r>
</w:p>
<w:p>
<w:pPr><w:pStyle w:val="Normal"/></w:pPr>
<w:r><w:t xml:space="preserve">general council, Pierre d&apos;Ailly supported this motion before</w:t></w:r>
</w:p>
<w:p>
<w:pPr><w:pStyle w:val="Normal"/></w:pPr>
<w:r><w:t xml:space="preserve">the king&apos;s council in the presence of the duke of Anjou.</w:t></w:r>
</w:p>
<w:p>
<w:pPr><w:pStyle w:val="Normal"/></w:pPr>
<w:r><w:t xml:space="preserve">The dissatisfaction displayed shortly after by the government</w:t></w:r>
</w:p>
<w:p>
<w:pPr><w:pStyle w:val="Normal"/></w:pPr>
<w:r><w:t xml:space="preserve">obliged the university to give up this scheme, and was probably</w:t></w:r>
</w:p>
<w:p>
<w:pPr><w:pStyle w:val="Normal"/></w:pPr>
<w:r><w:t xml:space="preserve">the cause of Pierre d&apos;Ailly&apos;s temporary retirement to Noyon,</w:t></w:r>
</w:p>
<w:p>
<w:pPr><w:pStyle w:val="Normal"/></w:pPr>
<w:r><w:t xml:space="preserve">where he held a canonry.  There he continued the struggle for</w:t></w:r>
</w:p>
<w:p>
<w:pPr><w:pStyle w:val="Normal"/></w:pPr>
<w:r><w:t xml:space="preserve">his side in a humorous work, in which the partisans of the</w:t></w:r>
</w:p>
<w:p>
<w:pPr><w:pStyle w:val="Normal"/></w:pPr>
<w:r><w:t xml:space="preserve">council are amusingly taken to task by the demon Leviathan.</w:t></w:r>
</w:p>
<w:p>
<w:pPr><w:pStyle w:val="Normal"/></w:pPr>
<w:r><w:t xml:space="preserve">After his return to Paris, where from 1384 onwards he</w:t></w:r>
</w:p>
<w:p>
<w:pPr><w:pStyle w:val="Normal"/></w:pPr>
<w:r><w:t xml:space="preserve">filled the position of master of the college of Navarre, and</w:t></w:r>
</w:p>
<w:p>
<w:pPr><w:pStyle w:val="Normal"/></w:pPr>
<w:r><w:t xml:space="preserve">took part in a violent campaign against the chancellor of</w:t></w:r>
</w:p>
<w:p>
<w:pPr><w:pStyle w:val="Normal"/></w:pPr>
<w:r><w:t xml:space="preserve">Notre-Dame, he was twice entrusted with a mission to Clement</w:t></w:r>
</w:p>
<w:p>
<w:pPr><w:pStyle w:val="Heading1"/></w:pPr>
<w:r><w:t>VII. in 1388 to defend the doctrines of the university, and</w:t></w:r>
</w:p>
<w:p>
<w:pPr><w:pStyle w:val="Normal"/></w:pPr>
<w:r><w:t xml:space="preserve">especially those concerning the Immaculate Conception of the</w:t></w:r>
</w:p>
<w:p>
<w:pPr><w:pStyle w:val="Normal"/></w:pPr>
<w:r><w:t xml:space="preserve">Virgin, against the preaching friar Jean de Montson, and in</w:t></w:r>
</w:p>
<w:p>
<w:pPr><w:pStyle w:val="Normal"/></w:pPr>
<w:r><w:t xml:space="preserve">1389 to petition in the name of the king for the canonization</w:t></w:r>
</w:p>
<w:p>
<w:pPr><w:pStyle w:val="Normal"/></w:pPr>
<w:r><w:t xml:space="preserve">of the young cardinal Peter of Luxemburg.  The success which</w:t></w:r>
</w:p>
<w:p>
<w:pPr><w:pStyle w:val="Normal"/></w:pPr>
<w:r><w:t xml:space="preserve">attended his efforts on these two occasions, and the eloquence</w:t></w:r>
</w:p>
<w:p>
<w:pPr><w:pStyle w:val="Normal"/></w:pPr>
<w:r><w:t xml:space="preserve">which he displayed, perhaps contributed to his choice as the</w:t></w:r>
</w:p>
<w:p>
<w:pPr><w:pStyle w:val="Normal"/></w:pPr>
<w:r><w:t xml:space="preserve">king,s almoner and confessor.  At the same time, by means</w:t></w:r>
</w:p>
<w:p>
<w:pPr><w:pStyle w:val="Normal"/></w:pPr>
<w:r><w:t xml:space="preserve">of an exchange, he obtained to the highest dignity in the</w:t></w:r>
</w:p>
<w:p>
<w:pPr><w:pStyle w:val="Normal"/></w:pPr>
<w:r><w:t xml:space="preserve">university, becoming chancellor of Notre-Dame de Paris.</w:t></w:r>
</w:p>
<w:p>
<w:pPr><w:pStyle w:val="Normal"/></w:pPr>
<w:r><w:t xml:space="preserve">When in 1394 Benedict XIII. succeeded Clement VII. at Avignon,</w:t></w:r>
</w:p>
<w:p>
<w:pPr><w:pStyle w:val="Normal"/></w:pPr>
<w:r><w:t xml:space="preserve">Pierre d&apos;Ailly was entrusted by the king with a mission of</w:t></w:r>
</w:p>
<w:p>
<w:pPr><w:pStyle w:val="Normal"/></w:pPr>
<w:r><w:t xml:space="preserve">congratulation to the new pontiff.  His obsequious language</w:t></w:r>
</w:p>
<w:p>
<w:pPr><w:pStyle w:val="Normal"/></w:pPr>
<w:r><w:t xml:space="preserve">on this occasion, and the favours with which it was rewarded,</w:t></w:r>
</w:p>
<w:p>
<w:pPr><w:pStyle w:val="Normal"/></w:pPr>
<w:r><w:t xml:space="preserve">formed a too violent contrast to the determined attitude of</w:t></w:r>
</w:p>
<w:p>
<w:pPr><w:pStyle w:val="Normal"/></w:pPr>
<w:r><w:t xml:space="preserve">the university of Paris, which, tired of the schism, was even</w:t></w:r>
</w:p>
<w:p>
<w:pPr><w:pStyle w:val="Normal"/></w:pPr>
<w:r><w:t xml:space="preserve">then demanding the resignation of the two pontiffs.  Pierre</w:t></w:r>
</w:p>
<w:p>
<w:pPr><w:pStyle w:val="Normal"/></w:pPr>
<w:r><w:t xml:space="preserve">d&apos;Ailly himself had not long before taken part in the drawing</w:t></w:r>
</w:p>
<w:p>
<w:pPr><w:pStyle w:val="Normal"/></w:pPr>
<w:r><w:t xml:space="preserve">up of a letter to the king in which the advantages of this</w:t></w:r>
</w:p>
<w:p>
<w:pPr><w:pStyle w:val="Normal"/></w:pPr>
<w:r><w:t xml:space="preserve">double abdication were set forth, but since then his zeal</w:t></w:r>
</w:p>
<w:p>
<w:pPr><w:pStyle w:val="Normal"/></w:pPr>
<w:r><w:t xml:space="preserve">had seemed to cool a little.  None the less, on his return</w:t></w:r>
</w:p>
<w:p>
<w:pPr><w:pStyle w:val="Normal"/></w:pPr>
<w:r><w:t xml:space="preserve">from Avignon, he again in the presence of the king enlarged</w:t></w:r>
</w:p>
<w:p>
<w:pPr><w:pStyle w:val="Normal"/></w:pPr>
<w:r><w:t xml:space="preserve">upon the advantages offered by the way which the university</w:t></w:r>
</w:p>
<w:p>
<w:pPr><w:pStyle w:val="Normal"/></w:pPr>
<w:r><w:t xml:space="preserve">commended.  But the suspicions aroused by his conduct found</w:t></w:r>
</w:p>
<w:p>
<w:pPr><w:pStyle w:val="Normal"/></w:pPr>
<w:r><w:t xml:space="preserve">further confirmation when he caused himself--or allowed</w:t></w:r>
</w:p>
<w:p>
<w:pPr><w:pStyle w:val="Normal"/></w:pPr>
<w:r><w:t xml:space="preserve">himself--to be nominated bishop of Le Puy by Benedict XIII.</w:t></w:r>
</w:p>
<w:p>
<w:pPr><w:pStyle w:val="Normal"/></w:pPr>
<w:r><w:t xml:space="preserve">(April 2, 1395 ). The great number of benefices which he</w:t></w:r>
</w:p>
<w:p>
<w:pPr><w:pStyle w:val="Normal"/></w:pPr>
<w:r><w:t xml:space="preserve">held left room for some doubt as to his disinterestedness.</w:t></w:r>
</w:p>
<w:p>
<w:pPr><w:pStyle w:val="Normal"/></w:pPr>
<w:r><w:t xml:space="preserve">Henceforward he was under suspicion at the university, and was</w:t></w:r>
</w:p>
<w:p>
<w:pPr><w:pStyle w:val="Normal"/></w:pPr>
<w:r><w:t xml:space="preserve">excluded from the assemblies where the union was discussed.</w:t></w:r>
</w:p>
<w:p>
<w:pPr><w:pStyle w:val="Normal"/></w:pPr>
<w:r><w:t xml:space="preserve">Some time afterwards Pierre d&apos;Ailly became bishop of Cambrai</w:t></w:r>
</w:p>
<w:p>
<w:pPr><w:pStyle w:val="Normal"/></w:pPr>
<w:r><w:t xml:space="preserve">(March 19, 1397) by the favour of the pope, who had yielded no</w:t></w:r>
</w:p>
<w:p>
<w:pPr><w:pStyle w:val="Normal"/></w:pPr>
<w:r><w:t xml:space="preserve">whit, and, by virtue of this position, became also a prince</w:t></w:r>
</w:p>
<w:p>
<w:pPr><w:pStyle w:val="Normal"/></w:pPr>
<w:r><w:t xml:space="preserve">of the empire.  In order to take possession of his new see,</w:t></w:r>
</w:p>
<w:p>
<w:pPr><w:pStyle w:val="Normal"/></w:pPr>
<w:r><w:t xml:space="preserve">he had to brave the wrath of the duke of Burgundy, override</w:t></w:r>
</w:p>
<w:p>
<w:pPr><w:pStyle w:val="Normal"/></w:pPr>
<w:r><w:t xml:space="preserve">the resistance of the clergy and bourgeoisie, and even</w:t></w:r>
</w:p>
<w:p>
<w:pPr><w:pStyle w:val="Normal"/></w:pPr>
<w:r><w:t xml:space="preserve">withstand an armed attack on the part of several lords; but his</w:t></w:r>
</w:p>
<w:p>
<w:pPr><w:pStyle w:val="Normal"/></w:pPr>
<w:r><w:t xml:space="preserve">protector, the duke of Orleans, had his investiture performed by</w:t></w:r>
</w:p>
<w:p>
<w:pPr><w:pStyle w:val="Normal"/></w:pPr>
<w:r><w:t xml:space="preserve">Wenceslaus, king of the Romans.  The latter, though a partisan</w:t></w:r>
</w:p>
<w:p>
<w:pPr><w:pStyle w:val="Normal"/></w:pPr>
<w:r><w:t xml:space="preserve">of the pope of Rome, took the opportunity of enjoining on</w:t></w:r>
</w:p>
<w:p>
<w:pPr><w:pStyle w:val="Normal"/></w:pPr>
<w:r><w:t xml:space="preserve">Pierre d&apos;Ailly to go in his name and argue with the pope of</w:t></w:r>
</w:p>
<w:p>
<w:pPr><w:pStyle w:val="Normal"/></w:pPr>
<w:r><w:t xml:space="preserve">Avignon, a move which had as its object to persuade Benedict</w:t></w:r>
</w:p>
<w:p>
<w:pPr><w:pStyle w:val="Heading1"/></w:pPr>
<w:r><w:t>XIII. to an abdication, the necessity of which was becoming</w:t></w:r>
</w:p>
<w:p>
<w:pPr><w:pStyle w:val="Normal"/></w:pPr>
<w:r><w:t xml:space="preserve">more and more evident.  However, the language of the bishop</w:t></w:r>
</w:p>
<w:p>
<w:pPr><w:pStyle w:val="Normal"/></w:pPr>
<w:r><w:t xml:space="preserve">of Cambrai seems on this occasion to have been lacking in</w:t></w:r>
</w:p>
<w:p>
<w:pPr><w:pStyle w:val="Normal"/></w:pPr>
<w:r><w:t xml:space="preserve">decision; however that may be, it led to no felicitous result.</w:t></w:r>
</w:p>
<w:p>
<w:pPr><w:pStyle w:val="Normal"/></w:pPr>
<w:r><w:t xml:space="preserve">France next tried to bring violent pressure to bear to</w:t></w:r>
</w:p>
<w:p>
<w:pPr><w:pStyle w:val="Normal"/></w:pPr>
<w:r><w:t xml:space="preserve">conquer the obstinacy of Benedict XIII. by threatening a</w:t></w:r>
</w:p>
<w:p>
<w:pPr><w:pStyle w:val="Normal"/></w:pPr>
<w:r><w:t xml:space="preserve">formal withdrawal from his obedience.  Pierre d&apos;Ailly, who,</w:t></w:r>
</w:p>
<w:p>
<w:pPr><w:pStyle w:val="Normal"/></w:pPr>
<w:r><w:t xml:space="preserve">in spite of his attachment to the pope, had been carried away</w:t></w:r>
</w:p>
<w:p>
<w:pPr><w:pStyle w:val="Normal"/></w:pPr>
<w:r><w:t xml:space="preserve">by the example of the kingdom, was among the first who, in</w:t></w:r>
</w:p>
<w:p>
<w:pPr><w:pStyle w:val="Normal"/></w:pPr>
<w:r><w:t xml:space="preserve">1403, after experience of what had happened, counselled and</w:t></w:r>
</w:p>
<w:p>
<w:pPr><w:pStyle w:val="Normal"/></w:pPr>
<w:r><w:t xml:space="preserve">celebrated the restoration of obedience.  He was sent by</w:t></w:r>
</w:p>
<w:p>
<w:pPr><w:pStyle w:val="Normal"/></w:pPr>
<w:r><w:t xml:space="preserve">Charles VI. on an embassy to Benedict XIII. and seized this</w:t></w:r>
</w:p>
<w:p>
<w:pPr><w:pStyle w:val="Normal"/></w:pPr>
<w:r><w:t xml:space="preserve">opportunity of lavishing on the pontiff friendly congratulations</w:t></w:r>
</w:p>
<w:p>
<w:pPr><w:pStyle w:val="Normal"/></w:pPr>
<w:r><w:t xml:space="preserve">mingled with useful advice.  Two years later, before the same</w:t></w:r>
</w:p>
<w:p>
<w:pPr><w:pStyle w:val="Normal"/></w:pPr>
<w:r><w:t xml:space="preserve">pontiff, he preached in the city of Genoa a sermon which</w:t></w:r>
</w:p>
<w:p>
<w:pPr><w:pStyle w:val="Normal"/></w:pPr>
<w:r><w:t xml:space="preserve">led to the general institution, in the countries of the</w:t></w:r>
</w:p>
<w:p>
<w:pPr><w:pStyle w:val="Normal"/></w:pPr>
<w:r><w:t xml:space="preserve">obedience of Avignon, of the festival of the Holy Trinity.</w:t></w:r>
</w:p>
<w:p>
<w:pPr><w:pStyle w:val="Normal"/></w:pPr>
<w:r><w:t xml:space="preserve">At the ecclesiastical council which took place at Paris</w:t></w:r>
</w:p>
<w:p>
<w:pPr><w:pStyle w:val="Normal"/></w:pPr>
<w:r><w:t xml:space="preserve">in 1406 Pierre d&apos;Ailly made every effort to avert a new</w:t></w:r>
</w:p>
<w:p>
<w:pPr><w:pStyle w:val="Normal"/></w:pPr>
<w:r><w:t xml:space="preserve">withdrawal from the obedience and, by order of the king,</w:t></w:r>
</w:p>
<w:p>
<w:pPr><w:pStyle w:val="Normal"/></w:pPr>
<w:r><w:t xml:space="preserve">took the part of defender of Benedict XIII., a course</w:t></w:r>
</w:p>
<w:p>
<w:pPr><w:pStyle w:val="Normal"/></w:pPr>
<w:r><w:t xml:space="preserve">which yet again exposed him to attacks from the university</w:t></w:r>
</w:p>
<w:p>
<w:pPr><w:pStyle w:val="Normal"/></w:pPr>
<w:r><w:t xml:space="preserve">party.  The following year he and his disciple Gerson formed</w:t></w:r>
</w:p>
<w:p>
<w:pPr><w:pStyle w:val="Heading1"/></w:pPr>
<w:r><w:t>part of the great embassy sent by the princes to the two</w:t></w:r>
</w:p>
<w:p>
<w:pPr><w:pStyle w:val="Normal"/></w:pPr>
<w:r><w:t xml:space="preserve">pontiffs, and while in Italy he was occupied in praiseworthy</w:t></w:r>
</w:p>
<w:p>
<w:pPr><w:pStyle w:val="Normal"/></w:pPr>
<w:r><w:t xml:space="preserve">but vain efforts to induce the pope of Rome to remove himself</w:t></w:r>
</w:p>
<w:p>
<w:pPr><w:pStyle w:val="Normal"/></w:pPr>
<w:r><w:t xml:space="preserve">to a town on the Italian coast, in the neighbourhood of his</w:t></w:r>
</w:p>
<w:p>
<w:pPr><w:pStyle w:val="Normal"/></w:pPr>
<w:r><w:t xml:space="preserve">rival, where it was hoped that the double abdication would</w:t></w:r>
</w:p>
<w:p>
<w:pPr><w:pStyle w:val="Normal"/></w:pPr>
<w:r><w:t xml:space="preserve">take place.  Discouraged by his failure to effect this,</w:t></w:r>
</w:p>
<w:p>
<w:pPr><w:pStyle w:val="Normal"/></w:pPr>
<w:r><w:t xml:space="preserve">he returned to his diocese of Cambrai at the beginning of</w:t></w:r>
</w:p>
<w:p>
<w:pPr><w:pStyle w:val="Normal"/></w:pPr>
<w:r><w:t xml:space="preserve">1408.  At this time he was still faithful to Benedict</w:t></w:r>
</w:p>
<w:p>
<w:pPr><w:pStyle w:val="Normal"/></w:pPr>
<w:r><w:t xml:space="preserve">XIII., and the disinclination he felt to joining the members</w:t></w:r>
</w:p>
<w:p>
<w:pPr><w:pStyle w:val="Normal"/></w:pPr>
<w:r><w:t xml:space="preserve">of the French clergy who were on the point of ratifying</w:t></w:r>
</w:p>
<w:p>
<w:pPr><w:pStyle w:val="Normal"/></w:pPr>
<w:r><w:t xml:space="preserve">the royal declaration of neutrality excited the anger of</w:t></w:r>
</w:p>
<w:p>
<w:pPr><w:pStyle w:val="Normal"/></w:pPr>
<w:r><w:t xml:space="preserve">Charles VI.&apos;s government, and a mandate, which was however</w:t></w:r>
</w:p>
<w:p>
<w:pPr><w:pStyle w:val="Normal"/></w:pPr>
<w:r><w:t xml:space="preserve">not executed, ordered the arrest of the bishop of Cambrai.</w:t></w:r>
</w:p>
<w:p>
<w:pPr><w:pStyle w:val="Normal"/></w:pPr>
<w:r><w:t xml:space="preserve">It was not till after the cardinals of the two colleges had</w:t></w:r>
</w:p>
<w:p>
<w:pPr><w:pStyle w:val="Normal"/></w:pPr>
<w:r><w:t xml:space="preserve">led to the convocation of the general council of Uisa that</w:t></w:r>
</w:p>
<w:p>
<w:pPr><w:pStyle w:val="Normal"/></w:pPr>
<w:r><w:t xml:space="preserve">Tierre d&apos;Aiily renounced the support of Benedict XIII., and,</w:t></w:r>
</w:p>
<w:p>
<w:pPr><w:pStyle w:val="Normal"/></w:pPr>
<w:r><w:t xml:space="preserve">for want of a better policy, again allied himself with the</w:t></w:r>
</w:p>
<w:p>
<w:pPr><w:pStyle w:val="Normal"/></w:pPr>
<w:r><w:t xml:space="preserve">cause which he had championed in his youth.  In the council lay</w:t></w:r>
</w:p>
<w:p>
<w:pPr><w:pStyle w:val="Normal"/></w:pPr>
<w:r><w:t xml:space="preserve">now, to judge from his words, the only chance of salvation;</w:t></w:r>
</w:p>
<w:p>
<w:pPr><w:pStyle w:val="Normal"/></w:pPr>
<w:r><w:t xml:space="preserve">and, in view of the requirements of the case, he began to argue</w:t></w:r>
</w:p>
<w:p>
<w:pPr><w:pStyle w:val="Normal"/></w:pPr>
<w:r><w:t xml:space="preserve">that, in case of schism, a council could be convoked by any one</w:t></w:r>
</w:p>
<w:p>
<w:pPr><w:pStyle w:val="Normal"/></w:pPr>
<w:r><w:t xml:space="preserve">of the faithful, and would have the right to judge and even to</w:t></w:r>
</w:p>
<w:p>
<w:pPr><w:pStyle w:val="Normal"/></w:pPr>
<w:r><w:t xml:space="preserve">depose the rival pontiffs.  This was, in fact, the procedure of</w:t></w:r>
</w:p>
<w:p>
<w:pPr><w:pStyle w:val="Normal"/></w:pPr>
<w:r><w:t xml:space="preserve">the council of Pisa, in which Pierre d&apos;Ailly took part.  After</w:t></w:r>
</w:p>
<w:p>
<w:pPr><w:pStyle w:val="Normal"/></w:pPr>
<w:r><w:t xml:space="preserve">the declaration of the deposition of Gregory XII. and Benedict</w:t></w:r>
</w:p>
<w:p>
<w:pPr><w:pStyle w:val="Heading1"/></w:pPr>
<w:r><w:t>XIII. it went on to the election of Alexander V. (June 26th,</w:t></w:r>
</w:p>
<w:p>
<w:pPr><w:pStyle w:val="Normal"/></w:pPr>
<w:r><w:t xml:space="preserve">1409), This pope reigned only ten months; his successor, John</w:t></w:r>
</w:p>
<w:p>
<w:pPr><w:pStyle w:val="Normal"/></w:pPr>
<w:r><w:t xml:space="preserve">XXIII., raised Pierre d&apos;Ailly to the rank of cardinal (June</w:t></w:r>
</w:p>
<w:p>
<w:pPr><w:pStyle w:val="Normal"/></w:pPr>
<w:r><w:t xml:space="preserve">6, 1411), and furtuer, to indemnify him for the loss of the</w:t></w:r>
</w:p>
<w:p>
<w:pPr><w:pStyle w:val="Normal"/></w:pPr>
<w:r><w:t xml:space="preserve">bishopric of Cambrai, conferred upon him the administration</w:t></w:r>
</w:p>
<w:p>
<w:pPr><w:pStyle w:val="Normal"/></w:pPr>
<w:r><w:t xml:space="preserve">of that of Limoges (November 3, 1412), which was shortly after</w:t></w:r>
</w:p>
<w:p>
<w:pPr><w:pStyle w:val="Normal"/></w:pPr>
<w:r><w:t xml:space="preserve">exchanged for the bishopric of Orange.  He also nominated</w:t></w:r>
</w:p>
<w:p>
<w:pPr><w:pStyle w:val="Normal"/></w:pPr>
<w:r><w:t xml:space="preserve">Pierre d&apos;Ailly as his legate in Germany (March 18, 1413).</w:t></w:r>
</w:p>
<w:p>
<w:pPr><w:pStyle w:val="Normal"/></w:pPr>
<w:r><w:t xml:space="preserve">Forgetting these benefits, the cardinal of Cambrai was one of</w:t></w:r>
</w:p>
<w:p>
<w:pPr><w:pStyle w:val="Normal"/></w:pPr>
<w:r><w:t xml:space="preserve">the most formidable adversaries of John XXIII. at the council of</w:t></w:r>
</w:p>
<w:p>
<w:pPr><w:pStyle w:val="Normal"/></w:pPr>
<w:r><w:t xml:space="preserve">Constance.  Convinced as he was of the necessity for union and</w:t></w:r>
</w:p>
<w:p>
<w:pPr><w:pStyle w:val="Normal"/></w:pPr>
<w:r><w:t xml:space="preserve">reform, he contributed more than any one to the adoption of</w:t></w:r>
</w:p>
<w:p>
<w:pPr><w:pStyle w:val="Normal"/></w:pPr>
<w:r><w:t xml:space="preserve">the principle that, since the schism had survived the council</w:t></w:r>
</w:p>
<w:p>
<w:pPr><w:pStyle w:val="Normal"/></w:pPr>
<w:r><w:t xml:space="preserve">of Pisa, it was necessary again to take up the work for a</w:t></w:r>
</w:p>
<w:p>
<w:pPr><w:pStyle w:val="Normal"/></w:pPr>
<w:r><w:t xml:space="preserve">fundamental union, without considering the rights of John</w:t></w:r>
</w:p>
<w:p>
<w:pPr><w:pStyle w:val="Heading1"/></w:pPr>
<w:r><w:t>XXIII. any more than they had those of Gregory XII. and Benedict</w:t></w:r>
</w:p>
<w:p>
<w:pPr><w:pStyle w:val="Heading1"/></w:pPr>
<w:r><w:t>XIII.  From this point of view Pierre d&apos;Ailly, together with</w:t></w:r>
</w:p>
<w:p>
<w:pPr><w:pStyle w:val="Normal"/></w:pPr>
<w:r><w:t xml:space="preserve">his compatriot Cardinal Fillastre, took the preponderating part</w:t></w:r>
</w:p>
<w:p>
<w:pPr><w:pStyle w:val="Normal"/></w:pPr>
<w:r><w:t xml:space="preserve">during the first few months.  Afterwards, seeing the trend of</w:t></w:r>
</w:p>
<w:p>
<w:pPr><w:pStyle w:val="Normal"/></w:pPr>
<w:r><w:t xml:space="preserve">events, he showed some uneasiness and hesitation.  He refused,</w:t></w:r>
</w:p>
<w:p>
<w:pPr><w:pStyle w:val="Normal"/></w:pPr>
<w:r><w:t xml:space="preserve">however, to undertake the defence of John XXIII., and only</w:t></w:r>
</w:p>
<w:p>
<w:pPr><w:pStyle w:val="Normal"/></w:pPr>
<w:r><w:t xml:space="preserve">appeared in the trial of this pope to make depositions against</w:t></w:r>
</w:p>
<w:p>
<w:pPr><w:pStyle w:val="Normal"/></w:pPr>
<w:r><w:t xml:space="preserve">him, which were sometimes of an overwhelming character.</w:t></w:r>
</w:p>
<w:p>
<w:pPr><w:pStyle w:val="Normal"/></w:pPr>
<w:r><w:t xml:space="preserve">Among the important matters which claimed his attention at</w:t></w:r>
</w:p>
<w:p>
<w:pPr><w:pStyle w:val="Normal"/></w:pPr>
<w:r><w:t xml:space="preserve">Constance may be mentioned also the condemnation of the errors</w:t></w:r>
</w:p>
<w:p>
<w:pPr><w:pStyle w:val="Normal"/></w:pPr>
<w:r><w:t xml:space="preserve">of Wycliffe and the trial of John Huss.  The reading in public</w:t></w:r>
</w:p>
<w:p>
<w:pPr><w:pStyle w:val="Normal"/></w:pPr>
<w:r><w:t xml:space="preserve">of his two treatises De Potestate ecclesiastica and De</w:t></w:r>
</w:p>
<w:p>
<w:pPr><w:pStyle w:val="Normal"/></w:pPr>
<w:r><w:t xml:space="preserve">Reformalione Ecclesiae revealed, besides ideas very peculiar</w:t></w:r>
</w:p>
<w:p>
<w:pPr><w:pStyle w:val="Normal"/></w:pPr>
<w:r><w:t xml:space="preserve">to himself on the reform and constitution of the church, his</w:t></w:r>
</w:p>
<w:p>
<w:pPr><w:pStyle w:val="Normal"/></w:pPr>
<w:r><w:t xml:space="preserve">design of reducing the power of the English in the council by</w:t></w:r>
</w:p>
<w:p>
<w:pPr><w:pStyle w:val="Normal"/></w:pPr>
<w:r><w:t xml:space="preserve">denying them the right of forming a separate nation (October</w:t></w:r>
</w:p>
<w:p>
<w:pPr><w:pStyle w:val="Normal"/></w:pPr>
<w:r><w:t xml:space="preserve">1-November 1, 1416).  By this campaign, which exposed him</w:t></w:r>
</w:p>
<w:p>
<w:pPr><w:pStyle w:val="Normal"/></w:pPr>
<w:r><w:t xml:space="preserve">to the worst retaliation of the English, he inaugurated his</w:t></w:r>
</w:p>
<w:p>
<w:pPr><w:pStyle w:val="Normal"/></w:pPr>
<w:r><w:t xml:space="preserve">role of ``procurator and defender of the king of France.&apos;&apos;</w:t></w:r>
</w:p>
<w:p>
<w:pPr><w:pStyle w:val="Normal"/></w:pPr>
<w:r><w:t xml:space="preserve">When at last the question arose of giving the Christian world</w:t></w:r>
</w:p>
<w:p>
<w:pPr><w:pStyle w:val="Normal"/></w:pPr>
<w:r><w:t xml:space="preserve">a new pope, this time sole and uncontested, Pierre d&apos;Ailly</w:t></w:r>
</w:p>
<w:p>
<w:pPr><w:pStyle w:val="Normal"/></w:pPr>
<w:r><w:t xml:space="preserve">defended the right of the cardinals, if not to keep the election</w:t></w:r>
</w:p>
<w:p>
<w:pPr><w:pStyle w:val="Normal"/></w:pPr>
<w:r><w:t xml:space="preserve">entirely in their own hands, at any rate to share in the election,</w:t></w:r>
</w:p>
<w:p>
<w:pPr><w:pStyle w:val="Normal"/></w:pPr>
<w:r><w:t xml:space="preserve">and he brought forward an ingenious system for reconciling</w:t></w:r>
</w:p>
<w:p>
<w:pPr><w:pStyle w:val="Normal"/></w:pPr>
<w:r><w:t xml:space="preserve">the pretensions of the council with the rights of the Sacred</w:t></w:r>
</w:p>
<w:p>
<w:pPr><w:pStyle w:val="Normal"/></w:pPr>
<w:r><w:t xml:space="preserve">College.  In this way was elected Pope Martin V. (November 11,</w:t></w:r>
</w:p>
<w:p>
<w:pPr><w:pStyle w:val="Normal"/></w:pPr>
<w:r><w:t xml:space="preserve">1417), and the task of Pierre d&apos;Ailly was at last finished.</w:t></w:r>
</w:p>
<w:p>
<w:pPr><w:pStyle w:val="Normal"/></w:pPr>
<w:r><w:t xml:space="preserve">The predominance of the Anglo-Burgundians in France having</w:t></w:r>
</w:p>
<w:p>
<w:pPr><w:pStyle w:val="Normal"/></w:pPr>
<w:r><w:t xml:space="preserve">made it impossible for him to stay there, he went to</w:t></w:r>
</w:p>
<w:p>
<w:pPr><w:pStyle w:val="Normal"/></w:pPr>
<w:r><w:t xml:space="preserve">Avignon to end his days in melancholy calculations arising</w:t></w:r>
</w:p>
<w:p>
<w:pPr><w:pStyle w:val="Normal"/></w:pPr>
<w:r><w:t xml:space="preserve">from the calamities of which he had been the witness, and</w:t></w:r>
</w:p>
<w:p>
<w:pPr><w:pStyle w:val="Normal"/></w:pPr>
<w:r><w:t xml:space="preserve">the astrological reckonings, in which he found pleasure,</w:t></w:r>
</w:p>
<w:p>
<w:pPr><w:pStyle w:val="Normal"/></w:pPr>
<w:r><w:t xml:space="preserve">of the chances for and against the world coming to an end</w:t></w:r>
</w:p>
<w:p>
<w:pPr><w:pStyle w:val="Normal"/></w:pPr>
<w:r><w:t xml:space="preserve">in the near future.  He died on the 9th of August 1420.</w:t></w:r>
</w:p>
<w:p>
<w:pPr><w:pStyle w:val="Normal"/></w:pPr>
<w:r><w:t xml:space="preserve">Pierre d&apos;Ailly&apos;s written works are numerous.  A great part of</w:t></w:r>
</w:p>
<w:p>
<w:pPr><w:pStyle w:val="Normal"/></w:pPr>
<w:r><w:t xml:space="preserve">them was published with the works of Gerson (by Elhes du Pin,</w:t></w:r>
</w:p>
<w:p>
<w:pPr><w:pStyle w:val="Normal"/></w:pPr>
<w:r><w:t xml:space="preserve">Antwerp, 1706); another part appeared in the 15th century,</w:t></w:r>
</w:p>
<w:p>
<w:pPr><w:pStyle w:val="Normal"/></w:pPr>
<w:r><w:t xml:space="preserve">probably at Brussels, and there are many treatises and sermons</w:t></w:r>
</w:p>
<w:p>
<w:pPr><w:pStyle w:val="Normal"/></w:pPr>
<w:r><w:t xml:space="preserve">still unpublished.  In philosophy he was a nominalist.  Many</w:t></w:r>
</w:p>
<w:p>
<w:pPr><w:pStyle w:val="Normal"/></w:pPr>
<w:r><w:t xml:space="preserve">questions in science and astrology, such as the reform of the</w:t></w:r>
</w:p>
<w:p>
<w:pPr><w:pStyle w:val="Normal"/></w:pPr>
<w:r><w:t xml:space="preserve">calendar, attracted his attention.  His other works consisted</w:t></w:r>
</w:p>
<w:p>
<w:pPr><w:pStyle w:val="Normal"/></w:pPr>
<w:r><w:t xml:space="preserve">of theological essays, ascetic or exegetic, questions of</w:t></w:r>
</w:p>
<w:p>
<w:pPr><w:pStyle w:val="Normal"/></w:pPr>
<w:r><w:t xml:space="preserve">ecclesiastical discipline and reform, and of various polemical</w:t></w:r>
</w:p>
<w:p>
<w:pPr><w:pStyle w:val="Normal"/></w:pPr>
<w:r><w:t xml:space="preserve">writings called forth for the most part by the schism.</w:t></w:r>
</w:p>
<w:p>
<w:pPr><w:pStyle w:val="Normal"/></w:pPr>
<w:r><w:t xml:space="preserve">Whatever reservations may be made as to a certain</w:t></w:r>
</w:p>
<w:p>
<w:pPr><w:pStyle w:val="Normal"/></w:pPr>
<w:r><w:t xml:space="preserve">interested or ambitious side of his character, Pierre</w:t></w:r>
</w:p>
<w:p>
<w:pPr><w:pStyle w:val="Normal"/></w:pPr>
<w:r><w:t xml:space="preserve">d&apos;Ailly, whose devotion to the cause of union and reform</w:t></w:r>
</w:p>
<w:p>
<w:pPr><w:pStyle w:val="Normal"/></w:pPr>
<w:r><w:t xml:space="preserve">is incontestable, remains one of the leading spirits of</w:t></w:r>
</w:p>
<w:p>
<w:pPr><w:pStyle w:val="Normal"/></w:pPr>
<w:r><w:t xml:space="preserve">the end of the 14th and beginning of the 15th centuries.</w:t></w:r>
</w:p>
<w:p>
<w:pPr><w:pStyle w:val="Normal"/></w:pPr>
<w:r><w:t xml:space="preserve">BIBLIOGRAPHY.--P.  Tschackert, Peter van Ailli (Gotha, 1877);</w:t></w:r>
</w:p>
<w:p>
<w:pPr><w:pStyle w:val="Heading1"/></w:pPr>
<w:r><w:t>L. Salembier, Petrus de Alliaco (Lille, 1886); H. Denifle</w:t></w:r>
</w:p>
<w:p>
<w:pPr><w:pStyle w:val="Normal"/></w:pPr>
<w:r><w:t xml:space="preserve">et Em. Chatelain, Chartularium Universitatis Parisiensis, t.</w:t></w:r>
</w:p>
<w:p>
<w:pPr><w:pStyle w:val="Normal"/></w:pPr>
<w:r><w:t xml:space="preserve">iii. (Paris, 1894); N. Valois, La France et le Grand Schisme</w:t></w:r>
</w:p>
<w:p>
<w:pPr><w:pStyle w:val="Normal"/></w:pPr>
<w:r><w:t xml:space="preserve">d&apos;Occident (Paris, 4 vols., 1896-1902); and Bibliotheque de</w:t></w:r>
</w:p>
<w:p>
<w:pPr><w:pStyle w:val="Normal"/></w:pPr>
<w:r><w:t xml:space="preserve">l&apos;ecole des chartes, vol. lxv., 1904, pp. 557-574. (N. V.)</w:t></w:r>
</w:p>
<w:p>
<w:pPr><w:pStyle w:val="Normal"/></w:pPr>
<w:r><w:t xml:space="preserve">AILSA CRAIG, an island rock at the mouth of the Firth of</w:t></w:r>
</w:p>
<w:p>
<w:pPr><w:pStyle w:val="Normal"/></w:pPr>
<w:r><w:t xml:space="preserve">Clyde, 10 m.  W. of Girvan, Ayrshire, Scotland.  It is of</w:t></w:r>
</w:p>
<w:p>
<w:pPr><w:pStyle w:val="Normal"/></w:pPr>
<w:r><w:t xml:space="preserve">conoidal form, with an irregular elliptic base, and rises</w:t></w:r>
</w:p>
<w:p>
<w:pPr><w:pStyle w:val="Normal"/></w:pPr>
<w:r><w:t xml:space="preserve">abruptly to a height of 1114 ft.  The only side from which the</w:t></w:r>
</w:p>
<w:p>
<w:pPr><w:pStyle w:val="Normal"/></w:pPr>
<w:r><w:t xml:space="preserve">rock can be ascended is the east; the other sides being for</w:t></w:r>
</w:p>
<w:p>
<w:pPr><w:pStyle w:val="Normal"/></w:pPr>
<w:r><w:t xml:space="preserve">the most part perpendicular, and generally presenting lofty</w:t></w:r>
</w:p>
<w:p>
<w:pPr><w:pStyle w:val="Normal"/></w:pPr>
<w:r><w:t xml:space="preserve">columnar forms, though not so regular as those of Staffa.  This</w:t></w:r>
</w:p>
<w:p>
<w:pPr><w:pStyle w:val="Normal"/></w:pPr>
<w:r><w:t xml:space="preserve">island is composed of micro-granite with riebeckite, of great</w:t></w:r>
</w:p>
<w:p>
<w:pPr><w:pStyle w:val="Normal"/></w:pPr>
<w:r><w:t xml:space="preserve">interest on account of the rare occurrence of this type in</w:t></w:r>
</w:p>
<w:p>
<w:pPr><w:pStyle w:val="Normal"/></w:pPr>
<w:r><w:t xml:space="preserve">Britain.  It is comparatively fine-grained and of a greyish</w:t></w:r>
</w:p>
<w:p>
<w:pPr><w:pStyle w:val="Normal"/></w:pPr>
<w:r><w:t xml:space="preserve">colour.  Its essential constituents are felspar, quartz and</w:t></w:r>
</w:p>
<w:p>
<w:pPr><w:pStyle w:val="Normal"/></w:pPr>
<w:r><w:t xml:space="preserve">riebeckite--a soda amphibole.  The last of these minerals</w:t></w:r>
</w:p>
<w:p>
<w:pPr><w:pStyle w:val="Normal"/></w:pPr>
<w:r><w:t xml:space="preserve">occurs in small irregular patches between the idiomorphic</w:t></w:r>
</w:p>
<w:p>
<w:pPr><w:pStyle w:val="Normal"/></w:pPr>
<w:r><w:t xml:space="preserve">felspars which Dr J. J. H. Tean has found to be a soda</w:t></w:r>
</w:p>
<w:p>
<w:pPr><w:pStyle w:val="Normal"/></w:pPr>
<w:r><w:t xml:space="preserve">orthoclase.  The rock is allied to paisanite described by</w:t></w:r>
</w:p>
<w:p>
<w:pPr><w:pStyle w:val="Heading1"/></w:pPr>
<w:r><w:t>C. A. Osann and has been termed ailsite by Professor M. F.</w:t></w:r>
</w:p>
<w:p>
<w:pPr><w:pStyle w:val="Normal"/></w:pPr>
<w:r><w:t xml:space="preserve">Heddle.  It forms part of an intrusive mass which, on the</w:t></w:r>
</w:p>
<w:p>
<w:pPr><w:pStyle w:val="Normal"/></w:pPr>
<w:r><w:t xml:space="preserve">south and west cliffs of the island, has a columnar arrangement</w:t></w:r>
</w:p>
<w:p>
<w:pPr><w:pStyle w:val="Normal"/></w:pPr>
<w:r><w:t xml:space="preserve">and is traversed by dykes of dolerite, most of which run in</w:t></w:r>
</w:p>
<w:p>
<w:pPr><w:pStyle w:val="Normal"/></w:pPr>
<w:r><w:t xml:space="preserve">a north-west direction.  The age of this mass is uncertain,</w:t></w:r>
</w:p>
<w:p>
<w:pPr><w:pStyle w:val="Normal"/></w:pPr>
<w:r><w:t xml:space="preserve">as its relations to other rocks are not visible in the</w:t></w:r>
</w:p>
<w:p>
<w:pPr><w:pStyle w:val="Normal"/></w:pPr>
<w:r><w:t xml:space="preserve">island.  As riebeckite-granophyre has been found in Skye it</w:t></w:r>
</w:p>
<w:p>
<w:pPr><w:pStyle w:val="Normal"/></w:pPr>
<w:r><w:t xml:space="preserve">may be of Tertiary age.  The rock is a favourite material for</w:t></w:r>
</w:p>
<w:p>
<w:pPr><w:pStyle w:val="Normal"/></w:pPr>
<w:r><w:t xml:space="preserve">curling-stones, about three-fourths (according to estimate)</w:t></w:r>
</w:p>
<w:p>
<w:pPr><w:pStyle w:val="Normal"/></w:pPr>
<w:r><w:t xml:space="preserve">of those in use in the countries where the game obtains being</w:t></w:r>
</w:p>
<w:p>
<w:pPr><w:pStyle w:val="Normal"/></w:pPr>
<w:r><w:t xml:space="preserve">made of it.  On this account curling-stones are popularly</w:t></w:r>
</w:p>
<w:p>
<w:pPr><w:pStyle w:val="Normal"/></w:pPr>
<w:r><w:t xml:space="preserve">known as ``Ailsas&apos;&apos; or ``Ailsa Craigs.&apos;&apos; A columnar cave</w:t></w:r>
</w:p>
<w:p>
<w:pPr><w:pStyle w:val="Normal"/></w:pPr>
<w:r><w:t xml:space="preserve">exists towards the northern side of the island, and on the</w:t></w:r>
</w:p>
<w:p>
<w:pPr><w:pStyle w:val="Normal"/></w:pPr>
<w:r><w:t xml:space="preserve">eastern are the remains of a tower, with several vaulted</w:t></w:r>
</w:p>
<w:p>
<w:pPr><w:pStyle w:val="Normal"/></w:pPr>
<w:r><w:t xml:space="preserve">rooms.  Two springs occur and some scanty grass affords</w:t></w:r>
</w:p>
<w:p>
<w:pPr><w:pStyle w:val="Normal"/></w:pPr>
<w:r><w:t xml:space="preserve">subsistence to rabbits, and, on the higher levels, to</w:t></w:r>
</w:p>
<w:p>
<w:pPr><w:pStyle w:val="Normal"/></w:pPr>
<w:r><w:t xml:space="preserve">goats.  The precipitous parts are frequented by large</w:t></w:r>
</w:p>
<w:p>
<w:pPr><w:pStyle w:val="Normal"/></w:pPr>
<w:r><w:t xml:space="preserve">flocks of solan geese and other sea birds.  The lighthouse</w:t></w:r>
</w:p>
<w:p>
<w:pPr><w:pStyle w:val="Normal"/></w:pPr>
<w:r><w:t xml:space="preserve">on the southern side shows a flashing light visible for 13</w:t></w:r>
</w:p>
<w:p>
<w:pPr><w:pStyle w:val="Normal"/></w:pPr>
<w:r><w:t xml:space="preserve">m.  In 1831 the twelfth earl of Cassillis became first marquis</w:t></w:r>
</w:p>
<w:p>
<w:pPr><w:pStyle w:val="Normal"/></w:pPr>
<w:r><w:t xml:space="preserve">of Ailsa, taking the title from the Craig, which was his</w:t></w:r>
</w:p>
<w:p>
<w:pPr><w:pStyle w:val="Normal"/></w:pPr>
<w:r><w:t xml:space="preserve">property.  When John Keats was in Girvan during his Scottish</w:t></w:r>
</w:p>
<w:p>
<w:pPr><w:pStyle w:val="Normal"/></w:pPr>
<w:r><w:t xml:space="preserve">tour in 1818 he apostrophized the rock in a fine sonnet.</w:t></w:r>
</w:p>
<w:p>
<w:pPr><w:pStyle w:val="Normal"/></w:pPr>
<w:r><w:t xml:space="preserve">AIMAK, or EIMAK (Mongolian for ``clan,&apos;&apos; or section of a</w:t></w:r>
</w:p>
<w:p>
<w:pPr><w:pStyle w:val="Normal"/></w:pPr>
<w:r><w:t xml:space="preserve">tribe), the name given to certain nomadic or semi-nomadic</w:t></w:r>
</w:p>
<w:p>
<w:pPr><w:pStyle w:val="Normal"/></w:pPr>
<w:r><w:t xml:space="preserve">tribes of Mongolian stock inhabiting the north and north-west</w:t></w:r>
</w:p>
<w:p>
<w:pPr><w:pStyle w:val="Normal"/></w:pPr>
<w:r><w:t xml:space="preserve">Afghan highlands immediately to the north of Herat.  They</w:t></w:r>
</w:p>
<w:p>
<w:pPr><w:pStyle w:val="Normal"/></w:pPr>
<w:r><w:t xml:space="preserve">were originally known as ``chahar (the four) Eimaks,&apos;&apos;</w:t></w:r>
</w:p>
<w:p>
<w:pPr><w:pStyle w:val="Normal"/></w:pPr>
<w:r><w:t xml:space="preserve">because there were four principal tribes: the Taimani</w:t></w:r>
</w:p>
<w:p>
<w:pPr><w:pStyle w:val="Normal"/></w:pPr>
<w:r><w:t xml:space="preserve">(the predominating element in the population of Ghur), the</w:t></w:r>
</w:p>
<w:p>
<w:pPr><w:pStyle w:val="Normal"/></w:pPr>
<w:r><w:t xml:space="preserve">Ferozkhoi, the Jamshidi and, according to some authorities, the</w:t></w:r>
</w:p>
<w:p>
<w:pPr><w:pStyle w:val="Normal"/></w:pPr>
<w:r><w:t xml:space="preserve">Hazara.  The Aimak peoples number upwards of a quarter of a</w:t></w:r>
</w:p>
<w:p>
<w:pPr><w:pStyle w:val="Normal"/></w:pPr>
<w:r><w:t xml:space="preserve">million, and speak a dialect said to be closely related to</w:t></w:r>
</w:p>
<w:p>
<w:pPr><w:pStyle w:val="Normal"/></w:pPr>
<w:r><w:t xml:space="preserve">the Kalmuck.  They are Sunnite Mahommedans in distinction</w:t></w:r>
</w:p>
<w:p>
<w:pPr><w:pStyle w:val="Normal"/></w:pPr>
<w:r><w:t xml:space="preserve">from the Hazara who are Shiites.  They are predominantly</w:t></w:r>
</w:p>
<w:p>
<w:pPr><w:pStyle w:val="Normal"/></w:pPr>
<w:r><w:t xml:space="preserve">of Iranian or quasi-Iranian blood, while the Hazara are</w:t></w:r>
</w:p>
<w:p>
<w:pPr><w:pStyle w:val="Normal"/></w:pPr>
<w:r><w:t xml:space="preserve">Turanian.  They are a bold, wild people and renowned fighters.</w:t></w:r>
</w:p>
<w:p>
<w:pPr><w:pStyle w:val="Normal"/></w:pPr>
<w:r><w:t xml:space="preserve">AIMARD, GUSTAVE, the pen-name of OLIVIER GLOUX (1818-1883),</w:t></w:r>
</w:p>
<w:p>
<w:pPr><w:pStyle w:val="Normal"/></w:pPr>
<w:r><w:t xml:space="preserve">French novelist, who was born in Paris on the 13th of September</w:t></w:r>
</w:p>
<w:p>
<w:pPr><w:pStyle w:val="Normal"/></w:pPr>
<w:r><w:t xml:space="preserve">1818.  He made use of the materials collected in a roving</w:t></w:r>
</w:p>
<w:p>
<w:pPr><w:pStyle w:val="Normal"/></w:pPr>
<w:r><w:t xml:space="preserve">and adventurous youth and early manhood in numerous romances</w:t></w:r>
</w:p>
<w:p>
<w:pPr><w:pStyle w:val="Normal"/></w:pPr>
<w:r><w:t xml:space="preserve">in the style of J. Fenimore Cooper.  Among the best of</w:t></w:r>
</w:p>
<w:p>
<w:pPr><w:pStyle w:val="Normal"/></w:pPr>
<w:r><w:t xml:space="preserve">them are: Les Trappeurs de l&apos;Arkansas (1858); La Grande</w:t></w:r>
</w:p>
<w:p>
<w:pPr><w:pStyle w:val="Normal"/></w:pPr>
<w:r><w:t xml:space="preserve">flibuste (1860); Nuits mexicaines (1863); La Foret</w:t></w:r>
</w:p>
<w:p>
<w:pPr><w:pStyle w:val="Normal"/></w:pPr>
<w:r><w:t xml:space="preserve">vierge (1870).  He died in Paris on the 20th of June</w:t></w:r>
</w:p>
<w:p>
<w:pPr><w:pStyle w:val="Normal"/></w:pPr>
<w:r><w:t xml:space="preserve">1883.  Many of his novels have been translated into English.</w:t></w:r>
</w:p>
<w:p>
<w:pPr><w:pStyle w:val="Normal"/></w:pPr>
<w:r><w:t xml:space="preserve">AIMOIN (c. 960-c. 1010), French chronicler, was born</w:t></w:r>
</w:p>
<w:p>
<w:pPr><w:pStyle w:val="Normal"/></w:pPr>
<w:r><w:t xml:space="preserve">at Villefranche de Longchapt about 960, and in early life</w:t></w:r>
</w:p>
<w:p>
<w:pPr><w:pStyle w:val="Normal"/></w:pPr>
<w:r><w:t xml:space="preserve">entered the monastery of Fleury, where he became a monk and</w:t></w:r>
</w:p>
<w:p>
<w:pPr><w:pStyle w:val="Normal"/></w:pPr>
<w:r><w:t xml:space="preserve">passed the greater part of his life.  His chief work is a</w:t></w:r>
</w:p>
<w:p>
<w:pPr><w:pStyle w:val="Normal"/></w:pPr>
<w:r><w:t xml:space="preserve">Historia Francorum, or Libri v. de Gestis Francorum,</w:t></w:r>
</w:p>
<w:p>
<w:pPr><w:pStyle w:val="Normal"/></w:pPr>
<w:r><w:t xml:space="preserve">which deals with the history of the Franks from the earliest</w:t></w:r>
</w:p>
<w:p>
<w:pPr><w:pStyle w:val="Normal"/></w:pPr>
<w:r><w:t xml:space="preserve">times to 653, and was continued by other writers until the</w:t></w:r>
</w:p>
<w:p>
<w:pPr><w:pStyle w:val="Normal"/></w:pPr>
<w:r><w:t xml:space="preserve">middle of the 12th century.  It was much in vogue during</w:t></w:r>
</w:p>
<w:p>
<w:pPr><w:pStyle w:val="Normal"/></w:pPr>
<w:r><w:t xml:space="preserve">the middle ages, but its historical value is now regarded as</w:t></w:r>
</w:p>
<w:p>
<w:pPr><w:pStyle w:val="Normal"/></w:pPr>
<w:r><w:t xml:space="preserve">slight.  It has been edited by G. Waitz and published in</w:t></w:r>
</w:p>
<w:p>
<w:pPr><w:pStyle w:val="Normal"/></w:pPr>
<w:r><w:t xml:space="preserve">the Monumenta Germaniae Historica: Scriptores, Band xxvi.</w:t></w:r>
</w:p>
<w:p>
<w:pPr><w:pStyle w:val="Normal"/></w:pPr>
<w:r><w:t xml:space="preserve">(Hanover and Berlin, 1826-1892).  He also wrote a Vita</w:t></w:r>
</w:p>
<w:p>
<w:pPr><w:pStyle w:val="Normal"/></w:pPr>
<w:r><w:t xml:space="preserve">Abbonis, abbatis Floriacensis, the last of a series of lives</w:t></w:r>
</w:p>
<w:p>
<w:pPr><w:pStyle w:val="Normal"/></w:pPr>
<w:r><w:t xml:space="preserve">of the abbots of Fleury, all of which, except the life of</w:t></w:r>
</w:p>
<w:p>
<w:pPr><w:pStyle w:val="Normal"/></w:pPr>
<w:r><w:t xml:space="preserve">Abbo, have been lost.  This has been published by J. Mabillon</w:t></w:r>
</w:p>
<w:p>
<w:pPr><w:pStyle w:val="Normal"/></w:pPr>
<w:r><w:t xml:space="preserve">in the Acta sanctorum ordinis sancti Benedicti (Paris,</w:t></w:r>
</w:p>
<w:p>
<w:pPr><w:pStyle w:val="Normal"/></w:pPr>
<w:r><w:t xml:space="preserve">1668-1701).  Aimoin&apos;s third work was the composition of books</w:t></w:r>
</w:p>
<w:p>
<w:pPr><w:pStyle w:val="Normal"/></w:pPr>
<w:r><w:t xml:space="preserve">ii. and iii. of the Miracula sancti Benedicti, the first</w:t></w:r>
</w:p>
<w:p>
<w:pPr><w:pStyle w:val="Normal"/></w:pPr>
<w:r><w:t xml:space="preserve">book of which was written by another monk of Fleury named</w:t></w:r>
</w:p>
<w:p>
<w:pPr><w:pStyle w:val="Normal"/></w:pPr>
<w:r><w:t xml:space="preserve">Adrevald.  This also appears in the Acta sanctorum ordinis sancti</w:t></w:r>
</w:p>
<w:p>
<w:pPr><w:pStyle w:val="Normal"/></w:pPr>
<w:r><w:t xml:space="preserve">Benedicti.  Aimoin, who died about 1010, must be distinguished</w:t></w:r>
</w:p>
<w:p>
<w:pPr><w:pStyle w:val="Normal"/></w:pPr>
<w:r><w:t xml:space="preserve">from Aimoin, a monk of St Germain-des-Pres, who wrote De</w:t></w:r>
</w:p>
<w:p>
<w:pPr><w:pStyle w:val="Normal"/></w:pPr>
<w:r><w:t xml:space="preserve">mircalis sancti Germani, and a fragment De Normanorum</w:t></w:r>
</w:p>
<w:p>
<w:pPr><w:pStyle w:val="Normal"/></w:pPr>
<w:r><w:t xml:space="preserve">gestis circa Parisiacam urbem et de divine in eos ultione</w:t></w:r>
</w:p>
<w:p>
<w:pPr><w:pStyle w:val="Normal"/></w:pPr>
<w:r><w:t xml:space="preserve">tempore Caroli calvi.  Both of these are published in the</w:t></w:r>
</w:p>
<w:p>
<w:pPr><w:pStyle w:val="Normal"/></w:pPr>
<w:r><w:t xml:space="preserve">Historiae Francorum Scriptores, Tome ii. (Paris, 1639-1649).</w:t></w:r>
</w:p>
<w:p>
<w:pPr><w:pStyle w:val="Normal"/></w:pPr>
<w:r><w:t xml:space="preserve">See Histoire litteraire de la France, tome vii. (Paris, 1865-1869).</w:t></w:r>
</w:p>
<w:p>
<w:pPr><w:pStyle w:val="Normal"/></w:pPr>
<w:r><w:t xml:space="preserve">AIN, a department on the eastern frontier of France, formed</w:t></w:r>
</w:p>
<w:p>
<w:pPr><w:pStyle w:val="Normal"/></w:pPr>
<w:r><w:t xml:space="preserve">in 1790 from Bresse, the Pays de Gex, Bugey, Dombes and</w:t></w:r>
</w:p>
<w:p>
<w:pPr><w:pStyle w:val="Normal"/></w:pPr>
<w:r><w:t xml:space="preserve">Valromey, districts of Burgundy.  It is bounded N. by the</w:t></w:r>
</w:p>
<w:p>
<w:pPr><w:pStyle w:val="Normal"/></w:pPr>
<w:r><w:t xml:space="preserve">departments of Jura and Saone-et-Loire, W. by Saone-et-Loire</w:t></w:r>
</w:p>
<w:p>
<w:pPr><w:pStyle w:val="Normal"/></w:pPr>
<w:r><w:t xml:space="preserve">and Rhone, S. by Isere, and E. by the departments of</w:t></w:r>
</w:p>
<w:p>
<w:pPr><w:pStyle w:val="Normal"/></w:pPr>
<w:r><w:t xml:space="preserve">Savoie and Haute-Savoie and the Swiss cantons Geneva and</w:t></w:r>
</w:p>
<w:p>
<w:pPr><w:pStyle w:val="Normal"/></w:pPr>
<w:r><w:t xml:space="preserve">Vaud.  Pop. (1906) 345,856.  Area 2248 sq. m.  The department</w:t></w:r>
</w:p>
<w:p>
<w:pPr><w:pStyle w:val="Normal"/></w:pPr>
<w:r><w:t xml:space="preserve">takes its name from the river Ain, which traverses its centre</w:t></w:r>
</w:p>
<w:p>
<w:pPr><w:pStyle w:val="Normal"/></w:pPr>
<w:r><w:t xml:space="preserve">in a southerly direction and separates it roughly into two</w:t></w:r>
</w:p>
<w:p>
<w:pPr><w:pStyle w:val="Normal"/></w:pPr>
<w:r><w:t xml:space="preserve">well-marked physical divisions--a region of mountains to</w:t></w:r>
</w:p>
<w:p>
<w:pPr><w:pStyle w:val="Normal"/></w:pPr>
<w:r><w:t xml:space="preserve">the east. and of plains to the west.  The mountainous region</w:t></w:r>
</w:p>
<w:p>
<w:pPr><w:pStyle w:val="Normal"/></w:pPr>
<w:r><w:t xml:space="preserve">is occupied by the southern portion of the Jura, which is</w:t></w:r>
</w:p>
<w:p>
<w:pPr><w:pStyle w:val="Normal"/></w:pPr>
<w:r><w:t xml:space="preserve">divided into parallel chains running north and south and</w:t></w:r>
</w:p>
<w:p>
<w:pPr><w:pStyle w:val="Normal"/></w:pPr>
<w:r><w:t xml:space="preserve">decreasing in height from east to west.  The most easterly</w:t></w:r>
</w:p>
<w:p>
<w:pPr><w:pStyle w:val="Normal"/></w:pPr>
<w:r><w:t xml:space="preserve">of these chains, that forming the Pays de Gex in the extreme</w:t></w:r>
</w:p>
<w:p>
<w:pPr><w:pStyle w:val="Normal"/></w:pPr>
<w:r><w:t xml:space="preserve">north-east of the department, contains the Cret de la Neige</w:t></w:r>
</w:p>
<w:p>
<w:pPr><w:pStyle w:val="Normal"/></w:pPr>
<w:r><w:t xml:space="preserve">(6653 ft.) and other of the highest summits in the whole</w:t></w:r>
</w:p>
<w:p>
<w:pPr><w:pStyle w:val="Normal"/></w:pPr>
<w:r><w:t xml:space="preserve">range.  The district of Bugey occupies the triangle formed</w:t></w:r>
</w:p>
<w:p>
<w:pPr><w:pStyle w:val="Normal"/></w:pPr>
<w:r><w:t xml:space="preserve">by the Rhone in the south-east of the depart- . ment.  West</w:t></w:r>
</w:p>
<w:p>
<w:pPr><w:pStyle w:val="Normal"/></w:pPr>
<w:r><w:t xml:space="preserve">of the Ain, with the exception of the district covered by the</w:t></w:r>
</w:p>
<w:p>
<w:pPr><w:pStyle w:val="Normal"/></w:pPr>
<w:r><w:t xml:space="preserve">Revermont, the westernmost chain of the Jura, the country is</w:t></w:r>
</w:p>
<w:p>
<w:pPr><w:pStyle w:val="Normal"/></w:pPr>
<w:r><w:t xml:space="preserve">flat, consisting in the north of the south portion of the</w:t></w:r>
</w:p>
<w:p>
<w:pPr><w:pStyle w:val="Normal"/></w:pPr>
<w:r><w:t xml:space="preserve">Bresse, in the south of the marshy Dombes.  The chief rivers of</w:t></w:r>
</w:p>
<w:p>
<w:pPr><w:pStyle w:val="Normal"/></w:pPr>
<w:r><w:t xml:space="preserve">the eastern region are the Valserine and the Seran, right-hand</w:t></w:r>
</w:p>
<w:p>
<w:pPr><w:pStyle w:val="Normal"/></w:pPr>
<w:r><w:t xml:space="preserve">tributaries of the Rhone, which forms the eastern and southern</w:t></w:r>
</w:p>
<w:p>
<w:pPr><w:pStyle w:val="Normal"/></w:pPr>
<w:r><w:t xml:space="preserve">boundary of the department; and the Albarine and Oignin,</w:t></w:r>
</w:p>
<w:p>
<w:pPr><w:pStyle w:val="Normal"/></w:pPr>
<w:r><w:t xml:space="preserve">left-hand aflluents of the Ain. The Bresse is watered by the</w:t></w:r>
</w:p>
<w:p>
<w:pPr><w:pStyle w:val="Normal"/></w:pPr>
<w:r><w:t xml:space="preserve">Veyle and the Reyssouze, both flowing into the Saone, which</w:t></w:r>
</w:p>
<w:p>
<w:pPr><w:pStyle w:val="Normal"/></w:pPr>
<w:r><w:t xml:space="preserve">washes the western limit of the department.  The climate is</w:t></w:r>
</w:p>
<w:p>
<w:pPr><w:pStyle w:val="Normal"/></w:pPr>
<w:r><w:t xml:space="preserve">cold in the eastern and central districts of Ain, but it is on</w:t></w:r>
</w:p>
<w:p>
<w:pPr><w:pStyle w:val="Normal"/></w:pPr>
<w:r><w:t xml:space="preserve">the whole healthy, except in the Dombes.  The average rainfall</w:t></w:r>
</w:p>
<w:p>
<w:pPr><w:pStyle w:val="Normal"/></w:pPr>
<w:r><w:t xml:space="preserve">is about 38 in.  The soil in the valleys and plains of the</w:t></w:r>
</w:p>
<w:p>
<w:pPr><w:pStyle w:val="Normal"/></w:pPr>
<w:r><w:t xml:space="preserve">department, especially in the Bresse, is fertile, producing</w:t></w:r>
</w:p>
<w:p>
<w:pPr><w:pStyle w:val="Normal"/></w:pPr>
<w:r><w:t xml:space="preserve">large quantities of wheat, as well as oats, buckwheat and</w:t></w:r>
</w:p>
<w:p>
<w:pPr><w:pStyle w:val="Normal"/></w:pPr>
<w:r><w:t xml:space="preserve">maize.  East of the Ain, forests of fir and oak abound on the</w:t></w:r>
</w:p>
<w:p>
<w:pPr><w:pStyle w:val="Normal"/></w:pPr>
<w:r><w:t xml:space="preserve">mountains, the lower slopes of which give excellent pasture for</w:t></w:r>
</w:p>
<w:p>
<w:pPr><w:pStyle w:val="Normal"/></w:pPr>
<w:r><w:t xml:space="preserve">sheep and cattle, and much cheese is produced.  Horse-raising</w:t></w:r>
</w:p>
<w:p>
<w:pPr><w:pStyle w:val="Normal"/></w:pPr>
<w:r><w:t xml:space="preserve">is carried on in the Dombes.  The pigs and fowls of the</w:t></w:r>
</w:p>
<w:p>
<w:pPr><w:pStyle w:val="Normal"/></w:pPr>
<w:r><w:t xml:space="preserve">Bresse and the geese and turkeys of the Dombes are largely</w:t></w:r>
</w:p>
<w:p>
<w:pPr><w:pStyle w:val="Normal"/></w:pPr>
<w:r><w:t xml:space="preserve">exported.  The vineyards of Bugey and Revermont yield good</w:t></w:r>
</w:p>
<w:p>
<w:pPr><w:pStyle w:val="Normal"/></w:pPr>
<w:r><w:t xml:space="preserve">wines.  The chief mineral product is the asphalt of the mines</w:t></w:r>
</w:p>
<w:p>
<w:pPr><w:pStyle w:val="Normal"/></w:pPr>
<w:r><w:t xml:space="preserve">of Seyssel on the eastern frontier, besides which potter&apos;s</w:t></w:r>
</w:p>
<w:p>
<w:pPr><w:pStyle w:val="Normal"/></w:pPr>
<w:r><w:t xml:space="preserve">clay, building stone, hydraulic lime and cement are produced</w:t></w:r>
</w:p>
<w:p>
<w:pPr><w:pStyle w:val="Normal"/></w:pPr>
<w:r><w:t xml:space="preserve">in the department.  There are many corn and saw mills and</w:t></w:r>
</w:p>
<w:p>
<w:pPr><w:pStyle w:val="Normal"/></w:pPr>
<w:r><w:t xml:space="preserve">the wood-working industry is important.  Silk fabrics, coarse</w:t></w:r>
</w:p>
<w:p>
<w:pPr><w:pStyle w:val="Normal"/></w:pPr>
<w:r><w:t xml:space="preserve">woollen cloth, paper and clocks are manufactured.  Live-stock</w:t></w:r>
</w:p>
<w:p>
<w:pPr><w:pStyle w:val="Normal"/></w:pPr>
<w:r><w:t xml:space="preserve">and agricultural products are exported; the chief imports</w:t></w:r>
</w:p>
<w:p>
<w:pPr><w:pStyle w:val="Normal"/></w:pPr>
<w:r><w:t xml:space="preserve">are wood and raw silk.  The department is within the judicial</w:t></w:r>
</w:p>
<w:p>
<w:pPr><w:pStyle w:val="Normal"/></w:pPr>
<w:r><w:t xml:space="preserve">circumscription of the appeal court of Lyons and the educational</w:t></w:r>
</w:p>
<w:p>
<w:pPr><w:pStyle w:val="Normal"/></w:pPr>
<w:r><w:t xml:space="preserve">circumscription (academie) of Lyons.  It forms part of the</w:t></w:r>
</w:p>
<w:p>
<w:pPr><w:pStyle w:val="Normal"/></w:pPr>
<w:r><w:t xml:space="preserve">archiepiscopal province of Besancon.  The Rhone and the Saone</w:t></w:r>
</w:p>
<w:p>
<w:pPr><w:pStyle w:val="Normal"/></w:pPr>
<w:r><w:t xml:space="preserve">are navigable for considerable distances in the department;</w:t></w:r>
</w:p>
<w:p>
<w:pPr><w:pStyle w:val="Normal"/></w:pPr>
<w:r><w:t xml:space="preserve">the chief railway is that of the Paris-Lyon-Mediterranee</w:t></w:r>
</w:p>
<w:p>
<w:pPr><w:pStyle w:val="Normal"/></w:pPr>
<w:r><w:t xml:space="preserve">Company, whose line from Macon to Culoz traverses the</w:t></w:r>
</w:p>
<w:p>
<w:pPr><w:pStyle w:val="Normal"/></w:pPr>
<w:r><w:t xml:space="preserve">department.  Ain is divided into five arrondissements--those</w:t></w:r>
</w:p>
<w:p>
<w:pPr><w:pStyle w:val="Normal"/></w:pPr>
<w:r><w:t xml:space="preserve">of Bourg and Trevoux in the west, and those of Gex, Nantua</w:t></w:r>
</w:p>
<w:p>
<w:pPr><w:pStyle w:val="Normal"/></w:pPr>
<w:r><w:t xml:space="preserve">and Belley in the east; containing in all 36 cantons and 455</w:t></w:r>
</w:p>
<w:p>
<w:pPr><w:pStyle w:val="Normal"/></w:pPr>
<w:r><w:t xml:space="preserve">communes.  Bourg is the capital and Belley is the seat of a</w:t></w:r>
</w:p>
<w:p>
<w:pPr><w:pStyle w:val="Normal"/></w:pPr>
<w:r><w:t xml:space="preserve">bishop.  Jujurieux, in the arrondissement of Nantua, has the most</w:t></w:r>
</w:p>
<w:p>
<w:pPr><w:pStyle w:val="Normal"/></w:pPr>
<w:r><w:t xml:space="preserve">important silk factory in the department, occupying over 1000</w:t></w:r>
</w:p>
<w:p>
<w:pPr><w:pStyle w:val="Normal"/></w:pPr>
<w:r><w:t xml:space="preserve">workpeople.  Bellegarde on the eastern frontier is an industrial</w:t></w:r>
</w:p>
<w:p>
<w:pPr><w:pStyle w:val="Normal"/></w:pPr>
<w:r><w:t xml:space="preserve">centre; it has a manufactory of wood-pulp, and saw and flour</w:t></w:r>
</w:p>
<w:p>
<w:pPr><w:pStyle w:val="Normal"/></w:pPr>
<w:r><w:t xml:space="preserve">mills, power for which is obtained from the waters of the</w:t></w:r>
</w:p>
<w:p>
<w:pPr><w:pStyle w:val="Normal"/></w:pPr>
<w:r><w:t xml:space="preserve">Rhone, Oyonnax and its environs, north of Nantua, are noted</w:t></w:r>
</w:p>
<w:p>
<w:pPr><w:pStyle w:val="Normal"/></w:pPr>
<w:r><w:t xml:space="preserve">for the production of articles in wood and horn, especially</w:t></w:r>
</w:p>
<w:p>
<w:pPr><w:pStyle w:val="Normal"/></w:pPr>
<w:r><w:t xml:space="preserve">combs.  St Rambert, in the arrondissement of Belley, besides</w:t></w:r>
</w:p>
<w:p>
<w:pPr><w:pStyle w:val="Normal"/></w:pPr>
<w:r><w:t xml:space="preserve">being of industrial importance for its manufactures of silk and</w:t></w:r>
</w:p>
<w:p>
<w:pPr><w:pStyle w:val="Normal"/></w:pPr>
<w:r><w:t xml:space="preserve">paper, possesses the remains of a Benedictine abbey, powerful</w:t></w:r>
</w:p>
<w:p>
<w:pPr><w:pStyle w:val="Normal"/></w:pPr>
<w:r><w:t xml:space="preserve">in the 11th, 12th and 13th centuries.  The Gothic church</w:t></w:r>
</w:p>
<w:p>
<w:pPr><w:pStyle w:val="Normal"/></w:pPr>
<w:r><w:t xml:space="preserve">of Ambronay in the arrondissement of Belley, the church of</w:t></w:r>
</w:p>
<w:p>
<w:pPr><w:pStyle w:val="Normal"/></w:pPr>
<w:r><w:t xml:space="preserve">St Paul de Varax (about 9 m.  S.W. of Bourg), a building in</w:t></w:r>
</w:p>
<w:p>
<w:pPr><w:pStyle w:val="Normal"/></w:pPr>
<w:r><w:t xml:space="preserve">the Romanesque style of Burgundy, and that of Nantua (12th</w:t></w:r>
</w:p>
<w:p>
<w:pPr><w:pStyle w:val="Normal"/></w:pPr>
<w:r><w:t xml:space="preserve">century), are of architectural interest.  Ferney, 4 m.  S.W. of</w:t></w:r>
</w:p>
<w:p>
<w:pPr><w:pStyle w:val="Normal"/></w:pPr>
<w:r><w:t xml:space="preserve">Gex, is famous as the residence of Voltaire from 1758-1778.</w:t></w:r>
</w:p>
<w:p>
<w:pPr><w:pStyle w:val="Normal"/></w:pPr>
<w:r><w:t xml:space="preserve">AINGER, ALFRED (1837-1904), English divine and man of letters,</w:t></w:r>
</w:p>
<w:p>
<w:pPr><w:pStyle w:val="Normal"/></w:pPr>
<w:r><w:t xml:space="preserve">was born in London on the 9th of February 1837, the son of an</w:t></w:r>
</w:p>
<w:p>
<w:pPr><w:pStyle w:val="Normal"/></w:pPr>
<w:r><w:t xml:space="preserve">architect.  He was educated at King&apos;s College, London, and</w:t></w:r>
</w:p>
<w:p>
<w:pPr><w:pStyle w:val="Normal"/></w:pPr>
<w:r><w:t xml:space="preserve">at Trinity College, Cambridge, and was ordained in 1860 to a</w:t></w:r>
</w:p>
<w:p>
<w:pPr><w:pStyle w:val="Normal"/></w:pPr>
<w:r><w:t xml:space="preserve">curacy at Alrewas, near Rugeley.  There he remained until 1864,</w:t></w:r>
</w:p>
<w:p>
<w:pPr><w:pStyle w:val="Normal"/></w:pPr>
<w:r><w:t xml:space="preserve">when he became an assistant master at the Sheffield Collegiate</w:t></w:r>
</w:p>
<w:p>
<w:pPr><w:pStyle w:val="Normal"/></w:pPr>
<w:r><w:t xml:space="preserve">School.  His connexion with the Temple church, in London,</w:t></w:r>
</w:p>
<w:p>
<w:pPr><w:pStyle w:val="Normal"/></w:pPr>
<w:r><w:t xml:space="preserve">began in 1866, when he was appointed reader; and in 1894 he</w:t></w:r>
</w:p>
<w:p>
<w:pPr><w:pStyle w:val="Normal"/></w:pPr>
<w:r><w:t xml:space="preserve">succeeded Dr Vaughan as master.  In 1887 he was presented to a</w:t></w:r>
</w:p>
<w:p>
<w:pPr><w:pStyle w:val="Normal"/></w:pPr>
<w:r><w:t xml:space="preserve">canonry in Bristol cathedral, and he was chaplain-in-ordinary</w:t></w:r>
</w:p>
<w:p>
<w:pPr><w:pStyle w:val="Normal"/></w:pPr>
<w:r><w:t xml:space="preserve">to Queen Victoria and King Edward VII. He died on the 8th</w:t></w:r>
</w:p>
<w:p>
<w:pPr><w:pStyle w:val="Normal"/></w:pPr>
<w:r><w:t xml:space="preserve">of February 1904.  Canon Ainger&apos;s gentle wit and humour, his</w:t></w:r>
</w:p>
<w:p>
<w:pPr><w:pStyle w:val="Normal"/></w:pPr>
<w:r><w:t xml:space="preserve">generosity and lovable disposition, endeared him to a wide</w:t></w:r>
</w:p>
<w:p>
<w:pPr><w:pStyle w:val="Normal"/></w:pPr>
<w:r><w:t xml:space="preserve">circle.  In literature his name is chiefly associated with</w:t></w:r>
</w:p>
<w:p>
<w:pPr><w:pStyle w:val="Normal"/></w:pPr>
<w:r><w:t xml:space="preserve">his sympathetic appreciation of Charles Lamb and Thomas</w:t></w:r>
</w:p>
<w:p>
<w:pPr><w:pStyle w:val="Normal"/></w:pPr>
<w:r><w:t xml:space="preserve">flood.  His works include: Charles Lamb (1882) and Crabbe</w:t></w:r>
</w:p>
<w:p>
<w:pPr><w:pStyle w:val="Normal"/></w:pPr>
<w:r><w:t xml:space="preserve">(1903) in the ``English Men of Letters&apos;&apos; series; editions</w:t></w:r>
</w:p>
<w:p>
<w:pPr><w:pStyle w:val="Normal"/></w:pPr>
<w:r><w:t xml:space="preserve">of Lamb&apos;s Essays of Elia (1883) and of his Letters</w:t></w:r>
</w:p>
<w:p>
<w:pPr><w:pStyle w:val="Normal"/></w:pPr>
<w:r><w:t xml:space="preserve">(1888; 2nd ed., 1904), of the Poems (1897) of Thomas Hood,</w:t></w:r>
</w:p>
<w:p>
<w:pPr><w:pStyle w:val="Normal"/></w:pPr>
<w:r><w:t xml:space="preserve">with a biographical introduction; The Life and Works of</w:t></w:r>
</w:p>
<w:p>
<w:pPr><w:pStyle w:val="Normal"/></w:pPr>
<w:r><w:t xml:space="preserve">Charles Lamb (12 vols., 1899-1900), articles on Tennyson</w:t></w:r>
</w:p>
<w:p>
<w:pPr><w:pStyle w:val="Normal"/></w:pPr>
<w:r><w:t xml:space="preserve">and Du Maurier in the Dictionary of National Biography;</w:t></w:r>
</w:p>
<w:p>
<w:pPr><w:pStyle w:val="Normal"/></w:pPr>
<w:r><w:t xml:space="preserve">The Gospel and Human Life (1904), sermons; Lectures and</w:t></w:r>
</w:p>
<w:p>
<w:pPr><w:pStyle w:val="Normal"/></w:pPr>
<w:r><w:t xml:space="preserve">Essays (2 vols., 1905), edited by the Rev. H. C. Beeching.</w:t></w:r>
</w:p>
<w:p>
<w:pPr><w:pStyle w:val="Normal"/></w:pPr>
<w:r><w:t xml:space="preserve">See also Edith Sichel, The Life and Letters of Canon Ainger (1906).</w:t></w:r>
</w:p>
<w:p>
<w:pPr><w:pStyle w:val="Normal"/></w:pPr>
<w:r><w:t xml:space="preserve">AINMULLER, MAXIMILIAN EMMANUEL (1807-1870), German artist</w:t></w:r>
</w:p>
<w:p>
<w:pPr><w:pStyle w:val="Normal"/></w:pPr>
<w:r><w:t xml:space="preserve">and glass-painter, was born at Munich on the 14th of February</w:t></w:r>
</w:p>
<w:p>
<w:pPr><w:pStyle w:val="Normal"/></w:pPr>
<w:r><w:t xml:space="preserve">1807.  By the advice of Gartner, director of the royal</w:t></w:r>
</w:p>
<w:p>
<w:pPr><w:pStyle w:val="Normal"/></w:pPr>
<w:r><w:t xml:space="preserve">porcelain manufactory, he devoted himself to the study of</w:t></w:r>
</w:p>
<w:p>
<w:pPr><w:pStyle w:val="Normal"/></w:pPr>
<w:r><w:t xml:space="preserve">glass-painting, both as a mechanical process and as an art,</w:t></w:r>
</w:p>
<w:p>
<w:pPr><w:pStyle w:val="Normal"/></w:pPr>
<w:r><w:t xml:space="preserve">and in 1828 he was appointed director of the newly-founded</w:t></w:r>
</w:p>
<w:p>
<w:pPr><w:pStyle w:val="Normal"/></w:pPr>
<w:r><w:t xml:space="preserve">royal painted-glass manufactory at Munich.  The method</w:t></w:r>
</w:p>
<w:p>
<w:pPr><w:pStyle w:val="Normal"/></w:pPr>
<w:r><w:t xml:space="preserve">which he gradually perfected there was a development of the</w:t></w:r>
</w:p>
<w:p>
<w:pPr><w:pStyle w:val="Normal"/></w:pPr>
<w:r><w:t xml:space="preserve">enamel process adopted in the Renaissance, and consisted</w:t></w:r>
</w:p>
<w:p>
<w:pPr><w:pStyle w:val="Normal"/></w:pPr>
<w:r><w:t xml:space="preserve">in actually painting the design upon the glass, which was</w:t></w:r>
</w:p>
<w:p>
<w:pPr><w:pStyle w:val="Normal"/></w:pPr>
<w:r><w:t xml:space="preserve">subjected, as each colour was laid on, to carefully-adjusted</w:t></w:r>
</w:p>
<w:p>
<w:pPr><w:pStyle w:val="Normal"/></w:pPr>
<w:r><w:t xml:space="preserve">heating.  The earliest specimens of Ainmuller&apos;s work are</w:t></w:r>
</w:p>
<w:p>
<w:pPr><w:pStyle w:val="Normal"/></w:pPr>
<w:r><w:t xml:space="preserve">to be found in the cathedral of Regensburg.  With a few</w:t></w:r>
</w:p>
<w:p>
<w:pPr><w:pStyle w:val="Normal"/></w:pPr>
<w:r><w:t xml:space="preserve">exceptions, all the windows in Glasgow cathedral are from his</w:t></w:r>
</w:p>
<w:p>
<w:pPr><w:pStyle w:val="Normal"/></w:pPr>
<w:r><w:t xml:space="preserve">hand.  Specimens may also be seen in St Paul&apos;s cathedral, and</w:t></w:r>
</w:p>
<w:p>
<w:pPr><w:pStyle w:val="Normal"/></w:pPr>
<w:r><w:t xml:space="preserve">Peterhouse, Cambridge, and Cologne cathedral contains some</w:t></w:r>
</w:p>
<w:p>
<w:pPr><w:pStyle w:val="Normal"/></w:pPr>
<w:r><w:t xml:space="preserve">of his finest productions.  Ainmuller had considerable skill</w:t></w:r>
</w:p>
<w:p>
<w:pPr><w:pStyle w:val="Normal"/></w:pPr>
<w:r><w:t xml:space="preserve">as an oil-painter, especially in interiors, his pictures</w:t></w:r>
</w:p>
<w:p>
<w:pPr><w:pStyle w:val="Normal"/></w:pPr>
<w:r><w:t xml:space="preserve">of the Chapel Royal at Windsor and of Westminster Abbey</w:t></w:r>
</w:p>
<w:p>
<w:pPr><w:pStyle w:val="Normal"/></w:pPr>
<w:r><w:t xml:space="preserve">being much admired.  He died on the 9th of December 1870.</w:t></w:r>
</w:p>
<w:p>
<w:pPr><w:pStyle w:val="Normal"/></w:pPr>
<w:r><w:t xml:space="preserve">AINSWORTH, HENRY (1571-1622), English Nonconformist divine</w:t></w:r>
</w:p>
<w:p>
<w:pPr><w:pStyle w:val="Normal"/></w:pPr>
<w:r><w:t xml:space="preserve">and scholar, was born of yeoman stock in 1570/1 at Swanton</w:t></w:r>
</w:p>
<w:p>
<w:pPr><w:pStyle w:val="Normal"/></w:pPr>
<w:r><w:t xml:space="preserve">Morley, Norfolk.  He was for four years from December 1587 a</w:t></w:r>
</w:p>
<w:p>
<w:pPr><w:pStyle w:val="Normal"/></w:pPr>
<w:r><w:t xml:space="preserve">scholar of Caius College, Cambridge, and, after associating</w:t></w:r>
</w:p>
<w:p>
<w:pPr><w:pStyle w:val="Normal"/></w:pPr>
<w:r><w:t xml:space="preserve">with the Puritan party in the Church, eventually joined the</w:t></w:r>
</w:p>
<w:p>
<w:pPr><w:pStyle w:val="Normal"/></w:pPr>
<w:r><w:t xml:space="preserve">Separatists.  Driven abroad about the year 1593, he found a</w:t></w:r>
</w:p>
<w:p>
<w:pPr><w:pStyle w:val="Normal"/></w:pPr>
<w:r><w:t xml:space="preserve">home in ``a blind lane at Amsterdam.&apos;&apos; He acted as ``porter&apos;&apos;</w:t></w:r>
</w:p>
<w:p>
<w:pPr><w:pStyle w:val="Normal"/></w:pPr>
<w:r><w:t xml:space="preserve">to a scholarly bookseller in that city, who, on discovering</w:t></w:r>
</w:p>
<w:p>
<w:pPr><w:pStyle w:val="Normal"/></w:pPr>
<w:r><w:t xml:space="preserve">his skill in the Hebrew language, made him known to his</w:t></w:r>
</w:p>
<w:p>
<w:pPr><w:pStyle w:val="Normal"/></w:pPr>
<w:r><w:t xml:space="preserve">countrymen.  When part of the London church, of which</w:t></w:r>
</w:p>
<w:p>
<w:pPr><w:pStyle w:val="Normal"/></w:pPr>
<w:r><w:t xml:space="preserve">Francis Johnson (then in prison) was pastor, reassembled in</w:t></w:r>
</w:p>
<w:p>
<w:pPr><w:pStyle w:val="Normal"/></w:pPr>
<w:r><w:t xml:space="preserve">Amsterdam, Ainsworth was chosen as their doctor or teacher.</w:t></w:r>
</w:p>
<w:p>
<w:pPr><w:pStyle w:val="Normal"/></w:pPr>
<w:r><w:t xml:space="preserve">In 1596 he took the lead in drawing up a confession of their</w:t></w:r>
</w:p>
<w:p>
<w:pPr><w:pStyle w:val="Normal"/></w:pPr>
<w:r><w:t xml:space="preserve">faith, which he reissued in Latin in 1598 and dedicated to</w:t></w:r>
</w:p>
<w:p>
<w:pPr><w:pStyle w:val="Normal"/></w:pPr>
<w:r><w:t xml:space="preserve">the various universities of Europe (including St Andrews,</w:t></w:r>
</w:p>
<w:p>
<w:pPr><w:pStyle w:val="Normal"/></w:pPr>
<w:r><w:t xml:space="preserve">Scotland).  Johnson joined his flock in 1597, and in 1604 he</w:t></w:r>
</w:p>
<w:p>
<w:pPr><w:pStyle w:val="Normal"/></w:pPr>
<w:r><w:t xml:space="preserve">and Ainsworth composed An Apology or Defence of such true</w:t></w:r>
</w:p>
<w:p>
<w:pPr><w:pStyle w:val="Normal"/></w:pPr>
<w:r><w:t xml:space="preserve">Christians as are commonly but unjustly called Brownists.  The</w:t></w:r>
</w:p>
<w:p>
<w:pPr><w:pStyle w:val="Normal"/></w:pPr>
<w:r><w:t xml:space="preserve">task of organizing the church was not easy and dissension was</w:t></w:r>
</w:p>
<w:p>
<w:pPr><w:pStyle w:val="Normal"/></w:pPr>
<w:r><w:t xml:space="preserve">rife.  Of Ainsworth it may be said that, though often embroiled</w:t></w:r>
</w:p>
<w:p>
<w:pPr><w:pStyle w:val="Normal"/></w:pPr>
<w:r><w:t xml:space="preserve">in controversy, he never put himself forward; yet he was</w:t></w:r>
</w:p>
<w:p>
<w:pPr><w:pStyle w:val="Normal"/></w:pPr>
<w:r><w:t xml:space="preserve">the most steadfast and cultured champion of the principles</w:t></w:r>
</w:p>
<w:p>
<w:pPr><w:pStyle w:val="Normal"/></w:pPr>
<w:r><w:t xml:space="preserve">represented by the early Congregationalists.  Amid all the</w:t></w:r>
</w:p>
<w:p>
<w:pPr><w:pStyle w:val="Normal"/></w:pPr>
<w:r><w:t xml:space="preserve">strife of controversy, he steadily pursued his rabbinical</w:t></w:r>
</w:p>
<w:p>
<w:pPr><w:pStyle w:val="Normal"/></w:pPr>
<w:r><w:t xml:space="preserve">studies.  The combination was so unique that many, like the</w:t></w:r>
</w:p>
<w:p>
<w:pPr><w:pStyle w:val="Normal"/></w:pPr>
<w:r><w:t xml:space="preserve">encyclopaedists L. Moreri and J. H. Zedler, have made two</w:t></w:r>
</w:p>
<w:p>
<w:pPr><w:pStyle w:val="Normal"/></w:pPr>
<w:r><w:t xml:space="preserve">Henry Ainsworths--one Dr Henry Ainsworth, a learned biblical</w:t></w:r>
</w:p>
<w:p>
<w:pPr><w:pStyle w:val="Normal"/></w:pPr>
<w:r><w:t xml:space="preserve">commentator; the other H. Ainsworth, an arch-heretic and ``the</w:t></w:r>
</w:p>
<w:p>
<w:pPr><w:pStyle w:val="Normal"/></w:pPr>
<w:r><w:t xml:space="preserve">ringleader of the Separatists at Amsterdam.&apos;&apos; Some confusion</w:t></w:r>
</w:p>
<w:p>
<w:pPr><w:pStyle w:val="Normal"/></w:pPr>
<w:r><w:t xml:space="preserve">has also been occasioned through his not unfriendly controversy</w:t></w:r>
</w:p>
<w:p>
<w:pPr><w:pStyle w:val="Normal"/></w:pPr>
<w:r><w:t xml:space="preserve">with one John Ainsworth, who abjured the Anglican for the Roman</w:t></w:r>
</w:p>
<w:p>
<w:pPr><w:pStyle w:val="Normal"/></w:pPr>
<w:r><w:t xml:space="preserve">church.  In 1608 Ainsworth answered Richard Bernard&apos;s The</w:t></w:r>
</w:p>
<w:p>
<w:pPr><w:pStyle w:val="Normal"/></w:pPr>
<w:r><w:t xml:space="preserve">Separatist Schisme. But his ablest and most arduous minor</w:t></w:r>
</w:p>
<w:p>
<w:pPr><w:pStyle w:val="Normal"/></w:pPr>
<w:r><w:t xml:space="preserve">work in controversy was his reply to John Smyth (commonly</w:t></w:r>
</w:p>
<w:p>
<w:pPr><w:pStyle w:val="Normal"/></w:pPr>
<w:r><w:t xml:space="preserve">called ``the Se-Baptist&apos;&apos;), entitled a Defence of Holy</w:t></w:r>
</w:p>
<w:p>
<w:pPr><w:pStyle w:val="Normal"/></w:pPr>
<w:r><w:t xml:space="preserve">Scripture, Worship and Ministry used in the Christian Churches</w:t></w:r>
</w:p>
<w:p>
<w:pPr><w:pStyle w:val="Normal"/></w:pPr>
<w:r><w:t xml:space="preserve">separated from Antichrist, against the Challenges, Cavils</w:t></w:r>
</w:p>
<w:p>
<w:pPr><w:pStyle w:val="Normal"/></w:pPr>
<w:r><w:t xml:space="preserve">and Contradictions of Mr Smyth (1609).  In 1610 he was</w:t></w:r>
</w:p>
<w:p>
<w:pPr><w:pStyle w:val="Normal"/></w:pPr>
<w:r><w:t xml:space="preserve">forced reluctantly to withdraw, with a large part of their</w:t></w:r>
</w:p>
<w:p>
<w:pPr><w:pStyle w:val="Normal"/></w:pPr>
<w:r><w:t xml:space="preserve">church, from F. Johnson and those who adhered to him.  For</w:t></w:r>
</w:p>
<w:p>
<w:pPr><w:pStyle w:val="Normal"/></w:pPr>
<w:r><w:t xml:space="preserve">some time a difference of principle, as to the church&apos;s right</w:t></w:r>
</w:p>
<w:p>
<w:pPr><w:pStyle w:val="Normal"/></w:pPr>
<w:r><w:t xml:space="preserve">to revise its officers&apos; decisions, had been growing between</w:t></w:r>
</w:p>
<w:p>
<w:pPr><w:pStyle w:val="Normal"/></w:pPr>
<w:r><w:t xml:space="preserve">them, Ainsworth taking the more Congregational view. (See</w:t></w:r>
</w:p>
<w:p>
<w:pPr><w:pStyle w:val="Normal"/></w:pPr>
<w:r><w:t xml:space="preserve">CONGREGATIONALISM.) But in spirit he remained a man of</w:t></w:r>
</w:p>
<w:p>
<w:pPr><w:pStyle w:val="Normal"/></w:pPr>
<w:r><w:t xml:space="preserve">peace.  His memory abides through his rabbinical learning.  The</w:t></w:r>
</w:p>
<w:p>
<w:pPr><w:pStyle w:val="Normal"/></w:pPr>
<w:r><w:t xml:space="preserve">ripe fruit of many years&apos; labour appeared in his Annotations--on</w:t></w:r>
</w:p>
<w:p>
<w:pPr><w:pStyle w:val="Normal"/></w:pPr>
<w:r><w:t xml:space="preserve">Genesis (1616); Exodus (1617); Leviticus (1618); Numbers</w:t></w:r>
</w:p>
<w:p>
<w:pPr><w:pStyle w:val="Normal"/></w:pPr>
<w:r><w:t xml:space="preserve">(1619); Deuteronomy (1619); Psalms (including a metrical</w:t></w:r>
</w:p>
<w:p>
<w:pPr><w:pStyle w:val="Normal"/></w:pPr>
<w:r><w:t xml:space="preserve">version, 1612); Song of Solomon (1623).  These were collected</w:t></w:r>
</w:p>
<w:p>
<w:pPr><w:pStyle w:val="Normal"/></w:pPr>
<w:r><w:t xml:space="preserve">in folio in 1627, and again in 1639, and later in various</w:t></w:r>
</w:p>
<w:p>
<w:pPr><w:pStyle w:val="Normal"/></w:pPr>
<w:r><w:t xml:space="preserve">forms.  From the outset the Annotations took a commanding</w:t></w:r>
</w:p>
<w:p>
<w:pPr><w:pStyle w:val="Normal"/></w:pPr>
<w:r><w:t xml:space="preserve">place, especially among continental scholars, and he</w:t></w:r>
</w:p>
<w:p>
<w:pPr><w:pStyle w:val="Normal"/></w:pPr>
<w:r><w:t xml:space="preserve">established for English nonconformity a tradition of culture and</w:t></w:r>
</w:p>
<w:p>
<w:pPr><w:pStyle w:val="Normal"/></w:pPr>
<w:r><w:t xml:space="preserve">scholarship.  There is no probability about the narrative</w:t></w:r>
</w:p>
<w:p>
<w:pPr><w:pStyle w:val="Normal"/></w:pPr>
<w:r><w:t xml:space="preserve">given by Neal in his History of the Puritans (ii. 47) that</w:t></w:r>
</w:p>
<w:p>
<w:pPr><w:pStyle w:val="Normal"/></w:pPr>
<w:r><w:t xml:space="preserve">he was poisoned by certain Jews.  He died in 1622, or early</w:t></w:r>
</w:p>
<w:p>
<w:pPr><w:pStyle w:val="Normal"/></w:pPr>
<w:r><w:t xml:space="preserve">in 1623, for in that year was published his Seasonable</w:t></w:r>
</w:p>
<w:p>
<w:pPr><w:pStyle w:val="Normal"/></w:pPr>
<w:r><w:t xml:space="preserve">Discourse, or a Censure upon a Dialogue of the Anabaptists,</w:t></w:r>
</w:p>
<w:p>
<w:pPr><w:pStyle w:val="Normal"/></w:pPr>
<w:r><w:t xml:space="preserve">in which the editor speaks of him as a departed worthy.</w:t></w:r>
</w:p>
<w:p>
<w:pPr><w:pStyle w:val="Normal"/></w:pPr>
<w:r><w:t xml:space="preserve">LITERATURE.--John Worthington&apos;s Diary (Chetham</w:t></w:r>
</w:p>
<w:p>
<w:pPr><w:pStyle w:val="Normal"/></w:pPr>
<w:r><w:t xml:space="preserve">Society), by Crossley, i. 263-266; works of John Robinson</w:t></w:r>
</w:p>
<w:p>
<w:pPr><w:pStyle w:val="Normal"/></w:pPr>
<w:r><w:t xml:space="preserve">(1851); H. M. Dexter, Congregationalism of the Last</w:t></w:r>
</w:p>
<w:p>
<w:pPr><w:pStyle w:val="Normal"/></w:pPr>
<w:r><w:t xml:space="preserve">Three Hundred Years (1880); W. E. A. Axon, H. Ainsworth,</w:t></w:r>
</w:p>
<w:p>
<w:pPr><w:pStyle w:val="Normal"/></w:pPr>
<w:r><w:t xml:space="preserve">the Puritan Commentator (1889); F. J. Powicke, Henry</w:t></w:r>
</w:p>
<w:p>
<w:pPr><w:pStyle w:val="Normal"/></w:pPr>
<w:r><w:t xml:space="preserve">Barrow and the Exiled Church of Amsterdam (1900), J. H.</w:t></w:r>
</w:p>
<w:p>
<w:pPr><w:pStyle w:val="Normal"/></w:pPr>
<w:r><w:t xml:space="preserve">Shakespeare, Baptist and Congregational Pioneers (1906).</w:t></w:r>
</w:p>
<w:p>
<w:pPr><w:pStyle w:val="Normal"/></w:pPr>
<w:r><w:t xml:space="preserve">AINSWORTH, ROBERT (1660-1743), English schoolmaster and</w:t></w:r>
</w:p>
<w:p>
<w:pPr><w:pStyle w:val="Normal"/></w:pPr>
<w:r><w:t xml:space="preserve">author, was born at Eccles, near Manchester, in September</w:t></w:r>
</w:p>
<w:p>
<w:pPr><w:pStyle w:val="Normal"/></w:pPr>
<w:r><w:t xml:space="preserve">1660.  After teaching for some time at Lever&apos;s Grammar</w:t></w:r>
</w:p>
<w:p>
<w:pPr><w:pStyle w:val="Normal"/></w:pPr>
<w:r><w:t xml:space="preserve">School in Bolton, he removed to London, where he conducted a</w:t></w:r>
</w:p>
<w:p>
<w:pPr><w:pStyle w:val="Normal"/></w:pPr>
<w:r><w:t xml:space="preserve">boarding-school, first at Bethnal Green and then at Hackney.</w:t></w:r>
</w:p>
<w:p>
<w:pPr><w:pStyle w:val="Normal"/></w:pPr>
<w:r><w:t xml:space="preserve">He soon made a moderate fortune which gave him leisure to</w:t></w:r>
</w:p>
<w:p>
<w:pPr><w:pStyle w:val="Normal"/></w:pPr>
<w:r><w:t xml:space="preserve">pursue his classical studies.  Ainsworth&apos;s name is associated</w:t></w:r>
</w:p>
<w:p>
<w:pPr><w:pStyle w:val="Normal"/></w:pPr>
<w:r><w:t xml:space="preserve">with his Latin-English Dictionary, begun in 1714, and published</w:t></w:r>
</w:p>
<w:p>
<w:pPr><w:pStyle w:val="Normal"/></w:pPr>
<w:r><w:t xml:space="preserve">in 1736 as Thesaurus linguae Latinae compendiarius. It was</w:t></w:r>
</w:p>
<w:p>
<w:pPr><w:pStyle w:val="Normal"/></w:pPr>
<w:r><w:t xml:space="preserve">long extensively used in schools, and often reprinted, the</w:t></w:r>
</w:p>
<w:p>
<w:pPr><w:pStyle w:val="Normal"/></w:pPr>
<w:r><w:t xml:space="preserve">later editions being revised and enlarged by other hands,</w:t></w:r>
</w:p>
<w:p>
<w:pPr><w:pStyle w:val="Normal"/></w:pPr>
<w:r><w:t xml:space="preserve">but it is now superseded.  Ainsworth was also the author of</w:t></w:r>
</w:p>
<w:p>
<w:pPr><w:pStyle w:val="Normal"/></w:pPr>
<w:r><w:t xml:space="preserve">some useful works on classical antiquities, and a sensible</w:t></w:r>
</w:p>
<w:p>
<w:pPr><w:pStyle w:val="Normal"/></w:pPr>
<w:r><w:t xml:space="preserve">treatise on education, entitled The most Natural and Easy</w:t></w:r>
</w:p>
<w:p>
<w:pPr><w:pStyle w:val="Normal"/></w:pPr>
<w:r><w:t xml:space="preserve">Way of Institution (1698), in which he advocates the teaching</w:t></w:r>
</w:p>
<w:p>
<w:pPr><w:pStyle w:val="Normal"/></w:pPr>
<w:r><w:t xml:space="preserve">of Latin by conversational methods and deprecates punishment</w:t></w:r>
</w:p>
<w:p>
<w:pPr><w:pStyle w:val="Normal"/></w:pPr>
<w:r><w:t xml:space="preserve">of any sort.  He died in London on the 4th of April 1743.</w:t></w:r>
</w:p>
<w:p>
<w:pPr><w:pStyle w:val="Normal"/></w:pPr>
<w:r><w:t xml:space="preserve">AINSWORTH, WILLIAM HARRISON (1805-1882), English novelist,</w:t></w:r>
</w:p>
<w:p>
<w:pPr><w:pStyle w:val="Normal"/></w:pPr>
<w:r><w:t xml:space="preserve">son of Thomas Ainsworth, solicitor, was born at Manchester</w:t></w:r>
</w:p>
<w:p>
<w:pPr><w:pStyle w:val="Normal"/></w:pPr>
<w:r><w:t xml:space="preserve">on the 4th of February 1805.  He was educated at Manchester</w:t></w:r>
</w:p>
<w:p>
<w:pPr><w:pStyle w:val="Normal"/></w:pPr>
<w:r><w:t xml:space="preserve">Grammar School and articled to the firm of which his father</w:t></w:r>
</w:p>
<w:p>
<w:pPr><w:pStyle w:val="Normal"/></w:pPr>
<w:r><w:t xml:space="preserve">was a member, proceeding to London in 1824 to complete his</w:t></w:r>
</w:p>
<w:p>
<w:pPr><w:pStyle w:val="Normal"/></w:pPr>
<w:r><w:t xml:space="preserve">legal training at the Inner Temple.  At the age of twenty-one</w:t></w:r>
</w:p>
<w:p>
<w:pPr><w:pStyle w:val="Normal"/></w:pPr>
<w:r><w:t xml:space="preserve">he married a daughter of John Ebers the publisher, and started</w:t></w:r>
</w:p>
<w:p>
<w:pPr><w:pStyle w:val="Normal"/></w:pPr>
<w:r><w:t xml:space="preserve">in his father-in-law&apos;s line of business.  This, however,</w:t></w:r>
</w:p>
<w:p>
<w:pPr><w:pStyle w:val="Normal"/></w:pPr>
<w:r><w:t xml:space="preserve">soon proved unprofitable and he decided to attempt literary</w:t></w:r>
</w:p>
<w:p>
<w:pPr><w:pStyle w:val="Normal"/></w:pPr>
<w:r><w:t xml:space="preserve">work.  A novel called Sir John Chiverton, in which he appears</w:t></w:r>
</w:p>
<w:p>
<w:pPr><w:pStyle w:val="Normal"/></w:pPr>
<w:r><w:t xml:space="preserve">to have had a share, had attracted the praise of Sir Walter</w:t></w:r>
</w:p>
<w:p>
<w:pPr><w:pStyle w:val="Normal"/></w:pPr>
<w:r><w:t xml:space="preserve">Scott, and this encouragement decided him to take up fiction</w:t></w:r>
</w:p>
<w:p>
<w:pPr><w:pStyle w:val="Normal"/></w:pPr>
<w:r><w:t xml:space="preserve">as a career.  In 1834 he published Rookwood, which had an</w:t></w:r>
</w:p>
<w:p>
<w:pPr><w:pStyle w:val="Normal"/></w:pPr>
<w:r><w:t xml:space="preserve">immediate success, and thenceforth he was always occupied</w:t></w:r>
</w:p>
<w:p>
<w:pPr><w:pStyle w:val="Normal"/></w:pPr>
<w:r><w:t xml:space="preserve">with the compilation of ``historical&apos;&apos; novels.  He published</w:t></w:r>
</w:p>
<w:p>
<w:pPr><w:pStyle w:val="Normal"/></w:pPr>
<w:r><w:t xml:space="preserve">about forty such stories, of which the best-known are</w:t></w:r>
</w:p>
<w:p>
<w:pPr><w:pStyle w:val="Normal"/></w:pPr>
<w:r><w:t xml:space="preserve">Jack Sheppard (1839), The Tower Oglondon (1840), Guy</w:t></w:r>
</w:p>
<w:p>
<w:pPr><w:pStyle w:val="Normal"/></w:pPr>
<w:r><w:t xml:space="preserve">Fawkes (1841), Old St Paul&apos;s (1841) and Windsor Castle</w:t></w:r>
</w:p>
<w:p>
<w:pPr><w:pStyle w:val="Normal"/></w:pPr>
<w:r><w:t xml:space="preserve">(1843).  He edited Bentley&apos;s Miscellany, in which Jack</w:t></w:r>
</w:p>
<w:p>
<w:pPr><w:pStyle w:val="Normal"/></w:pPr>
<w:r><w:t xml:space="preserve">Sheppard was published as a serial, and in 1842 he became</w:t></w:r>
</w:p>
<w:p>
<w:pPr><w:pStyle w:val="Normal"/></w:pPr>
<w:r><w:t xml:space="preserve">proprietor of Ainsworth&apos;s Magazine. In 1853 it ceased to</w:t></w:r>
</w:p>
<w:p>
<w:pPr><w:pStyle w:val="Normal"/></w:pPr>
<w:r><w:t xml:space="preserve">appear, and Ainsworth bought the New Monthly Magazine. He</w:t></w:r>
</w:p>
<w:p>
<w:pPr><w:pStyle w:val="Normal"/></w:pPr>
<w:r><w:t xml:space="preserve">continued his literary activity until his death, but his later</w:t></w:r>
</w:p>
<w:p>
<w:pPr><w:pStyle w:val="Normal"/></w:pPr>
<w:r><w:t xml:space="preserve">stories were less striking than the earlier ones.  He died at</w:t></w:r>
</w:p>
<w:p>
<w:pPr><w:pStyle w:val="Normal"/></w:pPr>
<w:r><w:t xml:space="preserve">Reigate on the 3rd of January 1882 and was buried at Kensal</w:t></w:r>
</w:p>
<w:p>
<w:pPr><w:pStyle w:val="Normal"/></w:pPr>
<w:r><w:t xml:space="preserve">Green.  Ainsworth had a lively talent for plot, and his books</w:t></w:r>
</w:p>
<w:p>
<w:pPr><w:pStyle w:val="Normal"/></w:pPr>
<w:r><w:t xml:space="preserve">have many attractive qualities.  The glorification of Dick</w:t></w:r>
</w:p>
<w:p>
<w:pPr><w:pStyle w:val="Normal"/></w:pPr>
<w:r><w:t xml:space="preserve">Turpin in Rookwood, and of Jack Sheppard in the novel that</w:t></w:r>
</w:p>
<w:p>
<w:pPr><w:pStyle w:val="Normal"/></w:pPr>
<w:r><w:t xml:space="preserve">bears his name, caused considerable outcry among straitlaced</w:t></w:r>
</w:p>
<w:p>
<w:pPr><w:pStyle w:val="Normal"/></w:pPr>
<w:r><w:t xml:space="preserve">elders.  In his later novels Ainsworth confined himself to</w:t></w:r>
</w:p>
<w:p>
<w:pPr><w:pStyle w:val="Normal"/></w:pPr>
<w:r><w:t xml:space="preserve">heroes less open to criticism.  His style was not without</w:t></w:r>
</w:p>
<w:p>
<w:pPr><w:pStyle w:val="Normal"/></w:pPr>
<w:r><w:t xml:space="preserve">archaic affectation and awkwardness, but when his energies were</w:t></w:r>
</w:p>
<w:p>
<w:pPr><w:pStyle w:val="Normal"/></w:pPr>
<w:r><w:t xml:space="preserve">aroused by a striking situation he could be brisk, vigorous</w:t></w:r>
</w:p>
<w:p>
<w:pPr><w:pStyle w:val="Normal"/></w:pPr>
<w:r><w:t xml:space="preserve">and impressive.  He did a great deal to interest the less</w:t></w:r>
</w:p>
<w:p>
<w:pPr><w:pStyle w:val="Normal"/></w:pPr>
<w:r><w:t xml:space="preserve">educated classes in the historical romances of their country,</w:t></w:r>
</w:p>
<w:p>
<w:pPr><w:pStyle w:val="Normal"/></w:pPr>
<w:r><w:t xml:space="preserve">and his tales were invariably instructive, clean and manly.</w:t></w:r>
</w:p>
<w:p>
<w:pPr><w:pStyle w:val="Normal"/></w:pPr>
<w:r><w:t xml:space="preserve">AINTAB (anc. Doliche), a town in the vilayet of Aleppo</w:t></w:r>
</w:p>
<w:p>
<w:pPr><w:pStyle w:val="Normal"/></w:pPr>
<w:r><w:t xml:space="preserve">and ancient Cyrrhestica district of N. Syria.  Pop. 45,000,</w:t></w:r>
</w:p>
<w:p>
<w:pPr><w:pStyle w:val="Normal"/></w:pPr>
<w:r><w:t xml:space="preserve">two-thirds Moslem.  The site of Doliche, famous for its</w:t></w:r>
</w:p>
<w:p>
<w:pPr><w:pStyle w:val="Normal"/></w:pPr>
<w:r><w:t xml:space="preserve">worship of Baal (Zeus Dolichenus), adopted by the Seleucids</w:t></w:r>
</w:p>
<w:p>
<w:pPr><w:pStyle w:val="Normal"/></w:pPr>
<w:r><w:t xml:space="preserve">and eventually spread all over the Roman empire, lies at</w:t></w:r>
</w:p>
<w:p>
<w:pPr><w:pStyle w:val="Normal"/></w:pPr>
<w:r><w:t xml:space="preserve">Duluk, two hours N.W.; but nothing is to be seen there except a</w:t></w:r>
</w:p>
<w:p>
<w:pPr><w:pStyle w:val="Normal"/></w:pPr>
<w:r><w:t xml:space="preserve">mound.  The place was probably of Hittite origin and does not</w:t></w:r>
</w:p>
<w:p>
<w:pPr><w:pStyle w:val="Normal"/></w:pPr>
<w:r><w:t xml:space="preserve">appear to have been settled by Greeks.  The bazaars of Aintab</w:t></w:r>
</w:p>
<w:p>
<w:pPr><w:pStyle w:val="Normal"/></w:pPr>
<w:r><w:t xml:space="preserve">are a great centre for ``Hittite&apos;&apos; antiquities, found at</w:t></w:r>
</w:p>
<w:p>
<w:pPr><w:pStyle w:val="Normal"/></w:pPr>
<w:r><w:t xml:space="preserve">various sites from Sakchegozu on the west to Jerablus on the</w:t></w:r>
</w:p>
<w:p>
<w:pPr><w:pStyle w:val="Normal"/></w:pPr>
<w:r><w:t xml:space="preserve">east.  The modern town lies in the open treeless valley of</w:t></w:r>
</w:p>
<w:p>
<w:pPr><w:pStyle w:val="Normal"/></w:pPr>
<w:r><w:t xml:space="preserve">the Sajur, a tributary of the Euphrates, and on the right</w:t></w:r>
</w:p>
<w:p>
<w:pPr><w:pStyle w:val="Normal"/></w:pPr>
<w:r><w:t xml:space="preserve">bank, 65 m. north-east of Aleppo, with which it is connected</w:t></w:r>
</w:p>
<w:p>
<w:pPr><w:pStyle w:val="Normal"/></w:pPr>
<w:r><w:t xml:space="preserve">by a chaussee, passing through Kulis.  This road proceeds</w:t></w:r>
</w:p>
<w:p>
<w:pPr><w:pStyle w:val="Normal"/></w:pPr>
<w:r><w:t xml:space="preserve">east to the great crossing of Euphrates at Birejik, and thus</w:t></w:r>
</w:p>
<w:p>
<w:pPr><w:pStyle w:val="Normal"/></w:pPr>
<w:r><w:t xml:space="preserve">Aintab lies on the highway between N. Syria and Urfa-Mosul</w:t></w:r>
</w:p>
<w:p>
<w:pPr><w:pStyle w:val="Normal"/></w:pPr>
<w:r><w:t xml:space="preserve">and has much transit trade and numerous khans. In the middle</w:t></w:r>
</w:p>
<w:p>
<w:pPr><w:pStyle w:val="Normal"/></w:pPr>
<w:r><w:t xml:space="preserve">ages its strong castle (Hamtab) was an important strategic</w:t></w:r>
</w:p>
<w:p>
<w:pPr><w:pStyle w:val="Normal"/></w:pPr>
<w:r><w:t xml:space="preserve">point, taken by Saladin about A.D. 1183; and it supplied the</w:t></w:r>
</w:p>
<w:p>
<w:pPr><w:pStyle w:val="Normal"/></w:pPr>
<w:r><w:t xml:space="preserve">last base from which Ibrahim Pasha marched in 1839 to win his</w:t></w:r>
</w:p>
<w:p>
<w:pPr><w:pStyle w:val="Normal"/></w:pPr>
<w:r><w:t xml:space="preserve">decisive victory over the Turksat Nezib, about 25 m. distant</w:t></w:r>
</w:p>
<w:p>
<w:pPr><w:pStyle w:val="Normal"/></w:pPr>
<w:r><w:t xml:space="preserve">north-east.  Lying high (3500 ft.) and swept by purifying</w:t></w:r>
</w:p>
<w:p>
<w:pPr><w:pStyle w:val="Normal"/></w:pPr>
<w:r><w:t xml:space="preserve">winds, Aintab is a comparatively clean and healthy spot,</w:t></w:r>
</w:p>
<w:p>
<w:pPr><w:pStyle w:val="Normal"/></w:pPr>
<w:r><w:t xml:space="preserve">though not free from ophthalmia and the ``Aleppo button,&apos;&apos;</w:t></w:r>
</w:p>
<w:p>
<w:pPr><w:pStyle w:val="Normal"/></w:pPr>
<w:r><w:t xml:space="preserve">and it has been selected by the American Mission Board as its</w:t></w:r>
</w:p>
<w:p>
<w:pPr><w:pStyle w:val="Normal"/></w:pPr>
<w:r><w:t xml:space="preserve">centre for N. Syria ``Central Turkey College,&apos;&apos; educational</w:t></w:r>
</w:p>
<w:p>
<w:pPr><w:pStyle w:val="Normal"/></w:pPr>
<w:r><w:t xml:space="preserve">and medical, lies on high ground west.  It was burnt down in</w:t></w:r>
</w:p>
<w:p>
<w:pPr><w:pStyle w:val="Normal"/></w:pPr>
<w:r><w:t xml:space="preserve">1891, but rebuilt; it has a dependency for girls within the</w:t></w:r>
</w:p>
<w:p>
<w:pPr><w:pStyle w:val="Normal"/></w:pPr>
<w:r><w:t xml:space="preserve">town.  Thanks to its presence the Armenian protestants are a</w:t></w:r>
</w:p>
<w:p>
<w:pPr><w:pStyle w:val="Normal"/></w:pPr>
<w:r><w:t xml:space="preserve">large and rich community, which suffered less in the massacre</w:t></w:r>
</w:p>
<w:p>
<w:pPr><w:pStyle w:val="Normal"/></w:pPr>
<w:r><w:t xml:space="preserve">of 1895 than the Gregorians.  There is a small Episcopalian</w:t></w:r>
</w:p>
<w:p>
<w:pPr><w:pStyle w:val="Normal"/></w:pPr>
<w:r><w:t xml:space="preserve">body, which has a large unfinished church, and a schismatic</w:t></w:r>
</w:p>
<w:p>
<w:pPr><w:pStyle w:val="Normal"/></w:pPr>
<w:r><w:t xml:space="preserve">``catholicos,&apos;&apos; who has vainly tried to gain acceptance into</w:t></w:r>
</w:p>
<w:p>
<w:pPr><w:pStyle w:val="Normal"/></w:pPr>
<w:r><w:t xml:space="preserve">the Anglican communion.  There is also a flourishing Franciscan</w:t></w:r>
</w:p>
<w:p>
<w:pPr><w:pStyle w:val="Normal"/></w:pPr>
<w:r><w:t xml:space="preserve">mission.  Striped cloths and pekmez, a sweet paste made</w:t></w:r>
</w:p>
<w:p>
<w:pPr><w:pStyle w:val="Normal"/></w:pPr>
<w:r><w:t xml:space="preserve">from grapes, are the principal manufactures; and tobacco</w:t></w:r>
</w:p>
<w:p>
<w:pPr><w:pStyle w:val="Normal"/></w:pPr>
<w:r><w:t xml:space="preserve">and cereals the principal cultures.  The town is unusually</w:t></w:r>
</w:p>
<w:p>
<w:pPr><w:pStyle w:val="Normal"/></w:pPr>
<w:r><w:t xml:space="preserve">well and solidly built, good stone being obtained near at</w:t></w:r>
</w:p>
<w:p>
<w:pPr><w:pStyle w:val="Normal"/></w:pPr>
<w:r><w:t xml:space="preserve">hand.  The Moslem inhabitants are mainly of Turkoman origin,</w:t></w:r>
</w:p>
<w:p>
<w:pPr><w:pStyle w:val="Normal"/></w:pPr>
<w:r><w:t xml:space="preserve">and used to owe fealty to chieftains of the family of Chapan</w:t></w:r>
</w:p>
<w:p>
<w:pPr><w:pStyle w:val="Normal"/></w:pPr>
<w:r><w:t xml:space="preserve">Oglu, whose headquarters were at Yuzgat in Cappadocia. (D. G. H.)</w:t></w:r>
</w:p>
<w:p>
<w:pPr><w:pStyle w:val="Normal"/></w:pPr>
<w:r><w:t xml:space="preserve">AINU (``man&apos;&apos;), a race inhabiting the northernmost islands</w:t></w:r>
</w:p>
<w:p>
<w:pPr><w:pStyle w:val="Normal"/></w:pPr>
<w:r><w:t xml:space="preserve">of Japan.  Little definite is known about their earliest</w:t></w:r>
</w:p>
<w:p>
<w:pPr><w:pStyle w:val="Normal"/></w:pPr>
<w:r><w:t xml:space="preserve">history, but it is improbable that they are, as has been</w:t></w:r>
</w:p>
<w:p>
<w:pPr><w:pStyle w:val="Normal"/></w:pPr>
<w:r><w:t xml:space="preserve">urged, the aborigines of Japan.  The most accurate researches</w:t></w:r>
</w:p>
<w:p>
<w:pPr><w:pStyle w:val="Normal"/></w:pPr>
<w:r><w:t xml:space="preserve">go to prove that they were immigrants, who reached Yezo</w:t></w:r>
</w:p>
<w:p>
<w:pPr><w:pStyle w:val="Normal"/></w:pPr>
<w:r><w:t xml:space="preserve">from the Kuriles, and subsequently crossing Tsugaru</w:t></w:r>
</w:p>
<w:p>
<w:pPr><w:pStyle w:val="Normal"/></w:pPr>
<w:r><w:t xml:space="preserve">strait, colonized a great part of the main island of Japan,</w:t></w:r>
</w:p>
<w:p>
<w:pPr><w:pStyle w:val="Normal"/></w:pPr>
<w:r><w:t xml:space="preserve">exterminating a race of pit-dwellers to whom they gave the</w:t></w:r>
</w:p>
<w:p>
<w:pPr><w:pStyle w:val="Normal"/></w:pPr>
<w:r><w:t xml:space="preserve">name of koro-pok-guru (men with sunken places).  These</w:t></w:r>
</w:p>
<w:p>
<w:pPr><w:pStyle w:val="Normal"/></w:pPr>
<w:r><w:t xml:space="preserve">koro-pok-guru were of such small stature as to be considered</w:t></w:r>
</w:p>
<w:p>
<w:pPr><w:pStyle w:val="Normal"/></w:pPr>
<w:r><w:t xml:space="preserve">dwarfs.  They wore skins of animals for clothing, and that</w:t></w:r>
</w:p>
<w:p>
<w:pPr><w:pStyle w:val="Normal"/></w:pPr>
<w:r><w:t xml:space="preserve">they understood the potter&apos;s art and used flint arrow-heads</w:t></w:r>
</w:p>
<w:p>
<w:pPr><w:pStyle w:val="Normal"/></w:pPr>
<w:r><w:t xml:space="preserve">is clearly proved by excavations at the sites of their</w:t></w:r>
</w:p>
<w:p>
<w:pPr><w:pStyle w:val="Normal"/></w:pPr>
<w:r><w:t xml:space="preserve">pits.  The Ainu, on the contrary, never had any knowledge of</w:t></w:r>
</w:p>
<w:p>
<w:pPr><w:pStyle w:val="Normal"/></w:pPr>
<w:r><w:t xml:space="preserve">pottery.  Ultimately the Ainu, coming into contact with the</w:t></w:r>
</w:p>
<w:p>
<w:pPr><w:pStyle w:val="Normal"/></w:pPr>
<w:r><w:t xml:space="preserve">Japanese, who had immigrated from the south and west, were</w:t></w:r>
</w:p>
<w:p>
<w:pPr><w:pStyle w:val="Normal"/></w:pPr>
<w:r><w:t xml:space="preserve">driven northward into the island of Yezo, where, as well as</w:t></w:r>
</w:p>
<w:p>
<w:pPr><w:pStyle w:val="Normal"/></w:pPr>
<w:r><w:t xml:space="preserve">in the Kuriles and in the southern part of Sakhalin, they are</w:t></w:r>
</w:p>
<w:p>
<w:pPr><w:pStyle w:val="Normal"/></w:pPr>
<w:r><w:t xml:space="preserve">still found in some numbers.  When, at the close of the 18th</w:t></w:r>
</w:p>
<w:p>
<w:pPr><w:pStyle w:val="Normal"/></w:pPr>
<w:r><w:t xml:space="preserve">and the beginning of the 19th century, Russian enterprises</w:t></w:r>
</w:p>
<w:p>
<w:pPr><w:pStyle w:val="Normal"/></w:pPr>
<w:r><w:t xml:space="preserve">drew the attention of the Japanese government to the northern</w:t></w:r>
</w:p>
<w:p>
<w:pPr><w:pStyle w:val="Normal"/></w:pPr>
<w:r><w:t xml:space="preserve">districts of the empire, the Tokugawa shoguns adopted towards</w:t></w:r>
</w:p>
<w:p>
<w:pPr><w:pStyle w:val="Normal"/></w:pPr>
<w:r><w:t xml:space="preserve">the Ainu a policy of liberality and leniency consistent with</w:t></w:r>
</w:p>
<w:p>
<w:pPr><w:pStyle w:val="Normal"/></w:pPr>
<w:r><w:t xml:space="preserve">the best principles of modern colonization.  But the doom</w:t></w:r>
</w:p>
<w:p>
<w:pPr><w:pStyle w:val="Normal"/></w:pPr>
<w:r><w:t xml:space="preserve">of unfitness appears to have begun to overtake the race long</w:t></w:r>
</w:p>
<w:p>
<w:pPr><w:pStyle w:val="Normal"/></w:pPr>
<w:r><w:t xml:space="preserve">ago.  History indicates that in ancient times they were</w:t></w:r>
</w:p>
<w:p>
<w:pPr><w:pStyle w:val="Normal"/></w:pPr>
<w:r><w:t xml:space="preserve">fierce fighters, able to offer a stout resistance to the</w:t></w:r>
</w:p>
<w:p>
<w:pPr><w:pStyle w:val="Normal"/></w:pPr>
<w:r><w:t xml:space="preserve">incomparably better armed and more civilized Japanese.</w:t></w:r>
</w:p>
<w:p>
<w:pPr><w:pStyle w:val="Normal"/></w:pPr>
<w:r><w:t xml:space="preserve">To-day they are drunken, dirty, spiritless folk, whom it is</w:t></w:r>
</w:p>
<w:p>
<w:pPr><w:pStyle w:val="Normal"/></w:pPr>
<w:r><w:t xml:space="preserve">difficult to suppose capable of the warlike role they once</w:t></w:r>
</w:p>
<w:p>
<w:pPr><w:pStyle w:val="Normal"/></w:pPr>
<w:r><w:t xml:space="preserve">played.  Their number, between 16,000 and 17,000, is virtually</w:t></w:r>
</w:p>
<w:p>
<w:pPr><w:pStyle w:val="Normal"/></w:pPr>
<w:r><w:t xml:space="preserve">stationary.  The Ainu are somewhat taller than the Japanese,</w:t></w:r>
</w:p>
<w:p>
<w:pPr><w:pStyle w:val="Normal"/></w:pPr>
<w:r><w:t xml:space="preserve">stoutly built, well proportioned, with dark-brown eyes, high</w:t></w:r>
</w:p>
<w:p>
<w:pPr><w:pStyle w:val="Normal"/></w:pPr>
<w:r><w:t xml:space="preserve">cheek-bones, short broad noses and faces lacking length.</w:t></w:r>
</w:p>
<w:p>
<w:pPr><w:pStyle w:val="Normal"/></w:pPr>
<w:r><w:t xml:space="preserve">The hairiness of the Ainu has been much exaggerated.  They</w:t></w:r>
</w:p>
<w:p>
<w:pPr><w:pStyle w:val="Normal"/></w:pPr>
<w:r><w:t xml:space="preserve">are not more hairy than many Europeans.  Never shaving after</w:t></w:r>
</w:p>
<w:p>
<w:pPr><w:pStyle w:val="Normal"/></w:pPr>
<w:r><w:t xml:space="preserve">a certain age, the men have full beards and moustaches, but</w:t></w:r>
</w:p>
<w:p>
<w:pPr><w:pStyle w:val="Normal"/></w:pPr>
<w:r><w:t xml:space="preserve">the stories of Ainu covered with hair like a bear are quite</w:t></w:r>
</w:p>
<w:p>
<w:pPr><w:pStyle w:val="Normal"/></w:pPr>
<w:r><w:t xml:space="preserve">unjustified by facts.  Men and women alike cut their hair</w:t></w:r>
</w:p>
<w:p>
<w:pPr><w:pStyle w:val="Normal"/></w:pPr>
<w:r><w:t xml:space="preserve">level with the shoulders at the sides of the head, but trim</w:t></w:r>
</w:p>
<w:p>
<w:pPr><w:pStyle w:val="Normal"/></w:pPr>
<w:r><w:t xml:space="preserve">it semicircularly behind.  The women tattoo their mouths,</w:t></w:r>
</w:p>
<w:p>
<w:pPr><w:pStyle w:val="Normal"/></w:pPr>
<w:r><w:t xml:space="preserve">arms, and sometimes their foreheads, using for colour the</w:t></w:r>
</w:p>
<w:p>
<w:pPr><w:pStyle w:val="Normal"/></w:pPr>
<w:r><w:t xml:space="preserve">smut deposited on a pot hung over a fire of birch bark.</w:t></w:r>
</w:p>
<w:p>
<w:pPr><w:pStyle w:val="Normal"/></w:pPr>
<w:r><w:t xml:space="preserve">Their original dress is a robe spun from the bark of the elm</w:t></w:r>
</w:p>
<w:p>
<w:pPr><w:pStyle w:val="Normal"/></w:pPr>
<w:r><w:t xml:space="preserve">tree.  It has long sleeves, reaches nearly to the feet, is</w:t></w:r>
</w:p>
<w:p>
<w:pPr><w:pStyle w:val="Normal"/></w:pPr>
<w:r><w:t xml:space="preserve">folded round the body and tied with a girdle of the same</w:t></w:r>
</w:p>
<w:p>
<w:pPr><w:pStyle w:val="Normal"/></w:pPr>
<w:r><w:t xml:space="preserve">material.  Females wear also an undergarment of Japanese</w:t></w:r>
</w:p>
<w:p>
<w:pPr><w:pStyle w:val="Normal"/></w:pPr>
<w:r><w:t xml:space="preserve">cloth.  In winter the skins of animals are worn, with leggings</w:t></w:r>
</w:p>
<w:p>
<w:pPr><w:pStyle w:val="Normal"/></w:pPr>
<w:r><w:t xml:space="preserve">of deerskin and boots made from the skin of dogs or salmon.</w:t></w:r>
</w:p>
<w:p>
<w:pPr><w:pStyle w:val="Normal"/></w:pPr>
<w:r><w:t xml:space="preserve">Both sexes are fond of ear-rings, which are said to have been</w:t></w:r>
</w:p>
<w:p>
<w:pPr><w:pStyle w:val="Normal"/></w:pPr>
<w:r><w:t xml:space="preserve">made of grape-vine in former times, but are now purchased from</w:t></w:r>
</w:p>
<w:p>
<w:pPr><w:pStyle w:val="Normal"/></w:pPr>
<w:r><w:t xml:space="preserve">the Japanese, as also are bead necklaces, which the women prize</w:t></w:r>
</w:p>
<w:p>
<w:pPr><w:pStyle w:val="Normal"/></w:pPr>
<w:r><w:t xml:space="preserve">highly.  Their food is meat, whenever they can procure</w:t></w:r>
</w:p>
<w:p>
<w:pPr><w:pStyle w:val="Normal"/></w:pPr>
<w:r><w:t xml:space="preserve">it--the flesh of the bear, the fox, the wolf, the badger, the</w:t></w:r>
</w:p>
<w:p>
<w:pPr><w:pStyle w:val="Normal"/></w:pPr>
<w:r><w:t xml:space="preserve">ox or the horse--fish, fowl, millet, vegetables, herbs and</w:t></w:r>
</w:p>
<w:p>
<w:pPr><w:pStyle w:val="Normal"/></w:pPr>
<w:r><w:t xml:space="preserve">roots.  They never eat raw fish or flesh, but always either</w:t></w:r>
</w:p>
<w:p>
<w:pPr><w:pStyle w:val="Normal"/></w:pPr>
<w:r><w:t xml:space="preserve">boil or roast it.  Their habitations are reed-thatched huts,</w:t></w:r>
</w:p>
<w:p>
<w:pPr><w:pStyle w:val="Normal"/></w:pPr>
<w:r><w:t xml:space="preserve">the largest 20 ft. square, without partitions and having a</w:t></w:r>
</w:p>
<w:p>
<w:pPr><w:pStyle w:val="Normal"/></w:pPr>
<w:r><w:t xml:space="preserve">fireplace in the centre.  There is no chimney, but only a</w:t></w:r>
</w:p>
<w:p>
<w:pPr><w:pStyle w:val="Normal"/></w:pPr>
<w:r><w:t xml:space="preserve">hole at the angle of the roof; there is one window on the</w:t></w:r>
</w:p>
<w:p>
<w:pPr><w:pStyle w:val="Normal"/></w:pPr>
<w:r><w:t xml:space="preserve">eastern side and there are two doors.  Public buildings do</w:t></w:r>
</w:p>
<w:p>
<w:pPr><w:pStyle w:val="Normal"/></w:pPr>
<w:r><w:t xml:space="preserve">not exist, whether in the shape of inn, meeting-place or</w:t></w:r>
</w:p>
<w:p>
<w:pPr><w:pStyle w:val="Normal"/></w:pPr>
<w:r><w:t xml:space="preserve">temple.  The furniture of their dwellings is exceedingly</w:t></w:r>
</w:p>
<w:p>
<w:pPr><w:pStyle w:val="Normal"/></w:pPr>
<w:r><w:t xml:space="preserve">scanty.  They have no chairs, stools or tables, but sit on</w:t></w:r>
</w:p>
<w:p>
<w:pPr><w:pStyle w:val="Normal"/></w:pPr>
<w:r><w:t xml:space="preserve">the floor, which is covered with two layers of mats, one of</w:t></w:r>
</w:p>
<w:p>
<w:pPr><w:pStyle w:val="Normal"/></w:pPr>
<w:r><w:t xml:space="preserve">rush, the other of flag; and for beds they spread planks,</w:t></w:r>
</w:p>
<w:p>
<w:pPr><w:pStyle w:val="Normal"/></w:pPr>
<w:r><w:t xml:space="preserve">hanging mats around them on poles, and employing skins for</w:t></w:r>
</w:p>
<w:p>
<w:pPr><w:pStyle w:val="Normal"/></w:pPr>
<w:r><w:t xml:space="preserve">coverlets.  The men use chop-sticks and moustache-lifters</w:t></w:r>
</w:p>
<w:p>
<w:pPr><w:pStyle w:val="Normal"/></w:pPr>
<w:r><w:t xml:space="preserve">when eating; the women have wooden spoons.  Uncleanliness is</w:t></w:r>
</w:p>
<w:p>
<w:pPr><w:pStyle w:val="Normal"/></w:pPr>
<w:r><w:t xml:space="preserve">characteristic of the Ainu, and all their intercourse with the</w:t></w:r>
</w:p>
<w:p>
<w:pPr><w:pStyle w:val="Normal"/></w:pPr>
<w:r><w:t xml:space="preserve">Japanese has not improved them in that respect.  The Rev. John</w:t></w:r>
</w:p>
<w:p>
<w:pPr><w:pStyle w:val="Normal"/></w:pPr>
<w:r><w:t xml:space="preserve">Batchelor, in his Notes on the Ainu, says that he lived in</w:t></w:r>
</w:p>
<w:p>
<w:pPr><w:pStyle w:val="Normal"/></w:pPr>
<w:r><w:t xml:space="preserve">one Ainu habitation for six weeks on one occasion, and for</w:t></w:r>
</w:p>
<w:p>
<w:pPr><w:pStyle w:val="Normal"/></w:pPr>
<w:r><w:t xml:space="preserve">two months on another, and that he never once saw personal</w:t></w:r>
</w:p>
<w:p>
<w:pPr><w:pStyle w:val="Normal"/></w:pPr>
<w:r><w:t xml:space="preserve">ablutions performed, or cooking or eating utensils washed.</w:t></w:r>
</w:p>
<w:p>
<w:pPr><w:pStyle w:val="Normal"/></w:pPr>
<w:r><w:t xml:space="preserve">Not having been at any period acquainted with the art of</w:t></w:r>
</w:p>
<w:p>
<w:pPr><w:pStyle w:val="Normal"/></w:pPr>
<w:r><w:t xml:space="preserve">writing, they have no literature and are profoundly ignorant.</w:t></w:r>
</w:p>
<w:p>
<w:pPr><w:pStyle w:val="Normal"/></w:pPr>
<w:r><w:t xml:space="preserve">But at schools established for them by the Japanese in recent</w:t></w:r>
</w:p>
<w:p>
<w:pPr><w:pStyle w:val="Normal"/></w:pPr>
<w:r><w:t xml:space="preserve">times, they have shown that their intellectual capacity is not</w:t></w:r>
</w:p>
<w:p>
<w:pPr><w:pStyle w:val="Normal"/></w:pPr>
<w:r><w:t xml:space="preserve">deficient.  No distinct conception of a universe enters</w:t></w:r>
</w:p>
<w:p>
<w:pPr><w:pStyle w:val="Normal"/></w:pPr>
<w:r><w:t xml:space="preserve">into their cosmology.  They picture to themselves many</w:t></w:r>
</w:p>
<w:p>
<w:pPr><w:pStyle w:val="Normal"/></w:pPr>
<w:r><w:t xml:space="preserve">floating worlds, yet they deduce the idea of rotundity from</w:t></w:r>
</w:p>
<w:p>
<w:pPr><w:pStyle w:val="Normal"/></w:pPr>
<w:r><w:t xml:space="preserve">the course of the sun, and they imagine that the ``Ainu</w:t></w:r>
</w:p>
<w:p>
<w:pPr><w:pStyle w:val="Normal"/></w:pPr>
<w:r><w:t xml:space="preserve">world&apos;&apos; rests on the back of a fish whose movements cause</w:t></w:r>
</w:p>
<w:p>
<w:pPr><w:pStyle w:val="Normal"/></w:pPr>
<w:r><w:t xml:space="preserve">earthquakes.  It is scarcely possible to doubt that this fancy</w:t></w:r>
</w:p>
<w:p>
<w:pPr><w:pStyle w:val="Normal"/></w:pPr>
<w:r><w:t xml:space="preserve">is derived from the Japanese, who used to hold an identical</w:t></w:r>
</w:p>
<w:p>
<w:pPr><w:pStyle w:val="Normal"/></w:pPr>
<w:r><w:t xml:space="preserve">theory.  The Ainu believe in a supreme Creator, but also in a</w:t></w:r>
</w:p>
<w:p>
<w:pPr><w:pStyle w:val="Normal"/></w:pPr>
<w:r><w:t xml:space="preserve">sun-god, a moon-god, a water-god and a mountain-god, deities</w:t></w:r>
</w:p>
<w:p>
<w:pPr><w:pStyle w:val="Normal"/></w:pPr>
<w:r><w:t xml:space="preserve">whose river is the Milky Way, whose voices are heard in</w:t></w:r>
</w:p>
<w:p>
<w:pPr><w:pStyle w:val="Normal"/></w:pPr>
<w:r><w:t xml:space="preserve">the thunder and whose glory is reflected in the lightning.</w:t></w:r>
</w:p>
<w:p>
<w:pPr><w:pStyle w:val="Normal"/></w:pPr>
<w:r><w:t xml:space="preserve">Their chief object of actual worship appears to be the bear.</w:t></w:r>
</w:p>
<w:p>
<w:pPr><w:pStyle w:val="Normal"/></w:pPr>
<w:r><w:t xml:space="preserve">Miss Isabella Bird (Mrs Bishop) writes: ``The peculiarity</w:t></w:r>
</w:p>
<w:p>
<w:pPr><w:pStyle w:val="Normal"/></w:pPr>
<w:r><w:t xml:space="preserve">which distinguishes their rude mythology is the worship</w:t></w:r>
</w:p>
<w:p>
<w:pPr><w:pStyle w:val="Normal"/></w:pPr>
<w:r><w:t xml:space="preserve">of the bear, the Yezo bear being one of the finest of his</w:t></w:r>
</w:p>
<w:p>
<w:pPr><w:pStyle w:val="Normal"/></w:pPr>
<w:r><w:t xml:space="preserve">species.  But it is impossible to understand the feelings</w:t></w:r>
</w:p>
<w:p>
<w:pPr><w:pStyle w:val="Normal"/></w:pPr>
<w:r><w:t xml:space="preserve">by which this cult is prompted, for although they worship</w:t></w:r>
</w:p>
<w:p>
<w:pPr><w:pStyle w:val="Normal"/></w:pPr>
<w:r><w:t xml:space="preserve">the animal after their fashion and set up its head in their</w:t></w:r>
</w:p>
<w:p>
<w:pPr><w:pStyle w:val="Normal"/></w:pPr>
<w:r><w:t xml:space="preserve">villages, yet they trap it, kill it, eat it and sell its</w:t></w:r>
</w:p>
<w:p>
<w:pPr><w:pStyle w:val="Normal"/></w:pPr>
<w:r><w:t xml:space="preserve">skin.  There is no doubt that this wild beast inspires more</w:t></w:r>
</w:p>
<w:p>
<w:pPr><w:pStyle w:val="Normal"/></w:pPr>
<w:r><w:t xml:space="preserve">of the feeling which prompts worship than the inanimate</w:t></w:r>
</w:p>
<w:p>
<w:pPr><w:pStyle w:val="Normal"/></w:pPr>
<w:r><w:t xml:space="preserve">forces of nature, and the Ainos may be distinguished as</w:t></w:r>
</w:p>
<w:p>
<w:pPr><w:pStyle w:val="Normal"/></w:pPr>
<w:r><w:t xml:space="preserve">bear-worshippers, and their greatest religious festival or</w:t></w:r>
</w:p>
<w:p>
<w:pPr><w:pStyle w:val="Normal"/></w:pPr>
<w:r><w:t xml:space="preserve">saturnalia as the Festival of the Bear....  Some of their rude</w:t></w:r>
</w:p>
<w:p>
<w:pPr><w:pStyle w:val="Normal"/></w:pPr>
<w:r><w:t xml:space="preserve">chants are in praise of the bear, and their highest eulogy on</w:t></w:r>
</w:p>
<w:p>
<w:pPr><w:pStyle w:val="Normal"/></w:pPr>
<w:r><w:t xml:space="preserve">a man is to compare him to a bear.&apos;&apos; They have no priests by</w:t></w:r>
</w:p>
<w:p>
<w:pPr><w:pStyle w:val="Normal"/></w:pPr>
<w:r><w:t xml:space="preserve">profession.  The village chief performs whatever religious</w:t></w:r>
</w:p>
<w:p>
<w:pPr><w:pStyle w:val="Normal"/></w:pPr>
<w:r><w:t xml:space="preserve">ceremonies are necessary; ceremonies confined to making libations</w:t></w:r>
</w:p>
<w:p>
<w:pPr><w:pStyle w:val="Normal"/></w:pPr>
<w:r><w:t xml:space="preserve">of wine, uttering short prayers and offering willow sticks</w:t></w:r>
</w:p>
<w:p>
<w:pPr><w:pStyle w:val="Normal"/></w:pPr>
<w:r><w:t xml:space="preserve">with wooden shavings attached to them, much as the Japanese</w:t></w:r>
</w:p>
<w:p>
<w:pPr><w:pStyle w:val="Normal"/></w:pPr>
<w:r><w:t xml:space="preserve">set up the well-known gohei (sacred offerings) at certain</w:t></w:r>
</w:p>
<w:p>
<w:pPr><w:pStyle w:val="Normal"/></w:pPr>
<w:r><w:t xml:space="preserve">spots.  The Ainu gives thanks to the gods before eating, and</w:t></w:r>
</w:p>
<w:p>
<w:pPr><w:pStyle w:val="Normal"/></w:pPr>
<w:r><w:t xml:space="preserve">prays to the deity of fire in time of sickness.  He thinks</w:t></w:r>
</w:p>
<w:p>
<w:pPr><w:pStyle w:val="Normal"/></w:pPr>
<w:r><w:t xml:space="preserve">that his spirit is immortal, and that it will be rewarded</w:t></w:r>
</w:p>
<w:p>
<w:pPr><w:pStyle w:val="Normal"/></w:pPr>
<w:r><w:t xml:space="preserve">hereafter in heaven or punished in hell, both of which places</w:t></w:r>
</w:p>
<w:p>
<w:pPr><w:pStyle w:val="Normal"/></w:pPr>
<w:r><w:t xml:space="preserve">are beneath the earth, hell being the land of volcanoes;</w:t></w:r>
</w:p>
<w:p>
<w:pPr><w:pStyle w:val="Normal"/></w:pPr>
<w:r><w:t xml:space="preserve">but he has no theory as to a resurrection of the body or</w:t></w:r>
</w:p>
<w:p>
<w:pPr><w:pStyle w:val="Normal"/></w:pPr>
<w:r><w:t xml:space="preserve">metempsychosis.  He preserves a tradition about a flood</w:t></w:r>
</w:p>
<w:p>
<w:pPr><w:pStyle w:val="Normal"/></w:pPr>
<w:r><w:t xml:space="preserve">which seems to be the counterpart of the Biblical deluge, and</w:t></w:r>
</w:p>
<w:p>
<w:pPr><w:pStyle w:val="Normal"/></w:pPr>
<w:r><w:t xml:space="preserve">about an earthquake which lasted a hundred days, produced the</w:t></w:r>
</w:p>
<w:p>
<w:pPr><w:pStyle w:val="Normal"/></w:pPr>
<w:r><w:t xml:space="preserve">three volcanoes of Yezo and created the island by bridging</w:t></w:r>
</w:p>
<w:p>
<w:pPr><w:pStyle w:val="Normal"/></w:pPr>
<w:r><w:t xml:space="preserve">the waters that had previously separated it into two parts.</w:t></w:r>
</w:p>
<w:p>
<w:pPr><w:pStyle w:val="Normal"/></w:pPr>
<w:r><w:t xml:space="preserve">The Ainu are now governed by Japanese laws and judged by</w:t></w:r>
</w:p>
<w:p>
<w:pPr><w:pStyle w:val="Normal"/></w:pPr>
<w:r><w:t xml:space="preserve">Japanese tribunals, but in former times their affairs were</w:t></w:r>
</w:p>
<w:p>
<w:pPr><w:pStyle w:val="Normal"/></w:pPr>
<w:r><w:t xml:space="preserve">administered by hereditary chiefs, three in each village,</w:t></w:r>
</w:p>
<w:p>
<w:pPr><w:pStyle w:val="Normal"/></w:pPr>
<w:r><w:t xml:space="preserve">and for administrative purposes the country was divided into</w:t></w:r>
</w:p>
<w:p>
<w:pPr><w:pStyle w:val="Normal"/></w:pPr>
<w:r><w:t xml:space="preserve">three districts, Saru, Usu and Ishikari, which were under the</w:t></w:r>
</w:p>
<w:p>
<w:pPr><w:pStyle w:val="Normal"/></w:pPr>
<w:r><w:t xml:space="preserve">ultimate control of Saru, though the relations between their</w:t></w:r>
</w:p>
<w:p>
<w:pPr><w:pStyle w:val="Normal"/></w:pPr>
<w:r><w:t xml:space="preserve">respective inhabitants were not close and intermarriages were</w:t></w:r>
</w:p>
<w:p>
<w:pPr><w:pStyle w:val="Normal"/></w:pPr>
<w:r><w:t xml:space="preserve">avoided.  The functions of judge were not entrusted to these</w:t></w:r>
</w:p>
<w:p>
<w:pPr><w:pStyle w:val="Normal"/></w:pPr>
<w:r><w:t xml:space="preserve">chiefs; an indefinite number of a community&apos;s members sat</w:t></w:r>
</w:p>
<w:p>
<w:pPr><w:pStyle w:val="Normal"/></w:pPr>
<w:r><w:t xml:space="preserve">in judgment upon its criminals.  Capital punishment did not</w:t></w:r>
</w:p>
<w:p>
<w:pPr><w:pStyle w:val="Normal"/></w:pPr>
<w:r><w:t xml:space="preserve">exist, nor was imprisonment resorted to, beating being</w:t></w:r>
</w:p>
<w:p>
<w:pPr><w:pStyle w:val="Normal"/></w:pPr>
<w:r><w:t xml:space="preserve">considered a sufficient and final penalty, except in the</w:t></w:r>
</w:p>
<w:p>
<w:pPr><w:pStyle w:val="Normal"/></w:pPr>
<w:r><w:t xml:space="preserve">case of murder, when the nose and ears of the assassin were</w:t></w:r>
</w:p>
<w:p>
<w:pPr><w:pStyle w:val="Normal"/></w:pPr>
<w:r><w:t xml:space="preserve">cut off or the tendons of his feet severed.  Little as the</w:t></w:r>
</w:p>
<w:p>
<w:pPr><w:pStyle w:val="Normal"/></w:pPr>
<w:r><w:t xml:space="preserve">Japanese and the Ainu have in common, intermarriages are</w:t></w:r>
</w:p>
<w:p>
<w:pPr><w:pStyle w:val="Normal"/></w:pPr>
<w:r><w:t xml:space="preserve">not infrequent, and at Sambutsu especially, on the eastern</w:t></w:r>
</w:p>
<w:p>
<w:pPr><w:pStyle w:val="Normal"/></w:pPr>
<w:r><w:t xml:space="preserve">coast, many children of such marriages may be seen.</w:t></w:r>
</w:p>
<w:p>
<w:pPr><w:pStyle w:val="Normal"/></w:pPr>
<w:r><w:t xml:space="preserve">Doenitz, Hilgendorf and Dr B. Scheube, arguing from a minute</w:t></w:r>
</w:p>
<w:p>
<w:pPr><w:pStyle w:val="Normal"/></w:pPr>
<w:r><w:t xml:space="preserve">investigation of the physical traits of the Ainu, have concluded</w:t></w:r>
</w:p>
<w:p>
<w:pPr><w:pStyle w:val="Normal"/></w:pPr>
<w:r><w:t xml:space="preserve">that they are Mongolians; according to Professor A. H. Keane</w:t></w:r>
</w:p>
<w:p>
<w:pPr><w:pStyle w:val="Normal"/></w:pPr>
<w:r><w:t xml:space="preserve">the Ainu ``are quite distinct from the surrounding Mongolic</w:t></w:r>
</w:p>
<w:p>
<w:pPr><w:pStyle w:val="Normal"/></w:pPr>
<w:r><w:t xml:space="preserve">peoples, and present several remarkable physical characters</w:t></w:r>
</w:p>
<w:p>
<w:pPr><w:pStyle w:val="Normal"/></w:pPr>
<w:r><w:t xml:space="preserve">which seem to point to a remote connexion with the Caucasic</w:t></w:r>
</w:p>
<w:p>
<w:pPr><w:pStyle w:val="Normal"/></w:pPr>
<w:r><w:t xml:space="preserve">races.  Such are a very full beard, shaggy or wavy black or</w:t></w:r>
</w:p>
<w:p>
<w:pPr><w:pStyle w:val="Normal"/></w:pPr>
<w:r><w:t xml:space="preserve">dark-brown hair, sometimes covering the back and chest; a</w:t></w:r>
</w:p>
<w:p>
<w:pPr><w:pStyle w:val="Normal"/></w:pPr>
<w:r><w:t xml:space="preserve">somewhat fair or even white complexion, large nose, straight</w:t></w:r>
</w:p>
<w:p>
<w:pPr><w:pStyle w:val="Normal"/></w:pPr>
<w:r><w:t xml:space="preserve">eyes and regular features, often quite handsome and of European</w:t></w:r>
</w:p>
<w:p>
<w:pPr><w:pStyle w:val="Normal"/></w:pPr>
<w:r><w:t xml:space="preserve">type.  They seem to be a last remnant of the Neolithic</w:t></w:r>
</w:p>
<w:p>
<w:pPr><w:pStyle w:val="Normal"/></w:pPr>
<w:r><w:t xml:space="preserve">peoples, who ranged in prehistoric times across the northern</w:t></w:r>
</w:p>
<w:p>
<w:pPr><w:pStyle w:val="Normal"/></w:pPr>
<w:r><w:t xml:space="preserve">hemisphere from the British Isles to Manchuria and Japan.</w:t></w:r>
</w:p>
<w:p>
<w:pPr><w:pStyle w:val="Normal"/></w:pPr>
<w:r><w:t xml:space="preserve">They are bear-worshippers, and have other customs in common</w:t></w:r>
</w:p>
<w:p>
<w:pPr><w:pStyle w:val="Normal"/></w:pPr>
<w:r><w:t xml:space="preserve">with the Manchurian aborigines, but the language is entirely</w:t></w:r>
</w:p>
<w:p>
<w:pPr><w:pStyle w:val="Normal"/></w:pPr>
<w:r><w:t xml:space="preserve">different, and they have traditions of a time when they were</w:t></w:r>
</w:p>
<w:p>
<w:pPr><w:pStyle w:val="Normal"/></w:pPr>
<w:r><w:t xml:space="preserve">the dominant people in the surrounding lands.&apos;&apos; It should be</w:t></w:r>
</w:p>
<w:p>
<w:pPr><w:pStyle w:val="Normal"/></w:pPr>
<w:r><w:t xml:space="preserve">noted finally that the Ainu are altogether free from ferocity or</w:t></w:r>
</w:p>
<w:p>
<w:pPr><w:pStyle w:val="Normal"/></w:pPr>
<w:r><w:t xml:space="preserve">exclusiveness, and that they treat strangers with gentle kindness.</w:t></w:r>
</w:p>
<w:p>
<w:pPr><w:pStyle w:val="Normal"/></w:pPr>
<w:r><w:t xml:space="preserve">See Rev. John Batchelor, The Ainu and their Folk-lore</w:t></w:r>
</w:p>
<w:p>
<w:pPr><w:pStyle w:val="Normal"/></w:pPr>
<w:r><w:t xml:space="preserve">(London, 1901); Romyn Hitchcock, The Ainos of Japan</w:t></w:r>
</w:p>
<w:p>
<w:pPr><w:pStyle w:val="Normal"/></w:pPr>
<w:r><w:t xml:space="preserve">(Washington, 1892); H. von Siebold, Uber die Aino</w:t></w:r>
</w:p>
<w:p>
<w:pPr><w:pStyle w:val="Normal"/></w:pPr>
<w:r><w:t xml:space="preserve">(Berlin, 1881); Isabella Bird (Mrs Bishop), Korea and her</w:t></w:r>
</w:p>
<w:p>
<w:pPr><w:pStyle w:val="Normal"/></w:pPr>
<w:r><w:t xml:space="preserve">Neighbours (1898); Basil Hall Chamberlain, Language,</w:t></w:r>
</w:p>
<w:p>
<w:pPr><w:pStyle w:val="Normal"/></w:pPr>
<w:r><w:t xml:space="preserve">Mythology and Geographical Nomenclature of Japan viewed in</w:t></w:r>
</w:p>
<w:p>
<w:pPr><w:pStyle w:val="Normal"/></w:pPr>
<w:r><w:t xml:space="preserve">the Light of Aino Studies and Aino Fairy-tales (1895).</w:t></w:r>
</w:p>
<w:p>
<w:pPr><w:pStyle w:val="Normal"/></w:pPr>
<w:r><w:t xml:space="preserve">AIR, or ASBEN, a country of West Africa, lying between</w:t></w:r>
</w:p>
<w:p>
<w:pPr><w:pStyle w:val="Normal"/></w:pPr>
<w:r><w:t xml:space="preserve">15 deg.  and 19 deg.  N. and 6 deg.  and 10 deg.  E. It is within the</w:t></w:r>
</w:p>
<w:p>
<w:pPr><w:pStyle w:val="Normal"/></w:pPr>
<w:r><w:t xml:space="preserve">Sahara, of which it forms one of the most fertile regions.</w:t></w:r>
</w:p>
<w:p>
<w:pPr><w:pStyle w:val="Normal"/></w:pPr>
<w:r><w:t xml:space="preserve">The northern portion of the country is mountainous, some</w:t></w:r>
</w:p>
<w:p>
<w:pPr><w:pStyle w:val="Normal"/></w:pPr>
<w:r><w:t xml:space="preserve">of the peaks rising to a height of 5000 ft.  Richly wooded</w:t></w:r>
</w:p>
<w:p>
<w:pPr><w:pStyle w:val="Normal"/></w:pPr>
<w:r><w:t xml:space="preserve">hollows and extensive plains are interspersed between the</w:t></w:r>
</w:p>
<w:p>
<w:pPr><w:pStyle w:val="Normal"/></w:pPr>
<w:r><w:t xml:space="preserve">hills.  The mimosa, the dum palm and the date are abundant.</w:t></w:r>
</w:p>
<w:p>
<w:pPr><w:pStyle w:val="Normal"/></w:pPr>
<w:r><w:t xml:space="preserve">Some of the plains afford good pasturage for camels, asses,</w:t></w:r>
</w:p>
<w:p>
<w:pPr><w:pStyle w:val="Normal"/></w:pPr>
<w:r><w:t xml:space="preserve">goats and cattle; others are desert tablelands.  In the less</w:t></w:r>
</w:p>
<w:p>
<w:pPr><w:pStyle w:val="Normal"/></w:pPr>
<w:r><w:t xml:space="preserve">frequented districts wild animals abound, notably the lion</w:t></w:r>
</w:p>
<w:p>
<w:pPr><w:pStyle w:val="Normal"/></w:pPr>
<w:r><w:t xml:space="preserve">and the gazelle.  The country generally is of sandstone or</w:t></w:r>
</w:p>
<w:p>
<w:pPr><w:pStyle w:val="Normal"/></w:pPr>
<w:r><w:t xml:space="preserve">granite formation, with occasional trachyte and basaltic</w:t></w:r>
</w:p>
<w:p>
<w:pPr><w:pStyle w:val="Normal"/></w:pPr>
<w:r><w:t xml:space="preserve">ranges.  There are no permanent rivers; but during the rainy</w:t></w:r>
</w:p>
<w:p>
<w:pPr><w:pStyle w:val="Normal"/></w:pPr>
<w:r><w:t xml:space="preserve">season, from August to October, heavy floods convert the</w:t></w:r>
</w:p>
<w:p>
<w:pPr><w:pStyle w:val="Normal"/></w:pPr>
<w:r><w:t xml:space="preserve">water-courses in the hollows of the mountains into broad and</w:t></w:r>
</w:p>
<w:p>
<w:pPr><w:pStyle w:val="Normal"/></w:pPr>
<w:r><w:t xml:space="preserve">rapid streams.  Numerous wells supply the wants of the people</w:t></w:r>
</w:p>
<w:p>
<w:pPr><w:pStyle w:val="Normal"/></w:pPr>
<w:r><w:t xml:space="preserve">and their cattle.  To the south of this variegated region</w:t></w:r>
</w:p>
<w:p>
<w:pPr><w:pStyle w:val="Normal"/></w:pPr>
<w:r><w:t xml:space="preserve">lies a desert plateau, 2000 ft. above sea-level, destitute of</w:t></w:r>
</w:p>
<w:p>
<w:pPr><w:pStyle w:val="Normal"/></w:pPr>
<w:r><w:t xml:space="preserve">water, and tenanted only by the wild ox, the ostrich and the</w:t></w:r>
</w:p>
<w:p>
<w:pPr><w:pStyle w:val="Normal"/></w:pPr>
<w:r><w:t xml:space="preserve">giraffe.  Still farther south is the fairly fertile district of</w:t></w:r>
</w:p>
<w:p>
<w:pPr><w:pStyle w:val="Normal"/></w:pPr>
<w:r><w:t xml:space="preserve">Damerghu, of which Zinder is the chief town.  Little of the</w:t></w:r>
</w:p>
<w:p>
<w:pPr><w:pStyle w:val="Normal"/></w:pPr>
<w:r><w:t xml:space="preserve">soil is under cultivation except in the neighbourhood of the</w:t></w:r>
</w:p>
<w:p>
<w:pPr><w:pStyle w:val="Normal"/></w:pPr>
<w:r><w:t xml:space="preserve">villages.  Millet, dates, indigo and senna are the principal</w:t></w:r>
</w:p>
<w:p>
<w:pPr><w:pStyle w:val="Normal"/></w:pPr>
<w:r><w:t xml:space="preserve">productions.  The great bulk of the food supplies is brought from</w:t></w:r>
</w:p>
<w:p>
<w:pPr><w:pStyle w:val="Normal"/></w:pPr>
<w:r><w:t xml:space="preserve">Damerghu, and the materials for clothing are also imported.  A</w:t></w:r>
</w:p>
<w:p>
<w:pPr><w:pStyle w:val="Normal"/></w:pPr>
<w:r><w:t xml:space="preserve">great caravan annually passes through Air, consisting of several</w:t></w:r>
</w:p>
<w:p>
<w:pPr><w:pStyle w:val="Normal"/></w:pPr>
<w:r><w:t xml:space="preserve">thousand camels, carrying salt from Bilma to the Hausa states.</w:t></w:r>
</w:p>
<w:p>
<w:pPr><w:pStyle w:val="Normal"/></w:pPr>
<w:r><w:t xml:space="preserve">Air was called Asben by the native tribes until they were</w:t></w:r>
</w:p>
<w:p>
<w:pPr><w:pStyle w:val="Normal"/></w:pPr>
<w:r><w:t xml:space="preserve">conquered by the Berbers.  The present inhabitants are for</w:t></w:r>
</w:p>
<w:p>
<w:pPr><w:pStyle w:val="Normal"/></w:pPr>
<w:r><w:t xml:space="preserve">the most part of a mixed race, combining the finer traits</w:t></w:r>
</w:p>
<w:p>
<w:pPr><w:pStyle w:val="Normal"/></w:pPr>
<w:r><w:t xml:space="preserve">of the berbers with negro characteristics.  The sultan of</w:t></w:r>
</w:p>
<w:p>
<w:pPr><w:pStyle w:val="Normal"/></w:pPr>
<w:r><w:t xml:space="preserve">Air is to a great extent dependent on the chiefs of the</w:t></w:r>
</w:p>
<w:p>
<w:pPr><w:pStyle w:val="Normal"/></w:pPr>
<w:r><w:t xml:space="preserve">Tuareg tribes inhabiting a vast tract of the Sahara to the</w:t></w:r>
</w:p>
<w:p>
<w:pPr><w:pStyle w:val="Normal"/></w:pPr>
<w:r><w:t xml:space="preserve">north-west.  A large part of his revenue is derived from</w:t></w:r>
</w:p>
<w:p>
<w:pPr><w:pStyle w:val="Normal"/></w:pPr>
<w:r><w:t xml:space="preserve">tribute exacted from the salt caravans.  Since 1890 Air has</w:t></w:r>
</w:p>
<w:p>
<w:pPr><w:pStyle w:val="Normal"/></w:pPr>
<w:r><w:t xml:space="preserve">been included in the French sphere of influence in West Africa.</w:t></w:r>
</w:p>
<w:p>
<w:pPr><w:pStyle w:val="Normal"/></w:pPr>
<w:r><w:t xml:space="preserve">Agades, the capital of the country, which has a circuit of 3 1/2</w:t></w:r>
</w:p>
<w:p>
<w:pPr><w:pStyle w:val="Normal"/></w:pPr>
<w:r><w:t xml:space="preserve">m., is built on the edge of a plateau 2500 ft. high, and is</w:t></w:r>
</w:p>
<w:p>
<w:pPr><w:pStyle w:val="Normal"/></w:pPr>
<w:r><w:t xml:space="preserve">supposed to have been founded by the Berbers to serve as a</w:t></w:r>
</w:p>
<w:p>
<w:pPr><w:pStyle w:val="Normal"/></w:pPr>
<w:r><w:t xml:space="preserve">secure magazine for their extensive trade with the Songhoi</w:t></w:r>
</w:p>
<w:p>
<w:pPr><w:pStyle w:val="Normal"/></w:pPr>
<w:r><w:t xml:space="preserve">empire.  The language of the people is a dialect of Songhoi.</w:t></w:r>
</w:p>
<w:p>
<w:pPr><w:pStyle w:val="Normal"/></w:pPr>
<w:r><w:t xml:space="preserve">In former times Agades was a place of great traffic, and had</w:t></w:r>
</w:p>
<w:p>
<w:pPr><w:pStyle w:val="Normal"/></w:pPr>
<w:r><w:t xml:space="preserve">a population of about 50,000.  Since the beginning of the 16th</w:t></w:r>
</w:p>
<w:p>
<w:pPr><w:pStyle w:val="Normal"/></w:pPr>
<w:r><w:t xml:space="preserve">century the prosperity of the town has, however, gradually</w:t></w:r>
</w:p>
<w:p>
<w:pPr><w:pStyle w:val="Normal"/></w:pPr>
<w:r><w:t xml:space="preserve">declined.  F. Foureau, who visited Agades in 1899, stated that</w:t></w:r>
</w:p>
<w:p>
<w:pPr><w:pStyle w:val="Normal"/></w:pPr>
<w:r><w:t xml:space="preserve">more than half the total area was deserted and ruinous.  The</w:t></w:r>
</w:p>
<w:p>
<w:pPr><w:pStyle w:val="Normal"/></w:pPr>
<w:r><w:t xml:space="preserve">houses, which are built of clay, are low and flat-roofed;</w:t></w:r>
</w:p>
<w:p>
<w:pPr><w:pStyle w:val="Normal"/></w:pPr>
<w:r><w:t xml:space="preserve">and the only buildings of importance are the chief mosque,</w:t></w:r>
</w:p>
<w:p>
<w:pPr><w:pStyle w:val="Normal"/></w:pPr>
<w:r><w:t xml:space="preserve">which is surmounted by a tower 95 ft. high, and the sultan&apos;s</w:t></w:r>
</w:p>
<w:p>
<w:pPr><w:pStyle w:val="Normal"/></w:pPr>
<w:r><w:t xml:space="preserve">residence, a massive two-storied structure pierced with small</w:t></w:r>
</w:p>
<w:p>
<w:pPr><w:pStyle w:val="Normal"/></w:pPr>
<w:r><w:t xml:space="preserve">windows.  The chief trade is grain.  The great salt caravans</w:t></w:r>
</w:p>
<w:p>
<w:pPr><w:pStyle w:val="Normal"/></w:pPr>
<w:r><w:t xml:space="preserve">pass through it, as well as pilgrims on their way to Mecca.</w:t></w:r>
</w:p>
<w:p>
<w:pPr><w:pStyle w:val="Normal"/></w:pPr>
<w:r><w:t xml:space="preserve">AIR (from an Indo-European root meaning ``breathe,&apos;&apos; ``blow&apos;&apos;),</w:t></w:r>
</w:p>
<w:p>
<w:pPr><w:pStyle w:val="Normal"/></w:pPr>
<w:r><w:t xml:space="preserve">the atmosphere that surrounds the earth; aer, the lower thick</w:t></w:r>
</w:p>
<w:p>
<w:pPr><w:pStyle w:val="Normal"/></w:pPr>
<w:r><w:t xml:space="preserve">air, being distinguished from aither, With the development</w:t></w:r>
</w:p>
<w:p>
<w:pPr><w:pStyle w:val="Normal"/></w:pPr>
<w:r><w:t xml:space="preserve">of analytical and especially of pneumatic chemistry, the air</w:t></w:r>
</w:p>
<w:p>
<w:pPr><w:pStyle w:val="Normal"/></w:pPr>
<w:r><w:t xml:space="preserve">was recognized not to be one homogeneous substance, as was</w:t></w:r>
</w:p>
<w:p>
<w:pPr><w:pStyle w:val="Normal"/></w:pPr>
<w:r><w:t xml:space="preserve">long supposed, and different ``airs,&apos;&apos; or gases, came to be</w:t></w:r>
</w:p>
<w:p>
<w:pPr><w:pStyle w:val="Normal"/></w:pPr>
<w:r><w:t xml:space="preserve">distinguished.  Thus oxygen gas, at the end of the 18th</w:t></w:r>
</w:p>
<w:p>
<w:pPr><w:pStyle w:val="Normal"/></w:pPr>
<w:r><w:t xml:space="preserve">century, was known as dephlogisticated air, nitrogen or</w:t></w:r>
</w:p>
<w:p>
<w:pPr><w:pStyle w:val="Normal"/></w:pPr>
<w:r><w:t xml:space="preserve">azote as phlogisticated air, hydrogen as inflammable air,</w:t></w:r>
</w:p>
<w:p>
<w:pPr><w:pStyle w:val="Normal"/></w:pPr>
<w:r><w:t xml:space="preserve">carbonic acid gas as fixed air.  The name is now ordinarily</w:t></w:r>
</w:p>
<w:p>
<w:pPr><w:pStyle w:val="Normal"/></w:pPr>
<w:r><w:t xml:space="preserve">restricted to what is more accurately called atmospheric</w:t></w:r>
</w:p>
<w:p>
<w:pPr><w:pStyle w:val="Normal"/></w:pPr>
<w:r><w:t xml:space="preserve">air--the air we breathe--the invisible elastic fluid which</w:t></w:r>
</w:p>
<w:p>
<w:pPr><w:pStyle w:val="Normal"/></w:pPr>
<w:r><w:t xml:space="preserve">surrounds the earth (see ATMOSPHERE.) Probably the sense</w:t></w:r>
</w:p>
<w:p>
<w:pPr><w:pStyle w:val="Normal"/></w:pPr>
<w:r><w:t xml:space="preserve">of atmosphere or environment led (though this is disputed</w:t></w:r>
</w:p>
<w:p>
<w:pPr><w:pStyle w:val="Normal"/></w:pPr>
<w:r><w:t xml:space="preserve">by etymologists) to the further use of the word ``air&apos;&apos; to</w:t></w:r>
</w:p>
<w:p>
<w:pPr><w:pStyle w:val="Normal"/></w:pPr>
<w:r><w:t xml:space="preserve">mean ``manner&apos;&apos; or ``appearance&apos;&apos;; and so to its employment</w:t></w:r>
</w:p>
<w:p>
<w:pPr><w:pStyle w:val="Normal"/></w:pPr>
<w:r><w:t xml:space="preserve">(cf. Lat. modus) in music for ``melody.&apos;&apos; (See ARIA.)</w:t></w:r>
</w:p>
<w:p>
<w:pPr><w:pStyle w:val="Normal"/></w:pPr>
<w:r><w:t xml:space="preserve">AIRAY, HENRY (1560?-1616), English Puritan divine, was</w:t></w:r>
</w:p>
<w:p>
<w:pPr><w:pStyle w:val="Normal"/></w:pPr>
<w:r><w:t xml:space="preserve">born at Kentmere, Westmorland, but no record remains of the</w:t></w:r>
</w:p>
<w:p>
<w:pPr><w:pStyle w:val="Normal"/></w:pPr>
<w:r><w:t xml:space="preserve">date of either birth or baptism.  He was the son of William</w:t></w:r>
</w:p>
<w:p>
<w:pPr><w:pStyle w:val="Normal"/></w:pPr>
<w:r><w:t xml:space="preserve">Airay, the favourite servant of Bernard Gilpin, ``the apostle</w:t></w:r>
</w:p>
<w:p>
<w:pPr><w:pStyle w:val="Normal"/></w:pPr>
<w:r><w:t xml:space="preserve">of the North,&apos;&apos; whose bounty showed itself in sending Henry</w:t></w:r>
</w:p>
<w:p>
<w:pPr><w:pStyle w:val="Normal"/></w:pPr>
<w:r><w:t xml:space="preserve">and his brother Evan (or Ewan) to his own endowed school,</w:t></w:r>
</w:p>
<w:p>
<w:pPr><w:pStyle w:val="Normal"/></w:pPr>
<w:r><w:t xml:space="preserve">where they were educated ``in grammatical learning,&apos;&apos; and</w:t></w:r>
</w:p>
<w:p>
<w:pPr><w:pStyle w:val="Normal"/></w:pPr>
<w:r><w:t xml:space="preserve">were in attendance at Oxford when Gilpin died.  From Wood&apos;s</w:t></w:r>
</w:p>
<w:p>
<w:pPr><w:pStyle w:val="Normal"/></w:pPr>
<w:r><w:t xml:space="preserve">Athenae we glean the details of Airay&apos;s college attendance.</w:t></w:r>
</w:p>
<w:p>
<w:pPr><w:pStyle w:val="Normal"/></w:pPr>
<w:r><w:t xml:space="preserve">``He was sent to St Edmund&apos;s hall in 1579, aged nineteen or</w:t></w:r>
</w:p>
<w:p>
<w:pPr><w:pStyle w:val="Normal"/></w:pPr>
<w:r><w:t xml:space="preserve">thereabouts.  Soon after he was translated to Queen&apos;s</w:t></w:r>
</w:p>
<w:p>
<w:pPr><w:pStyle w:val="Normal"/></w:pPr>
<w:r><w:t xml:space="preserve">College, where he became pauper puer serviens; that is, a</w:t></w:r>
</w:p>
<w:p>
<w:pPr><w:pStyle w:val="Normal"/></w:pPr>
<w:r><w:t xml:space="preserve">poor serving child that waits on the fellows in the common</w:t></w:r>
</w:p>
<w:p>
<w:pPr><w:pStyle w:val="Normal"/></w:pPr>
<w:r><w:t xml:space="preserve">hall at meals, and in their chambers, and does other servile</w:t></w:r>
</w:p>
<w:p>
<w:pPr><w:pStyle w:val="Normal"/></w:pPr>
<w:r><w:t xml:space="preserve">work about the college.&apos;&apos; His transference to Queen&apos;s is</w:t></w:r>
</w:p>
<w:p>
<w:pPr><w:pStyle w:val="Normal"/></w:pPr>
<w:r><w:t xml:space="preserve">perhaps explained by its having been Gilpin&apos;s college, and</w:t></w:r>
</w:p>
<w:p>
<w:pPr><w:pStyle w:val="Normal"/></w:pPr>
<w:r><w:t xml:space="preserve">by his Westmorland origin giving him a claim on Eaglesfield&apos;s</w:t></w:r>
</w:p>
<w:p>
<w:pPr><w:pStyle w:val="Normal"/></w:pPr>
<w:r><w:t xml:space="preserve">foundation.  He graduated B.A. on the 19th of June 1583,</w:t></w:r>
</w:p>
<w:p>
<w:pPr><w:pStyle w:val="Normal"/></w:pPr>
<w:r><w:t xml:space="preserve">M.A. on the 15th of June 1586, B.D. in 1504 and D.D. on</w:t></w:r>
</w:p>
<w:p>
<w:pPr><w:pStyle w:val="Normal"/></w:pPr>
<w:r><w:t xml:space="preserve">the 17th of June 1600--all in Queen&apos;s College. ``About the</w:t></w:r>
</w:p>
<w:p>
<w:pPr><w:pStyle w:val="Normal"/></w:pPr>
<w:r><w:t xml:space="preserve">time he was master&apos;&apos; (1586) ``he entered holy orders, and</w:t></w:r>
</w:p>
<w:p>
<w:pPr><w:pStyle w:val="Normal"/></w:pPr>
<w:r><w:t xml:space="preserve">became a frequent and zealous preacher in the university.&apos;&apos;</w:t></w:r>
</w:p>
<w:p>
<w:pPr><w:pStyle w:val="Normal"/></w:pPr>
<w:r><w:t xml:space="preserve">His Commentary on the Epistle to the Philippians (1618,</w:t></w:r>
</w:p>
<w:p>
<w:pPr><w:pStyle w:val="Normal"/></w:pPr>
<w:r><w:t xml:space="preserve">reprinted 1864) is a specimen of his preaching before his</w:t></w:r>
</w:p>
<w:p>
<w:pPr><w:pStyle w:val="Normal"/></w:pPr>
<w:r><w:t xml:space="preserve">college, and of his fiery denunciation of popery and his</w:t></w:r>
</w:p>
<w:p>
<w:pPr><w:pStyle w:val="Normal"/></w:pPr>
<w:r><w:t xml:space="preserve">fearless enunciation of that Calvinism which Oxford in common</w:t></w:r>
</w:p>
<w:p>
<w:pPr><w:pStyle w:val="Normal"/></w:pPr>
<w:r><w:t xml:space="preserve">with all England then prized.  In 1598 he was chosen provost</w:t></w:r>
</w:p>
<w:p>
<w:pPr><w:pStyle w:val="Normal"/></w:pPr>
<w:r><w:t xml:space="preserve">of his college, and in 1606 was vice-chancellor of the</w:t></w:r>
</w:p>
<w:p>
<w:pPr><w:pStyle w:val="Normal"/></w:pPr>
<w:r><w:t xml:space="preserve">university.  In the discharge of his vice-chancellor&apos;s duties</w:t></w:r>
</w:p>
<w:p>
<w:pPr><w:pStyle w:val="Normal"/></w:pPr>
<w:r><w:t xml:space="preserve">he came into conflict with Laud, who even thus early was</w:t></w:r>
</w:p>
<w:p>
<w:pPr><w:pStyle w:val="Normal"/></w:pPr>
<w:r><w:t xml:space="preserve">manifesting his antagonism to the prevailing Puritanism.</w:t></w:r>
</w:p>
<w:p>
<w:pPr><w:pStyle w:val="Normal"/></w:pPr>
<w:r><w:t xml:space="preserve">He was also rector of Otmore (or Otmoor), near Oxford, a living</w:t></w:r>
</w:p>
<w:p>
<w:pPr><w:pStyle w:val="Normal"/></w:pPr>
<w:r><w:t xml:space="preserve">which involved him in a trying but successful litigation,</w:t></w:r>
</w:p>
<w:p>
<w:pPr><w:pStyle w:val="Normal"/></w:pPr>
<w:r><w:t xml:space="preserve">whereof later incumbents reaped the benefit.  He died on</w:t></w:r>
</w:p>
<w:p>
<w:pPr><w:pStyle w:val="Normal"/></w:pPr>
<w:r><w:t xml:space="preserve">the 6th of October 1610.  His character as a man, preacher,</w:t></w:r>
</w:p>
<w:p>
<w:pPr><w:pStyle w:val="Normal"/></w:pPr>
<w:r><w:t xml:space="preserve">divine, and as an important ruler in the university, will be</w:t></w:r>
</w:p>
<w:p>
<w:pPr><w:pStyle w:val="Normal"/></w:pPr>
<w:r><w:t xml:space="preserve">found portrayed in the Epistle by John Potter, prefixed to</w:t></w:r>
</w:p>
<w:p>
<w:pPr><w:pStyle w:val="Normal"/></w:pPr>
<w:r><w:t xml:space="preserve">the Commentary. He must have been a fine specimen of the</w:t></w:r>
</w:p>
<w:p>
<w:pPr><w:pStyle w:val="Normal"/></w:pPr>
<w:r><w:t xml:space="preserve">more cultured Puritans --possessed of a robust common-sense</w:t></w:r>
</w:p>
<w:p>
<w:pPr><w:pStyle w:val="Normal"/></w:pPr>
<w:r><w:t xml:space="preserve">in admirable contrast with some of his contemporaries.</w:t></w:r>
</w:p>
<w:p>
<w:pPr><w:pStyle w:val="Normal"/></w:pPr>
<w:r><w:t xml:space="preserve">AIRD, THOMAS (1802-1876), Scottish poet, was born at Bowden,</w:t></w:r>
</w:p>
<w:p>
<w:pPr><w:pStyle w:val="Normal"/></w:pPr>
<w:r><w:t xml:space="preserve">Roxburghshire, on the 28th of August 1802.  He was educated at</w:t></w:r>
</w:p>
<w:p>
<w:pPr><w:pStyle w:val="Normal"/></w:pPr>
<w:r><w:t xml:space="preserve">Edinburgh University, where he made the acquaintance of Carlyle</w:t></w:r>
</w:p>
<w:p>
<w:pPr><w:pStyle w:val="Normal"/></w:pPr>
<w:r><w:t xml:space="preserve">and James Hogg, and he decided to devote himself to literary</w:t></w:r>
</w:p>
<w:p>
<w:pPr><w:pStyle w:val="Normal"/></w:pPr>
<w:r><w:t xml:space="preserve">work.  He published Martzoufie, a Tragedy, with other Poems</w:t></w:r>
</w:p>
<w:p>
<w:pPr><w:pStyle w:val="Normal"/></w:pPr>
<w:r><w:t xml:space="preserve">(1826), a volume of essays, and a long narrative poem in</w:t></w:r>
</w:p>
<w:p>
<w:pPr><w:pStyle w:val="Normal"/></w:pPr>
<w:r><w:t xml:space="preserve">several cantos, The Captive of Fez (1830).  For a year he</w:t></w:r>
</w:p>
<w:p>
<w:pPr><w:pStyle w:val="Normal"/></w:pPr>
<w:r><w:t xml:space="preserve">edited the Edinburgh Weekly Journal, and for twenty-eight</w:t></w:r>
</w:p>
<w:p>
<w:pPr><w:pStyle w:val="Normal"/></w:pPr>
<w:r><w:t xml:space="preserve">years the Dumfriesshire and Galloway Herald. In 1848 he</w:t></w:r>
</w:p>
<w:p>
<w:pPr><w:pStyle w:val="Normal"/></w:pPr>
<w:r><w:t xml:space="preserve">published a collected edition of his poems, which met with much</w:t></w:r>
</w:p>
<w:p>
<w:pPr><w:pStyle w:val="Normal"/></w:pPr>
<w:r><w:t xml:space="preserve">favour.  Carlyle said that he found in them ``a healthy breath</w:t></w:r>
</w:p>
<w:p>
<w:pPr><w:pStyle w:val="Normal"/></w:pPr>
<w:r><w:t xml:space="preserve">as of mountain breezes.&apos;&apos; Among Aird&apos;s other friends were De</w:t></w:r>
</w:p>
<w:p>
<w:pPr><w:pStyle w:val="Normal"/></w:pPr>
<w:r><w:t xml:space="preserve">Quincey, Lockhart, Stanley (afterwards dean of Westminster) and</w:t></w:r>
</w:p>
<w:p>
<w:pPr><w:pStyle w:val="Normal"/></w:pPr>
<w:r><w:t xml:space="preserve">Motherwell.  He died at Dumfries on the 25th of April 1876.</w:t></w:r>
</w:p>
<w:p>
<w:pPr><w:pStyle w:val="Normal"/></w:pPr>
<w:r><w:t xml:space="preserve">AIRDRIE, a municipal and police burgh of Lanarkshire,</w:t></w:r>
</w:p>
<w:p>
<w:pPr><w:pStyle w:val="Normal"/></w:pPr>
<w:r><w:t xml:space="preserve">Scotland.  Pop. (1901) 22,228.  It is situated 11 m.  E. of</w:t></w:r>
</w:p>
<w:p>
<w:pPr><w:pStyle w:val="Normal"/></w:pPr>
<w:r><w:t xml:space="preserve">Glasgow by the North British railway, and also communicates with</w:t></w:r>
</w:p>
<w:p>
<w:pPr><w:pStyle w:val="Normal"/></w:pPr>
<w:r><w:t xml:space="preserve">Glasgow by the Monkland Canal (which passes within 1 m. of the</w:t></w:r>
</w:p>
<w:p>
<w:pPr><w:pStyle w:val="Normal"/></w:pPr>
<w:r><w:t xml:space="preserve">town), as well as by the Caledonian railway via Coatbridge and</w:t></w:r>
</w:p>
<w:p>
<w:pPr><w:pStyle w:val="Normal"/></w:pPr>
<w:r><w:t xml:space="preserve">Whiffiet.  The canal was constructed between 1761 and 1790,</w:t></w:r>
</w:p>
<w:p>
<w:pPr><w:pStyle w:val="Normal"/></w:pPr>
<w:r><w:t xml:space="preserve">and connects with the Forth and Clyde Canal near Maryhill.</w:t></w:r>
</w:p>
<w:p>
<w:pPr><w:pStyle w:val="Normal"/></w:pPr>
<w:r><w:t xml:space="preserve">Airdrie was a market town in 1695, but owes its prosperity to</w:t></w:r>
</w:p>
<w:p>
<w:pPr><w:pStyle w:val="Normal"/></w:pPr>
<w:r><w:t xml:space="preserve">the great coal and iron beds in its vicinity.  Other industries</w:t></w:r>
</w:p>
<w:p>
<w:pPr><w:pStyle w:val="Normal"/></w:pPr>
<w:r><w:t xml:space="preserve">include iron and brass foundries, engineering, manufactures</w:t></w:r>
</w:p>
<w:p>
<w:pPr><w:pStyle w:val="Normal"/></w:pPr>
<w:r><w:t xml:space="preserve">of woollens and calicoes, silk-weaving, paper-making, oil and</w:t></w:r>
</w:p>
<w:p>
<w:pPr><w:pStyle w:val="Normal"/></w:pPr>
<w:r><w:t xml:space="preserve">fireclay.  The public buildings comprise the town hall, county</w:t></w:r>
</w:p>
<w:p>
<w:pPr><w:pStyle w:val="Normal"/></w:pPr>
<w:r><w:t xml:space="preserve">buildings, mechanics&apos; institute, academy, two fever hospitals</w:t></w:r>
</w:p>
<w:p>
<w:pPr><w:pStyle w:val="Normal"/></w:pPr>
<w:r><w:t xml:space="preserve">and free library, the burgh having been the first town in</w:t></w:r>
</w:p>
<w:p>
<w:pPr><w:pStyle w:val="Normal"/></w:pPr>
<w:r><w:t xml:space="preserve">Scotland to adopt the Free Library Act. Airdrie unites with</w:t></w:r>
</w:p>
<w:p>
<w:pPr><w:pStyle w:val="Normal"/></w:pPr>
<w:r><w:t xml:space="preserve">Falkirk.  Hamilton, Lanark and Linlithgow in sending one member to</w:t></w:r>
</w:p>
<w:p>
<w:pPr><w:pStyle w:val="Normal"/></w:pPr>
<w:r><w:t xml:space="preserve">parliament.  The parish of New Monkland, in which Airdrie</w:t></w:r>
</w:p>
<w:p>
<w:pPr><w:pStyle w:val="Normal"/></w:pPr>
<w:r><w:t xml:space="preserve">lies, was formed (with Old Monkland)in 1640 out of the ancient</w:t></w:r>
</w:p>
<w:p>
<w:pPr><w:pStyle w:val="Normal"/></w:pPr>
<w:r><w:t xml:space="preserve">barony of Monkland, so named from the fact that it was part</w:t></w:r>
</w:p>
<w:p>
<w:pPr><w:pStyle w:val="Normal"/></w:pPr>
<w:r><w:t xml:space="preserve">of the lands granted by Malcolm IV. to the monks of Newbattle.</w:t></w:r>
</w:p>
<w:p>
<w:pPr><w:pStyle w:val="Normal"/></w:pPr>
<w:r><w:t xml:space="preserve">AIRE, a town of south-western France, in the department</w:t></w:r>
</w:p>
<w:p>
<w:pPr><w:pStyle w:val="Normal"/></w:pPr>
<w:r><w:t xml:space="preserve">of Landes, on the left bank of the Adour, 22 m.  S.E. of</w:t></w:r>
</w:p>
<w:p>
<w:pPr><w:pStyle w:val="Normal"/></w:pPr>
<w:r><w:t xml:space="preserve">Mont-de-Marsan on the Southern railway between Morcenx and</w:t></w:r>
</w:p>
<w:p>
<w:pPr><w:pStyle w:val="Normal"/></w:pPr>
<w:r><w:t xml:space="preserve">Tarbes.  Pop. (1906) 2283.  It is the seat of a bishopric, and</w:t></w:r>
</w:p>
<w:p>
<w:pPr><w:pStyle w:val="Normal"/></w:pPr>
<w:r><w:t xml:space="preserve">has a cathedral of the 12th century and an episcopal palace of</w:t></w:r>
</w:p>
<w:p>
<w:pPr><w:pStyle w:val="Normal"/></w:pPr>
<w:r><w:t xml:space="preserve">the 11th, 17th and 18th centuries.  Both have undergone frequent</w:t></w:r>
</w:p>
<w:p>
<w:pPr><w:pStyle w:val="Normal"/></w:pPr>
<w:r><w:t xml:space="preserve">restoration.  They are surpassed in interest by the church</w:t></w:r>
</w:p>
<w:p>
<w:pPr><w:pStyle w:val="Normal"/></w:pPr>
<w:r><w:t xml:space="preserve">of St Quitterie in Mas d&apos;Aire, the suburb south-west of the</w:t></w:r>
</w:p>
<w:p>
<w:pPr><w:pStyle w:val="Normal"/></w:pPr>
<w:r><w:t xml:space="preserve">town.  The latter is a brick building of the 13th and 14th</w:t></w:r>
</w:p>
<w:p>
<w:pPr><w:pStyle w:val="Normal"/></w:pPr>
<w:r><w:t xml:space="preserve">centuries, with a choir in the Romanesque style, and a fine</w:t></w:r>
</w:p>
<w:p>
<w:pPr><w:pStyle w:val="Normal"/></w:pPr>
<w:r><w:t xml:space="preserve">western portal which has been much disfigured.  The crypt</w:t></w:r>
</w:p>
<w:p>
<w:pPr><w:pStyle w:val="Normal"/></w:pPr>
<w:r><w:t xml:space="preserve">contains several Gallo-Roman tombs and the sarcophagus (5th</w:t></w:r>
</w:p>
<w:p>
<w:pPr><w:pStyle w:val="Normal"/></w:pPr>
<w:r><w:t xml:space="preserve">century) of St Quitterie.  Aire has two ecclesiastical seminaries.</w:t></w:r>
</w:p>
<w:p>
<w:pPr><w:pStyle w:val="Normal"/></w:pPr>
<w:r><w:t xml:space="preserve">Aire (Atura, Vicus Julii) was the residence of the kings of</w:t></w:r>
</w:p>
<w:p>
<w:pPr><w:pStyle w:val="Normal"/></w:pPr>
<w:r><w:t xml:space="preserve">the Visigoths, One of whom, Alaric II. (q.v.), there drew</w:t></w:r>
</w:p>
<w:p>
<w:pPr><w:pStyle w:val="Normal"/></w:pPr>
<w:r><w:t xml:space="preserve">up his famous code.  The bishopric dates from the 5th century.</w:t></w:r>
</w:p>
<w:p>
<w:pPr><w:pStyle w:val="Normal"/></w:pPr>
<w:r><w:t xml:space="preserve">AIRE, a town of northern France, on the river Lys, in the</w:t></w:r>
</w:p>
<w:p>
<w:pPr><w:pStyle w:val="Normal"/></w:pPr>
<w:r><w:t xml:space="preserve">department of Pas-de-Calais, 12 m.  S.S.E. of St Omer by</w:t></w:r>
</w:p>
<w:p>
<w:pPr><w:pStyle w:val="Normal"/></w:pPr>
<w:r><w:t xml:space="preserve">rail.  Pop. (1906) 4258.  The town lies in a low and</w:t></w:r>
</w:p>
<w:p>
<w:pPr><w:pStyle w:val="Normal"/></w:pPr>
<w:r><w:t xml:space="preserve">marshy situation at the junction of three canals.  The</w:t></w:r>
</w:p>
<w:p>
<w:pPr><w:pStyle w:val="Normal"/></w:pPr>
<w:r><w:t xml:space="preserve">chief buildings are the church of St Pierre (15th and 16th</w:t></w:r>
</w:p>
<w:p>
<w:pPr><w:pStyle w:val="Normal"/></w:pPr>
<w:r><w:t xml:space="preserve">centuries), which has an imposing tower and rich interior</w:t></w:r>
</w:p>
<w:p>
<w:pPr><w:pStyle w:val="Normal"/></w:pPr>
<w:r><w:t xml:space="preserve">decoration; a hotel de ville of the 18th century; and the</w:t></w:r>
</w:p>
<w:p>
<w:pPr><w:pStyle w:val="Normal"/></w:pPr>
<w:r><w:t xml:space="preserve">Bailliage (16th century), a small building in the Renaissance</w:t></w:r>
</w:p>
<w:p>
<w:pPr><w:pStyle w:val="Normal"/></w:pPr>
<w:r><w:t xml:space="preserve">style.  Aire has flour-mills, leather and oil works, and</w:t></w:r>
</w:p>
<w:p>
<w:pPr><w:pStyle w:val="Normal"/></w:pPr>
<w:r><w:t xml:space="preserve">nail manufactories, and trade in agricultural produce.</w:t></w:r>
</w:p>
<w:p>
<w:pPr><w:pStyle w:val="Normal"/></w:pPr>
<w:r><w:t xml:space="preserve">In the middle ages Aire belonged to the counts of Flanders,</w:t></w:r>
</w:p>
<w:p>
<w:pPr><w:pStyle w:val="Normal"/></w:pPr>
<w:r><w:t xml:space="preserve">from whom in 1188 it received a charter, which is still</w:t></w:r>
</w:p>
<w:p>
<w:pPr><w:pStyle w:val="Normal"/></w:pPr>
<w:r><w:t xml:space="preserve">extant.  It was given to France by the peace of Utrecht 1713.</w:t></w:r>
</w:p>
<w:p>
<w:pPr><w:pStyle w:val="Normal"/></w:pPr>
<w:r><w:t xml:space="preserve">AIR-ENGINE, the name given to heat-engines which use air for</w:t></w:r>
</w:p>
<w:p>
<w:pPr><w:pStyle w:val="Normal"/></w:pPr>
<w:r><w:t xml:space="preserve">their working substance, that is to say for the substance which</w:t></w:r>
</w:p>
<w:p>
<w:pPr><w:pStyle w:val="Normal"/></w:pPr>
<w:r><w:t xml:space="preserve">is caused alternately to expand and contract by application</w:t></w:r>
</w:p>
<w:p>
<w:pPr><w:pStyle w:val="Normal"/></w:pPr>
<w:r><w:t xml:space="preserve">and removal of heat, this process enabling a portion of the</w:t></w:r>
</w:p>
<w:p>
<w:pPr><w:pStyle w:val="Normal"/></w:pPr>
<w:r><w:t xml:space="preserve">applied heat to be transformed into mechanical work.  Just</w:t></w:r>
</w:p>
<w:p>
<w:pPr><w:pStyle w:val="Normal"/></w:pPr>
<w:r><w:t xml:space="preserve">as the working substance which alternately takes in and gives</w:t></w:r>
</w:p>
<w:p>
<w:pPr><w:pStyle w:val="Normal"/></w:pPr>
<w:r><w:t xml:space="preserve">out heat in the steam-engine is water (converted during a</w:t></w:r>
</w:p>
<w:p>
<w:pPr><w:pStyle w:val="Heading1"/></w:pPr>
<w:r><w:t>part of the action into steam), so in the air-engine it is</w:t></w:r>
</w:p>
<w:p>
<w:pPr><w:pStyle w:val="Normal"/></w:pPr>
<w:r><w:t xml:space="preserve">air.  The practical drawbacks to employing air as the working</w:t></w:r>
</w:p>
<w:p>
<w:pPr><w:pStyle w:val="Normal"/></w:pPr>
<w:r><w:t xml:space="preserve">substance of a heat-engine are so great that its use has been very</w:t></w:r>
</w:p>
<w:p>
<w:pPr><w:pStyle w:val="Normal"/></w:pPr>
<w:r><w:t xml:space="preserve">limited.  Such attempts as have been made to design air-engines</w:t></w:r>
</w:p>
<w:p>
<w:pPr><w:pStyle w:val="Normal"/></w:pPr>
<w:r><w:t xml:space="preserve">on a large scale have been practical failures, and are now</w:t></w:r>
</w:p>
<w:p>
<w:pPr><w:pStyle w:val="Normal"/></w:pPr>
<w:r><w:t xml:space="preserve">interesting only as.steps in the historical development of</w:t></w:r>
</w:p>
<w:p>
<w:pPr><w:pStyle w:val="Normal"/></w:pPr>
<w:r><w:t xml:space="preserve">applied thermodynamics.  In the form of motors for producing</w:t></w:r>
</w:p>
<w:p>
<w:pPr><w:pStyle w:val="Normal"/></w:pPr>
<w:r><w:t xml:space="preserve">very small amounts of power air-engines have been found</w:t></w:r>
</w:p>
<w:p>
<w:pPr><w:pStyle w:val="Normal"/></w:pPr>
<w:r><w:t xml:space="preserve">convenient, and within a restricted field they are still met</w:t></w:r>
</w:p>
<w:p>
<w:pPr><w:pStyle w:val="Normal"/></w:pPr>
<w:r><w:t xml:space="preserve">with.  But even in this field the competition of the</w:t></w:r>
</w:p>
<w:p>
<w:pPr><w:pStyle w:val="Normal"/></w:pPr>
<w:r><w:t xml:space="preserve">oil-engine and the gas-engine is too formidable to leave to</w:t></w:r>
</w:p>
<w:p>
<w:pPr><w:pStyle w:val="Normal"/></w:pPr>
<w:r><w:t xml:space="preserve">the air-engine more than a very narrow chance of employment.</w:t></w:r>
</w:p>
<w:p>
<w:pPr><w:pStyle w:val="Normal"/></w:pPr>
<w:r><w:t xml:space="preserve">One of the chief practical objections to air-engines is the</w:t></w:r>
</w:p>
<w:p>
<w:pPr><w:pStyle w:val="Normal"/></w:pPr>
<w:r><w:t xml:space="preserve">great bulk of the working substance in relation to the amount</w:t></w:r>
</w:p>
<w:p>
<w:pPr><w:pStyle w:val="Normal"/></w:pPr>
<w:r><w:t xml:space="preserve">of heat that is utilized in the working of the engine.  To</w:t></w:r>
</w:p>
<w:p>
<w:pPr><w:pStyle w:val="Normal"/></w:pPr>
<w:r><w:t xml:space="preserve">some extent this objection may be reduced by using the air</w:t></w:r>
</w:p>
<w:p>
<w:pPr><w:pStyle w:val="Normal"/></w:pPr>
<w:r><w:t xml:space="preserve">in a state of compression, and therefore of greater density,</w:t></w:r>
</w:p>
<w:p>
<w:pPr><w:pStyle w:val="Normal"/></w:pPr>
<w:r><w:t xml:space="preserve">throughout its operation.  Even then, however, the amount of</w:t></w:r>
</w:p>
<w:p>
<w:pPr><w:pStyle w:val="Normal"/></w:pPr>
<w:r><w:t xml:space="preserve">operative heat is very small in comparison with that which</w:t></w:r>
</w:p>
<w:p>
<w:pPr><w:pStyle w:val="Normal"/></w:pPr>
<w:r><w:t xml:space="preserve">passes through the steam-engine, per cubic foot swept through</w:t></w:r>
</w:p>
<w:p>
<w:pPr><w:pStyle w:val="Normal"/></w:pPr>
<w:r><w:t xml:space="preserve">by the piston, for the change of state which water undergoes</w:t></w:r>
</w:p>
<w:p>
<w:pPr><w:pStyle w:val="Normal"/></w:pPr>
<w:r><w:t xml:space="preserve">in its transformation into steam involves the taking in of</w:t></w:r>
</w:p>
<w:p>
<w:pPr><w:pStyle w:val="Normal"/></w:pPr>
<w:r><w:t xml:space="preserve">much more heat than can be communicated to air in changing its</w:t></w:r>
</w:p>
<w:p>
<w:pPr><w:pStyle w:val="Normal"/></w:pPr>
<w:r><w:t xml:space="preserve">temperature within such a range as is practicable.  Another</w:t></w:r>
</w:p>
<w:p>
<w:pPr><w:pStyle w:val="Normal"/></w:pPr>
<w:r><w:t xml:space="preserve">and not less serious objection is the practical difficulty</w:t></w:r>
</w:p>
<w:p>
<w:pPr><w:pStyle w:val="Normal"/></w:pPr>
<w:r><w:t xml:space="preserve">of getting heat into the working air through the walls of the</w:t></w:r>
</w:p>
<w:p>
<w:pPr><w:pStyle w:val="Normal"/></w:pPr>
<w:r><w:t xml:space="preserve">containing vessel.  The air receives heat from an external</w:t></w:r>
</w:p>
<w:p>
<w:pPr><w:pStyle w:val="Normal"/></w:pPr>
<w:r><w:t xml:space="preserve">furnace just as water does in the boiler of a steam-engine,</w:t></w:r>
</w:p>
<w:p>
<w:pPr><w:pStyle w:val="Normal"/></w:pPr>
<w:r><w:t xml:space="preserve">by contact with a heated metallic surface, but it takes up</w:t></w:r>
</w:p>
<w:p>
<w:pPr><w:pStyle w:val="Normal"/></w:pPr>
<w:r><w:t xml:space="preserve">heat from such a surface with much less readiness than does</w:t></w:r>
</w:p>
<w:p>
<w:pPr><w:pStyle w:val="Normal"/></w:pPr>
<w:r><w:t xml:space="preserve">water.  The waste of heat in the chimney gases is accordingly</w:t></w:r>
</w:p>
<w:p>
<w:pPr><w:pStyle w:val="Normal"/></w:pPr>
<w:r><w:t xml:space="preserve">greater; and further, the metallic shell is liable to be</w:t></w:r>
</w:p>
<w:p>
<w:pPr><w:pStyle w:val="Normal"/></w:pPr>
<w:r><w:t xml:space="preserve">quickly burned away as a result of its contact at a high</w:t></w:r>
</w:p>
<w:p>
<w:pPr><w:pStyle w:val="Normal"/></w:pPr>
<w:r><w:t xml:space="preserve">temperature with free oxygen.  The temperature of the shell</w:t></w:r>
</w:p>
<w:p>
<w:pPr><w:pStyle w:val="Normal"/></w:pPr>
<w:r><w:t xml:space="preserve">is much higher than that of a steam boiler, for in order to</w:t></w:r>
</w:p>
<w:p>
<w:pPr><w:pStyle w:val="Normal"/></w:pPr>
<w:r><w:t xml:space="preserve">secure that the working air will take up a fair amount of</w:t></w:r>
</w:p>
<w:p>
<w:pPr><w:pStyle w:val="Normal"/></w:pPr>
<w:r><w:t xml:space="preserve">heat, the upper limit to which its temperature is raised</w:t></w:r>
</w:p>
<w:p>
<w:pPr><w:pStyle w:val="Normal"/></w:pPr>
<w:r><w:t xml:space="preserve">greatly exceeds that of even high-pressure steam.  This</w:t></w:r>
</w:p>
<w:p>
<w:pPr><w:pStyle w:val="Normal"/></w:pPr>
<w:r><w:t xml:space="preserve">objection to the air-engine arises from the fact that the</w:t></w:r>
</w:p>
<w:p>
<w:pPr><w:pStyle w:val="Normal"/></w:pPr>
<w:r><w:t xml:space="preserve">heat comes to it from external combustion; it disappears</w:t></w:r>
</w:p>
<w:p>
<w:pPr><w:pStyle w:val="Normal"/></w:pPr>
<w:r><w:t xml:space="preserve">when internal combustion is resorted to; that is to say,</w:t></w:r>
</w:p>
<w:p>
<w:pPr><w:pStyle w:val="Normal"/></w:pPr>
<w:r><w:t xml:space="preserve">when the heat is generated within the envelope containing</w:t></w:r>
</w:p>
<w:p>
<w:pPr><w:pStyle w:val="Normal"/></w:pPr>
<w:r><w:t xml:space="preserve">the working air, by the combustion there of gaseous or other</w:t></w:r>
</w:p>
<w:p>
<w:pPr><w:pStyle w:val="Normal"/></w:pPr>
<w:r><w:t xml:space="preserve">fuel.  Gas-engines and oil-engines and other types of engine</w:t></w:r>
</w:p>
<w:p>
<w:pPr><w:pStyle w:val="Normal"/></w:pPr>
<w:r><w:t xml:space="preserve">employing internal combustion may be regarded as closely</w:t></w:r>
</w:p>
<w:p>
<w:pPr><w:pStyle w:val="Normal"/></w:pPr>
<w:r><w:t xml:space="preserve">related to the air-engine.  They differ from it, however, in</w:t></w:r>
</w:p>
<w:p>
<w:pPr><w:pStyle w:val="Normal"/></w:pPr>
<w:r><w:t xml:space="preserve">the fact that their working substance is not air, but a mixture</w:t></w:r>
</w:p>
<w:p>
<w:pPr><w:pStyle w:val="Normal"/></w:pPr>
<w:r><w:t xml:space="preserve">of gases--a necessary consequence of internal combustion.  It</w:t></w:r>
</w:p>
<w:p>
<w:pPr><w:pStyle w:val="Normal"/></w:pPr>
<w:r><w:t xml:space="preserve">is to internal combustion that they owe their success, for it</w:t></w:r>
</w:p>
<w:p>
<w:pPr><w:pStyle w:val="Normal"/></w:pPr>
<w:r><w:t xml:space="preserve">enables them to get all the heat of combustion into the working</w:t></w:r>
</w:p>
<w:p>
<w:pPr><w:pStyle w:val="Normal"/></w:pPr>
<w:r><w:t xml:space="preserve">substance, to use a relatively very high temperature at the</w:t></w:r>
</w:p>
<w:p>
<w:pPr><w:pStyle w:val="Normal"/></w:pPr>
<w:r><w:t xml:space="preserve">top of the range, and at the same time to escape entirely</w:t></w:r>
</w:p>
<w:p>
<w:pPr><w:pStyle w:val="Normal"/></w:pPr>
<w:r><w:t xml:space="preserve">the drawbacks that arise in the air-engine proper through the</w:t></w:r>
</w:p>
<w:p>
<w:pPr><w:pStyle w:val="Normal"/></w:pPr>
<w:r><w:t xml:space="preserve">need of conveying heat to the air through a metallic shell.</w:t></w:r>
</w:p>
<w:p>
<w:pPr><w:pStyle w:val="Normal"/></w:pPr>
<w:r><w:t xml:space="preserve">A form of air-engine which was invented in 1816 by the</w:t></w:r>
</w:p>
<w:p>
<w:pPr><w:pStyle w:val="Normal"/></w:pPr>
<w:r><w:t xml:space="preserve">Rev. R. Stirling is of special interest as embodying the</w:t></w:r>
</w:p>
<w:p>
<w:pPr><w:pStyle w:val="Normal"/></w:pPr>
<w:r><w:t xml:space="preserve">earliest application of what is known as the ``regenerative&apos;&apos;</w:t></w:r>
</w:p>
<w:p>
<w:pPr><w:pStyle w:val="Normal"/></w:pPr>
<w:r><w:t xml:space="preserve">principle, the principle namely that heat may be deposited</w:t></w:r>
</w:p>
<w:p>
<w:pPr><w:pStyle w:val="Normal"/></w:pPr>
<w:r><w:t xml:space="preserve">by a substance at one stage of its action and taken up again</w:t></w:r>
</w:p>
<w:p>
<w:pPr><w:pStyle w:val="Normal"/></w:pPr>
<w:r><w:t xml:space="preserve">at another stage with but little loss, and with a great</w:t></w:r>
</w:p>
<w:p>
<w:pPr><w:pStyle w:val="Normal"/></w:pPr>
<w:r><w:t xml:space="preserve">resulting change in the substance&apos;s temperature at each of the</w:t></w:r>
</w:p>
<w:p>
<w:pPr><w:pStyle w:val="Normal"/></w:pPr>
<w:r><w:t xml:space="preserve">two stages in the operation.  The principle has since found</w:t></w:r>
</w:p>
<w:p>
<w:pPr><w:pStyle w:val="Normal"/></w:pPr>
<w:r><w:t xml:space="preserve">wide application in metallurgical and other operations.  In</w:t></w:r>
</w:p>
<w:p>
<w:pPr><w:pStyle w:val="Normal"/></w:pPr>
<w:r><w:t xml:space="preserve">any heat-engine it is essential that the working substance</w:t></w:r>
</w:p>
<w:p>
<w:pPr><w:pStyle w:val="Normal"/></w:pPr>
<w:r><w:t xml:space="preserve">should be at a high temperature while it is taking in heat,</w:t></w:r>
</w:p>
<w:p>
<w:pPr><w:pStyle w:val="Normal"/></w:pPr>
<w:r><w:t xml:space="preserve">and at a relatively low temperature when it is rejecting</w:t></w:r>
</w:p>
<w:p>
<w:pPr><w:pStyle w:val="Normal"/></w:pPr>
<w:r><w:t xml:space="preserve">heat.  The highest thermodynamic efficiency will be reached</w:t></w:r>
</w:p>
<w:p>
<w:pPr><w:pStyle w:val="Normal"/></w:pPr>
<w:r><w:t xml:space="preserve">when the working substance is at the top of its temperature</w:t></w:r>
</w:p>
<w:p>
<w:pPr><w:pStyle w:val="Normal"/></w:pPr>
<w:r><w:t xml:space="preserve">range while any heat is being received and at the bottom while</w:t></w:r>
</w:p>
<w:p>
<w:pPr><w:pStyle w:val="Normal"/></w:pPr>
<w:r><w:t xml:space="preserve">any heat is being rejected--as is the case in the cycle of</w:t></w:r>
</w:p>
<w:p>
<w:pPr><w:pStyle w:val="Normal"/></w:pPr>
<w:r><w:t xml:space="preserve">operations of the theoretically imagined engine of Carnot.</w:t></w:r>
</w:p>
<w:p>
<w:pPr><w:pStyle w:val="Normal"/></w:pPr>
<w:r><w:t xml:space="preserve">(See THERMODYNAMICS and STEAM-ENGINE.) In Carnot&apos;s cycle</w:t></w:r>
</w:p>
<w:p>
<w:pPr><w:pStyle w:val="Normal"/></w:pPr>
<w:r><w:t xml:space="preserve">the substance takes in heat at its highest temperature, then</w:t></w:r>
</w:p>
<w:p>
<w:pPr><w:pStyle w:val="Normal"/></w:pPr>
<w:r><w:t xml:space="preserve">passes by adiabatic expansion from the top to the bottom of</w:t></w:r>
</w:p>
<w:p>
<w:pPr><w:pStyle w:val="Normal"/></w:pPr>
<w:r><w:t xml:space="preserve">its temperature range, then rejects heat at the bottom of the</w:t></w:r>
</w:p>
<w:p>
<w:pPr><w:pStyle w:val="Normal"/></w:pPr>
<w:r><w:t xml:space="preserve">range, and is finally brought back by adiabatic compression</w:t></w:r>
</w:p>
<w:p>
<w:pPr><w:pStyle w:val="Normal"/></w:pPr>
<w:r><w:t xml:space="preserve">to the highest temperature at which it again takes in heat,</w:t></w:r>
</w:p>
<w:p>
<w:pPr><w:pStyle w:val="Normal"/></w:pPr>
<w:r><w:t xml:space="preserve">and so on.  An air-engine working on this cycle would be</w:t></w:r>
</w:p>
<w:p>
<w:pPr><w:pStyle w:val="Normal"/></w:pPr>
<w:r><w:t xml:space="preserve">intolerably bulky and mechanically inefficient.  Stirling</w:t></w:r>
</w:p>
<w:p>
<w:pPr><w:pStyle w:val="Normal"/></w:pPr>
<w:r><w:t xml:space="preserve">substituted for the two stages of adiabatic expansion and</w:t></w:r>
</w:p>
<w:p>
<w:pPr><w:pStyle w:val="Normal"/></w:pPr>
<w:r><w:t xml:space="preserve">compression the passage of the air to and fro through a</w:t></w:r>
</w:p>
<w:p>
<w:pPr><w:pStyle w:val="Normal"/></w:pPr>
<w:r><w:t xml:space="preserve">``regenerator,&apos;&apos; in which the air was alternately cooled</w:t></w:r>
</w:p>
<w:p>
<w:pPr><w:pStyle w:val="Normal"/></w:pPr>
<w:r><w:t xml:space="preserve">by storing its heat in the material of the regenerator and</w:t></w:r>
</w:p>
<w:p>
<w:pPr><w:pStyle w:val="Normal"/></w:pPr>
<w:r><w:t xml:space="preserve">reheated by picking the stored heat up again on the return</w:t></w:r>
</w:p>
<w:p>
<w:pPr><w:pStyle w:val="Normal"/></w:pPr>
<w:r><w:t xml:space="preserve">journey.  The essential parts of one form of Stirling&apos;s engine</w:t></w:r>
</w:p>
<w:p>
<w:pPr><w:pStyle w:val="Normal"/></w:pPr>
<w:r><w:t xml:space="preserve">are shown in fig. 1. There A is the externally fired heating</w:t></w:r>
</w:p>
<w:p>
<w:pPr><w:pStyle w:val="Normal"/></w:pPr>
<w:r><w:t xml:space="preserve">vessel, the lower part of which contains hot air which is</w:t></w:r>
</w:p>
<w:p>
<w:pPr><w:pStyle w:val="Normal"/></w:pPr>
<w:r><w:t xml:space="preserve">taking in heat from the furnace beneath.  A pipe from the</w:t></w:r>
</w:p>
<w:p>
<w:pPr><w:pStyle w:val="Normal"/></w:pPr>
<w:r><w:t xml:space="preserve">top of A leads to the working cylinder (B). At the top of</w:t></w:r>
</w:p>
<w:p>
<w:pPr><w:pStyle w:val="Normal"/></w:pPr>
<w:r><w:t xml:space="preserve">A is a cooler (C) consisting of pipes through which cold</w:t></w:r>
</w:p>
<w:p>
<w:pPr><w:pStyle w:val="Normal"/></w:pPr>
<w:r><w:t xml:space="preserve">water is made to circulate.  In A there is a displacer (D)</w:t></w:r>
</w:p>
<w:p>
<w:pPr><w:pStyle w:val="Normal"/></w:pPr>
<w:r><w:t xml:space="preserve">which is connected (by parts not shown) with the piston in</w:t></w:r>
</w:p>
<w:p>
<w:pPr><w:pStyle w:val="Normal"/></w:pPr>
<w:r><w:t xml:space="preserve">such a manner that it moves down when the piston has moved</w:t></w:r>
</w:p>
<w:p>
<w:pPr><w:pStyle w:val="Normal"/></w:pPr>
<w:r><w:t xml:space="preserve">up.  The air-pressure is practically the same above and</w:t></w:r>
</w:p>
<w:p>
<w:pPr><w:pStyle w:val="Normal"/></w:pPr>
<w:r><w:t xml:space="preserve">below D, for these spaces are in free communication with</w:t></w:r>
</w:p>
<w:p>
<w:pPr><w:pStyle w:val="Normal"/></w:pPr>
<w:r><w:t xml:space="preserve">one another through the regenerator (E), which is an annular</w:t></w:r>
</w:p>
<w:p>
<w:pPr><w:pStyle w:val="Normal"/></w:pPr>
<w:r><w:t xml:space="preserve">space stacked loosely with wire-gauze.  When D moves down,</w:t></w:r>
</w:p>
<w:p>
<w:pPr><w:pStyle w:val="Normal"/></w:pPr>
<w:r><w:t xml:space="preserve">the hot air is driven up through the regenerator to the upper</w:t></w:r>
</w:p>
<w:p>
<w:pPr><w:pStyle w:val="Heading1"/></w:pPr>
<w:r><w:t>part of the containing vessel.  It deposits its heat in the</w:t></w:r>
</w:p>
<w:p>
<w:pPr><w:pStyle w:val="Normal"/></w:pPr>
<w:r><w:t xml:space="preserve">wire-gauze, becoming lowered in temperature and consequently</w:t></w:r>
</w:p>
<w:p>
<w:pPr><w:pStyle w:val="Normal"/></w:pPr>
<w:r><w:t xml:space="preserve">reduced in pressure.  The piston (B) descends, and the air,</w:t></w:r>
</w:p>
<w:p>
<w:pPr><w:pStyle w:val="Normal"/></w:pPr>
<w:r><w:t xml:space="preserve">now in contact with the cooling pipes (C), gives up heat to</w:t></w:r>
</w:p>
<w:p>
<w:pPr><w:pStyle w:val="Normal"/></w:pPr>
<w:r><w:t xml:space="preserve">them.  Then the displacer (D) is raised.  The air passes down</w:t></w:r>
</w:p>
<w:p>
<w:pPr><w:pStyle w:val="Normal"/></w:pPr>
<w:r><w:t xml:space="preserve">through its regenerator, picking up the heat deposited there,</w:t></w:r>
</w:p>
<w:p>
<w:pPr><w:pStyle w:val="Normal"/></w:pPr>
<w:r><w:t xml:space="preserve">and thereby having its temperature restored and its pressure</w:t></w:r>
</w:p>
<w:p>
<w:pPr><w:pStyle w:val="Normal"/></w:pPr>
<w:r><w:t xml:space="preserve">raised.  It then takes in heat from the furnace, expanding in</w:t></w:r>
</w:p>
<w:p>
<w:pPr><w:pStyle w:val="Normal"/></w:pPr>
<w:r><w:t xml:space="preserve">volume and forcing the piston (B) to rise, which completes the</w:t></w:r>
</w:p>
<w:p>
<w:pPr><w:pStyle w:val="Normal"/></w:pPr>
<w:r><w:t xml:space="preserve">cycle.  The engine was double-acting, another heating vessel</w:t></w:r>
</w:p>
<w:p>
<w:pPr><w:pStyle w:val="Normal"/></w:pPr>
<w:r><w:t xml:space="preserve">like A being connected with the upper end of the working cylinder</w:t></w:r>
</w:p>
<w:p>
<w:pPr><w:pStyle w:val="Normal"/></w:pPr>
<w:r><w:t xml:space="preserve">at F. The stages at which heat is taken from the furnace and</w:t></w:r>
</w:p>
<w:p>
<w:pPr><w:pStyle w:val="Normal"/></w:pPr>
<w:r><w:t xml:space="preserve">rejected to the cooler (C) are approximately isothermal at the</w:t></w:r>
</w:p>
<w:p>
<w:pPr><w:pStyle w:val="Normal"/></w:pPr>
<w:r><w:t xml:space="preserve">upper and lower limits of temperature respectively, and the cycle</w:t></w:r>
</w:p>
<w:p>
<w:pPr><w:pStyle w:val="Normal"/></w:pPr>
<w:r><w:t xml:space="preserve">accordingly is approximately ``perfect&apos;&apos; in the thermodynamic</w:t></w:r>
</w:p>
<w:p>
<w:pPr><w:pStyle w:val="Normal"/></w:pPr>
<w:r><w:t xml:space="preserve">sense.  The theoretical indicator diagram is made up of two</w:t></w:r>
</w:p>
<w:p>
<w:pPr><w:pStyle w:val="Normal"/></w:pPr>
<w:r><w:t xml:space="preserve">isothermal lines for the taking in and rejection of heat, and</w:t></w:r>
</w:p>
<w:p>
<w:pPr><w:pStyle w:val="Normal"/></w:pPr>
<w:r><w:t xml:space="preserve">two lines of constant volume for the two passages through the</w:t></w:r>
</w:p>
<w:p>
<w:pPr><w:pStyle w:val="Normal"/></w:pPr>
<w:r><w:t xml:space="preserve">regenerator.  This engine was the subject of two patents</w:t></w:r>
</w:p>
<w:p>
<w:pPr><w:pStyle w:val="Normal"/></w:pPr>
<w:r><w:t xml:space="preserve">(by R. and S. Stirling) in 1827 and 1840.  A double-acting</w:t></w:r>
</w:p>
<w:p>
<w:pPr><w:pStyle w:val="Normal"/></w:pPr>
<w:r><w:t xml:space="preserve">Stirling engine of 50 horse-power, using air which was</w:t></w:r>
</w:p>
<w:p>
<w:pPr><w:pStyle w:val="Normal"/></w:pPr>
<w:r><w:t xml:space="preserve">maintained by a pump at a fairly high pressure throughout the</w:t></w:r>
</w:p>
<w:p>
<w:pPr><w:pStyle w:val="Normal"/></w:pPr>
<w:r><w:t xml:space="preserve">operations, was used for some years in the Dundee Foundry,</w:t></w:r>
</w:p>
<w:p>
<w:pPr><w:pStyle w:val="Normal"/></w:pPr>
<w:r><w:t xml:space="preserve">where it is oredited with having consumed only 1.7 lb. of coal</w:t></w:r>
</w:p>
<w:p>
<w:pPr><w:pStyle w:val="Normal"/></w:pPr>
<w:r><w:t xml:space="preserve">per hour per indicated horse-power.  The coal consumption per</w:t></w:r>
</w:p>
<w:p>
<w:pPr><w:pStyle w:val="Normal"/></w:pPr>
<w:r><w:t xml:space="preserve">brake-horse-power was no doubt much greater.  It was finally</w:t></w:r>
</w:p>
<w:p>
<w:pPr><w:pStyle w:val="Normal"/></w:pPr>
<w:r><w:t xml:space="preserve">abandoned on account of the failure of the heating vessels.</w:t></w:r>
</w:p>
<w:p>
<w:pPr><w:pStyle w:val="Normal"/></w:pPr>
<w:r><w:t xml:space="preserve">The type survives in some small domestic motors, an example of</w:t></w:r>
</w:p>
<w:p>
<w:pPr><w:pStyle w:val="Normal"/></w:pPr>
<w:r><w:t xml:space="preserve">which, manufactured under the patent of H. Robinson, is shown</w:t></w:r>
</w:p>
<w:p>
<w:pPr><w:pStyle w:val="Normal"/></w:pPr>
<w:r><w:t xml:space="preserve">in fig. 2. In this there is no compressing pump, and the main</w:t></w:r>
</w:p>
<w:p>
<w:pPr><w:pStyle w:val="Normal"/></w:pPr>
<w:r><w:t xml:space="preserve">pressure of the working air is simply that of the atmosphere.</w:t></w:r>
</w:p>
<w:p>
<w:pPr><w:pStyle w:val="Normal"/></w:pPr>
<w:r><w:t xml:space="preserve">The whole range of pressure is so slight that no packing is</w:t></w:r>
</w:p>
<w:p>
<w:pPr><w:pStyle w:val="Normal"/></w:pPr>
<w:r><w:t xml:space="preserve">required.  Here A is the vessel in which the air is heated</w:t></w:r>
</w:p>
<w:p>
<w:pPr><w:pStyle w:val="Normal"/></w:pPr>
<w:r><w:t xml:space="preserve">and within which the displacer works.  It is heated by a small</w:t></w:r>
</w:p>
<w:p>
<w:pPr><w:pStyle w:val="Normal"/></w:pPr>
<w:r><w:t xml:space="preserve">cokefire or by a gas flame in C. It communicates through a</w:t></w:r>
</w:p>
<w:p>
<w:pPr><w:pStyle w:val="Normal"/></w:pPr>
<w:r><w:t xml:space="preserve">passage (D) with the working cylinder (B) . The displacer (E)</w:t></w:r>
</w:p>
<w:p>
<w:pPr><w:pStyle w:val="Normal"/></w:pPr>
<w:r><w:t xml:space="preserve">which takes its motion through a rod (I) from a rocking lever</w:t></w:r>
</w:p>
<w:p>
<w:pPr><w:pStyle w:val="Normal"/></w:pPr>
<w:r><w:t xml:space="preserve">(F) connected by a short link to the crank-pin, is itself the</w:t></w:r>
</w:p>
<w:p>
<w:pPr><w:pStyle w:val="Normal"/></w:pPr>
<w:r><w:t xml:space="preserve">regenerator, its construction being such that the air passes</w:t></w:r>
</w:p>
<w:p>
<w:pPr><w:pStyle w:val="Normal"/></w:pPr>
<w:r><w:t xml:space="preserve">up and down through it as in one of the original Stirling</w:t></w:r>
</w:p>
<w:p>
<w:pPr><w:pStyle w:val="Normal"/></w:pPr>
<w:r><w:t xml:space="preserve">forms.  The cooler is a water vessel (G) through which water</w:t></w:r>
</w:p>
<w:p>
<w:pPr><w:pStyle w:val="Normal"/></w:pPr>
<w:r><w:t xml:space="preserve">circulates from a tank (H). Ylessrs.  Hayward and Tyler&apos;s</w:t></w:r>
</w:p>
<w:p>
<w:pPr><w:pStyle w:val="Normal"/></w:pPr>
<w:r><w:t xml:space="preserve">``Rider&apos;&apos; engine may be mentioned as another small hot-air</w:t></w:r>
</w:p>
<w:p>
<w:pPr><w:pStyle w:val="Normal"/></w:pPr>
<w:r><w:t xml:space="preserve">motor which follows nearly the Stirling cycle of operations.</w:t></w:r>
</w:p>
<w:p>
<w:pPr><w:pStyle w:val="Normal"/></w:pPr>
<w:r><w:t xml:space="preserve">An attempt to develop a powerful air-engine was made in</w:t></w:r>
</w:p>
<w:p>
<w:pPr><w:pStyle w:val="Normal"/></w:pPr>
<w:r><w:t xml:space="preserve">America about 1833 by John Ericsson, who applied it to marine</w:t></w:r>
</w:p>
<w:p>
<w:pPr><w:pStyle w:val="Normal"/></w:pPr>
<w:r><w:t xml:space="preserve">propulsion in the ship ``Caloric,&apos;&apos; but without permanent</w:t></w:r>
</w:p>
<w:p>
<w:pPr><w:pStyle w:val="Normal"/></w:pPr>
<w:r><w:t xml:space="preserve">success.  Like Stirling, Ericsson used a regenerator, but with</w:t></w:r>
</w:p>
<w:p>
<w:pPr><w:pStyle w:val="Normal"/></w:pPr>
<w:r><w:t xml:space="preserve">this difference that the pressure instead of the volume of the air</w:t></w:r>
</w:p>
<w:p>
<w:pPr><w:pStyle w:val="Normal"/></w:pPr>
<w:r><w:t xml:space="preserve">remained constant while it passed in each direction through the</w:t></w:r>
</w:p>
<w:p>
<w:pPr><w:pStyle w:val="Normal"/></w:pPr>
<w:r><w:t xml:space="preserve">regenerator.  Cold air was compressed by a. pump into a receiver,</w:t></w:r>
</w:p>
<w:p>
<w:pPr><w:pStyle w:val="Normal"/></w:pPr>
<w:r><w:t xml:space="preserve">where it was kept cool during compression and from which it</w:t></w:r>
</w:p>
<w:p>
<w:pPr><w:pStyle w:val="Normal"/></w:pPr>
<w:r><w:t xml:space="preserve">passed through a regenerator into the working cylinder.  In</w:t></w:r>
</w:p>
<w:p>
<w:pPr><w:pStyle w:val="Normal"/></w:pPr>
<w:r><w:t xml:space="preserve">so passing it took up heat and expanded.  It was then allowed</w:t></w:r>
</w:p>
<w:p>
<w:pPr><w:pStyle w:val="Normal"/></w:pPr>
<w:r><w:t xml:space="preserve">to expand further, taking in heat from a furnace under the</w:t></w:r>
</w:p>
<w:p>
<w:pPr><w:pStyle w:val="Normal"/></w:pPr>
<w:r><w:t xml:space="preserve">cylinder and falling in pressure.  This expansion was continued</w:t></w:r>
</w:p>
<w:p>
<w:pPr><w:pStyle w:val="Normal"/></w:pPr>
<w:r><w:t xml:space="preserve">till the pressure of the working air fell nearly to that of the</w:t></w:r>
</w:p>
<w:p>
<w:pPr><w:pStyle w:val="Normal"/></w:pPr>
<w:r><w:t xml:space="preserve">atmosphere.  It was then discharged through the regenerator,</w:t></w:r>
</w:p>
<w:p>
<w:pPr><w:pStyle w:val="Normal"/></w:pPr>
<w:r><w:t xml:space="preserve">depositing heat for the next charge of air in turn to take</w:t></w:r>
</w:p>
<w:p>
<w:pPr><w:pStyle w:val="Normal"/></w:pPr>
<w:r><w:t xml:space="preserve">up.  The indicator diagram approximated to a form made up</w:t></w:r>
</w:p>
<w:p>
<w:pPr><w:pStyle w:val="Normal"/></w:pPr>
<w:r><w:t xml:space="preserve">of two isothermal lines and two lines of constant pressure.</w:t></w:r>
</w:p>
<w:p>
<w:pPr><w:pStyle w:val="Normal"/></w:pPr>
<w:r><w:t xml:space="preserve">In the transmission of power by compressed air (see POWER</w:t></w:r>
</w:p>
<w:p>
<w:pPr><w:pStyle w:val="Normal"/></w:pPr>
<w:r><w:t xml:space="preserve">TRANSMISSION) the air-driven motors are for the most part</w:t></w:r>
</w:p>
<w:p>
<w:pPr><w:pStyle w:val="Normal"/></w:pPr>
<w:r><w:t xml:space="preserve">machines resembling steam-engines in the general features of</w:t></w:r>
</w:p>
<w:p>
<w:pPr><w:pStyle w:val="Normal"/></w:pPr>
<w:r><w:t xml:space="preserve">their pistons, cylinders, valves and so forth.  Such machines</w:t></w:r>
</w:p>
<w:p>
<w:pPr><w:pStyle w:val="Normal"/></w:pPr>
<w:r><w:t xml:space="preserve">are not properly described as air-engines since their function</w:t></w:r>
</w:p>
<w:p>
<w:pPr><w:pStyle w:val="Normal"/></w:pPr>
<w:r><w:t xml:space="preserve">is not the conversion of heat into work.  Incidentally,</w:t></w:r>
</w:p>
<w:p>
<w:pPr><w:pStyle w:val="Normal"/></w:pPr>
<w:r><w:t xml:space="preserve">however, they do in some cases partially discharge that</w:t></w:r>
</w:p>
<w:p>
<w:pPr><w:pStyle w:val="Normal"/></w:pPr>
<w:r><w:t xml:space="preserve">function, namely, when what is called a ``preheater&apos;&apos; is used</w:t></w:r>
</w:p>
<w:p>
<w:pPr><w:pStyle w:val="Normal"/></w:pPr>
<w:r><w:t xml:space="preserve">to warm up the compressed air before it enters in the motor</w:t></w:r>
</w:p>
<w:p>
<w:pPr><w:pStyle w:val="Normal"/></w:pPr>
<w:r><w:t xml:space="preserve">cylinder.  The object of this device is not, primarily, to</w:t></w:r>
</w:p>
<w:p>
<w:pPr><w:pStyle w:val="Normal"/></w:pPr>
<w:r><w:t xml:space="preserve">produce work from heat, but to escape the inconveniences</w:t></w:r>
</w:p>
<w:p>
<w:pPr><w:pStyle w:val="Normal"/></w:pPr>
<w:r><w:t xml:space="preserve">that would otherwise arise through extreme cooling of the</w:t></w:r>
</w:p>
<w:p>
<w:pPr><w:pStyle w:val="Normal"/></w:pPr>
<w:r><w:t xml:space="preserve">air during its expansion.  Without preheating the expanding</w:t></w:r>
</w:p>
<w:p>
<w:pPr><w:pStyle w:val="Normal"/></w:pPr>
<w:r><w:t xml:space="preserve">air becomes so cold as to be liable to deposit snow from</w:t></w:r>
</w:p>
<w:p>
<w:pPr><w:pStyle w:val="Normal"/></w:pPr>
<w:r><w:t xml:space="preserve">the moisture held in suspension, and thereby to clog the</w:t></w:r>
</w:p>
<w:p>
<w:pPr><w:pStyle w:val="Normal"/></w:pPr>
<w:r><w:t xml:space="preserve">valves.  With preheating this is avoided, and the amount</w:t></w:r>
</w:p>
<w:p>
<w:pPr><w:pStyle w:val="Normal"/></w:pPr>
<w:r><w:t xml:space="preserve">of work done by a given quantity of air is increased by the</w:t></w:r>
</w:p>
<w:p>
<w:pPr><w:pStyle w:val="Normal"/></w:pPr>
<w:r><w:t xml:space="preserve">conversion into work of a part of the supplementary energy</w:t></w:r>
</w:p>
<w:p>
<w:pPr><w:pStyle w:val="Normal"/></w:pPr>
<w:r><w:t xml:space="preserve">which the preheater supplies in the form of heat. (J. A. E.)</w:t></w:r>
</w:p>
<w:p>
<w:pPr><w:pStyle w:val="Normal"/></w:pPr>
<w:r><w:t xml:space="preserve">AIREY, RICHARD AIREY, BARON (1803-1881), British general,</w:t></w:r>
</w:p>
<w:p>
<w:pPr><w:pStyle w:val="Normal"/></w:pPr>
<w:r><w:t xml:space="preserve">was the son of Lieutenant-General Sir George Airey (1761-1833)</w:t></w:r>
</w:p>
<w:p>
<w:pPr><w:pStyle w:val="Normal"/></w:pPr>
<w:r><w:t xml:space="preserve">and was born in 1803.  He entered the army in 1821, became</w:t></w:r>
</w:p>
<w:p>
<w:pPr><w:pStyle w:val="Normal"/></w:pPr>
<w:r><w:t xml:space="preserve">captain in 1825, and served on the staff of Sir Frederick</w:t></w:r>
</w:p>
<w:p>
<w:pPr><w:pStyle w:val="Normal"/></w:pPr>
<w:r><w:t xml:space="preserve">Adam in the Ionian Islands (1827-1830) and on that of Lord</w:t></w:r>
</w:p>
<w:p>
<w:pPr><w:pStyle w:val="Normal"/></w:pPr>
<w:r><w:t xml:space="preserve">Aylmer in North America (1830-1832).  In 1838 Airey, then a</w:t></w:r>
</w:p>
<w:p>
<w:pPr><w:pStyle w:val="Normal"/></w:pPr>
<w:r><w:t xml:space="preserve">lieutenant-colonel, went to the Horse Guards, where in 1852</w:t></w:r>
</w:p>
<w:p>
<w:pPr><w:pStyle w:val="Normal"/></w:pPr>
<w:r><w:t xml:space="preserve">he became military secretary to the commander-in-chief, Lord</w:t></w:r>
</w:p>
<w:p>
<w:pPr><w:pStyle w:val="Normal"/></w:pPr>
<w:r><w:t xml:space="preserve">Hardinge.  In 1854 he was given a brigade command in the</w:t></w:r>
</w:p>
<w:p>
<w:pPr><w:pStyle w:val="Normal"/></w:pPr>
<w:r><w:t xml:space="preserve">army sent out to the East; from which, however, he was</w:t></w:r>
</w:p>
<w:p>
<w:pPr><w:pStyle w:val="Normal"/></w:pPr>
<w:r><w:t xml:space="preserve">immediately transferred to the onerous and difficult post</w:t></w:r>
</w:p>
<w:p>
<w:pPr><w:pStyle w:val="Normal"/></w:pPr>
<w:r><w:t xml:space="preserve">of quartermaster-general to Lord Raglan, in which capacity</w:t></w:r>
</w:p>
<w:p>
<w:pPr><w:pStyle w:val="Normal"/></w:pPr>
<w:r><w:t xml:space="preserve">he served through the campaign in the Crimea.  He was made</w:t></w:r>
</w:p>
<w:p>
<w:pPr><w:pStyle w:val="Normal"/></w:pPr>
<w:r><w:t xml:space="preserve">a major-general in December 1854, and it was universally</w:t></w:r>
</w:p>
<w:p>
<w:pPr><w:pStyle w:val="Normal"/></w:pPr>
<w:r><w:t xml:space="preserve">recognized in the army that he was the best soldier on Lord</w:t></w:r>
</w:p>
<w:p>
<w:pPr><w:pStyle w:val="Normal"/></w:pPr>
<w:r><w:t xml:space="preserve">Raglan&apos;s staff.  He was made a K.C.B., and was reported upon</w:t></w:r>
</w:p>
<w:p>
<w:pPr><w:pStyle w:val="Normal"/></w:pPr>
<w:r><w:t xml:space="preserve">most favourably by his superiors, Lord Raglan and Sir J.</w:t></w:r>
</w:p>
<w:p>
<w:pPr><w:pStyle w:val="Normal"/></w:pPr>
<w:r><w:t xml:space="preserve">Simpson.  Airey was a quartermaster-general in the older</w:t></w:r>
</w:p>
<w:p>
<w:pPr><w:pStyle w:val="Normal"/></w:pPr>
<w:r><w:t xml:space="preserve">sense of the word, i.e. a chief of the general staff, but a</w:t></w:r>
</w:p>
<w:p>
<w:pPr><w:pStyle w:val="Normal"/></w:pPr>
<w:r><w:t xml:space="preserve">different view of the duties of the office was then becoming</w:t></w:r>
</w:p>
<w:p>
<w:pPr><w:pStyle w:val="Normal"/></w:pPr>
<w:r><w:t xml:space="preserve">recognized.  Public opinion held him and his department</w:t></w:r>
</w:p>
<w:p>
<w:pPr><w:pStyle w:val="Normal"/></w:pPr>
<w:r><w:t xml:space="preserve">responsible for the failures and mismanagement of the</w:t></w:r>
</w:p>
<w:p>
<w:pPr><w:pStyle w:val="Normal"/></w:pPr>
<w:r><w:t xml:space="preserve">commissariat.  Airey demanded an inquiry on his return to</w:t></w:r>
</w:p>
<w:p>
<w:pPr><w:pStyle w:val="Normal"/></w:pPr>
<w:r><w:t xml:space="preserve">England and cleared himself completely, but he never recovered</w:t></w:r>
</w:p>
<w:p>
<w:pPr><w:pStyle w:val="Normal"/></w:pPr>
<w:r><w:t xml:space="preserve">from the effects of the unjust persecution of which he</w:t></w:r>
</w:p>
<w:p>
<w:pPr><w:pStyle w:val="Normal"/></w:pPr>
<w:r><w:t xml:space="preserve">had been made the victim, though the popular view was not</w:t></w:r>
</w:p>
<w:p>
<w:pPr><w:pStyle w:val="Normal"/></w:pPr>
<w:r><w:t xml:space="preserve">shared by his military superiors.  He gave up his post at</w:t></w:r>
</w:p>
<w:p>
<w:pPr><w:pStyle w:val="Normal"/></w:pPr>
<w:r><w:t xml:space="preserve">the front to become quartermaster-general to the forces at</w:t></w:r>
</w:p>
<w:p>
<w:pPr><w:pStyle w:val="Normal"/></w:pPr>
<w:r><w:t xml:space="preserve">home.  In 1862 he was promoted lieutenant-general, and</w:t></w:r>
</w:p>
<w:p>
<w:pPr><w:pStyle w:val="Normal"/></w:pPr>
<w:r><w:t xml:space="preserve">from 1865 to 1870 he was governor of Gibraltar, receiving</w:t></w:r>
</w:p>
<w:p>
<w:pPr><w:pStyle w:val="Normal"/></w:pPr>
<w:r><w:t xml:space="preserve">the G.C.B. in 1867.  In 1870 he became adjutant-general</w:t></w:r>
</w:p>
<w:p>
<w:pPr><w:pStyle w:val="Normal"/></w:pPr>
<w:r><w:t xml:space="preserve">at headquarters, and in 1871 attained the full rank of</w:t></w:r>
</w:p>
<w:p>
<w:pPr><w:pStyle w:val="Normal"/></w:pPr>
<w:r><w:t xml:space="preserve">general.  In 1876, on his retirement, he was created a</w:t></w:r>
</w:p>
<w:p>
<w:pPr><w:pStyle w:val="Normal"/></w:pPr>
<w:r><w:t xml:space="preserve">peer, and in 1879-1880 he presided over the celebrated Airey</w:t></w:r>
</w:p>
<w:p>
<w:pPr><w:pStyle w:val="Normal"/></w:pPr>
<w:r><w:t xml:space="preserve">commission on army reform.  He died at the house of Lord</w:t></w:r>
</w:p>
<w:p>
<w:pPr><w:pStyle w:val="Normal"/></w:pPr>
<w:r><w:t xml:space="preserve">Wolseley, at Leatherhead, on the 14th of September 1881.</w:t></w:r>
</w:p>
<w:p>
<w:pPr><w:pStyle w:val="Normal"/></w:pPr>
<w:r><w:t xml:space="preserve">AIR-GUN, a gun in which the force employed to propel the</w:t></w:r>
</w:p>
<w:p>
<w:pPr><w:pStyle w:val="Normal"/></w:pPr>
<w:r><w:t xml:space="preserve">bullet is the elasticity of compressed atmospheric air.</w:t></w:r>
</w:p>
<w:p>
<w:pPr><w:pStyle w:val="Normal"/></w:pPr>
<w:r><w:t xml:space="preserve">It has attached to it, or constructed in it, a reservoir of</w:t></w:r>
</w:p>
<w:p>
<w:pPr><w:pStyle w:val="Normal"/></w:pPr>
<w:r><w:t xml:space="preserve">compressed air, a portion of which, liberated into the space</w:t></w:r>
</w:p>
<w:p>
<w:pPr><w:pStyle w:val="Normal"/></w:pPr>
<w:r><w:t xml:space="preserve">behind the bullet when the trigger is pulled, propels the</w:t></w:r>
</w:p>
<w:p>
<w:pPr><w:pStyle w:val="Normal"/></w:pPr>
<w:r><w:t xml:space="preserve">bullet from the barrel by its expansion.  The common forms of</w:t></w:r>
</w:p>
<w:p>
<w:pPr><w:pStyle w:val="Normal"/></w:pPr>
<w:r><w:t xml:space="preserve">air-gun, which are merely toys, are charged by compressing a</w:t></w:r>
</w:p>
<w:p>
<w:pPr><w:pStyle w:val="Normal"/></w:pPr>
<w:r><w:t xml:space="preserve">spiral spring, one end of which forms a piston working in a</w:t></w:r>
</w:p>
<w:p>
<w:pPr><w:pStyle w:val="Normal"/></w:pPr>
<w:r><w:t xml:space="preserve">cylinder; when released by a pull on the trigger, this spring</w:t></w:r>
</w:p>
<w:p>
<w:pPr><w:pStyle w:val="Normal"/></w:pPr>
<w:r><w:t xml:space="preserve">expands, and the air forced out in front of it propels the</w:t></w:r>
</w:p>
<w:p>
<w:pPr><w:pStyle w:val="Normal"/></w:pPr>
<w:r><w:t xml:space="preserve">bullet.  Air-guns of this kind are sometimes made to</w:t></w:r>
</w:p>
<w:p>
<w:pPr><w:pStyle w:val="Normal"/></w:pPr>
<w:r><w:t xml:space="preserve">resemble walking-sticks and are then known as air-canes.</w:t></w:r>
</w:p>
<w:p>
<w:pPr><w:pStyle w:val="Normal"/></w:pPr>
<w:r><w:t xml:space="preserve">AIRY, SIR GEORGE BIDDELL (1801-1892), British Astronomer</w:t></w:r>
</w:p>
<w:p>
<w:pPr><w:pStyle w:val="Normal"/></w:pPr>
<w:r><w:t xml:space="preserve">Royal, was born at Alnwick on the 27th of July 1801.</w:t></w:r>
</w:p>
<w:p>
<w:pPr><w:pStyle w:val="Normal"/></w:pPr>
<w:r><w:t xml:space="preserve">He came of a long line of Airys who traced their descent</w:t></w:r>
</w:p>
<w:p>
<w:pPr><w:pStyle w:val="Normal"/></w:pPr>
<w:r><w:t xml:space="preserve">back to a family of the same name residing at Eentmere, in</w:t></w:r>
</w:p>
<w:p>
<w:pPr><w:pStyle w:val="Normal"/></w:pPr>
<w:r><w:t xml:space="preserve">Westmorland, in the 14th century; but the branch to which</w:t></w:r>
</w:p>
<w:p>
<w:pPr><w:pStyle w:val="Normal"/></w:pPr>
<w:r><w:t xml:space="preserve">he belonged, having suffered in the Civil wars, removed to</w:t></w:r>
</w:p>
<w:p>
<w:pPr><w:pStyle w:val="Normal"/></w:pPr>
<w:r><w:t xml:space="preserve">Lincolnshire, where for several generations they lived as</w:t></w:r>
</w:p>
<w:p>
<w:pPr><w:pStyle w:val="Normal"/></w:pPr>
<w:r><w:t xml:space="preserve">farmers.  George Airy was educated first at elementary</w:t></w:r>
</w:p>
<w:p>
<w:pPr><w:pStyle w:val="Normal"/></w:pPr>
<w:r><w:t xml:space="preserve">schools in Hereford, and afterwards at Colchester Grammar</w:t></w:r>
</w:p>
<w:p>
<w:pPr><w:pStyle w:val="Normal"/></w:pPr>
<w:r><w:t xml:space="preserve">School.  In 1819 he entered Trinity College, Cambridge, as a</w:t></w:r>
</w:p>
<w:p>
<w:pPr><w:pStyle w:val="Normal"/></w:pPr>
<w:r><w:t xml:space="preserve">sizar.  Here he had a brilliant career, and seems to have</w:t></w:r>
</w:p>
<w:p>
<w:pPr><w:pStyle w:val="Normal"/></w:pPr>
<w:r><w:t xml:space="preserve">been almost immediately recognized as the leading man of his</w:t></w:r>
</w:p>
<w:p>
<w:pPr><w:pStyle w:val="Normal"/></w:pPr>
<w:r><w:t xml:space="preserve">year.  In 1822 he was elected scholar of Trinity, and in the</w:t></w:r>
</w:p>
<w:p>
<w:pPr><w:pStyle w:val="Normal"/></w:pPr>
<w:r><w:t xml:space="preserve">following year he graduated as senior wrangler and obtained</w:t></w:r>
</w:p>
<w:p>
<w:pPr><w:pStyle w:val="Normal"/></w:pPr>
<w:r><w:t xml:space="preserve">first Smith&apos;s prize.  On the 1st of October 1824 he was</w:t></w:r>
</w:p>
<w:p>
<w:pPr><w:pStyle w:val="Normal"/></w:pPr>
<w:r><w:t xml:space="preserve">elected fellow of Trinity, and in December 1826 was appointed</w:t></w:r>
</w:p>
<w:p>
<w:pPr><w:pStyle w:val="Normal"/></w:pPr>
<w:r><w:t xml:space="preserve">Lucasian professor of mathematics in succession to Thomas</w:t></w:r>
</w:p>
<w:p>
<w:pPr><w:pStyle w:val="Normal"/></w:pPr>
<w:r><w:t xml:space="preserve">Turton.  This chair he held for little more than a year, being</w:t></w:r>
</w:p>
<w:p>
<w:pPr><w:pStyle w:val="Normal"/></w:pPr>
<w:r><w:t xml:space="preserve">elected in February 1828 Plumian professor of astronomy and</w:t></w:r>
</w:p>
<w:p>
<w:pPr><w:pStyle w:val="Normal"/></w:pPr>
<w:r><w:t xml:space="preserve">director of the new Cambridge observatory.  Some idea of his</w:t></w:r>
</w:p>
<w:p>
<w:pPr><w:pStyle w:val="Normal"/></w:pPr>
<w:r><w:t xml:space="preserve">activity as a writer on mathematical and physical subjects</w:t></w:r>
</w:p>
<w:p>
<w:pPr><w:pStyle w:val="Normal"/></w:pPr>
<w:r><w:t xml:space="preserve">during these early years may be gathered from the fact that</w:t></w:r>
</w:p>
<w:p>
<w:pPr><w:pStyle w:val="Normal"/></w:pPr>
<w:r><w:t xml:space="preserve">previous to this appointment he had contributed no less than</w:t></w:r>
</w:p>
<w:p>
<w:pPr><w:pStyle w:val="Normal"/></w:pPr>
<w:r><w:t xml:space="preserve">three important memoirs to the Philisophical Transactions of</w:t></w:r>
</w:p>
<w:p>
<w:pPr><w:pStyle w:val="Normal"/></w:pPr>
<w:r><w:t xml:space="preserve">the Royal Society, and eight to the Cambridge Philosophical</w:t></w:r>
</w:p>
<w:p>
<w:pPr><w:pStyle w:val="Normal"/></w:pPr>
<w:r><w:t xml:space="preserve">Society.  At the Cambridge observatory Airy soon gave evidence</w:t></w:r>
</w:p>
<w:p>
<w:pPr><w:pStyle w:val="Normal"/></w:pPr>
<w:r><w:t xml:space="preserve">of his remarkable power of organization.  The only telescope</w:t></w:r>
</w:p>
<w:p>
<w:pPr><w:pStyle w:val="Normal"/></w:pPr>
<w:r><w:t xml:space="preserve">erected in the establishment when he took it in charge was</w:t></w:r>
</w:p>
<w:p>
<w:pPr><w:pStyle w:val="Normal"/></w:pPr>
<w:r><w:t xml:space="preserve">the transit instrument, and to this he vigorously devoted</w:t></w:r>
</w:p>
<w:p>
<w:pPr><w:pStyle w:val="Normal"/></w:pPr>
<w:r><w:t xml:space="preserve">himself.  By the adoption of a regular system of work,</w:t></w:r>
</w:p>
<w:p>
<w:pPr><w:pStyle w:val="Normal"/></w:pPr>
<w:r><w:t xml:space="preserve">and a careful plan of reduction, he was able to keep his</w:t></w:r>
</w:p>
<w:p>
<w:pPr><w:pStyle w:val="Normal"/></w:pPr>
<w:r><w:t xml:space="preserve">observations reduced practically up to date, and published</w:t></w:r>
</w:p>
<w:p>
<w:pPr><w:pStyle w:val="Normal"/></w:pPr>
<w:r><w:t xml:space="preserve">them annually with a degree of punctuality which astonished his</w:t></w:r>
</w:p>
<w:p>
<w:pPr><w:pStyle w:val="Normal"/></w:pPr>
<w:r><w:t xml:space="preserve">contemporaries.  Before long a mural circle was installed,</w:t></w:r>
</w:p>
<w:p>
<w:pPr><w:pStyle w:val="Normal"/></w:pPr>
<w:r><w:t xml:space="preserve">and regular observations were instituted with it in 1833.</w:t></w:r>
</w:p>
<w:p>
<w:pPr><w:pStyle w:val="Normal"/></w:pPr>
<w:r><w:t xml:space="preserve">In the same year the duke of Northumberland presented the</w:t></w:r>
</w:p>
<w:p>
<w:pPr><w:pStyle w:val="Normal"/></w:pPr>
<w:r><w:t xml:space="preserve">Cambridge observatory with a fine object-glass of 12 in.</w:t></w:r>
</w:p>
<w:p>
<w:pPr><w:pStyle w:val="Normal"/></w:pPr>
<w:r><w:t xml:space="preserve">aperture, which was mounted according to Airy&apos;s designs</w:t></w:r>
</w:p>
<w:p>
<w:pPr><w:pStyle w:val="Normal"/></w:pPr>
<w:r><w:t xml:space="preserve">and under his superintendence, although the erection was</w:t></w:r>
</w:p>
<w:p>
<w:pPr><w:pStyle w:val="Normal"/></w:pPr>
<w:r><w:t xml:space="preserve">not completed until after his removal to Greenwich in</w:t></w:r>
</w:p>
<w:p>
<w:pPr><w:pStyle w:val="Normal"/></w:pPr>
<w:r><w:t xml:space="preserve">1835.  Airy&apos;s writings during this time are divided between</w:t></w:r>
</w:p>
<w:p>
<w:pPr><w:pStyle w:val="Normal"/></w:pPr>
<w:r><w:t xml:space="preserve">mathematical physics and astronomy.  The former are for the</w:t></w:r>
</w:p>
<w:p>
<w:pPr><w:pStyle w:val="Normal"/></w:pPr>
<w:r><w:t xml:space="preserve">most part concerned with questions relating to the theory of</w:t></w:r>
</w:p>
<w:p>
<w:pPr><w:pStyle w:val="Normal"/></w:pPr>
<w:r><w:t xml:space="preserve">light, arising out of his professorial lectures, among which</w:t></w:r>
</w:p>
<w:p>
<w:pPr><w:pStyle w:val="Normal"/></w:pPr>
<w:r><w:t xml:space="preserve">may be specially mentioned his paper ``On the Diffraction of</w:t></w:r>
</w:p>
<w:p>
<w:pPr><w:pStyle w:val="Normal"/></w:pPr>
<w:r><w:t xml:space="preserve">an Object-Glass with Circular Aperture.&apos;&apos; In 1831 the Copley</w:t></w:r>
</w:p>
<w:p>
<w:pPr><w:pStyle w:val="Normal"/></w:pPr>
<w:r><w:t xml:space="preserve">medal of the Royal Society was awarded to him for these</w:t></w:r>
</w:p>
<w:p>
<w:pPr><w:pStyle w:val="Normal"/></w:pPr>
<w:r><w:t xml:space="preserve">researches.  Of his astronomical writings during this period</w:t></w:r>
</w:p>
<w:p>
<w:pPr><w:pStyle w:val="Normal"/></w:pPr>
<w:r><w:t xml:space="preserve">the most important are his investigation of the mass of</w:t></w:r>
</w:p>
<w:p>
<w:pPr><w:pStyle w:val="Normal"/></w:pPr>
<w:r><w:t xml:space="preserve">Jupiter, his report to the British Association on the progress</w:t></w:r>
</w:p>
<w:p>
<w:pPr><w:pStyle w:val="Normal"/></w:pPr>
<w:r><w:t xml:space="preserve">of astronomy during the 19th century, and his memoir On an</w:t></w:r>
</w:p>
<w:p>
<w:pPr><w:pStyle w:val="Normal"/></w:pPr>
<w:r><w:t xml:space="preserve">Inequality of Long Period in the Motions of the Earth and Venus.</w:t></w:r>
</w:p>
<w:p>
<w:pPr><w:pStyle w:val="Normal"/></w:pPr>
<w:r><w:t xml:space="preserve">One of the sections of his able and instructive report</w:t></w:r>
</w:p>
<w:p>
<w:pPr><w:pStyle w:val="Normal"/></w:pPr>
<w:r><w:t xml:space="preserve">was devoted to ``A Comparison of the Progress of Astronomy</w:t></w:r>
</w:p>
<w:p>
<w:pPr><w:pStyle w:val="Normal"/></w:pPr>
<w:r><w:t xml:space="preserve">in England with that in other Countries,&apos;&apos; very much</w:t></w:r>
</w:p>
<w:p>
<w:pPr><w:pStyle w:val="Normal"/></w:pPr>
<w:r><w:t xml:space="preserve">to the disadvantage of England.  This reproach was</w:t></w:r>
</w:p>
<w:p>
<w:pPr><w:pStyle w:val="Normal"/></w:pPr>
<w:r><w:t xml:space="preserve">subsequently to a great extent removed by his own labours.</w:t></w:r>
</w:p>
<w:p>
<w:pPr><w:pStyle w:val="Normal"/></w:pPr>
<w:r><w:t xml:space="preserve">Airy&apos;s discovery of a new inequality in the motions of</w:t></w:r>
</w:p>
<w:p>
<w:pPr><w:pStyle w:val="Normal"/></w:pPr>
<w:r><w:t xml:space="preserve">Venus and the earth is in some respects his most remarkable</w:t></w:r>
</w:p>
<w:p>
<w:pPr><w:pStyle w:val="Normal"/></w:pPr>
<w:r><w:t xml:space="preserve">achievement.  In correcting the elements of Delambre&apos;s solar</w:t></w:r>
</w:p>
<w:p>
<w:pPr><w:pStyle w:val="Normal"/></w:pPr>
<w:r><w:t xml:space="preserve">tables he had been led to suspect an inequality overlooked by</w:t></w:r>
</w:p>
<w:p>
<w:pPr><w:pStyle w:val="Normal"/></w:pPr>
<w:r><w:t xml:space="preserve">their constructor.  The cause of this he did not long seek in</w:t></w:r>
</w:p>
<w:p>
<w:pPr><w:pStyle w:val="Normal"/></w:pPr>
<w:r><w:t xml:space="preserve">vain.  Eight times the mean motion of Venus is so nearly equal</w:t></w:r>
</w:p>
<w:p>
<w:pPr><w:pStyle w:val="Normal"/></w:pPr>
<w:r><w:t xml:space="preserve">to thirteen times that of the earth that the difference amounts</w:t></w:r>
</w:p>
<w:p>
<w:pPr><w:pStyle w:val="Normal"/></w:pPr>
<w:r><w:t xml:space="preserve">to only the 1/240th of the earth&apos;s mean motion, and from the</w:t></w:r>
</w:p>
<w:p>
<w:pPr><w:pStyle w:val="Normal"/></w:pPr>
<w:r><w:t xml:space="preserve">fact that the term depending on this difference, although very</w:t></w:r>
</w:p>
<w:p>
<w:pPr><w:pStyle w:val="Normal"/></w:pPr>
<w:r><w:t xml:space="preserve">small in itself, receives in the integration of the differential</w:t></w:r>
</w:p>
<w:p>
<w:pPr><w:pStyle w:val="Normal"/></w:pPr>
<w:r><w:t xml:space="preserve">equations a multiplier of about 2,200,000, Airy was led to</w:t></w:r>
</w:p>
<w:p>
<w:pPr><w:pStyle w:val="Normal"/></w:pPr>
<w:r><w:t xml:space="preserve">infer the existence of a sensible inequality extending over</w:t></w:r>
</w:p>
<w:p>
<w:pPr><w:pStyle w:val="Normal"/></w:pPr>
<w:r><w:t xml:space="preserve">240 years (Phil.  Trans. cxxii. 67). The investigation that</w:t></w:r>
</w:p>
<w:p>
<w:pPr><w:pStyle w:val="Normal"/></w:pPr>
<w:r><w:t xml:space="preserve">brought about this result was probably the most laborious</w:t></w:r>
</w:p>
<w:p>
<w:pPr><w:pStyle w:val="Normal"/></w:pPr>
<w:r><w:t xml:space="preserve">that had been made up to Airy&apos;s time in planetary theory, and</w:t></w:r>
</w:p>
<w:p>
<w:pPr><w:pStyle w:val="Normal"/></w:pPr>
<w:r><w:t xml:space="preserve">represented the first specific improvement in the solar tables</w:t></w:r>
</w:p>
<w:p>
<w:pPr><w:pStyle w:val="Normal"/></w:pPr>
<w:r><w:t xml:space="preserve">effected in England since the establishment of the theory of</w:t></w:r>
</w:p>
<w:p>
<w:pPr><w:pStyle w:val="Normal"/></w:pPr>
<w:r><w:t xml:space="preserve">gravitation.  In recognition of this work the medal of</w:t></w:r>
</w:p>
<w:p>
<w:pPr><w:pStyle w:val="Normal"/></w:pPr>
<w:r><w:t xml:space="preserve">the Royal Astronomical Society was awarded to him in 1833.</w:t></w:r>
</w:p>
<w:p>
<w:pPr><w:pStyle w:val="Normal"/></w:pPr>
<w:r><w:t xml:space="preserve">In June 1835 Airy was appointed Astronomer Royal in succession</w:t></w:r>
</w:p>
<w:p>
<w:pPr><w:pStyle w:val="Normal"/></w:pPr>
<w:r><w:t xml:space="preserve">to John Pond, and thus commenced that long career of wisely</w:t></w:r>
</w:p>
<w:p>
<w:pPr><w:pStyle w:val="Normal"/></w:pPr>
<w:r><w:t xml:space="preserve">directed and vigorously sustained industry at the national</w:t></w:r>
</w:p>
<w:p>
<w:pPr><w:pStyle w:val="Normal"/></w:pPr>
<w:r><w:t xml:space="preserve">observatory which, even more perhaps than his investigations</w:t></w:r>
</w:p>
<w:p>
<w:pPr><w:pStyle w:val="Normal"/></w:pPr>
<w:r><w:t xml:space="preserve">in abstract science or theoretical astronomy, constitutes</w:t></w:r>
</w:p>
<w:p>
<w:pPr><w:pStyle w:val="Normal"/></w:pPr>
<w:r><w:t xml:space="preserve">his chief title to fame.  The condition of the observatory</w:t></w:r>
</w:p>
<w:p>
<w:pPr><w:pStyle w:val="Normal"/></w:pPr>
<w:r><w:t xml:space="preserve">at the time of his appointment was such that Lord Auckland,</w:t></w:r>
</w:p>
<w:p>
<w:pPr><w:pStyle w:val="Normal"/></w:pPr>
<w:r><w:t xml:space="preserve">the first lord of the Admiralty, considered that ``it ought</w:t></w:r>
</w:p>
<w:p>
<w:pPr><w:pStyle w:val="Normal"/></w:pPr>
<w:r><w:t xml:space="preserve">to be cleared out,&apos;&apos; while Airy admitted that ``it was in</w:t></w:r>
</w:p>
<w:p>
<w:pPr><w:pStyle w:val="Normal"/></w:pPr>
<w:r><w:t xml:space="preserve">a queer state.&apos;&apos; With his usual energy he set to work at</w:t></w:r>
</w:p>
<w:p>
<w:pPr><w:pStyle w:val="Normal"/></w:pPr>
<w:r><w:t xml:space="preserve">once to reorganize the whole management.  He remodelled the</w:t></w:r>
</w:p>
<w:p>
<w:pPr><w:pStyle w:val="Normal"/></w:pPr>
<w:r><w:t xml:space="preserve">volumes of observations, put the library on a proper footing,</w:t></w:r>
</w:p>
<w:p>
<w:pPr><w:pStyle w:val="Normal"/></w:pPr>
<w:r><w:t xml:space="preserve">mounted the new (Sheepshanks) equatorial and organized a new</w:t></w:r>
</w:p>
<w:p>
<w:pPr><w:pStyle w:val="Normal"/></w:pPr>
<w:r><w:t xml:space="preserve">magnetic observatory.  In 1847 an altazimuth was erected,</w:t></w:r>
</w:p>
<w:p>
<w:pPr><w:pStyle w:val="Normal"/></w:pPr>
<w:r><w:t xml:space="preserve">designed by Airy to enable observations of the moon to be</w:t></w:r>
</w:p>
<w:p>
<w:pPr><w:pStyle w:val="Normal"/></w:pPr>
<w:r><w:t xml:space="preserve">made not only on the meridian, but whenever she might be</w:t></w:r>
</w:p>
<w:p>
<w:pPr><w:pStyle w:val="Normal"/></w:pPr>
<w:r><w:t xml:space="preserve">visible.  In 1848 Airy invented the reflex zenith tube to</w:t></w:r>
</w:p>
<w:p>
<w:pPr><w:pStyle w:val="Normal"/></w:pPr>
<w:r><w:t xml:space="preserve">replace the zenith sector previously employed.  At the end</w:t></w:r>
</w:p>
<w:p>
<w:pPr><w:pStyle w:val="Normal"/></w:pPr>
<w:r><w:t xml:space="preserve">of 1850 the great transit circle of 8 in. aperture and 11 ft.</w:t></w:r>
</w:p>
<w:p>
<w:pPr><w:pStyle w:val="Normal"/></w:pPr>
<w:r><w:t xml:space="preserve">6 in. focal length was erected, and is still the principal</w:t></w:r>
</w:p>
<w:p>
<w:pPr><w:pStyle w:val="Normal"/></w:pPr>
<w:r><w:t xml:space="preserve">instrument of its class at the observatory.  The mounting in</w:t></w:r>
</w:p>
<w:p>
<w:pPr><w:pStyle w:val="Normal"/></w:pPr>
<w:r><w:t xml:space="preserve">1859 of an equatorial of 13 in. aperture evoked the comment</w:t></w:r>
</w:p>
<w:p>
<w:pPr><w:pStyle w:val="Normal"/></w:pPr>
<w:r><w:t xml:space="preserve">in his journal for that year, ``There is not now a single</w:t></w:r>
</w:p>
<w:p>
<w:pPr><w:pStyle w:val="Normal"/></w:pPr>
<w:r><w:t xml:space="preserve">person employed or instrument used in the observatory which</w:t></w:r>
</w:p>
<w:p>
<w:pPr><w:pStyle w:val="Normal"/></w:pPr>
<w:r><w:t xml:space="preserve">was there in Mr Pond&apos;s time&apos;&apos;; and the transformation was</w:t></w:r>
</w:p>
<w:p>
<w:pPr><w:pStyle w:val="Normal"/></w:pPr>
<w:r><w:t xml:space="preserve">completed by the inauguration of spectroscopic work in 1868</w:t></w:r>
</w:p>
<w:p>
<w:pPr><w:pStyle w:val="Normal"/></w:pPr>
<w:r><w:t xml:space="preserve">and of the photographic registration of sun-spots in 1873.</w:t></w:r>
</w:p>
<w:p>
<w:pPr><w:pStyle w:val="Normal"/></w:pPr>
<w:r><w:t xml:space="preserve">The formidable undertaking of reducing the accumulated planetary</w:t></w:r>
</w:p>
<w:p>
<w:pPr><w:pStyle w:val="Normal"/></w:pPr>
<w:r><w:t xml:space="preserve">observations made at Greenwich from 1750 to 1830 was already</w:t></w:r>
</w:p>
<w:p>
<w:pPr><w:pStyle w:val="Normal"/></w:pPr>
<w:r><w:t xml:space="preserve">in progress under Airy&apos;s supervision when he became Astronomer</w:t></w:r>
</w:p>
<w:p>
<w:pPr><w:pStyle w:val="Normal"/></w:pPr>
<w:r><w:t xml:space="preserve">Royal.  Shortly afterwards he undertook the further laborious</w:t></w:r>
</w:p>
<w:p>
<w:pPr><w:pStyle w:val="Normal"/></w:pPr>
<w:r><w:t xml:space="preserve">task of reducing the enormous mass of observations of the moon</w:t></w:r>
</w:p>
<w:p>
<w:pPr><w:pStyle w:val="Normal"/></w:pPr>
<w:r><w:t xml:space="preserve">made at Greenwich during the same period under the direction,</w:t></w:r>
</w:p>
<w:p>
<w:pPr><w:pStyle w:val="Normal"/></w:pPr>
<w:r><w:t xml:space="preserve">successively, of J. Bradley, N. Bliss, N. Maskelyne and John</w:t></w:r>
</w:p>
<w:p>
<w:pPr><w:pStyle w:val="Normal"/></w:pPr>
<w:r><w:t xml:space="preserve">Pond, to defray the expense of which a large sum of money was</w:t></w:r>
</w:p>
<w:p>
<w:pPr><w:pStyle w:val="Normal"/></w:pPr>
<w:r><w:t xml:space="preserve">allotted by the Treasury.  As the result, no less than 8000</w:t></w:r>
</w:p>
<w:p>
<w:pPr><w:pStyle w:val="Normal"/></w:pPr>
<w:r><w:t xml:space="preserve">lunar observations were rescued from oblivion, and were, in</w:t></w:r>
</w:p>
<w:p>
<w:pPr><w:pStyle w:val="Normal"/></w:pPr>
<w:r><w:t xml:space="preserve">1846, placed at the disposal of astronomers in such a form</w:t></w:r>
</w:p>
<w:p>
<w:pPr><w:pStyle w:val="Normal"/></w:pPr>
<w:r><w:t xml:space="preserve">that they could be used directly for comparison with the</w:t></w:r>
</w:p>
<w:p>
<w:pPr><w:pStyle w:val="Normal"/></w:pPr>
<w:r><w:t xml:space="preserve">theory and for the improvement of the tables of the moon&apos;s</w:t></w:r>
</w:p>
<w:p>
<w:pPr><w:pStyle w:val="Normal"/></w:pPr>
<w:r><w:t xml:space="preserve">motion.  For this work Airy received in 1848 a testimonial</w:t></w:r>
</w:p>
<w:p>
<w:pPr><w:pStyle w:val="Normal"/></w:pPr>
<w:r><w:t xml:space="preserve">from the Royal Astronomical Society, and it at once led to</w:t></w:r>
</w:p>
<w:p>
<w:pPr><w:pStyle w:val="Normal"/></w:pPr>
<w:r><w:t xml:space="preserve">the discovery by P. A. Hansen of two new inequalities in the</w:t></w:r>
</w:p>
<w:p>
<w:pPr><w:pStyle w:val="Normal"/></w:pPr>
<w:r><w:t xml:space="preserve">moon&apos;s motion.  After completing these reductions, Airy made</w:t></w:r>
</w:p>
<w:p>
<w:pPr><w:pStyle w:val="Normal"/></w:pPr>
<w:r><w:t xml:space="preserve">inquiries, before engaging in any theoretical investigation</w:t></w:r>
</w:p>
<w:p>
<w:pPr><w:pStyle w:val="Normal"/></w:pPr>
<w:r><w:t xml:space="preserve">in connexion with them, whether any other mathematician was</w:t></w:r>
</w:p>
<w:p>
<w:pPr><w:pStyle w:val="Normal"/></w:pPr>
<w:r><w:t xml:space="preserve">pursuing the subject, and learning that Hansen had taken</w:t></w:r>
</w:p>
<w:p>
<w:pPr><w:pStyle w:val="Normal"/></w:pPr>
<w:r><w:t xml:space="preserve">it in hand under the patronage of the king of Denmark, but</w:t></w:r>
</w:p>
<w:p>
<w:pPr><w:pStyle w:val="Normal"/></w:pPr>
<w:r><w:t xml:space="preserve">that, owing to the death of the king and the consequent lack</w:t></w:r>
</w:p>
<w:p>
<w:pPr><w:pStyle w:val="Normal"/></w:pPr>
<w:r><w:t xml:space="preserve">of funds, there was danger of his being compelled to abandon</w:t></w:r>
</w:p>
<w:p>
<w:pPr><w:pStyle w:val="Normal"/></w:pPr>
<w:r><w:t xml:space="preserve">it, he applied to the admiralty on Hansen&apos;s behalf for the</w:t></w:r>
</w:p>
<w:p>
<w:pPr><w:pStyle w:val="Normal"/></w:pPr>
<w:r><w:t xml:space="preserve">necessary sum.  His request was immediately granted, and</w:t></w:r>
</w:p>
<w:p>
<w:pPr><w:pStyle w:val="Normal"/></w:pPr>
<w:r><w:t xml:space="preserve">thus it came about that Hansen&apos;s famous Tables de la Lune</w:t></w:r>
</w:p>
<w:p>
<w:pPr><w:pStyle w:val="Normal"/></w:pPr>
<w:r><w:t xml:space="preserve">were dedicated to La Haute Amiraute de sa Majeste la</w:t></w:r>
</w:p>
<w:p>
<w:pPr><w:pStyle w:val="Normal"/></w:pPr>
<w:r><w:t xml:space="preserve">Reine de la Grande Bretagne et d&apos;Irlande. One of the most</w:t></w:r>
</w:p>
<w:p>
<w:pPr><w:pStyle w:val="Normal"/></w:pPr>
<w:r><w:t xml:space="preserve">remarkable of Airy&apos;s researches was his determination of the</w:t></w:r>
</w:p>
<w:p>
<w:pPr><w:pStyle w:val="Normal"/></w:pPr>
<w:r><w:t xml:space="preserve">mean density of the earth.  In 1826 the idea occurred to him</w:t></w:r>
</w:p>
<w:p>
<w:pPr><w:pStyle w:val="Normal"/></w:pPr>
<w:r><w:t xml:space="preserve">of attacking this problem by means of pendulum experiments at</w:t></w:r>
</w:p>
<w:p>
<w:pPr><w:pStyle w:val="Normal"/></w:pPr>
<w:r><w:t xml:space="preserve">the top and bottom of a deep mine.  His first attempt, made</w:t></w:r>
</w:p>
<w:p>
<w:pPr><w:pStyle w:val="Normal"/></w:pPr>
<w:r><w:t xml:space="preserve">in the same year at the Dolcoath mine in Cornwall, failed in</w:t></w:r>
</w:p>
<w:p>
<w:pPr><w:pStyle w:val="Normal"/></w:pPr>
<w:r><w:t xml:space="preserve">consequence of an accident to one of the pendulums; a second</w:t></w:r>
</w:p>
<w:p>
<w:pPr><w:pStyle w:val="Normal"/></w:pPr>
<w:r><w:t xml:space="preserve">attempt in 1828 was defeated by a flooding of the mine,</w:t></w:r>
</w:p>
<w:p>
<w:pPr><w:pStyle w:val="Normal"/></w:pPr>
<w:r><w:t xml:space="preserve">and many years elapsed before another opportunity presented</w:t></w:r>
</w:p>
<w:p>
<w:pPr><w:pStyle w:val="Normal"/></w:pPr>
<w:r><w:t xml:space="preserve">itself.  The experiments eventually took place at the Harton</w:t></w:r>
</w:p>
<w:p>
<w:pPr><w:pStyle w:val="Normal"/></w:pPr>
<w:r><w:t xml:space="preserve">pit near South Shields in 1854.  Their immediate result was</w:t></w:r>
</w:p>
<w:p>
<w:pPr><w:pStyle w:val="Normal"/></w:pPr>
<w:r><w:t xml:space="preserve">to show that gravity at the bottom of the mine exceeded that</w:t></w:r>
</w:p>
<w:p>
<w:pPr><w:pStyle w:val="Normal"/></w:pPr>
<w:r><w:t xml:space="preserve">at the top by 1/19286th of its amount, the depth being 1256</w:t></w:r>
</w:p>
<w:p>
<w:pPr><w:pStyle w:val="Normal"/></w:pPr>
<w:r><w:t xml:space="preserve">ft.  From this he was led to the final value of 6.566 for</w:t></w:r>
</w:p>
<w:p>
<w:pPr><w:pStyle w:val="Normal"/></w:pPr>
<w:r><w:t xml:space="preserve">the mean density of the earth as compared with that of water</w:t></w:r>
</w:p>
<w:p>
<w:pPr><w:pStyle w:val="Normal"/></w:pPr>
<w:r><w:t xml:space="preserve">(Phil.  Trans. cxlvi. 342).  This value, although considerably</w:t></w:r>
</w:p>
<w:p>
<w:pPr><w:pStyle w:val="Normal"/></w:pPr>
<w:r><w:t xml:space="preserve">in excess of that previously found by different methods, was</w:t></w:r>
</w:p>
<w:p>
<w:pPr><w:pStyle w:val="Normal"/></w:pPr>
<w:r><w:t xml:space="preserve">held by Airy, from the care and completeness with which the</w:t></w:r>
</w:p>
<w:p>
<w:pPr><w:pStyle w:val="Normal"/></w:pPr>
<w:r><w:t xml:space="preserve">observations were carried out and discussed, to be ``entitled</w:t></w:r>
</w:p>
<w:p>
<w:pPr><w:pStyle w:val="Normal"/></w:pPr>
<w:r><w:t xml:space="preserve">to compete with the others on, at least, equal terms.&apos;&apos;</w:t></w:r>
</w:p>
<w:p>
<w:pPr><w:pStyle w:val="Normal"/></w:pPr>
<w:r><w:t xml:space="preserve">In 1872 Airy conceived the idea of treating the lunar theory</w:t></w:r>
</w:p>
<w:p>
<w:pPr><w:pStyle w:val="Normal"/></w:pPr>
<w:r><w:t xml:space="preserve">in a new way, and at the age of seventy-one he embarked on</w:t></w:r>
</w:p>
<w:p>
<w:pPr><w:pStyle w:val="Normal"/></w:pPr>
<w:r><w:t xml:space="preserve">the prodigious toil which this scheme entailed.  A general</w:t></w:r>
</w:p>
<w:p>
<w:pPr><w:pStyle w:val="Normal"/></w:pPr>
<w:r><w:t xml:space="preserve">description of his method will be found in the Monthly</w:t></w:r>
</w:p>
<w:p>
<w:pPr><w:pStyle w:val="Normal"/></w:pPr>
<w:r><w:t xml:space="preserve">Notices of the Royal Astronomical Society, vol. xxxiv.  No.</w:t></w:r>
</w:p>
<w:p>
<w:pPr><w:pStyle w:val="Normal"/></w:pPr>
<w:r><w:t xml:space="preserve">3. It consisted essentially in the adoption of Delauny&apos;s final</w:t></w:r>
</w:p>
<w:p>
<w:pPr><w:pStyle w:val="Normal"/></w:pPr>
<w:r><w:t xml:space="preserve">numerical expressions for longitude, latitude and parallax,</w:t></w:r>
</w:p>
<w:p>
<w:pPr><w:pStyle w:val="Normal"/></w:pPr>
<w:r><w:t xml:space="preserve">with a symbolic term attached to each number, the value of</w:t></w:r>
</w:p>
<w:p>
<w:pPr><w:pStyle w:val="Normal"/></w:pPr>
<w:r><w:t xml:space="preserve">which was to be determined by substitution in the equations of</w:t></w:r>
</w:p>
<w:p>
<w:pPr><w:pStyle w:val="Normal"/></w:pPr>
<w:r><w:t xml:space="preserve">motion.  In this mode of treating the question the order of the</w:t></w:r>
</w:p>
<w:p>
<w:pPr><w:pStyle w:val="Normal"/></w:pPr>
<w:r><w:t xml:space="preserve">terms is numerical, and though the amount of labour is such as</w:t></w:r>
</w:p>
<w:p>
<w:pPr><w:pStyle w:val="Normal"/></w:pPr>
<w:r><w:t xml:space="preserve">might well have deterred a younger man, yet the details were</w:t></w:r>
</w:p>
<w:p>
<w:pPr><w:pStyle w:val="Normal"/></w:pPr>
<w:r><w:t xml:space="preserve">easy, and a great part of it might be entrusted to a mere</w:t></w:r>
</w:p>
<w:p>
<w:pPr><w:pStyle w:val="Normal"/></w:pPr>
<w:r><w:t xml:space="preserve">computer.  The work was published in 1886, when its author was</w:t></w:r>
</w:p>
<w:p>
<w:pPr><w:pStyle w:val="Normal"/></w:pPr>
<w:r><w:t xml:space="preserve">eighty-five years of age.  For some little time previously he</w:t></w:r>
</w:p>
<w:p>
<w:pPr><w:pStyle w:val="Normal"/></w:pPr>
<w:r><w:t xml:space="preserve">had been harassed by a suspicion that certain errors had crept</w:t></w:r>
</w:p>
<w:p>
<w:pPr><w:pStyle w:val="Normal"/></w:pPr>
<w:r><w:t xml:space="preserve">into the computations, and accordingly he addressed himself</w:t></w:r>
</w:p>
<w:p>
<w:pPr><w:pStyle w:val="Normal"/></w:pPr>
<w:r><w:t xml:space="preserve">to the task of revision.  But his powers were no longer what</w:t></w:r>
</w:p>
<w:p>
<w:pPr><w:pStyle w:val="Normal"/></w:pPr>
<w:r><w:t xml:space="preserve">they had been, and he was never able to examine sufficiently</w:t></w:r>
</w:p>
<w:p>
<w:pPr><w:pStyle w:val="Normal"/></w:pPr>
<w:r><w:t xml:space="preserve">into the matter.  In 1890 he tells us how a grievous error</w:t></w:r>
</w:p>
<w:p>
<w:pPr><w:pStyle w:val="Normal"/></w:pPr>
<w:r><w:t xml:space="preserve">had been committed in one of the first steps, and pathetically</w:t></w:r>
</w:p>
<w:p>
<w:pPr><w:pStyle w:val="Normal"/></w:pPr>
<w:r><w:t xml:space="preserve">adds, ``My spirit in the work was broken, and I have never</w:t></w:r>
</w:p>
<w:p>
<w:pPr><w:pStyle w:val="Normal"/></w:pPr>
<w:r><w:t xml:space="preserve">heartily proceeded with it since.&apos;&apos; In 1881 Sir George Airy</w:t></w:r>
</w:p>
<w:p>
<w:pPr><w:pStyle w:val="Normal"/></w:pPr>
<w:r><w:t xml:space="preserve">resigned the office of Astronomer Royal and resided at the</w:t></w:r>
</w:p>
<w:p>
<w:pPr><w:pStyle w:val="Normal"/></w:pPr>
<w:r><w:t xml:space="preserve">White House, Greenwich, not far from the Royal Observatory,</w:t></w:r>
</w:p>
<w:p>
<w:pPr><w:pStyle w:val="Normal"/></w:pPr>
<w:r><w:t xml:space="preserve">until his death, which took place on the 2nd of January 1892.</w:t></w:r>
</w:p>
<w:p>
<w:pPr><w:pStyle w:val="Normal"/></w:pPr>
<w:r><w:t xml:space="preserve">A complete list of Airy&apos;s printed papers, numbering no less</w:t></w:r>
</w:p>
<w:p>
<w:pPr><w:pStyle w:val="Normal"/></w:pPr>
<w:r><w:t xml:space="preserve">than 518, will be found in his Autobiography, edited in</w:t></w:r>
</w:p>
<w:p>
<w:pPr><w:pStyle w:val="Normal"/></w:pPr>
<w:r><w:t xml:space="preserve">1890 by his son, Wilfrid Airy, B. A., M. Inst.  C.E. Amongst</w:t></w:r>
</w:p>
<w:p>
<w:pPr><w:pStyle w:val="Normal"/></w:pPr>
<w:r><w:t xml:space="preserve">the most important of his works not already mentioned may be</w:t></w:r>
</w:p>
<w:p>
<w:pPr><w:pStyle w:val="Normal"/></w:pPr>
<w:r><w:t xml:space="preserve">named the following:--Mathematical Tracts (1826) on the Lunar</w:t></w:r>
</w:p>
<w:p>
<w:pPr><w:pStyle w:val="Normal"/></w:pPr>
<w:r><w:t xml:space="preserve">Theory, Figure of the Earth, Precession and Nutation, and</w:t></w:r>
</w:p>
<w:p>
<w:pPr><w:pStyle w:val="Normal"/></w:pPr>
<w:r><w:t xml:space="preserve">Calculus of Variations, to which, in the second edition</w:t></w:r>
</w:p>
<w:p>
<w:pPr><w:pStyle w:val="Normal"/></w:pPr>
<w:r><w:t xml:space="preserve">of 1828, were added tracts on the Planetary Theory and</w:t></w:r>
</w:p>
<w:p>
<w:pPr><w:pStyle w:val="Normal"/></w:pPr>
<w:r><w:t xml:space="preserve">the Undulatory Theory of Light; Experiments on Iron-built</w:t></w:r>
</w:p>
<w:p>
<w:pPr><w:pStyle w:val="Normal"/></w:pPr>
<w:r><w:t xml:space="preserve">Ships. instituted for the purpose of discovering a correction</w:t></w:r>
</w:p>
<w:p>
<w:pPr><w:pStyle w:val="Normal"/></w:pPr>
<w:r><w:t xml:space="preserve">for the deviation of the compass produced by the Iron of</w:t></w:r>
</w:p>
<w:p>
<w:pPr><w:pStyle w:val="Normal"/></w:pPr>
<w:r><w:t xml:space="preserve">the Ships (1839); On the Theoretical Explanation of an</w:t></w:r>
</w:p>
<w:p>
<w:pPr><w:pStyle w:val="Normal"/></w:pPr>
<w:r><w:t xml:space="preserve">apparent new Polarity in Light (1840); Tides And Waves</w:t></w:r>
</w:p>
<w:p>
<w:pPr><w:pStyle w:val="Normal"/></w:pPr>
<w:r><w:t xml:space="preserve">(1842).  He was elected a fellow of the Royal Society in</w:t></w:r>
</w:p>
<w:p>
<w:pPr><w:pStyle w:val="Normal"/></w:pPr>
<w:r><w:t xml:space="preserve">1836, its president in 1871, and received both the Cooley</w:t></w:r>
</w:p>
<w:p>
<w:pPr><w:pStyle w:val="Normal"/></w:pPr>
<w:r><w:t xml:space="preserve">and Royal medals.  He was five times president of the</w:t></w:r>
</w:p>
<w:p>
<w:pPr><w:pStyle w:val="Normal"/></w:pPr>
<w:r><w:t xml:space="preserve">Royal Astronomical Society, was correspondent of the French</w:t></w:r>
</w:p>
<w:p>
<w:pPr><w:pStyle w:val="Normal"/></w:pPr>
<w:r><w:t xml:space="preserve">Academy and belonged to many other foreign and American</w:t></w:r>
</w:p>
<w:p>
<w:pPr><w:pStyle w:val="Normal"/></w:pPr>
<w:r><w:t xml:space="preserve">societies.  He was D.C.L. of Oxford and LL.D. of Cambridge and</w:t></w:r>
</w:p>
<w:p>
<w:pPr><w:pStyle w:val="Normal"/></w:pPr>
<w:r><w:t xml:space="preserve">Edinburgh.  In 1872 he was made K.C.B.  In the same year</w:t></w:r>
</w:p>
<w:p>
<w:pPr><w:pStyle w:val="Normal"/></w:pPr>
<w:r><w:t xml:space="preserve">he was nominated a Grand Cross in the Imperial Order of the</w:t></w:r>
</w:p>
<w:p>
<w:pPr><w:pStyle w:val="Normal"/></w:pPr>
<w:r><w:t xml:space="preserve">Rose of Brazil; he also held the Prussian Order ``Pour le</w:t></w:r>
</w:p>
<w:p>
<w:pPr><w:pStyle w:val="Normal"/></w:pPr>
<w:r><w:t xml:space="preserve">Merite,&apos;&apos; and belonged to the Legion of Honour of France</w:t></w:r>
</w:p>
<w:p>
<w:pPr><w:pStyle w:val="Normal"/></w:pPr>
<w:r><w:t xml:space="preserve">and to the Order of the North Star of Sweden and Norway.</w:t></w:r>
</w:p>
<w:p>
<w:pPr><w:pStyle w:val="Normal"/></w:pPr>
<w:r><w:t xml:space="preserve">See also Proc.  Roy. Society, li. 1 (E. J. Routh); Month.  Notices</w:t></w:r>
</w:p>
<w:p>
<w:pPr><w:pStyle w:val="Normal"/></w:pPr>
<w:r><w:t xml:space="preserve">Roy. Astr.  Society, lii. 212; Observatory, xv. 74 (E. Dunkin);</w:t></w:r>
</w:p>
<w:p>
<w:pPr><w:pStyle w:val="Normal"/></w:pPr>
<w:r><w:t xml:space="preserve">Nature, 31st of Oct. 1878 (A. Winnecke), 7th of Jan. 1892; The</w:t></w:r>
</w:p>
<w:p>
<w:pPr><w:pStyle w:val="Normal"/></w:pPr>
<w:r><w:t xml:space="preserve">Times, 5th of Jan. 1892; R. Grant&apos;s Hist. of Phys.  Astronomy;</w:t></w:r>
</w:p>
<w:p>
<w:pPr><w:pStyle w:val="Normal"/></w:pPr>
<w:r><w:t xml:space="preserve">R. P. Graves&apos;s life of Sir W. Rowan Hamilton. (A. A. R.*)</w:t></w:r>
</w:p>
<w:p>
<w:pPr><w:pStyle w:val="Normal"/></w:pPr>
<w:r><w:t xml:space="preserve">AISLABIR, JOHN (1670-1742), English politician, was born at</w:t></w:r>
</w:p>
<w:p>
<w:pPr><w:pStyle w:val="Normal"/></w:pPr>
<w:r><w:t xml:space="preserve">Goodramgate, York, on the 7th of December 1670.  He was the</w:t></w:r>
</w:p>
<w:p>
<w:pPr><w:pStyle w:val="Normal"/></w:pPr>
<w:r><w:t xml:space="preserve">fourth son of George Aislabie, principal registrar of the</w:t></w:r>
</w:p>
<w:p>
<w:pPr><w:pStyle w:val="Normal"/></w:pPr>
<w:r><w:t xml:space="preserve">archiepiscopal court of York.  In 1695 he was elected member</w:t></w:r>
</w:p>
<w:p>
<w:pPr><w:pStyle w:val="Normal"/></w:pPr>
<w:r><w:t xml:space="preserve">of parliament for Ripon.  In 1712 he was appointed one of the</w:t></w:r>
</w:p>
<w:p>
<w:pPr><w:pStyle w:val="Normal"/></w:pPr>
<w:r><w:t xml:space="preserve">commissioners for executing the office of lord high admiral,</w:t></w:r>
</w:p>
<w:p>
<w:pPr><w:pStyle w:val="Normal"/></w:pPr>
<w:r><w:t xml:space="preserve">and in 1714 became treasurer of the navy, being sworn in two</w:t></w:r>
</w:p>
<w:p>
<w:pPr><w:pStyle w:val="Normal"/></w:pPr>
<w:r><w:t xml:space="preserve">years later as a member of the privy council.  In March 1718</w:t></w:r>
</w:p>
<w:p>
<w:pPr><w:pStyle w:val="Normal"/></w:pPr>
<w:r><w:t xml:space="preserve">he became chancellor of the exchequer.  The proposal of the</w:t></w:r>
</w:p>
<w:p>
<w:pPr><w:pStyle w:val="Normal"/></w:pPr>
<w:r><w:t xml:space="preserve">South Sea Company to pay off the national debt was strenuously</w:t></w:r>
</w:p>
<w:p>
<w:pPr><w:pStyle w:val="Normal"/></w:pPr>
<w:r><w:t xml:space="preserve">supported by Aislabie, and finally accepted in an amended form</w:t></w:r>
</w:p>
<w:p>
<w:pPr><w:pStyle w:val="Normal"/></w:pPr>
<w:r><w:t xml:space="preserve">by the House of Commons.  After the collapse of that company a</w:t></w:r>
</w:p>
<w:p>
<w:pPr><w:pStyle w:val="Normal"/></w:pPr>
<w:r><w:t xml:space="preserve">secret committee of inquiry was appointed by the Commons, and</w:t></w:r>
</w:p>
<w:p>
<w:pPr><w:pStyle w:val="Normal"/></w:pPr>
<w:r><w:t xml:space="preserve">Aislabie, who had in the meantime resigned the seals of his</w:t></w:r>
</w:p>
<w:p>
<w:pPr><w:pStyle w:val="Normal"/></w:pPr>
<w:r><w:t xml:space="preserve">office, was declared guilty of having encouraged and promoted</w:t></w:r>
</w:p>
<w:p>
<w:pPr><w:pStyle w:val="Normal"/></w:pPr>
<w:r><w:t xml:space="preserve">the South Sea scheme with a view to his own exorbitant profit,</w:t></w:r>
</w:p>
<w:p>
<w:pPr><w:pStyle w:val="Normal"/></w:pPr>
<w:r><w:t xml:space="preserve">and was expelled the House.  Though committed to the Tower he</w:t></w:r>
</w:p>
<w:p>
<w:pPr><w:pStyle w:val="Normal"/></w:pPr>
<w:r><w:t xml:space="preserve">was soon released, and was allowed to retain the property he</w:t></w:r>
</w:p>
<w:p>
<w:pPr><w:pStyle w:val="Normal"/></w:pPr>
<w:r><w:t xml:space="preserve">possessed before 1718, including his country estate, to which</w:t></w:r>
</w:p>
<w:p>
<w:pPr><w:pStyle w:val="Normal"/></w:pPr>
<w:r><w:t xml:space="preserve">he retired to pass the rest of his days.  He died in 1742.</w:t></w:r>
</w:p>
<w:p>
<w:pPr><w:pStyle w:val="Normal"/></w:pPr>
<w:r><w:t xml:space="preserve">AISLE (from Lat. ALA, a wing), a term which in its primary</w:t></w:r>
</w:p>
<w:p>
<w:pPr><w:pStyle w:val="Normal"/></w:pPr>
<w:r><w:t xml:space="preserve">sense means the wing of a house, but is generally applied in</w:t></w:r>
</w:p>
<w:p>
<w:pPr><w:pStyle w:val="Normal"/></w:pPr>
<w:r><w:t xml:space="preserve">architecture to the lateral divisions of a church or large</w:t></w:r>
</w:p>
<w:p>
<w:pPr><w:pStyle w:val="Normal"/></w:pPr>
<w:r><w:t xml:space="preserve">building.  The earliest example is that found in the basilica</w:t></w:r>
</w:p>
<w:p>
<w:pPr><w:pStyle w:val="Normal"/></w:pPr>
<w:r><w:t xml:space="preserve">of Trajan, which had double aisles on either side of the</w:t></w:r>
</w:p>
<w:p>
<w:pPr><w:pStyle w:val="Normal"/></w:pPr>
<w:r><w:t xml:space="preserve">central area; the same number existed in the original church</w:t></w:r>
</w:p>
<w:p>
<w:pPr><w:pStyle w:val="Normal"/></w:pPr>
<w:r><w:t xml:space="preserve">of St Peter&apos;s at Rome, in the basilica at Bethlehem, and</w:t></w:r>
</w:p>
<w:p>
<w:pPr><w:pStyle w:val="Normal"/></w:pPr>
<w:r><w:t xml:space="preserve">according to Eusebius in the church of the Holy Sepulchre at</w:t></w:r>
</w:p>
<w:p>
<w:pPr><w:pStyle w:val="Normal"/></w:pPr>
<w:r><w:t xml:space="preserve">Jerusalem.  The aisles are divided from the nave or central area</w:t></w:r>
</w:p>
<w:p>
<w:pPr><w:pStyle w:val="Normal"/></w:pPr>
<w:r><w:t xml:space="preserve">by colonnades or arcades, and may flank also the transept or</w:t></w:r>
</w:p>
<w:p>
<w:pPr><w:pStyle w:val="Normal"/></w:pPr>
<w:r><w:t xml:space="preserve">choir, being distinguished as nave-aisles, transept-aisles or</w:t></w:r>
</w:p>
<w:p>
<w:pPr><w:pStyle w:val="Normal"/></w:pPr>
<w:r><w:t xml:space="preserve">choir-aisles.  If the choir is semi-circular, and the</w:t></w:r>
</w:p>
<w:p>
<w:pPr><w:pStyle w:val="Normal"/></w:pPr>
<w:r><w:t xml:space="preserve">aisles, carried round, give access to a series of chapels,</w:t></w:r>
</w:p>
<w:p>
<w:pPr><w:pStyle w:val="Normal"/></w:pPr>
<w:r><w:t xml:space="preserve">the whole arrangement is known as the chevet.  As a rule</w:t></w:r>
</w:p>
<w:p>
<w:pPr><w:pStyle w:val="Normal"/></w:pPr>
<w:r><w:t xml:space="preserve">in Great Britain there is only one aisle on each side of</w:t></w:r>
</w:p>
<w:p>
<w:pPr><w:pStyle w:val="Normal"/></w:pPr>
<w:r><w:t xml:space="preserve">the nave, the only exceptions being Chichester and Elgin</w:t></w:r>
</w:p>
<w:p>
<w:pPr><w:pStyle w:val="Normal"/></w:pPr>
<w:r><w:t xml:space="preserve">cathedrals, where there are two.  Many European cathedrals</w:t></w:r>
</w:p>
<w:p>
<w:pPr><w:pStyle w:val="Normal"/></w:pPr>
<w:r><w:t xml:space="preserve">have two aisles on each side, as those of Paris, Bourges,</w:t></w:r>
</w:p>
<w:p>
<w:pPr><w:pStyle w:val="Normal"/></w:pPr>
<w:r><w:t xml:space="preserve">Amiens, Troyes, St Sernin, Toulouse, Cologne, Milan, Seville,</w:t></w:r>
</w:p>
<w:p>
<w:pPr><w:pStyle w:val="Normal"/></w:pPr>
<w:r><w:t xml:space="preserve">Toledo; and in those of Paris, Chartres, Amiens and Bourges,</w:t></w:r>
</w:p>
<w:p>
<w:pPr><w:pStyle w:val="Normal"/></w:pPr>
<w:r><w:t xml:space="preserve">Seville and Toledo, double aisles flank the choir on each</w:t></w:r>
</w:p>
<w:p>
<w:pPr><w:pStyle w:val="Normal"/></w:pPr>
<w:r><w:t xml:space="preserve">side.  The cathedral at Antwerp has three aisles on each</w:t></w:r>
</w:p>
<w:p>
<w:pPr><w:pStyle w:val="Normal"/></w:pPr>
<w:r><w:t xml:space="preserve">side.  In some of the churches in Germany the aisles are of</w:t></w:r>
</w:p>
<w:p>
<w:pPr><w:pStyle w:val="Normal"/></w:pPr>
<w:r><w:t xml:space="preserve">the same height as the nave.  These churches are known as</w:t></w:r>
</w:p>
<w:p>
<w:pPr><w:pStyle w:val="Normal"/></w:pPr>
<w:r><w:t xml:space="preserve">HALLENKIRCHEN, the principal examples being St Stephen&apos;s,</w:t></w:r>
</w:p>
<w:p>
<w:pPr><w:pStyle w:val="Normal"/></w:pPr>
<w:r><w:t xml:space="preserve">Vienna, the Weissekirche at Soest.  St Martin&apos;s, Landshut,</w:t></w:r>
</w:p>
<w:p>
<w:pPr><w:pStyle w:val="Normal"/></w:pPr>
<w:r><w:t xml:space="preserve">Munich cathedral, and the Marienkirche at Danzig. (R. P. S.)</w:t></w:r>
</w:p>
<w:p>
<w:pPr><w:pStyle w:val="Normal"/></w:pPr>
<w:r><w:t xml:space="preserve">AISNE, a frontier department in the north-east of France,</w:t></w:r>
</w:p>
<w:p>
<w:pPr><w:pStyle w:val="Normal"/></w:pPr>
<w:r><w:t xml:space="preserve">formed in 1790 from portions of the old provinces of</w:t></w:r>
</w:p>
<w:p>
<w:pPr><w:pStyle w:val="Normal"/></w:pPr>
<w:r><w:t xml:space="preserve">Ile-de-France and Picardy.  Area 2866 sq. m.  Pop. (1906)</w:t></w:r>
</w:p>
<w:p>
<w:pPr><w:pStyle w:val="Normal"/></w:pPr>
<w:r><w:t xml:space="preserve">534,495.  It is bounded N. by the department of Nord and</w:t></w:r>
</w:p>
<w:p>
<w:pPr><w:pStyle w:val="Normal"/></w:pPr>
<w:r><w:t xml:space="preserve">the kingdom of Belgium, E. by the department of Ardennes,</w:t></w:r>
</w:p>
<w:p>
<w:pPr><w:pStyle w:val="Normal"/></w:pPr>
<w:r><w:t xml:space="preserve">S.E. by that of Marne, S. by that of Seine-et-Marne, and W.</w:t></w:r>
</w:p>
<w:p>
<w:pPr><w:pStyle w:val="Normal"/></w:pPr>
<w:r><w:t xml:space="preserve">by those of Oise and Somme.  The surface of the department</w:t></w:r>
</w:p>
<w:p>
<w:pPr><w:pStyle w:val="Normal"/></w:pPr>
<w:r><w:t xml:space="preserve">consists of undulating and well-wooded plains, intersected</w:t></w:r>
</w:p>
<w:p>
<w:pPr><w:pStyle w:val="Normal"/></w:pPr>
<w:r><w:t xml:space="preserve">by numerous valleys, and diversified in the north-east by</w:t></w:r>
</w:p>
<w:p>
<w:pPr><w:pStyle w:val="Normal"/></w:pPr>
<w:r><w:t xml:space="preserve">hilly ground which forms a part of the mountain system of the</w:t></w:r>
</w:p>
<w:p>
<w:pPr><w:pStyle w:val="Normal"/></w:pPr>
<w:r><w:t xml:space="preserve">Ardennes.  Its general slope is from north-east, where the</w:t></w:r>
</w:p>
<w:p>
<w:pPr><w:pStyle w:val="Normal"/></w:pPr>
<w:r><w:t xml:space="preserve">culminating point (930 ft.) is found, to south-west, though</w:t></w:r>
</w:p>
<w:p>
<w:pPr><w:pStyle w:val="Normal"/></w:pPr>
<w:r><w:t xml:space="preserve">altitudes exceeding 750 ft. are also found in the south.</w:t></w:r>
</w:p>
<w:p>
<w:pPr><w:pStyle w:val="Normal"/></w:pPr>
<w:r><w:t xml:space="preserve">The chief rivers are the Somme, the Escaut and the Sambre,</w:t></w:r>
</w:p>
<w:p>
<w:pPr><w:pStyle w:val="Normal"/></w:pPr>
<w:r><w:t xml:space="preserve">which have their sources in the north of the department; the</w:t></w:r>
</w:p>
<w:p>
<w:pPr><w:pStyle w:val="Normal"/></w:pPr>
<w:r><w:t xml:space="preserve">Oise, traversing the north-west, with its tributaries the</w:t></w:r>
</w:p>
<w:p>
<w:pPr><w:pStyle w:val="Normal"/></w:pPr>
<w:r><w:t xml:space="preserve">Serre and the Aisne, the latter of which joins it beyond the</w:t></w:r>
</w:p>
<w:p>
<w:pPr><w:pStyle w:val="Normal"/></w:pPr>
<w:r><w:t xml:space="preserve">limits of the department; and the Marne and the Ourcq in the</w:t></w:r>
</w:p>
<w:p>
<w:pPr><w:pStyle w:val="Normal"/></w:pPr>
<w:r><w:t xml:space="preserve">south.  The climate is in general cold and humid, especially</w:t></w:r>
</w:p>
<w:p>
<w:pPr><w:pStyle w:val="Normal"/></w:pPr>
<w:r><w:t xml:space="preserve">in the north-east.  Agriculture is highly developed;</w:t></w:r>
</w:p>
<w:p>
<w:pPr><w:pStyle w:val="Normal"/></w:pPr>
<w:r><w:t xml:space="preserve">cereals, principally wheat and oats, and beetroot are the</w:t></w:r>
</w:p>
<w:p>
<w:pPr><w:pStyle w:val="Normal"/></w:pPr>
<w:r><w:t xml:space="preserve">chief crops; potatoes, flax, hemp, rape and hops are also</w:t></w:r>
</w:p>
<w:p>
<w:pPr><w:pStyle w:val="Normal"/></w:pPr>
<w:r><w:t xml:space="preserve">grown.  Pasturage is good, particularly in the north-east,</w:t></w:r>
</w:p>
<w:p>
<w:pPr><w:pStyle w:val="Normal"/></w:pPr>
<w:r><w:t xml:space="preserve">where dairy-farming flourishes.  Wine of medium quality is</w:t></w:r>
</w:p>
<w:p>
<w:pPr><w:pStyle w:val="Normal"/></w:pPr>
<w:r><w:t xml:space="preserve">grown on the banks of the Marne and the Aisne.  Bee-farming</w:t></w:r>
</w:p>
<w:p>
<w:pPr><w:pStyle w:val="Normal"/></w:pPr>
<w:r><w:t xml:space="preserve">is of some importance.  Large tracts of the department are</w:t></w:r>
</w:p>
<w:p>
<w:pPr><w:pStyle w:val="Normal"/></w:pPr>
<w:r><w:t xml:space="preserve">under wood; the chief forests are those of Nouvion and St</w:t></w:r>
</w:p>
<w:p>
<w:pPr><w:pStyle w:val="Normal"/></w:pPr>
<w:r><w:t xml:space="preserve">Michel in the north, Coucy and St Gobain in the centre, and</w:t></w:r>
</w:p>
<w:p>
<w:pPr><w:pStyle w:val="Normal"/></w:pPr>
<w:r><w:t xml:space="preserve">Villers-Cotterets in the south.  The osiers grown in the</w:t></w:r>
</w:p>
<w:p>
<w:pPr><w:pStyle w:val="Normal"/></w:pPr>
<w:r><w:t xml:space="preserve">vicinity of St Quentin supply an active basket-making industry.</w:t></w:r>
</w:p>
<w:p>
<w:pPr><w:pStyle w:val="Normal"/></w:pPr>
<w:r><w:t xml:space="preserve">Though destitute of metals Aisne furnishes abundance of</w:t></w:r>
</w:p>
<w:p>
<w:pPr><w:pStyle w:val="Normal"/></w:pPr>
<w:r><w:t xml:space="preserve">freestone, gypsum and clay.  There are numerous tile and</w:t></w:r>
</w:p>
<w:p>
<w:pPr><w:pStyle w:val="Normal"/></w:pPr>
<w:r><w:t xml:space="preserve">brick works in the department.  Its most important industrial</w:t></w:r>
</w:p>
<w:p>
<w:pPr><w:pStyle w:val="Normal"/></w:pPr>
<w:r><w:t xml:space="preserve">establishments are the mirror manufactory of St Gobain and the</w:t></w:r>
</w:p>
<w:p>
<w:pPr><w:pStyle w:val="Normal"/></w:pPr>
<w:r><w:t xml:space="preserve">chemical works at Chauny, and the workshops and foundries of</w:t></w:r>
</w:p>
<w:p>
<w:pPr><w:pStyle w:val="Normal"/></w:pPr>
<w:r><w:t xml:space="preserve">Guise, the property of an association of workpeople organized</w:t></w:r>
</w:p>
<w:p>
<w:pPr><w:pStyle w:val="Normal"/></w:pPr>
<w:r><w:t xml:space="preserve">on socialistic lines and producing iron goods of various</w:t></w:r>
</w:p>
<w:p>
<w:pPr><w:pStyle w:val="Normal"/></w:pPr>
<w:r><w:t xml:space="preserve">kinds.  The manufacture of sugar is very important; brewing,</w:t></w:r>
</w:p>
<w:p>
<w:pPr><w:pStyle w:val="Normal"/></w:pPr>
<w:r><w:t xml:space="preserve">distilling, flour-milling, iron-founding, the weaving and</w:t></w:r>
</w:p>
<w:p>
<w:pPr><w:pStyle w:val="Normal"/></w:pPr>
<w:r><w:t xml:space="preserve">spinning of cotton, wool and silk, and the manufacture of iron</w:t></w:r>
</w:p>
<w:p>
<w:pPr><w:pStyle w:val="Normal"/></w:pPr>
<w:r><w:t xml:space="preserve">goods, especially agricultural implements, are actively carried</w:t></w:r>
</w:p>
<w:p>
<w:pPr><w:pStyle w:val="Normal"/></w:pPr>
<w:r><w:t xml:space="preserve">on.  Aisne imports coal, iron, cotton and other raw material</w:t></w:r>
</w:p>
<w:p>
<w:pPr><w:pStyle w:val="Normal"/></w:pPr>
<w:r><w:t xml:space="preserve">and machinery; it exports cereals, live-stock and agricultural</w:t></w:r>
</w:p>
<w:p>
<w:pPr><w:pStyle w:val="Normal"/></w:pPr>
<w:r><w:t xml:space="preserve">products generally, and manufactured goods.  The department</w:t></w:r>
</w:p>
<w:p>
<w:pPr><w:pStyle w:val="Normal"/></w:pPr>
<w:r><w:t xml:space="preserve">is served chiefly by the lines of the Northern railway; in</w:t></w:r>
</w:p>
<w:p>
<w:pPr><w:pStyle w:val="Normal"/></w:pPr>
<w:r><w:t xml:space="preserve">addition, the main line of the Eastern railway to Strassburg</w:t></w:r>
</w:p>
<w:p>
<w:pPr><w:pStyle w:val="Normal"/></w:pPr>
<w:r><w:t xml:space="preserve">traverses the extreme south.  The Oise, Aisne and Marne are</w:t></w:r>
</w:p>
<w:p>
<w:pPr><w:pStyle w:val="Normal"/></w:pPr>
<w:r><w:t xml:space="preserve">navigable, and canals furnish 170 m. of waterway.  Aisne is</w:t></w:r>
</w:p>
<w:p>
<w:pPr><w:pStyle w:val="Normal"/></w:pPr>
<w:r><w:t xml:space="preserve">divided into five arrondissements--St Quentin and Vervins in the</w:t></w:r>
</w:p>
<w:p>
<w:pPr><w:pStyle w:val="Normal"/></w:pPr>
<w:r><w:t xml:space="preserve">north, Laon in the centre, and Soissons and Chateau-Thierry</w:t></w:r>
</w:p>
<w:p>
<w:pPr><w:pStyle w:val="Normal"/></w:pPr>
<w:r><w:t xml:space="preserve">in the south-and contains 37 cantons and 841 communes.</w:t></w:r>
</w:p>
<w:p>
<w:pPr><w:pStyle w:val="Normal"/></w:pPr>
<w:r><w:t xml:space="preserve">It forms part of the educational division (academie)</w:t></w:r>
</w:p>
<w:p>
<w:pPr><w:pStyle w:val="Normal"/></w:pPr>
<w:r><w:t xml:space="preserve">of Douai and of the region of the second army corps, its</w:t></w:r>
</w:p>
<w:p>
<w:pPr><w:pStyle w:val="Normal"/></w:pPr>
<w:r><w:t xml:space="preserve">military centre being at Amiens, where also is its court of</w:t></w:r>
</w:p>
<w:p>
<w:pPr><w:pStyle w:val="Normal"/></w:pPr>
<w:r><w:t xml:space="preserve">appeal.  Laon is the capital, and Soissons the seat of a</w:t></w:r>
</w:p>
<w:p>
<w:pPr><w:pStyle w:val="Normal"/></w:pPr>
<w:r><w:t xml:space="preserve">bishopric of the province of Reims.  Other important places</w:t></w:r>
</w:p>
<w:p>
<w:pPr><w:pStyle w:val="Normal"/></w:pPr>
<w:r><w:t xml:space="preserve">are Chateau-Thierry, St Quentin and Coucy-le-Chateau.  La</w:t></w:r>
</w:p>
<w:p>
<w:pPr><w:pStyle w:val="Normal"/></w:pPr>
<w:r><w:t xml:space="preserve">Forte-Milon has remains of an imposing chateau of the 14th</w:t></w:r>
</w:p>
<w:p>
<w:pPr><w:pStyle w:val="Normal"/></w:pPr>
<w:r><w:t xml:space="preserve">and 15th centuries with interesting fortifications.  The</w:t></w:r>
</w:p>
<w:p>
<w:pPr><w:pStyle w:val="Normal"/></w:pPr>
<w:r><w:t xml:space="preserve">ruined church at Longpont (13th century) is the relic of an</w:t></w:r>
</w:p>
<w:p>
<w:pPr><w:pStyle w:val="Normal"/></w:pPr>
<w:r><w:t xml:space="preserve">important Cistercian abbey; Urcel and Mont-Notre-Dame have</w:t></w:r>
</w:p>
<w:p>
<w:pPr><w:pStyle w:val="Normal"/></w:pPr>
<w:r><w:t xml:space="preserve">fine churches, the first entirely in the Romanesque style,</w:t></w:r>
</w:p>
<w:p>
<w:pPr><w:pStyle w:val="Normal"/></w:pPr>
<w:r><w:t xml:space="preserve">the second dating from the 12th and 13th centuries, to which</w:t></w:r>
</w:p>
<w:p>
<w:pPr><w:pStyle w:val="Normal"/></w:pPr>
<w:r><w:t xml:space="preserve">period the church at Braisne also belongs.  At Premontre</w:t></w:r>
</w:p>
<w:p>
<w:pPr><w:pStyle w:val="Normal"/></w:pPr>
<w:r><w:t xml:space="preserve">the buildings of the abbey, which was the cradle of the</w:t></w:r>
</w:p>
<w:p>
<w:pPr><w:pStyle w:val="Normal"/></w:pPr>
<w:r><w:t xml:space="preserve">Premonstratensian order, are occupied by a lunatic asylum.</w:t></w:r>
</w:p>
<w:p>
<w:pPr><w:pStyle w:val="Normal"/></w:pPr>
<w:r><w:t xml:space="preserve">AISSE [a corruption of HAIDEE], MADEMOISELLE (c.</w:t></w:r>
</w:p>
<w:p>
<w:pPr><w:pStyle w:val="Normal"/></w:pPr>
<w:r><w:t xml:space="preserve">1694-1733), French letter-writer, was the daughter of a</w:t></w:r>
</w:p>
<w:p>
<w:pPr><w:pStyle w:val="Normal"/></w:pPr>
<w:r><w:t xml:space="preserve">Circassian chief, and was born about 1694.  Her father&apos;s palace</w:t></w:r>
</w:p>
<w:p>
<w:pPr><w:pStyle w:val="Normal"/></w:pPr>
<w:r><w:t xml:space="preserve">was pillaged by the Turks, and as a child of four years old</w:t></w:r>
</w:p>
<w:p>
<w:pPr><w:pStyle w:val="Normal"/></w:pPr>
<w:r><w:t xml:space="preserve">she was sold to the comte de Ferriol, the French ambassador at</w:t></w:r>
</w:p>
<w:p>
<w:pPr><w:pStyle w:val="Normal"/></w:pPr>
<w:r><w:t xml:space="preserve">Constantinople.  She was brought up in Paris by Ferriol&apos;s</w:t></w:r>
</w:p>
<w:p>
<w:pPr><w:pStyle w:val="Normal"/></w:pPr>
<w:r><w:t xml:space="preserve">sister-in-law with her own sons, MM. d&apos;Argental and Pont de</w:t></w:r>
</w:p>
<w:p>
<w:pPr><w:pStyle w:val="Normal"/></w:pPr>
<w:r><w:t xml:space="preserve">Veyle.  Her great beauty and romantic history made her the</w:t></w:r>
</w:p>
<w:p>
<w:pPr><w:pStyle w:val="Normal"/></w:pPr>
<w:r><w:t xml:space="preserve">fashion, and she attracted the notice of the regent, Philip,</w:t></w:r>
</w:p>
<w:p>
<w:pPr><w:pStyle w:val="Normal"/></w:pPr>
<w:r><w:t xml:space="preserve">duke of Orleans, whose offers she had the strength of mind to</w:t></w:r>
</w:p>
<w:p>
<w:pPr><w:pStyle w:val="Normal"/></w:pPr>
<w:r><w:t xml:space="preserve">refuse.  She formed a deep and lasting attachment to the</w:t></w:r>
</w:p>
<w:p>
<w:pPr><w:pStyle w:val="Normal"/></w:pPr>
<w:r><w:t xml:space="preserve">Chevalier d&apos;Aydie, by whom she had a daughter.  She died in</w:t></w:r>
</w:p>
<w:p>
<w:pPr><w:pStyle w:val="Normal"/></w:pPr>
<w:r><w:t xml:space="preserve">Paris on the 13th of March 1733.  Her letters to her friend</w:t></w:r>
</w:p>
<w:p>
<w:pPr><w:pStyle w:val="Normal"/></w:pPr>
<w:r><w:t xml:space="preserve">Madame Calandrini contain much interesting information with</w:t></w:r>
</w:p>
<w:p>
<w:pPr><w:pStyle w:val="Normal"/></w:pPr>
<w:r><w:t xml:space="preserve">regard to contemporary celebrities, especially on Mme. du</w:t></w:r>
</w:p>
<w:p>
<w:pPr><w:pStyle w:val="Normal"/></w:pPr>
<w:r><w:t xml:space="preserve">Deffand and Mme. de Tencin, but they are above all of interest</w:t></w:r>
</w:p>
<w:p>
<w:pPr><w:pStyle w:val="Normal"/></w:pPr>
<w:r><w:t xml:space="preserve">in the picture they afford of the writer&apos;s own tenderness and</w:t></w:r>
</w:p>
<w:p>
<w:pPr><w:pStyle w:val="Normal"/></w:pPr>
<w:r><w:t xml:space="preserve">fidelity.  Her Lettres were edited by Voltaire (1787),</w:t></w:r>
</w:p>
<w:p>
<w:pPr><w:pStyle w:val="Normal"/></w:pPr>
<w:r><w:t xml:space="preserve">by J. Ravenel, with a notice by Sainte-Beuve (1846)</w:t></w:r>
</w:p>
<w:p>
<w:pPr><w:pStyle w:val="Normal"/></w:pPr>
<w:r><w:t xml:space="preserve">and by Eugene Asse (1873).  Mlle.  Aisse has been the</w:t></w:r>
</w:p>
<w:p>
<w:pPr><w:pStyle w:val="Normal"/></w:pPr>
<w:r><w:t xml:space="preserve">subject of three plays: by A. de Lavergne and P. Woucher</w:t></w:r>
</w:p>
<w:p>
<w:pPr><w:pStyle w:val="Normal"/></w:pPr>
<w:r><w:t xml:space="preserve">(1854), by Louis Bouilhet (1872) and by Dejoux (1898).</w:t></w:r>
</w:p>
<w:p>
<w:pPr><w:pStyle w:val="Normal"/></w:pPr>
<w:r><w:t xml:space="preserve">See also Courteault, Une Idylle au XVIIIe siecle, Mlle.</w:t></w:r>
</w:p>
<w:p>
<w:pPr><w:pStyle w:val="Normal"/></w:pPr>
<w:r><w:t xml:space="preserve">Aisse et le Chevalier d&apos;Aydie (Macon, 1900); and notices</w:t></w:r>
</w:p>
<w:p>
<w:pPr><w:pStyle w:val="Normal"/></w:pPr>
<w:r><w:t xml:space="preserve">prefixed to the editions of 1846 and 1873.  There is an</w:t></w:r>
</w:p>
<w:p>
<w:pPr><w:pStyle w:val="Normal"/></w:pPr>
<w:r><w:t xml:space="preserve">interesting essay by E. Gosse in his French Profiles (1905).</w:t></w:r>
</w:p>
<w:p>
<w:pPr><w:pStyle w:val="Normal"/></w:pPr>
<w:r><w:t xml:space="preserve">AITON, WILLIAM (1731-1793), Scottish botanist, was born</w:t></w:r>
</w:p>
<w:p>
<w:pPr><w:pStyle w:val="Normal"/></w:pPr>
<w:r><w:t xml:space="preserve">near Hamilton in 1731.  Having been regularly trained to the</w:t></w:r>
</w:p>
<w:p>
<w:pPr><w:pStyle w:val="Normal"/></w:pPr>
<w:r><w:t xml:space="preserve">profession of a gardener, he travelled to London in 1754,</w:t></w:r>
</w:p>
<w:p>
<w:pPr><w:pStyle w:val="Normal"/></w:pPr>
<w:r><w:t xml:space="preserve">and became assistant to Philip Miller, then superintendent</w:t></w:r>
</w:p>
<w:p>
<w:pPr><w:pStyle w:val="Normal"/></w:pPr>
<w:r><w:t xml:space="preserve">of the Physic Garden at Chelsea.  In 1759 he was appointed</w:t></w:r>
</w:p>
<w:p>
<w:pPr><w:pStyle w:val="Normal"/></w:pPr>
<w:r><w:t xml:space="preserve">director of the newly established botanical garden at Kew,</w:t></w:r>
</w:p>
<w:p>
<w:pPr><w:pStyle w:val="Normal"/></w:pPr>
<w:r><w:t xml:space="preserve">where he remained until his death on the 2nd of February</w:t></w:r>
</w:p>
<w:p>
<w:pPr><w:pStyle w:val="Normal"/></w:pPr>
<w:r><w:t xml:space="preserve">1793.  He effected many improvements at the gardens, and in 1789</w:t></w:r>
</w:p>
<w:p>
<w:pPr><w:pStyle w:val="Normal"/></w:pPr>
<w:r><w:t xml:space="preserve">he published Hortus Kewensis, a catalogue of the plants there</w:t></w:r>
</w:p>
<w:p>
<w:pPr><w:pStyle w:val="Normal"/></w:pPr>
<w:r><w:t xml:space="preserve">cultivated.  A second and enlarged edition of the Hortus was</w:t></w:r>
</w:p>
<w:p>
<w:pPr><w:pStyle w:val="Normal"/></w:pPr>
<w:r><w:t xml:space="preserve">brought out in 1810-1813 by his eldest son, WILLIAM TOWNSEND</w:t></w:r>
</w:p>
<w:p>
<w:pPr><w:pStyle w:val="Normal"/></w:pPr>
<w:r><w:t xml:space="preserve">AITON (1766-1849), who succeeded him at Kew and was commissioned</w:t></w:r>
</w:p>
<w:p>
<w:pPr><w:pStyle w:val="Normal"/></w:pPr>
<w:r><w:t xml:space="preserve">by George IV. to lay out the gardens at the Pavilion, Brighton.</w:t></w:r>
</w:p>
<w:p>
<w:pPr><w:pStyle w:val="Normal"/></w:pPr>
<w:r><w:t xml:space="preserve">AITZEMA, LIEUWE (LEO) VAN (1600-1669), Dutch historian</w:t></w:r>
</w:p>
<w:p>
<w:pPr><w:pStyle w:val="Normal"/></w:pPr>
<w:r><w:t xml:space="preserve">and statesman, was born at Doccum, in Friesland, on the 19th</w:t></w:r>
</w:p>
<w:p>
<w:pPr><w:pStyle w:val="Normal"/></w:pPr>
<w:r><w:t xml:space="preserve">of November 1600.  In 1617 he published a volume of Latin</w:t></w:r>
</w:p>
<w:p>
<w:pPr><w:pStyle w:val="Normal"/></w:pPr>
<w:r><w:t xml:space="preserve">poems under the title of Poemata Juvenilia, of which a</w:t></w:r>
</w:p>
<w:p>
<w:pPr><w:pStyle w:val="Normal"/></w:pPr>
<w:r><w:t xml:space="preserve">copy is preserved in the British Museum.  He made a special</w:t></w:r>
</w:p>
<w:p>
<w:pPr><w:pStyle w:val="Normal"/></w:pPr>
<w:r><w:t xml:space="preserve">study of politics and political science and was for thirty</w:t></w:r>
</w:p>
<w:p>
<w:pPr><w:pStyle w:val="Normal"/></w:pPr>
<w:r><w:t xml:space="preserve">years resident for the towns of the Hanseatic League at the</w:t></w:r>
</w:p>
<w:p>
<w:pPr><w:pStyle w:val="Normal"/></w:pPr>
<w:r><w:t xml:space="preserve">Hague, where he died on the 23rd of February 1669.  His most</w:t></w:r>
</w:p>
<w:p>
<w:pPr><w:pStyle w:val="Normal"/></w:pPr>
<w:r><w:t xml:space="preserve">important work was the Saken van Staet in Oorlogh in ende</w:t></w:r>
</w:p>
<w:p>
<w:pPr><w:pStyle w:val="Normal"/></w:pPr>
<w:r><w:t xml:space="preserve">omtrent de Vereenigte Nederlanden (14 Vols. 4to, 1655-1671),</w:t></w:r>
</w:p>
<w:p>
<w:pPr><w:pStyle w:val="Normal"/></w:pPr>
<w:r><w:t xml:space="preserve">embracing the period from 1621 to 1668.  It contains a large</w:t></w:r>
</w:p>
<w:p>
<w:pPr><w:pStyle w:val="Normal"/></w:pPr>
<w:r><w:t xml:space="preserve">number of state documents, and is an invaluable authority</w:t></w:r>
</w:p>
<w:p>
<w:pPr><w:pStyle w:val="Normal"/></w:pPr>
<w:r><w:t xml:space="preserve">on one of the most eventful periods of Dutch history.</w:t></w:r>
</w:p>
<w:p>
<w:pPr><w:pStyle w:val="Normal"/></w:pPr>
<w:r><w:t xml:space="preserve">Four continuations of the history, by the poet and</w:t></w:r>
</w:p>
<w:p>
<w:pPr><w:pStyle w:val="Normal"/></w:pPr>
<w:r><w:t xml:space="preserve">historian Lambert van den Bos, were published successively</w:t></w:r>
</w:p>
<w:p>
<w:pPr><w:pStyle w:val="Normal"/></w:pPr>
<w:r><w:t xml:space="preserve">at Amsterdam in 1683, 1688, 1698 and 1699.  The Derde</w:t></w:r>
</w:p>
<w:p>
<w:pPr><w:pStyle w:val="Normal"/></w:pPr>
<w:r><w:t xml:space="preserve">Vervolg Zinde het vierde Stuck van het vervolgh op</w:t></w:r>
</w:p>
<w:p>
<w:pPr><w:pStyle w:val="Normal"/></w:pPr>
<w:r><w:t xml:space="preserve">de historie, &amp;c., brings the history down to 1697.</w:t></w:r>
</w:p>
<w:p>
<w:pPr><w:pStyle w:val="Normal"/></w:pPr>
<w:r><w:t xml:space="preserve">AIVALI (Gr. Kydonia), a prosperous town on the W.</w:t></w:r>
</w:p>
<w:p>
<w:pPr><w:pStyle w:val="Normal"/></w:pPr>
<w:r><w:t xml:space="preserve">coast of Asia Minor, opposite the island of Mitylene.  Pop.</w:t></w:r>
</w:p>
<w:p>
<w:pPr><w:pStyle w:val="Normal"/></w:pPr>
<w:r><w:t xml:space="preserve">21,000.  It stands near the site of the Aeolian Heraclea, on</w:t></w:r>
</w:p>
<w:p>
<w:pPr><w:pStyle w:val="Normal"/></w:pPr>
<w:r><w:t xml:space="preserve">rising ground at the end of a bay which is separated from the</w:t></w:r>
</w:p>
<w:p>
<w:pPr><w:pStyle w:val="Normal"/></w:pPr>
<w:r><w:t xml:space="preserve">Gulf of Adramyttium, and protected from the prevailing winds</w:t></w:r>
</w:p>
<w:p>
<w:pPr><w:pStyle w:val="Normal"/></w:pPr>
<w:r><w:t xml:space="preserve">by the Moschonisi Islands (Hecatonnesoi.) In 1821 it was</w:t></w:r>
</w:p>
<w:p>
<w:pPr><w:pStyle w:val="Normal"/></w:pPr>
<w:r><w:t xml:space="preserve">burned to the ground during a fight between the Turks and the</w:t></w:r>
</w:p>
<w:p>
<w:pPr><w:pStyle w:val="Normal"/></w:pPr>
<w:r><w:t xml:space="preserve">Greeks, and a large number of its Greek population killed or</w:t></w:r>
</w:p>
<w:p>
<w:pPr><w:pStyle w:val="Normal"/></w:pPr>
<w:r><w:t xml:space="preserve">enslaved.  It is one of the most thriving towns in the</w:t></w:r>
</w:p>
<w:p>
<w:pPr><w:pStyle w:val="Normal"/></w:pPr>
<w:r><w:t xml:space="preserve">Levant, with a purely Greek population distinguished for its</w:t></w:r>
</w:p>
<w:p>
<w:pPr><w:pStyle w:val="Normal"/></w:pPr>
<w:r><w:t xml:space="preserve">commercial, industrial and maritime enterprise.  The exports</w:t></w:r>
</w:p>
<w:p>
<w:pPr><w:pStyle w:val="Normal"/></w:pPr>
<w:r><w:t xml:space="preserve">are olive oil, grain and wood, and a fleet of fishing-boats</w:t></w:r>
</w:p>
<w:p>
<w:pPr><w:pStyle w:val="Normal"/></w:pPr>
<w:r><w:t xml:space="preserve">supplies Constantinople and Smyrna with fish; the exports</w:t></w:r>
</w:p>
<w:p>
<w:pPr><w:pStyle w:val="Normal"/></w:pPr>
<w:r><w:t xml:space="preserve">in 1902 were valued at L. 987,070, and the imports at</w:t></w:r>
</w:p>
<w:p>
<w:pPr><w:pStyle w:val="Normal"/></w:pPr>
<w:r><w:t xml:space="preserve">AIWAN, the reception-hall or throne-room of a Parthian or Sassanian palace.</w:t></w:r>
</w:p>
<w:p>
<w:pPr><w:pStyle w:val="Normal"/></w:pPr>
<w:r><w:t xml:space="preserve">AIX, a city of south-eastern France, capital of an arrondissement</w:t></w:r>
</w:p>
<w:p>
<w:pPr><w:pStyle w:val="Normal"/></w:pPr>
<w:r><w:t xml:space="preserve">in the department of Bouches-du-Rhone, 18 m.  N. of Marseilles</w:t></w:r>
</w:p>
<w:p>
<w:pPr><w:pStyle w:val="Normal"/></w:pPr>
<w:r><w:t xml:space="preserve">by rail.  Pop. (1906) 19,433.  It is situated in a plain</w:t></w:r>
</w:p>
<w:p>
<w:pPr><w:pStyle w:val="Normal"/></w:pPr>
<w:r><w:t xml:space="preserve">overlooking the Arc, about a mile from the right bank of the</w:t></w:r>
</w:p>
<w:p>
<w:pPr><w:pStyle w:val="Normal"/></w:pPr>
<w:r><w:t xml:space="preserve">river.  The Cours Mirabeau, a wide thoroughfare, planted</w:t></w:r>
</w:p>
<w:p>
<w:pPr><w:pStyle w:val="Normal"/></w:pPr>
<w:r><w:t xml:space="preserve">with double rows of plane-trees, bordered by fine houses</w:t></w:r>
</w:p>
<w:p>
<w:pPr><w:pStyle w:val="Normal"/></w:pPr>
<w:r><w:t xml:space="preserve">and decorated by three fountains, divides the town into two</w:t></w:r>
</w:p>
<w:p>
<w:pPr><w:pStyle w:val="Normal"/></w:pPr>
<w:r><w:t xml:space="preserve">portions.  The new town extends to the south, the old town</w:t></w:r>
</w:p>
<w:p>
<w:pPr><w:pStyle w:val="Normal"/></w:pPr>
<w:r><w:t xml:space="preserve">with its wide but irregular streets and its old mansions</w:t></w:r>
</w:p>
<w:p>
<w:pPr><w:pStyle w:val="Normal"/></w:pPr>
<w:r><w:t xml:space="preserve">dating from the 16th, 17th and 18th centuries lies to the</w:t></w:r>
</w:p>
<w:p>
<w:pPr><w:pStyle w:val="Normal"/></w:pPr>
<w:r><w:t xml:space="preserve">north.  Aix is an important educational centre, being the</w:t></w:r>
</w:p>
<w:p>
<w:pPr><w:pStyle w:val="Normal"/></w:pPr>
<w:r><w:t xml:space="preserve">seat of the faculties of law and letters of the university of</w:t></w:r>
</w:p>
<w:p>
<w:pPr><w:pStyle w:val="Normal"/></w:pPr>
<w:r><w:t xml:space="preserve">Aix-Marseille, and the north and east quarter of the town,</w:t></w:r>
</w:p>
<w:p>
<w:pPr><w:pStyle w:val="Normal"/></w:pPr>
<w:r><w:t xml:space="preserve">where the schools and university buildings are situated, is</w:t></w:r>
</w:p>
<w:p>
<w:pPr><w:pStyle w:val="Normal"/></w:pPr>
<w:r><w:t xml:space="preserve">comparable to the Latin Quarter of Paris.  The cathedral of St</w:t></w:r>
</w:p>
<w:p>
<w:pPr><w:pStyle w:val="Normal"/></w:pPr>
<w:r><w:t xml:space="preserve">Sauveur, which dates from the 11th, 12th and 13th centuries,</w:t></w:r>
</w:p>
<w:p>
<w:pPr><w:pStyle w:val="Normal"/></w:pPr>
<w:r><w:t xml:space="preserve">is situated in this portion of Aix. It is preceded by a rich</w:t></w:r>
</w:p>
<w:p>
<w:pPr><w:pStyle w:val="Normal"/></w:pPr>
<w:r><w:t xml:space="preserve">portal in the Gothic style with elaborately carved doors, and</w:t></w:r>
</w:p>
<w:p>
<w:pPr><w:pStyle w:val="Normal"/></w:pPr>
<w:r><w:t xml:space="preserve">is flanked on the north by an uncompleted tower.  The interior</w:t></w:r>
</w:p>
<w:p>
<w:pPr><w:pStyle w:val="Normal"/></w:pPr>
<w:r><w:t xml:space="preserve">contains tapestry of the 16th century and other works of</w:t></w:r>
</w:p>
<w:p>
<w:pPr><w:pStyle w:val="Normal"/></w:pPr>
<w:r><w:t xml:space="preserve">art.  The archbishop&apos;s palace and a Romanesque cloister adjoin</w:t></w:r>
</w:p>
<w:p>
<w:pPr><w:pStyle w:val="Normal"/></w:pPr>
<w:r><w:t xml:space="preserve">the cathedral on its south side.  The church of St Jean de</w:t></w:r>
</w:p>
<w:p>
<w:pPr><w:pStyle w:val="Normal"/></w:pPr>
<w:r><w:t xml:space="preserve">Malto, dating from the 13th century, contains some valuable</w:t></w:r>
</w:p>
<w:p>
<w:pPr><w:pStyle w:val="Normal"/></w:pPr>
<w:r><w:t xml:space="preserve">pictures.  The hotel de ville, a building in the classical style</w:t></w:r>
</w:p>
<w:p>
<w:pPr><w:pStyle w:val="Normal"/></w:pPr>
<w:r><w:t xml:space="preserve">of the middle of the 17th century, looks on to a picturesque</w:t></w:r>
</w:p>
<w:p>
<w:pPr><w:pStyle w:val="Normal"/></w:pPr>
<w:r><w:t xml:space="preserve">square.  It contains some fine wood-work and a large library</w:t></w:r>
</w:p>
<w:p>
<w:pPr><w:pStyle w:val="Normal"/></w:pPr>
<w:r><w:t xml:space="preserve">which includes many valuable MSS. At its side rises a handsome</w:t></w:r>
</w:p>
<w:p>
<w:pPr><w:pStyle w:val="Normal"/></w:pPr>
<w:r><w:t xml:space="preserve">clock-tower erected in 1505.  Aix possesses many beautiful</w:t></w:r>
</w:p>
<w:p>
<w:pPr><w:pStyle w:val="Normal"/></w:pPr>
<w:r><w:t xml:space="preserve">fountains, one of which in the Cours Mirabeau is surmounted</w:t></w:r>
</w:p>
<w:p>
<w:pPr><w:pStyle w:val="Normal"/></w:pPr>
<w:r><w:t xml:space="preserve">by a statue of Rene, count of Provence, who held a brilliant</w:t></w:r>
</w:p>
<w:p>
<w:pPr><w:pStyle w:val="Normal"/></w:pPr>
<w:r><w:t xml:space="preserve">court at Aix in the 15th century.  Aix has thermal springs,</w:t></w:r>
</w:p>
<w:p>
<w:pPr><w:pStyle w:val="Normal"/></w:pPr>
<w:r><w:t xml:space="preserve">remarkable for their heat and containing lime and carbonic</w:t></w:r>
</w:p>
<w:p>
<w:pPr><w:pStyle w:val="Normal"/></w:pPr>
<w:r><w:t xml:space="preserve">acid.  The bathing establishment was built in 1705 near the</w:t></w:r>
</w:p>
<w:p>
<w:pPr><w:pStyle w:val="Normal"/></w:pPr>
<w:r><w:t xml:space="preserve">site of the ancient baths of Sextius, of which vestiges still</w:t></w:r>
</w:p>
<w:p>
<w:pPr><w:pStyle w:val="Normal"/></w:pPr>
<w:r><w:t xml:space="preserve">remain.  The town, which is the seat of an archbishop and</w:t></w:r>
</w:p>
<w:p>
<w:pPr><w:pStyle w:val="Normal"/></w:pPr>
<w:r><w:t xml:space="preserve">court of appeal, and the centre of an academie (educational</w:t></w:r>
</w:p>
<w:p>
<w:pPr><w:pStyle w:val="Normal"/></w:pPr>
<w:r><w:t xml:space="preserve">circumscription), numbers among its public institutions</w:t></w:r>
</w:p>
<w:p>
<w:pPr><w:pStyle w:val="Normal"/></w:pPr>
<w:r><w:t xml:space="preserve">a Court of assizes, tribunals of first instance and of</w:t></w:r>
</w:p>
<w:p>
<w:pPr><w:pStyle w:val="Normal"/></w:pPr>
<w:r><w:t xml:space="preserve">commerce, and a chamber of arts and manufactures.  It also has</w:t></w:r>
</w:p>
<w:p>
<w:pPr><w:pStyle w:val="Normal"/></w:pPr>
<w:r><w:t xml:space="preserve">training-colleges, a lycee, a school of art and technics,</w:t></w:r>
</w:p>
<w:p>
<w:pPr><w:pStyle w:val="Normal"/></w:pPr>
<w:r><w:t xml:space="preserve">museums of antiquities, natural history and painting,</w:t></w:r>
</w:p>
<w:p>
<w:pPr><w:pStyle w:val="Normal"/></w:pPr>
<w:r><w:t xml:space="preserve">and several learned societies.  The industries include</w:t></w:r>
</w:p>
<w:p>
<w:pPr><w:pStyle w:val="Normal"/></w:pPr>
<w:r><w:t xml:space="preserve">flour-milling, the manufacture of confectionery, iron-ware</w:t></w:r>
</w:p>
<w:p>
<w:pPr><w:pStyle w:val="Normal"/></w:pPr>
<w:r><w:t xml:space="preserve">and hats, and the distillation of olive-oil.  Trade is in</w:t></w:r>
</w:p>
<w:p>
<w:pPr><w:pStyle w:val="Normal"/></w:pPr>
<w:r><w:t xml:space="preserve">olive-oil, almonds and stone from the neighbouring quarries.</w:t></w:r>
</w:p>
<w:p>
<w:pPr><w:pStyle w:val="Normal"/></w:pPr>
<w:r><w:t xml:space="preserve">Aix (Aquae Sextiae) was founded in 123 B.C. by the</w:t></w:r>
</w:p>
<w:p>
<w:pPr><w:pStyle w:val="Normal"/></w:pPr>
<w:r><w:t xml:space="preserve">Roman consul Sextius Calvinus, who gave his name to its</w:t></w:r>
</w:p>
<w:p>
<w:pPr><w:pStyle w:val="Normal"/></w:pPr>
<w:r><w:t xml:space="preserve">springs.  In 102 B.C. its neighbourhood was the scene of</w:t></w:r>
</w:p>
<w:p>
<w:pPr><w:pStyle w:val="Normal"/></w:pPr>
<w:r><w:t xml:space="preserve">the defeat inflicted on the Cimbri and Teutones by Marius.</w:t></w:r>
</w:p>
<w:p>
<w:pPr><w:pStyle w:val="Normal"/></w:pPr>
<w:r><w:t xml:space="preserve">In the 4th century it became the metropolis of Narbonensis</w:t></w:r>
</w:p>
<w:p>
<w:pPr><w:pStyle w:val="Normal"/></w:pPr>
<w:r><w:t xml:space="preserve">Secunda.  It was occupied by the Visigoths in 477, in the</w:t></w:r>
</w:p>
<w:p>
<w:pPr><w:pStyle w:val="Normal"/></w:pPr>
<w:r><w:t xml:space="preserve">succeeding century was repeatedly plundered by the Franks</w:t></w:r>
</w:p>
<w:p>
<w:pPr><w:pStyle w:val="Normal"/></w:pPr>
<w:r><w:t xml:space="preserve">and Lombards, and was occupied by the Saracens in 731. Aix,</w:t></w:r>
</w:p>
<w:p>
<w:pPr><w:pStyle w:val="Normal"/></w:pPr>
<w:r><w:t xml:space="preserve">which during the middle ages was the capital of the county</w:t></w:r>
</w:p>
<w:p>
<w:pPr><w:pStyle w:val="Normal"/></w:pPr>
<w:r><w:t xml:space="preserve">of Provence, did not reach its zenith until after the 12th</w:t></w:r>
</w:p>
<w:p>
<w:pPr><w:pStyle w:val="Normal"/></w:pPr>
<w:r><w:t xml:space="preserve">century, when, under the houses of Aragon and Anjou, it became</w:t></w:r>
</w:p>
<w:p>
<w:pPr><w:pStyle w:val="Normal"/></w:pPr>
<w:r><w:t xml:space="preserve">an artistic centre and seat of learning.  With the rest of</w:t></w:r>
</w:p>
<w:p>
<w:pPr><w:pStyle w:val="Normal"/></w:pPr>
<w:r><w:t xml:space="preserve">Provence, it passed to the crown of France in 1487, and in</w:t></w:r>
</w:p>
<w:p>
<w:pPr><w:pStyle w:val="Normal"/></w:pPr>
<w:r><w:t xml:space="preserve">1501 Louis XII. established there the parlement of Provence</w:t></w:r>
</w:p>
<w:p>
<w:pPr><w:pStyle w:val="Normal"/></w:pPr>
<w:r><w:t xml:space="preserve">which existed till 1789.  In the 17th and 18th centuries</w:t></w:r>
</w:p>
<w:p>
<w:pPr><w:pStyle w:val="Normal"/></w:pPr>
<w:r><w:t xml:space="preserve">the town was the seat of the intendance of Provence.</w:t></w:r>
</w:p>
<w:p>
<w:pPr><w:pStyle w:val="Normal"/></w:pPr>
<w:r><w:t xml:space="preserve">AIX-LA-CHAPELLE (Ger. Aachen, Dutch Aken), a city and</w:t></w:r>
</w:p>
<w:p>
<w:pPr><w:pStyle w:val="Normal"/></w:pPr>
<w:r><w:t xml:space="preserve">spa of Germany, in the kingdom of Prussia, situated in a</w:t></w:r>
</w:p>
<w:p>
<w:pPr><w:pStyle w:val="Normal"/></w:pPr>
<w:r><w:t xml:space="preserve">pleasant valley, 44 m.  W. of Cologne and contiguous to the</w:t></w:r>
</w:p>
<w:p>
<w:pPr><w:pStyle w:val="Normal"/></w:pPr>
<w:r><w:t xml:space="preserve">Belgian and Dutch frontiers, to which its municipal boundaries</w:t></w:r>
</w:p>
<w:p>
<w:pPr><w:pStyle w:val="Normal"/></w:pPr>
<w:r><w:t xml:space="preserve">extend.  Pop. (1885) 95,725; (1905) including Burtscheid,</w:t></w:r>
</w:p>
<w:p>
<w:pPr><w:pStyle w:val="Normal"/></w:pPr>
<w:r><w:t xml:space="preserve">143,906.  Its position, at the centre of direct railway</w:t></w:r>
</w:p>
<w:p>
<w:pPr><w:pStyle w:val="Normal"/></w:pPr>
<w:r><w:t xml:space="preserve">communications with Cologne and Dusseldorf respectively on</w:t></w:r>
</w:p>
<w:p>
<w:pPr><w:pStyle w:val="Normal"/></w:pPr>
<w:r><w:t xml:space="preserve">the E. and Liege-Brussels and Maestricht-Antwerp on the W.,</w:t></w:r>
</w:p>
<w:p>
<w:pPr><w:pStyle w:val="Normal"/></w:pPr>
<w:r><w:t xml:space="preserve">has favoured its rise to one of the most prosperous commerical</w:t></w:r>
</w:p>
<w:p>
<w:pPr><w:pStyle w:val="Normal"/></w:pPr>
<w:r><w:t xml:space="preserve">towns of Germany.  The city consists of the old inner town, the</w:t></w:r>
</w:p>
<w:p>
<w:pPr><w:pStyle w:val="Normal"/></w:pPr>
<w:r><w:t xml:space="preserve">former ramparts of which have been converted into promenades,</w:t></w:r>
</w:p>
<w:p>
<w:pPr><w:pStyle w:val="Normal"/></w:pPr>
<w:r><w:t xml:space="preserve">and the newer outer town and suburbs.  Of the ancient gates</w:t></w:r>
</w:p>
<w:p>
<w:pPr><w:pStyle w:val="Normal"/></w:pPr>
<w:r><w:t xml:space="preserve">but two remain, the Ponttor on the N.W. and the Marschiertor</w:t></w:r>
</w:p>
<w:p>
<w:pPr><w:pStyle w:val="Normal"/></w:pPr>
<w:r><w:t xml:space="preserve">on the S. Its general appearance is that rather of a spacious</w:t></w:r>
</w:p>
<w:p>
<w:pPr><w:pStyle w:val="Normal"/></w:pPr>
<w:r><w:t xml:space="preserve">modern, than of a medieval city full of historical associations.</w:t></w:r>
</w:p>
<w:p>
<w:pPr><w:pStyle w:val="Normal"/></w:pPr>
<w:r><w:t xml:space="preserve">Of the cluster of buildings in the centre, which are conspicuous</w:t></w:r>
</w:p>
<w:p>
<w:pPr><w:pStyle w:val="Normal"/></w:pPr>
<w:r><w:t xml:space="preserve">from afar, the town hall (Rathaus) and the cathedral are</w:t></w:r>
</w:p>
<w:p>
<w:pPr><w:pStyle w:val="Normal"/></w:pPr>
<w:r><w:t xml:space="preserve">specially noteworthy.  The former, standing on the south</w:t></w:r>
</w:p>
<w:p>
<w:pPr><w:pStyle w:val="Normal"/></w:pPr>
<w:r><w:t xml:space="preserve">side of the market square, is a Gothic structure, erected in</w:t></w:r>
</w:p>
<w:p>
<w:pPr><w:pStyle w:val="Normal"/></w:pPr>
<w:r><w:t xml:space="preserve">1353-1370 on the ruins of Charlemagne&apos;s palace.  It contains</w:t></w:r>
</w:p>
<w:p>
<w:pPr><w:pStyle w:val="Normal"/></w:pPr>
<w:r><w:t xml:space="preserve">the magnificent coronation hall of the emperors (143 ft.</w:t></w:r>
</w:p>
<w:p>
<w:pPr><w:pStyle w:val="Normal"/></w:pPr>
<w:r><w:t xml:space="preserve">by 61 ft.), in which thirty-five German kings and eleven</w:t></w:r>
</w:p>
<w:p>
<w:pPr><w:pStyle w:val="Normal"/></w:pPr>
<w:r><w:t xml:space="preserve">queens have banqueted after the coronation ceremony in the</w:t></w:r>
</w:p>
<w:p>
<w:pPr><w:pStyle w:val="Normal"/></w:pPr>
<w:r><w:t xml:space="preserve">cathedral.  The two ancient towers, the Granusturm to the</w:t></w:r>
</w:p>
<w:p>
<w:pPr><w:pStyle w:val="Normal"/></w:pPr>
<w:r><w:t xml:space="preserve">W. and the Glockenturm to the E., both of which to a large</w:t></w:r>
</w:p>
<w:p>
<w:pPr><w:pStyle w:val="Normal"/></w:pPr>
<w:r><w:t xml:space="preserve">extent had formed part of the Carolingian palace, were all</w:t></w:r>
</w:p>
<w:p>
<w:pPr><w:pStyle w:val="Normal"/></w:pPr>
<w:r><w:t xml:space="preserve">but destroyed in the fire by which the Rathaus was seriously</w:t></w:r>
</w:p>
<w:p>
<w:pPr><w:pStyle w:val="Normal"/></w:pPr>
<w:r><w:t xml:space="preserve">damaged in 1883.  Their restoration was completed in</w:t></w:r>
</w:p>
<w:p>
<w:pPr><w:pStyle w:val="Normal"/></w:pPr>
<w:r><w:t xml:space="preserve">1902.  Behind the Rathaus is the Grashaus, in which Richard</w:t></w:r>
</w:p>
<w:p>
<w:pPr><w:pStyle w:val="Normal"/></w:pPr>
<w:r><w:t xml:space="preserve">of Cornwall, king of the Romans, is said to have held his</w:t></w:r>
</w:p>
<w:p>
<w:pPr><w:pStyle w:val="Normal"/></w:pPr>
<w:r><w:t xml:space="preserve">court.  It was restored in 1889 to accommodate the municipal</w:t></w:r>
</w:p>
<w:p>
<w:pPr><w:pStyle w:val="Normal"/></w:pPr>
<w:r><w:t xml:space="preserve">archives.  The cathedral is of great historic and architectural</w:t></w:r>
</w:p>
<w:p>
<w:pPr><w:pStyle w:val="Normal"/></w:pPr>
<w:r><w:t xml:space="preserve">interest.  Apart from the spire, which was rebuilt in 1884, it</w:t></w:r>
</w:p>
<w:p>
<w:pPr><w:pStyle w:val="Normal"/></w:pPr>
<w:r><w:t xml:space="preserve">consists of two parts of different styles and date.  The older</w:t></w:r>
</w:p>
<w:p>
<w:pPr><w:pStyle w:val="Normal"/></w:pPr>
<w:r><w:t xml:space="preserve">portion, the capella in palatio, an octagonal building</w:t></w:r>
</w:p>
<w:p>
<w:pPr><w:pStyle w:val="Normal"/></w:pPr>
<w:r><w:t xml:space="preserve">surmounted by a dome, was designed on the model of San Vitale</w:t></w:r>
</w:p>
<w:p>
<w:pPr><w:pStyle w:val="Normal"/></w:pPr>
<w:r><w:t xml:space="preserve">at Ravenna by Udo of Metz, was begun under Charlemagne&apos;s</w:t></w:r>
</w:p>
<w:p>
<w:pPr><w:pStyle w:val="Normal"/></w:pPr>
<w:r><w:t xml:space="preserve">auspices in 796 and consecrated by Pope Leo III. in 805.</w:t></w:r>
</w:p>
<w:p>
<w:pPr><w:pStyle w:val="Normal"/></w:pPr>
<w:r><w:t xml:space="preserve">After being almost entirely wrecked by Norman raiders it was</w:t></w:r>
</w:p>
<w:p>
<w:pPr><w:pStyle w:val="Normal"/></w:pPr>
<w:r><w:t xml:space="preserve">rebuilt, on the original lines, in 983, by the emperor Otto</w:t></w:r>
</w:p>
<w:p>
<w:pPr><w:pStyle w:val="Heading1"/></w:pPr>
<w:r><w:t>III. It is surrounded on the first story by a sixteen-sided</w:t></w:r>
</w:p>
<w:p>
<w:pPr><w:pStyle w:val="Normal"/></w:pPr>
<w:r><w:t xml:space="preserve">gallery (the Hochmunster) adorned by antique marble and</w:t></w:r>
</w:p>
<w:p>
<w:pPr><w:pStyle w:val="Normal"/></w:pPr>
<w:r><w:t xml:space="preserve">granite columns, of various sizes, brought by Charlemagne&apos;s</w:t></w:r>
</w:p>
<w:p>
<w:pPr><w:pStyle w:val="Normal"/></w:pPr>
<w:r><w:t xml:space="preserve">orders from Rome, Ravenna and Trier.  These were removed by</w:t></w:r>
</w:p>
<w:p>
<w:pPr><w:pStyle w:val="Normal"/></w:pPr>
<w:r><w:t xml:space="preserve">Napoleon to Paris, but restored to their original positions</w:t></w:r>
</w:p>
<w:p>
<w:pPr><w:pStyle w:val="Normal"/></w:pPr>
<w:r><w:t xml:space="preserve">after the peace of 1815.  The mosaic representing Christ</w:t></w:r>
</w:p>
<w:p>
<w:pPr><w:pStyle w:val="Normal"/></w:pPr>
<w:r><w:t xml:space="preserve">surrounded by ``the four-and-twenty elders,&apos;&apos; which originally</w:t></w:r>
</w:p>
<w:p>
<w:pPr><w:pStyle w:val="Normal"/></w:pPr>
<w:r><w:t xml:space="preserve">lined the cupola, had almost entirely perished by the 19th</w:t></w:r>
</w:p>
<w:p>
<w:pPr><w:pStyle w:val="Normal"/></w:pPr>
<w:r><w:t xml:space="preserve">century, but was re-stored in 1882 from a copy made in the 17th</w:t></w:r>
</w:p>
<w:p>
<w:pPr><w:pStyle w:val="Normal"/></w:pPr>
<w:r><w:t xml:space="preserve">century.  Interesting too are the magnificent west doors,</w:t></w:r>
</w:p>
<w:p>
<w:pPr><w:pStyle w:val="Normal"/></w:pPr>
<w:r><w:t xml:space="preserve">cast in bronze by native workmen in 804. Underneath the dome,</w:t></w:r>
</w:p>
<w:p>
<w:pPr><w:pStyle w:val="Normal"/></w:pPr>
<w:r><w:t xml:space="preserve">according to tradition, was the tomb of Charlemagne, which, on</w:t></w:r>
</w:p>
<w:p>
<w:pPr><w:pStyle w:val="Normal"/></w:pPr>
<w:r><w:t xml:space="preserve">being opened by Otto III. in 1000, disclosed the body of the</w:t></w:r>
</w:p>
<w:p>
<w:pPr><w:pStyle w:val="Normal"/></w:pPr>
<w:r><w:t xml:space="preserve">emperor, vested in white coronation robes and seated on a marble</w:t></w:r>
</w:p>
<w:p>
<w:pPr><w:pStyle w:val="Normal"/></w:pPr>
<w:r><w:t xml:space="preserve">chair.  This chair, now placed in the gallery referred to,</w:t></w:r>
</w:p>
<w:p>
<w:pPr><w:pStyle w:val="Normal"/></w:pPr>
<w:r><w:t xml:space="preserve">was used for centuries in the imperial coronation ceremonies.</w:t></w:r>
</w:p>
<w:p>
<w:pPr><w:pStyle w:val="Normal"/></w:pPr>
<w:r><w:t xml:space="preserve">The site of the tomb is marked by a stone slab, with the</w:t></w:r>
</w:p>
<w:p>
<w:pPr><w:pStyle w:val="Normal"/></w:pPr>
<w:r><w:t xml:space="preserve">inscription Carlo Magno; and above it hangs the famous bronze</w:t></w:r>
</w:p>
<w:p>
<w:pPr><w:pStyle w:val="Normal"/></w:pPr>
<w:r><w:t xml:space="preserve">chandelier presented by the emperor Frederick I. (Barbarossa) in</w:t></w:r>
</w:p>
<w:p>
<w:pPr><w:pStyle w:val="Normal"/></w:pPr>
<w:r><w:t xml:space="preserve">1168.  Charlemagne&apos;s bones are preserved in an ornate shrine in</w:t></w:r>
</w:p>
<w:p>
<w:pPr><w:pStyle w:val="Normal"/></w:pPr>
<w:r><w:t xml:space="preserve">the Hungarian Chapel, lying to the north of the octagon.  The</w:t></w:r>
</w:p>
<w:p>
<w:pPr><w:pStyle w:val="Normal"/></w:pPr>
<w:r><w:t xml:space="preserve">casket was opened in 1906, at the instance of the emperor William</w:t></w:r>
</w:p>
<w:p>
<w:pPr><w:pStyle w:val="Normal"/></w:pPr>
<w:r><w:t xml:space="preserve">II., and the draperies enclosing the body were temporarily</w:t></w:r>
</w:p>
<w:p>
<w:pPr><w:pStyle w:val="Normal"/></w:pPr>
<w:r><w:t xml:space="preserve">removed to Berlin, with a view to the reproduction of similar</w:t></w:r>
</w:p>
<w:p>
<w:pPr><w:pStyle w:val="Normal"/></w:pPr>
<w:r><w:t xml:space="preserve">cloth.  The Gothic choir, forming the more modern portion</w:t></w:r>
</w:p>
<w:p>
<w:pPr><w:pStyle w:val="Normal"/></w:pPr>
<w:r><w:t xml:space="preserve">of the cathedral, was added during the latter half of the</w:t></w:r>
</w:p>
<w:p>
<w:pPr><w:pStyle w:val="Normal"/></w:pPr>
<w:r><w:t xml:space="preserve">14th and the beginning of the 15th century, and contains the</w:t></w:r>
</w:p>
<w:p>
<w:pPr><w:pStyle w:val="Normal"/></w:pPr>
<w:r><w:t xml:space="preserve">tomb of the emperor Otto III. The cathedral possesses many</w:t></w:r>
</w:p>
<w:p>
<w:pPr><w:pStyle w:val="Normal"/></w:pPr>
<w:r><w:t xml:space="preserve">relics, the more sacred of which are exhibited only once every</w:t></w:r>
</w:p>
<w:p>
<w:pPr><w:pStyle w:val="Normal"/></w:pPr>
<w:r><w:t xml:space="preserve">seven years, when they attract large crowds of worshippers.</w:t></w:r>
</w:p>
<w:p>
<w:pPr><w:pStyle w:val="Normal"/></w:pPr>
<w:r><w:t xml:space="preserve">Of the other thirty-three churches in the city those of St</w:t></w:r>
</w:p>
<w:p>
<w:pPr><w:pStyle w:val="Normal"/></w:pPr>
<w:r><w:t xml:space="preserve">Foillan (founded in the 12th century, but twice rebuilt,</w:t></w:r>
</w:p>
<w:p>
<w:pPr><w:pStyle w:val="Normal"/></w:pPr>
<w:r><w:t xml:space="preserve">in the 15th and 17th centuries, and restored in 1883) and</w:t></w:r>
</w:p>
<w:p>
<w:pPr><w:pStyle w:val="Normal"/></w:pPr>
<w:r><w:t xml:space="preserve">St Paul, with its beautiful stained-glass windows, are</w:t></w:r>
</w:p>
<w:p>
<w:pPr><w:pStyle w:val="Normal"/></w:pPr>
<w:r><w:t xml:space="preserve">remarkable.  In addition to those already mentioned,</w:t></w:r>
</w:p>
<w:p>
<w:pPr><w:pStyle w:val="Normal"/></w:pPr>
<w:r><w:t xml:space="preserve">Aix-la-Chapelle possesses several fine secular buildings:</w:t></w:r>
</w:p>
<w:p>
<w:pPr><w:pStyle w:val="Normal"/></w:pPr>
<w:r><w:t xml:space="preserve">the Suermondt museum, containing besides other miscellaneous</w:t></w:r>
</w:p>
<w:p>
<w:pPr><w:pStyle w:val="Normal"/></w:pPr>
<w:r><w:t xml:space="preserve">exhibits the fine collection of pictures by early German, Dutch</w:t></w:r>
</w:p>
<w:p>
<w:pPr><w:pStyle w:val="Normal"/></w:pPr>
<w:r><w:t xml:space="preserve">and Flemish masters, presented to the town by Bartholomaus</w:t></w:r>
</w:p>
<w:p>
<w:pPr><w:pStyle w:val="Normal"/></w:pPr>
<w:r><w:t xml:space="preserve">Suermondt (d. 1887); the public library; the theatre; the</w:t></w:r>
</w:p>
<w:p>
<w:pPr><w:pStyle w:val="Normal"/></w:pPr>
<w:r><w:t xml:space="preserve">post-office; and the fine new central railway station.</w:t></w:r>
</w:p>
<w:p>
<w:pPr><w:pStyle w:val="Normal"/></w:pPr>
<w:r><w:t xml:space="preserve">Among the schools may be mentioned the magnificently equipped</w:t></w:r>
</w:p>
<w:p>
<w:pPr><w:pStyle w:val="Normal"/></w:pPr>
<w:r><w:t xml:space="preserve">Rhenish-Westphalian Polytechnic School (built 1865-1870)</w:t></w:r>
</w:p>
<w:p>
<w:pPr><w:pStyle w:val="Normal"/></w:pPr>
<w:r><w:t xml:space="preserve">and the school of mining and electricity, founded in 1897.</w:t></w:r>
</w:p>
<w:p>
<w:pPr><w:pStyle w:val="Normal"/></w:pPr>
<w:r><w:t xml:space="preserve">There are many fine streets and squares and some handsome</w:t></w:r>
</w:p>
<w:p>
<w:pPr><w:pStyle w:val="Normal"/></w:pPr>
<w:r><w:t xml:space="preserve">public monuments, notably among the last the fountain on</w:t></w:r>
</w:p>
<w:p>
<w:pPr><w:pStyle w:val="Normal"/></w:pPr>
<w:r><w:t xml:space="preserve">the market square surmounted by a statue of Charlemagne, the</w:t></w:r>
</w:p>
<w:p>
<w:pPr><w:pStyle w:val="Normal"/></w:pPr>
<w:r><w:t xml:space="preserve">bronze equestrian statue of the emperor William I. facing the</w:t></w:r>
</w:p>
<w:p>
<w:pPr><w:pStyle w:val="Normal"/></w:pPr>
<w:r><w:t xml:space="preserve">theatre, the Kriegerdenkmal (a memorial to those who fell in</w:t></w:r>
</w:p>
<w:p>
<w:pPr><w:pStyle w:val="Normal"/></w:pPr>
<w:r><w:t xml:space="preserve">the war of 1870) and the Kongress-Denkmal, a marble hall in</w:t></w:r>
</w:p>
<w:p>
<w:pPr><w:pStyle w:val="Normal"/></w:pPr>
<w:r><w:t xml:space="preserve">antique style erected in 1844 on the Adalberts-Steinweg to</w:t></w:r>
</w:p>
<w:p>
<w:pPr><w:pStyle w:val="Normal"/></w:pPr>
<w:r><w:t xml:space="preserve">commemorate the famous congress of 1818 (see below).  Of the</w:t></w:r>
</w:p>
<w:p>
<w:pPr><w:pStyle w:val="Normal"/></w:pPr>
<w:r><w:t xml:space="preserve">squares, the principal is the Friedrich-Wilhelmplatz, on</w:t></w:r>
</w:p>
<w:p>
<w:pPr><w:pStyle w:val="Normal"/></w:pPr>
<w:r><w:t xml:space="preserve">which lies the Elisenbrunnen with its colonnade and garden,</w:t></w:r>
</w:p>
<w:p>
<w:pPr><w:pStyle w:val="Normal"/></w:pPr>
<w:r><w:t xml:space="preserve">the chief resort of visitors taking the baths and waters.</w:t></w:r>
</w:p>
<w:p>
<w:pPr><w:pStyle w:val="Normal"/></w:pPr>
<w:r><w:t xml:space="preserve">The hot sulphur springs of Aix-la-Chapelle were known to the</w:t></w:r>
</w:p>
<w:p>
<w:pPr><w:pStyle w:val="Normal"/></w:pPr>
<w:r><w:t xml:space="preserve">Romans and have been celebrated for centuries as specific</w:t></w:r>
</w:p>
<w:p>
<w:pPr><w:pStyle w:val="Normal"/></w:pPr>
<w:r><w:t xml:space="preserve">in the cure of rheumatism, gout and scrofulous disorders.</w:t></w:r>
</w:p>
<w:p>
<w:pPr><w:pStyle w:val="Normal"/></w:pPr>
<w:r><w:t xml:space="preserve">There are six in all, of which the Kaiserquelle, with a</w:t></w:r>
</w:p>
<w:p>
<w:pPr><w:pStyle w:val="Normal"/></w:pPr>
<w:r><w:t xml:space="preserve">temperature of 136 deg.  F., is the chief.  In the neighbouring</w:t></w:r>
</w:p>
<w:p>
<w:pPr><w:pStyle w:val="Normal"/></w:pPr>
<w:r><w:t xml:space="preserve">Burtscheid (incorporated in 1897 with Aix-la-Chapelle) are</w:t></w:r>
</w:p>
<w:p>
<w:pPr><w:pStyle w:val="Normal"/></w:pPr>
<w:r><w:t xml:space="preserve">also springs of far higher temperature, and this suburb, which</w:t></w:r>
</w:p>
<w:p>
<w:pPr><w:pStyle w:val="Normal"/></w:pPr>
<w:r><w:t xml:space="preserve">has also a Kurgarten, is largely frequented during the season.</w:t></w:r>
</w:p>
<w:p>
<w:pPr><w:pStyle w:val="Normal"/></w:pPr>
<w:r><w:t xml:space="preserve">In respect of trade and industry Aixda-Chapelle occupies a</w:t></w:r>
</w:p>
<w:p>
<w:pPr><w:pStyle w:val="Normal"/></w:pPr>
<w:r><w:t xml:space="preserve">high place.  Its cloth and silk manufactures are important,</w:t></w:r>
</w:p>
<w:p>
<w:pPr><w:pStyle w:val="Normal"/></w:pPr>
<w:r><w:t xml:space="preserve">and owing to the opening up of extensive coalfields in the</w:t></w:r>
</w:p>
<w:p>
<w:pPr><w:pStyle w:val="Normal"/></w:pPr>
<w:r><w:t xml:space="preserve">district almost every branch of iron industry is carried</w:t></w:r>
</w:p>
<w:p>
<w:pPr><w:pStyle w:val="Normal"/></w:pPr>
<w:r><w:t xml:space="preserve">on.  It has some large breweries and manufactories of</w:t></w:r>
</w:p>
<w:p>
<w:pPr><w:pStyle w:val="Normal"/></w:pPr>
<w:r><w:t xml:space="preserve">chemicals, and does a considerable trade in cereals,</w:t></w:r>
</w:p>
<w:p>
<w:pPr><w:pStyle w:val="Normal"/></w:pPr>
<w:r><w:t xml:space="preserve">leather, timber and wine.  It is also an important banking</w:t></w:r>
</w:p>
<w:p>
<w:pPr><w:pStyle w:val="Normal"/></w:pPr>
<w:r><w:t xml:space="preserve">centre and has several insurance societies of reputation.</w:t></w:r>
</w:p>
<w:p>
<w:pPr><w:pStyle w:val="Normal"/></w:pPr>
<w:r><w:t xml:space="preserve">The country immediately surrounding Aix-la-Chapelle presents</w:t></w:r>
</w:p>
<w:p>
<w:pPr><w:pStyle w:val="Normal"/></w:pPr>
<w:r><w:t xml:space="preserve">many attractive features.  From the Lousberg and the Salvatorberg</w:t></w:r>
</w:p>
<w:p>
<w:pPr><w:pStyle w:val="Normal"/></w:pPr>
<w:r><w:t xml:space="preserve">to the north, the latter crowned by a chapel, magnificent views</w:t></w:r>
</w:p>
<w:p>
<w:pPr><w:pStyle w:val="Normal"/></w:pPr>
<w:r><w:t xml:space="preserve">of the city are obtained; while covering the hills 2 m. west</w:t></w:r>
</w:p>
<w:p>
<w:pPr><w:pStyle w:val="Normal"/></w:pPr>
<w:r><w:t xml:space="preserve">stretches the Stadtwald, a forest with charming walks and drives.</w:t></w:r>
</w:p>
<w:p>
<w:pPr><w:pStyle w:val="Normal"/></w:pPr>
<w:r><w:t xml:space="preserve">History.---Aix-la-Chapelle is the Aquisgranum of the Romans,</w:t></w:r>
</w:p>
<w:p>
<w:pPr><w:pStyle w:val="Normal"/></w:pPr>
<w:r><w:t xml:space="preserve">named after Apollo Granus, who was worshipped in connexion</w:t></w:r>
</w:p>
<w:p>
<w:pPr><w:pStyle w:val="Normal"/></w:pPr>
<w:r><w:t xml:space="preserve">with hot springs.  As early as A.D. 765 King Pippin had a</w:t></w:r>
</w:p>
<w:p>
<w:pPr><w:pStyle w:val="Normal"/></w:pPr>
<w:r><w:t xml:space="preserve">``palace&apos;&apos; here, in which it is probable that Charlemagne was</w:t></w:r>
</w:p>
<w:p>
<w:pPr><w:pStyle w:val="Normal"/></w:pPr>
<w:r><w:t xml:space="preserve">born.  The greatness of Aix was due to the latter, who between</w:t></w:r>
</w:p>
<w:p>
<w:pPr><w:pStyle w:val="Normal"/></w:pPr>
<w:r><w:t xml:space="preserve">777 and 786 built a magnificent palace on the site of that of</w:t></w:r>
</w:p>
<w:p>
<w:pPr><w:pStyle w:val="Normal"/></w:pPr>
<w:r><w:t xml:space="preserve">his father, raised the place to the rank of the second city</w:t></w:r>
</w:p>
<w:p>
<w:pPr><w:pStyle w:val="Normal"/></w:pPr>
<w:r><w:t xml:space="preserve">of the empire, and made it for a while the centre of Western</w:t></w:r>
</w:p>
<w:p>
<w:pPr><w:pStyle w:val="Normal"/></w:pPr>
<w:r><w:t xml:space="preserve">culture and learning.  From the coronation of Louis the Pious</w:t></w:r>
</w:p>
<w:p>
<w:pPr><w:pStyle w:val="Normal"/></w:pPr>
<w:r><w:t xml:space="preserve">in 813 until that of Ferdinand I. in 1531 the sacring of the</w:t></w:r>
</w:p>
<w:p>
<w:pPr><w:pStyle w:val="Normal"/></w:pPr>
<w:r><w:t xml:space="preserve">German kings took place at Aix, and as many as thirty-two</w:t></w:r>
</w:p>
<w:p>
<w:pPr><w:pStyle w:val="Normal"/></w:pPr>
<w:r><w:t xml:space="preserve">emperors and kings were here crowned.  In 851, and again in</w:t></w:r>
</w:p>
<w:p>
<w:pPr><w:pStyle w:val="Normal"/></w:pPr>
<w:r><w:t xml:space="preserve">882, the place was ravaged by the Northmen in their raids up the</w:t></w:r>
</w:p>
<w:p>
<w:pPr><w:pStyle w:val="Normal"/></w:pPr>
<w:r><w:t xml:space="preserve">Rhine.  It was not, however, till late in the 12th century</w:t></w:r>
</w:p>
<w:p>
<w:pPr><w:pStyle w:val="Normal"/></w:pPr>
<w:r><w:t xml:space="preserve">(1172-1176) that the city was surrounded with walls by order of</w:t></w:r>
</w:p>
<w:p>
<w:pPr><w:pStyle w:val="Normal"/></w:pPr>
<w:r><w:t xml:space="preserve">the emperor Frederick I., to whom (in 1166) and to his grandson</w:t></w:r>
</w:p>
<w:p>
<w:pPr><w:pStyle w:val="Normal"/></w:pPr>
<w:r><w:t xml:space="preserve">Frederick II. (in 1215) it owed its first important civic</w:t></w:r>
</w:p>
<w:p>
<w:pPr><w:pStyle w:val="Normal"/></w:pPr>
<w:r><w:t xml:space="preserve">rights.  These were still further extended in 1250 by the</w:t></w:r>
</w:p>
<w:p>
<w:pPr><w:pStyle w:val="Normal"/></w:pPr>
<w:r><w:t xml:space="preserve">anti-Caesar William of Holland, who had made himself master of</w:t></w:r>
</w:p>
<w:p>
<w:pPr><w:pStyle w:val="Normal"/></w:pPr>
<w:r><w:t xml:space="preserve">the place and of the imperial regalia, after a long siege, in</w:t></w:r>
</w:p>
<w:p>
<w:pPr><w:pStyle w:val="Normal"/></w:pPr>
<w:r><w:t xml:space="preserve">1248.  The liberties of the burghers were, however, still</w:t></w:r>
</w:p>
<w:p>
<w:pPr><w:pStyle w:val="Normal"/></w:pPr>
<w:r><w:t xml:space="preserve">restrained by the presence of a royal advocatus (Vogt) and</w:t></w:r>
</w:p>
<w:p>
<w:pPr><w:pStyle w:val="Normal"/></w:pPr>
<w:r><w:t xml:space="preserve">bailiff.  In 1300 the outer ring of walls was completed,</w:t></w:r>
</w:p>
<w:p>
<w:pPr><w:pStyle w:val="Normal"/></w:pPr>
<w:r><w:t xml:space="preserve">the earlier circumvallation being marked by the limit of the</w:t></w:r>
</w:p>
<w:p>
<w:pPr><w:pStyle w:val="Normal"/></w:pPr>
<w:r><w:t xml:space="preserve">Altstadt (old city).  In the 14th century Aix, now a free city</w:t></w:r>
</w:p>
<w:p>
<w:pPr><w:pStyle w:val="Normal"/></w:pPr>
<w:r><w:t xml:space="preserve">of the Holy Roman Empire, played a conspicuous part, especially</w:t></w:r>
</w:p>
<w:p>
<w:pPr><w:pStyle w:val="Normal"/></w:pPr>
<w:r><w:t xml:space="preserve">in the league which, between 1351 and 1387, kept the peace</w:t></w:r>
</w:p>
<w:p>
<w:pPr><w:pStyle w:val="Normal"/></w:pPr>
<w:r><w:t xml:space="preserve">between the Meuse and the Rhine.  In 1450 an insurrection</w:t></w:r>
</w:p>
<w:p>
<w:pPr><w:pStyle w:val="Normal"/></w:pPr>
<w:r><w:t xml:space="preserve">led to the admission of the gilds to a share in the municipal</w:t></w:r>
</w:p>
<w:p>
<w:pPr><w:pStyle w:val="Normal"/></w:pPr>
<w:r><w:t xml:space="preserve">government.  In the 16th century Aix began to decline in</w:t></w:r>
</w:p>
<w:p>
<w:pPr><w:pStyle w:val="Normal"/></w:pPr>
<w:r><w:t xml:space="preserve">importance and prosperity.  It lay too near the French frontier</w:t></w:r>
</w:p>
<w:p>
<w:pPr><w:pStyle w:val="Normal"/></w:pPr>
<w:r><w:t xml:space="preserve">to be safe. and too remote from the centre of Germany to</w:t></w:r>
</w:p>
<w:p>
<w:pPr><w:pStyle w:val="Normal"/></w:pPr>
<w:r><w:t xml:space="preserve">be convenient, as a capital; and in 1562 the election and</w:t></w:r>
</w:p>
<w:p>
<w:pPr><w:pStyle w:val="Normal"/></w:pPr>
<w:r><w:t xml:space="preserve">coronation of Maximilian II. took place at Frankfort-on-Main,</w:t></w:r>
</w:p>
<w:p>
<w:pPr><w:pStyle w:val="Normal"/></w:pPr>
<w:r><w:t xml:space="preserve">a precedent followed till the extinction of the Empire.  The</w:t></w:r>
</w:p>
<w:p>
<w:pPr><w:pStyle w:val="Normal"/></w:pPr>
<w:r><w:t xml:space="preserve">Reformation, too, brought its troubles.  In 1580 Protestantism</w:t></w:r>
</w:p>
<w:p>
<w:pPr><w:pStyle w:val="Normal"/></w:pPr>
<w:r><w:t xml:space="preserve">got the upper hand; the ban of the empire followed and was</w:t></w:r>
</w:p>
<w:p>
<w:pPr><w:pStyle w:val="Normal"/></w:pPr>
<w:r><w:t xml:space="preserve">executed by Ernest of Bavaria, archbishop-elector of Cologne in</w:t></w:r>
</w:p>
<w:p>
<w:pPr><w:pStyle w:val="Normal"/></w:pPr>
<w:r><w:t xml:space="preserve">1598.  A relapse of the city led to a new ban of the emperor</w:t></w:r>
</w:p>
<w:p>
<w:pPr><w:pStyle w:val="Normal"/></w:pPr>
<w:r><w:t xml:space="preserve">Matthias in 1613, and in the following year Spinola&apos;s Spanish</w:t></w:r>
</w:p>
<w:p>
<w:pPr><w:pStyle w:val="Normal"/></w:pPr>
<w:r><w:t xml:space="preserve">troops brought back the recalcitrant city to the Catholic</w:t></w:r>
</w:p>
<w:p>
<w:pPr><w:pStyle w:val="Normal"/></w:pPr>
<w:r><w:t xml:space="preserve">fold.  In 1656 a great fire completed the ruin wrought by the</w:t></w:r>
</w:p>
<w:p>
<w:pPr><w:pStyle w:val="Normal"/></w:pPr>
<w:r><w:t xml:space="preserve">religious wars.  By the treaty of Luneville (1801) Aix was</w:t></w:r>
</w:p>
<w:p>
<w:pPr><w:pStyle w:val="Normal"/></w:pPr>
<w:r><w:t xml:space="preserve">incorporated with France as chief town of the department of the</w:t></w:r>
</w:p>
<w:p>
<w:pPr><w:pStyle w:val="Normal"/></w:pPr>
<w:r><w:t xml:space="preserve">Roer.  By the congress of Vienna it was given to Prussia.  The</w:t></w:r>
</w:p>
<w:p>
<w:pPr><w:pStyle w:val="Normal"/></w:pPr>
<w:r><w:t xml:space="preserve">contrast between the new regime and the ancient tradition of</w:t></w:r>
</w:p>
<w:p>
<w:pPr><w:pStyle w:val="Normal"/></w:pPr>
<w:r><w:t xml:space="preserve">the city was curiously illustrated in 1818 by a scene described</w:t></w:r>
</w:p>
<w:p>
<w:pPr><w:pStyle w:val="Normal"/></w:pPr>
<w:r><w:t xml:space="preserve">in Metternich&apos;s Memoirs, when, before the opening of the</w:t></w:r>
</w:p>
<w:p>
<w:pPr><w:pStyle w:val="Normal"/></w:pPr>
<w:r><w:t xml:space="preserve">congress, Francis I., emperor of Austria, regarded by all Germany</w:t></w:r>
</w:p>
<w:p>
<w:pPr><w:pStyle w:val="Normal"/></w:pPr>
<w:r><w:t xml:space="preserve">as the successor of the Holy Roman emperors, knelt at the tomb</w:t></w:r>
</w:p>
<w:p>
<w:pPr><w:pStyle w:val="Normal"/></w:pPr>
<w:r><w:t xml:space="preserve">of Charlemagne amid a worshipping crowd, while the Protestant</w:t></w:r>
</w:p>
<w:p>
<w:pPr><w:pStyle w:val="Normal"/></w:pPr>
<w:r><w:t xml:space="preserve">Frederick William III. of Prussia, the new sovereign of the</w:t></w:r>
</w:p>
<w:p>
<w:pPr><w:pStyle w:val="Normal"/></w:pPr>
<w:r><w:t xml:space="preserve">place, stood in the midst, ``looking very uncomfortable.&apos;&apos;</w:t></w:r>
</w:p>
<w:p>
<w:pPr><w:pStyle w:val="Normal"/></w:pPr>
<w:r><w:t xml:space="preserve">See Quix, Geschichte der Stadt Aachen (1841): Pick, Aus Aachens</w:t></w:r>
</w:p>
<w:p>
<w:pPr><w:pStyle w:val="Normal"/></w:pPr>
<w:r><w:t xml:space="preserve">Vergangenheit (Aachen, 1895); Bock, Karls des grossen Pfalzkapelle</w:t></w:r>
</w:p>
<w:p>
<w:pPr><w:pStyle w:val="Normal"/></w:pPr>
<w:r><w:t xml:space="preserve">(Cologne, 1867); and Beissel, Aachen als Kurort (1889).</w:t></w:r>
</w:p>
<w:p>
<w:pPr><w:pStyle w:val="Normal"/></w:pPr>
<w:r><w:t xml:space="preserve">AIX-LA-CHAPELLE, CONGRESSES OF. Three congresses have been held at</w:t></w:r>
</w:p>
<w:p>
<w:pPr><w:pStyle w:val="Normal"/></w:pPr>
<w:r><w:t xml:space="preserve">Aix-la-Chapelle: the first in 1668, the second in 1748, the third in 1818.</w:t></w:r>
</w:p>
<w:p>
<w:pPr><w:pStyle w:val="Normal"/></w:pPr>
<w:r><w:t xml:space="preserve">1. The treaty of the 2nd of May 1668, which put an end to</w:t></w:r>
</w:p>
<w:p>
<w:pPr><w:pStyle w:val="Normal"/></w:pPr>
<w:r><w:t xml:space="preserve">the War of Devolution, was the outcome of that of St Germain</w:t></w:r>
</w:p>
<w:p>
<w:pPr><w:pStyle w:val="Normal"/></w:pPr>
<w:r><w:t xml:space="preserve">signed on the 15th of April by France and the representatives</w:t></w:r>
</w:p>
<w:p>
<w:pPr><w:pStyle w:val="Normal"/></w:pPr>
<w:r><w:t xml:space="preserve">of the powers of the Triple Alliance.  The treaty of</w:t></w:r>
</w:p>
<w:p>
<w:pPr><w:pStyle w:val="Normal"/></w:pPr>
<w:r><w:t xml:space="preserve">Aix-la-Chapelle left to France all the conquests made in</w:t></w:r>
</w:p>
<w:p>
<w:pPr><w:pStyle w:val="Normal"/></w:pPr>
<w:r><w:t xml:space="preserve">Flanders during the campaign of 1667, with all their ``</w:t></w:r>
</w:p>
<w:p>
<w:pPr><w:pStyle w:val="Normal"/></w:pPr>
<w:r><w:t xml:space="preserve">appartenances, dependances et annexes.&apos;&apos; a vague provision</w:t></w:r>
</w:p>
<w:p>
<w:pPr><w:pStyle w:val="Normal"/></w:pPr>
<w:r><w:t xml:space="preserve">of which, after the peace of Nijmwegen (1680), Louis XIV. took</w:t></w:r>
</w:p>
<w:p>
<w:pPr><w:pStyle w:val="Normal"/></w:pPr>
<w:r><w:t xml:space="preserve">advantage to occupy a number of villages and towns adjudged</w:t></w:r>
</w:p>
<w:p>
<w:pPr><w:pStyle w:val="Normal"/></w:pPr>
<w:r><w:t xml:space="preserve">to him by his Chambres de reunion as dependencies of the</w:t></w:r>
</w:p>
<w:p>
<w:pPr><w:pStyle w:val="Normal"/></w:pPr>
<w:r><w:t xml:space="preserve">cities and territories acquired in 1668.  On the other hand,</w:t></w:r>
</w:p>
<w:p>
<w:pPr><w:pStyle w:val="Normal"/></w:pPr>
<w:r><w:t xml:space="preserve">France restored to Spain the cities of Cambrai, Aire and</w:t></w:r>
</w:p>
<w:p>
<w:pPr><w:pStyle w:val="Normal"/></w:pPr>
<w:r><w:t xml:space="preserve">Saint-Omer, as well as the province of Franche Comte.  The</w:t></w:r>
</w:p>
<w:p>
<w:pPr><w:pStyle w:val="Normal"/></w:pPr>
<w:r><w:t xml:space="preserve">treaty of Aix-la-Chapelle was placed under the guarantee of</w:t></w:r>
</w:p>
<w:p>
<w:pPr><w:pStyle w:val="Normal"/></w:pPr>
<w:r><w:t xml:space="preserve">Great Britain, Sweden and Holland, by a convention signed</w:t></w:r>
</w:p>
<w:p>
<w:pPr><w:pStyle w:val="Normal"/></w:pPr>
<w:r><w:t xml:space="preserve">at the Hague on the 7th of May 1669, to which Spain acceded.</w:t></w:r>
</w:p>
<w:p>
<w:pPr><w:pStyle w:val="Normal"/></w:pPr>
<w:r><w:t xml:space="preserve">See Jean du Mont, baron de Carlscroon, Corps</w:t></w:r>
</w:p>
<w:p>
<w:pPr><w:pStyle w:val="Normal"/></w:pPr>
<w:r><w:t xml:space="preserve">universel diplomatique (Amst., 1726-1731).</w:t></w:r>
</w:p>
<w:p>
<w:pPr><w:pStyle w:val="Normal"/></w:pPr>
<w:r><w:t xml:space="preserve">2. On the 24th of April 1748 a congress assembled at</w:t></w:r>
</w:p>
<w:p>
<w:pPr><w:pStyle w:val="Normal"/></w:pPr>
<w:r><w:t xml:space="preserve">Aix-la-Chapelle for the purpose of bringing to a conclusion</w:t></w:r>
</w:p>
<w:p>
<w:pPr><w:pStyle w:val="Normal"/></w:pPr>
<w:r><w:t xml:space="preserve">the struggle known as the War of Austrian Succession.  Between</w:t></w:r>
</w:p>
<w:p>
<w:pPr><w:pStyle w:val="Normal"/></w:pPr>
<w:r><w:t xml:space="preserve">the 30th of April and the 21st of May the preliminaries were</w:t></w:r>
</w:p>
<w:p>
<w:pPr><w:pStyle w:val="Normal"/></w:pPr>
<w:r><w:t xml:space="preserve">agreed to between Great Britain, France and Holland, and to</w:t></w:r>
</w:p>
<w:p>
<w:pPr><w:pStyle w:val="Normal"/></w:pPr>
<w:r><w:t xml:space="preserve">these Maria Theresa, queen of Bohemia and Hungary, the kings</w:t></w:r>
</w:p>
<w:p>
<w:pPr><w:pStyle w:val="Normal"/></w:pPr>
<w:r><w:t xml:space="preserve">of Sardinia and Spain, the duke of Modena, and the republic</w:t></w:r>
</w:p>
<w:p>
<w:pPr><w:pStyle w:val="Normal"/></w:pPr>
<w:r><w:t xml:space="preserve">of Genoa successively gave their adhesion.  The definitive</w:t></w:r>
</w:p>
<w:p>
<w:pPr><w:pStyle w:val="Normal"/></w:pPr>
<w:r><w:t xml:space="preserve">treaty was signed on the 18th of October, Sardinia alone</w:t></w:r>
</w:p>
<w:p>
<w:pPr><w:pStyle w:val="Normal"/></w:pPr>
<w:r><w:t xml:space="preserve">refusing to accede, because the treaty of Worms was not</w:t></w:r>
</w:p>
<w:p>
<w:pPr><w:pStyle w:val="Normal"/></w:pPr>
<w:r><w:t xml:space="preserve">guaranteed.  Of the provisions of the treaty of Aix-la-Chapelle</w:t></w:r>
</w:p>
<w:p>
<w:pPr><w:pStyle w:val="Normal"/></w:pPr>
<w:r><w:t xml:space="preserve">the most important were those stipulating for (1) a general</w:t></w:r>
</w:p>
<w:p>
<w:pPr><w:pStyle w:val="Normal"/></w:pPr>
<w:r><w:t xml:space="preserve">restitution of conquests, including Cape Breton to France,</w:t></w:r>
</w:p>
<w:p>
<w:pPr><w:pStyle w:val="Normal"/></w:pPr>
<w:r><w:t xml:space="preserve">Madras to England and the barrier towns to the Dutch; (2) the</w:t></w:r>
</w:p>
<w:p>
<w:pPr><w:pStyle w:val="Normal"/></w:pPr>
<w:r><w:t xml:space="preserve">assignment to Don Philip of the duchies of Parma, Piacenza and</w:t></w:r>
</w:p>
<w:p>
<w:pPr><w:pStyle w:val="Normal"/></w:pPr>
<w:r><w:t xml:space="preserve">Guastalla; (3) the restoration of the duke of Modena and the</w:t></w:r>
</w:p>
<w:p>
<w:pPr><w:pStyle w:val="Normal"/></w:pPr>
<w:r><w:t xml:space="preserve">republic of Genoa to their former positions; (4) the renewal</w:t></w:r>
</w:p>
<w:p>
<w:pPr><w:pStyle w:val="Normal"/></w:pPr>
<w:r><w:t xml:space="preserve">in favour of Great Britain of the Asiento contract of the 16th</w:t></w:r>
</w:p>
<w:p>
<w:pPr><w:pStyle w:val="Normal"/></w:pPr>
<w:r><w:t xml:space="preserve">of March 1713, and of the right to send an annual vessel to</w:t></w:r>
</w:p>
<w:p>
<w:pPr><w:pStyle w:val="Normal"/></w:pPr>
<w:r><w:t xml:space="preserve">the Spanish colonies; (5) the renewal of the article of the</w:t></w:r>
</w:p>
<w:p>
<w:pPr><w:pStyle w:val="Normal"/></w:pPr>
<w:r><w:t xml:space="preserve">treaty of 1718 recognizing the Protestant succession in the</w:t></w:r>
</w:p>
<w:p>
<w:pPr><w:pStyle w:val="Normal"/></w:pPr>
<w:r><w:t xml:space="preserve">English throne; (6) the recognition of the emperor Francis and</w:t></w:r>
</w:p>
<w:p>
<w:pPr><w:pStyle w:val="Normal"/></w:pPr>
<w:r><w:t xml:space="preserve">the confirmation of the pragmatic sanction, i.e. of the right</w:t></w:r>
</w:p>
<w:p>
<w:pPr><w:pStyle w:val="Normal"/></w:pPr>
<w:r><w:t xml:space="preserve">of Maria Theresa to the Habsburg succession; (7) the guarantee</w:t></w:r>
</w:p>
<w:p>
<w:pPr><w:pStyle w:val="Normal"/></w:pPr>
<w:r><w:t xml:space="preserve">to Prussia of the duchy of Silesia and the county of Glatz.</w:t></w:r>
</w:p>
<w:p>
<w:pPr><w:pStyle w:val="Normal"/></w:pPr>
<w:r><w:t xml:space="preserve">Spain having raised objections to the Asiento clauses, the</w:t></w:r>
</w:p>
<w:p>
<w:pPr><w:pStyle w:val="Normal"/></w:pPr>
<w:r><w:t xml:space="preserve">treaty of Aix-la-Chapelle was supplemented by that of Madrid</w:t></w:r>
</w:p>
<w:p>
<w:pPr><w:pStyle w:val="Normal"/></w:pPr>
<w:r><w:t xml:space="preserve">(5th of October 1750), by which Great Britain surrendered</w:t></w:r>
</w:p>
<w:p>
<w:pPr><w:pStyle w:val="Normal"/></w:pPr>
<w:r><w:t xml:space="preserve">her claims under those clauses in return for a sum of</w:t></w:r>
</w:p>
<w:p>
<w:pPr><w:pStyle w:val="Heading1"/></w:pPr>
<w:r><w:t>L. 100,000.  II.See A. J. H. de Clercq, Recueil des traites</w:t></w:r>
</w:p>
<w:p>
<w:pPr><w:pStyle w:val="Normal"/></w:pPr>
<w:r><w:t xml:space="preserve">de la France; F. A. Wenk, Corpus juris gentium recentissimi,</w:t></w:r>
</w:p>
<w:p>
<w:pPr><w:pStyle w:val="Normal"/></w:pPr>
<w:r><w:t xml:space="preserve">1735-1772, vol. ii. (Leipzig, 1786), p. 337; Comte G. de</w:t></w:r>
</w:p>
<w:p>
<w:pPr><w:pStyle w:val="Normal"/></w:pPr>
<w:r><w:t xml:space="preserve">Garden, Hist. des traites de paix, 1848-1887, iii p. 373.</w:t></w:r>
</w:p>
<w:p>
<w:pPr><w:pStyle w:val="Normal"/></w:pPr>
<w:r><w:t xml:space="preserve">3. The congress or conference of Aix-la-Chapelle, held in the</w:t></w:r>
</w:p>
<w:p>
<w:pPr><w:pStyle w:val="Normal"/></w:pPr>
<w:r><w:t xml:space="preserve">autumn of 1818, was primarily a meeting of the four allied</w:t></w:r>
</w:p>
<w:p>
<w:pPr><w:pStyle w:val="Normal"/></w:pPr>
<w:r><w:t xml:space="preserve">powers--Great Britain, Austria, Prussia and Russia--to decide</w:t></w:r>
</w:p>
<w:p>
<w:pPr><w:pStyle w:val="Normal"/></w:pPr>
<w:r><w:t xml:space="preserve">the question of the withdrawal of the army of occupation from</w:t></w:r>
</w:p>
<w:p>
<w:pPr><w:pStyle w:val="Normal"/></w:pPr>
<w:r><w:t xml:space="preserve">France and the nature of the modifications to be introduced</w:t></w:r>
</w:p>
<w:p>
<w:pPr><w:pStyle w:val="Normal"/></w:pPr>
<w:r><w:t xml:space="preserve">in consequence into the relations of the four powers towards</w:t></w:r>
</w:p>
<w:p>
<w:pPr><w:pStyle w:val="Normal"/></w:pPr>
<w:r><w:t xml:space="preserve">each other, and collectively towards France.  The congress,</w:t></w:r>
</w:p>
<w:p>
<w:pPr><w:pStyle w:val="Normal"/></w:pPr>
<w:r><w:t xml:space="preserve">of which the first session was held on the 1st of October,</w:t></w:r>
</w:p>
<w:p>
<w:pPr><w:pStyle w:val="Normal"/></w:pPr>
<w:r><w:t xml:space="preserve">was attended by the emperor Alexander I. of Russia, the</w:t></w:r>
</w:p>
<w:p>
<w:pPr><w:pStyle w:val="Normal"/></w:pPr>
<w:r><w:t xml:space="preserve">emperor Francis I. of Austria, and Frederick William III. of</w:t></w:r>
</w:p>
<w:p>
<w:pPr><w:pStyle w:val="Normal"/></w:pPr>
<w:r><w:t xml:space="preserve">Prussia, in person.  Great Britain was represented by Lord</w:t></w:r>
</w:p>
<w:p>
<w:pPr><w:pStyle w:val="Normal"/></w:pPr>
<w:r><w:t xml:space="preserve">Castlereagh and the duke of Wellington, Austria by Prince</w:t></w:r>
</w:p>
<w:p>
<w:pPr><w:pStyle w:val="Normal"/></w:pPr>
<w:r><w:t xml:space="preserve">Metternich, Russia by Counts Capo d&apos;Istria and Nesselrode,</w:t></w:r>
</w:p>
<w:p>
<w:pPr><w:pStyle w:val="Normal"/></w:pPr>
<w:r><w:t xml:space="preserve">Prussia by Prince Hardenberg and Count Bernstorff.  The duc de</w:t></w:r>
</w:p>
<w:p>
<w:pPr><w:pStyle w:val="Normal"/></w:pPr>
<w:r><w:t xml:space="preserve">Richelieu, by favour of the allies, was present on behalf of</w:t></w:r>
</w:p>
<w:p>
<w:pPr><w:pStyle w:val="Normal"/></w:pPr>
<w:r><w:t xml:space="preserve">France.  The evacuation of France was agreed to in principle</w:t></w:r>
</w:p>
<w:p>
<w:pPr><w:pStyle w:val="Normal"/></w:pPr>
<w:r><w:t xml:space="preserve">at the first session, the consequent treaty being signed on</w:t></w:r>
</w:p>
<w:p>
<w:pPr><w:pStyle w:val="Normal"/></w:pPr>
<w:r><w:t xml:space="preserve">the 9th of October.  The immediate object of the conference</w:t></w:r>
</w:p>
<w:p>
<w:pPr><w:pStyle w:val="Normal"/></w:pPr>
<w:r><w:t xml:space="preserve">being thus readily disposed of, the time of the congress was</w:t></w:r>
</w:p>
<w:p>
<w:pPr><w:pStyle w:val="Normal"/></w:pPr>
<w:r><w:t xml:space="preserve">mainly occupied in discussing the form to be taken by the</w:t></w:r>
</w:p>
<w:p>
<w:pPr><w:pStyle w:val="Normal"/></w:pPr>
<w:r><w:t xml:space="preserve">European alliance, and the ``military measures,&apos;&apos; if any, to</w:t></w:r>
</w:p>
<w:p>
<w:pPr><w:pStyle w:val="Normal"/></w:pPr>
<w:r><w:t xml:space="preserve">be adopted as a precaution against a fresh outburst on the</w:t></w:r>
</w:p>
<w:p>
<w:pPr><w:pStyle w:val="Heading1"/></w:pPr>
<w:r><w:t>part of France.  The proposal of the emperor Alexander I.</w:t></w:r>
</w:p>
<w:p>
<w:pPr><w:pStyle w:val="Normal"/></w:pPr>
<w:r><w:t xml:space="preserve">to establish a ``universal union of guarantee&apos;&apos; on the broad</w:t></w:r>
</w:p>
<w:p>
<w:pPr><w:pStyle w:val="Normal"/></w:pPr>
<w:r><w:t xml:space="preserve">basis of the Holy Alliance, after much debate, broke down on</w:t></w:r>
</w:p>
<w:p>
<w:pPr><w:pStyle w:val="Normal"/></w:pPr>
<w:r><w:t xml:space="preserve">the uncompromising opposition of Great Britain; and the main</w:t></w:r>
</w:p>
<w:p>
<w:pPr><w:pStyle w:val="Normal"/></w:pPr>
<w:r><w:t xml:space="preserve">outcome of the congress was the signature, on the 15th of</w:t></w:r>
</w:p>
<w:p>
<w:pPr><w:pStyle w:val="Normal"/></w:pPr>
<w:r><w:t xml:space="preserve">November, of two instruments: (1) a secret protocol confirming</w:t></w:r>
</w:p>
<w:p>
<w:pPr><w:pStyle w:val="Normal"/></w:pPr>
<w:r><w:t xml:space="preserve">and renewing the quadruple alliance established by the treaties</w:t></w:r>
</w:p>
<w:p>
<w:pPr><w:pStyle w:val="Normal"/></w:pPr>
<w:r><w:t xml:space="preserve">of Chaumont and Paris (of the 20th of November 1815) against</w:t></w:r>
</w:p>
<w:p>
<w:pPr><w:pStyle w:val="Normal"/></w:pPr>
<w:r><w:t xml:space="preserve">France; (2) a public ``declaration&apos;&apos; of the intention of the</w:t></w:r>
</w:p>
<w:p>
<w:pPr><w:pStyle w:val="Normal"/></w:pPr>
<w:r><w:t xml:space="preserve">powers to maintain their intimate union. ``strengthened by the</w:t></w:r>
</w:p>
<w:p>
<w:pPr><w:pStyle w:val="Normal"/></w:pPr>
<w:r><w:t xml:space="preserve">ties of Christian brotherhood,&apos;&apos; of which the object was the</w:t></w:r>
</w:p>
<w:p>
<w:pPr><w:pStyle w:val="Normal"/></w:pPr>
<w:r><w:t xml:space="preserve">preservation of peace on the basis of respect for treaties.</w:t></w:r>
</w:p>
<w:p>
<w:pPr><w:pStyle w:val="Normal"/></w:pPr>
<w:r><w:t xml:space="preserve">The secret protocol was communicated in confidence to Richelieu;</w:t></w:r>
</w:p>
<w:p>
<w:pPr><w:pStyle w:val="Normal"/></w:pPr>
<w:r><w:t xml:space="preserve">to the declaration France was invited publicly to adhere.</w:t></w:r>
</w:p>
<w:p>
<w:pPr><w:pStyle w:val="Normal"/></w:pPr>
<w:r><w:t xml:space="preserve">Besides these questions of general policy, the congress concerned</w:t></w:r>
</w:p>
<w:p>
<w:pPr><w:pStyle w:val="Normal"/></w:pPr>
<w:r><w:t xml:space="preserve">itself with a number of subjects left unsettled in the hurried</w:t></w:r>
</w:p>
<w:p>
<w:pPr><w:pStyle w:val="Normal"/></w:pPr>
<w:r><w:t xml:space="preserve">winding up of the congress of Vienna, or which had arisen</w:t></w:r>
</w:p>
<w:p>
<w:pPr><w:pStyle w:val="Normal"/></w:pPr>
<w:r><w:t xml:space="preserve">since.  Of these the most important were the questions as to</w:t></w:r>
</w:p>
<w:p>
<w:pPr><w:pStyle w:val="Normal"/></w:pPr>
<w:r><w:t xml:space="preserve">the methods to be adopted for the suppression of the slave</w:t></w:r>
</w:p>
<w:p>
<w:pPr><w:pStyle w:val="Normal"/></w:pPr>
<w:r><w:t xml:space="preserve">trade and the Barbary pirates.  In neither case was any</w:t></w:r>
</w:p>
<w:p>
<w:pPr><w:pStyle w:val="Normal"/></w:pPr>
<w:r><w:t xml:space="preserve">decision arrived at, owing (1) to the refusal of the other</w:t></w:r>
</w:p>
<w:p>
<w:pPr><w:pStyle w:val="Normal"/></w:pPr>
<w:r><w:t xml:space="preserve">powers to agree with the British proposal for a reciprocal</w:t></w:r>
</w:p>
<w:p>
<w:pPr><w:pStyle w:val="Normal"/></w:pPr>
<w:r><w:t xml:space="preserve">right of search on the high seas; (2) to the objection of</w:t></w:r>
</w:p>
<w:p>
<w:pPr><w:pStyle w:val="Normal"/></w:pPr>
<w:r><w:t xml:space="preserve">Creat Britain to international action which would have involved</w:t></w:r>
</w:p>
<w:p>
<w:pPr><w:pStyle w:val="Normal"/></w:pPr>
<w:r><w:t xml:space="preserve">the presence of a Russian squadron in the Mediterranean.  In</w:t></w:r>
</w:p>
<w:p>
<w:pPr><w:pStyle w:val="Normal"/></w:pPr>
<w:r><w:t xml:space="preserve">matters of less importance the congress was more unanimous.</w:t></w:r>
</w:p>
<w:p>
<w:pPr><w:pStyle w:val="Normal"/></w:pPr>
<w:r><w:t xml:space="preserve">Thus, on the urgent appeal of the king of Denmark, the king of</w:t></w:r>
</w:p>
<w:p>
<w:pPr><w:pStyle w:val="Normal"/></w:pPr>
<w:r><w:t xml:space="preserve">Sweden (Bernadotte) received a peremptory summons to carry out</w:t></w:r>
</w:p>
<w:p>
<w:pPr><w:pStyle w:val="Normal"/></w:pPr>
<w:r><w:t xml:space="preserve">the terms of the treaty of Kiel; the petition of the elector</w:t></w:r>
</w:p>
<w:p>
<w:pPr><w:pStyle w:val="Normal"/></w:pPr>
<w:r><w:t xml:space="preserve">of Hesse to be recognized as king was unanimously rejected;</w:t></w:r>
</w:p>
<w:p>
<w:pPr><w:pStyle w:val="Normal"/></w:pPr>
<w:r><w:t xml:space="preserve">and measures were taken to redress the grievances of the</w:t></w:r>
</w:p>
<w:p>
<w:pPr><w:pStyle w:val="Normal"/></w:pPr>
<w:r><w:t xml:space="preserve">German mediatized princes.  The more important outstanding</w:t></w:r>
</w:p>
<w:p>
<w:pPr><w:pStyle w:val="Normal"/></w:pPr>
<w:r><w:t xml:space="preserve">questions in Germany, e.g. the Baden succession, were after</w:t></w:r>
</w:p>
<w:p>
<w:pPr><w:pStyle w:val="Normal"/></w:pPr>
<w:r><w:t xml:space="preserve">consideration reserved for a further conference to be called at</w:t></w:r>
</w:p>
<w:p>
<w:pPr><w:pStyle w:val="Normal"/></w:pPr>
<w:r><w:t xml:space="preserve">Frankfort.  In addition to these a great variety of questions</w:t></w:r>
</w:p>
<w:p>
<w:pPr><w:pStyle w:val="Normal"/></w:pPr>
<w:r><w:t xml:space="preserve">were considered, from that of the treatment of Napoleon at St</w:t></w:r>
</w:p>
<w:p>
<w:pPr><w:pStyle w:val="Normal"/></w:pPr>
<w:r><w:t xml:space="preserve">Helena, to the grievances of the people of Monaco against</w:t></w:r>
</w:p>
<w:p>
<w:pPr><w:pStyle w:val="Normal"/></w:pPr>
<w:r><w:t xml:space="preserve">their prince and the position of the Jews in Austria and</w:t></w:r>
</w:p>
<w:p>
<w:pPr><w:pStyle w:val="Normal"/></w:pPr>
<w:r><w:t xml:space="preserve">Prussia.  An attempt made to introduce the subject of the</w:t></w:r>
</w:p>
<w:p>
<w:pPr><w:pStyle w:val="Normal"/></w:pPr>
<w:r><w:t xml:space="preserve">Spanish colonies was defeated by the opposition of Great</w:t></w:r>
</w:p>
<w:p>
<w:pPr><w:pStyle w:val="Normal"/></w:pPr>
<w:r><w:t xml:space="preserve">Britain.  Lastly, certain vexatious questions of diplomatic</w:t></w:r>
</w:p>
<w:p>
<w:pPr><w:pStyle w:val="Normal"/></w:pPr>
<w:r><w:t xml:space="preserve">etiquette were settled once for all (see DIPLOMACY.) The</w:t></w:r>
</w:p>
<w:p>
<w:pPr><w:pStyle w:val="Normal"/></w:pPr>
<w:r><w:t xml:space="preserve">congress, which broke up at the end of November, is of</w:t></w:r>
</w:p>
<w:p>
<w:pPr><w:pStyle w:val="Normal"/></w:pPr>
<w:r><w:t xml:space="preserve">historical importance mainly as marking the highest point</w:t></w:r>
</w:p>
<w:p>
<w:pPr><w:pStyle w:val="Normal"/></w:pPr>
<w:r><w:t xml:space="preserve">reached in the attempt to govern Europe by an international</w:t></w:r>
</w:p>
<w:p>
<w:pPr><w:pStyle w:val="Normal"/></w:pPr>
<w:r><w:t xml:space="preserve">committee of the powers.  The detailed study of its proceedings</w:t></w:r>
</w:p>
<w:p>
<w:pPr><w:pStyle w:val="Normal"/></w:pPr>
<w:r><w:t xml:space="preserve">is highly instructive in revealing the almost insurmountable</w:t></w:r>
</w:p>
<w:p>
<w:pPr><w:pStyle w:val="Normal"/></w:pPr>
<w:r><w:t xml:space="preserve">obstacles to any really effective international system.</w:t></w:r>
</w:p>
<w:p>
<w:pPr><w:pStyle w:val="Normal"/></w:pPr>
<w:r><w:t xml:space="preserve">AUTHORITIES.--- F.O. Records (the volumes marked Continent,</w:t></w:r>
</w:p>
<w:p>
<w:pPr><w:pStyle w:val="Normal"/></w:pPr>
<w:r><w:t xml:space="preserve">Aix-la-Chapelle, To and from Viscount Castlereagh): State</w:t></w:r>
</w:p>
<w:p>
<w:pPr><w:pStyle w:val="Normal"/></w:pPr>
<w:r><w:t xml:space="preserve">Papers: (3) F.. de Martens, Nouveau recueil de traites,</w:t></w:r>
</w:p>
<w:p>
<w:pPr><w:pStyle w:val="Normal"/></w:pPr>
<w:r><w:t xml:space="preserve">&amp;c. (Gottingen, 1817-1842); F. de Martens, Recueil des</w:t></w:r>
</w:p>
<w:p>
<w:pPr><w:pStyle w:val="Normal"/></w:pPr>
<w:r><w:t xml:space="preserve">traites conclus par la Russie, &amp;c. 1874 in progr.); F. von</w:t></w:r>
</w:p>
<w:p>
<w:pPr><w:pStyle w:val="Normal"/></w:pPr>
<w:r><w:t xml:space="preserve">Gentz, Deleches inedites, &amp;c., ed.  Baron Prokesch-Osten,</w:t></w:r>
</w:p>
<w:p>
<w:pPr><w:pStyle w:val="Normal"/></w:pPr>
<w:r><w:t xml:space="preserve">3 vols. (1876-1877); Metternich, Memoirs; Wellington,</w:t></w:r>
</w:p>
<w:p>
<w:pPr><w:pStyle w:val="Normal"/></w:pPr>
<w:r><w:t xml:space="preserve">Suppl.  Despatches; Castlereagh, Correspondence, &amp;c.</w:t></w:r>
</w:p>
<w:p>
<w:pPr><w:pStyle w:val="Normal"/></w:pPr>
<w:r><w:t xml:space="preserve">AIX-LES-BAINS, a town of France, in the department of Savoie,</w:t></w:r>
</w:p>
<w:p>
<w:pPr><w:pStyle w:val="Normal"/></w:pPr>
<w:r><w:t xml:space="preserve">near the Lac du Bourget, and 9 m. by rail N. of Chambery.  Pop.</w:t></w:r>
</w:p>
<w:p>
<w:pPr><w:pStyle w:val="Normal"/></w:pPr>
<w:r><w:t xml:space="preserve">(1901) 4741.  It is 846 ft. above the level of the sea.  It was a</w:t></w:r>
</w:p>
<w:p>
<w:pPr><w:pStyle w:val="Normal"/></w:pPr>
<w:r><w:t xml:space="preserve">celebrated bathing-place, under the name of Aquae Gratianae,</w:t></w:r>
</w:p>
<w:p>
<w:pPr><w:pStyle w:val="Normal"/></w:pPr>
<w:r><w:t xml:space="preserve">in the time of the Romans, and possesses numerous ancient</w:t></w:r>
</w:p>
<w:p>
<w:pPr><w:pStyle w:val="Normal"/></w:pPr>
<w:r><w:t xml:space="preserve">remains.  The hot springs, which are of sulphureous quality,</w:t></w:r>
</w:p>
<w:p>
<w:pPr><w:pStyle w:val="Normal"/></w:pPr>
<w:r><w:t xml:space="preserve">and have a temperature of from 109 deg.  to 113 deg.  F., are still much</w:t></w:r>
</w:p>
<w:p>
<w:pPr><w:pStyle w:val="Normal"/></w:pPr>
<w:r><w:t xml:space="preserve">frequented, attracting annually many thousands of visitors.</w:t></w:r>
</w:p>
<w:p>
<w:pPr><w:pStyle w:val="Normal"/></w:pPr>
<w:r><w:t xml:space="preserve">They are used for drinking as well as for bathing purposes.</w:t></w:r>
</w:p>
<w:p>
<w:pPr><w:pStyle w:val="Normal"/></w:pPr>
<w:r><w:t xml:space="preserve">AIYAR, SIR SHESHADRI (1845-1901), native statesman of Mysore,</w:t></w:r>
</w:p>
<w:p>
<w:pPr><w:pStyle w:val="Normal"/></w:pPr>
<w:r><w:t xml:space="preserve">India, was the son of a Brahman of Palghat in the district of</w:t></w:r>
</w:p>
<w:p>
<w:pPr><w:pStyle w:val="Normal"/></w:pPr>
<w:r><w:t xml:space="preserve">Malabar.  He was educated at the provincial school at Calicut</w:t></w:r>
</w:p>
<w:p>
<w:pPr><w:pStyle w:val="Normal"/></w:pPr>
<w:r><w:t xml:space="preserve">and the presidency college in Madras, and entered the government</w:t></w:r>
</w:p>
<w:p>
<w:pPr><w:pStyle w:val="Normal"/></w:pPr>
<w:r><w:t xml:space="preserve">service as a translator.  In 1868 he was transferred to Mysore</w:t></w:r>
</w:p>
<w:p>
<w:pPr><w:pStyle w:val="Normal"/></w:pPr>
<w:r><w:t xml:space="preserve">under Runga Charlu, and for thirteen years filled various</w:t></w:r>
</w:p>
<w:p>
<w:pPr><w:pStyle w:val="Normal"/></w:pPr>
<w:r><w:t xml:space="preserve">offices in that state; but when Mysore was restored to native</w:t></w:r>
</w:p>
<w:p>
<w:pPr><w:pStyle w:val="Normal"/></w:pPr>
<w:r><w:t xml:space="preserve">rule in 1881, he became personal assistant to Runga Charlu, whom</w:t></w:r>
</w:p>
<w:p>
<w:pPr><w:pStyle w:val="Normal"/></w:pPr>
<w:r><w:t xml:space="preserve">he succeeded as diwan in 1885 . For the next seventeen years</w:t></w:r>
</w:p>
<w:p>
<w:pPr><w:pStyle w:val="Normal"/></w:pPr>
<w:r><w:t xml:space="preserve">he laboured assiduously to promote the economic and industrial</w:t></w:r>
</w:p>
<w:p>
<w:pPr><w:pStyle w:val="Normal"/></w:pPr>
<w:r><w:t xml:space="preserve">development of the state, and proved an able assistant to the</w:t></w:r>
</w:p>
<w:p>
<w:pPr><w:pStyle w:val="Normal"/></w:pPr>
<w:r><w:t xml:space="preserve">Maharaja Chamarajendra.  By means of railway, irrigation and</w:t></w:r>
</w:p>
<w:p>
<w:pPr><w:pStyle w:val="Normal"/></w:pPr>
<w:r><w:t xml:space="preserve">mining works, he added greatly to the wealth of the state, and</w:t></w:r>
</w:p>
<w:p>
<w:pPr><w:pStyle w:val="Normal"/></w:pPr>
<w:r><w:t xml:space="preserve">put it on a sound financial footing.  He retired in 1900, was</w:t></w:r>
</w:p>
<w:p>
<w:pPr><w:pStyle w:val="Normal"/></w:pPr>
<w:r><w:t xml:space="preserve">made K.C.S.I. in 1893 and died on the 13th of September 1901.</w:t></w:r>
</w:p>
<w:p>
<w:pPr><w:pStyle w:val="Normal"/></w:pPr>
<w:r><w:t xml:space="preserve">AIYAR, SIR TIRUVARUR MUTUSWAMY (1832-1895), native Indian</w:t></w:r>
</w:p>
<w:p>
<w:pPr><w:pStyle w:val="Normal"/></w:pPr>
<w:r><w:t xml:space="preserve">judge of the high court of Madras, was born of poor parents in</w:t></w:r>
</w:p>
<w:p>
<w:pPr><w:pStyle w:val="Normal"/></w:pPr>
<w:r><w:t xml:space="preserve">the village of Vuchuwadi, near Tanjore, on the 28th of January</w:t></w:r>
</w:p>
<w:p>
<w:pPr><w:pStyle w:val="Normal"/></w:pPr>
<w:r><w:t xml:space="preserve">1832.  His widowed mother was forced by poverty to remove with</w:t></w:r>
</w:p>
<w:p>
<w:pPr><w:pStyle w:val="Normal"/></w:pPr>
<w:r><w:t xml:space="preserve">Mutuswamy and his brother to Tiruvarar, where the former learnt</w:t></w:r>
</w:p>
<w:p>
<w:pPr><w:pStyle w:val="Normal"/></w:pPr>
<w:r><w:t xml:space="preserve">Tamil, and soon set to work under the village accountant at a</w:t></w:r>
</w:p>
<w:p>
<w:pPr><w:pStyle w:val="Normal"/></w:pPr>
<w:r><w:t xml:space="preserve">monthly salary of one rupee.  About this time he lost his mother,</w:t></w:r>
</w:p>
<w:p>
<w:pPr><w:pStyle w:val="Normal"/></w:pPr>
<w:r><w:t xml:space="preserve">whose memory he cherished with reverence and affection to the</w:t></w:r>
</w:p>
<w:p>
<w:pPr><w:pStyle w:val="Normal"/></w:pPr>
<w:r><w:t xml:space="preserve">last.  His duty took him to the court-house of the tehsildar, Mr</w:t></w:r>
</w:p>
<w:p>
<w:pPr><w:pStyle w:val="Normal"/></w:pPr>
<w:r><w:t xml:space="preserve">Naiken, who soon remarked his extraordinary intelligence and</w:t></w:r>
</w:p>
<w:p>
<w:pPr><w:pStyle w:val="Normal"/></w:pPr>
<w:r><w:t xml:space="preserve">industry.  There was an English school at Tiruvarar, where</w:t></w:r>
</w:p>
<w:p>
<w:pPr><w:pStyle w:val="Normal"/></w:pPr>
<w:r><w:t xml:space="preserve">Mutuswamy managed to pick up an elementary knowledge of the English</w:t></w:r>
</w:p>
<w:p>
<w:pPr><w:pStyle w:val="Normal"/></w:pPr>
<w:r><w:t xml:space="preserve">language.  Mr Naiken then sent him to Sir Henry Montgomery&apos;s</w:t></w:r>
</w:p>
<w:p>
<w:pPr><w:pStyle w:val="Normal"/></w:pPr>
<w:r><w:t xml:space="preserve">school at Madras, as a companion to his nephew, and there he</w:t></w:r>
</w:p>
<w:p>
<w:pPr><w:pStyle w:val="Normal"/></w:pPr>
<w:r><w:t xml:space="preserve">won prizes and scholarships year after year.  In 1854 he won</w:t></w:r>
</w:p>
<w:p>
<w:pPr><w:pStyle w:val="Normal"/></w:pPr>
<w:r><w:t xml:space="preserve">a prize of 500 rupees offered to the students of the Madras</w:t></w:r>
</w:p>
<w:p>
<w:pPr><w:pStyle w:val="Normal"/></w:pPr>
<w:r><w:t xml:space="preserve">presidency by the council of education for the best English</w:t></w:r>
</w:p>
<w:p>
<w:pPr><w:pStyle w:val="Normal"/></w:pPr>
<w:r><w:t xml:space="preserve">essay.  This success brought him to the notice of Sir</w:t></w:r>
</w:p>
<w:p>
<w:pPr><w:pStyle w:val="Normal"/></w:pPr>
<w:r><w:t xml:space="preserve">Alexander Arbuthnot and Mr Justice Holloway.  He was offered</w:t></w:r>
</w:p>
<w:p>
<w:pPr><w:pStyle w:val="Normal"/></w:pPr>
<w:r><w:t xml:space="preserve">help to proceed to England and compete for the civil service,</w:t></w:r>
</w:p>
<w:p>
<w:pPr><w:pStyle w:val="Normal"/></w:pPr>
<w:r><w:t xml:space="preserve">but being a Brahman and married, he declined to cross the</w:t></w:r>
</w:p>
<w:p>
<w:pPr><w:pStyle w:val="Normal"/></w:pPr>
<w:r><w:t xml:space="preserve">ocean.  Instead he entered the subordinate government service,</w:t></w:r>
</w:p>
<w:p>
<w:pPr><w:pStyle w:val="Normal"/></w:pPr>
<w:r><w:t xml:space="preserve">and was employed in such various posts as school-teacher,</w:t></w:r>
</w:p>
<w:p>
<w:pPr><w:pStyle w:val="Normal"/></w:pPr>
<w:r><w:t xml:space="preserve">record-keeper in Tanjore, and in 1856 deputy-inspector of</w:t></w:r>
</w:p>
<w:p>
<w:pPr><w:pStyle w:val="Normal"/></w:pPr>
<w:r><w:t xml:space="preserve">schools.  At this time the Madras authorities instituted the</w:t></w:r>
</w:p>
<w:p>
<w:pPr><w:pStyle w:val="Normal"/></w:pPr>
<w:r><w:t xml:space="preserve">examination for the office of pleaders, and Mutuswamy came out</w:t></w:r>
</w:p>
<w:p>
<w:pPr><w:pStyle w:val="Normal"/></w:pPr>
<w:r><w:t xml:space="preserve">first in the first examination, even beating Sir T. Madhavarao,</w:t></w:r>
</w:p>
<w:p>
<w:pPr><w:pStyle w:val="Normal"/></w:pPr>
<w:r><w:t xml:space="preserve">his senior by many years.  Mutuswamy was then appointed in</w:t></w:r>
</w:p>
<w:p>
<w:pPr><w:pStyle w:val="Normal"/></w:pPr>
<w:r><w:t xml:space="preserve">succession district munsiff at Tranquebar, deputy-collector</w:t></w:r>
</w:p>
<w:p>
<w:pPr><w:pStyle w:val="Normal"/></w:pPr>
<w:r><w:t xml:space="preserve">in Tanjore in 1859, sub-judge of south Kanara in 1865, and</w:t></w:r>
</w:p>
<w:p>
<w:pPr><w:pStyle w:val="Normal"/></w:pPr>
<w:r><w:t xml:space="preserve">a magistrate of police at Madras in 1868.  While serving in</w:t></w:r>
</w:p>
<w:p>
<w:pPr><w:pStyle w:val="Normal"/></w:pPr>
<w:r><w:t xml:space="preserve">the last post he passed the examination for the degree of</w:t></w:r>
</w:p>
<w:p>
<w:pPr><w:pStyle w:val="Normal"/></w:pPr>
<w:r><w:t xml:space="preserve">bachelor of laws of the local university.  He was next employed</w:t></w:r>
</w:p>
<w:p>
<w:pPr><w:pStyle w:val="Normal"/></w:pPr>
<w:r><w:t xml:space="preserve">as a judge of the Madras small causes court, until in 1878</w:t></w:r>
</w:p>
<w:p>
<w:pPr><w:pStyle w:val="Normal"/></w:pPr>
<w:r><w:t xml:space="preserve">he was raised to the bench of the high court, which office</w:t></w:r>
</w:p>
<w:p>
<w:pPr><w:pStyle w:val="Normal"/></w:pPr>
<w:r><w:t xml:space="preserve">he occupied with ability and distinction for over fifteen</w:t></w:r>
</w:p>
<w:p>
<w:pPr><w:pStyle w:val="Normal"/></w:pPr>
<w:r><w:t xml:space="preserve">years, sometimes acting as the chief justice.  He attended by</w:t></w:r>
</w:p>
<w:p>
<w:pPr><w:pStyle w:val="Normal"/></w:pPr>
<w:r><w:t xml:space="preserve">invitation of the viceroy the imperial assemblage at Delhi in</w:t></w:r>
</w:p>
<w:p>
<w:pPr><w:pStyle w:val="Normal"/></w:pPr>
<w:r><w:t xml:space="preserve">1877.  In 1878 he received the honour of C.I.E. and in 1893</w:t></w:r>
</w:p>
<w:p>
<w:pPr><w:pStyle w:val="Normal"/></w:pPr>
<w:r><w:t xml:space="preserve">the K.C.I.E. was conferred on him.  But he did not live long</w:t></w:r>
</w:p>
<w:p>
<w:pPr><w:pStyle w:val="Normal"/></w:pPr>
<w:r><w:t xml:space="preserve">to enjoy this dignity, dying suddenly in 1895.  Mutuswamy was</w:t></w:r>
</w:p>
<w:p>
<w:pPr><w:pStyle w:val="Normal"/></w:pPr>
<w:r><w:t xml:space="preserve">too devoted to his official work to give much time to other</w:t></w:r>
</w:p>
<w:p>
<w:pPr><w:pStyle w:val="Normal"/></w:pPr>
<w:r><w:t xml:space="preserve">pursuits.  Still he took his full share in the affairs of</w:t></w:r>
</w:p>
<w:p>
<w:pPr><w:pStyle w:val="Normal"/></w:pPr>
<w:r><w:t xml:space="preserve">the Madras university, of which he was nominated a fellow</w:t></w:r>
</w:p>
<w:p>
<w:pPr><w:pStyle w:val="Normal"/></w:pPr>
<w:r><w:t xml:space="preserve">in 1872 and a syndic in 1877, and was well acquainted with</w:t></w:r>
</w:p>
<w:p>
<w:pPr><w:pStyle w:val="Normal"/></w:pPr>
<w:r><w:t xml:space="preserve">English law, literature and philosophy.  He was through</w:t></w:r>
</w:p>
<w:p>
<w:pPr><w:pStyle w:val="Normal"/></w:pPr>
<w:r><w:t xml:space="preserve">life a staunch Brahman, devout and amiable in character,</w:t></w:r>
</w:p>
<w:p>
<w:pPr><w:pStyle w:val="Normal"/></w:pPr>
<w:r><w:t xml:space="preserve">with a taste for the ancient music of India and the study</w:t></w:r>
</w:p>
<w:p>
<w:pPr><w:pStyle w:val="Normal"/></w:pPr>
<w:r><w:t xml:space="preserve">of the Vedas and other departments of Sanskrit literature.</w:t></w:r>
</w:p>
<w:p>
<w:pPr><w:pStyle w:val="Normal"/></w:pPr>
<w:r><w:t xml:space="preserve">AJACCIO, the capital of Corsica, on the west coast of the</w:t></w:r>
</w:p>
<w:p>
<w:pPr><w:pStyle w:val="Normal"/></w:pPr>
<w:r><w:t xml:space="preserve">island, 210 m.  S.E. of Marseilles.  Pop. (1906) 19,021.</w:t></w:r>
</w:p>
<w:p>
<w:pPr><w:pStyle w:val="Normal"/></w:pPr>
<w:r><w:t xml:space="preserve">Ajaccio occupies a sheltered position at the foot of wooded</w:t></w:r>
</w:p>
<w:p>
<w:pPr><w:pStyle w:val="Normal"/></w:pPr>
<w:r><w:t xml:space="preserve">hills on the northern shore of the Gulf of Ajaccio.  The</w:t></w:r>
</w:p>
<w:p>
<w:pPr><w:pStyle w:val="Normal"/></w:pPr>
<w:r><w:t xml:space="preserve">harbour, lying to the east of the town, is protected on the</w:t></w:r>
</w:p>
<w:p>
<w:pPr><w:pStyle w:val="Normal"/></w:pPr>
<w:r><w:t xml:space="preserve">south by a peninsula which carries the citadel and terminates</w:t></w:r>
</w:p>
<w:p>
<w:pPr><w:pStyle w:val="Normal"/></w:pPr>
<w:r><w:t xml:space="preserve">in the Citadel jetty; to the south-west of this peninsula</w:t></w:r>
</w:p>
<w:p>
<w:pPr><w:pStyle w:val="Normal"/></w:pPr>
<w:r><w:t xml:space="preserve">lies the Place Bonaparte, a quarter frequented chiefly</w:t></w:r>
</w:p>
<w:p>
<w:pPr><w:pStyle w:val="Normal"/></w:pPr>
<w:r><w:t xml:space="preserve">by winter visitors attracted by the mild climate of the</w:t></w:r>
</w:p>
<w:p>
<w:pPr><w:pStyle w:val="Normal"/></w:pPr>
<w:r><w:t xml:space="preserve">town.  Apart from one or two fine thoroughfares converging to</w:t></w:r>
</w:p>
<w:p>
<w:pPr><w:pStyle w:val="Normal"/></w:pPr>
<w:r><w:t xml:space="preserve">the Place Bonaparte, the streets are mean and narrow and the</w:t></w:r>
</w:p>
<w:p>
<w:pPr><w:pStyle w:val="Normal"/></w:pPr>
<w:r><w:t xml:space="preserve">town has a deserted appearance.  The house in which Napoleon</w:t></w:r>
</w:p>
<w:p>
<w:pPr><w:pStyle w:val="Normal"/></w:pPr>
<w:r><w:t xml:space="preserve">I, was born in 1769 is preserved, and his associations</w:t></w:r>
</w:p>
<w:p>
<w:pPr><w:pStyle w:val="Normal"/></w:pPr>
<w:r><w:t xml:space="preserve">with the town are everywhere emphasized by street-names and</w:t></w:r>
</w:p>
<w:p>
<w:pPr><w:pStyle w:val="Normal"/></w:pPr>
<w:r><w:t xml:space="preserve">statues.  The other buildings, including the cathedral of the</w:t></w:r>
</w:p>
<w:p>
<w:pPr><w:pStyle w:val="Normal"/></w:pPr>
<w:r><w:t xml:space="preserve">16th century, are of little interest.  The town is the seat</w:t></w:r>
</w:p>
<w:p>
<w:pPr><w:pStyle w:val="Normal"/></w:pPr>
<w:r><w:t xml:space="preserve">of a bishopric dating at least from the 7th century and of a</w:t></w:r>
</w:p>
<w:p>
<w:pPr><w:pStyle w:val="Normal"/></w:pPr>
<w:r><w:t xml:space="preserve">prefect.  It has tribunals of first instance and of commerce,</w:t></w:r>
</w:p>
<w:p>
<w:pPr><w:pStyle w:val="Normal"/></w:pPr>
<w:r><w:t xml:space="preserve">training colleges, a communal college, a museum and a library;</w:t></w:r>
</w:p>
<w:p>
<w:pPr><w:pStyle w:val="Normal"/></w:pPr>
<w:r><w:t xml:space="preserve">the three latter are established in the Palais Fesch. founded</w:t></w:r>
</w:p>
<w:p>
<w:pPr><w:pStyle w:val="Normal"/></w:pPr>
<w:r><w:t xml:space="preserve">by Cardinal Fesch, who was born at Ajaccio in 1763.  Ajaccio</w:t></w:r>
</w:p>
<w:p>
<w:pPr><w:pStyle w:val="Normal"/></w:pPr>
<w:r><w:t xml:space="preserve">has small manufactures of cigars and macaroni and similar</w:t></w:r>
</w:p>
<w:p>
<w:pPr><w:pStyle w:val="Normal"/></w:pPr>
<w:r><w:t xml:space="preserve">products, and carries on shipbuilding, sardine-fishing and</w:t></w:r>
</w:p>
<w:p>
<w:pPr><w:pStyle w:val="Normal"/></w:pPr>
<w:r><w:t xml:space="preserve">coral-fishing.  Its exports include timber, citrons, skins,</w:t></w:r>
</w:p>
<w:p>
<w:pPr><w:pStyle w:val="Normal"/></w:pPr>
<w:r><w:t xml:space="preserve">chestnuts and gallic acid.  The port is accessible by the largest</w:t></w:r>
</w:p>
<w:p>
<w:pPr><w:pStyle w:val="Normal"/></w:pPr>
<w:r><w:t xml:space="preserve">ships, but its accommodation is indifferent.  In 1904 there</w:t></w:r>
</w:p>
<w:p>
<w:pPr><w:pStyle w:val="Normal"/></w:pPr>
<w:r><w:t xml:space="preserve">entered 603 vessels with a tonnage of 202,980, and cleared</w:t></w:r>
</w:p>
<w:p>
<w:pPr><w:pStyle w:val="Normal"/></w:pPr>
<w:r><w:t xml:space="preserve">608 vessels with a tonnage of 202,502.  The present town of</w:t></w:r>
</w:p>
<w:p>
<w:pPr><w:pStyle w:val="Normal"/></w:pPr>
<w:r><w:t xml:space="preserve">Ajaccio lies about two miles to the south of its original</w:t></w:r>
</w:p>
<w:p>
<w:pPr><w:pStyle w:val="Normal"/></w:pPr>
<w:r><w:t xml:space="preserve">site, from which it was transferred by the Genoese in 1492.</w:t></w:r>
</w:p>
<w:p>
<w:pPr><w:pStyle w:val="Normal"/></w:pPr>
<w:r><w:t xml:space="preserve">Occupied from 1553 to 1559 by the French, it again fell to the</w:t></w:r>
</w:p>
<w:p>
<w:pPr><w:pStyle w:val="Normal"/></w:pPr>
<w:r><w:t xml:space="preserve">Genoese after the treaty of Cateau Cambresis in the latter</w:t></w:r>
</w:p>
<w:p>
<w:pPr><w:pStyle w:val="Normal"/></w:pPr>
<w:r><w:t xml:space="preserve">year.  The town finally passed to the French in 1768.  Since</w:t></w:r>
</w:p>
<w:p>
<w:pPr><w:pStyle w:val="Normal"/></w:pPr>
<w:r><w:t xml:space="preserve">1810 it has been capital of the . department of Corsica.</w:t></w:r>
</w:p>
<w:p>
<w:pPr><w:pStyle w:val="Normal"/></w:pPr>
<w:r><w:t xml:space="preserve">AJAIGARH, or ADJYGURH, a native state of India, in</w:t></w:r>
</w:p>
<w:p>
<w:pPr><w:pStyle w:val="Normal"/></w:pPr>
<w:r><w:t xml:space="preserve">Bundelkhand, under the Central India agency.  It has an</w:t></w:r>
</w:p>
<w:p>
<w:pPr><w:pStyle w:val="Normal"/></w:pPr>
<w:r><w:t xml:space="preserve">area of 771 sq. m., and a population in 1901 of 78,236.</w:t></w:r>
</w:p>
<w:p>
<w:pPr><w:pStyle w:val="Normal"/></w:pPr>
<w:r><w:t xml:space="preserve">The chief. who is a Bundela Rajput, bears the title of sawai</w:t></w:r>
</w:p>
<w:p>
<w:pPr><w:pStyle w:val="Normal"/></w:pPr>
<w:r><w:t xml:space="preserve">maharaja.  He has an estimated revenue of about L. 15,000, and</w:t></w:r>
</w:p>
<w:p>
<w:pPr><w:pStyle w:val="Normal"/></w:pPr>
<w:r><w:t xml:space="preserve">pays a tribute of L. 460.  He resides at the town of Naushahr,</w:t></w:r>
</w:p>
<w:p>
<w:pPr><w:pStyle w:val="Normal"/></w:pPr>
<w:r><w:t xml:space="preserve">at the foot of the hill-fortress of Ajaigarh, from which the</w:t></w:r>
</w:p>
<w:p>
<w:pPr><w:pStyle w:val="Normal"/></w:pPr>
<w:r><w:t xml:space="preserve">state takes its name.  This fort is situated on a very steep</w:t></w:r>
</w:p>
<w:p>
<w:pPr><w:pStyle w:val="Normal"/></w:pPr>
<w:r><w:t xml:space="preserve">hill, more than 800 ft. above the town of the same name;</w:t></w:r>
</w:p>
<w:p>
<w:pPr><w:pStyle w:val="Normal"/></w:pPr>
<w:r><w:t xml:space="preserve">and contains the ruins of temples adorned with elaborately</w:t></w:r>
</w:p>
<w:p>
<w:pPr><w:pStyle w:val="Normal"/></w:pPr>
<w:r><w:t xml:space="preserve">carved sculptures.  It was captured by the British in</w:t></w:r>
</w:p>
<w:p>
<w:pPr><w:pStyle w:val="Normal"/></w:pPr>
<w:r><w:t xml:space="preserve">1809.  The town is subject to malaria.  The state suffered</w:t></w:r>
</w:p>
<w:p>
<w:pPr><w:pStyle w:val="Normal"/></w:pPr>
<w:r><w:t xml:space="preserve">severely from famine in 1868-1869, and again in 1896-1897.</w:t></w:r>
</w:p>
<w:p>
<w:pPr><w:pStyle w:val="Normal"/></w:pPr>
<w:r><w:t xml:space="preserve">AJANTA (more properly AJUJNTHI), a village in the</w:t></w:r>
</w:p>
<w:p>
<w:pPr><w:pStyle w:val="Normal"/></w:pPr>
<w:r><w:t xml:space="preserve">dominions of the Nizam of Hyderabad in India (N. lat. 20 deg.  32&apos;</w:t></w:r>
</w:p>
<w:p>
<w:pPr><w:pStyle w:val="Normal"/></w:pPr>
<w:r><w:t xml:space="preserve">by E. long. 75 deg.  48&apos;), celebrated for its cave hermitages and</w:t></w:r>
</w:p>
<w:p>
<w:pPr><w:pStyle w:val="Normal"/></w:pPr>
<w:r><w:t xml:space="preserve">halls.  The caves are in a wooded and rugged ravine about 3 1/2</w:t></w:r>
</w:p>
<w:p>
<w:pPr><w:pStyle w:val="Normal"/></w:pPr>
<w:r><w:t xml:space="preserve">m. from the village.  Along the bottom of the ravine runs the</w:t></w:r>
</w:p>
<w:p>
<w:pPr><w:pStyle w:val="Normal"/></w:pPr>
<w:r><w:t xml:space="preserve">river Wagura, a mountain stream, which forces its way into</w:t></w:r>
</w:p>
<w:p>
<w:pPr><w:pStyle w:val="Normal"/></w:pPr>
<w:r><w:t xml:space="preserve">the valley over a bluff on the east, and forms in its descent</w:t></w:r>
</w:p>
<w:p>
<w:pPr><w:pStyle w:val="Normal"/></w:pPr>
<w:r><w:t xml:space="preserve">a beautiful waterfall, or rather series of waterfalls, 200 ft.</w:t></w:r>
</w:p>
<w:p>
<w:pPr><w:pStyle w:val="Normal"/></w:pPr>
<w:r><w:t xml:space="preserve">high, the sound of which must have been constantly audible to</w:t></w:r>
</w:p>
<w:p>
<w:pPr><w:pStyle w:val="Normal"/></w:pPr>
<w:r><w:t xml:space="preserve">the dwellers in the caves.  These are about thirty in number,</w:t></w:r>
</w:p>
<w:p>
<w:pPr><w:pStyle w:val="Normal"/></w:pPr>
<w:r><w:t xml:space="preserve">excavated in the south side of the precipitous bank of the ravine,</w:t></w:r>
</w:p>
<w:p>
<w:pPr><w:pStyle w:val="Normal"/></w:pPr>
<w:r><w:t xml:space="preserve">and vary from 35 to 110 ft. in elevation above the bed of the</w:t></w:r>
</w:p>
<w:p>
<w:pPr><w:pStyle w:val="Normal"/></w:pPr>
<w:r><w:t xml:space="preserve">torrent.  The caves are of two kinds---dwelling-halls and</w:t></w:r>
</w:p>
<w:p>
<w:pPr><w:pStyle w:val="Normal"/></w:pPr>
<w:r><w:t xml:space="preserve">meeting-halls.  The former, as one enters from the pathway</w:t></w:r>
</w:p>
<w:p>
<w:pPr><w:pStyle w:val="Normal"/></w:pPr>
<w:r><w:t xml:space="preserve">along the sides of the cliff, have a broad verandah, its roof</w:t></w:r>
</w:p>
<w:p>
<w:pPr><w:pStyle w:val="Normal"/></w:pPr>
<w:r><w:t xml:space="preserve">supported by pillars, and giving towards the interior on to</w:t></w:r>
</w:p>
<w:p>
<w:pPr><w:pStyle w:val="Normal"/></w:pPr>
<w:r><w:t xml:space="preserve">a hall averaging in size about 35 ft. by 20 ft.  To left and</w:t></w:r>
</w:p>
<w:p>
<w:pPr><w:pStyle w:val="Normal"/></w:pPr>
<w:r><w:t xml:space="preserve">right, and at the back, dormitories are excavated opening</w:t></w:r>
</w:p>
<w:p>
<w:pPr><w:pStyle w:val="Normal"/></w:pPr>
<w:r><w:t xml:space="preserve">on to this hall, and in the centre of the back, facing the</w:t></w:r>
</w:p>
<w:p>
<w:pPr><w:pStyle w:val="Normal"/></w:pPr>
<w:r><w:t xml:space="preserve">entrance, an image of the Buddha usually stands in a niche.</w:t></w:r>
</w:p>
<w:p>
<w:pPr><w:pStyle w:val="Normal"/></w:pPr>
<w:r><w:t xml:space="preserve">The number of dormitories varies according to the size of the</w:t></w:r>
</w:p>
<w:p>
<w:pPr><w:pStyle w:val="Normal"/></w:pPr>
<w:r><w:t xml:space="preserve">hall, and in the larger ones pillars support the roof on all</w:t></w:r>
</w:p>
<w:p>
<w:pPr><w:pStyle w:val="Normal"/></w:pPr>
<w:r><w:t xml:space="preserve">three sides, forming a sort of cloister running round the</w:t></w:r>
</w:p>
<w:p>
<w:pPr><w:pStyle w:val="Normal"/></w:pPr>
<w:r><w:t xml:space="preserve">hall.  The meeting-halls go back into the rock about twice as far</w:t></w:r>
</w:p>
<w:p>
<w:pPr><w:pStyle w:val="Normal"/></w:pPr>
<w:r><w:t xml:space="preserve">as the dwelling-halls; the largest of them being 94 1/2 ft. from</w:t></w:r>
</w:p>
<w:p>
<w:pPr><w:pStyle w:val="Normal"/></w:pPr>
<w:r><w:t xml:space="preserve">the verandah to the back, and 41 1/4 ft. across, including the .</w:t></w:r>
</w:p>
<w:p>
<w:pPr><w:pStyle w:val="Normal"/></w:pPr>
<w:r><w:t xml:space="preserve">cloister.  They were used as chapter-houses for the meetings</w:t></w:r>
</w:p>
<w:p>
<w:pPr><w:pStyle w:val="Normal"/></w:pPr>
<w:r><w:t xml:space="preserve">of the Buddhist Order.  The caves are in three groups, the</w:t></w:r>
</w:p>
<w:p>
<w:pPr><w:pStyle w:val="Normal"/></w:pPr>
<w:r><w:t xml:space="preserve">oldest group being of various dates from 200 B.C. to A.D.</w:t></w:r>
</w:p>
<w:p>
<w:pPr><w:pStyle w:val="Normal"/></w:pPr>
<w:r><w:t xml:space="preserve">200, the second group belonging, approximately, to the</w:t></w:r>
</w:p>
<w:p>
<w:pPr><w:pStyle w:val="Normal"/></w:pPr>
<w:r><w:t xml:space="preserve">6th, and the third group to the 7th century A.D. Most of</w:t></w:r>
</w:p>
<w:p>
<w:pPr><w:pStyle w:val="Normal"/></w:pPr>
<w:r><w:t xml:space="preserve">the interior walls of the caves were covered with fresco</w:t></w:r>
</w:p>
<w:p>
<w:pPr><w:pStyle w:val="Normal"/></w:pPr>
<w:r><w:t xml:space="preserve">paintings, of a considerable degree of merit, and somewhat</w:t></w:r>
</w:p>
<w:p>
<w:pPr><w:pStyle w:val="Normal"/></w:pPr>
<w:r><w:t xml:space="preserve">in the style of the early Italian painters.  When first</w:t></w:r>
</w:p>
<w:p>
<w:pPr><w:pStyle w:val="Normal"/></w:pPr>
<w:r><w:t xml:space="preserve">discovered, in 1817, these frescoes were in a fair state of</w:t></w:r>
</w:p>
<w:p>
<w:pPr><w:pStyle w:val="Normal"/></w:pPr>
<w:r><w:t xml:space="preserve">preservation, but they have since been allowed to go hopelessly to</w:t></w:r>
</w:p>
<w:p>
<w:pPr><w:pStyle w:val="Normal"/></w:pPr>
<w:r><w:t xml:space="preserve">ruin.  Fortunately, the school of art in Bombay, especially</w:t></w:r>
</w:p>
<w:p>
<w:pPr><w:pStyle w:val="Normal"/></w:pPr>
<w:r><w:t xml:space="preserve">under the supervision of J. Griffiths, had copied in colours</w:t></w:r>
</w:p>
<w:p>
<w:pPr><w:pStyle w:val="Normal"/></w:pPr>
<w:r><w:t xml:space="preserve">a number of them before the last vestiges had disappeared,</w:t></w:r>
</w:p>
<w:p>
<w:pPr><w:pStyle w:val="Normal"/></w:pPr>
<w:r><w:t xml:space="preserve">and other copies of certain of the paintings have also been</w:t></w:r>
</w:p>
<w:p>
<w:pPr><w:pStyle w:val="Normal"/></w:pPr>
<w:r><w:t xml:space="preserve">made.  These copies are invaluable as being the only evidence</w:t></w:r>
</w:p>
<w:p>
<w:pPr><w:pStyle w:val="Normal"/></w:pPr>
<w:r><w:t xml:space="preserve">we now have of pictorial art in India before the rise of</w:t></w:r>
</w:p>
<w:p>
<w:pPr><w:pStyle w:val="Normal"/></w:pPr>
<w:r><w:t xml:space="preserve">Hinduism.  The expression ``Cave Temples&apos;&apos; used by Anglo-Indians</w:t></w:r>
</w:p>
<w:p>
<w:pPr><w:pStyle w:val="Normal"/></w:pPr>
<w:r><w:t xml:space="preserve">of such halls is inaccurate.  Ajanta was a kind of college</w:t></w:r>
</w:p>
<w:p>
<w:pPr><w:pStyle w:val="Normal"/></w:pPr>
<w:r><w:t xml:space="preserve">monastery.  Hsuan Tsang informs us that Dinnaga, the</w:t></w:r>
</w:p>
<w:p>
<w:pPr><w:pStyle w:val="Normal"/></w:pPr>
<w:r><w:t xml:space="preserve">celebrated Buddhist philosopher and controversialist, author</w:t></w:r>
</w:p>
<w:p>
<w:pPr><w:pStyle w:val="Normal"/></w:pPr>
<w:r><w:t xml:space="preserve">of well-known books on logic, resided there.  In its prime</w:t></w:r>
</w:p>
<w:p>
<w:pPr><w:pStyle w:val="Normal"/></w:pPr>
<w:r><w:t xml:space="preserve">the settlement must have afforded accommodation for several</w:t></w:r>
</w:p>
<w:p>
<w:pPr><w:pStyle w:val="Normal"/></w:pPr>
<w:r><w:t xml:space="preserve">hundreds, teachers and pupils combined.  Very few of the</w:t></w:r>
</w:p>
<w:p>
<w:pPr><w:pStyle w:val="Normal"/></w:pPr>
<w:r><w:t xml:space="preserve">frescoes have been identified, but two are illustrations</w:t></w:r>
</w:p>
<w:p>
<w:pPr><w:pStyle w:val="Normal"/></w:pPr>
<w:r><w:t xml:space="preserve">of stones in Arya Sura&apos;s Jataka Mala, as appears</w:t></w:r>
</w:p>
<w:p>
<w:pPr><w:pStyle w:val="Normal"/></w:pPr>
<w:r><w:t xml:space="preserve">from verses in Buddhist Sanskrit painted beneath them.</w:t></w:r>
</w:p>
<w:p>
<w:pPr><w:pStyle w:val="Normal"/></w:pPr>
<w:r><w:t xml:space="preserve">See J. Burgess and Bhagwanlal lndraji, Inscriptions from</w:t></w:r>
</w:p>
<w:p>
<w:pPr><w:pStyle w:val="Normal"/></w:pPr>
<w:r><w:t xml:space="preserve">the Cave Temples of Western India (Bombay, 1881); J.</w:t></w:r>
</w:p>
<w:p>
<w:pPr><w:pStyle w:val="Normal"/></w:pPr>
<w:r><w:t xml:space="preserve">Fergusson and L. Burgess, Cave Temples of India (London,</w:t></w:r>
</w:p>
<w:p>
<w:pPr><w:pStyle w:val="Normal"/></w:pPr>
<w:r><w:t xml:space="preserve">1880); J. Griffiths, Paintings in the Buddhist Cave Temples</w:t></w:r>
</w:p>
<w:p>
<w:pPr><w:pStyle w:val="Normal"/></w:pPr>
<w:r><w:t xml:space="preserve">of Ajanta (London, 2 vols., 1896--1897). (T. W. R. D.)</w:t></w:r>
</w:p>
<w:p>
<w:pPr><w:pStyle w:val="Normal"/></w:pPr>
<w:r><w:t xml:space="preserve">AJAX (Gr. Aias), a Greek hero, son of Oileus, king of</w:t></w:r>
</w:p>
<w:p>
<w:pPr><w:pStyle w:val="Normal"/></w:pPr>
<w:r><w:t xml:space="preserve">Locris, called the ``lesser&apos;&apos; or Locrian Ajax, to distinguish</w:t></w:r>
</w:p>
<w:p>
<w:pPr><w:pStyle w:val="Normal"/></w:pPr>
<w:r><w:t xml:space="preserve">him from Ajax, son of Telamon.  In spite of his small stature,</w:t></w:r>
</w:p>
<w:p>
<w:pPr><w:pStyle w:val="Normal"/></w:pPr>
<w:r><w:t xml:space="preserve">he held his own amongst the other heroes before Troy; he was</w:t></w:r>
</w:p>
<w:p>
<w:pPr><w:pStyle w:val="Normal"/></w:pPr>
<w:r><w:t xml:space="preserve">brave, next to Achilles in swiftness of foot and famous</w:t></w:r>
</w:p>
<w:p>
<w:pPr><w:pStyle w:val="Normal"/></w:pPr>
<w:r><w:t xml:space="preserve">for throwing the spear.  But he was boastful, arrogant and</w:t></w:r>
</w:p>
<w:p>
<w:pPr><w:pStyle w:val="Normal"/></w:pPr>
<w:r><w:t xml:space="preserve">quarrelsome; like the Telamonian Ajax, he was the enemy of</w:t></w:r>
</w:p>
<w:p>
<w:pPr><w:pStyle w:val="Normal"/></w:pPr>
<w:r><w:t xml:space="preserve">Odysseus, and in the end the victim of the vengeance of Athene,</w:t></w:r>
</w:p>
<w:p>
<w:pPr><w:pStyle w:val="Normal"/></w:pPr>
<w:r><w:t xml:space="preserve">who wrecked his ship on his homeward voyage (Odyssey, iv.</w:t></w:r>
</w:p>
<w:p>
<w:pPr><w:pStyle w:val="Normal"/></w:pPr>
<w:r><w:t xml:space="preserve">499).  A later story gives a more definite account of the offence</w:t></w:r>
</w:p>
<w:p>
<w:pPr><w:pStyle w:val="Normal"/></w:pPr>
<w:r><w:t xml:space="preserve">of which he was guilty.  It is said that, after the fall of</w:t></w:r>
</w:p>
<w:p>
<w:pPr><w:pStyle w:val="Normal"/></w:pPr>
<w:r><w:t xml:space="preserve">Troy, he dragged Cassandra away by force from the statue of</w:t></w:r>
</w:p>
<w:p>
<w:pPr><w:pStyle w:val="Normal"/></w:pPr>
<w:r><w:t xml:space="preserve">the goddess at which she had taken refuge as a suppliant, and</w:t></w:r>
</w:p>
<w:p>
<w:pPr><w:pStyle w:val="Normal"/></w:pPr>
<w:r><w:t xml:space="preserve">even violated her (Lycophron, 360, Quintus Smyrnaeus xiii.</w:t></w:r>
</w:p>
<w:p>
<w:pPr><w:pStyle w:val="Normal"/></w:pPr>
<w:r><w:t xml:space="preserve">422).  For this, his ship was wrecked in a storm on the coast</w:t></w:r>
</w:p>
<w:p>
<w:pPr><w:pStyle w:val="Normal"/></w:pPr>
<w:r><w:t xml:space="preserve">of Euboea, and he himself was struck by lightning (Virgil,</w:t></w:r>
</w:p>
<w:p>
<w:pPr><w:pStyle w:val="Normal"/></w:pPr>
<w:r><w:t xml:space="preserve">Aen. i. 40). He was said to have lived after his death in the</w:t></w:r>
</w:p>
<w:p>
<w:pPr><w:pStyle w:val="Normal"/></w:pPr>
<w:r><w:t xml:space="preserve">island of Leuke.  He was worshipped as a national hero by the</w:t></w:r>
</w:p>
<w:p>
<w:pPr><w:pStyle w:val="Normal"/></w:pPr>
<w:r><w:t xml:space="preserve">Opuntian Locrians (on whose coins he appears), who always left</w:t></w:r>
</w:p>
<w:p>
<w:pPr><w:pStyle w:val="Normal"/></w:pPr>
<w:r><w:t xml:space="preserve">a vacant place for him in the ranks of their army when drawn</w:t></w:r>
</w:p>
<w:p>
<w:pPr><w:pStyle w:val="Normal"/></w:pPr>
<w:r><w:t xml:space="preserve">up in battle array.  He was the subject of a lost tragedy by</w:t></w:r>
</w:p>
<w:p>
<w:pPr><w:pStyle w:val="Normal"/></w:pPr>
<w:r><w:t xml:space="preserve">Sophocles.  The rape of Cassandra by Ajax was frequently</w:t></w:r>
</w:p>
<w:p>
<w:pPr><w:pStyle w:val="Normal"/></w:pPr>
<w:r><w:t xml:space="preserve">represented in Greek works of art, for instance on the chest</w:t></w:r>
</w:p>
<w:p>
<w:pPr><w:pStyle w:val="Normal"/></w:pPr>
<w:r><w:t xml:space="preserve">of Cypselus described by Pausanias (v. 17) and in extant works.</w:t></w:r>
</w:p>
<w:p>
<w:pPr><w:pStyle w:val="Normal"/></w:pPr>
<w:r><w:t xml:space="preserve">AJAX, son Of Telamon, king of Cyprus, a legendary hero of</w:t></w:r>
</w:p>
<w:p>
<w:pPr><w:pStyle w:val="Normal"/></w:pPr>
<w:r><w:t xml:space="preserve">ancient Greece.  To distinguish him from Ajax, son of Oileus,</w:t></w:r>
</w:p>
<w:p>
<w:pPr><w:pStyle w:val="Normal"/></w:pPr>
<w:r><w:t xml:space="preserve">he was called the ``great&apos;&apos; or Telamonian Ajax.  In Homer&apos;s</w:t></w:r>
</w:p>
<w:p>
<w:pPr><w:pStyle w:val="Normal"/></w:pPr>
<w:r><w:t xml:space="preserve">Iliad he is described as of great stature and colossal</w:t></w:r>
</w:p>
<w:p>
<w:pPr><w:pStyle w:val="Normal"/></w:pPr>
<w:r><w:t xml:space="preserve">frame, second only to Achilles in strength and bravery, and</w:t></w:r>
</w:p>
<w:p>
<w:pPr><w:pStyle w:val="Normal"/></w:pPr>
<w:r><w:t xml:space="preserve">the ``bulwark of the Achaeans.&apos;, He engaged Hector in single</w:t></w:r>
</w:p>
<w:p>
<w:pPr><w:pStyle w:val="Normal"/></w:pPr>
<w:r><w:t xml:space="preserve">combat and, with the aid of Athene, rescued the body of Achilles</w:t></w:r>
</w:p>
<w:p>
<w:pPr><w:pStyle w:val="Normal"/></w:pPr>
<w:r><w:t xml:space="preserve">from the hands of the Trojans.  In the competition between</w:t></w:r>
</w:p>
<w:p>
<w:pPr><w:pStyle w:val="Normal"/></w:pPr>
<w:r><w:t xml:space="preserve">him and Odysseus for the armour of Achilles, Agamemnon, at</w:t></w:r>
</w:p>
<w:p>
<w:pPr><w:pStyle w:val="Normal"/></w:pPr>
<w:r><w:t xml:space="preserve">the instigation of Athene, awarded the prize to Odysseus.</w:t></w:r>
</w:p>
<w:p>
<w:pPr><w:pStyle w:val="Normal"/></w:pPr>
<w:r><w:t xml:space="preserve">This so enraged AJax that it caused his death (Odyssey, xi.</w:t></w:r>
</w:p>
<w:p>
<w:pPr><w:pStyle w:val="Normal"/></w:pPr>
<w:r><w:t xml:space="preserve">541).  According to a later and more definite story, his</w:t></w:r>
</w:p>
<w:p>
<w:pPr><w:pStyle w:val="Normal"/></w:pPr>
<w:r><w:t xml:space="preserve">disappointment drove him mad; he rushed out of his tent and</w:t></w:r>
</w:p>
<w:p>
<w:pPr><w:pStyle w:val="Normal"/></w:pPr>
<w:r><w:t xml:space="preserve">fell upon the flocks of sheep in the camp under the impression</w:t></w:r>
</w:p>
<w:p>
<w:pPr><w:pStyle w:val="Normal"/></w:pPr>
<w:r><w:t xml:space="preserve">that they were the enemy on coming to his senses, he slew</w:t></w:r>
</w:p>
<w:p>
<w:pPr><w:pStyle w:val="Normal"/></w:pPr>
<w:r><w:t xml:space="preserve">himself with the sword which he had received as a present from</w:t></w:r>
</w:p>
<w:p>
<w:pPr><w:pStyle w:val="Normal"/></w:pPr>
<w:r><w:t xml:space="preserve">Hector.  This is the account of his death given in the Ajax</w:t></w:r>
</w:p>
<w:p>
<w:pPr><w:pStyle w:val="Normal"/></w:pPr>
<w:r><w:t xml:space="preserve">of Sophocles (Pindar, Nemea, 7; Ovid, Met. xiii. 1). From</w:t></w:r>
</w:p>
<w:p>
<w:pPr><w:pStyle w:val="Normal"/></w:pPr>
<w:r><w:t xml:space="preserve">his blood sprang a red flower, as at the death of Hyacinthus,</w:t></w:r>
</w:p>
<w:p>
<w:pPr><w:pStyle w:val="Normal"/></w:pPr>
<w:r><w:t xml:space="preserve">which bore on its leaves the initial letters of his name</w:t></w:r>
</w:p>
<w:p>
<w:pPr><w:pStyle w:val="Normal"/></w:pPr>
<w:r><w:t xml:space="preserve">AI, also expressive of lament (Pausanias i. 35. 4). His ashes</w:t></w:r>
</w:p>
<w:p>
<w:pPr><w:pStyle w:val="Normal"/></w:pPr>
<w:r><w:t xml:space="preserve">were deposited in a golden urn on the Rhoetean promontory</w:t></w:r>
</w:p>
<w:p>
<w:pPr><w:pStyle w:val="Normal"/></w:pPr>
<w:r><w:t xml:space="preserve">at the entrance of the Hellespont.  Like Achilles; he is</w:t></w:r>
</w:p>
<w:p>
<w:pPr><w:pStyle w:val="Normal"/></w:pPr>
<w:r><w:t xml:space="preserve">represented as living after his death in the island of Leuke</w:t></w:r>
</w:p>
<w:p>
<w:pPr><w:pStyle w:val="Normal"/></w:pPr>
<w:r><w:t xml:space="preserve">at the mouth of the Danube (Pausanias iii. 19. 11). Ajax,</w:t></w:r>
</w:p>
<w:p>
<w:pPr><w:pStyle w:val="Normal"/></w:pPr>
<w:r><w:t xml:space="preserve">who in the post-Homeric legend is described as the grandson of</w:t></w:r>
</w:p>
<w:p>
<w:pPr><w:pStyle w:val="Normal"/></w:pPr>
<w:r><w:t xml:space="preserve">Aeacus and the great-grandson of Zeus, was the tutelary hero</w:t></w:r>
</w:p>
<w:p>
<w:pPr><w:pStyle w:val="Normal"/></w:pPr>
<w:r><w:t xml:space="preserve">of the island of.Salamis, where he had a temple and an image,</w:t></w:r>
</w:p>
<w:p>
<w:pPr><w:pStyle w:val="Normal"/></w:pPr>
<w:r><w:t xml:space="preserve">and where a festival called Aianteia was celebrated in his</w:t></w:r>
</w:p>
<w:p>
<w:pPr><w:pStyle w:val="Normal"/></w:pPr>
<w:r><w:t xml:space="preserve">honour (Pausanias i. 35). At this festival a couch was set up,</w:t></w:r>
</w:p>
<w:p>
<w:pPr><w:pStyle w:val="Normal"/></w:pPr>
<w:r><w:t xml:space="preserve">On which the panoply of the hero was placed, a practice which</w:t></w:r>
</w:p>
<w:p>
<w:pPr><w:pStyle w:val="Normal"/></w:pPr>
<w:r><w:t xml:space="preserve">recalls the Roman lectisternium. The identification of Ajax</w:t></w:r>
</w:p>
<w:p>
<w:pPr><w:pStyle w:val="Normal"/></w:pPr>
<w:r><w:t xml:space="preserve">with the family of Aeacus was chiefly a matter which concerned</w:t></w:r>
</w:p>
<w:p>
<w:pPr><w:pStyle w:val="Normal"/></w:pPr>
<w:r><w:t xml:space="preserve">the Athenians, after Salamis had come into their possession,</w:t></w:r>
</w:p>
<w:p>
<w:pPr><w:pStyle w:val="Normal"/></w:pPr>
<w:r><w:t xml:space="preserve">on which occasion Solon is said to have inserted a line in</w:t></w:r>
</w:p>
<w:p>
<w:pPr><w:pStyle w:val="Normal"/></w:pPr>
<w:r><w:t xml:space="preserve">the Iliad (ii. 557 or 558), for the purpose of supporting</w:t></w:r>
</w:p>
<w:p>
<w:pPr><w:pStyle w:val="Normal"/></w:pPr>
<w:r><w:t xml:space="preserve">the Athenian claim to the island.  Ajax then became an Attic</w:t></w:r>
</w:p>
<w:p>
<w:pPr><w:pStyle w:val="Normal"/></w:pPr>
<w:r><w:t xml:space="preserve">hero; he was worshipped at Athens, where he had a statue in the</w:t></w:r>
</w:p>
<w:p>
<w:pPr><w:pStyle w:val="Normal"/></w:pPr>
<w:r><w:t xml:space="preserve">market-place, and the tribe Aiantis was called after his name.</w:t></w:r>
</w:p>
<w:p>
<w:pPr><w:pStyle w:val="Normal"/></w:pPr>
<w:r><w:t xml:space="preserve">Many illustrious Athenians---Cimon, Miltiades, Alcibiades,</w:t></w:r>
</w:p>
<w:p>
<w:pPr><w:pStyle w:val="Normal"/></w:pPr>
<w:r><w:t xml:space="preserve">the historian Thucydides---traced their descent from Ajax.</w:t></w:r>
</w:p>
<w:p>
<w:pPr><w:pStyle w:val="Normal"/></w:pPr>
<w:r><w:t xml:space="preserve">See D. Bassi, La Leggenda di Aiace Telamonio (1890); P.</w:t></w:r>
</w:p>
<w:p>
<w:pPr><w:pStyle w:val="Normal"/></w:pPr>
<w:r><w:t xml:space="preserve">Girard, ``Ajax, fils de Telamon,&apos;&apos; 1905, in Revue des</w:t></w:r>
</w:p>
<w:p>
<w:pPr><w:pStyle w:val="Normal"/></w:pPr>
<w:r><w:t xml:space="preserve">etudes grecques, tome 18; J. Vurtheim, De Ajacie Origine,</w:t></w:r>
</w:p>
<w:p>
<w:pPr><w:pStyle w:val="Normal"/></w:pPr>
<w:r><w:t xml:space="preserve">Cultu, Patria (Leiden, 1907), accord. ing to whom he and Ajax</w:t></w:r>
</w:p>
<w:p>
<w:pPr><w:pStyle w:val="Normal"/></w:pPr>
<w:r><w:t xml:space="preserve">Oileus, as depicted in epos, were originally one, a Locrian</w:t></w:r>
</w:p>
<w:p>
<w:pPr><w:pStyle w:val="Normal"/></w:pPr>
<w:r><w:t xml:space="preserve">daemon somewhat resembling the giants.  When this spirit put on</w:t></w:r>
</w:p>
<w:p>
<w:pPr><w:pStyle w:val="Normal"/></w:pPr>
<w:r><w:t xml:space="preserve">human form and became known at the Saronic Gulf, he developed</w:t></w:r>
</w:p>
<w:p>
<w:pPr><w:pStyle w:val="Normal"/></w:pPr>
<w:r><w:t xml:space="preserve">into the ``greater&apos;&apos; Ajax, while among the Locrians he remained</w:t></w:r>
</w:p>
<w:p>
<w:pPr><w:pStyle w:val="Normal"/></w:pPr>
<w:r><w:t xml:space="preserve">the ``lesser.&apos;&apos; In the article GREEK ART fig. 13 (from a</w:t></w:r>
</w:p>
<w:p>
<w:pPr><w:pStyle w:val="Normal"/></w:pPr>
<w:r><w:t xml:space="preserve">black-figured Corinthian vase) represents the suicide of Ajax.</w:t></w:r>
</w:p>
<w:p>
<w:pPr><w:pStyle w:val="Normal"/></w:pPr>
<w:r><w:t xml:space="preserve">AJMERE, or AJMER, a city of British India in Ra)putana.</w:t></w:r>
</w:p>
<w:p>
<w:pPr><w:pStyle w:val="Normal"/></w:pPr>
<w:r><w:t xml:space="preserve">which gives its name to a district and also,to a petty</w:t></w:r>
</w:p>
<w:p>
<w:pPr><w:pStyle w:val="Normal"/></w:pPr>
<w:r><w:t xml:space="preserve">province called Ajmere-Meirwara.  It is situated in 26 deg.</w:t></w:r>
</w:p>
<w:p>
<w:pPr><w:pStyle w:val="Normal"/></w:pPr>
<w:r><w:t xml:space="preserve">27, N. lat. and 74 deg.  44, E. long., on the lower slopes</w:t></w:r>
</w:p>
<w:p>
<w:pPr><w:pStyle w:val="Normal"/></w:pPr>
<w:r><w:t xml:space="preserve">of Taragarh hill, in the Aravalli mountains.  To the</w:t></w:r>
</w:p>
<w:p>
<w:pPr><w:pStyle w:val="Normal"/></w:pPr>
<w:r><w:t xml:space="preserve">north of the city is a large artificial lake called the</w:t></w:r>
</w:p>
<w:p>
<w:pPr><w:pStyle w:val="Normal"/></w:pPr>
<w:r><w:t xml:space="preserve">Anasagar, whence the water supply of the place is derived.</w:t></w:r>
</w:p>
<w:p>
<w:pPr><w:pStyle w:val="Normal"/></w:pPr>
<w:r><w:t xml:space="preserve">The chief object of interest is the darga, or tomb of a</w:t></w:r>
</w:p>
<w:p>
<w:pPr><w:pStyle w:val="Normal"/></w:pPr>
<w:r><w:t xml:space="preserve">famous Mahommedan saint named Mayud-uddin.  It is situated at</w:t></w:r>
</w:p>
<w:p>
<w:pPr><w:pStyle w:val="Normal"/></w:pPr>
<w:r><w:t xml:space="preserve">the foot of the Taragarh mountain, and consists of a block of</w:t></w:r>
</w:p>
<w:p>
<w:pPr><w:pStyle w:val="Normal"/></w:pPr>
<w:r><w:t xml:space="preserve">white marble buildings without much pretension to architectural</w:t></w:r>
</w:p>
<w:p>
<w:pPr><w:pStyle w:val="Normal"/></w:pPr>
<w:r><w:t xml:space="preserve">beauty.  To this place the emperor Akbar, with his empress,</w:t></w:r>
</w:p>
<w:p>
<w:pPr><w:pStyle w:val="Normal"/></w:pPr>
<w:r><w:t xml:space="preserve">performed a pilgrimage on foot from Agra in accordance</w:t></w:r>
</w:p>
<w:p>
<w:pPr><w:pStyle w:val="Normal"/></w:pPr>
<w:r><w:t xml:space="preserve">with the terms of a vow he had made when praying for a</w:t></w:r>
</w:p>
<w:p>
<w:pPr><w:pStyle w:val="Normal"/></w:pPr>
<w:r><w:t xml:space="preserve">son.  The large pillars erected at intervals of two miles the</w:t></w:r>
</w:p>
<w:p>
<w:pPr><w:pStyle w:val="Normal"/></w:pPr>
<w:r><w:t xml:space="preserve">whole way, to mark the daily halting-place of the imperial</w:t></w:r>
</w:p>
<w:p>
<w:pPr><w:pStyle w:val="Normal"/></w:pPr>
<w:r><w:t xml:space="preserve">pilgrim, are still extant.  An ancient Jain temple, now</w:t></w:r>
</w:p>
<w:p>
<w:pPr><w:pStyle w:val="Normal"/></w:pPr>
<w:r><w:t xml:space="preserve">converted into a Mahommedan mosque, is situated on the lower</w:t></w:r>
</w:p>
<w:p>
<w:pPr><w:pStyle w:val="Normal"/></w:pPr>
<w:r><w:t xml:space="preserve">slope of the Taragarh hill.  With the exception of that part</w:t></w:r>
</w:p>
<w:p>
<w:pPr><w:pStyle w:val="Normal"/></w:pPr>
<w:r><w:t xml:space="preserve">used as a mosque, nearly the whole of the ancient temple</w:t></w:r>
</w:p>
<w:p>
<w:pPr><w:pStyle w:val="Normal"/></w:pPr>
<w:r><w:t xml:space="preserve">has fallen into ruins, but the relics are not excelled in</w:t></w:r>
</w:p>
<w:p>
<w:pPr><w:pStyle w:val="Normal"/></w:pPr>
<w:r><w:t xml:space="preserve">beauty of architecture and sculpture by any remains of Hindu</w:t></w:r>
</w:p>
<w:p>
<w:pPr><w:pStyle w:val="Normal"/></w:pPr>
<w:r><w:t xml:space="preserve">art.  Forty columns support the r00f, but no two are alike,</w:t></w:r>
</w:p>
<w:p>
<w:pPr><w:pStyle w:val="Normal"/></w:pPr>
<w:r><w:t xml:space="preserve">and great fertility of invention is manifested in the</w:t></w:r>
</w:p>
<w:p>
<w:pPr><w:pStyle w:val="Normal"/></w:pPr>
<w:r><w:t xml:space="preserve">execution Of the ornaments.  The summit of Taragarh hill,</w:t></w:r>
</w:p>
<w:p>
<w:pPr><w:pStyle w:val="Normal"/></w:pPr>
<w:r><w:t xml:space="preserve">overhanging Ajmere, is crowned by a foot, the lofty thick</w:t></w:r>
</w:p>
<w:p>
<w:pPr><w:pStyle w:val="Normal"/></w:pPr>
<w:r><w:t xml:space="preserve">battlements of which run along its brow and enclose the</w:t></w:r>
</w:p>
<w:p>
<w:pPr><w:pStyle w:val="Normal"/></w:pPr>
<w:r><w:t xml:space="preserve">table-land.  The walls are 2 m. in circumference, and the</w:t></w:r>
</w:p>
<w:p>
<w:pPr><w:pStyle w:val="Normal"/></w:pPr>
<w:r><w:t xml:space="preserve">fort can only be approached by steep and very roughly paved</w:t></w:r>
</w:p>
<w:p>
<w:pPr><w:pStyle w:val="Normal"/></w:pPr>
<w:r><w:t xml:space="preserve">planes, commanded by the fort and the outworks, and by the</w:t></w:r>
</w:p>
<w:p>
<w:pPr><w:pStyle w:val="Normal"/></w:pPr>
<w:r><w:t xml:space="preserve">hill to the west.  On coming into the hands of the English,</w:t></w:r>
</w:p>
<w:p>
<w:pPr><w:pStyle w:val="Normal"/></w:pPr>
<w:r><w:t xml:space="preserve">the fort Was dismantled by order of Lord William Bentinck,</w:t></w:r>
</w:p>
<w:p>
<w:pPr><w:pStyle w:val="Normal"/></w:pPr>
<w:r><w:t xml:space="preserve">and is now converted into a sanatorium for the troops at</w:t></w:r>
</w:p>
<w:p>
<w:pPr><w:pStyle w:val="Normal"/></w:pPr>
<w:r><w:t xml:space="preserve">Xasirabad.  Ajmere was founded about the year 145 A.p. by</w:t></w:r>
</w:p>
<w:p>
<w:pPr><w:pStyle w:val="Normal"/></w:pPr>
<w:r><w:t xml:space="preserve">AJi, a Chauhan, who established the dynasty which continued</w:t></w:r>
</w:p>
<w:p>
<w:pPr><w:pStyle w:val="Normal"/></w:pPr>
<w:r><w:t xml:space="preserve">to rule the country (with many vicissitudes of fortune) while</w:t></w:r>
</w:p>
<w:p>
<w:pPr><w:pStyle w:val="Normal"/></w:pPr>
<w:r><w:t xml:space="preserve">the repeated waves of Mahommedan invasion swept over India,</w:t></w:r>
</w:p>
<w:p>
<w:pPr><w:pStyle w:val="Normal"/></w:pPr>
<w:r><w:t xml:space="preserve">until it eventually became an appanage of the crown Of Delhi in</w:t></w:r>
</w:p>
<w:p>
<w:pPr><w:pStyle w:val="Normal"/></w:pPr>
<w:r><w:t xml:space="preserve">1193.  Its internal government, however, was handed over to</w:t></w:r>
</w:p>
<w:p>
<w:pPr><w:pStyle w:val="Normal"/></w:pPr>
<w:r><w:t xml:space="preserve">its ancient rulers upon the payment of a heavy tribute to the</w:t></w:r>
</w:p>
<w:p>
<w:pPr><w:pStyle w:val="Normal"/></w:pPr>
<w:r><w:t xml:space="preserve">conquerors.  It then remained feudatory to Delhi till 1365,</w:t></w:r>
</w:p>
<w:p>
<w:pPr><w:pStyle w:val="Normal"/></w:pPr>
<w:r><w:t xml:space="preserve">when it was captured by the ruler of Mewar.  In 1509 the place</w:t></w:r>
</w:p>
<w:p>
<w:pPr><w:pStyle w:val="Normal"/></w:pPr>
<w:r><w:t xml:space="preserve">became a source of Contention between the chiefs of Mewar and</w:t></w:r>
</w:p>
<w:p>
<w:pPr><w:pStyle w:val="Normal"/></w:pPr>
<w:r><w:t xml:space="preserve">Marwar, and was ultimately Conquered in 1532 by the latter</w:t></w:r>
</w:p>
<w:p>
<w:pPr><w:pStyle w:val="Normal"/></w:pPr>
<w:r><w:t xml:space="preserve">prince, who in his turn in 1559 had to give way before the emperor</w:t></w:r>
</w:p>
<w:p>
<w:pPr><w:pStyle w:val="Normal"/></w:pPr>
<w:r><w:t xml:space="preserve">Akbar.  It continued in the hands of the Moguls, with occasional</w:t></w:r>
</w:p>
<w:p>
<w:pPr><w:pStyle w:val="Normal"/></w:pPr>
<w:r><w:t xml:space="preserve">revolts, till 1770, when it was ceded to the Mahrattas, from</w:t></w:r>
</w:p>
<w:p>
<w:pPr><w:pStyle w:val="Normal"/></w:pPr>
<w:r><w:t xml:space="preserve">which time up to 1818 the unhappy district was the scene of</w:t></w:r>
</w:p>
<w:p>
<w:pPr><w:pStyle w:val="Normal"/></w:pPr>
<w:r><w:t xml:space="preserve">a continual struggle, being seized at different times by the</w:t></w:r>
</w:p>
<w:p>
<w:pPr><w:pStyle w:val="Normal"/></w:pPr>
<w:r><w:t xml:space="preserve">Mewar and Marwar rajas, from whom it was as often retaken by</w:t></w:r>
</w:p>
<w:p>
<w:pPr><w:pStyle w:val="Normal"/></w:pPr>
<w:r><w:t xml:space="preserve">the Mahrattas.  In 1818 the latter ceded it to the British</w:t></w:r>
</w:p>
<w:p>
<w:pPr><w:pStyle w:val="Normal"/></w:pPr>
<w:r><w:t xml:space="preserve">in return for a payment of 50,000 rupees.  Since then the</w:t></w:r>
</w:p>
<w:p>
<w:pPr><w:pStyle w:val="Normal"/></w:pPr>
<w:r><w:t xml:space="preserve">country has enjoyed unbroken peace and a stable government.</w:t></w:r>
</w:p>
<w:p>
<w:pPr><w:pStyle w:val="Normal"/></w:pPr>
<w:r><w:t xml:space="preserve">The modern city is an important station on the Rajputana</w:t></w:r>
</w:p>
<w:p>
<w:pPr><w:pStyle w:val="Normal"/></w:pPr>
<w:r><w:t xml:space="preserve">railway, 615 m. from BOmbay and 275 m. from Delhi, with a</w:t></w:r>
</w:p>
<w:p>
<w:pPr><w:pStyle w:val="Normal"/></w:pPr>
<w:r><w:t xml:space="preserve">branch running due south to the Great Indian Peninsula main</w:t></w:r>
</w:p>
<w:p>
<w:pPr><w:pStyle w:val="Normal"/></w:pPr>
<w:r><w:t xml:space="preserve">line.  The city is well laid out with wide streets and handsome</w:t></w:r>
</w:p>
<w:p>
<w:pPr><w:pStyle w:val="Normal"/></w:pPr>
<w:r><w:t xml:space="preserve">houses.  The city trade chiefly consists of salt and opium.</w:t></w:r>
</w:p>
<w:p>
<w:pPr><w:pStyle w:val="Normal"/></w:pPr>
<w:r><w:t xml:space="preserve">The former is inlported in large quantities from the Sambar</w:t></w:r>
</w:p>
<w:p>
<w:pPr><w:pStyle w:val="Normal"/></w:pPr>
<w:r><w:t xml:space="preserve">lake and Ramsur.  Oil-making is also a profitable branch of</w:t></w:r>
</w:p>
<w:p>
<w:pPr><w:pStyle w:val="Normal"/></w:pPr>
<w:r><w:t xml:space="preserve">trade.  Cotton cloths are manufactured to some extent, for</w:t></w:r>
</w:p>
<w:p>
<w:pPr><w:pStyle w:val="Normal"/></w:pPr>
<w:r><w:t xml:space="preserve">the dyeing Of which the city has attained a high reputation2</w:t></w:r>
</w:p>
<w:p>
<w:pPr><w:pStyle w:val="Normal"/></w:pPr>
<w:r><w:t xml:space="preserve">The educational institutions include the Majo Rajkumar</w:t></w:r>
</w:p>
<w:p>
<w:pPr><w:pStyle w:val="Normal"/></w:pPr>
<w:r><w:t xml:space="preserve">college, opened in 1875, for training the sons of the nobles of</w:t></w:r>
</w:p>
<w:p>
<w:pPr><w:pStyle w:val="Normal"/></w:pPr>
<w:r><w:t xml:space="preserve">Rajputana, on the lines of an English public school.  Population</w:t></w:r>
</w:p>
<w:p>
<w:pPr><w:pStyle w:val="Normal"/></w:pPr>
<w:r><w:t xml:space="preserve">(1901) 73,839, showing an increase of 10% in the decade.</w:t></w:r>
</w:p>
<w:p>
<w:pPr><w:pStyle w:val="Normal"/></w:pPr>
<w:r><w:t xml:space="preserve">The DISTRICT OF AJMERE, which forms the largest part of</w:t></w:r>
</w:p>
<w:p>
<w:pPr><w:pStyle w:val="Normal"/></w:pPr>
<w:r><w:t xml:space="preserve">the province of Ajmere-Merwara, has an area of 2069 sq.</w:t></w:r>
</w:p>
<w:p>
<w:pPr><w:pStyle w:val="Normal"/></w:pPr>
<w:r><w:t xml:space="preserve">m.  The eastern portion of the district is generally flat,</w:t></w:r>
</w:p>
<w:p>
<w:pPr><w:pStyle w:val="Normal"/></w:pPr>
<w:r><w:t xml:space="preserve">broken only by gentle undulations, but the western parts, from</w:t></w:r>
</w:p>
<w:p>
<w:pPr><w:pStyle w:val="Normal"/></w:pPr>
<w:r><w:t xml:space="preserve">north-west to south-west, are intersected by the great Aravalli</w:t></w:r>
</w:p>
<w:p>
<w:pPr><w:pStyle w:val="Normal"/></w:pPr>
<w:r><w:t xml:space="preserve">range.  Many of the valleys in this region are mere sandy</w:t></w:r>
</w:p>
<w:p>
<w:pPr><w:pStyle w:val="Normal"/></w:pPr>
<w:r><w:t xml:space="preserve">deserts, with an occasional oasis of cultivation, but there</w:t></w:r>
</w:p>
<w:p>
<w:pPr><w:pStyle w:val="Normal"/></w:pPr>
<w:r><w:t xml:space="preserve">are also some very fertile tracts; among these is the plain</w:t></w:r>
</w:p>
<w:p>
<w:pPr><w:pStyle w:val="Normal"/></w:pPr>
<w:r><w:t xml:space="preserve">on which lies the town of Ajmere.  This valley, however, is</w:t></w:r>
</w:p>
<w:p>
<w:pPr><w:pStyle w:val="Normal"/></w:pPr>
<w:r><w:t xml:space="preserve">not only fortunate in possessing a noble artificial lake, but</w:t></w:r>
</w:p>
<w:p>
<w:pPr><w:pStyle w:val="Normal"/></w:pPr>
<w:r><w:t xml:space="preserve">is protected by the massive walls of the Nagpathar range or</w:t></w:r>
</w:p>
<w:p>
<w:pPr><w:pStyle w:val="Normal"/></w:pPr>
<w:r><w:t xml:space="preserve">Serpent rock, which forms a harrier against the sand.  The</w:t></w:r>
</w:p>
<w:p>
<w:pPr><w:pStyle w:val="Normal"/></w:pPr>
<w:r><w:t xml:space="preserve">only hills in the district are the Aravalli range and its</w:t></w:r>
</w:p>
<w:p>
<w:pPr><w:pStyle w:val="Normal"/></w:pPr>
<w:r><w:t xml:space="preserve">offshoots.  Ajmere is almost totally devoid of rivers, the Banas</w:t></w:r>
</w:p>
<w:p>
<w:pPr><w:pStyle w:val="Normal"/></w:pPr>
<w:r><w:t xml:space="preserve">being the only stream which can be dignified with that name,</w:t></w:r>
</w:p>
<w:p>
<w:pPr><w:pStyle w:val="Normal"/></w:pPr>
<w:r><w:t xml:space="preserve">and it only touches the south-eastern boundary of the district</w:t></w:r>
</w:p>
<w:p>
<w:pPr><w:pStyle w:val="Normal"/></w:pPr>
<w:r><w:t xml:space="preserve">so as to irrigate the pargana of Samur.  Four small streams</w:t></w:r>
</w:p>
<w:p>
<w:pPr><w:pStyle w:val="Normal"/></w:pPr>
<w:r><w:t xml:space="preserve">---the Sagarmati, Saraswati, Khari and Dai-also intersect the</w:t></w:r>
</w:p>
<w:p>
<w:pPr><w:pStyle w:val="Normal"/></w:pPr>
<w:r><w:t xml:space="preserve">district.  In the dry weather they are little more than brooks.</w:t></w:r>
</w:p>
<w:p>
<w:pPr><w:pStyle w:val="Normal"/></w:pPr>
<w:r><w:t xml:space="preserve">The population in 1901 was 7453, showing a decrease of 13% in the</w:t></w:r>
</w:p>
<w:p>
<w:pPr><w:pStyle w:val="Normal"/></w:pPr>
<w:r><w:t xml:space="preserve">decade.  Besides the city of Ajmere, the district contains the</w:t></w:r>
</w:p>
<w:p>
<w:pPr><w:pStyle w:val="Normal"/></w:pPr>
<w:r><w:t xml:space="preserve">military station of Nasirabad, with a population of 22,494.</w:t></w:r>
</w:p>
<w:p>
<w:pPr><w:pStyle w:val="Normal"/></w:pPr>
<w:r><w:t xml:space="preserve">AJMERE-MERWARA, a division or petty province of British</w:t></w:r>
</w:p>
<w:p>
<w:pPr><w:pStyle w:val="Normal"/></w:pPr>
<w:r><w:t xml:space="preserve">India, in Rajputana, consisting of the two districts of</w:t></w:r>
</w:p>
<w:p>
<w:pPr><w:pStyle w:val="Normal"/></w:pPr>
<w:r><w:t xml:space="preserve">Ajmere and Merwara, separated from each other and isolated</w:t></w:r>
</w:p>
<w:p>
<w:pPr><w:pStyle w:val="Normal"/></w:pPr>
<w:r><w:t xml:space="preserve">amid native states.  The administration is in the hands of a</w:t></w:r>
</w:p>
<w:p>
<w:pPr><w:pStyle w:val="Normal"/></w:pPr>
<w:r><w:t xml:space="preserve">commissioner, subordinate to the governor-general&apos;s agent for</w:t></w:r>
</w:p>
<w:p>
<w:pPr><w:pStyle w:val="Normal"/></w:pPr>
<w:r><w:t xml:space="preserve">Rajputana.  The capital is Ajmere city.  The area is 2710 sq.</w:t></w:r>
</w:p>
<w:p>
<w:pPr><w:pStyle w:val="Normal"/></w:pPr>
<w:r><w:t xml:space="preserve">m.  The plateau, on whose centre stands the town of Ajmere,</w:t></w:r>
</w:p>
<w:p>
<w:pPr><w:pStyle w:val="Normal"/></w:pPr>
<w:r><w:t xml:space="preserve">may be considered as the highest point in the plains of</w:t></w:r>
</w:p>
<w:p>
<w:pPr><w:pStyle w:val="Normal"/></w:pPr>
<w:r><w:t xml:space="preserve">Hindustan; from the circle of hills which hem it in, the</w:t></w:r>
</w:p>
<w:p>
<w:pPr><w:pStyle w:val="Normal"/></w:pPr>
<w:r><w:t xml:space="preserve">country slopes away on every side---towards river valleys on</w:t></w:r>
</w:p>
<w:p>
<w:pPr><w:pStyle w:val="Normal"/></w:pPr>
<w:r><w:t xml:space="preserve">the east, south, west and towards the desert region on the</w:t></w:r>
</w:p>
<w:p>
<w:pPr><w:pStyle w:val="Normal"/></w:pPr>
<w:r><w:t xml:space="preserve">north.  The Aravalli range is the distinguishing feature of the</w:t></w:r>
</w:p>
<w:p>
<w:pPr><w:pStyle w:val="Normal"/></w:pPr>
<w:r><w:t xml:space="preserve">district.  The range of hills which runs between Ajmere and</w:t></w:r>
</w:p>
<w:p>
<w:pPr><w:pStyle w:val="Normal"/></w:pPr>
<w:r><w:t xml:space="preserve">Nasirabad marks the watershed of the continent of India.</w:t></w:r>
</w:p>
<w:p>
<w:pPr><w:pStyle w:val="Normal"/></w:pPr>
<w:r><w:t xml:space="preserve">The rain which falls on one side drains into the Chambal,</w:t></w:r>
</w:p>
<w:p>
<w:pPr><w:pStyle w:val="Normal"/></w:pPr>
<w:r><w:t xml:space="preserve">and so into the Bay of Bengal; that which falls on the other</w:t></w:r>
</w:p>
<w:p>
<w:pPr><w:pStyle w:val="Normal"/></w:pPr>
<w:r><w:t xml:space="preserve">side into the Luni, which discharges itself into the Runn of</w:t></w:r>
</w:p>
<w:p>
<w:pPr><w:pStyle w:val="Normal"/></w:pPr>
<w:r><w:t xml:space="preserve">Cutch.  The province is on the border of what may be called</w:t></w:r>
</w:p>
<w:p>
<w:pPr><w:pStyle w:val="Normal"/></w:pPr>
<w:r><w:t xml:space="preserve">the arid ``zone&apos;&apos;; it is the debatable land between the</w:t></w:r>
</w:p>
<w:p>
<w:pPr><w:pStyle w:val="Normal"/></w:pPr>
<w:r><w:t xml:space="preserve">north-eastern and south-western monsoons, and beyond the</w:t></w:r>
</w:p>
<w:p>
<w:pPr><w:pStyle w:val="Normal"/></w:pPr>
<w:r><w:t xml:space="preserve">influence of either.  The south-west monsoon sweeps up the</w:t></w:r>
</w:p>
<w:p>
<w:pPr><w:pStyle w:val="Normal"/></w:pPr>
<w:r><w:t xml:space="preserve">Nerbudda valley from Bombay and crossing the tableland at</w:t></w:r>
</w:p>
<w:p>
<w:pPr><w:pStyle w:val="Normal"/></w:pPr>
<w:r><w:t xml:space="preserve">Neemuch gives copious supplies to Malwa, Jhalawar and Kotah</w:t></w:r>
</w:p>
<w:p>
<w:pPr><w:pStyle w:val="Normal"/></w:pPr>
<w:r><w:t xml:space="preserve">and the countries which lie in the course of the Chambal</w:t></w:r>
</w:p>
<w:p>
<w:pPr><w:pStyle w:val="Normal"/></w:pPr>
<w:r><w:t xml:space="preserve">river.  The clouds which strike Kathiawar and Cutch are</w:t></w:r>
</w:p>
<w:p>
<w:pPr><w:pStyle w:val="Normal"/></w:pPr>
<w:r><w:t xml:space="preserve">deprived of a great deal of their moisture by the hills in those</w:t></w:r>
</w:p>
<w:p>
<w:pPr><w:pStyle w:val="Normal"/></w:pPr>
<w:r><w:t xml:space="preserve">countries, and the greater part of the remainder is deposited</w:t></w:r>
</w:p>
<w:p>
<w:pPr><w:pStyle w:val="Normal"/></w:pPr>
<w:r><w:t xml:space="preserve">on Mount Abu and the higher slopes of the Aravalli mountains,</w:t></w:r>
</w:p>
<w:p>
<w:pPr><w:pStyle w:val="Normal"/></w:pPr>
<w:r><w:t xml:space="preserve">leaving but little for Merwara, where the hills are lower,</w:t></w:r>
</w:p>
<w:p>
<w:pPr><w:pStyle w:val="Normal"/></w:pPr>
<w:r><w:t xml:space="preserve">and still less for Ajmere.  It is only when the monsoon is in</w:t></w:r>
</w:p>
<w:p>
<w:pPr><w:pStyle w:val="Normal"/></w:pPr>
<w:r><w:t xml:space="preserve">considerable force that Merwara gets a plentiful supply from</w:t></w:r>
</w:p>
<w:p>
<w:pPr><w:pStyle w:val="Normal"/></w:pPr>
<w:r><w:t xml:space="preserve">it.  The north-eastern monsoon sweeps up the valley of the</w:t></w:r>
</w:p>
<w:p>
<w:pPr><w:pStyle w:val="Normal"/></w:pPr>
<w:r><w:t xml:space="preserve">Ganges from the Bay of Bengal and waters the northern part of</w:t></w:r>
</w:p>
<w:p>
<w:pPr><w:pStyle w:val="Normal"/></w:pPr>
<w:r><w:t xml:space="preserve">Rajputana, but hardly penetrates farther west than the longitude</w:t></w:r>
</w:p>
<w:p>
<w:pPr><w:pStyle w:val="Normal"/></w:pPr>
<w:r><w:t xml:space="preserve">of Ajmere.  On the varying strength of these two monsoons</w:t></w:r>
</w:p>
<w:p>
<w:pPr><w:pStyle w:val="Normal"/></w:pPr>
<w:r><w:t xml:space="preserve">the rainfall of the district depends.  The agriculturist</w:t></w:r>
</w:p>
<w:p>
<w:pPr><w:pStyle w:val="Normal"/></w:pPr>
<w:r><w:t xml:space="preserve">in Ajmere-Merwara can never rely upon two good harvests in</w:t></w:r>
</w:p>
<w:p>
<w:pPr><w:pStyle w:val="Normal"/></w:pPr>
<w:r><w:t xml:space="preserve">succession.  A province subject to such conditions can hardly</w:t></w:r>
</w:p>
<w:p>
<w:pPr><w:pStyle w:val="Normal"/></w:pPr>
<w:r><w:t xml:space="preserve">be free from famine or scarcity for any length of time;</w:t></w:r>
</w:p>
<w:p>
<w:pPr><w:pStyle w:val="Normal"/></w:pPr>
<w:r><w:t xml:space="preserve">accordingly it was visited by two famines, one of unprecedented</w:t></w:r>
</w:p>
<w:p>
<w:pPr><w:pStyle w:val="Normal"/></w:pPr>
<w:r><w:t xml:space="preserve">severity, and one scarcity, in the decade 1891-1901.  In</w:t></w:r>
</w:p>
<w:p>
<w:pPr><w:pStyle w:val="Normal"/></w:pPr>
<w:r><w:t xml:space="preserve">June 1900 the number of persons in receipt of relief was</w:t></w:r>
</w:p>
<w:p>
<w:pPr><w:pStyle w:val="Normal"/></w:pPr>
<w:r><w:t xml:space="preserve">143,000, being more than one fourth of the total population.</w:t></w:r>
</w:p>
<w:p>
<w:pPr><w:pStyle w:val="Normal"/></w:pPr>
<w:r><w:t xml:space="preserve">In 1901 the population was 476,912, showing a decrease of 12%</w:t></w:r>
</w:p>
<w:p>
<w:pPr><w:pStyle w:val="Normal"/></w:pPr>
<w:r><w:t xml:space="preserve">in the decade, due to the results of famine.  Among Hindus,</w:t></w:r>
</w:p>
<w:p>
<w:pPr><w:pStyle w:val="Normal"/></w:pPr>
<w:r><w:t xml:space="preserve">the Rajputs are land-holders, and the Jats and Gujars are</w:t></w:r>
</w:p>
<w:p>
<w:pPr><w:pStyle w:val="Normal"/></w:pPr>
<w:r><w:t xml:space="preserve">cultivators.  The Jains are traders and money-lenders.</w:t></w:r>
</w:p>
<w:p>
<w:pPr><w:pStyle w:val="Normal"/></w:pPr>
<w:r><w:t xml:space="preserve">The aboriginal tribe of Mers are divided between Hindus and</w:t></w:r>
</w:p>
<w:p>
<w:pPr><w:pStyle w:val="Normal"/></w:pPr>
<w:r><w:t xml:space="preserve">Mahommedans.  The chief crops are millet, wheat, cotton and</w:t></w:r>
</w:p>
<w:p>
<w:pPr><w:pStyle w:val="Normal"/></w:pPr>
<w:r><w:t xml:space="preserve">oil-seeds.  There are several factories for spinning and pressing</w:t></w:r>
</w:p>
<w:p>
<w:pPr><w:pStyle w:val="Normal"/></w:pPr>
<w:r><w:t xml:space="preserve">cotton, the chief trading centres being Beawar and Kekri.</w:t></w:r>
</w:p>
<w:p>
<w:pPr><w:pStyle w:val="Normal"/></w:pPr>
<w:r><w:t xml:space="preserve">AJODHYA, an ancient city of India, the prehistoric capital of</w:t></w:r>
</w:p>
<w:p>
<w:pPr><w:pStyle w:val="Normal"/></w:pPr>
<w:r><w:t xml:space="preserve">Oudh, in the Fyzabad district of the United Provinces.  It is</w:t></w:r>
</w:p>
<w:p>
<w:pPr><w:pStyle w:val="Normal"/></w:pPr>
<w:r><w:t xml:space="preserve">situated on the right bank of the Gogra.  In the present day</w:t></w:r>
</w:p>
<w:p>
<w:pPr><w:pStyle w:val="Normal"/></w:pPr>
<w:r><w:t xml:space="preserve">the old city has almost entirely disappeared, and its site</w:t></w:r>
</w:p>
<w:p>
<w:pPr><w:pStyle w:val="Normal"/></w:pPr>
<w:r><w:t xml:space="preserve">is marked only by a heap of ruins; but in remote antiquity</w:t></w:r>
</w:p>
<w:p>
<w:pPr><w:pStyle w:val="Normal"/></w:pPr>
<w:r><w:t xml:space="preserve">Ajodhya was one of the largest and most magnificent of Indian</w:t></w:r>
</w:p>
<w:p>
<w:pPr><w:pStyle w:val="Normal"/></w:pPr>
<w:r><w:t xml:space="preserve">cities.  It is said to have covered an area of 96 m., and</w:t></w:r>
</w:p>
<w:p>
<w:pPr><w:pStyle w:val="Normal"/></w:pPr>
<w:r><w:t xml:space="preserve">was the capital of the kingdom of Kosala, the court of the</w:t></w:r>
</w:p>
<w:p>
<w:pPr><w:pStyle w:val="Normal"/></w:pPr>
<w:r><w:t xml:space="preserve">great king Dasaratha, the fifty-sixth monarch of the Solar</w:t></w:r>
</w:p>
<w:p>
<w:pPr><w:pStyle w:val="Normal"/></w:pPr>
<w:r><w:t xml:space="preserve">line in descent from Raja Manu.  The opening chapters of the</w:t></w:r>
</w:p>
<w:p>
<w:pPr><w:pStyle w:val="Normal"/></w:pPr>
<w:r><w:t xml:space="preserve">Ramayana recount the magnificence of the city, the glories</w:t></w:r>
</w:p>
<w:p>
<w:pPr><w:pStyle w:val="Normal"/></w:pPr>
<w:r><w:t xml:space="preserve">of the monarch and the virtues, wealth and loyalty of his</w:t></w:r>
</w:p>
<w:p>
<w:pPr><w:pStyle w:val="Normal"/></w:pPr>
<w:r><w:t xml:space="preserve">people.  Dasaratha was the father of Rama Chandra, the hero</w:t></w:r>
</w:p>
<w:p>
<w:pPr><w:pStyle w:val="Normal"/></w:pPr>
<w:r><w:t xml:space="preserve">of the epic.  A period of Buddhist supremacy followed the</w:t></w:r>
</w:p>
<w:p>
<w:pPr><w:pStyle w:val="Normal"/></w:pPr>
<w:r><w:t xml:space="preserve">death of the last king of the Solar dynasty.  On the revival</w:t></w:r>
</w:p>
<w:p>
<w:pPr><w:pStyle w:val="Normal"/></w:pPr>
<w:r><w:t xml:space="preserve">of Brahmanism Ajodhya was restored by King Vikramaditya</w:t></w:r>
</w:p>
<w:p>
<w:pPr><w:pStyle w:val="Normal"/></w:pPr>
<w:r><w:t xml:space="preserve">(c. 57 B.C..) Kosala is also famous as the early home</w:t></w:r>
</w:p>
<w:p>
<w:pPr><w:pStyle w:val="Normal"/></w:pPr>
<w:r><w:t xml:space="preserve">of Buddhism, and of the kindred religion of Jainism, and</w:t></w:r>
</w:p>
<w:p>
<w:pPr><w:pStyle w:val="Normal"/></w:pPr>
<w:r><w:t xml:space="preserve">claims to be the birthplace of the founders of both these</w:t></w:r>
</w:p>
<w:p>
<w:pPr><w:pStyle w:val="Normal"/></w:pPr>
<w:r><w:t xml:space="preserve">faiths.  The Chinese traveller, Hsuan Tsang, in the 7th</w:t></w:r>
</w:p>
<w:p>
<w:pPr><w:pStyle w:val="Normal"/></w:pPr>
<w:r><w:t xml:space="preserve">century, found 20 Buddhist temples with 3000 monks at</w:t></w:r>
</w:p>
<w:p>
<w:pPr><w:pStyle w:val="Normal"/></w:pPr>
<w:r><w:t xml:space="preserve">Ajodhya among a large Brahmanical population.  The modern</w:t></w:r>
</w:p>
<w:p>
<w:pPr><w:pStyle w:val="Normal"/></w:pPr>
<w:r><w:t xml:space="preserve">town of Ajodhya contains 96 Hindu temples and 36 Mussulman</w:t></w:r>
</w:p>
<w:p>
<w:pPr><w:pStyle w:val="Normal"/></w:pPr>
<w:r><w:t xml:space="preserve">mosques.  Little local trade is carried on, but the great fair</w:t></w:r>
</w:p>
<w:p>
<w:pPr><w:pStyle w:val="Normal"/></w:pPr>
<w:r><w:t xml:space="preserve">of Ramnami held every year is attended by about 500,000 people.</w:t></w:r>
</w:p>
<w:p>
<w:pPr><w:pStyle w:val="Normal"/></w:pPr>
<w:r><w:t xml:space="preserve">AKABA, GULF OF, the Sinus Aelaniticus of antiquity,</w:t></w:r>
</w:p>
<w:p>
<w:pPr><w:pStyle w:val="Normal"/></w:pPr>
<w:r><w:t xml:space="preserve">the eastern of the two divisions into which the Red Sea</w:t></w:r>
</w:p>
<w:p>
<w:pPr><w:pStyle w:val="Normal"/></w:pPr>
<w:r><w:t xml:space="preserve">bifurcates near its northern extremity.  It penetrates into</w:t></w:r>
</w:p>
<w:p>
<w:pPr><w:pStyle w:val="Normal"/></w:pPr>
<w:r><w:t xml:space="preserve">Arabia Petraea in a N.N.E. direction, from 28 deg.  to 29 deg.  32&apos;</w:t></w:r>
</w:p>
<w:p>
<w:pPr><w:pStyle w:val="Normal"/></w:pPr>
<w:r><w:t xml:space="preserve">N., a distance of 100 m., and its breadth varies from 12 to 17</w:t></w:r>
</w:p>
<w:p>
<w:pPr><w:pStyle w:val="Normal"/></w:pPr>
<w:r><w:t xml:space="preserve">m.  The entrance is contracted by Tiran and other islands,</w:t></w:r>
</w:p>
<w:p>
<w:pPr><w:pStyle w:val="Normal"/></w:pPr>
<w:r><w:t xml:space="preserve">so that the passage is rendered somewhat difficult; and its</w:t></w:r>
</w:p>
<w:p>
<w:pPr><w:pStyle w:val="Normal"/></w:pPr>
<w:r><w:t xml:space="preserve">navigation is dangerous on account of the numerous coral</w:t></w:r>
</w:p>
<w:p>
<w:pPr><w:pStyle w:val="Normal"/></w:pPr>
<w:r><w:t xml:space="preserve">reefs, and the sudden squalls which sweep down from the</w:t></w:r>
</w:p>
<w:p>
<w:pPr><w:pStyle w:val="Normal"/></w:pPr>
<w:r><w:t xml:space="preserve">adjacent mountains, many of which rise perpendicularly to a</w:t></w:r>
</w:p>
<w:p>
<w:pPr><w:pStyle w:val="Normal"/></w:pPr>
<w:r><w:t xml:space="preserve">height of 2000 ft.  The gulf is a continuation southward of</w:t></w:r>
</w:p>
<w:p>
<w:pPr><w:pStyle w:val="Normal"/></w:pPr>
<w:r><w:t xml:space="preserve">the Jordan-&apos;Araba depression.  Raised beaches on the coast</w:t></w:r>
</w:p>
<w:p>
<w:pPr><w:pStyle w:val="Normal"/></w:pPr>
<w:r><w:t xml:space="preserve">show that there has been a considerable elevation of the</w:t></w:r>
</w:p>
<w:p>
<w:pPr><w:pStyle w:val="Normal"/></w:pPr>
<w:r><w:t xml:space="preserve">sea-bed.  The only well-sheltered harbour is that of Dahab</w:t></w:r>
</w:p>
<w:p>
<w:pPr><w:pStyle w:val="Normal"/></w:pPr>
<w:r><w:t xml:space="preserve">(the Golden Port) on its western shore, about 33 m. from</w:t></w:r>
</w:p>
<w:p>
<w:pPr><w:pStyle w:val="Normal"/></w:pPr>
<w:r><w:t xml:space="preserve">the entrance and 29 m.  E. of Mount Sinai.  Near the head of</w:t></w:r>
</w:p>
<w:p>
<w:pPr><w:pStyle w:val="Normal"/></w:pPr>
<w:r><w:t xml:space="preserve">the gulf is Jeziret Faraun (medieval Graye), a rocky islet</w:t></w:r>
</w:p>
<w:p>
<w:pPr><w:pStyle w:val="Normal"/></w:pPr>
<w:r><w:t xml:space="preserve">with the ruins of a castle built by Baldwin I. (c. 1115).</w:t></w:r>
</w:p>
<w:p>
<w:pPr><w:pStyle w:val="Normal"/></w:pPr>
<w:r><w:t xml:space="preserve">About 2 1/2 m. from the head of the gulf and on its eastern</w:t></w:r>
</w:p>
<w:p>
<w:pPr><w:pStyle w:val="Normal"/></w:pPr>
<w:r><w:t xml:space="preserve">side is the TOMN OF AKABA, with a picturesque medieval</w:t></w:r>
</w:p>
<w:p>
<w:pPr><w:pStyle w:val="Normal"/></w:pPr>
<w:r><w:t xml:space="preserve">castle, built for the protection of pilgrims on there way</w:t></w:r>
</w:p>
<w:p>
<w:pPr><w:pStyle w:val="Normal"/></w:pPr>
<w:r><w:t xml:space="preserve">from Egypt to Mecca.  In the neighbourhood are extensive</w:t></w:r>
</w:p>
<w:p>
<w:pPr><w:pStyle w:val="Normal"/></w:pPr>
<w:r><w:t xml:space="preserve">groves of date palms, and there is an ample supply of good</w:t></w:r>
</w:p>
<w:p>
<w:pPr><w:pStyle w:val="Normal"/></w:pPr>
<w:r><w:t xml:space="preserve">water.  Akaba is of considerable historical interest and of</w:t></w:r>
</w:p>
<w:p>
<w:pPr><w:pStyle w:val="Normal"/></w:pPr>
<w:r><w:t xml:space="preserve">great antiquity, being the Elath or Eloth of the Bible, and</w:t></w:r>
</w:p>
<w:p>
<w:pPr><w:pStyle w:val="Normal"/></w:pPr>
<w:r><w:t xml:space="preserve">one of the ports whence Solomon&apos;s fleet sailed to Ophir.</w:t></w:r>
</w:p>
<w:p>
<w:pPr><w:pStyle w:val="Normal"/></w:pPr>
<w:r><w:t xml:space="preserve">By the Romans, who made it a military post, it was called</w:t></w:r>
</w:p>
<w:p>
<w:pPr><w:pStyle w:val="Normal"/></w:pPr>
<w:r><w:t xml:space="preserve">Aelana.  It continued to be the seat of great commercial</w:t></w:r>
</w:p>
<w:p>
<w:pPr><w:pStyle w:val="Normal"/></w:pPr>
<w:r><w:t xml:space="preserve">activity under the early Moslem caliphs, who corrupted</w:t></w:r>
</w:p>
<w:p>
<w:pPr><w:pStyle w:val="Normal"/></w:pPr>
<w:r><w:t xml:space="preserve">the name to Haila or Ailat.  In the 10th century an Arab</w:t></w:r>
</w:p>
<w:p>
<w:pPr><w:pStyle w:val="Normal"/></w:pPr>
<w:r><w:t xml:space="preserve">geographer described it as the great port of Palestine and</w:t></w:r>
</w:p>
<w:p>
<w:pPr><w:pStyle w:val="Normal"/></w:pPr>
<w:r><w:t xml:space="preserve">the emporium of the Hejaz.  In the 12th century the town</w:t></w:r>
</w:p>
<w:p>
<w:pPr><w:pStyle w:val="Normal"/></w:pPr>
<w:r><w:t xml:space="preserve">suffered at the hands of Saladin and thereafter fell into</w:t></w:r>
</w:p>
<w:p>
<w:pPr><w:pStyle w:val="Normal"/></w:pPr>
<w:r><w:t xml:space="preserve">decay.  In 1841 the town was recognized by Turkey, together</w:t></w:r>
</w:p>
<w:p>
<w:pPr><w:pStyle w:val="Normal"/></w:pPr>
<w:r><w:t xml:space="preserve">with the Sinai peninsula, as part of Egypt.  At that time</w:t></w:r>
</w:p>
<w:p>
<w:pPr><w:pStyle w:val="Normal"/></w:pPr>
<w:r><w:t xml:space="preserve">Egyptian pilgrims frequented Akaba in large numbers.  In 1892,</w:t></w:r>
</w:p>
<w:p>
<w:pPr><w:pStyle w:val="Normal"/></w:pPr>
<w:r><w:t xml:space="preserve">on the accession of the khedive Abbas II., Turkey resumed</w:t></w:r>
</w:p>
<w:p>
<w:pPr><w:pStyle w:val="Normal"/></w:pPr>
<w:r><w:t xml:space="preserve">possession of Akaba, the Egyptian pilgrims having deserted</w:t></w:r>
</w:p>
<w:p>
<w:pPr><w:pStyle w:val="Normal"/></w:pPr>
<w:r><w:t xml:space="preserve">the land route to Mecca in favour of a sea passage.  In 1906</w:t></w:r>
</w:p>
<w:p>
<w:pPr><w:pStyle w:val="Normal"/></w:pPr>
<w:r><w:t xml:space="preserve">the construction was begun of a branch line joining Akaba to</w:t></w:r>
</w:p>
<w:p>
<w:pPr><w:pStyle w:val="Normal"/></w:pPr>
<w:r><w:t xml:space="preserve">the Mecca railway and thus giving through communication with</w:t></w:r>
</w:p>
<w:p>
<w:pPr><w:pStyle w:val="Normal"/></w:pPr>
<w:r><w:t xml:space="preserve">Beirut.  Early in the same year the Turks occupied Taba, a</w:t></w:r>
</w:p>
<w:p>
<w:pPr><w:pStyle w:val="Normal"/></w:pPr>
<w:r><w:t xml:space="preserve">village at the mouth of a small stream g m. by land W. by</w:t></w:r>
</w:p>
<w:p>
<w:pPr><w:pStyle w:val="Normal"/></w:pPr>
<w:r><w:t xml:space="preserve">S. of Akaba, near which is the site, not identified, of the</w:t></w:r>
</w:p>
<w:p>
<w:pPr><w:pStyle w:val="Normal"/></w:pPr>
<w:r><w:t xml:space="preserve">Ezion-Geber of Scripture, another of the ports whence the</w:t></w:r>
</w:p>
<w:p>
<w:pPr><w:pStyle w:val="Normal"/></w:pPr>
<w:r><w:t xml:space="preserve">argosies of the Israelites saileffi.  Taba being on the Egyptian</w:t></w:r>
</w:p>
<w:p>
<w:pPr><w:pStyle w:val="Normal"/></w:pPr>
<w:r><w:t xml:space="preserve">side of the frontier, Great Britain intervened on behalf of</w:t></w:r>
</w:p>
<w:p>
<w:pPr><w:pStyle w:val="Normal"/></w:pPr>
<w:r><w:t xml:space="preserve">Egypt, and in May 1906 secured the withdrawal of the Turks.</w:t></w:r>
</w:p>
<w:p>
<w:pPr><w:pStyle w:val="Normal"/></w:pPr>
<w:r><w:t xml:space="preserve">AKA HILLS, a tract of country on the north-east frontier of</w:t></w:r>
</w:p>
<w:p>
<w:pPr><w:pStyle w:val="Normal"/></w:pPr>
<w:r><w:t xml:space="preserve">India, occupied by an independent tribe called the Akas.</w:t></w:r>
</w:p>
<w:p>
<w:pPr><w:pStyle w:val="Normal"/></w:pPr>
<w:r><w:t xml:space="preserve">It lies north of the Darrang district of Eastern Bengal and</w:t></w:r>
</w:p>
<w:p>
<w:pPr><w:pStyle w:val="Normal"/></w:pPr>
<w:r><w:t xml:space="preserve">Assam, and is bounded on the east by the Daphla Hills and on</w:t></w:r>
</w:p>
<w:p>
<w:pPr><w:pStyle w:val="Normal"/></w:pPr>
<w:r><w:t xml:space="preserve">the west by independent Bhutia tribes.  The Aka country is very</w:t></w:r>
</w:p>
<w:p>
<w:pPr><w:pStyle w:val="Normal"/></w:pPr>
<w:r><w:t xml:space="preserve">difficult of access, the direct road from the plains leading</w:t></w:r>
</w:p>
<w:p>
<w:pPr><w:pStyle w:val="Normal"/></w:pPr>
<w:r><w:t xml:space="preserve">along the precipitous channel of the Bhareli river, which</w:t></w:r>
</w:p>
<w:p>
<w:pPr><w:pStyle w:val="Normal"/></w:pPr>
<w:r><w:t xml:space="preserve">divides the Aka from the Daphla country.  The Akas are a brave</w:t></w:r>
</w:p>
<w:p>
<w:pPr><w:pStyle w:val="Normal"/></w:pPr>
<w:r><w:t xml:space="preserve">people, and the men are strong and well-made.  Their reputation</w:t></w:r>
</w:p>
<w:p>
<w:pPr><w:pStyle w:val="Normal"/></w:pPr>
<w:r><w:t xml:space="preserve">as raiders is sufficiently shown in the division of the tribe</w:t></w:r>
</w:p>
<w:p>
<w:pPr><w:pStyle w:val="Normal"/></w:pPr>
<w:r><w:t xml:space="preserve">into two clans, the Hazari-khoas or ``eaters of a thousand</w:t></w:r>
</w:p>
<w:p>
<w:pPr><w:pStyle w:val="Normal"/></w:pPr>
<w:r><w:t xml:space="preserve">hearths,&apos;&apos; and the Kapah-chors or ``thieves that lurk in the</w:t></w:r>
</w:p>
<w:p>
<w:pPr><w:pStyle w:val="Normal"/></w:pPr>
<w:r><w:t xml:space="preserve">cotton fields.&apos;&apos; In the early years of British occupation,</w:t></w:r>
</w:p>
<w:p>
<w:pPr><w:pStyle w:val="Normal"/></w:pPr>
<w:r><w:t xml:space="preserve">about 1820, they gave much trouble; and in 1883 they broke out</w:t></w:r>
</w:p>
<w:p>
<w:pPr><w:pStyle w:val="Normal"/></w:pPr>
<w:r><w:t xml:space="preserve">once more into their old habits.  They raided into the British</w:t></w:r>
</w:p>
<w:p>
<w:pPr><w:pStyle w:val="Normal"/></w:pPr>
<w:r><w:t xml:space="preserve">district of Darrang and carried off several native forest</w:t></w:r>
</w:p>
<w:p>
<w:pPr><w:pStyle w:val="Normal"/></w:pPr>
<w:r><w:t xml:space="preserve">officers as hostages.  An expedition was sent against them</w:t></w:r>
</w:p>
<w:p>
<w:pPr><w:pStyle w:val="Normal"/></w:pPr>
<w:r><w:t xml:space="preserve">under General Sale Hill with 860 troops, which was completely</w:t></w:r>
</w:p>
<w:p>
<w:pPr><w:pStyle w:val="Normal"/></w:pPr>
<w:r><w:t xml:space="preserve">successful.  All its objects were satisfactorily accomplished,</w:t></w:r>
</w:p>
<w:p>
<w:pPr><w:pStyle w:val="Normal"/></w:pPr>
<w:r><w:t xml:space="preserve">namely, the recovery of the captives, the surrender of all</w:t></w:r>
</w:p>
<w:p>
<w:pPr><w:pStyle w:val="Normal"/></w:pPr>
<w:r><w:t xml:space="preserve">firearms, the payment of the fine inflicted by government, the</w:t></w:r>
</w:p>
<w:p>
<w:pPr><w:pStyle w:val="Normal"/></w:pPr>
<w:r><w:t xml:space="preserve">complete submission of the tribe and the survey of the country.</w:t></w:r>
</w:p>
<w:p>
<w:pPr><w:pStyle w:val="Normal"/></w:pPr>
<w:r><w:t xml:space="preserve">AKALKOT, a native state of India, in the Deccan division</w:t></w:r>
</w:p>
<w:p>
<w:pPr><w:pStyle w:val="Normal"/></w:pPr>
<w:r><w:t xml:space="preserve">of Bombay, ranking as one of the Satara Jagirs, situated</w:t></w:r>
</w:p>
<w:p>
<w:pPr><w:pStyle w:val="Normal"/></w:pPr>
<w:r><w:t xml:space="preserve">between the British district of Sholapur and the nizam&apos;s</w:t></w:r>
</w:p>
<w:p>
<w:pPr><w:pStyle w:val="Normal"/></w:pPr>
<w:r><w:t xml:space="preserve">dominions.  It forms part of the Deccan table-land, and has</w:t></w:r>
</w:p>
<w:p>
<w:pPr><w:pStyle w:val="Normal"/></w:pPr>
<w:r><w:t xml:space="preserve">a cool and agreeable climate.  Area 498 sq. m.; pop. (1901)</w:t></w:r>
</w:p>
<w:p>
<w:pPr><w:pStyle w:val="Normal"/></w:pPr>
<w:r><w:t xml:space="preserve">82,047, showing an increase of 8% in the decade.  Estimated</w:t></w:r>
</w:p>
<w:p>
<w:pPr><w:pStyle w:val="Normal"/></w:pPr>
<w:r><w:t xml:space="preserve">revenue, L. 26,586; the tribute is L. 1000.  The chief, who</w:t></w:r>
</w:p>
<w:p>
<w:pPr><w:pStyle w:val="Normal"/></w:pPr>
<w:r><w:t xml:space="preserve">is a Mahratta of the Bhonsla family, resides at Poona on</w:t></w:r>
</w:p>
<w:p>
<w:pPr><w:pStyle w:val="Normal"/></w:pPr>
<w:r><w:t xml:space="preserve">a pension, while the state is under British management.</w:t></w:r>
</w:p>
<w:p>
<w:pPr><w:pStyle w:val="Normal"/></w:pPr>
<w:r><w:t xml:space="preserve">The town of Akalkot is situated near the Great Indian</w:t></w:r>
</w:p>
<w:p>
<w:pPr><w:pStyle w:val="Normal"/></w:pPr>
<w:r><w:t xml:space="preserve">Peninsula railway, which traverses the state.  Pop. 8348.</w:t></w:r>
</w:p>
<w:p>
<w:pPr><w:pStyle w:val="Normal"/></w:pPr>
<w:r><w:t xml:space="preserve">AKBAR, AKHBAR or AKBER, JELLALADIN MAHOMMED (1542-1605),</w:t></w:r>
</w:p>
<w:p>
<w:pPr><w:pStyle w:val="Normal"/></w:pPr>
<w:r><w:t xml:space="preserve">one of the greatest and wisest of the Mogul emperors. &apos; He</w:t></w:r>
</w:p>
<w:p>
<w:pPr><w:pStyle w:val="Normal"/></w:pPr>
<w:r><w:t xml:space="preserve">was born at Umarkot in Sind on the 14th of October 1542, his</w:t></w:r>
</w:p>
<w:p>
<w:pPr><w:pStyle w:val="Normal"/></w:pPr>
<w:r><w:t xml:space="preserve">father, Humayun, having been driven from the throne a short time</w:t></w:r>
</w:p>
<w:p>
<w:pPr><w:pStyle w:val="Normal"/></w:pPr>
<w:r><w:t xml:space="preserve">before by the usurper Sher Khan.  After more than twelve years&apos;</w:t></w:r>
</w:p>
<w:p>
<w:pPr><w:pStyle w:val="Normal"/></w:pPr>
<w:r><w:t xml:space="preserve">exile, Humayun regained his sovereignty, which, however, he</w:t></w:r>
</w:p>
<w:p>
<w:pPr><w:pStyle w:val="Normal"/></w:pPr>
<w:r><w:t xml:space="preserve">had held only for a few months when he died.  Akbar succeeded</w:t></w:r>
</w:p>
<w:p>
<w:pPr><w:pStyle w:val="Normal"/></w:pPr>
<w:r><w:t xml:space="preserve">his father in 1556 under the regency of Baira n Khan, a</w:t></w:r>
</w:p>
<w:p>
<w:pPr><w:pStyle w:val="Normal"/></w:pPr>
<w:r><w:t xml:space="preserve">Turkoman noble, whose energy in repelling pretenders to the</w:t></w:r>
</w:p>
<w:p>
<w:pPr><w:pStyle w:val="Normal"/></w:pPr>
<w:r><w:t xml:space="preserve">throne, and severity in maintaining the discipline of the army,</w:t></w:r>
</w:p>
<w:p>
<w:pPr><w:pStyle w:val="Normal"/></w:pPr>
<w:r><w:t xml:space="preserve">tended greatly to the consolidation of the newly recovered</w:t></w:r>
</w:p>
<w:p>
<w:pPr><w:pStyle w:val="Normal"/></w:pPr>
<w:r><w:t xml:space="preserve">empire.  Bairam, however, was naturally despotic and cruel;</w:t></w:r>
</w:p>
<w:p>
<w:pPr><w:pStyle w:val="Normal"/></w:pPr>
<w:r><w:t xml:space="preserve">and when order was somewhat restored, Akbar found it necessary</w:t></w:r>
</w:p>
<w:p>
<w:pPr><w:pStyle w:val="Normal"/></w:pPr>
<w:r><w:t xml:space="preserve">to take the reins of government into his own hands, which he</w:t></w:r>
</w:p>
<w:p>
<w:pPr><w:pStyle w:val="Normal"/></w:pPr>
<w:r><w:t xml:space="preserve">did by a proclamation issued in March 1560.  The discarded</w:t></w:r>
</w:p>
<w:p>
<w:pPr><w:pStyle w:val="Normal"/></w:pPr>
<w:r><w:t xml:space="preserve">regent lived for some time in rebellion, endeavouring to</w:t></w:r>
</w:p>
<w:p>
<w:pPr><w:pStyle w:val="Normal"/></w:pPr>
<w:r><w:t xml:space="preserve">establish an independent principality in Malwa, but at last</w:t></w:r>
</w:p>
<w:p>
<w:pPr><w:pStyle w:val="Normal"/></w:pPr>
<w:r><w:t xml:space="preserve">he was forced to cast himself on Akbar&apos;s mercy.  The emperor</w:t></w:r>
</w:p>
<w:p>
<w:pPr><w:pStyle w:val="Normal"/></w:pPr>
<w:r><w:t xml:space="preserve">not only freely pardoned him, but magnanimously offered him</w:t></w:r>
</w:p>
<w:p>
<w:pPr><w:pStyle w:val="Normal"/></w:pPr>
<w:r><w:t xml:space="preserve">the choice of a high place in the army or a suitable escort</w:t></w:r>
</w:p>
<w:p>
<w:pPr><w:pStyle w:val="Normal"/></w:pPr>
<w:r><w:t xml:space="preserve">for a pilgrimage to Mecca, and Bairam preferred the latter</w:t></w:r>
</w:p>
<w:p>
<w:pPr><w:pStyle w:val="Normal"/></w:pPr>
<w:r><w:t xml:space="preserve">alternative.  When Akbar ascended the throne, only a small</w:t></w:r>
</w:p>
<w:p>
<w:pPr><w:pStyle w:val="Normal"/></w:pPr>
<w:r><w:t xml:space="preserve">portion of what had formerly been comprised within the Mogul</w:t></w:r>
</w:p>
<w:p>
<w:pPr><w:pStyle w:val="Normal"/></w:pPr>
<w:r><w:t xml:space="preserve">empire owned his authority, and he devoted himself with great</w:t></w:r>
</w:p>
<w:p>
<w:pPr><w:pStyle w:val="Normal"/></w:pPr>
<w:r><w:t xml:space="preserve">determination and success to the recovery of the revolted</w:t></w:r>
</w:p>
<w:p>
<w:pPr><w:pStyle w:val="Normal"/></w:pPr>
<w:r><w:t xml:space="preserve">provinces.  Over each of these, as it was restored, he placed a</w:t></w:r>
</w:p>
<w:p>
<w:pPr><w:pStyle w:val="Normal"/></w:pPr>
<w:r><w:t xml:space="preserve">governor, whom he superintended with vigilance and wisdom.</w:t></w:r>
</w:p>
<w:p>
<w:pPr><w:pStyle w:val="Normal"/></w:pPr>
<w:r><w:t xml:space="preserve">He tried by every means to develop and encourage commerce; he</w:t></w:r>
</w:p>
<w:p>
<w:pPr><w:pStyle w:val="Normal"/></w:pPr>
<w:r><w:t xml:space="preserve">had the land accurately measured for the purpose of rightly</w:t></w:r>
</w:p>
<w:p>
<w:pPr><w:pStyle w:val="Normal"/></w:pPr>
<w:r><w:t xml:space="preserve">adjusting taxation; he gave the strictest instructions to</w:t></w:r>
</w:p>
<w:p>
<w:pPr><w:pStyle w:val="Normal"/></w:pPr>
<w:r><w:t xml:space="preserve">prevent extortion on the part of the taxgatherers, and in</w:t></w:r>
</w:p>
<w:p>
<w:pPr><w:pStyle w:val="Normal"/></w:pPr>
<w:r><w:t xml:space="preserve">many other respects displayed an enlightened and equitable</w:t></w:r>
</w:p>
<w:p>
<w:pPr><w:pStyle w:val="Normal"/></w:pPr>
<w:r><w:t xml:space="preserve">policy.  Thus it happened that, in the fortieth year of Akbar&apos;s</w:t></w:r>
</w:p>
<w:p>
<w:pPr><w:pStyle w:val="Normal"/></w:pPr>
<w:r><w:t xml:space="preserve">reign, the empire had more than regained all that it had lost,</w:t></w:r>
</w:p>
<w:p>
<w:pPr><w:pStyle w:val="Normal"/></w:pPr>
<w:r><w:t xml:space="preserve">the recovered provinces being reduced, not to subjection only as</w:t></w:r>
</w:p>
<w:p>
<w:pPr><w:pStyle w:val="Normal"/></w:pPr>
<w:r><w:t xml:space="preserve">before, but to a great degree of peace, order and contentment.</w:t></w:r>
</w:p>
<w:p>
<w:pPr><w:pStyle w:val="Normal"/></w:pPr>
<w:r><w:t xml:space="preserve">Akbar&apos;s method of dealing with what must always be the chief</w:t></w:r>
</w:p>
<w:p>
<w:pPr><w:pStyle w:val="Normal"/></w:pPr>
<w:r><w:t xml:space="preserve">difficulty of one who has to rule widely diverse races, affords</w:t></w:r>
</w:p>
<w:p>
<w:pPr><w:pStyle w:val="Normal"/></w:pPr>
<w:r><w:t xml:space="preserve">perhaps the crowning evidence of his wisdom and moderation</w:t></w:r>
</w:p>
<w:p>
<w:pPr><w:pStyle w:val="Normal"/></w:pPr>
<w:r><w:t xml:space="preserve">In religion he was at first a Mussulman, but the intolerant</w:t></w:r>
</w:p>
<w:p>
<w:pPr><w:pStyle w:val="Normal"/></w:pPr>
<w:r><w:t xml:space="preserve">exclusiveness of that creed was quite foreign to his</w:t></w:r>
</w:p>
<w:p>
<w:pPr><w:pStyle w:val="Normal"/></w:pPr>
<w:r><w:t xml:space="preserve">character.  Scepticism as to the divine origin of the</w:t></w:r>
</w:p>
<w:p>
<w:pPr><w:pStyle w:val="Normal"/></w:pPr>
<w:r><w:t xml:space="preserve">Koran led him to seek the true religion in an eclectic</w:t></w:r>
</w:p>
<w:p>
<w:pPr><w:pStyle w:val="Normal"/></w:pPr>
<w:r><w:t xml:space="preserve">system.  He accordingly set himself to obtain information</w:t></w:r>
</w:p>
<w:p>
<w:pPr><w:pStyle w:val="Normal"/></w:pPr>
<w:r><w:t xml:space="preserve">about other religions, sent to Goa, requesting that the</w:t></w:r>
</w:p>
<w:p>
<w:pPr><w:pStyle w:val="Normal"/></w:pPr>
<w:r><w:t xml:space="preserve">Portuguese missionaries there should visit him, and listened</w:t></w:r>
</w:p>
<w:p>
<w:pPr><w:pStyle w:val="Normal"/></w:pPr>
<w:r><w:t xml:space="preserve">to them with intelligent attention when they came.  As the</w:t></w:r>
</w:p>
<w:p>
<w:pPr><w:pStyle w:val="Normal"/></w:pPr>
<w:r><w:t xml:space="preserve">result of these inquiries, he adopted the creed of pure</w:t></w:r>
</w:p>
<w:p>
<w:pPr><w:pStyle w:val="Normal"/></w:pPr>
<w:r><w:t xml:space="preserve">deism and a ritual based upon the system of Zoroaster.  The</w:t></w:r>
</w:p>
<w:p>
<w:pPr><w:pStyle w:val="Normal"/></w:pPr>
<w:r><w:t xml:space="preserve">religion thus founded, however, having no vital force, never</w:t></w:r>
</w:p>
<w:p>
<w:pPr><w:pStyle w:val="Normal"/></w:pPr>
<w:r><w:t xml:space="preserve">spread beyond the limits of the court, and died with Akbar</w:t></w:r>
</w:p>
<w:p>
<w:pPr><w:pStyle w:val="Normal"/></w:pPr>
<w:r><w:t xml:space="preserve">himself.  But though his eclectic system failed, the spirit</w:t></w:r>
</w:p>
<w:p>
<w:pPr><w:pStyle w:val="Normal"/></w:pPr>
<w:r><w:t xml:space="preserve">of toleration which originated it produced in other ways many</w:t></w:r>
</w:p>
<w:p>
<w:pPr><w:pStyle w:val="Normal"/></w:pPr>
<w:r><w:t xml:space="preserve">important results, and, indeed, may be said to have done more</w:t></w:r>
</w:p>
<w:p>
<w:pPr><w:pStyle w:val="Normal"/></w:pPr>
<w:r><w:t xml:space="preserve">to establish Akbar&apos;s power on a secure basis than all his</w:t></w:r>
</w:p>
<w:p>
<w:pPr><w:pStyle w:val="Normal"/></w:pPr>
<w:r><w:t xml:space="preserve">economic and social reforms.  He conciliated the Hindus by</w:t></w:r>
</w:p>
<w:p>
<w:pPr><w:pStyle w:val="Normal"/></w:pPr>
<w:r><w:t xml:space="preserve">giving them freedom of worship; while a- the same time he</w:t></w:r>
</w:p>
<w:p>
<w:pPr><w:pStyle w:val="Normal"/></w:pPr>
<w:r><w:t xml:space="preserve">strictly prohibited certain barbarous Brahmanical practices,</w:t></w:r>
</w:p>
<w:p>
<w:pPr><w:pStyle w:val="Normal"/></w:pPr>
<w:r><w:t xml:space="preserve">such as trial by ordeal and the burning of widows against their</w:t></w:r>
</w:p>
<w:p>
<w:pPr><w:pStyle w:val="Normal"/></w:pPr>
<w:r><w:t xml:space="preserve">will.  He also abolished all taxes upon pilgrims as an</w:t></w:r>
</w:p>
<w:p>
<w:pPr><w:pStyle w:val="Normal"/></w:pPr>
<w:r><w:t xml:space="preserve">interference with the liberty of worship, and the capitation</w:t></w:r>
</w:p>
<w:p>
<w:pPr><w:pStyle w:val="Normal"/></w:pPr>
<w:r><w:t xml:space="preserve">tax upon Hindus, probably upon similar grounds.  Measures</w:t></w:r>
</w:p>
<w:p>
<w:pPr><w:pStyle w:val="Normal"/></w:pPr>
<w:r><w:t xml:space="preserve">like these gained for him during his lifetime the title of</w:t></w:r>
</w:p>
<w:p>
<w:pPr><w:pStyle w:val="Normal"/></w:pPr>
<w:r><w:t xml:space="preserve">``Guardian of Mankind,&apos;&apos; and caused him to be held up as a</w:t></w:r>
</w:p>
<w:p>
<w:pPr><w:pStyle w:val="Normal"/></w:pPr>
<w:r><w:t xml:space="preserve">model to Indian princes of later times, who in the matter of</w:t></w:r>
</w:p>
<w:p>
<w:pPr><w:pStyle w:val="Normal"/></w:pPr>
<w:r><w:t xml:space="preserve">religious toleration have only too seldom followed his example.</w:t></w:r>
</w:p>
<w:p>
<w:pPr><w:pStyle w:val="Normal"/></w:pPr>
<w:r><w:t xml:space="preserve">Akbar was a munificent patron of literature.  He established</w:t></w:r>
</w:p>
<w:p>
<w:pPr><w:pStyle w:val="Normal"/></w:pPr>
<w:r><w:t xml:space="preserve">schools throughout his empire for the education of both</w:t></w:r>
</w:p>
<w:p>
<w:pPr><w:pStyle w:val="Normal"/></w:pPr>
<w:r><w:t xml:space="preserve">Hindus and Moslems, and he gathered round him many men of</w:t></w:r>
</w:p>
<w:p>
<w:pPr><w:pStyle w:val="Normal"/></w:pPr>
<w:r><w:t xml:space="preserve">literary talent, among whom may be mentioned the brothers</w:t></w:r>
</w:p>
<w:p>
<w:pPr><w:pStyle w:val="Normal"/></w:pPr>
<w:r><w:t xml:space="preserve">Feizi and Abul Fazl.  The former was commissioned by Akbar</w:t></w:r>
</w:p>
<w:p>
<w:pPr><w:pStyle w:val="Normal"/></w:pPr>
<w:r><w:t xml:space="preserve">to translate a number of Sanskrit scientific works into</w:t></w:r>
</w:p>
<w:p>
<w:pPr><w:pStyle w:val="Normal"/></w:pPr>
<w:r><w:t xml:space="preserve">Persian; and the latter (see ABUL FAzl) has left, in the</w:t></w:r>
</w:p>
<w:p>
<w:pPr><w:pStyle w:val="Normal"/></w:pPr>
<w:r><w:t xml:space="preserve">Akbar-Nameh, an enduring record of the emperor&apos;s reign.</w:t></w:r>
</w:p>
<w:p>
<w:pPr><w:pStyle w:val="Normal"/></w:pPr>
<w:r><w:t xml:space="preserve">It is also said that Akbar employed Jerome Xavier, a Jesuit</w:t></w:r>
</w:p>
<w:p>
<w:pPr><w:pStyle w:val="Normal"/></w:pPr>
<w:r><w:t xml:space="preserve">missionary, to translate the four Gospels into Persian.</w:t></w:r>
</w:p>
<w:p>
<w:pPr><w:pStyle w:val="Normal"/></w:pPr>
<w:r><w:t xml:space="preserve">The closing years of Akbar&apos;s reign were rendered very</w:t></w:r>
</w:p>
<w:p>
<w:pPr><w:pStyle w:val="Normal"/></w:pPr>
<w:r><w:t xml:space="preserve">unhappy by the misconduct of his sons.  Two of them died in</w:t></w:r>
</w:p>
<w:p>
<w:pPr><w:pStyle w:val="Normal"/></w:pPr>
<w:r><w:t xml:space="preserve">youth, the victims of intemperance; and the third, Salim,</w:t></w:r>
</w:p>
<w:p>
<w:pPr><w:pStyle w:val="Normal"/></w:pPr>
<w:r><w:t xml:space="preserve">afterwards the emperor Jahangir, was frequently in rebellion</w:t></w:r>
</w:p>
<w:p>
<w:pPr><w:pStyle w:val="Normal"/></w:pPr>
<w:r><w:t xml:space="preserve">against his father.  These calamities were keenly felt by</w:t></w:r>
</w:p>
<w:p>
<w:pPr><w:pStyle w:val="Normal"/></w:pPr>
<w:r><w:t xml:space="preserve">Akbar, and may even have tended to hasten his death, which</w:t></w:r>
</w:p>
<w:p>
<w:pPr><w:pStyle w:val="Normal"/></w:pPr>
<w:r><w:t xml:space="preserve">occurred at Agra on the 15th of October 1605.  His body was</w:t></w:r>
</w:p>
<w:p>
<w:pPr><w:pStyle w:val="Normal"/></w:pPr>
<w:r><w:t xml:space="preserve">deposited in a magnificent mausoleum at Sikandra, near Agra.</w:t></w:r>
</w:p>
<w:p>
<w:pPr><w:pStyle w:val="Normal"/></w:pPr>
<w:r><w:t xml:space="preserve">See G. B. Malleson, Akbar (``Rulers of India&apos;&apos; series), 1890.</w:t></w:r>
</w:p>
<w:p>
<w:pPr><w:pStyle w:val="Normal"/></w:pPr>
<w:r><w:t xml:space="preserve">AKCHA, a town and khanate of Afghan Turkestan.  The town lies</w:t></w:r>
</w:p>
<w:p>
<w:pPr><w:pStyle w:val="Normal"/></w:pPr>
<w:r><w:t xml:space="preserve">42 m. westward of Balkh on the road to Andkhui.  It is protected</w:t></w:r>
</w:p>
<w:p>
<w:pPr><w:pStyle w:val="Normal"/></w:pPr>
<w:r><w:t xml:space="preserve">by a mud wall and a citadel.  Estimated population d000, chiefly</w:t></w:r>
</w:p>
<w:p>
<w:pPr><w:pStyle w:val="Normal"/></w:pPr>
<w:r><w:t xml:space="preserve">Uzbegs.  The khanate is small, but well watered and populous.</w:t></w:r>
</w:p>
<w:p>
<w:pPr><w:pStyle w:val="Normal"/></w:pPr>
<w:r><w:t xml:space="preserve">The rivers rising in the southern mountains, which no longer</w:t></w:r>
</w:p>
<w:p>
<w:pPr><w:pStyle w:val="Normal"/></w:pPr>
<w:r><w:t xml:space="preserve">reach the Oxus, terminate in vast swamps near Akcha, and into</w:t></w:r>
</w:p>
<w:p>
<w:pPr><w:pStyle w:val="Normal"/></w:pPr>
<w:r><w:t xml:space="preserve">these the debris of such vegetation as yearly springs up on the</w:t></w:r>
</w:p>
<w:p>
<w:pPr><w:pStyle w:val="Normal"/></w:pPr>
<w:r><w:t xml:space="preserve">slopes of the southern hills is washed down in time of flood.</w:t></w:r>
</w:p>
<w:p>
<w:pPr><w:pStyle w:val="Normal"/></w:pPr>
<w:r><w:t xml:space="preserve">AKEN, a town of Germany, in the kingdom of Prussia, on the</w:t></w:r>
</w:p>
<w:p>
<w:pPr><w:pStyle w:val="Normal"/></w:pPr>
<w:r><w:t xml:space="preserve">Elbe, 25 m.  E. S. E. of Magdeburg, with a branch line to</w:t></w:r>
</w:p>
<w:p>
<w:pPr><w:pStyle w:val="Normal"/></w:pPr>
<w:r><w:t xml:space="preserve">Cothen (8 m.).  Pop. (1900) 7358.  It has manufactures of</w:t></w:r>
</w:p>
<w:p>
<w:pPr><w:pStyle w:val="Normal"/></w:pPr>
<w:r><w:t xml:space="preserve">cloth, leather, chemicals and optical instruments; large</w:t></w:r>
</w:p>
<w:p>
<w:pPr><w:pStyle w:val="Normal"/></w:pPr>
<w:r><w:t xml:space="preserve">quantities of beetroot sugar are produced in the neighbourhood;</w:t></w:r>
</w:p>
<w:p>
<w:pPr><w:pStyle w:val="Normal"/></w:pPr>
<w:r><w:t xml:space="preserve">and there is a considerable transit trade on the Elbe.</w:t></w:r>
</w:p>
<w:p>
<w:pPr><w:pStyle w:val="Normal"/></w:pPr>
<w:r><w:t xml:space="preserve">AKENSIDE, MARK (1721-1770), English poet and physician.</w:t></w:r>
</w:p>
<w:p>
<w:pPr><w:pStyle w:val="Normal"/></w:pPr>
<w:r><w:t xml:space="preserve">was born at Newcastle-on-Tyne on the 9th of November 1721.</w:t></w:r>
</w:p>
<w:p>
<w:pPr><w:pStyle w:val="Normal"/></w:pPr>
<w:r><w:t xml:space="preserve">He was the son of a butcher, and was slightly lame all his</w:t></w:r>
</w:p>
<w:p>
<w:pPr><w:pStyle w:val="Normal"/></w:pPr>
<w:r><w:t xml:space="preserve">life from a wound he received as a child from his father&apos;s</w:t></w:r>
</w:p>
<w:p>
<w:pPr><w:pStyle w:val="Normal"/></w:pPr>
<w:r><w:t xml:space="preserve">cleaver.  All his relations were dissenters, and, after attending</w:t></w:r>
</w:p>
<w:p>
<w:pPr><w:pStyle w:val="Normal"/></w:pPr>
<w:r><w:t xml:space="preserve">the free school of Newcastle, and a dissenting academy in the</w:t></w:r>
</w:p>
<w:p>
<w:pPr><w:pStyle w:val="Normal"/></w:pPr>
<w:r><w:t xml:space="preserve">town. he was sent (1739) to Edinburgh to study theology with</w:t></w:r>
</w:p>
<w:p>
<w:pPr><w:pStyle w:val="Normal"/></w:pPr>
<w:r><w:t xml:space="preserve">a view to becoming a minister, his expenses being paid from</w:t></w:r>
</w:p>
<w:p>
<w:pPr><w:pStyle w:val="Normal"/></w:pPr>
<w:r><w:t xml:space="preserve">a special fund set aside by the dissenting community for the</w:t></w:r>
</w:p>
<w:p>
<w:pPr><w:pStyle w:val="Normal"/></w:pPr>
<w:r><w:t xml:space="preserve">education of their pastors.  He had already contributed ``The</w:t></w:r>
</w:p>
<w:p>
<w:pPr><w:pStyle w:val="Normal"/></w:pPr>
<w:r><w:t xml:space="preserve">Virtuoso, in imitation of Spenser&apos;s style and stanza&apos;&apos; (1737)</w:t></w:r>
</w:p>
<w:p>
<w:pPr><w:pStyle w:val="Normal"/></w:pPr>
<w:r><w:t xml:space="preserve">to the Gentleman&apos;s Magazine, and in 1738 ``A British</w:t></w:r>
</w:p>
<w:p>
<w:pPr><w:pStyle w:val="Normal"/></w:pPr>
<w:r><w:t xml:space="preserve">Phillipic, occasioned by the Insults of the Spaniards, and the</w:t></w:r>
</w:p>
<w:p>
<w:pPr><w:pStyle w:val="Normal"/></w:pPr>
<w:r><w:t xml:space="preserve">present Preparations for War&apos;&apos; (also published separately).</w:t></w:r>
</w:p>
<w:p>
<w:pPr><w:pStyle w:val="Normal"/></w:pPr>
<w:r><w:t xml:space="preserve">After he had spent one winter as a student of theology, he</w:t></w:r>
</w:p>
<w:p>
<w:pPr><w:pStyle w:val="Normal"/></w:pPr>
<w:r><w:t xml:space="preserve">entered his name as a student of medicine.  He repaid the</w:t></w:r>
</w:p>
<w:p>
<w:pPr><w:pStyle w:val="Normal"/></w:pPr>
<w:r><w:t xml:space="preserve">money that had been advanced for his theological studies, and</w:t></w:r>
</w:p>
<w:p>
<w:pPr><w:pStyle w:val="Normal"/></w:pPr>
<w:r><w:t xml:space="preserve">with this change of mind he seems to have drifted to a mild</w:t></w:r>
</w:p>
<w:p>
<w:pPr><w:pStyle w:val="Normal"/></w:pPr>
<w:r><w:t xml:space="preserve">deism.  His politics, says Dr Johnson, were characterized by</w:t></w:r>
</w:p>
<w:p>
<w:pPr><w:pStyle w:val="Normal"/></w:pPr>
<w:r><w:t xml:space="preserve">an ``impetuous eagerness to subvert and confound, with very</w:t></w:r>
</w:p>
<w:p>
<w:pPr><w:pStyle w:val="Normal"/></w:pPr>
<w:r><w:t xml:space="preserve">little care what shall be established,&apos;&apos; and he is caricatured</w:t></w:r>
</w:p>
<w:p>
<w:pPr><w:pStyle w:val="Normal"/></w:pPr>
<w:r><w:t xml:space="preserve">in the republican doctor of Smollett&apos;s Peregrine Pickle. He</w:t></w:r>
</w:p>
<w:p>
<w:pPr><w:pStyle w:val="Normal"/></w:pPr>
<w:r><w:t xml:space="preserve">was elected a member of the Medical Society of Edinburgh in</w:t></w:r>
</w:p>
<w:p>
<w:pPr><w:pStyle w:val="Normal"/></w:pPr>
<w:r><w:t xml:space="preserve">1740.  His ambitions already lay outside his profession,</w:t></w:r>
</w:p>
<w:p>
<w:pPr><w:pStyle w:val="Normal"/></w:pPr>
<w:r><w:t xml:space="preserve">and his gifts as a speaker made him hope one day to enter</w:t></w:r>
</w:p>
<w:p>
<w:pPr><w:pStyle w:val="Normal"/></w:pPr>
<w:r><w:t xml:space="preserve">parliament.  In 1740 he printed his ``Ode on the Winter</w:t></w:r>
</w:p>
<w:p>
<w:pPr><w:pStyle w:val="Normal"/></w:pPr>
<w:r><w:t xml:space="preserve">Solstice&apos;&apos; in a small volume of poems.  In 1741 he left</w:t></w:r>
</w:p>
<w:p>
<w:pPr><w:pStyle w:val="Normal"/></w:pPr>
<w:r><w:t xml:space="preserve">Edinburgh for Newcastle and began to call himself surgeon,</w:t></w:r>
</w:p>
<w:p>
<w:pPr><w:pStyle w:val="Normal"/></w:pPr>
<w:r><w:t xml:space="preserve">though it is doubtful whether he practised, and from the</w:t></w:r>
</w:p>
<w:p>
<w:pPr><w:pStyle w:val="Normal"/></w:pPr>
<w:r><w:t xml:space="preserve">next year dates his life-long friendship with Jeremiah Dyson</w:t></w:r>
</w:p>
<w:p>
<w:pPr><w:pStyle w:val="Normal"/></w:pPr>
<w:r><w:t xml:space="preserve">(1722-1776).  During a visit to Morpeth in 1738 he had</w:t></w:r>
</w:p>
<w:p>
<w:pPr><w:pStyle w:val="Normal"/></w:pPr>
<w:r><w:t xml:space="preserve">conceived the idea of his didactic poem, ``The Pleasures of</w:t></w:r>
</w:p>
<w:p>
<w:pPr><w:pStyle w:val="Normal"/></w:pPr>
<w:r><w:t xml:space="preserve">the Imagination.&apos;&apos; He had already acquired a considerable</w:t></w:r>
</w:p>
<w:p>
<w:pPr><w:pStyle w:val="Normal"/></w:pPr>
<w:r><w:t xml:space="preserve">literary reputation when he came to London about the end of</w:t></w:r>
</w:p>
<w:p>
<w:pPr><w:pStyle w:val="Normal"/></w:pPr>
<w:r><w:t xml:space="preserve">1743, and offered the work to Dodsley for L. 120.  Dodsley</w:t></w:r>
</w:p>
<w:p>
<w:pPr><w:pStyle w:val="Normal"/></w:pPr>
<w:r><w:t xml:space="preserve">thought the price exorbitant, and only accepted the terms</w:t></w:r>
</w:p>
<w:p>
<w:pPr><w:pStyle w:val="Normal"/></w:pPr>
<w:r><w:t xml:space="preserve">after submitting the Ms. to Pope, who assured him that this</w:t></w:r>
</w:p>
<w:p>
<w:pPr><w:pStyle w:val="Normal"/></w:pPr>
<w:r><w:t xml:space="preserve">was ``no everyday writer.&apos;&apos; The three books of this poem</w:t></w:r>
</w:p>
<w:p>
<w:pPr><w:pStyle w:val="Normal"/></w:pPr>
<w:r><w:t xml:space="preserve">appeared in January 1744.  His aim, Akenside tells us in the</w:t></w:r>
</w:p>
<w:p>
<w:pPr><w:pStyle w:val="Normal"/></w:pPr>
<w:r><w:t xml:space="preserve">preface, was ``not so much to give formal precepts, or enter</w:t></w:r>
</w:p>
<w:p>
<w:pPr><w:pStyle w:val="Normal"/></w:pPr>
<w:r><w:t xml:space="preserve">into the way of direct argumentation, as, by exhibiting the</w:t></w:r>
</w:p>
<w:p>
<w:pPr><w:pStyle w:val="Normal"/></w:pPr>
<w:r><w:t xml:space="preserve">most engaging prospects of nature, to enlarge and harmonize</w:t></w:r>
</w:p>
<w:p>
<w:pPr><w:pStyle w:val="Normal"/></w:pPr>
<w:r><w:t xml:space="preserve">the imagination, and by that means insensibly dispose the</w:t></w:r>
</w:p>
<w:p>
<w:pPr><w:pStyle w:val="Normal"/></w:pPr>
<w:r><w:t xml:space="preserve">minds of men to a similar taste and habit of thinking in</w:t></w:r>
</w:p>
<w:p>
<w:pPr><w:pStyle w:val="Normal"/></w:pPr>
<w:r><w:t xml:space="preserve">religion, morals and civil life.&apos;&apos; Akenside&apos;s powers</w:t></w:r>
</w:p>
<w:p>
<w:pPr><w:pStyle w:val="Normal"/></w:pPr>
<w:r><w:t xml:space="preserve">fell short of this lofty design; his imagination was not</w:t></w:r>
</w:p>
<w:p>
<w:pPr><w:pStyle w:val="Normal"/></w:pPr>
<w:r><w:t xml:space="preserve">brilliant enough to surmount the difficulties inherent in a</w:t></w:r>
</w:p>
<w:p>
<w:pPr><w:pStyle w:val="Normal"/></w:pPr>
<w:r><w:t xml:space="preserve">poem dealing so largely with abstractions; but the work was</w:t></w:r>
</w:p>
<w:p>
<w:pPr><w:pStyle w:val="Normal"/></w:pPr>
<w:r><w:t xml:space="preserve">well received by the general public.  His success was not</w:t></w:r>
</w:p>
<w:p>
<w:pPr><w:pStyle w:val="Normal"/></w:pPr>
<w:r><w:t xml:space="preserve">unchallenged.  Gray wrote to Thomas Wharton that it was</w:t></w:r>
</w:p>
<w:p>
<w:pPr><w:pStyle w:val="Normal"/></w:pPr>
<w:r><w:t xml:space="preserve">``above the middling,&apos;&apos; but ``often obscure and unintelligible</w:t></w:r>
</w:p>
<w:p>
<w:pPr><w:pStyle w:val="Normal"/></w:pPr>
<w:r><w:t xml:space="preserve">and too much infected with the Hutchinson1 jargon.&apos;&apos;</w:t></w:r>
</w:p>
<w:p>
<w:pPr><w:pStyle w:val="Normal"/></w:pPr>
<w:r><w:t xml:space="preserve">Into a note added by Akenside to the passage in the third</w:t></w:r>
</w:p>
<w:p>
<w:pPr><w:pStyle w:val="Normal"/></w:pPr>
<w:r><w:t xml:space="preserve">book dealing with ridicule, William Warburton chose to read</w:t></w:r>
</w:p>
<w:p>
<w:pPr><w:pStyle w:val="Normal"/></w:pPr>
<w:r><w:t xml:space="preserve">a reflexion on himself.  Accordingly he attacked the author</w:t></w:r>
</w:p>
<w:p>
<w:pPr><w:pStyle w:val="Normal"/></w:pPr>
<w:r><w:t xml:space="preserve">of the Pleasures of the Imagination---which was published</w:t></w:r>
</w:p>
<w:p>
<w:pPr><w:pStyle w:val="Normal"/></w:pPr>
<w:r><w:t xml:space="preserve">anonymously--in a scathing preface to his Remarks on Several</w:t></w:r>
</w:p>
<w:p>
<w:pPr><w:pStyle w:val="Normal"/></w:pPr>
<w:r><w:t xml:space="preserve">Occasional Reflections, in answer to Dr Middleton (1744).</w:t></w:r>
</w:p>
<w:p>
<w:pPr><w:pStyle w:val="Normal"/></w:pPr>
<w:r><w:t xml:space="preserve">This was answered, nominally by Dyson, in An Epistle to the</w:t></w:r>
</w:p>
<w:p>
<w:pPr><w:pStyle w:val="Normal"/></w:pPr>
<w:r><w:t xml:space="preserve">Rev. Mr Brarburton, in which Akenside no doubt had a hand.</w:t></w:r>
</w:p>
<w:p>
<w:pPr><w:pStyle w:val="Normal"/></w:pPr>
<w:r><w:t xml:space="preserve">It was in the press when he left England in 1744 to secure a</w:t></w:r>
</w:p>
<w:p>
<w:pPr><w:pStyle w:val="Normal"/></w:pPr>
<w:r><w:t xml:space="preserve">medical degree at Leiden.  In little more than a month he had</w:t></w:r>
</w:p>
<w:p>
<w:pPr><w:pStyle w:val="Normal"/></w:pPr>
<w:r><w:t xml:space="preserve">completed the necessary dissertation, De ortu et incremento</w:t></w:r>
</w:p>
<w:p>
<w:pPr><w:pStyle w:val="Normal"/></w:pPr>
<w:r><w:t xml:space="preserve">foetus humani, and received his diploma.  Returning to</w:t></w:r>
</w:p>
<w:p>
<w:pPr><w:pStyle w:val="Normal"/></w:pPr>
<w:r><w:t xml:space="preserve">England he attempted without success to establish a practice in</w:t></w:r>
</w:p>
<w:p>
<w:pPr><w:pStyle w:val="Normal"/></w:pPr>
<w:r><w:t xml:space="preserve">Northampton.  In 1744 he published his Epistle to Curio,</w:t></w:r>
</w:p>
<w:p>
<w:pPr><w:pStyle w:val="Normal"/></w:pPr>
<w:r><w:t xml:space="preserve">attacking William Pulteney (afterwards earl of Bath) for having</w:t></w:r>
</w:p>
<w:p>
<w:pPr><w:pStyle w:val="Normal"/></w:pPr>
<w:r><w:t xml:space="preserve">abandoned his liberal principles to become a supporter of the</w:t></w:r>
</w:p>
<w:p>
<w:pPr><w:pStyle w:val="Normal"/></w:pPr>
<w:r><w:t xml:space="preserve">government, and in the next year he produced a small volume</w:t></w:r>
</w:p>
<w:p>
<w:pPr><w:pStyle w:val="Normal"/></w:pPr>
<w:r><w:t xml:space="preserve">of Odes on Several Subjects, in the preface to which he</w:t></w:r>
</w:p>
<w:p>
<w:pPr><w:pStyle w:val="Normal"/></w:pPr>
<w:r><w:t xml:space="preserve">lays claim to correctness and a careful study of the best</w:t></w:r>
</w:p>
<w:p>
<w:pPr><w:pStyle w:val="Normal"/></w:pPr>
<w:r><w:t xml:space="preserve">models.  His friend Dyson had meanwhile left the bar, and had</w:t></w:r>
</w:p>
<w:p>
<w:pPr><w:pStyle w:val="Normal"/></w:pPr>
<w:r><w:t xml:space="preserve">become, by purchase, clerk to the House of Commons.  Akenside</w:t></w:r>
</w:p>
<w:p>
<w:pPr><w:pStyle w:val="Normal"/></w:pPr>
<w:r><w:t xml:space="preserve">had come to London and was trying to make a practice at</w:t></w:r>
</w:p>
<w:p>
<w:pPr><w:pStyle w:val="Normal"/></w:pPr>
<w:r><w:t xml:space="preserve">Hampstead.  Dyson took a house there, and did all he could</w:t></w:r>
</w:p>
<w:p>
<w:pPr><w:pStyle w:val="Normal"/></w:pPr>
<w:r><w:t xml:space="preserve">to further his friend&apos;s interest in the neighbourhood.  But</w:t></w:r>
</w:p>
<w:p>
<w:pPr><w:pStyle w:val="Normal"/></w:pPr>
<w:r><w:t xml:space="preserve">Akenside&apos;s arrogance and pedantry frustrated these efforts,</w:t></w:r>
</w:p>
<w:p>
<w:pPr><w:pStyle w:val="Normal"/></w:pPr>
<w:r><w:t xml:space="preserve">and Dyson then took a house for him in Bloomsbury Square,</w:t></w:r>
</w:p>
<w:p>
<w:pPr><w:pStyle w:val="Normal"/></w:pPr>
<w:r><w:t xml:space="preserve">making him independent of his profession by an allowance</w:t></w:r>
</w:p>
<w:p>
<w:pPr><w:pStyle w:val="Normal"/></w:pPr>
<w:r><w:t xml:space="preserve">stated to have been L. 300 a year, but probably greater,</w:t></w:r>
</w:p>
<w:p>
<w:pPr><w:pStyle w:val="Normal"/></w:pPr>
<w:r><w:t xml:space="preserve">for it is asserted that this income enabled him to ``keep a</w:t></w:r>
</w:p>
<w:p>
<w:pPr><w:pStyle w:val="Normal"/></w:pPr>
<w:r><w:t xml:space="preserve">chariot,&apos;&apos; and to live ``incomparably well.&apos;&apos; In 1746 he wrote</w:t></w:r>
</w:p>
<w:p>
<w:pPr><w:pStyle w:val="Normal"/></w:pPr>
<w:r><w:t xml:space="preserve">his much-praised ``Hymn to the Naiads,&apos;&apos; and he also became a</w:t></w:r>
</w:p>
<w:p>
<w:pPr><w:pStyle w:val="Normal"/></w:pPr>
<w:r><w:t xml:space="preserve">contributor to Dodsley&apos;s Museum, or Literary and Historical</w:t></w:r>
</w:p>
<w:p>
<w:pPr><w:pStyle w:val="Normal"/></w:pPr>
<w:r><w:t xml:space="preserve">Register. He was now twenty-five years old, and began to devote</w:t></w:r>
</w:p>
<w:p>
<w:pPr><w:pStyle w:val="Normal"/></w:pPr>
<w:r><w:t xml:space="preserve">1 The reference is to Francis Hutcheson (1604-1746), author of an</w:t></w:r>
</w:p>
<w:p>
<w:pPr><w:pStyle w:val="Normal"/></w:pPr>
<w:r><w:t xml:space="preserve">inquiry into the Original of our Ideas of Beauty and Virtue (1725).</w:t></w:r>
</w:p>
<w:p>
<w:pPr><w:pStyle w:val="Normal"/></w:pPr>
<w:r><w:t xml:space="preserve">himself almost exclusively to his profession.  He was an acute</w:t></w:r>
</w:p>
<w:p>
<w:pPr><w:pStyle w:val="Normal"/></w:pPr>
<w:r><w:t xml:space="preserve">and learned physician.  He was admitted M.D. at Cambridge in</w:t></w:r>
</w:p>
<w:p>
<w:pPr><w:pStyle w:val="Normal"/></w:pPr>
<w:r><w:t xml:space="preserve">1753, fellow of the Royal College of Physicians in 1754, and</w:t></w:r>
</w:p>
<w:p>
<w:pPr><w:pStyle w:val="Normal"/></w:pPr>
<w:r><w:t xml:space="preserve">fourth censor in 1755.  In June 1755 he read the Gulstonian</w:t></w:r>
</w:p>
<w:p>
<w:pPr><w:pStyle w:val="Normal"/></w:pPr>
<w:r><w:t xml:space="preserve">lectures before the College, in September 1756 the Croonian</w:t></w:r>
</w:p>
<w:p>
<w:pPr><w:pStyle w:val="Normal"/></w:pPr>
<w:r><w:t xml:space="preserve">lectures, and in 1759 the Harveian oration.  In January</w:t></w:r>
</w:p>
<w:p>
<w:pPr><w:pStyle w:val="Normal"/></w:pPr>
<w:r><w:t xml:space="preserve">1759 he was appointed assistant physician, and two months</w:t></w:r>
</w:p>
<w:p>
<w:pPr><w:pStyle w:val="Normal"/></w:pPr>
<w:r><w:t xml:space="preserve">later principal physician to Christ&apos;s Hospital, but he was</w:t></w:r>
</w:p>
<w:p>
<w:pPr><w:pStyle w:val="Normal"/></w:pPr>
<w:r><w:t xml:space="preserve">charged with harsh treatment of the poorer patients, and his</w:t></w:r>
</w:p>
<w:p>
<w:pPr><w:pStyle w:val="Normal"/></w:pPr>
<w:r><w:t xml:space="preserve">unsympathetic character prevented the success to which his</w:t></w:r>
</w:p>
<w:p>
<w:pPr><w:pStyle w:val="Normal"/></w:pPr>
<w:r><w:t xml:space="preserve">undeniable learning and ability entitled him.  At the accession</w:t></w:r>
</w:p>
<w:p>
<w:pPr><w:pStyle w:val="Normal"/></w:pPr>
<w:r><w:t xml:space="preserve">of George III. both Dyson and Akenside changed their political</w:t></w:r>
</w:p>
<w:p>
<w:pPr><w:pStyle w:val="Normal"/></w:pPr>
<w:r><w:t xml:space="preserve">opinions, and Akenside&apos;s conversion to Tory principles was</w:t></w:r>
</w:p>
<w:p>
<w:pPr><w:pStyle w:val="Normal"/></w:pPr>
<w:r><w:t xml:space="preserve">rewarded by the appointment of physician to the queen.</w:t></w:r>
</w:p>
<w:p>
<w:pPr><w:pStyle w:val="Normal"/></w:pPr>
<w:r><w:t xml:space="preserve">Dyson became societary to the treasury, lord of the treasury,</w:t></w:r>
</w:p>
<w:p>
<w:pPr><w:pStyle w:val="Normal"/></w:pPr>
<w:r><w:t xml:space="preserve">and in 1774 privy Councillor and cofferer to the household.</w:t></w:r>
</w:p>
<w:p>
<w:pPr><w:pStyle w:val="Normal"/></w:pPr>
<w:r><w:t xml:space="preserve">Akenside died on the 23rd of June 1770, at his house in</w:t></w:r>
</w:p>
<w:p>
<w:pPr><w:pStyle w:val="Normal"/></w:pPr>
<w:r><w:t xml:space="preserve">Burlington Street, where the last ten years of his life had</w:t></w:r>
</w:p>
<w:p>
<w:pPr><w:pStyle w:val="Normal"/></w:pPr>
<w:r><w:t xml:space="preserve">been spent.  His friendship with Dyson puts his character in</w:t></w:r>
</w:p>
<w:p>
<w:pPr><w:pStyle w:val="Normal"/></w:pPr>
<w:r><w:t xml:space="preserve">the most amiable light.  Writing to his friend so early as</w:t></w:r>
</w:p>
<w:p>
<w:pPr><w:pStyle w:val="Normal"/></w:pPr>
<w:r><w:t xml:space="preserve">1744, Akenside said that the intimacy had ``the force of an</w:t></w:r>
</w:p>
<w:p>
<w:pPr><w:pStyle w:val="Normal"/></w:pPr>
<w:r><w:t xml:space="preserve">additional conscience, of a new principle of religion,&apos;&apos; and</w:t></w:r>
</w:p>
<w:p>
<w:pPr><w:pStyle w:val="Normal"/></w:pPr>
<w:r><w:t xml:space="preserve">there seems to have been no break in their affection.  He</w:t></w:r>
</w:p>
<w:p>
<w:pPr><w:pStyle w:val="Normal"/></w:pPr>
<w:r><w:t xml:space="preserve">left all his effects and his literary remains to Dyson, who</w:t></w:r>
</w:p>
<w:p>
<w:pPr><w:pStyle w:val="Normal"/></w:pPr>
<w:r><w:t xml:space="preserve">issued an edition of his poems in 1772.  This included the</w:t></w:r>
</w:p>
<w:p>
<w:pPr><w:pStyle w:val="Normal"/></w:pPr>
<w:r><w:t xml:space="preserve">revised version of the Pleasures of Imagination, on which</w:t></w:r>
</w:p>
<w:p>
<w:pPr><w:pStyle w:val="Normal"/></w:pPr>
<w:r><w:t xml:space="preserve">the author was engaged at his death.  The first book of this</w:t></w:r>
</w:p>
<w:p>
<w:pPr><w:pStyle w:val="Normal"/></w:pPr>
<w:r><w:t xml:space="preserve">work defines the powers of imagination and discusses the</w:t></w:r>
</w:p>
<w:p>
<w:pPr><w:pStyle w:val="Normal"/></w:pPr>
<w:r><w:t xml:space="preserve">various kinds of pleasure to be derived from the perception</w:t></w:r>
</w:p>
<w:p>
<w:pPr><w:pStyle w:val="Normal"/></w:pPr>
<w:r><w:t xml:space="preserve">of beauty; the second distinguishes works of imagination from</w:t></w:r>
</w:p>
<w:p>
<w:pPr><w:pStyle w:val="Normal"/></w:pPr>
<w:r><w:t xml:space="preserve">philosophy; the third describes the pleasure to be found in the</w:t></w:r>
</w:p>
<w:p>
<w:pPr><w:pStyle w:val="Normal"/></w:pPr>
<w:r><w:t xml:space="preserve">study of man, the sources of ridicule, the operations of the</w:t></w:r>
</w:p>
<w:p>
<w:pPr><w:pStyle w:val="Normal"/></w:pPr>
<w:r><w:t xml:space="preserve">mind, in producing works of imagination, and the influence</w:t></w:r>
</w:p>
<w:p>
<w:pPr><w:pStyle w:val="Normal"/></w:pPr>
<w:r><w:t xml:space="preserve">of imagination on morals.  The ideas were largely borrowed</w:t></w:r>
</w:p>
<w:p>
<w:pPr><w:pStyle w:val="Normal"/></w:pPr>
<w:r><w:t xml:space="preserve">from Addison&apos;s essays on the imagination and from Lord</w:t></w:r>
</w:p>
<w:p>
<w:pPr><w:pStyle w:val="Normal"/></w:pPr>
<w:r><w:t xml:space="preserve">Shaftesbury.  Professor Dowden complains that ``his tone is</w:t></w:r>
</w:p>
<w:p>
<w:pPr><w:pStyle w:val="Normal"/></w:pPr>
<w:r><w:t xml:space="preserve">too high-pitched; his ideas are too much in the air; they do</w:t></w:r>
</w:p>
<w:p>
<w:pPr><w:pStyle w:val="Normal"/></w:pPr>
<w:r><w:t xml:space="preserve">not nourish themselves in the common heart, the common life</w:t></w:r>
</w:p>
<w:p>
<w:pPr><w:pStyle w:val="Normal"/></w:pPr>
<w:r><w:t xml:space="preserve">of man.&apos;&apos; Dr Johnson praised the blank verse of the poems, but</w:t></w:r>
</w:p>
<w:p>
<w:pPr><w:pStyle w:val="Normal"/></w:pPr>
<w:r><w:t xml:space="preserve">found fault with the long and complicated periods.  Akenside&apos;s</w:t></w:r>
</w:p>
<w:p>
<w:pPr><w:pStyle w:val="Normal"/></w:pPr>
<w:r><w:t xml:space="preserve">verse was better when it was subjected to severer metrical</w:t></w:r>
</w:p>
<w:p>
<w:pPr><w:pStyle w:val="Normal"/></w:pPr>
<w:r><w:t xml:space="preserve">rules.  His odes are very few of them lyrical in the strict</w:t></w:r>
</w:p>
<w:p>
<w:pPr><w:pStyle w:val="Normal"/></w:pPr>
<w:r><w:t xml:space="preserve">sense, but they are dignified and often musical, while the few</w:t></w:r>
</w:p>
<w:p>
<w:pPr><w:pStyle w:val="Normal"/></w:pPr>
<w:r><w:t xml:space="preserve">``inscriptions&apos;&apos; he has left are felicitous in the extreme.</w:t></w:r>
</w:p>
<w:p>
<w:pPr><w:pStyle w:val="Normal"/></w:pPr>
<w:r><w:t xml:space="preserve">The best edition of Akenside&apos;s Poetical Works is that prepared</w:t></w:r>
</w:p>
<w:p>
<w:pPr><w:pStyle w:val="Normal"/></w:pPr>
<w:r><w:t xml:space="preserve">(1834) by Alexander Dyce for the Aldine Edition of the British</w:t></w:r>
</w:p>
<w:p>
<w:pPr><w:pStyle w:val="Normal"/></w:pPr>
<w:r><w:t xml:space="preserve">Poets, and reprinted with small additions in subsequent issues</w:t></w:r>
</w:p>
<w:p>
<w:pPr><w:pStyle w:val="Normal"/></w:pPr>
<w:r><w:t xml:space="preserve">of the series.  See Dyce&apos;s Life of Akenside prefixed to his</w:t></w:r>
</w:p>
<w:p>
<w:pPr><w:pStyle w:val="Normal"/></w:pPr>
<w:r><w:t xml:space="preserve">edition, also Johnson&apos;s Lives of the Poets, and the Life,</w:t></w:r>
</w:p>
<w:p>
<w:pPr><w:pStyle w:val="Normal"/></w:pPr>
<w:r><w:t xml:space="preserve">Writings and Genius of Akenside (1832) by Charles Bucke.</w:t></w:r>
</w:p>
<w:p>
<w:pPr><w:pStyle w:val="Normal"/></w:pPr>
<w:r><w:t xml:space="preserve">AKERMAN, JOHN YONGE (1806-1873), English antiquarian,</w:t></w:r>
</w:p>
<w:p>
<w:pPr><w:pStyle w:val="Normal"/></w:pPr>
<w:r><w:t xml:space="preserve">distinguished chiefly in the department of numismatics, was</w:t></w:r>
</w:p>
<w:p>
<w:pPr><w:pStyle w:val="Normal"/></w:pPr>
<w:r><w:t xml:space="preserve">born in Wiltshire.  He became early known in connexion with his</w:t></w:r>
</w:p>
<w:p>
<w:pPr><w:pStyle w:val="Normal"/></w:pPr>
<w:r><w:t xml:space="preserve">favourite study, having initiated the Numismatic Journal in</w:t></w:r>
</w:p>
<w:p>
<w:pPr><w:pStyle w:val="Normal"/></w:pPr>
<w:r><w:t xml:space="preserve">1836.  In the following year he became the secretary of the</w:t></w:r>
</w:p>
<w:p>
<w:pPr><w:pStyle w:val="Normal"/></w:pPr>
<w:r><w:t xml:space="preserve">newly established Numismatic Society.  In 1848 he was elected</w:t></w:r>
</w:p>
<w:p>
<w:pPr><w:pStyle w:val="Normal"/></w:pPr>
<w:r><w:t xml:space="preserve">secretary to the Society of Antiquaries, an office which</w:t></w:r>
</w:p>
<w:p>
<w:pPr><w:pStyle w:val="Normal"/></w:pPr>
<w:r><w:t xml:space="preserve">he was compelled to resign in 1860 on account of failing</w:t></w:r>
</w:p>
<w:p>
<w:pPr><w:pStyle w:val="Normal"/></w:pPr>
<w:r><w:t xml:space="preserve">health.  Akerman published a considerable number of works on</w:t></w:r>
</w:p>
<w:p>
<w:pPr><w:pStyle w:val="Normal"/></w:pPr>
<w:r><w:t xml:space="preserve">his special subject, the more important being a Catalogue</w:t></w:r>
</w:p>
<w:p>
<w:pPr><w:pStyle w:val="Normal"/></w:pPr>
<w:r><w:t xml:space="preserve">of Roman Coins (1839); a Numismatic Manual (1840); Roman</w:t></w:r>
</w:p>
<w:p>
<w:pPr><w:pStyle w:val="Normal"/></w:pPr>
<w:r><w:t xml:space="preserve">Coins relating to Britain (1844); Ancient Coins--Hispania,</w:t></w:r>
</w:p>
<w:p>
<w:pPr><w:pStyle w:val="Normal"/></w:pPr>
<w:r><w:t xml:space="preserve">Gallia, Britannia (1846); and Numismatic Illustrations of</w:t></w:r>
</w:p>
<w:p>
<w:pPr><w:pStyle w:val="Normal"/></w:pPr>
<w:r><w:t xml:space="preserve">the New Testament (1846).  He wrote also a Glossary of Words</w:t></w:r>
</w:p>
<w:p>
<w:pPr><w:pStyle w:val="Normal"/></w:pPr>
<w:r><w:t xml:space="preserve">used in Wiltshire (1842); Wiltshire Tales, illustrative of</w:t></w:r>
</w:p>
<w:p>
<w:pPr><w:pStyle w:val="Normal"/></w:pPr>
<w:r><w:t xml:space="preserve">the Dialect (1853); and Remains of Pagan Saxondom (1855).</w:t></w:r>
</w:p>
<w:p>
<w:pPr><w:pStyle w:val="Normal"/></w:pPr>
<w:r><w:t xml:space="preserve">AKHALTSIKH (Georgian Akhaltsikhe, ``new fortress&apos;&apos;),</w:t></w:r>
</w:p>
<w:p>
<w:pPr><w:pStyle w:val="Normal"/></w:pPr>
<w:r><w:t xml:space="preserve">a fortified town of Russian Transcaucasia, government of</w:t></w:r>
</w:p>
<w:p>
<w:pPr><w:pStyle w:val="Normal"/></w:pPr>
<w:r><w:t xml:space="preserve">Tiths, 68 m.  E. of Batum, in 41 deg.  40&apos; N. lat., 43 deg.  1&apos; E.</w:t></w:r>
</w:p>
<w:p>
<w:pPr><w:pStyle w:val="Normal"/></w:pPr>
<w:r><w:t xml:space="preserve">long., on a tributary of the Kura, at an altitude of 3375</w:t></w:r>
</w:p>
<w:p>
<w:pPr><w:pStyle w:val="Normal"/></w:pPr>
<w:r><w:t xml:space="preserve">ft.  The new town is on the right bank of the river,</w:t></w:r>
</w:p>
<w:p>
<w:pPr><w:pStyle w:val="Normal"/></w:pPr>
<w:r><w:t xml:space="preserve">while the old town and the fortress are on the opposite</w:t></w:r>
</w:p>
<w:p>
<w:pPr><w:pStyle w:val="Normal"/></w:pPr>
<w:r><w:t xml:space="preserve">bank.  There is trade in silk, honey and wax, and brown coal</w:t></w:r>
</w:p>
<w:p>
<w:pPr><w:pStyle w:val="Normal"/></w:pPr>
<w:r><w:t xml:space="preserve">is found in the neighbourhood.  The silver filigree work is</w:t></w:r>
</w:p>
<w:p>
<w:pPr><w:pStyle w:val="Normal"/></w:pPr>
<w:r><w:t xml:space="preserve">famous.  Pop. (1897) 15,387, of whom many were Armenians, as</w:t></w:r>
</w:p>
<w:p>
<w:pPr><w:pStyle w:val="Normal"/></w:pPr>
<w:r><w:t xml:space="preserve">against 15,977 in 1867.  From 1579 to 1828 Akhaltsikh was the</w:t></w:r>
</w:p>
<w:p>
<w:pPr><w:pStyle w:val="Normal"/></w:pPr>
<w:r><w:t xml:space="preserve">capital of Turkish Armenia.  In the last-mentioned year it</w:t></w:r>
</w:p>
<w:p>
<w:pPr><w:pStyle w:val="Normal"/></w:pPr>
<w:r><w:t xml:space="preserve">was captured by the Russians.  The Turks invested it in 1853.</w:t></w:r>
</w:p>
<w:p>
<w:pPr><w:pStyle w:val="Normal"/></w:pPr>
<w:r><w:t xml:space="preserve">AK-HISSAR (anc. Thyateira, the ``town of Thya&apos;&apos;), a town</w:t></w:r>
</w:p>
<w:p>
<w:pPr><w:pStyle w:val="Normal"/></w:pPr>
<w:r><w:t xml:space="preserve">situated in a fertile plain on the Gurduk Chai (Lycus), in</w:t></w:r>
</w:p>
<w:p>
<w:pPr><w:pStyle w:val="Normal"/></w:pPr>
<w:r><w:t xml:space="preserve">the Aidin vilayet, 58 m.  N.E. of Smyrna.  Pop. about 20,000,</w:t></w:r>
</w:p>
<w:p>
<w:pPr><w:pStyle w:val="Normal"/></w:pPr>
<w:r><w:t xml:space="preserve">Mussulmans forming two-thirds.  Thyateira was an ancient town</w:t></w:r>
</w:p>
<w:p>
<w:pPr><w:pStyle w:val="Normal"/></w:pPr>
<w:r><w:t xml:space="preserve">re-peopled with Macedonians by Seleucus about 290 B.C. It</w:t></w:r>
</w:p>
<w:p>
<w:pPr><w:pStyle w:val="Normal"/></w:pPr>
<w:r><w:t xml:space="preserve">became an important station on the Roman road from Pergamum to</w:t></w:r>
</w:p>
<w:p>
<w:pPr><w:pStyle w:val="Normal"/></w:pPr>
<w:r><w:t xml:space="preserve">Laodicea, and one of the ``Seven Churches&apos;&apos; of Asia (Rev. ii.</w:t></w:r>
</w:p>
<w:p>
<w:pPr><w:pStyle w:val="Normal"/></w:pPr>
<w:r><w:t xml:space="preserve">18), but was never a metropolis or honoured with a neocorate,</w:t></w:r>
</w:p>
<w:p>
<w:pPr><w:pStyle w:val="Normal"/></w:pPr>
<w:r><w:t xml:space="preserve">though made the centre of a conventus by Caracalla.  The</w:t></w:r>
</w:p>
<w:p>
<w:pPr><w:pStyle w:val="Normal"/></w:pPr>
<w:r><w:t xml:space="preserve">modern town is connected with Smyrna by railway, and exports</w:t></w:r>
</w:p>
<w:p>
<w:pPr><w:pStyle w:val="Normal"/></w:pPr>
<w:r><w:t xml:space="preserve">cotton, wool, opium, cocoons and cereals.  The inhabitants are</w:t></w:r>
</w:p>
<w:p>
<w:pPr><w:pStyle w:val="Normal"/></w:pPr>
<w:r><w:t xml:space="preserve">Greeks, Armenians and Turks.  The Greeks are of an especially</w:t></w:r>
</w:p>
<w:p>
<w:pPr><w:pStyle w:val="Normal"/></w:pPr>
<w:r><w:t xml:space="preserve">fine type, physical and moral, and noted all through Anatolia</w:t></w:r>
</w:p>
<w:p>
<w:pPr><w:pStyle w:val="Normal"/></w:pPr>
<w:r><w:t xml:space="preserve">for energy and stability.  W. M. Ramsay believes them to be</w:t></w:r>
</w:p>
<w:p>
<w:pPr><w:pStyle w:val="Normal"/></w:pPr>
<w:r><w:t xml:space="preserve">direct descendants of the ancient Christian population; but</w:t></w:r>
</w:p>
<w:p>
<w:pPr><w:pStyle w:val="Normal"/></w:pPr>
<w:r><w:t xml:space="preserve">there is reason to think they are partly sprung from more</w:t></w:r>
</w:p>
<w:p>
<w:pPr><w:pStyle w:val="Normal"/></w:pPr>
<w:r><w:t xml:space="preserve">recent immigrants who moved in the 18th century from western</w:t></w:r>
</w:p>
<w:p>
<w:pPr><w:pStyle w:val="Normal"/></w:pPr>
<w:r><w:t xml:space="preserve">Greece into the domain of the Karasmans of Manisa and Bergama,</w:t></w:r>
</w:p>
<w:p>
<w:pPr><w:pStyle w:val="Normal"/></w:pPr>
<w:r><w:t xml:space="preserve">as recorded by W. M. Leake.  Cotton of excellent quality</w:t></w:r>
</w:p>
<w:p>
<w:pPr><w:pStyle w:val="Normal"/></w:pPr>
<w:r><w:t xml:space="preserve">is grown in the neighbourhood, and the place is celebrated</w:t></w:r>
</w:p>
<w:p>
<w:pPr><w:pStyle w:val="Normal"/></w:pPr>
<w:r><w:t xml:space="preserve">for its scarlet dyes. Perebus Thyatirenorum (1893).</w:t></w:r>
</w:p>
<w:p>
<w:pPr><w:pStyle w:val="Normal"/></w:pPr>
<w:r><w:t xml:space="preserve">AKHMIM, or EKHMIM, a town of Upper Egypt, on the right</w:t></w:r>
</w:p>
<w:p>
<w:pPr><w:pStyle w:val="Normal"/></w:pPr>
<w:r><w:t xml:space="preserve">bank of the Nile, 67 m. by river S. of Assiut, and 4 m. above</w:t></w:r>
</w:p>
<w:p>
<w:pPr><w:pStyle w:val="Normal"/></w:pPr>
<w:r><w:t xml:space="preserve">Suhag, on the opposite side of the river, whence there is railway</w:t></w:r>
</w:p>
<w:p>
<w:pPr><w:pStyle w:val="Normal"/></w:pPr>
<w:r><w:t xml:space="preserve">communication with Cairo and Assuan.  It is the largest town on</w:t></w:r>
</w:p>
<w:p>
<w:pPr><w:pStyle w:val="Normal"/></w:pPr>
<w:r><w:t xml:space="preserve">the east side of the Nile in Upper Egypt, having a population</w:t></w:r>
</w:p>
<w:p>
<w:pPr><w:pStyle w:val="Normal"/></w:pPr>
<w:r><w:t xml:space="preserve">in 1007 of 25,795, of whom about a third were Copts.  Akhmim</w:t></w:r>
</w:p>
<w:p>
<w:pPr><w:pStyle w:val="Normal"/></w:pPr>
<w:r><w:t xml:space="preserve">has several mosques and two Coptic churches, maintains a weekly</w:t></w:r>
</w:p>
<w:p>
<w:pPr><w:pStyle w:val="Normal"/></w:pPr>
<w:r><w:t xml:space="preserve">market, and manufactures cotton goods, notably the blue shirts</w:t></w:r>
</w:p>
<w:p>
<w:pPr><w:pStyle w:val="Normal"/></w:pPr>
<w:r><w:t xml:space="preserve">and check shawls with silk fringes worn by the poorer classes of</w:t></w:r>
</w:p>
<w:p>
<w:pPr><w:pStyle w:val="Normal"/></w:pPr>
<w:r><w:t xml:space="preserve">Egypt.  Outside the walls are the scanty ruins of two ancient</w:t></w:r>
</w:p>
<w:p>
<w:pPr><w:pStyle w:val="Normal"/></w:pPr>
<w:r><w:t xml:space="preserve">temples.  In Abulfeda&apos;s days (13th century A.D.) a very</w:t></w:r>
</w:p>
<w:p>
<w:pPr><w:pStyle w:val="Normal"/></w:pPr>
<w:r><w:t xml:space="preserve">imposing temule still stood here.  Akhmim was the Egyptian Apu</w:t></w:r>
</w:p>
<w:p>
<w:pPr><w:pStyle w:val="Normal"/></w:pPr>
<w:r><w:t xml:space="preserve">or Khen-min, in Coptic Shmin, known to the Greeks as Chemmis</w:t></w:r>
</w:p>
<w:p>
<w:pPr><w:pStyle w:val="Normal"/></w:pPr>
<w:r><w:t xml:space="preserve">or Panopolis, capital of the 9th or Chemmite nome of Upper</w:t></w:r>
</w:p>
<w:p>
<w:pPr><w:pStyle w:val="Normal"/></w:pPr>
<w:r><w:t xml:space="preserve">Egypt.  The ithyphallic Min (Pan) was here worshipped as</w:t></w:r>
</w:p>
<w:p>
<w:pPr><w:pStyle w:val="Normal"/></w:pPr>
<w:r><w:t xml:space="preserve">``the strong Horus.&apos;&apos; Herodotus mentions the temple dedicated</w:t></w:r>
</w:p>
<w:p>
<w:pPr><w:pStyle w:val="Normal"/></w:pPr>
<w:r><w:t xml:space="preserve">to ``Perseus&apos;&apos; and asserts that Chemmis was remark-. able</w:t></w:r>
</w:p>
<w:p>
<w:pPr><w:pStyle w:val="Normal"/></w:pPr>
<w:r><w:t xml:space="preserve">for the celebration of games in honour of that hero, after</w:t></w:r>
</w:p>
<w:p>
<w:pPr><w:pStyle w:val="Normal"/></w:pPr>
<w:r><w:t xml:space="preserve">the manner of the Greeks, at which prizes were given; as a</w:t></w:r>
</w:p>
<w:p>
<w:pPr><w:pStyle w:val="Normal"/></w:pPr>
<w:r><w:t xml:space="preserve">matter of fact some representations are known of Nubians and</w:t></w:r>
</w:p>
<w:p>
<w:pPr><w:pStyle w:val="Normal"/></w:pPr>
<w:r><w:t xml:space="preserve">people of Puoni (Somalic coast) clambering up poles before the</w:t></w:r>
</w:p>
<w:p>
<w:pPr><w:pStyle w:val="Normal"/></w:pPr>
<w:r><w:t xml:space="preserve">god Min. Min was especially a god of the desert routes on the</w:t></w:r>
</w:p>
<w:p>
<w:pPr><w:pStyle w:val="Normal"/></w:pPr>
<w:r><w:t xml:space="preserve">east of Egypt, and the trading tribes are likely to have</w:t></w:r>
</w:p>
<w:p>
<w:pPr><w:pStyle w:val="Normal"/></w:pPr>
<w:r><w:t xml:space="preserve">gathered to his festivals for business and pleasure, at Coptos</w:t></w:r>
</w:p>
<w:p>
<w:pPr><w:pStyle w:val="Normal"/></w:pPr>
<w:r><w:t xml:space="preserve">(which was really near to Neapolis, Kena) even more than at</w:t></w:r>
</w:p>
<w:p>
<w:pPr><w:pStyle w:val="Normal"/></w:pPr>
<w:r><w:t xml:space="preserve">Akhmim.  Herodotus perhaps confused Coptos with Chemmis.</w:t></w:r>
</w:p>
<w:p>
<w:pPr><w:pStyle w:val="Normal"/></w:pPr>
<w:r><w:t xml:space="preserve">Strabo mentions linen-weaving as an ancient industry of</w:t></w:r>
</w:p>
<w:p>
<w:pPr><w:pStyle w:val="Normal"/></w:pPr>
<w:r><w:t xml:space="preserve">Panopohs, and it is not altogether a coincidence that the</w:t></w:r>
</w:p>
<w:p>
<w:pPr><w:pStyle w:val="Normal"/></w:pPr>
<w:r><w:t xml:space="preserve">cemetery of Akhmim is one of the chief sources of the beautiful</w:t></w:r>
</w:p>
<w:p>
<w:pPr><w:pStyle w:val="Normal"/></w:pPr>
<w:r><w:t xml:space="preserve">textiles of Roman and Coptic age that are brought from</w:t></w:r>
</w:p>
<w:p>
<w:pPr><w:pStyle w:val="Normal"/></w:pPr>
<w:r><w:t xml:space="preserve">Egypt.  Monasteries abounded in this neighbourhood from a very</w:t></w:r>
</w:p>
<w:p>
<w:pPr><w:pStyle w:val="Normal"/></w:pPr>
<w:r><w:t xml:space="preserve">early date; Shenout (Sinuthius), the fiery apostle and prophet</w:t></w:r>
</w:p>
<w:p>
<w:pPr><w:pStyle w:val="Normal"/></w:pPr>
<w:r><w:t xml:space="preserve">of the Coptic national church, was a monk of Atrepe (now</w:t></w:r>
</w:p>
<w:p>
<w:pPr><w:pStyle w:val="Normal"/></w:pPr>
<w:r><w:t xml:space="preserve">Suhag), and led the populace to the destruction of the pagan</w:t></w:r>
</w:p>
<w:p>
<w:pPr><w:pStyle w:val="Normal"/></w:pPr>
<w:r><w:t xml:space="preserve">edifices.  He died in 451; some years earlier Nestorius, the</w:t></w:r>
</w:p>
<w:p>
<w:pPr><w:pStyle w:val="Normal"/></w:pPr>
<w:r><w:t xml:space="preserve">ex-patriarch, had succumbed perhaps to his persecution and to old</w:t></w:r>
</w:p>
<w:p>
<w:pPr><w:pStyle w:val="Normal"/></w:pPr>
<w:r><w:t xml:space="preserve">age, in the neighbourhood of Akhmim.  Nonnus, the Greek poet, was</w:t></w:r>
</w:p>
<w:p>
<w:pPr><w:pStyle w:val="Normal"/></w:pPr>
<w:r><w:t xml:space="preserve">born at Panopolis at the end of the 4th century. (F. LL. G.)</w:t></w:r>
</w:p>
<w:p>
<w:pPr><w:pStyle w:val="Normal"/></w:pPr>
<w:r><w:t xml:space="preserve">AKHTAL [GHIYYTH IBN HYRITH} (c. 640-710), one of the most</w:t></w:r>
</w:p>
<w:p>
<w:pPr><w:pStyle w:val="Normal"/></w:pPr>
<w:r><w:t xml:space="preserve">famous Arabian poets of the Omayyad period, belonged to the tribe</w:t></w:r>
</w:p>
<w:p>
<w:pPr><w:pStyle w:val="Normal"/></w:pPr>
<w:r><w:t xml:space="preserve">of Taghlib in Mesopotamia, and was, like his fellow-tribesmen,</w:t></w:r>
</w:p>
<w:p>
<w:pPr><w:pStyle w:val="Normal"/></w:pPr>
<w:r><w:t xml:space="preserve">a Christian, enjoying the freedom of his religion, while not</w:t></w:r>
</w:p>
<w:p>
<w:pPr><w:pStyle w:val="Normal"/></w:pPr>
<w:r><w:t xml:space="preserve">taking its duties very seriously.  Of his private life .few</w:t></w:r>
</w:p>
<w:p>
<w:pPr><w:pStyle w:val="Normal"/></w:pPr>
<w:r><w:t xml:space="preserve">details are known, save that he was married and divorced,</w:t></w:r>
</w:p>
<w:p>
<w:pPr><w:pStyle w:val="Normal"/></w:pPr>
<w:r><w:t xml:space="preserve">and that he spent part of his time in Damascus, part with his</w:t></w:r>
</w:p>
<w:p>
<w:pPr><w:pStyle w:val="Normal"/></w:pPr>
<w:r><w:t xml:space="preserve">tribe in Mesopotamia. In the wars of the Taghhbites with the</w:t></w:r>
</w:p>
<w:p>
<w:pPr><w:pStyle w:val="Normal"/></w:pPr>
<w:r><w:t xml:space="preserve">Qaisites he took part in the field, and by his satires.  In the</w:t></w:r>
</w:p>
<w:p>
<w:pPr><w:pStyle w:val="Normal"/></w:pPr>
<w:r><w:t xml:space="preserve">literary strife between his contemporaries Jarir and Lerazdaq</w:t></w:r>
</w:p>
<w:p>
<w:pPr><w:pStyle w:val="Normal"/></w:pPr>
<w:r><w:t xml:space="preserve">he was induced to support the latter poet.  Akhtal, Jarir and</w:t></w:r>
</w:p>
<w:p>
<w:pPr><w:pStyle w:val="Normal"/></w:pPr>
<w:r><w:t xml:space="preserve">Ferazdaq form a trio celebrated among the Arabs, but as to</w:t></w:r>
</w:p>
<w:p>
<w:pPr><w:pStyle w:val="Normal"/></w:pPr>
<w:r><w:t xml:space="preserve">relative superiority there is dispute.  In the&apos;Abbasid period</w:t></w:r>
</w:p>
<w:p>
<w:pPr><w:pStyle w:val="Normal"/></w:pPr>
<w:r><w:t xml:space="preserve">there is no doubt that Akhtal&apos;s Christianity told against his</w:t></w:r>
</w:p>
<w:p>
<w:pPr><w:pStyle w:val="Normal"/></w:pPr>
<w:r><w:t xml:space="preserve">reputation, but Abu&apos;Ubaida placed him highest of the three</w:t></w:r>
</w:p>
<w:p>
<w:pPr><w:pStyle w:val="Normal"/></w:pPr>
<w:r><w:t xml:space="preserve">on the ground that amongst his poems there were ten flawless</w:t></w:r>
</w:p>
<w:p>
<w:pPr><w:pStyle w:val="Normal"/></w:pPr>
<w:r><w:t xml:space="preserve">qasidas (elegies), and ten more nearly so, and that this could</w:t></w:r>
</w:p>
<w:p>
<w:pPr><w:pStyle w:val="Normal"/></w:pPr>
<w:r><w:t xml:space="preserve">not be said of the other two.  The chief material of his poems</w:t></w:r>
</w:p>
<w:p>
<w:pPr><w:pStyle w:val="Normal"/></w:pPr>
<w:r><w:t xml:space="preserve">consists of panegyric of patrons and satire of rivals, the latter</w:t></w:r>
</w:p>
<w:p>
<w:pPr><w:pStyle w:val="Normal"/></w:pPr>
<w:r><w:t xml:space="preserve">being, however, more restraified than was usual at the time.</w:t></w:r>
</w:p>
<w:p>
<w:pPr><w:pStyle w:val="Normal"/></w:pPr>
<w:r><w:t xml:space="preserve">The Poetry of al-Akhtal has been published at the Jesuit press</w:t></w:r>
</w:p>
<w:p>
<w:pPr><w:pStyle w:val="Normal"/></w:pPr>
<w:r><w:t xml:space="preserve">in Beirut, 1891.  A full account of the poet and his times</w:t></w:r>
</w:p>
<w:p>
<w:pPr><w:pStyle w:val="Normal"/></w:pPr>
<w:r><w:t xml:space="preserve">is given in H. Lammens&apos; Le chantre des Omiades (Paris, 1895)</w:t></w:r>
</w:p>
<w:p>
<w:pPr><w:pStyle w:val="Normal"/></w:pPr>
<w:r><w:t xml:space="preserve">(a reprint from the Journal Asiatique for 1894). (G. W. T.)</w:t></w:r>
</w:p>
<w:p>
<w:pPr><w:pStyle w:val="Normal"/></w:pPr>
<w:r><w:t xml:space="preserve">AKHTYRKA, a town of Russia, in the government of Kharkov,</w:t></w:r>
</w:p>
<w:p>
<w:pPr><w:pStyle w:val="Normal"/></w:pPr>
<w:r><w:t xml:space="preserve">near the Vorskla river, connected by a branch (11 m.)</w:t></w:r>
</w:p>
<w:p>
<w:pPr><w:pStyle w:val="Normal"/></w:pPr>
<w:r><w:t xml:space="preserve">with the railway from Kiev to Kharkov.  It has a beautiful</w:t></w:r>
</w:p>
<w:p>
<w:pPr><w:pStyle w:val="Normal"/></w:pPr>
<w:r><w:t xml:space="preserve">cathedral, built after a plan by Rastrelh in 1753, to which</w:t></w:r>
</w:p>
<w:p>
<w:pPr><w:pStyle w:val="Normal"/></w:pPr>
<w:r><w:t xml:space="preserve">pilgrims resort to venerate an ikon of the Virgin.  There</w:t></w:r>
</w:p>
<w:p>
<w:pPr><w:pStyle w:val="Normal"/></w:pPr>
<w:r><w:t xml:space="preserve">are manufactures of light woollen stuffs and a trade in</w:t></w:r>
</w:p>
<w:p>
<w:pPr><w:pStyle w:val="Normal"/></w:pPr>
<w:r><w:t xml:space="preserve">corn, cattle and the produce of domestic industries.  The</w:t></w:r>
</w:p>
<w:p>
<w:pPr><w:pStyle w:val="Normal"/></w:pPr>
<w:r><w:t xml:space="preserve">environs are fertile, the orchards producing excellent</w:t></w:r>
</w:p>
<w:p>
<w:pPr><w:pStyle w:val="Normal"/></w:pPr>
<w:r><w:t xml:space="preserve">fruit.  A fair is held on the 9th of May. The place was founded</w:t></w:r>
</w:p>
<w:p>
<w:pPr><w:pStyle w:val="Normal"/></w:pPr>
<w:r><w:t xml:space="preserve">by the Poles in 1642.  Pop. (1867) 17,411; (1900) 25,965.</w:t></w:r>
</w:p>
<w:p>
<w:pPr><w:pStyle w:val="Normal"/></w:pPr>
<w:r><w:t xml:space="preserve">AKKA (TIKEI-TIKKI), a race of African pygmies first seen</w:t></w:r>
</w:p>
<w:p>
<w:pPr><w:pStyle w:val="Normal"/></w:pPr>
<w:r><w:t xml:space="preserve">by the traveller G. A. Schweinfurth in 1870, when he was in the</w:t></w:r>
</w:p>
<w:p>
<w:pPr><w:pStyle w:val="Normal"/></w:pPr>
<w:r><w:t xml:space="preserve">Mangbettu country, N.W. of Albert Nyanza.  The home of the Akka</w:t></w:r>
</w:p>
<w:p>
<w:pPr><w:pStyle w:val="Normal"/></w:pPr>
<w:r><w:t xml:space="preserve">is the dense forest zone of the Aruwimi district of the Congo</w:t></w:r>
</w:p>
<w:p>
<w:pPr><w:pStyle w:val="Normal"/></w:pPr>
<w:r><w:t xml:space="preserve">State.  They form a branch of the primitive pygmy negroid</w:t></w:r>
</w:p>
<w:p>
<w:pPr><w:pStyle w:val="Normal"/></w:pPr>
<w:r><w:t xml:space="preserve">race. and appear to be divided into groups, each with its own</w:t></w:r>
</w:p>
<w:p>
<w:pPr><w:pStyle w:val="Normal"/></w:pPr>
<w:r><w:t xml:space="preserve">chief.  Of all African ``dwarfs&apos;&apos; the Akka are believed the</w:t></w:r>
</w:p>
<w:p>
<w:pPr><w:pStyle w:val="Normal"/></w:pPr>
<w:r><w:t xml:space="preserve">best representatives of the ``little people&apos;&apos; mentioned by</w:t></w:r>
</w:p>
<w:p>
<w:pPr><w:pStyle w:val="Normal"/></w:pPr>
<w:r><w:t xml:space="preserve">Herodotus.  Giovanni Miani, the Italian explorer who followed</w:t></w:r>
</w:p>
<w:p>
<w:pPr><w:pStyle w:val="Normal"/></w:pPr>
<w:r><w:t xml:space="preserve">Schweinfurth, obtained two young Akka in exchange for a dog and a</w:t></w:r>
</w:p>
<w:p>
<w:pPr><w:pStyle w:val="Normal"/></w:pPr>
<w:r><w:t xml:space="preserve">calf.  These, sent to Italy in 1873, were respectively 4 ft. 4</w:t></w:r>
</w:p>
<w:p>
<w:pPr><w:pStyle w:val="Normal"/></w:pPr>
<w:r><w:t xml:space="preserve">in. and 4 ft. 8 in. high, while the tallest seen by Schweinfurth</w:t></w:r>
</w:p>
<w:p>
<w:pPr><w:pStyle w:val="Normal"/></w:pPr>
<w:r><w:t xml:space="preserve">did not reach 5 ft.  None of the four Akka brought to Europe</w:t></w:r>
</w:p>
<w:p>
<w:pPr><w:pStyle w:val="Normal"/></w:pPr>
<w:r><w:t xml:space="preserve">in 1874 and 1876 exceeded 3 ft. 4 in.  The average height of</w:t></w:r>
</w:p>
<w:p>
<w:pPr><w:pStyle w:val="Normal"/></w:pPr>
<w:r><w:t xml:space="preserve">the race would seem to be somewhat under 4 ft., but sufficient</w:t></w:r>
</w:p>
<w:p>
<w:pPr><w:pStyle w:val="Normal"/></w:pPr>
<w:r><w:t xml:space="preserve">measurements have not been taken to allow of a conclusive</w:t></w:r>
</w:p>
<w:p>
<w:pPr><w:pStyle w:val="Normal"/></w:pPr>
<w:r><w:t xml:space="preserve">statement.  Schweinfurth says the Akka have very large and</w:t></w:r>
</w:p>
<w:p>
<w:pPr><w:pStyle w:val="Normal"/></w:pPr>
<w:r><w:t xml:space="preserve">almost spherical skulls (this last detail proves to be an</w:t></w:r>
</w:p>
<w:p>
<w:pPr><w:pStyle w:val="Normal"/></w:pPr>
<w:r><w:t xml:space="preserve">exaggeration).  They are of the colour of coffee slightly</w:t></w:r>
</w:p>
<w:p>
<w:pPr><w:pStyle w:val="Normal"/></w:pPr>
<w:r><w:t xml:space="preserve">roasted, with hair almost the same colour, woolly and tufted;</w:t></w:r>
</w:p>
<w:p>
<w:pPr><w:pStyle w:val="Normal"/></w:pPr>
<w:r><w:t xml:space="preserve">they have very projecting jaws, flat noses and protruding</w:t></w:r>
</w:p>
<w:p>
<w:pPr><w:pStyle w:val="Normal"/></w:pPr>
<w:r><w:t xml:space="preserve">lips, which give them an ``ape-like&apos;&apos; appearance.  Marked</w:t></w:r>
</w:p>
<w:p>
<w:pPr><w:pStyle w:val="Normal"/></w:pPr>
<w:r><w:t xml:space="preserve">physical features are an abdominal protuberance which makes</w:t></w:r>
</w:p>
<w:p>
<w:pPr><w:pStyle w:val="Normal"/></w:pPr>
<w:r><w:t xml:space="preserve">all Akka look like pot-bellied children, and a remarkable</w:t></w:r>
</w:p>
<w:p>
<w:pPr><w:pStyle w:val="Normal"/></w:pPr>
<w:r><w:t xml:space="preserve">hollowing of the spine into a curve like an d.  Investigation</w:t></w:r>
</w:p>
<w:p>
<w:pPr><w:pStyle w:val="Normal"/></w:pPr>
<w:r><w:t xml:space="preserve">has shown that these are not true racial characteristics, but</w:t></w:r>
</w:p>
<w:p>
<w:pPr><w:pStyle w:val="Normal"/></w:pPr>
<w:r><w:t xml:space="preserve">tend to disappear, the abdominal enlargement subsiding after</w:t></w:r>
</w:p>
<w:p>
<w:pPr><w:pStyle w:val="Normal"/></w:pPr>
<w:r><w:t xml:space="preserve">some weeks of regular and wholesome diet.  The upper limbs are</w:t></w:r>
</w:p>
<w:p>
<w:pPr><w:pStyle w:val="Normal"/></w:pPr>
<w:r><w:t xml:space="preserve">long, and the hands, according to Schweinfurth, are singularly</w:t></w:r>
</w:p>
<w:p>
<w:pPr><w:pStyle w:val="Normal"/></w:pPr>
<w:r><w:t xml:space="preserve">delicate.  The lower limbs are short, relatively to the</w:t></w:r>
</w:p>
<w:p>
<w:pPr><w:pStyle w:val="Normal"/></w:pPr>
<w:r><w:t xml:space="preserve">trunk, and curve in somewhat, the feet being bent in too,</w:t></w:r>
</w:p>
<w:p>
<w:pPr><w:pStyle w:val="Normal"/></w:pPr>
<w:r><w:t xml:space="preserve">which gives the Akka a top heavy, tottering gait.  There is a</w:t></w:r>
</w:p>
<w:p>
<w:pPr><w:pStyle w:val="Normal"/></w:pPr>
<w:r><w:t xml:space="preserve">tendency to steatopygia among the women.  The Akka are nomads,</w:t></w:r>
</w:p>
<w:p>
<w:pPr><w:pStyle w:val="Normal"/></w:pPr>
<w:r><w:t xml:space="preserve">living in the forests, where they hunt game with poisoned</w:t></w:r>
</w:p>
<w:p>
<w:pPr><w:pStyle w:val="Normal"/></w:pPr>
<w:r><w:t xml:space="preserve">arrows, with pitfalls and springs set everywhere, and with</w:t></w:r>
</w:p>
<w:p>
<w:pPr><w:pStyle w:val="Normal"/></w:pPr>
<w:r><w:t xml:space="preserve">traps built like huts, the roofs of which, hung by tendrils</w:t></w:r>
</w:p>
<w:p>
<w:pPr><w:pStyle w:val="Normal"/></w:pPr>
<w:r><w:t xml:space="preserve">only, fall in on the animal.  They collect ivory and honey,</w:t></w:r>
</w:p>
<w:p>
<w:pPr><w:pStyle w:val="Normal"/></w:pPr>
<w:r><w:t xml:space="preserve">manufacture poison, and bring these to market to exchange</w:t></w:r>
</w:p>
<w:p>
<w:pPr><w:pStyle w:val="Normal"/></w:pPr>
<w:r><w:t xml:space="preserve">for cereals, tobacco and iron weapons.  They are courageous</w:t></w:r>
</w:p>
<w:p>
<w:pPr><w:pStyle w:val="Normal"/></w:pPr>
<w:r><w:t xml:space="preserve">hunters, and do not hesitate to attack even elephants, both</w:t></w:r>
</w:p>
<w:p>
<w:pPr><w:pStyle w:val="Normal"/></w:pPr>
<w:r><w:t xml:space="preserve">sexes joining in the chase.  They are very agile, and are</w:t></w:r>
</w:p>
<w:p>
<w:pPr><w:pStyle w:val="Normal"/></w:pPr>
<w:r><w:t xml:space="preserve">said by the neighbouring negroes to leap about in the high</w:t></w:r>
</w:p>
<w:p>
<w:pPr><w:pStyle w:val="Normal"/></w:pPr>
<w:r><w:t xml:space="preserve">grass like grasshoppers.  They are timid as children before</w:t></w:r>
</w:p>
<w:p>
<w:pPr><w:pStyle w:val="Normal"/></w:pPr>
<w:r><w:t xml:space="preserve">strangers, but are declared to be malevolent and treacherous</w:t></w:r>
</w:p>
<w:p>
<w:pPr><w:pStyle w:val="Normal"/></w:pPr>
<w:r><w:t xml:space="preserve">fighters.  In dress, weapons and utensils they are as the</w:t></w:r>
</w:p>
<w:p>
<w:pPr><w:pStyle w:val="Normal"/></w:pPr>
<w:r><w:t xml:space="preserve">surrounding negroes.  They build round huts of branches</w:t></w:r>
</w:p>
<w:p>
<w:pPr><w:pStyle w:val="Normal"/></w:pPr>
<w:r><w:t xml:space="preserve">and leaves in the forest clearings.  They seem in no way a</w:t></w:r>
</w:p>
<w:p>
<w:pPr><w:pStyle w:val="Normal"/></w:pPr>
<w:r><w:t xml:space="preserve">degenerate race, but rather a people arrested in development</w:t></w:r>
</w:p>
<w:p>
<w:pPr><w:pStyle w:val="Normal"/></w:pPr>
<w:r><w:t xml:space="preserve">by the forest environment.  Schweinfurth, Heart of Africa</w:t></w:r>
</w:p>
<w:p>
<w:pPr><w:pStyle w:val="Normal"/></w:pPr>
<w:r><w:t xml:space="preserve">(London, 1873); Dr W. Pleyte, Chapitres supplementaires du</w:t></w:r>
</w:p>
<w:p>
<w:pPr><w:pStyle w:val="Normal"/></w:pPr>
<w:r><w:t xml:space="preserve">Livre des Morts, traduction et commontaire (Leiden, 1883);</w:t></w:r>
</w:p>
<w:p>
<w:pPr><w:pStyle w:val="Normal"/></w:pPr>
<w:r><w:t xml:space="preserve">Sir H. H. Johnston, Uganda Protectorate (London, 1902).</w:t></w:r>
</w:p>
<w:p>
<w:pPr><w:pStyle w:val="Normal"/></w:pPr>
<w:r><w:t xml:space="preserve">AKKAD (Gr. versions aroad and achad), a Hebrew name,</w:t></w:r>
</w:p>
<w:p>
<w:pPr><w:pStyle w:val="Normal"/></w:pPr>
<w:r><w:t xml:space="preserve">mentioned only once in the Old Testament (Gen. x. 10), for</w:t></w:r>
</w:p>
<w:p>
<w:pPr><w:pStyle w:val="Normal"/></w:pPr>
<w:r><w:t xml:space="preserve">one of the four chief cities, Akkad, Babel, Erech and Calneh,</w:t></w:r>
</w:p>
<w:p>
<w:pPr><w:pStyle w:val="Normal"/></w:pPr>
<w:r><w:t xml:space="preserve">which constituted the nucleus of the kingdom of Nimrod in</w:t></w:r>
</w:p>
<w:p>
<w:pPr><w:pStyle w:val="Normal"/></w:pPr>
<w:r><w:t xml:space="preserve">the land of Shinar or Babylonia.  This Biblical city, Akkad,</w:t></w:r>
</w:p>
<w:p>
<w:pPr><w:pStyle w:val="Normal"/></w:pPr>
<w:r><w:t xml:space="preserve">was most probably identical with the northern Babylonian city</w:t></w:r>
</w:p>
<w:p>
<w:pPr><w:pStyle w:val="Normal"/></w:pPr>
<w:r><w:t xml:space="preserve">known to us as Agade (not Agane, as formerly read), which</w:t></w:r>
</w:p>
<w:p>
<w:pPr><w:pStyle w:val="Normal"/></w:pPr>
<w:r><w:t xml:space="preserve">was the principal seat of the early Babylonian king Sargon</w:t></w:r>
</w:p>
<w:p>
<w:pPr><w:pStyle w:val="Heading1"/></w:pPr>
<w:r><w:t>I. (Sargani-Sarali), whose date is given by Nabonidus,</w:t></w:r>
</w:p>
<w:p>
<w:pPr><w:pStyle w:val="Normal"/></w:pPr>
<w:r><w:t xml:space="preserve">the last Semitic king of Babylonia (555-537 B.C.), as</w:t></w:r>
</w:p>
<w:p>
<w:pPr><w:pStyle w:val="Normal"/></w:pPr>
<w:r><w:t xml:space="preserve">3800 B.C., which is perhaps too old by 700 or 1000 years.i</w:t></w:r>
</w:p>
<w:p>
<w:pPr><w:pStyle w:val="Normal"/></w:pPr>
<w:r><w:t xml:space="preserve">The probably non-Semitic name Agade occurs in a number of</w:t></w:r>
</w:p>
<w:p>
<w:pPr><w:pStyle w:val="Normal"/></w:pPr>
<w:r><w:t xml:space="preserve">inscriptions2 and is now well attested as having been the name</w:t></w:r>
</w:p>
<w:p>
<w:pPr><w:pStyle w:val="Normal"/></w:pPr>
<w:r><w:t xml:space="preserve">of an important ancient capital.  The later Assyro-Babylonian</w:t></w:r>
</w:p>
<w:p>
<w:pPr><w:pStyle w:val="Normal"/></w:pPr>
<w:r><w:t xml:space="preserve">Semitic form Akkadu (``of or belonging to Akkad&apos;&apos;) is,</w:t></w:r>
</w:p>
<w:p>
<w:pPr><w:pStyle w:val="Normal"/></w:pPr>
<w:r><w:t xml:space="preserve">in all likelihood, a Semitic loan form from the non-Semitic</w:t></w:r>
</w:p>
<w:p>
<w:pPr><w:pStyle w:val="Normal"/></w:pPr>
<w:r><w:t xml:space="preserve">name Agade, and seems to be an additional demonstration of</w:t></w:r>
</w:p>
<w:p>
<w:pPr><w:pStyle w:val="Normal"/></w:pPr>
<w:r><w:t xml:space="preserve">the identity of Agade and Akkad.  The usual signs denoting</w:t></w:r>
</w:p>
<w:p>
<w:pPr><w:pStyle w:val="Normal"/></w:pPr>
<w:r><w:t xml:space="preserve">Akkadu in the Semitic narrative inscriptions were read in</w:t></w:r>
</w:p>
<w:p>
<w:pPr><w:pStyle w:val="Normal"/></w:pPr>
<w:r><w:t xml:space="preserve">the non-Semitic idiom uri-ki or ur-ki, ``land of the city,&apos;&apos;</w:t></w:r>
</w:p>
<w:p>
<w:pPr><w:pStyle w:val="Normal"/></w:pPr>
<w:r><w:t xml:space="preserve">which simply meant that Akkadu was the land of the city par</w:t></w:r>
</w:p>
<w:p>
<w:pPr><w:pStyle w:val="Normal"/></w:pPr>
<w:r><w:t xml:space="preserve">excellence, i.e. of the city of Agade of Sargon I., which</w:t></w:r>
</w:p>
<w:p>
<w:pPr><w:pStyle w:val="Normal"/></w:pPr>
<w:r><w:t xml:space="preserve">remained for a long period the leading city of Babylonia.3</w:t></w:r>
</w:p>
<w:p>
<w:pPr><w:pStyle w:val="Normal"/></w:pPr>
<w:r><w:t xml:space="preserve">It is quite probable that the non-Semitic name Agade may mean</w:t></w:r>
</w:p>
<w:p>
<w:pPr><w:pStyle w:val="Normal"/></w:pPr>
<w:r><w:t xml:space="preserve">``crown (aga) of fire (de)&apos;&apos;4 in allusion to Istar,</w:t></w:r>
</w:p>
<w:p>
<w:pPr><w:pStyle w:val="Normal"/></w:pPr>
<w:r><w:t xml:space="preserve">``the brilliant goddess,&apos;&apos; the tutelar deity of the morning</w:t></w:r>
</w:p>
<w:p>
<w:pPr><w:pStyle w:val="Normal"/></w:pPr>
<w:r><w:t xml:space="preserve">and evening star and the goddess of war and love, whose cult</w:t></w:r>
</w:p>
<w:p>
<w:pPr><w:pStyle w:val="Normal"/></w:pPr>
<w:r><w:t xml:space="preserve">was observed in very early times in Agade.  This fact is again</w:t></w:r>
</w:p>
<w:p>
<w:pPr><w:pStyle w:val="Normal"/></w:pPr>
<w:r><w:t xml:space="preserve">attested by Nabonidus, whose record 5 mentions that the Istar</w:t></w:r>
</w:p>
<w:p>
<w:pPr><w:pStyle w:val="Normal"/></w:pPr>
<w:r><w:t xml:space="preserve">worship of Agade was later superseded by that of the goddess</w:t></w:r>
</w:p>
<w:p>
<w:pPr><w:pStyle w:val="Normal"/></w:pPr>
<w:r><w:t xml:space="preserve">Anunit, another personification of the Istar idea, whose</w:t></w:r>
</w:p>
<w:p>
<w:pPr><w:pStyle w:val="Normal"/></w:pPr>
<w:r><w:t xml:space="preserve">shrine was at Sippar.  It is significant in this connexion that</w:t></w:r>
</w:p>
<w:p>
<w:pPr><w:pStyle w:val="Normal"/></w:pPr>
<w:r><w:t xml:space="preserve">there were two cities named Sippar, one under the protection</w:t></w:r>
</w:p>
<w:p>
<w:pPr><w:pStyle w:val="Normal"/></w:pPr>
<w:r><w:t xml:space="preserve">of Shamash, the sun-god, and one under this Anunit, a fact</w:t></w:r>
</w:p>
<w:p>
<w:pPr><w:pStyle w:val="Normal"/></w:pPr>
<w:r><w:t xml:space="preserve">which points strongly to the probable proximity of Sippar and</w:t></w:r>
</w:p>
<w:p>
<w:pPr><w:pStyle w:val="Normal"/></w:pPr>
<w:r><w:t xml:space="preserve">Agade.  In fact, it has been thought that Agade-Akkad was</w:t></w:r>
</w:p>
<w:p>
<w:pPr><w:pStyle w:val="Normal"/></w:pPr>
<w:r><w:t xml:space="preserve">situated opposite Sippar on the left bank of the Euphrates,</w:t></w:r>
</w:p>
<w:p>
<w:pPr><w:pStyle w:val="Normal"/></w:pPr>
<w:r><w:t xml:space="preserve">and was probably the oldest part of the city of Sippar.</w:t></w:r>
</w:p>
<w:p>
<w:pPr><w:pStyle w:val="Normal"/></w:pPr>
<w:r><w:t xml:space="preserve">In the Assyro-Babylonian literature the name Akkadu appears</w:t></w:r>
</w:p>
<w:p>
<w:pPr><w:pStyle w:val="Normal"/></w:pPr>
<w:r><w:t xml:space="preserve">as part of the royal title in connexion with Sumer; viz.</w:t></w:r>
</w:p>
<w:p>
<w:pPr><w:pStyle w:val="Normal"/></w:pPr>
<w:r><w:t xml:space="preserve">non-Semitic: lugal Kengi (ki) Uru (ki) = sar mat Sumeri u</w:t></w:r>
</w:p>
<w:p>
<w:pPr><w:pStyle w:val="Normal"/></w:pPr>
<w:r><w:t xml:space="preserve">Akkadi, ``king of Sumer and Akkad,&apos;&apos; which appears to have</w:t></w:r>
</w:p>
<w:p>
<w:pPr><w:pStyle w:val="Normal"/></w:pPr>
<w:r><w:t xml:space="preserve">meant simply ``king of Babylonia.&apos;&apos; It is not likely, as many</w:t></w:r>
</w:p>
<w:p>
<w:pPr><w:pStyle w:val="Normal"/></w:pPr>
<w:r><w:t xml:space="preserve">scholars have thought, that Akkad was ever used geographically</w:t></w:r>
</w:p>
<w:p>
<w:pPr><w:pStyle w:val="Normal"/></w:pPr>
<w:r><w:t xml:space="preserve">as a distinctive appellation for northern Babylonia, or that</w:t></w:r>
</w:p>
<w:p>
<w:pPr><w:pStyle w:val="Normal"/></w:pPr>
<w:r><w:t xml:space="preserve">the name Sumer (q.v.) denoted the southern part of the land,</w:t></w:r>
</w:p>
<w:p>
<w:pPr><w:pStyle w:val="Normal"/></w:pPr>
<w:r><w:t xml:space="preserve">because kings who ruled only over Southern Babylonia used</w:t></w:r>
</w:p>
<w:p>
<w:pPr><w:pStyle w:val="Normal"/></w:pPr>
<w:r><w:t xml:space="preserve">the double title ``king of Sumer and Akkad,&apos;&apos; which was also</w:t></w:r>
</w:p>
<w:p>
<w:pPr><w:pStyle w:val="Normal"/></w:pPr>
<w:r><w:t xml:space="preserve">employed by northern rulers who never established their sway</w:t></w:r>
</w:p>
<w:p>
<w:pPr><w:pStyle w:val="Normal"/></w:pPr>
<w:r><w:t xml:space="preserve">farther south than Nippur, notably the great Assyrian conqueror</w:t></w:r>
</w:p>
<w:p>
<w:pPr><w:pStyle w:val="Normal"/></w:pPr>
<w:r><w:t xml:space="preserve">Tiglathpileser III. (745--727 B.C..) Professor Mccurdy has</w:t></w:r>
</w:p>
<w:p>
<w:pPr><w:pStyle w:val="Normal"/></w:pPr>
<w:r><w:t xml:space="preserve">very reasonably suggested 6 that the title ``king of Sumer</w:t></w:r>
</w:p>
<w:p>
<w:pPr><w:pStyle w:val="Normal"/></w:pPr>
<w:r><w:t xml:space="preserve">and Akkad&apos;&apos; indicated merely a claim to the ancient territory</w:t></w:r>
</w:p>
<w:p>
<w:pPr><w:pStyle w:val="Normal"/></w:pPr>
<w:r><w:t xml:space="preserve">and city of Akkad together with certain additional territory,</w:t></w:r>
</w:p>
<w:p>
<w:pPr><w:pStyle w:val="Normal"/></w:pPr>
<w:r><w:t xml:space="preserve">but not necessarily all Babylonia, as was formerly believed.</w:t></w:r>
</w:p>
<w:p>
<w:pPr><w:pStyle w:val="Normal"/></w:pPr>
<w:r><w:t xml:space="preserve">A discussion of the interesting question relating to</w:t></w:r>
</w:p>
<w:p>
<w:pPr><w:pStyle w:val="Normal"/></w:pPr>
<w:r><w:t xml:space="preserve">the non-Semitic so-called Sumero-Akkadian language</w:t></w:r>
</w:p>
<w:p>
<w:pPr><w:pStyle w:val="Normal"/></w:pPr>
<w:r><w:t xml:space="preserve">and race will be found in the article SUMER.</w:t></w:r>
</w:p>
<w:p>
<w:pPr><w:pStyle w:val="Normal"/></w:pPr>
<w:r><w:t xml:space="preserve">1 Prince, Nabonidus, p. v. 2 in the Sargon inscriptions;</w:t></w:r>
</w:p>
<w:p>
<w:pPr><w:pStyle w:val="Normal"/></w:pPr>
<w:r><w:t xml:space="preserve">Bab. Exped. of the Univ. of Penn. also xi. pl. 49, nr.</w:t></w:r>
</w:p>
<w:p>
<w:pPr><w:pStyle w:val="Normal"/></w:pPr>
<w:r><w:t xml:space="preserve">119 and in Nebuchadnezzar, col. ii. line 50 (Hilprecht,</w:t></w:r>
</w:p>
<w:p>
<w:pPr><w:pStyle w:val="Normal"/></w:pPr>
<w:r><w:t xml:space="preserve">Freibrief Neb.); Cun. Texts from Bab. Tablets, pl.</w:t></w:r>
</w:p>
<w:p>
<w:pPr><w:pStyle w:val="Normal"/></w:pPr>
<w:r><w:t xml:space="preserve">1, nr. 91146, line 3. 3Rogers, History of Babylonia and</w:t></w:r>
</w:p>
<w:p>
<w:pPr><w:pStyle w:val="Normal"/></w:pPr>
<w:r><w:t xml:space="preserve">Assyria, i. pp. 365, 373-374. 4 prince, ``Materials for</w:t></w:r>
</w:p>
<w:p>
<w:pPr><w:pStyle w:val="Normal"/></w:pPr>
<w:r><w:t xml:space="preserve">a Sumerian Lexicon,&apos;&apos; pp. 23, 73, Journal of Biblical</w:t></w:r>
</w:p>
<w:p>
<w:pPr><w:pStyle w:val="Normal"/></w:pPr>
<w:r><w:t xml:space="preserve">Literature, 1906. 5 I. Rawl. 69, col. ii. 48 and iii.</w:t></w:r>
</w:p>
<w:p>
<w:pPr><w:pStyle w:val="Normal"/></w:pPr>
<w:r><w:t xml:space="preserve">28. 6 History, Prophecy and the Monuments, i. sec.  110.</w:t></w:r>
</w:p>
<w:p>
<w:pPr><w:pStyle w:val="Normal"/></w:pPr>
<w:r><w:t xml:space="preserve">LITERATURE.---Schmder, Zur Frage n. d.  Ursprung d. altbab.</w:t></w:r>
</w:p>
<w:p>
<w:pPr><w:pStyle w:val="Normal"/></w:pPr>
<w:r><w:t xml:space="preserve">Kultur (1883); Keilinschriften und Geschichteforschung, pp.</w:t></w:r>
</w:p>
<w:p>
<w:pPr><w:pStyle w:val="Normal"/></w:pPr>
<w:r><w:t xml:space="preserve">533 fr; Fried.  Delitzsch, Wo lag das Paradies? (1881), p.</w:t></w:r>
</w:p>
<w:p>
<w:pPr><w:pStyle w:val="Normal"/></w:pPr>
<w:r><w:t xml:space="preserve">198; Paul Haupt, Akkadische und Sumerische Keilschrifttexte</w:t></w:r>
</w:p>
<w:p>
<w:pPr><w:pStyle w:val="Normal"/></w:pPr>
<w:r><w:t xml:space="preserve">(1881), pp. 133 ff.; Die Sumerische Akkadische Sprache,</w:t></w:r>
</w:p>
<w:p>
<w:pPr><w:pStyle w:val="Normal"/></w:pPr>
<w:r><w:t xml:space="preserve">Verh. 5-ten Orient.  Cong. ii. pp. 249-287; Die sumerischen</w:t></w:r>
</w:p>
<w:p>
<w:pPr><w:pStyle w:val="Normal"/></w:pPr>
<w:r><w:t xml:space="preserve">Familiengesetze (1879); Zimmern, Babylonische Busspsalmen</w:t></w:r>
</w:p>
<w:p>
<w:pPr><w:pStyle w:val="Normal"/></w:pPr>
<w:r><w:t xml:space="preserve">(1885), pp. 71 f.; Hommel, Gesch.  Bab. Assyr. (1885),</w:t></w:r>
</w:p>
<w:p>
<w:pPr><w:pStyle w:val="Normal"/></w:pPr>
<w:r><w:t xml:space="preserve">pp. 240 ff.; Tiele, Bab. Assyr.  Gesch. (1888), p. 68; W.</w:t></w:r>
</w:p>
<w:p>
<w:pPr><w:pStyle w:val="Normal"/></w:pPr>
<w:r><w:t xml:space="preserve">H. Ward, Hebraica (1886), pp. 79-86; Mccurdy, Presb. and</w:t></w:r>
</w:p>
<w:p>
<w:pPr><w:pStyle w:val="Normal"/></w:pPr>
<w:r><w:t xml:space="preserve">Ref. Review, Jan. 1891, pp. 58-81; History, Prophecy and</w:t></w:r>
</w:p>
<w:p>
<w:pPr><w:pStyle w:val="Normal"/></w:pPr>
<w:r><w:t xml:space="preserve">the Monuments (1894), sec. sec.  79-85, 94-110; Hugo Winckler,</w:t></w:r>
</w:p>
<w:p>
<w:pPr><w:pStyle w:val="Normal"/></w:pPr>
<w:r><w:t xml:space="preserve">Untersuchungen zur altorientallischen Geschichte (1886), pp. 65</w:t></w:r>
</w:p>
<w:p>
<w:pPr><w:pStyle w:val="Normal"/></w:pPr>
<w:r><w:t xml:space="preserve">ff.  In Rabbinical literature, Louis Ginzberg, in Monatschrift,</w:t></w:r>
</w:p>
<w:p>
<w:pPr><w:pStyle w:val="Normal"/></w:pPr>
<w:r><w:t xml:space="preserve">xliii. 486; and Jewish Encyclopaedia, i. p. 149. (J. D. PR.)</w:t></w:r>
</w:p>
<w:p>
<w:pPr><w:pStyle w:val="Normal"/></w:pPr>
<w:r><w:t xml:space="preserve">AKKERMAN (in old Slav. Byelgorod, ``white town&apos;&apos;), a</w:t></w:r>
</w:p>
<w:p>
<w:pPr><w:pStyle w:val="Normal"/></w:pPr>
<w:r><w:t xml:space="preserve">town, formerly a fortress, of south-west Russia, in the</w:t></w:r>
</w:p>
<w:p>
<w:pPr><w:pStyle w:val="Normal"/></w:pPr>
<w:r><w:t xml:space="preserve">government of Bessarabia, situated on the right bank of the</w:t></w:r>
</w:p>
<w:p>
<w:pPr><w:pStyle w:val="Normal"/></w:pPr>
<w:r><w:t xml:space="preserve">estuary (liman) of the Dniester, 12 m. from the Black Sea.</w:t></w:r>
</w:p>
<w:p>
<w:pPr><w:pStyle w:val="Normal"/></w:pPr>
<w:r><w:t xml:space="preserve">The town stands on the site of the ancient Milesian colony of</w:t></w:r>
</w:p>
<w:p>
<w:pPr><w:pStyle w:val="Normal"/></w:pPr>
<w:r><w:t xml:space="preserve">Tyras.  Centuries later it was rebuilt by the Genoese, who called</w:t></w:r>
</w:p>
<w:p>
<w:pPr><w:pStyle w:val="Normal"/></w:pPr>
<w:r><w:t xml:space="preserve">it Mauro Castro.  The Turks first acquired possession of it in</w:t></w:r>
</w:p>
<w:p>
<w:pPr><w:pStyle w:val="Normal"/></w:pPr>
<w:r><w:t xml:space="preserve">1484.  It was taken by the Russians in 1770, 1774 and 1806,</w:t></w:r>
</w:p>
<w:p>
<w:pPr><w:pStyle w:val="Normal"/></w:pPr>
<w:r><w:t xml:space="preserve">but each time returned to the Turks, and not definitely annexed</w:t></w:r>
</w:p>
<w:p>
<w:pPr><w:pStyle w:val="Normal"/></w:pPr>
<w:r><w:t xml:space="preserve">to Russia until 1881 . A treaty concluded here in 1826 between</w:t></w:r>
</w:p>
<w:p>
<w:pPr><w:pStyle w:val="Normal"/></w:pPr>
<w:r><w:t xml:space="preserve">Russia and the Porte secured considerable advantages to the</w:t></w:r>
</w:p>
<w:p>
<w:pPr><w:pStyle w:val="Normal"/></w:pPr>
<w:r><w:t xml:space="preserve">former.  It was the non-observance of this treaty that led to</w:t></w:r>
</w:p>
<w:p>
<w:pPr><w:pStyle w:val="Normal"/></w:pPr>
<w:r><w:t xml:space="preserve">the war of 1S28.  The harbour is too shallow to admit vessels</w:t></w:r>
</w:p>
<w:p>
<w:pPr><w:pStyle w:val="Normal"/></w:pPr>
<w:r><w:t xml:space="preserve">of large size, but the proximity of the town to Odessa secures</w:t></w:r>
</w:p>
<w:p>
<w:pPr><w:pStyle w:val="Normal"/></w:pPr>
<w:r><w:t xml:space="preserve">for it a thriving business in wine, salt, fish wool and</w:t></w:r>
</w:p>
<w:p>
<w:pPr><w:pStyle w:val="Normal"/></w:pPr>
<w:r><w:t xml:space="preserve">tallow.  The salt is obtained from the saline lakes (limans)</w:t></w:r>
</w:p>
<w:p>
<w:pPr><w:pStyle w:val="Normal"/></w:pPr>
<w:r><w:t xml:space="preserve">in the neighbourhood.  The town, with its suburbs, contains</w:t></w:r>
</w:p>
<w:p>
<w:pPr><w:pStyle w:val="Normal"/></w:pPr>
<w:r><w:t xml:space="preserve">beautiful gardens and vineyards.  It is surrounded by</w:t></w:r>
</w:p>
<w:p>
<w:pPr><w:pStyle w:val="Normal"/></w:pPr>
<w:r><w:t xml:space="preserve">ramparts, and commanded by a citadel.  Pop. (1900) 32,470.</w:t></w:r>
</w:p>
<w:p>
<w:pPr><w:pStyle w:val="Normal"/></w:pPr>
<w:r><w:t xml:space="preserve">AKMOLINSK, one of the governments belonging to the</w:t></w:r>
</w:p>
<w:p>
<w:pPr><w:pStyle w:val="Normal"/></w:pPr>
<w:r><w:t xml:space="preserve">governor-generalship of the Steppes in Asiatic Russia, formerly</w:t></w:r>
</w:p>
<w:p>
<w:pPr><w:pStyle w:val="Normal"/></w:pPr>
<w:r><w:t xml:space="preserve">known as the Kirghiz Steppe; bounded by the government of Turgai</w:t></w:r>
</w:p>
<w:p>
<w:pPr><w:pStyle w:val="Normal"/></w:pPr>
<w:r><w:t xml:space="preserve">on the W., by that of Tobolsk on the N., of Semi-palatinsk</w:t></w:r>
</w:p>
<w:p>
<w:pPr><w:pStyle w:val="Normal"/></w:pPr>
<w:r><w:t xml:space="preserve">on the E., and of Syr-darya on the S. Area 229,544 sq. m.,</w:t></w:r>
</w:p>
<w:p>
<w:pPr><w:pStyle w:val="Normal"/></w:pPr>
<w:r><w:t xml:space="preserve">of which 4535 are lakes.  In the north the government is low</w:t></w:r>
</w:p>
<w:p>
<w:pPr><w:pStyle w:val="Normal"/></w:pPr>
<w:r><w:t xml:space="preserve">and dotted with salt lakes, and is sandy on the banks of the</w:t></w:r>
</w:p>
<w:p>
<w:pPr><w:pStyle w:val="Normal"/></w:pPr>
<w:r><w:t xml:space="preserve">Irtysh in the north-east.  An undulating plateau stretches</w:t></w:r>
</w:p>
<w:p>
<w:pPr><w:pStyle w:val="Normal"/></w:pPr>
<w:r><w:t xml:space="preserve">through the middle, watered by the Ishim and its tributary the</w:t></w:r>
</w:p>
<w:p>
<w:pPr><w:pStyle w:val="Normal"/></w:pPr>
<w:r><w:t xml:space="preserve">Nura.  The plains gradually rise southwards, where a broad</w:t></w:r>
</w:p>
<w:p>
<w:pPr><w:pStyle w:val="Normal"/></w:pPr>
<w:r><w:t xml:space="preserve">spur of the Tarbagatai mountains stretches north-westwards,</w:t></w:r>
</w:p>
<w:p>
<w:pPr><w:pStyle w:val="Normal"/></w:pPr>
<w:r><w:t xml:space="preserve">containing gold, copper and coal.  Many lakes, of which the</w:t></w:r>
</w:p>
<w:p>
<w:pPr><w:pStyle w:val="Normal"/></w:pPr>
<w:r><w:t xml:space="preserve">largest is Teniz, are scattered along the northern slope of these</w:t></w:r>
</w:p>
<w:p>
<w:pPr><w:pStyle w:val="Normal"/></w:pPr>
<w:r><w:t xml:space="preserve">hills.  Farther south, towards Lake Balkash, on the southeastern</w:t></w:r>
</w:p>
<w:p>
<w:pPr><w:pStyle w:val="Normal"/></w:pPr>
<w:r><w:t xml:space="preserve">frontier, is a wide waterless desert, Bek-pak-dala, or Famine</w:t></w:r>
</w:p>
<w:p>
<w:pPr><w:pStyle w:val="Normal"/></w:pPr>
<w:r><w:t xml:space="preserve">Steppe.  This section of the government is drained by the</w:t></w:r>
</w:p>
<w:p>
<w:pPr><w:pStyle w:val="Normal"/></w:pPr>
<w:r><w:t xml:space="preserve">Sary-su and Chu, the latter on the southern boundaryline.</w:t></w:r>
</w:p>
<w:p>
<w:pPr><w:pStyle w:val="Normal"/></w:pPr>
<w:r><w:t xml:space="preserve">The climate is continental and dry, the average temperatures</w:t></w:r>
</w:p>
<w:p>
<w:pPr><w:pStyle w:val="Normal"/></w:pPr>
<w:r><w:t xml:space="preserve">at the town of Akmolinsk being for the year 35 deg. , January</w:t></w:r>
</w:p>
<w:p>
<w:pPr><w:pStyle w:val="Normal"/></w:pPr>
<w:r><w:t xml:space="preserve">1.5 deg. , July 70 deg. ; rainfall, only 9 in.  The population, which</w:t></w:r>
</w:p>
<w:p>
<w:pPr><w:pStyle w:val="Normal"/></w:pPr>
<w:r><w:t xml:space="preserve">was 686,863 in 1897 (324,587 women), consists chiefly of</w:t></w:r>
</w:p>
<w:p>
<w:pPr><w:pStyle w:val="Normal"/></w:pPr>
<w:r><w:t xml:space="preserve">Russians in the northern and middle portions, and of Kirghiz</w:t></w:r>
</w:p>
<w:p>
<w:pPr><w:pStyle w:val="Normal"/></w:pPr>
<w:r><w:t xml:space="preserve">(about 350,000), who breed cattle, horses and sheep.  The</w:t></w:r>
</w:p>
<w:p>
<w:pPr><w:pStyle w:val="Normal"/></w:pPr>
<w:r><w:t xml:space="preserve">urban population was only 74,069.  Agriculture is successfully</w:t></w:r>
</w:p>
<w:p>
<w:pPr><w:pStyle w:val="Normal"/></w:pPr>
<w:r><w:t xml:space="preserve">carried on in the north, the Siberian railway running between</w:t></w:r>
</w:p>
<w:p>
<w:pPr><w:pStyle w:val="Normal"/></w:pPr>
<w:r><w:t xml:space="preserve">Petropavlovsk and Omsk through a very fertile, well-populated</w:t></w:r>
</w:p>
<w:p>
<w:pPr><w:pStyle w:val="Normal"/></w:pPr>
<w:r><w:t xml:space="preserve">region.  Steamers ply on the Irtysh.  The government is divided</w:t></w:r>
</w:p>
<w:p>
<w:pPr><w:pStyle w:val="Normal"/></w:pPr>
<w:r><w:t xml:space="preserve">into five districts, the chief towns of which are: Omsk (pop.</w:t></w:r>
</w:p>
<w:p>
<w:pPr><w:pStyle w:val="Normal"/></w:pPr>
<w:r><w:t xml:space="preserve">53,050 in 1900), formerly capital of West Siberia, now capital</w:t></w:r>
</w:p>
<w:p>
<w:pPr><w:pStyle w:val="Normal"/></w:pPr>
<w:r><w:t xml:space="preserve">of this government and also of the governor-generalship of</w:t></w:r>
</w:p>
<w:p>
<w:pPr><w:pStyle w:val="Normal"/></w:pPr>
<w:r><w:t xml:space="preserve">the Steppes; Akmolinsk, or Akmolly (9560 in 1897), on the</w:t></w:r>
</w:p>
<w:p>
<w:pPr><w:pStyle w:val="Normal"/></w:pPr>
<w:r><w:t xml:space="preserve">Ishim, 260 m.  S.S.W. of Omsk, and chief centre for the</w:t></w:r>
</w:p>
<w:p>
<w:pPr><w:pStyle w:val="Normal"/></w:pPr>
<w:r><w:t xml:space="preserve">caravans coming from Tashkent and Bokhara; Atbasar (3030);</w:t></w:r>
</w:p>
<w:p>
<w:pPr><w:pStyle w:val="Normal"/></w:pPr>
<w:r><w:t xml:space="preserve">Kokchetav (5000); and Petropavlovsk (21,769 in 1901).</w:t></w:r>
</w:p>
<w:p>
<w:pPr><w:pStyle w:val="Normal"/></w:pPr>
<w:r><w:t xml:space="preserve">AKOLA, a town and district of India, in Berar, otherwise</w:t></w:r>
</w:p>
<w:p>
<w:pPr><w:pStyle w:val="Normal"/></w:pPr>
<w:r><w:t xml:space="preserve">known as the Hyderabad Assigned Districts.  The town is on</w:t></w:r>
</w:p>
<w:p>
<w:pPr><w:pStyle w:val="Normal"/></w:pPr>
<w:r><w:t xml:space="preserve">the Murna tributary of the Purna river, 930 ft. above the sea,</w:t></w:r>
</w:p>
<w:p>
<w:pPr><w:pStyle w:val="Normal"/></w:pPr>
<w:r><w:t xml:space="preserve">Akola proper being on the west bank, and Tajnapeth, containing</w:t></w:r>
</w:p>
<w:p>
<w:pPr><w:pStyle w:val="Normal"/></w:pPr>
<w:r><w:t xml:space="preserve">the government buildings and European residences, on the east</w:t></w:r>
</w:p>
<w:p>
<w:pPr><w:pStyle w:val="Normal"/></w:pPr>
<w:r><w:t xml:space="preserve">bank.  It is a station on the Nagpur branch of the Great</w:t></w:r>
</w:p>
<w:p>
<w:pPr><w:pStyle w:val="Normal"/></w:pPr>
<w:r><w:t xml:space="preserve">Indian Peninsula railway and is 383 m.  E.N.E. of Bombay.  It</w:t></w:r>
</w:p>
<w:p>
<w:pPr><w:pStyle w:val="Normal"/></w:pPr>
<w:r><w:t xml:space="preserve">had a population (1901) of 29,289.  It is walled, and has a</w:t></w:r>
</w:p>
<w:p>
<w:pPr><w:pStyle w:val="Normal"/></w:pPr>
<w:r><w:t xml:space="preserve">citadel built in the early years of the 19th century.  Akola</w:t></w:r>
</w:p>
<w:p>
<w:pPr><w:pStyle w:val="Normal"/></w:pPr>
<w:r><w:t xml:space="preserve">is one of the chief centres of the cotton trade in Berar,</w:t></w:r>
</w:p>
<w:p>
<w:pPr><w:pStyle w:val="Normal"/></w:pPr>
<w:r><w:t xml:space="preserve">and has numerous ginning factories and cotton presses.  Among</w:t></w:r>
</w:p>
<w:p>
<w:pPr><w:pStyle w:val="Normal"/></w:pPr>
<w:r><w:t xml:space="preserve">the educational establishments are a government high school,</w:t></w:r>
</w:p>
<w:p>
<w:pPr><w:pStyle w:val="Normal"/></w:pPr>
<w:r><w:t xml:space="preserve">and an industrial school supported by a Protestant mission.</w:t></w:r>
</w:p>
<w:p>
<w:pPr><w:pStyle w:val="Normal"/></w:pPr>
<w:r><w:t xml:space="preserve">The DISTRICT OF AKOLA as. reconstituted in 1905 has an</w:t></w:r>
</w:p>
<w:p>
<w:pPr><w:pStyle w:val="Normal"/></w:pPr>
<w:r><w:t xml:space="preserve">area of 4111 sq. n1.. the popi:lation of this area in 1901</w:t></w:r>
</w:p>
<w:p>
<w:pPr><w:pStyle w:val="Normal"/></w:pPr>
<w:r><w:t xml:space="preserve">being 754,804. (Before the alteration of the boundaries the</w:t></w:r>
</w:p>
<w:p>
<w:pPr><w:pStyle w:val="Normal"/></w:pPr>
<w:r><w:t xml:space="preserve">area of the district was 2678 sq. m., and the population</w:t></w:r>
</w:p>
<w:p>
<w:pPr><w:pStyle w:val="Normal"/></w:pPr>
<w:r><w:t xml:space="preserve">582,540.) The surface of the country is generally flat,</w:t></w:r>
</w:p>
<w:p>
<w:pPr><w:pStyle w:val="Normal"/></w:pPr>
<w:r><w:t xml:space="preserve">the greater part being situated in the central valley of</w:t></w:r>
</w:p>
<w:p>
<w:pPr><w:pStyle w:val="Normal"/></w:pPr>
<w:r><w:t xml:space="preserve">Berar.  On the north it is bounded by the Melghat</w:t></w:r>
</w:p>
<w:p>
<w:pPr><w:pStyle w:val="Normal"/></w:pPr>
<w:r><w:t xml:space="preserve">hills.  By the addition of Basim and Mangrul laluks in</w:t></w:r>
</w:p>
<w:p>
<w:pPr><w:pStyle w:val="Normal"/></w:pPr>
<w:r><w:t xml:space="preserve">1005, the district includes the eastern part of the Ajanta</w:t></w:r>
</w:p>
<w:p>
<w:pPr><w:pStyle w:val="Normal"/></w:pPr>
<w:r><w:t xml:space="preserve">hills, with peaks rising to 2000 ft., and the tableland of</w:t></w:r>
</w:p>
<w:p>
<w:pPr><w:pStyle w:val="Normal"/></w:pPr>
<w:r><w:t xml:space="preserve">Basim (q.v..) North of the Ajanta hills the country is</w:t></w:r>
</w:p>
<w:p>
<w:pPr><w:pStyle w:val="Normal"/></w:pPr>
<w:r><w:t xml:space="preserve">drained eastward by the I,urna affluent of the Tapti and its</w:t></w:r>
</w:p>
<w:p>
<w:pPr><w:pStyle w:val="Normal"/></w:pPr>
<w:r><w:t xml:space="preserve">tributaries.  None of the rivers is navigable.  The climate</w:t></w:r>
</w:p>
<w:p>
<w:pPr><w:pStyle w:val="Normal"/></w:pPr>
<w:r><w:t xml:space="preserve">resembles that of Berar generally, but the beat during April</w:t></w:r>
</w:p>
<w:p>
<w:pPr><w:pStyle w:val="Normal"/></w:pPr>
<w:r><w:t xml:space="preserve">to mid-June, when the rains begin, is very great, the average</w:t></w:r>
</w:p>
<w:p>
<w:pPr><w:pStyle w:val="Normal"/></w:pPr>
<w:r><w:t xml:space="preserve">temperature at the town of Akola in May for the twenty-five</w:t></w:r>
</w:p>
<w:p>
<w:pPr><w:pStyle w:val="Normal"/></w:pPr>
<w:r><w:t xml:space="preserve">years ending 1901 being 94.4 deg.  F. But even during the hot</w:t></w:r>
</w:p>
<w:p>
<w:pPr><w:pStyle w:val="Normal"/></w:pPr>
<w:r><w:t xml:space="preserve">season the nights are cool.  The annual rainfall averages 34</w:t></w:r>
</w:p>
<w:p>
<w:pPr><w:pStyle w:val="Normal"/></w:pPr>
<w:r><w:t xml:space="preserve">in.  In the Purna valley the soil is everywhere a rich lilack</w:t></w:r>
</w:p>
<w:p>
<w:pPr><w:pStyle w:val="Normal"/></w:pPr>
<w:r><w:t xml:space="preserve">loam, and nearly the whole of the land is cultivated.  Very</w:t></w:r>
</w:p>
<w:p>
<w:pPr><w:pStyle w:val="Normal"/></w:pPr>
<w:r><w:t xml:space="preserve">little.land is under irrigation.  The principal crop is</w:t></w:r>
</w:p>
<w:p>
<w:pPr><w:pStyle w:val="Normal"/></w:pPr>
<w:r><w:t xml:space="preserve">cotton, and the staple grain millet.  Wheat and pulses are also</w:t></w:r>
</w:p>
<w:p>
<w:pPr><w:pStyle w:val="Normal"/></w:pPr>
<w:r><w:t xml:space="preserve">grown.  The history of Akola is not distinguished from that</w:t></w:r>
</w:p>
<w:p>
<w:pPr><w:pStyle w:val="Normal"/></w:pPr>
<w:r><w:t xml:space="preserve">of the other portions of Berar.  In 1317--1318 it was added</w:t></w:r>
</w:p>
<w:p>
<w:pPr><w:pStyle w:val="Normal"/></w:pPr>
<w:r><w:t xml:space="preserve">to the Delhi empire, became independent under the Bahmani</w:t></w:r>
</w:p>
<w:p>
<w:pPr><w:pStyle w:val="Normal"/></w:pPr>
<w:r><w:t xml:space="preserve">dynasty in 1348, and in 1596 again fell under the sv&apos;ay of the</w:t></w:r>
</w:p>
<w:p>
<w:pPr><w:pStyle w:val="Normal"/></w:pPr>
<w:r><w:t xml:space="preserve">Moguls.  In 1724 it came, with the rest of Berar, under the</w:t></w:r>
</w:p>
<w:p>
<w:pPr><w:pStyle w:val="Normal"/></w:pPr>
<w:r><w:t xml:space="preserve">dominion of the nizam, being assigned to the British in 1853.</w:t></w:r>
</w:p>
<w:p>
<w:pPr><w:pStyle w:val="Normal"/></w:pPr>
<w:r><w:t xml:space="preserve">AKRON, a city and the county-seat of Summit county, Ohio,</w:t></w:r>
</w:p>
<w:p>
<w:pPr><w:pStyle w:val="Normal"/></w:pPr>
<w:r><w:t xml:space="preserve">U.S.A., on the Little Cuyaboga river, about 35 m.  S. by E. of</w:t></w:r>
</w:p>
<w:p>
<w:pPr><w:pStyle w:val="Normal"/></w:pPr>
<w:r><w:t xml:space="preserve">Cleveland.  Pop. (1890) 27,601; (1900) 42,728, of whom 7127</w:t></w:r>
</w:p>
<w:p>
<w:pPr><w:pStyle w:val="Normal"/></w:pPr>
<w:r><w:t xml:space="preserve">were foreign-born (3227 being German, 1104 English, and</w:t></w:r>
</w:p>
<w:p>
<w:pPr><w:pStyle w:val="Normal"/></w:pPr>
<w:r><w:t xml:space="preserve">641 Irish); (1910) 69,067.  It is served by the Baltimore &amp;</w:t></w:r>
</w:p>
<w:p>
<w:pPr><w:pStyle w:val="Normal"/></w:pPr>
<w:r><w:t xml:space="preserve">Ohio, the Erie, the Northern fj!:io, and the Cleveland, Akron</w:t></w:r>
</w:p>
<w:p>
<w:pPr><w:pStyle w:val="Normal"/></w:pPr>
<w:r><w:t xml:space="preserve">&amp; Columbus railways, by inter-urban electric lines and by</w:t></w:r>
</w:p>
<w:p>
<w:pPr><w:pStyle w:val="Normal"/></w:pPr>
<w:r><w:t xml:space="preserve">the Ohio Canal.  The city is situated in a region abounding</w:t></w:r>
</w:p>
<w:p>
<w:pPr><w:pStyle w:val="Normal"/></w:pPr>
<w:r><w:t xml:space="preserve">in lakes, springs and hills; it is about 1000 ft. above</w:t></w:r>
</w:p>
<w:p>
<w:pPr><w:pStyle w:val="Normal"/></w:pPr>
<w:r><w:t xml:space="preserve">sea-level, whence its name (from Oir. akron, height);</w:t></w:r>
</w:p>
<w:p>
<w:pPr><w:pStyle w:val="Normal"/></w:pPr>
<w:r><w:t xml:space="preserve">and attracts many summer visitors.  It is the seat of</w:t></w:r>
</w:p>
<w:p>
<w:pPr><w:pStyle w:val="Normal"/></w:pPr>
<w:r><w:t xml:space="preserve">Buchtel College (co-educational; non-sectarian), which was</w:t></w:r>
</w:p>
<w:p>
<w:pPr><w:pStyle w:val="Normal"/></w:pPr>
<w:r><w:t xml:space="preserve">founded by the Ohio Universalist Convention in 1870, was</w:t></w:r>
</w:p>
<w:p>
<w:pPr><w:pStyle w:val="Normal"/></w:pPr>
<w:r><w:t xml:space="preserve">opened in 1872, and was named in honour of its most liberal</w:t></w:r>
</w:p>
<w:p>
<w:pPr><w:pStyle w:val="Normal"/></w:pPr>
<w:r><w:t xml:space="preserve">benefactor, John R. Buchtel (18221802), a successful business</w:t></w:r>
</w:p>
<w:p>
<w:pPr><w:pStyle w:val="Normal"/></w:pPr>
<w:r><w:t xml:space="preserve">man who did much to promote the industrial development of</w:t></w:r>
</w:p>
<w:p>
<w:pPr><w:pStyle w:val="Normal"/></w:pPr>
<w:r><w:t xml:space="preserve">Akron.  Buchtel College provides three courses leading to</w:t></w:r>
</w:p>
<w:p>
<w:pPr><w:pStyle w:val="Normal"/></w:pPr>
<w:r><w:t xml:space="preserve">the degrees of A.B., Ph.B. and S.B.; it has a school of</w:t></w:r>
</w:p>
<w:p>
<w:pPr><w:pStyle w:val="Normal"/></w:pPr>
<w:r><w:t xml:space="preserve">music, a school of art and an academy; in 1908 there were 267</w:t></w:r>
</w:p>
<w:p>
<w:pPr><w:pStyle w:val="Normal"/></w:pPr>
<w:r><w:t xml:space="preserve">students.  Coal is mined in the neighbourhood.  The river</w:t></w:r>
</w:p>
<w:p>
<w:pPr><w:pStyle w:val="Normal"/></w:pPr>
<w:r><w:t xml:space="preserve">furnishes considerable water-power; and among the city&apos;s most</w:t></w:r>
</w:p>
<w:p>
<w:pPr><w:pStyle w:val="Normal"/></w:pPr>
<w:r><w:t xml:space="preserve">important manufactures are rubber and elastic goods (value,</w:t></w:r>
</w:p>
<w:p>
<w:pPr><w:pStyle w:val="Normal"/></w:pPr>
<w:r><w:t xml:space="preserve">1905, $13,396,974; 83.9% of the total of this industry in</w:t></w:r>
</w:p>
<w:p>
<w:pPr><w:pStyle w:val="Normal"/></w:pPr>
<w:r><w:t xml:space="preserve">the state and 21.3% of the total for the United States,</w:t></w:r>
</w:p>
<w:p>
<w:pPr><w:pStyle w:val="Normal"/></w:pPr>
<w:r><w:t xml:space="preserve">Akron ranking first among the cities of the country in this</w:t></w:r>
</w:p>
<w:p>
<w:pPr><w:pStyle w:val="Normal"/></w:pPr>
<w:r><w:t xml:space="preserve">industry), printing and publishing product (value, 1905,</w:t></w:r>
</w:p>
<w:p>
<w:pPr><w:pStyle w:val="Normal"/></w:pPr>
<w:r><w:t xml:space="preserve">$2,834,639), foundry and machine-shop product (value, 1905,</w:t></w:r>
</w:p>
<w:p>
<w:pPr><w:pStyle w:val="Normal"/></w:pPr>
<w:r><w:t xml:space="preserve">$2,367,764), and pottery, terra-cotta and fire-clay (value,</w:t></w:r>
</w:p>
<w:p>
<w:pPr><w:pStyle w:val="Normal"/></w:pPr>
<w:r><w:t xml:space="preserve">1905, $1,718,033; nearly twice the value of the output in 1900,</w:t></w:r>
</w:p>
<w:p>
<w:pPr><w:pStyle w:val="Normal"/></w:pPr>
<w:r><w:t xml:space="preserve">Akron ranking fourth among the cities of the United States in</w:t></w:r>
</w:p>
<w:p>
<w:pPr><w:pStyle w:val="Normal"/></w:pPr>
<w:r><w:t xml:space="preserve">this industry in 1905).  Other important manufactures are food</w:t></w:r>
</w:p>
<w:p>
<w:pPr><w:pStyle w:val="Normal"/></w:pPr>
<w:r><w:t xml:space="preserve">preparations (especially of oats) and flour and grist mill</w:t></w:r>
</w:p>
<w:p>
<w:pPr><w:pStyle w:val="Normal"/></w:pPr>
<w:r><w:t xml:space="preserve">products.  The value of the total manufactured products</w:t></w:r>
</w:p>
<w:p>
<w:pPr><w:pStyle w:val="Normal"/></w:pPr>
<w:r><w:t xml:space="preserve">(under the ``factory&apos;&apos; system) in 1905 was $34,004,243, an</w:t></w:r>
</w:p>
<w:p>
<w:pPr><w:pStyle w:val="Normal"/></w:pPr>
<w:r><w:t xml:space="preserve">increase in five years of 54.5%.  Akron was settled about</w:t></w:r>
</w:p>
<w:p>
<w:pPr><w:pStyle w:val="Normal"/></w:pPr>
<w:r><w:t xml:space="preserve">1825, was incorporated as a village in 1836, was made the</w:t></w:r>
</w:p>
<w:p>
<w:pPr><w:pStyle w:val="Normal"/></w:pPr>
<w:r><w:t xml:space="preserve">county-seat in 1842, and in 1865 was chartered as a city.</w:t></w:r>
</w:p>
<w:p>
<w:pPr><w:pStyle w:val="Normal"/></w:pPr>
<w:r><w:t xml:space="preserve">See S. N. Lane, Fifty Years and over of</w:t></w:r>
</w:p>
<w:p>
<w:pPr><w:pStyle w:val="Normal"/></w:pPr>
<w:r><w:t xml:space="preserve">Akron and Sumnnit County (Akron, 1892).</w:t></w:r>
</w:p>
<w:p>
<w:pPr><w:pStyle w:val="Normal"/></w:pPr>
<w:r><w:t xml:space="preserve">AK-SHEHR (anc. Philomelioii), a town in Asia Minor, in</w:t></w:r>
</w:p>
<w:p>
<w:pPr><w:pStyle w:val="Normal"/></w:pPr>
<w:r><w:t xml:space="preserve">the Ronia vilayet, situated at the edge of a fertile plain, on</w:t></w:r>
</w:p>
<w:p>
<w:pPr><w:pStyle w:val="Normal"/></w:pPr>
<w:r><w:t xml:space="preserve">the north side of the Sultan Dagh.  Philomelion was probably a</w:t></w:r>
</w:p>
<w:p>
<w:pPr><w:pStyle w:val="Normal"/></w:pPr>
<w:r><w:t xml:space="preserve">Pergamenian foundation on the great Graeco-Roman highway from</w:t></w:r>
</w:p>
<w:p>
<w:pPr><w:pStyle w:val="Normal"/></w:pPr>
<w:r><w:t xml:space="preserve">Ephesus to the east, and to its townsmen the Smyrniotes wrote</w:t></w:r>
</w:p>
<w:p>
<w:pPr><w:pStyle w:val="Normal"/></w:pPr>
<w:r><w:t xml:space="preserve">the letter that describes the martyrdom of Polycarp.</w:t></w:r>
</w:p>
<w:p>
<w:pPr><w:pStyle w:val="Normal"/></w:pPr>
<w:r><w:t xml:space="preserve">Cicero, on his way to Cilicia, dated some of his extant</w:t></w:r>
</w:p>
<w:p>
<w:pPr><w:pStyle w:val="Normal"/></w:pPr>
<w:r><w:t xml:space="preserve">correspondence there; and the place played a considerable</w:t></w:r>
</w:p>
<w:p>
<w:pPr><w:pStyle w:val="Heading1"/></w:pPr>
<w:r><w:t>part in the frontier wars between the Byzantine emperors</w:t></w:r>
</w:p>
<w:p>
<w:pPr><w:pStyle w:val="Normal"/></w:pPr>
<w:r><w:t xml:space="preserve">and the sultanate of Rum. It became an important Seljuk</w:t></w:r>
</w:p>
<w:p>
<w:pPr><w:pStyle w:val="Normal"/></w:pPr>
<w:r><w:t xml:space="preserve">town, and late in the 14th century passed into Ottoman</w:t></w:r>
</w:p>
<w:p>
<w:pPr><w:pStyle w:val="Normal"/></w:pPr>
<w:r><w:t xml:space="preserve">hands.  There Bayezid Yilderim is said by Ali of Yezd to</w:t></w:r>
</w:p>
<w:p>
<w:pPr><w:pStyle w:val="Normal"/></w:pPr>
<w:r><w:t xml:space="preserve">have died after his defeat at Angora.  The place still enjoys</w:t></w:r>
</w:p>
<w:p>
<w:pPr><w:pStyle w:val="Normal"/></w:pPr>
<w:r><w:t xml:space="preserve">much repute among Turks, as the burialplace of Nur-ed-din</w:t></w:r>
</w:p>
<w:p>
<w:pPr><w:pStyle w:val="Normal"/></w:pPr>
<w:r><w:t xml:space="preserve">Khoja.  The town has a station on the Anatolian railway,</w:t></w:r>
</w:p>
<w:p>
<w:pPr><w:pStyle w:val="Normal"/></w:pPr>
<w:r><w:t xml:space="preserve">about 60 m. from Afium-Rara-Hissar and 100 m. from Konia.</w:t></w:r>
</w:p>
<w:p>
<w:pPr><w:pStyle w:val="Normal"/></w:pPr>
<w:r><w:t xml:space="preserve">AKSU (White Water), a town of the Chinese empire, Eastern</w:t></w:r>
</w:p>
<w:p>
<w:pPr><w:pStyle w:val="Normal"/></w:pPr>
<w:r><w:t xml:space="preserve">Turkestan, in 41 deg.  7&apos; N. and 79 deg.  7&apos; E. of Uch-Turfan and 270</w:t></w:r>
</w:p>
<w:p>
<w:pPr><w:pStyle w:val="Normal"/></w:pPr>
<w:r><w:t xml:space="preserve">m.  N.E. of Yarkand, near the left bank of the Aksu river,</w:t></w:r>
</w:p>
<w:p>
<w:pPr><w:pStyle w:val="Normal"/></w:pPr>
<w:r><w:t xml:space="preserve">which takes its origin in the Tien-shan (Tian-shan) mountains</w:t></w:r>
</w:p>
<w:p>
<w:pPr><w:pStyle w:val="Normal"/></w:pPr>
<w:r><w:t xml:space="preserve">and joins the Tarim.  It belongs to the series of oases</w:t></w:r>
</w:p>
<w:p>
<w:pPr><w:pStyle w:val="Normal"/></w:pPr>
<w:r><w:t xml:space="preserve">(Uch-Turfan, Bai, Koucha, &amp;c.) situated at the southern foot of</w:t></w:r>
</w:p>
<w:p>
<w:pPr><w:pStyle w:val="Normal"/></w:pPr>
<w:r><w:t xml:space="preserve">the eastern Tien-shan mountains.  The tov&apos;n, which is supposed</w:t></w:r>
</w:p>
<w:p>
<w:pPr><w:pStyle w:val="Normal"/></w:pPr>
<w:r><w:t xml:space="preserve">to have about 6000 houses, is enclosed by a wall.  It is an</w:t></w:r>
</w:p>
<w:p>
<w:pPr><w:pStyle w:val="Normal"/></w:pPr>
<w:r><w:t xml:space="preserve">important centre for caravan routes and has a considerable</w:t></w:r>
</w:p>
<w:p>
<w:pPr><w:pStyle w:val="Normal"/></w:pPr>
<w:r><w:t xml:space="preserve">trade.  There are some cotton manufactures; and the place</w:t></w:r>
</w:p>
<w:p>
<w:pPr><w:pStyle w:val="Normal"/></w:pPr>
<w:r><w:t xml:space="preserve">is celebrated for its richly ornamented saddlery made from</w:t></w:r>
</w:p>
<w:p>
<w:pPr><w:pStyle w:val="Normal"/></w:pPr>
<w:r><w:t xml:space="preserve">deerskin.  A Chinese garrison is stationed here, and copper and</w:t></w:r>
</w:p>
<w:p>
<w:pPr><w:pStyle w:val="Normal"/></w:pPr>
<w:r><w:t xml:space="preserve">iron are wrought in the neighbourhood by exiled Chinese criminals.</w:t></w:r>
</w:p>
<w:p>
<w:pPr><w:pStyle w:val="Normal"/></w:pPr>
<w:r><w:t xml:space="preserve">Extensive cattle-breeding is carried on by the inhabitants.</w:t></w:r>
</w:p>
<w:p>
<w:pPr><w:pStyle w:val="Normal"/></w:pPr>
<w:r><w:t xml:space="preserve">AKYAR, a city and distact in the Arakan division of</w:t></w:r>
</w:p>
<w:p>
<w:pPr><w:pStyle w:val="Normal"/></w:pPr>
<w:r><w:t xml:space="preserve">Burma.  The city is situated at the confluence of the three</w:t></w:r>
</w:p>
<w:p>
<w:pPr><w:pStyle w:val="Normal"/></w:pPr>
<w:r><w:t xml:space="preserve">large rivers Myu, Koladaing and Lemyu, and is the most</w:t></w:r>
</w:p>
<w:p>
<w:pPr><w:pStyle w:val="Normal"/></w:pPr>
<w:r><w:t xml:space="preserve">flourishing city in the Arakan division.  Originally it</w:t></w:r>
</w:p>
<w:p>
<w:pPr><w:pStyle w:val="Normal"/></w:pPr>
<w:r><w:t xml:space="preserve">was a mere fishing village, but when the British government</w:t></w:r>
</w:p>
<w:p>
<w:pPr><w:pStyle w:val="Normal"/></w:pPr>
<w:r><w:t xml:space="preserve">in 1826 removed the restrictions on trade imposed by the</w:t></w:r>
</w:p>
<w:p>
<w:pPr><w:pStyle w:val="Normal"/></w:pPr>
<w:r><w:t xml:space="preserve">Burmese, Akyab quickly grew into an important seat of maritime</w:t></w:r>
</w:p>
<w:p>
<w:pPr><w:pStyle w:val="Normal"/></w:pPr>
<w:r><w:t xml:space="preserve">commerce.  After the cession of Arakan by the treaty of Yandaboo</w:t></w:r>
</w:p>
<w:p>
<w:pPr><w:pStyle w:val="Normal"/></w:pPr>
<w:r><w:t xml:space="preserve">in that year the old capital of Myohaung was abandoned as</w:t></w:r>
</w:p>
<w:p>
<w:pPr><w:pStyle w:val="Normal"/></w:pPr>
<w:r><w:t xml:space="preserve">the seat of government, and Akyab on the sea-coast selected</w:t></w:r>
</w:p>
<w:p>
<w:pPr><w:pStyle w:val="Normal"/></w:pPr>
<w:r><w:t xml:space="preserve">instead.  During the first forty years of British rule it</w:t></w:r>
</w:p>
<w:p>
<w:pPr><w:pStyle w:val="Normal"/></w:pPr>
<w:r><w:t xml:space="preserve">increased from a village to a town of 15,536 inhabitants, and</w:t></w:r>
</w:p>
<w:p>
<w:pPr><w:pStyle w:val="Normal"/></w:pPr>
<w:r><w:t xml:space="preserve">now it is the third port of Burma, with a population in 1901 of</w:t></w:r>
</w:p>
<w:p>
<w:pPr><w:pStyle w:val="Normal"/></w:pPr>
<w:r><w:t xml:space="preserve">31,687.  It contains the usual public buildings and several</w:t></w:r>
</w:p>
<w:p>
<w:pPr><w:pStyle w:val="Normal"/></w:pPr>
<w:r><w:t xml:space="preserve">large rice mills.  The chief exports are rice and oil.</w:t></w:r>
</w:p>
<w:p>
<w:pPr><w:pStyle w:val="Normal"/></w:pPr>
<w:r><w:t xml:space="preserve">The district lies along the north-eastern shores of the Bay</w:t></w:r>
</w:p>
<w:p>
<w:pPr><w:pStyle w:val="Normal"/></w:pPr>
<w:r><w:t xml:space="preserve">of . Bengal, with an area of 5136 sq. m. and a population</w:t></w:r>
</w:p>
<w:p>
<w:pPr><w:pStyle w:val="Normal"/></w:pPr>
<w:r><w:t xml:space="preserve">in 1901 of q81,666.  It forms the northernmost district of</w:t></w:r>
</w:p>
<w:p>
<w:pPr><w:pStyle w:val="Normal"/></w:pPr>
<w:r><w:t xml:space="preserve">Lower Burma, and consists of the level tract lying between</w:t></w:r>
</w:p>
<w:p>
<w:pPr><w:pStyle w:val="Normal"/></w:pPr>
<w:r><w:t xml:space="preserve">the sea and the Arakan Yoma mountains, and of the broken</w:t></w:r>
</w:p>
<w:p>
<w:pPr><w:pStyle w:val="Normal"/></w:pPr>
<w:r><w:t xml:space="preserve">country formed by a portion of their western spurs and</w:t></w:r>
</w:p>
<w:p>
<w:pPr><w:pStyle w:val="Normal"/></w:pPr>
<w:r><w:t xml:space="preserve">valleys.  The forests form a most important feature of Akyab</w:t></w:r>
</w:p>
<w:p>
<w:pPr><w:pStyle w:val="Normal"/></w:pPr>
<w:r><w:t xml:space="preserve">district and contain a valuable supply of timber of many</w:t></w:r>
</w:p>
<w:p>
<w:pPr><w:pStyle w:val="Normal"/></w:pPr>
<w:r><w:t xml:space="preserve">kinds.  The central part of the district consists of three</w:t></w:r>
</w:p>
<w:p>
<w:pPr><w:pStyle w:val="Normal"/></w:pPr>
<w:r><w:t xml:space="preserve">fertile valleys, watered by the Myu, Koladaing and Lemyu.</w:t></w:r>
</w:p>
<w:p>
<w:pPr><w:pStyle w:val="Normal"/></w:pPr>
<w:r><w:t xml:space="preserve">These rivers approach each other at their mouths, and form</w:t></w:r>
</w:p>
<w:p>
<w:pPr><w:pStyle w:val="Normal"/></w:pPr>
<w:r><w:t xml:space="preserve">a vast network of tidal channels, creeks and islands.  Their</w:t></w:r>
</w:p>
<w:p>
<w:pPr><w:pStyle w:val="Normal"/></w:pPr>
<w:r><w:t xml:space="preserve">alluvial valleys yield inexhaustible supplies of rice, which</w:t></w:r>
</w:p>
<w:p>
<w:pPr><w:pStyle w:val="Normal"/></w:pPr>
<w:r><w:t xml:space="preserve">the abundant water carriage brings down to the port of Akyab</w:t></w:r>
</w:p>
<w:p>
<w:pPr><w:pStyle w:val="Normal"/></w:pPr>
<w:r><w:t xml:space="preserve">at a very cheap rate.  The four chief towns are Khumgchu</w:t></w:r>
</w:p>
<w:p>
<w:pPr><w:pStyle w:val="Normal"/></w:pPr>
<w:r><w:t xml:space="preserve">in the extreme north-east of the district; Koladaing in the</w:t></w:r>
</w:p>
<w:p>
<w:pPr><w:pStyle w:val="Normal"/></w:pPr>
<w:r><w:t xml:space="preserve">centre; Arakan, farther down the rivers; and Akyab on the</w:t></w:r>
</w:p>
<w:p>
<w:pPr><w:pStyle w:val="Normal"/></w:pPr>
<w:r><w:t xml:space="preserve">coast, where their mouths converge.  This district passed into</w:t></w:r>
</w:p>
<w:p>
<w:pPr><w:pStyle w:val="Normal"/></w:pPr>
<w:r><w:t xml:space="preserve">the hands of the British, together with the rest of Arakan</w:t></w:r>
</w:p>
<w:p>
<w:pPr><w:pStyle w:val="Normal"/></w:pPr>
<w:r><w:t xml:space="preserve">division, at the close of the first Burmese war of 1825--1826.</w:t></w:r>
</w:p>
<w:p>
<w:pPr><w:pStyle w:val="Normal"/></w:pPr>
<w:r><w:t xml:space="preserve">Akyab was the metropolitan province of the native kingdom of</w:t></w:r>
</w:p>
<w:p>
<w:pPr><w:pStyle w:val="Normal"/></w:pPr>
<w:r><w:t xml:space="preserve">Arakan, and the history of that country centres in it.  In</w:t></w:r>
</w:p>
<w:p>
<w:pPr><w:pStyle w:val="Normal"/></w:pPr>
<w:r><w:t xml:space="preserve">1871 the frontier or hill tracts of the district were placed</w:t></w:r>
</w:p>
<w:p>
<w:pPr><w:pStyle w:val="Normal"/></w:pPr>
<w:r><w:t xml:space="preserve">under a special administration, with a view to the better</w:t></w:r>
</w:p>
<w:p>
<w:pPr><w:pStyle w:val="Normal"/></w:pPr>
<w:r><w:t xml:space="preserve">government of the wild tribes which inhabit them. (J. G. SC.)</w:t></w:r>
</w:p>
<w:p>
<w:pPr><w:pStyle w:val="Normal"/></w:pPr>
<w:r><w:t xml:space="preserve">ALA (from Lat. ala, a wing), a word used technically</w:t></w:r>
</w:p>
<w:p>
<w:pPr><w:pStyle w:val="Normal"/></w:pPr>
<w:r><w:t xml:space="preserve">by analogy with its meaning of ``wing.&apos;&apos; In physiology,</w:t></w:r>
</w:p>
<w:p>
<w:pPr><w:pStyle w:val="Normal"/></w:pPr>
<w:r><w:t xml:space="preserve">it means any wing-like process, such as one of the lateral</w:t></w:r>
</w:p>
<w:p>
<w:pPr><w:pStyle w:val="Normal"/></w:pPr>
<w:r><w:t xml:space="preserve">cartilages of the nose.  In botany, one of the side petals</w:t></w:r>
</w:p>
<w:p>
<w:pPr><w:pStyle w:val="Normal"/></w:pPr>
<w:r><w:t xml:space="preserve">of a papilionaceous corolla, &amp;c. In architecture, a side</w:t></w:r>
</w:p>
<w:p>
<w:pPr><w:pStyle w:val="Normal"/></w:pPr>
<w:r><w:t xml:space="preserve">apartment or recess of a Romanhouse (the origin of ``aisle&apos;&apos;).</w:t></w:r>
</w:p>
<w:p>
<w:pPr><w:pStyle w:val="Normal"/></w:pPr>
<w:r><w:t xml:space="preserve">ALABAMA, a southern state of the American Union, situated</w:t></w:r>
</w:p>
<w:p>
<w:pPr><w:pStyle w:val="Normal"/></w:pPr>
<w:r><w:t xml:space="preserve">between 84 deg.  51&apos; and 88 deg.  31&apos; W. long. and about 30 deg.  13&apos; and</w:t></w:r>
</w:p>
<w:p>
<w:pPr><w:pStyle w:val="Normal"/></w:pPr>
<w:r><w:t xml:space="preserve">35 deg.  N. lat., bounded N. by Tennessee, E. by Georgia, S. by</w:t></w:r>
</w:p>
<w:p>
<w:pPr><w:pStyle w:val="Normal"/></w:pPr>
<w:r><w:t xml:space="preserve">Florida and the Gulf of Mexico, and W. by Mississippi.  Its</w:t></w:r>
</w:p>
<w:p>
<w:pPr><w:pStyle w:val="Normal"/></w:pPr>
<w:r><w:t xml:space="preserve">total area is 51,998 sq. m., of which 719 are water surface.</w:t></w:r>
</w:p>
<w:p>
<w:pPr><w:pStyle w:val="Normal"/></w:pPr>
<w:r><w:t xml:space="preserve">Physical Features.--The surface of Alabama in the N. and</w:t></w:r>
</w:p>
<w:p>
<w:pPr><w:pStyle w:val="Normal"/></w:pPr>
<w:r><w:t xml:space="preserve">N.E., embracing about two-fifths of its area, is diversified</w:t></w:r>
</w:p>
<w:p>
<w:pPr><w:pStyle w:val="Normal"/></w:pPr>
<w:r><w:t xml:space="preserve">and picturesque; the remaining portion is occupied by a gently</w:t></w:r>
</w:p>
<w:p>
<w:pPr><w:pStyle w:val="Normal"/></w:pPr>
<w:r><w:t xml:space="preserve">undulating plain having a general incline south-westward</w:t></w:r>
</w:p>
<w:p>
<w:pPr><w:pStyle w:val="Normal"/></w:pPr>
<w:r><w:t xml:space="preserve">toward the Mississippi and the Gulf.  Extending entirely</w:t></w:r>
</w:p>
<w:p>
<w:pPr><w:pStyle w:val="Normal"/></w:pPr>
<w:r><w:t xml:space="preserve">across the state of Alabama for about 20 m.  S. of its N.</w:t></w:r>
</w:p>
<w:p>
<w:pPr><w:pStyle w:val="Normal"/></w:pPr>
<w:r><w:t xml:space="preserve">boundary, and in the middle stretching 60 m. farther S., is</w:t></w:r>
</w:p>
<w:p>
<w:pPr><w:pStyle w:val="Normal"/></w:pPr>
<w:r><w:t xml:space="preserve">the Cumberland Plateau, or Tennessee Valley region, broken</w:t></w:r>
</w:p>
<w:p>
<w:pPr><w:pStyle w:val="Normal"/></w:pPr>
<w:r><w:t xml:space="preserve">into broad table-lands by the dissection of rivers.  In the</w:t></w:r>
</w:p>
<w:p>
<w:pPr><w:pStyle w:val="Normal"/></w:pPr>
<w:r><w:t xml:space="preserve">N. part of this plateau, W. of Jackson county, there are about</w:t></w:r>
</w:p>
<w:p>
<w:pPr><w:pStyle w:val="Normal"/></w:pPr>
<w:r><w:t xml:space="preserve">1000 sq. m. of level highlands from 700 to 800 ft. above the</w:t></w:r>
</w:p>
<w:p>
<w:pPr><w:pStyle w:val="Normal"/></w:pPr>
<w:r><w:t xml:space="preserve">sea.  South of these highlands, occupying a narrow strip on</w:t></w:r>
</w:p>
<w:p>
<w:pPr><w:pStyle w:val="Normal"/></w:pPr>
<w:r><w:t xml:space="preserve">each side of the Tennessee river, is a delightful country of</w:t></w:r>
</w:p>
<w:p>
<w:pPr><w:pStyle w:val="Normal"/></w:pPr>
<w:r><w:t xml:space="preserve">gentle rolling lowlands varying in elevation from 500 to 800</w:t></w:r>
</w:p>
<w:p>
<w:pPr><w:pStyle w:val="Normal"/></w:pPr>
<w:r><w:t xml:space="preserve">ft.  To the N.E. of these highlands and lowlands is a rugged</w:t></w:r>
</w:p>
<w:p>
<w:pPr><w:pStyle w:val="Normal"/></w:pPr>
<w:r><w:t xml:space="preserve">section with steep mountain-sides, deep narrow coves and</w:t></w:r>
</w:p>
<w:p>
<w:pPr><w:pStyle w:val="Normal"/></w:pPr>
<w:r><w:t xml:space="preserve">valleys, and flat mountain-tops.  Its elevations range from</w:t></w:r>
</w:p>
<w:p>
<w:pPr><w:pStyle w:val="Normal"/></w:pPr>
<w:r><w:t xml:space="preserve">400 to 1800 ft.  In the remainder of this region, the S.</w:t></w:r>
</w:p>
<w:p>
<w:pPr><w:pStyle w:val="Normal"/></w:pPr>
<w:r><w:t xml:space="preserve">portion, the most prominent feature is Little Mountain,</w:t></w:r>
</w:p>
<w:p>
<w:pPr><w:pStyle w:val="Normal"/></w:pPr>
<w:r><w:t xml:space="preserve">extending about 80 m. from E. to W. between two valleys,</w:t></w:r>
</w:p>
<w:p>
<w:pPr><w:pStyle w:val="Normal"/></w:pPr>
<w:r><w:t xml:space="preserve">and Asing precipitouslyon the N. side 500 ft. above them</w:t></w:r>
</w:p>
<w:p>
<w:pPr><w:pStyle w:val="Normal"/></w:pPr>
<w:r><w:t xml:space="preserve">or 1000ft. above the sea.  Adjoining the Cumberland Plateau</w:t></w:r>
</w:p>
<w:p>
<w:pPr><w:pStyle w:val="Normal"/></w:pPr>
<w:r><w:t xml:space="preserve">region on the S.E. is the Appalachian Valley (locally known as</w:t></w:r>
</w:p>
<w:p>
<w:pPr><w:pStyle w:val="Normal"/></w:pPr>
<w:r><w:t xml:space="preserve">Coosa Valley) region, which is the S. extremity of the great</w:t></w:r>
</w:p>
<w:p>
<w:pPr><w:pStyle w:val="Normal"/></w:pPr>
<w:r><w:t xml:space="preserve">Appalachian Mountain system, and occupies an area within the</w:t></w:r>
</w:p>
<w:p>
<w:pPr><w:pStyle w:val="Normal"/></w:pPr>
<w:r><w:t xml:space="preserve">state of about 8000 sq. m.  This is a limestone belt with</w:t></w:r>
</w:p>
<w:p>
<w:pPr><w:pStyle w:val="Normal"/></w:pPr>
<w:r><w:t xml:space="preserve">parallel hard rock ridges left standing by erosion to form</w:t></w:r>
</w:p>
<w:p>
<w:pPr><w:pStyle w:val="Normal"/></w:pPr>
<w:r><w:t xml:space="preserve">mountains.  Although the general direction of the mountains,</w:t></w:r>
</w:p>
<w:p>
<w:pPr><w:pStyle w:val="Normal"/></w:pPr>
<w:r><w:t xml:space="preserve">ridges and valleys is N.E. and S.W., irregularity is one of</w:t></w:r>
</w:p>
<w:p>
<w:pPr><w:pStyle w:val="Normal"/></w:pPr>
<w:r><w:t xml:space="preserve">the most prominent characteristics.  In the N.E. are several</w:t></w:r>
</w:p>
<w:p>
<w:pPr><w:pStyle w:val="Normal"/></w:pPr>
<w:r><w:t xml:space="preserve">flat-topped mountains, of which Raccoon and Lookout are the</w:t></w:r>
</w:p>
<w:p>
<w:pPr><w:pStyle w:val="Normal"/></w:pPr>
<w:r><w:t xml:space="preserve">most prominent, having a maximum elevation near the Georgia</w:t></w:r>
</w:p>
<w:p>
<w:pPr><w:pStyle w:val="Normal"/></w:pPr>
<w:r><w:t xml:space="preserve">line of little more than 1800 ft. and gradually decreasing in</w:t></w:r>
</w:p>
<w:p>
<w:pPr><w:pStyle w:val="Normal"/></w:pPr>
<w:r><w:t xml:space="preserve">height toward the S.W., where Sand Mountain is a continuation of</w:t></w:r>
</w:p>
<w:p>
<w:pPr><w:pStyle w:val="Normal"/></w:pPr>
<w:r><w:t xml:space="preserve">Raccoon.  South of these the mountains are marked by steep</w:t></w:r>
</w:p>
<w:p>
<w:pPr><w:pStyle w:val="Normal"/></w:pPr>
<w:r><w:t xml:space="preserve">N.W. sides, sharp crests and gently sloping S.E. sides.</w:t></w:r>
</w:p>
<w:p>
<w:pPr><w:pStyle w:val="Normal"/></w:pPr>
<w:r><w:t xml:space="preserve">South-east of the Appalachian Valley region, the Piedmont</w:t></w:r>
</w:p>
<w:p>
<w:pPr><w:pStyle w:val="Normal"/></w:pPr>
<w:r><w:t xml:space="preserve">Plateau also crosses the Alabama border from the N.E. and</w:t></w:r>
</w:p>
<w:p>
<w:pPr><w:pStyle w:val="Normal"/></w:pPr>
<w:r><w:t xml:space="preserve">occupies a small triangular-shaped section of which Randolph</w:t></w:r>
</w:p>
<w:p>
<w:pPr><w:pStyle w:val="Normal"/></w:pPr>
<w:r><w:t xml:space="preserve">and Clay counties, together with the N. part of Tallapoosa and</w:t></w:r>
</w:p>
<w:p>
<w:pPr><w:pStyle w:val="Normal"/></w:pPr>
<w:r><w:t xml:space="preserve">Chambers, form the principal portion.  Its surface is gently</w:t></w:r>
</w:p>
<w:p>
<w:pPr><w:pStyle w:val="Normal"/></w:pPr>
<w:r><w:t xml:space="preserve">undulating and has an elevation of about 1000 ft. above the</w:t></w:r>
</w:p>
<w:p>
<w:pPr><w:pStyle w:val="Normal"/></w:pPr>
<w:r><w:t xml:space="preserve">sea.  The Piedmont Plateau is a lowland worn down by erosion on</w:t></w:r>
</w:p>
<w:p>
<w:pPr><w:pStyle w:val="Normal"/></w:pPr>
<w:r><w:t xml:space="preserve">hard crystalline rocks, then uplifted to form a plateau.  The</w:t></w:r>
</w:p>
<w:p>
<w:pPr><w:pStyle w:val="Normal"/></w:pPr>
<w:r><w:t xml:space="preserve">remainder of the state is occupied by the coastal plain.  This</w:t></w:r>
</w:p>
<w:p>
<w:pPr><w:pStyle w:val="Normal"/></w:pPr>
<w:r><w:t xml:space="preserve">is crossed by foot-hills and rolling prairies in the central</w:t></w:r>
</w:p>
<w:p>
<w:pPr><w:pStyle w:val="Heading1"/></w:pPr>
<w:r><w:t>part of the state, where it has a mean elevation of about 600</w:t></w:r>
</w:p>
<w:p>
<w:pPr><w:pStyle w:val="Normal"/></w:pPr>
<w:r><w:t xml:space="preserve">ft., becomes lower and more level toward the S.W., and in</w:t></w:r>
</w:p>
<w:p>
<w:pPr><w:pStyle w:val="Normal"/></w:pPr>
<w:r><w:t xml:space="preserve">the extreme S. is flat and but slightly elevated above the</w:t></w:r>
</w:p>
<w:p>
<w:pPr><w:pStyle w:val="Normal"/></w:pPr>
<w:r><w:t xml:space="preserve">sea.  The Cumberland Plateau region is drained to the W.N.W.</w:t></w:r>
</w:p>
<w:p>
<w:pPr><w:pStyle w:val="Normal"/></w:pPr>
<w:r><w:t xml:space="preserve">by the Tennessee river and its tributaries; all other parts</w:t></w:r>
</w:p>
<w:p>
<w:pPr><w:pStyle w:val="Normal"/></w:pPr>
<w:r><w:t xml:space="preserve">of the state are drained to the S.W. In the Appalachian Valley</w:t></w:r>
</w:p>
<w:p>
<w:pPr><w:pStyle w:val="Normal"/></w:pPr>
<w:r><w:t xml:space="preserve">region the Coosa is the principal river; and in the Piedmont</w:t></w:r>
</w:p>
<w:p>
<w:pPr><w:pStyle w:val="Normal"/></w:pPr>
<w:r><w:t xml:space="preserve">Plateau, the Tallapoosa.  In the Coastal Plain are the Tombigbee</w:t></w:r>
</w:p>
<w:p>
<w:pPr><w:pStyle w:val="Normal"/></w:pPr>
<w:r><w:t xml:space="preserve">in the W., the Alabama (formed by the Coosa and Tallapoosa)</w:t></w:r>
</w:p>
<w:p>
<w:pPr><w:pStyle w:val="Normal"/></w:pPr>
<w:r><w:t xml:space="preserve">in the W. central, and in the E. the Chattahoochee, which</w:t></w:r>
</w:p>
<w:p>
<w:pPr><w:pStyle w:val="Normal"/></w:pPr>
<w:r><w:t xml:space="preserve">forms almost half of the Georgia boundary.  The Tombigbee</w:t></w:r>
</w:p>
<w:p>
<w:pPr><w:pStyle w:val="Normal"/></w:pPr>
<w:r><w:t xml:space="preserve">and Alabama unite near the S.W. corner of the state, their</w:t></w:r>
</w:p>
<w:p>
<w:pPr><w:pStyle w:val="Normal"/></w:pPr>
<w:r><w:t xml:space="preserve">waters discharging into Mobile Bay by the Mobile and Tensas</w:t></w:r>
</w:p>
<w:p>
<w:pPr><w:pStyle w:val="Normal"/></w:pPr>
<w:r><w:t xml:space="preserve">rivers.  The Black Warrior is a considerable stream which joins</w:t></w:r>
</w:p>
<w:p>
<w:pPr><w:pStyle w:val="Normal"/></w:pPr>
<w:r><w:t xml:space="preserve">the Tombigbee from the E. The valleys in the N. and N.E. are</w:t></w:r>
</w:p>
<w:p>
<w:pPr><w:pStyle w:val="Normal"/></w:pPr>
<w:r><w:t xml:space="preserve">usually deep and narrow, but in the Coastal Plain they are broad</w:t></w:r>
</w:p>
<w:p>
<w:pPr><w:pStyle w:val="Normal"/></w:pPr>
<w:r><w:t xml:space="preserve">and in most cases rise in three successive terraces above the</w:t></w:r>
</w:p>
<w:p>
<w:pPr><w:pStyle w:val="Normal"/></w:pPr>
<w:r><w:t xml:space="preserve">stream.  The harbour of Mobile was formed by the drowning</w:t></w:r>
</w:p>
<w:p>
<w:pPr><w:pStyle w:val="Normal"/></w:pPr>
<w:r><w:t xml:space="preserve">of the lower part of the valley of the Alabama and Tombigbee</w:t></w:r>
</w:p>
<w:p>
<w:pPr><w:pStyle w:val="Normal"/></w:pPr>
<w:r><w:t xml:space="preserve">rivers as a result of the sinking of the land here, such</w:t></w:r>
</w:p>
<w:p>
<w:pPr><w:pStyle w:val="Normal"/></w:pPr>
<w:r><w:t xml:space="preserve">sinking having occurred on other parts of the Gulf coast.</w:t></w:r>
</w:p>
<w:p>
<w:pPr><w:pStyle w:val="Normal"/></w:pPr>
<w:r><w:t xml:space="preserve">The fauna and flora of Alabama are similar to those of the</w:t></w:r>
</w:p>
<w:p>
<w:pPr><w:pStyle w:val="Normal"/></w:pPr>
<w:r><w:t xml:space="preserve">Gulf states in general and have no distinctive characteristics.</w:t></w:r>
</w:p>
<w:p>
<w:pPr><w:pStyle w:val="Normal"/></w:pPr>
<w:r><w:t xml:space="preserve">Climate and Soil.---The climate of Alabama is temperate and</w:t></w:r>
</w:p>
<w:p>
<w:pPr><w:pStyle w:val="Normal"/></w:pPr>
<w:r><w:t xml:space="preserve">fairly uniform.  The heat of summer is tempered in the S. by the</w:t></w:r>
</w:p>
<w:p>
<w:pPr><w:pStyle w:val="Normal"/></w:pPr>
<w:r><w:t xml:space="preserve">winds from the Gulf of Mexico, and in the N. by the elevation</w:t></w:r>
</w:p>
<w:p>
<w:pPr><w:pStyle w:val="Normal"/></w:pPr>
<w:r><w:t xml:space="preserve">above the sea.  The average annual temperature is highest in</w:t></w:r>
</w:p>
<w:p>
<w:pPr><w:pStyle w:val="Normal"/></w:pPr>
<w:r><w:t xml:space="preserve">the S.W. along the coast, and lowest in the N.E. among the</w:t></w:r>
</w:p>
<w:p>
<w:pPr><w:pStyle w:val="Normal"/></w:pPr>
<w:r><w:t xml:space="preserve">highlands.  Thus at Mobile the annual mean is 67 deg.  F., the mean</w:t></w:r>
</w:p>
<w:p>
<w:pPr><w:pStyle w:val="Normal"/></w:pPr>
<w:r><w:t xml:space="preserve">for the summer 81 deg. , and for the winter 52 deg. ; and at Valley</w:t></w:r>
</w:p>
<w:p>
<w:pPr><w:pStyle w:val="Normal"/></w:pPr>
<w:r><w:t xml:space="preserve">Head, in De Kalb county, the annual mean is 59 deg. , the mean</w:t></w:r>
</w:p>
<w:p>
<w:pPr><w:pStyle w:val="Normal"/></w:pPr>
<w:r><w:t xml:space="preserve">for the summer 75 deg. , and for the winter 41 deg. .  At Montgomery,</w:t></w:r>
</w:p>
<w:p>
<w:pPr><w:pStyle w:val="Normal"/></w:pPr>
<w:r><w:t xml:space="preserve">in the central region, the average annual temperature is</w:t></w:r>
</w:p>
<w:p>
<w:pPr><w:pStyle w:val="Normal"/></w:pPr>
<w:r><w:t xml:space="preserve">66 deg. , with a winter average of 49 deg. , and a summer average of</w:t></w:r>
</w:p>
<w:p>
<w:pPr><w:pStyle w:val="Normal"/></w:pPr>
<w:r><w:t xml:space="preserve">81 deg. .  The average winter minimum for the entire state is 35 deg. ,</w:t></w:r>
</w:p>
<w:p>
<w:pPr><w:pStyle w:val="Normal"/></w:pPr>
<w:r><w:t xml:space="preserve">and there is an average of 35 days in each year in which the</w:t></w:r>
</w:p>
<w:p>
<w:pPr><w:pStyle w:val="Normal"/></w:pPr>
<w:r><w:t xml:space="preserve">thermometer falls below the freezing-point.  At extremely rare</w:t></w:r>
</w:p>
<w:p>
<w:pPr><w:pStyle w:val="Normal"/></w:pPr>
<w:r><w:t xml:space="preserve">intervals the thermometer has fallen below zero, as was the</w:t></w:r>
</w:p>
<w:p>
<w:pPr><w:pStyle w:val="Normal"/></w:pPr>
<w:r><w:t xml:space="preserve">case in the remarkable cold wave of the 12th-13th of February</w:t></w:r>
</w:p>
<w:p>
<w:pPr><w:pStyle w:val="Normal"/></w:pPr>
<w:r><w:t xml:space="preserve">1899, when an absolute minimum of 17 deg.  was registered at Valley</w:t></w:r>
</w:p>
<w:p>
<w:pPr><w:pStyle w:val="Normal"/></w:pPr>
<w:r><w:t xml:space="preserve">Head.  The highesl temperature ever recorded was 109 deg.  in</w:t></w:r>
</w:p>
<w:p>
<w:pPr><w:pStyle w:val="Normal"/></w:pPr>
<w:r><w:t xml:space="preserve">Talladega county in 1902.  The amount of precipitation is</w:t></w:r>
</w:p>
<w:p>
<w:pPr><w:pStyle w:val="Normal"/></w:pPr>
<w:r><w:t xml:space="preserve">greatest along the coast (62 in.) and evenly distributed</w:t></w:r>
</w:p>
<w:p>
<w:pPr><w:pStyle w:val="Normal"/></w:pPr>
<w:r><w:t xml:space="preserve">through the rest of the state (about 52 in.).  During each</w:t></w:r>
</w:p>
<w:p>
<w:pPr><w:pStyle w:val="Normal"/></w:pPr>
<w:r><w:t xml:space="preserve">winter there is usually one fall of snow in the S. and two</w:t></w:r>
</w:p>
<w:p>
<w:pPr><w:pStyle w:val="Normal"/></w:pPr>
<w:r><w:t xml:space="preserve">in the N.; but the snow quickly disappears, and sometimes,</w:t></w:r>
</w:p>
<w:p>
<w:pPr><w:pStyle w:val="Normal"/></w:pPr>
<w:r><w:t xml:space="preserve">during&apos; an entire winter, the ground is not covered with</w:t></w:r>
</w:p>
<w:p>
<w:pPr><w:pStyle w:val="Normal"/></w:pPr>
<w:r><w:t xml:space="preserve">snow.  Hail-storms occur in the spring and summer, but are seldom</w:t></w:r>
</w:p>
<w:p>
<w:pPr><w:pStyle w:val="Normal"/></w:pPr>
<w:r><w:t xml:space="preserve">destructive.  Heavy fogs are rare, and are confined chiefly</w:t></w:r>
</w:p>
<w:p>
<w:pPr><w:pStyle w:val="Normal"/></w:pPr>
<w:r><w:t xml:space="preserve">to the coast.  Thunderstorms occur throughout the year, but</w:t></w:r>
</w:p>
<w:p>
<w:pPr><w:pStyle w:val="Normal"/></w:pPr>
<w:r><w:t xml:space="preserve">are most common in the summer.  The prevailing winds are from</w:t></w:r>
</w:p>
<w:p>
<w:pPr><w:pStyle w:val="Normal"/></w:pPr>
<w:r><w:t xml:space="preserve">the S. As regards its soil, Alabama may be divided into four</w:t></w:r>
</w:p>
<w:p>
<w:pPr><w:pStyle w:val="Normal"/></w:pPr>
<w:r><w:t xml:space="preserve">regions.  Extending from the Gulf northward for one hundred</w:t></w:r>
</w:p>
<w:p>
<w:pPr><w:pStyle w:val="Normal"/></w:pPr>
<w:r><w:t xml:space="preserve">and fifty miles is the outer belt of the Coastal Plain,</w:t></w:r>
</w:p>
<w:p>
<w:pPr><w:pStyle w:val="Normal"/></w:pPr>
<w:r><w:t xml:space="preserve">also called the ``Timber Belt,&apos;&apos; whose soil is sandy and</w:t></w:r>
</w:p>
<w:p>
<w:pPr><w:pStyle w:val="Normal"/></w:pPr>
<w:r><w:t xml:space="preserve">poor, but responds well to fertilization.  North of this</w:t></w:r>
</w:p>
<w:p>
<w:pPr><w:pStyle w:val="Normal"/></w:pPr>
<w:r><w:t xml:space="preserve">is the inner lowland of the Coastal Plain, or the ``Black</w:t></w:r>
</w:p>
<w:p>
<w:pPr><w:pStyle w:val="Normal"/></w:pPr>
<w:r><w:t xml:space="preserve">Prairie,&apos;&apos; which includes some 13,000 sq. m. and seventeen</w:t></w:r>
</w:p>
<w:p>
<w:pPr><w:pStyle w:val="Normal"/></w:pPr>
<w:r><w:t xml:space="preserve">counties.  It receives its name from its soil (weathered from</w:t></w:r>
</w:p>
<w:p>
<w:pPr><w:pStyle w:val="Normal"/></w:pPr>
<w:r><w:t xml:space="preserve">the weak underlying limestone), which is black in colour,</w:t></w:r>
</w:p>
<w:p>
<w:pPr><w:pStyle w:val="Normal"/></w:pPr>
<w:r><w:t xml:space="preserve">almost destitute of sand and loam, and rich in limestone</w:t></w:r>
</w:p>
<w:p>
<w:pPr><w:pStyle w:val="Normal"/></w:pPr>
<w:r><w:t xml:space="preserve">and marl formations, especially adapted to the production</w:t></w:r>
</w:p>
<w:p>
<w:pPr><w:pStyle w:val="Normal"/></w:pPr>
<w:r><w:t xml:space="preserve">of cotton; hence the region is also called the ``Cotton</w:t></w:r>
</w:p>
<w:p>
<w:pPr><w:pStyle w:val="Normal"/></w:pPr>
<w:r><w:t xml:space="preserve">Belt.&apos;&apos; Between the ``Cotton Belt&apos;&apos; and the Tennessee Valley</w:t></w:r>
</w:p>
<w:p>
<w:pPr><w:pStyle w:val="Normal"/></w:pPr>
<w:r><w:t xml:space="preserve">is the mineral region, the ``Old Land&apos;&apos; area---``a region of</w:t></w:r>
</w:p>
<w:p>
<w:pPr><w:pStyle w:val="Normal"/></w:pPr>
<w:r><w:t xml:space="preserve">resistant rocks&apos;&apos;--whose soils, also derived from weathering</w:t></w:r>
</w:p>
<w:p>
<w:pPr><w:pStyle w:val="Normal"/></w:pPr>
<w:r><w:t xml:space="preserve">in silu, are of varied fertility, the best coming from the</w:t></w:r>
</w:p>
<w:p>
<w:pPr><w:pStyle w:val="Normal"/></w:pPr>
<w:r><w:t xml:space="preserve">granites, sandstones and limestones, the poorest from the</w:t></w:r>
</w:p>
<w:p>
<w:pPr><w:pStyle w:val="Normal"/></w:pPr>
<w:r><w:t xml:space="preserve">gneisses, schists and slates.  North of the mineral region</w:t></w:r>
</w:p>
<w:p>
<w:pPr><w:pStyle w:val="Normal"/></w:pPr>
<w:r><w:t xml:space="preserve">is the ``Cereal Belt,&apos;&apos; embracing the Tennessee Valley and</w:t></w:r>
</w:p>
<w:p>
<w:pPr><w:pStyle w:val="Normal"/></w:pPr>
<w:r><w:t xml:space="preserve">the counties beyond, whose richest soils are the red clays</w:t></w:r>
</w:p>
<w:p>
<w:pPr><w:pStyle w:val="Normal"/></w:pPr>
<w:r><w:t xml:space="preserve">and dark loams of the river valley; north of which are less</w:t></w:r>
</w:p>
<w:p>
<w:pPr><w:pStyle w:val="Normal"/></w:pPr>
<w:r><w:t xml:space="preserve">fertile soils, produced by siliceous and sandstone formations.</w:t></w:r>
</w:p>
<w:p>
<w:pPr><w:pStyle w:val="Normal"/></w:pPr>
<w:r><w:t xml:space="preserve">Agriculture.---Agriculture is the principal occupation in</w:t></w:r>
</w:p>
<w:p>
<w:pPr><w:pStyle w:val="Normal"/></w:pPr>
<w:r><w:t xml:space="preserve">Alabama, giving employment to 64.5% of the population.  The</w:t></w:r>
</w:p>
<w:p>
<w:pPr><w:pStyle w:val="Normal"/></w:pPr>
<w:r><w:t xml:space="preserve">farm acreage in 1900 was 20,685,427 acres (62% of the entire</w:t></w:r>
</w:p>
<w:p>
<w:pPr><w:pStyle w:val="Normal"/></w:pPr>
<w:r><w:t xml:space="preserve">surface of the state), of which 8,654,991 acres (41.8%) were</w:t></w:r>
</w:p>
<w:p>
<w:pPr><w:pStyle w:val="Normal"/></w:pPr>
<w:r><w:t xml:space="preserve">improved.  Under the system of slave labour which existed</w:t></w:r>
</w:p>
<w:p>
<w:pPr><w:pStyle w:val="Normal"/></w:pPr>
<w:r><w:t xml:space="preserve">before 1860, the average size of the plantations tended to</w:t></w:r>
</w:p>
<w:p>
<w:pPr><w:pStyle w:val="Normal"/></w:pPr>
<w:r><w:t xml:space="preserve">increase, but since 1860 the reverse has been true, the</w:t></w:r>
</w:p>
<w:p>
<w:pPr><w:pStyle w:val="Normal"/></w:pPr>
<w:r><w:t xml:space="preserve">average plantation in 1860 being 346 acres, and in 190092.7</w:t></w:r>
</w:p>
<w:p>
<w:pPr><w:pStyle w:val="Normal"/></w:pPr>
<w:r><w:t xml:space="preserve">acres.  The average value per acre of farm land was $11.86</w:t></w:r>
</w:p>
<w:p>
<w:pPr><w:pStyle w:val="Normal"/></w:pPr>
<w:r><w:t xml:space="preserve">in 1860 and $8,67 in 1900.  As to method of cultivation,</w:t></w:r>
</w:p>
<w:p>
<w:pPr><w:pStyle w:val="Normal"/></w:pPr>
<w:r><w:t xml:space="preserve">36.3 per cent of the farms were in 1900 managed by the</w:t></w:r>
</w:p>
<w:p>
<w:pPr><w:pStyle w:val="Normal"/></w:pPr>
<w:r><w:t xml:space="preserve">owners, 33.3% by cash renters, 24.4(R by share tenants, and</w:t></w:r>
</w:p>
<w:p>
<w:pPr><w:pStyle w:val="Normal"/></w:pPr>
<w:r><w:t xml:space="preserve">the remaining 6% by other methods.  The chief product is</w:t></w:r>
</w:p>
<w:p>
<w:pPr><w:pStyle w:val="Normal"/></w:pPr>
<w:r><w:t xml:space="preserve">cotton, cultivated extensively in the ``Black Belt&apos;&apos; and</w:t></w:r>
</w:p>
<w:p>
<w:pPr><w:pStyle w:val="Normal"/></w:pPr>
<w:r><w:t xml:space="preserve">less extensively in the other portions of the state.  Cotton</w:t></w:r>
</w:p>
<w:p>
<w:pPr><w:pStyle w:val="Normal"/></w:pPr>
<w:r><w:t xml:space="preserve">has always been the principal source of wealth, the amount</w:t></w:r>
</w:p>
<w:p>
<w:pPr><w:pStyle w:val="Normal"/></w:pPr>
<w:r><w:t xml:space="preserve">of its exports at Mobile increasing from 7000 bales in 1818</w:t></w:r>
</w:p>
<w:p>
<w:pPr><w:pStyle w:val="Normal"/></w:pPr>
<w:r><w:t xml:space="preserve">to 25,000 bales in 1821, and the total product of the state</w:t></w:r>
</w:p>
<w:p>
<w:pPr><w:pStyle w:val="Normal"/></w:pPr>
<w:r><w:t xml:space="preserve">in 1840 being double that of 1830.  This was accompanied</w:t></w:r>
</w:p>
<w:p>
<w:pPr><w:pStyle w:val="Normal"/></w:pPr>
<w:r><w:t xml:space="preserve">by an extensive employment of slave labour, and from 1820</w:t></w:r>
</w:p>
<w:p>
<w:pPr><w:pStyle w:val="Normal"/></w:pPr>
<w:r><w:t xml:space="preserve">until 1860 the rate of increase of the blacks was greater</w:t></w:r>
</w:p>
<w:p>
<w:pPr><w:pStyle w:val="Normal"/></w:pPr>
<w:r><w:t xml:space="preserve">than that of the whites.  The success of the economic system</w:t></w:r>
</w:p>
<w:p>
<w:pPr><w:pStyle w:val="Normal"/></w:pPr>
<w:r><w:t xml:space="preserve">was such that in 1860 the cotton crop of Alabama was nearly</w:t></w:r>
</w:p>
<w:p>
<w:pPr><w:pStyle w:val="Normal"/></w:pPr>
<w:r><w:t xml:space="preserve">1,000,o00 bales (989,955 bales), being 18.4% of the entire</w:t></w:r>
</w:p>
<w:p>
<w:pPr><w:pStyle w:val="Normal"/></w:pPr>
<w:r><w:t xml:space="preserve">cotton product of the United States.  The disorganization of</w:t></w:r>
</w:p>
<w:p>
<w:pPr><w:pStyle w:val="Normal"/></w:pPr>
<w:r><w:t xml:space="preserve">labour resulting from the Civil War and the emancipation of</w:t></w:r>
</w:p>
<w:p>
<w:pPr><w:pStyle w:val="Normal"/></w:pPr>
<w:r><w:t xml:space="preserve">slaves, was the cause of a temporary decline in the cotton</w:t></w:r>
</w:p>
<w:p>
<w:pPr><w:pStyle w:val="Normal"/></w:pPr>
<w:r><w:t xml:space="preserve">crop.  In 1889 the crop again approximated to 1,000,000 bales</w:t></w:r>
</w:p>
<w:p>
<w:pPr><w:pStyle w:val="Normal"/></w:pPr>
<w:r><w:t xml:space="preserve">(915,210 bales, being 12.2% of the entire crop of the United</w:t></w:r>
</w:p>
<w:p>
<w:pPr><w:pStyle w:val="Normal"/></w:pPr>
<w:r><w:t xml:space="preserve">States), and in 1899 it exceeded that amount, Alabama being</w:t></w:r>
</w:p>
<w:p>
<w:pPr><w:pStyle w:val="Normal"/></w:pPr>
<w:r><w:t xml:space="preserve">fourth among the states of the entire country.  The total value</w:t></w:r>
</w:p>
<w:p>
<w:pPr><w:pStyle w:val="Normal"/></w:pPr>
<w:r><w:t xml:space="preserve">of the farm products of Alabama in 1899 was $91,387,409; in</w:t></w:r>
</w:p>
<w:p>
<w:pPr><w:pStyle w:val="Normal"/></w:pPr>
<w:r><w:t xml:space="preserve">1889, $66,240,190; and in 1879, $56,872,994.  The average</w:t></w:r>
</w:p>
<w:p>
<w:pPr><w:pStyle w:val="Normal"/></w:pPr>
<w:r><w:t xml:space="preserve">yield per acre has also increased under the system of free</w:t></w:r>
</w:p>
<w:p>
<w:pPr><w:pStyle w:val="Normal"/></w:pPr>
<w:r><w:t xml:space="preserve">labour.  In recent years there has been a tendency to diversify</w:t></w:r>
</w:p>
<w:p>
<w:pPr><w:pStyle w:val="Normal"/></w:pPr>
<w:r><w:t xml:space="preserve">crops Indian corn, wheat and oats being mised extensively in</w:t></w:r>
</w:p>
<w:p>
<w:pPr><w:pStyle w:val="Normal"/></w:pPr>
<w:r><w:t xml:space="preserve">the ``Cereal Belt.&apos;&apos; In 1906, according to the Year-Book</w:t></w:r>
</w:p>
<w:p>
<w:pPr><w:pStyle w:val="Normal"/></w:pPr>
<w:r><w:t xml:space="preserve">of the Department of Agriculture, the following were the</w:t></w:r>
</w:p>
<w:p>
<w:pPr><w:pStyle w:val="Normal"/></w:pPr>
<w:r><w:t xml:space="preserve">acreages, yields and values of Alabama&apos;s more important</w:t></w:r>
</w:p>
<w:p>
<w:pPr><w:pStyle w:val="Normal"/></w:pPr>
<w:r><w:t xml:space="preserve">crops (excepting cotton):---Indian corn, 2,990,387 acres,</w:t></w:r>
</w:p>
<w:p>
<w:pPr><w:pStyle w:val="Normal"/></w:pPr>
<w:r><w:t xml:space="preserve">47,849,392 bushels, $30,623,611; wheat, 98,639 acres, 1,085,029</w:t></w:r>
</w:p>
<w:p>
<w:pPr><w:pStyle w:val="Normal"/></w:pPr>
<w:r><w:t xml:space="preserve">bushels, $1,019,927; oats, 184,179 acres, 3,167,879 bushels,</w:t></w:r>
</w:p>
<w:p>
<w:pPr><w:pStyle w:val="Normal"/></w:pPr>
<w:r><w:t xml:space="preserve">$1,615,618; hay, 56,350 acres, 109,882 tons, $1,461,431 .</w:t></w:r>
</w:p>
<w:p>
<w:pPr><w:pStyle w:val="Normal"/></w:pPr>
<w:r><w:t xml:space="preserve">Minerals.--The chief feature of Alabama&apos;s industrial life</w:t></w:r>
</w:p>
<w:p>
<w:pPr><w:pStyle w:val="Normal"/></w:pPr>
<w:r><w:t xml:space="preserve">since 1880 has been the exploitation of her iron and coal</w:t></w:r>
</w:p>
<w:p>
<w:pPr><w:pStyle w:val="Normal"/></w:pPr>
<w:r><w:t xml:space="preserve">resources.  The iron ore (found chiefly in the region of</w:t></w:r>
</w:p>
<w:p>
<w:pPr><w:pStyle w:val="Normal"/></w:pPr>
<w:r><w:t xml:space="preserve">which Birmingham is the centre) is primarily red haematite</w:t></w:r>
</w:p>
<w:p>
<w:pPr><w:pStyle w:val="Normal"/></w:pPr>
<w:r><w:t xml:space="preserve">and (much less important) brown haematite; though as regards</w:t></w:r>
</w:p>
<w:p>
<w:pPr><w:pStyle w:val="Normal"/></w:pPr>
<w:r><w:t xml:space="preserve">the latter Alabama ranked first among the states of the</w:t></w:r>
</w:p>
<w:p>
<w:pPr><w:pStyle w:val="Normal"/></w:pPr>
<w:r><w:t xml:space="preserve">Union in 1905 (with 781,561 tons).  The total production of</w:t></w:r>
</w:p>
<w:p>
<w:pPr><w:pStyle w:val="Normal"/></w:pPr>
<w:r><w:t xml:space="preserve">all classes of iron ores was 3,782,831 tons in 1905, Alabama</w:t></w:r>
</w:p>
<w:p>
<w:pPr><w:pStyle w:val="Normal"/></w:pPr>
<w:r><w:t xml:space="preserve">ranking third in the Union in this respect.  The production</w:t></w:r>
</w:p>
<w:p>
<w:pPr><w:pStyle w:val="Normal"/></w:pPr>
<w:r><w:t xml:space="preserve">of bituminous coal has also increased very rapidly.  Coal</w:t></w:r>
</w:p>
<w:p>
<w:pPr><w:pStyle w:val="Normal"/></w:pPr>
<w:r><w:t xml:space="preserve">was first discovered in the state in 1834, and in 1840 the</w:t></w:r>
</w:p>
<w:p>
<w:pPr><w:pStyle w:val="Normal"/></w:pPr>
<w:r><w:t xml:space="preserve">total production was 946 tons; in 1870 it was 13,200 short</w:t></w:r>
</w:p>
<w:p>
<w:pPr><w:pStyle w:val="Normal"/></w:pPr>
<w:r><w:t xml:space="preserve">tons.  The real development of the mines began in 1881 and</w:t></w:r>
</w:p>
<w:p>
<w:pPr><w:pStyle w:val="Normal"/></w:pPr>
<w:r><w:t xml:space="preserve">1882, and the product increased from 420,000 tons in 1881</w:t></w:r>
</w:p>
<w:p>
<w:pPr><w:pStyle w:val="Normal"/></w:pPr>
<w:r><w:t xml:space="preserve">to 1,568,000 in 1883.  By 1890 it had increased to 4,090,409</w:t></w:r>
</w:p>
<w:p>
<w:pPr><w:pStyle w:val="Normal"/></w:pPr>
<w:r><w:t xml:space="preserve">tons, by 1900 to 8,394,275 tons, and by 1905 to 11,866,069</w:t></w:r>
</w:p>
<w:p>
<w:pPr><w:pStyle w:val="Normal"/></w:pPr>
<w:r><w:t xml:space="preserve">tons, valued at $14,387,721, making Alabama sixth of the</w:t></w:r>
</w:p>
<w:p>
<w:pPr><w:pStyle w:val="Normal"/></w:pPr>
<w:r><w:t xml:space="preserve">coal-producing states.  Nearly 85% of the coal is produced</w:t></w:r>
</w:p>
<w:p>
<w:pPr><w:pStyle w:val="Normal"/></w:pPr>
<w:r><w:t xml:space="preserve">in three counties (Jefferson, Walker and Bibb), though the</w:t></w:r>
</w:p>
<w:p>
<w:pPr><w:pStyle w:val="Normal"/></w:pPr>
<w:r><w:t xml:space="preserve">coalbearing formations cover about 40% of the northern half</w:t></w:r>
</w:p>
<w:p>
<w:pPr><w:pStyle w:val="Normal"/></w:pPr>
<w:r><w:t xml:space="preserve">of the state.  Gold, silver, lead, copper, tin and bauxite</w:t></w:r>
</w:p>
<w:p>
<w:pPr><w:pStyle w:val="Normal"/></w:pPr>
<w:r><w:t xml:space="preserve">have also been discovered, but the greater richness of the</w:t></w:r>
</w:p>
<w:p>
<w:pPr><w:pStyle w:val="Normal"/></w:pPr>
<w:r><w:t xml:space="preserve">iron and coal deposits has prevented their development.</w:t></w:r>
</w:p>
<w:p>
<w:pPr><w:pStyle w:val="Normal"/></w:pPr>
<w:r><w:t xml:space="preserve">Manufactures.---The growth of manufactures in Alabama</w:t></w:r>
</w:p>
<w:p>
<w:pPr><w:pStyle w:val="Normal"/></w:pPr>
<w:r><w:t xml:space="preserve">has been as remarkable as the revelation of mineral</w:t></w:r>
</w:p>
<w:p>
<w:pPr><w:pStyle w:val="Normal"/></w:pPr>
<w:r><w:t xml:space="preserve">wealth.  In 1880 the capital invested in manufactures was</w:t></w:r>
</w:p>
<w:p>
<w:pPr><w:pStyle w:val="Normal"/></w:pPr>
<w:r><w:t xml:space="preserve">$9,668,008, little more than that ($9,098,181) in 1860;</w:t></w:r>
</w:p>
<w:p>
<w:pPr><w:pStyle w:val="Normal"/></w:pPr>
<w:r><w:t xml:space="preserve">by 1890 it had increased to $46,122,571, or 377.1%; and</w:t></w:r>
</w:p>
<w:p>
<w:pPr><w:pStyle w:val="Normal"/></w:pPr>
<w:r><w:t xml:space="preserve">in 1900 it amounted to $70,370,081, or 52.6% more than in</w:t></w:r>
</w:p>
<w:p>
<w:pPr><w:pStyle w:val="Normal"/></w:pPr>
<w:r><w:t xml:space="preserve">1890.  On account of the proximity of coal, iron and</w:t></w:r>
</w:p>
<w:p>
<w:pPr><w:pStyle w:val="Normal"/></w:pPr>
<w:r><w:t xml:space="preserve">limestone, the manufactures of iron and steel are the most</w:t></w:r>
</w:p>
<w:p>
<w:pPr><w:pStyle w:val="Normal"/></w:pPr>
<w:r><w:t xml:space="preserve">extensive.  In 1895 it was demonstrated that Alabama pig-iron</w:t></w:r>
</w:p>
<w:p>
<w:pPr><w:pStyle w:val="Normal"/></w:pPr>
<w:r><w:t xml:space="preserve">could be sent to Liverpool and sold cheaper than the English</w:t></w:r>
</w:p>
<w:p>
<w:pPr><w:pStyle w:val="Normal"/></w:pPr>
<w:r><w:t xml:space="preserve">product, and Birmingham (Alabama) came consequently to rank</w:t></w:r>
</w:p>
<w:p>
<w:pPr><w:pStyle w:val="Normal"/></w:pPr>
<w:r><w:t xml:space="preserve">next to Middlesborough and Glasgow among the world centres</w:t></w:r>
</w:p>
<w:p>
<w:pPr><w:pStyle w:val="Normal"/></w:pPr>
<w:r><w:t xml:space="preserve">of the pig-iron trade.  The pig-iron produced in the state</w:t></w:r>
</w:p>
<w:p>
<w:pPr><w:pStyle w:val="Normal"/></w:pPr>
<w:r><w:t xml:space="preserve">in 1860 was valued at $64,590, in 1870 at $210,258, in</w:t></w:r>
</w:p>
<w:p>
<w:pPr><w:pStyle w:val="Normal"/></w:pPr>
<w:r><w:t xml:space="preserve">1880 at $1,405,356, in 1900 at $13,487,769, and in 1905 at</w:t></w:r>
</w:p>
<w:p>
<w:pPr><w:pStyle w:val="Normal"/></w:pPr>
<w:r><w:t xml:space="preserve">$16,614,577.  In the production of foundry pig-iron Alabama</w:t></w:r>
</w:p>
<w:p>
<w:pPr><w:pStyle w:val="Normal"/></w:pPr>
<w:r><w:t xml:space="preserve">held first rank both in 1900 and in 1905.  The manufacture of</w:t></w:r>
</w:p>
<w:p>
<w:pPr><w:pStyle w:val="Normal"/></w:pPr>
<w:r><w:t xml:space="preserve">steel, though in its infancy, gave promise of equalling that</w:t></w:r>
</w:p>
<w:p>
<w:pPr><w:pStyle w:val="Normal"/></w:pPr>
<w:r><w:t xml:space="preserve">of iron, and the coke industry is also Of growing importance,</w:t></w:r>
</w:p>
<w:p>
<w:pPr><w:pStyle w:val="Normal"/></w:pPr>
<w:r><w:t xml:space="preserve">the product of Alabama during the five years from 1896 to 1901</w:t></w:r>
</w:p>
<w:p>
<w:pPr><w:pStyle w:val="Normal"/></w:pPr>
<w:r><w:t xml:space="preserve">showing a greater increase, relatively, than that of the other</w:t></w:r>
</w:p>
<w:p>
<w:pPr><w:pStyle w:val="Normal"/></w:pPr>
<w:r><w:t xml:space="preserve">states.  In 1900 the state ranked sixth and in 1905 fifth</w:t></w:r>
</w:p>
<w:p>
<w:pPr><w:pStyle w:val="Normal"/></w:pPr>
<w:r><w:t xml:space="preserve">among the states of the United States in the manufactures</w:t></w:r>
</w:p>
<w:p>
<w:pPr><w:pStyle w:val="Normal"/></w:pPr>
<w:r><w:t xml:space="preserve">of iron and steel.  In 1905 the value of the product was</w:t></w:r>
</w:p>
<w:p>
<w:pPr><w:pStyle w:val="Normal"/></w:pPr>
<w:r><w:t xml:space="preserve">2.7% of the value of the total iron and steel product of the</w:t></w:r>
</w:p>
<w:p>
<w:pPr><w:pStyle w:val="Normal"/></w:pPr>
<w:r><w:t xml:space="preserve">country, and 22.6% of the value of all the state&apos;s factory</w:t></w:r>
</w:p>
<w:p>
<w:pPr><w:pStyle w:val="Normal"/></w:pPr>
<w:r><w:t xml:space="preserve">products.  In 1900 and in 1905 Alabama ranked second among</w:t></w:r>
</w:p>
<w:p>
<w:pPr><w:pStyle w:val="Normal"/></w:pPr>
<w:r><w:t xml:space="preserve">the states of the Union in the production of coke, its product</w:t></w:r>
</w:p>
<w:p>
<w:pPr><w:pStyle w:val="Normal"/></w:pPr>
<w:r><w:t xml:space="preserve">being more than one-tenth of that for the whole country, and</w:t></w:r>
</w:p>
<w:p>
<w:pPr><w:pStyle w:val="Normal"/></w:pPr>
<w:r><w:t xml:space="preserve">more than one-twentieth (5.2% in 1000; 5.7% in 1905) of all</w:t></w:r>
</w:p>
<w:p>
<w:pPr><w:pStyle w:val="Normal"/></w:pPr>
<w:r><w:t xml:space="preserve">the factory products of the state.  The demand for coke is</w:t></w:r>
</w:p>
<w:p>
<w:pPr><w:pStyle w:val="Normal"/></w:pPr>
<w:r><w:t xml:space="preserve">due to the rapidly growing iron and steel industry.  Great</w:t></w:r>
</w:p>
<w:p>
<w:pPr><w:pStyle w:val="Normal"/></w:pPr>
<w:r><w:t xml:space="preserve">possibilities were also shown for the production of lumber and</w:t></w:r>
</w:p>
<w:p>
<w:pPr><w:pStyle w:val="Normal"/></w:pPr>
<w:r><w:t xml:space="preserve">naval stores.  Approximately three-fourths of the total area</w:t></w:r>
</w:p>
<w:p>
<w:pPr><w:pStyle w:val="Normal"/></w:pPr>
<w:r><w:t xml:space="preserve">of the state is woodland.  In the ``Timber Belt&apos;&apos; the forests</w:t></w:r>
</w:p>
<w:p>
<w:pPr><w:pStyle w:val="Normal"/></w:pPr>
<w:r><w:t xml:space="preserve">of long leaf pine have an estimated stand of 21,192 million</w:t></w:r>
</w:p>
<w:p>
<w:pPr><w:pStyle w:val="Normal"/></w:pPr>
<w:r><w:t xml:space="preserve">ft.; and in 1905 the product of sawed lumber was valued at</w:t></w:r>
</w:p>
<w:p>
<w:pPr><w:pStyle w:val="Normal"/></w:pPr>
<w:r><w:t xml:space="preserve">$13,563,815.  Of this, yellow pine represented $11,320,909,</w:t></w:r>
</w:p>
<w:p>
<w:pPr><w:pStyle w:val="Normal"/></w:pPr>
<w:r><w:t xml:space="preserve">oak $886,746, and poplar $627,686.  In the decade 1890-1900</w:t></w:r>
</w:p>
<w:p>
<w:pPr><w:pStyle w:val="Normal"/></w:pPr>
<w:r><w:t xml:space="preserve">the number of turpentine factories increased from 7 to</w:t></w:r>
</w:p>
<w:p>
<w:pPr><w:pStyle w:val="Normal"/></w:pPr>
<w:r><w:t xml:space="preserve">152, and their product in 1900 and in 1905 ranked Alabama</w:t></w:r>
</w:p>
<w:p>
<w:pPr><w:pStyle w:val="Normal"/></w:pPr>
<w:r><w:t xml:space="preserve">third among the states in that industry.  The value of the</w:t></w:r>
</w:p>
<w:p>
<w:pPr><w:pStyle w:val="Normal"/></w:pPr>
<w:r><w:t xml:space="preserve">turpentine and rosin products in 1905 was $ 2,434,365 .</w:t></w:r>
</w:p>
<w:p>
<w:pPr><w:pStyle w:val="Normal"/></w:pPr>
<w:r><w:t xml:space="preserve">The manufacture of cotton goods has also developed rapidly.</w:t></w:r>
</w:p>
<w:p>
<w:pPr><w:pStyle w:val="Normal"/></w:pPr>
<w:r><w:t xml:space="preserve">As late as 1890 there were only 13 cotton mills in Alabama,</w:t></w:r>
</w:p>
<w:p>
<w:pPr><w:pStyle w:val="Normal"/></w:pPr>
<w:r><w:t xml:space="preserve">one more than the number in 1850; in 19-0 there were 31,</w:t></w:r>
</w:p>
<w:p>
<w:pPr><w:pStyle w:val="Normal"/></w:pPr>
<w:r><w:t xml:space="preserve">representing a capital of $11,638,757 and an annual product</w:t></w:r>
</w:p>
<w:p>
<w:pPr><w:pStyle w:val="Normal"/></w:pPr>
<w:r><w:t xml:space="preserve">valued at $8,153,136, an increase of 272. 2% Over the product</w:t></w:r>
</w:p>
<w:p>
<w:pPr><w:pStyle w:val="Normal"/></w:pPr>
<w:r><w:t xml:space="preserve">($2,190,771) of 1890; in 1905 there wers 46 establishments,</w:t></w:r>
</w:p>
<w:p>
<w:pPr><w:pStyle w:val="Normal"/></w:pPr>
<w:r><w:t xml:space="preserve">representing a capital of $24,758,049 (an increase of</w:t></w:r>
</w:p>
<w:p>
<w:pPr><w:pStyle w:val="Normal"/></w:pPr>
<w:r><w:t xml:space="preserve">112`7% over that of 1900), and having a product (for the</w:t></w:r>
</w:p>
<w:p>
<w:pPr><w:pStyle w:val="Normal"/></w:pPr>
<w:r><w:t xml:space="preserve">year) of $16,760,332, an increase of 105.6% over that for</w:t></w:r>
</w:p>
<w:p>
<w:pPr><w:pStyle w:val="Normal"/></w:pPr>
<w:r><w:t xml:space="preserve">1900.  To encourage the establishment of cotton mills the</w:t></w:r>
</w:p>
<w:p>
<w:pPr><w:pStyle w:val="Normal"/></w:pPr>
<w:r><w:t xml:space="preserve">legislature of 1896-1897 exempted from taxation during the</w:t></w:r>
</w:p>
<w:p>
<w:pPr><w:pStyle w:val="Normal"/></w:pPr>
<w:r><w:t xml:space="preserve">succeeding ten years all capital that should be invested in</w:t></w:r>
</w:p>
<w:p>
<w:pPr><w:pStyle w:val="Normal"/></w:pPr>
<w:r><w:t xml:space="preserve">the manufacture of cotton, provided that $50,000 or more be</w:t></w:r>
</w:p>
<w:p>
<w:pPr><w:pStyle w:val="Normal"/></w:pPr>
<w:r><w:t xml:space="preserve">invested in buildings and machinery.  Other industries of</w:t></w:r>
</w:p>
<w:p>
<w:pPr><w:pStyle w:val="Normal"/></w:pPr>
<w:r><w:t xml:space="preserve">less importance are flour, fertilizers and tanned leather.</w:t></w:r>
</w:p>
<w:p>
<w:pPr><w:pStyle w:val="Normal"/></w:pPr>
<w:r><w:t xml:space="preserve">Communications.---The navigable mileage of the Alabama</w:t></w:r>
</w:p>
<w:p>
<w:pPr><w:pStyle w:val="Normal"/></w:pPr>
<w:r><w:t xml:space="preserve">rivers is 2000 m., but obstructions often prevent the formation</w:t></w:r>
</w:p>
<w:p>
<w:pPr><w:pStyle w:val="Normal"/></w:pPr>
<w:r><w:t xml:space="preserve">of a continuous route, notably the ``Muscle Shoals&apos;&apos; of the</w:t></w:r>
</w:p>
<w:p>
<w:pPr><w:pStyle w:val="Normal"/></w:pPr>
<w:r><w:t xml:space="preserve">Tennessee, extending from a point 10 m. below Decatur to</w:t></w:r>
</w:p>
<w:p>
<w:pPr><w:pStyle w:val="Normal"/></w:pPr>
<w:r><w:t xml:space="preserve">Florence, a distance of 38 m.  To remove or circumvent these</w:t></w:r>
</w:p>
<w:p>
<w:pPr><w:pStyle w:val="Normal"/></w:pPr>
<w:r><w:t xml:space="preserve">impediments, and to improve the Mobile harbour, the United</w:t></w:r>
</w:p>
<w:p>
<w:pPr><w:pStyle w:val="Normal"/></w:pPr>
<w:r><w:t xml:space="preserve">States government spent, between 1870 and 1904, approximately</w:t></w:r>
</w:p>
<w:p>
<w:pPr><w:pStyle w:val="Normal"/></w:pPr>
<w:r><w:t xml:space="preserve">$12,000,000: As the streams in the mineral region are not</w:t></w:r>
</w:p>
<w:p>
<w:pPr><w:pStyle w:val="Normal"/></w:pPr>
<w:r><w:t xml:space="preserve">navigable, the railways are the carriers of its products.2</w:t></w:r>
</w:p>
<w:p>
<w:pPr><w:pStyle w:val="Normal"/></w:pPr>
<w:r><w:t xml:space="preserve">Here all the large systems of the southern states find an</w:t></w:r>
</w:p>
<w:p>
<w:pPr><w:pStyle w:val="Normal"/></w:pPr>
<w:r><w:t xml:space="preserve">entrance, the Mobile &amp; Ohio, the Southern (Queen &amp; Crescent</w:t></w:r>
</w:p>
<w:p>
<w:pPr><w:pStyle w:val="Normal"/></w:pPr>
<w:r><w:t xml:space="preserve">Route), the Louisville &amp; Nashville, and the Frisco system</w:t></w:r>
</w:p>
<w:p>
<w:pPr><w:pStyle w:val="Normal"/></w:pPr>
<w:r><w:t xml:space="preserve">affording communication with the Mississippi and the</w:t></w:r>
</w:p>
<w:p>
<w:pPr><w:pStyle w:val="Normal"/></w:pPr>
<w:r><w:t xml:space="preserve">west, and the Southern, Seaboard Air Line, Atlantic Coast</w:t></w:r>
</w:p>
<w:p>
<w:pPr><w:pStyle w:val="Normal"/></w:pPr>
<w:r><w:t xml:space="preserve">Line, and the Central of Georgia forming connexions with</w:t></w:r>
</w:p>
<w:p>
<w:pPr><w:pStyle w:val="Normal"/></w:pPr>
<w:r><w:t xml:space="preserve">northern and Atlantic states.  Mobile, the only seaport of</w:t></w:r>
</w:p>
<w:p>
<w:pPr><w:pStyle w:val="Normal"/></w:pPr>
<w:r><w:t xml:space="preserve">the state, has a channel 30 ft. deep, on which the national</w:t></w:r>
</w:p>
<w:p>
<w:pPr><w:pStyle w:val="Normal"/></w:pPr>
<w:r><w:t xml:space="preserve">government spends large sums of money; yet an increasing</w:t></w:r>
</w:p>
<w:p>
<w:pPr><w:pStyle w:val="Normal"/></w:pPr>
<w:r><w:t xml:space="preserve">amount of Alabama cotton is sent to New Orleans for shipment,</w:t></w:r>
</w:p>
<w:p>
<w:pPr><w:pStyle w:val="Normal"/></w:pPr>
<w:r><w:t xml:space="preserve">and Pensacola, Florida, receives much of the lumber.</w:t></w:r>
</w:p>
<w:p>
<w:pPr><w:pStyle w:val="Normal"/></w:pPr>
<w:r><w:t xml:space="preserve">Population.---In 1880 the inhabitants of Alabama numbered</w:t></w:r>
</w:p>
<w:p>
<w:pPr><w:pStyle w:val="Normal"/></w:pPr>
<w:r><w:t xml:space="preserve">1,262,505; in 1890, 1,513,017, an increase of 17%:; in 1900,</w:t></w:r>
</w:p>
<w:p>
<w:pPr><w:pStyle w:val="Normal"/></w:pPr>
<w:r><w:t xml:space="preserve">1,828,697, a further increase of 20%. This population is</w:t></w:r>
</w:p>
<w:p>
<w:pPr><w:pStyle w:val="Normal"/></w:pPr>
<w:r><w:t xml:space="preserve">notable for its large proportion of negroes (45.23%), its</w:t></w:r>
</w:p>
<w:p>
<w:pPr><w:pStyle w:val="Normal"/></w:pPr>
<w:r><w:t xml:space="preserve">insignificant foreign element (.08%), and the small percentage</w:t></w:r>
</w:p>
<w:p>
<w:pPr><w:pStyle w:val="Normal"/></w:pPr>
<w:r><w:t xml:space="preserve">of urban inhabitants (10%).  As regards church membership,</w:t></w:r>
</w:p>
<w:p>
<w:pPr><w:pStyle w:val="Normal"/></w:pPr>
<w:r><w:t xml:space="preserve">the Baptists are much the most numerous, followed by the</w:t></w:r>
</w:p>
<w:p>
<w:pPr><w:pStyle w:val="Normal"/></w:pPr>
<w:r><w:t xml:space="preserve">Methodists, the Roman Catholics and the Presbyterians.  In</w:t></w:r>
</w:p>
<w:p>
<w:pPr><w:pStyle w:val="Normal"/></w:pPr>
<w:r><w:t xml:space="preserve">1900 there were 201 incorporated cities, towns and villages</w:t></w:r>
</w:p>
<w:p>
<w:pPr><w:pStyle w:val="Normal"/></w:pPr>
<w:r><w:t xml:space="preserve">in the state, but of these only nine had a population in</w:t></w:r>
</w:p>
<w:p>
<w:pPr><w:pStyle w:val="Normal"/></w:pPr>
<w:r><w:t xml:space="preserve">excess of 5000, and only three a population in excess of</w:t></w:r>
</w:p>
<w:p>
<w:pPr><w:pStyle w:val="Normal"/></w:pPr>
<w:r><w:t xml:space="preserve">25,000.  These three were Mobile (38,469), Birmingham</w:t></w:r>
</w:p>
<w:p>
<w:pPr><w:pStyle w:val="Normal"/></w:pPr>
<w:r><w:t xml:space="preserve">(38,415), and Montgomery (30,346), the capital of the</w:t></w:r>
</w:p>
<w:p>
<w:pPr><w:pStyle w:val="Normal"/></w:pPr>
<w:r><w:t xml:space="preserve">state.  Other important cities, with their populations, were</w:t></w:r>
</w:p>
<w:p>
<w:pPr><w:pStyle w:val="Normal"/></w:pPr>
<w:r><w:t xml:space="preserve">Selma (8713), Anniston (9695), Huntsville (8068), Bessemer</w:t></w:r>
</w:p>
<w:p>
<w:pPr><w:pStyle w:val="Normal"/></w:pPr>
<w:r><w:t xml:space="preserve">(6358), Tuscaloosa (5094), Talladega (5056), Eufaula (4532)</w:t></w:r>
</w:p>
<w:p>
<w:pPr><w:pStyle w:val="Normal"/></w:pPr>
<w:r><w:t xml:space="preserve">and Tuskegee (2170).  In 1910 the population was 2,138,003.</w:t></w:r>
</w:p>
<w:p>
<w:pPr><w:pStyle w:val="Normal"/></w:pPr>
<w:r><w:t xml:space="preserve">Government.---Alabama has been governed ui,der five</w:t></w:r>
</w:p>
<w:p>
<w:pPr><w:pStyle w:val="Normal"/></w:pPr>
<w:r><w:t xml:space="preserve">constitutions, the original constitution of 1819, the revision</w:t></w:r>
</w:p>
<w:p>
<w:pPr><w:pStyle w:val="Normal"/></w:pPr>
<w:r><w:t xml:space="preserve">of 186b, the constitutions of 1868 and 1875, and the present</w:t></w:r>
</w:p>
<w:p>
<w:pPr><w:pStyle w:val="Normal"/></w:pPr>
<w:r><w:t xml:space="preserve">constitution. which was framed in 1901.  The last has a number</w:t></w:r>
</w:p>
<w:p>
<w:pPr><w:pStyle w:val="Normal"/></w:pPr>
<w:r><w:t xml:space="preserve">of notable provisions.  It lengthened the term of service of</w:t></w:r>
</w:p>
<w:p>
<w:pPr><w:pStyle w:val="Normal"/></w:pPr>
<w:r><w:t xml:space="preserve">executive and legislative officials from two to four years,</w:t></w:r>
</w:p>
<w:p>
<w:pPr><w:pStyle w:val="Normal"/></w:pPr>
<w:r><w:t xml:space="preserve">made that of the judiciary six years, provided for quadrennial</w:t></w:r>
</w:p>
<w:p>
<w:pPr><w:pStyle w:val="Normal"/></w:pPr>
<w:r><w:t xml:space="preserve">sessions of the legislature, and introduced the office of</w:t></w:r>
</w:p>
<w:p>
<w:pPr><w:pStyle w:val="Normal"/></w:pPr>
<w:r><w:t xml:space="preserve">lieutenant-governor.  The passage of local or special bills</w:t></w:r>
</w:p>
<w:p>
<w:pPr><w:pStyle w:val="Normal"/></w:pPr>
<w:r><w:t xml:space="preserve">by the legislature was prohibited.  A provision intended to</w:t></w:r>
</w:p>
<w:p>
<w:pPr><w:pStyle w:val="Normal"/></w:pPr>
<w:r><w:t xml:space="preserve">prevent lobbying is that no one except legislators and the</w:t></w:r>
</w:p>
<w:p>
<w:pPr><w:pStyle w:val="Normal"/></w:pPr>
<w:r><w:t xml:space="preserve">representatives of the press may be admitted to the floor of</w:t></w:r>
</w:p>
<w:p>
<w:pPr><w:pStyle w:val="Normal"/></w:pPr>
<w:r><w:t xml:space="preserve">the House except by unanimous vote.  No executive official</w:t></w:r>
</w:p>
<w:p>
<w:pPr><w:pStyle w:val="Normal"/></w:pPr>
<w:r><w:t xml:space="preserve">can succeed himself in office, and the governor cannot be</w:t></w:r>
</w:p>
<w:p>
<w:pPr><w:pStyle w:val="Normal"/></w:pPr>
<w:r><w:t xml:space="preserve">elected or appointed to the United States Senate, or to any</w:t></w:r>
</w:p>
<w:p>
<w:pPr><w:pStyle w:val="Normal"/></w:pPr>
<w:r><w:t xml:space="preserve">state office during his term as governor, or within one year</w:t></w:r>
</w:p>
<w:p>
<w:pPr><w:pStyle w:val="Normal"/></w:pPr>
<w:r><w:t xml:space="preserve">thereafter.  Sheriffs whose prisoners suffer mob violence may be</w:t></w:r>
</w:p>
<w:p>
<w:pPr><w:pStyle w:val="Normal"/></w:pPr>
<w:r><w:t xml:space="preserve">impeached.  The constitution eliminated the negro from politics</w:t></w:r>
</w:p>
<w:p>
<w:pPr><w:pStyle w:val="Normal"/></w:pPr>
<w:r><w:t xml:space="preserve">by a suffrage clause which went int0 effect in 1903.  This</w:t></w:r>
</w:p>
<w:p>
<w:pPr><w:pStyle w:val="Normal"/></w:pPr>
<w:r><w:t xml:space="preserve">limits the right to vote to those who can read and write any</w:t></w:r>
</w:p>
<w:p>
<w:pPr><w:pStyle w:val="Normal"/></w:pPr>
<w:r><w:t xml:space="preserve">article of the constitution of the United States, and have</w:t></w:r>
</w:p>
<w:p>
<w:pPr><w:pStyle w:val="Normal"/></w:pPr>
<w:r><w:t xml:space="preserve">worked or been regularly engaged in some lawful employment,</w:t></w:r>
</w:p>
<w:p>
<w:pPr><w:pStyle w:val="Normal"/></w:pPr>
<w:r><w:t xml:space="preserve">business or occupation, trade or calling for the greater part</w:t></w:r>
</w:p>
<w:p>
<w:pPr><w:pStyle w:val="Normal"/></w:pPr>
<w:r><w:t xml:space="preserve">of the twelve months next preceding the time they offer to</w:t></w:r>
</w:p>
<w:p>
<w:pPr><w:pStyle w:val="Normal"/></w:pPr>
<w:r><w:t xml:space="preserve">register, unless prevented from labour or ability to read and</w:t></w:r>
</w:p>
<w:p>
<w:pPr><w:pStyle w:val="Normal"/></w:pPr>
<w:r><w:t xml:space="preserve">write by physical disability, or who own property assessed at</w:t></w:r>
</w:p>
<w:p>
<w:pPr><w:pStyle w:val="Normal"/></w:pPr>
<w:r><w:t xml:space="preserve">$300 upon which the taxes have been paid; but those who have</w:t></w:r>
</w:p>
<w:p>
<w:pPr><w:pStyle w:val="Normal"/></w:pPr>
<w:r><w:t xml:space="preserve">served in the army or navy of the United States or of the</w:t></w:r>
</w:p>
<w:p>
<w:pPr><w:pStyle w:val="Normal"/></w:pPr>
<w:r><w:t xml:space="preserve">Confederate States in time of war, their lawful descendants in</w:t></w:r>
</w:p>
<w:p>
<w:pPr><w:pStyle w:val="Normal"/></w:pPr>
<w:r><w:t xml:space="preserve">every degree, and persons of good character ``who understand</w:t></w:r>
</w:p>
<w:p>
<w:pPr><w:pStyle w:val="Normal"/></w:pPr>
<w:r><w:t xml:space="preserve">the duties and obligations of citizenship under a republican</w:t></w:r>
</w:p>
<w:p>
<w:pPr><w:pStyle w:val="Normal"/></w:pPr>
<w:r><w:t xml:space="preserve">form of government,&apos;&apos; are relieved from the operation of this</w:t></w:r>
</w:p>
<w:p>
<w:pPr><w:pStyle w:val="Normal"/></w:pPr>
<w:r><w:t xml:space="preserve">law provided they registered prior to the 20th of December</w:t></w:r>
</w:p>
<w:p>
<w:pPr><w:pStyle w:val="Normal"/></w:pPr>
<w:r><w:t xml:space="preserve">1902.  The second of these exceptions is known as the</w:t></w:r>
</w:p>
<w:p>
<w:pPr><w:pStyle w:val="Normal"/></w:pPr>
<w:r><w:t xml:space="preserve">``Grandfather Clause.&apos;&apos; No man may vote in any election who</w:t></w:r>
</w:p>
<w:p>
<w:pPr><w:pStyle w:val="Normal"/></w:pPr>
<w:r><w:t xml:space="preserve">has not by the 1st of February next preceding that election</w:t></w:r>
</w:p>
<w:p>
<w:pPr><w:pStyle w:val="Normal"/></w:pPr>
<w:r><w:t xml:space="preserve">paid all poll taxes due from him to the state.  In 1902</w:t></w:r>
</w:p>
<w:p>
<w:pPr><w:pStyle w:val="Normal"/></w:pPr>
<w:r><w:t xml:space="preserve">nine-tenths of the negroes in the state were disqualified from</w:t></w:r>
</w:p>
<w:p>
<w:pPr><w:pStyle w:val="Normal"/></w:pPr>
<w:r><w:t xml:space="preserve">voting.3 The constitution of 1901 (like that of 1867) and</w:t></w:r>
</w:p>
<w:p>
<w:pPr><w:pStyle w:val="Normal"/></w:pPr>
<w:r><w:t xml:space="preserve">special statutes require separate schools for white and negro</w:t></w:r>
</w:p>
<w:p>
<w:pPr><w:pStyle w:val="Normal"/></w:pPr>
<w:r><w:t xml:space="preserve">children.  A ``Jim Crow&apos;&apos; law was enacted in 1891.  Buying,</w:t></w:r>
</w:p>
<w:p>
<w:pPr><w:pStyle w:val="Normal"/></w:pPr>
<w:r><w:t xml:space="preserve">selling or offering to buy or sell a vote has for penalty</w:t></w:r>
</w:p>
<w:p>
<w:pPr><w:pStyle w:val="Normal"/></w:pPr>
<w:r><w:t xml:space="preserve">disfranchisement, and since 1891 the Australian ballot system</w:t></w:r>
</w:p>
<w:p>
<w:pPr><w:pStyle w:val="Normal"/></w:pPr>
<w:r><w:t xml:space="preserve">has been used.  The governor, auditor and attorney-general</w:t></w:r>
</w:p>
<w:p>
<w:pPr><w:pStyle w:val="Normal"/></w:pPr>
<w:r><w:t xml:space="preserve">are required to prepare and present to each legislature a</w:t></w:r>
</w:p>
<w:p>
<w:pPr><w:pStyle w:val="Normal"/></w:pPr>
<w:r><w:t xml:space="preserve">general revenue bill, and the secretary of state, with the</w:t></w:r>
</w:p>
<w:p>
<w:pPr><w:pStyle w:val="Normal"/></w:pPr>
<w:r><w:t xml:space="preserve">last two officers, constitute a board of pardons who make</w:t></w:r>
</w:p>
<w:p>
<w:pPr><w:pStyle w:val="Normal"/></w:pPr>
<w:r><w:t xml:space="preserve">recommendations to the governor, who, however, is not bound</w:t></w:r>
</w:p>
<w:p>
<w:pPr><w:pStyle w:val="Normal"/></w:pPr>
<w:r><w:t xml:space="preserve">to follow their advice in the exercise of his pardoning</w:t></w:r>
</w:p>
<w:p>
<w:pPr><w:pStyle w:val="Normal"/></w:pPr>
<w:r><w:t xml:space="preserve">power.  State officials are forbidden to accept railway passes</w:t></w:r>
</w:p>
<w:p>
<w:pPr><w:pStyle w:val="Normal"/></w:pPr>
<w:r><w:t xml:space="preserve">from railway companies, and individuals are forbidden to</w:t></w:r>
</w:p>
<w:p>
<w:pPr><w:pStyle w:val="Normal"/></w:pPr>
<w:r><w:t xml:space="preserve">receive freight rebates.  The constitution of 1901 exempted</w:t></w:r>
</w:p>
<w:p>
<w:pPr><w:pStyle w:val="Normal"/></w:pPr>
<w:r><w:t xml:space="preserve">a homestead of 80 acres of farm land, or of a house and lot</w:t></w:r>
</w:p>
<w:p>
<w:pPr><w:pStyle w:val="Normal"/></w:pPr>
<w:r><w:t xml:space="preserve">not exceeding $2000 in value, from liability for any debt</w:t></w:r>
</w:p>
<w:p>
<w:pPr><w:pStyle w:val="Normal"/></w:pPr>
<w:r><w:t xml:space="preserve">contracted since the 30th of July 1868 except for a mortage</w:t></w:r>
</w:p>
<w:p>
<w:pPr><w:pStyle w:val="Normal"/></w:pPr>
<w:r><w:t xml:space="preserve">on it to which the wife consented; personal property to the</w:t></w:r>
</w:p>
<w:p>
<w:pPr><w:pStyle w:val="Normal"/></w:pPr>
<w:r><w:t xml:space="preserve">value of $1000 is exempted.  Under the civil code of 1897</w:t></w:r>
</w:p>
<w:p>
<w:pPr><w:pStyle w:val="Normal"/></w:pPr>
<w:r><w:t xml:space="preserve">the earnings of a wife are her separate property, and it is</w:t></w:r>
</w:p>
<w:p>
<w:pPr><w:pStyle w:val="Normal"/></w:pPr>
<w:r><w:t xml:space="preserve">provided that ``no woman, nor any boy under age of twelve</w:t></w:r>
</w:p>
<w:p>
<w:pPr><w:pStyle w:val="Normal"/></w:pPr>
<w:r><w:t xml:space="preserve">years, shall be employed to work or labour in or about any</w:t></w:r>
</w:p>
<w:p>
<w:pPr><w:pStyle w:val="Normal"/></w:pPr>
<w:r><w:t xml:space="preserve">mine in this state.&apos;&apos; By acts of 1903 child labour under 12</w:t></w:r>
</w:p>
<w:p>
<w:pPr><w:pStyle w:val="Normal"/></w:pPr>
<w:r><w:t xml:space="preserve">years is forbidden in any factory unless for suoport of ``a</w:t></w:r>
</w:p>
<w:p>
<w:pPr><w:pStyle w:val="Normal"/></w:pPr>
<w:r><w:t xml:space="preserve">widowed mother or aged or disabled father,&apos;&apos; or unless the</w:t></w:r>
</w:p>
<w:p>
<w:pPr><w:pStyle w:val="Normal"/></w:pPr>
<w:r><w:t xml:space="preserve">child is an indigent orphan; ``no child under the age of</w:t></w:r>
</w:p>
<w:p>
<w:pPr><w:pStyle w:val="Normal"/></w:pPr>
<w:r><w:t xml:space="preserve">ten years shall be so employed under any circumstances.&apos;&apos;</w:t></w:r>
</w:p>
<w:p>
<w:pPr><w:pStyle w:val="Normal"/></w:pPr>
<w:r><w:t xml:space="preserve">Certificates of children&apos;s ages are necessary before a child</w:t></w:r>
</w:p>
<w:p>
<w:pPr><w:pStyle w:val="Normal"/></w:pPr>
<w:r><w:t xml:space="preserve">is employed; false certification is forbidden under penalty of</w:t></w:r>
</w:p>
<w:p>
<w:pPr><w:pStyle w:val="Normal"/></w:pPr>
<w:r><w:t xml:space="preserve">a fine of from $5 to $100 or hard labour not exceeding three</w:t></w:r>
</w:p>
<w:p>
<w:pPr><w:pStyle w:val="Normal"/></w:pPr>
<w:r><w:t xml:space="preserve">months.  No child under 13 may do night work at all.  No</w:t></w:r>
</w:p>
<w:p>
<w:pPr><w:pStyle w:val="Normal"/></w:pPr>
<w:r><w:t xml:space="preserve">child under 16 may do more than 48 hours a week of light</w:t></w:r>
</w:p>
<w:p>
<w:pPr><w:pStyle w:val="Normal"/></w:pPr>
<w:r><w:t xml:space="preserve">work.  No child of less than 12 is allowed to work more than</w:t></w:r>
</w:p>
<w:p>
<w:pPr><w:pStyle w:val="Normal"/></w:pPr>
<w:r><w:t xml:space="preserve">66 hours in any one week.  An able-bodied parent who does not</w:t></w:r>
</w:p>
<w:p>
<w:pPr><w:pStyle w:val="Normal"/></w:pPr>
<w:r><w:t xml:space="preserve">work when he has the opportunity, unless ``idle under strike</w:t></w:r>
</w:p>
<w:p>
<w:pPr><w:pStyle w:val="Normal"/></w:pPr>
<w:r><w:t xml:space="preserve">orders, or lock-outs,&apos;&apos; and who hires out his minor children,</w:t></w:r>
</w:p>
<w:p>
<w:pPr><w:pStyle w:val="Normal"/></w:pPr>
<w:r><w:t xml:space="preserve">is declared a vagrant and may be fined $500 and imprisoned</w:t></w:r>
</w:p>
<w:p>
<w:pPr><w:pStyle w:val="Normal"/></w:pPr>
<w:r><w:t xml:space="preserve">or sentenced to hard labour for not more than six months.</w:t></w:r>
</w:p>
<w:p>
<w:pPr><w:pStyle w:val="Normal"/></w:pPr>
<w:r><w:t xml:space="preserve">All amendments to the constitution must be approvedbya</w:t></w:r>
</w:p>
<w:p>
<w:pPr><w:pStyle w:val="Normal"/></w:pPr>
<w:r><w:t xml:space="preserve">three-fifths vote of each house of the legislature and</w:t></w:r>
</w:p>
<w:p>
<w:pPr><w:pStyle w:val="Normal"/></w:pPr>
<w:r><w:t xml:space="preserve">then ratified by the people.  The legislature of 1900--1901</w:t></w:r>
</w:p>
<w:p>
<w:pPr><w:pStyle w:val="Normal"/></w:pPr>
<w:r><w:t xml:space="preserve">established a department of archives and history whose</w:t></w:r>
</w:p>
<w:p>
<w:pPr><w:pStyle w:val="Normal"/></w:pPr>
<w:r><w:t xml:space="preserve">aim is to preserve documents and historical records.</w:t></w:r>
</w:p>
<w:p>
<w:pPr><w:pStyle w:val="Normal"/></w:pPr>
<w:r><w:t xml:space="preserve">Education.---Public education for Mobile was authorized</w:t></w:r>
</w:p>
<w:p>
<w:pPr><w:pStyle w:val="Normal"/></w:pPr>
<w:r><w:t xml:space="preserve">by the legislature of 1826, but it was not provided until</w:t></w:r>
</w:p>
<w:p>
<w:pPr><w:pStyle w:val="Normal"/></w:pPr>
<w:r><w:t xml:space="preserve">1852.  Two years later (1854) a sch00l system for the entire</w:t></w:r>
</w:p>
<w:p>
<w:pPr><w:pStyle w:val="Normal"/></w:pPr>
<w:r><w:t xml:space="preserve">state was inaugurated.  Its support was derived from public</w:t></w:r>
</w:p>
<w:p>
<w:pPr><w:pStyle w:val="Normal"/></w:pPr>
<w:r><w:t xml:space="preserve">land given by the United States to the state of Alabama for</w:t></w:r>
</w:p>
<w:p>
<w:pPr><w:pStyle w:val="Normal"/></w:pPr>
<w:r><w:t xml:space="preserve">educational purposes in 1819, and special taxes or tuition</w:t></w:r>
</w:p>
<w:p>
<w:pPr><w:pStyle w:val="Normal"/></w:pPr>
<w:r><w:t xml:space="preserve">fixed by each township.  The Civil War demoralized the</w:t></w:r>
</w:p>
<w:p>
<w:pPr><w:pStyle w:val="Normal"/></w:pPr>
<w:r><w:t xml:space="preserve">nascent system.  An important step in its revival seemed</w:t></w:r>
</w:p>
<w:p>
<w:pPr><w:pStyle w:val="Normal"/></w:pPr>
<w:r><w:t xml:space="preserve">to be made in the constitution of 1868, which forbade any</w:t></w:r>
</w:p>
<w:p>
<w:pPr><w:pStyle w:val="Normal"/></w:pPr>
<w:r><w:t xml:space="preserve">private recompense for instruction in the public schools</w:t></w:r>
</w:p>
<w:p>
<w:pPr><w:pStyle w:val="Normal"/></w:pPr>
<w:r><w:t xml:space="preserve">and appropriated one-fifth of the state&apos;s revenue to common</w:t></w:r>
</w:p>
<w:p>
<w:pPr><w:pStyle w:val="Normal"/></w:pPr>
<w:r><w:t xml:space="preserve">schools.  But the attempt to teach whites and blacks in the same</w:t></w:r>
</w:p>
<w:p>
<w:pPr><w:pStyle w:val="Normal"/></w:pPr>
<w:r><w:t xml:space="preserve">schools, and the corruption in the administration of funds,</w:t></w:r>
</w:p>
<w:p>
<w:pPr><w:pStyle w:val="Normal"/></w:pPr>
<w:r><w:t xml:space="preserve">made the results unsatisfactory.  The constitution of 1875</w:t></w:r>
</w:p>
<w:p>
<w:pPr><w:pStyle w:val="Normal"/></w:pPr>
<w:r><w:t xml:space="preserve">abolished the one-fifth revenue provision, made the support</w:t></w:r>
</w:p>
<w:p>
<w:pPr><w:pStyle w:val="Normal"/></w:pPr>
<w:r><w:t xml:space="preserve">of the schools, except that derived from the land grant of</w:t></w:r>
</w:p>
<w:p>
<w:pPr><w:pStyle w:val="Normal"/></w:pPr>
<w:r><w:t xml:space="preserve">1819, and poll taxes, depend upon the appropriation of the</w:t></w:r>
</w:p>
<w:p>
<w:pPr><w:pStyle w:val="Normal"/></w:pPr>
<w:r><w:t xml:space="preserve">legislature, and established separate schools for whites and</w:t></w:r>
</w:p>
<w:p>
<w:pPr><w:pStyle w:val="Normal"/></w:pPr>
<w:r><w:t xml:space="preserve">blacks.  Progress has been slow but steady.  According to</w:t></w:r>
</w:p>
<w:p>
<w:pPr><w:pStyle w:val="Normal"/></w:pPr>
<w:r><w:t xml:space="preserve">the constitution of 1901 the legislature is required to levy,</w:t></w:r>
</w:p>
<w:p>
<w:pPr><w:pStyle w:val="Normal"/></w:pPr>
<w:r><w:t xml:space="preserve">in addition to the poll tax, an annual tax for education at</w:t></w:r>
</w:p>
<w:p>
<w:pPr><w:pStyle w:val="Normal"/></w:pPr>
<w:r><w:t xml:space="preserve">the rate of 30 to 65 cents on the hundred dollars&apos; worth of</w:t></w:r>
</w:p>
<w:p>
<w:pPr><w:pStyle w:val="Normal"/></w:pPr>
<w:r><w:t xml:space="preserve">property, and practically every county in the state had made</w:t></w:r>
</w:p>
<w:p>
<w:pPr><w:pStyle w:val="Normal"/></w:pPr>
<w:r><w:t xml:space="preserve">in 190G an appropriation for its schools of a one mill tax on</w:t></w:r>
</w:p>
<w:p>
<w:pPr><w:pStyle w:val="Normal"/></w:pPr>
<w:r><w:t xml:space="preserve">$i00.  The school fund in 1900 amounted to $1,000,000, an</w:t></w:r>
</w:p>
<w:p>
<w:pPr><w:pStyle w:val="Normal"/></w:pPr>
<w:r><w:t xml:space="preserve">increase of 37% over the average a1+ual fund of the preceding</w:t></w:r>
</w:p>
<w:p>
<w:pPr><w:pStyle w:val="Normal"/></w:pPr>
<w:r><w:t xml:space="preserve">decade; for the year ending the 30th of September 1907</w:t></w:r>
</w:p>
<w:p>
<w:pPr><w:pStyle w:val="Normal"/></w:pPr>
<w:r><w:t xml:space="preserve">the amount certified for apportionment by the state was</w:t></w:r>
</w:p>
<w:p>
<w:pPr><w:pStyle w:val="Normal"/></w:pPr>
<w:r><w:t xml:space="preserve">$1,150,261.40, and the total annual expenditure was about</w:t></w:r>
</w:p>
<w:p>
<w:pPr><w:pStyle w:val="Normal"/></w:pPr>
<w:r><w:t xml:space="preserve">$1,600,000; in 1906 the school census showed 697,465 children</w:t></w:r>
</w:p>
<w:p>
<w:pPr><w:pStyle w:val="Normal"/></w:pPr>
<w:r><w:t xml:space="preserve">of school age.  The legislature of 1907 voted an increase</w:t></w:r>
</w:p>
<w:p>
<w:pPr><w:pStyle w:val="Normal"/></w:pPr>
<w:r><w:t xml:space="preserve">of $300,000 in the appropriation for the common school fund,</w:t></w:r>
</w:p>
<w:p>
<w:pPr><w:pStyle w:val="Normal"/></w:pPr>
<w:r><w:t xml:space="preserve">and granted state-aid for rural school-houses; but its most</w:t></w:r>
</w:p>
<w:p>
<w:pPr><w:pStyle w:val="Normal"/></w:pPr>
<w:r><w:t xml:space="preserve">important work probably was the establishment of county high</w:t></w:r>
</w:p>
<w:p>
<w:pPr><w:pStyle w:val="Normal"/></w:pPr>
<w:r><w:t xml:space="preserve">schools.  The rural schools have an annual term of five</w:t></w:r>
</w:p>
<w:p>
<w:pPr><w:pStyle w:val="Normal"/></w:pPr>
<w:r><w:t xml:space="preserve">to seven months only.  The percentage of illiterates</w:t></w:r>
</w:p>
<w:p>
<w:pPr><w:pStyle w:val="Normal"/></w:pPr>
<w:r><w:t xml:space="preserve">dechnedfrom 50.97% in 1880 to 41% in 1890, and 34% in 1900,</w:t></w:r>
</w:p>
<w:p>
<w:pPr><w:pStyle w:val="Normal"/></w:pPr>
<w:r><w:t xml:space="preserve">when Alabama ranked third among the states in illiteracy.</w:t></w:r>
</w:p>
<w:p>
<w:pPr><w:pStyle w:val="Normal"/></w:pPr>
<w:r><w:t xml:space="preserve">There are also a number of institutions for higher education in</w:t></w:r>
</w:p>
<w:p>
<w:pPr><w:pStyle w:val="Normal"/></w:pPr>
<w:r><w:t xml:space="preserve">Alabama.  The most important of these are the university of</w:t></w:r>
</w:p>
<w:p>
<w:pPr><w:pStyle w:val="Normal"/></w:pPr>
<w:r><w:t xml:space="preserve">Alabama (co-educational---opened in 1831), at Tuscaloosa, the</w:t></w:r>
</w:p>
<w:p>
<w:pPr><w:pStyle w:val="Normal"/></w:pPr>
<w:r><w:t xml:space="preserve">institution being part of the public school system maintained</w:t></w:r>
</w:p>
<w:p>
<w:pPr><w:pStyle w:val="Normal"/></w:pPr>
<w:r><w:t xml:space="preserve">by the state; the Alabama Polytechnic Institute at Auburn, a</w:t></w:r>
</w:p>
<w:p>
<w:pPr><w:pStyle w:val="Normal"/></w:pPr>
<w:r><w:t xml:space="preserve">``state college for the benefit of agriculture and the mechanic</w:t></w:r>
</w:p>
<w:p>
<w:pPr><w:pStyle w:val="Normal"/></w:pPr>
<w:r><w:t xml:space="preserve">arts,&apos;&apos; organized in 1872 according to the United States</w:t></w:r>
</w:p>
<w:p>
<w:pPr><w:pStyle w:val="Normal"/></w:pPr>
<w:r><w:t xml:space="preserve">land grant act for the promotion of industrial education; the</w:t></w:r>
</w:p>
<w:p>
<w:pPr><w:pStyle w:val="Normal"/></w:pPr>
<w:r><w:t xml:space="preserve">Southern University (incorporated 1856--Methodist Episcopal,</w:t></w:r>
</w:p>
<w:p>
<w:pPr><w:pStyle w:val="Normal"/></w:pPr>
<w:r><w:t xml:space="preserve">South), at Greensboro; Howard College (Baptist), at East Lake</w:t></w:r>
</w:p>
<w:p>
<w:pPr><w:pStyle w:val="Normal"/></w:pPr>
<w:r><w:t xml:space="preserve">(Birmingham); Spring Hill College (1830--Roman Catholic), near</w:t></w:r>
</w:p>
<w:p>
<w:pPr><w:pStyle w:val="Normal"/></w:pPr>
<w:r><w:t xml:space="preserve">Mobile; Talladega College (for negroes), at Talladega; the Tuskegee</w:t></w:r>
</w:p>
<w:p>
<w:pPr><w:pStyle w:val="Normal"/></w:pPr>
<w:r><w:t xml:space="preserve">Normal and Industrial Institute (for negroes), at Tuskegee;</w:t></w:r>
</w:p>
<w:p>
<w:pPr><w:pStyle w:val="Normal"/></w:pPr>
<w:r><w:t xml:space="preserve">and state normal schools at Florence, Jacksonville, Troy and</w:t></w:r>
</w:p>
<w:p>
<w:pPr><w:pStyle w:val="Normal"/></w:pPr>
<w:r><w:t xml:space="preserve">Livingston, and, for negroes, at Montgomery, Tuskegee and Normal.</w:t></w:r>
</w:p>
<w:p>
<w:pPr><w:pStyle w:val="Normal"/></w:pPr>
<w:r><w:t xml:space="preserve">Public Institutions.---Alabama supports various philanthropic</w:t></w:r>
</w:p>
<w:p>
<w:pPr><w:pStyle w:val="Normal"/></w:pPr>
<w:r><w:t xml:space="preserve">and penal institutions: a home for Confederate veterans, at</w:t></w:r>
</w:p>
<w:p>
<w:pPr><w:pStyle w:val="Normal"/></w:pPr>
<w:r><w:t xml:space="preserve">Mountain Creek; an institution for the deaf, an academy for the</w:t></w:r>
</w:p>
<w:p>
<w:pPr><w:pStyle w:val="Normal"/></w:pPr>
<w:r><w:t xml:space="preserve">blind, and a school for the negro deaf, dumb and blind, all</w:t></w:r>
</w:p>
<w:p>
<w:pPr><w:pStyle w:val="Normal"/></w:pPr>
<w:r><w:t xml:space="preserve">at Talladega; a hospital for the insane, opened in 1860, at</w:t></w:r>
</w:p>
<w:p>
<w:pPr><w:pStyle w:val="Normal"/></w:pPr>
<w:r><w:t xml:space="preserve">Tuscaloosa; a penitentiary, established in 1839, at Wetumpka;</w:t></w:r>
</w:p>
<w:p>
<w:pPr><w:pStyle w:val="Normal"/></w:pPr>
<w:r><w:t xml:space="preserve">and a state industrial school for white boys, at East Lake</w:t></w:r>
</w:p>
<w:p>
<w:pPr><w:pStyle w:val="Normal"/></w:pPr>
<w:r><w:t xml:space="preserve">(Birmingham); and a state industrial school for white girls at</w:t></w:r>
</w:p>
<w:p>
<w:pPr><w:pStyle w:val="Normal"/></w:pPr>
<w:r><w:t xml:space="preserve">Montevallo.  These institutions are managed by trustees who</w:t></w:r>
</w:p>
<w:p>
<w:pPr><w:pStyle w:val="Normal"/></w:pPr>
<w:r><w:t xml:space="preserve">are appointed by the governor.  In addition to the usual</w:t></w:r>
</w:p>
<w:p>
<w:pPr><w:pStyle w:val="Normal"/></w:pPr>
<w:r><w:t xml:space="preserve">method of employing convicts in the penitentiary or on state</w:t></w:r>
</w:p>
<w:p>
<w:pPr><w:pStyle w:val="Normal"/></w:pPr>
<w:r><w:t xml:space="preserve">farms, Alabama, like other southern states, also hires its</w:t></w:r>
</w:p>
<w:p>
<w:pPr><w:pStyle w:val="Normal"/></w:pPr>
<w:r><w:t xml:space="preserve">convicts to labour for private individuals.  Reports of</w:t></w:r>
</w:p>
<w:p>
<w:pPr><w:pStyle w:val="Normal"/></w:pPr>
<w:r><w:t xml:space="preserve">abuses under this system caused the legislature in 1901 to</w:t></w:r>
</w:p>
<w:p>
<w:pPr><w:pStyle w:val="Normal"/></w:pPr>
<w:r><w:t xml:space="preserve">order a special investigation, the results of which led in</w:t></w:r>
</w:p>
<w:p>
<w:pPr><w:pStyle w:val="Normal"/></w:pPr>
<w:r><w:t xml:space="preserve">1903 to a new system of leasing to contractors, whereby the</w:t></w:r>
</w:p>
<w:p>
<w:pPr><w:pStyle w:val="Normal"/></w:pPr>
<w:r><w:t xml:space="preserve">prisoners are kept under the direct supervision of state</w:t></w:r>
</w:p>
<w:p>
<w:pPr><w:pStyle w:val="Normal"/></w:pPr>
<w:r><w:t xml:space="preserve">officials.  In this same year a system of peonage that</w:t></w:r>
</w:p>
<w:p>
<w:pPr><w:pStyle w:val="Normal"/></w:pPr>
<w:r><w:t xml:space="preserve">had grown up in the state attracted wide attention, and</w:t></w:r>
</w:p>
<w:p>
<w:pPr><w:pStyle w:val="Normal"/></w:pPr>
<w:r><w:t xml:space="preserve">a Federal grand jury at a single term of court indicted a</w:t></w:r>
</w:p>
<w:p>
<w:pPr><w:pStyle w:val="Normal"/></w:pPr>
<w:r><w:t xml:space="preserve">number of men for holding persons as ``peons.&apos;&apos; Many similar</w:t></w:r>
</w:p>
<w:p>
<w:pPr><w:pStyle w:val="Normal"/></w:pPr>
<w:r><w:t xml:space="preserve">cases were found later in other southern states, but those</w:t></w:r>
</w:p>
<w:p>
<w:pPr><w:pStyle w:val="Normal"/></w:pPr>
<w:r><w:t xml:space="preserve">in Alabama being the first discovered attracted the most</w:t></w:r>
</w:p>
<w:p>
<w:pPr><w:pStyle w:val="Normal"/></w:pPr>
<w:r><w:t xml:space="preserve">attention.  The system came into existence in isolated</w:t></w:r>
</w:p>
<w:p>
<w:pPr><w:pStyle w:val="Normal"/></w:pPr>
<w:r><w:t xml:space="preserve">communities through the connivance of justices of the peace</w:t></w:r>
</w:p>
<w:p>
<w:pPr><w:pStyle w:val="Normal"/></w:pPr>
<w:r><w:t xml:space="preserve">with white farmers.  The justices have jurisdiction over petty</w:t></w:r>
</w:p>
<w:p>
<w:pPr><w:pStyle w:val="Normal"/></w:pPr>
<w:r><w:t xml:space="preserve">offences, of which negroes are usually the guilty parties,</w:t></w:r>
</w:p>
<w:p>
<w:pPr><w:pStyle w:val="Normal"/></w:pPr>
<w:r><w:t xml:space="preserve">and the fines imposed would sometimes be paid by a white</w:t></w:r>
</w:p>
<w:p>
<w:pPr><w:pStyle w:val="Normal"/></w:pPr>
<w:r><w:t xml:space="preserve">farmer, who would thus save the accused from imprisonment,</w:t></w:r>
</w:p>
<w:p>
<w:pPr><w:pStyle w:val="Normal"/></w:pPr>
<w:r><w:t xml:space="preserve">but at the same time would require him to sign a contract</w:t></w:r>
</w:p>
<w:p>
<w:pPr><w:pStyle w:val="Normal"/></w:pPr>
<w:r><w:t xml:space="preserve">to repay by his labour the sum advanced.  By various devices</w:t></w:r>
</w:p>
<w:p>
<w:pPr><w:pStyle w:val="Normal"/></w:pPr>
<w:r><w:t xml:space="preserve">the labourer would then be kept constantly in debt to his</w:t></w:r>
</w:p>
<w:p>
<w:pPr><w:pStyle w:val="Normal"/></w:pPr>
<w:r><w:t xml:space="preserve">employer and be held in involuntary servitude for an indefinite</w:t></w:r>
</w:p>
<w:p>
<w:pPr><w:pStyle w:val="Normal"/></w:pPr>
<w:r><w:t xml:space="preserve">time.  The ``peons&apos;&apos; as a rule were negroes, but a few white</w:t></w:r>
</w:p>
<w:p>
<w:pPr><w:pStyle w:val="Normal"/></w:pPr>
<w:r><w:t xml:space="preserve">ones were found; and in several instances negroes were found</w:t></w:r>
</w:p>
<w:p>
<w:pPr><w:pStyle w:val="Normal"/></w:pPr>
<w:r><w:t xml:space="preserve">holding members of their own race in peonage.  A law forbidding</w:t></w:r>
</w:p>
<w:p>
<w:pPr><w:pStyle w:val="Normal"/></w:pPr>
<w:r><w:t xml:space="preserve">under severe penalties a labourer from hiring himself to a</w:t></w:r>
</w:p>
<w:p>
<w:pPr><w:pStyle w:val="Normal"/></w:pPr>
<w:r><w:t xml:space="preserve">second employer without giving notice of a prior contract,</w:t></w:r>
</w:p>
<w:p>
<w:pPr><w:pStyle w:val="Normal"/></w:pPr>
<w:r><w:t xml:space="preserve">and an employer from hiring a labourer known by him to be</w:t></w:r>
</w:p>
<w:p>
<w:pPr><w:pStyle w:val="Normal"/></w:pPr>
<w:r><w:t xml:space="preserve">bound by such a contract, had aided in the development of the</w:t></w:r>
</w:p>
<w:p>
<w:pPr><w:pStyle w:val="Normal"/></w:pPr>
<w:r><w:t xml:space="preserve">system, though it had been enacted for a different purpose.</w:t></w:r>
</w:p>
<w:p>
<w:pPr><w:pStyle w:val="Normal"/></w:pPr>
<w:r><w:t xml:space="preserve">The Federal authorities, as soon as the existence of peonage</w:t></w:r>
</w:p>
<w:p>
<w:pPr><w:pStyle w:val="Normal"/></w:pPr>
<w:r><w:t xml:space="preserve">became known, took active measures to stamp it out, and were</w:t></w:r>
</w:p>
<w:p>
<w:pPr><w:pStyle w:val="Normal"/></w:pPr>
<w:r><w:t xml:space="preserve">supported by the press and by the leading citizens of the</w:t></w:r>
</w:p>
<w:p>
<w:pPr><w:pStyle w:val="Normal"/></w:pPr>
<w:r><w:t xml:space="preserve">state.  Up to 1907 the state licensed the sale of liquor,</w:t></w:r>
</w:p>
<w:p>
<w:pPr><w:pStyle w:val="Normal"/></w:pPr>
<w:r><w:t xml:space="preserve">and liquor licence fees were partly turned over to the public</w:t></w:r>
</w:p>
<w:p>
<w:pPr><w:pStyle w:val="Normal"/></w:pPr>
<w:r><w:t xml:space="preserve">school fund; there was a dispensary system in some counties;</w:t></w:r>
</w:p>
<w:p>
<w:pPr><w:pStyle w:val="Normal"/></w:pPr>
<w:r><w:t xml:space="preserve">and in 1907 one-third of the counties of the state (22 out</w:t></w:r>
</w:p>
<w:p>
<w:pPr><w:pStyle w:val="Normal"/></w:pPr>
<w:r><w:t xml:space="preserve">of 67) were ``dry.&apos;&apos; Besides, saloons had been forbidden</w:t></w:r>
</w:p>
<w:p>
<w:pPr><w:pStyle w:val="Normal"/></w:pPr>
<w:r><w:t xml:space="preserve">within 5 m. of certain churches and school-houses, so that</w:t></w:r>
</w:p>
<w:p>
<w:pPr><w:pStyle w:val="Normal"/></w:pPr>
<w:r><w:t xml:space="preserve">liquor was sold scarcely at all except in incorporated towns,</w:t></w:r>
</w:p>
<w:p>
<w:pPr><w:pStyle w:val="Normal"/></w:pPr>
<w:r><w:t xml:space="preserve">where in many cases local dispensaries were established.</w:t></w:r>
</w:p>
<w:p>
<w:pPr><w:pStyle w:val="Normal"/></w:pPr>
<w:r><w:t xml:space="preserve">In the 1907 state legislature a county local option bill was</w:t></w:r>
</w:p>
<w:p>
<w:pPr><w:pStyle w:val="Normal"/></w:pPr>
<w:r><w:t xml:space="preserve">passed in February, and immediately afterward the Sherrod</w:t></w:r>
</w:p>
<w:p>
<w:pPr><w:pStyle w:val="Normal"/></w:pPr>
<w:r><w:t xml:space="preserve">anti-shipping bill was enacted forbidding the acceptance</w:t></w:r>
</w:p>
<w:p>
<w:pPr><w:pStyle w:val="Normal"/></w:pPr>
<w:r><w:t xml:space="preserve">of liquors for shipment, transportation or delivery to</w:t></w:r>
</w:p>
<w:p>
<w:pPr><w:pStyle w:val="Normal"/></w:pPr>
<w:r><w:t xml:space="preserve">prohibition districts, and penalising the soliciting of orders</w:t></w:r>
</w:p>
<w:p>
<w:pPr><w:pStyle w:val="Normal"/></w:pPr>
<w:r><w:t xml:space="preserve">for liquor in ``dry&apos;&apos; districts with a punishment of $500</w:t></w:r>
</w:p>
<w:p>
<w:pPr><w:pStyle w:val="Normal"/></w:pPr>
<w:r><w:t xml:space="preserve">fine and six months&apos; imprisonment with hard labour.  In a</w:t></w:r>
</w:p>
<w:p>
<w:pPr><w:pStyle w:val="Normal"/></w:pPr>
<w:r><w:t xml:space="preserve">special session of the legislature in November 1907 a law was</w:t></w:r>
</w:p>
<w:p>
<w:pPr><w:pStyle w:val="Normal"/></w:pPr>
<w:r><w:t xml:space="preserve">passed forbidding the sale of liquor within the state, this</w:t></w:r>
</w:p>
<w:p>
<w:pPr><w:pStyle w:val="Normal"/></w:pPr>
<w:r><w:t xml:space="preserve">prohibition to come into effect on the 1st of January 1909.</w:t></w:r>
</w:p>
<w:p>
<w:pPr><w:pStyle w:val="Normal"/></w:pPr>
<w:r><w:t xml:space="preserve">Finance.---One-half of the income of the state is derived</w:t></w:r>
</w:p>
<w:p>
<w:pPr><w:pStyle w:val="Normal"/></w:pPr>
<w:r><w:t xml:space="preserve">from general taxes, the other sources of revenue being</w:t></w:r>
</w:p>
<w:p>
<w:pPr><w:pStyle w:val="Normal"/></w:pPr>
<w:r><w:t xml:space="preserve">licences, a special school tax, poll tax and the lease of the</w:t></w:r>
</w:p>
<w:p>
<w:pPr><w:pStyle w:val="Normal"/></w:pPr>
<w:r><w:t xml:space="preserve">convicts.  The state debt, for which legislative corruption</w:t></w:r>
</w:p>
<w:p>
<w:pPr><w:pStyle w:val="Normal"/></w:pPr>
<w:r><w:t xml:space="preserve">in the years 1868-1872 was largely responsible, amounted</w:t></w:r>
</w:p>
<w:p>
<w:pPr><w:pStyle w:val="Normal"/></w:pPr>
<w:r><w:t xml:space="preserve">on the 1st of October 1906 to $9,057,000.  Measures for its</w:t></w:r>
</w:p>
<w:p>
<w:pPr><w:pStyle w:val="Normal"/></w:pPr>
<w:r><w:t xml:space="preserve">relunding, but not for its extinction, have been taken.  The</w:t></w:r>
</w:p>
<w:p>
<w:pPr><w:pStyle w:val="Normal"/></w:pPr>
<w:r><w:t xml:space="preserve">constitution of 1901 prohibits the increase of the debt for</w:t></w:r>
</w:p>
<w:p>
<w:pPr><w:pStyle w:val="Normal"/></w:pPr>
<w:r><w:t xml:space="preserve">any other purposes than the suppression of insurrection or</w:t></w:r>
</w:p>
<w:p>
<w:pPr><w:pStyle w:val="Normal"/></w:pPr>
<w:r><w:t xml:space="preserve">resistance to invasion, and the assumption of corporate debts</w:t></w:r>
</w:p>
<w:p>
<w:pPr><w:pStyle w:val="Normal"/></w:pPr>
<w:r><w:t xml:space="preserve">by cities and towns is also restricted.  All banks, except</w:t></w:r>
</w:p>
<w:p>
<w:pPr><w:pStyle w:val="Normal"/></w:pPr>
<w:r><w:t xml:space="preserve">national banks, are subject to examination by a public official,</w:t></w:r>
</w:p>
<w:p>
<w:pPr><w:pStyle w:val="Normal"/></w:pPr>
<w:r><w:t xml:space="preserve">and their charters expire within twenty years of their issue.</w:t></w:r>
</w:p>
<w:p>
<w:pPr><w:pStyle w:val="Normal"/></w:pPr>
<w:r><w:t xml:space="preserve">History.---The first Europeans to enter the limits of the</w:t></w:r>
</w:p>
<w:p>
<w:pPr><w:pStyle w:val="Normal"/></w:pPr>
<w:r><w:t xml:space="preserve">present state of Alabama were Spaniards, who claimed this</w:t></w:r>
</w:p>
<w:p>
<w:pPr><w:pStyle w:val="Normal"/></w:pPr>
<w:r><w:t xml:space="preserve">region as a part of Florida.  It is possible that a member of</w:t></w:r>
</w:p>
<w:p>
<w:pPr><w:pStyle w:val="Normal"/></w:pPr>
<w:r><w:t xml:space="preserve">Panfilo de Narvaez&apos;s expedition of 1528 entered what is now</w:t></w:r>
</w:p>
<w:p>
<w:pPr><w:pStyle w:val="Normal"/></w:pPr>
<w:r><w:t xml:space="preserve">southern Alabama, but the first fully authenticated visit n&apos;as</w:t></w:r>
</w:p>
<w:p>
<w:pPr><w:pStyle w:val="Normal"/></w:pPr>
<w:r><w:t xml:space="preserve">that of Hernando de Soto, who made an arduous but fruitless</w:t></w:r>
</w:p>
<w:p>
<w:pPr><w:pStyle w:val="Normal"/></w:pPr>
<w:r><w:t xml:space="preserve">journey along the Coosa, Alabama and Tombigbee rivers in</w:t></w:r>
</w:p>
<w:p>
<w:pPr><w:pStyle w:val="Normal"/></w:pPr>
<w:r><w:t xml:space="preserve">1539.  The English, too, claimed the region north of the</w:t></w:r>
</w:p>
<w:p>
<w:pPr><w:pStyle w:val="Normal"/></w:pPr>
<w:r><w:t xml:space="preserve">Gulf of Mexico, and the territory of modern Alabama was</w:t></w:r>
</w:p>
<w:p>
<w:pPr><w:pStyle w:val="Normal"/></w:pPr>
<w:r><w:t xml:space="preserve">included in the province of Carolina, granted by Charles</w:t></w:r>
</w:p>
<w:p>
<w:pPr><w:pStyle w:val="Heading1"/></w:pPr>
<w:r><w:t>II. to certain of his favourites by the charters of 1663 and</w:t></w:r>
</w:p>
<w:p>
<w:pPr><w:pStyle w:val="Normal"/></w:pPr>
<w:r><w:t xml:space="preserve">1665.  English traders of Carolina were frequenting the valley</w:t></w:r>
</w:p>
<w:p>
<w:pPr><w:pStyle w:val="Normal"/></w:pPr>
<w:r><w:t xml:space="preserve">of the Alabama river as early as 1687.  Disregarding these</w:t></w:r>
</w:p>
<w:p>
<w:pPr><w:pStyle w:val="Normal"/></w:pPr>
<w:r><w:t xml:space="preserve">claims, however, the French in 1702 settled on the Mobile</w:t></w:r>
</w:p>
<w:p>
<w:pPr><w:pStyle w:val="Normal"/></w:pPr>
<w:r><w:t xml:space="preserve">river and there erected Fort Louis, which for the next nine</w:t></w:r>
</w:p>
<w:p>
<w:pPr><w:pStyle w:val="Normal"/></w:pPr>
<w:r><w:t xml:space="preserve">years was the seat of government of Louisiana.  In 1711 Fort</w:t></w:r>
</w:p>
<w:p>
<w:pPr><w:pStyle w:val="Normal"/></w:pPr>
<w:r><w:t xml:space="preserve">Louis was abandoned to the floods of the river, and on higher</w:t></w:r>
</w:p>
<w:p>
<w:pPr><w:pStyle w:val="Normal"/></w:pPr>
<w:r><w:t xml:space="preserve">ground was built Fort Conde, the germ of the present city of</w:t></w:r>
</w:p>
<w:p>
<w:pPr><w:pStyle w:val="Normal"/></w:pPr>
<w:r><w:t xml:space="preserve">Mobile, and the first permanent white settlement in Alabama.</w:t></w:r>
</w:p>
<w:p>
<w:pPr><w:pStyle w:val="Normal"/></w:pPr>
<w:r><w:t xml:space="preserve">Later, on account of the intrigues of the English traders</w:t></w:r>
</w:p>
<w:p>
<w:pPr><w:pStyle w:val="Normal"/></w:pPr>
<w:r><w:t xml:space="preserve">with the Indians, the French as a means of defence established</w:t></w:r>
</w:p>
<w:p>
<w:pPr><w:pStyle w:val="Normal"/></w:pPr>
<w:r><w:t xml:space="preserve">the military posts of Fort Toulouse, near the junction of</w:t></w:r>
</w:p>
<w:p>
<w:pPr><w:pStyle w:val="Normal"/></w:pPr>
<w:r><w:t xml:space="preserve">the Coosa and Tallapoosa rivers, and Fort Tombecbe on the</w:t></w:r>
</w:p>
<w:p>
<w:pPr><w:pStyle w:val="Normal"/></w:pPr>
<w:r><w:t xml:space="preserve">Tombigbee river.  The grant of Georgia to Oglethorpe and his</w:t></w:r>
</w:p>
<w:p>
<w:pPr><w:pStyle w:val="Normal"/></w:pPr>
<w:r><w:t xml:space="preserve">associates in 1732 included a portion of what is now northern</w:t></w:r>
</w:p>
<w:p>
<w:pPr><w:pStyle w:val="Normal"/></w:pPr>
<w:r><w:t xml:space="preserve">Alabama, and in 1739 Oglethorpe himself visited the Creek</w:t></w:r>
</w:p>
<w:p>
<w:pPr><w:pStyle w:val="Normal"/></w:pPr>
<w:r><w:t xml:space="preserve">Indians west of the Chattahoochee river and made a treaty with</w:t></w:r>
</w:p>
<w:p>
<w:pPr><w:pStyle w:val="Normal"/></w:pPr>
<w:r><w:t xml:space="preserve">them.  The peace of Paris, in 1763, terminated the French</w:t></w:r>
</w:p>
<w:p>
<w:pPr><w:pStyle w:val="Normal"/></w:pPr>
<w:r><w:t xml:space="preserve">occupation, and England came into undisouted possession of</w:t></w:r>
</w:p>
<w:p>
<w:pPr><w:pStyle w:val="Normal"/></w:pPr>
<w:r><w:t xml:space="preserve">the region between the Chattahoochee and the Mississippi.  The</w:t></w:r>
</w:p>
<w:p>
<w:pPr><w:pStyle w:val="Normal"/></w:pPr>
<w:r><w:t xml:space="preserve">portion of Alabama below the 31st parallel then became a part</w:t></w:r>
</w:p>
<w:p>
<w:pPr><w:pStyle w:val="Normal"/></w:pPr>
<w:r><w:t xml:space="preserve">of West Florida, and the portion north of this line a part</w:t></w:r>
</w:p>
<w:p>
<w:pPr><w:pStyle w:val="Normal"/></w:pPr>
<w:r><w:t xml:space="preserve">of the Illinois country,&apos;&apos; set apart, by royal proclamation,</w:t></w:r>
</w:p>
<w:p>
<w:pPr><w:pStyle w:val="Normal"/></w:pPr>
<w:r><w:t xml:space="preserve">for the use of the Indians.  In 1767 the province of West</w:t></w:r>
</w:p>
<w:p>
<w:pPr><w:pStyle w:val="Normal"/></w:pPr>
<w:r><w:t xml:space="preserve">Florida was extended northward to 32 deg.  28&apos; N. lat., and a</w:t></w:r>
</w:p>
<w:p>
<w:pPr><w:pStyle w:val="Normal"/></w:pPr>
<w:r><w:t xml:space="preserve">few years later, during the War for Independence, this region</w:t></w:r>
</w:p>
<w:p>
<w:pPr><w:pStyle w:val="Normal"/></w:pPr>
<w:r><w:t xml:space="preserve">fell into the hands of Spain.  By the treaty of Versailles,</w:t></w:r>
</w:p>
<w:p>
<w:pPr><w:pStyle w:val="Normal"/></w:pPr>
<w:r><w:t xml:space="preserve">on the 3rd of September 1783, England ceded West Florida to</w:t></w:r>
</w:p>
<w:p>
<w:pPr><w:pStyle w:val="Normal"/></w:pPr>
<w:r><w:t xml:space="preserve">Spain; but by the treaty of Paris, signed the same day, she</w:t></w:r>
</w:p>
<w:p>
<w:pPr><w:pStyle w:val="Normal"/></w:pPr>
<w:r><w:t xml:space="preserve">ceded to the United States all of this province north of 31 deg. ,</w:t></w:r>
</w:p>
<w:p>
<w:pPr><w:pStyle w:val="Normal"/></w:pPr>
<w:r><w:t xml:space="preserve">and thus laid the foundation for a long controversy.  By the</w:t></w:r>
</w:p>
<w:p>
<w:pPr><w:pStyle w:val="Normal"/></w:pPr>
<w:r><w:t xml:space="preserve">treaty of Madrid, in 1795, Spain ceded to the United States</w:t></w:r>
</w:p>
<w:p>
<w:pPr><w:pStyle w:val="Normal"/></w:pPr>
<w:r><w:t xml:space="preserve">her claims to the lands east of the Mississippi between 31 deg.</w:t></w:r>
</w:p>
<w:p>
<w:pPr><w:pStyle w:val="Normal"/></w:pPr>
<w:r><w:t xml:space="preserve">and 32 deg.  28&apos;; and three years later (1798) this district was</w:t></w:r>
</w:p>
<w:p>
<w:pPr><w:pStyle w:val="Normal"/></w:pPr>
<w:r><w:t xml:space="preserve">organized by Congress as the Mississippi Territory.  A strip</w:t></w:r>
</w:p>
<w:p>
<w:pPr><w:pStyle w:val="Normal"/></w:pPr>
<w:r><w:t xml:space="preserve">of land 12 or 14 m. wide near the present northern boundary</w:t></w:r>
</w:p>
<w:p>
<w:pPr><w:pStyle w:val="Normal"/></w:pPr>
<w:r><w:t xml:space="preserve">of Alabama and Mississippi was claimed by South Carolina;</w:t></w:r>
</w:p>
<w:p>
<w:pPr><w:pStyle w:val="Normal"/></w:pPr>
<w:r><w:t xml:space="preserve">but in 1787 that state ceded this claim to the general</w:t></w:r>
</w:p>
<w:p>
<w:pPr><w:pStyle w:val="Normal"/></w:pPr>
<w:r><w:t xml:space="preserve">government.  Georgia likewise claimed all the lands between</w:t></w:r>
</w:p>
<w:p>
<w:pPr><w:pStyle w:val="Normal"/></w:pPr>
<w:r><w:t xml:space="preserve">the 31st and 35th parallels from its present western boundary</w:t></w:r>
</w:p>
<w:p>
<w:pPr><w:pStyle w:val="Normal"/></w:pPr>
<w:r><w:t xml:space="preserve">to the Mississippi river, and did not surrender its claim</w:t></w:r>
</w:p>
<w:p>
<w:pPr><w:pStyle w:val="Normal"/></w:pPr>
<w:r><w:t xml:space="preserve">until 1802; two years later the boundaries of the Mississippi</w:t></w:r>
</w:p>
<w:p>
<w:pPr><w:pStyle w:val="Normal"/></w:pPr>
<w:r><w:t xml:space="preserve">Territory were extended so as to include all of the Georgia</w:t></w:r>
</w:p>
<w:p>
<w:pPr><w:pStyle w:val="Normal"/></w:pPr>
<w:r><w:t xml:space="preserve">cession.  In 1812 Congress annexed to the Mississippi Territory</w:t></w:r>
</w:p>
<w:p>
<w:pPr><w:pStyle w:val="Normal"/></w:pPr>
<w:r><w:t xml:space="preserve">the Mobile District of West Florida, claiming that it was</w:t></w:r>
</w:p>
<w:p>
<w:pPr><w:pStyle w:val="Normal"/></w:pPr>
<w:r><w:t xml:space="preserve">included in the Louisiana Purchase; and in the following year</w:t></w:r>
</w:p>
<w:p>
<w:pPr><w:pStyle w:val="Normal"/></w:pPr>
<w:r><w:t xml:space="preserve">General James Wilkinson occupied this district with a military</w:t></w:r>
</w:p>
<w:p>
<w:pPr><w:pStyle w:val="Normal"/></w:pPr>
<w:r><w:t xml:space="preserve">force, the Spanish commandant offering no resistance.  The</w:t></w:r>
</w:p>
<w:p>
<w:pPr><w:pStyle w:val="Normal"/></w:pPr>
<w:r><w:t xml:space="preserve">whole area of the present state of Alabama then for the</w:t></w:r>
</w:p>
<w:p>
<w:pPr><w:pStyle w:val="Normal"/></w:pPr>
<w:r><w:t xml:space="preserve">first time became subject to the jurisdiction of the United</w:t></w:r>
</w:p>
<w:p>
<w:pPr><w:pStyle w:val="Normal"/></w:pPr>
<w:r><w:t xml:space="preserve">States.  In 1817 the Mississippi Territory was divided; the</w:t></w:r>
</w:p>
<w:p>
<w:pPr><w:pStyle w:val="Normal"/></w:pPr>
<w:r><w:t xml:space="preserve">western portion became the state of Mississippi, and the</w:t></w:r>
</w:p>
<w:p>
<w:pPr><w:pStyle w:val="Normal"/></w:pPr>
<w:r><w:t xml:space="preserve">eastern the territory of Alabama, with St Stephens, on the</w:t></w:r>
</w:p>
<w:p>
<w:pPr><w:pStyle w:val="Normal"/></w:pPr>
<w:r><w:t xml:space="preserve">Tombigbee river, as the temporary seat of government.  In</w:t></w:r>
</w:p>
<w:p>
<w:pPr><w:pStyle w:val="Normal"/></w:pPr>
<w:r><w:t xml:space="preserve">1819 Alabama was regularly admitted to the Union as a state.</w:t></w:r>
</w:p>
<w:p>
<w:pPr><w:pStyle w:val="Normal"/></w:pPr>
<w:r><w:t xml:space="preserve">One of the first problems of the new commonwealth was that of</w:t></w:r>
</w:p>
<w:p>
<w:pPr><w:pStyle w:val="Normal"/></w:pPr>
<w:r><w:t xml:space="preserve">finance.  Since the amount of money in circulation was not</w:t></w:r>
</w:p>
<w:p>
<w:pPr><w:pStyle w:val="Normal"/></w:pPr>
<w:r><w:t xml:space="preserve">sufficient to meet the demands of the increasing population,</w:t></w:r>
</w:p>
<w:p>
<w:pPr><w:pStyle w:val="Normal"/></w:pPr>
<w:r><w:t xml:space="preserve">a system of state banks was instituted.  State bonds were</w:t></w:r>
</w:p>
<w:p>
<w:pPr><w:pStyle w:val="Normal"/></w:pPr>
<w:r><w:t xml:space="preserve">issued and public lands were sold to secure capital, and the</w:t></w:r>
</w:p>
<w:p>
<w:pPr><w:pStyle w:val="Normal"/></w:pPr>
<w:r><w:t xml:space="preserve">notes of the banks, loaned on security, became a medium of</w:t></w:r>
</w:p>
<w:p>
<w:pPr><w:pStyle w:val="Normal"/></w:pPr>
<w:r><w:t xml:space="preserve">exchange.  Prospects of an income from the banks led the</w:t></w:r>
</w:p>
<w:p>
<w:pPr><w:pStyle w:val="Normal"/></w:pPr>
<w:r><w:t xml:space="preserve">legislature of 1836 to abolish all taxation for state purposes.</w:t></w:r>
</w:p>
<w:p>
<w:pPr><w:pStyle w:val="Normal"/></w:pPr>
<w:r><w:t xml:space="preserve">This was hardly done, however, before the panic of 1837 wiped</w:t></w:r>
</w:p>
<w:p>
<w:pPr><w:pStyle w:val="Normal"/></w:pPr>
<w:r><w:t xml:space="preserve">out a large portion of the banks&apos; assets; next came revelations</w:t></w:r>
</w:p>
<w:p>
<w:pPr><w:pStyle w:val="Normal"/></w:pPr>
<w:r><w:t xml:space="preserve">of grossly careless and even of corrupt management, and in</w:t></w:r>
</w:p>
<w:p>
<w:pPr><w:pStyle w:val="Normal"/></w:pPr>
<w:r><w:t xml:space="preserve">1843 the banks were placed in liquidation.  After disposing</w:t></w:r>
</w:p>
<w:p>
<w:pPr><w:pStyle w:val="Normal"/></w:pPr>
<w:r><w:t xml:space="preserve">of all their available assets, the state assumed the remaining</w:t></w:r>
</w:p>
<w:p>
<w:pPr><w:pStyle w:val="Normal"/></w:pPr>
<w:r><w:t xml:space="preserve">liabilities, for which it had pledged its faith and credit,</w:t></w:r>
</w:p>
<w:p>
<w:pPr><w:pStyle w:val="Normal"/></w:pPr>
<w:r><w:t xml:space="preserve">and these form a part ($3,445,000) of its present indebtedness.</w:t></w:r>
</w:p>
<w:p>
<w:pPr><w:pStyle w:val="Normal"/></w:pPr>
<w:r><w:t xml:space="preserve">The Indian problem was important.  With the encroachment</w:t></w:r>
</w:p>
<w:p>
<w:pPr><w:pStyle w:val="Normal"/></w:pPr>
<w:r><w:t xml:space="preserve">of the white settlers upon their hunting-grounds the Creek</w:t></w:r>
</w:p>
<w:p>
<w:pPr><w:pStyle w:val="Normal"/></w:pPr>
<w:r><w:t xml:space="preserve">Indians began to grow restless, and the great Shawnee chief</w:t></w:r>
</w:p>
<w:p>
<w:pPr><w:pStyle w:val="Normal"/></w:pPr>
<w:r><w:t xml:space="preserve">Tecumseh, who visited them in 1811, fomented their discontent.</w:t></w:r>
</w:p>
<w:p>
<w:pPr><w:pStyle w:val="Normal"/></w:pPr>
<w:r><w:t xml:space="preserve">When the outbreak of the second war with Great Britain in</w:t></w:r>
</w:p>
<w:p>
<w:pPr><w:pStyle w:val="Normal"/></w:pPr>
<w:r><w:t xml:space="preserve">1812 gave the Creeks assurance of British aid they rose in</w:t></w:r>
</w:p>
<w:p>
<w:pPr><w:pStyle w:val="Normal"/></w:pPr>
<w:r><w:t xml:space="preserve">arms, massacred several hundred settlers who had taken refuge</w:t></w:r>
</w:p>
<w:p>
<w:pPr><w:pStyle w:val="Normal"/></w:pPr>
<w:r><w:t xml:space="preserve">in Fort Mims, near the junction of the Alabama and Tombigbee</w:t></w:r>
</w:p>
<w:p>
<w:pPr><w:pStyle w:val="Normal"/></w:pPr>
<w:r><w:t xml:space="preserve">rivers, and in a short time no white family in the Creek</w:t></w:r>
</w:p>
<w:p>
<w:pPr><w:pStyle w:val="Normal"/></w:pPr>
<w:r><w:t xml:space="preserve">country was safe outside a palisade.  The Chickasaw and Choctaw</w:t></w:r>
</w:p>
<w:p>
<w:pPr><w:pStyle w:val="Normal"/></w:pPr>
<w:r><w:t xml:space="preserve">Indians, however, remained the faithful allies of the whites,</w:t></w:r>
</w:p>
<w:p>
<w:pPr><w:pStyle w:val="Normal"/></w:pPr>
<w:r><w:t xml:space="preserve">and volunteers from Georgia, South Carolina and Tennessee,</w:t></w:r>
</w:p>
<w:p>
<w:pPr><w:pStyle w:val="Normal"/></w:pPr>
<w:r><w:t xml:space="preserve">and later United States troops, marched to the rescue of the</w:t></w:r>
</w:p>
<w:p>
<w:pPr><w:pStyle w:val="Normal"/></w:pPr>
<w:r><w:t xml:space="preserve">threatened settlements.  In the campaign that followed the most</w:t></w:r>
</w:p>
<w:p>
<w:pPr><w:pStyle w:val="Normal"/></w:pPr>
<w:r><w:t xml:space="preserve">distinguished services were rendered by General Andrew Jackson,</w:t></w:r>
</w:p>
<w:p>
<w:pPr><w:pStyle w:val="Normal"/></w:pPr>
<w:r><w:t xml:space="preserve">whose vigorous measures broke for ever the power of the Creek</w:t></w:r>
</w:p>
<w:p>
<w:pPr><w:pStyle w:val="Normal"/></w:pPr>
<w:r><w:t xml:space="preserve">Confederacy.  By the treaty of Fort Jackson (9th of August</w:t></w:r>
</w:p>
<w:p>
<w:pPr><w:pStyle w:val="Normal"/></w:pPr>
<w:r><w:t xml:space="preserve">1814) the Creeks ceded their claims to about one-half of the</w:t></w:r>
</w:p>
<w:p>
<w:pPr><w:pStyle w:val="Normal"/></w:pPr>
<w:r><w:t xml:space="preserve">present state; and cessions by the Cherokees, Chickasaws and</w:t></w:r>
</w:p>
<w:p>
<w:pPr><w:pStyle w:val="Normal"/></w:pPr>
<w:r><w:t xml:space="preserve">Choctaws in 1816 left only about one-fourth of Alabama to the</w:t></w:r>
</w:p>
<w:p>
<w:pPr><w:pStyle w:val="Normal"/></w:pPr>
<w:r><w:t xml:space="preserve">Indians.  In 1832 the national government provided for the</w:t></w:r>
</w:p>
<w:p>
<w:pPr><w:pStyle w:val="Normal"/></w:pPr>
<w:r><w:t xml:space="preserve">removal of the Creeks; but before the terms of the contract were</w:t></w:r>
</w:p>
<w:p>
<w:pPr><w:pStyle w:val="Normal"/></w:pPr>
<w:r><w:t xml:space="preserve">effected, the state legislature formed the Indian lands into</w:t></w:r>
</w:p>
<w:p>
<w:pPr><w:pStyle w:val="Normal"/></w:pPr>
<w:r><w:t xml:space="preserve">counties, and settlers flocked in.  This caused a disagreement</w:t></w:r>
</w:p>
<w:p>
<w:pPr><w:pStyle w:val="Normal"/></w:pPr>
<w:r><w:t xml:space="preserve">between Alabama and the United States authorities; although</w:t></w:r>
</w:p>
<w:p>
<w:pPr><w:pStyle w:val="Normal"/></w:pPr>
<w:r><w:t xml:space="preserve">it was amicably setrled, it engendered a feeling that the</w:t></w:r>
</w:p>
<w:p>
<w:pPr><w:pStyle w:val="Normal"/></w:pPr>
<w:r><w:t xml:space="preserve">policy of the national government might not be in harmony with</w:t></w:r>
</w:p>
<w:p>
<w:pPr><w:pStyle w:val="Normal"/></w:pPr>
<w:r><w:t xml:space="preserve">the interests of the state---a feeling which, intensified by</w:t></w:r>
</w:p>
<w:p>
<w:pPr><w:pStyle w:val="Normal"/></w:pPr>
<w:r><w:t xml:space="preserve">the slavery agitation, did much to cause secession in 1861.</w:t></w:r>
</w:p>
<w:p>
<w:pPr><w:pStyle w:val="Normal"/></w:pPr>
<w:r><w:t xml:space="preserve">The political history of Alabama may be divided</w:t></w:r>
</w:p>
<w:p>
<w:pPr><w:pStyle w:val="Normal"/></w:pPr>
<w:r><w:t xml:space="preserve">into three periods, that prior to 1860, the years</w:t></w:r>
</w:p>
<w:p>
<w:pPr><w:pStyle w:val="Normal"/></w:pPr>
<w:r><w:t xml:space="preserve">from 1860 to 1876, and the period from 1876 onwards.</w:t></w:r>
</w:p>
<w:p>
<w:pPr><w:pStyle w:val="Normal"/></w:pPr>
<w:r><w:t xml:space="preserve">The first of these is the only period of altogether healthy</w:t></w:r>
</w:p>
<w:p>
<w:pPr><w:pStyle w:val="Normal"/></w:pPr>
<w:r><w:t xml:space="preserve">political life.  Until 1832 there was only one party in the</w:t></w:r>
</w:p>
<w:p>
<w:pPr><w:pStyle w:val="Normal"/></w:pPr>
<w:r><w:t xml:space="preserve">state, the Democratic, but the question of nullification caused</w:t></w:r>
</w:p>
<w:p>
<w:pPr><w:pStyle w:val="Normal"/></w:pPr>
<w:r><w:t xml:space="preserve">a division that year into the (Jackson) Democratic party and</w:t></w:r>
</w:p>
<w:p>
<w:pPr><w:pStyle w:val="Normal"/></w:pPr>
<w:r><w:t xml:space="preserve">the State&apos;s Rights (Calhoun Democratic) party; about the same</w:t></w:r>
</w:p>
<w:p>
<w:pPr><w:pStyle w:val="Normal"/></w:pPr>
<w:r><w:t xml:space="preserve">time, also, there arose, chiefly in those counties where the</w:t></w:r>
</w:p>
<w:p>
<w:pPr><w:pStyle w:val="Normal"/></w:pPr>
<w:r><w:t xml:space="preserve">proportion of slaves to freemen was greater and the freemen</w:t></w:r>
</w:p>
<w:p>
<w:pPr><w:pStyle w:val="Normal"/></w:pPr>
<w:r><w:t xml:space="preserve">were most aristocratic, the Whig party.  For some time the</w:t></w:r>
</w:p>
<w:p>
<w:pPr><w:pStyle w:val="Normal"/></w:pPr>
<w:r><w:t xml:space="preserve">Whigs were nearly as numerous as the Democrats, but they</w:t></w:r>
</w:p>
<w:p>
<w:pPr><w:pStyle w:val="Normal"/></w:pPr>
<w:r><w:t xml:space="preserve">never secured control of the state government.  The State&apos;s</w:t></w:r>
</w:p>
<w:p>
<w:pPr><w:pStyle w:val="Normal"/></w:pPr>
<w:r><w:t xml:space="preserve">Rights men were in a minority; nevertheless under their active</w:t></w:r>
</w:p>
<w:p>
<w:pPr><w:pStyle w:val="Normal"/></w:pPr>
<w:r><w:t xml:space="preserve">and persistent leader, William L. Yancey (1814-1863), they</w:t></w:r>
</w:p>
<w:p>
<w:pPr><w:pStyle w:val="Normal"/></w:pPr>
<w:r><w:t xml:space="preserve">pvevailed upon the Democrats in 1848 to adopt their most radical</w:t></w:r>
</w:p>
<w:p>
<w:pPr><w:pStyle w:val="Normal"/></w:pPr>
<w:r><w:t xml:space="preserve">views.  During the agitation over the introduction of slavery</w:t></w:r>
</w:p>
<w:p>
<w:pPr><w:pStyle w:val="Normal"/></w:pPr>
<w:r><w:t xml:space="preserve">into the territory acquired from Mexico, Yancey induced the</w:t></w:r>
</w:p>
<w:p>
<w:pPr><w:pStyle w:val="Normal"/></w:pPr>
<w:r><w:t xml:space="preserve">Democratic State Convention of 1848 to adopt what is known</w:t></w:r>
</w:p>
<w:p>
<w:pPr><w:pStyle w:val="Normal"/></w:pPr>
<w:r><w:t xml:space="preserve">as the ``Alabama Platform,&apos;&apos; which declared in substance</w:t></w:r>
</w:p>
<w:p>
<w:pPr><w:pStyle w:val="Normal"/></w:pPr>
<w:r><w:t xml:space="preserve">that neither Congress nor the government of a territory</w:t></w:r>
</w:p>
<w:p>
<w:pPr><w:pStyle w:val="Normal"/></w:pPr>
<w:r><w:t xml:space="preserve">had the right to interfere with slavery in a territory,</w:t></w:r>
</w:p>
<w:p>
<w:pPr><w:pStyle w:val="Normal"/></w:pPr>
<w:r><w:t xml:space="preserve">that those who held opposite views were not Democrats, and</w:t></w:r>
</w:p>
<w:p>
<w:pPr><w:pStyle w:val="Normal"/></w:pPr>
<w:r><w:t xml:space="preserve">that the Democrats of Alabama would not support a candidate</w:t></w:r>
</w:p>
<w:p>
<w:pPr><w:pStyle w:val="Normal"/></w:pPr>
<w:r><w:t xml:space="preserve">for the presidency if he did not agree with them on these</w:t></w:r>
</w:p>
<w:p>
<w:pPr><w:pStyle w:val="Normal"/></w:pPr>
<w:r><w:t xml:space="preserve">questions.  This platform was endorsed by conventions in</w:t></w:r>
</w:p>
<w:p>
<w:pPr><w:pStyle w:val="Normal"/></w:pPr>
<w:r><w:t xml:space="preserve">Florida and Virginia and by the legislatures of Georgia and</w:t></w:r>
</w:p>
<w:p>
<w:pPr><w:pStyle w:val="Normal"/></w:pPr>
<w:r><w:t xml:space="preserve">Alabama.  Old party lines were broken by the Compromise of</w:t></w:r>
</w:p>
<w:p>
<w:pPr><w:pStyle w:val="Normal"/></w:pPr>
<w:r><w:t xml:space="preserve">1850.  The State&apos;s Rights party, joined by many Democrats,</w:t></w:r>
</w:p>
<w:p>
<w:pPr><w:pStyle w:val="Normal"/></w:pPr>
<w:r><w:t xml:space="preserve">founded the Southern Rights party, which demanded the</w:t></w:r>
</w:p>
<w:p>
<w:pPr><w:pStyle w:val="Normal"/></w:pPr>
<w:r><w:t xml:space="preserve">repeal of the Compromise, advocated resistance to future</w:t></w:r>
</w:p>
<w:p>
<w:pPr><w:pStyle w:val="Normal"/></w:pPr>
<w:r><w:t xml:space="preserve">encroachments and prepared for secession, while the Whigs,</w:t></w:r>
</w:p>
<w:p>
<w:pPr><w:pStyle w:val="Normal"/></w:pPr>
<w:r><w:t xml:space="preserve">joined by the remaining Democrats, formed the party known as</w:t></w:r>
</w:p>
<w:p>
<w:pPr><w:pStyle w:val="Normal"/></w:pPr>
<w:r><w:t xml:space="preserve">the ``Unionists,&apos;&apos; which unwillingly accepted the Compromise</w:t></w:r>
</w:p>
<w:p>
<w:pPr><w:pStyle w:val="Normal"/></w:pPr>
<w:r><w:t xml:space="preserve">and denied the ``constitutional&apos;&apos; right of secession.  The</w:t></w:r>
</w:p>
<w:p>
<w:pPr><w:pStyle w:val="Normal"/></w:pPr>
<w:r><w:t xml:space="preserve">``Unionists&apos;&apos; were successful in the elections of 1851 and</w:t></w:r>
</w:p>
<w:p>
<w:pPr><w:pStyle w:val="Normal"/></w:pPr>
<w:r><w:t xml:space="preserve">1852, but the feeling of uncertainty engendered in the south</w:t></w:r>
</w:p>
<w:p>
<w:pPr><w:pStyle w:val="Normal"/></w:pPr>
<w:r><w:t xml:space="preserve">by the passage of the Kansas-Nebraska Bill and the course</w:t></w:r>
</w:p>
<w:p>
<w:pPr><w:pStyle w:val="Normal"/></w:pPr>
<w:r><w:t xml:space="preserve">of the slavery agitation after 1852 led the State Democratic</w:t></w:r>
</w:p>
<w:p>
<w:pPr><w:pStyle w:val="Normal"/></w:pPr>
<w:r><w:t xml:space="preserve">convention of 1856 to revive the ``Alabama Platform&apos;&apos;; and when</w:t></w:r>
</w:p>
<w:p>
<w:pPr><w:pStyle w:val="Normal"/></w:pPr>
<w:r><w:t xml:space="preserve">the `i Alabama Platform&apos;&apos; failed to secure the formal approval</w:t></w:r>
</w:p>
<w:p>
<w:pPr><w:pStyle w:val="Normal"/></w:pPr>
<w:r><w:t xml:space="preserve">of the Democratic National convention at Charleston, South</w:t></w:r>
</w:p>
<w:p>
<w:pPr><w:pStyle w:val="Normal"/></w:pPr>
<w:r><w:t xml:space="preserve">Carolina, in 1860, the Alabama delegates, followed by those</w:t></w:r>
</w:p>
<w:p>
<w:pPr><w:pStyle w:val="Normal"/></w:pPr>
<w:r><w:t xml:space="preserve">of the other cotton ``states,&apos;&apos; withdrew.  Upon the election</w:t></w:r>
</w:p>
<w:p>
<w:pPr><w:pStyle w:val="Normal"/></w:pPr>
<w:r><w:t xml:space="preserve">of Abraham Lincoln, Governor Andrew B. Moore, according to</w:t></w:r>
</w:p>
<w:p>
<w:pPr><w:pStyle w:val="Normal"/></w:pPr>
<w:r><w:t xml:space="preserve">previous instructions of the legislature, called a state</w:t></w:r>
</w:p>
<w:p>
<w:pPr><w:pStyle w:val="Normal"/></w:pPr>
<w:r><w:t xml:space="preserve">convention on the 7th of January 1861 After long debate this</w:t></w:r>
</w:p>
<w:p>
<w:pPr><w:pStyle w:val="Normal"/></w:pPr>
<w:r><w:t xml:space="preserve">convention adopted on the 11th of January an ordinance of</w:t></w:r>
</w:p>
<w:p>
<w:pPr><w:pStyle w:val="Normal"/></w:pPr>
<w:r><w:t xml:space="preserve">secession, and Alabama became one of the Confederate states of</w:t></w:r>
</w:p>
<w:p>
<w:pPr><w:pStyle w:val="Normal"/></w:pPr>
<w:r><w:t xml:space="preserve">America, whose government was organized at Montgomery on the 4th</w:t></w:r>
</w:p>
<w:p>
<w:pPr><w:pStyle w:val="Normal"/></w:pPr>
<w:r><w:t xml:space="preserve">of February 1861.  Yet secession was opposed by many prominent</w:t></w:r>
</w:p>
<w:p>
<w:pPr><w:pStyle w:val="Normal"/></w:pPr>
<w:r><w:t xml:space="preserve">men, and in North Alabama an attempt was made to organize</w:t></w:r>
</w:p>
<w:p>
<w:pPr><w:pStyle w:val="Normal"/></w:pPr>
<w:r><w:t xml:space="preserve">a neutral state to be called Nickajack; but with President</w:t></w:r>
</w:p>
<w:p>
<w:pPr><w:pStyle w:val="Normal"/></w:pPr>
<w:r><w:t xml:space="preserve">Lincoln&apos;s call to arms all opposition to secession ended.</w:t></w:r>
</w:p>
<w:p>
<w:pPr><w:pStyle w:val="Normal"/></w:pPr>
<w:r><w:t xml:space="preserve">In the early part of the Civil War Alabama was not the scene</w:t></w:r>
</w:p>
<w:p>
<w:pPr><w:pStyle w:val="Normal"/></w:pPr>
<w:r><w:t xml:space="preserve">of military operations, yet the state contributed about</w:t></w:r>
</w:p>
<w:p>
<w:pPr><w:pStyle w:val="Normal"/></w:pPr>
<w:r><w:t xml:space="preserve">120,000 men to the Confederate service, practically all her</w:t></w:r>
</w:p>
<w:p>
<w:pPr><w:pStyle w:val="Normal"/></w:pPr>
<w:r><w:t xml:space="preserve">white population capable of bearing arms, and thirty-nine</w:t></w:r>
</w:p>
<w:p>
<w:pPr><w:pStyle w:val="Normal"/></w:pPr>
<w:r><w:t xml:space="preserve">of these attained the rank of general.  In 1863 the Federal</w:t></w:r>
</w:p>
<w:p>
<w:pPr><w:pStyle w:val="Normal"/></w:pPr>
<w:r><w:t xml:space="preserve">forces secured a foothold in northern Alabama in spite of</w:t></w:r>
</w:p>
<w:p>
<w:pPr><w:pStyle w:val="Normal"/></w:pPr>
<w:r><w:t xml:space="preserve">the opposition of General Nathan B. Forrest, one of the</w:t></w:r>
</w:p>
<w:p>
<w:pPr><w:pStyle w:val="Normal"/></w:pPr>
<w:r><w:t xml:space="preserve">ablest Confederate cavalry leaders.  In 1864 the defences</w:t></w:r>
</w:p>
<w:p>
<w:pPr><w:pStyle w:val="Normal"/></w:pPr>
<w:r><w:t xml:space="preserve">of Mobile were taken by a Federal fleet, but the city held</w:t></w:r>
</w:p>
<w:p>
<w:pPr><w:pStyle w:val="Normal"/></w:pPr>
<w:r><w:t xml:space="preserve">out until April 1865; in the same month Selma also fell.</w:t></w:r>
</w:p>
<w:p>
<w:pPr><w:pStyle w:val="Normal"/></w:pPr>
<w:r><w:t xml:space="preserve">According to the presidential plan of reorganization, a</w:t></w:r>
</w:p>
<w:p>
<w:pPr><w:pStyle w:val="Normal"/></w:pPr>
<w:r><w:t xml:space="preserve">provisional governor for Alabama was appointed in June 1865; a</w:t></w:r>
</w:p>
<w:p>
<w:pPr><w:pStyle w:val="Normal"/></w:pPr>
<w:r><w:t xml:space="preserve">state convention met in September of the same year, and declared</w:t></w:r>
</w:p>
<w:p>
<w:pPr><w:pStyle w:val="Normal"/></w:pPr>
<w:r><w:t xml:space="preserve">the ordinance of secession null and void and slavery abolished;</w:t></w:r>
</w:p>
<w:p>
<w:pPr><w:pStyle w:val="Normal"/></w:pPr>
<w:r><w:t xml:space="preserve">a legislature and a governor were elected in November, the</w:t></w:r>
</w:p>
<w:p>
<w:pPr><w:pStyle w:val="Normal"/></w:pPr>
<w:r><w:t xml:space="preserve">legislature was at once recognized by the National government,</w:t></w:r>
</w:p>
<w:p>
<w:pPr><w:pStyle w:val="Normal"/></w:pPr>
<w:r><w:t xml:space="preserve">and the inauguration of the governor-elect was permitted after</w:t></w:r>
</w:p>
<w:p>
<w:pPr><w:pStyle w:val="Normal"/></w:pPr>
<w:r><w:t xml:space="preserve">the legislature had, in December, ratified the thirteenth</w:t></w:r>
</w:p>
<w:p>
<w:pPr><w:pStyle w:val="Normal"/></w:pPr>
<w:r><w:t xml:space="preserve">amendment.  But the passage, by the legislature, of vagrancy</w:t></w:r>
</w:p>
<w:p>
<w:pPr><w:pStyle w:val="Normal"/></w:pPr>
<w:r><w:t xml:space="preserve">and apprenticeship laws designed to control the negroes who</w:t></w:r>
</w:p>
<w:p>
<w:pPr><w:pStyle w:val="Normal"/></w:pPr>
<w:r><w:t xml:space="preserve">were flocking from the plantations to the cities, and its</w:t></w:r>
</w:p>
<w:p>
<w:pPr><w:pStyle w:val="Normal"/></w:pPr>
<w:r><w:t xml:space="preserve">rejection of the fourteenth amendment, so intensified the</w:t></w:r>
</w:p>
<w:p>
<w:pPr><w:pStyle w:val="Normal"/></w:pPr>
<w:r><w:t xml:space="preserve">congressional hostility to the presidential plan that the</w:t></w:r>
</w:p>
<w:p>
<w:pPr><w:pStyle w:val="Normal"/></w:pPr>
<w:r><w:t xml:space="preserve">Alabama senators and representatives were denied their seats in</w:t></w:r>
</w:p>
<w:p>
<w:pPr><w:pStyle w:val="Normal"/></w:pPr>
<w:r><w:t xml:space="preserve">Congress.  In 1867 the congressional plan of reconstruction</w:t></w:r>
</w:p>
<w:p>
<w:pPr><w:pStyle w:val="Normal"/></w:pPr>
<w:r><w:t xml:space="preserve">was completed and Alabama was placed under military</w:t></w:r>
</w:p>
<w:p>
<w:pPr><w:pStyle w:val="Normal"/></w:pPr>
<w:r><w:t xml:space="preserve">government.  The negroes were now enrolled as voters and</w:t></w:r>
</w:p>
<w:p>
<w:pPr><w:pStyle w:val="Normal"/></w:pPr>
<w:r><w:t xml:space="preserve">large numbers of white citizens were disfranchised.4 A Black</w:t></w:r>
</w:p>
<w:p>
<w:pPr><w:pStyle w:val="Normal"/></w:pPr>
<w:r><w:t xml:space="preserve">Man&apos;s Party, composed of negroes, and political adventurers</w:t></w:r>
</w:p>
<w:p>
<w:pPr><w:pStyle w:val="Normal"/></w:pPr>
<w:r><w:t xml:space="preserve">known as ``carpet-baggers,&apos;&apos; was formed, which co-operated</w:t></w:r>
</w:p>
<w:p>
<w:pPr><w:pStyle w:val="Normal"/></w:pPr>
<w:r><w:t xml:space="preserve">with the Republican party.  A constitutional convention,</w:t></w:r>
</w:p>
<w:p>
<w:pPr><w:pStyle w:val="Normal"/></w:pPr>
<w:r><w:t xml:space="preserve">controlled by this element, met in November 1867, and framed</w:t></w:r>
</w:p>
<w:p>
<w:pPr><w:pStyle w:val="Normal"/></w:pPr>
<w:r><w:t xml:space="preserve">a constitution which conferred suffrage on negroes and</w:t></w:r>
</w:p>
<w:p>
<w:pPr><w:pStyle w:val="Normal"/></w:pPr>
<w:r><w:t xml:space="preserve">disfranchised a large class of whites.  The Reconstruction Acts</w:t></w:r>
</w:p>
<w:p>
<w:pPr><w:pStyle w:val="Normal"/></w:pPr>
<w:r><w:t xml:space="preserve">of Congress required every new constitution to be ratified by</w:t></w:r>
</w:p>
<w:p>
<w:pPr><w:pStyle w:val="Normal"/></w:pPr>
<w:r><w:t xml:space="preserve">a majority of the legal voters of the state.  The whites of</w:t></w:r>
</w:p>
<w:p>
<w:pPr><w:pStyle w:val="Normal"/></w:pPr>
<w:r><w:t xml:space="preserve">Alabama therefore stayed away from the polls, and, after five</w:t></w:r>
</w:p>
<w:p>
<w:pPr><w:pStyle w:val="Normal"/></w:pPr>
<w:r><w:t xml:space="preserve">days of voting, the constitution wanted 13,550 to secure a</w:t></w:r>
</w:p>
<w:p>
<w:pPr><w:pStyle w:val="Normal"/></w:pPr>
<w:r><w:t xml:space="preserve">majority.  Congress then enacted that a majority of the</w:t></w:r>
</w:p>
<w:p>
<w:pPr><w:pStyle w:val="Normal"/></w:pPr>
<w:r><w:t xml:space="preserve">votes cast should be sufficient, and thus the constitution</w:t></w:r>
</w:p>
<w:p>
<w:pPr><w:pStyle w:val="Normal"/></w:pPr>
<w:r><w:t xml:space="preserve">went into effect, the state was admitted to the Union in</w:t></w:r>
</w:p>
<w:p>
<w:pPr><w:pStyle w:val="Normal"/></w:pPr>
<w:r><w:t xml:space="preserve">June 1868, and a new governor and legislature were elected.</w:t></w:r>
</w:p>
<w:p>
<w:pPr><w:pStyle w:val="Normal"/></w:pPr>
<w:r><w:t xml:space="preserve">The next two years are notable for legislative extravagance and</w:t></w:r>
</w:p>
<w:p>
<w:pPr><w:pStyle w:val="Normal"/></w:pPr>
<w:r><w:t xml:space="preserve">corruption.  The state endorsed railway bonds at the rate of</w:t></w:r>
</w:p>
<w:p>
<w:pPr><w:pStyle w:val="Normal"/></w:pPr>
<w:r><w:t xml:space="preserve">$12,000 and $16,000 a mile until the state debt had increased</w:t></w:r>
</w:p>
<w:p>
<w:pPr><w:pStyle w:val="Normal"/></w:pPr>
<w:r><w:t xml:space="preserve">from eight millions to seventeen millions of dollars, and similar</w:t></w:r>
</w:p>
<w:p>
<w:pPr><w:pStyle w:val="Normal"/></w:pPr>
<w:r><w:t xml:space="preserve">corruption characterized local government.  The native white</w:t></w:r>
</w:p>
<w:p>
<w:pPr><w:pStyle w:val="Normal"/></w:pPr>
<w:r><w:t xml:space="preserve">people united, formed a Conservative party and elected a governor</w:t></w:r>
</w:p>
<w:p>
<w:pPr><w:pStyle w:val="Normal"/></w:pPr>
<w:r><w:t xml:space="preserve">and a majority of the lower house of the legislature in 1870;</w:t></w:r>
</w:p>
<w:p>
<w:pPr><w:pStyle w:val="Normal"/></w:pPr>
<w:r><w:t xml:space="preserve">but, as the new administration was largely a failure, in 1872</w:t></w:r>
</w:p>
<w:p>
<w:pPr><w:pStyle w:val="Normal"/></w:pPr>
<w:r><w:t xml:space="preserve">there was a reaction in favour of the Radicals, a local term</w:t></w:r>
</w:p>
<w:p>
<w:pPr><w:pStyle w:val="Normal"/></w:pPr>
<w:r><w:t xml:space="preserve">applied to the Republican party, and affairs went from bad to</w:t></w:r>
</w:p>
<w:p>
<w:pPr><w:pStyle w:val="Normal"/></w:pPr>
<w:r><w:t xml:space="preserve">worse.  In 1874, however, the power of the Radicals was</w:t></w:r>
</w:p>
<w:p>
<w:pPr><w:pStyle w:val="Normal"/></w:pPr>
<w:r><w:t xml:space="preserve">finally broken, the Conservative Democrats electing all state</w:t></w:r>
</w:p>
<w:p>
<w:pPr><w:pStyle w:val="Normal"/></w:pPr>
<w:r><w:t xml:space="preserve">officials.  A commission appointed to examine the state debt</w:t></w:r>
</w:p>
<w:p>
<w:pPr><w:pStyle w:val="Normal"/></w:pPr>
<w:r><w:t xml:space="preserve">found it to be $25,503,000; by compromise it was reduced to</w:t></w:r>
</w:p>
<w:p>
<w:pPr><w:pStyle w:val="Normal"/></w:pPr>
<w:r><w:t xml:space="preserve">$15,000,000.  A new constitution was adopted in 1875, which</w:t></w:r>
</w:p>
<w:p>
<w:pPr><w:pStyle w:val="Normal"/></w:pPr>
<w:r><w:t xml:space="preserve">omitted the guaranty of the previous constitution that no one</w:t></w:r>
</w:p>
<w:p>
<w:pPr><w:pStyle w:val="Normal"/></w:pPr>
<w:r><w:t xml:space="preserve">should be denied suffrage on account of race, colour or previous</w:t></w:r>
</w:p>
<w:p>
<w:pPr><w:pStyle w:val="Normal"/></w:pPr>
<w:r><w:t xml:space="preserve">condition of servitude, and forbade the state to engage in internal</w:t></w:r>
</w:p>
<w:p>
<w:pPr><w:pStyle w:val="Normal"/></w:pPr>
<w:r><w:t xml:space="preserve">improvements or to give its credit to any private enterprise.</w:t></w:r>
</w:p>
<w:p>
<w:pPr><w:pStyle w:val="Normal"/></w:pPr>
<w:r><w:t xml:space="preserve">Since 1874 the Democratic party has had constant control of</w:t></w:r>
</w:p>
<w:p>
<w:pPr><w:pStyle w:val="Normal"/></w:pPr>
<w:r><w:t xml:space="preserve">the state administration, the Republicans failing to make</w:t></w:r>
</w:p>
<w:p>
<w:pPr><w:pStyle w:val="Normal"/></w:pPr>
<w:r><w:t xml:space="preserve">nominations for office in 1878 and 1880 and endorsing the ticket</w:t></w:r>
</w:p>
<w:p>
<w:pPr><w:pStyle w:val="Normal"/></w:pPr>
<w:r><w:t xml:space="preserve">of the Greenback party in 1882.  The development of mining and</w:t></w:r>
</w:p>
<w:p>
<w:pPr><w:pStyle w:val="Normal"/></w:pPr>
<w:r><w:t xml:space="preserve">manufacturing was accompanied by economic distress among the</w:t></w:r>
</w:p>
<w:p>
<w:pPr><w:pStyle w:val="Normal"/></w:pPr>
<w:r><w:t xml:space="preserve">farming classes, which found expression in the Jeffersonian</w:t></w:r>
</w:p>
<w:p>
<w:pPr><w:pStyle w:val="Normal"/></w:pPr>
<w:r><w:t xml:space="preserve">Democratic party, organized in 1892.  The regular Democratic</w:t></w:r>
</w:p>
<w:p>
<w:pPr><w:pStyle w:val="Normal"/></w:pPr>
<w:r><w:t xml:space="preserve">ticket was elected and the new party was then merged into</w:t></w:r>
</w:p>
<w:p>
<w:pPr><w:pStyle w:val="Normal"/></w:pPr>
<w:r><w:t xml:space="preserve">the Populist party.  In 1894 the Republicans united with the</w:t></w:r>
</w:p>
<w:p>
<w:pPr><w:pStyle w:val="Normal"/></w:pPr>
<w:r><w:t xml:space="preserve">Populists, elected three congressional representatives, secured</w:t></w:r>
</w:p>
<w:p>
<w:pPr><w:pStyle w:val="Normal"/></w:pPr>
<w:r><w:t xml:space="preserve">control of many of the counties, but failed to carry the state,</w:t></w:r>
</w:p>
<w:p>
<w:pPr><w:pStyle w:val="Normal"/></w:pPr>
<w:r><w:t xml:space="preserve">and continued their opposition with less success in the next</w:t></w:r>
</w:p>
<w:p>
<w:pPr><w:pStyle w:val="Normal"/></w:pPr>
<w:r><w:t xml:space="preserve">campaigns.  Partisanship became intense, and charges of corruption</w:t></w:r>
</w:p>
<w:p>
<w:pPr><w:pStyle w:val="Normal"/></w:pPr>
<w:r><w:t xml:space="preserve">of the ignorant negro electorate were made.  Consequently</w:t></w:r>
</w:p>
<w:p>
<w:pPr><w:pStyle w:val="Normal"/></w:pPr>
<w:r><w:t xml:space="preserve">after division on the subject among the Democrats themselves,</w:t></w:r>
</w:p>
<w:p>
<w:pPr><w:pStyle w:val="Normal"/></w:pPr>
<w:r><w:t xml:space="preserve">as well as opposition of Republicans and Populists, a new</w:t></w:r>
</w:p>
<w:p>
<w:pPr><w:pStyle w:val="Normal"/></w:pPr>
<w:r><w:t xml:space="preserve">constitution with restrictions on suffrage was adopted in 1901.</w:t></w:r>
</w:p>
<w:p>
<w:pPr><w:pStyle w:val="Normal"/></w:pPr>
<w:r><w:t xml:space="preserve">The following is a list of the territorial and state governors of Alabama:--</w:t></w:r>
</w:p>
<w:p>
<w:pPr><w:pStyle w:val="Normal"/></w:pPr>
<w:r><w:t xml:space="preserve">Governors of the Territory.</w:t></w:r>
</w:p>
<w:p>
<w:pPr><w:pStyle w:val="Normal"/></w:pPr>
<w:r><w:t xml:space="preserve">William Wyatt Bibb . . . .  1817-1819</w:t></w:r>
</w:p>
<w:p>
<w:pPr><w:pStyle w:val="Normal"/></w:pPr>
<w:r><w:t xml:space="preserve">Governors of the State.</w:t></w:r>
</w:p>
<w:p>
<w:pPr><w:pStyle w:val="Normal"/></w:pPr>
<w:r><w:t xml:space="preserve">William Wyatt Bibb . . . .  1819-1820      Democrat.</w:t></w:r>
</w:p>
<w:p>
<w:pPr><w:pStyle w:val="Normal"/></w:pPr>
<w:r><w:t xml:space="preserve">Thomas Bibb 5  . . . . . .  1820-1821          &quot;</w:t></w:r>
</w:p>
<w:p>
<w:pPr><w:pStyle w:val="Normal"/></w:pPr>
<w:r><w:t xml:space="preserve">Israel Pickens . . . . . .  1821-1825          &quot;</w:t></w:r>
</w:p>
<w:p>
<w:pPr><w:pStyle w:val="Normal"/></w:pPr>
<w:r><w:t xml:space="preserve">John Murphy  . . . . . . .  1825-1829          &quot;</w:t></w:r>
</w:p>
<w:p>
<w:pPr><w:pStyle w:val="Normal"/></w:pPr>
<w:r><w:t xml:space="preserve">Gabriel cloore . . . . . .  1829-1831          &quot;</w:t></w:r>
</w:p>
<w:p>
<w:pPr><w:pStyle w:val="Normal"/></w:pPr>
<w:r><w:t xml:space="preserve">Samuel B. Moore  . . . . .     1831            &quot;</w:t></w:r>
</w:p>
<w:p>
<w:pPr><w:pStyle w:val="Normal"/></w:pPr>
<w:r><w:t xml:space="preserve">John Gayle . . . . . . . .  1831-1835          &quot;</w:t></w:r>
</w:p>
<w:p>
<w:pPr><w:pStyle w:val="Normal"/></w:pPr>
<w:r><w:t xml:space="preserve">Clement C. Clay  . . . . .  1835-1837          &quot;</w:t></w:r>
</w:p>
<w:p>
<w:pPr><w:pStyle w:val="Normal"/></w:pPr>
<w:r><w:t xml:space="preserve">Hugh M`Vay 6 . . . . . . .     1837            &quot;</w:t></w:r>
</w:p>
<w:p>
<w:pPr><w:pStyle w:val="Normal"/></w:pPr>
<w:r><w:t xml:space="preserve">Arthur P. Bagby  . . . . .  1837-1841          &quot;</w:t></w:r>
</w:p>
<w:p>
<w:pPr><w:pStyle w:val="Normal"/></w:pPr>
<w:r><w:t xml:space="preserve">Benjamin Fitzpatrick 7 . .  1841-1845          &quot;</w:t></w:r>
</w:p>
<w:p>
<w:pPr><w:pStyle w:val="Normal"/></w:pPr>
<w:r><w:t xml:space="preserve">Joshua L. Martin . . . . .  1845-1847          &quot;</w:t></w:r>
</w:p>
<w:p>
<w:pPr><w:pStyle w:val="Normal"/></w:pPr>
<w:r><w:t xml:space="preserve">Reuben Chapman . . . . . .  1847-1849          &quot;</w:t></w:r>
</w:p>
<w:p>
<w:pPr><w:pStyle w:val="Normal"/></w:pPr>
<w:r><w:t xml:space="preserve">Henry W. Collier . . . . .  1849-1853          &quot;</w:t></w:r>
</w:p>
<w:p>
<w:pPr><w:pStyle w:val="Normal"/></w:pPr>
<w:r><w:t xml:space="preserve">John A. Winston  . . . . .  1853-1857          &quot;</w:t></w:r>
</w:p>
<w:p>
<w:pPr><w:pStyle w:val="Normal"/></w:pPr>
<w:r><w:t xml:space="preserve">Adrew B. Moore . . . . . .  1857-1861          &quot;</w:t></w:r>
</w:p>
<w:p>
<w:pPr><w:pStyle w:val="Normal"/></w:pPr>
<w:r><w:t xml:space="preserve">John Gill Shorter  . . . .  1861-1863          &quot;</w:t></w:r>
</w:p>
<w:p>
<w:pPr><w:pStyle w:val="Normal"/></w:pPr>
<w:r><w:t xml:space="preserve">Thomas H. Watts  . . . . .  1863-1865          &quot;</w:t></w:r>
</w:p>
<w:p>
<w:pPr><w:pStyle w:val="Normal"/></w:pPr>
<w:r><w:t xml:space="preserve">Lewis E. Parsons . . . . .     1865      Provisional.</w:t></w:r>
</w:p>
<w:p>
<w:pPr><w:pStyle w:val="Normal"/></w:pPr>
<w:r><w:t xml:space="preserve">Robert M. Patton . . . . .  1865-1867     Republican.</w:t></w:r>
</w:p>
<w:p>
<w:pPr><w:pStyle w:val="Normal"/></w:pPr>
<w:r><w:t xml:space="preserve">Wager Swayne . . . . . . .  1867-1868      Military.</w:t></w:r>
</w:p>
<w:p>
<w:pPr><w:pStyle w:val="Normal"/></w:pPr>
<w:r><w:t xml:space="preserve">William H. Smith . . . . .  1868-1870     Republican.</w:t></w:r>
</w:p>
<w:p>
<w:pPr><w:pStyle w:val="Normal"/></w:pPr>
<w:r><w:t xml:space="preserve">Robert B. Lindsay  . . . .  1870-1872      Democrat.</w:t></w:r>
</w:p>
<w:p>
<w:pPr><w:pStyle w:val="Normal"/></w:pPr>
<w:r><w:t xml:space="preserve">David P. Lewis . . . . . .  1872-1874     Republican.</w:t></w:r>
</w:p>
<w:p>
<w:pPr><w:pStyle w:val="Normal"/></w:pPr>
<w:r><w:t xml:space="preserve">Ceorge S. Houston  . . . .  1874-1878      Democrat.</w:t></w:r>
</w:p>
<w:p>
<w:pPr><w:pStyle w:val="Normal"/></w:pPr>
<w:r><w:t xml:space="preserve">Rufus W. Cobb  . . . . . .  1878-1882          &quot;</w:t></w:r>
</w:p>
<w:p>
<w:pPr><w:pStyle w:val="Normal"/></w:pPr>
<w:r><w:t xml:space="preserve">Edward A. O&apos;Neal . . . . .  1882-1886          &quot;</w:t></w:r>
</w:p>
<w:p>
<w:pPr><w:pStyle w:val="Normal"/></w:pPr>
<w:r><w:t xml:space="preserve">Thomas Seay  . . . . . . .  1886-1890          &quot;</w:t></w:r>
</w:p>
<w:p>
<w:pPr><w:pStyle w:val="Normal"/></w:pPr>
<w:r><w:t xml:space="preserve">Thomas G. Jones  . . . . .  1890-1894          &quot;</w:t></w:r>
</w:p>
<w:p>
<w:pPr><w:pStyle w:val="Normal"/></w:pPr>
<w:r><w:t xml:space="preserve">William C. Oates . . . . .  1894-1896          &quot;</w:t></w:r>
</w:p>
<w:p>
<w:pPr><w:pStyle w:val="Normal"/></w:pPr>
<w:r><w:t xml:space="preserve">Joseph F. Johnston . . . .  1896-1900          &quot;</w:t></w:r>
</w:p>
<w:p>
<w:pPr><w:pStyle w:val="Normal"/></w:pPr>
<w:r><w:t xml:space="preserve">William J. Samford . . . .  1900-1901          &quot;</w:t></w:r>
</w:p>
<w:p>
<w:pPr><w:pStyle w:val="Normal"/></w:pPr>
<w:r><w:t xml:space="preserve">William D. Jellis  . . . .  1901-1907          &quot;</w:t></w:r>
</w:p>
<w:p>
<w:pPr><w:pStyle w:val="Normal"/></w:pPr>
<w:r><w:t xml:space="preserve">B. B. Comer  . . . . . . .    1907             &quot;</w:t></w:r>
</w:p>
<w:p>
<w:pPr><w:pStyle w:val="Normal"/></w:pPr>
<w:r><w:t xml:space="preserve">BIBLIOGRAPHY.---For an elaborate bibliography of Alabama</w:t></w:r>
</w:p>
<w:p>
<w:pPr><w:pStyle w:val="Normal"/></w:pPr>
<w:r><w:t xml:space="preserve">(by Thomas M. Owen) see the Annual Report of the American</w:t></w:r>
</w:p>
<w:p>
<w:pPr><w:pStyle w:val="Normal"/></w:pPr>
<w:r><w:t xml:space="preserve">Historical Association for 1807 (Washington, 1898).</w:t></w:r>
</w:p>
<w:p>
<w:pPr><w:pStyle w:val="Normal"/></w:pPr>
<w:r><w:t xml:space="preserve">Information regarding the resources, climate, population</w:t></w:r>
</w:p>
<w:p>
<w:pPr><w:pStyle w:val="Normal"/></w:pPr>
<w:r><w:t xml:space="preserve">and industries of Alabama may be found in the reports of the</w:t></w:r>
</w:p>
<w:p>
<w:pPr><w:pStyle w:val="Normal"/></w:pPr>
<w:r><w:t xml:space="preserve">United Statescensus,and in the publications of the United</w:t></w:r>
</w:p>
<w:p>
<w:pPr><w:pStyle w:val="Normal"/></w:pPr>
<w:r><w:t xml:space="preserve">States Department of Agriculture, the United States Geological</w:t></w:r>
</w:p>
<w:p>
<w:pPr><w:pStyle w:val="Normal"/></w:pPr>
<w:r><w:t xml:space="preserve">Survey, the Bulletins of the Alabama Agricultural Experiment</w:t></w:r>
</w:p>
<w:p>
<w:pPr><w:pStyle w:val="Normal"/></w:pPr>
<w:r><w:t xml:space="preserve">Station (published at Auburn, from 1888), the Bulletins</w:t></w:r>
</w:p>
<w:p>
<w:pPr><w:pStyle w:val="Normal"/></w:pPr>
<w:r><w:t xml:space="preserve">and Reports of the Alabama Geological Survey (published at</w:t></w:r>
</w:p>
<w:p>
<w:pPr><w:pStyle w:val="Normal"/></w:pPr>
<w:r><w:t xml:space="preserve">Tuscaloosa and Montgomery), and in the following works:--B.</w:t></w:r>
</w:p>
<w:p>
<w:pPr><w:pStyle w:val="Normal"/></w:pPr>
<w:r><w:t xml:space="preserve">F. Riley&apos;s Alabama As It Is (Montgomery, 1893), and Saffold</w:t></w:r>
</w:p>
<w:p>
<w:pPr><w:pStyle w:val="Normal"/></w:pPr>
<w:r><w:t xml:space="preserve">Berney&apos;s Handbook of Alabama (2nd ed., Birmingham, 1892)</w:t></w:r>
</w:p>
<w:p>
<w:pPr><w:pStyle w:val="Normal"/></w:pPr>
<w:r><w:t xml:space="preserve">Information concerning the history of the state may be obtained</w:t></w:r>
</w:p>
<w:p>
<w:pPr><w:pStyle w:val="Normal"/></w:pPr>
<w:r><w:t xml:space="preserve">in William G. Brown&apos;s History of Alabama (New York, 1900);</w:t></w:r>
</w:p>
<w:p>
<w:pPr><w:pStyle w:val="Normal"/></w:pPr>
<w:r><w:t xml:space="preserve">Newton W. Bates&apos;s History and Civil Government of Alabama</w:t></w:r>
</w:p>
<w:p>
<w:pPr><w:pStyle w:val="Normal"/></w:pPr>
<w:r><w:t xml:space="preserve">(Florence, Ala, 1892); Willis Brewer&apos;s Alabama: Her History,</w:t></w:r>
</w:p>
<w:p>
<w:pPr><w:pStyle w:val="Normal"/></w:pPr>
<w:r><w:t xml:space="preserve">Resources, War Record and Public Men (Montgomery, 1872); A.</w:t></w:r>
</w:p>
<w:p>
<w:pPr><w:pStyle w:val="Normal"/></w:pPr>
<w:r><w:t xml:space="preserve">Davis Smith&apos;s and T. A. Deland&apos;s Northern Alabama, Historical</w:t></w:r>
</w:p>
<w:p>
<w:pPr><w:pStyle w:val="Normal"/></w:pPr>
<w:r><w:t xml:space="preserve">and Biographical (Birmingham, 1888); Albert J. Pickett&apos;s</w:t></w:r>
</w:p>
<w:p>
<w:pPr><w:pStyle w:val="Normal"/></w:pPr>
<w:r><w:t xml:space="preserve">History of Alabama (5th ed., 2 vols., Birmingham, Ala., 1900),</w:t></w:r>
</w:p>
<w:p>
<w:pPr><w:pStyle w:val="Normal"/></w:pPr>
<w:r><w:t xml:space="preserve">which contains a valuable compilation of the ``Annals of Alabama</w:t></w:r>
</w:p>
<w:p>
<w:pPr><w:pStyle w:val="Normal"/></w:pPr>
<w:r><w:t xml:space="preserve">from 1819 to 1900,&apos;&apos; by Thomas M. Owen; and Walter L. Fleming&apos;s</w:t></w:r>
</w:p>
<w:p>
<w:pPr><w:pStyle w:val="Normal"/></w:pPr>
<w:r><w:t xml:space="preserve">Civil War and Reconstruction in Alabama (New York, 1905). .</w:t></w:r>
</w:p>
<w:p>
<w:pPr><w:pStyle w:val="Normal"/></w:pPr>
<w:r><w:t xml:space="preserve">In addition, W. G. Clark&apos;s History of Education in Alabama</w:t></w:r>
</w:p>
<w:p>
<w:pPr><w:pStyle w:val="Normal"/></w:pPr>
<w:r><w:t xml:space="preserve">(Washington, 1889); W. E. Martin&apos;s Internal Improvements</w:t></w:r>
</w:p>
<w:p>
<w:pPr><w:pStyle w:val="Normal"/></w:pPr>
<w:r><w:t xml:space="preserve">in Alabama (Baltimore, 1902; Johns Hopkins University</w:t></w:r>
</w:p>
<w:p>
<w:pPr><w:pStyle w:val="Normal"/></w:pPr>
<w:r><w:t xml:space="preserve">Studies, (Series 20, No. 4); and W. L. Martin&apos;s Code of</w:t></w:r>
</w:p>
<w:p>
<w:pPr><w:pStyle w:val="Normal"/></w:pPr>
<w:r><w:t xml:space="preserve">Alabama (2 vols., Atlanta, Ga., 1897) may be consulted.</w:t></w:r>
</w:p>
<w:p>
<w:pPr><w:pStyle w:val="Normal"/></w:pPr>
<w:r><w:t xml:space="preserve">Information concerning the aboriginal remains in the state may</w:t></w:r>
</w:p>
<w:p>
<w:pPr><w:pStyle w:val="Normal"/></w:pPr>
<w:r><w:t xml:space="preserve">be found in two papers by Clarence B. Moore, ``Certain Aboriginal</w:t></w:r>
</w:p>
<w:p>
<w:pPr><w:pStyle w:val="Normal"/></w:pPr>
<w:r><w:t xml:space="preserve">Remains of the Tombigbee River&apos;&apos; and ``Certain Aboriginal Remains</w:t></w:r>
</w:p>
<w:p>
<w:pPr><w:pStyle w:val="Normal"/></w:pPr>
<w:r><w:t xml:space="preserve">of the Alabama River,&apos;&apos; published in the Journal of the Academy</w:t></w:r>
</w:p>
<w:p>
<w:pPr><w:pStyle w:val="Normal"/></w:pPr>
<w:r><w:t xml:space="preserve">of Natural Sciences, series 2, vol. ii. (Philadelphia, 1900).</w:t></w:r>
</w:p>
<w:p>
<w:pPr><w:pStyle w:val="Normal"/></w:pPr>
<w:r><w:t xml:space="preserve">1 The special census of manufactures taken in 1905 was</w:t></w:r>
</w:p>
<w:p>
<w:pPr><w:pStyle w:val="Normal"/></w:pPr>
<w:r><w:t xml:space="preserve">confined to manufacturing establishments conducted under</w:t></w:r>
</w:p>
<w:p>
<w:pPr><w:pStyle w:val="Normal"/></w:pPr>
<w:r><w:t xml:space="preserve">the ``factory system.&apos;&apos; According to this census the capital</w:t></w:r>
</w:p>
<w:p>
<w:pPr><w:pStyle w:val="Normal"/></w:pPr>
<w:r><w:t xml:space="preserve">invested was $105,382,859, and the value of products was</w:t></w:r>
</w:p>
<w:p>
<w:pPr><w:pStyle w:val="Normal"/></w:pPr>
<w:r><w:t xml:space="preserve">$109,169,922.  The corresponding figures for 1900, if the</w:t></w:r>
</w:p>
<w:p>
<w:pPr><w:pStyle w:val="Normal"/></w:pPr>
<w:r><w:t xml:space="preserve">same standard be taken for purposes of comparison, would be</w:t></w:r>
</w:p>
<w:p>
<w:pPr><w:pStyle w:val="Normal"/></w:pPr>
<w:r><w:t xml:space="preserve">$60,165,904 and $72,109,929.  During the five years, therefore,</w:t></w:r>
</w:p>
<w:p>
<w:pPr><w:pStyle w:val="Normal"/></w:pPr>
<w:r><w:t xml:space="preserve">the capital invested in establishments under the factory</w:t></w:r>
</w:p>
<w:p>
<w:pPr><w:pStyle w:val="Normal"/></w:pPr>
<w:r><w:t xml:space="preserve">system increased 75.2%, and the value of products 51.4%.</w:t></w:r>
</w:p>
<w:p>
<w:pPr><w:pStyle w:val="Normal"/></w:pPr>
<w:r><w:t xml:space="preserve">2 The railway mileage of the state on</w:t></w:r>
</w:p>
<w:p>
<w:pPr><w:pStyle w:val="Normal"/></w:pPr>
<w:r><w:t xml:space="preserve">the 31st of December 1906 was 4805.58 m.</w:t></w:r>
</w:p>
<w:p>
<w:pPr><w:pStyle w:val="Normal"/></w:pPr>
<w:r><w:t xml:space="preserve">3 In Giles v. Harris, 189 U.S. 474, a negro asked that the</w:t></w:r>
</w:p>
<w:p>
<w:pPr><w:pStyle w:val="Normal"/></w:pPr>
<w:r><w:t xml:space="preserve">defendant board of registry be required to enrol his name and</w:t></w:r>
</w:p>
<w:p>
<w:pPr><w:pStyle w:val="Normal"/></w:pPr>
<w:r><w:t xml:space="preserve">the names of other negroes on the registration lists, and that</w:t></w:r>
</w:p>
<w:p>
<w:pPr><w:pStyle w:val="Normal"/></w:pPr>
<w:r><w:t xml:space="preserve">certain sections of the constitution of Alabama be declared void</w:t></w:r>
</w:p>
<w:p>
<w:pPr><w:pStyle w:val="Normal"/></w:pPr>
<w:r><w:t xml:space="preserve">as being contrary to the fourteenth and fifteenth amendments</w:t></w:r>
</w:p>
<w:p>
<w:pPr><w:pStyle w:val="Normal"/></w:pPr>
<w:r><w:t xml:space="preserve">to the federal constitution.  The Supreme Court dismissed</w:t></w:r>
</w:p>
<w:p>
<w:pPr><w:pStyle w:val="Normal"/></w:pPr>
<w:r><w:t xml:space="preserve">the bill on the grounds that equity has no jurisdiction over</w:t></w:r>
</w:p>
<w:p>
<w:pPr><w:pStyle w:val="Normal"/></w:pPr>
<w:r><w:t xml:space="preserve">political matters; that, assuming the fraudulent character</w:t></w:r>
</w:p>
<w:p>
<w:pPr><w:pStyle w:val="Normal"/></w:pPr>
<w:r><w:t xml:space="preserve">of the objectionable constitutional provisions, the court</w:t></w:r>
</w:p>
<w:p>
<w:pPr><w:pStyle w:val="Normal"/></w:pPr>
<w:r><w:t xml:space="preserve">was in effect asked to assist in administering a fraud;</w:t></w:r>
</w:p>
<w:p>
<w:pPr><w:pStyle w:val="Normal"/></w:pPr>
<w:r><w:t xml:space="preserve">and that relief ``must be given by them [the people of the</w:t></w:r>
</w:p>
<w:p>
<w:pPr><w:pStyle w:val="Normal"/></w:pPr>
<w:r><w:t xml:space="preserve">state] or By the legislative and political departments of the</w:t></w:r>
</w:p>
<w:p>
<w:pPr><w:pStyle w:val="Normal"/></w:pPr>
<w:r><w:t xml:space="preserve">government of the United States.&apos;&apos; The case attracted much</w:t></w:r>
</w:p>
<w:p>
<w:pPr><w:pStyle w:val="Normal"/></w:pPr>
<w:r><w:t xml:space="preserve">attention; and it is often erroneously said that the court</w:t></w:r>
</w:p>
<w:p>
<w:pPr><w:pStyle w:val="Normal"/></w:pPr>
<w:r><w:t xml:space="preserve">upheld the disfranchising clauses of the Alabama constitution.</w:t></w:r>
</w:p>
<w:p>
<w:pPr><w:pStyle w:val="Normal"/></w:pPr>
<w:r><w:t xml:space="preserve">4 The enrolment was 104,318 blacks and 61,295 whites.</w:t></w:r>
</w:p>
<w:p>
<w:pPr><w:pStyle w:val="Normal"/></w:pPr>
<w:r><w:t xml:space="preserve">5 William Wyatt Bibb died in 1820, and Thomas Bibb, then president</w:t></w:r>
</w:p>
<w:p>
<w:pPr><w:pStyle w:val="Normal"/></w:pPr>
<w:r><w:t xml:space="preserve">of the state senate, filled the unexpired term of one year (1820).</w:t></w:r>
</w:p>
<w:p>
<w:pPr><w:pStyle w:val="Normal"/></w:pPr>
<w:r><w:t xml:space="preserve">6 In 1837 Governor Clay was elected United States Senator, and Hugh</w:t></w:r>
</w:p>
<w:p>
<w:pPr><w:pStyle w:val="Normal"/></w:pPr>
<w:r><w:t xml:space="preserve">M`Vay, the president of the state senate, filled the unexpired term.</w:t></w:r>
</w:p>
<w:p>
<w:pPr><w:pStyle w:val="Normal"/></w:pPr>
<w:r><w:t xml:space="preserve">7 Until 1845 the term of state officials was one year; from then</w:t></w:r>
</w:p>
<w:p>
<w:pPr><w:pStyle w:val="Normal"/></w:pPr>
<w:r><w:t xml:space="preserve">until 1901 it was two years; since 1901 it has been four years.</w:t></w:r>
</w:p>
<w:p>
<w:pPr><w:pStyle w:val="Normal"/></w:pPr>
<w:r><w:t xml:space="preserve">``ALABAMA&apos;&apos; ARBITRATION.---This is one of those arbitrations</w:t></w:r>
</w:p>
<w:p>
<w:pPr><w:pStyle w:val="Normal"/></w:pPr>
<w:r><w:t xml:space="preserve">on pecuniary claims, made by one state, on behalf of its</w:t></w:r>
</w:p>
<w:p>
<w:pPr><w:pStyle w:val="Normal"/></w:pPr>
<w:r><w:t xml:space="preserve">subjects, against another state, which are referred to in the</w:t></w:r>
</w:p>
<w:p>
<w:pPr><w:pStyle w:val="Normal"/></w:pPr>
<w:r><w:t xml:space="preserve">article ARBITRATION, INTERNATIONAL. The case is important,</w:t></w:r>
</w:p>
<w:p>
<w:pPr><w:pStyle w:val="Normal"/></w:pPr>
<w:r><w:t xml:space="preserve">both from a.historical and a juridical point of view, and</w:t></w:r>
</w:p>
<w:p>
<w:pPr><w:pStyle w:val="Normal"/></w:pPr>
<w:r><w:t xml:space="preserve">affords a conspicuous example of the value of arbitration</w:t></w:r>
</w:p>
<w:p>
<w:pPr><w:pStyle w:val="Normal"/></w:pPr>
<w:r><w:t xml:space="preserve">as a means of averting war.  The facts are as follows:--</w:t></w:r>
</w:p>
<w:p>
<w:pPr><w:pStyle w:val="Normal"/></w:pPr>
<w:r><w:t xml:space="preserve">In 1861 the Southern States of North America seceded from the</w:t></w:r>
</w:p>
<w:p>
<w:pPr><w:pStyle w:val="Normal"/></w:pPr>
<w:r><w:t xml:space="preserve">rest on the slavery question and set up a separate government</w:t></w:r>
</w:p>
<w:p>
<w:pPr><w:pStyle w:val="Normal"/></w:pPr>
<w:r><w:t xml:space="preserve">under President Jefferson Davis.  Hostilities began with the</w:t></w:r>
</w:p>
<w:p>
<w:pPr><w:pStyle w:val="Normal"/></w:pPr>
<w:r><w:t xml:space="preserve">capture of Fort Sumter by the Confederates on the 13th of April</w:t></w:r>
</w:p>
<w:p>
<w:pPr><w:pStyle w:val="Normal"/></w:pPr>
<w:r><w:t xml:space="preserve">1861.  On the 19th of April President Abraham Lincoln declared</w:t></w:r>
</w:p>
<w:p>
<w:pPr><w:pStyle w:val="Normal"/></w:pPr>
<w:r><w:t xml:space="preserve">a blockade of the southern ports.  On the 14th of May the</w:t></w:r>
</w:p>
<w:p>
<w:pPr><w:pStyle w:val="Normal"/></w:pPr>
<w:r><w:t xml:space="preserve">British government issued a proclamation of neutrality, by</w:t></w:r>
</w:p>
<w:p>
<w:pPr><w:pStyle w:val="Normal"/></w:pPr>
<w:r><w:t xml:space="preserve">which the Confederates were recognized as belligerents.  This</w:t></w:r>
</w:p>
<w:p>
<w:pPr><w:pStyle w:val="Normal"/></w:pPr>
<w:r><w:t xml:space="preserve">example was followed shortly afterwards by France and other</w:t></w:r>
</w:p>
<w:p>
<w:pPr><w:pStyle w:val="Normal"/></w:pPr>
<w:r><w:t xml:space="preserve">nations.  The blockade of the southern ports was not at</w:t></w:r>
</w:p>
<w:p>
<w:pPr><w:pStyle w:val="Normal"/></w:pPr>
<w:r><w:t xml:space="preserve">first effective, and blockade-running soon became an active</w:t></w:r>
</w:p>
<w:p>
<w:pPr><w:pStyle w:val="Normal"/></w:pPr>
<w:r><w:t xml:space="preserve">industry.  The Confederates established agencies in England</w:t></w:r>
</w:p>
<w:p>
<w:pPr><w:pStyle w:val="Normal"/></w:pPr>
<w:r><w:t xml:space="preserve">for the purchase of arms, which they despatched in ordinary</w:t></w:r>
</w:p>
<w:p>
<w:pPr><w:pStyle w:val="Normal"/></w:pPr>
<w:r><w:t xml:space="preserve">merchant vessels to the Bahamas, whence they were transhipped</w:t></w:r>
</w:p>
<w:p>
<w:pPr><w:pStyle w:val="Normal"/></w:pPr>
<w:r><w:t xml:space="preserve">into fast steamers especially constructed for the purpose.</w:t></w:r>
</w:p>
<w:p>
<w:pPr><w:pStyle w:val="Normal"/></w:pPr>
<w:r><w:t xml:space="preserve">In June 1862 the vessel, the ``Alabama,&apos;&apos; originally known as</w:t></w:r>
</w:p>
<w:p>
<w:pPr><w:pStyle w:val="Normal"/></w:pPr>
<w:r><w:t xml:space="preserve">``No. 290,&apos;&apos; was being built by Messrs.  Laird at Birkenhead.</w:t></w:r>
</w:p>
<w:p>
<w:pPr><w:pStyle w:val="Normal"/></w:pPr>
<w:r><w:t xml:space="preserve">She was then nearly completed and was obviously intended for a</w:t></w:r>
</w:p>
<w:p>
<w:pPr><w:pStyle w:val="Normal"/></w:pPr>
<w:r><w:t xml:space="preserve">man-of-war.  On the 23rd of June Mr C. F. Adams forwarded</w:t></w:r>
</w:p>
<w:p>
<w:pPr><w:pStyle w:val="Normal"/></w:pPr>
<w:r><w:t xml:space="preserve">to Earl Russell a letter from the United States consul at</w:t></w:r>
</w:p>
<w:p>
<w:pPr><w:pStyle w:val="Normal"/></w:pPr>
<w:r><w:t xml:space="preserve">Liverpool giving certain particulars as to her character.</w:t></w:r>
</w:p>
<w:p>
<w:pPr><w:pStyle w:val="Normal"/></w:pPr>
<w:r><w:t xml:space="preserve">This letter was laid before the law officers, who advised</w:t></w:r>
</w:p>
<w:p>
<w:pPr><w:pStyle w:val="Normal"/></w:pPr>
<w:r><w:t xml:space="preserve">that, if these particulars were correct, the vessel ought to be</w:t></w:r>
</w:p>
<w:p>
<w:pPr><w:pStyle w:val="Normal"/></w:pPr>
<w:r><w:t xml:space="preserve">detained.  On the 21st of July sworn evidence, which was</w:t></w:r>
</w:p>
<w:p>
<w:pPr><w:pStyle w:val="Normal"/></w:pPr>
<w:r><w:t xml:space="preserve">supplemented on the 23rd of July, was obtained and laid before</w:t></w:r>
</w:p>
<w:p>
<w:pPr><w:pStyle w:val="Normal"/></w:pPr>
<w:r><w:t xml:space="preserve">the commissioners of customs (who were the proper authorities</w:t></w:r>
</w:p>
<w:p>
<w:pPr><w:pStyle w:val="Normal"/></w:pPr>
<w:r><w:t xml:space="preserve">to enforce the provisions of the Foreign Enlistment Act of</w:t></w:r>
</w:p>
<w:p>
<w:pPr><w:pStyle w:val="Normal"/></w:pPr>
<w:r><w:t xml:space="preserve">1819), but they declined to move.  On the 23rd of July the same</w:t></w:r>
</w:p>
<w:p>
<w:pPr><w:pStyle w:val="Normal"/></w:pPr>
<w:r><w:t xml:space="preserve">evidence was laid before the law officers, who advised that</w:t></w:r>
</w:p>
<w:p>
<w:pPr><w:pStyle w:val="Normal"/></w:pPr>
<w:r><w:t xml:space="preserve">there was sufficient ground fordetention.  By some accident,</w:t></w:r>
</w:p>
<w:p>
<w:pPr><w:pStyle w:val="Normal"/></w:pPr>
<w:r><w:t xml:space="preserve">which has never been satisfactorily explained, but was probably</w:t></w:r>
</w:p>
<w:p>
<w:pPr><w:pStyle w:val="Normal"/></w:pPr>
<w:r><w:t xml:space="preserve">connected with the severe illness of Sir John Harding, the</w:t></w:r>
</w:p>
<w:p>
<w:pPr><w:pStyle w:val="Normal"/></w:pPr>
<w:r><w:t xml:space="preserve">queen&apos;s advocate, the papers were not returned till the 29th of</w:t></w:r>
</w:p>
<w:p>
<w:pPr><w:pStyle w:val="Normal"/></w:pPr>
<w:r><w:t xml:space="preserve">July.  Instructions were then issued to seize the vessel, but</w:t></w:r>
</w:p>
<w:p>
<w:pPr><w:pStyle w:val="Normal"/></w:pPr>
<w:r><w:t xml:space="preserve">she had already sailed on the evening of the 28th.  Although</w:t></w:r>
</w:p>
<w:p>
<w:pPr><w:pStyle w:val="Normal"/></w:pPr>
<w:r><w:t xml:space="preserve">she remained for two days off the coast of Anglesey, there was</w:t></w:r>
</w:p>
<w:p>
<w:pPr><w:pStyle w:val="Normal"/></w:pPr>
<w:r><w:t xml:space="preserve">no serious attempt at pursuit.  She afterwards made her way to</w:t></w:r>
</w:p>
<w:p>
<w:pPr><w:pStyle w:val="Normal"/></w:pPr>
<w:r><w:t xml:space="preserve">the Azores, where she received her armament, which was brought</w:t></w:r>
</w:p>
<w:p>
<w:pPr><w:pStyle w:val="Normal"/></w:pPr>
<w:r><w:t xml:space="preserve">from Liverpool in two British ships.  Captain Sommes there</w:t></w:r>
</w:p>
<w:p>
<w:pPr><w:pStyle w:val="Normal"/></w:pPr>
<w:r><w:t xml:space="preserve">took command of her under a commission from the Confederate</w:t></w:r>
</w:p>
<w:p>
<w:pPr><w:pStyle w:val="Normal"/></w:pPr>
<w:r><w:t xml:space="preserve">government.  After a most destructive career she was sunk</w:t></w:r>
</w:p>
<w:p>
<w:pPr><w:pStyle w:val="Normal"/></w:pPr>
<w:r><w:t xml:space="preserve">off Cherbourg by the ``Kearsarge&apos;&apos; on the 19th of June 1864.</w:t></w:r>
</w:p>
<w:p>
<w:pPr><w:pStyle w:val="Normal"/></w:pPr>
<w:r><w:t xml:space="preserve">On these facts the United States government alleged against</w:t></w:r>
</w:p>
<w:p>
<w:pPr><w:pStyle w:val="Normal"/></w:pPr>
<w:r><w:t xml:space="preserve">Great Britain two grievances, or sets of grievances.  The first</w:t></w:r>
</w:p>
<w:p>
<w:pPr><w:pStyle w:val="Normal"/></w:pPr>
<w:r><w:t xml:space="preserve">was the recognition of the Southern States as belligerents</w:t></w:r>
</w:p>
<w:p>
<w:pPr><w:pStyle w:val="Normal"/></w:pPr>
<w:r><w:t xml:space="preserve">and a general manifestation of unfriendliness in other</w:t></w:r>
</w:p>
<w:p>
<w:pPr><w:pStyle w:val="Normal"/></w:pPr>
<w:r><w:t xml:space="preserve">ways.  The second was in respect of breaches of neutrality</w:t></w:r>
</w:p>
<w:p>
<w:pPr><w:pStyle w:val="Normal"/></w:pPr>
<w:r><w:t xml:space="preserve">in allowing the ``Alabama,&apos;&apos; the ``Florida&apos;&apos; (originally the</w:t></w:r>
</w:p>
<w:p>
<w:pPr><w:pStyle w:val="Normal"/></w:pPr>
<w:r><w:t xml:space="preserve">``Oreto&apos;&apos;, the ``Shenandoah&apos;&apos; and other Confederate vessels</w:t></w:r>
</w:p>
<w:p>
<w:pPr><w:pStyle w:val="Normal"/></w:pPr>
<w:r><w:t xml:space="preserve">to be built and equipped on British territory.  Correspondence</w:t></w:r>
</w:p>
<w:p>
<w:pPr><w:pStyle w:val="Normal"/></w:pPr>
<w:r><w:t xml:space="preserve">ensued extending over several years.  At length in February</w:t></w:r>
</w:p>
<w:p>
<w:pPr><w:pStyle w:val="Normal"/></w:pPr>
<w:r><w:t xml:space="preserve">1871 a commission was appointed to sit at Washington in</w:t></w:r>
</w:p>
<w:p>
<w:pPr><w:pStyle w:val="Normal"/></w:pPr>
<w:r><w:t xml:space="preserve">order, if possible, to arrive at some common understanding</w:t></w:r>
</w:p>
<w:p>
<w:pPr><w:pStyle w:val="Normal"/></w:pPr>
<w:r><w:t xml:space="preserve">as to the mode in which the questions at issue might be</w:t></w:r>
</w:p>
<w:p>
<w:pPr><w:pStyle w:val="Normal"/></w:pPr>
<w:r><w:t xml:space="preserve">settled.  With resoect to the ``Alabama&apos;&apos; claims the British</w:t></w:r>
</w:p>
<w:p>
<w:pPr><w:pStyle w:val="Normal"/></w:pPr>
<w:r><w:t xml:space="preserve">commissioners suggested that they should be submitted to</w:t></w:r>
</w:p>
<w:p>
<w:pPr><w:pStyle w:val="Normal"/></w:pPr>
<w:r><w:t xml:space="preserve">arbitration.  The American commissioners refused ``unless</w:t></w:r>
</w:p>
<w:p>
<w:pPr><w:pStyle w:val="Normal"/></w:pPr>
<w:r><w:t xml:space="preserve">the principles which should govern the arbitrators in the</w:t></w:r>
</w:p>
<w:p>
<w:pPr><w:pStyle w:val="Normal"/></w:pPr>
<w:r><w:t xml:space="preserve">consideration of the facts could be first agreed upon.&apos;&apos; After</w:t></w:r>
</w:p>
<w:p>
<w:pPr><w:pStyle w:val="Normal"/></w:pPr>
<w:r><w:t xml:space="preserve">some discussion the British commissioners consented that the</w:t></w:r>
</w:p>
<w:p>
<w:pPr><w:pStyle w:val="Normal"/></w:pPr>
<w:r><w:t xml:space="preserve">three following rules should apply.  A neutral government is</w:t></w:r>
</w:p>
<w:p>
<w:pPr><w:pStyle w:val="Normal"/></w:pPr>
<w:r><w:t xml:space="preserve">bound---(1) to use due diligence to prevent the fitting out,</w:t></w:r>
</w:p>
<w:p>
<w:pPr><w:pStyle w:val="Normal"/></w:pPr>
<w:r><w:t xml:space="preserve">arming or equipping within its jurisdiction of any vessel,</w:t></w:r>
</w:p>
<w:p>
<w:pPr><w:pStyle w:val="Normal"/></w:pPr>
<w:r><w:t xml:space="preserve">which it has reasonable ground to believe is intended to</w:t></w:r>
</w:p>
<w:p>
<w:pPr><w:pStyle w:val="Normal"/></w:pPr>
<w:r><w:t xml:space="preserve">cruise or to carry on war against a power with which it is at</w:t></w:r>
</w:p>
<w:p>
<w:pPr><w:pStyle w:val="Normal"/></w:pPr>
<w:r><w:t xml:space="preserve">peace, and also to use like diligence to prevent the departure</w:t></w:r>
</w:p>
<w:p>
<w:pPr><w:pStyle w:val="Normal"/></w:pPr>
<w:r><w:t xml:space="preserve">from its jurisdiction of any vessel intended to cruise or</w:t></w:r>
</w:p>
<w:p>
<w:pPr><w:pStyle w:val="Normal"/></w:pPr>
<w:r><w:t xml:space="preserve">carry on war as above, such vessel having been specially</w:t></w:r>
</w:p>
<w:p>
<w:pPr><w:pStyle w:val="Normal"/></w:pPr>
<w:r><w:t xml:space="preserve">adapted, in whole or in part, within such jurisdiction, to</w:t></w:r>
</w:p>
<w:p>
<w:pPr><w:pStyle w:val="Normal"/></w:pPr>
<w:r><w:t xml:space="preserve">warlike use; (2) not to permit or suffer either belligerent</w:t></w:r>
</w:p>
<w:p>
<w:pPr><w:pStyle w:val="Normal"/></w:pPr>
<w:r><w:t xml:space="preserve">to make use of its ports or waters as the base of naval</w:t></w:r>
</w:p>
<w:p>
<w:pPr><w:pStyle w:val="Normal"/></w:pPr>
<w:r><w:t xml:space="preserve">operations against the other, or for the purpose of the</w:t></w:r>
</w:p>
<w:p>
<w:pPr><w:pStyle w:val="Normal"/></w:pPr>
<w:r><w:t xml:space="preserve">renewal or augmentation of military supplies or arms or the</w:t></w:r>
</w:p>
<w:p>
<w:pPr><w:pStyle w:val="Normal"/></w:pPr>
<w:r><w:t xml:space="preserve">recruitment of men; (3) to exercise due diligence in its own</w:t></w:r>
</w:p>
<w:p>
<w:pPr><w:pStyle w:val="Normal"/></w:pPr>
<w:r><w:t xml:space="preserve">ports and waters, and as to all persons within its jurisdiction</w:t></w:r>
</w:p>
<w:p>
<w:pPr><w:pStyle w:val="Normal"/></w:pPr>
<w:r><w:t xml:space="preserve">to prevent any violation of the foregoing obligation and</w:t></w:r>
</w:p>
<w:p>
<w:pPr><w:pStyle w:val="Normal"/></w:pPr>
<w:r><w:t xml:space="preserve">duties.  The arrangements made by the commission were embodied</w:t></w:r>
</w:p>
<w:p>
<w:pPr><w:pStyle w:val="Normal"/></w:pPr>
<w:r><w:t xml:space="preserve">in the treaty of Washington, which was signed on the 8th</w:t></w:r>
</w:p>
<w:p>
<w:pPr><w:pStyle w:val="Normal"/></w:pPr>
<w:r><w:t xml:space="preserve">of May 1871, and approved by the Senate on the 24th of May.</w:t></w:r>
</w:p>
<w:p>
<w:pPr><w:pStyle w:val="Normal"/></w:pPr>
<w:r><w:t xml:space="preserve">Article 1, after expressing the regret felt by Her Majesty&apos;s</w:t></w:r>
</w:p>
<w:p>
<w:pPr><w:pStyle w:val="Normal"/></w:pPr>
<w:r><w:t xml:space="preserve">government for the escape, in whatever circumstances, of the</w:t></w:r>
</w:p>
<w:p>
<w:pPr><w:pStyle w:val="Normal"/></w:pPr>
<w:r><w:t xml:space="preserve">``Alabama&apos;, and other vessels from British ports, and for</w:t></w:r>
</w:p>
<w:p>
<w:pPr><w:pStyle w:val="Normal"/></w:pPr>
<w:r><w:t xml:space="preserve">the depredations committed by these vessels, provided that</w:t></w:r>
</w:p>
<w:p>
<w:pPr><w:pStyle w:val="Normal"/></w:pPr>
<w:r><w:t xml:space="preserve">``the claims growing out of the acts of the said vessels, and</w:t></w:r>
</w:p>
<w:p>
<w:pPr><w:pStyle w:val="Normal"/></w:pPr>
<w:r><w:t xml:space="preserve">generically known as the `Alabama&apos; claims&apos;&apos; should be referred</w:t></w:r>
</w:p>
<w:p>
<w:pPr><w:pStyle w:val="Normal"/></w:pPr>
<w:r><w:t xml:space="preserve">to a tribunal composed of five arbitrators, one to be named</w:t></w:r>
</w:p>
<w:p>
<w:pPr><w:pStyle w:val="Normal"/></w:pPr>
<w:r><w:t xml:space="preserve">by each of the contracting parties and the remaining three by</w:t></w:r>
</w:p>
<w:p>
<w:pPr><w:pStyle w:val="Normal"/></w:pPr>
<w:r><w:t xml:space="preserve">the king of Italy, the president of the Swiss Confederation</w:t></w:r>
</w:p>
<w:p>
<w:pPr><w:pStyle w:val="Normal"/></w:pPr>
<w:r><w:t xml:space="preserve">and the emperor of Brazil respectively.  By Article 2 all</w:t></w:r>
</w:p>
<w:p>
<w:pPr><w:pStyle w:val="Normal"/></w:pPr>
<w:r><w:t xml:space="preserve">questions submitted were to be decided by a majority of the</w:t></w:r>
</w:p>
<w:p>
<w:pPr><w:pStyle w:val="Normal"/></w:pPr>
<w:r><w:t xml:space="preserve">arbitrators, and each of the contracting parties was to name</w:t></w:r>
</w:p>
<w:p>
<w:pPr><w:pStyle w:val="Normal"/></w:pPr>
<w:r><w:t xml:space="preserve">one person to attend as agent.  Article 6 provided that the</w:t></w:r>
</w:p>
<w:p>
<w:pPr><w:pStyle w:val="Normal"/></w:pPr>
<w:r><w:t xml:space="preserve">arbitrators should be governed by the three rules quoted</w:t></w:r>
</w:p>
<w:p>
<w:pPr><w:pStyle w:val="Normal"/></w:pPr>
<w:r><w:t xml:space="preserve">above, and by such principles of international law not</w:t></w:r>
</w:p>
<w:p>
<w:pPr><w:pStyle w:val="Normal"/></w:pPr>
<w:r><w:t xml:space="preserve">inconsistent therewith as the arbitrators should determine to</w:t></w:r>
</w:p>
<w:p>
<w:pPr><w:pStyle w:val="Normal"/></w:pPr>
<w:r><w:t xml:space="preserve">be applicable to the case.  By the same article the parties</w:t></w:r>
</w:p>
<w:p>
<w:pPr><w:pStyle w:val="Normal"/></w:pPr>
<w:r><w:t xml:space="preserve">agreed to observe these rules as between themselves in</w:t></w:r>
</w:p>
<w:p>
<w:pPr><w:pStyle w:val="Normal"/></w:pPr>
<w:r><w:t xml:space="preserve">future, and to bring them to the knowledge of other maritime</w:t></w:r>
</w:p>
<w:p>
<w:pPr><w:pStyle w:val="Normal"/></w:pPr>
<w:r><w:t xml:space="preserve">powers.  Article 7 provided that the decision should be</w:t></w:r>
</w:p>
<w:p>
<w:pPr><w:pStyle w:val="Normal"/></w:pPr>
<w:r><w:t xml:space="preserve">made within three months from the close of the argument, and</w:t></w:r>
</w:p>
<w:p>
<w:pPr><w:pStyle w:val="Normal"/></w:pPr>
<w:r><w:t xml:space="preserve">gave power to the arbitrators to award a sum in gross in the</w:t></w:r>
</w:p>
<w:p>
<w:pPr><w:pStyle w:val="Normal"/></w:pPr>
<w:r><w:t xml:space="preserve">event of Great Britain being adjudged to be in the wrong.</w:t></w:r>
</w:p>
<w:p>
<w:pPr><w:pStyle w:val="Normal"/></w:pPr>
<w:r><w:t xml:space="preserve">The treaty was, on the whole, welcomed in England.  The United</w:t></w:r>
</w:p>
<w:p>
<w:pPr><w:pStyle w:val="Normal"/></w:pPr>
<w:r><w:t xml:space="preserve">States appointed Mr C. F. Adams as arbitrator and Mr J. C.</w:t></w:r>
</w:p>
<w:p>
<w:pPr><w:pStyle w:val="Normal"/></w:pPr>
<w:r><w:t xml:space="preserve">Bancroft Davis as agent.  The British government appointed</w:t></w:r>
</w:p>
<w:p>
<w:pPr><w:pStyle w:val="Normal"/></w:pPr>
<w:r><w:t xml:space="preserve">Sir Alexander Cockburn as arbitrator and Lord Tenterden as</w:t></w:r>
</w:p>
<w:p>
<w:pPr><w:pStyle w:val="Normal"/></w:pPr>
<w:r><w:t xml:space="preserve">agent.  The arbitrators appointed by the three neutral powers</w:t></w:r>
</w:p>
<w:p>
<w:pPr><w:pStyle w:val="Normal"/></w:pPr>
<w:r><w:t xml:space="preserve">were Count Sclopis (Italy), M. Staempfli (Switzerland), Baron</w:t></w:r>
</w:p>
<w:p>
<w:pPr><w:pStyle w:val="Normal"/></w:pPr>
<w:r><w:t xml:space="preserve">d&apos;Itajuba (Brazil).  The first meetinhof the tribunal took</w:t></w:r>
</w:p>
<w:p>
<w:pPr><w:pStyle w:val="Normal"/></w:pPr>
<w:r><w:t xml:space="preserve">place on the 15th of December 1871 in the Hotel de Ville,</w:t></w:r>
</w:p>
<w:p>
<w:pPr><w:pStyle w:val="Normal"/></w:pPr>
<w:r><w:t xml:space="preserve">Geneva.  As soon as the cases had been formally presented, the</w:t></w:r>
</w:p>
<w:p>
<w:pPr><w:pStyle w:val="Normal"/></w:pPr>
<w:r><w:t xml:space="preserve">tribunal adjourned till the following June.  There followed</w:t></w:r>
</w:p>
<w:p>
<w:pPr><w:pStyle w:val="Normal"/></w:pPr>
<w:r><w:t xml:space="preserve">immediately a controversy which threatened the collapse of the</w:t></w:r>
</w:p>
<w:p>
<w:pPr><w:pStyle w:val="Normal"/></w:pPr>
<w:r><w:t xml:space="preserve">arbitration.  It was found that in the American case damages</w:t></w:r>
</w:p>
<w:p>
<w:pPr><w:pStyle w:val="Normal"/></w:pPr>
<w:r><w:t xml:space="preserve">were claimed not only for the property destroyed by the</w:t></w:r>
</w:p>
<w:p>
<w:pPr><w:pStyle w:val="Normal"/></w:pPr>
<w:r><w:t xml:space="preserve">Confederate cruisers, but in respect of certain other matters</w:t></w:r>
</w:p>
<w:p>
<w:pPr><w:pStyle w:val="Normal"/></w:pPr>
<w:r><w:t xml:space="preserve">known as ``indirect losses,&apos;&apos; viz. the transference of the</w:t></w:r>
</w:p>
<w:p>
<w:pPr><w:pStyle w:val="Normal"/></w:pPr>
<w:r><w:t xml:space="preserve">American marine to the British flag, the enhanced payments of</w:t></w:r>
</w:p>
<w:p>
<w:pPr><w:pStyle w:val="Normal"/></w:pPr>
<w:r><w:t xml:space="preserve">insurance, the expenses of pursuit and the prolongation of the</w:t></w:r>
</w:p>
<w:p>
<w:pPr><w:pStyle w:val="Normal"/></w:pPr>
<w:r><w:t xml:space="preserve">war.  But this was not all.  The American case revived the</w:t></w:r>
</w:p>
<w:p>
<w:pPr><w:pStyle w:val="Normal"/></w:pPr>
<w:r><w:t xml:space="preserve">charges of ``insincere neutrality&apos;&apos; and ``veiled hostility&apos;&apos;</w:t></w:r>
</w:p>
<w:p>
<w:pPr><w:pStyle w:val="Normal"/></w:pPr>
<w:r><w:t xml:space="preserve">which had figured in the diplomatic correspondence, and had</w:t></w:r>
</w:p>
<w:p>
<w:pPr><w:pStyle w:val="Normal"/></w:pPr>
<w:r><w:t xml:space="preserve">been repudiated by Great Britain.  It dwelt at length upon</w:t></w:r>
</w:p>
<w:p>
<w:pPr><w:pStyle w:val="Normal"/></w:pPr>
<w:r><w:t xml:space="preserve">such topics as the premature recognition of belligerency,</w:t></w:r>
</w:p>
<w:p>
<w:pPr><w:pStyle w:val="Normal"/></w:pPr>
<w:r><w:t xml:space="preserve">the unfriendly utterances of British politicians and the</w:t></w:r>
</w:p>
<w:p>
<w:pPr><w:pStyle w:val="Normal"/></w:pPr>
<w:r><w:t xml:space="preserve">material assistance afforded to the Confederates by British</w:t></w:r>
</w:p>
<w:p>
<w:pPr><w:pStyle w:val="Normal"/></w:pPr>
<w:r><w:t xml:space="preserve">traders.  The inclusion of the indirect losses and the other</w:t></w:r>
</w:p>
<w:p>
<w:pPr><w:pStyle w:val="Normal"/></w:pPr>
<w:r><w:t xml:space="preserve">matters just referred to caused great excitement in England.</w:t></w:r>
</w:p>
<w:p>
<w:pPr><w:pStyle w:val="Normal"/></w:pPr>
<w:r><w:t xml:space="preserve">That they were within the treaty was disputed, and it was</w:t></w:r>
</w:p>
<w:p>
<w:pPr><w:pStyle w:val="Normal"/></w:pPr>
<w:r><w:t xml:space="preserve">argued that, if they were, the treaty should be amended or</w:t></w:r>
</w:p>
<w:p>
<w:pPr><w:pStyle w:val="Normal"/></w:pPr>
<w:r><w:t xml:space="preserve">denounced.  In October 1872 Lord Granville notified to General</w:t></w:r>
</w:p>
<w:p>
<w:pPr><w:pStyle w:val="Normal"/></w:pPr>
<w:r><w:t xml:space="preserve">Schenck, the United States minister, that the British government</w:t></w:r>
</w:p>
<w:p>
<w:pPr><w:pStyle w:val="Normal"/></w:pPr>
<w:r><w:t xml:space="preserve">did not consider that the indirect losses were within the</w:t></w:r>
</w:p>
<w:p>
<w:pPr><w:pStyle w:val="Normal"/></w:pPr>
<w:r><w:t xml:space="preserve">submission, and in April the British counter-case was filed</w:t></w:r>
</w:p>
<w:p>
<w:pPr><w:pStyle w:val="Normal"/></w:pPr>
<w:r><w:t xml:space="preserve">without prejudice to this contention.  On the 15th of June</w:t></w:r>
</w:p>
<w:p>
<w:pPr><w:pStyle w:val="Normal"/></w:pPr>
<w:r><w:t xml:space="preserve">the tribunal reassembled and the A11erican argument was</w:t></w:r>
</w:p>
<w:p>
<w:pPr><w:pStyle w:val="Normal"/></w:pPr>
<w:r><w:t xml:space="preserve">filed.  The British agent then applied for an adjournment of</w:t></w:r>
</w:p>
<w:p>
<w:pPr><w:pStyle w:val="Normal"/></w:pPr>
<w:r><w:t xml:space="preserve">eight months, ostensibly in order that the two governments</w:t></w:r>
</w:p>
<w:p>
<w:pPr><w:pStyle w:val="Normal"/></w:pPr>
<w:r><w:t xml:space="preserve">might conclude a supplemental convention, it having been</w:t></w:r>
</w:p>
<w:p>
<w:pPr><w:pStyle w:val="Normal"/></w:pPr>
<w:r><w:t xml:space="preserve">meanwhile privately arranged between the arbitrators that</w:t></w:r>
</w:p>
<w:p>
<w:pPr><w:pStyle w:val="Normal"/></w:pPr>
<w:r><w:t xml:space="preserve">an extra-judicial declaration should be obtained from the</w:t></w:r>
</w:p>
<w:p>
<w:pPr><w:pStyle w:val="Normal"/></w:pPr>
<w:r><w:t xml:space="preserve">arbitrators on the subject of the direct claims.  On the</w:t></w:r>
</w:p>
<w:p>
<w:pPr><w:pStyle w:val="Normal"/></w:pPr>
<w:r><w:t xml:space="preserve">10th of June Count Sclopis intimated on behalf of all his</w:t></w:r>
</w:p>
<w:p>
<w:pPr><w:pStyle w:val="Normal"/></w:pPr>
<w:r><w:t xml:space="preserve">colleagues that, without intending to express any opinion</w:t></w:r>
</w:p>
<w:p>
<w:pPr><w:pStyle w:val="Normal"/></w:pPr>
<w:r><w:t xml:space="preserve">upon the interpretation of the treaty, they had arrived at</w:t></w:r>
</w:p>
<w:p>
<w:pPr><w:pStyle w:val="Normal"/></w:pPr>
<w:r><w:t xml:space="preserve">the conclusion that ``the indirect claims did not constitute</w:t></w:r>
</w:p>
<w:p>
<w:pPr><w:pStyle w:val="Normal"/></w:pPr>
<w:r><w:t xml:space="preserve">upon the principles of international law applicable to such</w:t></w:r>
</w:p>
<w:p>
<w:pPr><w:pStyle w:val="Normal"/></w:pPr>
<w:r><w:t xml:space="preserve">cases a good foundation for . an award or computation of</w:t></w:r>
</w:p>
<w:p>
<w:pPr><w:pStyle w:val="Normal"/></w:pPr>
<w:r><w:t xml:space="preserve">damages between nations.&apos;&apos; In consequence of this intimation Mr</w:t></w:r>
</w:p>
<w:p>
<w:pPr><w:pStyle w:val="Normal"/></w:pPr>
<w:r><w:t xml:space="preserve">Bancroft Davis informed the tribunal on the 25th of June that</w:t></w:r>
</w:p>
<w:p>
<w:pPr><w:pStyle w:val="Normal"/></w:pPr>
<w:r><w:t xml:space="preserve">he was instructed not to press those claims; and accordingly</w:t></w:r>
</w:p>
<w:p>
<w:pPr><w:pStyle w:val="Normal"/></w:pPr>
<w:r><w:t xml:space="preserve">on the 27th of June Lord Tenterden withdrew his application</w:t></w:r>
</w:p>
<w:p>
<w:pPr><w:pStyle w:val="Normal"/></w:pPr>
<w:r><w:t xml:space="preserve">for an adjournment, and the arbitration was allowed to</w:t></w:r>
</w:p>
<w:p>
<w:pPr><w:pStyle w:val="Normal"/></w:pPr>
<w:r><w:t xml:space="preserve">proceed.  The discussion turned mainly on the question of</w:t></w:r>
</w:p>
<w:p>
<w:pPr><w:pStyle w:val="Normal"/></w:pPr>
<w:r><w:t xml:space="preserve">the measure of ``due diligence.&apos;&apos; The United States contended</w:t></w:r>
</w:p>
<w:p>
<w:pPr><w:pStyle w:val="Normal"/></w:pPr>
<w:r><w:t xml:space="preserve">that it must be a diligence commensurate with the emergency or</w:t></w:r>
</w:p>
<w:p>
<w:pPr><w:pStyle w:val="Normal"/></w:pPr>
<w:r><w:t xml:space="preserve">with the magnitude of the results of negligence.  The British</w:t></w:r>
</w:p>
<w:p>
<w:pPr><w:pStyle w:val="Normal"/></w:pPr>
<w:r><w:t xml:space="preserve">government maintained that while the measure of care which</w:t></w:r>
</w:p>
<w:p>
<w:pPr><w:pStyle w:val="Normal"/></w:pPr>
<w:r><w:t xml:space="preserve">a government is bound to use in such cases must be dependent</w:t></w:r>
</w:p>
<w:p>
<w:pPr><w:pStyle w:val="Normal"/></w:pPr>
<w:r><w:t xml:space="preserve">more or less upon circumstances, it would be unreasonable</w:t></w:r>
</w:p>
<w:p>
<w:pPr><w:pStyle w:val="Normal"/></w:pPr>
<w:r><w:t xml:space="preserve">to require that it should exceed that which the governments</w:t></w:r>
</w:p>
<w:p>
<w:pPr><w:pStyle w:val="Normal"/></w:pPr>
<w:r><w:t xml:space="preserve">of civilized states were accustomed to employ in matters</w:t></w:r>
</w:p>
<w:p>
<w:pPr><w:pStyle w:val="Normal"/></w:pPr>
<w:r><w:t xml:space="preserve">concerning their own security or that of their citizens.</w:t></w:r>
</w:p>
<w:p>
<w:pPr><w:pStyle w:val="Normal"/></w:pPr>
<w:r><w:t xml:space="preserve">The tribunal adopted the view suggested by the United</w:t></w:r>
</w:p>
<w:p>
<w:pPr><w:pStyle w:val="Normal"/></w:pPr>
<w:r><w:t xml:space="preserve">States.  It found that Great Britain was legally responsible</w:t></w:r>
</w:p>
<w:p>
<w:pPr><w:pStyle w:val="Normal"/></w:pPr>
<w:r><w:t xml:space="preserve">for all the depredations of the ``Alabama&apos;&apos; and ``Florida&apos;&apos;</w:t></w:r>
</w:p>
<w:p>
<w:pPr><w:pStyle w:val="Normal"/></w:pPr>
<w:r><w:t xml:space="preserve">and for those committed by the ``Shenandoah&apos;&apos; after she left</w:t></w:r>
</w:p>
<w:p>
<w:pPr><w:pStyle w:val="Normal"/></w:pPr>
<w:r><w:t xml:space="preserve">Melbourne.  In . the case of the ``Alabama&apos;&apos; the court was</w:t></w:r>
</w:p>
<w:p>
<w:pPr><w:pStyle w:val="Normal"/></w:pPr>
<w:r><w:t xml:space="preserve">unanimous; in the case of the ``Florida&apos;&apos; Sir A. Cockburn</w:t></w:r>
</w:p>
<w:p>
<w:pPr><w:pStyle w:val="Normal"/></w:pPr>
<w:r><w:t xml:space="preserve">alone, in that of the ``Shenandoah&apos;&apos; he and Baron d&apos;Itajuba,</w:t></w:r>
</w:p>
<w:p>
<w:pPr><w:pStyle w:val="Normal"/></w:pPr>
<w:r><w:t xml:space="preserve">dissented from the majority, In the cases of the other</w:t></w:r>
</w:p>
<w:p>
<w:pPr><w:pStyle w:val="Normal"/></w:pPr>
<w:r><w:t xml:space="preserve">vessels the judgment was in favour of Great Britain.</w:t></w:r>
</w:p>
<w:p>
<w:pPr><w:pStyle w:val="Normal"/></w:pPr>
<w:r><w:t xml:space="preserve">The tribunal decided to award a sum in gross, and (Sir A.</w:t></w:r>
</w:p>
<w:p>
<w:pPr><w:pStyle w:val="Normal"/></w:pPr>
<w:r><w:t xml:space="preserve">Cockburn again dissenting) fixed the damages at $15,500,000 in</w:t></w:r>
</w:p>
<w:p>
<w:pPr><w:pStyle w:val="Normal"/></w:pPr>
<w:r><w:t xml:space="preserve">gold.  On the 14th of September the award was formally</w:t></w:r>
</w:p>
<w:p>
<w:pPr><w:pStyle w:val="Normal"/></w:pPr>
<w:r><w:t xml:space="preserve">published, and signed by all the arbitrators except Sir A.</w:t></w:r>
</w:p>
<w:p>
<w:pPr><w:pStyle w:val="Normal"/></w:pPr>
<w:r><w:t xml:space="preserve">Cockburn, who filed a lengthy statement of his reasons.</w:t></w:r>
</w:p>
<w:p>
<w:pPr><w:pStyle w:val="Normal"/></w:pPr>
<w:r><w:t xml:space="preserve">The stipulation that the three rules should be jointly submitted</w:t></w:r>
</w:p>
<w:p>
<w:pPr><w:pStyle w:val="Normal"/></w:pPr>
<w:r><w:t xml:space="preserve">by the two powers to foreign nations has never been carried</w:t></w:r>
</w:p>
<w:p>
<w:pPr><w:pStyle w:val="Normal"/></w:pPr>
<w:r><w:t xml:space="preserve">out.  For this the British government has been blamed by some.  But</w:t></w:r>
</w:p>
<w:p>
<w:pPr><w:pStyle w:val="Normal"/></w:pPr>
<w:r><w:t xml:space="preserve">the general view of continental publicists is, that the language</w:t></w:r>
</w:p>
<w:p>
<w:pPr><w:pStyle w:val="Normal"/></w:pPr>
<w:r><w:t xml:space="preserve">of the rules was not sufficiently precise to admit of their being</w:t></w:r>
</w:p>
<w:p>
<w:pPr><w:pStyle w:val="Normal"/></w:pPr>
<w:r><w:t xml:space="preserve">generally accepted as a canon of neutral obligations. (M. H. C.)</w:t></w:r>
</w:p>
<w:p>
<w:pPr><w:pStyle w:val="Normal"/></w:pPr>
<w:r><w:t xml:space="preserve">ALABAMA RIVER, a river of Alabama, U.S.A., formed by the</w:t></w:r>
</w:p>
<w:p>
<w:pPr><w:pStyle w:val="Normal"/></w:pPr>
<w:r><w:t xml:space="preserve">Tallapoosa and Coosa rivers, which unite about 6 m. above</w:t></w:r>
</w:p>
<w:p>
<w:pPr><w:pStyle w:val="Normal"/></w:pPr>
<w:r><w:t xml:space="preserve">Montgomery.  It flows W. as far as Selma, then S.W. until,</w:t></w:r>
</w:p>
<w:p>
<w:pPr><w:pStyle w:val="Normal"/></w:pPr>
<w:r><w:t xml:space="preserve">about 45 m. from Mobile, it unites with the Tombigbee to form</w:t></w:r>
</w:p>
<w:p>
<w:pPr><w:pStyle w:val="Normal"/></w:pPr>
<w:r><w:t xml:space="preserve">the Mobile and Tensas rivers, which discharge into Mobile Bay.</w:t></w:r>
</w:p>
<w:p>
<w:pPr><w:pStyle w:val="Normal"/></w:pPr>
<w:r><w:t xml:space="preserve">The course of the Alabama is tortuous; its width varies from</w:t></w:r>
</w:p>
<w:p>
<w:pPr><w:pStyle w:val="Normal"/></w:pPr>
<w:r><w:t xml:space="preserve">200 to 300 yds., its depth from 3 to 7 ft.; its length by the</w:t></w:r>
</w:p>
<w:p>
<w:pPr><w:pStyle w:val="Normal"/></w:pPr>
<w:r><w:t xml:space="preserve">United States Survey is 312 m., by steamboat measurement, 420</w:t></w:r>
</w:p>
<w:p>
<w:pPr><w:pStyle w:val="Normal"/></w:pPr>
<w:r><w:t xml:space="preserve">m.  The river crosses the richest agricultural and timber</w:t></w:r>
</w:p>
<w:p>
<w:pPr><w:pStyle w:val="Normal"/></w:pPr>
<w:r><w:t xml:space="preserve">districts of the state, and railways connect it with the</w:t></w:r>
</w:p>
<w:p>
<w:pPr><w:pStyle w:val="Normal"/></w:pPr>
<w:r><w:t xml:space="preserve">mineral regions of north central Alabama.  The principal</w:t></w:r>
</w:p>
<w:p>
<w:pPr><w:pStyle w:val="Normal"/></w:pPr>
<w:r><w:t xml:space="preserve">tributary of the Alabama is the Canaba (about 200 m. long),</w:t></w:r>
</w:p>
<w:p>
<w:pPr><w:pStyle w:val="Normal"/></w:pPr>
<w:r><w:t xml:space="preserve">which enters it about 10 m. below Selma.  Of the rivers which</w:t></w:r>
</w:p>
<w:p>
<w:pPr><w:pStyle w:val="Normal"/></w:pPr>
<w:r><w:t xml:space="preserve">form the Alabama, the Coosa crosses the mineral region of</w:t></w:r>
</w:p>
<w:p>
<w:pPr><w:pStyle w:val="Normal"/></w:pPr>
<w:r><w:t xml:space="preserve">Alabama, and is navigable for light-draft boats from Rome,</w:t></w:r>
</w:p>
<w:p>
<w:pPr><w:pStyle w:val="Normal"/></w:pPr>
<w:r><w:t xml:space="preserve">Georgia (where it is formed by the junction of the Oostenaula</w:t></w:r>
</w:p>
<w:p>
<w:pPr><w:pStyle w:val="Normal"/></w:pPr>
<w:r><w:t xml:space="preserve">and Etowah rivers), to about 117 m. above Wetumpka (about</w:t></w:r>
</w:p>
<w:p>
<w:pPr><w:pStyle w:val="Normal"/></w:pPr>
<w:r><w:t xml:space="preserve">102 m. below Rome and 26 m. below Greensport), and from</w:t></w:r>
</w:p>
<w:p>
<w:pPr><w:pStyle w:val="Normal"/></w:pPr>
<w:r><w:t xml:space="preserve">Wetumpka to its junction with the Tallapoosa; the channel</w:t></w:r>
</w:p>
<w:p>
<w:pPr><w:pStyle w:val="Normal"/></w:pPr>
<w:r><w:t xml:space="preserve">of the river has been considerably improved by the Federal</w:t></w:r>
</w:p>
<w:p>
<w:pPr><w:pStyle w:val="Normal"/></w:pPr>
<w:r><w:t xml:space="preserve">government.  The navigation of the Lallapoosa river (which has</w:t></w:r>
</w:p>
<w:p>
<w:pPr><w:pStyle w:val="Normal"/></w:pPr>
<w:r><w:t xml:space="preserve">its source in Paulding county, Georgia, and is about 250 m.</w:t></w:r>
</w:p>
<w:p>
<w:pPr><w:pStyle w:val="Normal"/></w:pPr>
<w:r><w:t xml:space="preserve">long) is prevented by shoals and a 60-ft. fall at Tallassee,</w:t></w:r>
</w:p>
<w:p>
<w:pPr><w:pStyle w:val="Normal"/></w:pPr>
<w:r><w:t xml:space="preserve">a few miles N. of its junction with the Coosa.  The Alabama is</w:t></w:r>
</w:p>
<w:p>
<w:pPr><w:pStyle w:val="Normal"/></w:pPr>
<w:r><w:t xml:space="preserve">navigable throughout the year.  In 1878 the Federal government</w:t></w:r>
</w:p>
<w:p>
<w:pPr><w:pStyle w:val="Normal"/></w:pPr>
<w:r><w:t xml:space="preserve">undertook to make a channel tho length of the Alabama 200</w:t></w:r>
</w:p>
<w:p>
<w:pPr><w:pStyle w:val="Normal"/></w:pPr>
<w:r><w:t xml:space="preserve">ft. wide and 4 ft. deep; an amendment in 1891 provided for</w:t></w:r>
</w:p>
<w:p>
<w:pPr><w:pStyle w:val="Normal"/></w:pPr>
<w:r><w:t xml:space="preserve">a 6-ft. channel at low water, and in June 1907 this work was</w:t></w:r>
</w:p>
<w:p>
<w:pPr><w:pStyle w:val="Normal"/></w:pPr>
<w:r><w:t xml:space="preserve">reported as ``10% completed&apos;&apos; at an expenditure of $303,650.</w:t></w:r>
</w:p>
<w:p>
<w:pPr><w:pStyle w:val="Normal"/></w:pPr>
<w:r><w:t xml:space="preserve">The Mobile river is navigable for vessels of about 14 ft.</w:t></w:r>
</w:p>
<w:p>
<w:pPr><w:pStyle w:val="Normal"/></w:pPr>
<w:r><w:t xml:space="preserve">draft.  The Alabama is an important carrier of cotton, cotton</w:t></w:r>
</w:p>
<w:p>
<w:pPr><w:pStyle w:val="Normal"/></w:pPr>
<w:r><w:t xml:space="preserve">seed, fertilizer, cereals, lumber, naval stores, &amp;c.; and in</w:t></w:r>
</w:p>
<w:p>
<w:pPr><w:pStyle w:val="Normal"/></w:pPr>
<w:r><w:t xml:space="preserve">the fiscal year 1906-1907 the freight tonnage was 417,041 tons.</w:t></w:r>
</w:p>
<w:p>
<w:pPr><w:pStyle w:val="Normal"/></w:pPr>
<w:r><w:t xml:space="preserve">ALABASTER, or ARBLASTIER, WILLIAM (1567--1640), English</w:t></w:r>
</w:p>
<w:p>
<w:pPr><w:pStyle w:val="Normal"/></w:pPr>
<w:r><w:t xml:space="preserve">Latin poet and scholar, was born at Hadleigh, Suffolk, in</w:t></w:r>
</w:p>
<w:p>
<w:pPr><w:pStyle w:val="Normal"/></w:pPr>
<w:r><w:t xml:space="preserve">1567.  He was, so Fuller states, a nephew by marriage of Dr John</w:t></w:r>
</w:p>
<w:p>
<w:pPr><w:pStyle w:val="Normal"/></w:pPr>
<w:r><w:t xml:space="preserve">Still, bishop of Bath and Wells.  His surname, sometimes written</w:t></w:r>
</w:p>
<w:p>
<w:pPr><w:pStyle w:val="Normal"/></w:pPr>
<w:r><w:t xml:space="preserve">Arblastier, is one of the many variants of arbalester, a</w:t></w:r>
</w:p>
<w:p>
<w:pPr><w:pStyle w:val="Normal"/></w:pPr>
<w:r><w:t xml:space="preserve">cross-bowman.  Alabaster was educated at Westminster school,</w:t></w:r>
</w:p>
<w:p>
<w:pPr><w:pStyle w:val="Normal"/></w:pPr>
<w:r><w:t xml:space="preserve">and entered Trinity College, Cambridge, in 1583.  He became a</w:t></w:r>
</w:p>
<w:p>
<w:pPr><w:pStyle w:val="Normal"/></w:pPr>
<w:r><w:t xml:space="preserve">fellow, and in 1592 was incorporated of the university of</w:t></w:r>
</w:p>
<w:p>
<w:pPr><w:pStyle w:val="Normal"/></w:pPr>
<w:r><w:t xml:space="preserve">Oxford.  About 1502 he produced at Trinity College his Latin</w:t></w:r>
</w:p>
<w:p>
<w:pPr><w:pStyle w:val="Normal"/></w:pPr>
<w:r><w:t xml:space="preserve">tragedy of Roxana.1 It is modelled on the tragedies of</w:t></w:r>
</w:p>
<w:p>
<w:pPr><w:pStyle w:val="Normal"/></w:pPr>
<w:r><w:t xml:space="preserve">Seneca, and is a stiff and spiritless work.  Fuller and Anthony</w:t></w:r>
</w:p>
<w:p>
<w:pPr><w:pStyle w:val="Normal"/></w:pPr>
<w:r><w:t xml:space="preserve">a Wood bestowed exaggerated praise on it, while Samuel Johnson</w:t></w:r>
</w:p>
<w:p>
<w:pPr><w:pStyle w:val="Normal"/></w:pPr>
<w:r><w:t xml:space="preserve">regarded it as the only Latin verse worthy of notice produced</w:t></w:r>
</w:p>
<w:p>
<w:pPr><w:pStyle w:val="Normal"/></w:pPr>
<w:r><w:t xml:space="preserve">in England before Milton&apos;s elegies. Roxana is founded</w:t></w:r>
</w:p>
<w:p>
<w:pPr><w:pStyle w:val="Normal"/></w:pPr>
<w:r><w:t xml:space="preserve">on the La Dalida (Venice, 1567) of Luigi Groto, known as</w:t></w:r>
</w:p>
<w:p>
<w:pPr><w:pStyle w:val="Normal"/></w:pPr>
<w:r><w:t xml:space="preserve">Cieco di Hadria, and Hallam asserts that it is a plagiarism</w:t></w:r>
</w:p>
<w:p>
<w:pPr><w:pStyle w:val="Normal"/></w:pPr>
<w:r><w:t xml:space="preserve">(Literature of Europe, iii. 54). A surreptitious edition</w:t></w:r>
</w:p>
<w:p>
<w:pPr><w:pStyle w:val="Normal"/></w:pPr>
<w:r><w:t xml:space="preserve">in 1632 was followed by an authorized version a plagiarii</w:t></w:r>
</w:p>
<w:p>
<w:pPr><w:pStyle w:val="Normal"/></w:pPr>
<w:r><w:t xml:space="preserve">unguibus vindicata, aucta et agnita ab Aithore, Gulielmo,</w:t></w:r>
</w:p>
<w:p>
<w:pPr><w:pStyle w:val="Normal"/></w:pPr>
<w:r><w:t xml:space="preserve">Alabastro. One book of an epic poem in Latin hexameters, in</w:t></w:r>
</w:p>
<w:p>
<w:pPr><w:pStyle w:val="Normal"/></w:pPr>
<w:r><w:t xml:space="preserve">honour of Queen Elizabeth, is preserved in MS. in the library of</w:t></w:r>
</w:p>
<w:p>
<w:pPr><w:pStyle w:val="Normal"/></w:pPr>
<w:r><w:t xml:space="preserve">Emmanuel College, Cambridge.  This poem, Elisaeis, Apotheosis</w:t></w:r>
</w:p>
<w:p>
<w:pPr><w:pStyle w:val="Normal"/></w:pPr>
<w:r><w:t xml:space="preserve">poetica, Spenser highly esteemed. ``Who lives that can match</w:t></w:r>
</w:p>
<w:p>
<w:pPr><w:pStyle w:val="Normal"/></w:pPr>
<w:r><w:t xml:space="preserve">that heroick song?&apos;&apos; he says in Colin Clout&apos;s come home</w:t></w:r>
</w:p>
<w:p>
<w:pPr><w:pStyle w:val="Normal"/></w:pPr>
<w:r><w:t xml:space="preserve">again, and begs ``Cynthia&apos;&apos; to withdraw the poet from his</w:t></w:r>
</w:p>
<w:p>
<w:pPr><w:pStyle w:val="Normal"/></w:pPr>
<w:r><w:t xml:space="preserve">obscurity.  In June 1596 Alabaster sailed with Robert Devereux,</w:t></w:r>
</w:p>
<w:p>
<w:pPr><w:pStyle w:val="Normal"/></w:pPr>
<w:r><w:t xml:space="preserve">earl of Essex, on the expedition to Cadiz in the capacity</w:t></w:r>
</w:p>
<w:p>
<w:pPr><w:pStyle w:val="Normal"/></w:pPr>
<w:r><w:t xml:space="preserve">of chaplain, and, while he was in Spain, he became a Roman</w:t></w:r>
</w:p>
<w:p>
<w:pPr><w:pStyle w:val="Normal"/></w:pPr>
<w:r><w:t xml:space="preserve">Catholic.  An account of his change of laith is given in an</w:t></w:r>
</w:p>
<w:p>
<w:pPr><w:pStyle w:val="Normal"/></w:pPr>
<w:r><w:t xml:space="preserve">obscurely worded sonnet contained in a MS. copy of Divine</w:t></w:r>
</w:p>
<w:p>
<w:pPr><w:pStyle w:val="Normal"/></w:pPr>
<w:r><w:t xml:space="preserve">Meditations, by Mr Alabaster (see J. P. Collier, Hist. of Eng.</w:t></w:r>
</w:p>
<w:p>
<w:pPr><w:pStyle w:val="Normal"/></w:pPr>
<w:r><w:t xml:space="preserve">Dram.  Poetry, ii. 341).  He defended his conversion in a</w:t></w:r>
</w:p>
<w:p>
<w:pPr><w:pStyle w:val="Normal"/></w:pPr>
<w:r><w:t xml:space="preserve">pamphlet, Seven Motives, of which no copy is extant.  The</w:t></w:r>
</w:p>
<w:p>
<w:pPr><w:pStyle w:val="Normal"/></w:pPr>
<w:r><w:t xml:space="preserve">proof of its publication only remains in two tracts, A Booke</w:t></w:r>
</w:p>
<w:p>
<w:pPr><w:pStyle w:val="Normal"/></w:pPr>
<w:r><w:t xml:space="preserve">of the Seuen Planets, or Seuen wandring motives of William</w:t></w:r>
</w:p>
<w:p>
<w:pPr><w:pStyle w:val="Normal"/></w:pPr>
<w:r><w:t xml:space="preserve">Alablaster&apos;s (sic) wit . . ., by John Racster (1598), and</w:t></w:r>
</w:p>
<w:p>
<w:pPr><w:pStyle w:val="Normal"/></w:pPr>
<w:r><w:t xml:space="preserve">An Answer to William Alabaster. his Motives, by Roger Fenton</w:t></w:r>
</w:p>
<w:p>
<w:pPr><w:pStyle w:val="Normal"/></w:pPr>
<w:r><w:t xml:space="preserve">(1599).  From these it appears that Alabaster was imprisoned</w:t></w:r>
</w:p>
<w:p>
<w:pPr><w:pStyle w:val="Normal"/></w:pPr>
<w:r><w:t xml:space="preserve">for his change of faith in the Tower of London during 1598 and</w:t></w:r>
</w:p>
<w:p>
<w:pPr><w:pStyle w:val="Normal"/></w:pPr>
<w:r><w:t xml:space="preserve">1599.  In 1607 he published at Antwerp Apparatus in Revelationem</w:t></w:r>
</w:p>
<w:p>
<w:pPr><w:pStyle w:val="Normal"/></w:pPr>
<w:r><w:t xml:space="preserve">Jesu Christi, in which his study of the Kabbalah was turned</w:t></w:r>
</w:p>
<w:p>
<w:pPr><w:pStyle w:val="Normal"/></w:pPr>
<w:r><w:t xml:space="preserve">to account in a mystical interpretation of scripture which drew</w:t></w:r>
</w:p>
<w:p>
<w:pPr><w:pStyle w:val="Normal"/></w:pPr>
<w:r><w:t xml:space="preserve">down the censure alike of Protestants and Catholics.  The book</w:t></w:r>
</w:p>
<w:p>
<w:pPr><w:pStyle w:val="Normal"/></w:pPr>
<w:r><w:t xml:space="preserve">was placed on the Index librorum prohibitorum at Rome early in</w:t></w:r>
</w:p>
<w:p>
<w:pPr><w:pStyle w:val="Normal"/></w:pPr>
<w:r><w:t xml:space="preserve">1610.  Alabaster says in the preface to his Ecce sponsus</w:t></w:r>
</w:p>
<w:p>
<w:pPr><w:pStyle w:val="Normal"/></w:pPr>
<w:r><w:t xml:space="preserve">veni (1633), a treatise on the time of the second advent of</w:t></w:r>
</w:p>
<w:p>
<w:pPr><w:pStyle w:val="Normal"/></w:pPr>
<w:r><w:t xml:space="preserve">Christ, that he went to Rome and was there imprisoned by the</w:t></w:r>
</w:p>
<w:p>
<w:pPr><w:pStyle w:val="Normal"/></w:pPr>
<w:r><w:t xml:space="preserve">Inquisition but succeeded in escaping to England and again</w:t></w:r>
</w:p>
<w:p>
<w:pPr><w:pStyle w:val="Normal"/></w:pPr>
<w:r><w:t xml:space="preserve">embraced the Protestant faith.  He received a prebend in</w:t></w:r>
</w:p>
<w:p>
<w:pPr><w:pStyle w:val="Normal"/></w:pPr>
<w:r><w:t xml:space="preserve">St Paul&apos;s cathedral, London, and the living of Therlield,</w:t></w:r>
</w:p>
<w:p>
<w:pPr><w:pStyle w:val="Normal"/></w:pPr>
<w:r><w:t xml:space="preserve">Hertfordshire.  He died in 1640.  Alabaster&apos;s other cabalistic</w:t></w:r>
</w:p>
<w:p>
<w:pPr><w:pStyle w:val="Normal"/></w:pPr>
<w:r><w:t xml:space="preserve">writings are Commenitarius de Beslia Apocalyptica (1621) and</w:t></w:r>
</w:p>
<w:p>
<w:pPr><w:pStyle w:val="Normal"/></w:pPr>
<w:r><w:t xml:space="preserve">Spiraculum tubarum . . . . (1633), a mystical interpretation</w:t></w:r>
</w:p>
<w:p>
<w:pPr><w:pStyle w:val="Normal"/></w:pPr>
<w:r><w:t xml:space="preserve">of the Pentateuch.  It was by these theological writings</w:t></w:r>
</w:p>
<w:p>
<w:pPr><w:pStyle w:val="Normal"/></w:pPr>
<w:r><w:t xml:space="preserve">that he won the praise of Robert Herrick, who calls him ``the</w:t></w:r>
</w:p>
<w:p>
<w:pPr><w:pStyle w:val="Normal"/></w:pPr>
<w:r><w:t xml:space="preserve">triumph of the day&apos;&apos; and the ``one only glory of a million&apos;&apos;</w:t></w:r>
</w:p>
<w:p>
<w:pPr><w:pStyle w:val="Normal"/></w:pPr>
<w:r><w:t xml:space="preserve">(``To Doctor Alabaster&apos;&apos; in Hesperides, 1648). He also published</w:t></w:r>
</w:p>
<w:p>
<w:pPr><w:pStyle w:val="Normal"/></w:pPr>
<w:r><w:t xml:space="preserve">(1637) Lexicon Pentaglottoni, Hebraicum, Chaldaicum,</w:t></w:r>
</w:p>
<w:p>
<w:pPr><w:pStyle w:val="Normal"/></w:pPr>
<w:r><w:t xml:space="preserve">Syriacum. Talmudico-Rabbinicci et Arabicum.</w:t></w:r>
</w:p>
<w:p>
<w:pPr><w:pStyle w:val="Normal"/></w:pPr>
<w:r><w:t xml:space="preserve">See T. Fuller, Worthies of England (ii. 343); J. P. Collior,</w:t></w:r>
</w:p>
<w:p>
<w:pPr><w:pStyle w:val="Normal"/></w:pPr>
<w:r><w:t xml:space="preserve">Bibl. and Crit.  Account of the Rarest Books in the English</w:t></w:r>
</w:p>
<w:p>
<w:pPr><w:pStyle w:val="Normal"/></w:pPr>
<w:r><w:t xml:space="preserve">Language (vol. i. 1865); Pierre Bayle, Dictionary, Historical</w:t></w:r>
</w:p>
<w:p>
<w:pPr><w:pStyle w:val="Normal"/></w:pPr>
<w:r><w:t xml:space="preserve">and Critical (ed. London, 1834); also the Athenaeum (December</w:t></w:r>
</w:p>
<w:p>
<w:pPr><w:pStyle w:val="Normal"/></w:pPr>
<w:r><w:t xml:space="preserve">26, 1903), there Sir Bertram Dobell describes a MS. in his</w:t></w:r>
</w:p>
<w:p>
<w:pPr><w:pStyle w:val="Normal"/></w:pPr>
<w:r><w:t xml:space="preserve">possession containing forty-three sonnets by Alabaster.</w:t></w:r>
</w:p>
<w:p>
<w:pPr><w:pStyle w:val="Normal"/></w:pPr>
<w:r><w:t xml:space="preserve">1 For an analysis of the play see an article on</w:t></w:r>
</w:p>
<w:p>
<w:pPr><w:pStyle w:val="Normal"/></w:pPr>
<w:r><w:t xml:space="preserve">the Latin university plays in the Jahrbuch der</w:t></w:r>
</w:p>
<w:p>
<w:pPr><w:pStyle w:val="Normal"/></w:pPr>
<w:r><w:t xml:space="preserve">Deutschen Shakespeare Gesellschaft (Weimar, 1898)</w:t></w:r>
</w:p>
<w:p>
<w:pPr><w:pStyle w:val="Normal"/></w:pPr>
<w:r><w:t xml:space="preserve">ALABASTER, a name applied to two distinct mineral substances,</w:t></w:r>
</w:p>
<w:p>
<w:pPr><w:pStyle w:val="Normal"/></w:pPr>
<w:r><w:t xml:space="preserve">the one a hydrous sulphate of lime and the other a carbonate of</w:t></w:r>
</w:p>
<w:p>
<w:pPr><w:pStyle w:val="Normal"/></w:pPr>
<w:r><w:t xml:space="preserve">lime.  The former is the alabaster of the present day, the</w:t></w:r>
</w:p>
<w:p>
<w:pPr><w:pStyle w:val="Normal"/></w:pPr>
<w:r><w:t xml:space="preserve">latter is generally the alabaster of the ancients.  The two</w:t></w:r>
</w:p>
<w:p>
<w:pPr><w:pStyle w:val="Normal"/></w:pPr>
<w:r><w:t xml:space="preserve">kinds are readily distinguished from each other by their relative</w:t></w:r>
</w:p>
<w:p>
<w:pPr><w:pStyle w:val="Normal"/></w:pPr>
<w:r><w:t xml:space="preserve">hardness.  The modern alabaster is so soft as to be readily</w:t></w:r>
</w:p>
<w:p>
<w:pPr><w:pStyle w:val="Normal"/></w:pPr>
<w:r><w:t xml:space="preserve">scratched even by the finger-nail (hardness= 1.5 to 2), whilst</w:t></w:r>
</w:p>
<w:p>
<w:pPr><w:pStyle w:val="Normal"/></w:pPr>
<w:r><w:t xml:space="preserve">the stone called alabaster by the ancients is too hard to be</w:t></w:r>
</w:p>
<w:p>
<w:pPr><w:pStyle w:val="Normal"/></w:pPr>
<w:r><w:t xml:space="preserve">scratched in this way (hardness=3), though it yields readily to a</w:t></w:r>
</w:p>
<w:p>
<w:pPr><w:pStyle w:val="Normal"/></w:pPr>
<w:r><w:t xml:space="preserve">knife.  Moreover, the ancient alabaster, being a carbonate,</w:t></w:r>
</w:p>
<w:p>
<w:pPr><w:pStyle w:val="Normal"/></w:pPr>
<w:r><w:t xml:space="preserve">effervesces on being touched with hydrochloric acid, whereas the</w:t></w:r>
</w:p>
<w:p>
<w:pPr><w:pStyle w:val="Normal"/></w:pPr>
<w:r><w:t xml:space="preserve">modern alabaster when so treated remains practically unaffected.</w:t></w:r>
</w:p>
<w:p>
<w:pPr><w:pStyle w:val="Normal"/></w:pPr>
<w:r><w:t xml:space="preserve">Ancient Alabaster.---This substance, the ``alabaster&apos;&apos; of</w:t></w:r>
</w:p>
<w:p>
<w:pPr><w:pStyle w:val="Normal"/></w:pPr>
<w:r><w:t xml:space="preserve">scripture, is often termed Oriental alabaster, since the early</w:t></w:r>
</w:p>
<w:p>
<w:pPr><w:pStyle w:val="Normal"/></w:pPr>
<w:r><w:t xml:space="preserve">examples came from the East.  The Greek name alabastrites is</w:t></w:r>
</w:p>
<w:p>
<w:pPr><w:pStyle w:val="Normal"/></w:pPr>
<w:r><w:t xml:space="preserve">said to be derived from the town of Alabastron, in Egypt,</w:t></w:r>
</w:p>
<w:p>
<w:pPr><w:pStyle w:val="Normal"/></w:pPr>
<w:r><w:t xml:space="preserve">where the stone was quarried, but the locality probably owed</w:t></w:r>
</w:p>
<w:p>
<w:pPr><w:pStyle w:val="Normal"/></w:pPr>
<w:r><w:t xml:space="preserve">its name to the mineral; the origin of the mineral-name is</w:t></w:r>
</w:p>
<w:p>
<w:pPr><w:pStyle w:val="Normal"/></w:pPr>
<w:r><w:t xml:space="preserve">obscure, and it has been suggested that it may have had an Arabic</w:t></w:r>
</w:p>
<w:p>
<w:pPr><w:pStyle w:val="Normal"/></w:pPr>
<w:r><w:t xml:space="preserve">origin.  The Oriental alabaster was highly esteemed for making</w:t></w:r>
</w:p>
<w:p>
<w:pPr><w:pStyle w:val="Normal"/></w:pPr>
<w:r><w:t xml:space="preserve">small perfume-bottles or ointment vases called alabastra;</w:t></w:r>
</w:p>
<w:p>
<w:pPr><w:pStyle w:val="Normal"/></w:pPr>
<w:r><w:t xml:space="preserve">and this has been conjectured to be a possible source of the</w:t></w:r>
</w:p>
<w:p>
<w:pPr><w:pStyle w:val="Normal"/></w:pPr>
<w:r><w:t xml:space="preserve">name.  Alabaster was also employed in Egypt for Canopic jars</w:t></w:r>
</w:p>
<w:p>
<w:pPr><w:pStyle w:val="Normal"/></w:pPr>
<w:r><w:t xml:space="preserve">and various other sacred and sepulchral objects.  A splendid</w:t></w:r>
</w:p>
<w:p>
<w:pPr><w:pStyle w:val="Normal"/></w:pPr>
<w:r><w:t xml:space="preserve">sarcophagus, sculptured in a single block of translucent</w:t></w:r>
</w:p>
<w:p>
<w:pPr><w:pStyle w:val="Normal"/></w:pPr>
<w:r><w:t xml:space="preserve">Oriental alabaster from Alabastron, is in the Soane Museum,</w:t></w:r>
</w:p>
<w:p>
<w:pPr><w:pStyle w:val="Normal"/></w:pPr>
<w:r><w:t xml:space="preserve">London.  This was discovered by Giovanni Beizoni, in 1817, in</w:t></w:r>
</w:p>
<w:p>
<w:pPr><w:pStyle w:val="Normal"/></w:pPr>
<w:r><w:t xml:space="preserve">the tomb of Seti I., near Thebes, and was purchased by Sir John</w:t></w:r>
</w:p>
<w:p>
<w:pPr><w:pStyle w:val="Normal"/></w:pPr>
<w:r><w:t xml:space="preserve">Soane, having previously been offered to the British Museum for</w:t></w:r>
</w:p>
<w:p>
<w:pPr><w:pStyle w:val="Normal"/></w:pPr>
<w:r><w:t xml:space="preserve">Oriental alabaster is either a stalagmitic deposit, from the</w:t></w:r>
</w:p>
<w:p>
<w:pPr><w:pStyle w:val="Normal"/></w:pPr>
<w:r><w:t xml:space="preserve">floor and walls of limestone-caverns, or a kind of travertine,</w:t></w:r>
</w:p>
<w:p>
<w:pPr><w:pStyle w:val="Normal"/></w:pPr>
<w:r><w:t xml:space="preserve">deposited from springs of calcareous water.  Its deposition</w:t></w:r>
</w:p>
<w:p>
<w:pPr><w:pStyle w:val="Normal"/></w:pPr>
<w:r><w:t xml:space="preserve">in successive layers gives rise to the banded appearance which</w:t></w:r>
</w:p>
<w:p>
<w:pPr><w:pStyle w:val="Normal"/></w:pPr>
<w:r><w:t xml:space="preserve">the marble often shows on cross-section, whence it is known as</w:t></w:r>
</w:p>
<w:p>
<w:pPr><w:pStyle w:val="Normal"/></w:pPr>
<w:r><w:t xml:space="preserve">onyx-marble or alabaster-onyx, or sometimes simply as onyx--a</w:t></w:r>
</w:p>
<w:p>
<w:pPr><w:pStyle w:val="Normal"/></w:pPr>
<w:r><w:t xml:space="preserve">term which should, however, be restricted to a siliceous</w:t></w:r>
</w:p>
<w:p>
<w:pPr><w:pStyle w:val="Normal"/></w:pPr>
<w:r><w:t xml:space="preserve">mineral.  The Egyptian alabaster has been extensively worked</w:t></w:r>
</w:p>
<w:p>
<w:pPr><w:pStyle w:val="Normal"/></w:pPr>
<w:r><w:t xml:space="preserve">near Suez and near Assiut; there are many ancient quarries</w:t></w:r>
</w:p>
<w:p>
<w:pPr><w:pStyle w:val="Normal"/></w:pPr>
<w:r><w:t xml:space="preserve">in the hills overlooking the plain of Tell el Amarna.  The</w:t></w:r>
</w:p>
<w:p>
<w:pPr><w:pStyle w:val="Normal"/></w:pPr>
<w:r><w:t xml:space="preserve">Algerian ony.xmarble has been largely quarried in the province of</w:t></w:r>
</w:p>
<w:p>
<w:pPr><w:pStyle w:val="Normal"/></w:pPr>
<w:r><w:t xml:space="preserve">Oran.  In Mexico there are famous deposits of a delicate green</w:t></w:r>
</w:p>
<w:p>
<w:pPr><w:pStyle w:val="Normal"/></w:pPr>
<w:r><w:t xml:space="preserve">variety at La Pedrara, in the district of Tecali, near Puebla.</w:t></w:r>
</w:p>
<w:p>
<w:pPr><w:pStyle w:val="Normal"/></w:pPr>
<w:r><w:t xml:space="preserve">Onyx-marble occurs also in the district of Tehuacan and at several</w:t></w:r>
</w:p>
<w:p>
<w:pPr><w:pStyle w:val="Normal"/></w:pPr>
<w:r><w:t xml:space="preserve">localities in California, Arizona, Utah, Colorado and Virginia.</w:t></w:r>
</w:p>
<w:p>
<w:pPr><w:pStyle w:val="Normal"/></w:pPr>
<w:r><w:t xml:space="preserve">Modern Alabaster.--- When the term ``alabaster&apos;&apos; is used</w:t></w:r>
</w:p>
<w:p>
<w:pPr><w:pStyle w:val="Normal"/></w:pPr>
<w:r><w:t xml:space="preserve">without any qualification it invariably means, at the present</w:t></w:r>
</w:p>
<w:p>
<w:pPr><w:pStyle w:val="Normal"/></w:pPr>
<w:r><w:t xml:space="preserve">day, a finely granular variety of gypsum (q.v..) This</w:t></w:r>
</w:p>
<w:p>
<w:pPr><w:pStyle w:val="Normal"/></w:pPr>
<w:r><w:t xml:space="preserve">mineral, or alabaster proper, occurs in England in the</w:t></w:r>
</w:p>
<w:p>
<w:pPr><w:pStyle w:val="Normal"/></w:pPr>
<w:r><w:t xml:space="preserve">Keuper marls of the Midlands, especially at Chellaston in</w:t></w:r>
</w:p>
<w:p>
<w:pPr><w:pStyle w:val="Normal"/></w:pPr>
<w:r><w:t xml:space="preserve">Derbyshire, at Fauld in Staffordshire and near Newark in</w:t></w:r>
</w:p>
<w:p>
<w:pPr><w:pStyle w:val="Normal"/></w:pPr>
<w:r><w:t xml:space="preserve">Nottinghamshire.  At all these localities it has been extensively</w:t></w:r>
</w:p>
<w:p>
<w:pPr><w:pStyle w:val="Normal"/></w:pPr>
<w:r><w:t xml:space="preserve">worked.  It is also found, though in subordinate quantity, at</w:t></w:r>
</w:p>
<w:p>
<w:pPr><w:pStyle w:val="Normal"/></w:pPr>
<w:r><w:t xml:space="preserve">Watchet in Somersetshire, near Penarth in Giamorganshire, and</w:t></w:r>
</w:p>
<w:p>
<w:pPr><w:pStyle w:val="Normal"/></w:pPr>
<w:r><w:t xml:space="preserve">elsewhere.  Iii Cumberland and Westmorland it occurs largely</w:t></w:r>
</w:p>
<w:p>
<w:pPr><w:pStyle w:val="Normal"/></w:pPr>
<w:r><w:t xml:space="preserve">in the New Red rocks, but at a lower geological horizon.</w:t></w:r>
</w:p>
<w:p>
<w:pPr><w:pStyle w:val="Normal"/></w:pPr>
<w:r><w:t xml:space="preserve">The alabaster of Nottinghamshire and Derbyshire is found in</w:t></w:r>
</w:p>
<w:p>
<w:pPr><w:pStyle w:val="Normal"/></w:pPr>
<w:r><w:t xml:space="preserve">thick nodular beds or ``floors,&apos;&apos; in spheroidal masses known</w:t></w:r>
</w:p>
<w:p>
<w:pPr><w:pStyle w:val="Normal"/></w:pPr>
<w:r><w:t xml:space="preserve">as ``balls&apos;&apos; or ``bowls.&apos;&apos; and in smaller lenticular masses</w:t></w:r>
</w:p>
<w:p>
<w:pPr><w:pStyle w:val="Normal"/></w:pPr>
<w:r><w:t xml:space="preserve">termed ``cakes.&apos;&apos; At Chellaston. where the alabaster is known</w:t></w:r>
</w:p>
<w:p>
<w:pPr><w:pStyle w:val="Normal"/></w:pPr>
<w:r><w:t xml:space="preserve">as ``Patrick,&apos;&apos; it has been worked into ornaments under the name</w:t></w:r>
</w:p>
<w:p>
<w:pPr><w:pStyle w:val="Normal"/></w:pPr>
<w:r><w:t xml:space="preserve">of ``Derbyshire spar&apos;&apos;---a term applied also to fluor-spar.  The</w:t></w:r>
</w:p>
<w:p>
<w:pPr><w:pStyle w:val="Normal"/></w:pPr>
<w:r><w:t xml:space="preserve">finer kinds of alabaster are largely employed as an ornamental</w:t></w:r>
</w:p>
<w:p>
<w:pPr><w:pStyle w:val="Normal"/></w:pPr>
<w:r><w:t xml:space="preserve">stone, especially for ecclesiastical decoration, and for the</w:t></w:r>
</w:p>
<w:p>
<w:pPr><w:pStyle w:val="Normal"/></w:pPr>
<w:r><w:t xml:space="preserve">srails of staircases and halls Its softness enables it to be</w:t></w:r>
</w:p>
<w:p>
<w:pPr><w:pStyle w:val="Normal"/></w:pPr>
<w:r><w:t xml:space="preserve">readily carved into elaborate forms, but its solubility in</w:t></w:r>
</w:p>
<w:p>
<w:pPr><w:pStyle w:val="Normal"/></w:pPr>
<w:r><w:t xml:space="preserve">water renders it inapplicable to outdoor work.  The purest</w:t></w:r>
</w:p>
<w:p>
<w:pPr><w:pStyle w:val="Normal"/></w:pPr>
<w:r><w:t xml:space="preserve">alabaster is a snow-white material of fine tiniforni grain,</w:t></w:r>
</w:p>
<w:p>
<w:pPr><w:pStyle w:val="Normal"/></w:pPr>
<w:r><w:t xml:space="preserve">but it is often associated with oxide of iron, which produces</w:t></w:r>
</w:p>
<w:p>
<w:pPr><w:pStyle w:val="Normal"/></w:pPr>
<w:r><w:t xml:space="preserve">brown clouding and veining in the stone.  The coarser varieties</w:t></w:r>
</w:p>
<w:p>
<w:pPr><w:pStyle w:val="Normal"/></w:pPr>
<w:r><w:t xml:space="preserve">of alabaster are converted by calcination into plaster of</w:t></w:r>
</w:p>
<w:p>
<w:pPr><w:pStyle w:val="Normal"/></w:pPr>
<w:r><w:t xml:space="preserve">Paris, whence they are sometimes known as ``plaster stone.&apos;&apos;</w:t></w:r>
</w:p>
<w:p>
<w:pPr><w:pStyle w:val="Normal"/></w:pPr>
<w:r><w:t xml:space="preserve">On the continent of Europe the centre of the alabaster trade is</w:t></w:r>
</w:p>
<w:p>
<w:pPr><w:pStyle w:val="Normal"/></w:pPr>
<w:r><w:t xml:space="preserve">Florence.  The Tuscan alabaster occurs in nodular masses,</w:t></w:r>
</w:p>
<w:p>
<w:pPr><w:pStyle w:val="Normal"/></w:pPr>
<w:r><w:t xml:space="preserve">embedded in limestone, interstratified with marls of Miocene</w:t></w:r>
</w:p>
<w:p>
<w:pPr><w:pStyle w:val="Normal"/></w:pPr>
<w:r><w:t xml:space="preserve">and Pliocene age.  The mineral is largely worked, by means</w:t></w:r>
</w:p>
<w:p>
<w:pPr><w:pStyle w:val="Normal"/></w:pPr>
<w:r><w:t xml:space="preserve">of underground galleries, in the district of Volterra.</w:t></w:r>
</w:p>
<w:p>
<w:pPr><w:pStyle w:val="Normal"/></w:pPr>
<w:r><w:t xml:space="preserve">Several varieties are recognized---veined, spotted, clouded,</w:t></w:r>
</w:p>
<w:p>
<w:pPr><w:pStyle w:val="Normal"/></w:pPr>
<w:r><w:t xml:space="preserve">agatiform, &amp;c. The finest kind, obtained principally from</w:t></w:r>
</w:p>
<w:p>
<w:pPr><w:pStyle w:val="Normal"/></w:pPr>
<w:r><w:t xml:space="preserve">Castellina, is sent to Florence for figure-sculpture, whilst</w:t></w:r>
</w:p>
<w:p>
<w:pPr><w:pStyle w:val="Normal"/></w:pPr>
<w:r><w:t xml:space="preserve">the common kinds are carved locally, at a very cheap rate, into</w:t></w:r>
</w:p>
<w:p>
<w:pPr><w:pStyle w:val="Normal"/></w:pPr>
<w:r><w:t xml:space="preserve">vases, clock-cases and various ornamental objects, in which</w:t></w:r>
</w:p>
<w:p>
<w:pPr><w:pStyle w:val="Normal"/></w:pPr>
<w:r><w:t xml:space="preserve">a large trade is carried on, especially in Florence, Pisa and</w:t></w:r>
</w:p>
<w:p>
<w:pPr><w:pStyle w:val="Normal"/></w:pPr>
<w:r><w:t xml:space="preserve">Leghorn.  In order to diminish the translucency of the alabaster</w:t></w:r>
</w:p>
<w:p>
<w:pPr><w:pStyle w:val="Normal"/></w:pPr>
<w:r><w:t xml:space="preserve">and to produce an opacity suggestive of true marble, the</w:t></w:r>
</w:p>
<w:p>
<w:pPr><w:pStyle w:val="Normal"/></w:pPr>
<w:r><w:t xml:space="preserve">statues are immersed in a bath of water and gradually heated</w:t></w:r>
</w:p>
<w:p>
<w:pPr><w:pStyle w:val="Normal"/></w:pPr>
<w:r><w:t xml:space="preserve">nearly to the boiling-point--an operation requiring great</w:t></w:r>
</w:p>
<w:p>
<w:pPr><w:pStyle w:val="Normal"/></w:pPr>
<w:r><w:t xml:space="preserve">care, for if the temperature be not carefully regulated, the</w:t></w:r>
</w:p>
<w:p>
<w:pPr><w:pStyle w:val="Normal"/></w:pPr>
<w:r><w:t xml:space="preserve">stone acquires a dead-white chalky appearance.  The effect of</w:t></w:r>
</w:p>
<w:p>
<w:pPr><w:pStyle w:val="Normal"/></w:pPr>
<w:r><w:t xml:space="preserve">heating appears to be a partial dehydration ofthegypsum.  If</w:t></w:r>
</w:p>
<w:p>
<w:pPr><w:pStyle w:val="Normal"/></w:pPr>
<w:r><w:t xml:space="preserve">properly treated, it Very closely resembles true marble, and</w:t></w:r>
</w:p>
<w:p>
<w:pPr><w:pStyle w:val="Normal"/></w:pPr>
<w:r><w:t xml:space="preserve">is known as mormo di Castellina. It should be noted that</w:t></w:r>
</w:p>
<w:p>
<w:pPr><w:pStyle w:val="Normal"/></w:pPr>
<w:r><w:t xml:space="preserve">sulphate of lime (gypsum) was used also by the ancients, and was</w:t></w:r>
</w:p>
<w:p>
<w:pPr><w:pStyle w:val="Normal"/></w:pPr>
<w:r><w:t xml:space="preserve">employed, for instance, in Assyrian sculpture, so that some</w:t></w:r>
</w:p>
<w:p>
<w:pPr><w:pStyle w:val="Normal"/></w:pPr>
<w:r><w:t xml:space="preserve">of the ancient alabaster is identical with the modern stone.</w:t></w:r>
</w:p>
<w:p>
<w:pPr><w:pStyle w:val="Normal"/></w:pPr>
<w:r><w:t xml:space="preserve">Alabaster may be stained by digesting it, after heing</w:t></w:r>
</w:p>
<w:p>
<w:pPr><w:pStyle w:val="Normal"/></w:pPr>
<w:r><w:t xml:space="preserve">heated, in various pigmentary solutions; and in this way a</w:t></w:r>
</w:p>
<w:p>
<w:pPr><w:pStyle w:val="Normal"/></w:pPr>
<w:r><w:t xml:space="preserve">good imitation of coral has been produced (alabaster coral).</w:t></w:r>
</w:p>
<w:p>
<w:pPr><w:pStyle w:val="Normal"/></w:pPr>
<w:r><w:t xml:space="preserve">See M. Carmichael, Report on the Volterra Alabaster Industry,</w:t></w:r>
</w:p>
<w:p>
<w:pPr><w:pStyle w:val="Normal"/></w:pPr>
<w:r><w:t xml:space="preserve">Foreign Office, Miscellaneous Series, No. 352 (London, 1895): A. T.</w:t></w:r>
</w:p>
<w:p>
<w:pPr><w:pStyle w:val="Normal"/></w:pPr>
<w:r><w:t xml:space="preserve">Metcalfe, ``The Gypsum Deposits of Nottingham and Derbyshire,&apos;&apos;</w:t></w:r>
</w:p>
<w:p>
<w:pPr><w:pStyle w:val="Normal"/></w:pPr>
<w:r><w:t xml:space="preserve">Transactions of the Federated Institution, vol. xii. (1896),</w:t></w:r>
</w:p>
<w:p>
<w:pPr><w:pStyle w:val="Normal"/></w:pPr>
<w:r><w:t xml:space="preserve">p. i107; J . G. Goodchild, ``The Natural Uistory of Gypsum&apos;&apos;&apos;</w:t></w:r>
</w:p>
<w:p>
<w:pPr><w:pStyle w:val="Normal"/></w:pPr>
<w:r><w:t xml:space="preserve">Proceedings of the Geologists&apos; Association, vol. x. (1888),</w:t></w:r>
</w:p>
<w:p>
<w:pPr><w:pStyle w:val="Normal"/></w:pPr>
<w:r><w:t xml:space="preserve">p. 425; George P. Merrill, ``The Onyx Marbles,&apos;&apos; Report</w:t></w:r>
</w:p>
<w:p>
<w:pPr><w:pStyle w:val="Normal"/></w:pPr>
<w:r><w:t xml:space="preserve">of the U. S. National Museum for 1893, p. 539. (F. W. R.*)</w:t></w:r>
</w:p>
<w:p>
<w:pPr><w:pStyle w:val="Normal"/></w:pPr>
<w:r><w:t xml:space="preserve">ALACOQUE, or AL COQ, MARGUERITE MARIE (1647--1690),</w:t></w:r>
</w:p>
<w:p>
<w:pPr><w:pStyle w:val="Normal"/></w:pPr>
<w:r><w:t xml:space="preserve">French nun and mystic, was born at Lauthecourt, a village in</w:t></w:r>
</w:p>
<w:p>
<w:pPr><w:pStyle w:val="Normal"/></w:pPr>
<w:r><w:t xml:space="preserve">the diocese of Autun, on the 22nd of July 1647.  She would</w:t></w:r>
</w:p>
<w:p>
<w:pPr><w:pStyle w:val="Normal"/></w:pPr>
<w:r><w:t xml:space="preserve">seem to have been from the first of a morbid and unhealthy</w:t></w:r>
</w:p>
<w:p>
<w:pPr><w:pStyle w:val="Normal"/></w:pPr>
<w:r><w:t xml:space="preserve">temperament, and before the age of thirteen was the subject</w:t></w:r>
</w:p>
<w:p>
<w:pPr><w:pStyle w:val="Normal"/></w:pPr>
<w:r><w:t xml:space="preserve">of a paralytic seizure.  Having been cured of this, as she</w:t></w:r>
</w:p>
<w:p>
<w:pPr><w:pStyle w:val="Normal"/></w:pPr>
<w:r><w:t xml:space="preserve">believed, by the intercession of the Holy Virgin, she</w:t></w:r>
</w:p>
<w:p>
<w:pPr><w:pStyle w:val="Normal"/></w:pPr>
<w:r><w:t xml:space="preserve">changed her name to Marie and vowed to devote her life to her</w:t></w:r>
</w:p>
<w:p>
<w:pPr><w:pStyle w:val="Normal"/></w:pPr>
<w:r><w:t xml:space="preserve">service.  In May 1671 she entered the Visitation convent at</w:t></w:r>
</w:p>
<w:p>
<w:pPr><w:pStyle w:val="Normal"/></w:pPr>
<w:r><w:t xml:space="preserve">Paray-le-Monial, in the diocese of Autun, and took the final</w:t></w:r>
</w:p>
<w:p>
<w:pPr><w:pStyle w:val="Normal"/></w:pPr>
<w:r><w:t xml:space="preserve">vows in November 1672.  Though her reading was confined to</w:t></w:r>
</w:p>
<w:p>
<w:pPr><w:pStyle w:val="Normal"/></w:pPr>
<w:r><w:t xml:space="preserve">the lives of the saints, she taught in the school kept by the</w:t></w:r>
</w:p>
<w:p>
<w:pPr><w:pStyle w:val="Normal"/></w:pPr>
<w:r><w:t xml:space="preserve">nuns for the girls of the neighbourhood, to whom she endeared</w:t></w:r>
</w:p>
<w:p>
<w:pPr><w:pStyle w:val="Normal"/></w:pPr>
<w:r><w:t xml:space="preserve">herself by her kindly disposition.  The appalling austerities,</w:t></w:r>
</w:p>
<w:p>
<w:pPr><w:pStyle w:val="Normal"/></w:pPr>
<w:r><w:t xml:space="preserve">however, to which she was allowed to subject herself quickly</w:t></w:r>
</w:p>
<w:p>
<w:pPr><w:pStyle w:val="Normal"/></w:pPr>
<w:r><w:t xml:space="preserve">affected her mental and bodily health.  Hallucinations,</w:t></w:r>
</w:p>
<w:p>
<w:pPr><w:pStyle w:val="Normal"/></w:pPr>
<w:r><w:t xml:space="preserve">to which she had been always subject, became more and more</w:t></w:r>
</w:p>
<w:p>
<w:pPr><w:pStyle w:val="Normal"/></w:pPr>
<w:r><w:t xml:space="preserve">frequent.  She conceived herself to be specially favoured by</w:t></w:r>
</w:p>
<w:p>
<w:pPr><w:pStyle w:val="Normal"/></w:pPr>
<w:r><w:t xml:space="preserve">Christ, who appeared to her in the most extravagant forms.  At</w:t></w:r>
</w:p>
<w:p>
<w:pPr><w:pStyle w:val="Normal"/></w:pPr>
<w:r><w:t xml:space="preserve">last, by dint of fasting and lacerating her flesh, she succeeded</w:t></w:r>
</w:p>
<w:p>
<w:pPr><w:pStyle w:val="Normal"/></w:pPr>
<w:r><w:t xml:space="preserve">in reducing herself to such a state of ecstatic suffering</w:t></w:r>
</w:p>
<w:p>
<w:pPr><w:pStyle w:val="Normal"/></w:pPr>
<w:r><w:t xml:space="preserve">that she belies&apos;ed herself to be undergoing in her own person</w:t></w:r>
</w:p>
<w:p>
<w:pPr><w:pStyle w:val="Normal"/></w:pPr>
<w:r><w:t xml:space="preserve">the Passion of the Lord.  Her reward was the supreme vision</w:t></w:r>
</w:p>
<w:p>
<w:pPr><w:pStyle w:val="Normal"/></w:pPr>
<w:r><w:t xml:space="preserve">in which Christ revealed to her His heart burning with divine</w:t></w:r>
</w:p>
<w:p>
<w:pPr><w:pStyle w:val="Normal"/></w:pPr>
<w:r><w:t xml:space="preserve">love, and even, so she afflrmed, exchanged it with hers, at</w:t></w:r>
</w:p>
<w:p>
<w:pPr><w:pStyle w:val="Normal"/></w:pPr>
<w:r><w:t xml:space="preserve">the same time bidding her establish, on the Friday following,</w:t></w:r>
</w:p>
<w:p>
<w:pPr><w:pStyle w:val="Normal"/></w:pPr>
<w:r><w:t xml:space="preserve">the feast of Corpus Christi, a festival in honour of His Sacred</w:t></w:r>
</w:p>
<w:p>
<w:pPr><w:pStyle w:val="Normal"/></w:pPr>
<w:r><w:t xml:space="preserve">Heart.  It was not till ten years later, in 1685, that the</w:t></w:r>
</w:p>
<w:p>
<w:pPr><w:pStyle w:val="Normal"/></w:pPr>
<w:r><w:t xml:space="preserve">festival was first celebrated at Paray, and not till after</w:t></w:r>
</w:p>
<w:p>
<w:pPr><w:pStyle w:val="Normal"/></w:pPr>
<w:r><w:t xml:space="preserve">the death of Marguerite, on the 17th of October 1690, that</w:t></w:r>
</w:p>
<w:p>
<w:pPr><w:pStyle w:val="Normal"/></w:pPr>
<w:r><w:t xml:space="preserve">the cult of the Sacredheart, fostered by the Jesuits and the</w:t></w:r>
</w:p>
<w:p>
<w:pPr><w:pStyle w:val="Normal"/></w:pPr>
<w:r><w:t xml:space="preserve">subject of violent controversies within the church, spread</w:t></w:r>
</w:p>
<w:p>
<w:pPr><w:pStyle w:val="Normal"/></w:pPr>
<w:r><w:t xml:space="preserve">throughout France and Christendom. (See SACRED HEART.) .</w:t></w:r>
</w:p>
<w:p>
<w:pPr><w:pStyle w:val="Normal"/></w:pPr>
<w:r><w:t xml:space="preserve">Marguerite Alacoque was beatified by Pius IX. in</w:t></w:r>
</w:p>
<w:p>
<w:pPr><w:pStyle w:val="Normal"/></w:pPr>
<w:r><w:t xml:space="preserve">1864.  Her short devotional writing, La Devotion au</w:t></w:r>
</w:p>
<w:p>
<w:pPr><w:pStyle w:val="Normal"/></w:pPr>
<w:r><w:t xml:space="preserve">Sacre-Coeur de Jesus, was published by J. Croiset in</w:t></w:r>
</w:p>
<w:p>
<w:pPr><w:pStyle w:val="Normal"/></w:pPr>
<w:r><w:t xml:space="preserve">1698, and is now very popular among Roman Catholics.</w:t></w:r>
</w:p>
<w:p>
<w:pPr><w:pStyle w:val="Normal"/></w:pPr>
<w:r><w:t xml:space="preserve">See Bishop Languet, Vie de la venerable Marguerite-Marie</w:t></w:r>
</w:p>
<w:p>
<w:pPr><w:pStyle w:val="Normal"/></w:pPr>
<w:r><w:t xml:space="preserve">(Paris, 1724), translated and edited by F. W. Faber (1847):</w:t></w:r>
</w:p>
<w:p>
<w:pPr><w:pStyle w:val="Normal"/></w:pPr>
<w:r><w:t xml:space="preserve">Mgr. Bougaud, Histoire de la bienheureuse Marguerite-Marie</w:t></w:r>
</w:p>
<w:p>
<w:pPr><w:pStyle w:val="Normal"/></w:pPr>
<w:r><w:t xml:space="preserve">(Paris, 1874); G. Tckell, S.J., The Life ofblessed</w:t></w:r>
</w:p>
<w:p>
<w:pPr><w:pStyle w:val="Normal"/></w:pPr>
<w:r><w:t xml:space="preserve">Margaret Mary Alacoque, with some account of the</w:t></w:r>
</w:p>
<w:p>
<w:pPr><w:pStyle w:val="Normal"/></w:pPr>
<w:r><w:t xml:space="preserve">devotion to the Sacred Heart (London, 18O9); b.  B. H.</w:t></w:r>
</w:p>
<w:p>
<w:pPr><w:pStyle w:val="Normal"/></w:pPr>
<w:r><w:t xml:space="preserve">R. . Capefigue, Marie Marguerite Al-Coq (Paris, 1866).</w:t></w:r>
</w:p>
<w:p>
<w:pPr><w:pStyle w:val="Normal"/></w:pPr>
<w:r><w:t xml:space="preserve">ALAGOAS, a maritime state of Brazil, bounded N. and W. by the</w:t></w:r>
</w:p>
<w:p>
<w:pPr><w:pStyle w:val="Normal"/></w:pPr>
<w:r><w:t xml:space="preserve">state of Pernambuco, S. and W. by the state of Sergipe, and E. by</w:t></w:r>
</w:p>
<w:p>
<w:pPr><w:pStyle w:val="Normal"/></w:pPr>
<w:r><w:t xml:space="preserve">the Atlantic.  It hasan area of 22,584 sq. m.  A dry, semibarren</w:t></w:r>
</w:p>
<w:p>
<w:pPr><w:pStyle w:val="Normal"/></w:pPr>
<w:r><w:t xml:space="preserve">plateau, fit for grazing only, extends across the W. part of</w:t></w:r>
</w:p>
<w:p>
<w:pPr><w:pStyle w:val="Normal"/></w:pPr>
<w:r><w:t xml:space="preserve">the state, breaking down into long fertile valleys and wooded</w:t></w:r>
</w:p>
<w:p>
<w:pPr><w:pStyle w:val="Normal"/></w:pPr>
<w:r><w:t xml:space="preserve">ridges towards the coast, giving the country a mountainous</w:t></w:r>
</w:p>
<w:p>
<w:pPr><w:pStyle w:val="Normal"/></w:pPr>
<w:r><w:t xml:space="preserve">character.  The coastal plain is filled with lakes (logoas),</w:t></w:r>
</w:p>
<w:p>
<w:pPr><w:pStyle w:val="Normal"/></w:pPr>
<w:r><w:t xml:space="preserve">in some cases formed by the blocking up of river outlets by beach</w:t></w:r>
</w:p>
<w:p>
<w:pPr><w:pStyle w:val="Normal"/></w:pPr>
<w:r><w:t xml:space="preserve">sands.  The valleys and slopes are highly fertile and produce</w:t></w:r>
</w:p>
<w:p>
<w:pPr><w:pStyle w:val="Normal"/></w:pPr>
<w:r><w:t xml:space="preserve">sugar, cotton, tobacco, Indian corn, rice, mandioca and</w:t></w:r>
</w:p>
<w:p>
<w:pPr><w:pStyle w:val="Normal"/></w:pPr>
<w:r><w:t xml:space="preserve">Iruits.  Hides and skins, mangabeira rubber, cabinet woods,</w:t></w:r>
</w:p>
<w:p>
<w:pPr><w:pStyle w:val="Normal"/></w:pPr>
<w:r><w:t xml:space="preserve">castor beans and rum are also exported.  Cattle-raising was</w:t></w:r>
</w:p>
<w:p>
<w:pPr><w:pStyle w:val="Normal"/></w:pPr>
<w:r><w:t xml:space="preserve">formerly a prominent industry, but it has greatly declined.</w:t></w:r>
</w:p>
<w:p>
<w:pPr><w:pStyle w:val="Normal"/></w:pPr>
<w:r><w:t xml:space="preserve">Manufactures have been developed to a limited extent only,</w:t></w:r>
</w:p>
<w:p>
<w:pPr><w:pStyle w:val="Normal"/></w:pPr>
<w:r><w:t xml:space="preserve">though protective tariff laws have been adopted for their</w:t></w:r>
</w:p>
<w:p>
<w:pPr><w:pStyle w:val="Normal"/></w:pPr>
<w:r><w:t xml:space="preserve">encouragement.  The climate is hot and humid, and fevers are</w:t></w:r>
</w:p>
<w:p>
<w:pPr><w:pStyle w:val="Normal"/></w:pPr>
<w:r><w:t xml:space="preserve">prevalent in the hot season.  The capital, Maceio, is the</w:t></w:r>
</w:p>
<w:p>
<w:pPr><w:pStyle w:val="Normal"/></w:pPr>
<w:r><w:t xml:space="preserve">chief commercial city of the state, and its port (Jaragua)</w:t></w:r>
</w:p>
<w:p>
<w:pPr><w:pStyle w:val="Normal"/></w:pPr>
<w:r><w:t xml:space="preserve">has a large foreign and coastwise trade.  The principal towns</w:t></w:r>
</w:p>
<w:p>
<w:pPr><w:pStyle w:val="Normal"/></w:pPr>
<w:r><w:t xml:space="preserve">are Alagoas, formerly the capital, picturesquely situated</w:t></w:r>
</w:p>
<w:p>
<w:pPr><w:pStyle w:val="Normal"/></w:pPr>
<w:r><w:t xml:space="preserve">on Lake Manguaba, 15 m.  S.W. of Maceio, and Penedo, a small</w:t></w:r>
</w:p>
<w:p>
<w:pPr><w:pStyle w:val="Normal"/></w:pPr>
<w:r><w:t xml:space="preserve">port on the lower Sao Francisco, 26 m. above the river&apos;s</w:t></w:r>
</w:p>
<w:p>
<w:pPr><w:pStyle w:val="Normal"/></w:pPr>
<w:r><w:t xml:space="preserve">mouth.  Before 1817 Alagoas formed part of the capitania of</w:t></w:r>
</w:p>
<w:p>
<w:pPr><w:pStyle w:val="Normal"/></w:pPr>
<w:r><w:t xml:space="preserve">Pernambuco, but in that year the district was rewarded with</w:t></w:r>
</w:p>
<w:p>
<w:pPr><w:pStyle w:val="Normal"/></w:pPr>
<w:r><w:t xml:space="preserve">a separate government for refusing to join a revolution,</w:t></w:r>
</w:p>
<w:p>
<w:pPr><w:pStyle w:val="Normal"/></w:pPr>
<w:r><w:t xml:space="preserve">and in 1823 became a province of the empire.  The advent</w:t></w:r>
</w:p>
<w:p>
<w:pPr><w:pStyle w:val="Normal"/></w:pPr>
<w:r><w:t xml:space="preserve">of the republic in 1889 changed the province into a state.</w:t></w:r>
</w:p>
<w:p>
<w:pPr><w:pStyle w:val="Normal"/></w:pPr>
<w:r><w:t xml:space="preserve">ALAIN DE LILLE [Alanus de Insulis] (c. 1128-1202),</w:t></w:r>
</w:p>
<w:p>
<w:pPr><w:pStyle w:val="Normal"/></w:pPr>
<w:r><w:t xml:space="preserve">French theologian and poet, was born, probably at</w:t></w:r>
</w:p>
<w:p>
<w:pPr><w:pStyle w:val="Normal"/></w:pPr>
<w:r><w:t xml:space="preserve">Lille, some years before 1128.  Little is known of his</w:t></w:r>
</w:p>
<w:p>
<w:pPr><w:pStyle w:val="Normal"/></w:pPr>
<w:r><w:t xml:space="preserve">life.  He seems to have taught in the schools of Paris,</w:t></w:r>
</w:p>
<w:p>
<w:pPr><w:pStyle w:val="Normal"/></w:pPr>
<w:r><w:t xml:space="preserve">and he attended the Lateran Council in 1179.  He afterwards</w:t></w:r>
</w:p>
<w:p>
<w:pPr><w:pStyle w:val="Normal"/></w:pPr>
<w:r><w:t xml:space="preserve">inhabited Montpellier (he is sometimes called Alanus de</w:t></w:r>
</w:p>
<w:p>
<w:pPr><w:pStyle w:val="Normal"/></w:pPr>
<w:r><w:t xml:space="preserve">Montepessulano), lived for a time outside the walls of any</w:t></w:r>
</w:p>
<w:p>
<w:pPr><w:pStyle w:val="Normal"/></w:pPr>
<w:r><w:t xml:space="preserve">cloister, and finally retired to Citeaux, where he died in</w:t></w:r>
</w:p>
<w:p>
<w:pPr><w:pStyle w:val="Normal"/></w:pPr>
<w:r><w:t xml:space="preserve">1202.  He had a very widespread reputation during his lifetime</w:t></w:r>
</w:p>
<w:p>
<w:pPr><w:pStyle w:val="Normal"/></w:pPr>
<w:r><w:t xml:space="preserve">and his knowledge, more varied than profound, caused him to</w:t></w:r>
</w:p>
<w:p>
<w:pPr><w:pStyle w:val="Normal"/></w:pPr>
<w:r><w:t xml:space="preserve">be called Doctor universalis. Among his very numerous works</w:t></w:r>
</w:p>
<w:p>
<w:pPr><w:pStyle w:val="Normal"/></w:pPr>
<w:r><w:t xml:space="preserve">two poems entitle him to a distinguished place in the Latin</w:t></w:r>
</w:p>
<w:p>
<w:pPr><w:pStyle w:val="Normal"/></w:pPr>
<w:r><w:t xml:space="preserve">literature of the middle ages; one of these, the De planctu</w:t></w:r>
</w:p>
<w:p>
<w:pPr><w:pStyle w:val="Normal"/></w:pPr>
<w:r><w:t xml:space="preserve">naturae, is an ingenious satire on the vices of humanity; the</w:t></w:r>
</w:p>
<w:p>
<w:pPr><w:pStyle w:val="Normal"/></w:pPr>
<w:r><w:t xml:space="preserve">other, the Anticlaudianus, a treatise on morals, the form</w:t></w:r>
</w:p>
<w:p>
<w:pPr><w:pStyle w:val="Normal"/></w:pPr>
<w:r><w:t xml:space="preserve">of which recalls the pamphlet of Claudian against Rufinus,</w:t></w:r>
</w:p>
<w:p>
<w:pPr><w:pStyle w:val="Normal"/></w:pPr>
<w:r><w:t xml:space="preserve">is agreeably versified and relatively pure in its latinity.</w:t></w:r>
</w:p>
<w:p>
<w:pPr><w:pStyle w:val="Normal"/></w:pPr>
<w:r><w:t xml:space="preserve">As a theologian Alain de Lille shared in the mystic reaction</w:t></w:r>
</w:p>
<w:p>
<w:pPr><w:pStyle w:val="Normal"/></w:pPr>
<w:r><w:t xml:space="preserve">of the second half of the 12th century against the scholastic</w:t></w:r>
</w:p>
<w:p>
<w:pPr><w:pStyle w:val="Normal"/></w:pPr>
<w:r><w:t xml:space="preserve">philosophy.  His mysticism, however, is far from being as</w:t></w:r>
</w:p>
<w:p>
<w:pPr><w:pStyle w:val="Normal"/></w:pPr>
<w:r><w:t xml:space="preserve">absolute as that of the Victorines.  In the Anticlaudianus</w:t></w:r>
</w:p>
<w:p>
<w:pPr><w:pStyle w:val="Normal"/></w:pPr>
<w:r><w:t xml:space="preserve">he sums up as follows: Reason, guided by prudence, can</w:t></w:r>
</w:p>
<w:p>
<w:pPr><w:pStyle w:val="Normal"/></w:pPr>
<w:r><w:t xml:space="preserve">unaided discover most of the truths of the physical order;</w:t></w:r>
</w:p>
<w:p>
<w:pPr><w:pStyle w:val="Normal"/></w:pPr>
<w:r><w:t xml:space="preserve">for the apprehension of religious truths it must trust to</w:t></w:r>
</w:p>
<w:p>
<w:pPr><w:pStyle w:val="Normal"/></w:pPr>
<w:r><w:t xml:space="preserve">faith.  This rule is completed in his treatise, Ars catholicae</w:t></w:r>
</w:p>
<w:p>
<w:pPr><w:pStyle w:val="Normal"/></w:pPr>
<w:r><w:t xml:space="preserve">fidei, as follows: Theology itself may be demonstrated by</w:t></w:r>
</w:p>
<w:p>
<w:pPr><w:pStyle w:val="Normal"/></w:pPr>
<w:r><w:t xml:space="preserve">reason.  Alain even ventures an immediate application of this</w:t></w:r>
</w:p>
<w:p>
<w:pPr><w:pStyle w:val="Normal"/></w:pPr>
<w:r><w:t xml:space="preserve">principle, and tries to prove geometrically the dogmas defined</w:t></w:r>
</w:p>
<w:p>
<w:pPr><w:pStyle w:val="Normal"/></w:pPr>
<w:r><w:t xml:space="preserve">in the Creed.  This bold attempt is entirely factitious and</w:t></w:r>
</w:p>
<w:p>
<w:pPr><w:pStyle w:val="Normal"/></w:pPr>
<w:r><w:t xml:space="preserve">verbal, and it is only his employment of various terms</w:t></w:r>
</w:p>
<w:p>
<w:pPr><w:pStyle w:val="Normal"/></w:pPr>
<w:r><w:t xml:space="preserve">not generally used in such a connexion (axiom, theorem,</w:t></w:r>
</w:p>
<w:p>
<w:pPr><w:pStyle w:val="Normal"/></w:pPr>
<w:r><w:t xml:space="preserve">corollary, etc.) that gives his treatise its apparent</w:t></w:r>
</w:p>
<w:p>
<w:pPr><w:pStyle w:val="Normal"/></w:pPr>
<w:r><w:t xml:space="preserve">originality.  Alain de Lille has often been confounded with</w:t></w:r>
</w:p>
<w:p>
<w:pPr><w:pStyle w:val="Normal"/></w:pPr>
<w:r><w:t xml:space="preserve">other persons named Alain, in particular with Alain, archbishop</w:t></w:r>
</w:p>
<w:p>
<w:pPr><w:pStyle w:val="Normal"/></w:pPr>
<w:r><w:t xml:space="preserve">of Auxerre, Alan, abbot of Tewkesbury, Alain de Podio,</w:t></w:r>
</w:p>
<w:p>
<w:pPr><w:pStyle w:val="Normal"/></w:pPr>
<w:r><w:t xml:space="preserve">etc.  Certain facts of their lives have been attributed to</w:t></w:r>
</w:p>
<w:p>
<w:pPr><w:pStyle w:val="Normal"/></w:pPr>
<w:r><w:t xml:space="preserve">him, as well as some of their works: thus the Life of St</w:t></w:r>
</w:p>
<w:p>
<w:pPr><w:pStyle w:val="Normal"/></w:pPr>
<w:r><w:t xml:space="preserve">Bernard should be ascribed to Alain of Auxerre and the</w:t></w:r>
</w:p>
<w:p>
<w:pPr><w:pStyle w:val="Normal"/></w:pPr>
<w:r><w:t xml:space="preserve">Commentary upon Merlin to Alan of Tewkesbury.  Neither</w:t></w:r>
</w:p>
<w:p>
<w:pPr><w:pStyle w:val="Normal"/></w:pPr>
<w:r><w:t xml:space="preserve">is the philosopher of Lille the author of a Memoriale rerum</w:t></w:r>
</w:p>
<w:p>
<w:pPr><w:pStyle w:val="Normal"/></w:pPr>
<w:r><w:t xml:space="preserve">difficilium, published under his name; and it is exceedingly</w:t></w:r>
</w:p>
<w:p>
<w:pPr><w:pStyle w:val="Normal"/></w:pPr>
<w:r><w:t xml:space="preserve">doubtful whether the Dicta Alani de lapide philocophico</w:t></w:r>
</w:p>
<w:p>
<w:pPr><w:pStyle w:val="Normal"/></w:pPr>
<w:r><w:t xml:space="preserve">really issued from his pen.  On the other hand, it now seems</w:t></w:r>
</w:p>
<w:p>
<w:pPr><w:pStyle w:val="Normal"/></w:pPr>
<w:r><w:t xml:space="preserve">practically demonstrated that Alain de Lille was the author of</w:t></w:r>
</w:p>
<w:p>
<w:pPr><w:pStyle w:val="Normal"/></w:pPr>
<w:r><w:t xml:space="preserve">the Ars catholicae fidei and the treatise Contra haereticos.</w:t></w:r>
</w:p>
<w:p>
<w:pPr><w:pStyle w:val="Normal"/></w:pPr>
<w:r><w:t xml:space="preserve">The works of Alain de Lille have been published by Migne,</w:t></w:r>
</w:p>
<w:p>
<w:pPr><w:pStyle w:val="Normal"/></w:pPr>
<w:r><w:t xml:space="preserve">Patrologia latina, vol. ccx.  A critical edition of the</w:t></w:r>
</w:p>
<w:p>
<w:pPr><w:pStyle w:val="Normal"/></w:pPr>
<w:r><w:t xml:space="preserve">Anticlaudianus and of the De planctu naturae is given</w:t></w:r>
</w:p>
<w:p>
<w:pPr><w:pStyle w:val="Normal"/></w:pPr>
<w:r><w:t xml:space="preserve">by Th. Wright in vol. ii. of the Anglo-Latin Satirical</w:t></w:r>
</w:p>
<w:p>
<w:pPr><w:pStyle w:val="Normal"/></w:pPr>
<w:r><w:t xml:space="preserve">Poets and Epigrammatists of the Twelfth Century (London,</w:t></w:r>
</w:p>
<w:p>
<w:pPr><w:pStyle w:val="Normal"/></w:pPr>
<w:r><w:t xml:space="preserve">1872).  See Haureau, Memoire sur la vie et quelques</w:t></w:r>
</w:p>
<w:p>
<w:pPr><w:pStyle w:val="Normal"/></w:pPr>
<w:r><w:t xml:space="preserve">oeuvres d&apos;Alain de Lille (Paris, 1885); M. Baumgartner, Die</w:t></w:r>
</w:p>
<w:p>
<w:pPr><w:pStyle w:val="Normal"/></w:pPr>
<w:r><w:t xml:space="preserve">Philosophie des Alanus de Insulis (Munster, 1896). (P. A.)</w:t></w:r>
</w:p>
<w:p>
<w:pPr><w:pStyle w:val="Normal"/></w:pPr>
<w:r><w:t xml:space="preserve">ALAIS, a town of southern France, capital of an</w:t></w:r>
</w:p>
<w:p>
<w:pPr><w:pStyle w:val="Normal"/></w:pPr>
<w:r><w:t xml:space="preserve">arrondissement in the department of Gard, 25 m.  N.N.W. of</w:t></w:r>
</w:p>
<w:p>
<w:pPr><w:pStyle w:val="Normal"/></w:pPr>
<w:r><w:t xml:space="preserve">Nimes on the Paris-Lyon railway, on which it is an important</w:t></w:r>
</w:p>
<w:p>
<w:pPr><w:pStyle w:val="Normal"/></w:pPr>
<w:r><w:t xml:space="preserve">junction.  Pop. (1906) 18,987.  The town is situated at</w:t></w:r>
</w:p>
<w:p>
<w:pPr><w:pStyle w:val="Normal"/></w:pPr>
<w:r><w:t xml:space="preserve">the foot of the Cevenues, on the left bank of the Gardon,</w:t></w:r>
</w:p>
<w:p>
<w:pPr><w:pStyle w:val="Normal"/></w:pPr>
<w:r><w:t xml:space="preserve">which half surrounds it.  The streets are wide and its</w:t></w:r>
</w:p>
<w:p>
<w:pPr><w:pStyle w:val="Normal"/></w:pPr>
<w:r><w:t xml:space="preserve">promenades and fine plane-trees make the town attractive;</w:t></w:r>
</w:p>
<w:p>
<w:pPr><w:pStyle w:val="Normal"/></w:pPr>
<w:r><w:t xml:space="preserve">but the public buildings, the chief of which are the church</w:t></w:r>
</w:p>
<w:p>
<w:pPr><w:pStyle w:val="Normal"/></w:pPr>
<w:r><w:t xml:space="preserve">of St Jean, a heavy building of the 18th century, and the</w:t></w:r>
</w:p>
<w:p>
<w:pPr><w:pStyle w:val="Normal"/></w:pPr>
<w:r><w:t xml:space="preserve">citadel, which serves as barracks and prison, are of small</w:t></w:r>
</w:p>
<w:p>
<w:pPr><w:pStyle w:val="Normal"/></w:pPr>
<w:r><w:t xml:space="preserve">interest.  Pasteur prosecuted his investigations into the</w:t></w:r>
</w:p>
<w:p>
<w:pPr><w:pStyle w:val="Normal"/></w:pPr>
<w:r><w:t xml:space="preserve">silkworm disease at Alais, and the town has dedicated a bust</w:t></w:r>
</w:p>
<w:p>
<w:pPr><w:pStyle w:val="Normal"/></w:pPr>
<w:r><w:t xml:space="preserve">to his memory.  There is also a statue of the chemist J. B.</w:t></w:r>
</w:p>
<w:p>
<w:pPr><w:pStyle w:val="Normal"/></w:pPr>
<w:r><w:t xml:space="preserve">Dumas.  Alais has tribunals of first instance and of commerce,</w:t></w:r>
</w:p>
<w:p>
<w:pPr><w:pStyle w:val="Normal"/></w:pPr>
<w:r><w:t xml:space="preserve">a board of trade-arbitrators, a lycee and a school of</w:t></w:r>
</w:p>
<w:p>
<w:pPr><w:pStyle w:val="Normal"/></w:pPr>
<w:r><w:t xml:space="preserve">mines.  The town is one of the most important markets for</w:t></w:r>
</w:p>
<w:p>
<w:pPr><w:pStyle w:val="Normal"/></w:pPr>
<w:r><w:t xml:space="preserve">raw silk and cocoons in the south of France, and the Gardon</w:t></w:r>
</w:p>
<w:p>
<w:pPr><w:pStyle w:val="Normal"/></w:pPr>
<w:r><w:t xml:space="preserve">supplies power to numerous silkmills.  It is also the centre</w:t></w:r>
</w:p>
<w:p>
<w:pPr><w:pStyle w:val="Normal"/></w:pPr>
<w:r><w:t xml:space="preserve">of a mineral field. which yields large quantities of coal,</w:t></w:r>
</w:p>
<w:p>
<w:pPr><w:pStyle w:val="Normal"/></w:pPr>
<w:r><w:t xml:space="preserve">iron, zinc and lead; its blast-furnaces, foundries, glass-works</w:t></w:r>
</w:p>
<w:p>
<w:pPr><w:pStyle w:val="Normal"/></w:pPr>
<w:r><w:t xml:space="preserve">and engineering works afford employment to many workmen.</w:t></w:r>
</w:p>
<w:p>
<w:pPr><w:pStyle w:val="Normal"/></w:pPr>
<w:r><w:t xml:space="preserve">In the 16th century Alais was an important Huguenot centre.</w:t></w:r>
</w:p>
<w:p>
<w:pPr><w:pStyle w:val="Normal"/></w:pPr>
<w:r><w:t xml:space="preserve">In 1629 the town was taken by Louis XIII., and by the peace</w:t></w:r>
</w:p>
<w:p>
<w:pPr><w:pStyle w:val="Normal"/></w:pPr>
<w:r><w:t xml:space="preserve">of Alais the Huguenots gave up their right to places de</w:t></w:r>
</w:p>
<w:p>
<w:pPr><w:pStyle w:val="Normal"/></w:pPr>
<w:r><w:t xml:space="preserve">surete (garrison towns) and other privileges.  A bishopric</w:t></w:r>
</w:p>
<w:p>
<w:pPr><w:pStyle w:val="Normal"/></w:pPr>
<w:r><w:t xml:space="preserve">was established there in 1694 but suppressed in 1790.</w:t></w:r>
</w:p>
<w:p>
<w:pPr><w:pStyle w:val="Normal"/></w:pPr>
<w:r><w:t xml:space="preserve">ALAJUELA, the capital of the province of Alajuela, in Costa</w:t></w:r>
</w:p>
<w:p>
<w:pPr><w:pStyle w:val="Normal"/></w:pPr>
<w:r><w:t xml:space="preserve">Rica, Central America, on the`transcontinental railway, 15</w:t></w:r>
</w:p>
<w:p>
<w:pPr><w:pStyle w:val="Normal"/></w:pPr>
<w:r><w:t xml:space="preserve">m.  W. of San Jose.  Pop. (1904) 4860.  Alajuela is built</w:t></w:r>
</w:p>
<w:p>
<w:pPr><w:pStyle w:val="Normal"/></w:pPr>
<w:r><w:t xml:space="preserve">at the southern base of the volcano of Poas (8895 ft.) and</w:t></w:r>
</w:p>
<w:p>
<w:pPr><w:pStyle w:val="Normal"/></w:pPr>
<w:r><w:t xml:space="preserve">Overlooks the fertile plateau of San Jose.  Its central</w:t></w:r>
</w:p>
<w:p>
<w:pPr><w:pStyle w:val="Normal"/></w:pPr>
<w:r><w:t xml:space="preserve">square, adorned with a handsome bronze fountain, contains the</w:t></w:r>
</w:p>
<w:p>
<w:pPr><w:pStyle w:val="Normal"/></w:pPr>
<w:r><w:t xml:space="preserve">municipal buildings, and a large but unattractive cathedral.</w:t></w:r>
</w:p>
<w:p>
<w:pPr><w:pStyle w:val="Normal"/></w:pPr>
<w:r><w:t xml:space="preserve">The town covers a considerable area; the detached white</w:t></w:r>
</w:p>
<w:p>
<w:pPr><w:pStyle w:val="Normal"/></w:pPr>
<w:r><w:t xml:space="preserve">houses of its suburbs are surrounded by trees and flowering</w:t></w:r>
</w:p>
<w:p>
<w:pPr><w:pStyle w:val="Normal"/></w:pPr>
<w:r><w:t xml:space="preserve">shrubs.  Alajuela is the centre of the Costa Rican sugar trade,</w:t></w:r>
</w:p>
<w:p>
<w:pPr><w:pStyle w:val="Normal"/></w:pPr>
<w:r><w:t xml:space="preserve">and an important market for coffee.  Its products are exported</w:t></w:r>
</w:p>
<w:p>
<w:pPr><w:pStyle w:val="Normal"/></w:pPr>
<w:r><w:t xml:space="preserve">from Puntarenas, on the Pacific Ocean, 32 m.  W. The province</w:t></w:r>
</w:p>
<w:p>
<w:pPr><w:pStyle w:val="Normal"/></w:pPr>
<w:r><w:t xml:space="preserve">of Alajuela includes the territory of the Guatusos Indians,</w:t></w:r>
</w:p>
<w:p>
<w:pPr><w:pStyle w:val="Normal"/></w:pPr>
<w:r><w:t xml:space="preserve">along the northern frontier; the towns of Atenas, Grecia,</w:t></w:r>
</w:p>
<w:p>
<w:pPr><w:pStyle w:val="Normal"/></w:pPr>
<w:r><w:t xml:space="preserve">Naranjo and San Ramon (all with less than 5000 inhabitants),</w:t></w:r>
</w:p>
<w:p>
<w:pPr><w:pStyle w:val="Normal"/></w:pPr>
<w:r><w:t xml:space="preserve">and the gold-mines of Aguacate, a little north of Atenas.</w:t></w:r>
</w:p>
<w:p>
<w:pPr><w:pStyle w:val="Normal"/></w:pPr>
<w:r><w:t xml:space="preserve">ALAMANNI, or ALLEMANNI, a German tribe, first mentioned</w:t></w:r>
</w:p>
<w:p>
<w:pPr><w:pStyle w:val="Normal"/></w:pPr>
<w:r><w:t xml:space="preserve">by Dio Cassius, under the year 213. They apparently dwelt in</w:t></w:r>
</w:p>
<w:p>
<w:pPr><w:pStyle w:val="Normal"/></w:pPr>
<w:r><w:t xml:space="preserve">the basin of the Maine, to the south of the Chatti.  According</w:t></w:r>
</w:p>
<w:p>
<w:pPr><w:pStyle w:val="Normal"/></w:pPr>
<w:r><w:t xml:space="preserve">to Asinius Quadratus their name indicates that they were a</w:t></w:r>
</w:p>
<w:p>
<w:pPr><w:pStyle w:val="Normal"/></w:pPr>
<w:r><w:t xml:space="preserve">conglomeration of various tribes.  There can be little doubt,</w:t></w:r>
</w:p>
<w:p>
<w:pPr><w:pStyle w:val="Normal"/></w:pPr>
<w:r><w:t xml:space="preserve">however, that the ancient Hermunduri formed the preponderating</w:t></w:r>
</w:p>
<w:p>
<w:pPr><w:pStyle w:val="Normal"/></w:pPr>
<w:r><w:t xml:space="preserve">element in the nation.  Among the other elements may be</w:t></w:r>
</w:p>
<w:p>
<w:pPr><w:pStyle w:val="Normal"/></w:pPr>
<w:r><w:t xml:space="preserve">mentioned the Juthungi, Bucinobantes, Lentienses, and perhaps the</w:t></w:r>
</w:p>
<w:p>
<w:pPr><w:pStyle w:val="Normal"/></w:pPr>
<w:r><w:t xml:space="preserve">Armalausi.  From the 4th century onwards we hear also of the</w:t></w:r>
</w:p>
<w:p>
<w:pPr><w:pStyle w:val="Normal"/></w:pPr>
<w:r><w:t xml:space="preserve">Suebi or Suabi.  The Hermunduri had apparendy belonged to the</w:t></w:r>
</w:p>
<w:p>
<w:pPr><w:pStyle w:val="Normal"/></w:pPr>
<w:r><w:t xml:space="preserve">Suebi, but it is likely enough that reinforcements from new</w:t></w:r>
</w:p>
<w:p>
<w:pPr><w:pStyle w:val="Normal"/></w:pPr>
<w:r><w:t xml:space="preserve">Suebic tribes had now moved westward.  In later times the</w:t></w:r>
</w:p>
<w:p>
<w:pPr><w:pStyle w:val="Normal"/></w:pPr>
<w:r><w:t xml:space="preserve">names Alamanni and Suebi seem to be synonymous.  The tribe</w:t></w:r>
</w:p>
<w:p>
<w:pPr><w:pStyle w:val="Normal"/></w:pPr>
<w:r><w:t xml:space="preserve">was continually engaged in conflicts with the Romans, the</w:t></w:r>
</w:p>
<w:p>
<w:pPr><w:pStyle w:val="Normal"/></w:pPr>
<w:r><w:t xml:space="preserve">most famous encounter being that at Strassburg, in which</w:t></w:r>
</w:p>
<w:p>
<w:pPr><w:pStyle w:val="Normal"/></w:pPr>
<w:r><w:t xml:space="preserve">they were defeated by Julian, afterwards emperor, in the year</w:t></w:r>
</w:p>
<w:p>
<w:pPr><w:pStyle w:val="Normal"/></w:pPr>
<w:r><w:t xml:space="preserve">357, when their king Chonodomarius was taken prisoner.  Early</w:t></w:r>
</w:p>
<w:p>
<w:pPr><w:pStyle w:val="Normal"/></w:pPr>
<w:r><w:t xml:space="preserve">in the 5th century the Alamanni appear to have crossed the</w:t></w:r>
</w:p>
<w:p>
<w:pPr><w:pStyle w:val="Normal"/></w:pPr>
<w:r><w:t xml:space="preserve">Rhine and conquered and settled Alsace and a large part of</w:t></w:r>
</w:p>
<w:p>
<w:pPr><w:pStyle w:val="Normal"/></w:pPr>
<w:r><w:t xml:space="preserve">Switzerlafid.  Their kingdom lasted until the year 405, when</w:t></w:r>
</w:p>
<w:p>
<w:pPr><w:pStyle w:val="Normal"/></w:pPr>
<w:r><w:t xml:space="preserve">they were conquered by Clovis, from which time they formed part</w:t></w:r>
</w:p>
<w:p>
<w:pPr><w:pStyle w:val="Normal"/></w:pPr>
<w:r><w:t xml:space="preserve">of the Frankish dominions.  The Alamannic and Swabian dialects</w:t></w:r>
</w:p>
<w:p>
<w:pPr><w:pStyle w:val="Normal"/></w:pPr>
<w:r><w:t xml:space="preserve">are now spoken in German Switzerland, the southern parts of</w:t></w:r>
</w:p>
<w:p>
<w:pPr><w:pStyle w:val="Normal"/></w:pPr>
<w:r><w:t xml:space="preserve">Baden and Alsace, Wurttemberg and a small portion of Bavaria.</w:t></w:r>
</w:p>
<w:p>
<w:pPr><w:pStyle w:val="Normal"/></w:pPr>
<w:r><w:t xml:space="preserve">See Dio Cassius lxvii. ff.; Ammianus Marcellinus, passim;</w:t></w:r>
</w:p>
<w:p>
<w:pPr><w:pStyle w:val="Normal"/></w:pPr>
<w:r><w:t xml:space="preserve">Gregory of Tours, Historia Francorum, book ii.; C. Zeuss, Die</w:t></w:r>
</w:p>
<w:p>
<w:pPr><w:pStyle w:val="Normal"/></w:pPr>
<w:r><w:t xml:space="preserve">Deutschen und die Nachbarstamme (Munich, 1837), pp.  Ro5 ff.;</w:t></w:r>
</w:p>
<w:p>
<w:pPr><w:pStyle w:val="Normal"/></w:pPr>
<w:r><w:t xml:space="preserve">O. Bremer in H. Paul, Grundriss der Permanischen Philologie</w:t></w:r>
</w:p>
<w:p>
<w:pPr><w:pStyle w:val="Normal"/></w:pPr>
<w:r><w:t xml:space="preserve">(2nd ed., Strassburg, 1900), vol. iii. pp. 930 h. (F. G. M. B.)</w:t></w:r>
</w:p>
<w:p>
<w:pPr><w:pStyle w:val="Normal"/></w:pPr>
<w:r><w:t xml:space="preserve">ALAMANNI, or ALEMANNI, LUIGI (1405-1556), Italian</w:t></w:r>
</w:p>
<w:p>
<w:pPr><w:pStyle w:val="Normal"/></w:pPr>
<w:r><w:t xml:space="preserve">statesman and poet, was born at Florence.  His father was a</w:t></w:r>
</w:p>
<w:p>
<w:pPr><w:pStyle w:val="Normal"/></w:pPr>
<w:r><w:t xml:space="preserve">devoted adherent of the Medici party, but Luigi, smarting under</w:t></w:r>
</w:p>
<w:p>
<w:pPr><w:pStyle w:val="Normal"/></w:pPr>
<w:r><w:t xml:space="preserve">a supposed injustice, joined with Others in an unsuccessful</w:t></w:r>
</w:p>
<w:p>
<w:pPr><w:pStyle w:val="Normal"/></w:pPr>
<w:r><w:t xml:space="preserve">conspiracy against Giulio de&apos; Medici, afterwards POpe Clement</w:t></w:r>
</w:p>
<w:p>
<w:pPr><w:pStyle w:val="Heading1"/></w:pPr>
<w:r><w:t>VII. He was obliged in consequence to take refuge in Venice,</w:t></w:r>
</w:p>
<w:p>
<w:pPr><w:pStyle w:val="Normal"/></w:pPr>
<w:r><w:t xml:space="preserve">and, on the accession of Clement, to flee to France.  When</w:t></w:r>
</w:p>
<w:p>
<w:pPr><w:pStyle w:val="Normal"/></w:pPr>
<w:r><w:t xml:space="preserve">Florence shook off the papal yoke in 1527, Alamanni returned,</w:t></w:r>
</w:p>
<w:p>
<w:pPr><w:pStyle w:val="Normal"/></w:pPr>
<w:r><w:t xml:space="preserve">and took a prominent part in the management of the affairs of the</w:t></w:r>
</w:p>
<w:p>
<w:pPr><w:pStyle w:val="Normal"/></w:pPr>
<w:r><w:t xml:space="preserve">republic.  On the restoration of the Medici in 1530 he had again</w:t></w:r>
</w:p>
<w:p>
<w:pPr><w:pStyle w:val="Normal"/></w:pPr>
<w:r><w:t xml:space="preserve">to take refuge in France, where he composed the greater part</w:t></w:r>
</w:p>
<w:p>
<w:pPr><w:pStyle w:val="Normal"/></w:pPr>
<w:r><w:t xml:space="preserve">of his works.  He was a favourite with Francis I., who sent</w:t></w:r>
</w:p>
<w:p>
<w:pPr><w:pStyle w:val="Normal"/></w:pPr>
<w:r><w:t xml:space="preserve">him as ambassador to Charles V. after the peace of Crepy in</w:t></w:r>
</w:p>
<w:p>
<w:pPr><w:pStyle w:val="Normal"/></w:pPr>
<w:r><w:t xml:space="preserve">1544.  As an instance of his tact in this capacity, it is</w:t></w:r>
</w:p>
<w:p>
<w:pPr><w:pStyle w:val="Normal"/></w:pPr>
<w:r><w:t xml:space="preserve">related that, when Charles interrupted a complimentary address</w:t></w:r>
</w:p>
<w:p>
<w:pPr><w:pStyle w:val="Normal"/></w:pPr>
<w:r><w:t xml:space="preserve">by quoting from a satirical poem of Alamanni&apos;s the words---</w:t></w:r>
</w:p>
<w:p>
<w:pPr><w:pStyle w:val="Normal"/></w:pPr>
<w:r><w:t xml:space="preserve">``l&apos; aquila grifagna, Che per piu devorar, duoi rostri porta&apos;&apos;</w:t></w:r>
</w:p>
<w:p>
<w:pPr><w:pStyle w:val="Normal"/></w:pPr>
<w:r><w:t xml:space="preserve">(Two crooked bills the ravenous eagle bears, The better to devour),</w:t></w:r>
</w:p>
<w:p>
<w:pPr><w:pStyle w:val="Normal"/></w:pPr>
<w:r><w:t xml:space="preserve">the latter at once replied that he spoke them as a poet, who</w:t></w:r>
</w:p>
<w:p>
<w:pPr><w:pStyle w:val="Normal"/></w:pPr>
<w:r><w:t xml:space="preserve">was permitted to use fictions, but that he spoke now as an</w:t></w:r>
</w:p>
<w:p>
<w:pPr><w:pStyle w:val="Normal"/></w:pPr>
<w:r><w:t xml:space="preserve">ambassador, who was obliged to tell the truth.  The ready</w:t></w:r>
</w:p>
<w:p>
<w:pPr><w:pStyle w:val="Normal"/></w:pPr>
<w:r><w:t xml:space="preserve">reply pleased Charles, who added some complimentary words.</w:t></w:r>
</w:p>
<w:p>
<w:pPr><w:pStyle w:val="Normal"/></w:pPr>
<w:r><w:t xml:space="preserve">After the death of Francis, Alamanni enjoyed the confidence</w:t></w:r>
</w:p>
<w:p>
<w:pPr><w:pStyle w:val="Normal"/></w:pPr>
<w:r><w:t xml:space="preserve">of his successor Henry II., and in 1551 was sent by him as his</w:t></w:r>
</w:p>
<w:p>
<w:pPr><w:pStyle w:val="Normal"/></w:pPr>
<w:r><w:t xml:space="preserve">ambassador to Genoa.  He died at Amboise on the 18th of April</w:t></w:r>
</w:p>
<w:p>
<w:pPr><w:pStyle w:val="Normal"/></w:pPr>
<w:r><w:t xml:space="preserve">1556.  He wrote a large number of poems, distinguished by</w:t></w:r>
</w:p>
<w:p>
<w:pPr><w:pStyle w:val="Normal"/></w:pPr>
<w:r><w:t xml:space="preserve">the purity and excellence of their style.  The best is a</w:t></w:r>
</w:p>
<w:p>
<w:pPr><w:pStyle w:val="Normal"/></w:pPr>
<w:r><w:t xml:space="preserve">didactic poem, La Coltivazione (Paris, 1546), written</w:t></w:r>
</w:p>
<w:p>
<w:pPr><w:pStyle w:val="Normal"/></w:pPr>
<w:r><w:t xml:space="preserve">in imitation of Virgil&apos;s Georgics. His Opere Toscane</w:t></w:r>
</w:p>
<w:p>
<w:pPr><w:pStyle w:val="Normal"/></w:pPr>
<w:r><w:t xml:space="preserve">(Lyons, 1532) consists of satirical pieces written in blank</w:t></w:r>
</w:p>
<w:p>
<w:pPr><w:pStyle w:val="Normal"/></w:pPr>
<w:r><w:t xml:space="preserve">verse.  An unfinished poem, Avarchide, in imitation of</w:t></w:r>
</w:p>
<w:p>
<w:pPr><w:pStyle w:val="Normal"/></w:pPr>
<w:r><w:t xml:space="preserve">the Iliad, was the work of his old age and has little</w:t></w:r>
</w:p>
<w:p>
<w:pPr><w:pStyle w:val="Normal"/></w:pPr>
<w:r><w:t xml:space="preserve">merit.  It has been said by some that Alamanni was the first</w:t></w:r>
</w:p>
<w:p>
<w:pPr><w:pStyle w:val="Normal"/></w:pPr>
<w:r><w:t xml:space="preserve">to use blank verse in Italian poetry, but the distinction</w:t></w:r>
</w:p>
<w:p>
<w:pPr><w:pStyle w:val="Normal"/></w:pPr>
<w:r><w:t xml:space="preserve">belongs rather to his contemporary Giangiorgio Trissino.  He</w:t></w:r>
</w:p>
<w:p>
<w:pPr><w:pStyle w:val="Normal"/></w:pPr>
<w:r><w:t xml:space="preserve">also wrote a poetical romance, Girone il Cortese (Paris,</w:t></w:r>
</w:p>
<w:p>
<w:pPr><w:pStyle w:val="Normal"/></w:pPr>
<w:r><w:t xml:space="preserve">1548); a tragedy, Antigone; a comedy, Flora; and other</w:t></w:r>
</w:p>
<w:p>
<w:pPr><w:pStyle w:val="Normal"/></w:pPr>
<w:r><w:t xml:space="preserve">poems.  His works were published, with a biography by P.</w:t></w:r>
</w:p>
<w:p>
<w:pPr><w:pStyle w:val="Normal"/></w:pPr>
<w:r><w:t xml:space="preserve">Raffaelli, as Versi e prose di Luigi Alamanni (Florence, 1859).</w:t></w:r>
</w:p>
<w:p>
<w:pPr><w:pStyle w:val="Normal"/></w:pPr>
<w:r><w:t xml:space="preserve">See G. Naro, Luigi Alamanni e la coltivazione (Syracuse, 1897), and C .</w:t></w:r>
</w:p>
<w:p>
<w:pPr><w:pStyle w:val="Normal"/></w:pPr>
<w:r><w:t xml:space="preserve">Corso, Un decennio di patriottismo di Luigi Alamanni (Palermo, 1898).</w:t></w:r>
</w:p>
<w:p>
<w:pPr><w:pStyle w:val="Normal"/></w:pPr>
<w:r><w:t xml:space="preserve">ALAMEAGH, or ALUMBAGH, the name of a large park 01 walled</w:t></w:r>
</w:p>
<w:p>
<w:pPr><w:pStyle w:val="Normal"/></w:pPr>
<w:r><w:t xml:space="preserve">enclosure, containing a palace, a mosque and other buildings,</w:t></w:r>
</w:p>
<w:p>
<w:pPr><w:pStyle w:val="Normal"/></w:pPr>
<w:r><w:t xml:space="preserve">as well as a beautiful garden, situated about 4 m. from</w:t></w:r>
</w:p>
<w:p>
<w:pPr><w:pStyle w:val="Normal"/></w:pPr>
<w:r><w:t xml:space="preserve">Lucknow, near the Cawnpore road, in the United Provinces of</w:t></w:r>
</w:p>
<w:p>
<w:pPr><w:pStyle w:val="Normal"/></w:pPr>
<w:r><w:t xml:space="preserve">India.  It was converted into a fort by the mutineers</w:t></w:r>
</w:p>
<w:p>
<w:pPr><w:pStyle w:val="Normal"/></w:pPr>
<w:r><w:t xml:space="preserve">in 1857, and after its capture by the British was of</w:t></w:r>
</w:p>
<w:p>
<w:pPr><w:pStyle w:val="Normal"/></w:pPr>
<w:r><w:t xml:space="preserve">importance in connexion with the military operations around</w:t></w:r>
</w:p>
<w:p>
<w:pPr><w:pStyle w:val="Normal"/></w:pPr>
<w:r><w:t xml:space="preserve">Lucknow. (See INDIAN MUTINY and OUTRAM, SIR JAMES.)</w:t></w:r>
</w:p>
<w:p>
<w:pPr><w:pStyle w:val="Normal"/></w:pPr>
<w:r><w:t xml:space="preserve">ALAMEDA, a residential city of Alameda county, California,</w:t></w:r>
</w:p>
<w:p>
<w:pPr><w:pStyle w:val="Normal"/></w:pPr>
<w:r><w:t xml:space="preserve">U.S.A., on an artificial island about 5 m. long and 1 m.</w:t></w:r>
</w:p>
<w:p>
<w:pPr><w:pStyle w:val="Normal"/></w:pPr>
<w:r><w:t xml:space="preserve">wide, on the E. side of San Francisco bay, opposite to and</w:t></w:r>
</w:p>
<w:p>
<w:pPr><w:pStyle w:val="Normal"/></w:pPr>
<w:r><w:t xml:space="preserve">about 6 m. from San Francisco, and directly S. of Oakland,</w:t></w:r>
</w:p>
<w:p>
<w:pPr><w:pStyle w:val="Normal"/></w:pPr>
<w:r><w:t xml:space="preserve">from which it is separated by a drainage canal, spanned by</w:t></w:r>
</w:p>
<w:p>
<w:pPr><w:pStyle w:val="Normal"/></w:pPr>
<w:r><w:t xml:space="preserve">bridges.  Included within the limits of the city is Bay Farm</w:t></w:r>
</w:p>
<w:p>
<w:pPr><w:pStyle w:val="Normal"/></w:pPr>
<w:r><w:t xml:space="preserve">island, with an area of about 3 sq. m.  Pop. (1870) 15571</w:t></w:r>
</w:p>
<w:p>
<w:pPr><w:pStyle w:val="Normal"/></w:pPr>
<w:r><w:t xml:space="preserve">(1880) 5708; (1890) 11,165; (1900) 16,464, of whom 4175 were</w:t></w:r>
</w:p>
<w:p>
<w:pPr><w:pStyle w:val="Normal"/></w:pPr>
<w:r><w:t xml:space="preserve">foreign-born; (1910, census) 23,383.  Alameda is served by</w:t></w:r>
</w:p>
<w:p>
<w:pPr><w:pStyle w:val="Normal"/></w:pPr>
<w:r><w:t xml:space="preserve">the Southern Pacific railway, and is connected by an electric</w:t></w:r>
</w:p>
<w:p>
<w:pPr><w:pStyle w:val="Normal"/></w:pPr>
<w:r><w:t xml:space="preserve">line with Oakland and Berkeley.  Its site is low and level</w:t></w:r>
</w:p>
<w:p>
<w:pPr><w:pStyle w:val="Normal"/></w:pPr>
<w:r><w:t xml:space="preserve">and its plan fairly regular.  Among the city&apos;s manufactures</w:t></w:r>
</w:p>
<w:p>
<w:pPr><w:pStyle w:val="Normal"/></w:pPr>
<w:r><w:t xml:space="preserve">are terra-cotta tiles, pottery, rugs, refrigerators and</w:t></w:r>
</w:p>
<w:p>
<w:pPr><w:pStyle w:val="Normal"/></w:pPr>
<w:r><w:t xml:space="preserve">salt.  The city owns and operates the electriclighting</w:t></w:r>
</w:p>
<w:p>
<w:pPr><w:pStyle w:val="Normal"/></w:pPr>
<w:r><w:t xml:space="preserve">plant; the water-works system is privately owned, and the</w:t></w:r>
</w:p>
<w:p>
<w:pPr><w:pStyle w:val="Normal"/></w:pPr>
<w:r><w:t xml:space="preserve">water supply is obtained from deep wells at San Leandro.</w:t></w:r>
</w:p>
<w:p>
<w:pPr><w:pStyle w:val="Normal"/></w:pPr>
<w:r><w:t xml:space="preserve">A settlement existed here before the end of the Mexican</w:t></w:r>
</w:p>
<w:p>
<w:pPr><w:pStyle w:val="Normal"/></w:pPr>
<w:r><w:t xml:space="preserve">period.  In 1854 it was incorporated as a town and in 1885</w:t></w:r>
</w:p>
<w:p>
<w:pPr><w:pStyle w:val="Normal"/></w:pPr>
<w:r><w:t xml:space="preserve">was chartered as a city.  In 1906 the city adopted a freehold</w:t></w:r>
</w:p>
<w:p>
<w:pPr><w:pStyle w:val="Normal"/></w:pPr>
<w:r><w:t xml:space="preserve">charter, centralizing power in the mayor and providing</w:t></w:r>
</w:p>
<w:p>
<w:pPr><w:pStyle w:val="Normal"/></w:pPr>
<w:r><w:t xml:space="preserve">for a referendum.  The county was organized in 1853.</w:t></w:r>
</w:p>
<w:p>
<w:pPr><w:pStyle w:val="Normal"/></w:pPr>
<w:r><w:t xml:space="preserve">ALAMOS DE BARRIENTOS, BALTASAR (1555-1640), Spanish</w:t></w:r>
</w:p>
<w:p>
<w:pPr><w:pStyle w:val="Normal"/></w:pPr>
<w:r><w:t xml:space="preserve">scholar, was born at Medina del Campo in 1555.  His friendship</w:t></w:r>
</w:p>
<w:p>
<w:pPr><w:pStyle w:val="Normal"/></w:pPr>
<w:r><w:t xml:space="preserve">with Antonio Perez caused him to be arrested in 1590 and</w:t></w:r>
</w:p>
<w:p>
<w:pPr><w:pStyle w:val="Normal"/></w:pPr>
<w:r><w:t xml:space="preserve">imprisoned for nearly thirteen years.  His 7Acito espanol</w:t></w:r>
</w:p>
<w:p>
<w:pPr><w:pStyle w:val="Normal"/></w:pPr>
<w:r><w:t xml:space="preserve">ilustrado con aforismos (Madrid, 1614) is the only work</w:t></w:r>
</w:p>
<w:p>
<w:pPr><w:pStyle w:val="Normal"/></w:pPr>
<w:r><w:t xml:space="preserve">which bears his name, but he is probably the author of the</w:t></w:r>
</w:p>
<w:p>
<w:pPr><w:pStyle w:val="Normal"/></w:pPr>
<w:r><w:t xml:space="preserve">Discurso del gobierno ascribed to Perez.  Through the</w:t></w:r>
</w:p>
<w:p>
<w:pPr><w:pStyle w:val="Normal"/></w:pPr>
<w:r><w:t xml:space="preserve">influence of Lerma (to whom the Tacito is dedicated) and of</w:t></w:r>
</w:p>
<w:p>
<w:pPr><w:pStyle w:val="Normal"/></w:pPr>
<w:r><w:t xml:space="preserve">Olivares, he subsequently attained high official position.</w:t></w:r>
</w:p>
<w:p>
<w:pPr><w:pStyle w:val="Normal"/></w:pPr>
<w:r><w:t xml:space="preserve">See L&apos;Art de gouverner, ed.  J. M. Guardia (Paris, 1867);</w:t></w:r>
</w:p>
<w:p>
<w:pPr><w:pStyle w:val="Normal"/></w:pPr>
<w:r><w:t xml:space="preserve">P. J. Pidal, Historia de las alteraciones de Aragon en</w:t></w:r>
</w:p>
<w:p>
<w:pPr><w:pStyle w:val="Normal"/></w:pPr>
<w:r><w:t xml:space="preserve">el reinado de Felipe II. (Madrid, 1862), vol. iii. pp.</w:t></w:r>
</w:p>
<w:p>
<w:pPr><w:pStyle w:val="Normal"/></w:pPr>
<w:r><w:t xml:space="preserve">29-30; A. Perez, Relaciones (Geneva, 1654), pp. 86-88.</w:t></w:r>
</w:p>
<w:p>
<w:pPr><w:pStyle w:val="Normal"/></w:pPr>
<w:r><w:t xml:space="preserve">ALAND ISLANDS, an archipelago at the entrance to the Gulf</w:t></w:r>
</w:p>
<w:p>
<w:pPr><w:pStyle w:val="Normal"/></w:pPr>
<w:r><w:t xml:space="preserve">of Bothnia, about 25 m. from the coast of Sweden, and 15 from</w:t></w:r>
</w:p>
<w:p>
<w:pPr><w:pStyle w:val="Normal"/></w:pPr>
<w:r><w:t xml:space="preserve">that of Finland.  The group, which forms part of the Finnish</w:t></w:r>
</w:p>
<w:p>
<w:pPr><w:pStyle w:val="Normal"/></w:pPr>
<w:r><w:t xml:space="preserve">province of Abo-Bjorneborg, consists of nearly three hundred</w:t></w:r>
</w:p>
<w:p>
<w:pPr><w:pStyle w:val="Normal"/></w:pPr>
<w:r><w:t xml:space="preserve">islands, of which about eighty are inhabited, the remainder</w:t></w:r>
</w:p>
<w:p>
<w:pPr><w:pStyle w:val="Normal"/></w:pPr>
<w:r><w:t xml:space="preserve">being desolate rocks.  These islands form a continuation of</w:t></w:r>
</w:p>
<w:p>
<w:pPr><w:pStyle w:val="Normal"/></w:pPr>
<w:r><w:t xml:space="preserve">a dangerous granite reef extending along the south coast of</w:t></w:r>
</w:p>
<w:p>
<w:pPr><w:pStyle w:val="Normal"/></w:pPr>
<w:r><w:t xml:space="preserve">Finland.  They formerly belonged to Sweden, and in the</w:t></w:r>
</w:p>
<w:p>
<w:pPr><w:pStyle w:val="Normal"/></w:pPr>
<w:r><w:t xml:space="preserve">neighbourhood the first victory of the Russian fleet Over</w:t></w:r>
</w:p>
<w:p>
<w:pPr><w:pStyle w:val="Normal"/></w:pPr>
<w:r><w:t xml:space="preserve">the Swedes was gained by Peter the Great in 1714.  They were</w:t></w:r>
</w:p>
<w:p>
<w:pPr><w:pStyle w:val="Normal"/></w:pPr>
<w:r><w:t xml:space="preserve">ceded to Russia in 1809.  They occupy a total area of 1426</w:t></w:r>
</w:p>
<w:p>
<w:pPr><w:pStyle w:val="Normal"/></w:pPr>
<w:r><w:t xml:space="preserve">sq. km., and their present population is estimated at about</w:t></w:r>
</w:p>
<w:p>
<w:pPr><w:pStyle w:val="Normal"/></w:pPr>
<w:r><w:t xml:space="preserve">19,000.  The majority of these occupy the island of Aland, upon</w:t></w:r>
</w:p>
<w:p>
<w:pPr><w:pStyle w:val="Normal"/></w:pPr>
<w:r><w:t xml:space="preserve">which is situated the town of Mariehamn with a population of</w:t></w:r>
</w:p>
<w:p>
<w:pPr><w:pStyle w:val="Normal"/></w:pPr>
<w:r><w:t xml:space="preserve">1171.  The inhabitants are mostly of Swedish descent, and</w:t></w:r>
</w:p>
<w:p>
<w:pPr><w:pStyle w:val="Normal"/></w:pPr>
<w:r><w:t xml:space="preserve">are hardy seamen and fishermen.  The surface of the islands</w:t></w:r>
</w:p>
<w:p>
<w:pPr><w:pStyle w:val="Normal"/></w:pPr>
<w:r><w:t xml:space="preserve">is generally sandy, the soil thin and the climate keen; yet</w:t></w:r>
</w:p>
<w:p>
<w:pPr><w:pStyle w:val="Normal"/></w:pPr>
<w:r><w:t xml:space="preserve">Scotch fir, spruce and birch are grown; and rye, barley, flax</w:t></w:r>
</w:p>
<w:p>
<w:pPr><w:pStyle w:val="Normal"/></w:pPr>
<w:r><w:t xml:space="preserve">and vegetables are produced in sufficient quantity for the</w:t></w:r>
</w:p>
<w:p>
<w:pPr><w:pStyle w:val="Normal"/></w:pPr>
<w:r><w:t xml:space="preserve">wants of the people.  Great numbers of cattle are reared;</w:t></w:r>
</w:p>
<w:p>
<w:pPr><w:pStyle w:val="Normal"/></w:pPr>
<w:r><w:t xml:space="preserve">and cheese, butter and hides, as well as salted meat and</w:t></w:r>
</w:p>
<w:p>
<w:pPr><w:pStyle w:val="Normal"/></w:pPr>
<w:r><w:t xml:space="preserve">fish, are exported.  There are several excellent harbours</w:t></w:r>
</w:p>
<w:p>
<w:pPr><w:pStyle w:val="Normal"/></w:pPr>
<w:r><w:t xml:space="preserve">(notably that of Ytternas), which were at one time of great</w:t></w:r>
</w:p>
<w:p>
<w:pPr><w:pStyle w:val="Normal"/></w:pPr>
<w:r><w:t xml:space="preserve">importance to Russia from the fact that they are frozen up</w:t></w:r>
</w:p>
<w:p>
<w:pPr><w:pStyle w:val="Normal"/></w:pPr>
<w:r><w:t xml:space="preserve">for a much briefer period than those on the coast of Finland.</w:t></w:r>
</w:p>
<w:p>
<w:pPr><w:pStyle w:val="Normal"/></w:pPr>
<w:r><w:t xml:space="preserve">The Aland Islands occupy a position of the greatest strategic</w:t></w:r>
</w:p>
<w:p>
<w:pPr><w:pStyle w:val="Normal"/></w:pPr>
<w:r><w:t xml:space="preserve">importance, commanding as they do both the entrance to the</w:t></w:r>
</w:p>
<w:p>
<w:pPr><w:pStyle w:val="Normal"/></w:pPr>
<w:r><w:t xml:space="preserve">port of Stockholm and the approaches to the Gulf of Bothnia,</w:t></w:r>
</w:p>
<w:p>
<w:pPr><w:pStyle w:val="Normal"/></w:pPr>
<w:r><w:t xml:space="preserve">through which the greater part of the trade of Sweden is carried</w:t></w:r>
</w:p>
<w:p>
<w:pPr><w:pStyle w:val="Normal"/></w:pPr>
<w:r><w:t xml:space="preserve">on.  When, by the 4th article of the treaty of Fredrikshavn</w:t></w:r>
</w:p>
<w:p>
<w:pPr><w:pStyle w:val="Normal"/></w:pPr>
<w:r><w:t xml:space="preserve">(Friedrichshamn), 5/17 September 1809, the islands were</w:t></w:r>
</w:p>
<w:p>
<w:pPr><w:pStyle w:val="Normal"/></w:pPr>
<w:r><w:t xml:space="preserve">ceded to Russia, together with the territories forming the</w:t></w:r>
</w:p>
<w:p>
<w:pPr><w:pStyle w:val="Normal"/></w:pPr>
<w:r><w:t xml:space="preserve">grand-duchy of Finland on the mainland, the Swedes were</w:t></w:r>
</w:p>
<w:p>
<w:pPr><w:pStyle w:val="Normal"/></w:pPr>
<w:r><w:t xml:space="preserve">unable to secure a provision that the islands should not be</w:t></w:r>
</w:p>
<w:p>
<w:pPr><w:pStyle w:val="Normal"/></w:pPr>
<w:r><w:t xml:space="preserve">fortified.  The question was, however, a vital one not only</w:t></w:r>
</w:p>
<w:p>
<w:pPr><w:pStyle w:val="Normal"/></w:pPr>
<w:r><w:t xml:space="preserve">for Sweden but for Great Britain, whose trade in the Baltic was</w:t></w:r>
</w:p>
<w:p>
<w:pPr><w:pStyle w:val="Normal"/></w:pPr>
<w:r><w:t xml:space="preserve">threatened.  In 1854, accordingly, during the Crimean War,</w:t></w:r>
</w:p>
<w:p>
<w:pPr><w:pStyle w:val="Normal"/></w:pPr>
<w:r><w:t xml:space="preserve">an Anglo-French force attacked and destroyed the fortress</w:t></w:r>
</w:p>
<w:p>
<w:pPr><w:pStyle w:val="Normal"/></w:pPr>
<w:r><w:t xml:space="preserve">of Bomersund, against the erection of which Palmerston had</w:t></w:r>
</w:p>
<w:p>
<w:pPr><w:pStyle w:val="Normal"/></w:pPr>
<w:r><w:t xml:space="preserve">protested without effect some twenty years previously.  By</w:t></w:r>
</w:p>
<w:p>
<w:pPr><w:pStyle w:val="Normal"/></w:pPr>
<w:r><w:t xml:space="preserve">the ``Aland Convention,&apos;&apos; concluded between Great Britain,</w:t></w:r>
</w:p>
<w:p>
<w:pPr><w:pStyle w:val="Normal"/></w:pPr>
<w:r><w:t xml:space="preserve">France and Russia on the 30th of March 1856, it was stipulated</w:t></w:r>
</w:p>
<w:p>
<w:pPr><w:pStyle w:val="Normal"/></w:pPr>
<w:r><w:t xml:space="preserve">that ``the Aland Islands shall not be fortified, and that</w:t></w:r>
</w:p>
<w:p>
<w:pPr><w:pStyle w:val="Normal"/></w:pPr>
<w:r><w:t xml:space="preserve">no military or naval establishments shall be maintained or</w:t></w:r>
</w:p>
<w:p>
<w:pPr><w:pStyle w:val="Normal"/></w:pPr>
<w:r><w:t xml:space="preserve">created on them.&apos;&apos; By the 33rd article of the treaty of Paris</w:t></w:r>
</w:p>
<w:p>
<w:pPr><w:pStyle w:val="Normal"/></w:pPr>
<w:r><w:t xml:space="preserve">(1856) this convention, annexed to the final act, was given</w:t></w:r>
</w:p>
<w:p>
<w:pPr><w:pStyle w:val="Normal"/></w:pPr>
<w:r><w:t xml:space="preserve">``the same force and validity as if it formed part thereof,&apos;&apos;</w:t></w:r>
</w:p>
<w:p>
<w:pPr><w:pStyle w:val="Normal"/></w:pPr>
<w:r><w:t xml:space="preserve">Palmerston declaring in the House of Commons (May 6) that</w:t></w:r>
</w:p>
<w:p>
<w:pPr><w:pStyle w:val="Normal"/></w:pPr>
<w:r><w:t xml:space="preserve">it had ``placed a barrier between Russia and the north of</w:t></w:r>
</w:p>
<w:p>
<w:pPr><w:pStyle w:val="Normal"/></w:pPr>
<w:r><w:t xml:space="preserve">Europe.,&apos; Some attention was attracted to this arrangement</w:t></w:r>
</w:p>
<w:p>
<w:pPr><w:pStyle w:val="Normal"/></w:pPr>
<w:r><w:t xml:space="preserve">when in 1906 it was asserted that Russia, under pretext of</w:t></w:r>
</w:p>
<w:p>
<w:pPr><w:pStyle w:val="Normal"/></w:pPr>
<w:r><w:t xml:space="preserve">stopping the smuggling of arms into Finland, was massing</w:t></w:r>
</w:p>
<w:p>
<w:pPr><w:pStyle w:val="Normal"/></w:pPr>
<w:r><w:t xml:space="preserve">considerable naval and military forces at the islands.  The</w:t></w:r>
</w:p>
<w:p>
<w:pPr><w:pStyle w:val="Normal"/></w:pPr>
<w:r><w:t xml:space="preserve">question of the Aland Islands created some discussion in 1907</w:t></w:r>
</w:p>
<w:p>
<w:pPr><w:pStyle w:val="Normal"/></w:pPr>
<w:r><w:t xml:space="preserve">and 1908 in connexion with the new North Sea agreements, and</w:t></w:r>
</w:p>
<w:p>
<w:pPr><w:pStyle w:val="Normal"/></w:pPr>
<w:r><w:t xml:space="preserve">undoubtedly Russia considered the convention of 1856 as rather</w:t></w:r>
</w:p>
<w:p>
<w:pPr><w:pStyle w:val="Normal"/></w:pPr>
<w:r><w:t xml:space="preserve">humiliating.  But it was plainly shown by other powers that</w:t></w:r>
</w:p>
<w:p>
<w:pPr><w:pStyle w:val="Normal"/></w:pPr>
<w:r><w:t xml:space="preserve">they did not propose to regard it as modified or open to</w:t></w:r>
</w:p>
<w:p>
<w:pPr><w:pStyle w:val="Normal"/></w:pPr>
<w:r><w:t xml:space="preserve">question, and the point was not definitely and officially raised.</w:t></w:r>
</w:p>
<w:p>
<w:pPr><w:pStyle w:val="Normal"/></w:pPr>
<w:r><w:t xml:space="preserve">See the article by Dr Verner Soderberg in the</w:t></w:r>
</w:p>
<w:p>
<w:pPr><w:pStyle w:val="Normal"/></w:pPr>
<w:r><w:t xml:space="preserve">National Review, No. 392, for April 1908.</w:t></w:r>
</w:p>
<w:p>
<w:pPr><w:pStyle w:val="Normal"/></w:pPr>
<w:r><w:t xml:space="preserve">ALANI (Gr. &apos;Alanoi,&apos;Alaunoi; Chinese &apos;O-lan-na; since</w:t></w:r>
</w:p>
<w:p>
<w:pPr><w:pStyle w:val="Normal"/></w:pPr>
<w:r><w:t xml:space="preserve">the 9th century A.D. they have been called As, Russ.</w:t></w:r>
</w:p>
<w:p>
<w:pPr><w:pStyle w:val="Normal"/></w:pPr>
<w:r><w:t xml:space="preserve">Jasy, Georgian Ossi), the easternmost division of the</w:t></w:r>
</w:p>
<w:p>
<w:pPr><w:pStyle w:val="Normal"/></w:pPr>
<w:r><w:t xml:space="preserve">Sarmatians (see SCYTHIA), Iranian nomads with some Altaic</w:t></w:r>
</w:p>
<w:p>
<w:pPr><w:pStyle w:val="Normal"/></w:pPr>
<w:r><w:t xml:space="preserve">admixture.  First met with north of the Caspian, and later</w:t></w:r>
</w:p>
<w:p>
<w:pPr><w:pStyle w:val="Normal"/></w:pPr>
<w:r><w:t xml:space="preserve">(c. 1st century A.D.) spreading into the steppes of</w:t></w:r>
</w:p>
<w:p>
<w:pPr><w:pStyle w:val="Normal"/></w:pPr>
<w:r><w:t xml:space="preserve">Russia, the Alans made incursions into both the Danubian and</w:t></w:r>
</w:p>
<w:p>
<w:pPr><w:pStyle w:val="Normal"/></w:pPr>
<w:r><w:t xml:space="preserve">the Caucasian provinces of the Roman empire.  By the Huns they</w:t></w:r>
</w:p>
<w:p>
<w:pPr><w:pStyle w:val="Normal"/></w:pPr>
<w:r><w:t xml:space="preserve">were cut into two portions, of which the western joined the</w:t></w:r>
</w:p>
<w:p>
<w:pPr><w:pStyle w:val="Normal"/></w:pPr>
<w:r><w:t xml:space="preserve">Germanic nations in their invasion of southern Europe, and,</w:t></w:r>
</w:p>
<w:p>
<w:pPr><w:pStyle w:val="Normal"/></w:pPr>
<w:r><w:t xml:space="preserve">following the fortunes of the Vandals, disappeared in North</w:t></w:r>
</w:p>
<w:p>
<w:pPr><w:pStyle w:val="Normal"/></w:pPr>
<w:r><w:t xml:space="preserve">Africa.  Those of the eastern division, though dispersed about</w:t></w:r>
</w:p>
<w:p>
<w:pPr><w:pStyle w:val="Normal"/></w:pPr>
<w:r><w:t xml:space="preserve">the steppes until late medieval times, were by fresh invading</w:t></w:r>
</w:p>
<w:p>
<w:pPr><w:pStyle w:val="Normal"/></w:pPr>
<w:r><w:t xml:space="preserve">hordes forced into the Caucasus, where they remain as the</w:t></w:r>
</w:p>
<w:p>
<w:pPr><w:pStyle w:val="Normal"/></w:pPr>
<w:r><w:t xml:space="preserve">Ossetes.  At one time partially Christianized by Byzantine</w:t></w:r>
</w:p>
<w:p>
<w:pPr><w:pStyle w:val="Normal"/></w:pPr>
<w:r><w:t xml:space="preserve">missionaries, they had almost relapsed into heathenism, but are</w:t></w:r>
</w:p>
<w:p>
<w:pPr><w:pStyle w:val="Normal"/></w:pPr>
<w:r><w:t xml:space="preserve">now under Russian influence returning to Christianity. (E. II. M.)</w:t></w:r>
</w:p>
<w:p>
<w:pPr><w:pStyle w:val="Normal"/></w:pPr>
<w:r><w:t xml:space="preserve">ALANCON, HERNANDO DE, Spanish navigator of the 16th century,</w:t></w:r>
</w:p>
<w:p>
<w:pPr><w:pStyle w:val="Normal"/></w:pPr>
<w:r><w:t xml:space="preserve">is known only in connexion with the expedition to the coast of</w:t></w:r>
</w:p>
<w:p>
<w:pPr><w:pStyle w:val="Normal"/></w:pPr>
<w:r><w:t xml:space="preserve">California, of which he was leader.  He set sail on the 9th</w:t></w:r>
</w:p>
<w:p>
<w:pPr><w:pStyle w:val="Normal"/></w:pPr>
<w:r><w:t xml:space="preserve">of May 1540 with orders from the Spanish court to await at</w:t></w:r>
</w:p>
<w:p>
<w:pPr><w:pStyle w:val="Normal"/></w:pPr>
<w:r><w:t xml:space="preserve">a certain point on the coast the arrival of an expedition by</w:t></w:r>
</w:p>
<w:p>
<w:pPr><w:pStyle w:val="Normal"/></w:pPr>
<w:r><w:t xml:space="preserve">land under the command of Vasquez de Coronado.  The junction</w:t></w:r>
</w:p>
<w:p>
<w:pPr><w:pStyle w:val="Normal"/></w:pPr>
<w:r><w:t xml:space="preserve">was not effected, though Alarcon reached the appointed place</w:t></w:r>
</w:p>
<w:p>
<w:pPr><w:pStyle w:val="Normal"/></w:pPr>
<w:r><w:t xml:space="preserve">and left letters, which were afterwards found by Diaz, another</w:t></w:r>
</w:p>
<w:p>
<w:pPr><w:pStyle w:val="Normal"/></w:pPr>
<w:r><w:t xml:space="preserve">explorer.  Alarcon was the first to determine with certainty</w:t></w:r>
</w:p>
<w:p>
<w:pPr><w:pStyle w:val="Normal"/></w:pPr>
<w:r><w:t xml:space="preserve">that California was a peninsula and not an island, as had</w:t></w:r>
</w:p>
<w:p>
<w:pPr><w:pStyle w:val="Normal"/></w:pPr>
<w:r><w:t xml:space="preserve">been supposed.  He made a careful survey of the coast,</w:t></w:r>
</w:p>
<w:p>
<w:pPr><w:pStyle w:val="Normal"/></w:pPr>
<w:r><w:t xml:space="preserve">ascended the Rio del Tizon Or Rio de Buena Guia (Colorado)</w:t></w:r>
</w:p>
<w:p>
<w:pPr><w:pStyle w:val="Normal"/></w:pPr>
<w:r><w:t xml:space="preserve">for 85 Spanish m., and was thus able on his return to New</w:t></w:r>
</w:p>
<w:p>
<w:pPr><w:pStyle w:val="Normal"/></w:pPr>
<w:r><w:t xml:space="preserve">Spain in 1541 to construct an excellent map of California.</w:t></w:r>
</w:p>
<w:p>
<w:pPr><w:pStyle w:val="Normal"/></w:pPr>
<w:r><w:t xml:space="preserve">See Herrera, Decade VI. book ix. ch. 15;</w:t></w:r>
</w:p>
<w:p>
<w:pPr><w:pStyle w:val="Normal"/></w:pPr>
<w:r><w:t xml:space="preserve">vol. vi. fol. 212 of Madrid edition of 1730.</w:t></w:r>
</w:p>
<w:p>
<w:pPr><w:pStyle w:val="Normal"/></w:pPr>
<w:r><w:t xml:space="preserve">ALARCON, JUAN RUIZ DE (1518?-1639), Spanish dramatist,</w:t></w:r>
</w:p>
<w:p>
<w:pPr><w:pStyle w:val="Normal"/></w:pPr>
<w:r><w:t xml:space="preserve">was born about 1581 at Tlacho (Mexico), where his father was</w:t></w:r>
</w:p>
<w:p>
<w:pPr><w:pStyle w:val="Normal"/></w:pPr>
<w:r><w:t xml:space="preserve">superintendent of mines.  He came to Europe in 1600, studied</w:t></w:r>
</w:p>
<w:p>
<w:pPr><w:pStyle w:val="Normal"/></w:pPr>
<w:r><w:t xml:space="preserve">law at Salamanca, and in 1608 went back to Mexico to compete</w:t></w:r>
</w:p>
<w:p>
<w:pPr><w:pStyle w:val="Normal"/></w:pPr>
<w:r><w:t xml:space="preserve">for a professorial chair.  Returning to Spain in 1611, he</w:t></w:r>
</w:p>
<w:p>
<w:pPr><w:pStyle w:val="Normal"/></w:pPr>
<w:r><w:t xml:space="preserve">entered the household of the marquis de Salinas, became a</w:t></w:r>
</w:p>
<w:p>
<w:pPr><w:pStyle w:val="Normal"/></w:pPr>
<w:r><w:t xml:space="preserve">successful dramatist, and was nominated a member of the council</w:t></w:r>
</w:p>
<w:p>
<w:pPr><w:pStyle w:val="Normal"/></w:pPr>
<w:r><w:t xml:space="preserve">of the Indies in 1623.  He died at Madrid on the 4th of August</w:t></w:r>
</w:p>
<w:p>
<w:pPr><w:pStyle w:val="Normal"/></w:pPr>
<w:r><w:t xml:space="preserve">1639.  His plays were published in 1628 and 1634; the most</w:t></w:r>
</w:p>
<w:p>
<w:pPr><w:pStyle w:val="Normal"/></w:pPr>
<w:r><w:t xml:space="preserve">famous of these is La Verdad sospechosa, which was adapted</w:t></w:r>
</w:p>
<w:p>
<w:pPr><w:pStyle w:val="Normal"/></w:pPr>
<w:r><w:t xml:space="preserve">by Corneille as the Menteur. Alarcon had the misfortune to</w:t></w:r>
</w:p>
<w:p>
<w:pPr><w:pStyle w:val="Normal"/></w:pPr>
<w:r><w:t xml:space="preserve">be a hunchback, to be embittered by his deformity, and to be</w:t></w:r>
</w:p>
<w:p>
<w:pPr><w:pStyle w:val="Normal"/></w:pPr>
<w:r><w:t xml:space="preserve">constantly engaged in personal quarrels with his rivals; but</w:t></w:r>
</w:p>
<w:p>
<w:pPr><w:pStyle w:val="Normal"/></w:pPr>
<w:r><w:t xml:space="preserve">his attitude in these polemics is always dignified, and his</w:t></w:r>
</w:p>
<w:p>
<w:pPr><w:pStyle w:val="Normal"/></w:pPr>
<w:r><w:t xml:space="preserve">crushing retort to Lope de Vega in Los pechos privilegiados</w:t></w:r>
</w:p>
<w:p>
<w:pPr><w:pStyle w:val="Normal"/></w:pPr>
<w:r><w:t xml:space="preserve">is an unsurpassable example of cold, scornful invective.</w:t></w:r>
</w:p>
<w:p>
<w:pPr><w:pStyle w:val="Normal"/></w:pPr>
<w:r><w:t xml:space="preserve">More than any other Spanish dramatist, Alarcon is preoccupied</w:t></w:r>
</w:p>
<w:p>
<w:pPr><w:pStyle w:val="Normal"/></w:pPr>
<w:r><w:t xml:space="preserve">with ethical aims, and his gift of dramatic presentation is</w:t></w:r>
</w:p>
<w:p>
<w:pPr><w:pStyle w:val="Normal"/></w:pPr>
<w:r><w:t xml:space="preserve">as brilliant as his dialogue is natural and vivacious.  It</w:t></w:r>
</w:p>
<w:p>
<w:pPr><w:pStyle w:val="Normal"/></w:pPr>
<w:r><w:t xml:space="preserve">has been alleged that his foreign origin is noticeable in his</w:t></w:r>
</w:p>
<w:p>
<w:pPr><w:pStyle w:val="Normal"/></w:pPr>
<w:r><w:t xml:space="preserve">plays, and there is some foundation for the criticism; but</w:t></w:r>
</w:p>
<w:p>
<w:pPr><w:pStyle w:val="Normal"/></w:pPr>
<w:r><w:t xml:space="preserve">his workmanship is exceptionally conscientious, and in El</w:t></w:r>
</w:p>
<w:p>
<w:pPr><w:pStyle w:val="Normal"/></w:pPr>
<w:r><w:t xml:space="preserve">Tejedor de Segovia he had produced a masterpiece of national</w:t></w:r>
</w:p>
<w:p>
<w:pPr><w:pStyle w:val="Normal"/></w:pPr>
<w:r><w:t xml:space="preserve">art, national sentiment and national expression. (J. F.-K.)</w:t></w:r>
</w:p>
<w:p>
<w:pPr><w:pStyle w:val="Normal"/></w:pPr>
<w:r><w:t xml:space="preserve">ALARCON, PEDRO ANTONIO DE (1833-1891), Spanish writer, was</w:t></w:r>
</w:p>
<w:p>
<w:pPr><w:pStyle w:val="Normal"/></w:pPr>
<w:r><w:t xml:space="preserve">born on the 10th of March 1833 at Guadix.  He graduated at</w:t></w:r>
</w:p>
<w:p>
<w:pPr><w:pStyle w:val="Normal"/></w:pPr>
<w:r><w:t xml:space="preserve">the university of Granada, studied law and theology privately,</w:t></w:r>
</w:p>
<w:p>
<w:pPr><w:pStyle w:val="Normal"/></w:pPr>
<w:r><w:t xml:space="preserve">and made his first appearance as a dramatist before he was of</w:t></w:r>
</w:p>
<w:p>
<w:pPr><w:pStyle w:val="Normal"/></w:pPr>
<w:r><w:t xml:space="preserve">age.  Deciding to follow literature as a profession, he joined</w:t></w:r>
</w:p>
<w:p>
<w:pPr><w:pStyle w:val="Normal"/></w:pPr>
<w:r><w:t xml:space="preserve">with Torcuato Tarrago y Mateos in editing a Cailiz newspaper</w:t></w:r>
</w:p>
<w:p>
<w:pPr><w:pStyle w:val="Normal"/></w:pPr>
<w:r><w:t xml:space="preserve">entitled El Eco de Occidente. In 1853 he travelled to Madrid</w:t></w:r>
</w:p>
<w:p>
<w:pPr><w:pStyle w:val="Normal"/></w:pPr>
<w:r><w:t xml:space="preserve">in the hope of finding a publisher for his continuation of</w:t></w:r>
</w:p>
<w:p>
<w:pPr><w:pStyle w:val="Normal"/></w:pPr>
<w:r><w:t xml:space="preserve">Espronceda&apos;s celebrated poem, El Diablo Mundo. Disappointed</w:t></w:r>
</w:p>
<w:p>
<w:pPr><w:pStyle w:val="Normal"/></w:pPr>
<w:r><w:t xml:space="preserve">in his object, and finding no opening at the capital, he</w:t></w:r>
</w:p>
<w:p>
<w:pPr><w:pStyle w:val="Normal"/></w:pPr>
<w:r><w:t xml:space="preserve">settled at Granada, became a radical journalist in that city,</w:t></w:r>
</w:p>
<w:p>
<w:pPr><w:pStyle w:val="Normal"/></w:pPr>
<w:r><w:t xml:space="preserve">and showed so much ability that in 1854 he was appointed</w:t></w:r>
</w:p>
<w:p>
<w:pPr><w:pStyle w:val="Normal"/></w:pPr>
<w:r><w:t xml:space="preserve">editor of a republican journal, El Latigo, published at</w:t></w:r>
</w:p>
<w:p>
<w:pPr><w:pStyle w:val="Normal"/></w:pPr>
<w:r><w:t xml:space="preserve">Madrid.  The extreme violence of his polemics led to a duel</w:t></w:r>
</w:p>
<w:p>
<w:pPr><w:pStyle w:val="Normal"/></w:pPr>
<w:r><w:t xml:space="preserve">between him and the Byronic poet, Jose Heriberto Garcia</w:t></w:r>
</w:p>
<w:p>
<w:pPr><w:pStyle w:val="Normal"/></w:pPr>
<w:r><w:t xml:space="preserve">Quevedo.  The earliest of his novels, El Final de Norma,</w:t></w:r>
</w:p>
<w:p>
<w:pPr><w:pStyle w:val="Normal"/></w:pPr>
<w:r><w:t xml:space="preserve">was published in 1855, and though its construction is feeble</w:t></w:r>
</w:p>
<w:p>
<w:pPr><w:pStyle w:val="Normal"/></w:pPr>
<w:r><w:t xml:space="preserve">it brought the writer into notice as a master of elegant</w:t></w:r>
</w:p>
<w:p>
<w:pPr><w:pStyle w:val="Normal"/></w:pPr>
<w:r><w:t xml:space="preserve">prose.  A small anthology, called Mananias de Abril y Mayo</w:t></w:r>
</w:p>
<w:p>
<w:pPr><w:pStyle w:val="Normal"/></w:pPr>
<w:r><w:t xml:space="preserve">(1856), proves that Alarcon was recognized as a leader</w:t></w:r>
</w:p>
<w:p>
<w:pPr><w:pStyle w:val="Normal"/></w:pPr>
<w:r><w:t xml:space="preserve">by young men of promise, for among the contributors were</w:t></w:r>
</w:p>
<w:p>
<w:pPr><w:pStyle w:val="Normal"/></w:pPr>
<w:r><w:t xml:space="preserve">Castelar, Manuel del Palacio and Lopez de Ayala.  A dramatic</w:t></w:r>
</w:p>
<w:p>
<w:pPr><w:pStyle w:val="Normal"/></w:pPr>
<w:r><w:t xml:space="preserve">piece, El Hijo prodigo, was hissed off the stage in</w:t></w:r>
</w:p>
<w:p>
<w:pPr><w:pStyle w:val="Normal"/></w:pPr>
<w:r><w:t xml:space="preserve">1857, and the failure so stung Alarcon that he enlisted</w:t></w:r>
</w:p>
<w:p>
<w:pPr><w:pStyle w:val="Normal"/></w:pPr>
<w:r><w:t xml:space="preserve">under O&apos;Donnell&apos;s command as a volunteer for the war in</w:t></w:r>
</w:p>
<w:p>
<w:pPr><w:pStyle w:val="Normal"/></w:pPr>
<w:r><w:t xml:space="preserve">Morocco.  His Diario de un testigo de la guerra de Africa</w:t></w:r>
</w:p>
<w:p>
<w:pPr><w:pStyle w:val="Normal"/></w:pPr>
<w:r><w:t xml:space="preserve">(1859) is a brilliant account of the expedition.  The first</w:t></w:r>
</w:p>
<w:p>
<w:pPr><w:pStyle w:val="Normal"/></w:pPr>
<w:r><w:t xml:space="preserve">edition, amounting to fifty thousand copies, was sold within a</w:t></w:r>
</w:p>
<w:p>
<w:pPr><w:pStyle w:val="Normal"/></w:pPr>
<w:r><w:t xml:space="preserve">fortnight, and Alarcon&apos;s name became famous throughout the</w:t></w:r>
</w:p>
<w:p>
<w:pPr><w:pStyle w:val="Normal"/></w:pPr>
<w:r><w:t xml:space="preserve">peninsula.  The book is not in any sense a formal history; it</w:t></w:r>
</w:p>
<w:p>
<w:pPr><w:pStyle w:val="Normal"/></w:pPr>
<w:r><w:t xml:space="preserve">is a series of picturesque impressions rendered with remarkable</w:t></w:r>
</w:p>
<w:p>
<w:pPr><w:pStyle w:val="Normal"/></w:pPr>
<w:r><w:t xml:space="preserve">force.  On his return from Africa Alarcon did the Liberal</w:t></w:r>
</w:p>
<w:p>
<w:pPr><w:pStyle w:val="Normal"/></w:pPr>
<w:r><w:t xml:space="preserve">party much good service as editor of La Politica, but after</w:t></w:r>
</w:p>
<w:p>
<w:pPr><w:pStyle w:val="Normal"/></w:pPr>
<w:r><w:t xml:space="preserve">his marriage in 1866 to a devout lady, Paulina Contrera y</w:t></w:r>
</w:p>
<w:p>
<w:pPr><w:pStyle w:val="Normal"/></w:pPr>
<w:r><w:t xml:space="preserve">Reyes, he modified his political views considerably.  On</w:t></w:r>
</w:p>
<w:p>
<w:pPr><w:pStyle w:val="Normal"/></w:pPr>
<w:r><w:t xml:space="preserve">the overthrow of the monarchy in 1868, Alarcon advocated</w:t></w:r>
</w:p>
<w:p>
<w:pPr><w:pStyle w:val="Normal"/></w:pPr>
<w:r><w:t xml:space="preserve">the claims of the duc de Montpensier, was neutral during the</w:t></w:r>
</w:p>
<w:p>
<w:pPr><w:pStyle w:val="Normal"/></w:pPr>
<w:r><w:t xml:space="preserve">period of the republic, and declared himself a Conservative</w:t></w:r>
</w:p>
<w:p>
<w:pPr><w:pStyle w:val="Normal"/></w:pPr>
<w:r><w:t xml:space="preserve">upon the restoration of the dynasty in December 1874.  These</w:t></w:r>
</w:p>
<w:p>
<w:pPr><w:pStyle w:val="Normal"/></w:pPr>
<w:r><w:t xml:space="preserve">political variations alienated Alarcon&apos;s old allies and</w:t></w:r>
</w:p>
<w:p>
<w:pPr><w:pStyle w:val="Normal"/></w:pPr>
<w:r><w:t xml:space="preserve">failed to conciliate the royalists.  But though his political</w:t></w:r>
</w:p>
<w:p>
<w:pPr><w:pStyle w:val="Normal"/></w:pPr>
<w:r><w:t xml:space="preserve">influence was ruined, his success as a writer was greater than</w:t></w:r>
</w:p>
<w:p>
<w:pPr><w:pStyle w:val="Normal"/></w:pPr>
<w:r><w:t xml:space="preserve">ever.  The publication in the Revista Europea (1874) of a short</w:t></w:r>
</w:p>
<w:p>
<w:pPr><w:pStyle w:val="Normal"/></w:pPr>
<w:r><w:t xml:space="preserve">story, El Sombrero de tres picos, a most ingenious resetting</w:t></w:r>
</w:p>
<w:p>
<w:pPr><w:pStyle w:val="Normal"/></w:pPr>
<w:r><w:t xml:space="preserve">of an old popular tale, made him almost as well known out of</w:t></w:r>
</w:p>
<w:p>
<w:pPr><w:pStyle w:val="Normal"/></w:pPr>
<w:r><w:t xml:space="preserve">Spain as in it.  This remarkable triumph in the picturesque</w:t></w:r>
</w:p>
<w:p>
<w:pPr><w:pStyle w:val="Normal"/></w:pPr>
<w:r><w:t xml:space="preserve">vein encouraged him to produce other works of the same kind;</w:t></w:r>
</w:p>
<w:p>
<w:pPr><w:pStyle w:val="Normal"/></w:pPr>
<w:r><w:t xml:space="preserve">yet though his Cuentos amatorios (1881), his Historietas</w:t></w:r>
</w:p>
<w:p>
<w:pPr><w:pStyle w:val="Normal"/></w:pPr>
<w:r><w:t xml:space="preserve">nacionales (1881) and his Narracionies inverosimiles (1882)</w:t></w:r>
</w:p>
<w:p>
<w:pPr><w:pStyle w:val="Normal"/></w:pPr>
<w:r><w:t xml:space="preserve">are pleasing, they have not the delightful gaiety and charm</w:t></w:r>
</w:p>
<w:p>
<w:pPr><w:pStyle w:val="Normal"/></w:pPr>
<w:r><w:t xml:space="preserve">of their predecessor.  In a longer novel, El Escandalo</w:t></w:r>
</w:p>
<w:p>
<w:pPr><w:pStyle w:val="Normal"/></w:pPr>
<w:r><w:t xml:space="preserve">(1875), Alarcon had appeared as a partisan of the neo-Catholic</w:t></w:r>
</w:p>
<w:p>
<w:pPr><w:pStyle w:val="Normal"/></w:pPr>
<w:r><w:t xml:space="preserve">reaction, and this change of opinion brought upon him many</w:t></w:r>
</w:p>
<w:p>
<w:pPr><w:pStyle w:val="Normal"/></w:pPr>
<w:r><w:t xml:space="preserve">attacks, mostly unjust.  His usual bad fortune followed</w:t></w:r>
</w:p>
<w:p>
<w:pPr><w:pStyle w:val="Normal"/></w:pPr>
<w:r><w:t xml:space="preserve">him, for while the Padicals denounced him as an apostate, the</w:t></w:r>
</w:p>
<w:p>
<w:pPr><w:pStyle w:val="Normal"/></w:pPr>
<w:r><w:t xml:space="preserve">neo-Catholics alleged that El Escandalo was tainted with</w:t></w:r>
</w:p>
<w:p>
<w:pPr><w:pStyle w:val="Normal"/></w:pPr>
<w:r><w:t xml:space="preserve">Jansenism.  Of his later volumes, written in failing health</w:t></w:r>
</w:p>
<w:p>
<w:pPr><w:pStyle w:val="Normal"/></w:pPr>
<w:r><w:t xml:space="preserve">and spirits, it is only necessary to mention El Capitan</w:t></w:r>
</w:p>
<w:p>
<w:pPr><w:pStyle w:val="Normal"/></w:pPr>
<w:r><w:t xml:space="preserve">Veneno and the Historia de mis libros, both issued in</w:t></w:r>
</w:p>
<w:p>
<w:pPr><w:pStyle w:val="Normal"/></w:pPr>
<w:r><w:t xml:space="preserve">1881.  Alarcon was elected a member of the Spanish</w:t></w:r>
</w:p>
<w:p>
<w:pPr><w:pStyle w:val="Normal"/></w:pPr>
<w:r><w:t xml:space="preserve">Academy in 1875.  He died at Madrid on the 20th of July</w:t></w:r>
</w:p>
<w:p>
<w:pPr><w:pStyle w:val="Normal"/></w:pPr>
<w:r><w:t xml:space="preserve">1891.  His later novels and tales are disfigured by their</w:t></w:r>
</w:p>
<w:p>
<w:pPr><w:pStyle w:val="Normal"/></w:pPr>
<w:r><w:t xml:space="preserve">didactic tendency, by feeble drawing of character, and</w:t></w:r>
</w:p>
<w:p>
<w:pPr><w:pStyle w:val="Normal"/></w:pPr>
<w:r><w:t xml:space="preserve">even by certain gallicisms of style.  But, at his best,</w:t></w:r>
</w:p>
<w:p>
<w:pPr><w:pStyle w:val="Normal"/></w:pPr>
<w:r><w:t xml:space="preserve">Alarcon may be read with great pleasure.  The Diario de</w:t></w:r>
</w:p>
<w:p>
<w:pPr><w:pStyle w:val="Normal"/></w:pPr>
<w:r><w:t xml:space="preserve">un testigo is still unsurpassed as a picture of campaigning</w:t></w:r>
</w:p>
<w:p>
<w:pPr><w:pStyle w:val="Normal"/></w:pPr>
<w:r><w:t xml:space="preserve">life, while El Sombrero de tres picos is a very perfect</w:t></w:r>
</w:p>
<w:p>
<w:pPr><w:pStyle w:val="Normal"/></w:pPr>
<w:r><w:t xml:space="preserve">example of malicious wit and minute observation. (J. F.-K.)</w:t></w:r>
</w:p>
<w:p>
<w:pPr><w:pStyle w:val="Normal"/></w:pPr>
<w:r><w:t xml:space="preserve">ALARD, JEAN DELPHIN (1815-1888), French violinist and teacher,</w:t></w:r>
</w:p>
<w:p>
<w:pPr><w:pStyle w:val="Normal"/></w:pPr>
<w:r><w:t xml:space="preserve">was born at Bayonne on the 8th of May 1815.  From 1827 he was</w:t></w:r>
</w:p>
<w:p>
<w:pPr><w:pStyle w:val="Normal"/></w:pPr>
<w:r><w:t xml:space="preserve">a pupil of F. A. Habeneck at the Paris Conservatoire, where he</w:t></w:r>
</w:p>
<w:p>
<w:pPr><w:pStyle w:val="Normal"/></w:pPr>
<w:r><w:t xml:space="preserve">succeeded P. de Sales Baillot as professor in 1843, retaining</w:t></w:r>
</w:p>
<w:p>
<w:pPr><w:pStyle w:val="Normal"/></w:pPr>
<w:r><w:t xml:space="preserve">the post till 1875.  His playing was full of fire and point,</w:t></w:r>
</w:p>
<w:p>
<w:pPr><w:pStyle w:val="Normal"/></w:pPr>
<w:r><w:t xml:space="preserve">and his compositions had a great success in France, while</w:t></w:r>
</w:p>
<w:p>
<w:pPr><w:pStyle w:val="Normal"/></w:pPr>
<w:r><w:t xml:space="preserve">his violin school had a wider vogue and considerably greater</w:t></w:r>
</w:p>
<w:p>
<w:pPr><w:pStyle w:val="Normal"/></w:pPr>
<w:r><w:t xml:space="preserve">value.  Mention should also be made of his edition in 40 parts</w:t></w:r>
</w:p>
<w:p>
<w:pPr><w:pStyle w:val="Normal"/></w:pPr>
<w:r><w:t xml:space="preserve">of a selection of violin compositions by the most eminent</w:t></w:r>
</w:p>
<w:p>
<w:pPr><w:pStyle w:val="Normal"/></w:pPr>
<w:r><w:t xml:space="preserve">masters of the 18th century, Les Maitres classiques du violon</w:t></w:r>
</w:p>
<w:p>
<w:pPr><w:pStyle w:val="Normal"/></w:pPr>
<w:r><w:t xml:space="preserve">(Schott).  Alard died in Paris on the 22nd of February 1888.</w:t></w:r>
</w:p>
<w:p>
<w:pPr><w:pStyle w:val="Normal"/></w:pPr>
<w:r><w:t xml:space="preserve">ALARIC (Ala-reiks, ``All-ruler&apos;&apos;), (c. 370-410), Gothic</w:t></w:r>
</w:p>
<w:p>
<w:pPr><w:pStyle w:val="Normal"/></w:pPr>
<w:r><w:t xml:space="preserve">conqueror, the first Teutonic leader who stood as a conqueror</w:t></w:r>
</w:p>
<w:p>
<w:pPr><w:pStyle w:val="Normal"/></w:pPr>
<w:r><w:t xml:space="preserve">in the city of Rome, was probably born about 370 in an island</w:t></w:r>
</w:p>
<w:p>
<w:pPr><w:pStyle w:val="Normal"/></w:pPr>
<w:r><w:t xml:space="preserve">named Peuce (the Fir) at the mouth of the Danube. He was of</w:t></w:r>
</w:p>
<w:p>
<w:pPr><w:pStyle w:val="Normal"/></w:pPr>
<w:r><w:t xml:space="preserve">noble descent, his father being a scion of the family of the</w:t></w:r>
</w:p>
<w:p>
<w:pPr><w:pStyle w:val="Normal"/></w:pPr>
<w:r><w:t xml:space="preserve">Balthi or Bold-men, next in dignity among Gothic warriors</w:t></w:r>
</w:p>
<w:p>
<w:pPr><w:pStyle w:val="Normal"/></w:pPr>
<w:r><w:t xml:space="preserve">to the Amals.  He was a Goth and belonged to the western</w:t></w:r>
</w:p>
<w:p>
<w:pPr><w:pStyle w:val="Normal"/></w:pPr>
<w:r><w:t xml:space="preserve">branch of that nation --sometimes called the Visigoths--who</w:t></w:r>
</w:p>
<w:p>
<w:pPr><w:pStyle w:val="Normal"/></w:pPr>
<w:r><w:t xml:space="preserve">at the time of his birth were quartered in the region now</w:t></w:r>
</w:p>
<w:p>
<w:pPr><w:pStyle w:val="Normal"/></w:pPr>
<w:r><w:t xml:space="preserve">known as Bulgaria, having taken refuge on the southern shore</w:t></w:r>
</w:p>
<w:p>
<w:pPr><w:pStyle w:val="Normal"/></w:pPr>
<w:r><w:t xml:space="preserve">of the Danube from the pursuit of their enemies the Huns.</w:t></w:r>
</w:p>
<w:p>
<w:pPr><w:pStyle w:val="Normal"/></w:pPr>
<w:r><w:t xml:space="preserve">In the year 394 he served as a general of foederati (Gothic</w:t></w:r>
</w:p>
<w:p>
<w:pPr><w:pStyle w:val="Normal"/></w:pPr>
<w:r><w:t xml:space="preserve">irregulars) under the emperor Theodosius in the campaign in</w:t></w:r>
</w:p>
<w:p>
<w:pPr><w:pStyle w:val="Normal"/></w:pPr>
<w:r><w:t xml:space="preserve">which he crushed the usurper Eugenius.  As the battle which</w:t></w:r>
</w:p>
<w:p>
<w:pPr><w:pStyle w:val="Normal"/></w:pPr>
<w:r><w:t xml:space="preserve">terminated this campaign, the battle of the Frigidus, was fought</w:t></w:r>
</w:p>
<w:p>
<w:pPr><w:pStyle w:val="Normal"/></w:pPr>
<w:r><w:t xml:space="preserve">near the passes of the Julian Alps, Alaric probably learnt</w:t></w:r>
</w:p>
<w:p>
<w:pPr><w:pStyle w:val="Normal"/></w:pPr>
<w:r><w:t xml:space="preserve">at this time the weakness of the natural defences of Italy on</w:t></w:r>
</w:p>
<w:p>
<w:pPr><w:pStyle w:val="Normal"/></w:pPr>
<w:r><w:t xml:space="preserve">her northeastern frontier.  The employment of barbarians as</w:t></w:r>
</w:p>
<w:p>
<w:pPr><w:pStyle w:val="Normal"/></w:pPr>
<w:r><w:t xml:space="preserve">foederali, which became a common practice with the emperors</w:t></w:r>
</w:p>
<w:p>
<w:pPr><w:pStyle w:val="Normal"/></w:pPr>
<w:r><w:t xml:space="preserve">in the 4th century, was both a symptom of disease in the</w:t></w:r>
</w:p>
<w:p>
<w:pPr><w:pStyle w:val="Normal"/></w:pPr>
<w:r><w:t xml:space="preserve">body politic of the empire and a hastener of its impending</w:t></w:r>
</w:p>
<w:p>
<w:pPr><w:pStyle w:val="Normal"/></w:pPr>
<w:r><w:t xml:space="preserve">ruin.  The provincial population, crushed under a load of</w:t></w:r>
</w:p>
<w:p>
<w:pPr><w:pStyle w:val="Normal"/></w:pPr>
<w:r><w:t xml:space="preserve">unjust taxation, could no longer furnish soldiers in the</w:t></w:r>
</w:p>
<w:p>
<w:pPr><w:pStyle w:val="Normal"/></w:pPr>
<w:r><w:t xml:space="preserve">numbers required for the defence of the empire; and on the</w:t></w:r>
</w:p>
<w:p>
<w:pPr><w:pStyle w:val="Normal"/></w:pPr>
<w:r><w:t xml:space="preserve">other hand, the emperors, ever fearful that a brilliantly</w:t></w:r>
</w:p>
<w:p>
<w:pPr><w:pStyle w:val="Normal"/></w:pPr>
<w:r><w:t xml:space="preserve">successful general of Roman extraction might be proclaimed</w:t></w:r>
</w:p>
<w:p>
<w:pPr><w:pStyle w:val="Normal"/></w:pPr>
<w:r><w:t xml:space="preserve">Augustus by his followers, preferred that high military command</w:t></w:r>
</w:p>
<w:p>
<w:pPr><w:pStyle w:val="Normal"/></w:pPr>
<w:r><w:t xml:space="preserve">should be in the hands of a man to whom such an accession</w:t></w:r>
</w:p>
<w:p>
<w:pPr><w:pStyle w:val="Normal"/></w:pPr>
<w:r><w:t xml:space="preserve">of dignity was as yet impossible.  But there was obviously</w:t></w:r>
</w:p>
<w:p>
<w:pPr><w:pStyle w:val="Normal"/></w:pPr>
<w:r><w:t xml:space="preserve">a danger that one day a barbarian leader of barbarian troops</w:t></w:r>
</w:p>
<w:p>
<w:pPr><w:pStyle w:val="Normal"/></w:pPr>
<w:r><w:t xml:space="preserve">in the service of the empire might turn his armed force and</w:t></w:r>
</w:p>
<w:p>
<w:pPr><w:pStyle w:val="Normal"/></w:pPr>
<w:r><w:t xml:space="preserve">the skill in war, which he had acquired in that service,</w:t></w:r>
</w:p>
<w:p>
<w:pPr><w:pStyle w:val="Normal"/></w:pPr>
<w:r><w:t xml:space="preserve">against his trembling masters, and without caring to assume</w:t></w:r>
</w:p>
<w:p>
<w:pPr><w:pStyle w:val="Normal"/></w:pPr>
<w:r><w:t xml:space="preserve">the title of Augustus might ravage and ruin the countries</w:t></w:r>
</w:p>
<w:p>
<w:pPr><w:pStyle w:val="Normal"/></w:pPr>
<w:r><w:t xml:space="preserve">which he had undertaken to defend.  This danger became a</w:t></w:r>
</w:p>
<w:p>
<w:pPr><w:pStyle w:val="Normal"/></w:pPr>
<w:r><w:t xml:space="preserve">reality when in the year 395 the able and valiant Theodosius</w:t></w:r>
</w:p>
<w:p>
<w:pPr><w:pStyle w:val="Normal"/></w:pPr>
<w:r><w:t xml:space="preserve">died, leaving the empire to be divided between his imbecile</w:t></w:r>
</w:p>
<w:p>
<w:pPr><w:pStyle w:val="Normal"/></w:pPr>
<w:r><w:t xml:space="preserve">sons Arcadius and Honorius, the former taking the eastern and</w:t></w:r>
</w:p>
<w:p>
<w:pPr><w:pStyle w:val="Normal"/></w:pPr>
<w:r><w:t xml:space="preserve">the latter the western portion, and each under the control</w:t></w:r>
</w:p>
<w:p>
<w:pPr><w:pStyle w:val="Normal"/></w:pPr>
<w:r><w:t xml:space="preserve">of a minister who bitterly hated the minister of the other.</w:t></w:r>
</w:p>
<w:p>
<w:pPr><w:pStyle w:val="Normal"/></w:pPr>
<w:r><w:t xml:space="preserve">In the shifting of offices which took place at the beginning</w:t></w:r>
</w:p>
<w:p>
<w:pPr><w:pStyle w:val="Normal"/></w:pPr>
<w:r><w:t xml:space="preserve">of the new reigns, Alaric apparently hoped that he would</w:t></w:r>
</w:p>
<w:p>
<w:pPr><w:pStyle w:val="Normal"/></w:pPr>
<w:r><w:t xml:space="preserve">receive one of the great war ministries of the empire, and</w:t></w:r>
</w:p>
<w:p>
<w:pPr><w:pStyle w:val="Normal"/></w:pPr>
<w:r><w:t xml:space="preserve">thus instead of being a mere commander of irregulars would</w:t></w:r>
</w:p>
<w:p>
<w:pPr><w:pStyle w:val="Normal"/></w:pPr>
<w:r><w:t xml:space="preserve">have under his orders a large part of the imperial legions.</w:t></w:r>
</w:p>
<w:p>
<w:pPr><w:pStyle w:val="Normal"/></w:pPr>
<w:r><w:t xml:space="preserve">This, however, was denied him, and he found that he was doomed</w:t></w:r>
</w:p>
<w:p>
<w:pPr><w:pStyle w:val="Normal"/></w:pPr>
<w:r><w:t xml:space="preserve">to remain an oflicer of foederati. His disappointed ambition</w:t></w:r>
</w:p>
<w:p>
<w:pPr><w:pStyle w:val="Normal"/></w:pPr>
<w:r><w:t xml:space="preserve">prompted him to take the step for which his countrymen were</w:t></w:r>
</w:p>
<w:p>
<w:pPr><w:pStyle w:val="Normal"/></w:pPr>
<w:r><w:t xml:space="preserve">longing, for they too were grumbling at the withdrawal of the</w:t></w:r>
</w:p>
<w:p>
<w:pPr><w:pStyle w:val="Normal"/></w:pPr>
<w:r><w:t xml:space="preserve">``presents,&apos;&apos; in other words the veiled ransom-money, which</w:t></w:r>
</w:p>
<w:p>
<w:pPr><w:pStyle w:val="Normal"/></w:pPr>
<w:r><w:t xml:space="preserve">for many years they had been accustomed to receive.  They</w:t></w:r>
</w:p>
<w:p>
<w:pPr><w:pStyle w:val="Normal"/></w:pPr>
<w:r><w:t xml:space="preserve">raised him on a shield and acclaimed him as a king; leader and</w:t></w:r>
</w:p>
<w:p>
<w:pPr><w:pStyle w:val="Normal"/></w:pPr>
<w:r><w:t xml:space="preserve">followers both resolving (says Jordanes the Gothic historian)</w:t></w:r>
</w:p>
<w:p>
<w:pPr><w:pStyle w:val="Normal"/></w:pPr>
<w:r><w:t xml:space="preserve">``rather to seek new kingdoms by their own labour, than</w:t></w:r>
</w:p>
<w:p>
<w:pPr><w:pStyle w:val="Normal"/></w:pPr>
<w:r><w:t xml:space="preserve">to slumber in peaceful subjection to the rule of others.&apos;&apos;</w:t></w:r>
</w:p>
<w:p>
<w:pPr><w:pStyle w:val="Normal"/></w:pPr>
<w:r><w:t xml:space="preserve">Alaric struck first at the eastern empire.  He marched to</w:t></w:r>
</w:p>
<w:p>
<w:pPr><w:pStyle w:val="Normal"/></w:pPr>
<w:r><w:t xml:space="preserve">the neighbourhood of Constantinople, but finding himself</w:t></w:r>
</w:p>
<w:p>
<w:pPr><w:pStyle w:val="Normal"/></w:pPr>
<w:r><w:t xml:space="preserve">unable to undertake the siege of that superbly strong city,</w:t></w:r>
</w:p>
<w:p>
<w:pPr><w:pStyle w:val="Normal"/></w:pPr>
<w:r><w:t xml:space="preserve">he retraced his steps westward and then marched southward</w:t></w:r>
</w:p>
<w:p>
<w:pPr><w:pStyle w:val="Normal"/></w:pPr>
<w:r><w:t xml:space="preserve">through Thessaly and the unguarded pass of Thermopylae into</w:t></w:r>
</w:p>
<w:p>
<w:pPr><w:pStyle w:val="Normal"/></w:pPr>
<w:r><w:t xml:space="preserve">Greece.  The details of his campaign are not very clearly</w:t></w:r>
</w:p>
<w:p>
<w:pPr><w:pStyle w:val="Normal"/></w:pPr>
<w:r><w:t xml:space="preserve">stated, and the story is further complicated by the plots and</w:t></w:r>
</w:p>
<w:p>
<w:pPr><w:pStyle w:val="Normal"/></w:pPr>
<w:r><w:t xml:space="preserve">counterplots of Rufinus, chief minister of the eastern, and</w:t></w:r>
</w:p>
<w:p>
<w:pPr><w:pStyle w:val="Normal"/></w:pPr>
<w:r><w:t xml:space="preserve">Stilicho, the virtual regent of the western empire, and the</w:t></w:r>
</w:p>
<w:p>
<w:pPr><w:pStyle w:val="Normal"/></w:pPr>
<w:r><w:t xml:space="preserve">murder of the former by his rebellious soldiers.  With these</w:t></w:r>
</w:p>
<w:p>
<w:pPr><w:pStyle w:val="Normal"/></w:pPr>
<w:r><w:t xml:space="preserve">we have no present concern; it is sufficient to say that</w:t></w:r>
</w:p>
<w:p>
<w:pPr><w:pStyle w:val="Normal"/></w:pPr>
<w:r><w:t xml:space="preserve">Alaric&apos;s invasion of Greece lasted two years (395-396), that</w:t></w:r>
</w:p>
<w:p>
<w:pPr><w:pStyle w:val="Normal"/></w:pPr>
<w:r><w:t xml:space="preserve">he ravaged Attica but spared Athens, which at once capitulated</w:t></w:r>
</w:p>
<w:p>
<w:pPr><w:pStyle w:val="Normal"/></w:pPr>
<w:r><w:t xml:space="preserve">to the conqueror, that he penetrated into Peloponnesus and</w:t></w:r>
</w:p>
<w:p>
<w:pPr><w:pStyle w:val="Normal"/></w:pPr>
<w:r><w:t xml:space="preserve">captured its most famous cities, Corinth, Argos and Sparta,</w:t></w:r>
</w:p>
<w:p>
<w:pPr><w:pStyle w:val="Normal"/></w:pPr>
<w:r><w:t xml:space="preserve">selling many of their inhabitants into slavery.  Here,</w:t></w:r>
</w:p>
<w:p>
<w:pPr><w:pStyle w:val="Normal"/></w:pPr>
<w:r><w:t xml:space="preserve">however, his victorious career ended.  Stilicho, who had</w:t></w:r>
</w:p>
<w:p>
<w:pPr><w:pStyle w:val="Normal"/></w:pPr>
<w:r><w:t xml:space="preserve">come a second time to the assistance of Arcadius and who was</w:t></w:r>
</w:p>
<w:p>
<w:pPr><w:pStyle w:val="Normal"/></w:pPr>
<w:r><w:t xml:space="preserve">undoubtedly a skilful general, succeeded in shutting up the</w:t></w:r>
</w:p>
<w:p>
<w:pPr><w:pStyle w:val="Normal"/></w:pPr>
<w:r><w:t xml:space="preserve">Goths in the mountains of Pholoe on the borders of Elis and</w:t></w:r>
</w:p>
<w:p>
<w:pPr><w:pStyle w:val="Normal"/></w:pPr>
<w:r><w:t xml:space="preserve">Arcadia.  From thence Alaric escaped with difficulty, and</w:t></w:r>
</w:p>
<w:p>
<w:pPr><w:pStyle w:val="Normal"/></w:pPr>
<w:r><w:t xml:space="preserve">not without some suspicion of connivance on the part of</w:t></w:r>
</w:p>
<w:p>
<w:pPr><w:pStyle w:val="Normal"/></w:pPr>
<w:r><w:t xml:space="preserve">Stilicho.  He crossed the Corinthian Gulf and marched with</w:t></w:r>
</w:p>
<w:p>
<w:pPr><w:pStyle w:val="Normal"/></w:pPr>
<w:r><w:t xml:space="preserve">the plunder of Greece northwards to Epirus.  Next came an</w:t></w:r>
</w:p>
<w:p>
<w:pPr><w:pStyle w:val="Normal"/></w:pPr>
<w:r><w:t xml:space="preserve">astounding transformation.  For some mysterious reason,</w:t></w:r>
</w:p>
<w:p>
<w:pPr><w:pStyle w:val="Normal"/></w:pPr>
<w:r><w:t xml:space="preserve">probably connected with the increasing estrangement between</w:t></w:r>
</w:p>
<w:p>
<w:pPr><w:pStyle w:val="Normal"/></w:pPr>
<w:r><w:t xml:space="preserve">the two sections of the empire, the ministers of Arcadius</w:t></w:r>
</w:p>
<w:p>
<w:pPr><w:pStyle w:val="Normal"/></w:pPr>
<w:r><w:t xml:space="preserve">conferred upon Alaric the government of some part--it can</w:t></w:r>
</w:p>
<w:p>
<w:pPr><w:pStyle w:val="Normal"/></w:pPr>
<w:r><w:t xml:space="preserve">hardly have been the whole--of the important prefecture of</w:t></w:r>
</w:p>
<w:p>
<w:pPr><w:pStyle w:val="Normal"/></w:pPr>
<w:r><w:t xml:space="preserve">Illyricum.  Here, ruling the Danubian provinces, he was on</w:t></w:r>
</w:p>
<w:p>
<w:pPr><w:pStyle w:val="Normal"/></w:pPr>
<w:r><w:t xml:space="preserve">the confines of the two empires, and, in the words of the poet</w:t></w:r>
</w:p>
<w:p>
<w:pPr><w:pStyle w:val="Normal"/></w:pPr>
<w:r><w:t xml:space="preserve">Claudian, he ``sold his alternate oaths to either throne,&apos;&apos;</w:t></w:r>
</w:p>
<w:p>
<w:pPr><w:pStyle w:val="Normal"/></w:pPr>
<w:r><w:t xml:space="preserve">and made the imperial arsenals prepare the weapons with which</w:t></w:r>
</w:p>
<w:p>
<w:pPr><w:pStyle w:val="Normal"/></w:pPr>
<w:r><w:t xml:space="preserve">to aim his Gothic followers for the next campaign.  It was</w:t></w:r>
</w:p>
<w:p>
<w:pPr><w:pStyle w:val="Normal"/></w:pPr>
<w:r><w:t xml:space="preserve">probably in the year 400 (but the dates of these events are</w:t></w:r>
</w:p>
<w:p>
<w:pPr><w:pStyle w:val="Normal"/></w:pPr>
<w:r><w:t xml:space="preserve">rather uncertain) that Alaric made his first invasion of</w:t></w:r>
</w:p>
<w:p>
<w:pPr><w:pStyle w:val="Normal"/></w:pPr>
<w:r><w:t xml:space="preserve">Italy, co-operating with another Gothic chieftain named</w:t></w:r>
</w:p>
<w:p>
<w:pPr><w:pStyle w:val="Normal"/></w:pPr>
<w:r><w:t xml:space="preserve">Radagaisus.  Supernatural influences were not wanting to</w:t></w:r>
</w:p>
<w:p>
<w:pPr><w:pStyle w:val="Normal"/></w:pPr>
<w:r><w:t xml:space="preserve">urge him to this great enterprise.  Some lines of the Roman</w:t></w:r>
</w:p>
<w:p>
<w:pPr><w:pStyle w:val="Normal"/></w:pPr>
<w:r><w:t xml:space="preserve">poet inform us that he heard a voice proceeding from a sacred</w:t></w:r>
</w:p>
<w:p>
<w:pPr><w:pStyle w:val="Normal"/></w:pPr>
<w:r><w:t xml:space="preserve">grove, ``Break off all delays, Alaric.  This very year</w:t></w:r>
</w:p>
<w:p>
<w:pPr><w:pStyle w:val="Normal"/></w:pPr>
<w:r><w:t xml:space="preserve">thou shalt force the Alpine barrier of Italy; thou shalt</w:t></w:r>
</w:p>
<w:p>
<w:pPr><w:pStyle w:val="Normal"/></w:pPr>
<w:r><w:t xml:space="preserve">penetrate to the city.&apos;&apos; The prophecy was not at this time</w:t></w:r>
</w:p>
<w:p>
<w:pPr><w:pStyle w:val="Normal"/></w:pPr>
<w:r><w:t xml:space="preserve">fulfilled.  After spreading desolation through North Italy</w:t></w:r>
</w:p>
<w:p>
<w:pPr><w:pStyle w:val="Normal"/></w:pPr>
<w:r><w:t xml:space="preserve">and striking terror into the citizens of Pome, Alaric was met</w:t></w:r>
</w:p>
<w:p>
<w:pPr><w:pStyle w:val="Normal"/></w:pPr>
<w:r><w:t xml:space="preserve">by Stilicho at Pollentia (a Roman municipality in what is now</w:t></w:r>
</w:p>
<w:p>
<w:pPr><w:pStyle w:val="Normal"/></w:pPr>
<w:r><w:t xml:space="preserve">Piedmont), and the battle which then followed on the 6th of</w:t></w:r>
</w:p>
<w:p>
<w:pPr><w:pStyle w:val="Normal"/></w:pPr>
<w:r><w:t xml:space="preserve">April 402 (Easter-day) was a victory, though a costly one for</w:t></w:r>
</w:p>
<w:p>
<w:pPr><w:pStyle w:val="Normal"/></w:pPr>
<w:r><w:t xml:space="preserve">Rome, and effectually barred the further progress of the</w:t></w:r>
</w:p>
<w:p>
<w:pPr><w:pStyle w:val="Normal"/></w:pPr>
<w:r><w:t xml:space="preserve">barbarians.  Alaric was an Arian Christian who trusted to</w:t></w:r>
</w:p>
<w:p>
<w:pPr><w:pStyle w:val="Normal"/></w:pPr>
<w:r><w:t xml:space="preserve">the sanctity of Easter for immunity from attack, and the</w:t></w:r>
</w:p>
<w:p>
<w:pPr><w:pStyle w:val="Normal"/></w:pPr>
<w:r><w:t xml:space="preserve">enemies of Stilicho reproached him for having gained his</w:t></w:r>
</w:p>
<w:p>
<w:pPr><w:pStyle w:val="Normal"/></w:pPr>
<w:r><w:t xml:space="preserve">victory by taking an unfair advantage of the great Christian</w:t></w:r>
</w:p>
<w:p>
<w:pPr><w:pStyle w:val="Normal"/></w:pPr>
<w:r><w:t xml:space="preserve">festival.  The wife of Alaric is said to have been taken</w:t></w:r>
</w:p>
<w:p>
<w:pPr><w:pStyle w:val="Normal"/></w:pPr>
<w:r><w:t xml:space="preserve">prisoner after this battle; and there is some reason to suppose</w:t></w:r>
</w:p>
<w:p>
<w:pPr><w:pStyle w:val="Normal"/></w:pPr>
<w:r><w:t xml:space="preserve">that he was hampered in his movements by the presence with</w:t></w:r>
</w:p>
<w:p>
<w:pPr><w:pStyle w:val="Normal"/></w:pPr>
<w:r><w:t xml:space="preserve">his forces of large numbers of women and children, having</w:t></w:r>
</w:p>
<w:p>
<w:pPr><w:pStyle w:val="Normal"/></w:pPr>
<w:r><w:t xml:space="preserve">given to his invasion of Italy the character of a national</w:t></w:r>
</w:p>
<w:p>
<w:pPr><w:pStyle w:val="Normal"/></w:pPr>
<w:r><w:t xml:space="preserve">migration.  After another defeat before Verona, Alaric quitted</w:t></w:r>
</w:p>
<w:p>
<w:pPr><w:pStyle w:val="Normal"/></w:pPr>
<w:r><w:t xml:space="preserve">Italy, probably in 403. He had not indeed ``penetrated to</w:t></w:r>
</w:p>
<w:p>
<w:pPr><w:pStyle w:val="Normal"/></w:pPr>
<w:r><w:t xml:space="preserve">the city,&apos;&apos; but his invasion of Italy had produced important</w:t></w:r>
</w:p>
<w:p>
<w:pPr><w:pStyle w:val="Normal"/></w:pPr>
<w:r><w:t xml:space="preserve">results; it had caused the imperial residence to be transferred</w:t></w:r>
</w:p>
<w:p>
<w:pPr><w:pStyle w:val="Normal"/></w:pPr>
<w:r><w:t xml:space="preserve">from Milan to Ravenna, it had necessitated the withdrawal</w:t></w:r>
</w:p>
<w:p>
<w:pPr><w:pStyle w:val="Normal"/></w:pPr>
<w:r><w:t xml:space="preserve">of the Twentieth Legion from Britain, and it had lirobably</w:t></w:r>
</w:p>
<w:p>
<w:pPr><w:pStyle w:val="Normal"/></w:pPr>
<w:r><w:t xml:space="preserve">facilitated the great invasion of Vandals, Suevi and Alani</w:t></w:r>
</w:p>
<w:p>
<w:pPr><w:pStyle w:val="Normal"/></w:pPr>
<w:r><w:t xml:space="preserve">into Gaul, by which that province and Spain were lost to the</w:t></w:r>
</w:p>
<w:p>
<w:pPr><w:pStyle w:val="Normal"/></w:pPr>
<w:r><w:t xml:space="preserve">empire.  We next hear of Alaric as the friend and ally of his</w:t></w:r>
</w:p>
<w:p>
<w:pPr><w:pStyle w:val="Normal"/></w:pPr>
<w:r><w:t xml:space="preserve">late opponent Stilicho.  The estrangement between the eastern</w:t></w:r>
</w:p>
<w:p>
<w:pPr><w:pStyle w:val="Normal"/></w:pPr>
<w:r><w:t xml:space="preserve">and western courts had in 407 become so bitter as to threaten</w:t></w:r>
</w:p>
<w:p>
<w:pPr><w:pStyle w:val="Normal"/></w:pPr>
<w:r><w:t xml:space="preserve">civil war, and Stilicho was actually proposing to use the arms</w:t></w:r>
</w:p>
<w:p>
<w:pPr><w:pStyle w:val="Normal"/></w:pPr>
<w:r><w:t xml:space="preserve">of Alaric in order to enforce the claims of Honorius to the</w:t></w:r>
</w:p>
<w:p>
<w:pPr><w:pStyle w:val="Normal"/></w:pPr>
<w:r><w:t xml:space="preserve">prefecture of Illyricum.  The death of Arcadius in May 408</w:t></w:r>
</w:p>
<w:p>
<w:pPr><w:pStyle w:val="Normal"/></w:pPr>
<w:r><w:t xml:space="preserve">caused milder counsels to prevail in the western cabinet, but</w:t></w:r>
</w:p>
<w:p>
<w:pPr><w:pStyle w:val="Normal"/></w:pPr>
<w:r><w:t xml:space="preserve">Alaric, who had actually entered Epirus, demanded in a somewhat</w:t></w:r>
</w:p>
<w:p>
<w:pPr><w:pStyle w:val="Normal"/></w:pPr>
<w:r><w:t xml:space="preserve">threatening manner that if he were thus suddenly bidden to</w:t></w:r>
</w:p>
<w:p>
<w:pPr><w:pStyle w:val="Normal"/></w:pPr>
<w:r><w:t xml:space="preserve">desist from war, he should be paid handsomely for what in</w:t></w:r>
</w:p>
<w:p>
<w:pPr><w:pStyle w:val="Normal"/></w:pPr>
<w:r><w:t xml:space="preserve">modern language would be called the expenses of mobilization.</w:t></w:r>
</w:p>
<w:p>
<w:pPr><w:pStyle w:val="Normal"/></w:pPr>
<w:r><w:t xml:space="preserve">The sum which he named was a large one, 4000 pounds of gold</w:t></w:r>
</w:p>
<w:p>
<w:pPr><w:pStyle w:val="Normal"/></w:pPr>
<w:r><w:t xml:space="preserve">(about L. 160,000 sterling), but under strong pressure from</w:t></w:r>
</w:p>
<w:p>
<w:pPr><w:pStyle w:val="Normal"/></w:pPr>
<w:r><w:t xml:space="preserve">Stilicho the Roman senate consented to promise its payment.</w:t></w:r>
</w:p>
<w:p>
<w:pPr><w:pStyle w:val="Normal"/></w:pPr>
<w:r><w:t xml:space="preserve">Three months later Stilicho himself and the chief ministers</w:t></w:r>
</w:p>
<w:p>
<w:pPr><w:pStyle w:val="Normal"/></w:pPr>
<w:r><w:t xml:space="preserve">of his party were treacherously slain in pursuance of an</w:t></w:r>
</w:p>
<w:p>
<w:pPr><w:pStyle w:val="Normal"/></w:pPr>
<w:r><w:t xml:space="preserve">order extracted from the timid and jealous Honorius; and in</w:t></w:r>
</w:p>
<w:p>
<w:pPr><w:pStyle w:val="Normal"/></w:pPr>
<w:r><w:t xml:space="preserve">the disturbances which followed the wives and children of the</w:t></w:r>
</w:p>
<w:p>
<w:pPr><w:pStyle w:val="Normal"/></w:pPr>
<w:r><w:t xml:space="preserve">barbarian foederati throughout Italy were slain.  The natural</w:t></w:r>
</w:p>
<w:p>
<w:pPr><w:pStyle w:val="Normal"/></w:pPr>
<w:r><w:t xml:space="preserve">consequence was that these men to the number of 30,000 flocked to</w:t></w:r>
</w:p>
<w:p>
<w:pPr><w:pStyle w:val="Normal"/></w:pPr>
<w:r><w:t xml:space="preserve">the camp of Alaric. clamouring to be led against their cowardly</w:t></w:r>
</w:p>
<w:p>
<w:pPr><w:pStyle w:val="Normal"/></w:pPr>
<w:r><w:t xml:space="preserve">enemies.  IIe accordingly crossed the Julian Alps, and in</w:t></w:r>
</w:p>
<w:p>
<w:pPr><w:pStyle w:val="Normal"/></w:pPr>
<w:r><w:t xml:space="preserve">September 408 stood before the walls of Rome (now with no capable</w:t></w:r>
</w:p>
<w:p>
<w:pPr><w:pStyle w:val="Normal"/></w:pPr>
<w:r><w:t xml:space="preserve">general like Stihcho to defend her) and began a strict blockade.</w:t></w:r>
</w:p>
<w:p>
<w:pPr><w:pStyle w:val="Normal"/></w:pPr>
<w:r><w:t xml:space="preserve">No blood was shed this time; hunger was the weapon on which Alaric</w:t></w:r>
</w:p>
<w:p>
<w:pPr><w:pStyle w:val="Normal"/></w:pPr>
<w:r><w:t xml:space="preserve">relied.  When the ambassadors of the senate in treating for peace</w:t></w:r>
</w:p>
<w:p>
<w:pPr><w:pStyle w:val="Normal"/></w:pPr>
<w:r><w:t xml:space="preserve">tried to terrify him with their hints of what the despairing</w:t></w:r>
</w:p>
<w:p>
<w:pPr><w:pStyle w:val="Normal"/></w:pPr>
<w:r><w:t xml:space="preserve">citizens might accomplish, he gave with a laugh his celebrated</w:t></w:r>
</w:p>
<w:p>
<w:pPr><w:pStyle w:val="Normal"/></w:pPr>
<w:r><w:t xml:space="preserve">answer, ``The thicker the hay, the easier mowed!&apos;&apos; After much</w:t></w:r>
</w:p>
<w:p>
<w:pPr><w:pStyle w:val="Normal"/></w:pPr>
<w:r><w:t xml:space="preserve">bargaining, the famine-stricken citizens agreed to pay a ransom</w:t></w:r>
</w:p>
<w:p>
<w:pPr><w:pStyle w:val="Normal"/></w:pPr>
<w:r><w:t xml:space="preserve">of more than a quarter of a million sterling, besides precious</w:t></w:r>
</w:p>
<w:p>
<w:pPr><w:pStyle w:val="Normal"/></w:pPr>
<w:r><w:t xml:space="preserve">garments of silk and leather and three thousand pounds of</w:t></w:r>
</w:p>
<w:p>
<w:pPr><w:pStyle w:val="Normal"/></w:pPr>
<w:r><w:t xml:space="preserve">pepper.  Thus ended Alaric&apos;s first siege of Rome.</w:t></w:r>
</w:p>
<w:p>
<w:pPr><w:pStyle w:val="Normal"/></w:pPr>
<w:r><w:t xml:space="preserve">At this time, and indeed throughout his career, the one</w:t></w:r>
</w:p>
<w:p>
<w:pPr><w:pStyle w:val="Normal"/></w:pPr>
<w:r><w:t xml:space="preserve">dominant idea of Alaric was not to pull down the fabric of</w:t></w:r>
</w:p>
<w:p>
<w:pPr><w:pStyle w:val="Normal"/></w:pPr>
<w:r><w:t xml:space="preserve">the empire but to Secure for himself, by negotiation with</w:t></w:r>
</w:p>
<w:p>
<w:pPr><w:pStyle w:val="Normal"/></w:pPr>
<w:r><w:t xml:space="preserve">its rulers, a regular and recognized position within its</w:t></w:r>
</w:p>
<w:p>
<w:pPr><w:pStyle w:val="Normal"/></w:pPr>
<w:r><w:t xml:space="preserve">borders.  His demands were certainly large---the concession</w:t></w:r>
</w:p>
<w:p>
<w:pPr><w:pStyle w:val="Normal"/></w:pPr>
<w:r><w:t xml:space="preserve">of a block of territory 200 m. long by 150 wide between the</w:t></w:r>
</w:p>
<w:p>
<w:pPr><w:pStyle w:val="Normal"/></w:pPr>
<w:r><w:t xml:space="preserve">Danube and the Gulf of Venice (to be held probably on some</w:t></w:r>
</w:p>
<w:p>
<w:pPr><w:pStyle w:val="Normal"/></w:pPr>
<w:r><w:t xml:space="preserve">terms of nominal dependence on the empire), and the title</w:t></w:r>
</w:p>
<w:p>
<w:pPr><w:pStyle w:val="Normal"/></w:pPr>
<w:r><w:t xml:space="preserve">of commander-in-chief of the imperial army.  Yet large as</w:t></w:r>
</w:p>
<w:p>
<w:pPr><w:pStyle w:val="Normal"/></w:pPr>
<w:r><w:t xml:space="preserve">the terms were, the emperor would probably have been well</w:t></w:r>
</w:p>
<w:p>
<w:pPr><w:pStyle w:val="Normal"/></w:pPr>
<w:r><w:t xml:space="preserve">advised to grant them; but Honorius was one of those timid</w:t></w:r>
</w:p>
<w:p>
<w:pPr><w:pStyle w:val="Normal"/></w:pPr>
<w:r><w:t xml:space="preserve">and feeble folk who are equally unable to make war or peace,</w:t></w:r>
</w:p>
<w:p>
<w:pPr><w:pStyle w:val="Normal"/></w:pPr>
<w:r><w:t xml:space="preserve">and refused to look beyond the question of his own personal</w:t></w:r>
</w:p>
<w:p>
<w:pPr><w:pStyle w:val="Normal"/></w:pPr>
<w:r><w:t xml:space="preserve">safety, guaranteed as it was by the dikes and marshes of</w:t></w:r>
</w:p>
<w:p>
<w:pPr><w:pStyle w:val="Normal"/></w:pPr>
<w:r><w:t xml:space="preserve">Ravenna.  As all attempts to conduct a satisfactory negotiation</w:t></w:r>
</w:p>
<w:p>
<w:pPr><w:pStyle w:val="Normal"/></w:pPr>
<w:r><w:t xml:space="preserve">with this emperor failed before his impenetrable stupidity,</w:t></w:r>
</w:p>
<w:p>
<w:pPr><w:pStyle w:val="Normal"/></w:pPr>
<w:r><w:t xml:space="preserve">Alaric, after instituting a second siege and blockade of</w:t></w:r>
</w:p>
<w:p>
<w:pPr><w:pStyle w:val="Normal"/></w:pPr>
<w:r><w:t xml:space="preserve">Rome in 409, came to terms with the senate, and with their</w:t></w:r>
</w:p>
<w:p>
<w:pPr><w:pStyle w:val="Normal"/></w:pPr>
<w:r><w:t xml:space="preserve">consent set up a rival emperor and invested the prefect of the</w:t></w:r>
</w:p>
<w:p>
<w:pPr><w:pStyle w:val="Normal"/></w:pPr>
<w:r><w:t xml:space="preserve">city, a Creek named Attalus, with the diadem and the purple</w:t></w:r>
</w:p>
<w:p>
<w:pPr><w:pStyle w:val="Normal"/></w:pPr>
<w:r><w:t xml:space="preserve">robe.  He, however, proved quite unfit for his high position;</w:t></w:r>
</w:p>
<w:p>
<w:pPr><w:pStyle w:val="Normal"/></w:pPr>
<w:r><w:t xml:space="preserve">he rejected the advice of Alaric and lost in consequence the</w:t></w:r>
</w:p>
<w:p>
<w:pPr><w:pStyle w:val="Normal"/></w:pPr>
<w:r><w:t xml:space="preserve">province of Africa, the granary of Rome, which was defended by</w:t></w:r>
</w:p>
<w:p>
<w:pPr><w:pStyle w:val="Normal"/></w:pPr>
<w:r><w:t xml:space="preserve">the partisans of Honorius.  The weapon of famine, formerly in</w:t></w:r>
</w:p>
<w:p>
<w:pPr><w:pStyle w:val="Normal"/></w:pPr>
<w:r><w:t xml:space="preserve">the hand of Alaric, was thus turned against him, and loud in</w:t></w:r>
</w:p>
<w:p>
<w:pPr><w:pStyle w:val="Normal"/></w:pPr>
<w:r><w:t xml:space="preserve">consequence were the murmurs of the Roman populace.  Honorius</w:t></w:r>
</w:p>
<w:p>
<w:pPr><w:pStyle w:val="Normal"/></w:pPr>
<w:r><w:t xml:space="preserve">was also greatly strengthened by the arrival of six legions sent</w:t></w:r>
</w:p>
<w:p>
<w:pPr><w:pStyle w:val="Normal"/></w:pPr>
<w:r><w:t xml:space="preserve">from Constantinople to his assistance by his nephew Theodosius</w:t></w:r>
</w:p>
<w:p>
<w:pPr><w:pStyle w:val="Heading1"/></w:pPr>
<w:r><w:t>II. Alaric therefore cashiered his puppet emperor Attalus</w:t></w:r>
</w:p>
<w:p>
<w:pPr><w:pStyle w:val="Normal"/></w:pPr>
<w:r><w:t xml:space="preserve">after eleven months of ineffectual rule, and once more tried</w:t></w:r>
</w:p>
<w:p>
<w:pPr><w:pStyle w:val="Normal"/></w:pPr>
<w:r><w:t xml:space="preserve">to reopen negotiations with Honorius.  These negotiatio1(s</w:t></w:r>
</w:p>
<w:p>
<w:pPr><w:pStyle w:val="Normal"/></w:pPr>
<w:r><w:t xml:space="preserve">would probably have succeeded but for the malign influence of</w:t></w:r>
</w:p>
<w:p>
<w:pPr><w:pStyle w:val="Normal"/></w:pPr>
<w:r><w:t xml:space="preserve">another Goth, Sarus, the hereditary enemy of Alaric and his</w:t></w:r>
</w:p>
<w:p>
<w:pPr><w:pStyle w:val="Normal"/></w:pPr>
<w:r><w:t xml:space="preserve">house.  When Alaric found himself once more outwitted by the</w:t></w:r>
</w:p>
<w:p>
<w:pPr><w:pStyle w:val="Normal"/></w:pPr>
<w:r><w:t xml:space="preserve">machinations of such a foe, he marched southward and began in</w:t></w:r>
</w:p>
<w:p>
<w:pPr><w:pStyle w:val="Normal"/></w:pPr>
<w:r><w:t xml:space="preserve">deadly earnest his third, his ever-memorable siege of Rome.</w:t></w:r>
</w:p>
<w:p>
<w:pPr><w:pStyle w:val="Normal"/></w:pPr>
<w:r><w:t xml:space="preserve">No defence apparently was possible; there are hints, not well</w:t></w:r>
</w:p>
<w:p>
<w:pPr><w:pStyle w:val="Normal"/></w:pPr>
<w:r><w:t xml:space="preserve">substantiated, of treachery; there is greater probability of</w:t></w:r>
</w:p>
<w:p>
<w:pPr><w:pStyle w:val="Normal"/></w:pPr>
<w:r><w:t xml:space="preserve">surprise.  However this may be--for our information at this</w:t></w:r>
</w:p>
<w:p>
<w:pPr><w:pStyle w:val="Normal"/></w:pPr>
<w:r><w:t xml:space="preserve">point of the story is miserably meagre----on the 24th of</w:t></w:r>
</w:p>
<w:p>
<w:pPr><w:pStyle w:val="Normal"/></w:pPr>
<w:r><w:t xml:space="preserve">August 410 Alaric and his . Goths burst in by the Salarian</w:t></w:r>
</w:p>
<w:p>
<w:pPr><w:pStyle w:val="Normal"/></w:pPr>
<w:r><w:t xml:space="preserve">gate on the north-east of the city, and she who was of</w:t></w:r>
</w:p>
<w:p>
<w:pPr><w:pStyle w:val="Normal"/></w:pPr>
<w:r><w:t xml:space="preserve">late the mistress of the world lay at the feet of the</w:t></w:r>
</w:p>
<w:p>
<w:pPr><w:pStyle w:val="Normal"/></w:pPr>
<w:r><w:t xml:space="preserve">barbarians.  The Goths showed themselves not absolutely ruthless</w:t></w:r>
</w:p>
<w:p>
<w:pPr><w:pStyle w:val="Normal"/></w:pPr>
<w:r><w:t xml:space="preserve">conquerors.  The contemporary ecclesiastics recorded with</w:t></w:r>
</w:p>
<w:p>
<w:pPr><w:pStyle w:val="Normal"/></w:pPr>
<w:r><w:t xml:space="preserve">wonder many instances of their clemency: the Christian churches</w:t></w:r>
</w:p>
<w:p>
<w:pPr><w:pStyle w:val="Normal"/></w:pPr>
<w:r><w:t xml:space="preserve">saved from ravage; protection granted to vast multitudes both</w:t></w:r>
</w:p>
<w:p>
<w:pPr><w:pStyle w:val="Normal"/></w:pPr>
<w:r><w:t xml:space="preserve">of pagans and Christians who took refuge therein; vessels</w:t></w:r>
</w:p>
<w:p>
<w:pPr><w:pStyle w:val="Normal"/></w:pPr>
<w:r><w:t xml:space="preserve">of gold and silver which were found in a private dwelling,</w:t></w:r>
</w:p>
<w:p>
<w:pPr><w:pStyle w:val="Normal"/></w:pPr>
<w:r><w:t xml:space="preserve">spared because they ``belonged to St. Peter&apos;&apos;; at least one</w:t></w:r>
</w:p>
<w:p>
<w:pPr><w:pStyle w:val="Normal"/></w:pPr>
<w:r><w:t xml:space="preserve">case in which a beautiful Roman matron appealed, not in vain,</w:t></w:r>
</w:p>
<w:p>
<w:pPr><w:pStyle w:val="Normal"/></w:pPr>
<w:r><w:t xml:space="preserve">to the better feelings of the Cothic soldier who attempted</w:t></w:r>
</w:p>
<w:p>
<w:pPr><w:pStyle w:val="Normal"/></w:pPr>
<w:r><w:t xml:space="preserve">her dishonour; but even these exceptional instances show that</w:t></w:r>
</w:p>
<w:p>
<w:pPr><w:pStyle w:val="Normal"/></w:pPr>
<w:r><w:t xml:space="preserve">Rome was not enlirely spared those scenes of horror which</w:t></w:r>
</w:p>
<w:p>
<w:pPr><w:pStyle w:val="Normal"/></w:pPr>
<w:r><w:t xml:space="preserve">usually accompany the storming of a besieged city.  We do</w:t></w:r>
</w:p>
<w:p>
<w:pPr><w:pStyle w:val="Normal"/></w:pPr>
<w:r><w:t xml:space="preserve">not, however, hear of any damage wrought by fire, save in</w:t></w:r>
</w:p>
<w:p>
<w:pPr><w:pStyle w:val="Normal"/></w:pPr>
<w:r><w:t xml:space="preserve">the case of Sallust&apos;s palace, which was situated close to</w:t></w:r>
</w:p>
<w:p>
<w:pPr><w:pStyle w:val="Normal"/></w:pPr>
<w:r><w:t xml:space="preserve">the gate by which the Goths had made their entrance; nor</w:t></w:r>
</w:p>
<w:p>
<w:pPr><w:pStyle w:val="Normal"/></w:pPr>
<w:r><w:t xml:space="preserve">is there any reason to attribute any extensive destruction</w:t></w:r>
</w:p>
<w:p>
<w:pPr><w:pStyle w:val="Normal"/></w:pPr>
<w:r><w:t xml:space="preserve">of the buildings of the city to Alaric and his followers.</w:t></w:r>
</w:p>
<w:p>
<w:pPr><w:pStyle w:val="Normal"/></w:pPr>
<w:r><w:t xml:space="preserve">His work being done, his fated task, and Alaric having</w:t></w:r>
</w:p>
<w:p>
<w:pPr><w:pStyle w:val="Normal"/></w:pPr>
<w:r><w:t xml:space="preserve">penetrated to the city, nothing remained for him but to</w:t></w:r>
</w:p>
<w:p>
<w:pPr><w:pStyle w:val="Normal"/></w:pPr>
<w:r><w:t xml:space="preserve">die.  He marched southwards into Calabria.  He desired to</w:t></w:r>
</w:p>
<w:p>
<w:pPr><w:pStyle w:val="Normal"/></w:pPr>
<w:r><w:t xml:space="preserve">invade Africa, which on account of its corn crops was now</w:t></w:r>
</w:p>
<w:p>
<w:pPr><w:pStyle w:val="Normal"/></w:pPr>
<w:r><w:t xml:space="preserve">the key of the position; but his ships were dashed to pieces</w:t></w:r>
</w:p>
<w:p>
<w:pPr><w:pStyle w:val="Normal"/></w:pPr>
<w:r><w:t xml:space="preserve">by a storm in which many of his soldiers perished.  He died</w:t></w:r>
</w:p>
<w:p>
<w:pPr><w:pStyle w:val="Normal"/></w:pPr>
<w:r><w:t xml:space="preserve">soon after, probably of fever, and his body was bulied under</w:t></w:r>
</w:p>
<w:p>
<w:pPr><w:pStyle w:val="Normal"/></w:pPr>
<w:r><w:t xml:space="preserve">the river-bed of the Busento, the stream being temporarily</w:t></w:r>
</w:p>
<w:p>
<w:pPr><w:pStyle w:val="Normal"/></w:pPr>
<w:r><w:t xml:space="preserve">turned aside from its course while the grave was dug wherein</w:t></w:r>
</w:p>
<w:p>
<w:pPr><w:pStyle w:val="Normal"/></w:pPr>
<w:r><w:t xml:space="preserve">the Gothic chief and some of his most precious spoils were</w:t></w:r>
</w:p>
<w:p>
<w:pPr><w:pStyle w:val="Normal"/></w:pPr>
<w:r><w:t xml:space="preserve">interred.  When the work was finished the river was turned</w:t></w:r>
</w:p>
<w:p>
<w:pPr><w:pStyle w:val="Normal"/></w:pPr>
<w:r><w:t xml:space="preserve">back into its usual channel, and the captives by whose hands</w:t></w:r>
</w:p>
<w:p>
<w:pPr><w:pStyle w:val="Normal"/></w:pPr>
<w:r><w:t xml:space="preserve">the labour had been accomplished were put to death that</w:t></w:r>
</w:p>
<w:p>
<w:pPr><w:pStyle w:val="Normal"/></w:pPr>
<w:r><w:t xml:space="preserve">none might learn their secret.  He was succeeded in the</w:t></w:r>
</w:p>
<w:p>
<w:pPr><w:pStyle w:val="Normal"/></w:pPr>
<w:r><w:t xml:space="preserve">command of the Gothic army by his brotherin-law, Ataulphus.,</w:t></w:r>
</w:p>
<w:p>
<w:pPr><w:pStyle w:val="Normal"/></w:pPr>
<w:r><w:t xml:space="preserve">Our chief authorities for the career of Alaric are the historian</w:t></w:r>
</w:p>
<w:p>
<w:pPr><w:pStyle w:val="Normal"/></w:pPr>
<w:r><w:t xml:space="preserve">Orosius and the poet Claudian, both strictly contemporary;</w:t></w:r>
</w:p>
<w:p>
<w:pPr><w:pStyle w:val="Normal"/></w:pPr>
<w:r><w:t xml:space="preserve">Zosimus, a somewhat prejudiced heathen historian, who lived</w:t></w:r>
</w:p>
<w:p>
<w:pPr><w:pStyle w:val="Normal"/></w:pPr>
<w:r><w:t xml:space="preserve">probably about half a century after the death of Alaric;</w:t></w:r>
</w:p>
<w:p>
<w:pPr><w:pStyle w:val="Normal"/></w:pPr>
<w:r><w:t xml:space="preserve">and Jordanes, a Goth who wrote the history of his nation</w:t></w:r>
</w:p>
<w:p>
<w:pPr><w:pStyle w:val="Normal"/></w:pPr>
<w:r><w:t xml:space="preserve">in the year 551, basing his work on the earlier history of</w:t></w:r>
</w:p>
<w:p>
<w:pPr><w:pStyle w:val="Normal"/></w:pPr>
<w:r><w:t xml:space="preserve">Cassiodorus (now lost), which was written about 520. (T. II.)</w:t></w:r>
</w:p>
<w:p>
<w:pPr><w:pStyle w:val="Normal"/></w:pPr>
<w:r><w:t xml:space="preserve">ALARIC II. (d. 507), eighth king of the Goths in Spain,</w:t></w:r>
</w:p>
<w:p>
<w:pPr><w:pStyle w:val="Normal"/></w:pPr>
<w:r><w:t xml:space="preserve">succeeded his father Euric or Evaric in 485. His dominions</w:t></w:r>
</w:p>
<w:p>
<w:pPr><w:pStyle w:val="Normal"/></w:pPr>
<w:r><w:t xml:space="preserve">not only included the whole of Spain except its north-western</w:t></w:r>
</w:p>
<w:p>
<w:pPr><w:pStyle w:val="Normal"/></w:pPr>
<w:r><w:t xml:space="preserve">corner, but also Aquitaine and the greater part of Provence.</w:t></w:r>
</w:p>
<w:p>
<w:pPr><w:pStyle w:val="Normal"/></w:pPr>
<w:r><w:t xml:space="preserve">In religion Alaric was an Arian, but he greatly mitigated</w:t></w:r>
</w:p>
<w:p>
<w:pPr><w:pStyle w:val="Normal"/></w:pPr>
<w:r><w:t xml:space="preserve">the persecuting policy of his father Euric towards the</w:t></w:r>
</w:p>
<w:p>
<w:pPr><w:pStyle w:val="Normal"/></w:pPr>
<w:r><w:t xml:space="preserve">Catholics and authorized them to hold in 506 the council of</w:t></w:r>
</w:p>
<w:p>
<w:pPr><w:pStyle w:val="Normal"/></w:pPr>
<w:r><w:t xml:space="preserve">Agde.  He displayed similar wisdom and liberality in</w:t></w:r>
</w:p>
<w:p>
<w:pPr><w:pStyle w:val="Normal"/></w:pPr>
<w:r><w:t xml:space="preserve">political affairs by appointing a commission to prepare</w:t></w:r>
</w:p>
<w:p>
<w:pPr><w:pStyle w:val="Normal"/></w:pPr>
<w:r><w:t xml:space="preserve">an abstract of the Roman laws and imperial decrees, which</w:t></w:r>
</w:p>
<w:p>
<w:pPr><w:pStyle w:val="Normal"/></w:pPr>
<w:r><w:t xml:space="preserve">should form the authoritative code for his Roman subjects.</w:t></w:r>
</w:p>
<w:p>
<w:pPr><w:pStyle w:val="Normal"/></w:pPr>
<w:r><w:t xml:space="preserve">This is generally known as the Breviarium Alaricianuni,</w:t></w:r>
</w:p>
<w:p>
<w:pPr><w:pStyle w:val="Normal"/></w:pPr>
<w:r><w:t xml:space="preserve">or Breviary of Alaric (q.v..) Alaric . was of a peaceful</w:t></w:r>
</w:p>
<w:p>
<w:pPr><w:pStyle w:val="Normal"/></w:pPr>
<w:r><w:t xml:space="preserve">disposition, and endeavoured strictly to main- tain the treaty</w:t></w:r>
</w:p>
<w:p>
<w:pPr><w:pStyle w:val="Normal"/></w:pPr>
<w:r><w:t xml:space="preserve">which his father had concluded with the Franks, whose king</w:t></w:r>
</w:p>
<w:p>
<w:pPr><w:pStyle w:val="Normal"/></w:pPr>
<w:r><w:t xml:space="preserve">Clovis, however, desiring to obtain the Gothic province in</w:t></w:r>
</w:p>
<w:p>
<w:pPr><w:pStyle w:val="Normal"/></w:pPr>
<w:r><w:t xml:space="preserve">Gaul, found a pretext for war in the Arianism of Alaric.</w:t></w:r>
</w:p>
<w:p>
<w:pPr><w:pStyle w:val="Normal"/></w:pPr>
<w:r><w:t xml:space="preserve">The intervention of Theodoric, king of the Ostrogoths and</w:t></w:r>
</w:p>
<w:p>
<w:pPr><w:pStyle w:val="Normal"/></w:pPr>
<w:r><w:t xml:space="preserve">father-in-law of Alaric, proved unavailing.  The two armies</w:t></w:r>
</w:p>
<w:p>
<w:pPr><w:pStyle w:val="Normal"/></w:pPr>
<w:r><w:t xml:space="preserve">met in 507 at the Campus Vogladensis, near Poitiers, where</w:t></w:r>
</w:p>
<w:p>
<w:pPr><w:pStyle w:val="Normal"/></w:pPr>
<w:r><w:t xml:space="preserve">the Goths were defeated, and their king, who took to flight,</w:t></w:r>
</w:p>
<w:p>
<w:pPr><w:pStyle w:val="Normal"/></w:pPr>
<w:r><w:t xml:space="preserve">was overtaken and slain, it is said, by Clovis himself.</w:t></w:r>
</w:p>
<w:p>
<w:pPr><w:pStyle w:val="Normal"/></w:pPr>
<w:r><w:t xml:space="preserve">ALA-SHEHR (anc. Philadelphia), a town of Asia Minor, in</w:t></w:r>
</w:p>
<w:p>
<w:pPr><w:pStyle w:val="Normal"/></w:pPr>
<w:r><w:t xml:space="preserve">the Aidin vilayet, situated in the valley of the Kuzu Chai</w:t></w:r>
</w:p>
<w:p>
<w:pPr><w:pStyle w:val="Normal"/></w:pPr>
<w:r><w:t xml:space="preserve">(Cogamus), at the foot of the Boz Dagh (Mt. Tmolus) 83</w:t></w:r>
</w:p>
<w:p>
<w:pPr><w:pStyle w:val="Normal"/></w:pPr>
<w:r><w:t xml:space="preserve">m.  E. of Smyrna (105 by railway).  Pop. 22,000 (Moslems,</w:t></w:r>
</w:p>
<w:p>
<w:pPr><w:pStyle w:val="Normal"/></w:pPr>
<w:r><w:t xml:space="preserve">17,000; Christians, 5000).  Philadelphia was founded by Attalus</w:t></w:r>
</w:p>
<w:p>
<w:pPr><w:pStyle w:val="Heading1"/></w:pPr>
<w:r><w:t>II. of Pergamum about 150 B.C., became one of the ``Seven</w:t></w:r>
</w:p>
<w:p>
<w:pPr><w:pStyle w:val="Normal"/></w:pPr>
<w:r><w:t xml:space="preserve">Churches&apos;&apos; of Asia, and was called ``Little Athens&apos;&apos; on account</w:t></w:r>
</w:p>
<w:p>
<w:pPr><w:pStyle w:val="Normal"/></w:pPr>
<w:r><w:t xml:space="preserve">of its festivals and temples.  It was subject to frequent</w:t></w:r>
</w:p>
<w:p>
<w:pPr><w:pStyle w:val="Normal"/></w:pPr>
<w:r><w:t xml:space="preserve">earthquakes.  Philadelphia was an independent neutral city,</w:t></w:r>
</w:p>
<w:p>
<w:pPr><w:pStyle w:val="Normal"/></w:pPr>
<w:r><w:t xml:space="preserve">under the influence of the Latin Knights of Rhodes, when taken</w:t></w:r>
</w:p>
<w:p>
<w:pPr><w:pStyle w:val="Normal"/></w:pPr>
<w:r><w:t xml:space="preserve">in . 1390 by Sultan Bayezid I. and an auxiliary Christian force</w:t></w:r>
</w:p>
<w:p>
<w:pPr><w:pStyle w:val="Normal"/></w:pPr>
<w:r><w:t xml:space="preserve">under the emperor Manuel II. after a prolonged resistance,</w:t></w:r>
</w:p>
<w:p>
<w:pPr><w:pStyle w:val="Normal"/></w:pPr>
<w:r><w:t xml:space="preserve">when all the other cities of Asia Minor had surrendered.</w:t></w:r>
</w:p>
<w:p>
<w:pPr><w:pStyle w:val="Normal"/></w:pPr>
<w:r><w:t xml:space="preserve">Twelve years later it was captured by Timur, who built a</w:t></w:r>
</w:p>
<w:p>
<w:pPr><w:pStyle w:val="Normal"/></w:pPr>
<w:r><w:t xml:space="preserve">wall with the corpses of his prisoners.  A fragment of the</w:t></w:r>
</w:p>
<w:p>
<w:pPr><w:pStyle w:val="Normal"/></w:pPr>
<w:r><w:t xml:space="preserve">ghastly structure is in the library of Lincoln cathedral.</w:t></w:r>
</w:p>
<w:p>
<w:pPr><w:pStyle w:val="Normal"/></w:pPr>
<w:r><w:t xml:space="preserve">The town is connected by railway with Afium-Kara-Hissar and</w:t></w:r>
</w:p>
<w:p>
<w:pPr><w:pStyle w:val="Normal"/></w:pPr>
<w:r><w:t xml:space="preserve">Smyrna.  It is dirty and ill-built; but, standing on elevated</w:t></w:r>
</w:p>
<w:p>
<w:pPr><w:pStyle w:val="Normal"/></w:pPr>
<w:r><w:t xml:space="preserve">ground and commanding the extensive and fertile plain of the</w:t></w:r>
</w:p>
<w:p>
<w:pPr><w:pStyle w:val="Normal"/></w:pPr>
<w:r><w:t xml:space="preserve">Hermus, presents at a distance an imposing appearance.  It is</w:t></w:r>
</w:p>
<w:p>
<w:pPr><w:pStyle w:val="Normal"/></w:pPr>
<w:r><w:t xml:space="preserve">the seat of an archbishop and has several mosques and Christian</w:t></w:r>
</w:p>
<w:p>
<w:pPr><w:pStyle w:val="Normal"/></w:pPr>
<w:r><w:t xml:space="preserve">churches.  There are small industries and a fair trade.  From</w:t></w:r>
</w:p>
<w:p>
<w:pPr><w:pStyle w:val="Normal"/></w:pPr>
<w:r><w:t xml:space="preserve">one of the mineral springs comes a heavily charged water known</w:t></w:r>
</w:p>
<w:p>
<w:pPr><w:pStyle w:val="Normal"/></w:pPr>
<w:r><w:t xml:space="preserve">in commerce as ``Eau de Vals,&apos;&apos; and in great request in Smyrna.</w:t></w:r>
</w:p>
<w:p>
<w:pPr><w:pStyle w:val="Normal"/></w:pPr>
<w:r><w:t xml:space="preserve">See W. M. Ramsay, Letters to the Seven Ghurches (Ioo4).</w:t></w:r>
</w:p>
<w:p>
<w:pPr><w:pStyle w:val="Normal"/></w:pPr>
<w:r><w:t xml:space="preserve">ALASKA, formerly called RUSSIAN AMERICA, a district</w:t></w:r>
</w:p>
<w:p>
<w:pPr><w:pStyle w:val="Normal"/></w:pPr>
<w:r><w:t xml:space="preserve">of the United States of America, occupying the extreme</w:t></w:r>
</w:p>
<w:p>
<w:pPr><w:pStyle w:val="Normal"/></w:pPr>
<w:r><w:t xml:space="preserve">northwestern part of North America and the adjacent</w:t></w:r>
</w:p>
<w:p>
<w:pPr><w:pStyle w:val="Normal"/></w:pPr>
<w:r><w:t xml:space="preserve">islands.  The name is a corruption of a native word possibly</w:t></w:r>
</w:p>
<w:p>
<w:pPr><w:pStyle w:val="Normal"/></w:pPr>
<w:r><w:t xml:space="preserve">meaning ``mainland&apos;&apos; or ``peninsula.&apos;&apos; The district of Alaska</w:t></w:r>
</w:p>
<w:p>
<w:pPr><w:pStyle w:val="Normal"/></w:pPr>
<w:r><w:t xml:space="preserve">comprises, first, all that part of the continent W. of the</w:t></w:r>
</w:p>
<w:p>
<w:pPr><w:pStyle w:val="Normal"/></w:pPr>
<w:r><w:t xml:space="preserve">141st meridian of W longitude from Greenwich;secondly,the</w:t></w:r>
</w:p>
<w:p>
<w:pPr><w:pStyle w:val="Normal"/></w:pPr>
<w:r><w:t xml:space="preserve">eastern Diomede island in Bering Strait, and all islands in</w:t></w:r>
</w:p>
<w:p>
<w:pPr><w:pStyle w:val="Normal"/></w:pPr>
<w:r><w:t xml:space="preserve">Bering Sea and the Aleutian chain lying E. of a line drawn</w:t></w:r>
</w:p>
<w:p>
<w:pPr><w:pStyle w:val="Normal"/></w:pPr>
<w:r><w:t xml:space="preserve">from the Diomedes to pass midway between Copper Island, off</w:t></w:r>
</w:p>
<w:p>
<w:pPr><w:pStyle w:val="Normal"/></w:pPr>
<w:r><w:t xml:space="preserve">Kamchatka, and Attu Island of the Aleutians; thirdly, a</w:t></w:r>
</w:p>
<w:p>
<w:pPr><w:pStyle w:val="Normal"/></w:pPr>
<w:r><w:t xml:space="preserve">narrow strip of coast and adjacent islands N. of a line drawn</w:t></w:r>
</w:p>
<w:p>
<w:pPr><w:pStyle w:val="Normal"/></w:pPr>
<w:r><w:t xml:space="preserve">from Cape Muzon, in lat. 54 deg.  40, N., E. and N. up Portland</w:t></w:r>
</w:p>
<w:p>
<w:pPr><w:pStyle w:val="Normal"/></w:pPr>
<w:r><w:t xml:space="preserve">Canal to its head, and thence, as defined in the treaty of</w:t></w:r>
</w:p>
<w:p>
<w:pPr><w:pStyle w:val="Normal"/></w:pPr>
<w:r><w:t xml:space="preserve">cession to the United States, quoting a boundary treaty of</w:t></w:r>
</w:p>
<w:p>
<w:pPr><w:pStyle w:val="Normal"/></w:pPr>
<w:r><w:t xml:space="preserve">1825 between Great Britain and Russia, following ``the summit</w:t></w:r>
</w:p>
<w:p>
<w:pPr><w:pStyle w:val="Normal"/></w:pPr>
<w:r><w:t xml:space="preserve">of the mountains situated parallel to the coast&apos;, to the</w:t></w:r>
</w:p>
<w:p>
<w:pPr><w:pStyle w:val="Normal"/></w:pPr>
<w:r><w:t xml:space="preserve">141st meridian, provided that when such line runs more than</w:t></w:r>
</w:p>
<w:p>
<w:pPr><w:pStyle w:val="Normal"/></w:pPr>
<w:r><w:t xml:space="preserve">ten marine leagues from the ocean the limit ``shall</w:t></w:r>
</w:p>
<w:p>
<w:pPr><w:pStyle w:val="Normal"/></w:pPr>
<w:r><w:t xml:space="preserve">be formed by a line parallel to the windings of the</w:t></w:r>
</w:p>
<w:p>
<w:pPr><w:pStyle w:val="Normal"/></w:pPr>
<w:r><w:t xml:space="preserve">coast and which shall never exceed the distance of ten</w:t></w:r>
</w:p>
<w:p>
<w:pPr><w:pStyle w:val="Normal"/></w:pPr>
<w:r><w:t xml:space="preserve">marine leagues therefrom.&apos;&apos; The international disputes</w:t></w:r>
</w:p>
<w:p>
<w:pPr><w:pStyle w:val="Normal"/></w:pPr>
<w:r><w:t xml:space="preserve">connected with this description are referred to below.</w:t></w:r>
</w:p>
<w:p>
<w:pPr><w:pStyle w:val="Normal"/></w:pPr>
<w:r><w:t xml:space="preserve">Physical Features.---Alaska is bounded on the N. by the</w:t></w:r>
</w:p>
<w:p>
<w:pPr><w:pStyle w:val="Normal"/></w:pPr>
<w:r><w:t xml:space="preserve">Arctic Ocean, on the W. by the Arctic Ocean and Bering</w:t></w:r>
</w:p>
<w:p>
<w:pPr><w:pStyle w:val="Normal"/></w:pPr>
<w:r><w:t xml:space="preserve">Strait, on the S. and S.W. by the Gulf of Alaska and the</w:t></w:r>
</w:p>
<w:p>
<w:pPr><w:pStyle w:val="Normal"/></w:pPr>
<w:r><w:t xml:space="preserve">Pacific Ocean, and on the E. by Yukon Territory and British</w:t></w:r>
</w:p>
<w:p>
<w:pPr><w:pStyle w:val="Normal"/></w:pPr>
<w:r><w:t xml:space="preserve">Columbia.  It consists of a compact central mass and two</w:t></w:r>
</w:p>
<w:p>
<w:pPr><w:pStyle w:val="Normal"/></w:pPr>
<w:r><w:t xml:space="preserve">straggling appendages running from its S.W. and S.E. corners,</w:t></w:r>
</w:p>
<w:p>
<w:pPr><w:pStyle w:val="Normal"/></w:pPr>
<w:r><w:t xml:space="preserve">and sweeping in a vast arc over 16 degrees of latitude and</w:t></w:r>
</w:p>
<w:p>
<w:pPr><w:pStyle w:val="Normal"/></w:pPr>
<w:r><w:t xml:space="preserve">58 degrees of longitude.  These three parts will be referred</w:t></w:r>
</w:p>
<w:p>
<w:pPr><w:pStyle w:val="Normal"/></w:pPr>
<w:r><w:t xml:space="preserve">to hereafter respectively, as Continental Alaska, Aleutian</w:t></w:r>
</w:p>
<w:p>
<w:pPr><w:pStyle w:val="Normal"/></w:pPr>
<w:r><w:t xml:space="preserve">Alaska and the ``Panhandle.&apos;&apos; The range of latitude from</w:t></w:r>
</w:p>
<w:p>
<w:pPr><w:pStyle w:val="Normal"/></w:pPr>
<w:r><w:t xml:space="preserve">Point Barrow in the Arctic Ocean to Cape Muzon is almost 17</w:t></w:r>
</w:p>
<w:p>
<w:pPr><w:pStyle w:val="Normal"/></w:pPr>
<w:r><w:t xml:space="preserve">degrees---as great as from New Orleans to Duluth; the range</w:t></w:r>
</w:p>
<w:p>
<w:pPr><w:pStyle w:val="Normal"/></w:pPr>
<w:r><w:t xml:space="preserve">of longitude from Attu Island to the head of Portland Canal</w:t></w:r>
</w:p>
<w:p>
<w:pPr><w:pStyle w:val="Normal"/></w:pPr>
<w:r><w:t xml:space="preserve">is 58 degrees---considerably greater than from New York to San</w:t></w:r>
</w:p>
<w:p>
<w:pPr><w:pStyle w:val="Normal"/></w:pPr>
<w:r><w:t xml:space="preserve">Francisco.  The total area is about 586,400 sq. m.  The</w:t></w:r>
</w:p>
<w:p>
<w:pPr><w:pStyle w:val="Normal"/></w:pPr>
<w:r><w:t xml:space="preserve">general ocean-coast line is about 4750 m., and, including the</w:t></w:r>
</w:p>
<w:p>
<w:pPr><w:pStyle w:val="Normal"/></w:pPr>
<w:r><w:t xml:space="preserve">islands, bays, inlets and rivers to the head of tide water,</w:t></w:r>
</w:p>
<w:p>
<w:pPr><w:pStyle w:val="Normal"/></w:pPr>
<w:r><w:t xml:space="preserve">is about 26,000 m. in length (U.S.  Coast Survey 1889).  The</w:t></w:r>
</w:p>
<w:p>
<w:pPr><w:pStyle w:val="Normal"/></w:pPr>
<w:r><w:t xml:space="preserve">entire southern coast is very irregular in outline; it is</w:t></w:r>
</w:p>
<w:p>
<w:pPr><w:pStyle w:val="Normal"/></w:pPr>
<w:r><w:t xml:space="preserve">precipitous, with only very slight stretches of beach or</w:t></w:r>
</w:p>
<w:p>
<w:pPr><w:pStyle w:val="Normal"/></w:pPr>
<w:r><w:t xml:space="preserve">plain.  Its elevation gradually decreases as one travels W.</w:t></w:r>
</w:p>
<w:p>
<w:pPr><w:pStyle w:val="Normal"/></w:pPr>
<w:r><w:t xml:space="preserve">toward the Aleutians.  A great submarine platform extends</w:t></w:r>
</w:p>
<w:p>
<w:pPr><w:pStyle w:val="Normal"/></w:pPr>
<w:r><w:t xml:space="preserve">throughout a large part of Bering Sea. The western and northern</w:t></w:r>
</w:p>
<w:p>
<w:pPr><w:pStyle w:val="Normal"/></w:pPr>
<w:r><w:t xml:space="preserve">coasts are regular in outline with long straight beaches; and</w:t></w:r>
</w:p>
<w:p>
<w:pPr><w:pStyle w:val="Normal"/></w:pPr>
<w:r><w:t xml:space="preserve">shallows are common in the seas that wash them.  On the Arctic</w:t></w:r>
</w:p>
<w:p>
<w:pPr><w:pStyle w:val="Normal"/></w:pPr>
<w:r><w:t xml:space="preserve">there is a broad coastal plain.  Of the islands of Alaska</w:t></w:r>
</w:p>
<w:p>
<w:pPr><w:pStyle w:val="Normal"/></w:pPr>
<w:r><w:t xml:space="preserve">the more important are: at the S.E. extremity and lying close</w:t></w:r>
</w:p>
<w:p>
<w:pPr><w:pStyle w:val="Normal"/></w:pPr>
<w:r><w:t xml:space="preserve">inland, the Alexander Archipelago, whose principal islands</w:t></w:r>
</w:p>
<w:p>
<w:pPr><w:pStyle w:val="Normal"/></w:pPr>
<w:r><w:t xml:space="preserve">from N.W. to S.E. are Chicagof, Baranof, Admiralty, Kupreanof,</w:t></w:r>
</w:p>
<w:p>
<w:pPr><w:pStyle w:val="Normal"/></w:pPr>
<w:r><w:t xml:space="preserve">Kuiu.  Prince of Wales (the largest of the archipelago and</w:t></w:r>
</w:p>
<w:p>
<w:pPr><w:pStyle w:val="Normal"/></w:pPr>
<w:r><w:t xml:space="preserve">of all the islands about Alaska, measuring about 140 m.</w:t></w:r>
</w:p>
<w:p>
<w:pPr><w:pStyle w:val="Normal"/></w:pPr>
<w:r><w:t xml:space="preserve">in length and 40m.inwidth), Etolin and Revillagigedo; S.W.</w:t></w:r>
</w:p>
<w:p>
<w:pPr><w:pStyle w:val="Normal"/></w:pPr>
<w:r><w:t xml:space="preserve">of the mainland, two groups--.-(1) Kodiak, whose largest</w:t></w:r>
</w:p>
<w:p>
<w:pPr><w:pStyle w:val="Normal"/></w:pPr>
<w:r><w:t xml:space="preserve">island, of the same name, is 40 m. by 100 m., and may be</w:t></w:r>
</w:p>
<w:p>
<w:pPr><w:pStyle w:val="Normal"/></w:pPr>
<w:r><w:t xml:space="preserve">considered a continuation of the Kenai Peninsula, and whose</w:t></w:r>
</w:p>
<w:p>
<w:pPr><w:pStyle w:val="Normal"/></w:pPr>
<w:r><w:t xml:space="preserve">W. continuation, S. of Alaska Peninsula, consists of the</w:t></w:r>
</w:p>
<w:p>
<w:pPr><w:pStyle w:val="Normal"/></w:pPr>
<w:r><w:t xml:space="preserve">Semidi, Shumagin and Sannak clusters; (2) the Aleutian Islands</w:t></w:r>
</w:p>
<w:p>
<w:pPr><w:pStyle w:val="Normal"/></w:pPr>
<w:r><w:t xml:space="preserve">(q.v.) sweeping 1200 m.  W.S.W. from the end of Alaska</w:t></w:r>
</w:p>
<w:p>
<w:pPr><w:pStyle w:val="Normal"/></w:pPr>
<w:r><w:t xml:space="preserve">Peninsula, W. of the mainland, in Bering Sea, the Pribilof</w:t></w:r>
</w:p>
<w:p>
<w:pPr><w:pStyle w:val="Normal"/></w:pPr>
<w:r><w:t xml:space="preserve">Islands, about 500 m.  S. of Cape Prince of Wales, the small</w:t></w:r>
</w:p>
<w:p>
<w:pPr><w:pStyle w:val="Normal"/></w:pPr>
<w:r><w:t xml:space="preserve">Hall and St Matthew Islands, about 170 m.  S.W. of the same</w:t></w:r>
</w:p>
<w:p>
<w:pPr><w:pStyle w:val="Normal"/></w:pPr>
<w:r><w:t xml:space="preserve">cape, St Lawrence Island (100 m. and 10 to 30 m. wide),</w:t></w:r>
</w:p>
<w:p>
<w:pPr><w:pStyle w:val="Normal"/></w:pPr>
<w:r><w:t xml:space="preserve">which is about half way between the last mentioned pair of</w:t></w:r>
</w:p>
<w:p>
<w:pPr><w:pStyle w:val="Normal"/></w:pPr>
<w:r><w:t xml:space="preserve">islets and Cape Prince of Wales and Nunivak Island, near the</w:t></w:r>
</w:p>
<w:p>
<w:pPr><w:pStyle w:val="Normal"/></w:pPr>
<w:r><w:t xml:space="preserve">mainland and due E. of St Matthew; and in the middle of Bering</w:t></w:r>
</w:p>
<w:p>
<w:pPr><w:pStyle w:val="Normal"/></w:pPr>
<w:r><w:t xml:space="preserve">Strait the Diomede Islands, which belong in part to Russia.</w:t></w:r>
</w:p>
<w:p>
<w:pPr><w:pStyle w:val="Normal"/></w:pPr>
<w:r><w:t xml:space="preserve">Very little was known about Alaska previous to 1896, when the</w:t></w:r>
</w:p>
<w:p>
<w:pPr><w:pStyle w:val="Normal"/></w:pPr>
<w:r><w:t xml:space="preserve">gold discoveries in the Klondike stimulated public interest</w:t></w:r>
</w:p>
<w:p>
<w:pPr><w:pStyle w:val="Normal"/></w:pPr>
<w:r><w:t xml:space="preserve">regarding it.  Since 1895, however, the explorations of the</w:t></w:r>
</w:p>
<w:p>
<w:pPr><w:pStyle w:val="Normal"/></w:pPr>
<w:r><w:t xml:space="preserve">United States Geological Survey and the Department of War, and</w:t></w:r>
</w:p>
<w:p>
<w:pPr><w:pStyle w:val="Normal"/></w:pPr>
<w:r><w:t xml:space="preserve">other departments of the government, have fully established the</w:t></w:r>
</w:p>
<w:p>
<w:pPr><w:pStyle w:val="Normal"/></w:pPr>
<w:r><w:t xml:space="preserve">main features of its physiography.  It has mountains, plateaus</w:t></w:r>
</w:p>
<w:p>
<w:pPr><w:pStyle w:val="Normal"/></w:pPr>
<w:r><w:t xml:space="preserve">and lowlands on a grand scale. ``In a broad way, the larger</w:t></w:r>
</w:p>
<w:p>
<w:pPr><w:pStyle w:val="Normal"/></w:pPr>
<w:r><w:t xml:space="preserve">features of topography correspond with those of the western</w:t></w:r>
</w:p>
<w:p>
<w:pPr><w:pStyle w:val="Normal"/></w:pPr>
<w:r><w:t xml:space="preserve">states.  There is a Pacific Mountain system, a Central</w:t></w:r>
</w:p>
<w:p>
<w:pPr><w:pStyle w:val="Normal"/></w:pPr>
<w:r><w:t xml:space="preserve">Plateau region, a Rocky Mountain system, and a Great Plains</w:t></w:r>
</w:p>
<w:p>
<w:pPr><w:pStyle w:val="Normal"/></w:pPr>
<w:r><w:t xml:space="preserve">region.  These four divisions are well marked, and show the</w:t></w:r>
</w:p>
<w:p>
<w:pPr><w:pStyle w:val="Normal"/></w:pPr>
<w:r><w:t xml:space="preserve">close geographic relation of this area to the southern part</w:t></w:r>
</w:p>
<w:p>
<w:pPr><w:pStyle w:val="Normal"/></w:pPr>
<w:r><w:t xml:space="preserve">of the Continent.&apos;&apos; The orographic features of the Pacific</w:t></w:r>
</w:p>
<w:p>
<w:pPr><w:pStyle w:val="Normal"/></w:pPr>
<w:r><w:t xml:space="preserve">Mountain system trend parallel to the coast-line of the Gulf of</w:t></w:r>
</w:p>
<w:p>
<w:pPr><w:pStyle w:val="Normal"/></w:pPr>
<w:r><w:t xml:space="preserve">Alaska, changing with this at the great bend beyond the N.,</w:t></w:r>
</w:p>
<w:p>
<w:pPr><w:pStyle w:val="Normal"/></w:pPr>
<w:r><w:t xml:space="preserve">and of the Panhandle from S.E. and N.W. to N.E. and S.W. and</w:t></w:r>
</w:p>
<w:p>
<w:pPr><w:pStyle w:val="Normal"/></w:pPr>
<w:r><w:t xml:space="preserve">running through the Alaska Peninsula.  The Pacific Mountain</w:t></w:r>
</w:p>
<w:p>
<w:pPr><w:pStyle w:val="Normal"/></w:pPr>
<w:r><w:t xml:space="preserve">system includes four ranges.  The Coast Range of the Panhandle</w:t></w:r>
</w:p>
<w:p>
<w:pPr><w:pStyle w:val="Normal"/></w:pPr>
<w:r><w:t xml:space="preserve">attains a width of 100 m., but has no well-defined crest</w:t></w:r>
</w:p>
<w:p>
<w:pPr><w:pStyle w:val="Normal"/></w:pPr>
<w:r><w:t xml:space="preserve">line.  The range is characterized by the uniformity of</w:t></w:r>
</w:p>
<w:p>
<w:pPr><w:pStyle w:val="Normal"/></w:pPr>
<w:r><w:t xml:space="preserve">summit levels between 5O00 and 6000 ft.  Continuing the Coast</w:t></w:r>
</w:p>
<w:p>
<w:pPr><w:pStyle w:val="Normal"/></w:pPr>
<w:r><w:t xml:space="preserve">Range, with which it is closely associated---the Chilkat</w:t></w:r>
</w:p>
<w:p>
<w:pPr><w:pStyle w:val="Normal"/></w:pPr>
<w:r><w:t xml:space="preserve">river lies between them---is the St Elias Range (a term</w:t></w:r>
</w:p>
<w:p>
<w:pPr><w:pStyle w:val="Normal"/></w:pPr>
<w:r><w:t xml:space="preserve">now used to include not only the mountains between Cross</w:t></w:r>
</w:p>
<w:p>
<w:pPr><w:pStyle w:val="Normal"/></w:pPr>
<w:r><w:t xml:space="preserve">Sound and Mt. St Elias, but the Chugach, Kenai, Skolai and</w:t></w:r>
</w:p>
<w:p>
<w:pPr><w:pStyle w:val="Normal"/></w:pPr>
<w:r><w:t xml:space="preserve">Nutzotin mountains); among its peaks are: Mt. Crillon ( 15,900</w:t></w:r>
</w:p>
<w:p>
<w:pPr><w:pStyle w:val="Normal"/></w:pPr>
<w:r><w:t xml:space="preserve">ft.), Mt. Fairweather ( 15,290 ft.), Mt. Vancouver (15,666</w:t></w:r>
</w:p>
<w:p>
<w:pPr><w:pStyle w:val="Normal"/></w:pPr>
<w:r><w:t xml:space="preserve">ft.), Mt. Wrangell (17,500 ft., an active volcano) in the</w:t></w:r>
</w:p>
<w:p>
<w:pPr><w:pStyle w:val="Normal"/></w:pPr>
<w:r><w:t xml:space="preserve">Nutzotin Mountains, Mt. St Elias (18,024 ft.) and, in Canadian</w:t></w:r>
</w:p>
<w:p>
<w:pPr><w:pStyle w:val="Normal"/></w:pPr>
<w:r><w:t xml:space="preserve">territory, Mt. Logan (19,539 ft.).  The Aleutian Range, of</w:t></w:r>
</w:p>
<w:p>
<w:pPr><w:pStyle w:val="Normal"/></w:pPr>
<w:r><w:t xml:space="preserve">whose crest the Aleutian Islands are remnants, fills out the</w:t></w:r>
</w:p>
<w:p>
<w:pPr><w:pStyle w:val="Normal"/></w:pPr>
<w:r><w:t xml:space="preserve">system near the coast.  The Alaskan Range, connecting with</w:t></w:r>
</w:p>
<w:p>
<w:pPr><w:pStyle w:val="Normal"/></w:pPr>
<w:r><w:t xml:space="preserve">the Nutzotin and Skolai branches of the St Elias Range, lies</w:t></w:r>
</w:p>
<w:p>
<w:pPr><w:pStyle w:val="Normal"/></w:pPr>
<w:r><w:t xml:space="preserve">a little farther inland; it is splendidly marked by many snowy</w:t></w:r>
</w:p>
<w:p>
<w:pPr><w:pStyle w:val="Normal"/></w:pPr>
<w:r><w:t xml:space="preserve">peaks, including Mt. Foraker (17,000 ft.) and Mt. Mckinley.</w:t></w:r>
</w:p>
<w:p>
<w:pPr><w:pStyle w:val="Normal"/></w:pPr>
<w:r><w:t xml:space="preserve">The latter, which on the W. rises abruptly out of a marshy</w:t></w:r>
</w:p>
<w:p>
<w:pPr><w:pStyle w:val="Normal"/></w:pPr>
<w:r><w:t xml:space="preserve">country, offers the obstacles of magnificent, inaccessible</w:t></w:r>
</w:p>
<w:p>
<w:pPr><w:pStyle w:val="Normal"/></w:pPr>
<w:r><w:t xml:space="preserve">granite cliffs and large glaciers to the mountaineer; it is</w:t></w:r>
</w:p>
<w:p>
<w:pPr><w:pStyle w:val="Normal"/></w:pPr>
<w:r><w:t xml:space="preserve">the loftiest peak in North America (ca. 20,300 ft.).  In the</w:t></w:r>
</w:p>
<w:p>
<w:pPr><w:pStyle w:val="Normal"/></w:pPr>
<w:r><w:t xml:space="preserve">Alaskan Range and the Aleutian Range there are more than a</w:t></w:r>
</w:p>
<w:p>
<w:pPr><w:pStyle w:val="Normal"/></w:pPr>
<w:r><w:t xml:space="preserve">dozen live volcanoes, several of them remarkable; the latter</w:t></w:r>
</w:p>
<w:p>
<w:pPr><w:pStyle w:val="Normal"/></w:pPr>
<w:r><w:t xml:space="preserve">range is composed largely of volcanic material.  Evidences</w:t></w:r>
</w:p>
<w:p>
<w:pPr><w:pStyle w:val="Normal"/></w:pPr>
<w:r><w:t xml:space="preserve">of very recent volcanic activity are abundant about Cook</w:t></w:r>
</w:p>
<w:p>
<w:pPr><w:pStyle w:val="Normal"/></w:pPr>
<w:r><w:t xml:space="preserve">Inlet.  The Rocky Mountain system extends from Canada (the</w:t></w:r>
</w:p>
<w:p>
<w:pPr><w:pStyle w:val="Normal"/></w:pPr>
<w:r><w:t xml:space="preserve">Tukon territory) into N.E. Alaska, which it crosses near</w:t></w:r>
</w:p>
<w:p>
<w:pPr><w:pStyle w:val="Normal"/></w:pPr>
<w:r><w:t xml:space="preserve">the Arctic Coast in a broad belt composed of several ranges</w:t></w:r>
</w:p>
<w:p>
<w:pPr><w:pStyle w:val="Normal"/></w:pPr>
<w:r><w:t xml:space="preserve">about 6000 ft. in altitude.  There is no well-defined crest</w:t></w:r>
</w:p>
<w:p>
<w:pPr><w:pStyle w:val="Normal"/></w:pPr>
<w:r><w:t xml:space="preserve">line; the axis of the system is roughly parallel to the</w:t></w:r>
</w:p>
<w:p>
<w:pPr><w:pStyle w:val="Normal"/></w:pPr>
<w:r><w:t xml:space="preserve">Pacific Mountain system, but runs more nearly E. and W. in</w:t></w:r>
</w:p>
<w:p>
<w:pPr><w:pStyle w:val="Normal"/></w:pPr>
<w:r><w:t xml:space="preserve">Alaska.  Between the Pacific Mountain and the Rocky Mountain</w:t></w:r>
</w:p>
<w:p>
<w:pPr><w:pStyle w:val="Normal"/></w:pPr>
<w:r><w:t xml:space="preserve">systems lies the vast Central Plateau region, or Yukon</w:t></w:r>
</w:p>
<w:p>
<w:pPr><w:pStyle w:val="Normal"/></w:pPr>
<w:r><w:t xml:space="preserve">plateau.  Finally, between the Rocky Mountains and the</w:t></w:r>
</w:p>
<w:p>
<w:pPr><w:pStyle w:val="Normal"/></w:pPr>
<w:r><w:t xml:space="preserve">Arctic Ocean is the Arctic Slope region, a sloping plain</w:t></w:r>
</w:p>
<w:p>
<w:pPr><w:pStyle w:val="Normal"/></w:pPr>
<w:r><w:t xml:space="preserve">corresponding to the interior plains of the United States.</w:t></w:r>
</w:p>
<w:p>
<w:pPr><w:pStyle w:val="Normal"/></w:pPr>
<w:r><w:t xml:space="preserve">First Physiographic Region.---The Panhandle is remarkably</w:t></w:r>
</w:p>
<w:p>
<w:pPr><w:pStyle w:val="Normal"/></w:pPr>
<w:r><w:t xml:space="preserve">picturesque.  The maze of islands, hundreds in number, of</w:t></w:r>
</w:p>
<w:p>
<w:pPr><w:pStyle w:val="Normal"/></w:pPr>
<w:r><w:t xml:space="preserve">the Alexander Archipelago (area about 13,000 sq. m.) are</w:t></w:r>
</w:p>
<w:p>
<w:pPr><w:pStyle w:val="Normal"/></w:pPr>
<w:r><w:t xml:space="preserve">remnants of a submerged mountain system; the islands rise</w:t></w:r>
</w:p>
<w:p>
<w:pPr><w:pStyle w:val="Normal"/></w:pPr>
<w:r><w:t xml:space="preserve">3000 to 5000 ft. above the sea, with luxuriantly wooded</w:t></w:r>
</w:p>
<w:p>
<w:pPr><w:pStyle w:val="Normal"/></w:pPr>
<w:r><w:t xml:space="preserve">tops and bald, sheer sides scarred with marks of glacial</w:t></w:r>
</w:p>
<w:p>
<w:pPr><w:pStyle w:val="Normal"/></w:pPr>
<w:r><w:t xml:space="preserve">action; the beachless coast is only a narrow ledge between</w:t></w:r>
</w:p>
<w:p>
<w:pPr><w:pStyle w:val="Normal"/></w:pPr>
<w:r><w:t xml:space="preserve">the mountains and the sea, and unlike the coast of Norway,</w:t></w:r>
</w:p>
<w:p>
<w:pPr><w:pStyle w:val="Normal"/></w:pPr>
<w:r><w:t xml:space="preserve">to which in outline it is not dissimilar, is bold, steep and</w:t></w:r>
</w:p>
<w:p>
<w:pPr><w:pStyle w:val="Normal"/></w:pPr>
<w:r><w:t xml:space="preserve">craggy.  Through the inner channels, sheltered from the</w:t></w:r>
</w:p>
<w:p>
<w:pPr><w:pStyle w:val="Normal"/></w:pPr>
<w:r><w:t xml:space="preserve">Pacific by the island rampart, runs the ``inland passage,&apos;&apos;</w:t></w:r>
</w:p>
<w:p>
<w:pPr><w:pStyle w:val="Normal"/></w:pPr>
<w:r><w:t xml:space="preserve">the tourist route northward from Seattle, Washington.</w:t></w:r>
</w:p>
<w:p>
<w:pPr><w:pStyle w:val="Normal"/></w:pPr>
<w:r><w:t xml:space="preserve">The inter-insular straits are carried up into the shore as</w:t></w:r>
</w:p>
<w:p>
<w:pPr><w:pStyle w:val="Normal"/></w:pPr>
<w:r><w:t xml:space="preserve">fjords heading in rivers and glaciers.  Thus the Stikine</w:t></w:r>
</w:p>
<w:p>
<w:pPr><w:pStyle w:val="Normal"/></w:pPr>
<w:r><w:t xml:space="preserve">river continues Sumner Strait and the Taku continues Cross</w:t></w:r>
</w:p>
<w:p>
<w:pPr><w:pStyle w:val="Normal"/></w:pPr>
<w:r><w:t xml:space="preserve">Sound.  The Stikine, Taku and Alsek rivers all cross the</w:t></w:r>
</w:p>
<w:p>
<w:pPr><w:pStyle w:val="Normal"/></w:pPr>
<w:r><w:t xml:space="preserve">mountains in deep-cut canyons.  Everywhere the evidences</w:t></w:r>
</w:p>
<w:p>
<w:pPr><w:pStyle w:val="Normal"/></w:pPr>
<w:r><w:t xml:space="preserve">of glacial action abound.  Most remarkable are the inlets</w:t></w:r>
</w:p>
<w:p>
<w:pPr><w:pStyle w:val="Normal"/></w:pPr>
<w:r><w:t xml:space="preserve">known as Portland Canal and Lynn Canal (continuing Chatham</w:t></w:r>
</w:p>
<w:p>
<w:pPr><w:pStyle w:val="Normal"/></w:pPr>
<w:r><w:t xml:space="preserve">Strait).  The first is very deep, with precipitous shores</w:t></w:r>
</w:p>
<w:p>
<w:pPr><w:pStyle w:val="Normal"/></w:pPr>
<w:r><w:t xml:space="preserve">and bordering mountains 5000 to 6000 ft. high; the second</w:t></w:r>
</w:p>
<w:p>
<w:pPr><w:pStyle w:val="Normal"/></w:pPr>
<w:r><w:t xml:space="preserve">is a noble fjord 100 m. long and on an average 6 m. wide,</w:t></w:r>
</w:p>
<w:p>
<w:pPr><w:pStyle w:val="Normal"/></w:pPr>
<w:r><w:t xml:space="preserve">with magnificent Alpine scenery.  It is subject in winter</w:t></w:r>
</w:p>
<w:p>
<w:pPr><w:pStyle w:val="Normal"/></w:pPr>
<w:r><w:t xml:space="preserve">to storms of extraordinary violence, but is never closed by</w:t></w:r>
</w:p>
<w:p>
<w:pPr><w:pStyle w:val="Normal"/></w:pPr>
<w:r><w:t xml:space="preserve">ice.  Both Portland Canal and Lynn Canal are of historical</w:t></w:r>
</w:p>
<w:p>
<w:pPr><w:pStyle w:val="Normal"/></w:pPr>
<w:r><w:t xml:space="preserve">importance, as the question of the true location of the</w:t></w:r>
</w:p>
<w:p>
<w:pPr><w:pStyle w:val="Normal"/></w:pPr>
<w:r><w:t xml:space="preserve">first and the commercial importance to Canada or to the</w:t></w:r>
</w:p>
<w:p>
<w:pPr><w:pStyle w:val="Normal"/></w:pPr>
<w:r><w:t xml:space="preserve">United States of the possession of the second, were the</w:t></w:r>
</w:p>
<w:p>
<w:pPr><w:pStyle w:val="Normal"/></w:pPr>
<w:r><w:t xml:space="preserve">crucial contentions in the disputes over the Alaska-Canadian</w:t></w:r>
</w:p>
<w:p>
<w:pPr><w:pStyle w:val="Normal"/></w:pPr>
<w:r><w:t xml:space="preserve">boundary.  At the head of Lynn Canal, the only place on the</w:t></w:r>
</w:p>
<w:p>
<w:pPr><w:pStyle w:val="Normal"/></w:pPr>
<w:r><w:t xml:space="preserve">whole extent of the south-eastern Alaskan coast where a clear-cut</w:t></w:r>
</w:p>
<w:p>
<w:pPr><w:pStyle w:val="Normal"/></w:pPr>
<w:r><w:t xml:space="preserve">waterparting is exhibited between the sea-board and interior</w:t></w:r>
</w:p>
<w:p>
<w:pPr><w:pStyle w:val="Normal"/></w:pPr>
<w:r><w:t xml:space="preserve">drainage, the summits of the highest peaks in the Coast Range</w:t></w:r>
</w:p>
<w:p>
<w:pPr><w:pStyle w:val="Normal"/></w:pPr>
<w:r><w:t xml:space="preserve">are 8000 to 9000 ft. above the sea.  White Pass (2888 ft.) and</w:t></w:r>
</w:p>
<w:p>
<w:pPr><w:pStyle w:val="Normal"/></w:pPr>
<w:r><w:t xml:space="preserve">Chilkoot Pass (3500 ft.), at the head of the Lynn Canal, are</w:t></w:r>
</w:p>
<w:p>
<w:pPr><w:pStyle w:val="Normal"/></w:pPr>
<w:r><w:t xml:space="preserve">the gateway to the mining country of the Klondike and Upper</w:t></w:r>
</w:p>
<w:p>
<w:pPr><w:pStyle w:val="Normal"/></w:pPr>
<w:r><w:t xml:space="preserve">Y(ukon.  They are the highest points that one meets in travelling</w:t></w:r>
</w:p>
<w:p>
<w:pPr><w:pStyle w:val="Normal"/></w:pPr>
<w:r><w:t xml:space="preserve">from Skagway along the course of the Yukon to`Bering Sea.</w:t></w:r>
</w:p>
<w:p>
<w:pPr><w:pStyle w:val="Normal"/></w:pPr>
<w:r><w:t xml:space="preserve">Prior to the opening (in August 1900) of the railway between</w:t></w:r>
</w:p>
<w:p>
<w:pPr><w:pStyle w:val="Normal"/></w:pPr>
<w:r><w:t xml:space="preserve">Skagway and White Horse, Canada (110 m.), by way of the White</w:t></w:r>
</w:p>
<w:p>
<w:pPr><w:pStyle w:val="Normal"/></w:pPr>
<w:r><w:t xml:space="preserve">Pass, all transportation to the interior was effected by men</w:t></w:r>
</w:p>
<w:p>
<w:pPr><w:pStyle w:val="Normal"/></w:pPr>
<w:r><w:t xml:space="preserve">and pack-animals (and for a time by a system of telpherage)</w:t></w:r>
</w:p>
<w:p>
<w:pPr><w:pStyle w:val="Normal"/></w:pPr>
<w:r><w:t xml:space="preserve">over these passe 1/3 and the Chilkat or Dalton trail; the</w:t></w:r>
</w:p>
<w:p>
<w:pPr><w:pStyle w:val="Normal"/></w:pPr>
<w:r><w:t xml:space="preserve">building of the railway reduced carriage rates to less than</w:t></w:r>
</w:p>
<w:p>
<w:pPr><w:pStyle w:val="Normal"/></w:pPr>
<w:r><w:t xml:space="preserve">a tenth of their former value, and the Chilkat and Chilkoot</w:t></w:r>
</w:p>
<w:p>
<w:pPr><w:pStyle w:val="Normal"/></w:pPr>
<w:r><w:t xml:space="preserve">Passes were no longer used.  The coast region above the</w:t></w:r>
</w:p>
<w:p>
<w:pPr><w:pStyle w:val="Normal"/></w:pPr>
<w:r><w:t xml:space="preserve">Panhandle shows on a smaller and diminishing scale the same</w:t></w:r>
</w:p>
<w:p>
<w:pPr><w:pStyle w:val="Normal"/></w:pPr>
<w:r><w:t xml:space="preserve">characteristic features, gradually running into those of the</w:t></w:r>
</w:p>
<w:p>
<w:pPr><w:pStyle w:val="Normal"/></w:pPr>
<w:r><w:t xml:space="preserve">Aleutians.  Out of the Alaska and Nutzotin mountains two great</w:t></w:r>
</w:p>
<w:p>
<w:pPr><w:pStyle w:val="Normal"/></w:pPr>
<w:r><w:t xml:space="preserve">rivers flow southward: the Copper, practically unnavigable</w:t></w:r>
</w:p>
<w:p>
<w:pPr><w:pStyle w:val="Normal"/></w:pPr>
<w:r><w:t xml:space="preserve">except for small boats, because of its turbulence and the</w:t></w:r>
</w:p>
<w:p>
<w:pPr><w:pStyle w:val="Normal"/></w:pPr>
<w:r><w:t xml:space="preserve">discharge of glaciers into its waters; and the Susitna, also</w:t></w:r>
</w:p>
<w:p>
<w:pPr><w:pStyle w:val="Normal"/></w:pPr>
<w:r><w:t xml:space="preserve">practically unnavigable.  Both of these rivers have their</w:t></w:r>
</w:p>
<w:p>
<w:pPr><w:pStyle w:val="Normal"/></w:pPr>
<w:r><w:t xml:space="preserve">sources in lofty mountain masses, and are swift and powerful</w:t></w:r>
</w:p>
<w:p>
<w:pPr><w:pStyle w:val="Normal"/></w:pPr>
<w:r><w:t xml:space="preserve">streams carrying with them much silt; their passes over the</w:t></w:r>
</w:p>
<w:p>
<w:pPr><w:pStyle w:val="Normal"/></w:pPr>
<w:r><w:t xml:space="preserve">water-parting N. of the Kenai Peninsula are through gorges from</w:t></w:r>
</w:p>
<w:p>
<w:pPr><w:pStyle w:val="Normal"/></w:pPr>
<w:r><w:t xml:space="preserve">4000 to 10,000 ft. in depth.  The Copper, the Susitna and its</w:t></w:r>
</w:p>
<w:p>
<w:pPr><w:pStyle w:val="Normal"/></w:pPr>
<w:r><w:t xml:space="preserve">tributary, the Yentna, as well as the Skwentna, a tributary</w:t></w:r>
</w:p>
<w:p>
<w:pPr><w:pStyle w:val="Normal"/></w:pPr>
<w:r><w:t xml:space="preserve">of the Yentna from the west, all run through picturesque</w:t></w:r>
</w:p>
<w:p>
<w:pPr><w:pStyle w:val="Normal"/></w:pPr>
<w:r><w:t xml:space="preserve">canyons, and their upper courses are characterized by glacial</w:t></w:r>
</w:p>
<w:p>
<w:pPr><w:pStyle w:val="Normal"/></w:pPr>
<w:r><w:t xml:space="preserve">and torrential feeders.  Their valleys are well timbered.</w:t></w:r>
</w:p>
<w:p>
<w:pPr><w:pStyle w:val="Normal"/></w:pPr>
<w:r><w:t xml:space="preserve">The glaciers of the Panhandle and throughout the rest of</w:t></w:r>
</w:p>
<w:p>
<w:pPr><w:pStyle w:val="Normal"/></w:pPr>
<w:r><w:t xml:space="preserve">the Pacific region are most remarkable---extraordinary alike</w:t></w:r>
</w:p>
<w:p>
<w:pPr><w:pStyle w:val="Normal"/></w:pPr>
<w:r><w:t xml:space="preserve">for their number and their size.  They lie mainly between</w:t></w:r>
</w:p>
<w:p>
<w:pPr><w:pStyle w:val="Normal"/></w:pPr>
<w:r><w:t xml:space="preserve">56 deg.  and 61 deg.  N. lat., in a belt 1000 m. long, of which the</w:t></w:r>
</w:p>
<w:p>
<w:pPr><w:pStyle w:val="Normal"/></w:pPr>
<w:r><w:t xml:space="preserve">central part, some 350 or 500 m. long and 80 m. to 100 m.</w:t></w:r>
</w:p>
<w:p>
<w:pPr><w:pStyle w:val="Normal"/></w:pPr>
<w:r><w:t xml:space="preserve">wide, has been described as one great confluent neve</w:t></w:r>
</w:p>
<w:p>
<w:pPr><w:pStyle w:val="Normal"/></w:pPr>
<w:r><w:t xml:space="preserve">field.  Thousands of Alpine glaciers from one to fifteen miles</w:t></w:r>
</w:p>
<w:p>
<w:pPr><w:pStyle w:val="Normal"/></w:pPr>
<w:r><w:t xml:space="preserve">long fill the upper valleys and canyons of the mountains.</w:t></w:r>
</w:p>
<w:p>
<w:pPr><w:pStyle w:val="Normal"/></w:pPr>
<w:r><w:t xml:space="preserve">More than a hundred almost reach the sea, from which they are</w:t></w:r>
</w:p>
<w:p>
<w:pPr><w:pStyle w:val="Normal"/></w:pPr>
<w:r><w:t xml:space="preserve">separated by detrital lowland or terminal moraines.  Other</w:t></w:r>
</w:p>
<w:p>
<w:pPr><w:pStyle w:val="Normal"/></w:pPr>
<w:r><w:t xml:space="preserve">glaciers are of the Piedmont type.  Greatest of these and of</w:t></w:r>
</w:p>
<w:p>
<w:pPr><w:pStyle w:val="Normal"/></w:pPr>
<w:r><w:t xml:space="preserve">Alaskan glaciers is the Malaspina, a vast elevated plateau of</w:t></w:r>
</w:p>
<w:p>
<w:pPr><w:pStyle w:val="Normal"/></w:pPr>
<w:r><w:t xml:space="preserve">wasting ice, 1500 sq. m. in area (nearly a tenth the area of</w:t></w:r>
</w:p>
<w:p>
<w:pPr><w:pStyle w:val="Normal"/></w:pPr>
<w:r><w:t xml:space="preserve">all Switzerland), touching the sea at only one point, though</w:t></w:r>
</w:p>
<w:p>
<w:pPr><w:pStyle w:val="Normal"/></w:pPr>
<w:r><w:t xml:space="preserve">fronting it for 50 m. behind a fringing foreland of glacial</w:t></w:r>
</w:p>
<w:p>
<w:pPr><w:pStyle w:val="Normal"/></w:pPr>
<w:r><w:t xml:space="preserve">debris.  It is fed by Alpine glaciers, among them one of</w:t></w:r>
</w:p>
<w:p>
<w:pPr><w:pStyle w:val="Normal"/></w:pPr>
<w:r><w:t xml:space="preserve">the grandest in Alaska, the Seward, which descends from Mt.</w:t></w:r>
</w:p>
<w:p>
<w:pPr><w:pStyle w:val="Normal"/></w:pPr>
<w:r><w:t xml:space="preserve">Logan.  It is more than 50 m. long, and more than 3 m. broad at</w:t></w:r>
</w:p>
<w:p>
<w:pPr><w:pStyle w:val="Normal"/></w:pPr>
<w:r><w:t xml:space="preserve">its narrowest point, and several times in its course flows over</w:t></w:r>
</w:p>
<w:p>
<w:pPr><w:pStyle w:val="Normal"/></w:pPr>
<w:r><w:t xml:space="preserve">cascades, falling hundreds of feet.  Of tide-water glaciers</w:t></w:r>
</w:p>
<w:p>
<w:pPr><w:pStyle w:val="Normal"/></w:pPr>
<w:r><w:t xml:space="preserve">the most remarkable is probably the Muir.  It has an area</w:t></w:r>
</w:p>
<w:p>
<w:pPr><w:pStyle w:val="Normal"/></w:pPr>
<w:r><w:t xml:space="preserve">of 350 sq. m.; the main trunk, which is 30 to 40 m. broad,</w:t></w:r>
</w:p>
<w:p>
<w:pPr><w:pStyle w:val="Normal"/></w:pPr>
<w:r><w:t xml:space="preserve">is fed by 26 tributaries, 20 of which are each greater than</w:t></w:r>
</w:p>
<w:p>
<w:pPr><w:pStyle w:val="Normal"/></w:pPr>
<w:r><w:t xml:space="preserve">the Mer de Glace, and pushes its bergs into the sea from ice</w:t></w:r>
</w:p>
<w:p>
<w:pPr><w:pStyle w:val="Normal"/></w:pPr>
<w:r><w:t xml:space="preserve">cliffs almost 2 m. wide, standing IOO to 200 ft. above the</w:t></w:r>
</w:p>
<w:p>
<w:pPr><w:pStyle w:val="Normal"/></w:pPr>
<w:r><w:t xml:space="preserve">water, and extending probably 700 to 1000 ft. beneath its</w:t></w:r>
</w:p>
<w:p>
<w:pPr><w:pStyle w:val="Normal"/></w:pPr>
<w:r><w:t xml:space="preserve">surface.  It has been calculated that the average daily</w:t></w:r>
</w:p>
<w:p>
<w:pPr><w:pStyle w:val="Normal"/></w:pPr>
<w:r><w:t xml:space="preserve">discharge of the Muir in summer is 30,000,000 cubic ft.  Its</w:t></w:r>
</w:p>
<w:p>
<w:pPr><w:pStyle w:val="Normal"/></w:pPr>
<w:r><w:t xml:space="preserve">course, which is only about 13 m., has a slope of 100 ft. per</w:t></w:r>
</w:p>
<w:p>
<w:pPr><w:pStyle w:val="Normal"/></w:pPr>
<w:r><w:t xml:space="preserve">mile, and the main current moves 7 ft. daily.  The Character of</w:t></w:r>
</w:p>
<w:p>
<w:pPr><w:pStyle w:val="Normal"/></w:pPr>
<w:r><w:t xml:space="preserve">the Muir was greatly altered by an earthquake in 1899.  There</w:t></w:r>
</w:p>
<w:p>
<w:pPr><w:pStyle w:val="Normal"/></w:pPr>
<w:r><w:t xml:space="preserve">are some 30 tide-water glaciers---a considerable number of</w:t></w:r>
</w:p>
<w:p>
<w:pPr><w:pStyle w:val="Normal"/></w:pPr>
<w:r><w:t xml:space="preserve">them very noteworthy.  The Valdez is 30 m. long and 5000 ft. in</w:t></w:r>
</w:p>
<w:p>
<w:pPr><w:pStyle w:val="Normal"/></w:pPr>
<w:r><w:t xml:space="preserve">altitude.  Most of the Alaskan glaciers are receding, but</w:t></w:r>
</w:p>
<w:p>
<w:pPr><w:pStyle w:val="Normal"/></w:pPr>
<w:r><w:t xml:space="preserve">not all of them; and at times there is a general advance.</w:t></w:r>
</w:p>
<w:p>
<w:pPr><w:pStyle w:val="Normal"/></w:pPr>
<w:r><w:t xml:space="preserve">The Muir receded 1.6 m. from 1879--1890, the Childs about</w:t></w:r>
</w:p>
<w:p>
<w:pPr><w:pStyle w:val="Normal"/></w:pPr>
<w:r><w:t xml:space="preserve">600 yards in 17 years; others over 4, 7 or 10 m. in 20 years.</w:t></w:r>
</w:p>
<w:p>
<w:pPr><w:pStyle w:val="Normal"/></w:pPr>
<w:r><w:t xml:space="preserve">The Aleutian Islands (q.v.), like the Alexander Archipelago, are</w:t></w:r>
</w:p>
<w:p>
<w:pPr><w:pStyle w:val="Normal"/></w:pPr>
<w:r><w:t xml:space="preserve">remnants of a submerged mountain system.  Their only remarkable</w:t></w:r>
</w:p>
<w:p>
<w:pPr><w:pStyle w:val="Normal"/></w:pPr>
<w:r><w:t xml:space="preserve">features are the volcanoes on the easterly islands, already mentioned.</w:t></w:r>
</w:p>
<w:p>
<w:pPr><w:pStyle w:val="Normal"/></w:pPr>
<w:r><w:t xml:space="preserve">Continental Alaska.---Continental Alaska in the interior</w:t></w:r>
</w:p>
<w:p>
<w:pPr><w:pStyle w:val="Normal"/></w:pPr>
<w:r><w:t xml:space="preserve">is essentially a vast plateau. ``The traveller between the</w:t></w:r>
</w:p>
<w:p>
<w:pPr><w:pStyle w:val="Normal"/></w:pPr>
<w:r><w:t xml:space="preserve">main drainage areas of the interior is struck by the uniform</w:t></w:r>
</w:p>
<w:p>
<w:pPr><w:pStyle w:val="Normal"/></w:pPr>
<w:r><w:t xml:space="preserve">elevation of the interfluminal areas.  Rounded hills, level</w:t></w:r>
</w:p>
<w:p>
<w:pPr><w:pStyle w:val="Normal"/></w:pPr>
<w:r><w:t xml:space="preserve">meads and persistent flat-topped ridges, composed of rocks of</w:t></w:r>
</w:p>
<w:p>
<w:pPr><w:pStyle w:val="Normal"/></w:pPr>
<w:r><w:t xml:space="preserve">varying structure, rise to about the same level and give the</w:t></w:r>
</w:p>
<w:p>
<w:pPr><w:pStyle w:val="Normal"/></w:pPr>
<w:r><w:t xml:space="preserve">impression that they are the remnants of a former continuous</w:t></w:r>
</w:p>
<w:p>
<w:pPr><w:pStyle w:val="Normal"/></w:pPr>
<w:r><w:t xml:space="preserve">surface.  Occasional limited areas of rugged mountains rise</w:t></w:r>
</w:p>
<w:p>
<w:pPr><w:pStyle w:val="Normal"/></w:pPr>
<w:r><w:t xml:space="preserve">above this level, and innumerable stream valleys have been</w:t></w:r>
</w:p>
<w:p>
<w:pPr><w:pStyle w:val="Normal"/></w:pPr>
<w:r><w:t xml:space="preserve">incised below it; but from the northern base of the St Elias</w:t></w:r>
</w:p>
<w:p>
<w:pPr><w:pStyle w:val="Normal"/></w:pPr>
<w:r><w:t xml:space="preserve">and Alaskan ranges to the southern foothills of the Rocky</w:t></w:r>
</w:p>
<w:p>
<w:pPr><w:pStyle w:val="Normal"/></w:pPr>
<w:r><w:t xml:space="preserve">Mountain system, and throughout their length, the remnants of</w:t></w:r>
</w:p>
<w:p>
<w:pPr><w:pStyle w:val="Normal"/></w:pPr>
<w:r><w:t xml:space="preserve">this ancient level are to be seen.  In height it varies from</w:t></w:r>
</w:p>
<w:p>
<w:pPr><w:pStyle w:val="Normal"/></w:pPr>
<w:r><w:t xml:space="preserve">about 5000 ft. close to the bases of the mountain systems</w:t></w:r>
</w:p>
<w:p>
<w:pPr><w:pStyle w:val="Normal"/></w:pPr>
<w:r><w:t xml:space="preserve">to less than 3000 ft. in the vicinity of the main lines of</w:t></w:r>
</w:p>
<w:p>
<w:pPr><w:pStyle w:val="Normal"/></w:pPr>
<w:r><w:t xml:space="preserve">drainage, and slopes gradually towards the north.&apos;&apos; The Seward</w:t></w:r>
</w:p>
<w:p>
<w:pPr><w:pStyle w:val="Normal"/></w:pPr>
<w:r><w:t xml:space="preserve">Peninsula is particularly rugged.  This great plateau drains</w:t></w:r>
</w:p>
<w:p>
<w:pPr><w:pStyle w:val="Normal"/></w:pPr>
<w:r><w:t xml:space="preserve">westward through broad, gently flowing streams, the network</w:t></w:r>
</w:p>
<w:p>
<w:pPr><w:pStyle w:val="Normal"/></w:pPr>
<w:r><w:t xml:space="preserve">of whose tributary waters penetrates every corner of the</w:t></w:r>
</w:p>
<w:p>
<w:pPr><w:pStyle w:val="Normal"/></w:pPr>
<w:r><w:t xml:space="preserve">interior and offers easy means of communication.  Both the main</w:t></w:r>
</w:p>
<w:p>
<w:pPr><w:pStyle w:val="Normal"/></w:pPr>
<w:r><w:t xml:space="preserve">streams and the smaller tributaries often flow through deep</w:t></w:r>
</w:p>
<w:p>
<w:pPr><w:pStyle w:val="Normal"/></w:pPr>
<w:r><w:t xml:space="preserve">canyons.  The Yukon is one of the great drainage systems of the</w:t></w:r>
</w:p>
<w:p>
<w:pPr><w:pStyle w:val="Normal"/></w:pPr>
<w:r><w:t xml:space="preserve">world.  The Yukon itself has a length of more than 2000 m.</w:t></w:r>
</w:p>
<w:p>
<w:pPr><w:pStyle w:val="Normal"/></w:pPr>
<w:r><w:t xml:space="preserve">and bisects the country from E. to W. Behind the bluffs that</w:t></w:r>
</w:p>
<w:p>
<w:pPr><w:pStyle w:val="Normal"/></w:pPr>
<w:r><w:t xml:space="preserve">form in large part its immediate border its basin is a rolling</w:t></w:r>
</w:p>
<w:p>
<w:pPr><w:pStyle w:val="Normal"/></w:pPr>
<w:r><w:t xml:space="preserve">country, at times sinking into great dead levels like the</w:t></w:r>
</w:p>
<w:p>
<w:pPr><w:pStyle w:val="Normal"/></w:pPr>
<w:r><w:t xml:space="preserve">Yukon flats between Circle City and the Lower Ramparts, some</w:t></w:r>
</w:p>
<w:p>
<w:pPr><w:pStyle w:val="Normal"/></w:pPr>
<w:r><w:t xml:space="preserve">30,000 sq. m. in area.  Of the two great affluents of the</w:t></w:r>
</w:p>
<w:p>
<w:pPr><w:pStyle w:val="Normal"/></w:pPr>
<w:r><w:t xml:space="preserve">Yukon, the Tanana is for the most part unnavigable, while the</w:t></w:r>
</w:p>
<w:p>
<w:pPr><w:pStyle w:val="Normal"/></w:pPr>
<w:r><w:t xml:space="preserve">Koyukuk is navigable for more than 450 m. by river steamers,</w:t></w:r>
</w:p>
<w:p>
<w:pPr><w:pStyle w:val="Normal"/></w:pPr>
<w:r><w:t xml:space="preserve">and for more than 500 m. above its mouth shows no appreciable</w:t></w:r>
</w:p>
<w:p>
<w:pPr><w:pStyle w:val="Normal"/></w:pPr>
<w:r><w:t xml:space="preserve">diminution in volume.  A low water-parting divides the Yukon</w:t></w:r>
</w:p>
<w:p>
<w:pPr><w:pStyle w:val="Normal"/></w:pPr>
<w:r><w:t xml:space="preserve">valley from the Kuskokwim, the second river of Alaska in</w:t></w:r>
</w:p>
<w:p>
<w:pPr><w:pStyle w:val="Normal"/></w:pPr>
<w:r><w:t xml:space="preserve">size, navigable by steamers for 600 m.  Torrential near</w:t></w:r>
</w:p>
<w:p>
<w:pPr><w:pStyle w:val="Normal"/></w:pPr>
<w:r><w:t xml:space="preserve">its source, it is already a broad, sluggish stream at its</w:t></w:r>
</w:p>
<w:p>
<w:pPr><w:pStyle w:val="Normal"/></w:pPr>
<w:r><w:t xml:space="preserve">confluence with the East Kuskokwim.  The tides rise 50 ft.</w:t></w:r>
</w:p>
<w:p>
<w:pPr><w:pStyle w:val="Normal"/></w:pPr>
<w:r><w:t xml:space="preserve">near its mouth and the tide-head is 100 m. above the mouth.</w:t></w:r>
</w:p>
<w:p>
<w:pPr><w:pStyle w:val="Normal"/></w:pPr>
<w:r><w:t xml:space="preserve">Rocky Mountains. --The Rocky Mountain system in Alaska</w:t></w:r>
</w:p>
<w:p>
<w:pPr><w:pStyle w:val="Normal"/></w:pPr>
<w:r><w:t xml:space="preserve">is higher and more complex than in Canada.  About 100 m.</w:t></w:r>
</w:p>
<w:p>
<w:pPr><w:pStyle w:val="Normal"/></w:pPr>
<w:r><w:t xml:space="preserve">wide at the international boundary, where the peaks of the</w:t></w:r>
</w:p>
<w:p>
<w:pPr><w:pStyle w:val="Normal"/></w:pPr>
<w:r><w:t xml:space="preserve">British Mountains on the N. and of the Davidson Mountains</w:t></w:r>
</w:p>
<w:p>
<w:pPr><w:pStyle w:val="Normal"/></w:pPr>
<w:r><w:t xml:space="preserve">On the S. are 7000 to 8000 ft. high, the system runs W.S.W.</w:t></w:r>
</w:p>
<w:p>
<w:pPr><w:pStyle w:val="Normal"/></w:pPr>
<w:r><w:t xml:space="preserve">as the Endicott Mountains, two contiguous ranges of about</w:t></w:r>
</w:p>
<w:p>
<w:pPr><w:pStyle w:val="Normal"/></w:pPr>
<w:r><w:t xml:space="preserve">5000 to 6000 ft., and as these ranges separate, the northern</w:t></w:r>
</w:p>
<w:p>
<w:pPr><w:pStyle w:val="Normal"/></w:pPr>
<w:r><w:t xml:space="preserve">becomes the De Long, the southern the Baird Mountains, whose</w:t></w:r>
</w:p>
<w:p>
<w:pPr><w:pStyle w:val="Normal"/></w:pPr>
<w:r><w:t xml:space="preserve">elevation rapidly decreases toward the coast-line.  The system</w:t></w:r>
</w:p>
<w:p>
<w:pPr><w:pStyle w:val="Normal"/></w:pPr>
<w:r><w:t xml:space="preserve">is sharply defined on the north and less so on the south.</w:t></w:r>
</w:p>
<w:p>
<w:pPr><w:pStyle w:val="Normal"/></w:pPr>
<w:r><w:t xml:space="preserve">Arctic Slope Region.---The Arctic Slope region is</w:t></w:r>
</w:p>
<w:p>
<w:pPr><w:pStyle w:val="Normal"/></w:pPr>
<w:r><w:t xml:space="preserve">divided into the Anuktuvuk Plateau about 80 m. wide,</w:t></w:r>
</w:p>
<w:p>
<w:pPr><w:pStyle w:val="Normal"/></w:pPr>
<w:r><w:t xml:space="preserve">with a maximum altitude to the S. of 2500 ft., and</w:t></w:r>
</w:p>
<w:p>
<w:pPr><w:pStyle w:val="Normal"/></w:pPr>
<w:r><w:t xml:space="preserve">between the plateau and the Arctic Ocean the Coastal</w:t></w:r>
</w:p>
<w:p>
<w:pPr><w:pStyle w:val="Normal"/></w:pPr>
<w:r><w:t xml:space="preserve">Plain.  Very little is known of either part of the region.</w:t></w:r>
</w:p>
<w:p>
<w:pPr><w:pStyle w:val="Normal"/></w:pPr>
<w:r><w:t xml:space="preserve">Climate.--From the foregoing description of the country it</w:t></w:r>
</w:p>
<w:p>
<w:pPr><w:pStyle w:val="Normal"/></w:pPr>
<w:r><w:t xml:space="preserve">is evident that the range of climate must be considerable.</w:t></w:r>
</w:p>
<w:p>
<w:pPr><w:pStyle w:val="Normal"/></w:pPr>
<w:r><w:t xml:space="preserve">That of the coast and that of the Yukon plateau are quite</w:t></w:r>
</w:p>
<w:p>
<w:pPr><w:pStyle w:val="Normal"/></w:pPr>
<w:r><w:t xml:space="preserve">distinct.  The Panhandle, along with the lisiere (foreland),</w:t></w:r>
</w:p>
<w:p>
<w:pPr><w:pStyle w:val="Normal"/></w:pPr>
<w:r><w:t xml:space="preserve">westward to Cook Inlet might be called temperate Alaska, its</w:t></w:r>
</w:p>
<w:p>
<w:pPr><w:pStyle w:val="Normal"/></w:pPr>
<w:r><w:t xml:space="preserve">climate being similar to that of the N.W. coast of the United</w:t></w:r>
</w:p>
<w:p>
<w:pPr><w:pStyle w:val="Normal"/></w:pPr>
<w:r><w:t xml:space="preserve">States; while to the westward and northward the winters become</w:t></w:r>
</w:p>
<w:p>
<w:pPr><w:pStyle w:val="Normal"/></w:pPr>
<w:r><w:t xml:space="preserve">longer and more severe. d/he cause of the mild climate of the</w:t></w:r>
</w:p>
<w:p>
<w:pPr><w:pStyle w:val="Normal"/></w:pPr>
<w:r><w:t xml:space="preserve">Panhandle, formerly supposed to be the Japanese current, or</w:t></w:r>
</w:p>
<w:p>
<w:pPr><w:pStyle w:val="Normal"/></w:pPr>
<w:r><w:t xml:space="preserve">Kuro Shiwo, is now held to be the general eastward drift of the</w:t></w:r>
</w:p>
<w:p>
<w:pPr><w:pStyle w:val="Normal"/></w:pPr>
<w:r><w:t xml:space="preserve">waters of the North Pacific in the direction of the prevalent</w:t></w:r>
</w:p>
<w:p>
<w:pPr><w:pStyle w:val="Normal"/></w:pPr>
<w:r><w:t xml:space="preserve">winds.  To the warmth and moisture brought by this means the</w:t></w:r>
</w:p>
<w:p>
<w:pPr><w:pStyle w:val="Normal"/></w:pPr>
<w:r><w:t xml:space="preserve">coastal region owes its high equable temperature, its heavy</w:t></w:r>
</w:p>
<w:p>
<w:pPr><w:pStyle w:val="Normal"/></w:pPr>
<w:r><w:t xml:space="preserve">rainfall (80-110 in.) and its superb vegetation.  The mean</w:t></w:r>
</w:p>
<w:p>
<w:pPr><w:pStyle w:val="Normal"/></w:pPr>
<w:r><w:t xml:space="preserve">annual temperature is from 54 deg.  to 60 deg.  F. Winter sets in</w:t></w:r>
</w:p>
<w:p>
<w:pPr><w:pStyle w:val="Normal"/></w:pPr>
<w:r><w:t xml:space="preserve">about the 1st of December and the snow is gone save in the</w:t></w:r>
</w:p>
<w:p>
<w:pPr><w:pStyle w:val="Normal"/></w:pPr>
<w:r><w:t xml:space="preserve">mountains by the 1st of May. The thermometer rarely registers</w:t></w:r>
</w:p>
<w:p>
<w:pPr><w:pStyle w:val="Normal"/></w:pPr>
<w:r><w:t xml:space="preserve">below zero F. or above 75 deg.  F.; the difference between</w:t></w:r>
</w:p>
<w:p>
<w:pPr><w:pStyle w:val="Normal"/></w:pPr>
<w:r><w:t xml:space="preserve">the midwinter and midsummer averages is seldom more than</w:t></w:r>
</w:p>
<w:p>
<w:pPr><w:pStyle w:val="Normal"/></w:pPr>
<w:r><w:t xml:space="preserve">25 deg. .  The summer is relatively dry, the autumn and winter</w:t></w:r>
</w:p>
<w:p>
<w:pPr><w:pStyle w:val="Normal"/></w:pPr>
<w:r><w:t xml:space="preserve">wet.  The vapour-laden sea air blowing landward against the</w:t></w:r>
</w:p>
<w:p>
<w:pPr><w:pStyle w:val="Normal"/></w:pPr>
<w:r><w:t xml:space="preserve">girdle of snow and glaciers on the mountain barriers a few</w:t></w:r>
</w:p>
<w:p>
<w:pPr><w:pStyle w:val="Normal"/></w:pPr>
<w:r><w:t xml:space="preserve">miles inland drains its moisture in excessive rain and snow</w:t></w:r>
</w:p>
<w:p>
<w:pPr><w:pStyle w:val="Normal"/></w:pPr>
<w:r><w:t xml:space="preserve">upon the lisiere, shrouding it in well-nigh unbroken fog</w:t></w:r>
</w:p>
<w:p>
<w:pPr><w:pStyle w:val="Normal"/></w:pPr>
<w:r><w:t xml:space="preserve">and cloud-bank.  Only some 60 to 100 days in the year are</w:t></w:r>
</w:p>
<w:p>
<w:pPr><w:pStyle w:val="Normal"/></w:pPr>
<w:r><w:t xml:space="preserve">clear.  In passing from the Sitkan district westward toward</w:t></w:r>
</w:p>
<w:p>
<w:pPr><w:pStyle w:val="Normal"/></w:pPr>
<w:r><w:t xml:space="preserve">Kodiak and the Aleutians (q.v.) the climate becomes even</w:t></w:r>
</w:p>
<w:p>
<w:pPr><w:pStyle w:val="Normal"/></w:pPr>
<w:r><w:t xml:space="preserve">more equable, the temperature a little lower and the rainfall</w:t></w:r>
</w:p>
<w:p>
<w:pPr><w:pStyle w:val="Normal"/></w:pPr>
<w:r><w:t xml:space="preserve">somewhat less; i the fogs at first less dense, especially</w:t></w:r>
</w:p>
<w:p>
<w:pPr><w:pStyle w:val="Normal"/></w:pPr>
<w:r><w:t xml:space="preserve">near Cook Inlet, where the climate is extremely local, but</w:t></w:r>
</w:p>
<w:p>
<w:pPr><w:pStyle w:val="Normal"/></w:pPr>
<w:r><w:t xml:space="preserve">more and more persistent along the Aleutians.  The clear</w:t></w:r>
</w:p>
<w:p>
<w:pPr><w:pStyle w:val="Normal"/></w:pPr>
<w:r><w:t xml:space="preserve">days of a year at Unalaska can be counted on the fingers;</w:t></w:r>
</w:p>
<w:p>
<w:pPr><w:pStyle w:val="Normal"/></w:pPr>
<w:r><w:t xml:space="preserve">five days in seven it actually rains or snows.  Bering Sea</w:t></w:r>
</w:p>
<w:p>
<w:pPr><w:pStyle w:val="Normal"/></w:pPr>
<w:r><w:t xml:space="preserve">is covered with almost eternal fog.  Along the coast N. of</w:t></w:r>
</w:p>
<w:p>
<w:pPr><w:pStyle w:val="Normal"/></w:pPr>
<w:r><w:t xml:space="preserve">Alaska Peninsula the rainfall diminishes to 10 in. or less</w:t></w:r>
</w:p>
<w:p>
<w:pPr><w:pStyle w:val="Normal"/></w:pPr>
<w:r><w:t xml:space="preserve">within the Arctic circle; the summer temperature is quite</w:t></w:r>
</w:p>
<w:p>
<w:pPr><w:pStyle w:val="Normal"/></w:pPr>
<w:r><w:t xml:space="preserve">endurable but the winters are exceedingly rigorous.2 East</w:t></w:r>
</w:p>
<w:p>
<w:pPr><w:pStyle w:val="Normal"/></w:pPr>
<w:r><w:t xml:space="preserve">of the mountains in south-eastern Alaska the atmosphere is</w:t></w:r>
</w:p>
<w:p>
<w:pPr><w:pStyle w:val="Normal"/></w:pPr>
<w:r><w:t xml:space="preserve">dry and bracing, the temperature ranging from -14 deg.  to 92 deg.</w:t></w:r>
</w:p>
<w:p>
<w:pPr><w:pStyle w:val="Normal"/></w:pPr>
<w:r><w:t xml:space="preserve">F. In the farther interior, in the valleys of the Yukon, the</w:t></w:r>
</w:p>
<w:p>
<w:pPr><w:pStyle w:val="Normal"/></w:pPr>
<w:r><w:t xml:space="preserve">Tanana, the Copper and the Sushitna the summers are much the</w:t></w:r>
</w:p>
<w:p>
<w:pPr><w:pStyle w:val="Normal"/></w:pPr>
<w:r><w:t xml:space="preserve">same in character, the winters much more severe.  On the Yukon</w:t></w:r>
</w:p>
<w:p>
<w:pPr><w:pStyle w:val="Normal"/></w:pPr>
<w:r><w:t xml:space="preserve">at the international boundary the mean of the warmest month</w:t></w:r>
</w:p>
<w:p>
<w:pPr><w:pStyle w:val="Normal"/></w:pPr>
<w:r><w:t xml:space="preserve">is higher than that of the warmest month at Sitka, 500 m.</w:t></w:r>
</w:p>
<w:p>
<w:pPr><w:pStyle w:val="Normal"/></w:pPr>
<w:r><w:t xml:space="preserve">southward.  At some points in the Upper Yukon valley the range</w:t></w:r>
</w:p>
<w:p>
<w:pPr><w:pStyle w:val="Normal"/></w:pPr>
<w:r><w:t xml:space="preserve">of extreme temperatures is as great as from --75 deg.  to 90 deg.</w:t></w:r>
</w:p>
<w:p>
<w:pPr><w:pStyle w:val="Normal"/></w:pPr>
<w:r><w:t xml:space="preserve">F.3 The mean heat of summer in the upper valley is about</w:t></w:r>
</w:p>
<w:p>
<w:pPr><w:pStyle w:val="Normal"/></w:pPr>
<w:r><w:t xml:space="preserve">60 deg.  to 70 deg.  F., and at some points in the middle and lower</w:t></w:r>
</w:p>
<w:p>
<w:pPr><w:pStyle w:val="Normal"/></w:pPr>
<w:r><w:t xml:space="preserve">valley even higher.4 By the middle of September snow flurries</w:t></w:r>
</w:p>
<w:p>
<w:pPr><w:pStyle w:val="Normal"/></w:pPr>
<w:r><w:t xml:space="preserve">have announced the imminence of winter, the sipaller streams</w:t></w:r>
</w:p>
<w:p>
<w:pPr><w:pStyle w:val="Normal"/></w:pPr>
<w:r><w:t xml:space="preserve">congeal, the earth freezes, the miner perforce abandons</w:t></w:r>
</w:p>
<w:p>
<w:pPr><w:pStyle w:val="Normal"/></w:pPr>
<w:r><w:t xml:space="preserve">his diggings, and navigation ceases even on the Yukon in</w:t></w:r>
</w:p>
<w:p>
<w:pPr><w:pStyle w:val="Normal"/></w:pPr>
<w:r><w:t xml:space="preserve">October.  All winter snows fall heavily.  The air is dry and</w:t></w:r>
</w:p>
<w:p>
<w:pPr><w:pStyle w:val="Normal"/></w:pPr>
<w:r><w:t xml:space="preserve">quiet, and the cold relatively uniform.  In midwinter in the</w:t></w:r>
</w:p>
<w:p>
<w:pPr><w:pStyle w:val="Normal"/></w:pPr>
<w:r><w:t xml:space="preserve">upper valley the sun rises only a few degrees above the horizon</w:t></w:r>
</w:p>
<w:p>
<w:pPr><w:pStyle w:val="Normal"/></w:pPr>
<w:r><w:t xml:space="preserve">for from four to six hours a day, though very often quite</w:t></w:r>
</w:p>
<w:p>
<w:pPr><w:pStyle w:val="Normal"/></w:pPr>
<w:r><w:t xml:space="preserve">obscured.  In December, January, February and March the</w:t></w:r>
</w:p>
<w:p>
<w:pPr><w:pStyle w:val="Normal"/></w:pPr>
<w:r><w:t xml:space="preserve">thermometer often registers lower than -50 deg.  F., and the mean</w:t></w:r>
</w:p>
<w:p>
<w:pPr><w:pStyle w:val="Normal"/></w:pPr>
<w:r><w:t xml:space="preserve">temperature is -20 deg. .  In May the rivers open, the cleared land</w:t></w:r>
</w:p>
<w:p>
<w:pPr><w:pStyle w:val="Normal"/></w:pPr>
<w:r><w:t xml:space="preserve">thaws out, and by June the miner is again at work.  Summer is</w:t></w:r>
</w:p>
<w:p>
<w:pPr><w:pStyle w:val="Normal"/></w:pPr>
<w:r><w:t xml:space="preserve">quickly in full ascendancy.  In May and June the sun shines</w:t></w:r>
</w:p>
<w:p>
<w:pPr><w:pStyle w:val="Normal"/></w:pPr>
<w:r><w:t xml:space="preserve">from eighteen to twenty hours and diffused twilight fills</w:t></w:r>
</w:p>
<w:p>
<w:pPr><w:pStyle w:val="Normal"/></w:pPr>
<w:r><w:t xml:space="preserve">the rest of the day.  The rainfall is light, from 10 to 25</w:t></w:r>
</w:p>
<w:p>
<w:pPr><w:pStyle w:val="Normal"/></w:pPr>
<w:r><w:t xml:space="preserve">in. according to the year or the locality.  Dull weather is</w:t></w:r>
</w:p>
<w:p>
<w:pPr><w:pStyle w:val="Normal"/></w:pPr>
<w:r><w:t xml:space="preserve">unknown.  All nature responds in rich and rapid growth to</w:t></w:r>
</w:p>
<w:p>
<w:pPr><w:pStyle w:val="Normal"/></w:pPr>
<w:r><w:t xml:space="preserve">the garish light and intense heat of the long, splendid</w:t></w:r>
</w:p>
<w:p>
<w:pPr><w:pStyle w:val="Normal"/></w:pPr>
<w:r><w:t xml:space="preserve">days.  But the Alaska summer is the uncertain season at times</w:t></w:r>
</w:p>
<w:p>
<w:pPr><w:pStyle w:val="Normal"/></w:pPr>
<w:r><w:t xml:space="preserve">the nights are cold into July, at times snow falls and there</w:t></w:r>
</w:p>
<w:p>
<w:pPr><w:pStyle w:val="Normal"/></w:pPr>
<w:r><w:t xml:space="preserve">are frosts in mid-August; sometimes rain is heavy, or again</w:t></w:r>
</w:p>
<w:p>
<w:pPr><w:pStyle w:val="Normal"/></w:pPr>
<w:r><w:t xml:space="preserve">there is a veritable drought.  In the great river valleyss.</w:t></w:r>
</w:p>
<w:p>
<w:pPr><w:pStyle w:val="Normal"/></w:pPr>
<w:r><w:t xml:space="preserve">of the Yukon basin climatic conditions are much less uniform.</w:t></w:r>
</w:p>
<w:p>
<w:pPr><w:pStyle w:val="Normal"/></w:pPr>
<w:r><w:t xml:space="preserve">Fauna anid Flora.---The fauna of Alaska is very rich and</w:t></w:r>
</w:p>
<w:p>
<w:pPr><w:pStyle w:val="Normal"/></w:pPr>
<w:r><w:t xml:space="preserve">surprisingly varied.  The lists of insects, birds and mammals</w:t></w:r>
</w:p>
<w:p>
<w:pPr><w:pStyle w:val="Normal"/></w:pPr>
<w:r><w:t xml:space="preserve">are especially noteworthy.5 Of these three classes, and of</w:t></w:r>
</w:p>
<w:p>
<w:pPr><w:pStyle w:val="Normal"/></w:pPr>
<w:r><w:t xml:space="preserve">other than purely zoological interest, are mosquitoes, which</w:t></w:r>
</w:p>
<w:p>
<w:pPr><w:pStyle w:val="Normal"/></w:pPr>
<w:r><w:t xml:space="preserve">swarm in summer in the interior in vast numbers; sea fowl,</w:t></w:r>
</w:p>
<w:p>
<w:pPr><w:pStyle w:val="Normal"/></w:pPr>
<w:r><w:t xml:space="preserve">which are remarkably abundant near the Aleutians; moose,</w:t></w:r>
</w:p>
<w:p>
<w:pPr><w:pStyle w:val="Normal"/></w:pPr>
<w:r><w:t xml:space="preserve">and especialiv caribou, which in the past were very numerous</w:t></w:r>
</w:p>
<w:p>
<w:pPr><w:pStyle w:val="Normal"/></w:pPr>
<w:r><w:t xml:space="preserve">in the interior and of extreme economic importance to the</w:t></w:r>
</w:p>
<w:p>
<w:pPr><w:pStyle w:val="Normal"/></w:pPr>
<w:r><w:t xml:space="preserve">natives.  The destruction of the wild caribou has threatened</w:t></w:r>
</w:p>
<w:p>
<w:pPr><w:pStyle w:val="Normal"/></w:pPr>
<w:r><w:t xml:space="preserve">to expose the Indians to wholesale starvation, hence the</w:t></w:r>
</w:p>
<w:p>
<w:pPr><w:pStyle w:val="Normal"/></w:pPr>
<w:r><w:t xml:space="preserve">effort which the United States government has made to stock</w:t></w:r>
</w:p>
<w:p>
<w:pPr><w:pStyle w:val="Normal"/></w:pPr>
<w:r><w:t xml:space="preserve">the country with domestic reindeer from Siberia.  This effort</w:t></w:r>
</w:p>
<w:p>
<w:pPr><w:pStyle w:val="Normal"/></w:pPr>
<w:r><w:t xml:space="preserve">made under the direction of the Bureau of Education has been</w:t></w:r>
</w:p>
<w:p>
<w:pPr><w:pStyle w:val="Normal"/></w:pPr>
<w:r><w:t xml:space="preserve">eminently successful, and in the future the reindeer seems</w:t></w:r>
</w:p>
<w:p>
<w:pPr><w:pStyle w:val="Normal"/></w:pPr>
<w:r><w:t xml:space="preserve">certain to contribute very greatly to the food, clothing,</w:t></w:r>
</w:p>
<w:p>
<w:pPr><w:pStyle w:val="Normal"/></w:pPr>
<w:r><w:t xml:space="preserve">means of shelter and miscellaneous industries of the natives;</w:t></w:r>
</w:p>
<w:p>
<w:pPr><w:pStyle w:val="Normal"/></w:pPr>
<w:r><w:t xml:space="preserve">and not less to the solution of the problems of communication</w:t></w:r>
</w:p>
<w:p>
<w:pPr><w:pStyle w:val="Normal"/></w:pPr>
<w:r><w:t xml:space="preserve">and transportation throughout the interior.  It is, however,</w:t></w:r>
</w:p>
<w:p>
<w:pPr><w:pStyle w:val="Normal"/></w:pPr>
<w:r><w:t xml:space="preserve">the fish and the fur-bearing animals of its rivers and</w:t></w:r>
</w:p>
<w:p>
<w:pPr><w:pStyle w:val="Normal"/></w:pPr>
<w:r><w:t xml:space="preserve">surrounding seas that are economically most distinctive of</w:t></w:r>
</w:p>
<w:p>
<w:pPr><w:pStyle w:val="Normal"/></w:pPr>
<w:r><w:t xml:space="preserve">and important to Alaska.  The fishing grounds extend along</w:t></w:r>
</w:p>
<w:p>
<w:pPr><w:pStyle w:val="Normal"/></w:pPr>
<w:r><w:t xml:space="preserve">the coast from the extreme south-east past the Aleutians</w:t></w:r>
</w:p>
<w:p>
<w:pPr><w:pStyle w:val="Normal"/></w:pPr>
<w:r><w:t xml:space="preserve">into Bristol Bay. Herring are abundant, and cod especially</w:t></w:r>
</w:p>
<w:p>
<w:pPr><w:pStyle w:val="Normal"/></w:pPr>
<w:r><w:t xml:space="preserve">so.  There are probably more than 100,000 sq. m. of cod-banks</w:t></w:r>
</w:p>
<w:p>
<w:pPr><w:pStyle w:val="Normal"/></w:pPr>
<w:r><w:t xml:space="preserve">from 22 to 00 fathoms deep in Bering oea and E. or the Alaska</w:t></w:r>
</w:p>
<w:p>
<w:pPr><w:pStyle w:val="Normal"/></w:pPr>
<w:r><w:t xml:space="preserve">Peninsula.  Salmon are to be found in almost incredible</w:t></w:r>
</w:p>
<w:p>
<w:pPr><w:pStyle w:val="Normal"/></w:pPr>
<w:r><w:t xml:space="preserve">numbers.  Of marine mammals, whales are hunted far to the N.</w:t></w:r>
</w:p>
<w:p>
<w:pPr><w:pStyle w:val="Normal"/></w:pPr>
<w:r><w:t xml:space="preserve">in Bering Sea and the Arctic Ocean, but are much less common</w:t></w:r>
</w:p>
<w:p>
<w:pPr><w:pStyle w:val="Normal"/></w:pPr>
<w:r><w:t xml:space="preserve">than formerly, as are also the walrus, the sea otter and</w:t></w:r>
</w:p>
<w:p>
<w:pPr><w:pStyle w:val="Normal"/></w:pPr>
<w:r><w:t xml:space="preserve">the fur seal.  All these are disappearing before commercial</w:t></w:r>
</w:p>
<w:p>
<w:pPr><w:pStyle w:val="Normal"/></w:pPr>
<w:r><w:t xml:space="preserve">greed.  The walrus is now found mainly far N.; the sea</w:t></w:r>
</w:p>
<w:p>
<w:pPr><w:pStyle w:val="Normal"/></w:pPr>
<w:r><w:t xml:space="preserve">otter, once fairly common throughout the Aleutian district,</w:t></w:r>
</w:p>
<w:p>
<w:pPr><w:pStyle w:val="Normal"/></w:pPr>
<w:r><w:t xml:space="preserve">is now rarely found even on the remoter islands; the fur</w:t></w:r>
</w:p>
<w:p>
<w:pPr><w:pStyle w:val="Normal"/></w:pPr>
<w:r><w:t xml:space="preserve">seal, whose habitat is the Pribilof Islands in Bering</w:t></w:r>
</w:p>
<w:p>
<w:pPr><w:pStyle w:val="Normal"/></w:pPr>
<w:r><w:t xml:space="preserve">Sea, has been considerably reduced in numbers by pelagic</w:t></w:r>
</w:p>
<w:p>
<w:pPr><w:pStyle w:val="Normal"/></w:pPr>
<w:r><w:t xml:space="preserve">hunting.  There are half-a-dozen species of hair seals and</w:t></w:r>
</w:p>
<w:p>
<w:pPr><w:pStyle w:val="Normal"/></w:pPr>
<w:r><w:t xml:space="preserve">sea-lions.  The number of fur-bearing land animals is equally</w:t></w:r>
</w:p>
<w:p>
<w:pPr><w:pStyle w:val="Normal"/></w:pPr>
<w:r><w:t xml:space="preserve">large.  Sables, ermine, wolverines, minks, land otters,</w:t></w:r>
</w:p>
<w:p>
<w:pPr><w:pStyle w:val="Normal"/></w:pPr>
<w:r><w:t xml:space="preserve">beavers and musk-rats have always been importantitemsin the fur</w:t></w:r>
</w:p>
<w:p>
<w:pPr><w:pStyle w:val="Normal"/></w:pPr>
<w:r><w:t xml:space="preserve">trade.  There are black, grizzly and polar bears, and also</w:t></w:r>
</w:p>
<w:p>
<w:pPr><w:pStyle w:val="Normal"/></w:pPr>
<w:r><w:t xml:space="preserve">two exclusively Alaskan species, the Kodiak and the glacier</w:t></w:r>
</w:p>
<w:p>
<w:pPr><w:pStyle w:val="Normal"/></w:pPr>
<w:r><w:t xml:space="preserve">bear.  The grey wolf is common; it is the basal stock of</w:t></w:r>
</w:p>
<w:p>
<w:pPr><w:pStyle w:val="Normal"/></w:pPr>
<w:r><w:t xml:space="preserve">the Alaskan sledge-dog.  The red fox is widely distributed,</w:t></w:r>
</w:p>
<w:p>
<w:pPr><w:pStyle w:val="Normal"/></w:pPr>
<w:r><w:t xml:space="preserve">and the white or Arctic fox is very common along the</w:t></w:r>
</w:p>
<w:p>
<w:pPr><w:pStyle w:val="Normal"/></w:pPr>
<w:r><w:t xml:space="preserve">eastern coast of Bering Sea; a blue fox, once wild, is</w:t></w:r>
</w:p>
<w:p>
<w:pPr><w:pStyle w:val="Normal"/></w:pPr>
<w:r><w:t xml:space="preserve">now domesticated on Kodiak and the Aleutians, and on the</w:t></w:r>
</w:p>
<w:p>
<w:pPr><w:pStyle w:val="Normal"/></w:pPr>
<w:r><w:t xml:space="preserve">southern continental coast, and a black fox, very rare,</w:t></w:r>
</w:p>
<w:p>
<w:pPr><w:pStyle w:val="Normal"/></w:pPr>
<w:r><w:t xml:space="preserve">occurs in south-eastern Alaska; the silver fox is very rare.</w:t></w:r>
</w:p>
<w:p>
<w:pPr><w:pStyle w:val="Normal"/></w:pPr>
<w:r><w:t xml:space="preserve">The Alaskan flora is less varied than the fauna.  The</w:t></w:r>
</w:p>
<w:p>
<w:pPr><w:pStyle w:val="Normal"/></w:pPr>
<w:r><w:t xml:space="preserve">forests of the coastal region eastward from Cook Inlet, and</w:t></w:r>
</w:p>
<w:p>
<w:pPr><w:pStyle w:val="Normal"/></w:pPr>
<w:r><w:t xml:space="preserve">particularly in south-eastern Alaska, are of fair variety,</w:t></w:r>
</w:p>
<w:p>
<w:pPr><w:pStyle w:val="Normal"/></w:pPr>
<w:r><w:t xml:space="preserve">and of great richness and value.  The balsam fir and in the</w:t></w:r>
</w:p>
<w:p>
<w:pPr><w:pStyle w:val="Normal"/></w:pPr>
<w:r><w:t xml:space="preserve">south the red cedar occur in scant quantities; more widely</w:t></w:r>
</w:p>
<w:p>
<w:pPr><w:pStyle w:val="Normal"/></w:pPr>
<w:r><w:t xml:space="preserve">distributed, but growing only under marked local conditions,</w:t></w:r>
</w:p>
<w:p>
<w:pPr><w:pStyle w:val="Normal"/></w:pPr>
<w:r><w:t xml:space="preserve">is the yellow or Alaska cedar, a very hard and durable wood</w:t></w:r>
</w:p>
<w:p>
<w:pPr><w:pStyle w:val="Normal"/></w:pPr>
<w:r><w:t xml:space="preserve">of fine grain and pleasant odour.  The Oregon alder is fairly</w:t></w:r>
</w:p>
<w:p>
<w:pPr><w:pStyle w:val="Normal"/></w:pPr>
<w:r><w:t xml:space="preserve">common.  Far the most abundant are coast and Alpine hemlocks</w:t></w:r>
</w:p>
<w:p>
<w:pPr><w:pStyle w:val="Normal"/></w:pPr>
<w:r><w:t xml:space="preserve">and the tide-land or Sitka spruce.  The last is not confined</w:t></w:r>
</w:p>
<w:p>
<w:pPr><w:pStyle w:val="Normal"/></w:pPr>
<w:r><w:t xml:space="preserve">to this part of Alaska, but is the characteristic and universal</w:t></w:r>
</w:p>
<w:p>
<w:pPr><w:pStyle w:val="Normal"/></w:pPr>
<w:r><w:t xml:space="preserve">tree.  It is of primary economic importance to thenatives,who</w:t></w:r>
</w:p>
<w:p>
<w:pPr><w:pStyle w:val="Normal"/></w:pPr>
<w:r><w:t xml:space="preserve">use it for the most variouspurposcs.  On the islands of the</w:t></w:r>
</w:p>
<w:p>
<w:pPr><w:pStyle w:val="Normal"/></w:pPr>
<w:r><w:t xml:space="preserve">Alexander Archipelago and on Prince William Sound it grows</w:t></w:r>
</w:p>
<w:p>
<w:pPr><w:pStyle w:val="Normal"/></w:pPr>
<w:r><w:t xml:space="preserve">to gigantic size; even on the Koyukuk and the middle Yukon</w:t></w:r>
</w:p>
<w:p>
<w:pPr><w:pStyle w:val="Normal"/></w:pPr>
<w:r><w:t xml:space="preserve">it attains in places a diameter of 2 ft.  In 1002 a forest</w:t></w:r>
</w:p>
<w:p>
<w:pPr><w:pStyle w:val="Normal"/></w:pPr>
<w:r><w:t xml:space="preserve">reservation comprising the largest part of the Alexander</w:t></w:r>
</w:p>
<w:p>
<w:pPr><w:pStyle w:val="Normal"/></w:pPr>
<w:r><w:t xml:space="preserve">Archipelago was created by the United States government.  The</w:t></w:r>
</w:p>
<w:p>
<w:pPr><w:pStyle w:val="Normal"/></w:pPr>
<w:r><w:t xml:space="preserve">separation of the coast and interior floras is almost complete;</w:t></w:r>
</w:p>
<w:p>
<w:pPr><w:pStyle w:val="Normal"/></w:pPr>
<w:r><w:t xml:space="preserve">only along the mountain passes and river valleys, and rarely</w:t></w:r>
</w:p>
<w:p>
<w:pPr><w:pStyle w:val="Normal"/></w:pPr>
<w:r><w:t xml:space="preserve">there, is there an exchange of species.  Timber, however, is</w:t></w:r>
</w:p>
<w:p>
<w:pPr><w:pStyle w:val="Normal"/></w:pPr>
<w:r><w:t xml:space="preserve">fairly abundant along the entire course of the Yukon above Anvik</w:t></w:r>
</w:p>
<w:p>
<w:pPr><w:pStyle w:val="Normal"/></w:pPr>
<w:r><w:t xml:space="preserve">(about 400 m. from the mouth), along the great tributaries of</w:t></w:r>
</w:p>
<w:p>
<w:pPr><w:pStyle w:val="Normal"/></w:pPr>
<w:r><w:t xml:space="preserve">the Yukon, and, so far as explorations have re vealed, along</w:t></w:r>
</w:p>
<w:p>
<w:pPr><w:pStyle w:val="Normal"/></w:pPr>
<w:r><w:t xml:space="preserve">every stream in central Alaska; and the woods of the interior</w:t></w:r>
</w:p>
<w:p>
<w:pPr><w:pStyle w:val="Normal"/></w:pPr>
<w:r><w:t xml:space="preserve">consist almost entirely of spruce.  On the Yukon flats it</w:t></w:r>
</w:p>
<w:p>
<w:pPr><w:pStyle w:val="Normal"/></w:pPr>
<w:r><w:t xml:space="preserve">grows in a vast forest impenetrably dense.6 The timber line,</w:t></w:r>
</w:p>
<w:p>
<w:pPr><w:pStyle w:val="Normal"/></w:pPr>
<w:r><w:t xml:space="preserve">which in the I,anhandle and along the southern coast of the</w:t></w:r>
</w:p>
<w:p>
<w:pPr><w:pStyle w:val="Normal"/></w:pPr>
<w:r><w:t xml:space="preserve">continental mass runs from 1800 to 2400 ft., frequently rises</w:t></w:r>
</w:p>
<w:p>
<w:pPr><w:pStyle w:val="Normal"/></w:pPr>
<w:r><w:t xml:space="preserve">in the interior plateau even to 4000 ft.  Next in importance</w:t></w:r>
</w:p>
<w:p>
<w:pPr><w:pStyle w:val="Normal"/></w:pPr>
<w:r><w:t xml:space="preserve">after spruce, in the interior, is birch, and then balsam</w:t></w:r>
</w:p>
<w:p>
<w:pPr><w:pStyle w:val="Normal"/></w:pPr>
<w:r><w:t xml:space="preserve">poplar.  Thickets of alders and willows in wet places and</w:t></w:r>
</w:p>
<w:p>
<w:pPr><w:pStyle w:val="Normal"/></w:pPr>
<w:r><w:t xml:space="preserve">new-made land, aspens and large cottonwoods west of the</w:t></w:r>
</w:p>
<w:p>
<w:pPr><w:pStyle w:val="Normal"/></w:pPr>
<w:r><w:t xml:space="preserve">characteristic spruce area (as on Seward Peninsula), are also</w:t></w:r>
</w:p>
<w:p>
<w:pPr><w:pStyle w:val="Normal"/></w:pPr>
<w:r><w:t xml:space="preserve">common.  Toward the Arctic circle, the timber becomes, of</w:t></w:r>
</w:p>
<w:p>
<w:pPr><w:pStyle w:val="Normal"/></w:pPr>
<w:r><w:t xml:space="preserve">course, sparse, low, gnarled and distorted.  The willows in</w:t></w:r>
</w:p>
<w:p>
<w:pPr><w:pStyle w:val="Normal"/></w:pPr>
<w:r><w:t xml:space="preserve">the Arctic drainage basin shrink to shrubs scarcely knee-high.</w:t></w:r>
</w:p>
<w:p>
<w:pPr><w:pStyle w:val="Normal"/></w:pPr>
<w:r><w:t xml:space="preserve">Bushes are common in western Alaska, but undergrowth is very</w:t></w:r>
</w:p>
<w:p>
<w:pPr><w:pStyle w:val="Normal"/></w:pPr>
<w:r><w:t xml:space="preserve">scanty in the forests.  Crasses grow luxuriantly in the river</w:t></w:r>
</w:p>
<w:p>
<w:pPr><w:pStyle w:val="Normal"/></w:pPr>
<w:r><w:t xml:space="preserve">bottoms and wherever the tundra moss is destroyed to give them</w:t></w:r>
</w:p>
<w:p>
<w:pPr><w:pStyle w:val="Normal"/></w:pPr>
<w:r><w:t xml:space="preserve">footing.  Most distinctive is the ubiquitous carpeting of</w:t></w:r>
</w:p>
<w:p>
<w:pPr><w:pStyle w:val="Normal"/></w:pPr>
<w:r><w:t xml:space="preserve">mosses, varying in colours from the pure white and cream of</w:t></w:r>
</w:p>
<w:p>
<w:pPr><w:pStyle w:val="Normal"/></w:pPr>
<w:r><w:t xml:space="preserve">the reindeer moss to the deep green and brown of the peat</w:t></w:r>
</w:p>
<w:p>
<w:pPr><w:pStyle w:val="Normal"/></w:pPr>
<w:r><w:t xml:space="preserve">moss, all conspicuously spangled in the briefsummer with</w:t></w:r>
</w:p>
<w:p>
<w:pPr><w:pStyle w:val="Normal"/></w:pPr>
<w:r><w:t xml:space="preserve">bright flowers of the higher orders, heavy blossoms on stunted</w:t></w:r>
</w:p>
<w:p>
<w:pPr><w:pStyle w:val="Normal"/></w:pPr>
<w:r><w:t xml:space="preserve">stalks.  The thick peat moss or tundra of the undrained lowlands</w:t></w:r>
</w:p>
<w:p>
<w:pPr><w:pStyle w:val="Normal"/></w:pPr>
<w:r><w:t xml:space="preserve">covers probably at least a quarter of Alaska; the reindeer moss</w:t></w:r>
</w:p>
<w:p>
<w:pPr><w:pStyle w:val="Normal"/></w:pPr>
<w:r><w:t xml:space="preserve">grows both on the lowlands and the hills.7 Sedges available</w:t></w:r>
</w:p>
<w:p>
<w:pPr><w:pStyle w:val="Normal"/></w:pPr>
<w:r><w:t xml:space="preserve">for forage grow in the tundra.  In August berries are fairly</w:t></w:r>
</w:p>
<w:p>
<w:pPr><w:pStyle w:val="Normal"/></w:pPr>
<w:r><w:t xml:space="preserve">abundant over the interior; one of them, the salmon or cloud</w:t></w:r>
</w:p>
<w:p>
<w:pPr><w:pStyle w:val="Normal"/></w:pPr>
<w:r><w:t xml:space="preserve">berry, preserved in seal oil for the winter, is an important</w:t></w:r>
</w:p>
<w:p>
<w:pPr><w:pStyle w:val="Normal"/></w:pPr>
<w:r><w:t xml:space="preserve">food of the natives.  The grasses are killed by the frosts in</w:t></w:r>
</w:p>
<w:p>
<w:pPr><w:pStyle w:val="Normal"/></w:pPr>
<w:r><w:t xml:space="preserve">September.  The western timber limit is on Kodiak Island.</w:t></w:r>
</w:p>
<w:p>
<w:pPr><w:pStyle w:val="Normal"/></w:pPr>
<w:r><w:t xml:space="preserve">The Aleutian Islands (q.v.) are almost destitute of trees,</w:t></w:r>
</w:p>
<w:p>
<w:pPr><w:pStyle w:val="Normal"/></w:pPr>
<w:r><w:t xml:space="preserve">but are covered with a luxuriant growth of herbage.  Climatic</w:t></w:r>
</w:p>
<w:p>
<w:pPr><w:pStyle w:val="Normal"/></w:pPr>
<w:r><w:t xml:space="preserve">differences cannot account for the treeless condition of</w:t></w:r>
</w:p>
<w:p>
<w:pPr><w:pStyle w:val="Normal"/></w:pPr>
<w:r><w:t xml:space="preserve">the country W. of this point, and the true explanation lies</w:t></w:r>
</w:p>
<w:p>
<w:pPr><w:pStyle w:val="Normal"/></w:pPr>
<w:r><w:t xml:space="preserve">probably in the fact that in winter, when the seeds of the</w:t></w:r>
</w:p>
<w:p>
<w:pPr><w:pStyle w:val="Normal"/></w:pPr>
<w:r><w:t xml:space="preserve">coastal forests ripen and are released, the prevalent winds</w:t></w:r>
</w:p>
<w:p>
<w:pPr><w:pStyle w:val="Normal"/></w:pPr>
<w:r><w:t xml:space="preserve">W. of Kodiak are damp and blow from the S. and S.W., while</w:t></w:r>
</w:p>
<w:p>
<w:pPr><w:pStyle w:val="Normal"/></w:pPr>
<w:r><w:t xml:space="preserve">the spread of the seeds requires dry winds blowing from the</w:t></w:r>
</w:p>
<w:p>
<w:pPr><w:pStyle w:val="Normal"/></w:pPr>
<w:r><w:t xml:space="preserve">N. and N.W. Such favourable conditions occur only rarely.</w:t></w:r>
</w:p>
<w:p>
<w:pPr><w:pStyle w:val="Normal"/></w:pPr>
<w:r><w:t xml:space="preserve">The Soil of Alaska seems to be in Jtself rich, and quite</w:t></w:r>
</w:p>
<w:p>
<w:pPr><w:pStyle w:val="Normal"/></w:pPr>
<w:r><w:t xml:space="preserve">capable of agricultural development; the great impediment</w:t></w:r>
</w:p>
<w:p>
<w:pPr><w:pStyle w:val="Normal"/></w:pPr>
<w:r><w:t xml:space="preserve">to this is in . the briefness of the summer.  Contrary,</w:t></w:r>
</w:p>
<w:p>
<w:pPr><w:pStyle w:val="Normal"/></w:pPr>
<w:r><w:t xml:space="preserve">however, to the once universal belief, the experiments of</w:t></w:r>
</w:p>
<w:p>
<w:pPr><w:pStyle w:val="Normal"/></w:pPr>
<w:r><w:t xml:space="preserve">the department of agriculture of the United States have</w:t></w:r>
</w:p>
<w:p>
<w:pPr><w:pStyle w:val="Normal"/></w:pPr>
<w:r><w:t xml:space="preserve">definitely proved that hardy vegetables in great variety</w:t></w:r>
</w:p>
<w:p>
<w:pPr><w:pStyle w:val="Normal"/></w:pPr>
<w:r><w:t xml:space="preserve">can readily be produced in the coastal region and at various</w:t></w:r>
</w:p>
<w:p>
<w:pPr><w:pStyle w:val="Normal"/></w:pPr>
<w:r><w:t xml:space="preserve">stations in the Yukon valley; and presumably, therefore, all</w:t></w:r>
</w:p>
<w:p>
<w:pPr><w:pStyle w:val="Normal"/></w:pPr>
<w:r><w:t xml:space="preserve">over the interior S. of the Arctic circle, save along Bering</w:t></w:r>
</w:p>
<w:p>
<w:pPr><w:pStyle w:val="Normal"/></w:pPr>
<w:r><w:t xml:space="preserve">Sea; also that there is little doubt of the practicability</w:t></w:r>
</w:p>
<w:p>
<w:pPr><w:pStyle w:val="Normal"/></w:pPr>
<w:r><w:t xml:space="preserve">of successfully cultivating buckwheat, barley and oats, and</w:t></w:r>
</w:p>
<w:p>
<w:pPr><w:pStyle w:val="Normal"/></w:pPr>
<w:r><w:t xml:space="preserve">possibly also rye and wheat; that grasses for grazing grow</w:t></w:r>
</w:p>
<w:p>
<w:pPr><w:pStyle w:val="Normal"/></w:pPr>
<w:r><w:t xml:space="preserve">generally and often in abundance; and in general that the</w:t></w:r>
</w:p>
<w:p>
<w:pPr><w:pStyle w:val="Normal"/></w:pPr>
<w:r><w:t xml:space="preserve">possibilities of interior Alaska as a live-stock country</w:t></w:r>
</w:p>
<w:p>
<w:pPr><w:pStyle w:val="Normal"/></w:pPr>
<w:r><w:t xml:space="preserve">are very cons18erable.  It is calculated that a twentieth of</w:t></w:r>
</w:p>
<w:p>
<w:pPr><w:pStyle w:val="Normal"/></w:pPr>
<w:r><w:t xml:space="preserve">south-eastern Alaska is available for agriculture, and that of</w:t></w:r>
</w:p>
<w:p>
<w:pPr><w:pStyle w:val="Normal"/></w:pPr>
<w:r><w:t xml:space="preserve">the entire country 100,000 sq. m. are pasturable or tillable.</w:t></w:r>
</w:p>
<w:p>
<w:pPr><w:pStyle w:val="Normal"/></w:pPr>
<w:r><w:t xml:space="preserve">Indiistrl&apos;.---The fur and fish resources of Alaska have until</w:t></w:r>
</w:p>
<w:p>
<w:pPr><w:pStyle w:val="Normal"/></w:pPr>
<w:r><w:t xml:space="preserve">recently held first place in her industries.  Herrings furnish</w:t></w:r>
</w:p>
<w:p>
<w:pPr><w:pStyle w:val="Normal"/></w:pPr>
<w:r><w:t xml:space="preserve">oil and guano, and the young fish are packed as ``sardines&apos;&apos; at</w:t></w:r>
</w:p>
<w:p>
<w:pPr><w:pStyle w:val="Normal"/></w:pPr>
<w:r><w:t xml:space="preserve">Juneau.  Cod can be taken with comparatively little danger or</w:t></w:r>
</w:p>
<w:p>
<w:pPr><w:pStyle w:val="Normal"/></w:pPr>
<w:r><w:t xml:space="preserve">hardship.  During the Russian occupation a small amount was</w:t></w:r>
</w:p>
<w:p>
<w:pPr><w:pStyle w:val="Normal"/></w:pPr>
<w:r><w:t xml:space="preserve">shipped to California and the Sandwich Islands.  The take</w:t></w:r>
</w:p>
<w:p>
<w:pPr><w:pStyle w:val="Normal"/></w:pPr>
<w:r><w:t xml:space="preserve">since 1879 has been practically constant.  The take of halibut</w:t></w:r>
</w:p>
<w:p>
<w:pPr><w:pStyle w:val="Normal"/></w:pPr>
<w:r><w:t xml:space="preserve">is increasing steadily.  The salmon industry dates from</w:t></w:r>
</w:p>
<w:p>
<w:pPr><w:pStyle w:val="Normal"/></w:pPr>
<w:r><w:t xml:space="preserve">1878.  The total output (in 1901, 100,000,000 lb.; in 1006,</w:t></w:r>
</w:p>
<w:p>
<w:pPr><w:pStyle w:val="Normal"/></w:pPr>
<w:r><w:t xml:space="preserve">about 72,000,000 lb.), which since 1900 has been more than</w:t></w:r>
</w:p>
<w:p>
<w:pPr><w:pStyle w:val="Normal"/></w:pPr>
<w:r><w:t xml:space="preserve">half the total salmon product of the United States, is more</w:t></w:r>
</w:p>
<w:p>
<w:pPr><w:pStyle w:val="Normal"/></w:pPr>
<w:r><w:t xml:space="preserve">than ten&apos; times the product of all other fish.8 On the Karluk</w:t></w:r>
</w:p>
<w:p>
<w:pPr><w:pStyle w:val="Normal"/></w:pPr>
<w:r><w:t xml:space="preserve">river, Kodiak Island, is the greatest salmon fishery in the</w:t></w:r>
</w:p>
<w:p>
<w:pPr><w:pStyle w:val="Normal"/></w:pPr>
<w:r><w:t xml:space="preserve">world.  More than 3,000,000 salmon have been canned here</w:t></w:r>
</w:p>
<w:p>
<w:pPr><w:pStyle w:val="Normal"/></w:pPr>
<w:r><w:t xml:space="preserve">in one season.  The second salmon stream is the Nushagak,</w:t></w:r>
</w:p>
<w:p>
<w:pPr><w:pStyle w:val="Normal"/></w:pPr>
<w:r><w:t xml:space="preserve">flowing into Bristol Bay; this bay is the richest fishing</w:t></w:r>
</w:p>
<w:p>
<w:pPr><w:pStyle w:val="Normal"/></w:pPr>
<w:r><w:t xml:space="preserve">field of Alaska, furnishing in 1901, 35% of the total</w:t></w:r>
</w:p>
<w:p>
<w:pPr><w:pStyle w:val="Normal"/></w:pPr>
<w:r><w:t xml:space="preserve">production.  The recklessly wasteful manner in which these</w:t></w:r>
</w:p>
<w:p>
<w:pPr><w:pStyle w:val="Normal"/></w:pPr>
<w:r><w:t xml:space="preserve">fisheries are conducted, and the inadequate measures taken by</w:t></w:r>
</w:p>
<w:p>
<w:pPr><w:pStyle w:val="Normal"/></w:pPr>
<w:r><w:t xml:space="preserve">the United States government for their protection, threaten</w:t></w:r>
</w:p>
<w:p>
<w:pPr><w:pStyle w:val="Normal"/></w:pPr>
<w:r><w:t xml:space="preserve">the entire industry with destruction.  From 1867 to 1902</w:t></w:r>
</w:p>
<w:p>
<w:pPr><w:pStyle w:val="Normal"/></w:pPr>
<w:r><w:t xml:space="preserve">the value of the total fishery product was estimated at</w:t></w:r>
</w:p>
<w:p>
<w:pPr><w:pStyle w:val="Normal"/></w:pPr>
<w:r><w:t xml:space="preserve">$60,000,000.  The fur-seal industry has been better protected</w:t></w:r>
</w:p>
<w:p>
<w:pPr><w:pStyle w:val="Normal"/></w:pPr>
<w:r><w:t xml:space="preserve">but still unavailingly. (See SEAL FIsheries and BERINO SEA</w:t></w:r>
</w:p>
<w:p>
<w:pPr><w:pStyle w:val="Normal"/></w:pPr>
<w:r><w:t xml:space="preserve">ARBITRATION.) The value of the fur seals taken from 1868 to</w:t></w:r>
</w:p>
<w:p>
<w:pPr><w:pStyle w:val="Normal"/></w:pPr>
<w:r><w:t xml:space="preserve">1902 was estimated at $35,000,000 and that of other furs at</w:t></w:r>
</w:p>
<w:p>
<w:pPr><w:pStyle w:val="Normal"/></w:pPr>
<w:r><w:t xml:space="preserve">$17,000,000.  The walrus, hunted for its ivory tusks, and</w:t></w:r>
</w:p>
<w:p>
<w:pPr><w:pStyle w:val="Normal"/></w:pPr>
<w:r><w:t xml:space="preserve">the sea otter, rarest and most valuable of Alaskan fur</w:t></w:r>
</w:p>
<w:p>
<w:pPr><w:pStyle w:val="Normal"/></w:pPr>
<w:r><w:t xml:space="preserve">animals, are near extermination; the blue fox is now bred</w:t></w:r>
</w:p>
<w:p>
<w:pPr><w:pStyle w:val="Normal"/></w:pPr>
<w:r><w:t xml:space="preserve">for its pelt on the Aleutians and the southern continental</w:t></w:r>
</w:p>
<w:p>
<w:pPr><w:pStyle w:val="Normal"/></w:pPr>
<w:r><w:t xml:space="preserve">coast; the skins of the black and silver fox are extremely</w:t></w:r>
</w:p>
<w:p>
<w:pPr><w:pStyle w:val="Normal"/></w:pPr>
<w:r><w:t xml:space="preserve">rare, and in general the whole fur industry is discouragingly</w:t></w:r>
</w:p>
<w:p>
<w:pPr><w:pStyle w:val="Normal"/></w:pPr>
<w:r><w:t xml:space="preserve">decadent.  The whale fishery also has greatly fallen off;</w:t></w:r>
</w:p>
<w:p>
<w:pPr><w:pStyle w:val="Normal"/></w:pPr>
<w:r><w:t xml:space="preserve">there is no profit on the oil and the whales are sought for</w:t></w:r>
</w:p>
<w:p>
<w:pPr><w:pStyle w:val="Normal"/></w:pPr>
<w:r><w:t xml:space="preserve">the baleen alone; they are much less numerous too than they</w:t></w:r>
</w:p>
<w:p>
<w:pPr><w:pStyle w:val="Normal"/></w:pPr>
<w:r><w:t xml:space="preserve">once were, and have to be sought farther and farther north.</w:t></w:r>
</w:p>
<w:p>
<w:pPr><w:pStyle w:val="Normal"/></w:pPr>
<w:r><w:t xml:space="preserve">Minerals.--The timber resources of Alaska are untouched</w:t></w:r>
</w:p>
<w:p>
<w:pPr><w:pStyle w:val="Normal"/></w:pPr>
<w:r><w:t xml:space="preserve">and the serious exploitation of her minerals is very recent.</w:t></w:r>
</w:p>
<w:p>
<w:pPr><w:pStyle w:val="Normal"/></w:pPr>
<w:r><w:t xml:space="preserve">As early as 1861 gold discoveries were made on the Stikine</w:t></w:r>
</w:p>
<w:p>
<w:pPr><w:pStyle w:val="Normal"/></w:pPr>
<w:r><w:t xml:space="preserve">river; repeated discoveries, culminating in the Cassiar</w:t></w:r>
</w:p>
<w:p>
<w:pPr><w:pStyle w:val="Normal"/></w:pPr>
<w:r><w:t xml:space="preserve">district ``boom,&apos;&apos; were made in British Columbia from 1857 to</w:t></w:r>
</w:p>
<w:p>
<w:pPr><w:pStyle w:val="Normal"/></w:pPr>
<w:r><w:t xml:space="preserve">1874; colourings along the Yukon were reported in 1866-1867</w:t></w:r>
</w:p>
<w:p>
<w:pPr><w:pStyle w:val="Normal"/></w:pPr>
<w:r><w:t xml:space="preserve">and systematic prospecting of the upper river began about</w:t></w:r>
</w:p>
<w:p>
<w:pPr><w:pStyle w:val="Normal"/></w:pPr>
<w:r><w:t xml:space="preserve">1873.  Juneau was founded in 1880; the same year the opposition</w:t></w:r>
</w:p>
<w:p>
<w:pPr><w:pStyle w:val="Normal"/></w:pPr>
<w:r><w:t xml:space="preserve">of the Indians was withdrawn that had prevented the crossing</w:t></w:r>
</w:p>
<w:p>
<w:pPr><w:pStyle w:val="Normal"/></w:pPr>
<w:r><w:t xml:space="preserve">of the mountain passes to the interior, and after 1880</w:t></w:r>
</w:p>
<w:p>
<w:pPr><w:pStyle w:val="Normal"/></w:pPr>
<w:r><w:t xml:space="preserve">repeated and scattered discoveries were made on the Lewes,</w:t></w:r>
</w:p>
<w:p>
<w:pPr><w:pStyle w:val="Normal"/></w:pPr>
<w:r><w:t xml:space="preserve">Pelly, Stewart and other streams of the Upper Yukon country in</w:t></w:r>
</w:p>
<w:p>
<w:pPr><w:pStyle w:val="Normal"/></w:pPr>
<w:r><w:t xml:space="preserve">Canada.  As early as 1883-1885 there was a considerable mining</w:t></w:r>
</w:p>
<w:p>
<w:pPr><w:pStyle w:val="Normal"/></w:pPr>
<w:r><w:t xml:space="preserve">excitement due to these discoveries, and a much greater one</w:t></w:r>
</w:p>
<w:p>
<w:pPr><w:pStyle w:val="Normal"/></w:pPr>
<w:r><w:t xml:space="preserve">in 1887 after the discovery of coarse gold on Forty Mile</w:t></w:r>
</w:p>
<w:p>
<w:pPr><w:pStyle w:val="Normal"/></w:pPr>
<w:r><w:t xml:space="preserve">Creek in American territory; but these were as nothing to</w:t></w:r>
</w:p>
<w:p>
<w:pPr><w:pStyle w:val="Normal"/></w:pPr>
<w:r><w:t xml:space="preserve">the picturesque and feverish rush that followed the location</w:t></w:r>
</w:p>
<w:p>
<w:pPr><w:pStyle w:val="Normal"/></w:pPr>
<w:r><w:t xml:space="preserve">of the first Klondike claim in Canadian territory in August</w:t></w:r>
</w:p>
<w:p>
<w:pPr><w:pStyle w:val="Normal"/></w:pPr>
<w:r><w:t xml:space="preserve">1896. (SEE KLONDIKE.) The mines in American territory</w:t></w:r>
</w:p>
<w:p>
<w:pPr><w:pStyle w:val="Normal"/></w:pPr>
<w:r><w:t xml:space="preserve">were temporarily deserted for the new diggings.  Other gold</w:t></w:r>
</w:p>
<w:p>
<w:pPr><w:pStyle w:val="Normal"/></w:pPr>
<w:r><w:t xml:space="preserve">districts are scattered over the whole interior of Alaska.</w:t></w:r>
</w:p>
<w:p>
<w:pPr><w:pStyle w:val="Normal"/></w:pPr>
<w:r><w:t xml:space="preserve">Nome (q.v.) was the scene of a great gold mining stampede in</w:t></w:r>
</w:p>
<w:p>
<w:pPr><w:pStyle w:val="Normal"/></w:pPr>
<w:r><w:t xml:space="preserve">1900.  The quartz mines near Juneau are among the greatest</w:t></w:r>
</w:p>
<w:p>
<w:pPr><w:pStyle w:val="Normal"/></w:pPr>
<w:r><w:t xml:space="preserve">stamp mills of the world (SEE JUNEAU.) The product of gold</w:t></w:r>
</w:p>
<w:p>
<w:pPr><w:pStyle w:val="Normal"/></w:pPr>
<w:r><w:t xml:space="preserve">and silver (of the latter some 1.3% of the total) from 1895</w:t></w:r>
</w:p>
<w:p>
<w:pPr><w:pStyle w:val="Normal"/></w:pPr>
<w:r><w:t xml:space="preserve">to 1901 was more than $32,000,000 from Alaska proper (not</w:t></w:r>
</w:p>
<w:p>
<w:pPr><w:pStyle w:val="Normal"/></w:pPr>
<w:r><w:t xml:space="preserve">including that from the Canadian Tukon fields) as against</w:t></w:r>
</w:p>
<w:p>
<w:pPr><w:pStyle w:val="Normal"/></w:pPr>
<w:r><w:t xml:space="preserve">a production of $5,000,000 in 1880-1896.  The gold product</w:t></w:r>
</w:p>
<w:p>
<w:pPr><w:pStyle w:val="Normal"/></w:pPr>
<w:r><w:t xml:space="preserve">of the Canadian Yukon territory from 1896-1903 was about</w:t></w:r>
</w:p>
<w:p>
<w:pPr><w:pStyle w:val="Normal"/></w:pPr>
<w:r><w:t xml:space="preserve">$96,000,000, as estimated by the Canadian Geological Survey.  In</w:t></w:r>
</w:p>
<w:p>
<w:pPr><w:pStyle w:val="Normal"/></w:pPr>
<w:r><w:t xml:space="preserve">1905 the product of gold from Alaska was valued at $15,630,000</w:t></w:r>
</w:p>
<w:p>
<w:pPr><w:pStyle w:val="Normal"/></w:pPr>
<w:r><w:t xml:space="preserve">(mines report); and from 1880 to 19djec the production of</w:t></w:r>
</w:p>
<w:p>
<w:pPr><w:pStyle w:val="Normal"/></w:pPr>
<w:r><w:t xml:space="preserve">gold, according to the estimate of A. H. Brooks, was more than</w:t></w:r>
</w:p>
<w:p>
<w:pPr><w:pStyle w:val="Normal"/></w:pPr>
<w:r><w:t xml:space="preserve">$100,000,000.  The gravest problem of mining in the interior</w:t></w:r>
</w:p>
<w:p>
<w:pPr><w:pStyle w:val="Normal"/></w:pPr>
<w:r><w:t xml:space="preserve">country, even graver than that presented by the climate, is</w:t></w:r>
</w:p>
<w:p>
<w:pPr><w:pStyle w:val="Normal"/></w:pPr>
<w:r><w:t xml:space="preserve">transportation; in 1900 the Tanana fields, for example, were</w:t></w:r>
</w:p>
<w:p>
<w:pPr><w:pStyle w:val="Normal"/></w:pPr>
<w:r><w:t xml:space="preserve">provisioned from Circle City, about 125 m. distant, at the</w:t></w:r>
</w:p>
<w:p>
<w:pPr><w:pStyle w:val="Normal"/></w:pPr>
<w:r><w:t xml:space="preserve">rate of a cent per lb. mile (i.e. $2000 for moving a ton 100</w:t></w:r>
</w:p>
<w:p>
<w:pPr><w:pStyle w:val="Normal"/></w:pPr>
<w:r><w:t xml:space="preserve">m.).  Even higher rates prevailed in the copper country in</w:t></w:r>
</w:p>
<w:p>
<w:pPr><w:pStyle w:val="Normal"/></w:pPr>
<w:r><w:t xml:space="preserve">1902.  Various other minerals in addition to gold have been</w:t></w:r>
</w:p>
<w:p>
<w:pPr><w:pStyle w:val="Normal"/></w:pPr>
<w:r><w:t xml:space="preserve">discovered, and several of them, notably copper and silver</w:t></w:r>
</w:p>
<w:p>
<w:pPr><w:pStyle w:val="Normal"/></w:pPr>
<w:r><w:t xml:space="preserve">(the latter appearing with the gold deposits), may probably</w:t></w:r>
</w:p>
<w:p>
<w:pPr><w:pStyle w:val="Normal"/></w:pPr>
<w:r><w:t xml:space="preserve">be profitably exploited.  In 1905 the product of copper</w:t></w:r>
</w:p>
<w:p>
<w:pPr><w:pStyle w:val="Normal"/></w:pPr>
<w:r><w:t xml:space="preserve">was valued at $759,634, that of silver at $80,165 (mines</w:t></w:r>
</w:p>
<w:p>
<w:pPr><w:pStyle w:val="Normal"/></w:pPr>
<w:r><w:t xml:space="preserve">report).  Coal, and in much larger quantities lignite,</w:t></w:r>
</w:p>
<w:p>
<w:pPr><w:pStyle w:val="Normal"/></w:pPr>
<w:r><w:t xml:space="preserve">have been found in many parts of Alaska.  Most important,</w:t></w:r>
</w:p>
<w:p>
<w:pPr><w:pStyle w:val="Normal"/></w:pPr>
<w:r><w:t xml:space="preserve">because of their location, are deposits along the Alaska</w:t></w:r>
</w:p>
<w:p>
<w:pPr><w:pStyle w:val="Normal"/></w:pPr>
<w:r><w:t xml:space="preserve">Peninsula and between Circle City and Dawson.  The latter</w:t></w:r>
</w:p>
<w:p>
<w:pPr><w:pStyle w:val="Normal"/></w:pPr>
<w:r><w:t xml:space="preserve">furnishes fuel to the river steamboats, and it is hoped may</w:t></w:r>
</w:p>
<w:p>
<w:pPr><w:pStyle w:val="Normal"/></w:pPr>
<w:r><w:t xml:space="preserve">eventually supply the surrounding mining region.  There are</w:t></w:r>
</w:p>
<w:p>
<w:pPr><w:pStyle w:val="Normal"/></w:pPr>
<w:r><w:t xml:space="preserve">valuable deposits of gypsum on Chicagof Island, and marble</w:t></w:r>
</w:p>
<w:p>
<w:pPr><w:pStyle w:val="Normal"/></w:pPr>
<w:r><w:t xml:space="preserve">quarries are being developed on Prince of Wales Island.</w:t></w:r>
</w:p>
<w:p>
<w:pPr><w:pStyle w:val="Normal"/></w:pPr>
<w:r><w:t xml:space="preserve">As against $7,200,000 paid for Alaska in 1867, the revenues</w:t></w:r>
</w:p>
<w:p>
<w:pPr><w:pStyle w:val="Normal"/></w:pPr>
<w:r><w:t xml:space="preserve">returned to the United States in the years 1867--1903 totalled</w:t></w:r>
</w:p>
<w:p>
<w:pPr><w:pStyle w:val="Normal"/></w:pPr>
<w:r><w:t xml:space="preserve">$9,555,909 (namely, rental for the Fox and Pribilof Islands,</w:t></w:r>
</w:p>
<w:p>
<w:pPr><w:pStyle w:val="Normal"/></w:pPr>
<w:r><w:t xml:space="preserve">$999,200; special revenue tax on seal-skins, $7,597,351;</w:t></w:r>
</w:p>
<w:p>
<w:pPr><w:pStyle w:val="Normal"/></w:pPr>
<w:r><w:t xml:space="preserve">Alaskan customs, $528,558; public lands, $28,928; other sources</w:t></w:r>
</w:p>
<w:p>
<w:pPr><w:pStyle w:val="Normal"/></w:pPr>
<w:r><w:t xml:space="preserve">$401,872).  It has been estimated that in the same period</w:t></w:r>
</w:p>
<w:p>
<w:pPr><w:pStyle w:val="Normal"/></w:pPr>
<w:r><w:t xml:space="preserve">the United States drew from Alaska fish, furs and gold</w:t></w:r>
</w:p>
<w:p>
<w:pPr><w:pStyle w:val="Normal"/></w:pPr>
<w:r><w:t xml:space="preserve">to the value of about $150,000,000; that up to 1903 the</w:t></w:r>
</w:p>
<w:p>
<w:pPr><w:pStyle w:val="Normal"/></w:pPr>
<w:r><w:t xml:space="preserve">imports from the states aggregated $i00,000,000; and that</w:t></w:r>
</w:p>
<w:p>
<w:pPr><w:pStyle w:val="Normal"/></w:pPr>
<w:r><w:t xml:space="preserve">$25,000,000 of United States capital was invested in Alaska.</w:t></w:r>
</w:p>
<w:p>
<w:pPr><w:pStyle w:val="Normal"/></w:pPr>
<w:r><w:t xml:space="preserve">Since 1896 communication with the outer world has been greatly</w:t></w:r>
</w:p>
<w:p>
<w:pPr><w:pStyle w:val="Normal"/></w:pPr>
<w:r><w:t xml:space="preserve">increased.  Alaskan mails leave the states daily, many</w:t></w:r>
</w:p>
<w:p>
<w:pPr><w:pStyle w:val="Normal"/></w:pPr>
<w:r><w:t xml:space="preserve">post-offices are maintained, mail is regularly delivered</w:t></w:r>
</w:p>
<w:p>
<w:pPr><w:pStyle w:val="Normal"/></w:pPr>
<w:r><w:t xml:space="preserve">beyond the Arctic circle, all the more important towns have</w:t></w:r>
</w:p>
<w:p>
<w:pPr><w:pStyle w:val="Normal"/></w:pPr>
<w:r><w:t xml:space="preserve">telegraphic communication with the states,9 there is one</w:t></w:r>
</w:p>
<w:p>
<w:pPr><w:pStyle w:val="Normal"/></w:pPr>
<w:r><w:t xml:space="preserve">railway in the interior through Canadian territory from</w:t></w:r>
</w:p>
<w:p>
<w:pPr><w:pStyle w:val="Normal"/></w:pPr>
<w:r><w:t xml:space="preserve">Skagway, and other railways are planned.  The total mileage</w:t></w:r>
</w:p>
<w:p>
<w:pPr><w:pStyle w:val="Normal"/></w:pPr>
<w:r><w:t xml:space="preserve">in 1906 was 136 m.  In that year the Alaskan Central Railroad</w:t></w:r>
</w:p>
<w:p>
<w:pPr><w:pStyle w:val="Normal"/></w:pPr>
<w:r><w:t xml:space="preserve">(from Seward to Fairbanks, 463 m.) was chartered; 45 m. of</w:t></w:r>
</w:p>
<w:p>
<w:pPr><w:pStyle w:val="Normal"/></w:pPr>
<w:r><w:t xml:space="preserve">this road were in operation in 1905.  One long military road</w:t></w:r>
</w:p>
<w:p>
<w:pPr><w:pStyle w:val="Normal"/></w:pPr>
<w:r><w:t xml:space="preserve">as an ``All American&apos;&apos; route from Valdez has long been built.</w:t></w:r>
</w:p>
<w:p>
<w:pPr><w:pStyle w:val="Normal"/></w:pPr>
<w:r><w:t xml:space="preserve">Population.---The population in 1867 at the time of the</w:t></w:r>
</w:p>
<w:p>
<w:pPr><w:pStyle w:val="Normal"/></w:pPr>
<w:r><w:t xml:space="preserve">cession from Russia is estimated at 30,000, of which two-thirds</w:t></w:r>
</w:p>
<w:p>
<w:pPr><w:pStyle w:val="Normal"/></w:pPr>
<w:r><w:t xml:space="preserve">were Eskimo and other Indians.  Population returned in</w:t></w:r>
</w:p>
<w:p>
<w:pPr><w:pStyle w:val="Normal"/></w:pPr>
<w:r><w:t xml:space="preserve">1880, 33,426; in 1890, 32,052; in 1900, 63,592, of whom</w:t></w:r>
</w:p>
<w:p>
<w:pPr><w:pStyle w:val="Normal"/></w:pPr>
<w:r><w:t xml:space="preserve">approximately 48% were whites, 46% natives and 6% Japanese and</w:t></w:r>
</w:p>
<w:p>
<w:pPr><w:pStyle w:val="Normal"/></w:pPr>
<w:r><w:t xml:space="preserve">Chinese; (1910 census) 64,356.  The Asiatics are employed in</w:t></w:r>
</w:p>
<w:p>
<w:pPr><w:pStyle w:val="Normal"/></w:pPr>
<w:r><w:t xml:space="preserve">the salmon canneries.  The natives of Alaska fall under four</w:t></w:r>
</w:p>
<w:p>
<w:pPr><w:pStyle w:val="Normal"/></w:pPr>
<w:r><w:t xml:space="preserve">ethnologic races: the Eskimo or Innuit---of these the Aleuts</w:t></w:r>
</w:p>
<w:p>
<w:pPr><w:pStyle w:val="Normal"/></w:pPr>
<w:r><w:t xml:space="preserve">are an offshoot; the Haidas or Kaigani, found principally</w:t></w:r>
</w:p>
<w:p>
<w:pPr><w:pStyle w:val="Normal"/></w:pPr>
<w:r><w:t xml:space="preserve">on Prince of Wales Island and thereabouts; the Thlinkits,</w:t></w:r>
</w:p>
<w:p>
<w:pPr><w:pStyle w:val="Normal"/></w:pPr>
<w:r><w:t xml:space="preserve">rather widely distributed in the ``Panhandle&apos;&apos;; and the</w:t></w:r>
</w:p>
<w:p>
<w:pPr><w:pStyle w:val="Normal"/></w:pPr>
<w:r><w:t xml:space="preserve">Tinnehs or Athapascans, the stock race of the great interior</w:t></w:r>
</w:p>
<w:p>
<w:pPr><w:pStyle w:val="Normal"/></w:pPr>
<w:r><w:t xml:space="preserve">country.  In 1800 the pure-blooded natives numbered 23,531,</w:t></w:r>
</w:p>
<w:p>
<w:pPr><w:pStyle w:val="Normal"/></w:pPr>
<w:r><w:t xml:space="preserve">of whom 6000 were Haidas, Thlinkits or other natives of the</w:t></w:r>
</w:p>
<w:p>
<w:pPr><w:pStyle w:val="Normal"/></w:pPr>
<w:r><w:t xml:space="preserve">coastal region, 1000 Aleuts, 3400 Athapascans and 13,100</w:t></w:r>
</w:p>
<w:p>
<w:pPr><w:pStyle w:val="Normal"/></w:pPr>
<w:r><w:t xml:space="preserve">Eskimo.  The natives have adopted many customs of white</w:t></w:r>
</w:p>
<w:p>
<w:pPr><w:pStyle w:val="Normal"/></w:pPr>
<w:r><w:t xml:space="preserve">civilization, and on the Aleutians, and in coastal Alaska, and</w:t></w:r>
</w:p>
<w:p>
<w:pPr><w:pStyle w:val="Normal"/></w:pPr>
<w:r><w:t xml:space="preserve">in scattered regions in the interior acknowledge Christianity</w:t></w:r>
</w:p>
<w:p>
<w:pPr><w:pStyle w:val="Normal"/></w:pPr>
<w:r><w:t xml:space="preserve">under the forms of the Orthodox Greek or other churches.  The</w:t></w:r>
</w:p>
<w:p>
<w:pPr><w:pStyle w:val="Normal"/></w:pPr>
<w:r><w:t xml:space="preserve">rapid exhaustion in late years of the caribou, seals and other</w:t></w:r>
</w:p>
<w:p>
<w:pPr><w:pStyle w:val="Normal"/></w:pPr>
<w:r><w:t xml:space="preserve">animals, once the food or stockin-trade of the Aleuts and other</w:t></w:r>
</w:p>
<w:p>
<w:pPr><w:pStyle w:val="Normal"/></w:pPr>
<w:r><w:t xml:space="preserve">races, threatens more and more the swift depletion of the</w:t></w:r>
</w:p>
<w:p>
<w:pPr><w:pStyle w:val="Normal"/></w:pPr>
<w:r><w:t xml:space="preserve">natives.  They have also felt the fatal influence of the liquor</w:t></w:r>
</w:p>
<w:p>
<w:pPr><w:pStyle w:val="Normal"/></w:pPr>
<w:r><w:t xml:space="preserve">traffic.  From 1893 to 1895 the United States expended $55,000</w:t></w:r>
</w:p>
<w:p>
<w:pPr><w:pStyle w:val="Normal"/></w:pPr>
<w:r><w:t xml:space="preserve">to support the natives of the Fur Seal Islands.  This policy</w:t></w:r>
</w:p>
<w:p>
<w:pPr><w:pStyle w:val="Normal"/></w:pPr>
<w:r><w:t xml:space="preserve">threatens to become a continued necessity throughout much of</w:t></w:r>
</w:p>
<w:p>
<w:pPr><w:pStyle w:val="Normal"/></w:pPr>
<w:r><w:t xml:space="preserve">Alaska.  There is a small government Indian reservation</w:t></w:r>
</w:p>
<w:p>
<w:pPr><w:pStyle w:val="Normal"/></w:pPr>
<w:r><w:t xml:space="preserve">on Afognak Island, near Kodiak.  The white population is</w:t></w:r>
</w:p>
<w:p>
<w:pPr><w:pStyle w:val="Normal"/></w:pPr>
<w:r><w:t xml:space="preserve">extremely mobile, and few towns have an assured or definite</w:t></w:r>
</w:p>
<w:p>
<w:pPr><w:pStyle w:val="Normal"/></w:pPr>
<w:r><w:t xml:space="preserve">future.  The prosperity of the mining towns of the interior</w:t></w:r>
</w:p>
<w:p>
<w:pPr><w:pStyle w:val="Normal"/></w:pPr>
<w:r><w:t xml:space="preserve">is dependent on the fickle fortune of the gold-fields,</w:t></w:r>
</w:p>
<w:p>
<w:pPr><w:pStyle w:val="Normal"/></w:pPr>
<w:r><w:t xml:space="preserve">for which they are the distributing points.  Sitka, Juneau</w:t></w:r>
</w:p>
<w:p>
<w:pPr><w:pStyle w:val="Normal"/></w:pPr>
<w:r><w:t xml:space="preserve">(the capital) and Douglas, both centres of a rich mining</w:t></w:r>
</w:p>
<w:p>
<w:pPr><w:pStyle w:val="Normal"/></w:pPr>
<w:r><w:t xml:space="preserve">district, Skagway, shipping point for freight for the Klondike</w:t></w:r>
</w:p>
<w:p>
<w:pPr><w:pStyle w:val="Normal"/></w:pPr>
<w:r><w:t xml:space="preserve">country (see these titles), and St Michael, the ocean port</w:t></w:r>
</w:p>
<w:p>
<w:pPr><w:pStyle w:val="Normal"/></w:pPr>
<w:r><w:t xml:space="preserve">for freighting up the Yukon, are the only towns apparently</w:t></w:r>
</w:p>
<w:p>
<w:pPr><w:pStyle w:val="Normal"/></w:pPr>
<w:r><w:t xml:space="preserve">assured of a prosperous future.  Wrangell (formerly Fort</w:t></w:r>
</w:p>
<w:p>
<w:pPr><w:pStyle w:val="Normal"/></w:pPr>
<w:r><w:t xml:space="preserve">St Dionysius, Fort Stikine and Fort Wrangell), founded in</w:t></w:r>
</w:p>
<w:p>
<w:pPr><w:pStyle w:val="Normal"/></w:pPr>
<w:r><w:t xml:space="preserve">1833, is a dilapidated and torpid little village, of some</w:t></w:r>
</w:p>
<w:p>
<w:pPr><w:pStyle w:val="Normal"/></w:pPr>
<w:r><w:t xml:space="preserve">interest in Alaskan history, and of temporary importance from</w:t></w:r>
</w:p>
<w:p>
<w:pPr><w:pStyle w:val="Normal"/></w:pPr>
<w:r><w:t xml:space="preserve">1874 to 1877 as the gateway to the Cassiar mines in British</w:t></w:r>
</w:p>
<w:p>
<w:pPr><w:pStyle w:val="Normal"/></w:pPr>
<w:r><w:t xml:space="preserve">Columbia.  Its inhabitants are chiefly Thlinkit Indians.</w:t></w:r>
</w:p>
<w:p>
<w:pPr><w:pStyle w:val="Normal"/></w:pPr>
<w:r><w:t xml:space="preserve">Government.---Alaska, by an act of Congress approved the</w:t></w:r>
</w:p>
<w:p>
<w:pPr><w:pStyle w:val="Normal"/></w:pPr>
<w:r><w:t xml:space="preserve">7th of May 1906, received the power to elect a delegate to</w:t></w:r>
</w:p>
<w:p>
<w:pPr><w:pStyle w:val="Normal"/></w:pPr>
<w:r><w:t xml:space="preserve">Congress.  Before this act and the elections of August 1906</w:t></w:r>
</w:p>
<w:p>
<w:pPr><w:pStyle w:val="Normal"/></w:pPr>
<w:r><w:t xml:space="preserve">Alaska was a governmental district of the United States without</w:t></w:r>
</w:p>
<w:p>
<w:pPr><w:pStyle w:val="Normal"/></w:pPr>
<w:r><w:t xml:space="preserve">a delegate in Congress.  Its administration rests in the hands</w:t></w:r>
</w:p>
<w:p>
<w:pPr><w:pStyle w:val="Normal"/></w:pPr>
<w:r><w:t xml:space="preserve">of the various executive departments, and is partly exercised</w:t></w:r>
</w:p>
<w:p>
<w:pPr><w:pStyle w:val="Normal"/></w:pPr>
<w:r><w:t xml:space="preserve">by a governor and other resident officials appointed by the</w:t></w:r>
</w:p>
<w:p>
<w:pPr><w:pStyle w:val="Normal"/></w:pPr>
<w:r><w:t xml:space="preserve">president.  It is a military district, a customs district (since</w:t></w:r>
</w:p>
<w:p>
<w:pPr><w:pStyle w:val="Normal"/></w:pPr>
<w:r><w:t xml:space="preserve">1868), is organized into a land district, and constitutes</w:t></w:r>
</w:p>
<w:p>
<w:pPr><w:pStyle w:val="Normal"/></w:pPr>
<w:r><w:t xml:space="preserve">three judicial divisions.  In 1867-1877 the government was</w:t></w:r>
</w:p>
<w:p>
<w:pPr><w:pStyle w:val="Normal"/></w:pPr>
<w:r><w:t xml:space="preserve">in the hands of the department of war, although the customs</w:t></w:r>
</w:p>
<w:p>
<w:pPr><w:pStyle w:val="Normal"/></w:pPr>
<w:r><w:t xml:space="preserve">were from the beginning collected by the department of the</w:t></w:r>
</w:p>
<w:p>
<w:pPr><w:pStyle w:val="Normal"/></w:pPr>
<w:r><w:t xml:space="preserve">treasury, with which the effective control rested from 1877</w:t></w:r>
</w:p>
<w:p>
<w:pPr><w:pStyle w:val="Normal"/></w:pPr>
<w:r><w:t xml:space="preserve">until the passage of the so-called Organic Act of 17th May</w:t></w:r>
</w:p>
<w:p>
<w:pPr><w:pStyle w:val="Normal"/></w:pPr>
<w:r><w:t xml:space="preserve">1884.  This act extended over Alaska the laws of the state</w:t></w:r>
</w:p>
<w:p>
<w:pPr><w:pStyle w:val="Normal"/></w:pPr>
<w:r><w:t xml:space="preserve">of Oregon so far as they should be applicable, created the</w:t></w:r>
</w:p>
<w:p>
<w:pPr><w:pStyle w:val="Normal"/></w:pPr>
<w:r><w:t xml:space="preserve">judicial district and a land district, put in force the</w:t></w:r>
</w:p>
<w:p>
<w:pPr><w:pStyle w:val="Normal"/></w:pPr>
<w:r><w:t xml:space="preserve">mining laws of the United States, and in general gave the</w:t></w:r>
</w:p>
<w:p>
<w:pPr><w:pStyle w:val="Normal"/></w:pPr>
<w:r><w:t xml:space="preserve">administrative system the organization it retained up to the</w:t></w:r>
</w:p>
<w:p>
<w:pPr><w:pStyle w:val="Normal"/></w:pPr>
<w:r><w:t xml:space="preserve">reforms of 1899-1900.  The history of government and political</w:t></w:r>
</w:p>
<w:p>
<w:pPr><w:pStyle w:val="Normal"/></w:pPr>
<w:r><w:t xml:space="preserve">agitation has centred since then in the demand for general</w:t></w:r>
</w:p>
<w:p>
<w:pPr><w:pStyle w:val="Normal"/></w:pPr>
<w:r><w:t xml:space="preserve">land legislation and for an adequate civil and criminal law,</w:t></w:r>
</w:p>
<w:p>
<w:pPr><w:pStyle w:val="Normal"/></w:pPr>
<w:r><w:t xml:space="preserve">in protests against the enforcement of a liquor prohibition</w:t></w:r>
</w:p>
<w:p>
<w:pPr><w:pStyle w:val="Normal"/></w:pPr>
<w:r><w:t xml:space="preserve">law, and in agitation for an efficiently centralized</w:t></w:r>
</w:p>
<w:p>
<w:pPr><w:pStyle w:val="Normal"/></w:pPr>
<w:r><w:t xml:space="preserve">administration.  As the general land laws of the United States</w:t></w:r>
</w:p>
<w:p>
<w:pPr><w:pStyle w:val="Normal"/></w:pPr>
<w:r><w:t xml:space="preserve">were not extended to Alaska in 1884, there was no means,</w:t></w:r>
</w:p>
<w:p>
<w:pPr><w:pStyle w:val="Normal"/></w:pPr>
<w:r><w:t xml:space="preserve">generally speaking, of gaining title to any land other than</w:t></w:r>
</w:p>
<w:p>
<w:pPr><w:pStyle w:val="Normal"/></w:pPr>
<w:r><w:t xml:space="preserve">a mining claim, and so far as any method did exist its cost</w:t></w:r>
</w:p>
<w:p>
<w:pPr><w:pStyle w:val="Normal"/></w:pPr>
<w:r><w:t xml:space="preserve">was absolutely prohibitive.  After partial and inadequate</w:t></w:r>
</w:p>
<w:p>
<w:pPr><w:pStyle w:val="Normal"/></w:pPr>
<w:r><w:t xml:space="preserve">legislation in 1891 and 1898, the regular system of land</w:t></w:r>
</w:p>
<w:p>
<w:pPr><w:pStyle w:val="Normal"/></w:pPr>
<w:r><w:t xml:space="preserve">surveys was made applicable to Alaska in 1899, and a generous</w:t></w:r>
</w:p>
<w:p>
<w:pPr><w:pStyle w:val="Normal"/></w:pPr>
<w:r><w:t xml:space="preserve">homestead law was provided in 1903.  An adequate code of civil</w:t></w:r>
</w:p>
<w:p>
<w:pPr><w:pStyle w:val="Normal"/></w:pPr>
<w:r><w:t xml:space="preserve">and criminal law and provisions for civil government under</w:t></w:r>
</w:p>
<w:p>
<w:pPr><w:pStyle w:val="Normal"/></w:pPr>
<w:r><w:t xml:space="preserve">improved conditions were provided by Congress in 1899 and</w:t></w:r>
</w:p>
<w:p>
<w:pPr><w:pStyle w:val="Normal"/></w:pPr>
<w:r><w:t xml:space="preserve">1900.  The agitation over prohibition dates from 1868; the</w:t></w:r>
</w:p>
<w:p>
<w:pPr><w:pStyle w:val="Normal"/></w:pPr>
<w:r><w:t xml:space="preserve">act of that year organizing a customs district forbade the</w:t></w:r>
</w:p>
<w:p>
<w:pPr><w:pStyle w:val="Normal"/></w:pPr>
<w:r><w:t xml:space="preserve">importation and sale of firearms, ammunition and distilled</w:t></w:r>
</w:p>
<w:p>
<w:pPr><w:pStyle w:val="Normal"/></w:pPr>
<w:r><w:t xml:space="preserve">spirits; the Organic Act of 1884 extended this prohibition</w:t></w:r>
</w:p>
<w:p>
<w:pPr><w:pStyle w:val="Normal"/></w:pPr>
<w:r><w:t xml:space="preserve">to all intoxicating liquors.  The coast of Alaska offers</w:t></w:r>
</w:p>
<w:p>
<w:pPr><w:pStyle w:val="Normal"/></w:pPr>
<w:r><w:t xml:space="preserve">exceptional facilities for smuggling, and liquor bas always</w:t></w:r>
</w:p>
<w:p>
<w:pPr><w:pStyle w:val="Normal"/></w:pPr>
<w:r><w:t xml:space="preserve">been very plentiful; juries have steadily refused to convict</w:t></w:r>
</w:p>
<w:p>
<w:pPr><w:pStyle w:val="Normal"/></w:pPr>
<w:r><w:t xml:space="preserve">offenders, and treasury officials have regularly collected</w:t></w:r>
</w:p>
<w:p>
<w:pPr><w:pStyle w:val="Normal"/></w:pPr>
<w:r><w:t xml:space="preserve">revenue from saloons existing in defiance of law.  The</w:t></w:r>
</w:p>
<w:p>
<w:pPr><w:pStyle w:val="Normal"/></w:pPr>
<w:r><w:t xml:space="preserve">prohibition law is still upon the statute-books.  The chief</w:t></w:r>
</w:p>
<w:p>
<w:pPr><w:pStyle w:val="Normal"/></w:pPr>
<w:r><w:t xml:space="preserve">weaknesses in the colonial administration of the territory,</w:t></w:r>
</w:p>
<w:p>
<w:pPr><w:pStyle w:val="Normal"/></w:pPr>
<w:r><w:t xml:space="preserve">particularly prior to 1900---but only to a slightly less</w:t></w:r>
</w:p>
<w:p>
<w:pPr><w:pStyle w:val="Normal"/></w:pPr>
<w:r><w:t xml:space="preserve">extent since---have been decentralization and a lax civil</w:t></w:r>
</w:p>
<w:p>
<w:pPr><w:pStyle w:val="Normal"/></w:pPr>
<w:r><w:t xml:space="preserve">service.  The concomitants of these have been irresponsibility</w:t></w:r>
</w:p>
<w:p>
<w:pPr><w:pStyle w:val="Normal"/></w:pPr>
<w:r><w:t xml:space="preserve">and inefficiency.  The governor has represented the president</w:t></w:r>
</w:p>
<w:p>
<w:pPr><w:pStyle w:val="Normal"/></w:pPr>
<w:r><w:t xml:space="preserve">without possessing much power; the department of war has had</w:t></w:r>
</w:p>
<w:p>
<w:pPr><w:pStyle w:val="Normal"/></w:pPr>
<w:r><w:t xml:space="preserve">illdefined duties; the department of justice has, in theory,</w:t></w:r>
</w:p>
<w:p>
<w:pPr><w:pStyle w:val="Normal"/></w:pPr>
<w:r><w:t xml:space="preserve">had charge of the general law; the department of the interior</w:t></w:r>
</w:p>
<w:p>
<w:pPr><w:pStyle w:val="Normal"/></w:pPr>
<w:r><w:t xml:space="preserve">has administered the land law; the agents of the bureau of</w:t></w:r>
</w:p>
<w:p>
<w:pPr><w:pStyle w:val="Normal"/></w:pPr>
<w:r><w:t xml:space="preserve">education have superintended the stocking of Alaska with</w:t></w:r>
</w:p>
<w:p>
<w:pPr><w:pStyle w:val="Normal"/></w:pPr>
<w:r><w:t xml:space="preserve">reindeer; the United States Fish Commission has investigated</w:t></w:r>
</w:p>
<w:p>
<w:pPr><w:pStyle w:val="Normal"/></w:pPr>
<w:r><w:t xml:space="preserve">the condition of marine life without having powers to protect</w:t></w:r>
</w:p>
<w:p>
<w:pPr><w:pStyle w:val="Normal"/></w:pPr>
<w:r><w:t xml:space="preserve">it.  The treasury department has charted the coasts, sought</w:t></w:r>
</w:p>
<w:p>
<w:pPr><w:pStyle w:val="Normal"/></w:pPr>
<w:r><w:t xml:space="preserve">to enforce the prohibition law, controlled and protected</w:t></w:r>
</w:p>
<w:p>
<w:pPr><w:pStyle w:val="Normal"/></w:pPr>
<w:r><w:t xml:space="preserve">the fur seals and fisheries, and incidentally collected the</w:t></w:r>
</w:p>
<w:p>
<w:pPr><w:pStyle w:val="Normal"/></w:pPr>
<w:r><w:t xml:space="preserve">customs.  Since the creation of the department of commerce</w:t></w:r>
</w:p>
<w:p>
<w:pPr><w:pStyle w:val="Normal"/></w:pPr>
<w:r><w:t xml:space="preserve">and labour (1903), it has taken over from other departments</w:t></w:r>
</w:p>
<w:p>
<w:pPr><w:pStyle w:val="Normal"/></w:pPr>
<w:r><w:t xml:space="preserve">some of these scattered functions.  All in all, the</w:t></w:r>
</w:p>
<w:p>
<w:pPr><w:pStyle w:val="Normal"/></w:pPr>
<w:r><w:t xml:space="preserve">government has proved itself without power to protect the</w:t></w:r>
</w:p>
<w:p>
<w:pPr><w:pStyle w:val="Normal"/></w:pPr>
<w:r><w:t xml:space="preserve">most valuable industries of the district, and for many years</w:t></w:r>
</w:p>
<w:p>
<w:pPr><w:pStyle w:val="Normal"/></w:pPr>
<w:r><w:t xml:space="preserve">there has been talk of a regular territorial government.</w:t></w:r>
</w:p>
<w:p>
<w:pPr><w:pStyle w:val="Normal"/></w:pPr>
<w:r><w:t xml:space="preserve">The paucity of permanent residents and the poverty of the</w:t></w:r>
</w:p>
<w:p>
<w:pPr><w:pStyle w:val="Normal"/></w:pPr>
<w:r><w:t xml:space="preserve">local treasury seem to make such a solution an impossibleone.</w:t></w:r>
</w:p>
<w:p>
<w:pPr><w:pStyle w:val="Normal"/></w:pPr>
<w:r><w:t xml:space="preserve">History.---The region now known as Alaska was first explored</w:t></w:r>
</w:p>
<w:p>
<w:pPr><w:pStyle w:val="Normal"/></w:pPr>
<w:r><w:t xml:space="preserve">by the Russian officers Captain Vitus Bering and Chirikov</w:t></w:r>
</w:p>
<w:p>
<w:pPr><w:pStyle w:val="Normal"/></w:pPr>
<w:r><w:t xml:space="preserve">in I 741 They visited parts of the coast between Dixon</w:t></w:r>
</w:p>
<w:p>
<w:pPr><w:pStyle w:val="Normal"/></w:pPr>
<w:r><w:t xml:space="preserve">Entrance and Cape St Elias, and returned along the line of the</w:t></w:r>
</w:p>
<w:p>
<w:pPr><w:pStyle w:val="Normal"/></w:pPr>
<w:r><w:t xml:space="preserve">Aleutians.  Their expedition was followed by many private</w:t></w:r>
</w:p>
<w:p>
<w:pPr><w:pStyle w:val="Normal"/></w:pPr>
<w:r><w:t xml:space="preserve">vessels manned by traders and trappers.  Kodiak was discovered</w:t></w:r>
</w:p>
<w:p>
<w:pPr><w:pStyle w:val="Normal"/></w:pPr>
<w:r><w:t xml:space="preserve">in 1763 and a settlement effected in 1784.  Spanish expeditions</w:t></w:r>
</w:p>
<w:p>
<w:pPr><w:pStyle w:val="Normal"/></w:pPr>
<w:r><w:t xml:space="preserve">in 1774 and 1775 visited the south-eastern coast and laid a</w:t></w:r>
</w:p>
<w:p>
<w:pPr><w:pStyle w:val="Normal"/></w:pPr>
<w:r><w:t xml:space="preserve">foundation for subsequent territorial claims, one incident of</w:t></w:r>
</w:p>
<w:p>
<w:pPr><w:pStyle w:val="Normal"/></w:pPr>
<w:r><w:t xml:space="preserve">which were the Nootka Sound seizures of 1789.  Captain James</w:t></w:r>
</w:p>
<w:p>
<w:pPr><w:pStyle w:val="Normal"/></w:pPr>
<w:r><w:t xml:space="preserve">Cook in 1778 made surveys from which the first approximately</w:t></w:r>
</w:p>
<w:p>
<w:pPr><w:pStyle w:val="Normal"/></w:pPr>
<w:r><w:t xml:space="preserve">accurate chart of the coast was published; but it was reserved</w:t></w:r>
</w:p>
<w:p>
<w:pPr><w:pStyle w:val="Normal"/></w:pPr>
<w:r><w:t xml:space="preserve">for Vancouver in 1793-1794 to make the first charts in the</w:t></w:r>
</w:p>
<w:p>
<w:pPr><w:pStyle w:val="Normal"/></w:pPr>
<w:r><w:t xml:space="preserve">modern sense of the intricate south-eastern coast, which only</w:t></w:r>
</w:p>
<w:p>
<w:pPr><w:pStyle w:val="Normal"/></w:pPr>
<w:r><w:t xml:space="preserve">in recent years have been superseded by new survel&apos;s.  Owing</w:t></w:r>
</w:p>
<w:p>
<w:pPr><w:pStyle w:val="Normal"/></w:pPr>
<w:r><w:t xml:space="preserve">to excesses committed by private traders and companies, who</w:t></w:r>
</w:p>
<w:p>
<w:pPr><w:pStyle w:val="Normal"/></w:pPr>
<w:r><w:t xml:space="preserve">robbed, massacred and hideously abused the native Indians,</w:t></w:r>
</w:p>
<w:p>
<w:pPr><w:pStyle w:val="Normal"/></w:pPr>
<w:r><w:t xml:space="preserve">the trade and regulation of the Russian possessions were</w:t></w:r>
</w:p>
<w:p>
<w:pPr><w:pStyle w:val="Normal"/></w:pPr>
<w:r><w:t xml:space="preserve">in 1799 confided to a semi-official corporation called the</w:t></w:r>
</w:p>
<w:p>
<w:pPr><w:pStyle w:val="Normal"/></w:pPr>
<w:r><w:t xml:space="preserve">Russian-American Company for a term of twenty years, afterwards</w:t></w:r>
</w:p>
<w:p>
<w:pPr><w:pStyle w:val="Normal"/></w:pPr>
<w:r><w:t xml:space="preserve">twice renewed for similar periods.  A monopoly of the American</w:t></w:r>
</w:p>
<w:p>
<w:pPr><w:pStyle w:val="Normal"/></w:pPr>
<w:r><w:t xml:space="preserve">trade had previously been granted in 1788 to another private</w:t></w:r>
</w:p>
<w:p>
<w:pPr><w:pStyle w:val="Normal"/></w:pPr>
<w:r><w:t xml:space="preserve">company, the Shohkof.  Alexander Baranov (1747--1819); chief</w:t></w:r>
</w:p>
<w:p>
<w:pPr><w:pStyle w:val="Normal"/></w:pPr>
<w:r><w:t xml:space="preserve">resident director of the American companies (1790-1819), one</w:t></w:r>
</w:p>
<w:p>
<w:pPr><w:pStyle w:val="Normal"/></w:pPr>
<w:r><w:t xml:space="preserve">of the early administrators of the new company, became famous</w:t></w:r>
</w:p>
<w:p>
<w:pPr><w:pStyle w:val="Normal"/></w:pPr>
<w:r><w:t xml:space="preserve">through the successes he achieved as governor.  He founded</w:t></w:r>
</w:p>
<w:p>
<w:pPr><w:pStyle w:val="Normal"/></w:pPr>
<w:r><w:t xml:space="preserve">Sitka (q.v.) in 1804 after the massacre by the natives of</w:t></w:r>
</w:p>
<w:p>
<w:pPr><w:pStyle w:val="Normal"/></w:pPr>
<w:r><w:t xml:space="preserve">the inhabitants of an eadier settlement (1799) at an adjacent</w:t></w:r>
</w:p>
<w:p>
<w:pPr><w:pStyle w:val="Normal"/></w:pPr>
<w:r><w:t xml:space="preserve">point.  The headquarters of the company were at Kodiak until</w:t></w:r>
</w:p>
<w:p>
<w:pPr><w:pStyle w:val="Normal"/></w:pPr>
<w:r><w:t xml:space="preserve">1805, and thereafter at Sitka.  In 1821 Russia attempted by</w:t></w:r>
</w:p>
<w:p>
<w:pPr><w:pStyle w:val="Normal"/></w:pPr>
<w:r><w:t xml:space="preserve">ukase to exclude navigators from Bering Sea and the Pacific</w:t></w:r>
</w:p>
<w:p>
<w:pPr><w:pStyle w:val="Normal"/></w:pPr>
<w:r><w:t xml:space="preserve">coast of her possessions, which led to immediate protest from</w:t></w:r>
</w:p>
<w:p>
<w:pPr><w:pStyle w:val="Normal"/></w:pPr>
<w:r><w:t xml:space="preserve">the United States and Great Britain.  This led to a treaty</w:t></w:r>
</w:p>
<w:p>
<w:pPr><w:pStyle w:val="Normal"/></w:pPr>
<w:r><w:t xml:space="preserve">with the United States in 1824 and one with Great Britain in</w:t></w:r>
</w:p>
<w:p>
<w:pPr><w:pStyle w:val="Normal"/></w:pPr>
<w:r><w:t xml:space="preserve">1825, by which the excessive demands of Russia were relinquished</w:t></w:r>
</w:p>
<w:p>
<w:pPr><w:pStyle w:val="Normal"/></w:pPr>
<w:r><w:t xml:space="preserve">and the boundaries of the Russian possessions were permanently</w:t></w:r>
</w:p>
<w:p>
<w:pPr><w:pStyle w:val="Normal"/></w:pPr>
<w:r><w:t xml:space="preserve">fixed.  The last charter of the Russian-American Company expired</w:t></w:r>
</w:p>
<w:p>
<w:pPr><w:pStyle w:val="Normal"/></w:pPr>
<w:r><w:t xml:space="preserve">on the 31st of December 1861, and Prince Maksutov, an imperial</w:t></w:r>
</w:p>
<w:p>
<w:pPr><w:pStyle w:val="Normal"/></w:pPr>
<w:r><w:t xml:space="preserve">governor, was appointed to administer the affairs of the</w:t></w:r>
</w:p>
<w:p>
<w:pPr><w:pStyle w:val="Normal"/></w:pPr>
<w:r><w:t xml:space="preserve">territory.  In 1864 authority was granted to an American</w:t></w:r>
</w:p>
<w:p>
<w:pPr><w:pStyle w:val="Normal"/></w:pPr>
<w:r><w:t xml:space="preserve">company to make explorations for a proposed Russo-American</w:t></w:r>
</w:p>
<w:p>
<w:pPr><w:pStyle w:val="Normal"/></w:pPr>
<w:r><w:t xml:space="preserve">company&apos;s telegraph line overland from the Amur river in</w:t></w:r>
</w:p>
<w:p>
<w:pPr><w:pStyle w:val="Normal"/></w:pPr>
<w:r><w:t xml:space="preserve">Siberia to Bering Strait, and through Alaska to British</w:t></w:r>
</w:p>
<w:p>
<w:pPr><w:pStyle w:val="Normal"/></w:pPr>
<w:r><w:t xml:space="preserve">Columbia.  Work was begun on this scheme in 1865 and continued</w:t></w:r>
</w:p>
<w:p>
<w:pPr><w:pStyle w:val="Normal"/></w:pPr>
<w:r><w:t xml:space="preserve">for nearly three years, when the success of the Atlantic</w:t></w:r>
</w:p>
<w:p>
<w:pPr><w:pStyle w:val="Normal"/></w:pPr>
<w:r><w:t xml:space="preserve">cable rendered the construction of the lme unnecessary and</w:t></w:r>
</w:p>
<w:p>
<w:pPr><w:pStyle w:val="Normal"/></w:pPr>
<w:r><w:t xml:space="preserve">it was given up, but not until important explorations had been</w:t></w:r>
</w:p>
<w:p>
<w:pPr><w:pStyle w:val="Normal"/></w:pPr>
<w:r><w:t xml:space="preserve">made.  In 1854 a Californian company began importing ice from</w:t></w:r>
</w:p>
<w:p>
<w:pPr><w:pStyle w:val="Normal"/></w:pPr>
<w:r><w:t xml:space="preserve">Alaska.  Very soon thereafter the first Official overtures</w:t></w:r>
</w:p>
<w:p>
<w:pPr><w:pStyle w:val="Normal"/></w:pPr>
<w:r><w:t xml:space="preserve">by the United States for the purchase of Russian America were</w:t></w:r>
</w:p>
<w:p>
<w:pPr><w:pStyle w:val="Normal"/></w:pPr>
<w:r><w:t xml:space="preserve">made during the presidency of James Buchanan.  In 1867, by a</w:t></w:r>
</w:p>
<w:p>
<w:pPr><w:pStyle w:val="Normal"/></w:pPr>
<w:r><w:t xml:space="preserve">treaty signed on the 30th of March, the purchase was consummated</w:t></w:r>
</w:p>
<w:p>
<w:pPr><w:pStyle w:val="Normal"/></w:pPr>
<w:r><w:t xml:space="preserve">for the sum of $7,200,o00, and on the 18th of October 1867</w:t></w:r>
</w:p>
<w:p>
<w:pPr><w:pStyle w:val="Normal"/></w:pPr>
<w:r><w:t xml:space="preserve">the formal transfer of the territory was made at Sitka.</w:t></w:r>
</w:p>
<w:p>
<w:pPr><w:pStyle w:val="Normal"/></w:pPr>
<w:r><w:t xml:space="preserve">Since its acquisition by the United States the history of Alaska</w:t></w:r>
</w:p>
<w:p>
<w:pPr><w:pStyle w:val="Normal"/></w:pPr>
<w:r><w:t xml:space="preserve">has been mainly that of the evolution of its administrative</w:t></w:r>
</w:p>
<w:p>
<w:pPr><w:pStyle w:val="Normal"/></w:pPr>
<w:r><w:t xml:space="preserve">system described above, and the varying fortunes of its</w:t></w:r>
</w:p>
<w:p>
<w:pPr><w:pStyle w:val="Normal"/></w:pPr>
<w:r><w:t xml:space="preserve">fisheries and sealing industries.  Since the gold discoveries</w:t></w:r>
</w:p>
<w:p>
<w:pPr><w:pStyle w:val="Normal"/></w:pPr>
<w:r><w:t xml:space="preserve">a wonderful advance has been made in the exploration of the</w:t></w:r>
</w:p>
<w:p>
<w:pPr><w:pStyle w:val="Normal"/></w:pPr>
<w:r><w:t xml:space="preserve">country.  A military reservation has been created with Fort</w:t></w:r>
</w:p>
<w:p>
<w:pPr><w:pStyle w:val="Normal"/></w:pPr>
<w:r><w:t xml:space="preserve">Michael as a centre.  The two events of greatest general interest</w:t></w:r>
</w:p>
<w:p>
<w:pPr><w:pStyle w:val="Normal"/></w:pPr>
<w:r><w:t xml:space="preserve">have been the Fur Seal Arbitration of 1893 (see BERING SEA</w:t></w:r>
</w:p>
<w:p>
<w:pPr><w:pStyle w:val="Normal"/></w:pPr>
<w:r><w:t xml:space="preserve">ARBITRATION), and the . Alaska-Canadian boundary dispute,</w:t></w:r>
</w:p>
<w:p>
<w:pPr><w:pStyle w:val="Normal"/></w:pPr>
<w:r><w:t xml:space="preserve">settled by an international tribunal of British and American</w:t></w:r>
</w:p>
<w:p>
<w:pPr><w:pStyle w:val="Normal"/></w:pPr>
<w:r><w:t xml:space="preserve">jurists in London in 1903.  The boundary dispute involved the</w:t></w:r>
</w:p>
<w:p>
<w:pPr><w:pStyle w:val="Normal"/></w:pPr>
<w:r><w:t xml:space="preserve">interpretation of the words, quoted above, in the treaties</w:t></w:r>
</w:p>
<w:p>
<w:pPr><w:pStyle w:val="Normal"/></w:pPr>
<w:r><w:t xml:space="preserve">of 1825 and 1867 defining the boundary of the Russian (later</w:t></w:r>
</w:p>
<w:p>
<w:pPr><w:pStyle w:val="Normal"/></w:pPr>
<w:r><w:t xml:space="preserve">American) possessions, and also the determining of the location</w:t></w:r>
</w:p>
<w:p>
<w:pPr><w:pStyle w:val="Normal"/></w:pPr>
<w:r><w:t xml:space="preserve">of Portland Canal, and the question whether the coastal girdle</w:t></w:r>
</w:p>
<w:p>
<w:pPr><w:pStyle w:val="Normal"/></w:pPr>
<w:r><w:t xml:space="preserve">should cross or pass around the heads of the fjords of the</w:t></w:r>
</w:p>
<w:p>
<w:pPr><w:pStyle w:val="Normal"/></w:pPr>
<w:r><w:t xml:space="preserve">coast.  The tribunal was an ad-)udication board and not an</w:t></w:r>
</w:p>
<w:p>
<w:pPr><w:pStyle w:val="Normal"/></w:pPr>
<w:r><w:t xml:space="preserve">actual court of arbitration, since its function was not to decide</w:t></w:r>
</w:p>
<w:p>
<w:pPr><w:pStyle w:val="Normal"/></w:pPr>
<w:r><w:t xml:space="preserve">the boundary but to settle the meaning of the Anglo-Russian</w:t></w:r>
</w:p>
<w:p>
<w:pPr><w:pStyle w:val="Normal"/></w:pPr>
<w:r><w:t xml:space="preserve">treaty, which provided for an ideal (and not a physical)</w:t></w:r>
</w:p>
<w:p>
<w:pPr><w:pStyle w:val="Normal"/></w:pPr>
<w:r><w:t xml:space="preserve">boundary.  This boundary did not fit in with geographical</w:t></w:r>
</w:p>
<w:p>
<w:pPr><w:pStyle w:val="Normal"/></w:pPr>
<w:r><w:t xml:space="preserve">facts; hence the adjudication was based upon the motive of</w:t></w:r>
</w:p>
<w:p>
<w:pPr><w:pStyle w:val="Normal"/></w:pPr>
<w:r><w:t xml:space="preserve">the treaty and not upon the literal interpretation of such</w:t></w:r>
</w:p>
<w:p>
<w:pPr><w:pStyle w:val="Normal"/></w:pPr>
<w:r><w:t xml:space="preserve">elastic terms as ``ocean,&apos;, ``shore&apos;&apos; and ``coast-line.&apos;&apos;</w:t></w:r>
</w:p>
<w:p>
<w:pPr><w:pStyle w:val="Normal"/></w:pPr>
<w:r><w:t xml:space="preserve">The award of the tribunal made in October 1903 was arrived</w:t></w:r>
</w:p>
<w:p>
<w:pPr><w:pStyle w:val="Normal"/></w:pPr>
<w:r><w:t xml:space="preserve">at by the favourable vote of the three commissioners of</w:t></w:r>
</w:p>
<w:p>
<w:pPr><w:pStyle w:val="Normal"/></w:pPr>
<w:r><w:t xml:space="preserve">the United States and of Lord Alverstone, whose action</w:t></w:r>
</w:p>
<w:p>
<w:pPr><w:pStyle w:val="Normal"/></w:pPr>
<w:r><w:t xml:space="preserve">was bitterly resented by the two Canadian commissioners;</w:t></w:r>
</w:p>
<w:p>
<w:pPr><w:pStyle w:val="Normal"/></w:pPr>
<w:r><w:t xml:space="preserve">it sustained in the main the claims of the United States.</w:t></w:r>
</w:p>
<w:p>
<w:pPr><w:pStyle w:val="Normal"/></w:pPr>
<w:r><w:t xml:space="preserve">AUTHORITIES.---W.  H. Dall and M. Baker, ``List of Charts,</w:t></w:r>
</w:p>
<w:p>
<w:pPr><w:pStyle w:val="Normal"/></w:pPr>
<w:r><w:t xml:space="preserve">Maps, and Publications relating to Alaska&apos;&apos;, in United States</w:t></w:r>
</w:p>
<w:p>
<w:pPr><w:pStyle w:val="Normal"/></w:pPr>
<w:r><w:t xml:space="preserve">Pacific Coast Pilot, 1879; Monthly Catalogue United</w:t></w:r>
</w:p>
<w:p>
<w:pPr><w:pStyle w:val="Normal"/></w:pPr>
<w:r><w:t xml:space="preserve">States Public Documents, No. 37 (1898), and Bulletin</w:t></w:r>
</w:p>
<w:p>
<w:pPr><w:pStyle w:val="Normal"/></w:pPr>
<w:r><w:t xml:space="preserve">227, United States Geological Surve8&apos; (1904), for official</w:t></w:r>
</w:p>
<w:p>
<w:pPr><w:pStyle w:val="Normal"/></w:pPr>
<w:r><w:t xml:space="preserve">documents; H. H. Bancroft, Alaska 1710--f8&amp;5) pp. 595-609;</w:t></w:r>
</w:p>
<w:p>
<w:pPr><w:pStyle w:val="Normal"/></w:pPr>
<w:r><w:t xml:space="preserve">and various other bibliographies in titles mentioned below,</w:t></w:r>
</w:p>
<w:p>
<w:pPr><w:pStyle w:val="Normal"/></w:pPr>
<w:r><w:t xml:space="preserve">especially in Brooke&apos;s The Geography and Geology of Alaska.</w:t></w:r>
</w:p>
<w:p>
<w:pPr><w:pStyle w:val="Normal"/></w:pPr>
<w:r><w:t xml:space="preserve">General.--United States Monthly Summary of Commerce Finance,</w:t></w:r>
</w:p>
<w:p>
<w:pPr><w:pStyle w:val="Normal"/></w:pPr>
<w:r><w:t xml:space="preserve">July 1903, ``Commercial Alaska, 1867-1903.  Area, Popula</w:t></w:r>
</w:p>
<w:p>
<w:pPr><w:pStyle w:val="Normal"/></w:pPr>
<w:r><w:t xml:space="preserve">tion, Productions, Commerce . . .&apos;&apos;; W. H. Dall, Alaska</w:t></w:r>
</w:p>
<w:p>
<w:pPr><w:pStyle w:val="Normal"/></w:pPr>
<w:r><w:t xml:space="preserve">and its Resources (Boston, 1870); C. Sumner, Speech on</w:t></w:r>
</w:p>
<w:p>
<w:pPr><w:pStyle w:val="Normal"/></w:pPr>
<w:r><w:t xml:space="preserve">``Cession of Russian-America to the United States,&apos;&apos; in</w:t></w:r>
</w:p>
<w:p>
<w:pPr><w:pStyle w:val="Normal"/></w:pPr>
<w:r><w:t xml:space="preserve">Works, vol. xi. (Boston, 1875): C. H. Merriam, editor,</w:t></w:r>
</w:p>
<w:p>
<w:pPr><w:pStyle w:val="Normal"/></w:pPr>
<w:r><w:t xml:space="preserve">Halrriman Alaska Expedition (New York, 1901-1904, 3 vols.).</w:t></w:r>
</w:p>
<w:p>
<w:pPr><w:pStyle w:val="Normal"/></w:pPr>
<w:r><w:t xml:space="preserve">Physiography and Climate.---United States Department of</w:t></w:r>
</w:p>
<w:p>
<w:pPr><w:pStyle w:val="Normal"/></w:pPr>
<w:r><w:t xml:space="preserve">War, Explorations in Alaska, 1864-1900 (Washington, 1901);</w:t></w:r>
</w:p>
<w:p>
<w:pPr><w:pStyle w:val="Normal"/></w:pPr>
<w:r><w:t xml:space="preserve">United States Geological Survey, Annual Reports since</w:t></w:r>
</w:p>
<w:p>
<w:pPr><w:pStyle w:val="Normal"/></w:pPr>
<w:r><w:t xml:space="preserve">1897---``The Geography and Geology of Alaska: A Summary of</w:t></w:r>
</w:p>
<w:p>
<w:pPr><w:pStyle w:val="Normal"/></w:pPr>
<w:r><w:t xml:space="preserve">Existing Knowledge,&apos;&apos; by Alfred H. Brooks (Washington, 1905;</w:t></w:r>
</w:p>
<w:p>
<w:pPr><w:pStyle w:val="Normal"/></w:pPr>
<w:r><w:t xml:space="preserve">Professional Paper, No. 45), with various maps (see National</w:t></w:r>
</w:p>
<w:p>
<w:pPr><w:pStyle w:val="Normal"/></w:pPr>
<w:r><w:t xml:space="preserve">Geographic Mag., May 1904, lor a map embodying all knowledge</w:t></w:r>
</w:p>
<w:p>
<w:pPr><w:pStyle w:val="Normal"/></w:pPr>
<w:r><w:t xml:space="preserve">then known); ``Altitudes in Alaska&apos;&apos; (Bulletin 100, by H.</w:t></w:r>
</w:p>
<w:p>
<w:pPr><w:pStyle w:val="Normal"/></w:pPr>
<w:r><w:t xml:space="preserve">Gannett); ``Geographic Dictionary of Alaksa&apos;&apos; (Bulletin</w:t></w:r>
</w:p>
<w:p>
<w:pPr><w:pStyle w:val="Normal"/></w:pPr>
<w:r><w:t xml:space="preserve">299, Washington, 1906), by M. Baker; United States Post</w:t></w:r>
</w:p>
<w:p>
<w:pPr><w:pStyle w:val="Normal"/></w:pPr>
<w:r><w:t xml:space="preserve">Office, ``Map of Alaska&apos;&apos; (1901); United States Coast and</w:t></w:r>
</w:p>
<w:p>
<w:pPr><w:pStyle w:val="Normal"/></w:pPr>
<w:r><w:t xml:space="preserve">Geodetic Survey, Bulletins and maps; Bulletin American</w:t></w:r>
</w:p>
<w:p>
<w:pPr><w:pStyle w:val="Normal"/></w:pPr>
<w:r><w:t xml:space="preserve">Geographieal Society, February 1902, F. S. Schrader, ``Work</w:t></w:r>
</w:p>
<w:p>
<w:pPr><w:pStyle w:val="Normal"/></w:pPr>
<w:r><w:t xml:space="preserve">of the United States Geological Survey in Alaska&apos;&apos;; Journal</w:t></w:r>
</w:p>
<w:p>
<w:pPr><w:pStyle w:val="Normal"/></w:pPr>
<w:r><w:t xml:space="preserve">of Franklin Institute, October and November 1904, W. R.</w:t></w:r>
</w:p>
<w:p>
<w:pPr><w:pStyle w:val="Normal"/></w:pPr>
<w:r><w:t xml:space="preserve">Abercrombie---``The Copper River Country of Alaska&apos;&apos;; I. C.</w:t></w:r>
</w:p>
<w:p>
<w:pPr><w:pStyle w:val="Normal"/></w:pPr>
<w:r><w:t xml:space="preserve">Russell, Glaciers of North America. . . . Ivan Petroff, Report</w:t></w:r>
</w:p>
<w:p>
<w:pPr><w:pStyle w:val="Normal"/></w:pPr>
<w:r><w:t xml:space="preserve">Industries.--United States Census, 1880, Ivan Petroff,</w:t></w:r>
</w:p>
<w:p>
<w:pPr><w:pStyle w:val="Normal"/></w:pPr>
<w:r><w:t xml:space="preserve">Report on the Population, Industries and Resources of</w:t></w:r>
</w:p>
<w:p>
<w:pPr><w:pStyle w:val="Normal"/></w:pPr>
<w:r><w:t xml:space="preserve">Alaska; United States Census, 1890 and 1900; on reindeer,</w:t></w:r>
</w:p>
<w:p>
<w:pPr><w:pStyle w:val="Normal"/></w:pPr>
<w:r><w:t xml:space="preserve">Fifteenth Annuat Report on Introduction of Domestic Reindeer</w:t></w:r>
</w:p>
<w:p>
<w:pPr><w:pStyle w:val="Normal"/></w:pPr>
<w:r><w:t xml:space="preserve">into Alaska, by Sheldon Jackson (Washington, 1906); on</w:t></w:r>
</w:p>
<w:p>
<w:pPr><w:pStyle w:val="Normal"/></w:pPr>
<w:r><w:t xml:space="preserve">agriculture, United States Department of Agriculture, Experiment</w:t></w:r>
</w:p>
<w:p>
<w:pPr><w:pStyle w:val="Normal"/></w:pPr>
<w:r><w:t xml:space="preserve">Stations, Bulletin Nos. 48, 62, 82 . . . (1898-1900); Seal</w:t></w:r>
</w:p>
<w:p>
<w:pPr><w:pStyle w:val="Normal"/></w:pPr>
<w:r><w:t xml:space="preserve">and Salmon Fisheries and General Industries of Alaska,</w:t></w:r>
</w:p>
<w:p>
<w:pPr><w:pStyle w:val="Normal"/></w:pPr>
<w:r><w:t xml:space="preserve">1868-1805 (Washington, 1898) (United States Treasury, also</w:t></w:r>
</w:p>
<w:p>
<w:pPr><w:pStyle w:val="Normal"/></w:pPr>
<w:r><w:t xml:space="preserve">55 Congress, 1 Session, House Document 92, vols. vi.-x.),</w:t></w:r>
</w:p>
<w:p>
<w:pPr><w:pStyle w:val="Normal"/></w:pPr>
<w:r><w:t xml:space="preserve">4 vols.; D. S. Jordan et al., The Fur Seals and Fur Seal</w:t></w:r>
</w:p>
<w:p>
<w:pPr><w:pStyle w:val="Normal"/></w:pPr>
<w:r><w:t xml:space="preserve">Islanids (or Peport of ln.: also many special reports on</w:t></w:r>
</w:p>
<w:p>
<w:pPr><w:pStyle w:val="Normal"/></w:pPr>
<w:r><w:t xml:space="preserve">the seals published by the voln.: also many special reports</w:t></w:r>
</w:p>
<w:p>
<w:pPr><w:pStyle w:val="Normal"/></w:pPr>
<w:r><w:t xml:space="preserve">on the seals published by the United States Treasury: for</w:t></w:r>
</w:p>
<w:p>
<w:pPr><w:pStyle w:val="Normal"/></w:pPr>
<w:r><w:t xml:space="preserve">Report of British seal experts, Creat Britain, Foreign Office</w:t></w:r>
</w:p>
<w:p>
<w:pPr><w:pStyle w:val="Normal"/></w:pPr>
<w:r><w:t xml:space="preserve">Correspondence, United States, No. 3 (1897), No. 1 (1898).</w:t></w:r>
</w:p>
<w:p>
<w:pPr><w:pStyle w:val="Normal"/></w:pPr>
<w:r><w:t xml:space="preserve">History and Government.--H.  H. Bancroft, Alaska, 1730-1885</w:t></w:r>
</w:p>
<w:p>
<w:pPr><w:pStyle w:val="Normal"/></w:pPr>
<w:r><w:t xml:space="preserve">(San Francisco, 1886); W. H. Dall, ``Alaska as it was and</w:t></w:r>
</w:p>
<w:p>
<w:pPr><w:pStyle w:val="Normal"/></w:pPr>
<w:r><w:t xml:space="preserve">is, 1863-1893,&apos;&apos; in Bulletin of the Philadelphia Society of</w:t></w:r>
</w:p>
<w:p>
<w:pPr><w:pStyle w:val="Normal"/></w:pPr>
<w:r><w:t xml:space="preserve">Washington, xiii.; Governor of Alaska, Annual Report to the</w:t></w:r>
</w:p>
<w:p>
<w:pPr><w:pStyle w:val="Normal"/></w:pPr>
<w:r><w:t xml:space="preserve">Secretary of the Interior; Fur Seal Arbitration, Proceedings</w:t></w:r>
</w:p>
<w:p>
<w:pPr><w:pStyle w:val="Normal"/></w:pPr>
<w:r><w:t xml:space="preserve">(Washington, 1895, 46 vols.l: also Great Britain, Foreign</w:t></w:r>
</w:p>
<w:p>
<w:pPr><w:pStyle w:val="Normal"/></w:pPr>
<w:r><w:t xml:space="preserve">Office Correspondence, United States, Nos. 6, 7, 8 (1893), No.</w:t></w:r>
</w:p>
<w:p>
<w:pPr><w:pStyle w:val="Normal"/></w:pPr>
<w:r><w:t xml:space="preserve">1 (1895); Alaskan Boundary Tribunal, Cases, Counter-cases,</w:t></w:r>
</w:p>
<w:p>
<w:pPr><w:pStyle w:val="Normal"/></w:pPr>
<w:r><w:t xml:space="preserve">Arguments, Atlases of United States and Great Britain</w:t></w:r>
</w:p>
<w:p>
<w:pPr><w:pStyle w:val="Normal"/></w:pPr>
<w:r><w:t xml:space="preserve">(Washington, 1903 seq.); and a rich periodical literature.</w:t></w:r>
</w:p>
<w:p>
<w:pPr><w:pStyle w:val="Normal"/></w:pPr>
<w:r><w:t xml:space="preserve">Population, Natives.--United States National Museum,</w:t></w:r>
</w:p>
<w:p>
<w:pPr><w:pStyle w:val="Normal"/></w:pPr>
<w:r><w:t xml:space="preserve">Ann. Report (1896); W. Hough, ``Lamp of the Eskimo&apos;&apos;</w:t></w:r>
</w:p>
<w:p>
<w:pPr><w:pStyle w:val="Normal"/></w:pPr>
<w:r><w:t xml:space="preserve">(long, and of general interest): F. Knapp and R. L. Childe,</w:t></w:r>
</w:p>
<w:p>
<w:pPr><w:pStyle w:val="Normal"/></w:pPr>
<w:r><w:t xml:space="preserve">The Thlinkets of South-Eastern Alaska (Chicago, 1896).</w:t></w:r>
</w:p>
<w:p>
<w:pPr><w:pStyle w:val="Normal"/></w:pPr>
<w:r><w:t xml:space="preserve">1 At Kodiak, the monthly means range from 28 deg.  to 33 deg.  with a</w:t></w:r>
</w:p>
<w:p>
<w:pPr><w:pStyle w:val="Normal"/></w:pPr>
<w:r><w:t xml:space="preserve">total range from -10 deg.  to 82 deg.  F., as against -5 deg.  to 87 deg.  F.</w:t></w:r>
</w:p>
<w:p>
<w:pPr><w:pStyle w:val="Normal"/></w:pPr>
<w:r><w:t xml:space="preserve">at Sitka; the average temperature is 40.6 deg.  F., rainfall 59 in.</w:t></w:r>
</w:p>
<w:p>
<w:pPr><w:pStyle w:val="Normal"/></w:pPr>
<w:r><w:t xml:space="preserve">2 At St Michael the mean annual temperature is about 26 deg. ,</w:t></w:r>
</w:p>
<w:p>
<w:pPr><w:pStyle w:val="Normal"/></w:pPr>
<w:r><w:t xml:space="preserve">the monthly means run from about -2 deg.  to 54 deg. , and the extreme</w:t></w:r>
</w:p>
<w:p>
<w:pPr><w:pStyle w:val="Normal"/></w:pPr>
<w:r><w:t xml:space="preserve">recorded temperatures from about -55 deg.  to 77 deg.  F.; at Port</w:t></w:r>
</w:p>
<w:p>
<w:pPr><w:pStyle w:val="Normal"/></w:pPr>
<w:r><w:t xml:space="preserve">Clarence the annual mean is 22 deg. lmonthly means -7 deg.  to 51 deg.</w:t></w:r>
</w:p>
<w:p>
<w:pPr><w:pStyle w:val="Normal"/></w:pPr>
<w:r><w:t xml:space="preserve">F.; extreme range of temperature, -38 deg.  to 77 deg.  F.; at Point</w:t></w:r>
</w:p>
<w:p>
<w:pPr><w:pStyle w:val="Normal"/></w:pPr>
<w:r><w:t xml:space="preserve">Barrow the annual mean is 7.70 F&apos;., monthly means -18.6 deg.</w:t></w:r>
</w:p>
<w:p>
<w:pPr><w:pStyle w:val="Normal"/></w:pPr>
<w:r><w:t xml:space="preserve">to 38.1 deg. F., extreme range of temperature -55 deg.  to 65 deg.  F.</w:t></w:r>
</w:p>
<w:p>
<w:pPr><w:pStyle w:val="Normal"/></w:pPr>
<w:r><w:t xml:space="preserve">3 The mean annual temperature on the Yukon at the international</w:t></w:r>
</w:p>
<w:p>
<w:pPr><w:pStyle w:val="Normal"/></w:pPr>
<w:r><w:t xml:space="preserve">line is about 21 deg.  F., the monthly means run from -17 deg.  to 60 deg.</w:t></w:r>
</w:p>
<w:p>
<w:pPr><w:pStyle w:val="Normal"/></w:pPr>
<w:r><w:t xml:space="preserve">F., the range of extreme temperatures from -80 deg.  to 90 deg.  F.</w:t></w:r>
</w:p>
<w:p>
<w:pPr><w:pStyle w:val="Normal"/></w:pPr>
<w:r><w:t xml:space="preserve">4 At Fort Yukon five years&apos; records showed mean seasonal</w:t></w:r>
</w:p>
<w:p>
<w:pPr><w:pStyle w:val="Normal"/></w:pPr>
<w:r><w:t xml:space="preserve">temperatures of 14 deg. , 60 deg. , 17 deg. , and -23.8 deg.  F. for spring,</w:t></w:r>
</w:p>
<w:p>
<w:pPr><w:pStyle w:val="Normal"/></w:pPr>
<w:r><w:t xml:space="preserve">summer, autumn and winter respectively: at Holy Cross Mission 20 deg. ,</w:t></w:r>
</w:p>
<w:p>
<w:pPr><w:pStyle w:val="Normal"/></w:pPr>
<w:r><w:t xml:space="preserve">59 deg. , 36 deg.  and 0.95 deg. , at Nulato 29 deg. , 60 deg. , 36 deg.  and -14 deg. . `</w:t></w:r>
</w:p>
<w:p>
<w:pPr><w:pStyle w:val="Normal"/></w:pPr>
<w:r><w:t xml:space="preserve">5 The Harriman expedition collected in two months 1000 species of</w:t></w:r>
</w:p>
<w:p>
<w:pPr><w:pStyle w:val="Normal"/></w:pPr>
<w:r><w:t xml:space="preserve">insects, of which 344 species (and 6 genera) were new to science.</w:t></w:r>
</w:p>
<w:p>
<w:pPr><w:pStyle w:val="Normal"/></w:pPr>
<w:r><w:t xml:space="preserve">6 The trees here grow as large as 10 in. in diameter and 40 or</w:t></w:r>
</w:p>
<w:p>
<w:pPr><w:pStyle w:val="Normal"/></w:pPr>
<w:r><w:t xml:space="preserve">50 ft. high; the branches do nor spread, even where there is room,</w:t></w:r>
</w:p>
<w:p>
<w:pPr><w:pStyle w:val="Normal"/></w:pPr>
<w:r><w:t xml:space="preserve">so ihat the tallest tree has a top only four or five feet broad;</w:t></w:r>
</w:p>
<w:p>
<w:pPr><w:pStyle w:val="Normal"/></w:pPr>
<w:r><w:t xml:space="preserve">the roots, which cannot penetrate the shaded and frozen soil,</w:t></w:r>
</w:p>
<w:p>
<w:pPr><w:pStyle w:val="Normal"/></w:pPr>
<w:r><w:t xml:space="preserve">spread over the ice or shallowly into the tundra carpeting, and</w:t></w:r>
</w:p>
<w:p>
<w:pPr><w:pStyle w:val="Normal"/></w:pPr>
<w:r><w:t xml:space="preserve">often only by their matted neiwork prevent the fall of the trees.</w:t></w:r>
</w:p>
<w:p>
<w:pPr><w:pStyle w:val="Normal"/></w:pPr>
<w:r><w:t xml:space="preserve">7 280 species of mosses proper, of which 46 were new to science,</w:t></w:r>
</w:p>
<w:p>
<w:pPr><w:pStyle w:val="Normal"/></w:pPr>
<w:r><w:t xml:space="preserve">and 16 varieties of peat moss (Sphognum) were listed by the</w:t></w:r>
</w:p>
<w:p>
<w:pPr><w:pStyle w:val="Normal"/></w:pPr>
<w:r><w:t xml:space="preserve">Harriman expedition; and 74 species or varieties of ferns.</w:t></w:r>
</w:p>
<w:p>
<w:pPr><w:pStyle w:val="Normal"/></w:pPr>
<w:r><w:t xml:space="preserve">8 The value of the total aroduct of Alaska&apos;s fish canneries</w:t></w:r>
</w:p>
<w:p>
<w:pPr><w:pStyle w:val="Normal"/></w:pPr>
<w:r><w:t xml:space="preserve">was in 1905 $7,735,782, or 29.3% of the total for the</w:t></w:r>
</w:p>
<w:p>
<w:pPr><w:pStyle w:val="Normal"/></w:pPr>
<w:r><w:t xml:space="preserve">United States; in 1900 it was 17.4% of the country&apos;s total.</w:t></w:r>
</w:p>
<w:p>
<w:pPr><w:pStyle w:val="Normal"/></w:pPr>
<w:r><w:t xml:space="preserve">9 Seattle, Sitka and Valdez are connected by cable;</w:t></w:r>
</w:p>
<w:p>
<w:pPr><w:pStyle w:val="Normal"/></w:pPr>
<w:r><w:t xml:space="preserve">telegraoh lines run from the Panhandle inland to</w:t></w:r>
</w:p>
<w:p>
<w:pPr><w:pStyle w:val="Normal"/></w:pPr>
<w:r><w:t xml:space="preserve">the Yukon and down its valley to Fort St Michael.</w:t></w:r>
</w:p>
<w:p>
<w:pPr><w:pStyle w:val="Normal"/></w:pPr>
<w:r><w:t xml:space="preserve">ALASSIO, a town of Liguria, Italy, on the N.W. coast</w:t></w:r>
</w:p>
<w:p>
<w:pPr><w:pStyle w:val="Normal"/></w:pPr>
<w:r><w:t xml:space="preserve">of the Gulf of Genoa, in the province of Genoa, 57</w:t></w:r>
</w:p>
<w:p>
<w:pPr><w:pStyle w:val="Normal"/></w:pPr>
<w:r><w:t xml:space="preserve">m.  S.W. of the town of the same name by rail.  Pop. (1901)</w:t></w:r>
</w:p>
<w:p>
<w:pPr><w:pStyle w:val="Normal"/></w:pPr>
<w:r><w:t xml:space="preserve">5630.  It is mainly noticeable as a health resort in winter</w:t></w:r>
</w:p>
<w:p>
<w:pPr><w:pStyle w:val="Normal"/></w:pPr>
<w:r><w:t xml:space="preserve">and a bathing-place in summer, and has many hotels.  The</w:t></w:r>
</w:p>
<w:p>
<w:pPr><w:pStyle w:val="Normal"/></w:pPr>
<w:r><w:t xml:space="preserve">anchorage is safe, and the bay full of fish; the harbour</w:t></w:r>
</w:p>
<w:p>
<w:pPr><w:pStyle w:val="Normal"/></w:pPr>
<w:r><w:t xml:space="preserve">has a certain amount of trade.  The old town contains one</w:t></w:r>
</w:p>
<w:p>
<w:pPr><w:pStyle w:val="Normal"/></w:pPr>
<w:r><w:t xml:space="preserve">or two interesting churches, and commands a fine view.</w:t></w:r>
</w:p>
<w:p>
<w:pPr><w:pStyle w:val="Normal"/></w:pPr>
<w:r><w:t xml:space="preserve">ALASTOR, in Greek mythology, the spirit of revenge, which</w:t></w:r>
</w:p>
<w:p>
<w:pPr><w:pStyle w:val="Normal"/></w:pPr>
<w:r><w:t xml:space="preserve">prompts the members of a family to commit fresh crimes to obtain</w:t></w:r>
</w:p>
<w:p>
<w:pPr><w:pStyle w:val="Normal"/></w:pPr>
<w:r><w:t xml:space="preserve">satisfaction.  These crimes necessitate further acts of</w:t></w:r>
</w:p>
<w:p>
<w:pPr><w:pStyle w:val="Normal"/></w:pPr>
<w:r><w:t xml:space="preserve">vengeance, and the curse is thus transmitted from generation to</w:t></w:r>
</w:p>
<w:p>
<w:pPr><w:pStyle w:val="Normal"/></w:pPr>
<w:r><w:t xml:space="preserve">generation.  The word is also used for a man&apos;s evil genius,</w:t></w:r>
</w:p>
<w:p>
<w:pPr><w:pStyle w:val="Normal"/></w:pPr>
<w:r><w:t xml:space="preserve">which drives him to sin without any provocation; a man so</w:t></w:r>
</w:p>
<w:p>
<w:pPr><w:pStyle w:val="Normal"/></w:pPr>
<w:r><w:t xml:space="preserve">driven is sometimes called Alastor. The epithet is applied to</w:t></w:r>
</w:p>
<w:p>
<w:pPr><w:pStyle w:val="Normal"/></w:pPr>
<w:r><w:t xml:space="preserve">Zeus and the Erinyes as the deities of revenge and punishment.</w:t></w:r>
</w:p>
<w:p>
<w:pPr><w:pStyle w:val="Normal"/></w:pPr>
<w:r><w:t xml:space="preserve">ALA-TAU (``Variegated Mountains&apos;&apos;), the name of six</w:t></w:r>
</w:p>
<w:p>
<w:pPr><w:pStyle w:val="Normal"/></w:pPr>
<w:r><w:t xml:space="preserve">mountain ranges in Asiatic Russia.  Three of these are in the</w:t></w:r>
</w:p>
<w:p>
<w:pPr><w:pStyle w:val="Normal"/></w:pPr>
<w:r><w:t xml:space="preserve">government of Semiryechensk in Central Asia, all belonging to</w:t></w:r>
</w:p>
<w:p>
<w:pPr><w:pStyle w:val="Normal"/></w:pPr>
<w:r><w:t xml:space="preserve">the Tianshan system:---(1) the Terskei Ala-tau, south of and</w:t></w:r>
</w:p>
<w:p>
<w:pPr><w:pStyle w:val="Normal"/></w:pPr>
<w:r><w:t xml:space="preserve">parallel to the lake of Issyk-kul; (2) the Kunghei Ala-tau,</w:t></w:r>
</w:p>
<w:p>
<w:pPr><w:pStyle w:val="Normal"/></w:pPr>
<w:r><w:t xml:space="preserve">and (3) the Trans-Ili Ala-tau, both N. of and parallel to the</w:t></w:r>
</w:p>
<w:p>
<w:pPr><w:pStyle w:val="Normal"/></w:pPr>
<w:r><w:t xml:space="preserve">same lake; and (4) the Dzungarian Ala-tau, lying N. of the Ili</w:t></w:r>
</w:p>
<w:p>
<w:pPr><w:pStyle w:val="Normal"/></w:pPr>
<w:r><w:t xml:space="preserve">depression.  The first three link together the Tian-shan and</w:t></w:r>
</w:p>
<w:p>
<w:pPr><w:pStyle w:val="Normal"/></w:pPr>
<w:r><w:t xml:space="preserve">the Alexander Range.  Their mean elevation is 6000--7000 ft.;</w:t></w:r>
</w:p>
<w:p>
<w:pPr><w:pStyle w:val="Normal"/></w:pPr>
<w:r><w:t xml:space="preserve">their culminating point, Talgar, on a transverse ridge between</w:t></w:r>
</w:p>
<w:p>
<w:pPr><w:pStyle w:val="Normal"/></w:pPr>
<w:r><w:t xml:space="preserve">(2) and (3), reaches 15,000 ft.; the limits of perpetual</w:t></w:r>
</w:p>
<w:p>
<w:pPr><w:pStyle w:val="Normal"/></w:pPr>
<w:r><w:t xml:space="preserve">snow run at 11,000-11,700 ft.  The Dzungarian Ala-tau reach a</w:t></w:r>
</w:p>
<w:p>
<w:pPr><w:pStyle w:val="Normal"/></w:pPr>
<w:r><w:t xml:space="preserve">maximum altitude of 11,000 ft. and have a mean altitude of 6250</w:t></w:r>
</w:p>
<w:p>
<w:pPr><w:pStyle w:val="Normal"/></w:pPr>
<w:r><w:t xml:space="preserve">ft.  From the middle of the Alexander Range another range</w:t></w:r>
</w:p>
<w:p>
<w:pPr><w:pStyle w:val="Normal"/></w:pPr>
<w:r><w:t xml:space="preserve">(5) called Ala-tau, or Talastau, strikes west by south.  The</w:t></w:r>
</w:p>
<w:p>
<w:pPr><w:pStyle w:val="Normal"/></w:pPr>
<w:r><w:t xml:space="preserve">name Ala-tau also enters into the designation of (6), a range</w:t></w:r>
</w:p>
<w:p>
<w:pPr><w:pStyle w:val="Normal"/></w:pPr>
<w:r><w:t xml:space="preserve">between the upper Yenisei and the upper Ob, in the government</w:t></w:r>
</w:p>
<w:p>
<w:pPr><w:pStyle w:val="Normal"/></w:pPr>
<w:r><w:t xml:space="preserve">of Tomsk, namely, the Kuznetsk Ala-tau, forming an outlier of</w:t></w:r>
</w:p>
<w:p>
<w:pPr><w:pStyle w:val="Normal"/></w:pPr>
<w:r><w:t xml:space="preserve">the Altai Mountains, and reaching 6000-7000 ft. in altitude.</w:t></w:r>
</w:p>
<w:p>
<w:pPr><w:pStyle w:val="Normal"/></w:pPr>
<w:r><w:t xml:space="preserve">ALAUNA, ALAUNUS, the Celtic names of two rivers, &amp;c., in Roman</w:t></w:r>
</w:p>
<w:p>
<w:pPr><w:pStyle w:val="Normal"/></w:pPr>
<w:r><w:t xml:space="preserve">Britain.  Hence the modern Allan Water, river Alyn, &amp;c.</w:t></w:r>
</w:p>
<w:p>
<w:pPr><w:pStyle w:val="Normal"/></w:pPr>
<w:r><w:t xml:space="preserve">ALAVA, DON MIGUEL RICARDO DE (1770-1841), Spanish general</w:t></w:r>
</w:p>
<w:p>
<w:pPr><w:pStyle w:val="Normal"/></w:pPr>
<w:r><w:t xml:space="preserve">and statesman, was born at Vittoria in 1770.  He served first</w:t></w:r>
</w:p>
<w:p>
<w:pPr><w:pStyle w:val="Normal"/></w:pPr>
<w:r><w:t xml:space="preserve">in the navy, and had risen to be captain of a frigate when he</w:t></w:r>
</w:p>
<w:p>
<w:pPr><w:pStyle w:val="Normal"/></w:pPr>
<w:r><w:t xml:space="preserve">exchanged intorthe army, receiving corresponding rank.  He</w:t></w:r>
</w:p>
<w:p>
<w:pPr><w:pStyle w:val="Normal"/></w:pPr>
<w:r><w:t xml:space="preserve">was present as a marine at the battle of Trafalgar on board the</w:t></w:r>
</w:p>
<w:p>
<w:pPr><w:pStyle w:val="Normal"/></w:pPr>
<w:r><w:t xml:space="preserve">flagship of his uncle Admiral Alava.  In politics he followed</w:t></w:r>
</w:p>
<w:p>
<w:pPr><w:pStyle w:val="Normal"/></w:pPr>
<w:r><w:t xml:space="preserve">a very devious course.  At the assembly of Bayonne in 1808 he</w:t></w:r>
</w:p>
<w:p>
<w:pPr><w:pStyle w:val="Normal"/></w:pPr>
<w:r><w:t xml:space="preserve">was one of the most prominent of those who accepted the new</w:t></w:r>
</w:p>
<w:p>
<w:pPr><w:pStyle w:val="Normal"/></w:pPr>
<w:r><w:t xml:space="preserve">constitution from Joseph Bonaparte as king of Spain.  After the</w:t></w:r>
</w:p>
<w:p>
<w:pPr><w:pStyle w:val="Normal"/></w:pPr>
<w:r><w:t xml:space="preserve">national rising against French aggression, and the defeat of</w:t></w:r>
</w:p>
<w:p>
<w:pPr><w:pStyle w:val="Normal"/></w:pPr>
<w:r><w:t xml:space="preserve">General Dupont at Bailen in 1808, Alava joined the national</w:t></w:r>
</w:p>
<w:p>
<w:pPr><w:pStyle w:val="Normal"/></w:pPr>
<w:r><w:t xml:space="preserve">independent party, who were fighting in alliance with the</w:t></w:r>
</w:p>
<w:p>
<w:pPr><w:pStyle w:val="Normal"/></w:pPr>
<w:r><w:t xml:space="preserve">English.  The Spanish Cortes appointed him commissary at the</w:t></w:r>
</w:p>
<w:p>
<w:pPr><w:pStyle w:val="Normal"/></w:pPr>
<w:r><w:t xml:space="preserve">English headquarters, and the duke of Wellington, who regarded</w:t></w:r>
</w:p>
<w:p>
<w:pPr><w:pStyle w:val="Normal"/></w:pPr>
<w:r><w:t xml:space="preserve">him with great favour, made him one of his aides-decamp.</w:t></w:r>
</w:p>
<w:p>
<w:pPr><w:pStyle w:val="Normal"/></w:pPr>
<w:r><w:t xml:space="preserve">Before the close of the campaign he had risen to the rank of</w:t></w:r>
</w:p>
<w:p>
<w:pPr><w:pStyle w:val="Normal"/></w:pPr>
<w:r><w:t xml:space="preserve">brigadier-general.  On the restoration of Ferdinand,</w:t></w:r>
</w:p>
<w:p>
<w:pPr><w:pStyle w:val="Normal"/></w:pPr>
<w:r><w:t xml:space="preserve">Alava was cast into prison, but the influence of his uncle</w:t></w:r>
</w:p>
<w:p>
<w:pPr><w:pStyle w:val="Normal"/></w:pPr>
<w:r><w:t xml:space="preserve">Ethenard, the inquisitor, and of Wellington secured his speedy</w:t></w:r>
</w:p>
<w:p>
<w:pPr><w:pStyle w:val="Normal"/></w:pPr>
<w:r><w:t xml:space="preserve">release.  He soon contrived to gain the favour of the king,</w:t></w:r>
</w:p>
<w:p>
<w:pPr><w:pStyle w:val="Normal"/></w:pPr>
<w:r><w:t xml:space="preserve">who appointed him in 1815 ambassador to the Hague.  It was</w:t></w:r>
</w:p>
<w:p>
<w:pPr><w:pStyle w:val="Normal"/></w:pPr>
<w:r><w:t xml:space="preserve">therefore his remarkable forrune to be present at the battle</w:t></w:r>
</w:p>
<w:p>
<w:pPr><w:pStyle w:val="Normal"/></w:pPr>
<w:r><w:t xml:space="preserve">of Waterloo with Wellington&apos;s staff.  He is supposed to</w:t></w:r>
</w:p>
<w:p>
<w:pPr><w:pStyle w:val="Normal"/></w:pPr>
<w:r><w:t xml:space="preserve">have been the only man who was present at both Waterloo and</w:t></w:r>
</w:p>
<w:p>
<w:pPr><w:pStyle w:val="Normal"/></w:pPr>
<w:r><w:t xml:space="preserve">Trafalgar.  Four years later he was recalled owing, it is</w:t></w:r>
</w:p>
<w:p>
<w:pPr><w:pStyle w:val="Normal"/></w:pPr>
<w:r><w:t xml:space="preserve">said, to the marked kindness he had shown to his banished</w:t></w:r>
</w:p>
<w:p>
<w:pPr><w:pStyle w:val="Normal"/></w:pPr>
<w:r><w:t xml:space="preserve">fellow-countrymen.  On the breaking out of the revolution</w:t></w:r>
</w:p>
<w:p>
<w:pPr><w:pStyle w:val="Normal"/></w:pPr>
<w:r><w:t xml:space="preserve">of 1820 he was chosen by the province of Alava to represent</w:t></w:r>
</w:p>
<w:p>
<w:pPr><w:pStyle w:val="Normal"/></w:pPr>
<w:r><w:t xml:space="preserve">it in the Cortes, where he became conspicuous in the party</w:t></w:r>
</w:p>
<w:p>
<w:pPr><w:pStyle w:val="Normal"/></w:pPr>
<w:r><w:t xml:space="preserve">of the Exallados, and in 1822 was made president.  In</w:t></w:r>
</w:p>
<w:p>
<w:pPr><w:pStyle w:val="Normal"/></w:pPr>
<w:r><w:t xml:space="preserve">the latter year he fought with the militia under Francisco</w:t></w:r>
</w:p>
<w:p>
<w:pPr><w:pStyle w:val="Normal"/></w:pPr>
<w:r><w:t xml:space="preserve">Ballesteros and Pablo Murillo to maintain the authority of</w:t></w:r>
</w:p>
<w:p>
<w:pPr><w:pStyle w:val="Normal"/></w:pPr>
<w:r><w:t xml:space="preserve">the Cortes against the rebels.  When the French invested</w:t></w:r>
</w:p>
<w:p>
<w:pPr><w:pStyle w:val="Normal"/></w:pPr>
<w:r><w:t xml:space="preserve">Cadiz, Alava was commissioned by the Cortes to treat with</w:t></w:r>
</w:p>
<w:p>
<w:pPr><w:pStyle w:val="Normal"/></w:pPr>
<w:r><w:t xml:space="preserve">the duc d&apos;Angouleme, and the negotiations resulted in the</w:t></w:r>
</w:p>
<w:p>
<w:pPr><w:pStyle w:val="Normal"/></w:pPr>
<w:r><w:t xml:space="preserve">restoration of Ferdinand, who pledged himself to a liberal</w:t></w:r>
</w:p>
<w:p>
<w:pPr><w:pStyle w:val="Normal"/></w:pPr>
<w:r><w:t xml:space="preserve">policy.  No sooner had he regained power, however, than</w:t></w:r>
</w:p>
<w:p>
<w:pPr><w:pStyle w:val="Normal"/></w:pPr>
<w:r><w:t xml:space="preserve">he ceased to hold himself bound by his promises, and</w:t></w:r>
</w:p>
<w:p>
<w:pPr><w:pStyle w:val="Normal"/></w:pPr>
<w:r><w:t xml:space="preserve">Alava found it necessary to retire first to Gibraltar and</w:t></w:r>
</w:p>
<w:p>
<w:pPr><w:pStyle w:val="Normal"/></w:pPr>
<w:r><w:t xml:space="preserve">then to England.  On the death of Ferdinand he returned to</w:t></w:r>
</w:p>
<w:p>
<w:pPr><w:pStyle w:val="Normal"/></w:pPr>
<w:r><w:t xml:space="preserve">Spain, and espousing the cause of Maria Christina against</w:t></w:r>
</w:p>
<w:p>
<w:pPr><w:pStyle w:val="Normal"/></w:pPr>
<w:r><w:t xml:space="preserve">Don Carlos was appointed ambassador to London in 1834 and</w:t></w:r>
</w:p>
<w:p>
<w:pPr><w:pStyle w:val="Normal"/></w:pPr>
<w:r><w:t xml:space="preserve">to Paris in 1835.  After the insurrection of La Granja he</w:t></w:r>
</w:p>
<w:p>
<w:pPr><w:pStyle w:val="Normal"/></w:pPr>
<w:r><w:t xml:space="preserve">refused to sign the constitution of 1812, declaring himself</w:t></w:r>
</w:p>
<w:p>
<w:pPr><w:pStyle w:val="Normal"/></w:pPr>
<w:r><w:t xml:space="preserve">tired of taking new oaths, and was consequently obliged</w:t></w:r>
</w:p>
<w:p>
<w:pPr><w:pStyle w:val="Normal"/></w:pPr>
<w:r><w:t xml:space="preserve">to retire to France, where he died at Bareges in 1843.</w:t></w:r>
</w:p>
<w:p>
<w:pPr><w:pStyle w:val="Normal"/></w:pPr>
<w:r><w:t xml:space="preserve">Frequent and honourable mention of Alava is made in Napier&apos;s</w:t></w:r>
</w:p>
<w:p>
<w:pPr><w:pStyle w:val="Normal"/></w:pPr>
<w:r><w:t xml:space="preserve">History of the Peninsular War, and his name is often met borh</w:t></w:r>
</w:p>
<w:p>
<w:pPr><w:pStyle w:val="Normal"/></w:pPr>
<w:r><w:t xml:space="preserve">in lives of the duke of Wellington and in his correspondence.</w:t></w:r>
</w:p>
<w:p>
<w:pPr><w:pStyle w:val="Normal"/></w:pPr>
<w:r><w:t xml:space="preserve">ALAVA, one of the Basque Provinces of northern Spain;</w:t></w:r>
</w:p>
<w:p>
<w:pPr><w:pStyle w:val="Normal"/></w:pPr>
<w:r><w:t xml:space="preserve">bounded on the N. by Biscay and Guipuzcoa, E. by Navarre, S. by</w:t></w:r>
</w:p>
<w:p>
<w:pPr><w:pStyle w:val="Normal"/></w:pPr>
<w:r><w:t xml:space="preserve">Logrono, and W. by Burgos.  Pop. (1900) 96,385; area 1175 sq.</w:t></w:r>
</w:p>
<w:p>
<w:pPr><w:pStyle w:val="Normal"/></w:pPr>
<w:r><w:t xml:space="preserve">m.  The countship of Trevino (190 sq. m.) in the centre of</w:t></w:r>
</w:p>
<w:p>
<w:pPr><w:pStyle w:val="Normal"/></w:pPr>
<w:r><w:t xml:space="preserve">Alava belongs to the province of Burgos.  The surface of</w:t></w:r>
</w:p>
<w:p>
<w:pPr><w:pStyle w:val="Normal"/></w:pPr>
<w:r><w:t xml:space="preserve">Alava is very mountainous, especially on the north, where</w:t></w:r>
</w:p>
<w:p>
<w:pPr><w:pStyle w:val="Normal"/></w:pPr>
<w:r><w:t xml:space="preserve">a part of the Pyrenees forms its natural boundary.  It is</w:t></w:r>
</w:p>
<w:p>
<w:pPr><w:pStyle w:val="Normal"/></w:pPr>
<w:r><w:t xml:space="preserve">separated from Logrono by the river Ebro, and its other rivers</w:t></w:r>
</w:p>
<w:p>
<w:pPr><w:pStyle w:val="Normal"/></w:pPr>
<w:r><w:t xml:space="preserve">are the Zadorra and the Ayuda.  The climate is mild in summer,</w:t></w:r>
</w:p>
<w:p>
<w:pPr><w:pStyle w:val="Normal"/></w:pPr>
<w:r><w:t xml:space="preserve">fitful in autumn and spring, and very cold in winter, as even</w:t></w:r>
</w:p>
<w:p>
<w:pPr><w:pStyle w:val="Normal"/></w:pPr>
<w:r><w:t xml:space="preserve">the plains are high and shut in on three sides by mountains</w:t></w:r>
</w:p>
<w:p>
<w:pPr><w:pStyle w:val="Normal"/></w:pPr>
<w:r><w:t xml:space="preserve">snow-clad during several months.  The soil in the valleys</w:t></w:r>
</w:p>
<w:p>
<w:pPr><w:pStyle w:val="Normal"/></w:pPr>
<w:r><w:t xml:space="preserve">is fertile, yielding wheat, barley, maize, flax, hemp and</w:t></w:r>
</w:p>
<w:p>
<w:pPr><w:pStyle w:val="Normal"/></w:pPr>
<w:r><w:t xml:space="preserve">fruits.  Oil and a poor kind of wine called chacoli are also</w:t></w:r>
</w:p>
<w:p>
<w:pPr><w:pStyle w:val="Normal"/></w:pPr>
<w:r><w:t xml:space="preserve">produced.  Many of the mountains are clothed with forests</w:t></w:r>
</w:p>
<w:p>
<w:pPr><w:pStyle w:val="Normal"/></w:pPr>
<w:r><w:t xml:space="preserve">of oak, chestnuts, beeches and other trees, and contain</w:t></w:r>
</w:p>
<w:p>
<w:pPr><w:pStyle w:val="Normal"/></w:pPr>
<w:r><w:t xml:space="preserve">iron, copper, lead and marble.  Salt is also found in large</w:t></w:r>
</w:p>
<w:p>
<w:pPr><w:pStyle w:val="Normal"/></w:pPr>
<w:r><w:t xml:space="preserve">quantities; but mining and quarrying are not practised</w:t></w:r>
</w:p>
<w:p>
<w:pPr><w:pStyle w:val="Normal"/></w:pPr>
<w:r><w:t xml:space="preserve">on a large scale; only lead, lignite and asphalt being</w:t></w:r>
</w:p>
<w:p>
<w:pPr><w:pStyle w:val="Normal"/></w:pPr>
<w:r><w:t xml:space="preserve">worked.  There are mineral waters in many places.  Other</w:t></w:r>
</w:p>
<w:p>
<w:pPr><w:pStyle w:val="Normal"/></w:pPr>
<w:r><w:t xml:space="preserve">local industries of some importance include smelting, and</w:t></w:r>
</w:p>
<w:p>
<w:pPr><w:pStyle w:val="Normal"/></w:pPr>
<w:r><w:t xml:space="preserve">manufactures of beds, furniture, railway carriages, matches,</w:t></w:r>
</w:p>
<w:p>
<w:pPr><w:pStyle w:val="Normal"/></w:pPr>
<w:r><w:t xml:space="preserve">paper, sweets and woollen and cotton goods.  Bread-stuffs.</w:t></w:r>
</w:p>
<w:p>
<w:pPr><w:pStyle w:val="Normal"/></w:pPr>
<w:r><w:t xml:space="preserve">colonial products and machinery are largely imported.  Few</w:t></w:r>
</w:p>
<w:p>
<w:pPr><w:pStyle w:val="Normal"/></w:pPr>
<w:r><w:t xml:space="preserve">provinces in Spain are inhabited by so laborious, active and</w:t></w:r>
</w:p>
<w:p>
<w:pPr><w:pStyle w:val="Normal"/></w:pPr>
<w:r><w:t xml:space="preserve">well-to-do a population.  The primary schools are numerously</w:t></w:r>
</w:p>
<w:p>
<w:pPr><w:pStyle w:val="Normal"/></w:pPr>
<w:r><w:t xml:space="preserve">attended, and there are very good normal schools for teachers</w:t></w:r>
</w:p>
<w:p>
<w:pPr><w:pStyle w:val="Normal"/></w:pPr>
<w:r><w:t xml:space="preserve">of both sexes, and a model agricultural farm: The public</w:t></w:r>
</w:p>
<w:p>
<w:pPr><w:pStyle w:val="Normal"/></w:pPr>
<w:r><w:t xml:space="preserve">roads and other works of the province are excellent, and,</w:t></w:r>
</w:p>
<w:p>
<w:pPr><w:pStyle w:val="Normal"/></w:pPr>
<w:r><w:t xml:space="preserve">like those of the rest of the Basque provinces, entirely kept</w:t></w:r>
</w:p>
<w:p>
<w:pPr><w:pStyle w:val="Normal"/></w:pPr>
<w:r><w:t xml:space="preserve">up by local initiative and taxes.  Railways from Madrid to</w:t></w:r>
</w:p>
<w:p>
<w:pPr><w:pStyle w:val="Normal"/></w:pPr>
<w:r><w:t xml:space="preserve">the French frontier, and from Saragossa to Bilbao, cross the</w:t></w:r>
</w:p>
<w:p>
<w:pPr><w:pStyle w:val="Normal"/></w:pPr>
<w:r><w:t xml:space="preserve">province.  The capital is Vitoria (pop. 1900, 30,701),</w:t></w:r>
</w:p>
<w:p>
<w:pPr><w:pStyle w:val="Normal"/></w:pPr>
<w:r><w:t xml:space="preserve">which is the only town with more than 3500 inhabitants.</w:t></w:r>
</w:p>
<w:p>
<w:pPr><w:pStyle w:val="Normal"/></w:pPr>
<w:r><w:t xml:space="preserve">For a fuller account of the history, people and customs of</w:t></w:r>
</w:p>
<w:p>
<w:pPr><w:pStyle w:val="Normal"/></w:pPr>
<w:r><w:t xml:space="preserve">Alava, see BASQUES and BASQUE PROVINCE, with the works there</w:t></w:r>
</w:p>
<w:p>
<w:pPr><w:pStyle w:val="Normal"/></w:pPr>
<w:r><w:t xml:space="preserve">cited.  A very elaborate bibliograohy is given in the Catalogo</w:t></w:r>
</w:p>
<w:p>
<w:pPr><w:pStyle w:val="Normal"/></w:pPr>
<w:r><w:t xml:space="preserve">de las obras referentes a las provincias de Alava y Navarra,</w:t></w:r>
</w:p>
<w:p>
<w:pPr><w:pStyle w:val="Normal"/></w:pPr>
<w:r><w:t xml:space="preserve">by A. A. Salazar (Madrid, 1887.) The following books by i.</w:t></w:r>
</w:p>
<w:p>
<w:pPr><w:pStyle w:val="Heading1"/></w:pPr>
<w:r><w:t>I. Landazuri y Romarate contain much material for a provincial</w:t></w:r>
</w:p>
<w:p>
<w:pPr><w:pStyle w:val="Normal"/></w:pPr>
<w:r><w:t xml:space="preserve">history:--Historia ecclesiastica, &amp;c. (Pamplona, 1797);</w:t></w:r>
</w:p>
<w:p>
<w:pPr><w:pStyle w:val="Normal"/></w:pPr>
<w:r><w:t xml:space="preserve">Historia civil, &amp;c. (Vitodes, 1798); Compendios historicos</w:t></w:r>
</w:p>
<w:p>
<w:pPr><w:pStyle w:val="Normal"/></w:pPr>
<w:r><w:t xml:space="preserve">de la ciudad y villas de . . . Alava, &amp;c. (Pamplona,</w:t></w:r>
</w:p>
<w:p>
<w:pPr><w:pStyle w:val="Normal"/></w:pPr>
<w:r><w:t xml:space="preserve">1798); Suplemento a&apos; los cuatro libros de la historia de</w:t></w:r>
</w:p>
<w:p>
<w:pPr><w:pStyle w:val="Normal"/></w:pPr>
<w:r><w:t xml:space="preserve">. . . Alava (Vitoria, 1799); and Los varones illustres</w:t></w:r>
</w:p>
<w:p>
<w:pPr><w:pStyle w:val="Normal"/></w:pPr>
<w:r><w:t xml:space="preserve">Alavenses Vitoria, 1798).  See also M. Risco in vol. 33 of</w:t></w:r>
</w:p>
<w:p>
<w:pPr><w:pStyle w:val="Normal"/></w:pPr>
<w:r><w:t xml:space="preserve">Hispania Sagiada, by H. Florez, &amp;c. (Madrid, 1754-1879).</w:t></w:r>
</w:p>
<w:p>
<w:pPr><w:pStyle w:val="Normal"/></w:pPr>
<w:r><w:t xml:space="preserve">ALB (Lat. alba, from albus, white), a liturgical vestment</w:t></w:r>
</w:p>
<w:p>
<w:pPr><w:pStyle w:val="Normal"/></w:pPr>
<w:r><w:t xml:space="preserve">of the Catholic Church.  It is a sack-like tunic of white</w:t></w:r>
</w:p>
<w:p>
<w:pPr><w:pStyle w:val="Normal"/></w:pPr>
<w:r><w:t xml:space="preserve">linen, with narrow sleeves and a hole for the head to pass</w:t></w:r>
</w:p>
<w:p>
<w:pPr><w:pStyle w:val="Normal"/></w:pPr>
<w:r><w:t xml:space="preserve">through, and when gathered up round the waist by the girdle</w:t></w:r>
</w:p>
<w:p>
<w:pPr><w:pStyle w:val="Normal"/></w:pPr>
<w:r><w:t xml:space="preserve">(cingulum) just clears the ground.  Albs were originally</w:t></w:r>
</w:p>
<w:p>
<w:pPr><w:pStyle w:val="Normal"/></w:pPr>
<w:r><w:t xml:space="preserve">quite plain, but about the 10th century the custom arose of</w:t></w:r>
</w:p>
<w:p>
<w:pPr><w:pStyle w:val="Normal"/></w:pPr>
<w:r><w:t xml:space="preserve">ornamenting the borders and the cuffs of the sleeves with</w:t></w:r>
</w:p>
<w:p>
<w:pPr><w:pStyle w:val="Normal"/></w:pPr>
<w:r><w:t xml:space="preserve">strips of embroidery, and this became common in the 12th</w:t></w:r>
</w:p>
<w:p>
<w:pPr><w:pStyle w:val="Normal"/></w:pPr>
<w:r><w:t xml:space="preserve">century.  These at first encircled the whole border; but soon</w:t></w:r>
</w:p>
<w:p>
<w:pPr><w:pStyle w:val="Normal"/></w:pPr>
<w:r><w:t xml:space="preserve">it became customary to substitute for them square patches of</w:t></w:r>
</w:p>
<w:p>
<w:pPr><w:pStyle w:val="Normal"/></w:pPr>
<w:r><w:t xml:space="preserve">embroidery or precious fabrics.  These ``parures&apos;&apos; ``apparels&apos;&apos;</w:t></w:r>
</w:p>
<w:p>
<w:pPr><w:pStyle w:val="Normal"/></w:pPr>
<w:r><w:t xml:space="preserve">or ``orphreys&apos;&apos; (Lat. parun&apos;ae, grammala, aurifeisia,</w:t></w:r>
</w:p>
<w:p>
<w:pPr><w:pStyle w:val="Normal"/></w:pPr>
<w:r><w:t xml:space="preserve">&amp;c.), were usually four in number, one being sewn on the</w:t></w:r>
</w:p>
<w:p>
<w:pPr><w:pStyle w:val="Normal"/></w:pPr>
<w:r><w:t xml:space="preserve">back and another on the front of the vestment just above</w:t></w:r>
</w:p>
<w:p>
<w:pPr><w:pStyle w:val="Normal"/></w:pPr>
<w:r><w:t xml:space="preserve">the lower hem, and one on each cuff.  When, as occasionally</w:t></w:r>
</w:p>
<w:p>
<w:pPr><w:pStyle w:val="Normal"/></w:pPr>
<w:r><w:t xml:space="preserve">happened, a fifth was added, this was placed on the breast</w:t></w:r>
</w:p>
<w:p>
<w:pPr><w:pStyle w:val="Normal"/></w:pPr>
<w:r><w:t xml:space="preserve">just below the neck opening.  These ``apparelled albs&apos;&apos;</w:t></w:r>
</w:p>
<w:p>
<w:pPr><w:pStyle w:val="Normal"/></w:pPr>
<w:r><w:t xml:space="preserve">(albae paratae) continued in general use in the Western</w:t></w:r>
</w:p>
<w:p>
<w:pPr><w:pStyle w:val="Normal"/></w:pPr>
<w:r><w:t xml:space="preserve">Church till the 16th century, when a tendency to dispense</w:t></w:r>
</w:p>
<w:p>
<w:pPr><w:pStyle w:val="Normal"/></w:pPr>
<w:r><w:t xml:space="preserve">with the parures began, Rome itself setting the example.</w:t></w:r>
</w:p>
<w:p>
<w:pPr><w:pStyle w:val="Normal"/></w:pPr>
<w:r><w:t xml:space="preserve">The growth of the lace industry in the 17th century hastened</w:t></w:r>
</w:p>
<w:p>
<w:pPr><w:pStyle w:val="Normal"/></w:pPr>
<w:r><w:t xml:space="preserve">the process by leading to the substitution of broad bands of</w:t></w:r>
</w:p>
<w:p>
<w:pPr><w:pStyle w:val="Normal"/></w:pPr>
<w:r><w:t xml:space="preserve">lace as decoration; occasionally, as in a magnificent specimen</w:t></w:r>
</w:p>
<w:p>
<w:pPr><w:pStyle w:val="Normal"/></w:pPr>
<w:r><w:t xml:space="preserve">preserved at South Kensington, nearly half the vestment is</w:t></w:r>
</w:p>
<w:p>
<w:pPr><w:pStyle w:val="Normal"/></w:pPr>
<w:r><w:t xml:space="preserve">thus composed of lace.  At the present time, so far as the</w:t></w:r>
</w:p>
<w:p>
<w:pPr><w:pStyle w:val="Normal"/></w:pPr>
<w:r><w:t xml:space="preserve">Roman Catholic Church is concerned, apparelled albs are only</w:t></w:r>
</w:p>
<w:p>
<w:pPr><w:pStyle w:val="Normal"/></w:pPr>
<w:r><w:t xml:space="preserve">in regular use at Milan (Ambrosian Rite), and, partially, in</w:t></w:r>
</w:p>
<w:p>
<w:pPr><w:pStyle w:val="Normal"/></w:pPr>
<w:r><w:t xml:space="preserve">certain churches in Spain.  The decree of the Congregation</w:t></w:r>
</w:p>
<w:p>
<w:pPr><w:pStyle w:val="Normal"/></w:pPr>
<w:r><w:t xml:space="preserve">of Rites (May 18, 1819) says nothing about apparels, but</w:t></w:r>
</w:p>
<w:p>
<w:pPr><w:pStyle w:val="Normal"/></w:pPr>
<w:r><w:t xml:space="preserve">only lays down that the alb must be of white linen or hemp</w:t></w:r>
</w:p>
<w:p>
<w:pPr><w:pStyle w:val="Normal"/></w:pPr>
<w:r><w:t xml:space="preserve">cloth.  There is no definite rule as to the material or</w:t></w:r>
</w:p>
<w:p>
<w:pPr><w:pStyle w:val="Normal"/></w:pPr>
<w:r><w:t xml:space="preserve">character of the ornamentation, and attempts have been made,</w:t></w:r>
</w:p>
<w:p>
<w:pPr><w:pStyle w:val="Normal"/></w:pPr>
<w:r><w:t xml:space="preserve">especially in England, to revive the use of the apparelled alb.</w:t></w:r>
</w:p>
<w:p>
<w:pPr><w:pStyle w:val="Normal"/></w:pPr>
<w:r><w:t xml:space="preserve">In the Roman Church the alb is now reckoned as one of the vestments</w:t></w:r>
</w:p>
<w:p>
<w:pPr><w:pStyle w:val="Normal"/></w:pPr>
<w:r><w:t xml:space="preserve">proper to the sacrifice of the Mass.  It is worn by bishops,</w:t></w:r>
</w:p>
<w:p>
<w:pPr><w:pStyle w:val="Normal"/></w:pPr>
<w:r><w:t xml:space="preserve">priests, deacons and subdeacons under the other eucharistic</w:t></w:r>
</w:p>
<w:p>
<w:pPr><w:pStyle w:val="Normal"/></w:pPr>
<w:r><w:t xml:space="preserve">vestments, either at Mass or at functions connected with</w:t></w:r>
</w:p>
<w:p>
<w:pPr><w:pStyle w:val="Normal"/></w:pPr>
<w:r><w:t xml:space="preserve">it.  It is sometimes also worn by clerics in minor orders,</w:t></w:r>
</w:p>
<w:p>
<w:pPr><w:pStyle w:val="Normal"/></w:pPr>
<w:r><w:t xml:space="preserve">whose proper vestment is, however, the surplice--itself a</w:t></w:r>
</w:p>
<w:p>
<w:pPr><w:pStyle w:val="Normal"/></w:pPr>
<w:r><w:t xml:space="preserve">modification of the alb (see SURPLICE.) The alb is supposed</w:t></w:r>
</w:p>
<w:p>
<w:pPr><w:pStyle w:val="Normal"/></w:pPr>
<w:r><w:t xml:space="preserve">to be symbolical of purity, and the priest, when putting it</w:t></w:r>
</w:p>
<w:p>
<w:pPr><w:pStyle w:val="Normal"/></w:pPr>
<w:r><w:t xml:space="preserve">on, prays: ``Make me white and purify my heart, O Lord,&apos;&apos;</w:t></w:r>
</w:p>
<w:p>
<w:pPr><w:pStyle w:val="Normal"/></w:pPr>
<w:r><w:t xml:space="preserve">&amp;c. In the middle ages the parures, which originally had</w:t></w:r>
</w:p>
<w:p>
<w:pPr><w:pStyle w:val="Normal"/></w:pPr>
<w:r><w:t xml:space="preserve">no mystic intention whatever, were taken to symbolize the</w:t></w:r>
</w:p>
<w:p>
<w:pPr><w:pStyle w:val="Normal"/></w:pPr>
<w:r><w:t xml:space="preserve">wounds of Christ; whence probably is derived the custom</w:t></w:r>
</w:p>
<w:p>
<w:pPr><w:pStyle w:val="Normal"/></w:pPr>
<w:r><w:t xml:space="preserve">surviving at the cathedral of Toledo, of the singers of</w:t></w:r>
</w:p>
<w:p>
<w:pPr><w:pStyle w:val="Normal"/></w:pPr>
<w:r><w:t xml:space="preserve">the Passion on Good Friday being vested in apparelled albs.</w:t></w:r>
</w:p>
<w:p>
<w:pPr><w:pStyle w:val="Normal"/></w:pPr>
<w:r><w:t xml:space="preserve">In England at the Reformation the alb went out of use with</w:t></w:r>
</w:p>
<w:p>
<w:pPr><w:pStyle w:val="Normal"/></w:pPr>
<w:r><w:t xml:space="preserve">the other ``Mass vestments,&apos;&apos; and remained out of use in the</w:t></w:r>
</w:p>
<w:p>
<w:pPr><w:pStyle w:val="Normal"/></w:pPr>
<w:r><w:t xml:space="preserve">Church of England until the ritual revival of the 19th century.</w:t></w:r>
</w:p>
<w:p>
<w:pPr><w:pStyle w:val="Normal"/></w:pPr>
<w:r><w:t xml:space="preserve">It is now worn in a considerable number of churches not only</w:t></w:r>
</w:p>
<w:p>
<w:pPr><w:pStyle w:val="Normal"/></w:pPr>
<w:r><w:t xml:space="preserve">by the clergy but by acolytes and servers at the Communion.</w:t></w:r>
</w:p>
<w:p>
<w:pPr><w:pStyle w:val="Normal"/></w:pPr>
<w:r><w:t xml:space="preserve">Where the ritual, as in most cases, is a revival of pre-Reformation</w:t></w:r>
</w:p>
<w:p>
<w:pPr><w:pStyle w:val="Normal"/></w:pPr>
<w:r><w:t xml:space="preserve">uses and not modelled on that of modern Rome, these albs are frequently</w:t></w:r>
</w:p>
<w:p>
<w:pPr><w:pStyle w:val="Normal"/></w:pPr>
<w:r><w:t xml:space="preserve">apparelled.  For the question of its legality see VESTMENTS.</w:t></w:r>
</w:p>
<w:p>
<w:pPr><w:pStyle w:val="Normal"/></w:pPr>
<w:r><w:t xml:space="preserve">Both the alb and its name are derived ultimately from the</w:t></w:r>
</w:p>
<w:p>
<w:pPr><w:pStyle w:val="Normal"/></w:pPr>
<w:r><w:t xml:space="preserve">tunica alba, the white tunic, which formed part of the</w:t></w:r>
</w:p>
<w:p>
<w:pPr><w:pStyle w:val="Normal"/></w:pPr>
<w:r><w:t xml:space="preserve">ordinary dress of Roman citizens under the Empire.  As such it</w:t></w:r>
</w:p>
<w:p>
<w:pPr><w:pStyle w:val="Normal"/></w:pPr>
<w:r><w:t xml:space="preserve">was worn both in and out of church, the few notices remaining</w:t></w:r>
</w:p>
<w:p>
<w:pPr><w:pStyle w:val="Normal"/></w:pPr>
<w:r><w:t xml:space="preserve">which suggest a special tunic for ministers at the Eucharist</w:t></w:r>
</w:p>
<w:p>
<w:pPr><w:pStyle w:val="Normal"/></w:pPr>
<w:r><w:t xml:space="preserve">merely implying that it was not fitting to use for so sacred</w:t></w:r>
</w:p>
<w:p>
<w:pPr><w:pStyle w:val="Normal"/></w:pPr>
<w:r><w:t xml:space="preserve">a function a garment soiled by everyday wear.  The date of its</w:t></w:r>
</w:p>
<w:p>
<w:pPr><w:pStyle w:val="Normal"/></w:pPr>
<w:r><w:t xml:space="preserve">definite adoption as a liturgical vestment is uncertain; at</w:t></w:r>
</w:p>
<w:p>
<w:pPr><w:pStyle w:val="Normal"/></w:pPr>
<w:r><w:t xml:space="preserve">Rome--- where until the 13th century it was known as the linea</w:t></w:r>
</w:p>
<w:p>
<w:pPr><w:pStyle w:val="Normal"/></w:pPr>
<w:r><w:t xml:space="preserve">or camisia (cf. the modern Italian camice for alb)---it</w:t></w:r>
</w:p>
<w:p>
<w:pPr><w:pStyle w:val="Normal"/></w:pPr>
<w:r><w:t xml:space="preserve">seems to have been thus used as early as the 5th century.  But</w:t></w:r>
</w:p>
<w:p>
<w:pPr><w:pStyle w:val="Normal"/></w:pPr>
<w:r><w:t xml:space="preserve">as late as the 9th and 10th centuries the alba is still an</w:t></w:r>
</w:p>
<w:p>
<w:pPr><w:pStyle w:val="Normal"/></w:pPr>
<w:r><w:t xml:space="preserve">everyday as well as a liturgical garment, and we find bishops</w:t></w:r>
</w:p>
<w:p>
<w:pPr><w:pStyle w:val="Normal"/></w:pPr>
<w:r><w:t xml:space="preserve">and synods forbidding priests to sing mass in the alba worn</w:t></w:r>
</w:p>
<w:p>
<w:pPr><w:pStyle w:val="Normal"/></w:pPr>
<w:r><w:t xml:space="preserve">by them in ordinary life (see Braun, p. 62). Throughout the</w:t></w:r>
</w:p>
<w:p>
<w:pPr><w:pStyle w:val="Normal"/></w:pPr>
<w:r><w:t xml:space="preserve">middle ages, moreover, the word alba was somewhat loosely</w:t></w:r>
</w:p>
<w:p>
<w:pPr><w:pStyle w:val="Normal"/></w:pPr>
<w:r><w:t xml:space="preserve">used.  In the medieval inventories are sometimes found albae,</w:t></w:r>
</w:p>
<w:p>
<w:pPr><w:pStyle w:val="Normal"/></w:pPr>
<w:r><w:t xml:space="preserve">described as red, blue or black; which has led to the belief</w:t></w:r>
</w:p>
<w:p>
<w:pPr><w:pStyle w:val="Normal"/></w:pPr>
<w:r><w:t xml:space="preserve">that albs were sometimes not only made of stuffs other than</w:t></w:r>
</w:p>
<w:p>
<w:pPr><w:pStyle w:val="Normal"/></w:pPr>
<w:r><w:t xml:space="preserve">linen, but were coloured.  It is clear, however, from the</w:t></w:r>
</w:p>
<w:p>
<w:pPr><w:pStyle w:val="Normal"/></w:pPr>
<w:r><w:t xml:space="preserve">descriptions of these vestments that in some cases they were</w:t></w:r>
</w:p>
<w:p>
<w:pPr><w:pStyle w:val="Normal"/></w:pPr>
<w:r><w:t xml:space="preserve">actually tunicles, the confusion of terms arising from the</w:t></w:r>
</w:p>
<w:p>
<w:pPr><w:pStyle w:val="Normal"/></w:pPr>
<w:r><w:t xml:space="preserve">similarity of shape (see DALMATIC); in other cases the colour</w:t></w:r>
</w:p>
<w:p>
<w:pPr><w:pStyle w:val="Normal"/></w:pPr>
<w:r><w:t xml:space="preserve">applied to the parures, not to the albs as a whole.  Silk</w:t></w:r>
</w:p>
<w:p>
<w:pPr><w:pStyle w:val="Normal"/></w:pPr>
<w:r><w:t xml:space="preserve">albs appear in the inventories, but only very exceptionally.</w:t></w:r>
</w:p>
<w:p>
<w:pPr><w:pStyle w:val="Normal"/></w:pPr>
<w:r><w:t xml:space="preserve">The equivalent of the alb in the ancient Churches of the</w:t></w:r>
</w:p>
<w:p>
<w:pPr><w:pStyle w:val="Normal"/></w:pPr>
<w:r><w:t xml:space="preserve">East is the sticharion (sticharion) of the Orthodox Church</w:t></w:r>
</w:p>
<w:p>
<w:pPr><w:pStyle w:val="Normal"/></w:pPr>
<w:r><w:t xml:space="preserve">(Armenian shapik, Syrian Kutina, Coptic stoicharion</w:t></w:r>
</w:p>
<w:p>
<w:pPr><w:pStyle w:val="Normal"/></w:pPr>
<w:r><w:t xml:space="preserve">or tuniah.) It is worn girdled by bishops and priests</w:t></w:r>
</w:p>
<w:p>
<w:pPr><w:pStyle w:val="Normal"/></w:pPr>
<w:r><w:t xml:space="preserve">in all rites, by subdeacons in the Greek and Coptic</w:t></w:r>
</w:p>
<w:p>
<w:pPr><w:pStyle w:val="Normal"/></w:pPr>
<w:r><w:t xml:space="preserve">rites.  By deacons and lectors it is worn ungirdled in all</w:t></w:r>
</w:p>
<w:p>
<w:pPr><w:pStyle w:val="Normal"/></w:pPr>
<w:r><w:t xml:space="preserve">the rites.  The colour of the vestment is usually white</w:t></w:r>
</w:p>
<w:p>
<w:pPr><w:pStyle w:val="Normal"/></w:pPr>
<w:r><w:t xml:space="preserve">for bishops and priests (this is the rule in the Coptic</w:t></w:r>
</w:p>
<w:p>
<w:pPr><w:pStyle w:val="Normal"/></w:pPr>
<w:r><w:t xml:space="preserve">Church); for the other orders there is no rule, and all</w:t></w:r>
</w:p>
<w:p>
<w:pPr><w:pStyle w:val="Normal"/></w:pPr>
<w:r><w:t xml:space="preserve">colours, except black, may be used.  Its material may be</w:t></w:r>
</w:p>
<w:p>
<w:pPr><w:pStyle w:val="Normal"/></w:pPr>
<w:r><w:t xml:space="preserve">linen, wool, cotton or silk; but silk only is the rule for</w:t></w:r>
</w:p>
<w:p>
<w:pPr><w:pStyle w:val="Normal"/></w:pPr>
<w:r><w:t xml:space="preserve">deacons.  In the Armenian and Coptic rites the vestment is</w:t></w:r>
</w:p>
<w:p>
<w:pPr><w:pStyle w:val="Normal"/></w:pPr>
<w:r><w:t xml:space="preserve">often elaborately embroidered; in the other rites the only</w:t></w:r>
</w:p>
<w:p>
<w:pPr><w:pStyle w:val="Normal"/></w:pPr>
<w:r><w:t xml:space="preserve">ornament is a cross high in the middle of the back, save in</w:t></w:r>
</w:p>
<w:p>
<w:pPr><w:pStyle w:val="Normal"/></w:pPr>
<w:r><w:t xml:space="preserve">the case of bishops of the Orthodox Church, whose sticharia</w:t></w:r>
</w:p>
<w:p>
<w:pPr><w:pStyle w:val="Normal"/></w:pPr>
<w:r><w:t xml:space="preserve">are ornamented with two vertical red stripes (potamoi,</w:t></w:r>
</w:p>
<w:p>
<w:pPr><w:pStyle w:val="Normal"/></w:pPr>
<w:r><w:t xml:space="preserve">``rivers&apos;&apos;).  In the East as in the West the vestment is</w:t></w:r>
</w:p>
<w:p>
<w:pPr><w:pStyle w:val="Normal"/></w:pPr>
<w:r><w:t xml:space="preserve">specially associated with the ritual of the Eucharist.</w:t></w:r>
</w:p>
<w:p>
<w:pPr><w:pStyle w:val="Normal"/></w:pPr>
<w:r><w:t xml:space="preserve">The whole subject is exhaustively treated by Father Joseph</w:t></w:r>
</w:p>
<w:p>
<w:pPr><w:pStyle w:val="Normal"/></w:pPr>
<w:r><w:t xml:space="preserve">Braun in Die liturgische Gewandung (Freiburg im Breisgau,</w:t></w:r>
</w:p>
<w:p>
<w:pPr><w:pStyle w:val="Normal"/></w:pPr>
<w:r><w:t xml:space="preserve">1907).  See also Bibliography to the article VESTMENTS.</w:t></w:r>
</w:p>
<w:p>
<w:pPr><w:pStyle w:val="Normal"/></w:pPr>
<w:r><w:t xml:space="preserve">ALBA, a town and episcopal see of Piedmont, Italy, on the</w:t></w:r>
</w:p>
<w:p>
<w:pPr><w:pStyle w:val="Normal"/></w:pPr>
<w:r><w:t xml:space="preserve">river Tanaro, in the province of Cuneo.  From the town of</w:t></w:r>
</w:p>
<w:p>
<w:pPr><w:pStyle w:val="Normal"/></w:pPr>
<w:r><w:t xml:space="preserve">the same name it is 33 m.  N.E. direct; it is 42 m.  S.S.E.</w:t></w:r>
</w:p>
<w:p>
<w:pPr><w:pStyle w:val="Normal"/></w:pPr>
<w:r><w:t xml:space="preserve">of Turin by rail.  Pop. (1901) 13,900.  It contains a fine</w:t></w:r>
</w:p>
<w:p>
<w:pPr><w:pStyle w:val="Normal"/></w:pPr>
<w:r><w:t xml:space="preserve">cathedral, with a Gothic facade, reconstructed in 1486, and</w:t></w:r>
</w:p>
<w:p>
<w:pPr><w:pStyle w:val="Normal"/></w:pPr>
<w:r><w:t xml:space="preserve">is an important commercial centre.  It occupies the site of</w:t></w:r>
</w:p>
<w:p>
<w:pPr><w:pStyle w:val="Normal"/></w:pPr>
<w:r><w:t xml:space="preserve">the ancient Alba Pompeia, probably founded by Pompeius Strabo</w:t></w:r>
</w:p>
<w:p>
<w:pPr><w:pStyle w:val="Normal"/></w:pPr>
<w:r><w:t xml:space="preserve">(consul 89 B.C.) when he constructed the road from Aquae</w:t></w:r>
</w:p>
<w:p>
<w:pPr><w:pStyle w:val="Normal"/></w:pPr>
<w:r><w:t xml:space="preserve">Statiellae (Acqui) to Augusta Taurinorum (Turin).  Probably</w:t></w:r>
</w:p>
<w:p>
<w:pPr><w:pStyle w:val="Normal"/></w:pPr>
<w:r><w:t xml:space="preserve">this was the road taken by Decimus Brutus when he succeeded,</w:t></w:r>
</w:p>
<w:p>
<w:pPr><w:pStyle w:val="Normal"/></w:pPr>
<w:r><w:t xml:space="preserve">after the raising of the siege of AIutina in 43 B.C., in</w:t></w:r>
</w:p>
<w:p>
<w:pPr><w:pStyle w:val="Normal"/></w:pPr>
<w:r><w:t xml:space="preserve">occupying Pollentia just before Mark Antony&apos;s cavalry came in</w:t></w:r>
</w:p>
<w:p>
<w:pPr><w:pStyle w:val="Normal"/></w:pPr>
<w:r><w:t xml:space="preserve">sight.  Alba was the birthplace of the emperor Pertinax.  It</w:t></w:r>
</w:p>
<w:p>
<w:pPr><w:pStyle w:val="Normal"/></w:pPr>
<w:r><w:t xml:space="preserve">became an episcopal see dependent on Milan in the 4th century.</w:t></w:r>
</w:p>
<w:p>
<w:pPr><w:pStyle w:val="Normal"/></w:pPr>
<w:r><w:t xml:space="preserve">A small museum of local antiquities was established in 1897.</w:t></w:r>
</w:p>
<w:p>
<w:pPr><w:pStyle w:val="Normal"/></w:pPr>
<w:r><w:t xml:space="preserve">See F. Eusebio in Atti del Congresso Internazionale</w:t></w:r>
</w:p>
<w:p>
<w:pPr><w:pStyle w:val="Normal"/></w:pPr>
<w:r><w:t xml:space="preserve">di Scienze Storiche (Rome, 1904), vol. v. p. 485.</w:t></w:r>
</w:p>
<w:p>
<w:pPr><w:pStyle w:val="Normal"/></w:pPr>
<w:r><w:t xml:space="preserve">ALBACETE, an inland province of south-eastern Spain, formed</w:t></w:r>
</w:p>
<w:p>
<w:pPr><w:pStyle w:val="Normal"/></w:pPr>
<w:r><w:t xml:space="preserve">in 1833 out of the northern half of Murcia, and bounded on the</w:t></w:r>
</w:p>
<w:p>
<w:pPr><w:pStyle w:val="Normal"/></w:pPr>
<w:r><w:t xml:space="preserve">N. by Cuenca, E. by Valencia and Alicante, S. by Murcia, and</w:t></w:r>
</w:p>
<w:p>
<w:pPr><w:pStyle w:val="Normal"/></w:pPr>
<w:r><w:t xml:space="preserve">W. by Granada and Jaen.  Pop. (1900) 237,877; area 5737 sq.</w:t></w:r>
</w:p>
<w:p>
<w:pPr><w:pStyle w:val="Normal"/></w:pPr>
<w:r><w:t xml:space="preserve">m.  The northern part of Albacete belongs to the high plains</w:t></w:r>
</w:p>
<w:p>
<w:pPr><w:pStyle w:val="Normal"/></w:pPr>
<w:r><w:t xml:space="preserve">of New Castile, the southern is generally mountainous,</w:t></w:r>
</w:p>
<w:p>
<w:pPr><w:pStyle w:val="Normal"/></w:pPr>
<w:r><w:t xml:space="preserve">traversed by low ranges or isolated groups of hills, which</w:t></w:r>
</w:p>
<w:p>
<w:pPr><w:pStyle w:val="Normal"/></w:pPr>
<w:r><w:t xml:space="preserve">culminate in the Sierra de Alcaraz on the borders of Granada,</w:t></w:r>
</w:p>
<w:p>
<w:pPr><w:pStyle w:val="Normal"/></w:pPr>
<w:r><w:t xml:space="preserve">where several summits reach 5000 ft.  Besides many smaller</w:t></w:r>
</w:p>
<w:p>
<w:pPr><w:pStyle w:val="Normal"/></w:pPr>
<w:r><w:t xml:space="preserve">streams, two large rivers water the province, the Segura in</w:t></w:r>
</w:p>
<w:p>
<w:pPr><w:pStyle w:val="Normal"/></w:pPr>
<w:r><w:t xml:space="preserve">the south-west, and the Jficar in the north-east; both rising</w:t></w:r>
</w:p>
<w:p>
<w:pPr><w:pStyle w:val="Normal"/></w:pPr>
<w:r><w:t xml:space="preserve">beyond the borders of Albacete, and ultimately flowing into the</w:t></w:r>
</w:p>
<w:p>
<w:pPr><w:pStyle w:val="Normal"/></w:pPr>
<w:r><w:t xml:space="preserve">Mediterranean.  The fertile glens of the Alcaraz district</w:t></w:r>
</w:p>
<w:p>
<w:pPr><w:pStyle w:val="Normal"/></w:pPr>
<w:r><w:t xml:space="preserve">are richly wooded, and often, from their multitude of fruit</w:t></w:r>
</w:p>
<w:p>
<w:pPr><w:pStyle w:val="Normal"/></w:pPr>
<w:r><w:t xml:space="preserve">trees, resemble the huertas or gardens of Alicante; but broad</w:t></w:r>
</w:p>
<w:p>
<w:pPr><w:pStyle w:val="Normal"/></w:pPr>
<w:r><w:t xml:space="preserve">tracts of land are destitute of trees, and suitable only for</w:t></w:r>
</w:p>
<w:p>
<w:pPr><w:pStyle w:val="Normal"/></w:pPr>
<w:r><w:t xml:space="preserve">pasture.  These barren regions are thinly peopled; and for the</w:t></w:r>
</w:p>
<w:p>
<w:pPr><w:pStyle w:val="Normal"/></w:pPr>
<w:r><w:t xml:space="preserve">whole of Albacete the density of population (41.3 per sq. m. in</w:t></w:r>
</w:p>
<w:p>
<w:pPr><w:pStyle w:val="Normal"/></w:pPr>
<w:r><w:t xml:space="preserve">1900) is lower than in any other Spanish province, except Soria.</w:t></w:r>
</w:p>
<w:p>
<w:pPr><w:pStyle w:val="Normal"/></w:pPr>
<w:r><w:t xml:space="preserve">The climate is generally mild and healthy, although, among</w:t></w:r>
</w:p>
<w:p>
<w:pPr><w:pStyle w:val="Normal"/></w:pPr>
<w:r><w:t xml:space="preserve">the higher mountains, the snow lies for several months.  Wheat</w:t></w:r>
</w:p>
<w:p>
<w:pPr><w:pStyle w:val="Normal"/></w:pPr>
<w:r><w:t xml:space="preserve">and other cereals are cultivated, with fruits of many kinds,</w:t></w:r>
</w:p>
<w:p>
<w:pPr><w:pStyle w:val="Normal"/></w:pPr>
<w:r><w:t xml:space="preserve">olives, and vines which yield a wine of fair quality; while</w:t></w:r>
</w:p>
<w:p>
<w:pPr><w:pStyle w:val="Normal"/></w:pPr>
<w:r><w:t xml:space="preserve">saffron is largely produced, and some attention is given to</w:t></w:r>
</w:p>
<w:p>
<w:pPr><w:pStyle w:val="Normal"/></w:pPr>
<w:r><w:t xml:space="preserve">thekeeping of bees and silkworms.  Stock-farming, for which</w:t></w:r>
</w:p>
<w:p>
<w:pPr><w:pStyle w:val="Normal"/></w:pPr>
<w:r><w:t xml:space="preserve">the wide plains afford excellent opportunities, employs</w:t></w:r>
</w:p>
<w:p>
<w:pPr><w:pStyle w:val="Normal"/></w:pPr>
<w:r><w:t xml:space="preserve">many of the peasantry; the bulls of Albacete are in demand</w:t></w:r>
</w:p>
<w:p>
<w:pPr><w:pStyle w:val="Normal"/></w:pPr>
<w:r><w:t xml:space="preserve">for bullfighting, and the horses for mounting the Spanish</w:t></w:r>
</w:p>
<w:p>
<w:pPr><w:pStyle w:val="Normal"/></w:pPr>
<w:r><w:t xml:space="preserve">cavalry.  There is also a good breed of mules.  Sulphurous</w:t></w:r>
</w:p>
<w:p>
<w:pPr><w:pStyle w:val="Normal"/></w:pPr>
<w:r><w:t xml:space="preserve">and other mineral springs, both hot and cold, exist in several</w:t></w:r>
</w:p>
<w:p>
<w:pPr><w:pStyle w:val="Normal"/></w:pPr>
<w:r><w:t xml:space="preserve">districts, and deposits of silver, iron, copper, sulphur, coal</w:t></w:r>
</w:p>
<w:p>
<w:pPr><w:pStyle w:val="Normal"/></w:pPr>
<w:r><w:t xml:space="preserve">and other minerals have been discovered; but the exploitation</w:t></w:r>
</w:p>
<w:p>
<w:pPr><w:pStyle w:val="Normal"/></w:pPr>
<w:r><w:t xml:space="preserve">of these is retarded by lack of communications, and, apart</w:t></w:r>
</w:p>
<w:p>
<w:pPr><w:pStyle w:val="Normal"/></w:pPr>
<w:r><w:t xml:space="preserve">from building materials, sulphur and salt, the actual output is</w:t></w:r>
</w:p>
<w:p>
<w:pPr><w:pStyle w:val="Normal"/></w:pPr>
<w:r><w:t xml:space="preserve">insignificant.  Manufactures are almost confined to the</w:t></w:r>
</w:p>
<w:p>
<w:pPr><w:pStyle w:val="Normal"/></w:pPr>
<w:r><w:t xml:space="preserve">spinning of hemp, and the making of coarse cloth, porcelain,</w:t></w:r>
</w:p>
<w:p>
<w:pPr><w:pStyle w:val="Normal"/></w:pPr>
<w:r><w:t xml:space="preserve">earthenware and cutlery.  Brandy distilleries are numerous, and</w:t></w:r>
</w:p>
<w:p>
<w:pPr><w:pStyle w:val="Normal"/></w:pPr>
<w:r><w:t xml:space="preserve">there is some trade in wood; but no local industry can rival</w:t></w:r>
</w:p>
<w:p>
<w:pPr><w:pStyle w:val="Normal"/></w:pPr>
<w:r><w:t xml:space="preserve">agriculture and stock-breeding, which furnish the bulk of the</w:t></w:r>
</w:p>
<w:p>
<w:pPr><w:pStyle w:val="Normal"/></w:pPr>
<w:r><w:t xml:space="preserve">exports.  Albacete (pop. 1900, 21,512), the capital, and</w:t></w:r>
</w:p>
<w:p>
<w:pPr><w:pStyle w:val="Normal"/></w:pPr>
<w:r><w:t xml:space="preserve">the other important towns of Almansa (11,180) and Hellin</w:t></w:r>
</w:p>
<w:p>
<w:pPr><w:pStyle w:val="Normal"/></w:pPr>
<w:r><w:t xml:space="preserve">(12,558), are described under separate headings.  Alcaraz,</w:t></w:r>
</w:p>
<w:p>
<w:pPr><w:pStyle w:val="Normal"/></w:pPr>
<w:r><w:t xml:space="preserve">which gives its name to the mountain range already mentioned,</w:t></w:r>
</w:p>
<w:p>
<w:pPr><w:pStyle w:val="Normal"/></w:pPr>
<w:r><w:t xml:space="preserve">is a picturesque old town with the ruins of a Moorish castle,</w:t></w:r>
</w:p>
<w:p>
<w:pPr><w:pStyle w:val="Normal"/></w:pPr>
<w:r><w:t xml:space="preserve">and a fine Roman aqueduct; pop. (1900) 4501.  Caudete (5913),</w:t></w:r>
</w:p>
<w:p>
<w:pPr><w:pStyle w:val="Normal"/></w:pPr>
<w:r><w:t xml:space="preserve">Chinchilla, or Chinchilla de Monte-Aragon (6680), La Roda</w:t></w:r>
</w:p>
<w:p>
<w:pPr><w:pStyle w:val="Normal"/></w:pPr>
<w:r><w:t xml:space="preserve">(7066), Tobarra (7787), Villarrobledo (10,125) and Yeste</w:t></w:r>
</w:p>
<w:p>
<w:pPr><w:pStyle w:val="Normal"/></w:pPr>
<w:r><w:t xml:space="preserve">(6591) are important markets for the sale of agricultural</w:t></w:r>
</w:p>
<w:p>
<w:pPr><w:pStyle w:val="Normal"/></w:pPr>
<w:r><w:t xml:space="preserve">produce.  The railway from Madrid to Albacete passes</w:t></w:r>
</w:p>
<w:p>
<w:pPr><w:pStyle w:val="Normal"/></w:pPr>
<w:r><w:t xml:space="preserve">south-westward to Chinchilla, where it bifurcates, one line</w:t></w:r>
</w:p>
<w:p>
<w:pPr><w:pStyle w:val="Normal"/></w:pPr>
<w:r><w:t xml:space="preserve">going to Murcia, and the other to Alicante.  A large part of</w:t></w:r>
</w:p>
<w:p>
<w:pPr><w:pStyle w:val="Normal"/></w:pPr>
<w:r><w:t xml:space="preserve">the province is only accessible by road, and even the main</w:t></w:r>
</w:p>
<w:p>
<w:pPr><w:pStyle w:val="Normal"/></w:pPr>
<w:r><w:t xml:space="preserve">highways maintained by the state are ill kept.  Education</w:t></w:r>
</w:p>
<w:p>
<w:pPr><w:pStyle w:val="Normal"/></w:pPr>
<w:r><w:t xml:space="preserve">is very backward even in the towns; many of the inhabitants</w:t></w:r>
</w:p>
<w:p>
<w:pPr><w:pStyle w:val="Normal"/></w:pPr>
<w:r><w:t xml:space="preserve">carry arms; and crimes of violence are not infrequent.</w:t></w:r>
</w:p>
<w:p>
<w:pPr><w:pStyle w:val="Normal"/></w:pPr>
<w:r><w:t xml:space="preserve">ALBACETE, the capital of the above province, on the MadridAlicante</w:t></w:r>
</w:p>
<w:p>
<w:pPr><w:pStyle w:val="Normal"/></w:pPr>
<w:r><w:t xml:space="preserve">railway, and at the confluence of the river Balazote with the</w:t></w:r>
</w:p>
<w:p>
<w:pPr><w:pStyle w:val="Normal"/></w:pPr>
<w:r><w:t xml:space="preserve">canal of Maria Christina, which flows into the river Jficar, 16</w:t></w:r>
</w:p>
<w:p>
<w:pPr><w:pStyle w:val="Normal"/></w:pPr>
<w:r><w:t xml:space="preserve">m.  N. Pop. (1900) 21,512.  Albacete comprises the picturesque</w:t></w:r>
</w:p>
<w:p>
<w:pPr><w:pStyle w:val="Normal"/></w:pPr>
<w:r><w:t xml:space="preserve">old upper town and the new or lower town, with iawCourts,</w:t></w:r>
</w:p>
<w:p>
<w:pPr><w:pStyle w:val="Normal"/></w:pPr>
<w:r><w:t xml:space="preserve">schools, barracks, hospitals, a councihhall, a bull-ring and</w:t></w:r>
</w:p>
<w:p>
<w:pPr><w:pStyle w:val="Normal"/></w:pPr>
<w:r><w:t xml:space="preserve">other modern buildings, mostly erected after the city became</w:t></w:r>
</w:p>
<w:p>
<w:pPr><w:pStyle w:val="Normal"/></w:pPr>
<w:r><w:t xml:space="preserve">a provincial capital in 1833.  It is surrounded by a fertile</w:t></w:r>
</w:p>
<w:p>
<w:pPr><w:pStyle w:val="Normal"/></w:pPr>
<w:r><w:t xml:space="preserve">plain, and has considerable trade in saffron and agricultural</w:t></w:r>
</w:p>
<w:p>
<w:pPr><w:pStyle w:val="Normal"/></w:pPr>
<w:r><w:t xml:space="preserve">produce.  A great market, chiefly for the sale of cattle,</w:t></w:r>
</w:p>
<w:p>
<w:pPr><w:pStyle w:val="Normal"/></w:pPr>
<w:r><w:t xml:space="preserve">is held annually in September, and extends over several</w:t></w:r>
</w:p>
<w:p>
<w:pPr><w:pStyle w:val="Normal"/></w:pPr>
<w:r><w:t xml:space="preserve">days.  The manufacture of matches is aided by the existence</w:t></w:r>
</w:p>
<w:p>
<w:pPr><w:pStyle w:val="Normal"/></w:pPr>
<w:r><w:t xml:space="preserve">of sulphur workings in the vicinity; and Albacete formerly</w:t></w:r>
</w:p>
<w:p>
<w:pPr><w:pStyle w:val="Normal"/></w:pPr>
<w:r><w:t xml:space="preserve">had an extensive trade in cutlery, from which it was named</w:t></w:r>
</w:p>
<w:p>
<w:pPr><w:pStyle w:val="Normal"/></w:pPr>
<w:r><w:t xml:space="preserve">the Sheffield of Spain.  Despite the importation of cutlery</w:t></w:r>
</w:p>
<w:p>
<w:pPr><w:pStyle w:val="Normal"/></w:pPr>
<w:r><w:t xml:space="preserve">from England and Germany, Albacete is still famous for its</w:t></w:r>
</w:p>
<w:p>
<w:pPr><w:pStyle w:val="Normal"/></w:pPr>
<w:r><w:t xml:space="preserve">daggers, which arc held in high repute by Spaniards.  They</w:t></w:r>
</w:p>
<w:p>
<w:pPr><w:pStyle w:val="Normal"/></w:pPr>
<w:r><w:t xml:space="preserve">are formidable weapons, of coarse manufacture, but with</w:t></w:r>
</w:p>
<w:p>
<w:pPr><w:pStyle w:val="Normal"/></w:pPr>
<w:r><w:t xml:space="preserve">richly ornamented handles; and they frequently bear proverbial</w:t></w:r>
</w:p>
<w:p>
<w:pPr><w:pStyle w:val="Normal"/></w:pPr>
<w:r><w:t xml:space="preserve">inscriptions suitable to their murderous appearance.</w:t></w:r>
</w:p>
<w:p>
<w:pPr><w:pStyle w:val="Normal"/></w:pPr>
<w:r><w:t xml:space="preserve">ALBA FUCENS (mod. Albe), an ancient Italian town occupying</w:t></w:r>
</w:p>
<w:p>
<w:pPr><w:pStyle w:val="Normal"/></w:pPr>
<w:r><w:t xml:space="preserve">a lofty situation (3347 ft.) at the foot of the Monte Velino, 4</w:t></w:r>
</w:p>
<w:p>
<w:pPr><w:pStyle w:val="Normal"/></w:pPr>
<w:r><w:t xml:space="preserve">m.  N. Of Avezzano.  It was originally a town of the Aequi,</w:t></w:r>
</w:p>
<w:p>
<w:pPr><w:pStyle w:val="Normal"/></w:pPr>
<w:r><w:t xml:space="preserve">though on the frontier of the Marsi, but was occupied by a</w:t></w:r>
</w:p>
<w:p>
<w:pPr><w:pStyle w:val="Normal"/></w:pPr>
<w:r><w:t xml:space="preserve">loied by a</w:t></w:r>
</w:p>
<w:p>
<w:pPr><w:pStyle w:val="Normal"/></w:pPr>
<w:r><w:t xml:space="preserve">Roman colony (304 B.C.I owing to its strategic importance.</w:t></w:r>
</w:p>
<w:p>
<w:pPr><w:pStyle w:val="Normal"/></w:pPr>
<w:r><w:t xml:space="preserve">It lay on a hill just to the north of the Via Valeria,</w:t></w:r>
</w:p>
<w:p>
<w:pPr><w:pStyle w:val="Normal"/></w:pPr>
<w:r><w:t xml:space="preserve">which was probably prolonged beyond Tibur at this very</w:t></w:r>
</w:p>
<w:p>
<w:pPr><w:pStyle w:val="Normal"/></w:pPr>
<w:r><w:t xml:space="preserve">period.  In the Second Punic war Alba at first remained</w:t></w:r>
</w:p>
<w:p>
<w:pPr><w:pStyle w:val="Normal"/></w:pPr>
<w:r><w:t xml:space="preserve">faithful, but afterwards refused to send contingents and was</w:t></w:r>
</w:p>
<w:p>
<w:pPr><w:pStyle w:val="Normal"/></w:pPr>
<w:r><w:t xml:space="preserve">punished.  After this it became a regular place of detention for</w:t></w:r>
</w:p>
<w:p>
<w:pPr><w:pStyle w:val="Normal"/></w:pPr>
<w:r><w:t xml:space="preserve">important state prisoners, such as Syphax of Numidia, Perseus of</w:t></w:r>
</w:p>
<w:p>
<w:pPr><w:pStyle w:val="Normal"/></w:pPr>
<w:r><w:t xml:space="preserve">Macedonia, Bituitus, king of the Arverni.  It was attacked by</w:t></w:r>
</w:p>
<w:p>
<w:pPr><w:pStyle w:val="Normal"/></w:pPr>
<w:r><w:t xml:space="preserve">the allies in the Social War, but remained faithful to Rome;</w:t></w:r>
</w:p>
<w:p>
<w:pPr><w:pStyle w:val="Normal"/></w:pPr>
<w:r><w:t xml:space="preserve">and its strong position rendered it a place of some importance</w:t></w:r>
</w:p>
<w:p>
<w:pPr><w:pStyle w:val="Normal"/></w:pPr>
<w:r><w:t xml:space="preserve">in the civil wars.  Its prosperity, in the imperial period,</w:t></w:r>
</w:p>
<w:p>
<w:pPr><w:pStyle w:val="Normal"/></w:pPr>
<w:r><w:t xml:space="preserve">can only be inferred from the number of inscriptions found</w:t></w:r>
</w:p>
<w:p>
<w:pPr><w:pStyle w:val="Normal"/></w:pPr>
<w:r><w:t xml:space="preserve">there.  It is chiefly remarkable for its finely preserved</w:t></w:r>
</w:p>
<w:p>
<w:pPr><w:pStyle w:val="Normal"/></w:pPr>
<w:r><w:t xml:space="preserve">fortifications.  The external walls, which have a circuit of</w:t></w:r>
</w:p>
<w:p>
<w:pPr><w:pStyle w:val="Normal"/></w:pPr>
<w:r><w:t xml:space="preserve">about 2 m., are constructed of polygonal masonry; the blocks</w:t></w:r>
</w:p>
<w:p>
<w:pPr><w:pStyle w:val="Normal"/></w:pPr>
<w:r><w:t xml:space="preserve">are carefully jointed, and the faces smoothed.  With our present</w:t></w:r>
</w:p>
<w:p>
<w:pPr><w:pStyle w:val="Normal"/></w:pPr>
<w:r><w:t xml:space="preserve">knowledge of such constructions, their date cannot certainly be</w:t></w:r>
</w:p>
<w:p>
<w:pPr><w:pStyle w:val="Normal"/></w:pPr>
<w:r><w:t xml:space="preserve">determined.  They are not preserved to any very considerable</w:t></w:r>
</w:p>
<w:p>
<w:pPr><w:pStyle w:val="Normal"/></w:pPr>
<w:r><w:t xml:space="preserve">height; but the arrangement of the gates is clearly traceable;</w:t></w:r>
</w:p>
<w:p>
<w:pPr><w:pStyle w:val="Normal"/></w:pPr>
<w:r><w:t xml:space="preserve">as a rule they come at the end of a long, straight stretch of</w:t></w:r>
</w:p>
<w:p>
<w:pPr><w:pStyle w:val="Normal"/></w:pPr>
<w:r><w:t xml:space="preserve">wall, and are placed so as to leave the right side of any</w:t></w:r>
</w:p>
<w:p>
<w:pPr><w:pStyle w:val="Normal"/></w:pPr>
<w:r><w:t xml:space="preserve">attacking force exposed.  On the north there is, for a length</w:t></w:r>
</w:p>
<w:p>
<w:pPr><w:pStyle w:val="Normal"/></w:pPr>
<w:r><w:t xml:space="preserve">of about 150 yds. a triple line of defences of later date</w:t></w:r>
</w:p>
<w:p>
<w:pPr><w:pStyle w:val="Normal"/></w:pPr>
<w:r><w:t xml:space="preserve">(possibly added by the Roman colonists), inasmuch as both the</w:t></w:r>
</w:p>
<w:p>
<w:pPr><w:pStyle w:val="Normal"/></w:pPr>
<w:r><w:t xml:space="preserve">city wall proper and the double wall thrown out in front of</w:t></w:r>
</w:p>
<w:p>
<w:pPr><w:pStyle w:val="Normal"/></w:pPr>
<w:r><w:t xml:space="preserve">it are partly constructed of concrete, and faced with finer</w:t></w:r>
</w:p>
<w:p>
<w:pPr><w:pStyle w:val="Normal"/></w:pPr>
<w:r><w:t xml:space="preserve">polygonal masonry (in which horizontal joints seem to be purposely</w:t></w:r>
</w:p>
<w:p>
<w:pPr><w:pStyle w:val="Normal"/></w:pPr>
<w:r><w:t xml:space="preserve">avoided).  A mile to the north of the city a huge mound with a</w:t></w:r>
</w:p>
<w:p>
<w:pPr><w:pStyle w:val="Normal"/></w:pPr>
<w:r><w:t xml:space="preserve">ditch on each side of it (but at a considerable distance from</w:t></w:r>
</w:p>
<w:p>
<w:pPr><w:pStyle w:val="Normal"/></w:pPr>
<w:r><w:t xml:space="preserve">it) may be traced for a couple of miles.  Within the walls</w:t></w:r>
</w:p>
<w:p>
<w:pPr><w:pStyle w:val="Normal"/></w:pPr>
<w:r><w:t xml:space="preserve">there are hardly any buildings of a later date.  Excavations</w:t></w:r>
</w:p>
<w:p>
<w:pPr><w:pStyle w:val="Normal"/></w:pPr>
<w:r><w:t xml:space="preserve">have only been made casually, though remains of buildings</w:t></w:r>
</w:p>
<w:p>
<w:pPr><w:pStyle w:val="Normal"/></w:pPr>
<w:r><w:t xml:space="preserve">and of roads can be traced, and also an extensive system of</w:t></w:r>
</w:p>
<w:p>
<w:pPr><w:pStyle w:val="Normal"/></w:pPr>
<w:r><w:t xml:space="preserve">underground passages perhaps connected with the defences of the</w:t></w:r>
</w:p>
<w:p>
<w:pPr><w:pStyle w:val="Normal"/></w:pPr>
<w:r><w:t xml:space="preserve">place.  The hill at the western extremity was occupied by a</w:t></w:r>
</w:p>
<w:p>
<w:pPr><w:pStyle w:val="Normal"/></w:pPr>
<w:r><w:t xml:space="preserve">temple of the Tuscan order, into which was built the church of</w:t></w:r>
</w:p>
<w:p>
<w:pPr><w:pStyle w:val="Normal"/></w:pPr>
<w:r><w:t xml:space="preserve">S. Pietro; this contains ancient columns, and some remarkably</w:t></w:r>
</w:p>
<w:p>
<w:pPr><w:pStyle w:val="Normal"/></w:pPr>
<w:r><w:t xml:space="preserve">fine specimens of Cosmatesque work.  It is the only monastic</w:t></w:r>
</w:p>
<w:p>
<w:pPr><w:pStyle w:val="Normal"/></w:pPr>
<w:r><w:t xml:space="preserve">church in the Abruzzi in which the nave is separated from</w:t></w:r>
</w:p>
<w:p>
<w:pPr><w:pStyle w:val="Normal"/></w:pPr>
<w:r><w:t xml:space="preserve">the aisles by ancient columns.  The collegiate church of S.</w:t></w:r>
</w:p>
<w:p>
<w:pPr><w:pStyle w:val="Normal"/></w:pPr>
<w:r><w:t xml:space="preserve">Nicola in the village contains a remarkable staurotheca</w:t></w:r>
</w:p>
<w:p>
<w:pPr><w:pStyle w:val="Normal"/></w:pPr>
<w:r><w:t xml:space="preserve">of the 11th (?) century, and a wooden triptych in imitation</w:t></w:r>
</w:p>
<w:p>
<w:pPr><w:pStyle w:val="Normal"/></w:pPr>
<w:r><w:t xml:space="preserve">of the Byzantine style with enamels of the 13th century.</w:t></w:r>
</w:p>
<w:p>
<w:pPr><w:pStyle w:val="Normal"/></w:pPr>
<w:r><w:t xml:space="preserve">A very good description of the site, with plans, is given by C.</w:t></w:r>
</w:p>
<w:p>
<w:pPr><w:pStyle w:val="Normal"/></w:pPr>
<w:r><w:t xml:space="preserve">Promis, L&apos;Antichita di Alba Fucense (Rome, 1836). (T. As.)</w:t></w:r>
</w:p>
<w:p>
<w:pPr><w:pStyle w:val="Normal"/></w:pPr>
<w:r><w:t xml:space="preserve">ALBA LONGA, an ancient city of Latium, situated on the</w:t></w:r>
</w:p>
<w:p>
<w:pPr><w:pStyle w:val="Normal"/></w:pPr>
<w:r><w:t xml:space="preserve">western edge of the Albanus Lacus, about 12 m.  S.E. of</w:t></w:r>
</w:p>
<w:p>
<w:pPr><w:pStyle w:val="Normal"/></w:pPr>
<w:r><w:t xml:space="preserve">Rome.  It was, according to tradition, founded by Ascanius,</w:t></w:r>
</w:p>
<w:p>
<w:pPr><w:pStyle w:val="Normal"/></w:pPr>
<w:r><w:t xml:space="preserve">and was the oldest of all Latin cities---the mother indeed</w:t></w:r>
</w:p>
<w:p>
<w:pPr><w:pStyle w:val="Normal"/></w:pPr>
<w:r><w:t xml:space="preserve">of Rome, by which, however, it was destroyed, it is said</w:t></w:r>
</w:p>
<w:p>
<w:pPr><w:pStyle w:val="Normal"/></w:pPr>
<w:r><w:t xml:space="preserve">under Tullus Hostilius.  By this act Rome succeeded to the</w:t></w:r>
</w:p>
<w:p>
<w:pPr><w:pStyle w:val="Normal"/></w:pPr>
<w:r><w:t xml:space="preserve">hegemony of the Latin league.  It has by many topographers</w:t></w:r>
</w:p>
<w:p>
<w:pPr><w:pStyle w:val="Normal"/></w:pPr>
<w:r><w:t xml:space="preserve">been placed between the Albanus Mons and the Albanus Lacus,</w:t></w:r>
</w:p>
<w:p>
<w:pPr><w:pStyle w:val="Normal"/></w:pPr>
<w:r><w:t xml:space="preserve">according to the indication given by.  Dionysius (i. 66),</w:t></w:r>
</w:p>
<w:p>
<w:pPr><w:pStyle w:val="Normal"/></w:pPr>
<w:r><w:t xml:space="preserve">at the monastery of Palazzolo; but the position is quite</w:t></w:r>
</w:p>
<w:p>
<w:pPr><w:pStyle w:val="Normal"/></w:pPr>
<w:r><w:t xml:space="preserve">unsuitable for an ancient city, and does not at all answer to</w:t></w:r>
</w:p>
<w:p>
<w:pPr><w:pStyle w:val="Normal"/></w:pPr>
<w:r><w:t xml:space="preserve">Livy&apos;s description, ab situ porrectae in dorso urbis Alba</w:t></w:r>
</w:p>
<w:p>
<w:pPr><w:pStyle w:val="Normal"/></w:pPr>
<w:r><w:t xml:space="preserve">longa appellata; and it is much more probable that its site</w:t></w:r>
</w:p>
<w:p>
<w:pPr><w:pStyle w:val="Normal"/></w:pPr>
<w:r><w:t xml:space="preserve">is to be sought on the western side of the lake, where the</w:t></w:r>
</w:p>
<w:p>
<w:pPr><w:pStyle w:val="Normal"/></w:pPr>
<w:r><w:t xml:space="preserve">modern Castel Gandolfo stands, immediately to the north of</w:t></w:r>
</w:p>
<w:p>
<w:pPr><w:pStyle w:val="Normal"/></w:pPr>
<w:r><w:t xml:space="preserve">which the most important part of the archaic necropolis was</w:t></w:r>
</w:p>
<w:p>
<w:pPr><w:pStyle w:val="Normal"/></w:pPr>
<w:r><w:t xml:space="preserve">situated.  Confirmation of this may be found in Cicero&apos;s</w:t></w:r>
</w:p>
<w:p>
<w:pPr><w:pStyle w:val="Normal"/></w:pPr>
<w:r><w:t xml:space="preserve">description (Pro Milone, 85) of the destruction of the</w:t></w:r>
</w:p>
<w:p>
<w:pPr><w:pStyle w:val="Normal"/></w:pPr>
<w:r><w:t xml:space="preserve">shrines and sacred groves of Alba by the construction of</w:t></w:r>
</w:p>
<w:p>
<w:pPr><w:pStyle w:val="Normal"/></w:pPr>
<w:r><w:t xml:space="preserve">Clodius&apos;s villa, in the local application of the adjective</w:t></w:r>
</w:p>
<w:p>
<w:pPr><w:pStyle w:val="Normal"/></w:pPr>
<w:r><w:t xml:space="preserve">Albanus, and in the position of Castel Gandolfo itself,</w:t></w:r>
</w:p>
<w:p>
<w:pPr><w:pStyle w:val="Normal"/></w:pPr>
<w:r><w:t xml:space="preserve">which exactly suits Livy&apos;s description.  No traces of the</w:t></w:r>
</w:p>
<w:p>
<w:pPr><w:pStyle w:val="Normal"/></w:pPr>
<w:r><w:t xml:space="preserve">ancient city, except of its necropolis, the tombs of which</w:t></w:r>
</w:p>
<w:p>
<w:pPr><w:pStyle w:val="Normal"/></w:pPr>
<w:r><w:t xml:space="preserve">are overlaid with a stratum of peperino 3 ft. thick, are</w:t></w:r>
</w:p>
<w:p>
<w:pPr><w:pStyle w:val="Normal"/></w:pPr>
<w:r><w:t xml:space="preserve">preserved.  The view that the modern Albano occupies the</w:t></w:r>
</w:p>
<w:p>
<w:pPr><w:pStyle w:val="Normal"/></w:pPr>
<w:r><w:t xml:space="preserve">site of Alba Longa was commonly held in the 15th and 16th</w:t></w:r>
</w:p>
<w:p>
<w:pPr><w:pStyle w:val="Normal"/></w:pPr>
<w:r><w:t xml:space="preserve">centuries, but was disproved by P. Cluver (1624).  But it</w:t></w:r>
</w:p>
<w:p>
<w:pPr><w:pStyle w:val="Normal"/></w:pPr>
<w:r><w:t xml:space="preserve">is certain that no city took the place of Alba Longa until</w:t></w:r>
</w:p>
<w:p>
<w:pPr><w:pStyle w:val="Normal"/></w:pPr>
<w:r><w:t xml:space="preserve">comparatively late times.  The name Albanum, from about 150</w:t></w:r>
</w:p>
<w:p>
<w:pPr><w:pStyle w:val="Normal"/></w:pPr>
<w:r><w:t xml:space="preserve">B.C. till the time of Constantine, meant a villa in the Alban</w:t></w:r>
</w:p>
<w:p>
<w:pPr><w:pStyle w:val="Normal"/></w:pPr>
<w:r><w:t xml:space="preserve">territory.  The emperors formed a sinrle estate out of a</w:t></w:r>
</w:p>
<w:p>
<w:pPr><w:pStyle w:val="Normal"/></w:pPr>
<w:r><w:t xml:space="preserve">considerable part of this district, including apparently the</w:t></w:r>
</w:p>
<w:p>
<w:pPr><w:pStyle w:val="Normal"/></w:pPr>
<w:r><w:t xml:space="preserve">whole of the lake, and Domitian was especially fond of residing</w:t></w:r>
</w:p>
<w:p>
<w:pPr><w:pStyle w:val="Normal"/></w:pPr>
<w:r><w:t xml:space="preserve">here.  The imperial villa occupied the site of the present</w:t></w:r>
</w:p>
<w:p>
<w:pPr><w:pStyle w:val="Normal"/></w:pPr>
<w:r><w:t xml:space="preserve">Villa Barberini at Castel Gandolfo, and considerable remains</w:t></w:r>
</w:p>
<w:p>
<w:pPr><w:pStyle w:val="Normal"/></w:pPr>
<w:r><w:t xml:space="preserve">of it still exist.  To the south was a camp for the imperial</w:t></w:r>
</w:p>
<w:p>
<w:pPr><w:pStyle w:val="Normal"/></w:pPr>
<w:r><w:t xml:space="preserve">bodyguard, with baths, an amphitheatre, a large water reservoir,</w:t></w:r>
</w:p>
<w:p>
<w:pPr><w:pStyle w:val="Normal"/></w:pPr>
<w:r><w:t xml:space="preserve">&amp;c. The first legion known to have been quartered there is</w:t></w:r>
</w:p>
<w:p>
<w:pPr><w:pStyle w:val="Normal"/></w:pPr>
<w:r><w:t xml:space="preserve">the II. Parlhica, founded by Septimius Severus; but it</w:t></w:r>
</w:p>
<w:p>
<w:pPr><w:pStyle w:val="Normal"/></w:pPr>
<w:r><w:t xml:space="preserve">was probably constructed earlier.  In some of the tombs of</w:t></w:r>
</w:p>
<w:p>
<w:pPr><w:pStyle w:val="Normal"/></w:pPr>
<w:r><w:t xml:space="preserve">these legionaries coins of Maxentius have been found, while</w:t></w:r>
</w:p>
<w:p>
<w:pPr><w:pStyle w:val="Normal"/></w:pPr>
<w:r><w:t xml:space="preserve">the Liber Pontifealis records that Constantine gave to the</w:t></w:r>
</w:p>
<w:p>
<w:pPr><w:pStyle w:val="Normal"/></w:pPr>
<w:r><w:t xml:space="preserve">church of Albano ``omnia scheneca deserta vel domos intra</w:t></w:r>
</w:p>
<w:p>
<w:pPr><w:pStyle w:val="Normal"/></w:pPr>
<w:r><w:t xml:space="preserve">urbem Albanensem,&apos;, which has generally been taken to refer</w:t></w:r>
</w:p>
<w:p>
<w:pPr><w:pStyle w:val="Normal"/></w:pPr>
<w:r><w:t xml:space="preserve">to the abandoned camp.  It was at this period, then, that</w:t></w:r>
</w:p>
<w:p>
<w:pPr><w:pStyle w:val="Normal"/></w:pPr>
<w:r><w:t xml:space="preserve">the civitas Albanensis arose.  The lapis Albanus is a green</w:t></w:r>
</w:p>
<w:p>
<w:pPr><w:pStyle w:val="Normal"/></w:pPr>
<w:r><w:t xml:space="preserve">grey volcanic stone with black and white grains in it (hence</w:t></w:r>
</w:p>
<w:p>
<w:pPr><w:pStyle w:val="Normal"/></w:pPr>
<w:r><w:t xml:space="preserve">the modern name.  Deperino). much used for building material.</w:t></w:r>
</w:p>
<w:p>
<w:pPr><w:pStyle w:val="Normal"/></w:pPr>
<w:r><w:t xml:space="preserve">See T. Ashby in Journal ofphilology, xxvii., 1901, 37. (T.</w:t></w:r>
</w:p>
<w:p>
<w:pPr><w:pStyle w:val="Normal"/></w:pPr>
<w:r><w:t xml:space="preserve">As.) ALBAN, SAINT, usually styled the protomartyr of Britain,</w:t></w:r>
</w:p>
<w:p>
<w:pPr><w:pStyle w:val="Normal"/></w:pPr>
<w:r><w:t xml:space="preserve">is said to have been born at Verulamium (the modern St Albans</w:t></w:r>
</w:p>
<w:p>
<w:pPr><w:pStyle w:val="Normal"/></w:pPr>
<w:r><w:t xml:space="preserve">in Hertfordshire) towards the close of the 3rd century, and to</w:t></w:r>
</w:p>
<w:p>
<w:pPr><w:pStyle w:val="Normal"/></w:pPr>
<w:r><w:t xml:space="preserve">have served for seven years in Rome in the army of the emperor</w:t></w:r>
</w:p>
<w:p>
<w:pPr><w:pStyle w:val="Normal"/></w:pPr>
<w:r><w:t xml:space="preserve">Diocletian.  On his return to Britain he settled at his</w:t></w:r>
</w:p>
<w:p>
<w:pPr><w:pStyle w:val="Normal"/></w:pPr>
<w:r><w:t xml:space="preserve">native place and was put to death as a Christian during the</w:t></w:r>
</w:p>
<w:p>
<w:pPr><w:pStyle w:val="Normal"/></w:pPr>
<w:r><w:t xml:space="preserve">persecution of Diocletian (c. 286--303).  According to</w:t></w:r>
</w:p>
<w:p>
<w:pPr><w:pStyle w:val="Normal"/></w:pPr>
<w:r><w:t xml:space="preserve">tradition, when peace was restored, great honours were paid</w:t></w:r>
</w:p>
<w:p>
<w:pPr><w:pStyle w:val="Normal"/></w:pPr>
<w:r><w:t xml:space="preserve">to his tomb.  A church was built on the spot, c. 793, by</w:t></w:r>
</w:p>
<w:p>
<w:pPr><w:pStyle w:val="Normal"/></w:pPr>
<w:r><w:t xml:space="preserve">King Offa of Mercia.  A monastery was subsequently added,</w:t></w:r>
</w:p>
<w:p>
<w:pPr><w:pStyle w:val="Normal"/></w:pPr>
<w:r><w:t xml:space="preserve">and around it the present town of St Albans gradually grew</w:t></w:r>
</w:p>
<w:p>
<w:pPr><w:pStyle w:val="Normal"/></w:pPr>
<w:r><w:t xml:space="preserve">up.  Pope Adrian IV., who was born in the neighbourhood,</w:t></w:r>
</w:p>
<w:p>
<w:pPr><w:pStyle w:val="Normal"/></w:pPr>
<w:r><w:t xml:space="preserve">conferred on the abbot of St Alban&apos;s the right of precedence</w:t></w:r>
</w:p>
<w:p>
<w:pPr><w:pStyle w:val="Normal"/></w:pPr>
<w:r><w:t xml:space="preserve">over his fellow abbots, a right hitherto attached to the</w:t></w:r>
</w:p>
<w:p>
<w:pPr><w:pStyle w:val="Normal"/></w:pPr>
<w:r><w:t xml:space="preserve">abbey of Glastonbury.  St Alban is commemorated in the</w:t></w:r>
</w:p>
<w:p>
<w:pPr><w:pStyle w:val="Normal"/></w:pPr>
<w:r><w:t xml:space="preserve">Roman martyrology on the 22nd of June; but it is impossible</w:t></w:r>
</w:p>
<w:p>
<w:pPr><w:pStyle w:val="Normal"/></w:pPr>
<w:r><w:t xml:space="preserve">to determine with certainty whether he ever existed, as no</w:t></w:r>
</w:p>
<w:p>
<w:pPr><w:pStyle w:val="Normal"/></w:pPr>
<w:r><w:t xml:space="preserve">mention of him occurs till the middle of the 6th century.</w:t></w:r>
</w:p>
<w:p>
<w:pPr><w:pStyle w:val="Normal"/></w:pPr>
<w:r><w:t xml:space="preserve">See U. Chevalier, Repertoire des sources historiques (1905), i.</w:t></w:r>
</w:p>
<w:p>
<w:pPr><w:pStyle w:val="Normal"/></w:pPr>
<w:r><w:t xml:space="preserve">95; D. Hardy, Descriptive Catalogue (1862), I. i. 3-34, ii. 688.</w:t></w:r>
</w:p>
<w:p>
<w:pPr><w:pStyle w:val="Normal"/></w:pPr>
<w:r><w:t xml:space="preserve">ALBANI, or ALBANO, FRANCESCO (1578-1660), Italian</w:t></w:r>
</w:p>
<w:p>
<w:pPr><w:pStyle w:val="Normal"/></w:pPr>
<w:r><w:t xml:space="preserve">painter, was born at Bologna.  His father was a silk merchant,</w:t></w:r>
</w:p>
<w:p>
<w:pPr><w:pStyle w:val="Normal"/></w:pPr>
<w:r><w:t xml:space="preserve">and intended to bring up his son to the same occupation;</w:t></w:r>
</w:p>
<w:p>
<w:pPr><w:pStyle w:val="Normal"/></w:pPr>
<w:r><w:t xml:space="preserve">but Albani was already, at the age of twelve, filled with so</w:t></w:r>
</w:p>
<w:p>
<w:pPr><w:pStyle w:val="Normal"/></w:pPr>
<w:r><w:t xml:space="preserve">strong an inclination for painting, that on the death of his</w:t></w:r>
</w:p>
<w:p>
<w:pPr><w:pStyle w:val="Normal"/></w:pPr>
<w:r><w:t xml:space="preserve">father he devoted himself entirely to art.  His first master</w:t></w:r>
</w:p>
<w:p>
<w:pPr><w:pStyle w:val="Normal"/></w:pPr>
<w:r><w:t xml:space="preserve">was Denis Calvert, with whom Guido Reni was at the same time a</w:t></w:r>
</w:p>
<w:p>
<w:pPr><w:pStyle w:val="Normal"/></w:pPr>
<w:r><w:t xml:space="preserve">pupil.  He was soon left by Calvert entirely to the care</w:t></w:r>
</w:p>
<w:p>
<w:pPr><w:pStyle w:val="Normal"/></w:pPr>
<w:r><w:t xml:space="preserve">of Guido, and contracted with him a close friendship.  He</w:t></w:r>
</w:p>
<w:p>
<w:pPr><w:pStyle w:val="Normal"/></w:pPr>
<w:r><w:t xml:space="preserve">followed Guido to the school of the Caracci; but after this,</w:t></w:r>
</w:p>
<w:p>
<w:pPr><w:pStyle w:val="Normal"/></w:pPr>
<w:r><w:t xml:space="preserve">owing to mutual rivalry, their friendship began gradually to</w:t></w:r>
</w:p>
<w:p>
<w:pPr><w:pStyle w:val="Normal"/></w:pPr>
<w:r><w:t xml:space="preserve">cool.  They kept up for a long time a keen competition,</w:t></w:r>
</w:p>
<w:p>
<w:pPr><w:pStyle w:val="Normal"/></w:pPr>
<w:r><w:t xml:space="preserve">and their mutual emulation called forth some of their best</w:t></w:r>
</w:p>
<w:p>
<w:pPr><w:pStyle w:val="Normal"/></w:pPr>
<w:r><w:t xml:space="preserve">productions.  Notwithstanding this rivalry, they still spoke</w:t></w:r>
</w:p>
<w:p>
<w:pPr><w:pStyle w:val="Normal"/></w:pPr>
<w:r><w:t xml:space="preserve">of each other with the highest esteem.  Albani after having</w:t></w:r>
</w:p>
<w:p>
<w:pPr><w:pStyle w:val="Normal"/></w:pPr>
<w:r><w:t xml:space="preserve">greatly improved himself in the school of the Caracci, went</w:t></w:r>
</w:p>
<w:p>
<w:pPr><w:pStyle w:val="Normal"/></w:pPr>
<w:r><w:t xml:space="preserve">to Rome, where he opened an academy and resided for many</w:t></w:r>
</w:p>
<w:p>
<w:pPr><w:pStyle w:val="Normal"/></w:pPr>
<w:r><w:t xml:space="preserve">years.  Here he painted, after the designs of Annibal</w:t></w:r>
</w:p>
<w:p>
<w:pPr><w:pStyle w:val="Normal"/></w:pPr>
<w:r><w:t xml:space="preserve">Caracci, the whole of the frescoes in the chapel of San</w:t></w:r>
</w:p>
<w:p>
<w:pPr><w:pStyle w:val="Normal"/></w:pPr>
<w:r><w:t xml:space="preserve">Diego in the church of San Giacomo degli Spagnuoli.</w:t></w:r>
</w:p>
<w:p>
<w:pPr><w:pStyle w:val="Normal"/></w:pPr>
<w:r><w:t xml:space="preserve">His best frescoes are those on mythological subjects, of</w:t></w:r>
</w:p>
<w:p>
<w:pPr><w:pStyle w:val="Normal"/></w:pPr>
<w:r><w:t xml:space="preserve">which there is a large number in the Verospi, now Torlonia</w:t></w:r>
</w:p>
<w:p>
<w:pPr><w:pStyle w:val="Normal"/></w:pPr>
<w:r><w:t xml:space="preserve">Palace.  On the death of his wife he returned to Bologna,</w:t></w:r>
</w:p>
<w:p>
<w:pPr><w:pStyle w:val="Normal"/></w:pPr>
<w:r><w:t xml:space="preserve">where he married a second time and resided till his death.</w:t></w:r>
</w:p>
<w:p>
<w:pPr><w:pStyle w:val="Normal"/></w:pPr>
<w:r><w:t xml:space="preserve">His wife and children were very beautiful and served him for</w:t></w:r>
</w:p>
<w:p>
<w:pPr><w:pStyle w:val="Normal"/></w:pPr>
<w:r><w:t xml:space="preserve">models.  The learning displayed in the composition of his</w:t></w:r>
</w:p>
<w:p>
<w:pPr><w:pStyle w:val="Normal"/></w:pPr>
<w:r><w:t xml:space="preserve">pictures, and their minute elaboration and exquisite finish,</w:t></w:r>
</w:p>
<w:p>
<w:pPr><w:pStyle w:val="Normal"/></w:pPr>
<w:r><w:t xml:space="preserve">gave them great celebrity and entitle them to a distinctive</w:t></w:r>
</w:p>
<w:p>
<w:pPr><w:pStyle w:val="Normal"/></w:pPr>
<w:r><w:t xml:space="preserve">place among the products of the Bolognese school.  A number</w:t></w:r>
</w:p>
<w:p>
<w:pPr><w:pStyle w:val="Normal"/></w:pPr>
<w:r><w:t xml:space="preserve">of his works are at Bologna, and others at Florence, the</w:t></w:r>
</w:p>
<w:p>
<w:pPr><w:pStyle w:val="Normal"/></w:pPr>
<w:r><w:t xml:space="preserve">Louvre, Dresden and St Petersburg.  Among the best of his</w:t></w:r>
</w:p>
<w:p>
<w:pPr><w:pStyle w:val="Normal"/></w:pPr>
<w:r><w:t xml:space="preserve">sacred subjects are a ``St Sebastian&apos;&apos; and an ``Assumption</w:t></w:r>
</w:p>
<w:p>
<w:pPr><w:pStyle w:val="Normal"/></w:pPr>
<w:r><w:t xml:space="preserve">of the Virgin,&apos;&apos; both in the church of St Sebastian at</w:t></w:r>
</w:p>
<w:p>
<w:pPr><w:pStyle w:val="Normal"/></w:pPr>
<w:r><w:t xml:space="preserve">Rome.  He was among the first of the Italian painters to</w:t></w:r>
</w:p>
<w:p>
<w:pPr><w:pStyle w:val="Normal"/></w:pPr>
<w:r><w:t xml:space="preserve">devote himself to the painting of cabinet pictures.  A</w:t></w:r>
</w:p>
<w:p>
<w:pPr><w:pStyle w:val="Normal"/></w:pPr>
<w:r><w:t xml:space="preserve">rare etching, the ``Death of Uido,&apos;&apos; is attributed to him.</w:t></w:r>
</w:p>
<w:p>
<w:pPr><w:pStyle w:val="Normal"/></w:pPr>
<w:r><w:t xml:space="preserve">ALBANI, the stage name of MARIE, LOUISE EMMA CECILE</w:t></w:r>
</w:p>
<w:p>
<w:pPr><w:pStyle w:val="Normal"/></w:pPr>
<w:r><w:t xml:space="preserve">LAJEUNESSE (1847- ), Canadian singer, who was born at</w:t></w:r>
</w:p>
<w:p>
<w:pPr><w:pStyle w:val="Normal"/></w:pPr>
<w:r><w:t xml:space="preserve">Chambly, in the province of Quebec, on the 27th of September</w:t></w:r>
</w:p>
<w:p>
<w:pPr><w:pStyle w:val="Normal"/></w:pPr>
<w:r><w:t xml:space="preserve">1847.  She made her first public appearance in Montreal,</w:t></w:r>
</w:p>
<w:p>
<w:pPr><w:pStyle w:val="Normal"/></w:pPr>
<w:r><w:t xml:space="preserve">at the age of seven, and afterwards studied in the United</w:t></w:r>
</w:p>
<w:p>
<w:pPr><w:pStyle w:val="Normal"/></w:pPr>
<w:r><w:t xml:space="preserve">States, Paris and Italy.  In 1870 she made her first</w:t></w:r>
</w:p>
<w:p>
<w:pPr><w:pStyle w:val="Normal"/></w:pPr>
<w:r><w:t xml:space="preserve">appearanceatmessina, and after two successful seasons appeared</w:t></w:r>
</w:p>
<w:p>
<w:pPr><w:pStyle w:val="Normal"/></w:pPr>
<w:r><w:t xml:space="preserve">in London in 1872 with the Royal Italian Opera.  Later she</w:t></w:r>
</w:p>
<w:p>
<w:pPr><w:pStyle w:val="Normal"/></w:pPr>
<w:r><w:t xml:space="preserve">abandoned opera for oratorio. and sang at all the principal</w:t></w:r>
</w:p>
<w:p>
<w:pPr><w:pStyle w:val="Normal"/></w:pPr>
<w:r><w:t xml:space="preserve">festivals.  She has made several tours of Canada and of</w:t></w:r>
</w:p>
<w:p>
<w:pPr><w:pStyle w:val="Normal"/></w:pPr>
<w:r><w:t xml:space="preserve">the United States, and in 1886 sang at the opening of the</w:t></w:r>
</w:p>
<w:p>
<w:pPr><w:pStyle w:val="Normal"/></w:pPr>
<w:r><w:t xml:space="preserve">Colonial and Indian Exhibition in London the ode written</w:t></w:r>
</w:p>
<w:p>
<w:pPr><w:pStyle w:val="Normal"/></w:pPr>
<w:r><w:t xml:space="preserve">by Tennyson for the occasion.  She frequently sang before</w:t></w:r>
</w:p>
<w:p>
<w:pPr><w:pStyle w:val="Normal"/></w:pPr>
<w:r><w:t xml:space="preserve">Queen Victoria, the German emperor and others of the crowned</w:t></w:r>
</w:p>
<w:p>
<w:pPr><w:pStyle w:val="Normal"/></w:pPr>
<w:r><w:t xml:space="preserve">heads of Europe, and received numerous marks of their</w:t></w:r>
</w:p>
<w:p>
<w:pPr><w:pStyle w:val="Normal"/></w:pPr>
<w:r><w:t xml:space="preserve">esteem.  In 1897 she was awarded the gold Beethoven medal by</w:t></w:r>
</w:p>
<w:p>
<w:pPr><w:pStyle w:val="Normal"/></w:pPr>
<w:r><w:t xml:space="preserve">the London Philharmonic Society, ``as a mark of appreciation</w:t></w:r>
</w:p>
<w:p>
<w:pPr><w:pStyle w:val="Normal"/></w:pPr>
<w:r><w:t xml:space="preserve">of her exceptional genius and musical attainments, and of</w:t></w:r>
</w:p>
<w:p>
<w:pPr><w:pStyle w:val="Normal"/></w:pPr>
<w:r><w:t xml:space="preserve">her generous and artistic nature.&apos;&apos; She marriedin 1878 Ernest</w:t></w:r>
</w:p>
<w:p>
<w:pPr><w:pStyle w:val="Normal"/></w:pPr>
<w:r><w:t xml:space="preserve">Gye, the theatrical manager.  Her stage name of Madame</w:t></w:r>
</w:p>
<w:p>
<w:pPr><w:pStyle w:val="Normal"/></w:pPr>
<w:r><w:t xml:space="preserve">Albani was taken from that of an extinct Italian family.</w:t></w:r>
</w:p>
<w:p>
<w:pPr><w:pStyle w:val="Normal"/></w:pPr>
<w:r><w:t xml:space="preserve">See Morgan, Canadian Men and Women of the Time (1898).</w:t></w:r>
</w:p>
<w:p>
<w:pPr><w:pStyle w:val="Normal"/></w:pPr>
<w:r><w:t xml:space="preserve">ALBANIA, the ancient name of a district in the eastern</w:t></w:r>
</w:p>
<w:p>
<w:pPr><w:pStyle w:val="Normal"/></w:pPr>
<w:r><w:t xml:space="preserve">Caucasus, consisting, according to Strabo (xi. 4. 1-8), of the</w:t></w:r>
</w:p>
<w:p>
<w:pPr><w:pStyle w:val="Normal"/></w:pPr>
<w:r><w:t xml:space="preserve">valley of the Cyrus (Kur) and the land lying between it and the</w:t></w:r>
</w:p>
<w:p>
<w:pPr><w:pStyle w:val="Normal"/></w:pPr>
<w:r><w:t xml:space="preserve">Caucasus range from Iberia to the Caspian Sea, i. e. the modern</w:t></w:r>
</w:p>
<w:p>
<w:pPr><w:pStyle w:val="Normal"/></w:pPr>
<w:r><w:t xml:space="preserve">Shirvan.  In reality the Albani inhabited also the mountain</w:t></w:r>
</w:p>
<w:p>
<w:pPr><w:pStyle w:val="Normal"/></w:pPr>
<w:r><w:t xml:space="preserve">valleys and the land to the north towards Sarmatia, the modern</w:t></w:r>
</w:p>
<w:p>
<w:pPr><w:pStyle w:val="Normal"/></w:pPr>
<w:r><w:t xml:space="preserve">Daghestan (Pliny vi. 39). Dionysius of JIalicarnassus quotes</w:t></w:r>
</w:p>
<w:p>
<w:pPr><w:pStyle w:val="Normal"/></w:pPr>
<w:r><w:t xml:space="preserve">a tradition that the name arose from the alleged fact that</w:t></w:r>
</w:p>
<w:p>
<w:pPr><w:pStyle w:val="Normal"/></w:pPr>
<w:r><w:t xml:space="preserve">the people were the descendants of emigrants from Alba in</w:t></w:r>
</w:p>
<w:p>
<w:pPr><w:pStyle w:val="Normal"/></w:pPr>
<w:r><w:t xml:space="preserve">Italy, but it would seem that the race was of Lesghian (not</w:t></w:r>
</w:p>
<w:p>
<w:pPr><w:pStyle w:val="Normal"/></w:pPr>
<w:r><w:t xml:space="preserve">Georgian) descent.  Strabo describes them as tall, well made,</w:t></w:r>
</w:p>
<w:p>
<w:pPr><w:pStyle w:val="Normal"/></w:pPr>
<w:r><w:t xml:space="preserve">and in character simple and honest; he says that payment</w:t></w:r>
</w:p>
<w:p>
<w:pPr><w:pStyle w:val="Normal"/></w:pPr>
<w:r><w:t xml:space="preserve">was in kind and that the people could not count beyond a</w:t></w:r>
</w:p>
<w:p>
<w:pPr><w:pStyle w:val="Normal"/></w:pPr>
<w:r><w:t xml:space="preserve">hundred.  They worshipped the sun, and more particularly the</w:t></w:r>
</w:p>
<w:p>
<w:pPr><w:pStyle w:val="Normal"/></w:pPr>
<w:r><w:t xml:space="preserve">moon, the latter being perhaps identical with the great</w:t></w:r>
</w:p>
<w:p>
<w:pPr><w:pStyle w:val="Normal"/></w:pPr>
<w:r><w:t xml:space="preserve">Nature Goddess of Asia Minor(see GREAT MOTHER OF THE</w:t></w:r>
</w:p>
<w:p>
<w:pPr><w:pStyle w:val="Normal"/></w:pPr>
<w:r><w:t xml:space="preserve">GODS), and believed in soothsaying and the virtue of human</w:t></w:r>
</w:p>
<w:p>
<w:pPr><w:pStyle w:val="Normal"/></w:pPr>
<w:r><w:t xml:space="preserve">sacrifice.  Old age was held in high honour, but it was</w:t></w:r>
</w:p>
<w:p>
<w:pPr><w:pStyle w:val="Normal"/></w:pPr>
<w:r><w:t xml:space="preserve">sacrilege to speak, or even to think, of the dead.  The race</w:t></w:r>
</w:p>
<w:p>
<w:pPr><w:pStyle w:val="Normal"/></w:pPr>
<w:r><w:t xml:space="preserve">was nomadic, and lived on the abundant natural fruits of the</w:t></w:r>
</w:p>
<w:p>
<w:pPr><w:pStyle w:val="Normal"/></w:pPr>
<w:r><w:t xml:space="preserve">land.  In Strabo&apos;s time they appear to have been ruled by</w:t></w:r>
</w:p>
<w:p>
<w:pPr><w:pStyle w:val="Normal"/></w:pPr>
<w:r><w:t xml:space="preserve">a single king, though previously there were twenty-six,</w:t></w:r>
</w:p>
<w:p>
<w:pPr><w:pStyle w:val="Normal"/></w:pPr>
<w:r><w:t xml:space="preserve">each one ruling over a community distinct only in point of</w:t></w:r>
</w:p>
<w:p>
<w:pPr><w:pStyle w:val="Normal"/></w:pPr>
<w:r><w:t xml:space="preserve">language.  The Albani became known to the Romans during Pompey&apos;s</w:t></w:r>
</w:p>
<w:p>
<w:pPr><w:pStyle w:val="Normal"/></w:pPr>
<w:r><w:t xml:space="preserve">pursuit of Mithradates the Great (65 B.C.), against which</w:t></w:r>
</w:p>
<w:p>
<w:pPr><w:pStyle w:val="Normal"/></w:pPr>
<w:r><w:t xml:space="preserve">they are said to have opposed a force of 60,000 foot and 20,000</w:t></w:r>
</w:p>
<w:p>
<w:pPr><w:pStyle w:val="Normal"/></w:pPr>
<w:r><w:t xml:space="preserve">cavalry.  Pompey exacted from them a nominal submission,</w:t></w:r>
</w:p>
<w:p>
<w:pPr><w:pStyle w:val="Normal"/></w:pPr>
<w:r><w:t xml:space="preserve">but their independence was not seriously affected by the</w:t></w:r>
</w:p>
<w:p>
<w:pPr><w:pStyle w:val="Normal"/></w:pPr>
<w:r><w:t xml:space="preserve">Romans.  In the reign of Hadrian their territory was invaded</w:t></w:r>
</w:p>
<w:p>
<w:pPr><w:pStyle w:val="Normal"/></w:pPr>
<w:r><w:t xml:space="preserve">by the Alani (Th. Mommsen, Provinces ofthe Roman Empire,</w:t></w:r>
</w:p>
<w:p>
<w:pPr><w:pStyle w:val="Normal"/></w:pPr>
<w:r><w:t xml:space="preserve">Eng. trans., 1886), and later they fell under the Sassanid</w:t></w:r>
</w:p>
<w:p>
<w:pPr><w:pStyle w:val="Normal"/></w:pPr>
<w:r><w:t xml:space="preserve">rule.  They were driven finally into Armenia by the Khazars,</w:t></w:r>
</w:p>
<w:p>
<w:pPr><w:pStyle w:val="Normal"/></w:pPr>
<w:r><w:t xml:space="preserve">and ceased to exist as a separate people.  The district</w:t></w:r>
</w:p>
<w:p>
<w:pPr><w:pStyle w:val="Normal"/></w:pPr>
<w:r><w:t xml:space="preserve">subsequently suffered under the successive invasions of Huns,</w:t></w:r>
</w:p>
<w:p>
<w:pPr><w:pStyle w:val="Normal"/></w:pPr>
<w:r><w:t xml:space="preserve">Varangians (who captured the chief town Barda in the 10th</w:t></w:r>
</w:p>
<w:p>
<w:pPr><w:pStyle w:val="Normal"/></w:pPr>
<w:r><w:t xml:space="preserve">century) and Mongols. (See CAUCASIA, History; ARMENIA.)</w:t></w:r>
</w:p>
<w:p>
<w:pPr><w:pStyle w:val="Normal"/></w:pPr>
<w:r><w:t xml:space="preserve">ALBANIA, a portion of the Turkish empire extending along</w:t></w:r>
</w:p>
<w:p>
<w:pPr><w:pStyle w:val="Normal"/></w:pPr>
<w:r><w:t xml:space="preserve">the western littoral of the Balkan Peninsula from the</w:t></w:r>
</w:p>
<w:p>
<w:pPr><w:pStyle w:val="Normal"/></w:pPr>
<w:r><w:t xml:space="preserve">southern frontier of Montenegro to the northern confines of</w:t></w:r>
</w:p>
<w:p>
<w:pPr><w:pStyle w:val="Normal"/></w:pPr>
<w:r><w:t xml:space="preserve">Greece.  Albania is perhaps the least-known region in Europe;</w:t></w:r>
</w:p>
<w:p>
<w:pPr><w:pStyle w:val="Normal"/></w:pPr>
<w:r><w:t xml:space="preserve">and though more than a hundred years have passed since Gibbon</w:t></w:r>
</w:p>
<w:p>
<w:pPr><w:pStyle w:val="Normal"/></w:pPr>
<w:r><w:t xml:space="preserve">described it as ``a country within sight of Italy, which</w:t></w:r>
</w:p>
<w:p>
<w:pPr><w:pStyle w:val="Normal"/></w:pPr>
<w:r><w:t xml:space="preserve">is less known than the interior of America,&apos;&apos; but little</w:t></w:r>
</w:p>
<w:p>
<w:pPr><w:pStyle w:val="Normal"/></w:pPr>
<w:r><w:t xml:space="preserve">progress has yet been made towards a scientific knowledge</w:t></w:r>
</w:p>
<w:p>
<w:pPr><w:pStyle w:val="Normal"/></w:pPr>
<w:r><w:t xml:space="preserve">of this interesting land and its inhabitants.  The wild and</w:t></w:r>
</w:p>
<w:p>
<w:pPr><w:pStyle w:val="Normal"/></w:pPr>
<w:r><w:t xml:space="preserve">inaccessible character of the country, the fierce and lawless</w:t></w:r>
</w:p>
<w:p>
<w:pPr><w:pStyle w:val="Normal"/></w:pPr>
<w:r><w:t xml:space="preserve">disposition of the people, the difficulties presented by</w:t></w:r>
</w:p>
<w:p>
<w:pPr><w:pStyle w:val="Normal"/></w:pPr>
<w:r><w:t xml:space="preserve">their language and their complex social institutions, and the</w:t></w:r>
</w:p>
<w:p>
<w:pPr><w:pStyle w:val="Normal"/></w:pPr>
<w:r><w:t xml:space="preserve">inability of the Turkish authorities to afford a safe conduct</w:t></w:r>
</w:p>
<w:p>
<w:pPr><w:pStyle w:val="Normal"/></w:pPr>
<w:r><w:t xml:space="preserve">in the remoter districts, combine to render Albania almost</w:t></w:r>
</w:p>
<w:p>
<w:pPr><w:pStyle w:val="Normal"/></w:pPr>
<w:r><w:t xml:space="preserve">unknown to the foreign traveller, and many of its geographical</w:t></w:r>
</w:p>
<w:p>
<w:pPr><w:pStyle w:val="Normal"/></w:pPr>
<w:r><w:t xml:space="preserve">problems still remain unsolved.  A portion of the Mirdite</w:t></w:r>
</w:p>
<w:p>
<w:pPr><w:pStyle w:val="Normal"/></w:pPr>
<w:r><w:t xml:space="preserve">region, the Mat district, the neighbourhood of Dibra, Jakova</w:t></w:r>
</w:p>
<w:p>
<w:pPr><w:pStyle w:val="Normal"/></w:pPr>
<w:r><w:t xml:space="preserve">and Ipek and other localities have never been thoroughly</w:t></w:r>
</w:p>
<w:p>
<w:pPr><w:pStyle w:val="Normal"/></w:pPr>
<w:r><w:t xml:space="preserve">explored.  The northern boundary of Albania underwent some</w:t></w:r>
</w:p>
<w:p>
<w:pPr><w:pStyle w:val="Normal"/></w:pPr>
<w:r><w:t xml:space="preserve">alteration in consequence of the enlargement of Montenegro,</w:t></w:r>
</w:p>
<w:p>
<w:pPr><w:pStyle w:val="Normal"/></w:pPr>
<w:r><w:t xml:space="preserve">sanctioned by the Berlin Treaty (July 13, 1878); owing to</w:t></w:r>
</w:p>
<w:p>
<w:pPr><w:pStyle w:val="Normal"/></w:pPr>
<w:r><w:t xml:space="preserve">subsequent arrangements providing for the cession of Dulcigno</w:t></w:r>
</w:p>
<w:p>
<w:pPr><w:pStyle w:val="Normal"/></w:pPr>
<w:r><w:t xml:space="preserve">to Montenegro (November 25, 1880) in exchange for the districts</w:t></w:r>
</w:p>
<w:p>
<w:pPr><w:pStyle w:val="Normal"/></w:pPr>
<w:r><w:t xml:space="preserve">of Plava and Gusinye, restored to Turkey, the frontier-line</w:t></w:r>
</w:p>
<w:p>
<w:pPr><w:pStyle w:val="Normal"/></w:pPr>
<w:r><w:t xml:space="preserve">(finally settled December 1884) now ascends the Boyana from</w:t></w:r>
</w:p>
<w:p>
<w:pPr><w:pStyle w:val="Normal"/></w:pPr>
<w:r><w:t xml:space="preserve">its mouth to Lake Sass (Shas), thence passes northward. and</w:t></w:r>
</w:p>
<w:p>
<w:pPr><w:pStyle w:val="Normal"/></w:pPr>
<w:r><w:t xml:space="preserve">crossing Lake Scutari separates the district of Kutch Kraina</w:t></w:r>
</w:p>
<w:p>
<w:pPr><w:pStyle w:val="Normal"/></w:pPr>
<w:r><w:t xml:space="preserve">on the N. from the territories of the Gruda, Hot and Klement</w:t></w:r>
</w:p>
<w:p>
<w:pPr><w:pStyle w:val="Normal"/></w:pPr>
<w:r><w:t xml:space="preserve">tribes on the S.; leaving Gusinye and Plava to the S.E., it</w:t></w:r>
</w:p>
<w:p>
<w:pPr><w:pStyle w:val="Normal"/></w:pPr>
<w:r><w:t xml:space="preserve">turns to the N.W. on reaching the Mokra Planina, and then</w:t></w:r>
</w:p>
<w:p>
<w:pPr><w:pStyle w:val="Normal"/></w:pPr>
<w:r><w:t xml:space="preserve">follows the course of the Tara river.  On the S., Albanian</w:t></w:r>
</w:p>
<w:p>
<w:pPr><w:pStyle w:val="Normal"/></w:pPr>
<w:r><w:t xml:space="preserve">territory was curtailed owing to the acquisition of the Arta</w:t></w:r>
</w:p>
<w:p>
<w:pPr><w:pStyle w:val="Normal"/></w:pPr>
<w:r><w:t xml:space="preserve">district by Greece (May 1881), the river Arta now forming the</w:t></w:r>
</w:p>
<w:p>
<w:pPr><w:pStyle w:val="Normal"/></w:pPr>
<w:r><w:t xml:space="preserve">frontier.  On the E. the chains of Shar, Grammos and Pindus</w:t></w:r>
</w:p>
<w:p>
<w:pPr><w:pStyle w:val="Normal"/></w:pPr>
<w:r><w:t xml:space="preserve">constitute a kind of natural boundary, which does not,</w:t></w:r>
</w:p>
<w:p>
<w:pPr><w:pStyle w:val="Normal"/></w:pPr>
<w:r><w:t xml:space="preserve">however, coincide with ethnical limits nor with the Turkish</w:t></w:r>
</w:p>
<w:p>
<w:pPr><w:pStyle w:val="Normal"/></w:pPr>
<w:r><w:t xml:space="preserve">administrative divisions.  North-eastern Albania forms part</w:t></w:r>
</w:p>
<w:p>
<w:pPr><w:pStyle w:val="Normal"/></w:pPr>
<w:r><w:t xml:space="preserve">of the Turkish vilayet of Kossovo; the northern highlands</w:t></w:r>
</w:p>
<w:p>
<w:pPr><w:pStyle w:val="Normal"/></w:pPr>
<w:r><w:t xml:space="preserve">are included in the vilayet of Shkodra (Scutari), the</w:t></w:r>
</w:p>
<w:p>
<w:pPr><w:pStyle w:val="Normal"/></w:pPr>
<w:r><w:t xml:space="preserve">eastern portion of central Albania belongs to the vilayet of</w:t></w:r>
</w:p>
<w:p>
<w:pPr><w:pStyle w:val="Normal"/></w:pPr>
<w:r><w:t xml:space="preserve">Monastir, and the southern districts are comprised in the</w:t></w:r>
</w:p>
<w:p>
<w:pPr><w:pStyle w:val="Normal"/></w:pPr>
<w:r><w:t xml:space="preserve">vilayet of Iannina.  The boundaries of the three last-named</w:t></w:r>
</w:p>
<w:p>
<w:pPr><w:pStyle w:val="Normal"/></w:pPr>
<w:r><w:t xml:space="preserve">vilayets meet near Elbassan.  The name Albania (in the Tosk</w:t></w:r>
</w:p>
<w:p>
<w:pPr><w:pStyle w:val="Normal"/></w:pPr>
<w:r><w:t xml:space="preserve">dialect Arberia, in the Gheg Arbenia), like Albania</w:t></w:r>
</w:p>
<w:p>
<w:pPr><w:pStyle w:val="Normal"/></w:pPr>
<w:r><w:t xml:space="preserve">in the Caucasus, Armenia, Albany in Britain, and Auvergne</w:t></w:r>
</w:p>
<w:p>
<w:pPr><w:pStyle w:val="Normal"/></w:pPr>
<w:r><w:t xml:space="preserve">(Arveniaj in France, is probably connected with the root</w:t></w:r>
</w:p>
<w:p>
<w:pPr><w:pStyle w:val="Normal"/></w:pPr>
<w:r><w:t xml:space="preserve">alb, alp, and signifies ``the white or snowy uplands.&apos;&apos;</w:t></w:r>
</w:p>
<w:p>
<w:pPr><w:pStyle w:val="Normal"/></w:pPr>
<w:r><w:t xml:space="preserve">Physical Features.--The mountain system is extremely complex,</w:t></w:r>
</w:p>
<w:p>
<w:pPr><w:pStyle w:val="Normal"/></w:pPr>
<w:r><w:t xml:space="preserve">especially that of the northern region.  On the E. the great</w:t></w:r>
</w:p>
<w:p>
<w:pPr><w:pStyle w:val="Normal"/></w:pPr>
<w:r><w:t xml:space="preserve">Shar range, extending in a south-westerly direction from</w:t></w:r>
</w:p>
<w:p>
<w:pPr><w:pStyle w:val="Normal"/></w:pPr>
<w:r><w:t xml:space="preserve">the neighbourhood of Prishtina to thatof Dibra, is continued</w:t></w:r>
</w:p>
<w:p>
<w:pPr><w:pStyle w:val="Normal"/></w:pPr>
<w:r><w:t xml:space="preserve">towards the S. by the ranges of Grammos and Pindus; the entire</w:t></w:r>
</w:p>
<w:p>
<w:pPr><w:pStyle w:val="Normal"/></w:pPr>
<w:r><w:t xml:space="preserve">chain, a prolongation of the Alpine systems of Bosnia and</w:t></w:r>
</w:p>
<w:p>
<w:pPr><w:pStyle w:val="Normal"/></w:pPr>
<w:r><w:t xml:space="preserve">Dalmatia, may be described as the backbone of the peninsula;</w:t></w:r>
</w:p>
<w:p>
<w:pPr><w:pStyle w:val="Normal"/></w:pPr>
<w:r><w:t xml:space="preserve">it forms the watershed between the Aegean and the Adriatic,</w:t></w:r>
</w:p>
<w:p>
<w:pPr><w:pStyle w:val="Normal"/></w:pPr>
<w:r><w:t xml:space="preserve">and culminates in the lofty peak of Liubotrn, near Kalkandele,</w:t></w:r>
</w:p>
<w:p>
<w:pPr><w:pStyle w:val="Normal"/></w:pPr>
<w:r><w:t xml:space="preserve">one of the highest summits in south-eastern Europe (8858</w:t></w:r>
</w:p>
<w:p>
<w:pPr><w:pStyle w:val="Normal"/></w:pPr>
<w:r><w:t xml:space="preserve">ft.).  The country to the west of this natural barrier may be</w:t></w:r>
</w:p>
<w:p>
<w:pPr><w:pStyle w:val="Normal"/></w:pPr>
<w:r><w:t xml:space="preserve">divided geographically into three districts---northern, central</w:t></w:r>
</w:p>
<w:p>
<w:pPr><w:pStyle w:val="Normal"/></w:pPr>
<w:r><w:t xml:space="preserve">and southern Albania.  The river Shkumb separates the northern</w:t></w:r>
</w:p>
<w:p>
<w:pPr><w:pStyle w:val="Normal"/></w:pPr>
<w:r><w:t xml:space="preserve">from the central district, the Viossa the central from the</w:t></w:r>
</w:p>
<w:p>
<w:pPr><w:pStyle w:val="Normal"/></w:pPr>
<w:r><w:t xml:space="preserve">southern.  The highland region of northern Albania is divided</w:t></w:r>
</w:p>
<w:p>
<w:pPr><w:pStyle w:val="Normal"/></w:pPr>
<w:r><w:t xml:space="preserve">into two portions by the lower course of the Drin; the</w:t></w:r>
</w:p>
<w:p>
<w:pPr><w:pStyle w:val="Normal"/></w:pPr>
<w:r><w:t xml:space="preserve">mountains of the northern portion, the Bieska Malziis, extend</w:t></w:r>
</w:p>
<w:p>
<w:pPr><w:pStyle w:val="Normal"/></w:pPr>
<w:r><w:t xml:space="preserve">in a confused and broken series of ridges from Scutari to the</w:t></w:r>
</w:p>
<w:p>
<w:pPr><w:pStyle w:val="Normal"/></w:pPr>
<w:r><w:t xml:space="preserve">valleys of the Ibar and White Drin; they comprise the rocky</w:t></w:r>
</w:p>
<w:p>
<w:pPr><w:pStyle w:val="Normal"/></w:pPr>
<w:r><w:t xml:space="preserve">group of the Prokletia, or Accursed Mountains, with their</w:t></w:r>
</w:p>
<w:p>
<w:pPr><w:pStyle w:val="Normal"/></w:pPr>
<w:r><w:t xml:space="preserve">numerous ramifications, including Mount Velechik, inhabited</w:t></w:r>
</w:p>
<w:p>
<w:pPr><w:pStyle w:val="Normal"/></w:pPr>
<w:r><w:t xml:space="preserve">by the Kastiat and Shkrel tribes, Bukovik by the Hot, Golesh</w:t></w:r>
</w:p>
<w:p>
<w:pPr><w:pStyle w:val="Normal"/></w:pPr>
<w:r><w:t xml:space="preserve">by the Klement, Skulsen (7533 ft.), Baba Vrkh (about 7306</w:t></w:r>
</w:p>
<w:p>
<w:pPr><w:pStyle w:val="Normal"/></w:pPr>
<w:r><w:t xml:space="preserve">ft.), Maranay near Scutari, and the Bastrik range to the</w:t></w:r>
</w:p>
<w:p>
<w:pPr><w:pStyle w:val="Normal"/></w:pPr>
<w:r><w:t xml:space="preserve">east.  South of the Drin is another complex mountain system,</w:t></w:r>
</w:p>
<w:p>
<w:pPr><w:pStyle w:val="Normal"/></w:pPr>
<w:r><w:t xml:space="preserve">including the highlands inhabited by the Mirdites and the Mat</w:t></w:r>
</w:p>
<w:p>
<w:pPr><w:pStyle w:val="Normal"/></w:pPr>
<w:r><w:t xml:space="preserve">tribe; among the principal summits are Deja Mazzukht, Mal-i</w:t></w:r>
</w:p>
<w:p>
<w:pPr><w:pStyle w:val="Normal"/></w:pPr>
<w:r><w:t xml:space="preserve">Vels, Kraba, Toli and Mnela.  Central Albania differs from</w:t></w:r>
</w:p>
<w:p>
<w:pPr><w:pStyle w:val="Normal"/></w:pPr>
<w:r><w:t xml:space="preserve">the northern and southern regions in the more undulating and</w:t></w:r>
</w:p>
<w:p>
<w:pPr><w:pStyle w:val="Normal"/></w:pPr>
<w:r><w:t xml:space="preserve">less rugged character of its surface; it contains considerable</w:t></w:r>
</w:p>
<w:p>
<w:pPr><w:pStyle w:val="Normal"/></w:pPr>
<w:r><w:t xml:space="preserve">lowland tracts, such as the wide and fertile plain of Musseki,</w:t></w:r>
</w:p>
<w:p>
<w:pPr><w:pStyle w:val="Normal"/></w:pPr>
<w:r><w:t xml:space="preserve">traversed by the river Simen.  The principal summit is Tomor</w:t></w:r>
</w:p>
<w:p>
<w:pPr><w:pStyle w:val="Normal"/></w:pPr>
<w:r><w:t xml:space="preserve">(7916 ft.), overhanging the town of Berat.  Southern Albania,</w:t></w:r>
</w:p>
<w:p>
<w:pPr><w:pStyle w:val="Normal"/></w:pPr>
<w:r><w:t xml:space="preserve">again, is almost wholly mountainous, with the exception of</w:t></w:r>
</w:p>
<w:p>
<w:pPr><w:pStyle w:val="Normal"/></w:pPr>
<w:r><w:t xml:space="preserve">the plains of Iannina andarta; the most noteworthy feature is</w:t></w:r>
</w:p>
<w:p>
<w:pPr><w:pStyle w:val="Normal"/></w:pPr>
<w:r><w:t xml:space="preserve">the rugged range of the Tchika, or Khimara mountains, which</w:t></w:r>
</w:p>
<w:p>
<w:pPr><w:pStyle w:val="Normal"/></w:pPr>
<w:r><w:t xml:space="preserve">skirt the sea-coast from south-west to north-east, terminating</w:t></w:r>
</w:p>
<w:p>
<w:pPr><w:pStyle w:val="Normal"/></w:pPr>
<w:r><w:t xml:space="preserve">in the lofty promontory of Glossa (ancient Acroceraunia.)</w:t></w:r>
</w:p>
<w:p>
<w:pPr><w:pStyle w:val="Normal"/></w:pPr>
<w:r><w:t xml:space="preserve">Farther inland the Mishkeli range to the north-east of</w:t></w:r>
</w:p>
<w:p>
<w:pPr><w:pStyle w:val="Normal"/></w:pPr>
<w:r><w:t xml:space="preserve">Lake Iannina and the Nemertzika mountains run in a parallel</w:t></w:r>
</w:p>
<w:p>
<w:pPr><w:pStyle w:val="Normal"/></w:pPr>
<w:r><w:t xml:space="preserve">direction.  In the extreme south, beyond the basin of the</w:t></w:r>
</w:p>
<w:p>
<w:pPr><w:pStyle w:val="Normal"/></w:pPr>
<w:r><w:t xml:space="preserve">Kalamas, the mountains of Sull and Olyzika form a separate</w:t></w:r>
</w:p>
<w:p>
<w:pPr><w:pStyle w:val="Normal"/></w:pPr>
<w:r><w:t xml:space="preserve">group.  The rivers, as a rule, flow from east to west; owing</w:t></w:r>
</w:p>
<w:p>
<w:pPr><w:pStyle w:val="Normal"/></w:pPr>
<w:r><w:t xml:space="preserve">to the rapidity of their descent none are navigable except the</w:t></w:r>
</w:p>
<w:p>
<w:pPr><w:pStyle w:val="Normal"/></w:pPr>
<w:r><w:t xml:space="preserve">Boyana and Arta in their lower courses.  The principal rivers</w:t></w:r>
</w:p>
<w:p>
<w:pPr><w:pStyle w:val="Normal"/></w:pPr>
<w:r><w:t xml:space="preserve">are the Boyana, issuing from Lake Scutari, and consequently</w:t></w:r>
</w:p>
<w:p>
<w:pPr><w:pStyle w:val="Normal"/></w:pPr>
<w:r><w:t xml:space="preserve">regarded as a continuation of the Montenegrin Moratcha,</w:t></w:r>
</w:p>
<w:p>
<w:pPr><w:pStyle w:val="Normal"/></w:pPr>
<w:r><w:t xml:space="preserve">the Drin, formed by the confluence of the White and Black</w:t></w:r>
</w:p>
<w:p>
<w:pPr><w:pStyle w:val="Normal"/></w:pPr>
<w:r><w:t xml:space="preserve">Drin, which, flowing respectively to the south and north</w:t></w:r>
</w:p>
<w:p>
<w:pPr><w:pStyle w:val="Normal"/></w:pPr>
<w:r><w:t xml:space="preserve">through a long valley at the foot of the Shar range, take</w:t></w:r>
</w:p>
<w:p>
<w:pPr><w:pStyle w:val="Normal"/></w:pPr>
<w:r><w:t xml:space="preserve">a westerly direction after their junction, the AIatia, the</w:t></w:r>
</w:p>
<w:p>
<w:pPr><w:pStyle w:val="Normal"/></w:pPr>
<w:r><w:t xml:space="preserve">Arzen, the Shkumb (ancient G:e:iusos), the Simen (Apsos),</w:t></w:r>
</w:p>
<w:p>
<w:pPr><w:pStyle w:val="Normal"/></w:pPr>
<w:r><w:t xml:space="preserve">formed by the junction of the Devol and Ergene, the Viossa</w:t></w:r>
</w:p>
<w:p>
<w:pPr><w:pStyle w:val="Normal"/></w:pPr>
<w:r><w:t xml:space="preserve">(Aous), which owing to the trend of the Khimara range</w:t></w:r>
</w:p>
<w:p>
<w:pPr><w:pStyle w:val="Normal"/></w:pPr>
<w:r><w:t xml:space="preserve">takes a north-westerly direction, the Ralamas (Thyamis)</w:t></w:r>
</w:p>
<w:p>
<w:pPr><w:pStyle w:val="Normal"/></w:pPr>
<w:r><w:t xml:space="preserve">and the Arta (Arachthos), flowing south into the Ambraciah</w:t></w:r>
</w:p>
<w:p>
<w:pPr><w:pStyle w:val="Normal"/></w:pPr>
<w:r><w:t xml:space="preserve">Gulf.  A portion of the stream of the Drin has found its</w:t></w:r>
</w:p>
<w:p>
<w:pPr><w:pStyle w:val="Normal"/></w:pPr>
<w:r><w:t xml:space="preserve">way into the Boyana channel; the result has been a rise in</w:t></w:r>
</w:p>
<w:p>
<w:pPr><w:pStyle w:val="Normal"/></w:pPr>
<w:r><w:t xml:space="preserve">the level of Lake Scutari and the inundation of the adjacent</w:t></w:r>
</w:p>
<w:p>
<w:pPr><w:pStyle w:val="Normal"/></w:pPr>
<w:r><w:t xml:space="preserve">lowlands.  A proposal to confine the Drin to its former</w:t></w:r>
</w:p>
<w:p>
<w:pPr><w:pStyle w:val="Normal"/></w:pPr>
<w:r><w:t xml:space="preserve">course by means of a dyke, and to ease the downflow of the</w:t></w:r>
</w:p>
<w:p>
<w:pPr><w:pStyle w:val="Normal"/></w:pPr>
<w:r><w:t xml:space="preserve">Boyana by a canal opening navigation to Lake Scutari, has</w:t></w:r>
</w:p>
<w:p>
<w:pPr><w:pStyle w:val="Normal"/></w:pPr>
<w:r><w:t xml:space="preserve">long been considered by the Turliish authorities.  The great</w:t></w:r>
</w:p>
<w:p>
<w:pPr><w:pStyle w:val="Normal"/></w:pPr>
<w:r><w:t xml:space="preserve">lakes of Scutari (135 sq. m.) and Ochrida (107 sq. m.) are</w:t></w:r>
</w:p>
<w:p>
<w:pPr><w:pStyle w:val="Normal"/></w:pPr>
<w:r><w:t xml:space="preserve">among the most beautiful in Europe; the waters of Ochrida,</w:t></w:r>
</w:p>
<w:p>
<w:pPr><w:pStyle w:val="Normal"/></w:pPr>
<w:r><w:t xml:space="preserve">which find an outlet in the Black Drin, are of marvellous</w:t></w:r>
</w:p>
<w:p>
<w:pPr><w:pStyle w:val="Normal"/></w:pPr>
<w:r><w:t xml:space="preserve">clearness.  Lake KIahk, south by east of Ochrida, is</w:t></w:r>
</w:p>
<w:p>
<w:pPr><w:pStyle w:val="Normal"/></w:pPr>
<w:r><w:t xml:space="preserve">drained by the Devol.  The waters of the picturesque Lake</w:t></w:r>
</w:p>
<w:p>
<w:pPr><w:pStyle w:val="Normal"/></w:pPr>
<w:r><w:t xml:space="preserve">Iannina (24 sq. m.) find an issue by katabothra, or</w:t></w:r>
</w:p>
<w:p>
<w:pPr><w:pStyle w:val="Normal"/></w:pPr>
<w:r><w:t xml:space="preserve">underground channels, into the Ambracian Gulf.  The lake of</w:t></w:r>
</w:p>
<w:p>
<w:pPr><w:pStyle w:val="Normal"/></w:pPr>
<w:r><w:t xml:space="preserve">Butrinto (Buthrotum) is near the sea-coast opposite Corfu.</w:t></w:r>
</w:p>
<w:p>
<w:pPr><w:pStyle w:val="Normal"/></w:pPr>
<w:r><w:t xml:space="preserve">Climate.---The climate is healthy in the uplands, though</w:t></w:r>
</w:p>
<w:p>
<w:pPr><w:pStyle w:val="Normal"/></w:pPr>
<w:r><w:t xml:space="preserve">subject to violent changes; in the valleys fever is very</w:t></w:r>
</w:p>
<w:p>
<w:pPr><w:pStyle w:val="Normal"/></w:pPr>
<w:r><w:t xml:space="preserve">prevalent, especially in the basins of the Boyana, the lower</w:t></w:r>
</w:p>
<w:p>
<w:pPr><w:pStyle w:val="Normal"/></w:pPr>
<w:r><w:t xml:space="preserve">Drin and the Simen.  The winter is short, but exceedingly</w:t></w:r>
</w:p>
<w:p>
<w:pPr><w:pStyle w:val="Normal"/></w:pPr>
<w:r><w:t xml:space="preserve">cold; snow remains on the Prokletia and other mountains</w:t></w:r>
</w:p>
<w:p>
<w:pPr><w:pStyle w:val="Normal"/></w:pPr>
<w:r><w:t xml:space="preserve">till August, and sometimes throughout the year.  The summer</w:t></w:r>
</w:p>
<w:p>
<w:pPr><w:pStyle w:val="Normal"/></w:pPr>
<w:r><w:t xml:space="preserve">temperature in the plains is that of southern Italy; in</w:t></w:r>
</w:p>
<w:p>
<w:pPr><w:pStyle w:val="Normal"/></w:pPr>
<w:r><w:t xml:space="preserve">the mountain districts it is high during the day, but falls</w:t></w:r>
</w:p>
<w:p>
<w:pPr><w:pStyle w:val="Normal"/></w:pPr>
<w:r><w:t xml:space="preserve">almost to freezing-point at night.  The sea-coast is exposed</w:t></w:r>
</w:p>
<w:p>
<w:pPr><w:pStyle w:val="Normal"/></w:pPr>
<w:r><w:t xml:space="preserve">to the fierce bora, or north wind, during the spring.</w:t></w:r>
</w:p>
<w:p>
<w:pPr><w:pStyle w:val="Normal"/></w:pPr>
<w:r><w:t xml:space="preserve">Natural Products.--The mountains of Albania are said to be</w:t></w:r>
</w:p>
<w:p>
<w:pPr><w:pStyle w:val="Normal"/></w:pPr>
<w:r><w:t xml:space="preserve">rich in minerals, but this source of wealth remains practically</w:t></w:r>
</w:p>
<w:p>
<w:pPr><w:pStyle w:val="Normal"/></w:pPr>
<w:r><w:t xml:space="preserve">unexplored.  Iron and coal are probably abundant, and silver-lead,</w:t></w:r>
</w:p>
<w:p>
<w:pPr><w:pStyle w:val="Normal"/></w:pPr>
<w:r><w:t xml:space="preserve">copper and antimony are believed to exist.  Cold mines were</w:t></w:r>
</w:p>
<w:p>
<w:pPr><w:pStyle w:val="Normal"/></w:pPr>
<w:r><w:t xml:space="preserve">worked in antiquity in the Drin valley, and silver mines in</w:t></w:r>
</w:p>
<w:p>
<w:pPr><w:pStyle w:val="Normal"/></w:pPr>
<w:r><w:t xml:space="preserve">the Mirdite region were known to the Venetians in the middle</w:t></w:r>
</w:p>
<w:p>
<w:pPr><w:pStyle w:val="Normal"/></w:pPr>
<w:r><w:t xml:space="preserve">ages.  At Selinitza, near Avlona, there is a remarkable</w:t></w:r>
</w:p>
<w:p>
<w:pPr><w:pStyle w:val="Normal"/></w:pPr>
<w:r><w:t xml:space="preserve">deposit of mineral pitch which was extensively worked in Roman</w:t></w:r>
</w:p>
<w:p>
<w:pPr><w:pStyle w:val="Normal"/></w:pPr>
<w:r><w:t xml:space="preserve">times; mining operations are still carried on here, but in a</w:t></w:r>
</w:p>
<w:p>
<w:pPr><w:pStyle w:val="Normal"/></w:pPr>
<w:r><w:t xml:space="preserve">somewhat primitive fashion.  The splendid forests, of which</w:t></w:r>
</w:p>
<w:p>
<w:pPr><w:pStyle w:val="Normal"/></w:pPr>
<w:r><w:t xml:space="preserve">there are 70,000 acres in the vilayet of Scutari alone, are</w:t></w:r>
</w:p>
<w:p>
<w:pPr><w:pStyle w:val="Normal"/></w:pPr>
<w:r><w:t xml:space="preserve">undergoing a rapid process of destruction, as in other lands</w:t></w:r>
</w:p>
<w:p>
<w:pPr><w:pStyle w:val="Normal"/></w:pPr>
<w:r><w:t xml:space="preserve">under Turkish rule.  The principal trees are the oak, the</w:t></w:r>
</w:p>
<w:p>
<w:pPr><w:pStyle w:val="Normal"/></w:pPr>
<w:r><w:t xml:space="preserve">valonia oak, the beech. ash, elm, plane, celtis, poplar and</w:t></w:r>
</w:p>
<w:p>
<w:pPr><w:pStyle w:val="Normal"/></w:pPr>
<w:r><w:t xml:space="preserve">walnut, which give way in the higher regions to the pine and</w:t></w:r>
</w:p>
<w:p>
<w:pPr><w:pStyle w:val="Normal"/></w:pPr>
<w:r><w:t xml:space="preserve">fir.  The oak forests near Dibra, where charcoalmaking is a</w:t></w:r>
</w:p>
<w:p>
<w:pPr><w:pStyle w:val="Normal"/></w:pPr>
<w:r><w:t xml:space="preserve">considerable industry, and the beech-woods of the Prishtina</w:t></w:r>
</w:p>
<w:p>
<w:pPr><w:pStyle w:val="Normal"/></w:pPr>
<w:r><w:t xml:space="preserve">district, are especially remarkable.  The sumach is largely</w:t></w:r>
</w:p>
<w:p>
<w:pPr><w:pStyle w:val="Normal"/></w:pPr>
<w:r><w:t xml:space="preserve">grown in the Mirdite district; its leaves are exported to</w:t></w:r>
</w:p>
<w:p>
<w:pPr><w:pStyle w:val="Normal"/></w:pPr>
<w:r><w:t xml:space="preserve">Trieste for use in tanneries and dyeworks.  In 1898 the</w:t></w:r>
</w:p>
<w:p>
<w:pPr><w:pStyle w:val="Normal"/></w:pPr>
<w:r><w:t xml:space="preserve">export of valonia was estimated at L. 11,200, of sumach at</w:t></w:r>
</w:p>
<w:p>
<w:pPr><w:pStyle w:val="Heading1"/></w:pPr>
<w:r><w:t>L. 2400.  Of fruit-trees the white mulberry, cherry and wild</w:t></w:r>
</w:p>
<w:p>
<w:pPr><w:pStyle w:val="Normal"/></w:pPr>
<w:r><w:t xml:space="preserve">pear are plentiful; the chestnut and walnut are sometimes met</w:t></w:r>
</w:p>
<w:p>
<w:pPr><w:pStyle w:val="Normal"/></w:pPr>
<w:r><w:t xml:space="preserve">with, and the olive is grown in the lowland and maritime</w:t></w:r>
</w:p>
<w:p>
<w:pPr><w:pStyle w:val="Normal"/></w:pPr>
<w:r><w:t xml:space="preserve">districts.  The exportation of olive oil in 1808 was valued at</w:t></w:r>
</w:p>
<w:p>
<w:pPr><w:pStyle w:val="Heading1"/></w:pPr>
<w:r><w:t>L. 24,000.  The greater part of the country is admirably</w:t></w:r>
</w:p>
<w:p>
<w:pPr><w:pStyle w:val="Normal"/></w:pPr>
<w:r><w:t xml:space="preserve">suited to viticulture, and wine of tolerable quality is</w:t></w:r>
</w:p>
<w:p>
<w:pPr><w:pStyle w:val="Normal"/></w:pPr>
<w:r><w:t xml:space="preserve">produced.  Tobacco is grown extensively in southern Albania,</w:t></w:r>
</w:p>
<w:p>
<w:pPr><w:pStyle w:val="Normal"/></w:pPr>
<w:r><w:t xml:space="preserve">especially near Berat and in the upper valley of the</w:t></w:r>
</w:p>
<w:p>
<w:pPr><w:pStyle w:val="Normal"/></w:pPr>
<w:r><w:t xml:space="preserve">Viossa, but the quantity exported is small.  The means of</w:t></w:r>
</w:p>
<w:p>
<w:pPr><w:pStyle w:val="Normal"/></w:pPr>
<w:r><w:t xml:space="preserve">subsistence are mainly provided by the cultivation of grain and</w:t></w:r>
</w:p>
<w:p>
<w:pPr><w:pStyle w:val="Normal"/></w:pPr>
<w:r><w:t xml:space="preserve">cattle-rearing.  Notwithstanding the primitive condition of</w:t></w:r>
</w:p>
<w:p>
<w:pPr><w:pStyle w:val="Normal"/></w:pPr>
<w:r><w:t xml:space="preserve">agriculture, the deficiency of communications and the damage</w:t></w:r>
</w:p>
<w:p>
<w:pPr><w:pStyle w:val="Normal"/></w:pPr>
<w:r><w:t xml:space="preserve">caused by frequent inundations, Albania furnishes almost the</w:t></w:r>
</w:p>
<w:p>
<w:pPr><w:pStyle w:val="Normal"/></w:pPr>
<w:r><w:t xml:space="preserve">entire corn supplu of the Dalmatian coast and islands.  Maize</w:t></w:r>
</w:p>
<w:p>
<w:pPr><w:pStyle w:val="Normal"/></w:pPr>
<w:r><w:t xml:space="preserve">is the favourite grain for home consumption, but considerable</w:t></w:r>
</w:p>
<w:p>
<w:pPr><w:pStyle w:val="Normal"/></w:pPr>
<w:r><w:t xml:space="preserve">quantities of this cereal, as well as barley, rye and oats are</w:t></w:r>
</w:p>
<w:p>
<w:pPr><w:pStyle w:val="Normal"/></w:pPr>
<w:r><w:t xml:space="preserve">exported.  The total export of cereals in 1808 was valued at</w:t></w:r>
</w:p>
<w:p>
<w:pPr><w:pStyle w:val="Heading1"/></w:pPr>
<w:r><w:t>L. 70,800.  Sheep and goats form almost the only wealth of</w:t></w:r>
</w:p>
<w:p>
<w:pPr><w:pStyle w:val="Normal"/></w:pPr>
<w:r><w:t xml:space="preserve">the mountaineers of northern Albania; large cattle are found</w:t></w:r>
</w:p>
<w:p>
<w:pPr><w:pStyle w:val="Normal"/></w:pPr>
<w:r><w:t xml:space="preserve">only on the plains.  The slopes of Pindus afford excellent</w:t></w:r>
</w:p>
<w:p>
<w:pPr><w:pStyle w:val="Normal"/></w:pPr>
<w:r><w:t xml:space="preserve">pasture for the flocks of the Vlach shepherds.  The export of</w:t></w:r>
</w:p>
<w:p>
<w:pPr><w:pStyle w:val="Normal"/></w:pPr>
<w:r><w:t xml:space="preserve">raw hides and wool is considerable; in 1898 these commodities</w:t></w:r>
</w:p>
<w:p>
<w:pPr><w:pStyle w:val="Normal"/></w:pPr>
<w:r><w:t xml:space="preserve">were valued respectively at L. 90,400 and L. 24,000.  The lakes</w:t></w:r>
</w:p>
<w:p>
<w:pPr><w:pStyle w:val="Normal"/></w:pPr>
<w:r><w:t xml:space="preserve">and rivers of Albania abound in fish.  The scoranze (Alb.</w:t></w:r>
</w:p>
<w:p>
<w:pPr><w:pStyle w:val="Normal"/></w:pPr>
<w:r><w:t xml:space="preserve">seraga), a kind of sardine, is taken in great quantities in</w:t></w:r>
</w:p>
<w:p>
<w:pPr><w:pStyle w:val="Normal"/></w:pPr>
<w:r><w:t xml:space="preserve">Lake Scutari; it is salted and smoked for home consumption and</w:t></w:r>
</w:p>
<w:p>
<w:pPr><w:pStyle w:val="Normal"/></w:pPr>
<w:r><w:t xml:space="preserve">exportation.  Sea-fishing is almost wholly neglected.</w:t></w:r>
</w:p>
<w:p>
<w:pPr><w:pStyle w:val="Normal"/></w:pPr>
<w:r><w:t xml:space="preserve">There are salines at Avlona and other places on the coast.</w:t></w:r>
</w:p>
<w:p>
<w:pPr><w:pStyle w:val="Normal"/></w:pPr>
<w:r><w:t xml:space="preserve">Commerce anid Industries.--The exports in 1898 were estimated</w:t></w:r>
</w:p>
<w:p>
<w:pPr><w:pStyle w:val="Normal"/></w:pPr>
<w:r><w:t xml:space="preserve">at L. 480,000, the imports at L. 1,360,000, the former comprising</w:t></w:r>
</w:p>
<w:p>
<w:pPr><w:pStyle w:val="Normal"/></w:pPr>
<w:r><w:t xml:space="preserve">agricultural produce, live stock, hides, wool, cheese, eggs,</w:t></w:r>
</w:p>
<w:p>
<w:pPr><w:pStyle w:val="Normal"/></w:pPr>
<w:r><w:t xml:space="preserve">poultry, olive oil, valonia, sumach leaves, timber, skins of wild</w:t></w:r>
</w:p>
<w:p>
<w:pPr><w:pStyle w:val="Normal"/></w:pPr>
<w:r><w:t xml:space="preserve">animals, silk, tobacco and salted fish, the latter manufactured</w:t></w:r>
</w:p>
<w:p>
<w:pPr><w:pStyle w:val="Normal"/></w:pPr>
<w:r><w:t xml:space="preserve">articles, cloth, hardware, furniture, firearms, gunpowder,</w:t></w:r>
</w:p>
<w:p>
<w:pPr><w:pStyle w:val="Normal"/></w:pPr>
<w:r><w:t xml:space="preserve">sugar, coffee, &amp;c. The monopoly of Albanian commerce formerly</w:t></w:r>
</w:p>
<w:p>
<w:pPr><w:pStyle w:val="Normal"/></w:pPr>
<w:r><w:t xml:space="preserve">Dossessed by Venice has descended to Austria-Hungary; the</w:t></w:r>
</w:p>
<w:p>
<w:pPr><w:pStyle w:val="Normal"/></w:pPr>
<w:r><w:t xml:space="preserve">trade with other countries, except Italy, is inconsiderable.</w:t></w:r>
</w:p>
<w:p>
<w:pPr><w:pStyle w:val="Normal"/></w:pPr>
<w:r><w:t xml:space="preserve">Owing to the poverty of the people, cheap Austrian goods</w:t></w:r>
</w:p>
<w:p>
<w:pPr><w:pStyle w:val="Normal"/></w:pPr>
<w:r><w:t xml:space="preserve">find a readier sale than the more expensive and solid British</w:t></w:r>
</w:p>
<w:p>
<w:pPr><w:pStyle w:val="Normal"/></w:pPr>
<w:r><w:t xml:space="preserve">manufactures.  The maritime traffic is largely conducted</w:t></w:r>
</w:p>
<w:p>
<w:pPr><w:pStyle w:val="Normal"/></w:pPr>
<w:r><w:t xml:space="preserve">by the steamers of the subsidized Austrian-Lloyd company,</w:t></w:r>
</w:p>
<w:p>
<w:pPr><w:pStyle w:val="Normal"/></w:pPr>
<w:r><w:t xml:space="preserve">Trieste being the principal commercial centre; the coasting</w:t></w:r>
</w:p>
<w:p>
<w:pPr><w:pStyle w:val="Normal"/></w:pPr>
<w:r><w:t xml:space="preserve">trade is carried on by small Greek and Turkish sailing</w:t></w:r>
</w:p>
<w:p>
<w:pPr><w:pStyle w:val="Normal"/></w:pPr>
<w:r><w:t xml:space="preserve">vessels.  The trade of the northern and western districts has</w:t></w:r>
</w:p>
<w:p>
<w:pPr><w:pStyle w:val="Normal"/></w:pPr>
<w:r><w:t xml:space="preserve">to some extent been diverted to Salonica since the opening of</w:t></w:r>
</w:p>
<w:p>
<w:pPr><w:pStyle w:val="Normal"/></w:pPr>
<w:r><w:t xml:space="preserve">the railways from that town to Mitrovitza and Monastir.  The</w:t></w:r>
</w:p>
<w:p>
<w:pPr><w:pStyle w:val="Normal"/></w:pPr>
<w:r><w:t xml:space="preserve">development of commerce is retarded by lack of communications;</w:t></w:r>
</w:p>
<w:p>
<w:pPr><w:pStyle w:val="Normal"/></w:pPr>
<w:r><w:t xml:space="preserve">the country Dossesses no railways and few roads.  Several</w:t></w:r>
</w:p>
<w:p>
<w:pPr><w:pStyle w:val="Normal"/></w:pPr>
<w:r><w:t xml:space="preserve">railway lines have been projected, but there is no great</w:t></w:r>
</w:p>
<w:p>
<w:pPr><w:pStyle w:val="Normal"/></w:pPr>
<w:r><w:t xml:space="preserve">probability of their construction under existing political</w:t></w:r>
</w:p>
<w:p>
<w:pPr><w:pStyle w:val="Normal"/></w:pPr>
<w:r><w:t xml:space="preserve">conditions.  The Via Egnatia, the great Roman highway to the</w:t></w:r>
</w:p>
<w:p>
<w:pPr><w:pStyle w:val="Normal"/></w:pPr>
<w:r><w:t xml:space="preserve">east, is still used; it runs from Durazzo (Dyrrhachium) to</w:t></w:r>
</w:p>
<w:p>
<w:pPr><w:pStyle w:val="Normal"/></w:pPr>
<w:r><w:t xml:space="preserve">Elbassan and Ochrida.  Iannina is connected by carriage-roads</w:t></w:r>
</w:p>
<w:p>
<w:pPr><w:pStyle w:val="Normal"/></w:pPr>
<w:r><w:t xml:space="preserve">with Monastir, Agii Saranta and Preveza.  As a rule, however,</w:t></w:r>
</w:p>
<w:p>
<w:pPr><w:pStyle w:val="Normal"/></w:pPr>
<w:r><w:t xml:space="preserve">bridle-paths supply the only means of communication.  The</w:t></w:r>
</w:p>
<w:p>
<w:pPr><w:pStyle w:val="Normal"/></w:pPr>
<w:r><w:t xml:space="preserve">native industries are inconsiderable, and many of them are</w:t></w:r>
</w:p>
<w:p>
<w:pPr><w:pStyle w:val="Normal"/></w:pPr>
<w:r><w:t xml:space="preserve">in a languishing condition.  The manufacture of highly ornate</w:t></w:r>
</w:p>
<w:p>
<w:pPr><w:pStyle w:val="Normal"/></w:pPr>
<w:r><w:t xml:space="preserve">firearms, yataghans and other weapons at Scutari, Jakova</w:t></w:r>
</w:p>
<w:p>
<w:pPr><w:pStyle w:val="Normal"/></w:pPr>
<w:r><w:t xml:space="preserve">and Prizren has declined, owing to the importation of modern</w:t></w:r>
</w:p>
<w:p>
<w:pPr><w:pStyle w:val="Normal"/></w:pPr>
<w:r><w:t xml:space="preserve">rifies and revolvers.  Gold and silk embroidery, filigree</w:t></w:r>
</w:p>
<w:p>
<w:pPr><w:pStyle w:val="Normal"/></w:pPr>
<w:r><w:t xml:space="preserve">work, morocco and richly-braided jackets are produced for</w:t></w:r>
</w:p>
<w:p>
<w:pPr><w:pStyle w:val="Normal"/></w:pPr>
<w:r><w:t xml:space="preserve">home use and for sale in Bosnia, Macedonia and Montenegro.</w:t></w:r>
</w:p>
<w:p>
<w:pPr><w:pStyle w:val="Normal"/></w:pPr>
<w:r><w:t xml:space="preserve">Population----The population of Albania may be estimated</w:t></w:r>
</w:p>
<w:p>
<w:pPr><w:pStyle w:val="Normal"/></w:pPr>
<w:r><w:t xml:space="preserve">at between 1,600,000 and 1,500,000, of whom 1,200,000 or</w:t></w:r>
</w:p>
<w:p>
<w:pPr><w:pStyle w:val="Normal"/></w:pPr>
<w:r><w:t xml:space="preserve">1,100,000 are Albanians.  Of the other races the Slavs</w:t></w:r>
</w:p>
<w:p>
<w:pPr><w:pStyle w:val="Normal"/></w:pPr>
<w:r><w:t xml:space="preserve">(Serbs and Bulgars) are the most numerous, possibly numbering</w:t></w:r>
</w:p>
<w:p>
<w:pPr><w:pStyle w:val="Normal"/></w:pPr>
<w:r><w:t xml:space="preserve">250,000.  Servian settlements exist in various parts of</w:t></w:r>
</w:p>
<w:p>
<w:pPr><w:pStyle w:val="Normal"/></w:pPr>
<w:r><w:t xml:space="preserve">northern Albania; there is a strong Bulgarian colony in the</w:t></w:r>
</w:p>
<w:p>
<w:pPr><w:pStyle w:val="Normal"/></w:pPr>
<w:r><w:t xml:space="preserve">neighbourhood of Dibra and Ochrida; farther south, Mount Zygos</w:t></w:r>
</w:p>
<w:p>
<w:pPr><w:pStyle w:val="Normal"/></w:pPr>
<w:r><w:t xml:space="preserve">and the Pindus range--the ``Great Walachia&apos;&apos; of the middle</w:t></w:r>
</w:p>
<w:p>
<w:pPr><w:pStyle w:val="Normal"/></w:pPr>
<w:r><w:t xml:space="preserve">ages---are inhabited by Vlachs or Tzintzars, who possibly number</w:t></w:r>
</w:p>
<w:p>
<w:pPr><w:pStyle w:val="Normal"/></w:pPr>
<w:r><w:t xml:space="preserve">70,000.  Some Turkish colonies are also found in the south-eastern</w:t></w:r>
</w:p>
<w:p>
<w:pPr><w:pStyle w:val="Normal"/></w:pPr>
<w:r><w:t xml:space="preserve">districts.  There is a considerable Greek-speaking population</w:t></w:r>
</w:p>
<w:p>
<w:pPr><w:pStyle w:val="Normal"/></w:pPr>
<w:r><w:t xml:space="preserve">in Epiros (including many Mahommedan Albanians), which must,</w:t></w:r>
</w:p>
<w:p>
<w:pPr><w:pStyle w:val="Normal"/></w:pPr>
<w:r><w:t xml:space="preserve">however, be distinguished from the genuine Greeks of Iannina,</w:t></w:r>
</w:p>
<w:p>
<w:pPr><w:pStyle w:val="Normal"/></w:pPr>
<w:r><w:t xml:space="preserve">Preveza and the extreme south; these may be estimated at</w:t></w:r>
</w:p>
<w:p>
<w:pPr><w:pStyle w:val="Normal"/></w:pPr>
<w:r><w:t xml:space="preserve">100,000.  The population of the vilayet of Scutari is given</w:t></w:r>
</w:p>
<w:p>
<w:pPr><w:pStyle w:val="Normal"/></w:pPr>
<w:r><w:t xml:space="preserve">as 237,000, that of the vilayet of Iannina as 552,000.  The</w:t></w:r>
</w:p>
<w:p>
<w:pPr><w:pStyle w:val="Normal"/></w:pPr>
<w:r><w:t xml:space="preserve">principal towns are Scutari (Albanian Shkoder, with the</w:t></w:r>
</w:p>
<w:p>
<w:pPr><w:pStyle w:val="Normal"/></w:pPr>
<w:r><w:t xml:space="preserve">definite article Shkodr-a), the capital of the vilayet</w:t></w:r>
</w:p>
<w:p>
<w:pPr><w:pStyle w:val="Normal"/></w:pPr>
<w:r><w:t xml:space="preserve">of that name, pop. 32,000; Prizren, 30,000; Iannina (often</w:t></w:r>
</w:p>
<w:p>
<w:pPr><w:pStyle w:val="Normal"/></w:pPr>
<w:r><w:t xml:space="preserve">incorrectly written Ioannina), capital of the southern</w:t></w:r>
</w:p>
<w:p>
<w:pPr><w:pStyle w:val="Normal"/></w:pPr>
<w:r><w:t xml:space="preserve">vilayet, 22,000; Jakova, 12,000; Dibra, 15,000; Prishtina,</w:t></w:r>
</w:p>
<w:p>
<w:pPr><w:pStyle w:val="Normal"/></w:pPr>
<w:r><w:t xml:space="preserve">11,000; Ipek (Slav. Petch), 15,000; Berat, 15,000; Ochrida,</w:t></w:r>
</w:p>
<w:p>
<w:pPr><w:pStyle w:val="Normal"/></w:pPr>
<w:r><w:t xml:space="preserve">11,000; Tirana, 12,000; Argyrokastro, 11,000; Kortcha (Slav.</w:t></w:r>
</w:p>
<w:p>
<w:pPr><w:pStyle w:val="Normal"/></w:pPr>
<w:r><w:t xml:space="preserve">Goritza), 10,000; Elbassan (perhaps ancient Albanopolis),</w:t></w:r>
</w:p>
<w:p>
<w:pPr><w:pStyle w:val="Normal"/></w:pPr>
<w:r><w:t xml:space="preserve">8000; Metzovo, 7500; Preveza, 6500; Avlona, 6000; Durazzo,</w:t></w:r>
</w:p>
<w:p>
<w:pPr><w:pStyle w:val="Normal"/></w:pPr>
<w:r><w:t xml:space="preserve">5000; Parga, 5000; Butrinto, 2000; and Kroia, the ancient</w:t></w:r>
</w:p>
<w:p>
<w:pPr><w:pStyle w:val="Normal"/></w:pPr>
<w:r><w:t xml:space="preserve">fortress of Scanderbeg, 5000.  All these, except Elbassan,</w:t></w:r>
</w:p>
<w:p>
<w:pPr><w:pStyle w:val="Normal"/></w:pPr>
<w:r><w:t xml:space="preserve">Metzovo and Kroia, are described in separate articles.</w:t></w:r>
</w:p>
<w:p>
<w:pPr><w:pStyle w:val="Normal"/></w:pPr>
<w:r><w:t xml:space="preserve">The Albanians are apparently the most ancient race in</w:t></w:r>
</w:p>
<w:p>
<w:pPr><w:pStyle w:val="Normal"/></w:pPr>
<w:r><w:t xml:space="preserve">southeastern Europe.  History and legend afford no record</w:t></w:r>
</w:p>
<w:p>
<w:pPr><w:pStyle w:val="Normal"/></w:pPr>
<w:r><w:t xml:space="preserve">of their arrival in the Balkan Peninsula.  They are probably</w:t></w:r>
</w:p>
<w:p>
<w:pPr><w:pStyle w:val="Normal"/></w:pPr>
<w:r><w:t xml:space="preserve">the descendants of the earliest Aryan immigrants, who were</w:t></w:r>
</w:p>
<w:p>
<w:pPr><w:pStyle w:val="Normal"/></w:pPr>
<w:r><w:t xml:space="preserve">represented in historical times by the kindred Illyrians,</w:t></w:r>
</w:p>
<w:p>
<w:pPr><w:pStyle w:val="Normal"/></w:pPr>
<w:r><w:t xml:space="preserve">Macedonians and Epirots; the Macedonians and Epirots are</w:t></w:r>
</w:p>
<w:p>
<w:pPr><w:pStyle w:val="Normal"/></w:pPr>
<w:r><w:t xml:space="preserve">believed by Hahn to have formed the core of the pre-Hellenic</w:t></w:r>
</w:p>
<w:p>
<w:pPr><w:pStyle w:val="Normal"/></w:pPr>
<w:r><w:t xml:space="preserve">Tyrrheno-Pelasgian population which inhabited the southern</w:t></w:r>
</w:p>
<w:p>
<w:pPr><w:pStyle w:val="Normal"/></w:pPr>
<w:r><w:t xml:space="preserve">portion of the peninsula and extended its limits to Thrace and</w:t></w:r>
</w:p>
<w:p>
<w:pPr><w:pStyle w:val="Normal"/></w:pPr>
<w:r><w:t xml:space="preserve">Italy.  The Illyrians were also ``Pelasgian,&apos;&apos; but in a wider</w:t></w:r>
</w:p>
<w:p>
<w:pPr><w:pStyle w:val="Normal"/></w:pPr>
<w:r><w:t xml:space="preserve">sense.  Of these cognate races, which are described by the</w:t></w:r>
</w:p>
<w:p>
<w:pPr><w:pStyle w:val="Normal"/></w:pPr>
<w:r><w:t xml:space="preserve">Greek writers as barbarous or non-Hellenic, the Illyrians</w:t></w:r>
</w:p>
<w:p>
<w:pPr><w:pStyle w:val="Normal"/></w:pPr>
<w:r><w:t xml:space="preserve">and Epirots, he thinks, were respectively the progenitors</w:t></w:r>
</w:p>
<w:p>
<w:pPr><w:pStyle w:val="Normal"/></w:pPr>
<w:r><w:t xml:space="preserve">of the Ghegs, or northern, and the Tosks, or southern,</w:t></w:r>
</w:p>
<w:p>
<w:pPr><w:pStyle w:val="Normal"/></w:pPr>
<w:r><w:t xml:space="preserve">Albanians.  The Via Egnatia, which Strabo (vii. fragment 3)</w:t></w:r>
</w:p>
<w:p>
<w:pPr><w:pStyle w:val="Normal"/></w:pPr>
<w:r><w:t xml:space="preserve">describes as forming the boundary between the Illyrians and</w:t></w:r>
</w:p>
<w:p>
<w:pPr><w:pStyle w:val="Normal"/></w:pPr>
<w:r><w:t xml:space="preserve">Epirots, practically corresponds with the course of the</w:t></w:r>
</w:p>
<w:p>
<w:pPr><w:pStyle w:val="Normal"/></w:pPr>
<w:r><w:t xml:space="preserve">Shkumb, which now separates the Ghegs and the Tosks.  The</w:t></w:r>
</w:p>
<w:p>
<w:pPr><w:pStyle w:val="Normal"/></w:pPr>
<w:r><w:t xml:space="preserve">same geographer (v. 2. 221) states that the Epirots were also</w:t></w:r>
</w:p>
<w:p>
<w:pPr><w:pStyle w:val="Normal"/></w:pPr>
<w:r><w:t xml:space="preserve">called Pelasgians; the Pelasgian Zeus was worshipped at Dodona</w:t></w:r>
</w:p>
<w:p>
<w:pPr><w:pStyle w:val="Normal"/></w:pPr>
<w:r><w:t xml:space="preserve">(Homer, Il. xvi. 234), and the neighbourhood of the sanctuary</w:t></w:r>
</w:p>
<w:p>
<w:pPr><w:pStyle w:val="Normal"/></w:pPr>
<w:r><w:t xml:space="preserve">was called Pelasgia (Herodotus ii. 56). The meaning of the</w:t></w:r>
</w:p>
<w:p>
<w:pPr><w:pStyle w:val="Normal"/></w:pPr>
<w:r><w:t xml:space="preserve">term ``Pelasgian&apos;&apos; is, however, too obscure to furnish a</w:t></w:r>
</w:p>
<w:p>
<w:pPr><w:pStyle w:val="Normal"/></w:pPr>
<w:r><w:t xml:space="preserve">basis for ethnographical speculation; in the time of Herodotus</w:t></w:r>
</w:p>
<w:p>
<w:pPr><w:pStyle w:val="Normal"/></w:pPr>
<w:r><w:t xml:space="preserve">it may have already come to denote a period rather than a</w:t></w:r>
</w:p>
<w:p>
<w:pPr><w:pStyle w:val="Normal"/></w:pPr>
<w:r><w:t xml:space="preserve">race.  The name Tosk is possibly identical with Tuscus,</w:t></w:r>
</w:p>
<w:p>
<w:pPr><w:pStyle w:val="Normal"/></w:pPr>
<w:r><w:t xml:space="preserve">Etruscus, while the form Tyrrhenus perhaps survives in</w:t></w:r>
</w:p>
<w:p>
<w:pPr><w:pStyle w:val="Normal"/></w:pPr>
<w:r><w:t xml:space="preserve">Tirana.  The large number of Slavonic local names in</w:t></w:r>
</w:p>
<w:p>
<w:pPr><w:pStyle w:val="Normal"/></w:pPr>
<w:r><w:t xml:space="preserve">Albania, even in districts where no trace of a Slavonic</w:t></w:r>
</w:p>
<w:p>
<w:pPr><w:pStyle w:val="Normal"/></w:pPr>
<w:r><w:t xml:space="preserve">population exists, bears witness to the extensive Servian</w:t></w:r>
</w:p>
<w:p>
<w:pPr><w:pStyle w:val="Normal"/></w:pPr>
<w:r><w:t xml:space="preserve">and Bulgarian immigrations in the early middle ages, but</w:t></w:r>
</w:p>
<w:p>
<w:pPr><w:pStyle w:val="Normal"/></w:pPr>
<w:r><w:t xml:space="preserve">the original inhabitants gradually ousted or assimilated the</w:t></w:r>
</w:p>
<w:p>
<w:pPr><w:pStyle w:val="Normal"/></w:pPr>
<w:r><w:t xml:space="preserve">invaders.  The determination with which this remarkable race</w:t></w:r>
</w:p>
<w:p>
<w:pPr><w:pStyle w:val="Normal"/></w:pPr>
<w:r><w:t xml:space="preserve">has maintained its mountain stronghold through a long series</w:t></w:r>
</w:p>
<w:p>
<w:pPr><w:pStyle w:val="Normal"/></w:pPr>
<w:r><w:t xml:space="preserve">of ages has hitherto met with scant appreciation in the outside</w:t></w:r>
</w:p>
<w:p>
<w:pPr><w:pStyle w:val="Normal"/></w:pPr>
<w:r><w:t xml:space="preserve">world.  While the heroism of the Montenegrins has been lauded</w:t></w:r>
</w:p>
<w:p>
<w:pPr><w:pStyle w:val="Normal"/></w:pPr>
<w:r><w:t xml:space="preserve">by writers of all countries, the Albanians---if we except</w:t></w:r>
</w:p>
<w:p>
<w:pPr><w:pStyle w:val="Normal"/></w:pPr>
<w:r><w:t xml:space="preserve">Byron&apos;s eulogy of the Suloits---still remain unsung.  Not</w:t></w:r>
</w:p>
<w:p>
<w:pPr><w:pStyle w:val="Normal"/></w:pPr>
<w:r><w:t xml:space="preserve">less noticeable is the tenacity with which isolated fragments</w:t></w:r>
</w:p>
<w:p>
<w:pPr><w:pStyle w:val="Normal"/></w:pPr>
<w:r><w:t xml:space="preserve">of the nation have preserved their peculiar characteristics,</w:t></w:r>
</w:p>
<w:p>
<w:pPr><w:pStyle w:val="Normal"/></w:pPr>
<w:r><w:t xml:space="preserve">language, customs and traditions.  The Albanians in Greece and</w:t></w:r>
</w:p>
<w:p>
<w:pPr><w:pStyle w:val="Normal"/></w:pPr>
<w:r><w:t xml:space="preserve">Italy, though separated for six centuries from the parent stock,</w:t></w:r>
</w:p>
<w:p>
<w:pPr><w:pStyle w:val="Normal"/></w:pPr>
<w:r><w:t xml:space="preserve">have not yet been absorbed by the surrounding populations.</w:t></w:r>
</w:p>
<w:p>
<w:pPr><w:pStyle w:val="Normal"/></w:pPr>
<w:r><w:t xml:space="preserve">The Albanians, both Ghegs and Tosks, call themselves Shkupetar,</w:t></w:r>
</w:p>
<w:p>
<w:pPr><w:pStyle w:val="Normal"/></w:pPr>
<w:r><w:t xml:space="preserve">and their land Shkupenia or Shkuperia, the former being</w:t></w:r>
</w:p>
<w:p>
<w:pPr><w:pStyle w:val="Normal"/></w:pPr>
<w:r><w:t xml:space="preserve">the Gheg, the latter the Tosk form of the word. Shkupetar</w:t></w:r>
</w:p>
<w:p>
<w:pPr><w:pStyle w:val="Normal"/></w:pPr>
<w:r><w:t xml:space="preserve">has been variously interpreted.  According to Hahn it is a</w:t></w:r>
</w:p>
<w:p>
<w:pPr><w:pStyle w:val="Normal"/></w:pPr>
<w:r><w:t xml:space="preserve">participial from shkyipoij, ``I understand,&apos;&apos; signifying</w:t></w:r>
</w:p>
<w:p>
<w:pPr><w:pStyle w:val="Normal"/></w:pPr>
<w:r><w:t xml:space="preserve">``he who knows&apos;&apos; the native language; others interpret it</w:t></w:r>
</w:p>
<w:p>
<w:pPr><w:pStyle w:val="Normal"/></w:pPr>
<w:r><w:t xml:space="preserve">with less probability as ``the rock-dweller,&apos;&apos; from shkep,</w:t></w:r>
</w:p>
<w:p>
<w:pPr><w:pStyle w:val="Normal"/></w:pPr>
<w:r><w:t xml:space="preserve">shkip, N. Alb. shkamp, ``rock.&apos;&apos; The designations Arber</w:t></w:r>
</w:p>
<w:p>
<w:pPr><w:pStyle w:val="Normal"/></w:pPr>
<w:r><w:t xml:space="preserve">(Gr. &apos;Arbanites, Turk. Arnaoiit), denoting the people,</w:t></w:r>
</w:p>
<w:p>
<w:pPr><w:pStyle w:val="Normal"/></w:pPr>
<w:r><w:t xml:space="preserve">and Arbenia or Arberia, the land, are also, though less</w:t></w:r>
</w:p>
<w:p>
<w:pPr><w:pStyle w:val="Normal"/></w:pPr>
<w:r><w:t xml:space="preserve">frequently, used by the Albanians.  A district near Kroia</w:t></w:r>
</w:p>
<w:p>
<w:pPr><w:pStyle w:val="Normal"/></w:pPr>
<w:r><w:t xml:space="preserve">is locally known as Arbenia; the Tosk form Arberia strictly</w:t></w:r>
</w:p>
<w:p>
<w:pPr><w:pStyle w:val="Normal"/></w:pPr>
<w:r><w:t xml:space="preserve">applies only to the mountain region near Avlona.  The region</w:t></w:r>
</w:p>
<w:p>
<w:pPr><w:pStyle w:val="Normal"/></w:pPr>
<w:r><w:t xml:space="preserve">inhabited by a more or less homogeneous Albanian population</w:t></w:r>
</w:p>
<w:p>
<w:pPr><w:pStyle w:val="Normal"/></w:pPr>
<w:r><w:t xml:space="preserve">may be roughly marked out by a line drawn from the Montenegrin</w:t></w:r>
</w:p>
<w:p>
<w:pPr><w:pStyle w:val="Normal"/></w:pPr>
<w:r><w:t xml:space="preserve">frontier at Berane to Mitrovitza and the Servian frontier</w:t></w:r>
</w:p>
<w:p>
<w:pPr><w:pStyle w:val="Normal"/></w:pPr>
<w:r><w:t xml:space="preserve">near Vranya; thence to Uskub, Prilep, Monastir, Florina,</w:t></w:r>
</w:p>
<w:p>
<w:pPr><w:pStyle w:val="Normal"/></w:pPr>
<w:r><w:t xml:space="preserve">Kastoria, Iannina and Parga.  These limits, however, are</w:t></w:r>
</w:p>
<w:p>
<w:pPr><w:pStyle w:val="Normal"/></w:pPr>
<w:r><w:t xml:space="preserve">far from including all the members of a widely scattered</w:t></w:r>
</w:p>
<w:p>
<w:pPr><w:pStyle w:val="Normal"/></w:pPr>
<w:r><w:t xml:space="preserve">race.  The Albanians in Greece, whose settlements extend over</w:t></w:r>
</w:p>
<w:p>
<w:pPr><w:pStyle w:val="Normal"/></w:pPr>
<w:r><w:t xml:space="preserve">Attica, Boeotia, the district of Corinth and the Argolid</w:t></w:r>
</w:p>
<w:p>
<w:pPr><w:pStyle w:val="Normal"/></w:pPr>
<w:r><w:t xml:space="preserve">peninsula, as well as southern Euboea and the islands of Hydra,</w:t></w:r>
</w:p>
<w:p>
<w:pPr><w:pStyle w:val="Normal"/></w:pPr>
<w:r><w:t xml:space="preserve">Spetzae, Poros and Salamis, descend from Tosk immigrants in</w:t></w:r>
</w:p>
<w:p>
<w:pPr><w:pStyle w:val="Normal"/></w:pPr>
<w:r><w:t xml:space="preserve">the 14th century.  They played a brilliant part in the War</w:t></w:r>
</w:p>
<w:p>
<w:pPr><w:pStyle w:val="Normal"/></w:pPr>
<w:r><w:t xml:space="preserve">of Independence (1821-1829), and to-day supply the Greek</w:t></w:r>
</w:p>
<w:p>
<w:pPr><w:pStyle w:val="Normal"/></w:pPr>
<w:r><w:t xml:space="preserve">army with its best soldiers.  They were estimated by Leake at</w:t></w:r>
</w:p>
<w:p>
<w:pPr><w:pStyle w:val="Normal"/></w:pPr>
<w:r><w:t xml:space="preserve">200,000.  A large number still speak the Albanian langaage;</w:t></w:r>
</w:p>
<w:p>
<w:pPr><w:pStyle w:val="Normal"/></w:pPr>
<w:r><w:t xml:space="preserve">many of the older men, and a considerable proportion of the</w:t></w:r>
</w:p>
<w:p>
<w:pPr><w:pStyle w:val="Normal"/></w:pPr>
<w:r><w:t xml:space="preserve">women, even in the neighbourhood of Athens, are ignorant of</w:t></w:r>
</w:p>
<w:p>
<w:pPr><w:pStyle w:val="Normal"/></w:pPr>
<w:r><w:t xml:space="preserve">Greek.  The Albanian settlements in southern Italy and Sicily</w:t></w:r>
</w:p>
<w:p>
<w:pPr><w:pStyle w:val="Normal"/></w:pPr>
<w:r><w:t xml:space="preserve">were founded in 1444, 1464 and 1468; minor immigrations</w:t></w:r>
</w:p>
<w:p>
<w:pPr><w:pStyle w:val="Normal"/></w:pPr>
<w:r><w:t xml:space="preserve">followed in the three succeeding centuries.  In southern Italy</w:t></w:r>
</w:p>
<w:p>
<w:pPr><w:pStyle w:val="Normal"/></w:pPr>
<w:r><w:t xml:space="preserve">there are 72 Albanian communes, with 154,674 inhabitants;</w:t></w:r>
</w:p>
<w:p>
<w:pPr><w:pStyle w:val="Normal"/></w:pPr>
<w:r><w:t xml:space="preserve">in Sicily 7 communes, with 52,141 inhabitants.  The Italian</w:t></w:r>
</w:p>
<w:p>
<w:pPr><w:pStyle w:val="Normal"/></w:pPr>
<w:r><w:t xml:space="preserve">and Sicilian Albanians are of Tosk descent, and many of them</w:t></w:r>
</w:p>
<w:p>
<w:pPr><w:pStyle w:val="Normal"/></w:pPr>
<w:r><w:t xml:space="preserve">still speak a variation of the Tosk dialect.  There are also</w:t></w:r>
</w:p>
<w:p>
<w:pPr><w:pStyle w:val="Normal"/></w:pPr>
<w:r><w:t xml:space="preserve">several Albanian settlements in European Turkey and Asia</w:t></w:r>
</w:p>
<w:p>
<w:pPr><w:pStyle w:val="Normal"/></w:pPr>
<w:r><w:t xml:space="preserve">Minor, some founded by military colonists who received grants</w:t></w:r>
</w:p>
<w:p>
<w:pPr><w:pStyle w:val="Normal"/></w:pPr>
<w:r><w:t xml:space="preserve">of land from successive sultans, others owing their origin</w:t></w:r>
</w:p>
<w:p>
<w:pPr><w:pStyle w:val="Normal"/></w:pPr>
<w:r><w:t xml:space="preserve">to enforced migrations after insurrections in Albania.  The</w:t></w:r>
</w:p>
<w:p>
<w:pPr><w:pStyle w:val="Normal"/></w:pPr>
<w:r><w:t xml:space="preserve">only genuine division of the Albanian race is that of Ghegs</w:t></w:r>
</w:p>
<w:p>
<w:pPr><w:pStyle w:val="Normal"/></w:pPr>
<w:r><w:t xml:space="preserve">and Tosks; the Liaps, who inhabit the district between the</w:t></w:r>
</w:p>
<w:p>
<w:pPr><w:pStyle w:val="Normal"/></w:pPr>
<w:r><w:t xml:space="preserve">Viossa and the sea, and the Tshams or Chams, who occupy the</w:t></w:r>
</w:p>
<w:p>
<w:pPr><w:pStyle w:val="Normal"/></w:pPr>
<w:r><w:t xml:space="preserve">coast-land south of the Kalamas, are subdivisions of the Tosk</w:t></w:r>
</w:p>
<w:p>
<w:pPr><w:pStyle w:val="Normal"/></w:pPr>
<w:r><w:t xml:space="preserve">family.  The name Gheg (Gege-a) is not adopted by the Ghegs</w:t></w:r>
</w:p>
<w:p>
<w:pPr><w:pStyle w:val="Normal"/></w:pPr>
<w:r><w:t xml:space="preserve">themselves, being regarded as a nickname; the designation Tosk</w:t></w:r>
</w:p>
<w:p>
<w:pPr><w:pStyle w:val="Normal"/></w:pPr>
<w:r><w:t xml:space="preserve">(Toske-a) is restricted by the Tosks to the inhabitants</w:t></w:r>
</w:p>
<w:p>
<w:pPr><w:pStyle w:val="Normal"/></w:pPr>
<w:r><w:t xml:space="preserve">of a small region north of the lower Viossa (Toskeria).</w:t></w:r>
</w:p>
<w:p>
<w:pPr><w:pStyle w:val="Normal"/></w:pPr>
<w:r><w:t xml:space="preserve">National Characteristics.---While the other primitive</w:t></w:r>
</w:p>
<w:p>
<w:pPr><w:pStyle w:val="Normal"/></w:pPr>
<w:r><w:t xml:space="preserve">populations of the peninsula were either hellenized or latinized,</w:t></w:r>
</w:p>
<w:p>
<w:pPr><w:pStyle w:val="Normal"/></w:pPr>
<w:r><w:t xml:space="preserve">or subsequently absorbed by the Slavonic immigration, the</w:t></w:r>
</w:p>
<w:p>
<w:pPr><w:pStyle w:val="Normal"/></w:pPr>
<w:r><w:t xml:space="preserve">Albanians to a great extent remained unaffected by foreign</w:t></w:r>
</w:p>
<w:p>
<w:pPr><w:pStyle w:val="Normal"/></w:pPr>
<w:r><w:t xml:space="preserve">influences.  Retaining their original language and preserving</w:t></w:r>
</w:p>
<w:p>
<w:pPr><w:pStyle w:val="Normal"/></w:pPr>
<w:r><w:t xml:space="preserve">the customs and institutions of remote antiquity, they present</w:t></w:r>
</w:p>
<w:p>
<w:pPr><w:pStyle w:val="Normal"/></w:pPr>
<w:r><w:t xml:space="preserve">a distinct type, and differ in many essential particulars from</w:t></w:r>
</w:p>
<w:p>
<w:pPr><w:pStyle w:val="Normal"/></w:pPr>
<w:r><w:t xml:space="preserve">the other nations of the peninsula.  The Ghegs especially,</w:t></w:r>
</w:p>
<w:p>
<w:pPr><w:pStyle w:val="Normal"/></w:pPr>
<w:r><w:t xml:space="preserve">notwithstanding their fierce and lawless character, their</w:t></w:r>
</w:p>
<w:p>
<w:pPr><w:pStyle w:val="Normal"/></w:pPr>
<w:r><w:t xml:space="preserve">superstition, ignorance and predatory propensities, possess</w:t></w:r>
</w:p>
<w:p>
<w:pPr><w:pStyle w:val="Normal"/></w:pPr>
<w:r><w:t xml:space="preserve">some noteworthy qualities rarely found in eastern Europe:</w:t></w:r>
</w:p>
<w:p>
<w:pPr><w:pStyle w:val="Normal"/></w:pPr>
<w:r><w:t xml:space="preserve">simple, brave, faithful, and sometimes capable of devoted</w:t></w:r>
</w:p>
<w:p>
<w:pPr><w:pStyle w:val="Normal"/></w:pPr>
<w:r><w:t xml:space="preserve">attachment, these wild mountaineers make excellent soldiers and</w:t></w:r>
</w:p>
<w:p>
<w:pPr><w:pStyle w:val="Normal"/></w:pPr>
<w:r><w:t xml:space="preserve">trustworthy retainers; they have long furnished a bodyguard to</w:t></w:r>
</w:p>
<w:p>
<w:pPr><w:pStyle w:val="Normal"/></w:pPr>
<w:r><w:t xml:space="preserve">the sultan and, like the Tosks, are much employed as kavasses</w:t></w:r>
</w:p>
<w:p>
<w:pPr><w:pStyle w:val="Normal"/></w:pPr>
<w:r><w:t xml:space="preserve">and attendants at foreign embassies and consulates in the</w:t></w:r>
</w:p>
<w:p>
<w:pPr><w:pStyle w:val="Normal"/></w:pPr>
<w:r><w:t xml:space="preserve">East.  The native disposition of the Tosks has been modified</w:t></w:r>
</w:p>
<w:p>
<w:pPr><w:pStyle w:val="Normal"/></w:pPr>
<w:r><w:t xml:space="preserve">by intercourse with the Greeks and Vlachs; while the Gheg</w:t></w:r>
</w:p>
<w:p>
<w:pPr><w:pStyle w:val="Normal"/></w:pPr>
<w:r><w:t xml:space="preserve">devotes his attention exclusively to fighting, robbery and</w:t></w:r>
</w:p>
<w:p>
<w:pPr><w:pStyle w:val="Normal"/></w:pPr>
<w:r><w:t xml:space="preserve">pastoral pursuits, the Tosk occasionally occupies himself with</w:t></w:r>
</w:p>
<w:p>
<w:pPr><w:pStyle w:val="Normal"/></w:pPr>
<w:r><w:t xml:space="preserve">commercial, industrial or agricultural employments; the Gheg</w:t></w:r>
</w:p>
<w:p>
<w:pPr><w:pStyle w:val="Normal"/></w:pPr>
<w:r><w:t xml:space="preserve">is stern, morose and haughty, the Tosk lively, talkative and</w:t></w:r>
</w:p>
<w:p>
<w:pPr><w:pStyle w:val="Normal"/></w:pPr>
<w:r><w:t xml:space="preserve">affable.  The natural antipathy between the two sections of the</w:t></w:r>
</w:p>
<w:p>
<w:pPr><w:pStyle w:val="Normal"/></w:pPr>
<w:r><w:t xml:space="preserve">race, though less evident than in former times, is far from</w:t></w:r>
</w:p>
<w:p>
<w:pPr><w:pStyle w:val="Normal"/></w:pPr>
<w:r><w:t xml:space="preserve">extinct.  In all parts of Albania the vendetta (gyak, jak)</w:t></w:r>
</w:p>
<w:p>
<w:pPr><w:pStyle w:val="Normal"/></w:pPr>
<w:r><w:t xml:space="preserve">or blood-feud, the primitive lex talionis, is an established</w:t></w:r>
</w:p>
<w:p>
<w:pPr><w:pStyle w:val="Normal"/></w:pPr>
<w:r><w:t xml:space="preserve">usage; the duty of revenge is a sacred tradition handed down</w:t></w:r>
</w:p>
<w:p>
<w:pPr><w:pStyle w:val="Normal"/></w:pPr>
<w:r><w:t xml:space="preserve">to successive generations in the family, the village and the</w:t></w:r>
</w:p>
<w:p>
<w:pPr><w:pStyle w:val="Normal"/></w:pPr>
<w:r><w:t xml:space="preserve">tribe.  A single case of homicide often leads to a series of</w:t></w:r>
</w:p>
<w:p>
<w:pPr><w:pStyle w:val="Normal"/></w:pPr>
<w:r><w:t xml:space="preserve">similar crimes or to protracted warfare between neighbouring</w:t></w:r>
</w:p>
<w:p>
<w:pPr><w:pStyle w:val="Normal"/></w:pPr>
<w:r><w:t xml:space="preserve">families and communities; the murderer, as a rule, takes</w:t></w:r>
</w:p>
<w:p>
<w:pPr><w:pStyle w:val="Normal"/></w:pPr>
<w:r><w:t xml:space="preserve">refuge in the mountains from the avenger of blood, or remains</w:t></w:r>
</w:p>
<w:p>
<w:pPr><w:pStyle w:val="Normal"/></w:pPr>
<w:r><w:t xml:space="preserve">for years shut up in his house.  It is estimated that in</w:t></w:r>
</w:p>
<w:p>
<w:pPr><w:pStyle w:val="Normal"/></w:pPr>
<w:r><w:t xml:space="preserve">consequence of these feuds scarcely 75% of the population in</w:t></w:r>
</w:p>
<w:p>
<w:pPr><w:pStyle w:val="Normal"/></w:pPr>
<w:r><w:t xml:space="preserve">certain mountainous districts die a natural death.  A truce</w:t></w:r>
</w:p>
<w:p>
<w:pPr><w:pStyle w:val="Normal"/></w:pPr>
<w:r><w:t xml:space="preserve">(bessa, literally ``faith,&apos;&apos; ``pledge&apos;&apos;), either temporary or</w:t></w:r>
</w:p>
<w:p>
<w:pPr><w:pStyle w:val="Normal"/></w:pPr>
<w:r><w:t xml:space="preserve">permanent, is sometimes arranged by mediation, or among the</w:t></w:r>
</w:p>
<w:p>
<w:pPr><w:pStyle w:val="Normal"/></w:pPr>
<w:r><w:t xml:space="preserve">Ghegs, by the intervention of the clergy; a general bessa</w:t></w:r>
</w:p>
<w:p>
<w:pPr><w:pStyle w:val="Normal"/></w:pPr>
<w:r><w:t xml:space="preserve">has occasionally been proclaimed by special irade of the</w:t></w:r>
</w:p>
<w:p>
<w:pPr><w:pStyle w:val="Normal"/></w:pPr>
<w:r><w:t xml:space="preserve">sultan, the restoration of peace being celebrated with elaborate</w:t></w:r>
</w:p>
<w:p>
<w:pPr><w:pStyle w:val="Normal"/></w:pPr>
<w:r><w:t xml:space="preserve">ceremonies.  So stringent are the obligations of hospitality</w:t></w:r>
</w:p>
<w:p>
<w:pPr><w:pStyle w:val="Normal"/></w:pPr>
<w:r><w:t xml:space="preserve">that a household is bound to exact reparation for any injury</w:t></w:r>
</w:p>
<w:p>
<w:pPr><w:pStyle w:val="Normal"/></w:pPr>
<w:r><w:t xml:space="preserve">done to a guest as though he were a member of the family.  No</w:t></w:r>
</w:p>
<w:p>
<w:pPr><w:pStyle w:val="Normal"/></w:pPr>
<w:r><w:t xml:space="preserve">traveller can venture into the mountain districts without the</w:t></w:r>
</w:p>
<w:p>
<w:pPr><w:pStyle w:val="Normal"/></w:pPr>
<w:r><w:t xml:space="preserve">bessa of one of the inhabitants; once this has been obtained</w:t></w:r>
</w:p>
<w:p>
<w:pPr><w:pStyle w:val="Normal"/></w:pPr>
<w:r><w:t xml:space="preserve">he will be hospitably welcomed.  In some districts there is</w:t></w:r>
</w:p>
<w:p>
<w:pPr><w:pStyle w:val="Normal"/></w:pPr>
<w:r><w:t xml:space="preserve">a fixed price of blood; at Argyrokastro, for instance, the</w:t></w:r>
</w:p>
<w:p>
<w:pPr><w:pStyle w:val="Normal"/></w:pPr>
<w:r><w:t xml:space="preserve">compensation paid by the homicide to the relatives of his</w:t></w:r>
</w:p>
<w:p>
<w:pPr><w:pStyle w:val="Normal"/></w:pPr>
<w:r><w:t xml:space="preserve">victim is 1200 piastres (about L. 10), at Khimara 2000 piastres;</w:t></w:r>
</w:p>
<w:p>
<w:pPr><w:pStyle w:val="Normal"/></w:pPr>
<w:r><w:t xml:space="preserve">once the debt has been acquitted amicable relations are</w:t></w:r>
</w:p>
<w:p>
<w:pPr><w:pStyle w:val="Normal"/></w:pPr>
<w:r><w:t xml:space="preserve">restored.  Notwithstanding their complete subjection, women</w:t></w:r>
</w:p>
<w:p>
<w:pPr><w:pStyle w:val="Normal"/></w:pPr>
<w:r><w:t xml:space="preserve">are treated with a certain respect, and are often employed</w:t></w:r>
</w:p>
<w:p>
<w:pPr><w:pStyle w:val="Normal"/></w:pPr>
<w:r><w:t xml:space="preserve">as intermediaries in the settlement of feuds; a woman may</w:t></w:r>
</w:p>
<w:p>
<w:pPr><w:pStyle w:val="Normal"/></w:pPr>
<w:r><w:t xml:space="preserve">traverse a hostile district without fear of injury, and her</w:t></w:r>
</w:p>
<w:p>
<w:pPr><w:pStyle w:val="Normal"/></w:pPr>
<w:r><w:t xml:space="preserve">bessa will protect the traveller or the stranger.  Women</w:t></w:r>
</w:p>
<w:p>
<w:pPr><w:pStyle w:val="Normal"/></w:pPr>
<w:r><w:t xml:space="preserve">accompany their male relatives to the battle-field for the</w:t></w:r>
</w:p>
<w:p>
<w:pPr><w:pStyle w:val="Normal"/></w:pPr>
<w:r><w:t xml:space="preserve">purpose of tending the wounded and carrying away the dead.</w:t></w:r>
</w:p>
<w:p>
<w:pPr><w:pStyle w:val="Normal"/></w:pPr>
<w:r><w:t xml:space="preserve">The bride brings no dowry to her husband; she is purchased</w:t></w:r>
</w:p>
<w:p>
<w:pPr><w:pStyle w:val="Normal"/></w:pPr>
<w:r><w:t xml:space="preserve">at a stipulated price, and earnest-money is paid at the</w:t></w:r>
</w:p>
<w:p>
<w:pPr><w:pStyle w:val="Normal"/></w:pPr>
<w:r><w:t xml:space="preserve">betrothal, which usually takes place while the contracting</w:t></w:r>
</w:p>
<w:p>
<w:pPr><w:pStyle w:val="Normal"/></w:pPr>
<w:r><w:t xml:space="preserve">parties are still children.  It is customary for young men</w:t></w:r>
</w:p>
<w:p>
<w:pPr><w:pStyle w:val="Normal"/></w:pPr>
<w:r><w:t xml:space="preserve">who are attached to each other to swear eternal brotherhood</w:t></w:r>
</w:p>
<w:p>
<w:pPr><w:pStyle w:val="Normal"/></w:pPr>
<w:r><w:t xml:space="preserve">(compare the Slavonic pobratimstvo); the contract is</w:t></w:r>
</w:p>
<w:p>
<w:pPr><w:pStyle w:val="Normal"/></w:pPr>
<w:r><w:t xml:space="preserve">regarded as sacred, and no instance has been known of its</w:t></w:r>
</w:p>
<w:p>
<w:pPr><w:pStyle w:val="Normal"/></w:pPr>
<w:r><w:t xml:space="preserve">violation.  The costume of the Tosks differs from that of</w:t></w:r>
</w:p>
<w:p>
<w:pPr><w:pStyle w:val="Normal"/></w:pPr>
<w:r><w:t xml:space="preserve">the Ghegs; its distinctive feature is the white plaited</w:t></w:r>
</w:p>
<w:p>
<w:pPr><w:pStyle w:val="Normal"/></w:pPr>
<w:r><w:t xml:space="preserve">linen fustanella or petticoat, which has been adopted by the</w:t></w:r>
</w:p>
<w:p>
<w:pPr><w:pStyle w:val="Normal"/></w:pPr>
<w:r><w:t xml:space="preserve">Greeks; the Ghegs wear trews of white or crimson native cloth</w:t></w:r>
</w:p>
<w:p>
<w:pPr><w:pStyle w:val="Normal"/></w:pPr>
<w:r><w:t xml:space="preserve">adorned with black braid, and a short, close-fitting jacket,</w:t></w:r>
</w:p>
<w:p>
<w:pPr><w:pStyle w:val="Normal"/></w:pPr>
<w:r><w:t xml:space="preserve">which in the case of wealthy persons is embellished with gold</w:t></w:r>
</w:p>
<w:p>
<w:pPr><w:pStyle w:val="Normal"/></w:pPr>
<w:r><w:t xml:space="preserve">lace.  The fez is worn by both races, and in the northern</w:t></w:r>
</w:p>
<w:p>
<w:pPr><w:pStyle w:val="Normal"/></w:pPr>
<w:r><w:t xml:space="preserve">highlands yataghans and firearms are almost invariably carried.</w:t></w:r>
</w:p>
<w:p>
<w:pPr><w:pStyle w:val="Normal"/></w:pPr>
<w:r><w:t xml:space="preserve">The costume of the Mirdite and Mat tribes is peculiar.  It</w:t></w:r>
</w:p>
<w:p>
<w:pPr><w:pStyle w:val="Normal"/></w:pPr>
<w:r><w:t xml:space="preserve">consists of a white felt cap, a long white tunic bound with</w:t></w:r>
</w:p>
<w:p>
<w:pPr><w:pStyle w:val="Normal"/></w:pPr>
<w:r><w:t xml:space="preserve">a red girdle, white linen trousers and opinki, or sandals.</w:t></w:r>
</w:p>
<w:p>
<w:pPr><w:pStyle w:val="Normal"/></w:pPr>
<w:r><w:t xml:space="preserve">Tribal System.---The tribal organization in northern Albania</w:t></w:r>
</w:p>
<w:p>
<w:pPr><w:pStyle w:val="Normal"/></w:pPr>
<w:r><w:t xml:space="preserve">is an interesting survival of the earliest form of social</w:t></w:r>
</w:p>
<w:p>
<w:pPr><w:pStyle w:val="Normal"/></w:pPr>
<w:r><w:t xml:space="preserve">combination; it may be compared in many respects with that which</w:t></w:r>
</w:p>
<w:p>
<w:pPr><w:pStyle w:val="Normal"/></w:pPr>
<w:r><w:t xml:space="preserve">existed in the Scottish highlands in the time of the Stuart</w:t></w:r>
</w:p>
<w:p>
<w:pPr><w:pStyle w:val="Normal"/></w:pPr>
<w:r><w:t xml:space="preserve">kings.  The practical autonomy which the Gheg mountaineers</w:t></w:r>
</w:p>
<w:p>
<w:pPr><w:pStyle w:val="Normal"/></w:pPr>
<w:r><w:t xml:space="preserve">enjoy has been won by a prolonged and successful resistance</w:t></w:r>
</w:p>
<w:p>
<w:pPr><w:pStyle w:val="Normal"/></w:pPr>
<w:r><w:t xml:space="preserve">to Turkish domination; as a rule they pay no taxes, they are</w:t></w:r>
</w:p>
<w:p>
<w:pPr><w:pStyle w:val="Normal"/></w:pPr>
<w:r><w:t xml:space="preserve">exempt from the conscription, they know nothing of the Ottoman</w:t></w:r>
</w:p>
<w:p>
<w:pPr><w:pStyle w:val="Normal"/></w:pPr>
<w:r><w:t xml:space="preserve">law, and the few Turkish officials established amongst them</w:t></w:r>
</w:p>
<w:p>
<w:pPr><w:pStyle w:val="Normal"/></w:pPr>
<w:r><w:t xml:space="preserve">possess no real authority.  Their only obligation to the</w:t></w:r>
</w:p>
<w:p>
<w:pPr><w:pStyle w:val="Normal"/></w:pPr>
<w:r><w:t xml:space="preserve">Turkish government is to furnish a contingent in time of</w:t></w:r>
</w:p>
<w:p>
<w:pPr><w:pStyle w:val="Normal"/></w:pPr>
<w:r><w:t xml:space="preserve">war; the only law they recognize is either traditional custom</w:t></w:r>
</w:p>
<w:p>
<w:pPr><w:pStyle w:val="Normal"/></w:pPr>
<w:r><w:t xml:space="preserve">(adet) or the unwritten Hanun-i Leks Dukajinit, a civil</w:t></w:r>
</w:p>
<w:p>
<w:pPr><w:pStyle w:val="Normal"/></w:pPr>
<w:r><w:t xml:space="preserve">and criminal code, so called from its author, Leka Dukajini,</w:t></w:r>
</w:p>
<w:p>
<w:pPr><w:pStyle w:val="Normal"/></w:pPr>
<w:r><w:t xml:space="preserve">who is supposed to have lived in the 13th or 14th century.</w:t></w:r>
</w:p>
<w:p>
<w:pPr><w:pStyle w:val="Normal"/></w:pPr>
<w:r><w:t xml:space="preserve">The tribe or mal (``mountain&apos;&apos;) is often composed of several</w:t></w:r>
</w:p>
<w:p>
<w:pPr><w:pStyle w:val="Normal"/></w:pPr>
<w:r><w:t xml:space="preserve">clans (phis-i, pharea) or baryaks (literally ``standards&apos;&apos;)</w:t></w:r>
</w:p>
<w:p>
<w:pPr><w:pStyle w:val="Normal"/></w:pPr>
<w:r><w:t xml:space="preserve">each under a chief or baryaktar (standard-bearer), who is,</w:t></w:r>
</w:p>
<w:p>
<w:pPr><w:pStyle w:val="Normal"/></w:pPr>
<w:r><w:t xml:space="preserve">strictly speaking, a military leader; there are in each clan</w:t></w:r>
</w:p>
<w:p>
<w:pPr><w:pStyle w:val="Normal"/></w:pPr>
<w:r><w:t xml:space="preserve">a certain number of elders or voivodes (Albanian kru-y&apos;e,</w:t></w:r>
</w:p>
<w:p>
<w:pPr><w:pStyle w:val="Normal"/></w:pPr>
<w:r><w:t xml:space="preserve">pl. krenic-te) who form a council and, like the baryaktar,</w:t></w:r>
</w:p>
<w:p>
<w:pPr><w:pStyle w:val="Normal"/></w:pPr>
<w:r><w:t xml:space="preserve">hold their oflice by hereditary right; they preside over</w:t></w:r>
</w:p>
<w:p>
<w:pPr><w:pStyle w:val="Normal"/></w:pPr>
<w:r><w:t xml:space="preserve">the assemblies of the tribesmen, which exercise the supreme</w:t></w:r>
</w:p>
<w:p>
<w:pPr><w:pStyle w:val="Normal"/></w:pPr>
<w:r><w:t xml:space="preserve">legislative power.  The clan is generally subdivided into</w:t></w:r>
</w:p>
<w:p>
<w:pPr><w:pStyle w:val="Normal"/></w:pPr>
<w:r><w:t xml:space="preserve">smaller communities (mahale), each administered by a local</w:t></w:r>
</w:p>
<w:p>
<w:pPr><w:pStyle w:val="Normal"/></w:pPr>
<w:r><w:t xml:space="preserve">notable or jobar. The jobars superintend the execution of</w:t></w:r>
</w:p>
<w:p>
<w:pPr><w:pStyle w:val="Normal"/></w:pPr>
<w:r><w:t xml:space="preserve">the laws, collect fines and administer capital punishment;</w:t></w:r>
</w:p>
<w:p>
<w:pPr><w:pStyle w:val="Normal"/></w:pPr>
<w:r><w:t xml:space="preserve">they are in contact with the buluk-bashi, or resident</w:t></w:r>
</w:p>
<w:p>
<w:pPr><w:pStyle w:val="Normal"/></w:pPr>
<w:r><w:t xml:space="preserve">representative of the tribe at Scutari, who forms the only</w:t></w:r>
</w:p>
<w:p>
<w:pPr><w:pStyle w:val="Normal"/></w:pPr>
<w:r><w:t xml:space="preserve">link between the mountaineers and the Turkish government.</w:t></w:r>
</w:p>
<w:p>
<w:pPr><w:pStyle w:val="Normal"/></w:pPr>
<w:r><w:t xml:space="preserve">He communicates to the tribesmen the orders of the vali,</w:t></w:r>
</w:p>
<w:p>
<w:pPr><w:pStyle w:val="Normal"/></w:pPr>
<w:r><w:t xml:space="preserve">which must be framed in accordance with their customs and</w:t></w:r>
</w:p>
<w:p>
<w:pPr><w:pStyle w:val="Normal"/></w:pPr>
<w:r><w:t xml:space="preserve">institutions.  The tribes of northern Albania, or Ghegeria,</w:t></w:r>
</w:p>
<w:p>
<w:pPr><w:pStyle w:val="Normal"/></w:pPr>
<w:r><w:t xml:space="preserve">may be classified in seven groups as follows:----(1) The</w:t></w:r>
</w:p>
<w:p>
<w:pPr><w:pStyle w:val="Normal"/></w:pPr>
<w:r><w:t xml:space="preserve">Mirdites, who inhabit the alpine region around Orosh to the</w:t></w:r>
</w:p>
<w:p>
<w:pPr><w:pStyle w:val="Normal"/></w:pPr>
<w:r><w:t xml:space="preserve">south-east of Scutari--the most important of all in respect</w:t></w:r>
</w:p>
<w:p>
<w:pPr><w:pStyle w:val="Normal"/></w:pPr>
<w:r><w:t xml:space="preserve">of numbers (about 17,000) and political independence.  A Roman</w:t></w:r>
</w:p>
<w:p>
<w:pPr><w:pStyle w:val="Normal"/></w:pPr>
<w:r><w:t xml:space="preserve">Catholic tribe, occupying an inaccessible district, they have</w:t></w:r>
</w:p>
<w:p>
<w:pPr><w:pStyle w:val="Normal"/></w:pPr>
<w:r><w:t xml:space="preserve">hitherto defeated every effort of the Turks to encroach on their</w:t></w:r>
</w:p>
<w:p>
<w:pPr><w:pStyle w:val="Normal"/></w:pPr>
<w:r><w:t xml:space="preserve">autonomy.  Their hereditary chiefs, or capidans, belong to</w:t></w:r>
</w:p>
<w:p>
<w:pPr><w:pStyle w:val="Normal"/></w:pPr>
<w:r><w:t xml:space="preserve">the family known as Dera e Jon Markut (the house of John</w:t></w:r>
</w:p>
<w:p>
<w:pPr><w:pStyle w:val="Normal"/></w:pPr>
<w:r><w:t xml:space="preserve">Marco), which has ruled for 200 years and is supposed to be</w:t></w:r>
</w:p>
<w:p>
<w:pPr><w:pStyle w:val="Normal"/></w:pPr>
<w:r><w:t xml:space="preserve">descended from Scanderbeg.  In 1868 the reigning chief, Bib</w:t></w:r>
</w:p>
<w:p>
<w:pPr><w:pStyle w:val="Normal"/></w:pPr>
<w:r><w:t xml:space="preserve">Doda, died, and his son and successor Prenk was detained as</w:t></w:r>
</w:p>
<w:p>
<w:pPr><w:pStyle w:val="Normal"/></w:pPr>
<w:r><w:t xml:space="preserve">a hostage by the Turks.  The Mirdites consequently refused</w:t></w:r>
</w:p>
<w:p>
<w:pPr><w:pStyle w:val="Normal"/></w:pPr>
<w:r><w:t xml:space="preserve">to contribute their customary contingent to the Turkish army,</w:t></w:r>
</w:p>
<w:p>
<w:pPr><w:pStyle w:val="Normal"/></w:pPr>
<w:r><w:t xml:space="preserve">and eventually Prenk was restored.  His ambiguous conduct,</w:t></w:r>
</w:p>
<w:p>
<w:pPr><w:pStyle w:val="Normal"/></w:pPr>
<w:r><w:t xml:space="preserve">however, led to the despatch of two expeditions against the</w:t></w:r>
</w:p>
<w:p>
<w:pPr><w:pStyle w:val="Normal"/></w:pPr>
<w:r><w:t xml:space="preserve">Mirdites and the devastation of their territory.  In 1880</w:t></w:r>
</w:p>
<w:p>
<w:pPr><w:pStyle w:val="Normal"/></w:pPr>
<w:r><w:t xml:space="preserve">Prenk was kidnapped by the Turkish authorities and exiled to</w:t></w:r>
</w:p>
<w:p>
<w:pPr><w:pStyle w:val="Normal"/></w:pPr>
<w:r><w:t xml:space="preserve">Anatolia; another member of the ruling family was appointed</w:t></w:r>
</w:p>
<w:p>
<w:pPr><w:pStyle w:val="Normal"/></w:pPr>
<w:r><w:t xml:space="preserve">kaimakam, but the Mirdites refused to obey him, and their</w:t></w:r>
</w:p>
<w:p>
<w:pPr><w:pStyle w:val="Normal"/></w:pPr>
<w:r><w:t xml:space="preserve">district has ever since been in a state of anarchy.  No Moslem</w:t></w:r>
</w:p>
<w:p>
<w:pPr><w:pStyle w:val="Normal"/></w:pPr>
<w:r><w:t xml:space="preserve">is allowed to remain in Mirdite territory. (2) The Mi-shkodrak</w:t></w:r>
</w:p>
<w:p>
<w:pPr><w:pStyle w:val="Normal"/></w:pPr>
<w:r><w:t xml:space="preserve">(Upper Scutari) group or confederation, also known as the</w:t></w:r>
</w:p>
<w:p>
<w:pPr><w:pStyle w:val="Normal"/></w:pPr>
<w:r><w:t xml:space="preserve">Malsia-Madhe (Great Highlands), is composed of the Klement,</w:t></w:r>
</w:p>
<w:p>
<w:pPr><w:pStyle w:val="Normal"/></w:pPr>
<w:r><w:t xml:space="preserve">Grud-a, Hot, Kastrat and Shkrel tribes, which occupy the</w:t></w:r>
</w:p>
<w:p>
<w:pPr><w:pStyle w:val="Normal"/></w:pPr>
<w:r><w:t xml:space="preserve">mountainous district north-east of Scutari.  OWing to the</w:t></w:r>
</w:p>
<w:p>
<w:pPr><w:pStyle w:val="Normal"/></w:pPr>
<w:r><w:t xml:space="preserve">proximity of the capital this group is comparatively subject</w:t></w:r>
</w:p>
<w:p>
<w:pPr><w:pStyle w:val="Normal"/></w:pPr>
<w:r><w:t xml:space="preserve">to the Turkish power, and pays a small annual tribute; the</w:t></w:r>
</w:p>
<w:p>
<w:pPr><w:pStyle w:val="Normal"/></w:pPr>
<w:r><w:t xml:space="preserve">chiefs, who assess and collect the tribute, form a kind of</w:t></w:r>
</w:p>
<w:p>
<w:pPr><w:pStyle w:val="Normal"/></w:pPr>
<w:r><w:t xml:space="preserve">administrative council; the confederation has also an official</w:t></w:r>
</w:p>
<w:p>
<w:pPr><w:pStyle w:val="Normal"/></w:pPr>
<w:r><w:t xml:space="preserve">representative council at Scutari, called the Jibal, under</w:t></w:r>
</w:p>
<w:p>
<w:pPr><w:pStyle w:val="Normal"/></w:pPr>
<w:r><w:t xml:space="preserve">the presidency of a Serkarde or Moslem official. (3) The</w:t></w:r>
</w:p>
<w:p>
<w:pPr><w:pStyle w:val="Normal"/></w:pPr>
<w:r><w:t xml:space="preserve">Dukajin, whose territory lies between that of the last-named</w:t></w:r>
</w:p>
<w:p>
<w:pPr><w:pStyle w:val="Normal"/></w:pPr>
<w:r><w:t xml:space="preserve">group and the district of Jakova, include the Pulati, Shalla,</w:t></w:r>
</w:p>
<w:p>
<w:pPr><w:pStyle w:val="Normal"/></w:pPr>
<w:r><w:t xml:space="preserve">Shoshi and other tribes; they are more independent and more</w:t></w:r>
</w:p>
<w:p>
<w:pPr><w:pStyle w:val="Normal"/></w:pPr>
<w:r><w:t xml:space="preserve">savage than the Mi-shkodrak, and have never paid tribute from</w:t></w:r>
</w:p>
<w:p>
<w:pPr><w:pStyle w:val="Normal"/></w:pPr>
<w:r><w:t xml:space="preserve">time immemorial. (4) The Puka group, known as ``the Seven</w:t></w:r>
</w:p>
<w:p>
<w:pPr><w:pStyle w:val="Normal"/></w:pPr>
<w:r><w:t xml:space="preserve">Baryaks of Puka,&apos;&apos; dwell on the south side of the river Drin;</w:t></w:r>
</w:p>
<w:p>
<w:pPr><w:pStyle w:val="Normal"/></w:pPr>
<w:r><w:t xml:space="preserve">theyare nominally administered by a Turkish kaimakam, who is</w:t></w:r>
</w:p>
<w:p>
<w:pPr><w:pStyle w:val="Normal"/></w:pPr>
<w:r><w:t xml:space="preserve">a mere spectator of their proceedings. (5) The Malsia Jakovs,</w:t></w:r>
</w:p>
<w:p>
<w:pPr><w:pStyle w:val="Normal"/></w:pPr>
<w:r><w:t xml:space="preserve">a group of two Catholic and three Moslem tribes, extend in</w:t></w:r>
</w:p>
<w:p>
<w:pPr><w:pStyle w:val="Normal"/></w:pPr>
<w:r><w:t xml:space="preserve">the direction of Jakova, where they maintain an official</w:t></w:r>
</w:p>
<w:p>
<w:pPr><w:pStyle w:val="Normal"/></w:pPr>
<w:r><w:t xml:space="preserve">representative; they are entirely exempt from taxation. (6,7)</w:t></w:r>
</w:p>
<w:p>
<w:pPr><w:pStyle w:val="Normal"/></w:pPr>
<w:r><w:t xml:space="preserve">The Malsia-Lezhs, who occupy the Alessio highlands, and the</w:t></w:r>
</w:p>
<w:p>
<w:pPr><w:pStyle w:val="Normal"/></w:pPr>
<w:r><w:t xml:space="preserve">Malsia Krues, who inhabit the region north of Krola, live in a</w:t></w:r>
</w:p>
<w:p>
<w:pPr><w:pStyle w:val="Normal"/></w:pPr>
<w:r><w:t xml:space="preserve">state of extreme poverty and pay no tribute; the Malsia Krues</w:t></w:r>
</w:p>
<w:p>
<w:pPr><w:pStyle w:val="Normal"/></w:pPr>
<w:r><w:t xml:space="preserve">are much addicted to brigandage.  To these seven groups, which</w:t></w:r>
</w:p>
<w:p>
<w:pPr><w:pStyle w:val="Normal"/></w:pPr>
<w:r><w:t xml:space="preserve">are included under the general appellation of Malissori,</w:t></w:r>
</w:p>
<w:p>
<w:pPr><w:pStyle w:val="Normal"/></w:pPr>
<w:r><w:t xml:space="preserve">or ``highlanders,&apos;&apos; may be added the Malsia of IAbra, who</w:t></w:r>
</w:p>
<w:p>
<w:pPr><w:pStyle w:val="Normal"/></w:pPr>
<w:r><w:t xml:space="preserve">extend to the west and north of that town, and form a large</w:t></w:r>
</w:p>
<w:p>
<w:pPr><w:pStyle w:val="Normal"/></w:pPr>
<w:r><w:t xml:space="preserve">separate group; they are notorious for their fierce lawless</w:t></w:r>
</w:p>
<w:p>
<w:pPr><w:pStyle w:val="Normal"/></w:pPr>
<w:r><w:t xml:space="preserve">character, and maintain themselves by plundering the Bulgarian</w:t></w:r>
</w:p>
<w:p>
<w:pPr><w:pStyle w:val="Normal"/></w:pPr>
<w:r><w:t xml:space="preserve">peasants in their neighbourhood.  In general the attitude of the</w:t></w:r>
</w:p>
<w:p>
<w:pPr><w:pStyle w:val="Normal"/></w:pPr>
<w:r><w:t xml:space="preserve">Albanians in the north-eastern districts towards the Slavonic</w:t></w:r>
</w:p>
<w:p>
<w:pPr><w:pStyle w:val="Normal"/></w:pPr>
<w:r><w:t xml:space="preserve">peasantry may be compared with that of the Kurds towards the</w:t></w:r>
</w:p>
<w:p>
<w:pPr><w:pStyle w:val="Normal"/></w:pPr>
<w:r><w:t xml:space="preserve">Armenians.  In the region east of Kroia the Mat tribe,</w:t></w:r>
</w:p>
<w:p>
<w:pPr><w:pStyle w:val="Normal"/></w:pPr>
<w:r><w:t xml:space="preserve">which occupies the upper valley of the Matra, presents an</w:t></w:r>
</w:p>
<w:p>
<w:pPr><w:pStyle w:val="Normal"/></w:pPr>
<w:r><w:t xml:space="preserve">entirely different organization; their district is governed</w:t></w:r>
</w:p>
<w:p>
<w:pPr><w:pStyle w:val="Normal"/></w:pPr>
<w:r><w:t xml:space="preserve">by four wealthy families, possessing hereditary rank and</w:t></w:r>
</w:p>
<w:p>
<w:pPr><w:pStyle w:val="Normal"/></w:pPr>
<w:r><w:t xml:space="preserve">influence.  Towards the south the tribal organization becomes</w:t></w:r>
</w:p>
<w:p>
<w:pPr><w:pStyle w:val="Normal"/></w:pPr>
<w:r><w:t xml:space="preserve">looser and is gradually supplanted by a kind of feudal system;</w:t></w:r>
</w:p>
<w:p>
<w:pPr><w:pStyle w:val="Normal"/></w:pPr>
<w:r><w:t xml:space="preserve">among the powerful aristocratic houses may be mentioned the</w:t></w:r>
</w:p>
<w:p>
<w:pPr><w:pStyle w:val="Normal"/></w:pPr>
<w:r><w:t xml:space="preserve">Vliores at Avlona, who are stated to own over 150 sq. m. of</w:t></w:r>
</w:p>
<w:p>
<w:pPr><w:pStyle w:val="Normal"/></w:pPr>
<w:r><w:t xml:space="preserve">land, and the Toptans at Tirana.  The principal landowners,</w:t></w:r>
</w:p>
<w:p>
<w:pPr><w:pStyle w:val="Normal"/></w:pPr>
<w:r><w:t xml:space="preserve">who reside in fortified houses, are all Moslems; their estates</w:t></w:r>
</w:p>
<w:p>
<w:pPr><w:pStyle w:val="Normal"/></w:pPr>
<w:r><w:t xml:space="preserve">are cultivated on the metayer system.  Since the time</w:t></w:r>
</w:p>
<w:p>
<w:pPr><w:pStyle w:val="Normal"/></w:pPr>
<w:r><w:t xml:space="preserve">of Ali Pasha, who broke the power of the local chieftains,</w:t></w:r>
</w:p>
<w:p>
<w:pPr><w:pStyle w:val="Normal"/></w:pPr>
<w:r><w:t xml:space="preserve">southern Albania has been subject to the central Turkish</w:t></w:r>
</w:p>
<w:p>
<w:pPr><w:pStyle w:val="Normal"/></w:pPr>
<w:r><w:t xml:space="preserve">power; before that period the mountaineers of Suh and Khimara</w:t></w:r>
</w:p>
<w:p>
<w:pPr><w:pStyle w:val="Normal"/></w:pPr>
<w:r><w:t xml:space="preserve">enjoyed an independence similar to that of the Gheg tribes.</w:t></w:r>
</w:p>
<w:p>
<w:pPr><w:pStyle w:val="Normal"/></w:pPr>
<w:r><w:t xml:space="preserve">Religions.---The great majority of the Albanians, probably</w:t></w:r>
</w:p>
<w:p>
<w:pPr><w:pStyle w:val="Normal"/></w:pPr>
<w:r><w:t xml:space="preserve">more than three-fifths, are Moslems.  The conversion of the</w:t></w:r>
</w:p>
<w:p>
<w:pPr><w:pStyle w:val="Normal"/></w:pPr>
<w:r><w:t xml:space="preserve">Christian population to Islam appears to have taken place</w:t></w:r>
</w:p>
<w:p>
<w:pPr><w:pStyle w:val="Normal"/></w:pPr>
<w:r><w:t xml:space="preserve">during the 16th and 17th centuries.  Like the Cretan Moslems</w:t></w:r>
</w:p>
<w:p>
<w:pPr><w:pStyle w:val="Normal"/></w:pPr>
<w:r><w:t xml:space="preserve">and the Bulgarian Pomaks, the Albanian Mahommedans retain</w:t></w:r>
</w:p>
<w:p>
<w:pPr><w:pStyle w:val="Normal"/></w:pPr>
<w:r><w:t xml:space="preserve">many Christian traditions and customs; it is said that many</w:t></w:r>
</w:p>
<w:p>
<w:pPr><w:pStyle w:val="Normal"/></w:pPr>
<w:r><w:t xml:space="preserve">thousands of them secretly adhere to their original faith.  In</w:t></w:r>
</w:p>
<w:p>
<w:pPr><w:pStyle w:val="Normal"/></w:pPr>
<w:r><w:t xml:space="preserve">the vilayet of Scutari they form about 55% of the population;</w:t></w:r>
</w:p>
<w:p>
<w:pPr><w:pStyle w:val="Normal"/></w:pPr>
<w:r><w:t xml:space="preserve">central Albania is almost entirely Moslem; in southern Albania,</w:t></w:r>
</w:p>
<w:p>
<w:pPr><w:pStyle w:val="Normal"/></w:pPr>
<w:r><w:t xml:space="preserve">however, there is a considerable Christian population, whose</w:t></w:r>
</w:p>
<w:p>
<w:pPr><w:pStyle w:val="Normal"/></w:pPr>
<w:r><w:t xml:space="preserve">limits practically coincide with those of the Greek-speaking</w:t></w:r>
</w:p>
<w:p>
<w:pPr><w:pStyle w:val="Normal"/></w:pPr>
<w:r><w:t xml:space="preserve">districts.  Of the Christian population (about 600,000), some</w:t></w:r>
</w:p>
<w:p>
<w:pPr><w:pStyle w:val="Normal"/></w:pPr>
<w:r><w:t xml:space="preserve">110,000 are Roman Catholic Ghegs, some 90,000 are Orthodox</w:t></w:r>
</w:p>
<w:p>
<w:pPr><w:pStyle w:val="Normal"/></w:pPr>
<w:r><w:t xml:space="preserve">Tosks, and some 400,000 are Orthodox Slavs, Greeks and</w:t></w:r>
</w:p>
<w:p>
<w:pPr><w:pStyle w:val="Normal"/></w:pPr>
<w:r><w:t xml:space="preserve">Vlachs.  The Roman Catholic Ghegs appear to have abandoned</w:t></w:r>
</w:p>
<w:p>
<w:pPr><w:pStyle w:val="Normal"/></w:pPr>
<w:r><w:t xml:space="preserve">the Eastern for the Western Church in the middle of the 13th</w:t></w:r>
</w:p>
<w:p>
<w:pPr><w:pStyle w:val="Normal"/></w:pPr>
<w:r><w:t xml:space="preserve">century.  Their bishops and priests, who Wear the moustache</w:t></w:r>
</w:p>
<w:p>
<w:pPr><w:pStyle w:val="Normal"/></w:pPr>
<w:r><w:t xml:space="preserve">in deference to popular prejudice, are typical specimens</w:t></w:r>
</w:p>
<w:p>
<w:pPr><w:pStyle w:val="Normal"/></w:pPr>
<w:r><w:t xml:space="preserve">of the church militant.  Some of the Gheg tribes, such as</w:t></w:r>
</w:p>
<w:p>
<w:pPr><w:pStyle w:val="Normal"/></w:pPr>
<w:r><w:t xml:space="preserve">the Puka, Malsia Jakovs and Malsia Krues, are partly Roman</w:t></w:r>
</w:p>
<w:p>
<w:pPr><w:pStyle w:val="Normal"/></w:pPr>
<w:r><w:t xml:space="preserve">Catholic, partly Moslem; among fellowtribesmen the difference</w:t></w:r>
</w:p>
<w:p>
<w:pPr><w:pStyle w:val="Normal"/></w:pPr>
<w:r><w:t xml:space="preserve">of religion counts for little.  The Mirdites are exclusively</w:t></w:r>
</w:p>
<w:p>
<w:pPr><w:pStyle w:val="Normal"/></w:pPr>
<w:r><w:t xml:space="preserve">Roman Catholic, the Mat-i exclusively Moslem.  At the head of</w:t></w:r>
</w:p>
<w:p>
<w:pPr><w:pStyle w:val="Normal"/></w:pPr>
<w:r><w:t xml:space="preserve">the Roman Catholic hierarchy are the archbishops of Scutari</w:t></w:r>
</w:p>
<w:p>
<w:pPr><w:pStyle w:val="Normal"/></w:pPr>
<w:r><w:t xml:space="preserve">(with three suffragans), Prizren and Durazzo; the mitred abbot</w:t></w:r>
</w:p>
<w:p>
<w:pPr><w:pStyle w:val="Normal"/></w:pPr>
<w:r><w:t xml:space="preserve">of St Alexander is the spiritual chief of the Mirdites.  The</w:t></w:r>
</w:p>
<w:p>
<w:pPr><w:pStyle w:val="Normal"/></w:pPr>
<w:r><w:t xml:space="preserve">Orthodox Church has metropolitans at Prizren, Durazzo, Berat,</w:t></w:r>
</w:p>
<w:p>
<w:pPr><w:pStyle w:val="Normal"/></w:pPr>
<w:r><w:t xml:space="preserve">Iannina and Kortcha; the Bulgarian exarchate maintains a</w:t></w:r>
</w:p>
<w:p>
<w:pPr><w:pStyle w:val="Normal"/></w:pPr>
<w:r><w:t xml:space="preserve">bishop at Dibra.  Of the Albanians in Sicily the great majority</w:t></w:r>
</w:p>
<w:p>
<w:pPr><w:pStyle w:val="Normal"/></w:pPr>
<w:r><w:t xml:space="preserve">(44791) remain faithful to the Greek Church; in Italy 116,482</w:t></w:r>
</w:p>
<w:p>
<w:pPr><w:pStyle w:val="Normal"/></w:pPr>
<w:r><w:t xml:space="preserve">follow the Latin ritual, and 38,192 the Greek.  All</w:t></w:r>
</w:p>
<w:p>
<w:pPr><w:pStyle w:val="Normal"/></w:pPr>
<w:r><w:t xml:space="preserve">the Albanians in Greece belong to the Orthodox Church.</w:t></w:r>
</w:p>
<w:p>
<w:pPr><w:pStyle w:val="Normal"/></w:pPr>
<w:r><w:t xml:space="preserve">Education.---Education is almost non-existent, and the vast</w:t></w:r>
</w:p>
<w:p>
<w:pPr><w:pStyle w:val="Normal"/></w:pPr>
<w:r><w:t xml:space="preserve">majority of the populati(m, both Christian and Moslem, are totally</w:t></w:r>
</w:p>
<w:p>
<w:pPr><w:pStyle w:val="Normal"/></w:pPr>
<w:r><w:t xml:space="preserve">illiterate.  Instruction in the Albanian language is prohibited</w:t></w:r>
</w:p>
<w:p>
<w:pPr><w:pStyle w:val="Normal"/></w:pPr>
<w:r><w:t xml:space="preserve">by the Turkish government for political reasons; a singleexception</w:t></w:r>
</w:p>
<w:p>
<w:pPr><w:pStyle w:val="Normal"/></w:pPr>
<w:r><w:t xml:space="preserve">has been made in the caseof an American school for girls at</w:t></w:r>
</w:p>
<w:p>
<w:pPr><w:pStyle w:val="Normal"/></w:pPr>
<w:r><w:t xml:space="preserve">Kortcha.  There are Turkish primary and secondary schools in some</w:t></w:r>
</w:p>
<w:p>
<w:pPr><w:pStyle w:val="Normal"/></w:pPr>
<w:r><w:t xml:space="preserve">of the towns; in the village mosques instruction in the Koran</w:t></w:r>
</w:p>
<w:p>
<w:pPr><w:pStyle w:val="Normal"/></w:pPr>
<w:r><w:t xml:space="preserve">is given by the imams, but neither reading nor writing is</w:t></w:r>
</w:p>
<w:p>
<w:pPr><w:pStyle w:val="Normal"/></w:pPr>
<w:r><w:t xml:space="preserve">taught.  The aristocratic Moslem families send their sons</w:t></w:r>
</w:p>
<w:p>
<w:pPr><w:pStyle w:val="Normal"/></w:pPr>
<w:r><w:t xml:space="preserve">to be educated in Constantinople or Vienna.  At Scutari a</w:t></w:r>
</w:p>
<w:p>
<w:pPr><w:pStyle w:val="Normal"/></w:pPr>
<w:r><w:t xml:space="preserve">college and a seminary are maintained by the Jesuits, with the</w:t></w:r>
</w:p>
<w:p>
<w:pPr><w:pStyle w:val="Normal"/></w:pPr>
<w:r><w:t xml:space="preserve">aid of the Austrian government; the Franciscans have several</w:t></w:r>
</w:p>
<w:p>
<w:pPr><w:pStyle w:val="Normal"/></w:pPr>
<w:r><w:t xml:space="preserve">primary schools, and three lay schools are supported by the</w:t></w:r>
</w:p>
<w:p>
<w:pPr><w:pStyle w:val="Normal"/></w:pPr>
<w:r><w:t xml:space="preserve">Italian government; in all these institutions Italian is the</w:t></w:r>
</w:p>
<w:p>
<w:pPr><w:pStyle w:val="Normal"/></w:pPr>
<w:r><w:t xml:space="preserve">language of instruction.  There are two Servian seminaries at</w:t></w:r>
</w:p>
<w:p>
<w:pPr><w:pStyle w:val="Normal"/></w:pPr>
<w:r><w:t xml:space="preserve">Prizren.  In southern Albania there are Greek schools in the</w:t></w:r>
</w:p>
<w:p>
<w:pPr><w:pStyle w:val="Normal"/></w:pPr>
<w:r><w:t xml:space="preserve">towns and a large Greek gymnasium at Iannina.  The priests</w:t></w:r>
</w:p>
<w:p>
<w:pPr><w:pStyle w:val="Normal"/></w:pPr>
<w:r><w:t xml:space="preserve">of the Greek Church, on whom the rural population depend for</w:t></w:r>
</w:p>
<w:p>
<w:pPr><w:pStyle w:val="Normal"/></w:pPr>
<w:r><w:t xml:space="preserve">instruction, are often deplorably ignorant.  The merchant</w:t></w:r>
</w:p>
<w:p>
<w:pPr><w:pStyle w:val="Normal"/></w:pPr>
<w:r><w:t xml:space="preserve">families of Iannina are Well educated; the dialect spoken</w:t></w:r>
</w:p>
<w:p>
<w:pPr><w:pStyle w:val="Normal"/></w:pPr>
<w:r><w:t xml:space="preserve">in that town is the purest specimen of colloquial Greek.</w:t></w:r>
</w:p>
<w:p>
<w:pPr><w:pStyle w:val="Normal"/></w:pPr>
<w:r><w:t xml:space="preserve">Language.---Albanian is peculiarly interesting as the only</w:t></w:r>
</w:p>
<w:p>
<w:pPr><w:pStyle w:val="Normal"/></w:pPr>
<w:r><w:t xml:space="preserve">surviving representative of the so-called Thraco-Illyrian</w:t></w:r>
</w:p>
<w:p>
<w:pPr><w:pStyle w:val="Normal"/></w:pPr>
<w:r><w:t xml:space="preserve">group of languages which formed the primitive speech of the</w:t></w:r>
</w:p>
<w:p>
<w:pPr><w:pStyle w:val="Normal"/></w:pPr>
<w:r><w:t xml:space="preserve">peninsula.  It has afforded an attractive study to philologists,</w:t></w:r>
</w:p>
<w:p>
<w:pPr><w:pStyle w:val="Normal"/></w:pPr>
<w:r><w:t xml:space="preserve">amongst whom may be mentioned Malte-Brun, Leake, Xylander,</w:t></w:r>
</w:p>
<w:p>
<w:pPr><w:pStyle w:val="Normal"/></w:pPr>
<w:r><w:t xml:space="preserve">Hahn, Miklosich and G. Meyer.  The analysis of the language</w:t></w:r>
</w:p>
<w:p>
<w:pPr><w:pStyle w:val="Normal"/></w:pPr>
<w:r><w:t xml:space="preserve">presents great difficulties, as, owing to the absence of literary</w:t></w:r>
</w:p>
<w:p>
<w:pPr><w:pStyle w:val="Normal"/></w:pPr>
<w:r><w:t xml:space="preserve">monuments, no certainty can be arrived at With regard to its</w:t></w:r>
</w:p>
<w:p>
<w:pPr><w:pStyle w:val="Normal"/></w:pPr>
<w:r><w:t xml:space="preserve">earlier forms and later development.  The groundwork, so far</w:t></w:r>
</w:p>
<w:p>
<w:pPr><w:pStyle w:val="Normal"/></w:pPr>
<w:r><w:t xml:space="preserve">as it can be ascertained, and the grammar are Indo-European,</w:t></w:r>
</w:p>
<w:p>
<w:pPr><w:pStyle w:val="Normal"/></w:pPr>
<w:r><w:t xml:space="preserve">but a large number of words have been borrowed from the Latin</w:t></w:r>
</w:p>
<w:p>
<w:pPr><w:pStyle w:val="Normal"/></w:pPr>
<w:r><w:t xml:space="preserve">or Italian and Greek, and it is not always easy to decide</w:t></w:r>
</w:p>
<w:p>
<w:pPr><w:pStyle w:val="Normal"/></w:pPr>
<w:r><w:t xml:space="preserve">Whether the mutilated and curtailed forms now in use represent</w:t></w:r>
</w:p>
<w:p>
<w:pPr><w:pStyle w:val="Normal"/></w:pPr>
<w:r><w:t xml:space="preserve">adopted words or belong to the original vocabulary.  There</w:t></w:r>
</w:p>
<w:p>
<w:pPr><w:pStyle w:val="Normal"/></w:pPr>
<w:r><w:t xml:space="preserve">is also a considerable admixture of Turkish and Slavonic</w:t></w:r>
</w:p>
<w:p>
<w:pPr><w:pStyle w:val="Normal"/></w:pPr>
<w:r><w:t xml:space="preserve">words.  Notwithstanding certain points of resemblance in</w:t></w:r>
</w:p>
<w:p>
<w:pPr><w:pStyle w:val="Normal"/></w:pPr>
<w:r><w:t xml:space="preserve">structure and phonetics, Albanian is entirely distinct from</w:t></w:r>
</w:p>
<w:p>
<w:pPr><w:pStyle w:val="Normal"/></w:pPr>
<w:r><w:t xml:space="preserve">the neighbouring languages; in its relation to early Latin and</w:t></w:r>
</w:p>
<w:p>
<w:pPr><w:pStyle w:val="Normal"/></w:pPr>
<w:r><w:t xml:space="preserve">Greek it may bc regarded as a co-ordinate member of the Aryan</w:t></w:r>
</w:p>
<w:p>
<w:pPr><w:pStyle w:val="Normal"/></w:pPr>
<w:r><w:t xml:space="preserve">stock.  It possesses seven vowels; among the consonants are the</w:t></w:r>
</w:p>
<w:p>
<w:pPr><w:pStyle w:val="Normal"/></w:pPr>
<w:r><w:t xml:space="preserve">aspirated d and t, as in Greek, and many other sounds, such</w:t></w:r>
</w:p>
<w:p>
<w:pPr><w:pStyle w:val="Normal"/></w:pPr>
<w:r><w:t xml:space="preserve">as b, d, sh, zh (French.j), and hard g, which are wanting in</w:t></w:r>
</w:p>
<w:p>
<w:pPr><w:pStyle w:val="Normal"/></w:pPr>
<w:r><w:t xml:space="preserve">Greek, but exist in the Slavonic languages.  There are three</w:t></w:r>
</w:p>
<w:p>
<w:pPr><w:pStyle w:val="Normal"/></w:pPr>
<w:r><w:t xml:space="preserve">declensions, each with a definite and indefinite form; the</w:t></w:r>
</w:p>
<w:p>
<w:pPr><w:pStyle w:val="Normal"/></w:pPr>
<w:r><w:t xml:space="preserve">genitive, dative and ablative are usually represented by a</w:t></w:r>
</w:p>
<w:p>
<w:pPr><w:pStyle w:val="Normal"/></w:pPr>
<w:r><w:t xml:space="preserve">single termination; the vocative is formed by a final o,</w:t></w:r>
</w:p>
<w:p>
<w:pPr><w:pStyle w:val="Normal"/></w:pPr>
<w:r><w:t xml:space="preserve">as memmo from memme, ``mother.&apos;&apos; The neuter gender is</w:t></w:r>
</w:p>
<w:p>
<w:pPr><w:pStyle w:val="Normal"/></w:pPr>
<w:r><w:t xml:space="preserve">absent.  There are two conjugations; the passive formation,</w:t></w:r>
</w:p>
<w:p>
<w:pPr><w:pStyle w:val="Normal"/></w:pPr>
<w:r><w:t xml:space="preserve">now Wanting in most Indo-European languages, has been retained,</w:t></w:r>
</w:p>
<w:p>
<w:pPr><w:pStyle w:val="Normal"/></w:pPr>
<w:r><w:t xml:space="preserve">as in Greek; thus kerko-iy, ``I seek,&apos;&apos; forms kerko-n-em,</w:t></w:r>
</w:p>
<w:p>
<w:pPr><w:pStyle w:val="Normal"/></w:pPr>
<w:r><w:t xml:space="preserve">``I am sought.&apos;&apos; The,infinitive is not found; as in Greek,</w:t></w:r>
</w:p>
<w:p>
<w:pPr><w:pStyle w:val="Normal"/></w:pPr>
<w:r><w:t xml:space="preserve">Rumanian and Bulgarian, it is replaced by the subjunctive with a</w:t></w:r>
</w:p>
<w:p>
<w:pPr><w:pStyle w:val="Normal"/></w:pPr>
<w:r><w:t xml:space="preserve">particle.  The two auxiliary verbs are kam, ``I have,&apos;&apos; and</w:t></w:r>
</w:p>
<w:p>
<w:pPr><w:pStyle w:val="Normal"/></w:pPr>
<w:r><w:t xml:space="preserve">yam, ``I am.&apos;&apos; An interesting and characteristic feature</w:t></w:r>
</w:p>
<w:p>
<w:pPr><w:pStyle w:val="Normal"/></w:pPr>
<w:r><w:t xml:space="preserve">of the language is the definite article, which is attached</w:t></w:r>
</w:p>
<w:p>
<w:pPr><w:pStyle w:val="Normal"/></w:pPr>
<w:r><w:t xml:space="preserve">to the end of the word: e.g. mik (``friend,&apos;&apos; amicus),</w:t></w:r>
</w:p>
<w:p>
<w:pPr><w:pStyle w:val="Normal"/></w:pPr>
<w:r><w:t xml:space="preserve">mik-u (``the friend&apos;&apos;); kien (``dog&apos;&apos;), kien-i Shkumb,</w:t></w:r>
</w:p>
<w:p>
<w:pPr><w:pStyle w:val="Normal"/></w:pPr>
<w:r><w:t xml:space="preserve">Shkumb-i. The suffix-article likewise appears in Rumanian and</w:t></w:r>
</w:p>
<w:p>
<w:pPr><w:pStyle w:val="Normal"/></w:pPr>
<w:r><w:t xml:space="preserve">Bulgarian, but in no other Latin or Slavobic language; it is</w:t></w:r>
</w:p>
<w:p>
<w:pPr><w:pStyle w:val="Normal"/></w:pPr>
<w:r><w:t xml:space="preserve">in each case a form of the demonstrative pronoun.  Another</w:t></w:r>
</w:p>
<w:p>
<w:pPr><w:pStyle w:val="Normal"/></w:pPr>
<w:r><w:t xml:space="preserve">remarkable analogy between the Albanian and the neighbouring</w:t></w:r>
</w:p>
<w:p>
<w:pPr><w:pStyle w:val="Normal"/></w:pPr>
<w:r><w:t xml:space="preserve">languages is found in the formation of the future; the Albanian</w:t></w:r>
</w:p>
<w:p>
<w:pPr><w:pStyle w:val="Normal"/></w:pPr>
<w:r><w:t xml:space="preserve">do (3rd pers. sing. of dova, ``I will&apos;&apos;), like the Greek</w:t></w:r>
</w:p>
<w:p>
<w:pPr><w:pStyle w:val="Normal"/></w:pPr>
<w:r><w:t xml:space="preserve">tha, is prefixed without change to all persons of the verb: a</w:t></w:r>
</w:p>
<w:p>
<w:pPr><w:pStyle w:val="Normal"/></w:pPr>
<w:r><w:t xml:space="preserve">similar usage in Servian and Bulgarian, as well as in Rumanian</w:t></w:r>
</w:p>
<w:p>
<w:pPr><w:pStyle w:val="Normal"/></w:pPr>
<w:r><w:t xml:space="preserve">(especially the Macedonian dialect), is peculiar to these</w:t></w:r>
</w:p>
<w:p>
<w:pPr><w:pStyle w:val="Normal"/></w:pPr>
<w:r><w:t xml:space="preserve">languages in the Slavonic and Latin groups.  These and other</w:t></w:r>
</w:p>
<w:p>
<w:pPr><w:pStyle w:val="Normal"/></w:pPr>
<w:r><w:t xml:space="preserve">points of similarity, possibly only accidental, have led to</w:t></w:r>
</w:p>
<w:p>
<w:pPr><w:pStyle w:val="Normal"/></w:pPr>
<w:r><w:t xml:space="preserve">the conjecture that the primitive Illyrian language may have</w:t></w:r>
</w:p>
<w:p>
<w:pPr><w:pStyle w:val="Normal"/></w:pPr>
<w:r><w:t xml:space="preserve">exerted some kind of influence on the other idioms of the</w:t></w:r>
</w:p>
<w:p>
<w:pPr><w:pStyle w:val="Normal"/></w:pPr>
<w:r><w:t xml:space="preserve">peninsula.  In the absence of literary culture the Albanian</w:t></w:r>
</w:p>
<w:p>
<w:pPr><w:pStyle w:val="Normal"/></w:pPr>
<w:r><w:t xml:space="preserve">dialects, as might be expected, are widely divergent; the</w:t></w:r>
</w:p>
<w:p>
<w:pPr><w:pStyle w:val="Normal"/></w:pPr>
<w:r><w:t xml:space="preserve">limits of the two principal dialects correspond with the racial</w:t></w:r>
</w:p>
<w:p>
<w:pPr><w:pStyle w:val="Normal"/></w:pPr>
<w:r><w:t xml:space="preserve">boundaries of the Ghegs and Tosks, who understand each other</w:t></w:r>
</w:p>
<w:p>
<w:pPr><w:pStyle w:val="Normal"/></w:pPr>
<w:r><w:t xml:space="preserve">with dilficulty; the Albanians in Greece and Italy have also</w:t></w:r>
</w:p>
<w:p>
<w:pPr><w:pStyle w:val="Normal"/></w:pPr>
<w:r><w:t xml:space="preserve">separate dialects.  In writing Albanian the Latin character</w:t></w:r>
</w:p>
<w:p>
<w:pPr><w:pStyle w:val="Normal"/></w:pPr>
<w:r><w:t xml:space="preserve">is employed by the Ghegs, the Greek by the Tosks; neither</w:t></w:r>
</w:p>
<w:p>
<w:pPr><w:pStyle w:val="Normal"/></w:pPr>
<w:r><w:t xml:space="preserve">alphabet sufiices to represent the manifold sounds of the</w:t></w:r>
</w:p>
<w:p>
<w:pPr><w:pStyle w:val="Normal"/></w:pPr>
<w:r><w:t xml:space="preserve">language, and various supplementary letters or distinguishing</w:t></w:r>
</w:p>
<w:p>
<w:pPr><w:pStyle w:val="Normal"/></w:pPr>
<w:r><w:t xml:space="preserve">signs are necessary.  In the use of these no uniform system</w:t></w:r>
</w:p>
<w:p>
<w:pPr><w:pStyle w:val="Normal"/></w:pPr>
<w:r><w:t xml:space="preserve">has yet been adopted.  An alphabet of fifty-two letters, some</w:t></w:r>
</w:p>
<w:p>
<w:pPr><w:pStyle w:val="Normal"/></w:pPr>
<w:r><w:t xml:space="preserve">presenting ancient Phoenician and Cretan forms, was found by</w:t></w:r>
</w:p>
<w:p>
<w:pPr><w:pStyle w:val="Normal"/></w:pPr>
<w:r><w:t xml:space="preserve">Hahn in partial use at Elbassan and Tirana; its antiquity,</w:t></w:r>
</w:p>
<w:p>
<w:pPr><w:pStyle w:val="Normal"/></w:pPr>
<w:r><w:t xml:space="preserve">however, has not been established.  The Tosks generally use</w:t></w:r>
</w:p>
<w:p>
<w:pPr><w:pStyle w:val="Normal"/></w:pPr>
<w:r><w:t xml:space="preserve">the Greek language for written communications.  The native</w:t></w:r>
</w:p>
<w:p>
<w:pPr><w:pStyle w:val="Normal"/></w:pPr>
<w:r><w:t xml:space="preserve">folklore and poetry of the Albanians can hardly compare</w:t></w:r>
</w:p>
<w:p>
<w:pPr><w:pStyle w:val="Normal"/></w:pPr>
<w:r><w:t xml:space="preserve">with that of the neighbouring nations in originality and</w:t></w:r>
</w:p>
<w:p>
<w:pPr><w:pStyle w:val="Normal"/></w:pPr>
<w:r><w:t xml:space="preserve">beauty.  The earliest printed works in Albanian are those of</w:t></w:r>
</w:p>
<w:p>
<w:pPr><w:pStyle w:val="Normal"/></w:pPr>
<w:r><w:t xml:space="preserve">the Catholic missionaries; the first book containing specimens</w:t></w:r>
</w:p>
<w:p>
<w:pPr><w:pStyle w:val="Normal"/></w:pPr>
<w:r><w:t xml:space="preserve">of the language was the Dictionarium Latino-Epirolicum of</w:t></w:r>
</w:p>
<w:p>
<w:pPr><w:pStyle w:val="Normal"/></w:pPr>
<w:r><w:t xml:space="preserve">Bianchi, printed in 1635.  The literature of the last two</w:t></w:r>
</w:p>
<w:p>
<w:pPr><w:pStyle w:val="Normal"/></w:pPr>
<w:r><w:t xml:space="preserve">centuries consists mainly of translations and religious works</w:t></w:r>
</w:p>
<w:p>
<w:pPr><w:pStyle w:val="Normal"/></w:pPr>
<w:r><w:t xml:space="preserve">written by ecclesiastics, some of whom were natives of the</w:t></w:r>
</w:p>
<w:p>
<w:pPr><w:pStyle w:val="Normal"/></w:pPr>
<w:r><w:t xml:space="preserve">Albanian colonies in Italy.  The most noteworthy Albanian</w:t></w:r>
</w:p>
<w:p>
<w:pPr><w:pStyle w:val="Normal"/></w:pPr>
<w:r><w:t xml:space="preserve">writer was Girolamo di Rada (b. 1815), a poet, philologist</w:t></w:r>
</w:p>
<w:p>
<w:pPr><w:pStyle w:val="Normal"/></w:pPr>
<w:r><w:t xml:space="preserve">and collector of national folklore.  Among his successors</w:t></w:r>
</w:p>
<w:p>
<w:pPr><w:pStyle w:val="Normal"/></w:pPr>
<w:r><w:t xml:space="preserve">may be mentioned Vincenzo Dorsa and Demetrio Camarda.</w:t></w:r>
</w:p>
<w:p>
<w:pPr><w:pStyle w:val="Normal"/></w:pPr>
<w:r><w:t xml:space="preserve">Antiquities.---Albania abounds in ancient remains, which</w:t></w:r>
</w:p>
<w:p>
<w:pPr><w:pStyle w:val="Normal"/></w:pPr>
<w:r><w:t xml:space="preserve">as yet have been little explored.  Fragments of ``Cyclopean&apos;&apos;</w:t></w:r>
</w:p>
<w:p>
<w:pPr><w:pStyle w:val="Normal"/></w:pPr>
<w:r><w:t xml:space="preserve">structures were discovered by Hahn at Kretzunista, Arinista,</w:t></w:r>
</w:p>
<w:p>
<w:pPr><w:pStyle w:val="Normal"/></w:pPr>
<w:r><w:t xml:space="preserve">and other sites in the district of Argyrokastro; the walls,</w:t></w:r>
</w:p>
<w:p>
<w:pPr><w:pStyle w:val="Normal"/></w:pPr>
<w:r><w:t xml:space="preserve">partly ``Cyclopean,&apos;&apos; of an ancient city (perhaps Bullis)</w:t></w:r>
</w:p>
<w:p>
<w:pPr><w:pStyle w:val="Normal"/></w:pPr>
<w:r><w:t xml:space="preserve">are Visible at Gradisti on the Viossa.  Masonry of this</w:t></w:r>
</w:p>
<w:p>
<w:pPr><w:pStyle w:val="Normal"/></w:pPr>
<w:r><w:t xml:space="preserve">type, however, occurring in Illyria and Dalmatia (e.g.</w:t></w:r>
</w:p>
<w:p>
<w:pPr><w:pStyle w:val="Normal"/></w:pPr>
<w:r><w:t xml:space="preserve">at Soalato and on the island of Lesina) has been shown by</w:t></w:r>
</w:p>
<w:p>
<w:pPr><w:pStyle w:val="Normal"/></w:pPr>
<w:r><w:t xml:space="preserve">modern archaeologists to belong to the Roman period.  In</w:t></w:r>
</w:p>
<w:p>
<w:pPr><w:pStyle w:val="Normal"/></w:pPr>
<w:r><w:t xml:space="preserve">general, the remains of the classical epoch attest the</w:t></w:r>
</w:p>
<w:p>
<w:pPr><w:pStyle w:val="Normal"/></w:pPr>
<w:r><w:t xml:space="preserve">influence of Roman rather than of Greek civilization.  At</w:t></w:r>
</w:p>
<w:p>
<w:pPr><w:pStyle w:val="Normal"/></w:pPr>
<w:r><w:t xml:space="preserve">Pollina, the ancient Apollonia, are the remnants of a</w:t></w:r>
</w:p>
<w:p>
<w:pPr><w:pStyle w:val="Normal"/></w:pPr>
<w:r><w:t xml:space="preserve">Doric temple, of which a single column is still standing.</w:t></w:r>
</w:p>
<w:p>
<w:pPr><w:pStyle w:val="Normal"/></w:pPr>
<w:r><w:t xml:space="preserve">A little north of Preveza are the considerable ruins of</w:t></w:r>
</w:p>
<w:p>
<w:pPr><w:pStyle w:val="Normal"/></w:pPr>
<w:r><w:t xml:space="preserve">Nikopohs, founded by Octavian to commemorate the victory of</w:t></w:r>
</w:p>
<w:p>
<w:pPr><w:pStyle w:val="Normal"/></w:pPr>
<w:r><w:t xml:space="preserve">Actium.  At Khimara (anc. Chimaera) the remains of an</w:t></w:r>
</w:p>
<w:p>
<w:pPr><w:pStyle w:val="Normal"/></w:pPr>
<w:r><w:t xml:space="preserve">old Greek city may still be seen; at Santi Quaranta (anc.</w:t></w:r>
</w:p>
<w:p>
<w:pPr><w:pStyle w:val="Normal"/></w:pPr>
<w:r><w:t xml:space="preserve">Cnchesmos) the walls and towers of a later town are in good</w:t></w:r>
</w:p>
<w:p>
<w:pPr><w:pStyle w:val="Normal"/></w:pPr>
<w:r><w:t xml:space="preserve">preservation.  Few traces remain of the once celebrated</w:t></w:r>
</w:p>
<w:p>
<w:pPr><w:pStyle w:val="Normal"/></w:pPr>
<w:r><w:t xml:space="preserve">Dyrrhachium.  The ruins of Pandosia, Ephyra, Elatea, Phoenike,</w:t></w:r>
</w:p>
<w:p>
<w:pPr><w:pStyle w:val="Normal"/></w:pPr>
<w:r><w:t xml:space="preserve">Bathrotum, Akrolissos and other towns may be identified.  The</w:t></w:r>
</w:p>
<w:p>
<w:pPr><w:pStyle w:val="Normal"/></w:pPr>
<w:r><w:t xml:space="preserve">most important and interesting remains, however, are those</w:t></w:r>
</w:p>
<w:p>
<w:pPr><w:pStyle w:val="Normal"/></w:pPr>
<w:r><w:t xml:space="preserve">of Dodona (q.v..) Of the medieval ruins those of Kroia,</w:t></w:r>
</w:p>
<w:p>
<w:pPr><w:pStyle w:val="Normal"/></w:pPr>
<w:r><w:t xml:space="preserve">the stronghold of Scanderbeg, are the most interesting.</w:t></w:r>
</w:p>
<w:p>
<w:pPr><w:pStyle w:val="Normal"/></w:pPr>
<w:r><w:t xml:space="preserve">Medieval History.---After the division of the Roman empire,</w:t></w:r>
</w:p>
<w:p>
<w:pPr><w:pStyle w:val="Normal"/></w:pPr>
<w:r><w:t xml:space="preserve">the lands inhabited by the Albanian race became provinces of</w:t></w:r>
</w:p>
<w:p>
<w:pPr><w:pStyle w:val="Normal"/></w:pPr>
<w:r><w:t xml:space="preserve">the Byzantine empire; northern Albania from Scutari to Berat</w:t></w:r>
</w:p>
<w:p>
<w:pPr><w:pStyle w:val="Normal"/></w:pPr>
<w:r><w:t xml:space="preserve">formed the thema or province of Dyrrachium (Durazzo,</w:t></w:r>
</w:p>
<w:p>
<w:pPr><w:pStyle w:val="Normal"/></w:pPr>
<w:r><w:t xml:space="preserve">Albanian Dourtz), southern Albania and Epirus the thema of</w:t></w:r>
</w:p>
<w:p>
<w:pPr><w:pStyle w:val="Normal"/></w:pPr>
<w:r><w:t xml:space="preserve">Nikopolis.  The country was overrun by the Goths in the 4th</w:t></w:r>
</w:p>
<w:p>
<w:pPr><w:pStyle w:val="Normal"/></w:pPr>
<w:r><w:t xml:space="preserve">and 5th centuries, but reconquered by Justinian in 535. In 640</w:t></w:r>
</w:p>
<w:p>
<w:pPr><w:pStyle w:val="Normal"/></w:pPr>
<w:r><w:t xml:space="preserve">northern Albania was invaded by the Serbo-Croats; it continued</w:t></w:r>
</w:p>
<w:p>
<w:pPr><w:pStyle w:val="Normal"/></w:pPr>
<w:r><w:t xml:space="preserve">with interruptions under Servian rule till 1360.  In 861 the</w:t></w:r>
</w:p>
<w:p>
<w:pPr><w:pStyle w:val="Normal"/></w:pPr>
<w:r><w:t xml:space="preserve">Bulgarians conquered the southern portion of the country and</w:t></w:r>
</w:p>
<w:p>
<w:pPr><w:pStyle w:val="Normal"/></w:pPr>
<w:r><w:t xml:space="preserve">Epirus as far as Khimara; under their powerful tsar Simeon</w:t></w:r>
</w:p>
<w:p>
<w:pPr><w:pStyle w:val="Normal"/></w:pPr>
<w:r><w:t xml:space="preserve">(893-927), who defeated the Servians, they established their</w:t></w:r>
</w:p>
<w:p>
<w:pPr><w:pStyle w:val="Normal"/></w:pPr>
<w:r><w:t xml:space="preserve">rule on the Adriatic littoral, except at Durazzo, which remained</w:t></w:r>
</w:p>
<w:p>
<w:pPr><w:pStyle w:val="Normal"/></w:pPr>
<w:r><w:t xml:space="preserve">Ilyzantine, and colonized these regions in great numbers.  A</w:t></w:r>
</w:p>
<w:p>
<w:pPr><w:pStyle w:val="Normal"/></w:pPr>
<w:r><w:t xml:space="preserve">new Bulgarian dynasty, that of Shishman, was founded at Ochrida</w:t></w:r>
</w:p>
<w:p>
<w:pPr><w:pStyle w:val="Normal"/></w:pPr>
<w:r><w:t xml:space="preserve">after the death of Simeon.  Shishman&apos;s son Samuel (976-1014)</w:t></w:r>
</w:p>
<w:p>
<w:pPr><w:pStyle w:val="Normal"/></w:pPr>
<w:r><w:t xml:space="preserve">captured Durazzo; he extended his sway over a great part of</w:t></w:r>
</w:p>
<w:p>
<w:pPr><w:pStyle w:val="Normal"/></w:pPr>
<w:r><w:t xml:space="preserve">the Balkan Peninsula, but was eventually defeated in 1014 by</w:t></w:r>
</w:p>
<w:p>
<w:pPr><w:pStyle w:val="Normal"/></w:pPr>
<w:r><w:t xml:space="preserve">the emperor Basil II., who put out the eyes of 15,000 Bulgarian</w:t></w:r>
</w:p>
<w:p>
<w:pPr><w:pStyle w:val="Normal"/></w:pPr>
<w:r><w:t xml:space="preserve">prisoners.  Southern Albania and Epirus fell once more</w:t></w:r>
</w:p>
<w:p>
<w:pPr><w:pStyle w:val="Normal"/></w:pPr>
<w:r><w:t xml:space="preserve">under Byzantine rule, which, however, was shaken by numerous</w:t></w:r>
</w:p>
<w:p>
<w:pPr><w:pStyle w:val="Normal"/></w:pPr>
<w:r><w:t xml:space="preserve">revolts.  In 1081 the Normans under Robert Guiscard possessed</w:t></w:r>
</w:p>
<w:p>
<w:pPr><w:pStyle w:val="Normal"/></w:pPr>
<w:r><w:t xml:space="preserve">themselves of Durazzo; Guiscard,s son Bohemund defeated the</w:t></w:r>
</w:p>
<w:p>
<w:pPr><w:pStyle w:val="Normal"/></w:pPr>
<w:r><w:t xml:space="preserve">Greeks in several battles and again (1107) laid siege to</w:t></w:r>
</w:p>
<w:p>
<w:pPr><w:pStyle w:val="Normal"/></w:pPr>
<w:r><w:t xml:space="preserve">Durazzo, which had been surrendered to them by treachery;</w:t></w:r>
</w:p>
<w:p>
<w:pPr><w:pStyle w:val="Normal"/></w:pPr>
<w:r><w:t xml:space="preserve">failing to take the city, he retired to Italy in 1109.</w:t></w:r>
</w:p>
<w:p>
<w:pPr><w:pStyle w:val="Normal"/></w:pPr>
<w:r><w:t xml:space="preserve">Southern Albania and Epirus remained under Byzantine domination</w:t></w:r>
</w:p>
<w:p>
<w:pPr><w:pStyle w:val="Normal"/></w:pPr>
<w:r><w:t xml:space="preserve">till 1204, when, after the capture of Constantinople by the</w:t></w:r>
</w:p>
<w:p>
<w:pPr><w:pStyle w:val="Normal"/></w:pPr>
<w:r><w:t xml:space="preserve">crusaders, Michael Comnenus, a member of the imperial family,</w:t></w:r>
</w:p>
<w:p>
<w:pPr><w:pStyle w:val="Normal"/></w:pPr>
<w:r><w:t xml:space="preserve">withdrew to Epirus and founded an independent sovereignty</w:t></w:r>
</w:p>
<w:p>
<w:pPr><w:pStyle w:val="Normal"/></w:pPr>
<w:r><w:t xml:space="preserve">known as the Despotate of Epirus at Iannina; his realm</w:t></w:r>
</w:p>
<w:p>
<w:pPr><w:pStyle w:val="Normal"/></w:pPr>
<w:r><w:t xml:space="preserve">included the whole of southern Albania, Acarnania and</w:t></w:r>
</w:p>
<w:p>
<w:pPr><w:pStyle w:val="Normal"/></w:pPr>
<w:r><w:t xml:space="preserve">Aetolia.  The despotate of Epirus was held by the Comnenus</w:t></w:r>
</w:p>
<w:p>
<w:pPr><w:pStyle w:val="Normal"/></w:pPr>
<w:r><w:t xml:space="preserve">family till 1318, and by princes of the house of Orsini till</w:t></w:r>
</w:p>
<w:p>
<w:pPr><w:pStyle w:val="Normal"/></w:pPr>
<w:r><w:t xml:space="preserve">1358.  Meanwhile Durazzo, with Berat and Central Albania, had</w:t></w:r>
</w:p>
<w:p>
<w:pPr><w:pStyle w:val="Normal"/></w:pPr>
<w:r><w:t xml:space="preserve">passed into the hands of the Sicilian kings of the house of</w:t></w:r>
</w:p>
<w:p>
<w:pPr><w:pStyle w:val="Normal"/></w:pPr>
<w:r><w:t xml:space="preserve">Anjou, who ruled these regions, which they styled the ``Kingdom</w:t></w:r>
</w:p>
<w:p>
<w:pPr><w:pStyle w:val="Normal"/></w:pPr>
<w:r><w:t xml:space="preserve">of Albania,&apos;&apos; from 1271 to 1368, maintaining a constant warfare</w:t></w:r>
</w:p>
<w:p>
<w:pPr><w:pStyle w:val="Normal"/></w:pPr>
<w:r><w:t xml:space="preserve">with the Byzantine emperors.  The Servians again installed</w:t></w:r>
</w:p>
<w:p>
<w:pPr><w:pStyle w:val="Normal"/></w:pPr>
<w:r><w:t xml:space="preserve">themselves in Upper Albania about 1180, and the provinces of</w:t></w:r>
</w:p>
<w:p>
<w:pPr><w:pStyle w:val="Normal"/></w:pPr>
<w:r><w:t xml:space="preserve">Scutari and Prizren were ruled by kings of the house of Nemanya</w:t></w:r>
</w:p>
<w:p>
<w:pPr><w:pStyle w:val="Normal"/></w:pPr>
<w:r><w:t xml:space="preserve">till 1360; Stefan Dushan (1331-1358), the greatest of these</w:t></w:r>
</w:p>
<w:p>
<w:pPr><w:pStyle w:val="Normal"/></w:pPr>
<w:r><w:t xml:space="preserve">monarchs, included all Albania in his extensive but short-lived</w:t></w:r>
</w:p>
<w:p>
<w:pPr><w:pStyle w:val="Normal"/></w:pPr>
<w:r><w:t xml:space="preserve">empire, and took the title of 1mperotor Romaniae Slavoniae</w:t></w:r>
</w:p>
<w:p>
<w:pPr><w:pStyle w:val="Normal"/></w:pPr>
<w:r><w:t xml:space="preserve">et Albaniae (emperor of the Greeks, Slavs and Albanians).</w:t></w:r>
</w:p>
<w:p>
<w:pPr><w:pStyle w:val="Normal"/></w:pPr>
<w:r><w:t xml:space="preserve">Period of Native Rule.---After the death of Dushan and the</w:t></w:r>
</w:p>
<w:p>
<w:pPr><w:pStyle w:val="Normal"/></w:pPr>
<w:r><w:t xml:space="preserve">break-up of the Servian empire, a new epoch began when Albania</w:t></w:r>
</w:p>
<w:p>
<w:pPr><w:pStyle w:val="Normal"/></w:pPr>
<w:r><w:t xml:space="preserve">fell under the rule of chieftains more or less of native</w:t></w:r>
</w:p>
<w:p>
<w:pPr><w:pStyle w:val="Normal"/></w:pPr>
<w:r><w:t xml:space="preserve">origin.  A portion of Upper Albania was ruled by the Balsha</w:t></w:r>
</w:p>
<w:p>
<w:pPr><w:pStyle w:val="Normal"/></w:pPr>
<w:r><w:t xml:space="preserve">dynasty (1366-1421), which, though apparently Servian by</w:t></w:r>
</w:p>
<w:p>
<w:pPr><w:pStyle w:val="Normal"/></w:pPr>
<w:r><w:t xml:space="preserve">descent, assimilated itself with its Albanian subjects</w:t></w:r>
</w:p>
<w:p>
<w:pPr><w:pStyle w:val="Normal"/></w:pPr>
<w:r><w:t xml:space="preserve">and embraced the faith of Pome.  Alessio and a tract of</w:t></w:r>
</w:p>
<w:p>
<w:pPr><w:pStyle w:val="Normal"/></w:pPr>
<w:r><w:t xml:space="preserve">the interior in the direction of Ipek was governed by the</w:t></w:r>
</w:p>
<w:p>
<w:pPr><w:pStyle w:val="Normal"/></w:pPr>
<w:r><w:t xml:space="preserve">Dukajin.  The northern portion of the ``kingdom of Albania,&apos;&apos;</w:t></w:r>
</w:p>
<w:p>
<w:pPr><w:pStyle w:val="Normal"/></w:pPr>
<w:r><w:t xml:space="preserve">including Durazzo and Kroia, was ruled by the family of</w:t></w:r>
</w:p>
<w:p>
<w:pPr><w:pStyle w:val="Normal"/></w:pPr>
<w:r><w:t xml:space="preserve">Thopia (1359-1392) and afterwards by that of Lastriota, to</w:t></w:r>
</w:p>
<w:p>
<w:pPr><w:pStyle w:val="Normal"/></w:pPr>
<w:r><w:t xml:space="preserve">which Scanderbeg belonged; the southern portion with Berat,</w:t></w:r>
</w:p>
<w:p>
<w:pPr><w:pStyle w:val="Normal"/></w:pPr>
<w:r><w:t xml:space="preserve">by the Musaki (1368--1476).  In the middle of the 14th century</w:t></w:r>
</w:p>
<w:p>
<w:pPr><w:pStyle w:val="Normal"/></w:pPr>
<w:r><w:t xml:space="preserve">a great migration of Albanians from the mountainous districts</w:t></w:r>
</w:p>
<w:p>
<w:pPr><w:pStyle w:val="Normal"/></w:pPr>
<w:r><w:t xml:space="preserve">of the north took place, under the chiefs Jin Bua Spata and</w:t></w:r>
</w:p>
<w:p>
<w:pPr><w:pStyle w:val="Normal"/></w:pPr>
<w:r><w:t xml:space="preserve">Peter Liosha; they advanced southwards as far as Acarnania and</w:t></w:r>
</w:p>
<w:p>
<w:pPr><w:pStyle w:val="Normal"/></w:pPr>
<w:r><w:t xml:space="preserve">Aetolia (1358), occupied the greater portion of the despotate of</w:t></w:r>
</w:p>
<w:p>
<w:pPr><w:pStyle w:val="Normal"/></w:pPr>
<w:r><w:t xml:space="preserve">Epirus, and took Iannina and Arta.  In the latter half of the</w:t></w:r>
</w:p>
<w:p>
<w:pPr><w:pStyle w:val="Normal"/></w:pPr>
<w:r><w:t xml:space="preserve">century large colonies of Tosks were planted in the Morea by the</w:t></w:r>
</w:p>
<w:p>
<w:pPr><w:pStyle w:val="Normal"/></w:pPr>
<w:r><w:t xml:space="preserve">despots of Mistra, and in Attica and Boeotia by Luke Nerio of</w:t></w:r>
</w:p>
<w:p>
<w:pPr><w:pStyle w:val="Normal"/></w:pPr>
<w:r><w:t xml:space="preserve">Athens.  As the power of the Balshas declined, the Venetians</w:t></w:r>
</w:p>
<w:p>
<w:pPr><w:pStyle w:val="Normal"/></w:pPr>
<w:r><w:t xml:space="preserve">towards the close of the 14th century established themselves at</w:t></w:r>
</w:p>
<w:p>
<w:pPr><w:pStyle w:val="Normal"/></w:pPr>
<w:r><w:t xml:space="preserve">Scutari, Budua, Antivari and elsewhere in northern Albania.</w:t></w:r>
</w:p>
<w:p>
<w:pPr><w:pStyle w:val="Normal"/></w:pPr>
<w:r><w:t xml:space="preserve">Period of Turkish Rule.---The advance of the Turks into</w:t></w:r>
</w:p>
<w:p>
<w:pPr><w:pStyle w:val="Normal"/></w:pPr>
<w:r><w:t xml:space="preserve">Albania began with the capture of Iannina in 1431.  For once</w:t></w:r>
</w:p>
<w:p>
<w:pPr><w:pStyle w:val="Normal"/></w:pPr>
<w:r><w:t xml:space="preserve">in the history of the country the Albanian chiefs combined</w:t></w:r>
</w:p>
<w:p>
<w:pPr><w:pStyle w:val="Normal"/></w:pPr>
<w:r><w:t xml:space="preserve">against the invader under a single leader, the celebrated</w:t></w:r>
</w:p>
<w:p>
<w:pPr><w:pStyle w:val="Normal"/></w:pPr>
<w:r><w:t xml:space="preserve">Georce Eastriota (see SCANDERBEG), who fought thirteen</w:t></w:r>
</w:p>
<w:p>
<w:pPr><w:pStyle w:val="Normal"/></w:pPr>
<w:r><w:t xml:space="preserve">campaigns in the period 1444--1466.  In 1478 Kroia, which the</w:t></w:r>
</w:p>
<w:p>
<w:pPr><w:pStyle w:val="Normal"/></w:pPr>
<w:r><w:t xml:space="preserve">Venetians had occupied after Scanderbeg&apos;s death, surrendered</w:t></w:r>
</w:p>
<w:p>
<w:pPr><w:pStyle w:val="Normal"/></w:pPr>
<w:r><w:t xml:space="preserve">to Mahommed II., and in 1479 Scutari, after a memorable defence</w:t></w:r>
</w:p>
<w:p>
<w:pPr><w:pStyle w:val="Normal"/></w:pPr>
<w:r><w:t xml:space="preserve">by the Venetians and their Montenegrin allies, was reduced by</w:t></w:r>
</w:p>
<w:p>
<w:pPr><w:pStyle w:val="Normal"/></w:pPr>
<w:r><w:t xml:space="preserve">blockade.  Nany of its native Christian defenders emigrated</w:t></w:r>
</w:p>
<w:p>
<w:pPr><w:pStyle w:val="Normal"/></w:pPr>
<w:r><w:t xml:space="preserve">to Dallratia and Italy; others took refuge in the mountains</w:t></w:r>
</w:p>
<w:p>
<w:pPr><w:pStyle w:val="Normal"/></w:pPr>
<w:r><w:t xml:space="preserve">with the Loiran Catholic Ghegs.  In 1502 the Turks captured</w:t></w:r>
</w:p>
<w:p>
<w:pPr><w:pStyle w:val="Normal"/></w:pPr>
<w:r><w:t xml:space="preserve">Durazzo, and in 1571 Antivari and Dulcigno, the last Venetian</w:t></w:r>
</w:p>
<w:p>
<w:pPr><w:pStyle w:val="Normal"/></w:pPr>
<w:r><w:t xml:space="preserve">possessions in Albania.  Notwithstanding the abandonment of</w:t></w:r>
</w:p>
<w:p>
<w:pPr><w:pStyle w:val="Normal"/></w:pPr>
<w:r><w:t xml:space="preserve">Christianity by a large section of the population after the</w:t></w:r>
</w:p>
<w:p>
<w:pPr><w:pStyle w:val="Normal"/></w:pPr>
<w:r><w:t xml:space="preserve">Turkish conquest, the authority of the sultans was never</w:t></w:r>
</w:p>
<w:p>
<w:pPr><w:pStyle w:val="Normal"/></w:pPr>
<w:r><w:t xml:space="preserve">effectively established, and succeeding centuries present</w:t></w:r>
</w:p>
<w:p>
<w:pPr><w:pStyle w:val="Normal"/></w:pPr>
<w:r><w:t xml:space="preserve">a record of interminable conflicts between the tribesmen</w:t></w:r>
</w:p>
<w:p>
<w:pPr><w:pStyle w:val="Normal"/></w:pPr>
<w:r><w:t xml:space="preserve">and the Turks, between the Christians and the converts to</w:t></w:r>
</w:p>
<w:p>
<w:pPr><w:pStyle w:val="Normal"/></w:pPr>
<w:r><w:t xml:space="preserve">Islam, or between all combined and the traditional Montenegrin</w:t></w:r>
</w:p>
<w:p>
<w:pPr><w:pStyle w:val="Normal"/></w:pPr>
<w:r><w:t xml:space="preserve">enemy.  The decline of the Ottoman power, which began towards</w:t></w:r>
</w:p>
<w:p>
<w:pPr><w:pStyle w:val="Normal"/></w:pPr>
<w:r><w:t xml:space="preserve">the end of the 17th century, was marked by increasing anarchy</w:t></w:r>
</w:p>
<w:p>
<w:pPr><w:pStyle w:val="Normal"/></w:pPr>
<w:r><w:t xml:space="preserve">and lawlessness in the outlying portions of the empire.</w:t></w:r>
</w:p>
<w:p>
<w:pPr><w:pStyle w:val="Normal"/></w:pPr>
<w:r><w:t xml:space="preserve">About 1760 a Moslem chieftain, Mehemet of Bushat, after</w:t></w:r>
</w:p>
<w:p>
<w:pPr><w:pStyle w:val="Normal"/></w:pPr>
<w:r><w:t xml:space="preserve">obtaining the pashalik of Scutari from the Porte, succeeded</w:t></w:r>
</w:p>
<w:p>
<w:pPr><w:pStyle w:val="Normal"/></w:pPr>
<w:r><w:t xml:space="preserve">in establishing an almost independent sovereignty in Upper</w:t></w:r>
</w:p>
<w:p>
<w:pPr><w:pStyle w:val="Normal"/></w:pPr>
<w:r><w:t xml:space="preserve">Albania, which remained hereditary in his family for some</w:t></w:r>
</w:p>
<w:p>
<w:pPr><w:pStyle w:val="Normal"/></w:pPr>
<w:r><w:t xml:space="preserve">generations.  In southern Albania Ali Pasha of Tepelen (b.</w:t></w:r>
</w:p>
<w:p>
<w:pPr><w:pStyle w:val="Normal"/></w:pPr>
<w:r><w:t xml:space="preserve">about 1750), an able, cruel and unscrupulous man, subdued</w:t></w:r>
</w:p>
<w:p>
<w:pPr><w:pStyle w:val="Normal"/></w:pPr>
<w:r><w:t xml:space="preserve">the neighbouring pashas and chiefs, crushed the Suliotes and</w:t></w:r>
</w:p>
<w:p>
<w:pPr><w:pStyle w:val="Normal"/></w:pPr>
<w:r><w:t xml:space="preserve">Khimarrliotes, and exercised a practically independent sovereignty</w:t></w:r>
</w:p>
<w:p>
<w:pPr><w:pStyle w:val="Normal"/></w:pPr>
<w:r><w:t xml:space="preserve">from the Adriatic to the Aegean.  He introduced comparative</w:t></w:r>
</w:p>
<w:p>
<w:pPr><w:pStyle w:val="Normal"/></w:pPr>
<w:r><w:t xml:space="preserve">civilization at Iannina, his capital, and maintained direct</w:t></w:r>
</w:p>
<w:p>
<w:pPr><w:pStyle w:val="Normal"/></w:pPr>
<w:r><w:t xml:space="preserve">relations with foreign powers.  Eventually he renounced his</w:t></w:r>
</w:p>
<w:p>
<w:pPr><w:pStyle w:val="Normal"/></w:pPr>
<w:r><w:t xml:space="preserve">allegiance to the sultan, but was overthrown by a Turkish army in</w:t></w:r>
</w:p>
<w:p>
<w:pPr><w:pStyle w:val="Normal"/></w:pPr>
<w:r><w:t xml:space="preserve">1822.  Shortly afterwards the dynasty of Scutari came to</w:t></w:r>
</w:p>
<w:p>
<w:pPr><w:pStyle w:val="Normal"/></w:pPr>
<w:r><w:t xml:space="preserve">an end with the surrender of Mustafa Pasha, the last of the</w:t></w:r>
</w:p>
<w:p>
<w:pPr><w:pStyle w:val="Normal"/></w:pPr>
<w:r><w:t xml:space="preserve">house of Bushat, to the grand vizier Reshid Pasha, in 1831.</w:t></w:r>
</w:p>
<w:p>
<w:pPr><w:pStyle w:val="Normal"/></w:pPr>
<w:r><w:t xml:space="preserve">The opposition of the Albanians, Christian as well as Moslem,</w:t></w:r>
</w:p>
<w:p>
<w:pPr><w:pStyle w:val="Normal"/></w:pPr>
<w:r><w:t xml:space="preserve">to the reforms introduced by the sultan Mahmud II. led</w:t></w:r>
</w:p>
<w:p>
<w:pPr><w:pStyle w:val="Normal"/></w:pPr>
<w:r><w:t xml:space="preserve">to the devastation of the country and the expatriation of</w:t></w:r>
</w:p>
<w:p>
<w:pPr><w:pStyle w:val="Normal"/></w:pPr>
<w:r><w:t xml:space="preserve">thousands of its inhabitants.  During the next half-century</w:t></w:r>
</w:p>
<w:p>
<w:pPr><w:pStyle w:val="Normal"/></w:pPr>
<w:r><w:t xml:space="preserve">several local revolts occurred, but no movement of a strictly</w:t></w:r>
</w:p>
<w:p>
<w:pPr><w:pStyle w:val="Normal"/></w:pPr>
<w:r><w:t xml:space="preserve">political character took place till after the Berlin Treaty</w:t></w:r>
</w:p>
<w:p>
<w:pPr><w:pStyle w:val="Normal"/></w:pPr>
<w:r><w:t xml:space="preserve">(July 13, 1878), when some of the Moslems and Catholics</w:t></w:r>
</w:p>
<w:p>
<w:pPr><w:pStyle w:val="Normal"/></w:pPr>
<w:r><w:t xml:space="preserve">combined to resist the stipulated transference of Albanian</w:t></w:r>
</w:p>
<w:p>
<w:pPr><w:pStyle w:val="Normal"/></w:pPr>
<w:r><w:t xml:space="preserve">territory to Austria-Hungary, Servia and Montenegro) and the</w:t></w:r>
</w:p>
<w:p>
<w:pPr><w:pStyle w:val="Normal"/></w:pPr>
<w:r><w:t xml:space="preserve">Albaniian League Was formed by an assemblage of chiefs at</w:t></w:r>
</w:p>
<w:p>
<w:pPr><w:pStyle w:val="Normal"/></w:pPr>
<w:r><w:t xml:space="preserve">Prizren.  The movement, which was instigated by the Porte</w:t></w:r>
</w:p>
<w:p>
<w:pPr><w:pStyle w:val="Normal"/></w:pPr>
<w:r><w:t xml:space="preserve">with the object of evading the provisions of the treaty, Was</w:t></w:r>
</w:p>
<w:p>
<w:pPr><w:pStyle w:val="Normal"/></w:pPr>
<w:r><w:t xml:space="preserve">so far successful that the restoration of Plava and Gusinye</w:t></w:r>
</w:p>
<w:p>
<w:pPr><w:pStyle w:val="Normal"/></w:pPr>
<w:r><w:t xml:space="preserve">to Albania was sanctioned by the powers, Montenegro receiving</w:t></w:r>
</w:p>
<w:p>
<w:pPr><w:pStyle w:val="Normal"/></w:pPr>
<w:r><w:t xml:space="preserve">in exchange the town and district of Dulcigno.  The Albanian</w:t></w:r>
</w:p>
<w:p>
<w:pPr><w:pStyle w:val="Normal"/></w:pPr>
<w:r><w:t xml:space="preserve">leaders, however, soon displayed a spirit of independence,</w:t></w:r>
</w:p>
<w:p>
<w:pPr><w:pStyle w:val="Normal"/></w:pPr>
<w:r><w:t xml:space="preserve">which proved embarrassing to Turkish diplomacyand caused</w:t></w:r>
</w:p>
<w:p>
<w:pPr><w:pStyle w:val="Normal"/></w:pPr>
<w:r><w:t xml:space="preserve">alarm at Constantinople; their forces came into conflict with</w:t></w:r>
</w:p>
<w:p>
<w:pPr><w:pStyle w:val="Normal"/></w:pPr>
<w:r><w:t xml:space="preserve">a Turkish army under Dervish Pasha near Dulcigno (November</w:t></w:r>
</w:p>
<w:p>
<w:pPr><w:pStyle w:val="Normal"/></w:pPr>
<w:r><w:t xml:space="preserve">1880), and eventually the league was suppressed.  A similar</w:t></w:r>
</w:p>
<w:p>
<w:pPr><w:pStyle w:val="Normal"/></w:pPr>
<w:r><w:t xml:space="preserve">agitation on a smaller scale was organized in southern Albania</w:t></w:r>
</w:p>
<w:p>
<w:pPr><w:pStyle w:val="Normal"/></w:pPr>
<w:r><w:t xml:space="preserve">to 1esist the territorial concessions awarded by the powers to</w:t></w:r>
</w:p>
<w:p>
<w:pPr><w:pStyle w:val="Normal"/></w:pPr>
<w:r><w:t xml:space="preserve">Greece.  In the spring of 1903 serious disturbances took</w:t></w:r>
</w:p>
<w:p>
<w:pPr><w:pStyle w:val="Normal"/></w:pPr>
<w:r><w:t xml:space="preserve">place in north-western Albania, but the Turks succeeded in</w:t></w:r>
</w:p>
<w:p>
<w:pPr><w:pStyle w:val="Normal"/></w:pPr>
<w:r><w:t xml:space="preserve">pacifying the revolted tribesmen, partly by force and partly by</w:t></w:r>
</w:p>
<w:p>
<w:pPr><w:pStyle w:val="Normal"/></w:pPr>
<w:r><w:t xml:space="preserve">concessions.  These movements were far from displaying a</w:t></w:r>
</w:p>
<w:p>
<w:pPr><w:pStyle w:val="Normal"/></w:pPr>
<w:r><w:t xml:space="preserve">genuinely national character.  In recent years attempts have</w:t></w:r>
</w:p>
<w:p>
<w:pPr><w:pStyle w:val="Normal"/></w:pPr>
<w:r><w:t xml:space="preserve">been made by Albanians resident abroad to propagate the national</w:t></w:r>
</w:p>
<w:p>
<w:pPr><w:pStyle w:val="Normal"/></w:pPr>
<w:r><w:t xml:space="preserve">idea among their compatriots at home; committees have been</w:t></w:r>
</w:p>
<w:p>
<w:pPr><w:pStyle w:val="Normal"/></w:pPr>
<w:r><w:t xml:space="preserve">formed at Brussels, Bucharest, Athens and elsewhere, and books,</w:t></w:r>
</w:p>
<w:p>
<w:pPr><w:pStyle w:val="Normal"/></w:pPr>
<w:r><w:t xml:space="preserve">pamphlets and newspapers are surreptitiously sent into the</w:t></w:r>
</w:p>
<w:p>
<w:pPr><w:pStyle w:val="Normal"/></w:pPr>
<w:r><w:t xml:space="preserve">country.  Unity of aim and effort, however, seems foreign</w:t></w:r>
</w:p>
<w:p>
<w:pPr><w:pStyle w:val="Normal"/></w:pPr>
<w:r><w:t xml:space="preserve">to the Albanians, except in defence of local or tribal</w:t></w:r>
</w:p>
<w:p>
<w:pPr><w:pStyle w:val="Normal"/></w:pPr>
<w:r><w:t xml:space="preserve">privileges.  The growth of a wider patriotic sentiment must</w:t></w:r>
</w:p>
<w:p>
<w:pPr><w:pStyle w:val="Normal"/></w:pPr>
<w:r><w:t xml:space="preserve">depend on the spread of popular education; certainly up to</w:t></w:r>
</w:p>
<w:p>
<w:pPr><w:pStyle w:val="Normal"/></w:pPr>
<w:r><w:t xml:space="preserve">1908 no appreciable progress had been made in this direction.</w:t></w:r>
</w:p>
<w:p>
<w:pPr><w:pStyle w:val="Normal"/></w:pPr>
<w:r><w:t xml:space="preserve">AUTHORITIES.---F.  C. H. Pouqueville, Voyage de la Grece</w:t></w:r>
</w:p>
<w:p>
<w:pPr><w:pStyle w:val="Normal"/></w:pPr>
<w:r><w:t xml:space="preserve">(Paris, 1820); W. M. Leake, Travels in Northern Greece</w:t></w:r>
</w:p>
<w:p>
<w:pPr><w:pStyle w:val="Normal"/></w:pPr>
<w:r><w:t xml:space="preserve">(London, 1835); J. G. von Hahn, Albanesische Studien (Jena,</w:t></w:r>
</w:p>
<w:p>
<w:pPr><w:pStyle w:val="Normal"/></w:pPr>
<w:r><w:t xml:space="preserve">1854), Reise durch die Gebiete des Drin und Vardar (Vienna,</w:t></w:r>
</w:p>
<w:p>
<w:pPr><w:pStyle w:val="Normal"/></w:pPr>
<w:r><w:t xml:space="preserve">1867); F. Bopp, Uber dos Albanesische (Berlin, 1854); J.</w:t></w:r>
</w:p>
<w:p>
<w:pPr><w:pStyle w:val="Normal"/></w:pPr>
<w:r><w:t xml:space="preserve">P. Fallmerayer, Das albanesische Element in Griechenland</w:t></w:r>
</w:p>
<w:p>
<w:pPr><w:pStyle w:val="Normal"/></w:pPr>
<w:r><w:t xml:space="preserve">(Munich, 1864); N. Camarda, Saggio di grammatologia comparata</w:t></w:r>
</w:p>
<w:p>
<w:pPr><w:pStyle w:val="Normal"/></w:pPr>
<w:r><w:t xml:space="preserve">sulla lingua albanese (Leghorn, 1865); Viscountess Strangford,</w:t></w:r>
</w:p>
<w:p>
<w:pPr><w:pStyle w:val="Normal"/></w:pPr>
<w:r><w:t xml:space="preserve">The Eastern Shores of the Adriatic (London, 1865); H. F.</w:t></w:r>
</w:p>
<w:p>
<w:pPr><w:pStyle w:val="Normal"/></w:pPr>
<w:r><w:t xml:space="preserve">Tozer, Researches in the Highlands of Turkey (London, 1869);</w:t></w:r>
</w:p>
<w:p>
<w:pPr><w:pStyle w:val="Normal"/></w:pPr>
<w:r><w:t xml:space="preserve">F. Miklosich, Albanes.  Forschungen (Vienna, 1870); C.</w:t></w:r>
</w:p>
<w:p>
<w:pPr><w:pStyle w:val="Normal"/></w:pPr>
<w:r><w:t xml:space="preserve">Hopf, Chroniques greco-romaines inedites ou peu connues</w:t></w:r>
</w:p>
<w:p>
<w:pPr><w:pStyle w:val="Normal"/></w:pPr>
<w:r><w:t xml:space="preserve">(Berlin, 1873); H. Hecquard, Histoire et description de la</w:t></w:r>
</w:p>
<w:p>
<w:pPr><w:pStyle w:val="Normal"/></w:pPr>
<w:r><w:t xml:space="preserve">Haute Albanie ou Guegarie (Paris, undated); S. Gopchevich,</w:t></w:r>
</w:p>
<w:p>
<w:pPr><w:pStyle w:val="Normal"/></w:pPr>
<w:r><w:t xml:space="preserve">Oberalbanien und seine Liga (Leipzig, 1881); V&apos;. Tajani,</w:t></w:r>
</w:p>
<w:p>
<w:pPr><w:pStyle w:val="Normal"/></w:pPr>
<w:r><w:t xml:space="preserve">Le Istoria Albanesi (Salerno, 1886); G. Gelchich, La Zedda</w:t></w:r>
</w:p>
<w:p>
<w:pPr><w:pStyle w:val="Normal"/></w:pPr>
<w:r><w:t xml:space="preserve">e la dinastia dei Balshi (Spalato, 1899); S. Lambros, `E</w:t></w:r>
</w:p>
<w:p>
<w:pPr><w:pStyle w:val="Normal"/></w:pPr>
<w:r><w:t xml:space="preserve">onomatologia tes &apos;Attikes kai h eis ten choran</w:t></w:r>
</w:p>
<w:p>
<w:pPr><w:pStyle w:val="Normal"/></w:pPr>
<w:r><w:t xml:space="preserve">epikesis ton .Albanon in the &apos;Epeteris tou Parnassou</w:t></w:r>
</w:p>
<w:p>
<w:pPr><w:pStyle w:val="Normal"/></w:pPr>
<w:r><w:t xml:space="preserve">(Athens, 1896); Theodore Ippen ``Beitrige zur inneren</w:t></w:r>
</w:p>
<w:p>
<w:pPr><w:pStyle w:val="Normal"/></w:pPr>
<w:r><w:t xml:space="preserve">Geschichte der Turkei im 19. Jahrhundert speciell Albaniens,&apos;&apos;</w:t></w:r>
</w:p>
<w:p>
<w:pPr><w:pStyle w:val="Normal"/></w:pPr>
<w:r><w:t xml:space="preserve">in the Osterreichisch-Ungarische Revue, vol. xxviii.; A.</w:t></w:r>
</w:p>
<w:p>
<w:pPr><w:pStyle w:val="Normal"/></w:pPr>
<w:r><w:t xml:space="preserve">Philippson, Thessalia und Epirus (Berlin, 1897).  See</w:t></w:r>
</w:p>
<w:p>
<w:pPr><w:pStyle w:val="Normal"/></w:pPr>
<w:r><w:t xml:space="preserve">also Murray&apos;s Greece, ed. 1900, pp. 720-731 and 760-814,</w:t></w:r>
</w:p>
<w:p>
<w:pPr><w:pStyle w:val="Normal"/></w:pPr>
<w:r><w:t xml:space="preserve">and Blue-book Turkey, No. 15, Part ii., 1886. (J. D. B.)</w:t></w:r>
</w:p>
<w:p>
<w:pPr><w:pStyle w:val="Normal"/></w:pPr>
<w:r><w:t xml:space="preserve">ALBANUS LACUS (mod. Lago di Albano), a lake about 12</w:t></w:r>
</w:p>
<w:p>
<w:pPr><w:pStyle w:val="Normal"/></w:pPr>
<w:r><w:t xml:space="preserve">m.  S.E. of Rome.  It is generally considered to have been</w:t></w:r>
</w:p>
<w:p>
<w:pPr><w:pStyle w:val="Normal"/></w:pPr>
<w:r><w:t xml:space="preserve">formed by a volcanic explosion at the margin of the great</w:t></w:r>
</w:p>
<w:p>
<w:pPr><w:pStyle w:val="Normal"/></w:pPr>
<w:r><w:t xml:space="preserve">crater of the Albanus Mons; it has the shape of a crater,</w:t></w:r>
</w:p>
<w:p>
<w:pPr><w:pStyle w:val="Normal"/></w:pPr>
<w:r><w:t xml:space="preserve">the banks cf Which are over 400 ft. in height from the</w:t></w:r>
</w:p>
<w:p>
<w:pPr><w:pStyle w:val="Normal"/></w:pPr>
<w:r><w:t xml:space="preserve">water-level, while the water is as much as 560 ft. deep</w:t></w:r>
</w:p>
<w:p>
<w:pPr><w:pStyle w:val="Normal"/></w:pPr>
<w:r><w:t xml:space="preserve">in the S. portion.  It is fed by subterraiiean springs.</w:t></w:r>
</w:p>
<w:p>
<w:pPr><w:pStyle w:val="Normal"/></w:pPr>
<w:r><w:t xml:space="preserve">According to the legend, the emissarium (outlet) which</w:t></w:r>
</w:p>
<w:p>
<w:pPr><w:pStyle w:val="Normal"/></w:pPr>
<w:r><w:t xml:space="preserve">still drains it was made in 398-397 B.C., the Delphic oracle</w:t></w:r>
</w:p>
<w:p>
<w:pPr><w:pStyle w:val="Normal"/></w:pPr>
<w:r><w:t xml:space="preserve">having declared that Veri could onlybe taken when the waters</w:t></w:r>
</w:p>
<w:p>
<w:pPr><w:pStyle w:val="Normal"/></w:pPr>
<w:r><w:t xml:space="preserve">of the lake reached the sea.  It is over a mile in length,</w:t></w:r>
</w:p>
<w:p>
<w:pPr><w:pStyle w:val="Normal"/></w:pPr>
<w:r><w:t xml:space="preserve">hewn in the rock, and about 6 ft. high and 4 ft. broad; it</w:t></w:r>
</w:p>
<w:p>
<w:pPr><w:pStyle w:val="Normal"/></w:pPr>
<w:r><w:t xml:space="preserve">has vertical shafts at intervals, and a sluice chamber at</w:t></w:r>
</w:p>
<w:p>
<w:pPr><w:pStyle w:val="Normal"/></w:pPr>
<w:r><w:t xml:space="preserve">its egress from the lake.  In the time of Domitian the whole</w:t></w:r>
</w:p>
<w:p>
<w:pPr><w:pStyle w:val="Normal"/></w:pPr>
<w:r><w:t xml:space="preserve">lake belonged to the imperial domain. (SEEALBALONGA.)</w:t></w:r>
</w:p>
<w:p>
<w:pPr><w:pStyle w:val="Normal"/></w:pPr>
<w:r><w:t xml:space="preserve">ALBANUS MONS (mod. Monte Cavo, from an early city of</w:t></w:r>
</w:p>
<w:p>
<w:pPr><w:pStyle w:val="Normal"/></w:pPr>
<w:r><w:t xml:space="preserve">the name of Cabum? 1), the highest point of the volcanic</w:t></w:r>
</w:p>
<w:p>
<w:pPr><w:pStyle w:val="Normal"/></w:pPr>
<w:r><w:t xml:space="preserve">Alban hills, about 13 m.  S.E. of Rome, 3115 ft. above</w:t></w:r>
</w:p>
<w:p>
<w:pPr><w:pStyle w:val="Normal"/></w:pPr>
<w:r><w:t xml:space="preserve">sea-level.  It is upon the line of the rim of the inner crater</w:t></w:r>
</w:p>
<w:p>
<w:pPr><w:pStyle w:val="Normal"/></w:pPr>
<w:r><w:t xml:space="preserve">of the great volcano, While Tusculum and Algidus Mons mark</w:t></w:r>
</w:p>
<w:p>
<w:pPr><w:pStyle w:val="Normal"/></w:pPr>
<w:r><w:t xml:space="preserve">the edge of the earlier outer crater, which was about 7 m.</w:t></w:r>
</w:p>
<w:p>
<w:pPr><w:pStyle w:val="Normal"/></w:pPr>
<w:r><w:t xml:space="preserve">wide.  The lakes of Albano and Nemi were probably formed by</w:t></w:r>
</w:p>
<w:p>
<w:pPr><w:pStyle w:val="Normal"/></w:pPr>
<w:r><w:t xml:space="preserve">volcanic explosions at the margin of the great crater; though a</w:t></w:r>
</w:p>
<w:p>
<w:pPr><w:pStyle w:val="Normal"/></w:pPr>
<w:r><w:t xml:space="preserve">view has also been expressed that the basins are the result of</w:t></w:r>
</w:p>
<w:p>
<w:pPr><w:pStyle w:val="Normal"/></w:pPr>
<w:r><w:t xml:space="preserve">subsidence.  The name Albanus Mons is also used generally</w:t></w:r>
</w:p>
<w:p>
<w:pPr><w:pStyle w:val="Normal"/></w:pPr>
<w:r><w:t xml:space="preserve">of the Alban group of hills in which there seem to have been</w:t></w:r>
</w:p>
<w:p>
<w:pPr><w:pStyle w:val="Normal"/></w:pPr>
<w:r><w:t xml:space="preserve">some remains of volcanic activity in early Roman times, which</w:t></w:r>
</w:p>
<w:p>
<w:pPr><w:pStyle w:val="Normal"/></w:pPr>
<w:r><w:t xml:space="preserve">covered the early necropolis of Alba Longa, and occasionally</w:t></w:r>
</w:p>
<w:p>
<w:pPr><w:pStyle w:val="Normal"/></w:pPr>
<w:r><w:t xml:space="preserve">produced showers of stones, e.g. in the time of Tullus</w:t></w:r>
</w:p>
<w:p>
<w:pPr><w:pStyle w:val="Normal"/></w:pPr>
<w:r><w:t xml:space="preserve">Hostilius (Liv. i. 31), and perhaps much later.  In 193 B.C.</w:t></w:r>
</w:p>
<w:p>
<w:pPr><w:pStyle w:val="Normal"/></w:pPr>
<w:r><w:t xml:space="preserve">it is recorded (ib. xxxv. 9) that such a snower occurred at</w:t></w:r>
</w:p>
<w:p>
<w:pPr><w:pStyle w:val="Normal"/></w:pPr>
<w:r><w:t xml:space="preserve">Aricia, Lanuvium and on the Aventine.  Upon the Mons Albanus</w:t></w:r>
</w:p>
<w:p>
<w:pPr><w:pStyle w:val="Normal"/></w:pPr>
<w:r><w:t xml:space="preserve">stood the temple of Jupiter Latiaris, where the annual festival</w:t></w:r>
</w:p>
<w:p>
<w:pPr><w:pStyle w:val="Normal"/></w:pPr>
<w:r><w:t xml:space="preserve">of the Latin League was held.  The foundations and some of the</w:t></w:r>
</w:p>
<w:p>
<w:pPr><w:pStyle w:val="Normal"/></w:pPr>
<w:r><w:t xml:space="preserve">architectural fragments of the temple were still in existence</w:t></w:r>
</w:p>
<w:p>
<w:pPr><w:pStyle w:val="Normal"/></w:pPr>
<w:r><w:t xml:space="preserve">until 1777, when they were used to build the Passionist</w:t></w:r>
</w:p>
<w:p>
<w:pPr><w:pStyle w:val="Normal"/></w:pPr>
<w:r><w:t xml:space="preserve">monastery by Cardinal York.  The road which ascended to the</w:t></w:r>
</w:p>
<w:p>
<w:pPr><w:pStyle w:val="Normal"/></w:pPr>
<w:r><w:t xml:space="preserve">temple from the rim of the lake is still well preserved.</w:t></w:r>
</w:p>
<w:p>
<w:pPr><w:pStyle w:val="Normal"/></w:pPr>
<w:r><w:t xml:space="preserve">1 See Th. Mommsen in Bulletino dell&apos; Istituto (1861),</w:t></w:r>
</w:p>
<w:p>
<w:pPr><w:pStyle w:val="Normal"/></w:pPr>
<w:r><w:t xml:space="preserve">206; Corpus Inscrip.  Lat. (Berlin, 1887), xiv. 2228,</w:t></w:r>
</w:p>
<w:p>
<w:pPr><w:pStyle w:val="Normal"/></w:pPr>
<w:r><w:t xml:space="preserve">ALBANY, DUKES OF. The territorial designation of Albany was</w:t></w:r>
</w:p>
<w:p>
<w:pPr><w:pStyle w:val="Normal"/></w:pPr>
<w:r><w:t xml:space="preserve">formerly given to those parts of Scotland to the north of the</w:t></w:r>
</w:p>
<w:p>
<w:pPr><w:pStyle w:val="Normal"/></w:pPr>
<w:r><w:t xml:space="preserve">firths of Clyde and Forth.  The title of duke of Albany was</w:t></w:r>
</w:p>
<w:p>
<w:pPr><w:pStyle w:val="Normal"/></w:pPr>
<w:r><w:t xml:space="preserve">first bestowed in 1398 by King Robert III. on his brother, Robert</w:t></w:r>
</w:p>
<w:p>
<w:pPr><w:pStyle w:val="Normal"/></w:pPr>
<w:r><w:t xml:space="preserve">Stewart, ead of Fife (see I. below); but in 1425 it became</w:t></w:r>
</w:p>
<w:p>
<w:pPr><w:pStyle w:val="Normal"/></w:pPr>
<w:r><w:t xml:space="preserve">extinct.  The dukedom was re-created, r. 1458, in favour of</w:t></w:r>
</w:p>
<w:p>
<w:pPr><w:pStyle w:val="Normal"/></w:pPr>
<w:r><w:t xml:space="preserve">Alexander Stewart, ``lord of Annandale and earl of March&apos;,</w:t></w:r>
</w:p>
<w:p>
<w:pPr><w:pStyle w:val="Normal"/></w:pPr>
<w:r><w:t xml:space="preserve">(see II. below), whose son and successor (see III. below)</w:t></w:r>
</w:p>
<w:p>
<w:pPr><w:pStyle w:val="Normal"/></w:pPr>
<w:r><w:t xml:space="preserve">left no legitimate heir.  The title of duke of Albany was next</w:t></w:r>
</w:p>
<w:p>
<w:pPr><w:pStyle w:val="Normal"/></w:pPr>
<w:r><w:t xml:space="preserve">bestowed upon Henry Stuart, commonly known as Lord Darnley,</w:t></w:r>
</w:p>
<w:p>
<w:pPr><w:pStyle w:val="Normal"/></w:pPr>
<w:r><w:t xml:space="preserve">by Mary, queen of Scots, in 1565.  From him the title passed</w:t></w:r>
</w:p>
<w:p>
<w:pPr><w:pStyle w:val="Normal"/></w:pPr>
<w:r><w:t xml:space="preserve">to his son, James VI. of Scotland and I. of England.  The</w:t></w:r>
</w:p>
<w:p>
<w:pPr><w:pStyle w:val="Normal"/></w:pPr>
<w:r><w:t xml:space="preserve">title was by him given, at his birth, to Charles, his second</w:t></w:r>
</w:p>
<w:p>
<w:pPr><w:pStyle w:val="Normal"/></w:pPr>
<w:r><w:t xml:space="preserve">son, afterwards King Charles I. By Charles II. it was again</w:t></w:r>
</w:p>
<w:p>
<w:pPr><w:pStyle w:val="Normal"/></w:pPr>
<w:r><w:t xml:space="preserve">bestowed, in 1660, on James, duke ot York, afterwards King</w:t></w:r>
</w:p>
<w:p>
<w:pPr><w:pStyle w:val="Normal"/></w:pPr>
<w:r><w:t xml:space="preserve">James II. On the 5th of July 1716 Ernest Augustus, bishop of</w:t></w:r>
</w:p>
<w:p>
<w:pPr><w:pStyle w:val="Normal"/></w:pPr>
<w:r><w:t xml:space="preserve">Osnaburgh [Osnabruck] (1715-1728), youngest brother of King</w:t></w:r>
</w:p>
<w:p>
<w:pPr><w:pStyle w:val="Normal"/></w:pPr>
<w:r><w:t xml:space="preserve">George I., was created duke of York and Albany, the title</w:t></w:r>
</w:p>
<w:p>
<w:pPr><w:pStyle w:val="Normal"/></w:pPr>
<w:r><w:t xml:space="preserve">becoming extinct on his death without heirs in 1728.  On the</w:t></w:r>
</w:p>
<w:p>
<w:pPr><w:pStyle w:val="Normal"/></w:pPr>
<w:r><w:t xml:space="preserve">1st of April 1760 Prince Edward Augustus, younger brother of</w:t></w:r>
</w:p>
<w:p>
<w:pPr><w:pStyle w:val="Normal"/></w:pPr>
<w:r><w:t xml:space="preserve">King George III., was created duke of York and Albany; he died</w:t></w:r>
</w:p>
<w:p>
<w:pPr><w:pStyle w:val="Normal"/></w:pPr>
<w:r><w:t xml:space="preserve">without heirs on the 17th of September 1767.  On the 29th of</w:t></w:r>
</w:p>
<w:p>
<w:pPr><w:pStyle w:val="Normal"/></w:pPr>
<w:r><w:t xml:space="preserve">November 1784 the title of duke of York and Albany was again</w:t></w:r>
</w:p>
<w:p>
<w:pPr><w:pStyle w:val="Normal"/></w:pPr>
<w:r><w:t xml:space="preserve">created in favour of Frederick, second son of George III., who</w:t></w:r>
</w:p>
<w:p>
<w:pPr><w:pStyle w:val="Normal"/></w:pPr>
<w:r><w:t xml:space="preserve">died without heirs on the 5th of January 1827.  The title of</w:t></w:r>
</w:p>
<w:p>
<w:pPr><w:pStyle w:val="Normal"/></w:pPr>
<w:r><w:t xml:space="preserve">duke of Albany was bestowed on the 24th of May 1881 on Prince</w:t></w:r>
</w:p>
<w:p>
<w:pPr><w:pStyle w:val="Normal"/></w:pPr>
<w:r><w:t xml:space="preserve">Leopold, youngest son of Queen Victoria (see IV. below).</w:t></w:r>
</w:p>
<w:p>
<w:pPr><w:pStyle w:val="Heading1"/></w:pPr>
<w:r><w:t>I. ROBERT STEWART, duke of Albany (c. 1345-1420), regent</w:t></w:r>
</w:p>
<w:p>
<w:pPr><w:pStyle w:val="Normal"/></w:pPr>
<w:r><w:t xml:space="preserve">of Scotland, was a son of King Robert II. by his mistress,</w:t></w:r>
</w:p>
<w:p>
<w:pPr><w:pStyle w:val="Normal"/></w:pPr>
<w:r><w:t xml:space="preserve">Elizabeth Mure, and was legitimatized when his parents were</w:t></w:r>
</w:p>
<w:p>
<w:pPr><w:pStyle w:val="Normal"/></w:pPr>
<w:r><w:t xml:space="preserve">married about 1349.  In 1361 he married Margaret, countess</w:t></w:r>
</w:p>
<w:p>
<w:pPr><w:pStyle w:val="Normal"/></w:pPr>
<w:r><w:t xml:space="preserve">of Menteith, and after his widowed sister-in-law, Isabel,</w:t></w:r>
</w:p>
<w:p>
<w:pPr><w:pStyle w:val="Normal"/></w:pPr>
<w:r><w:t xml:space="preserve">countess of Fife, had recognized him as her heir, he was</w:t></w:r>
</w:p>
<w:p>
<w:pPr><w:pStyle w:val="Normal"/></w:pPr>
<w:r><w:t xml:space="preserve">known as the earl of Fife and Menteith.  Taking an active</w:t></w:r>
</w:p>
<w:p>
<w:pPr><w:pStyle w:val="Heading1"/></w:pPr>
<w:r><w:t>part in the government of the kingdom, the earl was made</w:t></w:r>
</w:p>
<w:p>
<w:pPr><w:pStyle w:val="Normal"/></w:pPr>
<w:r><w:t xml:space="preserve">high chamberlain of Scotland in 1382, and gained military</w:t></w:r>
</w:p>
<w:p>
<w:pPr><w:pStyle w:val="Normal"/></w:pPr>
<w:r><w:t xml:space="preserve">reputation by leading several plundering expeditions into</w:t></w:r>
</w:p>
<w:p>
<w:pPr><w:pStyle w:val="Normal"/></w:pPr>
<w:r><w:t xml:space="preserve">England.  In 1389 after his elder brother John, earl of</w:t></w:r>
</w:p>
<w:p>
<w:pPr><w:pStyle w:val="Normal"/></w:pPr>
<w:r><w:t xml:space="preserve">Carrick, had been incapacitated by an accident, and when his</w:t></w:r>
</w:p>
<w:p>
<w:pPr><w:pStyle w:val="Normal"/></w:pPr>
<w:r><w:t xml:space="preserve">father the king was old and infirm, he was chosen governor</w:t></w:r>
</w:p>
<w:p>
<w:pPr><w:pStyle w:val="Normal"/></w:pPr>
<w:r><w:t xml:space="preserve">of Scotland by the estates; and he retained the control of</w:t></w:r>
</w:p>
<w:p>
<w:pPr><w:pStyle w:val="Normal"/></w:pPr>
<w:r><w:t xml:space="preserve">affairs after his brother John became king as Robert III. in</w:t></w:r>
</w:p>
<w:p>
<w:pPr><w:pStyle w:val="Normal"/></w:pPr>
<w:r><w:t xml:space="preserve">1390.  In April 1308 he was created duke of Albany; but</w:t></w:r>
</w:p>
<w:p>
<w:pPr><w:pStyle w:val="Normal"/></w:pPr>
<w:r><w:t xml:space="preserve">in the following year his nephew David, duke of Rothesay,</w:t></w:r>
</w:p>
<w:p>
<w:pPr><w:pStyle w:val="Normal"/></w:pPr>
<w:r><w:t xml:space="preserve">the heir to the crown, succeeded him as governor, although</w:t></w:r>
</w:p>
<w:p>
<w:pPr><w:pStyle w:val="Normal"/></w:pPr>
<w:r><w:t xml:space="preserve">the duke himself was a prominent member of the advising</w:t></w:r>
</w:p>
<w:p>
<w:pPr><w:pStyle w:val="Normal"/></w:pPr>
<w:r><w:t xml:space="preserve">council.  Uncle and nephew soon differed, and in March 1402</w:t></w:r>
</w:p>
<w:p>
<w:pPr><w:pStyle w:val="Normal"/></w:pPr>
<w:r><w:t xml:space="preserve">the latter died in prison at Falkland.  It is not certain</w:t></w:r>
</w:p>
<w:p>
<w:pPr><w:pStyle w:val="Normal"/></w:pPr>
<w:r><w:t xml:space="preserve">that Albany was responsible for the imprisonment and death</w:t></w:r>
</w:p>
<w:p>
<w:pPr><w:pStyle w:val="Normal"/></w:pPr>
<w:r><w:t xml:space="preserve">of Rothesay, whom the parliament declared to have died</w:t></w:r>
</w:p>
<w:p>
<w:pPr><w:pStyle w:val="Normal"/></w:pPr>
<w:r><w:t xml:space="preserve">from natural causes; but the scanty evidence points in the</w:t></w:r>
</w:p>
<w:p>
<w:pPr><w:pStyle w:val="Normal"/></w:pPr>
<w:r><w:t xml:space="preserve">direction of his guilt.  Restored to the office of governor,</w:t></w:r>
</w:p>
<w:p>
<w:pPr><w:pStyle w:val="Normal"/></w:pPr>
<w:r><w:t xml:space="preserve">the duke was chosen regent of the kingdom after the death</w:t></w:r>
</w:p>
<w:p>
<w:pPr><w:pStyle w:val="Normal"/></w:pPr>
<w:r><w:t xml:space="preserve">of Robert III. in 1406, as the new king, James I., was a</w:t></w:r>
</w:p>
<w:p>
<w:pPr><w:pStyle w:val="Normal"/></w:pPr>
<w:r><w:t xml:space="preserve">prisoner in London; and he took vigorous steps to prosecute</w:t></w:r>
</w:p>
<w:p>
<w:pPr><w:pStyle w:val="Normal"/></w:pPr>
<w:r><w:t xml:space="preserve">the war with England, which had been renewed a few years</w:t></w:r>
</w:p>
<w:p>
<w:pPr><w:pStyle w:val="Normal"/></w:pPr>
<w:r><w:t xml:space="preserve">before.  He was unable, or as some say unwilling, to effect</w:t></w:r>
</w:p>
<w:p>
<w:pPr><w:pStyle w:val="Normal"/></w:pPr>
<w:r><w:t xml:space="preserve">the release of his royal nephew, and was soon faced by a</w:t></w:r>
</w:p>
<w:p>
<w:pPr><w:pStyle w:val="Normal"/></w:pPr>
<w:r><w:t xml:space="preserve">formidable revolt led by Donald Macdonald, second lord of the</w:t></w:r>
</w:p>
<w:p>
<w:pPr><w:pStyle w:val="Normal"/></w:pPr>
<w:r><w:t xml:space="preserve">Isles, who claimed the earldom of Ross and was in alliance with</w:t></w:r>
</w:p>
<w:p>
<w:pPr><w:pStyle w:val="Normal"/></w:pPr>
<w:r><w:t xml:space="preserve">Henry IV. of England; but the defeat of Donald at Harlaw near</w:t></w:r>
</w:p>
<w:p>
<w:pPr><w:pStyle w:val="Normal"/></w:pPr>
<w:r><w:t xml:space="preserve">Aberdeen in July 1411 freed him from this danger.  Continuing</w:t></w:r>
</w:p>
<w:p>
<w:pPr><w:pStyle w:val="Normal"/></w:pPr>
<w:r><w:t xml:space="preserve">alternately to fight and to negotiate with England, the duke</w:t></w:r>
</w:p>
<w:p>
<w:pPr><w:pStyle w:val="Normal"/></w:pPr>
<w:r><w:t xml:space="preserve">died at Stirling Castle in September 1420, and was buried in</w:t></w:r>
</w:p>
<w:p>
<w:pPr><w:pStyle w:val="Normal"/></w:pPr>
<w:r><w:t xml:space="preserve">Dunfermline Abbey.  Albany, who was the ablest prince of his</w:t></w:r>
</w:p>
<w:p>
<w:pPr><w:pStyle w:val="Normal"/></w:pPr>
<w:r><w:t xml:space="preserve">house, left by his first wife one son, Murdac (or Murdoch)</w:t></w:r>
</w:p>
<w:p>
<w:pPr><w:pStyle w:val="Normal"/></w:pPr>
<w:r><w:t xml:space="preserve">Stewart, who succeeded him as duke of Albany and regent,</w:t></w:r>
</w:p>
<w:p>
<w:pPr><w:pStyle w:val="Normal"/></w:pPr>
<w:r><w:t xml:space="preserve">but at whose execution in 1425 the dukedom became extinct.</w:t></w:r>
</w:p>
<w:p>
<w:pPr><w:pStyle w:val="Normal"/></w:pPr>
<w:r><w:t xml:space="preserve">See Andrew of Wyntoun, The Orygynale Cronykil of Scotland,</w:t></w:r>
</w:p>
<w:p>
<w:pPr><w:pStyle w:val="Normal"/></w:pPr>
<w:r><w:t xml:space="preserve">edited by D. Laing (Edinburgh, 1872-1879); John of Fordun,</w:t></w:r>
</w:p>
<w:p>
<w:pPr><w:pStyle w:val="Normal"/></w:pPr>
<w:r><w:t xml:space="preserve">Scotichronicon, continued by Walter Bower, edited by T.</w:t></w:r>
</w:p>
<w:p>
<w:pPr><w:pStyle w:val="Normal"/></w:pPr>
<w:r><w:t xml:space="preserve">Hearne (Oxford, 1722); and P. F. Tytler, History of Scotland</w:t></w:r>
</w:p>
<w:p>
<w:pPr><w:pStyle w:val="Normal"/></w:pPr>
<w:r><w:t xml:space="preserve">(Edinburgh, 1850).  See also Sir W. Scott&apos;s Fair Maid of Perth.</w:t></w:r>
</w:p>
<w:p>
<w:pPr><w:pStyle w:val="Heading1"/></w:pPr>
<w:r><w:t>II. ALEXANDER STEWART, duke of Albany (c. 1454-1485),</w:t></w:r>
</w:p>
<w:p>
<w:pPr><w:pStyle w:val="Normal"/></w:pPr>
<w:r><w:t xml:space="preserve">was the second son of James II., king of Scotland, by his</w:t></w:r>
</w:p>
<w:p>
<w:pPr><w:pStyle w:val="Normal"/></w:pPr>
<w:r><w:t xml:space="preserve">wife, Mary, daughter of Arnold, duke of Gelderland.  Created</w:t></w:r>
</w:p>
<w:p>
<w:pPr><w:pStyle w:val="Normal"/></w:pPr>
<w:r><w:t xml:space="preserve">duke of Albany before 1458, he also received the lordship of</w:t></w:r>
</w:p>
<w:p>
<w:pPr><w:pStyle w:val="Normal"/></w:pPr>
<w:r><w:t xml:space="preserve">the Isle of Man, and was afterwards captured by an English</w:t></w:r>
</w:p>
<w:p>
<w:pPr><w:pStyle w:val="Normal"/></w:pPr>
<w:r><w:t xml:space="preserve">ship when journeying to Gelderland in 1468.  He was soon</w:t></w:r>
</w:p>
<w:p>
<w:pPr><w:pStyle w:val="Normal"/></w:pPr>
<w:r><w:t xml:space="preserve">released, and as he grew to manhood began to take part in</w:t></w:r>
</w:p>
<w:p>
<w:pPr><w:pStyle w:val="Normal"/></w:pPr>
<w:r><w:t xml:space="preserve">the government and defence of Scotland, being appointed in</w:t></w:r>
</w:p>
<w:p>
<w:pPr><w:pStyle w:val="Normal"/></w:pPr>
<w:r><w:t xml:space="preserve">quick succession high admiral, warden of the marches, governor</w:t></w:r>
</w:p>
<w:p>
<w:pPr><w:pStyle w:val="Normal"/></w:pPr>
<w:r><w:t xml:space="preserve">of Berwick and lieutenant of the kingdom.  Soon, however,</w:t></w:r>
</w:p>
<w:p>
<w:pPr><w:pStyle w:val="Normal"/></w:pPr>
<w:r><w:t xml:space="preserve">he quarrelled with his brother, King James III. Some of his</w:t></w:r>
</w:p>
<w:p>
<w:pPr><w:pStyle w:val="Normal"/></w:pPr>
<w:r><w:t xml:space="preserve">actions on the marches aroused suspicion, and in 1479 he</w:t></w:r>
</w:p>
<w:p>
<w:pPr><w:pStyle w:val="Normal"/></w:pPr>
<w:r><w:t xml:space="preserve">was seized and imprisoned in Edinburgh Castle; but he soon</w:t></w:r>
</w:p>
<w:p>
<w:pPr><w:pStyle w:val="Normal"/></w:pPr>
<w:r><w:t xml:space="preserve">made his escape, and reaching Paris in September 1479 was</w:t></w:r>
</w:p>
<w:p>
<w:pPr><w:pStyle w:val="Normal"/></w:pPr>
<w:r><w:t xml:space="preserve">welcomed by King Louis XI. Louis, however, would not assist</w:t></w:r>
</w:p>
<w:p>
<w:pPr><w:pStyle w:val="Normal"/></w:pPr>
<w:r><w:t xml:space="preserve">him to attack his brother the king, and crossing to England</w:t></w:r>
</w:p>
<w:p>
<w:pPr><w:pStyle w:val="Normal"/></w:pPr>
<w:r><w:t xml:space="preserve">he made a treaty with King Edward IV. at Fotheringhay in June</w:t></w:r>
</w:p>
<w:p>
<w:pPr><w:pStyle w:val="Normal"/></w:pPr>
<w:r><w:t xml:space="preserve">1482.  Like Edward Baliol, he promised to hold Scotland under</w:t></w:r>
</w:p>
<w:p>
<w:pPr><w:pStyle w:val="Normal"/></w:pPr>
<w:r><w:t xml:space="preserve">English suzerainty in return for Edward&apos;s assistance, and</w:t></w:r>
</w:p>
<w:p>
<w:pPr><w:pStyle w:val="Normal"/></w:pPr>
<w:r><w:t xml:space="preserve">with Richard, duke of Gloucester, afterwards King Richard</w:t></w:r>
</w:p>
<w:p>
<w:pPr><w:pStyle w:val="Normal"/></w:pPr>
<w:r><w:t xml:space="preserve">III., he marched at the head of the English forces to</w:t></w:r>
</w:p>
<w:p>
<w:pPr><w:pStyle w:val="Normal"/></w:pPr>
<w:r><w:t xml:space="preserve">Edinburgh.  Meanwhile his supporters in Scotland had seized</w:t></w:r>
</w:p>
<w:p>
<w:pPr><w:pStyle w:val="Normal"/></w:pPr>
<w:r><w:t xml:space="preserve">James, and professed their readiness to recognize Albany,</w:t></w:r>
</w:p>
<w:p>
<w:pPr><w:pStyle w:val="Normal"/></w:pPr>
<w:r><w:t xml:space="preserve">declaring at the same time their distrust of Gloucester.  A</w:t></w:r>
</w:p>
<w:p>
<w:pPr><w:pStyle w:val="Normal"/></w:pPr>
<w:r><w:t xml:space="preserve">compromise, however, was arranged, and the restoration of his</w:t></w:r>
</w:p>
<w:p>
<w:pPr><w:pStyle w:val="Normal"/></w:pPr>
<w:r><w:t xml:space="preserve">lands and offices was promised to Albany, who in turn agreed</w:t></w:r>
</w:p>
<w:p>
<w:pPr><w:pStyle w:val="Normal"/></w:pPr>
<w:r><w:t xml:space="preserve">to be faithful to James; but about the same time the duke with</w:t></w:r>
</w:p>
<w:p>
<w:pPr><w:pStyle w:val="Normal"/></w:pPr>
<w:r><w:t xml:space="preserve">remarkable duplicity had sworn he would keep the treaty with</w:t></w:r>
</w:p>
<w:p>
<w:pPr><w:pStyle w:val="Normal"/></w:pPr>
<w:r><w:t xml:space="preserve">Edward.  Again he was appointed lieutenant of the kingdom,</w:t></w:r>
</w:p>
<w:p>
<w:pPr><w:pStyle w:val="Normal"/></w:pPr>
<w:r><w:t xml:space="preserve">a truce was made with the English, and James, released from</w:t></w:r>
</w:p>
<w:p>
<w:pPr><w:pStyle w:val="Normal"/></w:pPr>
<w:r><w:t xml:space="preserve">custody, restored his brother and created him earl of Mar and</w:t></w:r>
</w:p>
<w:p>
<w:pPr><w:pStyle w:val="Normal"/></w:pPr>
<w:r><w:t xml:space="preserve">Garioch.  The fraternal peace was soon disturbed.  Failing</w:t></w:r>
</w:p>
<w:p>
<w:pPr><w:pStyle w:val="Normal"/></w:pPr>
<w:r><w:t xml:space="preserve">to obtain possession of the king&apos;s person, Albany renewed</w:t></w:r>
</w:p>
<w:p>
<w:pPr><w:pStyle w:val="Normal"/></w:pPr>
<w:r><w:t xml:space="preserve">negotiations with Edward, and in February 1483 made a new treaty</w:t></w:r>
</w:p>
<w:p>
<w:pPr><w:pStyle w:val="Normal"/></w:pPr>
<w:r><w:t xml:space="preserve">at Westminster on the lines of that of Fotheringhay.  A fresh</w:t></w:r>
</w:p>
<w:p>
<w:pPr><w:pStyle w:val="Normal"/></w:pPr>
<w:r><w:t xml:space="preserve">reconciliation followed between the brothers, but in July 1483,</w:t></w:r>
</w:p>
<w:p>
<w:pPr><w:pStyle w:val="Normal"/></w:pPr>
<w:r><w:t xml:space="preserve">during Albany&apos;s absence in England, he was sentenced to death for</w:t></w:r>
</w:p>
<w:p>
<w:pPr><w:pStyle w:val="Normal"/></w:pPr>
<w:r><w:t xml:space="preserve">treason.  After making a raid on Lochmaben he went to France,</w:t></w:r>
</w:p>
<w:p>
<w:pPr><w:pStyle w:val="Normal"/></w:pPr>
<w:r><w:t xml:space="preserve">where in 1485 he was accidentally killed.  Albany&apos;s first</w:t></w:r>
</w:p>
<w:p>
<w:pPr><w:pStyle w:val="Normal"/></w:pPr>
<w:r><w:t xml:space="preserve">wife was Catherine, daughter of William, third earl of Orkney</w:t></w:r>
</w:p>
<w:p>
<w:pPr><w:pStyle w:val="Normal"/></w:pPr>
<w:r><w:t xml:space="preserve">and first earl of Caithness, who bore him three sons and a</w:t></w:r>
</w:p>
<w:p>
<w:pPr><w:pStyle w:val="Normal"/></w:pPr>
<w:r><w:t xml:space="preserve">daughter.  This marriage was dissolved in 1478, and as its</w:t></w:r>
</w:p>
<w:p>
<w:pPr><w:pStyle w:val="Normal"/></w:pPr>
<w:r><w:t xml:space="preserve">issue was regarded as illegitimate the title of duke of Albany</w:t></w:r>
</w:p>
<w:p>
<w:pPr><w:pStyle w:val="Normal"/></w:pPr>
<w:r><w:t xml:space="preserve">descended to John (see below), his only son by his second</w:t></w:r>
</w:p>
<w:p>
<w:pPr><w:pStyle w:val="Normal"/></w:pPr>
<w:r><w:t xml:space="preserve">wife, Anne de la Tour d&apos;Auvergne. daughter of Bertrand II.,</w:t></w:r>
</w:p>
<w:p>
<w:pPr><w:pStyle w:val="Normal"/></w:pPr>
<w:r><w:t xml:space="preserve">count of Auvergne and of Bouillon, whom he married in 1480.</w:t></w:r>
</w:p>
<w:p>
<w:pPr><w:pStyle w:val="Heading1"/></w:pPr>
<w:r><w:t>III. JOHN STEWART, duke of Albany (c. 1481-1536), regent</w:t></w:r>
</w:p>
<w:p>
<w:pPr><w:pStyle w:val="Normal"/></w:pPr>
<w:r><w:t xml:space="preserve">Of Scotland, was born about 1481.  He was brought up in</w:t></w:r>
</w:p>
<w:p>
<w:pPr><w:pStyle w:val="Normal"/></w:pPr>
<w:r><w:t xml:space="preserve">France, where he owned large estates, and held the office of</w:t></w:r>
</w:p>
<w:p>
<w:pPr><w:pStyle w:val="Normal"/></w:pPr>
<w:r><w:t xml:space="preserve">admiral of France.  In 1515, at the request of the Scottish</w:t></w:r>
</w:p>
<w:p>
<w:pPr><w:pStyle w:val="Normal"/></w:pPr>
<w:r><w:t xml:space="preserve">parliament, and in spite of Henry VIII.&apos;s efforts to prevent</w:t></w:r>
</w:p>
<w:p>
<w:pPr><w:pStyle w:val="Normal"/></w:pPr>
<w:r><w:t xml:space="preserve">him, Albany came to Scotland, was inaugurated regent in July,</w:t></w:r>
</w:p>
<w:p>
<w:pPr><w:pStyle w:val="Normal"/></w:pPr>
<w:r><w:t xml:space="preserve">and proceeded to organize resistance to the influence of England</w:t></w:r>
</w:p>
<w:p>
<w:pPr><w:pStyle w:val="Normal"/></w:pPr>
<w:r><w:t xml:space="preserve">and of Margaret Tudor, the queen dowager, sister of Henry</w:t></w:r>
</w:p>
<w:p>
<w:pPr><w:pStyle w:val="Heading1"/></w:pPr>
<w:r><w:t>VIII.  In August he seized the latter and her children at</w:t></w:r>
</w:p>
<w:p>
<w:pPr><w:pStyle w:val="Normal"/></w:pPr>
<w:r><w:t xml:space="preserve">Stirling, and subsequently was occupied in suppressing the</w:t></w:r>
</w:p>
<w:p>
<w:pPr><w:pStyle w:val="Normal"/></w:pPr>
<w:r><w:t xml:space="preserve">rebellion of the Homes, Angus (the second husband of Margaret),</w:t></w:r>
</w:p>
<w:p>
<w:pPr><w:pStyle w:val="Normal"/></w:pPr>
<w:r><w:t xml:space="preserve">and James Hamilton, earl of Arran; Alexander, third Lord</w:t></w:r>
</w:p>
<w:p>
<w:pPr><w:pStyle w:val="Normal"/></w:pPr>
<w:r><w:t xml:space="preserve">Home, being beheaded in October 1516.  Albany was declared</w:t></w:r>
</w:p>
<w:p>
<w:pPr><w:pStyle w:val="Normal"/></w:pPr>
<w:r><w:t xml:space="preserve">on the 12th of November heir to the throne, and on the 6th</w:t></w:r>
</w:p>
<w:p>
<w:pPr><w:pStyle w:val="Normal"/></w:pPr>
<w:r><w:t xml:space="preserve">of June 1517 he returned to France.  In August he concluded</w:t></w:r>
</w:p>
<w:p>
<w:pPr><w:pStyle w:val="Normal"/></w:pPr>
<w:r><w:t xml:space="preserve">the treaty of Rouen, by which the alliance between France</w:t></w:r>
</w:p>
<w:p>
<w:pPr><w:pStyle w:val="Normal"/></w:pPr>
<w:r><w:t xml:space="preserve">and Scotland was renewed and a daughter of Francis I. was</w:t></w:r>
</w:p>
<w:p>
<w:pPr><w:pStyle w:val="Normal"/></w:pPr>
<w:r><w:t xml:space="preserve">to marry James V., and next year he obtained the relaxation</w:t></w:r>
</w:p>
<w:p>
<w:pPr><w:pStyle w:val="Normal"/></w:pPr>
<w:r><w:t xml:space="preserve">of certain dues on Scottish imports into France.  Meanwhile</w:t></w:r>
</w:p>
<w:p>
<w:pPr><w:pStyle w:val="Normal"/></w:pPr>
<w:r><w:t xml:space="preserve">Margaret had returned immediately on Albany&apos;s departure, and</w:t></w:r>
</w:p>
<w:p>
<w:pPr><w:pStyle w:val="Normal"/></w:pPr>
<w:r><w:t xml:space="preserve">disorders had broken out owing to the rivalry between Angus and</w:t></w:r>
</w:p>
<w:p>
<w:pPr><w:pStyle w:val="Normal"/></w:pPr>
<w:r><w:t xml:space="preserve">Arran.  Francis I. had secretly engaged himself to Henry</w:t></w:r>
</w:p>
<w:p>
<w:pPr><w:pStyle w:val="Heading1"/></w:pPr>
<w:r><w:t>VIII. not to allow Albany&apos;s departure from France, but he</w:t></w:r>
</w:p>
<w:p>
<w:pPr><w:pStyle w:val="Normal"/></w:pPr>
<w:r><w:t xml:space="preserve">returned at the close of 1521 and immediately became the</w:t></w:r>
</w:p>
<w:p>
<w:pPr><w:pStyle w:val="Normal"/></w:pPr>
<w:r><w:t xml:space="preserve">object of Henry VIII.&apos;s and Wolsey&apos;s attacks.  He reconciled</w:t></w:r>
</w:p>
<w:p>
<w:pPr><w:pStyle w:val="Normal"/></w:pPr>
<w:r><w:t xml:space="preserve">himself temporarily with Margaret, supported her divorce from</w:t></w:r>
</w:p>
<w:p>
<w:pPr><w:pStyle w:val="Normal"/></w:pPr>
<w:r><w:t xml:space="preserve">Angus, and was now accused by the English government, in all</w:t></w:r>
</w:p>
<w:p>
<w:pPr><w:pStyle w:val="Normal"/></w:pPr>
<w:r><w:t xml:space="preserve">probability unjustly, of having seduced her and of harbouring</w:t></w:r>
</w:p>
<w:p>
<w:pPr><w:pStyle w:val="Normal"/></w:pPr>
<w:r><w:t xml:space="preserve">schemes of marrying her himself, together with designs against</w:t></w:r>
</w:p>
<w:p>
<w:pPr><w:pStyle w:val="Normal"/></w:pPr>
<w:r><w:t xml:space="preserve">the life of the young king.  These accusations were repudiated</w:t></w:r>
</w:p>
<w:p>
<w:pPr><w:pStyle w:val="Normal"/></w:pPr>
<w:r><w:t xml:space="preserve">by the Scots, and Henry&apos;s demand for the regent&apos;s dismissal</w:t></w:r>
</w:p>
<w:p>
<w:pPr><w:pStyle w:val="Normal"/></w:pPr>
<w:r><w:t xml:space="preserve">refused.  War broke out in 1522, and in September Albany</w:t></w:r>
</w:p>
<w:p>
<w:pPr><w:pStyle w:val="Normal"/></w:pPr>
<w:r><w:t xml:space="preserve">advanced to within four miles of Carlisle with a large</w:t></w:r>
</w:p>
<w:p>
<w:pPr><w:pStyle w:val="Normal"/></w:pPr>
<w:r><w:t xml:space="preserve">army.  The Scots, however, showed unwillingness to fight</w:t></w:r>
</w:p>
<w:p>
<w:pPr><w:pStyle w:val="Normal"/></w:pPr>
<w:r><w:t xml:space="preserve">outside their own frontiers, and Albany agreed to a truce</w:t></w:r>
</w:p>
<w:p>
<w:pPr><w:pStyle w:val="Normal"/></w:pPr>
<w:r><w:t xml:space="preserve">and disbanded his troops.  On the 25th of October he departed</w:t></w:r>
</w:p>
<w:p>
<w:pPr><w:pStyle w:val="Normal"/></w:pPr>
<w:r><w:t xml:space="preserve">hastily to France, leaving the borders exposed to the</w:t></w:r>
</w:p>
<w:p>
<w:pPr><w:pStyle w:val="Normal"/></w:pPr>
<w:r><w:t xml:space="preserve">enemy.  On the 25th of September 1523 he once more landed</w:t></w:r>
</w:p>
<w:p>
<w:pPr><w:pStyle w:val="Normal"/></w:pPr>
<w:r><w:t xml:space="preserve">in Scotland, bringing with him supplies from France and a</w:t></w:r>
</w:p>
<w:p>
<w:pPr><w:pStyle w:val="Normal"/></w:pPr>
<w:r><w:t xml:space="preserve">considerable body of troops, and on the 3rd of November, after</w:t></w:r>
</w:p>
<w:p>
<w:pPr><w:pStyle w:val="Normal"/></w:pPr>
<w:r><w:t xml:space="preserve">an unsuccessful attack on Wark, retreated hastily, and quitted</w:t></w:r>
</w:p>
<w:p>
<w:pPr><w:pStyle w:val="Normal"/></w:pPr>
<w:r><w:t xml:space="preserve">Scotland finally on the 20th of May 1524.  On the 30th of July</w:t></w:r>
</w:p>
<w:p>
<w:pPr><w:pStyle w:val="Normal"/></w:pPr>
<w:r><w:t xml:space="preserve">his regency was terminated by the declaration of James V. as</w:t></w:r>
</w:p>
<w:p>
<w:pPr><w:pStyle w:val="Normal"/></w:pPr>
<w:r><w:t xml:space="preserve">king.  He accompanied Francis I. in his disastrous Italian</w:t></w:r>
</w:p>
<w:p>
<w:pPr><w:pStyle w:val="Normal"/></w:pPr>
<w:r><w:t xml:space="preserve">campaign of 1525, being detached to make a diversion in</w:t></w:r>
</w:p>
<w:p>
<w:pPr><w:pStyle w:val="Normal"/></w:pPr>
<w:r><w:t xml:space="preserve">Naples against the Spanish.  Between 1530 and 1535 he acted as</w:t></w:r>
</w:p>
<w:p>
<w:pPr><w:pStyle w:val="Normal"/></w:pPr>
<w:r><w:t xml:space="preserve">French ambassador in Rome, conducted Catherine de&apos; Medici, his</w:t></w:r>
</w:p>
<w:p>
<w:pPr><w:pStyle w:val="Normal"/></w:pPr>
<w:r><w:t xml:space="preserve">wife&apos;s niece, to Paris on her marriage to Henry (afterwards</w:t></w:r>
</w:p>
<w:p>
<w:pPr><w:pStyle w:val="Normal"/></w:pPr>
<w:r><w:t xml:space="preserve">Henry II.) in 1534, and negotiated the marriage of James V.</w:t></w:r>
</w:p>
<w:p>
<w:pPr><w:pStyle w:val="Normal"/></w:pPr>
<w:r><w:t xml:space="preserve">The regent Albany was a singularly unfortunate commander in</w:t></w:r>
</w:p>
<w:p>
<w:pPr><w:pStyle w:val="Normal"/></w:pPr>
<w:r><w:t xml:space="preserve">the field, but a successful ruler and administrator, and the</w:t></w:r>
</w:p>
<w:p>
<w:pPr><w:pStyle w:val="Normal"/></w:pPr>
<w:r><w:t xml:space="preserve">Scottish court of session owed to him its institution.  But he</w:t></w:r>
</w:p>
<w:p>
<w:pPr><w:pStyle w:val="Normal"/></w:pPr>
<w:r><w:t xml:space="preserve">regarded himself more the subject of the king of France than</w:t></w:r>
</w:p>
<w:p>
<w:pPr><w:pStyle w:val="Normal"/></w:pPr>
<w:r><w:t xml:space="preserve">of the king of Scotland, subordinated the interests of the</w:t></w:r>
</w:p>
<w:p>
<w:pPr><w:pStyle w:val="Normal"/></w:pPr>
<w:r><w:t xml:space="preserve">latter state to the former, and disliked his official duties</w:t></w:r>
</w:p>
<w:p>
<w:pPr><w:pStyle w:val="Normal"/></w:pPr>
<w:r><w:t xml:space="preserve">in Scotland, where the benefits of his administration were</w:t></w:r>
</w:p>
<w:p>
<w:pPr><w:pStyle w:val="Normal"/></w:pPr>
<w:r><w:t xml:space="preserve">largely diminished by his want of perseverance and frequent</w:t></w:r>
</w:p>
<w:p>
<w:pPr><w:pStyle w:val="Normal"/></w:pPr>
<w:r><w:t xml:space="preserve">absence.  He appears to have been a man of honourable and</w:t></w:r>
</w:p>
<w:p>
<w:pPr><w:pStyle w:val="Normal"/></w:pPr>
<w:r><w:t xml:space="preserve">straightforward conduct, whose character must be cleared from</w:t></w:r>
</w:p>
<w:p>
<w:pPr><w:pStyle w:val="Normal"/></w:pPr>
<w:r><w:t xml:space="preserve">the aspersions of Wolsey and the English authorities.  He</w:t></w:r>
</w:p>
<w:p>
<w:pPr><w:pStyle w:val="Normal"/></w:pPr>
<w:r><w:t xml:space="preserve">married his cousin Anne de la Tour d&apos;Auvergne, but left no</w:t></w:r>
</w:p>
<w:p>
<w:pPr><w:pStyle w:val="Normal"/></w:pPr>
<w:r><w:t xml:space="preserve">legal issue, and all his honours became extinct at his death.</w:t></w:r>
</w:p>
<w:p>
<w:pPr><w:pStyle w:val="Heading1"/></w:pPr>
<w:r><w:t>IV. LEOPOLD GEORGE DUNCAN ALBERT, duke of Albany, eighth</w:t></w:r>
</w:p>
<w:p>
<w:pPr><w:pStyle w:val="Normal"/></w:pPr>
<w:r><w:t xml:space="preserve">child and youngest son of Queen Victoria, was born on the 7th</w:t></w:r>
</w:p>
<w:p>
<w:pPr><w:pStyle w:val="Normal"/></w:pPr>
<w:r><w:t xml:space="preserve">of April 1853.  The delicacy of his health seemed to mark him</w:t></w:r>
</w:p>
<w:p>
<w:pPr><w:pStyle w:val="Normal"/></w:pPr>
<w:r><w:t xml:space="preserve">out for a life of retirement, and as he grew older he evinced</w:t></w:r>
</w:p>
<w:p>
<w:pPr><w:pStyle w:val="Normal"/></w:pPr>
<w:r><w:t xml:space="preserve">much of the love of knowledge, the capacity for study and</w:t></w:r>
</w:p>
<w:p>
<w:pPr><w:pStyle w:val="Normal"/></w:pPr>
<w:r><w:t xml:space="preserve">the interest in philanthropic and ecclesiastical movements</w:t></w:r>
</w:p>
<w:p>
<w:pPr><w:pStyle w:val="Normal"/></w:pPr>
<w:r><w:t xml:space="preserve">which had characterized his father, the prince consort.  He</w:t></w:r>
</w:p>
<w:p>
<w:pPr><w:pStyle w:val="Normal"/></w:pPr>
<w:r><w:t xml:space="preserve">matriculated at Christ Church, Oxford, in November 1872, living</w:t></w:r>
</w:p>
<w:p>
<w:pPr><w:pStyle w:val="Normal"/></w:pPr>
<w:r><w:t xml:space="preserve">with his tutor at Wykeham House, St Giles&apos;s, and diligently</w:t></w:r>
</w:p>
<w:p>
<w:pPr><w:pStyle w:val="Normal"/></w:pPr>
<w:r><w:t xml:space="preserve">pursued his favourite studies of science, art and the modern</w:t></w:r>
</w:p>
<w:p>
<w:pPr><w:pStyle w:val="Normal"/></w:pPr>
<w:r><w:t xml:space="preserve">languages.  In 1876 he left the university with the honorary</w:t></w:r>
</w:p>
<w:p>
<w:pPr><w:pStyle w:val="Normal"/></w:pPr>
<w:r><w:t xml:space="preserve">degree of D.C.L., and resided at Boyton House, Wiltshire,</w:t></w:r>
</w:p>
<w:p>
<w:pPr><w:pStyle w:val="Normal"/></w:pPr>
<w:r><w:t xml:space="preserve">and afterwards at Claremont.  On coming of age in 1874, he</w:t></w:r>
</w:p>
<w:p>
<w:pPr><w:pStyle w:val="Normal"/></w:pPr>
<w:r><w:t xml:space="preserve">had been made a privy councillor and granted an annuity of</w:t></w:r>
</w:p>
<w:p>
<w:pPr><w:pStyle w:val="Heading1"/></w:pPr>
<w:r><w:t>L. 15,000.  He travelled on the continent, and in 1880 visited</w:t></w:r>
</w:p>
<w:p>
<w:pPr><w:pStyle w:val="Normal"/></w:pPr>
<w:r><w:t xml:space="preserve">the United States and Canada.  He was a trustee of the British</w:t></w:r>
</w:p>
<w:p>
<w:pPr><w:pStyle w:val="Normal"/></w:pPr>
<w:r><w:t xml:space="preserve">Museum, a bencher of Lincoln&apos;s Inn, and continued to take</w:t></w:r>
</w:p>
<w:p>
<w:pPr><w:pStyle w:val="Normal"/></w:pPr>
<w:r><w:t xml:space="preserve">an active part in the promotion of education and knowledge</w:t></w:r>
</w:p>
<w:p>
<w:pPr><w:pStyle w:val="Normal"/></w:pPr>
<w:r><w:t xml:space="preserve">generally.  Like his father and other members of his family</w:t></w:r>
</w:p>
<w:p>
<w:pPr><w:pStyle w:val="Normal"/></w:pPr>
<w:r><w:t xml:space="preserve">he was an excellent public speaker.  On the 24th of May 1881</w:t></w:r>
</w:p>
<w:p>
<w:pPr><w:pStyle w:val="Normal"/></w:pPr>
<w:r><w:t xml:space="preserve">he was created duke of Albany, earl of Clarence and Baron</w:t></w:r>
</w:p>
<w:p>
<w:pPr><w:pStyle w:val="Normal"/></w:pPr>
<w:r><w:t xml:space="preserve">Arklow.  On the 27th of April 1882 he married Helene</w:t></w:r>
</w:p>
<w:p>
<w:pPr><w:pStyle w:val="Normal"/></w:pPr>
<w:r><w:t xml:space="preserve">Frederica Augusta, princess of Waldeck-Pyrmont, and his income</w:t></w:r>
</w:p>
<w:p>
<w:pPr><w:pStyle w:val="Normal"/></w:pPr>
<w:r><w:t xml:space="preserve">was raised by parliament to L. 25,000.  Having gone to the</w:t></w:r>
</w:p>
<w:p>
<w:pPr><w:pStyle w:val="Normal"/></w:pPr>
<w:r><w:t xml:space="preserve">south of France for his health in the spring of 1884, he was</w:t></w:r>
</w:p>
<w:p>
<w:pPr><w:pStyle w:val="Normal"/></w:pPr>
<w:r><w:t xml:space="preserve">attacked by a fit, the cause or the consequence of a fall</w:t></w:r>
</w:p>
<w:p>
<w:pPr><w:pStyle w:val="Normal"/></w:pPr>
<w:r><w:t xml:space="preserve">in a club-house at Cannes, on the 27th of March, and died</w:t></w:r>
</w:p>
<w:p>
<w:pPr><w:pStyle w:val="Normal"/></w:pPr>
<w:r><w:t xml:space="preserve">very unexpectedly on the following morning.  His death was</w:t></w:r>
</w:p>
<w:p>
<w:pPr><w:pStyle w:val="Normal"/></w:pPr>
<w:r><w:t xml:space="preserve">universally regretted, from the gentleness and graciousness</w:t></w:r>
</w:p>
<w:p>
<w:pPr><w:pStyle w:val="Normal"/></w:pPr>
<w:r><w:t xml:space="preserve">of his character, and the desire and ability he had shown</w:t></w:r>
</w:p>
<w:p>
<w:pPr><w:pStyle w:val="Normal"/></w:pPr>
<w:r><w:t xml:space="preserve">to promote intellectual interests of every kind.  He left a</w:t></w:r>
</w:p>
<w:p>
<w:pPr><w:pStyle w:val="Normal"/></w:pPr>
<w:r><w:t xml:space="preserve">daughter, born in February 1883, and a posthumous son, Arthur</w:t></w:r>
</w:p>
<w:p>
<w:pPr><w:pStyle w:val="Normal"/></w:pPr>
<w:r><w:t xml:space="preserve">Charles Edward, born on the 19th of July 1884, who succeeded</w:t></w:r>
</w:p>
<w:p>
<w:pPr><w:pStyle w:val="Normal"/></w:pPr>
<w:r><w:t xml:space="preserve">to the dukedom of Albany, and who on the 30th of July</w:t></w:r>
</w:p>
<w:p>
<w:pPr><w:pStyle w:val="Normal"/></w:pPr>
<w:r><w:t xml:space="preserve">1900 became duke of Saxe-Coburg on the death of his uncle.</w:t></w:r>
</w:p>
<w:p>
<w:pPr><w:pStyle w:val="Normal"/></w:pPr>
<w:r><w:t xml:space="preserve">ALBANY, LOUISE MAXIMILIENNE CAROLINE, COUNTESS OF</w:t></w:r>
</w:p>
<w:p>
<w:pPr><w:pStyle w:val="Normal"/></w:pPr>
<w:r><w:t xml:space="preserve">(1752-1824), eldest daughter of Prince Gustavus Adolphus of</w:t></w:r>
</w:p>
<w:p>
<w:pPr><w:pStyle w:val="Normal"/></w:pPr>
<w:r><w:t xml:space="preserve">Stolberg-Gedern, was born at Mons on the 20th of September</w:t></w:r>
</w:p>
<w:p>
<w:pPr><w:pStyle w:val="Normal"/></w:pPr>
<w:r><w:t xml:space="preserve">1752.  In her youth she was a canoness of Ste. Wandru at Mons,</w:t></w:r>
</w:p>
<w:p>
<w:pPr><w:pStyle w:val="Normal"/></w:pPr>
<w:r><w:t xml:space="preserve">but in her twentieth year she was affianced, at the instigation</w:t></w:r>
</w:p>
<w:p>
<w:pPr><w:pStyle w:val="Normal"/></w:pPr>
<w:r><w:t xml:space="preserve">of the duke of Berwick and with the secret connivance of the</w:t></w:r>
</w:p>
<w:p>
<w:pPr><w:pStyle w:val="Normal"/></w:pPr>
<w:r><w:t xml:space="preserve">French Court, to Prince Charles Edward Stuart, ``the Young</w:t></w:r>
</w:p>
<w:p>
<w:pPr><w:pStyle w:val="Normal"/></w:pPr>
<w:r><w:t xml:space="preserve">Pretender,&apos;&apos; self-styled count of Albany.  She was wedded</w:t></w:r>
</w:p>
<w:p>
<w:pPr><w:pStyle w:val="Normal"/></w:pPr>
<w:r><w:t xml:space="preserve">to the prince at Macerata, near Ancona, on Good Friday 1774,</w:t></w:r>
</w:p>
<w:p>
<w:pPr><w:pStyle w:val="Normal"/></w:pPr>
<w:r><w:t xml:space="preserve">and the married pair for over two years resided in the old</w:t></w:r>
</w:p>
<w:p>
<w:pPr><w:pStyle w:val="Normal"/></w:pPr>
<w:r><w:t xml:space="preserve">Stuart palace at Rome.  Pretty, intelligent, charming and</w:t></w:r>
</w:p>
<w:p>
<w:pPr><w:pStyle w:val="Normal"/></w:pPr>
<w:r><w:t xml:space="preserve">witty, Louise fascinated Roman society, wherein she gained</w:t></w:r>
</w:p>
<w:p>
<w:pPr><w:pStyle w:val="Normal"/></w:pPr>
<w:r><w:t xml:space="preserve">the nickname of ``Queen of Hearts.&apos;&apos; The union, however, which</w:t></w:r>
</w:p>
<w:p>
<w:pPr><w:pStyle w:val="Normal"/></w:pPr>
<w:r><w:t xml:space="preserve">was obviously intended to give an heir to the Stuart prince,</w:t></w:r>
</w:p>
<w:p>
<w:pPr><w:pStyle w:val="Normal"/></w:pPr>
<w:r><w:t xml:space="preserve">proved childless, and Louise&apos;s married life became far from</w:t></w:r>
</w:p>
<w:p>
<w:pPr><w:pStyle w:val="Normal"/></w:pPr>
<w:r><w:t xml:space="preserve">happy.  In 1774 the pair moved to Florence, where in December</w:t></w:r>
</w:p>
<w:p>
<w:pPr><w:pStyle w:val="Normal"/></w:pPr>
<w:r><w:t xml:space="preserve">1780 Louise, terrified at her husband&apos;s violence and fearing</w:t></w:r>
</w:p>
<w:p>
<w:pPr><w:pStyle w:val="Normal"/></w:pPr>
<w:r><w:t xml:space="preserve">for the safety of her life, fled to a neighbouring convent</w:t></w:r>
</w:p>
<w:p>
<w:pPr><w:pStyle w:val="Normal"/></w:pPr>
<w:r><w:t xml:space="preserve">and threw herself on the protection of her brother-in-law,</w:t></w:r>
</w:p>
<w:p>
<w:pPr><w:pStyle w:val="Normal"/></w:pPr>
<w:r><w:t xml:space="preserve">Henry Stuart, Cardinal York, who invited her to Rome.  Louise</w:t></w:r>
</w:p>
<w:p>
<w:pPr><w:pStyle w:val="Normal"/></w:pPr>
<w:r><w:t xml:space="preserve">had already in Florence formed the acquaintance of the great</w:t></w:r>
</w:p>
<w:p>
<w:pPr><w:pStyle w:val="Normal"/></w:pPr>
<w:r><w:t xml:space="preserve">Italian tragic poet, Vittorio Alfieri, who had been captivated</w:t></w:r>
</w:p>
<w:p>
<w:pPr><w:pStyle w:val="Normal"/></w:pPr>
<w:r><w:t xml:space="preserve">by her engaging manners, her youthful beauty and her literary</w:t></w:r>
</w:p>
<w:p>
<w:pPr><w:pStyle w:val="Normal"/></w:pPr>
<w:r><w:t xml:space="preserve">powers.  The poet now followed her to Rome, but the friendship</w:t></w:r>
</w:p>
<w:p>
<w:pPr><w:pStyle w:val="Normal"/></w:pPr>
<w:r><w:t xml:space="preserve">between Alfieri and his sister-in-law does not seem to have</w:t></w:r>
</w:p>
<w:p>
<w:pPr><w:pStyle w:val="Normal"/></w:pPr>
<w:r><w:t xml:space="preserve">aroused any suspicion in the mind of Cardinal York until</w:t></w:r>
</w:p>
<w:p>
<w:pPr><w:pStyle w:val="Normal"/></w:pPr>
<w:r><w:t xml:space="preserve">1783, when, after a visit to his brother in Florence, he</w:t></w:r>
</w:p>
<w:p>
<w:pPr><w:pStyle w:val="Normal"/></w:pPr>
<w:r><w:t xml:space="preserve">suddenly requested Pope Pius VI. to banish Alfieri from papal</w:t></w:r>
</w:p>
<w:p>
<w:pPr><w:pStyle w:val="Normal"/></w:pPr>
<w:r><w:t xml:space="preserve">territory.  In 1784, however, a legal separation between the</w:t></w:r>
</w:p>
<w:p>
<w:pPr><w:pStyle w:val="Normal"/></w:pPr>
<w:r><w:t xml:space="preserve">count and countess of Albany was arranged, and by Charles&apos;s</w:t></w:r>
</w:p>
<w:p>
<w:pPr><w:pStyle w:val="Normal"/></w:pPr>
<w:r><w:t xml:space="preserve">death in 1788 Louise found herself freed from matrimonial</w:t></w:r>
</w:p>
<w:p>
<w:pPr><w:pStyle w:val="Normal"/></w:pPr>
<w:r><w:t xml:space="preserve">bonds.  In company with Alfieri (to whom rumour said she</w:t></w:r>
</w:p>
<w:p>
<w:pPr><w:pStyle w:val="Normal"/></w:pPr>
<w:r><w:t xml:space="preserve">had been secretly married) she now visited Paris and London,</w:t></w:r>
</w:p>
<w:p>
<w:pPr><w:pStyle w:val="Normal"/></w:pPr>
<w:r><w:t xml:space="preserve">and was cordially received at the English court, George</w:t></w:r>
</w:p>
<w:p>
<w:pPr><w:pStyle w:val="Heading1"/></w:pPr>
<w:r><w:t>III. granting her an annual pension of L. 1600 from the privy</w:t></w:r>
</w:p>
<w:p>
<w:pPr><w:pStyle w:val="Normal"/></w:pPr>
<w:r><w:t xml:space="preserve">purse.  Returning to Italy, Alfieri and the countess settled</w:t></w:r>
</w:p>
<w:p>
<w:pPr><w:pStyle w:val="Normal"/></w:pPr>
<w:r><w:t xml:space="preserve">at Florence, where the poet died on the 9th of October</w:t></w:r>
</w:p>
<w:p>
<w:pPr><w:pStyle w:val="Normal"/></w:pPr>
<w:r><w:t xml:space="preserve">1803, and was buried in the church of Santa Croce beneath</w:t></w:r>
</w:p>
<w:p>
<w:pPr><w:pStyle w:val="Normal"/></w:pPr>
<w:r><w:t xml:space="preserve">Canova&apos;s vast monument erected at Louise&apos;s expense.  The</w:t></w:r>
</w:p>
<w:p>
<w:pPr><w:pStyle w:val="Normal"/></w:pPr>
<w:r><w:t xml:space="preserve">countess continued to reside in the house on the Lung&apos;</w:t></w:r>
</w:p>
<w:p>
<w:pPr><w:pStyle w:val="Normal"/></w:pPr>
<w:r><w:t xml:space="preserve">Arno at Florence, patronising men of science and letters</w:t></w:r>
</w:p>
<w:p>
<w:pPr><w:pStyle w:val="Normal"/></w:pPr>
<w:r><w:t xml:space="preserve">and holding nightly receptions, at which all visitors were</w:t></w:r>
</w:p>
<w:p>
<w:pPr><w:pStyle w:val="Normal"/></w:pPr>
<w:r><w:t xml:space="preserve">expected to treat their hostess with the etiquette due to</w:t></w:r>
</w:p>
<w:p>
<w:pPr><w:pStyle w:val="Normal"/></w:pPr>
<w:r><w:t xml:space="preserve">reigning royalty.  She died on the 29th of January 1824 and</w:t></w:r>
</w:p>
<w:p>
<w:pPr><w:pStyle w:val="Normal"/></w:pPr>
<w:r><w:t xml:space="preserve">was buried in Santa Croce, where in the south transept a</w:t></w:r>
</w:p>
<w:p>
<w:pPr><w:pStyle w:val="Normal"/></w:pPr>
<w:r><w:t xml:space="preserve">marble monument by Giovannozzi and Santarelli commemorates</w:t></w:r>
</w:p>
<w:p>
<w:pPr><w:pStyle w:val="Normal"/></w:pPr>
<w:r><w:t xml:space="preserve">her.  By her will the countess bequeathed all her property,</w:t></w:r>
</w:p>
<w:p>
<w:pPr><w:pStyle w:val="Normal"/></w:pPr>
<w:r><w:t xml:space="preserve">including many historic objects of art and documents, to the</w:t></w:r>
</w:p>
<w:p>
<w:pPr><w:pStyle w:val="Normal"/></w:pPr>
<w:r><w:t xml:space="preserve">companion of her old age, the French painter, Francois Xavier</w:t></w:r>
</w:p>
<w:p>
<w:pPr><w:pStyle w:val="Normal"/></w:pPr>
<w:r><w:t xml:space="preserve">Fabre, who ultimately gave the greater part of his legacy to</w:t></w:r>
</w:p>
<w:p>
<w:pPr><w:pStyle w:val="Normal"/></w:pPr>
<w:r><w:t xml:space="preserve">the museum of his native town of Montpellier.  Two excellent</w:t></w:r>
</w:p>
<w:p>
<w:pPr><w:pStyle w:val="Normal"/></w:pPr>
<w:r><w:t xml:space="preserve">portraits of the countess of Albany and of Alfieri, painted</w:t></w:r>
</w:p>
<w:p>
<w:pPr><w:pStyle w:val="Normal"/></w:pPr>
<w:r><w:t xml:space="preserve">by this artist, now hang in the Uffizi Gallery at Florence.</w:t></w:r>
</w:p>
<w:p>
<w:pPr><w:pStyle w:val="Normal"/></w:pPr>
<w:r><w:t xml:space="preserve">See Vernon Lee, The Countess of Albany (1884);</w:t></w:r>
</w:p>
<w:p>
<w:pPr><w:pStyle w:val="Normal"/></w:pPr>
<w:r><w:t xml:space="preserve">Marchesa Vitelleschi, A Court in Exile. (H. M. V.)</w:t></w:r>
</w:p>
<w:p>
<w:pPr><w:pStyle w:val="Normal"/></w:pPr>
<w:r><w:t xml:space="preserve">ALBANY, a river of Canada, forming part of the boundary</w:t></w:r>
</w:p>
<w:p>
<w:pPr><w:pStyle w:val="Normal"/></w:pPr>
<w:r><w:t xml:space="preserve">between the province of Ontario and the district of Keewatin.</w:t></w:r>
</w:p>
<w:p>
<w:pPr><w:pStyle w:val="Normal"/></w:pPr>
<w:r><w:t xml:space="preserve">It rises in Lake St Joseph in 91 deg.  25, W. and 50 deg.  55&apos; N., and</w:t></w:r>
</w:p>
<w:p>
<w:pPr><w:pStyle w:val="Normal"/></w:pPr>
<w:r><w:t xml:space="preserve">flows E.N.E. into James Bay, its total length being over 400</w:t></w:r>
</w:p>
<w:p>
<w:pPr><w:pStyle w:val="Normal"/></w:pPr>
<w:r><w:t xml:space="preserve">m.  It is navigable for nearly half its length, to Martin&apos;s</w:t></w:r>
</w:p>
<w:p>
<w:pPr><w:pStyle w:val="Normal"/></w:pPr>
<w:r><w:t xml:space="preserve">Falls.  There are four Hudson&apos;s Bay Company&apos;s posts</w:t></w:r>
</w:p>
<w:p>
<w:pPr><w:pStyle w:val="Normal"/></w:pPr>
<w:r><w:t xml:space="preserve">on its banks, including Fort Albany at its mouth.  The</w:t></w:r>
</w:p>
<w:p>
<w:pPr><w:pStyle w:val="Normal"/></w:pPr>
<w:r><w:t xml:space="preserve">Ogoki and Kenogami rivers are the principal tributaries.</w:t></w:r>
</w:p>
<w:p>
<w:pPr><w:pStyle w:val="Normal"/></w:pPr>
<w:r><w:t xml:space="preserve">ALBANY, a city and the county-seat of Dougherty county,</w:t></w:r>
</w:p>
<w:p>
<w:pPr><w:pStyle w:val="Normal"/></w:pPr>
<w:r><w:t xml:space="preserve">Georgia, U.S.A., at the mouth of the Kinchafoona Creek, and</w:t></w:r>
</w:p>
<w:p>
<w:pPr><w:pStyle w:val="Normal"/></w:pPr>
<w:r><w:t xml:space="preserve">at the head of navigation on the Flint river, about 100 m.</w:t></w:r>
</w:p>
<w:p>
<w:pPr><w:pStyle w:val="Normal"/></w:pPr>
<w:r><w:t xml:space="preserve">S.S.W. of Macon, about 200 m.  S.W. of Savannah and about 203</w:t></w:r>
</w:p>
<w:p>
<w:pPr><w:pStyle w:val="Normal"/></w:pPr>
<w:r><w:t xml:space="preserve">m.  N.E. of Pensacola.  Pop. (1890) 4008; (1900) 4606 (2903</w:t></w:r>
</w:p>
<w:p>
<w:pPr><w:pStyle w:val="Normal"/></w:pPr>
<w:r><w:t xml:space="preserve">of negro descent); (1910) 8190.  It is served by the Central</w:t></w:r>
</w:p>
<w:p>
<w:pPr><w:pStyle w:val="Normal"/></w:pPr>
<w:r><w:t xml:space="preserve">of Georgia, the Georgia Northern, the Seaboard Air Line, the</w:t></w:r>
</w:p>
<w:p>
<w:pPr><w:pStyle w:val="Normal"/></w:pPr>
<w:r><w:t xml:space="preserve">Albany &amp; Northern and the Atlantic Coast Line railways, and</w:t></w:r>
</w:p>
<w:p>
<w:pPr><w:pStyle w:val="Normal"/></w:pPr>
<w:r><w:t xml:space="preserve">by steamboats connecting it with Apalachicola at the mouth</w:t></w:r>
</w:p>
<w:p>
<w:pPr><w:pStyle w:val="Normal"/></w:pPr>
<w:r><w:t xml:space="preserve">of the Apalachicola river.  Its importance is largely due to</w:t></w:r>
</w:p>
<w:p>
<w:pPr><w:pStyle w:val="Normal"/></w:pPr>
<w:r><w:t xml:space="preserve">these transportation facilities and to the resources of the</w:t></w:r>
</w:p>
<w:p>
<w:pPr><w:pStyle w:val="Normal"/></w:pPr>
<w:r><w:t xml:space="preserve">surrounding country, which produces timber, lime, cotton,</w:t></w:r>
</w:p>
<w:p>
<w:pPr><w:pStyle w:val="Normal"/></w:pPr>
<w:r><w:t xml:space="preserve">Indian corn, sugar-cane, wheat, oats, fruit, melons, hay and</w:t></w:r>
</w:p>
<w:p>
<w:pPr><w:pStyle w:val="Normal"/></w:pPr>
<w:r><w:t xml:space="preserve">vegetables.  Albany ships much cotton, and has a cotton</w:t></w:r>
</w:p>
<w:p>
<w:pPr><w:pStyle w:val="Normal"/></w:pPr>
<w:r><w:t xml:space="preserve">compress, a cotton mill, cotton-seed oil and guano factories,</w:t></w:r>
</w:p>
<w:p>
<w:pPr><w:pStyle w:val="Normal"/></w:pPr>
<w:r><w:t xml:space="preserve">brick yards, lumber mills and ice factories.  It is a summer</w:t></w:r>
</w:p>
<w:p>
<w:pPr><w:pStyle w:val="Normal"/></w:pPr>
<w:r><w:t xml:space="preserve">and winter resort and is the home of the Georgia Chautauqua.</w:t></w:r>
</w:p>
<w:p>
<w:pPr><w:pStyle w:val="Normal"/></w:pPr>
<w:r><w:t xml:space="preserve">The city owns and operates the electric-lighting plant and</w:t></w:r>
</w:p>
<w:p>
<w:pPr><w:pStyle w:val="Normal"/></w:pPr>
<w:r><w:t xml:space="preserve">artesian water-works.  It was settled in 1836, was incorporated</w:t></w:r>
</w:p>
<w:p>
<w:pPr><w:pStyle w:val="Normal"/></w:pPr>
<w:r><w:t xml:space="preserve">in 1838 and received its present city charter in 1907.</w:t></w:r>
</w:p>
<w:p>
<w:pPr><w:pStyle w:val="Normal"/></w:pPr>
<w:r><w:t xml:space="preserve">ALBANY, a city and the county-seat of Albany county, New</w:t></w:r>
</w:p>
<w:p>
<w:pPr><w:pStyle w:val="Normal"/></w:pPr>
<w:r><w:t xml:space="preserve">Yrork, U.S.A., and the capital of the state.  It is situated</w:t></w:r>
</w:p>
<w:p>
<w:pPr><w:pStyle w:val="Normal"/></w:pPr>
<w:r><w:t xml:space="preserve">on the W. bank of the Hudson river, just below the mouth of</w:t></w:r>
</w:p>
<w:p>
<w:pPr><w:pStyle w:val="Normal"/></w:pPr>
<w:r><w:t xml:space="preserve">the Mohawk, 145 m.  N. of New York City and 165 m.  W. of</w:t></w:r>
</w:p>
<w:p>
<w:pPr><w:pStyle w:val="Normal"/></w:pPr>
<w:r><w:t xml:space="preserve">Boston.  Pop. (1880) 90,758; (1890) 94,923; (1900) 94,151, of</w:t></w:r>
</w:p>
<w:p>
<w:pPr><w:pStyle w:val="Normal"/></w:pPr>
<w:r><w:t xml:space="preserve">whom 17,718 were foreign-born (6612 being Irish, 5903 German,</w:t></w:r>
</w:p>
<w:p>
<w:pPr><w:pStyle w:val="Normal"/></w:pPr>
<w:r><w:t xml:space="preserve">1361 English and 740 Russian) and 1178 were negroes; (1910)</w:t></w:r>
</w:p>
<w:p>
<w:pPr><w:pStyle w:val="Normal"/></w:pPr>
<w:r><w:t xml:space="preserve">100,253.  Albany is a terminus of the New York Central &amp; Hudson</w:t></w:r>
</w:p>
<w:p>
<w:pPr><w:pStyle w:val="Normal"/></w:pPr>
<w:r><w:t xml:space="preserve">River, the Delaware &amp; Hudson and the West Shore railways,</w:t></w:r>
</w:p>
<w:p>
<w:pPr><w:pStyle w:val="Normal"/></w:pPr>
<w:r><w:t xml:space="preserve">and is also served by the Boston &amp; Maine railway, by the</w:t></w:r>
</w:p>
<w:p>
<w:pPr><w:pStyle w:val="Normal"/></w:pPr>
<w:r><w:t xml:space="preserve">Erie and Champlain canals (being a terminus of each), by</w:t></w:r>
</w:p>
<w:p>
<w:pPr><w:pStyle w:val="Normal"/></w:pPr>
<w:r><w:t xml:space="preserve">steamboat lines on the Hudson river and by several inter-urban</w:t></w:r>
</w:p>
<w:p>
<w:pPr><w:pStyle w:val="Normal"/></w:pPr>
<w:r><w:t xml:space="preserve">electric railways connecting with neighbouring cities.</w:t></w:r>
</w:p>
<w:p>
<w:pPr><w:pStyle w:val="Normal"/></w:pPr>
<w:r><w:t xml:space="preserve">Albany is attractively situated on a series of hills rising</w:t></w:r>
</w:p>
<w:p>
<w:pPr><w:pStyle w:val="Normal"/></w:pPr>
<w:r><w:t xml:space="preserve">sharply from the river.  The older portions of the city are</w:t></w:r>
</w:p>
<w:p>
<w:pPr><w:pStyle w:val="Normal"/></w:pPr>
<w:r><w:t xml:space="preserve">reminiscent of Dutch colonial days, and some fine specimens of</w:t></w:r>
</w:p>
<w:p>
<w:pPr><w:pStyle w:val="Normal"/></w:pPr>
<w:r><w:t xml:space="preserve">the Dutch and later colonial architecture are still standing.</w:t></w:r>
</w:p>
<w:p>
<w:pPr><w:pStyle w:val="Normal"/></w:pPr>
<w:r><w:t xml:space="preserve">Perhaps the most famous of these is the Schuyler mansion (now</w:t></w:r>
</w:p>
<w:p>
<w:pPr><w:pStyle w:val="Normal"/></w:pPr>
<w:r><w:t xml:space="preserve">St Francis de Sales Orphan Asylum), built in 1760-1761.  The</w:t></w:r>
</w:p>
<w:p>
<w:pPr><w:pStyle w:val="Normal"/></w:pPr>
<w:r><w:t xml:space="preserve">Van Rensselaer manor-house, built in 1765, was pulled down in</w:t></w:r>
</w:p>
<w:p>
<w:pPr><w:pStyle w:val="Normal"/></w:pPr>
<w:r><w:t xml:space="preserve">1893 and was reconstructed on the campus of Wilhams College,</w:t></w:r>
</w:p>
<w:p>
<w:pPr><w:pStyle w:val="Normal"/></w:pPr>
<w:r><w:t xml:space="preserve">Williamstown, Massachusetts, where it is used as a fraternity</w:t></w:r>
</w:p>
<w:p>
<w:pPr><w:pStyle w:val="Normal"/></w:pPr>
<w:r><w:t xml:space="preserve">club-house.  Among the public buildings, the finest is the</w:t></w:r>
</w:p>
<w:p>
<w:pPr><w:pStyle w:val="Normal"/></w:pPr>
<w:r><w:t xml:space="preserve">new State Capitol, one of the largest and most imposing in</w:t></w:r>
</w:p>
<w:p>
<w:pPr><w:pStyle w:val="Normal"/></w:pPr>
<w:r><w:t xml:space="preserve">America.  It occupies a commanding position in Capitol Square</w:t></w:r>
</w:p>
<w:p>
<w:pPr><w:pStyle w:val="Normal"/></w:pPr>
<w:r><w:t xml:space="preserve">(7.84 acres), one of the highest points in the city.  It is</w:t></w:r>
</w:p>
<w:p>
<w:pPr><w:pStyle w:val="Normal"/></w:pPr>
<w:r><w:t xml:space="preserve">built of white Maine granite, and cost about $25,000,000.  Its</w:t></w:r>
</w:p>
<w:p>
<w:pPr><w:pStyle w:val="Normal"/></w:pPr>
<w:r><w:t xml:space="preserve">dimensions are 300 X 400 ft.  The corner-stone was laid in</w:t></w:r>
</w:p>
<w:p>
<w:pPr><w:pStyle w:val="Normal"/></w:pPr>
<w:r><w:t xml:space="preserve">1871, and the building was completed, with the exception of</w:t></w:r>
</w:p>
<w:p>
<w:pPr><w:pStyle w:val="Normal"/></w:pPr>
<w:r><w:t xml:space="preserve">the central tower and dome, in 1904.  The legislature first</w:t></w:r>
</w:p>
<w:p>
<w:pPr><w:pStyle w:val="Normal"/></w:pPr>
<w:r><w:t xml:space="preserve">met in it in 1879.  The original designs were by Thomas Fuller,</w:t></w:r>
</w:p>
<w:p>
<w:pPr><w:pStyle w:val="Normal"/></w:pPr>
<w:r><w:t xml:space="preserve">who also designed the parliamentary buildings at Ottawa; but</w:t></w:r>
</w:p>
<w:p>
<w:pPr><w:pStyle w:val="Normal"/></w:pPr>
<w:r><w:t xml:space="preserve">the plans underwent many changes, Isaac Gale Perry, Leopold</w:t></w:r>
</w:p>
<w:p>
<w:pPr><w:pStyle w:val="Normal"/></w:pPr>
<w:r><w:t xml:space="preserve">Eidlitz and H. H. Richardson being associated with the work</w:t></w:r>
</w:p>
<w:p>
<w:pPr><w:pStyle w:val="Normal"/></w:pPr>
<w:r><w:t xml:space="preserve">before its completion.  The beautiful ``western staircase&apos;&apos;</w:t></w:r>
</w:p>
<w:p>
<w:pPr><w:pStyle w:val="Normal"/></w:pPr>
<w:r><w:t xml:space="preserve">of red sandstone (from plans by Perry) and the senate chamber</w:t></w:r>
</w:p>
<w:p>
<w:pPr><w:pStyle w:val="Normal"/></w:pPr>
<w:r><w:t xml:space="preserve">(designed by Richardson) are oerhaps the most notable parts</w:t></w:r>
</w:p>
<w:p>
<w:pPr><w:pStyle w:val="Normal"/></w:pPr>
<w:r><w:t xml:space="preserve">of the structure.  The building houses the various executive</w:t></w:r>
</w:p>
<w:p>
<w:pPr><w:pStyle w:val="Normal"/></w:pPr>
<w:r><w:t xml:space="preserve">departments, the legislature and the court of appeals.  A</w:t></w:r>
</w:p>
<w:p>
<w:pPr><w:pStyle w:val="Normal"/></w:pPr>
<w:r><w:t xml:space="preserve">large and handsome building of white granite was begun in 1908</w:t></w:r>
</w:p>
<w:p>
<w:pPr><w:pStyle w:val="Normal"/></w:pPr>
<w:r><w:t xml:space="preserve">directly opposite the Capitol to accommodate the department</w:t></w:r>
</w:p>
<w:p>
<w:pPr><w:pStyle w:val="Normal"/></w:pPr>
<w:r><w:t xml:space="preserve">of education and the magnificent state library (about 450,000</w:t></w:r>
</w:p>
<w:p>
<w:pPr><w:pStyle w:val="Normal"/></w:pPr>
<w:r><w:t xml:space="preserve">volumes).  Other important buildings are the old state hall,</w:t></w:r>
</w:p>
<w:p>
<w:pPr><w:pStyle w:val="Normal"/></w:pPr>
<w:r><w:t xml:space="preserve">a handsome white marble building erected in 1842; the city</w:t></w:r>
</w:p>
<w:p>
<w:pPr><w:pStyle w:val="Normal"/></w:pPr>
<w:r><w:t xml:space="preserve">hall, a beautiful French Gothic building of pink granite</w:t></w:r>
</w:p>
<w:p>
<w:pPr><w:pStyle w:val="Normal"/></w:pPr>
<w:r><w:t xml:space="preserve">trimmed with red sandstone, designed by H. H. Richardson;</w:t></w:r>
</w:p>
<w:p>
<w:pPr><w:pStyle w:val="Normal"/></w:pPr>
<w:r><w:t xml:space="preserve">the Federal Building; the State aIuseum of Natural History;</w:t></w:r>
</w:p>
<w:p>
<w:pPr><w:pStyle w:val="Normal"/></w:pPr>
<w:r><w:t xml:space="preserve">the galleries of the Albany Institute and Historical and Art</w:t></w:r>
</w:p>
<w:p>
<w:pPr><w:pStyle w:val="Normal"/></w:pPr>
<w:r><w:t xml:space="preserve">Society, in State Street, opposite the Capitol; Harmanus Bleecker</w:t></w:r>
</w:p>
<w:p>
<w:pPr><w:pStyle w:val="Normal"/></w:pPr>
<w:r><w:t xml:space="preserve">Hall, a theatre since 1898; and the Ten Eyck and Kenmore</w:t></w:r>
</w:p>
<w:p>
<w:pPr><w:pStyle w:val="Normal"/></w:pPr>
<w:r><w:t xml:space="preserve">hotels.  Among the finest office buildings are the structures</w:t></w:r>
</w:p>
<w:p>
<w:pPr><w:pStyle w:val="Normal"/></w:pPr>
<w:r><w:t xml:space="preserve">of the Albany City Savings Institution, National Commerical</w:t></w:r>
</w:p>
<w:p>
<w:pPr><w:pStyle w:val="Normal"/></w:pPr>
<w:r><w:t xml:space="preserve">Bank, Union Trust Company, Albany Trust Company, the National</w:t></w:r>
</w:p>
<w:p>
<w:pPr><w:pStyle w:val="Normal"/></w:pPr>
<w:r><w:t xml:space="preserve">Savings Bank, First National Bank, the New York State National</w:t></w:r>
</w:p>
<w:p>
<w:pPr><w:pStyle w:val="Normal"/></w:pPr>
<w:r><w:t xml:space="preserve">Bank (1803, probably the oldest building in the United States</w:t></w:r>
</w:p>
<w:p>
<w:pPr><w:pStyle w:val="Normal"/></w:pPr>
<w:r><w:t xml:space="preserve">used continuously for banking purposes) and the Albany Savings</w:t></w:r>
</w:p>
<w:p>
<w:pPr><w:pStyle w:val="Normal"/></w:pPr>
<w:r><w:t xml:space="preserve">Bank.  The Fort Orange Club, the Catholic Union, the Albany</w:t></w:r>
</w:p>
<w:p>
<w:pPr><w:pStyle w:val="Normal"/></w:pPr>
<w:r><w:t xml:space="preserve">Club, the University Club, the City Club of Albany, the</w:t></w:r>
</w:p>
<w:p>
<w:pPr><w:pStyle w:val="Normal"/></w:pPr>
<w:r><w:t xml:space="preserve">Country Club, the German Hall Association and the Adelphi</w:t></w:r>
</w:p>
<w:p>
<w:pPr><w:pStyle w:val="Normal"/></w:pPr>
<w:r><w:t xml:space="preserve">Club are the chief social organizations.  The principal church</w:t></w:r>
</w:p>
<w:p>
<w:pPr><w:pStyle w:val="Normal"/></w:pPr>
<w:r><w:t xml:space="preserve">buildings are the Cathedral of the Immaculate Conception</w:t></w:r>
</w:p>
<w:p>
<w:pPr><w:pStyle w:val="Normal"/></w:pPr>
<w:r><w:t xml:space="preserve">(Roman Catholic), a fine specimen of Gothic architecture,</w:t></w:r>
</w:p>
<w:p>
<w:pPr><w:pStyle w:val="Normal"/></w:pPr>
<w:r><w:t xml:space="preserve">built of brownstone, with spires 210 ft. high; the cathedral</w:t></w:r>
</w:p>
<w:p>
<w:pPr><w:pStyle w:val="Normal"/></w:pPr>
<w:r><w:t xml:space="preserve">of All Saints (Protestant Episcopal), an English Gothic</w:t></w:r>
</w:p>
<w:p>
<w:pPr><w:pStyle w:val="Normal"/></w:pPr>
<w:r><w:t xml:space="preserve">structure of pink sandstone designed by R. W. Gibson and</w:t></w:r>
</w:p>
<w:p>
<w:pPr><w:pStyle w:val="Normal"/></w:pPr>
<w:r><w:t xml:space="preserve">begun in 1883; St Peter&apos;s Episcopal Church (French Gothic),</w:t></w:r>
</w:p>
<w:p>
<w:pPr><w:pStyle w:val="Normal"/></w:pPr>
<w:r><w:t xml:space="preserve">of Hudson River bluestone; Emmanuel Baptist Church, of white</w:t></w:r>
</w:p>
<w:p>
<w:pPr><w:pStyle w:val="Normal"/></w:pPr>
<w:r><w:t xml:space="preserve">granite; the Madison Avenue Reformed Church; and St Joseph&apos;s</w:t></w:r>
</w:p>
<w:p>
<w:pPr><w:pStyle w:val="Normal"/></w:pPr>
<w:r><w:t xml:space="preserve">(Roman Catholic), of bluestone and Caen stone with marble</w:t></w:r>
</w:p>
<w:p>
<w:pPr><w:pStyle w:val="Normal"/></w:pPr>
<w:r><w:t xml:space="preserve">trimmings.  Among the educational institutions are the Albany</w:t></w:r>
</w:p>
<w:p>
<w:pPr><w:pStyle w:val="Normal"/></w:pPr>
<w:r><w:t xml:space="preserve">Medical College (1839) and the Albany Law School (1851),</w:t></w:r>
</w:p>
<w:p>
<w:pPr><w:pStyle w:val="Normal"/></w:pPr>
<w:r><w:t xml:space="preserve">both incorporated since 1873 with the Union University, the</w:t></w:r>
</w:p>
<w:p>
<w:pPr><w:pStyle w:val="Normal"/></w:pPr>
<w:r><w:t xml:space="preserve">Collegiate Department of which is at Schenectady; the Albany</w:t></w:r>
</w:p>
<w:p>
<w:pPr><w:pStyle w:val="Normal"/></w:pPr>
<w:r><w:t xml:space="preserve">College of Pharmacy (1881), also part of Union University; the</w:t></w:r>
</w:p>
<w:p>
<w:pPr><w:pStyle w:val="Normal"/></w:pPr>
<w:r><w:t xml:space="preserve">Albany Academy (1813), in which Joseph Henry, while a member</w:t></w:r>
</w:p>
<w:p>
<w:pPr><w:pStyle w:val="Normal"/></w:pPr>
<w:r><w:t xml:space="preserve">of the faculty, perfected in 1826--1832 the electro-magnet</w:t></w:r>
</w:p>
<w:p>
<w:pPr><w:pStyle w:val="Normal"/></w:pPr>
<w:r><w:t xml:space="preserve">and began his work on the electric telegraph; the Albany</w:t></w:r>
</w:p>
<w:p>
<w:pPr><w:pStyle w:val="Normal"/></w:pPr>
<w:r><w:t xml:space="preserve">Academy for Girls, founded in 1814 as the Albany Female</w:t></w:r>
</w:p>
<w:p>
<w:pPr><w:pStyle w:val="Normal"/></w:pPr>
<w:r><w:t xml:space="preserve">Academy (name changed in 1906); and a State Normal College</w:t></w:r>
</w:p>
<w:p>
<w:pPr><w:pStyle w:val="Normal"/></w:pPr>
<w:r><w:t xml:space="preserve">(1890), with a Model School.  The hospitals and charitable</w:t></w:r>
</w:p>
<w:p>
<w:pPr><w:pStyle w:val="Normal"/></w:pPr>
<w:r><w:t xml:space="preserve">institutions include St Vincent&apos;s Orphan Asylum, the Lathrop</w:t></w:r>
</w:p>
<w:p>
<w:pPr><w:pStyle w:val="Normal"/></w:pPr>
<w:r><w:t xml:space="preserve">Memorial (for children of working mothers), Albany City</w:t></w:r>
</w:p>
<w:p>
<w:pPr><w:pStyle w:val="Normal"/></w:pPr>
<w:r><w:t xml:space="preserve">Hospital, the Homeopathic Hospital, St Peter&apos;s Hospital,</w:t></w:r>
</w:p>
<w:p>
<w:pPr><w:pStyle w:val="Normal"/></w:pPr>
<w:r><w:t xml:space="preserve">the Albany City Orphan Asylum and the House of the Good</w:t></w:r>
</w:p>
<w:p>
<w:pPr><w:pStyle w:val="Normal"/></w:pPr>
<w:r><w:t xml:space="preserve">Shepherd.  There are a county penitentiary and a State</w:t></w:r>
</w:p>
<w:p>
<w:pPr><w:pStyle w:val="Normal"/></w:pPr>
<w:r><w:t xml:space="preserve">armoury.  The city has 95 acres of boulevards and avenues</w:t></w:r>
</w:p>
<w:p>
<w:pPr><w:pStyle w:val="Normal"/></w:pPr>
<w:r><w:t xml:space="preserve">under park supervision and several fine parks (17, with 307</w:t></w:r>
</w:p>
<w:p>
<w:pPr><w:pStyle w:val="Normal"/></w:pPr>
<w:r><w:t xml:space="preserve">acres in 1907), notably Washington (containing Calverley&apos;s</w:t></w:r>
</w:p>
<w:p>
<w:pPr><w:pStyle w:val="Normal"/></w:pPr>
<w:r><w:t xml:space="preserve">bronze statue of Robert Burns, and Rhind&apos;s ``Moses at the Rock</w:t></w:r>
</w:p>
<w:p>
<w:pPr><w:pStyle w:val="Normal"/></w:pPr>
<w:r><w:t xml:space="preserve">of Horeb&apos;&apos;), Beaver and Dudley, in which is the old Dudley</w:t></w:r>
</w:p>
<w:p>
<w:pPr><w:pStyle w:val="Normal"/></w:pPr>
<w:r><w:t xml:space="preserve">Observatory--the present Observatory building is in Lake</w:t></w:r>
</w:p>
<w:p>
<w:pPr><w:pStyle w:val="Normal"/></w:pPr>
<w:r><w:t xml:space="preserve">Avenue, south-west of Washington Park, where is also the Albany</w:t></w:r>
</w:p>
<w:p>
<w:pPr><w:pStyle w:val="Normal"/></w:pPr>
<w:r><w:t xml:space="preserve">Hospital.  In the beautiful rural cemetery, north of the city,</w:t></w:r>
</w:p>
<w:p>
<w:pPr><w:pStyle w:val="Normal"/></w:pPr>
<w:r><w:t xml:space="preserve">are the tombs of President Chester A. Arthur and General Philip</w:t></w:r>
</w:p>
<w:p>
<w:pPr><w:pStyle w:val="Normal"/></w:pPr>
<w:r><w:t xml:space="preserve">Schuyler.  The city owns a fine water-supply and a filtration plant</w:t></w:r>
</w:p>
<w:p>
<w:pPr><w:pStyle w:val="Normal"/></w:pPr>
<w:r><w:t xml:space="preserve">covering 20 acres, with a capacity of 30,000,000 gallons daily</w:t></w:r>
</w:p>
<w:p>
<w:pPr><w:pStyle w:val="Normal"/></w:pPr>
<w:r><w:t xml:space="preserve">and storage reservoirs with a capacity of 227,000,000 gallons.</w:t></w:r>
</w:p>
<w:p>
<w:pPr><w:pStyle w:val="Normal"/></w:pPr>
<w:r><w:t xml:space="preserve">The first newspaper in Albany was the Gazetle, founded in</w:t></w:r>
</w:p>
<w:p>
<w:pPr><w:pStyle w:val="Normal"/></w:pPr>
<w:r><w:t xml:space="preserve">1771.  The Argus, founded in 1813 by Jesse Buel (1778--1839)</w:t></w:r>
</w:p>
<w:p>
<w:pPr><w:pStyle w:val="Normal"/></w:pPr>
<w:r><w:t xml:space="preserve">and edited from 1824 to 1854 by Edwin Croswell (1797-1871), was</w:t></w:r>
</w:p>
<w:p>
<w:pPr><w:pStyle w:val="Normal"/></w:pPr>
<w:r><w:t xml:space="preserve">lontthe organ of the coterie of New York politicians known .</w:t></w:r>
</w:p>
<w:p>
<w:pPr><w:pStyle w:val="Normal"/></w:pPr>
<w:r><w:t xml:space="preserve">as the ``Albany Regency,&apos;&apos; and was one of the most influential</w:t></w:r>
</w:p>
<w:p>
<w:pPr><w:pStyle w:val="Normal"/></w:pPr>
<w:r><w:t xml:space="preserve">Democratic papers in the United States.  Previously to their</w:t></w:r>
</w:p>
<w:p>
<w:pPr><w:pStyle w:val="Normal"/></w:pPr>
<w:r><w:t xml:space="preserve">holding office, Daniel Manning (1831-1887), secretary of the</w:t></w:r>
</w:p>
<w:p>
<w:pPr><w:pStyle w:val="Normal"/></w:pPr>
<w:r><w:t xml:space="preserve">treasury in President Cleveland&apos;s cabinet, was president of the</w:t></w:r>
</w:p>
<w:p>
<w:pPr><w:pStyle w:val="Normal"/></w:pPr>
<w:r><w:t xml:space="preserve">Argus company, and Daniel Scott Lamont (1851-1905), secretary</w:t></w:r>
</w:p>
<w:p>
<w:pPr><w:pStyle w:val="Normal"/></w:pPr>
<w:r><w:t xml:space="preserve">of war during President Cleveland&apos;s second administration,</w:t></w:r>
</w:p>
<w:p>
<w:pPr><w:pStyle w:val="Normal"/></w:pPr>
<w:r><w:t xml:space="preserve">was managing editor of the newspaper.  The Evening Journal,</w:t></w:r>
</w:p>
<w:p>
<w:pPr><w:pStyle w:val="Normal"/></w:pPr>
<w:r><w:t xml:space="preserve">founded in 1830 as an anti-Masonic organ, and for thirty-five</w:t></w:r>
</w:p>
<w:p>
<w:pPr><w:pStyle w:val="Normal"/></w:pPr>
<w:r><w:t xml:space="preserve">years edited by Thurlow Weed, was equally influential as</w:t></w:r>
</w:p>
<w:p>
<w:pPr><w:pStyle w:val="Normal"/></w:pPr>
<w:r><w:t xml:space="preserve">an organ of the Whig and later of the Republican party.</w:t></w:r>
</w:p>
<w:p>
<w:pPr><w:pStyle w:val="Normal"/></w:pPr>
<w:r><w:t xml:space="preserve">Albany is an important railway and commercial centre, particularly</w:t></w:r>
</w:p>
<w:p>
<w:pPr><w:pStyle w:val="Normal"/></w:pPr>
<w:r><w:t xml:space="preserve">as a distributing point for New England markets, as a lumber</w:t></w:r>
</w:p>
<w:p>
<w:pPr><w:pStyle w:val="Normal"/></w:pPr>
<w:r><w:t xml:space="preserve">market and--though to a much less extent than formerly-as</w:t></w:r>
</w:p>
<w:p>
<w:pPr><w:pStyle w:val="Normal"/></w:pPr>
<w:r><w:t xml:space="preserve">a depot for transhipment to the south and west.  Among the</w:t></w:r>
</w:p>
<w:p>
<w:pPr><w:pStyle w:val="Normal"/></w:pPr>
<w:r><w:t xml:space="preserve">city&apos;s manufactories are breweries, iron and brass foundries,</w:t></w:r>
</w:p>
<w:p>
<w:pPr><w:pStyle w:val="Normal"/></w:pPr>
<w:r><w:t xml:space="preserve">stove factories, knitting mills, cotton mills, clothing</w:t></w:r>
</w:p>
<w:p>
<w:pPr><w:pStyle w:val="Normal"/></w:pPr>
<w:r><w:t xml:space="preserve">factories, slaughtering and meat-packing establishments,</w:t></w:r>
</w:p>
<w:p>
<w:pPr><w:pStyle w:val="Normal"/></w:pPr>
<w:r><w:t xml:space="preserve">cigar and cigarette factories, and manufactories of adhesive</w:t></w:r>
</w:p>
<w:p>
<w:pPr><w:pStyle w:val="Normal"/></w:pPr>
<w:r><w:t xml:space="preserve">pastes, court plaster, spring beds, ribbed underwear, aniline</w:t></w:r>
</w:p>
<w:p>
<w:pPr><w:pStyle w:val="Normal"/></w:pPr>
<w:r><w:t xml:space="preserve">dyes, chemicals, gas meters, fire-brick, and glazed paper and</w:t></w:r>
</w:p>
<w:p>
<w:pPr><w:pStyle w:val="Normal"/></w:pPr>
<w:r><w:t xml:space="preserve">cardboard.  The value of the total factory product in 1905</w:t></w:r>
</w:p>
<w:p>
<w:pPr><w:pStyle w:val="Normal"/></w:pPr>
<w:r><w:t xml:space="preserve">was $20,208,715, which was 17% greater than that for 1900.</w:t></w:r>
</w:p>
<w:p>
<w:pPr><w:pStyle w:val="Normal"/></w:pPr>
<w:r><w:t xml:space="preserve">History.---Albany was probably the second place to be</w:t></w:r>
</w:p>
<w:p>
<w:pPr><w:pStyle w:val="Normal"/></w:pPr>
<w:r><w:t xml:space="preserve">permanently settled within the borders of the original Thirteen</w:t></w:r>
</w:p>
<w:p>
<w:pPr><w:pStyle w:val="Normal"/></w:pPr>
<w:r><w:t xml:space="preserve">Colonies.  It seems likely that French traders ascended</w:t></w:r>
</w:p>
<w:p>
<w:pPr><w:pStyle w:val="Normal"/></w:pPr>
<w:r><w:t xml:space="preserve">the river as far as the site of the present city in the</w:t></w:r>
</w:p>
<w:p>
<w:pPr><w:pStyle w:val="Normal"/></w:pPr>
<w:r><w:t xml:space="preserve">first half of the sixteenth century, and according to some</w:t></w:r>
</w:p>
<w:p>
<w:pPr><w:pStyle w:val="Normal"/></w:pPr>
<w:r><w:t xml:space="preserve">writers a temporary trading post was established here about</w:t></w:r>
</w:p>
<w:p>
<w:pPr><w:pStyle w:val="Normal"/></w:pPr>
<w:r><w:t xml:space="preserve">1540.  Albany&apos;s authentic history, however, may be dated from</w:t></w:r>
</w:p>
<w:p>
<w:pPr><w:pStyle w:val="Normal"/></w:pPr>
<w:r><w:t xml:space="preserve">1614, when Dutch traders built on Castle Island, opposite the</w:t></w:r>
</w:p>
<w:p>
<w:pPr><w:pStyle w:val="Normal"/></w:pPr>
<w:r><w:t xml:space="preserve">city, a post which they named Fort Nassau.  Three years later</w:t></w:r>
</w:p>
<w:p>
<w:pPr><w:pStyle w:val="Normal"/></w:pPr>
<w:r><w:t xml:space="preserve">the fort was removed to the mainland, and near here in 1618</w:t></w:r>
</w:p>
<w:p>
<w:pPr><w:pStyle w:val="Normal"/></w:pPr>
<w:r><w:t xml:space="preserve">the Dutch made their first treaty with the Iroquois.  In 1624</w:t></w:r>
</w:p>
<w:p>
<w:pPr><w:pStyle w:val="Normal"/></w:pPr>
<w:r><w:t xml:space="preserve">arrived eighteen families of Dutch Walloons, the first actual</w:t></w:r>
</w:p>
<w:p>
<w:pPr><w:pStyle w:val="Normal"/></w:pPr>
<w:r><w:t xml:space="preserve">permanent settlers, as distinguished from traders.  In that</w:t></w:r>
</w:p>
<w:p>
<w:pPr><w:pStyle w:val="Normal"/></w:pPr>
<w:r><w:t xml:space="preserve">year, on a hill near the site of the present Capitol, Fort</w:t></w:r>
</w:p>
<w:p>
<w:pPr><w:pStyle w:val="Normal"/></w:pPr>
<w:r><w:t xml:space="preserve">Orange was built, and around it, as a centre, the new town</w:t></w:r>
</w:p>
<w:p>
<w:pPr><w:pStyle w:val="Normal"/></w:pPr>
<w:r><w:t xml:space="preserve">grew.  At first it was known by the Dutch simply as the</w:t></w:r>
</w:p>
<w:p>
<w:pPr><w:pStyle w:val="Normal"/></w:pPr>
<w:r><w:t xml:space="preserve">``fuyck&apos;&apos; (hoop), from the curve in the river at this point,</w:t></w:r>
</w:p>
<w:p>
<w:pPr><w:pStyle w:val="Normal"/></w:pPr>
<w:r><w:t xml:space="preserve">whence was soon derived the name Beverfuvck or Beverwvck.  In</w:t></w:r>
</w:p>
<w:p>
<w:pPr><w:pStyle w:val="Normal"/></w:pPr>
<w:r><w:t xml:space="preserve">1629 the Dutch government granted to Killiaen van Rensselaer,</w:t></w:r>
</w:p>
<w:p>
<w:pPr><w:pStyle w:val="Normal"/></w:pPr>
<w:r><w:t xml:space="preserve">an Amsttrdam diamond merchant, a tract of land (24 sq. m.)</w:t></w:r>
</w:p>
<w:p>
<w:pPr><w:pStyle w:val="Normal"/></w:pPr>
<w:r><w:t xml:space="preserve">centring at Fort Orange.  Over this tract, the first patroonship</w:t></w:r>
</w:p>
<w:p>
<w:pPr><w:pStyle w:val="Normal"/></w:pPr>
<w:r><w:t xml:space="preserve">granted in the colony, he had the usual powers and rights of a</w:t></w:r>
</w:p>
<w:p>
<w:pPr><w:pStyle w:val="Normal"/></w:pPr>
<w:r><w:t xml:space="preserve">patroon.  The grant was named Rensselaerwyck in his honour,</w:t></w:r>
</w:p>
<w:p>
<w:pPr><w:pStyle w:val="Normal"/></w:pPr>
<w:r><w:t xml:space="preserve">became a ``manor&apos;&apos; in 1685, and remained in the family until</w:t></w:r>
</w:p>
<w:p>
<w:pPr><w:pStyle w:val="Normal"/></w:pPr>
<w:r><w:t xml:space="preserve">1853.  The colonists whom he settled upon his grant (1630) were</w:t></w:r>
</w:p>
<w:p>
<w:pPr><w:pStyle w:val="Normal"/></w:pPr>
<w:r><w:t xml:space="preserve">industrious, and ``Beverwvck&apos;&apos; became increasingly prosperous.</w:t></w:r>
</w:p>
<w:p>
<w:pPr><w:pStyle w:val="Normal"/></w:pPr>
<w:r><w:t xml:space="preserve">From this time the town, on account of its favourable commercial</w:t></w:r>
</w:p>
<w:p>
<w:pPr><w:pStyle w:val="Normal"/></w:pPr>
<w:r><w:t xml:space="preserve">and strategic position at the gateway of the Iroquois country</w:t></w:r>
</w:p>
<w:p>
<w:pPr><w:pStyle w:val="Normal"/></w:pPr>
<w:r><w:t xml:space="preserve">and at the head of navigation on the Hudson river, was for</w:t></w:r>
</w:p>
<w:p>
<w:pPr><w:pStyle w:val="Normal"/></w:pPr>
<w:r><w:t xml:space="preserve">a century and a half one of the most important places in the</w:t></w:r>
</w:p>
<w:p>
<w:pPr><w:pStyle w:val="Normal"/></w:pPr>
<w:r><w:t xml:space="preserve">colonies.  In 1664. with the transfer of New Netherlands</w:t></w:r>
</w:p>
<w:p>
<w:pPr><w:pStyle w:val="Normal"/></w:pPr>
<w:r><w:t xml:space="preserve">to English control, the name ``Beverwvck&apos;&apos; was changed to</w:t></w:r>
</w:p>
<w:p>
<w:pPr><w:pStyle w:val="Normal"/></w:pPr>
<w:r><w:t xml:space="preserve">``Albany&apos;&apos;-one of the titles of the duke of York (afterward James</w:t></w:r>
</w:p>
<w:p>
<w:pPr><w:pStyle w:val="Normal"/></w:pPr>
<w:r><w:t xml:space="preserve">II.).  In 1673 the town was acain for a short time under Dutch</w:t></w:r>
</w:p>
<w:p>
<w:pPr><w:pStyle w:val="Normal"/></w:pPr>
<w:r><w:t xml:space="preserve">control.  In 1686 Governor Donaan granted to Albany a city</w:t></w:r>
</w:p>
<w:p>
<w:pPr><w:pStyle w:val="Normal"/></w:pPr>
<w:r><w:t xml:space="preserve">charter, which provided for an elected council.  The first</w:t></w:r>
</w:p>
<w:p>
<w:pPr><w:pStyle w:val="Normal"/></w:pPr>
<w:r><w:t xml:space="preserve">mayor appointed by the aovernor was Peter Schuyler (1657-1724).</w:t></w:r>
</w:p>
<w:p>
<w:pPr><w:pStyle w:val="Normal"/></w:pPr>
<w:r><w:t xml:space="preserve">In 1689 was held here the first inter-colonial convention in</w:t></w:r>
</w:p>
<w:p>
<w:pPr><w:pStyle w:val="Normal"/></w:pPr>
<w:r><w:t xml:space="preserve">America, when delegates from Massachusetts Bay, Plymouth,</w:t></w:r>
</w:p>
<w:p>
<w:pPr><w:pStyle w:val="Normal"/></w:pPr>
<w:r><w:t xml:space="preserve">Connecticut and New York met to treat with representatives of</w:t></w:r>
</w:p>
<w:p>
<w:pPr><w:pStyle w:val="Normal"/></w:pPr>
<w:r><w:t xml:space="preserve">the Five Nations and to plan a system of colonial defence.</w:t></w:r>
</w:p>
<w:p>
<w:pPr><w:pStyle w:val="Normal"/></w:pPr>
<w:r><w:t xml:space="preserve">During the 18th century there was a great influx of English</w:t></w:r>
</w:p>
<w:p>
<w:pPr><w:pStyle w:val="Normal"/></w:pPr>
<w:r><w:t xml:space="preserve">colonists, and in 1714 the first English church was erected.</w:t></w:r>
</w:p>
<w:p>
<w:pPr><w:pStyle w:val="Normal"/></w:pPr>
<w:r><w:t xml:space="preserve">During the French and Indian wars Albany was a starting-point</w:t></w:r>
</w:p>
<w:p>
<w:pPr><w:pStyle w:val="Normal"/></w:pPr>
<w:r><w:t xml:space="preserve">for expeditions against Canada and the Lake Champlain</w:t></w:r>
</w:p>
<w:p>
<w:pPr><w:pStyle w:val="Normal"/></w:pPr>
<w:r><w:t xml:space="preserve">country.  In June 1754, in Dursuance of a recommendation</w:t></w:r>
</w:p>
<w:p>
<w:pPr><w:pStyle w:val="Normal"/></w:pPr>
<w:r><w:t xml:space="preserve">of the Lords.of Trade, a convention of representatives of</w:t></w:r>
</w:p>
<w:p>
<w:pPr><w:pStyle w:val="Normal"/></w:pPr>
<w:r><w:t xml:space="preserve">Massachusetts, Rhode Island, New Hampshire, Connecticut, New</w:t></w:r>
</w:p>
<w:p>
<w:pPr><w:pStyle w:val="Normal"/></w:pPr>
<w:r><w:t xml:space="preserve">Vork, Pennsylvania and Maryland met here for the purpose of</w:t></w:r>
</w:p>
<w:p>
<w:pPr><w:pStyle w:val="Normal"/></w:pPr>
<w:r><w:t xml:space="preserve">confirming and establishing a closer league of friendshiq with</w:t></w:r>
</w:p>
<w:p>
<w:pPr><w:pStyle w:val="Normal"/></w:pPr>
<w:r><w:t xml:space="preserve">the Iroquois and of arranging for a Dermanent union of the</w:t></w:r>
</w:p>
<w:p>
<w:pPr><w:pStyle w:val="Normal"/></w:pPr>
<w:r><w:t xml:space="preserve">colonies.  The Indian affairs having been satisfactorily</w:t></w:r>
</w:p>
<w:p>
<w:pPr><w:pStyle w:val="Normal"/></w:pPr>
<w:r><w:t xml:space="preserve">adiusted, the convention, after considerable debate. in which</w:t></w:r>
</w:p>
<w:p>
<w:pPr><w:pStyle w:val="Normal"/></w:pPr>
<w:r><w:t xml:space="preserve">Benjamin Franklin, Stephen Hopkins and Thomas Hutchinson</w:t></w:r>
</w:p>
<w:p>
<w:pPr><w:pStyle w:val="Normal"/></w:pPr>
<w:r><w:t xml:space="preserve">took a leading part, adopted (July 11) a plan foraunionof the</w:t></w:r>
</w:p>
<w:p>
<w:pPr><w:pStyle w:val="Normal"/></w:pPr>
<w:r><w:t xml:space="preserve">colonies, which was in great part similar to one submitted</w:t></w:r>
</w:p>
<w:p>
<w:pPr><w:pStyle w:val="Normal"/></w:pPr>
<w:r><w:t xml:space="preserve">to the convention by Franklin.  This plan provided for a</w:t></w:r>
</w:p>
<w:p>
<w:pPr><w:pStyle w:val="Normal"/></w:pPr>
<w:r><w:t xml:space="preserve">representative governing body to be known as the Grand Council,</w:t></w:r>
</w:p>
<w:p>
<w:pPr><w:pStyle w:val="Normal"/></w:pPr>
<w:r><w:t xml:space="preserve">to which each colony should elect delegates (not more than</w:t></w:r>
</w:p>
<w:p>
<w:pPr><w:pStyle w:val="Normal"/></w:pPr>
<w:r><w:t xml:space="preserve">seven or less than two) for a term of three years.  This body</w:t></w:r>
</w:p>
<w:p>
<w:pPr><w:pStyle w:val="Normal"/></w:pPr>
<w:r><w:t xml:space="preserve">was to have control of Indian affairs, impose taxes, nominate</w:t></w:r>
</w:p>
<w:p>
<w:pPr><w:pStyle w:val="Normal"/></w:pPr>
<w:r><w:t xml:space="preserve">all civil officers, authorize the opening of new lands to</w:t></w:r>
</w:p>
<w:p>
<w:pPr><w:pStyle w:val="Normal"/></w:pPr>
<w:r><w:t xml:space="preserve">settlement, and in general have charge of colonial defence,</w:t></w:r>
</w:p>
<w:p>
<w:pPr><w:pStyle w:val="Normal"/></w:pPr>
<w:r><w:t xml:space="preserve">and of the enlistment, equipment and maintenance of an army.</w:t></w:r>
</w:p>
<w:p>
<w:pPr><w:pStyle w:val="Normal"/></w:pPr>
<w:r><w:t xml:space="preserve">An executive or viceroy, to be known as the president-general,</w:t></w:r>
</w:p>
<w:p>
<w:pPr><w:pStyle w:val="Normal"/></w:pPr>
<w:r><w:t xml:space="preserve">was to have the veto power over the acts of the Grand Council</w:t></w:r>
</w:p>
<w:p>
<w:pPr><w:pStyle w:val="Normal"/></w:pPr>
<w:r><w:t xml:space="preserve">and the right of appointment of military officers.  Finally,</w:t></w:r>
</w:p>
<w:p>
<w:pPr><w:pStyle w:val="Normal"/></w:pPr>
<w:r><w:t xml:space="preserve">it was provided that the acts of the Grand Council should</w:t></w:r>
</w:p>
<w:p>
<w:pPr><w:pStyle w:val="Normal"/></w:pPr>
<w:r><w:t xml:space="preserve">be valid unless vetoed by the crown within a period of three</w:t></w:r>
</w:p>
<w:p>
<w:pPr><w:pStyle w:val="Normal"/></w:pPr>
<w:r><w:t xml:space="preserve">years.  Neither the British government nor the growing party</w:t></w:r>
</w:p>
<w:p>
<w:pPr><w:pStyle w:val="Normal"/></w:pPr>
<w:r><w:t xml:space="preserve">in the colonies which was clamouring for colonial rights</w:t></w:r>
</w:p>
<w:p>
<w:pPr><w:pStyle w:val="Normal"/></w:pPr>
<w:r><w:t xml:space="preserve">received the plan with favour--- the former holding that</w:t></w:r>
</w:p>
<w:p>
<w:pPr><w:pStyle w:val="Normal"/></w:pPr>
<w:r><w:t xml:space="preserve">it gave the colonies too much independence, and the latter</w:t></w:r>
</w:p>
<w:p>
<w:pPr><w:pStyle w:val="Normal"/></w:pPr>
<w:r><w:t xml:space="preserve">that it gave them too little. 4.he strategic importance of</w:t></w:r>
</w:p>
<w:p>
<w:pPr><w:pStyle w:val="Normal"/></w:pPr>
<w:r><w:t xml:space="preserve">Albany was fully recognized during the War of Independence,</w:t></w:r>
</w:p>
<w:p>
<w:pPr><w:pStyle w:val="Normal"/></w:pPr>
<w:r><w:t xml:space="preserve">and it was against Albany that Burgoyne&apos;s expedition was</w:t></w:r>
</w:p>
<w:p>
<w:pPr><w:pStyle w:val="Normal"/></w:pPr>
<w:r><w:t xml:space="preserve">directed.  Albany became the permanent state capital in</w:t></w:r>
</w:p>
<w:p>
<w:pPr><w:pStyle w:val="Normal"/></w:pPr>
<w:r><w:t xml:space="preserve">1797.  In 1839 it became the centre of the ``Anti-Rent</w:t></w:r>
</w:p>
<w:p>
<w:pPr><w:pStyle w:val="Normal"/></w:pPr>
<w:r><w:t xml:space="preserve">War,&apos;&apos; which was precipitated by the death of Stephen</w:t></w:r>
</w:p>
<w:p>
<w:pPr><w:pStyle w:val="Normal"/></w:pPr>
<w:r><w:t xml:space="preserve">van Rensselaer (1764-1839), the last of the patroons; the</w:t></w:r>
</w:p>
<w:p>
<w:pPr><w:pStyle w:val="Normal"/></w:pPr>
<w:r><w:t xml:space="preserve">attempt of his heirs to collect overdue rents resulting</w:t></w:r>
</w:p>
<w:p>
<w:pPr><w:pStyle w:val="Normal"/></w:pPr>
<w:r><w:t xml:space="preserve">in disturbances which necessitated the calling out of the</w:t></w:r>
</w:p>
<w:p>
<w:pPr><w:pStyle w:val="Normal"/></w:pPr>
<w:r><w:t xml:space="preserve">militia, spread into several counties where there were large</w:t></w:r>
</w:p>
<w:p>
<w:pPr><w:pStyle w:val="Normal"/></w:pPr>
<w:r><w:t xml:space="preserve">landed estates, and were not entirely settled until 1847.</w:t></w:r>
</w:p>
<w:p>
<w:pPr><w:pStyle w:val="Normal"/></w:pPr>
<w:r><w:t xml:space="preserve">See William Barnes, The Settlement and Early History of</w:t></w:r>
</w:p>
<w:p>
<w:pPr><w:pStyle w:val="Normal"/></w:pPr>
<w:r><w:t xml:space="preserve">Albany (Albany, 1864): J. Munsell, The Annals of Albany</w:t></w:r>
</w:p>
<w:p>
<w:pPr><w:pStyle w:val="Normal"/></w:pPr>
<w:r><w:t xml:space="preserve">(10 vols., Albany, 1859-1859: 2nd ed., 4 vols., 1869-1871);</w:t></w:r>
</w:p>
<w:p>
<w:pPr><w:pStyle w:val="Normal"/></w:pPr>
<w:r><w:t xml:space="preserve">E. B. O&apos;Callaghan, Documentary History of the State of New</w:t></w:r>
</w:p>
<w:p>
<w:pPr><w:pStyle w:val="Normal"/></w:pPr>
<w:r><w:t xml:space="preserve">York, vol. iii. (Albany, 1850): A. J. Weise, The History</w:t></w:r>
</w:p>
<w:p>
<w:pPr><w:pStyle w:val="Normal"/></w:pPr>
<w:r><w:t xml:space="preserve">of the City of Albany (Albany, 1884); G. R. Howell and J.</w:t></w:r>
</w:p>
<w:p>
<w:pPr><w:pStyle w:val="Normal"/></w:pPr>
<w:r><w:t xml:space="preserve">Tenney, Bi-centennial History of Albany (New York, 1886);</w:t></w:r>
</w:p>
<w:p>
<w:pPr><w:pStyle w:val="Normal"/></w:pPr>
<w:r><w:t xml:space="preserve">Amasa I. Parker, Landmarks of Albany County (Syracuse,</w:t></w:r>
</w:p>
<w:p>
<w:pPr><w:pStyle w:val="Normal"/></w:pPr>
<w:r><w:t xml:space="preserve">1897); and Cuyler Reynolds, Albany Chronicles; or Albany</w:t></w:r>
</w:p>
<w:p>
<w:pPr><w:pStyle w:val="Normal"/></w:pPr>
<w:r><w:t xml:space="preserve">Mayors anid Contemporaneous Chronology (Albany, 1907).</w:t></w:r>
</w:p>
<w:p>
<w:pPr><w:pStyle w:val="Normal"/></w:pPr>
<w:r><w:t xml:space="preserve">ALBANY, a municipal town in the county of Plantagenet, West</w:t></w:r>
</w:p>
<w:p>
<w:pPr><w:pStyle w:val="Normal"/></w:pPr>
<w:r><w:t xml:space="preserve">Australia, on Princess Royal Harbour, a branch of King George</w:t></w:r>
</w:p>
<w:p>
<w:pPr><w:pStyle w:val="Normal"/></w:pPr>
<w:r><w:t xml:space="preserve">Sound, 352 m. by rail and 254 m. directly S.S.E. of Perth.  Pop.</w:t></w:r>
</w:p>
<w:p>
<w:pPr><w:pStyle w:val="Normal"/></w:pPr>
<w:r><w:t xml:space="preserve">(1901) 3650.  It is the chief health resort of the state, and</w:t></w:r>
</w:p>
<w:p>
<w:pPr><w:pStyle w:val="Normal"/></w:pPr>
<w:r><w:t xml:space="preserve">its climate is one of the finest in Australia; it has a mean</w:t></w:r>
</w:p>
<w:p>
<w:pPr><w:pStyle w:val="Normal"/></w:pPr>
<w:r><w:t xml:space="preserve">annual temperature of 58.6 deg.  F., and the summer heat is never</w:t></w:r>
</w:p>
<w:p>
<w:pPr><w:pStyle w:val="Normal"/></w:pPr>
<w:r><w:t xml:space="preserve">excessive.  One of the features of the town is the Marine</w:t></w:r>
</w:p>
<w:p>
<w:pPr><w:pStyle w:val="Normal"/></w:pPr>
<w:r><w:t xml:space="preserve">Drive, some 5 1/2 m. in circuit around the hills overlooking the</w:t></w:r>
</w:p>
<w:p>
<w:pPr><w:pStyle w:val="Normal"/></w:pPr>
<w:r><w:t xml:space="preserve">harbour.  Albany has several flourishing industries, of</w:t></w:r>
</w:p>
<w:p>
<w:pPr><w:pStyle w:val="Normal"/></w:pPr>
<w:r><w:t xml:space="preserve">which the chief are brewing, coach-building, printing and</w:t></w:r>
</w:p>
<w:p>
<w:pPr><w:pStyle w:val="Normal"/></w:pPr>
<w:r><w:t xml:space="preserve">tanning.  In addition it has the finest harbour in West</w:t></w:r>
</w:p>
<w:p>
<w:pPr><w:pStyle w:val="Normal"/></w:pPr>
<w:r><w:t xml:space="preserve">Australia.  A pier extends for 1700 ft. into the sea, giving</w:t></w:r>
</w:p>
<w:p>
<w:pPr><w:pStyle w:val="Normal"/></w:pPr>
<w:r><w:t xml:space="preserve">safe accommodation to the large steamers which call at the</w:t></w:r>
</w:p>
<w:p>
<w:pPr><w:pStyle w:val="Normal"/></w:pPr>
<w:r><w:t xml:space="preserve">port.  The Great Southern railway has a line to the seaward</w:t></w:r>
</w:p>
<w:p>
<w:pPr><w:pStyle w:val="Normal"/></w:pPr>
<w:r><w:t xml:space="preserve">end of the pier, and affords direct communication with the</w:t></w:r>
</w:p>
<w:p>
<w:pPr><w:pStyle w:val="Normal"/></w:pPr>
<w:r><w:t xml:space="preserve">interior of the colony.  The harbour is protected by forts</w:t></w:r>
</w:p>
<w:p>
<w:pPr><w:pStyle w:val="Normal"/></w:pPr>
<w:r><w:t xml:space="preserve">and there is a garrison in the town.  King George Sound,</w:t></w:r>
</w:p>
<w:p>
<w:pPr><w:pStyle w:val="Normal"/></w:pPr>
<w:r><w:t xml:space="preserve">of which Albany is the township, was first occupied in 1826</w:t></w:r>
</w:p>
<w:p>
<w:pPr><w:pStyle w:val="Normal"/></w:pPr>
<w:r><w:t xml:space="preserve">and a penal settlement was established.  No attempt was made</w:t></w:r>
</w:p>
<w:p>
<w:pPr><w:pStyle w:val="Normal"/></w:pPr>
<w:r><w:t xml:space="preserve">to colonize the locality until after this settlement was</w:t></w:r>
</w:p>
<w:p>
<w:pPr><w:pStyle w:val="Normal"/></w:pPr>
<w:r><w:t xml:space="preserve">given up in 1831.  Albany became a municipality in 1871.</w:t></w:r>
</w:p>
<w:p>
<w:pPr><w:pStyle w:val="Normal"/></w:pPr>
<w:r><w:t xml:space="preserve">ALBATEGNIUS (c. 850--929), an Arab prince and astronomer,</w:t></w:r>
</w:p>
<w:p>
<w:pPr><w:pStyle w:val="Normal"/></w:pPr>
<w:r><w:t xml:space="preserve">correctly designated Mahommed ben Gebir al Batani, his surname</w:t></w:r>
</w:p>
<w:p>
<w:pPr><w:pStyle w:val="Normal"/></w:pPr>
<w:r><w:t xml:space="preserve">being derived from his native town, Batan in Mesopotamia.  From</w:t></w:r>
</w:p>
<w:p>
<w:pPr><w:pStyle w:val="Normal"/></w:pPr>
<w:r><w:t xml:space="preserve">his observations at Aracte and Damascus, where he died, he was</w:t></w:r>
</w:p>
<w:p>
<w:pPr><w:pStyle w:val="Normal"/></w:pPr>
<w:r><w:t xml:space="preserve">able to correct some of Ptolemy&apos;s results, previously taken on</w:t></w:r>
</w:p>
<w:p>
<w:pPr><w:pStyle w:val="Normal"/></w:pPr>
<w:r><w:t xml:space="preserve">trust.  He compiled new tables of the sun and moon, long</w:t></w:r>
</w:p>
<w:p>
<w:pPr><w:pStyle w:val="Normal"/></w:pPr>
<w:r><w:t xml:space="preserve">accepted as authoritative, discovered the movement of the sun&apos;s</w:t></w:r>
</w:p>
<w:p>
<w:pPr><w:pStyle w:val="Normal"/></w:pPr>
<w:r><w:t xml:space="preserve">apogee, and assigned to annual precession the improved value of</w:t></w:r>
</w:p>
<w:p>
<w:pPr><w:pStyle w:val="Normal"/></w:pPr>
<w:r><w:t xml:space="preserve">55&apos;&apos; Perhaps independently of Aryabhatta (born at Pataliputra</w:t></w:r>
</w:p>
<w:p>
<w:pPr><w:pStyle w:val="Normal"/></w:pPr>
<w:r><w:t xml:space="preserve">on the Ganges 476 A.D.), he introduced the use of sines in</w:t></w:r>
</w:p>
<w:p>
<w:pPr><w:pStyle w:val="Normal"/></w:pPr>
<w:r><w:t xml:space="preserve">calculation, and partially that of tangents.  His principal</w:t></w:r>
</w:p>
<w:p>
<w:pPr><w:pStyle w:val="Normal"/></w:pPr>
<w:r><w:t xml:space="preserve">work, De Motu Stellarum, was published at Nuremberg in 1537</w:t></w:r>
</w:p>
<w:p>
<w:pPr><w:pStyle w:val="Normal"/></w:pPr>
<w:r><w:t xml:space="preserve">by Melanchthon, in a blundering Latin translation by Plato</w:t></w:r>
</w:p>
<w:p>
<w:pPr><w:pStyle w:val="Normal"/></w:pPr>
<w:r><w:t xml:space="preserve">Tiburtinus (fl. 1116), annotated by Regiomontanus.  A reprint</w:t></w:r>
</w:p>
<w:p>
<w:pPr><w:pStyle w:val="Normal"/></w:pPr>
<w:r><w:t xml:space="preserve">appeared at Bologna in 1645.  The original MS. is preserved</w:t></w:r>
</w:p>
<w:p>
<w:pPr><w:pStyle w:val="Normal"/></w:pPr>
<w:r><w:t xml:space="preserve">at the Vatican; and the Escorial library possesses in MS. a</w:t></w:r>
</w:p>
<w:p>
<w:pPr><w:pStyle w:val="Normal"/></w:pPr>
<w:r><w:t xml:space="preserve">treatise of some value by him on astronomical chronology.</w:t></w:r>
</w:p>
<w:p>
<w:pPr><w:pStyle w:val="Normal"/></w:pPr>
<w:r><w:t xml:space="preserve">Albategnius takes the highest rank among Arab astronomers.</w:t></w:r>
</w:p>
<w:p>
<w:pPr><w:pStyle w:val="Normal"/></w:pPr>
<w:r><w:t xml:space="preserve">See Houzeau, Bibliographie astronomique, i. 467; M. Marie, Histoire</w:t></w:r>
</w:p>
<w:p>
<w:pPr><w:pStyle w:val="Normal"/></w:pPr>
<w:r><w:t xml:space="preserve">des sciences, ii. 113; R. Wolf, Geschichte der Astronomie,</w:t></w:r>
</w:p>
<w:p>
<w:pPr><w:pStyle w:val="Normal"/></w:pPr>
<w:r><w:t xml:space="preserve">p. 67; Delambre, Hist. de l&apos;astr. au moyen age, ch. ii.;</w:t></w:r>
</w:p>
<w:p>
<w:pPr><w:pStyle w:val="Normal"/></w:pPr>
<w:r><w:t xml:space="preserve">Phil.  Trans. 1693 (913), where E. Halley supplies corrections</w:t></w:r>
</w:p>
<w:p>
<w:pPr><w:pStyle w:val="Normal"/></w:pPr>
<w:r><w:t xml:space="preserve">to some of the observations recorded in De Motu Stellarum.</w:t></w:r>
</w:p>
<w:p>
<w:pPr><w:pStyle w:val="Normal"/></w:pPr>
<w:r><w:t xml:space="preserve">ALBATROSS (from the Port. Alcatraz, a pelican), the name</w:t></w:r>
</w:p>
<w:p>
<w:pPr><w:pStyle w:val="Normal"/></w:pPr>
<w:r><w:t xml:space="preserve">of a genus of aquatic birds (Diomedea), closely allied to the</w:t></w:r>
</w:p>
<w:p>
<w:pPr><w:pStyle w:val="Normal"/></w:pPr>
<w:r><w:t xml:space="preserve">petrels, and belonging, like them, to the order Tubinares.</w:t></w:r>
</w:p>
<w:p>
<w:pPr><w:pStyle w:val="Normal"/></w:pPr>
<w:r><w:t xml:space="preserve">In the name Diomedea, assigned to them by Linnaeus, there</w:t></w:r>
</w:p>
<w:p>
<w:pPr><w:pStyle w:val="Normal"/></w:pPr>
<w:r><w:t xml:space="preserve">is a reference to the mythical metamorphosis of the companions</w:t></w:r>
</w:p>
<w:p>
<w:pPr><w:pStyle w:val="Normal"/></w:pPr>
<w:r><w:t xml:space="preserve">of the Greek warrior Diomedes into birds.  The beak is large,</w:t></w:r>
</w:p>
<w:p>
<w:pPr><w:pStyle w:val="Normal"/></w:pPr>
<w:r><w:t xml:space="preserve">strong and sharp-edged, the upper mandible terminating in</w:t></w:r>
</w:p>
<w:p>
<w:pPr><w:pStyle w:val="Normal"/></w:pPr>
<w:r><w:t xml:space="preserve">a large hook; the wings are narrow and very long; the feet</w:t></w:r>
</w:p>
<w:p>
<w:pPr><w:pStyle w:val="Normal"/></w:pPr>
<w:r><w:t xml:space="preserve">have no hind toe, and the three anterior toes are completely</w:t></w:r>
</w:p>
<w:p>
<w:pPr><w:pStyle w:val="Normal"/></w:pPr>
<w:r><w:t xml:space="preserve">webbed.  The best known is the common or wandering albatross</w:t></w:r>
</w:p>
<w:p>
<w:pPr><w:pStyle w:val="Normal"/></w:pPr>
<w:r><w:t xml:space="preserve">(D. exulans), which occurs in all parts of the Southern</w:t></w:r>
</w:p>
<w:p>
<w:pPr><w:pStyle w:val="Normal"/></w:pPr>
<w:r><w:t xml:space="preserve">Ocean.  It is the largest and strongest of all sea-birds.</w:t></w:r>
</w:p>
<w:p>
<w:pPr><w:pStyle w:val="Normal"/></w:pPr>
<w:r><w:t xml:space="preserve">The length of the body is stated at 4 ft., and the weight at</w:t></w:r>
</w:p>
<w:p>
<w:pPr><w:pStyle w:val="Normal"/></w:pPr>
<w:r><w:t xml:space="preserve">from 15 to 25 lb. .  It sometimes measures as much as 17 ft.</w:t></w:r>
</w:p>
<w:p>
<w:pPr><w:pStyle w:val="Normal"/></w:pPr>
<w:r><w:t xml:space="preserve">between the tips of the extended, wings, averaging probably</w:t></w:r>
</w:p>
<w:p>
<w:pPr><w:pStyle w:val="Normal"/></w:pPr>
<w:r><w:t xml:space="preserve">from 10 to 12 ft.  Its strength of wing is very great.  It</w:t></w:r>
</w:p>
<w:p>
<w:pPr><w:pStyle w:val="Normal"/></w:pPr>
<w:r><w:t xml:space="preserve">often accompanies a ship for days--not merely following it,</w:t></w:r>
</w:p>
<w:p>
<w:pPr><w:pStyle w:val="Normal"/></w:pPr>
<w:r><w:t xml:space="preserve">but wheeling in wide circles round it---without ever being</w:t></w:r>
</w:p>
<w:p>
<w:pPr><w:pStyle w:val="Normal"/></w:pPr>
<w:r><w:t xml:space="preserve">observed to alight on the water. and continues its flight,</w:t></w:r>
</w:p>
<w:p>
<w:pPr><w:pStyle w:val="Normal"/></w:pPr>
<w:r><w:t xml:space="preserve">apparently untired, in tempestuous as well as in moderate</w:t></w:r>
</w:p>
<w:p>
<w:pPr><w:pStyle w:val="Normal"/></w:pPr>
<w:r><w:t xml:space="preserve">weather.  It has even been said to sleep on the wing, and</w:t></w:r>
</w:p>
<w:p>
<w:pPr><w:pStyle w:val="Normal"/></w:pPr>
<w:r><w:t xml:space="preserve">Moore alludes to this fanciful ``cloud-rocked slumbering&apos;&apos;</w:t></w:r>
</w:p>
<w:p>
<w:pPr><w:pStyle w:val="Normal"/></w:pPr>
<w:r><w:t xml:space="preserve">in his Fire Worshippers. It feeds on small fish and on the</w:t></w:r>
</w:p>
<w:p>
<w:pPr><w:pStyle w:val="Normal"/></w:pPr>
<w:r><w:t xml:space="preserve">animal refuse that floats on the sea, eating to such excess</w:t></w:r>
</w:p>
<w:p>
<w:pPr><w:pStyle w:val="Normal"/></w:pPr>
<w:r><w:t xml:space="preserve">at times that it is unable to fiy and rests helplessly on the</w:t></w:r>
</w:p>
<w:p>
<w:pPr><w:pStyle w:val="Normal"/></w:pPr>
<w:r><w:t xml:space="preserve">water.  The colour of the bird is white, the back being</w:t></w:r>
</w:p>
<w:p>
<w:pPr><w:pStyle w:val="Normal"/></w:pPr>
<w:r><w:t xml:space="preserve">streaked transversely with black or brown bands, and the wings</w:t></w:r>
</w:p>
<w:p>
<w:pPr><w:pStyle w:val="Normal"/></w:pPr>
<w:r><w:t xml:space="preserve">dark.  Sailors capture the bird for its long wing-bones, which</w:t></w:r>
</w:p>
<w:p>
<w:pPr><w:pStyle w:val="Normal"/></w:pPr>
<w:r><w:t xml:space="preserve">they manufacture into tobacco-pipe stems.  The albatross lays</w:t></w:r>
</w:p>
<w:p>
<w:pPr><w:pStyle w:val="Normal"/></w:pPr>
<w:r><w:t xml:space="preserve">one egg; it is white, with a few spots, and is about 4 in.</w:t></w:r>
</w:p>
<w:p>
<w:pPr><w:pStyle w:val="Normal"/></w:pPr>
<w:r><w:t xml:space="preserve">long.  In breeding-time the bird resorts to solitary island</w:t></w:r>
</w:p>
<w:p>
<w:pPr><w:pStyle w:val="Normal"/></w:pPr>
<w:r><w:t xml:space="preserve">groups, like the Crozet Islands and the elevated Tristan</w:t></w:r>
</w:p>
<w:p>
<w:pPr><w:pStyle w:val="Normal"/></w:pPr>
<w:r><w:t xml:space="preserve">da Cunha, where it has its nest--a natural hollow or a</w:t></w:r>
</w:p>
<w:p>
<w:pPr><w:pStyle w:val="Normal"/></w:pPr>
<w:r><w:t xml:space="preserve">circle of earth roughly scraped together--on the open</w:t></w:r>
</w:p>
<w:p>
<w:pPr><w:pStyle w:val="Normal"/></w:pPr>
<w:r><w:t xml:space="preserve">ground.  The early explorers of the great Southern Sea cheered</w:t></w:r>
</w:p>
<w:p>
<w:pPr><w:pStyle w:val="Normal"/></w:pPr>
<w:r><w:t xml:space="preserve">themselves with the companionship of the albatross in its</w:t></w:r>
</w:p>
<w:p>
<w:pPr><w:pStyle w:val="Normal"/></w:pPr>
<w:r><w:t xml:space="preserve">dreary solitudes; and the evil hap of him who shot with his</w:t></w:r>
</w:p>
<w:p>
<w:pPr><w:pStyle w:val="Normal"/></w:pPr>
<w:r><w:t xml:space="preserve">cross-bow the bird of good omen is familiar to readers of</w:t></w:r>
</w:p>
<w:p>
<w:pPr><w:pStyle w:val="Normal"/></w:pPr>
<w:r><w:t xml:space="preserve">Coleridge&apos;s Rime of the Ancient Mariner. Several species of</w:t></w:r>
</w:p>
<w:p>
<w:pPr><w:pStyle w:val="Normal"/></w:pPr>
<w:r><w:t xml:space="preserve">albatross are known; for the smaller forms see MALLEMUCK.</w:t></w:r>
</w:p>
<w:p>
<w:pPr><w:pStyle w:val="Normal"/></w:pPr>
<w:r><w:t xml:space="preserve">ALBAY, a city and the capital of the province of Albay,</w:t></w:r>
</w:p>
<w:p>
<w:pPr><w:pStyle w:val="Normal"/></w:pPr>
<w:r><w:t xml:space="preserve">Luzon, Philippine Islands, near an inlet on the W. shore</w:t></w:r>
</w:p>
<w:p>
<w:pPr><w:pStyle w:val="Normal"/></w:pPr>
<w:r><w:t xml:space="preserve">of the Gulf of Albay, 215 m. by wagon-road S.E. of Manila.</w:t></w:r>
</w:p>
<w:p>
<w:pPr><w:pStyle w:val="Normal"/></w:pPr>
<w:r><w:t xml:space="preserve">Pop. (1903) 14,049; in October 1907 the towns of Daraga (pop.</w:t></w:r>
</w:p>
<w:p>
<w:pPr><w:pStyle w:val="Normal"/></w:pPr>
<w:r><w:t xml:space="preserve">1903, 18,695) and Legaspi (pop. 1903, 9206) were merged with</w:t></w:r>
</w:p>
<w:p>
<w:pPr><w:pStyle w:val="Normal"/></w:pPr>
<w:r><w:t xml:space="preserve">Albay, making its total population, on the basis of the 1903</w:t></w:r>
</w:p>
<w:p>
<w:pPr><w:pStyle w:val="Normal"/></w:pPr>
<w:r><w:t xml:space="preserve">census, 41,950.  Albay is one of the most important cities</w:t></w:r>
</w:p>
<w:p>
<w:pPr><w:pStyle w:val="Normal"/></w:pPr>
<w:r><w:t xml:space="preserve">of the Philippine Islands.  It is built on level ground</w:t></w:r>
</w:p>
<w:p>
<w:pPr><w:pStyle w:val="Normal"/></w:pPr>
<w:r><w:t xml:space="preserve">near the S. base of Mount Mayon, a beautiful volcanic peak,</w:t></w:r>
</w:p>
<w:p>
<w:pPr><w:pStyle w:val="Normal"/></w:pPr>
<w:r><w:t xml:space="preserve">7916 ft. high, from which it is sheltered by the Linguin</w:t></w:r>
</w:p>
<w:p>
<w:pPr><w:pStyle w:val="Normal"/></w:pPr>
<w:r><w:t xml:space="preserve">hills.  The surrounding country is one of the most important</w:t></w:r>
</w:p>
<w:p>
<w:pPr><w:pStyle w:val="Normal"/></w:pPr>
<w:r><w:t xml:space="preserve">hemp-producing districts in the Philippines; sinamay is woven</w:t></w:r>
</w:p>
<w:p>
<w:pPr><w:pStyle w:val="Normal"/></w:pPr>
<w:r><w:t xml:space="preserve">here, and large quantities of hemp are shipped from here to</w:t></w:r>
</w:p>
<w:p>
<w:pPr><w:pStyle w:val="Normal"/></w:pPr>
<w:r><w:t xml:space="preserve">Manila.  Cocoa, copra, sugar and sweet potatoes are other</w:t></w:r>
</w:p>
<w:p>
<w:pPr><w:pStyle w:val="Normal"/></w:pPr>
<w:r><w:t xml:space="preserve">important products of the district.  The language is</w:t></w:r>
</w:p>
<w:p>
<w:pPr><w:pStyle w:val="Normal"/></w:pPr>
<w:r><w:t xml:space="preserve">Bicol.  The old town, called Cagsaua, which stood a short</w:t></w:r>
</w:p>
<w:p>
<w:pPr><w:pStyle w:val="Normal"/></w:pPr>
<w:r><w:t xml:space="preserve">distance E.N.E. of the new, was completely destroyed by an</w:t></w:r>
</w:p>
<w:p>
<w:pPr><w:pStyle w:val="Normal"/></w:pPr>
<w:r><w:t xml:space="preserve">eruption of the volcano in 1814 (about 1200 people being</w:t></w:r>
</w:p>
<w:p>
<w:pPr><w:pStyle w:val="Normal"/></w:pPr>
<w:r><w:t xml:space="preserve">killed), and the new town was almost entirely destroyed by</w:t></w:r>
</w:p>
<w:p>
<w:pPr><w:pStyle w:val="Normal"/></w:pPr>
<w:r><w:t xml:space="preserve">the insurgents in February 1900, an ancient stone church of</w:t></w:r>
</w:p>
<w:p>
<w:pPr><w:pStyle w:val="Normal"/></w:pPr>
<w:r><w:t xml:space="preserve">much beauty (in what was formerly Daraga) being left standing</w:t></w:r>
</w:p>
<w:p>
<w:pPr><w:pStyle w:val="Normal"/></w:pPr>
<w:r><w:t xml:space="preserve">on an elevated site commanding a view of the surrounding</w:t></w:r>
</w:p>
<w:p>
<w:pPr><w:pStyle w:val="Normal"/></w:pPr>
<w:r><w:t xml:space="preserve">country.  The town was rebuilt on a larger scale by Americans.</w:t></w:r>
</w:p>
<w:p>
<w:pPr><w:pStyle w:val="Normal"/></w:pPr>
<w:r><w:t xml:space="preserve">ALBEDO (from Lat. albus, white), ``whiteness,&apos;&apos;</w:t></w:r>
</w:p>
<w:p>
<w:pPr><w:pStyle w:val="Normal"/></w:pPr>
<w:r><w:t xml:space="preserve">a word used principally in astronomy for the degree</w:t></w:r>
</w:p>
<w:p>
<w:pPr><w:pStyle w:val="Normal"/></w:pPr>
<w:r><w:t xml:space="preserve">of reflected light; the light of the sun which is</w:t></w:r>
</w:p>
<w:p>
<w:pPr><w:pStyle w:val="Normal"/></w:pPr>
<w:r><w:t xml:space="preserve">reflected from the moon is called the albedo of the moon.</w:t></w:r>
</w:p>
<w:p>
<w:pPr><w:pStyle w:val="Normal"/></w:pPr>
<w:r><w:t xml:space="preserve">ALBEMARLE, EARLS AND DUKES OF. The name Albemarle, which</w:t></w:r>
</w:p>
<w:p>
<w:pPr><w:pStyle w:val="Normal"/></w:pPr>
<w:r><w:t xml:space="preserve">now forms the title of the earldom held by the English</w:t></w:r>
</w:p>
<w:p>
<w:pPr><w:pStyle w:val="Normal"/></w:pPr>
<w:r><w:t xml:space="preserve">family of Keppel, is an early variant of the French Aumale</w:t></w:r>
</w:p>
<w:p>
<w:pPr><w:pStyle w:val="Normal"/></w:pPr>
<w:r><w:t xml:space="preserve">(Lat. Alba dlarla), other forms being Aubemarle and</w:t></w:r>
</w:p>
<w:p>
<w:pPr><w:pStyle w:val="Normal"/></w:pPr>
<w:r><w:t xml:space="preserve">Aumerle, and is described in the patent of nobility granted</w:t></w:r>
</w:p>
<w:p>
<w:pPr><w:pStyle w:val="Normal"/></w:pPr>
<w:r><w:t xml:space="preserve">in 1696-1697 by William III. to Arnold Joost van Keppel</w:t></w:r>
</w:p>
<w:p>
<w:pPr><w:pStyle w:val="Normal"/></w:pPr>
<w:r><w:t xml:space="preserve">as ``a town and territory in the dukedom of Normandy.&apos;&apos;</w:t></w:r>
</w:p>
<w:p>
<w:pPr><w:pStyle w:val="Normal"/></w:pPr>
<w:r><w:t xml:space="preserve">The fief of Aumale (q. v.) was granted by the archbishop</w:t></w:r>
</w:p>
<w:p>
<w:pPr><w:pStyle w:val="Normal"/></w:pPr>
<w:r><w:t xml:space="preserve">of Rouen to Odo of Champagne, brother-in-law of William the</w:t></w:r>
</w:p>
<w:p>
<w:pPr><w:pStyle w:val="Normal"/></w:pPr>
<w:r><w:t xml:space="preserve">Conqueror, who erected it into a countship.  On Odo&apos;s death</w:t></w:r>
</w:p>
<w:p>
<w:pPr><w:pStyle w:val="Normal"/></w:pPr>
<w:r><w:t xml:space="preserve">his son Stephen succeeded not only to the countship of Aumale,</w:t></w:r>
</w:p>
<w:p>
<w:pPr><w:pStyle w:val="Normal"/></w:pPr>
<w:r><w:t xml:space="preserve">but to the lordships of Holderness, of Bytham in Lincolnshire,</w:t></w:r>
</w:p>
<w:p>
<w:pPr><w:pStyle w:val="Normal"/></w:pPr>
<w:r><w:t xml:space="preserve">&amp;c., which were subsequently known as the ``Fee and Honor of</w:t></w:r>
</w:p>
<w:p>
<w:pPr><w:pStyle w:val="Normal"/></w:pPr>
<w:r><w:t xml:space="preserve">Albemarle.&apos;&apos; Stephen, who as a crusader had fought valiantly at</w:t></w:r>
</w:p>
<w:p>
<w:pPr><w:pStyle w:val="Normal"/></w:pPr>
<w:r><w:t xml:space="preserve">Antioch, died about 1127, leaving by his wife Hawise, daughter</w:t></w:r>
</w:p>
<w:p>
<w:pPr><w:pStyle w:val="Normal"/></w:pPr>
<w:r><w:t xml:space="preserve">of Ralph de Mortimer, a son---William of Blois, known as</w:t></w:r>
</w:p>
<w:p>
<w:pPr><w:pStyle w:val="Normal"/></w:pPr>
<w:r><w:t xml:space="preserve">``le Gros.&apos;&apos; William, who distinguished himself at the battle</w:t></w:r>
</w:p>
<w:p>
<w:pPr><w:pStyle w:val="Normal"/></w:pPr>
<w:r><w:t xml:space="preserve">of the Standard (1138), and shared with King Stephen in the</w:t></w:r>
</w:p>
<w:p>
<w:pPr><w:pStyle w:val="Normal"/></w:pPr>
<w:r><w:t xml:space="preserve">defeat of Lincoln (1141), married Cicely, daughter of William</w:t></w:r>
</w:p>
<w:p>
<w:pPr><w:pStyle w:val="Normal"/></w:pPr>
<w:r><w:t xml:space="preserve">FitzDuncan, grandson of Malcolm, king of Scotland, who as ``lady</w:t></w:r>
</w:p>
<w:p>
<w:pPr><w:pStyle w:val="Normal"/></w:pPr>
<w:r><w:t xml:space="preserve">of Harewood&apos;&apos; brought him vast estates.  He founded abbeys</w:t></w:r>
</w:p>
<w:p>
<w:pPr><w:pStyle w:val="Normal"/></w:pPr>
<w:r><w:t xml:space="preserve">at Meaux in Holderness and at Thornton, and died in 1179.</w:t></w:r>
</w:p>
<w:p>
<w:pPr><w:pStyle w:val="Normal"/></w:pPr>
<w:r><w:t xml:space="preserve">His elder daughter and heiress Hawise married (1) William de</w:t></w:r>
</w:p>
<w:p>
<w:pPr><w:pStyle w:val="Normal"/></w:pPr>
<w:r><w:t xml:space="preserve">Mandeville, 3rd earl of Essex (d. 1189), (2) William de Fortibus</w:t></w:r>
</w:p>
<w:p>
<w:pPr><w:pStyle w:val="Normal"/></w:pPr>
<w:r><w:t xml:space="preserve">(de Fors, de Fortz or des Forts1), (3) Baldwin de Betun or</w:t></w:r>
</w:p>
<w:p>
<w:pPr><w:pStyle w:val="Normal"/></w:pPr>
<w:r><w:t xml:space="preserve">Bethune, all of whom bore the title of earls of Albemarle.</w:t></w:r>
</w:p>
<w:p>
<w:pPr><w:pStyle w:val="Normal"/></w:pPr>
<w:r><w:t xml:space="preserve">Soon after the deathpf Baldwin (October 13, 1213), William de</w:t></w:r>
</w:p>
<w:p>
<w:pPr><w:pStyle w:val="Normal"/></w:pPr>
<w:r><w:t xml:space="preserve">Fortibus, Hawise&apos;s son by her second husband, was established</w:t></w:r>
</w:p>
<w:p>
<w:pPr><w:pStyle w:val="Normal"/></w:pPr>
<w:r><w:t xml:space="preserve">by King John in the territories of the countship of Albemarle,</w:t></w:r>
</w:p>
<w:p>
<w:pPr><w:pStyle w:val="Normal"/></w:pPr>
<w:r><w:t xml:space="preserve">and in 1215 the whole of his mother&apos;s estates were formally</w:t></w:r>
</w:p>
<w:p>
<w:pPr><w:pStyle w:val="Normal"/></w:pPr>
<w:r><w:t xml:space="preserve">confirmed to him.  He is described by Bishop Stubbs as ``a</w:t></w:r>
</w:p>
<w:p>
<w:pPr><w:pStyle w:val="Normal"/></w:pPr>
<w:r><w:t xml:space="preserve">feudal adventurer of the worst type,&apos;&apos; and for some time was</w:t></w:r>
</w:p>
<w:p>
<w:pPr><w:pStyle w:val="Normal"/></w:pPr>
<w:r><w:t xml:space="preserve">actively engaged in the struggles of the Norman barons against</w:t></w:r>
</w:p>
<w:p>
<w:pPr><w:pStyle w:val="Normal"/></w:pPr>
<w:r><w:t xml:space="preserve">John and Henry III. He was one of the twenty-five executors</w:t></w:r>
</w:p>
<w:p>
<w:pPr><w:pStyle w:val="Normal"/></w:pPr>
<w:r><w:t xml:space="preserve">of the Great Charter; but in the war that followed sided with</w:t></w:r>
</w:p>
<w:p>
<w:pPr><w:pStyle w:val="Normal"/></w:pPr>
<w:r><w:t xml:space="preserve">John, subsequently changing sides as often as it suited his</w:t></w:r>
</w:p>
<w:p>
<w:pPr><w:pStyle w:val="Normal"/></w:pPr>
<w:r><w:t xml:space="preserve">policy.  His object was to revive the independent power</w:t></w:r>
</w:p>
<w:p>
<w:pPr><w:pStyle w:val="Normal"/></w:pPr>
<w:r><w:t xml:space="preserve">of the feudal barons, and he co-operated to this end with</w:t></w:r>
</w:p>
<w:p>
<w:pPr><w:pStyle w:val="Normal"/></w:pPr>
<w:r><w:t xml:space="preserve">Falkes de Breaute (q.v.) and other foreign adventurers</w:t></w:r>
</w:p>
<w:p>
<w:pPr><w:pStyle w:val="Normal"/></w:pPr>
<w:r><w:t xml:space="preserve">established in the country by John.  This brought him into</w:t></w:r>
</w:p>
<w:p>
<w:pPr><w:pStyle w:val="Normal"/></w:pPr>
<w:r><w:t xml:space="preserve">conflict with the great justiciar, Hubert de Burgh, and in</w:t></w:r>
</w:p>
<w:p>
<w:pPr><w:pStyle w:val="Normal"/></w:pPr>
<w:r><w:t xml:space="preserve">1219 he was declared a rebel and excommunicated for attending</w:t></w:r>
</w:p>
<w:p>
<w:pPr><w:pStyle w:val="Normal"/></w:pPr>
<w:r><w:t xml:space="preserve">a forbidden tournament.  In 1220 matters were brought to a</w:t></w:r>
</w:p>
<w:p>
<w:pPr><w:pStyle w:val="Normal"/></w:pPr>
<w:r><w:t xml:space="preserve">crisis by his refusal to surrender the two royal castles of</w:t></w:r>
</w:p>
<w:p>
<w:pPr><w:pStyle w:val="Normal"/></w:pPr>
<w:r><w:t xml:space="preserve">Rockingham and Sauvey of which he had been made constable in</w:t></w:r>
</w:p>
<w:p>
<w:pPr><w:pStyle w:val="Normal"/></w:pPr>
<w:r><w:t xml:space="preserve">1216.  Henry III. marched against them in person, the garrisons</w:t></w:r>
</w:p>
<w:p>
<w:pPr><w:pStyle w:val="Normal"/></w:pPr>
<w:r><w:t xml:space="preserve">fled, and they fell without a blow.  In the following year,</w:t></w:r>
</w:p>
<w:p>
<w:pPr><w:pStyle w:val="Normal"/></w:pPr>
<w:r><w:t xml:space="preserve">however, Albemarle, in face of further efforts to reduce his</w:t></w:r>
</w:p>
<w:p>
<w:pPr><w:pStyle w:val="Normal"/></w:pPr>
<w:r><w:t xml:space="preserve">power, rose in revolt.  He was now again excommunicated by</w:t></w:r>
</w:p>
<w:p>
<w:pPr><w:pStyle w:val="Normal"/></w:pPr>
<w:r><w:t xml:space="preserve">the legate Pandulph at a solemn council held in St Paul&apos;s,</w:t></w:r>
</w:p>
<w:p>
<w:pPr><w:pStyle w:val="Normal"/></w:pPr>
<w:r><w:t xml:space="preserve">and the whole force of the kingdom was set in motion against</w:t></w:r>
</w:p>
<w:p>
<w:pPr><w:pStyle w:val="Normal"/></w:pPr>
<w:r><w:t xml:space="preserve">him, a special scutage-the ``scutagium de Bihan&apos;&apos;---being</w:t></w:r>
</w:p>
<w:p>
<w:pPr><w:pStyle w:val="Normal"/></w:pPr>
<w:r><w:t xml:space="preserve">voted for this purpose by the Great Council.  The capture</w:t></w:r>
</w:p>
<w:p>
<w:pPr><w:pStyle w:val="Normal"/></w:pPr>
<w:r><w:t xml:space="preserve">of his castle of Bytham broke his power; he sought sanctuary</w:t></w:r>
</w:p>
<w:p>
<w:pPr><w:pStyle w:val="Normal"/></w:pPr>
<w:r><w:t xml:space="preserve">and, at Pandulph&apos;s intercession, was pardoned on condition</w:t></w:r>
</w:p>
<w:p>
<w:pPr><w:pStyle w:val="Normal"/></w:pPr>
<w:r><w:t xml:space="preserve">of going for six years to the Holy Land.  He remained in</w:t></w:r>
</w:p>
<w:p>
<w:pPr><w:pStyle w:val="Normal"/></w:pPr>
<w:r><w:t xml:space="preserve">England, however, and in 1223 was once more in revolt with</w:t></w:r>
</w:p>
<w:p>
<w:pPr><w:pStyle w:val="Normal"/></w:pPr>
<w:r><w:t xml:space="preserve">Falkes de Breaute, the earl of Chester and other turbulent</w:t></w:r>
</w:p>
<w:p>
<w:pPr><w:pStyle w:val="Normal"/></w:pPr>
<w:r><w:t xml:space="preserve">spirits.  A reconciliation was once more patched up; but it</w:t></w:r>
</w:p>
<w:p>
<w:pPr><w:pStyle w:val="Normal"/></w:pPr>
<w:r><w:t xml:space="preserve">was not until the fall of Falkes de Breaute that Albemarle</w:t></w:r>
</w:p>
<w:p>
<w:pPr><w:pStyle w:val="Normal"/></w:pPr>
<w:r><w:t xml:space="preserve">finally settled down as an English noble.  In 1225 he witnessed</w:t></w:r>
</w:p>
<w:p>
<w:pPr><w:pStyle w:val="Normal"/></w:pPr>
<w:r><w:t xml:space="preserve">Henry&apos;s third re-issue of the Great Charter; in 1227 he went</w:t></w:r>
</w:p>
<w:p>
<w:pPr><w:pStyle w:val="Normal"/></w:pPr>
<w:r><w:t xml:space="preserve">as ambassador to Antwerp; and in 1230 he accompanied Henry on</w:t></w:r>
</w:p>
<w:p>
<w:pPr><w:pStyle w:val="Normal"/></w:pPr>
<w:r><w:t xml:space="preserve">his expedition to Brittany.  In 1241 he set out for the Holy</w:t></w:r>
</w:p>
<w:p>
<w:pPr><w:pStyle w:val="Normal"/></w:pPr>
<w:r><w:t xml:space="preserve">Land, but died at sea, on his way there, on the 26th of March</w:t></w:r>
</w:p>
<w:p>
<w:pPr><w:pStyle w:val="Normal"/></w:pPr>
<w:r><w:t xml:space="preserve">1242.  By his wife Avelina of Montfichet, William left a</w:t></w:r>
</w:p>
<w:p>
<w:pPr><w:pStyle w:val="Normal"/></w:pPr>
<w:r><w:t xml:space="preserve">son, also named William, who married (1) Christina (d.</w:t></w:r>
</w:p>
<w:p>
<w:pPr><w:pStyle w:val="Normal"/></w:pPr>
<w:r><w:t xml:space="preserve">1246), daughter and co-heiress of Alan, lord of Galloway,</w:t></w:r>
</w:p>
<w:p>
<w:pPr><w:pStyle w:val="Normal"/></w:pPr>
<w:r><w:t xml:space="preserve">(2) in 1248 Isabella de Redvers (1237-1292-3), daughter of</w:t></w:r>
</w:p>
<w:p>
<w:pPr><w:pStyle w:val="Normal"/></w:pPr>
<w:r><w:t xml:space="preserve">Baldwin de Redvers, earl of Devon and lord of the Isle of</w:t></w:r>
</w:p>
<w:p>
<w:pPr><w:pStyle w:val="Normal"/></w:pPr>
<w:r><w:t xml:space="preserve">Wight.  He played a conspicuous part in the reign of Henry</w:t></w:r>
</w:p>
<w:p>
<w:pPr><w:pStyle w:val="Normal"/></w:pPr>
<w:r><w:t xml:space="preserve">III., notably in the Mad Parliament of 1258, and died at</w:t></w:r>
</w:p>
<w:p>
<w:pPr><w:pStyle w:val="Normal"/></w:pPr>
<w:r><w:t xml:space="preserve">Amiens in 1260.  His widow, Isabella, on the death of her</w:t></w:r>
</w:p>
<w:p>
<w:pPr><w:pStyle w:val="Normal"/></w:pPr>
<w:r><w:t xml:space="preserve">brother Baldwin, 8th earl of Devon, in 1261, cailed herself</w:t></w:r>
</w:p>
<w:p>
<w:pPr><w:pStyle w:val="Normal"/></w:pPr>
<w:r><w:t xml:space="preserve">countess of Devon.  She had two children, Thomas, who died</w:t></w:r>
</w:p>
<w:p>
<w:pPr><w:pStyle w:val="Normal"/></w:pPr>
<w:r><w:t xml:space="preserve">in 1269 unmarried, and Avelina, who married (1269) Edmund</w:t></w:r>
</w:p>
<w:p>
<w:pPr><w:pStyle w:val="Normal"/></w:pPr>
<w:r><w:t xml:space="preserve">Plantagenet, earl of Lancaster, and died without issue in</w:t></w:r>
</w:p>
<w:p>
<w:pPr><w:pStyle w:val="Normal"/></w:pPr>
<w:r><w:t xml:space="preserve">1274.  The ``Honor of Albemarle&apos;&apos; was claimed, in 1278, by</w:t></w:r>
</w:p>
<w:p>
<w:pPr><w:pStyle w:val="Normal"/></w:pPr>
<w:r><w:t xml:space="preserve">John de Eston, or Aston, as heir of Amicia, younger daughter</w:t></w:r>
</w:p>
<w:p>
<w:pPr><w:pStyle w:val="Normal"/></w:pPr>
<w:r><w:t xml:space="preserve">of William le Gros; but he released his right to the earldom of</w:t></w:r>
</w:p>
<w:p>
<w:pPr><w:pStyle w:val="Normal"/></w:pPr>
<w:r><w:t xml:space="preserve">Albemarle to the crown in exchange for certain lands in Thornton.</w:t></w:r>
</w:p>
<w:p>
<w:pPr><w:pStyle w:val="Normal"/></w:pPr>
<w:r><w:t xml:space="preserve">The title of Albemarle, thus extinguished, was several times</w:t></w:r>
</w:p>
<w:p>
<w:pPr><w:pStyle w:val="Normal"/></w:pPr>
<w:r><w:t xml:space="preserve">revived before it became attached to the family of its present</w:t></w:r>
</w:p>
<w:p>
<w:pPr><w:pStyle w:val="Normal"/></w:pPr>
<w:r><w:t xml:space="preserve">holders.  In 1385 Thomas of Woodstock, duke of Gloucester,</w:t></w:r>
</w:p>
<w:p>
<w:pPr><w:pStyle w:val="Normal"/></w:pPr>
<w:r><w:t xml:space="preserve">was summoned to padiament as ``duke of Albemarle,&apos;&apos; but he</w:t></w:r>
</w:p>
<w:p>
<w:pPr><w:pStyle w:val="Normal"/></w:pPr>
<w:r><w:t xml:space="preserve">seems never subsequently to have used the title.  In any</w:t></w:r>
</w:p>
<w:p>
<w:pPr><w:pStyle w:val="Normal"/></w:pPr>
<w:r><w:t xml:space="preserve">case this creation became extinct with the death of his son</w:t></w:r>
</w:p>
<w:p>
<w:pPr><w:pStyle w:val="Normal"/></w:pPr>
<w:r><w:t xml:space="preserve">Humphrey, duke of Gloucester, in 1399.  In 1411 Thomas</w:t></w:r>
</w:p>
<w:p>
<w:pPr><w:pStyle w:val="Normal"/></w:pPr>
<w:r><w:t xml:space="preserve">Plantagenet, second son of Henry IV., was created earl of</w:t></w:r>
</w:p>
<w:p>
<w:pPr><w:pStyle w:val="Normal"/></w:pPr>
<w:r><w:t xml:space="preserve">Albemarle and duke of Clarence, but at his death at the</w:t></w:r>
</w:p>
<w:p>
<w:pPr><w:pStyle w:val="Normal"/></w:pPr>
<w:r><w:t xml:space="preserve">battle of Beauge (March 22, 1421) these honours became</w:t></w:r>
</w:p>
<w:p>
<w:pPr><w:pStyle w:val="Normal"/></w:pPr>
<w:r><w:t xml:space="preserve">extinct.  That of Albemarle was, however, soon revived (c.</w:t></w:r>
</w:p>
<w:p>
<w:pPr><w:pStyle w:val="Normal"/></w:pPr>
<w:r><w:t xml:space="preserve">1423) in favour of Richard de Beauchamp, earl of Warwick,</w:t></w:r>
</w:p>
<w:p>
<w:pPr><w:pStyle w:val="Normal"/></w:pPr>
<w:r><w:t xml:space="preserve">whose title of earl of Aumerle, however, died with him.</w:t></w:r>
</w:p>
<w:p>
<w:pPr><w:pStyle w:val="Normal"/></w:pPr>
<w:r><w:t xml:space="preserve">In 1660 Charles II. bestowed the title of duke of Albemarle on</w:t></w:r>
</w:p>
<w:p>
<w:pPr><w:pStyle w:val="Normal"/></w:pPr>
<w:r><w:t xml:space="preserve">General Monk (q.v..) Monk&apos;s hereditary claim to this semiroyal</w:t></w:r>
</w:p>
<w:p>
<w:pPr><w:pStyle w:val="Normal"/></w:pPr>
<w:r><w:t xml:space="preserve">peerage was a very shadowy one, being based--as was also his</w:t></w:r>
</w:p>
<w:p>
<w:pPr><w:pStyle w:val="Normal"/></w:pPr>
<w:r><w:t xml:space="preserve">subordinate style of Baron Beauchamp---on his descent from the</w:t></w:r>
</w:p>
<w:p>
<w:pPr><w:pStyle w:val="Normal"/></w:pPr>
<w:r><w:t xml:space="preserve">youngest of the three co-heiresses of Richard, earl of Warwick,</w:t></w:r>
</w:p>
<w:p>
<w:pPr><w:pStyle w:val="Normal"/></w:pPr>
<w:r><w:t xml:space="preserve">and, with yet more remote applicability, on that from Arthur</w:t></w:r>
</w:p>
<w:p>
<w:pPr><w:pStyle w:val="Normal"/></w:pPr>
<w:r><w:t xml:space="preserve">Plantagenet, a natural son of Edward IV. The title became extinct</w:t></w:r>
</w:p>
<w:p>
<w:pPr><w:pStyle w:val="Normal"/></w:pPr>
<w:r><w:t xml:space="preserve">in 1688, on the death of Christopher, 2nd duke of Albemarle.</w:t></w:r>
</w:p>
<w:p>
<w:pPr><w:pStyle w:val="Normal"/></w:pPr>
<w:r><w:t xml:space="preserve">Finally, as mentioned above, the title of earl of Albemarle was</w:t></w:r>
</w:p>
<w:p>
<w:pPr><w:pStyle w:val="Normal"/></w:pPr>
<w:r><w:t xml:space="preserve">bestowed by William III., without any shadow of hereditary claim,</w:t></w:r>
</w:p>
<w:p>
<w:pPr><w:pStyle w:val="Normal"/></w:pPr>
<w:r><w:t xml:space="preserve">on his Dutch favourite Arnold Joost van Keppel (see below), by</w:t></w:r>
</w:p>
<w:p>
<w:pPr><w:pStyle w:val="Normal"/></w:pPr>
<w:r><w:t xml:space="preserve">whose descendants it is still held.  The motive for choosing this</w:t></w:r>
</w:p>
<w:p>
<w:pPr><w:pStyle w:val="Normal"/></w:pPr>
<w:r><w:t xml:space="preserve">title was probably that, apart from its dignified traditions,</w:t></w:r>
</w:p>
<w:p>
<w:pPr><w:pStyle w:val="Normal"/></w:pPr>
<w:r><w:t xml:space="preserve">it avoided the difficulty created by the fact that the Keppels</w:t></w:r>
</w:p>
<w:p>
<w:pPr><w:pStyle w:val="Normal"/></w:pPr>
<w:r><w:t xml:space="preserve">had as yet no territorial possessions in the British Islands.</w:t></w:r>
</w:p>
<w:p>
<w:pPr><w:pStyle w:val="Normal"/></w:pPr>
<w:r><w:t xml:space="preserve">ARNOLD JOOST VAN KEPPEL, 1st earl of Albemarle, and lord of</w:t></w:r>
</w:p>
<w:p>
<w:pPr><w:pStyle w:val="Normal"/></w:pPr>
<w:r><w:t xml:space="preserve">Voorst in Gelderland (c. 1670-1718), son of Oswald van Keppel</w:t></w:r>
</w:p>
<w:p>
<w:pPr><w:pStyle w:val="Normal"/></w:pPr>
<w:r><w:t xml:space="preserve">and his wife Anna Geertruid van Lintello, was born in Holland</w:t></w:r>
</w:p>
<w:p>
<w:pPr><w:pStyle w:val="Normal"/></w:pPr>
<w:r><w:t xml:space="preserve">about 1670.  He became page to William III., accompanied him</w:t></w:r>
</w:p>
<w:p>
<w:pPr><w:pStyle w:val="Normal"/></w:pPr>
<w:r><w:t xml:space="preserve">to England in 1688, and was made groom of the bed-chamber and</w:t></w:r>
</w:p>
<w:p>
<w:pPr><w:pStyle w:val="Normal"/></w:pPr>
<w:r><w:t xml:space="preserve">master of the robes in 1695.  On the 10th of February 1696f7</w:t></w:r>
</w:p>
<w:p>
<w:pPr><w:pStyle w:val="Normal"/></w:pPr>
<w:r><w:t xml:space="preserve">he was created earl of Albemarle, Viscount Bury and Baron</w:t></w:r>
</w:p>
<w:p>
<w:pPr><w:pStyle w:val="Normal"/></w:pPr>
<w:r><w:t xml:space="preserve">Ashford.  In 1700 William gave him lands of enormous extent</w:t></w:r>
</w:p>
<w:p>
<w:pPr><w:pStyle w:val="Normal"/></w:pPr>
<w:r><w:t xml:space="preserve">in Ireland, but parliament obliged the king to cancel this</w:t></w:r>
</w:p>
<w:p>
<w:pPr><w:pStyle w:val="Normal"/></w:pPr>
<w:r><w:t xml:space="preserve">grant, and William then bestowed on him L. 50,000.  The same</w:t></w:r>
</w:p>
<w:p>
<w:pPr><w:pStyle w:val="Normal"/></w:pPr>
<w:r><w:t xml:space="preserve">year he was made a knight of the Garter.  Meanwhile he had</w:t></w:r>
</w:p>
<w:p>
<w:pPr><w:pStyle w:val="Normal"/></w:pPr>
<w:r><w:t xml:space="preserve">served both with the English and Dutch troops, was major-general</w:t></w:r>
</w:p>
<w:p>
<w:pPr><w:pStyle w:val="Normal"/></w:pPr>
<w:r><w:t xml:space="preserve">in 1697, colonel of several regiments and governor of</w:t></w:r>
</w:p>
<w:p>
<w:pPr><w:pStyle w:val="Normal"/></w:pPr>
<w:r><w:t xml:space="preserve">Bois-le-Duc.  Of handsome person and engaging disposition,</w:t></w:r>
</w:p>
<w:p>
<w:pPr><w:pStyle w:val="Normal"/></w:pPr>
<w:r><w:t xml:space="preserve">he rivalled Portland, whose jealousy he aroused in the royal</w:t></w:r>
</w:p>
<w:p>
<w:pPr><w:pStyle w:val="Normal"/></w:pPr>
<w:r><w:t xml:space="preserve">favour, possessed William&apos;s full confidence and accompanied him</w:t></w:r>
</w:p>
<w:p>
<w:pPr><w:pStyle w:val="Normal"/></w:pPr>
<w:r><w:t xml:space="preserve">everywhere.  In February 1702 he was sent by William. then</w:t></w:r>
</w:p>
<w:p>
<w:pPr><w:pStyle w:val="Normal"/></w:pPr>
<w:r><w:t xml:space="preserve">prostrated with his last illness, to Holland to arrange</w:t></w:r>
</w:p>
<w:p>
<w:pPr><w:pStyle w:val="Normal"/></w:pPr>
<w:r><w:t xml:space="preserve">the coming campaign, and only returned in time to receive</w:t></w:r>
</w:p>
<w:p>
<w:pPr><w:pStyle w:val="Normal"/></w:pPr>
<w:r><w:t xml:space="preserve">William&apos;s last commissions on his deathbed.  After the death</w:t></w:r>
</w:p>
<w:p>
<w:pPr><w:pStyle w:val="Normal"/></w:pPr>
<w:r><w:t xml:space="preserve">ofthe latter, who bequeathed to him 200,000 guilders and some</w:t></w:r>
</w:p>
<w:p>
<w:pPr><w:pStyle w:val="Normal"/></w:pPr>
<w:r><w:t xml:space="preserve">lands, he returned to Holland, took his seat as a noble in the</w:t></w:r>
</w:p>
<w:p>
<w:pPr><w:pStyle w:val="Normal"/></w:pPr>
<w:r><w:t xml:space="preserve">states-general, and was made a general of horse in the Dutch</w:t></w:r>
</w:p>
<w:p>
<w:pPr><w:pStyle w:val="Normal"/></w:pPr>
<w:r><w:t xml:space="preserve">army.  He joined the forces of the allies in 1703, was</w:t></w:r>
</w:p>
<w:p>
<w:pPr><w:pStyle w:val="Normal"/></w:pPr>
<w:r><w:t xml:space="preserve">present at Ramillies in 1706 and at Oudenarde in 1708, and</w:t></w:r>
</w:p>
<w:p>
<w:pPr><w:pStyle w:val="Normal"/></w:pPr>
<w:r><w:t xml:space="preserve">distinguished himself at the siege of Lille.  He commanded</w:t></w:r>
</w:p>
<w:p>
<w:pPr><w:pStyle w:val="Normal"/></w:pPr>
<w:r><w:t xml:space="preserve">at the siege of Aire in 1710, led Marlborough&apos;s second line</w:t></w:r>
</w:p>
<w:p>
<w:pPr><w:pStyle w:val="Normal"/></w:pPr>
<w:r><w:t xml:space="preserve">in 1711, and was general of the Dutch forces in 1712, being</w:t></w:r>
</w:p>
<w:p>
<w:pPr><w:pStyle w:val="Normal"/></w:pPr>
<w:r><w:t xml:space="preserve">defeated at Denain after the withdrawal of Ormonde and the</w:t></w:r>
</w:p>
<w:p>
<w:pPr><w:pStyle w:val="Normal"/></w:pPr>
<w:r><w:t xml:space="preserve">English forces and taken prisoner.  He died on the 30th of</w:t></w:r>
</w:p>
<w:p>
<w:pPr><w:pStyle w:val="Normal"/></w:pPr>
<w:r><w:t xml:space="preserve">May 1718, aged 48. He married Geertruid, daughter of Adam</w:t></w:r>
</w:p>
<w:p>
<w:pPr><w:pStyle w:val="Normal"/></w:pPr>
<w:r><w:t xml:space="preserve">van der Denijn, by whom, besides a daughter, he had a son,</w:t></w:r>
</w:p>
<w:p>
<w:pPr><w:pStyle w:val="Normal"/></w:pPr>
<w:r><w:t xml:space="preserve">William Anne, who succeeded him as 2nd earl of Albemarle.</w:t></w:r>
</w:p>
<w:p>
<w:pPr><w:pStyle w:val="Normal"/></w:pPr>
<w:r><w:t xml:space="preserve">Of the later earls mention need only be made of the sixth,</w:t></w:r>
</w:p>
<w:p>
<w:pPr><w:pStyle w:val="Normal"/></w:pPr>
<w:r><w:t xml:space="preserve">GEORGE THOMAS KEPPEL (1799--1891), British general,</w:t></w:r>
</w:p>
<w:p>
<w:pPr><w:pStyle w:val="Normal"/></w:pPr>
<w:r><w:t xml:space="preserve">second son of the fourth earl, born on the 13th of June</w:t></w:r>
</w:p>
<w:p>
<w:pPr><w:pStyle w:val="Normal"/></w:pPr>
<w:r><w:t xml:space="preserve">1799.  Educated at Westminster School he entered the army as</w:t></w:r>
</w:p>
<w:p>
<w:pPr><w:pStyle w:val="Normal"/></w:pPr>
<w:r><w:t xml:space="preserve">ensign, 14th Foot, in 1815.  He joined his regiment in Belgium</w:t></w:r>
</w:p>
<w:p>
<w:pPr><w:pStyle w:val="Normal"/></w:pPr>
<w:r><w:t xml:space="preserve">and took part in the Waterloo campaign and the march to Paris,</w:t></w:r>
</w:p>
<w:p>
<w:pPr><w:pStyle w:val="Normal"/></w:pPr>
<w:r><w:t xml:space="preserve">joined the second battalion in Corfu, and was transferred to</w:t></w:r>
</w:p>
<w:p>
<w:pPr><w:pStyle w:val="Normal"/></w:pPr>
<w:r><w:t xml:space="preserve">the 22nd Foot, with which he served in Mauritius and at the</w:t></w:r>
</w:p>
<w:p>
<w:pPr><w:pStyle w:val="Normal"/></w:pPr>
<w:r><w:t xml:space="preserve">Cape, returning home in 1819, when he was appointed equerry</w:t></w:r>
</w:p>
<w:p>
<w:pPr><w:pStyle w:val="Normal"/></w:pPr>
<w:r><w:t xml:space="preserve">to the duke of Sussex.  Promoted to a lieutenancy in the</w:t></w:r>
</w:p>
<w:p>
<w:pPr><w:pStyle w:val="Normal"/></w:pPr>
<w:r><w:t xml:space="preserve">24th Foot, he was transferred to the 20th Foot, and went to</w:t></w:r>
</w:p>
<w:p>
<w:pPr><w:pStyle w:val="Normal"/></w:pPr>
<w:r><w:t xml:space="preserve">India, where he was aide-de-camp to the marquess of Hastings</w:t></w:r>
</w:p>
<w:p>
<w:pPr><w:pStyle w:val="Normal"/></w:pPr>
<w:r><w:t xml:space="preserve">until his resignation in 1823, when Keppel returned to</w:t></w:r>
</w:p>
<w:p>
<w:pPr><w:pStyle w:val="Normal"/></w:pPr>
<w:r><w:t xml:space="preserve">England, travelling overland through Persia, Moscow and St</w:t></w:r>
</w:p>
<w:p>
<w:pPr><w:pStyle w:val="Normal"/></w:pPr>
<w:r><w:t xml:space="preserve">Petersburg.  He published in 1825 an account of his travels,</w:t></w:r>
</w:p>
<w:p>
<w:pPr><w:pStyle w:val="Normal"/></w:pPr>
<w:r><w:t xml:space="preserve">entitled Journey from India to England.  He was aide-de-camp</w:t></w:r>
</w:p>
<w:p>
<w:pPr><w:pStyle w:val="Normal"/></w:pPr>
<w:r><w:t xml:space="preserve">to the Marquess Wellesley, lord-lieutenant of Ireland, for</w:t></w:r>
</w:p>
<w:p>
<w:pPr><w:pStyle w:val="Normal"/></w:pPr>
<w:r><w:t xml:space="preserve">two years, was promoted captain in the 62nd Foot, studied</w:t></w:r>
</w:p>
<w:p>
<w:pPr><w:pStyle w:val="Normal"/></w:pPr>
<w:r><w:t xml:space="preserve">in the senior department of the Royal Military College at</w:t></w:r>
</w:p>
<w:p>
<w:pPr><w:pStyle w:val="Normal"/></w:pPr>
<w:r><w:t xml:space="preserve">Sandhurst, and in 1827 obtained a half-pay unattached</w:t></w:r>
</w:p>
<w:p>
<w:pPr><w:pStyle w:val="Normal"/></w:pPr>
<w:r><w:t xml:space="preserve">majority.  He did not again serve on full pay, but rose to be a</w:t></w:r>
</w:p>
<w:p>
<w:pPr><w:pStyle w:val="Normal"/></w:pPr>
<w:r><w:t xml:space="preserve">general.  In 1829 he visited the seat of the Russo-Turkish</w:t></w:r>
</w:p>
<w:p>
<w:pPr><w:pStyle w:val="Normal"/></w:pPr>
<w:r><w:t xml:space="preserve">war and was with the British fleet in Turkish waters.  In 1832</w:t></w:r>
</w:p>
<w:p>
<w:pPr><w:pStyle w:val="Normal"/></w:pPr>
<w:r><w:t xml:space="preserve">he was returned in the Whig interest to the first reformed</w:t></w:r>
</w:p>
<w:p>
<w:pPr><w:pStyle w:val="Normal"/></w:pPr>
<w:r><w:t xml:space="preserve">parliament as member for East Norfolk and sat until 1835.  He</w:t></w:r>
</w:p>
<w:p>
<w:pPr><w:pStyle w:val="Normal"/></w:pPr>
<w:r><w:t xml:space="preserve">was private secretary to the premier, Lord John Russell, in</w:t></w:r>
</w:p>
<w:p>
<w:pPr><w:pStyle w:val="Normal"/></w:pPr>
<w:r><w:t xml:space="preserve">1846, and M.P. for Lymington from 1847 to 1849.  He succeeded</w:t></w:r>
</w:p>
<w:p>
<w:pPr><w:pStyle w:val="Normal"/></w:pPr>
<w:r><w:t xml:space="preserve">to the title on the death of his brother in 1851.  He died in</w:t></w:r>
</w:p>
<w:p>
<w:pPr><w:pStyle w:val="Normal"/></w:pPr>
<w:r><w:t xml:space="preserve">1891 and was buried at Quidenham, Norfolk.  He wrote an account</w:t></w:r>
</w:p>
<w:p>
<w:pPr><w:pStyle w:val="Normal"/></w:pPr>
<w:r><w:t xml:space="preserve">of a Journey across the Balkans, Memoirs of the Marquis of</w:t></w:r>
</w:p>
<w:p>
<w:pPr><w:pStyle w:val="Normal"/></w:pPr>
<w:r><w:t xml:space="preserve">Rockingham, and an autobigraphy entitled Fifty Years of My Life.</w:t></w:r>
</w:p>
<w:p>
<w:pPr><w:pStyle w:val="Normal"/></w:pPr>
<w:r><w:t xml:space="preserve">See G. E. C(ockayne), Complete Peerage, 8 vols. (London,</w:t></w:r>
</w:p>
<w:p>
<w:pPr><w:pStyle w:val="Normal"/></w:pPr>
<w:r><w:t xml:space="preserve">1887).  For the two Williams de Fortibus, see s.v.</w:t></w:r>
</w:p>
<w:p>
<w:pPr><w:pStyle w:val="Normal"/></w:pPr>
<w:r><w:t xml:space="preserve">Prof.  T. F. Tout&apos;s articles in the Dict. of Nat. Biog.</w:t></w:r>
</w:p>
<w:p>
<w:pPr><w:pStyle w:val="Normal"/></w:pPr>
<w:r><w:t xml:space="preserve">1 The name was derived from Fors, a commune in the canton of</w:t></w:r>
</w:p>
<w:p>
<w:pPr><w:pStyle w:val="Normal"/></w:pPr>
<w:r><w:t xml:space="preserve">Prahecq in Poitou.  It is spelt Forz in a deed of 1233, and the best</w:t></w:r>
</w:p>
<w:p>
<w:pPr><w:pStyle w:val="Normal"/></w:pPr>
<w:r><w:t xml:space="preserve">vernacular form is, according to Thomas Stapleton (Preface to the</w:t></w:r>
</w:p>
<w:p>
<w:pPr><w:pStyle w:val="Normal"/></w:pPr>
<w:r><w:t xml:space="preserve">Liber de Antiquitate, Camden Soc., 1846, p. xxxiv. note), de Fortz.</w:t></w:r>
</w:p>
<w:p>
<w:pPr><w:pStyle w:val="Normal"/></w:pPr>
<w:r><w:t xml:space="preserve">ALBENGA, a town and episcopal see of Liguria, Italy, on</w:t></w:r>
</w:p>
<w:p>
<w:pPr><w:pStyle w:val="Normal"/></w:pPr>
<w:r><w:t xml:space="preserve">the N.W. coast of the Gulf of Genoa, in the province of</w:t></w:r>
</w:p>
<w:p>
<w:pPr><w:pStyle w:val="Normal"/></w:pPr>
<w:r><w:t xml:space="preserve">Genoa, 521 m.  S.W. of Genoa by rail.  Pop. (1901) 6248.</w:t></w:r>
</w:p>
<w:p>
<w:pPr><w:pStyle w:val="Normal"/></w:pPr>
<w:r><w:t xml:space="preserve">Albenga is the ancient Album Ingaunum or Albingaunum,</w:t></w:r>
</w:p>
<w:p>
<w:pPr><w:pStyle w:val="Normal"/></w:pPr>
<w:r><w:t xml:space="preserve">the chief town of the Ingauni, one of the most important</w:t></w:r>
</w:p>
<w:p>
<w:pPr><w:pStyle w:val="Normal"/></w:pPr>
<w:r><w:t xml:space="preserve">of the Ligurian tribes, whose territory reached as far as</w:t></w:r>
</w:p>
<w:p>
<w:pPr><w:pStyle w:val="Normal"/></w:pPr>
<w:r><w:t xml:space="preserve">Genoa.  Under the empire it was a municpium; an inscription</w:t></w:r>
</w:p>
<w:p>
<w:pPr><w:pStyle w:val="Normal"/></w:pPr>
<w:r><w:t xml:space="preserve">records the restoration of the walls, forum, harbour, &amp;c.,</w:t></w:r>
</w:p>
<w:p>
<w:pPr><w:pStyle w:val="Normal"/></w:pPr>
<w:r><w:t xml:space="preserve">by Constantius A.D. 354. A little way outside the town to</w:t></w:r>
</w:p>
<w:p>
<w:pPr><w:pStyle w:val="Normal"/></w:pPr>
<w:r><w:t xml:space="preserve">the E. is a well-preserved Roman bridge nearly 500 ft. long</w:t></w:r>
</w:p>
<w:p>
<w:pPr><w:pStyle w:val="Normal"/></w:pPr>
<w:r><w:t xml:space="preserve">and 11 1/2 ft. wide, with IO arches, each with a span of 37</w:t></w:r>
</w:p>
<w:p>
<w:pPr><w:pStyle w:val="Normal"/></w:pPr>
<w:r><w:t xml:space="preserve">ft.  It belonged to the coast road and is now known as Ponte</w:t></w:r>
</w:p>
<w:p>
<w:pPr><w:pStyle w:val="Normal"/></w:pPr>
<w:r><w:t xml:space="preserve">Lungo.  To the S. of the town is a conspicuous monument, 27</w:t></w:r>
</w:p>
<w:p>
<w:pPr><w:pStyle w:val="Normal"/></w:pPr>
<w:r><w:t xml:space="preserve">ft. high, in the form of a rectangular pillar, resembling</w:t></w:r>
</w:p>
<w:p>
<w:pPr><w:pStyle w:val="Normal"/></w:pPr>
<w:r><w:t xml:space="preserve">a tomb; but as there is no trace of a door to a sepulchral</w:t></w:r>
</w:p>
<w:p>
<w:pPr><w:pStyle w:val="Normal"/></w:pPr>
<w:r><w:t xml:space="preserve">chamber it may be a shrine.  In the town itself there are</w:t></w:r>
</w:p>
<w:p>
<w:pPr><w:pStyle w:val="Normal"/></w:pPr>
<w:r><w:t xml:space="preserve">no Roman remains; but there is a good Gothic cathedral in</w:t></w:r>
</w:p>
<w:p>
<w:pPr><w:pStyle w:val="Normal"/></w:pPr>
<w:r><w:t xml:space="preserve">brick, and an interesting octagonal baptistery, attributed to</w:t></w:r>
</w:p>
<w:p>
<w:pPr><w:pStyle w:val="Normal"/></w:pPr>
<w:r><w:t xml:space="preserve">the 8th or oth century, the arches being supported by ancient</w:t></w:r>
</w:p>
<w:p>
<w:pPr><w:pStyle w:val="Normal"/></w:pPr>
<w:r><w:t xml:space="preserve">columns, and the vaulting decorated with mosaics.  Some of</w:t></w:r>
</w:p>
<w:p>
<w:pPr><w:pStyle w:val="Normal"/></w:pPr>
<w:r><w:t xml:space="preserve">the medieval palaces of Albenga have lofty brick towers.</w:t></w:r>
</w:p>
<w:p>
<w:pPr><w:pStyle w:val="Normal"/></w:pPr>
<w:r><w:t xml:space="preserve">See A. d&apos;Andrade in Relazione dell&apos; Ufficio Regionale per la Conservazione</w:t></w:r>
</w:p>
<w:p>
<w:pPr><w:pStyle w:val="Normal"/></w:pPr>
<w:r><w:t xml:space="preserve">dei monumenti del Piemonte e della Liguria (Turin, 1899), 114 seq.</w:t></w:r>
</w:p>
<w:p>
<w:pPr><w:pStyle w:val="Normal"/></w:pPr>
<w:r><w:t xml:space="preserve">ALBERONI, GIULIO (1664-1752), Spanish--Italian cardinal and</w:t></w:r>
</w:p>
<w:p>
<w:pPr><w:pStyle w:val="Normal"/></w:pPr>
<w:r><w:t xml:space="preserve">statesman, was born near Piacenza, probably at the village</w:t></w:r>
</w:p>
<w:p>
<w:pPr><w:pStyle w:val="Normal"/></w:pPr>
<w:r><w:t xml:space="preserve">of Fiorenzuola, on the 31st of May 1664.  His father was a</w:t></w:r>
</w:p>
<w:p>
<w:pPr><w:pStyle w:val="Normal"/></w:pPr>
<w:r><w:t xml:space="preserve">gardener, and he himself became first connected with the church</w:t></w:r>
</w:p>
<w:p>
<w:pPr><w:pStyle w:val="Normal"/></w:pPr>
<w:r><w:t xml:space="preserve">in the humble position of verger in the cathedral of Piacenza.</w:t></w:r>
</w:p>
<w:p>
<w:pPr><w:pStyle w:val="Normal"/></w:pPr>
<w:r><w:t xml:space="preserve">Having gained the favour of Bishop Barni he took priest&apos;s</w:t></w:r>
</w:p>
<w:p>
<w:pPr><w:pStyle w:val="Normal"/></w:pPr>
<w:r><w:t xml:space="preserve">orders, and afterwards accompanied the son of his patron to</w:t></w:r>
</w:p>
<w:p>
<w:pPr><w:pStyle w:val="Normal"/></w:pPr>
<w:r><w:t xml:space="preserve">Rome.  During the war of the Spanish succession Alberoni laid</w:t></w:r>
</w:p>
<w:p>
<w:pPr><w:pStyle w:val="Normal"/></w:pPr>
<w:r><w:t xml:space="preserve">the foundation of his political success by the services he</w:t></w:r>
</w:p>
<w:p>
<w:pPr><w:pStyle w:val="Normal"/></w:pPr>
<w:r><w:t xml:space="preserve">rendered to the duke of Vendome, commander of the French</w:t></w:r>
</w:p>
<w:p>
<w:pPr><w:pStyle w:val="Normal"/></w:pPr>
<w:r><w:t xml:space="preserve">forces in Italy; and when these forces were recalled in 1706 he</w:t></w:r>
</w:p>
<w:p>
<w:pPr><w:pStyle w:val="Normal"/></w:pPr>
<w:r><w:t xml:space="preserve">accompanied the duke to Paris, where he was favourably received</w:t></w:r>
</w:p>
<w:p>
<w:pPr><w:pStyle w:val="Normal"/></w:pPr>
<w:r><w:t xml:space="preserve">by Louis XIV. In 1711 he followed Vendome into Spain as his</w:t></w:r>
</w:p>
<w:p>
<w:pPr><w:pStyle w:val="Normal"/></w:pPr>
<w:r><w:t xml:space="preserve">secretary.  Two years later, the duke having died in the</w:t></w:r>
</w:p>
<w:p>
<w:pPr><w:pStyle w:val="Normal"/></w:pPr>
<w:r><w:t xml:space="preserve">interval, Alberoni was appointed consular agent for Parma at</w:t></w:r>
</w:p>
<w:p>
<w:pPr><w:pStyle w:val="Normal"/></w:pPr>
<w:r><w:t xml:space="preserve">the court of Philip V. of Spain, being raised at the same time</w:t></w:r>
</w:p>
<w:p>
<w:pPr><w:pStyle w:val="Normal"/></w:pPr>
<w:r><w:t xml:space="preserve">to the dignityof count.  On his arrival at Madrid he found</w:t></w:r>
</w:p>
<w:p>
<w:pPr><w:pStyle w:val="Normal"/></w:pPr>
<w:r><w:t xml:space="preserve">the princesse des Ursins all but omnipotent with the king,</w:t></w:r>
</w:p>
<w:p>
<w:pPr><w:pStyle w:val="Normal"/></w:pPr>
<w:r><w:t xml:space="preserve">and for a time he judged it expedient to use her influence</w:t></w:r>
</w:p>
<w:p>
<w:pPr><w:pStyle w:val="Normal"/></w:pPr>
<w:r><w:t xml:space="preserve">in carrying out his plans.  In concert with her he arranged</w:t></w:r>
</w:p>
<w:p>
<w:pPr><w:pStyle w:val="Normal"/></w:pPr>
<w:r><w:t xml:space="preserve">the king&apos;s marriage with Elizabeth Farnese of Parma.  The</w:t></w:r>
</w:p>
<w:p>
<w:pPr><w:pStyle w:val="Normal"/></w:pPr>
<w:r><w:t xml:space="preserve">influence of the new queen being actively exerted on Alberoni&apos;s</w:t></w:r>
</w:p>
<w:p>
<w:pPr><w:pStyle w:val="Normal"/></w:pPr>
<w:r><w:t xml:space="preserve">behalf, he speedily rose to high position.  He was made a</w:t></w:r>
</w:p>
<w:p>
<w:pPr><w:pStyle w:val="Normal"/></w:pPr>
<w:r><w:t xml:space="preserve">member of the king&apos;s council, bishop of Malaga, and in 1715</w:t></w:r>
</w:p>
<w:p>
<w:pPr><w:pStyle w:val="Normal"/></w:pPr>
<w:r><w:t xml:space="preserve">prime minister, and was raised to the dignity of cardinal in</w:t></w:r>
</w:p>
<w:p>
<w:pPr><w:pStyle w:val="Normal"/></w:pPr>
<w:r><w:t xml:space="preserve">1717.  His internal policy was exceedingly vigorous.  The</w:t></w:r>
</w:p>
<w:p>
<w:pPr><w:pStyle w:val="Normal"/></w:pPr>
<w:r><w:t xml:space="preserve">main purpose he put before.himself was to produce an economic</w:t></w:r>
</w:p>
<w:p>
<w:pPr><w:pStyle w:val="Normal"/></w:pPr>
<w:r><w:t xml:space="preserve">revival in Spain by abolishing internal custom-houses,</w:t></w:r>
</w:p>
<w:p>
<w:pPr><w:pStyle w:val="Normal"/></w:pPr>
<w:r><w:t xml:space="preserve">throwing open the trade of the Indies and reorganizing the</w:t></w:r>
</w:p>
<w:p>
<w:pPr><w:pStyle w:val="Normal"/></w:pPr>
<w:r><w:t xml:space="preserve">finances.  With the resources thus gained he undertook to</w:t></w:r>
</w:p>
<w:p>
<w:pPr><w:pStyle w:val="Normal"/></w:pPr>
<w:r><w:t xml:space="preserve">enable King Philip V. to carry out an ambitious policy both in</w:t></w:r>
</w:p>
<w:p>
<w:pPr><w:pStyle w:val="Normal"/></w:pPr>
<w:r><w:t xml:space="preserve">Italy and in France.  The impatience of the king and his wife</w:t></w:r>
</w:p>
<w:p>
<w:pPr><w:pStyle w:val="Normal"/></w:pPr>
<w:r><w:t xml:space="preserve">gave the minister no time to mature his plans.  By provoking</w:t></w:r>
</w:p>
<w:p>
<w:pPr><w:pStyle w:val="Normal"/></w:pPr>
<w:r><w:t xml:space="preserve">England, France, Holland and the Empire at once it brought</w:t></w:r>
</w:p>
<w:p>
<w:pPr><w:pStyle w:val="Normal"/></w:pPr>
<w:r><w:t xml:space="preserve">a flood of disaster on Spain for which Alberoni was held</w:t></w:r>
</w:p>
<w:p>
<w:pPr><w:pStyle w:val="Normal"/></w:pPr>
<w:r><w:t xml:space="preserve">responsible.  On the 5th of December 1719 he was ordered to</w:t></w:r>
</w:p>
<w:p>
<w:pPr><w:pStyle w:val="Normal"/></w:pPr>
<w:r><w:t xml:space="preserve">leave Spain, Elizabeth herself having taken an active part</w:t></w:r>
</w:p>
<w:p>
<w:pPr><w:pStyle w:val="Normal"/></w:pPr>
<w:r><w:t xml:space="preserve">in procuring the decree of banishment.  He went to Italy, and</w:t></w:r>
</w:p>
<w:p>
<w:pPr><w:pStyle w:val="Normal"/></w:pPr>
<w:r><w:t xml:space="preserve">there had to take refuge among the Apennines, Pope Clement XI.,</w:t></w:r>
</w:p>
<w:p>
<w:pPr><w:pStyle w:val="Normal"/></w:pPr>
<w:r><w:t xml:space="preserve">who was his bitter enemy, having given strict orders for his</w:t></w:r>
</w:p>
<w:p>
<w:pPr><w:pStyle w:val="Normal"/></w:pPr>
<w:r><w:t xml:space="preserve">arrest.  On the death of Clement, Alberoni boldly appeared at</w:t></w:r>
</w:p>
<w:p>
<w:pPr><w:pStyle w:val="Normal"/></w:pPr>
<w:r><w:t xml:space="preserve">the Conclave, and took part in the election of Innocent XIII.</w:t></w:r>
</w:p>
<w:p>
<w:pPr><w:pStyle w:val="Normal"/></w:pPr>
<w:r><w:t xml:space="preserve">(1721), after which he was for a short time imprisoned by the</w:t></w:r>
</w:p>
<w:p>
<w:pPr><w:pStyle w:val="Normal"/></w:pPr>
<w:r><w:t xml:space="preserve">pontiff on the demand of Spain.  At the next election (1724)</w:t></w:r>
</w:p>
<w:p>
<w:pPr><w:pStyle w:val="Normal"/></w:pPr>
<w:r><w:t xml:space="preserve">he was himself proposed for the papal chair, and secured ten</w:t></w:r>
</w:p>
<w:p>
<w:pPr><w:pStyle w:val="Normal"/></w:pPr>
<w:r><w:t xml:space="preserve">votes at the Conclave which elected Benedict XIII.  Benedict&apos;s</w:t></w:r>
</w:p>
<w:p>
<w:pPr><w:pStyle w:val="Normal"/></w:pPr>
<w:r><w:t xml:space="preserve">successor, Clement XII. (elected 1730), named him legate of</w:t></w:r>
</w:p>
<w:p>
<w:pPr><w:pStyle w:val="Normal"/></w:pPr>
<w:r><w:t xml:space="preserve">Ravenna, in which capacity he incurred the pope&apos;s displeasure</w:t></w:r>
</w:p>
<w:p>
<w:pPr><w:pStyle w:val="Normal"/></w:pPr>
<w:r><w:t xml:space="preserve">by the strong and unwarrantable measures he adopted to reduce</w:t></w:r>
</w:p>
<w:p>
<w:pPr><w:pStyle w:val="Normal"/></w:pPr>
<w:r><w:t xml:space="preserve">the little republic of San Marino to subjection to Rome.  He</w:t></w:r>
</w:p>
<w:p>
<w:pPr><w:pStyle w:val="Normal"/></w:pPr>
<w:r><w:t xml:space="preserve">was consequently replaced by another legate in 1740, and soon</w:t></w:r>
</w:p>
<w:p>
<w:pPr><w:pStyle w:val="Normal"/></w:pPr>
<w:r><w:t xml:space="preserve">after he retired to Piacenza.  Clement XII. appointed him</w:t></w:r>
</w:p>
<w:p>
<w:pPr><w:pStyle w:val="Normal"/></w:pPr>
<w:r><w:t xml:space="preserve">administrator of the hospital of San Lazzaro at Piacenza in</w:t></w:r>
</w:p>
<w:p>
<w:pPr><w:pStyle w:val="Normal"/></w:pPr>
<w:r><w:t xml:space="preserve">1730.  The hospital was a medieval foundation for the benefit of</w:t></w:r>
</w:p>
<w:p>
<w:pPr><w:pStyle w:val="Normal"/></w:pPr>
<w:r><w:t xml:space="preserve">lepers.  The disease having disappeared from Italy, Alberoni</w:t></w:r>
</w:p>
<w:p>
<w:pPr><w:pStyle w:val="Normal"/></w:pPr>
<w:r><w:t xml:space="preserve">obtained the consent of the pope to the suppression of the</w:t></w:r>
</w:p>
<w:p>
<w:pPr><w:pStyle w:val="Normal"/></w:pPr>
<w:r><w:t xml:space="preserve">hospital, which had fallen into great disorder, and replaced</w:t></w:r>
</w:p>
<w:p>
<w:pPr><w:pStyle w:val="Normal"/></w:pPr>
<w:r><w:t xml:space="preserve">it by a college for the education of seventy poor boys for the</w:t></w:r>
</w:p>
<w:p>
<w:pPr><w:pStyle w:val="Normal"/></w:pPr>
<w:r><w:t xml:space="preserve">priesthood, under the name of the Collegio Alberoni, which it</w:t></w:r>
</w:p>
<w:p>
<w:pPr><w:pStyle w:val="Normal"/></w:pPr>
<w:r><w:t xml:space="preserve">still bears.  He died on the 16th of June 1752, leaving a sum</w:t></w:r>
</w:p>
<w:p>
<w:pPr><w:pStyle w:val="Normal"/></w:pPr>
<w:r><w:t xml:space="preserve">of 600,000 ducats to endow the seminary he had founded, and the</w:t></w:r>
</w:p>
<w:p>
<w:pPr><w:pStyle w:val="Normal"/></w:pPr>
<w:r><w:t xml:space="preserve">residue of the immense wealth he had acquired in Spain to his</w:t></w:r>
</w:p>
<w:p>
<w:pPr><w:pStyle w:val="Normal"/></w:pPr>
<w:r><w:t xml:space="preserve">nephew.  Alberoni left a large quantity of manuscripts;</w:t></w:r>
</w:p>
<w:p>
<w:pPr><w:pStyle w:val="Normal"/></w:pPr>
<w:r><w:t xml:space="preserve">but the genuineness of the Political Testament, published</w:t></w:r>
</w:p>
<w:p>
<w:pPr><w:pStyle w:val="Normal"/></w:pPr>
<w:r><w:t xml:space="preserve">in his name at Lausanne in 1753, has been questioned.</w:t></w:r>
</w:p>
<w:p>
<w:pPr><w:pStyle w:val="Normal"/></w:pPr>
<w:r><w:t xml:space="preserve">An Histoire du Cardinal Alberoni up to 1719 was published by</w:t></w:r>
</w:p>
<w:p>
<w:pPr><w:pStyle w:val="Normal"/></w:pPr>
<w:r><w:t xml:space="preserve">Jean Rousset de Missy at the Hague in 1719.  A laudatory life,</w:t></w:r>
</w:p>
<w:p>
<w:pPr><w:pStyle w:val="Normal"/></w:pPr>
<w:r><w:t xml:space="preserve">Storia del Cardinale Giulio Alberoni, was published by Stefano</w:t></w:r>
</w:p>
<w:p>
<w:pPr><w:pStyle w:val="Normal"/></w:pPr>
<w:r><w:t xml:space="preserve">Bersani, a priest educated at his college, at Piacenza, in</w:t></w:r>
</w:p>
<w:p>
<w:pPr><w:pStyle w:val="Normal"/></w:pPr>
<w:r><w:t xml:space="preserve">1861. Giulio Alberoni e il suo secolo, by Giovanni Bianchi</w:t></w:r>
</w:p>
<w:p>
<w:pPr><w:pStyle w:val="Normal"/></w:pPr>
<w:r><w:t xml:space="preserve">(1901), is briefer and more critical.  See also Lettres</w:t></w:r>
</w:p>
<w:p>
<w:pPr><w:pStyle w:val="Normal"/></w:pPr>
<w:r><w:t xml:space="preserve">intimes de J. Alberoni, edited by M. E. Bourgeois (1892).</w:t></w:r>
</w:p>
<w:p>
<w:pPr><w:pStyle w:val="Normal"/></w:pPr>
<w:r><w:t xml:space="preserve">ALBERT (1522-1557), prince of Bayreuth, surnamed THE WARLIKE,</w:t></w:r>
</w:p>
<w:p>
<w:pPr><w:pStyle w:val="Normal"/></w:pPr>
<w:r><w:t xml:space="preserve">and also ALCIBIADES, was a son of Casimir, prince of Bayreuth,</w:t></w:r>
</w:p>
<w:p>
<w:pPr><w:pStyle w:val="Normal"/></w:pPr>
<w:r><w:t xml:space="preserve">and a member of the Franconian branch of the Hohenzollern</w:t></w:r>
</w:p>
<w:p>
<w:pPr><w:pStyle w:val="Normal"/></w:pPr>
<w:r><w:t xml:space="preserve">family.  Born at Ansbach on the 28th of March 1522, he lost</w:t></w:r>
</w:p>
<w:p>
<w:pPr><w:pStyle w:val="Normal"/></w:pPr>
<w:r><w:t xml:space="preserve">his father in 1527 and came under the guardianship of his uncle</w:t></w:r>
</w:p>
<w:p>
<w:pPr><w:pStyle w:val="Normal"/></w:pPr>
<w:r><w:t xml:space="preserve">George, prince of Ansbach, a strong adherent of the reformed</w:t></w:r>
</w:p>
<w:p>
<w:pPr><w:pStyle w:val="Normal"/></w:pPr>
<w:r><w:t xml:space="preserve">doctrines.  In 1541 he received Bayreuth as his share of</w:t></w:r>
</w:p>
<w:p>
<w:pPr><w:pStyle w:val="Normal"/></w:pPr>
<w:r><w:t xml:space="preserve">the family lands, and as the chief town of his principality</w:t></w:r>
</w:p>
<w:p>
<w:pPr><w:pStyle w:val="Normal"/></w:pPr>
<w:r><w:t xml:space="preserve">was Kulmbach he is sometimes referred to as the margrave of</w:t></w:r>
</w:p>
<w:p>
<w:pPr><w:pStyle w:val="Normal"/></w:pPr>
<w:r><w:t xml:space="preserve">Brandenburg-Kulmbach.  His restless and turbulent nature</w:t></w:r>
</w:p>
<w:p>
<w:pPr><w:pStyle w:val="Normal"/></w:pPr>
<w:r><w:t xml:space="preserve">marked him out for a military career; and having collected</w:t></w:r>
</w:p>
<w:p>
<w:pPr><w:pStyle w:val="Normal"/></w:pPr>
<w:r><w:t xml:space="preserve">a small band of soldiers, he assisted the emperor Charles</w:t></w:r>
</w:p>
<w:p>
<w:pPr><w:pStyle w:val="Heading1"/></w:pPr>
<w:r><w:t>V. in his war with France in 1543.  The peace of Crepy in</w:t></w:r>
</w:p>
<w:p>
<w:pPr><w:pStyle w:val="Normal"/></w:pPr>
<w:r><w:t xml:space="preserve">September 1544 deprived him of this employment, but he had won</w:t></w:r>
</w:p>
<w:p>
<w:pPr><w:pStyle w:val="Normal"/></w:pPr>
<w:r><w:t xml:space="preserve">a considerable reputation, and when Charles was preparing to</w:t></w:r>
</w:p>
<w:p>
<w:pPr><w:pStyle w:val="Normal"/></w:pPr>
<w:r><w:t xml:space="preserve">attack the league of Schmalkalden, he took pains to win Albert&apos;s</w:t></w:r>
</w:p>
<w:p>
<w:pPr><w:pStyle w:val="Normal"/></w:pPr>
<w:r><w:t xml:space="preserve">assistance.  Sharing in the attack on the Saxon electorate,</w:t></w:r>
</w:p>
<w:p>
<w:pPr><w:pStyle w:val="Normal"/></w:pPr>
<w:r><w:t xml:space="preserve">Albert was taken prisoner at Rcchlitz in March 1547 by John</w:t></w:r>
</w:p>
<w:p>
<w:pPr><w:pStyle w:val="Normal"/></w:pPr>
<w:r><w:t xml:space="preserve">Fredeack, elector of Saxony, but was released as a result</w:t></w:r>
</w:p>
<w:p>
<w:pPr><w:pStyle w:val="Normal"/></w:pPr>
<w:r><w:t xml:space="preserve">of the emperor&apos;s victory at Muhlberg in the succeeding</w:t></w:r>
</w:p>
<w:p>
<w:pPr><w:pStyle w:val="Normal"/></w:pPr>
<w:r><w:t xml:space="preserve">April.  He then followed the fortunes of his friend Maurice,</w:t></w:r>
</w:p>
<w:p>
<w:pPr><w:pStyle w:val="Normal"/></w:pPr>
<w:r><w:t xml:space="preserve">the new elector of Saxony, deserted Charles, and joined the</w:t></w:r>
</w:p>
<w:p>
<w:pPr><w:pStyle w:val="Normal"/></w:pPr>
<w:r><w:t xml:space="preserve">league which proposed to overthrow the emperor by an alliance</w:t></w:r>
</w:p>
<w:p>
<w:pPr><w:pStyle w:val="Normal"/></w:pPr>
<w:r><w:t xml:space="preserve">with Henry II. of France.  IIe took part in the subsequent</w:t></w:r>
</w:p>
<w:p>
<w:pPr><w:pStyle w:val="Normal"/></w:pPr>
<w:r><w:t xml:space="preserve">campaign, but when the treaty of Passau was signed in August</w:t></w:r>
</w:p>
<w:p>
<w:pPr><w:pStyle w:val="Normal"/></w:pPr>
<w:r><w:t xml:space="preserve">1552 he separated himself from his allies and began a crusade</w:t></w:r>
</w:p>
<w:p>
<w:pPr><w:pStyle w:val="Normal"/></w:pPr>
<w:r><w:t xml:space="preserve">of plunder in Franconia.  Having extorted a large sum of</w:t></w:r>
</w:p>
<w:p>
<w:pPr><w:pStyle w:val="Normal"/></w:pPr>
<w:r><w:t xml:space="preserve">money from the burghers of Nuremberg, he quarrelled with his</w:t></w:r>
</w:p>
<w:p>
<w:pPr><w:pStyle w:val="Normal"/></w:pPr>
<w:r><w:t xml:space="preserve">supporter, the French king, and offered his services to the</w:t></w:r>
</w:p>
<w:p>
<w:pPr><w:pStyle w:val="Normal"/></w:pPr>
<w:r><w:t xml:space="preserve">emperor.  Charles, anxious to secure such a famous fighter,</w:t></w:r>
</w:p>
<w:p>
<w:pPr><w:pStyle w:val="Normal"/></w:pPr>
<w:r><w:t xml:space="preserve">gladly assented to Albert&apos;s demands and gave the imperial</w:t></w:r>
</w:p>
<w:p>
<w:pPr><w:pStyle w:val="Normal"/></w:pPr>
<w:r><w:t xml:space="preserve">sanction to his possession of the lands taken from the bishops</w:t></w:r>
</w:p>
<w:p>
<w:pPr><w:pStyle w:val="Normal"/></w:pPr>
<w:r><w:t xml:space="preserve">of Wurzburg and Bamberg; and his conspicuous bravery was of</w:t></w:r>
</w:p>
<w:p>
<w:pPr><w:pStyle w:val="Normal"/></w:pPr>
<w:r><w:t xml:space="preserve">great value to the emperor on the retreat from Metz in January</w:t></w:r>
</w:p>
<w:p>
<w:pPr><w:pStyle w:val="Normal"/></w:pPr>
<w:r><w:t xml:space="preserve">1553.  When Charles left Germany a few weeks later, Albert</w:t></w:r>
</w:p>
<w:p>
<w:pPr><w:pStyle w:val="Normal"/></w:pPr>
<w:r><w:t xml:space="preserve">renewed his depredations in Franconia.  These soon became so</w:t></w:r>
</w:p>
<w:p>
<w:pPr><w:pStyle w:val="Normal"/></w:pPr>
<w:r><w:t xml:space="preserve">serious that a league was formed to crush him, and Maurice</w:t></w:r>
</w:p>
<w:p>
<w:pPr><w:pStyle w:val="Normal"/></w:pPr>
<w:r><w:t xml:space="preserve">of Saxony led an army against his former comrade.  The</w:t></w:r>
</w:p>
<w:p>
<w:pPr><w:pStyle w:val="Normal"/></w:pPr>
<w:r><w:t xml:space="preserve">rival forces met at Sievershausen on the 9th of July 1553,</w:t></w:r>
</w:p>
<w:p>
<w:pPr><w:pStyle w:val="Normal"/></w:pPr>
<w:r><w:t xml:space="preserve">and after a combat of unusual ferocity Albert was put to</w:t></w:r>
</w:p>
<w:p>
<w:pPr><w:pStyle w:val="Normal"/></w:pPr>
<w:r><w:t xml:space="preserve">flight.  Henry II., duke of Brunswick, then took command of</w:t></w:r>
</w:p>
<w:p>
<w:pPr><w:pStyle w:val="Normal"/></w:pPr>
<w:r><w:t xml:space="preserve">the troops of the league, and after Albert had been placed</w:t></w:r>
</w:p>
<w:p>
<w:pPr><w:pStyle w:val="Normal"/></w:pPr>
<w:r><w:t xml:space="preserve">under the imperial ban in December 1553 he was defeated by Duke</w:t></w:r>
</w:p>
<w:p>
<w:pPr><w:pStyle w:val="Normal"/></w:pPr>
<w:r><w:t xml:space="preserve">Henry, and compelled to fly to France.  He there entered the</w:t></w:r>
</w:p>
<w:p>
<w:pPr><w:pStyle w:val="Normal"/></w:pPr>
<w:r><w:t xml:space="preserve">service of Henry II., and had undertaken a campaign to regain</w:t></w:r>
</w:p>
<w:p>
<w:pPr><w:pStyle w:val="Normal"/></w:pPr>
<w:r><w:t xml:space="preserve">his lands when he died at Pforzheim on the 8th of January 1557.</w:t></w:r>
</w:p>
<w:p>
<w:pPr><w:pStyle w:val="Normal"/></w:pPr>
<w:r><w:t xml:space="preserve">See J. Voigt, Morkgraf Albrecht Alcibiades</w:t></w:r>
</w:p>
<w:p>
<w:pPr><w:pStyle w:val="Normal"/></w:pPr>
<w:r><w:t xml:space="preserve">von BrandenburgKulmbach (Berlin, 1852).</w:t></w:r>
</w:p>
<w:p>
<w:pPr><w:pStyle w:val="Normal"/></w:pPr>
<w:r><w:t xml:space="preserve">ALBERT I. (c. 1100-1170), margrave of Brandenburg, surnamed</w:t></w:r>
</w:p>
<w:p>
<w:pPr><w:pStyle w:val="Normal"/></w:pPr>
<w:r><w:t xml:space="preserve">THE BEAR, was the only son of Otto the Rich, count of</w:t></w:r>
</w:p>
<w:p>
<w:pPr><w:pStyle w:val="Normal"/></w:pPr>
<w:r><w:t xml:space="preserve">Ballenstedt, and Eilika, daughter of Magnus Billung, duke of</w:t></w:r>
</w:p>
<w:p>
<w:pPr><w:pStyle w:val="Normal"/></w:pPr>
<w:r><w:t xml:space="preserve">Saxony.  He inherited the valuable Saxon estates of his father</w:t></w:r>
</w:p>
<w:p>
<w:pPr><w:pStyle w:val="Normal"/></w:pPr>
<w:r><w:t xml:space="preserve">in 1123, and on his mother&apos;s death, in 1142, succeeded to</w:t></w:r>
</w:p>
<w:p>
<w:pPr><w:pStyle w:val="Normal"/></w:pPr>
<w:r><w:t xml:space="preserve">one-half of the lands of the Billungs.  About 1123 he received</w:t></w:r>
</w:p>
<w:p>
<w:pPr><w:pStyle w:val="Normal"/></w:pPr>
<w:r><w:t xml:space="preserve">from Lothair, duke of Saxony, the margraviate of Lusatia,</w:t></w:r>
</w:p>
<w:p>
<w:pPr><w:pStyle w:val="Normal"/></w:pPr>
<w:r><w:t xml:space="preserve">and, after Lothair became German king, accompanied him on the</w:t></w:r>
</w:p>
<w:p>
<w:pPr><w:pStyle w:val="Normal"/></w:pPr>
<w:r><w:t xml:space="preserve">disastrous expedition to Bohemia in 1126, when he suffered</w:t></w:r>
</w:p>
<w:p>
<w:pPr><w:pStyle w:val="Normal"/></w:pPr>
<w:r><w:t xml:space="preserve">a short imprisonment.  In 1128 his brother7in-law, Henry</w:t></w:r>
</w:p>
<w:p>
<w:pPr><w:pStyle w:val="Normal"/></w:pPr>
<w:r><w:t xml:space="preserve">II., margrave of the Saxon north mark, died, and Albert,</w:t></w:r>
</w:p>
<w:p>
<w:pPr><w:pStyle w:val="Normal"/></w:pPr>
<w:r><w:t xml:space="preserve">disappointed at not receiving this fief, attacked Udo, the</w:t></w:r>
</w:p>
<w:p>
<w:pPr><w:pStyle w:val="Normal"/></w:pPr>
<w:r><w:t xml:space="preserve">succeeding margrave, and was consequently deprived of Lusatia by</w:t></w:r>
</w:p>
<w:p>
<w:pPr><w:pStyle w:val="Normal"/></w:pPr>
<w:r><w:t xml:space="preserve">Lothair.  In spite of this, he went to Italy in 1132 in the</w:t></w:r>
</w:p>
<w:p>
<w:pPr><w:pStyle w:val="Normal"/></w:pPr>
<w:r><w:t xml:space="preserve">train of the king, and his services there were rewarded,</w:t></w:r>
</w:p>
<w:p>
<w:pPr><w:pStyle w:val="Normal"/></w:pPr>
<w:r><w:t xml:space="preserve">in 1134, by the investiture of the north mark, which was</w:t></w:r>
</w:p>
<w:p>
<w:pPr><w:pStyle w:val="Normal"/></w:pPr>
<w:r><w:t xml:space="preserve">again without a ruler.  For three years he was occupied in</w:t></w:r>
</w:p>
<w:p>
<w:pPr><w:pStyle w:val="Normal"/></w:pPr>
<w:r><w:t xml:space="preserve">campaigns against the Wends, and by an arrangement made with</w:t></w:r>
</w:p>
<w:p>
<w:pPr><w:pStyle w:val="Normal"/></w:pPr>
<w:r><w:t xml:space="preserve">Pribislaus, duke of Brandenburg, Albert secured this district</w:t></w:r>
</w:p>
<w:p>
<w:pPr><w:pStyle w:val="Normal"/></w:pPr>
<w:r><w:t xml:space="preserve">when the duke died in 1150.  Taking the title margrave of</w:t></w:r>
</w:p>
<w:p>
<w:pPr><w:pStyle w:val="Normal"/></w:pPr>
<w:r><w:t xml:space="preserve">Brandenburg, he pressed the warfare against the Wends, extended</w:t></w:r>
</w:p>
<w:p>
<w:pPr><w:pStyle w:val="Normal"/></w:pPr>
<w:r><w:t xml:space="preserve">the area of his mark, did much for the spread of Christianity</w:t></w:r>
</w:p>
<w:p>
<w:pPr><w:pStyle w:val="Normal"/></w:pPr>
<w:r><w:t xml:space="preserve">and civilization therein, and so became the founder of the</w:t></w:r>
</w:p>
<w:p>
<w:pPr><w:pStyle w:val="Normal"/></w:pPr>
<w:r><w:t xml:space="preserve">margraviate of Brandenburg.  In 1137 his cousin, Henry the</w:t></w:r>
</w:p>
<w:p>
<w:pPr><w:pStyle w:val="Normal"/></w:pPr>
<w:r><w:t xml:space="preserve">Proud, had been deprived by King Conrad III. of his Saxon</w:t></w:r>
</w:p>
<w:p>
<w:pPr><w:pStyle w:val="Normal"/></w:pPr>
<w:r><w:t xml:space="preserve">duchy, which was given to Albert.  After meeting with some</w:t></w:r>
</w:p>
<w:p>
<w:pPr><w:pStyle w:val="Normal"/></w:pPr>
<w:r><w:t xml:space="preserve">success in his efforts to take possession, he was driven from</w:t></w:r>
</w:p>
<w:p>
<w:pPr><w:pStyle w:val="Normal"/></w:pPr>
<w:r><w:t xml:space="preserve">Saxony, and also from his mark by Henry, and compelled to</w:t></w:r>
</w:p>
<w:p>
<w:pPr><w:pStyle w:val="Normal"/></w:pPr>
<w:r><w:t xml:space="preserve">take refuge in South Germany, and when peace was made in 1142</w:t></w:r>
</w:p>
<w:p>
<w:pPr><w:pStyle w:val="Normal"/></w:pPr>
<w:r><w:t xml:space="preserve">he renounced the Saxon dukedom and received the counties of</w:t></w:r>
</w:p>
<w:p>
<w:pPr><w:pStyle w:val="Normal"/></w:pPr>
<w:r><w:t xml:space="preserve">Weimar and Orlamunde.  It was possibly at this time that</w:t></w:r>
</w:p>
<w:p>
<w:pPr><w:pStyle w:val="Normal"/></w:pPr>
<w:r><w:t xml:space="preserve">Albert was made arch-chamberlain of the Empire, an office</w:t></w:r>
</w:p>
<w:p>
<w:pPr><w:pStyle w:val="Normal"/></w:pPr>
<w:r><w:t xml:space="preserve">which afterwards gave the margraves of Brandenburg the</w:t></w:r>
</w:p>
<w:p>
<w:pPr><w:pStyle w:val="Normal"/></w:pPr>
<w:r><w:t xml:space="preserve">rights of an elector. A feud with Henry the Lion, duke of Saxony,</w:t></w:r>
</w:p>
<w:p>
<w:pPr><w:pStyle w:val="Normal"/></w:pPr>
<w:r><w:t xml:space="preserve">was followed, in 1158, by a pilgrimage to the Holy Land,</w:t></w:r>
</w:p>
<w:p>
<w:pPr><w:pStyle w:val="Normal"/></w:pPr>
<w:r><w:t xml:space="preserve">and in 1162 Albert accompanied the emperor Frederick I.</w:t></w:r>
</w:p>
<w:p>
<w:pPr><w:pStyle w:val="Normal"/></w:pPr>
<w:r><w:t xml:space="preserve">to Italy, and distinguished himself at the storming of</w:t></w:r>
</w:p>
<w:p>
<w:pPr><w:pStyle w:val="Normal"/></w:pPr>
<w:r><w:t xml:space="preserve">Milan.  In 1164 he joined a league of princes formed against</w:t></w:r>
</w:p>
<w:p>
<w:pPr><w:pStyle w:val="Normal"/></w:pPr>
<w:r><w:t xml:space="preserve">Henry the Lion, and peace being made in 1169, Albert divided</w:t></w:r>
</w:p>
<w:p>
<w:pPr><w:pStyle w:val="Normal"/></w:pPr>
<w:r><w:t xml:space="preserve">his territories among his six sons, and died on the 13th</w:t></w:r>
</w:p>
<w:p>
<w:pPr><w:pStyle w:val="Normal"/></w:pPr>
<w:r><w:t xml:space="preserve">of November 1170, and was buried at Ballenstadt.  His</w:t></w:r>
</w:p>
<w:p>
<w:pPr><w:pStyle w:val="Normal"/></w:pPr>
<w:r><w:t xml:space="preserve">personal qualities won for him the surname of ``the Bear,&apos;&apos;</w:t></w:r>
</w:p>
<w:p>
<w:pPr><w:pStyle w:val="Normal"/></w:pPr>
<w:r><w:t xml:space="preserve">and he is also called by later writers ``the Handsome.&apos;&apos;</w:t></w:r>
</w:p>
<w:p>
<w:pPr><w:pStyle w:val="Normal"/></w:pPr>
<w:r><w:t xml:space="preserve">See L. von Heinemann, Albrecht der Bar (Darmstadt, 1864).</w:t></w:r>
</w:p>
<w:p>
<w:pPr><w:pStyle w:val="Normal"/></w:pPr>
<w:r><w:t xml:space="preserve">ALBERT III. (1414--1486), elector of Brandenburg, surnamed</w:t></w:r>
</w:p>
<w:p>
<w:pPr><w:pStyle w:val="Normal"/></w:pPr>
<w:r><w:t xml:space="preserve">ACHILLES because of his knightly qualities, was the third</w:t></w:r>
</w:p>
<w:p>
<w:pPr><w:pStyle w:val="Normal"/></w:pPr>
<w:r><w:t xml:space="preserve">son of Frederick I. of Hohenzollern, elector of Brandenburg,</w:t></w:r>
</w:p>
<w:p>
<w:pPr><w:pStyle w:val="Normal"/></w:pPr>
<w:r><w:t xml:space="preserve">and was born at Tangermunde on the 9th of November 1414.</w:t></w:r>
</w:p>
<w:p>
<w:pPr><w:pStyle w:val="Normal"/></w:pPr>
<w:r><w:t xml:space="preserve">After passing some time at the court of the emperor Sigismund,</w:t></w:r>
</w:p>
<w:p>
<w:pPr><w:pStyle w:val="Normal"/></w:pPr>
<w:r><w:t xml:space="preserve">he took part in the war against the Hussites, and afterwards</w:t></w:r>
</w:p>
<w:p>
<w:pPr><w:pStyle w:val="Normal"/></w:pPr>
<w:r><w:t xml:space="preserve">distinguished himself whilst assisting the German king, Albert</w:t></w:r>
</w:p>
<w:p>
<w:pPr><w:pStyle w:val="Normal"/></w:pPr>
<w:r><w:t xml:space="preserve">II., against the Poles.  On the division of territory which</w:t></w:r>
</w:p>
<w:p>
<w:pPr><w:pStyle w:val="Normal"/></w:pPr>
<w:r><w:t xml:space="preserve">followed his father&apos;s death in 1440, Albert received the</w:t></w:r>
</w:p>
<w:p>
<w:pPr><w:pStyle w:val="Normal"/></w:pPr>
<w:r><w:t xml:space="preserve">principality of Ansbach; and although his resources were</w:t></w:r>
</w:p>
<w:p>
<w:pPr><w:pStyle w:val="Normal"/></w:pPr>
<w:r><w:t xml:space="preserve">very meagre he soon took a leading place among the German</w:t></w:r>
</w:p>
<w:p>
<w:pPr><w:pStyle w:val="Normal"/></w:pPr>
<w:r><w:t xml:space="preserve">princes, and was especially prominent in resisting the attempts</w:t></w:r>
</w:p>
<w:p>
<w:pPr><w:pStyle w:val="Normal"/></w:pPr>
<w:r><w:t xml:space="preserve">of the towns to obtain self-government.  In 1443 he formed</w:t></w:r>
</w:p>
<w:p>
<w:pPr><w:pStyle w:val="Normal"/></w:pPr>
<w:r><w:t xml:space="preserve">a league directed mainly against Nuremberg, over which town</w:t></w:r>
</w:p>
<w:p>
<w:pPr><w:pStyle w:val="Normal"/></w:pPr>
<w:r><w:t xml:space="preserve">members of his family had formerly exercised the rights of</w:t></w:r>
</w:p>
<w:p>
<w:pPr><w:pStyle w:val="Normal"/></w:pPr>
<w:r><w:t xml:space="preserve">burgrave.  It was not until 1448, however, that he found a</w:t></w:r>
</w:p>
<w:p>
<w:pPr><w:pStyle w:val="Normal"/></w:pPr>
<w:r><w:t xml:space="preserve">pretext for attack, and the war which lasted until 1453 ended</w:t></w:r>
</w:p>
<w:p>
<w:pPr><w:pStyle w:val="Normal"/></w:pPr>
<w:r><w:t xml:space="preserve">in a victory for the Nurembergers, and the recognition of their</w:t></w:r>
</w:p>
<w:p>
<w:pPr><w:pStyle w:val="Normal"/></w:pPr>
<w:r><w:t xml:space="preserve">independence.  He supported the emperor Frederick III. in his</w:t></w:r>
</w:p>
<w:p>
<w:pPr><w:pStyle w:val="Normal"/></w:pPr>
<w:r><w:t xml:space="preserve">struggle with the princes who desired re-forms in Oiermany,</w:t></w:r>
</w:p>
<w:p>
<w:pPr><w:pStyle w:val="Normal"/></w:pPr>
<w:r><w:t xml:space="preserve">and in return for this loyalty received many marks of favour</w:t></w:r>
</w:p>
<w:p>
<w:pPr><w:pStyle w:val="Normal"/></w:pPr>
<w:r><w:t xml:space="preserve">from Frederick, including extensive judicial rights which</w:t></w:r>
</w:p>
<w:p>
<w:pPr><w:pStyle w:val="Normal"/></w:pPr>
<w:r><w:t xml:space="preserve">aroused considerable irritation among neighbouring rulers.  In</w:t></w:r>
</w:p>
<w:p>
<w:pPr><w:pStyle w:val="Normal"/></w:pPr>
<w:r><w:t xml:space="preserve">1457 he arranged a marriage between his eldest son John, and</w:t></w:r>
</w:p>
<w:p>
<w:pPr><w:pStyle w:val="Normal"/></w:pPr>
<w:r><w:t xml:space="preserve">Margaret, daughter of William III., landgrave of Thuringia,</w:t></w:r>
</w:p>
<w:p>
<w:pPr><w:pStyle w:val="Normal"/></w:pPr>
<w:r><w:t xml:space="preserve">who inherited the claims upon Hungary and Bohemia of her</w:t></w:r>
</w:p>
<w:p>
<w:pPr><w:pStyle w:val="Normal"/></w:pPr>
<w:r><w:t xml:space="preserve">mother, a granddaughter of the emperor Sigismund.  The attempt</w:t></w:r>
</w:p>
<w:p>
<w:pPr><w:pStyle w:val="Normal"/></w:pPr>
<w:r><w:t xml:space="preserve">to secure these thrones for the Hohenzollerns through this</w:t></w:r>
</w:p>
<w:p>
<w:pPr><w:pStyle w:val="Normal"/></w:pPr>
<w:r><w:t xml:space="preserve">marriage failed, and a similar fate befell Albert&apos;s efforts</w:t></w:r>
</w:p>
<w:p>
<w:pPr><w:pStyle w:val="Normal"/></w:pPr>
<w:r><w:t xml:space="preserve">to revive in his own favour the disused. title of duke of</w:t></w:r>
</w:p>
<w:p>
<w:pPr><w:pStyle w:val="Normal"/></w:pPr>
<w:r><w:t xml:space="preserve">Franconia.  The sharp dissensions which existed among the</w:t></w:r>
</w:p>
<w:p>
<w:pPr><w:pStyle w:val="Normal"/></w:pPr>
<w:r><w:t xml:space="preserve">princes over the question of reform culminated in open warfare</w:t></w:r>
</w:p>
<w:p>
<w:pPr><w:pStyle w:val="Normal"/></w:pPr>
<w:r><w:t xml:space="preserve">in 1460, when Albert was confronted with a league under the</w:t></w:r>
</w:p>
<w:p>
<w:pPr><w:pStyle w:val="Normal"/></w:pPr>
<w:r><w:t xml:space="preserve">leadership of the elector palatine, Frederick I., and Louis</w:t></w:r>
</w:p>
<w:p>
<w:pPr><w:pStyle w:val="Heading1"/></w:pPr>
<w:r><w:t>IX. (the Rich), duke of Bavaria-Landshut.  Worsted in this</w:t></w:r>
</w:p>
<w:p>
<w:pPr><w:pStyle w:val="Normal"/></w:pPr>
<w:r><w:t xml:space="preserve">struggle, which was concluded in 1462, Albert made an alliance</w:t></w:r>
</w:p>
<w:p>
<w:pPr><w:pStyle w:val="Normal"/></w:pPr>
<w:r><w:t xml:space="preserve">with his former enemy, George Podebrad, king of Bohemia, a</w:t></w:r>
</w:p>
<w:p>
<w:pPr><w:pStyle w:val="Normal"/></w:pPr>
<w:r><w:t xml:space="preserve">step which caused Pope Paul II. to place him under the ban.</w:t></w:r>
</w:p>
<w:p>
<w:pPr><w:pStyle w:val="Normal"/></w:pPr>
<w:r><w:t xml:space="preserve">In 1470 Albert, who had inherited Bayreuth on the death of his</w:t></w:r>
</w:p>
<w:p>
<w:pPr><w:pStyle w:val="Normal"/></w:pPr>
<w:r><w:t xml:space="preserve">brother John in 1464, became elector of Brandenburg owing to the</w:t></w:r>
</w:p>
<w:p>
<w:pPr><w:pStyle w:val="Normal"/></w:pPr>
<w:r><w:t xml:space="preserve">abdication of his remaining brother, the elector Frederick II.</w:t></w:r>
</w:p>
<w:p>
<w:pPr><w:pStyle w:val="Normal"/></w:pPr>
<w:r><w:t xml:space="preserve">He was soon actively engaged in its administration, and by the</w:t></w:r>
</w:p>
<w:p>
<w:pPr><w:pStyle w:val="Normal"/></w:pPr>
<w:r><w:t xml:space="preserve">treaty of Prenzlau in 1472 he brought Pomerania also under his</w:t></w:r>
</w:p>
<w:p>
<w:pPr><w:pStyle w:val="Normal"/></w:pPr>
<w:r><w:t xml:space="preserve">supremacy.  Having established his right to levy a tonnage on</w:t></w:r>
</w:p>
<w:p>
<w:pPr><w:pStyle w:val="Normal"/></w:pPr>
<w:r><w:t xml:space="preserve">wines in the mark, he issued in February 1473 the important</w:t></w:r>
</w:p>
<w:p>
<w:pPr><w:pStyle w:val="Normal"/></w:pPr>
<w:r><w:t xml:space="preserve">dispositio Achillea, which decreed that the mark of Brandenburg</w:t></w:r>
</w:p>
<w:p>
<w:pPr><w:pStyle w:val="Normal"/></w:pPr>
<w:r><w:t xml:space="preserve">should descend in its entirety to the eldest son, while the</w:t></w:r>
</w:p>
<w:p>
<w:pPr><w:pStyle w:val="Normal"/></w:pPr>
<w:r><w:t xml:space="preserve">younger sons should receive the Franconian possessions of the</w:t></w:r>
</w:p>
<w:p>
<w:pPr><w:pStyle w:val="Normal"/></w:pPr>
<w:r><w:t xml:space="preserve">family.  After treating in vain for a marriage between one</w:t></w:r>
</w:p>
<w:p>
<w:pPr><w:pStyle w:val="Normal"/></w:pPr>
<w:r><w:t xml:space="preserve">of his sons and Mary, daughter and heiress of Charles the</w:t></w:r>
</w:p>
<w:p>
<w:pPr><w:pStyle w:val="Normal"/></w:pPr>
<w:r><w:t xml:space="preserve">Bold, duke of Burgundy, Albert handed over the government of</w:t></w:r>
</w:p>
<w:p>
<w:pPr><w:pStyle w:val="Normal"/></w:pPr>
<w:r><w:t xml:space="preserve">Brandenburg to his eldest son John, and returned to his Franconian</w:t></w:r>
</w:p>
<w:p>
<w:pPr><w:pStyle w:val="Normal"/></w:pPr>
<w:r><w:t xml:space="preserve">possessions.  In 1474 he married his daughter Barbara to Henry</w:t></w:r>
</w:p>
<w:p>
<w:pPr><w:pStyle w:val="Normal"/></w:pPr>
<w:r><w:t xml:space="preserve">XI., duke of Glogau, who left his possessions on his death in</w:t></w:r>
</w:p>
<w:p>
<w:pPr><w:pStyle w:val="Normal"/></w:pPr>
<w:r><w:t xml:space="preserve">1476 to his widow with reversion to her family, an arrangement</w:t></w:r>
</w:p>
<w:p>
<w:pPr><w:pStyle w:val="Normal"/></w:pPr>
<w:r><w:t xml:space="preserve">which was resisted by Henrv&apos;s kinsman, John II., duke of</w:t></w:r>
</w:p>
<w:p>
<w:pPr><w:pStyle w:val="Normal"/></w:pPr>
<w:r><w:t xml:space="preserve">Sagan.  Aided by Matthias Corvinus, king of Hungary, John invaded</w:t></w:r>
</w:p>
<w:p>
<w:pPr><w:pStyle w:val="Normal"/></w:pPr>
<w:r><w:t xml:space="preserve">Brandenburg, and the Pomeranians seized the opportunity to</w:t></w:r>
</w:p>
<w:p>
<w:pPr><w:pStyle w:val="Normal"/></w:pPr>
<w:r><w:t xml:space="preserve">revolt.  Under these circumstances Albert returned to</w:t></w:r>
</w:p>
<w:p>
<w:pPr><w:pStyle w:val="Normal"/></w:pPr>
<w:r><w:t xml:space="preserve">Brandenburg in 1478, compelled the Pomeranians to own his</w:t></w:r>
</w:p>
<w:p>
<w:pPr><w:pStyle w:val="Normal"/></w:pPr>
<w:r><w:t xml:space="preserve">supremacy, and after a stubborn struggle secured a part</w:t></w:r>
</w:p>
<w:p>
<w:pPr><w:pStyle w:val="Normal"/></w:pPr>
<w:r><w:t xml:space="preserve">of Duke Henry&apos;s lands for his daughter in 1482.  His main</w:t></w:r>
</w:p>
<w:p>
<w:pPr><w:pStyle w:val="Normal"/></w:pPr>
<w:r><w:t xml:space="preserve">attention was afterwards claimed by the business of the Empire,</w:t></w:r>
</w:p>
<w:p>
<w:pPr><w:pStyle w:val="Normal"/></w:pPr>
<w:r><w:t xml:space="preserve">and soon after taking part in the election of Maximilian as</w:t></w:r>
</w:p>
<w:p>
<w:pPr><w:pStyle w:val="Normal"/></w:pPr>
<w:r><w:t xml:space="preserve">king of the Romans he died at Frankfort on the 11th of March</w:t></w:r>
</w:p>
<w:p>
<w:pPr><w:pStyle w:val="Normal"/></w:pPr>
<w:r><w:t xml:space="preserve">1486.  He left a considerable amount of treasure.  His first</w:t></w:r>
</w:p>
<w:p>
<w:pPr><w:pStyle w:val="Normal"/></w:pPr>
<w:r><w:t xml:space="preserve">wife was Margaret of Baden, by whom he had six children;</w:t></w:r>
</w:p>
<w:p>
<w:pPr><w:pStyle w:val="Normal"/></w:pPr>
<w:r><w:t xml:space="preserve">and his second was Anne of Saxony, by whom he had thirteen.</w:t></w:r>
</w:p>
<w:p>
<w:pPr><w:pStyle w:val="Normal"/></w:pPr>
<w:r><w:t xml:space="preserve">Albert was a man of relentless energy and boundless ambition,</w:t></w:r>
</w:p>
<w:p>
<w:pPr><w:pStyle w:val="Normal"/></w:pPr>
<w:r><w:t xml:space="preserve">who by reason of his physical and intellectual qualities</w:t></w:r>
</w:p>
<w:p>
<w:pPr><w:pStyle w:val="Normal"/></w:pPr>
<w:r><w:t xml:space="preserve">was one of the most prominent princes of the 15th century.</w:t></w:r>
</w:p>
<w:p>
<w:pPr><w:pStyle w:val="Normal"/></w:pPr>
<w:r><w:t xml:space="preserve">See Das kaiserliche Buch des Markgrafen Albrecht Achilles,</w:t></w:r>
</w:p>
<w:p>
<w:pPr><w:pStyle w:val="Normal"/></w:pPr>
<w:r><w:t xml:space="preserve">Ferkurfurstliche Periode, 1440-1470, edited by C. Hofler</w:t></w:r>
</w:p>
<w:p>
<w:pPr><w:pStyle w:val="Normal"/></w:pPr>
<w:r><w:t xml:space="preserve">(Bayreuth, 1850); Kurfurstliche Periode, edited by J.</w:t></w:r>
</w:p>
<w:p>
<w:pPr><w:pStyle w:val="Normal"/></w:pPr>
<w:r><w:t xml:space="preserve">von Minutoli (Berlin, 1850); Quellensammlung zur Geschichte</w:t></w:r>
</w:p>
<w:p>
<w:pPr><w:pStyle w:val="Normal"/></w:pPr>
<w:r><w:t xml:space="preserve">des Hauses Hohenzollern, Band I., edited by C. A. H.</w:t></w:r>
</w:p>
<w:p>
<w:pPr><w:pStyle w:val="Normal"/></w:pPr>
<w:r><w:t xml:space="preserve">Burkhardt (Jena, 1857); O. Franklin, Albrecht Achilles</w:t></w:r>
</w:p>
<w:p>
<w:pPr><w:pStyle w:val="Normal"/></w:pPr>
<w:r><w:t xml:space="preserve">und die Nuremberger, 1444-1453 (Berlin, 1866); Politische</w:t></w:r>
</w:p>
<w:p>
<w:pPr><w:pStyle w:val="Normal"/></w:pPr>
<w:r><w:t xml:space="preserve">Korrespondenz des Kurfursten Albrecht Achilles, 1486,</w:t></w:r>
</w:p>
<w:p>
<w:pPr><w:pStyle w:val="Normal"/></w:pPr>
<w:r><w:t xml:space="preserve">edited by F. Priebatsch (Leipzig, 1894-1898); J. G. Droysen,</w:t></w:r>
</w:p>
<w:p>
<w:pPr><w:pStyle w:val="Normal"/></w:pPr>
<w:r><w:t xml:space="preserve">Geschichte der preussischen Politik (Berlin, 1835-1886).</w:t></w:r>
</w:p>
<w:p>
<w:pPr><w:pStyle w:val="Normal"/></w:pPr>
<w:r><w:t xml:space="preserve">ALBERT (FRANCIS CHARLES AUGUSTUS ALBERT EMMANUEL) (1819-1861),</w:t></w:r>
</w:p>
<w:p>
<w:pPr><w:pStyle w:val="Normal"/></w:pPr>
<w:r><w:t xml:space="preserve">prince-consort of England, was born at Bosenau on the 26th</w:t></w:r>
</w:p>
<w:p>
<w:pPr><w:pStyle w:val="Normal"/></w:pPr>
<w:r><w:t xml:space="preserve">of August 1819.  He was the second son of the hereditary duke</w:t></w:r>
</w:p>
<w:p>
<w:pPr><w:pStyle w:val="Normal"/></w:pPr>
<w:r><w:t xml:space="preserve">of Saxe-Coburg-Gotha (belonging to the Ernestine or elder</w:t></w:r>
</w:p>
<w:p>
<w:pPr><w:pStyle w:val="Normal"/></w:pPr>
<w:r><w:t xml:space="preserve">branch of the royal family of Saxony) by his first wife, the</w:t></w:r>
</w:p>
<w:p>
<w:pPr><w:pStyle w:val="Normal"/></w:pPr>
<w:r><w:t xml:space="preserve">princess Louise of Saxe-Gotha-Altenburg (d. 1831), from</w:t></w:r>
</w:p>
<w:p>
<w:pPr><w:pStyle w:val="Normal"/></w:pPr>
<w:r><w:t xml:space="preserve">whom the duke was separated in 1824.  His father&apos;s sister</w:t></w:r>
</w:p>
<w:p>
<w:pPr><w:pStyle w:val="Normal"/></w:pPr>
<w:r><w:t xml:space="preserve">married the duke of Kent, and her daughter, afterwards Queen</w:t></w:r>
</w:p>
<w:p>
<w:pPr><w:pStyle w:val="Normal"/></w:pPr>
<w:r><w:t xml:space="preserve">Victoria of England, Prince Albert&apos;s wife, was thus his first</w:t></w:r>
</w:p>
<w:p>
<w:pPr><w:pStyle w:val="Normal"/></w:pPr>
<w:r><w:t xml:space="preserve">cousin.  They were born in the same year.  Albert and his</w:t></w:r>
</w:p>
<w:p>
<w:pPr><w:pStyle w:val="Normal"/></w:pPr>
<w:r><w:t xml:space="preserve">elder brother, Ernest, were close companions in youth, and</w:t></w:r>
</w:p>
<w:p>
<w:pPr><w:pStyle w:val="Normal"/></w:pPr>
<w:r><w:t xml:space="preserve">were educated under the care of Consistorialrath Florschutz,</w:t></w:r>
</w:p>
<w:p>
<w:pPr><w:pStyle w:val="Normal"/></w:pPr>
<w:r><w:t xml:space="preserve">subsequently proceeding to the university of Bonn.  There</w:t></w:r>
</w:p>
<w:p>
<w:pPr><w:pStyle w:val="Normal"/></w:pPr>
<w:r><w:t xml:space="preserve">Prince Albert devoted himself especially to natural science,</w:t></w:r>
</w:p>
<w:p>
<w:pPr><w:pStyle w:val="Normal"/></w:pPr>
<w:r><w:t xml:space="preserve">political economy and philosophy, having for teachers such</w:t></w:r>
</w:p>
<w:p>
<w:pPr><w:pStyle w:val="Normal"/></w:pPr>
<w:r><w:t xml:space="preserve">men as Fichte, Schlegel and Perthes; he diligently cultivated</w:t></w:r>
</w:p>
<w:p>
<w:pPr><w:pStyle w:val="Normal"/></w:pPr>
<w:r><w:t xml:space="preserve">music and painting, and excelled in gymnastic exercises,</w:t></w:r>
</w:p>
<w:p>
<w:pPr><w:pStyle w:val="Normal"/></w:pPr>
<w:r><w:t xml:space="preserve">especially in fencing.  The idea of a marriage between him</w:t></w:r>
</w:p>
<w:p>
<w:pPr><w:pStyle w:val="Normal"/></w:pPr>
<w:r><w:t xml:space="preserve">and his cousin Victoria had always been cherished by their</w:t></w:r>
</w:p>
<w:p>
<w:pPr><w:pStyle w:val="Normal"/></w:pPr>
<w:r><w:t xml:space="preserve">uncle, King Leopold I. of Belgium, and in May 1836 the duke of</w:t></w:r>
</w:p>
<w:p>
<w:pPr><w:pStyle w:val="Normal"/></w:pPr>
<w:r><w:t xml:space="preserve">Saxe-Coburg-Gotha and his two sons paid a visit to Kensington</w:t></w:r>
</w:p>
<w:p>
<w:pPr><w:pStyle w:val="Normal"/></w:pPr>
<w:r><w:t xml:space="preserve">Palace, where Princess Victoria, as she then was, lived, for</w:t></w:r>
</w:p>
<w:p>
<w:pPr><w:pStyle w:val="Normal"/></w:pPr>
<w:r><w:t xml:space="preserve">the purpose of making acquaintance for the first time.  The</w:t></w:r>
</w:p>
<w:p>
<w:pPr><w:pStyle w:val="Normal"/></w:pPr>
<w:r><w:t xml:space="preserve">visit was by no means to the taste of King William IV., who</w:t></w:r>
</w:p>
<w:p>
<w:pPr><w:pStyle w:val="Normal"/></w:pPr>
<w:r><w:t xml:space="preserve">disapproved of the match and favoured Prince Alexander of</w:t></w:r>
</w:p>
<w:p>
<w:pPr><w:pStyle w:val="Normal"/></w:pPr>
<w:r><w:t xml:space="preserve">Orange.  But Leopold&apos;s plan was known to Princess Victoria,</w:t></w:r>
</w:p>
<w:p>
<w:pPr><w:pStyle w:val="Normal"/></w:pPr>
<w:r><w:t xml:space="preserve">and William&apos;s objections were fruitless.  Princess Victoria,</w:t></w:r>
</w:p>
<w:p>
<w:pPr><w:pStyle w:val="Normal"/></w:pPr>
<w:r><w:t xml:space="preserve">writing to her uncle Leopold (May 23, 1836), said that Albert</w:t></w:r>
</w:p>
<w:p>
<w:pPr><w:pStyle w:val="Normal"/></w:pPr>
<w:r><w:t xml:space="preserve">was ``extremely handsome&apos;&apos;; and (June 7) thanked him for the</w:t></w:r>
</w:p>
<w:p>
<w:pPr><w:pStyle w:val="Normal"/></w:pPr>
<w:r><w:t xml:space="preserve">``prospect of great happiness you have contributed to give</w:t></w:r>
</w:p>
<w:p>
<w:pPr><w:pStyle w:val="Normal"/></w:pPr>
<w:r><w:t xml:space="preserve">me in the person of dear Albert.  He possesses every quality</w:t></w:r>
</w:p>
<w:p>
<w:pPr><w:pStyle w:val="Normal"/></w:pPr>
<w:r><w:t xml:space="preserve">that could be desired to render me perfectly happy.&apos;, No</w:t></w:r>
</w:p>
<w:p>
<w:pPr><w:pStyle w:val="Normal"/></w:pPr>
<w:r><w:t xml:space="preserve">formal engagement was entered into, but the situation was</w:t></w:r>
</w:p>
<w:p>
<w:pPr><w:pStyle w:val="Normal"/></w:pPr>
<w:r><w:t xml:space="preserve">privately understood as one which in time would naturally</w:t></w:r>
</w:p>
<w:p>
<w:pPr><w:pStyle w:val="Normal"/></w:pPr>
<w:r><w:t xml:space="preserve">develop.  After the queen came to the throne, her letters show</w:t></w:r>
</w:p>
<w:p>
<w:pPr><w:pStyle w:val="Normal"/></w:pPr>
<w:r><w:t xml:space="preserve">her interest in Albert&apos;s being educated for the part he would</w:t></w:r>
</w:p>
<w:p>
<w:pPr><w:pStyle w:val="Normal"/></w:pPr>
<w:r><w:t xml:space="preserve">have to play.  In the winter of 1838-1839 the prince travelled</w:t></w:r>
</w:p>
<w:p>
<w:pPr><w:pStyle w:val="Normal"/></w:pPr>
<w:r><w:t xml:space="preserve">in Italy, accompanied by Baron Stockmar, formerly Leopold&apos;s</w:t></w:r>
</w:p>
<w:p>
<w:pPr><w:pStyle w:val="Normal"/></w:pPr>
<w:r><w:t xml:space="preserve">doctor and private secretary, and now the queen&apos;s confidential</w:t></w:r>
</w:p>
<w:p>
<w:pPr><w:pStyle w:val="Normal"/></w:pPr>
<w:r><w:t xml:space="preserve">adviser.  On the 10th of October 1839 he and Ernest went again</w:t></w:r>
</w:p>
<w:p>
<w:pPr><w:pStyle w:val="Normal"/></w:pPr>
<w:r><w:t xml:space="preserve">to England to visit the queen, with the object of finally</w:t></w:r>
</w:p>
<w:p>
<w:pPr><w:pStyle w:val="Normal"/></w:pPr>
<w:r><w:t xml:space="preserve">settling the marriage.  Mutual inclination and affection at</w:t></w:r>
</w:p>
<w:p>
<w:pPr><w:pStyle w:val="Normal"/></w:pPr>
<w:r><w:t xml:space="preserve">once brought about the desired result.  They became definitely</w:t></w:r>
</w:p>
<w:p>
<w:pPr><w:pStyle w:val="Normal"/></w:pPr>
<w:r><w:t xml:space="preserve">engaged on the 15th of October, and on the 10th of February 1840</w:t></w:r>
</w:p>
<w:p>
<w:pPr><w:pStyle w:val="Normal"/></w:pPr>
<w:r><w:t xml:space="preserve">the marriage was celebrated at the chapel-royal, St James&apos;s.</w:t></w:r>
</w:p>
<w:p>
<w:pPr><w:pStyle w:val="Normal"/></w:pPr>
<w:r><w:t xml:space="preserve">The position in which the prince was placed by his marriage,</w:t></w:r>
</w:p>
<w:p>
<w:pPr><w:pStyle w:val="Normal"/></w:pPr>
<w:r><w:t xml:space="preserve">while it was one of distinguished honour, was also one</w:t></w:r>
</w:p>
<w:p>
<w:pPr><w:pStyle w:val="Normal"/></w:pPr>
<w:r><w:t xml:space="preserve">of considerable difficulty; and during his lifetime the</w:t></w:r>
</w:p>
<w:p>
<w:pPr><w:pStyle w:val="Normal"/></w:pPr>
<w:r><w:t xml:space="preserve">tactful way in which he filled it was very inadequately</w:t></w:r>
</w:p>
<w:p>
<w:pPr><w:pStyle w:val="Normal"/></w:pPr>
<w:r><w:t xml:space="preserve">appreciated.  The public life of the prince-consort cannot</w:t></w:r>
</w:p>
<w:p>
<w:pPr><w:pStyle w:val="Normal"/></w:pPr>
<w:r><w:t xml:space="preserve">be separated from that of the queen, and it is unnecessary</w:t></w:r>
</w:p>
<w:p>
<w:pPr><w:pStyle w:val="Normal"/></w:pPr>
<w:r><w:t xml:space="preserve">here to repeat such details as are given in the article</w:t></w:r>
</w:p>
<w:p>
<w:pPr><w:pStyle w:val="Normal"/></w:pPr>
<w:r><w:t xml:space="preserve">on her (see VICTORIA, QUEEN.) The prejudice against</w:t></w:r>
</w:p>
<w:p>
<w:pPr><w:pStyle w:val="Normal"/></w:pPr>
<w:r><w:t xml:space="preserve">him, on account of what was regarded as undue influence in</w:t></w:r>
</w:p>
<w:p>
<w:pPr><w:pStyle w:val="Normal"/></w:pPr>
<w:r><w:t xml:space="preserve">politics, was never fully dissipated till after his death.</w:t></w:r>
</w:p>
<w:p>
<w:pPr><w:pStyle w:val="Normal"/></w:pPr>
<w:r><w:t xml:space="preserve">His co-operation with the queen in dealing with the political</w:t></w:r>
</w:p>
<w:p>
<w:pPr><w:pStyle w:val="Normal"/></w:pPr>
<w:r><w:t xml:space="preserve">responsibilities which devolved upon the sovereign represented</w:t></w:r>
</w:p>
<w:p>
<w:pPr><w:pStyle w:val="Normal"/></w:pPr>
<w:r><w:t xml:space="preserve">an amount of conscientious and self-sacrificing labour which</w:t></w:r>
</w:p>
<w:p>
<w:pPr><w:pStyle w:val="Normal"/></w:pPr>
<w:r><w:t xml:space="preserve">cannot easily be exaggerated; and his wisdom in council</w:t></w:r>
</w:p>
<w:p>
<w:pPr><w:pStyle w:val="Normal"/></w:pPr>
<w:r><w:t xml:space="preserve">could only be realized, outside a very small circle, when in</w:t></w:r>
</w:p>
<w:p>
<w:pPr><w:pStyle w:val="Normal"/></w:pPr>
<w:r><w:t xml:space="preserve">later years the materials for the history of that time became</w:t></w:r>
</w:p>
<w:p>
<w:pPr><w:pStyle w:val="Normal"/></w:pPr>
<w:r><w:t xml:space="preserve">accessible.  He was indeed a man of cultured and liberal</w:t></w:r>
</w:p>
<w:p>
<w:pPr><w:pStyle w:val="Normal"/></w:pPr>
<w:r><w:t xml:space="preserve">ideas, well qualified to take the lead in many reforms which</w:t></w:r>
</w:p>
<w:p>
<w:pPr><w:pStyle w:val="Normal"/></w:pPr>
<w:r><w:t xml:space="preserve">the England of that day sorely needed.  He was specially</w:t></w:r>
</w:p>
<w:p>
<w:pPr><w:pStyle w:val="Normal"/></w:pPr>
<w:r><w:t xml:space="preserve">interested in endeavours to secure the more perfect application</w:t></w:r>
</w:p>
<w:p>
<w:pPr><w:pStyle w:val="Normal"/></w:pPr>
<w:r><w:t xml:space="preserve">of science and art to manufacturing industry.  The Great</w:t></w:r>
</w:p>
<w:p>
<w:pPr><w:pStyle w:val="Normal"/></w:pPr>
<w:r><w:t xml:space="preserve">Exhibition of 1851 originated in a suggestion he made at a</w:t></w:r>
</w:p>
<w:p>
<w:pPr><w:pStyle w:val="Normal"/></w:pPr>
<w:r><w:t xml:space="preserve">meeting of the Society of Arts, and owed the greater part of</w:t></w:r>
</w:p>
<w:p>
<w:pPr><w:pStyle w:val="Normal"/></w:pPr>
<w:r><w:t xml:space="preserve">its success to his intelligent and unwearied efforts.  He had</w:t></w:r>
</w:p>
<w:p>
<w:pPr><w:pStyle w:val="Normal"/></w:pPr>
<w:r><w:t xml:space="preserve">to work for its realization against an extraordinary outburst</w:t></w:r>
</w:p>
<w:p>
<w:pPr><w:pStyle w:val="Normal"/></w:pPr>
<w:r><w:t xml:space="preserve">of angry expostulations.  Every stage in his project was</w:t></w:r>
</w:p>
<w:p>
<w:pPr><w:pStyle w:val="Normal"/></w:pPr>
<w:r><w:t xml:space="preserve">combated.  In the House of Peers, Lord Brougham denied the</w:t></w:r>
</w:p>
<w:p>
<w:pPr><w:pStyle w:val="Normal"/></w:pPr>
<w:r><w:t xml:space="preserve">right of the crown to hold the exhibition in Hyde Park; in</w:t></w:r>
</w:p>
<w:p>
<w:pPr><w:pStyle w:val="Normal"/></w:pPr>
<w:r><w:t xml:space="preserve">the Commons, Colonel Sibthorp prophesied that England would</w:t></w:r>
</w:p>
<w:p>
<w:pPr><w:pStyle w:val="Normal"/></w:pPr>
<w:r><w:t xml:space="preserve">be overrun with foreign rogues and revolutionists, who would</w:t></w:r>
</w:p>
<w:p>
<w:pPr><w:pStyle w:val="Normal"/></w:pPr>
<w:r><w:t xml:space="preserve">subvert the morals of the people, filch their trade secrets</w:t></w:r>
</w:p>
<w:p>
<w:pPr><w:pStyle w:val="Normal"/></w:pPr>
<w:r><w:t xml:space="preserve">from them, and destroy their faith and loyalty towards their</w:t></w:r>
</w:p>
<w:p>
<w:pPr><w:pStyle w:val="Normal"/></w:pPr>
<w:r><w:t xml:space="preserve">religion and their sovereign.  Prince Albert was president of</w:t></w:r>
</w:p>
<w:p>
<w:pPr><w:pStyle w:val="Normal"/></w:pPr>
<w:r><w:t xml:space="preserve">the exhibition commission, and every post brought him abusive</w:t></w:r>
</w:p>
<w:p>
<w:pPr><w:pStyle w:val="Normal"/></w:pPr>
<w:r><w:t xml:space="preserve">letters, accusing him, as a foreigner, of being intent upon</w:t></w:r>
</w:p>
<w:p>
<w:pPr><w:pStyle w:val="Normal"/></w:pPr>
<w:r><w:t xml:space="preserve">the corruption of England.  He was not the man to be balked by</w:t></w:r>
</w:p>
<w:p>
<w:pPr><w:pStyle w:val="Normal"/></w:pPr>
<w:r><w:t xml:space="preserve">talk of this kind, but quietly persevered, looking always to</w:t></w:r>
</w:p>
<w:p>
<w:pPr><w:pStyle w:val="Normal"/></w:pPr>
<w:r><w:t xml:space="preserve">the probability that the manufacturing power of Great Britain</w:t></w:r>
</w:p>
<w:p>
<w:pPr><w:pStyle w:val="Normal"/></w:pPr>
<w:r><w:t xml:space="preserve">would be quickened by bringing the best manufactured products</w:t></w:r>
</w:p>
<w:p>
<w:pPr><w:pStyle w:val="Normal"/></w:pPr>
<w:r><w:t xml:space="preserve">of foreign countries under the eyes of the mechanics and</w:t></w:r>
</w:p>
<w:p>
<w:pPr><w:pStyle w:val="Normal"/></w:pPr>
<w:r><w:t xml:space="preserve">artisans.  A sense of the artistic was at this time almost</w:t></w:r>
</w:p>
<w:p>
<w:pPr><w:pStyle w:val="Normal"/></w:pPr>
<w:r><w:t xml:space="preserve">wholly wanting among the English people.  One day the prince</w:t></w:r>
</w:p>
<w:p>
<w:pPr><w:pStyle w:val="Normal"/></w:pPr>
<w:r><w:t xml:space="preserve">had a conversation with a great manufacturer of crockery,</w:t></w:r>
</w:p>
<w:p>
<w:pPr><w:pStyle w:val="Normal"/></w:pPr>
<w:r><w:t xml:space="preserve">and sought to convert him to the idea of issuing something</w:t></w:r>
</w:p>
<w:p>
<w:pPr><w:pStyle w:val="Normal"/></w:pPr>
<w:r><w:t xml:space="preserve">better than the eternal willow-pattern in white with gold,</w:t></w:r>
</w:p>
<w:p>
<w:pPr><w:pStyle w:val="Normal"/></w:pPr>
<w:r><w:t xml:space="preserve">red or blue, which formed the staple of middle and lower class</w:t></w:r>
</w:p>
<w:p>
<w:pPr><w:pStyle w:val="Normal"/></w:pPr>
<w:r><w:t xml:space="preserve">domestic china.  The manufacturer held out that new shapes</w:t></w:r>
</w:p>
<w:p>
<w:pPr><w:pStyle w:val="Normal"/></w:pPr>
<w:r><w:t xml:space="preserve">and designs would not be saleable; but he was induced to</w:t></w:r>
</w:p>
<w:p>
<w:pPr><w:pStyle w:val="Normal"/></w:pPr>
<w:r><w:t xml:space="preserve">try, and he did so with such a rapid success that a revolution</w:t></w:r>
</w:p>
<w:p>
<w:pPr><w:pStyle w:val="Normal"/></w:pPr>
<w:r><w:t xml:space="preserve">in the china cupboards of England was accomplished from that</w:t></w:r>
</w:p>
<w:p>
<w:pPr><w:pStyle w:val="Normal"/></w:pPr>
<w:r><w:t xml:space="preserve">time.  The exhibition was opened by the queen on the 1st of May</w:t></w:r>
</w:p>
<w:p>
<w:pPr><w:pStyle w:val="Normal"/></w:pPr>
<w:r><w:t xml:space="preserve">1851, and was a colossal success; and the realized surplus</w:t></w:r>
</w:p>
<w:p>
<w:pPr><w:pStyle w:val="Normal"/></w:pPr>
<w:r><w:t xml:space="preserve">of L. 150,000 went to establish and endow the South Kensington</w:t></w:r>
</w:p>
<w:p>
<w:pPr><w:pStyle w:val="Normal"/></w:pPr>
<w:r><w:t xml:space="preserve">Museum (afterwards renamed ``Victoria and Albert&apos;&apos;) and to</w:t></w:r>
</w:p>
<w:p>
<w:pPr><w:pStyle w:val="Normal"/></w:pPr>
<w:r><w:t xml:space="preserve">purchase land in that neighbourhood.  Similar institutions,</w:t></w:r>
</w:p>
<w:p>
<w:pPr><w:pStyle w:val="Normal"/></w:pPr>
<w:r><w:t xml:space="preserve">On a smaller scale but with a kindred aim, always found in</w:t></w:r>
</w:p>
<w:p>
<w:pPr><w:pStyle w:val="Normal"/></w:pPr>
<w:r><w:t xml:space="preserve">him warm advocacy and substantial support.  It was chiefly at</w:t></w:r>
</w:p>
<w:p>
<w:pPr><w:pStyle w:val="Normal"/></w:pPr>
<w:r><w:t xml:space="preserve">meetings in connexion with these that he found occasion for</w:t></w:r>
</w:p>
<w:p>
<w:pPr><w:pStyle w:val="Normal"/></w:pPr>
<w:r><w:t xml:space="preserve">the delivery of addresses characterized by profound thought and</w:t></w:r>
</w:p>
<w:p>
<w:pPr><w:pStyle w:val="Normal"/></w:pPr>
<w:r><w:t xml:space="preserve">comprehensiveness of view, a collection of which was published in</w:t></w:r>
</w:p>
<w:p>
<w:pPr><w:pStyle w:val="Normal"/></w:pPr>
<w:r><w:t xml:space="preserve">1857.  One of the most favourable specimens of his powers</w:t></w:r>
</w:p>
<w:p>
<w:pPr><w:pStyle w:val="Normal"/></w:pPr>
<w:r><w:t xml:space="preserve">as a speaker is the inaugural address which he delivered as</w:t></w:r>
</w:p>
<w:p>
<w:pPr><w:pStyle w:val="Normal"/></w:pPr>
<w:r><w:t xml:space="preserve">president of the British Association for the Advancement of</w:t></w:r>
</w:p>
<w:p>
<w:pPr><w:pStyle w:val="Normal"/></w:pPr>
<w:r><w:t xml:space="preserve">Science when it met at Aberdeen in 1859.  The education of his</w:t></w:r>
</w:p>
<w:p>
<w:pPr><w:pStyle w:val="Normal"/></w:pPr>
<w:r><w:t xml:space="preserve">family and the management of his domestic affairs furnished</w:t></w:r>
</w:p>
<w:p>
<w:pPr><w:pStyle w:val="Normal"/></w:pPr>
<w:r><w:t xml:space="preserve">the prince with another very important sphere of action, in</w:t></w:r>
</w:p>
<w:p>
<w:pPr><w:pStyle w:val="Normal"/></w:pPr>
<w:r><w:t xml:space="preserve">which he employed himself with conscientious devotedness.</w:t></w:r>
</w:p>
<w:p>
<w:pPr><w:pStyle w:val="Normal"/></w:pPr>
<w:r><w:t xml:space="preserve">The estates of the duchy of Cornwall, the hereditary appanage of</w:t></w:r>
</w:p>
<w:p>
<w:pPr><w:pStyle w:val="Normal"/></w:pPr>
<w:r><w:t xml:space="preserve">the prince of Wales, were so greatly improved under his father&apos;s</w:t></w:r>
</w:p>
<w:p>
<w:pPr><w:pStyle w:val="Normal"/></w:pPr>
<w:r><w:t xml:space="preserve">management that the rent-roll rose from L. 11,000 to L. 50,000 a</w:t></w:r>
</w:p>
<w:p>
<w:pPr><w:pStyle w:val="Normal"/></w:pPr>
<w:r><w:t xml:space="preserve">year.  Prince Albert, indeed, had a peculiar talent for the</w:t></w:r>
</w:p>
<w:p>
<w:pPr><w:pStyle w:val="Normal"/></w:pPr>
<w:r><w:t xml:space="preserve">management of landed estates.  His model farm at Windsor was in</w:t></w:r>
</w:p>
<w:p>
<w:pPr><w:pStyle w:val="Normal"/></w:pPr>
<w:r><w:t xml:space="preserve">every way worthy of the name; and the grounds at Balmoral and</w:t></w:r>
</w:p>
<w:p>
<w:pPr><w:pStyle w:val="Normal"/></w:pPr>
<w:r><w:t xml:space="preserve">Osborne were laid out entirely in conformity with his designs.</w:t></w:r>
</w:p>
<w:p>
<w:pPr><w:pStyle w:val="Normal"/></w:pPr>
<w:r><w:t xml:space="preserve">A character so pure. and a life so useful and well-directed in</w:t></w:r>
</w:p>
<w:p>
<w:pPr><w:pStyle w:val="Normal"/></w:pPr>
<w:r><w:t xml:space="preserve">all its aims, could scarcely fail to win respect among those</w:t></w:r>
</w:p>
<w:p>
<w:pPr><w:pStyle w:val="Normal"/></w:pPr>
<w:r><w:t xml:space="preserve">who were acquainted with the facts.  As the prince became better</w:t></w:r>
</w:p>
<w:p>
<w:pPr><w:pStyle w:val="Normal"/></w:pPr>
<w:r><w:t xml:space="preserve">known, public mistrust began to give way.  In 1847, but only</w:t></w:r>
</w:p>
<w:p>
<w:pPr><w:pStyle w:val="Normal"/></w:pPr>
<w:r><w:t xml:space="preserve">after a significantly keen contest with Earl Powis, he was</w:t></w:r>
</w:p>
<w:p>
<w:pPr><w:pStyle w:val="Normal"/></w:pPr>
<w:r><w:t xml:space="preserve">elected chancellor of the university of Cambridge; and he was</w:t></w:r>
</w:p>
<w:p>
<w:pPr><w:pStyle w:val="Normal"/></w:pPr>
<w:r><w:t xml:space="preserve">afterwards appointed master of the Trinity House.  In June</w:t></w:r>
</w:p>
<w:p>
<w:pPr><w:pStyle w:val="Normal"/></w:pPr>
<w:r><w:t xml:space="preserve">1857 the formal title of prince-consort was conferred upon</w:t></w:r>
</w:p>
<w:p>
<w:pPr><w:pStyle w:val="Normal"/></w:pPr>
<w:r><w:t xml:space="preserve">him by letters patent, in order to settle certain difficulties</w:t></w:r>
</w:p>
<w:p>
<w:pPr><w:pStyle w:val="Normal"/></w:pPr>
<w:r><w:t xml:space="preserve">as to precedence that had been raised at foreign courts.</w:t></w:r>
</w:p>
<w:p>
<w:pPr><w:pStyle w:val="Normal"/></w:pPr>
<w:r><w:t xml:space="preserve">But in the full career of his usefulness he was cut off.</w:t></w:r>
</w:p>
<w:p>
<w:pPr><w:pStyle w:val="Normal"/></w:pPr>
<w:r><w:t xml:space="preserve">During the autumn of 1861 he was busy with the arrangements</w:t></w:r>
</w:p>
<w:p>
<w:pPr><w:pStyle w:val="Normal"/></w:pPr>
<w:r><w:t xml:space="preserve">for the projected international exhibition, and it was just</w:t></w:r>
</w:p>
<w:p>
<w:pPr><w:pStyle w:val="Normal"/></w:pPr>
<w:r><w:t xml:space="preserve">after returning from one of the meetings in connexion with</w:t></w:r>
</w:p>
<w:p>
<w:pPr><w:pStyle w:val="Normal"/></w:pPr>
<w:r><w:t xml:space="preserve">it that he was seized with his last illness.  Beginning at</w:t></w:r>
</w:p>
<w:p>
<w:pPr><w:pStyle w:val="Normal"/></w:pPr>
<w:r><w:t xml:space="preserve">the end of November with what appeared to be influenza, it</w:t></w:r>
</w:p>
<w:p>
<w:pPr><w:pStyle w:val="Normal"/></w:pPr>
<w:r><w:t xml:space="preserve">proved to be an attack of typhoid fever, and, congestion of</w:t></w:r>
</w:p>
<w:p>
<w:pPr><w:pStyle w:val="Normal"/></w:pPr>
<w:r><w:t xml:space="preserve">the lungs supervening, he died on the 14th of December.  The</w:t></w:r>
</w:p>
<w:p>
<w:pPr><w:pStyle w:val="Normal"/></w:pPr>
<w:r><w:t xml:space="preserve">grief of the queen was overwhelming and the sympathy of the</w:t></w:r>
</w:p>
<w:p>
<w:pPr><w:pStyle w:val="Normal"/></w:pPr>
<w:r><w:t xml:space="preserve">whole nation marked a revulsion of feeling about the prince</w:t></w:r>
</w:p>
<w:p>
<w:pPr><w:pStyle w:val="Normal"/></w:pPr>
<w:r><w:t xml:space="preserve">himself which was not devoid of compunction for earlier want of</w:t></w:r>
</w:p>
<w:p>
<w:pPr><w:pStyle w:val="Normal"/></w:pPr>
<w:r><w:t xml:space="preserve">appreciation.  The magnificent mausoleum at Frogmore, in which</w:t></w:r>
</w:p>
<w:p>
<w:pPr><w:pStyle w:val="Normal"/></w:pPr>
<w:r><w:t xml:space="preserve">his remains were finally deposited, was erected at the expense</w:t></w:r>
</w:p>
<w:p>
<w:pPr><w:pStyle w:val="Normal"/></w:pPr>
<w:r><w:t xml:space="preserve">of the queen and the royal family; and many public monuments to</w:t></w:r>
</w:p>
<w:p>
<w:pPr><w:pStyle w:val="Normal"/></w:pPr>
<w:r><w:t xml:space="preserve">``Albert the Good&apos;&apos; were erected all over the country, the most</w:t></w:r>
</w:p>
<w:p>
<w:pPr><w:pStyle w:val="Normal"/></w:pPr>
<w:r><w:t xml:space="preserve">notable being the Albert Hall (1867) and the Albert Memorial</w:t></w:r>
</w:p>
<w:p>
<w:pPr><w:pStyle w:val="Normal"/></w:pPr>
<w:r><w:t xml:space="preserve">(1876) in London.  His name was also commemorated in the queen&apos;s</w:t></w:r>
</w:p>
<w:p>
<w:pPr><w:pStyle w:val="Normal"/></w:pPr>
<w:r><w:t xml:space="preserve">institution of the Albert medal ( 1866) in reward for gallantry</w:t></w:r>
</w:p>
<w:p>
<w:pPr><w:pStyle w:val="Normal"/></w:pPr>
<w:r><w:t xml:space="preserve">in saving life, and of the order of Victoria and Albert (1862).</w:t></w:r>
</w:p>
<w:p>
<w:pPr><w:pStyle w:val="Normal"/></w:pPr>
<w:r><w:t xml:space="preserve">By the queen&apos;s authority, her secretary, General Grey, compiled</w:t></w:r>
</w:p>
<w:p>
<w:pPr><w:pStyle w:val="Normal"/></w:pPr>
<w:r><w:t xml:space="preserve">The Early Days of the Prince Consort, published in 1867; and</w:t></w:r>
</w:p>
<w:p>
<w:pPr><w:pStyle w:val="Normal"/></w:pPr>
<w:r><w:t xml:space="preserve">The Life and Letters of the Prince Consort (ist vol., 1874;</w:t></w:r>
</w:p>
<w:p>
<w:pPr><w:pStyle w:val="Normal"/></w:pPr>
<w:r><w:t xml:space="preserve">2nd, 1880) mas similarly edited by Sir Theodore Martin.  A volume</w:t></w:r>
</w:p>
<w:p>
<w:pPr><w:pStyle w:val="Normal"/></w:pPr>
<w:r><w:t xml:space="preserve">of the Principal Specches and Addresses of Prince Albert,</w:t></w:r>
</w:p>
<w:p>
<w:pPr><w:pStyle w:val="Normal"/></w:pPr>
<w:r><w:t xml:space="preserve">with an introduction by Sir Arthur Helps, was published in</w:t></w:r>
</w:p>
<w:p>
<w:pPr><w:pStyle w:val="Normal"/></w:pPr>
<w:r><w:t xml:space="preserve">1862.  See also the Letters of Queen Victoria (ioo7). (H. CH.)</w:t></w:r>
</w:p>
<w:p>
<w:pPr><w:pStyle w:val="Normal"/></w:pPr>
<w:r><w:t xml:space="preserve">ALBERT I. (c. 1250-1308), German king, and duke of Austria,</w:t></w:r>
</w:p>
<w:p>
<w:pPr><w:pStyle w:val="Normal"/></w:pPr>
<w:r><w:t xml:space="preserve">eldest son of King Rudolph I., the founder of the greatness</w:t></w:r>
</w:p>
<w:p>
<w:pPr><w:pStyle w:val="Normal"/></w:pPr>
<w:r><w:t xml:space="preserve">of the house of Habsburg, was invested with the duchies of</w:t></w:r>
</w:p>
<w:p>
<w:pPr><w:pStyle w:val="Normal"/></w:pPr>
<w:r><w:t xml:space="preserve">Austria and Styria, together with his brother Rudolph, in</w:t></w:r>
</w:p>
<w:p>
<w:pPr><w:pStyle w:val="Normal"/></w:pPr>
<w:r><w:t xml:space="preserve">1282.  In 1283 his father entrusted him with their sole</w:t></w:r>
</w:p>
<w:p>
<w:pPr><w:pStyle w:val="Normal"/></w:pPr>
<w:r><w:t xml:space="preserve">government, and he appears to have ruled them with conspicuous</w:t></w:r>
</w:p>
<w:p>
<w:pPr><w:pStyle w:val="Normal"/></w:pPr>
<w:r><w:t xml:space="preserve">success.  Rudolph was unable to secure the succession to</w:t></w:r>
</w:p>
<w:p>
<w:pPr><w:pStyle w:val="Normal"/></w:pPr>
<w:r><w:t xml:space="preserve">the German throne for his son, and on his death in 1291, the</w:t></w:r>
</w:p>
<w:p>
<w:pPr><w:pStyle w:val="Normal"/></w:pPr>
<w:r><w:t xml:space="preserve">princes, fearing Albert&apos;s power, chose Adolph of Nassau as</w:t></w:r>
</w:p>
<w:p>
<w:pPr><w:pStyle w:val="Normal"/></w:pPr>
<w:r><w:t xml:space="preserve">king.  A rising among his Swabian dependants compelled Albert</w:t></w:r>
</w:p>
<w:p>
<w:pPr><w:pStyle w:val="Normal"/></w:pPr>
<w:r><w:t xml:space="preserve">to recognize the sovereignty of his rival, and to confine</w:t></w:r>
</w:p>
<w:p>
<w:pPr><w:pStyle w:val="Normal"/></w:pPr>
<w:r><w:t xml:space="preserve">himself to the government of the Habsburg territories.</w:t></w:r>
</w:p>
<w:p>
<w:pPr><w:pStyle w:val="Normal"/></w:pPr>
<w:r><w:t xml:space="preserve">He did not abandon his hopes of the throne, and, in 1298,</w:t></w:r>
</w:p>
<w:p>
<w:pPr><w:pStyle w:val="Normal"/></w:pPr>
<w:r><w:t xml:space="preserve">was chosen German king by some of the princes, who were</w:t></w:r>
</w:p>
<w:p>
<w:pPr><w:pStyle w:val="Normal"/></w:pPr>
<w:r><w:t xml:space="preserve">dissatisfied with Adolph.  The armies of the rival kings</w:t></w:r>
</w:p>
<w:p>
<w:pPr><w:pStyle w:val="Normal"/></w:pPr>
<w:r><w:t xml:space="preserve">met at Gollheim near Worms, where Adolph was defeated and</w:t></w:r>
</w:p>
<w:p>
<w:pPr><w:pStyle w:val="Normal"/></w:pPr>
<w:r><w:t xml:space="preserve">slain, and Albert submitted to a fresh election.  Having</w:t></w:r>
</w:p>
<w:p>
<w:pPr><w:pStyle w:val="Normal"/></w:pPr>
<w:r><w:t xml:space="preserve">secured the support of several influential princes by extensive</w:t></w:r>
</w:p>
<w:p>
<w:pPr><w:pStyle w:val="Normal"/></w:pPr>
<w:r><w:t xml:space="preserve">promises, he was chosen at Frankfort on the 27th of July</w:t></w:r>
</w:p>
<w:p>
<w:pPr><w:pStyle w:val="Normal"/></w:pPr>
<w:r><w:t xml:space="preserve">1298, and crowned at Aix-la-Chapelle on the 24th of August</w:t></w:r>
</w:p>
<w:p>
<w:pPr><w:pStyle w:val="Normal"/></w:pPr>
<w:r><w:t xml:space="preserve">following.  Albert sought to play an important part in European</w:t></w:r>
</w:p>
<w:p>
<w:pPr><w:pStyle w:val="Normal"/></w:pPr>
<w:r><w:t xml:space="preserve">affairs.  He seemed at first inclined to press a quarrel with</w:t></w:r>
</w:p>
<w:p>
<w:pPr><w:pStyle w:val="Normal"/></w:pPr>
<w:r><w:t xml:space="preserve">France over the Burgundian frontier, but the refusal of Pope</w:t></w:r>
</w:p>
<w:p>
<w:pPr><w:pStyle w:val="Normal"/></w:pPr>
<w:r><w:t xml:space="preserve">Boniface VIII. to recognize his election led him to change his</w:t></w:r>
</w:p>
<w:p>
<w:pPr><w:pStyle w:val="Normal"/></w:pPr>
<w:r><w:t xml:space="preserve">policy, and, in 1299, a treaty was made between Albert and</w:t></w:r>
</w:p>
<w:p>
<w:pPr><w:pStyle w:val="Normal"/></w:pPr>
<w:r><w:t xml:space="preserve">Philip IV., king of France, by which Rudolph, the son of the</w:t></w:r>
</w:p>
<w:p>
<w:pPr><w:pStyle w:val="Normal"/></w:pPr>
<w:r><w:t xml:space="preserve">German king, was to marry Blanche, a daughter of the French</w:t></w:r>
</w:p>
<w:p>
<w:pPr><w:pStyle w:val="Normal"/></w:pPr>
<w:r><w:t xml:space="preserve">king.  He afterwards became estranged from Philip, and, in</w:t></w:r>
</w:p>
<w:p>
<w:pPr><w:pStyle w:val="Normal"/></w:pPr>
<w:r><w:t xml:space="preserve">1303, was recognized as German king and future emperor by</w:t></w:r>
</w:p>
<w:p>
<w:pPr><w:pStyle w:val="Normal"/></w:pPr>
<w:r><w:t xml:space="preserve">Boniface, and, in return, admitted the right of the pope</w:t></w:r>
</w:p>
<w:p>
<w:pPr><w:pStyle w:val="Normal"/></w:pPr>
<w:r><w:t xml:space="preserve">alone to bestow the imperial crown, and promised that none</w:t></w:r>
</w:p>
<w:p>
<w:pPr><w:pStyle w:val="Normal"/></w:pPr>
<w:r><w:t xml:space="preserve">of his sons should be elected German king without the papal</w:t></w:r>
</w:p>
<w:p>
<w:pPr><w:pStyle w:val="Normal"/></w:pPr>
<w:r><w:t xml:space="preserve">consent.  Albert had failed in his attempt to seize Holland and</w:t></w:r>
</w:p>
<w:p>
<w:pPr><w:pStyle w:val="Normal"/></w:pPr>
<w:r><w:t xml:space="preserve">Zealand, as vacant fiefs of the Empire, on the death of Count</w:t></w:r>
</w:p>
<w:p>
<w:pPr><w:pStyle w:val="Normal"/></w:pPr>
<w:r><w:t xml:space="preserve">John I. in 1299, but in 1306 he secured the crown of Bohemia</w:t></w:r>
</w:p>
<w:p>
<w:pPr><w:pStyle w:val="Normal"/></w:pPr>
<w:r><w:t xml:space="preserve">for his son Rudolph on the death of King Wenceslaus III. He</w:t></w:r>
</w:p>
<w:p>
<w:pPr><w:pStyle w:val="Normal"/></w:pPr>
<w:r><w:t xml:space="preserve">also renewed the claim which had been made by his predecessor,</w:t></w:r>
</w:p>
<w:p>
<w:pPr><w:pStyle w:val="Normal"/></w:pPr>
<w:r><w:t xml:space="preserve">Adolf, on Thuringia, and interfered in a quarrel over the</w:t></w:r>
</w:p>
<w:p>
<w:pPr><w:pStyle w:val="Normal"/></w:pPr>
<w:r><w:t xml:space="preserve">succession to the Hungarian throne.  His attack on Thuringia</w:t></w:r>
</w:p>
<w:p>
<w:pPr><w:pStyle w:val="Normal"/></w:pPr>
<w:r><w:t xml:space="preserve">ended in his defeat at Lucka in 1307, and, in the same year,</w:t></w:r>
</w:p>
<w:p>
<w:pPr><w:pStyle w:val="Normal"/></w:pPr>
<w:r><w:t xml:space="preserve">the death of his son Rudolph weakened his position in eastern</w:t></w:r>
</w:p>
<w:p>
<w:pPr><w:pStyle w:val="Normal"/></w:pPr>
<w:r><w:t xml:space="preserve">Europe.  His action in abolishing all tolls established on</w:t></w:r>
</w:p>
<w:p>
<w:pPr><w:pStyle w:val="Normal"/></w:pPr>
<w:r><w:t xml:space="preserve">the Rhine since 1250, led to the formation of a league against</w:t></w:r>
</w:p>
<w:p>
<w:pPr><w:pStyle w:val="Normal"/></w:pPr>
<w:r><w:t xml:space="preserve">him by the Rhenish archbishops and the count palatine of the</w:t></w:r>
</w:p>
<w:p>
<w:pPr><w:pStyle w:val="Normal"/></w:pPr>
<w:r><w:t xml:space="preserve">Rhine; but aided by the towns, he soon crushed the rising.</w:t></w:r>
</w:p>
<w:p>
<w:pPr><w:pStyle w:val="Normal"/></w:pPr>
<w:r><w:t xml:space="preserve">He was on the way to suppress a revolt in Swabia when he was</w:t></w:r>
</w:p>
<w:p>
<w:pPr><w:pStyle w:val="Normal"/></w:pPr>
<w:r><w:t xml:space="preserve">murdered on the 1st of May 1308, at Windisch on the Reuss, by</w:t></w:r>
</w:p>
<w:p>
<w:pPr><w:pStyle w:val="Normal"/></w:pPr>
<w:r><w:t xml:space="preserve">his nephew John, afterwards called ``the Parricide,&apos;&apos; whom he</w:t></w:r>
</w:p>
<w:p>
<w:pPr><w:pStyle w:val="Normal"/></w:pPr>
<w:r><w:t xml:space="preserve">had deprived of his inheritance.  Albert married Elizabeth,</w:t></w:r>
</w:p>
<w:p>
<w:pPr><w:pStyle w:val="Normal"/></w:pPr>
<w:r><w:t xml:space="preserve">daughter of Meinhard IV., count of Gorz and Tirol, who bore</w:t></w:r>
</w:p>
<w:p>
<w:pPr><w:pStyle w:val="Normal"/></w:pPr>
<w:r><w:t xml:space="preserve">him six sons and five daughters.  Although a hard, stern</w:t></w:r>
</w:p>
<w:p>
<w:pPr><w:pStyle w:val="Normal"/></w:pPr>
<w:r><w:t xml:space="preserve">man, he had a keen sense of justice when his selfish interests</w:t></w:r>
</w:p>
<w:p>
<w:pPr><w:pStyle w:val="Normal"/></w:pPr>
<w:r><w:t xml:space="preserve">were not involved, and few of the German kings possessed so</w:t></w:r>
</w:p>
<w:p>
<w:pPr><w:pStyle w:val="Normal"/></w:pPr>
<w:r><w:t xml:space="preserve">practical an intelligence.  He encouraged the cities, and</w:t></w:r>
</w:p>
<w:p>
<w:pPr><w:pStyle w:val="Normal"/></w:pPr>
<w:r><w:t xml:space="preserve">not content with issuing proclamations against private war,</w:t></w:r>
</w:p>
<w:p>
<w:pPr><w:pStyle w:val="Normal"/></w:pPr>
<w:r><w:t xml:space="preserve">formed alliances with the princes in order to enforce his</w:t></w:r>
</w:p>
<w:p>
<w:pPr><w:pStyle w:val="Normal"/></w:pPr>
<w:r><w:t xml:space="preserve">decrees.  The serfs, whose wrongs seldom attracted notice</w:t></w:r>
</w:p>
<w:p>
<w:pPr><w:pStyle w:val="Normal"/></w:pPr>
<w:r><w:t xml:space="preserve">in an age indifferent to the claims of common humanity,</w:t></w:r>
</w:p>
<w:p>
<w:pPr><w:pStyle w:val="Normal"/></w:pPr>
<w:r><w:t xml:space="preserve">found a friend in this severe monarch, and he protected</w:t></w:r>
</w:p>
<w:p>
<w:pPr><w:pStyle w:val="Normal"/></w:pPr>
<w:r><w:t xml:space="preserve">even the despised and persecuted Jews.  The stories of his</w:t></w:r>
</w:p>
<w:p>
<w:pPr><w:pStyle w:val="Normal"/></w:pPr>
<w:r><w:t xml:space="preserve">cruelty and oppression in the Swiss cantons first appear</w:t></w:r>
</w:p>
<w:p>
<w:pPr><w:pStyle w:val="Normal"/></w:pPr>
<w:r><w:t xml:space="preserve">in the 16th century, and are now regarded as legendary.</w:t></w:r>
</w:p>
<w:p>
<w:pPr><w:pStyle w:val="Normal"/></w:pPr>
<w:r><w:t xml:space="preserve">See G. Droysen, Albrechts I. Bemuhungen um die Nachfolge</w:t></w:r>
</w:p>
<w:p>
<w:pPr><w:pStyle w:val="Normal"/></w:pPr>
<w:r><w:t xml:space="preserve">im Reich (Leipzig, 1862); J. F. A. Mucke, Albrecht</w:t></w:r>
</w:p>
<w:p>
<w:pPr><w:pStyle w:val="Heading1"/></w:pPr>
<w:r><w:t>I. von IIabsburg (Gotha, 1865); A. L. J. Michelsen,</w:t></w:r>
</w:p>
<w:p>
<w:pPr><w:pStyle w:val="Normal"/></w:pPr>
<w:r><w:t xml:space="preserve">Die Landgrafschaft Thuringen unter den Konigen</w:t></w:r>
</w:p>
<w:p>
<w:pPr><w:pStyle w:val="Normal"/></w:pPr>
<w:r><w:t xml:space="preserve">Adolf, Albrecht, und Heinrich VII. (Jena, 1860).</w:t></w:r>
</w:p>
<w:p>
<w:pPr><w:pStyle w:val="Normal"/></w:pPr>
<w:r><w:t xml:space="preserve">ALBERT II. (1397-1439), German king, king of Bohemia and</w:t></w:r>
</w:p>
<w:p>
<w:pPr><w:pStyle w:val="Normal"/></w:pPr>
<w:r><w:t xml:space="preserve">Hungary, and (as Albert V.) duke of Austria, was born on the</w:t></w:r>
</w:p>
<w:p>
<w:pPr><w:pStyle w:val="Normal"/></w:pPr>
<w:r><w:t xml:space="preserve">10th of August 1397, the son of Albert IV. of Habsburg, duke of</w:t></w:r>
</w:p>
<w:p>
<w:pPr><w:pStyle w:val="Normal"/></w:pPr>
<w:r><w:t xml:space="preserve">Austria.  He succeeded to the duchy of Austria on his father&apos;s</w:t></w:r>
</w:p>
<w:p>
<w:pPr><w:pStyle w:val="Normal"/></w:pPr>
<w:r><w:t xml:space="preserve">death in 1404.  After receiving a good education, he undertook</w:t></w:r>
</w:p>
<w:p>
<w:pPr><w:pStyle w:val="Normal"/></w:pPr>
<w:r><w:t xml:space="preserve">the government of Austria in 1411, and succeeded, with the</w:t></w:r>
</w:p>
<w:p>
<w:pPr><w:pStyle w:val="Normal"/></w:pPr>
<w:r><w:t xml:space="preserve">aid of his advisers, in adding the duchy of the evils which</w:t></w:r>
</w:p>
<w:p>
<w:pPr><w:pStyle w:val="Normal"/></w:pPr>
<w:r><w:t xml:space="preserve">had arisen during his minority.  He assisted the German king,</w:t></w:r>
</w:p>
<w:p>
<w:pPr><w:pStyle w:val="Normal"/></w:pPr>
<w:r><w:t xml:space="preserve">Sigismund, in his campaigns against the Hussites, and in</w:t></w:r>
</w:p>
<w:p>
<w:pPr><w:pStyle w:val="Normal"/></w:pPr>
<w:r><w:t xml:space="preserve">1422 married Elizabeth, daughter and heiress of Sigismund,</w:t></w:r>
</w:p>
<w:p>
<w:pPr><w:pStyle w:val="Normal"/></w:pPr>
<w:r><w:t xml:space="preserve">who designated him as his successor.  When the German king</w:t></w:r>
</w:p>
<w:p>
<w:pPr><w:pStyle w:val="Normal"/></w:pPr>
<w:r><w:t xml:space="preserve">died in 1437, Albert was crowned king of Hungary on the</w:t></w:r>
</w:p>
<w:p>
<w:pPr><w:pStyle w:val="Normal"/></w:pPr>
<w:r><w:t xml:space="preserve">1st of January 1438, and although crowned king of Bohemia</w:t></w:r>
</w:p>
<w:p>
<w:pPr><w:pStyle w:val="Normal"/></w:pPr>
<w:r><w:t xml:space="preserve">six months later, he was unable to obtain possession of the</w:t></w:r>
</w:p>
<w:p>
<w:pPr><w:pStyle w:val="Normal"/></w:pPr>
<w:r><w:t xml:space="preserve">country.  He was engaged in warfare with the Bohemians and</w:t></w:r>
</w:p>
<w:p>
<w:pPr><w:pStyle w:val="Normal"/></w:pPr>
<w:r><w:t xml:space="preserve">their Polish allies, when on the 18th of March 1438 he was</w:t></w:r>
</w:p>
<w:p>
<w:pPr><w:pStyle w:val="Normal"/></w:pPr>
<w:r><w:t xml:space="preserve">chosen German king at Frankfort, an honour which he does</w:t></w:r>
</w:p>
<w:p>
<w:pPr><w:pStyle w:val="Normal"/></w:pPr>
<w:r><w:t xml:space="preserve">not appear to have sought.  Afterwards engaged in defending</w:t></w:r>
</w:p>
<w:p>
<w:pPr><w:pStyle w:val="Normal"/></w:pPr>
<w:r><w:t xml:space="preserve">Hungary against the attacks of the Turks, he died on the</w:t></w:r>
</w:p>
<w:p>
<w:pPr><w:pStyle w:val="Normal"/></w:pPr>
<w:r><w:t xml:space="preserve">27th of October 1439 at Langendorf, and was buried at</w:t></w:r>
</w:p>
<w:p>
<w:pPr><w:pStyle w:val="Normal"/></w:pPr>
<w:r><w:t xml:space="preserve">Stuhlweissenburg.  Albert was an energetic and warlike prince,</w:t></w:r>
</w:p>
<w:p>
<w:pPr><w:pStyle w:val="Normal"/></w:pPr>
<w:r><w:t xml:space="preserve">whose short reign gave great promise of usefulness lor Germany.</w:t></w:r>
</w:p>
<w:p>
<w:pPr><w:pStyle w:val="Normal"/></w:pPr>
<w:r><w:t xml:space="preserve">ALBERT (1490-1545), elector and archbishop of Mainz, and</w:t></w:r>
</w:p>
<w:p>
<w:pPr><w:pStyle w:val="Normal"/></w:pPr>
<w:r><w:t xml:space="preserve">archbishop of Magdeburg, was the younger son of John Cicero,</w:t></w:r>
</w:p>
<w:p>
<w:pPr><w:pStyle w:val="Normal"/></w:pPr>
<w:r><w:t xml:space="preserve">elector of Brandenburg, and was born on the 28th of June</w:t></w:r>
</w:p>
<w:p>
<w:pPr><w:pStyle w:val="Normal"/></w:pPr>
<w:r><w:t xml:space="preserve">1490.  Having studied at the university of Frankfort-on-the-Oder,</w:t></w:r>
</w:p>
<w:p>
<w:pPr><w:pStyle w:val="Normal"/></w:pPr>
<w:r><w:t xml:space="preserve">he entered the ecclesiastical profession, and in 1513 became</w:t></w:r>
</w:p>
<w:p>
<w:pPr><w:pStyle w:val="Normal"/></w:pPr>
<w:r><w:t xml:space="preserve">archbishop of Magdeburg and administrator of the diocese of</w:t></w:r>
</w:p>
<w:p>
<w:pPr><w:pStyle w:val="Normal"/></w:pPr>
<w:r><w:t xml:space="preserve">Halberstadt.  In 1514 he obtained the electorate of Mainz,</w:t></w:r>
</w:p>
<w:p>
<w:pPr><w:pStyle w:val="Normal"/></w:pPr>
<w:r><w:t xml:space="preserve">and in 1518 was made a cardinal.  Meanwhile to pay for</w:t></w:r>
</w:p>
<w:p>
<w:pPr><w:pStyle w:val="Normal"/></w:pPr>
<w:r><w:t xml:space="preserve">the pallium of the see of Mainz and to discharge the other</w:t></w:r>
</w:p>
<w:p>
<w:pPr><w:pStyle w:val="Normal"/></w:pPr>
<w:r><w:t xml:space="preserve">expenses of his elevation, Albert had borrowed a large sum of</w:t></w:r>
</w:p>
<w:p>
<w:pPr><w:pStyle w:val="Normal"/></w:pPr>
<w:r><w:t xml:space="preserve">money from the Fuggers, and had obtained permission from Pope</w:t></w:r>
</w:p>
<w:p>
<w:pPr><w:pStyle w:val="Normal"/></w:pPr>
<w:r><w:t xml:space="preserve">Leo X. to conduct the sale of indulgences in his diocese to</w:t></w:r>
</w:p>
<w:p>
<w:pPr><w:pStyle w:val="Normal"/></w:pPr>
<w:r><w:t xml:space="preserve">obtain funds to repay this loan.  For this work he procured</w:t></w:r>
</w:p>
<w:p>
<w:pPr><w:pStyle w:val="Normal"/></w:pPr>
<w:r><w:t xml:space="preserve">the services of John Tetzel, and so indirectly exercised a</w:t></w:r>
</w:p>
<w:p>
<w:pPr><w:pStyle w:val="Normal"/></w:pPr>
<w:r><w:t xml:space="preserve">potent influence on the course of the Reformation.  When the</w:t></w:r>
</w:p>
<w:p>
<w:pPr><w:pStyle w:val="Normal"/></w:pPr>
<w:r><w:t xml:space="preserve">imperial election of 1519 drew near, the elector&apos;s vote was</w:t></w:r>
</w:p>
<w:p>
<w:pPr><w:pStyle w:val="Normal"/></w:pPr>
<w:r><w:t xml:space="preserve">eagerly solicited by the partisans of Charles (afterwards</w:t></w:r>
</w:p>
<w:p>
<w:pPr><w:pStyle w:val="Normal"/></w:pPr>
<w:r><w:t xml:space="preserve">the emperor Charles V.) and by those of Francis I., king of</w:t></w:r>
</w:p>
<w:p>
<w:pPr><w:pStyle w:val="Normal"/></w:pPr>
<w:r><w:t xml:space="preserve">France, and he appears to have received a large amount of</w:t></w:r>
</w:p>
<w:p>
<w:pPr><w:pStyle w:val="Normal"/></w:pPr>
<w:r><w:t xml:space="preserve">money for the vote which he cast eventually for Charles.</w:t></w:r>
</w:p>
<w:p>
<w:pPr><w:pStyle w:val="Normal"/></w:pPr>
<w:r><w:t xml:space="preserve">Albert&apos;s large and liberal ideas, his friendship with Ulrich</w:t></w:r>
</w:p>
<w:p>
<w:pPr><w:pStyle w:val="Normal"/></w:pPr>
<w:r><w:t xml:space="preserve">von Hutten, and his political ambitions, appear to have raised</w:t></w:r>
</w:p>
<w:p>
<w:pPr><w:pStyle w:val="Normal"/></w:pPr>
<w:r><w:t xml:space="preserve">hopes that he would be won over to the reformed faith; but</w:t></w:r>
</w:p>
<w:p>
<w:pPr><w:pStyle w:val="Normal"/></w:pPr>
<w:r><w:t xml:space="preserve">after the Peasants&apos; War of 1525 he ranged himself definitely</w:t></w:r>
</w:p>
<w:p>
<w:pPr><w:pStyle w:val="Normal"/></w:pPr>
<w:r><w:t xml:space="preserve">among the supporters of Catholicism, and was among the princes</w:t></w:r>
</w:p>
<w:p>
<w:pPr><w:pStyle w:val="Normal"/></w:pPr>
<w:r><w:t xml:space="preserve">who met to concert measures for its defence at Dessau in July</w:t></w:r>
</w:p>
<w:p>
<w:pPr><w:pStyle w:val="Normal"/></w:pPr>
<w:r><w:t xml:space="preserve">1525.  His hostility towards the reformers, however, was</w:t></w:r>
</w:p>
<w:p>
<w:pPr><w:pStyle w:val="Normal"/></w:pPr>
<w:r><w:t xml:space="preserve">not so extreme as that of his brother Joachim I., elector of</w:t></w:r>
</w:p>
<w:p>
<w:pPr><w:pStyle w:val="Normal"/></w:pPr>
<w:r><w:t xml:space="preserve">Brandenburg; and he appears to have exerted himself in the</w:t></w:r>
</w:p>
<w:p>
<w:pPr><w:pStyle w:val="Normal"/></w:pPr>
<w:r><w:t xml:space="preserve">interests of peace, although he was a member of the league</w:t></w:r>
</w:p>
<w:p>
<w:pPr><w:pStyle w:val="Normal"/></w:pPr>
<w:r><w:t xml:space="preserve">of Nuremberg, which was formed in 1538 as a counterpoise to</w:t></w:r>
</w:p>
<w:p>
<w:pPr><w:pStyle w:val="Normal"/></w:pPr>
<w:r><w:t xml:space="preserve">the league of Schmalkalden.  The new doctrines nevertheless</w:t></w:r>
</w:p>
<w:p>
<w:pPr><w:pStyle w:val="Normal"/></w:pPr>
<w:r><w:t xml:space="preserve">made considerable progress in his dominions, and he was</w:t></w:r>
</w:p>
<w:p>
<w:pPr><w:pStyle w:val="Normal"/></w:pPr>
<w:r><w:t xml:space="preserve">compelled to grant religious liberty to the inhabitants</w:t></w:r>
</w:p>
<w:p>
<w:pPr><w:pStyle w:val="Normal"/></w:pPr>
<w:r><w:t xml:space="preserve">of Magdeburg in return for 500,000 florins.  During his</w:t></w:r>
</w:p>
<w:p>
<w:pPr><w:pStyle w:val="Normal"/></w:pPr>
<w:r><w:t xml:space="preserve">latter years indeed he showed more intolerance towards the</w:t></w:r>
</w:p>
<w:p>
<w:pPr><w:pStyle w:val="Normal"/></w:pPr>
<w:r><w:t xml:space="preserve">Protestants, and favoured the teaching of the Jesuits in his</w:t></w:r>
</w:p>
<w:p>
<w:pPr><w:pStyle w:val="Normal"/></w:pPr>
<w:r><w:t xml:space="preserve">dominions.  Albert adorned the Stiftiskirche at Halle and</w:t></w:r>
</w:p>
<w:p>
<w:pPr><w:pStyle w:val="Normal"/></w:pPr>
<w:r><w:t xml:space="preserve">the cathedral at Mainz in sumptuous fashion, and took as his</w:t></w:r>
</w:p>
<w:p>
<w:pPr><w:pStyle w:val="Normal"/></w:pPr>
<w:r><w:t xml:space="preserve">motto the words Domine, dilexi decorem domus tuae. A generous</w:t></w:r>
</w:p>
<w:p>
<w:pPr><w:pStyle w:val="Normal"/></w:pPr>
<w:r><w:t xml:space="preserve">patron of ait and learning, he counted Erasmus among his</w:t></w:r>
</w:p>
<w:p>
<w:pPr><w:pStyle w:val="Normal"/></w:pPr>
<w:r><w:t xml:space="preserve">friends.  He died at Aschaffenburg on the 24th of September 1545.</w:t></w:r>
</w:p>
<w:p>
<w:pPr><w:pStyle w:val="Normal"/></w:pPr>
<w:r><w:t xml:space="preserve">See I. H. Hennes, Albrecht von Brandenburg, Erzbischofvon</w:t></w:r>
</w:p>
<w:p>
<w:pPr><w:pStyle w:val="Normal"/></w:pPr>
<w:r><w:t xml:space="preserve">Mbinz und Magdeburg (Mai1iz, 1858); i.  May, Der</w:t></w:r>
</w:p>
<w:p>
<w:pPr><w:pStyle w:val="Normal"/></w:pPr>
<w:r><w:t xml:space="preserve">Kuriurst, Kardinal, und Erzbischof Albrecht II. von Mainz</w:t></w:r>
</w:p>
<w:p>
<w:pPr><w:pStyle w:val="Normal"/></w:pPr>
<w:r><w:t xml:space="preserve">unid Mogdeburg (Munich, 1865--1875ai co.  Schum, Kardinal</w:t></w:r>
</w:p>
<w:p>
<w:pPr><w:pStyle w:val="Normal"/></w:pPr>
<w:r><w:t xml:space="preserve">Albrecht von Mainz und die Erfurter Kirchenreformation</w:t></w:r>
</w:p>
<w:p>
<w:pPr><w:pStyle w:val="Normal"/></w:pPr>
<w:r><w:t xml:space="preserve">(Halle, 1878); P. Redlich, Kardinal Albrecht von</w:t></w:r>
</w:p>
<w:p>
<w:pPr><w:pStyle w:val="Normal"/></w:pPr>
<w:r><w:t xml:space="preserve">Brandenburg, und das neue Stift zu Halte (Mainz, 1900).</w:t></w:r>
</w:p>
<w:p>
<w:pPr><w:pStyle w:val="Normal"/></w:pPr>
<w:r><w:t xml:space="preserve">ALBERT (1490-1568), Grand Master of the Teutonic Order,</w:t></w:r>
</w:p>
<w:p>
<w:pPr><w:pStyle w:val="Normal"/></w:pPr>
<w:r><w:t xml:space="preserve">and first duke of Prussia, was the third son of Frederick of</w:t></w:r>
</w:p>
<w:p>
<w:pPr><w:pStyle w:val="Normal"/></w:pPr>
<w:r><w:t xml:space="preserve">Hohenzollern, prince of Ansbach and Bayreuth, and Sophia,</w:t></w:r>
</w:p>
<w:p>
<w:pPr><w:pStyle w:val="Normal"/></w:pPr>
<w:r><w:t xml:space="preserve">daughter of Casimir IV., king of Poland.  Born at Ansbach</w:t></w:r>
</w:p>
<w:p>
<w:pPr><w:pStyle w:val="Normal"/></w:pPr>
<w:r><w:t xml:space="preserve">on the 16th of May 1490, he was intended for the church, and</w:t></w:r>
</w:p>
<w:p>
<w:pPr><w:pStyle w:val="Normal"/></w:pPr>
<w:r><w:t xml:space="preserve">passed some time at the court of Hermann, elector of Cologne,</w:t></w:r>
</w:p>
<w:p>
<w:pPr><w:pStyle w:val="Normal"/></w:pPr>
<w:r><w:t xml:space="preserve">who appointed him to a canonry in his cathedral.  Turning</w:t></w:r>
</w:p>
<w:p>
<w:pPr><w:pStyle w:val="Normal"/></w:pPr>
<w:r><w:t xml:space="preserve">to a more active life, he accompanied the emperor Maximilian</w:t></w:r>
</w:p>
<w:p>
<w:pPr><w:pStyle w:val="Heading1"/></w:pPr>
<w:r><w:t>I. to Italy in 1508, and after his return spent some time in</w:t></w:r>
</w:p>
<w:p>
<w:pPr><w:pStyle w:val="Normal"/></w:pPr>
<w:r><w:t xml:space="preserve">Hungary.  In December, Frederick, grand master of the Teutonic</w:t></w:r>
</w:p>
<w:p>
<w:pPr><w:pStyle w:val="Normal"/></w:pPr>
<w:r><w:t xml:space="preserve">Order, died, and Albert, joining the order, was chosen as his</w:t></w:r>
</w:p>
<w:p>
<w:pPr><w:pStyle w:val="Normal"/></w:pPr>
<w:r><w:t xml:space="preserve">successor early in 1511 in the hope that his relationship to</w:t></w:r>
</w:p>
<w:p>
<w:pPr><w:pStyle w:val="Normal"/></w:pPr>
<w:r><w:t xml:space="preserve">Sigismund I., king of Poland, would facilitate a settlement</w:t></w:r>
</w:p>
<w:p>
<w:pPr><w:pStyle w:val="Normal"/></w:pPr>
<w:r><w:t xml:space="preserve">of the disputes over east Prussia, which had been held by the</w:t></w:r>
</w:p>
<w:p>
<w:pPr><w:pStyle w:val="Normal"/></w:pPr>
<w:r><w:t xml:space="preserve">order under Polish suzerainty since 1466.  The new master,</w:t></w:r>
</w:p>
<w:p>
<w:pPr><w:pStyle w:val="Normal"/></w:pPr>
<w:r><w:t xml:space="preserve">however, showed no desire to be conciliatory, and as war</w:t></w:r>
</w:p>
<w:p>
<w:pPr><w:pStyle w:val="Normal"/></w:pPr>
<w:r><w:t xml:space="preserve">appeared inevitable, he made strenuous efforts to secure</w:t></w:r>
</w:p>
<w:p>
<w:pPr><w:pStyle w:val="Normal"/></w:pPr>
<w:r><w:t xml:space="preserve">allies, and carried on tedious negotiations with the emperor</w:t></w:r>
</w:p>
<w:p>
<w:pPr><w:pStyle w:val="Normal"/></w:pPr>
<w:r><w:t xml:space="preserve">Maximilian I. The ill-feeling, influenced by the ravages of</w:t></w:r>
</w:p>
<w:p>
<w:pPr><w:pStyle w:val="Normal"/></w:pPr>
<w:r><w:t xml:space="preserve">members of the order in Poland, culminated in a struggle which</w:t></w:r>
</w:p>
<w:p>
<w:pPr><w:pStyle w:val="Normal"/></w:pPr>
<w:r><w:t xml:space="preserve">began in December 1519.  During the ensuing year Prussia was</w:t></w:r>
</w:p>
<w:p>
<w:pPr><w:pStyle w:val="Normal"/></w:pPr>
<w:r><w:t xml:space="preserve">devastated, and Albert consented early in 1521 to a truce for four</w:t></w:r>
</w:p>
<w:p>
<w:pPr><w:pStyle w:val="Normal"/></w:pPr>
<w:r><w:t xml:space="preserve">years.  The dispute was referred to the emperor Charles V.</w:t></w:r>
</w:p>
<w:p>
<w:pPr><w:pStyle w:val="Normal"/></w:pPr>
<w:r><w:t xml:space="preserve">and other princes, but as no settlement was reached the master</w:t></w:r>
</w:p>
<w:p>
<w:pPr><w:pStyle w:val="Normal"/></w:pPr>
<w:r><w:t xml:space="preserve">continued his efforts to obtain help in view of a renewal of the</w:t></w:r>
</w:p>
<w:p>
<w:pPr><w:pStyle w:val="Normal"/></w:pPr>
<w:r><w:t xml:space="preserve">war.  For this purpose he visited Nuremberg in 1522, where</w:t></w:r>
</w:p>
<w:p>
<w:pPr><w:pStyle w:val="Normal"/></w:pPr>
<w:r><w:t xml:space="preserve">he made the acquaintance of the reformer, Andreas Osiander,</w:t></w:r>
</w:p>
<w:p>
<w:pPr><w:pStyle w:val="Normal"/></w:pPr>
<w:r><w:t xml:space="preserve">by whose influence he was won over to the side of the new</w:t></w:r>
</w:p>
<w:p>
<w:pPr><w:pStyle w:val="Normal"/></w:pPr>
<w:r><w:t xml:space="preserve">faith.  He then journeyed to Wittenberg, where he was advised</w:t></w:r>
</w:p>
<w:p>
<w:pPr><w:pStyle w:val="Normal"/></w:pPr>
<w:r><w:t xml:space="preserve">by Martin Luther to cast aside the senseless rules of his</w:t></w:r>
</w:p>
<w:p>
<w:pPr><w:pStyle w:val="Normal"/></w:pPr>
<w:r><w:t xml:space="preserve">order, to marry, and to convert Prussia into an hereditary</w:t></w:r>
</w:p>
<w:p>
<w:pPr><w:pStyle w:val="Normal"/></w:pPr>
<w:r><w:t xml:space="preserve">duchy for himself.  This proposal, which commended itself to</w:t></w:r>
</w:p>
<w:p>
<w:pPr><w:pStyle w:val="Normal"/></w:pPr>
<w:r><w:t xml:space="preserve">Albert, had already been discussed by some of his relatives;</w:t></w:r>
</w:p>
<w:p>
<w:pPr><w:pStyle w:val="Normal"/></w:pPr>
<w:r><w:t xml:space="preserve">but it was necessary to proceed cautiously, and he assured</w:t></w:r>
</w:p>
<w:p>
<w:pPr><w:pStyle w:val="Normal"/></w:pPr>
<w:r><w:t xml:space="preserve">Pope Adrian VI. that he was anxious to reform the order</w:t></w:r>
</w:p>
<w:p>
<w:pPr><w:pStyle w:val="Normal"/></w:pPr>
<w:r><w:t xml:space="preserve">and punish the knights who had adopted Lutheran doctrines.</w:t></w:r>
</w:p>
<w:p>
<w:pPr><w:pStyle w:val="Normal"/></w:pPr>
<w:r><w:t xml:space="preserve">Luther for his part did not stop at the suggestion, but in</w:t></w:r>
</w:p>
<w:p>
<w:pPr><w:pStyle w:val="Normal"/></w:pPr>
<w:r><w:t xml:space="preserve">order to facilitate the change made special efforts to spread</w:t></w:r>
</w:p>
<w:p>
<w:pPr><w:pStyle w:val="Normal"/></w:pPr>
<w:r><w:t xml:space="preserve">his teaching among the Prussians, while Albert&apos;s brother,</w:t></w:r>
</w:p>
<w:p>
<w:pPr><w:pStyle w:val="Normal"/></w:pPr>
<w:r><w:t xml:space="preserve">George, prince of Ansbach, laid the scheme before Sigismund of</w:t></w:r>
</w:p>
<w:p>
<w:pPr><w:pStyle w:val="Normal"/></w:pPr>
<w:r><w:t xml:space="preserve">Poland.  After some delay the king assented to it provided that</w:t></w:r>
</w:p>
<w:p>
<w:pPr><w:pStyle w:val="Normal"/></w:pPr>
<w:r><w:t xml:space="preserve">Prussia were held as a Polish fief; and after this arrangement</w:t></w:r>
</w:p>
<w:p>
<w:pPr><w:pStyle w:val="Normal"/></w:pPr>
<w:r><w:t xml:space="preserve">had been confirmed by a treaty made at Cracow, Albert was</w:t></w:r>
</w:p>
<w:p>
<w:pPr><w:pStyle w:val="Normal"/></w:pPr>
<w:r><w:t xml:space="preserve">invested with the duchy by Sigismund for himself and his heirs</w:t></w:r>
</w:p>
<w:p>
<w:pPr><w:pStyle w:val="Normal"/></w:pPr>
<w:r><w:t xml:space="preserve">on the 10th of February 1525.  The estates of the land then</w:t></w:r>
</w:p>
<w:p>
<w:pPr><w:pStyle w:val="Normal"/></w:pPr>
<w:r><w:t xml:space="preserve">met at Konigsberg and took the oath of allegiance to the new</w:t></w:r>
</w:p>
<w:p>
<w:pPr><w:pStyle w:val="Normal"/></w:pPr>
<w:r><w:t xml:space="preserve">duke, who used his full powers to forward the doctrines of</w:t></w:r>
</w:p>
<w:p>
<w:pPr><w:pStyle w:val="Normal"/></w:pPr>
<w:r><w:t xml:space="preserve">Luther.  This transition did not, however, take place without</w:t></w:r>
</w:p>
<w:p>
<w:pPr><w:pStyle w:val="Normal"/></w:pPr>
<w:r><w:t xml:space="preserve">protest.  Summoned before the imperial court of justice, Albert</w:t></w:r>
</w:p>
<w:p>
<w:pPr><w:pStyle w:val="Normal"/></w:pPr>
<w:r><w:t xml:space="preserve">refused to appear and was placed under the ban; while the order,</w:t></w:r>
</w:p>
<w:p>
<w:pPr><w:pStyle w:val="Normal"/></w:pPr>
<w:r><w:t xml:space="preserve">having deposed the grand master, made a feeble effort to recover</w:t></w:r>
</w:p>
<w:p>
<w:pPr><w:pStyle w:val="Normal"/></w:pPr>
<w:r><w:t xml:space="preserve">Prussia.  But as the German princes were either too busy or</w:t></w:r>
</w:p>
<w:p>
<w:pPr><w:pStyle w:val="Normal"/></w:pPr>
<w:r><w:t xml:space="preserve">too indifferent to attack the duke, the agitation against</w:t></w:r>
</w:p>
<w:p>
<w:pPr><w:pStyle w:val="Normal"/></w:pPr>
<w:r><w:t xml:space="preserve">him soon died away.  In imperial politics Albert was fairly</w:t></w:r>
</w:p>
<w:p>
<w:pPr><w:pStyle w:val="Normal"/></w:pPr>
<w:r><w:t xml:space="preserve">active.  Joining the league of Torgau in 1526, he acted inunison</w:t></w:r>
</w:p>
<w:p>
<w:pPr><w:pStyle w:val="Normal"/></w:pPr>
<w:r><w:t xml:space="preserve">with the Protestants, and was among the princes who banded</w:t></w:r>
</w:p>
<w:p>
<w:pPr><w:pStyle w:val="Normal"/></w:pPr>
<w:r><w:t xml:space="preserve">themselves together to overthrow Charles V. after the issue</w:t></w:r>
</w:p>
<w:p>
<w:pPr><w:pStyle w:val="Normal"/></w:pPr>
<w:r><w:t xml:space="preserve">of the Interim in May 1548.  Forvarious reasons, however,</w:t></w:r>
</w:p>
<w:p>
<w:pPr><w:pStyle w:val="Normal"/></w:pPr>
<w:r><w:t xml:space="preserve">poverty and personal inclination among others, he did not take a</w:t></w:r>
</w:p>
<w:p>
<w:pPr><w:pStyle w:val="Normal"/></w:pPr>
<w:r><w:t xml:space="preserve">prominent part in the military operations of this period. The</w:t></w:r>
</w:p>
<w:p>
<w:pPr><w:pStyle w:val="Normal"/></w:pPr>
<w:r><w:t xml:space="preserve">early years of Albert&apos;s rule in Prussia were faidy prosperous.</w:t></w:r>
</w:p>
<w:p>
<w:pPr><w:pStyle w:val="Normal"/></w:pPr>
<w:r><w:t xml:space="preserve">Although he had some trouble with the peasantry, the lands</w:t></w:r>
</w:p>
<w:p>
<w:pPr><w:pStyle w:val="Normal"/></w:pPr>
<w:r><w:t xml:space="preserve">and treasures of the church enabled him to propitiate the</w:t></w:r>
</w:p>
<w:p>
<w:pPr><w:pStyle w:val="Normal"/></w:pPr>
<w:r><w:t xml:space="preserve">nobles and for a time to provide for the expenses of the</w:t></w:r>
</w:p>
<w:p>
<w:pPr><w:pStyle w:val="Normal"/></w:pPr>
<w:r><w:t xml:space="preserve">court.  He did something for the furtherance of learning by</w:t></w:r>
</w:p>
<w:p>
<w:pPr><w:pStyle w:val="Normal"/></w:pPr>
<w:r><w:t xml:space="preserve">establishing schools in every town and by giving privileges</w:t></w:r>
</w:p>
<w:p>
<w:pPr><w:pStyle w:val="Normal"/></w:pPr>
<w:r><w:t xml:space="preserve">to serfs who adopted a scholastic life.  In 1544, in spite</w:t></w:r>
</w:p>
<w:p>
<w:pPr><w:pStyle w:val="Normal"/></w:pPr>
<w:r><w:t xml:space="preserve">of some opposition, he founded a university at Konigsberg,</w:t></w:r>
</w:p>
<w:p>
<w:pPr><w:pStyle w:val="Normal"/></w:pPr>
<w:r><w:t xml:space="preserve">where he appointed his friend Osiander to a professorship in</w:t></w:r>
</w:p>
<w:p>
<w:pPr><w:pStyle w:val="Normal"/></w:pPr>
<w:r><w:t xml:space="preserve">1549.  This step was the beginning of the troubles which clouded</w:t></w:r>
</w:p>
<w:p>
<w:pPr><w:pStyle w:val="Normal"/></w:pPr>
<w:r><w:t xml:space="preserve">the closing years of Albert&apos;s reign.  Osiander&apos;s divergence</w:t></w:r>
</w:p>
<w:p>
<w:pPr><w:pStyle w:val="Normal"/></w:pPr>
<w:r><w:t xml:space="preserve">from Luther&apos;s doctrine of justification by faith involved him</w:t></w:r>
</w:p>
<w:p>
<w:pPr><w:pStyle w:val="Normal"/></w:pPr>
<w:r><w:t xml:space="preserve">in a violent quarrel with XIelanchthon, who had adherents in</w:t></w:r>
</w:p>
<w:p>
<w:pPr><w:pStyle w:val="Normal"/></w:pPr>
<w:r><w:t xml:space="preserve">Konigsberg, and these theological disputes soon created an</w:t></w:r>
</w:p>
<w:p>
<w:pPr><w:pStyle w:val="Normal"/></w:pPr>
<w:r><w:t xml:space="preserve">uproar in the town.  The duke strenuously supported Osiander,</w:t></w:r>
</w:p>
<w:p>
<w:pPr><w:pStyle w:val="Normal"/></w:pPr>
<w:r><w:t xml:space="preserve">and the area of the quarrel soon broadened.  There were no longer</w:t></w:r>
</w:p>
<w:p>
<w:pPr><w:pStyle w:val="Normal"/></w:pPr>
<w:r><w:t xml:space="preserve">church lands available with which to conciliate the nobles,</w:t></w:r>
</w:p>
<w:p>
<w:pPr><w:pStyle w:val="Normal"/></w:pPr>
<w:r><w:t xml:space="preserve">the burden of taxation was heavy, and Albert&apos;s rule became</w:t></w:r>
</w:p>
<w:p>
<w:pPr><w:pStyle w:val="Normal"/></w:pPr>
<w:r><w:t xml:space="preserve">unpopular.  After Osiander&apos;s death in 1552 he favoured a preacher</w:t></w:r>
</w:p>
<w:p>
<w:pPr><w:pStyle w:val="Normal"/></w:pPr>
<w:r><w:t xml:space="preserve">named John Funck, who, with an adventurer named Paul Scalich,</w:t></w:r>
</w:p>
<w:p>
<w:pPr><w:pStyle w:val="Normal"/></w:pPr>
<w:r><w:t xml:space="preserve">exercised great influence over him and obtained considerable</w:t></w:r>
</w:p>
<w:p>
<w:pPr><w:pStyle w:val="Normal"/></w:pPr>
<w:r><w:t xml:space="preserve">wealth at the public expense.  The state of turmoil caused by</w:t></w:r>
</w:p>
<w:p>
<w:pPr><w:pStyle w:val="Normal"/></w:pPr>
<w:r><w:t xml:space="preserve">these religious and political disputes was increased by the</w:t></w:r>
</w:p>
<w:p>
<w:pPr><w:pStyle w:val="Normal"/></w:pPr>
<w:r><w:t xml:space="preserve">possibility of Albert&apos;s early death and the necessity in that</w:t></w:r>
</w:p>
<w:p>
<w:pPr><w:pStyle w:val="Normal"/></w:pPr>
<w:r><w:t xml:space="preserve">event for a regency owing to the youth of his only son, Albert</w:t></w:r>
</w:p>
<w:p>
<w:pPr><w:pStyle w:val="Normal"/></w:pPr>
<w:r><w:t xml:space="preserve">Frederick.  The duke was consequently obliged to consent to a</w:t></w:r>
</w:p>
<w:p>
<w:pPr><w:pStyle w:val="Normal"/></w:pPr>
<w:r><w:t xml:space="preserve">condemnation of the teaching of Osiander, and the climax came</w:t></w:r>
</w:p>
<w:p>
<w:pPr><w:pStyle w:val="Normal"/></w:pPr>
<w:r><w:t xml:space="preserve">in 1566 when the estates appealed to Sigismund II., king of</w:t></w:r>
</w:p>
<w:p>
<w:pPr><w:pStyle w:val="Normal"/></w:pPr>
<w:r><w:t xml:space="preserve">Poland, who sent a commission to Konigsberg.  Scalich saved</w:t></w:r>
</w:p>
<w:p>
<w:pPr><w:pStyle w:val="Normal"/></w:pPr>
<w:r><w:t xml:space="preserve">his life by flight, but Funck was executed; the question of</w:t></w:r>
</w:p>
<w:p>
<w:pPr><w:pStyle w:val="Normal"/></w:pPr>
<w:r><w:t xml:space="preserve">the regency was settled; and a form of Lutheranism was adopted,</w:t></w:r>
</w:p>
<w:p>
<w:pPr><w:pStyle w:val="Normal"/></w:pPr>
<w:r><w:t xml:space="preserve">and declared binding on all teachers and preachers.  Virtually</w:t></w:r>
</w:p>
<w:p>
<w:pPr><w:pStyle w:val="Normal"/></w:pPr>
<w:r><w:t xml:space="preserve">deprived of power, the duke lived for two years longer, and</w:t></w:r>
</w:p>
<w:p>
<w:pPr><w:pStyle w:val="Normal"/></w:pPr>
<w:r><w:t xml:space="preserve">died at Tapiau on the 20th of March 1568.  In 1526 he had</w:t></w:r>
</w:p>
<w:p>
<w:pPr><w:pStyle w:val="Normal"/></w:pPr>
<w:r><w:t xml:space="preserve">married Dorothea, daughter of Frederick I., king of Denmark,</w:t></w:r>
</w:p>
<w:p>
<w:pPr><w:pStyle w:val="Normal"/></w:pPr>
<w:r><w:t xml:space="preserve">and after her death in 1547, Anna Maria, daughter of Eric</w:t></w:r>
</w:p>
<w:p>
<w:pPr><w:pStyle w:val="Normal"/></w:pPr>
<w:r><w:t xml:space="preserve">I., duke of Brunswick.  Albert was a voluminous letterwriter,</w:t></w:r>
</w:p>
<w:p>
<w:pPr><w:pStyle w:val="Normal"/></w:pPr>
<w:r><w:t xml:space="preserve">and corresponded with many of the leading personages of the</w:t></w:r>
</w:p>
<w:p>
<w:pPr><w:pStyle w:val="Normal"/></w:pPr>
<w:r><w:t xml:space="preserve">time.  In 1891 a statue was erected to his memory at Konigsberg.</w:t></w:r>
</w:p>
<w:p>
<w:pPr><w:pStyle w:val="Normal"/></w:pPr>
<w:r><w:t xml:space="preserve">See J. Voigt, Briefwechsel der beruhmtested Gelehrten des</w:t></w:r>
</w:p>
<w:p>
<w:pPr><w:pStyle w:val="Normal"/></w:pPr>
<w:r><w:t xml:space="preserve">Zeitalters der Reformation mit Herzog Albrecht von Preussen</w:t></w:r>
</w:p>
<w:p>
<w:pPr><w:pStyle w:val="Normal"/></w:pPr>
<w:r><w:t xml:space="preserve">(Konigsberg, 1841); E. Joachim, Die Politik des letzten</w:t></w:r>
</w:p>
<w:p>
<w:pPr><w:pStyle w:val="Normal"/></w:pPr>
<w:r><w:t xml:space="preserve">Hochmeisters in Preussen, Albrecht von Brandenburg (Leipzig,</w:t></w:r>
</w:p>
<w:p>
<w:pPr><w:pStyle w:val="Normal"/></w:pPr>
<w:r><w:t xml:space="preserve">1892); K. Lohmeyer, Herzog Albrecht von Preussen (Danzig, 1890).</w:t></w:r>
</w:p>
<w:p>
<w:pPr><w:pStyle w:val="Normal"/></w:pPr>
<w:r><w:t xml:space="preserve">ALBERT III. ( 1443-1500), duke of Saxony, surnamed ANIMOSUS</w:t></w:r>
</w:p>
<w:p>
<w:pPr><w:pStyle w:val="Normal"/></w:pPr>
<w:r><w:t xml:space="preserve">or THE COURAGEOUS, younger son of Frederick II., the Mild,</w:t></w:r>
</w:p>
<w:p>
<w:pPr><w:pStyle w:val="Normal"/></w:pPr>
<w:r><w:t xml:space="preserve">elector and duke of Saxony, was born on the 27th of January</w:t></w:r>
</w:p>
<w:p>
<w:pPr><w:pStyle w:val="Normal"/></w:pPr>
<w:r><w:t xml:space="preserve">1443, and after escaping from the hands of Kunz von Kaufungen,</w:t></w:r>
</w:p>
<w:p>
<w:pPr><w:pStyle w:val="Normal"/></w:pPr>
<w:r><w:t xml:space="preserve">who had abducted him together with his brother Ernest, passed</w:t></w:r>
</w:p>
<w:p>
<w:pPr><w:pStyle w:val="Normal"/></w:pPr>
<w:r><w:t xml:space="preserve">some time at the court of the emperor Frederick III. in</w:t></w:r>
</w:p>
<w:p>
<w:pPr><w:pStyle w:val="Normal"/></w:pPr>
<w:r><w:t xml:space="preserve">Vienna.  In 1464 he married Zedena, or Sidonia, daughter of</w:t></w:r>
</w:p>
<w:p>
<w:pPr><w:pStyle w:val="Normal"/></w:pPr>
<w:r><w:t xml:space="preserve">George Podebrad, king of Bohemia, but failed to obtain the</w:t></w:r>
</w:p>
<w:p>
<w:pPr><w:pStyle w:val="Normal"/></w:pPr>
<w:r><w:t xml:space="preserve">Bohemian Crown on the death of George in 1471.  After the</w:t></w:r>
</w:p>
<w:p>
<w:pPr><w:pStyle w:val="Normal"/></w:pPr>
<w:r><w:t xml:space="preserve">death of the elector Frederick in 1464, Albert and Ernest ruled</w:t></w:r>
</w:p>
<w:p>
<w:pPr><w:pStyle w:val="Normal"/></w:pPr>
<w:r><w:t xml:space="preserve">their lands together, but in 1485 a division was made by the</w:t></w:r>
</w:p>
<w:p>
<w:pPr><w:pStyle w:val="Normal"/></w:pPr>
<w:r><w:t xml:space="preserve">treaty of Leipzig, and Albert received Meissen, together,with</w:t></w:r>
</w:p>
<w:p>
<w:pPr><w:pStyle w:val="Normal"/></w:pPr>
<w:r><w:t xml:space="preserve">some adjoining districts, and founded the Albertine branch of</w:t></w:r>
</w:p>
<w:p>
<w:pPr><w:pStyle w:val="Normal"/></w:pPr>
<w:r><w:t xml:space="preserve">the family of Wettin.  Regarded as a capable soldier by the</w:t></w:r>
</w:p>
<w:p>
<w:pPr><w:pStyle w:val="Normal"/></w:pPr>
<w:r><w:t xml:space="preserve">emperor, Albert, in 1475, took a prominent part in the campaign</w:t></w:r>
</w:p>
<w:p>
<w:pPr><w:pStyle w:val="Normal"/></w:pPr>
<w:r><w:t xml:space="preserve">against Charles the Bold, duke of Burgundy, and in 1487 led</w:t></w:r>
</w:p>
<w:p>
<w:pPr><w:pStyle w:val="Normal"/></w:pPr>
<w:r><w:t xml:space="preserve">an expedition against Matthias Corvinus, king of Hungary,</w:t></w:r>
</w:p>
<w:p>
<w:pPr><w:pStyle w:val="Normal"/></w:pPr>
<w:r><w:t xml:space="preserve">which failed owing to lack of support on the part of the</w:t></w:r>
</w:p>
<w:p>
<w:pPr><w:pStyle w:val="Normal"/></w:pPr>
<w:r><w:t xml:space="preserve">emperor.  In 1488 he marched with the imperial forces to free</w:t></w:r>
</w:p>
<w:p>
<w:pPr><w:pStyle w:val="Normal"/></w:pPr>
<w:r><w:t xml:space="preserve">the Roman king Maximilian from his imprisonment at Bruges, and</w:t></w:r>
</w:p>
<w:p>
<w:pPr><w:pStyle w:val="Normal"/></w:pPr>
<w:r><w:t xml:space="preserve">when, in 1489, the king returned to Germany, Albert was left</w:t></w:r>
</w:p>
<w:p>
<w:pPr><w:pStyle w:val="Normal"/></w:pPr>
<w:r><w:t xml:space="preserve">as his representative to prosecute the war against the rebels.</w:t></w:r>
</w:p>
<w:p>
<w:pPr><w:pStyle w:val="Normal"/></w:pPr>
<w:r><w:t xml:space="preserve">He was successful in restoring the authority of Maximilian</w:t></w:r>
</w:p>
<w:p>
<w:pPr><w:pStyle w:val="Normal"/></w:pPr>
<w:r><w:t xml:space="preserve">in Holland, Flanders and Brabant, but failed to obtain any</w:t></w:r>
</w:p>
<w:p>
<w:pPr><w:pStyle w:val="Normal"/></w:pPr>
<w:r><w:t xml:space="preserve">repayment of the large sums of money which he had spent in these</w:t></w:r>
</w:p>
<w:p>
<w:pPr><w:pStyle w:val="Normal"/></w:pPr>
<w:r><w:t xml:space="preserve">campaigns.  His services were rewarded in 1498 when Maximilian</w:t></w:r>
</w:p>
<w:p>
<w:pPr><w:pStyle w:val="Normal"/></w:pPr>
<w:r><w:t xml:space="preserve">bestowed upon him the title of hereditary governor (potestat)</w:t></w:r>
</w:p>
<w:p>
<w:pPr><w:pStyle w:val="Normal"/></w:pPr>
<w:r><w:t xml:space="preserve">of Friesland, but he had to make good his claim by force of</w:t></w:r>
</w:p>
<w:p>
<w:pPr><w:pStyle w:val="Normal"/></w:pPr>
<w:r><w:t xml:space="preserve">arms.  He had to a great extent succeeded, and was paying</w:t></w:r>
</w:p>
<w:p>
<w:pPr><w:pStyle w:val="Normal"/></w:pPr>
<w:r><w:t xml:space="preserve">a visit to Saxony, when he was recalled by news of a fresh</w:t></w:r>
</w:p>
<w:p>
<w:pPr><w:pStyle w:val="Normal"/></w:pPr>
<w:r><w:t xml:space="preserve">rising.  Groningen was captured, but soon afterwards the duke</w:t></w:r>
</w:p>
<w:p>
<w:pPr><w:pStyle w:val="Normal"/></w:pPr>
<w:r><w:t xml:space="preserve">died at Emden, on the 12th of September 1500.  He was buried at</w:t></w:r>
</w:p>
<w:p>
<w:pPr><w:pStyle w:val="Normal"/></w:pPr>
<w:r><w:t xml:space="preserve">Meissen.  Albert, who was a man of great strength and considerable</w:t></w:r>
</w:p>
<w:p>
<w:pPr><w:pStyle w:val="Normal"/></w:pPr>
<w:r><w:t xml:space="preserve">skill in feats of arms, delighted in tournaments and knightly</w:t></w:r>
</w:p>
<w:p>
<w:pPr><w:pStyle w:val="Normal"/></w:pPr>
<w:r><w:t xml:space="preserve">exercises.  His loyalty to the emperor Frederick, and the expenses</w:t></w:r>
</w:p>
<w:p>
<w:pPr><w:pStyle w:val="Normal"/></w:pPr>
<w:r><w:t xml:space="preserve">incurred in this connexion, aroused some irritation among his</w:t></w:r>
</w:p>
<w:p>
<w:pPr><w:pStyle w:val="Normal"/></w:pPr>
<w:r><w:t xml:space="preserve">subjects, but his rule was a period of prosperity in Saxony.</w:t></w:r>
</w:p>
<w:p>
<w:pPr><w:pStyle w:val="Normal"/></w:pPr>
<w:r><w:t xml:space="preserve">See F. A. von Langenn, Herzog Albrecht der Beherzte,</w:t></w:r>
</w:p>
<w:p>
<w:pPr><w:pStyle w:val="Normal"/></w:pPr>
<w:r><w:t xml:space="preserve">Stammvater des koniglichen IIauses Sachsen (Leipzig,</w:t></w:r>
</w:p>
<w:p>
<w:pPr><w:pStyle w:val="Normal"/></w:pPr>
<w:r><w:t xml:space="preserve">1838); O. Sperling, Herzog Albrecht der Beherzte</w:t></w:r>
</w:p>
<w:p>
<w:pPr><w:pStyle w:val="Normal"/></w:pPr>
<w:r><w:t xml:space="preserve">von Sachsen als Gubernator Frieslands (Leipzig, 1892).</w:t></w:r>
</w:p>
<w:p>
<w:pPr><w:pStyle w:val="Normal"/></w:pPr>
<w:r><w:t xml:space="preserve">ALBERT, FREDERICK AUGUSTUS, king of Saxony (18281902), was</w:t></w:r>
</w:p>
<w:p>
<w:pPr><w:pStyle w:val="Normal"/></w:pPr>
<w:r><w:t xml:space="preserve">born on the 23rd of April 1828, being the eldest son of Prince</w:t></w:r>
</w:p>
<w:p>
<w:pPr><w:pStyle w:val="Normal"/></w:pPr>
<w:r><w:t xml:space="preserve">John, who succeeded to the throne in 1854.  His education</w:t></w:r>
</w:p>
<w:p>
<w:pPr><w:pStyle w:val="Normal"/></w:pPr>
<w:r><w:t xml:space="preserve">was, as is usual with German princes, to a great extent</w:t></w:r>
</w:p>
<w:p>
<w:pPr><w:pStyle w:val="Normal"/></w:pPr>
<w:r><w:t xml:space="preserve">military, but he attended lectures at the university of</w:t></w:r>
</w:p>
<w:p>
<w:pPr><w:pStyle w:val="Normal"/></w:pPr>
<w:r><w:t xml:space="preserve">Bonn.  His first experience of warfare was in 1849,&apos;when he</w:t></w:r>
</w:p>
<w:p>
<w:pPr><w:pStyle w:val="Normal"/></w:pPr>
<w:r><w:t xml:space="preserve">served as a captain in the campaign of Schleswig-Holstein</w:t></w:r>
</w:p>
<w:p>
<w:pPr><w:pStyle w:val="Normal"/></w:pPr>
<w:r><w:t xml:space="preserve">against the Danes.  When the war of 1866 broke out, the</w:t></w:r>
</w:p>
<w:p>
<w:pPr><w:pStyle w:val="Normal"/></w:pPr>
<w:r><w:t xml:space="preserve">crown-prince was placed in command of the Saxon forces</w:t></w:r>
</w:p>
<w:p>
<w:pPr><w:pStyle w:val="Normal"/></w:pPr>
<w:r><w:t xml:space="preserve">opposing the Prussian army of Prince Frederick Charles.  No</w:t></w:r>
</w:p>
<w:p>
<w:pPr><w:pStyle w:val="Normal"/></w:pPr>
<w:r><w:t xml:space="preserve">attempt was made to defend Saxony; the Saxons fell back into</w:t></w:r>
</w:p>
<w:p>
<w:pPr><w:pStyle w:val="Normal"/></w:pPr>
<w:r><w:t xml:space="preserve">Bohemia and effected a junction with the Austrians.  They</w:t></w:r>
</w:p>
<w:p>
<w:pPr><w:pStyle w:val="Normal"/></w:pPr>
<w:r><w:t xml:space="preserve">took a prominent part in the battles by which the Prussians</w:t></w:r>
</w:p>
<w:p>
<w:pPr><w:pStyle w:val="Normal"/></w:pPr>
<w:r><w:t xml:space="preserve">forced the line of the Iser and in the battle of Gitchin.  The</w:t></w:r>
</w:p>
<w:p>
<w:pPr><w:pStyle w:val="Normal"/></w:pPr>
<w:r><w:t xml:space="preserve">crown-prince, however, succeeded in effecting the retreat in</w:t></w:r>
</w:p>
<w:p>
<w:pPr><w:pStyle w:val="Normal"/></w:pPr>
<w:r><w:t xml:space="preserve">good order, and in the decisive battle of Koniggratz (see</w:t></w:r>
</w:p>
<w:p>
<w:pPr><w:pStyle w:val="Normal"/></w:pPr>
<w:r><w:t xml:space="preserve">SEVEN WEEKS&apos; WAR) he held the extreme loft of the Austrian</w:t></w:r>
</w:p>
<w:p>
<w:pPr><w:pStyle w:val="Normal"/></w:pPr>
<w:r><w:t xml:space="preserve">position.  The Saxons maintained their post with great</w:t></w:r>
</w:p>
<w:p>
<w:pPr><w:pStyle w:val="Normal"/></w:pPr>
<w:r><w:t xml:space="preserve">tenacity, but were involved in the disastrous defeat of their</w:t></w:r>
</w:p>
<w:p>
<w:pPr><w:pStyle w:val="Normal"/></w:pPr>
<w:r><w:t xml:space="preserve">allies.  During these operations the crown-prince won the</w:t></w:r>
</w:p>
<w:p>
<w:pPr><w:pStyle w:val="Normal"/></w:pPr>
<w:r><w:t xml:space="preserve">reputation of a thorough soldier; after peace was made and</w:t></w:r>
</w:p>
<w:p>
<w:pPr><w:pStyle w:val="Normal"/></w:pPr>
<w:r><w:t xml:space="preserve">Saxony had entered the North German confederation, he was</w:t></w:r>
</w:p>
<w:p>
<w:pPr><w:pStyle w:val="Normal"/></w:pPr>
<w:r><w:t xml:space="preserve">placed in command of the Saxon army, which had now become</w:t></w:r>
</w:p>
<w:p>
<w:pPr><w:pStyle w:val="Normal"/></w:pPr>
<w:r><w:t xml:space="preserve">the XII. army corps of the North German army, and in this</w:t></w:r>
</w:p>
<w:p>
<w:pPr><w:pStyle w:val="Normal"/></w:pPr>
<w:r><w:t xml:space="preserve">position carried out the necessary reorganization.  He was a</w:t></w:r>
</w:p>
<w:p>
<w:pPr><w:pStyle w:val="Normal"/></w:pPr>
<w:r><w:t xml:space="preserve">firm adherent of the Prussian alliance.  On the outbreak of</w:t></w:r>
</w:p>
<w:p>
<w:pPr><w:pStyle w:val="Normal"/></w:pPr>
<w:r><w:t xml:space="preserve">war in 1870 he again commanded the Saxons, who were included</w:t></w:r>
</w:p>
<w:p>
<w:pPr><w:pStyle w:val="Normal"/></w:pPr>
<w:r><w:t xml:space="preserve">in the 2nd army under Prince Frederick Charles, his old</w:t></w:r>
</w:p>
<w:p>
<w:pPr><w:pStyle w:val="Normal"/></w:pPr>
<w:r><w:t xml:space="preserve">opponent.  At the battle of Gravelotte they formed the extreme</w:t></w:r>
</w:p>
<w:p>
<w:pPr><w:pStyle w:val="Normal"/></w:pPr>
<w:r><w:t xml:space="preserve">left of the German army, and with the Prussian Guard carried out</w:t></w:r>
</w:p>
<w:p>
<w:pPr><w:pStyle w:val="Normal"/></w:pPr>
<w:r><w:t xml:space="preserve">the attack on St Privat, the final and decisive action in the</w:t></w:r>
</w:p>
<w:p>
<w:pPr><w:pStyle w:val="Normal"/></w:pPr>
<w:r><w:t xml:space="preserve">battle.  In the reorganization of the army which accompanied</w:t></w:r>
</w:p>
<w:p>
<w:pPr><w:pStyle w:val="Normal"/></w:pPr>
<w:r><w:t xml:space="preserve">the march towards Paris the crown-prince was given a separate</w:t></w:r>
</w:p>
<w:p>
<w:pPr><w:pStyle w:val="Normal"/></w:pPr>
<w:r><w:t xml:space="preserve">command over the 4th army (army of the Meuse) consisting of</w:t></w:r>
</w:p>
<w:p>
<w:pPr><w:pStyle w:val="Normal"/></w:pPr>
<w:r><w:t xml:space="preserve">the Saxons, the Prussian Guard corps and the IV. (Prussian</w:t></w:r>
</w:p>
<w:p>
<w:pPr><w:pStyle w:val="Normal"/></w:pPr>
<w:r><w:t xml:space="preserve">Saxony) corps.  He was succeeded in command of the XII. corps</w:t></w:r>
</w:p>
<w:p>
<w:pPr><w:pStyle w:val="Normal"/></w:pPr>
<w:r><w:t xml:space="preserve">by his brother Prince George, who had served under him in</w:t></w:r>
</w:p>
<w:p>
<w:pPr><w:pStyle w:val="Normal"/></w:pPr>
<w:r><w:t xml:space="preserve">Bohemia.  He took a leading part in the operations which</w:t></w:r>
</w:p>
<w:p>
<w:pPr><w:pStyle w:val="Normal"/></w:pPr>
<w:r><w:t xml:space="preserve">preceded the battle of Sedan, the 4th army being the pivot</w:t></w:r>
</w:p>
<w:p>
<w:pPr><w:pStyle w:val="Normal"/></w:pPr>
<w:r><w:t xml:space="preserve">on which the whole army wheeled round in pursuit of Macmahon;</w:t></w:r>
</w:p>
<w:p>
<w:pPr><w:pStyle w:val="Normal"/></w:pPr>
<w:r><w:t xml:space="preserve">and the actions of Buzancy and Beaumont on the 29th and</w:t></w:r>
</w:p>
<w:p>
<w:pPr><w:pStyle w:val="Normal"/></w:pPr>
<w:r><w:t xml:space="preserve">30th of August were fought under his direction; in the</w:t></w:r>
</w:p>
<w:p>
<w:pPr><w:pStyle w:val="Normal"/></w:pPr>
<w:r><w:t xml:space="preserve">battle of Sedan itself, with the troops under his orders,</w:t></w:r>
</w:p>
<w:p>
<w:pPr><w:pStyle w:val="Normal"/></w:pPr>
<w:r><w:t xml:space="preserve">he carried out the envelopment of the French on the east and</w:t></w:r>
</w:p>
<w:p>
<w:pPr><w:pStyle w:val="Normal"/></w:pPr>
<w:r><w:t xml:space="preserve">north.  His conduct in these engagements won for him the</w:t></w:r>
</w:p>
<w:p>
<w:pPr><w:pStyle w:val="Normal"/></w:pPr>
<w:r><w:t xml:space="preserve">complete confidence of the army, and during the siege of Paris</w:t></w:r>
</w:p>
<w:p>
<w:pPr><w:pStyle w:val="Normal"/></w:pPr>
<w:r><w:t xml:space="preserve">his troops formed the north-east section of the investing</w:t></w:r>
</w:p>
<w:p>
<w:pPr><w:pStyle w:val="Normal"/></w:pPr>
<w:r><w:t xml:space="preserve">force.  After the conclusion of the armistice he was left in</w:t></w:r>
</w:p>
<w:p>
<w:pPr><w:pStyle w:val="Normal"/></w:pPr>
<w:r><w:t xml:space="preserve">command of the German army of occupation, a position which</w:t></w:r>
</w:p>
<w:p>
<w:pPr><w:pStyle w:val="Normal"/></w:pPr>
<w:r><w:t xml:space="preserve">he held till the fall of the Commune.  On the conclusion</w:t></w:r>
</w:p>
<w:p>
<w:pPr><w:pStyle w:val="Normal"/></w:pPr>
<w:r><w:t xml:space="preserve">of peace he was made an inspector-general of the army and</w:t></w:r>
</w:p>
<w:p>
<w:pPr><w:pStyle w:val="Normal"/></w:pPr>
<w:r><w:t xml:space="preserve">field-marshal.  On the death of his father on the 29th of October</w:t></w:r>
</w:p>
<w:p>
<w:pPr><w:pStyle w:val="Normal"/></w:pPr>
<w:r><w:t xml:space="preserve">1873 he succeeded to the throne.  His reign was uneventful,</w:t></w:r>
</w:p>
<w:p>
<w:pPr><w:pStyle w:val="Normal"/></w:pPr>
<w:r><w:t xml:space="preserve">and he took little public part in politics, devoting himself</w:t></w:r>
</w:p>
<w:p>
<w:pPr><w:pStyle w:val="Normal"/></w:pPr>
<w:r><w:t xml:space="preserve">to military affairs, in which his advice and experielice</w:t></w:r>
</w:p>
<w:p>
<w:pPr><w:pStyle w:val="Normal"/></w:pPr>
<w:r><w:t xml:space="preserve">were of the greatest value, not only to the Saxon corps but</w:t></w:r>
</w:p>
<w:p>
<w:pPr><w:pStyle w:val="Normal"/></w:pPr>
<w:r><w:t xml:space="preserve">to the German army in general.  In 1897 he was appointed</w:t></w:r>
</w:p>
<w:p>
<w:pPr><w:pStyle w:val="Normal"/></w:pPr>
<w:r><w:t xml:space="preserve">arbitrator between the claimants for the principality of</w:t></w:r>
</w:p>
<w:p>
<w:pPr><w:pStyle w:val="Normal"/></w:pPr>
<w:r><w:t xml:space="preserve">Lippe.  King Albert married in 1853 Carola, daughter of Prince</w:t></w:r>
</w:p>
<w:p>
<w:pPr><w:pStyle w:val="Normal"/></w:pPr>
<w:r><w:t xml:space="preserve">Gustavus of Vasa, and granddaughter of the last king of Sweden</w:t></w:r>
</w:p>
<w:p>
<w:pPr><w:pStyle w:val="Normal"/></w:pPr>
<w:r><w:t xml:space="preserve">of the house of Holstein.  He died on the 19th of June 1902.</w:t></w:r>
</w:p>
<w:p>
<w:pPr><w:pStyle w:val="Normal"/></w:pPr>
<w:r><w:t xml:space="preserve">ALBERT, surnamed THE DEGENERATE (c. 1240-1314),</w:t></w:r>
</w:p>
<w:p>
<w:pPr><w:pStyle w:val="Normal"/></w:pPr>
<w:r><w:t xml:space="preserve">landgrave of Thuringia, was the eldest son of Henry III.,</w:t></w:r>
</w:p>
<w:p>
<w:pPr><w:pStyle w:val="Normal"/></w:pPr>
<w:r><w:t xml:space="preserve">the Illustrious, margrave of Meissen.  He married Margaret,</w:t></w:r>
</w:p>
<w:p>
<w:pPr><w:pStyle w:val="Normal"/></w:pPr>
<w:r><w:t xml:space="preserve">daughter of the emperor Frederick II., in 1254, and in 1265</w:t></w:r>
</w:p>
<w:p>
<w:pPr><w:pStyle w:val="Normal"/></w:pPr>
<w:r><w:t xml:space="preserve">received from his father Thuringia and the Saxon palatinate.</w:t></w:r>
</w:p>
<w:p>
<w:pPr><w:pStyle w:val="Normal"/></w:pPr>
<w:r><w:t xml:space="preserve">His infatuation for Kunigunde of Eisenberg caused his wife to</w:t></w:r>
</w:p>
<w:p>
<w:pPr><w:pStyle w:val="Normal"/></w:pPr>
<w:r><w:t xml:space="preserve">leave him, and after her death in 1270 he married Kunigunde,</w:t></w:r>
</w:p>
<w:p>
<w:pPr><w:pStyle w:val="Normal"/></w:pPr>
<w:r><w:t xml:space="preserve">who had already borne him a son, Apitz or Albert.  He wished</w:t></w:r>
</w:p>
<w:p>
<w:pPr><w:pStyle w:val="Normal"/></w:pPr>
<w:r><w:t xml:space="preserve">to make Apitz his successor in Thuringia, a plan which was</w:t></w:r>
</w:p>
<w:p>
<w:pPr><w:pStyle w:val="Normal"/></w:pPr>
<w:r><w:t xml:space="preserve">resisted by his two elder sons, and a war broke out which</w:t></w:r>
</w:p>
<w:p>
<w:pPr><w:pStyle w:val="Normal"/></w:pPr>
<w:r><w:t xml:space="preserve">lasted until 1307, when he abandoned Thuringia, in return for</w:t></w:r>
</w:p>
<w:p>
<w:pPr><w:pStyle w:val="Normal"/></w:pPr>
<w:r><w:t xml:space="preserve">a yearly payment, but retained the title of landgrave (see</w:t></w:r>
</w:p>
<w:p>
<w:pPr><w:pStyle w:val="Normal"/></w:pPr>
<w:r><w:t xml:space="preserve">THURINGIA.) Albert, who had married Elizabeth, daughter</w:t></w:r>
</w:p>
<w:p>
<w:pPr><w:pStyle w:val="Normal"/></w:pPr>
<w:r><w:t xml:space="preserve">of Hermann III., count of Orlamunde, after the death of</w:t></w:r>
</w:p>
<w:p>
<w:pPr><w:pStyle w:val="Normal"/></w:pPr>
<w:r><w:t xml:space="preserve">his second wife in 1286, died on the 13th of November 1314.</w:t></w:r>
</w:p>
<w:p>
<w:pPr><w:pStyle w:val="Normal"/></w:pPr>
<w:r><w:t xml:space="preserve">See F. X. Wegele, Friedrich der Friedige, Markgraf von</w:t></w:r>
</w:p>
<w:p>
<w:pPr><w:pStyle w:val="Normal"/></w:pPr>
<w:r><w:t xml:space="preserve">Meissen, und die Wettiner seiner Zeit (Nordlingen,</w:t></w:r>
</w:p>
<w:p>
<w:pPr><w:pStyle w:val="Normal"/></w:pPr>
<w:r><w:t xml:space="preserve">1820); F. W. Tittmann, Geschichte Heinirich des</w:t></w:r>
</w:p>
<w:p>
<w:pPr><w:pStyle w:val="Normal"/></w:pPr>
<w:r><w:t xml:space="preserve">Erlauchten Markgraven zu Meissen (Leipzig, 1863).</w:t></w:r>
</w:p>
<w:p>
<w:pPr><w:pStyle w:val="Normal"/></w:pPr>
<w:r><w:t xml:space="preserve">ALBERT (FRIEDRICH RUDOLF ALBRECHT), ARCHDUKE (1817-1895),</w:t></w:r>
</w:p>
<w:p>
<w:pPr><w:pStyle w:val="Normal"/></w:pPr>
<w:r><w:t xml:space="preserve">Austrian field-marshal, was the eldest son of the archduke Charles</w:t></w:r>
</w:p>
<w:p>
<w:pPr><w:pStyle w:val="Normal"/></w:pPr>
<w:r><w:t xml:space="preserve">(Karl Friedrich), and was born on the 3rd of August 1817 at</w:t></w:r>
</w:p>
<w:p>
<w:pPr><w:pStyle w:val="Normal"/></w:pPr>
<w:r><w:t xml:space="preserve">Vienna.  After being educated under the careful superintendence</w:t></w:r>
</w:p>
<w:p>
<w:pPr><w:pStyle w:val="Normal"/></w:pPr>
<w:r><w:t xml:space="preserve">of his father, he entered the Austrian (H.K.) army as a colonel</w:t></w:r>
</w:p>
<w:p>
<w:pPr><w:pStyle w:val="Normal"/></w:pPr>
<w:r><w:t xml:space="preserve">of infantry in 1837, and was transferred to the cavalry arm in</w:t></w:r>
</w:p>
<w:p>
<w:pPr><w:pStyle w:val="Normal"/></w:pPr>
<w:r><w:t xml:space="preserve">1839, becoming a major-general in 1840.  A brief period of</w:t></w:r>
</w:p>
<w:p>
<w:pPr><w:pStyle w:val="Normal"/></w:pPr>
<w:r><w:t xml:space="preserve">leave in this year he spent at the great n:an0-uvres in Italy,</w:t></w:r>
</w:p>
<w:p>
<w:pPr><w:pStyle w:val="Normal"/></w:pPr>
<w:r><w:t xml:space="preserve">to learn the art of troop-leading from the first soldier in</w:t></w:r>
</w:p>
<w:p>
<w:pPr><w:pStyle w:val="Normal"/></w:pPr>
<w:r><w:t xml:space="preserve">Europe, Radetzky.  He then took over the command of a brigade</w:t></w:r>
</w:p>
<w:p>
<w:pPr><w:pStyle w:val="Normal"/></w:pPr>
<w:r><w:t xml:space="preserve">of all arms at Graz.  In 1844 he married Trincess Hildegarde of</w:t></w:r>
</w:p>
<w:p>
<w:pPr><w:pStyle w:val="Normal"/></w:pPr>
<w:r><w:t xml:space="preserve">Bavaria.  He had been made a lieutenant field-marshal in the</w:t></w:r>
</w:p>
<w:p>
<w:pPr><w:pStyle w:val="Normal"/></w:pPr>
<w:r><w:t xml:space="preserve">previous year, and was now placed in command of the forces</w:t></w:r>
</w:p>
<w:p>
<w:pPr><w:pStyle w:val="Normal"/></w:pPr>
<w:r><w:t xml:space="preserve">in Upper and Lower Austria.  In this position he did much to</w:t></w:r>
</w:p>
<w:p>
<w:pPr><w:pStyle w:val="Normal"/></w:pPr>
<w:r><w:t xml:space="preserve">maintain and improve the efficiency of the troops under his</w:t></w:r>
</w:p>
<w:p>
<w:pPr><w:pStyle w:val="Normal"/></w:pPr>
<w:r><w:t xml:space="preserve">command, at a time when nearly all armies in Europe, with</w:t></w:r>
</w:p>
<w:p>
<w:pPr><w:pStyle w:val="Normal"/></w:pPr>
<w:r><w:t xml:space="preserve">the exception of Radetzky&apos;s in Italy, had sunk to the lowest</w:t></w:r>
</w:p>
<w:p>
<w:pPr><w:pStyle w:val="Normal"/></w:pPr>
<w:r><w:t xml:space="preserve">level.  The influence of Radetzky over the young archduke</w:t></w:r>
</w:p>
<w:p>
<w:pPr><w:pStyle w:val="Normal"/></w:pPr>
<w:r><w:t xml:space="preserve">was indeed remarkable.  At this time the Austrian generals</w:t></w:r>
</w:p>
<w:p>
<w:pPr><w:pStyle w:val="Normal"/></w:pPr>
<w:r><w:t xml:space="preserve">and staff officers had committed themselves blindly to the</w:t></w:r>
</w:p>
<w:p>
<w:pPr><w:pStyle w:val="Normal"/></w:pPr>
<w:r><w:t xml:space="preserve">strategical method of the archduke Charles, the tradition of</w:t></w:r>
</w:p>
<w:p>
<w:pPr><w:pStyle w:val="Normal"/></w:pPr>
<w:r><w:t xml:space="preserve">whose practical soldiership survived only in Radetzky and a few</w:t></w:r>
</w:p>
<w:p>
<w:pPr><w:pStyle w:val="Normal"/></w:pPr>
<w:r><w:t xml:space="preserve">others.  Albert chose to follow the latter, and was thus saved</w:t></w:r>
</w:p>
<w:p>
<w:pPr><w:pStyle w:val="Normal"/></w:pPr>
<w:r><w:t xml:space="preserve">from the pseudoscientific pedantry which brought defeat to the</w:t></w:r>
</w:p>
<w:p>
<w:pPr><w:pStyle w:val="Normal"/></w:pPr>
<w:r><w:t xml:space="preserve">Austrian arms in 1359 and in 1866.  His first serious service</w:t></w:r>
</w:p>
<w:p>
<w:pPr><w:pStyle w:val="Normal"/></w:pPr>
<w:r><w:t xml:space="preserve">came in March 1848, when it became his duty, as district</w:t></w:r>
</w:p>
<w:p>
<w:pPr><w:pStyle w:val="Normal"/></w:pPr>
<w:r><w:t xml:space="preserve">commander, to maintain order in Vienna by force, and at the</w:t></w:r>
</w:p>
<w:p>
<w:pPr><w:pStyle w:val="Normal"/></w:pPr>
<w:r><w:t xml:space="preserve">outbreak of revolution in Vienna during the month of March he</w:t></w:r>
</w:p>
<w:p>
<w:pPr><w:pStyle w:val="Normal"/></w:pPr>
<w:r><w:t xml:space="preserve">was in command of the troops who came into collision with the</w:t></w:r>
</w:p>
<w:p>
<w:pPr><w:pStyle w:val="Normal"/></w:pPr>
<w:r><w:t xml:space="preserve">rioters.  Owing to the collapse of the government it was</w:t></w:r>
</w:p>
<w:p>
<w:pPr><w:pStyle w:val="Normal"/></w:pPr>
<w:r><w:t xml:space="preserve">impossible to repress the disturbances, and he was relieved</w:t></w:r>
</w:p>
<w:p>
<w:pPr><w:pStyle w:val="Normal"/></w:pPr>
<w:r><w:t xml:space="preserve">from a post which brought much unpopularity and was not suitable</w:t></w:r>
</w:p>
<w:p>
<w:pPr><w:pStyle w:val="Normal"/></w:pPr>
<w:r><w:t xml:space="preserve">to be held by a member of the imperial family.  He went at</w:t></w:r>
</w:p>
<w:p>
<w:pPr><w:pStyle w:val="Normal"/></w:pPr>
<w:r><w:t xml:space="preserve">once to the seat of war in Italy, and fought under Radetzky</w:t></w:r>
</w:p>
<w:p>
<w:pPr><w:pStyle w:val="Normal"/></w:pPr>
<w:r><w:t xml:space="preserve">as a volunteer throughout the campaign of 1848, being present</w:t></w:r>
</w:p>
<w:p>
<w:pPr><w:pStyle w:val="Normal"/></w:pPr>
<w:r><w:t xml:space="preserve">at the action of bastrengo and the battles of Santa Lucia and</w:t></w:r>
</w:p>
<w:p>
<w:pPr><w:pStyle w:val="Normal"/></w:pPr>
<w:r><w:t xml:space="preserve">Custozza.  In the following campaign he applied for and</w:t></w:r>
</w:p>
<w:p>
<w:pPr><w:pStyle w:val="Normal"/></w:pPr>
<w:r><w:t xml:space="preserve">obtained the command of a division in the II. corps (FZM.</w:t></w:r>
</w:p>
<w:p>
<w:pPr><w:pStyle w:val="Normal"/></w:pPr>
<w:r><w:t xml:space="preserve">d&apos;Aspre), though his previous grade had been that of a general</w:t></w:r>
</w:p>
<w:p>
<w:pPr><w:pStyle w:val="Normal"/></w:pPr>
<w:r><w:t xml:space="preserve">commanding-in-chief.  The splendid fighting of the corps at</w:t></w:r>
</w:p>
<w:p>
<w:pPr><w:pStyle w:val="Normal"/></w:pPr>
<w:r><w:t xml:space="preserve">Novara was decisive of the war, and Radetzky named d&apos;Aspre,</w:t></w:r>
</w:p>
<w:p>
<w:pPr><w:pStyle w:val="Normal"/></w:pPr>
<w:r><w:t xml:space="preserve">Count Thurn, and the archduke as the general officers</w:t></w:r>
</w:p>
<w:p>
<w:pPr><w:pStyle w:val="Normal"/></w:pPr>
<w:r><w:t xml:space="preserve">worthy of the greatest rewards.  The field-marshal indeed</w:t></w:r>
</w:p>
<w:p>
<w:pPr><w:pStyle w:val="Normal"/></w:pPr>
<w:r><w:t xml:space="preserve">recommended, and almost insisted, that Albert should receive</w:t></w:r>
</w:p>
<w:p>
<w:pPr><w:pStyle w:val="Normal"/></w:pPr>
<w:r><w:t xml:space="preserve">the much-prized order of Maria Theresa.  In 1850 he became a</w:t></w:r>
</w:p>
<w:p>
<w:pPr><w:pStyle w:val="Normal"/></w:pPr>
<w:r><w:t xml:space="preserve">general of cavalry, and in 1851 military and civil governor of</w:t></w:r>
</w:p>
<w:p>
<w:pPr><w:pStyle w:val="Normal"/></w:pPr>
<w:r><w:t xml:space="preserve">Hungary.  In this important and difficult position he</w:t></w:r>
</w:p>
<w:p>
<w:pPr><w:pStyle w:val="Normal"/></w:pPr>
<w:r><w:t xml:space="preserve">remained until 1860, when he was relieved at his own request.</w:t></w:r>
</w:p>
<w:p>
<w:pPr><w:pStyle w:val="Normal"/></w:pPr>
<w:r><w:t xml:space="preserve">Shortly afterwards he was appointed to succeed Radetzky as</w:t></w:r>
</w:p>
<w:p>
<w:pPr><w:pStyle w:val="Normal"/></w:pPr>
<w:r><w:t xml:space="preserve">commander-in-chief in Italy, and in 1863 he was promoted</w:t></w:r>
</w:p>
<w:p>
<w:pPr><w:pStyle w:val="Normal"/></w:pPr>
<w:r><w:t xml:space="preserve">field-marshal.  In the following year the archduke lost his</w:t></w:r>
</w:p>
<w:p>
<w:pPr><w:pStyle w:val="Normal"/></w:pPr>
<w:r><w:t xml:space="preserve">wife, soon after the marriage of their elder daughter to</w:t></w:r>
</w:p>
<w:p>
<w:pPr><w:pStyle w:val="Normal"/></w:pPr>
<w:r><w:t xml:space="preserve">Duke Philip of Wurttemberg.  In 1859 and 1864 he was sent on</w:t></w:r>
</w:p>
<w:p>
<w:pPr><w:pStyle w:val="Normal"/></w:pPr>
<w:r><w:t xml:space="preserve">important military and diplomatic missions to Berlin.  When</w:t></w:r>
</w:p>
<w:p>
<w:pPr><w:pStyle w:val="Normal"/></w:pPr>
<w:r><w:t xml:space="preserve">war became imminent in 1866, the archduke took command of</w:t></w:r>
</w:p>
<w:p>
<w:pPr><w:pStyle w:val="Normal"/></w:pPr>
<w:r><w:t xml:space="preserve">the field army in Italy.  The story of the campaign of 1866</w:t></w:r>
</w:p>
<w:p>
<w:pPr><w:pStyle w:val="Normal"/></w:pPr>
<w:r><w:t xml:space="preserve">in Italy will be found under ITALIAN WARS (1848-1870); the</w:t></w:r>
</w:p>
<w:p>
<w:pPr><w:pStyle w:val="Normal"/></w:pPr>
<w:r><w:t xml:space="preserve">operations of the archduke, who disposed of greatly inferior</w:t></w:r>
</w:p>
<w:p>
<w:pPr><w:pStyle w:val="Normal"/></w:pPr>
<w:r><w:t xml:space="preserve">forces, were crowned with success in the brilliant victory of</w:t></w:r>
</w:p>
<w:p>
<w:pPr><w:pStyle w:val="Normal"/></w:pPr>
<w:r><w:t xml:space="preserve">Custozza (June 23), and his reputation as a general-in-chief</w:t></w:r>
</w:p>
<w:p>
<w:pPr><w:pStyle w:val="Normal"/></w:pPr>
<w:r><w:t xml:space="preserve">was firmly established by only eight days of field</w:t></w:r>
</w:p>
<w:p>
<w:pPr><w:pStyle w:val="Normal"/></w:pPr>
<w:r><w:t xml:space="preserve">operations, though it is possible that his chief of staff,</w:t></w:r>
</w:p>
<w:p>
<w:pPr><w:pStyle w:val="Normal"/></w:pPr>
<w:r><w:t xml:space="preserve">Lieut.  Field-Marshal von John, contributed not a little to</w:t></w:r>
</w:p>
<w:p>
<w:pPr><w:pStyle w:val="Normal"/></w:pPr>
<w:r><w:t xml:space="preserve">the success of the Austrian arms.  The result of Custozza was</w:t></w:r>
</w:p>
<w:p>
<w:pPr><w:pStyle w:val="Normal"/></w:pPr>
<w:r><w:t xml:space="preserve">the retreat and complete immobilization of the whole Italian</w:t></w:r>
</w:p>
<w:p>
<w:pPr><w:pStyle w:val="Normal"/></w:pPr>
<w:r><w:t xml:space="preserve">army, so that Albert was able to despatch the greater part of</w:t></w:r>
</w:p>
<w:p>
<w:pPr><w:pStyle w:val="Normal"/></w:pPr>
<w:r><w:t xml:space="preserve">his troops to reinforce the Bohemian army, when, after being</w:t></w:r>
</w:p>
<w:p>
<w:pPr><w:pStyle w:val="Normal"/></w:pPr>
<w:r><w:t xml:space="preserve">defeated by the Prussians, it fell back on Vienna.  On the 10th</w:t></w:r>
</w:p>
<w:p>
<w:pPr><w:pStyle w:val="Normal"/></w:pPr>
<w:r><w:t xml:space="preserve">of July the archduke was summoned to Vienna to take supreme</w:t></w:r>
</w:p>
<w:p>
<w:pPr><w:pStyle w:val="Normal"/></w:pPr>
<w:r><w:t xml:space="preserve">command of the forces which were being collected to defend the</w:t></w:r>
</w:p>
<w:p>
<w:pPr><w:pStyle w:val="Normal"/></w:pPr>
<w:r><w:t xml:space="preserve">capital, but peace was made before further hostilities took</w:t></w:r>
</w:p>
<w:p>
<w:pPr><w:pStyle w:val="Normal"/></w:pPr>
<w:r><w:t xml:space="preserve">place.  From this time, under various titles, he acted as</w:t></w:r>
</w:p>
<w:p>
<w:pPr><w:pStyle w:val="Normal"/></w:pPr>
<w:r><w:t xml:space="preserve">inspector-general of the army.  Like his father, and with</w:t></w:r>
</w:p>
<w:p>
<w:pPr><w:pStyle w:val="Normal"/></w:pPr>
<w:r><w:t xml:space="preserve">better fortune, he was called upon to reorganize the military</w:t></w:r>
</w:p>
<w:p>
<w:pPr><w:pStyle w:val="Normal"/></w:pPr>
<w:r><w:t xml:space="preserve">system of his country on an entirely new pian, learned, as</w:t></w:r>
</w:p>
<w:p>
<w:pPr><w:pStyle w:val="Normal"/></w:pPr>
<w:r><w:t xml:space="preserve">before, by defeat.  The principle of universal short service,</w:t></w:r>
</w:p>
<w:p>
<w:pPr><w:pStyle w:val="Normal"/></w:pPr>
<w:r><w:t xml:space="preserve">and the theory of the armed nation, were necessarily the</w:t></w:r>
</w:p>
<w:p>
<w:pPr><w:pStyle w:val="Normal"/></w:pPr>
<w:r><w:t xml:space="preserve">groundwork of the reforms, and the consequent preparation</w:t></w:r>
</w:p>
<w:p>
<w:pPr><w:pStyle w:val="Normal"/></w:pPr>
<w:r><w:t xml:space="preserve">of all the national resources for their task in war, by</w:t></w:r>
</w:p>
<w:p>
<w:pPr><w:pStyle w:val="Normal"/></w:pPr>
<w:r><w:t xml:space="preserve">the superintendence of peace administration, by the skilful</w:t></w:r>
</w:p>
<w:p>
<w:pPr><w:pStyle w:val="Normal"/></w:pPr>
<w:r><w:t xml:space="preserve">conduct of man0-uvres, was thenceforward the task of his</w:t></w:r>
</w:p>
<w:p>
<w:pPr><w:pStyle w:val="Normal"/></w:pPr>
<w:r><w:t xml:space="preserve">lifetime.  In 1870 he conducted the military negotiatio:1s</w:t></w:r>
</w:p>
<w:p>
<w:pPr><w:pStyle w:val="Normal"/></w:pPr>
<w:r><w:t xml:space="preserve">preparatory to an alliance with France, which, however, was</w:t></w:r>
</w:p>
<w:p>
<w:pPr><w:pStyle w:val="Normal"/></w:pPr>
<w:r><w:t xml:space="preserve">not concluded.  The tragic death of his daughter, Princess</w:t></w:r>
</w:p>
<w:p>
<w:pPr><w:pStyle w:val="Normal"/></w:pPr>
<w:r><w:t xml:space="preserve">Mathilde, in 1867, and the death of his brother, Archduke Karl</w:t></w:r>
</w:p>
<w:p>
<w:pPr><w:pStyle w:val="Normal"/></w:pPr>
<w:r><w:t xml:space="preserve">Ferdinand, in 1874, narrowed still further his family circle,</w:t></w:r>
</w:p>
<w:p>
<w:pPr><w:pStyle w:val="Normal"/></w:pPr>
<w:r><w:t xml:space="preserve">and impelled him to even greater activity in his military duties,</w:t></w:r>
</w:p>
<w:p>
<w:pPr><w:pStyle w:val="Normal"/></w:pPr>
<w:r><w:t xml:space="preserve">and to effective participation in the work of many military</w:t></w:r>
</w:p>
<w:p>
<w:pPr><w:pStyle w:val="Normal"/></w:pPr>
<w:r><w:t xml:space="preserve">charities.  IUe retained personal control of the army until his</w:t></w:r>
</w:p>
<w:p>
<w:pPr><w:pStyle w:val="Normal"/></w:pPr>
<w:r><w:t xml:space="preserve">last illness, which he contracted at the funeral of his nephew</w:t></w:r>
</w:p>
<w:p>
<w:pPr><w:pStyle w:val="Normal"/></w:pPr>
<w:r><w:t xml:space="preserve">Francis, ex-king of Naples.  His only remaining brother, the</w:t></w:r>
</w:p>
<w:p>
<w:pPr><w:pStyle w:val="Normal"/></w:pPr>
<w:r><w:t xml:space="preserve">archduke Wilhelm, had died a few months before, as the result</w:t></w:r>
</w:p>
<w:p>
<w:pPr><w:pStyle w:val="Normal"/></w:pPr>
<w:r><w:t xml:space="preserve">of an accident.  He himself died on the 18th of February</w:t></w:r>
</w:p>
<w:p>
<w:pPr><w:pStyle w:val="Normal"/></w:pPr>
<w:r><w:t xml:space="preserve">1895.  His only son died in childhood, and his nephew Archduke</w:t></w:r>
</w:p>
<w:p>
<w:pPr><w:pStyle w:val="Normal"/></w:pPr>
<w:r><w:t xml:space="preserve">Frederick (born 1856) inherited his great possessions, including</w:t></w:r>
</w:p>
<w:p>
<w:pPr><w:pStyle w:val="Normal"/></w:pPr>
<w:r><w:t xml:space="preserve">the Albertina, a famous collection of books, manuscripts,</w:t></w:r>
</w:p>
<w:p>
<w:pPr><w:pStyle w:val="Normal"/></w:pPr>
<w:r><w:t xml:space="preserve">engravings and maps, founded by Duke Albert of Saxe-Teschen.</w:t></w:r>
</w:p>
<w:p>
<w:pPr><w:pStyle w:val="Normal"/></w:pPr>
<w:r><w:t xml:space="preserve">Amongst the military works of the Archduke Albert may be</w:t></w:r>
</w:p>
<w:p>
<w:pPr><w:pStyle w:val="Normal"/></w:pPr>
<w:r><w:t xml:space="preserve">named Uber die Verantworllichkeil im Kriege (a work which</w:t></w:r>
</w:p>
<w:p>
<w:pPr><w:pStyle w:val="Normal"/></w:pPr>
<w:r><w:t xml:space="preserve">created a great sensation, and was translated into English</w:t></w:r>
</w:p>
<w:p>
<w:pPr><w:pStyle w:val="Normal"/></w:pPr>
<w:r><w:t xml:space="preserve">and French), Gledanken uber dem Militargeist, Uber die</w:t></w:r>
</w:p>
<w:p>
<w:pPr><w:pStyle w:val="Normal"/></w:pPr>
<w:r><w:t xml:space="preserve">hohere Heitung im Kriege, and Kritische Betrachtunger</w:t></w:r>
</w:p>
<w:p>
<w:pPr><w:pStyle w:val="Normal"/></w:pPr>
<w:r><w:t xml:space="preserve">uber den Feldzug 1866 in Italien.  He also was the</w:t></w:r>
</w:p>
<w:p>
<w:pPr><w:pStyle w:val="Normal"/></w:pPr>
<w:r><w:t xml:space="preserve">principal editor of the military works of his father.</w:t></w:r>
</w:p>
<w:p>
<w:pPr><w:pStyle w:val="Normal"/></w:pPr>
<w:r><w:t xml:space="preserve">See Duncker, F. M. Erzherzog Albrecht (Vienna and Prague,</w:t></w:r>
</w:p>
<w:p>
<w:pPr><w:pStyle w:val="Normal"/></w:pPr>
<w:r><w:t xml:space="preserve">189; Mathes v.  Bilabruck, ``Gedenkrede auf Weiland Sr. K.</w:t></w:r>
</w:p>
<w:p>
<w:pPr><w:pStyle w:val="Normal"/></w:pPr>
<w:r><w:t xml:space="preserve">u.  K. H. Erzh.  Albrecht,&apos;&apos; Mil.-Wissenschaftl.  Verein, 1895;</w:t></w:r>
</w:p>
<w:p>
<w:pPr><w:pStyle w:val="Normal"/></w:pPr>
<w:r><w:t xml:space="preserve">Teuber, F. M. Erzh.  Albrecht, ein Lebensbild (Vienna, 1895).</w:t></w:r>
</w:p>
<w:p>
<w:pPr><w:pStyle w:val="Normal"/></w:pPr>
<w:r><w:t xml:space="preserve">ALBERT, MADAME (c. 1805-1846), French actress, whose</w:t></w:r>
</w:p>
<w:p>
<w:pPr><w:pStyle w:val="Normal"/></w:pPr>
<w:r><w:t xml:space="preserve">maiden name was Theresc Vernet, was born of a family of</w:t></w:r>
</w:p>
<w:p>
<w:pPr><w:pStyle w:val="Normal"/></w:pPr>
<w:r><w:t xml:space="preserve">players.  She first appeared in children&apos;s and ingenile</w:t></w:r>
</w:p>
<w:p>
<w:pPr><w:pStyle w:val="Normal"/></w:pPr>
<w:r><w:t xml:space="preserve">parts, and in comic opera, and it was not until 1827, two</w:t></w:r>
</w:p>
<w:p>
<w:pPr><w:pStyle w:val="Normal"/></w:pPr>
<w:r><w:t xml:space="preserve">years after her Paris debut, that her great talents</w:t></w:r>
</w:p>
<w:p>
<w:pPr><w:pStyle w:val="Normal"/></w:pPr>
<w:r><w:t xml:space="preserve">were seen and appreciated.  In Caleb Valentine, Henry</w:t></w:r>
</w:p>
<w:p>
<w:pPr><w:pStyle w:val="Normal"/></w:pPr>
<w:r><w:t xml:space="preserve">V., Madame Dubarry, Catherine II., Leontine,, Un duel sous</w:t></w:r>
</w:p>
<w:p>
<w:pPr><w:pStyle w:val="Normal"/></w:pPr>
<w:r><w:t xml:space="preserve">le cardinal de Richelieu, and many other plays, her grace,</w:t></w:r>
</w:p>
<w:p>
<w:pPr><w:pStyle w:val="Normal"/></w:pPr>
<w:r><w:t xml:space="preserve">beauty and distinction of manner made her the idol of Paris,</w:t></w:r>
</w:p>
<w:p>
<w:pPr><w:pStyle w:val="Normal"/></w:pPr>
<w:r><w:t xml:space="preserve">and her circle of admirers was widened by long tours of the</w:t></w:r>
</w:p>
<w:p>
<w:pPr><w:pStyle w:val="Normal"/></w:pPr>
<w:r><w:t xml:space="preserve">provinces and abroad.  Ill-health compelled her to retire in</w:t></w:r>
</w:p>
<w:p>
<w:pPr><w:pStyle w:val="Normal"/></w:pPr>
<w:r><w:t xml:space="preserve">1846.  She was twice married, about 1825 to Albert Rodrigues,</w:t></w:r>
</w:p>
<w:p>
<w:pPr><w:pStyle w:val="Normal"/></w:pPr>
<w:r><w:t xml:space="preserve">an actor who played under his Christian name, and in 1846</w:t></w:r>
</w:p>
<w:p>
<w:pPr><w:pStyle w:val="Normal"/></w:pPr>
<w:r><w:t xml:space="preserve">to Eugene Bignon (1812-1858), the actor and playwright.</w:t></w:r>
</w:p>
<w:p>
<w:pPr><w:pStyle w:val="Normal"/></w:pPr>
<w:r><w:t xml:space="preserve">ALBERT OF AIX (fl. c. A.D. 1100), historian of the first</w:t></w:r>
</w:p>
<w:p>
<w:pPr><w:pStyle w:val="Normal"/></w:pPr>
<w:r><w:t xml:space="preserve">crusade, was born during the later part of the 11th century,</w:t></w:r>
</w:p>
<w:p>
<w:pPr><w:pStyle w:val="Normal"/></w:pPr>
<w:r><w:t xml:space="preserve">and afterwards became canon and custos of the church of</w:t></w:r>
</w:p>
<w:p>
<w:pPr><w:pStyle w:val="Normal"/></w:pPr>
<w:r><w:t xml:space="preserve">Aix-la-Chapelle.  Nothing else is known of his life except</w:t></w:r>
</w:p>
<w:p>
<w:pPr><w:pStyle w:val="Normal"/></w:pPr>
<w:r><w:t xml:space="preserve">that he was the author of a Historia Hierosolymitanae</w:t></w:r>
</w:p>
<w:p>
<w:pPr><w:pStyle w:val="Normal"/></w:pPr>
<w:r><w:t xml:space="preserve">expeditionis, or Chronicon Hierosolymitanum de bello</w:t></w:r>
</w:p>
<w:p>
<w:pPr><w:pStyle w:val="Normal"/></w:pPr>
<w:r><w:t xml:space="preserve">sacro, a work in twelve books, written between 1125 and</w:t></w:r>
</w:p>
<w:p>
<w:pPr><w:pStyle w:val="Normal"/></w:pPr>
<w:r><w:t xml:space="preserve">1150.  This history begins at the time of the council of</w:t></w:r>
</w:p>
<w:p>
<w:pPr><w:pStyle w:val="Normal"/></w:pPr>
<w:r><w:t xml:space="preserve">Clermont, deals with the fortunes of the first crusade and</w:t></w:r>
</w:p>
<w:p>
<w:pPr><w:pStyle w:val="Normal"/></w:pPr>
<w:r><w:t xml:space="preserve">the earlier history of the Latin kingdom of Jerusalem, and</w:t></w:r>
</w:p>
<w:p>
<w:pPr><w:pStyle w:val="Normal"/></w:pPr>
<w:r><w:t xml:space="preserve">ends somewhat abruptly in 1121.  It was well known during the</w:t></w:r>
</w:p>
<w:p>
<w:pPr><w:pStyle w:val="Normal"/></w:pPr>
<w:r><w:t xml:space="preserve">middle ages, and was largely used by William, archbishop of</w:t></w:r>
</w:p>
<w:p>
<w:pPr><w:pStyle w:val="Normal"/></w:pPr>
<w:r><w:t xml:space="preserve">Tyre, for the first six books of his Belli sacri historia.</w:t></w:r>
</w:p>
<w:p>
<w:pPr><w:pStyle w:val="Normal"/></w:pPr>
<w:r><w:t xml:space="preserve">In modern times its historical value has been seriously</w:t></w:r>
</w:p>
<w:p>
<w:pPr><w:pStyle w:val="Normal"/></w:pPr>
<w:r><w:t xml:space="preserve">impugned, but the verdict of the best scholarship seems</w:t></w:r>
</w:p>
<w:p>
<w:pPr><w:pStyle w:val="Normal"/></w:pPr>
<w:r><w:t xml:space="preserve">to be that in general it forms a true record of the events</w:t></w:r>
</w:p>
<w:p>
<w:pPr><w:pStyle w:val="Normal"/></w:pPr>
<w:r><w:t xml:space="preserve">of the first crusade, although containing some legendary</w:t></w:r>
</w:p>
<w:p>
<w:pPr><w:pStyle w:val="Normal"/></w:pPr>
<w:r><w:t xml:space="preserve">matter.  Albert never visited the Holy Land, but he appears</w:t></w:r>
</w:p>
<w:p>
<w:pPr><w:pStyle w:val="Normal"/></w:pPr>
<w:r><w:t xml:space="preserve">to have had a considerable amount of intercourse with</w:t></w:r>
</w:p>
<w:p>
<w:pPr><w:pStyle w:val="Normal"/></w:pPr>
<w:r><w:t xml:space="preserve">returned crusaders, and to have had access to valuable</w:t></w:r>
</w:p>
<w:p>
<w:pPr><w:pStyle w:val="Normal"/></w:pPr>
<w:r><w:t xml:space="preserve">correspondence.  The first edition of the history was published</w:t></w:r>
</w:p>
<w:p>
<w:pPr><w:pStyle w:val="Normal"/></w:pPr>
<w:r><w:t xml:space="preserve">at Helmstadt in 1584, and a good edition is in the Recueil</w:t></w:r>
</w:p>
<w:p>
<w:pPr><w:pStyle w:val="Normal"/></w:pPr>
<w:r><w:t xml:space="preserve">des historiens des croisades, tome iv. (Paris, 1841-1887).</w:t></w:r>
</w:p>
<w:p>
<w:pPr><w:pStyle w:val="Normal"/></w:pPr>
<w:r><w:t xml:space="preserve">See F. Krebs, Zur Kritik Alberts von Aachen (Munster,</w:t></w:r>
</w:p>
<w:p>
<w:pPr><w:pStyle w:val="Normal"/></w:pPr>
<w:r><w:t xml:space="preserve">1881); B. Kugler, Albert von Aachen (Stuttgart, 1885);</w:t></w:r>
</w:p>
<w:p>
<w:pPr><w:pStyle w:val="Normal"/></w:pPr>
<w:r><w:t xml:space="preserve">M. Figeonneau, Le Cycle de la croisade et de la famine</w:t></w:r>
</w:p>
<w:p>
<w:pPr><w:pStyle w:val="Normal"/></w:pPr>
<w:r><w:t xml:space="preserve">de Bouillon (Paris, 1877); H. von Sybel, Geschichte des</w:t></w:r>
</w:p>
<w:p>
<w:pPr><w:pStyle w:val="Normal"/></w:pPr>
<w:r><w:t xml:space="preserve">ersten Kreuzzuges (Leipzig, 1881): F. Vercruysse, Essai</w:t></w:r>
</w:p>
<w:p>
<w:pPr><w:pStyle w:val="Normal"/></w:pPr>
<w:r><w:t xml:space="preserve">critique sur la chronique d&apos;Albert d&apos;Aix (Liege, 1889).</w:t></w:r>
</w:p>
<w:p>
<w:pPr><w:pStyle w:val="Normal"/></w:pPr>
<w:r><w:t xml:space="preserve">ALBERTA, a province of western Canada, established in</w:t></w:r>
</w:p>
<w:p>
<w:pPr><w:pStyle w:val="Normal"/></w:pPr>
<w:r><w:t xml:space="preserve">1905.  Area 260,000 sq. m.  It is bounded S. by the United</w:t></w:r>
</w:p>
<w:p>
<w:pPr><w:pStyle w:val="Normal"/></w:pPr>
<w:r><w:t xml:space="preserve">States boundary line, 49 deg.  N.; E. by 110 deg.  W., vhich divides</w:t></w:r>
</w:p>
<w:p>
<w:pPr><w:pStyle w:val="Normal"/></w:pPr>
<w:r><w:t xml:space="preserve">it from the province of Saskatchewan; N. by 60 deg.  N., which</w:t></w:r>
</w:p>
<w:p>
<w:pPr><w:pStyle w:val="Normal"/></w:pPr>
<w:r><w:t xml:space="preserve">separates it from the North-West Territories; and W. by</w:t></w:r>
</w:p>
<w:p>
<w:pPr><w:pStyle w:val="Normal"/></w:pPr>
<w:r><w:t xml:space="preserve">the line of peaks of the Rocky Mountains range, vhich runs</w:t></w:r>
</w:p>
<w:p>
<w:pPr><w:pStyle w:val="Normal"/></w:pPr>
<w:r><w:t xml:space="preserve">northwesterly, and divides it from British Columbia.  A</w:t></w:r>
</w:p>
<w:p>
<w:pPr><w:pStyle w:val="Normal"/></w:pPr>
<w:r><w:t xml:space="preserve">fertile province, in the eastern and southern portions</w:t></w:r>
</w:p>
<w:p>
<w:pPr><w:pStyle w:val="Normal"/></w:pPr>
<w:r><w:t xml:space="preserve">its surface consists chiefly of plains almost entirely</w:t></w:r>
</w:p>
<w:p>
<w:pPr><w:pStyle w:val="Normal"/></w:pPr>
<w:r><w:t xml:space="preserve">treeless.  As the slopes of the Rocky Mountains to the west</w:t></w:r>
</w:p>
<w:p>
<w:pPr><w:pStyle w:val="Normal"/></w:pPr>
<w:r><w:t xml:space="preserve">are reached 1rore trees are found, until in the foot-hills of</w:t></w:r>
</w:p>
<w:p>
<w:pPr><w:pStyle w:val="Normal"/></w:pPr>
<w:r><w:t xml:space="preserve">the mountains bcdies of forest timber occur.  Trees become more</w:t></w:r>
</w:p>
<w:p>
<w:pPr><w:pStyle w:val="Normal"/></w:pPr>
<w:r><w:t xml:space="preserve">numerous also northward in the province, until in the region</w:t></w:r>
</w:p>
<w:p>
<w:pPr><w:pStyle w:val="Normal"/></w:pPr>
<w:r><w:t xml:space="preserve">north of the North Saskatchewan river forests are again met</w:t></w:r>
</w:p>
<w:p>
<w:pPr><w:pStyle w:val="Normal"/></w:pPr>
<w:r><w:t xml:space="preserve">with..  From the southern boundary line for two and a half</w:t></w:r>
</w:p>
<w:p>
<w:pPr><w:pStyle w:val="Normal"/></w:pPr>
<w:r><w:t xml:space="preserve">degrees north the prairie is dry, but of good soil, which</w:t></w:r>
</w:p>
<w:p>
<w:pPr><w:pStyle w:val="Normal"/></w:pPr>
<w:r><w:t xml:space="preserve">grows excellent crops when irrigated.  North of this region</w:t></w:r>
</w:p>
<w:p>
<w:pPr><w:pStyle w:val="Normal"/></w:pPr>
<w:r><w:t xml:space="preserve">the surface of the province is of itost fertile soil, the</w:t></w:r>
</w:p>
<w:p>
<w:pPr><w:pStyle w:val="Normal"/></w:pPr>
<w:r><w:t xml:space="preserve">ordinary rainfall sufficing for agriculture.  The appearance</w:t></w:r>
</w:p>
<w:p>
<w:pPr><w:pStyle w:val="Normal"/></w:pPr>
<w:r><w:t xml:space="preserve">of the prairie section of the province is that cf undulating</w:t></w:r>
</w:p>
<w:p>
<w:pPr><w:pStyle w:val="Normal"/></w:pPr>
<w:r><w:t xml:space="preserve">meadows, with rounded sloping ridges covered with shorter .</w:t></w:r>
</w:p>
<w:p>
<w:pPr><w:pStyle w:val="Normal"/></w:pPr>
<w:r><w:t xml:space="preserve">grasses, which serve for the support of great herds of cattle and</w:t></w:r>
</w:p>
<w:p>
<w:pPr><w:pStyle w:val="Normal"/></w:pPr>
<w:r><w:t xml:space="preserve">horses.  The.wooded portions of the terrain are dotted with</w:t></w:r>
</w:p>
<w:p>
<w:pPr><w:pStyle w:val="Normal"/></w:pPr>
<w:r><w:t xml:space="preserve">clumps and belts of trees of moderate size, giving them a</w:t></w:r>
</w:p>
<w:p>
<w:pPr><w:pStyle w:val="Normal"/></w:pPr>
<w:r><w:t xml:space="preserve">parklike appearance.  In winter the snowfall is very light,</w:t></w:r>
</w:p>
<w:p>
<w:pPr><w:pStyle w:val="Normal"/></w:pPr>
<w:r><w:t xml:space="preserve">and even this is frequently removed by warm winds from the</w:t></w:r>
</w:p>
<w:p>
<w:pPr><w:pStyle w:val="Normal"/></w:pPr>
<w:r><w:t xml:space="preserve">west.  Within a hundred miles of the mountains there is</w:t></w:r>
</w:p>
<w:p>
<w:pPr><w:pStyle w:val="Normal"/></w:pPr>
<w:r><w:t xml:space="preserve">constanlly in view, in clear weather, the beautiful line</w:t></w:r>
</w:p>
<w:p>
<w:pPr><w:pStyle w:val="Normal"/></w:pPr>
<w:r><w:t xml:space="preserve">of snowy peaks along the western horizon.  This continues</w:t></w:r>
</w:p>
<w:p>
<w:pPr><w:pStyle w:val="Normal"/></w:pPr>
<w:r><w:t xml:space="preserve">for hundreds of miles north-westward.  The Rocky Mountains,</w:t></w:r>
</w:p>
<w:p>
<w:pPr><w:pStyle w:val="Normal"/></w:pPr>
<w:r><w:t xml:space="preserve">vhich give its charm to Alberta, are ascended by a gradual</w:t></w:r>
</w:p>
<w:p>
<w:pPr><w:pStyle w:val="Normal"/></w:pPr>
<w:r><w:t xml:space="preserve">approach from the east, but are exceedingly abrupt on their</w:t></w:r>
</w:p>
<w:p>
<w:pPr><w:pStyle w:val="Normal"/></w:pPr>
<w:r><w:t xml:space="preserve">transalpine slope in British Columbia.  The peaks of these</w:t></w:r>
</w:p>
<w:p>
<w:pPr><w:pStyle w:val="Normal"/></w:pPr>
<w:r><w:t xml:space="preserve">mountains are 1rajestic, many of them reaching a height of</w:t></w:r>
</w:p>
<w:p>
<w:pPr><w:pStyle w:val="Normal"/></w:pPr>
<w:r><w:t xml:space="preserve">more than two niles above the sea.  Among the more notable</w:t></w:r>
</w:p>
<w:p>
<w:pPr><w:pStyle w:val="Normal"/></w:pPr>
<w:r><w:t xml:space="preserve">of these are Lcbscn peak, 13,700 ft.; Athabasca, 13,700;</w:t></w:r>
</w:p>
<w:p>
<w:pPr><w:pStyle w:val="Normal"/></w:pPr>
<w:r><w:t xml:space="preserve">Assiniboine, 11,8s0; Fyell, 12,000; Mummery, 12,000;</w:t></w:r>
</w:p>
<w:p>
<w:pPr><w:pStyle w:val="Normal"/></w:pPr>
<w:r><w:t xml:space="preserve">Temple, 11,658; and Geikie, 11,000.  Mt. Brown reaches 9050.</w:t></w:r>
</w:p>
<w:p>
<w:pPr><w:pStyle w:val="Normal"/></w:pPr>
<w:r><w:t xml:space="preserve">Through these Rocky Mountains the explorers and furtraders, by</w:t></w:r>
</w:p>
<w:p>
<w:pPr><w:pStyle w:val="Normal"/></w:pPr>
<w:r><w:t xml:space="preserve">ascending the streams running down the eastern declivities of</w:t></w:r>
</w:p>
<w:p>
<w:pPr><w:pStyle w:val="Normal"/></w:pPr>
<w:r><w:t xml:space="preserve">the mountains, and crossing by short portages to the streams</w:t></w:r>
</w:p>
<w:p>
<w:pPr><w:pStyle w:val="Normal"/></w:pPr>
<w:r><w:t xml:space="preserve">of the western slope, have succeeded in discovering passes</w:t></w:r>
</w:p>
<w:p>
<w:pPr><w:pStyle w:val="Normal"/></w:pPr>
<w:r><w:t xml:space="preserve">by which the mountain chain can be crossed, the range rarely</w:t></w:r>
</w:p>
<w:p>
<w:pPr><w:pStyle w:val="Normal"/></w:pPr>
<w:r><w:t xml:space="preserve">exceeding 60 m. in breadth.  The most noted of the Alberta</w:t></w:r>
</w:p>
<w:p>
<w:pPr><w:pStyle w:val="Normal"/></w:pPr>
<w:r><w:t xml:space="preserve">passes are (1) the Crow&apos;s Nest Pass, near the southern boundary</w:t></w:r>
</w:p>
<w:p>
<w:pPr><w:pStyle w:val="Normal"/></w:pPr>
<w:r><w:t xml:space="preserve">line, through which a branch of the Canadian I,acific&apos;</w:t></w:r>
</w:p>
<w:p>
<w:pPr><w:pStyle w:val="Normal"/></w:pPr>
<w:r><w:t xml:space="preserve">railway runs; (2) the Kicking Horse Pass, through which the</w:t></w:r>
</w:p>
<w:p>
<w:pPr><w:pStyle w:val="Normal"/></w:pPr>
<w:r><w:t xml:space="preserve">main line of the Canadian Pacific railway is built; 80 m.</w:t></w:r>
</w:p>
<w:p>
<w:pPr><w:pStyle w:val="Normal"/></w:pPr>
<w:r><w:t xml:space="preserve">from the eastern end of this pass is the Rocky Mountains</w:t></w:r>
</w:p>
<w:p>
<w:pPr><w:pStyle w:val="Normal"/></w:pPr>
<w:r><w:t xml:space="preserve">Park, with the famous watering-place of Banff as its centre;</w:t></w:r>
</w:p>
<w:p>
<w:pPr><w:pStyle w:val="Normal"/></w:pPr>
<w:r><w:t xml:space="preserve">(3) the Yellow Head Pass, running west from the northern</w:t></w:r>
</w:p>
<w:p>
<w:pPr><w:pStyle w:val="Normal"/></w:pPr>
<w:r><w:t xml:space="preserve">branch of the Saskatchewan river; this pass was discovered by</w:t></w:r>
</w:p>
<w:p>
<w:pPr><w:pStyle w:val="Normal"/></w:pPr>
<w:r><w:t xml:space="preserve">Capt.  Pallise1 (1858), was crossed by Lord Milton and Dr</w:t></w:r>
</w:p>
<w:p>
<w:pPr><w:pStyle w:val="Normal"/></w:pPr>
<w:r><w:t xml:space="preserve">W. B. Cheadle (1861), and by Sandford Fleming (1871-1872) in</w:t></w:r>
</w:p>
<w:p>
<w:pPr><w:pStyle w:val="Normal"/></w:pPr>
<w:r><w:t xml:space="preserve">the Ocean to Ocean expedition; (4) Peace River Pass.  By this</w:t></w:r>
</w:p>
<w:p>
<w:pPr><w:pStyle w:val="Normal"/></w:pPr>
<w:r><w:t xml:space="preserve">pass Alexander Mackenzie made his celebrated voyage.  There</w:t></w:r>
</w:p>
<w:p>
<w:pPr><w:pStyle w:val="Normal"/></w:pPr>
<w:r><w:t xml:space="preserve">are other minor passes, and no doubt more to be discovered.</w:t></w:r>
</w:p>
<w:p>
<w:pPr><w:pStyle w:val="Normal"/></w:pPr>
<w:r><w:t xml:space="preserve">With the exception of the southern section, the province of</w:t></w:r>
</w:p>
<w:p>
<w:pPr><w:pStyle w:val="Normal"/></w:pPr>
<w:r><w:t xml:space="preserve">Alberta may be said to be well watered.  Rising from numerous</w:t></w:r>
</w:p>
<w:p>
<w:pPr><w:pStyle w:val="Normal"/></w:pPr>
<w:r><w:t xml:space="preserve">valleys on the Alberta declivity of the Rocky Mountains between</w:t></w:r>
</w:p>
<w:p>
<w:pPr><w:pStyle w:val="Normal"/></w:pPr>
<w:r><w:t xml:space="preserve">the international boundary line and 52 deg.  N. are streams which</w:t></w:r>
</w:p>
<w:p>
<w:pPr><w:pStyle w:val="Normal"/></w:pPr>
<w:r><w:t xml:space="preserve">unite to form the Belly river, and farther north the Bow</w:t></w:r>
</w:p>
<w:p>
<w:pPr><w:pStyle w:val="Normal"/></w:pPr>
<w:r><w:t xml:space="preserve">river.  Running eastward these two rivers unite about 112 deg.</w:t></w:r>
</w:p>
<w:p>
<w:pPr><w:pStyle w:val="Normal"/></w:pPr>
<w:r><w:t xml:space="preserve">W;, and flow on under the name of the South Saskatchewan</w:t></w:r>
</w:p>
<w:p>
<w:pPr><w:pStyle w:val="Normal"/></w:pPr>
<w:r><w:t xml:space="preserve">river.  North of 52 deg.  N. many small streams unite to form</w:t></w:r>
</w:p>
<w:p>
<w:pPr><w:pStyle w:val="Normal"/></w:pPr>
<w:r><w:t xml:space="preserve">the Red Deer river, which flowing south-eastward joins the</w:t></w:r>
</w:p>
<w:p>
<w:pPr><w:pStyle w:val="Normal"/></w:pPr>
<w:r><w:t xml:space="preserve">South Saskatchewan near 110 deg.  W. Between 52 deg.  and 53 deg.  N.</w:t></w:r>
</w:p>
<w:p>
<w:pPr><w:pStyle w:val="Normal"/></w:pPr>
<w:r><w:t xml:space="preserve">rises the great river, the North Saskatchewan.  It receives</w:t></w:r>
</w:p>
<w:p>
<w:pPr><w:pStyle w:val="Normal"/></w:pPr>
<w:r><w:t xml:space="preserve">a southern tributary, the Battle river, which joins it</w:t></w:r>
</w:p>
<w:p>
<w:pPr><w:pStyle w:val="Normal"/></w:pPr>
<w:r><w:t xml:space="preserve">about 108 deg.  W. Pursuing their courses eastward the North</w:t></w:r>
</w:p>
<w:p>
<w:pPr><w:pStyle w:val="Normal"/></w:pPr>
<w:r><w:t xml:space="preserve">and South Saskatchewan rivers unite in the Saskatchewan</w:t></w:r>
</w:p>
<w:p>
<w:pPr><w:pStyle w:val="Normal"/></w:pPr>
<w:r><w:t xml:space="preserve">(Cree, rapid-flowing river), which finds its way to Lake</w:t></w:r>
</w:p>
<w:p>
<w:pPr><w:pStyle w:val="Normal"/></w:pPr>
<w:r><w:t xml:space="preserve">Winnipeg, and thence by way of Nelson river to Hudson</w:t></w:r>
</w:p>
<w:p>
<w:pPr><w:pStyle w:val="Normal"/></w:pPr>
<w:r><w:t xml:space="preserve">Bay. It is one of the mightiest rivers of the continent.</w:t></w:r>
</w:p>
<w:p>
<w:pPr><w:pStyle w:val="Normal"/></w:pPr>
<w:r><w:t xml:space="preserve">Between 53 deg.  and 54 deg.  N. begins the height of land running</w:t></w:r>
</w:p>
<w:p>
<w:pPr><w:pStyle w:val="Normal"/></w:pPr>
<w:r><w:t xml:space="preserve">north-easterly, north of which all the waters of Alberta flow</w:t></w:r>
</w:p>
<w:p>
<w:pPr><w:pStyle w:val="Normal"/></w:pPr>
<w:r><w:t xml:space="preserve">toward the Arctic Sea. In northern Alberta, on the northern</w:t></w:r>
</w:p>
<w:p>
<w:pPr><w:pStyle w:val="Normal"/></w:pPr>
<w:r><w:t xml:space="preserve">slope, gathering its tributaries from rills in the Rocky</w:t></w:r>
</w:p>
<w:p>
<w:pPr><w:pStyle w:val="Normal"/></w:pPr>
<w:r><w:t xml:space="preserve">Mountains, the river Athabasca runs north and empties into</w:t></w:r>
</w:p>
<w:p>
<w:pPr><w:pStyle w:val="Normal"/></w:pPr>
<w:r><w:t xml:space="preserve">Lake Athabasca near 58 deg.  N. North of 56 deg.  N. flows through and</w:t></w:r>
</w:p>
<w:p>
<w:pPr><w:pStyle w:val="Normal"/></w:pPr>
<w:r><w:t xml:space="preserve">from the Rocky Mountains the Peace river.  After descending</w:t></w:r>
</w:p>
<w:p>
<w:pPr><w:pStyle w:val="Normal"/></w:pPr>
<w:r><w:t xml:space="preserve">north-eastward to within a few miles of Lake Athabasca, it</w:t></w:r>
</w:p>
<w:p>
<w:pPr><w:pStyle w:val="Normal"/></w:pPr>
<w:r><w:t xml:space="preserve">is met by a stream emerging from that lake.  The united river</w:t></w:r>
</w:p>
<w:p>
<w:pPr><w:pStyle w:val="Normal"/></w:pPr>
<w:r><w:t xml:space="preserve">carrying down the waters of the Athabasca slope is called</w:t></w:r>
</w:p>
<w:p>
<w:pPr><w:pStyle w:val="Normal"/></w:pPr>
<w:r><w:t xml:space="preserve">the Slave river, which, passing through Great Slave Lake,</w:t></w:r>
</w:p>
<w:p>
<w:pPr><w:pStyle w:val="Normal"/></w:pPr>
<w:r><w:t xml:space="preserve">emerges as the great Mackenzie river, which falls into the</w:t></w:r>
</w:p>
<w:p>
<w:pPr><w:pStyle w:val="Normal"/></w:pPr>
<w:r><w:t xml:space="preserve">Arctic Sea. Alberta thus gives rise to the two great rivers</w:t></w:r>
</w:p>
<w:p>
<w:pPr><w:pStyle w:val="Normal"/></w:pPr>
<w:r><w:t xml:space="preserve">Saskatchewan and Mackenzie.  While a number of fresh-water,</w:t></w:r>
</w:p>
<w:p>
<w:pPr><w:pStyle w:val="Normal"/></w:pPr>
<w:r><w:t xml:space="preserve">or in some cases brackish, lakes each less than 100 sq. m.</w:t></w:r>
</w:p>
<w:p>
<w:pPr><w:pStyle w:val="Normal"/></w:pPr>
<w:r><w:t xml:space="preserve">in extent are situated in Alberta, two of more considerable</w:t></w:r>
</w:p>
<w:p>
<w:pPr><w:pStyle w:val="Normal"/></w:pPr>
<w:r><w:t xml:space="preserve">size are found.  These are Lake Athabasca, 3085 sq. m. in</w:t></w:r>
</w:p>
<w:p>
<w:pPr><w:pStyle w:val="Normal"/></w:pPr>
<w:r><w:t xml:space="preserve">extent, of which a part is in the province of Saskatchewan,</w:t></w:r>
</w:p>
<w:p>
<w:pPr><w:pStyle w:val="Normal"/></w:pPr>
<w:r><w:t xml:space="preserve">and the other Lesser Slave Lake some 600 sq. m. in area.</w:t></w:r>
</w:p>
<w:p>
<w:pPr><w:pStyle w:val="Normal"/></w:pPr>
<w:r><w:t xml:space="preserve">Climate.--As Alberta extends for 750 m. from north to</w:t></w:r>
</w:p>
<w:p>
<w:pPr><w:pStyle w:val="Normal"/></w:pPr>
<w:r><w:t xml:space="preserve">south---as great a distance as from Land&apos;s End in England</w:t></w:r>
</w:p>
<w:p>
<w:pPr><w:pStyle w:val="Normal"/></w:pPr>
<w:r><w:t xml:space="preserve">to the north of the Shetland Isles--it is natural that the</w:t></w:r>
</w:p>
<w:p>
<w:pPr><w:pStyle w:val="Normal"/></w:pPr>
<w:r><w:t xml:space="preserve">climate should vary considerably between parallels of 40 deg.</w:t></w:r>
</w:p>
<w:p>
<w:pPr><w:pStyle w:val="Normal"/></w:pPr>
<w:r><w:t xml:space="preserve">and 60 deg.  N.. and also between 110 deg.  and 120 deg.  W. It is also</w:t></w:r>
</w:p>
<w:p>
<w:pPr><w:pStyle w:val="Normal"/></w:pPr>
<w:r><w:t xml:space="preserve">further influenced by the different altitudes above the</w:t></w:r>
</w:p>
<w:p>
<w:pPr><w:pStyle w:val="Normal"/></w:pPr>
<w:r><w:t xml:space="preserve">sea of the several parts of the province.  Dividing the</w:t></w:r>
</w:p>
<w:p>
<w:pPr><w:pStyle w:val="Normal"/></w:pPr>
<w:r><w:t xml:space="preserve">province into three equal parts of 250 m. each from north to</w:t></w:r>
</w:p>
<w:p>
<w:pPr><w:pStyle w:val="Normal"/></w:pPr>
<w:r><w:t xml:space="preserve">south, these may be called (A) the south, (B) the centre,</w:t></w:r>
</w:p>
<w:p>
<w:pPr><w:pStyle w:val="Normal"/></w:pPr>
<w:r><w:t xml:space="preserve">(C) the north.  The following data may be considered:--</w:t></w:r>
</w:p>
<w:p>
<w:pPr><w:pStyle w:val="Normal"/></w:pPr>
<w:r><w:t xml:space="preserve">CLIMATIC TABLE</w:t></w:r>
</w:p>
<w:p>
<w:pPr><w:pStyle w:val="Normal"/></w:pPr>
<w:r><w:t xml:space="preserve">Climate           Places                  Above the Sea   Mean Winter Temp</w:t></w:r>
</w:p>
<w:p>
<w:pPr><w:pStyle w:val="Normal"/></w:pPr>
<w:r><w:t xml:space="preserve">(A) Moderate and   Medicine Hat,                2171 ft.        14.3 deg.  F.</w:t></w:r>
</w:p>
<w:p>
<w:pPr><w:pStyle w:val="Normal"/></w:pPr>
<w:r><w:t xml:space="preserve">changeable     lat. 50 deg.  N.</w:t></w:r>
</w:p>
<w:p>
<w:pPr><w:pStyle w:val="Normal"/></w:pPr>
<w:r><w:t xml:space="preserve">Calgary, lat. 51 deg.        3432  &quot;         15.4 deg.  &quot;</w:t></w:r>
</w:p>
<w:p>
<w:pPr><w:pStyle w:val="Normal"/></w:pPr>
<w:r><w:t xml:space="preserve">Banff, lat. 51 1/2 deg.      4515  &quot;         15.9 deg.  &quot;</w:t></w:r>
</w:p>
<w:p>
<w:pPr><w:pStyle w:val="Normal"/></w:pPr>
<w:r><w:t xml:space="preserve">(B) Steady         Edmonton, lat. 53 1/2 deg.   2210  &quot;         10.3 deg.  &quot;</w:t></w:r>
</w:p>
<w:p>
<w:pPr><w:pStyle w:val="Normal"/></w:pPr>
<w:r><w:t xml:space="preserve">(C) Severe         Fort Chipewyan, lat.          600  &quot;          7.2 deg.  &quot;</w:t></w:r>
</w:p>
<w:p>
<w:pPr><w:pStyle w:val="Normal"/></w:pPr>
<w:r><w:t xml:space="preserve">lat. 59 deg.  N.</w:t></w:r>
</w:p>
<w:p>
<w:pPr><w:pStyle w:val="Normal"/></w:pPr>
<w:r><w:t xml:space="preserve">Climate (A) allows, in what is a great ranching district,</w:t></w:r>
</w:p>
<w:p>
<w:pPr><w:pStyle w:val="Normal"/></w:pPr>
<w:r><w:t xml:space="preserve">cattle and horses to run at large through the whole</w:t></w:r>
</w:p>
<w:p>
<w:pPr><w:pStyle w:val="Normal"/></w:pPr>
<w:r><w:t xml:space="preserve">winter.  Through the mountain passes come at times dry winds</w:t></w:r>
</w:p>
<w:p>
<w:pPr><w:pStyle w:val="Normal"/></w:pPr>
<w:r><w:t xml:space="preserve">from the Pacific coast, which lick up the snow in a few</w:t></w:r>
</w:p>
<w:p>
<w:pPr><w:pStyle w:val="Normal"/></w:pPr>
<w:r><w:t xml:space="preserve">hours.  These winds are known as Chinook winds.  While</w:t></w:r>
</w:p>
<w:p>
<w:pPr><w:pStyle w:val="Normal"/></w:pPr>
<w:r><w:t xml:space="preserve">elevating the temperature they bring more moisture into</w:t></w:r>
</w:p>
<w:p>
<w:pPr><w:pStyle w:val="Normal"/></w:pPr>
<w:r><w:t xml:space="preserve">the air and produce a change not entirely desirable.</w:t></w:r>
</w:p>
<w:p>
<w:pPr><w:pStyle w:val="Normal"/></w:pPr>
<w:r><w:t xml:space="preserve">Climate (B) is the steady winter climate of Edmonton</w:t></w:r>
</w:p>
<w:p>
<w:pPr><w:pStyle w:val="Normal"/></w:pPr>
<w:r><w:t xml:space="preserve">district.  This while averaging a lower temperature than</w:t></w:r>
</w:p>
<w:p>
<w:pPr><w:pStyle w:val="Normal"/></w:pPr>
<w:r><w:t xml:space="preserve">(A) is not so subject to change; it retains the snow for</w:t></w:r>
</w:p>
<w:p>
<w:pPr><w:pStyle w:val="Normal"/></w:pPr>
<w:r><w:t xml:space="preserve">sleighing, which is a boon to the farmer.  This climate</w:t></w:r>
</w:p>
<w:p>
<w:pPr><w:pStyle w:val="Normal"/></w:pPr>
<w:r><w:t xml:space="preserve">is much less influenced by the Pacific winds than (A).</w:t></w:r>
</w:p>
<w:p>
<w:pPr><w:pStyle w:val="Normal"/></w:pPr>
<w:r><w:t xml:space="preserve">Climate (C), that of Fort Chipewyan, having a mean winter</w:t></w:r>
</w:p>
<w:p>
<w:pPr><w:pStyle w:val="Normal"/></w:pPr>
<w:r><w:t xml:space="preserve">temperature of 22.6 deg.  lower than Calgary, is a decidedly</w:t></w:r>
</w:p>
<w:p>
<w:pPr><w:pStyle w:val="Normal"/></w:pPr>
<w:r><w:t xml:space="preserve">sub-arctic climate.  It is the region in winter of constant</w:t></w:r>
</w:p>
<w:p>
<w:pPr><w:pStyle w:val="Normal"/></w:pPr>
<w:r><w:t xml:space="preserve">ice and snow, but its lower altitude gives it a summer</w:t></w:r>
</w:p>
<w:p>
<w:pPr><w:pStyle w:val="Normal"/></w:pPr>
<w:r><w:t xml:space="preserve">climate with a mean temperature of only 1.6 deg.  less than</w:t></w:r>
</w:p>
<w:p>
<w:pPr><w:pStyle w:val="Normal"/></w:pPr>
<w:r><w:t xml:space="preserve">Calgary, and 1.8 deg.  less than Edmonton.  It will thus be seen</w:t></w:r>
</w:p>
<w:p>
<w:pPr><w:pStyle w:val="Normal"/></w:pPr>
<w:r><w:t xml:space="preserve">that the agricultural capabilities of the Athabasca and Peace</w:t></w:r>
</w:p>
<w:p>
<w:pPr><w:pStyle w:val="Normal"/></w:pPr>
<w:r><w:t xml:space="preserve">river districts, not yet fully known, are full of promise.</w:t></w:r>
</w:p>
<w:p>
<w:pPr><w:pStyle w:val="Normal"/></w:pPr>
<w:r><w:t xml:space="preserve">Fauna.--The three climatic regions of Alberta have naturally</w:t></w:r>
</w:p>
<w:p>
<w:pPr><w:pStyle w:val="Normal"/></w:pPr>
<w:r><w:t xml:space="preserve">a varying fauna.  The south and central region was the land</w:t></w:r>
</w:p>
<w:p>
<w:pPr><w:pStyle w:val="Normal"/></w:pPr>
<w:r><w:t xml:space="preserve">of the bison, its grasses affording a great pasture ground</w:t></w:r>
</w:p>
<w:p>
<w:pPr><w:pStyle w:val="Normal"/></w:pPr>
<w:r><w:t xml:space="preserve">for tens of thousands of ``buffaloes.&apos;&apos; They were destroyed</w:t></w:r>
</w:p>
<w:p>
<w:pPr><w:pStyle w:val="Normal"/></w:pPr>
<w:r><w:t xml:space="preserve">by whites and Indians in 1870-1882 on the approach of the</w:t></w:r>
</w:p>
<w:p>
<w:pPr><w:pStyle w:val="Normal"/></w:pPr>
<w:r><w:t xml:space="preserve">Canadian Pacific railway.  Grizzly, black and cinnamon bears</w:t></w:r>
</w:p>
<w:p>
<w:pPr><w:pStyle w:val="Normal"/></w:pPr>
<w:r><w:t xml:space="preserve">are, found in the mountains and wooded districts.  The</w:t></w:r>
</w:p>
<w:p>
<w:pPr><w:pStyle w:val="Normal"/></w:pPr>
<w:r><w:t xml:space="preserve">coyote or small wolf, here and there the grey wolf, the fox</w:t></w:r>
</w:p>
<w:p>
<w:pPr><w:pStyle w:val="Normal"/></w:pPr>
<w:r><w:t xml:space="preserve">and the mountain lion (panther) occur.  The moose and red</w:t></w:r>
</w:p>
<w:p>
<w:pPr><w:pStyle w:val="Normal"/></w:pPr>
<w:r><w:t xml:space="preserve">deer are found in the wooded regions, and the jumping deer</w:t></w:r>
</w:p>
<w:p>
<w:pPr><w:pStyle w:val="Normal"/></w:pPr>
<w:r><w:t xml:space="preserve">and antelope on the prairies.  Wild sheep and goats live</w:t></w:r>
</w:p>
<w:p>
<w:pPr><w:pStyle w:val="Normal"/></w:pPr>
<w:r><w:t xml:space="preserve">in the Rocky Mountains.  The lynx, wolverine, porcupine,</w:t></w:r>
</w:p>
<w:p>
<w:pPr><w:pStyle w:val="Normal"/></w:pPr>
<w:r><w:t xml:space="preserve">skunk, hare, squirrel and mouse are met.  The gopher is a</w:t></w:r>
</w:p>
<w:p>
<w:pPr><w:pStyle w:val="Normal"/></w:pPr>
<w:r><w:t xml:space="preserve">resident of the dry plains.  District (C) is the fur-trader&apos;s</w:t></w:r>
</w:p>
<w:p>
<w:pPr><w:pStyle w:val="Normal"/></w:pPr>
<w:r><w:t xml:space="preserve">paradise.  The buffalo is replaced by the mountain buffaloes,</w:t></w:r>
</w:p>
<w:p>
<w:pPr><w:pStyle w:val="Normal"/></w:pPr>
<w:r><w:t xml:space="preserve">of which a few survive.  The musk-ox comes in thousands</w:t></w:r>
</w:p>
<w:p>
<w:pPr><w:pStyle w:val="Normal"/></w:pPr>
<w:r><w:t xml:space="preserve">every year to the great northern lakes, while the mink,</w:t></w:r>
</w:p>
<w:p>
<w:pPr><w:pStyle w:val="Normal"/></w:pPr>
<w:r><w:t xml:space="preserve">marten, beaver, otter, ermine and musk-rat are sought by the</w:t></w:r>
</w:p>
<w:p>
<w:pPr><w:pStyle w:val="Normal"/></w:pPr>
<w:r><w:t xml:space="preserve">fur-trader.  Fort Chipewyan was long known in Hudson&apos;s Bay</w:t></w:r>
</w:p>
<w:p>
<w:pPr><w:pStyle w:val="Normal"/></w:pPr>
<w:r><w:t xml:space="preserve">Company history as the great depot of the Mackenzie river</w:t></w:r>
</w:p>
<w:p>
<w:pPr><w:pStyle w:val="Normal"/></w:pPr>
<w:r><w:t xml:space="preserve">district.  Northern Alberta and the region farther north</w:t></w:r>
</w:p>
<w:p>
<w:pPr><w:pStyle w:val="Normal"/></w:pPr>
<w:r><w:t xml:space="preserve">is the nesting-ground of the migratory birds.  Here vast</w:t></w:r>
</w:p>
<w:p>
<w:pPr><w:pStyle w:val="Normal"/></w:pPr>
<w:r><w:t xml:space="preserve">numbers of ducks, geese, swans and pelicans resort every</w:t></w:r>
</w:p>
<w:p>
<w:pPr><w:pStyle w:val="Normal"/></w:pPr>
<w:r><w:t xml:space="preserve">year.  Cranes, partridges and varieties of singing birds</w:t></w:r>
</w:p>
<w:p>
<w:pPr><w:pStyle w:val="Normal"/></w:pPr>
<w:r><w:t xml:space="preserve">abound.  The eagle, hawk, owl and crow are plentiful.  Mosquitoes</w:t></w:r>
</w:p>
<w:p>
<w:pPr><w:pStyle w:val="Normal"/></w:pPr>
<w:r><w:t xml:space="preserve">and flies are everywhere, and the wasp and wild bee also.  In</w:t></w:r>
</w:p>
<w:p>
<w:pPr><w:pStyle w:val="Normal"/></w:pPr>
<w:r><w:t xml:space="preserve">the rivers and lakes pike, pickerel, white fish and sturgeon</w:t></w:r>
</w:p>
<w:p>
<w:pPr><w:pStyle w:val="Normal"/></w:pPr>
<w:r><w:t xml:space="preserve">supply food for the natives, and the brook trout is found in</w:t></w:r>
</w:p>
<w:p>
<w:pPr><w:pStyle w:val="Normal"/></w:pPr>
<w:r><w:t xml:space="preserve">the small mountain streams.  The turtle and frog also appear.</w:t></w:r>
</w:p>
<w:p>
<w:pPr><w:pStyle w:val="Normal"/></w:pPr>
<w:r><w:t xml:space="preserve">Flora.--In central and northern Alberta the opening spring</w:t></w:r>
</w:p>
<w:p>
<w:pPr><w:pStyle w:val="Normal"/></w:pPr>
<w:r><w:t xml:space="preserve">brings in the prairie anemone, the avens and other early</w:t></w:r>
</w:p>
<w:p>
<w:pPr><w:pStyle w:val="Normal"/></w:pPr>
<w:r><w:t xml:space="preserve">flowers.  The advancing summer introduces many flowers of the</w:t></w:r>
</w:p>
<w:p>
<w:pPr><w:pStyle w:val="Normal"/></w:pPr>
<w:r><w:t xml:space="preserve">sunflower family, until in August the plains are one blaze of</w:t></w:r>
</w:p>
<w:p>
<w:pPr><w:pStyle w:val="Normal"/></w:pPr>
<w:r><w:t xml:space="preserve">yellow and purple.  The southern part of Alberta is covered</w:t></w:r>
</w:p>
<w:p>
<w:pPr><w:pStyle w:val="Normal"/></w:pPr>
<w:r><w:t xml:space="preserve">by a short grass, very nutritive, but drying up in the middle</w:t></w:r>
</w:p>
<w:p>
<w:pPr><w:pStyle w:val="Normal"/></w:pPr>
<w:r><w:t xml:space="preserve">of summer until the whole prairie is brown and unattractive.</w:t></w:r>
</w:p>
<w:p>
<w:pPr><w:pStyle w:val="Normal"/></w:pPr>
<w:r><w:t xml:space="preserve">The trees in the wooded sections of the province are seen</w:t></w:r>
</w:p>
<w:p>
<w:pPr><w:pStyle w:val="Normal"/></w:pPr>
<w:r><w:t xml:space="preserve">in clumps and belts on the hill sides.  These are largely</w:t></w:r>
</w:p>
<w:p>
<w:pPr><w:pStyle w:val="Normal"/></w:pPr>
<w:r><w:t xml:space="preserve">deciduous.  On the north side of the Saskatchewan river</w:t></w:r>
</w:p>
<w:p>
<w:pPr><w:pStyle w:val="Normal"/></w:pPr>
<w:r><w:t xml:space="preserve">forests prevail for scores and even hundreds of miles.  They</w:t></w:r>
</w:p>
<w:p>
<w:pPr><w:pStyle w:val="Normal"/></w:pPr>
<w:r><w:t xml:space="preserve">contain the poplar Or aspen (Populus tremuloides), balsam</w:t></w:r>
</w:p>
<w:p>
<w:pPr><w:pStyle w:val="Normal"/></w:pPr>
<w:r><w:t xml:space="preserve">poplar (Populus balsamifera), and paper or canoe birch</w:t></w:r>
</w:p>
<w:p>
<w:pPr><w:pStyle w:val="Normal"/></w:pPr>
<w:r><w:t xml:space="preserve">(Fetula papyrifera.) The Coniferae are found northward</w:t></w:r>
</w:p>
<w:p>
<w:pPr><w:pStyle w:val="Normal"/></w:pPr>
<w:r><w:t xml:space="preserve">and in the mountain valleys.  Some of these are: Jack pine</w:t></w:r>
</w:p>
<w:p>
<w:pPr><w:pStyle w:val="Normal"/></w:pPr>
<w:r><w:t xml:space="preserve">(Pinus Banksiana), Rocky Mountain pine (Pinus flexilis),</w:t></w:r>
</w:p>
<w:p>
<w:pPr><w:pStyle w:val="Normal"/></w:pPr>
<w:r><w:t xml:space="preserve">black pine (Pinus Murrayana), white spruce (Picea alba),</w:t></w:r>
</w:p>
<w:p>
<w:pPr><w:pStyle w:val="Normal"/></w:pPr>
<w:r><w:t xml:space="preserve">black spruce (Picea nigra), Engelman&apos;s spruce (Picea</w:t></w:r>
</w:p>
<w:p>
<w:pPr><w:pStyle w:val="Normal"/></w:pPr>
<w:r><w:t xml:space="preserve">Engelmanni), mountain balsam (Abies subalpina), Douglas fir</w:t></w:r>
</w:p>
<w:p>
<w:pPr><w:pStyle w:val="Normal"/></w:pPr>
<w:r><w:t xml:space="preserve">(Pseudotsuga Douglasii), mountain larch (Larix Lyallis.)</w:t></w:r>
</w:p>
<w:p>
<w:pPr><w:pStyle w:val="Normal"/></w:pPr>
<w:r><w:t xml:space="preserve">Population.--By the census of 1906 the population</w:t></w:r>
</w:p>
<w:p>
<w:pPr><w:pStyle w:val="Normal"/></w:pPr>
<w:r><w:t xml:space="preserve">of Alberta was found to be 185,412.  It has grown from</w:t></w:r>
</w:p>
<w:p>
<w:pPr><w:pStyle w:val="Normal"/></w:pPr>
<w:r><w:t xml:space="preserve">73,022 in 1901 (the area of Alberta being then slightly</w:t></w:r>
</w:p>
<w:p>
<w:pPr><w:pStyle w:val="Normal"/></w:pPr>
<w:r><w:t xml:space="preserve">different).  The basis of the population is Canadian, and</w:t></w:r>
</w:p>
<w:p>
<w:pPr><w:pStyle w:val="Normal"/></w:pPr>
<w:r><w:t xml:space="preserve">the immigration has been chiefly from (1) the British Isles,</w:t></w:r>
</w:p>
<w:p>
<w:pPr><w:pStyle w:val="Normal"/></w:pPr>
<w:r><w:t xml:space="preserve">(2) United States, (3) continent of Europe (chiefly Austria,</w:t></w:r>
</w:p>
<w:p>
<w:pPr><w:pStyle w:val="Normal"/></w:pPr>
<w:r><w:t xml:space="preserve">Hungary and Russia).  Of the population in 1901, 17,245</w:t></w:r>
</w:p>
<w:p>
<w:pPr><w:pStyle w:val="Normal"/></w:pPr>
<w:r><w:t xml:space="preserve">had immigrated thither from the three mentioned sources.</w:t></w:r>
</w:p>
<w:p>
<w:pPr><w:pStyle w:val="Normal"/></w:pPr>
<w:r><w:t xml:space="preserve">The following table shows the percentages of origins:--</w:t></w:r>
</w:p>
<w:p>
<w:pPr><w:pStyle w:val="Normal"/></w:pPr>
<w:r><w:t xml:space="preserve">1901.</w:t></w:r>
</w:p>
<w:p>
<w:pPr><w:pStyle w:val="Normal"/></w:pPr>
<w:r><w:t xml:space="preserve">Canadian and native born   .   .   .   54  %</w:t></w:r>
</w:p>
<w:p>
<w:pPr><w:pStyle w:val="Normal"/></w:pPr>
<w:r><w:t xml:space="preserve">The British Isles  .   .   .   .   .    6.8%</w:t></w:r>
</w:p>
<w:p>
<w:pPr><w:pStyle w:val="Normal"/></w:pPr>
<w:r><w:t xml:space="preserve">United States  .   .   .   .   .   .   16.6%</w:t></w:r>
</w:p>
<w:p>
<w:pPr><w:pStyle w:val="Normal"/></w:pPr>
<w:r><w:t xml:space="preserve">Continent of Europe    .   .   .   .   24.4%</w:t></w:r>
</w:p>
<w:p>
<w:pPr><w:pStyle w:val="Normal"/></w:pPr>
<w:r><w:t xml:space="preserve">Of the Indian and Indian half-breed population there were in</w:t></w:r>
</w:p>
<w:p>
<w:pPr><w:pStyle w:val="Normal"/></w:pPr>
<w:r><w:t xml:space="preserve">1901, 14,669 of the former and 11,635 of the latter.  The Indians</w:t></w:r>
</w:p>
<w:p>
<w:pPr><w:pStyle w:val="Normal"/></w:pPr>
<w:r><w:t xml:space="preserve">of central Alberta are chiefly plain Crees, a tribe of Algonquin</w:t></w:r>
</w:p>
<w:p>
<w:pPr><w:pStyle w:val="Normal"/></w:pPr>
<w:r><w:t xml:space="preserve">stock.  In southern Alberta are several thousands of Indians on</w:t></w:r>
</w:p>
<w:p>
<w:pPr><w:pStyle w:val="Normal"/></w:pPr>
<w:r><w:t xml:space="preserve">reserves south and west of Calgary, consisting of the Blackfoots</w:t></w:r>
</w:p>
<w:p>
<w:pPr><w:pStyle w:val="Normal"/></w:pPr>
<w:r><w:t xml:space="preserve">of Algonquin stock, Sarcees, Piegans and a few Assiniboins.</w:t></w:r>
</w:p>
<w:p>
<w:pPr><w:pStyle w:val="Normal"/></w:pPr>
<w:r><w:t xml:space="preserve">The chief cities and towns of Alberta are Edmonton (11,167), Calgary</w:t></w:r>
</w:p>
<w:p>
<w:pPr><w:pStyle w:val="Normal"/></w:pPr>
<w:r><w:t xml:space="preserve">(i1,967), Medicine IIat (3020), Lethbiidge (2948) and Strathcona (2927).</w:t></w:r>
</w:p>
<w:p>
<w:pPr><w:pStyle w:val="Normal"/></w:pPr>
<w:r><w:t xml:space="preserve">Industries.--- The chief industries of the people are</w:t></w:r>
</w:p>
<w:p>
<w:pPr><w:pStyle w:val="Normal"/></w:pPr>
<w:r><w:t xml:space="preserve">farming and ranching.  Cattle, horses and sheep are largely</w:t></w:r>
</w:p>
<w:p>
<w:pPr><w:pStyle w:val="Normal"/></w:pPr>
<w:r><w:t xml:space="preserve">reared in the southern prairie region on ranches or smaller</w:t></w:r>
</w:p>
<w:p>
<w:pPr><w:pStyle w:val="Normal"/></w:pPr>
<w:r><w:t xml:space="preserve">holdings.  In this region irrigation is widely used.  Red</w:t></w:r>
</w:p>
<w:p>
<w:pPr><w:pStyle w:val="Normal"/></w:pPr>
<w:r><w:t xml:space="preserve">winter wheat is now produced to a considerable degree.  In the</w:t></w:r>
</w:p>
<w:p>
<w:pPr><w:pStyle w:val="Normal"/></w:pPr>
<w:r><w:t xml:space="preserve">town of Raymond is a large beet sugar manufactory, and in the</w:t></w:r>
</w:p>
<w:p>
<w:pPr><w:pStyle w:val="Normal"/></w:pPr>
<w:r><w:t xml:space="preserve">vicinity great quantities of beets are grown by irrigation.</w:t></w:r>
</w:p>
<w:p>
<w:pPr><w:pStyle w:val="Normal"/></w:pPr>
<w:r><w:t xml:space="preserve">In central Alberta coarse grains---oats and barley----and some</w:t></w:r>
</w:p>
<w:p>
<w:pPr><w:pStyle w:val="Normal"/></w:pPr>
<w:r><w:t xml:space="preserve">wheat are grown, in conjunction with mixed farming.  While</w:t></w:r>
</w:p>
<w:p>
<w:pPr><w:pStyle w:val="Normal"/></w:pPr>
<w:r><w:t xml:space="preserve">washing out the sands of the North Saskatchewan for gold is</w:t></w:r>
</w:p>
<w:p>
<w:pPr><w:pStyle w:val="Normal"/></w:pPr>
<w:r><w:t xml:space="preserve">still somewhat resorted to, the only real mining in Alberta</w:t></w:r>
</w:p>
<w:p>
<w:pPr><w:pStyle w:val="Normal"/></w:pPr>
<w:r><w:t xml:space="preserve">is that for coal.  Vast beds of coal are found extending for</w:t></w:r>
</w:p>
<w:p>
<w:pPr><w:pStyle w:val="Normal"/></w:pPr>
<w:r><w:t xml:space="preserve">hundreds of miles, a short distance below the surface of the</w:t></w:r>
</w:p>
<w:p>
<w:pPr><w:pStyle w:val="Normal"/></w:pPr>
<w:r><w:t xml:space="preserve">plains.  The coal belongs to the Cretaceous beds, and while</w:t></w:r>
</w:p>
<w:p>
<w:pPr><w:pStyle w:val="Normal"/></w:pPr>
<w:r><w:t xml:space="preserve">not so heavy as that of the Coal Measures is of excellent</w:t></w:r>
</w:p>
<w:p>
<w:pPr><w:pStyle w:val="Normal"/></w:pPr>
<w:r><w:t xml:space="preserve">quality.  In the valley of the Bow river, alongside the Canadian</w:t></w:r>
</w:p>
<w:p>
<w:pPr><w:pStyle w:val="Normal"/></w:pPr>
<w:r><w:t xml:space="preserve">Pacific railway, valuable beds of anthracite coal ale worked, and</w:t></w:r>
</w:p>
<w:p>
<w:pPr><w:pStyle w:val="Normal"/></w:pPr>
<w:r><w:t xml:space="preserve">the coal is carried by railway as far east as Winnipeg.</w:t></w:r>
</w:p>
<w:p>
<w:pPr><w:pStyle w:val="Normal"/></w:pPr>
<w:r><w:t xml:space="preserve">The usual coal deposits of Alberta are of bituminous or</w:t></w:r>
</w:p>
<w:p>
<w:pPr><w:pStyle w:val="Normal"/></w:pPr>
<w:r><w:t xml:space="preserve">semi-bituminous coal.  These are largely worked at Lethbridge</w:t></w:r>
</w:p>
<w:p>
<w:pPr><w:pStyle w:val="Normal"/></w:pPr>
<w:r><w:t xml:space="preserve">in southern Alberta and Edmonton in the centre of the</w:t></w:r>
</w:p>
<w:p>
<w:pPr><w:pStyle w:val="Normal"/></w:pPr>
<w:r><w:t xml:space="preserve">province.  Many other parts of the province have pits for private</w:t></w:r>
</w:p>
<w:p>
<w:pPr><w:pStyle w:val="Normal"/></w:pPr>
<w:r><w:t xml:space="preserve">use.  The Athabasca river region, as well as localities far</w:t></w:r>
</w:p>
<w:p>
<w:pPr><w:pStyle w:val="Normal"/></w:pPr>
<w:r><w:t xml:space="preserve">north on the Mackenzie river, has decided indications of</w:t></w:r>
</w:p>
<w:p>
<w:pPr><w:pStyle w:val="Normal"/></w:pPr>
<w:r><w:t xml:space="preserve">petroleum, though it is not yet developed.  Natural gas has</w:t></w:r>
</w:p>
<w:p>
<w:pPr><w:pStyle w:val="Normal"/></w:pPr>
<w:r><w:t xml:space="preserve">been found at several points.  The most notable gas discovery</w:t></w:r>
</w:p>
<w:p>
<w:pPr><w:pStyle w:val="Normal"/></w:pPr>
<w:r><w:t xml:space="preserve">is that at Medicine Hat, which has wells with unlimited</w:t></w:r>
</w:p>
<w:p>
<w:pPr><w:pStyle w:val="Normal"/></w:pPr>
<w:r><w:t xml:space="preserve">quantities.  The gas is excellent, is used for lighting</w:t></w:r>
</w:p>
<w:p>
<w:pPr><w:pStyle w:val="Normal"/></w:pPr>
<w:r><w:t xml:space="preserve">the town, supplies light and fuel for the people, and a</w:t></w:r>
</w:p>
<w:p>
<w:pPr><w:pStyle w:val="Normal"/></w:pPr>
<w:r><w:t xml:space="preserve">number of industries are using the gas for manufacturing.</w:t></w:r>
</w:p>
<w:p>
<w:pPr><w:pStyle w:val="Normal"/></w:pPr>
<w:r><w:t xml:space="preserve">Communications.---For transportation the North Saskatchewan is</w:t></w:r>
</w:p>
<w:p>
<w:pPr><w:pStyle w:val="Normal"/></w:pPr>
<w:r><w:t xml:space="preserve">to some extent depended on for carrying freight by steamboats,</w:t></w:r>
</w:p>
<w:p>
<w:pPr><w:pStyle w:val="Normal"/></w:pPr>
<w:r><w:t xml:space="preserve">but railways are widespread in the province.  The Canadian</w:t></w:r>
</w:p>
<w:p>
<w:pPr><w:pStyle w:val="Normal"/></w:pPr>
<w:r><w:t xml:space="preserve">Pacific railway has its main line running from east to west</w:t></w:r>
</w:p>
<w:p>
<w:pPr><w:pStyle w:val="Normal"/></w:pPr>
<w:r><w:t xml:space="preserve">chiefly between 50 and 51 deg.  N. Over this line passesanenormous</w:t></w:r>
</w:p>
<w:p>
<w:pPr><w:pStyle w:val="Normal"/></w:pPr>
<w:r><w:t xml:space="preserve">trade from the Atlantic to the Pacific Ocean---the railway</w:t></w:r>
</w:p>
<w:p>
<w:pPr><w:pStyle w:val="Normal"/></w:pPr>
<w:r><w:t xml:space="preserve">with its ``Empress&apos;&apos; steamers on the Pacific and also on the</w:t></w:r>
</w:p>
<w:p>
<w:pPr><w:pStyle w:val="Normal"/></w:pPr>
<w:r><w:t xml:space="preserve">Atlantic Ocean claiming to have as its termini Liverpool and</w:t></w:r>
</w:p>
<w:p>
<w:pPr><w:pStyle w:val="Normal"/></w:pPr>
<w:r><w:t xml:space="preserve">Yokohama.  A branch line of the Canadian Pacific railway runs</w:t></w:r>
</w:p>
<w:p>
<w:pPr><w:pStyle w:val="Normal"/></w:pPr>
<w:r><w:t xml:space="preserve">from Medicine Hat between 49 deg.  and 50 deg.  N., passing through</w:t></w:r>
</w:p>
<w:p>
<w:pPr><w:pStyle w:val="Normal"/></w:pPr>
<w:r><w:t xml:space="preserve">the Crow&apos;s Nest Pass of the Rocky Mountains and carrying on</w:t></w:r>
</w:p>
<w:p>
<w:pPr><w:pStyle w:val="Normal"/></w:pPr>
<w:r><w:t xml:space="preserve">trade with British Columbia.  Another branch from Calgary runs</w:t></w:r>
</w:p>
<w:p>
<w:pPr><w:pStyle w:val="Normal"/></w:pPr>
<w:r><w:t xml:space="preserve">southward to Macleod, and to Lethbridge there comes from the</w:t></w:r>
</w:p>
<w:p>
<w:pPr><w:pStyle w:val="Normal"/></w:pPr>
<w:r><w:t xml:space="preserve">south a branch cf the Great Northern railway of the United</w:t></w:r>
</w:p>
<w:p>
<w:pPr><w:pStyle w:val="Normal"/></w:pPr>
<w:r><w:t xml:space="preserve">States, connecting with the state of Montana.  From Calgary</w:t></w:r>
</w:p>
<w:p>
<w:pPr><w:pStyle w:val="Normal"/></w:pPr>
<w:r><w:t xml:space="preserve">to Edmontonnorthward runs a line under the control of the</w:t></w:r>
</w:p>
<w:p>
<w:pPr><w:pStyle w:val="Normal"/></w:pPr>
<w:r><w:t xml:space="preserve">Canadian Pacific railway.  From this railway also run, eastward</w:t></w:r>
</w:p>
<w:p>
<w:pPr><w:pStyle w:val="Normal"/></w:pPr>
<w:r><w:t xml:space="preserve">from Lacombe and Wetaskiwin, branch lines to complete the</w:t></w:r>
</w:p>
<w:p>
<w:pPr><w:pStyle w:val="Normal"/></w:pPr>
<w:r><w:t xml:space="preserve">system.  In 1906 tue new line of the Canadian Northern</w:t></w:r>
</w:p>
<w:p>
<w:pPr><w:pStyle w:val="Normal"/></w:pPr>
<w:r><w:t xml:space="preserve">railway was opened, connecting Winnipeg, 1000 m. to the</w:t></w:r>
</w:p>
<w:p>
<w:pPr><w:pStyle w:val="Normal"/></w:pPr>
<w:r><w:t xml:space="preserve">east, along the NUrth Saskatchewan river, with Edmonton.</w:t></w:r>
</w:p>
<w:p>
<w:pPr><w:pStyle w:val="Normal"/></w:pPr>
<w:r><w:t xml:space="preserve">The Grand Trunk Pacific railway, backed by the Canadian</w:t></w:r>
</w:p>
<w:p>
<w:pPr><w:pStyle w:val="Normal"/></w:pPr>
<w:r><w:t xml:space="preserve">government, forms a new transcontinental line; the prairie</w:t></w:r>
</w:p>
<w:p>
<w:pPr><w:pStyle w:val="Normal"/></w:pPr>
<w:r><w:t xml:space="preserve">section from Winnipeg to Edmonton was in 1908 under contract.</w:t></w:r>
</w:p>
<w:p>
<w:pPr><w:pStyle w:val="Normal"/></w:pPr>
<w:r><w:t xml:space="preserve">Administration, &amp;c.---The local government of Alberta is</w:t></w:r>
</w:p>
<w:p>
<w:pPr><w:pStyle w:val="Normal"/></w:pPr>
<w:r><w:t xml:space="preserve">carried on by a provincial organization resembling that of</w:t></w:r>
</w:p>
<w:p>
<w:pPr><w:pStyle w:val="Normal"/></w:pPr>
<w:r><w:t xml:space="preserve">the other Canadian provinces.  The capital of the province</w:t></w:r>
</w:p>
<w:p>
<w:pPr><w:pStyle w:val="Normal"/></w:pPr>
<w:r><w:t xml:space="preserve">is Edmonton, and here reside the lieutenant-governor and</w:t></w:r>
</w:p>
<w:p>
<w:pPr><w:pStyle w:val="Normal"/></w:pPr>
<w:r><w:t xml:space="preserve">cabinet.  The legislature consists of one house---the Legislative</w:t></w:r>
</w:p>
<w:p>
<w:pPr><w:pStyle w:val="Normal"/></w:pPr>
<w:r><w:t xml:space="preserve">Assembly----of twenty-five members.  Responsible government after</w:t></w:r>
</w:p>
<w:p>
<w:pPr><w:pStyle w:val="Normal"/></w:pPr>
<w:r><w:t xml:space="preserve">the British model is followed, and the revenue is chiefly derived</w:t></w:r>
</w:p>
<w:p>
<w:pPr><w:pStyle w:val="Normal"/></w:pPr>
<w:r><w:t xml:space="preserve">from grants from the Dominion government.  Alberta has a system</w:t></w:r>
</w:p>
<w:p>
<w:pPr><w:pStyle w:val="Normal"/></w:pPr>
<w:r><w:t xml:space="preserve">of municipal government similar to that of the other provinces.</w:t></w:r>
</w:p>
<w:p>
<w:pPr><w:pStyle w:val="Normal"/></w:pPr>
<w:r><w:t xml:space="preserve">Education is given by a public-school system, which, while nominally</w:t></w:r>
</w:p>
<w:p>
<w:pPr><w:pStyle w:val="Normal"/></w:pPr>
<w:r><w:t xml:space="preserve">providing for separate schools for Catholics and Protestants,</w:t></w:r>
</w:p>
<w:p>
<w:pPr><w:pStyle w:val="Normal"/></w:pPr>
<w:r><w:t xml:space="preserve">makes it practically impossible at most points to carry on such</w:t></w:r>
</w:p>
<w:p>
<w:pPr><w:pStyle w:val="Normal"/></w:pPr>
<w:r><w:t xml:space="preserve">schools.  A normal school is situated at Calgary.  There is a</w:t></w:r>
</w:p>
<w:p>
<w:pPr><w:pStyle w:val="Normal"/></w:pPr>
<w:r><w:t xml:space="preserve">college for secondary education in Calgary and another in Edmonton.</w:t></w:r>
</w:p>
<w:p>
<w:pPr><w:pStyle w:val="Normal"/></w:pPr>
<w:r><w:t xml:space="preserve">The following are the leading denominations in Alberta:--</w:t></w:r>
</w:p>
<w:p>
<w:pPr><w:pStyle w:val="Normal"/></w:pPr>
<w:r><w:t xml:space="preserve">1901.</w:t></w:r>
</w:p>
<w:p>
<w:pPr><w:pStyle w:val="Normal"/></w:pPr>
<w:r><w:t xml:space="preserve">Roman Catholics .   .   .   .  12,957</w:t></w:r>
</w:p>
<w:p>
<w:pPr><w:pStyle w:val="Normal"/></w:pPr>
<w:r><w:t xml:space="preserve">Presbyterians   .   .   .   .  10,655</w:t></w:r>
</w:p>
<w:p>
<w:pPr><w:pStyle w:val="Normal"/></w:pPr>
<w:r><w:t xml:space="preserve">Methodists  .   .   .   .   .   9,623</w:t></w:r>
</w:p>
<w:p>
<w:pPr><w:pStyle w:val="Normal"/></w:pPr>
<w:r><w:t xml:space="preserve">Church of England   .   .   .   8,888</w:t></w:r>
</w:p>
<w:p>
<w:pPr><w:pStyle w:val="Normal"/></w:pPr>
<w:r><w:t xml:space="preserve">Lutherans   .   .   .   .   .   5,810</w:t></w:r>
</w:p>
<w:p>
<w:pPr><w:pStyle w:val="Normal"/></w:pPr>
<w:r><w:t xml:space="preserve">Greek Church    .   .   .   .   4,618</w:t></w:r>
</w:p>
<w:p>
<w:pPr><w:pStyle w:val="Normal"/></w:pPr>
<w:r><w:t xml:space="preserve">Mormons .   .   .   .   .   .   3,212</w:t></w:r>
</w:p>
<w:p>
<w:pPr><w:pStyle w:val="Normal"/></w:pPr>
<w:r><w:t xml:space="preserve">Baptists    .   .   .   .   .   2,722</w:t></w:r>
</w:p>
<w:p>
<w:pPr><w:pStyle w:val="Normal"/></w:pPr>
<w:r><w:t xml:space="preserve">The Mormons of Alberta are in the most southerly part of the</w:t></w:r>
</w:p>
<w:p>
<w:pPr><w:pStyle w:val="Normal"/></w:pPr>
<w:r><w:t xml:space="preserve">province, and are a colony from the Mormon settlements in Utah,</w:t></w:r>
</w:p>
<w:p>
<w:pPr><w:pStyle w:val="Normal"/></w:pPr>
<w:r><w:t xml:space="preserve">U.S. On coming to Canada they were given lands by the Dominion of</w:t></w:r>
</w:p>
<w:p>
<w:pPr><w:pStyle w:val="Normal"/></w:pPr>
<w:r><w:t xml:space="preserve">Canada.  The organization adopted in Utah among the Mormons</w:t></w:r>
</w:p>
<w:p>
<w:pPr><w:pStyle w:val="Normal"/></w:pPr>
<w:r><w:t xml:space="preserve">is found also in Alberta, but the Canadian Mormons profess</w:t></w:r>
</w:p>
<w:p>
<w:pPr><w:pStyle w:val="Normal"/></w:pPr>
<w:r><w:t xml:space="preserve">to have received a later revelation condemning polygamy.</w:t></w:r>
</w:p>
<w:p>
<w:pPr><w:pStyle w:val="Normal"/></w:pPr>
<w:r><w:t xml:space="preserve">History.---The present province of Alberta as far north as the</w:t></w:r>
</w:p>
<w:p>
<w:pPr><w:pStyle w:val="Normal"/></w:pPr>
<w:r><w:t xml:space="preserve">height of land (53 deg.  N.) was from the time of the incorporation</w:t></w:r>
</w:p>
<w:p>
<w:pPr><w:pStyle w:val="Normal"/></w:pPr>
<w:r><w:t xml:space="preserve">of the Hudson&apos;s Bay Company (1670) a part of Rupert&apos;s Land.</w:t></w:r>
</w:p>
<w:p>
<w:pPr><w:pStyle w:val="Normal"/></w:pPr>
<w:r><w:t xml:space="preserve">After the discovery of the north-west by the French in 1731</w:t></w:r>
</w:p>
<w:p>
<w:pPr><w:pStyle w:val="Normal"/></w:pPr>
<w:r><w:t xml:space="preserve">and succeeding years the prairies of the west were occupied by</w:t></w:r>
</w:p>
<w:p>
<w:pPr><w:pStyle w:val="Normal"/></w:pPr>
<w:r><w:t xml:space="preserve">them, and Fort La Jonquiere was established near the present</w:t></w:r>
</w:p>
<w:p>
<w:pPr><w:pStyle w:val="Normal"/></w:pPr>
<w:r><w:t xml:space="preserve">city of Calgary (1752).  The North-West Company of Montreal</w:t></w:r>
</w:p>
<w:p>
<w:pPr><w:pStyle w:val="Normal"/></w:pPr>
<w:r><w:t xml:space="preserve">occupied the northern part of Alberta district before the</w:t></w:r>
</w:p>
<w:p>
<w:pPr><w:pStyle w:val="Normal"/></w:pPr>
<w:r><w:t xml:space="preserve">Hudson&apos;s Bay Company succeeded in coming from Hudson Bay to</w:t></w:r>
</w:p>
<w:p>
<w:pPr><w:pStyle w:val="Normal"/></w:pPr>
<w:r><w:t xml:space="preserve">take possession of it.  The first hold of the Athabasca region</w:t></w:r>
</w:p>
<w:p>
<w:pPr><w:pStyle w:val="Normal"/></w:pPr>
<w:r><w:t xml:space="preserve">was gained by Peter Pond, who, on behalfofthe North-West</w:t></w:r>
</w:p>
<w:p>
<w:pPr><w:pStyle w:val="Normal"/></w:pPr>
<w:r><w:t xml:space="preserve">Company of Montreal, built Fort Athabasca on river La Biche in</w:t></w:r>
</w:p>
<w:p>
<w:pPr><w:pStyle w:val="Normal"/></w:pPr>
<w:r><w:t xml:space="preserve">1778.  Roderick Mackenzie, cousin of Sir Alexander Mackenzie,</w:t></w:r>
</w:p>
<w:p>
<w:pPr><w:pStyle w:val="Normal"/></w:pPr>
<w:r><w:t xml:space="preserve">built Fort Chipewyan on Lake Athabasca in 1788.  By way of</w:t></w:r>
</w:p>
<w:p>
<w:pPr><w:pStyle w:val="Normal"/></w:pPr>
<w:r><w:t xml:space="preserve">the North Saskatchewan river Alexander Mackenzie crossed the</w:t></w:r>
</w:p>
<w:p>
<w:pPr><w:pStyle w:val="Normal"/></w:pPr>
<w:r><w:t xml:space="preserve">height of land, and proceeding northward discovered the river</w:t></w:r>
</w:p>
<w:p>
<w:pPr><w:pStyle w:val="Normal"/></w:pPr>
<w:r><w:t xml:space="preserve">which bears his name, and also the Arctic Sea. Afterward</w:t></w:r>
</w:p>
<w:p>
<w:pPr><w:pStyle w:val="Normal"/></w:pPr>
<w:r><w:t xml:space="preserve">going westward from Lake Athabasca and through the Peace</w:t></w:r>
</w:p>
<w:p>
<w:pPr><w:pStyle w:val="Normal"/></w:pPr>
<w:r><w:t xml:space="preserve">river, he reached the Pacific Ocean, being the first white</w:t></w:r>
</w:p>
<w:p>
<w:pPr><w:pStyle w:val="Normal"/></w:pPr>
<w:r><w:t xml:space="preserve">man to cross the North American continent, north of Mexico.</w:t></w:r>
</w:p>
<w:p>
<w:pPr><w:pStyle w:val="Normal"/></w:pPr>
<w:r><w:t xml:space="preserve">As part of the North-West Territories the&apos;district of</w:t></w:r>
</w:p>
<w:p>
<w:pPr><w:pStyle w:val="Normal"/></w:pPr>
<w:r><w:t xml:space="preserve">Alberta was organized in 1875.  Additional privileges and</w:t></w:r>
</w:p>
<w:p>
<w:pPr><w:pStyle w:val="Normal"/></w:pPr>
<w:r><w:t xml:space="preserve">a locallegislature were added from time to time.  At length</w:t></w:r>
</w:p>
<w:p>
<w:pPr><w:pStyle w:val="Normal"/></w:pPr>
<w:r><w:t xml:space="preserve">in 1905 the district of Alberta was enlarged and the present</w:t></w:r>
</w:p>
<w:p>
<w:pPr><w:pStyle w:val="Normal"/></w:pPr>
<w:r><w:t xml:space="preserve">province formed by the Dominion parliament. (G. BR.)</w:t></w:r>
</w:p>
<w:p>
<w:pPr><w:pStyle w:val="Normal"/></w:pPr>
<w:r><w:t xml:space="preserve">ALBERT EDWARD NYANZA, a lake of Central Africa, the</w:t></w:r>
</w:p>
<w:p>
<w:pPr><w:pStyle w:val="Normal"/></w:pPr>
<w:r><w:t xml:space="preserve">southern of the two western reservoirs of the Nile.  It lies</w:t></w:r>
</w:p>
<w:p>
<w:pPr><w:pStyle w:val="Normal"/></w:pPr>
<w:r><w:t xml:space="preserve">in the Albertine rift-valley between 0 deg.  8&apos; and 0 deg.  40&apos; S.</w:t></w:r>
</w:p>
<w:p>
<w:pPr><w:pStyle w:val="Normal"/></w:pPr>
<w:r><w:t xml:space="preserve">and 29 deg.  28&apos; and 29 deg.  52&apos; E., at an elevation of 3004 ft.</w:t></w:r>
</w:p>
<w:p>
<w:pPr><w:pStyle w:val="Normal"/></w:pPr>
<w:r><w:t xml:space="preserve">above the sea.  It is roughly oval in shape and has no deep</w:t></w:r>
</w:p>
<w:p>
<w:pPr><w:pStyle w:val="Normal"/></w:pPr>
<w:r><w:t xml:space="preserve">indentations.  On its N.E. side it is connected by a winding</w:t></w:r>
</w:p>
<w:p>
<w:pPr><w:pStyle w:val="Normal"/></w:pPr>
<w:r><w:t xml:space="preserve">channel, 25 m. long and from a quarter of a mile to a mile</w:t></w:r>
</w:p>
<w:p>
<w:pPr><w:pStyle w:val="Normal"/></w:pPr>
<w:r><w:t xml:space="preserve">wide, flowing between high banks, with a smaller sheet of</w:t></w:r>
</w:p>
<w:p>
<w:pPr><w:pStyle w:val="Normal"/></w:pPr>
<w:r><w:t xml:space="preserve">water, Lake Dweru, which extends north of the equator.</w:t></w:r>
</w:p>
<w:p>
<w:pPr><w:pStyle w:val="Normal"/></w:pPr>
<w:r><w:t xml:space="preserve">Albert Edward Nyanza has a length of 44 m. and a breadth of</w:t></w:r>
</w:p>
<w:p>
<w:pPr><w:pStyle w:val="Normal"/></w:pPr>
<w:r><w:t xml:space="preserve">32 m. (maximum measurement) . Dweru is about 20 m. long and</w:t></w:r>
</w:p>
<w:p>
<w:pPr><w:pStyle w:val="Normal"/></w:pPr>
<w:r><w:t xml:space="preserve">10 across at its widest part.  The area of the two lakes is</w:t></w:r>
</w:p>
<w:p>
<w:pPr><w:pStyle w:val="Normal"/></w:pPr>
<w:r><w:t xml:space="preserve">approximately 820 sq. m., or about the size of Leicestershire,</w:t></w:r>
</w:p>
<w:p>
<w:pPr><w:pStyle w:val="Normal"/></w:pPr>
<w:r><w:t xml:space="preserve">England.  A swampy plain, traversed by the Ruchuru and other</w:t></w:r>
</w:p>
<w:p>
<w:pPr><w:pStyle w:val="Normal"/></w:pPr>
<w:r><w:t xml:space="preserve">rivers, extends south of the Nyanza and was once covered</w:t></w:r>
</w:p>
<w:p>
<w:pPr><w:pStyle w:val="Normal"/></w:pPr>
<w:r><w:t xml:space="preserve">by its waters.  The plain contains several salt-pans, and</w:t></w:r>
</w:p>
<w:p>
<w:pPr><w:pStyle w:val="Normal"/></w:pPr>
<w:r><w:t xml:space="preserve">at the S.E. corner are numerous geysers.  Along the eastern</w:t></w:r>
</w:p>
<w:p>
<w:pPr><w:pStyle w:val="Normal"/></w:pPr>
<w:r><w:t xml:space="preserve">shore the low land extends to Kamarangu, a point about</w:t></w:r>
</w:p>
<w:p>
<w:pPr><w:pStyle w:val="Normal"/></w:pPr>
<w:r><w:t xml:space="preserve">midway between the south and north ends of the lake, a</w:t></w:r>
</w:p>
<w:p>
<w:pPr><w:pStyle w:val="Normal"/></w:pPr>
<w:r><w:t xml:space="preserve">considerable stretch of ground intervening between the wall</w:t></w:r>
</w:p>
<w:p>
<w:pPr><w:pStyle w:val="Normal"/></w:pPr>
<w:r><w:t xml:space="preserve">of the rift-valley and the water, two terraces being clearly</w:t></w:r>
</w:p>
<w:p>
<w:pPr><w:pStyle w:val="Normal"/></w:pPr>
<w:r><w:t xml:space="preserve">defined.  The euphorbia trees and other vegetation on the</w:t></w:r>
</w:p>
<w:p>
<w:pPr><w:pStyle w:val="Normal"/></w:pPr>
<w:r><w:t xml:space="preserve">lower terrace are of small size and apparently of recent</w:t></w:r>
</w:p>
<w:p>
<w:pPr><w:pStyle w:val="Normal"/></w:pPr>
<w:r><w:t xml:space="preserve">origin.  At some distance from the lake runs a belt of</w:t></w:r>
</w:p>
<w:p>
<w:pPr><w:pStyle w:val="Normal"/></w:pPr>
<w:r><w:t xml:space="preserve">forest.  North of Kamarangu the wall of the valley approaches</w:t></w:r>
</w:p>
<w:p>
<w:pPr><w:pStyle w:val="Normal"/></w:pPr>
<w:r><w:t xml:space="preserve">the water in a series of bluffs some 300 to 350 ft. high.</w:t></w:r>
</w:p>
<w:p>
<w:pPr><w:pStyle w:val="Normal"/></w:pPr>
<w:r><w:t xml:space="preserve">At the N.E. end the hills again recede and the plain widens</w:t></w:r>
</w:p>
<w:p>
<w:pPr><w:pStyle w:val="Normal"/></w:pPr>
<w:r><w:t xml:space="preserve">to ioclude Dweru.  On the west side of the Nyanza the wall of</w:t></w:r>
</w:p>
<w:p>
<w:pPr><w:pStyle w:val="Normal"/></w:pPr>
<w:r><w:t xml:space="preserve">the rift-valley runs close to the lake shore and at the N.W.</w:t></w:r>
</w:p>
<w:p>
<w:pPr><w:pStyle w:val="Normal"/></w:pPr>
<w:r><w:t xml:space="preserve">corner the mountains close in on the water.  North of the</w:t></w:r>
</w:p>
<w:p>
<w:pPr><w:pStyle w:val="Normal"/></w:pPr>
<w:r><w:t xml:space="preserve">lake a high alluvial plain stretches to the southern slopes</w:t></w:r>
</w:p>
<w:p>
<w:pPr><w:pStyle w:val="Normal"/></w:pPr>
<w:r><w:t xml:space="preserve">of the Ruwenzori mountains.  From Ruwenzori a subsidiary</w:t></w:r>
</w:p>
<w:p>
<w:pPr><w:pStyle w:val="Normal"/></w:pPr>
<w:r><w:t xml:space="preserve">range, known as the Kipura mountains, runs due south to the</w:t></w:r>
</w:p>
<w:p>
<w:pPr><w:pStyle w:val="Normal"/></w:pPr>
<w:r><w:t xml:space="preserve">lake shore, where it ends in a low rounded hill.  In general,</w:t></w:r>
</w:p>
<w:p>
<w:pPr><w:pStyle w:val="Normal"/></w:pPr>
<w:r><w:t xml:space="preserve">the plain rises above the lake in a series of bold bluffs,</w:t></w:r>
</w:p>
<w:p>
<w:pPr><w:pStyle w:val="Normal"/></w:pPr>
<w:r><w:t xml:space="preserve">a wide margin of swamp separating them from the water.  The</w:t></w:r>
</w:p>
<w:p>
<w:pPr><w:pStyle w:val="Normal"/></w:pPr>
<w:r><w:t xml:space="preserve">Semliki, the only outlet of the lake, issues from its N.W.</w:t></w:r>
</w:p>
<w:p>
<w:pPr><w:pStyle w:val="Normal"/></w:pPr>
<w:r><w:t xml:space="preserve">end.  Round the north-eastern shore of the lake are numerous</w:t></w:r>
</w:p>
<w:p>
<w:pPr><w:pStyle w:val="Normal"/></w:pPr>
<w:r><w:t xml:space="preserve">crater lakes, many salt, the most remarkable being that of</w:t></w:r>
</w:p>
<w:p>
<w:pPr><w:pStyle w:val="Normal"/></w:pPr>
<w:r><w:t xml:space="preserve">Katwe.  This lake lies west of the Dweru channel and is separated</w:t></w:r>
</w:p>
<w:p>
<w:pPr><w:pStyle w:val="Normal"/></w:pPr>
<w:r><w:t xml:space="preserve">from Albert Edward Nyanza by a ridge of land, not more than 160</w:t></w:r>
</w:p>
<w:p>
<w:pPr><w:pStyle w:val="Normal"/></w:pPr>
<w:r><w:t xml:space="preserve">ft. in breadth.  The sides of this ridge run down steeply to</w:t></w:r>
</w:p>
<w:p>
<w:pPr><w:pStyle w:val="Normal"/></w:pPr>
<w:r><w:t xml:space="preserve">the water on either side.  The waters of the Katwe lake have</w:t></w:r>
</w:p>
<w:p>
<w:pPr><w:pStyle w:val="Normal"/></w:pPr>
<w:r><w:t xml:space="preserve">a beautiful rose colour which becomes crimson in the shadows.</w:t></w:r>
</w:p>
<w:p>
<w:pPr><w:pStyle w:val="Normal"/></w:pPr>
<w:r><w:t xml:space="preserve">The salt is highly prized and is exported to great distances.</w:t></w:r>
</w:p>
<w:p>
<w:pPr><w:pStyle w:val="Normal"/></w:pPr>
<w:r><w:t xml:space="preserve">The main feeder of Albert Edward Nyanza, and western head-stream</w:t></w:r>
</w:p>
<w:p>
<w:pPr><w:pStyle w:val="Normal"/></w:pPr>
<w:r><w:t xml:space="preserve">of the Nile, the Ruchuru, rises on the north side of the</w:t></w:r>
</w:p>
<w:p>
<w:pPr><w:pStyle w:val="Normal"/></w:pPr>
<w:r><w:t xml:space="preserve">volcanoes north of Lake Kivu (see MEUMBIRO.) On reaching the</w:t></w:r>
</w:p>
<w:p>
<w:pPr><w:pStyle w:val="Normal"/></w:pPr>
<w:r><w:t xml:space="preserve">level plain 15 m. from the lake its waters become brackish, and</w:t></w:r>
</w:p>
<w:p>
<w:pPr><w:pStyle w:val="Normal"/></w:pPr>
<w:r><w:t xml:space="preserve">the Vegetation on its banks is scanty.  The reedy marshes near</w:t></w:r>
</w:p>
<w:p>
<w:pPr><w:pStyle w:val="Normal"/></w:pPr>
<w:r><w:t xml:space="preserve">its mouth form a retreat for a primitive race of fishermen.</w:t></w:r>
</w:p>
<w:p>
<w:pPr><w:pStyle w:val="Normal"/></w:pPr>
<w:r><w:t xml:space="preserve">Lake Dweru, the shores of which are generally high, is fed by</w:t></w:r>
</w:p>
<w:p>
<w:pPr><w:pStyle w:val="Normal"/></w:pPr>
<w:r><w:t xml:space="preserve">the streams from the eastern slopes of the Ruwenzori range.</w:t></w:r>
</w:p>
<w:p>
<w:pPr><w:pStyle w:val="Normal"/></w:pPr>
<w:r><w:t xml:space="preserve">One of these, the Mpango, is a larger river than the Ruchuru.</w:t></w:r>
</w:p>
<w:p>
<w:pPr><w:pStyle w:val="Normal"/></w:pPr>
<w:r><w:t xml:space="preserve">The outlet of the Nyanza, the Semliki, and the part plaved</w:t></w:r>
</w:p>
<w:p>
<w:pPr><w:pStyle w:val="Normal"/></w:pPr>
<w:r><w:t xml:space="preserve">by the lake in the Nile system are described under ALBERY NYANZA.</w:t></w:r>
</w:p>
<w:p>
<w:pPr><w:pStyle w:val="Normal"/></w:pPr>
<w:r><w:t xml:space="preserve">A feature of Lake Albert Edward Nyanza is the thick haze which</w:t></w:r>
</w:p>
<w:p>
<w:pPr><w:pStyle w:val="Normal"/></w:pPr>
<w:r><w:t xml:space="preserve">overhangs the water during the dry season, blotting out from</w:t></w:r>
</w:p>
<w:p>
<w:pPr><w:pStyle w:val="Normal"/></w:pPr>
<w:r><w:t xml:space="preserve">view the mountains.  In the rains, vhen the sky is clear, the</w:t></w:r>
</w:p>
<w:p>
<w:pPr><w:pStyle w:val="Normal"/></w:pPr>
<w:r><w:t xml:space="preserve">magnificent panorama of hills encircling the lake on the west</w:t></w:r>
</w:p>
<w:p>
<w:pPr><w:pStyle w:val="Normal"/></w:pPr>
<w:r><w:t xml:space="preserve">and north-west is revealed.  The lake water is clear of a light</w:t></w:r>
</w:p>
<w:p>
<w:pPr><w:pStyle w:val="Normal"/></w:pPr>
<w:r><w:t xml:space="preserve">green colour, and distinctly brackish.  Fish abound, as do</w:t></w:r>
</w:p>
<w:p>
<w:pPr><w:pStyle w:val="Normal"/></w:pPr>
<w:r><w:t xml:space="preserve">waterfowl, crocodiles and, in the southern swamps, hippopotami.</w:t></w:r>
</w:p>
<w:p>
<w:pPr><w:pStyle w:val="Normal"/></w:pPr>
<w:r><w:t xml:space="preserve">In the rainy season the lake is subject to violent storms.</w:t></w:r>
</w:p>
<w:p>
<w:pPr><w:pStyle w:val="Normal"/></w:pPr>
<w:r><w:t xml:space="preserve">The entire area of Albert Edward Nyanza was found, by the</w:t></w:r>
</w:p>
<w:p>
<w:pPr><w:pStyle w:val="Normal"/></w:pPr>
<w:r><w:t xml:space="preserve">work of the Anglo-German Boundary Commission of 1902-1904,</w:t></w:r>
</w:p>
<w:p>
<w:pPr><w:pStyle w:val="Normal"/></w:pPr>
<w:r><w:t xml:space="preserve">to lie within the limits of the sphere of influence of the</w:t></w:r>
</w:p>
<w:p>
<w:pPr><w:pStyle w:val="Normal"/></w:pPr>
<w:r><w:t xml:space="preserve">Congo Free State as defined in the agreement of the 12th</w:t></w:r>
</w:p>
<w:p>
<w:pPr><w:pStyle w:val="Normal"/></w:pPr>
<w:r><w:t xml:space="preserve">of May 1894 between that state and Great Britain.  Dweru</w:t></w:r>
</w:p>
<w:p>
<w:pPr><w:pStyle w:val="Normal"/></w:pPr>
<w:r><w:t xml:space="preserve">was discovered in 1875 by H. M. Stanley, then travelling</w:t></w:r>
</w:p>
<w:p>
<w:pPr><w:pStyle w:val="Normal"/></w:pPr>
<w:r><w:t xml:space="preserve">westward from Uganda, and by him was named Beatrice Gulf in</w:t></w:r>
</w:p>
<w:p>
<w:pPr><w:pStyle w:val="Normal"/></w:pPr>
<w:r><w:t xml:space="preserve">the belief that it was part of Albert Nyanza.  In 1888-1889</w:t></w:r>
</w:p>
<w:p>
<w:pPr><w:pStyle w:val="Normal"/></w:pPr>
<w:r><w:t xml:space="preserve">Stanley, approaching the Nile region from the west, traced the</w:t></w:r>
</w:p>
<w:p>
<w:pPr><w:pStyle w:val="Normal"/></w:pPr>
<w:r><w:t xml:space="preserve">Semliki to its source in Albert Edward Nyanza, which lake he</w:t></w:r>
</w:p>
<w:p>
<w:pPr><w:pStyle w:val="Normal"/></w:pPr>
<w:r><w:t xml:space="preserve">discovered, naming it after Albert Edward, prince of Wales,</w:t></w:r>
</w:p>
<w:p>
<w:pPr><w:pStyle w:val="Normal"/></w:pPr>
<w:r><w:t xml:space="preserve">afterwards Edward VII. Stanley also discovered the connecting</w:t></w:r>
</w:p>
<w:p>
<w:pPr><w:pStyle w:val="Normal"/></w:pPr>
<w:r><w:t xml:space="preserve">channel between the larger lake and Dweru.  The accurate</w:t></w:r>
</w:p>
<w:p>
<w:pPr><w:pStyle w:val="Normal"/></w:pPr>
<w:r><w:t xml:space="preserve">mapping of the lake was mainly the work of British officials</w:t></w:r>
</w:p>
<w:p>
<w:pPr><w:pStyle w:val="Normal"/></w:pPr>
<w:r><w:t xml:space="preserve">and travellers, such as Scott Elliott, Sir F. D. Lugard, Ewart</w:t></w:r>
</w:p>
<w:p>
<w:pPr><w:pStyle w:val="Normal"/></w:pPr>
<w:r><w:t xml:space="preserve">Grogan, J. E. Moore and Sir H. Johnston; while Emin Pasha</w:t></w:r>
</w:p>
<w:p>
<w:pPr><w:pStyle w:val="Normal"/></w:pPr>
<w:r><w:t xml:space="preserve">and Franz Stuhlmann, deputygovernor (1891) of German East</w:t></w:r>
</w:p>
<w:p>
<w:pPr><w:pStyle w:val="Normal"/></w:pPr>
<w:r><w:t xml:space="preserve">Africa, explored its southern shores. (See ALBERT NYANza and</w:t></w:r>
</w:p>
<w:p>
<w:pPr><w:pStyle w:val="Normal"/></w:pPr>
<w:r><w:t xml:space="preserve">NIRE, and the authorities there quoted.) (W. E. G.; F. R. C.)</w:t></w:r>
</w:p>
<w:p>
<w:pPr><w:pStyle w:val="Normal"/></w:pPr>
<w:r><w:t xml:space="preserve">ALBERTI, DOMENICO (c. 1710-1740), Italian musician, is</w:t></w:r>
</w:p>
<w:p>
<w:pPr><w:pStyle w:val="Normal"/></w:pPr>
<w:r><w:t xml:space="preserve">known in musical history as the writer of dozens of sonatas</w:t></w:r>
</w:p>
<w:p>
<w:pPr><w:pStyle w:val="Normal"/></w:pPr>
<w:r><w:t xml:space="preserve">in which the melody is supported from beginning to end by</w:t></w:r>
</w:p>
<w:p>
<w:pPr><w:pStyle w:val="Normal"/></w:pPr>
<w:r><w:t xml:space="preserve">an extremely familiar formula of arpeggio accompaniment,</w:t></w:r>
</w:p>
<w:p>
<w:pPr><w:pStyle w:val="Normal"/></w:pPr>
<w:r><w:t xml:space="preserve">consequently known as the Alberti bass.  He thus shows</w:t></w:r>
</w:p>
<w:p>
<w:pPr><w:pStyle w:val="Normal"/></w:pPr>
<w:r><w:t xml:space="preserve">how advanced was the decay ofpolyphonic sensibility (as a</w:t></w:r>
</w:p>
<w:p>
<w:pPr><w:pStyle w:val="Normal"/></w:pPr>
<w:r><w:t xml:space="preserve">negative preparation for the advent of the sonata-style)</w:t></w:r>
</w:p>
<w:p>
<w:pPr><w:pStyle w:val="Normal"/></w:pPr>
<w:r><w:t xml:space="preserve">already during the lifetime of Bach.  His works have no</w:t></w:r>
</w:p>
<w:p>
<w:pPr><w:pStyle w:val="Normal"/></w:pPr>
<w:r><w:t xml:space="preserve">other special qualities, though it is probable that Mozart&apos;s</w:t></w:r>
</w:p>
<w:p>
<w:pPr><w:pStyle w:val="Normal"/></w:pPr>
<w:r><w:t xml:space="preserve">first violin sonatas, written at the age of seven, were</w:t></w:r>
</w:p>
<w:p>
<w:pPr><w:pStyle w:val="Normal"/></w:pPr>
<w:r><w:t xml:space="preserve">modelled on Alberti in spite of their superior cleverness.</w:t></w:r>
</w:p>
<w:p>
<w:pPr><w:pStyle w:val="Normal"/></w:pPr>
<w:r><w:t xml:space="preserve">ALRERTI, LEONE BATTISTA (1404-1472), Italian painter,</w:t></w:r>
</w:p>
<w:p>
<w:pPr><w:pStyle w:val="Normal"/></w:pPr>
<w:r><w:t xml:space="preserve">poet, philosopher, musician and architect, was born in</w:t></w:r>
</w:p>
<w:p>
<w:pPr><w:pStyle w:val="Normal"/></w:pPr>
<w:r><w:t xml:space="preserve">Venice on the 18th of February 1404.  He was so skilled in</w:t></w:r>
</w:p>
<w:p>
<w:pPr><w:pStyle w:val="Normal"/></w:pPr>
<w:r><w:t xml:space="preserve">Latin verse that a comedy he wrote in his twentieth year,</w:t></w:r>
</w:p>
<w:p>
<w:pPr><w:pStyle w:val="Normal"/></w:pPr>
<w:r><w:t xml:space="preserve">entitled Philodoxius, deceived the younger Aldus, who</w:t></w:r>
</w:p>
<w:p>
<w:pPr><w:pStyle w:val="Normal"/></w:pPr>
<w:r><w:t xml:space="preserve">edited and published it as the genuine work of Lepidus.</w:t></w:r>
</w:p>
<w:p>
<w:pPr><w:pStyle w:val="Normal"/></w:pPr>
<w:r><w:t xml:space="preserve">In music he was reputed one of the first organists of the</w:t></w:r>
</w:p>
<w:p>
<w:pPr><w:pStyle w:val="Normal"/></w:pPr>
<w:r><w:t xml:space="preserve">age.  He held the appointment of canon in the metropolitan</w:t></w:r>
</w:p>
<w:p>
<w:pPr><w:pStyle w:val="Normal"/></w:pPr>
<w:r><w:t xml:space="preserve">church of Florence, and thus had leisure to devote himself to</w:t></w:r>
</w:p>
<w:p>
<w:pPr><w:pStyle w:val="Normal"/></w:pPr>
<w:r><w:t xml:space="preserve">his favourite art.  UIe is generally regarded as one of the</w:t></w:r>
</w:p>
<w:p>
<w:pPr><w:pStyle w:val="Normal"/></w:pPr>
<w:r><w:t xml:space="preserve">restorers of the ancient style of architecture.  At Rome he</w:t></w:r>
</w:p>
<w:p>
<w:pPr><w:pStyle w:val="Normal"/></w:pPr>
<w:r><w:t xml:space="preserve">was employed by Pope Nicholas V. in the restoration of the</w:t></w:r>
</w:p>
<w:p>
<w:pPr><w:pStyle w:val="Normal"/></w:pPr>
<w:r><w:t xml:space="preserve">papal palace and of the foundation of Acqua Vergine, and in</w:t></w:r>
</w:p>
<w:p>
<w:pPr><w:pStyle w:val="Normal"/></w:pPr>
<w:r><w:t xml:space="preserve">the ornamentation of the magnificent fountain of Trevi.  At</w:t></w:r>
</w:p>
<w:p>
<w:pPr><w:pStyle w:val="Normal"/></w:pPr>
<w:r><w:t xml:space="preserve">Mantua he designed the church of Sant&apos; Andrea and at Rimini</w:t></w:r>
</w:p>
<w:p>
<w:pPr><w:pStyle w:val="Normal"/></w:pPr>
<w:r><w:t xml:space="preserve">the celebrated church of San Francesco, which is generally</w:t></w:r>
</w:p>
<w:p>
<w:pPr><w:pStyle w:val="Normal"/></w:pPr>
<w:r><w:t xml:space="preserve">esteemed his finest work.  On a commission from Rucellai he</w:t></w:r>
</w:p>
<w:p>
<w:pPr><w:pStyle w:val="Normal"/></w:pPr>
<w:r><w:t xml:space="preserve">designed the principal facade of the church of Santa Maria</w:t></w:r>
</w:p>
<w:p>
<w:pPr><w:pStyle w:val="Normal"/></w:pPr>
<w:r><w:t xml:space="preserve">Novella in Florence, as well as the family palace in the Via</w:t></w:r>
</w:p>
<w:p>
<w:pPr><w:pStyle w:val="Normal"/></w:pPr>
<w:r><w:t xml:space="preserve">della Scala, now known as the Palazzo Strozzi.  Alberti wrote</w:t></w:r>
</w:p>
<w:p>
<w:pPr><w:pStyle w:val="Normal"/></w:pPr>
<w:r><w:t xml:space="preserve">works on sculpture, Della Statua, and on painting, De .</w:t></w:r>
</w:p>
<w:p>
<w:pPr><w:pStyle w:val="Normal"/></w:pPr>
<w:r><w:t xml:space="preserve">Pictura, which are highly esteemed; but his most celebrated</w:t></w:r>
</w:p>
<w:p>
<w:pPr><w:pStyle w:val="Normal"/></w:pPr>
<w:r><w:t xml:space="preserve">treatise is that on architecture, De Re Aedificaloria,</w:t></w:r>
</w:p>
<w:p>
<w:pPr><w:pStyle w:val="Normal"/></w:pPr>
<w:r><w:t xml:space="preserve">which has been translated into Italian, French, Spanish and</w:t></w:r>
</w:p>
<w:p>
<w:pPr><w:pStyle w:val="Normal"/></w:pPr>
<w:r><w:t xml:space="preserve">English.  Alberti died at Rome in the April of 1472.</w:t></w:r>
</w:p>
<w:p>
<w:pPr><w:pStyle w:val="Normal"/></w:pPr>
<w:r><w:t xml:space="preserve">See Passerini, Gli Alberti di Firenze (1869, 1870); Mancini, Vrita</w:t></w:r>
</w:p>
<w:p>
<w:pPr><w:pStyle w:val="Normal"/></w:pPr>
<w:r><w:t xml:space="preserve">de Alberti (Firenze, 1882); V. Hoffmann, Studien zu Leon Battista</w:t></w:r>
</w:p>
<w:p>
<w:pPr><w:pStyle w:val="Normal"/></w:pPr>
<w:r><w:t xml:space="preserve">Alberti&apos;s zehn Buchern: De Re Aedicatoria (Frankenberg, 1883).</w:t></w:r>
</w:p>
<w:p>
<w:pPr><w:pStyle w:val="Normal"/></w:pPr>
<w:r><w:t xml:space="preserve">ALBERTINEILI, MARIOTTO (1474-1515), Italian painter,</w:t></w:r>
</w:p>
<w:p>
<w:pPr><w:pStyle w:val="Normal"/></w:pPr>
<w:r><w:t xml:space="preserve">was born in Florence, and was a fellow-pupil and partner</w:t></w:r>
</w:p>
<w:p>
<w:pPr><w:pStyle w:val="Normal"/></w:pPr>
<w:r><w:t xml:space="preserve">of Fra Bartolommeo, with whom he painted many works.  His</w:t></w:r>
</w:p>
<w:p>
<w:pPr><w:pStyle w:val="Normal"/></w:pPr>
<w:r><w:t xml:space="preserve">chief paintings are in Florence, notably his masterpiece,</w:t></w:r>
</w:p>
<w:p>
<w:pPr><w:pStyle w:val="Normal"/></w:pPr>
<w:r><w:t xml:space="preserve">the ``Visitation of the Virgin&apos;&apos; (1503) at the Uffizi.</w:t></w:r>
</w:p>
<w:p>
<w:pPr><w:pStyle w:val="Normal"/></w:pPr>
<w:r><w:t xml:space="preserve">ALRERTITE, a variety of asphalt found in Albert county, New</w:t></w:r>
</w:p>
<w:p>
<w:pPr><w:pStyle w:val="Normal"/></w:pPr>
<w:r><w:t xml:space="preserve">Brunswick.  It is of jet-black colour and brilliant pitch-like</w:t></w:r>
</w:p>
<w:p>
<w:pPr><w:pStyle w:val="Normal"/></w:pPr>
<w:r><w:t xml:space="preserve">lustre.  Its percentage chemical composition is:--</w:t></w:r>
</w:p>
<w:p>
<w:pPr><w:pStyle w:val="Heading1"/></w:pPr>
<w:r><w:t>C.       H.       O.       N.       S.      Ash.</w:t></w:r>
</w:p>
<w:p>
<w:pPr><w:pStyle w:val="Normal"/></w:pPr>
<w:r><w:t xml:space="preserve">86.04     8.96     1.97     2.93    trace     0.10</w:t></w:r>
</w:p>
<w:p>
<w:pPr><w:pStyle w:val="Normal"/></w:pPr>
<w:r><w:t xml:space="preserve">It softens slightly in boiling water, but only fuses</w:t></w:r>
</w:p>
<w:p>
<w:pPr><w:pStyle w:val="Normal"/></w:pPr>
<w:r><w:t xml:space="preserve">imperfectly when further heated, and it is less</w:t></w:r>
</w:p>
<w:p>
<w:pPr><w:pStyle w:val="Normal"/></w:pPr>
<w:r><w:t xml:space="preserve">soluble than ordinary asphalt in oil of turpentine.</w:t></w:r>
</w:p>
<w:p>
<w:pPr><w:pStyle w:val="Normal"/></w:pPr>
<w:r><w:t xml:space="preserve">ALBERT LEA, a citynnd the county-seatof Freeborn county,</w:t></w:r>
</w:p>
<w:p>
<w:pPr><w:pStyle w:val="Normal"/></w:pPr>
<w:r><w:t xml:space="preserve">Minnesota, U.S.A., about 97 m.  S. of St Paul.  Pop. (1890) 3305;</w:t></w:r>
</w:p>
<w:p>
<w:pPr><w:pStyle w:val="Normal"/></w:pPr>
<w:r><w:t xml:space="preserve">(1900) 4500; ( 1905, state census) 5657, 1206 being foreign-born</w:t></w:r>
</w:p>
<w:p>
<w:pPr><w:pStyle w:val="Normal"/></w:pPr>
<w:r><w:t xml:space="preserve">(461 Norwegians, 411 Danes, 98 Swedes); (1910, L. S. census)</w:t></w:r>
</w:p>
<w:p>
<w:pPr><w:pStyle w:val="Normal"/></w:pPr>
<w:r><w:t xml:space="preserve">6192.  It is served by two branches of the Lhicago, Milwaukee</w:t></w:r>
</w:p>
<w:p>
<w:pPr><w:pStyle w:val="Normal"/></w:pPr>
<w:r><w:t xml:space="preserve">&amp; St Paul, by the main line and one branch of the Chicago,</w:t></w:r>
</w:p>
<w:p>
<w:pPr><w:pStyle w:val="Normal"/></w:pPr>
<w:r><w:t xml:space="preserve">Rock Island &amp; Pacific, by the Illinois Central, by the Iowa</w:t></w:r>
</w:p>
<w:p>
<w:pPr><w:pStyle w:val="Normal"/></w:pPr>
<w:r><w:t xml:space="preserve">Central, and by the Minneapolis &amp; St Louis railways.  It is</w:t></w:r>
</w:p>
<w:p>
<w:pPr><w:pStyle w:val="Normal"/></w:pPr>
<w:r><w:t xml:space="preserve">attractively situated between Fountain Lake and Albert Lea</w:t></w:r>
</w:p>
<w:p>
<w:pPr><w:pStyle w:val="Normal"/></w:pPr>
<w:r><w:t xml:space="preserve">Lake, and is a summer resort.  It has a public library and</w:t></w:r>
</w:p>
<w:p>
<w:pPr><w:pStyle w:val="Normal"/></w:pPr>
<w:r><w:t xml:space="preserve">the Freeborn County Court House, and is the seat of Albert</w:t></w:r>
</w:p>
<w:p>
<w:pPr><w:pStyle w:val="Normal"/></w:pPr>
<w:r><w:t xml:space="preserve">Lea College (Presbyterian, for women), founded in 1884, and of</w:t></w:r>
</w:p>
<w:p>
<w:pPr><w:pStyle w:val="Normal"/></w:pPr>
<w:r><w:t xml:space="preserve">Luther Academy ( Norwegian Evangelical Lutheran), founded in</w:t></w:r>
</w:p>
<w:p>
<w:pPr><w:pStyle w:val="Normal"/></w:pPr>
<w:r><w:t xml:space="preserve">1888.  Albert Lea is a railway and manufacturing centre of</w:t></w:r>
</w:p>
<w:p>
<w:pPr><w:pStyle w:val="Normal"/></w:pPr>
<w:r><w:t xml:space="preserve">considerable importance, has grain elevators and foundries</w:t></w:r>
</w:p>
<w:p>
<w:pPr><w:pStyle w:val="Normal"/></w:pPr>
<w:r><w:t xml:space="preserve">and machine shops, and manufactures bricks, tiles, carriages,</w:t></w:r>
</w:p>
<w:p>
<w:pPr><w:pStyle w:val="Normal"/></w:pPr>
<w:r><w:t xml:space="preserve">wagons, flour, corsets, refrigerators and woollen goods.  The</w:t></w:r>
</w:p>
<w:p>
<w:pPr><w:pStyle w:val="Normal"/></w:pPr>
<w:r><w:t xml:space="preserve">city is also the centre of large dairy interests, and there</w:t></w:r>
</w:p>
<w:p>
<w:pPr><w:pStyle w:val="Normal"/></w:pPr>
<w:r><w:t xml:space="preserve">are many creameries in the county.  Sumerous artesian wells</w:t></w:r>
</w:p>
<w:p>
<w:pPr><w:pStyle w:val="Normal"/></w:pPr>
<w:r><w:t xml:space="preserve">furnish the city with an ample supply of water of unusual</w:t></w:r>
</w:p>
<w:p>
<w:pPr><w:pStyle w:val="Normal"/></w:pPr>
<w:r><w:t xml:space="preserve">excellence.  Albert Lea was settled in 1855 and received a</w:t></w:r>
</w:p>
<w:p>
<w:pPr><w:pStyle w:val="Normal"/></w:pPr>
<w:r><w:t xml:space="preserve">city charter in 1878.  The city and the lake were named in</w:t></w:r>
</w:p>
<w:p>
<w:pPr><w:pStyle w:val="Normal"/></w:pPr>
<w:r><w:t xml:space="preserve">honour of Lieutenant Albert Miller Lea (1808--1801), a West</w:t></w:r>
</w:p>
<w:p>
<w:pPr><w:pStyle w:val="Normal"/></w:pPr>
<w:r><w:t xml:space="preserve">Point graduate (1831) who, on behalf of the United States</w:t></w:r>
</w:p>
<w:p>
<w:pPr><w:pStyle w:val="Normal"/></w:pPr>
<w:r><w:t xml:space="preserve">government, first surveyed the region and described it in</w:t></w:r>
</w:p>
<w:p>
<w:pPr><w:pStyle w:val="Normal"/></w:pPr>
<w:r><w:t xml:space="preserve">a report published in 1836.  He was a lieutenant-colonel</w:t></w:r>
</w:p>
<w:p>
<w:pPr><w:pStyle w:val="Normal"/></w:pPr>
<w:r><w:t xml:space="preserve">of engineers in the Confederate army during the Civil War.</w:t></w:r>
</w:p>
<w:p>
<w:pPr><w:pStyle w:val="Normal"/></w:pPr>
<w:r><w:t xml:space="preserve">ALBERT NYANZA, a lake of Central Africa, the northern of</w:t></w:r>
</w:p>
<w:p>
<w:pPr><w:pStyle w:val="Normal"/></w:pPr>
<w:r><w:t xml:space="preserve">the two western reservoirs of the Nile, lying in the western</w:t></w:r>
</w:p>
<w:p>
<w:pPr><w:pStyle w:val="Normal"/></w:pPr>
<w:r><w:t xml:space="preserve">(A!bertine) rift-valley, near its north end.  The southern</w:t></w:r>
</w:p>
<w:p>
<w:pPr><w:pStyle w:val="Normal"/></w:pPr>
<w:r><w:t xml:space="preserve">reservoir is Albert Edward Nyanza (q.v..) Lake Albert lies</w:t></w:r>
</w:p>
<w:p>
<w:pPr><w:pStyle w:val="Normal"/></w:pPr>
<w:r><w:t xml:space="preserve">between 1 deg.  9&apos; and 2 deg.  17&apos; N. and 30 deg.  30&apos; and 31 deg.  35&apos; E.,</w:t></w:r>
</w:p>
<w:p>
<w:pPr><w:pStyle w:val="Normal"/></w:pPr>
<w:r><w:t xml:space="preserve">at an elevation of about 2000 ft. above the sea.  Its greatest</w:t></w:r>
</w:p>
<w:p>
<w:pPr><w:pStyle w:val="Normal"/></w:pPr>
<w:r><w:t xml:space="preserve">length is about 100 m., its greatest width 22 m., its area</w:t></w:r>
</w:p>
<w:p>
<w:pPr><w:pStyle w:val="Normal"/></w:pPr>
<w:r><w:t xml:space="preserve">being approximately 1640 sq. m., about the size of Lancashire,</w:t></w:r>
</w:p>
<w:p>
<w:pPr><w:pStyle w:val="Normal"/></w:pPr>
<w:r><w:t xml:space="preserve">England.  South of the lake is a wide plain, traversed by the</w:t></w:r>
</w:p>
<w:p>
<w:pPr><w:pStyle w:val="Normal"/></w:pPr>
<w:r><w:t xml:space="preserve">Seniliki river, which enters the Nyanza through a swamp of tall</w:t></w:r>
</w:p>
<w:p>
<w:pPr><w:pStyle w:val="Normal"/></w:pPr>
<w:r><w:t xml:space="preserve">weeds, chiefly ambach and papyrus.  Both east and west the</w:t></w:r>
</w:p>
<w:p>
<w:pPr><w:pStyle w:val="Normal"/></w:pPr>
<w:r><w:t xml:space="preserve">walls of the rift-valley are close to the lake,the waterin</w:t></w:r>
</w:p>
<w:p>
<w:pPr><w:pStyle w:val="Normal"/></w:pPr>
<w:r><w:t xml:space="preserve">many places washing the base of the cliffs.  Elsewhere the</w:t></w:r>
</w:p>
<w:p>
<w:pPr><w:pStyle w:val="Normal"/></w:pPr>
<w:r><w:t xml:space="preserve">narrowforeshore is thicklywooded.  The ascent to the plateaus</w:t></w:r>
</w:p>
<w:p>
<w:pPr><w:pStyle w:val="Normal"/></w:pPr>
<w:r><w:t xml:space="preserve">is generally by three tiers of hills rising one behind the</w:t></w:r>
</w:p>
<w:p>
<w:pPr><w:pStyle w:val="Normal"/></w:pPr>
<w:r><w:t xml:space="preserve">other.  On the west side the mountains present many pointed</w:t></w:r>
</w:p>
<w:p>
<w:pPr><w:pStyle w:val="Normal"/></w:pPr>
<w:r><w:t xml:space="preserve">and conical summits; on the east the cliffs rise abruptly</w:t></w:r>
</w:p>
<w:p>
<w:pPr><w:pStyle w:val="Normal"/></w:pPr>
<w:r><w:t xml:space="preserve">1000 to 2000 ft.  On either coast wild gorges and ravines,</w:t></w:r>
</w:p>
<w:p>
<w:pPr><w:pStyle w:val="Normal"/></w:pPr>
<w:r><w:t xml:space="preserve">densely wooded, break the outline of the mountains.  Through</w:t></w:r>
</w:p>
<w:p>
<w:pPr><w:pStyle w:val="Normal"/></w:pPr>
<w:r><w:t xml:space="preserve">these gorges dash magnificent cascades, others leaping the</w:t></w:r>
</w:p>
<w:p>
<w:pPr><w:pStyle w:val="Normal"/></w:pPr>
<w:r><w:t xml:space="preserve">escarpments of the plateaus in waterfalls of great volume and</w:t></w:r>
</w:p>
<w:p>
<w:pPr><w:pStyle w:val="Normal"/></w:pPr>
<w:r><w:t xml:space="preserve">depth.  Towards the north the hills recede from the coast and</w:t></w:r>
</w:p>
<w:p>
<w:pPr><w:pStyle w:val="Normal"/></w:pPr>
<w:r><w:t xml:space="preserve">on both sides flats extend for distances varying from 5 to 15</w:t></w:r>
</w:p>
<w:p>
<w:pPr><w:pStyle w:val="Normal"/></w:pPr>
<w:r><w:t xml:space="preserve">m.  On the eastern side, 92 m. from the southern end of the</w:t></w:r>
</w:p>
<w:p>
<w:pPr><w:pStyle w:val="Normal"/></w:pPr>
<w:r><w:t xml:space="preserve">Nyanza, the Victoria Nile enters the lake, here not more</w:t></w:r>
</w:p>
<w:p>
<w:pPr><w:pStyle w:val="Normal"/></w:pPr>
<w:r><w:t xml:space="preserve">than 6 m. across, through a wilderness of woods, the delta</w:t></w:r>
</w:p>
<w:p>
<w:pPr><w:pStyle w:val="Normal"/></w:pPr>
<w:r><w:t xml:space="preserve">of the Nile extending over 4 m.  The mouth of the main stream</w:t></w:r>
</w:p>
<w:p>
<w:pPr><w:pStyle w:val="Normal"/></w:pPr>
<w:r><w:t xml:space="preserve">is obstructed by a bar of its own formation; the current is</w:t></w:r>
</w:p>
<w:p>
<w:pPr><w:pStyle w:val="Normal"/></w:pPr>
<w:r><w:t xml:space="preserve">sluggish; there are many side channels, and the appearance</w:t></w:r>
</w:p>
<w:p>
<w:pPr><w:pStyle w:val="Normal"/></w:pPr>
<w:r><w:t xml:space="preserve">of the lake gives no hint that a great river has joined its</w:t></w:r>
</w:p>
<w:p>
<w:pPr><w:pStyle w:val="Normal"/></w:pPr>
<w:r><w:t xml:space="preserve">waters.  For 5 or 6 m. north of the junction of the Victoria</w:t></w:r>
</w:p>
<w:p>
<w:pPr><w:pStyle w:val="Normal"/></w:pPr>
<w:r><w:t xml:space="preserve">Nile the lake suffers no material diminution in width.  Then,</w:t></w:r>
</w:p>
<w:p>
<w:pPr><w:pStyle w:val="Normal"/></w:pPr>
<w:r><w:t xml:space="preserve">however, the eastern and western shores approach each other,</w:t></w:r>
</w:p>
<w:p>
<w:pPr><w:pStyle w:val="Normal"/></w:pPr>
<w:r><w:t xml:space="preserve">and a current is perceptible flowing north.  The lake has</w:t></w:r>
</w:p>
<w:p>
<w:pPr><w:pStyle w:val="Normal"/></w:pPr>
<w:r><w:t xml:space="preserve">become the Bahr-el-Jebel, or Mountain river, as this section</w:t></w:r>
</w:p>
<w:p>
<w:pPr><w:pStyle w:val="Normal"/></w:pPr>
<w:r><w:t xml:space="preserve">of the Nile is called.  Throughout its extent Albert Nyanza</w:t></w:r>
</w:p>
<w:p>
<w:pPr><w:pStyle w:val="Normal"/></w:pPr>
<w:r><w:t xml:space="preserve">is shallow; at its southern end the water for a considerable</w:t></w:r>
</w:p>
<w:p>
<w:pPr><w:pStyle w:val="Normal"/></w:pPr>
<w:r><w:t xml:space="preserve">distance is not more than 3 ft. deep.  The deepest soundings</w:t></w:r>
</w:p>
<w:p>
<w:pPr><w:pStyle w:val="Normal"/></w:pPr>
<w:r><w:t xml:space="preserve">give only 50 to 55 ft., the average depth being 30 to 40 ft.</w:t></w:r>
</w:p>
<w:p>
<w:pPr><w:pStyle w:val="Normal"/></w:pPr>
<w:r><w:t xml:space="preserve">The Alberline Basin of the Nile.---Albert Nyanza receives the</w:t></w:r>
</w:p>
<w:p>
<w:pPr><w:pStyle w:val="Normal"/></w:pPr>
<w:r><w:t xml:space="preserve">whole of the drainage of Albert Edward Nyanza and the Semliki</w:t></w:r>
</w:p>
<w:p>
<w:pPr><w:pStyle w:val="Normal"/></w:pPr>
<w:r><w:t xml:space="preserve">river, and with them and its own basin forms the ``Albertine&apos;&apos; Nile</w:t></w:r>
</w:p>
<w:p>
<w:pPr><w:pStyle w:val="Normal"/></w:pPr>
<w:r><w:t xml:space="preserve">system.  Its waters, as stated above, mingle with those of the</w:t></w:r>
</w:p>
<w:p>
<w:pPr><w:pStyle w:val="Normal"/></w:pPr>
<w:r><w:t xml:space="preserve">Victoria Nile, their united volume flowing north towards the</w:t></w:r>
</w:p>
<w:p>
<w:pPr><w:pStyle w:val="Normal"/></w:pPr>
<w:r><w:t xml:space="preserve">Mediterranean.  A study of the changes going on in the riftvalley</w:t></w:r>
</w:p>
<w:p>
<w:pPr><w:pStyle w:val="Normal"/></w:pPr>
<w:r><w:t xml:space="preserve">in which the lakes lie leads, however, to the belief that</w:t></w:r>
</w:p>
<w:p>
<w:pPr><w:pStyle w:val="Normal"/></w:pPr>
<w:r><w:t xml:space="preserve">the Albert Edward and Albert Nyanzas are drying up, a process</w:t></w:r>
</w:p>
<w:p>
<w:pPr><w:pStyle w:val="Normal"/></w:pPr>
<w:r><w:t xml:space="preserve">which the nature of the drainage areas is helping to bring</w:t></w:r>
</w:p>
<w:p>
<w:pPr><w:pStyle w:val="Normal"/></w:pPr>
<w:r><w:t xml:space="preserve">about.  That the Albert Edward Nyanza once covered a much</w:t></w:r>
</w:p>
<w:p>
<w:pPr><w:pStyle w:val="Normal"/></w:pPr>
<w:r><w:t xml:space="preserve">larger area than it does at present is certain.  At that</w:t></w:r>
</w:p>
<w:p>
<w:pPr><w:pStyle w:val="Normal"/></w:pPr>
<w:r><w:t xml:space="preserve">time, recent from a geological standpoint, the valley to the</w:t></w:r>
</w:p>
<w:p>
<w:pPr><w:pStyle w:val="Normal"/></w:pPr>
<w:r><w:t xml:space="preserve">north, through which now flows the Semliki river, was blocked.</w:t></w:r>
</w:p>
<w:p>
<w:pPr><w:pStyle w:val="Normal"/></w:pPr>
<w:r><w:t xml:space="preserve">The removal of the block led to the shrinkage of the lake and</w:t></w:r>
</w:p>
<w:p>
<w:pPr><w:pStyle w:val="Normal"/></w:pPr>
<w:r><w:t xml:space="preserve">the formation.of the Semhki, which found its way to the more</w:t></w:r>
</w:p>
<w:p>
<w:pPr><w:pStyle w:val="Normal"/></w:pPr>
<w:r><w:t xml:space="preserve">northern lake-Albert Nyanza.  Gradually the Semliki eroded</w:t></w:r>
</w:p>
<w:p>
<w:pPr><w:pStyle w:val="Normal"/></w:pPr>
<w:r><w:t xml:space="preserve">its bed, and consequently the level of Albert Edward Nyanza</w:t></w:r>
</w:p>
<w:p>
<w:pPr><w:pStyle w:val="Normal"/></w:pPr>
<w:r><w:t xml:space="preserve">continued to fall.  The process continues but is checked by</w:t></w:r>
</w:p>
<w:p>
<w:pPr><w:pStyle w:val="Normal"/></w:pPr>
<w:r><w:t xml:space="preserve">the existence of the rock barrier which stretches across the</w:t></w:r>
</w:p>
<w:p>
<w:pPr><w:pStyle w:val="Normal"/></w:pPr>
<w:r><w:t xml:space="preserve">Semliki.  This stream leaves Albert Edward Nyanza at its</w:t></w:r>
</w:p>
<w:p>
<w:pPr><w:pStyle w:val="Normal"/></w:pPr>
<w:r><w:t xml:space="preserve">N.W. end in 0 deg.  8&apos; 30q S., and after a course of about 160</w:t></w:r>
</w:p>
<w:p>
<w:pPr><w:pStyle w:val="Normal"/></w:pPr>
<w:r><w:t xml:space="preserve">m. enters Albert Nyanza in 1 deg.  9&apos; N. In its upper and in its</w:t></w:r>
</w:p>
<w:p>
<w:pPr><w:pStyle w:val="Normal"/></w:pPr>
<w:r><w:t xml:space="preserve">lower course the river flows either through high alluvial</w:t></w:r>
</w:p>
<w:p>
<w:pPr><w:pStyle w:val="Normal"/></w:pPr>
<w:r><w:t xml:space="preserve">plains, in which it has scored a deep channel, or across swamp</w:t></w:r>
</w:p>
<w:p>
<w:pPr><w:pStyle w:val="Normal"/></w:pPr>
<w:r><w:t xml:space="preserve">land.  In the middle section, which has a length of some 75</w:t></w:r>
</w:p>
<w:p>
<w:pPr><w:pStyle w:val="Normal"/></w:pPr>
<w:r><w:t xml:space="preserve">m., the river runs in a deep narrow valley -covered with</w:t></w:r>
</w:p>
<w:p>
<w:pPr><w:pStyle w:val="Normal"/></w:pPr>
<w:r><w:t xml:space="preserve">the densest forest.  On the west this valley is bounded by</w:t></w:r>
</w:p>
<w:p>
<w:pPr><w:pStyle w:val="Normal"/></w:pPr>
<w:r><w:t xml:space="preserve">the Congo mountains, which form the wall of the rift-valley,</w:t></w:r>
</w:p>
<w:p>
<w:pPr><w:pStyle w:val="Normal"/></w:pPr>
<w:r><w:t xml:space="preserve">on the east by the mighty range of Ruwenzori, whose heights</w:t></w:r>
</w:p>
<w:p>
<w:pPr><w:pStyle w:val="Normal"/></w:pPr>
<w:r><w:t xml:space="preserve">tower over 16,000 ft. above sea-level.  In this length</w:t></w:r>
</w:p>
<w:p>
<w:pPr><w:pStyle w:val="Normal"/></w:pPr>
<w:r><w:t xml:space="preserve">of 75 m. the river falls in cataracts and rapids over 800</w:t></w:r>
</w:p>
<w:p>
<w:pPr><w:pStyle w:val="Normal"/></w:pPr>
<w:r><w:t xml:space="preserve">ft.  This rocky barrier acts as a regulator for the water</w:t></w:r>
</w:p>
<w:p>
<w:pPr><w:pStyle w:val="Normal"/></w:pPr>
<w:r><w:t xml:space="preserve">received from Albert Edward Nyanza snd, by checking the</w:t></w:r>
</w:p>
<w:p>
<w:pPr><w:pStyle w:val="Normal"/></w:pPr>
<w:r><w:t xml:space="preserve">erosion of the river bed, tends to maintain the level of the</w:t></w:r>
</w:p>
<w:p>
<w:pPr><w:pStyle w:val="Normal"/></w:pPr>
<w:r><w:t xml:space="preserve">lake.  When this bar wears away Albert Edward Nyanza will, in</w:t></w:r>
</w:p>
<w:p>
<w:pPr><w:pStyle w:val="Normal"/></w:pPr>
<w:r><w:t xml:space="preserve">all probability, disappear as a lake and will become a river, a</w:t></w:r>
</w:p>
<w:p>
<w:pPr><w:pStyle w:val="Normal"/></w:pPr>
<w:r><w:t xml:space="preserve">continuation of its present most southern affiuentj the Ruchuru.</w:t></w:r>
</w:p>
<w:p>
<w:pPr><w:pStyle w:val="Normal"/></w:pPr>
<w:r><w:t xml:space="preserve">Albert Nyanza, on the other hand, is threatened in the</w:t></w:r>
</w:p>
<w:p>
<w:pPr><w:pStyle w:val="Normal"/></w:pPr>
<w:r><w:t xml:space="preserve">distant future with destruction from another cause--the</w:t></w:r>
</w:p>
<w:p>
<w:pPr><w:pStyle w:val="Normal"/></w:pPr>
<w:r><w:t xml:space="preserve">filling of its bed by the alluvium poured into it by the</w:t></w:r>
</w:p>
<w:p>
<w:pPr><w:pStyle w:val="Normal"/></w:pPr>
<w:r><w:t xml:space="preserve">Semliki, the Victoria Nile and, in a lesser degree, by other</w:t></w:r>
</w:p>
<w:p>
<w:pPr><w:pStyle w:val="Normal"/></w:pPr>
<w:r><w:t xml:space="preserve">streams.  The Semliki receives directly or indirectly the</w:t></w:r>
</w:p>
<w:p>
<w:pPr><w:pStyle w:val="Normal"/></w:pPr>
<w:r><w:t xml:space="preserve">whole of the drainage of Ruwenzori, and also that of the</w:t></w:r>
</w:p>
<w:p>
<w:pPr><w:pStyle w:val="Normal"/></w:pPr>
<w:r><w:t xml:space="preserve">eastern face of the Congo mountains as well as the drainage</w:t></w:r>
</w:p>
<w:p>
<w:pPr><w:pStyle w:val="Normal"/></w:pPr>
<w:r><w:t xml:space="preserve">basin of Albert Edward Nyanza.  The amount of alluvial matter</w:t></w:r>
</w:p>
<w:p>
<w:pPr><w:pStyle w:val="Normal"/></w:pPr>
<w:r><w:t xml:space="preserve">carried is enormous; from Ruwenzori alone the detritus is very</w:t></w:r>
</w:p>
<w:p>
<w:pPr><w:pStyle w:val="Normal"/></w:pPr>
<w:r><w:t xml:space="preserve">great.  Charged with all this matter, the Semhki, as it</w:t></w:r>
</w:p>
<w:p>
<w:pPr><w:pStyle w:val="Normal"/></w:pPr>
<w:r><w:t xml:space="preserve">emerges from the region of forest and cataracts (in which,</w:t></w:r>
</w:p>
<w:p>
<w:pPr><w:pStyle w:val="Normal"/></w:pPr>
<w:r><w:t xml:space="preserve">often closely confined by its mountain barriers, the stream</w:t></w:r>
</w:p>
<w:p>
<w:pPr><w:pStyle w:val="Normal"/></w:pPr>
<w:r><w:t xml:space="preserve">is deep and rapid), becomes sluggish, its slope flattens</w:t></w:r>
</w:p>
<w:p>
<w:pPr><w:pStyle w:val="Normal"/></w:pPr>
<w:r><w:t xml:space="preserve">out, and its waters, unable to carry their burden, deposit</w:t></w:r>
</w:p>
<w:p>
<w:pPr><w:pStyle w:val="Normal"/></w:pPr>
<w:r><w:t xml:space="preserve">much of it upon the land.  This process, continually going</w:t></w:r>
</w:p>
<w:p>
<w:pPr><w:pStyle w:val="Normal"/></w:pPr>
<w:r><w:t xml:space="preserve">on, has formed a large plain at the south end of Albert</w:t></w:r>
</w:p>
<w:p>
<w:pPr><w:pStyle w:val="Normal"/></w:pPr>
<w:r><w:t xml:space="preserve">Nyanza, which has seriously encroached upon the lake.  At</w:t></w:r>
</w:p>
<w:p>
<w:pPr><w:pStyle w:val="Normal"/></w:pPr>
<w:r><w:t xml:space="preserve">the northern end of the lake the sediment brought down by the</w:t></w:r>
</w:p>
<w:p>
<w:pPr><w:pStyle w:val="Normal"/></w:pPr>
<w:r><w:t xml:space="preserve">Victoria Nile is producing a similar effect.  Albert Nyanza</w:t></w:r>
</w:p>
<w:p>
<w:pPr><w:pStyle w:val="Normal"/></w:pPr>
<w:r><w:t xml:space="preserve">has indeed shrunk in its dimensions during the comparatively</w:t></w:r>
</w:p>
<w:p>
<w:pPr><w:pStyle w:val="Normal"/></w:pPr>
<w:r><w:t xml:space="preserve">few years it has been known to Europeans.  Thus at the S.W.</w:t></w:r>
</w:p>
<w:p>
<w:pPr><w:pStyle w:val="Normal"/></w:pPr>
<w:r><w:t xml:space="preserve">end, Nyamsasi, which was an island in 1889, has become a</w:t></w:r>
</w:p>
<w:p>
<w:pPr><w:pStyle w:val="Normal"/></w:pPr>
<w:r><w:t xml:space="preserve">peninsula.  Islands which in 1876 were on the east coast</w:t></w:r>
</w:p>
<w:p>
<w:pPr><w:pStyle w:val="Normal"/></w:pPr>
<w:r><w:t xml:space="preserve">no longer exist; they now form part of the foreshore.  On</w:t></w:r>
</w:p>
<w:p>
<w:pPr><w:pStyle w:val="Normal"/></w:pPr>
<w:r><w:t xml:space="preserve">the other hand, the shrinkage of the lake level caused the</w:t></w:r>
</w:p>
<w:p>
<w:pPr><w:pStyle w:val="Normal"/></w:pPr>
<w:r><w:t xml:space="preserve">appearance in 1885 of an island where in 1879 there had been</w:t></w:r>
</w:p>
<w:p>
<w:pPr><w:pStyle w:val="Normal"/></w:pPr>
<w:r><w:t xml:space="preserve">an expanse of shallow water.  It seems probable that, in a</w:t></w:r>
</w:p>
<w:p>
<w:pPr><w:pStyle w:val="Normal"/></w:pPr>
<w:r><w:t xml:space="preserve">period geologically not very remote, the ``Albertine&apos;&apos; system</w:t></w:r>
</w:p>
<w:p>
<w:pPr><w:pStyle w:val="Normal"/></w:pPr>
<w:r><w:t xml:space="preserve">will consist of one great river, extending from the northern</w:t></w:r>
</w:p>
<w:p>
<w:pPr><w:pStyle w:val="Normal"/></w:pPr>
<w:r><w:t xml:space="preserve">slopes of the Rivu range, where the Ruchuru has its rise, to</w:t></w:r>
</w:p>
<w:p>
<w:pPr><w:pStyle w:val="Normal"/></w:pPr>
<w:r><w:t xml:space="preserve">the existing junction of the Victoria Nile with Albert Nyanza.</w:t></w:r>
</w:p>
<w:p>
<w:pPr><w:pStyle w:val="Normal"/></w:pPr>
<w:r><w:t xml:space="preserve">The combined drainage area, including the water surface of</w:t></w:r>
</w:p>
<w:p>
<w:pPr><w:pStyle w:val="Normal"/></w:pPr>
<w:r><w:t xml:space="preserve">Albert Edward Nyanza, the Semhki and Albert Nyanza, is some</w:t></w:r>
</w:p>
<w:p>
<w:pPr><w:pStyle w:val="Normal"/></w:pPr>
<w:r><w:t xml:space="preserve">16,600 sq. m.  Throughout this area the rainfall is heavy (40</w:t></w:r>
</w:p>
<w:p>
<w:pPr><w:pStyle w:val="Normal"/></w:pPr>
<w:r><w:t xml:space="preserve">to 60 in. or more per annum), the volume of water entering</w:t></w:r>
</w:p>
<w:p>
<w:pPr><w:pStyle w:val="Normal"/></w:pPr>
<w:r><w:t xml:space="preserve">Albert Nyanza by the Semliki when in flood being not less</w:t></w:r>
</w:p>
<w:p>
<w:pPr><w:pStyle w:val="Normal"/></w:pPr>
<w:r><w:t xml:space="preserve">than 700 cubic metres per second.  Of the water received</w:t></w:r>
</w:p>
<w:p>
<w:pPr><w:pStyle w:val="Normal"/></w:pPr>
<w:r><w:t xml:space="preserve">by Albert Nyanza annually (omitting the Victoria Nile from</w:t></w:r>
</w:p>
<w:p>
<w:pPr><w:pStyle w:val="Normal"/></w:pPr>
<w:r><w:t xml:space="preserve">the calculation) between 50 and 60% is lost by evaporation,</w:t></w:r>
</w:p>
<w:p>
<w:pPr><w:pStyle w:val="Normal"/></w:pPr>
<w:r><w:t xml:space="preserve">whilst 24,265,000,000 cubic metres are annually withdrawn</w:t></w:r>
</w:p>
<w:p>
<w:pPr><w:pStyle w:val="Normal"/></w:pPr>
<w:r><w:t xml:space="preserve">by the Bahr-el-Jebel.  The ``Albertine&apos;&apos; system plays a</w:t></w:r>
</w:p>
<w:p>
<w:pPr><w:pStyle w:val="Normal"/></w:pPr>
<w:r><w:t xml:space="preserve">comparatively insignificant part in the annual llood rise</w:t></w:r>
</w:p>
<w:p>
<w:pPr><w:pStyle w:val="Normal"/></w:pPr>
<w:r><w:t xml:space="preserve">of the White Nile, but to its waters are due the maintenance</w:t></w:r>
</w:p>
<w:p>
<w:pPr><w:pStyle w:val="Normal"/></w:pPr>
<w:r><w:t xml:space="preserve">of a constant supply to this river throughout the year.</w:t></w:r>
</w:p>
<w:p>
<w:pPr><w:pStyle w:val="Normal"/></w:pPr>
<w:r><w:t xml:space="preserve">Discovery and Exploration.---Albert Nyanza was first reached</w:t></w:r>
</w:p>
<w:p>
<w:pPr><w:pStyle w:val="Normal"/></w:pPr>
<w:r><w:t xml:space="preserve">by Sir Samuel Baker on the 14th of March 1864 near Vacovia,</w:t></w:r>
</w:p>
<w:p>
<w:pPr><w:pStyle w:val="Normal"/></w:pPr>
<w:r><w:t xml:space="preserve">a small village of fishermen and salt-makers on the east</w:t></w:r>
</w:p>
<w:p>
<w:pPr><w:pStyle w:val="Normal"/></w:pPr>
<w:r><w:t xml:space="preserve">coast.  From a granitic cliff 1500 ft. above the water he</w:t></w:r>
</w:p>
<w:p>
<w:pPr><w:pStyle w:val="Normal"/></w:pPr>
<w:r><w:t xml:space="preserve">looked out over a boundless horizon on the south and south-west,</w:t></w:r>
</w:p>
<w:p>
<w:pPr><w:pStyle w:val="Normal"/></w:pPr>
<w:r><w:t xml:space="preserve">and towards the west descried at a distance of 50 or 60 m.</w:t></w:r>
</w:p>
<w:p>
<w:pPr><w:pStyle w:val="Normal"/></w:pPr>
<w:r><w:t xml:space="preserve">mountains about 7000 ft. high.  Albert Nyanza was consequently</w:t></w:r>
</w:p>
<w:p>
<w:pPr><w:pStyle w:val="Normal"/></w:pPr>
<w:r><w:t xml:space="preserve">entered on his map as a vast lake extending about 380 m.  But</w:t></w:r>
</w:p>
<w:p>
<w:pPr><w:pStyle w:val="Normal"/></w:pPr>
<w:r><w:t xml:space="preserve">the circumnavigation of the lake by Gessi Pasha (1876), and</w:t></w:r>
</w:p>
<w:p>
<w:pPr><w:pStyle w:val="Normal"/></w:pPr>
<w:r><w:t xml:space="preserve">by Emin Pasha in 1884, showed that Baker had been deceived as</w:t></w:r>
</w:p>
<w:p>
<w:pPr><w:pStyle w:val="Normal"/></w:pPr>
<w:r><w:t xml:space="preserve">to the size of the lake.  By the end of the 19th century the</w:t></w:r>
</w:p>
<w:p>
<w:pPr><w:pStyle w:val="Normal"/></w:pPr>
<w:r><w:t xml:space="preserve">topography of the lake region was known with fair accuracy.</w:t></w:r>
</w:p>
<w:p>
<w:pPr><w:pStyle w:val="Normal"/></w:pPr>
<w:r><w:t xml:space="preserve">The lake forms part of the (British) Uganda Protectorate,</w:t></w:r>
</w:p>
<w:p>
<w:pPr><w:pStyle w:val="Normal"/></w:pPr>
<w:r><w:t xml:space="preserve">but the north-west shores were leased in 1894 to the (iongo</w:t></w:r>
</w:p>
<w:p>
<w:pPr><w:pStyle w:val="Normal"/></w:pPr>
<w:r><w:t xml:space="preserve">Free State during the sovereignty of king Leopold II. of</w:t></w:r>
</w:p>
<w:p>
<w:pPr><w:pStyle w:val="Normal"/></w:pPr>
<w:r><w:t xml:space="preserve">Belgium.  Of this leased area a strip 15 m. wide, giving</w:t></w:r>
</w:p>
<w:p>
<w:pPr><w:pStyle w:val="Normal"/></w:pPr>
<w:r><w:t xml:space="preserve">the Congo State a passage way to the lake, was to remain in</w:t></w:r>
</w:p>
<w:p>
<w:pPr><w:pStyle w:val="Normal"/></w:pPr>
<w:r><w:t xml:space="preserve">its possession after the determination of the lease. - See</w:t></w:r>
</w:p>
<w:p>
<w:pPr><w:pStyle w:val="Normal"/></w:pPr>
<w:r><w:t xml:space="preserve">Nile; Sir W. Garstin&apos;s Report upon the Basin of the Upper</w:t></w:r>
</w:p>
<w:p>
<w:pPr><w:pStyle w:val="Normal"/></w:pPr>
<w:r><w:t xml:space="preserve">Loile (Egypt, No. 2, 1904); Capt.  H. G. Lyons&apos; The</w:t></w:r>
</w:p>
<w:p>
<w:pPr><w:pStyle w:val="Normal"/></w:pPr>
<w:r><w:t xml:space="preserve">Physiography oj. the River Nelc and its Basin (Cairo, 1906),</w:t></w:r>
</w:p>
<w:p>
<w:pPr><w:pStyle w:val="Normal"/></w:pPr>
<w:r><w:t xml:space="preserve">and the authorities quoted in those works. (W. E. G.; F. R. C.)</w:t></w:r>
</w:p>
<w:p>
<w:pPr><w:pStyle w:val="Normal"/></w:pPr>
<w:r><w:t xml:space="preserve">ALBERTUS MAGNUS (ALBERT OF COLOGNE.? 1206-1280), count of</w:t></w:r>
</w:p>
<w:p>
<w:pPr><w:pStyle w:val="Normal"/></w:pPr>
<w:r><w:t xml:space="preserve">Bollstadt, scholastic philosopher, was born of the noble</w:t></w:r>
</w:p>
<w:p>
<w:pPr><w:pStyle w:val="Normal"/></w:pPr>
<w:r><w:t xml:space="preserve">family of Bollstadt at Lauingen in Suabia.  The date of his</w:t></w:r>
</w:p>
<w:p>
<w:pPr><w:pStyle w:val="Normal"/></w:pPr>
<w:r><w:t xml:space="preserve">birth, generally given as 1193, is more probably 1206.  He was</w:t></w:r>
</w:p>
<w:p>
<w:pPr><w:pStyle w:val="Normal"/></w:pPr>
<w:r><w:t xml:space="preserve">educated principally at Padua, where he received instruction</w:t></w:r>
</w:p>
<w:p>
<w:pPr><w:pStyle w:val="Normal"/></w:pPr>
<w:r><w:t xml:space="preserve">in Aristotle&apos;s writings.  In 1223 (or 1221) he became a member</w:t></w:r>
</w:p>
<w:p>
<w:pPr><w:pStyle w:val="Normal"/></w:pPr>
<w:r><w:t xml:space="preserve">of the Dominican order, and studied theology under its rules</w:t></w:r>
</w:p>
<w:p>
<w:pPr><w:pStyle w:val="Normal"/></w:pPr>
<w:r><w:t xml:space="preserve">at Bologna and elsewhere.  Selected to fill the position of</w:t></w:r>
</w:p>
<w:p>
<w:pPr><w:pStyle w:val="Normal"/></w:pPr>
<w:r><w:t xml:space="preserve">lecturer at Cologne, where the order had a house, he taught for</w:t></w:r>
</w:p>
<w:p>
<w:pPr><w:pStyle w:val="Normal"/></w:pPr>
<w:r><w:t xml:space="preserve">several years there, at Regensburg, Freiburg, Strassburg and</w:t></w:r>
</w:p>
<w:p>
<w:pPr><w:pStyle w:val="Normal"/></w:pPr>
<w:r><w:t xml:space="preserve">Hildesheim.  In 1245 he went to Paris, received his doctorate</w:t></w:r>
</w:p>
<w:p>
<w:pPr><w:pStyle w:val="Normal"/></w:pPr>
<w:r><w:t xml:space="preserve">and taught for some time, in accordance with the regulations,</w:t></w:r>
</w:p>
<w:p>
<w:pPr><w:pStyle w:val="Normal"/></w:pPr>
<w:r><w:t xml:space="preserve">with great success.  In 1254 he was made provincial of his</w:t></w:r>
</w:p>
<w:p>
<w:pPr><w:pStyle w:val="Normal"/></w:pPr>
<w:r><w:t xml:space="preserve">order, and fulfilled the arduous duties of the office with</w:t></w:r>
</w:p>
<w:p>
<w:pPr><w:pStyle w:val="Normal"/></w:pPr>
<w:r><w:t xml:space="preserve">great care and efficiency.  During the time he held this office</w:t></w:r>
</w:p>
<w:p>
<w:pPr><w:pStyle w:val="Normal"/></w:pPr>
<w:r><w:t xml:space="preserve">he publicly defended the Dominicans against the university of</w:t></w:r>
</w:p>
<w:p>
<w:pPr><w:pStyle w:val="Normal"/></w:pPr>
<w:r><w:t xml:space="preserve">Paris, commented on St John, and answered the errors of the</w:t></w:r>
</w:p>
<w:p>
<w:pPr><w:pStyle w:val="Normal"/></w:pPr>
<w:r><w:t xml:space="preserve">Arabian philosopher, Averroes.  In 1260 the pope made him</w:t></w:r>
</w:p>
<w:p>
<w:pPr><w:pStyle w:val="Normal"/></w:pPr>
<w:r><w:t xml:space="preserve">bishop of Regensburg, which office he resigned after three</w:t></w:r>
</w:p>
<w:p>
<w:pPr><w:pStyle w:val="Normal"/></w:pPr>
<w:r><w:t xml:space="preserve">years.  The remainder of his life he spent partly in preaching</w:t></w:r>
</w:p>
<w:p>
<w:pPr><w:pStyle w:val="Normal"/></w:pPr>
<w:r><w:t xml:space="preserve">throughout Bavaria and the adjoining districts, partly in</w:t></w:r>
</w:p>
<w:p>
<w:pPr><w:pStyle w:val="Normal"/></w:pPr>
<w:r><w:t xml:space="preserve">retirement in the various houses of his order; in 1270 he</w:t></w:r>
</w:p>
<w:p>
<w:pPr><w:pStyle w:val="Normal"/></w:pPr>
<w:r><w:t xml:space="preserve">preached the eighth Crusade in Austria; almost the last of</w:t></w:r>
</w:p>
<w:p>
<w:pPr><w:pStyle w:val="Normal"/></w:pPr>
<w:r><w:t xml:space="preserve">his labours was the defence of the orthodoxy of his former</w:t></w:r>
</w:p>
<w:p>
<w:pPr><w:pStyle w:val="Normal"/></w:pPr>
<w:r><w:t xml:space="preserve">pupil, Thomas Aquinas.  He died in 1280, aged seventy-four.</w:t></w:r>
</w:p>
<w:p>
<w:pPr><w:pStyle w:val="Normal"/></w:pPr>
<w:r><w:t xml:space="preserve">He was beatified in 1622, and he is commemorated on the 16th of</w:t></w:r>
</w:p>
<w:p>
<w:pPr><w:pStyle w:val="Normal"/></w:pPr>
<w:r><w:t xml:space="preserve">November.  Albert&apos;s works (published in twenty-one folios by</w:t></w:r>
</w:p>
<w:p>
<w:pPr><w:pStyle w:val="Normal"/></w:pPr>
<w:r><w:t xml:space="preserve">the Dominican Pierre Jammy in 1651, and reproduced by the Abbe</w:t></w:r>
</w:p>
<w:p>
<w:pPr><w:pStyle w:val="Normal"/></w:pPr>
<w:r><w:t xml:space="preserve">Borgnet, Paris, 1890, 36 vols.) sufficiently attest his great</w:t></w:r>
</w:p>
<w:p>
<w:pPr><w:pStyle w:val="Normal"/></w:pPr>
<w:r><w:t xml:space="preserve">activity.  He was the most widely read and most learned man</w:t></w:r>
</w:p>
<w:p>
<w:pPr><w:pStyle w:val="Normal"/></w:pPr>
<w:r><w:t xml:space="preserve">of his time.  The whole of Aristotle&apos;s works, presented in the</w:t></w:r>
</w:p>
<w:p>
<w:pPr><w:pStyle w:val="Normal"/></w:pPr>
<w:r><w:t xml:space="preserve">Latin translations and notes of the Arabian commentators, were</w:t></w:r>
</w:p>
<w:p>
<w:pPr><w:pStyle w:val="Normal"/></w:pPr>
<w:r><w:t xml:space="preserve">by him digested, interpreted and systematized in accordance</w:t></w:r>
</w:p>
<w:p>
<w:pPr><w:pStyle w:val="Normal"/></w:pPr>
<w:r><w:t xml:space="preserve">with church doctrine.  Albert&apos;s activity, however, was rather</w:t></w:r>
</w:p>
<w:p>
<w:pPr><w:pStyle w:val="Normal"/></w:pPr>
<w:r><w:t xml:space="preserve">philosophical than theological (see SCHOLASTICISM.) The</w:t></w:r>
</w:p>
<w:p>
<w:pPr><w:pStyle w:val="Normal"/></w:pPr>
<w:r><w:t xml:space="preserve">philosophical works, occupying the first six and the last</w:t></w:r>
</w:p>
<w:p>
<w:pPr><w:pStyle w:val="Normal"/></w:pPr>
<w:r><w:t xml:space="preserve">of the twenty-one volumes, are generally divided according</w:t></w:r>
</w:p>
<w:p>
<w:pPr><w:pStyle w:val="Normal"/></w:pPr>
<w:r><w:t xml:space="preserve">to the Aristotelian scheme of the sciences, and consist of</w:t></w:r>
</w:p>
<w:p>
<w:pPr><w:pStyle w:val="Normal"/></w:pPr>
<w:r><w:t xml:space="preserve">interpretations and condensations of Aristotle&apos;s relative</w:t></w:r>
</w:p>
<w:p>
<w:pPr><w:pStyle w:val="Normal"/></w:pPr>
<w:r><w:t xml:space="preserve">works, with supplementary discussions depending on the</w:t></w:r>
</w:p>
<w:p>
<w:pPr><w:pStyle w:val="Normal"/></w:pPr>
<w:r><w:t xml:space="preserve">questions then agitated, and occasionally divergences from the</w:t></w:r>
</w:p>
<w:p>
<w:pPr><w:pStyle w:val="Normal"/></w:pPr>
<w:r><w:t xml:space="preserve">opinions of the master. His principal theological works are a</w:t></w:r>
</w:p>
<w:p>
<w:pPr><w:pStyle w:val="Normal"/></w:pPr>
<w:r><w:t xml:space="preserve">commentary in three volumes on the Books of the Sentences</w:t></w:r>
</w:p>
<w:p>
<w:pPr><w:pStyle w:val="Normal"/></w:pPr>
<w:r><w:t xml:space="preserve">of Peter Lombard (Magister Sententiarum), and the Summa</w:t></w:r>
</w:p>
<w:p>
<w:pPr><w:pStyle w:val="Normal"/></w:pPr>
<w:r><w:t xml:space="preserve">Theologiae in two volumes.  This last is in substance a</w:t></w:r>
</w:p>
<w:p>
<w:pPr><w:pStyle w:val="Normal"/></w:pPr>
<w:r><w:t xml:space="preserve">repetition of the first in a more didactic form.  Albert&apos;s</w:t></w:r>
</w:p>
<w:p>
<w:pPr><w:pStyle w:val="Normal"/></w:pPr>
<w:r><w:t xml:space="preserve">knowledge of physical science was considerable and for</w:t></w:r>
</w:p>
<w:p>
<w:pPr><w:pStyle w:val="Normal"/></w:pPr>
<w:r><w:t xml:space="preserve">the age accurate.  His industry in every department was</w:t></w:r>
</w:p>
<w:p>
<w:pPr><w:pStyle w:val="Normal"/></w:pPr>
<w:r><w:t xml:space="preserve">great, and though we find in his system many of those gaps</w:t></w:r>
</w:p>
<w:p>
<w:pPr><w:pStyle w:val="Normal"/></w:pPr>
<w:r><w:t xml:space="preserve">which are characteristic of scholastic philosophy, yet the</w:t></w:r>
</w:p>
<w:p>
<w:pPr><w:pStyle w:val="Normal"/></w:pPr>
<w:r><w:t xml:space="preserve">protracted study of Aristotle gave him a great power of</w:t></w:r>
</w:p>
<w:p>
<w:pPr><w:pStyle w:val="Normal"/></w:pPr>
<w:r><w:t xml:space="preserve">systematic thought and exposition, and the results of that</w:t></w:r>
</w:p>
<w:p>
<w:pPr><w:pStyle w:val="Normal"/></w:pPr>
<w:r><w:t xml:space="preserve">study, as left to us, by no means warrant the contemptuous</w:t></w:r>
</w:p>
<w:p>
<w:pPr><w:pStyle w:val="Normal"/></w:pPr>
<w:r><w:t xml:space="preserve">title sometimes given him--the ``Ape of Aristotle.&apos;&apos; They</w:t></w:r>
</w:p>
<w:p>
<w:pPr><w:pStyle w:val="Normal"/></w:pPr>
<w:r><w:t xml:space="preserve">rather lead us to appreciate the motives which caused his</w:t></w:r>
</w:p>
<w:p>
<w:pPr><w:pStyle w:val="Normal"/></w:pPr>
<w:r><w:t xml:space="preserve">contemporaries to bestow on him the honourable surnames</w:t></w:r>
</w:p>
<w:p>
<w:pPr><w:pStyle w:val="Normal"/></w:pPr>
<w:r><w:t xml:space="preserve">``The Great&apos;&apos; and ``Doctor Universahs.&apos;&apos; It must, however,</w:t></w:r>
</w:p>
<w:p>
<w:pPr><w:pStyle w:val="Normal"/></w:pPr>
<w:r><w:t xml:space="preserve">be admitted that much of his knowledge was ill digested;</w:t></w:r>
</w:p>
<w:p>
<w:pPr><w:pStyle w:val="Normal"/></w:pPr>
<w:r><w:t xml:space="preserve">it even appears that he regarded Plato and Speusippus as</w:t></w:r>
</w:p>
<w:p>
<w:pPr><w:pStyle w:val="Normal"/></w:pPr>
<w:r><w:t xml:space="preserve">Stoics.  Albertus is frequently mentioned by Dante, who made</w:t></w:r>
</w:p>
<w:p>
<w:pPr><w:pStyle w:val="Normal"/></w:pPr>
<w:r><w:t xml:space="preserve">his doctrine of free-will the basis of his ethical system.</w:t></w:r>
</w:p>
<w:p>
<w:pPr><w:pStyle w:val="Normal"/></w:pPr>
<w:r><w:t xml:space="preserve">Dante places him with his pupil Aquinas among the great lovers</w:t></w:r>
</w:p>
<w:p>
<w:pPr><w:pStyle w:val="Normal"/></w:pPr>
<w:r><w:t xml:space="preserve">of wisdom (Spiriti Sapienti) in the Heaven of the Sun.</w:t></w:r>
</w:p>
<w:p>
<w:pPr><w:pStyle w:val="Normal"/></w:pPr>
<w:r><w:t xml:space="preserve">See Paget Toynbee, ``Some Obligations of Dante to Albertus</w:t></w:r>
</w:p>
<w:p>
<w:pPr><w:pStyle w:val="Normal"/></w:pPr>
<w:r><w:t xml:space="preserve">Magnus&apos;&apos; in Romania, xxiv. 400-412, and the Dante</w:t></w:r>
</w:p>
<w:p>
<w:pPr><w:pStyle w:val="Normal"/></w:pPr>
<w:r><w:t xml:space="preserve">Dictionary by the same author.  For Albert&apos;s life see J.</w:t></w:r>
</w:p>
<w:p>
<w:pPr><w:pStyle w:val="Normal"/></w:pPr>
<w:r><w:t xml:space="preserve">Sighart, Albertus Magnus, sein Leben und seine Wissenschaft</w:t></w:r>
</w:p>
<w:p>
<w:pPr><w:pStyle w:val="Normal"/></w:pPr>
<w:r><w:t xml:space="preserve">(Regensburg, 1857; Eng. trans., Dixon, London, 1876); H. Finke,</w:t></w:r>
</w:p>
<w:p>
<w:pPr><w:pStyle w:val="Normal"/></w:pPr>
<w:r><w:t xml:space="preserve">Ungedruckte Dominikanerbriefe des 13. Jahrh. (Paderborn,</w:t></w:r>
</w:p>
<w:p>
<w:pPr><w:pStyle w:val="Normal"/></w:pPr>
<w:r><w:t xml:space="preserve">1891).  For his philosophy A. Stockl, Geschichte d.</w:t></w:r>
</w:p>
<w:p>
<w:pPr><w:pStyle w:val="Normal"/></w:pPr>
<w:r><w:t xml:space="preserve">scholastischen Philosophie; J. E. Erdmann, Grundriss d. Ges.</w:t></w:r>
</w:p>
<w:p>
<w:pPr><w:pStyle w:val="Normal"/></w:pPr>
<w:r><w:t xml:space="preserve">d.  Phil. vol. i. 8. The histories of Haureau, Ritter,</w:t></w:r>
</w:p>
<w:p>
<w:pPr><w:pStyle w:val="Normal"/></w:pPr>
<w:r><w:t xml:space="preserve">Prantl and Windelband may also be consulted.  See also W.</w:t></w:r>
</w:p>
<w:p>
<w:pPr><w:pStyle w:val="Normal"/></w:pPr>
<w:r><w:t xml:space="preserve">Feiler, Die Moral d.  A. M. (Leipzig, 1891); M. Weiss,</w:t></w:r>
</w:p>
<w:p>
<w:pPr><w:pStyle w:val="Normal"/></w:pPr>
<w:r><w:t xml:space="preserve">Ueber mariologische Schriften des A. M. (Paris, 1898); Jos.</w:t></w:r>
</w:p>
<w:p>
<w:pPr><w:pStyle w:val="Normal"/></w:pPr>
<w:r><w:t xml:space="preserve">Bach, Des A. M. Verhaltniss zu d. Erkenntnisslehre d.</w:t></w:r>
</w:p>
<w:p>
<w:pPr><w:pStyle w:val="Normal"/></w:pPr>
<w:r><w:t xml:space="preserve">Griechen, Romer, Araber u.  Juden (Vienna, 1881); Herzog-Hauck,</w:t></w:r>
</w:p>
<w:p>
<w:pPr><w:pStyle w:val="Normal"/></w:pPr>
<w:r><w:t xml:space="preserve">Realencyk. (1897); Vacant, Dict.  Theol. Cathol. (s.v.);</w:t></w:r>
</w:p>
<w:p>
<w:pPr><w:pStyle w:val="Normal"/></w:pPr>
<w:r><w:t xml:space="preserve">Ch. Jourdain in Dict. d. sciences philos. (s.v.); M. Joel,</w:t></w:r>
</w:p>
<w:p>
<w:pPr><w:pStyle w:val="Normal"/></w:pPr>
<w:r><w:t xml:space="preserve">Das Verhaltniss A. d.  G. zu Moses Maimonides (Breslau, 1863).</w:t></w:r>
</w:p>
<w:p>
<w:pPr><w:pStyle w:val="Normal"/></w:pPr>
<w:r><w:t xml:space="preserve">ALBERUS, ERASMUS (c. 1500-1553), German humanist, reformer</w:t></w:r>
</w:p>
<w:p>
<w:pPr><w:pStyle w:val="Normal"/></w:pPr>
<w:r><w:t xml:space="preserve">and poet, was a native of the village of Sprendlingen near</w:t></w:r>
</w:p>
<w:p>
<w:pPr><w:pStyle w:val="Normal"/></w:pPr>
<w:r><w:t xml:space="preserve">Frankfort-on-Main, where he was born about the year 1500.</w:t></w:r>
</w:p>
<w:p>
<w:pPr><w:pStyle w:val="Normal"/></w:pPr>
<w:r><w:t xml:space="preserve">Although his father was a schoolmaster, his early education</w:t></w:r>
</w:p>
<w:p>
<w:pPr><w:pStyle w:val="Normal"/></w:pPr>
<w:r><w:t xml:space="preserve">was neglected.  Ultimately in 1518 he found his way to the</w:t></w:r>
</w:p>
<w:p>
<w:pPr><w:pStyle w:val="Normal"/></w:pPr>
<w:r><w:t xml:space="preserve">university of Wittenberg, where he studied theology.  He had</w:t></w:r>
</w:p>
<w:p>
<w:pPr><w:pStyle w:val="Normal"/></w:pPr>
<w:r><w:t xml:space="preserve">here the good fortune to attract the attention of Luther and</w:t></w:r>
</w:p>
<w:p>
<w:pPr><w:pStyle w:val="Normal"/></w:pPr>
<w:r><w:t xml:space="preserve">Melanchthon, and subsequently became one of Luther&apos;s most</w:t></w:r>
</w:p>
<w:p>
<w:pPr><w:pStyle w:val="Normal"/></w:pPr>
<w:r><w:t xml:space="preserve">active helpers in the Reformation.  Not merely did he fight</w:t></w:r>
</w:p>
<w:p>
<w:pPr><w:pStyle w:val="Normal"/></w:pPr>
<w:r><w:t xml:space="preserve">for the Protestant cause as a preacher and theologian, but</w:t></w:r>
</w:p>
<w:p>
<w:pPr><w:pStyle w:val="Normal"/></w:pPr>
<w:r><w:t xml:space="preserve">he was almost the only member of Luther&apos;s party who was able</w:t></w:r>
</w:p>
<w:p>
<w:pPr><w:pStyle w:val="Normal"/></w:pPr>
<w:r><w:t xml:space="preserve">to confront the Roman Catholics with the weapon of literary</w:t></w:r>
</w:p>
<w:p>
<w:pPr><w:pStyle w:val="Normal"/></w:pPr>
<w:r><w:t xml:space="preserve">satire.  In 1542 he published a prose satire to which Luther</w:t></w:r>
</w:p>
<w:p>
<w:pPr><w:pStyle w:val="Normal"/></w:pPr>
<w:r><w:t xml:space="preserve">wrote the preface, Der Barfusser Monche Eulenspiegel und</w:t></w:r>
</w:p>
<w:p>
<w:pPr><w:pStyle w:val="Normal"/></w:pPr>
<w:r><w:t xml:space="preserve">Alkoran, an adaptation of the Liber confermitatum of the</w:t></w:r>
</w:p>
<w:p>
<w:pPr><w:pStyle w:val="Normal"/></w:pPr>
<w:r><w:t xml:space="preserve">Franciscan Bartolommeo Albizzi of Pisa (Pisanus, d. 1401</w:t></w:r>
</w:p>
<w:p>
<w:pPr><w:pStyle w:val="Normal"/></w:pPr>
<w:r><w:t xml:space="preserve">), in which the Franciscan order is held up to ridicule.  Of</w:t></w:r>
</w:p>
<w:p>
<w:pPr><w:pStyle w:val="Normal"/></w:pPr>
<w:r><w:t xml:space="preserve">higher literary value is the didactic and satirical Buch von</w:t></w:r>
</w:p>
<w:p>
<w:pPr><w:pStyle w:val="Normal"/></w:pPr>
<w:r><w:t xml:space="preserve">der Tugend und Weisheit (1550), a collection of forty-nine</w:t></w:r>
</w:p>
<w:p>
<w:pPr><w:pStyle w:val="Normal"/></w:pPr>
<w:r><w:t xml:space="preserve">fables in which Alberus embodies his views on the relations of</w:t></w:r>
</w:p>
<w:p>
<w:pPr><w:pStyle w:val="Normal"/></w:pPr>
<w:r><w:t xml:space="preserve">Church and State.  His satire is incisive, but in a scholarly</w:t></w:r>
</w:p>
<w:p>
<w:pPr><w:pStyle w:val="Normal"/></w:pPr>
<w:r><w:t xml:space="preserve">and humanistic way; it does not appeal to popular passions</w:t></w:r>
</w:p>
<w:p>
<w:pPr><w:pStyle w:val="Normal"/></w:pPr>
<w:r><w:t xml:space="preserve">with the fierce directness which enabled the master of Catholic</w:t></w:r>
</w:p>
<w:p>
<w:pPr><w:pStyle w:val="Normal"/></w:pPr>
<w:r><w:t xml:space="preserve">satire, Thomas Murner, to inflict such telling blows.  Several</w:t></w:r>
</w:p>
<w:p>
<w:pPr><w:pStyle w:val="Normal"/></w:pPr>
<w:r><w:t xml:space="preserve">of Alberus&apos;s hymns, all of which show the influence of his</w:t></w:r>
</w:p>
<w:p>
<w:pPr><w:pStyle w:val="Normal"/></w:pPr>
<w:r><w:t xml:space="preserve">master Luther, have been retained in the German Protestant</w:t></w:r>
</w:p>
<w:p>
<w:pPr><w:pStyle w:val="Normal"/></w:pPr>
<w:r><w:t xml:space="preserve">hymnal.  After Luther&apos;s death, Alberus was for a time Diakonus</w:t></w:r>
</w:p>
<w:p>
<w:pPr><w:pStyle w:val="Normal"/></w:pPr>
<w:r><w:t xml:space="preserve">in Wittenberg; he became involved, however, in the political</w:t></w:r>
</w:p>
<w:p>
<w:pPr><w:pStyle w:val="Normal"/></w:pPr>
<w:r><w:t xml:space="preserve">conflicts of the time, and was in Magdeburg in 1550-1551,</w:t></w:r>
</w:p>
<w:p>
<w:pPr><w:pStyle w:val="Normal"/></w:pPr>
<w:r><w:t xml:space="preserve">while that town was besieged by Maurice of Saxony.  In 1552</w:t></w:r>
</w:p>
<w:p>
<w:pPr><w:pStyle w:val="Normal"/></w:pPr>
<w:r><w:t xml:space="preserve">he was appointed Generalsuperintendent at Neubrandenburg</w:t></w:r>
</w:p>
<w:p>
<w:pPr><w:pStyle w:val="Normal"/></w:pPr>
<w:r><w:t xml:space="preserve">in Mecklenburg, where he died on the 5th of May 1553.</w:t></w:r>
</w:p>
<w:p>
<w:pPr><w:pStyle w:val="Normal"/></w:pPr>
<w:r><w:t xml:space="preserve">Das Buch von der Tugend und Weisheit has been edited by W.</w:t></w:r>
</w:p>
<w:p>
<w:pPr><w:pStyle w:val="Normal"/></w:pPr>
<w:r><w:t xml:space="preserve">Braune (1892); the sixteen Geistliche Lieder by C. W. Stromberger</w:t></w:r>
</w:p>
<w:p>
<w:pPr><w:pStyle w:val="Normal"/></w:pPr>
<w:r><w:t xml:space="preserve">(1857).  Alberus&apos; prose writings have not been reprinted in recent</w:t></w:r>
</w:p>
<w:p>
<w:pPr><w:pStyle w:val="Normal"/></w:pPr>
<w:r><w:t xml:space="preserve">times.  See F. Schnorr von Carolsfeld, Erasmus Alberus (1894).</w:t></w:r>
</w:p>
<w:p>
<w:pPr><w:pStyle w:val="Normal"/></w:pPr>
<w:r><w:t xml:space="preserve">ALBERY, JAMES (1838--1889), English dramatist, was born in</w:t></w:r>
</w:p>
<w:p>
<w:pPr><w:pStyle w:val="Normal"/></w:pPr>
<w:r><w:t xml:space="preserve">London on the 4th of May 1838.  On leaving school he entered</w:t></w:r>
</w:p>
<w:p>
<w:pPr><w:pStyle w:val="Normal"/></w:pPr>
<w:r><w:t xml:space="preserve">an architect&apos;s office, and started to write plays.  After many</w:t></w:r>
</w:p>
<w:p>
<w:pPr><w:pStyle w:val="Normal"/></w:pPr>
<w:r><w:t xml:space="preserve">failures he at last succeeded in getting an adaptation--Dr</w:t></w:r>
</w:p>
<w:p>
<w:pPr><w:pStyle w:val="Normal"/></w:pPr>
<w:r><w:t xml:space="preserve">Davy --Produced at the Lyceum (1866).  His most successful</w:t></w:r>
</w:p>
<w:p>
<w:pPr><w:pStyle w:val="Normal"/></w:pPr>
<w:r><w:t xml:space="preserve">piece, Two Roses, a comedy, was produced at the Vaudeville in</w:t></w:r>
</w:p>
<w:p>
<w:pPr><w:pStyle w:val="Normal"/></w:pPr>
<w:r><w:t xml:space="preserve">1870, in which Sir Henry Irving made one of his earliest London</w:t></w:r>
</w:p>
<w:p>
<w:pPr><w:pStyle w:val="Normal"/></w:pPr>
<w:r><w:t xml:space="preserve">successes as Digby Grant.  He was the author of a large number</w:t></w:r>
</w:p>
<w:p>
<w:pPr><w:pStyle w:val="Normal"/></w:pPr>
<w:r><w:t xml:space="preserve">of other plays and adaptations, including Jingle (a version</w:t></w:r>
</w:p>
<w:p>
<w:pPr><w:pStyle w:val="Normal"/></w:pPr>
<w:r><w:t xml:space="preserve">of Pickwick), produced at the Lyceum in 1878, and Pink</w:t></w:r>
</w:p>
<w:p>
<w:pPr><w:pStyle w:val="Normal"/></w:pPr>
<w:r><w:t xml:space="preserve">Dominoes, the latter being one of a series of adaptations</w:t></w:r>
</w:p>
<w:p>
<w:pPr><w:pStyle w:val="Normal"/></w:pPr>
<w:r><w:t xml:space="preserve">from the French which he made for the Criterion theatre.  At</w:t></w:r>
</w:p>
<w:p>
<w:pPr><w:pStyle w:val="Normal"/></w:pPr>
<w:r><w:t xml:space="preserve">that house his wife, the well-known actress, Miss Mary Moore,</w:t></w:r>
</w:p>
<w:p>
<w:pPr><w:pStyle w:val="Normal"/></w:pPr>
<w:r><w:t xml:space="preserve">played the leading parts.  He died on the 15th of August 1889.</w:t></w:r>
</w:p>
<w:p>
<w:pPr><w:pStyle w:val="Normal"/></w:pPr>
<w:r><w:t xml:space="preserve">ALBI, a city of south-western France, capital of the</w:t></w:r>
</w:p>
<w:p>
<w:pPr><w:pStyle w:val="Normal"/></w:pPr>
<w:r><w:t xml:space="preserve">department of Tarn, 48 m.  N. E. of Toulouse, on a branch</w:t></w:r>
</w:p>
<w:p>
<w:pPr><w:pStyle w:val="Normal"/></w:pPr>
<w:r><w:t xml:space="preserve">line of the Southern railway.  Pop. (1906) 14,956.  Albi</w:t></w:r>
</w:p>
<w:p>
<w:pPr><w:pStyle w:val="Normal"/></w:pPr>
<w:r><w:t xml:space="preserve">occupies a commanding position on the left bank of the</w:t></w:r>
</w:p>
<w:p>
<w:pPr><w:pStyle w:val="Normal"/></w:pPr>
<w:r><w:t xml:space="preserve">Tarn; it is united to its suburb of La Madeleine on the</w:t></w:r>
</w:p>
<w:p>
<w:pPr><w:pStyle w:val="Normal"/></w:pPr>
<w:r><w:t xml:space="preserve">right bank by a medieval and a modern bridge.  The old town</w:t></w:r>
</w:p>
<w:p>
<w:pPr><w:pStyle w:val="Normal"/></w:pPr>
<w:r><w:t xml:space="preserve">forms a nucleus of narrow, winding streets surrounded by</w:t></w:r>
</w:p>
<w:p>
<w:pPr><w:pStyle w:val="Normal"/></w:pPr>
<w:r><w:t xml:space="preserve">boulevards, beyond which lie modern quarters with regular</w:t></w:r>
</w:p>
<w:p>
<w:pPr><w:pStyle w:val="Normal"/></w:pPr>
<w:r><w:t xml:space="preserve">thoroughfares and public gardens.  The cathedral of Sainte</w:t></w:r>
</w:p>
<w:p>
<w:pPr><w:pStyle w:val="Normal"/></w:pPr>
<w:r><w:t xml:space="preserve">Cecile, a fine fortress-church in the Gothic style, begun</w:t></w:r>
</w:p>
<w:p>
<w:pPr><w:pStyle w:val="Normal"/></w:pPr>
<w:r><w:t xml:space="preserve">in 1277, finished in 1512, rises high above the rest of the</w:t></w:r>
</w:p>
<w:p>
<w:pPr><w:pStyle w:val="Normal"/></w:pPr>
<w:r><w:t xml:space="preserve">town.  The exterior, flanked at the western end by a lofty</w:t></w:r>
</w:p>
<w:p>
<w:pPr><w:pStyle w:val="Normal"/></w:pPr>
<w:r><w:t xml:space="preserve">tower and pierced by high, narrow windows, is devoid of</w:t></w:r>
</w:p>
<w:p>
<w:pPr><w:pStyle w:val="Normal"/></w:pPr>
<w:r><w:t xml:space="preserve">ornament.  Its general plainness contrasts with the elaborate</w:t></w:r>
</w:p>
<w:p>
<w:pPr><w:pStyle w:val="Normal"/></w:pPr>
<w:r><w:t xml:space="preserve">carving of the stone canopy which shelters the southern</w:t></w:r>
</w:p>
<w:p>
<w:pPr><w:pStyle w:val="Normal"/></w:pPr>
<w:r><w:t xml:space="preserve">portal.  In the interior, which is without transepts or aisles,</w:t></w:r>
</w:p>
<w:p>
<w:pPr><w:pStyle w:val="Normal"/></w:pPr>
<w:r><w:t xml:space="preserve">the roodscreen and the choir-enclosure, which date from about</w:t></w:r>
</w:p>
<w:p>
<w:pPr><w:pStyle w:val="Normal"/></w:pPr>
<w:r><w:t xml:space="preserve">1500, are masterpieces of delicate sculpture; the vaulting</w:t></w:r>
</w:p>
<w:p>
<w:pPr><w:pStyle w:val="Normal"/></w:pPr>
<w:r><w:t xml:space="preserve">and the walls are covered with paintings of the 15th and 16th</w:t></w:r>
</w:p>
<w:p>
<w:pPr><w:pStyle w:val="Normal"/></w:pPr>
<w:r><w:t xml:space="preserve">centuries.  The archbishop&apos;s palace to the north-east of the</w:t></w:r>
</w:p>
<w:p>
<w:pPr><w:pStyle w:val="Normal"/></w:pPr>
<w:r><w:t xml:space="preserve">cathedral is a fortified building of the 14th century.  St</w:t></w:r>
</w:p>
<w:p>
<w:pPr><w:pStyle w:val="Normal"/></w:pPr>
<w:r><w:t xml:space="preserve">Salvi, the chief of the other churches of Albi, belongs</w:t></w:r>
</w:p>
<w:p>
<w:pPr><w:pStyle w:val="Normal"/></w:pPr>
<w:r><w:t xml:space="preserve">to the 13th and 15th centuries.  A statue of the sailor La</w:t></w:r>
</w:p>
<w:p>
<w:pPr><w:pStyle w:val="Normal"/></w:pPr>
<w:r><w:t xml:space="preserve">Perouse (1741-1788) stands in the square named after him.</w:t></w:r>
</w:p>
<w:p>
<w:pPr><w:pStyle w:val="Normal"/></w:pPr>
<w:r><w:t xml:space="preserve">Albi is the seat of an archbishop, a prefect and a court of</w:t></w:r>
</w:p>
<w:p>
<w:pPr><w:pStyle w:val="Normal"/></w:pPr>
<w:r><w:t xml:space="preserve">assizes.  It has tribunals of first instance and of commerce,</w:t></w:r>
</w:p>
<w:p>
<w:pPr><w:pStyle w:val="Normal"/></w:pPr>
<w:r><w:t xml:space="preserve">a board of trade-arbitrators, a chamber of commerce, a lycee</w:t></w:r>
</w:p>
<w:p>
<w:pPr><w:pStyle w:val="Normal"/></w:pPr>
<w:r><w:t xml:space="preserve">and training colleges.  The industrial establishments of the</w:t></w:r>
</w:p>
<w:p>
<w:pPr><w:pStyle w:val="Normal"/></w:pPr>
<w:r><w:t xml:space="preserve">town include dye-works, distilleries, tanneries, glass-works</w:t></w:r>
</w:p>
<w:p>
<w:pPr><w:pStyle w:val="Normal"/></w:pPr>
<w:r><w:t xml:space="preserve">and important flour-mills.  It is also a centre for hat-making,</w:t></w:r>
</w:p>
<w:p>
<w:pPr><w:pStyle w:val="Normal"/></w:pPr>
<w:r><w:t xml:space="preserve">and produces cloth-fabrics, lace, umbrellas, casks, chairs,</w:t></w:r>
</w:p>
<w:p>
<w:pPr><w:pStyle w:val="Normal"/></w:pPr>
<w:r><w:t xml:space="preserve">wooden shoes, candles and pastries.  Trade is in wine and anise.</w:t></w:r>
</w:p>
<w:p>
<w:pPr><w:pStyle w:val="Normal"/></w:pPr>
<w:r><w:t xml:space="preserve">Albi (Albiga) was, in the Gallo-Roman period, capital of</w:t></w:r>
</w:p>
<w:p>
<w:pPr><w:pStyle w:val="Normal"/></w:pPr>
<w:r><w:t xml:space="preserve">the Albigenses, and later of the viscounty of Albigeois,</w:t></w:r>
</w:p>
<w:p>
<w:pPr><w:pStyle w:val="Normal"/></w:pPr>
<w:r><w:t xml:space="preserve">which was a fief of the counts of Toulouse.  From the 12th</w:t></w:r>
</w:p>
<w:p>
<w:pPr><w:pStyle w:val="Normal"/></w:pPr>
<w:r><w:t xml:space="preserve">century onwards, its bishops, the first of whom appears</w:t></w:r>
</w:p>
<w:p>
<w:pPr><w:pStyle w:val="Normal"/></w:pPr>
<w:r><w:t xml:space="preserve">to have lived about the 3rd century, began to encroach</w:t></w:r>
</w:p>
<w:p>
<w:pPr><w:pStyle w:val="Normal"/></w:pPr>
<w:r><w:t xml:space="preserve">on the authority of the viscounts; the latter, after the</w:t></w:r>
</w:p>
<w:p>
<w:pPr><w:pStyle w:val="Normal"/></w:pPr>
<w:r><w:t xml:space="preserve">Albigensian war, lost their estates, which passed to Simon</w:t></w:r>
</w:p>
<w:p>
<w:pPr><w:pStyle w:val="Normal"/></w:pPr>
<w:r><w:t xml:space="preserve">de Montfort and then to the crown of France.  By a convention</w:t></w:r>
</w:p>
<w:p>
<w:pPr><w:pStyle w:val="Normal"/></w:pPr>
<w:r><w:t xml:space="preserve">concluded in 1264 the chief temporal power in the city was</w:t></w:r>
</w:p>
<w:p>
<w:pPr><w:pStyle w:val="Normal"/></w:pPr>
<w:r><w:t xml:space="preserve">granted to the bishops.  The archbishopric dates from 1678.</w:t></w:r>
</w:p>
<w:p>
<w:pPr><w:pStyle w:val="Normal"/></w:pPr>
<w:r><w:t xml:space="preserve">ALBIAN (Fr. Albion, from Alba = Aube in France), in</w:t></w:r>
</w:p>
<w:p>
<w:pPr><w:pStyle w:val="Normal"/></w:pPr>
<w:r><w:t xml:space="preserve">geology the term proposed in 1842 by A. d&apos;Orbigny for that</w:t></w:r>
</w:p>
<w:p>
<w:pPr><w:pStyle w:val="Normal"/></w:pPr>
<w:r><w:t xml:space="preserve">stage of the Cretaceous System which comes above the Aptian</w:t></w:r>
</w:p>
<w:p>
<w:pPr><w:pStyle w:val="Normal"/></w:pPr>
<w:r><w:t xml:space="preserve">and below the Cenomanian (Pal. France.  Cret. ii.).  The</w:t></w:r>
</w:p>
<w:p>
<w:pPr><w:pStyle w:val="Normal"/></w:pPr>
<w:r><w:t xml:space="preserve">precise limits of this stage are placed somewhat differently</w:t></w:r>
</w:p>
<w:p>
<w:pPr><w:pStyle w:val="Normal"/></w:pPr>
<w:r><w:t xml:space="preserve">by English and continental geologists.  In England it is</w:t></w:r>
</w:p>
<w:p>
<w:pPr><w:pStyle w:val="Normal"/></w:pPr>
<w:r><w:t xml:space="preserve">usual to regard the Albian stage as equivalent to the Upper</w:t></w:r>
</w:p>
<w:p>
<w:pPr><w:pStyle w:val="Normal"/></w:pPr>
<w:r><w:t xml:space="preserve">Greensand plus Gault, that is, to the ``Selbornian&apos;&apos; of</w:t></w:r>
</w:p>
<w:p>
<w:pPr><w:pStyle w:val="Normal"/></w:pPr>
<w:r><w:t xml:space="preserve">Jukes-Browne.  But A. de Lapparent would place most of the</w:t></w:r>
</w:p>
<w:p>
<w:pPr><w:pStyle w:val="Normal"/></w:pPr>
<w:r><w:t xml:space="preserve">UPper Greensand in the Cenomanian.  The English practice</w:t></w:r>
</w:p>
<w:p>
<w:pPr><w:pStyle w:val="Normal"/></w:pPr>
<w:r><w:t xml:space="preserve">is to commence the upper Cretaceous with the Albian; on</w:t></w:r>
</w:p>
<w:p>
<w:pPr><w:pStyle w:val="Normal"/></w:pPr>
<w:r><w:t xml:space="preserve">the other hand, this stage closes the lower Cretaceous</w:t></w:r>
</w:p>
<w:p>
<w:pPr><w:pStyle w:val="Normal"/></w:pPr>
<w:r><w:t xml:space="preserve">according to continental usage.  It is necessary therefore,</w:t></w:r>
</w:p>
<w:p>
<w:pPr><w:pStyle w:val="Normal"/></w:pPr>
<w:r><w:t xml:space="preserve">when using the term Albian, to bear these differences in</w:t></w:r>
</w:p>
<w:p>
<w:pPr><w:pStyle w:val="Normal"/></w:pPr>
<w:r><w:t xml:space="preserve">mind, and to ascertain the exact position of the strata by</w:t></w:r>
</w:p>
<w:p>
<w:pPr><w:pStyle w:val="Normal"/></w:pPr>
<w:r><w:t xml:space="preserve">reference to the zonal fossils.  These are, in descending</w:t></w:r>
</w:p>
<w:p>
<w:pPr><w:pStyle w:val="Normal"/></w:pPr>
<w:r><w:t xml:space="preserve">order, Pecten asper and Cardiaster fossarius, Schloen</w:t></w:r>
</w:p>
<w:p>
<w:pPr><w:pStyle w:val="Normal"/></w:pPr>
<w:r><w:t xml:space="preserve">bachia rostrata, Hoplites lautus and H. interruptus,</w:t></w:r>
</w:p>
<w:p>
<w:pPr><w:pStyle w:val="Normal"/></w:pPr>
<w:r><w:t xml:space="preserve">Douvilleiceras mammillalum. In addition to the formations</w:t></w:r>
</w:p>
<w:p>
<w:pPr><w:pStyle w:val="Normal"/></w:pPr>
<w:r><w:t xml:space="preserve">mentioned above, the following representatives of the Albian</w:t></w:r>
</w:p>
<w:p>
<w:pPr><w:pStyle w:val="Normal"/></w:pPr>
<w:r><w:t xml:space="preserve">stage are worthy of notice: the gaize and phosphatic beds of</w:t></w:r>
</w:p>
<w:p>
<w:pPr><w:pStyle w:val="Normal"/></w:pPr>
<w:r><w:t xml:space="preserve">Argonne and Bray in France; the Flammenmergel of North Germany;</w:t></w:r>
</w:p>
<w:p>
<w:pPr><w:pStyle w:val="Normal"/></w:pPr>
<w:r><w:t xml:space="preserve">the lignites of Iltrillas in Spain; the Upper Sandstones</w:t></w:r>
</w:p>
<w:p>
<w:pPr><w:pStyle w:val="Normal"/></w:pPr>
<w:r><w:t xml:space="preserve">of Nubia, and the Fredericksburg beds of North America.</w:t></w:r>
</w:p>
<w:p>
<w:pPr><w:pStyle w:val="Normal"/></w:pPr>
<w:r><w:t xml:space="preserve">See GAULT, GREENSAND, and CRETACEOUS. (J. A. H.)</w:t></w:r>
</w:p>
<w:p>
<w:pPr><w:pStyle w:val="Normal"/></w:pPr>
<w:r><w:t xml:space="preserve">ALBIGENSES, the usual designation of the heretics---and</w:t></w:r>
</w:p>
<w:p>
<w:pPr><w:pStyle w:val="Normal"/></w:pPr>
<w:r><w:t xml:space="preserve">more especially the Catharist heretics--of the south of</w:t></w:r>
</w:p>
<w:p>
<w:pPr><w:pStyle w:val="Normal"/></w:pPr>
<w:r><w:t xml:space="preserve">France in the 12th and 13th centuries.  This name appears to</w:t></w:r>
</w:p>
<w:p>
<w:pPr><w:pStyle w:val="Normal"/></w:pPr>
<w:r><w:t xml:space="preserve">have been given to them at the end of the 12th century, and</w:t></w:r>
</w:p>
<w:p>
<w:pPr><w:pStyle w:val="Normal"/></w:pPr>
<w:r><w:t xml:space="preserve">was used in 1181 by the chronicler Geoffroy de Vigeois.  The</w:t></w:r>
</w:p>
<w:p>
<w:pPr><w:pStyle w:val="Normal"/></w:pPr>
<w:r><w:t xml:space="preserve">designation is hardly exact, for the heretical centre was</w:t></w:r>
</w:p>
<w:p>
<w:pPr><w:pStyle w:val="Normal"/></w:pPr>
<w:r><w:t xml:space="preserve">at Toulouse and in the neighbouring districts rather than at</w:t></w:r>
</w:p>
<w:p>
<w:pPr><w:pStyle w:val="Normal"/></w:pPr>
<w:r><w:t xml:space="preserve">Albi (the ancient Albiga.) The heresy, which had penetrated</w:t></w:r>
</w:p>
<w:p>
<w:pPr><w:pStyle w:val="Normal"/></w:pPr>
<w:r><w:t xml:space="preserve">into these regions probably by trade routes, came originally</w:t></w:r>
</w:p>
<w:p>
<w:pPr><w:pStyle w:val="Normal"/></w:pPr>
<w:r><w:t xml:space="preserve">from eastern Europe.  The name of Bulgarians (Bougres)</w:t></w:r>
</w:p>
<w:p>
<w:pPr><w:pStyle w:val="Normal"/></w:pPr>
<w:r><w:t xml:space="preserve">was often applied to the Albigenses, and they always kept</w:t></w:r>
</w:p>
<w:p>
<w:pPr><w:pStyle w:val="Normal"/></w:pPr>
<w:r><w:t xml:space="preserve">up intercourse with the Bogomil sectaries of Thrace.  Their</w:t></w:r>
</w:p>
<w:p>
<w:pPr><w:pStyle w:val="Normal"/></w:pPr>
<w:r><w:t xml:space="preserve">dualist doctrines, as described by controversialists, present</w:t></w:r>
</w:p>
<w:p>
<w:pPr><w:pStyle w:val="Normal"/></w:pPr>
<w:r><w:t xml:space="preserve">numerous resemblances to those of the Bogomils, and still</w:t></w:r>
</w:p>
<w:p>
<w:pPr><w:pStyle w:val="Normal"/></w:pPr>
<w:r><w:t xml:space="preserve">more to those of the Paulicians, with whom they are sometimes</w:t></w:r>
</w:p>
<w:p>
<w:pPr><w:pStyle w:val="Normal"/></w:pPr>
<w:r><w:t xml:space="preserve">connected.  It is exceedingly difficult, however, to form</w:t></w:r>
</w:p>
<w:p>
<w:pPr><w:pStyle w:val="Normal"/></w:pPr>
<w:r><w:t xml:space="preserve">any very precise idea of the Albigensian doctrines, as our</w:t></w:r>
</w:p>
<w:p>
<w:pPr><w:pStyle w:val="Normal"/></w:pPr>
<w:r><w:t xml:space="preserve">knowledge of them is derived from their opponents, and the</w:t></w:r>
</w:p>
<w:p>
<w:pPr><w:pStyle w:val="Normal"/></w:pPr>
<w:r><w:t xml:space="preserve">very rare texts emanating from the Albigenses which have</w:t></w:r>
</w:p>
<w:p>
<w:pPr><w:pStyle w:val="Normal"/></w:pPr>
<w:r><w:t xml:space="preserve">come down to us (e.g. the Rituel cathare de Lyon and the</w:t></w:r>
</w:p>
<w:p>
<w:pPr><w:pStyle w:val="Normal"/></w:pPr>
<w:r><w:t xml:space="preserve">Nouveau Testament en provencal) contain very inadequate</w:t></w:r>
</w:p>
<w:p>
<w:pPr><w:pStyle w:val="Normal"/></w:pPr>
<w:r><w:t xml:space="preserve">information concerning their metaphysical principles and moral</w:t></w:r>
</w:p>
<w:p>
<w:pPr><w:pStyle w:val="Normal"/></w:pPr>
<w:r><w:t xml:space="preserve">practice.  What is certain is that, above all, they formed</w:t></w:r>
</w:p>
<w:p>
<w:pPr><w:pStyle w:val="Normal"/></w:pPr>
<w:r><w:t xml:space="preserve">an anti-sacerdotal party in permanent opposition to the Roman</w:t></w:r>
</w:p>
<w:p>
<w:pPr><w:pStyle w:val="Normal"/></w:pPr>
<w:r><w:t xml:space="preserve">church, and raised a continued protest against the corruption</w:t></w:r>
</w:p>
<w:p>
<w:pPr><w:pStyle w:val="Normal"/></w:pPr>
<w:r><w:t xml:space="preserve">of the clergy of their time.  The Albigensian theologians and</w:t></w:r>
</w:p>
<w:p>
<w:pPr><w:pStyle w:val="Normal"/></w:pPr>
<w:r><w:t xml:space="preserve">ascetics, the Cathari or perfecti, known in the south of</w:t></w:r>
</w:p>
<w:p>
<w:pPr><w:pStyle w:val="Normal"/></w:pPr>
<w:r><w:t xml:space="preserve">France as bons hommes or bons chretiens, were few in</w:t></w:r>
</w:p>
<w:p>
<w:pPr><w:pStyle w:val="Normal"/></w:pPr>
<w:r><w:t xml:space="preserve">number; the mass of believers (credentes) were perhaps not</w:t></w:r>
</w:p>
<w:p>
<w:pPr><w:pStyle w:val="Normal"/></w:pPr>
<w:r><w:t xml:space="preserve">initiated into the Catharist doctrine; at all events, they were</w:t></w:r>
</w:p>
<w:p>
<w:pPr><w:pStyle w:val="Normal"/></w:pPr>
<w:r><w:t xml:space="preserve">free from all moral prohibition and all religious obligation,</w:t></w:r>
</w:p>
<w:p>
<w:pPr><w:pStyle w:val="Normal"/></w:pPr>
<w:r><w:t xml:space="preserve">on condition that they promised by an act called convenenza</w:t></w:r>
</w:p>
<w:p>
<w:pPr><w:pStyle w:val="Normal"/></w:pPr>
<w:r><w:t xml:space="preserve">to become ``hereticized&apos;&apos; by receiving the consolamentum, the</w:t></w:r>
</w:p>
<w:p>
<w:pPr><w:pStyle w:val="Normal"/></w:pPr>
<w:r><w:t xml:space="preserve">baptism of the Spirit, before their death or even in extremis.</w:t></w:r>
</w:p>
<w:p>
<w:pPr><w:pStyle w:val="Normal"/></w:pPr>
<w:r><w:t xml:space="preserve">The first Catharist heretics appeared in Limousin between</w:t></w:r>
</w:p>
<w:p>
<w:pPr><w:pStyle w:val="Normal"/></w:pPr>
<w:r><w:t xml:space="preserve">1012 and 1020.  Several were discovered and put to death</w:t></w:r>
</w:p>
<w:p>
<w:pPr><w:pStyle w:val="Normal"/></w:pPr>
<w:r><w:t xml:space="preserve">at Toulouse in 1022; and the synod of Charroux (dep. of</w:t></w:r>
</w:p>
<w:p>
<w:pPr><w:pStyle w:val="Normal"/></w:pPr>
<w:r><w:t xml:space="preserve">Vienne) in 1028, and that of Toulouse in 1056, condemned</w:t></w:r>
</w:p>
<w:p>
<w:pPr><w:pStyle w:val="Normal"/></w:pPr>
<w:r><w:t xml:space="preserve">the growing sect.  The preachers Raoul Ardent in 1101 and</w:t></w:r>
</w:p>
<w:p>
<w:pPr><w:pStyle w:val="Normal"/></w:pPr>
<w:r><w:t xml:space="preserve">Robert of Arbrissel in 1114 were summoned to the districts</w:t></w:r>
</w:p>
<w:p>
<w:pPr><w:pStyle w:val="Normal"/></w:pPr>
<w:r><w:t xml:space="preserve">of the Agenais and the Toulousain to combat the heretical</w:t></w:r>
</w:p>
<w:p>
<w:pPr><w:pStyle w:val="Normal"/></w:pPr>
<w:r><w:t xml:space="preserve">propaganda.  But, protected by William IX., duke of Aquitaine,</w:t></w:r>
</w:p>
<w:p>
<w:pPr><w:pStyle w:val="Normal"/></w:pPr>
<w:r><w:t xml:space="preserve">and soon by a great part of the southern nobility, the</w:t></w:r>
</w:p>
<w:p>
<w:pPr><w:pStyle w:val="Normal"/></w:pPr>
<w:r><w:t xml:space="preserve">heretics gained ground in the south, and in 1119 the council</w:t></w:r>
</w:p>
<w:p>
<w:pPr><w:pStyle w:val="Normal"/></w:pPr>
<w:r><w:t xml:space="preserve">of Toulouse in vain ordered the secular powers to assist the</w:t></w:r>
</w:p>
<w:p>
<w:pPr><w:pStyle w:val="Normal"/></w:pPr>
<w:r><w:t xml:space="preserve">ecclesiastical authority in quelling the heresy.  The people</w:t></w:r>
</w:p>
<w:p>
<w:pPr><w:pStyle w:val="Normal"/></w:pPr>
<w:r><w:t xml:space="preserve">were attached to the bons hommes, whose asceticism imposed</w:t></w:r>
</w:p>
<w:p>
<w:pPr><w:pStyle w:val="Normal"/></w:pPr>
<w:r><w:t xml:space="preserve">upon the masses, and the anti-sacerdotal preaching of Peter</w:t></w:r>
</w:p>
<w:p>
<w:pPr><w:pStyle w:val="Normal"/></w:pPr>
<w:r><w:t xml:space="preserve">of Bruys and Henry of Lausanne in Perigord.  Languedoc and</w:t></w:r>
</w:p>
<w:p>
<w:pPr><w:pStyle w:val="Normal"/></w:pPr>
<w:r><w:t xml:space="preserve">Provence, only facilitated the progress of Catharism in those</w:t></w:r>
</w:p>
<w:p>
<w:pPr><w:pStyle w:val="Normal"/></w:pPr>
<w:r><w:t xml:space="preserve">regions.  In 1147 Pope Eugenius III. sent the legate Alberic</w:t></w:r>
</w:p>
<w:p>
<w:pPr><w:pStyle w:val="Normal"/></w:pPr>
<w:r><w:t xml:space="preserve">of Ostia and St Bernard to the affected district.  The few</w:t></w:r>
</w:p>
<w:p>
<w:pPr><w:pStyle w:val="Normal"/></w:pPr>
<w:r><w:t xml:space="preserve">isolated successes of the abbot of Clairvaux could not obscure</w:t></w:r>
</w:p>
<w:p>
<w:pPr><w:pStyle w:val="Normal"/></w:pPr>
<w:r><w:t xml:space="preserve">the real results of this mission, and the meeting at Lombers</w:t></w:r>
</w:p>
<w:p>
<w:pPr><w:pStyle w:val="Normal"/></w:pPr>
<w:r><w:t xml:space="preserve">in 1165 of a synod, where Catholic priests had to submit to</w:t></w:r>
</w:p>
<w:p>
<w:pPr><w:pStyle w:val="Normal"/></w:pPr>
<w:r><w:t xml:space="preserve">a discussion with Catharist doctors, well shows the power of</w:t></w:r>
</w:p>
<w:p>
<w:pPr><w:pStyle w:val="Normal"/></w:pPr>
<w:r><w:t xml:space="preserve">the sect in the south of France at that period.  Moreover.</w:t></w:r>
</w:p>
<w:p>
<w:pPr><w:pStyle w:val="Normal"/></w:pPr>
<w:r><w:t xml:space="preserve">two years afterwards a Catharist synod, in which heretics</w:t></w:r>
</w:p>
<w:p>
<w:pPr><w:pStyle w:val="Normal"/></w:pPr>
<w:r><w:t xml:space="preserve">from Languedoc, Bulgaria and Italy took part, was held at St</w:t></w:r>
</w:p>
<w:p>
<w:pPr><w:pStyle w:val="Normal"/></w:pPr>
<w:r><w:t xml:space="preserve">Felix de Caraman, near Toulouse, and their deliberations were</w:t></w:r>
</w:p>
<w:p>
<w:pPr><w:pStyle w:val="Normal"/></w:pPr>
<w:r><w:t xml:space="preserve">undisturbed.  The missions of Cardinal Peter (of St Chrysogonus).</w:t></w:r>
</w:p>
<w:p>
<w:pPr><w:pStyle w:val="Normal"/></w:pPr>
<w:r><w:t xml:space="preserve">formerly bishop of Meaux, to Toulouse and the Toulousain in</w:t></w:r>
</w:p>
<w:p>
<w:pPr><w:pStyle w:val="Normal"/></w:pPr>
<w:r><w:t xml:space="preserve">1178, and of Henry, cardinal-bishop of Albano (formerly</w:t></w:r>
</w:p>
<w:p>
<w:pPr><w:pStyle w:val="Normal"/></w:pPr>
<w:r><w:t xml:space="preserve">abbot ol Clairvaux), in 1180-1181, obtained merely momentary</w:t></w:r>
</w:p>
<w:p>
<w:pPr><w:pStyle w:val="Normal"/></w:pPr>
<w:r><w:t xml:space="preserve">successes.  Henry of Albano attempted an armed expedition</w:t></w:r>
</w:p>
<w:p>
<w:pPr><w:pStyle w:val="Normal"/></w:pPr>
<w:r><w:t xml:space="preserve">against the stronghold of heretics at Lavaur and against</w:t></w:r>
</w:p>
<w:p>
<w:pPr><w:pStyle w:val="Normal"/></w:pPr>
<w:r><w:t xml:space="preserve">Raymond Roger. viscount of Beziers, their acknowledged</w:t></w:r>
</w:p>
<w:p>
<w:pPr><w:pStyle w:val="Normal"/></w:pPr>
<w:r><w:t xml:space="preserve">protector.  The taking of Lavaur and the submission of Raymond</w:t></w:r>
</w:p>
<w:p>
<w:pPr><w:pStyle w:val="Normal"/></w:pPr>
<w:r><w:t xml:space="preserve">Roger in no way arrested the progress of the heresy.  The</w:t></w:r>
</w:p>
<w:p>
<w:pPr><w:pStyle w:val="Normal"/></w:pPr>
<w:r><w:t xml:space="preserve">persistent decisions of the councils against the heretics</w:t></w:r>
</w:p>
<w:p>
<w:pPr><w:pStyle w:val="Normal"/></w:pPr>
<w:r><w:t xml:space="preserve">at this period--in particular, those of the council of Tours</w:t></w:r>
</w:p>
<w:p>
<w:pPr><w:pStyle w:val="Normal"/></w:pPr>
<w:r><w:t xml:space="preserve">(1163) and of the oecumenical Lateran council (1179)---had</w:t></w:r>
</w:p>
<w:p>
<w:pPr><w:pStyle w:val="Normal"/></w:pPr>
<w:r><w:t xml:space="preserve">scarcely more effect.  But on ascending the papal throne,</w:t></w:r>
</w:p>
<w:p>
<w:pPr><w:pStyle w:val="Normal"/></w:pPr>
<w:r><w:t xml:space="preserve">Innocent III. resolved to suppress the Albigenses.  At first</w:t></w:r>
</w:p>
<w:p>
<w:pPr><w:pStyle w:val="Normal"/></w:pPr>
<w:r><w:t xml:space="preserve">he tried pacific conversion, and in 1198 and 1199 sent into</w:t></w:r>
</w:p>
<w:p>
<w:pPr><w:pStyle w:val="Normal"/></w:pPr>
<w:r><w:t xml:space="preserve">the affected regions two Cistercian monks, Regnier and Guy, and</w:t></w:r>
</w:p>
<w:p>
<w:pPr><w:pStyle w:val="Normal"/></w:pPr>
<w:r><w:t xml:space="preserve">in 1203 two monks of Fontfroide, Peter of Castelnau and Raoul</w:t></w:r>
</w:p>
<w:p>
<w:pPr><w:pStyle w:val="Normal"/></w:pPr>
<w:r><w:t xml:space="preserve">(Ralph), with whom in 1204 he even associated the Cistercian</w:t></w:r>
</w:p>
<w:p>
<w:pPr><w:pStyle w:val="Normal"/></w:pPr>
<w:r><w:t xml:space="preserve">abbot, Arnaud (Arnold).  They had to contend not only with</w:t></w:r>
</w:p>
<w:p>
<w:pPr><w:pStyle w:val="Normal"/></w:pPr>
<w:r><w:t xml:space="preserve">the heretics, the nobles who protected them, and the people</w:t></w:r>
</w:p>
<w:p>
<w:pPr><w:pStyle w:val="Normal"/></w:pPr>
<w:r><w:t xml:space="preserve">who listened to them and venerated them, but also with the</w:t></w:r>
</w:p>
<w:p>
<w:pPr><w:pStyle w:val="Normal"/></w:pPr>
<w:r><w:t xml:space="preserve">bishops of the district, who rejected the extraordinary</w:t></w:r>
</w:p>
<w:p>
<w:pPr><w:pStyle w:val="Normal"/></w:pPr>
<w:r><w:t xml:space="preserve">authority which the pope had conferred upon his legates, the</w:t></w:r>
</w:p>
<w:p>
<w:pPr><w:pStyle w:val="Normal"/></w:pPr>
<w:r><w:t xml:space="preserve">monks.  In 1204 Innocent III. suspended the authority of the</w:t></w:r>
</w:p>
<w:p>
<w:pPr><w:pStyle w:val="Normal"/></w:pPr>
<w:r><w:t xml:space="preserve">bishops of the south of France.  Peter of Castelnau retaliated</w:t></w:r>
</w:p>
<w:p>
<w:pPr><w:pStyle w:val="Normal"/></w:pPr>
<w:r><w:t xml:space="preserve">by excommunicating Raymond VI., count of Toulouse, as an</w:t></w:r>
</w:p>
<w:p>
<w:pPr><w:pStyle w:val="Normal"/></w:pPr>
<w:r><w:t xml:space="preserve">abettor of heresy (i207), and kindled in the nobles of the</w:t></w:r>
</w:p>
<w:p>
<w:pPr><w:pStyle w:val="Normal"/></w:pPr>
<w:r><w:t xml:space="preserve">south that animosity of which he was the first victim (1209).</w:t></w:r>
</w:p>
<w:p>
<w:pPr><w:pStyle w:val="Normal"/></w:pPr>
<w:r><w:t xml:space="preserve">As soon as he heard of the murder of Peter of Castelnau, the</w:t></w:r>
</w:p>
<w:p>
<w:pPr><w:pStyle w:val="Normal"/></w:pPr>
<w:r><w:t xml:space="preserve">pope ordered the Cistercians to preach the crusade against the</w:t></w:r>
</w:p>
<w:p>
<w:pPr><w:pStyle w:val="Normal"/></w:pPr>
<w:r><w:t xml:space="preserve">Albigenses.  This implacable war, which threw the whole of</w:t></w:r>
</w:p>
<w:p>
<w:pPr><w:pStyle w:val="Normal"/></w:pPr>
<w:r><w:t xml:space="preserve">the nobility of the north of France against that of the south,</w:t></w:r>
</w:p>
<w:p>
<w:pPr><w:pStyle w:val="Normal"/></w:pPr>
<w:r><w:t xml:space="preserve">and destroyed the brilliant Provencal civilization, ended,</w:t></w:r>
</w:p>
<w:p>
<w:pPr><w:pStyle w:val="Normal"/></w:pPr>
<w:r><w:t xml:space="preserve">politically, in the treaty of Paris (1229), by which the king</w:t></w:r>
</w:p>
<w:p>
<w:pPr><w:pStyle w:val="Normal"/></w:pPr>
<w:r><w:t xml:space="preserve">of France dispossessed the house of Toulouse of the greater</w:t></w:r>
</w:p>
<w:p>
<w:pPr><w:pStyle w:val="Heading1"/></w:pPr>
<w:r><w:t>part of its fiefs, and that of Beziers of the whole of its</w:t></w:r>
</w:p>
<w:p>
<w:pPr><w:pStyle w:val="Normal"/></w:pPr>
<w:r><w:t xml:space="preserve">fiefs.  The independence of the princes of the south was at an</w:t></w:r>
</w:p>
<w:p>
<w:pPr><w:pStyle w:val="Normal"/></w:pPr>
<w:r><w:t xml:space="preserve">end, but, so far as the heresy was concerned, Albigensianism</w:t></w:r>
</w:p>
<w:p>
<w:pPr><w:pStyle w:val="Normal"/></w:pPr>
<w:r><w:t xml:space="preserve">was not extinguished, in spite of the wholesale massacres of</w:t></w:r>
</w:p>
<w:p>
<w:pPr><w:pStyle w:val="Normal"/></w:pPr>
<w:r><w:t xml:space="preserve">heretics during the war.  Raymond VII. of Toulouse and the</w:t></w:r>
</w:p>
<w:p>
<w:pPr><w:pStyle w:val="Normal"/></w:pPr>
<w:r><w:t xml:space="preserve">count of Foix gave asylum to the ``faidits&apos;&apos; (proscrtbed),</w:t></w:r>
</w:p>
<w:p>
<w:pPr><w:pStyle w:val="Normal"/></w:pPr>
<w:r><w:t xml:space="preserve">and the people were averse from handing over the bonis</w:t></w:r>
</w:p>
<w:p>
<w:pPr><w:pStyle w:val="Normal"/></w:pPr>
<w:r><w:t xml:space="preserve">hommes. The Inquisition, however, operating unremittingly</w:t></w:r>
</w:p>
<w:p>
<w:pPr><w:pStyle w:val="Normal"/></w:pPr>
<w:r><w:t xml:space="preserve">in the south at Toulouse, Albi, Carcassonne and other towns</w:t></w:r>
</w:p>
<w:p>
<w:pPr><w:pStyle w:val="Normal"/></w:pPr>
<w:r><w:t xml:space="preserve">during the whole of the 13th century and a great part of the</w:t></w:r>
</w:p>
<w:p>
<w:pPr><w:pStyle w:val="Normal"/></w:pPr>
<w:r><w:t xml:space="preserve">14th, succeeded in crushing the heresy.  There were indeed</w:t></w:r>
</w:p>
<w:p>
<w:pPr><w:pStyle w:val="Normal"/></w:pPr>
<w:r><w:t xml:space="preserve">some outbursts of rebellion, some fomented by the nobles of</w:t></w:r>
</w:p>
<w:p>
<w:pPr><w:pStyle w:val="Normal"/></w:pPr>
<w:r><w:t xml:space="preserve">Languedoc (12401242), and others emanating from the people of</w:t></w:r>
</w:p>
<w:p>
<w:pPr><w:pStyle w:val="Normal"/></w:pPr>
<w:r><w:t xml:space="preserve">the towns, who were embittered by confiscations and religious</w:t></w:r>
</w:p>
<w:p>
<w:pPr><w:pStyle w:val="Normal"/></w:pPr>
<w:r><w:t xml:space="preserve">persecutions (e.g. at Narbonne in 1234 and Toulouse in</w:t></w:r>
</w:p>
<w:p>
<w:pPr><w:pStyle w:val="Normal"/></w:pPr>
<w:r><w:t xml:space="preserve">1235), but the repressive measures were terrible.  In 1245 the</w:t></w:r>
</w:p>
<w:p>
<w:pPr><w:pStyle w:val="Normal"/></w:pPr>
<w:r><w:t xml:space="preserve">royal officers assisting the Inquisition seized the heretical</w:t></w:r>
</w:p>
<w:p>
<w:pPr><w:pStyle w:val="Normal"/></w:pPr>
<w:r><w:t xml:space="preserve">citadel of Montsegur, and 200 Cathari were burned in one</w:t></w:r>
</w:p>
<w:p>
<w:pPr><w:pStyle w:val="Normal"/></w:pPr>
<w:r><w:t xml:space="preserve">day.  Moreover, the church decreed severe chastisement</w:t></w:r>
</w:p>
<w:p>
<w:pPr><w:pStyle w:val="Normal"/></w:pPr>
<w:r><w:t xml:space="preserve">against all laymen suspected of sympathy with the heretics</w:t></w:r>
</w:p>
<w:p>
<w:pPr><w:pStyle w:val="Normal"/></w:pPr>
<w:r><w:t xml:space="preserve">(council of Narbonne, 1235; Bull Ad extirpanda, 1252).</w:t></w:r>
</w:p>
<w:p>
<w:pPr><w:pStyle w:val="Normal"/></w:pPr>
<w:r><w:t xml:space="preserve">Hunted down by the Inquisition and quickly abandoned by the</w:t></w:r>
</w:p>
<w:p>
<w:pPr><w:pStyle w:val="Normal"/></w:pPr>
<w:r><w:t xml:space="preserve">nobles of the district, the Albigenses became more and more</w:t></w:r>
</w:p>
<w:p>
<w:pPr><w:pStyle w:val="Normal"/></w:pPr>
<w:r><w:t xml:space="preserve">scattered, hiding in the forests and mountains, and only</w:t></w:r>
</w:p>
<w:p>
<w:pPr><w:pStyle w:val="Normal"/></w:pPr>
<w:r><w:t xml:space="preserve">meeting surreptitiously.  There were some recrudescences of</w:t></w:r>
</w:p>
<w:p>
<w:pPr><w:pStyle w:val="Normal"/></w:pPr>
<w:r><w:t xml:space="preserve">heresy, such as that produced by the preaching (1298-1509)</w:t></w:r>
</w:p>
<w:p>
<w:pPr><w:pStyle w:val="Normal"/></w:pPr>
<w:r><w:t xml:space="preserve">of the Catharist minister, Pierre Authier; the people, too,</w:t></w:r>
</w:p>
<w:p>
<w:pPr><w:pStyle w:val="Normal"/></w:pPr>
<w:r><w:t xml:space="preserve">made some attempts to throw off the yoke of the Inquisition</w:t></w:r>
</w:p>
<w:p>
<w:pPr><w:pStyle w:val="Normal"/></w:pPr>
<w:r><w:t xml:space="preserve">and the French,i and insurrections broke out under the</w:t></w:r>
</w:p>
<w:p>
<w:pPr><w:pStyle w:val="Normal"/></w:pPr>
<w:r><w:t xml:space="preserve">leadership of Bernard of Foix, Aimerv of Narbonne, and,</w:t></w:r>
</w:p>
<w:p>
<w:pPr><w:pStyle w:val="Normal"/></w:pPr>
<w:r><w:t xml:space="preserve">especially, Bernard Delicieux at the beginning of the 14th</w:t></w:r>
</w:p>
<w:p>
<w:pPr><w:pStyle w:val="Normal"/></w:pPr>
<w:r><w:t xml:space="preserve">century.  But at this point vast inquests were set on foot</w:t></w:r>
</w:p>
<w:p>
<w:pPr><w:pStyle w:val="Normal"/></w:pPr>
<w:r><w:t xml:space="preserve">by the Inquisition, which terrorized the district.  Precise</w:t></w:r>
</w:p>
<w:p>
<w:pPr><w:pStyle w:val="Normal"/></w:pPr>
<w:r><w:t xml:space="preserve">indications of these are found in the registers of the Inquisitors,</w:t></w:r>
</w:p>
<w:p>
<w:pPr><w:pStyle w:val="Normal"/></w:pPr>
<w:r><w:t xml:space="preserve">Bernard of Caux, Jean de St Pierre, Geoffroy d&apos;Ablis, and</w:t></w:r>
</w:p>
<w:p>
<w:pPr><w:pStyle w:val="Normal"/></w:pPr>
<w:r><w:t xml:space="preserve">others.  The sect, moreover, was exhausted and could find</w:t></w:r>
</w:p>
<w:p>
<w:pPr><w:pStyle w:val="Normal"/></w:pPr>
<w:r><w:t xml:space="preserve">no more adepts in a district which, by fair means or foul,</w:t></w:r>
</w:p>
<w:p>
<w:pPr><w:pStyle w:val="Normal"/></w:pPr>
<w:r><w:t xml:space="preserve">had arrived at a state of peace and political and religious</w:t></w:r>
</w:p>
<w:p>
<w:pPr><w:pStyle w:val="Normal"/></w:pPr>
<w:r><w:t xml:space="preserve">unity.  After 1330 the records of the Inquisition contain but</w:t></w:r>
</w:p>
<w:p>
<w:pPr><w:pStyle w:val="Normal"/></w:pPr>
<w:r><w:t xml:space="preserve">few proceedings against Catharists. (See also under CATHARS.)</w:t></w:r>
</w:p>
<w:p>
<w:pPr><w:pStyle w:val="Normal"/></w:pPr>
<w:r><w:t xml:space="preserve">AUTHORITIES.---See C. Schmidt&apos;s Histoire de la secte des</w:t></w:r>
</w:p>
<w:p>
<w:pPr><w:pStyle w:val="Normal"/></w:pPr>
<w:r><w:t xml:space="preserve">Cathares ou Albigeois (Paris, 1849), which is still the</w:t></w:r>
</w:p>
<w:p>
<w:pPr><w:pStyle w:val="Normal"/></w:pPr>
<w:r><w:t xml:space="preserve">most important work on the subject.  The following will be</w:t></w:r>
</w:p>
<w:p>
<w:pPr><w:pStyle w:val="Normal"/></w:pPr>
<w:r><w:t xml:space="preserve">found useful: D. Vaissete, Histoire de Languedoc, vols. iii.</w:t></w:r>
</w:p>
<w:p>
<w:pPr><w:pStyle w:val="Normal"/></w:pPr>
<w:r><w:t xml:space="preserve">iv. vii. viii. (new edition); Ch. Molinier, L&apos;Inquisition</w:t></w:r>
</w:p>
<w:p>
<w:pPr><w:pStyle w:val="Normal"/></w:pPr>
<w:r><w:t xml:space="preserve">dans le Midi de la France (Paris, 1880), and the other</w:t></w:r>
</w:p>
<w:p>
<w:pPr><w:pStyle w:val="Normal"/></w:pPr>
<w:r><w:t xml:space="preserve">works by the same author; L. Tanon, Histoire des tribunaux</w:t></w:r>
</w:p>
<w:p>
<w:pPr><w:pStyle w:val="Normal"/></w:pPr>
<w:r><w:t xml:space="preserve">de l&apos;Inquisition en France (Paris, 1893). Les Albigeois,</w:t></w:r>
</w:p>
<w:p>
<w:pPr><w:pStyle w:val="Normal"/></w:pPr>
<w:r><w:t xml:space="preserve">leurs origines (Paris, 1878), by Douais, should be read with</w:t></w:r>
</w:p>
<w:p>
<w:pPr><w:pStyle w:val="Normal"/></w:pPr>
<w:r><w:t xml:space="preserve">caution.  Of the sources, which are very numerous, may be</w:t></w:r>
</w:p>
<w:p>
<w:pPr><w:pStyle w:val="Normal"/></w:pPr>
<w:r><w:t xml:space="preserve">mentioned: the Liber Sententiarum of the Inquisition of</w:t></w:r>
</w:p>
<w:p>
<w:pPr><w:pStyle w:val="Normal"/></w:pPr>
<w:r><w:t xml:space="preserve">Carcassonne, published by Ph. van Limborch at the end of his</w:t></w:r>
</w:p>
<w:p>
<w:pPr><w:pStyle w:val="Normal"/></w:pPr>
<w:r><w:t xml:space="preserve">Historia Inquisitionis (Amsterdam, 1692): other registers of</w:t></w:r>
</w:p>
<w:p>
<w:pPr><w:pStyle w:val="Normal"/></w:pPr>
<w:r><w:t xml:space="preserve">the inquisition analysed at length by Ch. Molinier, op cit.,</w:t></w:r>
</w:p>
<w:p>
<w:pPr><w:pStyle w:val="Normal"/></w:pPr>
<w:r><w:t xml:space="preserve">some published in vol. ii. of the Documents pour l&apos;histoire</w:t></w:r>
</w:p>
<w:p>
<w:pPr><w:pStyle w:val="Normal"/></w:pPr>
<w:r><w:t xml:space="preserve">de l&apos;Inquisition (Paris, 1900), by C. Douais; numerous texts</w:t></w:r>
</w:p>
<w:p>
<w:pPr><w:pStyle w:val="Normal"/></w:pPr>
<w:r><w:t xml:space="preserve">concerning the last days of Albigensianism, collected by M.</w:t></w:r>
</w:p>
<w:p>
<w:pPr><w:pStyle w:val="Normal"/></w:pPr>
<w:r><w:t xml:space="preserve">Vidal, ``Les derniers ministres albigeois,&apos; in Rev. de quest.</w:t></w:r>
</w:p>
<w:p>
<w:pPr><w:pStyle w:val="Normal"/></w:pPr>
<w:r><w:t xml:space="preserve">histor. (1906).  See also the Rituel cathare, ed. by Cunitz</w:t></w:r>
</w:p>
<w:p>
<w:pPr><w:pStyle w:val="Normal"/></w:pPr>
<w:r><w:t xml:space="preserve">(Jena, 1852); the Nouveau Testament en provencal, ed. by</w:t></w:r>
</w:p>
<w:p>
<w:pPr><w:pStyle w:val="Normal"/></w:pPr>
<w:r><w:t xml:space="preserve">Cledat (Paris, 1887); and the very curious Debat d&apos;Yzarn</w:t></w:r>
</w:p>
<w:p>
<w:pPr><w:pStyle w:val="Normal"/></w:pPr>
<w:r><w:t xml:space="preserve">et de Sicart de Figueiras, ed. by P. Meyer (1880).  On</w:t></w:r>
</w:p>
<w:p>
<w:pPr><w:pStyle w:val="Normal"/></w:pPr>
<w:r><w:t xml:space="preserve">the ethics of the Catharists, see Jean Guiraud, Questions</w:t></w:r>
</w:p>
<w:p>
<w:pPr><w:pStyle w:val="Normal"/></w:pPr>
<w:r><w:t xml:space="preserve">d&apos;histoire et d&apos;archeologie chretienne (Paris, 1906); and</w:t></w:r>
</w:p>
<w:p>
<w:pPr><w:pStyle w:val="Normal"/></w:pPr>
<w:r><w:t xml:space="preserve">P. Alphandery, Les idees morales chez les heterodoxes</w:t></w:r>
</w:p>
<w:p>
<w:pPr><w:pStyle w:val="Normal"/></w:pPr>
<w:r><w:t xml:space="preserve">latins au debut du XIIIe siecle (Paris, 1903). (P. A.)</w:t></w:r>
</w:p>
<w:p>
<w:pPr><w:pStyle w:val="Normal"/></w:pPr>
<w:r><w:t xml:space="preserve">1 These they often confounded and a heretic is described aa</w:t></w:r>
</w:p>
<w:p>
<w:pPr><w:pStyle w:val="Normal"/></w:pPr>
<w:r><w:t xml:space="preserve">saying: ``Clergy and French, they are one and the same thing.&apos;&apos;</w:t></w:r>
</w:p>
<w:p>
<w:pPr><w:pStyle w:val="Normal"/></w:pPr>
<w:r><w:t xml:space="preserve">ALBINO, a biological term (Lat. albus, white), in the usual</w:t></w:r>
</w:p>
<w:p>
<w:pPr><w:pStyle w:val="Normal"/></w:pPr>
<w:r><w:t xml:space="preserve">acceptation, for a pigmentless individual of a normally pigmented</w:t></w:r>
</w:p>
<w:p>
<w:pPr><w:pStyle w:val="Normal"/></w:pPr>
<w:r><w:t xml:space="preserve">race.  Among some flowering plants, however, the character</w:t></w:r>
</w:p>
<w:p>
<w:pPr><w:pStyle w:val="Normal"/></w:pPr>
<w:r><w:t xml:space="preserve">has become one of specific rank, .and among animals we have</w:t></w:r>
</w:p>
<w:p>
<w:pPr><w:pStyle w:val="Normal"/></w:pPr>
<w:r><w:t xml:space="preserve">in the polar bear and the Greenland hare instances where</w:t></w:r>
</w:p>
<w:p>
<w:pPr><w:pStyle w:val="Normal"/></w:pPr>
<w:r><w:t xml:space="preserve">partial albinism--for in them the eyes are black and other</w:t></w:r>
</w:p>
<w:p>
<w:pPr><w:pStyle w:val="Normal"/></w:pPr>
<w:r><w:t xml:space="preserve">parts may be pigmented--has also become a specific character.</w:t></w:r>
</w:p>
<w:p>
<w:pPr><w:pStyle w:val="Normal"/></w:pPr>
<w:r><w:t xml:space="preserve">A true or complete albino is altogether devoid of pigment.</w:t></w:r>
</w:p>
<w:p>
<w:pPr><w:pStyle w:val="Normal"/></w:pPr>
<w:r><w:t xml:space="preserve">One result of this among the Vertebrata is that the eyeball</w:t></w:r>
</w:p>
<w:p>
<w:pPr><w:pStyle w:val="Normal"/></w:pPr>
<w:r><w:t xml:space="preserve">is pink in colour, since the cornea, iris and retina being</w:t></w:r>
</w:p>
<w:p>
<w:pPr><w:pStyle w:val="Normal"/></w:pPr>
<w:r><w:t xml:space="preserve">transparent, the red blood contained in the capillaries is</w:t></w:r>
</w:p>
<w:p>
<w:pPr><w:pStyle w:val="Normal"/></w:pPr>
<w:r><w:t xml:space="preserve">unmasked by the absence of pigmentary material.  In man, and</w:t></w:r>
</w:p>
<w:p>
<w:pPr><w:pStyle w:val="Normal"/></w:pPr>
<w:r><w:t xml:space="preserve">doubtless also in lower forms, the absence of this pigment</w:t></w:r>
</w:p>
<w:p>
<w:pPr><w:pStyle w:val="Normal"/></w:pPr>
<w:r><w:t xml:space="preserve">produces the well marked albinotic facies.  This is a condition</w:t></w:r>
</w:p>
<w:p>
<w:pPr><w:pStyle w:val="Normal"/></w:pPr>
<w:r><w:t xml:space="preserve">in which the eyelids are brought into a nearly closed position</w:t></w:r>
</w:p>
<w:p>
<w:pPr><w:pStyle w:val="Normal"/></w:pPr>
<w:r><w:t xml:space="preserve">accompanied by blinking movements and a general wrinkling of</w:t></w:r>
</w:p>
<w:p>
<w:pPr><w:pStyle w:val="Normal"/></w:pPr>
<w:r><w:t xml:space="preserve">the skin around the immediate neighbourhood of the eyes.  It</w:t></w:r>
</w:p>
<w:p>
<w:pPr><w:pStyle w:val="Normal"/></w:pPr>
<w:r><w:t xml:space="preserve">is the result of the too great intensity of the light incident</w:t></w:r>
</w:p>
<w:p>
<w:pPr><w:pStyle w:val="Normal"/></w:pPr>
<w:r><w:t xml:space="preserve">upon the retina, and which in normal eyeballs is adequately</w:t></w:r>
</w:p>
<w:p>
<w:pPr><w:pStyle w:val="Normal"/></w:pPr>
<w:r><w:t xml:space="preserve">diminished by the absorptive power of the pigmentary material.</w:t></w:r>
</w:p>
<w:p>
<w:pPr><w:pStyle w:val="Normal"/></w:pPr>
<w:r><w:t xml:space="preserve">In a complete albino not only is all pigment absent in the</w:t></w:r>
</w:p>
<w:p>
<w:pPr><w:pStyle w:val="Normal"/></w:pPr>
<w:r><w:t xml:space="preserve">skin, but also that which is normally present in deeper</w:t></w:r>
</w:p>
<w:p>
<w:pPr><w:pStyle w:val="Normal"/></w:pPr>
<w:r><w:t xml:space="preserve">organs, such as the sympathetic nervous system and in the</w:t></w:r>
</w:p>
<w:p>
<w:pPr><w:pStyle w:val="Normal"/></w:pPr>
<w:r><w:t xml:space="preserve">substanlia nigra of the brain.  There is some reason to</w:t></w:r>
</w:p>
<w:p>
<w:pPr><w:pStyle w:val="Normal"/></w:pPr>
<w:r><w:t xml:space="preserve">believe that a peculiar condition found in the majority of</w:t></w:r>
</w:p>
<w:p>
<w:pPr><w:pStyle w:val="Normal"/></w:pPr>
<w:r><w:t xml:space="preserve">human albinoes, and knovn as nystagmus, is correlated with</w:t></w:r>
</w:p>
<w:p>
<w:pPr><w:pStyle w:val="Normal"/></w:pPr>
<w:r><w:t xml:space="preserve">the absence of pigment in the central nervous system.  This</w:t></w:r>
</w:p>
<w:p>
<w:pPr><w:pStyle w:val="Normal"/></w:pPr>
<w:r><w:t xml:space="preserve">condition is one marked by unsteadiness---a sort of flickering</w:t></w:r>
</w:p>
<w:p>
<w:pPr><w:pStyle w:val="Normal"/></w:pPr>
<w:r><w:t xml:space="preserve">rolling--of the eyeballs, and it becomes more marked as they</w:t></w:r>
</w:p>
<w:p>
<w:pPr><w:pStyle w:val="Normal"/></w:pPr>
<w:r><w:t xml:space="preserve">endeavour to adjust their accommodation to near objects.  It</w:t></w:r>
</w:p>
<w:p>
<w:pPr><w:pStyle w:val="Normal"/></w:pPr>
<w:r><w:t xml:space="preserve">is thought to depend upon some connexion, not yet anatomically</w:t></w:r>
</w:p>
<w:p>
<w:pPr><w:pStyle w:val="Normal"/></w:pPr>
<w:r><w:t xml:space="preserve">demonstrated, between the third cranial nerve and its nucleus</w:t></w:r>
</w:p>
<w:p>
<w:pPr><w:pStyle w:val="Normal"/></w:pPr>
<w:r><w:t xml:space="preserve">in the floor of the iter and the substantia nigra.</w:t></w:r>
</w:p>
<w:p>
<w:pPr><w:pStyle w:val="Normal"/></w:pPr>
<w:r><w:t xml:space="preserve">In addition to complete albinism, there exist, however, various</w:t></w:r>
</w:p>
<w:p>
<w:pPr><w:pStyle w:val="Normal"/></w:pPr>
<w:r><w:t xml:space="preserve">albinotic conditions in which more or less pigment may be</w:t></w:r>
</w:p>
<w:p>
<w:pPr><w:pStyle w:val="Normal"/></w:pPr>
<w:r><w:t xml:space="preserve">present.  Familiar instances of this partial albinism is</w:t></w:r>
</w:p>
<w:p>
<w:pPr><w:pStyle w:val="Normal"/></w:pPr>
<w:r><w:t xml:space="preserve">seen in the domestic breed of Himalayan rabbits.  In these</w:t></w:r>
</w:p>
<w:p>
<w:pPr><w:pStyle w:val="Normal"/></w:pPr>
<w:r><w:t xml:space="preserve">animals the eyeball and the fur of the body are unpigmented,</w:t></w:r>
</w:p>
<w:p>
<w:pPr><w:pStyle w:val="Normal"/></w:pPr>
<w:r><w:t xml:space="preserve">but the tips of the ear pinnae and extremities of the fore</w:t></w:r>
</w:p>
<w:p>
<w:pPr><w:pStyle w:val="Normal"/></w:pPr>
<w:r><w:t xml:space="preserve">and hind limbs, together with the tail, are marked by more</w:t></w:r>
</w:p>
<w:p>
<w:pPr><w:pStyle w:val="Normal"/></w:pPr>
<w:r><w:t xml:space="preserve">or less well defined colour.  One remarkable feature of these</w:t></w:r>
</w:p>
<w:p>
<w:pPr><w:pStyle w:val="Normal"/></w:pPr>
<w:r><w:t xml:space="preserve">animals is that for a few months after birth they are complete</w:t></w:r>
</w:p>
<w:p>
<w:pPr><w:pStyle w:val="Normal"/></w:pPr>
<w:r><w:t xml:space="preserve">albinoes.  Occasionally, however, some are born with a grey</w:t></w:r>
</w:p>
<w:p>
<w:pPr><w:pStyle w:val="Normal"/></w:pPr>
<w:r><w:t xml:space="preserve">colour and a few may be quite black, but ultimately they</w:t></w:r>
</w:p>
<w:p>
<w:pPr><w:pStyle w:val="Normal"/></w:pPr>
<w:r><w:t xml:space="preserve">attain their characteristic coat.  There is some reason to</w:t></w:r>
</w:p>
<w:p>
<w:pPr><w:pStyle w:val="Normal"/></w:pPr>
<w:r><w:t xml:space="preserve">believe, as we shall see later, that in spite of the presence</w:t></w:r>
</w:p>
<w:p>
<w:pPr><w:pStyle w:val="Normal"/></w:pPr>
<w:r><w:t xml:space="preserve">of a little pigment and of occasional wholly pigmented young</w:t></w:r>
</w:p>
<w:p>
<w:pPr><w:pStyle w:val="Normal"/></w:pPr>
<w:r><w:t xml:space="preserve">ones, Himalayans must be regarded as true albinoes.  Other</w:t></w:r>
</w:p>
<w:p>
<w:pPr><w:pStyle w:val="Normal"/></w:pPr>
<w:r><w:t xml:space="preserve">individual rabbits, but belonging to no particular breed,</w:t></w:r>
</w:p>
<w:p>
<w:pPr><w:pStyle w:val="Normal"/></w:pPr>
<w:r><w:t xml:space="preserve">are similarly marked, but in addition the eyeballs arc</w:t></w:r>
</w:p>
<w:p>
<w:pPr><w:pStyle w:val="Normal"/></w:pPr>
<w:r><w:t xml:space="preserve">black.  Some domesticated mice are entirely white with the</w:t></w:r>
</w:p>
<w:p>
<w:pPr><w:pStyle w:val="Normal"/></w:pPr>
<w:r><w:t xml:space="preserve">exception that they have black eyeballs; and individuals</w:t></w:r>
</w:p>
<w:p>
<w:pPr><w:pStyle w:val="Normal"/></w:pPr>
<w:r><w:t xml:space="preserve">of this type are known in which there is a reduction of</w:t></w:r>
</w:p>
<w:p>
<w:pPr><w:pStyle w:val="Normal"/></w:pPr>
<w:r><w:t xml:space="preserve">pigment in the eyeballs, and since the colour of the blood</w:t></w:r>
</w:p>
<w:p>
<w:pPr><w:pStyle w:val="Normal"/></w:pPr>
<w:r><w:t xml:space="preserve">is then partially visible these appear of a reddish-black</w:t></w:r>
</w:p>
<w:p>
<w:pPr><w:pStyle w:val="Normal"/></w:pPr>
<w:r><w:t xml:space="preserve">colour.  Such cases are interesting as representing the last</w:t></w:r>
</w:p>
<w:p>
<w:pPr><w:pStyle w:val="Normal"/></w:pPr>
<w:r><w:t xml:space="preserve">step in the graded series through which the condition of</w:t></w:r>
</w:p>
<w:p>
<w:pPr><w:pStyle w:val="Normal"/></w:pPr>
<w:r><w:t xml:space="preserve">complete pigmentation passes into that of complete albinism.</w:t></w:r>
</w:p>
<w:p>
<w:pPr><w:pStyle w:val="Normal"/></w:pPr>
<w:r><w:t xml:space="preserve">There is evidence, as shown by G. M. Allen, that partial</w:t></w:r>
</w:p>
<w:p>
<w:pPr><w:pStyle w:val="Normal"/></w:pPr>
<w:r><w:t xml:space="preserve">albinism is a condition in which pigment is reduced around</w:t></w:r>
</w:p>
<w:p>
<w:pPr><w:pStyle w:val="Normal"/></w:pPr>
<w:r><w:t xml:space="preserve">definite body centres, so that unpigmented areas occur</w:t></w:r>
</w:p>
<w:p>
<w:pPr><w:pStyle w:val="Normal"/></w:pPr>
<w:r><w:t xml:space="preserve">between the pigment patches or at their borders.  In the</w:t></w:r>
</w:p>
<w:p>
<w:pPr><w:pStyle w:val="Normal"/></w:pPr>
<w:r><w:t xml:space="preserve">mouse, ten such centres may be distinguished, arranged</w:t></w:r>
</w:p>
<w:p>
<w:pPr><w:pStyle w:val="Normal"/></w:pPr>
<w:r><w:t xml:space="preserve">symmetrically five on either side of the median plane---a</w:t></w:r>
</w:p>
<w:p>
<w:pPr><w:pStyle w:val="Normal"/></w:pPr>
<w:r><w:t xml:space="preserve">cheek patch, neck patch, shoulder patch, side patch and rump</w:t></w:r>
</w:p>
<w:p>
<w:pPr><w:pStyle w:val="Normal"/></w:pPr>
<w:r><w:t xml:space="preserve">patch.  Various degrees in the reduction of the pigment</w:t></w:r>
</w:p>
<w:p>
<w:pPr><w:pStyle w:val="Normal"/></w:pPr>
<w:r><w:t xml:space="preserve">patches up to that of complete elimination may be traced.</w:t></w:r>
</w:p>
<w:p>
<w:pPr><w:pStyle w:val="Normal"/></w:pPr>
<w:r><w:t xml:space="preserve">Some animals are wholly pigmented during the summer and</w:t></w:r>
</w:p>
<w:p>
<w:pPr><w:pStyle w:val="Normal"/></w:pPr>
<w:r><w:t xml:space="preserve">autumn, but through the winter and spring they are in the</w:t></w:r>
</w:p>
<w:p>
<w:pPr><w:pStyle w:val="Normal"/></w:pPr>
<w:r><w:t xml:space="preserve">condition of extreme partial albinism and become almost complete</w:t></w:r>
</w:p>
<w:p>
<w:pPr><w:pStyle w:val="Normal"/></w:pPr>
<w:r><w:t xml:space="preserve">albinoes.  Such instances are found in the Scotch blue hare</w:t></w:r>
</w:p>
<w:p>
<w:pPr><w:pStyle w:val="Normal"/></w:pPr>
<w:r><w:t xml:space="preserve">(Lepus timidus), in the Norway hare, in the North American</w:t></w:r>
</w:p>
<w:p>
<w:pPr><w:pStyle w:val="Normal"/></w:pPr>
<w:r><w:t xml:space="preserve">hare (H. americanius), in the arctic fox (Canis lagopus),</w:t></w:r>
</w:p>
<w:p>
<w:pPr><w:pStyle w:val="Normal"/></w:pPr>
<w:r><w:t xml:space="preserve">in the stoat and ermine, and among birds, in the ptarmigan,</w:t></w:r>
</w:p>
<w:p>
<w:pPr><w:pStyle w:val="Normal"/></w:pPr>
<w:r><w:t xml:space="preserve">and some other species of Lagopus. How the change from the</w:t></w:r>
</w:p>
<w:p>
<w:pPr><w:pStyle w:val="Normal"/></w:pPr>
<w:r><w:t xml:space="preserve">autumnal to the winter condition takes place appears not to</w:t></w:r>
</w:p>
<w:p>
<w:pPr><w:pStyle w:val="Normal"/></w:pPr>
<w:r><w:t xml:space="preserve">be definitely settled in all cases, and accurate observations</w:t></w:r>
</w:p>
<w:p>
<w:pPr><w:pStyle w:val="Normal"/></w:pPr>
<w:r><w:t xml:space="preserve">are much to be desired.  In the case of the Norway hare,</w:t></w:r>
</w:p>
<w:p>
<w:pPr><w:pStyle w:val="Normal"/></w:pPr>
<w:r><w:t xml:space="preserve">it has been stated that a general moult, including all the</w:t></w:r>
</w:p>
<w:p>
<w:pPr><w:pStyle w:val="Normal"/></w:pPr>
<w:r><w:t xml:space="preserve">hairs and under fur, takes place and new white hairs are</w:t></w:r>
</w:p>
<w:p>
<w:pPr><w:pStyle w:val="Normal"/></w:pPr>
<w:r><w:t xml:space="preserve">substituted.  The process of moulting is said to begin in</w:t></w:r>
</w:p>
<w:p>
<w:pPr><w:pStyle w:val="Normal"/></w:pPr>
<w:r><w:t xml:space="preserve">the middle of autumn and is completed before the end of</w:t></w:r>
</w:p>
<w:p>
<w:pPr><w:pStyle w:val="Normal"/></w:pPr>
<w:r><w:t xml:space="preserve">December, by which time the fur is in its winter condition,</w:t></w:r>
</w:p>
<w:p>
<w:pPr><w:pStyle w:val="Normal"/></w:pPr>
<w:r><w:t xml:space="preserve">and is closer, fuller and longer than in summer (Naturalists&apos;</w:t></w:r>
</w:p>
<w:p>
<w:pPr><w:pStyle w:val="Normal"/></w:pPr>
<w:r><w:t xml:space="preserve">Library, vol. vii.).  On the other hand, it has been stated</w:t></w:r>
</w:p>
<w:p>
<w:pPr><w:pStyle w:val="Normal"/></w:pPr>
<w:r><w:t xml:space="preserve">that during the whole of the transformation in the fur no</w:t></w:r>
</w:p>
<w:p>
<w:pPr><w:pStyle w:val="Normal"/></w:pPr>
<w:r><w:t xml:space="preserve">hairs fall from the animal, and it is attributed to an actual</w:t></w:r>
</w:p>
<w:p>
<w:pPr><w:pStyle w:val="Normal"/></w:pPr>
<w:r><w:t xml:space="preserve">change in the colour of the hair (Edinburgh Philosophical</w:t></w:r>
</w:p>
<w:p>
<w:pPr><w:pStyle w:val="Normal"/></w:pPr>
<w:r><w:t xml:space="preserve">Journal, vol. xi. p. 191).  In the case of the American</w:t></w:r>
</w:p>
<w:p>
<w:pPr><w:pStyle w:val="Normal"/></w:pPr>
<w:r><w:t xml:space="preserve">hare, however, some very careful observations have been</w:t></w:r>
</w:p>
<w:p>
<w:pPr><w:pStyle w:val="Normal"/></w:pPr>
<w:r><w:t xml:space="preserve">made by F. H. Welch.  In this animal the long hairs (which</w:t></w:r>
</w:p>
<w:p>
<w:pPr><w:pStyle w:val="Normal"/></w:pPr>
<w:r><w:t xml:space="preserve">form the pile) become white at their extremities, and in</w:t></w:r>
</w:p>
<w:p>
<w:pPr><w:pStyle w:val="Normal"/></w:pPr>
<w:r><w:t xml:space="preserve">some of them this whiteness extends through their whole</w:t></w:r>
</w:p>
<w:p>
<w:pPr><w:pStyle w:val="Normal"/></w:pPr>
<w:r><w:t xml:space="preserve">length.  At the same time, new hairs begin to develop and</w:t></w:r>
</w:p>
<w:p>
<w:pPr><w:pStyle w:val="Normal"/></w:pPr>
<w:r><w:t xml:space="preserve">to grow rapidly, and soon outstrip the hairs of the autumn</w:t></w:r>
</w:p>
<w:p>
<w:pPr><w:pStyle w:val="Normal"/></w:pPr>
<w:r><w:t xml:space="preserve">pile.  From their first appearance these new hairs are white</w:t></w:r>
</w:p>
<w:p>
<w:pPr><w:pStyle w:val="Normal"/></w:pPr>
<w:r><w:t xml:space="preserve">and stiff, and they are confined to the sides and back of the</w:t></w:r>
</w:p>
<w:p>
<w:pPr><w:pStyle w:val="Normal"/></w:pPr>
<w:r><w:t xml:space="preserve">body.  It is not clear from Welch&apos;s account what is the cause</w:t></w:r>
</w:p>
<w:p>
<w:pPr><w:pStyle w:val="Normal"/></w:pPr>
<w:r><w:t xml:space="preserve">of the whiteness of the tips of the hairs of the autumn coat,</w:t></w:r>
</w:p>
<w:p>
<w:pPr><w:pStyle w:val="Normal"/></w:pPr>
<w:r><w:t xml:space="preserve">but his figures suggest that it is due to the development</w:t></w:r>
</w:p>
<w:p>
<w:pPr><w:pStyle w:val="Normal"/></w:pPr>
<w:r><w:t xml:space="preserve">of gas in the interspaces between the keratin bridges and</w:t></w:r>
</w:p>
<w:p>
<w:pPr><w:pStyle w:val="Normal"/></w:pPr>
<w:r><w:t xml:space="preserve">trabeculae of the hairs.  There is nothing to show whether</w:t></w:r>
</w:p>
<w:p>
<w:pPr><w:pStyle w:val="Normal"/></w:pPr>
<w:r><w:t xml:space="preserve">the pigment persists or is absorbed.  Probably it persists.</w:t></w:r>
</w:p>
<w:p>
<w:pPr><w:pStyle w:val="Normal"/></w:pPr>
<w:r><w:t xml:space="preserve">In this event, the whiteness of the tips will be due to the</w:t></w:r>
</w:p>
<w:p>
<w:pPr><w:pStyle w:val="Normal"/></w:pPr>
<w:r><w:t xml:space="preserve">scattering or irregular reflexion of the incident rays of</w:t></w:r>
</w:p>
<w:p>
<w:pPr><w:pStyle w:val="Normal"/></w:pPr>
<w:r><w:t xml:space="preserve">light from the surface of the numerous gas bubbles.  In the</w:t></w:r>
</w:p>
<w:p>
<w:pPr><w:pStyle w:val="Normal"/></w:pPr>
<w:r><w:t xml:space="preserve">case of the ptarmigan the evidence is clear that the existing</w:t></w:r>
</w:p>
<w:p>
<w:pPr><w:pStyle w:val="Normal"/></w:pPr>
<w:r><w:t xml:space="preserve">autumnal feathers do change, more or less completely, to</w:t></w:r>
</w:p>
<w:p>
<w:pPr><w:pStyle w:val="Normal"/></w:pPr>
<w:r><w:t xml:space="preserve">white.  But the evidence is not conclusive as to whether any part</w:t></w:r>
</w:p>
<w:p>
<w:pPr><w:pStyle w:val="Normal"/></w:pPr>
<w:r><w:t xml:space="preserve">of the winter condition is additionally produced by moulting.</w:t></w:r>
</w:p>
<w:p>
<w:pPr><w:pStyle w:val="Normal"/></w:pPr>
<w:r><w:t xml:space="preserve">The condition of albinism thus assumed as a seasonal variation</w:t></w:r>
</w:p>
<w:p>
<w:pPr><w:pStyle w:val="Normal"/></w:pPr>
<w:r><w:t xml:space="preserve">is never complete, for the eyes at least retain their pigmented</w:t></w:r>
</w:p>
<w:p>
<w:pPr><w:pStyle w:val="Normal"/></w:pPr>
<w:r><w:t xml:space="preserve">state.  The reason of this is readily understood when it is</w:t></w:r>
</w:p>
<w:p>
<w:pPr><w:pStyle w:val="Normal"/></w:pPr>
<w:r><w:t xml:space="preserve">borne in mind how disadvantageous to the function of sight is</w:t></w:r>
</w:p>
<w:p>
<w:pPr><w:pStyle w:val="Normal"/></w:pPr>
<w:r><w:t xml:space="preserve">the unpigmented condition of an albino&apos;s eyeball; a disadvantage</w:t></w:r>
</w:p>
<w:p>
<w:pPr><w:pStyle w:val="Normal"/></w:pPr>
<w:r><w:t xml:space="preserve">which would be probably much accentuated, in the cases now under</w:t></w:r>
</w:p>
<w:p>
<w:pPr><w:pStyle w:val="Normal"/></w:pPr>
<w:r><w:t xml:space="preserve">consideration, by the bright glare from the surface of the</w:t></w:r>
</w:p>
<w:p>
<w:pPr><w:pStyle w:val="Normal"/></w:pPr>
<w:r><w:t xml:space="preserve">snow, which forms the natural environment of these animals</w:t></w:r>
</w:p>
<w:p>
<w:pPr><w:pStyle w:val="Normal"/></w:pPr>
<w:r><w:t xml:space="preserve">at the particular period of the year when the winter change</w:t></w:r>
</w:p>
<w:p>
<w:pPr><w:pStyle w:val="Normal"/></w:pPr>
<w:r><w:t xml:space="preserve">occurs.  In some cases, as in all the varying hares, in addition</w:t></w:r>
</w:p>
<w:p>
<w:pPr><w:pStyle w:val="Normal"/></w:pPr>
<w:r><w:t xml:space="preserve">to the eyes retaining their normal pigmentation, areas similar</w:t></w:r>
</w:p>
<w:p>
<w:pPr><w:pStyle w:val="Normal"/></w:pPr>
<w:r><w:t xml:space="preserve">in extent and situation to those on the Himalayan rabbits also</w:t></w:r>
</w:p>
<w:p>
<w:pPr><w:pStyle w:val="Normal"/></w:pPr>
<w:r><w:t xml:space="preserve">retain their pigmentation; and in the ptarmigan there is a</w:t></w:r>
</w:p>
<w:p>
<w:pPr><w:pStyle w:val="Normal"/></w:pPr>
<w:r><w:t xml:space="preserve">black band on each side of the head stretching forwards and</w:t></w:r>
</w:p>
<w:p>
<w:pPr><w:pStyle w:val="Normal"/></w:pPr>
<w:r><w:t xml:space="preserve">backwards from the eyeball, and the outer tail feathers are black.</w:t></w:r>
</w:p>
<w:p>
<w:pPr><w:pStyle w:val="Normal"/></w:pPr>
<w:r><w:t xml:space="preserve">Albinism is restricted to no particular class of the animal</w:t></w:r>
</w:p>
<w:p>
<w:pPr><w:pStyle w:val="Normal"/></w:pPr>
<w:r><w:t xml:space="preserve">kingdom; for partial albinism at least is known to occur in</w:t></w:r>
</w:p>
<w:p>
<w:pPr><w:pStyle w:val="Normal"/></w:pPr>
<w:r><w:t xml:space="preserve">Coelentera, worms, Crustacea, Myriapoda, Coleoptera,Arachnida and</w:t></w:r>
</w:p>
<w:p>
<w:pPr><w:pStyle w:val="Normal"/></w:pPr>
<w:r><w:t xml:space="preserve">fishes.  The individuals in which this diminished pigmentation</w:t></w:r>
</w:p>
<w:p>
<w:pPr><w:pStyle w:val="Normal"/></w:pPr>
<w:r><w:t xml:space="preserve">is found are for the most part those living in caves, and</w:t></w:r>
</w:p>
<w:p>
<w:pPr><w:pStyle w:val="Normal"/></w:pPr>
<w:r><w:t xml:space="preserve">it is probable that their condition is not truly albinotic,</w:t></w:r>
</w:p>
<w:p>
<w:pPr><w:pStyle w:val="Normal"/></w:pPr>
<w:r><w:t xml:space="preserve">but only temporary and due to the absence of the stimulus of</w:t></w:r>
</w:p>
<w:p>
<w:pPr><w:pStyle w:val="Normal"/></w:pPr>
<w:r><w:t xml:space="preserve">light.  This may be also true of some of those instances</w:t></w:r>
</w:p>
<w:p>
<w:pPr><w:pStyle w:val="Normal"/></w:pPr>
<w:r><w:t xml:space="preserve">that have occurred among frogs, in Proteus, and with an</w:t></w:r>
</w:p>
<w:p>
<w:pPr><w:pStyle w:val="Normal"/></w:pPr>
<w:r><w:t xml:space="preserve">axolotl once possessed by the present writer.  This latter</w:t></w:r>
</w:p>
<w:p>
<w:pPr><w:pStyle w:val="Normal"/></w:pPr>
<w:r><w:t xml:space="preserve">animal was quite white, with the exception of the black</w:t></w:r>
</w:p>
<w:p>
<w:pPr><w:pStyle w:val="Normal"/></w:pPr>
<w:r><w:t xml:space="preserve">eyeballs.  At the end of four weeks after it was first</w:t></w:r>
</w:p>
<w:p>
<w:pPr><w:pStyle w:val="Normal"/></w:pPr>
<w:r><w:t xml:space="preserve">purchased the dorsal or upper surface of its external gills</w:t></w:r>
</w:p>
<w:p>
<w:pPr><w:pStyle w:val="Normal"/></w:pPr>
<w:r><w:t xml:space="preserve">developed a small amount of dark pigment.  Within the next</w:t></w:r>
</w:p>
<w:p>
<w:pPr><w:pStyle w:val="Normal"/></w:pPr>
<w:r><w:t xml:space="preserve">few weeks this increased in quantity and the dorsal surface</w:t></w:r>
</w:p>
<w:p>
<w:pPr><w:pStyle w:val="Normal"/></w:pPr>
<w:r><w:t xml:space="preserve">of the head and of the front end of the trunk began to be</w:t></w:r>
</w:p>
<w:p>
<w:pPr><w:pStyle w:val="Normal"/></w:pPr>
<w:r><w:t xml:space="preserve">pigmented.  The animal died at the end of the eighth week, but</w:t></w:r>
</w:p>
<w:p>
<w:pPr><w:pStyle w:val="Normal"/></w:pPr>
<w:r><w:t xml:space="preserve">it is possible that had it lived it would have become wholly</w:t></w:r>
</w:p>
<w:p>
<w:pPr><w:pStyle w:val="Normal"/></w:pPr>
<w:r><w:t xml:space="preserve">pigmented.  But, apart from these instances, albinism is known,</w:t></w:r>
</w:p>
<w:p>
<w:pPr><w:pStyle w:val="Normal"/></w:pPr>
<w:r><w:t xml:space="preserve">according to W. E. Castle, who cites it on the authority of Hugh</w:t></w:r>
</w:p>
<w:p>
<w:pPr><w:pStyle w:val="Normal"/></w:pPr>
<w:r><w:t xml:space="preserve">M. Smith, to occur among a breed of albino trout, which breed</w:t></w:r>
</w:p>
<w:p>
<w:pPr><w:pStyle w:val="Normal"/></w:pPr>
<w:r><w:t xml:space="preserve">true and are reared in the State fish-hatcheries of America.</w:t></w:r>
</w:p>
<w:p>
<w:pPr><w:pStyle w:val="Normal"/></w:pPr>
<w:r><w:t xml:space="preserve">With birds and mammals, however, there is no doubt that complete</w:t></w:r>
</w:p>
<w:p>
<w:pPr><w:pStyle w:val="Normal"/></w:pPr>
<w:r><w:t xml:space="preserve">albino individuals do occur; and among species which, like the</w:t></w:r>
</w:p>
<w:p>
<w:pPr><w:pStyle w:val="Normal"/></w:pPr>
<w:r><w:t xml:space="preserve">jackdaw, certain deer and rabbits, are normally deeply pigmented.</w:t></w:r>
</w:p>
<w:p>
<w:pPr><w:pStyle w:val="Normal"/></w:pPr>
<w:r><w:t xml:space="preserve">Albinism occurs in all races of mankind, among mountainous</w:t></w:r>
</w:p>
<w:p>
<w:pPr><w:pStyle w:val="Normal"/></w:pPr>
<w:r><w:t xml:space="preserve">as well as lowland dwellers.  And, with man, as with other</w:t></w:r>
</w:p>
<w:p>
<w:pPr><w:pStyle w:val="Normal"/></w:pPr>
<w:r><w:t xml:space="preserve">animals, it may be complete or partial.  Instances of the</w:t></w:r>
</w:p>
<w:p>
<w:pPr><w:pStyle w:val="Normal"/></w:pPr>
<w:r><w:t xml:space="preserve">latter condition are very common among the negroes of the United</w:t></w:r>
</w:p>
<w:p>
<w:pPr><w:pStyle w:val="Normal"/></w:pPr>
<w:r><w:t xml:space="preserve">States and of South America, and in them assumes a piebald</w:t></w:r>
</w:p>
<w:p>
<w:pPr><w:pStyle w:val="Normal"/></w:pPr>
<w:r><w:t xml:space="preserve">character, irregular white patches being scattered over the</w:t></w:r>
</w:p>
<w:p>
<w:pPr><w:pStyle w:val="Normal"/></w:pPr>
<w:r><w:t xml:space="preserve">general black surface of the body.  Occasionally the piebald</w:t></w:r>
</w:p>
<w:p>
<w:pPr><w:pStyle w:val="Normal"/></w:pPr>
<w:r><w:t xml:space="preserve">patches tend to be symmetrically arranged, and sometimes the</w:t></w:r>
</w:p>
<w:p>
<w:pPr><w:pStyle w:val="Normal"/></w:pPr>
<w:r><w:t xml:space="preserve">eyeballs are pigmentless (pink) and sometimes pigmented (black).</w:t></w:r>
</w:p>
<w:p>
<w:pPr><w:pStyle w:val="Normal"/></w:pPr>
<w:r><w:t xml:space="preserve">According to A. R. Gunn, of Edinburgh Dniversity, who has</w:t></w:r>
</w:p>
<w:p>
<w:pPr><w:pStyle w:val="Normal"/></w:pPr>
<w:r><w:t xml:space="preserve">recently been investigating the subject of albinism in</w:t></w:r>
</w:p>
<w:p>
<w:pPr><w:pStyle w:val="Normal"/></w:pPr>
<w:r><w:t xml:space="preserve">man, there is reason to believe that a condition of piebald</w:t></w:r>
</w:p>
<w:p>
<w:pPr><w:pStyle w:val="Normal"/></w:pPr>
<w:r><w:t xml:space="preserve">albinism occurs also in Europeans (Scotsmen).  He has examined</w:t></w:r>
</w:p>
<w:p>
<w:pPr><w:pStyle w:val="Normal"/></w:pPr>
<w:r><w:t xml:space="preserve">subjects in which the whole of the hair of the body is</w:t></w:r>
</w:p>
<w:p>
<w:pPr><w:pStyle w:val="Normal"/></w:pPr>
<w:r><w:t xml:space="preserve">white, but the eyeballs are pigmented, often deeply; and,</w:t></w:r>
</w:p>
<w:p>
<w:pPr><w:pStyle w:val="Normal"/></w:pPr>
<w:r><w:t xml:space="preserve">conversely, he has seen cases in which the eyes are pink</w:t></w:r>
</w:p>
<w:p>
<w:pPr><w:pStyle w:val="Normal"/></w:pPr>
<w:r><w:t xml:space="preserve">but the hair is pigmented.  The hair and the eyes may be</w:t></w:r>
</w:p>
<w:p>
<w:pPr><w:pStyle w:val="Normal"/></w:pPr>
<w:r><w:t xml:space="preserve">regarded as skin patches, in which sometimes the one and</w:t></w:r>
</w:p>
<w:p>
<w:pPr><w:pStyle w:val="Normal"/></w:pPr>
<w:r><w:t xml:space="preserve">sometimes the other is pigmentless.  He believes that, were</w:t></w:r>
</w:p>
<w:p>
<w:pPr><w:pStyle w:val="Normal"/></w:pPr>
<w:r><w:t xml:space="preserve">it not for the generally very pale colour of white-skinned</w:t></w:r>
</w:p>
<w:p>
<w:pPr><w:pStyle w:val="Normal"/></w:pPr>
<w:r><w:t xml:space="preserve">races, this piebald condition would be as manifest in</w:t></w:r>
</w:p>
<w:p>
<w:pPr><w:pStyle w:val="Normal"/></w:pPr>
<w:r><w:t xml:space="preserve">them as in negroes, over the whole surface of the body.</w:t></w:r>
</w:p>
<w:p>
<w:pPr><w:pStyle w:val="Normal"/></w:pPr>
<w:r><w:t xml:space="preserve">In complete human albinoes, albinism is correlated, in addition</w:t></w:r>
</w:p>
<w:p>
<w:pPr><w:pStyle w:val="Normal"/></w:pPr>
<w:r><w:t xml:space="preserve">to nystagmus, with a peculiar roughness of the skin, making it</w:t></w:r>
</w:p>
<w:p>
<w:pPr><w:pStyle w:val="Normal"/></w:pPr>
<w:r><w:t xml:space="preserve">harsh to the touch.  The skin is also milky-white in appearance.</w:t></w:r>
</w:p>
<w:p>
<w:pPr><w:pStyle w:val="Normal"/></w:pPr>
<w:r><w:t xml:space="preserve">According to C. J. Sehgmann, there exists among the Papuans</w:t></w:r>
</w:p>
<w:p>
<w:pPr><w:pStyle w:val="Normal"/></w:pPr>
<w:r><w:t xml:space="preserve">an albinotic race whose skin varies in colour from a</w:t></w:r>
</w:p>
<w:p>
<w:pPr><w:pStyle w:val="Normal"/></w:pPr>
<w:r><w:t xml:space="preserve">pink-white to that of cafe au lait; the eyes are generally</w:t></w:r>
</w:p>
<w:p>
<w:pPr><w:pStyle w:val="Normal"/></w:pPr>
<w:r><w:t xml:space="preserve">greenish, hazel or brown, and the hair is tow-coloured.  The</w:t></w:r>
</w:p>
<w:p>
<w:pPr><w:pStyle w:val="Normal"/></w:pPr>
<w:r><w:t xml:space="preserve">skin where unexposed is pinker than that of a normal North</w:t></w:r>
</w:p>
<w:p>
<w:pPr><w:pStyle w:val="Normal"/></w:pPr>
<w:r><w:t xml:space="preserve">European.  Like complete albinoes, this race suffers from</w:t></w:r>
</w:p>
<w:p>
<w:pPr><w:pStyle w:val="Normal"/></w:pPr>
<w:r><w:t xml:space="preserve">photophobia, and is characterized by the albinotic facies.</w:t></w:r>
</w:p>
<w:p>
<w:pPr><w:pStyle w:val="Normal"/></w:pPr>
<w:r><w:t xml:space="preserve">Before we can inquire into the cause and meaning of albinism it</w:t></w:r>
</w:p>
<w:p>
<w:pPr><w:pStyle w:val="Normal"/></w:pPr>
<w:r><w:t xml:space="preserve">will be necessary first to consider the nature Of pigmentation.</w:t></w:r>
</w:p>
<w:p>
<w:pPr><w:pStyle w:val="Normal"/></w:pPr>
<w:r><w:t xml:space="preserve">It has recently been ascertained that the coloration of</w:t></w:r>
</w:p>
<w:p>
<w:pPr><w:pStyle w:val="Normal"/></w:pPr>
<w:r><w:t xml:space="preserve">certain sponges is due to the interaction of an oxydizing</w:t></w:r>
</w:p>
<w:p>
<w:pPr><w:pStyle w:val="Normal"/></w:pPr>
<w:r><w:t xml:space="preserve">ferment, tyrosinase, upon certain colourless chromogenic</w:t></w:r>
</w:p>
<w:p>
<w:pPr><w:pStyle w:val="Normal"/></w:pPr>
<w:r><w:t xml:space="preserve">substances.  In 1901, Otto v.  Furth and Hugo Schneider showed</w:t></w:r>
</w:p>
<w:p>
<w:pPr><w:pStyle w:val="Normal"/></w:pPr>
<w:r><w:t xml:space="preserve">that a tyrosinase could be obtained from the blood of certain</w:t></w:r>
</w:p>
<w:p>
<w:pPr><w:pStyle w:val="Normal"/></w:pPr>
<w:r><w:t xml:space="preserve">insects, and, acting upon a chromogen present in the blood,</w:t></w:r>
</w:p>
<w:p>
<w:pPr><w:pStyle w:val="Normal"/></w:pPr>
<w:r><w:t xml:space="preserve">converted it into a pigmentary substance of melanin-like</w:t></w:r>
</w:p>
<w:p>
<w:pPr><w:pStyle w:val="Normal"/></w:pPr>
<w:r><w:t xml:space="preserve">nature.  Hans Przibram also extracted a tyrosinase from the</w:t></w:r>
</w:p>
<w:p>
<w:pPr><w:pStyle w:val="Normal"/></w:pPr>
<w:r><w:t xml:space="preserve">ink-sac of Sepia, and, causing it to act upon a watery</w:t></w:r>
</w:p>
<w:p>
<w:pPr><w:pStyle w:val="Normal"/></w:pPr>
<w:r><w:t xml:space="preserve">solution of tyrosin, obtained a black pigment.  From the blood of</w:t></w:r>
</w:p>
<w:p>
<w:pPr><w:pStyle w:val="Normal"/></w:pPr>
<w:r><w:t xml:space="preserve">Bombyx mori, fe. von Ducceshi has also obtained a tyrosinase.</w:t></w:r>
</w:p>
<w:p>
<w:pPr><w:pStyle w:val="Normal"/></w:pPr>
<w:r><w:t xml:space="preserve">Subsequently (1903) L. Cuenot, in order to explain certain</w:t></w:r>
</w:p>
<w:p>
<w:pPr><w:pStyle w:val="Normal"/></w:pPr>
<w:r><w:t xml:space="preserve">features in the hereditary transmission of coat colour in</w:t></w:r>
</w:p>
<w:p>
<w:pPr><w:pStyle w:val="Normal"/></w:pPr>
<w:r><w:t xml:space="preserve">mice, postulated the hypothesis that the grey colour of</w:t></w:r>
</w:p>
<w:p>
<w:pPr><w:pStyle w:val="Normal"/></w:pPr>
<w:r><w:t xml:space="preserve">the wild mouse (which is known to be a compound of black,</w:t></w:r>
</w:p>
<w:p>
<w:pPr><w:pStyle w:val="Normal"/></w:pPr>
<w:r><w:t xml:space="preserve">chocolate and yellow pigments) may be due either to the</w:t></w:r>
</w:p>
<w:p>
<w:pPr><w:pStyle w:val="Normal"/></w:pPr>
<w:r><w:t xml:space="preserve">interaction of a single ferment and three chromogens, or vice</w:t></w:r>
</w:p>
<w:p>
<w:pPr><w:pStyle w:val="Normal"/></w:pPr>
<w:r><w:t xml:space="preserve">versa, to one chromogenic substance and three ferments.</w:t></w:r>
</w:p>
<w:p>
<w:pPr><w:pStyle w:val="Normal"/></w:pPr>
<w:r><w:t xml:space="preserve">Since then (1904) Miss Florence Durham has shown that if</w:t></w:r>
</w:p>
<w:p>
<w:pPr><w:pStyle w:val="Normal"/></w:pPr>
<w:r><w:t xml:space="preserve">the skins of young or embryonic mammals (rats, rabbits and</w:t></w:r>
</w:p>
<w:p>
<w:pPr><w:pStyle w:val="Normal"/></w:pPr>
<w:r><w:t xml:space="preserve">guinea-pigs) be ground up and extracted in water, and the</w:t></w:r>
</w:p>
<w:p>
<w:pPr><w:pStyle w:val="Normal"/></w:pPr>
<w:r><w:t xml:space="preserve">expressed juice be then incubated with solid tyrosin for</w:t></w:r>
</w:p>
<w:p>
<w:pPr><w:pStyle w:val="Normal"/></w:pPr>
<w:r><w:t xml:space="preserve">twenty-four hours, with the addition of a very small amount</w:t></w:r>
</w:p>
<w:p>
<w:pPr><w:pStyle w:val="Normal"/></w:pPr>
<w:r><w:t xml:space="preserve">of ferrous sulphate to act as an activator, a pigmentary</w:t></w:r>
</w:p>
<w:p>
<w:pPr><w:pStyle w:val="Normal"/></w:pPr>
<w:r><w:t xml:space="preserve">substance is thrown down.  The colour of this substance</w:t></w:r>
</w:p>
<w:p>
<w:pPr><w:pStyle w:val="Normal"/></w:pPr>
<w:r><w:t xml:space="preserve">is that of the pigment in the skin or hairs of the animal</w:t></w:r>
</w:p>
<w:p>
<w:pPr><w:pStyle w:val="Normal"/></w:pPr>
<w:r><w:t xml:space="preserve">used.  Miss Durham interprets her results as indicating that the</w:t></w:r>
</w:p>
<w:p>
<w:pPr><w:pStyle w:val="Normal"/></w:pPr>
<w:r><w:t xml:space="preserve">skin of these pigmented animals normally secretes one or more</w:t></w:r>
</w:p>
<w:p>
<w:pPr><w:pStyle w:val="Normal"/></w:pPr>
<w:r><w:t xml:space="preserve">tyrosinases.  The same result was obtained from the skins of</w:t></w:r>
</w:p>
<w:p>
<w:pPr><w:pStyle w:val="Normal"/></w:pPr>
<w:r><w:t xml:space="preserve">some unhatched chickens.  The skins of albinoes gave no results.</w:t></w:r>
</w:p>
<w:p>
<w:pPr><w:pStyle w:val="Normal"/></w:pPr>
<w:r><w:t xml:space="preserve">Not only have such resuits been obtained with sponges,</w:t></w:r>
</w:p>
<w:p>
<w:pPr><w:pStyle w:val="Normal"/></w:pPr>
<w:r><w:t xml:space="preserve">Insects, cephalopods, birds and mammals, but Em. Bourquelot</w:t></w:r>
</w:p>
<w:p>
<w:pPr><w:pStyle w:val="Normal"/></w:pPr>
<w:r><w:t xml:space="preserve">and G. Bertrand have shown that certain fungi, the tissues</w:t></w:r>
</w:p>
<w:p>
<w:pPr><w:pStyle w:val="Normal"/></w:pPr>
<w:r><w:t xml:space="preserve">of which, when exposed to the air by injury, become</w:t></w:r>
</w:p>
<w:p>
<w:pPr><w:pStyle w:val="Normal"/></w:pPr>
<w:r><w:t xml:space="preserve">immediately coloured, do so owing to the action of tyrosinase</w:t></w:r>
</w:p>
<w:p>
<w:pPr><w:pStyle w:val="Normal"/></w:pPr>
<w:r><w:t xml:space="preserve">upon one or more chromogenous substances present in the</w:t></w:r>
</w:p>
<w:p>
<w:pPr><w:pStyle w:val="Normal"/></w:pPr>
<w:r><w:t xml:space="preserve">plant.  We may conceive, then, that a pigmented animal</w:t></w:r>
</w:p>
<w:p>
<w:pPr><w:pStyle w:val="Normal"/></w:pPr>
<w:r><w:t xml:space="preserve">owes its colour to the power that certain tissues of its</w:t></w:r>
</w:p>
<w:p>
<w:pPr><w:pStyle w:val="Normal"/></w:pPr>
<w:r><w:t xml:space="preserve">body possess to secrete both tyrosinases and chromogenic</w:t></w:r>
</w:p>
<w:p>
<w:pPr><w:pStyle w:val="Normal"/></w:pPr>
<w:r><w:t xml:space="preserve">substances.  And the period at which this process is most</w:t></w:r>
</w:p>
<w:p>
<w:pPr><w:pStyle w:val="Normal"/></w:pPr>
<w:r><w:t xml:space="preserve">active is at birth, or preceding it or immediately succeeding</w:t></w:r>
</w:p>
<w:p>
<w:pPr><w:pStyle w:val="Normal"/></w:pPr>
<w:r><w:t xml:space="preserve">it.  In spite of the inquiry being only in its initial stages,</w:t></w:r>
</w:p>
<w:p>
<w:pPr><w:pStyle w:val="Normal"/></w:pPr>
<w:r><w:t xml:space="preserve">there is already good evidence to believe that Cuenot&apos;s</w:t></w:r>
</w:p>
<w:p>
<w:pPr><w:pStyle w:val="Normal"/></w:pPr>
<w:r><w:t xml:space="preserve">theory is correct, and that an albino is an individual whose</w:t></w:r>
</w:p>
<w:p>
<w:pPr><w:pStyle w:val="Normal"/></w:pPr>
<w:r><w:t xml:space="preserve">skin lacks the power to secrete either the ferment or the</w:t></w:r>
</w:p>
<w:p>
<w:pPr><w:pStyle w:val="Normal"/></w:pPr>
<w:r><w:t xml:space="preserve">chromogen.  It forms one but not both of these substances.</w:t></w:r>
</w:p>
<w:p>
<w:pPr><w:pStyle w:val="Normal"/></w:pPr>
<w:r><w:t xml:space="preserve">A moment&apos;s consideration, however, will show that, while</w:t></w:r>
</w:p>
<w:p>
<w:pPr><w:pStyle w:val="Normal"/></w:pPr>
<w:r><w:t xml:space="preserve">an albino may be an individual in which one or more of</w:t></w:r>
</w:p>
<w:p>
<w:pPr><w:pStyle w:val="Normal"/></w:pPr>
<w:r><w:t xml:space="preserve">the complementary bodies of pigmentation are absent, a</w:t></w:r>
</w:p>
<w:p>
<w:pPr><w:pStyle w:val="Normal"/></w:pPr>
<w:r><w:t xml:space="preserve">pigmented animal is something more than an individual which</w:t></w:r>
</w:p>
<w:p>
<w:pPr><w:pStyle w:val="Normal"/></w:pPr>
<w:r><w:t xml:space="preserve">carries all the factors necessary for the development of</w:t></w:r>
</w:p>
<w:p>
<w:pPr><w:pStyle w:val="Normal"/></w:pPr>
<w:r><w:t xml:space="preserve">colour.  For it must be borne in mind that animals are not only</w:t></w:r>
</w:p>
<w:p>
<w:pPr><w:pStyle w:val="Normal"/></w:pPr>
<w:r><w:t xml:space="preserve">coloured but the colour is arranged in a more or less definite</w:t></w:r>
</w:p>
<w:p>
<w:pPr><w:pStyle w:val="Normal"/></w:pPr>
<w:r><w:t xml:space="preserve">pattern.  The wild mouse, rat and rabbit are self-coloured,</w:t></w:r>
</w:p>
<w:p>
<w:pPr><w:pStyle w:val="Normal"/></w:pPr>
<w:r><w:t xml:space="preserve">but the domesticated forms include various piebald patterns,</w:t></w:r>
</w:p>
<w:p>
<w:pPr><w:pStyle w:val="Normal"/></w:pPr>
<w:r><w:t xml:space="preserve">such as spotted forms among mice, and the familiar black and</w:t></w:r>
</w:p>
<w:p>
<w:pPr><w:pStyle w:val="Normal"/></w:pPr>
<w:r><w:t xml:space="preserve">white hooded and dorsal-striped pattern of some tame rats.</w:t></w:r>
</w:p>
<w:p>
<w:pPr><w:pStyle w:val="Normal"/></w:pPr>
<w:r><w:t xml:space="preserve">Colour, therefore, must be correlated with some determinant</w:t></w:r>
</w:p>
<w:p>
<w:pPr><w:pStyle w:val="Normal"/></w:pPr>
<w:r><w:t xml:space="preserve">(determining factor) for pattern, and it cannot, therefore,</w:t></w:r>
</w:p>
<w:p>
<w:pPr><w:pStyle w:val="Normal"/></w:pPr>
<w:r><w:t xml:space="preserve">exist alone in an animal&apos;s coat.  And we must conceive that</w:t></w:r>
</w:p>
<w:p>
<w:pPr><w:pStyle w:val="Normal"/></w:pPr>
<w:r><w:t xml:space="preserve">each kind of pattern---the self, the spotted, the striped,</w:t></w:r>
</w:p>
<w:p>
<w:pPr><w:pStyle w:val="Normal"/></w:pPr>
<w:r><w:t xml:space="preserve">the hooded and all others---has its own special determinant.</w:t></w:r>
</w:p>
<w:p>
<w:pPr><w:pStyle w:val="Normal"/></w:pPr>
<w:r><w:t xml:space="preserve">Given the presence of all the necessary determinants for</w:t></w:r>
</w:p>
<w:p>
<w:pPr><w:pStyle w:val="Normal"/></w:pPr>
<w:r><w:t xml:space="preserve">the development of pigment in a mammal&apos;s coat, some or all</w:t></w:r>
</w:p>
<w:p>
<w:pPr><w:pStyle w:val="Normal"/></w:pPr>
<w:r><w:t xml:space="preserve">of the hairs may bear this pigment according to the pattern</w:t></w:r>
</w:p>
<w:p>
<w:pPr><w:pStyle w:val="Normal"/></w:pPr>
<w:r><w:t xml:space="preserve">determinants, or absence of pattern determinants, which the</w:t></w:r>
</w:p>
<w:p>
<w:pPr><w:pStyle w:val="Normal"/></w:pPr>
<w:r><w:t xml:space="preserve">cells of the hair papillae carry.  And this brings us to</w:t></w:r>
</w:p>
<w:p>
<w:pPr><w:pStyle w:val="Normal"/></w:pPr>
<w:r><w:t xml:space="preserve">the question as to whether in a piebald animal the pigmented</w:t></w:r>
</w:p>
<w:p>
<w:pPr><w:pStyle w:val="Normal"/></w:pPr>
<w:r><w:t xml:space="preserve">hairs are in any way different from the pigmentless or white</w:t></w:r>
</w:p>
<w:p>
<w:pPr><w:pStyle w:val="Normal"/></w:pPr>
<w:r><w:t xml:space="preserve">hairs.  No adequate investigation of this subject has yet</w:t></w:r>
</w:p>
<w:p>
<w:pPr><w:pStyle w:val="Normal"/></w:pPr>
<w:r><w:t xml:space="preserve">been made, but some observations made by the author of this</w:t></w:r>
</w:p>
<w:p>
<w:pPr><w:pStyle w:val="Normal"/></w:pPr>
<w:r><w:t xml:space="preserve">article, on the piebald black and white rat, show that</w:t></w:r>
</w:p>
<w:p>
<w:pPr><w:pStyle w:val="Normal"/></w:pPr>
<w:r><w:t xml:space="preserve">differences connected with the microscopic structure exist.</w:t></w:r>
</w:p>
<w:p>
<w:pPr><w:pStyle w:val="Normal"/></w:pPr>
<w:r><w:t xml:space="preserve">There is thus evidence that colour is correlated with other</w:t></w:r>
</w:p>
<w:p>
<w:pPr><w:pStyle w:val="Normal"/></w:pPr>
<w:r><w:t xml:space="preserve">factors which determine pattern.  And this leads to the</w:t></w:r>
</w:p>
<w:p>
<w:pPr><w:pStyle w:val="Normal"/></w:pPr>
<w:r><w:t xml:space="preserve">inquiry as to whether albinoes ever exhibit evidence that they</w:t></w:r>
</w:p>
<w:p>
<w:pPr><w:pStyle w:val="Normal"/></w:pPr>
<w:r><w:t xml:space="preserve">carry the pattern determinants in the absence of those for</w:t></w:r>
</w:p>
<w:p>
<w:pPr><w:pStyle w:val="Normal"/></w:pPr>
<w:r><w:t xml:space="preserve">pigmentation.  For it is to be expected a priori that, since</w:t></w:r>
</w:p>
<w:p>
<w:pPr><w:pStyle w:val="Normal"/></w:pPr>
<w:r><w:t xml:space="preserve">albinoes were derived from pigmented progenitors and may at</w:t></w:r>
</w:p>
<w:p>
<w:pPr><w:pStyle w:val="Normal"/></w:pPr>
<w:r><w:t xml:space="preserve">any time appear, side by side with pigmented brothers, in</w:t></w:r>
</w:p>
<w:p>
<w:pPr><w:pStyle w:val="Normal"/></w:pPr>
<w:r><w:t xml:space="preserve">a litter from pigmented parents, they would be carrying the</w:t></w:r>
</w:p>
<w:p>
<w:pPr><w:pStyle w:val="Normal"/></w:pPr>
<w:r><w:t xml:space="preserve">pattern determinants of some one or other of their pigmented</w:t></w:r>
</w:p>
<w:p>
<w:pPr><w:pStyle w:val="Normal"/></w:pPr>
<w:r><w:t xml:space="preserve">ancestors.  Now we know, from the numerous experiments in</w:t></w:r>
</w:p>
<w:p>
<w:pPr><w:pStyle w:val="Normal"/></w:pPr>
<w:r><w:t xml:space="preserve">heredity which have resulted since the rediscovery of Mendel&apos;s</w:t></w:r>
</w:p>
<w:p>
<w:pPr><w:pStyle w:val="Normal"/></w:pPr>
<w:r><w:t xml:space="preserve">principles, that an individual may carry a character in one of two</w:t></w:r>
</w:p>
<w:p>
<w:pPr><w:pStyle w:val="Normal"/></w:pPr>
<w:r><w:t xml:space="preserve">conditions.  It may be carried as a somatic character, when it</w:t></w:r>
</w:p>
<w:p>
<w:pPr><w:pStyle w:val="Normal"/></w:pPr>
<w:r><w:t xml:space="preserve">will be visible in the body tissues, or it may be carried as a</w:t></w:r>
</w:p>
<w:p>
<w:pPr><w:pStyle w:val="Normal"/></w:pPr>
<w:r><w:t xml:space="preserve">gametic character, and its presence can only then be detected</w:t></w:r>
</w:p>
<w:p>
<w:pPr><w:pStyle w:val="Normal"/></w:pPr>
<w:r><w:t xml:space="preserve">in subsequent generations, by adequately devised breeding tests.</w:t></w:r>
</w:p>
<w:p>
<w:pPr><w:pStyle w:val="Normal"/></w:pPr>
<w:r><w:t xml:space="preserve">With regard to pattern, the evidence is now clear that</w:t></w:r>
</w:p>
<w:p>
<w:pPr><w:pStyle w:val="Normal"/></w:pPr>
<w:r><w:t xml:space="preserve">albinoes may carry the determinants in both these ways.</w:t></w:r>
</w:p>
<w:p>
<w:pPr><w:pStyle w:val="Normal"/></w:pPr>
<w:r><w:t xml:space="preserve">So far as they are carried gametically, i.e. by the</w:t></w:r>
</w:p>
<w:p>
<w:pPr><w:pStyle w:val="Normal"/></w:pPr>
<w:r><w:t xml:space="preserve">sex-cells, it has been shown by Cuenot and G. M. Allen for</w:t></w:r>
</w:p>
<w:p>
<w:pPr><w:pStyle w:val="Normal"/></w:pPr>
<w:r><w:t xml:space="preserve">mice, by C. C. Hurst for rabbits, and by L. Doncaster and</w:t></w:r>
</w:p>
<w:p>
<w:pPr><w:pStyle w:val="Normal"/></w:pPr>
<w:r><w:t xml:space="preserve">G. P. Mudge for rats, that in a cross between a coloured</w:t></w:r>
</w:p>
<w:p>
<w:pPr><w:pStyle w:val="Normal"/></w:pPr>
<w:r><w:t xml:space="preserve">individual of known gametic purity and an albino, the</w:t></w:r>
</w:p>
<w:p>
<w:pPr><w:pStyle w:val="Normal"/></w:pPr>
<w:r><w:t xml:space="preserve">individuals of the progeny in either the first or second, or</w:t></w:r>
</w:p>
<w:p>
<w:pPr><w:pStyle w:val="Normal"/></w:pPr>
<w:r><w:t xml:space="preserve">both generations, may differ, and that the difference in some</w:t></w:r>
</w:p>
<w:p>
<w:pPr><w:pStyle w:val="Normal"/></w:pPr>
<w:r><w:t xml:space="preserve">cases wholly depends upon the aihino used. It has been shown</w:t></w:r>
</w:p>
<w:p>
<w:pPr><w:pStyle w:val="Normal"/></w:pPr>
<w:r><w:t xml:space="preserve">that the individuals in such an offspring may bear patterns</w:t></w:r>
</w:p>
<w:p>
<w:pPr><w:pStyle w:val="Normal"/></w:pPr>
<w:r><w:t xml:space="preserve">which never occurred in the ancestry of the coloured parent,</w:t></w:r>
</w:p>
<w:p>
<w:pPr><w:pStyle w:val="Normal"/></w:pPr>
<w:r><w:t xml:space="preserve">but did in that of the albino; and, moreover, if the same</w:t></w:r>
</w:p>
<w:p>
<w:pPr><w:pStyle w:val="Normal"/></w:pPr>
<w:r><w:t xml:space="preserve">coloured parent be mated with another individual, either</w:t></w:r>
</w:p>
<w:p>
<w:pPr><w:pStyle w:val="Normal"/></w:pPr>
<w:r><w:t xml:space="preserve">albino or coloured, that their offspring may never contain</w:t></w:r>
</w:p>
<w:p>
<w:pPr><w:pStyle w:val="Normal"/></w:pPr>
<w:r><w:t xml:space="preserve">members bearing such patterns.  The particular pattern</w:t></w:r>
</w:p>
<w:p>
<w:pPr><w:pStyle w:val="Normal"/></w:pPr>
<w:r><w:t xml:space="preserve">will only appear when the coloured parent is mated with</w:t></w:r>
</w:p>
<w:p>
<w:pPr><w:pStyle w:val="Normal"/></w:pPr>
<w:r><w:t xml:space="preserve">the particular albino.  And yet the albino itself shows no</w:t></w:r>
</w:p>
<w:p>
<w:pPr><w:pStyle w:val="Normal"/></w:pPr>
<w:r><w:t xml:space="preserve">somatic pattern or pigment.  So clear is the evidence on</w:t></w:r>
</w:p>
<w:p>
<w:pPr><w:pStyle w:val="Normal"/></w:pPr>
<w:r><w:t xml:space="preserve">this point that any one adequately acquainted at first hand</w:t></w:r>
</w:p>
<w:p>
<w:pPr><w:pStyle w:val="Normal"/></w:pPr>
<w:r><w:t xml:space="preserve">with the phenomena, by employing an albino of known gametic</w:t></w:r>
</w:p>
<w:p>
<w:pPr><w:pStyle w:val="Normal"/></w:pPr>
<w:r><w:t xml:space="preserve">structure and mating it with a coloured individual, also</w:t></w:r>
</w:p>
<w:p>
<w:pPr><w:pStyle w:val="Normal"/></w:pPr>
<w:r><w:t xml:space="preserve">of known gametic constitution, could predict the result.</w:t></w:r>
</w:p>
<w:p>
<w:pPr><w:pStyle w:val="Normal"/></w:pPr>
<w:r><w:t xml:space="preserve">With respect to albinoes carrying pattern as a visible somatiu</w:t></w:r>
</w:p>
<w:p>
<w:pPr><w:pStyle w:val="Normal"/></w:pPr>
<w:r><w:t xml:space="preserve">character, i.e. in the body cells, no definite evidence</w:t></w:r>
</w:p>
<w:p>
<w:pPr><w:pStyle w:val="Normal"/></w:pPr>
<w:r><w:t xml:space="preserve">has as yet been published.  But W. Haacke has described a</w:t></w:r>
</w:p>
<w:p>
<w:pPr><w:pStyle w:val="Normal"/></w:pPr>
<w:r><w:t xml:space="preserve">single albino rat, in which he states that the hairs of the</w:t></w:r>
</w:p>
<w:p>
<w:pPr><w:pStyle w:val="Normal"/></w:pPr>
<w:r><w:t xml:space="preserve">shoulder and mid-dorsal regions were of a different texture</w:t></w:r>
</w:p>
<w:p>
<w:pPr><w:pStyle w:val="Normal"/></w:pPr>
<w:r><w:t xml:space="preserve">from those of the rest of the body.  And it is possible</w:t></w:r>
</w:p>
<w:p>
<w:pPr><w:pStyle w:val="Normal"/></w:pPr>
<w:r><w:t xml:space="preserve">that this albino, had it developed colour, would have been</w:t></w:r>
</w:p>
<w:p>
<w:pPr><w:pStyle w:val="Normal"/></w:pPr>
<w:r><w:t xml:space="preserve">of the piebald pattern.  But the author of this article has</w:t></w:r>
</w:p>
<w:p>
<w:pPr><w:pStyle w:val="Normal"/></w:pPr>
<w:r><w:t xml:space="preserve">quite recently reared some albinoes in which the familiar</w:t></w:r>
</w:p>
<w:p>
<w:pPr><w:pStyle w:val="Normal"/></w:pPr>
<w:r><w:t xml:space="preserve">shoulder hood and dorsah stripe of the piebald rat is</w:t></w:r>
</w:p>
<w:p>
<w:pPr><w:pStyle w:val="Normal"/></w:pPr>
<w:r><w:t xml:space="preserve">perfectly obvious, in spite of the absence of the slightest</w:t></w:r>
</w:p>
<w:p>
<w:pPr><w:pStyle w:val="Normal"/></w:pPr>
<w:r><w:t xml:space="preserve">pigmentation.  The hairs which occupy the region which in</w:t></w:r>
</w:p>
<w:p>
<w:pPr><w:pStyle w:val="Normal"/></w:pPr>
<w:r><w:t xml:space="preserve">the pigmented individual is black, are longer, thinner and</w:t></w:r>
</w:p>
<w:p>
<w:pPr><w:pStyle w:val="Normal"/></w:pPr>
<w:r><w:t xml:space="preserve">more widely separated than those in the regions which are</w:t></w:r>
</w:p>
<w:p>
<w:pPr><w:pStyle w:val="Normal"/></w:pPr>
<w:r><w:t xml:space="preserve">white.  As a result of this, the pink skin is quite visible</w:t></w:r>
</w:p>
<w:p>
<w:pPr><w:pStyle w:val="Normal"/></w:pPr>
<w:r><w:t xml:space="preserve">where these hairs occur, but elsewhere it is invisible.  Thus</w:t></w:r>
</w:p>
<w:p>
<w:pPr><w:pStyle w:val="Normal"/></w:pPr>
<w:r><w:t xml:space="preserve">these albinocs exhibit a pattern of pink skin similar in form</w:t></w:r>
</w:p>
<w:p>
<w:pPr><w:pStyle w:val="Normal"/></w:pPr>
<w:r><w:t xml:space="preserve">with the black pattern of the piebald rat.  Moreover, some</w:t></w:r>
</w:p>
<w:p>
<w:pPr><w:pStyle w:val="Normal"/></w:pPr>
<w:r><w:t xml:space="preserve">of the albinoes possess these particular ``pattern&apos;&apos; hairs</w:t></w:r>
</w:p>
<w:p>
<w:pPr><w:pStyle w:val="Normal"/></w:pPr>
<w:r><w:t xml:space="preserve">all over the body and obviously such individuals are carrying</w:t></w:r>
</w:p>
<w:p>
<w:pPr><w:pStyle w:val="Normal"/></w:pPr>
<w:r><w:t xml:space="preserve">the self pattern.  There are other details into which we</w:t></w:r>
</w:p>
<w:p>
<w:pPr><w:pStyle w:val="Normal"/></w:pPr>
<w:r><w:t xml:space="preserve">cannot here enter, but which support the interpretation put</w:t></w:r>
</w:p>
<w:p>
<w:pPr><w:pStyle w:val="Normal"/></w:pPr>
<w:r><w:t xml:space="preserve">upon these facts, i.e: that these particular albinoes are</w:t></w:r>
</w:p>
<w:p>
<w:pPr><w:pStyle w:val="Normal"/></w:pPr>
<w:r><w:t xml:space="preserve">carrying in the soma the pattern determinants simultaneously</w:t></w:r>
</w:p>
<w:p>
<w:pPr><w:pStyle w:val="Normal"/></w:pPr>
<w:r><w:t xml:space="preserve">with the absence of some of the factors for pigmentation.</w:t></w:r>
</w:p>
<w:p>
<w:pPr><w:pStyle w:val="Normal"/></w:pPr>
<w:r><w:t xml:space="preserve">Not only do albinoes thus carry the determinants for pattern,</w:t></w:r>
</w:p>
<w:p>
<w:pPr><w:pStyle w:val="Normal"/></w:pPr>
<w:r><w:t xml:space="preserve">but it has been known for some time that they also carry</w:t></w:r>
</w:p>
<w:p>
<w:pPr><w:pStyle w:val="Normal"/></w:pPr>
<w:r><w:t xml:space="preserve">gametically, but never visible somatically, the determinants</w:t></w:r>
</w:p>
<w:p>
<w:pPr><w:pStyle w:val="Normal"/></w:pPr>
<w:r><w:t xml:space="preserve">for either the ferment or the chromogen for one or more</w:t></w:r>
</w:p>
<w:p>
<w:pPr><w:pStyle w:val="Normal"/></w:pPr>
<w:r><w:t xml:space="preserve">colours.  L. Cuenot was the first to show this for albino</w:t></w:r>
</w:p>
<w:p>
<w:pPr><w:pStyle w:val="Normal"/></w:pPr>
<w:r><w:t xml:space="preserve">mice.  He was able by appropriate experiments to demonstrate</w:t></w:r>
</w:p>
<w:p>
<w:pPr><w:pStyle w:val="Normal"/></w:pPr>
<w:r><w:t xml:space="preserve">that when an albino is derived (extracted) from a coloured</w:t></w:r>
</w:p>
<w:p>
<w:pPr><w:pStyle w:val="Normal"/></w:pPr>
<w:r><w:t xml:space="preserve">ancestry, and is then crossed with a coloured individual, both</w:t></w:r>
</w:p>
<w:p>
<w:pPr><w:pStyle w:val="Normal"/></w:pPr>
<w:r><w:t xml:space="preserve">the colour of the pigmented parent and of the pigmented ancestry</w:t></w:r>
</w:p>
<w:p>
<w:pPr><w:pStyle w:val="Normal"/></w:pPr>
<w:r><w:t xml:space="preserve">of the albino may appear among the individuals of the offspring.</w:t></w:r>
</w:p>
<w:p>
<w:pPr><w:pStyle w:val="Normal"/></w:pPr>
<w:r><w:t xml:space="preserve">Immediately subsequent to Cuenot, G. M. Allen in Ameriia</w:t></w:r>
</w:p>
<w:p>
<w:pPr><w:pStyle w:val="Normal"/></w:pPr>
<w:r><w:t xml:space="preserve">demonstrated the same Jact upon the same species of rodents.</w:t></w:r>
</w:p>
<w:p>
<w:pPr><w:pStyle w:val="Heading1"/></w:pPr>
<w:r><w:t>C. C. Hurst, more recently, has shown that albino rabbits.</w:t></w:r>
</w:p>
<w:p>
<w:pPr><w:pStyle w:val="Normal"/></w:pPr>
<w:r><w:t xml:space="preserve">whether pure bred for eight generations at least, or extracted</w:t></w:r>
</w:p>
<w:p>
<w:pPr><w:pStyle w:val="Normal"/></w:pPr>
<w:r><w:t xml:space="preserve">from pigmented parents, may carry the determinants for black</w:t></w:r>
</w:p>
<w:p>
<w:pPr><w:pStyle w:val="Normal"/></w:pPr>
<w:r><w:t xml:space="preserve">or for black and grey.  In this latter case the determinants</w:t></w:r>
</w:p>
<w:p>
<w:pPr><w:pStyle w:val="Normal"/></w:pPr>
<w:r><w:t xml:space="preserve">for black are carried by separate gametes from those carrying</w:t></w:r>
</w:p>
<w:p>
<w:pPr><w:pStyle w:val="Normal"/></w:pPr>
<w:r><w:t xml:space="preserve">grey, and the two kinds of sex-cells exist in approximately</w:t></w:r>
</w:p>
<w:p>
<w:pPr><w:pStyle w:val="Normal"/></w:pPr>
<w:r><w:t xml:space="preserve">equal numbers.  This is likewise true of albino mice when</w:t></w:r>
</w:p>
<w:p>
<w:pPr><w:pStyle w:val="Normal"/></w:pPr>
<w:r><w:t xml:space="preserve">they carry the determinants for more than one colour.</w:t></w:r>
</w:p>
<w:p>
<w:pPr><w:pStyle w:val="Normal"/></w:pPr>
<w:r><w:t xml:space="preserve">Since Hurst&apos;s work, L. Doncaster and G. P. Mudge have both</w:t></w:r>
</w:p>
<w:p>
<w:pPr><w:pStyle w:val="Normal"/></w:pPr>
<w:r><w:t xml:space="preserve">shown that albino rats also carry in a latent condition</w:t></w:r>
</w:p>
<w:p>
<w:pPr><w:pStyle w:val="Normal"/></w:pPr>
<w:r><w:t xml:space="preserve">the determinants for black or grey.  The experiments of the</w:t></w:r>
</w:p>
<w:p>
<w:pPr><w:pStyle w:val="Normal"/></w:pPr>
<w:r><w:t xml:space="preserve">latter author show that, if a gametically pure black rat be</w:t></w:r>
</w:p>
<w:p>
<w:pPr><w:pStyle w:val="Normal"/></w:pPr>
<w:r><w:t xml:space="preserve">crossed with an albino derived from a piebald black and white</w:t></w:r>
</w:p>
<w:p>
<w:pPr><w:pStyle w:val="Normal"/></w:pPr>
<w:r><w:t xml:space="preserve">ancestry, all the offspring in successive litters will be</w:t></w:r>
</w:p>
<w:p>
<w:pPr><w:pStyle w:val="Normal"/></w:pPr>
<w:r><w:t xml:space="preserve">black; but if the same black parent be crossed with albinoes</w:t></w:r>
</w:p>
<w:p>
<w:pPr><w:pStyle w:val="Normal"/></w:pPr>
<w:r><w:t xml:space="preserve">extracted from parents of which One or both are grey, then both</w:t></w:r>
</w:p>
<w:p>
<w:pPr><w:pStyle w:val="Normal"/></w:pPr>
<w:r><w:t xml:space="preserve">grey and black members will appear in the successive litters.</w:t></w:r>
</w:p>
<w:p>
<w:pPr><w:pStyle w:val="Normal"/></w:pPr>
<w:r><w:t xml:space="preserve">The proportions in which the various coloured individuals</w:t></w:r>
</w:p>
<w:p>
<w:pPr><w:pStyle w:val="Normal"/></w:pPr>
<w:r><w:t xml:space="preserve">appear are approximately those demanded by the Mendelian</w:t></w:r>
</w:p>
<w:p>
<w:pPr><w:pStyle w:val="Normal"/></w:pPr>
<w:r><w:t xml:space="preserve">principle of gametic purity and segregation.  Cuenot and Hurst</w:t></w:r>
</w:p>
<w:p>
<w:pPr><w:pStyle w:val="Normal"/></w:pPr>
<w:r><w:t xml:space="preserve">have also shown that when albinoes of one colour extraction</w:t></w:r>
</w:p>
<w:p>
<w:pPr><w:pStyle w:val="Normal"/></w:pPr>
<w:r><w:t xml:space="preserve">are crossed with albinoes of another colour extraction the</w:t></w:r>
</w:p>
<w:p>
<w:pPr><w:pStyle w:val="Normal"/></w:pPr>
<w:r><w:t xml:space="preserve">segregation of the colour determinants in the gametogenesis</w:t></w:r>
</w:p>
<w:p>
<w:pPr><w:pStyle w:val="Normal"/></w:pPr>
<w:r><w:t xml:space="preserve">of the albinoes takes place in precisely the same way that it</w:t></w:r>
</w:p>
<w:p>
<w:pPr><w:pStyle w:val="Normal"/></w:pPr>
<w:r><w:t xml:space="preserve">does in the gametogenesis of a pigmented individual; that is,</w:t></w:r>
</w:p>
<w:p>
<w:pPr><w:pStyle w:val="Normal"/></w:pPr>
<w:r><w:t xml:space="preserve">in Mendelian fashion.  Or, to express it otherwise, an albino</w:t></w:r>
</w:p>
<w:p>
<w:pPr><w:pStyle w:val="Normal"/></w:pPr>
<w:r><w:t xml:space="preserve">extracted from yellow parents, bred with an albino extracted</w:t></w:r>
</w:p>
<w:p>
<w:pPr><w:pStyle w:val="Normal"/></w:pPr>
<w:r><w:t xml:space="preserve">from black parents, will give an albino offspring whose</w:t></w:r>
</w:p>
<w:p>
<w:pPr><w:pStyle w:val="Normal"/></w:pPr>
<w:r><w:t xml:space="preserve">gametes in equal numbers are bearers of the black and yellow</w:t></w:r>
</w:p>
<w:p>
<w:pPr><w:pStyle w:val="Normal"/></w:pPr>
<w:r><w:t xml:space="preserve">determinants.  And when one of these albinoes is bred with</w:t></w:r>
</w:p>
<w:p>
<w:pPr><w:pStyle w:val="Normal"/></w:pPr>
<w:r><w:t xml:space="preserve">a pure coloured individual, a mixed offspring will appear in</w:t></w:r>
</w:p>
<w:p>
<w:pPr><w:pStyle w:val="Normal"/></w:pPr>
<w:r><w:t xml:space="preserve">the first generation.  Some of the individuals will be one</w:t></w:r>
</w:p>
<w:p>
<w:pPr><w:pStyle w:val="Normal"/></w:pPr>
<w:r><w:t xml:space="preserve">or other of the two colours, the determinants of which were</w:t></w:r>
</w:p>
<w:p>
<w:pPr><w:pStyle w:val="Normal"/></w:pPr>
<w:r><w:t xml:space="preserve">borne by the albino, and others the colour of the pigmented</w:t></w:r>
</w:p>
<w:p>
<w:pPr><w:pStyle w:val="Normal"/></w:pPr>
<w:r><w:t xml:space="preserve">parent.  But in such albino crosses the colour characters</w:t></w:r>
</w:p>
<w:p>
<w:pPr><w:pStyle w:val="Normal"/></w:pPr>
<w:r><w:t xml:space="preserve">are latent because albinoes do not carry the whole of the</w:t></w:r>
</w:p>
<w:p>
<w:pPr><w:pStyle w:val="Normal"/></w:pPr>
<w:r><w:t xml:space="preserve">complements for colour production.  They carry only some</w:t></w:r>
</w:p>
<w:p>
<w:pPr><w:pStyle w:val="Normal"/></w:pPr>
<w:r><w:t xml:space="preserve">determinant or determinants which are capable of developing</w:t></w:r>
</w:p>
<w:p>
<w:pPr><w:pStyle w:val="Normal"/></w:pPr>
<w:r><w:t xml:space="preserve">colour when they interact with some other determinant or</w:t></w:r>
</w:p>
<w:p>
<w:pPr><w:pStyle w:val="Normal"/></w:pPr>
<w:r><w:t xml:space="preserve">determinants carried alone by pigmented individuals.  Whether</w:t></w:r>
</w:p>
<w:p>
<w:pPr><w:pStyle w:val="Normal"/></w:pPr>
<w:r><w:t xml:space="preserve">albinoes carry the tyrosinase or other ferment, or whether</w:t></w:r>
</w:p>
<w:p>
<w:pPr><w:pStyle w:val="Normal"/></w:pPr>
<w:r><w:t xml:space="preserve">they carry the chromogen or chromogens, is not yet settled.</w:t></w:r>
</w:p>
<w:p>
<w:pPr><w:pStyle w:val="Normal"/></w:pPr>
<w:r><w:t xml:space="preserve">Miss Durham&apos;s work suggests that they carry the latter.  But</w:t></w:r>
</w:p>
<w:p>
<w:pPr><w:pStyle w:val="Normal"/></w:pPr>
<w:r><w:t xml:space="preserve">that they never bear both is proved by the fact that, when</w:t></w:r>
</w:p>
<w:p>
<w:pPr><w:pStyle w:val="Normal"/></w:pPr>
<w:r><w:t xml:space="preserve">albinoes are crossed with each other, none but albinoes ever</w:t></w:r>
</w:p>
<w:p>
<w:pPr><w:pStyle w:val="Normal"/></w:pPr>
<w:r><w:t xml:space="preserve">result in the offspring.  One apparent exception to this rule</w:t></w:r>
</w:p>
<w:p>
<w:pPr><w:pStyle w:val="Normal"/></w:pPr>
<w:r><w:t xml:space="preserve">only is known, and this almost certainly was due to error.</w:t></w:r>
</w:p>
<w:p>
<w:pPr><w:pStyle w:val="Normal"/></w:pPr>
<w:r><w:t xml:space="preserve">It is not only among albino animals that colour factors</w:t></w:r>
</w:p>
<w:p>
<w:pPr><w:pStyle w:val="Normal"/></w:pPr>
<w:r><w:t xml:space="preserve">are carried in a latent condition, but also in white</w:t></w:r>
</w:p>
<w:p>
<w:pPr><w:pStyle w:val="Normal"/></w:pPr>
<w:r><w:t xml:space="preserve">flowers.  W.. Bateson has shown this to be the case for the</w:t></w:r>
</w:p>
<w:p>
<w:pPr><w:pStyle w:val="Normal"/></w:pPr>
<w:r><w:t xml:space="preserve">sweet-pea (Lathyrus odoratus), var.  Emily Henderson,</w:t></w:r>
</w:p>
<w:p>
<w:pPr><w:pStyle w:val="Normal"/></w:pPr>
<w:r><w:t xml:space="preserve">and for certain white and cream stocks (Matthiola.) When</w:t></w:r>
</w:p>
<w:p>
<w:pPr><w:pStyle w:val="Normal"/></w:pPr>
<w:r><w:t xml:space="preserve">white Emily Henderson (the race having round pollen grains)</w:t></w:r>
</w:p>
<w:p>
<w:pPr><w:pStyle w:val="Normal"/></w:pPr>
<w:r><w:t xml:space="preserve">is crossed with a blue-flowered pea, purple offspring</w:t></w:r>
</w:p>
<w:p>
<w:pPr><w:pStyle w:val="Normal"/></w:pPr>
<w:r><w:t xml:space="preserve">result.  Similarly, when white Emily Henderson (long pollen</w:t></w:r>
</w:p>
<w:p>
<w:pPr><w:pStyle w:val="Normal"/></w:pPr>
<w:r><w:t xml:space="preserve">grains) is crossed with white Emily Henderson (round pollen</w:t></w:r>
</w:p>
<w:p>
<w:pPr><w:pStyle w:val="Normal"/></w:pPr>
<w:r><w:t xml:space="preserve">grains), the offspring wholly consists of the reversionary</w:t></w:r>
</w:p>
<w:p>
<w:pPr><w:pStyle w:val="Normal"/></w:pPr>
<w:r><w:t xml:space="preserve">purple type, and sometimes wholly of a red bicolor form known</w:t></w:r>
</w:p>
<w:p>
<w:pPr><w:pStyle w:val="Normal"/></w:pPr>
<w:r><w:t xml:space="preserve">as ``Painted Lady.&apos;&apos; These two types never appear in the same</w:t></w:r>
</w:p>
<w:p>
<w:pPr><w:pStyle w:val="Normal"/></w:pPr>
<w:r><w:t xml:space="preserve">family.  With the stocks, when a white-flowered and hairless</w:t></w:r>
</w:p>
<w:p>
<w:pPr><w:pStyle w:val="Normal"/></w:pPr>
<w:r><w:t xml:space="preserve">form is crossed with a cream-flowered and hairless one, all</w:t></w:r>
</w:p>
<w:p>
<w:pPr><w:pStyle w:val="Normal"/></w:pPr>
<w:r><w:t xml:space="preserve">the offspring are purple and hairy.  Bateson considers that</w:t></w:r>
</w:p>
<w:p>
<w:pPr><w:pStyle w:val="Normal"/></w:pPr>
<w:r><w:t xml:space="preserve">the purple colour is due to the simultaneous existence in</w:t></w:r>
</w:p>
<w:p>
<w:pPr><w:pStyle w:val="Normal"/></w:pPr>
<w:r><w:t xml:space="preserve">the plant of two colour factors which may be designated by</w:t></w:r>
</w:p>
<w:p>
<w:pPr><w:pStyle w:val="Heading1"/></w:pPr>
<w:r><w:t>C and R. If either one of these two is absent the plant is</w:t></w:r>
</w:p>
<w:p>
<w:pPr><w:pStyle w:val="Normal"/></w:pPr>
<w:r><w:t xml:space="preserve">colourless.  Cream-coloured flowers are regarded as white</w:t></w:r>
</w:p>
<w:p>
<w:pPr><w:pStyle w:val="Normal"/></w:pPr>
<w:r><w:t xml:space="preserve">because cream is due to yellow plastids and not to sap</w:t></w:r>
</w:p>
<w:p>
<w:pPr><w:pStyle w:val="Normal"/></w:pPr>
<w:r><w:t xml:space="preserve">colour.  Thus the cream plant may carry C and the white</w:t></w:r>
</w:p>
<w:p>
<w:pPr><w:pStyle w:val="Normal"/></w:pPr>
<w:r><w:t xml:space="preserve">one R. When they are crossed the two factors for colour</w:t></w:r>
</w:p>
<w:p>
<w:pPr><w:pStyle w:val="Normal"/></w:pPr>
<w:r><w:t xml:space="preserve">production are brought together.  Obviously, we may regard C</w:t></w:r>
</w:p>
<w:p>
<w:pPr><w:pStyle w:val="Normal"/></w:pPr>
<w:r><w:t xml:space="preserve">as a tyrosinase and R as a chromogen, or vice versa; and in</w:t></w:r>
</w:p>
<w:p>
<w:pPr><w:pStyle w:val="Normal"/></w:pPr>
<w:r><w:t xml:space="preserve">the case of the white sweetpea crossed with a blue-flowered</w:t></w:r>
</w:p>
<w:p>
<w:pPr><w:pStyle w:val="Normal"/></w:pPr>
<w:r><w:t xml:space="preserve">one, and producing purple offspring, we may imagine that</w:t></w:r>
</w:p>
<w:p>
<w:pPr><w:pStyle w:val="Normal"/></w:pPr>
<w:r><w:t xml:space="preserve">the white flower brought in an additional tyrosinase or a</w:t></w:r>
</w:p>
<w:p>
<w:pPr><w:pStyle w:val="Normal"/></w:pPr>
<w:r><w:t xml:space="preserve">chromogen not present in the blue flower, which, when combined</w:t></w:r>
</w:p>
<w:p>
<w:pPr><w:pStyle w:val="Normal"/></w:pPr>
<w:r><w:t xml:space="preserve">or mixed with the chromogen or tyrosinase for blue, gave</w:t></w:r>
</w:p>
<w:p>
<w:pPr><w:pStyle w:val="Normal"/></w:pPr>
<w:r><w:t xml:space="preserve">purple.  A similar explanation may apply to C. Correns&apos;s</w:t></w:r>
</w:p>
<w:p>
<w:pPr><w:pStyle w:val="Normal"/></w:pPr>
<w:r><w:t xml:space="preserve">experiment, in which he crossed white Mirabilis jalapa with</w:t></w:r>
</w:p>
<w:p>
<w:pPr><w:pStyle w:val="Normal"/></w:pPr>
<w:r><w:t xml:space="preserve">a yellow form, and always obtained red-flowered offspring.</w:t></w:r>
</w:p>
<w:p>
<w:pPr><w:pStyle w:val="Normal"/></w:pPr>
<w:r><w:t xml:space="preserve">In heredity, complete albinism among animals is always</w:t></w:r>
</w:p>
<w:p>
<w:pPr><w:pStyle w:val="Normal"/></w:pPr>
<w:r><w:t xml:space="preserve">recessive; and partial albinism (piebald) is always recessive</w:t></w:r>
</w:p>
<w:p>
<w:pPr><w:pStyle w:val="Normal"/></w:pPr>
<w:r><w:t xml:space="preserve">to complete pigmentation (self-coloured).  When an albino</w:t></w:r>
</w:p>
<w:p>
<w:pPr><w:pStyle w:val="Normal"/></w:pPr>
<w:r><w:t xml:space="preserve">mouse, rat, guinea-pig or rabbit is crossed with either</w:t></w:r>
</w:p>
<w:p>
<w:pPr><w:pStyle w:val="Normal"/></w:pPr>
<w:r><w:t xml:space="preserve">a pure self or pure pied-coloured form, the offspring are</w:t></w:r>
</w:p>
<w:p>
<w:pPr><w:pStyle w:val="Normal"/></w:pPr>
<w:r><w:t xml:space="preserve">similar to, though not always exactly like, the coloured</w:t></w:r>
</w:p>
<w:p>
<w:pPr><w:pStyle w:val="Normal"/></w:pPr>
<w:r><w:t xml:space="preserve">parent; provided, of course, that the albino is pure and</w:t></w:r>
</w:p>
<w:p>
<w:pPr><w:pStyle w:val="Normal"/></w:pPr>
<w:r><w:t xml:space="preserve">is not carrying some colour or pattern determinant which is</w:t></w:r>
</w:p>
<w:p>
<w:pPr><w:pStyle w:val="Normal"/></w:pPr>
<w:r><w:t xml:space="preserve">dominant to that of the coloured parent used.  No albinoes,</w:t></w:r>
</w:p>
<w:p>
<w:pPr><w:pStyle w:val="Normal"/></w:pPr>
<w:r><w:t xml:space="preserve">in such a case, will appear among the first generation,</w:t></w:r>
</w:p>
<w:p>
<w:pPr><w:pStyle w:val="Normal"/></w:pPr>
<w:r><w:t xml:space="preserve">but if the individuals of this (F.1) generation are crossed</w:t></w:r>
</w:p>
<w:p>
<w:pPr><w:pStyle w:val="Normal"/></w:pPr>
<w:r><w:t xml:space="preserve">inter se or back crossed with the albino parenr, then</w:t></w:r>
</w:p>
<w:p>
<w:pPr><w:pStyle w:val="Normal"/></w:pPr>
<w:r><w:t xml:space="preserve">albino individuals reappear among the offspring.  In the</w:t></w:r>
</w:p>
<w:p>
<w:pPr><w:pStyle w:val="Normal"/></w:pPr>
<w:r><w:t xml:space="preserve">former case they would form one-quarter of the individuals</w:t></w:r>
</w:p>
<w:p>
<w:pPr><w:pStyle w:val="Normal"/></w:pPr>
<w:r><w:t xml:space="preserve">of this second (F.2) generation, and in the latter, one-half.</w:t></w:r>
</w:p>
<w:p>
<w:pPr><w:pStyle w:val="Normal"/></w:pPr>
<w:r><w:t xml:space="preserve">The recessive nature of albinism and its distribution in</w:t></w:r>
</w:p>
<w:p>
<w:pPr><w:pStyle w:val="Normal"/></w:pPr>
<w:r><w:t xml:space="preserve">Mendelian fashion is almost certainly as true for man as</w:t></w:r>
</w:p>
<w:p>
<w:pPr><w:pStyle w:val="Normal"/></w:pPr>
<w:r><w:t xml:space="preserve">for lower forms.  This has been shown by W. C. Farabee for</w:t></w:r>
</w:p>
<w:p>
<w:pPr><w:pStyle w:val="Normal"/></w:pPr>
<w:r><w:t xml:space="preserve">negroes in Coanoma county, Mississippi.  The facts are as</w:t></w:r>
</w:p>
<w:p>
<w:pPr><w:pStyle w:val="Normal"/></w:pPr>
<w:r><w:t xml:space="preserve">follows.  An albino negro married a normal negress.  They had</w:t></w:r>
</w:p>
<w:p>
<w:pPr><w:pStyle w:val="Normal"/></w:pPr>
<w:r><w:t xml:space="preserve">three children, all males.  All three sons married, and two</w:t></w:r>
</w:p>
<w:p>
<w:pPr><w:pStyle w:val="Normal"/></w:pPr>
<w:r><w:t xml:space="preserve">of them had only normal children, judged of course by somatic</w:t></w:r>
</w:p>
<w:p>
<w:pPr><w:pStyle w:val="Normal"/></w:pPr>
<w:r><w:t xml:space="preserve">characters.  But the third son married twice, and by the</w:t></w:r>
</w:p>
<w:p>
<w:pPr><w:pStyle w:val="Normal"/></w:pPr>
<w:r><w:t xml:space="preserve">first wife had five normal and one albino children, and by</w:t></w:r>
</w:p>
<w:p>
<w:pPr><w:pStyle w:val="Normal"/></w:pPr>
<w:r><w:t xml:space="preserve">the second, six normal and three albino children.  If we</w:t></w:r>
</w:p>
<w:p>
<w:pPr><w:pStyle w:val="Normal"/></w:pPr>
<w:r><w:t xml:space="preserve">assume that the two negresses which the third son married</w:t></w:r>
</w:p>
<w:p>
<w:pPr><w:pStyle w:val="Normal"/></w:pPr>
<w:r><w:t xml:space="preserve">were themselves carrying albinism recessive --an exceedingly</w:t></w:r>
</w:p>
<w:p>
<w:pPr><w:pStyle w:val="Normal"/></w:pPr>
<w:r><w:t xml:space="preserve">probable condition considering that albino negroes are not</w:t></w:r>
</w:p>
<w:p>
<w:pPr><w:pStyle w:val="Normal"/></w:pPr>
<w:r><w:t xml:space="preserve">uncommon---the result is accurately in accordance, as W. E.</w:t></w:r>
</w:p>
<w:p>
<w:pPr><w:pStyle w:val="Normal"/></w:pPr>
<w:r><w:t xml:space="preserve">Castle has shown, with Mendelian expectation.  For there is</w:t></w:r>
</w:p>
<w:p>
<w:pPr><w:pStyle w:val="Normal"/></w:pPr>
<w:r><w:t xml:space="preserve">expected in the offspring of this third son coloured individuals</w:t></w:r>
</w:p>
<w:p>
<w:pPr><w:pStyle w:val="Normal"/></w:pPr>
<w:r><w:t xml:space="preserve">and albinoes in the proportion of 3:1. There is actually 11:4,</w:t></w:r>
</w:p>
<w:p>
<w:pPr><w:pStyle w:val="Normal"/></w:pPr>
<w:r><w:t xml:space="preserve">which is the nearest possible approximation with the number 15.</w:t></w:r>
</w:p>
<w:p>
<w:pPr><w:pStyle w:val="Normal"/></w:pPr>
<w:r><w:t xml:space="preserve">The operation of Mendelian processes in human heredity</w:t></w:r>
</w:p>
<w:p>
<w:pPr><w:pStyle w:val="Normal"/></w:pPr>
<w:r><w:t xml:space="preserve">is further shown by the close relationship that exists</w:t></w:r>
</w:p>
<w:p>
<w:pPr><w:pStyle w:val="Normal"/></w:pPr>
<w:r><w:t xml:space="preserve">between the appearance of albinoes and cousin marriages.</w:t></w:r>
</w:p>
<w:p>
<w:pPr><w:pStyle w:val="Normal"/></w:pPr>
<w:r><w:t xml:space="preserve">An albino is a homozygote; that is, all its gametes are</w:t></w:r>
</w:p>
<w:p>
<w:pPr><w:pStyle w:val="Normal"/></w:pPr>
<w:r><w:t xml:space="preserve">carrying the character of albinism and none of them bear the</w:t></w:r>
</w:p>
<w:p>
<w:pPr><w:pStyle w:val="Normal"/></w:pPr>
<w:r><w:t xml:space="preserve">alternative character --the allelomorph---of pigmentation.  By</w:t></w:r>
</w:p>
<w:p>
<w:pPr><w:pStyle w:val="Normal"/></w:pPr>
<w:r><w:t xml:space="preserve">pigmentation is here meant all those factors which go to its</w:t></w:r>
</w:p>
<w:p>
<w:pPr><w:pStyle w:val="Normal"/></w:pPr>
<w:r><w:t xml:space="preserve">production.  Now such a gametic (egg or sperm) constitution</w:t></w:r>
</w:p>
<w:p>
<w:pPr><w:pStyle w:val="Normal"/></w:pPr>
<w:r><w:t xml:space="preserve">can only result when two individuals, all or some of whose</w:t></w:r>
</w:p>
<w:p>
<w:pPr><w:pStyle w:val="Normal"/></w:pPr>
<w:r><w:t xml:space="preserve">gametes are pure with regard to the character albinism, meet in</w:t></w:r>
</w:p>
<w:p>
<w:pPr><w:pStyle w:val="Normal"/></w:pPr>
<w:r><w:t xml:space="preserve">fertilization.  Hence it is readily seen that it is among</w:t></w:r>
</w:p>
<w:p>
<w:pPr><w:pStyle w:val="Normal"/></w:pPr>
<w:r><w:t xml:space="preserve">cousin marriages that the greater probabilities exist that</w:t></w:r>
</w:p>
<w:p>
<w:pPr><w:pStyle w:val="Normal"/></w:pPr>
<w:r><w:t xml:space="preserve">two individuals bearing identical characters will meet, than</w:t></w:r>
</w:p>
<w:p>
<w:pPr><w:pStyle w:val="Normal"/></w:pPr>
<w:r><w:t xml:space="preserve">in the population at large.  This can be illustrated in the</w:t></w:r>
</w:p>
<w:p>
<w:pPr><w:pStyle w:val="Normal"/></w:pPr>
<w:r><w:t xml:space="preserve">following scheme.  Let A stand for a pure albino and (A)N</w:t></w:r>
</w:p>
<w:p>
<w:pPr><w:pStyle w:val="Normal"/></w:pPr>
<w:r><w:t xml:space="preserve">for a normal person, who nevertheless carries the character</w:t></w:r>
</w:p>
<w:p>
<w:pPr><w:pStyle w:val="Normal"/></w:pPr>
<w:r><w:t xml:space="preserve">albinism (A) recessive.  Then, in the scheme below, if Ab</w:t></w:r>
</w:p>
<w:p>
<w:pPr><w:pStyle w:val="Normal"/></w:pPr>
<w:r><w:t xml:space="preserve">and (A)Nb are two brothers who both marry normal wives</w:t></w:r>
</w:p>
<w:p>
<w:pPr><w:pStyle w:val="Normal"/></w:pPr>
<w:r><w:t xml:space="preserve">N, their children N(A) in the first case will be all normal</w:t></w:r>
</w:p>
<w:p>
<w:pPr><w:pStyle w:val="Normal"/></w:pPr>
<w:r><w:t xml:space="preserve">in appearance but will be carrying albinism recessive; and</w:t></w:r>
</w:p>
<w:p>
<w:pPr><w:pStyle w:val="Normal"/></w:pPr>
<w:r><w:t xml:space="preserve">in the second case some will be pure normal individuals</w:t></w:r>
</w:p>
<w:p>
<w:pPr><w:pStyle w:val="Normal"/></w:pPr>
<w:r><w:t xml:space="preserve">N, and some will be like the children of the first brother,</w:t></w:r>
</w:p>
<w:p>
<w:pPr><w:pStyle w:val="Normal"/></w:pPr>
<w:r><w:t xml:space="preserve">i.e. N(A).  Now, if one of these latter children of the</w:t></w:r>
</w:p>
<w:p>
<w:pPr><w:pStyle w:val="Normal"/></w:pPr>
<w:r><w:t xml:space="preserve">second brother marries a cousin---a child of the first</w:t></w:r>
</w:p>
<w:p>
<w:pPr><w:pStyle w:val="Normal"/></w:pPr>
<w:r><w:t xml:space="preserve">brother,---their offspring, if large enough, will consist of</w:t></w:r>
</w:p>
<w:p>
<w:pPr><w:pStyle w:val="Normal"/></w:pPr>
<w:r><w:t xml:space="preserve">some pure normals N, impure normals N(A), and of albinoes A.</w:t></w:r>
</w:p>
<w:p>
<w:pPr><w:pStyle w:val="Normal"/></w:pPr>
<w:r><w:t xml:space="preserve">Ab X N (A)Nb X N</w:t></w:r>
</w:p>
<w:p>
<w:pPr><w:pStyle w:val="Normal"/></w:pPr>
<w:r><w:t xml:space="preserve">| |</w:t></w:r>
</w:p>
<w:p>
<w:pPr><w:pStyle w:val="Normal"/></w:pPr>
<w:r><w:t xml:space="preserve">N(A)               N(A)+N</w:t></w:r>
</w:p>
<w:p>
<w:pPr><w:pStyle w:val="Normal"/></w:pPr>
<w:r><w:t xml:space="preserve">|</w:t></w:r>
</w:p>
<w:p>
<w:pPr><w:pStyle w:val="Normal"/></w:pPr>
<w:r><w:t xml:space="preserve">N+2N(A)+A</w:t></w:r>
</w:p>
<w:p>
<w:pPr><w:pStyle w:val="Normal"/></w:pPr>
<w:r><w:t xml:space="preserve">No other rational explanation of the close relationship</w:t></w:r>
</w:p>
<w:p>
<w:pPr><w:pStyle w:val="Normal"/></w:pPr>
<w:r><w:t xml:space="preserve">between albinism and cousin marriages is at present</w:t></w:r>
</w:p>
<w:p>
<w:pPr><w:pStyle w:val="Normal"/></w:pPr>
<w:r><w:t xml:space="preserve">forthcoming.  And, when the whole facts are borne in</w:t></w:r>
</w:p>
<w:p>
<w:pPr><w:pStyle w:val="Normal"/></w:pPr>
<w:r><w:t xml:space="preserve">mind, there can be no reasonable doubt that the Mendelian</w:t></w:r>
</w:p>
<w:p>
<w:pPr><w:pStyle w:val="Normal"/></w:pPr>
<w:r><w:t xml:space="preserve">principles offer an intelligible solution of the problem.</w:t></w:r>
</w:p>
<w:p>
<w:pPr><w:pStyle w:val="Normal"/></w:pPr>
<w:r><w:t xml:space="preserve">A popular conception exists that albinoes are less</w:t></w:r>
</w:p>
<w:p>
<w:pPr><w:pStyle w:val="Normal"/></w:pPr>
<w:r><w:t xml:space="preserve">constitutionally strong than the pigmented individuals of</w:t></w:r>
</w:p>
<w:p>
<w:pPr><w:pStyle w:val="Normal"/></w:pPr>
<w:r><w:t xml:space="preserve">the same species.  In support of this belief there is more or</w:t></w:r>
</w:p>
<w:p>
<w:pPr><w:pStyle w:val="Normal"/></w:pPr>
<w:r><w:t xml:space="preserve">less scientifically ascertained evidence.  Conversely, there</w:t></w:r>
</w:p>
<w:p>
<w:pPr><w:pStyle w:val="Normal"/></w:pPr>
<w:r><w:t xml:space="preserve">is, however, conclusive evidence that in some instances and</w:t></w:r>
</w:p>
<w:p>
<w:pPr><w:pStyle w:val="Normal"/></w:pPr>
<w:r><w:t xml:space="preserve">in respect of certain qeialities the opposite belief is true.</w:t></w:r>
</w:p>
<w:p>
<w:pPr><w:pStyle w:val="Normal"/></w:pPr>
<w:r><w:t xml:space="preserve">To deal with the former belief first, we have the remarkable</w:t></w:r>
</w:p>
<w:p>
<w:pPr><w:pStyle w:val="Normal"/></w:pPr>
<w:r><w:t xml:space="preserve">case cited by Charles Darwin on the authority of Professor I. J.</w:t></w:r>
</w:p>
<w:p>
<w:pPr><w:pStyle w:val="Normal"/></w:pPr>
<w:r><w:t xml:space="preserve">Wyman.  In Virginia the paint-root plant (Lachnanthes</w:t></w:r>
</w:p>
<w:p>
<w:pPr><w:pStyle w:val="Normal"/></w:pPr>
<w:r><w:t xml:space="preserve">tinctoria) occurs abundantly, and Professor Wyman noticed</w:t></w:r>
</w:p>
<w:p>
<w:pPr><w:pStyle w:val="Normal"/></w:pPr>
<w:r><w:t xml:space="preserve">that all the pigs in this district were black.  Upon inquiry</w:t></w:r>
</w:p>
<w:p>
<w:pPr><w:pStyle w:val="Normal"/></w:pPr>
<w:r><w:t xml:space="preserve">of the farmers he found that all the white pigs born in a</w:t></w:r>
</w:p>
<w:p>
<w:pPr><w:pStyle w:val="Normal"/></w:pPr>
<w:r><w:t xml:space="preserve">litter were destroyed, because they could not be reared to</w:t></w:r>
</w:p>
<w:p>
<w:pPr><w:pStyle w:val="Normal"/></w:pPr>
<w:r><w:t xml:space="preserve">maturity.  The root of this plant, when eaten by white pigs,</w:t></w:r>
</w:p>
<w:p>
<w:pPr><w:pStyle w:val="Normal"/></w:pPr>
<w:r><w:t xml:space="preserve">caused their bones to turn to a pink colour and their hoofs</w:t></w:r>
</w:p>
<w:p>
<w:pPr><w:pStyle w:val="Normal"/></w:pPr>
<w:r><w:t xml:space="preserve">to fall off, but the black pigs could eat the same plant with</w:t></w:r>
</w:p>
<w:p>
<w:pPr><w:pStyle w:val="Normal"/></w:pPr>
<w:r><w:t xml:space="preserve">impunity.  Partial albinism in this case was undoubtedly</w:t></w:r>
</w:p>
<w:p>
<w:pPr><w:pStyle w:val="Normal"/></w:pPr>
<w:r><w:t xml:space="preserve">correlated with some inherent constitutional defect, in</w:t></w:r>
</w:p>
<w:p>
<w:pPr><w:pStyle w:val="Normal"/></w:pPr>
<w:r><w:t xml:space="preserve">virtue of which the individuals characterized by it were</w:t></w:r>
</w:p>
<w:p>
<w:pPr><w:pStyle w:val="Normal"/></w:pPr>
<w:r><w:t xml:space="preserve">injuriously affected by the juices of a plant quite innocuous</w:t></w:r>
</w:p>
<w:p>
<w:pPr><w:pStyle w:val="Normal"/></w:pPr>
<w:r><w:t xml:space="preserve">to their pigmented brethren.  Heusinger has shown that</w:t></w:r>
</w:p>
<w:p>
<w:pPr><w:pStyle w:val="Normal"/></w:pPr>
<w:r><w:t xml:space="preserve">white sheep and pigs are injured by the ingestion of certain</w:t></w:r>
</w:p>
<w:p>
<w:pPr><w:pStyle w:val="Normal"/></w:pPr>
<w:r><w:t xml:space="preserve">plants, while the pigmented individuals may eat them without</w:t></w:r>
</w:p>
<w:p>
<w:pPr><w:pStyle w:val="Normal"/></w:pPr>
<w:r><w:t xml:space="preserve">harm.  In Devonshire and in parts of Kent the farmers entertain</w:t></w:r>
</w:p>
<w:p>
<w:pPr><w:pStyle w:val="Normal"/></w:pPr>
<w:r><w:t xml:space="preserve">a marked prejudice against white pigs, because ``the sun</w:t></w:r>
</w:p>
<w:p>
<w:pPr><w:pStyle w:val="Normal"/></w:pPr>
<w:r><w:t xml:space="preserve">blisters their skin.&apos;&apos; More remarkable is the case of certain</w:t></w:r>
</w:p>
<w:p>
<w:pPr><w:pStyle w:val="Normal"/></w:pPr>
<w:r><w:t xml:space="preserve">cattle, whose skin is piebald, marked by a general ground</w:t></w:r>
</w:p>
<w:p>
<w:pPr><w:pStyle w:val="Normal"/></w:pPr>
<w:r><w:t xml:space="preserve">colour over which are scattered patches of unpigmented coat.</w:t></w:r>
</w:p>
<w:p>
<w:pPr><w:pStyle w:val="Normal"/></w:pPr>
<w:r><w:t xml:space="preserve">In these animals, in certain inflammatory skin eruptions,</w:t></w:r>
</w:p>
<w:p>
<w:pPr><w:pStyle w:val="Normal"/></w:pPr>
<w:r><w:t xml:space="preserve">caused by the ingestion of harmful plants, the albinotic</w:t></w:r>
</w:p>
<w:p>
<w:pPr><w:pStyle w:val="Normal"/></w:pPr>
<w:r><w:t xml:space="preserve">areas are alone affected.  And with certain cutaneous diseases</w:t></w:r>
</w:p>
<w:p>
<w:pPr><w:pStyle w:val="Normal"/></w:pPr>
<w:r><w:t xml:space="preserve">accompanied by constitutional disturbances which afflict</w:t></w:r>
</w:p>
<w:p>
<w:pPr><w:pStyle w:val="Normal"/></w:pPr>
<w:r><w:t xml:space="preserve">cattle, the affection in the skin appears on the patches</w:t></w:r>
</w:p>
<w:p>
<w:pPr><w:pStyle w:val="Normal"/></w:pPr>
<w:r><w:t xml:space="preserve">bearing white hairs, the other parts remaining apparently</w:t></w:r>
</w:p>
<w:p>
<w:pPr><w:pStyle w:val="Normal"/></w:pPr>
<w:r><w:t xml:space="preserve">healthy.  Such cases suggest that we should be more correct</w:t></w:r>
</w:p>
<w:p>
<w:pPr><w:pStyle w:val="Normal"/></w:pPr>
<w:r><w:t xml:space="preserve">in regarding, not albinism as correlated with constitutional</w:t></w:r>
</w:p>
<w:p>
<w:pPr><w:pStyle w:val="Normal"/></w:pPr>
<w:r><w:t xml:space="preserve">defects, but rather pigmentation as correlated with powers</w:t></w:r>
</w:p>
<w:p>
<w:pPr><w:pStyle w:val="Normal"/></w:pPr>
<w:r><w:t xml:space="preserve">of immunity or increased resistance against certain injurious</w:t></w:r>
</w:p>
<w:p>
<w:pPr><w:pStyle w:val="Normal"/></w:pPr>
<w:r><w:t xml:space="preserve">processes.  In the West Indies ``the only horned cattle</w:t></w:r>
</w:p>
<w:p>
<w:pPr><w:pStyle w:val="Normal"/></w:pPr>
<w:r><w:t xml:space="preserve">fit for work are those which have a good deal of black in</w:t></w:r>
</w:p>
<w:p>
<w:pPr><w:pStyle w:val="Normal"/></w:pPr>
<w:r><w:t xml:space="preserve">them; the white are terribly tormented by the insects and</w:t></w:r>
</w:p>
<w:p>
<w:pPr><w:pStyle w:val="Normal"/></w:pPr>
<w:r><w:t xml:space="preserve">they are weak and sluggish in proportion to the black.&apos;&apos;</w:t></w:r>
</w:p>
<w:p>
<w:pPr><w:pStyle w:val="Normal"/></w:pPr>
<w:r><w:t xml:space="preserve">Coming to man, it is known that some albino negroes are peculiarly</w:t></w:r>
</w:p>
<w:p>
<w:pPr><w:pStyle w:val="Normal"/></w:pPr>
<w:r><w:t xml:space="preserve">sensitive to the bites of insects; and with Europeans it is a</w:t></w:r>
</w:p>
<w:p>
<w:pPr><w:pStyle w:val="Normal"/></w:pPr>
<w:r><w:t xml:space="preserve">generally observed fact that the fairer individuals are more</w:t></w:r>
</w:p>
<w:p>
<w:pPr><w:pStyle w:val="Normal"/></w:pPr>
<w:r><w:t xml:space="preserve">seriously affected by the bites of fleas and bugs than are darker</w:t></w:r>
</w:p>
<w:p>
<w:pPr><w:pStyle w:val="Normal"/></w:pPr>
<w:r><w:t xml:space="preserve">ones.  Dr Twining, in the British Association Reports for</w:t></w:r>
</w:p>
<w:p>
<w:pPr><w:pStyle w:val="Normal"/></w:pPr>
<w:r><w:t xml:space="preserve">1845, p. 79, cites some instances described by Humboldt, who</w:t></w:r>
</w:p>
<w:p>
<w:pPr><w:pStyle w:val="Normal"/></w:pPr>
<w:r><w:t xml:space="preserve">says that the copper-coloured natives of the high plain of</w:t></w:r>
</w:p>
<w:p>
<w:pPr><w:pStyle w:val="Normal"/></w:pPr>
<w:r><w:t xml:space="preserve">Bogoto, and at a lower level on the Magdalena river, were</w:t></w:r>
</w:p>
<w:p>
<w:pPr><w:pStyle w:val="Normal"/></w:pPr>
<w:r><w:t xml:space="preserve">generally free from goitre.  Professor Poffig, also cited</w:t></w:r>
</w:p>
<w:p>
<w:pPr><w:pStyle w:val="Normal"/></w:pPr>
<w:r><w:t xml:space="preserve">by Dr Twining, states that on the east side of the Andes in</w:t></w:r>
</w:p>
<w:p>
<w:pPr><w:pStyle w:val="Normal"/></w:pPr>
<w:r><w:t xml:space="preserve">Chile, in some of the races which live there, he did not see</w:t></w:r>
</w:p>
<w:p>
<w:pPr><w:pStyle w:val="Normal"/></w:pPr>
<w:r><w:t xml:space="preserve">a single case of goitre, and yet in the white inhabitants, who</w:t></w:r>
</w:p>
<w:p>
<w:pPr><w:pStyle w:val="Normal"/></w:pPr>
<w:r><w:t xml:space="preserve">live exactly as the natives, it prevails in a great degree:</w:t></w:r>
</w:p>
<w:p>
<w:pPr><w:pStyle w:val="Normal"/></w:pPr>
<w:r><w:t xml:space="preserve">Turning now to instances of the opposite kind, it is known</w:t></w:r>
</w:p>
<w:p>
<w:pPr><w:pStyle w:val="Normal"/></w:pPr>
<w:r><w:t xml:space="preserve">that silkworms which spin colourless cocoons are more resistant</w:t></w:r>
</w:p>
<w:p>
<w:pPr><w:pStyle w:val="Normal"/></w:pPr>
<w:r><w:t xml:space="preserve">to the attacks of a certain deadly fungus than are those</w:t></w:r>
</w:p>
<w:p>
<w:pPr><w:pStyle w:val="Normal"/></w:pPr>
<w:r><w:t xml:space="preserve">which spin the yellow ones.  In some parts of North America</w:t></w:r>
</w:p>
<w:p>
<w:pPr><w:pStyle w:val="Normal"/></w:pPr>
<w:r><w:t xml:space="preserve">it is found that the white peaches are much less liable to</w:t></w:r>
</w:p>
<w:p>
<w:pPr><w:pStyle w:val="Normal"/></w:pPr>
<w:r><w:t xml:space="preserve">the attack of a disease known as the ``yellows&apos;&apos; than are</w:t></w:r>
</w:p>
<w:p>
<w:pPr><w:pStyle w:val="Normal"/></w:pPr>
<w:r><w:t xml:space="preserve">the yellow-fleshed ones.  In the region of the Mississippi,</w:t></w:r>
</w:p>
<w:p>
<w:pPr><w:pStyle w:val="Normal"/></w:pPr>
<w:r><w:t xml:space="preserve">Farabee has observed that the albino negroes are taller and</w:t></w:r>
</w:p>
<w:p>
<w:pPr><w:pStyle w:val="Normal"/></w:pPr>
<w:r><w:t xml:space="preserve">broader than the black-skinned individuals.  We may assume</w:t></w:r>
</w:p>
<w:p>
<w:pPr><w:pStyle w:val="Normal"/></w:pPr>
<w:r><w:t xml:space="preserve">that increased stature and breadth imply some sort of inherent</w:t></w:r>
</w:p>
<w:p>
<w:pPr><w:pStyle w:val="Normal"/></w:pPr>
<w:r><w:t xml:space="preserve">physical superiority, and if such an assumption is valid we</w:t></w:r>
</w:p>
<w:p>
<w:pPr><w:pStyle w:val="Normal"/></w:pPr>
<w:r><w:t xml:space="preserve">have in man evidence that albinism is correlated not with</w:t></w:r>
</w:p>
<w:p>
<w:pPr><w:pStyle w:val="Normal"/></w:pPr>
<w:r><w:t xml:space="preserve">constitutional defectiveness but with greater perfectness.</w:t></w:r>
</w:p>
<w:p>
<w:pPr><w:pStyle w:val="Normal"/></w:pPr>
<w:r><w:t xml:space="preserve">But the question as to whether albinoes are more or less</w:t></w:r>
</w:p>
<w:p>
<w:pPr><w:pStyle w:val="Normal"/></w:pPr>
<w:r><w:t xml:space="preserve">constitutionally vigorous than pigmented individuals of the</w:t></w:r>
</w:p>
<w:p>
<w:pPr><w:pStyle w:val="Normal"/></w:pPr>
<w:r><w:t xml:space="preserve">same species may be tested by exact measurement.  In 1893 W. D.</w:t></w:r>
</w:p>
<w:p>
<w:pPr><w:pStyle w:val="Normal"/></w:pPr>
<w:r><w:t xml:space="preserve">Halliburton and T. G. Brodie, in ascertaining the physiological</w:t></w:r>
</w:p>
<w:p>
<w:pPr><w:pStyle w:val="Normal"/></w:pPr>
<w:r><w:t xml:space="preserve">pijoperties of nucleo-proteids, found that when they were</w:t></w:r>
</w:p>
<w:p>
<w:pPr><w:pStyle w:val="Normal"/></w:pPr>
<w:r><w:t xml:space="preserve">intravascularly injected into pigmented rabbits, coagulation</w:t></w:r>
</w:p>
<w:p>
<w:pPr><w:pStyle w:val="Normal"/></w:pPr>
<w:r><w:t xml:space="preserve">of the blood resulted, but of the eight albinoes which they</w:t></w:r>
</w:p>
<w:p>
<w:pPr><w:pStyle w:val="Normal"/></w:pPr>
<w:r><w:t xml:space="preserve">used, none clotted.  At a subsequent period (1897) Halliburton</w:t></w:r>
</w:p>
<w:p>
<w:pPr><w:pStyle w:val="Normal"/></w:pPr>
<w:r><w:t xml:space="preserve">and J. W. Pickering showed that the three synthesized colloids</w:t></w:r>
</w:p>
<w:p>
<w:pPr><w:pStyle w:val="Normal"/></w:pPr>
<w:r><w:t xml:space="preserve">of Grimaux in the same way produced coagulation in pigmented</w:t></w:r>
</w:p>
<w:p>
<w:pPr><w:pStyle w:val="Normal"/></w:pPr>
<w:r><w:t xml:space="preserve">animals, but failed to do so in albinoes.  Pickering, still</w:t></w:r>
</w:p>
<w:p>
<w:pPr><w:pStyle w:val="Normal"/></w:pPr>
<w:r><w:t xml:space="preserve">later, showed, in the case of four Norway hares, two of</w:t></w:r>
</w:p>
<w:p>
<w:pPr><w:pStyle w:val="Normal"/></w:pPr>
<w:r><w:t xml:space="preserve">which were injected while in their pigmented or summer</w:t></w:r>
</w:p>
<w:p>
<w:pPr><w:pStyle w:val="Normal"/></w:pPr>
<w:r><w:t xml:space="preserve">coat, and two while in their albino or winter coat, that</w:t></w:r>
</w:p>
<w:p>
<w:pPr><w:pStyle w:val="Normal"/></w:pPr>
<w:r><w:t xml:space="preserve">coagulation occurred in the former cases but not in the latter.</w:t></w:r>
</w:p>
<w:p>
<w:pPr><w:pStyle w:val="Normal"/></w:pPr>
<w:r><w:t xml:space="preserve">Quite recently, however, the author of this article has made</w:t></w:r>
</w:p>
<w:p>
<w:pPr><w:pStyle w:val="Normal"/></w:pPr>
<w:r><w:t xml:space="preserve">a more detailed examination of the question, operating upon</w:t></w:r>
</w:p>
<w:p>
<w:pPr><w:pStyle w:val="Normal"/></w:pPr>
<w:r><w:t xml:space="preserve">several hundreds of rabbits.  And he found that all albinoes</w:t></w:r>
</w:p>
<w:p>
<w:pPr><w:pStyle w:val="Normal"/></w:pPr>
<w:r><w:t xml:space="preserve">do not fail to clot when intravascularly injected with</w:t></w:r>
</w:p>
<w:p>
<w:pPr><w:pStyle w:val="Normal"/></w:pPr>
<w:r><w:t xml:space="preserve">nucleoproteids.  Only about 9% of them thus failed absolutely</w:t></w:r>
</w:p>
<w:p>
<w:pPr><w:pStyle w:val="Normal"/></w:pPr>
<w:r><w:t xml:space="preserve">to manifest any trace of coagulation.  But about 7% showed</w:t></w:r>
</w:p>
<w:p>
<w:pPr><w:pStyle w:val="Normal"/></w:pPr>
<w:r><w:t xml:space="preserve">an exceedingly limited coagulation, in which the clot was</w:t></w:r>
</w:p>
<w:p>
<w:pPr><w:pStyle w:val="Normal"/></w:pPr>
<w:r><w:t xml:space="preserve">colourless and flocculent, and confined to the heart.  The</w:t></w:r>
</w:p>
<w:p>
<w:pPr><w:pStyle w:val="Normal"/></w:pPr>
<w:r><w:t xml:space="preserve">rest gave a typical and more or less wide-spread coagulation.</w:t></w:r>
</w:p>
<w:p>
<w:pPr><w:pStyle w:val="Normal"/></w:pPr>
<w:r><w:t xml:space="preserve">Moreover, it was found that all the failures of coagulation</w:t></w:r>
</w:p>
<w:p>
<w:pPr><w:pStyle w:val="Normal"/></w:pPr>
<w:r><w:t xml:space="preserve">occurred when the nucleo-proteid used was obtained from pigmented</w:t></w:r>
</w:p>
<w:p>
<w:pPr><w:pStyle w:val="Normal"/></w:pPr>
<w:r><w:t xml:space="preserve">animals.  When it was derived from albinoes no failures</w:t></w:r>
</w:p>
<w:p>
<w:pPr><w:pStyle w:val="Normal"/></w:pPr>
<w:r><w:t xml:space="preserve">occurred.  All pigmented animals clotted when the nucleo-proteid</w:t></w:r>
</w:p>
<w:p>
<w:pPr><w:pStyle w:val="Normal"/></w:pPr>
<w:r><w:t xml:space="preserve">was derived from either source.  The Himalayan rabbits reacted</w:t></w:r>
</w:p>
<w:p>
<w:pPr><w:pStyle w:val="Normal"/></w:pPr>
<w:r><w:t xml:space="preserve">like complete albinoes, and 12% of them failed to clot when</w:t></w:r>
</w:p>
<w:p>
<w:pPr><w:pStyle w:val="Normal"/></w:pPr>
<w:r><w:t xml:space="preserve">injected with nucleo-proteid extracted from pigmented animals.</w:t></w:r>
</w:p>
<w:p>
<w:pPr><w:pStyle w:val="Normal"/></w:pPr>
<w:r><w:t xml:space="preserve">The interesting fact was thus ascertained that all albinoes are not</w:t></w:r>
</w:p>
<w:p>
<w:pPr><w:pStyle w:val="Normal"/></w:pPr>
<w:r><w:t xml:space="preserve">alike.  To students of heredity this is precisely what would</w:t></w:r>
</w:p>
<w:p>
<w:pPr><w:pStyle w:val="Normal"/></w:pPr>
<w:r><w:t xml:space="preserve">have been expected.  For, as the facts above described show,</w:t></w:r>
</w:p>
<w:p>
<w:pPr><w:pStyle w:val="Normal"/></w:pPr>
<w:r><w:t xml:space="preserve">albinoes, though apparently identical externally, are yet the</w:t></w:r>
</w:p>
<w:p>
<w:pPr><w:pStyle w:val="Normal"/></w:pPr>
<w:r><w:t xml:space="preserve">carriers of different hereditary characters.  Among albino</w:t></w:r>
</w:p>
<w:p>
<w:pPr><w:pStyle w:val="Normal"/></w:pPr>
<w:r><w:t xml:space="preserve">rats, for instance, the author of this article has reason to</w:t></w:r>
</w:p>
<w:p>
<w:pPr><w:pStyle w:val="Normal"/></w:pPr>
<w:r><w:t xml:space="preserve">believe, upon theoretical grounds resting on an experimental</w:t></w:r>
</w:p>
<w:p>
<w:pPr><w:pStyle w:val="Normal"/></w:pPr>
<w:r><w:t xml:space="preserve">basis, that probably no less than thirteen types exist.</w:t></w:r>
</w:p>
<w:p>
<w:pPr><w:pStyle w:val="Normal"/></w:pPr>
<w:r><w:t xml:space="preserve">With rabbits and mice there must be a still larger number.</w:t></w:r>
</w:p>
<w:p>
<w:pPr><w:pStyle w:val="Normal"/></w:pPr>
<w:r><w:t xml:space="preserve">In the intravascular coagulation experiments above described,</w:t></w:r>
</w:p>
<w:p>
<w:pPr><w:pStyle w:val="Normal"/></w:pPr>
<w:r><w:t xml:space="preserve">all the rabbits were carefully weighed, and the amount of</w:t></w:r>
</w:p>
<w:p>
<w:pPr><w:pStyle w:val="Normal"/></w:pPr>
<w:r><w:t xml:space="preserve">nucleoproteid injected until coagulation occurred was measured.</w:t></w:r>
</w:p>
<w:p>
<w:pPr><w:pStyle w:val="Normal"/></w:pPr>
<w:r><w:t xml:space="preserve">This would give for albinoes and pigmented individuals the</w:t></w:r>
</w:p>
<w:p>
<w:pPr><w:pStyle w:val="Normal"/></w:pPr>
<w:r><w:t xml:space="preserve">amount per kilogramme of body-weight required to kill in each</w:t></w:r>
</w:p>
<w:p>
<w:pPr><w:pStyle w:val="Normal"/></w:pPr>
<w:r><w:t xml:space="preserve">case, and would afford a measurement of the relative resistance</w:t></w:r>
</w:p>
<w:p>
<w:pPr><w:pStyle w:val="Normal"/></w:pPr>
<w:r><w:t xml:space="preserve">of the two races.  It was found that the resistance of albinoes</w:t></w:r>
</w:p>
<w:p>
<w:pPr><w:pStyle w:val="Normal"/></w:pPr>
<w:r><w:t xml:space="preserve">towards the coagulative effects of injected nucleo-proteids</w:t></w:r>
</w:p>
<w:p>
<w:pPr><w:pStyle w:val="Normal"/></w:pPr>
<w:r><w:t xml:space="preserve">was to that of pigmented individuals as 1.5 to 1.0. In this</w:t></w:r>
</w:p>
<w:p>
<w:pPr><w:pStyle w:val="Normal"/></w:pPr>
<w:r><w:t xml:space="preserve">case, the greater constitutional vigour of the albino is</w:t></w:r>
</w:p>
<w:p>
<w:pPr><w:pStyle w:val="Normal"/></w:pPr>
<w:r><w:t xml:space="preserve">thus accurately demonstrated.  But it does not necessarily</w:t></w:r>
</w:p>
<w:p>
<w:pPr><w:pStyle w:val="Normal"/></w:pPr>
<w:r><w:t xml:space="preserve">follow that with other materials and with other constitutional</w:t></w:r>
</w:p>
<w:p>
<w:pPr><w:pStyle w:val="Normal"/></w:pPr>
<w:r><w:t xml:space="preserve">qualities the state of things would not be reversed.</w:t></w:r>
</w:p>
<w:p>
<w:pPr><w:pStyle w:val="Normal"/></w:pPr>
<w:r><w:t xml:space="preserve">One other feature remains to be mentioned.  Albinism appears,</w:t></w:r>
</w:p>
<w:p>
<w:pPr><w:pStyle w:val="Normal"/></w:pPr>
<w:r><w:t xml:space="preserve">in the processes of heredity, to be sometimes indissolubly</w:t></w:r>
</w:p>
<w:p>
<w:pPr><w:pStyle w:val="Normal"/></w:pPr>
<w:r><w:t xml:space="preserve">correlated with certain peculiar traits.  It is well known</w:t></w:r>
</w:p>
<w:p>
<w:pPr><w:pStyle w:val="Normal"/></w:pPr>
<w:r><w:t xml:space="preserve">that the long-haired albino rabbit, called Angora, when at</w:t></w:r>
</w:p>
<w:p>
<w:pPr><w:pStyle w:val="Normal"/></w:pPr>
<w:r><w:t xml:space="preserve">rest, has the habit of swaying its head sideways in a peculiar</w:t></w:r>
</w:p>
<w:p>
<w:pPr><w:pStyle w:val="Normal"/></w:pPr>
<w:r><w:t xml:space="preserve">fashion.  C. C. Hurst has shown that the long-haired and</w:t></w:r>
</w:p>
<w:p>
<w:pPr><w:pStyle w:val="Normal"/></w:pPr>
<w:r><w:t xml:space="preserve">albino characters are always accompanied in heredity with the</w:t></w:r>
</w:p>
<w:p>
<w:pPr><w:pStyle w:val="Normal"/></w:pPr>
<w:r><w:t xml:space="preserve">swaying habit.  The Angora character never occurs without it.</w:t></w:r>
</w:p>
<w:p>
<w:pPr><w:pStyle w:val="Normal"/></w:pPr>
<w:r><w:t xml:space="preserve">BIBLIOGRAPHY.---G.  M. Allen, ``Heredity of Coat Colour in</w:t></w:r>
</w:p>
<w:p>
<w:pPr><w:pStyle w:val="Normal"/></w:pPr>
<w:r><w:t xml:space="preserve">Mice,&apos;&apos; Proc.  Amer.  Acad.  Arts and Sci. vol. xl.  No.</w:t></w:r>
</w:p>
<w:p>
<w:pPr><w:pStyle w:val="Normal"/></w:pPr>
<w:r><w:t xml:space="preserve">2; W. Bateson, Mendel&apos;s Principles of Heredity, a Defence</w:t></w:r>
</w:p>
<w:p>
<w:pPr><w:pStyle w:val="Normal"/></w:pPr>
<w:r><w:t xml:space="preserve">(Cambridge, 1902); W. Bateson and E. R. Saunders, ``Experimental</w:t></w:r>
</w:p>
<w:p>
<w:pPr><w:pStyle w:val="Normal"/></w:pPr>
<w:r><w:t xml:space="preserve">Studies in the Physiology of Heredity,&apos;&apos; Reports to the</w:t></w:r>
</w:p>
<w:p>
<w:pPr><w:pStyle w:val="Normal"/></w:pPr>
<w:r><w:t xml:space="preserve">Evolution Committee of the Royal Society, Report I. (London,</w:t></w:r>
</w:p>
<w:p>
<w:pPr><w:pStyle w:val="Normal"/></w:pPr>
<w:r><w:t xml:space="preserve">1901); W. Bateson, E. R. Saunders, R. C. Punnett and C. C.</w:t></w:r>
</w:p>
<w:p>
<w:pPr><w:pStyle w:val="Normal"/></w:pPr>
<w:r><w:t xml:space="preserve">Hurst, Reports to the Evolution Committee of the Royal</w:t></w:r>
</w:p>
<w:p>
<w:pPr><w:pStyle w:val="Normal"/></w:pPr>
<w:r><w:t xml:space="preserve">Society, Report II. (London, 1905); W. Bateson, E. R. Saunders</w:t></w:r>
</w:p>
<w:p>
<w:pPr><w:pStyle w:val="Normal"/></w:pPr>
<w:r><w:t xml:space="preserve">and R. C. Punnett, ``Further Experiments on Inheritance in</w:t></w:r>
</w:p>
<w:p>
<w:pPr><w:pStyle w:val="Normal"/></w:pPr>
<w:r><w:t xml:space="preserve">Sweet-Peas and Stocks,&apos;&apos; Proc.  Roy. Soc. B. vol. lxxvii.;</w:t></w:r>
</w:p>
<w:p>
<w:pPr><w:pStyle w:val="Normal"/></w:pPr>
<w:r><w:t xml:space="preserve">W. E. Castle, ``Note on Mr Farabee&apos;s Observations,&apos;&apos; Science,</w:t></w:r>
</w:p>
<w:p>
<w:pPr><w:pStyle w:val="Normal"/></w:pPr>
<w:r><w:t xml:space="preserve">N.S. vol. xvii. (New York); ``Mendel&apos;s Law of Heredity&apos;&apos;,</w:t></w:r>
</w:p>
<w:p>
<w:pPr><w:pStyle w:val="Normal"/></w:pPr>
<w:r><w:t xml:space="preserve">Science, N.S. vol. xviii. (New York); W. E. Castle and G. M.</w:t></w:r>
</w:p>
<w:p>
<w:pPr><w:pStyle w:val="Normal"/></w:pPr>
<w:r><w:t xml:space="preserve">Allen, ``Mendel&apos;s Law and the Heredity of Albinism,&apos;&apos; Proc.</w:t></w:r>
</w:p>
<w:p>
<w:pPr><w:pStyle w:val="Normal"/></w:pPr>
<w:r><w:t xml:space="preserve">Amer.  Acad.  Arts and Sci. vol. xxxviii.; L. Cuenot,</w:t></w:r>
</w:p>
<w:p>
<w:pPr><w:pStyle w:val="Normal"/></w:pPr>
<w:r><w:t xml:space="preserve">``L&apos;heredite de la pigmentation chez les souris,&apos;&apos; Arch.</w:t></w:r>
</w:p>
<w:p>
<w:pPr><w:pStyle w:val="Normal"/></w:pPr>
<w:r><w:t xml:space="preserve">d.  Zool.  Exper. et Gen.  Notes et Revue, ser. 3, tom.</w:t></w:r>
</w:p>
<w:p>
<w:pPr><w:pStyle w:val="Normal"/></w:pPr>
<w:r><w:t xml:space="preserve">10, and ser. 4, tom. 1 and 2; Charles Darwin, Variation</w:t></w:r>
</w:p>
<w:p>
<w:pPr><w:pStyle w:val="Normal"/></w:pPr>
<w:r><w:t xml:space="preserve">of Animals and Plants under Domestication, vols. i. and</w:t></w:r>
</w:p>
<w:p>
<w:pPr><w:pStyle w:val="Normal"/></w:pPr>
<w:r><w:t xml:space="preserve">ii., 2nd ed. (London, 1899); L. Doncaster, ``Inheritance</w:t></w:r>
</w:p>
<w:p>
<w:pPr><w:pStyle w:val="Normal"/></w:pPr>
<w:r><w:t xml:space="preserve">of Coat Colour in Rats,&apos;&apos; Proc.  Camb. Phil.  Soc. vol.</w:t></w:r>
</w:p>
<w:p>
<w:pPr><w:pStyle w:val="Normal"/></w:pPr>
<w:r><w:t xml:space="preserve">xiii. (Camb., 1906); V. von Ducceschi, Rendiconti della</w:t></w:r>
</w:p>
<w:p>
<w:pPr><w:pStyle w:val="Normal"/></w:pPr>
<w:r><w:t xml:space="preserve">R. Accad. dei Lincei, vol. ii.; Archivio di Fisiologia,</w:t></w:r>
</w:p>
<w:p>
<w:pPr><w:pStyle w:val="Normal"/></w:pPr>
<w:r><w:t xml:space="preserve">vol. i.; Florence M. Durham, ``Tyrosinases in the Skins of</w:t></w:r>
</w:p>
<w:p>
<w:pPr><w:pStyle w:val="Normal"/></w:pPr>
<w:r><w:t xml:space="preserve">Pigmented Vertebrates,&apos;&apos; Proc.  Roy. Soc. vol. lxxiv.;</w:t></w:r>
</w:p>
<w:p>
<w:pPr><w:pStyle w:val="Normal"/></w:pPr>
<w:r><w:t xml:space="preserve">W. C. Farabee, ``Notes on Negro Albinism,&apos;&apos; Science, N.S.</w:t></w:r>
</w:p>
<w:p>
<w:pPr><w:pStyle w:val="Normal"/></w:pPr>
<w:r><w:t xml:space="preserve">vol. xvii. (New York); Furth v.  Schneider, Beitr. z.</w:t></w:r>
</w:p>
<w:p>
<w:pPr><w:pStyle w:val="Normal"/></w:pPr>
<w:r><w:t xml:space="preserve">Chem.  Phys. u.  Path. Bd. 1; W. Haacke, ``Ueber Wesen,</w:t></w:r>
</w:p>
<w:p>
<w:pPr><w:pStyle w:val="Normal"/></w:pPr>
<w:r><w:t xml:space="preserve">Ursachen und Vererbung von Albinismus und Scheckung, &amp;c.,&apos;,</w:t></w:r>
</w:p>
<w:p>
<w:pPr><w:pStyle w:val="Normal"/></w:pPr>
<w:r><w:t xml:space="preserve">Biol.  Centralbl. Bd. 15; Halliburton and Brodie, Journ.</w:t></w:r>
</w:p>
<w:p>
<w:pPr><w:pStyle w:val="Normal"/></w:pPr>
<w:r><w:t xml:space="preserve">Phys.  Camb. and Lond. vols. xiv., xvi., xvii., xviii.;</w:t></w:r>
</w:p>
<w:p>
<w:pPr><w:pStyle w:val="Normal"/></w:pPr>
<w:r><w:t xml:space="preserve">Halliburton and Pickering, Journ.  Phys. vol. xviii.; C. C.</w:t></w:r>
</w:p>
<w:p>
<w:pPr><w:pStyle w:val="Normal"/></w:pPr>
<w:r><w:t xml:space="preserve">Hurst, ``Experimental Studies on Heredity in Rabbits,&apos;&apos; Journ.</w:t></w:r>
</w:p>
<w:p>
<w:pPr><w:pStyle w:val="Normal"/></w:pPr>
<w:r><w:t xml:space="preserve">Lin. Soc. Sool. vol. xxix.; Geo. P. Mudge, ``Intravascular</w:t></w:r>
</w:p>
<w:p>
<w:pPr><w:pStyle w:val="Normal"/></w:pPr>
<w:r><w:t xml:space="preserve">Coagulation and Albinism, Preliminary Note,&apos;&apos; Proc.  Phys.</w:t></w:r>
</w:p>
<w:p>
<w:pPr><w:pStyle w:val="Normal"/></w:pPr>
<w:r><w:t xml:space="preserve">Soc., 1905; Packard, Memoirs of National Academy of Sciences</w:t></w:r>
</w:p>
<w:p>
<w:pPr><w:pStyle w:val="Normal"/></w:pPr>
<w:r><w:t xml:space="preserve">(1888); Pickering, Journ.  Phys. vols. xviii. and xx.; E. B.</w:t></w:r>
</w:p>
<w:p>
<w:pPr><w:pStyle w:val="Normal"/></w:pPr>
<w:r><w:t xml:space="preserve">Poulton, Colour of Animals (Lond., 1890); Twining, Brit.</w:t></w:r>
</w:p>
<w:p>
<w:pPr><w:pStyle w:val="Normal"/></w:pPr>
<w:r><w:t xml:space="preserve">Assoc.  Reports, 1845; H. M. Vernon, Variation in Animals</w:t></w:r>
</w:p>
<w:p>
<w:pPr><w:pStyle w:val="Normal"/></w:pPr>
<w:r><w:t xml:space="preserve">and Plants (London, 1903) F. H. Welch, ``Winter Coat in</w:t></w:r>
</w:p>
<w:p>
<w:pPr><w:pStyle w:val="Normal"/></w:pPr>
<w:r><w:t xml:space="preserve">Lepus americanus,&apos;&apos; Proc.  Zool.  Soc., 1869. (G. P. M.)</w:t></w:r>
</w:p>
<w:p>
<w:pPr><w:pStyle w:val="Normal"/></w:pPr>
<w:r><w:t xml:space="preserve">ALBINONI, TOMASSO (c. 1674--c. 1745), Italian musician,</w:t></w:r>
</w:p>
<w:p>
<w:pPr><w:pStyle w:val="Normal"/></w:pPr>
<w:r><w:t xml:space="preserve">was born at Venice.  He was a prolific composer of operas</w:t></w:r>
</w:p>
<w:p>
<w:pPr><w:pStyle w:val="Normal"/></w:pPr>
<w:r><w:t xml:space="preserve">attracting contemporary attention for their originality,</w:t></w:r>
</w:p>
<w:p>
<w:pPr><w:pStyle w:val="Normal"/></w:pPr>
<w:r><w:t xml:space="preserve">but is more remarkable as a composer of instrumental music,</w:t></w:r>
</w:p>
<w:p>
<w:pPr><w:pStyle w:val="Normal"/></w:pPr>
<w:r><w:t xml:space="preserve">which greatly attracted the attention of Bach, who wrote</w:t></w:r>
</w:p>
<w:p>
<w:pPr><w:pStyle w:val="Normal"/></w:pPr>
<w:r><w:t xml:space="preserve">at least two fugues on Albinoni&apos;s themes and constantly</w:t></w:r>
</w:p>
<w:p>
<w:pPr><w:pStyle w:val="Normal"/></w:pPr>
<w:r><w:t xml:space="preserve">used his basses for harmony exercises for his pupils.</w:t></w:r>
</w:p>
<w:p>
<w:pPr><w:pStyle w:val="Normal"/></w:pPr>
<w:r><w:t xml:space="preserve">ALBINOVANUS PEDO, Roman poet, flourished during the Augustan</w:t></w:r>
</w:p>
<w:p>
<w:pPr><w:pStyle w:val="Normal"/></w:pPr>
<w:r><w:t xml:space="preserve">age.  He wrote a Theseis, referred to in a letter from his</w:t></w:r>
</w:p>
<w:p>
<w:pPr><w:pStyle w:val="Normal"/></w:pPr>
<w:r><w:t xml:space="preserve">intimate friend Ovid (Ex Ponto, iv. 10), epigrams which</w:t></w:r>
</w:p>
<w:p>
<w:pPr><w:pStyle w:val="Normal"/></w:pPr>
<w:r><w:t xml:space="preserve">are commended by Martial (ii. 77, v. 5) and an epic poem on</w:t></w:r>
</w:p>
<w:p>
<w:pPr><w:pStyle w:val="Normal"/></w:pPr>
<w:r><w:t xml:space="preserve">the exploits of Germanicus.  He had the reputation of being</w:t></w:r>
</w:p>
<w:p>
<w:pPr><w:pStyle w:val="Normal"/></w:pPr>
<w:r><w:t xml:space="preserve">an excellent raconteur, and Quintilian (x. i. 90) awards him</w:t></w:r>
</w:p>
<w:p>
<w:pPr><w:pStyle w:val="Normal"/></w:pPr>
<w:r><w:t xml:space="preserve">qualified praise as a writer of epics.  All that remains of</w:t></w:r>
</w:p>
<w:p>
<w:pPr><w:pStyle w:val="Normal"/></w:pPr>
<w:r><w:t xml:space="preserve">his works is a beautiful fragment, preserved in the Suasoriae</w:t></w:r>
</w:p>
<w:p>
<w:pPr><w:pStyle w:val="Normal"/></w:pPr>
<w:r><w:t xml:space="preserve">(i. 15) of the rhetorician Seneca, from a description of the</w:t></w:r>
</w:p>
<w:p>
<w:pPr><w:pStyle w:val="Normal"/></w:pPr>
<w:r><w:t xml:space="preserve">Voyage of Germanicus (A.D. 16) through the river Ems to the</w:t></w:r>
</w:p>
<w:p>
<w:pPr><w:pStyle w:val="Normal"/></w:pPr>
<w:r><w:t xml:space="preserve">Northern Ocean, when he was overtaken by the storm described</w:t></w:r>
</w:p>
<w:p>
<w:pPr><w:pStyle w:val="Normal"/></w:pPr>
<w:r><w:t xml:space="preserve">by Tacitus (Ann. ii. 23). The cavalry commander spoken of</w:t></w:r>
</w:p>
<w:p>
<w:pPr><w:pStyle w:val="Normal"/></w:pPr>
<w:r><w:t xml:space="preserve">by the historian is probably identical with the poet.  Three</w:t></w:r>
</w:p>
<w:p>
<w:pPr><w:pStyle w:val="Normal"/></w:pPr>
<w:r><w:t xml:space="preserve">elegies were formerly attributed to Pedo by Scaliger; two</w:t></w:r>
</w:p>
<w:p>
<w:pPr><w:pStyle w:val="Normal"/></w:pPr>
<w:r><w:t xml:space="preserve">on the death of Maecenas (In Obitum Maecenatis and De</w:t></w:r>
</w:p>
<w:p>
<w:pPr><w:pStyle w:val="Normal"/></w:pPr>
<w:r><w:t xml:space="preserve">Verbis Maecenatis moribundi), and one addressed to Livia to</w:t></w:r>
</w:p>
<w:p>
<w:pPr><w:pStyle w:val="Normal"/></w:pPr>
<w:r><w:t xml:space="preserve">console her for the death of her son Drusus (Consolatio ad</w:t></w:r>
</w:p>
<w:p>
<w:pPr><w:pStyle w:val="Normal"/></w:pPr>
<w:r><w:t xml:space="preserve">Liviam de Morte Drusi or Epicedion Drusi, usually printed</w:t></w:r>
</w:p>
<w:p>
<w:pPr><w:pStyle w:val="Normal"/></w:pPr>
<w:r><w:t xml:space="preserve">with Ovid&apos;s works); but it is now generally agreed that they</w:t></w:r>
</w:p>
<w:p>
<w:pPr><w:pStyle w:val="Normal"/></w:pPr>
<w:r><w:t xml:space="preserve">are not by Pedo.  The Consolatio has been put down as late</w:t></w:r>
</w:p>
<w:p>
<w:pPr><w:pStyle w:val="Normal"/></w:pPr>
<w:r><w:t xml:space="preserve">as the 15th century as the work of an Italian imitator, there</w:t></w:r>
</w:p>
<w:p>
<w:pPr><w:pStyle w:val="Normal"/></w:pPr>
<w:r><w:t xml:space="preserve">being no MSS. and no trace of the poem before the publication</w:t></w:r>
</w:p>
<w:p>
<w:pPr><w:pStyle w:val="Normal"/></w:pPr>
<w:r><w:t xml:space="preserve">of the editio princeps of Ovid in 1471.  There is an</w:t></w:r>
</w:p>
<w:p>
<w:pPr><w:pStyle w:val="Normal"/></w:pPr>
<w:r><w:t xml:space="preserve">English verse translation of the elegies by Plumptre (1907).</w:t></w:r>
</w:p>
<w:p>
<w:pPr><w:pStyle w:val="Normal"/></w:pPr>
<w:r><w:t xml:space="preserve">See Bahrens, Poetae Latini Minores (1879) and Fragmenta</w:t></w:r>
</w:p>
<w:p>
<w:pPr><w:pStyle w:val="Normal"/></w:pPr>
<w:r><w:t xml:space="preserve">Poetarum Latinorum (1886); Haupt, Opuscula, i. (1875);</w:t></w:r>
</w:p>
<w:p>
<w:pPr><w:pStyle w:val="Normal"/></w:pPr>
<w:r><w:t xml:space="preserve">Haube, Beitrag zur Kenntnis des Albinovanus Pedo (1880).</w:t></w:r>
</w:p>
<w:p>
<w:pPr><w:pStyle w:val="Normal"/></w:pPr>
<w:r><w:t xml:space="preserve">ALBINUS (originally WEISS), RERNHARD SIEGFRIED</w:t></w:r>
</w:p>
<w:p>
<w:pPr><w:pStyle w:val="Normal"/></w:pPr>
<w:r><w:t xml:space="preserve">(1697-1770), German anatomist, was born on the 24th of February</w:t></w:r>
</w:p>
<w:p>
<w:pPr><w:pStyle w:val="Normal"/></w:pPr>
<w:r><w:t xml:space="preserve">1697, at Frankfort-on-Oder, where his father, Bernhard Albinus</w:t></w:r>
</w:p>
<w:p>
<w:pPr><w:pStyle w:val="Normal"/></w:pPr>
<w:r><w:t xml:space="preserve">(1653-1721), was professor of the practice of medicine.  In 1702</w:t></w:r>
</w:p>
<w:p>
<w:pPr><w:pStyle w:val="Normal"/></w:pPr>
<w:r><w:t xml:space="preserve">the latter was transferred to the chair of medicine at Leiden,</w:t></w:r>
</w:p>
<w:p>
<w:pPr><w:pStyle w:val="Normal"/></w:pPr>
<w:r><w:t xml:space="preserve">and it was there that Bernhard Siegfried began his studies,</w:t></w:r>
</w:p>
<w:p>
<w:pPr><w:pStyle w:val="Normal"/></w:pPr>
<w:r><w:t xml:space="preserve">having for his teachers such men as H. Boerhaave and Nikolaus</w:t></w:r>
</w:p>
<w:p>
<w:pPr><w:pStyle w:val="Normal"/></w:pPr>
<w:r><w:t xml:space="preserve">Bidloo.  Having finished his studies at Leiden, he went to</w:t></w:r>
</w:p>
<w:p>
<w:pPr><w:pStyle w:val="Normal"/></w:pPr>
<w:r><w:t xml:space="preserve">Paris, where, under the instruction of Sebastien Vaillant</w:t></w:r>
</w:p>
<w:p>
<w:pPr><w:pStyle w:val="Normal"/></w:pPr>
<w:r><w:t xml:space="preserve">(1669-1722), J. B. Winslow (1669-1760) and others, he devoted</w:t></w:r>
</w:p>
<w:p>
<w:pPr><w:pStyle w:val="Normal"/></w:pPr>
<w:r><w:t xml:space="preserve">himself especially to anatomy and botany.  After a year&apos;s</w:t></w:r>
</w:p>
<w:p>
<w:pPr><w:pStyle w:val="Normal"/></w:pPr>
<w:r><w:t xml:space="preserve">absence he was, on the recommendation of Boerhaave, recalled</w:t></w:r>
</w:p>
<w:p>
<w:pPr><w:pStyle w:val="Normal"/></w:pPr>
<w:r><w:t xml:space="preserve">in 1719 to Leiden to be a lecturer on anatomy and surgery.</w:t></w:r>
</w:p>
<w:p>
<w:pPr><w:pStyle w:val="Normal"/></w:pPr>
<w:r><w:t xml:space="preserve">Two years later he succeeded his father in the professorship</w:t></w:r>
</w:p>
<w:p>
<w:pPr><w:pStyle w:val="Normal"/></w:pPr>
<w:r><w:t xml:space="preserve">of these subjects, and speedily became one of the most famous</w:t></w:r>
</w:p>
<w:p>
<w:pPr><w:pStyle w:val="Normal"/></w:pPr>
<w:r><w:t xml:space="preserve">teachers of anatomy in Europe, his class-room being resorted</w:t></w:r>
</w:p>
<w:p>
<w:pPr><w:pStyle w:val="Normal"/></w:pPr>
<w:r><w:t xml:space="preserve">to not only by students but by many practising physicians.</w:t></w:r>
</w:p>
<w:p>
<w:pPr><w:pStyle w:val="Normal"/></w:pPr>
<w:r><w:t xml:space="preserve">In 1745 Albinus was appointed professor of the practice of</w:t></w:r>
</w:p>
<w:p>
<w:pPr><w:pStyle w:val="Normal"/></w:pPr>
<w:r><w:t xml:space="preserve">medicine, being succeeded in the anatomical chair by his</w:t></w:r>
</w:p>
<w:p>
<w:pPr><w:pStyle w:val="Normal"/></w:pPr>
<w:r><w:t xml:space="preserve">brother Frederick Bernhard (1715-1778), who, as well as another</w:t></w:r>
</w:p>
<w:p>
<w:pPr><w:pStyle w:val="Normal"/></w:pPr>
<w:r><w:t xml:space="preserve">brother, Christian Bernhard (1700-1752), attained considerable</w:t></w:r>
</w:p>
<w:p>
<w:pPr><w:pStyle w:val="Normal"/></w:pPr>
<w:r><w:t xml:space="preserve">distinction.  Bernhard Siegfried, who was twice rector of his</w:t></w:r>
</w:p>
<w:p>
<w:pPr><w:pStyle w:val="Normal"/></w:pPr>
<w:r><w:t xml:space="preserve">university, died on the 9th of September 1770 at Leiden.</w:t></w:r>
</w:p>
<w:p>
<w:pPr><w:pStyle w:val="Normal"/></w:pPr>
<w:r><w:t xml:space="preserve">ALBION (in Ptolemy &apos;Alouion; Lat. Albion, Pliny</w:t></w:r>
</w:p>
<w:p>
<w:pPr><w:pStyle w:val="Normal"/></w:pPr>
<w:r><w:t xml:space="preserve">4.16[30],102), the most ancient name of the British Islands,</w:t></w:r>
</w:p>
<w:p>
<w:pPr><w:pStyle w:val="Normal"/></w:pPr>
<w:r><w:t xml:space="preserve">though generally restricted to England.  The name is perhaps</w:t></w:r>
</w:p>
<w:p>
<w:pPr><w:pStyle w:val="Normal"/></w:pPr>
<w:r><w:t xml:space="preserve">of Celtic origin, but the Romans took it as connected</w:t></w:r>
</w:p>
<w:p>
<w:pPr><w:pStyle w:val="Normal"/></w:pPr>
<w:r><w:t xml:space="preserve">with albus, white, in reference to the chalk-cliffs of</w:t></w:r>
</w:p>
<w:p>
<w:pPr><w:pStyle w:val="Normal"/></w:pPr>
<w:r><w:t xml:space="preserve">Dover, and A. Holder (Alt-Keltischer Sprachschatz, 1896)</w:t></w:r>
</w:p>
<w:p>
<w:pPr><w:pStyle w:val="Normal"/></w:pPr>
<w:r><w:t xml:space="preserve">unhesitatingly translates it Weissland, ``whiteland.&apos;&apos;</w:t></w:r>
</w:p>
<w:p>
<w:pPr><w:pStyle w:val="Normal"/></w:pPr>
<w:r><w:t xml:space="preserve">The early writer (6th cent. B.C.) whose periplus is</w:t></w:r>
</w:p>
<w:p>
<w:pPr><w:pStyle w:val="Normal"/></w:pPr>
<w:r><w:t xml:space="preserve">translated by Avienus (end of 4th cent. A.D.) does not</w:t></w:r>
</w:p>
<w:p>
<w:pPr><w:pStyle w:val="Normal"/></w:pPr>
<w:r><w:t xml:space="preserve">use the name Britannia; he speaks of nesos &apos;Iernon kai</w:t></w:r>
</w:p>
<w:p>
<w:pPr><w:pStyle w:val="Normal"/></w:pPr>
<w:r><w:t xml:space="preserve">&apos;Albionon (``island of the Ierni and the Albiones&apos;&apos;).  So</w:t></w:r>
</w:p>
<w:p>
<w:pPr><w:pStyle w:val="Normal"/></w:pPr>
<w:r><w:t xml:space="preserve">Pytheas of Massilia (4th cent. B.C.) speaks of &apos;&apos;Albion</w:t></w:r>
</w:p>
<w:p>
<w:pPr><w:pStyle w:val="Normal"/></w:pPr>
<w:r><w:t xml:space="preserve">and &apos;Ierne. From the fact that there was a tribe called</w:t></w:r>
</w:p>
<w:p>
<w:pPr><w:pStyle w:val="Normal"/></w:pPr>
<w:r><w:t xml:space="preserve">the Albiones on the north coast ot Spain in Asturia, some</w:t></w:r>
</w:p>
<w:p>
<w:pPr><w:pStyle w:val="Normal"/></w:pPr>
<w:r><w:t xml:space="preserve">scholars have placed Albion in that neighbourhood (see G. F.</w:t></w:r>
</w:p>
<w:p>
<w:pPr><w:pStyle w:val="Normal"/></w:pPr>
<w:r><w:t xml:space="preserve">Unger, Rhein.  Mus. xxxviii., 1883, pp. 156-196).  The name</w:t></w:r>
</w:p>
<w:p>
<w:pPr><w:pStyle w:val="Normal"/></w:pPr>
<w:r><w:t xml:space="preserve">Albion was taken by medieval writers from Pliny and Ptolemy.</w:t></w:r>
</w:p>
<w:p>
<w:pPr><w:pStyle w:val="Normal"/></w:pPr>
<w:r><w:t xml:space="preserve">ALBION, a city of Calhoun county, Michigan, U.S.A., on the</w:t></w:r>
</w:p>
<w:p>
<w:pPr><w:pStyle w:val="Normal"/></w:pPr>
<w:r><w:t xml:space="preserve">Kalamazoo river, 21 m.  W. of Jackson.  Pop. (1890) 3763;</w:t></w:r>
</w:p>
<w:p>
<w:pPr><w:pStyle w:val="Normal"/></w:pPr>
<w:r><w:t xml:space="preserve">(1900) 4519, of whom 622 were foreign-born; (1904) 4943; (1910)</w:t></w:r>
</w:p>
<w:p>
<w:pPr><w:pStyle w:val="Normal"/></w:pPr>
<w:r><w:t xml:space="preserve">5833.  Albion is served by the Michigan Central and the</w:t></w:r>
</w:p>
<w:p>
<w:pPr><w:pStyle w:val="Normal"/></w:pPr>
<w:r><w:t xml:space="preserve">Jackson division of the Lake Shore and Michigan Southern</w:t></w:r>
</w:p>
<w:p>
<w:pPr><w:pStyle w:val="Normal"/></w:pPr>
<w:r><w:t xml:space="preserve">railways, and by an inter-urban electric line.  The city has</w:t></w:r>
</w:p>
<w:p>
<w:pPr><w:pStyle w:val="Normal"/></w:pPr>
<w:r><w:t xml:space="preserve">a public park and a public library.  The W. part of the city</w:t></w:r>
</w:p>
<w:p>
<w:pPr><w:pStyle w:val="Normal"/></w:pPr>
<w:r><w:t xml:space="preserve">has most of the factories; the principal manufactures are</w:t></w:r>
</w:p>
<w:p>
<w:pPr><w:pStyle w:val="Normal"/></w:pPr>
<w:r><w:t xml:space="preserve">flour, agricultural implements, windmills, gasolene engines,</w:t></w:r>
</w:p>
<w:p>
<w:pPr><w:pStyle w:val="Normal"/></w:pPr>
<w:r><w:t xml:space="preserve">harness and proprietary medicines.  On a commanding site in</w:t></w:r>
</w:p>
<w:p>
<w:pPr><w:pStyle w:val="Normal"/></w:pPr>
<w:r><w:t xml:space="preserve">the E. part of the city is Albion College (Methodist Episcopal;</w:t></w:r>
</w:p>
<w:p>
<w:pPr><w:pStyle w:val="Normal"/></w:pPr>
<w:r><w:t xml:space="preserve">co-educational), embracing a College of Liberal Arts, a</w:t></w:r>
</w:p>
<w:p>
<w:pPr><w:pStyle w:val="Normal"/></w:pPr>
<w:r><w:t xml:space="preserve">preparatory department, a conservatory of music, a school of</w:t></w:r>
</w:p>
<w:p>
<w:pPr><w:pStyle w:val="Normal"/></w:pPr>
<w:r><w:t xml:space="preserve">art, a school of oratory, a normal course, and a commercial</w:t></w:r>
</w:p>
<w:p>
<w:pPr><w:pStyle w:val="Normal"/></w:pPr>
<w:r><w:t xml:space="preserve">department.  The college was incorporated in 1835 as Spring</w:t></w:r>
</w:p>
<w:p>
<w:pPr><w:pStyle w:val="Normal"/></w:pPr>
<w:r><w:t xml:space="preserve">Arbor Seminary, and in 1839 by an amended charter was located</w:t></w:r>
</w:p>
<w:p>
<w:pPr><w:pStyle w:val="Normal"/></w:pPr>
<w:r><w:t xml:space="preserve">at Albion, where it was first opened in 1843 under the</w:t></w:r>
</w:p>
<w:p>
<w:pPr><w:pStyle w:val="Normal"/></w:pPr>
<w:r><w:t xml:space="preserve">name of the Wesleyan Seminary of Albion; in 1849 it became</w:t></w:r>
</w:p>
<w:p>
<w:pPr><w:pStyle w:val="Normal"/></w:pPr>
<w:r><w:t xml:space="preserve">the Wesleyan Seminary and Female Collegiate Institute,</w:t></w:r>
</w:p>
<w:p>
<w:pPr><w:pStyle w:val="Normal"/></w:pPr>
<w:r><w:t xml:space="preserve">with power to grant degrees to women only; but in 1861 the</w:t></w:r>
</w:p>
<w:p>
<w:pPr><w:pStyle w:val="Normal"/></w:pPr>
<w:r><w:t xml:space="preserve">present name was adopted and the college was permitted to</w:t></w:r>
</w:p>
<w:p>
<w:pPr><w:pStyle w:val="Normal"/></w:pPr>
<w:r><w:t xml:space="preserve">grant degrees to men and women.  In 1906 it had a library</w:t></w:r>
</w:p>
<w:p>
<w:pPr><w:pStyle w:val="Normal"/></w:pPr>
<w:r><w:t xml:space="preserve">of 16,500 volumes, a faculty of 19, and an enrolment of 483</w:t></w:r>
</w:p>
<w:p>
<w:pPr><w:pStyle w:val="Normal"/></w:pPr>
<w:r><w:t xml:space="preserve">(211 being women).  The municipality owns and operates the</w:t></w:r>
</w:p>
<w:p>
<w:pPr><w:pStyle w:val="Normal"/></w:pPr>
<w:r><w:t xml:space="preserve">water-works, the water-supply being obtained from artesian</w:t></w:r>
</w:p>
<w:p>
<w:pPr><w:pStyle w:val="Normal"/></w:pPr>
<w:r><w:t xml:space="preserve">wells.  Albion was settled in 1831, was incorporated as</w:t></w:r>
</w:p>
<w:p>
<w:pPr><w:pStyle w:val="Normal"/></w:pPr>
<w:r><w:t xml:space="preserve">a village in 1866 and was chartered as a city in 1885.</w:t></w:r>
</w:p>
<w:p>
<w:pPr><w:pStyle w:val="Normal"/></w:pPr>
<w:r><w:t xml:space="preserve">ALBION, a village and the county-seat of Orleans county, New</w:t></w:r>
</w:p>
<w:p>
<w:pPr><w:pStyle w:val="Normal"/></w:pPr>
<w:r><w:t xml:space="preserve">York, U.S.A., about 30 m.  W.N.W. of Rochester.  Pop. (1890)</w:t></w:r>
</w:p>
<w:p>
<w:pPr><w:pStyle w:val="Normal"/></w:pPr>
<w:r><w:t xml:space="preserve">4586; (1900) 4477, (984 being foreign-born and 43 negroes);</w:t></w:r>
</w:p>
<w:p>
<w:pPr><w:pStyle w:val="Normal"/></w:pPr>
<w:r><w:t xml:space="preserve">(1905, state census) 5174; (1910) 5016.  The village is</w:t></w:r>
</w:p>
<w:p>
<w:pPr><w:pStyle w:val="Normal"/></w:pPr>
<w:r><w:t xml:space="preserve">served by the New York Central &amp; Hudson River railway, by the</w:t></w:r>
</w:p>
<w:p>
<w:pPr><w:pStyle w:val="Normal"/></w:pPr>
<w:r><w:t xml:space="preserve">Buffalo, Lockport &amp; Rochester electric railway, and by the Erie</w:t></w:r>
</w:p>
<w:p>
<w:pPr><w:pStyle w:val="Normal"/></w:pPr>
<w:r><w:t xml:space="preserve">Canal.  In Albion are the Western House of Refuge for Women</w:t></w:r>
</w:p>
<w:p>
<w:pPr><w:pStyle w:val="Normal"/></w:pPr>
<w:r><w:t xml:space="preserve">(a state institution established in 1890), a public park, the</w:t></w:r>
</w:p>
<w:p>
<w:pPr><w:pStyle w:val="Normal"/></w:pPr>
<w:r><w:t xml:space="preserve">Swan Library, and the county buildings, including the court</w:t></w:r>
</w:p>
<w:p>
<w:pPr><w:pStyle w:val="Normal"/></w:pPr>
<w:r><w:t xml:space="preserve">house, the jail and the surrogate&apos;s office; and about 2 m.</w:t></w:r>
</w:p>
<w:p>
<w:pPr><w:pStyle w:val="Normal"/></w:pPr>
<w:r><w:t xml:space="preserve">to the S.E. is the beautiful Mount Albion Cemetery.  Albion</w:t></w:r>
</w:p>
<w:p>
<w:pPr><w:pStyle w:val="Normal"/></w:pPr>
<w:r><w:t xml:space="preserve">is the centre of the Medina sandstone industry, and lies</w:t></w:r>
</w:p>
<w:p>
<w:pPr><w:pStyle w:val="Normal"/></w:pPr>
<w:r><w:t xml:space="preserve">in the midst of a good farming region, of which it is the</w:t></w:r>
</w:p>
<w:p>
<w:pPr><w:pStyle w:val="Normal"/></w:pPr>
<w:r><w:t xml:space="preserve">principal shipping point, especially for apples, cabbages and</w:t></w:r>
</w:p>
<w:p>
<w:pPr><w:pStyle w:val="Normal"/></w:pPr>
<w:r><w:t xml:space="preserve">beans.  The village manufactures agricultural implements,</w:t></w:r>
</w:p>
<w:p>
<w:pPr><w:pStyle w:val="Normal"/></w:pPr>
<w:r><w:t xml:space="preserve">vinegar, evaporated fruit, and canned fruit and vegetables, and</w:t></w:r>
</w:p>
<w:p>
<w:pPr><w:pStyle w:val="Normal"/></w:pPr>
<w:r><w:t xml:space="preserve">has two large cold-storage houses.  Albion was settled in 1812,</w:t></w:r>
</w:p>
<w:p>
<w:pPr><w:pStyle w:val="Normal"/></w:pPr>
<w:r><w:t xml:space="preserve">was incorporated in 1823 and became the county-seat in 1825.</w:t></w:r>
</w:p>
<w:p>
<w:pPr><w:pStyle w:val="Normal"/></w:pPr>
<w:r><w:t xml:space="preserve">ALBITE, a mineral of the felspar group, belonging to the</w:t></w:r>
</w:p>
<w:p>
<w:pPr><w:pStyle w:val="Normal"/></w:pPr>
<w:r><w:t xml:space="preserve">division of the plagioclases (q.v..) It is a sodium and</w:t></w:r>
</w:p>
<w:p>
<w:pPr><w:pStyle w:val="Normal"/></w:pPr>
<w:r><w:t xml:space="preserve">aluminium silicate, NaAlSi3O8, and crystallizes in the anorthic</w:t></w:r>
</w:p>
<w:p>
<w:pPr><w:pStyle w:val="Normal"/></w:pPr>
<w:r><w:t xml:space="preserve">system.  Like all the felspars it possesses two cleavages,</w:t></w:r>
</w:p>
<w:p>
<w:pPr><w:pStyle w:val="Normal"/></w:pPr>
<w:r><w:t xml:space="preserve">one perfect and the other less so, which are here inclined at</w:t></w:r>
</w:p>
<w:p>
<w:pPr><w:pStyle w:val="Normal"/></w:pPr>
<w:r><w:t xml:space="preserve">an angle of 86 deg.  24&apos;. On the more perfect cleavage, which is</w:t></w:r>
</w:p>
<w:p>
<w:pPr><w:pStyle w:val="Normal"/></w:pPr>
<w:r><w:t xml:space="preserve">parallel to the basal plane (P), is a system of fine striations,</w:t></w:r>
</w:p>
<w:p>
<w:pPr><w:pStyle w:val="Normal"/></w:pPr>
<w:r><w:t xml:space="preserve">parallel to the second cleavage (M), due to twinning according</w:t></w:r>
</w:p>
<w:p>
<w:pPr><w:pStyle w:val="Normal"/></w:pPr>
<w:r><w:t xml:space="preserve">to the,``albite law&apos;&apos; (figs. 1 and 2). The hardness is 6,</w:t></w:r>
</w:p>
<w:p>
<w:pPr><w:pStyle w:val="Normal"/></w:pPr>
<w:r><w:t xml:space="preserve">and the specific gravity 2.63.  The colour is usually pure</w:t></w:r>
</w:p>
<w:p>
<w:pPr><w:pStyle w:val="Normal"/></w:pPr>
<w:r><w:t xml:space="preserve">white, hence the name (from the Lat. albus) for the species.</w:t></w:r>
</w:p>
<w:p>
<w:pPr><w:pStyle w:val="Normal"/></w:pPr>
<w:r><w:t xml:space="preserve">Albite forms an essential constituent of many acidic igneous and</w:t></w:r>
</w:p>
<w:p>
<w:pPr><w:pStyle w:val="Normal"/></w:pPr>
<w:r><w:t xml:space="preserve">FIG. 1.         FIG. 2.</w:t></w:r>
</w:p>
<w:p>
<w:pPr><w:pStyle w:val="Normal"/></w:pPr>
<w:r><w:t xml:space="preserve">crystalline rocks; Twinned crystals of Albite. in granites,</w:t></w:r>
</w:p>
<w:p>
<w:pPr><w:pStyle w:val="Normal"/></w:pPr>
<w:r><w:t xml:space="preserve">diorites, andesites, &amp;c., it occurs as a primary mineral,</w:t></w:r>
</w:p>
<w:p>
<w:pPr><w:pStyle w:val="Normal"/></w:pPr>
<w:r><w:t xml:space="preserve">whilst in crystalline schists, phyllites and crystalline</w:t></w:r>
</w:p>
<w:p>
<w:pPr><w:pStyle w:val="Normal"/></w:pPr>
<w:r><w:t xml:space="preserve">limestones it is of secondary (metamorphic) origin.  The</w:t></w:r>
</w:p>
<w:p>
<w:pPr><w:pStyle w:val="Normal"/></w:pPr>
<w:r><w:t xml:space="preserve">beautifully developed crystals so abundant in crystal-lined</w:t></w:r>
</w:p>
<w:p>
<w:pPr><w:pStyle w:val="Normal"/></w:pPr>
<w:r><w:t xml:space="preserve">crevices of Alpine granites and gneisses have been deposited,</w:t></w:r>
</w:p>
<w:p>
<w:pPr><w:pStyle w:val="Normal"/></w:pPr>
<w:r><w:t xml:space="preserve">with other minerals, from solution; the crystals lining veins</w:t></w:r>
</w:p>
<w:p>
<w:pPr><w:pStyle w:val="Normal"/></w:pPr>
<w:r><w:t xml:space="preserve">in the slates of Tintagel in Cornwall have the same origin.</w:t></w:r>
</w:p>
<w:p>
<w:pPr><w:pStyle w:val="Normal"/></w:pPr>
<w:r><w:t xml:space="preserve">Several varieties of albite are distinguished, of which</w:t></w:r>
</w:p>
<w:p>
<w:pPr><w:pStyle w:val="Normal"/></w:pPr>
<w:r><w:t xml:space="preserve">the following may be here specially mentioned. Pericline</w:t></w:r>
</w:p>
<w:p>
<w:pPr><w:pStyle w:val="Normal"/></w:pPr>
<w:r><w:t xml:space="preserve">(from the Gr. periklines, ``sloping&apos;&apos;) is the name given</w:t></w:r>
</w:p>
<w:p>
<w:pPr><w:pStyle w:val="Normal"/></w:pPr>
<w:r><w:t xml:space="preserve">to large opaque white crystals from the chlorite-schists</w:t></w:r>
</w:p>
<w:p>
<w:pPr><w:pStyle w:val="Normal"/></w:pPr>
<w:r><w:t xml:space="preserve">of the Alps; they are tabular parallel to the direction of</w:t></w:r>
</w:p>
<w:p>
<w:pPr><w:pStyle w:val="Normal"/></w:pPr>
<w:r><w:t xml:space="preserve">perfect cleavage and are twinned according to the ``pericline</w:t></w:r>
</w:p>
<w:p>
<w:pPr><w:pStyle w:val="Normal"/></w:pPr>
<w:r><w:t xml:space="preserve">law.&apos;&apos; Peristerite (from the Gr. peristera, a dove) is</w:t></w:r>
</w:p>
<w:p>
<w:pPr><w:pStyle w:val="Normal"/></w:pPr>
<w:r><w:t xml:space="preserve">characterized by a beautiful bluish sheen, somewhat resembling</w:t></w:r>
</w:p>
<w:p>
<w:pPr><w:pStyle w:val="Normal"/></w:pPr>
<w:r><w:t xml:space="preserve">that seen on the neck of a pigeon; it is found mainly in</w:t></w:r>
</w:p>
<w:p>
<w:pPr><w:pStyle w:val="Normal"/></w:pPr>
<w:r><w:t xml:space="preserve">Ontario.  Aventurine and moonstone varieties occur, though</w:t></w:r>
</w:p>
<w:p>
<w:pPr><w:pStyle w:val="Normal"/></w:pPr>
<w:r><w:t xml:space="preserve">these special appearances are more usually displayed by the</w:t></w:r>
</w:p>
<w:p>
<w:pPr><w:pStyle w:val="Normal"/></w:pPr>
<w:r><w:t xml:space="preserve">oligoclase and orthoclase felspars respectively. (L. J. S.)</w:t></w:r>
</w:p>
<w:p>
<w:pPr><w:pStyle w:val="Normal"/></w:pPr>
<w:r><w:t xml:space="preserve">&apos;ALBO, JOSEPH, a Spanish Jewish theologian of the 15th</w:t></w:r>
</w:p>
<w:p>
<w:pPr><w:pStyle w:val="Normal"/></w:pPr>
<w:r><w:t xml:space="preserve">century.  He was author of a very popular book on the philosophy</w:t></w:r>
</w:p>
<w:p>
<w:pPr><w:pStyle w:val="Normal"/></w:pPr>
<w:r><w:t xml:space="preserve">of Judaism, entitled `Iqqarim or Fundamentals. Maimonides</w:t></w:r>
</w:p>
<w:p>
<w:pPr><w:pStyle w:val="Normal"/></w:pPr>
<w:r><w:t xml:space="preserve">in the 12th century had formulated the principles of Judaism in</w:t></w:r>
</w:p>
<w:p>
<w:pPr><w:pStyle w:val="Normal"/></w:pPr>
<w:r><w:t xml:space="preserve">thirteen articles; Albo reduced them to three: (i) The Existence</w:t></w:r>
</w:p>
<w:p>
<w:pPr><w:pStyle w:val="Normal"/></w:pPr>
<w:r><w:t xml:space="preserve">of God, (ii) Revelation and (iii) Divine Retribution.  Albo</w:t></w:r>
</w:p>
<w:p>
<w:pPr><w:pStyle w:val="Normal"/></w:pPr>
<w:r><w:t xml:space="preserve">set the example of minimizing Messianism in the formulation</w:t></w:r>
</w:p>
<w:p>
<w:pPr><w:pStyle w:val="Normal"/></w:pPr>
<w:r><w:t xml:space="preserve">of Jewish beliefs.  Though he fully maintained the Mosaic</w:t></w:r>
</w:p>
<w:p>
<w:pPr><w:pStyle w:val="Normal"/></w:pPr>
<w:r><w:t xml:space="preserve">authorship of the Law and the binding force of tradition, he</w:t></w:r>
</w:p>
<w:p>
<w:pPr><w:pStyle w:val="Normal"/></w:pPr>
<w:r><w:t xml:space="preserve">discriminated between the essential and the non-essential in</w:t></w:r>
</w:p>
<w:p>
<w:pPr><w:pStyle w:val="Normal"/></w:pPr>
<w:r><w:t xml:space="preserve">the practices and beliefs of Judaism.  An English translation</w:t></w:r>
</w:p>
<w:p>
<w:pPr><w:pStyle w:val="Normal"/></w:pPr>
<w:r><w:t xml:space="preserve">of the `Iqqarim appeared in the Hebrew Review, vols. i.-iii.</w:t></w:r>
</w:p>
<w:p>
<w:pPr><w:pStyle w:val="Normal"/></w:pPr>
<w:r><w:t xml:space="preserve">ALBOIN (d. 572 or 573), king of the Lombards, and conqueror</w:t></w:r>
</w:p>
<w:p>
<w:pPr><w:pStyle w:val="Normal"/></w:pPr>
<w:r><w:t xml:space="preserve">of Italy, succeeded his father Audoin about 565. The</w:t></w:r>
</w:p>
<w:p>
<w:pPr><w:pStyle w:val="Normal"/></w:pPr>
<w:r><w:t xml:space="preserve">Lombards were at that time dwelling in Noricum and Pannonia</w:t></w:r>
</w:p>
<w:p>
<w:pPr><w:pStyle w:val="Normal"/></w:pPr>
<w:r><w:t xml:space="preserve">(archduchy of Austria, Styria and Hungary, west of the</w:t></w:r>
</w:p>
<w:p>
<w:pPr><w:pStyle w:val="Normal"/></w:pPr>
<w:r><w:t xml:space="preserve">Danube).  In alliance with the Avars, and Asiatic people</w:t></w:r>
</w:p>
<w:p>
<w:pPr><w:pStyle w:val="Normal"/></w:pPr>
<w:r><w:t xml:space="preserve">who had invaded central Europe, Alboin defeated the Gepidae,</w:t></w:r>
</w:p>
<w:p>
<w:pPr><w:pStyle w:val="Normal"/></w:pPr>
<w:r><w:t xml:space="preserve">a powerful nation on his eastern frontier, slew their king</w:t></w:r>
</w:p>
<w:p>
<w:pPr><w:pStyle w:val="Normal"/></w:pPr>
<w:r><w:t xml:space="preserve">Cunimund, whose skull he fashioned into a drinking-cup, and</w:t></w:r>
</w:p>
<w:p>
<w:pPr><w:pStyle w:val="Normal"/></w:pPr>
<w:r><w:t xml:space="preserve">whose daughter Rosamund he carried off and made his wife.</w:t></w:r>
</w:p>
<w:p>
<w:pPr><w:pStyle w:val="Normal"/></w:pPr>
<w:r><w:t xml:space="preserve">Three years later (in 568), on the alleged invitation of Narses</w:t></w:r>
</w:p>
<w:p>
<w:pPr><w:pStyle w:val="Normal"/></w:pPr>
<w:r><w:t xml:space="preserve">(q.v.), who was irritated by the treatment he had received</w:t></w:r>
</w:p>
<w:p>
<w:pPr><w:pStyle w:val="Normal"/></w:pPr>
<w:r><w:t xml:space="preserve">from the emperor Justin II., Alboin invaded Italy, probably</w:t></w:r>
</w:p>
<w:p>
<w:pPr><w:pStyle w:val="Normal"/></w:pPr>
<w:r><w:t xml:space="preserve">marching over the pass of the Predil.  He overran Venetia and</w:t></w:r>
</w:p>
<w:p>
<w:pPr><w:pStyle w:val="Normal"/></w:pPr>
<w:r><w:t xml:space="preserve">the wide district which we now call Lombardy, meeting with</w:t></w:r>
</w:p>
<w:p>
<w:pPr><w:pStyle w:val="Normal"/></w:pPr>
<w:r><w:t xml:space="preserve">but feeble resistance till he came to the city of Ticinum</w:t></w:r>
</w:p>
<w:p>
<w:pPr><w:pStyle w:val="Normal"/></w:pPr>
<w:r><w:t xml:space="preserve">(Pavia), which for three years (569-572) kept the Lombards at</w:t></w:r>
</w:p>
<w:p>
<w:pPr><w:pStyle w:val="Normal"/></w:pPr>
<w:r><w:t xml:space="preserve">bay.  While this siege was in progress Alboin was also engaged</w:t></w:r>
</w:p>
<w:p>
<w:pPr><w:pStyle w:val="Normal"/></w:pPr>
<w:r><w:t xml:space="preserve">in other parts of Italy, and at its close he was probably</w:t></w:r>
</w:p>
<w:p>
<w:pPr><w:pStyle w:val="Normal"/></w:pPr>
<w:r><w:t xml:space="preserve">master of Lombardy, Piedmont and Tuscany, as well as of the</w:t></w:r>
</w:p>
<w:p>
<w:pPr><w:pStyle w:val="Normal"/></w:pPr>
<w:r><w:t xml:space="preserve">regions which afterwards went by the name of the duchies</w:t></w:r>
</w:p>
<w:p>
<w:pPr><w:pStyle w:val="Normal"/></w:pPr>
<w:r><w:t xml:space="preserve">of Spoleto and Benevento.  In 572 or 573, however, he was</w:t></w:r>
</w:p>
<w:p>
<w:pPr><w:pStyle w:val="Normal"/></w:pPr>
<w:r><w:t xml:space="preserve">assassinated by his chamberlain Peredeo at the instigation</w:t></w:r>
</w:p>
<w:p>
<w:pPr><w:pStyle w:val="Normal"/></w:pPr>
<w:r><w:t xml:space="preserve">of Queen Rosamund, whom Alboin had grievously insulted by</w:t></w:r>
</w:p>
<w:p>
<w:pPr><w:pStyle w:val="Normal"/></w:pPr>
<w:r><w:t xml:space="preserve">forcing her to drink wine out of her father&apos;s skull.  After</w:t></w:r>
</w:p>
<w:p>
<w:pPr><w:pStyle w:val="Normal"/></w:pPr>
<w:r><w:t xml:space="preserve">his death and the short reign of his successor Cleph the</w:t></w:r>
</w:p>
<w:p>
<w:pPr><w:pStyle w:val="Normal"/></w:pPr>
<w:r><w:t xml:space="preserve">Lombards remained for more than ten years in a state of anarchy.</w:t></w:r>
</w:p>
<w:p>
<w:pPr><w:pStyle w:val="Normal"/></w:pPr>
<w:r><w:t xml:space="preserve">The authorities for the history of Alboin are Procopius, Paulus</w:t></w:r>
</w:p>
<w:p>
<w:pPr><w:pStyle w:val="Normal"/></w:pPr>
<w:r><w:t xml:space="preserve">Diaconus and Agnellus (in his history of the church of Ravenna).</w:t></w:r>
</w:p>
<w:p>
<w:pPr><w:pStyle w:val="Normal"/></w:pPr>
<w:r><w:t xml:space="preserve">ALBONI, MARIETTA (1823-1894), Italian opera-singer, was</w:t></w:r>
</w:p>
<w:p>
<w:pPr><w:pStyle w:val="Normal"/></w:pPr>
<w:r><w:t xml:space="preserve">born at Cesena, Romagna, and was trained in music at Bologna,</w:t></w:r>
</w:p>
<w:p>
<w:pPr><w:pStyle w:val="Normal"/></w:pPr>
<w:r><w:t xml:space="preserve">where she became a pupil of Rossini.  She had a magnificent</w:t></w:r>
</w:p>
<w:p>
<w:pPr><w:pStyle w:val="Normal"/></w:pPr>
<w:r><w:t xml:space="preserve">contralto voice, and in 1843 made her first appearance</w:t></w:r>
</w:p>
<w:p>
<w:pPr><w:pStyle w:val="Normal"/></w:pPr>
<w:r><w:t xml:space="preserve">at La Scala, Milan, being recognized at once as a public</w:t></w:r>
</w:p>
<w:p>
<w:pPr><w:pStyle w:val="Normal"/></w:pPr>
<w:r><w:t xml:space="preserve">favourite.  In England her reputation was established by her</w:t></w:r>
</w:p>
<w:p>
<w:pPr><w:pStyle w:val="Normal"/></w:pPr>
<w:r><w:t xml:space="preserve">appearance at Covent Garden in 1847, and she had brilliant</w:t></w:r>
</w:p>
<w:p>
<w:pPr><w:pStyle w:val="Normal"/></w:pPr>
<w:r><w:t xml:space="preserve">success all over Europe in the leading operatic roles;</w:t></w:r>
</w:p>
<w:p>
<w:pPr><w:pStyle w:val="Normal"/></w:pPr>
<w:r><w:t xml:space="preserve">in 1853 she repeated these triumphs in the United States.</w:t></w:r>
</w:p>
<w:p>
<w:pPr><w:pStyle w:val="Normal"/></w:pPr>
<w:r><w:t xml:space="preserve">Indeed, with the exception of Malibran, she had no compeer</w:t></w:r>
</w:p>
<w:p>
<w:pPr><w:pStyle w:val="Normal"/></w:pPr>
<w:r><w:t xml:space="preserve">among the contraltos of the century, the old Italian school</w:t></w:r>
</w:p>
<w:p>
<w:pPr><w:pStyle w:val="Normal"/></w:pPr>
<w:r><w:t xml:space="preserve">of singing finding in her a really great representative.  She</w:t></w:r>
</w:p>
<w:p>
<w:pPr><w:pStyle w:val="Normal"/></w:pPr>
<w:r><w:t xml:space="preserve">married first Count A. Pepoh, who died in 1866, and secondly</w:t></w:r>
</w:p>
<w:p>
<w:pPr><w:pStyle w:val="Normal"/></w:pPr>
<w:r><w:t xml:space="preserve">(1877) a French officer, M. Zieger; she lived in Paris</w:t></w:r>
</w:p>
<w:p>
<w:pPr><w:pStyle w:val="Normal"/></w:pPr>
<w:r><w:t xml:space="preserve">after her first marriage, and died at Ville d&apos;Avray in 1894.</w:t></w:r>
</w:p>
<w:p>
<w:pPr><w:pStyle w:val="Normal"/></w:pPr>
<w:r><w:t xml:space="preserve">ALBORNOZ, GIL ALVAREZ DE, Spanish cardinal, was born at</w:t></w:r>
</w:p>
<w:p>
<w:pPr><w:pStyle w:val="Normal"/></w:pPr>
<w:r><w:t xml:space="preserve">Cuenca early in the 14th Century.  He was the son of Gil Alvarez</w:t></w:r>
</w:p>
<w:p>
<w:pPr><w:pStyle w:val="Normal"/></w:pPr>
<w:r><w:t xml:space="preserve">de Albornoz and of Dona Teresa de Luna, sister of Kimeno de</w:t></w:r>
</w:p>
<w:p>
<w:pPr><w:pStyle w:val="Normal"/></w:pPr>
<w:r><w:t xml:space="preserve">Luna, archbishop of Toledo.  He was educated at Saragosa,</w:t></w:r>
</w:p>
<w:p>
<w:pPr><w:pStyle w:val="Normal"/></w:pPr>
<w:r><w:t xml:space="preserve">while his uncle was bishop of that see, and studied law at</w:t></w:r>
</w:p>
<w:p>
<w:pPr><w:pStyle w:val="Normal"/></w:pPr>
<w:r><w:t xml:space="preserve">Toulouse.  The powerful influence of his family opened him</w:t></w:r>
</w:p>
<w:p>
<w:pPr><w:pStyle w:val="Normal"/></w:pPr>
<w:r><w:t xml:space="preserve">a public career early in life.  He was made archdeacon of</w:t></w:r>
</w:p>
<w:p>
<w:pPr><w:pStyle w:val="Normal"/></w:pPr>
<w:r><w:t xml:space="preserve">Calatrava, and became a member of the king&apos;s council while</w:t></w:r>
</w:p>
<w:p>
<w:pPr><w:pStyle w:val="Normal"/></w:pPr>
<w:r><w:t xml:space="preserve">young.  In 1337 he was chosen archbishop of Toledo in</w:t></w:r>
</w:p>
<w:p>
<w:pPr><w:pStyle w:val="Normal"/></w:pPr>
<w:r><w:t xml:space="preserve">succession to his uncle by the favour of the king, Alphonso</w:t></w:r>
</w:p>
<w:p>
<w:pPr><w:pStyle w:val="Heading1"/></w:pPr>
<w:r><w:t>XI. At the battle of Tarifa he fought against a great invasion</w:t></w:r>
</w:p>
<w:p>
<w:pPr><w:pStyle w:val="Normal"/></w:pPr>
<w:r><w:t xml:space="preserve">from Africa in 1340, and at the taking of Algeciras in 1344</w:t></w:r>
</w:p>
<w:p>
<w:pPr><w:pStyle w:val="Normal"/></w:pPr>
<w:r><w:t xml:space="preserve">he led the armed levy of his archbishopric.  In 1343 he</w:t></w:r>
</w:p>
<w:p>
<w:pPr><w:pStyle w:val="Normal"/></w:pPr>
<w:r><w:t xml:space="preserve">had been sent to Pope Clement VI. at Avignon to negotiate</w:t></w:r>
</w:p>
<w:p>
<w:pPr><w:pStyle w:val="Normal"/></w:pPr>
<w:r><w:t xml:space="preserve">a grant of a tax on the revenues of the Church for the</w:t></w:r>
</w:p>
<w:p>
<w:pPr><w:pStyle w:val="Normal"/></w:pPr>
<w:r><w:t xml:space="preserve">Crusade.  His military and diplomatic ability became known</w:t></w:r>
</w:p>
<w:p>
<w:pPr><w:pStyle w:val="Normal"/></w:pPr>
<w:r><w:t xml:space="preserve">to the pope, who made him a cardinal in 1350.  Albornoz left</w:t></w:r>
</w:p>
<w:p>
<w:pPr><w:pStyle w:val="Normal"/></w:pPr>
<w:r><w:t xml:space="preserve">Spain on the death of the king Alphonso XI. in that year, and</w:t></w:r>
</w:p>
<w:p>
<w:pPr><w:pStyle w:val="Normal"/></w:pPr>
<w:r><w:t xml:space="preserve">never returned.  It has been said, but not on contemporary</w:t></w:r>
</w:p>
<w:p>
<w:pPr><w:pStyle w:val="Normal"/></w:pPr>
<w:r><w:t xml:space="preserve">evidence, that he fled from fear of Peter the Cruel.  In 1353</w:t></w:r>
</w:p>
<w:p>
<w:pPr><w:pStyle w:val="Normal"/></w:pPr>
<w:r><w:t xml:space="preserve">Innocent VI. sent him as a legate into Italy, with a view to</w:t></w:r>
</w:p>
<w:p>
<w:pPr><w:pStyle w:val="Normal"/></w:pPr>
<w:r><w:t xml:space="preserve">the restoration of the papal authority in the states of the</w:t></w:r>
</w:p>
<w:p>
<w:pPr><w:pStyle w:val="Normal"/></w:pPr>
<w:r><w:t xml:space="preserve">Church.  He was recalled in 1357, but was sent again to</w:t></w:r>
</w:p>
<w:p>
<w:pPr><w:pStyle w:val="Normal"/></w:pPr>
<w:r><w:t xml:space="preserve">Italy after a brief interval, and in 1362 had paved the way</w:t></w:r>
</w:p>
<w:p>
<w:pPr><w:pStyle w:val="Normal"/></w:pPr>
<w:r><w:t xml:space="preserve">for the return of Urban V. to Rome.  As legate, Albornoz</w:t></w:r>
</w:p>
<w:p>
<w:pPr><w:pStyle w:val="Normal"/></w:pPr>
<w:r><w:t xml:space="preserve">showed himself to be an astute manager of men and effective</w:t></w:r>
</w:p>
<w:p>
<w:pPr><w:pStyle w:val="Normal"/></w:pPr>
<w:r><w:t xml:space="preserve">fighter.  He began by making use of Rienzi, whose release</w:t></w:r>
</w:p>
<w:p>
<w:pPr><w:pStyle w:val="Normal"/></w:pPr>
<w:r><w:t xml:space="preserve">from prison at Avignon he secured.  After the murder of</w:t></w:r>
</w:p>
<w:p>
<w:pPr><w:pStyle w:val="Normal"/></w:pPr>
<w:r><w:t xml:space="preserve">the tribune in 1354 Albornoz pursued his task of restoring</w:t></w:r>
</w:p>
<w:p>
<w:pPr><w:pStyle w:val="Normal"/></w:pPr>
<w:r><w:t xml:space="preserve">the pope&apos;s authority by intrigue and force with remarkable</w:t></w:r>
</w:p>
<w:p>
<w:pPr><w:pStyle w:val="Normal"/></w:pPr>
<w:r><w:t xml:space="preserve">success.  As a mark of gratitude the pope appointed him</w:t></w:r>
</w:p>
<w:p>
<w:pPr><w:pStyle w:val="Normal"/></w:pPr>
<w:r><w:t xml:space="preserve">legate at Bologna in 1367, but he died at Viterbo the same</w:t></w:r>
</w:p>
<w:p>
<w:pPr><w:pStyle w:val="Normal"/></w:pPr>
<w:r><w:t xml:space="preserve">year.  According to his own desire his remains were carried</w:t></w:r>
</w:p>
<w:p>
<w:pPr><w:pStyle w:val="Normal"/></w:pPr>
<w:r><w:t xml:space="preserve">to Toledo, where Henry of Castile caused them to be entombed</w:t></w:r>
</w:p>
<w:p>
<w:pPr><w:pStyle w:val="Normal"/></w:pPr>
<w:r><w:t xml:space="preserve">with almost royal honours.  A work by Albornoz on the</w:t></w:r>
</w:p>
<w:p>
<w:pPr><w:pStyle w:val="Normal"/></w:pPr>
<w:r><w:t xml:space="preserve">constitution of the Church of Rome, first printed at Jesi in</w:t></w:r>
</w:p>
<w:p>
<w:pPr><w:pStyle w:val="Normal"/></w:pPr>
<w:r><w:t xml:space="preserve">1473, is now very rare.  The college of St Clement at Bologna</w:t></w:r>
</w:p>
<w:p>
<w:pPr><w:pStyle w:val="Normal"/></w:pPr>
<w:r><w:t xml:space="preserve">was founded by Albornox for the benefit of Spanish students.</w:t></w:r>
</w:p>
<w:p>
<w:pPr><w:pStyle w:val="Normal"/></w:pPr>
<w:r><w:t xml:space="preserve">See ``De Vita et Rebus Gestis Aegidii Albornotii,&apos;&apos; in Sepulveda&apos;s</w:t></w:r>
</w:p>
<w:p>
<w:pPr><w:pStyle w:val="Normal"/></w:pPr>
<w:r><w:t xml:space="preserve">Opera Omnia, vol. iv. (1780); Cardenal Albornoz der zweite</w:t></w:r>
</w:p>
<w:p>
<w:pPr><w:pStyle w:val="Normal"/></w:pPr>
<w:r><w:t xml:space="preserve">Begrunder des Kirchenstaates, by Dr H. J. Wurm (1892).</w:t></w:r>
</w:p>
<w:p>
<w:pPr><w:pStyle w:val="Normal"/></w:pPr>
<w:r><w:t xml:space="preserve">ALBRECHTSBERGER, JOHANN GEORG (1736-1809), Austrian</w:t></w:r>
</w:p>
<w:p>
<w:pPr><w:pStyle w:val="Normal"/></w:pPr>
<w:r><w:t xml:space="preserve">musician, was born at Kloster-Neuburg, near Vienna, on the 3rd</w:t></w:r>
</w:p>
<w:p>
<w:pPr><w:pStyle w:val="Normal"/></w:pPr>
<w:r><w:t xml:space="preserve">of February 1736.  He studied musical composition under the</w:t></w:r>
</w:p>
<w:p>
<w:pPr><w:pStyle w:val="Normal"/></w:pPr>
<w:r><w:t xml:space="preserve">court organist, Mann, and became one of the most learned and</w:t></w:r>
</w:p>
<w:p>
<w:pPr><w:pStyle w:val="Normal"/></w:pPr>
<w:r><w:t xml:space="preserve">skilful contrapuntists of his age.  After being employed as</w:t></w:r>
</w:p>
<w:p>
<w:pPr><w:pStyle w:val="Normal"/></w:pPr>
<w:r><w:t xml:space="preserve">organist at Raab and Maria-Taferl, he was appointed in 1772</w:t></w:r>
</w:p>
<w:p>
<w:pPr><w:pStyle w:val="Normal"/></w:pPr>
<w:r><w:t xml:space="preserve">organist to the court of Vienna, and in 1792 Kapellmeister</w:t></w:r>
</w:p>
<w:p>
<w:pPr><w:pStyle w:val="Normal"/></w:pPr>
<w:r><w:t xml:space="preserve">of St Stephen&apos;s cathedral.  His fame as a theorist attracted</w:t></w:r>
</w:p>
<w:p>
<w:pPr><w:pStyle w:val="Normal"/></w:pPr>
<w:r><w:t xml:space="preserve">to him in the Austrian capital a large number of pupils,</w:t></w:r>
</w:p>
<w:p>
<w:pPr><w:pStyle w:val="Normal"/></w:pPr>
<w:r><w:t xml:space="preserve">some of whom afterwards became eminent musicians.  Among</w:t></w:r>
</w:p>
<w:p>
<w:pPr><w:pStyle w:val="Normal"/></w:pPr>
<w:r><w:t xml:space="preserve">these were Beethoven, Hummel, Moscheles and Josef Weigl</w:t></w:r>
</w:p>
<w:p>
<w:pPr><w:pStyle w:val="Normal"/></w:pPr>
<w:r><w:t xml:space="preserve">(1766-1846).  Albrechtsberger died in Vienna on the 7th of March</w:t></w:r>
</w:p>
<w:p>
<w:pPr><w:pStyle w:val="Normal"/></w:pPr>
<w:r><w:t xml:space="preserve">1809.  His published compositions consist of preludes, fugues</w:t></w:r>
</w:p>
<w:p>
<w:pPr><w:pStyle w:val="Normal"/></w:pPr>
<w:r><w:t xml:space="preserve">and sonatas for the piano and organ, string quartets, &amp;c.; but</w:t></w:r>
</w:p>
<w:p>
<w:pPr><w:pStyle w:val="Normal"/></w:pPr>
<w:r><w:t xml:space="preserve">the greater proportion of his works, vocal and instrumental,</w:t></w:r>
</w:p>
<w:p>
<w:pPr><w:pStyle w:val="Normal"/></w:pPr>
<w:r><w:t xml:space="preserve">exists only in manuscript.  They are in the library of the</w:t></w:r>
</w:p>
<w:p>
<w:pPr><w:pStyle w:val="Normal"/></w:pPr>
<w:r><w:t xml:space="preserve">Vienna Gesellschaft der Musikfreunde. Probably the most</w:t></w:r>
</w:p>
<w:p>
<w:pPr><w:pStyle w:val="Normal"/></w:pPr>
<w:r><w:t xml:space="preserve">valuable service he rendered to music was in his theoretical</w:t></w:r>
</w:p>
<w:p>
<w:pPr><w:pStyle w:val="Normal"/></w:pPr>
<w:r><w:t xml:space="preserve">Works.  In 1790 he published at Leipzig a treatise on composition,</w:t></w:r>
</w:p>
<w:p>
<w:pPr><w:pStyle w:val="Normal"/></w:pPr>
<w:r><w:t xml:space="preserve">of which a third edition appeared in 1821.  A collection</w:t></w:r>
</w:p>
<w:p>
<w:pPr><w:pStyle w:val="Normal"/></w:pPr>
<w:r><w:t xml:space="preserve">of his writings on harmony, in three volumes, was published</w:t></w:r>
</w:p>
<w:p>
<w:pPr><w:pStyle w:val="Normal"/></w:pPr>
<w:r><w:t xml:space="preserve">under the care of his pupil Ignaz von Seyfried (1776-1841) in</w:t></w:r>
</w:p>
<w:p>
<w:pPr><w:pStyle w:val="Normal"/></w:pPr>
<w:r><w:t xml:space="preserve">1826.  There is an English version of this published by</w:t></w:r>
</w:p>
<w:p>
<w:pPr><w:pStyle w:val="Normal"/></w:pPr>
<w:r><w:t xml:space="preserve">Novello in 1855.  Beethoven knew his own needs when he put</w:t></w:r>
</w:p>
<w:p>
<w:pPr><w:pStyle w:val="Normal"/></w:pPr>
<w:r><w:t xml:space="preserve">himself under Albrechtsberger on finding that Haydn was not</w:t></w:r>
</w:p>
<w:p>
<w:pPr><w:pStyle w:val="Normal"/></w:pPr>
<w:r><w:t xml:space="preserve">thoroughly disposed for the trouble of training him; and</w:t></w:r>
</w:p>
<w:p>
<w:pPr><w:pStyle w:val="Normal"/></w:pPr>
<w:r><w:t xml:space="preserve">though Albrechtsberger could see nothing in him, and warned his</w:t></w:r>
</w:p>
<w:p>
<w:pPr><w:pStyle w:val="Normal"/></w:pPr>
<w:r><w:t xml:space="preserve">other pupils against ``that young man who would never turn out</w:t></w:r>
</w:p>
<w:p>
<w:pPr><w:pStyle w:val="Normal"/></w:pPr>
<w:r><w:t xml:space="preserve">anything in good style,&apos;&apos; he justified Beethoven&apos;s confidence.</w:t></w:r>
</w:p>
<w:p>
<w:pPr><w:pStyle w:val="Normal"/></w:pPr>
<w:r><w:t xml:space="preserve">ALBRET. The lordship (seigneurie) of Albret (Labrit,</w:t></w:r>
</w:p>
<w:p>
<w:pPr><w:pStyle w:val="Normal"/></w:pPr>
<w:r><w:t xml:space="preserve">Lebret), situated in the Landes, gave its name to one of</w:t></w:r>
</w:p>
<w:p>
<w:pPr><w:pStyle w:val="Normal"/></w:pPr>
<w:r><w:t xml:space="preserve">the most powerful feudal families of France in the middle</w:t></w:r>
</w:p>
<w:p>
<w:pPr><w:pStyle w:val="Normal"/></w:pPr>
<w:r><w:t xml:space="preserve">ages.  Its members distinguished themselves in the local wars</w:t></w:r>
</w:p>
<w:p>
<w:pPr><w:pStyle w:val="Normal"/></w:pPr>
<w:r><w:t xml:space="preserve">of that apoch; and during the 14th century they espoused the</w:t></w:r>
</w:p>
<w:p>
<w:pPr><w:pStyle w:val="Normal"/></w:pPr>
<w:r><w:t xml:space="preserve">English cause for some time, afterwards transferring their</w:t></w:r>
</w:p>
<w:p>
<w:pPr><w:pStyle w:val="Normal"/></w:pPr>
<w:r><w:t xml:space="preserve">support to the side of France.  Arnaud Amanieu, lord of</w:t></w:r>
</w:p>
<w:p>
<w:pPr><w:pStyle w:val="Normal"/></w:pPr>
<w:r><w:t xml:space="preserve">Albret, helped to take Guienne from the English.  His son</w:t></w:r>
</w:p>
<w:p>
<w:pPr><w:pStyle w:val="Normal"/></w:pPr>
<w:r><w:t xml:space="preserve">Charles became constable of France, and was killed at the</w:t></w:r>
</w:p>
<w:p>
<w:pPr><w:pStyle w:val="Normal"/></w:pPr>
<w:r><w:t xml:space="preserve">battle of Agincourt in 1415.  Alain the Great, lord of Albret</w:t></w:r>
</w:p>
<w:p>
<w:pPr><w:pStyle w:val="Normal"/></w:pPr>
<w:r><w:t xml:space="preserve">(d. 1522), wished to marry Anne of Brittany, and to that end</w:t></w:r>
</w:p>
<w:p>
<w:pPr><w:pStyle w:val="Normal"/></w:pPr>
<w:r><w:t xml:space="preserve">fought against Charles VIII.; but his hopes being defeated by</w:t></w:r>
</w:p>
<w:p>
<w:pPr><w:pStyle w:val="Normal"/></w:pPr>
<w:r><w:t xml:space="preserve">the betrothal of Anne to Maximilian of Austria, he surrendered</w:t></w:r>
</w:p>
<w:p>
<w:pPr><w:pStyle w:val="Normal"/></w:pPr>
<w:r><w:t xml:space="preserve">Nantes to the French in 1486.  At that time the house of</w:t></w:r>
</w:p>
<w:p>
<w:pPr><w:pStyle w:val="Normal"/></w:pPr>
<w:r><w:t xml:space="preserve">Albret had attained considerable territorial importance, due</w:t></w:r>
</w:p>
<w:p>
<w:pPr><w:pStyle w:val="Normal"/></w:pPr>
<w:r><w:t xml:space="preserve">in great part to the liberal grants which it had obtained</w:t></w:r>
</w:p>
<w:p>
<w:pPr><w:pStyle w:val="Normal"/></w:pPr>
<w:r><w:t xml:space="preserve">from successive kings of France.  John of Albret, son of</w:t></w:r>
</w:p>
<w:p>
<w:pPr><w:pStyle w:val="Normal"/></w:pPr>
<w:r><w:t xml:space="preserve">Alain, became king of Navarre by his marriage with Catherine of</w:t></w:r>
</w:p>
<w:p>
<w:pPr><w:pStyle w:val="Normal"/></w:pPr>
<w:r><w:t xml:space="preserve">Foix.  Their son Henry, king of Navarre, was created duke</w:t></w:r>
</w:p>
<w:p>
<w:pPr><w:pStyle w:val="Normal"/></w:pPr>
<w:r><w:t xml:space="preserve">of Albret and peer of France in 1550.  By his wife Margaret,</w:t></w:r>
</w:p>
<w:p>
<w:pPr><w:pStyle w:val="Normal"/></w:pPr>
<w:r><w:t xml:space="preserve">sister of the French king, Francis I., he had a daughter, Jeanne</w:t></w:r>
</w:p>
<w:p>
<w:pPr><w:pStyle w:val="Normal"/></w:pPr>
<w:r><w:t xml:space="preserve">d&apos;Albret, queen of Navarre, who married Anthony de Bourbon,</w:t></w:r>
</w:p>
<w:p>
<w:pPr><w:pStyle w:val="Normal"/></w:pPr>
<w:r><w:t xml:space="preserve">duke of Vendome, and became the mother of Henry IV., king of</w:t></w:r>
</w:p>
<w:p>
<w:pPr><w:pStyle w:val="Normal"/></w:pPr>
<w:r><w:t xml:space="preserve">France.  The dukedom of Albret, united to the crown of France</w:t></w:r>
</w:p>
<w:p>
<w:pPr><w:pStyle w:val="Normal"/></w:pPr>
<w:r><w:t xml:space="preserve">by the accession of this prince, was granted to the family of</w:t></w:r>
</w:p>
<w:p>
<w:pPr><w:pStyle w:val="Normal"/></w:pPr>
<w:r><w:t xml:space="preserve">La Tour d&apos;Auvergne in 1651, in exchange for Sedan and Raucourt.</w:t></w:r>
</w:p>
<w:p>
<w:pPr><w:pStyle w:val="Normal"/></w:pPr>
<w:r><w:t xml:space="preserve">To a younger branch of this house belonged Jean d&apos;Albret,</w:t></w:r>
</w:p>
<w:p>
<w:pPr><w:pStyle w:val="Normal"/></w:pPr>
<w:r><w:t xml:space="preserve">seigneur of Orval, count of Dreux and of Rethel, governor</w:t></w:r>
</w:p>
<w:p>
<w:pPr><w:pStyle w:val="Normal"/></w:pPr>
<w:r><w:t xml:space="preserve">of Champagne (d. 1524), who was employed by Francis I.</w:t></w:r>
</w:p>
<w:p>
<w:pPr><w:pStyle w:val="Normal"/></w:pPr>
<w:r><w:t xml:space="preserve">in many diplomatic negotiations, more particularly in his</w:t></w:r>
</w:p>
<w:p>
<w:pPr><w:pStyle w:val="Normal"/></w:pPr>
<w:r><w:t xml:space="preserve">intrigues to get himself elected emperor in 1519. (M. P.*)</w:t></w:r>
</w:p>
<w:p>
<w:pPr><w:pStyle w:val="Normal"/></w:pPr>
<w:r><w:t xml:space="preserve">ALBRIGHT, JACOB (1759-1808), American clergyman, was</w:t></w:r>
</w:p>
<w:p>
<w:pPr><w:pStyle w:val="Normal"/></w:pPr>
<w:r><w:t xml:space="preserve">born near Pottstown, Pennsylvania, on the 1st of May</w:t></w:r>
</w:p>
<w:p>
<w:pPr><w:pStyle w:val="Normal"/></w:pPr>
<w:r><w:t xml:space="preserve">1759.  He was of ``Pennsylvania-German&apos;&apos; parentage, his name</w:t></w:r>
</w:p>
<w:p>
<w:pPr><w:pStyle w:val="Normal"/></w:pPr>
<w:r><w:t xml:space="preserve">being originally Albrecht, and was educated in the Lutheran</w:t></w:r>
</w:p>
<w:p>
<w:pPr><w:pStyle w:val="Normal"/></w:pPr>
<w:r><w:t xml:space="preserve">faith.  At an early age he became a tile-burner.  In 1790</w:t></w:r>
</w:p>
<w:p>
<w:pPr><w:pStyle w:val="Normal"/></w:pPr>
<w:r><w:t xml:space="preserve">he was converted to Methodism, and in 1796 determined to</w:t></w:r>
</w:p>
<w:p>
<w:pPr><w:pStyle w:val="Normal"/></w:pPr>
<w:r><w:t xml:space="preserve">devote himself to preaching that faith among the Pennsylvania</w:t></w:r>
</w:p>
<w:p>
<w:pPr><w:pStyle w:val="Normal"/></w:pPr>
<w:r><w:t xml:space="preserve">Germans.  His efforts met with great success, and in 1800</w:t></w:r>
</w:p>
<w:p>
<w:pPr><w:pStyle w:val="Normal"/></w:pPr>
<w:r><w:t xml:space="preserve">he founded what was virtually a new and independent church</w:t></w:r>
</w:p>
<w:p>
<w:pPr><w:pStyle w:val="Normal"/></w:pPr>
<w:r><w:t xml:space="preserve">organization on the Methodist system, of which he became</w:t></w:r>
</w:p>
<w:p>
<w:pPr><w:pStyle w:val="Normal"/></w:pPr>
<w:r><w:t xml:space="preserve">the presiding elder, and eventually (1807) bishop.  This</w:t></w:r>
</w:p>
<w:p>
<w:pPr><w:pStyle w:val="Normal"/></w:pPr>
<w:r><w:t xml:space="preserve">church is officially the Evangelical Association, but its</w:t></w:r>
</w:p>
<w:p>
<w:pPr><w:pStyle w:val="Normal"/></w:pPr>
<w:r><w:t xml:space="preserve">adherents have been variously known as ``New Methodists.&apos;&apos;</w:t></w:r>
</w:p>
<w:p>
<w:pPr><w:pStyle w:val="Normal"/></w:pPr>
<w:r><w:t xml:space="preserve">``Albrights,&apos;&apos; and ``Albright Brethren.&apos;&apos; Albright died</w:t></w:r>
</w:p>
<w:p>
<w:pPr><w:pStyle w:val="Normal"/></w:pPr>
<w:r><w:t xml:space="preserve">on the 18th of May 1808, at Muhlbach, Pennsylvania.</w:t></w:r>
</w:p>
<w:p>
<w:pPr><w:pStyle w:val="Normal"/></w:pPr>
<w:r><w:t xml:space="preserve">ALBUERA, or ALBUHERA, LA, a small village of Spain,</w:t></w:r>
</w:p>
<w:p>
<w:pPr><w:pStyle w:val="Normal"/></w:pPr>
<w:r><w:t xml:space="preserve">in the province of Badajoz, 13 m.  S.E. of the town of that</w:t></w:r>
</w:p>
<w:p>
<w:pPr><w:pStyle w:val="Normal"/></w:pPr>
<w:r><w:t xml:space="preserve">name.  Pop. (1900) 820. Albuera is celebrated on account of the</w:t></w:r>
</w:p>
<w:p>
<w:pPr><w:pStyle w:val="Normal"/></w:pPr>
<w:r><w:t xml:space="preserve">victory gained there on the 16th of May 1811 by the British,</w:t></w:r>
</w:p>
<w:p>
<w:pPr><w:pStyle w:val="Normal"/></w:pPr>
<w:r><w:t xml:space="preserve">Portuguese and Spaniards, under Marshal Beresford, over the</w:t></w:r>
</w:p>
<w:p>
<w:pPr><w:pStyle w:val="Normal"/></w:pPr>
<w:r><w:t xml:space="preserve">French army commanded by Marshal Soult. (See PENINSULAR WAR.)</w:t></w:r>
</w:p>
<w:p>
<w:pPr><w:pStyle w:val="Normal"/></w:pPr>
<w:r><w:t xml:space="preserve">ALBUFERA DE VALENCIA, a lagoon, 7 m.  S. of Valencia in</w:t></w:r>
</w:p>
<w:p>
<w:pPr><w:pStyle w:val="Normal"/></w:pPr>
<w:r><w:t xml:space="preserve">Spain, about 12 m. in length and 4 in breadth, 12 ft. being</w:t></w:r>
</w:p>
<w:p>
<w:pPr><w:pStyle w:val="Normal"/></w:pPr>
<w:r><w:t xml:space="preserve">its greatest depth.  It communicates with the sea by a narrow</w:t></w:r>
</w:p>
<w:p>
<w:pPr><w:pStyle w:val="Normal"/></w:pPr>
<w:r><w:t xml:space="preserve">outlet, which can be opened or closed at pleasure.  The lake</w:t></w:r>
</w:p>
<w:p>
<w:pPr><w:pStyle w:val="Normal"/></w:pPr>
<w:r><w:t xml:space="preserve">is crown property, and is of great value from the fish and</w:t></w:r>
</w:p>
<w:p>
<w:pPr><w:pStyle w:val="Normal"/></w:pPr>
<w:r><w:t xml:space="preserve">wild-fowl with which it abounds.  Rice is grown in large</w:t></w:r>
</w:p>
<w:p>
<w:pPr><w:pStyle w:val="Normal"/></w:pPr>
<w:r><w:t xml:space="preserve">quantities by the inhabitants of the adjoining villages.  In</w:t></w:r>
</w:p>
<w:p>
<w:pPr><w:pStyle w:val="Normal"/></w:pPr>
<w:r><w:t xml:space="preserve">1812 Marshal Suchet was created duke of Albufera by Napoleon</w:t></w:r>
</w:p>
<w:p>
<w:pPr><w:pStyle w:val="Normal"/></w:pPr>
<w:r><w:t xml:space="preserve">for his conquest of Valencia, and invested with the domain; but</w:t></w:r>
</w:p>
<w:p>
<w:pPr><w:pStyle w:val="Normal"/></w:pPr>
<w:r><w:t xml:space="preserve">the battle of Vittoria in 1813 deprived him of his possession,</w:t></w:r>
</w:p>
<w:p>
<w:pPr><w:pStyle w:val="Normal"/></w:pPr>
<w:r><w:t xml:space="preserve">though he still retained the title.  Subsequently the revenues</w:t></w:r>
</w:p>
<w:p>
<w:pPr><w:pStyle w:val="Normal"/></w:pPr>
<w:r><w:t xml:space="preserve">of Albufera were conferred upon the duke of Wellington in token</w:t></w:r>
</w:p>
<w:p>
<w:pPr><w:pStyle w:val="Normal"/></w:pPr>
<w:r><w:t xml:space="preserve">of the gratitude of the Spanish nation. (See PENINSULAR WAR.)</w:t></w:r>
</w:p>
<w:p>
<w:pPr><w:pStyle w:val="Normal"/></w:pPr>
<w:r><w:t xml:space="preserve">ALBULAE AQUAE, a group of springs, 4 m.  W. of Tibur, the</w:t></w:r>
</w:p>
<w:p>
<w:pPr><w:pStyle w:val="Normal"/></w:pPr>
<w:r><w:t xml:space="preserve">water of which is bluish, strongly impregnated with sulphur and</w:t></w:r>
</w:p>
<w:p>
<w:pPr><w:pStyle w:val="Normal"/></w:pPr>
<w:r><w:t xml:space="preserve">carbonate of lime, and rises at a temperature of about 75 deg.  F.</w:t></w:r>
</w:p>
<w:p>
<w:pPr><w:pStyle w:val="Normal"/></w:pPr>
<w:r><w:t xml:space="preserve">Remains of a Roman thermal establishment exist near the principal</w:t></w:r>
</w:p>
<w:p>
<w:pPr><w:pStyle w:val="Normal"/></w:pPr>
<w:r><w:t xml:space="preserve">spring, the so-called Lago della Regina (which is continually</w:t></w:r>
</w:p>
<w:p>
<w:pPr><w:pStyle w:val="Normal"/></w:pPr>
<w:r><w:t xml:space="preserve">diminishing in size owing to the deposit left by the water),</w:t></w:r>
</w:p>
<w:p>
<w:pPr><w:pStyle w:val="Normal"/></w:pPr>
<w:r><w:t xml:space="preserve">and dedicatory inscriptions in honour of the waters have been</w:t></w:r>
</w:p>
<w:p>
<w:pPr><w:pStyle w:val="Normal"/></w:pPr>
<w:r><w:t xml:space="preserve">found.  The baths are still frequented by the Romans, though</w:t></w:r>
</w:p>
<w:p>
<w:pPr><w:pStyle w:val="Normal"/></w:pPr>
<w:r><w:t xml:space="preserve">the modern establishment is about 1 m.  S. on the high road.</w:t></w:r>
</w:p>
<w:p>
<w:pPr><w:pStyle w:val="Normal"/></w:pPr>
<w:r><w:t xml:space="preserve">See T. Ashby in Papers of the British School at Rome, iii. 117.</w:t></w:r>
</w:p>
<w:p>
<w:pPr><w:pStyle w:val="Normal"/></w:pPr>
<w:r><w:t xml:space="preserve">ALBULA PASS, now the principal route from the N. to the Upper</w:t></w:r>
</w:p>
<w:p>
<w:pPr><w:pStyle w:val="Normal"/></w:pPr>
<w:r><w:t xml:space="preserve">Engadine in the Swiss Canton of the Grisons.  It was already</w:t></w:r>
</w:p>
<w:p>
<w:pPr><w:pStyle w:val="Normal"/></w:pPr>
<w:r><w:t xml:space="preserve">frequented in the 13th century, while a carriage road (highest</w:t></w:r>
</w:p>
<w:p>
<w:pPr><w:pStyle w:val="Normal"/></w:pPr>
<w:r><w:t xml:space="preserve">point, 7595 ft.) was constructed across it in 1865, but for a</w:t></w:r>
</w:p>
<w:p>
<w:pPr><w:pStyle w:val="Normal"/></w:pPr>
<w:r><w:t xml:space="preserve">long time it was not as much used as the easier and more direct</w:t></w:r>
</w:p>
<w:p>
<w:pPr><w:pStyle w:val="Normal"/></w:pPr>
<w:r><w:t xml:space="preserve">Julier Pass (7504 ft.), until the opening of the railway in</w:t></w:r>
</w:p>
<w:p>
<w:pPr><w:pStyle w:val="Normal"/></w:pPr>
<w:r><w:t xml:space="preserve">1903, which has vastly increased its practical importance.</w:t></w:r>
</w:p>
<w:p>
<w:pPr><w:pStyle w:val="Normal"/></w:pPr>
<w:r><w:t xml:space="preserve">Starting from Coire the Rhine valley is followed to Reichenau</w:t></w:r>
</w:p>
<w:p>
<w:pPr><w:pStyle w:val="Normal"/></w:pPr>
<w:r><w:t xml:space="preserve">(6 1/4 m.), and then that of the Hinter Rhine to Thusis (10 1/2</w:t></w:r>
</w:p>
<w:p>
<w:pPr><w:pStyle w:val="Normal"/></w:pPr>
<w:r><w:t xml:space="preserve">m.).  The line then runs through the grand Schyn gorge (cut by</w:t></w:r>
</w:p>
<w:p>
<w:pPr><w:pStyle w:val="Normal"/></w:pPr>
<w:r><w:t xml:space="preserve">the Albula torrent) to Tiefenkastell (7 1/2 m.), where it leaves</w:t></w:r>
</w:p>
<w:p>
<w:pPr><w:pStyle w:val="Normal"/></w:pPr>
<w:r><w:t xml:space="preserve">the Julier road on the right (S.) and continues to follow the</w:t></w:r>
</w:p>
<w:p>
<w:pPr><w:pStyle w:val="Normal"/></w:pPr>
<w:r><w:t xml:space="preserve">course of the Albula past Filisur and Bergun (12 1/2 m.) to</w:t></w:r>
</w:p>
<w:p>
<w:pPr><w:pStyle w:val="Normal"/></w:pPr>
<w:r><w:t xml:space="preserve">the mouth (5879 ft.) of the great tunnel (3 3/4 m. in length;</w:t></w:r>
</w:p>
<w:p>
<w:pPr><w:pStyle w:val="Normal"/></w:pPr>
<w:r><w:t xml:space="preserve">highest point, 5987 ft.) which has been pierced below the</w:t></w:r>
</w:p>
<w:p>
<w:pPr><w:pStyle w:val="Normal"/></w:pPr>
<w:r><w:t xml:space="preserve">pass.  The descent lies through the Bevers glen to Bevers (2 1/2</w:t></w:r>
</w:p>
<w:p>
<w:pPr><w:pStyle w:val="Normal"/></w:pPr>
<w:r><w:t xml:space="preserve">m.), where the Upper Engadine is reached, about 5 m. below St.</w:t></w:r>
</w:p>
<w:p>
<w:pPr><w:pStyle w:val="Normal"/></w:pPr>
<w:r><w:t xml:space="preserve">Moritz, which is 56 m. from Coire by this route. (W. A. B. C.)</w:t></w:r>
</w:p>
<w:p>
<w:pPr><w:pStyle w:val="Normal"/></w:pPr>
<w:r><w:t xml:space="preserve">ALBUM (Lat. albus, white), in ancient Rome, a board</w:t></w:r>
</w:p>
<w:p>
<w:pPr><w:pStyle w:val="Normal"/></w:pPr>
<w:r><w:t xml:space="preserve">chalked or painted white, on which decrees, edicts and other</w:t></w:r>
</w:p>
<w:p>
<w:pPr><w:pStyle w:val="Normal"/></w:pPr>
<w:r><w:t xml:space="preserve">public notices were inscribed in black.  The Annales Maximi</w:t></w:r>
</w:p>
<w:p>
<w:pPr><w:pStyle w:val="Normal"/></w:pPr>
<w:r><w:t xml:space="preserve">of the Pontifex Maximus, the annual edicts of the praetor,</w:t></w:r>
</w:p>
<w:p>
<w:pPr><w:pStyle w:val="Normal"/></w:pPr>
<w:r><w:t xml:space="preserve">the lists of Roman and municipal senators (decuriones) and</w:t></w:r>
</w:p>
<w:p>
<w:pPr><w:pStyle w:val="Normal"/></w:pPr>
<w:r><w:t xml:space="preserve">jurors (album indicum) were exhibited in this manner.  In</w:t></w:r>
</w:p>
<w:p>
<w:pPr><w:pStyle w:val="Normal"/></w:pPr>
<w:r><w:t xml:space="preserve">medieval and modern times album denotes a book of blank</w:t></w:r>
</w:p>
<w:p>
<w:pPr><w:pStyle w:val="Normal"/></w:pPr>
<w:r><w:t xml:space="preserve">pages in which verses, autographs, sketches, photographs</w:t></w:r>
</w:p>
<w:p>
<w:pPr><w:pStyle w:val="Normal"/></w:pPr>
<w:r><w:t xml:space="preserve">and the like are collected.  It is also applied to the</w:t></w:r>
</w:p>
<w:p>
<w:pPr><w:pStyle w:val="Normal"/></w:pPr>
<w:r><w:t xml:space="preserve">official list of matriculated students in a university, and</w:t></w:r>
</w:p>
<w:p>
<w:pPr><w:pStyle w:val="Normal"/></w:pPr>
<w:r><w:t xml:space="preserve">to the roll in which a bishop inscribes the names of his</w:t></w:r>
</w:p>
<w:p>
<w:pPr><w:pStyle w:val="Normal"/></w:pPr>
<w:r><w:t xml:space="preserve">clergy.  In law, the word is the equivalent of mailles</w:t></w:r>
</w:p>
<w:p>
<w:pPr><w:pStyle w:val="Normal"/></w:pPr>
<w:r><w:t xml:space="preserve">blanches, for rent paid in silver (``white&apos;&apos;) money.</w:t></w:r>
</w:p>
<w:p>
<w:pPr><w:pStyle w:val="Normal"/></w:pPr>
<w:r><w:t xml:space="preserve">ALBUMAZAR, more properly ABU-MAASCHAR (805-885), Arab</w:t></w:r>
</w:p>
<w:p>
<w:pPr><w:pStyle w:val="Normal"/></w:pPr>
<w:r><w:t xml:space="preserve">astronomer, was born at Balkh, flourished at Bagdad,</w:t></w:r>
</w:p>
<w:p>
<w:pPr><w:pStyle w:val="Normal"/></w:pPr>
<w:r><w:t xml:space="preserve">and died at Wasid in Central Asia.  His principal works</w:t></w:r>
</w:p>
<w:p>
<w:pPr><w:pStyle w:val="Normal"/></w:pPr>
<w:r><w:t xml:space="preserve">are: De Magnis Conjunctionibus (Augsburg, 1489);</w:t></w:r>
</w:p>
<w:p>
<w:pPr><w:pStyle w:val="Normal"/></w:pPr>
<w:r><w:t xml:space="preserve">Introductorium in Astronomiam (Venice, 1506); and</w:t></w:r>
</w:p>
<w:p>
<w:pPr><w:pStyle w:val="Normal"/></w:pPr>
<w:r><w:t xml:space="preserve">Flores Astrologici (Augsburg, 1488).  He maintained in the</w:t></w:r>
</w:p>
<w:p>
<w:pPr><w:pStyle w:val="Normal"/></w:pPr>
<w:r><w:t xml:space="preserve">first that the world, created when the seven planets were</w:t></w:r>
</w:p>
<w:p>
<w:pPr><w:pStyle w:val="Normal"/></w:pPr>
<w:r><w:t xml:space="preserve">in conjunction in the first degree of Aries, will come to</w:t></w:r>
</w:p>
<w:p>
<w:pPr><w:pStyle w:val="Normal"/></w:pPr>
<w:r><w:t xml:space="preserve">an end at a like conjunction in the last degree of Pisces.</w:t></w:r>
</w:p>
<w:p>
<w:pPr><w:pStyle w:val="Normal"/></w:pPr>
<w:r><w:t xml:space="preserve">See Biog.  Universelle (Jourdain); Lalande, Bibliographie</w:t></w:r>
</w:p>
<w:p>
<w:pPr><w:pStyle w:val="Normal"/></w:pPr>
<w:r><w:t xml:space="preserve">Astronomique; Poggendorff, Biog. literarisches</w:t></w:r>
</w:p>
<w:p>
<w:pPr><w:pStyle w:val="Normal"/></w:pPr>
<w:r><w:t xml:space="preserve">Handworterbuch; Houzeau, Bibl.  Astronomique.</w:t></w:r>
</w:p>
<w:p>
<w:pPr><w:pStyle w:val="Normal"/></w:pPr>
<w:r><w:t xml:space="preserve">ALBUMIN, or ALBUMEN (Lat. albus, white), an organic</w:t></w:r>
</w:p>
<w:p>
<w:pPr><w:pStyle w:val="Normal"/></w:pPr>
<w:r><w:t xml:space="preserve">substance typical of a group of bodies (albumins or</w:t></w:r>
</w:p>
<w:p>
<w:pPr><w:pStyle w:val="Normal"/></w:pPr>
<w:r><w:t xml:space="preserve">albuminates) of very complicated chemical composition.  They</w:t></w:r>
</w:p>
<w:p>
<w:pPr><w:pStyle w:val="Normal"/></w:pPr>
<w:r><w:t xml:space="preserve">are sometimes called the histogenetic bodies or proteids,</w:t></w:r>
</w:p>
<w:p>
<w:pPr><w:pStyle w:val="Normal"/></w:pPr>
<w:r><w:t xml:space="preserve">because they are essential to the building up of the animal</w:t></w:r>
</w:p>
<w:p>
<w:pPr><w:pStyle w:val="Normal"/></w:pPr>
<w:r><w:t xml:space="preserve">organism.  The vegetable kingdom is the original source of</w:t></w:r>
</w:p>
<w:p>
<w:pPr><w:pStyle w:val="Normal"/></w:pPr>
<w:r><w:t xml:space="preserve">albuminous substances, the albumins being found in greatest</w:t></w:r>
</w:p>
<w:p>
<w:pPr><w:pStyle w:val="Normal"/></w:pPr>
<w:r><w:t xml:space="preserve">quantity in the seed.  They also occur in the fluids of the</w:t></w:r>
</w:p>
<w:p>
<w:pPr><w:pStyle w:val="Normal"/></w:pPr>
<w:r><w:t xml:space="preserve">living organism.  The chemistry of the albumins is one of</w:t></w:r>
</w:p>
<w:p>
<w:pPr><w:pStyle w:val="Normal"/></w:pPr>
<w:r><w:t xml:space="preserve">the most complicated and difficult in the whole domain of</w:t></w:r>
</w:p>
<w:p>
<w:pPr><w:pStyle w:val="Normal"/></w:pPr>
<w:r><w:t xml:space="preserve">organic chemistry.  It has attracted the attention of many</w:t></w:r>
</w:p>
<w:p>
<w:pPr><w:pStyle w:val="Normal"/></w:pPr>
<w:r><w:t xml:space="preserve">workers, and has formed the subject of a huge literature.</w:t></w:r>
</w:p>
<w:p>
<w:pPr><w:pStyle w:val="Normal"/></w:pPr>
<w:r><w:t xml:space="preserve">In this field Bechamp, Cohnheim, Albrecht Kossel, and,</w:t></w:r>
</w:p>
<w:p>
<w:pPr><w:pStyle w:val="Normal"/></w:pPr>
<w:r><w:t xml:space="preserve">especially, Emil Fischer and his pupils have been extremely</w:t></w:r>
</w:p>
<w:p>
<w:pPr><w:pStyle w:val="Normal"/></w:pPr>
<w:r><w:t xml:space="preserve">active.  The general trend of these researches lies in the</w:t></w:r>
</w:p>
<w:p>
<w:pPr><w:pStyle w:val="Normal"/></w:pPr>
<w:r><w:t xml:space="preserve">study of the decomposition or ``breaking down&apos;&apos; products of</w:t></w:r>
</w:p>
<w:p>
<w:pPr><w:pStyle w:val="Normal"/></w:pPr>
<w:r><w:t xml:space="preserve">the albumin molecules; once these are accurately determined,</w:t></w:r>
</w:p>
<w:p>
<w:pPr><w:pStyle w:val="Normal"/></w:pPr>
<w:r><w:t xml:space="preserve">the synthesis of an albumin is but a matter of time.  Already</w:t></w:r>
</w:p>
<w:p>
<w:pPr><w:pStyle w:val="Normal"/></w:pPr>
<w:r><w:t xml:space="preserve">we have proceeded far in our knowledge of the decomposition</w:t></w:r>
</w:p>
<w:p>
<w:pPr><w:pStyle w:val="Normal"/></w:pPr>
<w:r><w:t xml:space="preserve">products, and certain simple proteids have been synthesized.</w:t></w:r>
</w:p>
<w:p>
<w:pPr><w:pStyle w:val="Normal"/></w:pPr>
<w:r><w:t xml:space="preserve">General characters.</w:t></w:r>
</w:p>
<w:p>
<w:pPr><w:pStyle w:val="Normal"/></w:pPr>
<w:r><w:t xml:space="preserve">The albumins contain in all cases the elements carbon, hydrogen,</w:t></w:r>
</w:p>
<w:p>
<w:pPr><w:pStyle w:val="Normal"/></w:pPr>
<w:r><w:t xml:space="preserve">nitrogen, sulphur and oxygen; their composition, however,</w:t></w:r>
</w:p>
<w:p>
<w:pPr><w:pStyle w:val="Normal"/></w:pPr>
<w:r><w:t xml:space="preserve">varies within certain limits: C = 50-55%, H = 6.9-7.3%, N. =</w:t></w:r>
</w:p>
<w:p>
<w:pPr><w:pStyle w:val="Normal"/></w:pPr>
<w:r><w:t xml:space="preserve">15-19%, S = 0.3-2.4%, O = 19-24%, crystallized albumin is C =</w:t></w:r>
</w:p>
<w:p>
<w:pPr><w:pStyle w:val="Normal"/></w:pPr>
<w:r><w:t xml:space="preserve">51.48%, H = 6.76%, N = 8.14%, S = 0.96%, O = 22.66%, which</w:t></w:r>
</w:p>
<w:p>
<w:pPr><w:pStyle w:val="Normal"/></w:pPr>
<w:r><w:t xml:space="preserve">points to the formula C720H1134N218S5O248,</w:t></w:r>
</w:p>
<w:p>
<w:pPr><w:pStyle w:val="Normal"/></w:pPr>
<w:r><w:t xml:space="preserve">corresponding to the molecular weight 16,954.  A high molecular</w:t></w:r>
</w:p>
<w:p>
<w:pPr><w:pStyle w:val="Normal"/></w:pPr>
<w:r><w:t xml:space="preserve">weight characterizes these substances, but so far no definite</w:t></w:r>
</w:p>
<w:p>
<w:pPr><w:pStyle w:val="Normal"/></w:pPr>
<w:r><w:t xml:space="preserve">value has been determined by either physical or chemical means;</w:t></w:r>
</w:p>
<w:p>
<w:pPr><w:pStyle w:val="Normal"/></w:pPr>
<w:r><w:t xml:space="preserve">A. P. Sabanezhev obtained the value 15,000 by Raoult&apos;s method</w:t></w:r>
</w:p>
<w:p>
<w:pPr><w:pStyle w:val="Normal"/></w:pPr>
<w:r><w:t xml:space="preserve">for purified egg albumin.  All albumins are laevo-rotatory; and</w:t></w:r>
</w:p>
<w:p>
<w:pPr><w:pStyle w:val="Normal"/></w:pPr>
<w:r><w:t xml:space="preserve">on incineration a small amount of inorganic ash is invariably</w:t></w:r>
</w:p>
<w:p>
<w:pPr><w:pStyle w:val="Normal"/></w:pPr>
<w:r><w:t xml:space="preserve">left.  They are usually insoluble in water, alcohol and ether;</w:t></w:r>
</w:p>
<w:p>
<w:pPr><w:pStyle w:val="Normal"/></w:pPr>
<w:r><w:t xml:space="preserve">and their presence as solutes in vegetable and animal fluids</w:t></w:r>
</w:p>
<w:p>
<w:pPr><w:pStyle w:val="Normal"/></w:pPr>
<w:r><w:t xml:space="preserve">is not yet perfectly understood, but it is probably to be</w:t></w:r>
</w:p>
<w:p>
<w:pPr><w:pStyle w:val="Normal"/></w:pPr>
<w:r><w:t xml:space="preserve">connected with the presence of salts or other substances.  A</w:t></w:r>
</w:p>
<w:p>
<w:pPr><w:pStyle w:val="Normal"/></w:pPr>
<w:r><w:t xml:space="preserve">remarkable change occurs when many albumins are boiled with</w:t></w:r>
</w:p>
<w:p>
<w:pPr><w:pStyle w:val="Normal"/></w:pPr>
<w:r><w:t xml:space="preserve">water, or treated with certain acids, their solubility and</w:t></w:r>
</w:p>
<w:p>
<w:pPr><w:pStyle w:val="Normal"/></w:pPr>
<w:r><w:t xml:space="preserve">general characters being entirely altered, and the fluid becoming</w:t></w:r>
</w:p>
<w:p>
<w:pPr><w:pStyle w:val="Normal"/></w:pPr>
<w:r><w:t xml:space="preserve">coagulated.  This change is seen in the transformation of the</w:t></w:r>
</w:p>
<w:p>
<w:pPr><w:pStyle w:val="Normal"/></w:pPr>
<w:r><w:t xml:space="preserve">``white&apos;&apos; of an egg on boiling.  Albumins are generally detected</w:t></w:r>
</w:p>
<w:p>
<w:pPr><w:pStyle w:val="Normal"/></w:pPr>
<w:r><w:t xml:space="preserve">by taking advantage of this property, or of certain colour</w:t></w:r>
</w:p>
<w:p>
<w:pPr><w:pStyle w:val="Normal"/></w:pPr>
<w:r><w:t xml:space="preserve">changes.  The reagents in common use are: Millon&apos;s reagent,</w:t></w:r>
</w:p>
<w:p>
<w:pPr><w:pStyle w:val="Normal"/></w:pPr>
<w:r><w:t xml:space="preserve">a solution of mercuric nitrate containing nitrous acid, this</w:t></w:r>
</w:p>
<w:p>
<w:pPr><w:pStyle w:val="Normal"/></w:pPr>
<w:r><w:t xml:space="preserve">gives a violet-red coloration; nitric acid, which gives a</w:t></w:r>
</w:p>
<w:p>
<w:pPr><w:pStyle w:val="Normal"/></w:pPr>
<w:r><w:t xml:space="preserve">yellow colour, turning to gold when treated with ammonia</w:t></w:r>
</w:p>
<w:p>
<w:pPr><w:pStyle w:val="Normal"/></w:pPr>
<w:r><w:t xml:space="preserve">(xanthoproteic reaction); fuming sulphuric acid, which gives</w:t></w:r>
</w:p>
<w:p>
<w:pPr><w:pStyle w:val="Normal"/></w:pPr>
<w:r><w:t xml:space="preserve">violet solutions; and caustic potash and copper sulphate, which,</w:t></w:r>
</w:p>
<w:p>
<w:pPr><w:pStyle w:val="Normal"/></w:pPr>
<w:r><w:t xml:space="preserve">on warming, gives a red to violet coloration (biuret reaction).</w:t></w:r>
</w:p>
<w:p>
<w:pPr><w:pStyle w:val="Normal"/></w:pPr>
<w:r><w:t xml:space="preserve">Decomposition products.</w:t></w:r>
</w:p>
<w:p>
<w:pPr><w:pStyle w:val="Normal"/></w:pPr>
<w:r><w:t xml:space="preserve">Boiling with dilute mineral acids, or baryta water, decomposes</w:t></w:r>
</w:p>
<w:p>
<w:pPr><w:pStyle w:val="Normal"/></w:pPr>
<w:r><w:t xml:space="preserve">albumins into carbon dioxide, ammonia and fatty amino- and other</w:t></w:r>
</w:p>
<w:p>
<w:pPr><w:pStyle w:val="Normal"/></w:pPr>
<w:r><w:t xml:space="preserve">acids.  These decomposition products include: glycocoll or</w:t></w:r>
</w:p>
<w:p>
<w:pPr><w:pStyle w:val="Normal"/></w:pPr>
<w:r><w:t xml:space="preserve">aminoacetic acid, NH2CH2COOH, alanine or aminopropionic</w:t></w:r>
</w:p>
<w:p>
<w:pPr><w:pStyle w:val="Normal"/></w:pPr>
<w:r><w:t xml:space="preserve">acid, CH3.CH(NH2).COOH, a-aminobutyric acid,</w:t></w:r>
</w:p>
<w:p>
<w:pPr><w:pStyle w:val="Normal"/></w:pPr>
<w:r><w:t xml:space="preserve">a-aminovalerianic acid, leucin or isobutyl-a-aminoacetic</w:t></w:r>
</w:p>
<w:p>
<w:pPr><w:pStyle w:val="Normal"/></w:pPr>
<w:r><w:t xml:space="preserve">acid, (CH3)2CH.CH2.CH(NH2).COOH, isoleucin, probably</w:t></w:r>
</w:p>
<w:p>
<w:pPr><w:pStyle w:val="Normal"/></w:pPr>
<w:r><w:t xml:space="preserve">b-aminocaproic acid, serin or a-amino- b-hydroxypropionic</w:t></w:r>
</w:p>
<w:p>
<w:pPr><w:pStyle w:val="Normal"/></w:pPr>
<w:r><w:t xml:space="preserve">acid, HO.CH2.CH(NH2).COOH, aspartic acid or aminosuccinic</w:t></w:r>
</w:p>
<w:p>
<w:pPr><w:pStyle w:val="Normal"/></w:pPr>
<w:r><w:t xml:space="preserve">acid, HOOC.CH2.CH(NH2).COOH, glutaminic acid or a-amino-</w:t></w:r>
</w:p>
<w:p>
<w:pPr><w:pStyle w:val="Normal"/></w:pPr>
<w:r><w:t xml:space="preserve">n-glutaric acid, HOOC.(CH2)2.CH(NH2).COOH, diaminoacetic acid,</w:t></w:r>
</w:p>
<w:p>
<w:pPr><w:pStyle w:val="Normal"/></w:pPr>
<w:r><w:t xml:space="preserve">a-b-diaminopropionic acid, lysin. or a-e-diamino-n-caproic</w:t></w:r>
</w:p>
<w:p>
<w:pPr><w:pStyle w:val="Normal"/></w:pPr>
<w:r><w:t xml:space="preserve">acid, NH2(CH2)4.CH(NH2).COOH, arginin or guanidine-a-amino-</w:t></w:r>
</w:p>
<w:p>
<w:pPr><w:pStyle w:val="Normal"/></w:pPr>
<w:r><w:t xml:space="preserve">n-valerianic acid, (NH)(NH2)C.NH.(CH2)3.CH(NH2).COOH,</w:t></w:r>
</w:p>
<w:p>
<w:pPr><w:pStyle w:val="Normal"/></w:pPr>
<w:r><w:t xml:space="preserve">ornithin or ad-diamino valerianic acid,</w:t></w:r>
</w:p>
<w:p>
<w:pPr><w:pStyle w:val="Normal"/></w:pPr>
<w:r><w:t xml:space="preserve">NH2.(CH2)3.CH(NH2).COOH, histidin or a-amino- b-imidazol-</w:t></w:r>
</w:p>
<w:p>
<w:pPr><w:pStyle w:val="Normal"/></w:pPr>
<w:r><w:t xml:space="preserve">_________________</w:t></w:r>
</w:p>
<w:p>
<w:pPr><w:pStyle w:val="Normal"/></w:pPr>
<w:r><w:t xml:space="preserve">|               |</w:t></w:r>
</w:p>
<w:p>
<w:pPr><w:pStyle w:val="Normal"/></w:pPr>
<w:r><w:t xml:space="preserve">propionic acid HOOC.CH(NH2).CH2.C:CH.N:CH.NH, proline</w:t></w:r>
</w:p>
<w:p>
<w:pPr><w:pStyle w:val="Normal"/></w:pPr>
<w:r><w:t xml:space="preserve">_________________________________</w:t></w:r>
</w:p>
<w:p>
<w:pPr><w:pStyle w:val="Normal"/></w:pPr>
<w:r><w:t xml:space="preserve">|                               |</w:t></w:r>
</w:p>
<w:p>
<w:pPr><w:pStyle w:val="Normal"/></w:pPr>
<w:r><w:t xml:space="preserve">or a-pyrrolidin carboxylic acid, HOOC.CH.NH.CH2.CH2.CH2,</w:t></w:r>
</w:p>
<w:p>
<w:pPr><w:pStyle w:val="Normal"/></w:pPr>
<w:r><w:t xml:space="preserve">hydroxyproline, phenyl alanine or phenyl-a-aminopropionic</w:t></w:r>
</w:p>
<w:p>
<w:pPr><w:pStyle w:val="Normal"/></w:pPr>
<w:r><w:t xml:space="preserve">acid, C6H5.CH2.CH(NH2).COOH, tyrosine or p-hydroxyphenyl-</w:t></w:r>
</w:p>
<w:p>
<w:pPr><w:pStyle w:val="Normal"/></w:pPr>
<w:r><w:t xml:space="preserve">a- aminopropionic acid, phenyl ethylamine, p-hydroxyphenyl</w:t></w:r>
</w:p>
<w:p>
<w:pPr><w:pStyle w:val="Normal"/></w:pPr>
<w:r><w:t xml:space="preserve">ethylamine, tryptophane or indol aminopropionic acid,</w:t></w:r>
</w:p>
<w:p>
<w:pPr><w:pStyle w:val="Normal"/></w:pPr>
<w:r><w:t xml:space="preserve">A. cystin (protein-cystin) or a-amino-b-thioglyceric</w:t></w:r>
</w:p>
<w:p>
<w:pPr><w:pStyle w:val="Normal"/></w:pPr>
<w:r><w:t xml:space="preserve">acid ``disulphide,&apos;&apos; (S.CH2.CH(NH2).COOH)2, B.</w:t></w:r>
</w:p>
<w:p>
<w:pPr><w:pStyle w:val="Normal"/></w:pPr>
<w:r><w:t xml:space="preserve">cystin (stone-cystin), or a-thio-b-aminoglyceric acid</w:t></w:r>
</w:p>
<w:p>
<w:pPr><w:pStyle w:val="Normal"/></w:pPr>
<w:r><w:t xml:space="preserve">``disulphide,&apos;&apos; (NH2.CH2.CH:S.COOH)2.  This list is</w:t></w:r>
</w:p>
<w:p>
<w:pPr><w:pStyle w:val="Normal"/></w:pPr>
<w:r><w:t xml:space="preserve">not exhaustive; other products are given in Gustav Mann,</w:t></w:r>
</w:p>
<w:p>
<w:pPr><w:pStyle w:val="Normal"/></w:pPr>
<w:r><w:t xml:space="preserve">Chemistry of the Proteids (1906), to which reference should</w:t></w:r>
</w:p>
<w:p>
<w:pPr><w:pStyle w:val="Normal"/></w:pPr>
<w:r><w:t xml:space="preserve">be made for a complete account of this class of compounds.</w:t></w:r>
</w:p>
<w:p>
<w:pPr><w:pStyle w:val="Normal"/></w:pPr>
<w:r><w:t xml:space="preserve">Classification of albumins.</w:t></w:r>
</w:p>
<w:p>
<w:pPr><w:pStyle w:val="Normal"/></w:pPr>
<w:r><w:t xml:space="preserve">The complexity of composition militates in a great measure</w:t></w:r>
</w:p>
<w:p>
<w:pPr><w:pStyle w:val="Normal"/></w:pPr>
<w:r><w:t xml:space="preserve">against a rational classification of albumins by purely chemical</w:t></w:r>
</w:p>
<w:p>
<w:pPr><w:pStyle w:val="Normal"/></w:pPr>
<w:r><w:t xml:space="preserve">considerations.  Such classifications have been attempted by</w:t></w:r>
</w:p>
<w:p>
<w:pPr><w:pStyle w:val="Normal"/></w:pPr>
<w:r><w:t xml:space="preserve">A. Kossel and by W. Kuhne and E. P. Pick; but in the present</w:t></w:r>
</w:p>
<w:p>
<w:pPr><w:pStyle w:val="Normal"/></w:pPr>
<w:r><w:t xml:space="preserve">state of our knowledge, however, the older classification</w:t></w:r>
</w:p>
<w:p>
<w:pPr><w:pStyle w:val="Normal"/></w:pPr>
<w:r><w:t xml:space="preserve">of E. Dreschel and F. Hoppe- Seyler, based primarily on</w:t></w:r>
</w:p>
<w:p>
<w:pPr><w:pStyle w:val="Normal"/></w:pPr>
<w:r><w:t xml:space="preserve">solubilities and distribution, may be conveniently retained.</w:t></w:r>
</w:p>
<w:p>
<w:pPr><w:pStyle w:val="Normal"/></w:pPr>
<w:r><w:t xml:space="preserve">This classification is with certain modifications as follows:-</w:t></w:r>
</w:p>
<w:p>
<w:pPr><w:pStyle w:val="Heading1"/></w:pPr>
<w:r><w:t>I. Albumins proper: characterized by having colloidal solutions.</w:t></w:r>
</w:p>
<w:p>
<w:pPr><w:pStyle w:val="Normal"/></w:pPr>
<w:r><w:t xml:space="preserve">(1) Albumins: serum-albumin, egg-albumin, albumin.</w:t></w:r>
</w:p>
<w:p>
<w:pPr><w:pStyle w:val="Normal"/></w:pPr>
<w:r><w:t xml:space="preserve">(2) Globulins: serum-globulin, egg-globulin, lacto-</w:t></w:r>
</w:p>
<w:p>
<w:pPr><w:pStyle w:val="Normal"/></w:pPr>
<w:r><w:t xml:space="preserve">globulin, cell-globulins.</w:t></w:r>
</w:p>
<w:p>
<w:pPr><w:pStyle w:val="Normal"/></w:pPr>
<w:r><w:t xml:space="preserve">(3) Plant-globulins and plant-vitellines.</w:t></w:r>
</w:p>
<w:p>
<w:pPr><w:pStyle w:val="Normal"/></w:pPr>
<w:r><w:t xml:space="preserve">(4) Fibrinogen.</w:t></w:r>
</w:p>
<w:p>
<w:pPr><w:pStyle w:val="Normal"/></w:pPr>
<w:r><w:t xml:space="preserve">(5) Myosin.</w:t></w:r>
</w:p>
<w:p>
<w:pPr><w:pStyle w:val="Normal"/></w:pPr>
<w:r><w:t xml:space="preserve">(6) Phosphorus containing albumins (nucleo-albumins),</w:t></w:r>
</w:p>
<w:p>
<w:pPr><w:pStyle w:val="Normal"/></w:pPr>
<w:r><w:t xml:space="preserve">caseins, vitellines, nucleo-albumins of the cell-</w:t></w:r>
</w:p>
<w:p>
<w:pPr><w:pStyle w:val="Normal"/></w:pPr>
<w:r><w:t xml:space="preserve">protoplasm, mucoid nucleo-albumins.</w:t></w:r>
</w:p>
<w:p>
<w:pPr><w:pStyle w:val="Normal"/></w:pPr>
<w:r><w:t xml:space="preserve">(7) Histones.</w:t></w:r>
</w:p>
<w:p>
<w:pPr><w:pStyle w:val="Normal"/></w:pPr>
<w:r><w:t xml:space="preserve">(8) Protamines.</w:t></w:r>
</w:p>
<w:p>
<w:pPr><w:pStyle w:val="Heading1"/></w:pPr>
<w:r><w:t>II. Transformation products of the albumins proper.</w:t></w:r>
</w:p>
<w:p>
<w:pPr><w:pStyle w:val="Normal"/></w:pPr>
<w:r><w:t xml:space="preserve">(1) Acid-albumins, alkali albuminates.</w:t></w:r>
</w:p>
<w:p>
<w:pPr><w:pStyle w:val="Normal"/></w:pPr>
<w:r><w:t xml:space="preserve">(2) Albumoses, peptones and peptides.</w:t></w:r>
</w:p>
<w:p>
<w:pPr><w:pStyle w:val="Normal"/></w:pPr>
<w:r><w:t xml:space="preserve">(3) Halogen-albumins, oxyprotein, oxyprotsulphonic</w:t></w:r>
</w:p>
<w:p>
<w:pPr><w:pStyle w:val="Normal"/></w:pPr>
<w:r><w:t xml:space="preserve">acid, &amp;c.</w:t></w:r>
</w:p>
<w:p>
<w:pPr><w:pStyle w:val="Heading1"/></w:pPr>
<w:r><w:t>III. Proteids.</w:t></w:r>
</w:p>
<w:p>
<w:pPr><w:pStyle w:val="Normal"/></w:pPr>
<w:r><w:t xml:space="preserve">(1) Nucleo-proteids.</w:t></w:r>
</w:p>
<w:p>
<w:pPr><w:pStyle w:val="Normal"/></w:pPr>
<w:r><w:t xml:space="preserve">(2) Haemoglobin and allied substances.</w:t></w:r>
</w:p>
<w:p>
<w:pPr><w:pStyle w:val="Normal"/></w:pPr>
<w:r><w:t xml:space="preserve">(3) Glyco-proteids, mucins, mucoids, helico-proteid.</w:t></w:r>
</w:p>
<w:p>
<w:pPr><w:pStyle w:val="Heading1"/></w:pPr>
<w:r><w:t>IV. Albuminoids.</w:t></w:r>
</w:p>
<w:p>
<w:pPr><w:pStyle w:val="Normal"/></w:pPr>
<w:r><w:t xml:space="preserve">(1) Collagen.</w:t></w:r>
</w:p>
<w:p>
<w:pPr><w:pStyle w:val="Normal"/></w:pPr>
<w:r><w:t xml:space="preserve">(2) Keratin.</w:t></w:r>
</w:p>
<w:p>
<w:pPr><w:pStyle w:val="Normal"/></w:pPr>
<w:r><w:t xml:space="preserve">(3) Elastin.</w:t></w:r>
</w:p>
<w:p>
<w:pPr><w:pStyle w:val="Normal"/></w:pPr>
<w:r><w:t xml:space="preserve">(4) Fibroin.</w:t></w:r>
</w:p>
<w:p>
<w:pPr><w:pStyle w:val="Normal"/></w:pPr>
<w:r><w:t xml:space="preserve">(5) Spongin, &amp;c.</w:t></w:r>
</w:p>
<w:p>
<w:pPr><w:pStyle w:val="Normal"/></w:pPr>
<w:r><w:t xml:space="preserve">(6) Amyloid.</w:t></w:r>
</w:p>
<w:p>
<w:pPr><w:pStyle w:val="Normal"/></w:pPr>
<w:r><w:t xml:space="preserve">(7) Albumoid.</w:t></w:r>
</w:p>
<w:p>
<w:pPr><w:pStyle w:val="Normal"/></w:pPr>
<w:r><w:t xml:space="preserve">(8) Colouring matters derived from albumin.</w:t></w:r>
</w:p>
<w:p>
<w:pPr><w:pStyle w:val="Normal"/></w:pPr>
<w:r><w:t xml:space="preserve">Albumins proper.--Albumins (as classified above) are</w:t></w:r>
</w:p>
<w:p>
<w:pPr><w:pStyle w:val="Normal"/></w:pPr>
<w:r><w:t xml:space="preserve">soluble in water, dilute acids and alkalies, and in</w:t></w:r>
</w:p>
<w:p>
<w:pPr><w:pStyle w:val="Normal"/></w:pPr>
<w:r><w:t xml:space="preserve">saturated neutral salt solutions; they are coagulated by</w:t></w:r>
</w:p>
<w:p>
<w:pPr><w:pStyle w:val="Normal"/></w:pPr>
<w:r><w:t xml:space="preserve">heat. ``Serum- albumin,&apos;&apos; or ``blood-albumin,&apos;&apos; possibly</w:t></w:r>
</w:p>
<w:p>
<w:pPr><w:pStyle w:val="Normal"/></w:pPr>
<w:r><w:t xml:space="preserve">C450H720N116S6O140, occurs in blood-serum,</w:t></w:r>
</w:p>
<w:p>
<w:pPr><w:pStyle w:val="Normal"/></w:pPr>
<w:r><w:t xml:space="preserve">lymph, chyle, milk, &amp;c.; its coagulation temperature is about</w:t></w:r>
</w:p>
<w:p>
<w:pPr><w:pStyle w:val="Normal"/></w:pPr>
<w:r><w:t xml:space="preserve">67 deg. .  It differs from egg-albumin in its specific rotation</w:t></w:r>
</w:p>
<w:p>
<w:pPr><w:pStyle w:val="Normal"/></w:pPr>
<w:r><w:t xml:space="preserve">(-57 deg.  to -64 deg. ), and in being slowly coagulated by alcohol and</w:t></w:r>
</w:p>
<w:p>
<w:pPr><w:pStyle w:val="Normal"/></w:pPr>
<w:r><w:t xml:space="preserve">ether.  Egg-albumin is the chief constituent of the white</w:t></w:r>
</w:p>
<w:p>
<w:pPr><w:pStyle w:val="Normal"/></w:pPr>
<w:r><w:t xml:space="preserve">of egg; this fluid also contains a globulin and a mucoid.</w:t></w:r>
</w:p>
<w:p>
<w:pPr><w:pStyle w:val="Normal"/></w:pPr>
<w:r><w:t xml:space="preserve">It coagulates at about 56 deg. , and its specific rotation is</w:t></w:r>
</w:p>
<w:p>
<w:pPr><w:pStyle w:val="Normal"/></w:pPr>
<w:r><w:t xml:space="preserve">-30.70 deg. . ``Lact-albumin&apos;&apos; occurs in all kinds of milk.</w:t></w:r>
</w:p>
<w:p>
<w:pPr><w:pStyle w:val="Normal"/></w:pPr>
<w:r><w:t xml:space="preserve">The globulins are insoluble in water and in dilute acids,</w:t></w:r>
</w:p>
<w:p>
<w:pPr><w:pStyle w:val="Normal"/></w:pPr>
<w:r><w:t xml:space="preserve">but soluble in alkalies and in neutral salt solutions; these</w:t></w:r>
</w:p>
<w:p>
<w:pPr><w:pStyle w:val="Normal"/></w:pPr>
<w:r><w:t xml:space="preserve">solutions are coagulated on boiling. ``Serum-globulin,&apos;&apos; also</w:t></w:r>
</w:p>
<w:p>
<w:pPr><w:pStyle w:val="Normal"/></w:pPr>
<w:r><w:t xml:space="preserve">termed globulin or fibrino-plastic globulin, paraglobulin and</w:t></w:r>
</w:p>
<w:p>
<w:pPr><w:pStyle w:val="Normal"/></w:pPr>
<w:r><w:t xml:space="preserve">paraglobin, occurs in blood serum; ``cell-globulins&apos;&apos; occur</w:t></w:r>
</w:p>
<w:p>
<w:pPr><w:pStyle w:val="Normal"/></w:pPr>
<w:r><w:t xml:space="preserve">in many organs--liver, kidneys, pancreas and the thyroid</w:t></w:r>
</w:p>
<w:p>
<w:pPr><w:pStyle w:val="Normal"/></w:pPr>
<w:r><w:t xml:space="preserve">gland, also in muscle-plasma; ``crystalline,&apos;&apos; a globulin</w:t></w:r>
</w:p>
<w:p>
<w:pPr><w:pStyle w:val="Normal"/></w:pPr>
<w:r><w:t xml:space="preserve">occurring in two forms a and b, is found in the lens</w:t></w:r>
</w:p>
<w:p>
<w:pPr><w:pStyle w:val="Normal"/></w:pPr>
<w:r><w:t xml:space="preserve">of the eye; ``egg-globulin&apos;&apos; and ``lacto- globulin&apos;&apos; occur</w:t></w:r>
</w:p>
<w:p>
<w:pPr><w:pStyle w:val="Normal"/></w:pPr>
<w:r><w:t xml:space="preserve">respectively in the white of egg and in milk.  Plant albumins</w:t></w:r>
</w:p>
<w:p>
<w:pPr><w:pStyle w:val="Normal"/></w:pPr>
<w:r><w:t xml:space="preserve">or phyto-albumins have been chiefly investigated in the case</w:t></w:r>
</w:p>
<w:p>
<w:pPr><w:pStyle w:val="Normal"/></w:pPr>
<w:r><w:t xml:space="preserve">of those occurring in seeds; most are globulins, insoluble</w:t></w:r>
</w:p>
<w:p>
<w:pPr><w:pStyle w:val="Normal"/></w:pPr>
<w:r><w:t xml:space="preserve">in pure water, but soluble in salt solutions; ``edestin,&apos;&apos;</w:t></w:r>
</w:p>
<w:p>
<w:pPr><w:pStyle w:val="Normal"/></w:pPr>
<w:r><w:t xml:space="preserve">a globulin of this class, is very widely distributed.  Other</w:t></w:r>
</w:p>
<w:p>
<w:pPr><w:pStyle w:val="Normal"/></w:pPr>
<w:r><w:t xml:space="preserve">varieties or classes of these compounds are: plant caseins,</w:t></w:r>
</w:p>
<w:p>
<w:pPr><w:pStyle w:val="Normal"/></w:pPr>
<w:r><w:t xml:space="preserve">phyto-vitellines, legumins and conglutins.  Fibrinogen</w:t></w:r>
</w:p>
<w:p>
<w:pPr><w:pStyle w:val="Normal"/></w:pPr>
<w:r><w:t xml:space="preserve">occurs in the blood plasma, and is changed by a ferment into</w:t></w:r>
</w:p>
<w:p>
<w:pPr><w:pStyle w:val="Normal"/></w:pPr>
<w:r><w:t xml:space="preserve">fibrin, to which the clotting of blood is due.  Fibrinogen</w:t></w:r>
</w:p>
<w:p>
<w:pPr><w:pStyle w:val="Normal"/></w:pPr>
<w:r><w:t xml:space="preserve">is insoluble in water, but soluble in salt solutions; it</w:t></w:r>
</w:p>
<w:p>
<w:pPr><w:pStyle w:val="Normal"/></w:pPr>
<w:r><w:t xml:space="preserve">has three different coagulation temperatures, 56 deg. , 67 deg. ,</w:t></w:r>
</w:p>
<w:p>
<w:pPr><w:pStyle w:val="Normal"/></w:pPr>
<w:r><w:t xml:space="preserve">75 deg. .  Fibrin, produced from fibrinogen by a ferment, is</w:t></w:r>
</w:p>
<w:p>
<w:pPr><w:pStyle w:val="Normal"/></w:pPr>
<w:r><w:t xml:space="preserve">a jelly-like substance, coagulable by heat, alcohol, &amp;c.</w:t></w:r>
</w:p>
<w:p>
<w:pPr><w:pStyle w:val="Normal"/></w:pPr>
<w:r><w:t xml:space="preserve">The muscle-albumins include ``myosin&apos;&apos; or paramyosinogen, a</w:t></w:r>
</w:p>
<w:p>
<w:pPr><w:pStyle w:val="Normal"/></w:pPr>
<w:r><w:t xml:space="preserve">globulin, which by coagulation induces rigor mortis, and</w:t></w:r>
</w:p>
<w:p>
<w:pPr><w:pStyle w:val="Normal"/></w:pPr>
<w:r><w:t xml:space="preserve">the closely related ``myosinogen&apos;&apos; or myogen; myoglobulin and</w:t></w:r>
</w:p>
<w:p>
<w:pPr><w:pStyle w:val="Normal"/></w:pPr>
<w:r><w:t xml:space="preserve">myoalbumin are also found in muscles.  The nucleo-albumins</w:t></w:r>
</w:p>
<w:p>
<w:pPr><w:pStyle w:val="Normal"/></w:pPr>
<w:r><w:t xml:space="preserve">or phospho-globulins are insoluble in water and acids, but</w:t></w:r>
</w:p>
<w:p>
<w:pPr><w:pStyle w:val="Normal"/></w:pPr>
<w:r><w:t xml:space="preserve">soluble in alkalies, and have an acid reaction. ``Caseinogen&apos;&apos;</w:t></w:r>
</w:p>
<w:p>
<w:pPr><w:pStyle w:val="Normal"/></w:pPr>
<w:r><w:t xml:space="preserve">(after W. D. Halliburton) is the chief albumin of milk;</w:t></w:r>
</w:p>
<w:p>
<w:pPr><w:pStyle w:val="Normal"/></w:pPr>
<w:r><w:t xml:space="preserve">its composition varies with the animal.  It is insoluble in</w:t></w:r>
</w:p>
<w:p>
<w:pPr><w:pStyle w:val="Normal"/></w:pPr>
<w:r><w:t xml:space="preserve">water, while its salts are readily soluble. ``Eucasein&apos;&apos; is</w:t></w:r>
</w:p>
<w:p>
<w:pPr><w:pStyle w:val="Normal"/></w:pPr>
<w:r><w:t xml:space="preserve">the ammonium salt; ``nutrose&apos;&apos; and ``plasmon&apos;&apos; are sodium</w:t></w:r>
</w:p>
<w:p>
<w:pPr><w:pStyle w:val="Normal"/></w:pPr>
<w:r><w:t xml:space="preserve">salts.  By the rennet ferment caseinogen is converted into</w:t></w:r>
</w:p>
<w:p>
<w:pPr><w:pStyle w:val="Normal"/></w:pPr>
<w:r><w:t xml:space="preserve">casein, a substance resembling caseinogen in being soluble</w:t></w:r>
</w:p>
<w:p>
<w:pPr><w:pStyle w:val="Normal"/></w:pPr>
<w:r><w:t xml:space="preserve">in water, but differing in having an insoluble calcium</w:t></w:r>
</w:p>
<w:p>
<w:pPr><w:pStyle w:val="Normal"/></w:pPr>
<w:r><w:t xml:space="preserve">salt.  The formation of casein involves the curdling of</w:t></w:r>
</w:p>
<w:p>
<w:pPr><w:pStyle w:val="Normal"/></w:pPr>
<w:r><w:t xml:space="preserve">milk.  Other phosphoglobulins are vitelline, found in the</w:t></w:r>
</w:p>
<w:p>
<w:pPr><w:pStyle w:val="Normal"/></w:pPr>
<w:r><w:t xml:space="preserve">yolk of hens&apos; eggs, and ichthulin, found in the eggs of</w:t></w:r>
</w:p>
<w:p>
<w:pPr><w:pStyle w:val="Normal"/></w:pPr>
<w:r><w:t xml:space="preserve">fish. Histones are a class of albumins soluble in water</w:t></w:r>
</w:p>
<w:p>
<w:pPr><w:pStyle w:val="Normal"/></w:pPr>
<w:r><w:t xml:space="preserve">and acids, but essentially basic in character; hence they</w:t></w:r>
</w:p>
<w:p>
<w:pPr><w:pStyle w:val="Normal"/></w:pPr>
<w:r><w:t xml:space="preserve">are precipitated by alkalies.  It is remarkable that many</w:t></w:r>
</w:p>
<w:p>
<w:pPr><w:pStyle w:val="Normal"/></w:pPr>
<w:r><w:t xml:space="preserve">histones are soluble in an excess of alkali.  They do not</w:t></w:r>
</w:p>
<w:p>
<w:pPr><w:pStyle w:val="Normal"/></w:pPr>
<w:r><w:t xml:space="preserve">exist in a free state, but in combination with a ``prosthetic</w:t></w:r>
</w:p>
<w:p>
<w:pPr><w:pStyle w:val="Normal"/></w:pPr>
<w:r><w:t xml:space="preserve">group&apos;&apos; (after A. Kossel) they give rise to important cell</w:t></w:r>
</w:p>
<w:p>
<w:pPr><w:pStyle w:val="Normal"/></w:pPr>
<w:r><w:t xml:space="preserve">constituents--haemoglobin, nucleo-proteids, &amp;c. ``Thymus histone&apos;&apos;</w:t></w:r>
</w:p>
<w:p>
<w:pPr><w:pStyle w:val="Normal"/></w:pPr>
<w:r><w:t xml:space="preserve">occurs in the thymus gland; globin occurs in combination as</w:t></w:r>
</w:p>
<w:p>
<w:pPr><w:pStyle w:val="Normal"/></w:pPr>
<w:r><w:t xml:space="preserve">haemoglobin; other histones have been extracted from the red</w:t></w:r>
</w:p>
<w:p>
<w:pPr><w:pStyle w:val="Normal"/></w:pPr>
<w:r><w:t xml:space="preserve">blood corpuscles of the goose and the testes of fishes and</w:t></w:r>
</w:p>
<w:p>
<w:pPr><w:pStyle w:val="Normal"/></w:pPr>
<w:r><w:t xml:space="preserve">other animals.  The protamines are a well-characterized</w:t></w:r>
</w:p>
<w:p>
<w:pPr><w:pStyle w:val="Normal"/></w:pPr>
<w:r><w:t xml:space="preserve">class of albumins found in the ripe spermatozoa of fishes.</w:t></w:r>
</w:p>
<w:p>
<w:pPr><w:pStyle w:val="Normal"/></w:pPr>
<w:r><w:t xml:space="preserve">Albumoses and Peptones.--The primary products of the dissociation</w:t></w:r>
</w:p>
<w:p>
<w:pPr><w:pStyle w:val="Normal"/></w:pPr>
<w:r><w:t xml:space="preserve">of albumins are the albumoses, characterized by not being</w:t></w:r>
</w:p>
<w:p>
<w:pPr><w:pStyle w:val="Normal"/></w:pPr>
<w:r><w:t xml:space="preserve">coagulable by heat, more soluble than the albumins, having a</w:t></w:r>
</w:p>
<w:p>
<w:pPr><w:pStyle w:val="Normal"/></w:pPr>
<w:r><w:t xml:space="preserve">far less complex composition, and capable of being ``salted</w:t></w:r>
</w:p>
<w:p>
<w:pPr><w:pStyle w:val="Normal"/></w:pPr>
<w:r><w:t xml:space="preserve">out&apos;&apos; by certain salts, and the peptones, similar to albumoses</w:t></w:r>
</w:p>
<w:p>
<w:pPr><w:pStyle w:val="Normal"/></w:pPr>
<w:r><w:t xml:space="preserve">but not capable of being ``salted out&apos;&apos;; moreover, peptones</w:t></w:r>
</w:p>
<w:p>
<w:pPr><w:pStyle w:val="Normal"/></w:pPr>
<w:r><w:t xml:space="preserve">are less complex than albumoses.  By further decomposition</w:t></w:r>
</w:p>
<w:p>
<w:pPr><w:pStyle w:val="Normal"/></w:pPr>
<w:r><w:t xml:space="preserve">peptones yield peptides, a certain number of which have been</w:t></w:r>
</w:p>
<w:p>
<w:pPr><w:pStyle w:val="Normal"/></w:pPr>
<w:r><w:t xml:space="preserve">synthesized by Emil Fischer and his collaborators.  Albumoses</w:t></w:r>
</w:p>
<w:p>
<w:pPr><w:pStyle w:val="Normal"/></w:pPr>
<w:r><w:t xml:space="preserve">and peptones are white powders, readily soluble in water, with</w:t></w:r>
</w:p>
<w:p>
<w:pPr><w:pStyle w:val="Normal"/></w:pPr>
<w:r><w:t xml:space="preserve">the exception of the hetero-albumoses--a subdivision of primary</w:t></w:r>
</w:p>
<w:p>
<w:pPr><w:pStyle w:val="Normal"/></w:pPr>
<w:r><w:t xml:space="preserve">albumoses.  They give the biuret and xanthoproteic reactions,</w:t></w:r>
</w:p>
<w:p>
<w:pPr><w:pStyle w:val="Normal"/></w:pPr>
<w:r><w:t xml:space="preserve">and form salts with both acids and bases.  Albumoses and</w:t></w:r>
</w:p>
<w:p>
<w:pPr><w:pStyle w:val="Normal"/></w:pPr>
<w:r><w:t xml:space="preserve">peptones are obtained by peptic digestion, the latter being</w:t></w:r>
</w:p>
<w:p>
<w:pPr><w:pStyle w:val="Normal"/></w:pPr>
<w:r><w:t xml:space="preserve">termed peptic- peptones; tryptic digestion also produces</w:t></w:r>
</w:p>
<w:p>
<w:pPr><w:pStyle w:val="Normal"/></w:pPr>
<w:r><w:t xml:space="preserve">peptones.  Acids and moist heat induce similar changes.</w:t></w:r>
</w:p>
<w:p>
<w:pPr><w:pStyle w:val="Normal"/></w:pPr>
<w:r><w:t xml:space="preserve">Proteids.--These substances are combinations of one or more</w:t></w:r>
</w:p>
<w:p>
<w:pPr><w:pStyle w:val="Normal"/></w:pPr>
<w:r><w:t xml:space="preserve">albumins with a radical of an essentially different nature,</w:t></w:r>
</w:p>
<w:p>
<w:pPr><w:pStyle w:val="Normal"/></w:pPr>
<w:r><w:t xml:space="preserve">termed by Kossel a ``prosthetic group.&apos;&apos; It is convenient</w:t></w:r>
</w:p>
<w:p>
<w:pPr><w:pStyle w:val="Normal"/></w:pPr>
<w:r><w:t xml:space="preserve">to classify proteids by those groups. ``Nucleo-proteids,&apos;&apos;</w:t></w:r>
</w:p>
<w:p>
<w:pPr><w:pStyle w:val="Normal"/></w:pPr>
<w:r><w:t xml:space="preserve">constituents of the cell-nucleus, are combinations of albumins</w:t></w:r>
</w:p>
<w:p>
<w:pPr><w:pStyle w:val="Normal"/></w:pPr>
<w:r><w:t xml:space="preserve">and nucleic acid; they always contain iron.  They are loose,</w:t></w:r>
</w:p>
<w:p>
<w:pPr><w:pStyle w:val="Normal"/></w:pPr>
<w:r><w:t xml:space="preserve">white, non-hygroscopic powders, soluble in water and salt</w:t></w:r>
</w:p>
<w:p>
<w:pPr><w:pStyle w:val="Normal"/></w:pPr>
<w:r><w:t xml:space="preserve">solutions, and have an acid reaction; they give the colour</w:t></w:r>
</w:p>
<w:p>
<w:pPr><w:pStyle w:val="Normal"/></w:pPr>
<w:r><w:t xml:space="preserve">reactions of albumins.  Nucleic acid is at present of unknown</w:t></w:r>
</w:p>
<w:p>
<w:pPr><w:pStyle w:val="Normal"/></w:pPr>
<w:r><w:t xml:space="preserve">constitution; decomposition products are: phosphoric acid, uracil</w:t></w:r>
</w:p>
<w:p>
<w:pPr><w:pStyle w:val="Normal"/></w:pPr>
<w:r><w:t xml:space="preserve">or 2.6-dioxy-pyrimidin,1 cytosin or 2-oxy-6-amino-pyrimidin,</w:t></w:r>
</w:p>
<w:p>
<w:pPr><w:pStyle w:val="Normal"/></w:pPr>
<w:r><w:t xml:space="preserve">thymin (nucleosin) or 2.6-dioxy-5-methyl pyrimidin hypoxanthin1</w:t></w:r>
</w:p>
<w:p>
<w:pPr><w:pStyle w:val="Normal"/></w:pPr>
<w:r><w:t xml:space="preserve">or 6-oxypurin, xanthin or 2.6-dioxypurin, adenine or 6</w:t></w:r>
</w:p>
<w:p>
<w:pPr><w:pStyle w:val="Normal"/></w:pPr>
<w:r><w:t xml:space="preserve">amino-purin, guanine or 2-amino-6-oxypurin, pentoses</w:t></w:r>
</w:p>
<w:p>
<w:pPr><w:pStyle w:val="Normal"/></w:pPr>
<w:r><w:t xml:space="preserve">(l-xylose), laevulinic acid, ammonia, etc.  The nucleic acids</w:t></w:r>
</w:p>
<w:p>
<w:pPr><w:pStyle w:val="Normal"/></w:pPr>
<w:r><w:t xml:space="preserve">vary with the source of the proteids, there being considerable</w:t></w:r>
</w:p>
<w:p>
<w:pPr><w:pStyle w:val="Normal"/></w:pPr>
<w:r><w:t xml:space="preserve">differences in chemical composition.  In general they are</w:t></w:r>
</w:p>
<w:p>
<w:pPr><w:pStyle w:val="Normal"/></w:pPr>
<w:r><w:t xml:space="preserve">white, loose powders, slightly soluble in cold water, more</w:t></w:r>
</w:p>
<w:p>
<w:pPr><w:pStyle w:val="Normal"/></w:pPr>
<w:r><w:t xml:space="preserve">soluble in hot water; they are precipitated by mineral acids,</w:t></w:r>
</w:p>
<w:p>
<w:pPr><w:pStyle w:val="Normal"/></w:pPr>
<w:r><w:t xml:space="preserve">but dissolve in an excess.  They are dextrorotatory, and</w:t></w:r>
</w:p>
<w:p>
<w:pPr><w:pStyle w:val="Normal"/></w:pPr>
<w:r><w:t xml:space="preserve">the specific rotation is numerically greater than that of</w:t></w:r>
</w:p>
<w:p>
<w:pPr><w:pStyle w:val="Normal"/></w:pPr>
<w:r><w:t xml:space="preserve">albumin; hence the proteids are, in general, dextrorotatory.</w:t></w:r>
</w:p>
<w:p>
<w:pPr><w:pStyle w:val="Normal"/></w:pPr>
<w:r><w:t xml:space="preserve">An important nucleo-proteid is haemoglobulin or haemoglobin,</w:t></w:r>
</w:p>
<w:p>
<w:pPr><w:pStyle w:val="Normal"/></w:pPr>
<w:r><w:t xml:space="preserve">the colouring matter of the red blood corpuscles of vertebrates;</w:t></w:r>
</w:p>
<w:p>
<w:pPr><w:pStyle w:val="Normal"/></w:pPr>
<w:r><w:t xml:space="preserve">a related substance, haemocyanin, in which the iron of</w:t></w:r>
</w:p>
<w:p>
<w:pPr><w:pStyle w:val="Normal"/></w:pPr>
<w:r><w:t xml:space="preserve">haemoglobin is replaced by copper, occurs in the blood of</w:t></w:r>
</w:p>
<w:p>
<w:pPr><w:pStyle w:val="Normal"/></w:pPr>
<w:r><w:t xml:space="preserve">cephalopods and crayfish.  Haemoglobin is composed of a</w:t></w:r>
</w:p>
<w:p>
<w:pPr><w:pStyle w:val="Normal"/></w:pPr>
<w:r><w:t xml:space="preserve">basic albumin and an acid substance haematin; it combines</w:t></w:r>
</w:p>
<w:p>
<w:pPr><w:pStyle w:val="Normal"/></w:pPr>
<w:r><w:t xml:space="preserve">readily with oxygen, carbon dioxide and carbon monoxide to</w:t></w:r>
</w:p>
<w:p>
<w:pPr><w:pStyle w:val="Normal"/></w:pPr>
<w:r><w:t xml:space="preserve">form loose compounds (see NUTRITION.) It coagulates at</w:t></w:r>
</w:p>
<w:p>
<w:pPr><w:pStyle w:val="Normal"/></w:pPr>
<w:r><w:t xml:space="preserve">64 deg. .  By a dilute acid haemoglobin is decomposed into</w:t></w:r>
</w:p>
<w:p>
<w:pPr><w:pStyle w:val="Normal"/></w:pPr>
<w:r><w:t xml:space="preserve">globin, and ``haematin,&apos;&apos; a ferri-pyrrol derivative of the</w:t></w:r>
</w:p>
<w:p>
<w:pPr><w:pStyle w:val="Normal"/></w:pPr>
<w:r><w:t xml:space="preserve">probable formula C34H34N4FeO5; under certain conditions</w:t></w:r>
</w:p>
<w:p>
<w:pPr><w:pStyle w:val="Normal"/></w:pPr>
<w:r><w:t xml:space="preserve">the iron-free ``haematoporphyrin&apos;&apos; is obtained.  This last</w:t></w:r>
</w:p>
<w:p>
<w:pPr><w:pStyle w:val="Normal"/></w:pPr>
<w:r><w:t xml:space="preserve">substance may be reduced to mesoporphyrin, C34H38O4N4,</w:t></w:r>
</w:p>
<w:p>
<w:pPr><w:pStyle w:val="Normal"/></w:pPr>
<w:r><w:t xml:space="preserve">which by further reduction gives haemo-pyrrol, C8H13N,</w:t></w:r>
</w:p>
<w:p>
<w:pPr><w:pStyle w:val="Normal"/></w:pPr>
<w:r><w:t xml:space="preserve">possibly methyl-propyl-pyrrol or butyl-pyrrol.  Other</w:t></w:r>
</w:p>
<w:p>
<w:pPr><w:pStyle w:val="Normal"/></w:pPr>
<w:r><w:t xml:space="preserve">derivatives are haemin, haemochromogen and the haematinic acids.</w:t></w:r>
</w:p>
<w:p>
<w:pPr><w:pStyle w:val="Normal"/></w:pPr>
<w:r><w:t xml:space="preserve">``Glyco-proteids&apos;&apos; differ from nucleo-proteids in containing</w:t></w:r>
</w:p>
<w:p>
<w:pPr><w:pStyle w:val="Normal"/></w:pPr>
<w:r><w:t xml:space="preserve">a carbohydrate radical, which is liberated only by boiling</w:t></w:r>
</w:p>
<w:p>
<w:pPr><w:pStyle w:val="Normal"/></w:pPr>
<w:r><w:t xml:space="preserve">with mineral acids or alkalies.  The mucins and mucoids belong</w:t></w:r>
</w:p>
<w:p>
<w:pPr><w:pStyle w:val="Normal"/></w:pPr>
<w:r><w:t xml:space="preserve">to this group; they are acid and contain no phosphorus; they</w:t></w:r>
</w:p>
<w:p>
<w:pPr><w:pStyle w:val="Normal"/></w:pPr>
<w:r><w:t xml:space="preserve">give the albumin colour reactions but are not coagulated by</w:t></w:r>
</w:p>
<w:p>
<w:pPr><w:pStyle w:val="Normal"/></w:pPr>
<w:r><w:t xml:space="preserve">heat.  Mucins occur in most of the slimy fluids of the body; they</w:t></w:r>
</w:p>
<w:p>
<w:pPr><w:pStyle w:val="Normal"/></w:pPr>
<w:r><w:t xml:space="preserve">vary in composition with their source.  Mucoids resemble mucins</w:t></w:r>
</w:p>
<w:p>
<w:pPr><w:pStyle w:val="Normal"/></w:pPr>
<w:r><w:t xml:space="preserve">in their composition and reactions, but differ, in general, in</w:t></w:r>
</w:p>
<w:p>
<w:pPr><w:pStyle w:val="Normal"/></w:pPr>
<w:r><w:t xml:space="preserve">their physical properties.  They occur in tendons, bones and</w:t></w:r>
</w:p>
<w:p>
<w:pPr><w:pStyle w:val="Normal"/></w:pPr>
<w:r><w:t xml:space="preserve">cartilage.  The ``phospho-glyco-proteids&apos;&apos; resemble the mucins</w:t></w:r>
</w:p>
<w:p>
<w:pPr><w:pStyle w:val="Normal"/></w:pPr>
<w:r><w:t xml:space="preserve">and mucoids in containing a carbohydrate residue, but differ</w:t></w:r>
</w:p>
<w:p>
<w:pPr><w:pStyle w:val="Normal"/></w:pPr>
<w:r><w:t xml:space="preserve">in containing phosphorus.  Ichthulin (see above) maybe placed</w:t></w:r>
</w:p>
<w:p>
<w:pPr><w:pStyle w:val="Normal"/></w:pPr>
<w:r><w:t xml:space="preserve">in this group; ``helico-proteid,&apos;&apos; found in the serous gland</w:t></w:r>
</w:p>
<w:p>
<w:pPr><w:pStyle w:val="Normal"/></w:pPr>
<w:r><w:t xml:space="preserve">of Helix pomatia, the vineyard snail, also belongs here.</w:t></w:r>
</w:p>
<w:p>
<w:pPr><w:pStyle w:val="Normal"/></w:pPr>
<w:r><w:t xml:space="preserve">Albuminoids is the anatomical name given to albuminous</w:t></w:r>
</w:p>
<w:p>
<w:pPr><w:pStyle w:val="Normal"/></w:pPr>
<w:r><w:t xml:space="preserve">substances forming the connective tissues.  Chemically they</w:t></w:r>
</w:p>
<w:p>
<w:pPr><w:pStyle w:val="Normal"/></w:pPr>
<w:r><w:t xml:space="preserve">resemble the albumins, being split up by acids or ferments</w:t></w:r>
</w:p>
<w:p>
<w:pPr><w:pStyle w:val="Normal"/></w:pPr>
<w:r><w:t xml:space="preserve">into albumoses, peptones and amino-acids, forming salts, and</w:t></w:r>
</w:p>
<w:p>
<w:pPr><w:pStyle w:val="Normal"/></w:pPr>
<w:r><w:t xml:space="preserve">giving the same colour reactions.  They are quite insoluble</w:t></w:r>
</w:p>
<w:p>
<w:pPr><w:pStyle w:val="Normal"/></w:pPr>
<w:r><w:t xml:space="preserve">in water and in salt solutions, and difficultly soluble</w:t></w:r>
</w:p>
<w:p>
<w:pPr><w:pStyle w:val="Normal"/></w:pPr>
<w:r><w:t xml:space="preserve">in dilute acids and alkalies.  Typical albuminoids are</w:t></w:r>
</w:p>
<w:p>
<w:pPr><w:pStyle w:val="Normal"/></w:pPr>
<w:r><w:t xml:space="preserve">gelatin, keratin, elastin, fibroin, spongin and conchiolin.</w:t></w:r>
</w:p>
<w:p>
<w:pPr><w:pStyle w:val="Normal"/></w:pPr>
<w:r><w:t xml:space="preserve">``Collagen&apos;&apos; (Gr. kolla, glue, and root gen- of gennaein,</w:t></w:r>
</w:p>
<w:p>
<w:pPr><w:pStyle w:val="Normal"/></w:pPr>
<w:r><w:t xml:space="preserve">to produce, gignesthai, to become), the ground-substance</w:t></w:r>
</w:p>
<w:p>
<w:pPr><w:pStyle w:val="Normal"/></w:pPr>
<w:r><w:t xml:space="preserve">of bones and tissues, is decomposed by boiling water or on</w:t></w:r>
</w:p>
<w:p>
<w:pPr><w:pStyle w:val="Normal"/></w:pPr>
<w:r><w:t xml:space="preserve">warming with acids into substances named gelatin, glutin or</w:t></w:r>
</w:p>
<w:p>
<w:pPr><w:pStyle w:val="Normal"/></w:pPr>
<w:r><w:t xml:space="preserve">glue.  Gelatin forms a white amorphous powder; the commercial</w:t></w:r>
</w:p>
<w:p>
<w:pPr><w:pStyle w:val="Normal"/></w:pPr>
<w:r><w:t xml:space="preserve">product, however, generally forms glassy plates.  The</w:t></w:r>
</w:p>
<w:p>
<w:pPr><w:pStyle w:val="Normal"/></w:pPr>
<w:r><w:t xml:space="preserve">decomposition products are generally the same as with the</w:t></w:r>
</w:p>
<w:p>
<w:pPr><w:pStyle w:val="Normal"/></w:pPr>
<w:r><w:t xml:space="preserve">general albumin; it gives the biuret reaction; forms salts</w:t></w:r>
</w:p>
<w:p>
<w:pPr><w:pStyle w:val="Normal"/></w:pPr>
<w:r><w:t xml:space="preserve">with acids and alkalies, but is essentially acid in nature.</w:t></w:r>
</w:p>
<w:p>
<w:pPr><w:pStyle w:val="Normal"/></w:pPr>
<w:r><w:t xml:space="preserve">Immersed in cold water gelatin does not dissolve but swells</w:t></w:r>
</w:p>
<w:p>
<w:pPr><w:pStyle w:val="Normal"/></w:pPr>
<w:r><w:t xml:space="preserve">up; it dissolves readily in hot water, forming, according to</w:t></w:r>
</w:p>
<w:p>
<w:pPr><w:pStyle w:val="Normal"/></w:pPr>
<w:r><w:t xml:space="preserve">the quantity present, a thick jelly which solidifies to a hard</w:t></w:r>
</w:p>
<w:p>
<w:pPr><w:pStyle w:val="Normal"/></w:pPr>
<w:r><w:t xml:space="preserve">mass on cooling (the ``glue&apos;&apos; of the wood- worker), or a thin</w:t></w:r>
</w:p>
<w:p>
<w:pPr><w:pStyle w:val="Normal"/></w:pPr>
<w:r><w:t xml:space="preserve">jelly (used in cookery).  Gelatin occurs also in the cornea</w:t></w:r>
</w:p>
<w:p>
<w:pPr><w:pStyle w:val="Normal"/></w:pPr>
<w:r><w:t xml:space="preserve">and the sclerotic coat of the eye; and in fish scales, the</w:t></w:r>
</w:p>
<w:p>
<w:pPr><w:pStyle w:val="Normal"/></w:pPr>
<w:r><w:t xml:space="preserve">latter containing 80% of collagen, and 20% of ichthylepidin,</w:t></w:r>
</w:p>
<w:p>
<w:pPr><w:pStyle w:val="Normal"/></w:pPr>
<w:r><w:t xml:space="preserve">a substance differing from gelatin in giving a well-marked</w:t></w:r>
</w:p>
<w:p>
<w:pPr><w:pStyle w:val="Normal"/></w:pPr>
<w:r><w:t xml:space="preserve">Millon&apos;s reaction.  Keratin (Gr. keras, a horn), the chief</w:t></w:r>
</w:p>
<w:p>
<w:pPr><w:pStyle w:val="Normal"/></w:pPr>
<w:r><w:t xml:space="preserve">constituent of horny material, occurs in hair, nails, hoofs and</w:t></w:r>
</w:p>
<w:p>
<w:pPr><w:pStyle w:val="Normal"/></w:pPr>
<w:r><w:t xml:space="preserve">feathers.  It is quite insoluble in water, dilute acids and</w:t></w:r>
</w:p>
<w:p>
<w:pPr><w:pStyle w:val="Normal"/></w:pPr>
<w:r><w:t xml:space="preserve">alkalies.  Related to this substance are ``neuro-keratin,&apos;&apos;</w:t></w:r>
</w:p>
<w:p>
<w:pPr><w:pStyle w:val="Normal"/></w:pPr>
<w:r><w:t xml:space="preserve">found in the medullary sheath of nerves, and ``gorgonin,&apos;&apos;</w:t></w:r>
</w:p>
<w:p>
<w:pPr><w:pStyle w:val="Normal"/></w:pPr>
<w:r><w:t xml:space="preserve">the matrix of the axial skeleton of the coral Gorgonia</w:t></w:r>
</w:p>
<w:p>
<w:pPr><w:pStyle w:val="Normal"/></w:pPr>
<w:r><w:t xml:space="preserve">Cavolinii. Elastin occurs either as thick strands or as</w:t></w:r>
</w:p>
<w:p>
<w:pPr><w:pStyle w:val="Normal"/></w:pPr>
<w:r><w:t xml:space="preserve">membranes; it constitutes the ``elastic tissue&apos;&apos; of the</w:t></w:r>
</w:p>
<w:p>
<w:pPr><w:pStyle w:val="Normal"/></w:pPr>
<w:r><w:t xml:space="preserve">anatomist.  Its insolubility is much the same as keratin.</w:t></w:r>
</w:p>
<w:p>
<w:pPr><w:pStyle w:val="Normal"/></w:pPr>
<w:r><w:t xml:space="preserve">``Fibroin&apos;&apos; and silk-glue or sericin occur in natural silk</w:t></w:r>
</w:p>
<w:p>
<w:pPr><w:pStyle w:val="Normal"/></w:pPr>
<w:r><w:t xml:space="preserve">fibres.  Fibroin is insoluble in water, acids and alkanes;</w:t></w:r>
</w:p>
<w:p>
<w:pPr><w:pStyle w:val="Normal"/></w:pPr>
<w:r><w:t xml:space="preserve">silk-glue resembles gelatin in its solubility, but it is less</w:t></w:r>
</w:p>
<w:p>
<w:pPr><w:pStyle w:val="Normal"/></w:pPr>
<w:r><w:t xml:space="preserve">readily gelatinized. ``Spongin,&apos;&apos; the matrix of bath-sponge, is</w:t></w:r>
</w:p>
<w:p>
<w:pPr><w:pStyle w:val="Normal"/></w:pPr>
<w:r><w:t xml:space="preserve">insoluble in water and dilute acids, but soluble in concentrated</w:t></w:r>
</w:p>
<w:p>
<w:pPr><w:pStyle w:val="Normal"/></w:pPr>
<w:r><w:t xml:space="preserve">mineral acids. ``Conchiolin,&apos;&apos; the matrix of shells of the</w:t></w:r>
</w:p>
<w:p>
<w:pPr><w:pStyle w:val="Normal"/></w:pPr>
<w:r><w:t xml:space="preserve">mollusca, is only slightly soluble in acids. ``Cornein&apos;&apos; forms</w:t></w:r>
</w:p>
<w:p>
<w:pPr><w:pStyle w:val="Normal"/></w:pPr>
<w:r><w:t xml:space="preserve">the framework of corals. ``Amyloid&apos;&apos; occurs as a pathological</w:t></w:r>
</w:p>
<w:p>
<w:pPr><w:pStyle w:val="Normal"/></w:pPr>
<w:r><w:t xml:space="preserve">product, and also in the healthy aorta and in old cartilage.</w:t></w:r>
</w:p>
<w:p>
<w:pPr><w:pStyle w:val="Normal"/></w:pPr>
<w:r><w:t xml:space="preserve">It is an albumin, and not a carbohydrate as was formerly held;</w:t></w:r>
</w:p>
<w:p>
<w:pPr><w:pStyle w:val="Normal"/></w:pPr>
<w:r><w:t xml:space="preserve">and gives most of the colour reactions of albumins.  It forms</w:t></w:r>
</w:p>
<w:p>
<w:pPr><w:pStyle w:val="Normal"/></w:pPr>
<w:r><w:t xml:space="preserve">shiny, homogeneous masses, quite insoluble in cold water and</w:t></w:r>
</w:p>
<w:p>
<w:pPr><w:pStyle w:val="Normal"/></w:pPr>
<w:r><w:t xml:space="preserve">in salt solutions, but soluble in alkalies.  The albumoids</w:t></w:r>
</w:p>
<w:p>
<w:pPr><w:pStyle w:val="Normal"/></w:pPr>
<w:r><w:t xml:space="preserve">include, according to Cohnheim, substances which possess</w:t></w:r>
</w:p>
<w:p>
<w:pPr><w:pStyle w:val="Normal"/></w:pPr>
<w:r><w:t xml:space="preserve">certain properties in common, but differ from the preceding</w:t></w:r>
</w:p>
<w:p>
<w:pPr><w:pStyle w:val="Normal"/></w:pPr>
<w:r><w:t xml:space="preserve">groups.  In general they resemble coagulated albumin, and also the</w:t></w:r>
</w:p>
<w:p>
<w:pPr><w:pStyle w:val="Normal"/></w:pPr>
<w:r><w:t xml:space="preserve">gelatin-yielding tissues, but they themselves do not yield gelatin.</w:t></w:r>
</w:p>
<w:p>
<w:pPr><w:pStyle w:val="Normal"/></w:pPr>
<w:r><w:t xml:space="preserve">Colouring matters derived from albumins include the</w:t></w:r>
</w:p>
<w:p>
<w:pPr><w:pStyle w:val="Normal"/></w:pPr>
<w:r><w:t xml:space="preserve">``melanins&apos;&apos; (Gr. melas, black), substances which differ</w:t></w:r>
</w:p>
<w:p>
<w:pPr><w:pStyle w:val="Normal"/></w:pPr>
<w:r><w:t xml:space="preserve">very considerably in composition, the sulphur and iron</w:t></w:r>
</w:p>
<w:p>
<w:pPr><w:pStyle w:val="Normal"/></w:pPr>
<w:r><w:t xml:space="preserve">content being by no means constant; they do not give the</w:t></w:r>
</w:p>
<w:p>
<w:pPr><w:pStyle w:val="Normal"/></w:pPr>
<w:r><w:t xml:space="preserve">reactions of albumins.  The black colouring matter of hair,</w:t></w:r>
</w:p>
<w:p>
<w:pPr><w:pStyle w:val="Normal"/></w:pPr>
<w:r><w:t xml:space="preserve">the skin of negroes, and of the ink bag of Sepia have been</w:t></w:r>
</w:p>
<w:p>
<w:pPr><w:pStyle w:val="Normal"/></w:pPr>
<w:r><w:t xml:space="preserve">examined.  Melanins obtained from tumours form black,</w:t></w:r>
</w:p>
<w:p>
<w:pPr><w:pStyle w:val="Normal"/></w:pPr>
<w:r><w:t xml:space="preserve">shiny masses; they are insoluble in water, neutral salt</w:t></w:r>
</w:p>
<w:p>
<w:pPr><w:pStyle w:val="Normal"/></w:pPr>
<w:r><w:t xml:space="preserve">solutions, dilute acids and in the common organic solvents.</w:t></w:r>
</w:p>
<w:p>
<w:pPr><w:pStyle w:val="Normal"/></w:pPr>
<w:r><w:t xml:space="preserve">1   6</w:t></w:r>
</w:p>
<w:p>
<w:pPr><w:pStyle w:val="Normal"/></w:pPr>
<w:r><w:t xml:space="preserve">/N = C\</w:t></w:r>
</w:p>
<w:p>
<w:pPr><w:pStyle w:val="Normal"/></w:pPr>
<w:r><w:t xml:space="preserve">1 The pyrimidin ring is numbered 2C       C5   For the purin</w:t></w:r>
</w:p>
<w:p>
<w:pPr><w:pStyle w:val="Normal"/></w:pPr>
<w:r><w:t xml:space="preserve">ring, see PURIN.                \\N - C//</w:t></w:r>
</w:p>
<w:p>
<w:pPr><w:pStyle w:val="Normal"/></w:pPr>
<w:r><w:t xml:space="preserve">3   4</w:t></w:r>
</w:p>
<w:p>
<w:pPr><w:pStyle w:val="Normal"/></w:pPr>
<w:r><w:t xml:space="preserve">ALBUMINURIA (Physiological or Functional), a term indicating</w:t></w:r>
</w:p>
<w:p>
<w:pPr><w:pStyle w:val="Normal"/></w:pPr>
<w:r><w:t xml:space="preserve">the presence of albumin in the urine.  This may depend on</w:t></w:r>
</w:p>
<w:p>
<w:pPr><w:pStyle w:val="Normal"/></w:pPr>
<w:r><w:t xml:space="preserve">a number of morbid conditions, of which kidney troubles,</w:t></w:r>
</w:p>
<w:p>
<w:pPr><w:pStyle w:val="Normal"/></w:pPr>
<w:r><w:t xml:space="preserve">acute illnesses and venous congestion are some of the</w:t></w:r>
</w:p>
<w:p>
<w:pPr><w:pStyle w:val="Normal"/></w:pPr>
<w:r><w:t xml:space="preserve">commoner.  But after exclusion of all known pathological</w:t></w:r>
</w:p>
<w:p>
<w:pPr><w:pStyle w:val="Normal"/></w:pPr>
<w:r><w:t xml:space="preserve">causes, there still remains a large class of cases among</w:t></w:r>
</w:p>
<w:p>
<w:pPr><w:pStyle w:val="Normal"/></w:pPr>
<w:r><w:t xml:space="preserve">subjects who appear to be in perfect health.  This form</w:t></w:r>
</w:p>
<w:p>
<w:pPr><w:pStyle w:val="Normal"/></w:pPr>
<w:r><w:t xml:space="preserve">has been called functional or physiological albuminuria,</w:t></w:r>
</w:p>
<w:p>
<w:pPr><w:pStyle w:val="Normal"/></w:pPr>
<w:r><w:t xml:space="preserve">intermittent albuminuria, &amp;c. Its recognition is of extreme</w:t></w:r>
</w:p>
<w:p>
<w:pPr><w:pStyle w:val="Normal"/></w:pPr>
<w:r><w:t xml:space="preserve">importance, as it must be distinguished from the albuminuria</w:t></w:r>
</w:p>
<w:p>
<w:pPr><w:pStyle w:val="Normal"/></w:pPr>
<w:r><w:t xml:space="preserve">due to Bright&apos;s disease and other troubles.  The following</w:t></w:r>
</w:p>
<w:p>
<w:pPr><w:pStyle w:val="Normal"/></w:pPr>
<w:r><w:t xml:space="preserve">are the main forms that have been described:--(1) Dietetic</w:t></w:r>
</w:p>
<w:p>
<w:pPr><w:pStyle w:val="Normal"/></w:pPr>
<w:r><w:t xml:space="preserve">Albuminuria.  This form affects some people after partaking</w:t></w:r>
</w:p>
<w:p>
<w:pPr><w:pStyle w:val="Normal"/></w:pPr>
<w:r><w:t xml:space="preserve">of a meal consisting largely of albuminous foods, such as</w:t></w:r>
</w:p>
<w:p>
<w:pPr><w:pStyle w:val="Normal"/></w:pPr>
<w:r><w:t xml:space="preserve">eggs.  In others any extra indulgence in the pleasures of the</w:t></w:r>
</w:p>
<w:p>
<w:pPr><w:pStyle w:val="Normal"/></w:pPr>
<w:r><w:t xml:space="preserve">table may give rise to it. (2) Cyclic Albuminuria.  This name</w:t></w:r>
</w:p>
<w:p>
<w:pPr><w:pStyle w:val="Normal"/></w:pPr>
<w:r><w:t xml:space="preserve">was first used by the physiologist Pavy, but other observers</w:t></w:r>
</w:p>
<w:p>
<w:pPr><w:pStyle w:val="Normal"/></w:pPr>
<w:r><w:t xml:space="preserve">have called the same condition ``postural albuminuria.&apos;&apos; It</w:t></w:r>
</w:p>
<w:p>
<w:pPr><w:pStyle w:val="Normal"/></w:pPr>
<w:r><w:t xml:space="preserve">occurs in people enjoying perfect health, and is characterized</w:t></w:r>
</w:p>
<w:p>
<w:pPr><w:pStyle w:val="Normal"/></w:pPr>
<w:r><w:t xml:space="preserve">by the presence of albumin in the urine at certain times of the</w:t></w:r>
</w:p>
<w:p>
<w:pPr><w:pStyle w:val="Normal"/></w:pPr>
<w:r><w:t xml:space="preserve">day.  It has been shown to depend entirely on the assumption</w:t></w:r>
</w:p>
<w:p>
<w:pPr><w:pStyle w:val="Normal"/></w:pPr>
<w:r><w:t xml:space="preserve">of the erect position, and it disappears as a result of</w:t></w:r>
</w:p>
<w:p>
<w:pPr><w:pStyle w:val="Normal"/></w:pPr>
<w:r><w:t xml:space="preserve">the recumbent position at night. (3) Albuminuria from</w:t></w:r>
</w:p>
<w:p>
<w:pPr><w:pStyle w:val="Normal"/></w:pPr>
<w:r><w:t xml:space="preserve">exercise.  This form affects some people after any unusual</w:t></w:r>
</w:p>
<w:p>
<w:pPr><w:pStyle w:val="Normal"/></w:pPr>
<w:r><w:t xml:space="preserve">muscular exertion. (4) Prolonged mental strain or worry may</w:t></w:r>
</w:p>
<w:p>
<w:pPr><w:pStyle w:val="Normal"/></w:pPr>
<w:r><w:t xml:space="preserve">give rise to a transient form of albuminuria. (5) Adolescent</w:t></w:r>
</w:p>
<w:p>
<w:pPr><w:pStyle w:val="Normal"/></w:pPr>
<w:r><w:t xml:space="preserve">albuminuria is met with in some subjects, especially boys.</w:t></w:r>
</w:p>
<w:p>
<w:pPr><w:pStyle w:val="Normal"/></w:pPr>
<w:r><w:t xml:space="preserve">The question of the real significance of ``physiological&apos;&apos;</w:t></w:r>
</w:p>
<w:p>
<w:pPr><w:pStyle w:val="Normal"/></w:pPr>
<w:r><w:t xml:space="preserve">albuminuria is one about which there is much difference of</w:t></w:r>
</w:p>
<w:p>
<w:pPr><w:pStyle w:val="Normal"/></w:pPr>
<w:r><w:t xml:space="preserve">opinion.  But its importance and recognition--especially</w:t></w:r>
</w:p>
<w:p>
<w:pPr><w:pStyle w:val="Normal"/></w:pPr>
<w:r><w:t xml:space="preserve">in questions of life insurance--admits of no question.</w:t></w:r>
</w:p>
<w:p>
<w:pPr><w:pStyle w:val="Normal"/></w:pPr>
<w:r><w:t xml:space="preserve">ALBUQUERQUE, ALPHONSO D, (in Old Port. AFFONSO</w:t></w:r>
</w:p>
<w:p>
<w:pPr><w:pStyle w:val="Normal"/></w:pPr>
<w:r><w:t xml:space="preserve">D&apos;ALBOQUERQUE) (1453-1515), surnamed THE GREAT, and</w:t></w:r>
</w:p>
<w:p>
<w:pPr><w:pStyle w:val="Normal"/></w:pPr>
<w:r><w:t xml:space="preserve">THE PORTUGUESE MARS, was born in 1453 at Alexandria, near</w:t></w:r>
</w:p>
<w:p>
<w:pPr><w:pStyle w:val="Normal"/></w:pPr>
<w:r><w:t xml:space="preserve">Lisbon.  Through his father, Gonzalvo, who held an important</w:t></w:r>
</w:p>
<w:p>
<w:pPr><w:pStyle w:val="Normal"/></w:pPr>
<w:r><w:t xml:space="preserve">position at court, he was connected by illegitimate descent</w:t></w:r>
</w:p>
<w:p>
<w:pPr><w:pStyle w:val="Normal"/></w:pPr>
<w:r><w:t xml:space="preserve">with the royal family of Portugal.  He was educated at the</w:t></w:r>
</w:p>
<w:p>
<w:pPr><w:pStyle w:val="Normal"/></w:pPr>
<w:r><w:t xml:space="preserve">court of Alphonso V., and after the death of that monarch</w:t></w:r>
</w:p>
<w:p>
<w:pPr><w:pStyle w:val="Normal"/></w:pPr>
<w:r><w:t xml:space="preserve">seems to have served for some time in Africa.  On his return</w:t></w:r>
</w:p>
<w:p>
<w:pPr><w:pStyle w:val="Normal"/></w:pPr>
<w:r><w:t xml:space="preserve">he was appointed estribeiro-mor (chief equerry) to John</w:t></w:r>
</w:p>
<w:p>
<w:pPr><w:pStyle w:val="Heading1"/></w:pPr>
<w:r><w:t>II. In 1503 he set out on his first expedition to the East,</w:t></w:r>
</w:p>
<w:p>
<w:pPr><w:pStyle w:val="Normal"/></w:pPr>
<w:r><w:t xml:space="preserve">which was to be the scene of his future triumphs.  In company</w:t></w:r>
</w:p>
<w:p>
<w:pPr><w:pStyle w:val="Normal"/></w:pPr>
<w:r><w:t xml:space="preserve">with his kinsman Francisco he sailed round the Cape of Good</w:t></w:r>
</w:p>
<w:p>
<w:pPr><w:pStyle w:val="Normal"/></w:pPr>
<w:r><w:t xml:space="preserve">Hope to India, and succeeded in establishing the king of</w:t></w:r>
</w:p>
<w:p>
<w:pPr><w:pStyle w:val="Normal"/></w:pPr>
<w:r><w:t xml:space="preserve">Cochin securely on his throne, obtaining in return for this</w:t></w:r>
</w:p>
<w:p>
<w:pPr><w:pStyle w:val="Normal"/></w:pPr>
<w:r><w:t xml:space="preserve">service permission to build a Portuguese fort at Cochin, and</w:t></w:r>
</w:p>
<w:p>
<w:pPr><w:pStyle w:val="Normal"/></w:pPr>
<w:r><w:t xml:space="preserve">thus laying the foundation of his country&apos;s empire in the</w:t></w:r>
</w:p>
<w:p>
<w:pPr><w:pStyle w:val="Normal"/></w:pPr>
<w:r><w:t xml:space="preserve">East.  He returned home in July 1504, and was well received</w:t></w:r>
</w:p>
<w:p>
<w:pPr><w:pStyle w:val="Normal"/></w:pPr>
<w:r><w:t xml:space="preserve">by King Emmanuel, who entrusted him with the command of a</w:t></w:r>
</w:p>
<w:p>
<w:pPr><w:pStyle w:val="Normal"/></w:pPr>
<w:r><w:t xml:space="preserve">squadron of five vessels in the fleet of sixteen which sailed</w:t></w:r>
</w:p>
<w:p>
<w:pPr><w:pStyle w:val="Normal"/></w:pPr>
<w:r><w:t xml:space="preserve">for India in 1506 under Tristan da Cunha.  After a series of</w:t></w:r>
</w:p>
<w:p>
<w:pPr><w:pStyle w:val="Normal"/></w:pPr>
<w:r><w:t xml:space="preserve">successful attacks on the Arab cities on the east coast of</w:t></w:r>
</w:p>
<w:p>
<w:pPr><w:pStyle w:val="Normal"/></w:pPr>
<w:r><w:t xml:space="preserve">Africa, Albuquerque separated from Da Cunha, and sailed with</w:t></w:r>
</w:p>
<w:p>
<w:pPr><w:pStyle w:val="Normal"/></w:pPr>
<w:r><w:t xml:space="preserve">his squadron against the island of Ormuz, in the Persian Gulf,</w:t></w:r>
</w:p>
<w:p>
<w:pPr><w:pStyle w:val="Normal"/></w:pPr>
<w:r><w:t xml:space="preserve">which was then one of the chief centres of commerce in the</w:t></w:r>
</w:p>
<w:p>
<w:pPr><w:pStyle w:val="Normal"/></w:pPr>
<w:r><w:t xml:space="preserve">East.  He arrived on the 25th of September 1507, and soon</w:t></w:r>
</w:p>
<w:p>
<w:pPr><w:pStyle w:val="Normal"/></w:pPr>
<w:r><w:t xml:space="preserve">obtained possession of the island, though he was unable long</w:t></w:r>
</w:p>
<w:p>
<w:pPr><w:pStyle w:val="Normal"/></w:pPr>
<w:r><w:t xml:space="preserve">to maintain his position.  With his squadron increased by</w:t></w:r>
</w:p>
<w:p>
<w:pPr><w:pStyle w:val="Normal"/></w:pPr>
<w:r><w:t xml:space="preserve">three vessels, he reached the Malabar coast at the close</w:t></w:r>
</w:p>
<w:p>
<w:pPr><w:pStyle w:val="Normal"/></w:pPr>
<w:r><w:t xml:space="preserve">of the year 1508, and immediately made known the commission</w:t></w:r>
</w:p>
<w:p>
<w:pPr><w:pStyle w:val="Normal"/></w:pPr>
<w:r><w:t xml:space="preserve">he had received from the king empowering him to supersede</w:t></w:r>
</w:p>
<w:p>
<w:pPr><w:pStyle w:val="Normal"/></w:pPr>
<w:r><w:t xml:space="preserve">the governor Francisco de Almeida.  The latter, however,</w:t></w:r>
</w:p>
<w:p>
<w:pPr><w:pStyle w:val="Normal"/></w:pPr>
<w:r><w:t xml:space="preserve">refused to recognize Albuquerque&apos;s credentials and cast him</w:t></w:r>
</w:p>
<w:p>
<w:pPr><w:pStyle w:val="Normal"/></w:pPr>
<w:r><w:t xml:space="preserve">into prison, from which he was only released, after three</w:t></w:r>
</w:p>
<w:p>
<w:pPr><w:pStyle w:val="Normal"/></w:pPr>
<w:r><w:t xml:space="preserve">months&apos; confinement, on the arrival of the grand-marshal of</w:t></w:r>
</w:p>
<w:p>
<w:pPr><w:pStyle w:val="Normal"/></w:pPr>
<w:r><w:t xml:space="preserve">Portugal with a large fleet.  Almeida having returned home,</w:t></w:r>
</w:p>
<w:p>
<w:pPr><w:pStyle w:val="Normal"/></w:pPr>
<w:r><w:t xml:space="preserve">Albuquerque speedily showed the energy and determination of his</w:t></w:r>
</w:p>
<w:p>
<w:pPr><w:pStyle w:val="Normal"/></w:pPr>
<w:r><w:t xml:space="preserve">character.  An unsuccessful attack upon Calicut in January</w:t></w:r>
</w:p>
<w:p>
<w:pPr><w:pStyle w:val="Normal"/></w:pPr>
<w:r><w:t xml:space="preserve">1510, in which the commander- in-chief received a severe</w:t></w:r>
</w:p>
<w:p>
<w:pPr><w:pStyle w:val="Normal"/></w:pPr>
<w:r><w:t xml:space="preserve">wound, was immediately followed by the investment and capture</w:t></w:r>
</w:p>
<w:p>
<w:pPr><w:pStyle w:val="Normal"/></w:pPr>
<w:r><w:t xml:space="preserve">of Goa. Albuquerque, finding himself unable to hold the town</w:t></w:r>
</w:p>
<w:p>
<w:pPr><w:pStyle w:val="Normal"/></w:pPr>
<w:r><w:t xml:space="preserve">on his first occupation, abandoned it in August, to return with</w:t></w:r>
</w:p>
<w:p>
<w:pPr><w:pStyle w:val="Normal"/></w:pPr>
<w:r><w:t xml:space="preserve">the reinforcements in November, when he obtained undisputed</w:t></w:r>
</w:p>
<w:p>
<w:pPr><w:pStyle w:val="Normal"/></w:pPr>
<w:r><w:t xml:space="preserve">possession.  He next directed his forces against Malacca,</w:t></w:r>
</w:p>
<w:p>
<w:pPr><w:pStyle w:val="Normal"/></w:pPr>
<w:r><w:t xml:space="preserve">which he subdued after a severe struggle.  He remained in</w:t></w:r>
</w:p>
<w:p>
<w:pPr><w:pStyle w:val="Normal"/></w:pPr>
<w:r><w:t xml:space="preserve">the town nearly a year in order to strengthen the position</w:t></w:r>
</w:p>
<w:p>
<w:pPr><w:pStyle w:val="Normal"/></w:pPr>
<w:r><w:t xml:space="preserve">of the Portuguese power.  In 1512 he sailed for the coast of</w:t></w:r>
</w:p>
<w:p>
<w:pPr><w:pStyle w:val="Normal"/></w:pPr>
<w:r><w:t xml:space="preserve">Malabar.  On the voyage a violent storm arose, Albuquerque&apos;s</w:t></w:r>
</w:p>
<w:p>
<w:pPr><w:pStyle w:val="Normal"/></w:pPr>
<w:r><w:t xml:space="preserve">vessel, the ``Flor de la Mar,&apos;&apos; which carried the treasure</w:t></w:r>
</w:p>
<w:p>
<w:pPr><w:pStyle w:val="Normal"/></w:pPr>
<w:r><w:t xml:space="preserve">he had amassed in his conquests, was wrecked, and he himself</w:t></w:r>
</w:p>
<w:p>
<w:pPr><w:pStyle w:val="Normal"/></w:pPr>
<w:r><w:t xml:space="preserve">barely escaped with his life.  In September of the same year</w:t></w:r>
</w:p>
<w:p>
<w:pPr><w:pStyle w:val="Normal"/></w:pPr>
<w:r><w:t xml:space="preserve">he arrived at Goa, where he quickly suppressed a serious revolt</w:t></w:r>
</w:p>
<w:p>
<w:pPr><w:pStyle w:val="Normal"/></w:pPr>
<w:r><w:t xml:space="preserve">headed by Idalcan, and took such measures for the security</w:t></w:r>
</w:p>
<w:p>
<w:pPr><w:pStyle w:val="Normal"/></w:pPr>
<w:r><w:t xml:space="preserve">and peace of the town that it became the most flourishing of</w:t></w:r>
</w:p>
<w:p>
<w:pPr><w:pStyle w:val="Normal"/></w:pPr>
<w:r><w:t xml:space="preserve">the Portuguese settlements in India.  Albuquerque had been for</w:t></w:r>
</w:p>
<w:p>
<w:pPr><w:pStyle w:val="Normal"/></w:pPr>
<w:r><w:t xml:space="preserve">some time under orders from the home government to undertake</w:t></w:r>
</w:p>
<w:p>
<w:pPr><w:pStyle w:val="Normal"/></w:pPr>
<w:r><w:t xml:space="preserve">an expedition to the Red Sea, in order to secure that channel</w:t></w:r>
</w:p>
<w:p>
<w:pPr><w:pStyle w:val="Normal"/></w:pPr>
<w:r><w:t xml:space="preserve">of communication exclusively to Portugal.  He accordingly</w:t></w:r>
</w:p>
<w:p>
<w:pPr><w:pStyle w:val="Normal"/></w:pPr>
<w:r><w:t xml:space="preserve">laid siege to Aden in 1513, but was repulsed; and a voyage</w:t></w:r>
</w:p>
<w:p>
<w:pPr><w:pStyle w:val="Normal"/></w:pPr>
<w:r><w:t xml:space="preserve">into the Red Sea, the first ever made by a European fleet, led</w:t></w:r>
</w:p>
<w:p>
<w:pPr><w:pStyle w:val="Normal"/></w:pPr>
<w:r><w:t xml:space="preserve">to no substantial results.  In order to destroy the power of</w:t></w:r>
</w:p>
<w:p>
<w:pPr><w:pStyle w:val="Normal"/></w:pPr>
<w:r><w:t xml:space="preserve">Egypt, he is said to have entertained the idea of diverting</w:t></w:r>
</w:p>
<w:p>
<w:pPr><w:pStyle w:val="Normal"/></w:pPr>
<w:r><w:t xml:space="preserve">the course of the Nile and so rendering the whole country</w:t></w:r>
</w:p>
<w:p>
<w:pPr><w:pStyle w:val="Normal"/></w:pPr>
<w:r><w:t xml:space="preserve">barren.  His last warlike undertaking was a second attack upon</w:t></w:r>
</w:p>
<w:p>
<w:pPr><w:pStyle w:val="Normal"/></w:pPr>
<w:r><w:t xml:space="preserve">Ormuz in 1515.  The island yielded to him without resistance,</w:t></w:r>
</w:p>
<w:p>
<w:pPr><w:pStyle w:val="Normal"/></w:pPr>
<w:r><w:t xml:space="preserve">and it remained in the possession of the Portuguese until</w:t></w:r>
</w:p>
<w:p>
<w:pPr><w:pStyle w:val="Normal"/></w:pPr>
<w:r><w:t xml:space="preserve">1622.  Albuquerque&apos;s great career had a painful and ignominious</w:t></w:r>
</w:p>
<w:p>
<w:pPr><w:pStyle w:val="Normal"/></w:pPr>
<w:r><w:t xml:space="preserve">close.  He had several enemies at the Portuguese court who</w:t></w:r>
</w:p>
<w:p>
<w:pPr><w:pStyle w:val="Normal"/></w:pPr>
<w:r><w:t xml:space="preserve">lost no opportunity of stirring up the jealousy of the king</w:t></w:r>
</w:p>
<w:p>
<w:pPr><w:pStyle w:val="Normal"/></w:pPr>
<w:r><w:t xml:space="preserve">against him, and his own injudicious and arbitrary conduct</w:t></w:r>
</w:p>
<w:p>
<w:pPr><w:pStyle w:val="Normal"/></w:pPr>
<w:r><w:t xml:space="preserve">on several occasions served their end only too well.  On his</w:t></w:r>
</w:p>
<w:p>
<w:pPr><w:pStyle w:val="Normal"/></w:pPr>
<w:r><w:t xml:space="preserve">return from Ormuz, at the entrance of the harbour of Goa, he</w:t></w:r>
</w:p>
<w:p>
<w:pPr><w:pStyle w:val="Normal"/></w:pPr>
<w:r><w:t xml:space="preserve">met a vessel from Europe bearing despatches announcing that</w:t></w:r>
</w:p>
<w:p>
<w:pPr><w:pStyle w:val="Normal"/></w:pPr>
<w:r><w:t xml:space="preserve">he was superseded by his personal enemy Soarez.  The blow was</w:t></w:r>
</w:p>
<w:p>
<w:pPr><w:pStyle w:val="Normal"/></w:pPr>
<w:r><w:t xml:space="preserve">too much for him and he died at sea on the 16th of December</w:t></w:r>
</w:p>
<w:p>
<w:pPr><w:pStyle w:val="Normal"/></w:pPr>
<w:r><w:t xml:space="preserve">1515.  Before his death he wrote a letter to the king in</w:t></w:r>
</w:p>
<w:p>
<w:pPr><w:pStyle w:val="Normal"/></w:pPr>
<w:r><w:t xml:space="preserve">dignified and affecting terms, vindicating his conduct and</w:t></w:r>
</w:p>
<w:p>
<w:pPr><w:pStyle w:val="Normal"/></w:pPr>
<w:r><w:t xml:space="preserve">claiming for his son the honours and rewards that were justly</w:t></w:r>
</w:p>
<w:p>
<w:pPr><w:pStyle w:val="Normal"/></w:pPr>
<w:r><w:t xml:space="preserve">due to himself.  His body was buried at Goa in the Church</w:t></w:r>
</w:p>
<w:p>
<w:pPr><w:pStyle w:val="Normal"/></w:pPr>
<w:r><w:t xml:space="preserve">of our Lady, and it is perhaps the most convincing proof</w:t></w:r>
</w:p>
<w:p>
<w:pPr><w:pStyle w:val="Normal"/></w:pPr>
<w:r><w:t xml:space="preserve">possible of the justice of his administration that, many years</w:t></w:r>
</w:p>
<w:p>
<w:pPr><w:pStyle w:val="Normal"/></w:pPr>
<w:r><w:t xml:space="preserve">after, Mussulmans and Hindus used to go to his tomb to invoke</w:t></w:r>
</w:p>
<w:p>
<w:pPr><w:pStyle w:val="Normal"/></w:pPr>
<w:r><w:t xml:space="preserve">protection against the injustice of his successors.  The</w:t></w:r>
</w:p>
<w:p>
<w:pPr><w:pStyle w:val="Normal"/></w:pPr>
<w:r><w:t xml:space="preserve">king of Portugal was convinced too late of his fidelity, and</w:t></w:r>
</w:p>
<w:p>
<w:pPr><w:pStyle w:val="Normal"/></w:pPr>
<w:r><w:t xml:space="preserve">endeavoured to atone for the ingratitude with which he had</w:t></w:r>
</w:p>
<w:p>
<w:pPr><w:pStyle w:val="Normal"/></w:pPr>
<w:r><w:t xml:space="preserve">treated him by heaping honours upon his natural son Alfonso.</w:t></w:r>
</w:p>
<w:p>
<w:pPr><w:pStyle w:val="Normal"/></w:pPr>
<w:r><w:t xml:space="preserve">The latter published a selection from his father&apos;s papers under</w:t></w:r>
</w:p>
<w:p>
<w:pPr><w:pStyle w:val="Normal"/></w:pPr>
<w:r><w:t xml:space="preserve">the title Commentarios do Grande Affonso d&apos;Alboquerque .</w:t></w:r>
</w:p>
<w:p>
<w:pPr><w:pStyle w:val="Normal"/></w:pPr>
<w:r><w:t xml:space="preserve">See the Cartas de Albuquerque, published by the Lisbon Academy</w:t></w:r>
</w:p>
<w:p>
<w:pPr><w:pStyle w:val="Normal"/></w:pPr>
<w:r><w:t xml:space="preserve">(vol. i., 1884); also Morse Stephens&apos; Life of Albuquerque;</w:t></w:r>
</w:p>
<w:p>
<w:pPr><w:pStyle w:val="Normal"/></w:pPr>
<w:r><w:t xml:space="preserve">an article in the Bolitim of the Lisbon Geographical</w:t></w:r>
</w:p>
<w:p>
<w:pPr><w:pStyle w:val="Normal"/></w:pPr>
<w:r><w:t xml:space="preserve">Society (January to June 1902) on ``O antigo Imperialismo</w:t></w:r>
</w:p>
<w:p>
<w:pPr><w:pStyle w:val="Normal"/></w:pPr>
<w:r><w:t xml:space="preserve">portuguez, &amp;c.,&apos;&apos; has especial reference to Albuquerque.</w:t></w:r>
</w:p>
<w:p>
<w:pPr><w:pStyle w:val="Normal"/></w:pPr>
<w:r><w:t xml:space="preserve">ALBUQUERQUE, a city and the county-seat of Bernalillo</w:t></w:r>
</w:p>
<w:p>
<w:pPr><w:pStyle w:val="Normal"/></w:pPr>
<w:r><w:t xml:space="preserve">county, New Mexico, U.S.A., situated in the central part of the</w:t></w:r>
</w:p>
<w:p>
<w:pPr><w:pStyle w:val="Normal"/></w:pPr>
<w:r><w:t xml:space="preserve">state, about 325 m.  S. by W. of Denver, on the E. bank of</w:t></w:r>
</w:p>
<w:p>
<w:pPr><w:pStyle w:val="Normal"/></w:pPr>
<w:r><w:t xml:space="preserve">the Rio Grande, at an altitude of 4950 ft.  Pop. (1890) 3785;</w:t></w:r>
</w:p>
<w:p>
<w:pPr><w:pStyle w:val="Normal"/></w:pPr>
<w:r><w:t xml:space="preserve">(1900) 6238 (956 foreign-born and 226 negroes); (1910 census)</w:t></w:r>
</w:p>
<w:p>
<w:pPr><w:pStyle w:val="Normal"/></w:pPr>
<w:r><w:t xml:space="preserve">11,020.  In 1900 Albuquerque was the largest city in New</w:t></w:r>
</w:p>
<w:p>
<w:pPr><w:pStyle w:val="Normal"/></w:pPr>
<w:r><w:t xml:space="preserve">Mexico.  It is the connecting point of two main lines of the</w:t></w:r>
</w:p>
<w:p>
<w:pPr><w:pStyle w:val="Normal"/></w:pPr>
<w:r><w:t xml:space="preserve">Atchison, Topeka &amp; Santa Fe railway system.  A short distance</w:t></w:r>
</w:p>
<w:p>
<w:pPr><w:pStyle w:val="Normal"/></w:pPr>
<w:r><w:t xml:space="preserve">E. of the city is the university of New Mexico, under state</w:t></w:r>
</w:p>
<w:p>
<w:pPr><w:pStyle w:val="Normal"/></w:pPr>
<w:r><w:t xml:space="preserve">control, founded in 1889 and opened in 1892; in 1908 it had</w:t></w:r>
</w:p>
<w:p>
<w:pPr><w:pStyle w:val="Normal"/></w:pPr>
<w:r><w:t xml:space="preserve">a college of letters and science, a school of engineering,</w:t></w:r>
</w:p>
<w:p>
<w:pPr><w:pStyle w:val="Normal"/></w:pPr>
<w:r><w:t xml:space="preserve">a school of education, a preparatory school and a commercial</w:t></w:r>
</w:p>
<w:p>
<w:pPr><w:pStyle w:val="Normal"/></w:pPr>
<w:r><w:t xml:space="preserve">school.  Albuquerque is also the seat of the Harwood Industrial</w:t></w:r>
</w:p>
<w:p>
<w:pPr><w:pStyle w:val="Normal"/></w:pPr>
<w:r><w:t xml:space="preserve">School (Methodist) for Mexican girls, of the Menaul Mission</w:t></w:r>
</w:p>
<w:p>
<w:pPr><w:pStyle w:val="Normal"/></w:pPr>
<w:r><w:t xml:space="preserve">School (Presbyterian) for Mexican boys, and of a government</w:t></w:r>
</w:p>
<w:p>
<w:pPr><w:pStyle w:val="Normal"/></w:pPr>
<w:r><w:t xml:space="preserve">Indian training school (1881) for boys and girls.  The</w:t></w:r>
</w:p>
<w:p>
<w:pPr><w:pStyle w:val="Normal"/></w:pPr>
<w:r><w:t xml:space="preserve">city has a public library.  The excellent climate has given</w:t></w:r>
</w:p>
<w:p>
<w:pPr><w:pStyle w:val="Normal"/></w:pPr>
<w:r><w:t xml:space="preserve">Albuquerque and the surrounding country a reputation as a</w:t></w:r>
</w:p>
<w:p>
<w:pPr><w:pStyle w:val="Normal"/></w:pPr>
<w:r><w:t xml:space="preserve">health resort.  The city is an important railway centre, has</w:t></w:r>
</w:p>
<w:p>
<w:pPr><w:pStyle w:val="Normal"/></w:pPr>
<w:r><w:t xml:space="preserve">extensive railway repair shops and stock-yards, and exports</w:t></w:r>
</w:p>
<w:p>
<w:pPr><w:pStyle w:val="Normal"/></w:pPr>
<w:r><w:t xml:space="preserve">large quantities of live-stock, hides and wool.  The largest</w:t></w:r>
</w:p>
<w:p>
<w:pPr><w:pStyle w:val="Normal"/></w:pPr>
<w:r><w:t xml:space="preserve">industrial establishment is the American Lumber Company&apos;s</w:t></w:r>
</w:p>
<w:p>
<w:pPr><w:pStyle w:val="Normal"/></w:pPr>
<w:r><w:t xml:space="preserve">plant, including a saw-mill, a sash, door and blind factory</w:t></w:r>
</w:p>
<w:p>
<w:pPr><w:pStyle w:val="Normal"/></w:pPr>
<w:r><w:t xml:space="preserve">and a box factory.  The timber used, chiefly white pine, is</w:t></w:r>
</w:p>
<w:p>
<w:pPr><w:pStyle w:val="Normal"/></w:pPr>
<w:r><w:t xml:space="preserve">obtained from the Zuni mountains.  The city has also flour and</w:t></w:r>
</w:p>
<w:p>
<w:pPr><w:pStyle w:val="Normal"/></w:pPr>
<w:r><w:t xml:space="preserve">woollen mills, breweries and ice factories.  The old Spanish</w:t></w:r>
</w:p>
<w:p>
<w:pPr><w:pStyle w:val="Normal"/></w:pPr>
<w:r><w:t xml:space="preserve">town of Albuquerque (pop. in 1900 about 1200) lies about 1</w:t></w:r>
</w:p>
<w:p>
<w:pPr><w:pStyle w:val="Normal"/></w:pPr>
<w:r><w:t xml:space="preserve">m.  W. of the present city; it was founded in 1706, and was</w:t></w:r>
</w:p>
<w:p>
<w:pPr><w:pStyle w:val="Normal"/></w:pPr>
<w:r><w:t xml:space="preserve">named in honour of the duke of Albuquerque, viceroy of New</w:t></w:r>
</w:p>
<w:p>
<w:pPr><w:pStyle w:val="Normal"/></w:pPr>
<w:r><w:t xml:space="preserve">Spain from 1702 to 1710.  During the Civil War it was occupied,</w:t></w:r>
</w:p>
<w:p>
<w:pPr><w:pStyle w:val="Normal"/></w:pPr>
<w:r><w:t xml:space="preserve">late in February 1862, by Confederate troops under General</w:t></w:r>
</w:p>
<w:p>
<w:pPr><w:pStyle w:val="Normal"/></w:pPr>
<w:r><w:t xml:space="preserve">Henry Hopkins Sibley (1816-1886), who soon afterwards advanced</w:t></w:r>
</w:p>
<w:p>
<w:pPr><w:pStyle w:val="Normal"/></w:pPr>
<w:r><w:t xml:space="preserve">with his main body into northern New Mexico.  In his retreat</w:t></w:r>
</w:p>
<w:p>
<w:pPr><w:pStyle w:val="Normal"/></w:pPr>
<w:r><w:t xml:space="preserve">back into Texas he made a stand on the 8th of April 1862 at</w:t></w:r>
</w:p>
<w:p>
<w:pPr><w:pStyle w:val="Normal"/></w:pPr>
<w:r><w:t xml:space="preserve">Albuquerque, where during the whole day there was a fight</w:t></w:r>
</w:p>
<w:p>
<w:pPr><w:pStyle w:val="Normal"/></w:pPr>
<w:r><w:t xml:space="preserve">at long range and with few casualties against a detachment</w:t></w:r>
</w:p>
<w:p>
<w:pPr><w:pStyle w:val="Normal"/></w:pPr>
<w:r><w:t xml:space="preserve">of Union soldiers commanded by Colonel Edward R. S. Canby</w:t></w:r>
</w:p>
<w:p>
<w:pPr><w:pStyle w:val="Normal"/></w:pPr>
<w:r><w:t xml:space="preserve">(1819-1873).  The modern city dates its origin from the</w:t></w:r>
</w:p>
<w:p>
<w:pPr><w:pStyle w:val="Normal"/></w:pPr>
<w:r><w:t xml:space="preserve">completion of the first railway to Albuquerque in 1880.</w:t></w:r>
</w:p>
<w:p>
<w:pPr><w:pStyle w:val="Normal"/></w:pPr>
<w:r><w:t xml:space="preserve">ALBURNUM (sapwood), the outermost and youngest part of the</w:t></w:r>
</w:p>
<w:p>
<w:pPr><w:pStyle w:val="Normal"/></w:pPr>
<w:r><w:t xml:space="preserve">wood of a tree, through which the sap rises.  It is distinguished</w:t></w:r>
</w:p>
<w:p>
<w:pPr><w:pStyle w:val="Normal"/></w:pPr>
<w:r><w:t xml:space="preserve">from the harder inner and older wood, the duramen or heart-wood.</w:t></w:r>
</w:p>
<w:p>
<w:pPr><w:pStyle w:val="Normal"/></w:pPr>
<w:r><w:t xml:space="preserve">ALBURY, a town in Goulburn county, New South Wales, Australia,</w:t></w:r>
</w:p>
<w:p>
<w:pPr><w:pStyle w:val="Normal"/></w:pPr>
<w:r><w:t xml:space="preserve">386 m. by rail W.S.W. of Sydney.  Pop. (1901) 5821.  It stands</w:t></w:r>
</w:p>
<w:p>
<w:pPr><w:pStyle w:val="Normal"/></w:pPr>
<w:r><w:t xml:space="preserve">near the border of Victoria, on the right bank of the Murray</w:t></w:r>
</w:p>
<w:p>
<w:pPr><w:pStyle w:val="Normal"/></w:pPr>
<w:r><w:t xml:space="preserve">river, here crossed by two bridges, one built of wood carrying</w:t></w:r>
</w:p>
<w:p>
<w:pPr><w:pStyle w:val="Normal"/></w:pPr>
<w:r><w:t xml:space="preserve">a road, the other of iron bearing the railway.  The Murray</w:t></w:r>
</w:p>
<w:p>
<w:pPr><w:pStyle w:val="Normal"/></w:pPr>
<w:r><w:t xml:space="preserve">is navigable for small steamers from this town to its mouth,</w:t></w:r>
</w:p>
<w:p>
<w:pPr><w:pStyle w:val="Normal"/></w:pPr>
<w:r><w:t xml:space="preserve">a distance of 1800 miles.  Albury is the centre of a sheep-</w:t></w:r>
</w:p>
<w:p>
<w:pPr><w:pStyle w:val="Normal"/></w:pPr>
<w:r><w:t xml:space="preserve">rearing and agricultural district; grapes, cereals and tobacco</w:t></w:r>
</w:p>
<w:p>
<w:pPr><w:pStyle w:val="Normal"/></w:pPr>
<w:r><w:t xml:space="preserve">are largely grown, and the wine produced here is held in high</w:t></w:r>
</w:p>
<w:p>
<w:pPr><w:pStyle w:val="Normal"/></w:pPr>
<w:r><w:t xml:space="preserve">repute throughout Australia.  The tree under which the first</w:t></w:r>
</w:p>
<w:p>
<w:pPr><w:pStyle w:val="Normal"/></w:pPr>
<w:r><w:t xml:space="preserve">explorers encamped here in November 1824 is still standing</w:t></w:r>
</w:p>
<w:p>
<w:pPr><w:pStyle w:val="Normal"/></w:pPr>
<w:r><w:t xml:space="preserve">in an enclosed space.  Albury became a municipality in 1859.</w:t></w:r>
</w:p>
<w:p>
<w:pPr><w:pStyle w:val="Normal"/></w:pPr>
<w:r><w:t xml:space="preserve">ALCAEUS (ALKAIOS), Greek lyric poet, an older contemporary</w:t></w:r>
</w:p>
<w:p>
<w:pPr><w:pStyle w:val="Normal"/></w:pPr>
<w:r><w:t xml:space="preserve">of Sappho, was a native of Mytilene in Lesbos and flourished</w:t></w:r>
</w:p>
<w:p>
<w:pPr><w:pStyle w:val="Normal"/></w:pPr>
<w:r><w:t xml:space="preserve">about 600 B.C. His life was greatly mixed up with</w:t></w:r>
</w:p>
<w:p>
<w:pPr><w:pStyle w:val="Normal"/></w:pPr>
<w:r><w:t xml:space="preserve">the political disputes and internal feuds of his native</w:t></w:r>
</w:p>
<w:p>
<w:pPr><w:pStyle w:val="Normal"/></w:pPr>
<w:r><w:t xml:space="preserve">city.  He belonged to one of the noble families, and sided</w:t></w:r>
</w:p>
<w:p>
<w:pPr><w:pStyle w:val="Normal"/></w:pPr>
<w:r><w:t xml:space="preserve">with his class against the ``tyrants&apos;&apos; who at that time set</w:t></w:r>
</w:p>
<w:p>
<w:pPr><w:pStyle w:val="Normal"/></w:pPr>
<w:r><w:t xml:space="preserve">themselves up in Mytilene.  He was in consequence obliged to</w:t></w:r>
</w:p>
<w:p>
<w:pPr><w:pStyle w:val="Normal"/></w:pPr>
<w:r><w:t xml:space="preserve">leave his native country, and spent a considerable time in</w:t></w:r>
</w:p>
<w:p>
<w:pPr><w:pStyle w:val="Normal"/></w:pPr>
<w:r><w:t xml:space="preserve">exile.  He is said to have become reconciled to Pittacus, the</w:t></w:r>
</w:p>
<w:p>
<w:pPr><w:pStyle w:val="Normal"/></w:pPr>
<w:r><w:t xml:space="preserve">ruler set up by the popular party, and to have returned to</w:t></w:r>
</w:p>
<w:p>
<w:pPr><w:pStyle w:val="Normal"/></w:pPr>
<w:r><w:t xml:space="preserve">Lesbos.  The date of his death is unknown.  The subjects of</w:t></w:r>
</w:p>
<w:p>
<w:pPr><w:pStyle w:val="Normal"/></w:pPr>
<w:r><w:t xml:space="preserve">his poems, which were composed in the Aeolic dialect, were</w:t></w:r>
</w:p>
<w:p>
<w:pPr><w:pStyle w:val="Normal"/></w:pPr>
<w:r><w:t xml:space="preserve">of various kinds: some were hymns to the gods; others were of</w:t></w:r>
</w:p>
<w:p>
<w:pPr><w:pStyle w:val="Normal"/></w:pPr>
<w:r><w:t xml:space="preserve">a martial or political character; others breathed an ardent</w:t></w:r>
</w:p>
<w:p>
<w:pPr><w:pStyle w:val="Normal"/></w:pPr>
<w:r><w:t xml:space="preserve">love of liberty and hatred of tyrants; lastly, some were</w:t></w:r>
</w:p>
<w:p>
<w:pPr><w:pStyle w:val="Normal"/></w:pPr>
<w:r><w:t xml:space="preserve">love-songs.  Alcaeus was allotted the second place among the</w:t></w:r>
</w:p>
<w:p>
<w:pPr><w:pStyle w:val="Normal"/></w:pPr>
<w:r><w:t xml:space="preserve">nine lyric poets in the Alexandrian canon.  The considerable</w:t></w:r>
</w:p>
<w:p>
<w:pPr><w:pStyle w:val="Normal"/></w:pPr>
<w:r><w:t xml:space="preserve">number of fragments extant, and the well-known imitations</w:t></w:r>
</w:p>
<w:p>
<w:pPr><w:pStyle w:val="Normal"/></w:pPr>
<w:r><w:t xml:space="preserve">of Horace, who regarded Alcaeus as his great model, enable</w:t></w:r>
</w:p>
<w:p>
<w:pPr><w:pStyle w:val="Normal"/></w:pPr>
<w:r><w:t xml:space="preserve">us to form a fair idea of the character of his poems.  A</w:t></w:r>
</w:p>
<w:p>
<w:pPr><w:pStyle w:val="Normal"/></w:pPr>
<w:r><w:t xml:space="preserve">new fragment has recently been discovered, together with</w:t></w:r>
</w:p>
<w:p>
<w:pPr><w:pStyle w:val="Normal"/></w:pPr>
<w:r><w:t xml:space="preserve">some fragments of Sappho (Classical Review, May 1902).</w:t></w:r>
</w:p>
<w:p>
<w:pPr><w:pStyle w:val="Normal"/></w:pPr>
<w:r><w:t xml:space="preserve">See Bergk, Poetae Lyrici Graeci (1882); also The Songs</w:t></w:r>
</w:p>
<w:p>
<w:pPr><w:pStyle w:val="Normal"/></w:pPr>
<w:r><w:t xml:space="preserve">of Alcaeus, by J. Easby-Smith (Washington, 1901); Plehn,</w:t></w:r>
</w:p>
<w:p>
<w:pPr><w:pStyle w:val="Normal"/></w:pPr>
<w:r><w:t xml:space="preserve">Lesbiacorum Liber (1826); Flach, Geschichte der griechischen</w:t></w:r>
</w:p>
<w:p>
<w:pPr><w:pStyle w:val="Normal"/></w:pPr>
<w:r><w:t xml:space="preserve">Lyrik (1883-1884); Farnell, Greek Lyric Poets (1891).</w:t></w:r>
</w:p>
<w:p>
<w:pPr><w:pStyle w:val="Normal"/></w:pPr>
<w:r><w:t xml:space="preserve">ALCAICS, in ancient poetry, a name given to several kinds</w:t></w:r>
</w:p>
<w:p>
<w:pPr><w:pStyle w:val="Normal"/></w:pPr>
<w:r><w:t xml:space="preserve">of verse, from Alcaeus, their reputed inventor.  The first</w:t></w:r>
</w:p>
<w:p>
<w:pPr><w:pStyle w:val="Normal"/></w:pPr>
<w:r><w:t xml:space="preserve">kind consists of five feet, viz. a spondee or iambic, an</w:t></w:r>
</w:p>
<w:p>
<w:pPr><w:pStyle w:val="Normal"/></w:pPr>
<w:r><w:t xml:space="preserve">iambic, a long syllable and two dactyles; the second of two</w:t></w:r>
</w:p>
<w:p>
<w:pPr><w:pStyle w:val="Normal"/></w:pPr>
<w:r><w:t xml:space="preserve">dactyles and two trochees.  Besides these, which are called</w:t></w:r>
</w:p>
<w:p>
<w:pPr><w:pStyle w:val="Normal"/></w:pPr>
<w:r><w:t xml:space="preserve">dactylic Alcaics, there is another, simply styled Alcaic,</w:t></w:r>
</w:p>
<w:p>
<w:pPr><w:pStyle w:val="Normal"/></w:pPr>
<w:r><w:t xml:space="preserve">consisting of an epitrite, two choriambi and a bacchius; thus--</w:t></w:r>
</w:p>
<w:p>
<w:pPr><w:pStyle w:val="Normal"/></w:pPr>
<w:r><w:t xml:space="preserve">Cur timet fla|vum Tiberim | tangere, cur | olivum?</w:t></w:r>
</w:p>
<w:p>
<w:pPr><w:pStyle w:val="Normal"/></w:pPr>
<w:r><w:t xml:space="preserve">The Alcaic ode is composed of several strophes, each</w:t></w:r>
</w:p>
<w:p>
<w:pPr><w:pStyle w:val="Normal"/></w:pPr>
<w:r><w:t xml:space="preserve">consisting of four verses, the first two of which are always</w:t></w:r>
</w:p>
<w:p>
<w:pPr><w:pStyle w:val="Normal"/></w:pPr>
<w:r><w:t xml:space="preserve">eleven-syllable alcaics of the first kind; the third verse</w:t></w:r>
</w:p>
<w:p>
<w:pPr><w:pStyle w:val="Normal"/></w:pPr>
<w:r><w:t xml:space="preserve">is an iambic dimeter hypercatalectic consisting of nine</w:t></w:r>
</w:p>
<w:p>
<w:pPr><w:pStyle w:val="Normal"/></w:pPr>
<w:r><w:t xml:space="preserve">syllables; and the fourth verse is a ten-syllable alcaic</w:t></w:r>
</w:p>
<w:p>
<w:pPr><w:pStyle w:val="Normal"/></w:pPr>
<w:r><w:t xml:space="preserve">of the second kind.  The following strophe is of this</w:t></w:r>
</w:p>
<w:p>
<w:pPr><w:pStyle w:val="Normal"/></w:pPr>
<w:r><w:t xml:space="preserve">species, which Horace calls Alcaei minaces camenae--</w:t></w:r>
</w:p>
<w:p>
<w:pPr><w:pStyle w:val="Normal"/></w:pPr>
<w:r><w:t xml:space="preserve">Non possidentem multa vocaveris</w:t></w:r>
</w:p>
<w:p>
<w:pPr><w:pStyle w:val="Normal"/></w:pPr>
<w:r><w:t xml:space="preserve">Recte beatum; rectius occupat</w:t></w:r>
</w:p>
<w:p>
<w:pPr><w:pStyle w:val="Normal"/></w:pPr>
<w:r><w:t xml:space="preserve">Nomen beati, qui deorum</w:t></w:r>
</w:p>
<w:p>
<w:pPr><w:pStyle w:val="Normal"/></w:pPr>
<w:r><w:t xml:space="preserve">Muneribus sapienter uti.</w:t></w:r>
</w:p>
<w:p>
<w:pPr><w:pStyle w:val="Normal"/></w:pPr>
<w:r><w:t xml:space="preserve">There is also a decasyllabic variety of the Alcaic metre.</w:t></w:r>
</w:p>
<w:p>
<w:pPr><w:pStyle w:val="Normal"/></w:pPr>
<w:r><w:t xml:space="preserve">The Alcaic measure was one of the most splendid inventions</w:t></w:r>
</w:p>
<w:p>
<w:pPr><w:pStyle w:val="Normal"/></w:pPr>
<w:r><w:t xml:space="preserve">of Greek metrical art.  In its best examples it gives</w:t></w:r>
</w:p>
<w:p>
<w:pPr><w:pStyle w:val="Normal"/></w:pPr>
<w:r><w:t xml:space="preserve">an impression of wonderful vigour and spontaneity.</w:t></w:r>
</w:p>
<w:p>
<w:pPr><w:pStyle w:val="Normal"/></w:pPr>
<w:r><w:t xml:space="preserve">Tennyson has attempted to reproduce it in English in his</w:t></w:r>
</w:p>
<w:p>
<w:pPr><w:pStyle w:val="Normal"/></w:pPr>
<w:r><w:t xml:space="preserve">O mighty-mouthed inventor of harmonies,</w:t></w:r>
</w:p>
<w:p>
<w:pPr><w:pStyle w:val="Normal"/></w:pPr>
<w:r><w:t xml:space="preserve">O skilled to sing of time or eternity,</w:t></w:r>
</w:p>
<w:p>
<w:pPr><w:pStyle w:val="Normal"/></w:pPr>
<w:r><w:t xml:space="preserve">God-gifted organ-voice of England,</w:t></w:r>
</w:p>
<w:p>
<w:pPr><w:pStyle w:val="Normal"/></w:pPr>
<w:r><w:t xml:space="preserve">Milton, a name to resound for ages.</w:t></w:r>
</w:p>
<w:p>
<w:pPr><w:pStyle w:val="Normal"/></w:pPr>
<w:r><w:t xml:space="preserve">German is, however, the only modern literature in which alcaics</w:t></w:r>
</w:p>
<w:p>
<w:pPr><w:pStyle w:val="Normal"/></w:pPr>
<w:r><w:t xml:space="preserve">have been written with much success.  They were introduced by</w:t></w:r>
</w:p>
<w:p>
<w:pPr><w:pStyle w:val="Normal"/></w:pPr>
<w:r><w:t xml:space="preserve">Klopstock, and used by Holderlin, by Voss in his translations</w:t></w:r>
</w:p>
<w:p>
<w:pPr><w:pStyle w:val="Normal"/></w:pPr>
<w:r><w:t xml:space="preserve">of Horace, by A. Kopisch and other modern German poets.</w:t></w:r>
</w:p>
<w:p>
<w:pPr><w:pStyle w:val="Normal"/></w:pPr>
<w:r><w:t xml:space="preserve">ALCALA (Moorish al Kala, the ``Fortress&apos;&apos; or ``Castle&apos;&apos;),</w:t></w:r>
</w:p>
<w:p>
<w:pPr><w:pStyle w:val="Normal"/></w:pPr>
<w:r><w:t xml:space="preserve">the name of thirteen Spanish towns, all founded or named by the</w:t></w:r>
</w:p>
<w:p>
<w:pPr><w:pStyle w:val="Normal"/></w:pPr>
<w:r><w:t xml:space="preserve">Moors.  Alcala de Henares (pop. (1900) 11,206) is separately</w:t></w:r>
</w:p>
<w:p>
<w:pPr><w:pStyle w:val="Normal"/></w:pPr>
<w:r><w:t xml:space="preserve">described on account of its historical importance.  Alcala</w:t></w:r>
</w:p>
<w:p>
<w:pPr><w:pStyle w:val="Normal"/></w:pPr>
<w:r><w:t xml:space="preserve">la Real (15,973), a picturesque town with a fine abbey, is</w:t></w:r>
</w:p>
<w:p>
<w:pPr><w:pStyle w:val="Normal"/></w:pPr>
<w:r><w:t xml:space="preserve">situated in mountainous country in the extreme south-west of</w:t></w:r>
</w:p>
<w:p>
<w:pPr><w:pStyle w:val="Normal"/></w:pPr>
<w:r><w:t xml:space="preserve">Jaen.  Its distinctive name la Real, ``the Royal,&apos;&apos; was</w:t></w:r>
</w:p>
<w:p>
<w:pPr><w:pStyle w:val="Normal"/></w:pPr>
<w:r><w:t xml:space="preserve">conferred in memory of its capture by Alphonso XI. of Leon in</w:t></w:r>
</w:p>
<w:p>
<w:pPr><w:pStyle w:val="Normal"/></w:pPr>
<w:r><w:t xml:space="preserve">1340.  In 1810 the French under Count Sebastiani here defeated</w:t></w:r>
</w:p>
<w:p>
<w:pPr><w:pStyle w:val="Normal"/></w:pPr>
<w:r><w:t xml:space="preserve">the Spaniards.  Alcala de los Gazules (8877), on the river</w:t></w:r>
</w:p>
<w:p>
<w:pPr><w:pStyle w:val="Normal"/></w:pPr>
<w:r><w:t xml:space="preserve">Barbate, in the province of Cadiz, has a thriving trade in</w:t></w:r>
</w:p>
<w:p>
<w:pPr><w:pStyle w:val="Normal"/></w:pPr>
<w:r><w:t xml:space="preserve">cork and agricultural produce.  Alcala de Guadaira (8198),</w:t></w:r>
</w:p>
<w:p>
<w:pPr><w:pStyle w:val="Normal"/></w:pPr>
<w:r><w:t xml:space="preserve">on the river Guadaira, near Seville, is popularly called</w:t></w:r>
</w:p>
<w:p>
<w:pPr><w:pStyle w:val="Normal"/></w:pPr>
<w:r><w:t xml:space="preserve">Alcala de los Panadores, or ``Alcala of the Bakers,&apos;&apos;</w:t></w:r>
</w:p>
<w:p>
<w:pPr><w:pStyle w:val="Normal"/></w:pPr>
<w:r><w:t xml:space="preserve">because it supplies Seville with large quantities of</w:t></w:r>
</w:p>
<w:p>
<w:pPr><w:pStyle w:val="Normal"/></w:pPr>
<w:r><w:t xml:space="preserve">bread.  Alcala de Chisbert (6293) is situated on the coast</w:t></w:r>
</w:p>
<w:p>
<w:pPr><w:pStyle w:val="Normal"/></w:pPr>
<w:r><w:t xml:space="preserve">of Castellon de la Plana; Alcala del Rio (3006), on the</w:t></w:r>
</w:p>
<w:p>
<w:pPr><w:pStyle w:val="Normal"/></w:pPr>
<w:r><w:t xml:space="preserve">Guadalquivir, 6 m.  N. of Seville; Alcala del Jucar (2968),</w:t></w:r>
</w:p>
<w:p>
<w:pPr><w:pStyle w:val="Normal"/></w:pPr>
<w:r><w:t xml:space="preserve">on the Jucar, in Albacete; Alcala de la Selva (1490), on</w:t></w:r>
</w:p>
<w:p>
<w:pPr><w:pStyle w:val="Normal"/></w:pPr>
<w:r><w:t xml:space="preserve">the southern slopes of the Sierra del Gudar, in Teruel;</w:t></w:r>
</w:p>
<w:p>
<w:pPr><w:pStyle w:val="Normal"/></w:pPr>
<w:r><w:t xml:space="preserve">Alcala de la Vega (712), on the river Cabriel, in Cuenca;</w:t></w:r>
</w:p>
<w:p>
<w:pPr><w:pStyle w:val="Normal"/></w:pPr>
<w:r><w:t xml:space="preserve">Alcala de Gurrea (632), on the river Seton, in Huesca;</w:t></w:r>
</w:p>
<w:p>
<w:pPr><w:pStyle w:val="Normal"/></w:pPr>
<w:r><w:t xml:space="preserve">Alcala del Obispo (432), in the same province; Alcala de</w:t></w:r>
</w:p>
<w:p>
<w:pPr><w:pStyle w:val="Normal"/></w:pPr>
<w:r><w:t xml:space="preserve">Ebro (388) and Alcala de Moncayo (367), both in Saragossa.</w:t></w:r>
</w:p>
<w:p>
<w:pPr><w:pStyle w:val="Normal"/></w:pPr>
<w:r><w:t xml:space="preserve">ALCALA DE HENARES, a town of Spain, in the province of</w:t></w:r>
</w:p>
<w:p>
<w:pPr><w:pStyle w:val="Normal"/></w:pPr>
<w:r><w:t xml:space="preserve">Madrid, 17 m.  E.N.E. of Madrid, on the river Henares, and</w:t></w:r>
</w:p>
<w:p>
<w:pPr><w:pStyle w:val="Normal"/></w:pPr>
<w:r><w:t xml:space="preserve">the Madrid-Saragossa railway.  Pop. (1900) 11,206.  Alcala</w:t></w:r>
</w:p>
<w:p>
<w:pPr><w:pStyle w:val="Normal"/></w:pPr>
<w:r><w:t xml:space="preserve">de Henares contains a military academy and various public</w:t></w:r>
</w:p>
<w:p>
<w:pPr><w:pStyle w:val="Normal"/></w:pPr>
<w:r><w:t xml:space="preserve">institutions, but its commercial importance is slight and its</w:t></w:r>
</w:p>
<w:p>
<w:pPr><w:pStyle w:val="Normal"/></w:pPr>
<w:r><w:t xml:space="preserve">main interest is historical.  The town has been identified</w:t></w:r>
</w:p>
<w:p>
<w:pPr><w:pStyle w:val="Normal"/></w:pPr>
<w:r><w:t xml:space="preserve">with the Roman Complutum, which was destroyed about the year</w:t></w:r>
</w:p>
<w:p>
<w:pPr><w:pStyle w:val="Normal"/></w:pPr>
<w:r><w:t xml:space="preserve">1000, and was rebuilt by the Moors in 1083.  In later times</w:t></w:r>
</w:p>
<w:p>
<w:pPr><w:pStyle w:val="Normal"/></w:pPr>
<w:r><w:t xml:space="preserve">it was renowned for its richly endowed university, founded by</w:t></w:r>
</w:p>
<w:p>
<w:pPr><w:pStyle w:val="Normal"/></w:pPr>
<w:r><w:t xml:space="preserve">Cardinal Jimenes de Cisneros in 1510, which at the height of</w:t></w:r>
</w:p>
<w:p>
<w:pPr><w:pStyle w:val="Normal"/></w:pPr>
<w:r><w:t xml:space="preserve">its prosperity numbered 12,000 students, and was second only</w:t></w:r>
</w:p>
<w:p>
<w:pPr><w:pStyle w:val="Normal"/></w:pPr>
<w:r><w:t xml:space="preserve">to that of Salamanca.  Here the famous edition of the Bible</w:t></w:r>
</w:p>
<w:p>
<w:pPr><w:pStyle w:val="Normal"/></w:pPr>
<w:r><w:t xml:space="preserve">known as the Complutensian Polyglot was prepared from 1514 to</w:t></w:r>
</w:p>
<w:p>
<w:pPr><w:pStyle w:val="Normal"/></w:pPr>
<w:r><w:t xml:space="preserve">1517.  The college of San Ildefonso, completed in 1583, was</w:t></w:r>
</w:p>
<w:p>
<w:pPr><w:pStyle w:val="Normal"/></w:pPr>
<w:r><w:t xml:space="preserve">the chief university building.  Its modernized Gothic church,</w:t></w:r>
</w:p>
<w:p>
<w:pPr><w:pStyle w:val="Normal"/></w:pPr>
<w:r><w:t xml:space="preserve">the Colegiata, contains the 16th century marble monument of</w:t></w:r>
</w:p>
<w:p>
<w:pPr><w:pStyle w:val="Normal"/></w:pPr>
<w:r><w:t xml:space="preserve">Jimenes (d. 1517) and a fine reredos.  The greatest of Spanish</w:t></w:r>
</w:p>
<w:p>
<w:pPr><w:pStyle w:val="Normal"/></w:pPr>
<w:r><w:t xml:space="preserve">writers, Cervantes, was born at Alcala de Henares, and baptized</w:t></w:r>
</w:p>
<w:p>
<w:pPr><w:pStyle w:val="Normal"/></w:pPr>
<w:r><w:t xml:space="preserve">in the otherwise insignificant church of S. Maria on the 9th</w:t></w:r>
</w:p>
<w:p>
<w:pPr><w:pStyle w:val="Normal"/></w:pPr>
<w:r><w:t xml:space="preserve">of October 1547.  A tablet, set up in 1840, marks the house</w:t></w:r>
</w:p>
<w:p>
<w:pPr><w:pStyle w:val="Normal"/></w:pPr>
<w:r><w:t xml:space="preserve">in which he is said to have been born.  Other illustrious</w:t></w:r>
</w:p>
<w:p>
<w:pPr><w:pStyle w:val="Normal"/></w:pPr>
<w:r><w:t xml:space="preserve">natives of the town were the emperor Ferdinand I. (1503-1564)</w:t></w:r>
</w:p>
<w:p>
<w:pPr><w:pStyle w:val="Normal"/></w:pPr>
<w:r><w:t xml:space="preserve">and the Spanish dramatist and historian Antonio de Solis</w:t></w:r>
</w:p>
<w:p>
<w:pPr><w:pStyle w:val="Normal"/></w:pPr>
<w:r><w:t xml:space="preserve">(1610-1686).  After the removal of the university to Madrid</w:t></w:r>
</w:p>
<w:p>
<w:pPr><w:pStyle w:val="Normal"/></w:pPr>
<w:r><w:t xml:space="preserve">in 1836 the town rapidly declined, and the government turned</w:t></w:r>
</w:p>
<w:p>
<w:pPr><w:pStyle w:val="Normal"/></w:pPr>
<w:r><w:t xml:space="preserve">most of the principal buildings erected by Cardinal Jimenes</w:t></w:r>
</w:p>
<w:p>
<w:pPr><w:pStyle w:val="Normal"/></w:pPr>
<w:r><w:t xml:space="preserve">in the 16th century into a depot for the archives of various</w:t></w:r>
</w:p>
<w:p>
<w:pPr><w:pStyle w:val="Normal"/></w:pPr>
<w:r><w:t xml:space="preserve">state departments.  Here are kept very complete and curious</w:t></w:r>
</w:p>
<w:p>
<w:pPr><w:pStyle w:val="Normal"/></w:pPr>
<w:r><w:t xml:space="preserve">documents of the Inquisition, showing all its workings</w:t></w:r>
</w:p>
<w:p>
<w:pPr><w:pStyle w:val="Normal"/></w:pPr>
<w:r><w:t xml:space="preserve">from the 15th to the 19th century.  One of the principal</w:t></w:r>
</w:p>
<w:p>
<w:pPr><w:pStyle w:val="Normal"/></w:pPr>
<w:r><w:t xml:space="preserve">libraries is the former palace of the archbishops of Toledo.</w:t></w:r>
</w:p>
<w:p>
<w:pPr><w:pStyle w:val="Normal"/></w:pPr>
<w:r><w:t xml:space="preserve">For a fuller description of Alcala see the Guia del viajero</w:t></w:r>
</w:p>
<w:p>
<w:pPr><w:pStyle w:val="Normal"/></w:pPr>
<w:r><w:t xml:space="preserve">en Alcala de Henares, by L. A. de la Torre (Alcala,</w:t></w:r>
</w:p>
<w:p>
<w:pPr><w:pStyle w:val="Normal"/></w:pPr>
<w:r><w:t xml:space="preserve">1882).  The following works are mainly of historical</w:t></w:r>
</w:p>
<w:p>
<w:pPr><w:pStyle w:val="Normal"/></w:pPr>
<w:r><w:t xml:space="preserve">interest:--M. de Ayala and F. Sastre, Alcala de Henares</w:t></w:r>
</w:p>
<w:p>
<w:pPr><w:pStyle w:val="Normal"/></w:pPr>
<w:r><w:t xml:space="preserve">(Madrid, 1890); J. C. Garcia, Ensayo de una Tipografia</w:t></w:r>
</w:p>
<w:p>
<w:pPr><w:pStyle w:val="Normal"/></w:pPr>
<w:r><w:t xml:space="preserve">Complutense (Madrid, 1889); M. Portilla y Esquivel, Historia</w:t></w:r>
</w:p>
<w:p>
<w:pPr><w:pStyle w:val="Normal"/></w:pPr>
<w:r><w:t xml:space="preserve">de la ciudad de Compluto (Alcala, 1725-1728); and the</w:t></w:r>
</w:p>
<w:p>
<w:pPr><w:pStyle w:val="Normal"/></w:pPr>
<w:r><w:t xml:space="preserve">``Annales Complutenses&apos;&apos; and ``Chronicon Complutense&apos;&apos; in</w:t></w:r>
</w:p>
<w:p>
<w:pPr><w:pStyle w:val="Normal"/></w:pPr>
<w:r><w:t xml:space="preserve">Espana Sagrada, by H. Florez and others (Madrid, 1754-1879).</w:t></w:r>
</w:p>
<w:p>
<w:pPr><w:pStyle w:val="Normal"/></w:pPr>
<w:r><w:t xml:space="preserve">ALCALDE (from the Arab. al-quadi, the ``Cadi&apos;&apos; or</w:t></w:r>
</w:p>
<w:p>
<w:pPr><w:pStyle w:val="Normal"/></w:pPr>
<w:r><w:t xml:space="preserve">``judge,&apos;), the title in Spanish for officials of somewhat</w:t></w:r>
</w:p>
<w:p>
<w:pPr><w:pStyle w:val="Normal"/></w:pPr>
<w:r><w:t xml:space="preserve">varied functions, in which, however, there is always a judicial</w:t></w:r>
</w:p>
<w:p>
<w:pPr><w:pStyle w:val="Normal"/></w:pPr>
<w:r><w:t xml:space="preserve">element. Alcalde de corte was a judge of the palace</w:t></w:r>
</w:p>
<w:p>
<w:pPr><w:pStyle w:val="Normal"/></w:pPr>
<w:r><w:t xml:space="preserve">court, having jurisdiction in and about the residence of the</w:t></w:r>
</w:p>
<w:p>
<w:pPr><w:pStyle w:val="Normal"/></w:pPr>
<w:r><w:t xml:space="preserve">king.  But the mayor of a town or village who discharged the</w:t></w:r>
</w:p>
<w:p>
<w:pPr><w:pStyle w:val="Normal"/></w:pPr>
<w:r><w:t xml:space="preserve">functions of a justice of the peace was also an alcalde. It</w:t></w:r>
</w:p>
<w:p>
<w:pPr><w:pStyle w:val="Normal"/></w:pPr>
<w:r><w:t xml:space="preserve">is in this sense that the title is now exclusively used.  He</w:t></w:r>
</w:p>
<w:p>
<w:pPr><w:pStyle w:val="Normal"/></w:pPr>
<w:r><w:t xml:space="preserve">is subject to yearly election and the post has often been an</w:t></w:r>
</w:p>
<w:p>
<w:pPr><w:pStyle w:val="Normal"/></w:pPr>
<w:r><w:t xml:space="preserve">undesirable one in Spain.  The title of alcalde must be carefully</w:t></w:r>
</w:p>
<w:p>
<w:pPr><w:pStyle w:val="Normal"/></w:pPr>
<w:r><w:t xml:space="preserve">distinguished from alcaide, which is derived from the Arabic</w:t></w:r>
</w:p>
<w:p>
<w:pPr><w:pStyle w:val="Normal"/></w:pPr>
<w:r><w:t xml:space="preserve">al-quaid, a general, and means the governor of a fortress.</w:t></w:r>
</w:p>
<w:p>
<w:pPr><w:pStyle w:val="Normal"/></w:pPr>
<w:r><w:t xml:space="preserve">ALCAMENES, a Greek sculptor of Lemnos and Athens.  He was</w:t></w:r>
</w:p>
<w:p>
<w:pPr><w:pStyle w:val="Normal"/></w:pPr>
<w:r><w:t xml:space="preserve">a younger contemporary of Pheidias and noted for the delicacy</w:t></w:r>
</w:p>
<w:p>
<w:pPr><w:pStyle w:val="Normal"/></w:pPr>
<w:r><w:t xml:space="preserve">and finish of his works, among which a Hephaestus and an</w:t></w:r>
</w:p>
<w:p>
<w:pPr><w:pStyle w:val="Normal"/></w:pPr>
<w:r><w:t xml:space="preserve">Aphrodite ``of the Gardens&apos;&apos; were conspicuous.  Pausanias</w:t></w:r>
</w:p>
<w:p>
<w:pPr><w:pStyle w:val="Normal"/></w:pPr>
<w:r><w:t xml:space="preserve">says (v. 10. 8) that he was the author of one of the pediments</w:t></w:r>
</w:p>
<w:p>
<w:pPr><w:pStyle w:val="Normal"/></w:pPr>
<w:r><w:t xml:space="preserve">of the temple of Zeus at Olympia (see GREEK ART), but this</w:t></w:r>
</w:p>
<w:p>
<w:pPr><w:pStyle w:val="Normal"/></w:pPr>
<w:r><w:t xml:space="preserve">seems a chronological and stylistic impossibility.  At Pergamum</w:t></w:r>
</w:p>
<w:p>
<w:pPr><w:pStyle w:val="Normal"/></w:pPr>
<w:r><w:t xml:space="preserve">there was discovered in 1903 a copy of the head of the Hermes</w:t></w:r>
</w:p>
<w:p>
<w:pPr><w:pStyle w:val="Normal"/></w:pPr>
<w:r><w:t xml:space="preserve">``Propylaeus&apos;&apos; of Alcamenes (Athenische Mittheilungen,</w:t></w:r>
</w:p>
<w:p>
<w:pPr><w:pStyle w:val="Normal"/></w:pPr>
<w:r><w:t xml:space="preserve">1904, p. 180).  As, however, the deity is represented in</w:t></w:r>
</w:p>
<w:p>
<w:pPr><w:pStyle w:val="Normal"/></w:pPr>
<w:r><w:t xml:space="preserve">an archaistic and conventional character, this copy cannot</w:t></w:r>
</w:p>
<w:p>
<w:pPr><w:pStyle w:val="Normal"/></w:pPr>
<w:r><w:t xml:space="preserve">be relied on as giving us much information as to the usual</w:t></w:r>
</w:p>
<w:p>
<w:pPr><w:pStyle w:val="Normal"/></w:pPr>
<w:r><w:t xml:space="preserve">style of Alcamenes, who was almost certainly a progressive</w:t></w:r>
</w:p>
<w:p>
<w:pPr><w:pStyle w:val="Normal"/></w:pPr>
<w:r><w:t xml:space="preserve">and original artist.  It is safer to judge him by the</w:t></w:r>
</w:p>
<w:p>
<w:pPr><w:pStyle w:val="Normal"/></w:pPr>
<w:r><w:t xml:space="preserve">sculptural decoration of the Parthenon, in which he must almost</w:t></w:r>
</w:p>
<w:p>
<w:pPr><w:pStyle w:val="Normal"/></w:pPr>
<w:r><w:t xml:space="preserve">certainly have taken a share under the direction of Pheidias.</w:t></w:r>
</w:p>
<w:p>
<w:pPr><w:pStyle w:val="Normal"/></w:pPr>
<w:r><w:t xml:space="preserve">ALCAMO, a town of Sicily, in the province of Trapani, 24</w:t></w:r>
</w:p>
<w:p>
<w:pPr><w:pStyle w:val="Normal"/></w:pPr>
<w:r><w:t xml:space="preserve">m.  W.S.W. of Palermo direct (51 1/2 m. by rail).  Pop. (1881)</w:t></w:r>
</w:p>
<w:p>
<w:pPr><w:pStyle w:val="Normal"/></w:pPr>
<w:r><w:t xml:space="preserve">37,497; (1901) 51,809.  It was founded in A.D. 828 by the</w:t></w:r>
</w:p>
<w:p>
<w:pPr><w:pStyle w:val="Normal"/></w:pPr>
<w:r><w:t xml:space="preserve">Saracenic chief Al-Kamuk, who erected the castle (which still</w:t></w:r>
</w:p>
<w:p>
<w:pPr><w:pStyle w:val="Normal"/></w:pPr>
<w:r><w:t xml:space="preserve">stands, though considerably altered), but was christianized</w:t></w:r>
</w:p>
<w:p>
<w:pPr><w:pStyle w:val="Normal"/></w:pPr>
<w:r><w:t xml:space="preserve">by the emperor Frederick II. in 1233, who removed the</w:t></w:r>
</w:p>
<w:p>
<w:pPr><w:pStyle w:val="Normal"/></w:pPr>
<w:r><w:t xml:space="preserve">site lower down.  It possesses some medieval buildings of</w:t></w:r>
</w:p>
<w:p>
<w:pPr><w:pStyle w:val="Normal"/></w:pPr>
<w:r><w:t xml:space="preserve">interest.  The surrounding district is very fertile</w:t></w:r>
</w:p>
<w:p>
<w:pPr><w:pStyle w:val="Normal"/></w:pPr>
<w:r><w:t xml:space="preserve">and the trade in agricultural products is considerable.</w:t></w:r>
</w:p>
<w:p>
<w:pPr><w:pStyle w:val="Normal"/></w:pPr>
<w:r><w:t xml:space="preserve">ALCANTARA, a small seaport of Brazil, in the state of Maranhao,</w:t></w:r>
</w:p>
<w:p>
<w:pPr><w:pStyle w:val="Normal"/></w:pPr>
<w:r><w:t xml:space="preserve">on the W. shore of the bay of Sao Marcos, 16 m. from the city of</w:t></w:r>
</w:p>
<w:p>
<w:pPr><w:pStyle w:val="Normal"/></w:pPr>
<w:r><w:t xml:space="preserve">Maranhao by water.  It has a fairly good harbour, and excellent</w:t></w:r>
</w:p>
<w:p>
<w:pPr><w:pStyle w:val="Normal"/></w:pPr>
<w:r><w:t xml:space="preserve">cotton and rice are grown in the vicinity and shipped thence.</w:t></w:r>
</w:p>
<w:p>
<w:pPr><w:pStyle w:val="Normal"/></w:pPr>
<w:r><w:t xml:space="preserve">ALCANTARA, a town of western Spain, in the province of</w:t></w:r>
</w:p>
<w:p>
<w:pPr><w:pStyle w:val="Normal"/></w:pPr>
<w:r><w:t xml:space="preserve">Caceres, situated on a rocky height on the left bank of the</w:t></w:r>
</w:p>
<w:p>
<w:pPr><w:pStyle w:val="Normal"/></w:pPr>
<w:r><w:t xml:space="preserve">river Tagus, 7 m. from the Portuguese frontier.  Pop. (1900)</w:t></w:r>
</w:p>
<w:p>
<w:pPr><w:pStyle w:val="Normal"/></w:pPr>
<w:r><w:t xml:space="preserve">3248.  Alcantara (in Arab. ``the bridge&apos;&apos;) owes its name</w:t></w:r>
</w:p>
<w:p>
<w:pPr><w:pStyle w:val="Normal"/></w:pPr>
<w:r><w:t xml:space="preserve">to the magnificent Roman bridge which spans the Tagus on the</w:t></w:r>
</w:p>
<w:p>
<w:pPr><w:pStyle w:val="Normal"/></w:pPr>
<w:r><w:t xml:space="preserve">north-west.  This was originally built about A.D. 105,</w:t></w:r>
</w:p>
<w:p>
<w:pPr><w:pStyle w:val="Normal"/></w:pPr>
<w:r><w:t xml:space="preserve">in honour of the Roman emperor Trajan and at the cost of</w:t></w:r>
</w:p>
<w:p>
<w:pPr><w:pStyle w:val="Normal"/></w:pPr>
<w:r><w:t xml:space="preserve">eleven Lusitanian communities.  It is entirely constructed</w:t></w:r>
</w:p>
<w:p>
<w:pPr><w:pStyle w:val="Normal"/></w:pPr>
<w:r><w:t xml:space="preserve">of granite blocks, without cement, and consists of six</w:t></w:r>
</w:p>
<w:p>
<w:pPr><w:pStyle w:val="Normal"/></w:pPr>
<w:r><w:t xml:space="preserve">arches of various sizes, with a total length of 616 feet</w:t></w:r>
</w:p>
<w:p>
<w:pPr><w:pStyle w:val="Normal"/></w:pPr>
<w:r><w:t xml:space="preserve">and a height of about 190 ft. in the middle piers, which are</w:t></w:r>
</w:p>
<w:p>
<w:pPr><w:pStyle w:val="Normal"/></w:pPr>
<w:r><w:t xml:space="preserve">surmounted by a fortified gateway.  One of the arches was</w:t></w:r>
</w:p>
<w:p>
<w:pPr><w:pStyle w:val="Normal"/></w:pPr>
<w:r><w:t xml:space="preserve">broken down in 1213 and rebuilt in 1553; another was blown</w:t></w:r>
</w:p>
<w:p>
<w:pPr><w:pStyle w:val="Normal"/></w:pPr>
<w:r><w:t xml:space="preserve">up by the British troops in 1809, and, though temporarily</w:t></w:r>
</w:p>
<w:p>
<w:pPr><w:pStyle w:val="Normal"/></w:pPr>
<w:r><w:t xml:space="preserve">reconstructed, was again destroyed in 1836, to prevent the</w:t></w:r>
</w:p>
<w:p>
<w:pPr><w:pStyle w:val="Normal"/></w:pPr>
<w:r><w:t xml:space="preserve">passage of the Carlist forces.  But in 1860 the whole was</w:t></w:r>
</w:p>
<w:p>
<w:pPr><w:pStyle w:val="Normal"/></w:pPr>
<w:r><w:t xml:space="preserve">restored.  A small Roman temple, dedicated to Trajan and</w:t></w:r>
</w:p>
<w:p>
<w:pPr><w:pStyle w:val="Normal"/></w:pPr>
<w:r><w:t xml:space="preserve">other deified emperors, stood on the left bank, adjoining the</w:t></w:r>
</w:p>
<w:p>
<w:pPr><w:pStyle w:val="Normal"/></w:pPr>
<w:r><w:t xml:space="preserve">bridge.  It is doubtful, however, if Alcantara marks the</w:t></w:r>
</w:p>
<w:p>
<w:pPr><w:pStyle w:val="Normal"/></w:pPr>
<w:r><w:t xml:space="preserve">site of any Roman town, though archaeologists have sometimes</w:t></w:r>
</w:p>
<w:p>
<w:pPr><w:pStyle w:val="Normal"/></w:pPr>
<w:r><w:t xml:space="preserve">identified it either with Norba Caesarea or with Interamnium.</w:t></w:r>
</w:p>
<w:p>
<w:pPr><w:pStyle w:val="Normal"/></w:pPr>
<w:r><w:t xml:space="preserve">It first became famous about 1215 as the stronghold of the</w:t></w:r>
</w:p>
<w:p>
<w:pPr><w:pStyle w:val="Normal"/></w:pPr>
<w:r><w:t xml:space="preserve">knightly Order of Alcantara.  Many of the grand masters of</w:t></w:r>
</w:p>
<w:p>
<w:pPr><w:pStyle w:val="Normal"/></w:pPr>
<w:r><w:t xml:space="preserve">this order lie buried in the 13th-century Gothic church.</w:t></w:r>
</w:p>
<w:p>
<w:pPr><w:pStyle w:val="Normal"/></w:pPr>
<w:r><w:t xml:space="preserve">The town possesses another interesting church built in 1506.</w:t></w:r>
</w:p>
<w:p>
<w:pPr><w:pStyle w:val="Normal"/></w:pPr>
<w:r><w:t xml:space="preserve">See Antiguedades y santos de la muy noble villa de Alcantara,</w:t></w:r>
</w:p>
<w:p>
<w:pPr><w:pStyle w:val="Normal"/></w:pPr>
<w:r><w:t xml:space="preserve">by J. Arias de Quintanaduenas (Madrid, 1661); and Retrato</w:t></w:r>
</w:p>
<w:p>
<w:pPr><w:pStyle w:val="Normal"/></w:pPr>
<w:r><w:t xml:space="preserve">politico de Alcantara, by L. Santibanez (Madrid, 1779).</w:t></w:r>
</w:p>
<w:p>
<w:pPr><w:pStyle w:val="Normal"/></w:pPr>
<w:r><w:t xml:space="preserve">ALCAVALA (Spanish, from Arab. al-quabalah, ``tax,&apos;&apos;</w:t></w:r>
</w:p>
<w:p>
<w:pPr><w:pStyle w:val="Normal"/></w:pPr>
<w:r><w:t xml:space="preserve">quabula, ``to receive&apos;&apos;; cf.  Fr. gabelle), a duty</w:t></w:r>
</w:p>
<w:p>
<w:pPr><w:pStyle w:val="Normal"/></w:pPr>
<w:r><w:t xml:space="preserve">formerly charged in Spain and its colonies on all transfers</w:t></w:r>
</w:p>
<w:p>
<w:pPr><w:pStyle w:val="Normal"/></w:pPr>
<w:r><w:t xml:space="preserve">of property, whether public or private.  Originally imposed</w:t></w:r>
</w:p>
<w:p>
<w:pPr><w:pStyle w:val="Normal"/></w:pPr>
<w:r><w:t xml:space="preserve">in 1341 by Alphonso XI. to secure freedom from the Moors,</w:t></w:r>
</w:p>
<w:p>
<w:pPr><w:pStyle w:val="Normal"/></w:pPr>
<w:r><w:t xml:space="preserve">it was an ad valorem tax of 10, increased afterwards to</w:t></w:r>
</w:p>
<w:p>
<w:pPr><w:pStyle w:val="Normal"/></w:pPr>
<w:r><w:t xml:space="preserve">14%, on the selling price of all commodities, whether raw</w:t></w:r>
</w:p>
<w:p>
<w:pPr><w:pStyle w:val="Normal"/></w:pPr>
<w:r><w:t xml:space="preserve">or manufactured, chargeable as often as they were sold or</w:t></w:r>
</w:p>
<w:p>
<w:pPr><w:pStyle w:val="Normal"/></w:pPr>
<w:r><w:t xml:space="preserve">exchanged.  It subjected every farmer, manufacturer, merchant</w:t></w:r>
</w:p>
<w:p>
<w:pPr><w:pStyle w:val="Normal"/></w:pPr>
<w:r><w:t xml:space="preserve">and shopkeeper to the continual visits and examination</w:t></w:r>
</w:p>
<w:p>
<w:pPr><w:pStyle w:val="Normal"/></w:pPr>
<w:r><w:t xml:space="preserve">of the tax-gatherers, whose number was necessarily very</w:t></w:r>
</w:p>
<w:p>
<w:pPr><w:pStyle w:val="Normal"/></w:pPr>
<w:r><w:t xml:space="preserve">great.  This monstrous impost was permitted to ruin the</w:t></w:r>
</w:p>
<w:p>
<w:pPr><w:pStyle w:val="Normal"/></w:pPr>
<w:r><w:t xml:space="preserve">industry and commerce of the greater part of the kingdom</w:t></w:r>
</w:p>
<w:p>
<w:pPr><w:pStyle w:val="Normal"/></w:pPr>
<w:r><w:t xml:space="preserve">up to the time of the invasion of Napoleon.  Catalonia</w:t></w:r>
</w:p>
<w:p>
<w:pPr><w:pStyle w:val="Normal"/></w:pPr>
<w:r><w:t xml:space="preserve">and Aragon purchased from Philip V. an exemption from the</w:t></w:r>
</w:p>
<w:p>
<w:pPr><w:pStyle w:val="Normal"/></w:pPr>
<w:r><w:t xml:space="preserve">alcavala, and, though still burdened with other heavy taxes,</w:t></w:r>
</w:p>
<w:p>
<w:pPr><w:pStyle w:val="Normal"/></w:pPr>
<w:r><w:t xml:space="preserve">were in consequence in a comparatively flourishing state.</w:t></w:r>
</w:p>
<w:p>
<w:pPr><w:pStyle w:val="Normal"/></w:pPr>
<w:r><w:t xml:space="preserve">ALCAZAR DE SAN JUAN, or ALCAZAR, a town of Spain, in</w:t></w:r>
</w:p>
<w:p>
<w:pPr><w:pStyle w:val="Normal"/></w:pPr>
<w:r><w:t xml:space="preserve">the province of Ciudad Real, in the plain of La Mancha, at</w:t></w:r>
</w:p>
<w:p>
<w:pPr><w:pStyle w:val="Normal"/></w:pPr>
<w:r><w:t xml:space="preserve">the junction of the Madrid-Manzanares and Madrid-Albacete</w:t></w:r>
</w:p>
<w:p>
<w:pPr><w:pStyle w:val="Normal"/></w:pPr>
<w:r><w:t xml:space="preserve">railways.  Pop. (1900) 11,499.  Owing to its position on two</w:t></w:r>
</w:p>
<w:p>
<w:pPr><w:pStyle w:val="Normal"/></w:pPr>
<w:r><w:t xml:space="preserve">important railways, Alcazar has a flourishing transit-trade</w:t></w:r>
</w:p>
<w:p>
<w:pPr><w:pStyle w:val="Normal"/></w:pPr>
<w:r><w:t xml:space="preserve">in the wines of Estremadura and Andalusia; the soda and</w:t></w:r>
</w:p>
<w:p>
<w:pPr><w:pStyle w:val="Normal"/></w:pPr>
<w:r><w:t xml:space="preserve">alkali of La Mancha are used in the manufacture of soap; and</w:t></w:r>
</w:p>
<w:p>
<w:pPr><w:pStyle w:val="Normal"/></w:pPr>
<w:r><w:t xml:space="preserve">gunpowder, chocolate and inlaid daggers are also made here.</w:t></w:r>
</w:p>
<w:p>
<w:pPr><w:pStyle w:val="Normal"/></w:pPr>
<w:r><w:t xml:space="preserve">Alcazar is sometimes identified with the Roman Alce. captured</w:t></w:r>
</w:p>
<w:p>
<w:pPr><w:pStyle w:val="Normal"/></w:pPr>
<w:r><w:t xml:space="preserve">by Tiberius Sempronius Gracchus in 180 B.C. It derives its</w:t></w:r>
</w:p>
<w:p>
<w:pPr><w:pStyle w:val="Normal"/></w:pPr>
<w:r><w:t xml:space="preserve">existing name from its medieval Moorish castle (al-kasr),</w:t></w:r>
</w:p>
<w:p>
<w:pPr><w:pStyle w:val="Normal"/></w:pPr>
<w:r><w:t xml:space="preserve">which was afterwards garrisoned by the knights of St John.</w:t></w:r>
</w:p>
<w:p>
<w:pPr><w:pStyle w:val="Normal"/></w:pPr>
<w:r><w:t xml:space="preserve">The townsfolk contend that the great Cervantes was a native</w:t></w:r>
</w:p>
<w:p>
<w:pPr><w:pStyle w:val="Normal"/></w:pPr>
<w:r><w:t xml:space="preserve">of Alcazar; and, although this claim must be disallowed, much</w:t></w:r>
</w:p>
<w:p>
<w:pPr><w:pStyle w:val="Normal"/></w:pPr>
<w:r><w:t xml:space="preserve">of the action of his masterpiece, Don Quixote, takes place</w:t></w:r>
</w:p>
<w:p>
<w:pPr><w:pStyle w:val="Normal"/></w:pPr>
<w:r><w:t xml:space="preserve">in the neighbourhood.  El Toboso, for instance, a village 12</w:t></w:r>
</w:p>
<w:p>
<w:pPr><w:pStyle w:val="Normal"/></w:pPr>
<w:r><w:t xml:space="preserve">m.  E.N.E. [pop. ( 1900) 1895], was the home of the Lady</w:t></w:r>
</w:p>
<w:p>
<w:pPr><w:pStyle w:val="Normal"/></w:pPr>
<w:r><w:t xml:space="preserve">Dulcinea del Toboso; Argamasilla de Alba (3505), 22 m.  S.E.,</w:t></w:r>
</w:p>
<w:p>
<w:pPr><w:pStyle w:val="Normal"/></w:pPr>
<w:r><w:t xml:space="preserve">is declared by tradition to be the birthplace of Don Quixote</w:t></w:r>
</w:p>
<w:p>
<w:pPr><w:pStyle w:val="Normal"/></w:pPr>
<w:r><w:t xml:space="preserve">himself.  Local antiquaries even identify the knight with Don</w:t></w:r>
</w:p>
<w:p>
<w:pPr><w:pStyle w:val="Normal"/></w:pPr>
<w:r><w:t xml:space="preserve">Rodrigo de Pacheco, whose portrait adorns the parish church;</w:t></w:r>
</w:p>
<w:p>
<w:pPr><w:pStyle w:val="Normal"/></w:pPr>
<w:r><w:t xml:space="preserve">and the same authorities hold that part of the romance was</w:t></w:r>
</w:p>
<w:p>
<w:pPr><w:pStyle w:val="Normal"/></w:pPr>
<w:r><w:t xml:space="preserve">written while Cervantes was a prisoner in their town.  An</w:t></w:r>
</w:p>
<w:p>
<w:pPr><w:pStyle w:val="Normal"/></w:pPr>
<w:r><w:t xml:space="preserve">edition of Don Quixote was published at Argamasilla in 1864.</w:t></w:r>
</w:p>
<w:p>
<w:pPr><w:pStyle w:val="Normal"/></w:pPr>
<w:r><w:t xml:space="preserve">ALCESTER, FREDERICK BEAUCHAMP PAGET SEYMOUR, BARON</w:t></w:r>
</w:p>
<w:p>
<w:pPr><w:pStyle w:val="Normal"/></w:pPr>
<w:r><w:t xml:space="preserve">(1821-1895), British admiral, son of Colonel Sir Horace</w:t></w:r>
</w:p>
<w:p>
<w:pPr><w:pStyle w:val="Normal"/></w:pPr>
<w:r><w:t xml:space="preserve">Beauchamp Seymour and cousin of Francis George Hugh Seymour,</w:t></w:r>
</w:p>
<w:p>
<w:pPr><w:pStyle w:val="Normal"/></w:pPr>
<w:r><w:t xml:space="preserve">5th marquess of Hertford, was born on the 12th of April</w:t></w:r>
</w:p>
<w:p>
<w:pPr><w:pStyle w:val="Normal"/></w:pPr>
<w:r><w:t xml:space="preserve">1821.  Entering the navy in 1834, he served in the Mediterranean</w:t></w:r>
</w:p>
<w:p>
<w:pPr><w:pStyle w:val="Normal"/></w:pPr>
<w:r><w:t xml:space="preserve">and the Pacific, was for three years flag-lieutenant to his</w:t></w:r>
</w:p>
<w:p>
<w:pPr><w:pStyle w:val="Normal"/></w:pPr>
<w:r><w:t xml:space="preserve">uncle Sir George Seymour, and was promoted to be commander in</w:t></w:r>
</w:p>
<w:p>
<w:pPr><w:pStyle w:val="Normal"/></w:pPr>
<w:r><w:t xml:space="preserve">1847.  He served in Burma as a volunteer in 1852, was made</w:t></w:r>
</w:p>
<w:p>
<w:pPr><w:pStyle w:val="Normal"/></w:pPr>
<w:r><w:t xml:space="preserve">a captain in 1854, took the ``Meteor&apos;&apos; ironclad battery out</w:t></w:r>
</w:p>
<w:p>
<w:pPr><w:pStyle w:val="Normal"/></w:pPr>
<w:r><w:t xml:space="preserve">to the Black Sea and home again in 1856, was captain of the</w:t></w:r>
</w:p>
<w:p>
<w:pPr><w:pStyle w:val="Normal"/></w:pPr>
<w:r><w:t xml:space="preserve">``Pelorus&apos;&apos; on the Australian station from 1857 to 1863,</w:t></w:r>
</w:p>
<w:p>
<w:pPr><w:pStyle w:val="Normal"/></w:pPr>
<w:r><w:t xml:space="preserve">and commanded the naval brigade in New Zealand during the</w:t></w:r>
</w:p>
<w:p>
<w:pPr><w:pStyle w:val="Normal"/></w:pPr>
<w:r><w:t xml:space="preserve">Maori War, 1860-61, for which he was made a C.B. He became</w:t></w:r>
</w:p>
<w:p>
<w:pPr><w:pStyle w:val="Normal"/></w:pPr>
<w:r><w:t xml:space="preserve">a rear-admiral in 1870; in 1871-1872 he commanded the flying</w:t></w:r>
</w:p>
<w:p>
<w:pPr><w:pStyle w:val="Normal"/></w:pPr>
<w:r><w:t xml:space="preserve">squadron, was a lord of the admiralty in 1872-1874, and</w:t></w:r>
</w:p>
<w:p>
<w:pPr><w:pStyle w:val="Normal"/></w:pPr>
<w:r><w:t xml:space="preserve">commanded the Channel fleet, 1874-1876.  On the 31st of December</w:t></w:r>
</w:p>
<w:p>
<w:pPr><w:pStyle w:val="Normal"/></w:pPr>
<w:r><w:t xml:space="preserve">1876 he was made a vice-admiral, a K.C.B. on the 2nd of June</w:t></w:r>
</w:p>
<w:p>
<w:pPr><w:pStyle w:val="Normal"/></w:pPr>
<w:r><w:t xml:space="preserve">1877.  In 1880-1883 he was commander-in-chief of the fleet</w:t></w:r>
</w:p>
<w:p>
<w:pPr><w:pStyle w:val="Normal"/></w:pPr>
<w:r><w:t xml:space="preserve">in the Mediterranean, and in 1880 had also the chief command</w:t></w:r>
</w:p>
<w:p>
<w:pPr><w:pStyle w:val="Normal"/></w:pPr>
<w:r><w:t xml:space="preserve">of the European squadron sent to the coast of Albania as</w:t></w:r>
</w:p>
<w:p>
<w:pPr><w:pStyle w:val="Normal"/></w:pPr>
<w:r><w:t xml:space="preserve">a demonstration to compel the Porte to cede Dulcigno to</w:t></w:r>
</w:p>
<w:p>
<w:pPr><w:pStyle w:val="Normal"/></w:pPr>
<w:r><w:t xml:space="preserve">Montenegro.  On the 24th of May 1881 he was made a G.C.B.,</w:t></w:r>
</w:p>
<w:p>
<w:pPr><w:pStyle w:val="Normal"/></w:pPr>
<w:r><w:t xml:space="preserve">and on the 6th of May 1882 was promoted to the rank of</w:t></w:r>
</w:p>
<w:p>
<w:pPr><w:pStyle w:val="Normal"/></w:pPr>
<w:r><w:t xml:space="preserve">admiral.  In July 1882 he commanded at the bombardment of</w:t></w:r>
</w:p>
<w:p>
<w:pPr><w:pStyle w:val="Normal"/></w:pPr>
<w:r><w:t xml:space="preserve">Alexandria and in the subsequent operations on the coast of</w:t></w:r>
</w:p>
<w:p>
<w:pPr><w:pStyle w:val="Normal"/></w:pPr>
<w:r><w:t xml:space="preserve">Egypt, for which service he was raised to the peerage as</w:t></w:r>
</w:p>
<w:p>
<w:pPr><w:pStyle w:val="Normal"/></w:pPr>
<w:r><w:t xml:space="preserve">Baron Alcester of Alcester in the county of Warwick, received</w:t></w:r>
</w:p>
<w:p>
<w:pPr><w:pStyle w:val="Normal"/></w:pPr>
<w:r><w:t xml:space="preserve">a parliamentary grant of L. 25,000, the freedom of the city</w:t></w:r>
</w:p>
<w:p>
<w:pPr><w:pStyle w:val="Normal"/></w:pPr>
<w:r><w:t xml:space="preserve">of London and a sword of honour.  On his return from the</w:t></w:r>
</w:p>
<w:p>
<w:pPr><w:pStyle w:val="Normal"/></w:pPr>
<w:r><w:t xml:space="preserve">Mediterranean he was for a couple of years again at the</w:t></w:r>
</w:p>
<w:p>
<w:pPr><w:pStyle w:val="Normal"/></w:pPr>
<w:r><w:t xml:space="preserve">admiralty, and in 1886 he was placed on the retired list.  For</w:t></w:r>
</w:p>
<w:p>
<w:pPr><w:pStyle w:val="Normal"/></w:pPr>
<w:r><w:t xml:space="preserve">the next nine years he lived chiefly in London, but latterly</w:t></w:r>
</w:p>
<w:p>
<w:pPr><w:pStyle w:val="Normal"/></w:pPr>
<w:r><w:t xml:space="preserve">his health was much broken, and he died on the 30th of March</w:t></w:r>
</w:p>
<w:p>
<w:pPr><w:pStyle w:val="Normal"/></w:pPr>
<w:r><w:t xml:space="preserve">1895.  He was unmarried and the peerage became extinct.</w:t></w:r>
</w:p>
<w:p>
<w:pPr><w:pStyle w:val="Normal"/></w:pPr>
<w:r><w:t xml:space="preserve">ALCESTER [pronounced Auster, a market-town in the</w:t></w:r>
</w:p>
<w:p>
<w:pPr><w:pStyle w:val="Normal"/></w:pPr>
<w:r><w:t xml:space="preserve">Stratford-on-Avon parliamentary division of Warwickshire,</w:t></w:r>
</w:p>
<w:p>
<w:pPr><w:pStyle w:val="Normal"/></w:pPr>
<w:r><w:t xml:space="preserve">England, 16 m.  W.S.W. from Warwick by the Great Western</w:t></w:r>
</w:p>
<w:p>
<w:pPr><w:pStyle w:val="Normal"/></w:pPr>
<w:r><w:t xml:space="preserve">railway, served also by the Birmingham-Evesham branch of</w:t></w:r>
</w:p>
<w:p>
<w:pPr><w:pStyle w:val="Normal"/></w:pPr>
<w:r><w:t xml:space="preserve">the Midland railway.  Pop. (1901) 2303.  It is pleasantly</w:t></w:r>
</w:p>
<w:p>
<w:pPr><w:pStyle w:val="Normal"/></w:pPr>
<w:r><w:t xml:space="preserve">situated among low wooded hills at the junction of the small</w:t></w:r>
</w:p>
<w:p>
<w:pPr><w:pStyle w:val="Normal"/></w:pPr>
<w:r><w:t xml:space="preserve">stream Alne with the Arrow, a northern tributary of the</w:t></w:r>
</w:p>
<w:p>
<w:pPr><w:pStyle w:val="Normal"/></w:pPr>
<w:r><w:t xml:space="preserve">Avon.  The church of St Nicholas, with the exception of the</w:t></w:r>
</w:p>
<w:p>
<w:pPr><w:pStyle w:val="Normal"/></w:pPr>
<w:r><w:t xml:space="preserve">Decorated tower, is a reconstruction of 1734; among several</w:t></w:r>
</w:p>
<w:p>
<w:pPr><w:pStyle w:val="Normal"/></w:pPr>
<w:r><w:t xml:space="preserve">monuments is a fine example of Chantrey&apos;s work, to the 2nd</w:t></w:r>
</w:p>
<w:p>
<w:pPr><w:pStyle w:val="Normal"/></w:pPr>
<w:r><w:t xml:space="preserve">marquess of Hertford (d. 1822).  There are a picturesque</w:t></w:r>
</w:p>
<w:p>
<w:pPr><w:pStyle w:val="Normal"/></w:pPr>
<w:r><w:t xml:space="preserve">town hall (1641), raised on stone columns, and a free grammar</w:t></w:r>
</w:p>
<w:p>
<w:pPr><w:pStyle w:val="Normal"/></w:pPr>
<w:r><w:t xml:space="preserve">school.  The manufacture of needles is less important than</w:t></w:r>
</w:p>
<w:p>
<w:pPr><w:pStyle w:val="Normal"/></w:pPr>
<w:r><w:t xml:space="preserve">formerly, having been absorbed into the centre of the industry</w:t></w:r>
</w:p>
<w:p>
<w:pPr><w:pStyle w:val="Normal"/></w:pPr>
<w:r><w:t xml:space="preserve">at Redditch in the neighbouring county of Worcestershire.  There</w:t></w:r>
</w:p>
<w:p>
<w:pPr><w:pStyle w:val="Normal"/></w:pPr>
<w:r><w:t xml:space="preserve">are implement works and cycle works, and brewing is prosecuted.</w:t></w:r>
</w:p>
<w:p>
<w:pPr><w:pStyle w:val="Normal"/></w:pPr>
<w:r><w:t xml:space="preserve">The name (Alnecestre, Alyncester) signifies ``the camp on the</w:t></w:r>
</w:p>
<w:p>
<w:pPr><w:pStyle w:val="Normal"/></w:pPr>
<w:r><w:t xml:space="preserve">Alne.&apos;&apos; A small Romano-British town or village was situated</w:t></w:r>
</w:p>
<w:p>
<w:pPr><w:pStyle w:val="Normal"/></w:pPr>
<w:r><w:t xml:space="preserve">here, on the road which runs from Derby and Wall, near Lichfield,</w:t></w:r>
</w:p>
<w:p>
<w:pPr><w:pStyle w:val="Normal"/></w:pPr>
<w:r><w:t xml:space="preserve">to join the Fosse Way near Cirencester.  Its name is not</w:t></w:r>
</w:p>
<w:p>
<w:pPr><w:pStyle w:val="Normal"/></w:pPr>
<w:r><w:t xml:space="preserve">known.  A relief figure in stone, some pavements, potsherds,</w:t></w:r>
</w:p>
<w:p>
<w:pPr><w:pStyle w:val="Normal"/></w:pPr>
<w:r><w:t xml:space="preserve">coins and burials have been found, but nothing to indicate an</w:t></w:r>
</w:p>
<w:p>
<w:pPr><w:pStyle w:val="Normal"/></w:pPr>
<w:r><w:t xml:space="preserve">important station.  No written document relating to Alcester</w:t></w:r>
</w:p>
<w:p>
<w:pPr><w:pStyle w:val="Normal"/></w:pPr>
<w:r><w:t xml:space="preserve">exists before the reign of Henry I. No mention occurs in</w:t></w:r>
</w:p>
<w:p>
<w:pPr><w:pStyle w:val="Normal"/></w:pPr>
<w:r><w:t xml:space="preserve">Domesday, but it is given in a list of serjeanties of the</w:t></w:r>
</w:p>
<w:p>
<w:pPr><w:pStyle w:val="Normal"/></w:pPr>
<w:r><w:t xml:space="preserve">reign of Henry III. as having been a royal borough in the time</w:t></w:r>
</w:p>
<w:p>
<w:pPr><w:pStyle w:val="Normal"/></w:pPr>
<w:r><w:t xml:space="preserve">of Henry I., and in 1177 it rendered four marks&apos; aid with the</w:t></w:r>
</w:p>
<w:p>
<w:pPr><w:pStyle w:val="Normal"/></w:pPr>
<w:r><w:t xml:space="preserve">other boroughs of the county.  However, there is no evidence</w:t></w:r>
</w:p>
<w:p>
<w:pPr><w:pStyle w:val="Normal"/></w:pPr>
<w:r><w:t xml:space="preserve">of the grant of a royal charter, and the title of borough soon</w:t></w:r>
</w:p>
<w:p>
<w:pPr><w:pStyle w:val="Normal"/></w:pPr>
<w:r><w:t xml:space="preserve">lapsed.  In the reign of Henry III. a moiety of the manor</w:t></w:r>
</w:p>
<w:p>
<w:pPr><w:pStyle w:val="Normal"/></w:pPr>
<w:r><w:t xml:space="preserve">was purchased by Sir Walter Beauchamp, who granted a charter</w:t></w:r>
</w:p>
<w:p>
<w:pPr><w:pStyle w:val="Normal"/></w:pPr>
<w:r><w:t xml:space="preserve">to the inhabitants of ihe town establishing a Tuesday market</w:t></w:r>
</w:p>
<w:p>
<w:pPr><w:pStyle w:val="Normal"/></w:pPr>
<w:r><w:t xml:space="preserve">for corn, cattle, and all kinds of merchandise, and also</w:t></w:r>
</w:p>
<w:p>
<w:pPr><w:pStyle w:val="Normal"/></w:pPr>
<w:r><w:t xml:space="preserve">obtained grants of fairs at the feasts of St Giles (afterwards</w:t></w:r>
</w:p>
<w:p>
<w:pPr><w:pStyle w:val="Normal"/></w:pPr>
<w:r><w:t xml:space="preserve">transferred to the feast of St Faith) and St Barnabas.  In</w:t></w:r>
</w:p>
<w:p>
<w:pPr><w:pStyle w:val="Normal"/></w:pPr>
<w:r><w:t xml:space="preserve">1444 Sir John Beauchamp purchased the remaining moiety of the</w:t></w:r>
</w:p>
<w:p>
<w:pPr><w:pStyle w:val="Normal"/></w:pPr>
<w:r><w:t xml:space="preserve">manor, and was granted an additional fair at the feast of St</w:t></w:r>
</w:p>
<w:p>
<w:pPr><w:pStyle w:val="Normal"/></w:pPr>
<w:r><w:t xml:space="preserve">Dunstan.  From this date the Beauchamps were lords of the</w:t></w:r>
</w:p>
<w:p>
<w:pPr><w:pStyle w:val="Normal"/></w:pPr>
<w:r><w:t xml:space="preserve">whole manor until it passed by female descent to the Grevilles</w:t></w:r>
</w:p>
<w:p>
<w:pPr><w:pStyle w:val="Normal"/></w:pPr>
<w:r><w:t xml:space="preserve">in the reign of Henry VIII. in 1140 a Benedictine monastery</w:t></w:r>
</w:p>
<w:p>
<w:pPr><w:pStyle w:val="Normal"/></w:pPr>
<w:r><w:t xml:space="preserve">was founded here by Falph Boteler of Oversley, and received</w:t></w:r>
</w:p>
<w:p>
<w:pPr><w:pStyle w:val="Normal"/></w:pPr>
<w:r><w:t xml:space="preserve">the name of the Church of Our Lady of the Isle, owing to its</w:t></w:r>
</w:p>
<w:p>
<w:pPr><w:pStyle w:val="Normal"/></w:pPr>
<w:r><w:t xml:space="preserve">insulation by a moat meeting the river Arrow.  The monastery</w:t></w:r>
</w:p>
<w:p>
<w:pPr><w:pStyle w:val="Normal"/></w:pPr>
<w:r><w:t xml:space="preserve">was suppressed among the smaller houses in 1536.  Traces of</w:t></w:r>
</w:p>
<w:p>
<w:pPr><w:pStyle w:val="Normal"/></w:pPr>
<w:r><w:t xml:space="preserve">the moat and the foundations are still to be seen in Priory</w:t></w:r>
</w:p>
<w:p>
<w:pPr><w:pStyle w:val="Normal"/></w:pPr>
<w:r><w:t xml:space="preserve">Close.  The ancient fairs survived to the end of the 19th century.</w:t></w:r>
</w:p>
<w:p>
<w:pPr><w:pStyle w:val="Normal"/></w:pPr>
<w:r><w:t xml:space="preserve">in 1830 the needle-manufacture employed nearly a thousand hands.</w:t></w:r>
</w:p>
<w:p>
<w:pPr><w:pStyle w:val="Normal"/></w:pPr>
<w:r><w:t xml:space="preserve">ALCESTIS (ALKESTIS), in Greek legend the daughter of</w:t></w:r>
</w:p>
<w:p>
<w:pPr><w:pStyle w:val="Normal"/></w:pPr>
<w:r><w:t xml:space="preserve">Pelias and Anaxibia, and wife of Admetus, king of Pherae in</w:t></w:r>
</w:p>
<w:p>
<w:pPr><w:pStyle w:val="Normal"/></w:pPr>
<w:r><w:t xml:space="preserve">Thessaly.  She consented to die in place of her husband,</w:t></w:r>
</w:p>
<w:p>
<w:pPr><w:pStyle w:val="Normal"/></w:pPr>
<w:r><w:t xml:space="preserve">and was afterwards rescued by Heracles.  This beautiful</w:t></w:r>
</w:p>
<w:p>
<w:pPr><w:pStyle w:val="Normal"/></w:pPr>
<w:r><w:t xml:space="preserve">story of conjugal devotion forms the subject of the</w:t></w:r>
</w:p>
<w:p>
<w:pPr><w:pStyle w:val="Normal"/></w:pPr>
<w:r><w:t xml:space="preserve">Alcestis of Euripides, which furnished the basis of</w:t></w:r>
</w:p>
<w:p>
<w:pPr><w:pStyle w:val="Normal"/></w:pPr>
<w:r><w:t xml:space="preserve">Robert Browning&apos;s Balaustion&apos;s Adventure. Sophocles</w:t></w:r>
</w:p>
<w:p>
<w:pPr><w:pStyle w:val="Normal"/></w:pPr>
<w:r><w:t xml:space="preserve">also wrote an Alcestis, of which only fragments remain.</w:t></w:r>
</w:p>
<w:p>
<w:pPr><w:pStyle w:val="Normal"/></w:pPr>
<w:r><w:t xml:space="preserve">See Dissel, Der Mythos von Admetus und Alkestis, 1882.</w:t></w:r>
</w:p>
<w:p>
<w:pPr><w:pStyle w:val="Normal"/></w:pPr>
<w:r><w:t xml:space="preserve">ALCHEMY. In the narrow sense of the word, alchemy is the</w:t></w:r>
</w:p>
<w:p>
<w:pPr><w:pStyle w:val="Normal"/></w:pPr>
<w:r><w:t xml:space="preserve">pretended art of making gold and silver, or transmuting the</w:t></w:r>
</w:p>
<w:p>
<w:pPr><w:pStyle w:val="Normal"/></w:pPr>
<w:r><w:t xml:space="preserve">base metals into the noble ones.  The idea of such transmutation</w:t></w:r>
</w:p>
<w:p>
<w:pPr><w:pStyle w:val="Normal"/></w:pPr>
<w:r><w:t xml:space="preserve">probably arose among the Alexandrian Greeks in the early</w:t></w:r>
</w:p>
<w:p>
<w:pPr><w:pStyle w:val="Normal"/></w:pPr>
<w:r><w:t xml:space="preserve">centuries of the Christian era; thence it passed to the</w:t></w:r>
</w:p>
<w:p>
<w:pPr><w:pStyle w:val="Normal"/></w:pPr>
<w:r><w:t xml:space="preserve">Arabs, by whom it was transmitted to western Europe, and its</w:t></w:r>
</w:p>
<w:p>
<w:pPr><w:pStyle w:val="Normal"/></w:pPr>
<w:r><w:t xml:space="preserve">realization was a leading aim of chemical workers down to the</w:t></w:r>
</w:p>
<w:p>
<w:pPr><w:pStyle w:val="Normal"/></w:pPr>
<w:r><w:t xml:space="preserve">time of Paracelsus and even later.  But ``alchemy&apos;&apos; was something</w:t></w:r>
</w:p>
<w:p>
<w:pPr><w:pStyle w:val="Normal"/></w:pPr>
<w:r><w:t xml:space="preserve">more than a particularly vain and deluded manifestation of</w:t></w:r>
</w:p>
<w:p>
<w:pPr><w:pStyle w:val="Normal"/></w:pPr>
<w:r><w:t xml:space="preserve">the thirst for gold, as it is sometimes represented; in its</w:t></w:r>
</w:p>
<w:p>
<w:pPr><w:pStyle w:val="Normal"/></w:pPr>
<w:r><w:t xml:space="preserve">wider and truer significance it stands for the chemistry of</w:t></w:r>
</w:p>
<w:p>
<w:pPr><w:pStyle w:val="Normal"/></w:pPr>
<w:r><w:t xml:space="preserve">the middle ages.  The idea of transmutation, in the country</w:t></w:r>
</w:p>
<w:p>
<w:pPr><w:pStyle w:val="Normal"/></w:pPr>
<w:r><w:t xml:space="preserve">of its origin, had a philosophical basis, and was linked</w:t></w:r>
</w:p>
<w:p>
<w:pPr><w:pStyle w:val="Normal"/></w:pPr>
<w:r><w:t xml:space="preserve">up with the Greek theories of matter there current; thus,</w:t></w:r>
</w:p>
<w:p>
<w:pPr><w:pStyle w:val="Normal"/></w:pPr>
<w:r><w:t xml:space="preserve">by supplying a central philosophical principle, it to some</w:t></w:r>
</w:p>
<w:p>
<w:pPr><w:pStyle w:val="Normal"/></w:pPr>
<w:r><w:t xml:space="preserve">extent unified and focussed chemical effort, which previously,</w:t></w:r>
</w:p>
<w:p>
<w:pPr><w:pStyle w:val="Normal"/></w:pPr>
<w:r><w:t xml:space="preserve">so far as it existed at all, had been expended on acquiring</w:t></w:r>
</w:p>
<w:p>
<w:pPr><w:pStyle w:val="Normal"/></w:pPr>
<w:r><w:t xml:space="preserve">empirical acquaintance with a mass of disconnected technical</w:t></w:r>
</w:p>
<w:p>
<w:pPr><w:pStyle w:val="Normal"/></w:pPr>
<w:r><w:t xml:space="preserve">processes.  Alchemy in this sense is merely an early phase of</w:t></w:r>
</w:p>
<w:p>
<w:pPr><w:pStyle w:val="Normal"/></w:pPr>
<w:r><w:t xml:space="preserve">the development of systematic chemistry; in Liebig&apos;s words, it</w:t></w:r>
</w:p>
<w:p>
<w:pPr><w:pStyle w:val="Normal"/></w:pPr>
<w:r><w:t xml:space="preserve">was ``never at any time anything different from chemistry.&apos;&apos;</w:t></w:r>
</w:p>
<w:p>
<w:pPr><w:pStyle w:val="Normal"/></w:pPr>
<w:r><w:t xml:space="preserve">Regarding the derivation of the word, there are two main views</w:t></w:r>
</w:p>
<w:p>
<w:pPr><w:pStyle w:val="Normal"/></w:pPr>
<w:r><w:t xml:space="preserve">which agree in holding that it has an Arabic descent, the</w:t></w:r>
</w:p>
<w:p>
<w:pPr><w:pStyle w:val="Normal"/></w:pPr>
<w:r><w:t xml:space="preserve">prefix al being the Arabic article.  But according to one,</w:t></w:r>
</w:p>
<w:p>
<w:pPr><w:pStyle w:val="Normal"/></w:pPr>
<w:r><w:t xml:space="preserve">the second part of the word comes from the Greek chumeia,</w:t></w:r>
</w:p>
<w:p>
<w:pPr><w:pStyle w:val="Normal"/></w:pPr>
<w:r><w:t xml:space="preserve">pouring, infusion, used in connexion with the study of the</w:t></w:r>
</w:p>
<w:p>
<w:pPr><w:pStyle w:val="Normal"/></w:pPr>
<w:r><w:t xml:space="preserve">juices of plants, and thence extended to chemical manipulations</w:t></w:r>
</w:p>
<w:p>
<w:pPr><w:pStyle w:val="Normal"/></w:pPr>
<w:r><w:t xml:space="preserve">in general; this derivation accounts for the old-fashioned</w:t></w:r>
</w:p>
<w:p>
<w:pPr><w:pStyle w:val="Normal"/></w:pPr>
<w:r><w:t xml:space="preserve">spellings ``chymist&apos;&apos; and ``chymistry.&apos;&apos; The other view</w:t></w:r>
</w:p>
<w:p>
<w:pPr><w:pStyle w:val="Normal"/></w:pPr>
<w:r><w:t xml:space="preserve">traces it to khem or khame, hieroglyph khmi, which</w:t></w:r>
</w:p>
<w:p>
<w:pPr><w:pStyle w:val="Normal"/></w:pPr>
<w:r><w:t xml:space="preserve">denotes black earth as opposed to barren sand, and occurs in</w:t></w:r>
</w:p>
<w:p>
<w:pPr><w:pStyle w:val="Normal"/></w:pPr>
<w:r><w:t xml:space="preserve">Plutarch as chumeia; on this derivation alchemy is explained</w:t></w:r>
</w:p>
<w:p>
<w:pPr><w:pStyle w:val="Normal"/></w:pPr>
<w:r><w:t xml:space="preserve">as meaning the ``Egyptian art.&apos;&apos; The first occurrence of</w:t></w:r>
</w:p>
<w:p>
<w:pPr><w:pStyle w:val="Normal"/></w:pPr>
<w:r><w:t xml:space="preserve">the word is said to be in a treatise of Julius Firmicus, an</w:t></w:r>
</w:p>
<w:p>
<w:pPr><w:pStyle w:val="Normal"/></w:pPr>
<w:r><w:t xml:space="preserve">astrological writer of the 4th century, but the prefix al</w:t></w:r>
</w:p>
<w:p>
<w:pPr><w:pStyle w:val="Normal"/></w:pPr>
<w:r><w:t xml:space="preserve">there must be the addition of a later copyist.  Among the</w:t></w:r>
</w:p>
<w:p>
<w:pPr><w:pStyle w:val="Normal"/></w:pPr>
<w:r><w:t xml:space="preserve">Alexandrian writers alchemy was designated as e tes chrusou</w:t></w:r>
</w:p>
<w:p>
<w:pPr><w:pStyle w:val="Normal"/></w:pPr>
<w:r><w:t xml:space="preserve">te kai argurou poieseos techne theia kai iera or</w:t></w:r>
</w:p>
<w:p>
<w:pPr><w:pStyle w:val="Normal"/></w:pPr>
<w:r><w:t xml:space="preserve">e episteme iera.  In English, Piers Plowman (1362)</w:t></w:r>
</w:p>
<w:p>
<w:pPr><w:pStyle w:val="Normal"/></w:pPr>
<w:r><w:t xml:space="preserve">contains the phrase ``experimentis of alconomye,&apos;&apos; with</w:t></w:r>
</w:p>
<w:p>
<w:pPr><w:pStyle w:val="Normal"/></w:pPr>
<w:r><w:t xml:space="preserve">variants ``alkenemye&apos;&apos; and ``alknamye.&apos;&apos; The prefix al</w:t></w:r>
</w:p>
<w:p>
<w:pPr><w:pStyle w:val="Normal"/></w:pPr>
<w:r><w:t xml:space="preserve">begins to be dropped about the middle of the 16th century.</w:t></w:r>
</w:p>
<w:p>
<w:pPr><w:pStyle w:val="Normal"/></w:pPr>
<w:r><w:t xml:space="preserve">Origins of Alchemy.--Numerous legends cluster round the</w:t></w:r>
</w:p>
<w:p>
<w:pPr><w:pStyle w:val="Normal"/></w:pPr>
<w:r><w:t xml:space="preserve">origin of alchemy.  According to one story, it was founded</w:t></w:r>
</w:p>
<w:p>
<w:pPr><w:pStyle w:val="Normal"/></w:pPr>
<w:r><w:t xml:space="preserve">by the Egyptian god Hermes (Thoth), the reputed inventor of</w:t></w:r>
</w:p>
<w:p>
<w:pPr><w:pStyle w:val="Normal"/></w:pPr>
<w:r><w:t xml:space="preserve">the arts and sciences, to whom, under the appellation Hermes</w:t></w:r>
</w:p>
<w:p>
<w:pPr><w:pStyle w:val="Normal"/></w:pPr>
<w:r><w:t xml:space="preserve">Trismegistus, Tertullian refers as the master of those who</w:t></w:r>
</w:p>
<w:p>
<w:pPr><w:pStyle w:val="Normal"/></w:pPr>
<w:r><w:t xml:space="preserve">occupy themselves with nature; after him later alchemists</w:t></w:r>
</w:p>
<w:p>
<w:pPr><w:pStyle w:val="Normal"/></w:pPr>
<w:r><w:t xml:space="preserve">called their work the ``hermetic art,&apos;&apos; and the seal of</w:t></w:r>
</w:p>
<w:p>
<w:pPr><w:pStyle w:val="Normal"/></w:pPr>
<w:r><w:t xml:space="preserve">Hermes, which they placed upon their vessels, is the origin</w:t></w:r>
</w:p>
<w:p>
<w:pPr><w:pStyle w:val="Normal"/></w:pPr>
<w:r><w:t xml:space="preserve">of the common phrase ``hermetically sealed.&apos;&apos; Another legend,</w:t></w:r>
</w:p>
<w:p>
<w:pPr><w:pStyle w:val="Normal"/></w:pPr>
<w:r><w:t xml:space="preserve">given by Zosimus of Panopolis, an alchemistical writer said</w:t></w:r>
</w:p>
<w:p>
<w:pPr><w:pStyle w:val="Normal"/></w:pPr>
<w:r><w:t xml:space="preserve">to date from the 3rd century, asserts that the fallen angels</w:t></w:r>
</w:p>
<w:p>
<w:pPr><w:pStyle w:val="Normal"/></w:pPr>
<w:r><w:t xml:space="preserve">taught the arts to the women they married (cf. Genesis vi.</w:t></w:r>
</w:p>
<w:p>
<w:pPr><w:pStyle w:val="Normal"/></w:pPr>
<w:r><w:t xml:space="preserve">2), their instruction being recorded in a book called</w:t></w:r>
</w:p>
<w:p>
<w:pPr><w:pStyle w:val="Normal"/></w:pPr>
<w:r><w:t xml:space="preserve">Chema. A similar story appears in the Book of Enoch,</w:t></w:r>
</w:p>
<w:p>
<w:pPr><w:pStyle w:val="Normal"/></w:pPr>
<w:r><w:t xml:space="preserve">and Tertullian has much to say about the wicked angels who</w:t></w:r>
</w:p>
<w:p>
<w:pPr><w:pStyle w:val="Normal"/></w:pPr>
<w:r><w:t xml:space="preserve">revealed to men the knowledge of gold and silver, of lustrous</w:t></w:r>
</w:p>
<w:p>
<w:pPr><w:pStyle w:val="Normal"/></w:pPr>
<w:r><w:t xml:space="preserve">stones, and of the power of herbs, and who introduced the</w:t></w:r>
</w:p>
<w:p>
<w:pPr><w:pStyle w:val="Normal"/></w:pPr>
<w:r><w:t xml:space="preserve">arts of astrology and magic upon the earth.  Again, the</w:t></w:r>
</w:p>
<w:p>
<w:pPr><w:pStyle w:val="Normal"/></w:pPr>
<w:r><w:t xml:space="preserve">Arabic Kitab-al-Fihrist, written by al-Nadim towards the</w:t></w:r>
</w:p>
<w:p>
<w:pPr><w:pStyle w:val="Normal"/></w:pPr>
<w:r><w:t xml:space="preserve">end of the 10th century, says that the ``people who practise</w:t></w:r>
</w:p>
<w:p>
<w:pPr><w:pStyle w:val="Normal"/></w:pPr>
<w:r><w:t xml:space="preserve">alchemy, that is, who fabricate gold and silver from strange</w:t></w:r>
</w:p>
<w:p>
<w:pPr><w:pStyle w:val="Normal"/></w:pPr>
<w:r><w:t xml:space="preserve">metals, state that the first to speak of the science of the</w:t></w:r>
</w:p>
<w:p>
<w:pPr><w:pStyle w:val="Normal"/></w:pPr>
<w:r><w:t xml:space="preserve">work was Hermes the Wise, who was originally of Babylon, but</w:t></w:r>
</w:p>
<w:p>
<w:pPr><w:pStyle w:val="Normal"/></w:pPr>
<w:r><w:t xml:space="preserve">who established himself in Egypt after the dispersion of the</w:t></w:r>
</w:p>
<w:p>
<w:pPr><w:pStyle w:val="Normal"/></w:pPr>
<w:r><w:t xml:space="preserve">peoples from Babel.&apos;&apos; Another legend, also to be found in Arabic</w:t></w:r>
</w:p>
<w:p>
<w:pPr><w:pStyle w:val="Normal"/></w:pPr>
<w:r><w:t xml:space="preserve">sources, asserts that alchemy was revealed by God to Moses and</w:t></w:r>
</w:p>
<w:p>
<w:pPr><w:pStyle w:val="Normal"/></w:pPr>
<w:r><w:t xml:space="preserve">Aaron.  But there is some evidence that, in accordance with</w:t></w:r>
</w:p>
<w:p>
<w:pPr><w:pStyle w:val="Normal"/></w:pPr>
<w:r><w:t xml:space="preserve">the strong and constant tradition among the alchemists, the</w:t></w:r>
</w:p>
<w:p>
<w:pPr><w:pStyle w:val="Normal"/></w:pPr>
<w:r><w:t xml:space="preserve">idea of transmutation did originate in Egypt with the Greeks of</w:t></w:r>
</w:p>
<w:p>
<w:pPr><w:pStyle w:val="Normal"/></w:pPr>
<w:r><w:t xml:space="preserve">Alexandria.  In the Leiden museum there are a number of papyri</w:t></w:r>
</w:p>
<w:p>
<w:pPr><w:pStyle w:val="Normal"/></w:pPr>
<w:r><w:t xml:space="preserve">which were found in a tomb at Thebes, written probably in the</w:t></w:r>
</w:p>
<w:p>
<w:pPr><w:pStyle w:val="Normal"/></w:pPr>
<w:r><w:t xml:space="preserve">3rd century A.D., though their matter is older.  Some are</w:t></w:r>
</w:p>
<w:p>
<w:pPr><w:pStyle w:val="Normal"/></w:pPr>
<w:r><w:t xml:space="preserve">in Greek and demotic, and one, of peculiar interest from the</w:t></w:r>
</w:p>
<w:p>
<w:pPr><w:pStyle w:val="Normal"/></w:pPr>
<w:r><w:t xml:space="preserve">chemical point of view, gives a number of receipts, in Greek,</w:t></w:r>
</w:p>
<w:p>
<w:pPr><w:pStyle w:val="Normal"/></w:pPr>
<w:r><w:t xml:space="preserve">for the manipulation of base metals to form alloys which simulate</w:t></w:r>
</w:p>
<w:p>
<w:pPr><w:pStyle w:val="Normal"/></w:pPr>
<w:r><w:t xml:space="preserve">gold and are intended to be used in the manufacture of imitation</w:t></w:r>
</w:p>
<w:p>
<w:pPr><w:pStyle w:val="Normal"/></w:pPr>
<w:r><w:t xml:space="preserve">jewellery.  Possibly this is one of the books about gold</w:t></w:r>
</w:p>
<w:p>
<w:pPr><w:pStyle w:val="Normal"/></w:pPr>
<w:r><w:t xml:space="preserve">and silver of which Diocletian decreed the destruction about</w:t></w:r>
</w:p>
<w:p>
<w:pPr><w:pStyle w:val="Normal"/></w:pPr>
<w:r><w:t xml:space="preserve">A.D. 290--an act which Gibbon styles the first authentic</w:t></w:r>
</w:p>
<w:p>
<w:pPr><w:pStyle w:val="Normal"/></w:pPr>
<w:r><w:t xml:space="preserve">event in the history of alchemy (Decline and Fall, chap.</w:t></w:r>
</w:p>
<w:p>
<w:pPr><w:pStyle w:val="Normal"/></w:pPr>
<w:r><w:t xml:space="preserve">xiii.).  The author of these receipts is not under any</w:t></w:r>
</w:p>
<w:p>
<w:pPr><w:pStyle w:val="Normal"/></w:pPr>
<w:r><w:t xml:space="preserve">delusion that he is transmuting metals; the MS. is merely</w:t></w:r>
</w:p>
<w:p>
<w:pPr><w:pStyle w:val="Normal"/></w:pPr>
<w:r><w:t xml:space="preserve">a workshop manual in which are described processes in daily</w:t></w:r>
</w:p>
<w:p>
<w:pPr><w:pStyle w:val="Normal"/></w:pPr>
<w:r><w:t xml:space="preserve">use for preparing metals for false jewellery, but it argues</w:t></w:r>
</w:p>
<w:p>
<w:pPr><w:pStyle w:val="Normal"/></w:pPr>
<w:r><w:t xml:space="preserve">considerable knowledge of methods of making alloys and colouring</w:t></w:r>
</w:p>
<w:p>
<w:pPr><w:pStyle w:val="Normal"/></w:pPr>
<w:r><w:t xml:space="preserve">metals.  It has been suggested by M. P. E. Berthelot that</w:t></w:r>
</w:p>
<w:p>
<w:pPr><w:pStyle w:val="Normal"/></w:pPr>
<w:r><w:t xml:space="preserve">the workers in these processes, which were a monopoly of the</w:t></w:r>
</w:p>
<w:p>
<w:pPr><w:pStyle w:val="Normal"/></w:pPr>
<w:r><w:t xml:space="preserve">priestly caste and were kept strictly secret, though fully</w:t></w:r>
</w:p>
<w:p>
<w:pPr><w:pStyle w:val="Normal"/></w:pPr>
<w:r><w:t xml:space="preserve">aware that their products were not truly gold, were in time</w:t></w:r>
</w:p>
<w:p>
<w:pPr><w:pStyle w:val="Normal"/></w:pPr>
<w:r><w:t xml:space="preserve">led by their success in deceiving the public to deceive</w:t></w:r>
</w:p>
<w:p>
<w:pPr><w:pStyle w:val="Normal"/></w:pPr>
<w:r><w:t xml:space="preserve">themselves also, and to come to believe that they actually</w:t></w:r>
</w:p>
<w:p>
<w:pPr><w:pStyle w:val="Normal"/></w:pPr>
<w:r><w:t xml:space="preserve">had the power of making gold from substances which were not</w:t></w:r>
</w:p>
<w:p>
<w:pPr><w:pStyle w:val="Normal"/></w:pPr>
<w:r><w:t xml:space="preserve">gold.  Philosophical sanction and explanation of this belief</w:t></w:r>
</w:p>
<w:p>
<w:pPr><w:pStyle w:val="Normal"/></w:pPr>
<w:r><w:t xml:space="preserve">was then found by bringing it into relation with the theory</w:t></w:r>
</w:p>
<w:p>
<w:pPr><w:pStyle w:val="Normal"/></w:pPr>
<w:r><w:t xml:space="preserve">of the prima materia, which was identical in all bodies</w:t></w:r>
</w:p>
<w:p>
<w:pPr><w:pStyle w:val="Normal"/></w:pPr>
<w:r><w:t xml:space="preserve">but received its actual form by the adjunction of qualities</w:t></w:r>
</w:p>
<w:p>
<w:pPr><w:pStyle w:val="Normal"/></w:pPr>
<w:r><w:t xml:space="preserve">expressed by the Aristotelian elements--earth, air, fire and</w:t></w:r>
</w:p>
<w:p>
<w:pPr><w:pStyle w:val="Normal"/></w:pPr>
<w:r><w:t xml:space="preserve">water.  Some support for this view is gained from study</w:t></w:r>
</w:p>
<w:p>
<w:pPr><w:pStyle w:val="Normal"/></w:pPr>
<w:r><w:t xml:space="preserve">of the alchemistical writings of the period.  Thus, in the</w:t></w:r>
</w:p>
<w:p>
<w:pPr><w:pStyle w:val="Normal"/></w:pPr>
<w:r><w:t xml:space="preserve">treatise known as Physica et Mystica and falsely ascribed</w:t></w:r>
</w:p>
<w:p>
<w:pPr><w:pStyle w:val="Normal"/></w:pPr>
<w:r><w:t xml:space="preserve">to Democritus (such false attributions are a constant feature</w:t></w:r>
</w:p>
<w:p>
<w:pPr><w:pStyle w:val="Normal"/></w:pPr>
<w:r><w:t xml:space="preserve">of the literature of alchemy), various receipts are given</w:t></w:r>
</w:p>
<w:p>
<w:pPr><w:pStyle w:val="Normal"/></w:pPr>
<w:r><w:t xml:space="preserve">for colouring and gilding metals, but the conception of</w:t></w:r>
</w:p>
<w:p>
<w:pPr><w:pStyle w:val="Normal"/></w:pPr>
<w:r><w:t xml:space="preserve">transmutation does not occur.  This treatise was probably</w:t></w:r>
</w:p>
<w:p>
<w:pPr><w:pStyle w:val="Normal"/></w:pPr>
<w:r><w:t xml:space="preserve">composed at a date not very different from that of the Leiden</w:t></w:r>
</w:p>
<w:p>
<w:pPr><w:pStyle w:val="Normal"/></w:pPr>
<w:r><w:t xml:space="preserve">papyrus.  Later, however, as in the Commentary on this</w:t></w:r>
</w:p>
<w:p>
<w:pPr><w:pStyle w:val="Normal"/></w:pPr>
<w:r><w:t xml:space="preserve">work written by Synesius to Dioscorus, priest of Serapis at</w:t></w:r>
</w:p>
<w:p>
<w:pPr><w:pStyle w:val="Normal"/></w:pPr>
<w:r><w:t xml:space="preserve">Alexandria, which probably dates from the end of the 4th</w:t></w:r>
</w:p>
<w:p>
<w:pPr><w:pStyle w:val="Normal"/></w:pPr>
<w:r><w:t xml:space="preserve">century, a changed attitude becomes apparent; the more</w:t></w:r>
</w:p>
<w:p>
<w:pPr><w:pStyle w:val="Normal"/></w:pPr>
<w:r><w:t xml:space="preserve">practical parts of the receipts are obscured or omitted,</w:t></w:r>
</w:p>
<w:p>
<w:pPr><w:pStyle w:val="Normal"/></w:pPr>
<w:r><w:t xml:space="preserve">and the processes for preparing alloys and colouring</w:t></w:r>
</w:p>
<w:p>
<w:pPr><w:pStyle w:val="Normal"/></w:pPr>
<w:r><w:t xml:space="preserve">metals, described in the older treatise, are by a mystical</w:t></w:r>
</w:p>
<w:p>
<w:pPr><w:pStyle w:val="Normal"/></w:pPr>
<w:r><w:t xml:space="preserve">interpretation represented as resulting in real transmutation.</w:t></w:r>
</w:p>
<w:p>
<w:pPr><w:pStyle w:val="Normal"/></w:pPr>
<w:r><w:t xml:space="preserve">But while there are thus some grounds for supposing that the</w:t></w:r>
</w:p>
<w:p>
<w:pPr><w:pStyle w:val="Normal"/></w:pPr>
<w:r><w:t xml:space="preserve">idea of transmutation grew out of the practical receipts of</w:t></w:r>
</w:p>
<w:p>
<w:pPr><w:pStyle w:val="Normal"/></w:pPr>
<w:r><w:t xml:space="preserve">Alexandrian Egypt, the alchemy which embraced it as a leading</w:t></w:r>
</w:p>
<w:p>
<w:pPr><w:pStyle w:val="Normal"/></w:pPr>
<w:r><w:t xml:space="preserve">principle was also strongly affected by Eastern influences</w:t></w:r>
</w:p>
<w:p>
<w:pPr><w:pStyle w:val="Normal"/></w:pPr>
<w:r><w:t xml:space="preserve">such as magic and astrology.  The earliest Greek alchemistical</w:t></w:r>
</w:p>
<w:p>
<w:pPr><w:pStyle w:val="Normal"/></w:pPr>
<w:r><w:t xml:space="preserve">writings abound with references to Oriental authorities and</w:t></w:r>
</w:p>
<w:p>
<w:pPr><w:pStyle w:val="Normal"/></w:pPr>
<w:r><w:t xml:space="preserve">traditions.  Thus the pseudo-Democritus, who was reputed the</w:t></w:r>
</w:p>
<w:p>
<w:pPr><w:pStyle w:val="Normal"/></w:pPr>
<w:r><w:t xml:space="preserve">author of the Physica et Mystica, which itself concludes</w:t></w:r>
</w:p>
<w:p>
<w:pPr><w:pStyle w:val="Normal"/></w:pPr>
<w:r><w:t xml:space="preserve">each of its receipts with a magical formula, was believed</w:t></w:r>
</w:p>
<w:p>
<w:pPr><w:pStyle w:val="Normal"/></w:pPr>
<w:r><w:t xml:space="preserve">to have travelled in Chaldaea, and to have had as his master</w:t></w:r>
</w:p>
<w:p>
<w:pPr><w:pStyle w:val="Normal"/></w:pPr>
<w:r><w:t xml:space="preserve">Ostanes1 the Mede, a name mentioned several times in the</w:t></w:r>
</w:p>
<w:p>
<w:pPr><w:pStyle w:val="Normal"/></w:pPr>
<w:r><w:t xml:space="preserve">Leiden papyrus, and often by early Christian writers such as</w:t></w:r>
</w:p>
<w:p>
<w:pPr><w:pStyle w:val="Normal"/></w:pPr>
<w:r><w:t xml:space="preserve">Tertullian, St Cyprian and St Augustine.  The practices of</w:t></w:r>
</w:p>
<w:p>
<w:pPr><w:pStyle w:val="Normal"/></w:pPr>
<w:r><w:t xml:space="preserve">the Persian adepts also are appealed to in the writings of the</w:t></w:r>
</w:p>
<w:p>
<w:pPr><w:pStyle w:val="Normal"/></w:pPr>
<w:r><w:t xml:space="preserve">pseudo-Democritus, Zosimus and Synesius.  The philosopher&apos;s</w:t></w:r>
</w:p>
<w:p>
<w:pPr><w:pStyle w:val="Normal"/></w:pPr>
<w:r><w:t xml:space="preserve">egg, as a symbol of creation, is both Egyptian and</w:t></w:r>
</w:p>
<w:p>
<w:pPr><w:pStyle w:val="Normal"/></w:pPr>
<w:r><w:t xml:space="preserve">Babylonian.  In the Greek alchemists it appears as the symbol</w:t></w:r>
</w:p>
<w:p>
<w:pPr><w:pStyle w:val="Normal"/></w:pPr>
<w:r><w:t xml:space="preserve">at once of the art and of the universe, enclosing within</w:t></w:r>
</w:p>
<w:p>
<w:pPr><w:pStyle w:val="Normal"/></w:pPr>
<w:r><w:t xml:space="preserve">itself the four elements; and there is sometimes a play of</w:t></w:r>
</w:p>
<w:p>
<w:pPr><w:pStyle w:val="Normal"/></w:pPr>
<w:r><w:t xml:space="preserve">words between to on and to won.  The conception of</w:t></w:r>
</w:p>
<w:p>
<w:pPr><w:pStyle w:val="Normal"/></w:pPr>
<w:r><w:t xml:space="preserve">man, the microcosm, containing in himself all the parts</w:t></w:r>
</w:p>
<w:p>
<w:pPr><w:pStyle w:val="Normal"/></w:pPr>
<w:r><w:t xml:space="preserve">of the universe or macrocosm, is also Babylonian, as again</w:t></w:r>
</w:p>
<w:p>
<w:pPr><w:pStyle w:val="Normal"/></w:pPr>
<w:r><w:t xml:space="preserve">probably is the famous identification of the metals with the</w:t></w:r>
</w:p>
<w:p>
<w:pPr><w:pStyle w:val="Normal"/></w:pPr>
<w:r><w:t xml:space="preserve">planets.  Even in the Leiden papyrus the astronomical symbols</w:t></w:r>
</w:p>
<w:p>
<w:pPr><w:pStyle w:val="Normal"/></w:pPr>
<w:r><w:t xml:space="preserve">for the sun and moon are used to denote gold and silver, and</w:t></w:r>
</w:p>
<w:p>
<w:pPr><w:pStyle w:val="Normal"/></w:pPr>
<w:r><w:t xml:space="preserve">in the Meteorologica of Olympiodorus lead is attributed to</w:t></w:r>
</w:p>
<w:p>
<w:pPr><w:pStyle w:val="Normal"/></w:pPr>
<w:r><w:t xml:space="preserve">Saturn, iron to Mars, copper to Venus, tin to Hermes (Mercury)</w:t></w:r>
</w:p>
<w:p>
<w:pPr><w:pStyle w:val="Normal"/></w:pPr>
<w:r><w:t xml:space="preserve">and electrum to Jupiter.  Similar systems of symbols, but</w:t></w:r>
</w:p>
<w:p>
<w:pPr><w:pStyle w:val="Normal"/></w:pPr>
<w:r><w:t xml:space="preserve">elaborated to include compounds, appear in Greek MSS. of</w:t></w:r>
</w:p>
<w:p>
<w:pPr><w:pStyle w:val="Normal"/></w:pPr>
<w:r><w:t xml:space="preserve">the 10th century, preserved in the library of St Mark&apos;s at</w:t></w:r>
</w:p>
<w:p>
<w:pPr><w:pStyle w:val="Normal"/></w:pPr>
<w:r><w:t xml:space="preserve">Venice.  Subsequently electrum (an alloy of gold and silver)</w:t></w:r>
</w:p>
<w:p>
<w:pPr><w:pStyle w:val="Normal"/></w:pPr>
<w:r><w:t xml:space="preserve">disappeared as a specific metal, and tin was ascribed to Jupiter</w:t></w:r>
</w:p>
<w:p>
<w:pPr><w:pStyle w:val="Normal"/></w:pPr>
<w:r><w:t xml:space="preserve">instead, the sign of mercury becoming common to the metal and the</w:t></w:r>
</w:p>
<w:p>
<w:pPr><w:pStyle w:val="Normal"/></w:pPr>
<w:r><w:t xml:space="preserve">planet.  Thus we read in Chaucer (Chanouns Yemannes Tale):--</w:t></w:r>
</w:p>
<w:p>
<w:pPr><w:pStyle w:val="Normal"/></w:pPr>
<w:r><w:t xml:space="preserve">The bodies sevene eek, lo! hem heer anoon:</w:t></w:r>
</w:p>
<w:p>
<w:pPr><w:pStyle w:val="Normal"/></w:pPr>
<w:r><w:t xml:space="preserve">Sol gold is, and Luna silver we threpe,</w:t></w:r>
</w:p>
<w:p>
<w:pPr><w:pStyle w:val="Normal"/></w:pPr>
<w:r><w:t xml:space="preserve">Mars yren, Mercurie quik-silver we clepe,</w:t></w:r>
</w:p>
<w:p>
<w:pPr><w:pStyle w:val="Normal"/></w:pPr>
<w:r><w:t xml:space="preserve">Saturnus leed and Jupiter is tin,</w:t></w:r>
</w:p>
<w:p>
<w:pPr><w:pStyle w:val="Normal"/></w:pPr>
<w:r><w:t xml:space="preserve">And Venus coper, by my fader kin!</w:t></w:r>
</w:p>
<w:p>
<w:pPr><w:pStyle w:val="Normal"/></w:pPr>
<w:r><w:t xml:space="preserve">Literature of Alchemy.--A considerable body of Greek chemical</w:t></w:r>
</w:p>
<w:p>
<w:pPr><w:pStyle w:val="Normal"/></w:pPr>
<w:r><w:t xml:space="preserve">writings is contained in MSS. belonging to the various great</w:t></w:r>
</w:p>
<w:p>
<w:pPr><w:pStyle w:val="Normal"/></w:pPr>
<w:r><w:t xml:space="preserve">libraries of Europe, the oldest being that at St Mark&apos;s, just</w:t></w:r>
</w:p>
<w:p>
<w:pPr><w:pStyle w:val="Normal"/></w:pPr>
<w:r><w:t xml:space="preserve">mentioned.  The contents of these MSS. are all of similar</w:t></w:r>
</w:p>
<w:p>
<w:pPr><w:pStyle w:val="Normal"/></w:pPr>
<w:r><w:t xml:space="preserve">composition, and in Berthelot&apos;s opinion represent a collection</w:t></w:r>
</w:p>
<w:p>
<w:pPr><w:pStyle w:val="Normal"/></w:pPr>
<w:r><w:t xml:space="preserve">of treatises made at Constantinople in the 8th or 9th</w:t></w:r>
</w:p>
<w:p>
<w:pPr><w:pStyle w:val="Normal"/></w:pPr>
<w:r><w:t xml:space="preserve">century.  The treatises are nearly all anterior to the 7th</w:t></w:r>
</w:p>
<w:p>
<w:pPr><w:pStyle w:val="Normal"/></w:pPr>
<w:r><w:t xml:space="preserve">century, and most appear to belong to the 3rd and 4th centuries;</w:t></w:r>
</w:p>
<w:p>
<w:pPr><w:pStyle w:val="Normal"/></w:pPr>
<w:r><w:t xml:space="preserve">some are the work of authentic authors like Zosimus and</w:t></w:r>
</w:p>
<w:p>
<w:pPr><w:pStyle w:val="Normal"/></w:pPr>
<w:r><w:t xml:space="preserve">Synesius, while of others, such as profess to be written by</w:t></w:r>
</w:p>
<w:p>
<w:pPr><w:pStyle w:val="Normal"/></w:pPr>
<w:r><w:t xml:space="preserve">Moses, Democritus, Ostanes, &amp;c., the authorship is clearly</w:t></w:r>
</w:p>
<w:p>
<w:pPr><w:pStyle w:val="Normal"/></w:pPr>
<w:r><w:t xml:space="preserve">fictitious.  Some of the same names and the same works can</w:t></w:r>
</w:p>
<w:p>
<w:pPr><w:pStyle w:val="Normal"/></w:pPr>
<w:r><w:t xml:space="preserve">be identified in the lists of the Kitab-al- Fihrist. But</w:t></w:r>
</w:p>
<w:p>
<w:pPr><w:pStyle w:val="Normal"/></w:pPr>
<w:r><w:t xml:space="preserve">the Arabs did not acquire their knowledge of this literature</w:t></w:r>
</w:p>
<w:p>
<w:pPr><w:pStyle w:val="Normal"/></w:pPr>
<w:r><w:t xml:space="preserve">at first hand.  The earliest Hellenic culture in the East was</w:t></w:r>
</w:p>
<w:p>
<w:pPr><w:pStyle w:val="Normal"/></w:pPr>
<w:r><w:t xml:space="preserve">Syrian, and the Arabs made their first acquaintance with</w:t></w:r>
</w:p>
<w:p>
<w:pPr><w:pStyle w:val="Normal"/></w:pPr>
<w:r><w:t xml:space="preserve">Greek chemistry, as with Greek philosophy, mathematics,</w:t></w:r>
</w:p>
<w:p>
<w:pPr><w:pStyle w:val="Normal"/></w:pPr>
<w:r><w:t xml:space="preserve">medicine, &amp;c., by the intermediary of Syriac translations.</w:t></w:r>
</w:p>
<w:p>
<w:pPr><w:pStyle w:val="Normal"/></w:pPr>
<w:r><w:t xml:space="preserve">(See ARABIAN PHILOSOPHY and SYRIAC LITERATURE.) Examples</w:t></w:r>
</w:p>
<w:p>
<w:pPr><w:pStyle w:val="Normal"/></w:pPr>
<w:r><w:t xml:space="preserve">of such translations are preserved in MSS. at the British</w:t></w:r>
</w:p>
<w:p>
<w:pPr><w:pStyle w:val="Normal"/></w:pPr>
<w:r><w:t xml:space="preserve">Museum, partly written in Syriac, partly in Arabic with Syriac</w:t></w:r>
</w:p>
<w:p>
<w:pPr><w:pStyle w:val="Normal"/></w:pPr>
<w:r><w:t xml:space="preserve">characters.  In Berthelot&apos;s opinion, the Syriac portions</w:t></w:r>
</w:p>
<w:p>
<w:pPr><w:pStyle w:val="Normal"/></w:pPr>
<w:r><w:t xml:space="preserve">represent a compilation of receipts and processes undertaken in</w:t></w:r>
</w:p>
<w:p>
<w:pPr><w:pStyle w:val="Normal"/></w:pPr>
<w:r><w:t xml:space="preserve">the Syrian school of medicine at Bagdad under the Abbasids in</w:t></w:r>
</w:p>
<w:p>
<w:pPr><w:pStyle w:val="Normal"/></w:pPr>
<w:r><w:t xml:space="preserve">the 9th or 10th century, and to a large extent constituted by</w:t></w:r>
</w:p>
<w:p>
<w:pPr><w:pStyle w:val="Normal"/></w:pPr>
<w:r><w:t xml:space="preserve">the earlier translations made by Sergius of Resaena in the 6th</w:t></w:r>
</w:p>
<w:p>
<w:pPr><w:pStyle w:val="Normal"/></w:pPr>
<w:r><w:t xml:space="preserve">century.  They contain, under the title Doctrine of Democritus,</w:t></w:r>
</w:p>
<w:p>
<w:pPr><w:pStyle w:val="Normal"/></w:pPr>
<w:r><w:t xml:space="preserve">a fairly methodical treatise in ten books comprising the</w:t></w:r>
</w:p>
<w:p>
<w:pPr><w:pStyle w:val="Normal"/></w:pPr>
<w:r><w:t xml:space="preserve">Argyropoeia and Chrysopoeia of the pseudo-Democritus,</w:t></w:r>
</w:p>
<w:p>
<w:pPr><w:pStyle w:val="Normal"/></w:pPr>
<w:r><w:t xml:space="preserve">with many receipts for colouring metals, making artificial</w:t></w:r>
</w:p>
<w:p>
<w:pPr><w:pStyle w:val="Normal"/></w:pPr>
<w:r><w:t xml:space="preserve">precious stones, effecting the diplosis or doubling of</w:t></w:r>
</w:p>
<w:p>
<w:pPr><w:pStyle w:val="Normal"/></w:pPr>
<w:r><w:t xml:space="preserve">metals, &amp;c. They give illustrations of the apparatus employed,</w:t></w:r>
</w:p>
<w:p>
<w:pPr><w:pStyle w:val="Normal"/></w:pPr>
<w:r><w:t xml:space="preserve">and their close relationship to the Greek is attested by</w:t></w:r>
</w:p>
<w:p>
<w:pPr><w:pStyle w:val="Normal"/></w:pPr>
<w:r><w:t xml:space="preserve">the frequent occurrence of Greek words and the fact that</w:t></w:r>
</w:p>
<w:p>
<w:pPr><w:pStyle w:val="Normal"/></w:pPr>
<w:r><w:t xml:space="preserve">the signs and symbols of the Greek alchemists appear almost</w:t></w:r>
</w:p>
<w:p>
<w:pPr><w:pStyle w:val="Normal"/></w:pPr>
<w:r><w:t xml:space="preserve">unchanged.  The other portion seems of somewhat later date.</w:t></w:r>
</w:p>
<w:p>
<w:pPr><w:pStyle w:val="Normal"/></w:pPr>
<w:r><w:t xml:space="preserve">Another Syriac MS., in the library of Cambridge University,</w:t></w:r>
</w:p>
<w:p>
<w:pPr><w:pStyle w:val="Normal"/></w:pPr>
<w:r><w:t xml:space="preserve">contains a translation of a work by Zosimus which is so far</w:t></w:r>
</w:p>
<w:p>
<w:pPr><w:pStyle w:val="Normal"/></w:pPr>
<w:r><w:t xml:space="preserve">unknown in the original Greek.  Berthelot gives reproductions</w:t></w:r>
</w:p>
<w:p>
<w:pPr><w:pStyle w:val="Normal"/></w:pPr>
<w:r><w:t xml:space="preserve">of the British Museum MSS. in vol. ii. of La Chimie au moyen</w:t></w:r>
</w:p>
<w:p>
<w:pPr><w:pStyle w:val="Normal"/></w:pPr>
<w:r><w:t xml:space="preserve">Several alchemistical treatises, written in Arabic, exist</w:t></w:r>
</w:p>
<w:p>
<w:pPr><w:pStyle w:val="Normal"/></w:pPr>
<w:r><w:t xml:space="preserve">in manuscript in the National Library at Paris and in the</w:t></w:r>
</w:p>
<w:p>
<w:pPr><w:pStyle w:val="Normal"/></w:pPr>
<w:r><w:t xml:space="preserve">library of the university of Leiden, and have been reproduced</w:t></w:r>
</w:p>
<w:p>
<w:pPr><w:pStyle w:val="Normal"/></w:pPr>
<w:r><w:t xml:space="preserve">by Berthelot, with translations, in vol. iii. of La Chimie</w:t></w:r>
</w:p>
<w:p>
<w:pPr><w:pStyle w:val="Normal"/></w:pPr>
<w:r><w:t xml:space="preserve">au moyen age. They fall into two groups: those in one are</w:t></w:r>
</w:p>
<w:p>
<w:pPr><w:pStyle w:val="Normal"/></w:pPr>
<w:r><w:t xml:space="preserve">largely composed of compilations from Greek sources, while</w:t></w:r>
</w:p>
<w:p>
<w:pPr><w:pStyle w:val="Normal"/></w:pPr>
<w:r><w:t xml:space="preserve">those in the other have rather the character of original</w:t></w:r>
</w:p>
<w:p>
<w:pPr><w:pStyle w:val="Normal"/></w:pPr>
<w:r><w:t xml:space="preserve">compositions.  Of the first group the most interesting and</w:t></w:r>
</w:p>
<w:p>
<w:pPr><w:pStyle w:val="Normal"/></w:pPr>
<w:r><w:t xml:space="preserve">possibly the oldest is the Book of Crates; it is remarkable</w:t></w:r>
</w:p>
<w:p>
<w:pPr><w:pStyle w:val="Normal"/></w:pPr>
<w:r><w:t xml:space="preserve">for containing some of the signs used for the metals by the</w:t></w:r>
</w:p>
<w:p>
<w:pPr><w:pStyle w:val="Normal"/></w:pPr>
<w:r><w:t xml:space="preserve">Greek alchemists, and for giving figures of four pieces of</w:t></w:r>
</w:p>
<w:p>
<w:pPr><w:pStyle w:val="Normal"/></w:pPr>
<w:r><w:t xml:space="preserve">apparatus which closely resemble those depicted in Greek</w:t></w:r>
</w:p>
<w:p>
<w:pPr><w:pStyle w:val="Normal"/></w:pPr>
<w:r><w:t xml:space="preserve">MSS., the former being never, and the latter rarely, found</w:t></w:r>
</w:p>
<w:p>
<w:pPr><w:pStyle w:val="Normal"/></w:pPr>
<w:r><w:t xml:space="preserve">in other Arabic MSS. Its concluding words suggest that its</w:t></w:r>
</w:p>
<w:p>
<w:pPr><w:pStyle w:val="Normal"/></w:pPr>
<w:r><w:t xml:space="preserve">production was due to Khalid ben Yezid (died in 708), who</w:t></w:r>
</w:p>
<w:p>
<w:pPr><w:pStyle w:val="Normal"/></w:pPr>
<w:r><w:t xml:space="preserve">was a pupil of the Syrian monk Marianus, and according to</w:t></w:r>
</w:p>
<w:p>
<w:pPr><w:pStyle w:val="Normal"/></w:pPr>
<w:r><w:t xml:space="preserve">the Kitab-al-Fihrist was the first Mussulman writer on</w:t></w:r>
</w:p>
<w:p>
<w:pPr><w:pStyle w:val="Normal"/></w:pPr>
<w:r><w:t xml:space="preserve">alchemy.  The second group consists of a number of treatises</w:t></w:r>
</w:p>
<w:p>
<w:pPr><w:pStyle w:val="Normal"/></w:pPr>
<w:r><w:t xml:space="preserve">professing to be written by Jaber, celebrated in Latin alchemy</w:t></w:r>
</w:p>
<w:p>
<w:pPr><w:pStyle w:val="Normal"/></w:pPr>
<w:r><w:t xml:space="preserve">as Geber (q.v..) Internal evidence suggests that they are not</w:t></w:r>
</w:p>
<w:p>
<w:pPr><w:pStyle w:val="Normal"/></w:pPr>
<w:r><w:t xml:space="preserve">all from the same hand or of the same date, but probably they</w:t></w:r>
</w:p>
<w:p>
<w:pPr><w:pStyle w:val="Normal"/></w:pPr>
<w:r><w:t xml:space="preserve">are not earlier than the 9th nor later than the 12th century.</w:t></w:r>
</w:p>
<w:p>
<w:pPr><w:pStyle w:val="Normal"/></w:pPr>
<w:r><w:t xml:space="preserve">The Arabic chroniclers record the names of many other writers</w:t></w:r>
</w:p>
<w:p>
<w:pPr><w:pStyle w:val="Normal"/></w:pPr>
<w:r><w:t xml:space="preserve">on alchemy, among the most famous being Rhazes and Avicenna.</w:t></w:r>
</w:p>
<w:p>
<w:pPr><w:pStyle w:val="Normal"/></w:pPr>
<w:r><w:t xml:space="preserve">But the further development of alchemy took place in the West</w:t></w:r>
</w:p>
<w:p>
<w:pPr><w:pStyle w:val="Normal"/></w:pPr>
<w:r><w:t xml:space="preserve">rather than in the East.  With the spread of their empire</w:t></w:r>
</w:p>
<w:p>
<w:pPr><w:pStyle w:val="Normal"/></w:pPr>
<w:r><w:t xml:space="preserve">to Spain the Arabs took with them their knowledge of Greek</w:t></w:r>
</w:p>
<w:p>
<w:pPr><w:pStyle w:val="Normal"/></w:pPr>
<w:r><w:t xml:space="preserve">medicine and science, including alchemy, and thence it passed,</w:t></w:r>
</w:p>
<w:p>
<w:pPr><w:pStyle w:val="Normal"/></w:pPr>
<w:r><w:t xml:space="preserve">strengthened by the infusion of a certain Jewish element, to</w:t></w:r>
</w:p>
<w:p>
<w:pPr><w:pStyle w:val="Normal"/></w:pPr>
<w:r><w:t xml:space="preserve">the nations of western Europe, through the medium of Latin</w:t></w:r>
</w:p>
<w:p>
<w:pPr><w:pStyle w:val="Normal"/></w:pPr>
<w:r><w:t xml:space="preserve">translations.  The making of these began about the 11th</w:t></w:r>
</w:p>
<w:p>
<w:pPr><w:pStyle w:val="Normal"/></w:pPr>
<w:r><w:t xml:space="preserve">century, one of the earliest of the translators, Constantinus</w:t></w:r>
</w:p>
<w:p>
<w:pPr><w:pStyle w:val="Normal"/></w:pPr>
<w:r><w:t xml:space="preserve">Africanus, wrote about 1075, and another, Gerard of Cremona,</w:t></w:r>
</w:p>
<w:p>
<w:pPr><w:pStyle w:val="Normal"/></w:pPr>
<w:r><w:t xml:space="preserve">lived from 1114 to 1187.  The Liber de compositione alchemiae,</w:t></w:r>
</w:p>
<w:p>
<w:pPr><w:pStyle w:val="Normal"/></w:pPr>
<w:r><w:t xml:space="preserve">which professes to be by Morienus--perhaps the same as the</w:t></w:r>
</w:p>
<w:p>
<w:pPr><w:pStyle w:val="Normal"/></w:pPr>
<w:r><w:t xml:space="preserve">Marianus who was the teacher of Khalid--was translated by</w:t></w:r>
</w:p>
<w:p>
<w:pPr><w:pStyle w:val="Normal"/></w:pPr>
<w:r><w:t xml:space="preserve">Robertus Castrensis, who states that he finished the work in</w:t></w:r>
</w:p>
<w:p>
<w:pPr><w:pStyle w:val="Normal"/></w:pPr>
<w:r><w:t xml:space="preserve">1182, and speaks as if he were making a revelation--``Quid</w:t></w:r>
</w:p>
<w:p>
<w:pPr><w:pStyle w:val="Normal"/></w:pPr>
<w:r><w:t xml:space="preserve">sit alchemia nondum cognovit vestra Latinitas.&apos;&apos; The earlier</w:t></w:r>
</w:p>
<w:p>
<w:pPr><w:pStyle w:val="Normal"/></w:pPr>
<w:r><w:t xml:space="preserve">translations, such as the Turba Philosophorum and other</w:t></w:r>
</w:p>
<w:p>
<w:pPr><w:pStyle w:val="Normal"/></w:pPr>
<w:r><w:t xml:space="preserve">Works printed in collections like the Artis auriferae quam</w:t></w:r>
</w:p>
<w:p>
<w:pPr><w:pStyle w:val="Normal"/></w:pPr>
<w:r><w:t xml:space="preserve">chemiam vocant (1572), Theatrum chemicum (1602), and</w:t></w:r>
</w:p>
<w:p>
<w:pPr><w:pStyle w:val="Normal"/></w:pPr>
<w:r><w:t xml:space="preserve">J. J. Manget&apos;s Bibliotheca chemica curiosa (1702), are</w:t></w:r>
</w:p>
<w:p>
<w:pPr><w:pStyle w:val="Normal"/></w:pPr>
<w:r><w:t xml:space="preserve">confused productions, written in an allegorical style, but</w:t></w:r>
</w:p>
<w:p>
<w:pPr><w:pStyle w:val="Normal"/></w:pPr>
<w:r><w:t xml:space="preserve">full of phrases and even pages taken literally from the Greek</w:t></w:r>
</w:p>
<w:p>
<w:pPr><w:pStyle w:val="Normal"/></w:pPr>
<w:r><w:t xml:space="preserve">alchemists, and citing by name various authorities of Greek</w:t></w:r>
</w:p>
<w:p>
<w:pPr><w:pStyle w:val="Normal"/></w:pPr>
<w:r><w:t xml:space="preserve">alchemy.  They were followed by treatises of a different</w:t></w:r>
</w:p>
<w:p>
<w:pPr><w:pStyle w:val="Normal"/></w:pPr>
<w:r><w:t xml:space="preserve">character, clearer in matter, more systematic in arrangement,</w:t></w:r>
</w:p>
<w:p>
<w:pPr><w:pStyle w:val="Normal"/></w:pPr>
<w:r><w:t xml:space="preserve">and reflecting the methods of the scholastic logic; these are</w:t></w:r>
</w:p>
<w:p>
<w:pPr><w:pStyle w:val="Normal"/></w:pPr>
<w:r><w:t xml:space="preserve">farther from the Greek tradition, for although they contain</w:t></w:r>
</w:p>
<w:p>
<w:pPr><w:pStyle w:val="Normal"/></w:pPr>
<w:r><w:t xml:space="preserve">sufficient traces of their ultimate Greek ancestry, their</w:t></w:r>
</w:p>
<w:p>
<w:pPr><w:pStyle w:val="Normal"/></w:pPr>
<w:r><w:t xml:space="preserve">authors do not know the Greeks as masters and cite no Greek</w:t></w:r>
</w:p>
<w:p>
<w:pPr><w:pStyle w:val="Normal"/></w:pPr>
<w:r><w:t xml:space="preserve">names.  So far as they are Latin versions of Arabico-Greek</w:t></w:r>
</w:p>
<w:p>
<w:pPr><w:pStyle w:val="Normal"/></w:pPr>
<w:r><w:t xml:space="preserve">treatises, they must have been much remodelled in the course</w:t></w:r>
</w:p>
<w:p>
<w:pPr><w:pStyle w:val="Normal"/></w:pPr>
<w:r><w:t xml:space="preserve">of translation; but there is reason to suppose that many of</w:t></w:r>
</w:p>
<w:p>
<w:pPr><w:pStyle w:val="Normal"/></w:pPr>
<w:r><w:t xml:space="preserve">them, even when pretending to be translations, are really</w:t></w:r>
</w:p>
<w:p>
<w:pPr><w:pStyle w:val="Normal"/></w:pPr>
<w:r><w:t xml:space="preserve">original compositions.  It is curious that although we possess</w:t></w:r>
</w:p>
<w:p>
<w:pPr><w:pStyle w:val="Normal"/></w:pPr>
<w:r><w:t xml:space="preserve">a certain number of works on alchemy written in Arabic, and</w:t></w:r>
</w:p>
<w:p>
<w:pPr><w:pStyle w:val="Normal"/></w:pPr>
<w:r><w:t xml:space="preserve">also many Latin treatises that profess to be translated from</w:t></w:r>
</w:p>
<w:p>
<w:pPr><w:pStyle w:val="Normal"/></w:pPr>
<w:r><w:t xml:space="preserve">Arabic, yet in no case is the existence known of both the</w:t></w:r>
</w:p>
<w:p>
<w:pPr><w:pStyle w:val="Normal"/></w:pPr>
<w:r><w:t xml:space="preserve">Arabic and the Latin version.  The Arabic works of Jaber, as</w:t></w:r>
</w:p>
<w:p>
<w:pPr><w:pStyle w:val="Normal"/></w:pPr>
<w:r><w:t xml:space="preserve">contained in MSS. at Paris and Leiden, are quite Aissimiiar</w:t></w:r>
</w:p>
<w:p>
<w:pPr><w:pStyle w:val="Normal"/></w:pPr>
<w:r><w:t xml:space="preserve">from the Latin works attributed to Geber, and show few if any</w:t></w:r>
</w:p>
<w:p>
<w:pPr><w:pStyle w:val="Normal"/></w:pPr>
<w:r><w:t xml:space="preserve">traces of the positive chemical knowledge, as of nitric acid</w:t></w:r>
</w:p>
<w:p>
<w:pPr><w:pStyle w:val="Normal"/></w:pPr>
<w:r><w:t xml:space="preserve">(aqua dissolutiva or fortis) or of the mixture of nitric</w:t></w:r>
</w:p>
<w:p>
<w:pPr><w:pStyle w:val="Normal"/></w:pPr>
<w:r><w:t xml:space="preserve">and hydrochloric acids known as aqua regis or regia, that</w:t></w:r>
</w:p>
<w:p>
<w:pPr><w:pStyle w:val="Normal"/></w:pPr>
<w:r><w:t xml:space="preserve">appears in the latter.  The treatises attributed to Geber, in</w:t></w:r>
</w:p>
<w:p>
<w:pPr><w:pStyle w:val="Normal"/></w:pPr>
<w:r><w:t xml:space="preserve">fact, appear to be original works composed not earlier than the</w:t></w:r>
</w:p>
<w:p>
<w:pPr><w:pStyle w:val="Normal"/></w:pPr>
<w:r><w:t xml:space="preserve">13th century and fathered on Jaber in order to enhance their</w:t></w:r>
</w:p>
<w:p>
<w:pPr><w:pStyle w:val="Normal"/></w:pPr>
<w:r><w:t xml:space="preserve">authority.  If this view be accepted, an entirely new light</w:t></w:r>
</w:p>
<w:p>
<w:pPr><w:pStyle w:val="Normal"/></w:pPr>
<w:r><w:t xml:space="preserve">is thrown on the achievements of the Arabs in the history of</w:t></w:r>
</w:p>
<w:p>
<w:pPr><w:pStyle w:val="Normal"/></w:pPr>
<w:r><w:t xml:space="preserve">chemistry.  Gibbon asserts that the Greeks were inattentive</w:t></w:r>
</w:p>
<w:p>
<w:pPr><w:pStyle w:val="Normal"/></w:pPr>
<w:r><w:t xml:space="preserve">either to the use or to the abuse of chemistry (Decline and</w:t></w:r>
</w:p>
<w:p>
<w:pPr><w:pStyle w:val="Normal"/></w:pPr>
<w:r><w:t xml:space="preserve">Fall, chap. xiii.), and gives the Arabs the credit of the</w:t></w:r>
</w:p>
<w:p>
<w:pPr><w:pStyle w:val="Normal"/></w:pPr>
<w:r><w:t xml:space="preserve">origin and improvement of the science (chap. lii.).2 But</w:t></w:r>
</w:p>
<w:p>
<w:pPr><w:pStyle w:val="Normal"/></w:pPr>
<w:r><w:t xml:space="preserve">the chemical knowledge attributed to the Arabs has been so</w:t></w:r>
</w:p>
<w:p>
<w:pPr><w:pStyle w:val="Normal"/></w:pPr>
<w:r><w:t xml:space="preserve">attributed largely on the basis of the contents of the Latin</w:t></w:r>
</w:p>
<w:p>
<w:pPr><w:pStyle w:val="Normal"/></w:pPr>
<w:r><w:t xml:space="preserve">Geber, regarded as a translation from the Arabic Jaber.  If,</w:t></w:r>
</w:p>
<w:p>
<w:pPr><w:pStyle w:val="Normal"/></w:pPr>
<w:r><w:t xml:space="preserve">then, those contents do not represent the knowledge of Jaber,</w:t></w:r>
</w:p>
<w:p>
<w:pPr><w:pStyle w:val="Normal"/></w:pPr>
<w:r><w:t xml:space="preserve">and if the contents of other Latin translations which there</w:t></w:r>
</w:p>
<w:p>
<w:pPr><w:pStyle w:val="Normal"/></w:pPr>
<w:r><w:t xml:space="preserve">is reason to believe are really made from the Arabic, show</w:t></w:r>
</w:p>
<w:p>
<w:pPr><w:pStyle w:val="Normal"/></w:pPr>
<w:r><w:t xml:space="preserve">little, if any, advance on the knowledge of the Alexandrian</w:t></w:r>
</w:p>
<w:p>
<w:pPr><w:pStyle w:val="Normal"/></w:pPr>
<w:r><w:t xml:space="preserve">Greeks, evidently the part played by the Arabs must be less, and</w:t></w:r>
</w:p>
<w:p>
<w:pPr><w:pStyle w:val="Normal"/></w:pPr>
<w:r><w:t xml:space="preserve">that of the Westerns greater, than Gibbon is prepared to admit.</w:t></w:r>
</w:p>
<w:p>
<w:pPr><w:pStyle w:val="Normal"/></w:pPr>
<w:r><w:t xml:space="preserve">The descent of alchemistical doctrine can thus be traced</w:t></w:r>
</w:p>
<w:p>
<w:pPr><w:pStyle w:val="Normal"/></w:pPr>
<w:r><w:t xml:space="preserve">with fair continuity for a thousand years, from the Greeks</w:t></w:r>
</w:p>
<w:p>
<w:pPr><w:pStyle w:val="Normal"/></w:pPr>
<w:r><w:t xml:space="preserve">of Alexandria down to the time when Latin alchemy was</w:t></w:r>
</w:p>
<w:p>
<w:pPr><w:pStyle w:val="Normal"/></w:pPr>
<w:r><w:t xml:space="preserve">firmly established in the West, and began to be written</w:t></w:r>
</w:p>
<w:p>
<w:pPr><w:pStyle w:val="Normal"/></w:pPr>
<w:r><w:t xml:space="preserve">of by historical authors like Albertus Magnus, Roger Bacon</w:t></w:r>
</w:p>
<w:p>
<w:pPr><w:pStyle w:val="Normal"/></w:pPr>
<w:r><w:t xml:space="preserve">and Arnoldus Villanovanus in the 13th century.  But side</w:t></w:r>
</w:p>
<w:p>
<w:pPr><w:pStyle w:val="Normal"/></w:pPr>
<w:r><w:t xml:space="preserve">by side with this literary transmission Berthelot insists</w:t></w:r>
</w:p>
<w:p>
<w:pPr><w:pStyle w:val="Normal"/></w:pPr>
<w:r><w:t xml:space="preserve">that there was another mode of transmission, by means of the</w:t></w:r>
</w:p>
<w:p>
<w:pPr><w:pStyle w:val="Normal"/></w:pPr>
<w:r><w:t xml:space="preserve">knowledge of practical receipts and processes traditional</w:t></w:r>
</w:p>
<w:p>
<w:pPr><w:pStyle w:val="Normal"/></w:pPr>
<w:r><w:t xml:space="preserve">among jewellers, painters, workers in glass and pottery, and</w:t></w:r>
</w:p>
<w:p>
<w:pPr><w:pStyle w:val="Normal"/></w:pPr>
<w:r><w:t xml:space="preserve">other handicraftsmen.  The chemical knowledge of Egyptian</w:t></w:r>
</w:p>
<w:p>
<w:pPr><w:pStyle w:val="Normal"/></w:pPr>
<w:r><w:t xml:space="preserve">metallurgists and jewellers, he holds, was early transmitted</w:t></w:r>
</w:p>
<w:p>
<w:pPr><w:pStyle w:val="Normal"/></w:pPr>
<w:r><w:t xml:space="preserve">to the artisans of Rome, and was preserved throughout the</w:t></w:r>
</w:p>
<w:p>
<w:pPr><w:pStyle w:val="Normal"/></w:pPr>
<w:r><w:t xml:space="preserve">dark ages in the workshops of Italy and France until about</w:t></w:r>
</w:p>
<w:p>
<w:pPr><w:pStyle w:val="Normal"/></w:pPr>
<w:r><w:t xml:space="preserve">the 13th century, when it was mingled with the theories of</w:t></w:r>
</w:p>
<w:p>
<w:pPr><w:pStyle w:val="Normal"/></w:pPr>
<w:r><w:t xml:space="preserve">the Greek alchemists which reached the West by way of the</w:t></w:r>
</w:p>
<w:p>
<w:pPr><w:pStyle w:val="Normal"/></w:pPr>
<w:r><w:t xml:space="preserve">Arabs.  Receipts given in the Leiden papyrus reappear in</w:t></w:r>
</w:p>
<w:p>
<w:pPr><w:pStyle w:val="Normal"/></w:pPr>
<w:r><w:t xml:space="preserve">the Compositiones ad Tingenda and the Mappae Clavicula,</w:t></w:r>
</w:p>
<w:p>
<w:pPr><w:pStyle w:val="Normal"/></w:pPr>
<w:r><w:t xml:space="preserve">both workshop receipt books, one known in an 8th-century</w:t></w:r>
</w:p>
<w:p>
<w:pPr><w:pStyle w:val="Normal"/></w:pPr>
<w:r><w:t xml:space="preserve">MS. at Lucca, and the other in a 10th-century MS. in the</w:t></w:r>
</w:p>
<w:p>
<w:pPr><w:pStyle w:val="Normal"/></w:pPr>
<w:r><w:t xml:space="preserve">library of Schlettstadt; and again in such works as the De</w:t></w:r>
</w:p>
<w:p>
<w:pPr><w:pStyle w:val="Normal"/></w:pPr>
<w:r><w:t xml:space="preserve">Artibus Romanorum of Eraclius and the Schedula Diversarum</w:t></w:r>
</w:p>
<w:p>
<w:pPr><w:pStyle w:val="Normal"/></w:pPr>
<w:r><w:t xml:space="preserve">Artium of Theophilus, belonging to the 11th or 12th century.</w:t></w:r>
</w:p>
<w:p>
<w:pPr><w:pStyle w:val="Normal"/></w:pPr>
<w:r><w:t xml:space="preserve">Theory of Transmutation.--The fundamental theory of the</w:t></w:r>
</w:p>
<w:p>
<w:pPr><w:pStyle w:val="Normal"/></w:pPr>
<w:r><w:t xml:space="preserve">transmutation of metals is to be found in the Greek alchemists,</w:t></w:r>
</w:p>
<w:p>
<w:pPr><w:pStyle w:val="Normal"/></w:pPr>
<w:r><w:t xml:space="preserve">although in details it was modified and elaborated by the</w:t></w:r>
</w:p>
<w:p>
<w:pPr><w:pStyle w:val="Normal"/></w:pPr>
<w:r><w:t xml:space="preserve">Arabs and the Latin alchemists.  Regarding all substances as</w:t></w:r>
</w:p>
<w:p>
<w:pPr><w:pStyle w:val="Normal"/></w:pPr>
<w:r><w:t xml:space="preserve">being composed of one primitive matter--the prima materia,</w:t></w:r>
</w:p>
<w:p>
<w:pPr><w:pStyle w:val="Normal"/></w:pPr>
<w:r><w:t xml:space="preserve">and as owing their specific differences to the presence of</w:t></w:r>
</w:p>
<w:p>
<w:pPr><w:pStyle w:val="Normal"/></w:pPr>
<w:r><w:t xml:space="preserve">different qualities imposed upon it, the alchemist hoped, by</w:t></w:r>
</w:p>
<w:p>
<w:pPr><w:pStyle w:val="Normal"/></w:pPr>
<w:r><w:t xml:space="preserve">taking away these qualities, to obtain the prima materia</w:t></w:r>
</w:p>
<w:p>
<w:pPr><w:pStyle w:val="Normal"/></w:pPr>
<w:r><w:t xml:space="preserve">itself, and then to get from it the particular substance he</w:t></w:r>
</w:p>
<w:p>
<w:pPr><w:pStyle w:val="Normal"/></w:pPr>
<w:r><w:t xml:space="preserve">desired by the addition of the appropriate qualities.  The</w:t></w:r>
</w:p>
<w:p>
<w:pPr><w:pStyle w:val="Normal"/></w:pPr>
<w:r><w:t xml:space="preserve">prima materia was early identified with mercury, not ordinary</w:t></w:r>
</w:p>
<w:p>
<w:pPr><w:pStyle w:val="Normal"/></w:pPr>
<w:r><w:t xml:space="preserve">mercury, but the ``mercury of the philosophers,&apos;&apos; which was the</w:t></w:r>
</w:p>
<w:p>
<w:pPr><w:pStyle w:val="Normal"/></w:pPr>
<w:r><w:t xml:space="preserve">essence or soul of mercury, freed from the four Aristotelian</w:t></w:r>
</w:p>
<w:p>
<w:pPr><w:pStyle w:val="Normal"/></w:pPr>
<w:r><w:t xml:space="preserve">elements--earth, air, fire and water--or rather from the</w:t></w:r>
</w:p>
<w:p>
<w:pPr><w:pStyle w:val="Normal"/></w:pPr>
<w:r><w:t xml:space="preserve">qualities which they represent.  Thus the operator had to</w:t></w:r>
</w:p>
<w:p>
<w:pPr><w:pStyle w:val="Normal"/></w:pPr>
<w:r><w:t xml:space="preserve">remove from ordinary mercury, earth or an earthy principle or</w:t></w:r>
</w:p>
<w:p>
<w:pPr><w:pStyle w:val="Normal"/></w:pPr>
<w:r><w:t xml:space="preserve">quality, and water or a liquid principle, and to fix it by</w:t></w:r>
</w:p>
<w:p>
<w:pPr><w:pStyle w:val="Normal"/></w:pPr>
<w:r><w:t xml:space="preserve">taking away air or a volatile principle.  The prima materia</w:t></w:r>
</w:p>
<w:p>
<w:pPr><w:pStyle w:val="Normal"/></w:pPr>
<w:r><w:t xml:space="preserve">thus obtained had to be treated with sulphur (or with sulphur</w:t></w:r>
</w:p>
<w:p>
<w:pPr><w:pStyle w:val="Normal"/></w:pPr>
<w:r><w:t xml:space="preserve">and arsenic) to confer upon it the desired qualities that were</w:t></w:r>
</w:p>
<w:p>
<w:pPr><w:pStyle w:val="Normal"/></w:pPr>
<w:r><w:t xml:space="preserve">missing.  This sulphur again was not ordinary sulphur, but some</w:t></w:r>
</w:p>
<w:p>
<w:pPr><w:pStyle w:val="Normal"/></w:pPr>
<w:r><w:t xml:space="preserve">principle derived from it, which constituted the philosopher&apos;s</w:t></w:r>
</w:p>
<w:p>
<w:pPr><w:pStyle w:val="Normal"/></w:pPr>
<w:r><w:t xml:space="preserve">stone or elixir--white for silver and yellow or red for</w:t></w:r>
</w:p>
<w:p>
<w:pPr><w:pStyle w:val="Normal"/></w:pPr>
<w:r><w:t xml:space="preserve">gold.  This is briefly the doctrine that the metals are</w:t></w:r>
</w:p>
<w:p>
<w:pPr><w:pStyle w:val="Normal"/></w:pPr>
<w:r><w:t xml:space="preserve">composed of mercury and sulphur, which persisted in one form</w:t></w:r>
</w:p>
<w:p>
<w:pPr><w:pStyle w:val="Normal"/></w:pPr>
<w:r><w:t xml:space="preserve">or another down to the 17th century.  Of course there were</w:t></w:r>
</w:p>
<w:p>
<w:pPr><w:pStyle w:val="Normal"/></w:pPr>
<w:r><w:t xml:space="preserve">numerous variations and refinements.  Thus in the Speculum</w:t></w:r>
</w:p>
<w:p>
<w:pPr><w:pStyle w:val="Normal"/></w:pPr>
<w:r><w:t xml:space="preserve">Naturale of Vincent of Beauvais (c. 1250) it is said that</w:t></w:r>
</w:p>
<w:p>
<w:pPr><w:pStyle w:val="Normal"/></w:pPr>
<w:r><w:t xml:space="preserve">there are four spirits--mercury, sulphur, arsenic and sal</w:t></w:r>
</w:p>
<w:p>
<w:pPr><w:pStyle w:val="Normal"/></w:pPr>
<w:r><w:t xml:space="preserve">ammoniac-- and six bodies--gold, silver, copper, tin, lead and</w:t></w:r>
</w:p>
<w:p>
<w:pPr><w:pStyle w:val="Normal"/></w:pPr>
<w:r><w:t xml:space="preserve">iron.3 Of these bodies the two first are pure, the four last</w:t></w:r>
</w:p>
<w:p>
<w:pPr><w:pStyle w:val="Normal"/></w:pPr>
<w:r><w:t xml:space="preserve">impure.  Pure white mercury, fixed by the virtue of white</w:t></w:r>
</w:p>
<w:p>
<w:pPr><w:pStyle w:val="Normal"/></w:pPr>
<w:r><w:t xml:space="preserve">non-corrosive sulphur, engenders in mines a matter which</w:t></w:r>
</w:p>
<w:p>
<w:pPr><w:pStyle w:val="Normal"/></w:pPr>
<w:r><w:t xml:space="preserve">fusion changes into silver, and united to pure clear red</w:t></w:r>
</w:p>
<w:p>
<w:pPr><w:pStyle w:val="Normal"/></w:pPr>
<w:r><w:t xml:space="preserve">sulphur it forms gold, while with various kinds of impure</w:t></w:r>
</w:p>
<w:p>
<w:pPr><w:pStyle w:val="Normal"/></w:pPr>
<w:r><w:t xml:space="preserve">mercury and sulphur the other bodies are produced.  Vincent</w:t></w:r>
</w:p>
<w:p>
<w:pPr><w:pStyle w:val="Normal"/></w:pPr>
<w:r><w:t xml:space="preserve">attributes to Rhazes the statement that copper is potentially</w:t></w:r>
</w:p>
<w:p>
<w:pPr><w:pStyle w:val="Normal"/></w:pPr>
<w:r><w:t xml:space="preserve">silver, and any one who can eliminate the red colour will</w:t></w:r>
</w:p>
<w:p>
<w:pPr><w:pStyle w:val="Normal"/></w:pPr>
<w:r><w:t xml:space="preserve">bring it to the state of silver, for it is copper in outward</w:t></w:r>
</w:p>
<w:p>
<w:pPr><w:pStyle w:val="Normal"/></w:pPr>
<w:r><w:t xml:space="preserve">appearance, but in its inmost nature silver.  This statement</w:t></w:r>
</w:p>
<w:p>
<w:pPr><w:pStyle w:val="Normal"/></w:pPr>
<w:r><w:t xml:space="preserve">represents a doctrine widely held in the 13th century, and</w:t></w:r>
</w:p>
<w:p>
<w:pPr><w:pStyle w:val="Normal"/></w:pPr>
<w:r><w:t xml:space="preserve">also to be found in the Greek alchemists, that everything</w:t></w:r>
</w:p>
<w:p>
<w:pPr><w:pStyle w:val="Normal"/></w:pPr>
<w:r><w:t xml:space="preserve">endowed with a particular apparent quality possesses a hidden</w:t></w:r>
</w:p>
<w:p>
<w:pPr><w:pStyle w:val="Normal"/></w:pPr>
<w:r><w:t xml:space="preserve">opposite quality, which can be rendered apparent by fire.</w:t></w:r>
</w:p>
<w:p>
<w:pPr><w:pStyle w:val="Normal"/></w:pPr>
<w:r><w:t xml:space="preserve">Later, as in the works attributed to Basil Valentine, sulphur,</w:t></w:r>
</w:p>
<w:p>
<w:pPr><w:pStyle w:val="Normal"/></w:pPr>
<w:r><w:t xml:space="preserve">mercury and salt are held to be the constituents of the metals.</w:t></w:r>
</w:p>
<w:p>
<w:pPr><w:pStyle w:val="Normal"/></w:pPr>
<w:r><w:t xml:space="preserve">It must be noted that the processes described by the alchemists</w:t></w:r>
</w:p>
<w:p>
<w:pPr><w:pStyle w:val="Normal"/></w:pPr>
<w:r><w:t xml:space="preserve">of the 13th century are not put forward as being miraculous</w:t></w:r>
</w:p>
<w:p>
<w:pPr><w:pStyle w:val="Normal"/></w:pPr>
<w:r><w:t xml:space="preserve">or supernatural; they rather represent the methods employed by</w:t></w:r>
</w:p>
<w:p>
<w:pPr><w:pStyle w:val="Normal"/></w:pPr>
<w:r><w:t xml:space="preserve">nature, which it is the end of the alchemist&apos;s art to reproduce</w:t></w:r>
</w:p>
<w:p>
<w:pPr><w:pStyle w:val="Normal"/></w:pPr>
<w:r><w:t xml:space="preserve">artificially in the laboratory.  But even among the late</w:t></w:r>
</w:p>
<w:p>
<w:pPr><w:pStyle w:val="Normal"/></w:pPr>
<w:r><w:t xml:space="preserve">Arabian alchemists it was doubted whether the resources of</w:t></w:r>
</w:p>
<w:p>
<w:pPr><w:pStyle w:val="Normal"/></w:pPr>
<w:r><w:t xml:space="preserve">the art were adequate to the task; and in the West, Vincent of</w:t></w:r>
</w:p>
<w:p>
<w:pPr><w:pStyle w:val="Normal"/></w:pPr>
<w:r><w:t xml:space="preserve">Beauvais remarks that success had not been achieved in making</w:t></w:r>
</w:p>
<w:p>
<w:pPr><w:pStyle w:val="Normal"/></w:pPr>
<w:r><w:t xml:space="preserve">artificial metals identical with the natural ones.  Thus he</w:t></w:r>
</w:p>
<w:p>
<w:pPr><w:pStyle w:val="Normal"/></w:pPr>
<w:r><w:t xml:space="preserve">says that the silver which has been changed into gold by the</w:t></w:r>
</w:p>
<w:p>
<w:pPr><w:pStyle w:val="Normal"/></w:pPr>
<w:r><w:t xml:space="preserve">projection of the red elixir is not rendered resistant to the</w:t></w:r>
</w:p>
<w:p>
<w:pPr><w:pStyle w:val="Normal"/></w:pPr>
<w:r><w:t xml:space="preserve">agents which affect silver but not gold, and Albertus Magnus</w:t></w:r>
</w:p>
<w:p>
<w:pPr><w:pStyle w:val="Normal"/></w:pPr>
<w:r><w:t xml:space="preserve">in his De Mineralibus --the De Alchemia attributed to him</w:t></w:r>
</w:p>
<w:p>
<w:pPr><w:pStyle w:val="Normal"/></w:pPr>
<w:r><w:t xml:space="preserve">is spurious--states that alchemy cannot change species but</w:t></w:r>
</w:p>
<w:p>
<w:pPr><w:pStyle w:val="Normal"/></w:pPr>
<w:r><w:t xml:space="preserve">merely imitates them--for instance, colours a metal white to</w:t></w:r>
</w:p>
<w:p>
<w:pPr><w:pStyle w:val="Normal"/></w:pPr>
<w:r><w:t xml:space="preserve">make it resemble silver or yellow to give it the appearance of</w:t></w:r>
</w:p>
<w:p>
<w:pPr><w:pStyle w:val="Normal"/></w:pPr>
<w:r><w:t xml:space="preserve">gold.  He has, he adds, tested gold made by alchemists, and</w:t></w:r>
</w:p>
<w:p>
<w:pPr><w:pStyle w:val="Normal"/></w:pPr>
<w:r><w:t xml:space="preserve">found that it will not withstand six or seven exposures to</w:t></w:r>
</w:p>
<w:p>
<w:pPr><w:pStyle w:val="Normal"/></w:pPr>
<w:r><w:t xml:space="preserve">fire.  But scepticism of this kind was not universal.  Roger</w:t></w:r>
</w:p>
<w:p>
<w:pPr><w:pStyle w:val="Normal"/></w:pPr>
<w:r><w:t xml:space="preserve">Bacon--or more probably some one who usurped his name--declared</w:t></w:r>
</w:p>
<w:p>
<w:pPr><w:pStyle w:val="Normal"/></w:pPr>
<w:r><w:t xml:space="preserve">that with a certain amount of the philosopher&apos;s stone he could</w:t></w:r>
</w:p>
<w:p>
<w:pPr><w:pStyle w:val="Normal"/></w:pPr>
<w:r><w:t xml:space="preserve">transmute a million times as much base metal into gold, and</w:t></w:r>
</w:p>
<w:p>
<w:pPr><w:pStyle w:val="Normal"/></w:pPr>
<w:r><w:t xml:space="preserve">on Raimon Lull was fathered the boast, ``Mare tingerem si</w:t></w:r>
</w:p>
<w:p>
<w:pPr><w:pStyle w:val="Normal"/></w:pPr>
<w:r><w:t xml:space="preserve">mercurius esset.&apos;&apos; Numerous less distinguished adepts also</w:t></w:r>
</w:p>
<w:p>
<w:pPr><w:pStyle w:val="Normal"/></w:pPr>
<w:r><w:t xml:space="preserve">practised the art, and sometimes were so successful in their</w:t></w:r>
</w:p>
<w:p>
<w:pPr><w:pStyle w:val="Normal"/></w:pPr>
<w:r><w:t xml:space="preserve">deceptions that they gained the ear of kings, whose desire</w:t></w:r>
</w:p>
<w:p>
<w:pPr><w:pStyle w:val="Normal"/></w:pPr>
<w:r><w:t xml:space="preserve">to profit by the achievements of science was in several</w:t></w:r>
</w:p>
<w:p>
<w:pPr><w:pStyle w:val="Normal"/></w:pPr>
<w:r><w:t xml:space="preserve">instances rewarded by an abundant crop of counterfeit coins.</w:t></w:r>
</w:p>
<w:p>
<w:pPr><w:pStyle w:val="Normal"/></w:pPr>
<w:r><w:t xml:space="preserve">Later History of Alchemy.--In the earlier part of the</w:t></w:r>
</w:p>
<w:p>
<w:pPr><w:pStyle w:val="Normal"/></w:pPr>
<w:r><w:t xml:space="preserve">16th century Paracelsus gave a new direction to alchemy by</w:t></w:r>
</w:p>
<w:p>
<w:pPr><w:pStyle w:val="Normal"/></w:pPr>
<w:r><w:t xml:space="preserve">declaring that its true object was not the making of gold but</w:t></w:r>
</w:p>
<w:p>
<w:pPr><w:pStyle w:val="Normal"/></w:pPr>
<w:r><w:t xml:space="preserve">the preparation of medicines, and this union of chemistry with</w:t></w:r>
</w:p>
<w:p>
<w:pPr><w:pStyle w:val="Normal"/></w:pPr>
<w:r><w:t xml:space="preserve">medicine was one characteristic of the iatrochemical school</w:t></w:r>
</w:p>
<w:p>
<w:pPr><w:pStyle w:val="Normal"/></w:pPr>
<w:r><w:t xml:space="preserve">of which he was the precursor.  Increasing attention was paid</w:t></w:r>
</w:p>
<w:p>
<w:pPr><w:pStyle w:val="Normal"/></w:pPr>
<w:r><w:t xml:space="preserve">to the investigation of the properties of substances and of</w:t></w:r>
</w:p>
<w:p>
<w:pPr><w:pStyle w:val="Normal"/></w:pPr>
<w:r><w:t xml:space="preserve">their effects on the human body, and chemistry profited by</w:t></w:r>
</w:p>
<w:p>
<w:pPr><w:pStyle w:val="Normal"/></w:pPr>
<w:r><w:t xml:space="preserve">the fact that it passed into the hands of men who possessed</w:t></w:r>
</w:p>
<w:p>
<w:pPr><w:pStyle w:val="Normal"/></w:pPr>
<w:r><w:t xml:space="preserve">the highest scientific culture of the time, Still, belief</w:t></w:r>
</w:p>
<w:p>
<w:pPr><w:pStyle w:val="Normal"/></w:pPr>
<w:r><w:t xml:space="preserve">in the possibility of transmutation long remained orthodox,</w:t></w:r>
</w:p>
<w:p>
<w:pPr><w:pStyle w:val="Normal"/></w:pPr>
<w:r><w:t xml:space="preserve">even among the most distinguished men of science.  Thus it</w:t></w:r>
</w:p>
<w:p>
<w:pPr><w:pStyle w:val="Normal"/></w:pPr>
<w:r><w:t xml:space="preserve">was accepted, at least academically, by Andreas Libavius (d.</w:t></w:r>
</w:p>
<w:p>
<w:pPr><w:pStyle w:val="Normal"/></w:pPr>
<w:r><w:t xml:space="preserve">1616); by F. de la Boe Sylvius (1614-1672), though not by</w:t></w:r>
</w:p>
<w:p>
<w:pPr><w:pStyle w:val="Normal"/></w:pPr>
<w:r><w:t xml:space="preserve">his pupil Otto Tachenius, and by J. R. Glauber (1603-1668);</w:t></w:r>
</w:p>
<w:p>
<w:pPr><w:pStyle w:val="Normal"/></w:pPr>
<w:r><w:t xml:space="preserve">by Robert Boyle (1627-1691) and, for a time at least, by Sir</w:t></w:r>
</w:p>
<w:p>
<w:pPr><w:pStyle w:val="Normal"/></w:pPr>
<w:r><w:t xml:space="preserve">Isaac Newton and his rival and contemporary, G. W. Leibnitz</w:t></w:r>
</w:p>
<w:p>
<w:pPr><w:pStyle w:val="Normal"/></w:pPr>
<w:r><w:t xml:space="preserve">(1646-1716); and by G. E. Stahl (1660-1734) and Hermann Boerhaave</w:t></w:r>
</w:p>
<w:p>
<w:pPr><w:pStyle w:val="Normal"/></w:pPr>
<w:r><w:t xml:space="preserve">(1668-1738).  Though an alchemist, Boyle, in his Sceptical</w:t></w:r>
</w:p>
<w:p>
<w:pPr><w:pStyle w:val="Normal"/></w:pPr>
<w:r><w:t xml:space="preserve">Chemist (1661), cast doubts on the ``experiments whereby</w:t></w:r>
</w:p>
<w:p>
<w:pPr><w:pStyle w:val="Normal"/></w:pPr>
<w:r><w:t xml:space="preserve">vulgar Spagyrists are wont to endeavour to evince their salt,</w:t></w:r>
</w:p>
<w:p>
<w:pPr><w:pStyle w:val="Normal"/></w:pPr>
<w:r><w:t xml:space="preserve">sulphur and mercury to be the true principles of things,&apos;&apos;</w:t></w:r>
</w:p>
<w:p>
<w:pPr><w:pStyle w:val="Normal"/></w:pPr>
<w:r><w:t xml:space="preserve">and advanced towards the conception of chemical elements</w:t></w:r>
</w:p>
<w:p>
<w:pPr><w:pStyle w:val="Normal"/></w:pPr>
<w:r><w:t xml:space="preserve">as those constituents of matter which cannot be further</w:t></w:r>
</w:p>
<w:p>
<w:pPr><w:pStyle w:val="Normal"/></w:pPr>
<w:r><w:t xml:space="preserve">decomposed.  With J. J. Becher (1635-1682) and G. E. Stahl,</w:t></w:r>
</w:p>
<w:p>
<w:pPr><w:pStyle w:val="Normal"/></w:pPr>
<w:r><w:t xml:space="preserve">however, there was a reversion to earlier ideas.  The former</w:t></w:r>
</w:p>
<w:p>
<w:pPr><w:pStyle w:val="Normal"/></w:pPr>
<w:r><w:t xml:space="preserve">substituted for the salt, sulphur and mercury of Basil</w:t></w:r>
</w:p>
<w:p>
<w:pPr><w:pStyle w:val="Normal"/></w:pPr>
<w:r><w:t xml:space="preserve">Valentine and Paracelsus three earths--the mercurial, the</w:t></w:r>
</w:p>
<w:p>
<w:pPr><w:pStyle w:val="Normal"/></w:pPr>
<w:r><w:t xml:space="preserve">vitreous and the combustible--and he explained combustion</w:t></w:r>
</w:p>
<w:p>
<w:pPr><w:pStyle w:val="Normal"/></w:pPr>
<w:r><w:t xml:space="preserve">as depending on the escape of this last combustible element;</w:t></w:r>
</w:p>
<w:p>
<w:pPr><w:pStyle w:val="Normal"/></w:pPr>
<w:r><w:t xml:space="preserve">while Stahl&apos;s conception of phlogiston--not fire itself,</w:t></w:r>
</w:p>
<w:p>
<w:pPr><w:pStyle w:val="Normal"/></w:pPr>
<w:r><w:t xml:space="preserve">but the principle of fire--by virtue of which combustible</w:t></w:r>
</w:p>
<w:p>
<w:pPr><w:pStyle w:val="Normal"/></w:pPr>
<w:r><w:t xml:space="preserve">bodies burned, was a near relative of the mercury of the</w:t></w:r>
</w:p>
<w:p>
<w:pPr><w:pStyle w:val="Normal"/></w:pPr>
<w:r><w:t xml:space="preserve">philosophers, the soul or essence of ordinary mercury.</w:t></w:r>
</w:p>
<w:p>
<w:pPr><w:pStyle w:val="Normal"/></w:pPr>
<w:r><w:t xml:space="preserve">Perhaps J. B. van Helmont (1577-1644) was the last distinguished</w:t></w:r>
</w:p>
<w:p>
<w:pPr><w:pStyle w:val="Normal"/></w:pPr>
<w:r><w:t xml:space="preserve">investigator who professed actually to have changed mercury</w:t></w:r>
</w:p>
<w:p>
<w:pPr><w:pStyle w:val="Normal"/></w:pPr>
<w:r><w:t xml:space="preserve">into gold, though impostors and mystics of various kinds</w:t></w:r>
</w:p>
<w:p>
<w:pPr><w:pStyle w:val="Normal"/></w:pPr>
<w:r><w:t xml:space="preserve">continued to claim knowledge of the art long after his</w:t></w:r>
</w:p>
<w:p>
<w:pPr><w:pStyle w:val="Normal"/></w:pPr>
<w:r><w:t xml:space="preserve">time.  So late as 1782, James Price, an English physician,</w:t></w:r>
</w:p>
<w:p>
<w:pPr><w:pStyle w:val="Normal"/></w:pPr>
<w:r><w:t xml:space="preserve">showed experiments with white and red powders, by the aid</w:t></w:r>
</w:p>
<w:p>
<w:pPr><w:pStyle w:val="Normal"/></w:pPr>
<w:r><w:t xml:space="preserve">of which he was supposed to be able to transform fifty</w:t></w:r>
</w:p>
<w:p>
<w:pPr><w:pStyle w:val="Normal"/></w:pPr>
<w:r><w:t xml:space="preserve">and sixty times as much mercury into silver and gold.  The</w:t></w:r>
</w:p>
<w:p>
<w:pPr><w:pStyle w:val="Normal"/></w:pPr>
<w:r><w:t xml:space="preserve">metals he produced are said to have proved genuine on assay;</w:t></w:r>
</w:p>
<w:p>
<w:pPr><w:pStyle w:val="Normal"/></w:pPr>
<w:r><w:t xml:space="preserve">when, however, in the following year he was challenged to</w:t></w:r>
</w:p>
<w:p>
<w:pPr><w:pStyle w:val="Normal"/></w:pPr>
<w:r><w:t xml:space="preserve">repeat the experiments he was unable to do so and committed</w:t></w:r>
</w:p>
<w:p>
<w:pPr><w:pStyle w:val="Normal"/></w:pPr>
<w:r><w:t xml:space="preserve">suicide.  In the course of the 19th century the idea that</w:t></w:r>
</w:p>
<w:p>
<w:pPr><w:pStyle w:val="Normal"/></w:pPr>
<w:r><w:t xml:space="preserve">the different elements are constituted by different groupings</w:t></w:r>
</w:p>
<w:p>
<w:pPr><w:pStyle w:val="Normal"/></w:pPr>
<w:r><w:t xml:space="preserve">or condensations of one primal matter--a speculation which,</w:t></w:r>
</w:p>
<w:p>
<w:pPr><w:pStyle w:val="Normal"/></w:pPr>
<w:r><w:t xml:space="preserve">if proved to be well grounded, would imply the possibility</w:t></w:r>
</w:p>
<w:p>
<w:pPr><w:pStyle w:val="Normal"/></w:pPr>
<w:r><w:t xml:space="preserve">of changing one element into another--found favour with</w:t></w:r>
</w:p>
<w:p>
<w:pPr><w:pStyle w:val="Normal"/></w:pPr>
<w:r><w:t xml:space="preserve">more than one responsible chemist; but experimental research</w:t></w:r>
</w:p>
<w:p>
<w:pPr><w:pStyle w:val="Normal"/></w:pPr>
<w:r><w:t xml:space="preserve">failed to yield any evidence that was generally regarded as</w:t></w:r>
</w:p>
<w:p>
<w:pPr><w:pStyle w:val="Normal"/></w:pPr>
<w:r><w:t xml:space="preserve">offering any support to this hypothesis.  About the beginning</w:t></w:r>
</w:p>
<w:p>
<w:pPr><w:pStyle w:val="Normal"/></w:pPr>
<w:r><w:t xml:space="preserve">of the 20th century, however, the view was promulgated</w:t></w:r>
</w:p>
<w:p>
<w:pPr><w:pStyle w:val="Normal"/></w:pPr>
<w:r><w:t xml:space="preserve">that the spontaneous production of helium from radium may</w:t></w:r>
</w:p>
<w:p>
<w:pPr><w:pStyle w:val="Normal"/></w:pPr>
<w:r><w:t xml:space="preserve">be an instance of the transformation of one element into</w:t></w:r>
</w:p>
<w:p>
<w:pPr><w:pStyle w:val="Normal"/></w:pPr>
<w:r><w:t xml:space="preserve">another. (See RADIOACTIVITY; also ELEMENT and MATTER.)</w:t></w:r>
</w:p>
<w:p>
<w:pPr><w:pStyle w:val="Normal"/></w:pPr>
<w:r><w:t xml:space="preserve">See M. P. E. Berthelot, Les Origines de l&apos;alchimie (1885);</w:t></w:r>
</w:p>
<w:p>
<w:pPr><w:pStyle w:val="Normal"/></w:pPr>
<w:r><w:t xml:space="preserve">Collection des anciens alchimistes grecs (text and</w:t></w:r>
</w:p>
<w:p>
<w:pPr><w:pStyle w:val="Normal"/></w:pPr>
<w:r><w:t xml:space="preserve">translation, 3 vols., 1887-1888); Introduction a l&apos;etude de</w:t></w:r>
</w:p>
<w:p>
<w:pPr><w:pStyle w:val="Normal"/></w:pPr>
<w:r><w:t xml:space="preserve">la chimie des anciens et du moyen age (1889): La Chimie au</w:t></w:r>
</w:p>
<w:p>
<w:pPr><w:pStyle w:val="Normal"/></w:pPr>
<w:r><w:t xml:space="preserve">moyen age (text and translation of Syriac and Arabic treatises</w:t></w:r>
</w:p>
<w:p>
<w:pPr><w:pStyle w:val="Normal"/></w:pPr>
<w:r><w:t xml:space="preserve">on alchemy, 3 vols., 1893).  Much bibliographical and other</w:t></w:r>
</w:p>
<w:p>
<w:pPr><w:pStyle w:val="Normal"/></w:pPr>
<w:r><w:t xml:space="preserve">information about the later writers on alchemy is contained</w:t></w:r>
</w:p>
<w:p>
<w:pPr><w:pStyle w:val="Normal"/></w:pPr>
<w:r><w:t xml:space="preserve">in Bibliotheca Chemica (2 vols., Glasgow, 1906), a catalogue</w:t></w:r>
</w:p>
<w:p>
<w:pPr><w:pStyle w:val="Normal"/></w:pPr>
<w:r><w:t xml:space="preserve">by John Ferguson of the books in the collection of James</w:t></w:r>
</w:p>
<w:p>
<w:pPr><w:pStyle w:val="Normal"/></w:pPr>
<w:r><w:t xml:space="preserve">Young of Kelly (printed for private distribution). (H. M. R.)</w:t></w:r>
</w:p>
<w:p>
<w:pPr><w:pStyle w:val="Normal"/></w:pPr>
<w:r><w:t xml:space="preserve">1 An alchemistical work bearing the name of Ostanes</w:t></w:r>
</w:p>
<w:p>
<w:pPr><w:pStyle w:val="Normal"/></w:pPr>
<w:r><w:t xml:space="preserve">speaks of a divine water which cures all maladies--an early</w:t></w:r>
</w:p>
<w:p>
<w:pPr><w:pStyle w:val="Normal"/></w:pPr>
<w:r><w:t xml:space="preserve">appearance of the universal panacea or elixir of life.</w:t></w:r>
</w:p>
<w:p>
<w:pPr><w:pStyle w:val="Normal"/></w:pPr>
<w:r><w:t xml:space="preserve">2 ``Some traditionary knowledge might be secreted in the</w:t></w:r>
</w:p>
<w:p>
<w:pPr><w:pStyle w:val="Normal"/></w:pPr>
<w:r><w:t xml:space="preserve">temples and monasteries of Egypt: much useful experience might</w:t></w:r>
</w:p>
<w:p>
<w:pPr><w:pStyle w:val="Normal"/></w:pPr>
<w:r><w:t xml:space="preserve">have been acquired in the practice of arts and manufactures,</w:t></w:r>
</w:p>
<w:p>
<w:pPr><w:pStyle w:val="Normal"/></w:pPr>
<w:r><w:t xml:space="preserve">but the science of chemistry owes its origin and improvement</w:t></w:r>
</w:p>
<w:p>
<w:pPr><w:pStyle w:val="Normal"/></w:pPr>
<w:r><w:t xml:space="preserve">to the industry of the Saracens.  They first invented</w:t></w:r>
</w:p>
<w:p>
<w:pPr><w:pStyle w:val="Normal"/></w:pPr>
<w:r><w:t xml:space="preserve">and named the alembic for the purposes of distillation,</w:t></w:r>
</w:p>
<w:p>
<w:pPr><w:pStyle w:val="Normal"/></w:pPr>
<w:r><w:t xml:space="preserve">analyzed the substances of the three kingdoms of nature,</w:t></w:r>
</w:p>
<w:p>
<w:pPr><w:pStyle w:val="Normal"/></w:pPr>
<w:r><w:t xml:space="preserve">tried the distinction and affinities of alkalis and acids,</w:t></w:r>
</w:p>
<w:p>
<w:pPr><w:pStyle w:val="Normal"/></w:pPr>
<w:r><w:t xml:space="preserve">and converted the poisonous minerals into soft and salutary</w:t></w:r>
</w:p>
<w:p>
<w:pPr><w:pStyle w:val="Normal"/></w:pPr>
<w:r><w:t xml:space="preserve">remedies.  But the most eager search of Arabian chemistry</w:t></w:r>
</w:p>
<w:p>
<w:pPr><w:pStyle w:val="Normal"/></w:pPr>
<w:r><w:t xml:space="preserve">was the transmutation of metals, and the elixir of immortal</w:t></w:r>
</w:p>
<w:p>
<w:pPr><w:pStyle w:val="Normal"/></w:pPr>
<w:r><w:t xml:space="preserve">health: the reason and the fortunes of thousands were</w:t></w:r>
</w:p>
<w:p>
<w:pPr><w:pStyle w:val="Normal"/></w:pPr>
<w:r><w:t xml:space="preserve">evaporated in the crucibles of alchemy, and the consummation</w:t></w:r>
</w:p>
<w:p>
<w:pPr><w:pStyle w:val="Normal"/></w:pPr>
<w:r><w:t xml:space="preserve">of the great work was promoted by the worthy aid of mystery,</w:t></w:r>
</w:p>
<w:p>
<w:pPr><w:pStyle w:val="Normal"/></w:pPr>
<w:r><w:t xml:space="preserve">fable and superstition.&apos;&apos; It may be noted that the word</w:t></w:r>
</w:p>
<w:p>
<w:pPr><w:pStyle w:val="Normal"/></w:pPr>
<w:r><w:t xml:space="preserve">``alembic&apos;&apos; is derived from the Greek ambix, ``cup,&apos;&apos;</w:t></w:r>
</w:p>
<w:p>
<w:pPr><w:pStyle w:val="Normal"/></w:pPr>
<w:r><w:t xml:space="preserve">with the Arabic article prefixed, and that the instrument</w:t></w:r>
</w:p>
<w:p>
<w:pPr><w:pStyle w:val="Normal"/></w:pPr>
<w:r><w:t xml:space="preserve">is figured in the MSS. of some of the Greek alchemists.</w:t></w:r>
</w:p>
<w:p>
<w:pPr><w:pStyle w:val="Normal"/></w:pPr>
<w:r><w:t xml:space="preserve">3 Cf. Chaucer, Chanouns Yemannes Tale, where,</w:t></w:r>
</w:p>
<w:p>
<w:pPr><w:pStyle w:val="Normal"/></w:pPr>
<w:r><w:t xml:space="preserve">however, mercury figures both as a spirit and a body:--</w:t></w:r>
</w:p>
<w:p>
<w:pPr><w:pStyle w:val="Normal"/></w:pPr>
<w:r><w:t xml:space="preserve">``The firste spirit quik-silver called is,</w:t></w:r>
</w:p>
<w:p>
<w:pPr><w:pStyle w:val="Normal"/></w:pPr>
<w:r><w:t xml:space="preserve">The second orpiment, the thridde ywis</w:t></w:r>
</w:p>
<w:p>
<w:pPr><w:pStyle w:val="Normal"/></w:pPr>
<w:r><w:t xml:space="preserve">Sal armoniak, and the ferthe brimstoon.&apos;&apos;</w:t></w:r>
</w:p>
<w:p>
<w:pPr><w:pStyle w:val="Normal"/></w:pPr>
<w:r><w:t xml:space="preserve">ALCIATI, ANDREA (1492-1550), Italian jurist, was born at</w:t></w:r>
</w:p>
<w:p>
<w:pPr><w:pStyle w:val="Normal"/></w:pPr>
<w:r><w:t xml:space="preserve">Alzano, near Milan, on the 12th of January 1492.  He displayed</w:t></w:r>
</w:p>
<w:p>
<w:pPr><w:pStyle w:val="Normal"/></w:pPr>
<w:r><w:t xml:space="preserve">great literary skill in his exposition of the laws, and was</w:t></w:r>
</w:p>
<w:p>
<w:pPr><w:pStyle w:val="Normal"/></w:pPr>
<w:r><w:t xml:space="preserve">one of the first to interpret the civil law by the history,</w:t></w:r>
</w:p>
<w:p>
<w:pPr><w:pStyle w:val="Normal"/></w:pPr>
<w:r><w:t xml:space="preserve">languages and literature of antiquity, and to substitute original</w:t></w:r>
</w:p>
<w:p>
<w:pPr><w:pStyle w:val="Normal"/></w:pPr>
<w:r><w:t xml:space="preserve">research for the servile interpretations of the glossators.  He</w:t></w:r>
</w:p>
<w:p>
<w:pPr><w:pStyle w:val="Normal"/></w:pPr>
<w:r><w:t xml:space="preserve">published many legal works, and some annotations on Tacitus.</w:t></w:r>
</w:p>
<w:p>
<w:pPr><w:pStyle w:val="Normal"/></w:pPr>
<w:r><w:t xml:space="preserve">His Emblems, a collection of moral sayings in Latin verse, has</w:t></w:r>
</w:p>
<w:p>
<w:pPr><w:pStyle w:val="Normal"/></w:pPr>
<w:r><w:t xml:space="preserve">been greatly admired, and translated into French, Italian and</w:t></w:r>
</w:p>
<w:p>
<w:pPr><w:pStyle w:val="Normal"/></w:pPr>
<w:r><w:t xml:space="preserve">Spanish.  Alciati&apos;s history of Milan, under the title Rerum</w:t></w:r>
</w:p>
<w:p>
<w:pPr><w:pStyle w:val="Normal"/></w:pPr>
<w:r><w:t xml:space="preserve">Potriae, seu Historiae Mediolanensis, Libri IV., was published</w:t></w:r>
</w:p>
<w:p>
<w:pPr><w:pStyle w:val="Normal"/></w:pPr>
<w:r><w:t xml:space="preserve">posthumously at Milan in 1625.  He died at Pavia in 1550.</w:t></w:r>
</w:p>
<w:p>
<w:pPr><w:pStyle w:val="Normal"/></w:pPr>
<w:r><w:t xml:space="preserve">ALCIBIADES (c. 450-404 B.C.), Athenian general and</w:t></w:r>
</w:p>
<w:p>
<w:pPr><w:pStyle w:val="Normal"/></w:pPr>
<w:r><w:t xml:space="preserve">politician, was born at Athens.  He was the son of Cleinias and</w:t></w:r>
</w:p>
<w:p>
<w:pPr><w:pStyle w:val="Normal"/></w:pPr>
<w:r><w:t xml:space="preserve">Deinomache, who belonged to the family of the Alcmaeonidae.</w:t></w:r>
</w:p>
<w:p>
<w:pPr><w:pStyle w:val="Normal"/></w:pPr>
<w:r><w:t xml:space="preserve">He was a near relative of Pericles, who, after the death</w:t></w:r>
</w:p>
<w:p>
<w:pPr><w:pStyle w:val="Normal"/></w:pPr>
<w:r><w:t xml:space="preserve">of Cleinias at the battle of Coroneia (447), became his</w:t></w:r>
</w:p>
<w:p>
<w:pPr><w:pStyle w:val="Normal"/></w:pPr>
<w:r><w:t xml:space="preserve">guardian.  Thus early deprived of his father&apos;s control, possessed</w:t></w:r>
</w:p>
<w:p>
<w:pPr><w:pStyle w:val="Normal"/></w:pPr>
<w:r><w:t xml:space="preserve">of great personal beauty and the heir to great wealth, which</w:t></w:r>
</w:p>
<w:p>
<w:pPr><w:pStyle w:val="Normal"/></w:pPr>
<w:r><w:t xml:space="preserve">was increased by his marriage, he showed himself self-willed,</w:t></w:r>
</w:p>
<w:p>
<w:pPr><w:pStyle w:val="Normal"/></w:pPr>
<w:r><w:t xml:space="preserve">capricious and passionate, and indulged in the wildest freaks</w:t></w:r>
</w:p>
<w:p>
<w:pPr><w:pStyle w:val="Normal"/></w:pPr>
<w:r><w:t xml:space="preserve">and most insolent behaviour.  Nor did the instructors of</w:t></w:r>
</w:p>
<w:p>
<w:pPr><w:pStyle w:val="Normal"/></w:pPr>
<w:r><w:t xml:space="preserve">his early manhood supply the corrective which his boyhood</w:t></w:r>
</w:p>
<w:p>
<w:pPr><w:pStyle w:val="Normal"/></w:pPr>
<w:r><w:t xml:space="preserve">lacked.  From Protagoras, Prodicus and others he learnt to</w:t></w:r>
</w:p>
<w:p>
<w:pPr><w:pStyle w:val="Normal"/></w:pPr>
<w:r><w:t xml:space="preserve">laugh at the common ideas of justice, temperance, holiness and</w:t></w:r>
</w:p>
<w:p>
<w:pPr><w:pStyle w:val="Normal"/></w:pPr>
<w:r><w:t xml:space="preserve">patriotism.  The laborious thought, the ascetic life of his</w:t></w:r>
</w:p>
<w:p>
<w:pPr><w:pStyle w:val="Normal"/></w:pPr>
<w:r><w:t xml:space="preserve">master Socrates, he was able to admire, but not to imitate or</w:t></w:r>
</w:p>
<w:p>
<w:pPr><w:pStyle w:val="Normal"/></w:pPr>
<w:r><w:t xml:space="preserve">practise.  On the contrary, his ostentatious vanity, his amours,</w:t></w:r>
</w:p>
<w:p>
<w:pPr><w:pStyle w:val="Normal"/></w:pPr>
<w:r><w:t xml:space="preserve">his debaucheries and his impious revels became notorious.</w:t></w:r>
</w:p>
<w:p>
<w:pPr><w:pStyle w:val="Normal"/></w:pPr>
<w:r><w:t xml:space="preserve">But great as were his vices, his abilities were even greater.</w:t></w:r>
</w:p>
<w:p>
<w:pPr><w:pStyle w:val="Normal"/></w:pPr>
<w:r><w:t xml:space="preserve">He took part in the battle of Potidaea (432), where his</w:t></w:r>
</w:p>
<w:p>
<w:pPr><w:pStyle w:val="Normal"/></w:pPr>
<w:r><w:t xml:space="preserve">life was saved by Socrates, a service which he repaid at</w:t></w:r>
</w:p>
<w:p>
<w:pPr><w:pStyle w:val="Normal"/></w:pPr>
<w:r><w:t xml:space="preserve">the battle of Delium (424).  As the reward of his bravery,</w:t></w:r>
</w:p>
<w:p>
<w:pPr><w:pStyle w:val="Normal"/></w:pPr>
<w:r><w:t xml:space="preserve">the wealthy Hipponicus bestowed upon him the hand of his</w:t></w:r>
</w:p>
<w:p>
<w:pPr><w:pStyle w:val="Normal"/></w:pPr>
<w:r><w:t xml:space="preserve">daughter.  From this time he took a prominent part in Athenian</w:t></w:r>
</w:p>
<w:p>
<w:pPr><w:pStyle w:val="Normal"/></w:pPr>
<w:r><w:t xml:space="preserve">politics during the Peloponnesian war.  Originally friendly to</w:t></w:r>
</w:p>
<w:p>
<w:pPr><w:pStyle w:val="Normal"/></w:pPr>
<w:r><w:t xml:space="preserve">Sparta, he subsequently became the leader of the war party in</w:t></w:r>
</w:p>
<w:p>
<w:pPr><w:pStyle w:val="Normal"/></w:pPr>
<w:r><w:t xml:space="preserve">opposition to Nicias, and after the peace of 421 he succeeded</w:t></w:r>
</w:p>
<w:p>
<w:pPr><w:pStyle w:val="Normal"/></w:pPr>
<w:r><w:t xml:space="preserve">by an unscrupulous trick in duping the Spartan ambassadors,</w:t></w:r>
</w:p>
<w:p>
<w:pPr><w:pStyle w:val="Normal"/></w:pPr>
<w:r><w:t xml:space="preserve">and persuading the Athenians to conclude an alliance (420) with</w:t></w:r>
</w:p>
<w:p>
<w:pPr><w:pStyle w:val="Normal"/></w:pPr>
<w:r><w:t xml:space="preserve">Argos, Elis and Mantineia (Thuc. v. 56, 76). On the failure</w:t></w:r>
</w:p>
<w:p>
<w:pPr><w:pStyle w:val="Normal"/></w:pPr>
<w:r><w:t xml:space="preserve">of Nicias in Thrace (418-417) he became the chief advocate</w:t></w:r>
</w:p>
<w:p>
<w:pPr><w:pStyle w:val="Normal"/></w:pPr>
<w:r><w:t xml:space="preserve">of the Sicilian expedition, seeing an opportunity for the</w:t></w:r>
</w:p>
<w:p>
<w:pPr><w:pStyle w:val="Normal"/></w:pPr>
<w:r><w:t xml:space="preserve">realization of his ambitious projects, which included the</w:t></w:r>
</w:p>
<w:p>
<w:pPr><w:pStyle w:val="Normal"/></w:pPr>
<w:r><w:t xml:space="preserve">conquest of Sicily, to be followed by that of Peloponnesus</w:t></w:r>
</w:p>
<w:p>
<w:pPr><w:pStyle w:val="Normal"/></w:pPr>
<w:r><w:t xml:space="preserve">and possibly of Carthage (though this seems to have been an</w:t></w:r>
</w:p>
<w:p>
<w:pPr><w:pStyle w:val="Normal"/></w:pPr>
<w:r><w:t xml:space="preserve">afterthought).  The expedition was decided upon with great</w:t></w:r>
</w:p>
<w:p>
<w:pPr><w:pStyle w:val="Normal"/></w:pPr>
<w:r><w:t xml:space="preserve">enthusiasm, and Alcibiades, Nicias and Lamachus were appointed</w:t></w:r>
</w:p>
<w:p>
<w:pPr><w:pStyle w:val="Normal"/></w:pPr>
<w:r><w:t xml:space="preserve">joint commanders.  But, on the day before the expedition</w:t></w:r>
</w:p>
<w:p>
<w:pPr><w:pStyle w:val="Normal"/></w:pPr>
<w:r><w:t xml:space="preserve">sailed, there occurred the mysterious mutilation of the Hermae,</w:t></w:r>
</w:p>
<w:p>
<w:pPr><w:pStyle w:val="Normal"/></w:pPr>
<w:r><w:t xml:space="preserve">and Alcibiades was accused not only of being the originator</w:t></w:r>
</w:p>
<w:p>
<w:pPr><w:pStyle w:val="Normal"/></w:pPr>
<w:r><w:t xml:space="preserve">of the crime, but also of having profaned the Eleusinian</w:t></w:r>
</w:p>
<w:p>
<w:pPr><w:pStyle w:val="Normal"/></w:pPr>
<w:r><w:t xml:space="preserve">mysteries.  His request for an immediate investigation being</w:t></w:r>
</w:p>
<w:p>
<w:pPr><w:pStyle w:val="Normal"/></w:pPr>
<w:r><w:t xml:space="preserve">refused, he was obliged to set sail with the charge still</w:t></w:r>
</w:p>
<w:p>
<w:pPr><w:pStyle w:val="Normal"/></w:pPr>
<w:r><w:t xml:space="preserve">hanging over him.  Almost as soon as he reached Sicily</w:t></w:r>
</w:p>
<w:p>
<w:pPr><w:pStyle w:val="Normal"/></w:pPr>
<w:r><w:t xml:space="preserve">he was recalled to stand his trial, but he escaped on the</w:t></w:r>
</w:p>
<w:p>
<w:pPr><w:pStyle w:val="Normal"/></w:pPr>
<w:r><w:t xml:space="preserve">journey home and made his way to Sparta.  Learning that he</w:t></w:r>
</w:p>
<w:p>
<w:pPr><w:pStyle w:val="Normal"/></w:pPr>
<w:r><w:t xml:space="preserve">had been condemned to death in his absence and his property</w:t></w:r>
</w:p>
<w:p>
<w:pPr><w:pStyle w:val="Normal"/></w:pPr>
<w:r><w:t xml:space="preserve">confiscated, he openly joined the Spartans, and persuaded</w:t></w:r>
</w:p>
<w:p>
<w:pPr><w:pStyle w:val="Normal"/></w:pPr>
<w:r><w:t xml:space="preserve">them to send Gylippus to assist the Syracusans and to</w:t></w:r>
</w:p>
<w:p>
<w:pPr><w:pStyle w:val="Normal"/></w:pPr>
<w:r><w:t xml:space="preserve">fortify Decelea in Attica.  He then passed over to Asia</w:t></w:r>
</w:p>
<w:p>
<w:pPr><w:pStyle w:val="Normal"/></w:pPr>
<w:r><w:t xml:space="preserve">Minor, prevailed upon many of the Ionic allies of Athens to</w:t></w:r>
</w:p>
<w:p>
<w:pPr><w:pStyle w:val="Normal"/></w:pPr>
<w:r><w:t xml:space="preserve">revolt, and concluded an alliance with the Persian satrap</w:t></w:r>
</w:p>
<w:p>
<w:pPr><w:pStyle w:val="Normal"/></w:pPr>
<w:r><w:t xml:space="preserve">Tissaphernes.  But in a few months he had lost the confidence</w:t></w:r>
</w:p>
<w:p>
<w:pPr><w:pStyle w:val="Normal"/></w:pPr>
<w:r><w:t xml:space="preserve">of the Spartans, and at the instigation of Agis II., whose</w:t></w:r>
</w:p>
<w:p>
<w:pPr><w:pStyle w:val="Normal"/></w:pPr>
<w:r><w:t xml:space="preserve">personal hostility he had excited, an order was sent for his</w:t></w:r>
</w:p>
<w:p>
<w:pPr><w:pStyle w:val="Normal"/></w:pPr>
<w:r><w:t xml:space="preserve">execution.  Receiving timely information of this order he</w:t></w:r>
</w:p>
<w:p>
<w:pPr><w:pStyle w:val="Normal"/></w:pPr>
<w:r><w:t xml:space="preserve">crossed over to Tissaphernes (412), and persuaded him to</w:t></w:r>
</w:p>
<w:p>
<w:pPr><w:pStyle w:val="Normal"/></w:pPr>
<w:r><w:t xml:space="preserve">adopt the negative policy of leaving Athens and Sparta to</w:t></w:r>
</w:p>
<w:p>
<w:pPr><w:pStyle w:val="Normal"/></w:pPr>
<w:r><w:t xml:space="preserve">wear themselves out by their mutual struggles.  Alcibiades</w:t></w:r>
</w:p>
<w:p>
<w:pPr><w:pStyle w:val="Normal"/></w:pPr>
<w:r><w:t xml:space="preserve">was now bent on returning to Athens, and he used his supposed</w:t></w:r>
</w:p>
<w:p>
<w:pPr><w:pStyle w:val="Normal"/></w:pPr>
<w:r><w:t xml:space="preserve">influence with Tissaphernes to effect his purpose.  He entered</w:t></w:r>
</w:p>
<w:p>
<w:pPr><w:pStyle w:val="Normal"/></w:pPr>
<w:r><w:t xml:space="preserve">into negotiations with the oligarch Peisander, but when these</w:t></w:r>
</w:p>
<w:p>
<w:pPr><w:pStyle w:val="Normal"/></w:pPr>
<w:r><w:t xml:space="preserve">led to no result he attached himself to the fleet at Samos</w:t></w:r>
</w:p>
<w:p>
<w:pPr><w:pStyle w:val="Normal"/></w:pPr>
<w:r><w:t xml:space="preserve">which remained loyal to the democracy, and was subsequently</w:t></w:r>
</w:p>
<w:p>
<w:pPr><w:pStyle w:val="Normal"/></w:pPr>
<w:r><w:t xml:space="preserve">recalled by Thrasybulus, although he did not at once return to</w:t></w:r>
</w:p>
<w:p>
<w:pPr><w:pStyle w:val="Normal"/></w:pPr>
<w:r><w:t xml:space="preserve">Athens.  Being appointed commander in the neighbourhood of the</w:t></w:r>
</w:p>
<w:p>
<w:pPr><w:pStyle w:val="Normal"/></w:pPr>
<w:r><w:t xml:space="preserve">Hellespont, he defeated the Spartan fleet at Abydos (411)</w:t></w:r>
</w:p>
<w:p>
<w:pPr><w:pStyle w:val="Normal"/></w:pPr>
<w:r><w:t xml:space="preserve">and Cyzicus (410), and recovered Chalcedon and Byzantium.</w:t></w:r>
</w:p>
<w:p>
<w:pPr><w:pStyle w:val="Normal"/></w:pPr>
<w:r><w:t xml:space="preserve">On his return to Athens after these successes he was welcomed</w:t></w:r>
</w:p>
<w:p>
<w:pPr><w:pStyle w:val="Normal"/></w:pPr>
<w:r><w:t xml:space="preserve">with unexpected enthusiasm (407); all the proceedings against</w:t></w:r>
</w:p>
<w:p>
<w:pPr><w:pStyle w:val="Normal"/></w:pPr>
<w:r><w:t xml:space="preserve">him were cancelled, and he was appointed general with full</w:t></w:r>
</w:p>
<w:p>
<w:pPr><w:pStyle w:val="Normal"/></w:pPr>
<w:r><w:t xml:space="preserve">powers.  His ill success, however, at Andros, and the</w:t></w:r>
</w:p>
<w:p>
<w:pPr><w:pStyle w:val="Normal"/></w:pPr>
<w:r><w:t xml:space="preserve">defeat at Notium (407) of his lieutenant Antiochus, led the</w:t></w:r>
</w:p>
<w:p>
<w:pPr><w:pStyle w:val="Normal"/></w:pPr>
<w:r><w:t xml:space="preserve">Athenians to dismiss him from his command.  He thereupon</w:t></w:r>
</w:p>
<w:p>
<w:pPr><w:pStyle w:val="Normal"/></w:pPr>
<w:r><w:t xml:space="preserve">retired to the Thracian Chersonesus.  After the battle of</w:t></w:r>
</w:p>
<w:p>
<w:pPr><w:pStyle w:val="Normal"/></w:pPr>
<w:r><w:t xml:space="preserve">Aegospotami, and the final defeat of Athens, he crossed</w:t></w:r>
</w:p>
<w:p>
<w:pPr><w:pStyle w:val="Normal"/></w:pPr>
<w:r><w:t xml:space="preserve">the Hellespont and took refuge with Pharnabazus in Phrygia,</w:t></w:r>
</w:p>
<w:p>
<w:pPr><w:pStyle w:val="Normal"/></w:pPr>
<w:r><w:t xml:space="preserve">with the object of securing the aid of Artaxerxes against</w:t></w:r>
</w:p>
<w:p>
<w:pPr><w:pStyle w:val="Normal"/></w:pPr>
<w:r><w:t xml:space="preserve">Sparta.  But the Spartans induced Pharnabazus to put him out</w:t></w:r>
</w:p>
<w:p>
<w:pPr><w:pStyle w:val="Normal"/></w:pPr>
<w:r><w:t xml:space="preserve">of the way; as he was about to set out for the Persian court</w:t></w:r>
</w:p>
<w:p>
<w:pPr><w:pStyle w:val="Normal"/></w:pPr>
<w:r><w:t xml:space="preserve">his residence was set on fire, and on rushing out on his</w:t></w:r>
</w:p>
<w:p>
<w:pPr><w:pStyle w:val="Normal"/></w:pPr>
<w:r><w:t xml:space="preserve">assassins, dagger in hand, he was killed by a shower of arrows</w:t></w:r>
</w:p>
<w:p>
<w:pPr><w:pStyle w:val="Normal"/></w:pPr>
<w:r><w:t xml:space="preserve">(404).  There can be no doubt that his advice to Sparta in</w:t></w:r>
</w:p>
<w:p>
<w:pPr><w:pStyle w:val="Normal"/></w:pPr>
<w:r><w:t xml:space="preserve">connexion with Syracuse and the fortification of Decelea</w:t></w:r>
</w:p>
<w:p>
<w:pPr><w:pStyle w:val="Normal"/></w:pPr>
<w:r><w:t xml:space="preserve">was the real cause of his country&apos;s downfall, though it is</w:t></w:r>
</w:p>
<w:p>
<w:pPr><w:pStyle w:val="Normal"/></w:pPr>
<w:r><w:t xml:space="preserve">only fair to him to add that had he been allowed to continue</w:t></w:r>
</w:p>
<w:p>
<w:pPr><w:pStyle w:val="Normal"/></w:pPr>
<w:r><w:t xml:space="preserve">in command of the Sicilian expedition he would undoubtedly</w:t></w:r>
</w:p>
<w:p>
<w:pPr><w:pStyle w:val="Normal"/></w:pPr>
<w:r><w:t xml:space="preserve">have overruled the fatal policy of Nicias and prevented the</w:t></w:r>
</w:p>
<w:p>
<w:pPr><w:pStyle w:val="Normal"/></w:pPr>
<w:r><w:t xml:space="preserve">catastrophe of 413. His belated attempt to repair his fatal</w:t></w:r>
</w:p>
<w:p>
<w:pPr><w:pStyle w:val="Normal"/></w:pPr>
<w:r><w:t xml:space="preserve">treachery only exposed the essential selfishness of his</w:t></w:r>
</w:p>
<w:p>
<w:pPr><w:pStyle w:val="Normal"/></w:pPr>
<w:r><w:t xml:space="preserve">character.  Though he must have known that his influence</w:t></w:r>
</w:p>
<w:p>
<w:pPr><w:pStyle w:val="Normal"/></w:pPr>
<w:r><w:t xml:space="preserve">over the Persian satraps was slender in the extreme, he</w:t></w:r>
</w:p>
<w:p>
<w:pPr><w:pStyle w:val="Normal"/></w:pPr>
<w:r><w:t xml:space="preserve">used it with the most flagrant dishonesty as a bait first to</w:t></w:r>
</w:p>
<w:p>
<w:pPr><w:pStyle w:val="Normal"/></w:pPr>
<w:r><w:t xml:space="preserve">Sparta, then to the Athenian oligarchs, and finally to the</w:t></w:r>
</w:p>
<w:p>
<w:pPr><w:pStyle w:val="Normal"/></w:pPr>
<w:r><w:t xml:space="preserve">democracy.  Superficial and opportunist to the last, he</w:t></w:r>
</w:p>
<w:p>
<w:pPr><w:pStyle w:val="Normal"/></w:pPr>
<w:r><w:t xml:space="preserve">owed the successes of his meteoric career purely to personal</w:t></w:r>
</w:p>
<w:p>
<w:pPr><w:pStyle w:val="Normal"/></w:pPr>
<w:r><w:t xml:space="preserve">magnetism and an almost incredible capacity for deception.</w:t></w:r>
</w:p>
<w:p>
<w:pPr><w:pStyle w:val="Normal"/></w:pPr>
<w:r><w:t xml:space="preserve">There are lives of Alcibiades by Plutarch and Cornelius</w:t></w:r>
</w:p>
<w:p>
<w:pPr><w:pStyle w:val="Normal"/></w:pPr>
<w:r><w:t xml:space="preserve">Nepos, and monographs by Hertzberg, A. der Staatsmann</w:t></w:r>
</w:p>
<w:p>
<w:pPr><w:pStyle w:val="Normal"/></w:pPr>
<w:r><w:t xml:space="preserve">und Feldherr (1833), and Houssaye, Histoire d&apos;Alcibiade</w:t></w:r>
</w:p>
<w:p>
<w:pPr><w:pStyle w:val="Normal"/></w:pPr>
<w:r><w:t xml:space="preserve">(1873); but the best accounts will be found in the histories</w:t></w:r>
</w:p>
<w:p>
<w:pPr><w:pStyle w:val="Normal"/></w:pPr>
<w:r><w:t xml:space="preserve">of Greece by G. Grote (also notes in abridged ed., 1907),</w:t></w:r>
</w:p>
<w:p>
<w:pPr><w:pStyle w:val="Normal"/></w:pPr>
<w:r><w:t xml:space="preserve">Ed. Meyer, and works quoted under GREECE, Ancient</w:t></w:r>
</w:p>
<w:p>
<w:pPr><w:pStyle w:val="Normal"/></w:pPr>
<w:r><w:t xml:space="preserve">History, sect. ``Authorities&apos;&apos;; also PELOPONNESIAN WAR.</w:t></w:r>
</w:p>
<w:p>
<w:pPr><w:pStyle w:val="Normal"/></w:pPr>
<w:r><w:t xml:space="preserve">ALCIDAMAS, of Elaea, in Aeolis, Greek sophist and rhetorician,</w:t></w:r>
</w:p>
<w:p>
<w:pPr><w:pStyle w:val="Normal"/></w:pPr>
<w:r><w:t xml:space="preserve">flourished in the 4th century B.C. He was the pupil and</w:t></w:r>
</w:p>
<w:p>
<w:pPr><w:pStyle w:val="Normal"/></w:pPr>
<w:r><w:t xml:space="preserve">successor of Gorgias and taught at Athens at the same time</w:t></w:r>
</w:p>
<w:p>
<w:pPr><w:pStyle w:val="Normal"/></w:pPr>
<w:r><w:t xml:space="preserve">as Isocrates, whose rival and opponent he was.  We possess</w:t></w:r>
</w:p>
<w:p>
<w:pPr><w:pStyle w:val="Normal"/></w:pPr>
<w:r><w:t xml:space="preserve">two declamations under his name: Peri Sofiston, directed</w:t></w:r>
</w:p>
<w:p>
<w:pPr><w:pStyle w:val="Normal"/></w:pPr>
<w:r><w:t xml:space="preserve">against Isocrates and setting forth the superiority of extempore</w:t></w:r>
</w:p>
<w:p>
<w:pPr><w:pStyle w:val="Normal"/></w:pPr>
<w:r><w:t xml:space="preserve">over written speeches (a recently discovered fragment of</w:t></w:r>
</w:p>
<w:p>
<w:pPr><w:pStyle w:val="Normal"/></w:pPr>
<w:r><w:t xml:space="preserve">another speech against Isocrates is probably of later date);</w:t></w:r>
</w:p>
<w:p>
<w:pPr><w:pStyle w:val="Normal"/></w:pPr>
<w:r><w:t xml:space="preserve">&apos;Odusseus, in which Odysseus accuses Palamedes of treachery</w:t></w:r>
</w:p>
<w:p>
<w:pPr><w:pStyle w:val="Normal"/></w:pPr>
<w:r><w:t xml:space="preserve">during the siege of Troy (this is generally considered</w:t></w:r>
</w:p>
<w:p>
<w:pPr><w:pStyle w:val="Normal"/></w:pPr>
<w:r><w:t xml:space="preserve">spurious).  According to Alcidamas, the highest aim of the</w:t></w:r>
</w:p>
<w:p>
<w:pPr><w:pStyle w:val="Normal"/></w:pPr>
<w:r><w:t xml:space="preserve">orator was the power of speaking extempore on every conceivable</w:t></w:r>
</w:p>
<w:p>
<w:pPr><w:pStyle w:val="Normal"/></w:pPr>
<w:r><w:t xml:space="preserve">subject.  Aristotle (Rhet. iii. 3) criticizes his writings</w:t></w:r>
</w:p>
<w:p>
<w:pPr><w:pStyle w:val="Normal"/></w:pPr>
<w:r><w:t xml:space="preserve">as characterized by pomposity of style and an extravagant use</w:t></w:r>
</w:p>
<w:p>
<w:pPr><w:pStyle w:val="Normal"/></w:pPr>
<w:r><w:t xml:space="preserve">of poetical epithets and compounds and far-fetched metaphors.</w:t></w:r>
</w:p>
<w:p>
<w:pPr><w:pStyle w:val="Normal"/></w:pPr>
<w:r><w:t xml:space="preserve">Of other works only fragments and the titles have survived:</w:t></w:r>
</w:p>
<w:p>
<w:pPr><w:pStyle w:val="Normal"/></w:pPr>
<w:r><w:t xml:space="preserve">Messeniakos, advocating the freedom of the Messenians and</w:t></w:r>
</w:p>
<w:p>
<w:pPr><w:pStyle w:val="Normal"/></w:pPr>
<w:r><w:t xml:space="preserve">containing the sentiment that ``all are by nature free&apos;&apos;;</w:t></w:r>
</w:p>
<w:p>
<w:pPr><w:pStyle w:val="Normal"/></w:pPr>
<w:r><w:t xml:space="preserve">a Eulogy of Death, in consideration of the wide extent of</w:t></w:r>
</w:p>
<w:p>
<w:pPr><w:pStyle w:val="Normal"/></w:pPr>
<w:r><w:t xml:space="preserve">human sufferings; a Techne or instruction-book in the art</w:t></w:r>
</w:p>
<w:p>
<w:pPr><w:pStyle w:val="Normal"/></w:pPr>
<w:r><w:t xml:space="preserve">of rhetoric; and a Fusikos lolos. Lastly, his Mouseion</w:t></w:r>
</w:p>
<w:p>
<w:pPr><w:pStyle w:val="Normal"/></w:pPr>
<w:r><w:t xml:space="preserve">(a word of doubtful meaning) contained the narrative of the</w:t></w:r>
</w:p>
<w:p>
<w:pPr><w:pStyle w:val="Normal"/></w:pPr>
<w:r><w:t xml:space="preserve">contest between Homer and Hesiod, two fragments of which are</w:t></w:r>
</w:p>
<w:p>
<w:pPr><w:pStyle w:val="Normal"/></w:pPr>
<w:r><w:t xml:space="preserve">found in the &apos;Agon `Omerou kai `Esiodou, the work of</w:t></w:r>
</w:p>
<w:p>
<w:pPr><w:pStyle w:val="Normal"/></w:pPr>
<w:r><w:t xml:space="preserve">a grammarian in the time of Hadrian.  A 3rd-century papyrus</w:t></w:r>
</w:p>
<w:p>
<w:pPr><w:pStyle w:val="Normal"/></w:pPr>
<w:r><w:t xml:space="preserve">(Flinders Petrie, Papyri, ed.  Mahaffy, 1891, pl. xxv.) probably</w:t></w:r>
</w:p>
<w:p>
<w:pPr><w:pStyle w:val="Normal"/></w:pPr>
<w:r><w:t xml:space="preserve">contains the actual remains of a description by Alcidamas.</w:t></w:r>
</w:p>
<w:p>
<w:pPr><w:pStyle w:val="Normal"/></w:pPr>
<w:r><w:t xml:space="preserve">See the edition by Blass, 1881; fragments in Muller,</w:t></w:r>
</w:p>
<w:p>
<w:pPr><w:pStyle w:val="Normal"/></w:pPr>
<w:r><w:t xml:space="preserve">Oratores Attici, ii. (1858); Vahlen, Der Rhetor</w:t></w:r>
</w:p>
<w:p>
<w:pPr><w:pStyle w:val="Normal"/></w:pPr>
<w:r><w:t xml:space="preserve">Alkidamas (1864); Blass, Die attische Beredsamkeit.</w:t></w:r>
</w:p>
<w:p>
<w:pPr><w:pStyle w:val="Normal"/></w:pPr>
<w:r><w:t xml:space="preserve">ALCINOUS (ALKINOOS), in ancient Greek legend, king of</w:t></w:r>
</w:p>
<w:p>
<w:pPr><w:pStyle w:val="Normal"/></w:pPr>
<w:r><w:t xml:space="preserve">the fabulous Phaeacians, in the island of Scheria, was the</w:t></w:r>
</w:p>
<w:p>
<w:pPr><w:pStyle w:val="Normal"/></w:pPr>
<w:r><w:t xml:space="preserve">son of Nausithous and grandson of Poseidon.  His reception</w:t></w:r>
</w:p>
<w:p>
<w:pPr><w:pStyle w:val="Normal"/></w:pPr>
<w:r><w:t xml:space="preserve">and entertainment of Odysseus, who when cast by a storm on</w:t></w:r>
</w:p>
<w:p>
<w:pPr><w:pStyle w:val="Normal"/></w:pPr>
<w:r><w:t xml:space="preserve">the shore of the island was relieved by the king&apos;s daughter,</w:t></w:r>
</w:p>
<w:p>
<w:pPr><w:pStyle w:val="Normal"/></w:pPr>
<w:r><w:t xml:space="preserve">Nausicaa, is described in the Odyssey (vi.-xiii.).  The</w:t></w:r>
</w:p>
<w:p>
<w:pPr><w:pStyle w:val="Normal"/></w:pPr>
<w:r><w:t xml:space="preserve">gardens and palace of Alcinous and the wonderful ships of</w:t></w:r>
</w:p>
<w:p>
<w:pPr><w:pStyle w:val="Normal"/></w:pPr>
<w:r><w:t xml:space="preserve">the Phaeacian mariners were famous in antiquity.  Scheria was</w:t></w:r>
</w:p>
<w:p>
<w:pPr><w:pStyle w:val="Normal"/></w:pPr>
<w:r><w:t xml:space="preserve">identified in very early times with Corcyra, where Alcinous</w:t></w:r>
</w:p>
<w:p>
<w:pPr><w:pStyle w:val="Normal"/></w:pPr>
<w:r><w:t xml:space="preserve">was reverenced as a hero; In the Argonautic legend, his</w:t></w:r>
</w:p>
<w:p>
<w:pPr><w:pStyle w:val="Normal"/></w:pPr>
<w:r><w:t xml:space="preserve">abode was the island of Drepane (Apoll.  Rhodius iv. 990).</w:t></w:r>
</w:p>
<w:p>
<w:pPr><w:pStyle w:val="Normal"/></w:pPr>
<w:r><w:t xml:space="preserve">ALCINOUS, the Platonic philosopher, lived probably in the</w:t></w:r>
</w:p>
<w:p>
<w:pPr><w:pStyle w:val="Normal"/></w:pPr>
<w:r><w:t xml:space="preserve">time of the Caesars.  He was the author of an &apos;Epitome</w:t></w:r>
</w:p>
<w:p>
<w:pPr><w:pStyle w:val="Normal"/></w:pPr>
<w:r><w:t xml:space="preserve">ton Platonos dogmaton, an analysis of Plato&apos;s philosophy</w:t></w:r>
</w:p>
<w:p>
<w:pPr><w:pStyle w:val="Normal"/></w:pPr>
<w:r><w:t xml:space="preserve">according to later writers.  It is rather in the manner of</w:t></w:r>
</w:p>
<w:p>
<w:pPr><w:pStyle w:val="Normal"/></w:pPr>
<w:r><w:t xml:space="preserve">Aristotle, and freely attributes to Plato any ideas of other</w:t></w:r>
</w:p>
<w:p>
<w:pPr><w:pStyle w:val="Normal"/></w:pPr>
<w:r><w:t xml:space="preserve">philosophers which appeared to contribute to the system.  He</w:t></w:r>
</w:p>
<w:p>
<w:pPr><w:pStyle w:val="Normal"/></w:pPr>
<w:r><w:t xml:space="preserve">produced in the end a synthesis of Plato and Aristotle with an</w:t></w:r>
</w:p>
<w:p>
<w:pPr><w:pStyle w:val="Normal"/></w:pPr>
<w:r><w:t xml:space="preserve">admixture of Pythagorean or Oriental mysticism, and is closely</w:t></w:r>
</w:p>
<w:p>
<w:pPr><w:pStyle w:val="Normal"/></w:pPr>
<w:r><w:t xml:space="preserve">allied to the Alexandrian school of thought.  He recognized</w:t></w:r>
</w:p>
<w:p>
<w:pPr><w:pStyle w:val="Normal"/></w:pPr>
<w:r><w:t xml:space="preserve">a God who is unknowable, and a series of beings (daimones)</w:t></w:r>
</w:p>
<w:p>
<w:pPr><w:pStyle w:val="Normal"/></w:pPr>
<w:r><w:t xml:space="preserve">who hold intercourse with men.  He recognized also Ideas and</w:t></w:r>
</w:p>
<w:p>
<w:pPr><w:pStyle w:val="Normal"/></w:pPr>
<w:r><w:t xml:space="preserve">Matter, and borrowed largely from Aristotle and the Stoics.</w:t></w:r>
</w:p>
<w:p>
<w:pPr><w:pStyle w:val="Normal"/></w:pPr>
<w:r><w:t xml:space="preserve">The &apos;Epitome has been translated by Pierre Balbi</w:t></w:r>
</w:p>
<w:p>
<w:pPr><w:pStyle w:val="Normal"/></w:pPr>
<w:r><w:t xml:space="preserve">(Rome, 1469) and by Marsilio Ficino; into French by J. I.</w:t></w:r>
</w:p>
<w:p>
<w:pPr><w:pStyle w:val="Normal"/></w:pPr>
<w:r><w:t xml:space="preserve">Combes-Dounous (Paris, 1800), and into English by Thomas</w:t></w:r>
</w:p>
<w:p>
<w:pPr><w:pStyle w:val="Normal"/></w:pPr>
<w:r><w:t xml:space="preserve">Stanley in his History of Philosophy. Editions: Heinsius</w:t></w:r>
</w:p>
<w:p>
<w:pPr><w:pStyle w:val="Normal"/></w:pPr>
<w:r><w:t xml:space="preserve">(Leiden, 1630); Fischer (Leipzig, 1783); in Aldine Edition</w:t></w:r>
</w:p>
<w:p>
<w:pPr><w:pStyle w:val="Normal"/></w:pPr>
<w:r><w:t xml:space="preserve">of Apuleius (Venice, 1521; Paris, 1532); Fell (Oxford,</w:t></w:r>
</w:p>
<w:p>
<w:pPr><w:pStyle w:val="Normal"/></w:pPr>
<w:r><w:t xml:space="preserve">1667).  See Ritter, Geschichte der Philosophie, iv. 249.</w:t></w:r>
</w:p>
<w:p>
<w:pPr><w:pStyle w:val="Normal"/></w:pPr>
<w:r><w:t xml:space="preserve">ALCIONIO, PIETRO, or PETRUS ALCYONIUS (c. 1487-1527),</w:t></w:r>
</w:p>
<w:p>
<w:pPr><w:pStyle w:val="Normal"/></w:pPr>
<w:r><w:t xml:space="preserve">Italian classical scholar, was born at Venice.  After having</w:t></w:r>
</w:p>
<w:p>
<w:pPr><w:pStyle w:val="Normal"/></w:pPr>
<w:r><w:t xml:space="preserve">studied Greek under Marcus Musurus of Candia, he was employed</w:t></w:r>
</w:p>
<w:p>
<w:pPr><w:pStyle w:val="Normal"/></w:pPr>
<w:r><w:t xml:space="preserve">for some time by Aldus Manutius as a corrector of the press,</w:t></w:r>
</w:p>
<w:p>
<w:pPr><w:pStyle w:val="Normal"/></w:pPr>
<w:r><w:t xml:space="preserve">and in 1522 was appointed professor of Greek at Florence</w:t></w:r>
</w:p>
<w:p>
<w:pPr><w:pStyle w:val="Normal"/></w:pPr>
<w:r><w:t xml:space="preserve">through the influence of Giulio de&apos; Medici.  When his patron</w:t></w:r>
</w:p>
<w:p>
<w:pPr><w:pStyle w:val="Normal"/></w:pPr>
<w:r><w:t xml:space="preserve">became pope in 1523 under the title of Clement VII., Alcionio</w:t></w:r>
</w:p>
<w:p>
<w:pPr><w:pStyle w:val="Normal"/></w:pPr>
<w:r><w:t xml:space="preserve">followed him to Rome and remained there until his death.</w:t></w:r>
</w:p>
<w:p>
<w:pPr><w:pStyle w:val="Normal"/></w:pPr>
<w:r><w:t xml:space="preserve">Alcionio published at Venice, in 1521, a Latin translation</w:t></w:r>
</w:p>
<w:p>
<w:pPr><w:pStyle w:val="Normal"/></w:pPr>
<w:r><w:t xml:space="preserve">of several of the works of Aristotle, which was shown by the</w:t></w:r>
</w:p>
<w:p>
<w:pPr><w:pStyle w:val="Normal"/></w:pPr>
<w:r><w:t xml:space="preserve">Spanish scholar Sepulveda to be very incorrect.  He wrote a</w:t></w:r>
</w:p>
<w:p>
<w:pPr><w:pStyle w:val="Normal"/></w:pPr>
<w:r><w:t xml:space="preserve">dialogue entitled Medices Legatus, sive de Exilio (1522),</w:t></w:r>
</w:p>
<w:p>
<w:pPr><w:pStyle w:val="Normal"/></w:pPr>
<w:r><w:t xml:space="preserve">in connexion with which he was charged with plagiarism by</w:t></w:r>
</w:p>
<w:p>
<w:pPr><w:pStyle w:val="Normal"/></w:pPr>
<w:r><w:t xml:space="preserve">his personal enemy, Paulus Manutius.  The accusation, which</w:t></w:r>
</w:p>
<w:p>
<w:pPr><w:pStyle w:val="Normal"/></w:pPr>
<w:r><w:t xml:space="preserve">Tiraboschi has shown to be groundless, was that he had taken</w:t></w:r>
</w:p>
<w:p>
<w:pPr><w:pStyle w:val="Normal"/></w:pPr>
<w:r><w:t xml:space="preserve">the finest passages in the work from Cicero&apos;s lost treatise</w:t></w:r>
</w:p>
<w:p>
<w:pPr><w:pStyle w:val="Normal"/></w:pPr>
<w:r><w:t xml:space="preserve">De Gloria, and had then destroyed the only existing copy of</w:t></w:r>
</w:p>
<w:p>
<w:pPr><w:pStyle w:val="Normal"/></w:pPr>
<w:r><w:t xml:space="preserve">the original in order to escape detection.  His contemporaries</w:t></w:r>
</w:p>
<w:p>
<w:pPr><w:pStyle w:val="Normal"/></w:pPr>
<w:r><w:t xml:space="preserve">speak very unfavourably of Alcionio, and accuse him of</w:t></w:r>
</w:p>
<w:p>
<w:pPr><w:pStyle w:val="Normal"/></w:pPr>
<w:r><w:t xml:space="preserve">haughtiness, uncouth manners, vanity and licentiousness.</w:t></w:r>
</w:p>
<w:p>
<w:pPr><w:pStyle w:val="Normal"/></w:pPr>
<w:r><w:t xml:space="preserve">ALCIPHRON, Greek rhetorician, was probably a contemporary of</w:t></w:r>
</w:p>
<w:p>
<w:pPr><w:pStyle w:val="Normal"/></w:pPr>
<w:r><w:t xml:space="preserve">Lucian (2nd century A.D..) He was the author of a collection</w:t></w:r>
</w:p>
<w:p>
<w:pPr><w:pStyle w:val="Normal"/></w:pPr>
<w:r><w:t xml:space="preserve">of fictitious letters, of which 124 (118 complete and 6</w:t></w:r>
</w:p>
<w:p>
<w:pPr><w:pStyle w:val="Normal"/></w:pPr>
<w:r><w:t xml:space="preserve">fragments) have been published; they are written in the purest</w:t></w:r>
</w:p>
<w:p>
<w:pPr><w:pStyle w:val="Normal"/></w:pPr>
<w:r><w:t xml:space="preserve">Attic dialect and are considered models of style.  The scene</w:t></w:r>
</w:p>
<w:p>
<w:pPr><w:pStyle w:val="Normal"/></w:pPr>
<w:r><w:t xml:space="preserve">is throughout at Athens; the imaginary writers are country</w:t></w:r>
</w:p>
<w:p>
<w:pPr><w:pStyle w:val="Normal"/></w:pPr>
<w:r><w:t xml:space="preserve">people, fishermen, parasites and courtesans, who express</w:t></w:r>
</w:p>
<w:p>
<w:pPr><w:pStyle w:val="Normal"/></w:pPr>
<w:r><w:t xml:space="preserve">their sentiments and opinions on familiar subjects in elegant</w:t></w:r>
</w:p>
<w:p>
<w:pPr><w:pStyle w:val="Normal"/></w:pPr>
<w:r><w:t xml:space="preserve">language.  The ``courtesan&apos;&apos; letters are especially valuable,</w:t></w:r>
</w:p>
<w:p>
<w:pPr><w:pStyle w:val="Normal"/></w:pPr>
<w:r><w:t xml:space="preserve">the information contained in them being chiefly derived</w:t></w:r>
</w:p>
<w:p>
<w:pPr><w:pStyle w:val="Normal"/></w:pPr>
<w:r><w:t xml:space="preserve">from the writers of the New Comedy, especially Menander.</w:t></w:r>
</w:p>
<w:p>
<w:pPr><w:pStyle w:val="Normal"/></w:pPr>
<w:r><w:t xml:space="preserve">EDITIONS.--Editio princeps (44 letters), 1499;</w:t></w:r>
</w:p>
<w:p>
<w:pPr><w:pStyle w:val="Normal"/></w:pPr>
<w:r><w:t xml:space="preserve">Bergler (1715); Seiler (1856); Hercher (1873); Schepers</w:t></w:r>
</w:p>
<w:p>
<w:pPr><w:pStyle w:val="Normal"/></w:pPr>
<w:r><w:t xml:space="preserve">(1905).  English translation by Monro and Beloe (1791).</w:t></w:r>
</w:p>
<w:p>
<w:pPr><w:pStyle w:val="Normal"/></w:pPr>
<w:r><w:t xml:space="preserve">ALCIRA, a town of eastern Spain, in the province of Valencia;</w:t></w:r>
</w:p>
<w:p>
<w:pPr><w:pStyle w:val="Normal"/></w:pPr>
<w:r><w:t xml:space="preserve">on the left bank of the river Jucar, and on the Valencia-</w:t></w:r>
</w:p>
<w:p>
<w:pPr><w:pStyle w:val="Normal"/></w:pPr>
<w:r><w:t xml:space="preserve">Alicante railway.  Pop. (1900) 20,572.  Alcira is a walled</w:t></w:r>
</w:p>
<w:p>
<w:pPr><w:pStyle w:val="Normal"/></w:pPr>
<w:r><w:t xml:space="preserve">town, surrounded by palm, orange and mulberry groves, and by</w:t></w:r>
</w:p>
<w:p>
<w:pPr><w:pStyle w:val="Normal"/></w:pPr>
<w:r><w:t xml:space="preserve">low-lying rice-swamps, which render its neighbourhood somewhat</w:t></w:r>
</w:p>
<w:p>
<w:pPr><w:pStyle w:val="Normal"/></w:pPr>
<w:r><w:t xml:space="preserve">unhealthy.  Silk, fruit and rice are its chief products.</w:t></w:r>
</w:p>
<w:p>
<w:pPr><w:pStyle w:val="Normal"/></w:pPr>
<w:r><w:t xml:space="preserve">It is sometimes identified w;th the Roman Saetabicula.  In</w:t></w:r>
</w:p>
<w:p>
<w:pPr><w:pStyle w:val="Normal"/></w:pPr>
<w:r><w:t xml:space="preserve">the middle ages it was a prosperous Moorish trading-station.</w:t></w:r>
</w:p>
<w:p>
<w:pPr><w:pStyle w:val="Normal"/></w:pPr>
<w:r><w:t xml:space="preserve">ALCMAEON, of Argos, in Greek legend, was the son of Amphiaraus</w:t></w:r>
</w:p>
<w:p>
<w:pPr><w:pStyle w:val="Normal"/></w:pPr>
<w:r><w:t xml:space="preserve">and Eriphyle.  When his father set out with the expedition</w:t></w:r>
</w:p>
<w:p>
<w:pPr><w:pStyle w:val="Normal"/></w:pPr>
<w:r><w:t xml:space="preserve">of the Seven against Thebes, which he knew would be fatal</w:t></w:r>
</w:p>
<w:p>
<w:pPr><w:pStyle w:val="Normal"/></w:pPr>
<w:r><w:t xml:space="preserve">to him, he enjoined upon his sons to avenge his death by</w:t></w:r>
</w:p>
<w:p>
<w:pPr><w:pStyle w:val="Normal"/></w:pPr>
<w:r><w:t xml:space="preserve">slaying Eriphyle and undertaking a second expedition against</w:t></w:r>
</w:p>
<w:p>
<w:pPr><w:pStyle w:val="Normal"/></w:pPr>
<w:r><w:t xml:space="preserve">Thebes.  After the destruction of Thebes by the Epigoni,</w:t></w:r>
</w:p>
<w:p>
<w:pPr><w:pStyle w:val="Normal"/></w:pPr>
<w:r><w:t xml:space="preserve">Alcmaeon carried out his father&apos;s injunctions by killing</w:t></w:r>
</w:p>
<w:p>
<w:pPr><w:pStyle w:val="Normal"/></w:pPr>
<w:r><w:t xml:space="preserve">his mother, as a punishment for which he was driven mad</w:t></w:r>
</w:p>
<w:p>
<w:pPr><w:pStyle w:val="Normal"/></w:pPr>
<w:r><w:t xml:space="preserve">and pursued by the Erinyes from place to place.  On his</w:t></w:r>
</w:p>
<w:p>
<w:pPr><w:pStyle w:val="Normal"/></w:pPr>
<w:r><w:t xml:space="preserve">arrival at Psophis in Arcadia, he was purified by its king</w:t></w:r>
</w:p>
<w:p>
<w:pPr><w:pStyle w:val="Normal"/></w:pPr>
<w:r><w:t xml:space="preserve">Phegeus, whose daughter Arsinoe (or Alphesiboea) he married,</w:t></w:r>
</w:p>
<w:p>
<w:pPr><w:pStyle w:val="Normal"/></w:pPr>
<w:r><w:t xml:space="preserve">making her a present of the fatal necklace and the peplus of</w:t></w:r>
</w:p>
<w:p>
<w:pPr><w:pStyle w:val="Normal"/></w:pPr>
<w:r><w:t xml:space="preserve">Harmonia.  But the land was cursed with barrenness, and the</w:t></w:r>
</w:p>
<w:p>
<w:pPr><w:pStyle w:val="Normal"/></w:pPr>
<w:r><w:t xml:space="preserve">oracle declared that Alcmaeon would never find rest until he</w:t></w:r>
</w:p>
<w:p>
<w:pPr><w:pStyle w:val="Normal"/></w:pPr>
<w:r><w:t xml:space="preserve">reached a spot on which the sun had never shone at the time</w:t></w:r>
</w:p>
<w:p>
<w:pPr><w:pStyle w:val="Normal"/></w:pPr>
<w:r><w:t xml:space="preserve">he slew his mother.  Such a spot he found at the mouth of</w:t></w:r>
</w:p>
<w:p>
<w:pPr><w:pStyle w:val="Normal"/></w:pPr>
<w:r><w:t xml:space="preserve">the river Achelous, where an island had recently been formed</w:t></w:r>
</w:p>
<w:p>
<w:pPr><w:pStyle w:val="Normal"/></w:pPr>
<w:r><w:t xml:space="preserve">by the alluvial deposit; here he settled and, forgetting</w:t></w:r>
</w:p>
<w:p>
<w:pPr><w:pStyle w:val="Normal"/></w:pPr>
<w:r><w:t xml:space="preserve">his wife Arsinoe, married Callirrhoe, the daughter of the</w:t></w:r>
</w:p>
<w:p>
<w:pPr><w:pStyle w:val="Normal"/></w:pPr>
<w:r><w:t xml:space="preserve">river-god.  His new wife longed for the necklace and peplus,</w:t></w:r>
</w:p>
<w:p>
<w:pPr><w:pStyle w:val="Normal"/></w:pPr>
<w:r><w:t xml:space="preserve">and Alcmaeon, returning to Psophis, obtained possession of</w:t></w:r>
</w:p>
<w:p>
<w:pPr><w:pStyle w:val="Normal"/></w:pPr>
<w:r><w:t xml:space="preserve">them, on the pretence that he desired to dedicate them at</w:t></w:r>
</w:p>
<w:p>
<w:pPr><w:pStyle w:val="Normal"/></w:pPr>
<w:r><w:t xml:space="preserve">Delphi.  When the truth became known he was pursued and</w:t></w:r>
</w:p>
<w:p>
<w:pPr><w:pStyle w:val="Normal"/></w:pPr>
<w:r><w:t xml:space="preserve">slain by Phegeus and his sons.  After his death Alcmaeon was</w:t></w:r>
</w:p>
<w:p>
<w:pPr><w:pStyle w:val="Normal"/></w:pPr>
<w:r><w:t xml:space="preserve">worshipped at Thebes; his tomb was at Psophis in a grove of</w:t></w:r>
</w:p>
<w:p>
<w:pPr><w:pStyle w:val="Normal"/></w:pPr>
<w:r><w:t xml:space="preserve">cypresses.  His story was the subject of an old epic and</w:t></w:r>
</w:p>
<w:p>
<w:pPr><w:pStyle w:val="Normal"/></w:pPr>
<w:r><w:t xml:space="preserve">of several tragedies, but none of these has been preserved.</w:t></w:r>
</w:p>
<w:p>
<w:pPr><w:pStyle w:val="Normal"/></w:pPr>
<w:r><w:t xml:space="preserve">Homer, Odyssey xv. 248; Apollodorus iii. 7; Thucydides ii, 68,</w:t></w:r>
</w:p>
<w:p>
<w:pPr><w:pStyle w:val="Normal"/></w:pPr>
<w:r><w:t xml:space="preserve">102; Pausanias viii. 24, x. 10; Ovid, Metam. ix. 400 et seq.</w:t></w:r>
</w:p>
<w:p>
<w:pPr><w:pStyle w:val="Normal"/></w:pPr>
<w:r><w:t xml:space="preserve">ALCMAEONIDAE, a noble Athenian family, claiming descent</w:t></w:r>
</w:p>
<w:p>
<w:pPr><w:pStyle w:val="Normal"/></w:pPr>
<w:r><w:t xml:space="preserve">from Alcmaeon, the great-grandson of Nestor, who emigrated</w:t></w:r>
</w:p>
<w:p>
<w:pPr><w:pStyle w:val="Normal"/></w:pPr>
<w:r><w:t xml:space="preserve">from Pylos to Athens at the time of the Dorian invasion of</w:t></w:r>
</w:p>
<w:p>
<w:pPr><w:pStyle w:val="Normal"/></w:pPr>
<w:r><w:t xml:space="preserve">Peloponnesus.  During the archonship of an Alcmaeonid Megacles</w:t></w:r>
</w:p>
<w:p>
<w:pPr><w:pStyle w:val="Normal"/></w:pPr>
<w:r><w:t xml:space="preserve">(? 632 B.C.), Cylon, who had unsuccessfully attempted to</w:t></w:r>
</w:p>
<w:p>
<w:pPr><w:pStyle w:val="Normal"/></w:pPr>
<w:r><w:t xml:space="preserve">make himself ``tyrant&apos;&apos;&apos; was treacherously murdered with his</w:t></w:r>
</w:p>
<w:p>
<w:pPr><w:pStyle w:val="Normal"/></w:pPr>
<w:r><w:t xml:space="preserve">followers.  The curse or pollution thus incurred was frequently</w:t></w:r>
</w:p>
<w:p>
<w:pPr><w:pStyle w:val="Normal"/></w:pPr>
<w:r><w:t xml:space="preserve">in later years raked up for political reasons; the Spartans</w:t></w:r>
</w:p>
<w:p>
<w:pPr><w:pStyle w:val="Normal"/></w:pPr>
<w:r><w:t xml:space="preserve">even demanded that Pericles should be expelled as accursed at</w:t></w:r>
</w:p>
<w:p>
<w:pPr><w:pStyle w:val="Normal"/></w:pPr>
<w:r><w:t xml:space="preserve">the beginning of the Peloponnesian war.  All the members of</w:t></w:r>
</w:p>
<w:p>
<w:pPr><w:pStyle w:val="Normal"/></w:pPr>
<w:r><w:t xml:space="preserve">the family went into banishment, and having returned in the</w:t></w:r>
</w:p>
<w:p>
<w:pPr><w:pStyle w:val="Normal"/></w:pPr>
<w:r><w:t xml:space="preserve">time of Solon (594) were again expelled (538) by Peisistratus</w:t></w:r>
</w:p>
<w:p>
<w:pPr><w:pStyle w:val="Normal"/></w:pPr>
<w:r><w:t xml:space="preserve">(q.v..) Their great wealth enabled them during their exile</w:t></w:r>
</w:p>
<w:p>
<w:pPr><w:pStyle w:val="Normal"/></w:pPr>
<w:r><w:t xml:space="preserve">to enhance their reputation and secure the favour of the</w:t></w:r>
</w:p>
<w:p>
<w:pPr><w:pStyle w:val="Normal"/></w:pPr>
<w:r><w:t xml:space="preserve">Delphian Apollo by rebuilding the temple after its destruction</w:t></w:r>
</w:p>
<w:p>
<w:pPr><w:pStyle w:val="Normal"/></w:pPr>
<w:r><w:t xml:space="preserve">by fire in 548. Their importance is shown by the fact that</w:t></w:r>
</w:p>
<w:p>
<w:pPr><w:pStyle w:val="Normal"/></w:pPr>
<w:r><w:t xml:space="preserve">Cleisthenes, tyrant of Sicyon, gave his daughter Agariste</w:t></w:r>
</w:p>
<w:p>
<w:pPr><w:pStyle w:val="Normal"/></w:pPr>
<w:r><w:t xml:space="preserve">in marriage to the Alcmaeonid Megacles in preference to all</w:t></w:r>
</w:p>
<w:p>
<w:pPr><w:pStyle w:val="Normal"/></w:pPr>
<w:r><w:t xml:space="preserve">the assembled suitors after the undignified behaviour of</w:t></w:r>
</w:p>
<w:p>
<w:pPr><w:pStyle w:val="Normal"/></w:pPr>
<w:r><w:t xml:space="preserve">Hippocleides.  Under the statesman Cleisthenes (q.v.), the</w:t></w:r>
</w:p>
<w:p>
<w:pPr><w:pStyle w:val="Normal"/></w:pPr>
<w:r><w:t xml:space="preserve">issue of this union, the Alcmaeonids became supreme in Athens</w:t></w:r>
</w:p>
<w:p>
<w:pPr><w:pStyle w:val="Normal"/></w:pPr>
<w:r><w:t xml:space="preserve">about 510 B.C. To them was generally attributed (though</w:t></w:r>
</w:p>
<w:p>
<w:pPr><w:pStyle w:val="Normal"/></w:pPr>
<w:r><w:t xml:space="preserve">Herodotus disbelieves the story--see GREECE, Ancient</w:t></w:r>
</w:p>
<w:p>
<w:pPr><w:pStyle w:val="Normal"/></w:pPr>
<w:r><w:t xml:space="preserve">History, sect. ``Authorities,&apos;&apos; II.) the treacherous raising</w:t></w:r>
</w:p>
<w:p>
<w:pPr><w:pStyle w:val="Normal"/></w:pPr>
<w:r><w:t xml:space="preserve">of the shield as a signal to the Persians at Marathon,</w:t></w:r>
</w:p>
<w:p>
<w:pPr><w:pStyle w:val="Normal"/></w:pPr>
<w:r><w:t xml:space="preserve">but, whatever the truth of this may be, there can be little</w:t></w:r>
</w:p>
<w:p>
<w:pPr><w:pStyle w:val="Normal"/></w:pPr>
<w:r><w:t xml:space="preserve">doubt that they were not the only one of the great Athenian</w:t></w:r>
</w:p>
<w:p>
<w:pPr><w:pStyle w:val="Normal"/></w:pPr>
<w:r><w:t xml:space="preserve">families to make treasonable overtures to Persia.  Pericles</w:t></w:r>
</w:p>
<w:p>
<w:pPr><w:pStyle w:val="Normal"/></w:pPr>
<w:r><w:t xml:space="preserve">and Alcibiades were both connected with the Alcmaeonidae.</w:t></w:r>
</w:p>
<w:p>
<w:pPr><w:pStyle w:val="Normal"/></w:pPr>
<w:r><w:t xml:space="preserve">Nothing is heard of them after the Peloponnesian war.</w:t></w:r>
</w:p>
<w:p>
<w:pPr><w:pStyle w:val="Normal"/></w:pPr>
<w:r><w:t xml:space="preserve">See Herodotus vi. 121-131.</w:t></w:r>
</w:p>
<w:p>
<w:pPr><w:pStyle w:val="Normal"/></w:pPr>
<w:r><w:t xml:space="preserve">ALCMAN, or ALCMAEON (the former being the Doric form</w:t></w:r>
</w:p>
<w:p>
<w:pPr><w:pStyle w:val="Normal"/></w:pPr>
<w:r><w:t xml:space="preserve">of the name), the founder of Doric lyric poetry, to whom</w:t></w:r>
</w:p>
<w:p>
<w:pPr><w:pStyle w:val="Normal"/></w:pPr>
<w:r><w:t xml:space="preserve">was assigned the first place among the nine lyric poets</w:t></w:r>
</w:p>
<w:p>
<w:pPr><w:pStyle w:val="Normal"/></w:pPr>
<w:r><w:t xml:space="preserve">of Greece in the Alexandrian canon, flourished in the</w:t></w:r>
</w:p>
<w:p>
<w:pPr><w:pStyle w:val="Normal"/></w:pPr>
<w:r><w:t xml:space="preserve">latter half of the 7th century B.C. He was a Lydian of</w:t></w:r>
</w:p>
<w:p>
<w:pPr><w:pStyle w:val="Normal"/></w:pPr>
<w:r><w:t xml:space="preserve">Sardis, who came as a slave to Sparta, where he lived in</w:t></w:r>
</w:p>
<w:p>
<w:pPr><w:pStyle w:val="Normal"/></w:pPr>
<w:r><w:t xml:space="preserve">the family of Agesidas, by whom he was emancipated.  His</w:t></w:r>
</w:p>
<w:p>
<w:pPr><w:pStyle w:val="Normal"/></w:pPr>
<w:r><w:t xml:space="preserve">mastery of Greek shows that he must have come very early to</w:t></w:r>
</w:p>
<w:p>
<w:pPr><w:pStyle w:val="Normal"/></w:pPr>
<w:r><w:t xml:space="preserve">Sparta, where, after the close of the Messenian wars, the</w:t></w:r>
</w:p>
<w:p>
<w:pPr><w:pStyle w:val="Normal"/></w:pPr>
<w:r><w:t xml:space="preserve">people were able to bestow their attention upon the arts of</w:t></w:r>
</w:p>
<w:p>
<w:pPr><w:pStyle w:val="Normal"/></w:pPr>
<w:r><w:t xml:space="preserve">peace.  Alcman composed various kinds of poems in various</w:t></w:r>
</w:p>
<w:p>
<w:pPr><w:pStyle w:val="Normal"/></w:pPr>
<w:r><w:t xml:space="preserve">metres; Parthenia (maidens&apos; songs), hymns, paeans, prosodia</w:t></w:r>
</w:p>
<w:p>
<w:pPr><w:pStyle w:val="Normal"/></w:pPr>
<w:r><w:t xml:space="preserve">(processionals), and love-songs, of which he was considered the</w:t></w:r>
</w:p>
<w:p>
<w:pPr><w:pStyle w:val="Normal"/></w:pPr>
<w:r><w:t xml:space="preserve">inventor.  He was evidently fond of good living, and traces</w:t></w:r>
</w:p>
<w:p>
<w:pPr><w:pStyle w:val="Normal"/></w:pPr>
<w:r><w:t xml:space="preserve">of Asiatic sensuousness seem out of place amidst Spartan</w:t></w:r>
</w:p>
<w:p>
<w:pPr><w:pStyle w:val="Normal"/></w:pPr>
<w:r><w:t xml:space="preserve">simplicity.  The fragments are scanty, the most considerable</w:t></w:r>
</w:p>
<w:p>
<w:pPr><w:pStyle w:val="Normal"/></w:pPr>
<w:r><w:t xml:space="preserve">being part of a Parthenion found in 1855 on an Egyptian</w:t></w:r>
</w:p>
<w:p>
<w:pPr><w:pStyle w:val="Normal"/></w:pPr>
<w:r><w:t xml:space="preserve">papyrus; some recently discovered hexameters are attributed</w:t></w:r>
</w:p>
<w:p>
<w:pPr><w:pStyle w:val="Normal"/></w:pPr>
<w:r><w:t xml:space="preserve">to Alcman or Erinna (Oxyrhynchus papyri, i. 1898).</w:t></w:r>
</w:p>
<w:p>
<w:pPr><w:pStyle w:val="Normal"/></w:pPr>
<w:r><w:t xml:space="preserve">For general authorities see ALCAEUS.</w:t></w:r>
</w:p>
<w:p>
<w:pPr><w:pStyle w:val="Normal"/></w:pPr>
<w:r><w:t xml:space="preserve">ALCMENE, in ancient Greek mythology, the daughter of</w:t></w:r>
</w:p>
<w:p>
<w:pPr><w:pStyle w:val="Normal"/></w:pPr>
<w:r><w:t xml:space="preserve">Electryon, king of Mycenae, and wife of Amphitryon.  She</w:t></w:r>
</w:p>
<w:p>
<w:pPr><w:pStyle w:val="Normal"/></w:pPr>
<w:r><w:t xml:space="preserve">was the mother of Heracles by Zeus, who assumed the likeness</w:t></w:r>
</w:p>
<w:p>
<w:pPr><w:pStyle w:val="Normal"/></w:pPr>
<w:r><w:t xml:space="preserve">of her husband during his absence, and of Iphicles by</w:t></w:r>
</w:p>
<w:p>
<w:pPr><w:pStyle w:val="Normal"/></w:pPr>
<w:r><w:t xml:space="preserve">Amphitryon.  She was regarded as the ancestress of the</w:t></w:r>
</w:p>
<w:p>
<w:pPr><w:pStyle w:val="Normal"/></w:pPr>
<w:r><w:t xml:space="preserve">Heracleidae, and worshipped at Thebes and Athens.</w:t></w:r>
</w:p>
<w:p>
<w:pPr><w:pStyle w:val="Normal"/></w:pPr>
<w:r><w:t xml:space="preserve">See Winter, Alkmene und Amphitryon (1876).</w:t></w:r>
</w:p>
<w:p>
<w:pPr><w:pStyle w:val="Normal"/></w:pPr>
<w:r><w:t xml:space="preserve">ALCOBACA, a town of Portugal, in the district of Leiria,</w:t></w:r>
</w:p>
<w:p>
<w:pPr><w:pStyle w:val="Normal"/></w:pPr>
<w:r><w:t xml:space="preserve">formerly included in the province of Estremadura, on the Alcoa</w:t></w:r>
</w:p>
<w:p>
<w:pPr><w:pStyle w:val="Normal"/></w:pPr>
<w:r><w:t xml:space="preserve">and Baca rivers, from which it derives its name.  Pop. (1900)</w:t></w:r>
</w:p>
<w:p>
<w:pPr><w:pStyle w:val="Normal"/></w:pPr>
<w:r><w:t xml:space="preserve">2309.  Alcobaca is chiefly interesting for its Cistercian</w:t></w:r>
</w:p>
<w:p>
<w:pPr><w:pStyle w:val="Normal"/></w:pPr>
<w:r><w:t xml:space="preserve">convent, now partly converted into schools and barracks.</w:t></w:r>
</w:p>
<w:p>
<w:pPr><w:pStyle w:val="Normal"/></w:pPr>
<w:r><w:t xml:space="preserve">The monastic buildings, which form a square 725 ft. in</w:t></w:r>
</w:p>
<w:p>
<w:pPr><w:pStyle w:val="Normal"/></w:pPr>
<w:r><w:t xml:space="preserve">diameter, with a huge conical chimney rising above them, were</w:t></w:r>
</w:p>
<w:p>
<w:pPr><w:pStyle w:val="Normal"/></w:pPr>
<w:r><w:t xml:space="preserve">founded in 1148 and completed in 1222.  During the middle</w:t></w:r>
</w:p>
<w:p>
<w:pPr><w:pStyle w:val="Normal"/></w:pPr>
<w:r><w:t xml:space="preserve">ages it rivalled the greatest European abbeys in size and</w:t></w:r>
</w:p>
<w:p>
<w:pPr><w:pStyle w:val="Normal"/></w:pPr>
<w:r><w:t xml:space="preserve">wealth.  It was supplied with water by an affluent of the</w:t></w:r>
</w:p>
<w:p>
<w:pPr><w:pStyle w:val="Normal"/></w:pPr>
<w:r><w:t xml:space="preserve">Alcoa, which still flows through the kitchen; its abbot</w:t></w:r>
</w:p>
<w:p>
<w:pPr><w:pStyle w:val="Normal"/></w:pPr>
<w:r><w:t xml:space="preserve">ranked with the highest Portuguese nobles, and, according</w:t></w:r>
</w:p>
<w:p>
<w:pPr><w:pStyle w:val="Normal"/></w:pPr>
<w:r><w:t xml:space="preserve">to tradition, 999 monks continued the celebration of mass</w:t></w:r>
</w:p>
<w:p>
<w:pPr><w:pStyle w:val="Normal"/></w:pPr>
<w:r><w:t xml:space="preserve">without intermission throughout the year.  The convent was</w:t></w:r>
</w:p>
<w:p>
<w:pPr><w:pStyle w:val="Normal"/></w:pPr>
<w:r><w:t xml:space="preserve">partly burned by the French in 1810, secularized in 1834</w:t></w:r>
</w:p>
<w:p>
<w:pPr><w:pStyle w:val="Normal"/></w:pPr>
<w:r><w:t xml:space="preserve">and afterwards gradually restored.  Portions of the library,</w:t></w:r>
</w:p>
<w:p>
<w:pPr><w:pStyle w:val="Normal"/></w:pPr>
<w:r><w:t xml:space="preserve">which comprised over 100,000 volumes, including many precious</w:t></w:r>
</w:p>
<w:p>
<w:pPr><w:pStyle w:val="Normal"/></w:pPr>
<w:r><w:t xml:space="preserve">MSS., were saved in 1810, and are preserved in the public</w:t></w:r>
</w:p>
<w:p>
<w:pPr><w:pStyle w:val="Normal"/></w:pPr>
<w:r><w:t xml:space="preserve">libraries of Lisbon and Braga.  The monastic church (1222) is</w:t></w:r>
</w:p>
<w:p>
<w:pPr><w:pStyle w:val="Normal"/></w:pPr>
<w:r><w:t xml:space="preserve">a good example of early Gothic, somewhat defaced by Moorish</w:t></w:r>
</w:p>
<w:p>
<w:pPr><w:pStyle w:val="Normal"/></w:pPr>
<w:r><w:t xml:space="preserve">and other additions.  It contains a fine cloister and the</w:t></w:r>
</w:p>
<w:p>
<w:pPr><w:pStyle w:val="Normal"/></w:pPr>
<w:r><w:t xml:space="preserve">tombs of Peter I. (1357-1367) and his wife, Inez de Castro.</w:t></w:r>
</w:p>
<w:p>
<w:pPr><w:pStyle w:val="Normal"/></w:pPr>
<w:r><w:t xml:space="preserve">ALCOCK, JOHN (c. 1430-1500), English divine, was born at</w:t></w:r>
</w:p>
<w:p>
<w:pPr><w:pStyle w:val="Normal"/></w:pPr>
<w:r><w:t xml:space="preserve">Beverley in Yorkshire and educated at Cambridge.  In 1461 he was</w:t></w:r>
</w:p>
<w:p>
<w:pPr><w:pStyle w:val="Normal"/></w:pPr>
<w:r><w:t xml:space="preserve">made dean of Westminster, and henceforward his promotion was rapid</w:t></w:r>
</w:p>
<w:p>
<w:pPr><w:pStyle w:val="Normal"/></w:pPr>
<w:r><w:t xml:space="preserve">in church and state.  In the following year he was made master</w:t></w:r>
</w:p>
<w:p>
<w:pPr><w:pStyle w:val="Normal"/></w:pPr>
<w:r><w:t xml:space="preserve">of the rolls, and in 1470 was sent as ambassador to the court of</w:t></w:r>
</w:p>
<w:p>
<w:pPr><w:pStyle w:val="Normal"/></w:pPr>
<w:r><w:t xml:space="preserve">Castile.  He was consecrated bishop of Rochester in 1472 and was</w:t></w:r>
</w:p>
<w:p>
<w:pPr><w:pStyle w:val="Normal"/></w:pPr>
<w:r><w:t xml:space="preserve">successively translated to the sees of Worcester (1476) and Ely</w:t></w:r>
</w:p>
<w:p>
<w:pPr><w:pStyle w:val="Normal"/></w:pPr>
<w:r><w:t xml:space="preserve">(1486).  He twice held the office of lord chancellor, and</w:t></w:r>
</w:p>
<w:p>
<w:pPr><w:pStyle w:val="Normal"/></w:pPr>
<w:r><w:t xml:space="preserve">exhibited great ability in the negotiations with James III. of</w:t></w:r>
</w:p>
<w:p>
<w:pPr><w:pStyle w:val="Normal"/></w:pPr>
<w:r><w:t xml:space="preserve">Scotland.  He died at Wisbech Castle on the 1st of October</w:t></w:r>
</w:p>
<w:p>
<w:pPr><w:pStyle w:val="Normal"/></w:pPr>
<w:r><w:t xml:space="preserve">1500.  Alcock was one of the most eminent pre-Reformation</w:t></w:r>
</w:p>
<w:p>
<w:pPr><w:pStyle w:val="Normal"/></w:pPr>
<w:r><w:t xml:space="preserve">divines; he was a man of deep learning and also of great</w:t></w:r>
</w:p>
<w:p>
<w:pPr><w:pStyle w:val="Normal"/></w:pPr>
<w:r><w:t xml:space="preserve">proficiency as an architect.  Besides founding a charity</w:t></w:r>
</w:p>
<w:p>
<w:pPr><w:pStyle w:val="Normal"/></w:pPr>
<w:r><w:t xml:space="preserve">at Beverley and a grammar school at Kingston-upon-Hull, he</w:t></w:r>
</w:p>
<w:p>
<w:pPr><w:pStyle w:val="Normal"/></w:pPr>
<w:r><w:t xml:space="preserve">restored many churches and colleges; but his greatest enterprise</w:t></w:r>
</w:p>
<w:p>
<w:pPr><w:pStyle w:val="Normal"/></w:pPr>
<w:r><w:t xml:space="preserve">was the erection of Jesus College, Cambridge, which he</w:t></w:r>
</w:p>
<w:p>
<w:pPr><w:pStyle w:val="Normal"/></w:pPr>
<w:r><w:t xml:space="preserve">established on the site of the former Convent of St Radigund.</w:t></w:r>
</w:p>
<w:p>
<w:pPr><w:pStyle w:val="Normal"/></w:pPr>
<w:r><w:t xml:space="preserve">Alcock&apos;s published writings, most of which are extremely</w:t></w:r>
</w:p>
<w:p>
<w:pPr><w:pStyle w:val="Normal"/></w:pPr>
<w:r><w:t xml:space="preserve">rare, are: Mons Perfectionis, or the Hill of Perfection</w:t></w:r>
</w:p>
<w:p>
<w:pPr><w:pStyle w:val="Normal"/></w:pPr>
<w:r><w:t xml:space="preserve">(London, 1497); Gallicontus Johannis Alcock episcopi</w:t></w:r>
</w:p>
<w:p>
<w:pPr><w:pStyle w:val="Normal"/></w:pPr>
<w:r><w:t xml:space="preserve">Eliensis ad frates suos curatos in sinodo apud Barnwell</w:t></w:r>
</w:p>
<w:p>
<w:pPr><w:pStyle w:val="Normal"/></w:pPr>
<w:r><w:t xml:space="preserve">(1498), a good specimen of early English printing and quaint</w:t></w:r>
</w:p>
<w:p>
<w:pPr><w:pStyle w:val="Normal"/></w:pPr>
<w:r><w:t xml:space="preserve">illustrations; The Castle of Labour, translated from the French</w:t></w:r>
</w:p>
<w:p>
<w:pPr><w:pStyle w:val="Normal"/></w:pPr>
<w:r><w:t xml:space="preserve">(1536), and various other tracts and homilies.  See J. Bass</w:t></w:r>
</w:p>
<w:p>
<w:pPr><w:pStyle w:val="Normal"/></w:pPr>
<w:r><w:t xml:space="preserve">Mullinger&apos;s Hist. of the University of Cambridge, vol. i.</w:t></w:r>
</w:p>
<w:p>
<w:pPr><w:pStyle w:val="Normal"/></w:pPr>
<w:r><w:t xml:space="preserve">ALCOCK, SIR RUTHERFORD (1809-1897), British consul and</w:t></w:r>
</w:p>
<w:p>
<w:pPr><w:pStyle w:val="Normal"/></w:pPr>
<w:r><w:t xml:space="preserve">diplomatist, was the son of Dr Thomas Alcock, who practised</w:t></w:r>
</w:p>
<w:p>
<w:pPr><w:pStyle w:val="Normal"/></w:pPr>
<w:r><w:t xml:space="preserve">at Ealing, near London, and himself followed the medical</w:t></w:r>
</w:p>
<w:p>
<w:pPr><w:pStyle w:val="Normal"/></w:pPr>
<w:r><w:t xml:space="preserve">profession.  In 1836 he became a surgeon in the marine</w:t></w:r>
</w:p>
<w:p>
<w:pPr><w:pStyle w:val="Normal"/></w:pPr>
<w:r><w:t xml:space="preserve">brigade which took part in the Carlist war, and gaining</w:t></w:r>
</w:p>
<w:p>
<w:pPr><w:pStyle w:val="Normal"/></w:pPr>
<w:r><w:t xml:space="preserve">distinction by his services was made deputy inspector-general</w:t></w:r>
</w:p>
<w:p>
<w:pPr><w:pStyle w:val="Normal"/></w:pPr>
<w:r><w:t xml:space="preserve">of hospitals.  He retired from this service in 1837, and</w:t></w:r>
</w:p>
<w:p>
<w:pPr><w:pStyle w:val="Normal"/></w:pPr>
<w:r><w:t xml:space="preserve">seven years later was appointed consul at Fuchow in China,</w:t></w:r>
</w:p>
<w:p>
<w:pPr><w:pStyle w:val="Normal"/></w:pPr>
<w:r><w:t xml:space="preserve">where, after a short official stay at Amoy, he performed the</w:t></w:r>
</w:p>
<w:p>
<w:pPr><w:pStyle w:val="Normal"/></w:pPr>
<w:r><w:t xml:space="preserve">functions, as he himself expressed it, ``of everything from</w:t></w:r>
</w:p>
<w:p>
<w:pPr><w:pStyle w:val="Normal"/></w:pPr>
<w:r><w:t xml:space="preserve">a lord chancellor to a sheriff&apos;s officer.&apos;&apos; Fuchow was one</w:t></w:r>
</w:p>
<w:p>
<w:pPr><w:pStyle w:val="Normal"/></w:pPr>
<w:r><w:t xml:space="preserve">of the ports opened to trade by the treaty of 1842, and Mr</w:t></w:r>
</w:p>
<w:p>
<w:pPr><w:pStyle w:val="Normal"/></w:pPr>
<w:r><w:t xml:space="preserve">Alcock, as he then was, had to maintain an entirely new position</w:t></w:r>
</w:p>
<w:p>
<w:pPr><w:pStyle w:val="Normal"/></w:pPr>
<w:r><w:t xml:space="preserve">with the Chinese authorities.  In so doing he was eminently</w:t></w:r>
</w:p>
<w:p>
<w:pPr><w:pStyle w:val="Normal"/></w:pPr>
<w:r><w:t xml:space="preserve">successful, and earned for himself promotion to the consulate at</w:t></w:r>
</w:p>
<w:p>
<w:pPr><w:pStyle w:val="Normal"/></w:pPr>
<w:r><w:t xml:space="preserve">Shanghai.  Thither he went in 1846 and made it an especial</w:t></w:r>
</w:p>
<w:p>
<w:pPr><w:pStyle w:val="Heading1"/></w:pPr>
<w:r><w:t>part of his duties to superintend the establishment, and</w:t></w:r>
</w:p>
<w:p>
<w:pPr><w:pStyle w:val="Normal"/></w:pPr>
<w:r><w:t xml:space="preserve">laying out of the British settlement, which has developed</w:t></w:r>
</w:p>
<w:p>
<w:pPr><w:pStyle w:val="Normal"/></w:pPr>
<w:r><w:t xml:space="preserve">into such an important feature of British commercial life in</w:t></w:r>
</w:p>
<w:p>
<w:pPr><w:pStyle w:val="Normal"/></w:pPr>
<w:r><w:t xml:space="preserve">China.  In 1858 he was appointed consul-general in the newly</w:t></w:r>
</w:p>
<w:p>
<w:pPr><w:pStyle w:val="Normal"/></w:pPr>
<w:r><w:t xml:space="preserve">opened empire of Japan, and in the following year was promoted</w:t></w:r>
</w:p>
<w:p>
<w:pPr><w:pStyle w:val="Normal"/></w:pPr>
<w:r><w:t xml:space="preserve">to be minister plenipotentiary.  In those days residence in</w:t></w:r>
</w:p>
<w:p>
<w:pPr><w:pStyle w:val="Normal"/></w:pPr>
<w:r><w:t xml:space="preserve">Japan was surrounded with many dangers, and the people were</w:t></w:r>
</w:p>
<w:p>
<w:pPr><w:pStyle w:val="Normal"/></w:pPr>
<w:r><w:t xml:space="preserve">intensely hostile to foreigners.  In 1860 Mr Alcock&apos;s native</w:t></w:r>
</w:p>
<w:p>
<w:pPr><w:pStyle w:val="Normal"/></w:pPr>
<w:r><w:t xml:space="preserve">interpreter was murdered at the gate of the legation, and</w:t></w:r>
</w:p>
<w:p>
<w:pPr><w:pStyle w:val="Normal"/></w:pPr>
<w:r><w:t xml:space="preserve">in the following year the legation was stormed by a body</w:t></w:r>
</w:p>
<w:p>
<w:pPr><w:pStyle w:val="Normal"/></w:pPr>
<w:r><w:t xml:space="preserve">of Ronins, whose attack was repulsed by Mr Alcock and his</w:t></w:r>
</w:p>
<w:p>
<w:pPr><w:pStyle w:val="Normal"/></w:pPr>
<w:r><w:t xml:space="preserve">staff.  Shortly after this event he returned to England on</w:t></w:r>
</w:p>
<w:p>
<w:pPr><w:pStyle w:val="Normal"/></w:pPr>
<w:r><w:t xml:space="preserve">leave.  Already he had been made a C.B. (1860); in 1862 he</w:t></w:r>
</w:p>
<w:p>
<w:pPr><w:pStyle w:val="Normal"/></w:pPr>
<w:r><w:t xml:space="preserve">was made a K.C.B., and in 1863 hon.  D.C.L.  Oxon.  In 1864</w:t></w:r>
</w:p>
<w:p>
<w:pPr><w:pStyle w:val="Normal"/></w:pPr>
<w:r><w:t xml:space="preserve">he returned to Japan, and after a year&apos;s further residence</w:t></w:r>
</w:p>
<w:p>
<w:pPr><w:pStyle w:val="Normal"/></w:pPr>
<w:r><w:t xml:space="preserve">he was transferred to Pekin, where he represented the British</w:t></w:r>
</w:p>
<w:p>
<w:pPr><w:pStyle w:val="Normal"/></w:pPr>
<w:r><w:t xml:space="preserve">government until 1871, when he retired.  But though no longer</w:t></w:r>
</w:p>
<w:p>
<w:pPr><w:pStyle w:val="Normal"/></w:pPr>
<w:r><w:t xml:space="preserve">in official life his leisure was fully occupied.  He was</w:t></w:r>
</w:p>
<w:p>
<w:pPr><w:pStyle w:val="Normal"/></w:pPr>
<w:r><w:t xml:space="preserve">for some years president of the Royal Geographical Society,</w:t></w:r>
</w:p>
<w:p>
<w:pPr><w:pStyle w:val="Normal"/></w:pPr>
<w:r><w:t xml:space="preserve">and he served on many commissions.  He was twice married,</w:t></w:r>
</w:p>
<w:p>
<w:pPr><w:pStyle w:val="Normal"/></w:pPr>
<w:r><w:t xml:space="preserve">first in May 1841 to Henrietta Mary, daughter of Charles</w:t></w:r>
</w:p>
<w:p>
<w:pPr><w:pStyle w:val="Normal"/></w:pPr>
<w:r><w:t xml:space="preserve">Bacon, who died in 1853, and secondly (July 8, 1862) to the</w:t></w:r>
</w:p>
<w:p>
<w:pPr><w:pStyle w:val="Normal"/></w:pPr>
<w:r><w:t xml:space="preserve">widow of the Rev. John Lowder, who died on the 13th of March</w:t></w:r>
</w:p>
<w:p>
<w:pPr><w:pStyle w:val="Normal"/></w:pPr>
<w:r><w:t xml:space="preserve">1899.  He was the author of several works, and was one of the</w:t></w:r>
</w:p>
<w:p>
<w:pPr><w:pStyle w:val="Normal"/></w:pPr>
<w:r><w:t xml:space="preserve">first to awaken in England an interest in Japanese art; his</w:t></w:r>
</w:p>
<w:p>
<w:pPr><w:pStyle w:val="Normal"/></w:pPr>
<w:r><w:t xml:space="preserve">best-known book is The Capital of the Tycoon, which appeared in</w:t></w:r>
</w:p>
<w:p>
<w:pPr><w:pStyle w:val="Normal"/></w:pPr>
<w:r><w:t xml:space="preserve">1863.  He died in London on the 2nd of November 1897. (R. K. D.)</w:t></w:r>
</w:p>
<w:p>
<w:pPr><w:pStyle w:val="Normal"/></w:pPr>
<w:r><w:t xml:space="preserve">ALCOFORADO, MARIANNA (1640-1723), Portuguese authoress,</w:t></w:r>
</w:p>
<w:p>
<w:pPr><w:pStyle w:val="Normal"/></w:pPr>
<w:r><w:t xml:space="preserve">writer of the Letters of a Portuguese Nun, was the daughter</w:t></w:r>
</w:p>
<w:p>
<w:pPr><w:pStyle w:val="Normal"/></w:pPr>
<w:r><w:t xml:space="preserve">of a landed proprietor in Alemtejo.  Beja, her birthplace,</w:t></w:r>
</w:p>
<w:p>
<w:pPr><w:pStyle w:val="Normal"/></w:pPr>
<w:r><w:t xml:space="preserve">was the chief garrison town of that province, itself the</w:t></w:r>
</w:p>
<w:p>
<w:pPr><w:pStyle w:val="Normal"/></w:pPr>
<w:r><w:t xml:space="preserve">principal theatre of the twenty-eight years&apos; war with Spain</w:t></w:r>
</w:p>
<w:p>
<w:pPr><w:pStyle w:val="Normal"/></w:pPr>
<w:r><w:t xml:space="preserve">that followed the Portuguese revolution of 1640, and her</w:t></w:r>
</w:p>
<w:p>
<w:pPr><w:pStyle w:val="Normal"/></w:pPr>
<w:r><w:t xml:space="preserve">widowed father, occupied with administrative and military</w:t></w:r>
</w:p>
<w:p>
<w:pPr><w:pStyle w:val="Normal"/></w:pPr>
<w:r><w:t xml:space="preserve">commissions, placed Marianna in her childhood in the wealthy</w:t></w:r>
</w:p>
<w:p>
<w:pPr><w:pStyle w:val="Normal"/></w:pPr>
<w:r><w:t xml:space="preserve">convent of the Conception for security and education.</w:t></w:r>
</w:p>
<w:p>
<w:pPr><w:pStyle w:val="Normal"/></w:pPr>
<w:r><w:t xml:space="preserve">She made her profession as a Franciscan nun at sixteen or</w:t></w:r>
</w:p>
<w:p>
<w:pPr><w:pStyle w:val="Normal"/></w:pPr>
<w:r><w:t xml:space="preserve">earlier, without any real vocation, and lived a routine</w:t></w:r>
</w:p>
<w:p>
<w:pPr><w:pStyle w:val="Normal"/></w:pPr>
<w:r><w:t xml:space="preserve">life in that somewhat relaxed house until her twenty-fifth</w:t></w:r>
</w:p>
<w:p>
<w:pPr><w:pStyle w:val="Normal"/></w:pPr>
<w:r><w:t xml:space="preserve">year, when she met Noel Bouton.  This man, afterwards marquis</w:t></w:r>
</w:p>
<w:p>
<w:pPr><w:pStyle w:val="Normal"/></w:pPr>
<w:r><w:t xml:space="preserve">de Chamilly, and marshal of France, was one of the French</w:t></w:r>
</w:p>
<w:p>
<w:pPr><w:pStyle w:val="Normal"/></w:pPr>
<w:r><w:t xml:space="preserve">officers who came to Portugal to serve under the great captain,</w:t></w:r>
</w:p>
<w:p>
<w:pPr><w:pStyle w:val="Normal"/></w:pPr>
<w:r><w:t xml:space="preserve">Frederick, Count Schomberg, the re-organizer of the Portuguese</w:t></w:r>
</w:p>
<w:p>
<w:pPr><w:pStyle w:val="Normal"/></w:pPr>
<w:r><w:t xml:space="preserve">army.  During the years 1665-1667 Chamilly spent much of his</w:t></w:r>
</w:p>
<w:p>
<w:pPr><w:pStyle w:val="Normal"/></w:pPr>
<w:r><w:t xml:space="preserve">time in and about Beja, and probably became acquainted with</w:t></w:r>
</w:p>
<w:p>
<w:pPr><w:pStyle w:val="Normal"/></w:pPr>
<w:r><w:t xml:space="preserve">the Alcoforado family through Marianna&apos;s brother, who was a</w:t></w:r>
</w:p>
<w:p>
<w:pPr><w:pStyle w:val="Normal"/></w:pPr>
<w:r><w:t xml:space="preserve">soldier.  Custom then permitted religious to receive and entertain</w:t></w:r>
</w:p>
<w:p>
<w:pPr><w:pStyle w:val="Normal"/></w:pPr>
<w:r><w:t xml:space="preserve">visitors, and Chamilly, aided by his military prestige and some</w:t></w:r>
</w:p>
<w:p>
<w:pPr><w:pStyle w:val="Normal"/></w:pPr>
<w:r><w:t xml:space="preserve">flattery, found small difficulty in betraying the trustful</w:t></w:r>
</w:p>
<w:p>
<w:pPr><w:pStyle w:val="Normal"/></w:pPr>
<w:r><w:t xml:space="preserve">nun.  Before long their intrigue became known and caused a</w:t></w:r>
</w:p>
<w:p>
<w:pPr><w:pStyle w:val="Normal"/></w:pPr>
<w:r><w:t xml:space="preserve">scandal, and to avoid the consequences Chamilly deserted Marianna</w:t></w:r>
</w:p>
<w:p>
<w:pPr><w:pStyle w:val="Normal"/></w:pPr>
<w:r><w:t xml:space="preserve">and withdrew clandestinely to France.  The letters to her</w:t></w:r>
</w:p>
<w:p>
<w:pPr><w:pStyle w:val="Normal"/></w:pPr>
<w:r><w:t xml:space="preserve">lover which have earned her renown in literature were written</w:t></w:r>
</w:p>
<w:p>
<w:pPr><w:pStyle w:val="Normal"/></w:pPr>
<w:r><w:t xml:space="preserve">between December 1667 and June 1668, and they described the</w:t></w:r>
</w:p>
<w:p>
<w:pPr><w:pStyle w:val="Normal"/></w:pPr>
<w:r><w:t xml:space="preserve">successive stages of faith, doubt and despair through which she</w:t></w:r>
</w:p>
<w:p>
<w:pPr><w:pStyle w:val="Normal"/></w:pPr>
<w:r><w:t xml:space="preserve">passed.  As a piece of unconscious psychological self-analysis,</w:t></w:r>
</w:p>
<w:p>
<w:pPr><w:pStyle w:val="Normal"/></w:pPr>
<w:r><w:t xml:space="preserve">they are unsurpassed; as a product of the Peninsular heart</w:t></w:r>
</w:p>
<w:p>
<w:pPr><w:pStyle w:val="Normal"/></w:pPr>
<w:r><w:t xml:space="preserve">they are unrivalled.  These five short letters written by</w:t></w:r>
</w:p>
<w:p>
<w:pPr><w:pStyle w:val="Normal"/></w:pPr>
<w:r><w:t xml:space="preserve">Marianna to ``expostulate her desertion&apos;&apos; form one of the few</w:t></w:r>
</w:p>
<w:p>
<w:pPr><w:pStyle w:val="Normal"/></w:pPr>
<w:r><w:t xml:space="preserve">documents of extreme human experience, and reveal a passion</w:t></w:r>
</w:p>
<w:p>
<w:pPr><w:pStyle w:val="Normal"/></w:pPr>
<w:r><w:t xml:space="preserve">which in the course of two centuries has lost nothing of its</w:t></w:r>
</w:p>
<w:p>
<w:pPr><w:pStyle w:val="Normal"/></w:pPr>
<w:r><w:t xml:space="preserve">heat.  Perhaps their dominant note is reality, and, sad reading</w:t></w:r>
</w:p>
<w:p>
<w:pPr><w:pStyle w:val="Normal"/></w:pPr>
<w:r><w:t xml:space="preserve">as they are from the moral standpoint, their absolute candour,</w:t></w:r>
</w:p>
<w:p>
<w:pPr><w:pStyle w:val="Normal"/></w:pPr>
<w:r><w:t xml:space="preserve">exquisite tenderness and entire self-abandonment have excited</w:t></w:r>
</w:p>
<w:p>
<w:pPr><w:pStyle w:val="Normal"/></w:pPr>
<w:r><w:t xml:space="preserve">the wonder and admiration of great men and women in every</w:t></w:r>
</w:p>
<w:p>
<w:pPr><w:pStyle w:val="Normal"/></w:pPr>
<w:r><w:t xml:space="preserve">age, from Madame de Sevigne to W. E. Gladstone.  There are</w:t></w:r>
</w:p>
<w:p>
<w:pPr><w:pStyle w:val="Normal"/></w:pPr>
<w:r><w:t xml:space="preserve">signs in the fifth letter that Marianna had begun to conquer</w:t></w:r>
</w:p>
<w:p>
<w:pPr><w:pStyle w:val="Normal"/></w:pPr>
<w:r><w:t xml:space="preserve">her passion, and after a life of rigid penance, accompanied</w:t></w:r>
</w:p>
<w:p>
<w:pPr><w:pStyle w:val="Normal"/></w:pPr>
<w:r><w:t xml:space="preserve">by much suffering, she died at the age of eighty-three.  The</w:t></w:r>
</w:p>
<w:p>
<w:pPr><w:pStyle w:val="Normal"/></w:pPr>
<w:r><w:t xml:space="preserve">letters came into the possession of the comte de Guilleragues,</w:t></w:r>
</w:p>
<w:p>
<w:pPr><w:pStyle w:val="Normal"/></w:pPr>
<w:r><w:t xml:space="preserve">director of the Gazette de France, who turned them into</w:t></w:r>
</w:p>
<w:p>
<w:pPr><w:pStyle w:val="Normal"/></w:pPr>
<w:r><w:t xml:space="preserve">French, and they were published anonymously in Paris in January</w:t></w:r>
</w:p>
<w:p>
<w:pPr><w:pStyle w:val="Normal"/></w:pPr>
<w:r><w:t xml:space="preserve">1669.  A Cologne edition of the same year stated that Chamilly</w:t></w:r>
</w:p>
<w:p>
<w:pPr><w:pStyle w:val="Normal"/></w:pPr>
<w:r><w:t xml:space="preserve">was their addressee, which is confirmed by St Simon and Duclos,</w:t></w:r>
</w:p>
<w:p>
<w:pPr><w:pStyle w:val="Normal"/></w:pPr>
<w:r><w:t xml:space="preserve">but the name of their authoress remained undivulged.  In 1810,</w:t></w:r>
</w:p>
<w:p>
<w:pPr><w:pStyle w:val="Normal"/></w:pPr>
<w:r><w:t xml:space="preserve">however, Boissonade discovered Marianna&apos;s name written in a copy</w:t></w:r>
</w:p>
<w:p>
<w:pPr><w:pStyle w:val="Normal"/></w:pPr>
<w:r><w:t xml:space="preserve">of the first edition by a contemporary hand, and the veracity</w:t></w:r>
</w:p>
<w:p>
<w:pPr><w:pStyle w:val="Normal"/></w:pPr>
<w:r><w:t xml:space="preserve">of this ascription has been placed beyond doubt by the recent</w:t></w:r>
</w:p>
<w:p>
<w:pPr><w:pStyle w:val="Normal"/></w:pPr>
<w:r><w:t xml:space="preserve">investigations of Luciano Cordeiro, who found a tradition</w:t></w:r>
</w:p>
<w:p>
<w:pPr><w:pStyle w:val="Normal"/></w:pPr>
<w:r><w:t xml:space="preserve">in Beja connecting the French captain and the Portuguese</w:t></w:r>
</w:p>
<w:p>
<w:pPr><w:pStyle w:val="Normal"/></w:pPr>
<w:r><w:t xml:space="preserve">nun.  The letters created a sensation on their first appearance,</w:t></w:r>
</w:p>
<w:p>
<w:pPr><w:pStyle w:val="Normal"/></w:pPr>
<w:r><w:t xml:space="preserve">running through five editions in a year, and, to exploit</w:t></w:r>
</w:p>
<w:p>
<w:pPr><w:pStyle w:val="Normal"/></w:pPr>
<w:r><w:t xml:space="preserve">their popularity, second parts, replies and new replies were</w:t></w:r>
</w:p>
<w:p>
<w:pPr><w:pStyle w:val="Normal"/></w:pPr>
<w:r><w:t xml:space="preserve">issued from the press in quick succession.  Notwithstanding</w:t></w:r>
</w:p>
<w:p>
<w:pPr><w:pStyle w:val="Normal"/></w:pPr>
<w:r><w:t xml:space="preserve">that the Portuguese original of the five letters is lost,</w:t></w:r>
</w:p>
<w:p>
<w:pPr><w:pStyle w:val="Normal"/></w:pPr>
<w:r><w:t xml:space="preserve">their genuineness is as patent as the spuriousness of their</w:t></w:r>
</w:p>
<w:p>
<w:pPr><w:pStyle w:val="Normal"/></w:pPr>
<w:r><w:t xml:space="preserve">followers, and though Rousseau was ready to wager they were</w:t></w:r>
</w:p>
<w:p>
<w:pPr><w:pStyle w:val="Normal"/></w:pPr>
<w:r><w:t xml:space="preserve">written by a man, the principal critics of Portugal and France</w:t></w:r>
</w:p>
<w:p>
<w:pPr><w:pStyle w:val="Normal"/></w:pPr>
<w:r><w:t xml:space="preserve">have decided against him.  It is now generally recognized that</w:t></w:r>
</w:p>
<w:p>
<w:pPr><w:pStyle w:val="Normal"/></w:pPr>
<w:r><w:t xml:space="preserve">the letters are a verbatim translation from the Portuguese.</w:t></w:r>
</w:p>
<w:p>
<w:pPr><w:pStyle w:val="Normal"/></w:pPr>
<w:r><w:t xml:space="preserve">The foreign bibliography of the Letters, containing almost</w:t></w:r>
</w:p>
<w:p>
<w:pPr><w:pStyle w:val="Normal"/></w:pPr>
<w:r><w:t xml:space="preserve">one hundred numbers, will be found in Cordeiro&apos;s admirable</w:t></w:r>
</w:p>
<w:p>
<w:pPr><w:pStyle w:val="Normal"/></w:pPr>
<w:r><w:t xml:space="preserve">study, Soror Marianna, A Friera Portugueza, 2nd ed. (Lisbon,</w:t></w:r>
</w:p>
<w:p>
<w:pPr><w:pStyle w:val="Normal"/></w:pPr>
<w:r><w:t xml:space="preserve">1891).  Besides the French editions, versions exist in Dutch,</w:t></w:r>
</w:p>
<w:p>
<w:pPr><w:pStyle w:val="Normal"/></w:pPr>
<w:r><w:t xml:space="preserve">Danish, Italian and German; and the English bibliography is</w:t></w:r>
</w:p>
<w:p>
<w:pPr><w:pStyle w:val="Normal"/></w:pPr>
<w:r><w:t xml:space="preserve">given by Edgar Prestage in his translation The Letters of</w:t></w:r>
</w:p>
<w:p>
<w:pPr><w:pStyle w:val="Normal"/></w:pPr>
<w:r><w:t xml:space="preserve">a Portuguese Nun (Marianna Alcoforado), 3rd ed. (London,</w:t></w:r>
</w:p>
<w:p>
<w:pPr><w:pStyle w:val="Normal"/></w:pPr>
<w:r><w:t xml:space="preserve">1903).  The French text of the editio princeps was printed</w:t></w:r>
</w:p>
<w:p>
<w:pPr><w:pStyle w:val="Normal"/></w:pPr>
<w:r><w:t xml:space="preserve">in the first edition (1893) of this book.  Edmund Gosse in</w:t></w:r>
</w:p>
<w:p>
<w:pPr><w:pStyle w:val="Normal"/></w:pPr>
<w:r><w:t xml:space="preserve">the Fortnightly Review, vol. xlix. (old series) p. 506,</w:t></w:r>
</w:p>
<w:p>
<w:pPr><w:pStyle w:val="Normal"/></w:pPr>
<w:r><w:t xml:space="preserve">shows the considerable influence exercised by the Letters on</w:t></w:r>
</w:p>
<w:p>
<w:pPr><w:pStyle w:val="Normal"/></w:pPr>
<w:r><w:t xml:space="preserve">the sentimental literature of France and England. (E. PR.)</w:t></w:r>
</w:p>
<w:p>
<w:pPr><w:pStyle w:val="Normal"/></w:pPr>
<w:r><w:t xml:space="preserve">ALCOHOL, in Commerce, the name generally given to ``spirits</w:t></w:r>
</w:p>
<w:p>
<w:pPr><w:pStyle w:val="Normal"/></w:pPr>
<w:r><w:t xml:space="preserve">of wine&apos;&apos;; in systematic organic chemistry it has a wider</w:t></w:r>
</w:p>
<w:p>
<w:pPr><w:pStyle w:val="Normal"/></w:pPr>
<w:r><w:t xml:space="preserve">meaning, being the generic name of a class of compounds</w:t></w:r>
</w:p>
<w:p>
<w:pPr><w:pStyle w:val="Normal"/></w:pPr>
<w:r><w:t xml:space="preserve">(hydroxy hydrocarbons) of which ordinary alcohol (specifically</w:t></w:r>
</w:p>
<w:p>
<w:pPr><w:pStyle w:val="Normal"/></w:pPr>
<w:r><w:t xml:space="preserve">ethyl alcohol) is a typical member (see ALCOHOLS.)</w:t></w:r>
</w:p>
<w:p>
<w:pPr><w:pStyle w:val="Normal"/></w:pPr>
<w:r><w:t xml:space="preserve">Etymology.</w:t></w:r>
</w:p>
<w:p>
<w:pPr><w:pStyle w:val="Normal"/></w:pPr>
<w:r><w:t xml:space="preserve">The word ``alcohol&apos;&apos; is of Arabic origin, being derived</w:t></w:r>
</w:p>
<w:p>
<w:pPr><w:pStyle w:val="Normal"/></w:pPr>
<w:r><w:t xml:space="preserve">from the particle al and the word kohl, an impalpable</w:t></w:r>
</w:p>
<w:p>
<w:pPr><w:pStyle w:val="Normal"/></w:pPr>
<w:r><w:t xml:space="preserve">powder used in the East for painting the eyebrows.  For many</w:t></w:r>
</w:p>
<w:p>
<w:pPr><w:pStyle w:val="Normal"/></w:pPr>
<w:r><w:t xml:space="preserve">centuries the word was used to designate any fine powder; its</w:t></w:r>
</w:p>
<w:p>
<w:pPr><w:pStyle w:val="Normal"/></w:pPr>
<w:r><w:t xml:space="preserve">present-day application to the product of the distillation</w:t></w:r>
</w:p>
<w:p>
<w:pPr><w:pStyle w:val="Normal"/></w:pPr>
<w:r><w:t xml:space="preserve">of wine is of comparatively recent date.  Thus Paracelsus</w:t></w:r>
</w:p>
<w:p>
<w:pPr><w:pStyle w:val="Normal"/></w:pPr>
<w:r><w:t xml:space="preserve">and Libavius both used the term to denote a fine powder, the</w:t></w:r>
</w:p>
<w:p>
<w:pPr><w:pStyle w:val="Normal"/></w:pPr>
<w:r><w:t xml:space="preserve">latter speaking of an alcohol derived from antimony.  At</w:t></w:r>
</w:p>
<w:p>
<w:pPr><w:pStyle w:val="Normal"/></w:pPr>
<w:r><w:t xml:space="preserve">the same time Paracelsus uses the word for a volatile liquid;</w:t></w:r>
</w:p>
<w:p>
<w:pPr><w:pStyle w:val="Normal"/></w:pPr>
<w:r><w:t xml:space="preserve">alcool Or alcool vini occurs often in his writings, and</w:t></w:r>
</w:p>
<w:p>
<w:pPr><w:pStyle w:val="Normal"/></w:pPr>
<w:r><w:t xml:space="preserve">once he adds ``id est vino ardente.&apos;&apos; Other names have</w:t></w:r>
</w:p>
<w:p>
<w:pPr><w:pStyle w:val="Normal"/></w:pPr>
<w:r><w:t xml:space="preserve">been in use among the earlier chemists for this same liquid.</w:t></w:r>
</w:p>
<w:p>
<w:pPr><w:pStyle w:val="Normal"/></w:pPr>
<w:r><w:t xml:space="preserve">Eau de vie (``elixir of life&apos;&apos;) was in use during the 13th</w:t></w:r>
</w:p>
<w:p>
<w:pPr><w:pStyle w:val="Normal"/></w:pPr>
<w:r><w:t xml:space="preserve">and 14th centuries; Arnoldus Villanovanus applied it to the</w:t></w:r>
</w:p>
<w:p>
<w:pPr><w:pStyle w:val="Normal"/></w:pPr>
<w:r><w:t xml:space="preserve">product of distilled wine, though not as a specific name.</w:t></w:r>
</w:p>
<w:p>
<w:pPr><w:pStyle w:val="Normal"/></w:pPr>
<w:r><w:t xml:space="preserve">Ethyl alcohol.</w:t></w:r>
</w:p>
<w:p>
<w:pPr><w:pStyle w:val="Normal"/></w:pPr>
<w:r><w:t xml:space="preserve">Ordinary alcohol, which we shall frequently refer to by its</w:t></w:r>
</w:p>
<w:p>
<w:pPr><w:pStyle w:val="Normal"/></w:pPr>
<w:r><w:t xml:space="preserve">specific name, ethyl alcohol, seldom occurs in the vegetable</w:t></w:r>
</w:p>
<w:p>
<w:pPr><w:pStyle w:val="Normal"/></w:pPr>
<w:r><w:t xml:space="preserve">kingdom; the unripe seeds of Heracleum giganteum and H.</w:t></w:r>
</w:p>
<w:p>
<w:pPr><w:pStyle w:val="Normal"/></w:pPr>
<w:r><w:t xml:space="preserve">Sphondylium contain it mixed with ethyl butyrate.  In the</w:t></w:r>
</w:p>
<w:p>
<w:pPr><w:pStyle w:val="Normal"/></w:pPr>
<w:r><w:t xml:space="preserve">animal kingdom it occurs in the urine of diabetic patients and</w:t></w:r>
</w:p>
<w:p>
<w:pPr><w:pStyle w:val="Normal"/></w:pPr>
<w:r><w:t xml:space="preserve">of persons addicted to alcohol.  Its important source lies in</w:t></w:r>
</w:p>
<w:p>
<w:pPr><w:pStyle w:val="Normal"/></w:pPr>
<w:r><w:t xml:space="preserve">its formation by the ``spirituous&apos;&apos; or ``alcoholic fermentation&apos;&apos;</w:t></w:r>
</w:p>
<w:p>
<w:pPr><w:pStyle w:val="Normal"/></w:pPr>
<w:r><w:t xml:space="preserve">of saccharine juices.  The mechanism of alcoholic fermentation</w:t></w:r>
</w:p>
<w:p>
<w:pPr><w:pStyle w:val="Normal"/></w:pPr>
<w:r><w:t xml:space="preserve">is discussed in the article FERMENTATION, and the manufacture</w:t></w:r>
</w:p>
<w:p>
<w:pPr><w:pStyle w:val="Normal"/></w:pPr>
<w:r><w:t xml:space="preserve">of alcohol from fermented liquors in the article SPIRITS.</w:t></w:r>
</w:p>
<w:p>
<w:pPr><w:pStyle w:val="Normal"/></w:pPr>
<w:r><w:t xml:space="preserve">The qualitative composition of ethyl alcohol was ascertained by</w:t></w:r>
</w:p>
<w:p>
<w:pPr><w:pStyle w:val="Normal"/></w:pPr>
<w:r><w:t xml:space="preserve">A. L. Lavoisier, and the quantitative by N. T. de Saussure in</w:t></w:r>
</w:p>
<w:p>
<w:pPr><w:pStyle w:val="Normal"/></w:pPr>
<w:r><w:t xml:space="preserve">1808.  Sir Edward Frankland showed how it could be derived</w:t></w:r>
</w:p>
<w:p>
<w:pPr><w:pStyle w:val="Normal"/></w:pPr>
<w:r><w:t xml:space="preserve">from, and converted into, ethane; and thus determined it</w:t></w:r>
</w:p>
<w:p>
<w:pPr><w:pStyle w:val="Normal"/></w:pPr>
<w:r><w:t xml:space="preserve">to be ethane in which one hydrogen atom was repiaced by a</w:t></w:r>
</w:p>
<w:p>
<w:pPr><w:pStyle w:val="Normal"/></w:pPr>
<w:r><w:t xml:space="preserve">hydroxyl group.  Its constitutional formula is therefore</w:t></w:r>
</w:p>
<w:p>
<w:pPr><w:pStyle w:val="Normal"/></w:pPr>
<w:r><w:t xml:space="preserve">CH3.CH2.OH.  It may be synthetically prepared by any</w:t></w:r>
</w:p>
<w:p>
<w:pPr><w:pStyle w:val="Normal"/></w:pPr>
<w:r><w:t xml:space="preserve">of the general methods described in the article ALCOHOLS.</w:t></w:r>
</w:p>
<w:p>
<w:pPr><w:pStyle w:val="Normal"/></w:pPr>
<w:r><w:t xml:space="preserve">Pure ethyl alcohol is a colourless, mobile liquid of an agreeable</w:t></w:r>
</w:p>
<w:p>
<w:pPr><w:pStyle w:val="Normal"/></w:pPr>
<w:r><w:t xml:space="preserve">odour.  It boils at 78.3 deg.  C. (760 mm.); at -90 deg.  C. it</w:t></w:r>
</w:p>
<w:p>
<w:pPr><w:pStyle w:val="Normal"/></w:pPr>
<w:r><w:t xml:space="preserve">is a thick liquid, and at -130 deg.  it solidifies to a white</w:t></w:r>
</w:p>
<w:p>
<w:pPr><w:pStyle w:val="Normal"/></w:pPr>
<w:r><w:t xml:space="preserve">mass.  Its high coefficient of thermal expansion, coupled with</w:t></w:r>
</w:p>
<w:p>
<w:pPr><w:pStyle w:val="Normal"/></w:pPr>
<w:r><w:t xml:space="preserve">its low freezing point, renders it a valuable thermometric</w:t></w:r>
</w:p>
<w:p>
<w:pPr><w:pStyle w:val="Normal"/></w:pPr>
<w:r><w:t xml:space="preserve">fluid, especially when the temperatures to be measured are</w:t></w:r>
</w:p>
<w:p>
<w:pPr><w:pStyle w:val="Normal"/></w:pPr>
<w:r><w:t xml:space="preserve">below -39 deg.  C., for which the mercury thermometer cannot be</w:t></w:r>
</w:p>
<w:p>
<w:pPr><w:pStyle w:val="Normal"/></w:pPr>
<w:r><w:t xml:space="preserve">used.  It readily inflames, burning with a blue smokeless flame,</w:t></w:r>
</w:p>
<w:p>
<w:pPr><w:pStyle w:val="Normal"/></w:pPr>
<w:r><w:t xml:space="preserve">and producing water and carbon dioxide, with the evolution of</w:t></w:r>
</w:p>
<w:p>
<w:pPr><w:pStyle w:val="Normal"/></w:pPr>
<w:r><w:t xml:space="preserve">great heat; hence it receives considerable application as a</w:t></w:r>
</w:p>
<w:p>
<w:pPr><w:pStyle w:val="Normal"/></w:pPr>
<w:r><w:t xml:space="preserve">fuel.  It mixes with water in all proportions, the mixing</w:t></w:r>
</w:p>
<w:p>
<w:pPr><w:pStyle w:val="Normal"/></w:pPr>
<w:r><w:t xml:space="preserve">being attended by a contraction in volume and a rise in</w:t></w:r>
</w:p>
<w:p>
<w:pPr><w:pStyle w:val="Normal"/></w:pPr>
<w:r><w:t xml:space="preserve">temperature; the maximum contraction corresponds to a mixture</w:t></w:r>
</w:p>
<w:p>
<w:pPr><w:pStyle w:val="Normal"/></w:pPr>
<w:r><w:t xml:space="preserve">of 3 molecules of alcohol and 1 of water.  Commercial alcohol</w:t></w:r>
</w:p>
<w:p>
<w:pPr><w:pStyle w:val="Normal"/></w:pPr>
<w:r><w:t xml:space="preserve">or ``spirits of wine&apos;&apos; contains about 90% of pure ethyl</w:t></w:r>
</w:p>
<w:p>
<w:pPr><w:pStyle w:val="Normal"/></w:pPr>
<w:r><w:t xml:space="preserve">alcohol, the remainder being water.  This water cannot be</w:t></w:r>
</w:p>
<w:p>
<w:pPr><w:pStyle w:val="Normal"/></w:pPr>
<w:r><w:t xml:space="preserve">entirely removed by fractional distillation, and to prepare</w:t></w:r>
</w:p>
<w:p>
<w:pPr><w:pStyle w:val="Normal"/></w:pPr>
<w:r><w:t xml:space="preserve">anhydrous or ``absolute&apos;&apos; alcohol the commercial product</w:t></w:r>
</w:p>
<w:p>
<w:pPr><w:pStyle w:val="Normal"/></w:pPr>
<w:r><w:t xml:space="preserve">must be allowed to stand over some dehydrating agent, such as</w:t></w:r>
</w:p>
<w:p>
<w:pPr><w:pStyle w:val="Normal"/></w:pPr>
<w:r><w:t xml:space="preserve">caustic lime, baryta, anhydrous copper sulphate, &amp;c., and then</w:t></w:r>
</w:p>
<w:p>
<w:pPr><w:pStyle w:val="Normal"/></w:pPr>
<w:r><w:t xml:space="preserve">distilled.  Calcium chloride must not be used, since it forms</w:t></w:r>
</w:p>
<w:p>
<w:pPr><w:pStyle w:val="Normal"/></w:pPr>
<w:r><w:t xml:space="preserve">a crystalline compound with alcohol.  The quantity of alcohol</w:t></w:r>
</w:p>
<w:p>
<w:pPr><w:pStyle w:val="Normal"/></w:pPr>
<w:r><w:t xml:space="preserve">present in an aqueous solution is determined by a comparison</w:t></w:r>
</w:p>
<w:p>
<w:pPr><w:pStyle w:val="Normal"/></w:pPr>
<w:r><w:t xml:space="preserve">of its specific gravity with standard tables, or directly by</w:t></w:r>
</w:p>
<w:p>
<w:pPr><w:pStyle w:val="Normal"/></w:pPr>
<w:r><w:t xml:space="preserve">the use of an alcoholometer, which is a hydrometer graduated so</w:t></w:r>
</w:p>
<w:p>
<w:pPr><w:pStyle w:val="Normal"/></w:pPr>
<w:r><w:t xml:space="preserve">as to read per cents by weight (degrees according to Richter)</w:t></w:r>
</w:p>
<w:p>
<w:pPr><w:pStyle w:val="Normal"/></w:pPr>
<w:r><w:t xml:space="preserve">or volume per cents (degrees according to Tralles).  Other</w:t></w:r>
</w:p>
<w:p>
<w:pPr><w:pStyle w:val="Normal"/></w:pPr>
<w:r><w:t xml:space="preserve">methods consist in determining the vapour tension by means</w:t></w:r>
</w:p>
<w:p>
<w:pPr><w:pStyle w:val="Normal"/></w:pPr>
<w:r><w:t xml:space="preserve">of the vaporimeter of Geissler, or the boiling point by the</w:t></w:r>
</w:p>
<w:p>
<w:pPr><w:pStyle w:val="Normal"/></w:pPr>
<w:r><w:t xml:space="preserve">ebullioscope.  In the United Kingdom ``proof spirit&apos;&apos; is</w:t></w:r>
</w:p>
<w:p>
<w:pPr><w:pStyle w:val="Normal"/></w:pPr>
<w:r><w:t xml:space="preserve">defined as having a specific gravity at 51 deg.  of  12/13 (.92308)</w:t></w:r>
</w:p>
<w:p>
<w:pPr><w:pStyle w:val="Normal"/></w:pPr>
<w:r><w:t xml:space="preserve">compared with water at the same temperature.  The ``quantity</w:t></w:r>
</w:p>
<w:p>
<w:pPr><w:pStyle w:val="Normal"/></w:pPr>
<w:r><w:t xml:space="preserve">at proof&apos;&apos; is given by the formula:-- quantity of sample</w:t></w:r>
</w:p>
<w:p>
<w:pPr><w:pStyle w:val="Heading1"/></w:pPr>
<w:r><w:t>X (degrees over or under proof + 100) divided by 100.</w:t></w:r>
</w:p>
<w:p>
<w:pPr><w:pStyle w:val="Normal"/></w:pPr>
<w:r><w:t xml:space="preserve">The presence of water in alcohol may be detected in several</w:t></w:r>
</w:p>
<w:p>
<w:pPr><w:pStyle w:val="Normal"/></w:pPr>
<w:r><w:t xml:space="preserve">ways.  Aqueous alcohol becomes turbid when mixed with</w:t></w:r>
</w:p>
<w:p>
<w:pPr><w:pStyle w:val="Normal"/></w:pPr>
<w:r><w:t xml:space="preserve">benzene, carbon disulphide or paraffin oil; when added to</w:t></w:r>
</w:p>
<w:p>
<w:pPr><w:pStyle w:val="Normal"/></w:pPr>
<w:r><w:t xml:space="preserve">a solution of barium oxide in absolute alcohol, a white</w:t></w:r>
</w:p>
<w:p>
<w:pPr><w:pStyle w:val="Normal"/></w:pPr>
<w:r><w:t xml:space="preserve">precipitate of barium hydroxide is formed.  A more delicate</w:t></w:r>
</w:p>
<w:p>
<w:pPr><w:pStyle w:val="Normal"/></w:pPr>
<w:r><w:t xml:space="preserve">method consists in adding a very little anthraquinone and</w:t></w:r>
</w:p>
<w:p>
<w:pPr><w:pStyle w:val="Normal"/></w:pPr>
<w:r><w:t xml:space="preserve">sodium amalgam; absolute alcohol gives a green coloration,</w:t></w:r>
</w:p>
<w:p>
<w:pPr><w:pStyle w:val="Normal"/></w:pPr>
<w:r><w:t xml:space="preserve">but in the presence of minute traces of water a red coloration</w:t></w:r>
</w:p>
<w:p>
<w:pPr><w:pStyle w:val="Normal"/></w:pPr>
<w:r><w:t xml:space="preserve">appears.  Traces of ethyl alcohol in solutions are detected</w:t></w:r>
</w:p>
<w:p>
<w:pPr><w:pStyle w:val="Normal"/></w:pPr>
<w:r><w:t xml:space="preserve">and estimated by oxidation to acetaldehyde, or by conversion</w:t></w:r>
</w:p>
<w:p>
<w:pPr><w:pStyle w:val="Normal"/></w:pPr>
<w:r><w:t xml:space="preserve">into iodoform by warming with iodine and potassium hydroxide.</w:t></w:r>
</w:p>
<w:p>
<w:pPr><w:pStyle w:val="Normal"/></w:pPr>
<w:r><w:t xml:space="preserve">An alternative method consists in converting it into ethyl</w:t></w:r>
</w:p>
<w:p>
<w:pPr><w:pStyle w:val="Normal"/></w:pPr>
<w:r><w:t xml:space="preserve">benzoate by shaking with benzoyl chloride and caustic soda.</w:t></w:r>
</w:p>
<w:p>
<w:pPr><w:pStyle w:val="Normal"/></w:pPr>
<w:r><w:t xml:space="preserve">Alcohol is extensively employed as a solvent; in fact,</w:t></w:r>
</w:p>
<w:p>
<w:pPr><w:pStyle w:val="Normal"/></w:pPr>
<w:r><w:t xml:space="preserve">this constitutes one of its most important industrial</w:t></w:r>
</w:p>
<w:p>
<w:pPr><w:pStyle w:val="Normal"/></w:pPr>
<w:r><w:t xml:space="preserve">applications.  It dissolves most organic compounds, resins,</w:t></w:r>
</w:p>
<w:p>
<w:pPr><w:pStyle w:val="Normal"/></w:pPr>
<w:r><w:t xml:space="preserve">hydrocarbons, fatty acids and many metallic salts, sometimes</w:t></w:r>
</w:p>
<w:p>
<w:pPr><w:pStyle w:val="Normal"/></w:pPr>
<w:r><w:t xml:space="preserve">forming, in the latter case, crystalline compounds in which</w:t></w:r>
</w:p>
<w:p>
<w:pPr><w:pStyle w:val="Normal"/></w:pPr>
<w:r><w:t xml:space="preserve">the ethyl alcohol plays a role similar to that of water of</w:t></w:r>
</w:p>
<w:p>
<w:pPr><w:pStyle w:val="Normal"/></w:pPr>
<w:r><w:t xml:space="preserve">crystallization.  This fact was first noticed by T. Graham, and,</w:t></w:r>
</w:p>
<w:p>
<w:pPr><w:pStyle w:val="Normal"/></w:pPr>
<w:r><w:t xml:space="preserve">although it was at first contradicted, its truth was subsequently</w:t></w:r>
</w:p>
<w:p>
<w:pPr><w:pStyle w:val="Normal"/></w:pPr>
<w:r><w:t xml:space="preserve">confirmed.  In general, gases dissolve in it more readily</w:t></w:r>
</w:p>
<w:p>
<w:pPr><w:pStyle w:val="Normal"/></w:pPr>
<w:r><w:t xml:space="preserve">than in water; 100 volumes of alcohol dissolve 7 volumes of</w:t></w:r>
</w:p>
<w:p>
<w:pPr><w:pStyle w:val="Normal"/></w:pPr>
<w:r><w:t xml:space="preserve">hydrogen, 25 volumes of oxygen and 16 volumes of nitrogen.</w:t></w:r>
</w:p>
<w:p>
<w:pPr><w:pStyle w:val="Normal"/></w:pPr>
<w:r><w:t xml:space="preserve">Reactions.</w:t></w:r>
</w:p>
<w:p>
<w:pPr><w:pStyle w:val="Normal"/></w:pPr>
<w:r><w:t xml:space="preserve">Potassium and sodium readily dissolve in ethyl alcohol</w:t></w:r>
</w:p>
<w:p>
<w:pPr><w:pStyle w:val="Normal"/></w:pPr>
<w:r><w:t xml:space="preserve">with the production of alcoholates of the formula C2 H5</w:t></w:r>
</w:p>
<w:p>
<w:pPr><w:pStyle w:val="Normal"/></w:pPr>
<w:r><w:t xml:space="preserve">OK(Na).  These are voluminous white powders.  Sulphuric acid</w:t></w:r>
</w:p>
<w:p>
<w:pPr><w:pStyle w:val="Normal"/></w:pPr>
<w:r><w:t xml:space="preserve">converts it into ethyl sulphuric acid (see ETHER, and sulphur</w:t></w:r>
</w:p>
<w:p>
<w:pPr><w:pStyle w:val="Normal"/></w:pPr>
<w:r><w:t xml:space="preserve">trioxide gives carbyl sulphate.  The phosphorous haloids</w:t></w:r>
</w:p>
<w:p>
<w:pPr><w:pStyle w:val="Normal"/></w:pPr>
<w:r><w:t xml:space="preserve">give the corresponding ethyl haloid.  Ethyl chloride (from</w:t></w:r>
</w:p>
<w:p>
<w:pPr><w:pStyle w:val="Normal"/></w:pPr>
<w:r><w:t xml:space="preserve">the phosphorus chlorides and alcohol) is an ethereal liquid</w:t></w:r>
</w:p>
<w:p>
<w:pPr><w:pStyle w:val="Normal"/></w:pPr>
<w:r><w:t xml:space="preserve">boiling at 12.5 deg.  C., soluble in alcohol, but sparingly so in</w:t></w:r>
</w:p>
<w:p>
<w:pPr><w:pStyle w:val="Normal"/></w:pPr>
<w:r><w:t xml:space="preserve">water.  Oxidation of ethyl alcohol gives acetaldehyde</w:t></w:r>
</w:p>
<w:p>
<w:pPr><w:pStyle w:val="Normal"/></w:pPr>
<w:r><w:t xml:space="preserve">and acetic acid.  Chlorine oxidizes it to acetaldehyde,</w:t></w:r>
</w:p>
<w:p>
<w:pPr><w:pStyle w:val="Normal"/></w:pPr>
<w:r><w:t xml:space="preserve">and under certain conditions chloral (q.v.) is formed.</w:t></w:r>
</w:p>
<w:p>
<w:pPr><w:pStyle w:val="Normal"/></w:pPr>
<w:r><w:t xml:space="preserve">Industrial alcohol.</w:t></w:r>
</w:p>
<w:p>
<w:pPr><w:pStyle w:val="Normal"/></w:pPr>
<w:r><w:t xml:space="preserve">In almost all countries heavy taxes are levied on manufactured</w:t></w:r>
</w:p>
<w:p>
<w:pPr><w:pStyle w:val="Normal"/></w:pPr>
<w:r><w:t xml:space="preserve">alcohol mainly as a source of revenue.  In the United Kingdom</w:t></w:r>
</w:p>
<w:p>
<w:pPr><w:pStyle w:val="Normal"/></w:pPr>
<w:r><w:t xml:space="preserve">the excise duty is eleven shillings per proof gallon of alcohol,</w:t></w:r>
</w:p>
<w:p>
<w:pPr><w:pStyle w:val="Normal"/></w:pPr>
<w:r><w:t xml:space="preserve">while the customs duty is eleven shillings and fivepence; the</w:t></w:r>
</w:p>
<w:p>
<w:pPr><w:pStyle w:val="Normal"/></w:pPr>
<w:r><w:t xml:space="preserve">magnitude of these imposts may be readily understood when one</w:t></w:r>
</w:p>
<w:p>
<w:pPr><w:pStyle w:val="Normal"/></w:pPr>
<w:r><w:t xml:space="preserve">remembers that the proof gallon costs only about sevenpence to</w:t></w:r>
</w:p>
<w:p>
<w:pPr><w:pStyle w:val="Normal"/></w:pPr>
<w:r><w:t xml:space="preserve">manufacture.  The great importance of alcohol in the arts has</w:t></w:r>
</w:p>
<w:p>
<w:pPr><w:pStyle w:val="Normal"/></w:pPr>
<w:r><w:t xml:space="preserve">necessitated the introduction of a duty-free product which is</w:t></w:r>
</w:p>
<w:p>
<w:pPr><w:pStyle w:val="Normal"/></w:pPr>
<w:r><w:t xml:space="preserve">suitable for most industrial purposes, and at the same time</w:t></w:r>
</w:p>
<w:p>
<w:pPr><w:pStyle w:val="Normal"/></w:pPr>
<w:r><w:t xml:space="preserve">is perfectly unfit for beverages or internal application.</w:t></w:r>
</w:p>
<w:p>
<w:pPr><w:pStyle w:val="Normal"/></w:pPr>
<w:r><w:t xml:space="preserve">Methylated spirit.</w:t></w:r>
</w:p>
<w:p>
<w:pPr><w:pStyle w:val="Normal"/></w:pPr>
<w:r><w:t xml:space="preserve">In the United Kingdom this ``denaturized&apos;&apos; alcohol is known</w:t></w:r>
</w:p>
<w:p>
<w:pPr><w:pStyle w:val="Normal"/></w:pPr>
<w:r><w:t xml:space="preserve">as methylated spirit as a distinction from pure alcohol or</w:t></w:r>
</w:p>
<w:p>
<w:pPr><w:pStyle w:val="Normal"/></w:pPr>
<w:r><w:t xml:space="preserve">``spirits of wine.&apos;&apos; It was first enacted in 1855 that methylated</w:t></w:r>
</w:p>
<w:p>
<w:pPr><w:pStyle w:val="Normal"/></w:pPr>
<w:r><w:t xml:space="preserve">spirit, a specific mixture of pure alcohol and wood- naphtha,</w:t></w:r>
</w:p>
<w:p>
<w:pPr><w:pStyle w:val="Normal"/></w:pPr>
<w:r><w:t xml:space="preserve">should be duty-free; the present law is to be found in the</w:t></w:r>
</w:p>
<w:p>
<w:pPr><w:pStyle w:val="Normal"/></w:pPr>
<w:r><w:t xml:space="preserve">Customs and Inland Revenue Act of 1890, and the Finance Act</w:t></w:r>
</w:p>
<w:p>
<w:pPr><w:pStyle w:val="Normal"/></w:pPr>
<w:r><w:t xml:space="preserve">(sect. 8) of 1902.  From 1858 to 1861 methylated spirit was</w:t></w:r>
</w:p>
<w:p>
<w:pPr><w:pStyle w:val="Normal"/></w:pPr>
<w:r><w:t xml:space="preserve">duty-free when it was required for manufacturing processes,</w:t></w:r>
</w:p>
<w:p>
<w:pPr><w:pStyle w:val="Normal"/></w:pPr>
<w:r><w:t xml:space="preserve">and the methylation or ``denaturizing&apos;&apos; was carried out in</w:t></w:r>
</w:p>
<w:p>
<w:pPr><w:pStyle w:val="Normal"/></w:pPr>
<w:r><w:t xml:space="preserve">accordance with a prescribed process.  During the next three</w:t></w:r>
</w:p>
<w:p>
<w:pPr><w:pStyle w:val="Normal"/></w:pPr>
<w:r><w:t xml:space="preserve">decades (1861-1891) the law was extended, and methylated spirit</w:t></w:r>
</w:p>
<w:p>
<w:pPr><w:pStyle w:val="Normal"/></w:pPr>
<w:r><w:t xml:space="preserve">was duty-free for all purposes except for use as beverages and</w:t></w:r>
</w:p>
<w:p>
<w:pPr><w:pStyle w:val="Normal"/></w:pPr>
<w:r><w:t xml:space="preserve">internal medicinal applications.  This spirit (``unmineralized</w:t></w:r>
</w:p>
<w:p>
<w:pPr><w:pStyle w:val="Normal"/></w:pPr>
<w:r><w:t xml:space="preserve">methylated spirit&apos;&apos;) consisted of 90 parts of alcohol of</w:t></w:r>
</w:p>
<w:p>
<w:pPr><w:pStyle w:val="Normal"/></w:pPr>
<w:r><w:t xml:space="preserve">60-66 over-proof (91-95% of pure alcohol) and 10 parts of</w:t></w:r>
</w:p>
<w:p>
<w:pPr><w:pStyle w:val="Normal"/></w:pPr>
<w:r><w:t xml:space="preserve">wood-naphtha.  It was found, however, that certain classes</w:t></w:r>
</w:p>
<w:p>
<w:pPr><w:pStyle w:val="Normal"/></w:pPr>
<w:r><w:t xml:space="preserve">were addicted to drinking this mixture, and since 1891 the</w:t></w:r>
</w:p>
<w:p>
<w:pPr><w:pStyle w:val="Normal"/></w:pPr>
<w:r><w:t xml:space="preserve">sale of such spirit has been confined to manufacturers who</w:t></w:r>
</w:p>
<w:p>
<w:pPr><w:pStyle w:val="Normal"/></w:pPr>
<w:r><w:t xml:space="preserve">must purchase it in bulk from the ``methylators.&apos;&apos; For retail</w:t></w:r>
</w:p>
<w:p>
<w:pPr><w:pStyle w:val="Normal"/></w:pPr>
<w:r><w:t xml:space="preserve">purposes the ``ordinary&apos;&apos; methylated spirit is mixed with .357%</w:t></w:r>
</w:p>
<w:p>
<w:pPr><w:pStyle w:val="Normal"/></w:pPr>
<w:r><w:t xml:space="preserve">of mineral naphtha, which has the effect of rendering it quite</w:t></w:r>
</w:p>
<w:p>
<w:pPr><w:pStyle w:val="Normal"/></w:pPr>
<w:r><w:t xml:space="preserve">undrinkable.  The Finance Act of 1902 allows a manufacturer to</w:t></w:r>
</w:p>
<w:p>
<w:pPr><w:pStyle w:val="Normal"/></w:pPr>
<w:r><w:t xml:space="preserve">obtain a license which permits the use of duty-free alcohol,</w:t></w:r>
</w:p>
<w:p>
<w:pPr><w:pStyle w:val="Normal"/></w:pPr>
<w:r><w:t xml:space="preserve">if he can show that such alcohol is absolutely essential for</w:t></w:r>
</w:p>
<w:p>
<w:pPr><w:pStyle w:val="Normal"/></w:pPr>
<w:r><w:t xml:space="preserve">the success of his business, and that methylated spirit is</w:t></w:r>
</w:p>
<w:p>
<w:pPr><w:pStyle w:val="Normal"/></w:pPr>
<w:r><w:t xml:space="preserve">unsuitable.  Notwithstanding this permission there have</w:t></w:r>
</w:p>
<w:p>
<w:pPr><w:pStyle w:val="Normal"/></w:pPr>
<w:r><w:t xml:space="preserve">been many agitations on the part of chemical manufacturers</w:t></w:r>
</w:p>
<w:p>
<w:pPr><w:pStyle w:val="Normal"/></w:pPr>
<w:r><w:t xml:space="preserve">to obtain a less restricted use of absolute alcohol, and</w:t></w:r>
</w:p>
<w:p>
<w:pPr><w:pStyle w:val="Normal"/></w:pPr>
<w:r><w:t xml:space="preserve">in 1905 an Industrial Alcohol Committee was appointed to</w:t></w:r>
</w:p>
<w:p>
<w:pPr><w:pStyle w:val="Normal"/></w:pPr>
<w:r><w:t xml:space="preserve">receive evidence and report as to whether any modification</w:t></w:r>
</w:p>
<w:p>
<w:pPr><w:pStyle w:val="Normal"/></w:pPr>
<w:r><w:t xml:space="preserve">of the present law was advisable.  In the United States</w:t></w:r>
</w:p>
<w:p>
<w:pPr><w:pStyle w:val="Normal"/></w:pPr>
<w:r><w:t xml:space="preserve">the same question was considered in 1896 by a Joint Select</w:t></w:r>
</w:p>
<w:p>
<w:pPr><w:pStyle w:val="Normal"/></w:pPr>
<w:r><w:t xml:space="preserve">Committee on the use of alcohol in the manufactures and arts.</w:t></w:r>
</w:p>
<w:p>
<w:pPr><w:pStyle w:val="Normal"/></w:pPr>
<w:r><w:t xml:space="preserve">Reference should be made to the reports of these committees</w:t></w:r>
</w:p>
<w:p>
<w:pPr><w:pStyle w:val="Normal"/></w:pPr>
<w:r><w:t xml:space="preserve">for a full account of the use, manufacture and statistics</w:t></w:r>
</w:p>
<w:p>
<w:pPr><w:pStyle w:val="Normal"/></w:pPr>
<w:r><w:t xml:space="preserve">of ``denaturized&apos;&apos; spirits in various European countries.</w:t></w:r>
</w:p>
<w:p>
<w:pPr><w:pStyle w:val="Normal"/></w:pPr>
<w:r><w:t xml:space="preserve">In Germany, the use of duty-free spirit is only allowed to state</w:t></w:r>
</w:p>
<w:p>
<w:pPr><w:pStyle w:val="Normal"/></w:pPr>
<w:r><w:t xml:space="preserve">and municipal hospitals, and state scientific institutions,</w:t></w:r>
</w:p>
<w:p>
<w:pPr><w:pStyle w:val="Normal"/></w:pPr>
<w:r><w:t xml:space="preserve">and for the manufacture of fulminates, fuzes and smokeless</w:t></w:r>
</w:p>
<w:p>
<w:pPr><w:pStyle w:val="Normal"/></w:pPr>
<w:r><w:t xml:space="preserve">powders.  The duty-free ``denaturized&apos;&apos; spirits may be</w:t></w:r>
</w:p>
<w:p>
<w:pPr><w:pStyle w:val="Normal"/></w:pPr>
<w:r><w:t xml:space="preserve">divided into two groups--``completely denaturized&apos;&apos; and</w:t></w:r>
</w:p>
<w:p>
<w:pPr><w:pStyle w:val="Normal"/></w:pPr>
<w:r><w:t xml:space="preserve">``incompletely denaturized.&apos;&apos; In the first category there</w:t></w:r>
</w:p>
<w:p>
<w:pPr><w:pStyle w:val="Normal"/></w:pPr>
<w:r><w:t xml:space="preserve">are two varieties:--(1) A mixture of 100 litres of spirit and</w:t></w:r>
</w:p>
<w:p>
<w:pPr><w:pStyle w:val="Normal"/></w:pPr>
<w:r><w:t xml:space="preserve">2 1/2 litres of a mixture of 4 parts of wood-naphtha and 1 of</w:t></w:r>
</w:p>
<w:p>
<w:pPr><w:pStyle w:val="Normal"/></w:pPr>
<w:r><w:t xml:space="preserve">pyridine bases; this spirit, the use of which is practically</w:t></w:r>
</w:p>
<w:p>
<w:pPr><w:pStyle w:val="Normal"/></w:pPr>
<w:r><w:t xml:space="preserve">limited to heating and lighting purposes, may be mixed with 50</w:t></w:r>
</w:p>
<w:p>
<w:pPr><w:pStyle w:val="Normal"/></w:pPr>
<w:r><w:t xml:space="preserve">grs. of lavender or rosemary, in order to destroy the noxious</w:t></w:r>
</w:p>
<w:p>
<w:pPr><w:pStyle w:val="Normal"/></w:pPr>
<w:r><w:t xml:space="preserve">odour of the pyridine bases. (2) A mixture of 100 litres of</w:t></w:r>
</w:p>
<w:p>
<w:pPr><w:pStyle w:val="Normal"/></w:pPr>
<w:r><w:t xml:space="preserve">spirit, 1 1/4 litres of the naphtha-pyridine mixture described</w:t></w:r>
</w:p>
<w:p>
<w:pPr><w:pStyle w:val="Normal"/></w:pPr>
<w:r><w:t xml:space="preserve">above,  1/4 litre of methyl violet solution, and from 2 to</w:t></w:r>
</w:p>
<w:p>
<w:pPr><w:pStyle w:val="Normal"/></w:pPr>
<w:r><w:t xml:space="preserve">20 litres of benzol; this fluid is limited to combustion</w:t></w:r>
</w:p>
<w:p>
<w:pPr><w:pStyle w:val="Normal"/></w:pPr>
<w:r><w:t xml:space="preserve">in motors and agricultural engines.  The second category,</w:t></w:r>
</w:p>
<w:p>
<w:pPr><w:pStyle w:val="Normal"/></w:pPr>
<w:r><w:t xml:space="preserve">or ``incompletely denaturized&apos;&apos; spirits, include numerous</w:t></w:r>
</w:p>
<w:p>
<w:pPr><w:pStyle w:val="Normal"/></w:pPr>
<w:r><w:t xml:space="preserve">mixtures.  The ``general&apos;&apos; mixture consists of 100 litres of</w:t></w:r>
</w:p>
<w:p>
<w:pPr><w:pStyle w:val="Normal"/></w:pPr>
<w:r><w:t xml:space="preserve">spirit, and 5 litres of wood spirit or  1/2 litre of pyridine.</w:t></w:r>
</w:p>
<w:p>
<w:pPr><w:pStyle w:val="Normal"/></w:pPr>
<w:r><w:t xml:space="preserve">Of the ``particular&apos;&apos; varieties, we can only notice those used</w:t></w:r>
</w:p>
<w:p>
<w:pPr><w:pStyle w:val="Normal"/></w:pPr>
<w:r><w:t xml:space="preserve">in the colour industry.  These consist of 100 litres of spirit</w:t></w:r>
</w:p>
<w:p>
<w:pPr><w:pStyle w:val="Normal"/></w:pPr>
<w:r><w:t xml:space="preserve">mixed with either 10 litres of sulphuric ether, or 1 litre of</w:t></w:r>
</w:p>
<w:p>
<w:pPr><w:pStyle w:val="Normal"/></w:pPr>
<w:r><w:t xml:space="preserve">benzol, or  1/2 litre of turpentine, or .025 litre of animal oil.</w:t></w:r>
</w:p>
<w:p>
<w:pPr><w:pStyle w:val="Normal"/></w:pPr>
<w:r><w:t xml:space="preserve">The German regulations are apparently based on a keen appreciation</w:t></w:r>
</w:p>
<w:p>
<w:pPr><w:pStyle w:val="Normal"/></w:pPr>
<w:r><w:t xml:space="preserve">of the fact that while one particular denaturizing agent may</w:t></w:r>
</w:p>
<w:p>
<w:pPr><w:pStyle w:val="Normal"/></w:pPr>
<w:r><w:t xml:space="preserve">have little or no effect on one industry, yet it would be</w:t></w:r>
</w:p>
<w:p>
<w:pPr><w:pStyle w:val="Normal"/></w:pPr>
<w:r><w:t xml:space="preserve">quite fatal to the success of another; there is consequently</w:t></w:r>
</w:p>
<w:p>
<w:pPr><w:pStyle w:val="Normal"/></w:pPr>
<w:r><w:t xml:space="preserve">a great choice of denaturizing agents, and in certain cases</w:t></w:r>
</w:p>
<w:p>
<w:pPr><w:pStyle w:val="Normal"/></w:pPr>
<w:r><w:t xml:space="preserve">it is sufficient to mix the alcohol with a reagent necessary</w:t></w:r>
</w:p>
<w:p>
<w:pPr><w:pStyle w:val="Normal"/></w:pPr>
<w:r><w:t xml:space="preserve">for the purpose in hand, or even with a certain amount</w:t></w:r>
</w:p>
<w:p>
<w:pPr><w:pStyle w:val="Normal"/></w:pPr>
<w:r><w:t xml:space="preserve">of the final product, it being only necessary to satisfy</w:t></w:r>
</w:p>
<w:p>
<w:pPr><w:pStyle w:val="Normal"/></w:pPr>
<w:r><w:t xml:space="preserve">the state that the spirit is not available as a beverage.</w:t></w:r>
</w:p>
<w:p>
<w:pPr><w:pStyle w:val="Normal"/></w:pPr>
<w:r><w:t xml:space="preserve">In France, the general denaturizing agent is wood-spirit of</w:t></w:r>
</w:p>
<w:p>
<w:pPr><w:pStyle w:val="Normal"/></w:pPr>
<w:r><w:t xml:space="preserve">at least 58 over-proof, and containing 25% of acetone and</w:t></w:r>
</w:p>
<w:p>
<w:pPr><w:pStyle w:val="Normal"/></w:pPr>
<w:r><w:t xml:space="preserve">2.5% of ``impurites pyrogenees&apos;&apos;; 10 litres of this spirit</w:t></w:r>
</w:p>
<w:p>
<w:pPr><w:pStyle w:val="Normal"/></w:pPr>
<w:r><w:t xml:space="preserve">denaturizes 100 litres of alcohol.  This mixture is supplied</w:t></w:r>
</w:p>
<w:p>
<w:pPr><w:pStyle w:val="Normal"/></w:pPr>
<w:r><w:t xml:space="preserve">to manufacturers and corresponds to the British unmineralized</w:t></w:r>
</w:p>
<w:p>
<w:pPr><w:pStyle w:val="Normal"/></w:pPr>
<w:r><w:t xml:space="preserve">methylated spirit; but the regulations are more stringent.  When</w:t></w:r>
</w:p>
<w:p>
<w:pPr><w:pStyle w:val="Normal"/></w:pPr>
<w:r><w:t xml:space="preserve">sold for lighting and heating purposes, it is further admixed</w:t></w:r>
</w:p>
<w:p>
<w:pPr><w:pStyle w:val="Normal"/></w:pPr>
<w:r><w:t xml:space="preserve">with 0.5% of heavy benzene boiling at 150 deg. -200 deg.  C. Provisions</w:t></w:r>
</w:p>
<w:p>
<w:pPr><w:pStyle w:val="Normal"/></w:pPr>
<w:r><w:t xml:space="preserve">are also made for special denaturizing processes as in Germany.</w:t></w:r>
</w:p>
<w:p>
<w:pPr><w:pStyle w:val="Normal"/></w:pPr>
<w:r><w:t xml:space="preserve">In America the internal revenue tax on denaturized alcohol</w:t></w:r>
</w:p>
<w:p>
<w:pPr><w:pStyle w:val="Normal"/></w:pPr>
<w:r><w:t xml:space="preserve">(formerly duty-free only to scientific institutions)</w:t></w:r>
</w:p>
<w:p>
<w:pPr><w:pStyle w:val="Normal"/></w:pPr>
<w:r><w:t xml:space="preserve">was removed by Congress in 1906 (act of June 7th).</w:t></w:r>
</w:p>
<w:p>
<w:pPr><w:pStyle w:val="Normal"/></w:pPr>
<w:r><w:t xml:space="preserve">Pharmacology, Toxicology and Therapeutics of Alcohol.--</w:t></w:r>
</w:p>
<w:p>
<w:pPr><w:pStyle w:val="Normal"/></w:pPr>
<w:r><w:t xml:space="preserve">Alcohol is of great medicinal value as a solvent, being</w:t></w:r>
</w:p>
<w:p>
<w:pPr><w:pStyle w:val="Normal"/></w:pPr>
<w:r><w:t xml:space="preserve">used to form solutions of alkaloids, resins, volatile oils,</w:t></w:r>
</w:p>
<w:p>
<w:pPr><w:pStyle w:val="Normal"/></w:pPr>
<w:r><w:t xml:space="preserve">iodoform, &amp;c. In strength of about 10% and upwards it is an</w:t></w:r>
</w:p>
<w:p>
<w:pPr><w:pStyle w:val="Normal"/></w:pPr>
<w:r><w:t xml:space="preserve">antiseptic.  If applied to the skin it rapidly evaporates,</w:t></w:r>
</w:p>
<w:p>
<w:pPr><w:pStyle w:val="Normal"/></w:pPr>
<w:r><w:t xml:space="preserve">thereby cooling the skin and diminishing the amount of sweat</w:t></w:r>
</w:p>
<w:p>
<w:pPr><w:pStyle w:val="Normal"/></w:pPr>
<w:r><w:t xml:space="preserve">excreted.  This refrigerant and anhidrotic action is employed to</w:t></w:r>
</w:p>
<w:p>
<w:pPr><w:pStyle w:val="Normal"/></w:pPr>
<w:r><w:t xml:space="preserve">soothe many forms of headache by bathing the forehead with eau de</w:t></w:r>
</w:p>
<w:p>
<w:pPr><w:pStyle w:val="Normal"/></w:pPr>
<w:r><w:t xml:space="preserve">Cologne.  If, on the other hand, the alcohol be rubbed into the</w:t></w:r>
</w:p>
<w:p>
<w:pPr><w:pStyle w:val="Normal"/></w:pPr>
<w:r><w:t xml:space="preserve">skin, or if its evaporation be prevented--as by a watch-glass--it</w:t></w:r>
</w:p>
<w:p>
<w:pPr><w:pStyle w:val="Normal"/></w:pPr>
<w:r><w:t xml:space="preserve">absorbs water from the tissues and thus hardens them.</w:t></w:r>
</w:p>
<w:p>
<w:pPr><w:pStyle w:val="Normal"/></w:pPr>
<w:r><w:t xml:space="preserve">Thoroughly rubbed into the skin alcohol dilates the blood-</w:t></w:r>
</w:p>
<w:p>
<w:pPr><w:pStyle w:val="Normal"/></w:pPr>
<w:r><w:t xml:space="preserve">vessels and produces a mild counter-irritant effect.  Many</w:t></w:r>
</w:p>
<w:p>
<w:pPr><w:pStyle w:val="Normal"/></w:pPr>
<w:r><w:t xml:space="preserve">alcoholic liniments are therefore employed for the relief of</w:t></w:r>
</w:p>
<w:p>
<w:pPr><w:pStyle w:val="Normal"/></w:pPr>
<w:r><w:t xml:space="preserve">pain, especially muscular pains, as in lumbago and other forms</w:t></w:r>
</w:p>
<w:p>
<w:pPr><w:pStyle w:val="Normal"/></w:pPr>
<w:r><w:t xml:space="preserve">of so-called ``muscular rheumatism.&apos;&apos; Given internally in</w:t></w:r>
</w:p>
<w:p>
<w:pPr><w:pStyle w:val="Normal"/></w:pPr>
<w:r><w:t xml:space="preserve">small quantities and in sufficient dilution, alcohol causes</w:t></w:r>
</w:p>
<w:p>
<w:pPr><w:pStyle w:val="Normal"/></w:pPr>
<w:r><w:t xml:space="preserve">dilatation of the gastric blood-vessels, increased secretion</w:t></w:r>
</w:p>
<w:p>
<w:pPr><w:pStyle w:val="Normal"/></w:pPr>
<w:r><w:t xml:space="preserve">of gastric juice, and greater activity in the movements of</w:t></w:r>
</w:p>
<w:p>
<w:pPr><w:pStyle w:val="Normal"/></w:pPr>
<w:r><w:t xml:space="preserve">the muscular layers in the wall of the stomach.  It also tends</w:t></w:r>
</w:p>
<w:p>
<w:pPr><w:pStyle w:val="Normal"/></w:pPr>
<w:r><w:t xml:space="preserve">to lessen the sensibility of the stomach and so may relieve</w:t></w:r>
</w:p>
<w:p>
<w:pPr><w:pStyle w:val="Normal"/></w:pPr>
<w:r><w:t xml:space="preserve">gastric pain.  In a 50% solution or stronger--as when neat</w:t></w:r>
</w:p>
<w:p>
<w:pPr><w:pStyle w:val="Normal"/></w:pPr>
<w:r><w:t xml:space="preserve">whisky is taken--alcohol precipitates the pepsin which is</w:t></w:r>
</w:p>
<w:p>
<w:pPr><w:pStyle w:val="Normal"/></w:pPr>
<w:r><w:t xml:space="preserve">an essential of gastric digestion, and thereby arrests this</w:t></w:r>
</w:p>
<w:p>
<w:pPr><w:pStyle w:val="Normal"/></w:pPr>
<w:r><w:t xml:space="preserve">process.  The desirable effects produced by alcohol on</w:t></w:r>
</w:p>
<w:p>
<w:pPr><w:pStyle w:val="Normal"/></w:pPr>
<w:r><w:t xml:space="preserve">the stomach are worth obtaining only in cases of acute</w:t></w:r>
</w:p>
<w:p>
<w:pPr><w:pStyle w:val="Normal"/></w:pPr>
<w:r><w:t xml:space="preserve">diseases.  In chronic disease and in health the use of</w:t></w:r>
</w:p>
<w:p>
<w:pPr><w:pStyle w:val="Normal"/></w:pPr>
<w:r><w:t xml:space="preserve">alcohol as an aid to digestion is without the support of</w:t></w:r>
</w:p>
<w:p>
<w:pPr><w:pStyle w:val="Normal"/></w:pPr>
<w:r><w:t xml:space="preserve">clinical or laboratory experience, the beneficial action</w:t></w:r>
</w:p>
<w:p>
<w:pPr><w:pStyle w:val="Normal"/></w:pPr>
<w:r><w:t xml:space="preserve">being at least neutralized by undesirable effects produced</w:t></w:r>
</w:p>
<w:p>
<w:pPr><w:pStyle w:val="Normal"/></w:pPr>
<w:r><w:t xml:space="preserve">elsewhere.  The continued use of large doses of alcohol produces</w:t></w:r>
</w:p>
<w:p>
<w:pPr><w:pStyle w:val="Normal"/></w:pPr>
<w:r><w:t xml:space="preserve">chronic gastritis, in which the continued irritation has led</w:t></w:r>
</w:p>
<w:p>
<w:pPr><w:pStyle w:val="Normal"/></w:pPr>
<w:r><w:t xml:space="preserve">to overgrowth of connective tissue, atrophy of the gastric</w:t></w:r>
</w:p>
<w:p>
<w:pPr><w:pStyle w:val="Normal"/></w:pPr>
<w:r><w:t xml:space="preserve">glands and permanent cessation of the gastric functions.</w:t></w:r>
</w:p>
<w:p>
<w:pPr><w:pStyle w:val="Normal"/></w:pPr>
<w:r><w:t xml:space="preserve">A single dose of concentrated alcohol (e.g. brandy) produces</w:t></w:r>
</w:p>
<w:p>
<w:pPr><w:pStyle w:val="Normal"/></w:pPr>
<w:r><w:t xml:space="preserve">very valuable reflex effects, the heart beating more rapidly and</w:t></w:r>
</w:p>
<w:p>
<w:pPr><w:pStyle w:val="Normal"/></w:pPr>
<w:r><w:t xml:space="preserve">forcibly, and the blood-pressure rising.  Hence the immediately</w:t></w:r>
</w:p>
<w:p>
<w:pPr><w:pStyle w:val="Normal"/></w:pPr>
<w:r><w:t xml:space="preserve">beneficial effect produced in the cases of ``fainting&apos;&apos; or</w:t></w:r>
</w:p>
<w:p>
<w:pPr><w:pStyle w:val="Normal"/></w:pPr>
<w:r><w:t xml:space="preserve">syncope.  After absorption, which is very rapid, alcohol</w:t></w:r>
</w:p>
<w:p>
<w:pPr><w:pStyle w:val="Normal"/></w:pPr>
<w:r><w:t xml:space="preserve">exerts a marked action upon the blood.  The oxygen contained</w:t></w:r>
</w:p>
<w:p>
<w:pPr><w:pStyle w:val="Normal"/></w:pPr>
<w:r><w:t xml:space="preserve">in that fluid, and destined for consumption by the tissues,</w:t></w:r>
</w:p>
<w:p>
<w:pPr><w:pStyle w:val="Normal"/></w:pPr>
<w:r><w:t xml:space="preserve">is retained by the influence of alcohol in its combination</w:t></w:r>
</w:p>
<w:p>
<w:pPr><w:pStyle w:val="Normal"/></w:pPr>
<w:r><w:t xml:space="preserve">with the haemoglobin or colouring matter of the red blood</w:t></w:r>
</w:p>
<w:p>
<w:pPr><w:pStyle w:val="Normal"/></w:pPr>
<w:r><w:t xml:space="preserve">corpuscles.  Hence the diminished oxidation of the tissues,</w:t></w:r>
</w:p>
<w:p>
<w:pPr><w:pStyle w:val="Normal"/></w:pPr>
<w:r><w:t xml:space="preserve">which leads to the accumulation of unused fat and so to the</w:t></w:r>
</w:p>
<w:p>
<w:pPr><w:pStyle w:val="Normal"/></w:pPr>
<w:r><w:t xml:space="preserve">obesity which is so often seen in those who habitually take</w:t></w:r>
</w:p>
<w:p>
<w:pPr><w:pStyle w:val="Normal"/></w:pPr>
<w:r><w:t xml:space="preserve">much alcohol.  The drug exerts a noteworthy action upon the</w:t></w:r>
</w:p>
<w:p>
<w:pPr><w:pStyle w:val="Normal"/></w:pPr>
<w:r><w:t xml:space="preserve">body-temperature.  As it dilates the blood-vessels of the</w:t></w:r>
</w:p>
<w:p>
<w:pPr><w:pStyle w:val="Normal"/></w:pPr>
<w:r><w:t xml:space="preserve">skin it increases the subjective sensation of warmth.  The</w:t></w:r>
</w:p>
<w:p>
<w:pPr><w:pStyle w:val="Normal"/></w:pPr>
<w:r><w:t xml:space="preserve">actual consequence, however, is that more heat than before</w:t></w:r>
</w:p>
<w:p>
<w:pPr><w:pStyle w:val="Normal"/></w:pPr>
<w:r><w:t xml:space="preserve">is necessarily lost from the surface of the body.  Alcohol</w:t></w:r>
</w:p>
<w:p>
<w:pPr><w:pStyle w:val="Normal"/></w:pPr>
<w:r><w:t xml:space="preserve">also diminishes the oxidation which is the main source of the</w:t></w:r>
</w:p>
<w:p>
<w:pPr><w:pStyle w:val="Normal"/></w:pPr>
<w:r><w:t xml:space="preserve">body-heat.  It follows that the drug is an antipyretic, and</w:t></w:r>
</w:p>
<w:p>
<w:pPr><w:pStyle w:val="Normal"/></w:pPr>
<w:r><w:t xml:space="preserve">it is hence largely used in fevers as a means of reducing the</w:t></w:r>
</w:p>
<w:p>
<w:pPr><w:pStyle w:val="Normal"/></w:pPr>
<w:r><w:t xml:space="preserve">temperature.  This reduction of the temperature, carried to an</w:t></w:r>
</w:p>
<w:p>
<w:pPr><w:pStyle w:val="Normal"/></w:pPr>
<w:r><w:t xml:space="preserve">undesirable extreme, is the reason why the man who has copiously</w:t></w:r>
</w:p>
<w:p>
<w:pPr><w:pStyle w:val="Normal"/></w:pPr>
<w:r><w:t xml:space="preserve">consumed spirits ``to keep out the cold&apos;&apos; is often visited with</w:t></w:r>
</w:p>
<w:p>
<w:pPr><w:pStyle w:val="Normal"/></w:pPr>
<w:r><w:t xml:space="preserve">pneumonia.  The largest amount of alcohol that can be burnt up</w:t></w:r>
</w:p>
<w:p>
<w:pPr><w:pStyle w:val="Normal"/></w:pPr>
<w:r><w:t xml:space="preserve">within the healthy body in twenty-four hours is 1 1/2 oz., but</w:t></w:r>
</w:p>
<w:p>
<w:pPr><w:pStyle w:val="Normal"/></w:pPr>
<w:r><w:t xml:space="preserve">it must be consumed in great dilution and divided into small</w:t></w:r>
</w:p>
<w:p>
<w:pPr><w:pStyle w:val="Normal"/></w:pPr>
<w:r><w:t xml:space="preserve">doses taken every four hours.  Otherwise the alcohol will for</w:t></w:r>
</w:p>
<w:p>
<w:pPr><w:pStyle w:val="Normal"/></w:pPr>
<w:r><w:t xml:space="preserve">the most part leave the body unused in the urine and the expired</w:t></w:r>
</w:p>
<w:p>
<w:pPr><w:pStyle w:val="Normal"/></w:pPr>
<w:r><w:t xml:space="preserve">air.  In fever the case is different.  The raised temperature</w:t></w:r>
</w:p>
<w:p>
<w:pPr><w:pStyle w:val="Normal"/></w:pPr>
<w:r><w:t xml:space="preserve">appears to facilitate the oxidation of the substance, so that</w:t></w:r>
</w:p>
<w:p>
<w:pPr><w:pStyle w:val="Normal"/></w:pPr>
<w:r><w:t xml:space="preserve">quantiries may be taken and completely utilized which would</w:t></w:r>
</w:p>
<w:p>
<w:pPr><w:pStyle w:val="Normal"/></w:pPr>
<w:r><w:t xml:space="preserve">completely intoxicate the individual had his temperature been</w:t></w:r>
</w:p>
<w:p>
<w:pPr><w:pStyle w:val="Normal"/></w:pPr>
<w:r><w:t xml:space="preserve">normal.  It follows that alcohol is a food in fever, and its</w:t></w:r>
</w:p>
<w:p>
<w:pPr><w:pStyle w:val="Normal"/></w:pPr>
<w:r><w:t xml:space="preserve">value in this regard is greatly increased by the fact that</w:t></w:r>
</w:p>
<w:p>
<w:pPr><w:pStyle w:val="Normal"/></w:pPr>
<w:r><w:t xml:space="preserve">it requires no primary digestion, but passes without changes,</w:t></w:r>
</w:p>
<w:p>
<w:pPr><w:pStyle w:val="Normal"/></w:pPr>
<w:r><w:t xml:space="preserve">and without needing change, to the tissues which are to use</w:t></w:r>
</w:p>
<w:p>
<w:pPr><w:pStyle w:val="Normal"/></w:pPr>
<w:r><w:t xml:space="preserve">it.  According to Sir Thomas Fraser nothing else can compete</w:t></w:r>
</w:p>
<w:p>
<w:pPr><w:pStyle w:val="Normal"/></w:pPr>
<w:r><w:t xml:space="preserve">with alcohol as a food in desperate febrile cases, and to</w:t></w:r>
</w:p>
<w:p>
<w:pPr><w:pStyle w:val="Normal"/></w:pPr>
<w:r><w:t xml:space="preserve">this use must be added its antipyretic power already explained</w:t></w:r>
</w:p>
<w:p>
<w:pPr><w:pStyle w:val="Normal"/></w:pPr>
<w:r><w:t xml:space="preserve">and its action as a soporific.  During its administration in</w:t></w:r>
</w:p>
<w:p>
<w:pPr><w:pStyle w:val="Normal"/></w:pPr>
<w:r><w:t xml:space="preserve">febrile cases the drug must be most carefully watched, as its</w:t></w:r>
</w:p>
<w:p>
<w:pPr><w:pStyle w:val="Normal"/></w:pPr>
<w:r><w:t xml:space="preserve">action may prove deleterious to the nervous system and the</w:t></w:r>
</w:p>
<w:p>
<w:pPr><w:pStyle w:val="Normal"/></w:pPr>
<w:r><w:t xml:space="preserve">circulation in certain classes of patient.  The state of the</w:t></w:r>
</w:p>
<w:p>
<w:pPr><w:pStyle w:val="Normal"/></w:pPr>
<w:r><w:t xml:space="preserve">pulse is the best criterion of the action of alcohol in any</w:t></w:r>
</w:p>
<w:p>
<w:pPr><w:pStyle w:val="Normal"/></w:pPr>
<w:r><w:t xml:space="preserve">given case of fever.  The toxicology of alcohol is treated</w:t></w:r>
</w:p>
<w:p>
<w:pPr><w:pStyle w:val="Normal"/></w:pPr>
<w:r><w:t xml:space="preserve">in other articles.  It includes acute alcoholism (i.e.</w:t></w:r>
</w:p>
<w:p>
<w:pPr><w:pStyle w:val="Normal"/></w:pPr>
<w:r><w:t xml:space="preserve">intoxication), chronic alcoholism, delirium tremens, and</w:t></w:r>
</w:p>
<w:p>
<w:pPr><w:pStyle w:val="Normal"/></w:pPr>
<w:r><w:t xml:space="preserve">all the countless pathological changes--extending to every</w:t></w:r>
</w:p>
<w:p>
<w:pPr><w:pStyle w:val="Normal"/></w:pPr>
<w:r><w:t xml:space="preserve">tissue but the bones, and especially marked in the nervous</w:t></w:r>
</w:p>
<w:p>
<w:pPr><w:pStyle w:val="Normal"/></w:pPr>
<w:r><w:t xml:space="preserve">system-- which alcohol produces. (See DRUNKENNESS: DELIRIUM.)</w:t></w:r>
</w:p>
<w:p>
<w:pPr><w:pStyle w:val="Normal"/></w:pPr>
<w:r><w:t xml:space="preserve">After death the presence of alcohol can be detected in all the body</w:t></w:r>
</w:p>
<w:p>
<w:pPr><w:pStyle w:val="Normal"/></w:pPr>
<w:r><w:t xml:space="preserve">fluids.  Its especial affinity for the nervous system is indicated</w:t></w:r>
</w:p>
<w:p>
<w:pPr><w:pStyle w:val="Normal"/></w:pPr>
<w:r><w:t xml:space="preserve">by the fact that, when all traces of it have disappeared elsewhere,</w:t></w:r>
</w:p>
<w:p>
<w:pPr><w:pStyle w:val="Normal"/></w:pPr>
<w:r><w:t xml:space="preserve">it can still be detected with ease in the cerebro-spinal fluid.</w:t></w:r>
</w:p>
<w:p>
<w:pPr><w:pStyle w:val="Normal"/></w:pPr>
<w:r><w:t xml:space="preserve">ALCOHOLS, in organic chemistry, a class of compounds which may</w:t></w:r>
</w:p>
<w:p>
<w:pPr><w:pStyle w:val="Normal"/></w:pPr>
<w:r><w:t xml:space="preserve">be considered as derived from hydrocarbons by the replacement of</w:t></w:r>
</w:p>
<w:p>
<w:pPr><w:pStyle w:val="Normal"/></w:pPr>
<w:r><w:t xml:space="preserve">one or more hydrogen atoms by hydroxyl groups.  It is convenient</w:t></w:r>
</w:p>
<w:p>
<w:pPr><w:pStyle w:val="Normal"/></w:pPr>
<w:r><w:t xml:space="preserve">to restrict the term to compounds in which the hydroxyl group is</w:t></w:r>
</w:p>
<w:p>
<w:pPr><w:pStyle w:val="Normal"/></w:pPr>
<w:r><w:t xml:space="preserve">attached to an aliphatic residue; this excludes such compounds</w:t></w:r>
</w:p>
<w:p>
<w:pPr><w:pStyle w:val="Normal"/></w:pPr>
<w:r><w:t xml:space="preserve">as the hydroxy-benzenes, naphthalenes, &amp;c., which exhibit many</w:t></w:r>
</w:p>
<w:p>
<w:pPr><w:pStyle w:val="Normal"/></w:pPr>
<w:r><w:t xml:space="preserve">differences from the compounds derived from the aliphatic alkyls.</w:t></w:r>
</w:p>
<w:p>
<w:pPr><w:pStyle w:val="Normal"/></w:pPr>
<w:r><w:t xml:space="preserve">Alcohols are classified on two distinct principles, one depending</w:t></w:r>
</w:p>
<w:p>
<w:pPr><w:pStyle w:val="Normal"/></w:pPr>
<w:r><w:t xml:space="preserve">upon the number of hydroxyl groups present, the other on the</w:t></w:r>
</w:p>
<w:p>
<w:pPr><w:pStyle w:val="Normal"/></w:pPr>
<w:r><w:t xml:space="preserve">nature of the remaining groups attached to the carbon atom which</w:t></w:r>
</w:p>
<w:p>
<w:pPr><w:pStyle w:val="Normal"/></w:pPr>
<w:r><w:t xml:space="preserve">carries the hydroxyl group.  Monatomic or monohydric alcohols</w:t></w:r>
</w:p>
<w:p>
<w:pPr><w:pStyle w:val="Normal"/></w:pPr>
<w:r><w:t xml:space="preserve">contain only one hydroxyl group; diatomic, two, known as glycols</w:t></w:r>
</w:p>
<w:p>
<w:pPr><w:pStyle w:val="Normal"/></w:pPr>
<w:r><w:t xml:space="preserve">(q.v.); triatomic, three, known as glycerols (q.v.); and so on.</w:t></w:r>
</w:p>
<w:p>
<w:pPr><w:pStyle w:val="Normal"/></w:pPr>
<w:r><w:t xml:space="preserve">The second principle leads to alcohols of three distinct</w:t></w:r>
</w:p>
<w:p>
<w:pPr><w:pStyle w:val="Normal"/></w:pPr>
<w:r><w:t xml:space="preserve">types, known as primary, secondary and tertiary.  The genesis</w:t></w:r>
</w:p>
<w:p>
<w:pPr><w:pStyle w:val="Normal"/></w:pPr>
<w:r><w:t xml:space="preserve">and formulation of these types may be readily understood by</w:t></w:r>
</w:p>
<w:p>
<w:pPr><w:pStyle w:val="Normal"/></w:pPr>
<w:r><w:t xml:space="preserve">considering the relation which exists between the alcohols</w:t></w:r>
</w:p>
<w:p>
<w:pPr><w:pStyle w:val="Normal"/></w:pPr>
<w:r><w:t xml:space="preserve">and the parent hydrocarbon.  In methane, CH4, the hydrogen</w:t></w:r>
</w:p>
<w:p>
<w:pPr><w:pStyle w:val="Normal"/></w:pPr>
<w:r><w:t xml:space="preserve">atoms are of equal value, and hence only one alcohol,</w:t></w:r>
</w:p>
<w:p>
<w:pPr><w:pStyle w:val="Normal"/></w:pPr>
<w:r><w:t xml:space="preserve">viz.  CH3OH, can be derived from it.  This compound,</w:t></w:r>
</w:p>
<w:p>
<w:pPr><w:pStyle w:val="Normal"/></w:pPr>
<w:r><w:t xml:space="preserve">methyl alcohol, is the simplest primary alcohol, and it is</w:t></w:r>
</w:p>
<w:p>
<w:pPr><w:pStyle w:val="Normal"/></w:pPr>
<w:r><w:t xml:space="preserve">characterized by the grouping .CH2OH.  Ethane, C2H6, in</w:t></w:r>
</w:p>
<w:p>
<w:pPr><w:pStyle w:val="Normal"/></w:pPr>
<w:r><w:t xml:space="preserve">a similar manner, can only give rise to one alcohol, namely</w:t></w:r>
</w:p>
<w:p>
<w:pPr><w:pStyle w:val="Normal"/></w:pPr>
<w:r><w:t xml:space="preserve">ethyl alcohol, CH3CH2OH, which is also primary.  Propane,</w:t></w:r>
</w:p>
<w:p>
<w:pPr><w:pStyle w:val="Normal"/></w:pPr>
<w:r><w:t xml:space="preserve">CH3CH2CH3, can give rise to two alcohols --a primary</w:t></w:r>
</w:p>
<w:p>
<w:pPr><w:pStyle w:val="Normal"/></w:pPr>
<w:r><w:t xml:space="preserve">alcohol, CH3CH2CH2OH (normal propyl alcohol), formed</w:t></w:r>
</w:p>
<w:p>
<w:pPr><w:pStyle w:val="Normal"/></w:pPr>
<w:r><w:t xml:space="preserve">by replacing a hydrogen atom attached to a terminal carbon</w:t></w:r>
</w:p>
<w:p>
<w:pPr><w:pStyle w:val="Normal"/></w:pPr>
<w:r><w:t xml:space="preserve">atom, and a secondary alcohol, CH3.CH(OH).CH3 (isopropyl</w:t></w:r>
</w:p>
<w:p>
<w:pPr><w:pStyle w:val="Normal"/></w:pPr>
<w:r><w:t xml:space="preserve">alcohol), when the substitution is effected on the middle carbon</w:t></w:r>
</w:p>
<w:p>
<w:pPr><w:pStyle w:val="Normal"/></w:pPr>
<w:r><w:t xml:space="preserve">atom.  The grouping CH.OH characterizes the secondary alcohols;</w:t></w:r>
</w:p>
<w:p>
<w:pPr><w:pStyle w:val="Normal"/></w:pPr>
<w:r><w:t xml:space="preserve">isopropyl alcohol is the simplest member of this class.</w:t></w:r>
</w:p>
<w:p>
<w:pPr><w:pStyle w:val="Normal"/></w:pPr>
<w:r><w:t xml:space="preserve">Butane, C4H10, exists in the two isomeric forms--normal</w:t></w:r>
</w:p>
<w:p>
<w:pPr><w:pStyle w:val="Normal"/></w:pPr>
<w:r><w:t xml:space="preserve">butane, CH3.CH2.CH2.CH3, and iso-butane, CH(CH3)3.</w:t></w:r>
</w:p>
<w:p>
<w:pPr><w:pStyle w:val="Normal"/></w:pPr>
<w:r><w:t xml:space="preserve">Each of these hydro-carbons gives rise to two alcohols:</w:t></w:r>
</w:p>
<w:p>
<w:pPr><w:pStyle w:val="Normal"/></w:pPr>
<w:r><w:t xml:space="preserve">n-butane gives a primary and a secondary; and iso-butane a</w:t></w:r>
</w:p>
<w:p>
<w:pPr><w:pStyle w:val="Normal"/></w:pPr>
<w:r><w:t xml:space="preserve">primary, when the substitution takes place in one of the</w:t></w:r>
</w:p>
<w:p>
<w:pPr><w:pStyle w:val="Normal"/></w:pPr>
<w:r><w:t xml:space="preserve">methyl groups, and a tertiary, when the hydrogen atom of the</w:t></w:r>
</w:p>
<w:p>
<w:pPr><w:pStyle w:val="Normal"/></w:pPr>
<w:r><w:t xml:space="preserve">:CH group is substituted.  Tertiary alcohols are thus seen to</w:t></w:r>
</w:p>
<w:p>
<w:pPr><w:pStyle w:val="Normal"/></w:pPr>
<w:r><w:t xml:space="preserve">be characterized by the group :C.OH, in which the residual</w:t></w:r>
</w:p>
<w:p>
<w:pPr><w:pStyle w:val="Normal"/></w:pPr>
<w:r><w:t xml:space="preserve">valencies of the carbon atom are attached to alkyl groups.</w:t></w:r>
</w:p>
<w:p>
<w:pPr><w:pStyle w:val="Normal"/></w:pPr>
<w:r><w:t xml:space="preserve">In 1860 Hermann Kolbe predicted the existence of secondary and</w:t></w:r>
</w:p>
<w:p>
<w:pPr><w:pStyle w:val="Normal"/></w:pPr>
<w:r><w:t xml:space="preserve">tertiary alcohols from theoretical considerations.  Regarding</w:t></w:r>
</w:p>
<w:p>
<w:pPr><w:pStyle w:val="Normal"/></w:pPr>
<w:r><w:t xml:space="preserve">methyl alcohol, for which he proposed the name carbinol, as</w:t></w:r>
</w:p>
<w:p>
<w:pPr><w:pStyle w:val="Normal"/></w:pPr>
<w:r><w:t xml:space="preserve">the simplest alcohol, he showed that by replacing one hydrogen</w:t></w:r>
</w:p>
<w:p>
<w:pPr><w:pStyle w:val="Normal"/></w:pPr>
<w:r><w:t xml:space="preserve">atom of the methyl group by an alkyl residue, compounds of the</w:t></w:r>
</w:p>
<w:p>
<w:pPr><w:pStyle w:val="Normal"/></w:pPr>
<w:r><w:t xml:space="preserve">general formula R.CH2.OH would result.  These are the primary</w:t></w:r>
</w:p>
<w:p>
<w:pPr><w:pStyle w:val="Normal"/></w:pPr>
<w:r><w:t xml:space="preserve">alcohols.  By replacing two of the hydrogen atoms, either</w:t></w:r>
</w:p>
<w:p>
<w:pPr><w:pStyle w:val="Normal"/></w:pPr>
<w:r><w:t xml:space="preserve">by the same or different alkyls, compounds of the formula</w:t></w:r>
</w:p>
<w:p>
<w:pPr><w:pStyle w:val="Normal"/></w:pPr>
<w:r><w:t xml:space="preserve">(R.R1)CH.OH (i.e. secondary alcohols) would result; while</w:t></w:r>
</w:p>
<w:p>
<w:pPr><w:pStyle w:val="Normal"/></w:pPr>
<w:r><w:t xml:space="preserve">the replacement of the three hydrogen atoms would generate</w:t></w:r>
</w:p>
<w:p>
<w:pPr><w:pStyle w:val="Normal"/></w:pPr>
<w:r><w:t xml:space="preserve">alcohols of the general formula (R.R1.R2)C.OH, i.e.</w:t></w:r>
</w:p>
<w:p>
<w:pPr><w:pStyle w:val="Normal"/></w:pPr>
<w:r><w:t xml:space="preserve">tertiary alcohols.  Furthermore, he exhibited a comparison</w:t></w:r>
</w:p>
<w:p>
<w:pPr><w:pStyle w:val="Normal"/></w:pPr>
<w:r><w:t xml:space="preserve">between these three types of alcohols and the amines.  Thus:--</w:t></w:r>
</w:p>
<w:p>
<w:pPr><w:pStyle w:val="Normal"/></w:pPr>
<w:r><w:t xml:space="preserve">R.NH2 (R1R2)NH (R1R2R3)N</w:t></w:r>
</w:p>
<w:p>
<w:pPr><w:pStyle w:val="Normal"/></w:pPr>
<w:r><w:t xml:space="preserve">R.CH2OH     (R1R2)CH.OH   (R1R2R3)C.OH</w:t></w:r>
</w:p>
<w:p>
<w:pPr><w:pStyle w:val="Normal"/></w:pPr>
<w:r><w:t xml:space="preserve">Primary.           Secondary.             Tertiary.</w:t></w:r>
</w:p>
<w:p>
<w:pPr><w:pStyle w:val="Normal"/></w:pPr>
<w:r><w:t xml:space="preserve">To distinguish Priinary, Secondary and Tertiary Alcohols.--</w:t></w:r>
</w:p>
<w:p>
<w:pPr><w:pStyle w:val="Normal"/></w:pPr>
<w:r><w:t xml:space="preserve">Many reactions serve to distinguish these three types of</w:t></w:r>
</w:p>
<w:p>
<w:pPr><w:pStyle w:val="Normal"/></w:pPr>
<w:r><w:t xml:space="preserve">alcohols.  Of chief importance is their behaviour on oxidation.</w:t></w:r>
</w:p>
<w:p>
<w:pPr><w:pStyle w:val="Normal"/></w:pPr>
<w:r><w:t xml:space="preserve">The primary alcohols are first oxidized to aldehydes (q.v.),</w:t></w:r>
</w:p>
<w:p>
<w:pPr><w:pStyle w:val="Normal"/></w:pPr>
<w:r><w:t xml:space="preserve">which, on further oxidation, yield acids containing the same</w:t></w:r>
</w:p>
<w:p>
<w:pPr><w:pStyle w:val="Normal"/></w:pPr>
<w:r><w:t xml:space="preserve">number of carbon atoms as in the original alcohol.  Secondary</w:t></w:r>
</w:p>
<w:p>
<w:pPr><w:pStyle w:val="Normal"/></w:pPr>
<w:r><w:t xml:space="preserve">alcohols yield ketones q.v.), which are subsequently</w:t></w:r>
</w:p>
<w:p>
<w:pPr><w:pStyle w:val="Normal"/></w:pPr>
<w:r><w:t xml:space="preserve">oxidized to a mixture of two acids, Tertiary alcohols yield</w:t></w:r>
</w:p>
<w:p>
<w:pPr><w:pStyle w:val="Normal"/></w:pPr>
<w:r><w:t xml:space="preserve">neither aldehydes nor ketones, but a mixture of two or more</w:t></w:r>
</w:p>
<w:p>
<w:pPr><w:pStyle w:val="Normal"/></w:pPr>
<w:r><w:t xml:space="preserve">acids.  Another method is based upon the different behaviour</w:t></w:r>
</w:p>
<w:p>
<w:pPr><w:pStyle w:val="Normal"/></w:pPr>
<w:r><w:t xml:space="preserve">of the corresponding nitro-alkyl with nitrous acid.  The</w:t></w:r>
</w:p>
<w:p>
<w:pPr><w:pStyle w:val="Normal"/></w:pPr>
<w:r><w:t xml:space="preserve">alcohol is first acted upon with phosphorus and iodine, and</w:t></w:r>
</w:p>
<w:p>
<w:pPr><w:pStyle w:val="Normal"/></w:pPr>
<w:r><w:t xml:space="preserve">the resulting alkyl iodide is treated with silver nitrite,</w:t></w:r>
</w:p>
<w:p>
<w:pPr><w:pStyle w:val="Normal"/></w:pPr>
<w:r><w:t xml:space="preserve">which gives the corresponding nitro-alkyl.  The nitro-alkyl is</w:t></w:r>
</w:p>
<w:p>
<w:pPr><w:pStyle w:val="Normal"/></w:pPr>
<w:r><w:t xml:space="preserve">then treated with potassium nitrite dissolved in concentrated</w:t></w:r>
</w:p>
<w:p>
<w:pPr><w:pStyle w:val="Normal"/></w:pPr>
<w:r><w:t xml:space="preserve">potash, and sulphuric acid is added.  By this treatment a</w:t></w:r>
</w:p>
<w:p>
<w:pPr><w:pStyle w:val="Normal"/></w:pPr>
<w:r><w:t xml:space="preserve">primary nitro-alkyl yields a nitrolic acid, the potassium</w:t></w:r>
</w:p>
<w:p>
<w:pPr><w:pStyle w:val="Normal"/></w:pPr>
<w:r><w:t xml:space="preserve">salt of which forms an intense red solution; a secondary</w:t></w:r>
</w:p>
<w:p>
<w:pPr><w:pStyle w:val="Normal"/></w:pPr>
<w:r><w:t xml:space="preserve">nitro-alkyl forms a pseudo nitrol, which gives an intense blue</w:t></w:r>
</w:p>
<w:p>
<w:pPr><w:pStyle w:val="Normal"/></w:pPr>
<w:r><w:t xml:space="preserve">solution, while the tertiary compound does not act with nitrous</w:t></w:r>
</w:p>
<w:p>
<w:pPr><w:pStyle w:val="Normal"/></w:pPr>
<w:r><w:t xml:space="preserve">acid.  The reactions outlined above may be thus represented:--</w:t></w:r>
</w:p>
<w:p>
<w:pPr><w:pStyle w:val="Normal"/></w:pPr>
<w:r><w:t xml:space="preserve">//NOH</w:t></w:r>
</w:p>
<w:p>
<w:pPr><w:pStyle w:val="Normal"/></w:pPr>
<w:r><w:t xml:space="preserve">R.CH2OH   --&gt; R.CH2I   --&gt; R.CH2.NO2   --&gt; R.C&lt;</w:t></w:r>
</w:p>
<w:p>
<w:pPr><w:pStyle w:val="Normal"/></w:pPr>
<w:r><w:t xml:space="preserve">Primary alcohol.                               \NO2</w:t></w:r>
</w:p>
<w:p>
<w:pPr><w:pStyle w:val="Normal"/></w:pPr>
<w:r><w:t xml:space="preserve">Nitrolic acid.</w:t></w:r>
</w:p>
<w:p>
<w:pPr><w:pStyle w:val="Normal"/></w:pPr>
<w:r><w:t xml:space="preserve">R\                  R\                                        R\    /NO2</w:t></w:r>
</w:p>
<w:p>
<w:pPr><w:pStyle w:val="Normal"/></w:pPr>
<w:r><w:t xml:space="preserve">&gt;CH.OH  --&gt;    &gt;CH.I  --&gt;  &gt;CH.NO2 --&gt;     &gt;C&lt;</w:t></w:r>
</w:p>
<w:p>
<w:pPr><w:pStyle w:val="Normal"/></w:pPr>
<w:r><w:t xml:space="preserve">R1/              R1/                                     R1/    \NO</w:t></w:r>
</w:p>
<w:p>
<w:pPr><w:pStyle w:val="Normal"/></w:pPr>
<w:r><w:t xml:space="preserve">Secondary alcohol.                                             Pseudo nitrol.</w:t></w:r>
</w:p>
<w:p>
<w:pPr><w:pStyle w:val="Normal"/></w:pPr>
<w:r><w:t xml:space="preserve">(R1R2R3)C.OH  --&gt; (R1R2R3)C.I  --&gt; (R1R2R3)C.NO2</w:t></w:r>
</w:p>
<w:p>
<w:pPr><w:pStyle w:val="Normal"/></w:pPr>
<w:r><w:t xml:space="preserve">Tertiary alcohol.</w:t></w:r>
</w:p>
<w:p>
<w:pPr><w:pStyle w:val="Normal"/></w:pPr>
<w:r><w:t xml:space="preserve">By heating to the boiling point of naphthalene (218 deg. ) tertiary</w:t></w:r>
</w:p>
<w:p>
<w:pPr><w:pStyle w:val="Normal"/></w:pPr>
<w:r><w:t xml:space="preserve">alcohols are decomposed, while heating to the boiling point of</w:t></w:r>
</w:p>
<w:p>
<w:pPr><w:pStyle w:val="Normal"/></w:pPr>
<w:r><w:t xml:space="preserve">anthracene (360 deg. ) suffices to decompose secondary alcohols, the</w:t></w:r>
</w:p>
<w:p>
<w:pPr><w:pStyle w:val="Normal"/></w:pPr>
<w:r><w:t xml:space="preserve">primary remaining unaffected.  These changes can be followed out by</w:t></w:r>
</w:p>
<w:p>
<w:pPr><w:pStyle w:val="Normal"/></w:pPr>
<w:r><w:t xml:space="preserve">determinations of the vapour density, and so provide a method for</w:t></w:r>
</w:p>
<w:p>
<w:pPr><w:pStyle w:val="Normal"/></w:pPr>
<w:r><w:t xml:space="preserve">characterizing alcohols (see Compt.  Rend. 1904, 138, p. 984).</w:t></w:r>
</w:p>
<w:p>
<w:pPr><w:pStyle w:val="Normal"/></w:pPr>
<w:r><w:t xml:space="preserve">Preparation.</w:t></w:r>
</w:p>
<w:p>
<w:pPr><w:pStyle w:val="Normal"/></w:pPr>
<w:r><w:t xml:space="preserve">Alcohols may be readily prepared from the corresponding alkyl</w:t></w:r>
</w:p>
<w:p>
<w:pPr><w:pStyle w:val="Normal"/></w:pPr>
<w:r><w:t xml:space="preserve">haloid by the action of moist silver oxide (which behaves as</w:t></w:r>
</w:p>
<w:p>
<w:pPr><w:pStyle w:val="Normal"/></w:pPr>
<w:r><w:t xml:space="preserve">silver hydroxide): by the saponification of their esters; or</w:t></w:r>
</w:p>
<w:p>
<w:pPr><w:pStyle w:val="Normal"/></w:pPr>
<w:r><w:t xml:space="preserve">by the reduction of polyhydric alcohols with hydriodic acid,</w:t></w:r>
</w:p>
<w:p>
<w:pPr><w:pStyle w:val="Normal"/></w:pPr>
<w:r><w:t xml:space="preserve">and the subsequent conversion of the resulting alkyl iodide</w:t></w:r>
</w:p>
<w:p>
<w:pPr><w:pStyle w:val="Normal"/></w:pPr>
<w:r><w:t xml:space="preserve">into the alcohol by moist silver oxide.  Primary alcohols</w:t></w:r>
</w:p>
<w:p>
<w:pPr><w:pStyle w:val="Normal"/></w:pPr>
<w:r><w:t xml:space="preserve">are obtained by decomposing their sulphuric acid esters (from</w:t></w:r>
</w:p>
<w:p>
<w:pPr><w:pStyle w:val="Normal"/></w:pPr>
<w:r><w:t xml:space="preserve">sulphuric acid and the olefines) with boiling water; by the</w:t></w:r>
</w:p>
<w:p>
<w:pPr><w:pStyle w:val="Normal"/></w:pPr>
<w:r><w:t xml:space="preserve">action of nitrous acid on primary amines; or by the reduction</w:t></w:r>
</w:p>
<w:p>
<w:pPr><w:pStyle w:val="Normal"/></w:pPr>
<w:r><w:t xml:space="preserve">of aldehydes, acid chlorides or acid anhydrides.  Secondary</w:t></w:r>
</w:p>
<w:p>
<w:pPr><w:pStyle w:val="Normal"/></w:pPr>
<w:r><w:t xml:space="preserve">alcohols result from the reduction of ketones; and from the</w:t></w:r>
</w:p>
<w:p>
<w:pPr><w:pStyle w:val="Normal"/></w:pPr>
<w:r><w:t xml:space="preserve">reaction of zinc alkyls on aldehydes or formic acid esters.</w:t></w:r>
</w:p>
<w:p>
<w:pPr><w:pStyle w:val="Normal"/></w:pPr>
<w:r><w:t xml:space="preserve">/C2H5                         /C2H5</w:t></w:r>
</w:p>
<w:p>
<w:pPr><w:pStyle w:val="Normal"/></w:pPr>
<w:r><w:t xml:space="preserve">CH3CHO --&gt; CH3.CH&lt;                --&gt; CH3.CH&lt;</w:t></w:r>
</w:p>
<w:p>
<w:pPr><w:pStyle w:val="Normal"/></w:pPr>
<w:r><w:t xml:space="preserve">\OZnC2H5                      \OH</w:t></w:r>
</w:p>
<w:p>
<w:pPr><w:pStyle w:val="Normal"/></w:pPr>
<w:r><w:t xml:space="preserve">Acetaldehyde.                                     Methyl ethyl carbinol.</w:t></w:r>
</w:p>
<w:p>
<w:pPr><w:pStyle w:val="Normal"/></w:pPr>
<w:r><w:t xml:space="preserve">//O                      /OZnCH3                /CH3                    /CH3</w:t></w:r>
</w:p>
<w:p>
<w:pPr><w:pStyle w:val="Normal"/></w:pPr>
<w:r><w:t xml:space="preserve">HC&lt;/             --&gt; HC&lt;-CH3     --&gt; R.C&lt;-OZnCH3   --&gt; R.C&lt;-OH</w:t></w:r>
</w:p>
<w:p>
<w:pPr><w:pStyle w:val="Normal"/></w:pPr>
<w:r><w:t xml:space="preserve">\OC2H5             \Cl                       \CH3                    \CH3</w:t></w:r>
</w:p>
<w:p>
<w:pPr><w:pStyle w:val="Normal"/></w:pPr>
<w:r><w:t xml:space="preserve">Formic ester.                                                  Isopropyl alcohol.</w:t></w:r>
</w:p>
<w:p>
<w:pPr><w:pStyle w:val="Normal"/></w:pPr>
<w:r><w:t xml:space="preserve">Tertiary alcohols may be synthesized by a method devised</w:t></w:r>
</w:p>
<w:p>
<w:pPr><w:pStyle w:val="Normal"/></w:pPr>
<w:r><w:t xml:space="preserve">by A. Butlerow in 1864, who thus discovered the tertiary</w:t></w:r>
</w:p>
<w:p>
<w:pPr><w:pStyle w:val="Normal"/></w:pPr>
<w:r><w:t xml:space="preserve">alcohols.  By reacting with a zinc alkyl (methyl or ethyl) on</w:t></w:r>
</w:p>
<w:p>
<w:pPr><w:pStyle w:val="Normal"/></w:pPr>
<w:r><w:t xml:space="preserve">an acid chloride, an addition compound is first formed, which</w:t></w:r>
</w:p>
<w:p>
<w:pPr><w:pStyle w:val="Normal"/></w:pPr>
<w:r><w:t xml:space="preserve">decomposes with water to give a ketone.  If, however, a second</w:t></w:r>
</w:p>
<w:p>
<w:pPr><w:pStyle w:val="Normal"/></w:pPr>
<w:r><w:t xml:space="preserve">molecule of a zinc alkyl be allowed to react, a compound is</w:t></w:r>
</w:p>
<w:p>
<w:pPr><w:pStyle w:val="Normal"/></w:pPr>
<w:r><w:t xml:space="preserve">formed which gives a tertiary alcohol when decomposed with water.</w:t></w:r>
</w:p>
<w:p>
<w:pPr><w:pStyle w:val="Normal"/></w:pPr>
<w:r><w:t xml:space="preserve">//O             /CH3                       /CH3                    /CH3</w:t></w:r>
</w:p>
<w:p>
<w:pPr><w:pStyle w:val="Normal"/></w:pPr>
<w:r><w:t xml:space="preserve">R.C&lt;/    --&gt; R.C&lt;-OZnCH3  --&gt; R.C&lt;-OZnCH3   --&gt; R.C&lt;-OH</w:t></w:r>
</w:p>
<w:p>
<w:pPr><w:pStyle w:val="Normal"/></w:pPr>
<w:r><w:t xml:space="preserve">\Cl             \Cl                           \CH3                    \CH3</w:t></w:r>
</w:p>
<w:p>
<w:pPr><w:pStyle w:val="Normal"/></w:pPr>
<w:r><w:t xml:space="preserve">Acid chloride.                                                        Tertiary alcohol.</w:t></w:r>
</w:p>
<w:p>
<w:pPr><w:pStyle w:val="Normal"/></w:pPr>
<w:r><w:t xml:space="preserve">It is interesting to note that, whereas zinc methyl and ethyl</w:t></w:r>
</w:p>
<w:p>
<w:pPr><w:pStyle w:val="Normal"/></w:pPr>
<w:r><w:t xml:space="preserve">give tertiary alcohols, zinc propyl only gives secondary</w:t></w:r>
</w:p>
<w:p>
<w:pPr><w:pStyle w:val="Normal"/></w:pPr>
<w:r><w:t xml:space="preserve">alcohols.  During recent years (1900 onwards) many brilliant</w:t></w:r>
</w:p>
<w:p>
<w:pPr><w:pStyle w:val="Normal"/></w:pPr>
<w:r><w:t xml:space="preserve">syntheses have been effected by the aid of magnesium-alkyl-haloids.</w:t></w:r>
</w:p>
<w:p>
<w:pPr><w:pStyle w:val="Normal"/></w:pPr>
<w:r><w:t xml:space="preserve">Properties.</w:t></w:r>
</w:p>
<w:p>
<w:pPr><w:pStyle w:val="Normal"/></w:pPr>
<w:r><w:t xml:space="preserve">The alcohols are neutral in reaction, and the lower members</w:t></w:r>
</w:p>
<w:p>
<w:pPr><w:pStyle w:val="Normal"/></w:pPr>
<w:r><w:t xml:space="preserve">possess the property of entering into combination with salts, in</w:t></w:r>
</w:p>
<w:p>
<w:pPr><w:pStyle w:val="Normal"/></w:pPr>
<w:r><w:t xml:space="preserve">which the alcohol plays the role of water of crystallization.</w:t></w:r>
</w:p>
<w:p>
<w:pPr><w:pStyle w:val="Normal"/></w:pPr>
<w:r><w:t xml:space="preserve">Sodium or potassium dissolves in them with the formation of</w:t></w:r>
</w:p>
<w:p>
<w:pPr><w:pStyle w:val="Normal"/></w:pPr>
<w:r><w:t xml:space="preserve">alcoholates, the hydrogen of the hydroxyl group being replaced by</w:t></w:r>
</w:p>
<w:p>
<w:pPr><w:pStyle w:val="Normal"/></w:pPr>
<w:r><w:t xml:space="preserve">the metal.  With strong acids water is split off and esters are</w:t></w:r>
</w:p>
<w:p>
<w:pPr><w:pStyle w:val="Normal"/></w:pPr>
<w:r><w:t xml:space="preserve">formed.  The haloid esters of the paraffin alcohols formed by</w:t></w:r>
</w:p>
<w:p>
<w:pPr><w:pStyle w:val="Normal"/></w:pPr>
<w:r><w:t xml:space="preserve">heating the alcohols with the halogen acids are the monohaloid</w:t></w:r>
</w:p>
<w:p>
<w:pPr><w:pStyle w:val="Normal"/></w:pPr>
<w:r><w:t xml:space="preserve">derivatives of the paraffins, and are more conveniently</w:t></w:r>
</w:p>
<w:p>
<w:pPr><w:pStyle w:val="Normal"/></w:pPr>
<w:r><w:t xml:space="preserve">prepared by the action of the phosphorous haloid on the</w:t></w:r>
</w:p>
<w:p>
<w:pPr><w:pStyle w:val="Normal"/></w:pPr>
<w:r><w:t xml:space="preserve">alcohol.  Energetic dehydration gives the olefine hydrocarbons,</w:t></w:r>
</w:p>
<w:p>
<w:pPr><w:pStyle w:val="Normal"/></w:pPr>
<w:r><w:t xml:space="preserve">but under certain conditions ethers (see ETHER) are obtained.</w:t></w:r>
</w:p>
<w:p>
<w:pPr><w:pStyle w:val="Normal"/></w:pPr>
<w:r><w:t xml:space="preserve">The physical properties of the alcohols exhibit a gradation</w:t></w:r>
</w:p>
<w:p>
<w:pPr><w:pStyle w:val="Normal"/></w:pPr>
<w:r><w:t xml:space="preserve">with the increase of molecular weight.  The lower members</w:t></w:r>
</w:p>
<w:p>
<w:pPr><w:pStyle w:val="Normal"/></w:pPr>
<w:r><w:t xml:space="preserve">are colourless mobile liquids, readily soluble in water and</w:t></w:r>
</w:p>
<w:p>
<w:pPr><w:pStyle w:val="Normal"/></w:pPr>
<w:r><w:t xml:space="preserve">exhibiting a characteristic odour and taste.  The solubility</w:t></w:r>
</w:p>
<w:p>
<w:pPr><w:pStyle w:val="Normal"/></w:pPr>
<w:r><w:t xml:space="preserve">decreases as the carbon content rises.  The normal alcohols</w:t></w:r>
</w:p>
<w:p>
<w:pPr><w:pStyle w:val="Normal"/></w:pPr>
<w:r><w:t xml:space="preserve">containing 1 to 16 carbon atoms are liquids at the ordinary</w:t></w:r>
</w:p>
<w:p>
<w:pPr><w:pStyle w:val="Normal"/></w:pPr>
<w:r><w:t xml:space="preserve">temperatures; the higher members are crystalline, odourless</w:t></w:r>
</w:p>
<w:p>
<w:pPr><w:pStyle w:val="Normal"/></w:pPr>
<w:r><w:t xml:space="preserve">and tasteless solids, closely resembling the fats in</w:t></w:r>
</w:p>
<w:p>
<w:pPr><w:pStyle w:val="Normal"/></w:pPr>
<w:r><w:t xml:space="preserve">appearance.  The boiling points of the normal alcohols</w:t></w:r>
</w:p>
<w:p>
<w:pPr><w:pStyle w:val="Normal"/></w:pPr>
<w:r><w:t xml:space="preserve">increase regularly about 10 deg.  for each CH2 increment;</w:t></w:r>
</w:p>
<w:p>
<w:pPr><w:pStyle w:val="Normal"/></w:pPr>
<w:r><w:t xml:space="preserve">this is characteristic of all homologous series of organic</w:t></w:r>
</w:p>
<w:p>
<w:pPr><w:pStyle w:val="Normal"/></w:pPr>
<w:r><w:t xml:space="preserve">compounds.  Of the primary, secondary and tertiary alcohols</w:t></w:r>
</w:p>
<w:p>
<w:pPr><w:pStyle w:val="Normal"/></w:pPr>
<w:r><w:t xml:space="preserve">having the same empirical formula, the primary have the</w:t></w:r>
</w:p>
<w:p>
<w:pPr><w:pStyle w:val="Normal"/></w:pPr>
<w:r><w:t xml:space="preserve">highest, and the tertiary the lowest boiling point; this</w:t></w:r>
</w:p>
<w:p>
<w:pPr><w:pStyle w:val="Normal"/></w:pPr>
<w:r><w:t xml:space="preserve">is in accordance with the fairly general rule that a gain</w:t></w:r>
</w:p>
<w:p>
<w:pPr><w:pStyle w:val="Normal"/></w:pPr>
<w:r><w:t xml:space="preserve">in symmetry is attended by a fall in the boiling point.</w:t></w:r>
</w:p>
<w:p>
<w:pPr><w:pStyle w:val="Normal"/></w:pPr>
<w:r><w:t xml:space="preserve">The following monatomic alcohols receive special treatment</w:t></w:r>
</w:p>
<w:p>
<w:pPr><w:pStyle w:val="Normal"/></w:pPr>
<w:r><w:t xml:space="preserve">under their own headings:--ALCOHOL (ETHYL), ALLYL</w:t></w:r>
</w:p>
<w:p>
<w:pPr><w:pStyle w:val="Normal"/></w:pPr>
<w:r><w:t xml:space="preserve">ALCOHOL, AMYL, ALCOHOLS, BEN zsqrt. L ALCOHOL, BUTYL</w:t></w:r>
</w:p>
<w:p>
<w:pPr><w:pStyle w:val="Normal"/></w:pPr>
<w:r><w:t xml:space="preserve">ALcohols, METHY L ALcohol, and PROPYL ALCOHOLS.</w:t></w:r>
</w:p>
<w:p>
<w:pPr><w:pStyle w:val="Normal"/></w:pPr>
<w:r><w:t xml:space="preserve">ALCOTT, AMOS BRONSON (1799-1888), American educationalist</w:t></w:r>
</w:p>
<w:p>
<w:pPr><w:pStyle w:val="Normal"/></w:pPr>
<w:r><w:t xml:space="preserve">and writer, born on Spindle Hill, in the town of Wolcott,</w:t></w:r>
</w:p>
<w:p>
<w:pPr><w:pStyle w:val="Normal"/></w:pPr>
<w:r><w:t xml:space="preserve">New Haven county, Connecticut, on the 29th of November</w:t></w:r>
</w:p>
<w:p>
<w:pPr><w:pStyle w:val="Normal"/></w:pPr>
<w:r><w:t xml:space="preserve">1799.  His father, Joseph Chatfield Alcox, was a farmer</w:t></w:r>
</w:p>
<w:p>
<w:pPr><w:pStyle w:val="Normal"/></w:pPr>
<w:r><w:t xml:space="preserve">and mechanic whose ancestors, then bearing the name of</w:t></w:r>
</w:p>
<w:p>
<w:pPr><w:pStyle w:val="Normal"/></w:pPr>
<w:r><w:t xml:space="preserve">Alcocke, had setlled in eastern Massachusetts in colonial</w:t></w:r>
</w:p>
<w:p>
<w:pPr><w:pStyle w:val="Normal"/></w:pPr>
<w:r><w:t xml:space="preserve">days.  The son adopted the spelling ``Alcott&apos;&apos; in his early</w:t></w:r>
</w:p>
<w:p>
<w:pPr><w:pStyle w:val="Normal"/></w:pPr>
<w:r><w:t xml:space="preserve">youth.  Self-educated and early thrown upon his own resources,</w:t></w:r>
</w:p>
<w:p>
<w:pPr><w:pStyle w:val="Normal"/></w:pPr>
<w:r><w:t xml:space="preserve">he began in 1814 to earn his living by working in a clock</w:t></w:r>
</w:p>
<w:p>
<w:pPr><w:pStyle w:val="Normal"/></w:pPr>
<w:r><w:t xml:space="preserve">factory in Plymouth, Conn., and for many years after 1815</w:t></w:r>
</w:p>
<w:p>
<w:pPr><w:pStyle w:val="Normal"/></w:pPr>
<w:r><w:t xml:space="preserve">he peddled books and merchardise, chiefly in the southern</w:t></w:r>
</w:p>
<w:p>
<w:pPr><w:pStyle w:val="Normal"/></w:pPr>
<w:r><w:t xml:space="preserve">states.  He began teaching in Bristol, Conn., in 1823, and</w:t></w:r>
</w:p>
<w:p>
<w:pPr><w:pStyle w:val="Normal"/></w:pPr>
<w:r><w:t xml:space="preserve">subsequently conducted schools in Cheshire, Conn., in 1825-1827,</w:t></w:r>
</w:p>
<w:p>
<w:pPr><w:pStyle w:val="Normal"/></w:pPr>
<w:r><w:t xml:space="preserve">again in Bristol in 1827-1828, in Boston in 1828-1830, in</w:t></w:r>
</w:p>
<w:p>
<w:pPr><w:pStyle w:val="Normal"/></w:pPr>
<w:r><w:t xml:space="preserve">Germantown, now part of Philadelphia, in 1831-1833, and</w:t></w:r>
</w:p>
<w:p>
<w:pPr><w:pStyle w:val="Normal"/></w:pPr>
<w:r><w:t xml:space="preserve">in Philadelphia in 1833.  In 1830 he had mariied Abby May,</w:t></w:r>
</w:p>
<w:p>
<w:pPr><w:pStyle w:val="Normal"/></w:pPr>
<w:r><w:t xml:space="preserve">the sister of Samuel J. May (1797-1871), the reformer and</w:t></w:r>
</w:p>
<w:p>
<w:pPr><w:pStyle w:val="Normal"/></w:pPr>
<w:r><w:t xml:space="preserve">abolitionist.  In 1834 he opened in Boston a school which</w:t></w:r>
</w:p>
<w:p>
<w:pPr><w:pStyle w:val="Normal"/></w:pPr>
<w:r><w:t xml:space="preserve">became famous because of his original methods; his plan being</w:t></w:r>
</w:p>
<w:p>
<w:pPr><w:pStyle w:val="Normal"/></w:pPr>
<w:r><w:t xml:space="preserve">to develop self-instruction on the basis of self-analysis, with</w:t></w:r>
</w:p>
<w:p>
<w:pPr><w:pStyle w:val="Normal"/></w:pPr>
<w:r><w:t xml:space="preserve">an ever-present desire on his own part to stimulate the child&apos;s</w:t></w:r>
</w:p>
<w:p>
<w:pPr><w:pStyle w:val="Normal"/></w:pPr>
<w:r><w:t xml:space="preserve">personality.  The feature of his school which attracted most</w:t></w:r>
</w:p>
<w:p>
<w:pPr><w:pStyle w:val="Normal"/></w:pPr>
<w:r><w:t xml:space="preserve">attention, perhaps, was his scheme for the teacher&apos;s receiving</w:t></w:r>
</w:p>
<w:p>
<w:pPr><w:pStyle w:val="Normal"/></w:pPr>
<w:r><w:t xml:space="preserve">punishment, in certain circumstances, at the hands of an offending</w:t></w:r>
</w:p>
<w:p>
<w:pPr><w:pStyle w:val="Normal"/></w:pPr>
<w:r><w:t xml:space="preserve">pupil, whereby the sense of shame might be quickened in the</w:t></w:r>
</w:p>
<w:p>
<w:pPr><w:pStyle w:val="Normal"/></w:pPr>
<w:r><w:t xml:space="preserve">mind of the errant child.  The school was denounced in the</w:t></w:r>
</w:p>
<w:p>
<w:pPr><w:pStyle w:val="Normal"/></w:pPr>
<w:r><w:t xml:space="preserve">press, was not pecuniarily successful, and in 1839 was given</w:t></w:r>
</w:p>
<w:p>
<w:pPr><w:pStyle w:val="Normal"/></w:pPr>
<w:r><w:t xml:space="preserve">up, although Alcott had won the affection of his pupils, and</w:t></w:r>
</w:p>
<w:p>
<w:pPr><w:pStyle w:val="Normal"/></w:pPr>
<w:r><w:t xml:space="preserve">his educational experiments had challenged the attention of</w:t></w:r>
</w:p>
<w:p>
<w:pPr><w:pStyle w:val="Normal"/></w:pPr>
<w:r><w:t xml:space="preserve">students of pedagogy.  The school is perhaps best described</w:t></w:r>
</w:p>
<w:p>
<w:pPr><w:pStyle w:val="Normal"/></w:pPr>
<w:r><w:t xml:space="preserve">in Miss E. P. Peabody&apos;s A Record of Mr Alcott&apos;s School</w:t></w:r>
</w:p>
<w:p>
<w:pPr><w:pStyle w:val="Normal"/></w:pPr>
<w:r><w:t xml:space="preserve">(1835).  In 1840 Alcott removed to Concord, Massachusetts.</w:t></w:r>
</w:p>
<w:p>
<w:pPr><w:pStyle w:val="Normal"/></w:pPr>
<w:r><w:t xml:space="preserve">After a visit to England, in 1842, he started with two English</w:t></w:r>
</w:p>
<w:p>
<w:pPr><w:pStyle w:val="Normal"/></w:pPr>
<w:r><w:t xml:space="preserve">associates, Charles Lane and Henry C. Wright, at ``Fruitlands,&apos;&apos;</w:t></w:r>
</w:p>
<w:p>
<w:pPr><w:pStyle w:val="Normal"/></w:pPr>
<w:r><w:t xml:space="preserve">in the town of Harvard, Massachusetts, a communistic experiment</w:t></w:r>
</w:p>
<w:p>
<w:pPr><w:pStyle w:val="Normal"/></w:pPr>
<w:r><w:t xml:space="preserve">at farm-living and nature-meditation as tending to develop the</w:t></w:r>
</w:p>
<w:p>
<w:pPr><w:pStyle w:val="Normal"/></w:pPr>
<w:r><w:t xml:space="preserve">best powers of body and soul.  This speedily came to naught,</w:t></w:r>
</w:p>
<w:p>
<w:pPr><w:pStyle w:val="Normal"/></w:pPr>
<w:r><w:t xml:space="preserve">and Alcott returned (1844) to his home near that of Emerson in</w:t></w:r>
</w:p>
<w:p>
<w:pPr><w:pStyle w:val="Normal"/></w:pPr>
<w:r><w:t xml:space="preserve">Concord, removing to Boston four years later, and again living</w:t></w:r>
</w:p>
<w:p>
<w:pPr><w:pStyle w:val="Normal"/></w:pPr>
<w:r><w:t xml:space="preserve">in Concord after 1857.  He spoke, as opportunity offered,</w:t></w:r>
</w:p>
<w:p>
<w:pPr><w:pStyle w:val="Normal"/></w:pPr>
<w:r><w:t xml:space="preserve">before the ``lyceums&apos;&apos; then common in various parts of the</w:t></w:r>
</w:p>
<w:p>
<w:pPr><w:pStyle w:val="Normal"/></w:pPr>
<w:r><w:t xml:space="preserve">United States, or addressed groups of hearers as they invited</w:t></w:r>
</w:p>
<w:p>
<w:pPr><w:pStyle w:val="Normal"/></w:pPr>
<w:r><w:t xml:space="preserve">him.  These ``conversations,&apos;&apos; as he called them, were more</w:t></w:r>
</w:p>
<w:p>
<w:pPr><w:pStyle w:val="Normal"/></w:pPr>
<w:r><w:t xml:space="preserve">or less informal talks on a great range of topics, spiritual,</w:t></w:r>
</w:p>
<w:p>
<w:pPr><w:pStyle w:val="Normal"/></w:pPr>
<w:r><w:t xml:space="preserve">aesthetic and practical, in which he emphasized the ideas of</w:t></w:r>
</w:p>
<w:p>
<w:pPr><w:pStyle w:val="Normal"/></w:pPr>
<w:r><w:t xml:space="preserve">the school of American Transcendentalists led by Emerson, who</w:t></w:r>
</w:p>
<w:p>
<w:pPr><w:pStyle w:val="Normal"/></w:pPr>
<w:r><w:t xml:space="preserve">was always his supporter and discreet admirer.  He dwelt upon</w:t></w:r>
</w:p>
<w:p>
<w:pPr><w:pStyle w:val="Normal"/></w:pPr>
<w:r><w:t xml:space="preserve">the illumination of the mind and soul by direct communion with</w:t></w:r>
</w:p>
<w:p>
<w:pPr><w:pStyle w:val="Normal"/></w:pPr>
<w:r><w:t xml:space="preserve">the Creative Spirit; upon the spiritual and poetic monitions</w:t></w:r>
</w:p>
<w:p>
<w:pPr><w:pStyle w:val="Normal"/></w:pPr>
<w:r><w:t xml:space="preserve">of external nature; and upon the benefit to man of a serene</w:t></w:r>
</w:p>
<w:p>
<w:pPr><w:pStyle w:val="Normal"/></w:pPr>
<w:r><w:t xml:space="preserve">mood and a simple way of life.  As regards the trend and</w:t></w:r>
</w:p>
<w:p>
<w:pPr><w:pStyle w:val="Normal"/></w:pPr>
<w:r><w:t xml:space="preserve">results of Alcott&apos;s philosophic teaching, it must be said</w:t></w:r>
</w:p>
<w:p>
<w:pPr><w:pStyle w:val="Normal"/></w:pPr>
<w:r><w:t xml:space="preserve">that, like Emerson, he was sometimes inconsistent, hazy or</w:t></w:r>
</w:p>
<w:p>
<w:pPr><w:pStyle w:val="Normal"/></w:pPr>
<w:r><w:t xml:space="preserve">abrupt.  But though he formulated no system of philosophy, and</w:t></w:r>
</w:p>
<w:p>
<w:pPr><w:pStyle w:val="Normal"/></w:pPr>
<w:r><w:t xml:space="preserve">seemed to show the influence now of Plato, now of Kant, or of</w:t></w:r>
</w:p>
<w:p>
<w:pPr><w:pStyle w:val="Normal"/></w:pPr>
<w:r><w:t xml:space="preserve">German thought as filtered through the brain of Coleridge, he</w:t></w:r>
</w:p>
<w:p>
<w:pPr><w:pStyle w:val="Normal"/></w:pPr>
<w:r><w:t xml:space="preserve">was, like his American master, associate and friend, steadily</w:t></w:r>
</w:p>
<w:p>
<w:pPr><w:pStyle w:val="Normal"/></w:pPr>
<w:r><w:t xml:space="preserve">optimistic, idealistic, individualistic.  The teachings of</w:t></w:r>
</w:p>
<w:p>
<w:pPr><w:pStyle w:val="Normal"/></w:pPr>
<w:r><w:t xml:space="preserve">William Ellery Channing a little before, as to the sacred</w:t></w:r>
</w:p>
<w:p>
<w:pPr><w:pStyle w:val="Normal"/></w:pPr>
<w:r><w:t xml:space="preserve">inviolability of the human conscience--anticipating the later</w:t></w:r>
</w:p>
<w:p>
<w:pPr><w:pStyle w:val="Normal"/></w:pPr>
<w:r><w:t xml:space="preserve">conclusions of Martineau--really lay at the basis of the work</w:t></w:r>
</w:p>
<w:p>
<w:pPr><w:pStyle w:val="Normal"/></w:pPr>
<w:r><w:t xml:space="preserve">of most of the Concord transcendentalists and contributors</w:t></w:r>
</w:p>
<w:p>
<w:pPr><w:pStyle w:val="Normal"/></w:pPr>
<w:r><w:t xml:space="preserve">to The Dial, of whom Alcott was one.  In his last years,</w:t></w:r>
</w:p>
<w:p>
<w:pPr><w:pStyle w:val="Normal"/></w:pPr>
<w:r><w:t xml:space="preserve">living in a serene and beautiful old age in his Concord</w:t></w:r>
</w:p>
<w:p>
<w:pPr><w:pStyle w:val="Normal"/></w:pPr>
<w:r><w:t xml:space="preserve">home, the Orchard House,where every comfort was provided by</w:t></w:r>
</w:p>
<w:p>
<w:pPr><w:pStyle w:val="Normal"/></w:pPr>
<w:r><w:t xml:space="preserve">his daughter Louisa (q.v.), Alcott was gratified at being</w:t></w:r>
</w:p>
<w:p>
<w:pPr><w:pStyle w:val="Normal"/></w:pPr>
<w:r><w:t xml:space="preserve">able to become the nominal, and at times the actual, head</w:t></w:r>
</w:p>
<w:p>
<w:pPr><w:pStyle w:val="Normal"/></w:pPr>
<w:r><w:t xml:space="preserve">of a Concord ``Summer School of Philosophy and Literature,&apos;&apos;</w:t></w:r>
</w:p>
<w:p>
<w:pPr><w:pStyle w:val="Normal"/></w:pPr>
<w:r><w:t xml:space="preserve">which had its first session in 1879, and in which --in</w:t></w:r>
</w:p>
<w:p>
<w:pPr><w:pStyle w:val="Normal"/></w:pPr>
<w:r><w:t xml:space="preserve">a rudely fashioned building next his house--thoughtful</w:t></w:r>
</w:p>
<w:p>
<w:pPr><w:pStyle w:val="Normal"/></w:pPr>
<w:r><w:t xml:space="preserve">listeners were addressed during a part of several successive</w:t></w:r>
</w:p>
<w:p>
<w:pPr><w:pStyle w:val="Normal"/></w:pPr>
<w:r><w:t xml:space="preserve">summer seasons on many themes in philosophy, religion and</w:t></w:r>
</w:p>
<w:p>
<w:pPr><w:pStyle w:val="Normal"/></w:pPr>
<w:r><w:t xml:space="preserve">letters.  Of Alcott&apos;s published works the most important is</w:t></w:r>
</w:p>
<w:p>
<w:pPr><w:pStyle w:val="Normal"/></w:pPr>
<w:r><w:t xml:space="preserve">Tablets (1868); next in order of merit is Concord Days</w:t></w:r>
</w:p>
<w:p>
<w:pPr><w:pStyle w:val="Normal"/></w:pPr>
<w:r><w:t xml:space="preserve">(1872).  His Sonnets and Canzonets (1882) are chiefly</w:t></w:r>
</w:p>
<w:p>
<w:pPr><w:pStyle w:val="Normal"/></w:pPr>
<w:r><w:t xml:space="preserve">interesting as an old man&apos;s experiments in verse.  He left</w:t></w:r>
</w:p>
<w:p>
<w:pPr><w:pStyle w:val="Normal"/></w:pPr>
<w:r><w:t xml:space="preserve">a large collection of personal jottings and memorabilia,</w:t></w:r>
</w:p>
<w:p>
<w:pPr><w:pStyle w:val="Normal"/></w:pPr>
<w:r><w:t xml:space="preserve">most of which remain unpublished.  He died in Boston on the</w:t></w:r>
</w:p>
<w:p>
<w:pPr><w:pStyle w:val="Normal"/></w:pPr>
<w:r><w:t xml:space="preserve">4th of March 1888.  Alcott was a Garrisonian abolitionist.</w:t></w:r>
</w:p>
<w:p>
<w:pPr><w:pStyle w:val="Normal"/></w:pPr>
<w:r><w:t xml:space="preserve">See A. Bronson Alcott, His Life and Philosophy (2 vols., Boston,</w:t></w:r>
</w:p>
<w:p>
<w:pPr><w:pStyle w:val="Normal"/></w:pPr>
<w:r><w:t xml:space="preserve">1893), by F. B. Sanborn and William T. Harris; New Connecticut:</w:t></w:r>
</w:p>
<w:p>
<w:pPr><w:pStyle w:val="Normal"/></w:pPr>
<w:r><w:t xml:space="preserve">an Autobiographical Poem (Boston, 1887), edited by F. B. Sanborn;</w:t></w:r>
</w:p>
<w:p>
<w:pPr><w:pStyle w:val="Normal"/></w:pPr>
<w:r><w:t xml:space="preserve">and Lowell&apos;s criticism in his Fable for Critics. (C. F. R.)</w:t></w:r>
</w:p>
<w:p>
<w:pPr><w:pStyle w:val="Normal"/></w:pPr>
<w:r><w:t xml:space="preserve">ALCOTT, LOUISA MAY (1832-1888), American author, was the</w:t></w:r>
</w:p>
<w:p>
<w:pPr><w:pStyle w:val="Normal"/></w:pPr>
<w:r><w:t xml:space="preserve">daughter of Amos Bronson Alcott, and though of New England</w:t></w:r>
</w:p>
<w:p>
<w:pPr><w:pStyle w:val="Normal"/></w:pPr>
<w:r><w:t xml:space="preserve">parentage and residence, was born in Germantown, now part of</w:t></w:r>
</w:p>
<w:p>
<w:pPr><w:pStyle w:val="Normal"/></w:pPr>
<w:r><w:t xml:space="preserve">Philadelphia, Pennsylvania, on the 29th of November 1832.</w:t></w:r>
</w:p>
<w:p>
<w:pPr><w:pStyle w:val="Normal"/></w:pPr>
<w:r><w:t xml:space="preserve">She began work at an early age as an occasional teacher and</w:t></w:r>
</w:p>
<w:p>
<w:pPr><w:pStyle w:val="Normal"/></w:pPr>
<w:r><w:t xml:space="preserve">as a writer--her first book was Flower Fables (1854), tales</w:t></w:r>
</w:p>
<w:p>
<w:pPr><w:pStyle w:val="Normal"/></w:pPr>
<w:r><w:t xml:space="preserve">originally written for Ellen, daughter of R. W. Emerson.  In</w:t></w:r>
</w:p>
<w:p>
<w:pPr><w:pStyle w:val="Normal"/></w:pPr>
<w:r><w:t xml:space="preserve">1860 she began writing for the Atlantic Monthly, and she was</w:t></w:r>
</w:p>
<w:p>
<w:pPr><w:pStyle w:val="Normal"/></w:pPr>
<w:r><w:t xml:space="preserve">nurse in the Union Hospital at Georgetown, D.C., for six weeks in</w:t></w:r>
</w:p>
<w:p>
<w:pPr><w:pStyle w:val="Normal"/></w:pPr>
<w:r><w:t xml:space="preserve">1862-1863.  Her home letters, revised and published in the</w:t></w:r>
</w:p>
<w:p>
<w:pPr><w:pStyle w:val="Normal"/></w:pPr>
<w:r><w:t xml:space="preserve">Commonwealth and collected as Hospital Sketches (1863,</w:t></w:r>
</w:p>
<w:p>
<w:pPr><w:pStyle w:val="Normal"/></w:pPr>
<w:r><w:t xml:space="preserve">republished with additions in 1869), displayed some power of</w:t></w:r>
</w:p>
<w:p>
<w:pPr><w:pStyle w:val="Normal"/></w:pPr>
<w:r><w:t xml:space="preserve">observation and record; and Moods, a novel (1864), despite</w:t></w:r>
</w:p>
<w:p>
<w:pPr><w:pStyle w:val="Normal"/></w:pPr>
<w:r><w:t xml:space="preserve">its uncertainty of method and of touch, gave considerable</w:t></w:r>
</w:p>
<w:p>
<w:pPr><w:pStyle w:val="Normal"/></w:pPr>
<w:r><w:t xml:space="preserve">promise.  She soon turned, however, to the rapid production</w:t></w:r>
</w:p>
<w:p>
<w:pPr><w:pStyle w:val="Normal"/></w:pPr>
<w:r><w:t xml:space="preserve">of stories for girls, and, with the exception of the cheery</w:t></w:r>
</w:p>
<w:p>
<w:pPr><w:pStyle w:val="Normal"/></w:pPr>
<w:r><w:t xml:space="preserve">tale entitled Work (1873), and the anonymous novelette</w:t></w:r>
</w:p>
<w:p>
<w:pPr><w:pStyle w:val="Normal"/></w:pPr>
<w:r><w:t xml:space="preserve">A Modern Mephistopheles (1877), which attracted little</w:t></w:r>
</w:p>
<w:p>
<w:pPr><w:pStyle w:val="Normal"/></w:pPr>
<w:r><w:t xml:space="preserve">notice, she did not return to the more ambitious fields of the</w:t></w:r>
</w:p>
<w:p>
<w:pPr><w:pStyle w:val="Normal"/></w:pPr>
<w:r><w:t xml:space="preserve">novelist.  Her success dated from the appearance of the first</w:t></w:r>
</w:p>
<w:p>
<w:pPr><w:pStyle w:val="Normal"/></w:pPr>
<w:r><w:t xml:space="preserve">series of Little Women: or Meg, Jo, Beth and Amy (1868),</w:t></w:r>
</w:p>
<w:p>
<w:pPr><w:pStyle w:val="Normal"/></w:pPr>
<w:r><w:t xml:space="preserve">in which, with unfailing humour, freshness and lifelikeness,</w:t></w:r>
</w:p>
<w:p>
<w:pPr><w:pStyle w:val="Normal"/></w:pPr>
<w:r><w:t xml:space="preserve">she put into story form many of the sayings and doings of</w:t></w:r>
</w:p>
<w:p>
<w:pPr><w:pStyle w:val="Normal"/></w:pPr>
<w:r><w:t xml:space="preserve">herself and sisters. Little Men (1871) similarly treated</w:t></w:r>
</w:p>
<w:p>
<w:pPr><w:pStyle w:val="Normal"/></w:pPr>
<w:r><w:t xml:space="preserve">the character and ways of her nephews in the Orchard House in</w:t></w:r>
</w:p>
<w:p>
<w:pPr><w:pStyle w:val="Normal"/></w:pPr>
<w:r><w:t xml:space="preserve">Concord, Massachusetts, in which Miss Alcott&apos;s industry had</w:t></w:r>
</w:p>
<w:p>
<w:pPr><w:pStyle w:val="Normal"/></w:pPr>
<w:r><w:t xml:space="preserve">now established her parents and other members of the Alcott</w:t></w:r>
</w:p>
<w:p>
<w:pPr><w:pStyle w:val="Normal"/></w:pPr>
<w:r><w:t xml:space="preserve">family; but most of her later volumes, An Old-Fashioned</w:t></w:r>
</w:p>
<w:p>
<w:pPr><w:pStyle w:val="Normal"/></w:pPr>
<w:r><w:t xml:space="preserve">Girl (1870), Aunt Jo&apos;s Scrap Bag (6 vols., 1871-1879),</w:t></w:r>
</w:p>
<w:p>
<w:pPr><w:pStyle w:val="Normal"/></w:pPr>
<w:r><w:t xml:space="preserve">Rose in Bloom (1876), &amp;c., followed in the line of Little</w:t></w:r>
</w:p>
<w:p>
<w:pPr><w:pStyle w:val="Normal"/></w:pPr>
<w:r><w:t xml:space="preserve">Women, of which the author&apos;s large and loyal public never</w:t></w:r>
</w:p>
<w:p>
<w:pPr><w:pStyle w:val="Normal"/></w:pPr>
<w:r><w:t xml:space="preserve">wearied.  Her natural love of labour, her wide-reaching</w:t></w:r>
</w:p>
<w:p>
<w:pPr><w:pStyle w:val="Normal"/></w:pPr>
<w:r><w:t xml:space="preserve">generosity, her quick perception and her fondness for sharing</w:t></w:r>
</w:p>
<w:p>
<w:pPr><w:pStyle w:val="Normal"/></w:pPr>
<w:r><w:t xml:space="preserve">with her many readers that cheery humour which radiated from</w:t></w:r>
</w:p>
<w:p>
<w:pPr><w:pStyle w:val="Normal"/></w:pPr>
<w:r><w:t xml:space="preserve">her personality and her books, led her to produce stories of</w:t></w:r>
</w:p>
<w:p>
<w:pPr><w:pStyle w:val="Normal"/></w:pPr>
<w:r><w:t xml:space="preserve">a diminishing value, and at last she succumbed to overwork,</w:t></w:r>
</w:p>
<w:p>
<w:pPr><w:pStyle w:val="Normal"/></w:pPr>
<w:r><w:t xml:space="preserve">dying in Boston on the 6th of March 1888, two days after</w:t></w:r>
</w:p>
<w:p>
<w:pPr><w:pStyle w:val="Normal"/></w:pPr>
<w:r><w:t xml:space="preserve">the death of her father in the same city.  Miss Alcott&apos;s</w:t></w:r>
</w:p>
<w:p>
<w:pPr><w:pStyle w:val="Normal"/></w:pPr>
<w:r><w:t xml:space="preserve">early education had partly been given by the naturalist</w:t></w:r>
</w:p>
<w:p>
<w:pPr><w:pStyle w:val="Normal"/></w:pPr>
<w:r><w:t xml:space="preserve">Thoreau, but had chiefly been in the hands of her father;</w:t></w:r>
</w:p>
<w:p>
<w:pPr><w:pStyle w:val="Normal"/></w:pPr>
<w:r><w:t xml:space="preserve">and in her girlhood and early womanhood she had fully shared</w:t></w:r>
</w:p>
<w:p>
<w:pPr><w:pStyle w:val="Normal"/></w:pPr>
<w:r><w:t xml:space="preserve">the trials and poverty incident to the life of a peripatetic</w:t></w:r>
</w:p>
<w:p>
<w:pPr><w:pStyle w:val="Normal"/></w:pPr>
<w:r><w:t xml:space="preserve">idealist.  In a newspaper sketch entitled ``Transcendental</w:t></w:r>
</w:p>
<w:p>
<w:pPr><w:pStyle w:val="Normal"/></w:pPr>
<w:r><w:t xml:space="preserve">Wild Oats,&apos;&apos; afterwards reprinted in the volume Silver</w:t></w:r>
</w:p>
<w:p>
<w:pPr><w:pStyle w:val="Normal"/></w:pPr>
<w:r><w:t xml:space="preserve">Pitchers (1876), she narrated, with a delicate humour, which</w:t></w:r>
</w:p>
<w:p>
<w:pPr><w:pStyle w:val="Normal"/></w:pPr>
<w:r><w:t xml:space="preserve">showed what her literary powers might have been if freed from</w:t></w:r>
</w:p>
<w:p>
<w:pPr><w:pStyle w:val="Normal"/></w:pPr>
<w:r><w:t xml:space="preserve">drudgery, the experiences of her family during an experiment</w:t></w:r>
</w:p>
<w:p>
<w:pPr><w:pStyle w:val="Normal"/></w:pPr>
<w:r><w:t xml:space="preserve">towards communistic ``plain living and high thinking&apos;&apos; at</w:t></w:r>
</w:p>
<w:p>
<w:pPr><w:pStyle w:val="Normal"/></w:pPr>
<w:r><w:t xml:space="preserve">``Fruitlands,&apos;&apos; in the town of Harvard, Massachusetts, in 1843.</w:t></w:r>
</w:p>
<w:p>
<w:pPr><w:pStyle w:val="Normal"/></w:pPr>
<w:r><w:t xml:space="preserve">The story of her career has been fully and frankly</w:t></w:r>
</w:p>
<w:p>
<w:pPr><w:pStyle w:val="Normal"/></w:pPr>
<w:r><w:t xml:space="preserve">told in Mrs Ednah D. Cheney&apos;s Louisa May Alcott: Her</w:t></w:r>
</w:p>
<w:p>
<w:pPr><w:pStyle w:val="Normal"/></w:pPr>
<w:r><w:t xml:space="preserve">Life, Letters and Journals (Boston, 1889). (C. F. R.)</w:t></w:r>
</w:p>
<w:p>
<w:pPr><w:pStyle w:val="Normal"/></w:pPr>
<w:r><w:t xml:space="preserve">ALCOVE (through the Span. alcova, from the Arab. al-, the,</w:t></w:r>
</w:p>
<w:p>
<w:pPr><w:pStyle w:val="Normal"/></w:pPr>
<w:r><w:t xml:space="preserve">and quobbah, a vault), an architectural term for a recess in</w:t></w:r>
</w:p>
<w:p>
<w:pPr><w:pStyle w:val="Normal"/></w:pPr>
<w:r><w:t xml:space="preserve">a room usually screened off by pillars, balustrade or drapery.</w:t></w:r>
</w:p>
<w:p>
<w:pPr><w:pStyle w:val="Normal"/></w:pPr>
<w:r><w:t xml:space="preserve">ALCOY, a town of south-eastern Spain, in the province of</w:t></w:r>
</w:p>
<w:p>
<w:pPr><w:pStyle w:val="Normal"/></w:pPr>
<w:r><w:t xml:space="preserve">Alicante, on the small river Serpis, and at the terminus of a</w:t></w:r>
</w:p>
<w:p>
<w:pPr><w:pStyle w:val="Normal"/></w:pPr>
<w:r><w:t xml:space="preserve">branch railway connected with the Barcelona-Valencia-Alicante</w:t></w:r>
</w:p>
<w:p>
<w:pPr><w:pStyle w:val="Normal"/></w:pPr>
<w:r><w:t xml:space="preserve">line.  Pop. (1900) 32,053.  Alcoy is built on high ground</w:t></w:r>
</w:p>
<w:p>
<w:pPr><w:pStyle w:val="Normal"/></w:pPr>
<w:r><w:t xml:space="preserve">at the entrance to a gorge in the Moncabrer range (4547</w:t></w:r>
</w:p>
<w:p>
<w:pPr><w:pStyle w:val="Normal"/></w:pPr>
<w:r><w:t xml:space="preserve">ft.).  It is a thriving industrial town, devoid of any great</w:t></w:r>
</w:p>
<w:p>
<w:pPr><w:pStyle w:val="Normal"/></w:pPr>
<w:r><w:t xml:space="preserve">antiquarian or architectural interest, though founded by the</w:t></w:r>
</w:p>
<w:p>
<w:pPr><w:pStyle w:val="Normal"/></w:pPr>
<w:r><w:t xml:space="preserve">Moors.  It owes its prosperity to its manufacture of linen,</w:t></w:r>
</w:p>
<w:p>
<w:pPr><w:pStyle w:val="Normal"/></w:pPr>
<w:r><w:t xml:space="preserve">woolen goods and paper, especially cigarette paper.  Many of</w:t></w:r>
</w:p>
<w:p>
<w:pPr><w:pStyle w:val="Normal"/></w:pPr>
<w:r><w:t xml:space="preserve">the factories derive their motive power from the falls of a</w:t></w:r>
</w:p>
<w:p>
<w:pPr><w:pStyle w:val="Normal"/></w:pPr>
<w:r><w:t xml:space="preserve">mountain torrent, known as the Salto de las Aguas.  Labour</w:t></w:r>
</w:p>
<w:p>
<w:pPr><w:pStyle w:val="Normal"/></w:pPr>
<w:r><w:t xml:space="preserve">disturbances are frequent, for, like Barcelona, Alcoy has</w:t></w:r>
</w:p>
<w:p>
<w:pPr><w:pStyle w:val="Normal"/></w:pPr>
<w:r><w:t xml:space="preserve">become one of the centres of socialistic and revolutionary</w:t></w:r>
</w:p>
<w:p>
<w:pPr><w:pStyle w:val="Normal"/></w:pPr>
<w:r><w:t xml:space="preserve">agitation, while preserving many old-fashioned customs and</w:t></w:r>
</w:p>
<w:p>
<w:pPr><w:pStyle w:val="Normal"/></w:pPr>
<w:r><w:t xml:space="preserve">traditions, such as the curious festival held annually in</w:t></w:r>
</w:p>
<w:p>
<w:pPr><w:pStyle w:val="Normal"/></w:pPr>
<w:r><w:t xml:space="preserve">April in honour of St George, the patron saint of the town.</w:t></w:r>
</w:p>
<w:p>
<w:pPr><w:pStyle w:val="Normal"/></w:pPr>
<w:r><w:t xml:space="preserve">COCENTAINA (pop. 1900, 7093) is a picturesque and ancient</w:t></w:r>
</w:p>
<w:p>
<w:pPr><w:pStyle w:val="Normal"/></w:pPr>
<w:r><w:t xml:space="preserve">town, 4 m.  N.E. by rail.  It is surrounded by Roman walls,</w:t></w:r>
</w:p>
<w:p>
<w:pPr><w:pStyle w:val="Normal"/></w:pPr>
<w:r><w:t xml:space="preserve">which were partly rebuilt by the Moors, and it contains an</w:t></w:r>
</w:p>
<w:p>
<w:pPr><w:pStyle w:val="Normal"/></w:pPr>
<w:r><w:t xml:space="preserve">interesting fortified palace, owned by the dukes of Medinaceli.</w:t></w:r>
</w:p>
<w:p>
<w:pPr><w:pStyle w:val="Normal"/></w:pPr>
<w:r><w:t xml:space="preserve">For an account of the festival of St George of Alcoy,</w:t></w:r>
</w:p>
<w:p>
<w:pPr><w:pStyle w:val="Normal"/></w:pPr>
<w:r><w:t xml:space="preserve">see Apuntes historicos acerca de las fiestas que</w:t></w:r>
</w:p>
<w:p>
<w:pPr><w:pStyle w:val="Normal"/></w:pPr>
<w:r><w:t xml:space="preserve">celebra cada ano la ciudad de Alcoy a su patron San</w:t></w:r>
</w:p>
<w:p>
<w:pPr><w:pStyle w:val="Normal"/></w:pPr>
<w:r><w:t xml:space="preserve">Jorge, by J. A. Llobet y Vallosera (Alcoy, 1853).</w:t></w:r>
</w:p>
<w:p>
<w:pPr><w:pStyle w:val="Normal"/></w:pPr>
<w:r><w:t xml:space="preserve">ALCUIN (ALCHUINE), a celebrated ecclesiastic and man of</w:t></w:r>
</w:p>
<w:p>
<w:pPr><w:pStyle w:val="Normal"/></w:pPr>
<w:r><w:t xml:space="preserve">learning in the 8th century, who liked to be called by the</w:t></w:r>
</w:p>
<w:p>
<w:pPr><w:pStyle w:val="Normal"/></w:pPr>
<w:r><w:t xml:space="preserve">Latin name of ALBINUS, and at the Academy of the palace</w:t></w:r>
</w:p>
<w:p>
<w:pPr><w:pStyle w:val="Normal"/></w:pPr>
<w:r><w:t xml:space="preserve">took the surname of FLACCUS, was born at Eboracum (York)</w:t></w:r>
</w:p>
<w:p>
<w:pPr><w:pStyle w:val="Normal"/></w:pPr>
<w:r><w:t xml:space="preserve">in 735. He was related to Willibrord, the first bishop of</w:t></w:r>
</w:p>
<w:p>
<w:pPr><w:pStyle w:val="Normal"/></w:pPr>
<w:r><w:t xml:space="preserve">Utrecht, whose biography he afterwards wrote.  He was</w:t></w:r>
</w:p>
<w:p>
<w:pPr><w:pStyle w:val="Normal"/></w:pPr>
<w:r><w:t xml:space="preserve">educated at the cathedral school of York, under the celebrated</w:t></w:r>
</w:p>
<w:p>
<w:pPr><w:pStyle w:val="Normal"/></w:pPr>
<w:r><w:t xml:space="preserve">master AElbert, with whom he also went to Rome in search of</w:t></w:r>
</w:p>
<w:p>
<w:pPr><w:pStyle w:val="Normal"/></w:pPr>
<w:r><w:t xml:space="preserve">manuscripts.  When AElbert was appointed archbishop of York in</w:t></w:r>
</w:p>
<w:p>
<w:pPr><w:pStyle w:val="Normal"/></w:pPr>
<w:r><w:t xml:space="preserve">766, Alcuin succeeded him in the headship of the episcopal</w:t></w:r>
</w:p>
<w:p>
<w:pPr><w:pStyle w:val="Normal"/></w:pPr>
<w:r><w:t xml:space="preserve">school.  He again went to Rome in 780, to fetch the pallium</w:t></w:r>
</w:p>
<w:p>
<w:pPr><w:pStyle w:val="Normal"/></w:pPr>
<w:r><w:t xml:space="preserve">for Archbishop Eanbald, and at Parma met Charlemagne, who</w:t></w:r>
</w:p>
<w:p>
<w:pPr><w:pStyle w:val="Normal"/></w:pPr>
<w:r><w:t xml:space="preserve">persuaded him to come to his court, and gave him the possession</w:t></w:r>
</w:p>
<w:p>
<w:pPr><w:pStyle w:val="Normal"/></w:pPr>
<w:r><w:t xml:space="preserve">of the great abbeys of Ferrieres and of Saint-Loup at</w:t></w:r>
</w:p>
<w:p>
<w:pPr><w:pStyle w:val="Normal"/></w:pPr>
<w:r><w:t xml:space="preserve">Troyes.  The king counted on him to accomplish the great</w:t></w:r>
</w:p>
<w:p>
<w:pPr><w:pStyle w:val="Normal"/></w:pPr>
<w:r><w:t xml:space="preserve">work which was his dream, namely, to make the Franks familiar</w:t></w:r>
</w:p>
<w:p>
<w:pPr><w:pStyle w:val="Normal"/></w:pPr>
<w:r><w:t xml:space="preserve">with the rules of the Latin language, to create schools</w:t></w:r>
</w:p>
<w:p>
<w:pPr><w:pStyle w:val="Normal"/></w:pPr>
<w:r><w:t xml:space="preserve">and to revive learning.  From 781 to 790 Alcuin was his</w:t></w:r>
</w:p>
<w:p>
<w:pPr><w:pStyle w:val="Normal"/></w:pPr>
<w:r><w:t xml:space="preserve">sovereign&apos;s principal helper in this enterprise.  He had</w:t></w:r>
</w:p>
<w:p>
<w:pPr><w:pStyle w:val="Normal"/></w:pPr>
<w:r><w:t xml:space="preserve">as pupils the king of the Franks, the members of his family</w:t></w:r>
</w:p>
<w:p>
<w:pPr><w:pStyle w:val="Normal"/></w:pPr>
<w:r><w:t xml:space="preserve">and the young clerics attached to the palace chapel; he was</w:t></w:r>
</w:p>
<w:p>
<w:pPr><w:pStyle w:val="Normal"/></w:pPr>
<w:r><w:t xml:space="preserve">the life and soul of the Academy of the palace, and we have</w:t></w:r>
</w:p>
<w:p>
<w:pPr><w:pStyle w:val="Normal"/></w:pPr>
<w:r><w:t xml:space="preserve">still, in the Dialogue of Pepin (son of Charlemagne) and</w:t></w:r>
</w:p>
<w:p>
<w:pPr><w:pStyle w:val="Normal"/></w:pPr>
<w:r><w:t xml:space="preserve">Alcuin, a sample of the intellectual exercises in which they</w:t></w:r>
</w:p>
<w:p>
<w:pPr><w:pStyle w:val="Normal"/></w:pPr>
<w:r><w:t xml:space="preserve">indulged.  It was under his inspiration that Charles wrote his</w:t></w:r>
</w:p>
<w:p>
<w:pPr><w:pStyle w:val="Normal"/></w:pPr>
<w:r><w:t xml:space="preserve">famous letter de litteris colendis (Boretius, Capitularia,</w:t></w:r>
</w:p>
<w:p>
<w:pPr><w:pStyle w:val="Normal"/></w:pPr>
<w:r><w:t xml:space="preserve">i. p. 78), and it was he who founded a fine library in the</w:t></w:r>
</w:p>
<w:p>
<w:pPr><w:pStyle w:val="Normal"/></w:pPr>
<w:r><w:t xml:space="preserve">palace.  In 790 Alcuin returned to his own country, to which he</w:t></w:r>
</w:p>
<w:p>
<w:pPr><w:pStyle w:val="Normal"/></w:pPr>
<w:r><w:t xml:space="preserve">had always been greatly attached, and stayed there some time;</w:t></w:r>
</w:p>
<w:p>
<w:pPr><w:pStyle w:val="Normal"/></w:pPr>
<w:r><w:t xml:space="preserve">but Charlemagne needed him to combat the Adoptianist heresy,</w:t></w:r>
</w:p>
<w:p>
<w:pPr><w:pStyle w:val="Normal"/></w:pPr>
<w:r><w:t xml:space="preserve">which was at that time making great progress in the marches of</w:t></w:r>
</w:p>
<w:p>
<w:pPr><w:pStyle w:val="Normal"/></w:pPr>
<w:r><w:t xml:space="preserve">Spain.  At the council of Frankfort in 794 Alcuin upheld the</w:t></w:r>
</w:p>
<w:p>
<w:pPr><w:pStyle w:val="Normal"/></w:pPr>
<w:r><w:t xml:space="preserve">orthodox doctrine, and obtained the condemnation of the heresiarch</w:t></w:r>
</w:p>
<w:p>
<w:pPr><w:pStyle w:val="Normal"/></w:pPr>
<w:r><w:t xml:space="preserve">Felix of Urgel.  After this victory he again returned to his</w:t></w:r>
</w:p>
<w:p>
<w:pPr><w:pStyle w:val="Normal"/></w:pPr>
<w:r><w:t xml:space="preserve">own land, but on account of the disturbances which broke out</w:t></w:r>
</w:p>
<w:p>
<w:pPr><w:pStyle w:val="Normal"/></w:pPr>
<w:r><w:t xml:space="preserve">there, and which led to the death of King AEthelred (796),</w:t></w:r>
</w:p>
<w:p>
<w:pPr><w:pStyle w:val="Normal"/></w:pPr>
<w:r><w:t xml:space="preserve">he bade farewell to it for ever.  Charlemagne had just given</w:t></w:r>
</w:p>
<w:p>
<w:pPr><w:pStyle w:val="Normal"/></w:pPr>
<w:r><w:t xml:space="preserve">him the great abbey of St Martin at Tours, and there, far</w:t></w:r>
</w:p>
<w:p>
<w:pPr><w:pStyle w:val="Normal"/></w:pPr>
<w:r><w:t xml:space="preserve">from the disturbed life of the court, he passed his last</w:t></w:r>
</w:p>
<w:p>
<w:pPr><w:pStyle w:val="Normal"/></w:pPr>
<w:r><w:t xml:space="preserve">years.  He made the abbey school into a model of excellence,</w:t></w:r>
</w:p>
<w:p>
<w:pPr><w:pStyle w:val="Normal"/></w:pPr>
<w:r><w:t xml:space="preserve">and many students flocked to it; he had numerous manuscripts</w:t></w:r>
</w:p>
<w:p>
<w:pPr><w:pStyle w:val="Normal"/></w:pPr>
<w:r><w:t xml:space="preserve">copied, the calligraphy of which is of extraordinary beauty</w:t></w:r>
</w:p>
<w:p>
<w:pPr><w:pStyle w:val="Normal"/></w:pPr>
<w:r><w:t xml:space="preserve">(v. Leopold Delisle in the Memoires de l&apos;Academie des</w:t></w:r>
</w:p>
<w:p>
<w:pPr><w:pStyle w:val="Normal"/></w:pPr>
<w:r><w:t xml:space="preserve">Inscriptions, vol. xxxii., 1st part, 1885) . He wrote</w:t></w:r>
</w:p>
<w:p>
<w:pPr><w:pStyle w:val="Normal"/></w:pPr>
<w:r><w:t xml:space="preserve">numerous letters to his friends in England, to Arno, bishop</w:t></w:r>
</w:p>
<w:p>
<w:pPr><w:pStyle w:val="Normal"/></w:pPr>
<w:r><w:t xml:space="preserve">of Salzburg, and above all to Charlemagne.  These letters,</w:t></w:r>
</w:p>
<w:p>
<w:pPr><w:pStyle w:val="Normal"/></w:pPr>
<w:r><w:t xml:space="preserve">of which 311 are extant, are filled chiefly with pious</w:t></w:r>
</w:p>
<w:p>
<w:pPr><w:pStyle w:val="Normal"/></w:pPr>
<w:r><w:t xml:space="preserve">meditations, but they further form a mine of information as</w:t></w:r>
</w:p>
<w:p>
<w:pPr><w:pStyle w:val="Normal"/></w:pPr>
<w:r><w:t xml:space="preserve">to the literary and social conditions of the time, and are</w:t></w:r>
</w:p>
<w:p>
<w:pPr><w:pStyle w:val="Normal"/></w:pPr>
<w:r><w:t xml:space="preserve">the most reliable authority for the history of humanism in</w:t></w:r>
</w:p>
<w:p>
<w:pPr><w:pStyle w:val="Normal"/></w:pPr>
<w:r><w:t xml:space="preserve">the Carolingian age.  He also trained the numerous monks of</w:t></w:r>
</w:p>
<w:p>
<w:pPr><w:pStyle w:val="Normal"/></w:pPr>
<w:r><w:t xml:space="preserve">the abbey in piety, and it was in the midst of these pursuits</w:t></w:r>
</w:p>
<w:p>
<w:pPr><w:pStyle w:val="Normal"/></w:pPr>
<w:r><w:t xml:space="preserve">that he was struck down by death on the 19th of May 804.</w:t></w:r>
</w:p>
<w:p>
<w:pPr><w:pStyle w:val="Normal"/></w:pPr>
<w:r><w:t xml:space="preserve">Alcuin is the most prominent figure of the Carolingian Renaissance,</w:t></w:r>
</w:p>
<w:p>
<w:pPr><w:pStyle w:val="Normal"/></w:pPr>
<w:r><w:t xml:space="preserve">in which have been distinguished three main periods: in the</w:t></w:r>
</w:p>
<w:p>
<w:pPr><w:pStyle w:val="Normal"/></w:pPr>
<w:r><w:t xml:space="preserve">first of these, up to the arrival of Alcuin at the court, the</w:t></w:r>
</w:p>
<w:p>
<w:pPr><w:pStyle w:val="Normal"/></w:pPr>
<w:r><w:t xml:space="preserve">Italians occupy the chief place; in the second, Alcuin and</w:t></w:r>
</w:p>
<w:p>
<w:pPr><w:pStyle w:val="Normal"/></w:pPr>
<w:r><w:t xml:space="preserve">the Anglo-Saxons are dominant; in the third, which begins in</w:t></w:r>
</w:p>
<w:p>
<w:pPr><w:pStyle w:val="Normal"/></w:pPr>
<w:r><w:t xml:space="preserve">804, the influence of the Goth Theodulf is preponderant.</w:t></w:r>
</w:p>
<w:p>
<w:pPr><w:pStyle w:val="Normal"/></w:pPr>
<w:r><w:t xml:space="preserve">Alcuin transmitted to the ignorant Franks the knowledge of</w:t></w:r>
</w:p>
<w:p>
<w:pPr><w:pStyle w:val="Normal"/></w:pPr>
<w:r><w:t xml:space="preserve">Latin culture which had existed in England since the time of</w:t></w:r>
</w:p>
<w:p>
<w:pPr><w:pStyle w:val="Normal"/></w:pPr>
<w:r><w:t xml:space="preserve">Bede.  We still have a number of his works.  His letters have</w:t></w:r>
</w:p>
<w:p>
<w:pPr><w:pStyle w:val="Normal"/></w:pPr>
<w:r><w:t xml:space="preserve">already been mentioned; his poetry is equally interesting.</w:t></w:r>
</w:p>
<w:p>
<w:pPr><w:pStyle w:val="Normal"/></w:pPr>
<w:r><w:t xml:space="preserve">Besides some graceful epistles in the style of Fortunatus, he</w:t></w:r>
</w:p>
<w:p>
<w:pPr><w:pStyle w:val="Normal"/></w:pPr>
<w:r><w:t xml:space="preserve">wrote some long poems, and notably a whole history in verse</w:t></w:r>
</w:p>
<w:p>
<w:pPr><w:pStyle w:val="Normal"/></w:pPr>
<w:r><w:t xml:space="preserve">of the church at York: Versus de patribus, regibus et sanctis</w:t></w:r>
</w:p>
<w:p>
<w:pPr><w:pStyle w:val="Normal"/></w:pPr>
<w:r><w:t xml:space="preserve">Eboracensis ecclesiae. We owe to him, too, some manuals used</w:t></w:r>
</w:p>
<w:p>
<w:pPr><w:pStyle w:val="Normal"/></w:pPr>
<w:r><w:t xml:space="preserve">in his educational work; a grammar and works on rhetoric and</w:t></w:r>
</w:p>
<w:p>
<w:pPr><w:pStyle w:val="Normal"/></w:pPr>
<w:r><w:t xml:space="preserve">dialectics.  They are written in the form of dialogues,</w:t></w:r>
</w:p>
<w:p>
<w:pPr><w:pStyle w:val="Normal"/></w:pPr>
<w:r><w:t xml:space="preserve">and in the two last the interlocutors are King Charles and</w:t></w:r>
</w:p>
<w:p>
<w:pPr><w:pStyle w:val="Normal"/></w:pPr>
<w:r><w:t xml:space="preserve">Alcuin.  He wrote, finally, several theological treatises:</w:t></w:r>
</w:p>
<w:p>
<w:pPr><w:pStyle w:val="Normal"/></w:pPr>
<w:r><w:t xml:space="preserve">a treatise de Fide Trinitatis, commentaries on the Bible,</w:t></w:r>
</w:p>
<w:p>
<w:pPr><w:pStyle w:val="Normal"/></w:pPr>
<w:r><w:t xml:space="preserve">&amp;c. The complete works of Alcuin have been edited by Froben:</w:t></w:r>
</w:p>
<w:p>
<w:pPr><w:pStyle w:val="Normal"/></w:pPr>
<w:r><w:t xml:space="preserve">Alcuini opera, 1 vol. in 4 parts (Regensburg, 1777); this</w:t></w:r>
</w:p>
<w:p>
<w:pPr><w:pStyle w:val="Normal"/></w:pPr>
<w:r><w:t xml:space="preserve">edition is reproduced in Migne&apos;s Patrolog. lat. vols. c. and</w:t></w:r>
</w:p>
<w:p>
<w:pPr><w:pStyle w:val="Normal"/></w:pPr>
<w:r><w:t xml:space="preserve">ci.  The letters have been published by Jaffe and Dummler in</w:t></w:r>
</w:p>
<w:p>
<w:pPr><w:pStyle w:val="Normal"/></w:pPr>
<w:r><w:t xml:space="preserve">Jaffe&apos;s Bibliotheca rerum germonicarum, vol. vi. pp. 132-897</w:t></w:r>
</w:p>
<w:p>
<w:pPr><w:pStyle w:val="Normal"/></w:pPr>
<w:r><w:t xml:space="preserve">(1873).  E. Dummler has also published an authoritative</w:t></w:r>
</w:p>
<w:p>
<w:pPr><w:pStyle w:val="Normal"/></w:pPr>
<w:r><w:t xml:space="preserve">edition, Epistolae aevi Carolini, vol. ii. pp. 1-481, in the</w:t></w:r>
</w:p>
<w:p>
<w:pPr><w:pStyle w:val="Normal"/></w:pPr>
<w:r><w:t xml:space="preserve">Monumenta Germaniae, and has edited the poems in the same</w:t></w:r>
</w:p>
<w:p>
<w:pPr><w:pStyle w:val="Normal"/></w:pPr>
<w:r><w:t xml:space="preserve">collection: Poetae latini aevi Carolini, vol. i. pp. 169-341.</w:t></w:r>
</w:p>
<w:p>
<w:pPr><w:pStyle w:val="Normal"/></w:pPr>
<w:r><w:t xml:space="preserve">AUTHORITIES.--Monnier, Alcuin et Charlemagne (Paris,</w:t></w:r>
</w:p>
<w:p>
<w:pPr><w:pStyle w:val="Normal"/></w:pPr>
<w:r><w:t xml:space="preserve">1863); K. Werner, Alkuin und sein Jahrhundert (Paderborn,</w:t></w:r>
</w:p>
<w:p>
<w:pPr><w:pStyle w:val="Normal"/></w:pPr>
<w:r><w:t xml:space="preserve">1876); J. Bass Mullinger, The Schools of Charles the Great</w:t></w:r>
</w:p>
<w:p>
<w:pPr><w:pStyle w:val="Normal"/></w:pPr>
<w:r><w:t xml:space="preserve">and the Restoration of Education in the 9th Century</w:t></w:r>
</w:p>
<w:p>
<w:pPr><w:pStyle w:val="Normal"/></w:pPr>
<w:r><w:t xml:space="preserve">(London, 1877); Aug. Molinier, Les Sources de l&apos;histoire de</w:t></w:r>
</w:p>
<w:p>
<w:pPr><w:pStyle w:val="Normal"/></w:pPr>
<w:r><w:t xml:space="preserve">France, vol. i. p. 191; G, Monod, Etudes critiques sur les</w:t></w:r>
</w:p>
<w:p>
<w:pPr><w:pStyle w:val="Normal"/></w:pPr>
<w:r><w:t xml:space="preserve">sources de l&apos;histoire carolingienne, part i. (Paris, (1898);</w:t></w:r>
</w:p>
<w:p>
<w:pPr><w:pStyle w:val="Heading1"/></w:pPr>
<w:r><w:t>C. J. B. Gaskoin, Alcuin: His Life and his Work (London,</w:t></w:r>
</w:p>
<w:p>
<w:pPr><w:pStyle w:val="Normal"/></w:pPr>
<w:r><w:t xml:space="preserve">1903).  See further U. Chevalier, Repertoire des sources,</w:t></w:r>
</w:p>
<w:p>
<w:pPr><w:pStyle w:val="Normal"/></w:pPr>
<w:r><w:t xml:space="preserve">&amp;c., biobibliographie, s.v. Alcuin; Wattenbach, Deutschlands</w:t></w:r>
</w:p>
<w:p>
<w:pPr><w:pStyle w:val="Normal"/></w:pPr>
<w:r><w:t xml:space="preserve">Geschichtsquellen (Stuttgart and Berlin, 1904), i, p. 186. (C. PF.)</w:t></w:r>
</w:p>
<w:p>
<w:pPr><w:pStyle w:val="Normal"/></w:pPr>
<w:r><w:t xml:space="preserve">ALCYONE, or HALCYONE, in Greek mythology, daughter of</w:t></w:r>
</w:p>
<w:p>
<w:pPr><w:pStyle w:val="Normal"/></w:pPr>
<w:r><w:t xml:space="preserve">Aeolus and wife of Ceyx.  For their presumption in calling</w:t></w:r>
</w:p>
<w:p>
<w:pPr><w:pStyle w:val="Normal"/></w:pPr>
<w:r><w:t xml:space="preserve">themselves Zeus and Hera they were changed into birds--Alcyone</w:t></w:r>
</w:p>
<w:p>
<w:pPr><w:pStyle w:val="Normal"/></w:pPr>
<w:r><w:t xml:space="preserve">into a diver, Ceyx into a kingfisher.  According to another</w:t></w:r>
</w:p>
<w:p>
<w:pPr><w:pStyle w:val="Normal"/></w:pPr>
<w:r><w:t xml:space="preserve">story, Ceyx was drowned and his body cast on the shore.</w:t></w:r>
</w:p>
<w:p>
<w:pPr><w:pStyle w:val="Normal"/></w:pPr>
<w:r><w:t xml:space="preserve">His wife found the body, and the gods, out of compassion,</w:t></w:r>
</w:p>
<w:p>
<w:pPr><w:pStyle w:val="Normal"/></w:pPr>
<w:r><w:t xml:space="preserve">changed both her and her husband into kingfishers.  By command</w:t></w:r>
</w:p>
<w:p>
<w:pPr><w:pStyle w:val="Normal"/></w:pPr>
<w:r><w:t xml:space="preserve">of Zeus (or Aeolus) the winds ceased to blow during their</w:t></w:r>
</w:p>
<w:p>
<w:pPr><w:pStyle w:val="Normal"/></w:pPr>
<w:r><w:t xml:space="preserve">brooding-time, for seven days before and after the shortest</w:t></w:r>
</w:p>
<w:p>
<w:pPr><w:pStyle w:val="Normal"/></w:pPr>
<w:r><w:t xml:space="preserve">day, that their eggs might not be carried away by the</w:t></w:r>
</w:p>
<w:p>
<w:pPr><w:pStyle w:val="Normal"/></w:pPr>
<w:r><w:t xml:space="preserve">sea.  Hence the expression ``halcyon days,&apos;&apos; used in ancient</w:t></w:r>
</w:p>
<w:p>
<w:pPr><w:pStyle w:val="Normal"/></w:pPr>
<w:r><w:t xml:space="preserve">and modern times to denote a period of calm and tranquillity.</w:t></w:r>
</w:p>
<w:p>
<w:pPr><w:pStyle w:val="Normal"/></w:pPr>
<w:r><w:t xml:space="preserve">Apollonius Rhodius i. 1087; Ovid, Metam.</w:t></w:r>
</w:p>
<w:p>
<w:pPr><w:pStyle w:val="Normal"/></w:pPr>
<w:r><w:t xml:space="preserve">xi. 410 et seq.; Hyginus, Fabulae, 65.</w:t></w:r>
</w:p>
<w:p>
<w:pPr><w:pStyle w:val="Normal"/></w:pPr>
<w:r><w:t xml:space="preserve">ALDABRA, the collective name of a group of islands in</w:t></w:r>
</w:p>
<w:p>
<w:pPr><w:pStyle w:val="Normal"/></w:pPr>
<w:r><w:t xml:space="preserve">the Indian Ocean, forming part of the British colony of</w:t></w:r>
</w:p>
<w:p>
<w:pPr><w:pStyle w:val="Normal"/></w:pPr>
<w:r><w:t xml:space="preserve">Seychelles.  They lie in 9 deg.  30&apos; S., 46 deg.  E., are 265 m.</w:t></w:r>
</w:p>
<w:p>
<w:pPr><w:pStyle w:val="Normal"/></w:pPr>
<w:r><w:t xml:space="preserve">N.W. of the northern point of Madagascar and 690 m.  S.W. of</w:t></w:r>
</w:p>
<w:p>
<w:pPr><w:pStyle w:val="Normal"/></w:pPr>
<w:r><w:t xml:space="preserve">Mahe, the principal island of the Seychelles archipelago.  The</w:t></w:r>
</w:p>
<w:p>
<w:pPr><w:pStyle w:val="Normal"/></w:pPr>
<w:r><w:t xml:space="preserve">Comoro Islands lie 220 m.  S. by W. of Aldabra.  The Aldabra</w:t></w:r>
</w:p>
<w:p>
<w:pPr><w:pStyle w:val="Normal"/></w:pPr>
<w:r><w:t xml:space="preserve">Islands constitute an atoll consisting of an oval ring of</w:t></w:r>
</w:p>
<w:p>
<w:pPr><w:pStyle w:val="Normal"/></w:pPr>
<w:r><w:t xml:space="preserve">land, some 40 m. in circumference and about 1 1/2 m. broad,</w:t></w:r>
</w:p>
<w:p>
<w:pPr><w:pStyle w:val="Normal"/></w:pPr>
<w:r><w:t xml:space="preserve">enclosing a shallow lagoon.  Channels divide the ring into four</w:t></w:r>
</w:p>
<w:p>
<w:pPr><w:pStyle w:val="Normal"/></w:pPr>
<w:r><w:t xml:space="preserve">islands.  Grande Terre or South Island forms three-fifths of the</w:t></w:r>
</w:p>
<w:p>
<w:pPr><w:pStyle w:val="Normal"/></w:pPr>
<w:r><w:t xml:space="preserve">circumference.  The other islands are West Island or Ile</w:t></w:r>
</w:p>
<w:p>
<w:pPr><w:pStyle w:val="Normal"/></w:pPr>
<w:r><w:t xml:space="preserve">Picard, Polymnie and Middle Island.  There are in addition</w:t></w:r>
</w:p>
<w:p>
<w:pPr><w:pStyle w:val="Normal"/></w:pPr>
<w:r><w:t xml:space="preserve">several islets in the lagoon, the most important being Ile</w:t></w:r>
</w:p>
<w:p>
<w:pPr><w:pStyle w:val="Normal"/></w:pPr>
<w:r><w:t xml:space="preserve">Michel.  The total land area is estimated at about 60 sq. m., the</w:t></w:r>
</w:p>
<w:p>
<w:pPr><w:pStyle w:val="Normal"/></w:pPr>
<w:r><w:t xml:space="preserve">lagoon, 16 m. long and 4 m. wide, covering a somewhat larger</w:t></w:r>
</w:p>
<w:p>
<w:pPr><w:pStyle w:val="Normal"/></w:pPr>
<w:r><w:t xml:space="preserve">area.  Pop. (1906) 127. The islands rise from 20 to 80 ft.</w:t></w:r>
</w:p>
<w:p>
<w:pPr><w:pStyle w:val="Normal"/></w:pPr>
<w:r><w:t xml:space="preserve">above the sea, and consist of rugged coral rock and limestone,</w:t></w:r>
</w:p>
<w:p>
<w:pPr><w:pStyle w:val="Normal"/></w:pPr>
<w:r><w:t xml:space="preserve">there being very little soil.  The sea-face is generally</w:t></w:r>
</w:p>
<w:p>
<w:pPr><w:pStyle w:val="Normal"/></w:pPr>
<w:r><w:t xml:space="preserve">overhanging cliff, but in a few places are sandy beaches</w:t></w:r>
</w:p>
<w:p>
<w:pPr><w:pStyle w:val="Normal"/></w:pPr>
<w:r><w:t xml:space="preserve">and low sandhills.  Dense scrub covers most of the land, but</w:t></w:r>
</w:p>
<w:p>
<w:pPr><w:pStyle w:val="Normal"/></w:pPr>
<w:r><w:t xml:space="preserve">the inner (lagoon) shore is everywhere bounded by mangrove</w:t></w:r>
</w:p>
<w:p>
<w:pPr><w:pStyle w:val="Normal"/></w:pPr>
<w:r><w:t xml:space="preserve">swamps.  The flora and fauna of the islands present features</w:t></w:r>
</w:p>
<w:p>
<w:pPr><w:pStyle w:val="Normal"/></w:pPr>
<w:r><w:t xml:space="preserve">of unusual interest.  They are chiefly noted as the habitat</w:t></w:r>
</w:p>
<w:p>
<w:pPr><w:pStyle w:val="Normal"/></w:pPr>
<w:r><w:t xml:space="preserve">of the gigantic land tortoise (Testudo elephantina), now</w:t></w:r>
</w:p>
<w:p>
<w:pPr><w:pStyle w:val="Normal"/></w:pPr>
<w:r><w:t xml:space="preserve">carefully preserved, and of several rare and peculiar birds,</w:t></w:r>
</w:p>
<w:p>
<w:pPr><w:pStyle w:val="Normal"/></w:pPr>
<w:r><w:t xml:space="preserve">including a rail (Dryolimnas aldabranus), an ibis (Ibis</w:t></w:r>
</w:p>
<w:p>
<w:pPr><w:pStyle w:val="Normal"/></w:pPr>
<w:r><w:t xml:space="preserve">abbottii) and a dove (Alectroenas sganzini.) Crustacea are</w:t></w:r>
</w:p>
<w:p>
<w:pPr><w:pStyle w:val="Normal"/></w:pPr>
<w:r><w:t xml:space="preserve">abundant.  They include oysters, crabs of great size, and a</w:t></w:r>
</w:p>
<w:p>
<w:pPr><w:pStyle w:val="Normal"/></w:pPr>
<w:r><w:t xml:space="preserve">small mussel, found in enormous numbers.  The flora includes</w:t></w:r>
</w:p>
<w:p>
<w:pPr><w:pStyle w:val="Normal"/></w:pPr>
<w:r><w:t xml:space="preserve">mangroves, Rubiaceae, Sapotaceae and other forms requiring</w:t></w:r>
</w:p>
<w:p>
<w:pPr><w:pStyle w:val="Normal"/></w:pPr>
<w:r><w:t xml:space="preserve">more than pure coralline material for their growth.  Writing</w:t></w:r>
</w:p>
<w:p>
<w:pPr><w:pStyle w:val="Normal"/></w:pPr>
<w:r><w:t xml:space="preserve">of the fauna and flora generally, Mr R. Dupont, curator of the</w:t></w:r>
</w:p>
<w:p>
<w:pPr><w:pStyle w:val="Normal"/></w:pPr>
<w:r><w:t xml:space="preserve">Botanic station at Mahe, who visited Aldabra in 1906. says:</w:t></w:r>
</w:p>
<w:p>
<w:pPr><w:pStyle w:val="Normal"/></w:pPr>
<w:r><w:t xml:space="preserve">``The specimens represented, besides being partly peculiar,</w:t></w:r>
</w:p>
<w:p>
<w:pPr><w:pStyle w:val="Normal"/></w:pPr>
<w:r><w:t xml:space="preserve">mostly belong to the Mascarenes, Madagascar and Comoros</w:t></w:r>
</w:p>
<w:p>
<w:pPr><w:pStyle w:val="Normal"/></w:pPr>
<w:r><w:t xml:space="preserve">species.  Many species are also common to East Africa and to</w:t></w:r>
</w:p>
<w:p>
<w:pPr><w:pStyle w:val="Normal"/></w:pPr>
<w:r><w:t xml:space="preserve">India. . . . The predominant species are Madagascar plants and</w:t></w:r>
</w:p>
<w:p>
<w:pPr><w:pStyle w:val="Normal"/></w:pPr>
<w:r><w:t xml:space="preserve">birds, which are carried by the currents and the winds. . . .</w:t></w:r>
</w:p>
<w:p>
<w:pPr><w:pStyle w:val="Normal"/></w:pPr>
<w:r><w:t xml:space="preserve">There are comparatively few (10) species of plants which are</w:t></w:r>
</w:p>
<w:p>
<w:pPr><w:pStyle w:val="Normal"/></w:pPr>
<w:r><w:t xml:space="preserve">endemic as far as the flora has been investigated, and it is</w:t></w:r>
</w:p>
<w:p>
<w:pPr><w:pStyle w:val="Normal"/></w:pPr>
<w:r><w:t xml:space="preserve">probable that most of them are also existing in the Comoros,</w:t></w:r>
</w:p>
<w:p>
<w:pPr><w:pStyle w:val="Normal"/></w:pPr>
<w:r><w:t xml:space="preserve">where the flora is not well known. . . . Endemic inferior</w:t></w:r>
</w:p>
<w:p>
<w:pPr><w:pStyle w:val="Normal"/></w:pPr>
<w:r><w:t xml:space="preserve">animals and mammals are practically non-existent, except two</w:t></w:r>
</w:p>
<w:p>
<w:pPr><w:pStyle w:val="Normal"/></w:pPr>
<w:r><w:t xml:space="preserve">bats and one scorpion, which are allied to Madagascar species</w:t></w:r>
</w:p>
<w:p>
<w:pPr><w:pStyle w:val="Normal"/></w:pPr>
<w:r><w:t xml:space="preserve">or introduced.  The reptiles (tortoises) are also nearly</w:t></w:r>
</w:p>
<w:p>
<w:pPr><w:pStyle w:val="Normal"/></w:pPr>
<w:r><w:t xml:space="preserve">allied to the Mascarenes and Madagascar species which once</w:t></w:r>
</w:p>
<w:p>
<w:pPr><w:pStyle w:val="Normal"/></w:pPr>
<w:r><w:t xml:space="preserve">existed.  With regard to birds and land shells the relation is</w:t></w:r>
</w:p>
<w:p>
<w:pPr><w:pStyle w:val="Normal"/></w:pPr>
<w:r><w:t xml:space="preserve">much closer to the Comoros species, and the latter, of which</w:t></w:r>
</w:p>
<w:p>
<w:pPr><w:pStyle w:val="Heading1"/></w:pPr>
<w:r><w:t>I have collected seven species besides Rachis aldabrae, may</w:t></w:r>
</w:p>
<w:p>
<w:pPr><w:pStyle w:val="Normal"/></w:pPr>
<w:r><w:t xml:space="preserve">serve to point out more than the birds the land connexion of</w:t></w:r>
</w:p>
<w:p>
<w:pPr><w:pStyle w:val="Normal"/></w:pPr>
<w:r><w:t xml:space="preserve">Aldabra with the neighbouring countries.&apos;&apos; Aldabra, however,</w:t></w:r>
</w:p>
<w:p>
<w:pPr><w:pStyle w:val="Normal"/></w:pPr>
<w:r><w:t xml:space="preserve">although situated in that region of the Indian Ocean which</w:t></w:r>
</w:p>
<w:p>
<w:pPr><w:pStyle w:val="Normal"/></w:pPr>
<w:r><w:t xml:space="preserve">forms part of the site of the Indo-Madagascar continent</w:t></w:r>
</w:p>
<w:p>
<w:pPr><w:pStyle w:val="Normal"/></w:pPr>
<w:r><w:t xml:space="preserve">of the Secondary period, is not a peak of the submerged</w:t></w:r>
</w:p>
<w:p>
<w:pPr><w:pStyle w:val="Normal"/></w:pPr>
<w:r><w:t xml:space="preserve">land.  It has been built up from the sunken remains of the</w:t></w:r>
</w:p>
<w:p>
<w:pPr><w:pStyle w:val="Normal"/></w:pPr>
<w:r><w:t xml:space="preserve">old continent by a deposit, in the opinion of Professor A.</w:t></w:r>
</w:p>
<w:p>
<w:pPr><w:pStyle w:val="Normal"/></w:pPr>
<w:r><w:t xml:space="preserve">Voeltzkow, of foraminiferal remains (mostly coccoliths and</w:t></w:r>
</w:p>
<w:p>
<w:pPr><w:pStyle w:val="Normal"/></w:pPr>
<w:r><w:t xml:space="preserve">rhabdoliths).  In any case, however Aldabra was formed,</w:t></w:r>
</w:p>
<w:p>
<w:pPr><w:pStyle w:val="Normal"/></w:pPr>
<w:r><w:t xml:space="preserve">there can be no suggestion of its ever having been joined</w:t></w:r>
</w:p>
<w:p>
<w:pPr><w:pStyle w:val="Normal"/></w:pPr>
<w:r><w:t xml:space="preserve">to any other land (Stanley Gardiner).  Dupont states that</w:t></w:r>
</w:p>
<w:p>
<w:pPr><w:pStyle w:val="Normal"/></w:pPr>
<w:r><w:t xml:space="preserve">at Aldabra the coral foundation is totally above water.</w:t></w:r>
</w:p>
<w:p>
<w:pPr><w:pStyle w:val="Normal"/></w:pPr>
<w:r><w:t xml:space="preserve">The coral limestone of the atoll has a peculiar vitrified</w:t></w:r>
</w:p>
<w:p>
<w:pPr><w:pStyle w:val="Normal"/></w:pPr>
<w:r><w:t xml:space="preserve">appearance and gives out a ringing sound when struck or</w:t></w:r>
</w:p>
<w:p>
<w:pPr><w:pStyle w:val="Normal"/></w:pPr>
<w:r><w:t xml:space="preserve">simply walked on.  The coral is generally reddish, but</w:t></w:r>
</w:p>
<w:p>
<w:pPr><w:pStyle w:val="Normal"/></w:pPr>
<w:r><w:t xml:space="preserve">the colouring ranges from light yellow to chocolate-brown.</w:t></w:r>
</w:p>
<w:p>
<w:pPr><w:pStyle w:val="Normal"/></w:pPr>
<w:r><w:t xml:space="preserve">Aldabra was visited by Portuguese navigators in 1511.  The</w:t></w:r>
</w:p>
<w:p>
<w:pPr><w:pStyle w:val="Normal"/></w:pPr>
<w:r><w:t xml:space="preserve">islands were already known to the Arabs, from whom they get</w:t></w:r>
</w:p>
<w:p>
<w:pPr><w:pStyle w:val="Normal"/></w:pPr>
<w:r><w:t xml:space="preserve">their name.  They became in the middle of the 18th century</w:t></w:r>
</w:p>
<w:p>
<w:pPr><w:pStyle w:val="Normal"/></w:pPr>
<w:r><w:t xml:space="preserve">dependencies of the French establishments at Bourbon (Reunion),</w:t></w:r>
</w:p>
<w:p>
<w:pPr><w:pStyle w:val="Normal"/></w:pPr>
<w:r><w:t xml:space="preserve">whence expeditions were made for the capture of the giant</w:t></w:r>
</w:p>
<w:p>
<w:pPr><w:pStyle w:val="Normal"/></w:pPr>
<w:r><w:t xml:space="preserve">tortoises.  In 1810 with Mauritius, Bourbon, the Seychelles</w:t></w:r>
</w:p>
<w:p>
<w:pPr><w:pStyle w:val="Normal"/></w:pPr>
<w:r><w:t xml:space="preserve">and other islands, Aldabra passed into the possession of</w:t></w:r>
</w:p>
<w:p>
<w:pPr><w:pStyle w:val="Normal"/></w:pPr>
<w:r><w:t xml:space="preserve">Great Britain.  The inhabitants are emigrants from the</w:t></w:r>
</w:p>
<w:p>
<w:pPr><w:pStyle w:val="Normal"/></w:pPr>
<w:r><w:t xml:space="preserve">Seychelles.  Goats are bred and coco-nuts cultivated,</w:t></w:r>
</w:p>
<w:p>
<w:pPr><w:pStyle w:val="Normal"/></w:pPr>
<w:r><w:t xml:space="preserve">but fishing is the chief industry.  With other outlying</w:t></w:r>
</w:p>
<w:p>
<w:pPr><w:pStyle w:val="Normal"/></w:pPr>
<w:r><w:t xml:space="preserve">islands Aldabra is held under lease from the Seychelles</w:t></w:r>
</w:p>
<w:p>
<w:pPr><w:pStyle w:val="Normal"/></w:pPr>
<w:r><w:t xml:space="preserve">government, the lessees having exclusive trading privileges.</w:t></w:r>
</w:p>
<w:p>
<w:pPr><w:pStyle w:val="Normal"/></w:pPr>
<w:r><w:t xml:space="preserve">See R. Dupont, Report on a Visit of Investigation to . . .</w:t></w:r>
</w:p>
<w:p>
<w:pPr><w:pStyle w:val="Normal"/></w:pPr>
<w:r><w:t xml:space="preserve">the Aldabra Group of the Seychelles Islands (Seychelles,</w:t></w:r>
</w:p>
<w:p>
<w:pPr><w:pStyle w:val="Normal"/></w:pPr>
<w:r><w:t xml:space="preserve">1907); Dr Abbott in Proceedings, United States National Museum</w:t></w:r>
</w:p>
<w:p>
<w:pPr><w:pStyle w:val="Normal"/></w:pPr>
<w:r><w:t xml:space="preserve">(Washington, 1894); A. Voeltzkow in Abh. der Senckenbergischen</w:t></w:r>
</w:p>
<w:p>
<w:pPr><w:pStyle w:val="Normal"/></w:pPr>
<w:r><w:t xml:space="preserve">Naturferschenden Ges. vol. xxvi. part iv. (1901); J. S.</w:t></w:r>
</w:p>
<w:p>
<w:pPr><w:pStyle w:val="Normal"/></w:pPr>
<w:r><w:t xml:space="preserve">Gardiner, ``The Indian Ocean,&apos;&apos; Geo. Journ. Oct. 1906.</w:t></w:r>
</w:p>
<w:p>
<w:pPr><w:pStyle w:val="Normal"/></w:pPr>
<w:r><w:t xml:space="preserve">ALDBOROUGH, a village in the Ripon parliamentary division</w:t></w:r>
</w:p>
<w:p>
<w:pPr><w:pStyle w:val="Normal"/></w:pPr>
<w:r><w:t xml:space="preserve">of the West Riding of Yorkshire, England, 16 m.  W.N.W. of</w:t></w:r>
</w:p>
<w:p>
<w:pPr><w:pStyle w:val="Normal"/></w:pPr>
<w:r><w:t xml:space="preserve">York, and 1 m.  E. of the market town of Boroughbridge, which</w:t></w:r>
</w:p>
<w:p>
<w:pPr><w:pStyle w:val="Normal"/></w:pPr>
<w:r><w:t xml:space="preserve">has a station on a branch of the North-Eastern railway.</w:t></w:r>
</w:p>
<w:p>
<w:pPr><w:pStyle w:val="Normal"/></w:pPr>
<w:r><w:t xml:space="preserve">Aldborough formerly returned two members to parliament, but</w:t></w:r>
</w:p>
<w:p>
<w:pPr><w:pStyle w:val="Normal"/></w:pPr>
<w:r><w:t xml:space="preserve">was disfranchised by the Reform Act of 1832.  The place is</w:t></w:r>
</w:p>
<w:p>
<w:pPr><w:pStyle w:val="Normal"/></w:pPr>
<w:r><w:t xml:space="preserve">remarkable from its numerous ancient remains.  It was the</w:t></w:r>
</w:p>
<w:p>
<w:pPr><w:pStyle w:val="Normal"/></w:pPr>
<w:r><w:t xml:space="preserve">Isurium Brigantum of the Romans, originally perhaps a capital</w:t></w:r>
</w:p>
<w:p>
<w:pPr><w:pStyle w:val="Normal"/></w:pPr>
<w:r><w:t xml:space="preserve">of the Brigantes tribe, and afterwards a Romano-British town</w:t></w:r>
</w:p>
<w:p>
<w:pPr><w:pStyle w:val="Normal"/></w:pPr>
<w:r><w:t xml:space="preserve">of considerable size.  Inscriptions, beautiful mosaics and</w:t></w:r>
</w:p>
<w:p>
<w:pPr><w:pStyle w:val="Normal"/></w:pPr>
<w:r><w:t xml:space="preserve">other traces of comfortable houses have been found, with</w:t></w:r>
</w:p>
<w:p>
<w:pPr><w:pStyle w:val="Normal"/></w:pPr>
<w:r><w:t xml:space="preserve">many potsherds, coins and bronze, iron and other objects;</w:t></w:r>
</w:p>
<w:p>
<w:pPr><w:pStyle w:val="Normal"/></w:pPr>
<w:r><w:t xml:space="preserve">and a large part of the town walls, several mosaics and</w:t></w:r>
</w:p>
<w:p>
<w:pPr><w:pStyle w:val="Normal"/></w:pPr>
<w:r><w:t xml:space="preserve">parts of buildings, can be seen.  A fine collection is kept</w:t></w:r>
</w:p>
<w:p>
<w:pPr><w:pStyle w:val="Normal"/></w:pPr>
<w:r><w:t xml:space="preserve">in the Museum Isurianum in the grounds of the manor-house.</w:t></w:r>
</w:p>
<w:p>
<w:pPr><w:pStyle w:val="Normal"/></w:pPr>
<w:r><w:t xml:space="preserve">ALDEBURGH [ALDBOROUGH], a market town and municipal</w:t></w:r>
</w:p>
<w:p>
<w:pPr><w:pStyle w:val="Normal"/></w:pPr>
<w:r><w:t xml:space="preserve">borough in the Eye parliamentary division of Suffolk, England,</w:t></w:r>
</w:p>
<w:p>
<w:pPr><w:pStyle w:val="Normal"/></w:pPr>
<w:r><w:t xml:space="preserve">the terminus of a branch of the Great Eastern railway, 99 1/2</w:t></w:r>
</w:p>
<w:p>
<w:pPr><w:pStyle w:val="Normal"/></w:pPr>
<w:r><w:t xml:space="preserve">m.  N.E. by E. from London.  Area, 1629 acres.  Pop. (1901)</w:t></w:r>
</w:p>
<w:p>
<w:pPr><w:pStyle w:val="Normal"/></w:pPr>
<w:r><w:t xml:space="preserve">2405.  The surrounding district is open and somewhat bleak,</w:t></w:r>
</w:p>
<w:p>
<w:pPr><w:pStyle w:val="Normal"/></w:pPr>
<w:r><w:t xml:space="preserve">but a fine stretch of sand fringes the shallow inlet of</w:t></w:r>
</w:p>
<w:p>
<w:pPr><w:pStyle w:val="Normal"/></w:pPr>
<w:r><w:t xml:space="preserve">the North Sea known as Aldeburgh Bay. To the W. the river</w:t></w:r>
</w:p>
<w:p>
<w:pPr><w:pStyle w:val="Normal"/></w:pPr>
<w:r><w:t xml:space="preserve">Alde broadens as if into an estuary, but its outflow is</w:t></w:r>
</w:p>
<w:p>
<w:pPr><w:pStyle w:val="Normal"/></w:pPr>
<w:r><w:t xml:space="preserve">here prevented by the sand, and it runs south for nearly</w:t></w:r>
</w:p>
<w:p>
<w:pPr><w:pStyle w:val="Normal"/></w:pPr>
<w:r><w:t xml:space="preserve">10 m. parallel with the shore.  The sandbanks have arrested</w:t></w:r>
</w:p>
<w:p>
<w:pPr><w:pStyle w:val="Normal"/></w:pPr>
<w:r><w:t xml:space="preserve">the encroachments of the sea, which submerged a former</w:t></w:r>
</w:p>
<w:p>
<w:pPr><w:pStyle w:val="Normal"/></w:pPr>
<w:r><w:t xml:space="preserve">site of Aldeburgh.  The church of St Peter and St Paul is</w:t></w:r>
</w:p>
<w:p>
<w:pPr><w:pStyle w:val="Normal"/></w:pPr>
<w:r><w:t xml:space="preserve">Perpendicular, largely restored, and contains a monument to</w:t></w:r>
</w:p>
<w:p>
<w:pPr><w:pStyle w:val="Normal"/></w:pPr>
<w:r><w:t xml:space="preserve">the poet George Crabbe, born here on the 24th of December</w:t></w:r>
</w:p>
<w:p>
<w:pPr><w:pStyle w:val="Normal"/></w:pPr>
<w:r><w:t xml:space="preserve">1754.  A small picturesque Moot Hall of the 16th century is</w:t></w:r>
</w:p>
<w:p>
<w:pPr><w:pStyle w:val="Normal"/></w:pPr>
<w:r><w:t xml:space="preserve">used for corporation meetings.  Slaughden Quay on the Alde</w:t></w:r>
</w:p>
<w:p>
<w:pPr><w:pStyle w:val="Normal"/></w:pPr>
<w:r><w:t xml:space="preserve">admits small vessels, and fishing is carried on.  Aldeburgh</w:t></w:r>
</w:p>
<w:p>
<w:pPr><w:pStyle w:val="Normal"/></w:pPr>
<w:r><w:t xml:space="preserve">is governed by a mayor, 4 aldermen and 12 councillors.</w:t></w:r>
</w:p>
<w:p>
<w:pPr><w:pStyle w:val="Normal"/></w:pPr>
<w:r><w:t xml:space="preserve">Aldeburgh (Aldburc) takes its name from the river Alde</w:t></w:r>
</w:p>
<w:p>
<w:pPr><w:pStyle w:val="Normal"/></w:pPr>
<w:r><w:t xml:space="preserve">on which it stands.  It is not mentioned in pre-Conquest</w:t></w:r>
</w:p>
<w:p>
<w:pPr><w:pStyle w:val="Normal"/></w:pPr>
<w:r><w:t xml:space="preserve">records, but at the Domesday survey most of the land was held</w:t></w:r>
</w:p>
<w:p>
<w:pPr><w:pStyle w:val="Normal"/></w:pPr>
<w:r><w:t xml:space="preserve">by Robert Malet, a Norman.  In 1155 the manor was granted</w:t></w:r>
</w:p>
<w:p>
<w:pPr><w:pStyle w:val="Normal"/></w:pPr>
<w:r><w:t xml:space="preserve">to the abbey of St John of Colchester, later to Cardinal</w:t></w:r>
</w:p>
<w:p>
<w:pPr><w:pStyle w:val="Normal"/></w:pPr>
<w:r><w:t xml:space="preserve">Wolsey, and on his disgrace, to Thomas Howard, duke of Norfolk,</w:t></w:r>
</w:p>
<w:p>
<w:pPr><w:pStyle w:val="Normal"/></w:pPr>
<w:r><w:t xml:space="preserve">to whom Elizabeth in 1567 granted a market on Saturday.</w:t></w:r>
</w:p>
<w:p>
<w:pPr><w:pStyle w:val="Normal"/></w:pPr>
<w:r><w:t xml:space="preserve">In the 16th century Aldeburgh was a place of considerable</w:t></w:r>
</w:p>
<w:p>
<w:pPr><w:pStyle w:val="Normal"/></w:pPr>
<w:r><w:t xml:space="preserve">commercial importance, due, no doubt, to its position on the</w:t></w:r>
</w:p>
<w:p>
<w:pPr><w:pStyle w:val="Normal"/></w:pPr>
<w:r><w:t xml:space="preserve">sea-coast.  Aldeburgh claims to be a borough by prescription:</w:t></w:r>
</w:p>
<w:p>
<w:pPr><w:pStyle w:val="Normal"/></w:pPr>
<w:r><w:t xml:space="preserve">the earliest charter is that granted by Henry VIII. in</w:t></w:r>
</w:p>
<w:p>
<w:pPr><w:pStyle w:val="Normal"/></w:pPr>
<w:r><w:t xml:space="preserve">1529.  Edward VI. in 1548 raised it to the rank of a free</w:t></w:r>
</w:p>
<w:p>
<w:pPr><w:pStyle w:val="Normal"/></w:pPr>
<w:r><w:t xml:space="preserve">borough, granting a charter of incorporation and a market on</w:t></w:r>
</w:p>
<w:p>
<w:pPr><w:pStyle w:val="Normal"/></w:pPr>
<w:r><w:t xml:space="preserve">Wednesday.  Later charters were granted by Philip and Mary in</w:t></w:r>
</w:p>
<w:p>
<w:pPr><w:pStyle w:val="Normal"/></w:pPr>
<w:r><w:t xml:space="preserve">1553, by Elizabeth in 1558 and 1567, by James I. (who granted</w:t></w:r>
</w:p>
<w:p>
<w:pPr><w:pStyle w:val="Normal"/></w:pPr>
<w:r><w:t xml:space="preserve">two annual fairs) in 1606, and by Charles I. in 1631 and</w:t></w:r>
</w:p>
<w:p>
<w:pPr><w:pStyle w:val="Normal"/></w:pPr>
<w:r><w:t xml:space="preserve">1637.  The corporation included 2 bailiffs, 10 capital and</w:t></w:r>
</w:p>
<w:p>
<w:pPr><w:pStyle w:val="Normal"/></w:pPr>
<w:r><w:t xml:space="preserve">24 inferior burgesses, until the Municipal Corporations Act</w:t></w:r>
</w:p>
<w:p>
<w:pPr><w:pStyle w:val="Normal"/></w:pPr>
<w:r><w:t xml:space="preserve">1883.  The fairs and markets became so unimportant that</w:t></w:r>
</w:p>
<w:p>
<w:pPr><w:pStyle w:val="Normal"/></w:pPr>
<w:r><w:t xml:space="preserve">they were discontinued about the middle of the 19th</w:t></w:r>
</w:p>
<w:p>
<w:pPr><w:pStyle w:val="Normal"/></w:pPr>
<w:r><w:t xml:space="preserve">century.  The town returned two members to Elizabeth&apos;s</w:t></w:r>
</w:p>
<w:p>
<w:pPr><w:pStyle w:val="Normal"/></w:pPr>
<w:r><w:t xml:space="preserve">parliament of 1572, and continued to be so represented</w:t></w:r>
</w:p>
<w:p>
<w:pPr><w:pStyle w:val="Normal"/></w:pPr>
<w:r><w:t xml:space="preserve">till the Reform Bill of 1832 disfranchised it.  Frequent</w:t></w:r>
</w:p>
<w:p>
<w:pPr><w:pStyle w:val="Normal"/></w:pPr>
<w:r><w:t xml:space="preserve">disastrous incursions of the sea in the 18th century reduced</w:t></w:r>
</w:p>
<w:p>
<w:pPr><w:pStyle w:val="Normal"/></w:pPr>
<w:r><w:t xml:space="preserve">Aldeburgh to a mere fishing village.  In recent years it</w:t></w:r>
</w:p>
<w:p>
<w:pPr><w:pStyle w:val="Normal"/></w:pPr>
<w:r><w:t xml:space="preserve">has grown as a seaside resort, with excellent golf-links.</w:t></w:r>
</w:p>
<w:p>
<w:pPr><w:pStyle w:val="Normal"/></w:pPr>
<w:r><w:t xml:space="preserve">See John Kirby, The Suffolk Traveller (2nd ed., 1764); N. F. Hele,</w:t></w:r>
</w:p>
<w:p>
<w:pPr><w:pStyle w:val="Normal"/></w:pPr>
<w:r><w:t xml:space="preserve">Notes about Aldeburgh (1870); Victoria County History--Suffolk.</w:t></w:r>
</w:p>
<w:p>
<w:pPr><w:pStyle w:val="Normal"/></w:pPr>
<w:r><w:t xml:space="preserve">ALDEGREVER, or ALDEGRAF, HEINRICH (1502-1558), German</w:t></w:r>
</w:p>
<w:p>
<w:pPr><w:pStyle w:val="Normal"/></w:pPr>
<w:r><w:t xml:space="preserve">painter and engraver, was born at Paderborn, from which he</w:t></w:r>
</w:p>
<w:p>
<w:pPr><w:pStyle w:val="Normal"/></w:pPr>
<w:r><w:t xml:space="preserve">removed in early life to Soest, where he died.  From the close</w:t></w:r>
</w:p>
<w:p>
<w:pPr><w:pStyle w:val="Normal"/></w:pPr>
<w:r><w:t xml:space="preserve">resemblance of his style to that of Albrecht Durer he has</w:t></w:r>
</w:p>
<w:p>
<w:pPr><w:pStyle w:val="Normal"/></w:pPr>
<w:r><w:t xml:space="preserve">sometimes been called the Albert of Westphalia.  His numerous</w:t></w:r>
</w:p>
<w:p>
<w:pPr><w:pStyle w:val="Normal"/></w:pPr>
<w:r><w:t xml:space="preserve">engravings, chiefly from his own designs, are delicate and</w:t></w:r>
</w:p>
<w:p>
<w:pPr><w:pStyle w:val="Normal"/></w:pPr>
<w:r><w:t xml:space="preserve">minute, though somewhat hard in style, and entitle him to a</w:t></w:r>
</w:p>
<w:p>
<w:pPr><w:pStyle w:val="Normal"/></w:pPr>
<w:r><w:t xml:space="preserve">place in the front rank of the so-called ``Little Masters.&apos;&apos;</w:t></w:r>
</w:p>
<w:p>
<w:pPr><w:pStyle w:val="Normal"/></w:pPr>
<w:r><w:t xml:space="preserve">There is a good collection in the British Museum.  Specimens</w:t></w:r>
</w:p>
<w:p>
<w:pPr><w:pStyle w:val="Normal"/></w:pPr>
<w:r><w:t xml:space="preserve">of his painting are exceedingly rare.  Five pictures are</w:t></w:r>
</w:p>
<w:p>
<w:pPr><w:pStyle w:val="Normal"/></w:pPr>
<w:r><w:t xml:space="preserve">in continental galleries, but the genuineness of the works</w:t></w:r>
</w:p>
<w:p>
<w:pPr><w:pStyle w:val="Normal"/></w:pPr>
<w:r><w:t xml:space="preserve">in the Vienna and Munich collections attributed to him is</w:t></w:r>
</w:p>
<w:p>
<w:pPr><w:pStyle w:val="Normal"/></w:pPr>
<w:r><w:t xml:space="preserve">at least doubtful, the only unchallenged example being a</w:t></w:r>
</w:p>
<w:p>
<w:pPr><w:pStyle w:val="Normal"/></w:pPr>
<w:r><w:t xml:space="preserve">portrait of Engelbert Therlaen (1551) in the Berlin Museum.</w:t></w:r>
</w:p>
<w:p>
<w:pPr><w:pStyle w:val="Normal"/></w:pPr>
<w:r><w:t xml:space="preserve">ALDEHYDES, a class of chemical compounds of the general</w:t></w:r>
</w:p>
<w:p>
<w:pPr><w:pStyle w:val="Normal"/></w:pPr>
<w:r><w:t xml:space="preserve">formula R.CHO (R = an alkyl or an aryl group).  The name is</w:t></w:r>
</w:p>
<w:p>
<w:pPr><w:pStyle w:val="Normal"/></w:pPr>
<w:r><w:t xml:space="preserve">derived from alcohol dehydrogenatum in allusion to the fact</w:t></w:r>
</w:p>
<w:p>
<w:pPr><w:pStyle w:val="Normal"/></w:pPr>
<w:r><w:t xml:space="preserve">that they may be prepared by the oxidation of alcohols.  The</w:t></w:r>
</w:p>
<w:p>
<w:pPr><w:pStyle w:val="Normal"/></w:pPr>
<w:r><w:t xml:space="preserve">lower members of the series are neutral liquids possessing</w:t></w:r>
</w:p>
<w:p>
<w:pPr><w:pStyle w:val="Normal"/></w:pPr>
<w:r><w:t xml:space="preserve">a characteristic smell; they are soluble in water and are</w:t></w:r>
</w:p>
<w:p>
<w:pPr><w:pStyle w:val="Normal"/></w:pPr>
<w:r><w:t xml:space="preserve">readily volatile (formaldehyde, however, is a gas at ordinary</w:t></w:r>
</w:p>
<w:p>
<w:pPr><w:pStyle w:val="Normal"/></w:pPr>
<w:r><w:t xml:space="preserve">temperatures).  As the carbon content of the molecule</w:t></w:r>
</w:p>
<w:p>
<w:pPr><w:pStyle w:val="Normal"/></w:pPr>
<w:r><w:t xml:space="preserve">increases, they become less soluble in water, and their smell</w:t></w:r>
</w:p>
<w:p>
<w:pPr><w:pStyle w:val="Normal"/></w:pPr>
<w:r><w:t xml:space="preserve">becomes less marked with the increase in boiling point, the</w:t></w:r>
</w:p>
<w:p>
<w:pPr><w:pStyle w:val="Normal"/></w:pPr>
<w:r><w:t xml:space="preserve">highest members of the series being odourless solids, which</w:t></w:r>
</w:p>
<w:p>
<w:pPr><w:pStyle w:val="Normal"/></w:pPr>
<w:r><w:t xml:space="preserve">can only be distilled without decomposition in vacuo.</w:t></w:r>
</w:p>
<w:p>
<w:pPr><w:pStyle w:val="Normal"/></w:pPr>
<w:r><w:t xml:space="preserve">The aldehydes may be prepared by the careful oxidation of</w:t></w:r>
</w:p>
<w:p>
<w:pPr><w:pStyle w:val="Normal"/></w:pPr>
<w:r><w:t xml:space="preserve">primary alcohols with a mixture of potassium dichromate and</w:t></w:r>
</w:p>
<w:p>
<w:pPr><w:pStyle w:val="Normal"/></w:pPr>
<w:r><w:t xml:space="preserve">sulphuric acid,--3R.CH2OH + K2 Cr2O7 + 4H2SO4 = K2SO4</w:t></w:r>
</w:p>
<w:p>
<w:pPr><w:pStyle w:val="Normal"/></w:pPr>
<w:r><w:t xml:space="preserve">+ Cr2(SO4)3 + 7H2O + 3R.CHO; by distilling the calcium</w:t></w:r>
</w:p>
<w:p>
<w:pPr><w:pStyle w:val="Normal"/></w:pPr>
<w:r><w:t xml:space="preserve">salts of the fatty acids with calcium formate; and by hydrolysis</w:t></w:r>
</w:p>
<w:p>
<w:pPr><w:pStyle w:val="Normal"/></w:pPr>
<w:r><w:t xml:space="preserve">of the acetals.  L. Bouveault (Bull. soc. chim., 1904 [3],</w:t></w:r>
</w:p>
<w:p>
<w:pPr><w:pStyle w:val="Normal"/></w:pPr>
<w:r><w:t xml:space="preserve">31, p. 1306) prepares aldehydes by the gradual addition of</w:t></w:r>
</w:p>
<w:p>
<w:pPr><w:pStyle w:val="Normal"/></w:pPr>
<w:r><w:t xml:space="preserve">disubstituted formamides (dissolved in anhydrous ether) to</w:t></w:r>
</w:p>
<w:p>
<w:pPr><w:pStyle w:val="Normal"/></w:pPr>
<w:r><w:t xml:space="preserve">magnesium alkyl haloids, the best yields being obtained by</w:t></w:r>
</w:p>
<w:p>
<w:pPr><w:pStyle w:val="Normal"/></w:pPr>
<w:r><w:t xml:space="preserve">the use of diethyl formamide.  Secondary reactions take place</w:t></w:r>
</w:p>
<w:p>
<w:pPr><w:pStyle w:val="Normal"/></w:pPr>
<w:r><w:t xml:space="preserve">at the same time, yielding more particularly hydrocarbons</w:t></w:r>
</w:p>
<w:p>
<w:pPr><w:pStyle w:val="Normal"/></w:pPr>
<w:r><w:t xml:space="preserve">of the paraffin series.  G. Darzens (Comptes Rendus, 1904,</w:t></w:r>
</w:p>
<w:p>
<w:pPr><w:pStyle w:val="Normal"/></w:pPr>
<w:r><w:t xml:space="preserve">139, p. 1214) prepares esters of disubstituted glycidic acids,</w:t></w:r>
</w:p>
<w:p>
<w:pPr><w:pStyle w:val="Normal"/></w:pPr>
<w:r><w:t xml:space="preserve">by condensing the corresponding ketone with monochloracetic</w:t></w:r>
</w:p>
<w:p>
<w:pPr><w:pStyle w:val="Normal"/></w:pPr>
<w:r><w:t xml:space="preserve">ester, in the presence of sodium ethylate.  These esters on</w:t></w:r>
</w:p>
<w:p>
<w:pPr><w:pStyle w:val="Normal"/></w:pPr>
<w:r><w:t xml:space="preserve">hydrolysis yield the free acids, which readily decompose,</w:t></w:r>
</w:p>
<w:p>
<w:pPr><w:pStyle w:val="Normal"/></w:pPr>
<w:r><w:t xml:space="preserve">with loss of carbon dioxide and formation of an aldehyde,</w:t></w:r>
</w:p>
<w:p>
<w:pPr><w:pStyle w:val="Normal"/></w:pPr>
<w:r><w:t xml:space="preserve">/R                                                 /CRR1                       /CRR1</w:t></w:r>
</w:p>
<w:p>
<w:pPr><w:pStyle w:val="Normal"/></w:pPr>
<w:r><w:t xml:space="preserve">OC&lt;       +  Cl.CH2.COOC2H5  --&gt; O&lt;  |                   --&gt; O&lt;  |</w:t></w:r>
</w:p>
<w:p>
<w:pPr><w:pStyle w:val="Normal"/></w:pPr>
<w:r><w:t xml:space="preserve">\R1                                             \CH.COOC2H5           \CH.COOH</w:t></w:r>
</w:p>
<w:p>
<w:pPr><w:pStyle w:val="Normal"/></w:pPr>
<w:r><w:t xml:space="preserve">--&gt; CO2 + CHRR1.CHO.</w:t></w:r>
</w:p>
<w:p>
<w:pPr><w:pStyle w:val="Normal"/></w:pPr>
<w:r><w:t xml:space="preserve">In the German Patent 157573 (1904) it is shown that by</w:t></w:r>
</w:p>
<w:p>
<w:pPr><w:pStyle w:val="Normal"/></w:pPr>
<w:r><w:t xml:space="preserve">the action of at least two molecular proportions of an alkyl</w:t></w:r>
</w:p>
<w:p>
<w:pPr><w:pStyle w:val="Normal"/></w:pPr>
<w:r><w:t xml:space="preserve">formate on two molecular proportions of a magnesium alkyl</w:t></w:r>
</w:p>
<w:p>
<w:pPr><w:pStyle w:val="Normal"/></w:pPr>
<w:r><w:t xml:space="preserve">or aryl haloid, a complex addition compound is formed, which</w:t></w:r>
</w:p>
<w:p>
<w:pPr><w:pStyle w:val="Normal"/></w:pPr>
<w:r><w:t xml:space="preserve">readily decomposes into a basic magnesium salt and an aldehyde,</w:t></w:r>
</w:p>
<w:p>
<w:pPr><w:pStyle w:val="Normal"/></w:pPr>
<w:r><w:t xml:space="preserve">C6H5MgBr + HCOOR --&gt; RO.CH.C6H5.OMgBr --&gt; MgBr.OR + C6H5CHO.</w:t></w:r>
</w:p>
<w:p>
<w:pPr><w:pStyle w:val="Normal"/></w:pPr>
<w:r><w:t xml:space="preserve">The aldehydes are characterized by their great chemical</w:t></w:r>
</w:p>
<w:p>
<w:pPr><w:pStyle w:val="Normal"/></w:pPr>
<w:r><w:t xml:space="preserve">reactivity.  They act as reducing agents, silver nitrate</w:t></w:r>
</w:p>
<w:p>
<w:pPr><w:pStyle w:val="Normal"/></w:pPr>
<w:r><w:t xml:space="preserve">in the presence of ammonia being rapidly reduced to the</w:t></w:r>
</w:p>
<w:p>
<w:pPr><w:pStyle w:val="Normal"/></w:pPr>
<w:r><w:t xml:space="preserve">condition of metallic silver.  They are easily oxidized to the</w:t></w:r>
</w:p>
<w:p>
<w:pPr><w:pStyle w:val="Normal"/></w:pPr>
<w:r><w:t xml:space="preserve">corresponding fatty acid, in many cases simply by exposure to</w:t></w:r>
</w:p>
<w:p>
<w:pPr><w:pStyle w:val="Normal"/></w:pPr>
<w:r><w:t xml:space="preserve">air.  Nascent hydrogen reduces them to primary alcohols,</w:t></w:r>
</w:p>
<w:p>
<w:pPr><w:pStyle w:val="Normal"/></w:pPr>
<w:r><w:t xml:space="preserve">and phosphorus pentachloride replaces the carbonyl oxygen by</w:t></w:r>
</w:p>
<w:p>
<w:pPr><w:pStyle w:val="Normal"/></w:pPr>
<w:r><w:t xml:space="preserve">chlorine.  They form many addition compounds, combining with</w:t></w:r>
</w:p>
<w:p>
<w:pPr><w:pStyle w:val="Normal"/></w:pPr>
<w:r><w:t xml:space="preserve">ammonia to form aldehyde ammonias of the type R.CH(OH).NH2.</w:t></w:r>
</w:p>
<w:p>
<w:pPr><w:pStyle w:val="Normal"/></w:pPr>
<w:r><w:t xml:space="preserve">These are colourless crystalline compounds, which are most readily</w:t></w:r>
</w:p>
<w:p>
<w:pPr><w:pStyle w:val="Normal"/></w:pPr>
<w:r><w:t xml:space="preserve">prepared by passing ammonia gas into an ethereal solution of the</w:t></w:r>
</w:p>
<w:p>
<w:pPr><w:pStyle w:val="Normal"/></w:pPr>
<w:r><w:t xml:space="preserve">aldehyde.  With sodium bisulphite they form the so-called</w:t></w:r>
</w:p>
<w:p>
<w:pPr><w:pStyle w:val="Normal"/></w:pPr>
<w:r><w:t xml:space="preserve">bisulphite compounds R.CH(OH).SO3Na, which are readily resolved</w:t></w:r>
</w:p>
<w:p>
<w:pPr><w:pStyle w:val="Normal"/></w:pPr>
<w:r><w:t xml:space="preserve">into their components by distillation with dilute acids, and</w:t></w:r>
</w:p>
<w:p>
<w:pPr><w:pStyle w:val="Normal"/></w:pPr>
<w:r><w:t xml:space="preserve">are frequently used for the preparation of the pure aldehyde.</w:t></w:r>
</w:p>
<w:p>
<w:pPr><w:pStyle w:val="Normal"/></w:pPr>
<w:r><w:t xml:space="preserve">With hydrocyanic acid aldehydes form the cyanhydrins R.CH(OH).CN.</w:t></w:r>
</w:p>
<w:p>
<w:pPr><w:pStyle w:val="Normal"/></w:pPr>
<w:r><w:t xml:space="preserve">They react with hydroxylamine and phenylhydrazine, with the</w:t></w:r>
</w:p>
<w:p>
<w:pPr><w:pStyle w:val="Normal"/></w:pPr>
<w:r><w:t xml:space="preserve">formation of aldoximes and hydrazones. (For the isomerism of</w:t></w:r>
</w:p>
<w:p>
<w:pPr><w:pStyle w:val="Normal"/></w:pPr>
<w:r><w:t xml:space="preserve">the aldoximes see OXIMES.) The hydrazones are crystalline</w:t></w:r>
</w:p>
<w:p>
<w:pPr><w:pStyle w:val="Normal"/></w:pPr>
<w:r><w:t xml:space="preserve">substances which are of value in the characterization of the</w:t></w:r>
</w:p>
<w:p>
<w:pPr><w:pStyle w:val="Normal"/></w:pPr>
<w:r><w:t xml:space="preserve">aldehydes.  Both oximes and hydrazones, on boiling with dilute</w:t></w:r>
</w:p>
<w:p>
<w:pPr><w:pStyle w:val="Normal"/></w:pPr>
<w:r><w:t xml:space="preserve">acid, regenerate the parent aldehyde.  The hydrazones are</w:t></w:r>
</w:p>
<w:p>
<w:pPr><w:pStyle w:val="Normal"/></w:pPr>
<w:r><w:t xml:space="preserve">best prepared by mixing the aldehyde with phenylhydrazine</w:t></w:r>
</w:p>
<w:p>
<w:pPr><w:pStyle w:val="Normal"/></w:pPr>
<w:r><w:t xml:space="preserve">in dilute acetic acid solution, in the absence of any free</w:t></w:r>
</w:p>
<w:p>
<w:pPr><w:pStyle w:val="Normal"/></w:pPr>
<w:r><w:t xml:space="preserve">mineral acid.  Semioxamazid, NH2.CO.CO.NH.NH2, has</w:t></w:r>
</w:p>
<w:p>
<w:pPr><w:pStyle w:val="Normal"/></w:pPr>
<w:r><w:t xml:space="preserve">also been employed for the identification of aldehydes</w:t></w:r>
</w:p>
<w:p>
<w:pPr><w:pStyle w:val="Normal"/></w:pPr>
<w:r><w:t xml:space="preserve">(W. Kerp and K. Unger, Berichte, 1897, 30. p. 585).</w:t></w:r>
</w:p>
<w:p>
<w:pPr><w:pStyle w:val="Normal"/></w:pPr>
<w:r><w:t xml:space="preserve">Aldehydes are converted into resins by the action of caustic</w:t></w:r>
</w:p>
<w:p>
<w:pPr><w:pStyle w:val="Normal"/></w:pPr>
<w:r><w:t xml:space="preserve">alkalies.  On heating with alcohols to 100 deg.  C. they form</w:t></w:r>
</w:p>
<w:p>
<w:pPr><w:pStyle w:val="Normal"/></w:pPr>
<w:r><w:t xml:space="preserve">acetals, and they also form condensation products with</w:t></w:r>
</w:p>
<w:p>
<w:pPr><w:pStyle w:val="Normal"/></w:pPr>
<w:r><w:t xml:space="preserve">para-amido-di-methyl-aniline (A. Calm, Berichte, 1884, 17, p.</w:t></w:r>
</w:p>
<w:p>
<w:pPr><w:pStyle w:val="Normal"/></w:pPr>
<w:r><w:t xml:space="preserve">2939).  They react with the zinc alkyls to form addition products,</w:t></w:r>
</w:p>
<w:p>
<w:pPr><w:pStyle w:val="Normal"/></w:pPr>
<w:r><w:t xml:space="preserve">which are decomposed by water with formation of secondary</w:t></w:r>
</w:p>
<w:p>
<w:pPr><w:pStyle w:val="Normal"/></w:pPr>
<w:r><w:t xml:space="preserve">alcohols (K. Thurnlach, Annalen, 1882, 213, p. 369) thus:--</w:t></w:r>
</w:p>
<w:p>
<w:pPr><w:pStyle w:val="Normal"/></w:pPr>
<w:r><w:t xml:space="preserve">Zn(C2H5)2                   H2O</w:t></w:r>
</w:p>
<w:p>
<w:pPr><w:pStyle w:val="Normal"/></w:pPr>
<w:r><w:t xml:space="preserve">/C2H5                       /C2H5</w:t></w:r>
</w:p>
<w:p>
<w:pPr><w:pStyle w:val="Normal"/></w:pPr>
<w:r><w:t xml:space="preserve">CH3.CHO  --&gt; CH3.CH&lt;              --&gt; CH3.CH&lt;              + ZnO + C2H6.</w:t></w:r>
</w:p>
<w:p>
<w:pPr><w:pStyle w:val="Normal"/></w:pPr>
<w:r><w:t xml:space="preserve">\OZnC2H5                    \OH</w:t></w:r>
</w:p>
<w:p>
<w:pPr><w:pStyle w:val="Normal"/></w:pPr>
<w:r><w:t xml:space="preserve">The reaction is a general one for all aldehydes with zinc methyl</w:t></w:r>
</w:p>
<w:p>
<w:pPr><w:pStyle w:val="Normal"/></w:pPr>
<w:r><w:t xml:space="preserve">and zinc ethyl, but not with the higher zinc alkyls.  V. Grignard</w:t></w:r>
</w:p>
<w:p>
<w:pPr><w:pStyle w:val="Normal"/></w:pPr>
<w:r><w:t xml:space="preserve">(Comptes Rendus, 1900 et seq.) showed that aldehydes combine</w:t></w:r>
</w:p>
<w:p>
<w:pPr><w:pStyle w:val="Normal"/></w:pPr>
<w:r><w:t xml:space="preserve">with magnesium alkyl iodides (in absolute ether solution) to</w:t></w:r>
</w:p>
<w:p>
<w:pPr><w:pStyle w:val="Normal"/></w:pPr>
<w:r><w:t xml:space="preserve">form addition products, which are decomposed by water with</w:t></w:r>
</w:p>
<w:p>
<w:pPr><w:pStyle w:val="Normal"/></w:pPr>
<w:r><w:t xml:space="preserve">the formation of secondary alcohols, thus from acetaldehyde</w:t></w:r>
</w:p>
<w:p>
<w:pPr><w:pStyle w:val="Normal"/></w:pPr>
<w:r><w:t xml:space="preserve">and magnesium methyl iodide, isopropyl alcohol is obtained.</w:t></w:r>
</w:p>
<w:p>
<w:pPr><w:pStyle w:val="Normal"/></w:pPr>
<w:r><w:t xml:space="preserve">H2O</w:t></w:r>
</w:p>
<w:p>
<w:pPr><w:pStyle w:val="Normal"/></w:pPr>
<w:r><w:t xml:space="preserve">/CH3</w:t></w:r>
</w:p>
<w:p>
<w:pPr><w:pStyle w:val="Normal"/></w:pPr>
<w:r><w:t xml:space="preserve">CH3.CHO + CH3MgI --&gt; CH3.CH&lt;      --&gt; (CH3)2CH.OH + MgI.OH.</w:t></w:r>
</w:p>
<w:p>
<w:pPr><w:pStyle w:val="Normal"/></w:pPr>
<w:r><w:t xml:space="preserve">\OMgI</w:t></w:r>
</w:p>
<w:p>
<w:pPr><w:pStyle w:val="Normal"/></w:pPr>
<w:r><w:t xml:space="preserve">The lower members of the aliphatic series are characterized</w:t></w:r>
</w:p>
<w:p>
<w:pPr><w:pStyle w:val="Normal"/></w:pPr>
<w:r><w:t xml:space="preserve">by their power of polymerization (see FORMALIN, and the</w:t></w:r>
</w:p>
<w:p>
<w:pPr><w:pStyle w:val="Normal"/></w:pPr>
<w:r><w:t xml:space="preserve">account of Acetaldehyde below), and also by the so-called</w:t></w:r>
</w:p>
<w:p>
<w:pPr><w:pStyle w:val="Normal"/></w:pPr>
<w:r><w:t xml:space="preserve">``aldol&apos;&apos; condensation, acetaldehyde in this way forming</w:t></w:r>
</w:p>
<w:p>
<w:pPr><w:pStyle w:val="Normal"/></w:pPr>
<w:r><w:t xml:space="preserve">aldol, CH3.CHOH.CH2.CHO.  These aldols generally lose</w:t></w:r>
</w:p>
<w:p>
<w:pPr><w:pStyle w:val="Normal"/></w:pPr>
<w:r><w:t xml:space="preserve">the elements of water readily and pass into unsaturated</w:t></w:r>
</w:p>
<w:p>
<w:pPr><w:pStyle w:val="Normal"/></w:pPr>
<w:r><w:t xml:space="preserve">compounds; aldol itself on distillation at ordinary</w:t></w:r>
</w:p>
<w:p>
<w:pPr><w:pStyle w:val="Normal"/></w:pPr>
<w:r><w:t xml:space="preserve">atmospheric pressure gives crotonaldehyde, CH3.CH:CH.CHO.</w:t></w:r>
</w:p>
<w:p>
<w:pPr><w:pStyle w:val="Normal"/></w:pPr>
<w:r><w:t xml:space="preserve">Aldehydes are characterized by the reddish-violet colour which</w:t></w:r>
</w:p>
<w:p>
<w:pPr><w:pStyle w:val="Normal"/></w:pPr>
<w:r><w:t xml:space="preserve">they give with a solution of fuchsine that has been decolorized</w:t></w:r>
</w:p>
<w:p>
<w:pPr><w:pStyle w:val="Normal"/></w:pPr>
<w:r><w:t xml:space="preserve">by sulphurous acid (H. Schiff, Ann., 1866, 140, p. 131).</w:t></w:r>
</w:p>
<w:p>
<w:pPr><w:pStyle w:val="Normal"/></w:pPr>
<w:r><w:t xml:space="preserve">With diazobenzene sulphonic acid in the presence of alkali</w:t></w:r>
</w:p>
<w:p>
<w:pPr><w:pStyle w:val="Normal"/></w:pPr>
<w:r><w:t xml:space="preserve">and a trace of sodium amalgam, a reddish-violet coloration</w:t></w:r>
</w:p>
<w:p>
<w:pPr><w:pStyle w:val="Normal"/></w:pPr>
<w:r><w:t xml:space="preserve">is formed on standing (E. Fischer, Ber., 1883, 16, p.</w:t></w:r>
</w:p>
<w:p>
<w:pPr><w:pStyle w:val="Normal"/></w:pPr>
<w:r><w:t xml:space="preserve">657).  A. Angeli (Gazz. chim.  Ital., 1896, 22, ii. 17) has</w:t></w:r>
</w:p>
<w:p>
<w:pPr><w:pStyle w:val="Normal"/></w:pPr>
<w:r><w:t xml:space="preserve">shown that aldehydes in the presence of nitrohydroxylaminic</w:t></w:r>
</w:p>
<w:p>
<w:pPr><w:pStyle w:val="Normal"/></w:pPr>
<w:r><w:t xml:space="preserve">acid form hydroxamic acid.  The aldehydes condense readily</w:t></w:r>
</w:p>
<w:p>
<w:pPr><w:pStyle w:val="Normal"/></w:pPr>
<w:r><w:t xml:space="preserve">with acetoacetic ester in the presence of ammonia, to pyridines</w:t></w:r>
</w:p>
<w:p>
<w:pPr><w:pStyle w:val="Normal"/></w:pPr>
<w:r><w:t xml:space="preserve">(see PYRIDINE), whilst O. Doebner and W. v.  Miller (Ber.,</w:t></w:r>
</w:p>
<w:p>
<w:pPr><w:pStyle w:val="Normal"/></w:pPr>
<w:r><w:t xml:space="preserve">1892, 25, p. 2864; 1896, 29, p. 59) have shown that in the</w:t></w:r>
</w:p>
<w:p>
<w:pPr><w:pStyle w:val="Normal"/></w:pPr>
<w:r><w:t xml:space="preserve">presence of aniline and sulphuric acid they give substituted</w:t></w:r>
</w:p>
<w:p>
<w:pPr><w:pStyle w:val="Normal"/></w:pPr>
<w:r><w:t xml:space="preserve">quinolines. (See also C. Beyer, Ber., 1887, 20, p. 1908).</w:t></w:r>
</w:p>
<w:p>
<w:pPr><w:pStyle w:val="Normal"/></w:pPr>
<w:r><w:t xml:space="preserve">The chief aldehydes are shown in the following table:--</w:t></w:r>
</w:p>
<w:p>
<w:pPr><w:pStyle w:val="Normal"/></w:pPr>
<w:r><w:t xml:space="preserve">_____________________________________________________________________________</w:t></w:r>
</w:p>
<w:p>
<w:pPr><w:pStyle w:val="Normal"/></w:pPr>
<w:r><w:t xml:space="preserve">|     Name.          |              Formula              | Boiling | Melting|</w:t></w:r>
</w:p>
<w:p>
<w:pPr><w:pStyle w:val="Normal"/></w:pPr>
<w:r><w:t xml:space="preserve">|                    |                                   |  Point. |  Point.|</w:t></w:r>
</w:p>
<w:p>
<w:pPr><w:pStyle w:val="Normal"/></w:pPr>
<w:r><w:t xml:space="preserve">|--------------------|-----------------------------------|---------|--------|</w:t></w:r>
</w:p>
<w:p>
<w:pPr><w:pStyle w:val="Normal"/></w:pPr>
<w:r><w:t xml:space="preserve">|   Formaldehyde     |                      H.CHO     |-21 deg.   |        |</w:t></w:r>
</w:p>
<w:p>
<w:pPr><w:pStyle w:val="Normal"/></w:pPr>
<w:r><w:t xml:space="preserve">|   Acetaldehyde     |                 CH3.CHO     | 20.8 deg. |        |</w:t></w:r>
</w:p>
<w:p>
<w:pPr><w:pStyle w:val="Normal"/></w:pPr>
<w:r><w:t xml:space="preserve">|   Propyl aldehyde  |       CH3.CH2.CHO     | 49 deg.   |        |</w:t></w:r>
</w:p>
<w:p>
<w:pPr><w:pStyle w:val="Normal"/></w:pPr>
<w:r><w:t xml:space="preserve">| n-Butyl     &apos;&apos;     | CH3.(CH2)2.CHO     | 75 deg.   |        |</w:t></w:r>
</w:p>
<w:p>
<w:pPr><w:pStyle w:val="Normal"/></w:pPr>
<w:r><w:t xml:space="preserve">| iso- &apos;&apos;     &apos;&apos;     |     (CH3)2.CH.CHO     | 61 deg.   |        |</w:t></w:r>
</w:p>
<w:p>
<w:pPr><w:pStyle w:val="Normal"/></w:pPr>
<w:r><w:t xml:space="preserve">| n-Valeryl   &apos;&apos;     | CH3.(CH2)3.CHO     |103 deg.   |        |</w:t></w:r>
</w:p>
<w:p>
<w:pPr><w:pStyle w:val="Normal"/></w:pPr>
<w:r><w:t xml:space="preserve">| iso- &apos;&apos;     &apos;&apos;     |            (C4H9.CHO     | 92 deg.   |        |</w:t></w:r>
</w:p>
<w:p>
<w:pPr><w:pStyle w:val="Normal"/></w:pPr>
<w:r><w:t xml:space="preserve">|   Oenanthyl &apos;&apos;     | CH3.(CH2)5.CHO     |155 deg.   |        |</w:t></w:r>
</w:p>
<w:p>
<w:pPr><w:pStyle w:val="Normal"/></w:pPr>
<w:r><w:t xml:space="preserve">|   Capric    &apos;&apos;     | CH3.(CH2)8.CHO     |121 deg.   |        |</w:t></w:r>
</w:p>
<w:p>
<w:pPr><w:pStyle w:val="Normal"/></w:pPr>
<w:r><w:t xml:space="preserve">|   Lauric    &apos;&apos;     | CH3.(CH2)10.CHO |         |44.5 deg. |</w:t></w:r>
</w:p>
<w:p>
<w:pPr><w:pStyle w:val="Normal"/></w:pPr>
<w:r><w:t xml:space="preserve">|   Myristic  &apos;&apos;     | CH3.(CH2)12.CHO |         |52.5 deg. |</w:t></w:r>
</w:p>
<w:p>
<w:pPr><w:pStyle w:val="Normal"/></w:pPr>
<w:r><w:t xml:space="preserve">|   Palmitic  &apos;&apos;     | CH3.(CH2)14.CHO |         |58.5 deg. |</w:t></w:r>
</w:p>
<w:p>
<w:pPr><w:pStyle w:val="Normal"/></w:pPr>
<w:r><w:t xml:space="preserve">|   Stearic   &apos;&apos;     | CH3.(CH2)16.CHO |         |63.5 deg. |</w:t></w:r>
</w:p>
<w:p>
<w:pPr><w:pStyle w:val="Normal"/></w:pPr>
<w:r><w:t xml:space="preserve">|--------------------|-----------------------------------|---------|--------|</w:t></w:r>
</w:p>
<w:p>
<w:pPr><w:pStyle w:val="Normal"/></w:pPr>
<w:r><w:t xml:space="preserve">|   Acrolein         |                                   |         |        |</w:t></w:r>
</w:p>
<w:p>
<w:pPr><w:pStyle w:val="Normal"/></w:pPr>
<w:r><w:t xml:space="preserve">|     ally aldehyde  |         CH2 : CH.CHO        | 52 deg.   |        |</w:t></w:r>
</w:p>
<w:p>
<w:pPr><w:pStyle w:val="Normal"/></w:pPr>
<w:r><w:t xml:space="preserve">|   Crotonic  &apos;&apos;     |   CH3.CH : CH.CHO        |104 deg.   |        |</w:t></w:r>
</w:p>
<w:p>
<w:pPr><w:pStyle w:val="Normal"/></w:pPr>
<w:r><w:t xml:space="preserve">|   Tiglic    &apos;&apos;     |                                   |         |        |</w:t></w:r>
</w:p>
<w:p>
<w:pPr><w:pStyle w:val="Normal"/></w:pPr>
<w:r><w:t xml:space="preserve">|     (guaiacol)     | CH3.CH : C.CH3.CHO |116 deg.   |        |</w:t></w:r>
</w:p>
<w:p>
<w:pPr><w:pStyle w:val="Normal"/></w:pPr>
<w:r><w:t xml:space="preserve">|--------------------|-----------------------------------|---------|--------|</w:t></w:r>
</w:p>
<w:p>
<w:pPr><w:pStyle w:val="Normal"/></w:pPr>
<w:r><w:t xml:space="preserve">|   Proargylic A.    |              CH : C.CHO        | 59 deg.   |        |</w:t></w:r>
</w:p>
<w:p>
<w:pPr><w:pStyle w:val="Normal"/></w:pPr>
<w:r><w:t xml:space="preserve">|--------------------|-----------------------------------|---------|--------|</w:t></w:r>
</w:p>
<w:p>
<w:pPr><w:pStyle w:val="Normal"/></w:pPr>
<w:r><w:t xml:space="preserve">|   Benzaldehyde     |               C6H5.CHO   |179 deg.   |        |</w:t></w:r>
</w:p>
<w:p>
<w:pPr><w:pStyle w:val="Normal"/></w:pPr>
<w:r><w:t xml:space="preserve">|                 {o |                                   |200 deg.   |        |</w:t></w:r>
</w:p>
<w:p>
<w:pPr><w:pStyle w:val="Normal"/></w:pPr>
<w:r><w:t xml:space="preserve">|   Toluicaldehyde{m |     C6H4.CH3.CHO   |199 deg.   |        |</w:t></w:r>
</w:p>
<w:p>
<w:pPr><w:pStyle w:val="Normal"/></w:pPr>
<w:r><w:t xml:space="preserve">|                 {p |                                   |204 deg.   |        |</w:t></w:r>
</w:p>
<w:p>
<w:pPr><w:pStyle w:val="Normal"/></w:pPr>
<w:r><w:t xml:space="preserve">|   Cumic     &apos;&apos;     | C6H4.C3H7.CHO   |235 deg.   |        |</w:t></w:r>
</w:p>
<w:p>
<w:pPr><w:pStyle w:val="Normal"/></w:pPr>
<w:r><w:t xml:space="preserve">|   Cinnamic  &apos;&apos;     |    C6H5.CH : CH.CHO   |247 deg.   |        |</w:t></w:r>
</w:p>
<w:p>
<w:pPr><w:pStyle w:val="Normal"/></w:pPr>
<w:r><w:t xml:space="preserve">|____________________|___________________________________|_________|________|</w:t></w:r>
</w:p>
<w:p>
<w:pPr><w:pStyle w:val="Normal"/></w:pPr>
<w:r><w:t xml:space="preserve">For formaldehyde see FORMALIN. Acetaldehyde, CH3.CHO,</w:t></w:r>
</w:p>
<w:p>
<w:pPr><w:pStyle w:val="Normal"/></w:pPr>
<w:r><w:t xml:space="preserve">was first noticed by C. Scheele in 1774 and isolated and</w:t></w:r>
</w:p>
<w:p>
<w:pPr><w:pStyle w:val="Normal"/></w:pPr>
<w:r><w:t xml:space="preserve">investigated by J. v.  Liebig (Annalen, 1835, 14, p.</w:t></w:r>
</w:p>
<w:p>
<w:pPr><w:pStyle w:val="Normal"/></w:pPr>
<w:r><w:t xml:space="preserve">133).  It is prepared by oxidizing ethyl alcohol with dilute</w:t></w:r>
</w:p>
<w:p>
<w:pPr><w:pStyle w:val="Normal"/></w:pPr>
<w:r><w:t xml:space="preserve">sulphuric acid and potassium bichromate, and is a colourless</w:t></w:r>
</w:p>
<w:p>
<w:pPr><w:pStyle w:val="Normal"/></w:pPr>
<w:r><w:t xml:space="preserve">liquid of boiling point 20.8 deg.  C., possessing a peculiar</w:t></w:r>
</w:p>
<w:p>
<w:pPr><w:pStyle w:val="Normal"/></w:pPr>
<w:r><w:t xml:space="preserve">characteristic smell.  Its specific gravity is 0.8009 (0 deg.</w:t></w:r>
</w:p>
<w:p>
<w:pPr><w:pStyle w:val="Normal"/></w:pPr>
<w:r><w:t xml:space="preserve">C.). It is miscible in all proportions with alcohol, ether and</w:t></w:r>
</w:p>
<w:p>
<w:pPr><w:pStyle w:val="Normal"/></w:pPr>
<w:r><w:t xml:space="preserve">water.  It is readily polymerized, small quantities of</w:t></w:r>
</w:p>
<w:p>
<w:pPr><w:pStyle w:val="Normal"/></w:pPr>
<w:r><w:t xml:space="preserve">hydrochloric acid, zinc chloride, carbonyl chloride, &amp;c.</w:t></w:r>
</w:p>
<w:p>
<w:pPr><w:pStyle w:val="Normal"/></w:pPr>
<w:r><w:t xml:space="preserve">converting it, at ordinary temperatures, into paraldehyde,</w:t></w:r>
</w:p>
<w:p>
<w:pPr><w:pStyle w:val="Normal"/></w:pPr>
<w:r><w:t xml:space="preserve">(C2H4O)3, a liquid boiling at 124 deg.  C. and of specific</w:t></w:r>
</w:p>
<w:p>
<w:pPr><w:pStyle w:val="Normal"/></w:pPr>
<w:r><w:t xml:space="preserve">gravity 0.998 (15 deg.  C.). Paraldehyde is moderately soluble in</w:t></w:r>
</w:p>
<w:p>
<w:pPr><w:pStyle w:val="Normal"/></w:pPr>
<w:r><w:t xml:space="preserve">water, and when distilled with sulphuric acid is reconverted</w:t></w:r>
</w:p>
<w:p>
<w:pPr><w:pStyle w:val="Normal"/></w:pPr>
<w:r><w:t xml:space="preserve">into the ordinary form.  Metaldehyde, (C2H4O)3, is produced</w:t></w:r>
</w:p>
<w:p>
<w:pPr><w:pStyle w:val="Normal"/></w:pPr>
<w:r><w:t xml:space="preserve">in a similar way to paraldehyde, but at lower temperatures</w:t></w:r>
</w:p>
<w:p>
<w:pPr><w:pStyle w:val="Normal"/></w:pPr>
<w:r><w:t xml:space="preserve">(e.g. in presence of a freezing mixture).  It is a crystalline</w:t></w:r>
</w:p>
<w:p>
<w:pPr><w:pStyle w:val="Normal"/></w:pPr>
<w:r><w:t xml:space="preserve">solid, which sublimes at 112 deg. -115 deg.  C. It is insoluble</w:t></w:r>
</w:p>
<w:p>
<w:pPr><w:pStyle w:val="Normal"/></w:pPr>
<w:r><w:t xml:space="preserve">in water, and is only slightly soluble in alcohol and</w:t></w:r>
</w:p>
<w:p>
<w:pPr><w:pStyle w:val="Normal"/></w:pPr>
<w:r><w:t xml:space="preserve">ether.  When heated in a sealed tube at 120 deg.  C. it is</w:t></w:r>
</w:p>
<w:p>
<w:pPr><w:pStyle w:val="Normal"/></w:pPr>
<w:r><w:t xml:space="preserve">completely converted into the ordinary form.  Paraldehyde</w:t></w:r>
</w:p>
<w:p>
<w:pPr><w:pStyle w:val="Normal"/></w:pPr>
<w:r><w:t xml:space="preserve">is oxidized by dilute nitric acid, with formation of much</w:t></w:r>
</w:p>
<w:p>
<w:pPr><w:pStyle w:val="Normal"/></w:pPr>
<w:r><w:t xml:space="preserve">glyoxal, (CHO)2. (For trichloracetaldehyde see CHLORAL.)</w:t></w:r>
</w:p>
<w:p>
<w:pPr><w:pStyle w:val="Normal"/></w:pPr>
<w:r><w:t xml:space="preserve">By the action of acetaldehyde on alcohol at 100 deg.  C.,</w:t></w:r>
</w:p>
<w:p>
<w:pPr><w:pStyle w:val="Normal"/></w:pPr>
<w:r><w:t xml:space="preserve">acetal, CH3.CH(OC2H5)2, is produced.  It may also be</w:t></w:r>
</w:p>
<w:p>
<w:pPr><w:pStyle w:val="Normal"/></w:pPr>
<w:r><w:t xml:space="preserve">prepared by oxidizing ethyl alcohol with manganese dioxide</w:t></w:r>
</w:p>
<w:p>
<w:pPr><w:pStyle w:val="Normal"/></w:pPr>
<w:r><w:t xml:space="preserve">and sulphuric acid (A. Wurtz).  It is a colourless liquid</w:t></w:r>
</w:p>
<w:p>
<w:pPr><w:pStyle w:val="Normal"/></w:pPr>
<w:r><w:t xml:space="preserve">of specific gravity 0.8314 (20 deg. /4 deg. ) (J. W. Bruhl) and</w:t></w:r>
</w:p>
<w:p>
<w:pPr><w:pStyle w:val="Normal"/></w:pPr>
<w:r><w:t xml:space="preserve">boiling point 104 deg.  C. Dilute acids readily transform it</w:t></w:r>
</w:p>
<w:p>
<w:pPr><w:pStyle w:val="Normal"/></w:pPr>
<w:r><w:t xml:space="preserve">into alcohol and aldehyde, and chromic acid oxidizes it to</w:t></w:r>
</w:p>
<w:p>
<w:pPr><w:pStyle w:val="Normal"/></w:pPr>
<w:r><w:t xml:space="preserve">acetic acid.  Chlor- and brom-acetals have been described.</w:t></w:r>
</w:p>
<w:p>
<w:pPr><w:pStyle w:val="Normal"/></w:pPr>
<w:r><w:t xml:space="preserve">Thioaldehydes are also known, and are obtained by leading</w:t></w:r>
</w:p>
<w:p>
<w:pPr><w:pStyle w:val="Normal"/></w:pPr>
<w:r><w:t xml:space="preserve">sulphuretted hydrogen into an aqueous solution of acetaldehyde.</w:t></w:r>
</w:p>
<w:p>
<w:pPr><w:pStyle w:val="Normal"/></w:pPr>
<w:r><w:t xml:space="preserve">By this means a mixture is obtained which by distillation</w:t></w:r>
</w:p>
<w:p>
<w:pPr><w:pStyle w:val="Normal"/></w:pPr>
<w:r><w:t xml:space="preserve">or the action of hydrochloric acid yields trithioaldehyde,</w:t></w:r>
</w:p>
<w:p>
<w:pPr><w:pStyle w:val="Normal"/></w:pPr>
<w:r><w:t xml:space="preserve">(C2H4S)3.  For the constitution of these substances</w:t></w:r>
</w:p>
<w:p>
<w:pPr><w:pStyle w:val="Normal"/></w:pPr>
<w:r><w:t xml:space="preserve">see E. Baumann and E. Fromm (Berichte, 1891, 24, p.</w:t></w:r>
</w:p>
<w:p>
<w:pPr><w:pStyle w:val="Normal"/></w:pPr>
<w:r><w:t xml:space="preserve">1426).  Aldehyde ammonia, CH3.CH(OH).NH2, is formed</w:t></w:r>
</w:p>
<w:p>
<w:pPr><w:pStyle w:val="Normal"/></w:pPr>
<w:r><w:t xml:space="preserve">when dry ammonia gas is passed into an ethereal solution of</w:t></w:r>
</w:p>
<w:p>
<w:pPr><w:pStyle w:val="Normal"/></w:pPr>
<w:r><w:t xml:space="preserve">acetaldehyde.  It crystallizes in glistening rhombohedra,</w:t></w:r>
</w:p>
<w:p>
<w:pPr><w:pStyle w:val="Normal"/></w:pPr>
<w:r><w:t xml:space="preserve">melting at 70 deg. -80 deg.  C., and boiling at 100 deg.  C. It is completely</w:t></w:r>
</w:p>
<w:p>
<w:pPr><w:pStyle w:val="Normal"/></w:pPr>
<w:r><w:t xml:space="preserve">resolved into its components when warmed with dilute acids.</w:t></w:r>
</w:p>
<w:p>
<w:pPr><w:pStyle w:val="Normal"/></w:pPr>
<w:r><w:t xml:space="preserve">The higher aldehydes of the series resemble acetaldehyde</w:t></w:r>
</w:p>
<w:p>
<w:pPr><w:pStyle w:val="Normal"/></w:pPr>
<w:r><w:t xml:space="preserve">in their general behaviour.  Unsaturated aldehydes are also</w:t></w:r>
</w:p>
<w:p>
<w:pPr><w:pStyle w:val="Normal"/></w:pPr>
<w:r><w:t xml:space="preserve">known, corresponding to the olefine alcohols; they show the</w:t></w:r>
</w:p>
<w:p>
<w:pPr><w:pStyle w:val="Normal"/></w:pPr>
<w:r><w:t xml:space="preserve">characteristic properties of the saturated aldehydes and</w:t></w:r>
</w:p>
<w:p>
<w:pPr><w:pStyle w:val="Normal"/></w:pPr>
<w:r><w:t xml:space="preserve">can form additive compounds in virtue of their unsaturated</w:t></w:r>
</w:p>
<w:p>
<w:pPr><w:pStyle w:val="Normal"/></w:pPr>
<w:r><w:t xml:space="preserve">nature.  The simplest member of the series is acrolein, C3H4O</w:t></w:r>
</w:p>
<w:p>
<w:pPr><w:pStyle w:val="Normal"/></w:pPr>
<w:r><w:t xml:space="preserve">or CH2 : CH.CHO, which can be prepared by the oxidation</w:t></w:r>
</w:p>
<w:p>
<w:pPr><w:pStyle w:val="Normal"/></w:pPr>
<w:r><w:t xml:space="preserve">of allyl alcohol, or by the abstraction of the elements of</w:t></w:r>
</w:p>
<w:p>
<w:pPr><w:pStyle w:val="Normal"/></w:pPr>
<w:r><w:t xml:space="preserve">water from glycerin by heating it with anhydrous potassium</w:t></w:r>
</w:p>
<w:p>
<w:pPr><w:pStyle w:val="Normal"/></w:pPr>
<w:r><w:t xml:space="preserve">bisulphate.  It is also produced by the action of sodium on</w:t></w:r>
</w:p>
<w:p>
<w:pPr><w:pStyle w:val="Normal"/></w:pPr>
<w:r><w:t xml:space="preserve">a mixture of epichlorhydrin and methyl iodide, C3H5OCl +</w:t></w:r>
</w:p>
<w:p>
<w:pPr><w:pStyle w:val="Normal"/></w:pPr>
<w:r><w:t xml:space="preserve">CH3I + 2Na = C3H4O + NaI + NaCl + CH4.  It is a colourless</w:t></w:r>
</w:p>
<w:p>
<w:pPr><w:pStyle w:val="Normal"/></w:pPr>
<w:r><w:t xml:space="preserve">liquid, with a very pungent smell, and attacks the mucous</w:t></w:r>
</w:p>
<w:p>
<w:pPr><w:pStyle w:val="Normal"/></w:pPr>
<w:r><w:t xml:space="preserve">membrane very rapidly.  It boils at 52.4 deg.  C. and is soluble in</w:t></w:r>
</w:p>
<w:p>
<w:pPr><w:pStyle w:val="Normal"/></w:pPr>
<w:r><w:t xml:space="preserve">water.  It oxidizes readily: exposure to air giving acrylic</w:t></w:r>
</w:p>
<w:p>
<w:pPr><w:pStyle w:val="Normal"/></w:pPr>
<w:r><w:t xml:space="preserve">acid, nitric acid giving oxalic acid, bichromate of potash</w:t></w:r>
</w:p>
<w:p>
<w:pPr><w:pStyle w:val="Normal"/></w:pPr>
<w:r><w:t xml:space="preserve">and sulphuric acid giving carbon dioxide and formic acid.</w:t></w:r>
</w:p>
<w:p>
<w:pPr><w:pStyle w:val="Normal"/></w:pPr>
<w:r><w:t xml:space="preserve">It combines with bromine to form a dibromide, from which E.</w:t></w:r>
</w:p>
<w:p>
<w:pPr><w:pStyle w:val="Normal"/></w:pPr>
<w:r><w:t xml:space="preserve">Fischer, by the action of baryta water, obtained the synthetic</w:t></w:r>
</w:p>
<w:p>
<w:pPr><w:pStyle w:val="Normal"/></w:pPr>
<w:r><w:t xml:space="preserve">sugars a- and b-acrose (Berichte, 1889, 22, p. 360).</w:t></w:r>
</w:p>
<w:p>
<w:pPr><w:pStyle w:val="Normal"/></w:pPr>
<w:r><w:t xml:space="preserve">Metacrolein, (C3H4O)3, is a polymer of acrolein.  By passing</w:t></w:r>
</w:p>
<w:p>
<w:pPr><w:pStyle w:val="Normal"/></w:pPr>
<w:r><w:t xml:space="preserve">acrolein vapour into ammonia, acrolein ammonia, C6H9NO, is</w:t></w:r>
</w:p>
<w:p>
<w:pPr><w:pStyle w:val="Normal"/></w:pPr>
<w:r><w:t xml:space="preserve">obtained.  It is a reddish amorphous mass, insoluble in</w:t></w:r>
</w:p>
<w:p>
<w:pPr><w:pStyle w:val="Normal"/></w:pPr>
<w:r><w:t xml:space="preserve">alcohol, and when distilled yields picoline (methyl pyridine)</w:t></w:r>
</w:p>
<w:p>
<w:pPr><w:pStyle w:val="Normal"/></w:pPr>
<w:r><w:t xml:space="preserve">(A. Baeyer, Ann., 1870, 155, p. 283).  Citronellal, rhodinal</w:t></w:r>
</w:p>
<w:p>
<w:pPr><w:pStyle w:val="Normal"/></w:pPr>
<w:r><w:t xml:space="preserve">and geranial are also unsaturated aldehydes (see TERPENES.)</w:t></w:r>
</w:p>
<w:p>
<w:pPr><w:pStyle w:val="Normal"/></w:pPr>
<w:r><w:t xml:space="preserve">The aromatic aldehydes resemble the aliphatic aldehydes in most</w:t></w:r>
</w:p>
<w:p>
<w:pPr><w:pStyle w:val="Normal"/></w:pPr>
<w:r><w:t xml:space="preserve">respects, but in certain reactions they exhibit an entirely</w:t></w:r>
</w:p>
<w:p>
<w:pPr><w:pStyle w:val="Normal"/></w:pPr>
<w:r><w:t xml:space="preserve">different behaviour.  They do not polymerize, and in the</w:t></w:r>
</w:p>
<w:p>
<w:pPr><w:pStyle w:val="Normal"/></w:pPr>
<w:r><w:t xml:space="preserve">presence of caustic alkalies do not resinify, but oxidize</w:t></w:r>
</w:p>
<w:p>
<w:pPr><w:pStyle w:val="Normal"/></w:pPr>
<w:r><w:t xml:space="preserve">to alcohols and acids (see BENZALDEHYDE for Cannizzaro&apos;s</w:t></w:r>
</w:p>
<w:p>
<w:pPr><w:pStyle w:val="Normal"/></w:pPr>
<w:r><w:t xml:space="preserve">reaction).  When heated with alcoholic potassium cyanide</w:t></w:r>
</w:p>
<w:p>
<w:pPr><w:pStyle w:val="Normal"/></w:pPr>
<w:r><w:t xml:space="preserve">they are converted into benzoins (q.v..) Vanillin does</w:t></w:r>
</w:p>
<w:p>
<w:pPr><w:pStyle w:val="Normal"/></w:pPr>
<w:r><w:t xml:space="preserve">not give the Cannizzaro reaction, but with alcoholic potash</w:t></w:r>
</w:p>
<w:p>
<w:pPr><w:pStyle w:val="Normal"/></w:pPr>
<w:r><w:t xml:space="preserve">forms vanillic acid, HOOC(1).C6H3.OCH3 (3).OH(4), and</w:t></w:r>
</w:p>
<w:p>
<w:pPr><w:pStyle w:val="Normal"/></w:pPr>
<w:r><w:t xml:space="preserve">vanilloin.  With ammonia, benzaldehyde does not form an aldehyde</w:t></w:r>
</w:p>
<w:p>
<w:pPr><w:pStyle w:val="Normal"/></w:pPr>
<w:r><w:t xml:space="preserve">ammonia, but condenses to hydrobenzamide, ( C6H5CH)3N2,</w:t></w:r>
</w:p>
<w:p>
<w:pPr><w:pStyle w:val="Normal"/></w:pPr>
<w:r><w:t xml:space="preserve">with elimination of water.  Cumic aldehyde (cuminol),</w:t></w:r>
</w:p>
<w:p>
<w:pPr><w:pStyle w:val="Normal"/></w:pPr>
<w:r><w:t xml:space="preserve">(CH3)2CH(1)C6H4.CHO(4), is found in Roman caraway oil and</w:t></w:r>
</w:p>
<w:p>
<w:pPr><w:pStyle w:val="Normal"/></w:pPr>
<w:r><w:t xml:space="preserve">in oil of the water hemlock.  It is a liquid, boiling at 235 deg.</w:t></w:r>
</w:p>
<w:p>
<w:pPr><w:pStyle w:val="Normal"/></w:pPr>
<w:r><w:t xml:space="preserve">C., and has a specific gravity of 0.973.  On distillation with</w:t></w:r>
</w:p>
<w:p>
<w:pPr><w:pStyle w:val="Normal"/></w:pPr>
<w:r><w:t xml:space="preserve">zinc dust it forms cymene (1.4 methyl isopropyl benzene).</w:t></w:r>
</w:p>
<w:p>
<w:pPr><w:pStyle w:val="Normal"/></w:pPr>
<w:r><w:t xml:space="preserve">Salicylic aldehyde (ortho-hydroxybenzaldehyde), HO(1).</w:t></w:r>
</w:p>
<w:p>
<w:pPr><w:pStyle w:val="Normal"/></w:pPr>
<w:r><w:t xml:space="preserve">C6H4.CHO(2), an aromatic oxyaldehyde, is a colourless liquid</w:t></w:r>
</w:p>
<w:p>
<w:pPr><w:pStyle w:val="Normal"/></w:pPr>
<w:r><w:t xml:space="preserve">of boiling point 196 deg.  C. and specific gravity 1.172 (15 deg. ).</w:t></w:r>
</w:p>
<w:p>
<w:pPr><w:pStyle w:val="Normal"/></w:pPr>
<w:r><w:t xml:space="preserve">It is found in the volatile oils of Spiraea, and can be obtained</w:t></w:r>
</w:p>
<w:p>
<w:pPr><w:pStyle w:val="Normal"/></w:pPr>
<w:r><w:t xml:space="preserve">by the oxidation of the glucoside salicin, (C13H18O7),</w:t></w:r>
</w:p>
<w:p>
<w:pPr><w:pStyle w:val="Normal"/></w:pPr>
<w:r><w:t xml:space="preserve">which is found in willow bark.  It is usually prepared by the</w:t></w:r>
</w:p>
<w:p>
<w:pPr><w:pStyle w:val="Normal"/></w:pPr>
<w:r><w:t xml:space="preserve">so-called ``Reimer&apos;&apos; reaction (Ber., 1876, 9, p. 1268), in which</w:t></w:r>
</w:p>
<w:p>
<w:pPr><w:pStyle w:val="Normal"/></w:pPr>
<w:r><w:t xml:space="preserve">chloroform acts on phenol in the presence of a caustic alkali,</w:t></w:r>
</w:p>
<w:p>
<w:pPr><w:pStyle w:val="Normal"/></w:pPr>
<w:r><w:t xml:space="preserve">C5H5OH + CHCl3 + 4KHO = 3KCl + 3H2O + KO.C6H4.CHO,</w:t></w:r>
</w:p>
<w:p>
<w:pPr><w:pStyle w:val="Normal"/></w:pPr>
<w:r><w:t xml:space="preserve">some para-oxybenaldehyde being formed at the same time.  It</w:t></w:r>
</w:p>
<w:p>
<w:pPr><w:pStyle w:val="Normal"/></w:pPr>
<w:r><w:t xml:space="preserve">is volatile (para-oxybenzaldehyde is not) and gives a violet</w:t></w:r>
</w:p>
<w:p>
<w:pPr><w:pStyle w:val="Normal"/></w:pPr>
<w:r><w:t xml:space="preserve">coloration with ferric chloride.  For dioxybenzaldehydes</w:t></w:r>
</w:p>
<w:p>
<w:pPr><w:pStyle w:val="Normal"/></w:pPr>
<w:r><w:t xml:space="preserve">and their derivatives see PIPERONAL and VANILLIN.</w:t></w:r>
</w:p>
<w:p>
<w:pPr><w:pStyle w:val="Normal"/></w:pPr>
<w:r><w:t xml:space="preserve">Cinnamic aldehyde (b-phenyl acrolein), C6H5.CH : CH.CHO,</w:t></w:r>
</w:p>
<w:p>
<w:pPr><w:pStyle w:val="Normal"/></w:pPr>
<w:r><w:t xml:space="preserve">an unsaturated aromatic aldehyde, is the chief constituent of</w:t></w:r>
</w:p>
<w:p>
<w:pPr><w:pStyle w:val="Normal"/></w:pPr>
<w:r><w:t xml:space="preserve">cinnamon oil.  It is prepared by oxidizing cinnamyl alcohol, or</w:t></w:r>
</w:p>
<w:p>
<w:pPr><w:pStyle w:val="Normal"/></w:pPr>
<w:r><w:t xml:space="preserve">by the action of sodium ethylate on a mixture of benzaldehyde and</w:t></w:r>
</w:p>
<w:p>
<w:pPr><w:pStyle w:val="Normal"/></w:pPr>
<w:r><w:t xml:space="preserve">acetaldehyde.  It is a colourless aromatic-smelling oily liquid,</w:t></w:r>
</w:p>
<w:p>
<w:pPr><w:pStyle w:val="Normal"/></w:pPr>
<w:r><w:t xml:space="preserve">which boils at 247 deg.  C. and readily oxidizes on exposure.</w:t></w:r>
</w:p>
<w:p>
<w:pPr><w:pStyle w:val="Normal"/></w:pPr>
<w:r><w:t xml:space="preserve">By condensation of aldehydes with pyruvic acid and</w:t></w:r>
</w:p>
<w:p>
<w:pPr><w:pStyle w:val="Normal"/></w:pPr>
<w:r><w:t xml:space="preserve">naphthylamines, the a-alkyl-naphthoquinoline-g-carboxylic</w:t></w:r>
</w:p>
<w:p>
<w:pPr><w:pStyle w:val="Normal"/></w:pPr>
<w:r><w:t xml:space="preserve">acids are produced; the same reaction takes place with the</w:t></w:r>
</w:p>
<w:p>
<w:pPr><w:pStyle w:val="Normal"/></w:pPr>
<w:r><w:t xml:space="preserve">aromatic amines generally (O. Doebner, Ann. 1804, 281, p. 1),</w:t></w:r>
</w:p>
<w:p>
<w:pPr><w:pStyle w:val="Normal"/></w:pPr>
<w:r><w:t xml:space="preserve">COOH</w:t></w:r>
</w:p>
<w:p>
<w:pPr><w:pStyle w:val="Normal"/></w:pPr>
<w:r><w:t xml:space="preserve">|</w:t></w:r>
</w:p>
<w:p>
<w:pPr><w:pStyle w:val="Normal"/></w:pPr>
<w:r><w:t xml:space="preserve">/ \           COOH                      / \ / \</w:t></w:r>
</w:p>
<w:p>
<w:pPr><w:pStyle w:val="Normal"/></w:pPr>
<w:r><w:t xml:space="preserve">|   |      +  |            + R.CHO = |   |   |  + 2H2O + 2H.</w:t></w:r>
</w:p>
<w:p>
<w:pPr><w:pStyle w:val="Normal"/></w:pPr>
<w:r><w:t xml:space="preserve">\ / \NH2  CO.CH3               \ / \N/ \R</w:t></w:r>
</w:p>
<w:p>
<w:pPr><w:pStyle w:val="Normal"/></w:pPr>
<w:r><w:t xml:space="preserve">ALDEN, JOHN (1599?-1687), one of the ``Pilgrims&apos;&apos; who in</w:t></w:r>
</w:p>
<w:p>
<w:pPr><w:pStyle w:val="Normal"/></w:pPr>
<w:r><w:t xml:space="preserve">1620 emigrated to America on the ``Mayflower&apos;&apos; and founded</w:t></w:r>
</w:p>
<w:p>
<w:pPr><w:pStyle w:val="Normal"/></w:pPr>
<w:r><w:t xml:space="preserve">the Plymouth Colony.  According to William Bradford&apos;s</w:t></w:r>
</w:p>
<w:p>
<w:pPr><w:pStyle w:val="Normal"/></w:pPr>
<w:r><w:t xml:space="preserve">History of the Plimoth Plantation, he was hired as a</w:t></w:r>
</w:p>
<w:p>
<w:pPr><w:pStyle w:val="Normal"/></w:pPr>
<w:r><w:t xml:space="preserve">cooper at Southampton, ``where the ship victuled,&apos;&apos; just</w:t></w:r>
</w:p>
<w:p>
<w:pPr><w:pStyle w:val="Normal"/></w:pPr>
<w:r><w:t xml:space="preserve">before the voyage, ``and being a hopfull yong man, was much</w:t></w:r>
</w:p>
<w:p>
<w:pPr><w:pStyle w:val="Normal"/></w:pPr>
<w:r><w:t xml:space="preserve">desired.&apos;&apos; He was one of the first settlers of Duxbury,</w:t></w:r>
</w:p>
<w:p>
<w:pPr><w:pStyle w:val="Normal"/></w:pPr>
<w:r><w:t xml:space="preserve">Massachusetts, where he lived during the greater part of his</w:t></w:r>
</w:p>
<w:p>
<w:pPr><w:pStyle w:val="Normal"/></w:pPr>
<w:r><w:t xml:space="preserve">life, and from 1633 until 1675 he was an ``Assistant&apos;&apos; to</w:t></w:r>
</w:p>
<w:p>
<w:pPr><w:pStyle w:val="Normal"/></w:pPr>
<w:r><w:t xml:space="preserve">the governor of the colony, frequently serving as acting</w:t></w:r>
</w:p>
<w:p>
<w:pPr><w:pStyle w:val="Normal"/></w:pPr>
<w:r><w:t xml:space="preserve">governor.  At the time of his death, at Duxbury, on the</w:t></w:r>
</w:p>
<w:p>
<w:pPr><w:pStyle w:val="Normal"/></w:pPr>
<w:r><w:t xml:space="preserve">12th of September 1687, he was the last male survivor of</w:t></w:r>
</w:p>
<w:p>
<w:pPr><w:pStyle w:val="Normal"/></w:pPr>
<w:r><w:t xml:space="preserve">the signers of the ``Mayflower Compact&apos;&apos; of 1620, and with</w:t></w:r>
</w:p>
<w:p>
<w:pPr><w:pStyle w:val="Normal"/></w:pPr>
<w:r><w:t xml:space="preserve">the exception of Mary Allerton was the last survivor of the</w:t></w:r>
</w:p>
<w:p>
<w:pPr><w:pStyle w:val="Normal"/></w:pPr>
<w:r><w:t xml:space="preserve">``Mayflower&apos;&apos; company.  He is remembered chiefly because of</w:t></w:r>
</w:p>
<w:p>
<w:pPr><w:pStyle w:val="Normal"/></w:pPr>
<w:r><w:t xml:space="preserve">a popular legend, put into verse as The Courtship of Miles</w:t></w:r>
</w:p>
<w:p>
<w:pPr><w:pStyle w:val="Normal"/></w:pPr>
<w:r><w:t xml:space="preserve">Standish by Henry W. Longfellow, concerning his courtship</w:t></w:r>
</w:p>
<w:p>
<w:pPr><w:pStyle w:val="Normal"/></w:pPr>
<w:r><w:t xml:space="preserve">of Priscilla Mullins, whom he married in 1623, after having</w:t></w:r>
</w:p>
<w:p>
<w:pPr><w:pStyle w:val="Normal"/></w:pPr>
<w:r><w:t xml:space="preserve">wooed her first on behalf of his friend, Miles Standish.</w:t></w:r>
</w:p>
<w:p>
<w:pPr><w:pStyle w:val="Normal"/></w:pPr>
<w:r><w:t xml:space="preserve">ALDER, a genus of plants (Alnus) belonging to the order</w:t></w:r>
</w:p>
<w:p>
<w:pPr><w:pStyle w:val="Normal"/></w:pPr>
<w:r><w:t xml:space="preserve">Betulaceae, the best-known of which is the common alder (A.</w:t></w:r>
</w:p>
<w:p>
<w:pPr><w:pStyle w:val="Normal"/></w:pPr>
<w:r><w:t xml:space="preserve">glutinosa.) The genus comprises a few species of shrubs or</w:t></w:r>
</w:p>
<w:p>
<w:pPr><w:pStyle w:val="Normal"/></w:pPr>
<w:r><w:t xml:space="preserve">trees, seldom reaching a large size, distributed through</w:t></w:r>
</w:p>
<w:p>
<w:pPr><w:pStyle w:val="Normal"/></w:pPr>
<w:r><w:t xml:space="preserve">the North Temperate zone, and in the New World passing</w:t></w:r>
</w:p>
<w:p>
<w:pPr><w:pStyle w:val="Normal"/></w:pPr>
<w:r><w:t xml:space="preserve">along the Andes southwards to Chile.  The British species</w:t></w:r>
</w:p>
<w:p>
<w:pPr><w:pStyle w:val="Normal"/></w:pPr>
<w:r><w:t xml:space="preserve">A. glutinosa is confined to the Old World.  This tree</w:t></w:r>
</w:p>
<w:p>
<w:pPr><w:pStyle w:val="Normal"/></w:pPr>
<w:r><w:t xml:space="preserve">thrives best in moist soils, has a shrubby appearance, and</w:t></w:r>
</w:p>
<w:p>
<w:pPr><w:pStyle w:val="Normal"/></w:pPr>
<w:r><w:t xml:space="preserve">grows under favourable circumstances to a height of 40 or 50</w:t></w:r>
</w:p>
<w:p>
<w:pPr><w:pStyle w:val="Normal"/></w:pPr>
<w:r><w:t xml:space="preserve">ft.  It is characterized by its short-stalked roundish leaves,</w:t></w:r>
</w:p>
<w:p>
<w:pPr><w:pStyle w:val="Normal"/></w:pPr>
<w:r><w:t xml:space="preserve">becoming wedge-shaped at the base and with a slightly toothed</w:t></w:r>
</w:p>
<w:p>
<w:pPr><w:pStyle w:val="Normal"/></w:pPr>
<w:r><w:t xml:space="preserve">margin.  When young they are somewhat glutinous, whence the</w:t></w:r>
</w:p>
<w:p>
<w:pPr><w:pStyle w:val="Normal"/></w:pPr>
<w:r><w:t xml:space="preserve">specific name, becoming later a dark olive green.  As with</w:t></w:r>
</w:p>
<w:p>
<w:pPr><w:pStyle w:val="Normal"/></w:pPr>
<w:r><w:t xml:space="preserve">other plants growing near water it keeps its leaves longer</w:t></w:r>
</w:p>
<w:p>
<w:pPr><w:pStyle w:val="Normal"/></w:pPr>
<w:r><w:t xml:space="preserve">than do trees in drier situations, and the glossy green foliage</w:t></w:r>
</w:p>
<w:p>
<w:pPr><w:pStyle w:val="Normal"/></w:pPr>
<w:r><w:t xml:space="preserve">lasting after other trees have put on the red or brown of</w:t></w:r>
</w:p>
<w:p>
<w:pPr><w:pStyle w:val="Normal"/></w:pPr>
<w:r><w:t xml:space="preserve">autumn renders it valuable for landscape effect.  The stout</w:t></w:r>
</w:p>
<w:p>
<w:pPr><w:pStyle w:val="Normal"/></w:pPr>
<w:r><w:t xml:space="preserve">cylindrical male catkins are pendulous, reddish in colour</w:t></w:r>
</w:p>
<w:p>
<w:pPr><w:pStyle w:val="Normal"/></w:pPr>
<w:r><w:t xml:space="preserve">and 2 to 4 in. long; the female are smaller, less than an</w:t></w:r>
</w:p>
<w:p>
<w:pPr><w:pStyle w:val="Normal"/></w:pPr>
<w:r><w:t xml:space="preserve">inch in length and reddish-brown in colour, suggesting young</w:t></w:r>
</w:p>
<w:p>
<w:pPr><w:pStyle w:val="Normal"/></w:pPr>
<w:r><w:t xml:space="preserve">fir-cones.  When the small winged fruits have been scattered the</w:t></w:r>
</w:p>
<w:p>
<w:pPr><w:pStyle w:val="Normal"/></w:pPr>
<w:r><w:t xml:space="preserve">ripe, woody, blackish cones remain, often lasting through the</w:t></w:r>
</w:p>
<w:p>
<w:pPr><w:pStyle w:val="Normal"/></w:pPr>
<w:r><w:t xml:space="preserve">winter.  The alder is readily propagated by seeds, but throws</w:t></w:r>
</w:p>
<w:p>
<w:pPr><w:pStyle w:val="Normal"/></w:pPr>
<w:r><w:t xml:space="preserve">up root-suckers abundantly.  It is important as coppice-wood</w:t></w:r>
</w:p>
<w:p>
<w:pPr><w:pStyle w:val="Normal"/></w:pPr>
<w:r><w:t xml:space="preserve">on marshy ground.  The wood is soft, white when first cut and</w:t></w:r>
</w:p>
<w:p>
<w:pPr><w:pStyle w:val="Normal"/></w:pPr>
<w:r><w:t xml:space="preserve">turning to pale red; the knots are beautifully mottled.  Under</w:t></w:r>
</w:p>
<w:p>
<w:pPr><w:pStyle w:val="Normal"/></w:pPr>
<w:r><w:t xml:space="preserve">water the wood is very durable, and it is therefore used for</w:t></w:r>
</w:p>
<w:p>
<w:pPr><w:pStyle w:val="Normal"/></w:pPr>
<w:r><w:t xml:space="preserve">piles.  The supports of the Rialto at Venice, and many buildings</w:t></w:r>
</w:p>
<w:p>
<w:pPr><w:pStyle w:val="Normal"/></w:pPr>
<w:r><w:t xml:space="preserve">at Amsterdam, are of alder-wood.  Furniture is sometimes made</w:t></w:r>
</w:p>
<w:p>
<w:pPr><w:pStyle w:val="Normal"/></w:pPr>
<w:r><w:t xml:space="preserve">from the wood, and it supplies excellent charcoal for gunpowder.</w:t></w:r>
</w:p>
<w:p>
<w:pPr><w:pStyle w:val="Normal"/></w:pPr>
<w:r><w:t xml:space="preserve">The bark is astringent; it is used for tanning and dyeing.</w:t></w:r>
</w:p>
<w:p>
<w:pPr><w:pStyle w:val="Normal"/></w:pPr>
<w:r><w:t xml:space="preserve">ALDER-FLY, the name given to neuropterous insects of the family</w:t></w:r>
</w:p>
<w:p>
<w:pPr><w:pStyle w:val="Normal"/></w:pPr>
<w:r><w:t xml:space="preserve">Sialidae, related to the ant-lions, with long filamentous</w:t></w:r>
</w:p>
<w:p>
<w:pPr><w:pStyle w:val="Normal"/></w:pPr>
<w:r><w:t xml:space="preserve">antennae and four large wings, of which the anterior pair is</w:t></w:r>
</w:p>
<w:p>
<w:pPr><w:pStyle w:val="Normal"/></w:pPr>
<w:r><w:t xml:space="preserve">rather longer than the posterior.  The females lay a vast number</w:t></w:r>
</w:p>
<w:p>
<w:pPr><w:pStyle w:val="Normal"/></w:pPr>
<w:r><w:t xml:space="preserve">of eggs upon grass stems near water.  The larvae are aquatic,</w:t></w:r>
</w:p>
<w:p>
<w:pPr><w:pStyle w:val="Normal"/></w:pPr>
<w:r><w:t xml:space="preserve">active, armed with strong sharp mandibles, and breathe by</w:t></w:r>
</w:p>
<w:p>
<w:pPr><w:pStyle w:val="Normal"/></w:pPr>
<w:r><w:t xml:space="preserve">means of seven pairs of abdominal branchial filaments.  When</w:t></w:r>
</w:p>
<w:p>
<w:pPr><w:pStyle w:val="Normal"/></w:pPr>
<w:r><w:t xml:space="preserve">full sized they leave the water and spend a quiescent pupal</w:t></w:r>
</w:p>
<w:p>
<w:pPr><w:pStyle w:val="Normal"/></w:pPr>
<w:r><w:t xml:space="preserve">stage on the land before metamorphosis into the sexually mature</w:t></w:r>
</w:p>
<w:p>
<w:pPr><w:pStyle w:val="Normal"/></w:pPr>
<w:r><w:t xml:space="preserve">insect. Sialis lutaria is a well-known British example.  In</w:t></w:r>
</w:p>
<w:p>
<w:pPr><w:pStyle w:val="Normal"/></w:pPr>
<w:r><w:t xml:space="preserve">America there are two genera, Corydalis and Chauliodes,</w:t></w:r>
</w:p>
<w:p>
<w:pPr><w:pStyle w:val="Normal"/></w:pPr>
<w:r><w:t xml:space="preserve">which are remarkable for their relatively gigantic size and</w:t></w:r>
</w:p>
<w:p>
<w:pPr><w:pStyle w:val="Normal"/></w:pPr>
<w:r><w:t xml:space="preserve">for the immense length and sabre-like shape of the mandibles.</w:t></w:r>
</w:p>
<w:p>
<w:pPr><w:pStyle w:val="Normal"/></w:pPr>
<w:r><w:t xml:space="preserve">ALDERMAN (from A.-S. ealdorman, compounded of the</w:t></w:r>
</w:p>
<w:p>
<w:pPr><w:pStyle w:val="Normal"/></w:pPr>
<w:r><w:t xml:space="preserve">comparative degree of the adjective eald, old, and man),</w:t></w:r>
</w:p>
<w:p>
<w:pPr><w:pStyle w:val="Normal"/></w:pPr>
<w:r><w:t xml:space="preserve">a term implying the possession of an office of rank or</w:t></w:r>
</w:p>
<w:p>
<w:pPr><w:pStyle w:val="Normal"/></w:pPr>
<w:r><w:t xml:space="preserve">dignity, and, in modern times, applied to an office-bearer</w:t></w:r>
</w:p>
<w:p>
<w:pPr><w:pStyle w:val="Normal"/></w:pPr>
<w:r><w:t xml:space="preserve">in the municipal corporations and county councils of England</w:t></w:r>
</w:p>
<w:p>
<w:pPr><w:pStyle w:val="Normal"/></w:pPr>
<w:r><w:t xml:space="preserve">and Wales,and in the municipal corporations of Ireland and</w:t></w:r>
</w:p>
<w:p>
<w:pPr><w:pStyle w:val="Normal"/></w:pPr>
<w:r><w:t xml:space="preserve">the United States.  Among the Anglo-Saxons, earls, governors</w:t></w:r>
</w:p>
<w:p>
<w:pPr><w:pStyle w:val="Normal"/></w:pPr>
<w:r><w:t xml:space="preserve">of provinces and other persons of distinction received this</w:t></w:r>
</w:p>
<w:p>
<w:pPr><w:pStyle w:val="Normal"/></w:pPr>
<w:r><w:t xml:space="preserve">title.  Thus we read of the aldermannus totius Angliae, who</w:t></w:r>
</w:p>
<w:p>
<w:pPr><w:pStyle w:val="Normal"/></w:pPr>
<w:r><w:t xml:space="preserve">seems to have corresponded to the officer afterwards styled</w:t></w:r>
</w:p>
<w:p>
<w:pPr><w:pStyle w:val="Normal"/></w:pPr>
<w:r><w:t xml:space="preserve">capitalis justiciarius Angliae, or chief-justice of England;</w:t></w:r>
</w:p>
<w:p>
<w:pPr><w:pStyle w:val="Normal"/></w:pPr>
<w:r><w:t xml:space="preserve">the aldermannus regis, probably an occasional magistrate,</w:t></w:r>
</w:p>
<w:p>
<w:pPr><w:pStyle w:val="Normal"/></w:pPr>
<w:r><w:t xml:space="preserve">answering to the modern justice of assize, or perhaps an officer</w:t></w:r>
</w:p>
<w:p>
<w:pPr><w:pStyle w:val="Normal"/></w:pPr>
<w:r><w:t xml:space="preserve">whose duty it was to prosecute for the crown; and aldermannus</w:t></w:r>
</w:p>
<w:p>
<w:pPr><w:pStyle w:val="Normal"/></w:pPr>
<w:r><w:t xml:space="preserve">comitatus, a magistrate with a middle rank between what was</w:t></w:r>
</w:p>
<w:p>
<w:pPr><w:pStyle w:val="Normal"/></w:pPr>
<w:r><w:t xml:space="preserve">afterwards called the earl and the sheriff, who sat at</w:t></w:r>
</w:p>
<w:p>
<w:pPr><w:pStyle w:val="Normal"/></w:pPr>
<w:r><w:t xml:space="preserve">the trial of causes with the bishop and declared the common</w:t></w:r>
</w:p>
<w:p>
<w:pPr><w:pStyle w:val="Normal"/></w:pPr>
<w:r><w:t xml:space="preserve">law, while the bishop proceeded according to ecclesiastical</w:t></w:r>
</w:p>
<w:p>
<w:pPr><w:pStyle w:val="Normal"/></w:pPr>
<w:r><w:t xml:space="preserve">law.  Besides these, we meet with the titles of aldermannus</w:t></w:r>
</w:p>
<w:p>
<w:pPr><w:pStyle w:val="Normal"/></w:pPr>
<w:r><w:t xml:space="preserve">civitatis, burgi, castelli, hundredi sive wapentachii, &amp;c.</w:t></w:r>
</w:p>
<w:p>
<w:pPr><w:pStyle w:val="Normal"/></w:pPr>
<w:r><w:t xml:space="preserve">In England, before the passing of the Municipal Corporations</w:t></w:r>
</w:p>
<w:p>
<w:pPr><w:pStyle w:val="Normal"/></w:pPr>
<w:r><w:t xml:space="preserve">Act, their functions varied according to the charters of the</w:t></w:r>
</w:p>
<w:p>
<w:pPr><w:pStyle w:val="Normal"/></w:pPr>
<w:r><w:t xml:space="preserve">different boroughs.  By the Municipal Corporations Act 1835,</w:t></w:r>
</w:p>
<w:p>
<w:pPr><w:pStyle w:val="Normal"/></w:pPr>
<w:r><w:t xml:space="preserve">and other acts, consolidated by the Municipal Corporations Act</w:t></w:r>
</w:p>
<w:p>
<w:pPr><w:pStyle w:val="Normal"/></w:pPr>
<w:r><w:t xml:space="preserve">1882, the aldermen are elected by the councillors for six</w:t></w:r>
</w:p>
<w:p>
<w:pPr><w:pStyle w:val="Normal"/></w:pPr>
<w:r><w:t xml:space="preserve">years, one-half going out every three years.  The number</w:t></w:r>
</w:p>
<w:p>
<w:pPr><w:pStyle w:val="Normal"/></w:pPr>
<w:r><w:t xml:space="preserve">of councillors in each borough varies according to its</w:t></w:r>
</w:p>
<w:p>
<w:pPr><w:pStyle w:val="Normal"/></w:pPr>
<w:r><w:t xml:space="preserve">magnitude.  One-fourth of the municipal council consists of</w:t></w:r>
</w:p>
<w:p>
<w:pPr><w:pStyle w:val="Normal"/></w:pPr>
<w:r><w:t xml:space="preserve">aldermen and three-fourths of councillors.  In the counties,</w:t></w:r>
</w:p>
<w:p>
<w:pPr><w:pStyle w:val="Normal"/></w:pPr>
<w:r><w:t xml:space="preserve">too, the number of aldermen is one-third of the number of</w:t></w:r>
</w:p>
<w:p>
<w:pPr><w:pStyle w:val="Normal"/></w:pPr>
<w:r><w:t xml:space="preserve">councillors, except in London, where it is one-sixth.  In the</w:t></w:r>
</w:p>
<w:p>
<w:pPr><w:pStyle w:val="Normal"/></w:pPr>
<w:r><w:t xml:space="preserve">municipal corporations of Scotland there is no such title as</w:t></w:r>
</w:p>
<w:p>
<w:pPr><w:pStyle w:val="Normal"/></w:pPr>
<w:r><w:t xml:space="preserve">alderman, the office-bearers of corresponding rank there being</w:t></w:r>
</w:p>
<w:p>
<w:pPr><w:pStyle w:val="Normal"/></w:pPr>
<w:r><w:t xml:space="preserve">termed bailies.  The corporation of the city of London was</w:t></w:r>
</w:p>
<w:p>
<w:pPr><w:pStyle w:val="Normal"/></w:pPr>
<w:r><w:t xml:space="preserve">not included in the Borough Reform Act, and the antiquated</w:t></w:r>
</w:p>
<w:p>
<w:pPr><w:pStyle w:val="Normal"/></w:pPr>
<w:r><w:t xml:space="preserve">system remains there in full force.  The court of aldermen</w:t></w:r>
</w:p>
<w:p>
<w:pPr><w:pStyle w:val="Normal"/></w:pPr>
<w:r><w:t xml:space="preserve">consists of twenty-six, twenty-five of whom are elected for</w:t></w:r>
</w:p>
<w:p>
<w:pPr><w:pStyle w:val="Normal"/></w:pPr>
<w:r><w:t xml:space="preserve">life by the freemen of the respective wards, who return two</w:t></w:r>
</w:p>
<w:p>
<w:pPr><w:pStyle w:val="Normal"/></w:pPr>
<w:r><w:t xml:space="preserve">persons, one of whom the court of aldermen elect to supply the</w:t></w:r>
</w:p>
<w:p>
<w:pPr><w:pStyle w:val="Normal"/></w:pPr>
<w:r><w:t xml:space="preserve">vacancy.  The city is divided into twenty-six wards; twenty-four</w:t></w:r>
</w:p>
<w:p>
<w:pPr><w:pStyle w:val="Normal"/></w:pPr>
<w:r><w:t xml:space="preserve">of these send up one alderman each, the other two combine</w:t></w:r>
</w:p>
<w:p>
<w:pPr><w:pStyle w:val="Normal"/></w:pPr>
<w:r><w:t xml:space="preserve">to choose a twenty-fifth.  The twenty-sixth alderman serves</w:t></w:r>
</w:p>
<w:p>
<w:pPr><w:pStyle w:val="Normal"/></w:pPr>
<w:r><w:t xml:space="preserve">for the independent borough of Southwark (q.v.) and is</w:t></w:r>
</w:p>
<w:p>
<w:pPr><w:pStyle w:val="Normal"/></w:pPr>
<w:r><w:t xml:space="preserve">appointed by the other aldermen, who generally select the</w:t></w:r>
</w:p>
<w:p>
<w:pPr><w:pStyle w:val="Normal"/></w:pPr>
<w:r><w:t xml:space="preserve">senior from among themselves when a vacancy occurs.  The lord</w:t></w:r>
</w:p>
<w:p>
<w:pPr><w:pStyle w:val="Normal"/></w:pPr>
<w:r><w:t xml:space="preserve">mayor is elected from such of the aldermen as have served the</w:t></w:r>
</w:p>
<w:p>
<w:pPr><w:pStyle w:val="Normal"/></w:pPr>
<w:r><w:t xml:space="preserve">office of sheriff; of these the Common Hall, which consists</w:t></w:r>
</w:p>
<w:p>
<w:pPr><w:pStyle w:val="Normal"/></w:pPr>
<w:r><w:t xml:space="preserve">of the freemen of the different wards, select two, and the</w:t></w:r>
</w:p>
<w:p>
<w:pPr><w:pStyle w:val="Normal"/></w:pPr>
<w:r><w:t xml:space="preserve">aldermen elect one of these to the mayoralty.  The court of</w:t></w:r>
</w:p>
<w:p>
<w:pPr><w:pStyle w:val="Normal"/></w:pPr>
<w:r><w:t xml:space="preserve">aldermen has the power of appointment to certain offices,</w:t></w:r>
</w:p>
<w:p>
<w:pPr><w:pStyle w:val="Normal"/></w:pPr>
<w:r><w:t xml:space="preserve">exercises judicial functions in regard to licensing and in</w:t></w:r>
</w:p>
<w:p>
<w:pPr><w:pStyle w:val="Normal"/></w:pPr>
<w:r><w:t xml:space="preserve">disputes connected with the ward election, has some power of</w:t></w:r>
</w:p>
<w:p>
<w:pPr><w:pStyle w:val="Normal"/></w:pPr>
<w:r><w:t xml:space="preserve">disposal over the city cash and possesses magisterial control</w:t></w:r>
</w:p>
<w:p>
<w:pPr><w:pStyle w:val="Normal"/></w:pPr>
<w:r><w:t xml:space="preserve">over the city, each alderman being a judge and magistrate</w:t></w:r>
</w:p>
<w:p>
<w:pPr><w:pStyle w:val="Normal"/></w:pPr>
<w:r><w:t xml:space="preserve">for the whole city, and by virtue of his office exercising</w:t></w:r>
</w:p>
<w:p>
<w:pPr><w:pStyle w:val="Normal"/></w:pPr>
<w:r><w:t xml:space="preserve">the functions of a justice of the peace.  The aldermen are</w:t></w:r>
</w:p>
<w:p>
<w:pPr><w:pStyle w:val="Normal"/></w:pPr>
<w:r><w:t xml:space="preserve">members of the court of common council, the legislative body</w:t></w:r>
</w:p>
<w:p>
<w:pPr><w:pStyle w:val="Normal"/></w:pPr>
<w:r><w:t xml:space="preserve">of the corporation, which consists in all of 232 members,</w:t></w:r>
</w:p>
<w:p>
<w:pPr><w:pStyle w:val="Normal"/></w:pPr>
<w:r><w:t xml:space="preserve">the remainder being elected annually by the freemen.  In the</w:t></w:r>
</w:p>
<w:p>
<w:pPr><w:pStyle w:val="Normal"/></w:pPr>
<w:r><w:t xml:space="preserve">United States aldermen form as a rule a legislative rather</w:t></w:r>
</w:p>
<w:p>
<w:pPr><w:pStyle w:val="Normal"/></w:pPr>
<w:r><w:t xml:space="preserve">than a judicial body, although in some cities they hold</w:t></w:r>
</w:p>
<w:p>
<w:pPr><w:pStyle w:val="Normal"/></w:pPr>
<w:r><w:t xml:space="preserve">courts and possess very considerable magisterial powers.</w:t></w:r>
</w:p>
<w:p>
<w:pPr><w:pStyle w:val="Normal"/></w:pPr>
<w:r><w:t xml:space="preserve">ALDERNEY (Fr. Aurigny), one of the Channel Islands, the</w:t></w:r>
</w:p>
<w:p>
<w:pPr><w:pStyle w:val="Normal"/></w:pPr>
<w:r><w:t xml:space="preserve">northernmost of the principal members of the group, belonging to</w:t></w:r>
</w:p>
<w:p>
<w:pPr><w:pStyle w:val="Normal"/></w:pPr>
<w:r><w:t xml:space="preserve">England.  It lies in 49 deg.  43&apos; N. and 2 deg.  12&apos; W., 9 m.  W.</w:t></w:r>
</w:p>
<w:p>
<w:pPr><w:pStyle w:val="Normal"/></w:pPr>
<w:r><w:t xml:space="preserve">of Cape La Hague on the coast of Normandy.  The harbour, on</w:t></w:r>
</w:p>
<w:p>
<w:pPr><w:pStyle w:val="Normal"/></w:pPr>
<w:r><w:t xml:space="preserve">the north coast in the bay of Braye, is 25 m. from St Peter</w:t></w:r>
</w:p>
<w:p>
<w:pPr><w:pStyle w:val="Normal"/></w:pPr>
<w:r><w:t xml:space="preserve">Port, Guernsey, by way of which outer communications are</w:t></w:r>
</w:p>
<w:p>
<w:pPr><w:pStyle w:val="Normal"/></w:pPr>
<w:r><w:t xml:space="preserve">principally carried on, and 55 m.  S. by E. of Portland</w:t></w:r>
</w:p>
<w:p>
<w:pPr><w:pStyle w:val="Normal"/></w:pPr>
<w:r><w:t xml:space="preserve">Bill, the nearest point of England.  The length of the</w:t></w:r>
</w:p>
<w:p>
<w:pPr><w:pStyle w:val="Normal"/></w:pPr>
<w:r><w:t xml:space="preserve">island from N. E. to S. W. is 3 1/2 m., its average breadth 1</w:t></w:r>
</w:p>
<w:p>
<w:pPr><w:pStyle w:val="Normal"/></w:pPr>
<w:r><w:t xml:space="preserve">m., its area 1962 acres, and its population (1901) 2062.</w:t></w:r>
</w:p>
<w:p>
<w:pPr><w:pStyle w:val="Normal"/></w:pPr>
<w:r><w:t xml:space="preserve">The strait between the island and Cape La Hague, called</w:t></w:r>
</w:p>
<w:p>
<w:pPr><w:pStyle w:val="Normal"/></w:pPr>
<w:r><w:t xml:space="preserve">the Race of Alderney (French Raz Blanchard), confined by</w:t></w:r>
</w:p>
<w:p>
<w:pPr><w:pStyle w:val="Normal"/></w:pPr>
<w:r><w:t xml:space="preserve">numerous rocks and reefs off either coast, is rendered very</w:t></w:r>
</w:p>
<w:p>
<w:pPr><w:pStyle w:val="Normal"/></w:pPr>
<w:r><w:t xml:space="preserve">dangerous in stormy weather by conflicting currents.  Through</w:t></w:r>
</w:p>
<w:p>
<w:pPr><w:pStyle w:val="Normal"/></w:pPr>
<w:r><w:t xml:space="preserve">this difficult channel the scattered remnant of the French</w:t></w:r>
</w:p>
<w:p>
<w:pPr><w:pStyle w:val="Normal"/></w:pPr>
<w:r><w:t xml:space="preserve">fleet under Tourville escaped after the defeat of La Hogue in</w:t></w:r>
</w:p>
<w:p>
<w:pPr><w:pStyle w:val="Normal"/></w:pPr>
<w:r><w:t xml:space="preserve">1692.  To the west is the narrower and also dangerous channel</w:t></w:r>
</w:p>
<w:p>
<w:pPr><w:pStyle w:val="Normal"/></w:pPr>
<w:r><w:t xml:space="preserve">of the Swinge (Sinige), between Alderney and the uninhabited</w:t></w:r>
</w:p>
<w:p>
<w:pPr><w:pStyle w:val="Normal"/></w:pPr>
<w:r><w:t xml:space="preserve">islets of Burhou, Ortach and others.  West of these again are the</w:t></w:r>
</w:p>
<w:p>
<w:pPr><w:pStyle w:val="Normal"/></w:pPr>
<w:r><w:t xml:space="preserve">Casquets, a group of rocks to which attaches a long record of</w:t></w:r>
</w:p>
<w:p>
<w:pPr><w:pStyle w:val="Normal"/></w:pPr>
<w:r><w:t xml:space="preserve">shipwreck.  Rocks and reefs fringe all the coasts of Alderney.  The</w:t></w:r>
</w:p>
<w:p>
<w:pPr><w:pStyle w:val="Normal"/></w:pPr>
<w:r><w:t xml:space="preserve">island itself is a level open tableland, which on the south-west</w:t></w:r>
</w:p>
<w:p>
<w:pPr><w:pStyle w:val="Normal"/></w:pPr>
<w:r><w:t xml:space="preserve">and south falls abruptly to the sea in a majestic series of</w:t></w:r>
</w:p>
<w:p>
<w:pPr><w:pStyle w:val="Normal"/></w:pPr>
<w:r><w:t xml:space="preserve">cliffs.  The greatest elevation of the land is about 300</w:t></w:r>
</w:p>
<w:p>
<w:pPr><w:pStyle w:val="Normal"/></w:pPr>
<w:r><w:t xml:space="preserve">ft.  Towards the north-west, north and east the less rocky</w:t></w:r>
</w:p>
<w:p>
<w:pPr><w:pStyle w:val="Normal"/></w:pPr>
<w:r><w:t xml:space="preserve">coast is indented by several bays, with open sandy shores, of</w:t></w:r>
</w:p>
<w:p>
<w:pPr><w:pStyle w:val="Normal"/></w:pPr>
<w:r><w:t xml:space="preserve">which those of Crabby, Brave, Corblets and Longy are the most</w:t></w:r>
</w:p>
<w:p>
<w:pPr><w:pStyle w:val="Normal"/></w:pPr>
<w:r><w:t xml:space="preserve">noteworthy.  South-west of Longy Bay, where the coast rises</w:t></w:r>
</w:p>
<w:p>
<w:pPr><w:pStyle w:val="Normal"/></w:pPr>
<w:r><w:t xml:space="preserve">boldly, there is a remarkable projecting block of sandstone,</w:t></w:r>
</w:p>
<w:p>
<w:pPr><w:pStyle w:val="Normal"/></w:pPr>
<w:r><w:t xml:space="preserve">called La Roche Pendante (Hanging Rock) overhanging the</w:t></w:r>
</w:p>
<w:p>
<w:pPr><w:pStyle w:val="Normal"/></w:pPr>
<w:r><w:t xml:space="preserve">cliff.  Sandstone (mainly along the north-east coast),</w:t></w:r>
</w:p>
<w:p>
<w:pPr><w:pStyle w:val="Normal"/></w:pPr>
<w:r><w:t xml:space="preserve">granite and porphyry are the chief geological formations.</w:t></w:r>
</w:p>
<w:p>
<w:pPr><w:pStyle w:val="Normal"/></w:pPr>
<w:r><w:t xml:space="preserve">There are a few streams, but water is obtained mainly from</w:t></w:r>
</w:p>
<w:p>
<w:pPr><w:pStyle w:val="Normal"/></w:pPr>
<w:r><w:t xml:space="preserve">wells.  Trees are scarce.  The town of St Anne stands almost in</w:t></w:r>
</w:p>
<w:p>
<w:pPr><w:pStyle w:val="Normal"/></w:pPr>
<w:r><w:t xml:space="preserve">the centre of the island overlooking and extending towards the</w:t></w:r>
</w:p>
<w:p>
<w:pPr><w:pStyle w:val="Normal"/></w:pPr>
<w:r><w:t xml:space="preserve">harbour.  Here are the courthouse, a gateway commemorating</w:t></w:r>
</w:p>
<w:p>
<w:pPr><w:pStyle w:val="Normal"/></w:pPr>
<w:r><w:t xml:space="preserve">Albert, prince-consort, the clock tower, which belonged to</w:t></w:r>
</w:p>
<w:p>
<w:pPr><w:pStyle w:val="Normal"/></w:pPr>
<w:r><w:t xml:space="preserve">the ancient parish church, and the modern church (1850),</w:t></w:r>
</w:p>
<w:p>
<w:pPr><w:pStyle w:val="Normal"/></w:pPr>
<w:r><w:t xml:space="preserve">in Early English style, an excellent example of the work of</w:t></w:r>
</w:p>
<w:p>
<w:pPr><w:pStyle w:val="Normal"/></w:pPr>
<w:r><w:t xml:space="preserve">Sir Gilbert Scott.  The church is a memorial to the family</w:t></w:r>
</w:p>
<w:p>
<w:pPr><w:pStyle w:val="Normal"/></w:pPr>
<w:r><w:t xml:space="preserve">of Le Mesurier, in which the hereditary governorship of</w:t></w:r>
</w:p>
<w:p>
<w:pPr><w:pStyle w:val="Normal"/></w:pPr>
<w:r><w:t xml:space="preserve">the island was vested until the abolition of the office in</w:t></w:r>
</w:p>
<w:p>
<w:pPr><w:pStyle w:val="Normal"/></w:pPr>
<w:r><w:t xml:space="preserve">1825.  There is a chain of forts round the north coast from</w:t></w:r>
</w:p>
<w:p>
<w:pPr><w:pStyle w:val="Normal"/></w:pPr>
<w:r><w:t xml:space="preserve">Clanque Fort on the west to Fort Essex on the east; the largest</w:t></w:r>
</w:p>
<w:p>
<w:pPr><w:pStyle w:val="Normal"/></w:pPr>
<w:r><w:t xml:space="preserve">is Fort Albert, above Brave Bay. In 1847 work was begun on</w:t></w:r>
</w:p>
<w:p>
<w:pPr><w:pStyle w:val="Normal"/></w:pPr>
<w:r><w:t xml:space="preserve">a great breakwater west of the harbour, the intention being</w:t></w:r>
</w:p>
<w:p>
<w:pPr><w:pStyle w:val="Normal"/></w:pPr>
<w:r><w:t xml:space="preserve">to provide a harbour of refuge, but although a sum exceeding</w:t></w:r>
</w:p>
<w:p>
<w:pPr><w:pStyle w:val="Normal"/></w:pPr>
<w:r><w:t xml:space="preserve">one and a half million sterling was spent the scheme was</w:t></w:r>
</w:p>
<w:p>
<w:pPr><w:pStyle w:val="Normal"/></w:pPr>
<w:r><w:t xml:space="preserve">unsuccessful.  The soil of Alderney is light, fertile and</w:t></w:r>
</w:p>
<w:p>
<w:pPr><w:pStyle w:val="Normal"/></w:pPr>
<w:r><w:t xml:space="preserve">well cultivated; grain and vegetables are grown and early</w:t></w:r>
</w:p>
<w:p>
<w:pPr><w:pStyle w:val="Normal"/></w:pPr>
<w:r><w:t xml:space="preserve">potatoes are exported.  A large part of the island is under</w:t></w:r>
</w:p>
<w:p>
<w:pPr><w:pStyle w:val="Normal"/></w:pPr>
<w:r><w:t xml:space="preserve">grass, affording pasture for cattle.  The well-known term</w:t></w:r>
</w:p>
<w:p>
<w:pPr><w:pStyle w:val="Normal"/></w:pPr>
<w:r><w:t xml:space="preserve">``Alderney cattle,&apos;&apos; however, has lost in great measure</w:t></w:r>
</w:p>
<w:p>
<w:pPr><w:pStyle w:val="Normal"/></w:pPr>
<w:r><w:t xml:space="preserve">its former signification of a distinctive breed.  Alderney</w:t></w:r>
</w:p>
<w:p>
<w:pPr><w:pStyle w:val="Normal"/></w:pPr>
<w:r><w:t xml:space="preserve">is included in the bailiwick of Guernsey.  It has a court</w:t></w:r>
</w:p>
<w:p>
<w:pPr><w:pStyle w:val="Normal"/></w:pPr>
<w:r><w:t xml:space="preserve">consisting of a judge and six jurats, attorney-general,</w:t></w:r>
</w:p>
<w:p>
<w:pPr><w:pStyle w:val="Normal"/></w:pPr>
<w:r><w:t xml:space="preserve">prevot, greffiero and sergent; but as a judicial court</w:t></w:r>
</w:p>
<w:p>
<w:pPr><w:pStyle w:val="Normal"/></w:pPr>
<w:r><w:t xml:space="preserve">it is subordinate to that of Guernsey, and its administrative</w:t></w:r>
</w:p>
<w:p>
<w:pPr><w:pStyle w:val="Normal"/></w:pPr>
<w:r><w:t xml:space="preserve">powers are limited to such matters as the upkeep of roads.</w:t></w:r>
</w:p>
<w:p>
<w:pPr><w:pStyle w:val="Normal"/></w:pPr>
<w:r><w:t xml:space="preserve">For its relations to the constitution of the bailiwick,</w:t></w:r>
</w:p>
<w:p>
<w:pPr><w:pStyle w:val="Normal"/></w:pPr>
<w:r><w:t xml:space="preserve">and for the history of the island, see CHANNEL ISLANDS.</w:t></w:r>
</w:p>
<w:p>
<w:pPr><w:pStyle w:val="Normal"/></w:pPr>
<w:r><w:t xml:space="preserve">ALDERSHOT, an urban district in the Basingstoke parliamentary</w:t></w:r>
</w:p>
<w:p>
<w:pPr><w:pStyle w:val="Normal"/></w:pPr>
<w:r><w:t xml:space="preserve">division of Hampshire, England, 34 m.  S.W. by W. of London,</w:t></w:r>
</w:p>
<w:p>
<w:pPr><w:pStyle w:val="Normal"/></w:pPr>
<w:r><w:t xml:space="preserve">on the London &amp; South-Western and the South- Eastern &amp; Chatham</w:t></w:r>
</w:p>
<w:p>
<w:pPr><w:pStyle w:val="Normal"/></w:pPr>
<w:r><w:t xml:space="preserve">railways.  It was a mere village till 1855, when Aldershot</w:t></w:r>
</w:p>
<w:p>
<w:pPr><w:pStyle w:val="Normal"/></w:pPr>
<w:r><w:t xml:space="preserve">camp was established.  Pop. (1891) 25,595; (1901) 30,974.  Its</w:t></w:r>
</w:p>
<w:p>
<w:pPr><w:pStyle w:val="Normal"/></w:pPr>
<w:r><w:t xml:space="preserve">germ is to be found in the temporary camp on Chobham Ridges,</w:t></w:r>
</w:p>
<w:p>
<w:pPr><w:pStyle w:val="Normal"/></w:pPr>
<w:r><w:t xml:space="preserve">formed in 1853 by Lord Hardinge, the commander-in-chief, the</w:t></w:r>
</w:p>
<w:p>
<w:pPr><w:pStyle w:val="Normal"/></w:pPr>
<w:r><w:t xml:space="preserve">success of which convinced him of the necessity of giving</w:t></w:r>
</w:p>
<w:p>
<w:pPr><w:pStyle w:val="Normal"/></w:pPr>
<w:r><w:t xml:space="preserve">troops practical instruction in the field and affording the</w:t></w:r>
</w:p>
<w:p>
<w:pPr><w:pStyle w:val="Normal"/></w:pPr>
<w:r><w:t xml:space="preserve">generals opportunities of manoeuvring large bodies of the three</w:t></w:r>
</w:p>
<w:p>
<w:pPr><w:pStyle w:val="Normal"/></w:pPr>
<w:r><w:t xml:space="preserve">arms.  He therefore advised the purchase of a tract of waste</w:t></w:r>
</w:p>
<w:p>
<w:pPr><w:pStyle w:val="Normal"/></w:pPr>
<w:r><w:t xml:space="preserve">land whereon a permanent camp might be established.  His</w:t></w:r>
</w:p>
<w:p>
<w:pPr><w:pStyle w:val="Normal"/></w:pPr>
<w:r><w:t xml:space="preserve">choice fell on Aldershot, a spot also recommended by strategic</w:t></w:r>
</w:p>
<w:p>
<w:pPr><w:pStyle w:val="Normal"/></w:pPr>
<w:r><w:t xml:space="preserve">reasons, being situated on the flank of any army advancing upon</w:t></w:r>
</w:p>
<w:p>
<w:pPr><w:pStyle w:val="Normal"/></w:pPr>
<w:r><w:t xml:space="preserve">London from the south.  Nothing came of Lord Hardinge&apos;s proposal</w:t></w:r>
</w:p>
<w:p>
<w:pPr><w:pStyle w:val="Normal"/></w:pPr>
<w:r><w:t xml:space="preserve">till the experience of the Crimean campaign fully endorsed his</w:t></w:r>
</w:p>
<w:p>
<w:pPr><w:pStyle w:val="Normal"/></w:pPr>
<w:r><w:t xml:space="preserve">opinion.  The lands at Aldershot, an extensive open heath</w:t></w:r>
</w:p>
<w:p>
<w:pPr><w:pStyle w:val="Normal"/></w:pPr>
<w:r><w:t xml:space="preserve">country, sparsely dotted by fir-woods and intersected by the</w:t></w:r>
</w:p>
<w:p>
<w:pPr><w:pStyle w:val="Normal"/></w:pPr>
<w:r><w:t xml:space="preserve">Basingstoke canal, were then acquired by the crown.  Wooden</w:t></w:r>
</w:p>
<w:p>
<w:pPr><w:pStyle w:val="Normal"/></w:pPr>
<w:r><w:t xml:space="preserve">huts were erected in 1855, and permanent buildings to replace</w:t></w:r>
</w:p>
<w:p>
<w:pPr><w:pStyle w:val="Normal"/></w:pPr>
<w:r><w:t xml:space="preserve">them were begun in 1881.  Under the Barracks Act 1890, and the</w:t></w:r>
</w:p>
<w:p>
<w:pPr><w:pStyle w:val="Normal"/></w:pPr>
<w:r><w:t xml:space="preserve">Military Works Act of 1897 and 1899, large sums were provided</w:t></w:r>
</w:p>
<w:p>
<w:pPr><w:pStyle w:val="Normal"/></w:pPr>
<w:r><w:t xml:space="preserve">for completing the work.  The former division of North and</w:t></w:r>
</w:p>
<w:p>
<w:pPr><w:pStyle w:val="Normal"/></w:pPr>
<w:r><w:t xml:space="preserve">South camps and permanent barracks no longer obtains.  North</w:t></w:r>
</w:p>
<w:p>
<w:pPr><w:pStyle w:val="Normal"/></w:pPr>
<w:r><w:t xml:space="preserve">camp is now named Marlborough Lines, with a field artillery</w:t></w:r>
</w:p>
<w:p>
<w:pPr><w:pStyle w:val="Normal"/></w:pPr>
<w:r><w:t xml:space="preserve">barrack and five infantry barracks called after Marlborough&apos;s</w:t></w:r>
</w:p>
<w:p>
<w:pPr><w:pStyle w:val="Normal"/></w:pPr>
<w:r><w:t xml:space="preserve">victories.  South camp is now named Stanhope Lines, after Mr</w:t></w:r>
</w:p>
<w:p>
<w:pPr><w:pStyle w:val="Normal"/></w:pPr>
<w:r><w:t xml:space="preserve">Stanhope, who was secretary of state for war when the Barracks</w:t></w:r>
</w:p>
<w:p>
<w:pPr><w:pStyle w:val="Normal"/></w:pPr>
<w:r><w:t xml:space="preserve">Act 1890 was passed and the reconstruction commenced in</w:t></w:r>
</w:p>
<w:p>
<w:pPr><w:pStyle w:val="Normal"/></w:pPr>
<w:r><w:t xml:space="preserve">earnest.  They contain barracks for the Royal Engineers and</w:t></w:r>
</w:p>
<w:p>
<w:pPr><w:pStyle w:val="Normal"/></w:pPr>
<w:r><w:t xml:space="preserve">Army Service Corps, the general parade, which stretches east</w:t></w:r>
</w:p>
<w:p>
<w:pPr><w:pStyle w:val="Normal"/></w:pPr>
<w:r><w:t xml:space="preserve">and west, and five infantry barracks called after battles</w:t></w:r>
</w:p>
<w:p>
<w:pPr><w:pStyle w:val="Normal"/></w:pPr>
<w:r><w:t xml:space="preserve">(other than those of Wellington), of the wars with France,</w:t></w:r>
</w:p>
<w:p>
<w:pPr><w:pStyle w:val="Normal"/></w:pPr>
<w:r><w:t xml:space="preserve">1793-1815.  There are also barracks for the Royal Army Medical</w:t></w:r>
</w:p>
<w:p>
<w:pPr><w:pStyle w:val="Normal"/></w:pPr>
<w:r><w:t xml:space="preserve">Corps.  The old permanent barracks (which were built for the</w:t></w:r>
</w:p>
<w:p>
<w:pPr><w:pStyle w:val="Normal"/></w:pPr>
<w:r><w:t xml:space="preserve">most part about 1857) have been renamed Wellington Lines, with</w:t></w:r>
</w:p>
<w:p>
<w:pPr><w:pStyle w:val="Normal"/></w:pPr>
<w:r><w:t xml:space="preserve">cavalry and artillery barracks; and three infantry barracks</w:t></w:r>
</w:p>
<w:p>
<w:pPr><w:pStyle w:val="Normal"/></w:pPr>
<w:r><w:t xml:space="preserve">called after Wellington&apos;s victories in the Peninsula.  For</w:t></w:r>
</w:p>
<w:p>
<w:pPr><w:pStyle w:val="Normal"/></w:pPr>
<w:r><w:t xml:space="preserve">the sick there are the Connaught Hospital in the Marlborough</w:t></w:r>
</w:p>
<w:p>
<w:pPr><w:pStyle w:val="Normal"/></w:pPr>
<w:r><w:t xml:space="preserve">Lines, the Cambridge Hospital in Stanhope Lines, and the Union</w:t></w:r>
</w:p>
<w:p>
<w:pPr><w:pStyle w:val="Normal"/></w:pPr>
<w:r><w:t xml:space="preserve">Hospital in Wellington Lines, besides the Louise Margaret Hospital</w:t></w:r>
</w:p>
<w:p>
<w:pPr><w:pStyle w:val="Normal"/></w:pPr>
<w:r><w:t xml:space="preserve">for women and children and the isolated infection hospital.</w:t></w:r>
</w:p>
<w:p>
<w:pPr><w:pStyle w:val="Normal"/></w:pPr>
<w:r><w:t xml:space="preserve">The drainage of the station is all modern, and the sewage is</w:t></w:r>
</w:p>
<w:p>
<w:pPr><w:pStyle w:val="Normal"/></w:pPr>
<w:r><w:t xml:space="preserve">disposed of on a sewage farm under the direction of the war</w:t></w:r>
</w:p>
<w:p>
<w:pPr><w:pStyle w:val="Normal"/></w:pPr>
<w:r><w:t xml:space="preserve">department.  The water supply is partly from the Aldershot Water</w:t></w:r>
</w:p>
<w:p>
<w:pPr><w:pStyle w:val="Normal"/></w:pPr>
<w:r><w:t xml:space="preserve">Company, and partly from springs and reservoirs collecting</w:t></w:r>
</w:p>
<w:p>
<w:pPr><w:pStyle w:val="Normal"/></w:pPr>
<w:r><w:t xml:space="preserve">water from a reserved area of war department property.</w:t></w:r>
</w:p>
<w:p>
<w:pPr><w:pStyle w:val="Normal"/></w:pPr>
<w:r><w:t xml:space="preserve">Most of the barracks can accommodate not only the units they are</w:t></w:r>
</w:p>
<w:p>
<w:pPr><w:pStyle w:val="Normal"/></w:pPr>
<w:r><w:t xml:space="preserve">constructed for, but also detachments going through courses of</w:t></w:r>
</w:p>
<w:p>
<w:pPr><w:pStyle w:val="Normal"/></w:pPr>
<w:r><w:t xml:space="preserve">instruction.  The total of men, women and children for</w:t></w:r>
</w:p>
<w:p>
<w:pPr><w:pStyle w:val="Normal"/></w:pPr>
<w:r><w:t xml:space="preserve">whom quarters are provided is at times as high as 24,000.</w:t></w:r>
</w:p>
<w:p>
<w:pPr><w:pStyle w:val="Normal"/></w:pPr>
<w:r><w:t xml:space="preserve">Besides the regimental buildings there are a large number of</w:t></w:r>
</w:p>
<w:p>
<w:pPr><w:pStyle w:val="Normal"/></w:pPr>
<w:r><w:t xml:space="preserve">buildings for garrison purposes, such as quarters and offices</w:t></w:r>
</w:p>
<w:p>
<w:pPr><w:pStyle w:val="Normal"/></w:pPr>
<w:r><w:t xml:space="preserve">for general, staff and departmental officers, with the warrant</w:t></w:r>
</w:p>
<w:p>
<w:pPr><w:pStyle w:val="Normal"/></w:pPr>
<w:r><w:t xml:space="preserve">and non-commissioned officers employed under them; the supply</w:t></w:r>
</w:p>
<w:p>
<w:pPr><w:pStyle w:val="Normal"/></w:pPr>
<w:r><w:t xml:space="preserve">depot with abattoir and bakery; the ordnance stores; barrack</w:t></w:r>
</w:p>
<w:p>
<w:pPr><w:pStyle w:val="Normal"/></w:pPr>
<w:r><w:t xml:space="preserve">stores for furniture and bedding, shops and stores for R. E.</w:t></w:r>
</w:p>
<w:p>
<w:pPr><w:pStyle w:val="Normal"/></w:pPr>
<w:r><w:t xml:space="preserve">services; the balloon establishment; the detention barracks;</w:t></w:r>
</w:p>
<w:p>
<w:pPr><w:pStyle w:val="Normal"/></w:pPr>
<w:r><w:t xml:space="preserve">fire brigade stations; five churches; recreation grounds</w:t></w:r>
</w:p>
<w:p>
<w:pPr><w:pStyle w:val="Normal"/></w:pPr>
<w:r><w:t xml:space="preserve">for officers and men; schools; and especially the military</w:t></w:r>
</w:p>
<w:p>
<w:pPr><w:pStyle w:val="Normal"/></w:pPr>
<w:r><w:t xml:space="preserve">technical schools of army cooking, gymnastics, signalling,</w:t></w:r>
</w:p>
<w:p>
<w:pPr><w:pStyle w:val="Normal"/></w:pPr>
<w:r><w:t xml:space="preserve">ballooning and of mounted infantry, Army Service Corps,</w:t></w:r>
</w:p>
<w:p>
<w:pPr><w:pStyle w:val="Normal"/></w:pPr>
<w:r><w:t xml:space="preserve">Royal Army Medical Corps and veterinary duties.  The work of</w:t></w:r>
</w:p>
<w:p>
<w:pPr><w:pStyle w:val="Normal"/></w:pPr>
<w:r><w:t xml:space="preserve">these schools is, however, only a small part of the military</w:t></w:r>
</w:p>
<w:p>
<w:pPr><w:pStyle w:val="Normal"/></w:pPr>
<w:r><w:t xml:space="preserve">training afforded at Aldershot; of greater importance is the</w:t></w:r>
</w:p>
<w:p>
<w:pPr><w:pStyle w:val="Normal"/></w:pPr>
<w:r><w:t xml:space="preserve">field and musketry training, for the carrying out of which a</w:t></w:r>
</w:p>
<w:p>
<w:pPr><w:pStyle w:val="Normal"/></w:pPr>
<w:r><w:t xml:space="preserve">considerable extent of land is essential.  The land required</w:t></w:r>
</w:p>
<w:p>
<w:pPr><w:pStyle w:val="Normal"/></w:pPr>
<w:r><w:t xml:space="preserve">for these purposes extends at present over an area about 9 1/4</w:t></w:r>
</w:p>
<w:p>
<w:pPr><w:pStyle w:val="Normal"/></w:pPr>
<w:r><w:t xml:space="preserve">m. in extreme length by 7 3/4 m. in extreme width.  In addition</w:t></w:r>
</w:p>
<w:p>
<w:pPr><w:pStyle w:val="Normal"/></w:pPr>
<w:r><w:t xml:space="preserve">to this there is the land at Sandhurst and the Staff College</w:t></w:r>
</w:p>
<w:p>
<w:pPr><w:pStyle w:val="Normal"/></w:pPr>
<w:r><w:t xml:space="preserve">(Camberley) about 6 1/2 m. distant, and at Woolmer Forest, 12 m.</w:t></w:r>
</w:p>
<w:p>
<w:pPr><w:pStyle w:val="Normal"/></w:pPr>
<w:r><w:t xml:space="preserve">distant.  The musketry practice of the troops at Aldershot</w:t></w:r>
</w:p>
<w:p>
<w:pPr><w:pStyle w:val="Normal"/></w:pPr>
<w:r><w:t xml:space="preserve">is carried out at the Ash ranges, 2 m. east of the barracks,</w:t></w:r>
</w:p>
<w:p>
<w:pPr><w:pStyle w:val="Normal"/></w:pPr>
<w:r><w:t xml:space="preserve">while the Pirbright ranges, alongside those of the National</w:t></w:r>
</w:p>
<w:p>
<w:pPr><w:pStyle w:val="Normal"/></w:pPr>
<w:r><w:t xml:space="preserve">Rifle Association at Bisley, are utilized by the Household</w:t></w:r>
</w:p>
<w:p>
<w:pPr><w:pStyle w:val="Normal"/></w:pPr>
<w:r><w:t xml:space="preserve">Cavalry and Guards, who are encamped there in succession.</w:t></w:r>
</w:p>
<w:p>
<w:pPr><w:pStyle w:val="Normal"/></w:pPr>
<w:r><w:t xml:space="preserve">Suitable grounds in the vicinity of the barracks, of which</w:t></w:r>
</w:p>
<w:p>
<w:pPr><w:pStyle w:val="Normal"/></w:pPr>
<w:r><w:t xml:space="preserve">Caesar&apos;s Camp, the Long Valley and Laffan&apos;s Plain are best</w:t></w:r>
</w:p>
<w:p>
<w:pPr><w:pStyle w:val="Normal"/></w:pPr>
<w:r><w:t xml:space="preserve">known, are utilized for company, battalion and brigade training</w:t></w:r>
</w:p>
<w:p>
<w:pPr><w:pStyle w:val="Normal"/></w:pPr>
<w:r><w:t xml:space="preserve">of infantry, while the mounted branches work over a wider</w:t></w:r>
</w:p>
<w:p>
<w:pPr><w:pStyle w:val="Normal"/></w:pPr>
<w:r><w:t xml:space="preserve">area, and the engineers carry out their practices where most</w:t></w:r>
</w:p>
<w:p>
<w:pPr><w:pStyle w:val="Normal"/></w:pPr>
<w:r><w:t xml:space="preserve">convenient.  For the field-days of the combined arms, the</w:t></w:r>
</w:p>
<w:p>
<w:pPr><w:pStyle w:val="Normal"/></w:pPr>
<w:r><w:t xml:space="preserve">whole of the war department property is available.  Aldershot</w:t></w:r>
</w:p>
<w:p>
<w:pPr><w:pStyle w:val="Normal"/></w:pPr>
<w:r><w:t xml:space="preserve">is the headquarters of the ``Aldershot Army Corps,&apos;&apos; which is</w:t></w:r>
</w:p>
<w:p>
<w:pPr><w:pStyle w:val="Normal"/></w:pPr>
<w:r><w:t xml:space="preserve">the largest organized force maintained in the United Kingdom.</w:t></w:r>
</w:p>
<w:p>
<w:pPr><w:pStyle w:val="Normal"/></w:pPr>
<w:r><w:t xml:space="preserve">Besides the troops in barracks, during the drill season there</w:t></w:r>
</w:p>
<w:p>
<w:pPr><w:pStyle w:val="Normal"/></w:pPr>
<w:r><w:t xml:space="preserve">is often a considerable force in camp, both regular troops from</w:t></w:r>
</w:p>
<w:p>
<w:pPr><w:pStyle w:val="Normal"/></w:pPr>
<w:r><w:t xml:space="preserve">other stations and militia and volunteer units, so that, including</w:t></w:r>
</w:p>
<w:p>
<w:pPr><w:pStyle w:val="Normal"/></w:pPr>
<w:r><w:t xml:space="preserve">the regular garrison, sometimes as many as 40,000 troops have</w:t></w:r>
</w:p>
<w:p>
<w:pPr><w:pStyle w:val="Normal"/></w:pPr>
<w:r><w:t xml:space="preserve">been concentrated at the station for training and manoeuvres.</w:t></w:r>
</w:p>
<w:p>
<w:pPr><w:pStyle w:val="Normal"/></w:pPr>
<w:r><w:t xml:space="preserve">ALDHELM (c. 640-709), bishop of Sherborne, English</w:t></w:r>
</w:p>
<w:p>
<w:pPr><w:pStyle w:val="Normal"/></w:pPr>
<w:r><w:t xml:space="preserve">scholar, was born before the middle of the 7th century.  He</w:t></w:r>
</w:p>
<w:p>
<w:pPr><w:pStyle w:val="Normal"/></w:pPr>
<w:r><w:t xml:space="preserve">is said to have been the son of Kenten, who was of the royal</w:t></w:r>
</w:p>
<w:p>
<w:pPr><w:pStyle w:val="Normal"/></w:pPr>
<w:r><w:t xml:space="preserve">house of Wessex, but who was certainly not, as Aldhelm&apos;s</w:t></w:r>
</w:p>
<w:p>
<w:pPr><w:pStyle w:val="Normal"/></w:pPr>
<w:r><w:t xml:space="preserve">early biographer Faritius asserts, the brother of King Ine.</w:t></w:r>
</w:p>
<w:p>
<w:pPr><w:pStyle w:val="Normal"/></w:pPr>
<w:r><w:t xml:space="preserve">He received his first education in the school of an Irish</w:t></w:r>
</w:p>
<w:p>
<w:pPr><w:pStyle w:val="Normal"/></w:pPr>
<w:r><w:t xml:space="preserve">scholar and monk, Maildulf, Maeldubh or Meldun (d. c. 675),</w:t></w:r>
</w:p>
<w:p>
<w:pPr><w:pStyle w:val="Normal"/></w:pPr>
<w:r><w:t xml:space="preserve">who had settled in the British stronghold of Bladon or Bladow</w:t></w:r>
</w:p>
<w:p>
<w:pPr><w:pStyle w:val="Normal"/></w:pPr>
<w:r><w:t xml:space="preserve">on the site of the town called Mailduberi, Maldubesburg,</w:t></w:r>
</w:p>
<w:p>
<w:pPr><w:pStyle w:val="Normal"/></w:pPr>
<w:r><w:t xml:space="preserve">Meldunesburg, &amp;c., and finally Malmesbury,1 after him.  In</w:t></w:r>
</w:p>
<w:p>
<w:pPr><w:pStyle w:val="Normal"/></w:pPr>
<w:r><w:t xml:space="preserve">668 Pope Vitalian sent Theodore of Tarsus to be archbishop of</w:t></w:r>
</w:p>
<w:p>
<w:pPr><w:pStyle w:val="Normal"/></w:pPr>
<w:r><w:t xml:space="preserve">Canterbury, and about the same time came the African scholar</w:t></w:r>
</w:p>
<w:p>
<w:pPr><w:pStyle w:val="Normal"/></w:pPr>
<w:r><w:t xml:space="preserve">Hadrian, who became abbot of St Augustine&apos;s at Canterbury.</w:t></w:r>
</w:p>
<w:p>
<w:pPr><w:pStyle w:val="Normal"/></w:pPr>
<w:r><w:t xml:space="preserve">Aldhelm was one of his disciples, for he addresses him as</w:t></w:r>
</w:p>
<w:p>
<w:pPr><w:pStyle w:val="Normal"/></w:pPr>
<w:r><w:t xml:space="preserve">the ``venerable preceptor of my rude childhood.&apos;&apos; He must,</w:t></w:r>
</w:p>
<w:p>
<w:pPr><w:pStyle w:val="Normal"/></w:pPr>
<w:r><w:t xml:space="preserve">nevertheless, have been thirty years of age when he began</w:t></w:r>
</w:p>
<w:p>
<w:pPr><w:pStyle w:val="Normal"/></w:pPr>
<w:r><w:t xml:space="preserve">to study with Hadrian.  His studies included Roman law,</w:t></w:r>
</w:p>
<w:p>
<w:pPr><w:pStyle w:val="Normal"/></w:pPr>
<w:r><w:t xml:space="preserve">astronomy, astrology, the art of reckoning and the difficulties</w:t></w:r>
</w:p>
<w:p>
<w:pPr><w:pStyle w:val="Normal"/></w:pPr>
<w:r><w:t xml:space="preserve">of the calendar.  He learned, according to the doubtful</w:t></w:r>
</w:p>
<w:p>
<w:pPr><w:pStyle w:val="Normal"/></w:pPr>
<w:r><w:t xml:space="preserve">statements of the early lives, both Greek and Hebrew.  He</w:t></w:r>
</w:p>
<w:p>
<w:pPr><w:pStyle w:val="Normal"/></w:pPr>
<w:r><w:t xml:space="preserve">certainly introduces many Latinized Greek words into his</w:t></w:r>
</w:p>
<w:p>
<w:pPr><w:pStyle w:val="Normal"/></w:pPr>
<w:r><w:t xml:space="preserve">works.  Ill-health compelled him to leave Canterbury, and he</w:t></w:r>
</w:p>
<w:p>
<w:pPr><w:pStyle w:val="Normal"/></w:pPr>
<w:r><w:t xml:space="preserve">returned to Malmesbury, where he was a monk under Maildulf</w:t></w:r>
</w:p>
<w:p>
<w:pPr><w:pStyle w:val="Normal"/></w:pPr>
<w:r><w:t xml:space="preserve">for fourteen years, dating probably from 661, and including</w:t></w:r>
</w:p>
<w:p>
<w:pPr><w:pStyle w:val="Normal"/></w:pPr>
<w:r><w:t xml:space="preserve">the period of his studies with Hadrian.  When Maildulf</w:t></w:r>
</w:p>
<w:p>
<w:pPr><w:pStyle w:val="Normal"/></w:pPr>
<w:r><w:t xml:space="preserve">died, Aldhelm was appointed in 675, according to a charter</w:t></w:r>
</w:p>
<w:p>
<w:pPr><w:pStyle w:val="Normal"/></w:pPr>
<w:r><w:t xml:space="preserve">of doubtful authenticity cited by William of Malmesbury, by</w:t></w:r>
</w:p>
<w:p>
<w:pPr><w:pStyle w:val="Normal"/></w:pPr>
<w:r><w:t xml:space="preserve">Leutherius, bishop of Dorchester from 671 to 676, to succeed</w:t></w:r>
</w:p>
<w:p>
<w:pPr><w:pStyle w:val="Normal"/></w:pPr>
<w:r><w:t xml:space="preserve">to the direction of the monastery, of which he became the first</w:t></w:r>
</w:p>
<w:p>
<w:pPr><w:pStyle w:val="Normal"/></w:pPr>
<w:r><w:t xml:space="preserve">abbot.  He introduced the Benedictine rule, and secured the</w:t></w:r>
</w:p>
<w:p>
<w:pPr><w:pStyle w:val="Normal"/></w:pPr>
<w:r><w:t xml:space="preserve">right of the election of the abbot to the monks themselves.</w:t></w:r>
</w:p>
<w:p>
<w:pPr><w:pStyle w:val="Normal"/></w:pPr>
<w:r><w:t xml:space="preserve">The community at Malmesbury increased, and Aldhelm was able to</w:t></w:r>
</w:p>
<w:p>
<w:pPr><w:pStyle w:val="Normal"/></w:pPr>
<w:r><w:t xml:space="preserve">found two other monasteries to be centres of learning at Frome</w:t></w:r>
</w:p>
<w:p>
<w:pPr><w:pStyle w:val="Normal"/></w:pPr>
<w:r><w:t xml:space="preserve">and at Bradford on Avon.  The little church of St Lawrence at</w:t></w:r>
</w:p>
<w:p>
<w:pPr><w:pStyle w:val="Normal"/></w:pPr>
<w:r><w:t xml:space="preserve">Bradford dates back to his time and may safely be regarded as</w:t></w:r>
</w:p>
<w:p>
<w:pPr><w:pStyle w:val="Normal"/></w:pPr>
<w:r><w:t xml:space="preserve">his.  At Malmesbury he built a new church to replace Maildulf&apos;s</w:t></w:r>
</w:p>
<w:p>
<w:pPr><w:pStyle w:val="Normal"/></w:pPr>
<w:r><w:t xml:space="preserve">modest building, and obtained considerable grants of land for the</w:t></w:r>
</w:p>
<w:p>
<w:pPr><w:pStyle w:val="Normal"/></w:pPr>
<w:r><w:t xml:space="preserve">monastery.  His fame as a scholar rapidly spread into other</w:t></w:r>
</w:p>
<w:p>
<w:pPr><w:pStyle w:val="Normal"/></w:pPr>
<w:r><w:t xml:space="preserve">countries.  Artwil, the son of an Irish king, submitted his</w:t></w:r>
</w:p>
<w:p>
<w:pPr><w:pStyle w:val="Normal"/></w:pPr>
<w:r><w:t xml:space="preserve">writings for Aldhelm&apos;s approval, and Cellanus, an Irish monk</w:t></w:r>
</w:p>
<w:p>
<w:pPr><w:pStyle w:val="Normal"/></w:pPr>
<w:r><w:t xml:space="preserve">from Peronne, was one of his correspondents.  Aldhelm was the</w:t></w:r>
</w:p>
<w:p>
<w:pPr><w:pStyle w:val="Normal"/></w:pPr>
<w:r><w:t xml:space="preserve">first Englishman, so far as we know, to write in Latin verse,</w:t></w:r>
</w:p>
<w:p>
<w:pPr><w:pStyle w:val="Normal"/></w:pPr>
<w:r><w:t xml:space="preserve">and his letter to Acircius (Aldfrith or Eadfrith, king of</w:t></w:r>
</w:p>
<w:p>
<w:pPr><w:pStyle w:val="Normal"/></w:pPr>
<w:r><w:t xml:space="preserve">Northumbria) is a treatise on Latin prosody for the use of his</w:t></w:r>
</w:p>
<w:p>
<w:pPr><w:pStyle w:val="Normal"/></w:pPr>
<w:r><w:t xml:space="preserve">countrymen.  In this work he included his most famous productions,</w:t></w:r>
</w:p>
<w:p>
<w:pPr><w:pStyle w:val="Normal"/></w:pPr>
<w:r><w:t xml:space="preserve">101 riddles in Latin hexameters.  Each of them is a complete</w:t></w:r>
</w:p>
<w:p>
<w:pPr><w:pStyle w:val="Normal"/></w:pPr>
<w:r><w:t xml:space="preserve">picture, and one of them runs to 83 lines.  That his merits</w:t></w:r>
</w:p>
<w:p>
<w:pPr><w:pStyle w:val="Normal"/></w:pPr>
<w:r><w:t xml:space="preserve">as a scholar were early recognized in his own country is shown</w:t></w:r>
</w:p>
<w:p>
<w:pPr><w:pStyle w:val="Normal"/></w:pPr>
<w:r><w:t xml:space="preserve">by the encomium of Bede (Eccl.  Hist. v. 18), who speaks of</w:t></w:r>
</w:p>
<w:p>
<w:pPr><w:pStyle w:val="Normal"/></w:pPr>
<w:r><w:t xml:space="preserve">him as a wonder of erudition.  His fame reached Italy, and at</w:t></w:r>
</w:p>
<w:p>
<w:pPr><w:pStyle w:val="Normal"/></w:pPr>
<w:r><w:t xml:space="preserve">the request of Pope Sergius I. (687-701) he paid a visit to</w:t></w:r>
</w:p>
<w:p>
<w:pPr><w:pStyle w:val="Normal"/></w:pPr>
<w:r><w:t xml:space="preserve">Rome, of which, however, there is no notice in his extant</w:t></w:r>
</w:p>
<w:p>
<w:pPr><w:pStyle w:val="Normal"/></w:pPr>
<w:r><w:t xml:space="preserve">writings.  On his return, bringing with him privileges for</w:t></w:r>
</w:p>
<w:p>
<w:pPr><w:pStyle w:val="Normal"/></w:pPr>
<w:r><w:t xml:space="preserve">his monastery and a magnificent altar, he received a popular</w:t></w:r>
</w:p>
<w:p>
<w:pPr><w:pStyle w:val="Normal"/></w:pPr>
<w:r><w:t xml:space="preserve">ovation.  He was deputed by a synod of the church in Wessex</w:t></w:r>
</w:p>
<w:p>
<w:pPr><w:pStyle w:val="Normal"/></w:pPr>
<w:r><w:t xml:space="preserve">to remonstrate with the Britons of Domnonia (Devon and</w:t></w:r>
</w:p>
<w:p>
<w:pPr><w:pStyle w:val="Normal"/></w:pPr>
<w:r><w:t xml:space="preserve">Cornwall) on their differences from the Roman practice in</w:t></w:r>
</w:p>
<w:p>
<w:pPr><w:pStyle w:val="Normal"/></w:pPr>
<w:r><w:t xml:space="preserve">the shape of the tonsure and the date of Easter.  This he</w:t></w:r>
</w:p>
<w:p>
<w:pPr><w:pStyle w:val="Normal"/></w:pPr>
<w:r><w:t xml:space="preserve">did in a long and rather acrimonious letter to their king</w:t></w:r>
</w:p>
<w:p>
<w:pPr><w:pStyle w:val="Normal"/></w:pPr>
<w:r><w:t xml:space="preserve">Geraint (Geruntius), and their ultimate agreement with Rome</w:t></w:r>
</w:p>
<w:p>
<w:pPr><w:pStyle w:val="Normal"/></w:pPr>
<w:r><w:t xml:space="preserve">is referred by William of Malmesbury to his efforts.  In</w:t></w:r>
</w:p>
<w:p>
<w:pPr><w:pStyle w:val="Normal"/></w:pPr>
<w:r><w:t xml:space="preserve">705, or perhaps earlier, Haeddi, bishop of Winchester, died,</w:t></w:r>
</w:p>
<w:p>
<w:pPr><w:pStyle w:val="Normal"/></w:pPr>
<w:r><w:t xml:space="preserve">and the diocese was divided into two parts.  Sherborne was</w:t></w:r>
</w:p>
<w:p>
<w:pPr><w:pStyle w:val="Normal"/></w:pPr>
<w:r><w:t xml:space="preserve">the new see, of which Aldhelm reluctantly became the first</w:t></w:r>
</w:p>
<w:p>
<w:pPr><w:pStyle w:val="Normal"/></w:pPr>
<w:r><w:t xml:space="preserve">bishop.  He wished to resign the abbey of Malmesbury which he</w:t></w:r>
</w:p>
<w:p>
<w:pPr><w:pStyle w:val="Normal"/></w:pPr>
<w:r><w:t xml:space="preserve">had governed for thirty years, but yielding to the remonstrances</w:t></w:r>
</w:p>
<w:p>
<w:pPr><w:pStyle w:val="Normal"/></w:pPr>
<w:r><w:t xml:space="preserve">of the monks he continued to direct it until his death.  He</w:t></w:r>
</w:p>
<w:p>
<w:pPr><w:pStyle w:val="Normal"/></w:pPr>
<w:r><w:t xml:space="preserve">was now an old man, but he showed great activity in his new</w:t></w:r>
</w:p>
<w:p>
<w:pPr><w:pStyle w:val="Normal"/></w:pPr>
<w:r><w:t xml:space="preserve">functions.  The cathedral church which he built at Sherborne,</w:t></w:r>
</w:p>
<w:p>
<w:pPr><w:pStyle w:val="Normal"/></w:pPr>
<w:r><w:t xml:space="preserve">though replaced later by a Norman church, is described by</w:t></w:r>
</w:p>
<w:p>
<w:pPr><w:pStyle w:val="Normal"/></w:pPr>
<w:r><w:t xml:space="preserve">William of Malmesbury.  He was on his rounds in his diocese</w:t></w:r>
</w:p>
<w:p>
<w:pPr><w:pStyle w:val="Normal"/></w:pPr>
<w:r><w:t xml:space="preserve">when he died in the church of Doulting on the 25th of May</w:t></w:r>
</w:p>
<w:p>
<w:pPr><w:pStyle w:val="Normal"/></w:pPr>
<w:r><w:t xml:space="preserve">709. The body was taken to Malmesbury, and crosses were</w:t></w:r>
</w:p>
<w:p>
<w:pPr><w:pStyle w:val="Normal"/></w:pPr>
<w:r><w:t xml:space="preserve">set up by the pious care of his friend, Bishop Ecgwine of</w:t></w:r>
</w:p>
<w:p>
<w:pPr><w:pStyle w:val="Normal"/></w:pPr>
<w:r><w:t xml:space="preserve">Worcester, at the various halting- places.  He was buried in</w:t></w:r>
</w:p>
<w:p>
<w:pPr><w:pStyle w:val="Normal"/></w:pPr>
<w:r><w:t xml:space="preserve">the church of St Michael.  His biographers relate miracles due</w:t></w:r>
</w:p>
<w:p>
<w:pPr><w:pStyle w:val="Normal"/></w:pPr>
<w:r><w:t xml:space="preserve">to his sanctity worked during his lifetime and at his shrine.</w:t></w:r>
</w:p>
<w:p>
<w:pPr><w:pStyle w:val="Normal"/></w:pPr>
<w:r><w:t xml:space="preserve">Aldhelm wrote poetry in Anglo-Saxon also, and set his own</w:t></w:r>
</w:p>
<w:p>
<w:pPr><w:pStyle w:val="Normal"/></w:pPr>
<w:r><w:t xml:space="preserve">compositions to music, but none of his songs, which were</w:t></w:r>
</w:p>
<w:p>
<w:pPr><w:pStyle w:val="Normal"/></w:pPr>
<w:r><w:t xml:space="preserve">still popular in the time of Alfred, have come down to us.</w:t></w:r>
</w:p>
<w:p>
<w:pPr><w:pStyle w:val="Normal"/></w:pPr>
<w:r><w:t xml:space="preserve">Finding his people slow to come to church, he is said to have</w:t></w:r>
</w:p>
<w:p>
<w:pPr><w:pStyle w:val="Normal"/></w:pPr>
<w:r><w:t xml:space="preserve">stood at the end of a bridge singing songs in the vernacular,</w:t></w:r>
</w:p>
<w:p>
<w:pPr><w:pStyle w:val="Normal"/></w:pPr>
<w:r><w:t xml:space="preserve">thus collecting a crowd to listen to exhortations on sacred</w:t></w:r>
</w:p>
<w:p>
<w:pPr><w:pStyle w:val="Normal"/></w:pPr>
<w:r><w:t xml:space="preserve">subjects.  Aldhelm wrote in elaborate and grandiloquent</w:t></w:r>
</w:p>
<w:p>
<w:pPr><w:pStyle w:val="Normal"/></w:pPr>
<w:r><w:t xml:space="preserve">Latin, which soon came to be regarded as barbarous.  Much</w:t></w:r>
</w:p>
<w:p>
<w:pPr><w:pStyle w:val="Normal"/></w:pPr>
<w:r><w:t xml:space="preserve">admired as he was by his contemporaries, his fame as a scholar</w:t></w:r>
</w:p>
<w:p>
<w:pPr><w:pStyle w:val="Normal"/></w:pPr>
<w:r><w:t xml:space="preserve">therefore soon declined, but his reputation as a pioneer</w:t></w:r>
</w:p>
<w:p>
<w:pPr><w:pStyle w:val="Normal"/></w:pPr>
<w:r><w:t xml:space="preserve">in Latin scholarship in England and as a teacher remains.</w:t></w:r>
</w:p>
<w:p>
<w:pPr><w:pStyle w:val="Normal"/></w:pPr>
<w:r><w:t xml:space="preserve">Aldhelm&apos;s works were collected in J. A. Giles&apos;s Patres</w:t></w:r>
</w:p>
<w:p>
<w:pPr><w:pStyle w:val="Normal"/></w:pPr>
<w:r><w:t xml:space="preserve">eccl.  Angl. (Oxford, 1844), and reprinted by J. P.</w:t></w:r>
</w:p>
<w:p>
<w:pPr><w:pStyle w:val="Normal"/></w:pPr>
<w:r><w:t xml:space="preserve">Migne in his Patrologiae Cursus, vol. 89 (1850).  The</w:t></w:r>
</w:p>
<w:p>
<w:pPr><w:pStyle w:val="Normal"/></w:pPr>
<w:r><w:t xml:space="preserve">letter to Geraint, king of Domnonia, was supposed to have</w:t></w:r>
</w:p>
<w:p>
<w:pPr><w:pStyle w:val="Normal"/></w:pPr>
<w:r><w:t xml:space="preserve">been destroyed by the Britons (W. of Malmesbury, Gesta</w:t></w:r>
</w:p>
<w:p>
<w:pPr><w:pStyle w:val="Normal"/></w:pPr>
<w:r><w:t xml:space="preserve">Pontificum, p. 361), but was discovered with others of</w:t></w:r>
</w:p>
<w:p>
<w:pPr><w:pStyle w:val="Normal"/></w:pPr>
<w:r><w:t xml:space="preserve">Aldhelm&apos;s in the correspondence of St Boniface, archbishop of</w:t></w:r>
</w:p>
<w:p>
<w:pPr><w:pStyle w:val="Normal"/></w:pPr>
<w:r><w:t xml:space="preserve">Mainz.  A long letter to Eahfrid, a scholar just returned from</w:t></w:r>
</w:p>
<w:p>
<w:pPr><w:pStyle w:val="Normal"/></w:pPr>
<w:r><w:t xml:space="preserve">Ireland (first printed in Usserii Veterum Epistt.  Hiber.</w:t></w:r>
</w:p>
<w:p>
<w:pPr><w:pStyle w:val="Normal"/></w:pPr>
<w:r><w:t xml:space="preserve">Sylloge, 1632), is of interest as casting light on the</w:t></w:r>
</w:p>
<w:p>
<w:pPr><w:pStyle w:val="Normal"/></w:pPr>
<w:r><w:t xml:space="preserve">relations between English and Irish scholars.  Next to the</w:t></w:r>
</w:p>
<w:p>
<w:pPr><w:pStyle w:val="Normal"/></w:pPr>
<w:r><w:t xml:space="preserve">riddles, Aldhelm&apos;s best-known work is De Laude Virginitatis</w:t></w:r>
</w:p>
<w:p>
<w:pPr><w:pStyle w:val="Normal"/></w:pPr>
<w:r><w:t xml:space="preserve">sive de Virginitate Sanctorum, a Latin treatise addressed</w:t></w:r>
</w:p>
<w:p>
<w:pPr><w:pStyle w:val="Normal"/></w:pPr>
<w:r><w:t xml:space="preserve">about 705 to the nuns of Barking,2 in which he commemorates</w:t></w:r>
</w:p>
<w:p>
<w:pPr><w:pStyle w:val="Normal"/></w:pPr>
<w:r><w:t xml:space="preserve">a great number of saints.  This was afterwards turned by</w:t></w:r>
</w:p>
<w:p>
<w:pPr><w:pStyle w:val="Normal"/></w:pPr>
<w:r><w:t xml:space="preserve">Aldhelm into Latin verse (printed by Delrio, Mainz, 1601).</w:t></w:r>
</w:p>
<w:p>
<w:pPr><w:pStyle w:val="Normal"/></w:pPr>
<w:r><w:t xml:space="preserve">The chief source of his Epistola ad Acircium sive liber de</w:t></w:r>
</w:p>
<w:p>
<w:pPr><w:pStyle w:val="Normal"/></w:pPr>
<w:r><w:t xml:space="preserve">septenario, et de metris, aenigmatibus ac pedum regulis</w:t></w:r>
</w:p>
<w:p>
<w:pPr><w:pStyle w:val="Normal"/></w:pPr>
<w:r><w:t xml:space="preserve">(ed. A. Mai, Class.  Auct. vol. v.) is Priscian.  For the</w:t></w:r>
</w:p>
<w:p>
<w:pPr><w:pStyle w:val="Normal"/></w:pPr>
<w:r><w:t xml:space="preserve">riddles included in it, his model was the collection known</w:t></w:r>
</w:p>
<w:p>
<w:pPr><w:pStyle w:val="Normal"/></w:pPr>
<w:r><w:t xml:space="preserve">as Symposii aenigmata. The acrostic introduction gives the</w:t></w:r>
</w:p>
<w:p>
<w:pPr><w:pStyle w:val="Normal"/></w:pPr>
<w:r><w:t xml:space="preserve">sentence, ``Aldhelmus cecinit millenis versibus odas,&apos;&apos; whether</w:t></w:r>
</w:p>
<w:p>
<w:pPr><w:pStyle w:val="Normal"/></w:pPr>
<w:r><w:t xml:space="preserve">read from the initial or final letters of the lines.  His</w:t></w:r>
</w:p>
<w:p>
<w:pPr><w:pStyle w:val="Normal"/></w:pPr>
<w:r><w:t xml:space="preserve">Latin poems include one on the dedication of a basilica built</w:t></w:r>
</w:p>
<w:p>
<w:pPr><w:pStyle w:val="Normal"/></w:pPr>
<w:r><w:t xml:space="preserve">by Bugge (or Eadburga), a royal lady of the house of Wessex.</w:t></w:r>
</w:p>
<w:p>
<w:pPr><w:pStyle w:val="Normal"/></w:pPr>
<w:r><w:t xml:space="preserve">AUTHORITIES.--Faritius (d. 1117), an Italian monk of</w:t></w:r>
</w:p>
<w:p>
<w:pPr><w:pStyle w:val="Normal"/></w:pPr>
<w:r><w:t xml:space="preserve">Malmesbury, afterwards abbot of Abingdon, wrote a Vita S.</w:t></w:r>
</w:p>
<w:p>
<w:pPr><w:pStyle w:val="Normal"/></w:pPr>
<w:r><w:t xml:space="preserve">Aldhelmi (MS. Cotton, Faustina, B. 4), printed by Giles and</w:t></w:r>
</w:p>
<w:p>
<w:pPr><w:pStyle w:val="Normal"/></w:pPr>
<w:r><w:t xml:space="preserve">Migne, also in Original Lives of Anglo-Saxons (Caxton</w:t></w:r>
</w:p>
<w:p>
<w:pPr><w:pStyle w:val="Normal"/></w:pPr>
<w:r><w:t xml:space="preserve">Soc., 1834); but the best authority is William of Malmesbury,</w:t></w:r>
</w:p>
<w:p>
<w:pPr><w:pStyle w:val="Normal"/></w:pPr>
<w:r><w:t xml:space="preserve">who in the fifth book, devoted to St Aldhelm, of the Gesta</w:t></w:r>
</w:p>
<w:p>
<w:pPr><w:pStyle w:val="Normal"/></w:pPr>
<w:r><w:t xml:space="preserve">Pontificum proposes to fill up the outline of Faritius,</w:t></w:r>
</w:p>
<w:p>
<w:pPr><w:pStyle w:val="Normal"/></w:pPr>
<w:r><w:t xml:space="preserve">using the church records, the traditions of Aldhelm&apos;s</w:t></w:r>
</w:p>
<w:p>
<w:pPr><w:pStyle w:val="Normal"/></w:pPr>
<w:r><w:t xml:space="preserve">miracles preserved by the monks of Malmesbury, and the lost</w:t></w:r>
</w:p>
<w:p>
<w:pPr><w:pStyle w:val="Normal"/></w:pPr>
<w:r><w:t xml:space="preserve">``Handboc&apos;&apos; or commonplace book of King Alfred.  His narrative</w:t></w:r>
</w:p>
<w:p>
<w:pPr><w:pStyle w:val="Normal"/></w:pPr>
<w:r><w:t xml:space="preserve">is divided into four parts: the birth and attainments of</w:t></w:r>
</w:p>
<w:p>
<w:pPr><w:pStyle w:val="Normal"/></w:pPr>
<w:r><w:t xml:space="preserve">Aldhelm, the religious houses he had established and endowed,</w:t></w:r>
</w:p>
<w:p>
<w:pPr><w:pStyle w:val="Normal"/></w:pPr>
<w:r><w:t xml:space="preserve">the miracles recorded of him, and the history of the abbey</w:t></w:r>
</w:p>
<w:p>
<w:pPr><w:pStyle w:val="Normal"/></w:pPr>
<w:r><w:t xml:space="preserve">down to the writer&apos;s own time (see De Gestis Pontificum,</w:t></w:r>
</w:p>
<w:p>
<w:pPr><w:pStyle w:val="Normal"/></w:pPr>
<w:r><w:t xml:space="preserve">ed.  N. E. S. A. Hamilton, 1870, for the Rolls Series. pp.</w:t></w:r>
</w:p>
<w:p>
<w:pPr><w:pStyle w:val="Normal"/></w:pPr>
<w:r><w:t xml:space="preserve">330-443).  The life by John Capgrave in his Legenda</w:t></w:r>
</w:p>
<w:p>
<w:pPr><w:pStyle w:val="Normal"/></w:pPr>
<w:r><w:t xml:space="preserve">Nova (1516) is chiefly an abridgment of Malmesbury&apos;s</w:t></w:r>
</w:p>
<w:p>
<w:pPr><w:pStyle w:val="Normal"/></w:pPr>
<w:r><w:t xml:space="preserve">narrative.  Consult also L. Bonhoff, Aldhelm von Malmesbury</w:t></w:r>
</w:p>
<w:p>
<w:pPr><w:pStyle w:val="Normal"/></w:pPr>
<w:r><w:t xml:space="preserve">(Dresden, 1894); T. D. Hardy. Descriptive Catalogue</w:t></w:r>
</w:p>
<w:p>
<w:pPr><w:pStyle w:val="Normal"/></w:pPr>
<w:r><w:t xml:space="preserve">(1862), vol. i. pp. 389-396; T. Wright, Biog. Brit.  Lit.</w:t></w:r>
</w:p>
<w:p>
<w:pPr><w:pStyle w:val="Normal"/></w:pPr>
<w:r><w:t xml:space="preserve">(A.-S.  Period, 1842); G. F. Browne, bishop of Bristol, St</w:t></w:r>
</w:p>
<w:p>
<w:pPr><w:pStyle w:val="Normal"/></w:pPr>
<w:r><w:t xml:space="preserve">Aldhelm; his Life and Times (1903); and W. B. Wildman,</w:t></w:r>
</w:p>
<w:p>
<w:pPr><w:pStyle w:val="Normal"/></w:pPr>
<w:r><w:t xml:space="preserve">Life of S. Ealdhelm, frst Bishop of Sherborne (1905),</w:t></w:r>
</w:p>
<w:p>
<w:pPr><w:pStyle w:val="Normal"/></w:pPr>
<w:r><w:t xml:space="preserve">containing many interesting local details.  For some poems</w:t></w:r>
</w:p>
<w:p>
<w:pPr><w:pStyle w:val="Normal"/></w:pPr>
<w:r><w:t xml:space="preserve">attributed to Aldhelm, and printed in Dummler&apos;s edition of</w:t></w:r>
</w:p>
<w:p>
<w:pPr><w:pStyle w:val="Normal"/></w:pPr>
<w:r><w:t xml:space="preserve">the letters of St Boniface and Lul in Monumenta Germaniae</w:t></w:r>
</w:p>
<w:p>
<w:pPr><w:pStyle w:val="Normal"/></w:pPr>
<w:r><w:t xml:space="preserve">Historica (epistt. tom. iii.), see H. Bradley in Eng.</w:t></w:r>
</w:p>
<w:p>
<w:pPr><w:pStyle w:val="Normal"/></w:pPr>
<w:r><w:t xml:space="preserve">Hist.  Review, xv. p. 291 (1900), where they are attributed</w:t></w:r>
</w:p>
<w:p>
<w:pPr><w:pStyle w:val="Normal"/></w:pPr>
<w:r><w:t xml:space="preserve">to Aldhelm&apos;s disciple AEthilwald.  The very varied sources</w:t></w:r>
</w:p>
<w:p>
<w:pPr><w:pStyle w:val="Normal"/></w:pPr>
<w:r><w:t xml:space="preserve">and the chronology of Aldhelm&apos;s work are discussed in ``Zu</w:t></w:r>
</w:p>
<w:p>
<w:pPr><w:pStyle w:val="Normal"/></w:pPr>
<w:r><w:t xml:space="preserve">Aldhelm und Baeda,&apos;&apos; by Max Manitius, in Sitzungsberichte</w:t></w:r>
</w:p>
<w:p>
<w:pPr><w:pStyle w:val="Normal"/></w:pPr>
<w:r><w:t xml:space="preserve">der kaiserlichen Akad. der Wissenschaften (Vienna, 1886).</w:t></w:r>
</w:p>
<w:p>
<w:pPr><w:pStyle w:val="Normal"/></w:pPr>
<w:r><w:t xml:space="preserve">An excellent account of his ecclesiastical importance is</w:t></w:r>
</w:p>
<w:p>
<w:pPr><w:pStyle w:val="Normal"/></w:pPr>
<w:r><w:t xml:space="preserve">given by W. Bright in Chapters on Early English Church</w:t></w:r>
</w:p>
<w:p>
<w:pPr><w:pStyle w:val="Normal"/></w:pPr>
<w:r><w:t xml:space="preserve">History (Oxford, 1878).  For his position as a writer</w:t></w:r>
</w:p>
<w:p>
<w:pPr><w:pStyle w:val="Normal"/></w:pPr>
<w:r><w:t xml:space="preserve">of Latin verse consult A. Ebert, Allgemeine Geschichte</w:t></w:r>
</w:p>
<w:p>
<w:pPr><w:pStyle w:val="Normal"/></w:pPr>
<w:r><w:t xml:space="preserve">d.  Literatur des Mittelalters im Abendlande, vol. i. new</w:t></w:r>
</w:p>
<w:p>
<w:pPr><w:pStyle w:val="Normal"/></w:pPr>
<w:r><w:t xml:space="preserve">edition (1889); M. Manitius, Geschichte der christlich-</w:t></w:r>
</w:p>
<w:p>
<w:pPr><w:pStyle w:val="Normal"/></w:pPr>
<w:r><w:t xml:space="preserve">lateinischen Poesie &amp;c. (Stuttgart, 1891), pp. 487-496;</w:t></w:r>
</w:p>
<w:p>
<w:pPr><w:pStyle w:val="Normal"/></w:pPr>
<w:r><w:t xml:space="preserve">also H. Hahn, Bonifaz und Lul ihre angelsachsischen</w:t></w:r>
</w:p>
<w:p>
<w:pPr><w:pStyle w:val="Normal"/></w:pPr>
<w:r><w:t xml:space="preserve">Korrespondenten, chap. i. (Leipzig, 1883).  The two last-named</w:t></w:r>
</w:p>
<w:p>
<w:pPr><w:pStyle w:val="Normal"/></w:pPr>
<w:r><w:t xml:space="preserve">works contain many further bibliographical references.</w:t></w:r>
</w:p>
<w:p>
<w:pPr><w:pStyle w:val="Normal"/></w:pPr>
<w:r><w:t xml:space="preserve">1 For the disputed etymology of Malmesbury,</w:t></w:r>
</w:p>
<w:p>
<w:pPr><w:pStyle w:val="Normal"/></w:pPr>
<w:r><w:t xml:space="preserve">which some connect with Aldhelm&apos;s name, see Bishop</w:t></w:r>
</w:p>
<w:p>
<w:pPr><w:pStyle w:val="Normal"/></w:pPr>
<w:r><w:t xml:space="preserve">Browne, St Aldhelin: his Life and Times, p. 73.</w:t></w:r>
</w:p>
<w:p>
<w:pPr><w:pStyle w:val="Normal"/></w:pPr>
<w:r><w:t xml:space="preserve">2 Cuthburga, sister of King Ine of Wessex, and therefore</w:t></w:r>
</w:p>
<w:p>
<w:pPr><w:pStyle w:val="Normal"/></w:pPr>
<w:r><w:t xml:space="preserve">related to Andhelm, left her husband Aldfrith, king of</w:t></w:r>
</w:p>
<w:p>
<w:pPr><w:pStyle w:val="Normal"/></w:pPr>
<w:r><w:t xml:space="preserve">Northumbria, to enter the nunnery at Barking.  She afterwards</w:t></w:r>
</w:p>
<w:p>
<w:pPr><w:pStyle w:val="Normal"/></w:pPr>
<w:r><w:t xml:space="preserve">founded the nunnery of Wimborne, of which she became abbess.</w:t></w:r>
</w:p>
<w:p>
<w:pPr><w:pStyle w:val="Normal"/></w:pPr>
<w:r><w:t xml:space="preserve">ALDINE PRESS, the printing office started by Aldus Manutius</w:t></w:r>
</w:p>
<w:p>
<w:pPr><w:pStyle w:val="Normal"/></w:pPr>
<w:r><w:t xml:space="preserve">at the end of the 15th century in Venice, from which were issued</w:t></w:r>
</w:p>
<w:p>
<w:pPr><w:pStyle w:val="Normal"/></w:pPr>
<w:r><w:t xml:space="preserve">the celebrated Aldine editions of the classics of that time. (See</w:t></w:r>
</w:p>
<w:p>
<w:pPr><w:pStyle w:val="Normal"/></w:pPr>
<w:r><w:t xml:space="preserve">MANUTIUS.) The Aldine Press is famous in the history of typography</w:t></w:r>
</w:p>
<w:p>
<w:pPr><w:pStyle w:val="Normal"/></w:pPr>
<w:r><w:t xml:space="preserve">(q.v.), among other things, for the introduction of italics.</w:t></w:r>
</w:p>
<w:p>
<w:pPr><w:pStyle w:val="Normal"/></w:pPr>
<w:r><w:t xml:space="preserve">ALDINI, GIOVANNI (1762--1834), Italian physicist, born</w:t></w:r>
</w:p>
<w:p>
<w:pPr><w:pStyle w:val="Normal"/></w:pPr>
<w:r><w:t xml:space="preserve">at Bologna on the 10th of April 1762, was a brother of the</w:t></w:r>
</w:p>
<w:p>
<w:pPr><w:pStyle w:val="Normal"/></w:pPr>
<w:r><w:t xml:space="preserve">statesman Count Antonio Aldini (1756-1826) and nephew of L.</w:t></w:r>
</w:p>
<w:p>
<w:pPr><w:pStyle w:val="Normal"/></w:pPr>
<w:r><w:t xml:space="preserve">Galvani, whose treatise on muscular electricity he edited with</w:t></w:r>
</w:p>
<w:p>
<w:pPr><w:pStyle w:val="Normal"/></w:pPr>
<w:r><w:t xml:space="preserve">notes in 1791.  He became professor of physics at Bologna in</w:t></w:r>
</w:p>
<w:p>
<w:pPr><w:pStyle w:val="Normal"/></w:pPr>
<w:r><w:t xml:space="preserve">1798, in succession to his teacher Sebastiano Canterzani</w:t></w:r>
</w:p>
<w:p>
<w:pPr><w:pStyle w:val="Normal"/></w:pPr>
<w:r><w:t xml:space="preserve">(1734-1819).  His scientific work was chiefly concerned with</w:t></w:r>
</w:p>
<w:p>
<w:pPr><w:pStyle w:val="Normal"/></w:pPr>
<w:r><w:t xml:space="preserve">galvanism and its medical applications, with the construction</w:t></w:r>
</w:p>
<w:p>
<w:pPr><w:pStyle w:val="Normal"/></w:pPr>
<w:r><w:t xml:space="preserve">and illumination of lighthouses, and with experiments for</w:t></w:r>
</w:p>
<w:p>
<w:pPr><w:pStyle w:val="Normal"/></w:pPr>
<w:r><w:t xml:space="preserve">preserving human life and material objects from destruction by</w:t></w:r>
</w:p>
<w:p>
<w:pPr><w:pStyle w:val="Normal"/></w:pPr>
<w:r><w:t xml:space="preserve">fire.  He wrote in French and English in addition to his</w:t></w:r>
</w:p>
<w:p>
<w:pPr><w:pStyle w:val="Normal"/></w:pPr>
<w:r><w:t xml:space="preserve">native Italian.  In recognition of his merits, the emperor</w:t></w:r>
</w:p>
<w:p>
<w:pPr><w:pStyle w:val="Normal"/></w:pPr>
<w:r><w:t xml:space="preserve">of Austria made him a knight of the Iron Crown and a</w:t></w:r>
</w:p>
<w:p>
<w:pPr><w:pStyle w:val="Normal"/></w:pPr>
<w:r><w:t xml:space="preserve">councillor of state at Milan, where he died on the 17th</w:t></w:r>
</w:p>
<w:p>
<w:pPr><w:pStyle w:val="Normal"/></w:pPr>
<w:r><w:t xml:space="preserve">of January 1834.  He left by will a considerable sum to</w:t></w:r>
</w:p>
<w:p>
<w:pPr><w:pStyle w:val="Normal"/></w:pPr>
<w:r><w:t xml:space="preserve">found a school of natural science for artisans at Bologna.</w:t></w:r>
</w:p>
<w:p>
<w:pPr><w:pStyle w:val="Normal"/></w:pPr>
<w:r><w:t xml:space="preserve">ALDRED, or EALDRED (d. 1069), English ecclesiastic,</w:t></w:r>
</w:p>
<w:p>
<w:pPr><w:pStyle w:val="Normal"/></w:pPr>
<w:r><w:t xml:space="preserve">became abbot of Tavistock about 1027, in 1044 was made</w:t></w:r>
</w:p>
<w:p>
<w:pPr><w:pStyle w:val="Normal"/></w:pPr>
<w:r><w:t xml:space="preserve">bishop of Worcester, and in 1060 archbishop of York.  He</w:t></w:r>
</w:p>
<w:p>
<w:pPr><w:pStyle w:val="Normal"/></w:pPr>
<w:r><w:t xml:space="preserve">had considerable influence over King Edward the Confessor,</w:t></w:r>
</w:p>
<w:p>
<w:pPr><w:pStyle w:val="Normal"/></w:pPr>
<w:r><w:t xml:space="preserve">and as his interests were secular rather than religious he</w:t></w:r>
</w:p>
<w:p>
<w:pPr><w:pStyle w:val="Normal"/></w:pPr>
<w:r><w:t xml:space="preserve">took a prominent part in affairs of state, and in 1046 led</w:t></w:r>
</w:p>
<w:p>
<w:pPr><w:pStyle w:val="Normal"/></w:pPr>
<w:r><w:t xml:space="preserve">an unsuccessful expedition against the Welsh.  In 1050 he</w:t></w:r>
</w:p>
<w:p>
<w:pPr><w:pStyle w:val="Normal"/></w:pPr>
<w:r><w:t xml:space="preserve">was largely instrumental in restoring Sweyn, the son of Earl</w:t></w:r>
</w:p>
<w:p>
<w:pPr><w:pStyle w:val="Normal"/></w:pPr>
<w:r><w:t xml:space="preserve">Godwin, to his earldom, and about the same time went to Rome</w:t></w:r>
</w:p>
<w:p>
<w:pPr><w:pStyle w:val="Normal"/></w:pPr>
<w:r><w:t xml:space="preserve">``on the king&apos;s errand.&apos;&apos; In 1054 he was sent to the emperor</w:t></w:r>
</w:p>
<w:p>
<w:pPr><w:pStyle w:val="Normal"/></w:pPr>
<w:r><w:t xml:space="preserve">Henry III. to obtain that monarch&apos;s influence in securing</w:t></w:r>
</w:p>
<w:p>
<w:pPr><w:pStyle w:val="Normal"/></w:pPr>
<w:r><w:t xml:space="preserve">the return to England of Edward, son of Edmund Ironside,</w:t></w:r>
</w:p>
<w:p>
<w:pPr><w:pStyle w:val="Normal"/></w:pPr>
<w:r><w:t xml:space="preserve">who was in Hungary with King Andrew I. In this mission he</w:t></w:r>
</w:p>
<w:p>
<w:pPr><w:pStyle w:val="Normal"/></w:pPr>
<w:r><w:t xml:space="preserve">was successful and obtained some insight into the working of</w:t></w:r>
</w:p>
<w:p>
<w:pPr><w:pStyle w:val="Normal"/></w:pPr>
<w:r><w:t xml:space="preserve">the German church during a stay of a year with Hermann II.,</w:t></w:r>
</w:p>
<w:p>
<w:pPr><w:pStyle w:val="Normal"/></w:pPr>
<w:r><w:t xml:space="preserve">archbishop of Cologne.  After his return to England he took</w:t></w:r>
</w:p>
<w:p>
<w:pPr><w:pStyle w:val="Normal"/></w:pPr>
<w:r><w:t xml:space="preserve">charge of the sees of Hereford and Ramsbury, although not</w:t></w:r>
</w:p>
<w:p>
<w:pPr><w:pStyle w:val="Normal"/></w:pPr>
<w:r><w:t xml:space="preserve">appointed to these bishoprics; and in 1058 made a pilgrimage</w:t></w:r>
</w:p>
<w:p>
<w:pPr><w:pStyle w:val="Normal"/></w:pPr>
<w:r><w:t xml:space="preserve">to Jerusalem, being the first English bishop to take this</w:t></w:r>
</w:p>
<w:p>
<w:pPr><w:pStyle w:val="Normal"/></w:pPr>
<w:r><w:t xml:space="preserve">journey.  Having previously given up Hereford and Ramsbury,</w:t></w:r>
</w:p>
<w:p>
<w:pPr><w:pStyle w:val="Normal"/></w:pPr>
<w:r><w:t xml:space="preserve">Aldred was elected archbishop of York in 1060, and in 1061</w:t></w:r>
</w:p>
<w:p>
<w:pPr><w:pStyle w:val="Normal"/></w:pPr>
<w:r><w:t xml:space="preserve">he proceeded to Rome to receive the pallium.  On his arrival</w:t></w:r>
</w:p>
<w:p>
<w:pPr><w:pStyle w:val="Normal"/></w:pPr>
<w:r><w:t xml:space="preserve">there, however, various charges were brought against him by a</w:t></w:r>
</w:p>
<w:p>
<w:pPr><w:pStyle w:val="Normal"/></w:pPr>
<w:r><w:t xml:space="preserve">synod, and Pope Nicholas II. not only refused his request</w:t></w:r>
</w:p>
<w:p>
<w:pPr><w:pStyle w:val="Normal"/></w:pPr>
<w:r><w:t xml:space="preserve">but degraded him from the episcopate.  The sentence was,</w:t></w:r>
</w:p>
<w:p>
<w:pPr><w:pStyle w:val="Normal"/></w:pPr>
<w:r><w:t xml:space="preserve">however, subsequently reversed, and Aldred received the pallium</w:t></w:r>
</w:p>
<w:p>
<w:pPr><w:pStyle w:val="Normal"/></w:pPr>
<w:r><w:t xml:space="preserve">and was restored to his former station.  It is stated by</w:t></w:r>
</w:p>
<w:p>
<w:pPr><w:pStyle w:val="Normal"/></w:pPr>
<w:r><w:t xml:space="preserve">Florence of Worcester that Aldred crowned King Harold II. in</w:t></w:r>
</w:p>
<w:p>
<w:pPr><w:pStyle w:val="Normal"/></w:pPr>
<w:r><w:t xml:space="preserve">1066, although the Norman authorities mention Stigand as the</w:t></w:r>
</w:p>
<w:p>
<w:pPr><w:pStyle w:val="Normal"/></w:pPr>
<w:r><w:t xml:space="preserve">officiating prelate.  After the battle of Hastings Aldred</w:t></w:r>
</w:p>
<w:p>
<w:pPr><w:pStyle w:val="Normal"/></w:pPr>
<w:r><w:t xml:space="preserve">joined the party who sought to bestow the throne upon Edgar</w:t></w:r>
</w:p>
<w:p>
<w:pPr><w:pStyle w:val="Normal"/></w:pPr>
<w:r><w:t xml:space="preserve">the AEtheling, but when these efforts appeared hopeless he</w:t></w:r>
</w:p>
<w:p>
<w:pPr><w:pStyle w:val="Normal"/></w:pPr>
<w:r><w:t xml:space="preserve">was among those who submitted to William the Conqueror at</w:t></w:r>
</w:p>
<w:p>
<w:pPr><w:pStyle w:val="Normal"/></w:pPr>
<w:r><w:t xml:space="preserve">Berkhampstead.  Selected to crown the new king he performed</w:t></w:r>
</w:p>
<w:p>
<w:pPr><w:pStyle w:val="Normal"/></w:pPr>
<w:r><w:t xml:space="preserve">the ceremony on Christmas Day 1066, and in 1068 performed</w:t></w:r>
</w:p>
<w:p>
<w:pPr><w:pStyle w:val="Normal"/></w:pPr>
<w:r><w:t xml:space="preserve">the same office at the coronation of Matilda, the Conqueror&apos;s</w:t></w:r>
</w:p>
<w:p>
<w:pPr><w:pStyle w:val="Normal"/></w:pPr>
<w:r><w:t xml:space="preserve">wife.  But though often at court, he seems to have been no</w:t></w:r>
</w:p>
<w:p>
<w:pPr><w:pStyle w:val="Normal"/></w:pPr>
<w:r><w:t xml:space="preserve">sympathiser with Norman oppression, and is even said to have</w:t></w:r>
</w:p>
<w:p>
<w:pPr><w:pStyle w:val="Normal"/></w:pPr>
<w:r><w:t xml:space="preserve">bearded the king himself.  He died at York on the 11th of</w:t></w:r>
</w:p>
<w:p>
<w:pPr><w:pStyle w:val="Normal"/></w:pPr>
<w:r><w:t xml:space="preserve">September 1069 and was buried in his own cathedral.  Aldred</w:t></w:r>
</w:p>
<w:p>
<w:pPr><w:pStyle w:val="Normal"/></w:pPr>
<w:r><w:t xml:space="preserve">did much for the restoration of discipline in the monasteries</w:t></w:r>
</w:p>
<w:p>
<w:pPr><w:pStyle w:val="Normal"/></w:pPr>
<w:r><w:t xml:space="preserve">and churches under his authority, and was liberal in his</w:t></w:r>
</w:p>
<w:p>
<w:pPr><w:pStyle w:val="Normal"/></w:pPr>
<w:r><w:t xml:space="preserve">gifts for ecclesiastical purposes.  He built the monastic</w:t></w:r>
</w:p>
<w:p>
<w:pPr><w:pStyle w:val="Normal"/></w:pPr>
<w:r><w:t xml:space="preserve">church of St Peter at Gloucester, and rebuilt a large part of</w:t></w:r>
</w:p>
<w:p>
<w:pPr><w:pStyle w:val="Normal"/></w:pPr>
<w:r><w:t xml:space="preserve">that of St John at Beverley.  At his instigation, Folcard, a</w:t></w:r>
</w:p>
<w:p>
<w:pPr><w:pStyle w:val="Normal"/></w:pPr>
<w:r><w:t xml:space="preserve">monk of Canterbury, wrote the Life of St John of Beverley.</w:t></w:r>
</w:p>
<w:p>
<w:pPr><w:pStyle w:val="Normal"/></w:pPr>
<w:r><w:t xml:space="preserve">See The Anglo-Saxon Chronicle, edited by C. Plummer</w:t></w:r>
</w:p>
<w:p>
<w:pPr><w:pStyle w:val="Normal"/></w:pPr>
<w:r><w:t xml:space="preserve">(Oxford, 1892-1899); Florence of Worcester, Chronicon ex</w:t></w:r>
</w:p>
<w:p>
<w:pPr><w:pStyle w:val="Normal"/></w:pPr>
<w:r><w:t xml:space="preserve">Chronicis, edited by B. Thorpe (London, 1848-1849); William</w:t></w:r>
</w:p>
<w:p>
<w:pPr><w:pStyle w:val="Normal"/></w:pPr>
<w:r><w:t xml:space="preserve">of Malmesbury, De Gestis Pontificum Anglorum, edited</w:t></w:r>
</w:p>
<w:p>
<w:pPr><w:pStyle w:val="Normal"/></w:pPr>
<w:r><w:t xml:space="preserve">by N. E. S. A. Hamilton (London, 1870); W. H. Dixon, Fasti</w:t></w:r>
</w:p>
<w:p>
<w:pPr><w:pStyle w:val="Normal"/></w:pPr>
<w:r><w:t xml:space="preserve">Eboracenses, vol. i., edited by J. Raine (London, 1863); T.</w:t></w:r>
</w:p>
<w:p>
<w:pPr><w:pStyle w:val="Normal"/></w:pPr>
<w:r><w:t xml:space="preserve">Stubbs, Chronica Pontificum Ecclesiae Eboracensis, edited by</w:t></w:r>
</w:p>
<w:p>
<w:pPr><w:pStyle w:val="Normal"/></w:pPr>
<w:r><w:t xml:space="preserve">J. Raine (London, 1879-1894); E. A. Freeman, History of the</w:t></w:r>
</w:p>
<w:p>
<w:pPr><w:pStyle w:val="Normal"/></w:pPr>
<w:r><w:t xml:space="preserve">Norman Conquest, vols. ii., iii., iv. (Oxford, 1867-1879).</w:t></w:r>
</w:p>
<w:p>
<w:pPr><w:pStyle w:val="Normal"/></w:pPr>
<w:r><w:t xml:space="preserve">ALDRICH, HENRY (1647-1710), English theologian and philosopher,</w:t></w:r>
</w:p>
<w:p>
<w:pPr><w:pStyle w:val="Normal"/></w:pPr>
<w:r><w:t xml:space="preserve">was born in 1647 at Westminster, and was educated at the</w:t></w:r>
</w:p>
<w:p>
<w:pPr><w:pStyle w:val="Normal"/></w:pPr>
<w:r><w:t xml:space="preserve">collegiate school there, under Dr Busby.  In 1662 he entered</w:t></w:r>
</w:p>
<w:p>
<w:pPr><w:pStyle w:val="Normal"/></w:pPr>
<w:r><w:t xml:space="preserve">Christ Church, Oxford, and in 1689 was made dean in succession</w:t></w:r>
</w:p>
<w:p>
<w:pPr><w:pStyle w:val="Normal"/></w:pPr>
<w:r><w:t xml:space="preserve">to the Roman Catholic, John Massey, who had fled to the</w:t></w:r>
</w:p>
<w:p>
<w:pPr><w:pStyle w:val="Normal"/></w:pPr>
<w:r><w:t xml:space="preserve">continent.  In 1692 he was vice-chancellor of the University.  In</w:t></w:r>
</w:p>
<w:p>
<w:pPr><w:pStyle w:val="Normal"/></w:pPr>
<w:r><w:t xml:space="preserve">1702 he was appointed rector of Wem in Shropshire, but continued</w:t></w:r>
</w:p>
<w:p>
<w:pPr><w:pStyle w:val="Normal"/></w:pPr>
<w:r><w:t xml:space="preserve">to reside at Oxford, where he died on the 14th of December</w:t></w:r>
</w:p>
<w:p>
<w:pPr><w:pStyle w:val="Normal"/></w:pPr>
<w:r><w:t xml:space="preserve">1710.  He was buried in the cathedral without any memorial</w:t></w:r>
</w:p>
<w:p>
<w:pPr><w:pStyle w:val="Normal"/></w:pPr>
<w:r><w:t xml:space="preserve">at his own desire.  Aldrich was a man of unusually varied</w:t></w:r>
</w:p>
<w:p>
<w:pPr><w:pStyle w:val="Normal"/></w:pPr>
<w:r><w:t xml:space="preserve">gifts.  A classical scholar of fair merits, he is best known</w:t></w:r>
</w:p>
<w:p>
<w:pPr><w:pStyle w:val="Normal"/></w:pPr>
<w:r><w:t xml:space="preserve">as the author of a little book on logic (Compendium Artis</w:t></w:r>
</w:p>
<w:p>
<w:pPr><w:pStyle w:val="Normal"/></w:pPr>
<w:r><w:t xml:space="preserve">Logicae), a work of little value in itself, but used at Oxford</w:t></w:r>
</w:p>
<w:p>
<w:pPr><w:pStyle w:val="Normal"/></w:pPr>
<w:r><w:t xml:space="preserve">(in Mansel&apos;s revised edition) till long past the middle of the</w:t></w:r>
</w:p>
<w:p>
<w:pPr><w:pStyle w:val="Normal"/></w:pPr>
<w:r><w:t xml:space="preserve">19th century.  Aldrich also composed a number of anthems and</w:t></w:r>
</w:p>
<w:p>
<w:pPr><w:pStyle w:val="Normal"/></w:pPr>
<w:r><w:t xml:space="preserve">church services of high merit, and adapted much of the music of</w:t></w:r>
</w:p>
<w:p>
<w:pPr><w:pStyle w:val="Normal"/></w:pPr>
<w:r><w:t xml:space="preserve">Palestrina and Carissimi to English words with great skill and</w:t></w:r>
</w:p>
<w:p>
<w:pPr><w:pStyle w:val="Normal"/></w:pPr>
<w:r><w:t xml:space="preserve">judgment.  To him we owe the well-known catch, ``Hark, the</w:t></w:r>
</w:p>
<w:p>
<w:pPr><w:pStyle w:val="Normal"/></w:pPr>
<w:r><w:t xml:space="preserve">bonny Christ Church bells.&apos;&apos; Evidence of his skill as an</w:t></w:r>
</w:p>
<w:p>
<w:pPr><w:pStyle w:val="Normal"/></w:pPr>
<w:r><w:t xml:space="preserve">architect may be seen in the church and campanile of All</w:t></w:r>
</w:p>
<w:p>
<w:pPr><w:pStyle w:val="Normal"/></w:pPr>
<w:r><w:t xml:space="preserve">Saints, Oxford, and in three sides of the so-called Peckwater</w:t></w:r>
</w:p>
<w:p>
<w:pPr><w:pStyle w:val="Normal"/></w:pPr>
<w:r><w:t xml:space="preserve">Quadrangle of Christ Church, which were erected after his</w:t></w:r>
</w:p>
<w:p>
<w:pPr><w:pStyle w:val="Normal"/></w:pPr>
<w:r><w:t xml:space="preserve">designs.  He bore a great reputation for conviviality,</w:t></w:r>
</w:p>
<w:p>
<w:pPr><w:pStyle w:val="Normal"/></w:pPr>
<w:r><w:t xml:space="preserve">and wrote a humorous Latin version of the popular ballad--</w:t></w:r>
</w:p>
<w:p>
<w:pPr><w:pStyle w:val="Normal"/></w:pPr>
<w:r><w:t xml:space="preserve">A soldier and a sailor,</w:t></w:r>
</w:p>
<w:p>
<w:pPr><w:pStyle w:val="Normal"/></w:pPr>
<w:r><w:t xml:space="preserve">A tinker and a tailor, &amp;c.</w:t></w:r>
</w:p>
<w:p>
<w:pPr><w:pStyle w:val="Normal"/></w:pPr>
<w:r><w:t xml:space="preserve">Another specimen of his wit is furnished by the</w:t></w:r>
</w:p>
<w:p>
<w:pPr><w:pStyle w:val="Normal"/></w:pPr>
<w:r><w:t xml:space="preserve">following epigram of the five reasons for drinking:--</w:t></w:r>
</w:p>
<w:p>
<w:pPr><w:pStyle w:val="Normal"/></w:pPr>
<w:r><w:t xml:space="preserve">Si bene quid memini, causae sunt quinque bibendi;</w:t></w:r>
</w:p>
<w:p>
<w:pPr><w:pStyle w:val="Normal"/></w:pPr>
<w:r><w:t xml:space="preserve">Hospitis adventus, praesens sitis atque futura,</w:t></w:r>
</w:p>
<w:p>
<w:pPr><w:pStyle w:val="Normal"/></w:pPr>
<w:r><w:t xml:space="preserve">Aut vini bonitas, aut quaelibet altera causa.</w:t></w:r>
</w:p>
<w:p>
<w:pPr><w:pStyle w:val="Normal"/></w:pPr>
<w:r><w:t xml:space="preserve">The translation runs:--</w:t></w:r>
</w:p>
<w:p>
<w:pPr><w:pStyle w:val="Normal"/></w:pPr>
<w:r><w:t xml:space="preserve">If on my theme I rightly think,</w:t></w:r>
</w:p>
<w:p>
<w:pPr><w:pStyle w:val="Normal"/></w:pPr>
<w:r><w:t xml:space="preserve">There are five reasons why men drink:--</w:t></w:r>
</w:p>
<w:p>
<w:pPr><w:pStyle w:val="Normal"/></w:pPr>
<w:r><w:t xml:space="preserve">Good wine; a friend; because I&apos;m dry;</w:t></w:r>
</w:p>
<w:p>
<w:pPr><w:pStyle w:val="Normal"/></w:pPr>
<w:r><w:t xml:space="preserve">Or lest I should be by and by;</w:t></w:r>
</w:p>
<w:p>
<w:pPr><w:pStyle w:val="Normal"/></w:pPr>
<w:r><w:t xml:space="preserve">Or--any other reason why.</w:t></w:r>
</w:p>
<w:p>
<w:pPr><w:pStyle w:val="Normal"/></w:pPr>
<w:r><w:t xml:space="preserve">ALDRICH, NELSON WILMARTH (1841- ), American politician,</w:t></w:r>
</w:p>
<w:p>
<w:pPr><w:pStyle w:val="Normal"/></w:pPr>
<w:r><w:t xml:space="preserve">was born at Foster, Rhode Island, on the 6th of November</w:t></w:r>
</w:p>
<w:p>
<w:pPr><w:pStyle w:val="Normal"/></w:pPr>
<w:r><w:t xml:space="preserve">1841.  His first political service was as a member (1869-1875)</w:t></w:r>
</w:p>
<w:p>
<w:pPr><w:pStyle w:val="Normal"/></w:pPr>
<w:r><w:t xml:space="preserve">and president (1871-1872) of the Providence common council.</w:t></w:r>
</w:p>
<w:p>
<w:pPr><w:pStyle w:val="Normal"/></w:pPr>
<w:r><w:t xml:space="preserve">He was a member of the lower house of the Rhode Island</w:t></w:r>
</w:p>
<w:p>
<w:pPr><w:pStyle w:val="Normal"/></w:pPr>
<w:r><w:t xml:space="preserve">legislature in 1875 and 1876, and speaker in the latter</w:t></w:r>
</w:p>
<w:p>
<w:pPr><w:pStyle w:val="Normal"/></w:pPr>
<w:r><w:t xml:space="preserve">year.  By this time he had become a power in Republican</w:t></w:r>
</w:p>
<w:p>
<w:pPr><w:pStyle w:val="Normal"/></w:pPr>
<w:r><w:t xml:space="preserve">state politics, and in 1878 and 1880 was elected to</w:t></w:r>
</w:p>
<w:p>
<w:pPr><w:pStyle w:val="Normal"/></w:pPr>
<w:r><w:t xml:space="preserve">Congress.  Early in his second term he was chosen United</w:t></w:r>
</w:p>
<w:p>
<w:pPr><w:pStyle w:val="Normal"/></w:pPr>
<w:r><w:t xml:space="preserve">States senator, and was re-elected in 1886, 1892, 1898 and</w:t></w:r>
</w:p>
<w:p>
<w:pPr><w:pStyle w:val="Normal"/></w:pPr>
<w:r><w:t xml:space="preserve">1905.  In the Senate he was looked upon as the special</w:t></w:r>
</w:p>
<w:p>
<w:pPr><w:pStyle w:val="Normal"/></w:pPr>
<w:r><w:t xml:space="preserve">representative of the high protective industries and moneyed</w:t></w:r>
</w:p>
<w:p>
<w:pPr><w:pStyle w:val="Normal"/></w:pPr>
<w:r><w:t xml:space="preserve">interests, and he took a prominent part in all legislation</w:t></w:r>
</w:p>
<w:p>
<w:pPr><w:pStyle w:val="Normal"/></w:pPr>
<w:r><w:t xml:space="preserve">dealing with the tariff, banking and the merchant marine.</w:t></w:r>
</w:p>
<w:p>
<w:pPr><w:pStyle w:val="Normal"/></w:pPr>
<w:r><w:t xml:space="preserve">ALDRICH, THOMAS BAILEY (1836-1907), American author, was</w:t></w:r>
</w:p>
<w:p>
<w:pPr><w:pStyle w:val="Normal"/></w:pPr>
<w:r><w:t xml:space="preserve">born in Portsmouth, New Hampshire, on the 11th of November</w:t></w:r>
</w:p>
<w:p>
<w:pPr><w:pStyle w:val="Normal"/></w:pPr>
<w:r><w:t xml:space="preserve">1836.  When he was but a child his father moved to New Orleans,</w:t></w:r>
</w:p>
<w:p>
<w:pPr><w:pStyle w:val="Normal"/></w:pPr>
<w:r><w:t xml:space="preserve">but after ten years the boy was sent back to Portsmouth--the</w:t></w:r>
</w:p>
<w:p>
<w:pPr><w:pStyle w:val="Normal"/></w:pPr>
<w:r><w:t xml:space="preserve">``Rivermouth&apos;&apos; of several of his stories--to prepare for</w:t></w:r>
</w:p>
<w:p>
<w:pPr><w:pStyle w:val="Normal"/></w:pPr>
<w:r><w:t xml:space="preserve">college.  This period of his life is partly described in his</w:t></w:r>
</w:p>
<w:p>
<w:pPr><w:pStyle w:val="Normal"/></w:pPr>
<w:r><w:t xml:space="preserve">Story of a Bad Boy (1870), of which ``Tom Bailey&apos;&apos; is the</w:t></w:r>
</w:p>
<w:p>
<w:pPr><w:pStyle w:val="Normal"/></w:pPr>
<w:r><w:t xml:space="preserve">juvenile hero.1 His father&apos;s death in 1852 compelled Aldrich to</w:t></w:r>
</w:p>
<w:p>
<w:pPr><w:pStyle w:val="Normal"/></w:pPr>
<w:r><w:t xml:space="preserve">abandon the idea of college and enter a business office in New</w:t></w:r>
</w:p>
<w:p>
<w:pPr><w:pStyle w:val="Normal"/></w:pPr>
<w:r><w:t xml:space="preserve">York.  Here he soon became a constant contributor to the</w:t></w:r>
</w:p>
<w:p>
<w:pPr><w:pStyle w:val="Normal"/></w:pPr>
<w:r><w:t xml:space="preserve">newspapers and magazines, and the intimate friend of the young</w:t></w:r>
</w:p>
<w:p>
<w:pPr><w:pStyle w:val="Normal"/></w:pPr>
<w:r><w:t xml:space="preserve">poets, artists and wits of the metropolitan Bohemia of the</w:t></w:r>
</w:p>
<w:p>
<w:pPr><w:pStyle w:val="Normal"/></w:pPr>
<w:r><w:t xml:space="preserve">early&apos;sixties, among whom were E. C. Stedman, R. H. Stoddard,</w:t></w:r>
</w:p>
<w:p>
<w:pPr><w:pStyle w:val="Normal"/></w:pPr>
<w:r><w:t xml:space="preserve">Bayard Taylor and Walt Whitman.  From 1856 to 1859 he was</w:t></w:r>
</w:p>
<w:p>
<w:pPr><w:pStyle w:val="Normal"/></w:pPr>
<w:r><w:t xml:space="preserve">on the staff of the Home Journal, then edited by N. P.</w:t></w:r>
</w:p>
<w:p>
<w:pPr><w:pStyle w:val="Normal"/></w:pPr>
<w:r><w:t xml:space="preserve">Willis, while during the Civil War he was himself editor of</w:t></w:r>
</w:p>
<w:p>
<w:pPr><w:pStyle w:val="Normal"/></w:pPr>
<w:r><w:t xml:space="preserve">the New York Illustrated News. In 1865 he moved to Boston</w:t></w:r>
</w:p>
<w:p>
<w:pPr><w:pStyle w:val="Normal"/></w:pPr>
<w:r><w:t xml:space="preserve">and was editor for ten years for Ticknor and Fields--then</w:t></w:r>
</w:p>
<w:p>
<w:pPr><w:pStyle w:val="Normal"/></w:pPr>
<w:r><w:t xml:space="preserve">at the height of their prestige--of the eclectic weekly</w:t></w:r>
</w:p>
<w:p>
<w:pPr><w:pStyle w:val="Normal"/></w:pPr>
<w:r><w:t xml:space="preserve">Every Saturday, discontinued in 1875.  From 1881 to 1890</w:t></w:r>
</w:p>
<w:p>
<w:pPr><w:pStyle w:val="Normal"/></w:pPr>
<w:r><w:t xml:space="preserve">he was editor of the Atlantic Monthly. Meanwhile Aldrich</w:t></w:r>
</w:p>
<w:p>
<w:pPr><w:pStyle w:val="Normal"/></w:pPr>
<w:r><w:t xml:space="preserve">had written much, both in prose and verse.  His genius was</w:t></w:r>
</w:p>
<w:p>
<w:pPr><w:pStyle w:val="Normal"/></w:pPr>
<w:r><w:t xml:space="preserve">many-sided, and it is surprising that so busy an editor and</w:t></w:r>
</w:p>
<w:p>
<w:pPr><w:pStyle w:val="Normal"/></w:pPr>
<w:r><w:t xml:space="preserve">so prolific a writer should have attained the perfection of</w:t></w:r>
</w:p>
<w:p>
<w:pPr><w:pStyle w:val="Normal"/></w:pPr>
<w:r><w:t xml:space="preserve">form for which he was remarkable.  His successive volumes of</w:t></w:r>
</w:p>
<w:p>
<w:pPr><w:pStyle w:val="Normal"/></w:pPr>
<w:r><w:t xml:space="preserve">verse, chiefly The Ballad of Babie Bell (1856), Pampinea,</w:t></w:r>
</w:p>
<w:p>
<w:pPr><w:pStyle w:val="Normal"/></w:pPr>
<w:r><w:t xml:space="preserve">and Other Poems (1861), Cloth of Gold (1874), Flower</w:t></w:r>
</w:p>
<w:p>
<w:pPr><w:pStyle w:val="Normal"/></w:pPr>
<w:r><w:t xml:space="preserve">and Thorn (1876), Friar Jerome&apos;s Beautiful Book (1881),</w:t></w:r>
</w:p>
<w:p>
<w:pPr><w:pStyle w:val="Normal"/></w:pPr>
<w:r><w:t xml:space="preserve">Mercedes and Later Lyrics (1883), Wyndham Towers (1889),</w:t></w:r>
</w:p>
<w:p>
<w:pPr><w:pStyle w:val="Normal"/></w:pPr>
<w:r><w:t xml:space="preserve">and the collected editions of 1865, 1882, 1897 and 1900,</w:t></w:r>
</w:p>
<w:p>
<w:pPr><w:pStyle w:val="Normal"/></w:pPr>
<w:r><w:t xml:space="preserve">showed him to be a poet of lyrical skill, dainty touch and</w:t></w:r>
</w:p>
<w:p>
<w:pPr><w:pStyle w:val="Normal"/></w:pPr>
<w:r><w:t xml:space="preserve">felicitous conceit, the influence of Herrick being constantly</w:t></w:r>
</w:p>
<w:p>
<w:pPr><w:pStyle w:val="Normal"/></w:pPr>
<w:r><w:t xml:space="preserve">apparent.  He repeatedly essayed the long narrative or</w:t></w:r>
</w:p>
<w:p>
<w:pPr><w:pStyle w:val="Normal"/></w:pPr>
<w:r><w:t xml:space="preserve">dramatic poem, but seldom with success, save in such earlier</w:t></w:r>
</w:p>
<w:p>
<w:pPr><w:pStyle w:val="Normal"/></w:pPr>
<w:r><w:t xml:space="preserve">work as Garnaut Hall. But no American poet has shown more</w:t></w:r>
</w:p>
<w:p>
<w:pPr><w:pStyle w:val="Normal"/></w:pPr>
<w:r><w:t xml:space="preserve">skill in describing some single picture, mood, conceit or</w:t></w:r>
</w:p>
<w:p>
<w:pPr><w:pStyle w:val="Normal"/></w:pPr>
<w:r><w:t xml:space="preserve">episode.  His best things are such lyrics as ``Hesperides,&apos;&apos;</w:t></w:r>
</w:p>
<w:p>
<w:pPr><w:pStyle w:val="Normal"/></w:pPr>
<w:r><w:t xml:space="preserve">``When the Sultan goes to Ispahan,&apos;&apos; ``Before the Rain,&apos;&apos;</w:t></w:r>
</w:p>
<w:p>
<w:pPr><w:pStyle w:val="Normal"/></w:pPr>
<w:r><w:t xml:space="preserve">``Nameless Pain,&apos;&apos; ``The Tragedy,&apos;&apos; ``Seadrift,&apos;&apos; ``Tiger</w:t></w:r>
</w:p>
<w:p>
<w:pPr><w:pStyle w:val="Normal"/></w:pPr>
<w:r><w:t xml:space="preserve">Lilies,&apos;&apos; ``The One White Rose,&apos;&apos; ``Palabras Carinosas,&apos;&apos;</w:t></w:r>
</w:p>
<w:p>
<w:pPr><w:pStyle w:val="Normal"/></w:pPr>
<w:r><w:t xml:space="preserve">``Destiny,&apos;&apos; or the eight-line poem ``Identity,&apos;&apos; which did</w:t></w:r>
</w:p>
<w:p>
<w:pPr><w:pStyle w:val="Normal"/></w:pPr>
<w:r><w:t xml:space="preserve">more to spread Aldrich&apos;s reputation than any of his writing</w:t></w:r>
</w:p>
<w:p>
<w:pPr><w:pStyle w:val="Normal"/></w:pPr>
<w:r><w:t xml:space="preserve">after Babie Bell. Beginning with the collection of stories</w:t></w:r>
</w:p>
<w:p>
<w:pPr><w:pStyle w:val="Normal"/></w:pPr>
<w:r><w:t xml:space="preserve">entitled Marjorie Daw and Other People (1873), Aldrich</w:t></w:r>
</w:p>
<w:p>
<w:pPr><w:pStyle w:val="Normal"/></w:pPr>
<w:r><w:t xml:space="preserve">applied to his later prose work that minute care in composition</w:t></w:r>
</w:p>
<w:p>
<w:pPr><w:pStyle w:val="Normal"/></w:pPr>
<w:r><w:t xml:space="preserve">which had previously characterized his verse--taking a</w:t></w:r>
</w:p>
<w:p>
<w:pPr><w:pStyle w:val="Normal"/></w:pPr>
<w:r><w:t xml:space="preserve">near, new or salient situation, and setting it before the</w:t></w:r>
</w:p>
<w:p>
<w:pPr><w:pStyle w:val="Normal"/></w:pPr>
<w:r><w:t xml:space="preserve">reader in a pretty combination of kindly realism and reticent</w:t></w:r>
</w:p>
<w:p>
<w:pPr><w:pStyle w:val="Normal"/></w:pPr>
<w:r><w:t xml:space="preserve">humour.  In the novels, Prudence Palfrey (1874), The</w:t></w:r>
</w:p>
<w:p>
<w:pPr><w:pStyle w:val="Normal"/></w:pPr>
<w:r><w:t xml:space="preserve">(Queen of Sheba (1877), and The Stillwater Tragedy (1880),</w:t></w:r>
</w:p>
<w:p>
<w:pPr><w:pStyle w:val="Normal"/></w:pPr>
<w:r><w:t xml:space="preserve">there is more rapid action; but the Portsmouth pictures</w:t></w:r>
</w:p>
<w:p>
<w:pPr><w:pStyle w:val="Normal"/></w:pPr>
<w:r><w:t xml:space="preserve">in the first are elaborated with the affectionate touch</w:t></w:r>
</w:p>
<w:p>
<w:pPr><w:pStyle w:val="Normal"/></w:pPr>
<w:r><w:t xml:space="preserve">shown in the shorter humourous tale, A Rivermouth Romance</w:t></w:r>
</w:p>
<w:p>
<w:pPr><w:pStyle w:val="Normal"/></w:pPr>
<w:r><w:t xml:space="preserve">(1877).  In An Old Town by the Sea (1893) the author&apos;s</w:t></w:r>
</w:p>
<w:p>
<w:pPr><w:pStyle w:val="Normal"/></w:pPr>
<w:r><w:t xml:space="preserve">birthplace was once more commemorated, while travel and</w:t></w:r>
</w:p>
<w:p>
<w:pPr><w:pStyle w:val="Normal"/></w:pPr>
<w:r><w:t xml:space="preserve">description are the theme of From Ponkapog to Pesth</w:t></w:r>
</w:p>
<w:p>
<w:pPr><w:pStyle w:val="Normal"/></w:pPr>
<w:r><w:t xml:space="preserve">(1883).  Aldrich died at Boston on the 19th of March 1907.</w:t></w:r>
</w:p>
<w:p>
<w:pPr><w:pStyle w:val="Normal"/></w:pPr>
<w:r><w:t xml:space="preserve">His Life was written by Ferris Greenslet (1908).</w:t></w:r>
</w:p>
<w:p>
<w:pPr><w:pStyle w:val="Normal"/></w:pPr>
<w:r><w:t xml:space="preserve">1 This book has been translated into French as Education et</w:t></w:r>
</w:p>
<w:p>
<w:pPr><w:pStyle w:val="Normal"/></w:pPr>
<w:r><w:t xml:space="preserve">recreation, and into German as a specimen of American humour.</w:t></w:r>
</w:p>
<w:p>
<w:pPr><w:pStyle w:val="Normal"/></w:pPr>
<w:r><w:t xml:space="preserve">ALDRINGER (ALTRINGER, ALDRINGEN), JOHANN, COUNT</w:t></w:r>
</w:p>
<w:p>
<w:pPr><w:pStyle w:val="Normal"/></w:pPr>
<w:r><w:t xml:space="preserve">VON (1588-1634), Austrian soldier, was born at Diedenhofen</w:t></w:r>
</w:p>
<w:p>
<w:pPr><w:pStyle w:val="Normal"/></w:pPr>
<w:r><w:t xml:space="preserve">(Thionville) in Lorraine.  After travelling as page to a</w:t></w:r>
</w:p>
<w:p>
<w:pPr><w:pStyle w:val="Normal"/></w:pPr>
<w:r><w:t xml:space="preserve">nobleman in France, Italy and the Netherlands, he went to</w:t></w:r>
</w:p>
<w:p>
<w:pPr><w:pStyle w:val="Normal"/></w:pPr>
<w:r><w:t xml:space="preserve">the university of Paris.  In 1606 he entered the service of</w:t></w:r>
</w:p>
<w:p>
<w:pPr><w:pStyle w:val="Normal"/></w:pPr>
<w:r><w:t xml:space="preserve">Spain, in which he remained until 1618, when he joined the</w:t></w:r>
</w:p>
<w:p>
<w:pPr><w:pStyle w:val="Normal"/></w:pPr>
<w:r><w:t xml:space="preserve">imperial army.  Here he distinguished himself in the field</w:t></w:r>
</w:p>
<w:p>
<w:pPr><w:pStyle w:val="Normal"/></w:pPr>
<w:r><w:t xml:space="preserve">and in the cabinet.  Made a colonel in 1622, two years later</w:t></w:r>
</w:p>
<w:p>
<w:pPr><w:pStyle w:val="Normal"/></w:pPr>
<w:r><w:t xml:space="preserve">he was employed on the council of war and on diplomatic</w:t></w:r>
</w:p>
<w:p>
<w:pPr><w:pStyle w:val="Normal"/></w:pPr>
<w:r><w:t xml:space="preserve">missions.  At the bridge of Dessau in 1626 he performed very</w:t></w:r>
</w:p>
<w:p>
<w:pPr><w:pStyle w:val="Normal"/></w:pPr>
<w:r><w:t xml:space="preserve">distinguished service against Ernst von Mansfeld.  He and</w:t></w:r>
</w:p>
<w:p>
<w:pPr><w:pStyle w:val="Normal"/></w:pPr>
<w:r><w:t xml:space="preserve">his constant comrade Matthias Gallas (q.v.) were ennobled</w:t></w:r>
</w:p>
<w:p>
<w:pPr><w:pStyle w:val="Normal"/></w:pPr>
<w:r><w:t xml:space="preserve">on the same day, and in the course of the Italian campaign</w:t></w:r>
</w:p>
<w:p>
<w:pPr><w:pStyle w:val="Normal"/></w:pPr>
<w:r><w:t xml:space="preserve">of 1630 the two officers married the two daughters of Count</w:t></w:r>
</w:p>
<w:p>
<w:pPr><w:pStyle w:val="Normal"/></w:pPr>
<w:r><w:t xml:space="preserve">d&apos;Arco.  Aldringer served as Count Rambold Collalto&apos;s</w:t></w:r>
</w:p>
<w:p>
<w:pPr><w:pStyle w:val="Normal"/></w:pPr>
<w:r><w:t xml:space="preserve">major-general in this campaign and was present at the taking of</w:t></w:r>
</w:p>
<w:p>
<w:pPr><w:pStyle w:val="Normal"/></w:pPr>
<w:r><w:t xml:space="preserve">Mantua.  The plunder of the duke of Mantua&apos;s treasures made</w:t></w:r>
</w:p>
<w:p>
<w:pPr><w:pStyle w:val="Normal"/></w:pPr>
<w:r><w:t xml:space="preserve">Gallas and Aldringer wealthy men.  Back in Germany in 1631,</w:t></w:r>
</w:p>
<w:p>
<w:pPr><w:pStyle w:val="Normal"/></w:pPr>
<w:r><w:t xml:space="preserve">he served after Breitenfeld as Tilly&apos;s artillery commander,</w:t></w:r>
</w:p>
<w:p>
<w:pPr><w:pStyle w:val="Normal"/></w:pPr>
<w:r><w:t xml:space="preserve">and, elevated to the dignity of count of the Empire, he was</w:t></w:r>
</w:p>
<w:p>
<w:pPr><w:pStyle w:val="Normal"/></w:pPr>
<w:r><w:t xml:space="preserve">present at the battle of the Lech, where he was wounded.</w:t></w:r>
</w:p>
<w:p>
<w:pPr><w:pStyle w:val="Normal"/></w:pPr>
<w:r><w:t xml:space="preserve">When Tilly died of his wounds Aldringer succeeded to the</w:t></w:r>
</w:p>
<w:p>
<w:pPr><w:pStyle w:val="Normal"/></w:pPr>
<w:r><w:t xml:space="preserve">command.  Made field-marshal after the assault of the Alte</w:t></w:r>
</w:p>
<w:p>
<w:pPr><w:pStyle w:val="Normal"/></w:pPr>
<w:r><w:t xml:space="preserve">Veste near Nuremberg, at which he had been second in command</w:t></w:r>
</w:p>
<w:p>
<w:pPr><w:pStyle w:val="Normal"/></w:pPr>
<w:r><w:t xml:space="preserve">under Wallenstein, duke of Friedland (with whom he was a</w:t></w:r>
</w:p>
<w:p>
<w:pPr><w:pStyle w:val="Normal"/></w:pPr>
<w:r><w:t xml:space="preserve">great favourite), he was next placed at the head of the corps</w:t></w:r>
</w:p>
<w:p>
<w:pPr><w:pStyle w:val="Normal"/></w:pPr>
<w:r><w:t xml:space="preserve">formed by Maximilian I. of Bavaria to support Wallenstein.</w:t></w:r>
</w:p>
<w:p>
<w:pPr><w:pStyle w:val="Normal"/></w:pPr>
<w:r><w:t xml:space="preserve">In this post his tact and diplomatic ability were put to a</w:t></w:r>
</w:p>
<w:p>
<w:pPr><w:pStyle w:val="Normal"/></w:pPr>
<w:r><w:t xml:space="preserve">severe test in the preservation of harmony between the two</w:t></w:r>
</w:p>
<w:p>
<w:pPr><w:pStyle w:val="Normal"/></w:pPr>
<w:r><w:t xml:space="preserve">dukes.  Finally Count Aldringer was won over by the court</w:t></w:r>
</w:p>
<w:p>
<w:pPr><w:pStyle w:val="Normal"/></w:pPr>
<w:r><w:t xml:space="preserve">party which sought to displace the too successful duke of</w:t></w:r>
</w:p>
<w:p>
<w:pPr><w:pStyle w:val="Normal"/></w:pPr>
<w:r><w:t xml:space="preserve">Friedland.  After Wallenstein&apos;s death Aldringer commanded</w:t></w:r>
</w:p>
<w:p>
<w:pPr><w:pStyle w:val="Normal"/></w:pPr>
<w:r><w:t xml:space="preserve">against the Swedes on the Danube, and at the defence of Landshut</w:t></w:r>
</w:p>
<w:p>
<w:pPr><w:pStyle w:val="Normal"/></w:pPr>
<w:r><w:t xml:space="preserve">he fell (July 22, 1634).  His great possessions descended to</w:t></w:r>
</w:p>
<w:p>
<w:pPr><w:pStyle w:val="Normal"/></w:pPr>
<w:r><w:t xml:space="preserve">his sister, and thence to the family of Clary and Aldringen.</w:t></w:r>
</w:p>
<w:p>
<w:pPr><w:pStyle w:val="Normal"/></w:pPr>
<w:r><w:t xml:space="preserve">See Brohm, Johann von Aldringen (Halle, 1882), and</w:t></w:r>
</w:p>
<w:p>
<w:pPr><w:pStyle w:val="Normal"/></w:pPr>
<w:r><w:t xml:space="preserve">Hermann Hallwich, Johann von Aldringen (Leipzig, 1885);</w:t></w:r>
</w:p>
<w:p>
<w:pPr><w:pStyle w:val="Normal"/></w:pPr>
<w:r><w:t xml:space="preserve">also Allgemeine Deutsche Biographie, s.v.  Gallas,</w:t></w:r>
</w:p>
<w:p>
<w:pPr><w:pStyle w:val="Normal"/></w:pPr>
<w:r><w:t xml:space="preserve">correcting earlier biography of Aldringer in the same work.</w:t></w:r>
</w:p>
<w:p>
<w:pPr><w:pStyle w:val="Normal"/></w:pPr>
<w:r><w:t xml:space="preserve">ALDROVANDI, ULISSI (1522-1605), Italian naturalist, was,</w:t></w:r>
</w:p>
<w:p>
<w:pPr><w:pStyle w:val="Normal"/></w:pPr>
<w:r><w:t xml:space="preserve">born of noble parentage at Bologna on the 11th of September</w:t></w:r>
</w:p>
<w:p>
<w:pPr><w:pStyle w:val="Normal"/></w:pPr>
<w:r><w:t xml:space="preserve">1522.  He was apprenticed to a merchant in Brescia, but a</w:t></w:r>
</w:p>
<w:p>
<w:pPr><w:pStyle w:val="Normal"/></w:pPr>
<w:r><w:t xml:space="preserve">commercial career being distasteful to him, he turned his</w:t></w:r>
</w:p>
<w:p>
<w:pPr><w:pStyle w:val="Normal"/></w:pPr>
<w:r><w:t xml:space="preserve">attention to law and medicine, studying first in his native</w:t></w:r>
</w:p>
<w:p>
<w:pPr><w:pStyle w:val="Normal"/></w:pPr>
<w:r><w:t xml:space="preserve">town and afterwards at Padua.  In 1550 he was accused of</w:t></w:r>
</w:p>
<w:p>
<w:pPr><w:pStyle w:val="Normal"/></w:pPr>
<w:r><w:t xml:space="preserve">heresy, but succeeded in clearing himself before the</w:t></w:r>
</w:p>
<w:p>
<w:pPr><w:pStyle w:val="Normal"/></w:pPr>
<w:r><w:t xml:space="preserve">Inquisition.  In 1553 he took his doctor&apos;s degree in</w:t></w:r>
</w:p>
<w:p>
<w:pPr><w:pStyle w:val="Normal"/></w:pPr>
<w:r><w:t xml:space="preserve">medicine at Bologna, and in the following year was appointed</w:t></w:r>
</w:p>
<w:p>
<w:pPr><w:pStyle w:val="Normal"/></w:pPr>
<w:r><w:t xml:space="preserve">professor of philosophy and also lecturer on botany at the</w:t></w:r>
</w:p>
<w:p>
<w:pPr><w:pStyle w:val="Normal"/></w:pPr>
<w:r><w:t xml:space="preserve">university.  In 1560 he was transferred to the chair of natural</w:t></w:r>
</w:p>
<w:p>
<w:pPr><w:pStyle w:val="Normal"/></w:pPr>
<w:r><w:t xml:space="preserve">history.  At his instance the senate of Bologna established in</w:t></w:r>
</w:p>
<w:p>
<w:pPr><w:pStyle w:val="Normal"/></w:pPr>
<w:r><w:t xml:space="preserve">1568 a botanical garden, of which he was appointed the first</w:t></w:r>
</w:p>
<w:p>
<w:pPr><w:pStyle w:val="Normal"/></w:pPr>
<w:r><w:t xml:space="preserve">director.  About the same time he became inspector of drugs, and</w:t></w:r>
</w:p>
<w:p>
<w:pPr><w:pStyle w:val="Normal"/></w:pPr>
<w:r><w:t xml:space="preserve">in that capacity published in 1574 a work entitled Antidotarii</w:t></w:r>
</w:p>
<w:p>
<w:pPr><w:pStyle w:val="Normal"/></w:pPr>
<w:r><w:t xml:space="preserve">Bononiensis Epitome, which formed the model for many subsequent</w:t></w:r>
</w:p>
<w:p>
<w:pPr><w:pStyle w:val="Normal"/></w:pPr>
<w:r><w:t xml:space="preserve">pharmacopoeias.  He was also instrumental in founding the public</w:t></w:r>
</w:p>
<w:p>
<w:pPr><w:pStyle w:val="Normal"/></w:pPr>
<w:r><w:t xml:space="preserve">museum of Bologna, which contains, especially in the natural</w:t></w:r>
</w:p>
<w:p>
<w:pPr><w:pStyle w:val="Normal"/></w:pPr>
<w:r><w:t xml:space="preserve">history department, a large number of specimens collected by</w:t></w:r>
</w:p>
<w:p>
<w:pPr><w:pStyle w:val="Normal"/></w:pPr>
<w:r><w:t xml:space="preserve">him.  The results of his various researches were embodied</w:t></w:r>
</w:p>
<w:p>
<w:pPr><w:pStyle w:val="Normal"/></w:pPr>
<w:r><w:t xml:space="preserve">in a magnum opus, which was designed to include everything</w:t></w:r>
</w:p>
<w:p>
<w:pPr><w:pStyle w:val="Normal"/></w:pPr>
<w:r><w:t xml:space="preserve">that was known about natural history.  The first three</w:t></w:r>
</w:p>
<w:p>
<w:pPr><w:pStyle w:val="Normal"/></w:pPr>
<w:r><w:t xml:space="preserve">volumes, comprising his ornithology, were published in 1599,</w:t></w:r>
</w:p>
<w:p>
<w:pPr><w:pStyle w:val="Normal"/></w:pPr>
<w:r><w:t xml:space="preserve">and a fourth, treating of insects, appeared in 1602.  After</w:t></w:r>
</w:p>
<w:p>
<w:pPr><w:pStyle w:val="Normal"/></w:pPr>
<w:r><w:t xml:space="preserve">his death a number of other volumes were compiled from his</w:t></w:r>
</w:p>
<w:p>
<w:pPr><w:pStyle w:val="Normal"/></w:pPr>
<w:r><w:t xml:space="preserve">manuscript materials, under the editorship of several of his</w:t></w:r>
</w:p>
<w:p>
<w:pPr><w:pStyle w:val="Normal"/></w:pPr>
<w:r><w:t xml:space="preserve">pupils, to whom the task was entrusted by the senate of</w:t></w:r>
</w:p>
<w:p>
<w:pPr><w:pStyle w:val="Normal"/></w:pPr>
<w:r><w:t xml:space="preserve">Bologna.  The work was enriched by a large number of</w:t></w:r>
</w:p>
<w:p>
<w:pPr><w:pStyle w:val="Normal"/></w:pPr>
<w:r><w:t xml:space="preserve">illustrations prepared at great expense, the author having,</w:t></w:r>
</w:p>
<w:p>
<w:pPr><w:pStyle w:val="Normal"/></w:pPr>
<w:r><w:t xml:space="preserve">it is said, employed several celebrated artists for thirty</w:t></w:r>
</w:p>
<w:p>
<w:pPr><w:pStyle w:val="Normal"/></w:pPr>
<w:r><w:t xml:space="preserve">years.  Among these were Lorenzo Benini of Florence and</w:t></w:r>
</w:p>
<w:p>
<w:pPr><w:pStyle w:val="Normal"/></w:pPr>
<w:r><w:t xml:space="preserve">Christopher Coriolanus of Nuremberg.  It has been said,</w:t></w:r>
</w:p>
<w:p>
<w:pPr><w:pStyle w:val="Normal"/></w:pPr>
<w:r><w:t xml:space="preserve">indeed, that the cost of the undertaking was so great as to</w:t></w:r>
</w:p>
<w:p>
<w:pPr><w:pStyle w:val="Normal"/></w:pPr>
<w:r><w:t xml:space="preserve">exhaust its author&apos;s means, and that he died penniless and</w:t></w:r>
</w:p>
<w:p>
<w:pPr><w:pStyle w:val="Normal"/></w:pPr>
<w:r><w:t xml:space="preserve">blind in the public hospital of Bologna.  This, however, is</w:t></w:r>
</w:p>
<w:p>
<w:pPr><w:pStyle w:val="Normal"/></w:pPr>
<w:r><w:t xml:space="preserve">probably incorrect, at least as regards the allegation of</w:t></w:r>
</w:p>
<w:p>
<w:pPr><w:pStyle w:val="Normal"/></w:pPr>
<w:r><w:t xml:space="preserve">poverty.  Published records of the senate of Bologna show</w:t></w:r>
</w:p>
<w:p>
<w:pPr><w:pStyle w:val="Normal"/></w:pPr>
<w:r><w:t xml:space="preserve">that it liberally supported Aldrovandi in his undertaking,</w:t></w:r>
</w:p>
<w:p>
<w:pPr><w:pStyle w:val="Normal"/></w:pPr>
<w:r><w:t xml:space="preserve">doubling his salary soon after his appointment as professor,</w:t></w:r>
</w:p>
<w:p>
<w:pPr><w:pStyle w:val="Normal"/></w:pPr>
<w:r><w:t xml:space="preserve">and bestowing on him from time to time sums amounting in</w:t></w:r>
</w:p>
<w:p>
<w:pPr><w:pStyle w:val="Normal"/></w:pPr>
<w:r><w:t xml:space="preserve">all to 40,000 crowns.  If, therefore, he died in the public</w:t></w:r>
</w:p>
<w:p>
<w:pPr><w:pStyle w:val="Normal"/></w:pPr>
<w:r><w:t xml:space="preserve">hospital, he probably went there for the better treatment of</w:t></w:r>
</w:p>
<w:p>
<w:pPr><w:pStyle w:val="Normal"/></w:pPr>
<w:r><w:t xml:space="preserve">his disease.  His death occurred on the 10th of May 1605.</w:t></w:r>
</w:p>
<w:p>
<w:pPr><w:pStyle w:val="Normal"/></w:pPr>
<w:r><w:t xml:space="preserve">Aldrovandi was chiefly remarkable for laborious and patient</w:t></w:r>
</w:p>
<w:p>
<w:pPr><w:pStyle w:val="Normal"/></w:pPr>
<w:r><w:t xml:space="preserve">research.  He seems to have been totally destitute of the</w:t></w:r>
</w:p>
<w:p>
<w:pPr><w:pStyle w:val="Normal"/></w:pPr>
<w:r><w:t xml:space="preserve">critical faculty, and hardly any attempt is made in his great</w:t></w:r>
</w:p>
<w:p>
<w:pPr><w:pStyle w:val="Normal"/></w:pPr>
<w:r><w:t xml:space="preserve">work to classify facts or to distinguish between the true and</w:t></w:r>
</w:p>
<w:p>
<w:pPr><w:pStyle w:val="Normal"/></w:pPr>
<w:r><w:t xml:space="preserve">the fabulous, the important and the trivial.  Much is thus</w:t></w:r>
</w:p>
<w:p>
<w:pPr><w:pStyle w:val="Normal"/></w:pPr>
<w:r><w:t xml:space="preserve">included that is of no scientific value, but it also contains</w:t></w:r>
</w:p>
<w:p>
<w:pPr><w:pStyle w:val="Normal"/></w:pPr>
<w:r><w:t xml:space="preserve">much information of very great interest to the naturalist.</w:t></w:r>
</w:p>
<w:p>
<w:pPr><w:pStyle w:val="Normal"/></w:pPr>
<w:r><w:t xml:space="preserve">ALE, an old word for a fermented liquor obtained chiefly from</w:t></w:r>
</w:p>
<w:p>
<w:pPr><w:pStyle w:val="Normal"/></w:pPr>
<w:r><w:t xml:space="preserve">malt.  In England ``ale&apos;&apos; is nowadays practically synonymous</w:t></w:r>
</w:p>
<w:p>
<w:pPr><w:pStyle w:val="Normal"/></w:pPr>
<w:r><w:t xml:space="preserve">with ``beer.&apos;&apos; Before the introduction of hops into England</w:t></w:r>
</w:p>
<w:p>
<w:pPr><w:pStyle w:val="Normal"/></w:pPr>
<w:r><w:t xml:space="preserve">from Flanders in the 16th century ale was the name exclusively</w:t></w:r>
</w:p>
<w:p>
<w:pPr><w:pStyle w:val="Normal"/></w:pPr>
<w:r><w:t xml:space="preserve">applied to malt liquor, the term beer being gradually</w:t></w:r>
</w:p>
<w:p>
<w:pPr><w:pStyle w:val="Normal"/></w:pPr>
<w:r><w:t xml:space="preserve">introduced to describe liquor brewed with an infusion of</w:t></w:r>
</w:p>
<w:p>
<w:pPr><w:pStyle w:val="Normal"/></w:pPr>
<w:r><w:t xml:space="preserve">hops.  This distinction does not apply at the present time,</w:t></w:r>
</w:p>
<w:p>
<w:pPr><w:pStyle w:val="Normal"/></w:pPr>
<w:r><w:t xml:space="preserve">except in so far as the term ale is not applied to black</w:t></w:r>
</w:p>
<w:p>
<w:pPr><w:pStyle w:val="Normal"/></w:pPr>
<w:r><w:t xml:space="preserve">beers (stout and porter) nor to lager beer.  In the United</w:t></w:r>
</w:p>
<w:p>
<w:pPr><w:pStyle w:val="Normal"/></w:pPr>
<w:r><w:t xml:space="preserve">States, however, it is customary to confine the designation</w:t></w:r>
</w:p>
<w:p>
<w:pPr><w:pStyle w:val="Normal"/></w:pPr>
<w:r><w:t xml:space="preserve">beer to the article obtained by the bottom fermentation</w:t></w:r>
</w:p>
<w:p>
<w:pPr><w:pStyle w:val="Normal"/></w:pPr>
<w:r><w:t xml:space="preserve">process.  In former times the Welsh and Scots had two distinct</w:t></w:r>
</w:p>
<w:p>
<w:pPr><w:pStyle w:val="Normal"/></w:pPr>
<w:r><w:t xml:space="preserve">kinds of ale, called common and spiced ales, the relative</w:t></w:r>
</w:p>
<w:p>
<w:pPr><w:pStyle w:val="Normal"/></w:pPr>
<w:r><w:t xml:space="preserve">values of which were appraised by law in the following terms:</w:t></w:r>
</w:p>
<w:p>
<w:pPr><w:pStyle w:val="Normal"/></w:pPr>
<w:r><w:t xml:space="preserve">``If a farmer have no mead, he shall pay two casks of spiced</w:t></w:r>
</w:p>
<w:p>
<w:pPr><w:pStyle w:val="Normal"/></w:pPr>
<w:r><w:t xml:space="preserve">ale, or four casks of common ale, for one cask of mead.&apos;&apos;</w:t></w:r>
</w:p>
<w:p>
<w:pPr><w:pStyle w:val="Normal"/></w:pPr>
<w:r><w:t xml:space="preserve">There are numerous varieties of English ales, such as mild</w:t></w:r>
</w:p>
<w:p>
<w:pPr><w:pStyle w:val="Normal"/></w:pPr>
<w:r><w:t xml:space="preserve">ale, which is a full, sweetish beer, of a dark colour and with</w:t></w:r>
</w:p>
<w:p>
<w:pPr><w:pStyle w:val="Normal"/></w:pPr>
<w:r><w:t xml:space="preserve">relatively little hop; pale ale, which is relatively dry, of</w:t></w:r>
</w:p>
<w:p>
<w:pPr><w:pStyle w:val="Normal"/></w:pPr>
<w:r><w:t xml:space="preserve">light colour and of a more pronounced hop flavour than the</w:t></w:r>
</w:p>
<w:p>
<w:pPr><w:pStyle w:val="Normal"/></w:pPr>
<w:r><w:t xml:space="preserve">mild ale; and bitter and stock ales, the latter term being</w:t></w:r>
</w:p>
<w:p>
<w:pPr><w:pStyle w:val="Normal"/></w:pPr>
<w:r><w:t xml:space="preserve">generally reserved for superior beers, such as are used for</w:t></w:r>
</w:p>
<w:p>
<w:pPr><w:pStyle w:val="Normal"/></w:pPr>
<w:r><w:t xml:space="preserve">bottling.  The terms pale, bitter, stock, light, &amp;c.,</w:t></w:r>
</w:p>
<w:p>
<w:pPr><w:pStyle w:val="Normal"/></w:pPr>
<w:r><w:t xml:space="preserve">are to be regarded as trade distinctions and not as exact</w:t></w:r>
</w:p>
<w:p>
<w:pPr><w:pStyle w:val="Normal"/></w:pPr>
<w:r><w:t xml:space="preserve">definitions of quality or type. (See BEER and BREWING.)</w:t></w:r>
</w:p>
<w:p>
<w:pPr><w:pStyle w:val="Normal"/></w:pPr>
<w:r><w:t xml:space="preserve">Parish Ales.--In old England an ``ale&apos;&apos; was synonymous with</w:t></w:r>
</w:p>
<w:p>
<w:pPr><w:pStyle w:val="Normal"/></w:pPr>
<w:r><w:t xml:space="preserve">a parish festival or merry-making at which ale was the chief</w:t></w:r>
</w:p>
<w:p>
<w:pPr><w:pStyle w:val="Normal"/></w:pPr>
<w:r><w:t xml:space="preserve">drink.  The word was generally used in composition.  Thus</w:t></w:r>
</w:p>
<w:p>
<w:pPr><w:pStyle w:val="Normal"/></w:pPr>
<w:r><w:t xml:space="preserve">there were leet-ales (that held on leet or manorial court day);</w:t></w:r>
</w:p>
<w:p>
<w:pPr><w:pStyle w:val="Normal"/></w:pPr>
<w:r><w:t xml:space="preserve">lamb-ales (that held at lamb-shearing); Whitsun-ales, clerk-ales,</w:t></w:r>
</w:p>
<w:p>
<w:pPr><w:pStyle w:val="Normal"/></w:pPr>
<w:r><w:t xml:space="preserve">church-ales and so on.  The word bridal is really bride-ale,</w:t></w:r>
</w:p>
<w:p>
<w:pPr><w:pStyle w:val="Normal"/></w:pPr>
<w:r><w:t xml:space="preserve">the wedding feast.  Bid-ales, once very common throughout</w:t></w:r>
</w:p>
<w:p>
<w:pPr><w:pStyle w:val="Normal"/></w:pPr>
<w:r><w:t xml:space="preserve">England, were ``benefit&apos;&apos; feasts to which a general invitation</w:t></w:r>
</w:p>
<w:p>
<w:pPr><w:pStyle w:val="Normal"/></w:pPr>
<w:r><w:t xml:space="preserve">was given, and all the neighbours attending were expected to</w:t></w:r>
</w:p>
<w:p>
<w:pPr><w:pStyle w:val="Normal"/></w:pPr>
<w:r><w:t xml:space="preserve">make some contribution to help the object of the ``benefit.&apos;&apos;</w:t></w:r>
</w:p>
<w:p>
<w:pPr><w:pStyle w:val="Normal"/></w:pPr>
<w:r><w:t xml:space="preserve">(See ``Bidding-Weddings&apos;&apos; under BRIDE.) These parish festivals</w:t></w:r>
</w:p>
<w:p>
<w:pPr><w:pStyle w:val="Normal"/></w:pPr>
<w:r><w:t xml:space="preserve">were of much ecclesiastical and social importance in medieval</w:t></w:r>
</w:p>
<w:p>
<w:pPr><w:pStyle w:val="Normal"/></w:pPr>
<w:r><w:t xml:space="preserve">England.  The chief purpose of church-ales and clerk-ales, at</w:t></w:r>
</w:p>
<w:p>
<w:pPr><w:pStyle w:val="Normal"/></w:pPr>
<w:r><w:t xml:space="preserve">least, was to facilitate the collection of parish-dues, or</w:t></w:r>
</w:p>
<w:p>
<w:pPr><w:pStyle w:val="Normal"/></w:pPr>
<w:r><w:t xml:space="preserve">to make an actual profit for the church from the sale of the</w:t></w:r>
</w:p>
<w:p>
<w:pPr><w:pStyle w:val="Normal"/></w:pPr>
<w:r><w:t xml:space="preserve">liquor by the church wardens.  These profits kept the parish</w:t></w:r>
</w:p>
<w:p>
<w:pPr><w:pStyle w:val="Normal"/></w:pPr>
<w:r><w:t xml:space="preserve">church in repair, or were distributed as alms to the poor.  At</w:t></w:r>
</w:p>
<w:p>
<w:pPr><w:pStyle w:val="Normal"/></w:pPr>
<w:r><w:t xml:space="preserve">Sygate, Norfolk, on the gallery of the church is inscribed--</w:t></w:r>
</w:p>
<w:p>
<w:pPr><w:pStyle w:val="Normal"/></w:pPr>
<w:r><w:t xml:space="preserve">God speed the plough</w:t></w:r>
</w:p>
<w:p>
<w:pPr><w:pStyle w:val="Normal"/></w:pPr>
<w:r><w:t xml:space="preserve">And give us good ale enow . . .</w:t></w:r>
</w:p>
<w:p>
<w:pPr><w:pStyle w:val="Normal"/></w:pPr>
<w:r><w:t xml:space="preserve">Be merry and glade,</w:t></w:r>
</w:p>
<w:p>
<w:pPr><w:pStyle w:val="Normal"/></w:pPr>
<w:r><w:t xml:space="preserve">With good ale was this work made.</w:t></w:r>
</w:p>
<w:p>
<w:pPr><w:pStyle w:val="Normal"/></w:pPr>
<w:r><w:t xml:space="preserve">On the beam of a screen in the church of Thorpe-le-Soken,</w:t></w:r>
</w:p>
<w:p>
<w:pPr><w:pStyle w:val="Normal"/></w:pPr>
<w:r><w:t xml:space="preserve">Essex, is the following inscription in raised Gothic</w:t></w:r>
</w:p>
<w:p>
<w:pPr><w:pStyle w:val="Normal"/></w:pPr>
<w:r><w:t xml:space="preserve">letters, on a scroll held by two angels--``This cost is the</w:t></w:r>
</w:p>
<w:p>
<w:pPr><w:pStyle w:val="Normal"/></w:pPr>
<w:r><w:t xml:space="preserve">bachelers made by ales thesn be ther med.&apos;&apos; The date is about</w:t></w:r>
</w:p>
<w:p>
<w:pPr><w:pStyle w:val="Normal"/></w:pPr>
<w:r><w:t xml:space="preserve">1480.  The feast was usually held in a barn near the church</w:t></w:r>
</w:p>
<w:p>
<w:pPr><w:pStyle w:val="Normal"/></w:pPr>
<w:r><w:t xml:space="preserve">or in the churchyard.  In Tudor times church-ales were held on</w:t></w:r>
</w:p>
<w:p>
<w:pPr><w:pStyle w:val="Normal"/></w:pPr>
<w:r><w:t xml:space="preserve">Sundays.  Gradually the parish-ales were limited to the</w:t></w:r>
</w:p>
<w:p>
<w:pPr><w:pStyle w:val="Normal"/></w:pPr>
<w:r><w:t xml:space="preserve">Whitsun season, and these still have local survivals.</w:t></w:r>
</w:p>
<w:p>
<w:pPr><w:pStyle w:val="Normal"/></w:pPr>
<w:r><w:t xml:space="preserve">The colleges of the universities used formerly to brew</w:t></w:r>
</w:p>
<w:p>
<w:pPr><w:pStyle w:val="Normal"/></w:pPr>
<w:r><w:t xml:space="preserve">their own ales and hold festivals known as college-ales.</w:t></w:r>
</w:p>
<w:p>
<w:pPr><w:pStyle w:val="Normal"/></w:pPr>
<w:r><w:t xml:space="preserve">Some of these ales are still brewed and famous, like</w:t></w:r>
</w:p>
<w:p>
<w:pPr><w:pStyle w:val="Normal"/></w:pPr>
<w:r><w:t xml:space="preserve">``chancellor&apos;&apos; at Queen&apos;s College, and ``archdeacon&apos;&apos; at Morton</w:t></w:r>
</w:p>
<w:p>
<w:pPr><w:pStyle w:val="Normal"/></w:pPr>
<w:r><w:t xml:space="preserve">College, Oxford, and ``audit ale&apos;&apos; at Trinity, Cambridge.</w:t></w:r>
</w:p>
<w:p>
<w:pPr><w:pStyle w:val="Normal"/></w:pPr>
<w:r><w:t xml:space="preserve">See Brand&apos;s Popular Antiquities of Great</w:t></w:r>
</w:p>
<w:p>
<w:pPr><w:pStyle w:val="Normal"/></w:pPr>
<w:r><w:t xml:space="preserve">Britain (Wm. Carew Hazlitt&apos;s edition, 1905).</w:t></w:r>
</w:p>
<w:p>
<w:pPr><w:pStyle w:val="Normal"/></w:pPr>
<w:r><w:t xml:space="preserve">ALEANDRO, GIROLAMO (HIERONYMUS ALEANDER) (1480- 1542), Italian</w:t></w:r>
</w:p>
<w:p>
<w:pPr><w:pStyle w:val="Normal"/></w:pPr>
<w:r><w:t xml:space="preserve">cardinal, was born at Motta, near Venice, on the 13th of February</w:t></w:r>
</w:p>
<w:p>
<w:pPr><w:pStyle w:val="Normal"/></w:pPr>
<w:r><w:t xml:space="preserve">1480.  He studied at Venice, where he became acquainted with</w:t></w:r>
</w:p>
<w:p>
<w:pPr><w:pStyle w:val="Normal"/></w:pPr>
<w:r><w:t xml:space="preserve">Erasmus and Aldus Manutius, and at an early age was reputed</w:t></w:r>
</w:p>
<w:p>
<w:pPr><w:pStyle w:val="Normal"/></w:pPr>
<w:r><w:t xml:space="preserve">one of the most learned men of the time.  In 1508 he went to</w:t></w:r>
</w:p>
<w:p>
<w:pPr><w:pStyle w:val="Normal"/></w:pPr>
<w:r><w:t xml:space="preserve">Paris on the invitation of Louis XII. as professor of belles</w:t></w:r>
</w:p>
<w:p>
<w:pPr><w:pStyle w:val="Normal"/></w:pPr>
<w:r><w:t xml:space="preserve">lettres, and held for a time the position of rector in the</w:t></w:r>
</w:p>
<w:p>
<w:pPr><w:pStyle w:val="Normal"/></w:pPr>
<w:r><w:t xml:space="preserve">university.  Entering the service of Eberhard, prince-bishop</w:t></w:r>
</w:p>
<w:p>
<w:pPr><w:pStyle w:val="Normal"/></w:pPr>
<w:r><w:t xml:space="preserve">of Liege, he was sent by that prelate on a mission to</w:t></w:r>
</w:p>
<w:p>
<w:pPr><w:pStyle w:val="Normal"/></w:pPr>
<w:r><w:t xml:space="preserve">Rome, where Pope Leo X. retained him, giving him (1519) the</w:t></w:r>
</w:p>
<w:p>
<w:pPr><w:pStyle w:val="Normal"/></w:pPr>
<w:r><w:t xml:space="preserve">office of librarian of the Vatican.  In the following year</w:t></w:r>
</w:p>
<w:p>
<w:pPr><w:pStyle w:val="Normal"/></w:pPr>
<w:r><w:t xml:space="preserve">he went to Germany to be present as papal nuncio at the</w:t></w:r>
</w:p>
<w:p>
<w:pPr><w:pStyle w:val="Normal"/></w:pPr>
<w:r><w:t xml:space="preserve">coronation of Charles V., and was also present at the diet of</w:t></w:r>
</w:p>
<w:p>
<w:pPr><w:pStyle w:val="Normal"/></w:pPr>
<w:r><w:t xml:space="preserve">Worms, where he headed the opposition to Luther, advocating</w:t></w:r>
</w:p>
<w:p>
<w:pPr><w:pStyle w:val="Normal"/></w:pPr>
<w:r><w:t xml:space="preserve">the most extreme measures to repress the doctrines of the</w:t></w:r>
</w:p>
<w:p>
<w:pPr><w:pStyle w:val="Normal"/></w:pPr>
<w:r><w:t xml:space="preserve">reformer.  His conduct evoked the fiercest denunciations of</w:t></w:r>
</w:p>
<w:p>
<w:pPr><w:pStyle w:val="Normal"/></w:pPr>
<w:r><w:t xml:space="preserve">Luther, but it also displeased more moderate men and especially</w:t></w:r>
</w:p>
<w:p>
<w:pPr><w:pStyle w:val="Normal"/></w:pPr>
<w:r><w:t xml:space="preserve">Erasmus.  The edict against the reformer, which was finally</w:t></w:r>
</w:p>
<w:p>
<w:pPr><w:pStyle w:val="Normal"/></w:pPr>
<w:r><w:t xml:space="preserve">adopted by the emperor and the diet, was drawn up and proposed</w:t></w:r>
</w:p>
<w:p>
<w:pPr><w:pStyle w:val="Normal"/></w:pPr>
<w:r><w:t xml:space="preserve">by Aleandro.  After the close of the diet the papal nuncio</w:t></w:r>
</w:p>
<w:p>
<w:pPr><w:pStyle w:val="Normal"/></w:pPr>
<w:r><w:t xml:space="preserve">went to the Netherlands; where he kindled the flames of</w:t></w:r>
</w:p>
<w:p>
<w:pPr><w:pStyle w:val="Normal"/></w:pPr>
<w:r><w:t xml:space="preserve">persecution, two monks of Antwerp, the first martyrs of the</w:t></w:r>
</w:p>
<w:p>
<w:pPr><w:pStyle w:val="Normal"/></w:pPr>
<w:r><w:t xml:space="preserve">Reformation, being burnt in Brussels at his instigation.  In</w:t></w:r>
</w:p>
<w:p>
<w:pPr><w:pStyle w:val="Normal"/></w:pPr>
<w:r><w:t xml:space="preserve">1523 Clement VII., having appointed him archbishop of Brindisi</w:t></w:r>
</w:p>
<w:p>
<w:pPr><w:pStyle w:val="Normal"/></w:pPr>
<w:r><w:t xml:space="preserve">and Oria, sent him as nuncio to the court of Francis I. He</w:t></w:r>
</w:p>
<w:p>
<w:pPr><w:pStyle w:val="Normal"/></w:pPr>
<w:r><w:t xml:space="preserve">was taken prisoner along with that monarch at the battle of</w:t></w:r>
</w:p>
<w:p>
<w:pPr><w:pStyle w:val="Normal"/></w:pPr>
<w:r><w:t xml:space="preserve">Pavia (1525), and was released only on payment of a heavy</w:t></w:r>
</w:p>
<w:p>
<w:pPr><w:pStyle w:val="Normal"/></w:pPr>
<w:r><w:t xml:space="preserve">ransom.  He was subsequently employed on various papal missions,</w:t></w:r>
</w:p>
<w:p>
<w:pPr><w:pStyle w:val="Normal"/></w:pPr>
<w:r><w:t xml:space="preserve">especially to Germany, but was unsuccessful in preventing the</w:t></w:r>
</w:p>
<w:p>
<w:pPr><w:pStyle w:val="Normal"/></w:pPr>
<w:r><w:t xml:space="preserve">German princes from making a truce with the reformers, or in</w:t></w:r>
</w:p>
<w:p>
<w:pPr><w:pStyle w:val="Normal"/></w:pPr>
<w:r><w:t xml:space="preserve">checking to any extent the progress of the new doctrines.  He</w:t></w:r>
</w:p>
<w:p>
<w:pPr><w:pStyle w:val="Normal"/></w:pPr>
<w:r><w:t xml:space="preserve">was created cardinal in 1536 by Paul III. (at the same time as</w:t></w:r>
</w:p>
<w:p>
<w:pPr><w:pStyle w:val="Normal"/></w:pPr>
<w:r><w:t xml:space="preserve">Reginald Pole) and died at Rome on the 1st of February 1542.</w:t></w:r>
</w:p>
<w:p>
<w:pPr><w:pStyle w:val="Normal"/></w:pPr>
<w:r><w:t xml:space="preserve">Aleandro compiled a Lexicon Graeco-Latinum (Paris, 1512),</w:t></w:r>
</w:p>
<w:p>
<w:pPr><w:pStyle w:val="Normal"/></w:pPr>
<w:r><w:t xml:space="preserve">and wrote Latin verse of considerable merit inserted in</w:t></w:r>
</w:p>
<w:p>
<w:pPr><w:pStyle w:val="Normal"/></w:pPr>
<w:r><w:t xml:space="preserve">M. Tuscanus&apos;s Carmina Illustrium Poetarum Italiorum. The</w:t></w:r>
</w:p>
<w:p>
<w:pPr><w:pStyle w:val="Normal"/></w:pPr>
<w:r><w:t xml:space="preserve">Vatican library contains a volume of manuscript letters and</w:t></w:r>
</w:p>
<w:p>
<w:pPr><w:pStyle w:val="Normal"/></w:pPr>
<w:r><w:t xml:space="preserve">other documents written by him in connexion with his various</w:t></w:r>
</w:p>
<w:p>
<w:pPr><w:pStyle w:val="Normal"/></w:pPr>
<w:r><w:t xml:space="preserve">missions against Luther.  They were utilized by Pallavicino</w:t></w:r>
</w:p>
<w:p>
<w:pPr><w:pStyle w:val="Normal"/></w:pPr>
<w:r><w:t xml:space="preserve">in his Istoria del Concilio Tridentino (i. 23-28),</w:t></w:r>
</w:p>
<w:p>
<w:pPr><w:pStyle w:val="Normal"/></w:pPr>
<w:r><w:t xml:space="preserve">who gives a very partial account of the Worms conference.</w:t></w:r>
</w:p>
<w:p>
<w:pPr><w:pStyle w:val="Normal"/></w:pPr>
<w:r><w:t xml:space="preserve">Aleandro, who is sometimes called ``the elder,&apos;&apos; must be</w:t></w:r>
</w:p>
<w:p>
<w:pPr><w:pStyle w:val="Normal"/></w:pPr>
<w:r><w:t xml:space="preserve">distinguished from his grand-nephew, also called Girolamo</w:t></w:r>
</w:p>
<w:p>
<w:pPr><w:pStyle w:val="Normal"/></w:pPr>
<w:r><w:t xml:space="preserve">Aleandro (1374-1629).  The younger Aleandro was a very</w:t></w:r>
</w:p>
<w:p>
<w:pPr><w:pStyle w:val="Normal"/></w:pPr>
<w:r><w:t xml:space="preserve">distinguished scholar, and wrote Psalmi poenitentiales</w:t></w:r>
</w:p>
<w:p>
<w:pPr><w:pStyle w:val="Normal"/></w:pPr>
<w:r><w:t xml:space="preserve">versibus elegiacis expressi (Treves, 1593), Gaii, veteris</w:t></w:r>
</w:p>
<w:p>
<w:pPr><w:pStyle w:val="Normal"/></w:pPr>
<w:r><w:t xml:space="preserve">juris consulti Institutionum fragmenta, cum commentario</w:t></w:r>
</w:p>
<w:p>
<w:pPr><w:pStyle w:val="Normal"/></w:pPr>
<w:r><w:t xml:space="preserve">(Venice, 1600), Explicatio veteris tabulae marmorcae</w:t></w:r>
</w:p>
<w:p>
<w:pPr><w:pStyle w:val="Normal"/></w:pPr>
<w:r><w:t xml:space="preserve">solis effigie symbolisque exculptae (Rome, 1616).</w:t></w:r>
</w:p>
<w:p>
<w:pPr><w:pStyle w:val="Normal"/></w:pPr>
<w:r><w:t xml:space="preserve">ALEARDI, ALEARDO, COUNT (1812-1878), Italian poet, was</w:t></w:r>
</w:p>
<w:p>
<w:pPr><w:pStyle w:val="Normal"/></w:pPr>
<w:r><w:t xml:space="preserve">born at Verona on the 4th of November 1812, and thus soon</w:t></w:r>
</w:p>
<w:p>
<w:pPr><w:pStyle w:val="Normal"/></w:pPr>
<w:r><w:t xml:space="preserve">after his birth became an Austrian subject.  Inspired from</w:t></w:r>
</w:p>
<w:p>
<w:pPr><w:pStyle w:val="Normal"/></w:pPr>
<w:r><w:t xml:space="preserve">his cradle with a hatred of the foreigner, he found himself</w:t></w:r>
</w:p>
<w:p>
<w:pPr><w:pStyle w:val="Normal"/></w:pPr>
<w:r><w:t xml:space="preserve">disqualified for the position in the public service to which</w:t></w:r>
</w:p>
<w:p>
<w:pPr><w:pStyle w:val="Normal"/></w:pPr>
<w:r><w:t xml:space="preserve">his rank would have entitled him, and unable to publish</w:t></w:r>
</w:p>
<w:p>
<w:pPr><w:pStyle w:val="Normal"/></w:pPr>
<w:r><w:t xml:space="preserve">his patriotic verses. Arnaldo da Rocca, a narrative poem,</w:t></w:r>
</w:p>
<w:p>
<w:pPr><w:pStyle w:val="Normal"/></w:pPr>
<w:r><w:t xml:space="preserve">nevertheless appeared in 1842, and the revolutionary year</w:t></w:r>
</w:p>
<w:p>
<w:pPr><w:pStyle w:val="Normal"/></w:pPr>
<w:r><w:t xml:space="preserve">1848 made an opening for his Lettere a Maria. He took an</w:t></w:r>
</w:p>
<w:p>
<w:pPr><w:pStyle w:val="Normal"/></w:pPr>
<w:r><w:t xml:space="preserve">active part in the popular uprising, and was for some time</w:t></w:r>
</w:p>
<w:p>
<w:pPr><w:pStyle w:val="Normal"/></w:pPr>
<w:r><w:t xml:space="preserve">imprisoned.  In 1856 he produced the finest of his pieces,</w:t></w:r>
</w:p>
<w:p>
<w:pPr><w:pStyle w:val="Normal"/></w:pPr>
<w:r><w:t xml:space="preserve">an ode to the maritime cities of Italy, and in 1858 a poem</w:t></w:r>
</w:p>
<w:p>
<w:pPr><w:pStyle w:val="Normal"/></w:pPr>
<w:r><w:t xml:space="preserve">on his own misfortunes.  After the expulsion of the Austrians</w:t></w:r>
</w:p>
<w:p>
<w:pPr><w:pStyle w:val="Normal"/></w:pPr>
<w:r><w:t xml:space="preserve">from Lombardy he returned to Verona, published his poems in</w:t></w:r>
</w:p>
<w:p>
<w:pPr><w:pStyle w:val="Normal"/></w:pPr>
<w:r><w:t xml:space="preserve">a collected edition (1862), became professor at the Academy</w:t></w:r>
</w:p>
<w:p>
<w:pPr><w:pStyle w:val="Normal"/></w:pPr>
<w:r><w:t xml:space="preserve">of Fine Art, member of the Italian parliament and eventually</w:t></w:r>
</w:p>
<w:p>
<w:pPr><w:pStyle w:val="Normal"/></w:pPr>
<w:r><w:t xml:space="preserve">senator.  He died on the 17th of July 1878.  Aleardi&apos;s</w:t></w:r>
</w:p>
<w:p>
<w:pPr><w:pStyle w:val="Normal"/></w:pPr>
<w:r><w:t xml:space="preserve">warmth of patriotic feeling hardly finds adequate expression</w:t></w:r>
</w:p>
<w:p>
<w:pPr><w:pStyle w:val="Normal"/></w:pPr>
<w:r><w:t xml:space="preserve">in his poetry; it is his merit to excel in description,</w:t></w:r>
</w:p>
<w:p>
<w:pPr><w:pStyle w:val="Normal"/></w:pPr>
<w:r><w:t xml:space="preserve">but his fault to substitute description for action.</w:t></w:r>
</w:p>
<w:p>
<w:pPr><w:pStyle w:val="Normal"/></w:pPr>
<w:r><w:t xml:space="preserve">ALE-CONNER, an officer appointed yearly at the court-leet of</w:t></w:r>
</w:p>
<w:p>
<w:pPr><w:pStyle w:val="Normal"/></w:pPr>
<w:r><w:t xml:space="preserve">ancient English manors for the assize of ale and ale-measures.</w:t></w:r>
</w:p>
<w:p>
<w:pPr><w:pStyle w:val="Normal"/></w:pPr>
<w:r><w:t xml:space="preserve">The gustatores cervisiae--called in different localities</w:t></w:r>
</w:p>
<w:p>
<w:pPr><w:pStyle w:val="Normal"/></w:pPr>
<w:r><w:t xml:space="preserve">by the different names ``ale-tasters,&apos;&apos; ``ale-founders,&apos;&apos; and</w:t></w:r>
</w:p>
<w:p>
<w:pPr><w:pStyle w:val="Normal"/></w:pPr>
<w:r><w:t xml:space="preserve">``ale- conners&apos;&apos;--were sworn to examine beer and ale, to take</w:t></w:r>
</w:p>
<w:p>
<w:pPr><w:pStyle w:val="Normal"/></w:pPr>
<w:r><w:t xml:space="preserve">care that they were good and wholesome and were sold at proper</w:t></w:r>
</w:p>
<w:p>
<w:pPr><w:pStyle w:val="Normal"/></w:pPr>
<w:r><w:t xml:space="preserve">prices.  In London four ale-conners, whose duty it is to examine</w:t></w:r>
</w:p>
<w:p>
<w:pPr><w:pStyle w:val="Normal"/></w:pPr>
<w:r><w:t xml:space="preserve">the measures used by beer and liquor sellers to guard against</w:t></w:r>
</w:p>
<w:p>
<w:pPr><w:pStyle w:val="Normal"/></w:pPr>
<w:r><w:t xml:space="preserve">fraud, are still chosen annually by the liverymen in common</w:t></w:r>
</w:p>
<w:p>
<w:pPr><w:pStyle w:val="Normal"/></w:pPr>
<w:r><w:t xml:space="preserve">hall assembled on Midsummer Day. Since ale and beer have become</w:t></w:r>
</w:p>
<w:p>
<w:pPr><w:pStyle w:val="Normal"/></w:pPr>
<w:r><w:t xml:space="preserve">excisable commodities the custom of appointing ale-tasters has</w:t></w:r>
</w:p>
<w:p>
<w:pPr><w:pStyle w:val="Normal"/></w:pPr>
<w:r><w:t xml:space="preserve">in most places fallen into disuse. (See also ADULTERATION.)</w:t></w:r>
</w:p>
<w:p>
<w:pPr><w:pStyle w:val="Normal"/></w:pPr>
<w:r><w:t xml:space="preserve">ALECSANDRI, or ALEXANDRI, VASILE (1821-1890), Rumanian</w:t></w:r>
</w:p>
<w:p>
<w:pPr><w:pStyle w:val="Normal"/></w:pPr>
<w:r><w:t xml:space="preserve">lyric poet, was born at Bacau in Moldavia on the 21st of July</w:t></w:r>
</w:p>
<w:p>
<w:pPr><w:pStyle w:val="Normal"/></w:pPr>
<w:r><w:t xml:space="preserve">1821.  His father was the Spatar Alecsandri, of Jewish and</w:t></w:r>
</w:p>
<w:p>
<w:pPr><w:pStyle w:val="Normal"/></w:pPr>
<w:r><w:t xml:space="preserve">Italian origin, who had settled in Moldavia in the 18th</w:t></w:r>
</w:p>
<w:p>
<w:pPr><w:pStyle w:val="Normal"/></w:pPr>
<w:r><w:t xml:space="preserve">century.  Vasile was educated first in Jassy and afterwards</w:t></w:r>
</w:p>
<w:p>
<w:pPr><w:pStyle w:val="Normal"/></w:pPr>
<w:r><w:t xml:space="preserve">(1834-1839) in Paris.  In 1839 he started on a long journey</w:t></w:r>
</w:p>
<w:p>
<w:pPr><w:pStyle w:val="Normal"/></w:pPr>
<w:r><w:t xml:space="preserve">through the Carpathian Mountains, and was the first to</w:t></w:r>
</w:p>
<w:p>
<w:pPr><w:pStyle w:val="Normal"/></w:pPr>
<w:r><w:t xml:space="preserve">collect Rumanian popular songs, no doubt influenced by Western</w:t></w:r>
</w:p>
<w:p>
<w:pPr><w:pStyle w:val="Normal"/></w:pPr>
<w:r><w:t xml:space="preserve">examples.  He first published his collection in 1844.  His</w:t></w:r>
</w:p>
<w:p>
<w:pPr><w:pStyle w:val="Normal"/></w:pPr>
<w:r><w:t xml:space="preserve">Doine si Lacrimioare, lyrical poems, appeared at Paris in</w:t></w:r>
</w:p>
<w:p>
<w:pPr><w:pStyle w:val="Normal"/></w:pPr>
<w:r><w:t xml:space="preserve">1852, and in 1852-1853 he produced at Jassy a fuller collection</w:t></w:r>
</w:p>
<w:p>
<w:pPr><w:pStyle w:val="Normal"/></w:pPr>
<w:r><w:t xml:space="preserve">of popular ballads and songs.  He then adapted some French plays</w:t></w:r>
</w:p>
<w:p>
<w:pPr><w:pStyle w:val="Normal"/></w:pPr>
<w:r><w:t xml:space="preserve">for the newly founded Rumanian theatre, and wrote some original</w:t></w:r>
</w:p>
<w:p>
<w:pPr><w:pStyle w:val="Normal"/></w:pPr>
<w:r><w:t xml:space="preserve">pieces.  His connexion with the revolutionary movement of</w:t></w:r>
</w:p>
<w:p>
<w:pPr><w:pStyle w:val="Normal"/></w:pPr>
<w:r><w:t xml:space="preserve">1848 compelled him to seek shelter in the west of Europe,</w:t></w:r>
</w:p>
<w:p>
<w:pPr><w:pStyle w:val="Normal"/></w:pPr>
<w:r><w:t xml:space="preserve">and he visited England. where a beautifully illuminated</w:t></w:r>
</w:p>
<w:p>
<w:pPr><w:pStyle w:val="Normal"/></w:pPr>
<w:r><w:t xml:space="preserve">edition of his poems was printed in the original Rumanian</w:t></w:r>
</w:p>
<w:p>
<w:pPr><w:pStyle w:val="Normal"/></w:pPr>
<w:r><w:t xml:space="preserve">language.  In 1867 he published some fugitive pieces, written</w:t></w:r>
</w:p>
<w:p>
<w:pPr><w:pStyle w:val="Normal"/></w:pPr>
<w:r><w:t xml:space="preserve">in a lighter vein, and entitled Pastele; these were followed</w:t></w:r>
</w:p>
<w:p>
<w:pPr><w:pStyle w:val="Normal"/></w:pPr>
<w:r><w:t xml:space="preserve">in 1871 by the Legende of similar character.  More serious</w:t></w:r>
</w:p>
<w:p>
<w:pPr><w:pStyle w:val="Normal"/></w:pPr>
<w:r><w:t xml:space="preserve">are his dramatic writings which began with Despot Voda and</w:t></w:r>
</w:p>
<w:p>
<w:pPr><w:pStyle w:val="Normal"/></w:pPr>
<w:r><w:t xml:space="preserve">culminated in Ovid. In later life Alecsandri took an active</w:t></w:r>
</w:p>
<w:p>
<w:pPr><w:pStyle w:val="Heading1"/></w:pPr>
<w:r><w:t>part in politics; he became minister for foreign affairs from</w:t></w:r>
</w:p>
<w:p>
<w:pPr><w:pStyle w:val="Normal"/></w:pPr>
<w:r><w:t xml:space="preserve">1859 to 1860, and in 1885 was appointed Rumanian minister in</w:t></w:r>
</w:p>
<w:p>
<w:pPr><w:pStyle w:val="Normal"/></w:pPr>
<w:r><w:t xml:space="preserve">Paris.  He died on the 26th of August 1890 at his country seat,</w:t></w:r>
</w:p>
<w:p>
<w:pPr><w:pStyle w:val="Normal"/></w:pPr>
<w:r><w:t xml:space="preserve">Mircesti.  His best title to fame consists in the fact that</w:t></w:r>
</w:p>
<w:p>
<w:pPr><w:pStyle w:val="Normal"/></w:pPr>
<w:r><w:t xml:space="preserve">he gave the first impetus to the collection of Rumanian popular</w:t></w:r>
</w:p>
<w:p>
<w:pPr><w:pStyle w:val="Normal"/></w:pPr>
<w:r><w:t xml:space="preserve">songs and first drew attention to their inimitable charm.</w:t></w:r>
</w:p>
<w:p>
<w:pPr><w:pStyle w:val="Normal"/></w:pPr>
<w:r><w:t xml:space="preserve">See L. Sainsanu, Autorii Romani moderni (1891), pp.</w:t></w:r>
</w:p>
<w:p>
<w:pPr><w:pStyle w:val="Normal"/></w:pPr>
<w:r><w:t xml:space="preserve">90 and 318. A complete edition of Alecsandri&apos;s writings in</w:t></w:r>
</w:p>
<w:p>
<w:pPr><w:pStyle w:val="Normal"/></w:pPr>
<w:r><w:t xml:space="preserve">nine volumes was published at Bucharest in 1875 seq. (M. G.)</w:t></w:r>
</w:p>
<w:p>
<w:pPr><w:pStyle w:val="Normal"/></w:pPr>
<w:r><w:t xml:space="preserve">ALEMAN, LOUIS (c. 1390-1450), French cardinal, was born</w:t></w:r>
</w:p>
<w:p>
<w:pPr><w:pStyle w:val="Normal"/></w:pPr>
<w:r><w:t xml:space="preserve">of a noble family at the castle of Arbent near Bugey about the</w:t></w:r>
</w:p>
<w:p>
<w:pPr><w:pStyle w:val="Normal"/></w:pPr>
<w:r><w:t xml:space="preserve">year 1390.  He was successively bishop of Maguelonne (1418),</w:t></w:r>
</w:p>
<w:p>
<w:pPr><w:pStyle w:val="Normal"/></w:pPr>
<w:r><w:t xml:space="preserve">archbishop of Arles (1423) and cardinal priest of St Cecilia</w:t></w:r>
</w:p>
<w:p>
<w:pPr><w:pStyle w:val="Normal"/></w:pPr>
<w:r><w:t xml:space="preserve">(1426).  He was a prominent member of the council of Basel,</w:t></w:r>
</w:p>
<w:p>
<w:pPr><w:pStyle w:val="Normal"/></w:pPr>
<w:r><w:t xml:space="preserve">and, together with Cardinal Julian, led the party which</w:t></w:r>
</w:p>
<w:p>
<w:pPr><w:pStyle w:val="Normal"/></w:pPr>
<w:r><w:t xml:space="preserve">maintained the supremacy of general councils over the pope&apos;s</w:t></w:r>
</w:p>
<w:p>
<w:pPr><w:pStyle w:val="Normal"/></w:pPr>
<w:r><w:t xml:space="preserve">authority.  In 1440 Aleman obtained the support of the emperor</w:t></w:r>
</w:p>
<w:p>
<w:pPr><w:pStyle w:val="Normal"/></w:pPr>
<w:r><w:t xml:space="preserve">Sigismund and of the duke of Milan to his views, and proclaiming</w:t></w:r>
</w:p>
<w:p>
<w:pPr><w:pStyle w:val="Normal"/></w:pPr>
<w:r><w:t xml:space="preserve">the deposition of Pope Eugenius IV., placed the tiara upon</w:t></w:r>
</w:p>
<w:p>
<w:pPr><w:pStyle w:val="Normal"/></w:pPr>
<w:r><w:t xml:space="preserve">the head of Amadeus VIII., duke of Savoy (henceforward known</w:t></w:r>
</w:p>
<w:p>
<w:pPr><w:pStyle w:val="Normal"/></w:pPr>
<w:r><w:t xml:space="preserve">as antipope Felix V.). Eugenius retorted by.excommunicating</w:t></w:r>
</w:p>
<w:p>
<w:pPr><w:pStyle w:val="Normal"/></w:pPr>
<w:r><w:t xml:space="preserve">the antipope and depriving Aleman of all his ecclesiastical</w:t></w:r>
</w:p>
<w:p>
<w:pPr><w:pStyle w:val="Normal"/></w:pPr>
<w:r><w:t xml:space="preserve">dignities.  In order to make an end of the schism, Felix V.</w:t></w:r>
</w:p>
<w:p>
<w:pPr><w:pStyle w:val="Normal"/></w:pPr>
<w:r><w:t xml:space="preserve">finally abdicated on Aleman&apos;s advice, and Nicholas V., who had</w:t></w:r>
</w:p>
<w:p>
<w:pPr><w:pStyle w:val="Normal"/></w:pPr>
<w:r><w:t xml:space="preserve">succeeded in 1447, restored the cardinal to all his honours</w:t></w:r>
</w:p>
<w:p>
<w:pPr><w:pStyle w:val="Normal"/></w:pPr>
<w:r><w:t xml:space="preserve">and employed him as legate to Germany in 1449.  On his return</w:t></w:r>
</w:p>
<w:p>
<w:pPr><w:pStyle w:val="Normal"/></w:pPr>
<w:r><w:t xml:space="preserve">he retired to his diocese of Arles, where he devoted himself</w:t></w:r>
</w:p>
<w:p>
<w:pPr><w:pStyle w:val="Normal"/></w:pPr>
<w:r><w:t xml:space="preserve">zealously to the instruction of his people.  He died on the 16th</w:t></w:r>
</w:p>
<w:p>
<w:pPr><w:pStyle w:val="Normal"/></w:pPr>
<w:r><w:t xml:space="preserve">of September 1450, and was beatified by Pope Clement VII. in 1527.</w:t></w:r>
</w:p>
<w:p>
<w:pPr><w:pStyle w:val="Normal"/></w:pPr>
<w:r><w:t xml:space="preserve">See U. Chevalier, Repert. des sources hist. (Paris, 1905), p. 130.</w:t></w:r>
</w:p>
<w:p>
<w:pPr><w:pStyle w:val="Normal"/></w:pPr>
<w:r><w:t xml:space="preserve">ALEMAN, MATEO (1547-1609?), Spanish novelist and man of</w:t></w:r>
</w:p>
<w:p>
<w:pPr><w:pStyle w:val="Normal"/></w:pPr>
<w:r><w:t xml:space="preserve">letters, was born at Seville in 1547.  He graduated at Seville</w:t></w:r>
</w:p>
<w:p>
<w:pPr><w:pStyle w:val="Normal"/></w:pPr>
<w:r><w:t xml:space="preserve">University in 1564, studied later at Salamanca and Alcala,</w:t></w:r>
</w:p>
<w:p>
<w:pPr><w:pStyle w:val="Normal"/></w:pPr>
<w:r><w:t xml:space="preserve">and from 1571 to 1588 held a post in the treasury; in 1594 he</w:t></w:r>
</w:p>
<w:p>
<w:pPr><w:pStyle w:val="Normal"/></w:pPr>
<w:r><w:t xml:space="preserve">was arrested on suspicion of malversation, but was speedily</w:t></w:r>
</w:p>
<w:p>
<w:pPr><w:pStyle w:val="Normal"/></w:pPr>
<w:r><w:t xml:space="preserve">released.  In 1599 he published the first part of Guzman de</w:t></w:r>
</w:p>
<w:p>
<w:pPr><w:pStyle w:val="Normal"/></w:pPr>
<w:r><w:t xml:space="preserve">Alfarache, a celebrated picaresque novel which passed through</w:t></w:r>
</w:p>
<w:p>
<w:pPr><w:pStyle w:val="Normal"/></w:pPr>
<w:r><w:t xml:space="preserve">not less than sixteen editions in five years; a spurious sequel</w:t></w:r>
</w:p>
<w:p>
<w:pPr><w:pStyle w:val="Normal"/></w:pPr>
<w:r><w:t xml:space="preserve">was issued in 1602, but the authentic continuation did not</w:t></w:r>
</w:p>
<w:p>
<w:pPr><w:pStyle w:val="Normal"/></w:pPr>
<w:r><w:t xml:space="preserve">appear till 1604.  In 1608 Aleman emigrated to America, and</w:t></w:r>
</w:p>
<w:p>
<w:pPr><w:pStyle w:val="Normal"/></w:pPr>
<w:r><w:t xml:space="preserve">is said to have carried on business as a printer in Mexico;</w:t></w:r>
</w:p>
<w:p>
<w:pPr><w:pStyle w:val="Normal"/></w:pPr>
<w:r><w:t xml:space="preserve">his Ortografia castellana (1609), published in that city,</w:t></w:r>
</w:p>
<w:p>
<w:pPr><w:pStyle w:val="Normal"/></w:pPr>
<w:r><w:t xml:space="preserve">contains ingenious and practical proposals for the reform</w:t></w:r>
</w:p>
<w:p>
<w:pPr><w:pStyle w:val="Normal"/></w:pPr>
<w:r><w:t xml:space="preserve">of Spanish spelling.  Nothing is recorded of Aleman after</w:t></w:r>
</w:p>
<w:p>
<w:pPr><w:pStyle w:val="Normal"/></w:pPr>
<w:r><w:t xml:space="preserve">1609, but it is sometimes asserted that he was still living in</w:t></w:r>
</w:p>
<w:p>
<w:pPr><w:pStyle w:val="Normal"/></w:pPr>
<w:r><w:t xml:space="preserve">1617.  He married, unhappily, Catalina de Espinosa in 1571,</w:t></w:r>
</w:p>
<w:p>
<w:pPr><w:pStyle w:val="Normal"/></w:pPr>
<w:r><w:t xml:space="preserve">and was constantly in money difficulties, being imprisoned</w:t></w:r>
</w:p>
<w:p>
<w:pPr><w:pStyle w:val="Normal"/></w:pPr>
<w:r><w:t xml:space="preserve">for debt at Seville at the end of 1602.  He is the author</w:t></w:r>
</w:p>
<w:p>
<w:pPr><w:pStyle w:val="Normal"/></w:pPr>
<w:r><w:t xml:space="preserve">of a life (1604) of St Antony of Padua, and versions of</w:t></w:r>
</w:p>
<w:p>
<w:pPr><w:pStyle w:val="Normal"/></w:pPr>
<w:r><w:t xml:space="preserve">two odes of Horace bear witness to his taste and metrical</w:t></w:r>
</w:p>
<w:p>
<w:pPr><w:pStyle w:val="Normal"/></w:pPr>
<w:r><w:t xml:space="preserve">accomplishment.  His chief title to remembrance, however,</w:t></w:r>
</w:p>
<w:p>
<w:pPr><w:pStyle w:val="Normal"/></w:pPr>
<w:r><w:t xml:space="preserve">is Guzman de Alfarache, which was translated into French</w:t></w:r>
</w:p>
<w:p>
<w:pPr><w:pStyle w:val="Normal"/></w:pPr>
<w:r><w:t xml:space="preserve">in 1600, into English in 1623 and into Latin in 1623.</w:t></w:r>
</w:p>
<w:p>
<w:pPr><w:pStyle w:val="Normal"/></w:pPr>
<w:r><w:t xml:space="preserve">See J. Hazanas y la Rua, Discursos leidos en la Real</w:t></w:r>
</w:p>
<w:p>
<w:pPr><w:pStyle w:val="Normal"/></w:pPr>
<w:r><w:t xml:space="preserve">Academia Sevillana de Buenas letras el 25 de mar zo</w:t></w:r>
</w:p>
<w:p>
<w:pPr><w:pStyle w:val="Normal"/></w:pPr>
<w:r><w:t xml:space="preserve">de 1892 (Sevilla, 1892); J. Gestoso y Perez, Nuevos</w:t></w:r>
</w:p>
<w:p>
<w:pPr><w:pStyle w:val="Normal"/></w:pPr>
<w:r><w:t xml:space="preserve">datos para`ilustrar las biografias del Maestro Juan de</w:t></w:r>
</w:p>
<w:p>
<w:pPr><w:pStyle w:val="Normal"/></w:pPr>
<w:r><w:t xml:space="preserve">Malara y de Mateo Aleman (Sevilla, 1896). (J. F.-K.)</w:t></w:r>
</w:p>
<w:p>
<w:pPr><w:pStyle w:val="Normal"/></w:pPr>
<w:r><w:t xml:space="preserve">ALEMBERT, DEAN LE ROND D&apos; (1717-1783), French mathematician</w:t></w:r>
</w:p>
<w:p>
<w:pPr><w:pStyle w:val="Normal"/></w:pPr>
<w:r><w:t xml:space="preserve">and philosopher, was born at Paris in November 1717.  He was a</w:t></w:r>
</w:p>
<w:p>
<w:pPr><w:pStyle w:val="Normal"/></w:pPr>
<w:r><w:t xml:space="preserve">foundling, having been exposed near the church of St Jean le</w:t></w:r>
</w:p>
<w:p>
<w:pPr><w:pStyle w:val="Normal"/></w:pPr>
<w:r><w:t xml:space="preserve">Rond, Paris, where he was discovered on the 17th of November.</w:t></w:r>
</w:p>
<w:p>
<w:pPr><w:pStyle w:val="Normal"/></w:pPr>
<w:r><w:t xml:space="preserve">It afterwards became known that he was the illegitimate son of</w:t></w:r>
</w:p>
<w:p>
<w:pPr><w:pStyle w:val="Normal"/></w:pPr>
<w:r><w:t xml:space="preserve">the chevalier Destouches and Madame de Tencin.  The infant was</w:t></w:r>
</w:p>
<w:p>
<w:pPr><w:pStyle w:val="Normal"/></w:pPr>
<w:r><w:t xml:space="preserve">entrusted to the wife of a glazier named Rousseau who lived close</w:t></w:r>
</w:p>
<w:p>
<w:pPr><w:pStyle w:val="Normal"/></w:pPr>
<w:r><w:t xml:space="preserve">by.  He was called Jean le Rond from the church near which he</w:t></w:r>
</w:p>
<w:p>
<w:pPr><w:pStyle w:val="Normal"/></w:pPr>
<w:r><w:t xml:space="preserve">was found; the surname Alembert was added by himself at a later</w:t></w:r>
</w:p>
<w:p>
<w:pPr><w:pStyle w:val="Normal"/></w:pPr>
<w:r><w:t xml:space="preserve">period.  His father, without disclosing himself, having settled</w:t></w:r>
</w:p>
<w:p>
<w:pPr><w:pStyle w:val="Normal"/></w:pPr>
<w:r><w:t xml:space="preserve">an annuity on him, he was sent at four years of age to a</w:t></w:r>
</w:p>
<w:p>
<w:pPr><w:pStyle w:val="Normal"/></w:pPr>
<w:r><w:t xml:space="preserve">boarding-school.  In 1730 he entered the Mazarin College</w:t></w:r>
</w:p>
<w:p>
<w:pPr><w:pStyle w:val="Normal"/></w:pPr>
<w:r><w:t xml:space="preserve">under the Jansenists, who soon perceived his exceptional</w:t></w:r>
</w:p>
<w:p>
<w:pPr><w:pStyle w:val="Normal"/></w:pPr>
<w:r><w:t xml:space="preserve">talent, and, prompted perhaps by a commentary on the Epistle</w:t></w:r>
</w:p>
<w:p>
<w:pPr><w:pStyle w:val="Normal"/></w:pPr>
<w:r><w:t xml:space="preserve">to the Romans which he produced in the first year of his</w:t></w:r>
</w:p>
<w:p>
<w:pPr><w:pStyle w:val="Normal"/></w:pPr>
<w:r><w:t xml:space="preserve">philosophical course, sought to direct it to theology.  His</w:t></w:r>
</w:p>
<w:p>
<w:pPr><w:pStyle w:val="Normal"/></w:pPr>
<w:r><w:t xml:space="preserve">knowledge of the higher mathematics was acquired by his own</w:t></w:r>
</w:p>
<w:p>
<w:pPr><w:pStyle w:val="Normal"/></w:pPr>
<w:r><w:t xml:space="preserve">unaided efforts after he had left the college.  This fact</w:t></w:r>
</w:p>
<w:p>
<w:pPr><w:pStyle w:val="Normal"/></w:pPr>
<w:r><w:t xml:space="preserve">naturally led to his crediting himself with many discoveries</w:t></w:r>
</w:p>
<w:p>
<w:pPr><w:pStyle w:val="Normal"/></w:pPr>
<w:r><w:t xml:space="preserve">which he afterwards found had been already established,</w:t></w:r>
</w:p>
<w:p>
<w:pPr><w:pStyle w:val="Normal"/></w:pPr>
<w:r><w:t xml:space="preserve">often by more direct and elegant processes than his own.</w:t></w:r>
</w:p>
<w:p>
<w:pPr><w:pStyle w:val="Normal"/></w:pPr>
<w:r><w:t xml:space="preserve">On leaving college he returned to the house of his foster-mother,</w:t></w:r>
</w:p>
<w:p>
<w:pPr><w:pStyle w:val="Normal"/></w:pPr>
<w:r><w:t xml:space="preserve">where he continued to live for thirty years.  Having studied law,</w:t></w:r>
</w:p>
<w:p>
<w:pPr><w:pStyle w:val="Normal"/></w:pPr>
<w:r><w:t xml:space="preserve">he was admitted as an advocate in 1738, but did not enter upon</w:t></w:r>
</w:p>
<w:p>
<w:pPr><w:pStyle w:val="Normal"/></w:pPr>
<w:r><w:t xml:space="preserve">practice.  He next devoted himself to medicine, but his natural</w:t></w:r>
</w:p>
<w:p>
<w:pPr><w:pStyle w:val="Normal"/></w:pPr>
<w:r><w:t xml:space="preserve">inclination proved too strong for him, and within a year he</w:t></w:r>
</w:p>
<w:p>
<w:pPr><w:pStyle w:val="Normal"/></w:pPr>
<w:r><w:t xml:space="preserve">resolved to give his whole time to mathematics.  In 1741 he</w:t></w:r>
</w:p>
<w:p>
<w:pPr><w:pStyle w:val="Normal"/></w:pPr>
<w:r><w:t xml:space="preserve">received his first public distinction in being admitted a</w:t></w:r>
</w:p>
<w:p>
<w:pPr><w:pStyle w:val="Normal"/></w:pPr>
<w:r><w:t xml:space="preserve">member of the Academy of Sciences, to which he had previously</w:t></w:r>
</w:p>
<w:p>
<w:pPr><w:pStyle w:val="Normal"/></w:pPr>
<w:r><w:t xml:space="preserve">presented several papers, including a Memoire sur le calcul</w:t></w:r>
</w:p>
<w:p>
<w:pPr><w:pStyle w:val="Normal"/></w:pPr>
<w:r><w:t xml:space="preserve">integral (1739).  In his Memoire sur le refraction des</w:t></w:r>
</w:p>
<w:p>
<w:pPr><w:pStyle w:val="Normal"/></w:pPr>
<w:r><w:t xml:space="preserve">corps solides (1741) he was the first to give a theoretical</w:t></w:r>
</w:p>
<w:p>
<w:pPr><w:pStyle w:val="Normal"/></w:pPr>
<w:r><w:t xml:space="preserve">explanation of the phenomenon which is witnessed when a body</w:t></w:r>
</w:p>
<w:p>
<w:pPr><w:pStyle w:val="Normal"/></w:pPr>
<w:r><w:t xml:space="preserve">passes from one fluid to another more dense in a direction</w:t></w:r>
</w:p>
<w:p>
<w:pPr><w:pStyle w:val="Normal"/></w:pPr>
<w:r><w:t xml:space="preserve">not perpendicular to the surface which separates the two</w:t></w:r>
</w:p>
<w:p>
<w:pPr><w:pStyle w:val="Normal"/></w:pPr>
<w:r><w:t xml:space="preserve">fluids.  In 1743 he published his Traite de dynamique,</w:t></w:r>
</w:p>
<w:p>
<w:pPr><w:pStyle w:val="Normal"/></w:pPr>
<w:r><w:t xml:space="preserve">a work famous as developing the mechanical principle, known</w:t></w:r>
</w:p>
<w:p>
<w:pPr><w:pStyle w:val="Normal"/></w:pPr>
<w:r><w:t xml:space="preserve">as ``Alembert&apos;s Principle,&apos;&apos; first enunciated in 1742 (see</w:t></w:r>
</w:p>
<w:p>
<w:pPr><w:pStyle w:val="Normal"/></w:pPr>
<w:r><w:t xml:space="preserve">MECHANICS.) In 1744 Alembert applied this principle to the</w:t></w:r>
</w:p>
<w:p>
<w:pPr><w:pStyle w:val="Normal"/></w:pPr>
<w:r><w:t xml:space="preserve">theory of the equilibrium and the motion of fluids (Traite</w:t></w:r>
</w:p>
<w:p>
<w:pPr><w:pStyle w:val="Normal"/></w:pPr>
<w:r><w:t xml:space="preserve">de l&apos;equilibre et du mouvement des fluides), and all the</w:t></w:r>
</w:p>
<w:p>
<w:pPr><w:pStyle w:val="Normal"/></w:pPr>
<w:r><w:t xml:space="preserve">problems before solved by geometricians became in some measure</w:t></w:r>
</w:p>
<w:p>
<w:pPr><w:pStyle w:val="Normal"/></w:pPr>
<w:r><w:t xml:space="preserve">its corollaries.  This discovery was followed by that of the</w:t></w:r>
</w:p>
<w:p>
<w:pPr><w:pStyle w:val="Normal"/></w:pPr>
<w:r><w:t xml:space="preserve">calculus of partial differences, the first trials of which</w:t></w:r>
</w:p>
<w:p>
<w:pPr><w:pStyle w:val="Normal"/></w:pPr>
<w:r><w:t xml:space="preserve">were published in his Reflexion sur la cause generale</w:t></w:r>
</w:p>
<w:p>
<w:pPr><w:pStyle w:val="Normal"/></w:pPr>
<w:r><w:t xml:space="preserve">des vents (1747).  This work was crowned by the Academy of</w:t></w:r>
</w:p>
<w:p>
<w:pPr><w:pStyle w:val="Normal"/></w:pPr>
<w:r><w:t xml:space="preserve">Berlin, and was dedicated to Frederick the Great, who made</w:t></w:r>
</w:p>
<w:p>
<w:pPr><w:pStyle w:val="Normal"/></w:pPr>
<w:r><w:t xml:space="preserve">several unsuccessful attempts to induce him to settle in</w:t></w:r>
</w:p>
<w:p>
<w:pPr><w:pStyle w:val="Normal"/></w:pPr>
<w:r><w:t xml:space="preserve">Berlin.  In 1763 he visited Berlin, and on that occasion</w:t></w:r>
</w:p>
<w:p>
<w:pPr><w:pStyle w:val="Normal"/></w:pPr>
<w:r><w:t xml:space="preserve">finally refused the office of president of the Academy of</w:t></w:r>
</w:p>
<w:p>
<w:pPr><w:pStyle w:val="Normal"/></w:pPr>
<w:r><w:t xml:space="preserve">Berlin, which had been already offered to him more than</w:t></w:r>
</w:p>
<w:p>
<w:pPr><w:pStyle w:val="Normal"/></w:pPr>
<w:r><w:t xml:space="preserve">once.  In 1747 he applied his new calculus to the problem</w:t></w:r>
</w:p>
<w:p>
<w:pPr><w:pStyle w:val="Normal"/></w:pPr>
<w:r><w:t xml:space="preserve">of vibrating chords, the solution of which, as well as the</w:t></w:r>
</w:p>
<w:p>
<w:pPr><w:pStyle w:val="Normal"/></w:pPr>
<w:r><w:t xml:space="preserve">theory of the oscillation of the air and the propagation of</w:t></w:r>
</w:p>
<w:p>
<w:pPr><w:pStyle w:val="Normal"/></w:pPr>
<w:r><w:t xml:space="preserve">sound, had been given but incompletely by the geometricians</w:t></w:r>
</w:p>
<w:p>
<w:pPr><w:pStyle w:val="Normal"/></w:pPr>
<w:r><w:t xml:space="preserve">who preceded him.  In 1749 he furnished a method of applying</w:t></w:r>
</w:p>
<w:p>
<w:pPr><w:pStyle w:val="Normal"/></w:pPr>
<w:r><w:t xml:space="preserve">his principles to the motion of any body of a given figure;</w:t></w:r>
</w:p>
<w:p>
<w:pPr><w:pStyle w:val="Normal"/></w:pPr>
<w:r><w:t xml:space="preserve">and in 1754 he solved the problem of the precession of the</w:t></w:r>
</w:p>
<w:p>
<w:pPr><w:pStyle w:val="Normal"/></w:pPr>
<w:r><w:t xml:space="preserve">equinoxes, determined its quantity and explained the phenomenon</w:t></w:r>
</w:p>
<w:p>
<w:pPr><w:pStyle w:val="Normal"/></w:pPr>
<w:r><w:t xml:space="preserve">of the nutation of the earth&apos;s axis.  In 1752 he published</w:t></w:r>
</w:p>
<w:p>
<w:pPr><w:pStyle w:val="Normal"/></w:pPr>
<w:r><w:t xml:space="preserve">an Essai d&apos;une nouvelle theorie sur la resistance des</w:t></w:r>
</w:p>
<w:p>
<w:pPr><w:pStyle w:val="Normal"/></w:pPr>
<w:r><w:t xml:space="preserve">fluides, which contains a large number of original ideas</w:t></w:r>
</w:p>
<w:p>
<w:pPr><w:pStyle w:val="Normal"/></w:pPr>
<w:r><w:t xml:space="preserve">and new observations.  In 1746 and 1748 he published in the</w:t></w:r>
</w:p>
<w:p>
<w:pPr><w:pStyle w:val="Normal"/></w:pPr>
<w:r><w:t xml:space="preserve">Memoirs of the Academy of Berlin ``Recherches sur le calcul</w:t></w:r>
</w:p>
<w:p>
<w:pPr><w:pStyle w:val="Normal"/></w:pPr>
<w:r><w:t xml:space="preserve">integral,&apos;&apos; a branch of mathematical science which is greatly</w:t></w:r>
</w:p>
<w:p>
<w:pPr><w:pStyle w:val="Normal"/></w:pPr>
<w:r><w:t xml:space="preserve">indebted to him.  In his Recherches sur differents points</w:t></w:r>
</w:p>
<w:p>
<w:pPr><w:pStyle w:val="Normal"/></w:pPr>
<w:r><w:t xml:space="preserve">importants du systeme du monde (1754-1756) he perfected the</w:t></w:r>
</w:p>
<w:p>
<w:pPr><w:pStyle w:val="Normal"/></w:pPr>
<w:r><w:t xml:space="preserve">solution of the problem of the perturbations of the planets,</w:t></w:r>
</w:p>
<w:p>
<w:pPr><w:pStyle w:val="Normal"/></w:pPr>
<w:r><w:t xml:space="preserve">which he had presented to the academy some years before.</w:t></w:r>
</w:p>
<w:p>
<w:pPr><w:pStyle w:val="Normal"/></w:pPr>
<w:r><w:t xml:space="preserve">Alembert&apos;s association with Diderot in the preparation</w:t></w:r>
</w:p>
<w:p>
<w:pPr><w:pStyle w:val="Normal"/></w:pPr>
<w:r><w:t xml:space="preserve">of the Dictionnaire Encyclopedique led him to take a</w:t></w:r>
</w:p>
<w:p>
<w:pPr><w:pStyle w:val="Normal"/></w:pPr>
<w:r><w:t xml:space="preserve">someuhat wider range than that to which he had previously</w:t></w:r>
</w:p>
<w:p>
<w:pPr><w:pStyle w:val="Normal"/></w:pPr>
<w:r><w:t xml:space="preserve">confined himself.  He wrote for that work the Discours</w:t></w:r>
</w:p>
<w:p>
<w:pPr><w:pStyle w:val="Normal"/></w:pPr>
<w:r><w:t xml:space="preserve">preliminaire on the rise, progress and affinities of the</w:t></w:r>
</w:p>
<w:p>
<w:pPr><w:pStyle w:val="Normal"/></w:pPr>
<w:r><w:t xml:space="preserve">various sciences, which he read to the French Academy on</w:t></w:r>
</w:p>
<w:p>
<w:pPr><w:pStyle w:val="Normal"/></w:pPr>
<w:r><w:t xml:space="preserve">the day of his admission as a member, the 18th of December</w:t></w:r>
</w:p>
<w:p>
<w:pPr><w:pStyle w:val="Normal"/></w:pPr>
<w:r><w:t xml:space="preserve">1754.  He also wrote several literary articles for the first</w:t></w:r>
</w:p>
<w:p>
<w:pPr><w:pStyle w:val="Normal"/></w:pPr>
<w:r><w:t xml:space="preserve">two volumes of the Encyclopaedia, and to the remaining volumes</w:t></w:r>
</w:p>
<w:p>
<w:pPr><w:pStyle w:val="Normal"/></w:pPr>
<w:r><w:t xml:space="preserve">he contributed mathematical articles chiefly.  One of the</w:t></w:r>
</w:p>
<w:p>
<w:pPr><w:pStyle w:val="Normal"/></w:pPr>
<w:r><w:t xml:space="preserve">few exceptions was the article on ``Geneva,&apos;&apos; which involved</w:t></w:r>
</w:p>
<w:p>
<w:pPr><w:pStyle w:val="Normal"/></w:pPr>
<w:r><w:t xml:space="preserve">him in a somewhat keen controversy in regard to Calvinism</w:t></w:r>
</w:p>
<w:p>
<w:pPr><w:pStyle w:val="Normal"/></w:pPr>
<w:r><w:t xml:space="preserve">and the suppression of theatrical performances within the</w:t></w:r>
</w:p>
<w:p>
<w:pPr><w:pStyle w:val="Normal"/></w:pPr>
<w:r><w:t xml:space="preserve">town.  During the time he was engaged on the Encyclopaedia</w:t></w:r>
</w:p>
<w:p>
<w:pPr><w:pStyle w:val="Normal"/></w:pPr>
<w:r><w:t xml:space="preserve">he wrote a number of literary and philosophical works which</w:t></w:r>
</w:p>
<w:p>
<w:pPr><w:pStyle w:val="Normal"/></w:pPr>
<w:r><w:t xml:space="preserve">extended his reputation and also exposed him to criticism and</w:t></w:r>
</w:p>
<w:p>
<w:pPr><w:pStyle w:val="Normal"/></w:pPr>
<w:r><w:t xml:space="preserve">controversy, as in the case of his Melanges de Philosophie,</w:t></w:r>
</w:p>
<w:p>
<w:pPr><w:pStyle w:val="Normal"/></w:pPr>
<w:r><w:t xml:space="preserve">d&apos;Histoire, et de Litterature. His Essai sur la societe</w:t></w:r>
</w:p>
<w:p>
<w:pPr><w:pStyle w:val="Normal"/></w:pPr>
<w:r><w:t xml:space="preserve">des gens de lettres avec les grands was a worthy vindication</w:t></w:r>
</w:p>
<w:p>
<w:pPr><w:pStyle w:val="Normal"/></w:pPr>
<w:r><w:t xml:space="preserve">of the independence of literary men, and a thorough exposure</w:t></w:r>
</w:p>
<w:p>
<w:pPr><w:pStyle w:val="Normal"/></w:pPr>
<w:r><w:t xml:space="preserve">of the evils of the system of patronage.  He broke new ground</w:t></w:r>
</w:p>
<w:p>
<w:pPr><w:pStyle w:val="Normal"/></w:pPr>
<w:r><w:t xml:space="preserve">and showed great skill as a translator in his Traduction</w:t></w:r>
</w:p>
<w:p>
<w:pPr><w:pStyle w:val="Normal"/></w:pPr>
<w:r><w:t xml:space="preserve">de quelques morceaux choisis de Tacite. One of his most</w:t></w:r>
</w:p>
<w:p>
<w:pPr><w:pStyle w:val="Normal"/></w:pPr>
<w:r><w:t xml:space="preserve">important works was the Elements de Philosophie published in</w:t></w:r>
</w:p>
<w:p>
<w:pPr><w:pStyle w:val="Normal"/></w:pPr>
<w:r><w:t xml:space="preserve">1759, in which he discussed the principles and methods of the</w:t></w:r>
</w:p>
<w:p>
<w:pPr><w:pStyle w:val="Normal"/></w:pPr>
<w:r><w:t xml:space="preserve">different sciences.  He maintained that the laws of motion were</w:t></w:r>
</w:p>
<w:p>
<w:pPr><w:pStyle w:val="Normal"/></w:pPr>
<w:r><w:t xml:space="preserve">necessary, not contingent.  A treatise, Sur la destruction</w:t></w:r>
</w:p>
<w:p>
<w:pPr><w:pStyle w:val="Normal"/></w:pPr>
<w:r><w:t xml:space="preserve">des Jesuites (1765), involved him in a fresh controversy,</w:t></w:r>
</w:p>
<w:p>
<w:pPr><w:pStyle w:val="Normal"/></w:pPr>
<w:r><w:t xml:space="preserve">his own share in which was rendered very easy by the violence</w:t></w:r>
</w:p>
<w:p>
<w:pPr><w:pStyle w:val="Normal"/></w:pPr>
<w:r><w:t xml:space="preserve">and extravagance of his adversaries.  The list of his more</w:t></w:r>
</w:p>
<w:p>
<w:pPr><w:pStyle w:val="Normal"/></w:pPr>
<w:r><w:t xml:space="preserve">noteworthy literary works is completed by the mention of the</w:t></w:r>
</w:p>
<w:p>
<w:pPr><w:pStyle w:val="Normal"/></w:pPr>
<w:r><w:t xml:space="preserve">Histoire des membres de l&apos;Academie francaise, containing</w:t></w:r>
</w:p>
<w:p>
<w:pPr><w:pStyle w:val="Normal"/></w:pPr>
<w:r><w:t xml:space="preserve">biographical notices of all the members of the Academy who</w:t></w:r>
</w:p>
<w:p>
<w:pPr><w:pStyle w:val="Normal"/></w:pPr>
<w:r><w:t xml:space="preserve">died between 1700 and 1772, the year in which he himself became</w:t></w:r>
</w:p>
<w:p>
<w:pPr><w:pStyle w:val="Normal"/></w:pPr>
<w:r><w:t xml:space="preserve">secretary.  Alembert was much interested in music both as</w:t></w:r>
</w:p>
<w:p>
<w:pPr><w:pStyle w:val="Normal"/></w:pPr>
<w:r><w:t xml:space="preserve">a science and as an art, and wrote Elements de musique</w:t></w:r>
</w:p>
<w:p>
<w:pPr><w:pStyle w:val="Normal"/></w:pPr>
<w:r><w:t xml:space="preserve">theorique et pratique (1779), which was based upon the system</w:t></w:r>
</w:p>
<w:p>
<w:pPr><w:pStyle w:val="Normal"/></w:pPr>
<w:r><w:t xml:space="preserve">of J. P. Rameau with important modifications and differences.</w:t></w:r>
</w:p>
<w:p>
<w:pPr><w:pStyle w:val="Normal"/></w:pPr>
<w:r><w:t xml:space="preserve">Alembert&apos;s fame spread rapidly throughout Europe and procured</w:t></w:r>
</w:p>
<w:p>
<w:pPr><w:pStyle w:val="Normal"/></w:pPr>
<w:r><w:t xml:space="preserve">for him more than one opportunity of quitting the comparative</w:t></w:r>
</w:p>
<w:p>
<w:pPr><w:pStyle w:val="Normal"/></w:pPr>
<w:r><w:t xml:space="preserve">retirement in which he lived in Paris for more lucrative and</w:t></w:r>
</w:p>
<w:p>
<w:pPr><w:pStyle w:val="Normal"/></w:pPr>
<w:r><w:t xml:space="preserve">prominent positions.  The offer of Frederick the Great has</w:t></w:r>
</w:p>
<w:p>
<w:pPr><w:pStyle w:val="Normal"/></w:pPr>
<w:r><w:t xml:space="preserve">already been mentioned.  In 1762 he was invited by Catherine</w:t></w:r>
</w:p>
<w:p>
<w:pPr><w:pStyle w:val="Normal"/></w:pPr>
<w:r><w:t xml:space="preserve">of Russia to become tutor to her son at a yearly salary of</w:t></w:r>
</w:p>
<w:p>
<w:pPr><w:pStyle w:val="Normal"/></w:pPr>
<w:r><w:t xml:space="preserve">100,000 francs.  On his refusal the offer was repeated with</w:t></w:r>
</w:p>
<w:p>
<w:pPr><w:pStyle w:val="Normal"/></w:pPr>
<w:r><w:t xml:space="preserve">the additional inducement of accommodation for as many of</w:t></w:r>
</w:p>
<w:p>
<w:pPr><w:pStyle w:val="Normal"/></w:pPr>
<w:r><w:t xml:space="preserve">his friends as he chose to bring with him to the Russian</w:t></w:r>
</w:p>
<w:p>
<w:pPr><w:pStyle w:val="Normal"/></w:pPr>
<w:r><w:t xml:space="preserve">capital.  Alembert persisted in his refusal, and the letter</w:t></w:r>
</w:p>
<w:p>
<w:pPr><w:pStyle w:val="Normal"/></w:pPr>
<w:r><w:t xml:space="preserve">of Catherine was ordered to be engrossed in the minutes</w:t></w:r>
</w:p>
<w:p>
<w:pPr><w:pStyle w:val="Normal"/></w:pPr>
<w:r><w:t xml:space="preserve">of the French Academy.  In 1755, on the recommendation</w:t></w:r>
</w:p>
<w:p>
<w:pPr><w:pStyle w:val="Normal"/></w:pPr>
<w:r><w:t xml:space="preserve">of Pope Benedict XIV., he was admitted a member of the</w:t></w:r>
</w:p>
<w:p>
<w:pPr><w:pStyle w:val="Normal"/></w:pPr>
<w:r><w:t xml:space="preserve">Institute of Bologna.  A legacy of L. 200 from David Hume</w:t></w:r>
</w:p>
<w:p>
<w:pPr><w:pStyle w:val="Normal"/></w:pPr>
<w:r><w:t xml:space="preserve">showed the esteem in which he was held by that philosopher.</w:t></w:r>
</w:p>
<w:p>
<w:pPr><w:pStyle w:val="Normal"/></w:pPr>
<w:r><w:t xml:space="preserve">Alembert continued to the end to lead the quiet and frugal</w:t></w:r>
</w:p>
<w:p>
<w:pPr><w:pStyle w:val="Normal"/></w:pPr>
<w:r><w:t xml:space="preserve">life dictated by his limited means as well as his simple</w:t></w:r>
</w:p>
<w:p>
<w:pPr><w:pStyle w:val="Normal"/></w:pPr>
<w:r><w:t xml:space="preserve">tastes.  His later years were saddened by circumstances connected</w:t></w:r>
</w:p>
<w:p>
<w:pPr><w:pStyle w:val="Normal"/></w:pPr>
<w:r><w:t xml:space="preserve">with a romantic attachment he had formed for Mademoiselle de</w:t></w:r>
</w:p>
<w:p>
<w:pPr><w:pStyle w:val="Normal"/></w:pPr>
<w:r><w:t xml:space="preserve">Lespinasse, whose acquaintance he made at the house of Madame</w:t></w:r>
</w:p>
<w:p>
<w:pPr><w:pStyle w:val="Normal"/></w:pPr>
<w:r><w:t xml:space="preserve">du Deffand, a noted resort of literary men and savants.  She</w:t></w:r>
</w:p>
<w:p>
<w:pPr><w:pStyle w:val="Normal"/></w:pPr>
<w:r><w:t xml:space="preserve">nursed him assiduously during an illness he had in 1765, and</w:t></w:r>
</w:p>
<w:p>
<w:pPr><w:pStyle w:val="Normal"/></w:pPr>
<w:r><w:t xml:space="preserve">from that period till her death in 1776 they lived in the same</w:t></w:r>
</w:p>
<w:p>
<w:pPr><w:pStyle w:val="Normal"/></w:pPr>
<w:r><w:t xml:space="preserve">house without any scandal.  On her part there seems to have</w:t></w:r>
</w:p>
<w:p>
<w:pPr><w:pStyle w:val="Normal"/></w:pPr>
<w:r><w:t xml:space="preserve">been from first to last nothing more than warm friendship,</w:t></w:r>
</w:p>
<w:p>
<w:pPr><w:pStyle w:val="Normal"/></w:pPr>
<w:r><w:t xml:space="preserve">but his feelings towards her were of a stronger kind and her</w:t></w:r>
</w:p>
<w:p>
<w:pPr><w:pStyle w:val="Normal"/></w:pPr>
<w:r><w:t xml:space="preserve">death deeply affected him.  He never recovered his elasticity</w:t></w:r>
</w:p>
<w:p>
<w:pPr><w:pStyle w:val="Normal"/></w:pPr>
<w:r><w:t xml:space="preserve">of spirits, though he continued to occupy himself with his</w:t></w:r>
</w:p>
<w:p>
<w:pPr><w:pStyle w:val="Normal"/></w:pPr>
<w:r><w:t xml:space="preserve">favourite pursuits, and to frequent the society of his brother</w:t></w:r>
</w:p>
<w:p>
<w:pPr><w:pStyle w:val="Normal"/></w:pPr>
<w:r><w:t xml:space="preserve">philosophers.  After the death of Voltaire (1778), whose friend</w:t></w:r>
</w:p>
<w:p>
<w:pPr><w:pStyle w:val="Normal"/></w:pPr>
<w:r><w:t xml:space="preserve">and correspondent he had been for more than thirty years, he</w:t></w:r>
</w:p>
<w:p>
<w:pPr><w:pStyle w:val="Normal"/></w:pPr>
<w:r><w:t xml:space="preserve">was regarded as the leader of the philosophical party in the</w:t></w:r>
</w:p>
<w:p>
<w:pPr><w:pStyle w:val="Normal"/></w:pPr>
<w:r><w:t xml:space="preserve">Academy.  He died at Paris on the 29th of October 1783.</w:t></w:r>
</w:p>
<w:p>
<w:pPr><w:pStyle w:val="Normal"/></w:pPr>
<w:r><w:t xml:space="preserve">The chief features of Alembert&apos;s character were benevolence,</w:t></w:r>
</w:p>
<w:p>
<w:pPr><w:pStyle w:val="Normal"/></w:pPr>
<w:r><w:t xml:space="preserve">simplicity and independence.  Though his income was never</w:t></w:r>
</w:p>
<w:p>
<w:pPr><w:pStyle w:val="Normal"/></w:pPr>
<w:r><w:t xml:space="preserve">large, and during the greater part of his life was very meagre,</w:t></w:r>
</w:p>
<w:p>
<w:pPr><w:pStyle w:val="Normal"/></w:pPr>
<w:r><w:t xml:space="preserve">he contrived to find means to support his foster-mother in</w:t></w:r>
</w:p>
<w:p>
<w:pPr><w:pStyle w:val="Normal"/></w:pPr>
<w:r><w:t xml:space="preserve">her old age, to educate the children of his first teacher,</w:t></w:r>
</w:p>
<w:p>
<w:pPr><w:pStyle w:val="Normal"/></w:pPr>
<w:r><w:t xml:space="preserve">and to help various deserving students during their college</w:t></w:r>
</w:p>
<w:p>
<w:pPr><w:pStyle w:val="Normal"/></w:pPr>
<w:r><w:t xml:space="preserve">career.  His cheerful conversation, his smart and lively</w:t></w:r>
</w:p>
<w:p>
<w:pPr><w:pStyle w:val="Normal"/></w:pPr>
<w:r><w:t xml:space="preserve">sallies, a singular mixture of malice of speech with goodness</w:t></w:r>
</w:p>
<w:p>
<w:pPr><w:pStyle w:val="Normal"/></w:pPr>
<w:r><w:t xml:space="preserve">of heart, and of delicacy of wit with simplicity of manners,</w:t></w:r>
</w:p>
<w:p>
<w:pPr><w:pStyle w:val="Normal"/></w:pPr>
<w:r><w:t xml:space="preserve">rendered him a pleasing and interesting companion; and</w:t></w:r>
</w:p>
<w:p>
<w:pPr><w:pStyle w:val="Normal"/></w:pPr>
<w:r><w:t xml:space="preserve">if his manner was sometimes plain almost to the extent of</w:t></w:r>
</w:p>
<w:p>
<w:pPr><w:pStyle w:val="Normal"/></w:pPr>
<w:r><w:t xml:space="preserve">rudeness, it probably set all the better an example of a</w:t></w:r>
</w:p>
<w:p>
<w:pPr><w:pStyle w:val="Normal"/></w:pPr>
<w:r><w:t xml:space="preserve">much-needed reform to the class to which he belonged.  The</w:t></w:r>
</w:p>
<w:p>
<w:pPr><w:pStyle w:val="Normal"/></w:pPr>
<w:r><w:t xml:space="preserve">controversy as to the nature of his religious opinions,</w:t></w:r>
</w:p>
<w:p>
<w:pPr><w:pStyle w:val="Normal"/></w:pPr>
<w:r><w:t xml:space="preserve">arising as it did chiefly out of his connexion with the</w:t></w:r>
</w:p>
<w:p>
<w:pPr><w:pStyle w:val="Normal"/></w:pPr>
<w:r><w:t xml:space="preserve">Encyclopaedia, has no longer any living interest now that</w:t></w:r>
</w:p>
<w:p>
<w:pPr><w:pStyle w:val="Normal"/></w:pPr>
<w:r><w:t xml:space="preserve">the Encyclopaedists generally have ceased to be regarded</w:t></w:r>
</w:p>
<w:p>
<w:pPr><w:pStyle w:val="Normal"/></w:pPr>
<w:r><w:t xml:space="preserve">with unqualified suspicion by those who count themselves</w:t></w:r>
</w:p>
<w:p>
<w:pPr><w:pStyle w:val="Normal"/></w:pPr>
<w:r><w:t xml:space="preserve">orthodox.  It is to be observed, moreover, that as Alembert</w:t></w:r>
</w:p>
<w:p>
<w:pPr><w:pStyle w:val="Normal"/></w:pPr>
<w:r><w:t xml:space="preserve">confined himself chiefly to mathematical articles, his work</w:t></w:r>
</w:p>
<w:p>
<w:pPr><w:pStyle w:val="Normal"/></w:pPr>
<w:r><w:t xml:space="preserve">laid him less open to charges of heresy and infidelity than</w:t></w:r>
</w:p>
<w:p>
<w:pPr><w:pStyle w:val="Normal"/></w:pPr>
<w:r><w:t xml:space="preserve">that of some of his associates.  The fullest revelation of</w:t></w:r>
</w:p>
<w:p>
<w:pPr><w:pStyle w:val="Normal"/></w:pPr>
<w:r><w:t xml:space="preserve">his religious convictions is given in his correspondence</w:t></w:r>
</w:p>
<w:p>
<w:pPr><w:pStyle w:val="Normal"/></w:pPr>
<w:r><w:t xml:space="preserve">with Voltaire, which was published along with that with</w:t></w:r>
</w:p>
<w:p>
<w:pPr><w:pStyle w:val="Normal"/></w:pPr>
<w:r><w:t xml:space="preserve">Frederick the Great in Bossange&apos;s edition of his works.</w:t></w:r>
</w:p>
<w:p>
<w:pPr><w:pStyle w:val="Normal"/></w:pPr>
<w:r><w:t xml:space="preserve">The scientific works of Alembert have never been published in a</w:t></w:r>
</w:p>
<w:p>
<w:pPr><w:pStyle w:val="Normal"/></w:pPr>
<w:r><w:t xml:space="preserve">collected form.  The most important of them have been mentioned</w:t></w:r>
</w:p>
<w:p>
<w:pPr><w:pStyle w:val="Normal"/></w:pPr>
<w:r><w:t xml:space="preserve">above, with the exception of the Opuscules mathematiques</w:t></w:r>
</w:p>
<w:p>
<w:pPr><w:pStyle w:val="Normal"/></w:pPr>
<w:r><w:t xml:space="preserve">(1761-1780), 8 vols. 4to. His literary and philosophical</w:t></w:r>
</w:p>
<w:p>
<w:pPr><w:pStyle w:val="Normal"/></w:pPr>
<w:r><w:t xml:space="preserve">works were collected and edited by Bastien (Paris, 1805,</w:t></w:r>
</w:p>
<w:p>
<w:pPr><w:pStyle w:val="Normal"/></w:pPr>
<w:r><w:t xml:space="preserve">18 vols. 8vo).  A better edition by Bossange was published</w:t></w:r>
</w:p>
<w:p>
<w:pPr><w:pStyle w:val="Normal"/></w:pPr>
<w:r><w:t xml:space="preserve">at Paris in 1821 (5 vols. 8vo).  The best account of the</w:t></w:r>
</w:p>
<w:p>
<w:pPr><w:pStyle w:val="Normal"/></w:pPr>
<w:r><w:t xml:space="preserve">life and writings of Alembert is contained in Condorcet&apos;s</w:t></w:r>
</w:p>
<w:p>
<w:pPr><w:pStyle w:val="Normal"/></w:pPr>
<w:r><w:t xml:space="preserve">Eloge, presented to the Academy and published in 1784.</w:t></w:r>
</w:p>
<w:p>
<w:pPr><w:pStyle w:val="Normal"/></w:pPr>
<w:r><w:t xml:space="preserve">ALEMBIC (Arab. al, definite article, anbiq, a still;</w:t></w:r>
</w:p>
<w:p>
<w:pPr><w:pStyle w:val="Normal"/></w:pPr>
<w:r><w:t xml:space="preserve">cognate to the Gr. ambix, a cup), an apparatus for</w:t></w:r>
</w:p>
<w:p>
<w:pPr><w:pStyle w:val="Normal"/></w:pPr>
<w:r><w:t xml:space="preserve">distillation, used chiefly by the alchemists, and now superseded</w:t></w:r>
</w:p>
<w:p>
<w:pPr><w:pStyle w:val="Normal"/></w:pPr>
<w:r><w:t xml:space="preserve">by the retort and the worm-still.  It varied considerably</w:t></w:r>
</w:p>
<w:p>
<w:pPr><w:pStyle w:val="Normal"/></w:pPr>
<w:r><w:t xml:space="preserve">in form and construction, but consisted essentially of three</w:t></w:r>
</w:p>
<w:p>
<w:pPr><w:pStyle w:val="Normal"/></w:pPr>
<w:r><w:t xml:space="preserve">parts--a vessel containing the material to be distilled and</w:t></w:r>
</w:p>
<w:p>
<w:pPr><w:pStyle w:val="Normal"/></w:pPr>
<w:r><w:t xml:space="preserve">called, from its gourd-like shape, the cucurbit or mattrass;</w:t></w:r>
</w:p>
<w:p>
<w:pPr><w:pStyle w:val="Normal"/></w:pPr>
<w:r><w:t xml:space="preserve">a vessel to receive and condense the vapour, called the head</w:t></w:r>
</w:p>
<w:p>
<w:pPr><w:pStyle w:val="Normal"/></w:pPr>
<w:r><w:t xml:space="preserve">or capital; and a receiver for the spirit, connected by a</w:t></w:r>
</w:p>
<w:p>
<w:pPr><w:pStyle w:val="Normal"/></w:pPr>
<w:r><w:t xml:space="preserve">pipe with the capital.  The entire apparatus was sometimes</w:t></w:r>
</w:p>
<w:p>
<w:pPr><w:pStyle w:val="Normal"/></w:pPr>
<w:r><w:t xml:space="preserve">constructed of glass, but it was more usual to make the cucurbit</w:t></w:r>
</w:p>
<w:p>
<w:pPr><w:pStyle w:val="Normal"/></w:pPr>
<w:r><w:t xml:space="preserve">of copper or earthenware, and the capital alone of glass.</w:t></w:r>
</w:p>
<w:p>
<w:pPr><w:pStyle w:val="Normal"/></w:pPr>
<w:r><w:t xml:space="preserve">ALEMTEJO (i.e. ``Beyond the Tagus&apos;&apos;), an ancient province of</w:t></w:r>
</w:p>
<w:p>
<w:pPr><w:pStyle w:val="Normal"/></w:pPr>
<w:r><w:t xml:space="preserve">central and southern Portugal; bounded on the N. by Beira, E. by</w:t></w:r>
</w:p>
<w:p>
<w:pPr><w:pStyle w:val="Normal"/></w:pPr>
<w:r><w:t xml:space="preserve">Spanish Estremadura and Andalusia, S. by Algarve and W. by the</w:t></w:r>
</w:p>
<w:p>
<w:pPr><w:pStyle w:val="Normal"/></w:pPr>
<w:r><w:t xml:space="preserve">Atlantic Ocean and Portuguese Estremadura.  Pop. (1900) 416,105;</w:t></w:r>
</w:p>
<w:p>
<w:pPr><w:pStyle w:val="Normal"/></w:pPr>
<w:r><w:t xml:space="preserve">area 9219 sq. m.  Alemtejo is traversed by several mountain</w:t></w:r>
</w:p>
<w:p>
<w:pPr><w:pStyle w:val="Normal"/></w:pPr>
<w:r><w:t xml:space="preserve">ranges, whose height does not generally rise much above 2000</w:t></w:r>
</w:p>
<w:p>
<w:pPr><w:pStyle w:val="Normal"/></w:pPr>
<w:r><w:t xml:space="preserve">ft.  The low and sandy coast has a length of less than 25 m.</w:t></w:r>
</w:p>
<w:p>
<w:pPr><w:pStyle w:val="Normal"/></w:pPr>
<w:r><w:t xml:space="preserve">and includes no harbour, except at the unimportant town of Villa</w:t></w:r>
</w:p>
<w:p>
<w:pPr><w:pStyle w:val="Normal"/></w:pPr>
<w:r><w:t xml:space="preserve">Nova de Milfontes (pop. 1900, 825), which overlooks the Mira</w:t></w:r>
</w:p>
<w:p>
<w:pPr><w:pStyle w:val="Normal"/></w:pPr>
<w:r><w:t xml:space="preserve">estuary.  The principal rivers are the Tagus, which divides</w:t></w:r>
</w:p>
<w:p>
<w:pPr><w:pStyle w:val="Normal"/></w:pPr>
<w:r><w:t xml:space="preserve">Alemtejo from Beira; its tributary the Zatas, or Sorraia, fed</w:t></w:r>
</w:p>
<w:p>
<w:pPr><w:pStyle w:val="Normal"/></w:pPr>
<w:r><w:t xml:space="preserve">by a whole system of lesser affluents; the Guadiana, which,</w:t></w:r>
</w:p>
<w:p>
<w:pPr><w:pStyle w:val="Normal"/></w:pPr>
<w:r><w:t xml:space="preserve">crossing the Spanish frontier, flows southwards through the</w:t></w:r>
</w:p>
<w:p>
<w:pPr><w:pStyle w:val="Normal"/></w:pPr>
<w:r><w:t xml:space="preserve">province; the Sado, which rises in the Serra de Monchique,</w:t></w:r>
</w:p>
<w:p>
<w:pPr><w:pStyle w:val="Normal"/></w:pPr>
<w:r><w:t xml:space="preserve">and flows to the north; and the Mira, which waters the valley</w:t></w:r>
</w:p>
<w:p>
<w:pPr><w:pStyle w:val="Normal"/></w:pPr>
<w:r><w:t xml:space="preserve">between the Caldeirao and Monchique ranges.  There are</w:t></w:r>
</w:p>
<w:p>
<w:pPr><w:pStyle w:val="Normal"/></w:pPr>
<w:r><w:t xml:space="preserve">several extensive plains, notably those of Alemtejo, lying</w:t></w:r>
</w:p>
<w:p>
<w:pPr><w:pStyle w:val="Normal"/></w:pPr>
<w:r><w:t xml:space="preserve">south-west of the Serra de Portalegre; of Beja, between the</w:t></w:r>
</w:p>
<w:p>
<w:pPr><w:pStyle w:val="Normal"/></w:pPr>
<w:r><w:t xml:space="preserve">Sado and Guadiana; and of Ourique, farther south between the</w:t></w:r>
</w:p>
<w:p>
<w:pPr><w:pStyle w:val="Normal"/></w:pPr>
<w:r><w:t xml:space="preserve">same rivers.  Some portions of these plains are fruitful,</w:t></w:r>
</w:p>
<w:p>
<w:pPr><w:pStyle w:val="Normal"/></w:pPr>
<w:r><w:t xml:space="preserve">others marshy, while large tracts are mere desolate wastes.</w:t></w:r>
</w:p>
<w:p>
<w:pPr><w:pStyle w:val="Normal"/></w:pPr>
<w:r><w:t xml:space="preserve">The climate in the lower parts of the country is exceedingly</w:t></w:r>
</w:p>
<w:p>
<w:pPr><w:pStyle w:val="Normal"/></w:pPr>
<w:r><w:t xml:space="preserve">hot and is rendered unhealthy in summer by the stagnant</w:t></w:r>
</w:p>
<w:p>
<w:pPr><w:pStyle w:val="Normal"/></w:pPr>
<w:r><w:t xml:space="preserve">marshes.  Towards the Spanish frontier the soil is fertile,</w:t></w:r>
</w:p>
<w:p>
<w:pPr><w:pStyle w:val="Normal"/></w:pPr>
<w:r><w:t xml:space="preserve">and in the south the country is covered by extensive forests of</w:t></w:r>
</w:p>
<w:p>
<w:pPr><w:pStyle w:val="Normal"/></w:pPr>
<w:r><w:t xml:space="preserve">oak, pine, chestnut, cork and ilex, especially on the sides</w:t></w:r>
</w:p>
<w:p>
<w:pPr><w:pStyle w:val="Normal"/></w:pPr>
<w:r><w:t xml:space="preserve">of the Mezquita and Caldeirao ranges.  In the more fertile</w:t></w:r>
</w:p>
<w:p>
<w:pPr><w:pStyle w:val="Normal"/></w:pPr>
<w:r><w:t xml:space="preserve">parts, grapes, figs, citrons, pomegranates and other fruits are</w:t></w:r>
</w:p>
<w:p>
<w:pPr><w:pStyle w:val="Normal"/></w:pPr>
<w:r><w:t xml:space="preserve">produced.  Wheat, maize and rice are grown, and some attention</w:t></w:r>
</w:p>
<w:p>
<w:pPr><w:pStyle w:val="Normal"/></w:pPr>
<w:r><w:t xml:space="preserve">is given to the rearing of mules, asses, goats, cattle and</w:t></w:r>
</w:p>
<w:p>
<w:pPr><w:pStyle w:val="Normal"/></w:pPr>
<w:r><w:t xml:space="preserve">sheep; while the Alter breed of horses, named after the villages</w:t></w:r>
</w:p>
<w:p>
<w:pPr><w:pStyle w:val="Normal"/></w:pPr>
<w:r><w:t xml:space="preserve">of Alter do Chao and Alter Pedroso (3971), near Portalegre,</w:t></w:r>
</w:p>
<w:p>
<w:pPr><w:pStyle w:val="Normal"/></w:pPr>
<w:r><w:t xml:space="preserve">is often accounted the best in the kingdom.  Agriculture,</w:t></w:r>
</w:p>
<w:p>
<w:pPr><w:pStyle w:val="Normal"/></w:pPr>
<w:r><w:t xml:space="preserve">however, is in a backward state, the sparse population being</w:t></w:r>
</w:p>
<w:p>
<w:pPr><w:pStyle w:val="Normal"/></w:pPr>
<w:r><w:t xml:space="preserve">mostly concentrated in the towns, leaving extensive districts</w:t></w:r>
</w:p>
<w:p>
<w:pPr><w:pStyle w:val="Normal"/></w:pPr>
<w:r><w:t xml:space="preserve">uncultivated and almost uninhabited.  Droves of swine are</w:t></w:r>
</w:p>
<w:p>
<w:pPr><w:pStyle w:val="Normal"/></w:pPr>
<w:r><w:t xml:space="preserve">fed on the waste lands, growing to a great size and affording</w:t></w:r>
</w:p>
<w:p>
<w:pPr><w:pStyle w:val="Normal"/></w:pPr>
<w:r><w:t xml:space="preserve">excellent hams.  The mineral wealth of Alemtejo is little</w:t></w:r>
</w:p>
<w:p>
<w:pPr><w:pStyle w:val="Normal"/></w:pPr>
<w:r><w:t xml:space="preserve">exploited, although there are copper and iron mines and marble</w:t></w:r>
</w:p>
<w:p>
<w:pPr><w:pStyle w:val="Normal"/></w:pPr>
<w:r><w:t xml:space="preserve">quarries.  Medicinal springs exist at Aljustrel (3790),</w:t></w:r>
</w:p>
<w:p>
<w:pPr><w:pStyle w:val="Normal"/></w:pPr>
<w:r><w:t xml:space="preserve">Castello de Vide (5192), Mertola (3873), Portalegre, Vimieiro</w:t></w:r>
</w:p>
<w:p>
<w:pPr><w:pStyle w:val="Normal"/></w:pPr>
<w:r><w:t xml:space="preserve">(1838) and elsewhere.  Chief among the local industries</w:t></w:r>
</w:p>
<w:p>
<w:pPr><w:pStyle w:val="Normal"/></w:pPr>
<w:r><w:t xml:space="preserve">are the preparation of exceptionally fine olive oil, and</w:t></w:r>
</w:p>
<w:p>
<w:pPr><w:pStyle w:val="Normal"/></w:pPr>
<w:r><w:t xml:space="preserve">the manufacture of cloth, pottery and leather.  Alemtejo is</w:t></w:r>
</w:p>
<w:p>
<w:pPr><w:pStyle w:val="Normal"/></w:pPr>
<w:r><w:t xml:space="preserve">traversed by three very important main lines of railway, the</w:t></w:r>
</w:p>
<w:p>
<w:pPr><w:pStyle w:val="Normal"/></w:pPr>
<w:r><w:t xml:space="preserve">Madrid-Caceres-Lisbon, Madrid-Badajoz-Lisbon and Lisbon-Faro;</w:t></w:r>
</w:p>
<w:p>
<w:pPr><w:pStyle w:val="Normal"/></w:pPr>
<w:r><w:t xml:space="preserve">while the two last are connected by a branch line from Casa</w:t></w:r>
</w:p>
<w:p>
<w:pPr><w:pStyle w:val="Normal"/></w:pPr>
<w:r><w:t xml:space="preserve">Branca to Evora and Elvas.  For administrative purposes the</w:t></w:r>
</w:p>
<w:p>
<w:pPr><w:pStyle w:val="Normal"/></w:pPr>
<w:r><w:t xml:space="preserve">province is divided into the districts of Portalegre in the</w:t></w:r>
</w:p>
<w:p>
<w:pPr><w:pStyle w:val="Normal"/></w:pPr>
<w:r><w:t xml:space="preserve">north, Evora in the central region and Beja in the south;</w:t></w:r>
</w:p>
<w:p>
<w:pPr><w:pStyle w:val="Normal"/></w:pPr>
<w:r><w:t xml:space="preserve">but the titles of these new districts have not superseded the</w:t></w:r>
</w:p>
<w:p>
<w:pPr><w:pStyle w:val="Normal"/></w:pPr>
<w:r><w:t xml:space="preserve">ancient name of Alemtejo in ordinary usage.  The chief towns</w:t></w:r>
</w:p>
<w:p>
<w:pPr><w:pStyle w:val="Normal"/></w:pPr>
<w:r><w:t xml:space="preserve">Beja (8885), Elvas (13,981), Estremoz (7920), Evora (16,020)</w:t></w:r>
</w:p>
<w:p>
<w:pPr><w:pStyle w:val="Normal"/></w:pPr>
<w:r><w:t xml:space="preserve">and Portalegre (11,820) are described in separate articles.</w:t></w:r>
</w:p>
<w:p>
<w:pPr><w:pStyle w:val="Normal"/></w:pPr>
<w:r><w:t xml:space="preserve">ALENCON, COUNTS AND DUKES OF. The first line of the counts</w:t></w:r>
</w:p>
<w:p>
<w:pPr><w:pStyle w:val="Normal"/></w:pPr>
<w:r><w:t xml:space="preserve">of Alencon was founded by Yves, lord of Bellesme, who in the</w:t></w:r>
</w:p>
<w:p>
<w:pPr><w:pStyle w:val="Normal"/></w:pPr>
<w:r><w:t xml:space="preserve">middle of the 10th century possessed and fortified the town of</w:t></w:r>
</w:p>
<w:p>
<w:pPr><w:pStyle w:val="Normal"/></w:pPr>
<w:r><w:t xml:space="preserve">Alencon.  His successors, involved in all the wars of the</w:t></w:r>
</w:p>
<w:p>
<w:pPr><w:pStyle w:val="Normal"/></w:pPr>
<w:r><w:t xml:space="preserve">kings of England in Normandy, were alternately deprived and</w:t></w:r>
</w:p>
<w:p>
<w:pPr><w:pStyle w:val="Normal"/></w:pPr>
<w:r><w:t xml:space="preserve">repossessed of their domains, according to the fluctuations</w:t></w:r>
</w:p>
<w:p>
<w:pPr><w:pStyle w:val="Normal"/></w:pPr>
<w:r><w:t xml:space="preserve">of fortune between the rival parties.  Mabille, countess</w:t></w:r>
</w:p>
<w:p>
<w:pPr><w:pStyle w:val="Normal"/></w:pPr>
<w:r><w:t xml:space="preserve">of Alencon and heiress of this family (d. 1082 ), married</w:t></w:r>
</w:p>
<w:p>
<w:pPr><w:pStyle w:val="Normal"/></w:pPr>
<w:r><w:t xml:space="preserve">Roger of Montgomery, and from them descended a second house</w:t></w:r>
</w:p>
<w:p>
<w:pPr><w:pStyle w:val="Normal"/></w:pPr>
<w:r><w:t xml:space="preserve">of Alencon which became extinct in the person of Robert</w:t></w:r>
</w:p>
<w:p>
<w:pPr><w:pStyle w:val="Normal"/></w:pPr>
<w:r><w:t xml:space="preserve">IV.; the county of Alencon was then joined to the royal</w:t></w:r>
</w:p>
<w:p>
<w:pPr><w:pStyle w:val="Normal"/></w:pPr>
<w:r><w:t xml:space="preserve">domain.  It was successively granted as an appanage to</w:t></w:r>
</w:p>
<w:p>
<w:pPr><w:pStyle w:val="Normal"/></w:pPr>
<w:r><w:t xml:space="preserve">Peter, son of St Louis (1268), and to Charles, count of</w:t></w:r>
</w:p>
<w:p>
<w:pPr><w:pStyle w:val="Normal"/></w:pPr>
<w:r><w:t xml:space="preserve">Valois, brother of Philip the Fair (1293).  The third house</w:t></w:r>
</w:p>
<w:p>
<w:pPr><w:pStyle w:val="Normal"/></w:pPr>
<w:r><w:t xml:space="preserve">of Alencon sprang from Charles, second son of the count of</w:t></w:r>
</w:p>
<w:p>
<w:pPr><w:pStyle w:val="Normal"/></w:pPr>
<w:r><w:t xml:space="preserve">Valois, who was killed at the battle of Crecy in 1346.  The</w:t></w:r>
</w:p>
<w:p>
<w:pPr><w:pStyle w:val="Normal"/></w:pPr>
<w:r><w:t xml:space="preserve">countship of Alencon was raised to a peerage in 1367 and into</w:t></w:r>
</w:p>
<w:p>
<w:pPr><w:pStyle w:val="Normal"/></w:pPr>
<w:r><w:t xml:space="preserve">a dukedom in 1414.  John, 1st duke of Alencon, was killed</w:t></w:r>
</w:p>
<w:p>
<w:pPr><w:pStyle w:val="Normal"/></w:pPr>
<w:r><w:t xml:space="preserve">at Agincourt on the 25th of October 1415, after having with</w:t></w:r>
</w:p>
<w:p>
<w:pPr><w:pStyle w:val="Normal"/></w:pPr>
<w:r><w:t xml:space="preserve">his own hand slain the duke of York.  His son, also named</w:t></w:r>
</w:p>
<w:p>
<w:pPr><w:pStyle w:val="Normal"/></w:pPr>
<w:r><w:t xml:space="preserve">John, was dispossessed of his duchy by the king of England,</w:t></w:r>
</w:p>
<w:p>
<w:pPr><w:pStyle w:val="Normal"/></w:pPr>
<w:r><w:t xml:space="preserve">but reconquered it in 1449.  In 1524 the dukedom of Alencon</w:t></w:r>
</w:p>
<w:p>
<w:pPr><w:pStyle w:val="Normal"/></w:pPr>
<w:r><w:t xml:space="preserve">reverted to the crown, in consequence of the death of the</w:t></w:r>
</w:p>
<w:p>
<w:pPr><w:pStyle w:val="Normal"/></w:pPr>
<w:r><w:t xml:space="preserve">duke Charles IV. without issue of his marriage with Margaret,</w:t></w:r>
</w:p>
<w:p>
<w:pPr><w:pStyle w:val="Normal"/></w:pPr>
<w:r><w:t xml:space="preserve">sister of Francis I. It was given as a jointure to Catherine</w:t></w:r>
</w:p>
<w:p>
<w:pPr><w:pStyle w:val="Normal"/></w:pPr>
<w:r><w:t xml:space="preserve">de&apos;Medici in 1559, and as an appanage to her son Francis in</w:t></w:r>
</w:p>
<w:p>
<w:pPr><w:pStyle w:val="Normal"/></w:pPr>
<w:r><w:t xml:space="preserve">1566.  It was pawned by Henry IV. to the duke of Wurttemberg,</w:t></w:r>
</w:p>
<w:p>
<w:pPr><w:pStyle w:val="Normal"/></w:pPr>
<w:r><w:t xml:space="preserve">and subsequently it passed to Gaston, duke of Orleans, by</w:t></w:r>
</w:p>
<w:p>
<w:pPr><w:pStyle w:val="Normal"/></w:pPr>
<w:r><w:t xml:space="preserve">grant of Louis XIII.; to Elizabeth of Orleans, duchess of</w:t></w:r>
</w:p>
<w:p>
<w:pPr><w:pStyle w:val="Normal"/></w:pPr>
<w:r><w:t xml:space="preserve">Guise; to Charles, duke of Berry, grandson of Louis XIV.</w:t></w:r>
</w:p>
<w:p>
<w:pPr><w:pStyle w:val="Normal"/></w:pPr>
<w:r><w:t xml:space="preserve">(1710); and to Monsieur (Louis XVIII.), brother of Louis XVI.</w:t></w:r>
</w:p>
<w:p>
<w:pPr><w:pStyle w:val="Normal"/></w:pPr>
<w:r><w:t xml:space="preserve">The title of duc d&apos;Alencon was given to Ferdinand of Orleans, son</w:t></w:r>
</w:p>
<w:p>
<w:pPr><w:pStyle w:val="Normal"/></w:pPr>
<w:r><w:t xml:space="preserve">of the duc de Nemours, and grandson of Louis-Philippe. (M. P.*)</w:t></w:r>
</w:p>
<w:p>
<w:pPr><w:pStyle w:val="Normal"/></w:pPr>
<w:r><w:t xml:space="preserve">ALENCON, a town of north-western France, capital of the</w:t></w:r>
</w:p>
<w:p>
<w:pPr><w:pStyle w:val="Normal"/></w:pPr>
<w:r><w:t xml:space="preserve">department of Orne, 36 m.  N. of Le Mans on a branch line</w:t></w:r>
</w:p>
<w:p>
<w:pPr><w:pStyle w:val="Normal"/></w:pPr>
<w:r><w:t xml:space="preserve">of the Western railway.  Pop (1906) 14,378.  Alencon, a</w:t></w:r>
</w:p>
<w:p>
<w:pPr><w:pStyle w:val="Normal"/></w:pPr>
<w:r><w:t xml:space="preserve">clean, regularly built town with broad handsome streets,</w:t></w:r>
</w:p>
<w:p>
<w:pPr><w:pStyle w:val="Normal"/></w:pPr>
<w:r><w:t xml:space="preserve">is situated in a wide and fertile plain, on the Sarthe</w:t></w:r>
</w:p>
<w:p>
<w:pPr><w:pStyle w:val="Normal"/></w:pPr>
<w:r><w:t xml:space="preserve">at its confluence with the Briante.  The only remains of</w:t></w:r>
</w:p>
<w:p>
<w:pPr><w:pStyle w:val="Normal"/></w:pPr>
<w:r><w:t xml:space="preserve">the ancient castle of Alencon are two towers of the 15th</w:t></w:r>
</w:p>
<w:p>
<w:pPr><w:pStyle w:val="Normal"/></w:pPr>
<w:r><w:t xml:space="preserve">century, which serve as a prison, and a third of the 14th</w:t></w:r>
</w:p>
<w:p>
<w:pPr><w:pStyle w:val="Normal"/></w:pPr>
<w:r><w:t xml:space="preserve">century known as the Tour Couronnee, to which they are</w:t></w:r>
</w:p>
<w:p>
<w:pPr><w:pStyle w:val="Normal"/></w:pPr>
<w:r><w:t xml:space="preserve">united.  Notre-Dame, the chief church, dates from the 15th</w:t></w:r>
</w:p>
<w:p>
<w:pPr><w:pStyle w:val="Normal"/></w:pPr>
<w:r><w:t xml:space="preserve">century.  It is remarkable for a porch ornamented in the</w:t></w:r>
</w:p>
<w:p>
<w:pPr><w:pStyle w:val="Normal"/></w:pPr>
<w:r><w:t xml:space="preserve">richest Gothic style, and for its stained windows of the 16th</w:t></w:r>
</w:p>
<w:p>
<w:pPr><w:pStyle w:val="Normal"/></w:pPr>
<w:r><w:t xml:space="preserve">century.  Alencon has a large circular corn-market and a cloth-</w:t></w:r>
</w:p>
<w:p>
<w:pPr><w:pStyle w:val="Normal"/></w:pPr>
<w:r><w:t xml:space="preserve">market.  The manufacture of the point d&apos;Alencon lace has</w:t></w:r>
</w:p>
<w:p>
<w:pPr><w:pStyle w:val="Normal"/></w:pPr>
<w:r><w:t xml:space="preserve">greatly diminished.  The weaving and bleaching of cloth,</w:t></w:r>
</w:p>
<w:p>
<w:pPr><w:pStyle w:val="Normal"/></w:pPr>
<w:r><w:t xml:space="preserve">which is of less importance than formerly, the manufacture of</w:t></w:r>
</w:p>
<w:p>
<w:pPr><w:pStyle w:val="Normal"/></w:pPr>
<w:r><w:t xml:space="preserve">vehicles, and tanning are carried on; there is a large trade</w:t></w:r>
</w:p>
<w:p>
<w:pPr><w:pStyle w:val="Normal"/></w:pPr>
<w:r><w:t xml:space="preserve">in the horses of the district, and granite is worked in the</w:t></w:r>
</w:p>
<w:p>
<w:pPr><w:pStyle w:val="Normal"/></w:pPr>
<w:r><w:t xml:space="preserve">neighbourhood.  Alencon is the seat of a prefect and</w:t></w:r>
</w:p>
<w:p>
<w:pPr><w:pStyle w:val="Normal"/></w:pPr>
<w:r><w:t xml:space="preserve">a court of assizes.  It has tribunals of first instance</w:t></w:r>
</w:p>
<w:p>
<w:pPr><w:pStyle w:val="Normal"/></w:pPr>
<w:r><w:t xml:space="preserve">and of commerce, a board of trade-arbitrators, a lycee,</w:t></w:r>
</w:p>
<w:p>
<w:pPr><w:pStyle w:val="Normal"/></w:pPr>
<w:r><w:t xml:space="preserve">training-colleges and a chamber of arts and manufactures.</w:t></w:r>
</w:p>
<w:p>
<w:pPr><w:pStyle w:val="Normal"/></w:pPr>
<w:r><w:t xml:space="preserve">ALENIO, GIULIO (1582-1649), Italian Jesuit missionary, was</w:t></w:r>
</w:p>
<w:p>
<w:pPr><w:pStyle w:val="Normal"/></w:pPr>
<w:r><w:t xml:space="preserve">born at Brescia.  He entered the Society of Jesus and was sent</w:t></w:r>
</w:p>
<w:p>
<w:pPr><w:pStyle w:val="Normal"/></w:pPr>
<w:r><w:t xml:space="preserve">to the East.  He landed at Macao in 1610, and while waiting a</w:t></w:r>
</w:p>
<w:p>
<w:pPr><w:pStyle w:val="Normal"/></w:pPr>
<w:r><w:t xml:space="preserve">favourable opportunity to penetrate into China busied himself</w:t></w:r>
</w:p>
<w:p>
<w:pPr><w:pStyle w:val="Normal"/></w:pPr>
<w:r><w:t xml:space="preserve">for three years in teaching mathematics.  His thirty years&apos;</w:t></w:r>
</w:p>
<w:p>
<w:pPr><w:pStyle w:val="Normal"/></w:pPr>
<w:r><w:t xml:space="preserve">residence in China was marked by unceasing zeal and considerable</w:t></w:r>
</w:p>
<w:p>
<w:pPr><w:pStyle w:val="Normal"/></w:pPr>
<w:r><w:t xml:space="preserve">success.  He adopted the dress and manners of the country,</w:t></w:r>
</w:p>
<w:p>
<w:pPr><w:pStyle w:val="Normal"/></w:pPr>
<w:r><w:t xml:space="preserve">was the first Christian missionary in Kiang-si, and built</w:t></w:r>
</w:p>
<w:p>
<w:pPr><w:pStyle w:val="Normal"/></w:pPr>
<w:r><w:t xml:space="preserve">several churches in Fo-Kien.  He wrote in Chinese a Life of</w:t></w:r>
</w:p>
<w:p>
<w:pPr><w:pStyle w:val="Normal"/></w:pPr>
<w:r><w:t xml:space="preserve">Christ (Pekin, 1635-1637, 8 vols.; often reprinted, e.g.</w:t></w:r>
</w:p>
<w:p>
<w:pPr><w:pStyle w:val="Normal"/></w:pPr>
<w:r><w:t xml:space="preserve">in 1887 in 3 vols., and used even by Protestant missionaries)</w:t></w:r>
</w:p>
<w:p>
<w:pPr><w:pStyle w:val="Normal"/></w:pPr>
<w:r><w:t xml:space="preserve">and a cosmography (Iche fang wai ki Hang-chow, 1623, 6</w:t></w:r>
</w:p>
<w:p>
<w:pPr><w:pStyle w:val="Normal"/></w:pPr>
<w:r><w:t xml:space="preserve">vols.), which was translated into Manchu under the title The</w:t></w:r>
</w:p>
<w:p>
<w:pPr><w:pStyle w:val="Normal"/></w:pPr>
<w:r><w:t xml:space="preserve">True Origin of 10,000 Things, a copy of which was sent</w:t></w:r>
</w:p>
<w:p>
<w:pPr><w:pStyle w:val="Normal"/></w:pPr>
<w:r><w:t xml:space="preserve">from Pekin to Paris in 1789.  Alenio died at Fu-chow in 1649.</w:t></w:r>
</w:p>
<w:p>
<w:pPr><w:pStyle w:val="Normal"/></w:pPr>
<w:r><w:t xml:space="preserve">For bibliography see de Backer and Sommervogel,</w:t></w:r>
</w:p>
<w:p>
<w:pPr><w:pStyle w:val="Normal"/></w:pPr>
<w:r><w:t xml:space="preserve">Bibl. de la Cie. de Jesus, i. 158-160.</w:t></w:r>
</w:p>
<w:p>
<w:pPr><w:pStyle w:val="Normal"/></w:pPr>
<w:r><w:t xml:space="preserve">ALEPPO (native Haleb.) (1) A vilayet of Asiatic Turkey,</w:t></w:r>
</w:p>
<w:p>
<w:pPr><w:pStyle w:val="Normal"/></w:pPr>
<w:r><w:t xml:space="preserve">comprising N. Syria and N.W. Mesopotamia, with an extension N.</w:t></w:r>
</w:p>
<w:p>
<w:pPr><w:pStyle w:val="Normal"/></w:pPr>
<w:r><w:t xml:space="preserve">of Taurus to the neighbourhood of Gorun.  It comprises three</w:t></w:r>
</w:p>
<w:p>
<w:pPr><w:pStyle w:val="Normal"/></w:pPr>
<w:r><w:t xml:space="preserve">sanjaks, Aleppo, Marash and Urfa.  About half is mountain, but</w:t></w:r>
</w:p>
<w:p>
<w:pPr><w:pStyle w:val="Normal"/></w:pPr>
<w:r><w:t xml:space="preserve">there are fertile plains of great extent N. of Antakia, S. of</w:t></w:r>
</w:p>
<w:p>
<w:pPr><w:pStyle w:val="Normal"/></w:pPr>
<w:r><w:t xml:space="preserve">Marash and around the city of Aleppo (see below).  The only</w:t></w:r>
</w:p>
<w:p>
<w:pPr><w:pStyle w:val="Normal"/></w:pPr>
<w:r><w:t xml:space="preserve">seaport of importance is Alexandretta (q.v..) The exports</w:t></w:r>
</w:p>
<w:p>
<w:pPr><w:pStyle w:val="Normal"/></w:pPr>
<w:r><w:t xml:space="preserve">are, on the average, over one million sterling, and imports</w:t></w:r>
</w:p>
<w:p>
<w:pPr><w:pStyle w:val="Normal"/></w:pPr>
<w:r><w:t xml:space="preserve">about double in value.  The settled population is barely a</w:t></w:r>
</w:p>
<w:p>
<w:pPr><w:pStyle w:val="Normal"/></w:pPr>
<w:r><w:t xml:space="preserve">million; but there is a considerable unsettled element in the</w:t></w:r>
</w:p>
<w:p>
<w:pPr><w:pStyle w:val="Normal"/></w:pPr>
<w:r><w:t xml:space="preserve">S.E. which cannot well be estimated.  The Christians, mainly</w:t></w:r>
</w:p>
<w:p>
<w:pPr><w:pStyle w:val="Normal"/></w:pPr>
<w:r><w:t xml:space="preserve">Jacobite Syrian, but including also Armenians of several</w:t></w:r>
</w:p>
<w:p>
<w:pPr><w:pStyle w:val="Normal"/></w:pPr>
<w:r><w:t xml:space="preserve">denominations (e.g. those of Marash and Zeitun), Maronites</w:t></w:r>
</w:p>
<w:p>
<w:pPr><w:pStyle w:val="Normal"/></w:pPr>
<w:r><w:t xml:space="preserve">and Greeks, form about one-fifth.  There are some 20,000</w:t></w:r>
</w:p>
<w:p>
<w:pPr><w:pStyle w:val="Normal"/></w:pPr>
<w:r><w:t xml:space="preserve">Jews, resident chiefly in the provincial capital; and of the</w:t></w:r>
</w:p>
<w:p>
<w:pPr><w:pStyle w:val="Normal"/></w:pPr>
<w:r><w:t xml:space="preserve">Moslem majority the bulk is Arab, Turkoman and Ansarieh.</w:t></w:r>
</w:p>
<w:p>
<w:pPr><w:pStyle w:val="Normal"/></w:pPr>
<w:r><w:t xml:space="preserve">In the N.W. and N. is a considerable Kurdish population.</w:t></w:r>
</w:p>
<w:p>
<w:pPr><w:pStyle w:val="Normal"/></w:pPr>
<w:r><w:t xml:space="preserve">(2) The provincial capital (anc. Khalep; Gr. Chaljbon-</w:t></w:r>
</w:p>
<w:p>
<w:pPr><w:pStyle w:val="Normal"/></w:pPr>
<w:r><w:t xml:space="preserve">Beroea), situated on a plateau in the valley of the</w:t></w:r>
</w:p>
<w:p>
<w:pPr><w:pStyle w:val="Normal"/></w:pPr>
<w:r><w:t xml:space="preserve">Kuwaik (anc. Chalus) about 10 m. above its dissipation</w:t></w:r>
</w:p>
<w:p>
<w:pPr><w:pStyle w:val="Normal"/></w:pPr>
<w:r><w:t xml:space="preserve">in the great salt-marsh of Matkh.  Pop. about 130,000,</w:t></w:r>
</w:p>
<w:p>
<w:pPr><w:pStyle w:val="Normal"/></w:pPr>
<w:r><w:t xml:space="preserve">three-quarters Moslem.  Aleppo is about midway between</w:t></w:r>
</w:p>
<w:p>
<w:pPr><w:pStyle w:val="Normal"/></w:pPr>
<w:r><w:t xml:space="preserve">the sea and the Euphrates, a little nearer the latter.</w:t></w:r>
</w:p>
<w:p>
<w:pPr><w:pStyle w:val="Normal"/></w:pPr>
<w:r><w:t xml:space="preserve">The modern city stands on both banks of the Kuwaik, and the</w:t></w:r>
</w:p>
<w:p>
<w:pPr><w:pStyle w:val="Normal"/></w:pPr>
<w:r><w:t xml:space="preserve">older portions are contained within a Saracenic wall, 3 1/2 m. in</w:t></w:r>
</w:p>
<w:p>
<w:pPr><w:pStyle w:val="Normal"/></w:pPr>
<w:r><w:t xml:space="preserve">circuit with seven gates.  The European residents and Christians</w:t></w:r>
</w:p>
<w:p>
<w:pPr><w:pStyle w:val="Normal"/></w:pPr>
<w:r><w:t xml:space="preserve">live outside in the Kitab and new Azizieh quarters, and the</w:t></w:r>
</w:p>
<w:p>
<w:pPr><w:pStyle w:val="Normal"/></w:pPr>
<w:r><w:t xml:space="preserve">Jews in that of Bahsita.  A modern citadel occupies the N.W.,</w:t></w:r>
</w:p>
<w:p>
<w:pPr><w:pStyle w:val="Normal"/></w:pPr>
<w:r><w:t xml:space="preserve">the medieval castle on its mound (partly artificial and not a</w:t></w:r>
</w:p>
<w:p>
<w:pPr><w:pStyle w:val="Normal"/></w:pPr>
<w:r><w:t xml:space="preserve">strong position, according to Istakhri) being almost deserted</w:t></w:r>
</w:p>
<w:p>
<w:pPr><w:pStyle w:val="Normal"/></w:pPr>
<w:r><w:t xml:space="preserve">but still forbidden to visitors.  There are two mosques of</w:t></w:r>
</w:p>
<w:p>
<w:pPr><w:pStyle w:val="Normal"/></w:pPr>
<w:r><w:t xml:space="preserve">special interest--the Umawi (or Zakaria) on the site of</w:t></w:r>
</w:p>
<w:p>
<w:pPr><w:pStyle w:val="Normal"/></w:pPr>
<w:r><w:t xml:space="preserve">a church ascribed to the empress Helena and containing a tomb</w:t></w:r>
</w:p>
<w:p>
<w:pPr><w:pStyle w:val="Normal"/></w:pPr>
<w:r><w:t xml:space="preserve">reputed to be that of the Baptist&apos;s father, and the Kakun.</w:t></w:r>
</w:p>
<w:p>
<w:pPr><w:pStyle w:val="Normal"/></w:pPr>
<w:r><w:t xml:space="preserve">Many minor ones serve the needs of a population traditionally</w:t></w:r>
</w:p>
<w:p>
<w:pPr><w:pStyle w:val="Normal"/></w:pPr>
<w:r><w:t xml:space="preserve">fanatical.  Gardens extend for miles along the river, and</w:t></w:r>
</w:p>
<w:p>
<w:pPr><w:pStyle w:val="Normal"/></w:pPr>
<w:r><w:t xml:space="preserve">the bazaars and khans are unusually large.  The climate is</w:t></w:r>
</w:p>
<w:p>
<w:pPr><w:pStyle w:val="Normal"/></w:pPr>
<w:r><w:t xml:space="preserve">cold, dry and healthy, despite the prevalence of the famous</w:t></w:r>
</w:p>
<w:p>
<w:pPr><w:pStyle w:val="Normal"/></w:pPr>
<w:r><w:t xml:space="preserve">``Aleppo button,&apos;&apos; a swelling which appears either on the</w:t></w:r>
</w:p>
<w:p>
<w:pPr><w:pStyle w:val="Normal"/></w:pPr>
<w:r><w:t xml:space="preserve">face or on the hands, and breaks into an ulcer which lasts</w:t></w:r>
</w:p>
<w:p>
<w:pPr><w:pStyle w:val="Normal"/></w:pPr>
<w:r><w:t xml:space="preserve">a year and leaves a permanent scar.  It has been ascribed</w:t></w:r>
</w:p>
<w:p>
<w:pPr><w:pStyle w:val="Normal"/></w:pPr>
<w:r><w:t xml:space="preserve">to a fly, to the water and to other causes; but it is not</w:t></w:r>
</w:p>
<w:p>
<w:pPr><w:pStyle w:val="Normal"/></w:pPr>
<w:r><w:t xml:space="preserve">peculiar to Aleppo, being rife also at Aintab, Bagdad, &amp;c.</w:t></w:r>
</w:p>
<w:p>
<w:pPr><w:pStyle w:val="Normal"/></w:pPr>
<w:r><w:t xml:space="preserve">The attempt made by the British Euphrates expedition in</w:t></w:r>
</w:p>
<w:p>
<w:pPr><w:pStyle w:val="Normal"/></w:pPr>
<w:r><w:t xml:space="preserve">1841 to connect Aleppo with the sea by steamer through the</w:t></w:r>
</w:p>
<w:p>
<w:pPr><w:pStyle w:val="Normal"/></w:pPr>
<w:r><w:t xml:space="preserve">nearest point on the Euphrates, Meskine, failed owing to</w:t></w:r>
</w:p>
<w:p>
<w:pPr><w:pStyle w:val="Normal"/></w:pPr>
<w:r><w:t xml:space="preserve">the obstructed state of the stream and the insecurity of the</w:t></w:r>
</w:p>
<w:p>
<w:pPr><w:pStyle w:val="Normal"/></w:pPr>
<w:r><w:t xml:space="preserve">riparian districts.  The latter drawback has been minimized</w:t></w:r>
</w:p>
<w:p>
<w:pPr><w:pStyle w:val="Normal"/></w:pPr>
<w:r><w:t xml:space="preserve">by the continued success of the Aleppo administration in</w:t></w:r>
</w:p>
<w:p>
<w:pPr><w:pStyle w:val="Normal"/></w:pPr>
<w:r><w:t xml:space="preserve">inducing the Anazeh Bedouins to become fellahin; but river</w:t></w:r>
</w:p>
<w:p>
<w:pPr><w:pStyle w:val="Normal"/></w:pPr>
<w:r><w:t xml:space="preserve">traffic has not been resumed.  A railway, however, connects</w:t></w:r>
</w:p>
<w:p>
<w:pPr><w:pStyle w:val="Normal"/></w:pPr>
<w:r><w:t xml:space="preserve">southward with the Beirut-Damascus line at Rayak.  Aleppo is</w:t></w:r>
</w:p>
<w:p>
<w:pPr><w:pStyle w:val="Normal"/></w:pPr>
<w:r><w:t xml:space="preserve">an important consular station for all European powers, the</w:t></w:r>
</w:p>
<w:p>
<w:pPr><w:pStyle w:val="Normal"/></w:pPr>
<w:r><w:t xml:space="preserve">residence of the Greek and Armenian Patriarchs of Antioch,</w:t></w:r>
</w:p>
<w:p>
<w:pPr><w:pStyle w:val="Normal"/></w:pPr>
<w:r><w:t xml:space="preserve">and of Jacobite and Maronite bishops, and a station of Roman</w:t></w:r>
</w:p>
<w:p>
<w:pPr><w:pStyle w:val="Normal"/></w:pPr>
<w:r><w:t xml:space="preserve">Catholic and Protestant missions.  It is the emporium of N.</w:t></w:r>
</w:p>
<w:p>
<w:pPr><w:pStyle w:val="Normal"/></w:pPr>
<w:r><w:t xml:space="preserve">Syria, and manufactures textiles in silk, cotton and wool,</w:t></w:r>
</w:p>
<w:p>
<w:pPr><w:pStyle w:val="Normal"/></w:pPr>
<w:r><w:t xml:space="preserve">carpets and leather commodities, besides being the centre of</w:t></w:r>
</w:p>
<w:p>
<w:pPr><w:pStyle w:val="Normal"/></w:pPr>
<w:r><w:t xml:space="preserve">a large district growing cereals, pistachios and fruit.  The</w:t></w:r>
</w:p>
<w:p>
<w:pPr><w:pStyle w:val="Normal"/></w:pPr>
<w:r><w:t xml:space="preserve">Turks regard it as one of the strongholds of their dominion and</w:t></w:r>
</w:p>
<w:p>
<w:pPr><w:pStyle w:val="Normal"/></w:pPr>
<w:r><w:t xml:space="preserve">faith, and a future capital of their empire should they be</w:t></w:r>
</w:p>
<w:p>
<w:pPr><w:pStyle w:val="Normal"/></w:pPr>
<w:r><w:t xml:space="preserve">forced into Asia.  As a centre from which good natural roads</w:t></w:r>
</w:p>
<w:p>
<w:pPr><w:pStyle w:val="Normal"/></w:pPr>
<w:r><w:t xml:space="preserve">lead N., N.E., W. and S., Aleppo would make a good capital.</w:t></w:r>
</w:p>
<w:p>
<w:pPr><w:pStyle w:val="Normal"/></w:pPr>
<w:r><w:t xml:space="preserve">History and Remains.--The site lies high (1400 ft.) on eight</w:t></w:r>
</w:p>
<w:p>
<w:pPr><w:pStyle w:val="Normal"/></w:pPr>
<w:r><w:t xml:space="preserve">hillocks in a fertile oasis plain, beyond which stretch on the</w:t></w:r>
</w:p>
<w:p>
<w:pPr><w:pStyle w:val="Normal"/></w:pPr>
<w:r><w:t xml:space="preserve">S. and S.E. grassy steppes merging ere long into desert, and</w:t></w:r>
</w:p>
<w:p>
<w:pPr><w:pStyle w:val="Normal"/></w:pPr>
<w:r><w:t xml:space="preserve">on the other quarters rather sterile downs.  It has superseded</w:t></w:r>
</w:p>
<w:p>
<w:pPr><w:pStyle w:val="Normal"/></w:pPr>
<w:r><w:t xml:space="preserve">Antioch as the economic centre of N. Syria, and Palmyra as</w:t></w:r>
</w:p>
<w:p>
<w:pPr><w:pStyle w:val="Normal"/></w:pPr>
<w:r><w:t xml:space="preserve">the great road-station for eastern caravans.  But it is rather</w:t></w:r>
</w:p>
<w:p>
<w:pPr><w:pStyle w:val="Normal"/></w:pPr>
<w:r><w:t xml:space="preserve">a revived than a new capital; Khalep was a very ancient</w:t></w:r>
</w:p>
<w:p>
<w:pPr><w:pStyle w:val="Normal"/></w:pPr>
<w:r><w:t xml:space="preserve">Syrian and probably ``Hittite&apos;&apos; city of importance, known from</w:t></w:r>
</w:p>
<w:p>
<w:pPr><w:pStyle w:val="Normal"/></w:pPr>
<w:r><w:t xml:space="preserve">Babylonian, Assyrian and Egyptian records.  Seleucus Nicator</w:t></w:r>
</w:p>
<w:p>
<w:pPr><w:pStyle w:val="Normal"/></w:pPr>
<w:r><w:t xml:space="preserve">gave it a Macedonian name, Beroea; but Chalcis, some distance</w:t></w:r>
</w:p>
<w:p>
<w:pPr><w:pStyle w:val="Normal"/></w:pPr>
<w:r><w:t xml:space="preserve">S., was the capital of the province, Chalcidice (later,</w:t></w:r>
</w:p>
<w:p>
<w:pPr><w:pStyle w:val="Normal"/></w:pPr>
<w:r><w:t xml:space="preserve">Kinnasrin), in which it lay, and the centre of that hellenized</w:t></w:r>
</w:p>
<w:p>
<w:pPr><w:pStyle w:val="Normal"/></w:pPr>
<w:r><w:t xml:space="preserve">region, now a vast field of ruins, which stretches W. to the</w:t></w:r>
</w:p>
<w:p>
<w:pPr><w:pStyle w:val="Normal"/></w:pPr>
<w:r><w:t xml:space="preserve">Orontes.  Khalep-Beroea, we may infer, remained a native</w:t></w:r>
</w:p>
<w:p>
<w:pPr><w:pStyle w:val="Normal"/></w:pPr>
<w:r><w:t xml:space="preserve">town and a focus of Aramaic influence, a fact which will</w:t></w:r>
</w:p>
<w:p>
<w:pPr><w:pStyle w:val="Normal"/></w:pPr>
<w:r><w:t xml:space="preserve">explain the speedy oblivion of its Macedonian name and the</w:t></w:r>
</w:p>
<w:p>
<w:pPr><w:pStyle w:val="Normal"/></w:pPr>
<w:r><w:t xml:space="preserve">permanent revival of its ancient title, even by Greeks.</w:t></w:r>
</w:p>
<w:p>
<w:pPr><w:pStyle w:val="Normal"/></w:pPr>
<w:r><w:t xml:space="preserve">As Beroea we hear of the place in Seleucid wars and</w:t></w:r>
</w:p>
<w:p>
<w:pPr><w:pStyle w:val="Normal"/></w:pPr>
<w:r><w:t xml:space="preserve">dissensions.  There Menelaus, the fomenter of war with the</w:t></w:r>
</w:p>
<w:p>
<w:pPr><w:pStyle w:val="Normal"/></w:pPr>
<w:r><w:t xml:space="preserve">Asmoneans, was put to death by Lysias in 164 B. C., ``as the</w:t></w:r>
</w:p>
<w:p>
<w:pPr><w:pStyle w:val="Normal"/></w:pPr>
<w:r><w:t xml:space="preserve">manner is in that place&apos;&apos; (Macc. ii. 13. 4), being thrown</w:t></w:r>
</w:p>
<w:p>
<w:pPr><w:pStyle w:val="Normal"/></w:pPr>
<w:r><w:t xml:space="preserve">into a lofty tower full of cinders.  There Heracleon, the court</w:t></w:r>
</w:p>
<w:p>
<w:pPr><w:pStyle w:val="Normal"/></w:pPr>
<w:r><w:t xml:space="preserve">favourite and murderer of Antiochus Grypus, was born and made</w:t></w:r>
</w:p>
<w:p>
<w:pPr><w:pStyle w:val="Normal"/></w:pPr>
<w:r><w:t xml:space="preserve">himself a principality (96 B.C.); and there the son of the</w:t></w:r>
</w:p>
<w:p>
<w:pPr><w:pStyle w:val="Normal"/></w:pPr>
<w:r><w:t xml:space="preserve">latter king besieged his brother Philip in the last struggle</w:t></w:r>
</w:p>
<w:p>
<w:pPr><w:pStyle w:val="Normal"/></w:pPr>
<w:r><w:t xml:space="preserve">for the heritage of Seleucus.  As Chalybon, the town is</w:t></w:r>
</w:p>
<w:p>
<w:pPr><w:pStyle w:val="Normal"/></w:pPr>
<w:r><w:t xml:space="preserve">called by Ptolemy head of a district, Chalybonitis; but</w:t></w:r>
</w:p>
<w:p>
<w:pPr><w:pStyle w:val="Normal"/></w:pPr>
<w:r><w:t xml:space="preserve">we continue to hear of it as Beroea up to the Arab conquest,</w:t></w:r>
</w:p>
<w:p>
<w:pPr><w:pStyle w:val="Normal"/></w:pPr>
<w:r><w:t xml:space="preserve">e.g. in the history of Julian&apos;s eastward march in A.D.</w:t></w:r>
</w:p>
<w:p>
<w:pPr><w:pStyle w:val="Normal"/></w:pPr>
<w:r><w:t xml:space="preserve">363, and in that of the Persian raid of 540. It was occupied</w:t></w:r>
</w:p>
<w:p>
<w:pPr><w:pStyle w:val="Normal"/></w:pPr>
<w:r><w:t xml:space="preserve">in 611 by Chosroes II. Overwhelmed by the Saracen flood in</w:t></w:r>
</w:p>
<w:p>
<w:pPr><w:pStyle w:val="Normal"/></w:pPr>
<w:r><w:t xml:space="preserve">A.D. 638, Beroea disappears, and as Moslem society settles</w:t></w:r>
</w:p>
<w:p>
<w:pPr><w:pStyle w:val="Normal"/></w:pPr>
<w:r><w:t xml:space="preserve">down Halep emerges again as the great gathering-place of</w:t></w:r>
</w:p>
<w:p>
<w:pPr><w:pStyle w:val="Normal"/></w:pPr>
<w:r><w:t xml:space="preserve">caravans passing from Asia Minor and Syria to Mesopotamia,</w:t></w:r>
</w:p>
<w:p>
<w:pPr><w:pStyle w:val="Normal"/></w:pPr>
<w:r><w:t xml:space="preserve">Bagdad and the Persian and Indian kingdoms.  Like Antioch</w:t></w:r>
</w:p>
<w:p>
<w:pPr><w:pStyle w:val="Normal"/></w:pPr>
<w:r><w:t xml:space="preserve">it suffered from earthquakes, and late in the 12th century,</w:t></w:r>
</w:p>
<w:p>
<w:pPr><w:pStyle w:val="Normal"/></w:pPr>
<w:r><w:t xml:space="preserve">after a terrible shock, had to be rebuilt by Nur ed-Din.</w:t></w:r>
</w:p>
<w:p>
<w:pPr><w:pStyle w:val="Normal"/></w:pPr>
<w:r><w:t xml:space="preserve">But neither earthquakes nor the plague, to which it was also</w:t></w:r>
</w:p>
<w:p>
<w:pPr><w:pStyle w:val="Normal"/></w:pPr>
<w:r><w:t xml:space="preserve">peculiarly liable, could divert trade and prosperity from</w:t></w:r>
</w:p>
<w:p>
<w:pPr><w:pStyle w:val="Normal"/></w:pPr>
<w:r><w:t xml:space="preserve">it.  It belonged to the Eastern Caliphate (the Hanidanids)</w:t></w:r>
</w:p>
<w:p>
<w:pPr><w:pStyle w:val="Normal"/></w:pPr>
<w:r><w:t xml:space="preserve">until temporarily reoccupied by John Zimisces, emperor of</w:t></w:r>
</w:p>
<w:p>
<w:pPr><w:pStyle w:val="Normal"/></w:pPr>
<w:r><w:t xml:space="preserve">Byzantium and a native of neighbouring Hierapolis (q.v.),</w:t></w:r>
</w:p>
<w:p>
<w:pPr><w:pStyle w:val="Normal"/></w:pPr>
<w:r><w:t xml:space="preserve">A.D. 974, after an abortive attempt by Nicephorus thirteen</w:t></w:r>
</w:p>
<w:p>
<w:pPr><w:pStyle w:val="Normal"/></w:pPr>
<w:r><w:t xml:space="preserve">years earlier.  Thirteen years later it recognized and</w:t></w:r>
</w:p>
<w:p>
<w:pPr><w:pStyle w:val="Normal"/></w:pPr>
<w:r><w:t xml:space="preserve">received the Fatimites, and passed under various Moslem</w:t></w:r>
</w:p>
<w:p>
<w:pPr><w:pStyle w:val="Normal"/></w:pPr>
<w:r><w:t xml:space="preserve">dynasties, forming part of the Seljuk dominion from 1090 to</w:t></w:r>
</w:p>
<w:p>
<w:pPr><w:pStyle w:val="Normal"/></w:pPr>
<w:r><w:t xml:space="preserve">1117.  The crusading princes of Antioch never held the place,</w:t></w:r>
</w:p>
<w:p>
<w:pPr><w:pStyle w:val="Normal"/></w:pPr>
<w:r><w:t xml:space="preserve">though they attacked it in 1124; and Saladin, who took it in</w:t></w:r>
</w:p>
<w:p>
<w:pPr><w:pStyle w:val="Normal"/></w:pPr>
<w:r><w:t xml:space="preserve">1183, made it a stronghold against them and the northern capital</w:t></w:r>
</w:p>
<w:p>
<w:pPr><w:pStyle w:val="Normal"/></w:pPr>
<w:r><w:t xml:space="preserve">of himself and his successors until the Tatar invasion of</w:t></w:r>
</w:p>
<w:p>
<w:pPr><w:pStyle w:val="Normal"/></w:pPr>
<w:r><w:t xml:space="preserve">1260.  Thereafter the Mamelukes took and kept possession,</w:t></w:r>
</w:p>
<w:p>
<w:pPr><w:pStyle w:val="Normal"/></w:pPr>
<w:r><w:t xml:space="preserve">despite the renewed Tatar inroad of 1401, until the final</w:t></w:r>
</w:p>
<w:p>
<w:pPr><w:pStyle w:val="Normal"/></w:pPr>
<w:r><w:t xml:space="preserve">conquest by the Ottomans in 1517.  Under the strong hand of</w:t></w:r>
</w:p>
<w:p>
<w:pPr><w:pStyle w:val="Normal"/></w:pPr>
<w:r><w:t xml:space="preserve">the latter the trade of Aleppo with the East revived.  One of</w:t></w:r>
</w:p>
<w:p>
<w:pPr><w:pStyle w:val="Normal"/></w:pPr>
<w:r><w:t xml:space="preserve">the first provincial factories and consulates of the British</w:t></w:r>
</w:p>
<w:p>
<w:pPr><w:pStyle w:val="Normal"/></w:pPr>
<w:r><w:t xml:space="preserve">Turkey (Levant) Company was established there in the reign of</w:t></w:r>
</w:p>
<w:p>
<w:pPr><w:pStyle w:val="Normal"/></w:pPr>
<w:r><w:t xml:space="preserve">James I.; and a British agent had been in residence there even</w:t></w:r>
</w:p>
<w:p>
<w:pPr><w:pStyle w:val="Normal"/></w:pPr>
<w:r><w:t xml:space="preserve">in Elizabeth&apos;s time.  As the eastern outpost of the company&apos;s</w:t></w:r>
</w:p>
<w:p>
<w:pPr><w:pStyle w:val="Normal"/></w:pPr>
<w:r><w:t xml:space="preserve">operations, it was connected with the western outpost of the</w:t></w:r>
</w:p>
<w:p>
<w:pPr><w:pStyle w:val="Normal"/></w:pPr>
<w:r><w:t xml:space="preserve">East India Company in Bagdad by a private postal service,</w:t></w:r>
</w:p>
<w:p>
<w:pPr><w:pStyle w:val="Normal"/></w:pPr>
<w:r><w:t xml:space="preserve">and its name became very familiar in England from the part</w:t></w:r>
</w:p>
<w:p>
<w:pPr><w:pStyle w:val="Normal"/></w:pPr>
<w:r><w:t xml:space="preserve">that its merchants (largely Jewish) bore in the transmission</w:t></w:r>
</w:p>
<w:p>
<w:pPr><w:pStyle w:val="Normal"/></w:pPr>
<w:r><w:t xml:space="preserve">of Eastern products to Europe (cf., e.g. Shakespeare,</w:t></w:r>
</w:p>
<w:p>
<w:pPr><w:pStyle w:val="Normal"/></w:pPr>
<w:r><w:t xml:space="preserve">Macb. i. 3. 7; Oth. v. 2. 352).  Through it passed the</w:t></w:r>
</w:p>
<w:p>
<w:pPr><w:pStyle w:val="Normal"/></w:pPr>
<w:r><w:t xml:space="preserve">silks of Bambyce, called bombazines, the light textiles</w:t></w:r>
</w:p>
<w:p>
<w:pPr><w:pStyle w:val="Normal"/></w:pPr>
<w:r><w:t xml:space="preserve">of Mosul (mosulines--muslins) and many other commodities</w:t></w:r>
</w:p>
<w:p>
<w:pPr><w:pStyle w:val="Normal"/></w:pPr>
<w:r><w:t xml:space="preserve">for the wealthy and luxurious.  The first blow was struck at</w:t></w:r>
</w:p>
<w:p>
<w:pPr><w:pStyle w:val="Normal"/></w:pPr>
<w:r><w:t xml:space="preserve">this trade by the discovery of the Cape route to India; the</w:t></w:r>
</w:p>
<w:p>
<w:pPr><w:pStyle w:val="Normal"/></w:pPr>
<w:r><w:t xml:space="preserve">second by the opening of a land route through Egypt to the</w:t></w:r>
</w:p>
<w:p>
<w:pPr><w:pStyle w:val="Normal"/></w:pPr>
<w:r><w:t xml:space="preserve">Red Sea; the third and final one by the making of the Suez</w:t></w:r>
</w:p>
<w:p>
<w:pPr><w:pStyle w:val="Normal"/></w:pPr>
<w:r><w:t xml:space="preserve">Canal.  Long ere this last event, however, Aleppo had been</w:t></w:r>
</w:p>
<w:p>
<w:pPr><w:pStyle w:val="Normal"/></w:pPr>
<w:r><w:t xml:space="preserve">declining from internal causes.  In the latter part of the</w:t></w:r>
</w:p>
<w:p>
<w:pPr><w:pStyle w:val="Normal"/></w:pPr>
<w:r><w:t xml:space="preserve">18th century and the first years of the 19th it was constantly</w:t></w:r>
</w:p>
<w:p>
<w:pPr><w:pStyle w:val="Normal"/></w:pPr>
<w:r><w:t xml:space="preserve">the scene of bloody dissensions between two rival parties,</w:t></w:r>
</w:p>
<w:p>
<w:pPr><w:pStyle w:val="Normal"/></w:pPr>
<w:r><w:t xml:space="preserve">one led by the local janissaries, the other by the sherifs</w:t></w:r>
</w:p>
<w:p>
<w:pPr><w:pStyle w:val="Normal"/></w:pPr>
<w:r><w:t xml:space="preserve">(religious); and the Ottoman governors took the side, now</w:t></w:r>
</w:p>
<w:p>
<w:pPr><w:pStyle w:val="Normal"/></w:pPr>
<w:r><w:t xml:space="preserve">of one, now of the other, in order to plunder a distracted</w:t></w:r>
</w:p>
<w:p>
<w:pPr><w:pStyle w:val="Normal"/></w:pPr>
<w:r><w:t xml:space="preserve">city, too far removed from the centre to be controlled by the</w:t></w:r>
</w:p>
<w:p>
<w:pPr><w:pStyle w:val="Normal"/></w:pPr>
<w:r><w:t xml:space="preserve">sultans, and too near the rebellious pashalik of Acre and</w:t></w:r>
</w:p>
<w:p>
<w:pPr><w:pStyle w:val="Normal"/></w:pPr>
<w:r><w:t xml:space="preserve">the unsettled district of Lebanon not to be affected by the</w:t></w:r>
</w:p>
<w:p>
<w:pPr><w:pStyle w:val="Normal"/></w:pPr>
<w:r><w:t xml:space="preserve">disorders natural to a frontier province.  This state of things</w:t></w:r>
</w:p>
<w:p>
<w:pPr><w:pStyle w:val="Normal"/></w:pPr>
<w:r><w:t xml:space="preserve">led to the suspension of the British consulate by the Turkey</w:t></w:r>
</w:p>
<w:p>
<w:pPr><w:pStyle w:val="Normal"/></w:pPr>
<w:r><w:t xml:space="preserve">Company in 1791; and it was not revived till 1800, after which</w:t></w:r>
</w:p>
<w:p>
<w:pPr><w:pStyle w:val="Normal"/></w:pPr>
<w:r><w:t xml:space="preserve">date till 1825 it was maintained jointly by the East India</w:t></w:r>
</w:p>
<w:p>
<w:pPr><w:pStyle w:val="Normal"/></w:pPr>
<w:r><w:t xml:space="preserve">Company.  In 1803 Jezzar of Acre advanced as near as Hamah;</w:t></w:r>
</w:p>
<w:p>
<w:pPr><w:pStyle w:val="Normal"/></w:pPr>
<w:r><w:t xml:space="preserve">but his death occurred in the following year; and after a</w:t></w:r>
</w:p>
<w:p>
<w:pPr><w:pStyle w:val="Normal"/></w:pPr>
<w:r><w:t xml:space="preserve">sanguinary rising in 1805, Aleppo settled down, but was not at</w:t></w:r>
</w:p>
<w:p>
<w:pPr><w:pStyle w:val="Normal"/></w:pPr>
<w:r><w:t xml:space="preserve">peace, even after a local janissary massacre in 1814, till</w:t></w:r>
</w:p>
<w:p>
<w:pPr><w:pStyle w:val="Normal"/></w:pPr>
<w:r><w:t xml:space="preserve">Mahmud II. had dealt finally with the corps at headquarters</w:t></w:r>
</w:p>
<w:p>
<w:pPr><w:pStyle w:val="Normal"/></w:pPr>
<w:r><w:t xml:space="preserve">(1826).  Meanwhile there had been a frightful earthquake in</w:t></w:r>
</w:p>
<w:p>
<w:pPr><w:pStyle w:val="Normal"/></w:pPr>
<w:r><w:t xml:space="preserve">1822, and a visitation of cholera in the following year.  More</w:t></w:r>
</w:p>
<w:p>
<w:pPr><w:pStyle w:val="Normal"/></w:pPr>
<w:r><w:t xml:space="preserve">cholera in 1827 and 1832 and another earthquake in 1830 had</w:t></w:r>
</w:p>
<w:p>
<w:pPr><w:pStyle w:val="Normal"/></w:pPr>
<w:r><w:t xml:space="preserve">left the place a wreck, with only half its former population,</w:t></w:r>
</w:p>
<w:p>
<w:pPr><w:pStyle w:val="Normal"/></w:pPr>
<w:r><w:t xml:space="preserve">when Mehemet Ali of Cairo invaded and took Syria.  Aleppo</w:t></w:r>
</w:p>
<w:p>
<w:pPr><w:pStyle w:val="Normal"/></w:pPr>
<w:r><w:t xml:space="preserve">shared, and to some extent headed, the Syrian discontent</w:t></w:r>
</w:p>
<w:p>
<w:pPr><w:pStyle w:val="Normal"/></w:pPr>
<w:r><w:t xml:space="preserve">with Egyptian rule, and was strongly held by troops whose</w:t></w:r>
</w:p>
<w:p>
<w:pPr><w:pStyle w:val="Normal"/></w:pPr>
<w:r><w:t xml:space="preserve">huge barracks are still one of the sights of the city.  Ready</w:t></w:r>
</w:p>
<w:p>
<w:pPr><w:pStyle w:val="Normal"/></w:pPr>
<w:r><w:t xml:space="preserve">to rise behind Ibrahim Pasha in 1839, it was only prevented</w:t></w:r>
</w:p>
<w:p>
<w:pPr><w:pStyle w:val="Normal"/></w:pPr>
<w:r><w:t xml:space="preserve">by the news of Nezib.  Tumults and massacres of Christians</w:t></w:r>
</w:p>
<w:p>
<w:pPr><w:pStyle w:val="Normal"/></w:pPr>
<w:r><w:t xml:space="preserve">occurred in 1850 and 1862, accompanied by great destruction</w:t></w:r>
</w:p>
<w:p>
<w:pPr><w:pStyle w:val="Normal"/></w:pPr>
<w:r><w:t xml:space="preserve">of property; but on the whole, since the consolidation of</w:t></w:r>
</w:p>
<w:p>
<w:pPr><w:pStyle w:val="Normal"/></w:pPr>
<w:r><w:t xml:space="preserve">Ottoman rule over Syria by Abdul Mejid&apos;s ministers, Aleppo has</w:t></w:r>
</w:p>
<w:p>
<w:pPr><w:pStyle w:val="Normal"/></w:pPr>
<w:r><w:t xml:space="preserve">been reviving, although its trade is more local than of old.</w:t></w:r>
</w:p>
<w:p>
<w:pPr><w:pStyle w:val="Normal"/></w:pPr>
<w:r><w:t xml:space="preserve">BIBLIOGRAPHY.--F.  R. Chesney, The Euphrates Expedition (1850)</w:t></w:r>
</w:p>
<w:p>
<w:pPr><w:pStyle w:val="Normal"/></w:pPr>
<w:r><w:t xml:space="preserve">H. Guys, Statistique du Pachalik d&apos;Alep (1853), and Esquisse de</w:t></w:r>
</w:p>
<w:p>
<w:pPr><w:pStyle w:val="Normal"/></w:pPr>
<w:r><w:t xml:space="preserve">l&apos;etat de la Syrie (1862); E. B. B. Barker, Syria and Egypt</w:t></w:r>
</w:p>
<w:p>
<w:pPr><w:pStyle w:val="Normal"/></w:pPr>
<w:r><w:t xml:space="preserve">(1876); W. F. Ainsworth, Personal Narrative of the Euphrates</w:t></w:r>
</w:p>
<w:p>
<w:pPr><w:pStyle w:val="Normal"/></w:pPr>
<w:r><w:t xml:space="preserve">Expedition (1888); E. R. Bevan, Heuse of Seleucas (1902); G.</w:t></w:r>
</w:p>
<w:p>
<w:pPr><w:pStyle w:val="Normal"/></w:pPr>
<w:r><w:t xml:space="preserve">le Strange, Palestine under the Moslems (1890). (D. G. H.)</w:t></w:r>
</w:p>
<w:p>
<w:pPr><w:pStyle w:val="Normal"/></w:pPr>
<w:r><w:t xml:space="preserve">ALES (ALESIUS), ALEXANDER (1500-1565), Scottish divine</w:t></w:r>
</w:p>
<w:p>
<w:pPr><w:pStyle w:val="Normal"/></w:pPr>
<w:r><w:t xml:space="preserve">of the school of Augsburg, whose family name was ALANE,</w:t></w:r>
</w:p>
<w:p>
<w:pPr><w:pStyle w:val="Normal"/></w:pPr>
<w:r><w:t xml:space="preserve">was born at Edinburgh on the 23rd of April 1500.  He studied</w:t></w:r>
</w:p>
<w:p>
<w:pPr><w:pStyle w:val="Normal"/></w:pPr>
<w:r><w:t xml:space="preserve">at St Andrews in the newly-founded college of St Leonard&apos;s,</w:t></w:r>
</w:p>
<w:p>
<w:pPr><w:pStyle w:val="Normal"/></w:pPr>
<w:r><w:t xml:space="preserve">where he graduated in 1515.  Some time afterwards he was</w:t></w:r>
</w:p>
<w:p>
<w:pPr><w:pStyle w:val="Normal"/></w:pPr>
<w:r><w:t xml:space="preserve">appointed a canon of the collegiate church, and at first</w:t></w:r>
</w:p>
<w:p>
<w:pPr><w:pStyle w:val="Normal"/></w:pPr>
<w:r><w:t xml:space="preserve">contended vigorously for the scholastic theology as against</w:t></w:r>
</w:p>
<w:p>
<w:pPr><w:pStyle w:val="Normal"/></w:pPr>
<w:r><w:t xml:space="preserve">the doctrines of the Reformers.  His views were entirely</w:t></w:r>
</w:p>
<w:p>
<w:pPr><w:pStyle w:val="Normal"/></w:pPr>
<w:r><w:t xml:space="preserve">changed, however, on the execution of Patrick Hamilton, abbot</w:t></w:r>
</w:p>
<w:p>
<w:pPr><w:pStyle w:val="Normal"/></w:pPr>
<w:r><w:t xml:space="preserve">of Fern, in 1528.  He had been chosen to meet Hamilton in</w:t></w:r>
</w:p>
<w:p>
<w:pPr><w:pStyle w:val="Normal"/></w:pPr>
<w:r><w:t xml:space="preserve">controversy, with a view to convincing him of his errors,</w:t></w:r>
</w:p>
<w:p>
<w:pPr><w:pStyle w:val="Normal"/></w:pPr>
<w:r><w:t xml:space="preserve">but the arguments of the Scottish proto-martyr, and above</w:t></w:r>
</w:p>
<w:p>
<w:pPr><w:pStyle w:val="Normal"/></w:pPr>
<w:r><w:t xml:space="preserve">all the spectacle of his heroism at the stake, impressed</w:t></w:r>
</w:p>
<w:p>
<w:pPr><w:pStyle w:val="Normal"/></w:pPr>
<w:r><w:t xml:space="preserve">Alesius so powerfully that he was entirely won over to the</w:t></w:r>
</w:p>
<w:p>
<w:pPr><w:pStyle w:val="Normal"/></w:pPr>
<w:r><w:t xml:space="preserve">cause of the Reformers.  A sermon which he preached before</w:t></w:r>
</w:p>
<w:p>
<w:pPr><w:pStyle w:val="Normal"/></w:pPr>
<w:r><w:t xml:space="preserve">the Synod at St Andrews against the dissoluteness of the</w:t></w:r>
</w:p>
<w:p>
<w:pPr><w:pStyle w:val="Normal"/></w:pPr>
<w:r><w:t xml:space="preserve">clergy gave great offence to the provost, who cast him into</w:t></w:r>
</w:p>
<w:p>
<w:pPr><w:pStyle w:val="Normal"/></w:pPr>
<w:r><w:t xml:space="preserve">prison, and might have carried his resentment to the extremest</w:t></w:r>
</w:p>
<w:p>
<w:pPr><w:pStyle w:val="Normal"/></w:pPr>
<w:r><w:t xml:space="preserve">limit had not Alesius contrived to escape to Germany in</w:t></w:r>
</w:p>
<w:p>
<w:pPr><w:pStyle w:val="Normal"/></w:pPr>
<w:r><w:t xml:space="preserve">1532.  After travelling in various countries of northern</w:t></w:r>
</w:p>
<w:p>
<w:pPr><w:pStyle w:val="Normal"/></w:pPr>
<w:r><w:t xml:space="preserve">Europe, he settled down at Wittenberg, where he made the</w:t></w:r>
</w:p>
<w:p>
<w:pPr><w:pStyle w:val="Normal"/></w:pPr>
<w:r><w:t xml:space="preserve">acquaintance of Luther and Melanchthon, and signed the Augsburg</w:t></w:r>
</w:p>
<w:p>
<w:pPr><w:pStyle w:val="Normal"/></w:pPr>
<w:r><w:t xml:space="preserve">confession.  Meanwhile he was tried in Scotland for heresy and</w:t></w:r>
</w:p>
<w:p>
<w:pPr><w:pStyle w:val="Normal"/></w:pPr>
<w:r><w:t xml:space="preserve">condemned without a hearing.  In 1533 a decree of the Scottish</w:t></w:r>
</w:p>
<w:p>
<w:pPr><w:pStyle w:val="Normal"/></w:pPr>
<w:r><w:t xml:space="preserve">clergy, prohibiting the reading of the New Testament by the</w:t></w:r>
</w:p>
<w:p>
<w:pPr><w:pStyle w:val="Normal"/></w:pPr>
<w:r><w:t xml:space="preserve">laity, drew from Alesius a defence of the right of the people,</w:t></w:r>
</w:p>
<w:p>
<w:pPr><w:pStyle w:val="Normal"/></w:pPr>
<w:r><w:t xml:space="preserve">in the form of a letter to James V. A reply to this by John</w:t></w:r>
</w:p>
<w:p>
<w:pPr><w:pStyle w:val="Normal"/></w:pPr>
<w:r><w:t xml:space="preserve">Cochlaeus, also addressed to the Scottish king, occasioned</w:t></w:r>
</w:p>
<w:p>
<w:pPr><w:pStyle w:val="Normal"/></w:pPr>
<w:r><w:t xml:space="preserve">a second letter from Alesius, in which he not only amplifies</w:t></w:r>
</w:p>
<w:p>
<w:pPr><w:pStyle w:val="Normal"/></w:pPr>
<w:r><w:t xml:space="preserve">his argument with great force, but enters into more general</w:t></w:r>
</w:p>
<w:p>
<w:pPr><w:pStyle w:val="Normal"/></w:pPr>
<w:r><w:t xml:space="preserve">questions connected with the Reformation.  In August 1534</w:t></w:r>
</w:p>
<w:p>
<w:pPr><w:pStyle w:val="Normal"/></w:pPr>
<w:r><w:t xml:space="preserve">he and a few others were excommunicated at Holyrood by the</w:t></w:r>
</w:p>
<w:p>
<w:pPr><w:pStyle w:val="Normal"/></w:pPr>
<w:r><w:t xml:space="preserve">deputy of the archbishop of St Andrews.  When Henry VIII.</w:t></w:r>
</w:p>
<w:p>
<w:pPr><w:pStyle w:val="Normal"/></w:pPr>
<w:r><w:t xml:space="preserve">broke with the church of Rome Alesius was induced to go to</w:t></w:r>
</w:p>
<w:p>
<w:pPr><w:pStyle w:val="Normal"/></w:pPr>
<w:r><w:t xml:space="preserve">England, where he was very cordially received (August 1535)</w:t></w:r>
</w:p>
<w:p>
<w:pPr><w:pStyle w:val="Normal"/></w:pPr>
<w:r><w:t xml:space="preserve">by the king and his advisers Cranmer and Thomas Cromwell.</w:t></w:r>
</w:p>
<w:p>
<w:pPr><w:pStyle w:val="Normal"/></w:pPr>
<w:r><w:t xml:space="preserve">After a short residence at Lambeth he was appointed, through</w:t></w:r>
</w:p>
<w:p>
<w:pPr><w:pStyle w:val="Normal"/></w:pPr>
<w:r><w:t xml:space="preserve">the influence of Cromwell, then chancellor of the university,</w:t></w:r>
</w:p>
<w:p>
<w:pPr><w:pStyle w:val="Normal"/></w:pPr>
<w:r><w:t xml:space="preserve">to lecture on theology at Cambridge; but when he had delivered</w:t></w:r>
</w:p>
<w:p>
<w:pPr><w:pStyle w:val="Normal"/></w:pPr>
<w:r><w:t xml:space="preserve">a few expositions of the Hebrew psalms, he was compelled by</w:t></w:r>
</w:p>
<w:p>
<w:pPr><w:pStyle w:val="Normal"/></w:pPr>
<w:r><w:t xml:space="preserve">the opposition of the papal party to desist.  Returning to</w:t></w:r>
</w:p>
<w:p>
<w:pPr><w:pStyle w:val="Normal"/></w:pPr>
<w:r><w:t xml:space="preserve">London he supported himself for some time by practising as a</w:t></w:r>
</w:p>
<w:p>
<w:pPr><w:pStyle w:val="Normal"/></w:pPr>
<w:r><w:t xml:space="preserve">physician.  In 1537 he attended a convocation of the clergy,</w:t></w:r>
</w:p>
<w:p>
<w:pPr><w:pStyle w:val="Normal"/></w:pPr>
<w:r><w:t xml:space="preserve">and at the request of Cromwell conducted a controversy with</w:t></w:r>
</w:p>
<w:p>
<w:pPr><w:pStyle w:val="Normal"/></w:pPr>
<w:r><w:t xml:space="preserve">Stokesley, bishop of London, on the nature of the sacraments.</w:t></w:r>
</w:p>
<w:p>
<w:pPr><w:pStyle w:val="Normal"/></w:pPr>
<w:r><w:t xml:space="preserve">His argument was afterwards published under the title Of</w:t></w:r>
</w:p>
<w:p>
<w:pPr><w:pStyle w:val="Normal"/></w:pPr>
<w:r><w:t xml:space="preserve">the Auctorite of the Word of God concerning the number of</w:t></w:r>
</w:p>
<w:p>
<w:pPr><w:pStyle w:val="Normal"/></w:pPr>
<w:r><w:t xml:space="preserve">the Sacraments. In 1539 Alesius was compelled to flee for</w:t></w:r>
</w:p>
<w:p>
<w:pPr><w:pStyle w:val="Normal"/></w:pPr>
<w:r><w:t xml:space="preserve">the second time to Germany, in consequence of the enactment</w:t></w:r>
</w:p>
<w:p>
<w:pPr><w:pStyle w:val="Normal"/></w:pPr>
<w:r><w:t xml:space="preserve">of the statute of the Six Articles.  He was appointed to a</w:t></w:r>
</w:p>
<w:p>
<w:pPr><w:pStyle w:val="Normal"/></w:pPr>
<w:r><w:t xml:space="preserve">theological chair in the university of Frankfort-on-Oder,</w:t></w:r>
</w:p>
<w:p>
<w:pPr><w:pStyle w:val="Normal"/></w:pPr>
<w:r><w:t xml:space="preserve">where he was the first professor who taught the reformed</w:t></w:r>
</w:p>
<w:p>
<w:pPr><w:pStyle w:val="Normal"/></w:pPr>
<w:r><w:t xml:space="preserve">doctrines.  In 1543 he quitted Frankfort for a similar</w:t></w:r>
</w:p>
<w:p>
<w:pPr><w:pStyle w:val="Normal"/></w:pPr>
<w:r><w:t xml:space="preserve">position at Leipzig, his contention that it was the duty of</w:t></w:r>
</w:p>
<w:p>
<w:pPr><w:pStyle w:val="Normal"/></w:pPr>
<w:r><w:t xml:space="preserve">the civil magistrate to punish fornication, and his sudden</w:t></w:r>
</w:p>
<w:p>
<w:pPr><w:pStyle w:val="Normal"/></w:pPr>
<w:r><w:t xml:space="preserve">departure, having given offence to the authorities of the</w:t></w:r>
</w:p>
<w:p>
<w:pPr><w:pStyle w:val="Normal"/></w:pPr>
<w:r><w:t xml:space="preserve">former university.  He was in England again for a short</w:t></w:r>
</w:p>
<w:p>
<w:pPr><w:pStyle w:val="Normal"/></w:pPr>
<w:r><w:t xml:space="preserve">time during Edward VI.&apos;s reign, and was commissioned by</w:t></w:r>
</w:p>
<w:p>
<w:pPr><w:pStyle w:val="Normal"/></w:pPr>
<w:r><w:t xml:space="preserve">Cranmer to make a Latin version of the First Prayer-Book</w:t></w:r>
</w:p>
<w:p>
<w:pPr><w:pStyle w:val="Normal"/></w:pPr>
<w:r><w:t xml:space="preserve">(1549) for the information of Bucer, whose opinion was</w:t></w:r>
</w:p>
<w:p>
<w:pPr><w:pStyle w:val="Normal"/></w:pPr>
<w:r><w:t xml:space="preserve">desired.  He died at Leipzig on the 17th of March 1565.</w:t></w:r>
</w:p>
<w:p>
<w:pPr><w:pStyle w:val="Normal"/></w:pPr>
<w:r><w:t xml:space="preserve">Alesius was the author of a large number of exegetical,</w:t></w:r>
</w:p>
<w:p>
<w:pPr><w:pStyle w:val="Normal"/></w:pPr>
<w:r><w:t xml:space="preserve">dogmatic and polemical works, of which over twenty are</w:t></w:r>
</w:p>
<w:p>
<w:pPr><w:pStyle w:val="Normal"/></w:pPr>
<w:r><w:t xml:space="preserve">mentioned by Bale in his List of English Writers. (See also</w:t></w:r>
</w:p>
<w:p>
<w:pPr><w:pStyle w:val="Normal"/></w:pPr>
<w:r><w:t xml:space="preserve">the British Museum catalogue.) In his controversial works he</w:t></w:r>
</w:p>
<w:p>
<w:pPr><w:pStyle w:val="Normal"/></w:pPr>
<w:r><w:t xml:space="preserve">upholds the synergistic views of the Scottish theologian John</w:t></w:r>
</w:p>
<w:p>
<w:pPr><w:pStyle w:val="Normal"/></w:pPr>
<w:r><w:t xml:space="preserve">Major.  He displayed his interest in his native land by the</w:t></w:r>
</w:p>
<w:p>
<w:pPr><w:pStyle w:val="Normal"/></w:pPr>
<w:r><w:t xml:space="preserve">publication of a Cohortatio ad Concordiam Pietatis, missa in</w:t></w:r>
</w:p>
<w:p>
<w:pPr><w:pStyle w:val="Normal"/></w:pPr>
<w:r><w:t xml:space="preserve">Patriam suam (1544), which had the express approval of Luther,</w:t></w:r>
</w:p>
<w:p>
<w:pPr><w:pStyle w:val="Normal"/></w:pPr>
<w:r><w:t xml:space="preserve">and a Cohortatio ad Pietatis Concordiam ineundam (1559).</w:t></w:r>
</w:p>
<w:p>
<w:pPr><w:pStyle w:val="Normal"/></w:pPr>
<w:r><w:t xml:space="preserve">The best early account of Alesius is the Oratio de Alexandro</w:t></w:r>
</w:p>
<w:p>
<w:pPr><w:pStyle w:val="Normal"/></w:pPr>
<w:r><w:t xml:space="preserve">Alesio of Jacob Thomasius (April 1661), printed in the</w:t></w:r>
</w:p>
<w:p>
<w:pPr><w:pStyle w:val="Normal"/></w:pPr>
<w:r><w:t xml:space="preserve">latter&apos;s Orationes (No. XIV., Leipzia, 1683): the best</w:t></w:r>
</w:p>
<w:p>
<w:pPr><w:pStyle w:val="Normal"/></w:pPr>
<w:r><w:t xml:space="preserve">modern account is by Dr A. W. Ward in the Dictionary of</w:t></w:r>
</w:p>
<w:p>
<w:pPr><w:pStyle w:val="Normal"/></w:pPr>
<w:r><w:t xml:space="preserve">National Biography. See also A. F. Mitchell&apos;s introduction</w:t></w:r>
</w:p>
<w:p>
<w:pPr><w:pStyle w:val="Normal"/></w:pPr>
<w:r><w:t xml:space="preserve">to Gau&apos;s Richt Vay (Scottish Text Society, 1888).</w:t></w:r>
</w:p>
<w:p>
<w:pPr><w:pStyle w:val="Normal"/></w:pPr>
<w:r><w:t xml:space="preserve">ALESIA, the ancient name for a hill in central France, now</w:t></w:r>
</w:p>
<w:p>
<w:pPr><w:pStyle w:val="Normal"/></w:pPr>
<w:r><w:t xml:space="preserve">Alise-Ste-Reine (department Cote d&apos;Or), where in 52 B.C.</w:t></w:r>
</w:p>
<w:p>
<w:pPr><w:pStyle w:val="Normal"/></w:pPr>
<w:r><w:t xml:space="preserve">Caesar besieged the Gaulish national leader Vercingetorix</w:t></w:r>
</w:p>
<w:p>
<w:pPr><w:pStyle w:val="Normal"/></w:pPr>
<w:r><w:t xml:space="preserve">within enormous entrenchments, forced him to surrender, and thus</w:t></w:r>
</w:p>
<w:p>
<w:pPr><w:pStyle w:val="Normal"/></w:pPr>
<w:r><w:t xml:space="preserve">practically ended his conquest of Gaul.  The siege-works have</w:t></w:r>
</w:p>
<w:p>
<w:pPr><w:pStyle w:val="Normal"/></w:pPr>
<w:r><w:t xml:space="preserve">been excavated by Napoleon III. and others, down to the present</w:t></w:r>
</w:p>
<w:p>
<w:pPr><w:pStyle w:val="Normal"/></w:pPr>
<w:r><w:t xml:space="preserve">day.  The site seems to have been inhabited also during the</w:t></w:r>
</w:p>
<w:p>
<w:pPr><w:pStyle w:val="Normal"/></w:pPr>
<w:r><w:t xml:space="preserve">Roman empire, but its importance is limited to Caesar&apos;s siege.</w:t></w:r>
</w:p>
<w:p>
<w:pPr><w:pStyle w:val="Normal"/></w:pPr>
<w:r><w:t xml:space="preserve">ALESSANDRI, ALESSANDRO (ALEXANDER AB ALEXANDRO) (1461-1523),</w:t></w:r>
</w:p>
<w:p>
<w:pPr><w:pStyle w:val="Normal"/></w:pPr>
<w:r><w:t xml:space="preserve">Italian jurist, was born at Naples about the year 1461.</w:t></w:r>
</w:p>
<w:p>
<w:pPr><w:pStyle w:val="Normal"/></w:pPr>
<w:r><w:t xml:space="preserve">He studied law at Naples and Rome, and afterwards practised</w:t></w:r>
</w:p>
<w:p>
<w:pPr><w:pStyle w:val="Normal"/></w:pPr>
<w:r><w:t xml:space="preserve">for a time as advocate in both cities.  He is said to have</w:t></w:r>
</w:p>
<w:p>
<w:pPr><w:pStyle w:val="Normal"/></w:pPr>
<w:r><w:t xml:space="preserve">been royal proto-notary at Naples in 1490.  Dissatisfied,</w:t></w:r>
</w:p>
<w:p>
<w:pPr><w:pStyle w:val="Normal"/></w:pPr>
<w:r><w:t xml:space="preserve">according to his own account, with the corrupt administration</w:t></w:r>
</w:p>
<w:p>
<w:pPr><w:pStyle w:val="Normal"/></w:pPr>
<w:r><w:t xml:space="preserve">of justice, he at length quitted the bar and devoted himself</w:t></w:r>
</w:p>
<w:p>
<w:pPr><w:pStyle w:val="Normal"/></w:pPr>
<w:r><w:t xml:space="preserve">entirely to literary pursuits, especially to the study of</w:t></w:r>
</w:p>
<w:p>
<w:pPr><w:pStyle w:val="Normal"/></w:pPr>
<w:r><w:t xml:space="preserve">philology and antiquities.  A sinecure appointment, which</w:t></w:r>
</w:p>
<w:p>
<w:pPr><w:pStyle w:val="Normal"/></w:pPr>
<w:r><w:t xml:space="preserve">he owed to the favour of the pope, enabled him to lead a</w:t></w:r>
</w:p>
<w:p>
<w:pPr><w:pStyle w:val="Normal"/></w:pPr>
<w:r><w:t xml:space="preserve">life of learned leisure at Rome, where he died on the 2nd</w:t></w:r>
</w:p>
<w:p>
<w:pPr><w:pStyle w:val="Normal"/></w:pPr>
<w:r><w:t xml:space="preserve">of October 1523.  His work entitled Dies Geniales appeared</w:t></w:r>
</w:p>
<w:p>
<w:pPr><w:pStyle w:val="Normal"/></w:pPr>
<w:r><w:t xml:space="preserve">at Rome in 1522, and was constructed after the model of the</w:t></w:r>
</w:p>
<w:p>
<w:pPr><w:pStyle w:val="Normal"/></w:pPr>
<w:r><w:t xml:space="preserve">Noctes Atticae of Aulus Gellius, and the Saturnalia of</w:t></w:r>
</w:p>
<w:p>
<w:pPr><w:pStyle w:val="Normal"/></w:pPr>
<w:r><w:t xml:space="preserve">Macrobius.  It consists of a confused mass of heterogeneous</w:t></w:r>
</w:p>
<w:p>
<w:pPr><w:pStyle w:val="Normal"/></w:pPr>
<w:r><w:t xml:space="preserve">materials relating to philology, antiquities, law, dreams,</w:t></w:r>
</w:p>
<w:p>
<w:pPr><w:pStyle w:val="Normal"/></w:pPr>
<w:r><w:t xml:space="preserve">spectres, &amp;c., and is characterized by considerable credulity.</w:t></w:r>
</w:p>
<w:p>
<w:pPr><w:pStyle w:val="Normal"/></w:pPr>
<w:r><w:t xml:space="preserve">ALESSANDRIA, a city and episcopal see of Piedmont, Italy,</w:t></w:r>
</w:p>
<w:p>
<w:pPr><w:pStyle w:val="Normal"/></w:pPr>
<w:r><w:t xml:space="preserve">capital of a province which bears its name, situated on the</w:t></w:r>
</w:p>
<w:p>
<w:pPr><w:pStyle w:val="Normal"/></w:pPr>
<w:r><w:t xml:space="preserve">river Tanaro, 57 m.  E. by S. of Turin by rail.  Pop. (1901)</w:t></w:r>
</w:p>
<w:p>
<w:pPr><w:pStyle w:val="Normal"/></w:pPr>
<w:r><w:t xml:space="preserve">71,298, of which about half reside in the actual town: the</w:t></w:r>
</w:p>
<w:p>
<w:pPr><w:pStyle w:val="Normal"/></w:pPr>
<w:r><w:t xml:space="preserve">rest are distributed over the suburbs.  Alessandria was founded</w:t></w:r>
</w:p>
<w:p>
<w:pPr><w:pStyle w:val="Normal"/></w:pPr>
<w:r><w:t xml:space="preserve">in 1168 by the inhabitants of the district in order to defend</w:t></w:r>
</w:p>
<w:p>
<w:pPr><w:pStyle w:val="Normal"/></w:pPr>
<w:r><w:t xml:space="preserve">themselves against the marquis of Monferrato and the town of</w:t></w:r>
</w:p>
<w:p>
<w:pPr><w:pStyle w:val="Normal"/></w:pPr>
<w:r><w:t xml:space="preserve">Pavia, at whose request it was besieged in 1174 by Frederick</w:t></w:r>
</w:p>
<w:p>
<w:pPr><w:pStyle w:val="Normal"/></w:pPr>
<w:r><w:t xml:space="preserve">Barbarossa for six months, but without success.  The Lombard</w:t></w:r>
</w:p>
<w:p>
<w:pPr><w:pStyle w:val="Normal"/></w:pPr>
<w:r><w:t xml:space="preserve">League now included it among the allied cities and named it</w:t></w:r>
</w:p>
<w:p>
<w:pPr><w:pStyle w:val="Normal"/></w:pPr>
<w:r><w:t xml:space="preserve">Alessandria, after Pope Alexander III. The traditional account</w:t></w:r>
</w:p>
<w:p>
<w:pPr><w:pStyle w:val="Normal"/></w:pPr>
<w:r><w:t xml:space="preserve">of its foundation by the Lombard League has been disproved</w:t></w:r>
</w:p>
<w:p>
<w:pPr><w:pStyle w:val="Normal"/></w:pPr>
<w:r><w:t xml:space="preserve">by F. Graf, Die Grundung Alessandrias: ein Beitrag zur</w:t></w:r>
</w:p>
<w:p>
<w:pPr><w:pStyle w:val="Normal"/></w:pPr>
<w:r><w:t xml:space="preserve">Geschichte des Lombardenbunides (1888).  After falling</w:t></w:r>
</w:p>
<w:p>
<w:pPr><w:pStyle w:val="Normal"/></w:pPr>
<w:r><w:t xml:space="preserve">into various hands, it was ceded to Savoy by the peace of</w:t></w:r>
</w:p>
<w:p>
<w:pPr><w:pStyle w:val="Normal"/></w:pPr>
<w:r><w:t xml:space="preserve">Utrecht in 1713, and its citadel was begun in 1728.  During</w:t></w:r>
</w:p>
<w:p>
<w:pPr><w:pStyle w:val="Normal"/></w:pPr>
<w:r><w:t xml:space="preserve">the French occupation (1800-1814), which began after the</w:t></w:r>
</w:p>
<w:p>
<w:pPr><w:pStyle w:val="Normal"/></w:pPr>
<w:r><w:t xml:space="preserve">battle of Marengo, it was still more strongly fortified; the</w:t></w:r>
</w:p>
<w:p>
<w:pPr><w:pStyle w:val="Normal"/></w:pPr>
<w:r><w:t xml:space="preserve">works were entirely destroyed by the Austrians in 1815, but</w:t></w:r>
</w:p>
<w:p>
<w:pPr><w:pStyle w:val="Normal"/></w:pPr>
<w:r><w:t xml:space="preserve">were afterwards reconstructed, and Alessandria is still an</w:t></w:r>
</w:p>
<w:p>
<w:pPr><w:pStyle w:val="Normal"/></w:pPr>
<w:r><w:t xml:space="preserve">important fortress and the headquarters of the second army</w:t></w:r>
</w:p>
<w:p>
<w:pPr><w:pStyle w:val="Normal"/></w:pPr>
<w:r><w:t xml:space="preserve">corps.  The citadel is on the left bank of the Tanaro, the</w:t></w:r>
</w:p>
<w:p>
<w:pPr><w:pStyle w:val="Normal"/></w:pPr>
<w:r><w:t xml:space="preserve">town being on the right bank.  It is regularly built and</w:t></w:r>
</w:p>
<w:p>
<w:pPr><w:pStyle w:val="Normal"/></w:pPr>
<w:r><w:t xml:space="preserve">contains few buildings of architectural interest, but is a</w:t></w:r>
</w:p>
<w:p>
<w:pPr><w:pStyle w:val="Normal"/></w:pPr>
<w:r><w:t xml:space="preserve">flourishing and important commercial town, not merely owing</w:t></w:r>
</w:p>
<w:p>
<w:pPr><w:pStyle w:val="Normal"/></w:pPr>
<w:r><w:t xml:space="preserve">to its own manufactures (which are miscellaneous) but for</w:t></w:r>
</w:p>
<w:p>
<w:pPr><w:pStyle w:val="Normal"/></w:pPr>
<w:r><w:t xml:space="preserve">the products of the district, and one of the greatest railway</w:t></w:r>
</w:p>
<w:p>
<w:pPr><w:pStyle w:val="Normal"/></w:pPr>
<w:r><w:t xml:space="preserve">centres in Italy.  Lines diverge from it to Turin via Asti,</w:t></w:r>
</w:p>
<w:p>
<w:pPr><w:pStyle w:val="Normal"/></w:pPr>
<w:r><w:t xml:space="preserve">to Valenza (and thence to Vercelli, Mortara--for Novara or</w:t></w:r>
</w:p>
<w:p>
<w:pPr><w:pStyle w:val="Normal"/></w:pPr>
<w:r><w:t xml:space="preserve">Milan--and Pavia), to Tortona, to Novi, to Acqui and to Bra.</w:t></w:r>
</w:p>
<w:p>
<w:pPr><w:pStyle w:val="Normal"/></w:pPr>
<w:r><w:t xml:space="preserve">ALESSI, GALEAZZO (1512-1572), Italian architect, was born</w:t></w:r>
</w:p>
<w:p>
<w:pPr><w:pStyle w:val="Normal"/></w:pPr>
<w:r><w:t xml:space="preserve">at Perugia, and was probably a pupil of Caporali.  He was an</w:t></w:r>
</w:p>
<w:p>
<w:pPr><w:pStyle w:val="Normal"/></w:pPr>
<w:r><w:t xml:space="preserve">enthusiastic student of ancient architecture, and his style gained</w:t></w:r>
</w:p>
<w:p>
<w:pPr><w:pStyle w:val="Normal"/></w:pPr>
<w:r><w:t xml:space="preserve">for him a European reputation.  Genoa is indebted to him for</w:t></w:r>
</w:p>
<w:p>
<w:pPr><w:pStyle w:val="Normal"/></w:pPr>
<w:r><w:t xml:space="preserve">a number of its most magnificent palaces, and specimens of his</w:t></w:r>
</w:p>
<w:p>
<w:pPr><w:pStyle w:val="Normal"/></w:pPr>
<w:r><w:t xml:space="preserve">skill may be seen in the churches of San Paolo and Santa Vittoria</w:t></w:r>
</w:p>
<w:p>
<w:pPr><w:pStyle w:val="Normal"/></w:pPr>
<w:r><w:t xml:space="preserve">at Milan, in certain parts of the Escurial, and in numerous</w:t></w:r>
</w:p>
<w:p>
<w:pPr><w:pStyle w:val="Normal"/></w:pPr>
<w:r><w:t xml:space="preserve">churches and palaces throughout Sicily, Flanders and Germany.</w:t></w:r>
</w:p>
<w:p>
<w:pPr><w:pStyle w:val="Normal"/></w:pPr>
<w:r><w:t xml:space="preserve">See Rossi, Di Galeazzo Alessi memorie (Perugia, 1873).</w:t></w:r>
</w:p>
<w:p>
<w:pPr><w:pStyle w:val="Normal"/></w:pPr>
<w:r><w:t xml:space="preserve">ALETHIOLOGY (from the Gr. aletheia, truth), an</w:t></w:r>
</w:p>
<w:p>
<w:pPr><w:pStyle w:val="Normal"/></w:pPr>
<w:r><w:t xml:space="preserve">uncommon expression for the doctrine of truth, used by Sir</w:t></w:r>
</w:p>
<w:p>
<w:pPr><w:pStyle w:val="Normal"/></w:pPr>
<w:r><w:t xml:space="preserve">William Hamilton in his philosophic writings when treating</w:t></w:r>
</w:p>
<w:p>
<w:pPr><w:pStyle w:val="Normal"/></w:pPr>
<w:r><w:t xml:space="preserve">of the rules for the discrimination of truth and error.</w:t></w:r>
</w:p>
<w:p>
<w:pPr><w:pStyle w:val="Normal"/></w:pPr>
<w:r><w:t xml:space="preserve">ALETRIUM (mod. Alatri), a town of the Hernici, about 6</w:t></w:r>
</w:p>
<w:p>
<w:pPr><w:pStyle w:val="Normal"/></w:pPr>
<w:r><w:t xml:space="preserve">m. due N. of Frusino, Italy, mentioned in 306 B.C. for its</w:t></w:r>
</w:p>
<w:p>
<w:pPr><w:pStyle w:val="Normal"/></w:pPr>
<w:r><w:t xml:space="preserve">fidelity to Rome.  In Cicero&apos;s time it was a municipium,</w:t></w:r>
</w:p>
<w:p>
<w:pPr><w:pStyle w:val="Normal"/></w:pPr>
<w:r><w:t xml:space="preserve">and continued in this position throughout the imperial</w:t></w:r>
</w:p>
<w:p>
<w:pPr><w:pStyle w:val="Normal"/></w:pPr>
<w:r><w:t xml:space="preserve">period.  It is chiefly remarkable for its finely preserved</w:t></w:r>
</w:p>
<w:p>
<w:pPr><w:pStyle w:val="Normal"/></w:pPr>
<w:r><w:t xml:space="preserve">fortifications constructed of tetrahedral and polygonal blocks</w:t></w:r>
</w:p>
<w:p>
<w:pPr><w:pStyle w:val="Normal"/></w:pPr>
<w:r><w:t xml:space="preserve">of local limestone well jointed, with maximum dimensions</w:t></w:r>
</w:p>
<w:p>
<w:pPr><w:pStyle w:val="Normal"/></w:pPr>
<w:r><w:t xml:space="preserve">of about 3 by 1 1/2 ft.; the outer circuit of the city wall</w:t></w:r>
</w:p>
<w:p>
<w:pPr><w:pStyle w:val="Normal"/></w:pPr>
<w:r><w:t xml:space="preserve">measures about 2 1/2 m.  It is almost entirely an embanking</w:t></w:r>
</w:p>
<w:p>
<w:pPr><w:pStyle w:val="Normal"/></w:pPr>
<w:r><w:t xml:space="preserve">wall, as is the rule in the cities of this part of Italy, with</w:t></w:r>
</w:p>
<w:p>
<w:pPr><w:pStyle w:val="Normal"/></w:pPr>
<w:r><w:t xml:space="preserve">a maximum height, probably, of about 30 ft.  Two of the gates</w:t></w:r>
</w:p>
<w:p>
<w:pPr><w:pStyle w:val="Normal"/></w:pPr>
<w:r><w:t xml:space="preserve">(of which there were perhaps five) are still to some extent</w:t></w:r>
</w:p>
<w:p>
<w:pPr><w:pStyle w:val="Normal"/></w:pPr>
<w:r><w:t xml:space="preserve">preserved, and three posterns are to be found.  In the centre</w:t></w:r>
</w:p>
<w:p>
<w:pPr><w:pStyle w:val="Normal"/></w:pPr>
<w:r><w:t xml:space="preserve">of the city rises a hill (1647 ft.) which was adopted as the</w:t></w:r>
</w:p>
<w:p>
<w:pPr><w:pStyle w:val="Normal"/></w:pPr>
<w:r><w:t xml:space="preserve">citadel.  Remains of the fortifications of three successive</w:t></w:r>
</w:p>
<w:p>
<w:pPr><w:pStyle w:val="Normal"/></w:pPr>
<w:r><w:t xml:space="preserve">periods can be traced, of which the last, perhaps a little more</w:t></w:r>
</w:p>
<w:p>
<w:pPr><w:pStyle w:val="Normal"/></w:pPr>
<w:r><w:t xml:space="preserve">recent than that of the city wall, is the best preserved.  In</w:t></w:r>
</w:p>
<w:p>
<w:pPr><w:pStyle w:val="Normal"/></w:pPr>
<w:r><w:t xml:space="preserve">the first two periods the construction is rough, while in the</w:t></w:r>
</w:p>
<w:p>
<w:pPr><w:pStyle w:val="Normal"/></w:pPr>
<w:r><w:t xml:space="preserve">third the blocks are very well and finely jointed, and the</w:t></w:r>
</w:p>
<w:p>
<w:pPr><w:pStyle w:val="Normal"/></w:pPr>
<w:r><w:t xml:space="preserve">faces smoothed; they are mostly polygonal in form and are much</w:t></w:r>
</w:p>
<w:p>
<w:pPr><w:pStyle w:val="Normal"/></w:pPr>
<w:r><w:t xml:space="preserve">larger (the maximum about 10 by 6 ft.) than those of the city</w:t></w:r>
</w:p>
<w:p>
<w:pPr><w:pStyle w:val="Normal"/></w:pPr>
<w:r><w:t xml:space="preserve">wall.  A flat surface was formed partly by smoothing off the</w:t></w:r>
</w:p>
<w:p>
<w:pPr><w:pStyle w:val="Normal"/></w:pPr>
<w:r><w:t xml:space="preserve">rock and partly by the erection of huge terrace walls which</w:t></w:r>
</w:p>
<w:p>
<w:pPr><w:pStyle w:val="Normal"/></w:pPr>
<w:r><w:t xml:space="preserve">rise to a height of over 50 ft., enclosing a roughly rectangular</w:t></w:r>
</w:p>
<w:p>
<w:pPr><w:pStyle w:val="Normal"/></w:pPr>
<w:r><w:t xml:space="preserve">area of 235 by 115 yds.  Two approaches to the citadel were</w:t></w:r>
</w:p>
<w:p>
<w:pPr><w:pStyle w:val="Normal"/></w:pPr>
<w:r><w:t xml:space="preserve">constructed, both passing through the wall; the openings of</w:t></w:r>
</w:p>
<w:p>
<w:pPr><w:pStyle w:val="Normal"/></w:pPr>
<w:r><w:t xml:space="preserve">both are rectangular.  The architrave of the larger, known</w:t></w:r>
</w:p>
<w:p>
<w:pPr><w:pStyle w:val="Normal"/></w:pPr>
<w:r><w:t xml:space="preserve">as Porta di Civita, measures about 17 ft. in length, 5 ft.</w:t></w:r>
</w:p>
<w:p>
<w:pPr><w:pStyle w:val="Normal"/></w:pPr>
<w:r><w:t xml:space="preserve">in height, 6 ft. in thickness; while that of the smaller</w:t></w:r>
</w:p>
<w:p>
<w:pPr><w:pStyle w:val="Normal"/></w:pPr>
<w:r><w:t xml:space="preserve">is decorated with three phalli in relief.  Later, though</w:t></w:r>
</w:p>
<w:p>
<w:pPr><w:pStyle w:val="Normal"/></w:pPr>
<w:r><w:t xml:space="preserve">probably in ancient times, a ramp was added on the northern</w:t></w:r>
</w:p>
<w:p>
<w:pPr><w:pStyle w:val="Normal"/></w:pPr>
<w:r><w:t xml:space="preserve">side.  In the centre of the arx was a building on the site</w:t></w:r>
</w:p>
<w:p>
<w:pPr><w:pStyle w:val="Normal"/></w:pPr>
<w:r><w:t xml:space="preserve">of the present cathedral, of which only a small portion is</w:t></w:r>
</w:p>
<w:p>
<w:pPr><w:pStyle w:val="Normal"/></w:pPr>
<w:r><w:t xml:space="preserve">preserved.  Remains of a high-pressure aqueduct, which</w:t></w:r>
</w:p>
<w:p>
<w:pPr><w:pStyle w:val="Normal"/></w:pPr>
<w:r><w:t xml:space="preserve">supplied the town with water and was constructed with other</w:t></w:r>
</w:p>
<w:p>
<w:pPr><w:pStyle w:val="Normal"/></w:pPr>
<w:r><w:t xml:space="preserve">public buildings (Corp.  Inscr.  Lat. x., Berlin, 1883,</w:t></w:r>
</w:p>
<w:p>
<w:pPr><w:pStyle w:val="Normal"/></w:pPr>
<w:r><w:t xml:space="preserve">p. 5807) by L. Betilienus Varus, may still be traced.  A</w:t></w:r>
</w:p>
<w:p>
<w:pPr><w:pStyle w:val="Normal"/></w:pPr>
<w:r><w:t xml:space="preserve">temple was excavated in 1889 about  1/2 m. to the north of</w:t></w:r>
</w:p>
<w:p>
<w:pPr><w:pStyle w:val="Normal"/></w:pPr>
<w:r><w:t xml:space="preserve">the town and many fragments of the painted terra-cottas</w:t></w:r>
</w:p>
<w:p>
<w:pPr><w:pStyle w:val="Normal"/></w:pPr>
<w:r><w:t xml:space="preserve">with which it was decorated were found.  A reconstruction of</w:t></w:r>
</w:p>
<w:p>
<w:pPr><w:pStyle w:val="Normal"/></w:pPr>
<w:r><w:t xml:space="preserve">it has been erected in the Museo di Villa Giulia at Rome.</w:t></w:r>
</w:p>
<w:p>
<w:pPr><w:pStyle w:val="Normal"/></w:pPr>
<w:r><w:t xml:space="preserve">The present town (pop. in 1901, 15,322) has a picturesque</w:t></w:r>
</w:p>
<w:p>
<w:pPr><w:pStyle w:val="Normal"/></w:pPr>
<w:r><w:t xml:space="preserve">aspect, and contains many buildings in the Gothic style.</w:t></w:r>
</w:p>
<w:p>
<w:pPr><w:pStyle w:val="Normal"/></w:pPr>
<w:r><w:t xml:space="preserve">See R. Bassel, Centralblatt der Bauverwaltung, 1881, 121,</w:t></w:r>
</w:p>
<w:p>
<w:pPr><w:pStyle w:val="Normal"/></w:pPr>
<w:r><w:t xml:space="preserve">p. 134; H. Winnefeld, Romische Mitteilungen, 1889, 126;</w:t></w:r>
</w:p>
<w:p>
<w:pPr><w:pStyle w:val="Normal"/></w:pPr>
<w:r><w:t xml:space="preserve">G. Fiorelli in Notizie degli Scavi, 1882, 417. (T. As.)</w:t></w:r>
</w:p>
<w:p>
<w:pPr><w:pStyle w:val="Normal"/></w:pPr>
<w:r><w:t xml:space="preserve">ALEURITES (Gr. aleuritus, pertaining to aleuron, ground</w:t></w:r>
</w:p>
<w:p>
<w:pPr><w:pStyle w:val="Normal"/></w:pPr>
<w:r><w:t xml:space="preserve">meal, from alein, to grind), a genus of trees belonging</w:t></w:r>
</w:p>
<w:p>
<w:pPr><w:pStyle w:val="Normal"/></w:pPr>
<w:r><w:t xml:space="preserve">to the natural order Euphorbiaceae. Aleurites moluccana,</w:t></w:r>
</w:p>
<w:p>
<w:pPr><w:pStyle w:val="Normal"/></w:pPr>
<w:r><w:t xml:space="preserve">or triloba, is widely cultivated throughout the tropical</w:t></w:r>
</w:p>
<w:p>
<w:pPr><w:pStyle w:val="Normal"/></w:pPr>
<w:r><w:t xml:space="preserve">and sub-tropical parts of the world for its fruit, which</w:t></w:r>
</w:p>
<w:p>
<w:pPr><w:pStyle w:val="Normal"/></w:pPr>
<w:r><w:t xml:space="preserve">is about the size of a walnut, and contains several seeds</w:t></w:r>
</w:p>
<w:p>
<w:pPr><w:pStyle w:val="Normal"/></w:pPr>
<w:r><w:t xml:space="preserve">which are rich in oil.  The oil is extracted and used</w:t></w:r>
</w:p>
<w:p>
<w:pPr><w:pStyle w:val="Normal"/></w:pPr>
<w:r><w:t xml:space="preserve">for food and light; it is known in India as kekuna, and</w:t></w:r>
</w:p>
<w:p>
<w:pPr><w:pStyle w:val="Normal"/></w:pPr>
<w:r><w:t xml:space="preserve">the tree as the ``candle-nut.&apos;&apos; In the Sandwich Islands</w:t></w:r>
</w:p>
<w:p>
<w:pPr><w:pStyle w:val="Normal"/></w:pPr>
<w:r><w:t xml:space="preserve">the nuts are strung upon strips of wood and used as</w:t></w:r>
</w:p>
<w:p>
<w:pPr><w:pStyle w:val="Normal"/></w:pPr>
<w:r><w:t xml:space="preserve">torches.  The oil is exported to Europe for candle-making.</w:t></w:r>
</w:p>
<w:p>
<w:pPr><w:pStyle w:val="Normal"/></w:pPr>
<w:r><w:t xml:space="preserve">A. cordata flourishes in China, where it is known as the</w:t></w:r>
</w:p>
<w:p>
<w:pPr><w:pStyle w:val="Normal"/></w:pPr>
<w:r><w:t xml:space="preserve">varnish- tree, on account of the lac contained in its seeds.</w:t></w:r>
</w:p>
<w:p>
<w:pPr><w:pStyle w:val="Normal"/></w:pPr>
<w:r><w:t xml:space="preserve">ALEUTIAN ISLANDS (possibly from Chukchi aliat, ``island&apos;&apos;),</w:t></w:r>
</w:p>
<w:p>
<w:pPr><w:pStyle w:val="Normal"/></w:pPr>
<w:r><w:t xml:space="preserve">a chain of small islands situated in the Northern Pacific</w:t></w:r>
</w:p>
<w:p>
<w:pPr><w:pStyle w:val="Normal"/></w:pPr>
<w:r><w:t xml:space="preserve">Ocean, and extending about 1200 m. westward from the</w:t></w:r>
</w:p>
<w:p>
<w:pPr><w:pStyle w:val="Normal"/></w:pPr>
<w:r><w:t xml:space="preserve">extremity of the Alaskan peninsula toward the peninsula of</w:t></w:r>
</w:p>
<w:p>
<w:pPr><w:pStyle w:val="Normal"/></w:pPr>
<w:r><w:t xml:space="preserve">Kamchatka; they constitute part of the District of Alaska,</w:t></w:r>
</w:p>
<w:p>
<w:pPr><w:pStyle w:val="Normal"/></w:pPr>
<w:r><w:t xml:space="preserve">U.S.A.  The islands, of which an alternative collective</w:t></w:r>
</w:p>
<w:p>
<w:pPr><w:pStyle w:val="Normal"/></w:pPr>
<w:r><w:t xml:space="preserve">name is the Catherine Archipelago, comprise four groups--the</w:t></w:r>
</w:p>
<w:p>
<w:pPr><w:pStyle w:val="Normal"/></w:pPr>
<w:r><w:t xml:space="preserve">Fox, Andreanof, Rat and Near Islands.  They are all included</w:t></w:r>
</w:p>
<w:p>
<w:pPr><w:pStyle w:val="Normal"/></w:pPr>
<w:r><w:t xml:space="preserve">between 52 deg.  and 55 deg.  N. lat. and 172 deg.  E. and 163 deg.  W. long.</w:t></w:r>
</w:p>
<w:p>
<w:pPr><w:pStyle w:val="Normal"/></w:pPr>
<w:r><w:t xml:space="preserve">The axis of the archipelago near the mainland of Alaska</w:t></w:r>
</w:p>
<w:p>
<w:pPr><w:pStyle w:val="Normal"/></w:pPr>
<w:r><w:t xml:space="preserve">has a S.W. trend, but near the 129th meridian its direction</w:t></w:r>
</w:p>
<w:p>
<w:pPr><w:pStyle w:val="Normal"/></w:pPr>
<w:r><w:t xml:space="preserve">changes to the N.W. This change of direction corresponds</w:t></w:r>
</w:p>
<w:p>
<w:pPr><w:pStyle w:val="Normal"/></w:pPr>
<w:r><w:t xml:space="preserve">to a curve in the line of volcanic fissures which have</w:t></w:r>
</w:p>
<w:p>
<w:pPr><w:pStyle w:val="Normal"/></w:pPr>
<w:r><w:t xml:space="preserve">contributed their products to the building of the islands.</w:t></w:r>
</w:p>
<w:p>
<w:pPr><w:pStyle w:val="Normal"/></w:pPr>
<w:r><w:t xml:space="preserve">Such curved chains are repeated about the Pacific Ocean in</w:t></w:r>
</w:p>
<w:p>
<w:pPr><w:pStyle w:val="Normal"/></w:pPr>
<w:r><w:t xml:space="preserve">the Kurile Islands, the Japanese chain, the Philippines,</w:t></w:r>
</w:p>
<w:p>
<w:pPr><w:pStyle w:val="Normal"/></w:pPr>
<w:r><w:t xml:space="preserve">&amp;c. The general elevation is greatest in the eastern islands</w:t></w:r>
</w:p>
<w:p>
<w:pPr><w:pStyle w:val="Normal"/></w:pPr>
<w:r><w:t xml:space="preserve">and least in the western.  The island chain is really a</w:t></w:r>
</w:p>
<w:p>
<w:pPr><w:pStyle w:val="Normal"/></w:pPr>
<w:r><w:t xml:space="preserve">western continuation of the Aleutian Range on the mainland.</w:t></w:r>
</w:p>
<w:p>
<w:pPr><w:pStyle w:val="Normal"/></w:pPr>
<w:r><w:t xml:space="preserve">The great majority of the islands bear evident marks of</w:t></w:r>
</w:p>
<w:p>
<w:pPr><w:pStyle w:val="Normal"/></w:pPr>
<w:r><w:t xml:space="preserve">volcanic origin, and there are numerous volcanic cones on</w:t></w:r>
</w:p>
<w:p>
<w:pPr><w:pStyle w:val="Normal"/></w:pPr>
<w:r><w:t xml:space="preserve">the north side of the chain, some of them active; many of</w:t></w:r>
</w:p>
<w:p>
<w:pPr><w:pStyle w:val="Normal"/></w:pPr>
<w:r><w:t xml:space="preserve">the islands, however, are not wholly volcanic, but contain</w:t></w:r>
</w:p>
<w:p>
<w:pPr><w:pStyle w:val="Normal"/></w:pPr>
<w:r><w:t xml:space="preserve">crystalline or sedimentary rocks, and also amber and beds of</w:t></w:r>
</w:p>
<w:p>
<w:pPr><w:pStyle w:val="Normal"/></w:pPr>
<w:r><w:t xml:space="preserve">lignite.  The coasts are rocky and surf-worn and the</w:t></w:r>
</w:p>
<w:p>
<w:pPr><w:pStyle w:val="Normal"/></w:pPr>
<w:r><w:t xml:space="preserve">approaches are exceedingly dangerous, the land rising</w:t></w:r>
</w:p>
<w:p>
<w:pPr><w:pStyle w:val="Normal"/></w:pPr>
<w:r><w:t xml:space="preserve">immediately from the coasts to steep, bold mountains.</w:t></w:r>
</w:p>
<w:p>
<w:pPr><w:pStyle w:val="Normal"/></w:pPr>
<w:r><w:t xml:space="preserve">The climate of the islands is oceanic, with moderate and</w:t></w:r>
</w:p>
<w:p>
<w:pPr><w:pStyle w:val="Normal"/></w:pPr>
<w:r><w:t xml:space="preserve">fairly uniform temperatures and heavy rainfall.  Fogs are</w:t></w:r>
</w:p>
<w:p>
<w:pPr><w:pStyle w:val="Normal"/></w:pPr>
<w:r><w:t xml:space="preserve">almost constant.  The summers are much cooler than on the</w:t></w:r>
</w:p>
<w:p>
<w:pPr><w:pStyle w:val="Normal"/></w:pPr>
<w:r><w:t xml:space="preserve">mainland at Sitka (q.v.), but the winter temperature of</w:t></w:r>
</w:p>
<w:p>
<w:pPr><w:pStyle w:val="Normal"/></w:pPr>
<w:r><w:t xml:space="preserve">the islands and of south-eastern Alaska is very nearly the</w:t></w:r>
</w:p>
<w:p>
<w:pPr><w:pStyle w:val="Normal"/></w:pPr>
<w:r><w:t xml:space="preserve">same.  The mean annual temperature for Unalaska, the most</w:t></w:r>
</w:p>
<w:p>
<w:pPr><w:pStyle w:val="Normal"/></w:pPr>
<w:r><w:t xml:space="preserve">important island of the group, is about 38 deg.  F.; being about</w:t></w:r>
</w:p>
<w:p>
<w:pPr><w:pStyle w:val="Normal"/></w:pPr>
<w:r><w:t xml:space="preserve">30 deg.  for January and about 52 deg.  for August.  The highest</w:t></w:r>
</w:p>
<w:p>
<w:pPr><w:pStyle w:val="Normal"/></w:pPr>
<w:r><w:t xml:space="preserve">and lowest temperatures recorded on the islands are 78 deg.  and</w:t></w:r>
</w:p>
<w:p>
<w:pPr><w:pStyle w:val="Normal"/></w:pPr>
<w:r><w:t xml:space="preserve">5 deg. .  The average annual amount of rainfall is about 80 in.,</w:t></w:r>
</w:p>
<w:p>
<w:pPr><w:pStyle w:val="Normal"/></w:pPr>
<w:r><w:t xml:space="preserve">and Unalaska, with about 250 rainy days per year, is said</w:t></w:r>
</w:p>
<w:p>
<w:pPr><w:pStyle w:val="Normal"/></w:pPr>
<w:r><w:t xml:space="preserve">to be the rainiest place within the territory of the United</w:t></w:r>
</w:p>
<w:p>
<w:pPr><w:pStyle w:val="Normal"/></w:pPr>
<w:r><w:t xml:space="preserve">States.  The growing season lasts about 135 days, from early</w:t></w:r>
</w:p>
<w:p>
<w:pPr><w:pStyle w:val="Normal"/></w:pPr>
<w:r><w:t xml:space="preserve">in May till late in September, but agriculture is limited</w:t></w:r>
</w:p>
<w:p>
<w:pPr><w:pStyle w:val="Normal"/></w:pPr>
<w:r><w:t xml:space="preserve">to the raising of a few vegetables.  With the exception of</w:t></w:r>
</w:p>
<w:p>
<w:pPr><w:pStyle w:val="Normal"/></w:pPr>
<w:r><w:t xml:space="preserve">some stunted willows the islands are practically destitute of</w:t></w:r>
</w:p>
<w:p>
<w:pPr><w:pStyle w:val="Normal"/></w:pPr>
<w:r><w:t xml:space="preserve">trees, but are covered with a luxuriant growth of herbage,</w:t></w:r>
</w:p>
<w:p>
<w:pPr><w:pStyle w:val="Normal"/></w:pPr>
<w:r><w:t xml:space="preserve">including grasses, sedges and many flowering plants.  On the</w:t></w:r>
</w:p>
<w:p>
<w:pPr><w:pStyle w:val="Normal"/></w:pPr>
<w:r><w:t xml:space="preserve">less mountainous islands the raising of sheep and reindeer</w:t></w:r>
</w:p>
<w:p>
<w:pPr><w:pStyle w:val="Normal"/></w:pPr>
<w:r><w:t xml:space="preserve">is believed to be practicable.  The principal occupations</w:t></w:r>
</w:p>
<w:p>
<w:pPr><w:pStyle w:val="Normal"/></w:pPr>
<w:r><w:t xml:space="preserve">of the natives have always been fishing and hunting, and the</w:t></w:r>
</w:p>
<w:p>
<w:pPr><w:pStyle w:val="Normal"/></w:pPr>
<w:r><w:t xml:space="preserve">women weave basketry of exquisite fineness.  From the end</w:t></w:r>
</w:p>
<w:p>
<w:pPr><w:pStyle w:val="Normal"/></w:pPr>
<w:r><w:t xml:space="preserve">of the 18th century the Russian fur traders had settlements</w:t></w:r>
</w:p>
<w:p>
<w:pPr><w:pStyle w:val="Normal"/></w:pPr>
<w:r><w:t xml:space="preserve">here for the capture of the seal and the sea otter and the</w:t></w:r>
</w:p>
<w:p>
<w:pPr><w:pStyle w:val="Normal"/></w:pPr>
<w:r><w:t xml:space="preserve">blue and the Arctic fox.  Under the American regime seal</w:t></w:r>
</w:p>
<w:p>
<w:pPr><w:pStyle w:val="Normal"/></w:pPr>
<w:r><w:t xml:space="preserve">fishing off the Aleutians save by the natives has never been</w:t></w:r>
</w:p>
<w:p>
<w:pPr><w:pStyle w:val="Normal"/></w:pPr>
<w:r><w:t xml:space="preserve">legal, but the depletion of the Pribilof herd, the almost</w:t></w:r>
</w:p>
<w:p>
<w:pPr><w:pStyle w:val="Normal"/></w:pPr>
<w:r><w:t xml:space="preserve">complete extinction of the sea otter, and the rapid decrease</w:t></w:r>
</w:p>
<w:p>
<w:pPr><w:pStyle w:val="Normal"/></w:pPr>
<w:r><w:t xml:space="preserve">of the foxes and other fur animals, have threatened the</w:t></w:r>
</w:p>
<w:p>
<w:pPr><w:pStyle w:val="Normal"/></w:pPr>
<w:r><w:t xml:space="preserve">Aleuts (as the natives are commonly called) with starvation.</w:t></w:r>
</w:p>
<w:p>
<w:pPr><w:pStyle w:val="Normal"/></w:pPr>
<w:r><w:t xml:space="preserve">In recent years enterprising traders have raised foxes by</w:t></w:r>
</w:p>
<w:p>
<w:pPr><w:pStyle w:val="Normal"/></w:pPr>
<w:r><w:t xml:space="preserve">culture and by especially protecting certain small islands,</w:t></w:r>
</w:p>
<w:p>
<w:pPr><w:pStyle w:val="Normal"/></w:pPr>
<w:r><w:t xml:space="preserve">and this has furnished employment to whole communities of</w:t></w:r>
</w:p>
<w:p>
<w:pPr><w:pStyle w:val="Normal"/></w:pPr>
<w:r><w:t xml:space="preserve">natives.  Fish and sea-fowl are extremely abundant.</w:t></w:r>
</w:p>
<w:p>
<w:pPr><w:pStyle w:val="Normal"/></w:pPr>
<w:r><w:t xml:space="preserve">The natives are rather low in stature, but plump and well</w:t></w:r>
</w:p>
<w:p>
<w:pPr><w:pStyle w:val="Normal"/></w:pPr>
<w:r><w:t xml:space="preserve">shaped, with short necks, swarthy faces, black eyes and long</w:t></w:r>
</w:p>
<w:p>
<w:pPr><w:pStyle w:val="Normal"/></w:pPr>
<w:r><w:t xml:space="preserve">black hair.  They are a branch of the Esquimauan family, but</w:t></w:r>
</w:p>
<w:p>
<w:pPr><w:pStyle w:val="Normal"/></w:pPr>
<w:r><w:t xml:space="preserve">differ greatly from the Eskimo of the mainland in language,</w:t></w:r>
</w:p>
<w:p>
<w:pPr><w:pStyle w:val="Normal"/></w:pPr>
<w:r><w:t xml:space="preserve">habits, disposition and mental ability.  They were good</w:t></w:r>
</w:p>
<w:p>
<w:pPr><w:pStyle w:val="Normal"/></w:pPr>
<w:r><w:t xml:space="preserve">fighters until they were cowed by the treatment of the Russians,</w:t></w:r>
</w:p>
<w:p>
<w:pPr><w:pStyle w:val="Normal"/></w:pPr>
<w:r><w:t xml:space="preserve">who practically reduced them to slavery.  Sporadic efforts</w:t></w:r>
</w:p>
<w:p>
<w:pPr><w:pStyle w:val="Normal"/></w:pPr>
<w:r><w:t xml:space="preserve">to Christianize the Aleuts were made in the latter half of</w:t></w:r>
</w:p>
<w:p>
<w:pPr><w:pStyle w:val="Normal"/></w:pPr>
<w:r><w:t xml:space="preserve">the 18th century, but little impression was made before the</w:t></w:r>
</w:p>
<w:p>
<w:pPr><w:pStyle w:val="Normal"/></w:pPr>
<w:r><w:t xml:space="preserve">arrival in 1824 of Father Ivan Venyaminov, who in 1840 became</w:t></w:r>
</w:p>
<w:p>
<w:pPr><w:pStyle w:val="Normal"/></w:pPr>
<w:r><w:t xml:space="preserve">the first Greek bishop of Alaska.  While the missionaries</w:t></w:r>
</w:p>
<w:p>
<w:pPr><w:pStyle w:val="Normal"/></w:pPr>
<w:r><w:t xml:space="preserve">of the Greek Church have nominally converted the natives to</w:t></w:r>
</w:p>
<w:p>
<w:pPr><w:pStyle w:val="Normal"/></w:pPr>
<w:r><w:t xml:space="preserve">Christianity, white adventurers have more effectually converted</w:t></w:r>
</w:p>
<w:p>
<w:pPr><w:pStyle w:val="Normal"/></w:pPr>
<w:r><w:t xml:space="preserve">them to various bad habits.  In dress and mode of life they</w:t></w:r>
</w:p>
<w:p>
<w:pPr><w:pStyle w:val="Normal"/></w:pPr>
<w:r><w:t xml:space="preserve">have adopted outwardly civilized customs.  From the position</w:t></w:r>
</w:p>
<w:p>
<w:pPr><w:pStyle w:val="Normal"/></w:pPr>
<w:r><w:t xml:space="preserve">of the Aleutian islands, stretching like a broken bridge</w:t></w:r>
</w:p>
<w:p>
<w:pPr><w:pStyle w:val="Normal"/></w:pPr>
<w:r><w:t xml:space="preserve">from Asia to America, some ethnologists have supposed that by</w:t></w:r>
</w:p>
<w:p>
<w:pPr><w:pStyle w:val="Normal"/></w:pPr>
<w:r><w:t xml:space="preserve">means of them America was first peopled.  Raised shore-lines,</w:t></w:r>
</w:p>
<w:p>
<w:pPr><w:pStyle w:val="Normal"/></w:pPr>
<w:r><w:t xml:space="preserve">occasional earthquakes, and slow measurable elevation of the</w:t></w:r>
</w:p>
<w:p>
<w:pPr><w:pStyle w:val="Normal"/></w:pPr>
<w:r><w:t xml:space="preserve">land about active volcanoes, indicate that elevation is now in</w:t></w:r>
</w:p>
<w:p>
<w:pPr><w:pStyle w:val="Normal"/></w:pPr>
<w:r><w:t xml:space="preserve">progress, but the geological evidence shows no sign of former</w:t></w:r>
</w:p>
<w:p>
<w:pPr><w:pStyle w:val="Normal"/></w:pPr>
<w:r><w:t xml:space="preserve">submergence of a connecting isthmus.  There is granite at the</w:t></w:r>
</w:p>
<w:p>
<w:pPr><w:pStyle w:val="Normal"/></w:pPr>
<w:r><w:t xml:space="preserve">core of the Shaler range of mountains in southern Unalaska.</w:t></w:r>
</w:p>
<w:p>
<w:pPr><w:pStyle w:val="Normal"/></w:pPr>
<w:r><w:t xml:space="preserve">It is stated that before the advent of the Russians there were</w:t></w:r>
</w:p>
<w:p>
<w:pPr><w:pStyle w:val="Normal"/></w:pPr>
<w:r><w:t xml:space="preserve">25,000 Aleuts on the archipelago, but that the barbarities of the</w:t></w:r>
</w:p>
<w:p>
<w:pPr><w:pStyle w:val="Normal"/></w:pPr>
<w:r><w:t xml:space="preserve">traders eventually reduced the population to one-tenth of this</w:t></w:r>
</w:p>
<w:p>
<w:pPr><w:pStyle w:val="Normal"/></w:pPr>
<w:r><w:t xml:space="preserve">number.  The number of Aleuts in 1890 was reported as 968;</w:t></w:r>
</w:p>
<w:p>
<w:pPr><w:pStyle w:val="Normal"/></w:pPr>
<w:r><w:t xml:space="preserve">the total population of the archipelago in 1900 was 2000.</w:t></w:r>
</w:p>
<w:p>
<w:pPr><w:pStyle w:val="Normal"/></w:pPr>
<w:r><w:t xml:space="preserve">The principal settlements are on the Unalaska Island.  Of</w:t></w:r>
</w:p>
<w:p>
<w:pPr><w:pStyle w:val="Normal"/></w:pPr>
<w:r><w:t xml:space="preserve">these Iliuliuk (also called Unalaska), the oldest, settled in</w:t></w:r>
</w:p>
<w:p>
<w:pPr><w:pStyle w:val="Normal"/></w:pPr>
<w:r><w:t xml:space="preserve">1760-1775, has a custom house, a Russian-Greek Church, and a</w:t></w:r>
</w:p>
<w:p>
<w:pPr><w:pStyle w:val="Normal"/></w:pPr>
<w:r><w:t xml:space="preserve">Methodist Mission and orphanage, and is the headquarters for</w:t></w:r>
</w:p>
<w:p>
<w:pPr><w:pStyle w:val="Normal"/></w:pPr>
<w:r><w:t xml:space="preserve">a considerable fleet of United States revenue cutters which</w:t></w:r>
</w:p>
<w:p>
<w:pPr><w:pStyle w:val="Normal"/></w:pPr>
<w:r><w:t xml:space="preserve">patrol the sealing grounds of the Pribilofs; adjacent is Dutch</w:t></w:r>
</w:p>
<w:p>
<w:pPr><w:pStyle w:val="Normal"/></w:pPr>
<w:r><w:t xml:space="preserve">Harbor (so named, it is said, because a Dutch vessel was the</w:t></w:r>
</w:p>
<w:p>
<w:pPr><w:pStyle w:val="Normal"/></w:pPr>
<w:r><w:t xml:space="preserve">first to enter it), which is an important port for Bering Sea</w:t></w:r>
</w:p>
<w:p>
<w:pPr><w:pStyle w:val="Normal"/></w:pPr>
<w:r><w:t xml:space="preserve">commerce.  The volcano Makushin (5691 ft.) is visible from</w:t></w:r>
</w:p>
<w:p>
<w:pPr><w:pStyle w:val="Normal"/></w:pPr>
<w:r><w:t xml:space="preserve">Iliuliuk, and the volcanic islets Bogoslof and Grewingk, which</w:t></w:r>
</w:p>
<w:p>
<w:pPr><w:pStyle w:val="Normal"/></w:pPr>
<w:r><w:t xml:space="preserve">rose from the sea in 1796 and 1883 respectively, lie about 30</w:t></w:r>
</w:p>
<w:p>
<w:pPr><w:pStyle w:val="Normal"/></w:pPr>
<w:r><w:t xml:space="preserve">m.  W. of the bay.  The latter is still active; in 1906 a new</w:t></w:r>
</w:p>
<w:p>
<w:pPr><w:pStyle w:val="Normal"/></w:pPr>
<w:r><w:t xml:space="preserve">cone rose between the two earlier islets, and in 1907 still</w:t></w:r>
</w:p>
<w:p>
<w:pPr><w:pStyle w:val="Normal"/></w:pPr>
<w:r><w:t xml:space="preserve">another: these were nearly demolished by an explosive eruption</w:t></w:r>
</w:p>
<w:p>
<w:pPr><w:pStyle w:val="Normal"/></w:pPr>
<w:r><w:t xml:space="preserve">on the 1st of September 1907.  The population of Unalaska</w:t></w:r>
</w:p>
<w:p>
<w:pPr><w:pStyle w:val="Normal"/></w:pPr>
<w:r><w:t xml:space="preserve">Island in 1900 was 575 Aleuts and 66 whites.  The Commander</w:t></w:r>
</w:p>
<w:p>
<w:pPr><w:pStyle w:val="Normal"/></w:pPr>
<w:r><w:t xml:space="preserve">Islands group near the Asiatic coast is geographically,</w:t></w:r>
</w:p>
<w:p>
<w:pPr><w:pStyle w:val="Normal"/></w:pPr>
<w:r><w:t xml:space="preserve">but since the acquisition of the Russian possessions in</w:t></w:r>
</w:p>
<w:p>
<w:pPr><w:pStyle w:val="Normal"/></w:pPr>
<w:r><w:t xml:space="preserve">America not politically, a part of the Aleutian system.</w:t></w:r>
</w:p>
<w:p>
<w:pPr><w:pStyle w:val="Normal"/></w:pPr>
<w:r><w:t xml:space="preserve">In 1741 the Russian government sent out Vitus Bering, a</w:t></w:r>
</w:p>
<w:p>
<w:pPr><w:pStyle w:val="Normal"/></w:pPr>
<w:r><w:t xml:space="preserve">Dane, and Alexei Chirikov, a Russian, in the ships ``Saint</w:t></w:r>
</w:p>
<w:p>
<w:pPr><w:pStyle w:val="Normal"/></w:pPr>
<w:r><w:t xml:space="preserve">Peter&apos;&apos; and ``Saint Paul&apos;&apos; on a voyage of discovery in</w:t></w:r>
</w:p>
<w:p>
<w:pPr><w:pStyle w:val="Normal"/></w:pPr>
<w:r><w:t xml:space="preserve">the Northern Pacific.  After the ships were separated by a</w:t></w:r>
</w:p>
<w:p>
<w:pPr><w:pStyle w:val="Normal"/></w:pPr>
<w:r><w:t xml:space="preserve">storm, Chirikov discovered several eastern islands of the</w:t></w:r>
</w:p>
<w:p>
<w:pPr><w:pStyle w:val="Normal"/></w:pPr>
<w:r><w:t xml:space="preserve">Aleutian group, and Bering discovered several of the western</w:t></w:r>
</w:p>
<w:p>
<w:pPr><w:pStyle w:val="Normal"/></w:pPr>
<w:r><w:t xml:space="preserve">islands, finally being wrecked and losing his life on the</w:t></w:r>
</w:p>
<w:p>
<w:pPr><w:pStyle w:val="Normal"/></w:pPr>
<w:r><w:t xml:space="preserve">island of the Commander group that now bears his name.</w:t></w:r>
</w:p>
<w:p>
<w:pPr><w:pStyle w:val="Normal"/></w:pPr>
<w:r><w:t xml:space="preserve">The survivors of Bering&apos;s party reached Kamchatka in a boat</w:t></w:r>
</w:p>
<w:p>
<w:pPr><w:pStyle w:val="Normal"/></w:pPr>
<w:r><w:t xml:space="preserve">constructed from the wreckage of their ship, and reported</w:t></w:r>
</w:p>
<w:p>
<w:pPr><w:pStyle w:val="Normal"/></w:pPr>
<w:r><w:t xml:space="preserve">that the islands were rich in fur-bearing animals.  Siberian</w:t></w:r>
</w:p>
<w:p>
<w:pPr><w:pStyle w:val="Normal"/></w:pPr>
<w:r><w:t xml:space="preserve">fur hunters at once flocked to the Commander Islands and</w:t></w:r>
</w:p>
<w:p>
<w:pPr><w:pStyle w:val="Normal"/></w:pPr>
<w:r><w:t xml:space="preserve">gradually moved eastward across the Aleutian Islands to the</w:t></w:r>
</w:p>
<w:p>
<w:pPr><w:pStyle w:val="Normal"/></w:pPr>
<w:r><w:t xml:space="preserve">mainland.  In this manner Russia gained a foothold on the</w:t></w:r>
</w:p>
<w:p>
<w:pPr><w:pStyle w:val="Normal"/></w:pPr>
<w:r><w:t xml:space="preserve">north-western coast of North America.  The Aleutian Islands</w:t></w:r>
</w:p>
<w:p>
<w:pPr><w:pStyle w:val="Normal"/></w:pPr>
<w:r><w:t xml:space="preserve">consequently belonged to Russia, until that country in 1867</w:t></w:r>
</w:p>
<w:p>
<w:pPr><w:pStyle w:val="Normal"/></w:pPr>
<w:r><w:t xml:space="preserve">transferred to the United States all its possessions in</w:t></w:r>
</w:p>
<w:p>
<w:pPr><w:pStyle w:val="Normal"/></w:pPr>
<w:r><w:t xml:space="preserve">America.  During his third and last voyage, in 1778, Captain</w:t></w:r>
</w:p>
<w:p>
<w:pPr><w:pStyle w:val="Normal"/></w:pPr>
<w:r><w:t xml:space="preserve">James Cook surveyed the eastern portion of the Aleutian</w:t></w:r>
</w:p>
<w:p>
<w:pPr><w:pStyle w:val="Normal"/></w:pPr>
<w:r><w:t xml:space="preserve">archipelago, accurately determined the position of some of</w:t></w:r>
</w:p>
<w:p>
<w:pPr><w:pStyle w:val="Normal"/></w:pPr>
<w:r><w:t xml:space="preserve">the more important islands and corrected many errors of former</w:t></w:r>
</w:p>
<w:p>
<w:pPr><w:pStyle w:val="Normal"/></w:pPr>
<w:r><w:t xml:space="preserve">navigators.  Some preliminary surveys have been made by the United</w:t></w:r>
</w:p>
<w:p>
<w:pPr><w:pStyle w:val="Normal"/></w:pPr>
<w:r><w:t xml:space="preserve">States government with a view to establishing a naval station</w:t></w:r>
</w:p>
<w:p>
<w:pPr><w:pStyle w:val="Normal"/></w:pPr>
<w:r><w:t xml:space="preserve">on the island Kiska, in the western part of the Aleutian Chain.</w:t></w:r>
</w:p>
<w:p>
<w:pPr><w:pStyle w:val="Normal"/></w:pPr>
<w:r><w:t xml:space="preserve">ALEXANDER (ALEXANDER OF BATTENBERG) (1857-1893), first</w:t></w:r>
</w:p>
<w:p>
<w:pPr><w:pStyle w:val="Normal"/></w:pPr>
<w:r><w:t xml:space="preserve">prince of Bulgaria, was the second son of Prince Alexander</w:t></w:r>
</w:p>
<w:p>
<w:pPr><w:pStyle w:val="Normal"/></w:pPr>
<w:r><w:t xml:space="preserve">of Hesse and the Rhine by his morganatic marriage with</w:t></w:r>
</w:p>
<w:p>
<w:pPr><w:pStyle w:val="Normal"/></w:pPr>
<w:r><w:t xml:space="preserve">Julia, countess von Hauke.  The title of princess of</w:t></w:r>
</w:p>
<w:p>
<w:pPr><w:pStyle w:val="Normal"/></w:pPr>
<w:r><w:t xml:space="preserve">Battenberg, derived from an old residence of the grand-dukes</w:t></w:r>
</w:p>
<w:p>
<w:pPr><w:pStyle w:val="Normal"/></w:pPr>
<w:r><w:t xml:space="preserve">of Hesse, was conferred, with the prefix Durchlaucht or</w:t></w:r>
</w:p>
<w:p>
<w:pPr><w:pStyle w:val="Normal"/></w:pPr>
<w:r><w:t xml:space="preserve">``Serene Highness,&apos;&apos; on the countess and her descendants in</w:t></w:r>
</w:p>
<w:p>
<w:pPr><w:pStyle w:val="Normal"/></w:pPr>
<w:r><w:t xml:space="preserve">1858.  Prince Alexander, who was born on the 5th of April</w:t></w:r>
</w:p>
<w:p>
<w:pPr><w:pStyle w:val="Normal"/></w:pPr>
<w:r><w:t xml:space="preserve">1857, was nephew of the tsar Alexander II., who had married</w:t></w:r>
</w:p>
<w:p>
<w:pPr><w:pStyle w:val="Normal"/></w:pPr>
<w:r><w:t xml:space="preserve">a sister of Prince Alexander of Hesse; his mother, a daughter</w:t></w:r>
</w:p>
<w:p>
<w:pPr><w:pStyle w:val="Normal"/></w:pPr>
<w:r><w:t xml:space="preserve">of Count Moritz von Hauke, had been lady-in-waiting to the</w:t></w:r>
</w:p>
<w:p>
<w:pPr><w:pStyle w:val="Normal"/></w:pPr>
<w:r><w:t xml:space="preserve">tsaritsa.  In his boyhood and early youth he was frequently</w:t></w:r>
</w:p>
<w:p>
<w:pPr><w:pStyle w:val="Normal"/></w:pPr>
<w:r><w:t xml:space="preserve">at St Petersburg, and he accompanied his uncle, who was</w:t></w:r>
</w:p>
<w:p>
<w:pPr><w:pStyle w:val="Normal"/></w:pPr>
<w:r><w:t xml:space="preserve">much attached to him, during the Bulgarian campaign of</w:t></w:r>
</w:p>
<w:p>
<w:pPr><w:pStyle w:val="Normal"/></w:pPr>
<w:r><w:t xml:space="preserve">1877.  When Bulgaria under the Berlin Treaty was constituted</w:t></w:r>
</w:p>
<w:p>
<w:pPr><w:pStyle w:val="Normal"/></w:pPr>
<w:r><w:t xml:space="preserve">an autonomous principality under the suzerainty of Turkey, the</w:t></w:r>
</w:p>
<w:p>
<w:pPr><w:pStyle w:val="Normal"/></w:pPr>
<w:r><w:t xml:space="preserve">tsar recommended his nephew to the Bulgarians as a candidate</w:t></w:r>
</w:p>
<w:p>
<w:pPr><w:pStyle w:val="Normal"/></w:pPr>
<w:r><w:t xml:space="preserve">for the newly created throne, and Prince Alexander was elected</w:t></w:r>
</w:p>
<w:p>
<w:pPr><w:pStyle w:val="Normal"/></w:pPr>
<w:r><w:t xml:space="preserve">prince of Bulgaria by unanimous vote of the Grand Sobranye</w:t></w:r>
</w:p>
<w:p>
<w:pPr><w:pStyle w:val="Normal"/></w:pPr>
<w:r><w:t xml:space="preserve">(April 29, 1879).  He was at that time serving as a lieutenant</w:t></w:r>
</w:p>
<w:p>
<w:pPr><w:pStyle w:val="Normal"/></w:pPr>
<w:r><w:t xml:space="preserve">in the Prussian life-guards at Potsdam.  Before proceeding</w:t></w:r>
</w:p>
<w:p>
<w:pPr><w:pStyle w:val="Normal"/></w:pPr>
<w:r><w:t xml:space="preserve">to Bulgaria, Prince Alexander paid visits to the tsar at</w:t></w:r>
</w:p>
<w:p>
<w:pPr><w:pStyle w:val="Normal"/></w:pPr>
<w:r><w:t xml:space="preserve">Livadia, to the courts of the great powers and to the sultan;</w:t></w:r>
</w:p>
<w:p>
<w:pPr><w:pStyle w:val="Normal"/></w:pPr>
<w:r><w:t xml:space="preserve">he was then conveyed on a Russian warship to Varna, and after</w:t></w:r>
</w:p>
<w:p>
<w:pPr><w:pStyle w:val="Normal"/></w:pPr>
<w:r><w:t xml:space="preserve">taking the oath to the new constitution at Tirnova (July</w:t></w:r>
</w:p>
<w:p>
<w:pPr><w:pStyle w:val="Normal"/></w:pPr>
<w:r><w:t xml:space="preserve">8, 1879) he repaired to Sofia, being everywhere greeted with</w:t></w:r>
</w:p>
<w:p>
<w:pPr><w:pStyle w:val="Normal"/></w:pPr>
<w:r><w:t xml:space="preserve">immense enthusiasm by the people. (For the political history</w:t></w:r>
</w:p>
<w:p>
<w:pPr><w:pStyle w:val="Normal"/></w:pPr>
<w:r><w:t xml:space="preserve">of Prince Alexander&apos;s reign, see BULGARIA.) Without any</w:t></w:r>
</w:p>
<w:p>
<w:pPr><w:pStyle w:val="Normal"/></w:pPr>
<w:r><w:t xml:space="preserve">previous training in the art of government, the young prince</w:t></w:r>
</w:p>
<w:p>
<w:pPr><w:pStyle w:val="Normal"/></w:pPr>
<w:r><w:t xml:space="preserve">from the outset found himself confronted with difficulties</w:t></w:r>
</w:p>
<w:p>
<w:pPr><w:pStyle w:val="Normal"/></w:pPr>
<w:r><w:t xml:space="preserve">which would have tried the sagacity of an experienced ruler.</w:t></w:r>
</w:p>
<w:p>
<w:pPr><w:pStyle w:val="Normal"/></w:pPr>
<w:r><w:t xml:space="preserve">On the one hand he was exposed to numberless humiliations on</w:t></w:r>
</w:p>
<w:p>
<w:pPr><w:pStyle w:val="Normal"/></w:pPr>
<w:r><w:t xml:space="preserve">the part of the representatives of official Russia, who made</w:t></w:r>
</w:p>
<w:p>
<w:pPr><w:pStyle w:val="Normal"/></w:pPr>
<w:r><w:t xml:space="preserve">it clear to him that he was expected to play the part of a</w:t></w:r>
</w:p>
<w:p>
<w:pPr><w:pStyle w:val="Normal"/></w:pPr>
<w:r><w:t xml:space="preserve">roi faineant; on the other he was compelled to make terms</w:t></w:r>
</w:p>
<w:p>
<w:pPr><w:pStyle w:val="Normal"/></w:pPr>
<w:r><w:t xml:space="preserve">with the Bulgarian politicians, who, intoxicated with newly won</w:t></w:r>
</w:p>
<w:p>
<w:pPr><w:pStyle w:val="Normal"/></w:pPr>
<w:r><w:t xml:space="preserve">liberty, prosecuted their quarrels with a crude violence which</w:t></w:r>
</w:p>
<w:p>
<w:pPr><w:pStyle w:val="Normal"/></w:pPr>
<w:r><w:t xml:space="preserve">threatened to subvert his authority and to plunge the nation in</w:t></w:r>
</w:p>
<w:p>
<w:pPr><w:pStyle w:val="Normal"/></w:pPr>
<w:r><w:t xml:space="preserve">anarchy.  After attempting to govern under these conditions</w:t></w:r>
</w:p>
<w:p>
<w:pPr><w:pStyle w:val="Normal"/></w:pPr>
<w:r><w:t xml:space="preserve">for nearly two years, the prince, with the consent of the tsar</w:t></w:r>
</w:p>
<w:p>
<w:pPr><w:pStyle w:val="Normal"/></w:pPr>
<w:r><w:t xml:space="preserve">Alexander III., assumed absolute power (May 9, 1881), and a</w:t></w:r>
</w:p>
<w:p>
<w:pPr><w:pStyle w:val="Normal"/></w:pPr>
<w:r><w:t xml:space="preserve">suspension of the ultra-democratic constitution for a period</w:t></w:r>
</w:p>
<w:p>
<w:pPr><w:pStyle w:val="Normal"/></w:pPr>
<w:r><w:t xml:space="preserve">of seven years was voted by a specially convened assembly</w:t></w:r>
</w:p>
<w:p>
<w:pPr><w:pStyle w:val="Normal"/></w:pPr>
<w:r><w:t xml:space="preserve">(July 13). The experiment, however, proved unsuccessful; the</w:t></w:r>
</w:p>
<w:p>
<w:pPr><w:pStyle w:val="Normal"/></w:pPr>
<w:r><w:t xml:space="preserve">Bulgarian Liberal and Radical politicians were infuriated, and</w:t></w:r>
</w:p>
<w:p>
<w:pPr><w:pStyle w:val="Normal"/></w:pPr>
<w:r><w:t xml:space="preserve">the real power fell into the hands of two Russian generals,</w:t></w:r>
</w:p>
<w:p>
<w:pPr><w:pStyle w:val="Normal"/></w:pPr>
<w:r><w:t xml:space="preserve">Sobolev and Kaulbars, who had been specially despatched from St</w:t></w:r>
</w:p>
<w:p>
<w:pPr><w:pStyle w:val="Normal"/></w:pPr>
<w:r><w:t xml:space="preserve">Petersburg.  The prince, after vainly endeavouring to obtain</w:t></w:r>
</w:p>
<w:p>
<w:pPr><w:pStyle w:val="Normal"/></w:pPr>
<w:r><w:t xml:space="preserve">the recall of the generals, restored the constitution with the</w:t></w:r>
</w:p>
<w:p>
<w:pPr><w:pStyle w:val="Normal"/></w:pPr>
<w:r><w:t xml:space="preserve">concurrence of all the Bulgarian political parties (September</w:t></w:r>
</w:p>
<w:p>
<w:pPr><w:pStyle w:val="Normal"/></w:pPr>
<w:r><w:t xml:space="preserve">18, 1883).  A serious breach with Russia followed, which was</w:t></w:r>
</w:p>
<w:p>
<w:pPr><w:pStyle w:val="Normal"/></w:pPr>
<w:r><w:t xml:space="preserve">widened by the part which the prince subsequently played in</w:t></w:r>
</w:p>
<w:p>
<w:pPr><w:pStyle w:val="Normal"/></w:pPr>
<w:r><w:t xml:space="preserve">encouraging the national aspirations of the Bulgarians.  The</w:t></w:r>
</w:p>
<w:p>
<w:pPr><w:pStyle w:val="Normal"/></w:pPr>
<w:r><w:t xml:space="preserve">revolution of Philippopolis (September 18, 1885), which brought</w:t></w:r>
</w:p>
<w:p>
<w:pPr><w:pStyle w:val="Normal"/></w:pPr>
<w:r><w:t xml:space="preserve">about the union of Eastern Rumelia with Bulgaria, was carried</w:t></w:r>
</w:p>
<w:p>
<w:pPr><w:pStyle w:val="Normal"/></w:pPr>
<w:r><w:t xml:space="preserve">out with his consent, and he at once assumed the government of</w:t></w:r>
</w:p>
<w:p>
<w:pPr><w:pStyle w:val="Normal"/></w:pPr>
<w:r><w:t xml:space="preserve">the revolted province.  In the anxious year which followed, the</w:t></w:r>
</w:p>
<w:p>
<w:pPr><w:pStyle w:val="Normal"/></w:pPr>
<w:r><w:t xml:space="preserve">prince gave evidence of considerable military and diplomatic</w:t></w:r>
</w:p>
<w:p>
<w:pPr><w:pStyle w:val="Normal"/></w:pPr>
<w:r><w:t xml:space="preserve">ability.  He rallied the Bulgarian army, now deprived of</w:t></w:r>
</w:p>
<w:p>
<w:pPr><w:pStyle w:val="Normal"/></w:pPr>
<w:r><w:t xml:space="preserve">its Russian officers, to resist the Servian invasion, and</w:t></w:r>
</w:p>
<w:p>
<w:pPr><w:pStyle w:val="Normal"/></w:pPr>
<w:r><w:t xml:space="preserve">after a brilliant victory at Slivnitza (November 19) pursued</w:t></w:r>
</w:p>
<w:p>
<w:pPr><w:pStyle w:val="Normal"/></w:pPr>
<w:r><w:t xml:space="preserve">King Milan into Servian territory as far as Pirot, which he</w:t></w:r>
</w:p>
<w:p>
<w:pPr><w:pStyle w:val="Normal"/></w:pPr>
<w:r><w:t xml:space="preserve">captured (November 27). Although Servia was protected from the</w:t></w:r>
</w:p>
<w:p>
<w:pPr><w:pStyle w:val="Normal"/></w:pPr>
<w:r><w:t xml:space="preserve">consequences of defeat by the intervention of Austria, Prince</w:t></w:r>
</w:p>
<w:p>
<w:pPr><w:pStyle w:val="Normal"/></w:pPr>
<w:r><w:t xml:space="preserve">Alexander&apos;s success sealed the union with Eastern Rumelia,</w:t></w:r>
</w:p>
<w:p>
<w:pPr><w:pStyle w:val="Normal"/></w:pPr>
<w:r><w:t xml:space="preserve">and after long negotiations he was nominated governor-general</w:t></w:r>
</w:p>
<w:p>
<w:pPr><w:pStyle w:val="Normal"/></w:pPr>
<w:r><w:t xml:space="preserve">of that province for five years by the sultan (April 5,</w:t></w:r>
</w:p>
<w:p>
<w:pPr><w:pStyle w:val="Normal"/></w:pPr>
<w:r><w:t xml:space="preserve">1886).  This arrangement, however, cost him much of his</w:t></w:r>
</w:p>
<w:p>
<w:pPr><w:pStyle w:val="Normal"/></w:pPr>
<w:r><w:t xml:space="preserve">popularity in Bulgaria, while discontent prevailed among a</w:t></w:r>
</w:p>
<w:p>
<w:pPr><w:pStyle w:val="Normal"/></w:pPr>
<w:r><w:t xml:space="preserve">certain number of his officers, who considered themselves</w:t></w:r>
</w:p>
<w:p>
<w:pPr><w:pStyle w:val="Normal"/></w:pPr>
<w:r><w:t xml:space="preserve">slighted in the distribution of rewards at the close of the</w:t></w:r>
</w:p>
<w:p>
<w:pPr><w:pStyle w:val="Normal"/></w:pPr>
<w:r><w:t xml:space="preserve">campaign.  A military conspiracy was formed, and on the night</w:t></w:r>
</w:p>
<w:p>
<w:pPr><w:pStyle w:val="Normal"/></w:pPr>
<w:r><w:t xml:space="preserve">of the 20th of August the prince was seized in the palace at</w:t></w:r>
</w:p>
<w:p>
<w:pPr><w:pStyle w:val="Normal"/></w:pPr>
<w:r><w:t xml:space="preserve">Sofia, and compelled to sign his abdication; he was then</w:t></w:r>
</w:p>
<w:p>
<w:pPr><w:pStyle w:val="Normal"/></w:pPr>
<w:r><w:t xml:space="preserve">hurried to the Danube at Rakhovo, transported on his yacht to</w:t></w:r>
</w:p>
<w:p>
<w:pPr><w:pStyle w:val="Normal"/></w:pPr>
<w:r><w:t xml:space="preserve">Reni, and handed over to Russian authorities, by whom he was</w:t></w:r>
</w:p>
<w:p>
<w:pPr><w:pStyle w:val="Normal"/></w:pPr>
<w:r><w:t xml:space="preserve">allowed to proceed to Lemberg.  He soon, however, returned to</w:t></w:r>
</w:p>
<w:p>
<w:pPr><w:pStyle w:val="Normal"/></w:pPr>
<w:r><w:t xml:space="preserve">Bulgaria, owing to the success of the counter- revolution led</w:t></w:r>
</w:p>
<w:p>
<w:pPr><w:pStyle w:val="Normal"/></w:pPr>
<w:r><w:t xml:space="preserve">by Stamboloff, which overthrew the provisional government set</w:t></w:r>
</w:p>
<w:p>
<w:pPr><w:pStyle w:val="Normal"/></w:pPr>
<w:r><w:t xml:space="preserve">up by the Russian party at Sofia.  But his position had become</w:t></w:r>
</w:p>
<w:p>
<w:pPr><w:pStyle w:val="Normal"/></w:pPr>
<w:r><w:t xml:space="preserve">untenable, partly owing to an ill-considered telegram which</w:t></w:r>
</w:p>
<w:p>
<w:pPr><w:pStyle w:val="Normal"/></w:pPr>
<w:r><w:t xml:space="preserve">he addressed to the tsar on his return; partly in consequence</w:t></w:r>
</w:p>
<w:p>
<w:pPr><w:pStyle w:val="Normal"/></w:pPr>
<w:r><w:t xml:space="preserve">of the attitude of Prince Bismarck, who, in conjunction</w:t></w:r>
</w:p>
<w:p>
<w:pPr><w:pStyle w:val="Normal"/></w:pPr>
<w:r><w:t xml:space="preserve">with the Russian and Austrian governments, forbade him to</w:t></w:r>
</w:p>
<w:p>
<w:pPr><w:pStyle w:val="Normal"/></w:pPr>
<w:r><w:t xml:space="preserve">punish the leaders of the military conspiracy.  He therefore</w:t></w:r>
</w:p>
<w:p>
<w:pPr><w:pStyle w:val="Normal"/></w:pPr>
<w:r><w:t xml:space="preserve">issued a manifesto resigning the throne, and left Bulgaria</w:t></w:r>
</w:p>
<w:p>
<w:pPr><w:pStyle w:val="Normal"/></w:pPr>
<w:r><w:t xml:space="preserve">on the 8th of September 1886.  He now retired into private</w:t></w:r>
</w:p>
<w:p>
<w:pPr><w:pStyle w:val="Normal"/></w:pPr>
<w:r><w:t xml:space="preserve">life.  A few years later he married Fraulein Loisinger, an</w:t></w:r>
</w:p>
<w:p>
<w:pPr><w:pStyle w:val="Normal"/></w:pPr>
<w:r><w:t xml:space="preserve">actress, and assumed the style of Count Hartenau (February 6,</w:t></w:r>
</w:p>
<w:p>
<w:pPr><w:pStyle w:val="Normal"/></w:pPr>
<w:r><w:t xml:space="preserve">1889).  The last years of his life were spent principally at</w:t></w:r>
</w:p>
<w:p>
<w:pPr><w:pStyle w:val="Normal"/></w:pPr>
<w:r><w:t xml:space="preserve">Gratz, where he held a local command in the Austrian army.</w:t></w:r>
</w:p>
<w:p>
<w:pPr><w:pStyle w:val="Normal"/></w:pPr>
<w:r><w:t xml:space="preserve">Here, after a short illness, he died on the 23rd of October</w:t></w:r>
</w:p>
<w:p>
<w:pPr><w:pStyle w:val="Normal"/></w:pPr>
<w:r><w:t xml:space="preserve">1893.  His remains were brought to Sofia, where they received</w:t></w:r>
</w:p>
<w:p>
<w:pPr><w:pStyle w:val="Normal"/></w:pPr>
<w:r><w:t xml:space="preserve">a public funeral, and were eventually deposited in a mausoleum</w:t></w:r>
</w:p>
<w:p>
<w:pPr><w:pStyle w:val="Normal"/></w:pPr>
<w:r><w:t xml:space="preserve">erected in his memory.  Prince Alexander possessed much</w:t></w:r>
</w:p>
<w:p>
<w:pPr><w:pStyle w:val="Normal"/></w:pPr>
<w:r><w:t xml:space="preserve">charm and amiability of manner; he was tall, dignified and</w:t></w:r>
</w:p>
<w:p>
<w:pPr><w:pStyle w:val="Normal"/></w:pPr>
<w:r><w:t xml:space="preserve">strikingly handsome.  His capabilities as a soldier have been</w:t></w:r>
</w:p>
<w:p>
<w:pPr><w:pStyle w:val="Normal"/></w:pPr>
<w:r><w:t xml:space="preserve">generally recognized by competent authorities.  As a ruler</w:t></w:r>
</w:p>
<w:p>
<w:pPr><w:pStyle w:val="Normal"/></w:pPr>
<w:r><w:t xml:space="preserve">he committed some errors, but his youth and inexperience and</w:t></w:r>
</w:p>
<w:p>
<w:pPr><w:pStyle w:val="Normal"/></w:pPr>
<w:r><w:t xml:space="preserve">the extreme difficulty of his position must be taken into</w:t></w:r>
</w:p>
<w:p>
<w:pPr><w:pStyle w:val="Normal"/></w:pPr>
<w:r><w:t xml:space="preserve">consideration.  He was not without aptitude for diplomacy,</w:t></w:r>
</w:p>
<w:p>
<w:pPr><w:pStyle w:val="Normal"/></w:pPr>
<w:r><w:t xml:space="preserve">and his intuitive insight and perception of character</w:t></w:r>
</w:p>
<w:p>
<w:pPr><w:pStyle w:val="Normal"/></w:pPr>
<w:r><w:t xml:space="preserve">sometimes enabled him to outwit the crafty politicians by</w:t></w:r>
</w:p>
<w:p>
<w:pPr><w:pStyle w:val="Normal"/></w:pPr>
<w:r><w:t xml:space="preserve">whom he was surrounded.  His principal fault was a want</w:t></w:r>
</w:p>
<w:p>
<w:pPr><w:pStyle w:val="Normal"/></w:pPr>
<w:r><w:t xml:space="preserve">of tenacity and resolution; his tendency to unguarded</w:t></w:r>
</w:p>
<w:p>
<w:pPr><w:pStyle w:val="Normal"/></w:pPr>
<w:r><w:t xml:space="preserve">language undoubtedly increased the number of his enemies.</w:t></w:r>
</w:p>
<w:p>
<w:pPr><w:pStyle w:val="Normal"/></w:pPr>
<w:r><w:t xml:space="preserve">See Drandar, Le Prince Alexandre de Battenberg en Bulgarie</w:t></w:r>
</w:p>
<w:p>
<w:pPr><w:pStyle w:val="Normal"/></w:pPr>
<w:r><w:t xml:space="preserve">(Paris, 1884); Koch, Furst Alexander von Bulgarien</w:t></w:r>
</w:p>
<w:p>
<w:pPr><w:pStyle w:val="Normal"/></w:pPr>
<w:r><w:t xml:space="preserve">(Darmstadt, 1887); Matveyev, Bulgarien nach dem Berliner</w:t></w:r>
</w:p>
<w:p>
<w:pPr><w:pStyle w:val="Normal"/></w:pPr>
<w:r><w:t xml:space="preserve">Congress (Petersburg, 1887); Bourchier, ``Prince Alexander of</w:t></w:r>
</w:p>
<w:p>
<w:pPr><w:pStyle w:val="Normal"/></w:pPr>
<w:r><w:t xml:space="preserve">Battenberg,&apos;&apos; in Fortnightly Review, January 1894. (J. D. B.)</w:t></w:r>
</w:p>
<w:p>
<w:pPr><w:pStyle w:val="Normal"/></w:pPr>
<w:r><w:t xml:space="preserve">ALEXANDER I., king of Epirus about 342 B.C., brother of</w:t></w:r>
</w:p>
<w:p>
<w:pPr><w:pStyle w:val="Normal"/></w:pPr>
<w:r><w:t xml:space="preserve">Olympias the mother of Alexander the Great, and son-in-law</w:t></w:r>
</w:p>
<w:p>
<w:pPr><w:pStyle w:val="Normal"/></w:pPr>
<w:r><w:t xml:space="preserve">of Philip of Macedon, whose daughter Cleopatra he married</w:t></w:r>
</w:p>
<w:p>
<w:pPr><w:pStyle w:val="Normal"/></w:pPr>
<w:r><w:t xml:space="preserve">(336).  In 332 he crossed over to Italy to assist the</w:t></w:r>
</w:p>
<w:p>
<w:pPr><w:pStyle w:val="Normal"/></w:pPr>
<w:r><w:t xml:space="preserve">Tarentines against the Lucanians, Bruttians and Samnites.</w:t></w:r>
</w:p>
<w:p>
<w:pPr><w:pStyle w:val="Normal"/></w:pPr>
<w:r><w:t xml:space="preserve">He gained considerable successes and made an arrangement</w:t></w:r>
</w:p>
<w:p>
<w:pPr><w:pStyle w:val="Normal"/></w:pPr>
<w:r><w:t xml:space="preserve">with the Romans for a joint attack upon the Samnites; but</w:t></w:r>
</w:p>
<w:p>
<w:pPr><w:pStyle w:val="Normal"/></w:pPr>
<w:r><w:t xml:space="preserve">the Tarentines, suspecting him of the design of founding</w:t></w:r>
</w:p>
<w:p>
<w:pPr><w:pStyle w:val="Normal"/></w:pPr>
<w:r><w:t xml:space="preserve">an independent kingdom, turned against him.  Although the</w:t></w:r>
</w:p>
<w:p>
<w:pPr><w:pStyle w:val="Normal"/></w:pPr>
<w:r><w:t xml:space="preserve">advantage at first rested with Alexander, he gradually lost</w:t></w:r>
</w:p>
<w:p>
<w:pPr><w:pStyle w:val="Normal"/></w:pPr>
<w:r><w:t xml:space="preserve">it, and his supporters dwindled away.  In 330 (or earlier)</w:t></w:r>
</w:p>
<w:p>
<w:pPr><w:pStyle w:val="Normal"/></w:pPr>
<w:r><w:t xml:space="preserve">he was defeated at Pandosia and slain by a Lucanian emigrant.</w:t></w:r>
</w:p>
<w:p>
<w:pPr><w:pStyle w:val="Normal"/></w:pPr>
<w:r><w:t xml:space="preserve">See Justin viii. 6, ix. 6, xii. 2; Livy viii. 3, 17, 24;</w:t></w:r>
</w:p>
<w:p>
<w:pPr><w:pStyle w:val="Normal"/></w:pPr>
<w:r><w:t xml:space="preserve">Aulus Gellius xvii. 21; and article MACEDONIAN EMPIRE.</w:t></w:r>
</w:p>
<w:p>
<w:pPr><w:pStyle w:val="Normal"/></w:pPr>
<w:r><w:t xml:space="preserve">ALEXANDER II., king of Epirus, succeeded his father Pyrrhus,</w:t></w:r>
</w:p>
<w:p>
<w:pPr><w:pStyle w:val="Normal"/></w:pPr>
<w:r><w:t xml:space="preserve">272 B.C. He attacked Antigonus Gonatas and conquered the</w:t></w:r>
</w:p>
<w:p>
<w:pPr><w:pStyle w:val="Normal"/></w:pPr>
<w:r><w:t xml:space="preserve">greater part of Macedonia, but was in turn driven out of both</w:t></w:r>
</w:p>
<w:p>
<w:pPr><w:pStyle w:val="Normal"/></w:pPr>
<w:r><w:t xml:space="preserve">Epirus and Macedonia by Demetrius the son of Antigonus.  He</w:t></w:r>
</w:p>
<w:p>
<w:pPr><w:pStyle w:val="Normal"/></w:pPr>
<w:r><w:t xml:space="preserve">subsequently recovered his kingdom by the aid of the Acarnanians</w:t></w:r>
</w:p>
<w:p>
<w:pPr><w:pStyle w:val="Normal"/></w:pPr>
<w:r><w:t xml:space="preserve">and Aetolians.  He died about 260 (Polybius ii. 45, ix. 34;</w:t></w:r>
</w:p>
<w:p>
<w:pPr><w:pStyle w:val="Normal"/></w:pPr>
<w:r><w:t xml:space="preserve">Plutarch, Pyrrhus, 9; Justin xviii. 1, xxvi. 2, xxviii. 1).</w:t></w:r>
</w:p>
<w:p>
<w:pPr><w:pStyle w:val="Normal"/></w:pPr>
<w:r><w:t xml:space="preserve">See Thirlwall, History of Greece, vol. viii.;</w:t></w:r>
</w:p>
<w:p>
<w:pPr><w:pStyle w:val="Normal"/></w:pPr>
<w:r><w:t xml:space="preserve">Droysen, Hellenismus; B. Niese, Gesch. d. griech. u.</w:t></w:r>
</w:p>
<w:p>
<w:pPr><w:pStyle w:val="Normal"/></w:pPr>
<w:r><w:t xml:space="preserve">maked.  Staaten; J. Beloch, Griech. Gesch. vol. iii.</w:t></w:r>
</w:p>
<w:p>
<w:pPr><w:pStyle w:val="Normal"/></w:pPr>
<w:r><w:t xml:space="preserve">ALEXANDER III., known as THE GREAT1 (356-323 B.C.),</w:t></w:r>
</w:p>
<w:p>
<w:pPr><w:pStyle w:val="Normal"/></w:pPr>
<w:r><w:t xml:space="preserve">king of Macedon, was the son of Philip II. of Macedon, and</w:t></w:r>
</w:p>
<w:p>
<w:pPr><w:pStyle w:val="Normal"/></w:pPr>
<w:r><w:t xml:space="preserve">Olympias, an Epirote princess.  His father was pre-eminent</w:t></w:r>
</w:p>
<w:p>
<w:pPr><w:pStyle w:val="Normal"/></w:pPr>
<w:r><w:t xml:space="preserve">for practical genius, his mother a woman of half-wild blood,</w:t></w:r>
</w:p>
<w:p>
<w:pPr><w:pStyle w:val="Normal"/></w:pPr>
<w:r><w:t xml:space="preserve">weird, visionary and terrible; and Alexander himself is singular</w:t></w:r>
</w:p>
<w:p>
<w:pPr><w:pStyle w:val="Normal"/></w:pPr>
<w:r><w:t xml:space="preserve">among men of action for the imaginative splendours which guided</w:t></w:r>
</w:p>
<w:p>
<w:pPr><w:pStyle w:val="Normal"/></w:pPr>
<w:r><w:t xml:space="preserve">him, and among romantic dreamers for the things he achieved.</w:t></w:r>
</w:p>
<w:p>
<w:pPr><w:pStyle w:val="Normal"/></w:pPr>
<w:r><w:t xml:space="preserve">Youth.</w:t></w:r>
</w:p>
<w:p>
<w:pPr><w:pStyle w:val="Normal"/></w:pPr>
<w:r><w:t xml:space="preserve">We was born in 356 B.C., probably about October (Hogarth,</w:t></w:r>
</w:p>
<w:p>
<w:pPr><w:pStyle w:val="Normal"/></w:pPr>
<w:r><w:t xml:space="preserve">pp. 284 ff.).  The court at which he grew up was the focus</w:t></w:r>
</w:p>
<w:p>
<w:pPr><w:pStyle w:val="Normal"/></w:pPr>
<w:r><w:t xml:space="preserve">of great activities, for Philip, by war and diplomacy, was</w:t></w:r>
</w:p>
<w:p>
<w:pPr><w:pStyle w:val="Normal"/></w:pPr>
<w:r><w:t xml:space="preserve">raising Macedon to the headship of the Greek states, and</w:t></w:r>
</w:p>
<w:p>
<w:pPr><w:pStyle w:val="Normal"/></w:pPr>
<w:r><w:t xml:space="preserve">the air was charged with great ideas.  To unite the Greek</w:t></w:r>
</w:p>
<w:p>
<w:pPr><w:pStyle w:val="Normal"/></w:pPr>
<w:r><w:t xml:space="preserve">race in a war against the Persian empire was set up as the</w:t></w:r>
</w:p>
<w:p>
<w:pPr><w:pStyle w:val="Normal"/></w:pPr>
<w:r><w:t xml:space="preserve">ultimate mark for ambition, the theme of idealists.  The</w:t></w:r>
</w:p>
<w:p>
<w:pPr><w:pStyle w:val="Normal"/></w:pPr>
<w:r><w:t xml:space="preserve">great literary achievements of the Greeks in the 5th century</w:t></w:r>
</w:p>
<w:p>
<w:pPr><w:pStyle w:val="Normal"/></w:pPr>
<w:r><w:t xml:space="preserve">lay already far enough behind to have become invested with a</w:t></w:r>
</w:p>
<w:p>
<w:pPr><w:pStyle w:val="Normal"/></w:pPr>
<w:r><w:t xml:space="preserve">classical dignity; the meaning of Hellenic civilization had</w:t></w:r>
</w:p>
<w:p>
<w:pPr><w:pStyle w:val="Normal"/></w:pPr>
<w:r><w:t xml:space="preserve">been made concrete in a way which might sustain enthusiasm for</w:t></w:r>
</w:p>
<w:p>
<w:pPr><w:pStyle w:val="Normal"/></w:pPr>
<w:r><w:t xml:space="preserve">a body of ideal values, authoritative by tradition.  And upon</w:t></w:r>
</w:p>
<w:p>
<w:pPr><w:pStyle w:val="Normal"/></w:pPr>
<w:r><w:t xml:space="preserve">Alexander in his fourteenth year this sum of tradition was</w:t></w:r>
</w:p>
<w:p>
<w:pPr><w:pStyle w:val="Normal"/></w:pPr>
<w:r><w:t xml:space="preserve">brought to bear through the person of the man who beyond all</w:t></w:r>
</w:p>
<w:p>
<w:pPr><w:pStyle w:val="Normal"/></w:pPr>
<w:r><w:t xml:space="preserve">others had gathered it up into an organic whole: in 343-342</w:t></w:r>
</w:p>
<w:p>
<w:pPr><w:pStyle w:val="Normal"/></w:pPr>
<w:r><w:t xml:space="preserve">Aristotle (q.v.) came to Pella at Philip&apos;s bidding to</w:t></w:r>
</w:p>
<w:p>
<w:pPr><w:pStyle w:val="Normal"/></w:pPr>
<w:r><w:t xml:space="preserve">direct the education of his son.  We do not know what faculty</w:t></w:r>
</w:p>
<w:p>
<w:pPr><w:pStyle w:val="Normal"/></w:pPr>
<w:r><w:t xml:space="preserve">the master-thinker may have had for captivating this ardent</w:t></w:r>
</w:p>
<w:p>
<w:pPr><w:pStyle w:val="Normal"/></w:pPr>
<w:r><w:t xml:space="preserve">spirit; at any rate Alexander carried with him through life</w:t></w:r>
</w:p>
<w:p>
<w:pPr><w:pStyle w:val="Normal"/></w:pPr>
<w:r><w:t xml:space="preserve">a passion for Homer, however he may have been disposed to</w:t></w:r>
</w:p>
<w:p>
<w:pPr><w:pStyle w:val="Normal"/></w:pPr>
<w:r><w:t xml:space="preserve">greyer philosophic theory.  But his education was not all from</w:t></w:r>
</w:p>
<w:p>
<w:pPr><w:pStyle w:val="Normal"/></w:pPr>
<w:r><w:t xml:space="preserve">books.  The coming and going of envoys from many states, Greek</w:t></w:r>
</w:p>
<w:p>
<w:pPr><w:pStyle w:val="Normal"/></w:pPr>
<w:r><w:t xml:space="preserve">and Oriental, taught him something of the actual conditions</w:t></w:r>
</w:p>
<w:p>
<w:pPr><w:pStyle w:val="Normal"/></w:pPr>
<w:r><w:t xml:space="preserve">of the world.  He was early schooled in war.  At the age of</w:t></w:r>
</w:p>
<w:p>
<w:pPr><w:pStyle w:val="Normal"/></w:pPr>
<w:r><w:t xml:space="preserve">sixteen he commanded in Macedonia during Philip&apos;s absence</w:t></w:r>
</w:p>
<w:p>
<w:pPr><w:pStyle w:val="Normal"/></w:pPr>
<w:r><w:t xml:space="preserve">and quelled a rising of the hill-tribes on the northern</w:t></w:r>
</w:p>
<w:p>
<w:pPr><w:pStyle w:val="Normal"/></w:pPr>
<w:r><w:t xml:space="preserve">border; in the following year (338) he headed the charge</w:t></w:r>
</w:p>
<w:p>
<w:pPr><w:pStyle w:val="Normal"/></w:pPr>
<w:r><w:t xml:space="preserve">which broke the Sacred Band at Chaeronea.  Then came family</w:t></w:r>
</w:p>
<w:p>
<w:pPr><w:pStyle w:val="Normal"/></w:pPr>
<w:r><w:t xml:space="preserve">dissensions such as usually vex the polygamous courts of the</w:t></w:r>
</w:p>
<w:p>
<w:pPr><w:pStyle w:val="Normal"/></w:pPr>
<w:r><w:t xml:space="preserve">East.  In 337 Philip repudiated Olympias for another wife,</w:t></w:r>
</w:p>
<w:p>
<w:pPr><w:pStyle w:val="Normal"/></w:pPr>
<w:r><w:t xml:space="preserve">Cleopatra, Alexander went with his mother to her home in Epirus,</w:t></w:r>
</w:p>
<w:p>
<w:pPr><w:pStyle w:val="Normal"/></w:pPr>
<w:r><w:t xml:space="preserve">and, though he soon returned and an outward reconciliation</w:t></w:r>
</w:p>
<w:p>
<w:pPr><w:pStyle w:val="Normal"/></w:pPr>
<w:r><w:t xml:space="preserve">between father and son was contrived, their hearts were</w:t></w:r>
</w:p>
<w:p>
<w:pPr><w:pStyle w:val="Normal"/></w:pPr>
<w:r><w:t xml:space="preserve">estranged.  The king&apos;s new wife was with child; her kinsmen</w:t></w:r>
</w:p>
<w:p>
<w:pPr><w:pStyle w:val="Normal"/></w:pPr>
<w:r><w:t xml:space="preserve">were in the ascendant; the succession of Alexander was</w:t></w:r>
</w:p>
<w:p>
<w:pPr><w:pStyle w:val="Normal"/></w:pPr>
<w:r><w:t xml:space="preserve">imperilled.  Some negotiations which Pixodarus, the satrap</w:t></w:r>
</w:p>
<w:p>
<w:pPr><w:pStyle w:val="Normal"/></w:pPr>
<w:r><w:t xml:space="preserve">of Caria, opened with the Macedonian court with a view to</w:t></w:r>
</w:p>
<w:p>
<w:pPr><w:pStyle w:val="Normal"/></w:pPr>
<w:r><w:t xml:space="preserve">effecting a marriage alliance between his house and Philip&apos;s,</w:t></w:r>
</w:p>
<w:p>
<w:pPr><w:pStyle w:val="Normal"/></w:pPr>
<w:r><w:t xml:space="preserve">brought Alexander into fresh broils.  In 336 Philip was</w:t></w:r>
</w:p>
<w:p>
<w:pPr><w:pStyle w:val="Normal"/></w:pPr>
<w:r><w:t xml:space="preserve">suddenly assassinated whilst celebrating at Aegae the marriage</w:t></w:r>
</w:p>
<w:p>
<w:pPr><w:pStyle w:val="Normal"/></w:pPr>
<w:r><w:t xml:space="preserve">of his daughter to Alexander I. of Epirus in the presence of</w:t></w:r>
</w:p>
<w:p>
<w:pPr><w:pStyle w:val="Normal"/></w:pPr>
<w:r><w:t xml:space="preserve">a great concourse from all the Greek world.  It is certain</w:t></w:r>
</w:p>
<w:p>
<w:pPr><w:pStyle w:val="Normal"/></w:pPr>
<w:r><w:t xml:space="preserve">that the hand of the assassin was prompted by some one in the</w:t></w:r>
</w:p>
<w:p>
<w:pPr><w:pStyle w:val="Normal"/></w:pPr>
<w:r><w:t xml:space="preserve">background; suspicion could not fail to fall upon Alexander among</w:t></w:r>
</w:p>
<w:p>
<w:pPr><w:pStyle w:val="Normal"/></w:pPr>
<w:r><w:t xml:space="preserve">others.  But guilt of that sort would hardly be consistent</w:t></w:r>
</w:p>
<w:p>
<w:pPr><w:pStyle w:val="Normal"/></w:pPr>
<w:r><w:t xml:space="preserve">with his character as it appears in those early day&apos;s.</w:t></w:r>
</w:p>
<w:p>
<w:pPr><w:pStyle w:val="Normal"/></w:pPr>
<w:r><w:t xml:space="preserve">Accession.</w:t></w:r>
</w:p>
<w:p>
<w:pPr><w:pStyle w:val="Normal"/></w:pPr>
<w:r><w:t xml:space="preserve">Alexander was not the only claimant to the vacant throne,</w:t></w:r>
</w:p>
<w:p>
<w:pPr><w:pStyle w:val="Normal"/></w:pPr>
<w:r><w:t xml:space="preserve">but, recognized by the army, he soon swept all rivals from</w:t></w:r>
</w:p>
<w:p>
<w:pPr><w:pStyle w:val="Normal"/></w:pPr>
<w:r><w:t xml:space="preserve">his path.  The newly born son of Philip by Cleopatra, and</w:t></w:r>
</w:p>
<w:p>
<w:pPr><w:pStyle w:val="Normal"/></w:pPr>
<w:r><w:t xml:space="preserve">Alexander&apos;s cousin Amyntas, were put to death, and Alexander</w:t></w:r>
</w:p>
<w:p>
<w:pPr><w:pStyle w:val="Normal"/></w:pPr>
<w:r><w:t xml:space="preserve">took up the interrupted work of his father.  That work was on</w:t></w:r>
</w:p>
<w:p>
<w:pPr><w:pStyle w:val="Normal"/></w:pPr>
<w:r><w:t xml:space="preserve">the point of opening its most brilliant chapter by an invasion</w:t></w:r>
</w:p>
<w:p>
<w:pPr><w:pStyle w:val="Normal"/></w:pPr>
<w:r><w:t xml:space="preserve">of the great king&apos;s dominions; the army was concentrated</w:t></w:r>
</w:p>
<w:p>
<w:pPr><w:pStyle w:val="Normal"/></w:pPr>
<w:r><w:t xml:space="preserve">and certain forces had already been sent on to occupy the</w:t></w:r>
</w:p>
<w:p>
<w:pPr><w:pStyle w:val="Normal"/></w:pPr>
<w:r><w:t xml:space="preserve">opposite shore of the Hellespont.  The assassination of</w:t></w:r>
</w:p>
<w:p>
<w:pPr><w:pStyle w:val="Normal"/></w:pPr>
<w:r><w:t xml:space="preserve">Philip delayed the blow, for it immediately made the base,</w:t></w:r>
</w:p>
<w:p>
<w:pPr><w:pStyle w:val="Normal"/></w:pPr>
<w:r><w:t xml:space="preserve">Macedonia, insecure, and in such an enterprise, plunging into</w:t></w:r>
</w:p>
<w:p>
<w:pPr><w:pStyle w:val="Normal"/></w:pPr>
<w:r><w:t xml:space="preserve">the vast territories of the Persian empire, a secure base was</w:t></w:r>
</w:p>
<w:p>
<w:pPr><w:pStyle w:val="Normal"/></w:pPr>
<w:r><w:t xml:space="preserve">everything.  Philip&apos;s removal had made all the hill-peoples</w:t></w:r>
</w:p>
<w:p>
<w:pPr><w:pStyle w:val="Normal"/></w:pPr>
<w:r><w:t xml:space="preserve">of the north and west raise their heads and set the Greek</w:t></w:r>
</w:p>
<w:p>
<w:pPr><w:pStyle w:val="Normal"/></w:pPr>
<w:r><w:t xml:space="preserve">states free from their fears.  A demonstration in Greece,</w:t></w:r>
</w:p>
<w:p>
<w:pPr><w:pStyle w:val="Normal"/></w:pPr>
<w:r><w:t xml:space="preserve">led by the new king of Macedonia, momentarily checked the</w:t></w:r>
</w:p>
<w:p>
<w:pPr><w:pStyle w:val="Normal"/></w:pPr>
<w:r><w:t xml:space="preserve">agitation, and at the diet at Corinth Alexander was recognized</w:t></w:r>
</w:p>
<w:p>
<w:pPr><w:pStyle w:val="Normal"/></w:pPr>
<w:r><w:t xml:space="preserve">as captain-general (egemon autokrator) of the Hellenes</w:t></w:r>
</w:p>
<w:p>
<w:pPr><w:pStyle w:val="Normal"/></w:pPr>
<w:r><w:t xml:space="preserve">against the barbarians, in the place of his father Philip.</w:t></w:r>
</w:p>
<w:p>
<w:pPr><w:pStyle w:val="Normal"/></w:pPr>
<w:r><w:t xml:space="preserve">Leader of the Hellenes.</w:t></w:r>
</w:p>
<w:p>
<w:pPr><w:pStyle w:val="Normal"/></w:pPr>
<w:r><w:t xml:space="preserve">In the spring of 335 he went out from Macedonia northwards,</w:t></w:r>
</w:p>
<w:p>
<w:pPr><w:pStyle w:val="Normal"/></w:pPr>
<w:r><w:t xml:space="preserve">struck across the Balkans, probably by the Shipka Pass,</w:t></w:r>
</w:p>
<w:p>
<w:pPr><w:pStyle w:val="Normal"/></w:pPr>
<w:r><w:t xml:space="preserve">frustrating the mountain warfare of its tribes by a precision</w:t></w:r>
</w:p>
<w:p>
<w:pPr><w:pStyle w:val="Normal"/></w:pPr>
<w:r><w:t xml:space="preserve">of discipline which, probably, no other army of the time could</w:t></w:r>
</w:p>
<w:p>
<w:pPr><w:pStyle w:val="Normal"/></w:pPr>
<w:r><w:t xml:space="preserve">have approached, and traversed the land of the Triballians</w:t></w:r>
</w:p>
<w:p>
<w:pPr><w:pStyle w:val="Normal"/></w:pPr>
<w:r><w:t xml:space="preserve">(Rumelia) to the Danube.  To gratify his own imagination or</w:t></w:r>
</w:p>
<w:p>
<w:pPr><w:pStyle w:val="Normal"/></w:pPr>
<w:r><w:t xml:space="preserve">strike the imagination of the world he took his army over</w:t></w:r>
</w:p>
<w:p>
<w:pPr><w:pStyle w:val="Normal"/></w:pPr>
<w:r><w:t xml:space="preserve">the Danube and burnt a settlement of the Getae upon the other</w:t></w:r>
</w:p>
<w:p>
<w:pPr><w:pStyle w:val="Normal"/></w:pPr>
<w:r><w:t xml:space="preserve">side.  Meanwhile the Illyrians had seized Pelion (Pliassa),</w:t></w:r>
</w:p>
<w:p>
<w:pPr><w:pStyle w:val="Normal"/></w:pPr>
<w:r><w:t xml:space="preserve">which commanded the passes on the west of Macedonia, and from</w:t></w:r>
</w:p>
<w:p>
<w:pPr><w:pStyle w:val="Normal"/></w:pPr>
<w:r><w:t xml:space="preserve">the Danube Alexander marched straight thither over the hills.</w:t></w:r>
</w:p>
<w:p>
<w:pPr><w:pStyle w:val="Normal"/></w:pPr>
<w:r><w:t xml:space="preserve">He had hardly restored Macedonian prestige in this quarter</w:t></w:r>
</w:p>
<w:p>
<w:pPr><w:pStyle w:val="Normal"/></w:pPr>
<w:r><w:t xml:space="preserve">when he heard that Greece was aflame.  Thebes had taken up</w:t></w:r>
</w:p>
<w:p>
<w:pPr><w:pStyle w:val="Normal"/></w:pPr>
<w:r><w:t xml:space="preserve">arms.  By a forced march he took the Thebans completely by</w:t></w:r>
</w:p>
<w:p>
<w:pPr><w:pStyle w:val="Normal"/></w:pPr>
<w:r><w:t xml:space="preserve">surprise, and in a few days the city, which a generation before</w:t></w:r>
</w:p>
<w:p>
<w:pPr><w:pStyle w:val="Normal"/></w:pPr>
<w:r><w:t xml:space="preserve">had won the headship of Greece, was taken.  There were to</w:t></w:r>
</w:p>
<w:p>
<w:pPr><w:pStyle w:val="Normal"/></w:pPr>
<w:r><w:t xml:space="preserve">be no half-measures now; the city was wiped out of existence</w:t></w:r>
</w:p>
<w:p>
<w:pPr><w:pStyle w:val="Normal"/></w:pPr>
<w:r><w:t xml:space="preserve">with the exception of its temples and the house which had been</w:t></w:r>
</w:p>
<w:p>
<w:pPr><w:pStyle w:val="Normal"/></w:pPr>
<w:r><w:t xml:space="preserve">Pindar&apos;s.  Greece might now be trusted to lie quiet for some</w:t></w:r>
</w:p>
<w:p>
<w:pPr><w:pStyle w:val="Normal"/></w:pPr>
<w:r><w:t xml:space="preserve">time to come.  The Panhellenic alliance (from which Sparta</w:t></w:r>
</w:p>
<w:p>
<w:pPr><w:pStyle w:val="Normal"/></w:pPr>
<w:r><w:t xml:space="preserve">still stood aloof) against the barbarians was renewed.  Athens,</w:t></w:r>
</w:p>
<w:p>
<w:pPr><w:pStyle w:val="Normal"/></w:pPr>
<w:r><w:t xml:space="preserve">although known to be hostile at heart to the cities of Macedonian</w:t></w:r>
</w:p>
<w:p>
<w:pPr><w:pStyle w:val="Normal"/></w:pPr>
<w:r><w:t xml:space="preserve">power, Alexander treated all through with eager courtesy.</w:t></w:r>
</w:p>
<w:p>
<w:pPr><w:pStyle w:val="Normal"/></w:pPr>
<w:r><w:t xml:space="preserve">Invasion of Asia Minor.</w:t></w:r>
</w:p>
<w:p>
<w:pPr><w:pStyle w:val="Normal"/></w:pPr>
<w:r><w:t xml:space="preserve">In the spring of 334, Alexander crossed with an army of between</w:t></w:r>
</w:p>
<w:p>
<w:pPr><w:pStyle w:val="Normal"/></w:pPr>
<w:r><w:t xml:space="preserve">30,000 and 40,000 men, Macedonians, Illyrians, Thracians and</w:t></w:r>
</w:p>
<w:p>
<w:pPr><w:pStyle w:val="Normal"/></w:pPr>
<w:r><w:t xml:space="preserve">the contingents of the Greek states, into Asia.  The place of</w:t></w:r>
</w:p>
<w:p>
<w:pPr><w:pStyle w:val="Normal"/></w:pPr>
<w:r><w:t xml:space="preserve">concentration was Arisbe on the Hellespont.  Alexander himself</w:t></w:r>
</w:p>
<w:p>
<w:pPr><w:pStyle w:val="Normal"/></w:pPr>
<w:r><w:t xml:space="preserve">first visited the site of Troy and there went through those</w:t></w:r>
</w:p>
<w:p>
<w:pPr><w:pStyle w:val="Normal"/></w:pPr>
<w:r><w:t xml:space="preserve">dramatic acts of sacrifice to the Ilian Athena, assumption</w:t></w:r>
</w:p>
<w:p>
<w:pPr><w:pStyle w:val="Normal"/></w:pPr>
<w:r><w:t xml:space="preserve">of the shield believed to be that of Achilles; and offerings</w:t></w:r>
</w:p>
<w:p>
<w:pPr><w:pStyle w:val="Normal"/></w:pPr>
<w:r><w:t xml:space="preserve">to the great Homeric dead, which are significant of the</w:t></w:r>
</w:p>
<w:p>
<w:pPr><w:pStyle w:val="Normal"/></w:pPr>
<w:r><w:t xml:space="preserve">poetic glamour shed, in the young king&apos;s mind, over the whole</w:t></w:r>
</w:p>
<w:p>
<w:pPr><w:pStyle w:val="Normal"/></w:pPr>
<w:r><w:t xml:space="preserve">enterprise, and which men will estimate differently according</w:t></w:r>
</w:p>
<w:p>
<w:pPr><w:pStyle w:val="Normal"/></w:pPr>
<w:r><w:t xml:space="preserve">to the part they assign to imagination in human affairs.</w:t></w:r>
</w:p>
<w:p>
<w:pPr><w:pStyle w:val="Normal"/></w:pPr>
<w:r><w:t xml:space="preserve">Battle of Granicus.</w:t></w:r>
</w:p>
<w:p>
<w:pPr><w:pStyle w:val="Normal"/></w:pPr>
<w:r><w:t xml:space="preserve">To meet the invader the great king had in Asia Minor an</w:t></w:r>
</w:p>
<w:p>
<w:pPr><w:pStyle w:val="Normal"/></w:pPr>
<w:r><w:t xml:space="preserve">army slightly larger, it would seem, than Alexander&apos;s,</w:t></w:r>
</w:p>
<w:p>
<w:pPr><w:pStyle w:val="Normal"/></w:pPr>
<w:r><w:t xml:space="preserve">gathered under the satraps of the western provinces at</w:t></w:r>
</w:p>
<w:p>
<w:pPr><w:pStyle w:val="Normal"/></w:pPr>
<w:r><w:t xml:space="preserve">Zeleia.  He had also, what was more serious, command of the</w:t></w:r>
</w:p>
<w:p>
<w:pPr><w:pStyle w:val="Normal"/></w:pPr>
<w:r><w:t xml:space="preserve">Aegean.  Alexander could communicate with his base only by</w:t></w:r>
</w:p>
<w:p>
<w:pPr><w:pStyle w:val="Normal"/></w:pPr>
<w:r><w:t xml:space="preserve">the narrow line of the Hellespont, and ran the risk, if he</w:t></w:r>
</w:p>
<w:p>
<w:pPr><w:pStyle w:val="Normal"/></w:pPr>
<w:r><w:t xml:space="preserve">went far from it, of being cut off altogether.  To draw him</w:t></w:r>
</w:p>
<w:p>
<w:pPr><w:pStyle w:val="Normal"/></w:pPr>
<w:r><w:t xml:space="preserve">after them, while avoiding a conflict, was sound strategy</w:t></w:r>
</w:p>
<w:p>
<w:pPr><w:pStyle w:val="Normal"/></w:pPr>
<w:r><w:t xml:space="preserve">for the Persian generals.  It was urged upon them by their</w:t></w:r>
</w:p>
<w:p>
<w:pPr><w:pStyle w:val="Normal"/></w:pPr>
<w:r><w:t xml:space="preserve">colleague the Rhodian Memnon.  But strategic considerations</w:t></w:r>
</w:p>
<w:p>
<w:pPr><w:pStyle w:val="Normal"/></w:pPr>
<w:r><w:t xml:space="preserve">were cancelled by the Persian barons&apos; code of chivalry, and</w:t></w:r>
</w:p>
<w:p>
<w:pPr><w:pStyle w:val="Normal"/></w:pPr>
<w:r><w:t xml:space="preserve">Alexander found them waiting for him on the banks of the</w:t></w:r>
</w:p>
<w:p>
<w:pPr><w:pStyle w:val="Normal"/></w:pPr>
<w:r><w:t xml:space="preserve">Granicus.  It was a cavalry melee, in which the common code</w:t></w:r>
</w:p>
<w:p>
<w:pPr><w:pStyle w:val="Normal"/></w:pPr>
<w:r><w:t xml:space="preserve">of honour caused Macedonian and Persian chieftains to engage</w:t></w:r>
</w:p>
<w:p>
<w:pPr><w:pStyle w:val="Normal"/></w:pPr>
<w:r><w:t xml:space="preserve">hand to hand, and at the end of the day the relics of the</w:t></w:r>
</w:p>
<w:p>
<w:pPr><w:pStyle w:val="Normal"/></w:pPr>
<w:r><w:t xml:space="preserve">Persian army were in flight, leaving the high-roads of Asia</w:t></w:r>
</w:p>
<w:p>
<w:pPr><w:pStyle w:val="Normal"/></w:pPr>
<w:r><w:t xml:space="preserve">Minor clear for the invader.  Alexander could now accomplish</w:t></w:r>
</w:p>
<w:p>
<w:pPr><w:pStyle w:val="Normal"/></w:pPr>
<w:r><w:t xml:space="preserve">the first part of the task belonging to him as captain-general</w:t></w:r>
</w:p>
<w:p>
<w:pPr><w:pStyle w:val="Normal"/></w:pPr>
<w:r><w:t xml:space="preserve">to the Hellenes, that liberation of the Greek cities of Asia</w:t></w:r>
</w:p>
<w:p>
<w:pPr><w:pStyle w:val="Normal"/></w:pPr>
<w:r><w:t xml:space="preserve">Minor, for which Panhellenic enthusiasts had cried out so</w:t></w:r>
</w:p>
<w:p>
<w:pPr><w:pStyle w:val="Normal"/></w:pPr>
<w:r><w:t xml:space="preserve">long.  He first went to take possession of the old Lydian capital</w:t></w:r>
</w:p>
<w:p>
<w:pPr><w:pStyle w:val="Normal"/></w:pPr>
<w:r><w:t xml:space="preserve">Sardis, the headquarters of the Persian government on this</w:t></w:r>
</w:p>
<w:p>
<w:pPr><w:pStyle w:val="Normal"/></w:pPr>
<w:r><w:t xml:space="preserve">side of the Taurus, and the strong city surrendered without a</w:t></w:r>
</w:p>
<w:p>
<w:pPr><w:pStyle w:val="Normal"/></w:pPr>
<w:r><w:t xml:space="preserve">blow.  And now in all the Greek cities of Aeolis and Ionia</w:t></w:r>
</w:p>
<w:p>
<w:pPr><w:pStyle w:val="Normal"/></w:pPr>
<w:r><w:t xml:space="preserve">the oligarchies or tyrants friendly to Persia fell, and</w:t></w:r>
</w:p>
<w:p>
<w:pPr><w:pStyle w:val="Normal"/></w:pPr>
<w:r><w:t xml:space="preserve">democracies were established under the eye of Alexander&apos;s</w:t></w:r>
</w:p>
<w:p>
<w:pPr><w:pStyle w:val="Normal"/></w:pPr>
<w:r><w:t xml:space="preserve">officers.  Only where the cities were held by garasons in</w:t></w:r>
</w:p>
<w:p>
<w:pPr><w:pStyle w:val="Normal"/></w:pPr>
<w:r><w:t xml:space="preserve">the Persian service, garrisons composed mainly of Greek</w:t></w:r>
</w:p>
<w:p>
<w:pPr><w:pStyle w:val="Normal"/></w:pPr>
<w:r><w:t xml:space="preserve">mercenaries, was the liberator likely to meet with any</w:t></w:r>
</w:p>
<w:p>
<w:pPr><w:pStyle w:val="Normal"/></w:pPr>
<w:r><w:t xml:space="preserve">resistance.  From Ephesus indeed the garrison fled upon</w:t></w:r>
</w:p>
<w:p>
<w:pPr><w:pStyle w:val="Normal"/></w:pPr>
<w:r><w:t xml:space="preserve">the news of Granicus, but Miletus required a siege.  The</w:t></w:r>
</w:p>
<w:p>
<w:pPr><w:pStyle w:val="Normal"/></w:pPr>
<w:r><w:t xml:space="preserve">Persian fleet in vain endeavoured to relieve it, and Miletus</w:t></w:r>
</w:p>
<w:p>
<w:pPr><w:pStyle w:val="Normal"/></w:pPr>
<w:r><w:t xml:space="preserve">did not long hold out against Alexander&apos;s attack.  It was</w:t></w:r>
</w:p>
<w:p>
<w:pPr><w:pStyle w:val="Normal"/></w:pPr>
<w:r><w:t xml:space="preserve">at Halicarnassus that Alexander first encountered stubborn</w:t></w:r>
</w:p>
<w:p>
<w:pPr><w:pStyle w:val="Normal"/></w:pPr>
<w:r><w:t xml:space="preserve">resistance, at Halicarnassus where Memnon and the satraps of</w:t></w:r>
</w:p>
<w:p>
<w:pPr><w:pStyle w:val="Normal"/></w:pPr>
<w:r><w:t xml:space="preserve">Caria had rallied what land-forces yet belonged to Persia in the</w:t></w:r>
</w:p>
<w:p>
<w:pPr><w:pStyle w:val="Normal"/></w:pPr>
<w:r><w:t xml:space="preserve">west.  When winter fell, Alexander had captured indeed the city</w:t></w:r>
</w:p>
<w:p>
<w:pPr><w:pStyle w:val="Normal"/></w:pPr>
<w:r><w:t xml:space="preserve">itself, but the two citadels still held out against his blockade.</w:t></w:r>
</w:p>
<w:p>
<w:pPr><w:pStyle w:val="Normal"/></w:pPr>
<w:r><w:t xml:space="preserve">Meanwhile Alexander was making it plain that he had come not</w:t></w:r>
</w:p>
<w:p>
<w:pPr><w:pStyle w:val="Normal"/></w:pPr>
<w:r><w:t xml:space="preserve">merely as captain-general for a war of reprisals, but to take</w:t></w:r>
</w:p>
<w:p>
<w:pPr><w:pStyle w:val="Normal"/></w:pPr>
<w:r><w:t xml:space="preserve">the Persian&apos;s place as king of the land.  The conquered provinces</w:t></w:r>
</w:p>
<w:p>
<w:pPr><w:pStyle w:val="Normal"/></w:pPr>
<w:r><w:t xml:space="preserve">were organized under Macedonian governors and in Caria a</w:t></w:r>
</w:p>
<w:p>
<w:pPr><w:pStyle w:val="Normal"/></w:pPr>
<w:r><w:t xml:space="preserve">dethroned princess of the native dynasty, Ada, was restored to</w:t></w:r>
</w:p>
<w:p>
<w:pPr><w:pStyle w:val="Normal"/></w:pPr>
<w:r><w:t xml:space="preserve">power.  In the winter, whilst Parmenio advanced upon the central</w:t></w:r>
</w:p>
<w:p>
<w:pPr><w:pStyle w:val="Normal"/></w:pPr>
<w:r><w:t xml:space="preserve">plateau to make the occupation of Phrygia effective, Alexander</w:t></w:r>
</w:p>
<w:p>
<w:pPr><w:pStyle w:val="Normal"/></w:pPr>
<w:r><w:t xml:space="preserve">himself passed along the coast to receive the submission of the</w:t></w:r>
</w:p>
<w:p>
<w:pPr><w:pStyle w:val="Normal"/></w:pPr>
<w:r><w:t xml:space="preserve">Lycians and the adherence of the Greek cities of the Pamphylian</w:t></w:r>
</w:p>
<w:p>
<w:pPr><w:pStyle w:val="Normal"/></w:pPr>
<w:r><w:t xml:space="preserve">sea-board.  The hills inland were the domain of fighting</w:t></w:r>
</w:p>
<w:p>
<w:pPr><w:pStyle w:val="Normal"/></w:pPr>
<w:r><w:t xml:space="preserve">tribes which the Persian government had never been able to</w:t></w:r>
</w:p>
<w:p>
<w:pPr><w:pStyle w:val="Normal"/></w:pPr>
<w:r><w:t xml:space="preserve">subdue.  To conquer them, indeed, Alexander had no time, but</w:t></w:r>
</w:p>
<w:p>
<w:pPr><w:pStyle w:val="Normal"/></w:pPr>
<w:r><w:t xml:space="preserve">he stormed some of their fortresses to hold them in check,</w:t></w:r>
</w:p>
<w:p>
<w:pPr><w:pStyle w:val="Normal"/></w:pPr>
<w:r><w:t xml:space="preserve">and marched through their territory when he turned north from</w:t></w:r>
</w:p>
<w:p>
<w:pPr><w:pStyle w:val="Normal"/></w:pPr>
<w:r><w:t xml:space="preserve">Pamphylia into the interior.  The point of concentration for</w:t></w:r>
</w:p>
<w:p>
<w:pPr><w:pStyle w:val="Normal"/></w:pPr>
<w:r><w:t xml:space="preserve">next year&apos;s campaign had been fixed at Gordium, a meeting-place</w:t></w:r>
</w:p>
<w:p>
<w:pPr><w:pStyle w:val="Normal"/></w:pPr>
<w:r><w:t xml:space="preserve">of roads in Northern Phrygia.  The story of Alexander&apos;s cutting</w:t></w:r>
</w:p>
<w:p>
<w:pPr><w:pStyle w:val="Normal"/></w:pPr>
<w:r><w:t xml:space="preserve">the fatal ``Gordian knot&apos;&apos; on the chariot of the ancient</w:t></w:r>
</w:p>
<w:p>
<w:pPr><w:pStyle w:val="Normal"/></w:pPr>
<w:r><w:t xml:space="preserve">Phrygian king Gordius is connected with his stay in this place.</w:t></w:r>
</w:p>
<w:p>
<w:pPr><w:pStyle w:val="Normal"/></w:pPr>
<w:r><w:t xml:space="preserve">Extension of Alexander&apos;s power.</w:t></w:r>
</w:p>
<w:p>
<w:pPr><w:pStyle w:val="Normal"/></w:pPr>
<w:r><w:t xml:space="preserve">Whilst Alexander had been grounding his power in Asia Minor,</w:t></w:r>
</w:p>
<w:p>
<w:pPr><w:pStyle w:val="Normal"/></w:pPr>
<w:r><w:t xml:space="preserve">he had run a narrow risk of losing his base in Europe.  He had</w:t></w:r>
</w:p>
<w:p>
<w:pPr><w:pStyle w:val="Normal"/></w:pPr>
<w:r><w:t xml:space="preserve">after the siege of Miletus disbanded the Graeco- Macedonian</w:t></w:r>
</w:p>
<w:p>
<w:pPr><w:pStyle w:val="Normal"/></w:pPr>
<w:r><w:t xml:space="preserve">fleet, surrendering for the time all attempts to challenge</w:t></w:r>
</w:p>
<w:p>
<w:pPr><w:pStyle w:val="Normal"/></w:pPr>
<w:r><w:t xml:space="preserve">the command of the Aegean.  Memnon the Rhodian, now in supreme</w:t></w:r>
</w:p>
<w:p>
<w:pPr><w:pStyle w:val="Normal"/></w:pPr>
<w:r><w:t xml:space="preserve">command of the Persian fleet, saw the European coasts exposed</w:t></w:r>
</w:p>
<w:p>
<w:pPr><w:pStyle w:val="Normal"/></w:pPr>
<w:r><w:t xml:space="preserve">and set out to raise Greece, where discontent always smouldered</w:t></w:r>
</w:p>
<w:p>
<w:pPr><w:pStyle w:val="Normal"/></w:pPr>
<w:r><w:t xml:space="preserve">in Alexander&apos;s rear.  But Memnon died at the critical moment</w:t></w:r>
</w:p>
<w:p>
<w:pPr><w:pStyle w:val="Normal"/></w:pPr>
<w:r><w:t xml:space="preserve">whilst laying siege to Mytilene and the great plan collapsed.</w:t></w:r>
</w:p>
<w:p>
<w:pPr><w:pStyle w:val="Normal"/></w:pPr>
<w:r><w:t xml:space="preserve">A Persian fleet still held the sea, but it effected little, and</w:t></w:r>
</w:p>
<w:p>
<w:pPr><w:pStyle w:val="Normal"/></w:pPr>
<w:r><w:t xml:space="preserve">presently fresh Graeco-Macedonian squadrons began to hold it in</w:t></w:r>
</w:p>
<w:p>
<w:pPr><w:pStyle w:val="Normal"/></w:pPr>
<w:r><w:t xml:space="preserve">check.  It was, however, the need to ensure command of the sea</w:t></w:r>
</w:p>
<w:p>
<w:pPr><w:pStyle w:val="Normal"/></w:pPr>
<w:r><w:t xml:space="preserve">and free all lines of communication behind him that determined</w:t></w:r>
</w:p>
<w:p>
<w:pPr><w:pStyle w:val="Normal"/></w:pPr>
<w:r><w:t xml:space="preserve">Alexander&apos;s plan for the next campaign.  If he mastered the</w:t></w:r>
</w:p>
<w:p>
<w:pPr><w:pStyle w:val="Normal"/></w:pPr>
<w:r><w:t xml:space="preserve">whole coast-line of the Levant, the enemy&apos;s fleet would find</w:t></w:r>
</w:p>
<w:p>
<w:pPr><w:pStyle w:val="Normal"/></w:pPr>
<w:r><w:t xml:space="preserve">itself left in the air.  The Syrian coast was accordingly</w:t></w:r>
</w:p>
<w:p>
<w:pPr><w:pStyle w:val="Normal"/></w:pPr>
<w:r><w:t xml:space="preserve">his immediate objective when he broke up from Gordium for the</w:t></w:r>
</w:p>
<w:p>
<w:pPr><w:pStyle w:val="Normal"/></w:pPr>
<w:r><w:t xml:space="preserve">campaign of 333. He was through the Cicilian Gates before the</w:t></w:r>
</w:p>
<w:p>
<w:pPr><w:pStyle w:val="Normal"/></w:pPr>
<w:r><w:t xml:space="preserve">Persian king, Darius III., had sent up a force adequate to hold</w:t></w:r>
</w:p>
<w:p>
<w:pPr><w:pStyle w:val="Normal"/></w:pPr>
<w:r><w:t xml:space="preserve">them.  His passage through Cilicia was marked by a violent</w:t></w:r>
</w:p>
<w:p>
<w:pPr><w:pStyle w:val="Normal"/></w:pPr>
<w:r><w:t xml:space="preserve">fever that arrested him for a while in Tarsus, and meantime</w:t></w:r>
</w:p>
<w:p>
<w:pPr><w:pStyle w:val="Normal"/></w:pPr>
<w:r><w:t xml:space="preserve">a great Persian army was waiting for him in northern Syria</w:t></w:r>
</w:p>
<w:p>
<w:pPr><w:pStyle w:val="Normal"/></w:pPr>
<w:r><w:t xml:space="preserve">under the command of Darius himself.  In the knot of mountains</w:t></w:r>
</w:p>
<w:p>
<w:pPr><w:pStyle w:val="Normal"/></w:pPr>
<w:r><w:t xml:space="preserve">which close in about the head of the Gulf of Alexandretta,</w:t></w:r>
</w:p>
<w:p>
<w:pPr><w:pStyle w:val="Normal"/></w:pPr>
<w:r><w:t xml:space="preserve">Alexander, following hard by the coast, marched past the</w:t></w:r>
</w:p>
<w:p>
<w:pPr><w:pStyle w:val="Normal"/></w:pPr>
<w:r><w:t xml:space="preserve">Persian army encamped on the plains to the east.  To cut</w:t></w:r>
</w:p>
<w:p>
<w:pPr><w:pStyle w:val="Normal"/></w:pPr>
<w:r><w:t xml:space="preserve">Alexander&apos;s communications with the rear, Darius now committed</w:t></w:r>
</w:p>
<w:p>
<w:pPr><w:pStyle w:val="Normal"/></w:pPr>
<w:r><w:t xml:space="preserve">the error of entangling his large force in the mountain defiles.</w:t></w:r>
</w:p>
<w:p>
<w:pPr><w:pStyle w:val="Normal"/></w:pPr>
<w:r><w:t xml:space="preserve">Battle of Issus.</w:t></w:r>
</w:p>
<w:p>
<w:pPr><w:pStyle w:val="Normal"/></w:pPr>
<w:r><w:t xml:space="preserve">Alexander turned, and near the town of Issus fought his second</w:t></w:r>
</w:p>
<w:p>
<w:pPr><w:pStyle w:val="Normal"/></w:pPr>
<w:r><w:t xml:space="preserve">pitched battle, sending Darius and the relic of his army in</w:t></w:r>
</w:p>
<w:p>
<w:pPr><w:pStyle w:val="Normal"/></w:pPr>
<w:r><w:t xml:space="preserve">wild flight back to the east.2 It was an incident which did</w:t></w:r>
</w:p>
<w:p>
<w:pPr><w:pStyle w:val="Normal"/></w:pPr>
<w:r><w:t xml:space="preserve">not modify Alexander&apos;s plan.  He did not press the pursuit</w:t></w:r>
</w:p>
<w:p>
<w:pPr><w:pStyle w:val="Normal"/></w:pPr>
<w:r><w:t xml:space="preserve">far, although the great king&apos;s camp with his harem fell into his</w:t></w:r>
</w:p>
<w:p>
<w:pPr><w:pStyle w:val="Normal"/></w:pPr>
<w:r><w:t xml:space="preserve">hands.  The chivalrous courtesy which he showed to the captive</w:t></w:r>
</w:p>
<w:p>
<w:pPr><w:pStyle w:val="Normal"/></w:pPr>
<w:r><w:t xml:space="preserve">princesses was a favourite theme for later rhetoricians.</w:t></w:r>
</w:p>
<w:p>
<w:pPr><w:pStyle w:val="Normal"/></w:pPr>
<w:r><w:t xml:space="preserve">He went on his way to occupy Syria and Phoenicia.  It is now</w:t></w:r>
</w:p>
<w:p>
<w:pPr><w:pStyle w:val="Normal"/></w:pPr>
<w:r><w:t xml:space="preserve">that we get definite evidence as to the reach of Alexander&apos;s</w:t></w:r>
</w:p>
<w:p>
<w:pPr><w:pStyle w:val="Normal"/></w:pPr>
<w:r><w:t xml:space="preserve">designs; for Darius opened negotiations in which he ultimately</w:t></w:r>
</w:p>
<w:p>
<w:pPr><w:pStyle w:val="Normal"/></w:pPr>
<w:r><w:t xml:space="preserve">went so far as to offer a partition of the empire, all west</w:t></w:r>
</w:p>
<w:p>
<w:pPr><w:pStyle w:val="Normal"/></w:pPr>
<w:r><w:t xml:space="preserve">of the Euphrates, to be Alexander&apos;s.  Alexander refused the</w:t></w:r>
</w:p>
<w:p>
<w:pPr><w:pStyle w:val="Normal"/></w:pPr>
<w:r><w:t xml:space="preserve">bargain and definitely claimed the whole.3 The conquest</w:t></w:r>
</w:p>
<w:p>
<w:pPr><w:pStyle w:val="Normal"/></w:pPr>
<w:r><w:t xml:space="preserve">of the Phoenician coast was not to be altogether easy, for</w:t></w:r>
</w:p>
<w:p>
<w:pPr><w:pStyle w:val="Normal"/></w:pPr>
<w:r><w:t xml:space="preserve">Tyre shut its gates and for seven months Alexander had to</w:t></w:r>
</w:p>
<w:p>
<w:pPr><w:pStyle w:val="Normal"/></w:pPr>
<w:r><w:t xml:space="preserve">sit before it--one of those obstinate sieges which mark the</w:t></w:r>
</w:p>
<w:p>
<w:pPr><w:pStyle w:val="Normal"/></w:pPr>
<w:r><w:t xml:space="preserve">history of the Semitic races.  When it fell, Alexander had</w:t></w:r>
</w:p>
<w:p>
<w:pPr><w:pStyle w:val="Normal"/></w:pPr>
<w:r><w:t xml:space="preserve">the old Tyrian people scattered to the winds, 30,000 sold as</w:t></w:r>
</w:p>
<w:p>
<w:pPr><w:pStyle w:val="Normal"/></w:pPr>
<w:r><w:t xml:space="preserve">slaves.  Gaza offered a resistance equally heroic, lasting</w:t></w:r>
</w:p>
<w:p>
<w:pPr><w:pStyle w:val="Normal"/></w:pPr>
<w:r><w:t xml:space="preserve">two months, and here too the old population was dispersed.</w:t></w:r>
</w:p>
<w:p>
<w:pPr><w:pStyle w:val="Normal"/></w:pPr>
<w:r><w:t xml:space="preserve">The occupation of the rest of Syria and Palestine proceeded</w:t></w:r>
</w:p>
<w:p>
<w:pPr><w:pStyle w:val="Normal"/></w:pPr>
<w:r><w:t xml:space="preserve">smoothly, and after the fall of Gaza Alexander&apos;s way lay</w:t></w:r>
</w:p>
<w:p>
<w:pPr><w:pStyle w:val="Normal"/></w:pPr>
<w:r><w:t xml:space="preserve">open into Egypt.4 Egypt was the last of the Mediterranean</w:t></w:r>
</w:p>
<w:p>
<w:pPr><w:pStyle w:val="Normal"/></w:pPr>
<w:r><w:t xml:space="preserve">provinces to be won, and here no defence was made.  To the</w:t></w:r>
</w:p>
<w:p>
<w:pPr><w:pStyle w:val="Normal"/></w:pPr>
<w:r><w:t xml:space="preserve">native Egyptians Alexander appeared as a deliverer from the</w:t></w:r>
</w:p>
<w:p>
<w:pPr><w:pStyle w:val="Normal"/></w:pPr>
<w:r><w:t xml:space="preserve">Persian tyranny, and he sacrificed piously to the gods of</w:t></w:r>
</w:p>
<w:p>
<w:pPr><w:pStyle w:val="Normal"/></w:pPr>
<w:r><w:t xml:space="preserve">Memphis.  The winter (332-331) which Alexander spent in Egypt</w:t></w:r>
</w:p>
<w:p>
<w:pPr><w:pStyle w:val="Normal"/></w:pPr>
<w:r><w:t xml:space="preserve">saw two memorable actions on his part.  One was the expedition</w:t></w:r>
</w:p>
<w:p>
<w:pPr><w:pStyle w:val="Normal"/></w:pPr>
<w:r><w:t xml:space="preserve">(problematic in its motive and details) to the oracle of Zeus</w:t></w:r>
</w:p>
<w:p>
<w:pPr><w:pStyle w:val="Normal"/></w:pPr>
<w:r><w:t xml:space="preserve">Ammon (Oasis of Siwa), where Alexander was hailed by the priest</w:t></w:r>
</w:p>
<w:p>
<w:pPr><w:pStyle w:val="Normal"/></w:pPr>
<w:r><w:t xml:space="preserve">as son of the god, a belief which the circle of Alexander,</w:t></w:r>
</w:p>
<w:p>
<w:pPr><w:pStyle w:val="Normal"/></w:pPr>
<w:r><w:t xml:space="preserve">and perhaps Alexander himself, seem hereafter to have liked to</w:t></w:r>
</w:p>
<w:p>
<w:pPr><w:pStyle w:val="Normal"/></w:pPr>
<w:r><w:t xml:space="preserve">play with in that sort of semi-serious vein which still allowed</w:t></w:r>
</w:p>
<w:p>
<w:pPr><w:pStyle w:val="Normal"/></w:pPr>
<w:r><w:t xml:space="preserve">him in the moments of every-day commonplace to be the son of</w:t></w:r>
</w:p>
<w:p>
<w:pPr><w:pStyle w:val="Normal"/></w:pPr>
<w:r><w:t xml:space="preserve">Philip.  The other action was the foundation of Alexandria</w:t></w:r>
</w:p>
<w:p>
<w:pPr><w:pStyle w:val="Normal"/></w:pPr>
<w:r><w:t xml:space="preserve">at the Canopic mouth of the Nile, the place destined to</w:t></w:r>
</w:p>
<w:p>
<w:pPr><w:pStyle w:val="Normal"/></w:pPr>
<w:r><w:t xml:space="preserve">be a new commercial centre for the eastern Mediterranean</w:t></w:r>
</w:p>
<w:p>
<w:pPr><w:pStyle w:val="Normal"/></w:pPr>
<w:r><w:t xml:space="preserve">world which Alexander had now taken in possession, to rise</w:t></w:r>
</w:p>
<w:p>
<w:pPr><w:pStyle w:val="Normal"/></w:pPr>
<w:r><w:t xml:space="preserve">to an importance which the founder, although obviously</w:t></w:r>
</w:p>
<w:p>
<w:pPr><w:pStyle w:val="Normal"/></w:pPr>
<w:r><w:t xml:space="preserve">acting with intention, can hardly have foreseen (E. Keller,</w:t></w:r>
</w:p>
<w:p>
<w:pPr><w:pStyle w:val="Normal"/></w:pPr>
<w:r><w:t xml:space="preserve">Alex. d.  Grosse nach der Schlacht bei Issus, 1904).</w:t></w:r>
</w:p>
<w:p>
<w:pPr><w:pStyle w:val="Normal"/></w:pPr>
<w:r><w:t xml:space="preserve">Invasion of Persia.</w:t></w:r>
</w:p>
<w:p>
<w:pPr><w:pStyle w:val="Normal"/></w:pPr>
<w:r><w:t xml:space="preserve">In the spring of 331 Alexander could at last leave the</w:t></w:r>
</w:p>
<w:p>
<w:pPr><w:pStyle w:val="Normal"/></w:pPr>
<w:r><w:t xml:space="preserve">Mediterranean to strike into the heart of the Persian empire,</w:t></w:r>
</w:p>
<w:p>
<w:pPr><w:pStyle w:val="Normal"/></w:pPr>
<w:r><w:t xml:space="preserve">for by his occupation of the Coasts the Persian command of the</w:t></w:r>
</w:p>
<w:p>
<w:pPr><w:pStyle w:val="Normal"/></w:pPr>
<w:r><w:t xml:space="preserve">sea had inevitably collapsed.  Returning through Syria, and</w:t></w:r>
</w:p>
<w:p>
<w:pPr><w:pStyle w:val="Normal"/></w:pPr>
<w:r><w:t xml:space="preserve">stopping at Tyre to make final arrangements for the conquered</w:t></w:r>
</w:p>
<w:p>
<w:pPr><w:pStyle w:val="Normal"/></w:pPr>
<w:r><w:t xml:space="preserve">provinces, he traversed Mesopotamia and struck the Tigris some</w:t></w:r>
</w:p>
<w:p>
<w:pPr><w:pStyle w:val="Normal"/></w:pPr>
<w:r><w:t xml:space="preserve">four marches above the site of Nineveh.  It was near Nineveh</w:t></w:r>
</w:p>
<w:p>
<w:pPr><w:pStyle w:val="Normal"/></w:pPr>
<w:r><w:t xml:space="preserve">that Darius was waiting with the immense host which a supreme</w:t></w:r>
</w:p>
<w:p>
<w:pPr><w:pStyle w:val="Normal"/></w:pPr>
<w:r><w:t xml:space="preserve">effort could muster from all parts of the empire.  The happy</w:t></w:r>
</w:p>
<w:p>
<w:pPr><w:pStyle w:val="Normal"/></w:pPr>
<w:r><w:t xml:space="preserve">coincidence of a lunar eclipse gives us the 20th of September</w:t></w:r>
</w:p>
<w:p>
<w:pPr><w:pStyle w:val="Normal"/></w:pPr>
<w:r><w:t xml:space="preserve">331 as the exact day upon which the Macedonian army crossed the</w:t></w:r>
</w:p>
<w:p>
<w:pPr><w:pStyle w:val="Normal"/></w:pPr>
<w:r><w:t xml:space="preserve">Tigris.  Alexander came within sight of the Persian host without</w:t></w:r>
</w:p>
<w:p>
<w:pPr><w:pStyle w:val="Normal"/></w:pPr>
<w:r><w:t xml:space="preserve">having met with any opposition since he quitted Tyre.  He had</w:t></w:r>
</w:p>
<w:p>
<w:pPr><w:pStyle w:val="Normal"/></w:pPr>
<w:r><w:t xml:space="preserve">now to settle the most serious problem which had yet faced</w:t></w:r>
</w:p>
<w:p>
<w:pPr><w:pStyle w:val="Normal"/></w:pPr>
<w:r><w:t xml:space="preserve">him, for in the plains the Persian army was formidable by sheer</w:t></w:r>
</w:p>
<w:p>
<w:pPr><w:pStyle w:val="Normal"/></w:pPr>
<w:r><w:t xml:space="preserve">bulk.  But the day showed the Macedonian army equal to the task.</w:t></w:r>
</w:p>
<w:p>
<w:pPr><w:pStyle w:val="Normal"/></w:pPr>
<w:r><w:t xml:space="preserve">Battle of Arbela.</w:t></w:r>
</w:p>
<w:p>
<w:pPr><w:pStyle w:val="Normal"/></w:pPr>
<w:r><w:t xml:space="preserve">The last army gathered by an Achaemenian king was shattered in</w:t></w:r>
</w:p>
<w:p>
<w:pPr><w:pStyle w:val="Normal"/></w:pPr>
<w:r><w:t xml:space="preserve">the battle called popularly after the city of Arbela some 60 m.</w:t></w:r>
</w:p>
<w:p>
<w:pPr><w:pStyle w:val="Normal"/></w:pPr>
<w:r><w:t xml:space="preserve">distant, or more precisely after the village of Gaugamela hard</w:t></w:r>
</w:p>
<w:p>
<w:pPr><w:pStyle w:val="Normal"/></w:pPr>
<w:r><w:t xml:space="preserve">by.  Darius fled eastwards into Media and again Alexander waited</w:t></w:r>
</w:p>
<w:p>
<w:pPr><w:pStyle w:val="Normal"/></w:pPr>
<w:r><w:t xml:space="preserve">till he had secured the provinces to the south.  He followed the</w:t></w:r>
</w:p>
<w:p>
<w:pPr><w:pStyle w:val="Normal"/></w:pPr>
<w:r><w:t xml:space="preserve">Tigris into Babylonia, the central seat of the empire and its</w:t></w:r>
</w:p>
<w:p>
<w:pPr><w:pStyle w:val="Normal"/></w:pPr>
<w:r><w:t xml:space="preserve">richest region, and from Babylon went on to seize the fabulous</w:t></w:r>
</w:p>
<w:p>
<w:pPr><w:pStyle w:val="Normal"/></w:pPr>
<w:r><w:t xml:space="preserve">riches which the Persian kings had amassed in their spring</w:t></w:r>
</w:p>
<w:p>
<w:pPr><w:pStyle w:val="Normal"/></w:pPr>
<w:r><w:t xml:space="preserve">residence, Susa.  Thence he at last ascended upon the Iranian</w:t></w:r>
</w:p>
<w:p>
<w:pPr><w:pStyle w:val="Normal"/></w:pPr>
<w:r><w:t xml:space="preserve">plateau.  The mountain tribes on the road (the Oxii, Pers,</w:t></w:r>
</w:p>
<w:p>
<w:pPr><w:pStyle w:val="Normal"/></w:pPr>
<w:r><w:t xml:space="preserve">Huzha), accustomed to exact blackmail even from the king&apos;s</w:t></w:r>
</w:p>
<w:p>
<w:pPr><w:pStyle w:val="Normal"/></w:pPr>
<w:r><w:t xml:space="preserve">train, learnt by a bitter lesson that a stronger hand had</w:t></w:r>
</w:p>
<w:p>
<w:pPr><w:pStyle w:val="Normal"/></w:pPr>
<w:r><w:t xml:space="preserve">come to wield the empire.  Alexander entered Persis, the</w:t></w:r>
</w:p>
<w:p>
<w:pPr><w:pStyle w:val="Normal"/></w:pPr>
<w:r><w:t xml:space="preserve">cradle of the Achaemenian house, and came upon fresh masses of</w:t></w:r>
</w:p>
<w:p>
<w:pPr><w:pStyle w:val="Normal"/></w:pPr>
<w:r><w:t xml:space="preserve">treasure in the royal city, Persepolis.  He destroyed the royal</w:t></w:r>
</w:p>
<w:p>
<w:pPr><w:pStyle w:val="Normal"/></w:pPr>
<w:r><w:t xml:space="preserve">palace by fire, an act which has been variously estimated by</w:t></w:r>
</w:p>
<w:p>
<w:pPr><w:pStyle w:val="Normal"/></w:pPr>
<w:r><w:t xml:space="preserve">historians.  Ostensibly a solemn revenge for the burning of Greek</w:t></w:r>
</w:p>
<w:p>
<w:pPr><w:pStyle w:val="Normal"/></w:pPr>
<w:r><w:t xml:space="preserve">temples by Xerxes, it has been justified as a symbolical act</w:t></w:r>
</w:p>
<w:p>
<w:pPr><w:pStyle w:val="Normal"/></w:pPr>
<w:r><w:t xml:space="preserve">calculated to impress usefully the imagination of the East, and</w:t></w:r>
</w:p>
<w:p>
<w:pPr><w:pStyle w:val="Normal"/></w:pPr>
<w:r><w:t xml:space="preserve">condemned as a senseless and vainglorious work of destruction.</w:t></w:r>
</w:p>
<w:p>
<w:pPr><w:pStyle w:val="Normal"/></w:pPr>
<w:r><w:t xml:space="preserve">With the spring of 330 Alexander was prepared for further</w:t></w:r>
</w:p>
<w:p>
<w:pPr><w:pStyle w:val="Normal"/></w:pPr>
<w:r><w:t xml:space="preserve">pursuit.  Darius fled northwards from Ecbatana upon his</w:t></w:r>
</w:p>
<w:p>
<w:pPr><w:pStyle w:val="Normal"/></w:pPr>
<w:r><w:t xml:space="preserve">approach.  At Ecbatana new masses of treasure were seized,</w:t></w:r>
</w:p>
<w:p>
<w:pPr><w:pStyle w:val="Normal"/></w:pPr>
<w:r><w:t xml:space="preserve">but when once the necessary measures which its disposal and</w:t></w:r>
</w:p>
<w:p>
<w:pPr><w:pStyle w:val="Normal"/></w:pPr>
<w:r><w:t xml:space="preserve">the occupation of the Median capital entailed were taken,</w:t></w:r>
</w:p>
<w:p>
<w:pPr><w:pStyle w:val="Normal"/></w:pPr>
<w:r><w:t xml:space="preserve">Alexander continued the pursuit.  It was an exciting chase of</w:t></w:r>
</w:p>
<w:p>
<w:pPr><w:pStyle w:val="Normal"/></w:pPr>
<w:r><w:t xml:space="preserve">king by king, in which each covered the ground by incredible</w:t></w:r>
</w:p>
<w:p>
<w:pPr><w:pStyle w:val="Normal"/></w:pPr>
<w:r><w:t xml:space="preserve">exertions, shedding their slower-going followers as they went,</w:t></w:r>
</w:p>
<w:p>
<w:pPr><w:pStyle w:val="Normal"/></w:pPr>
<w:r><w:t xml:space="preserve">past Rhagae (Rai) and the Caspian gates, till early one morning</w:t></w:r>
</w:p>
<w:p>
<w:pPr><w:pStyle w:val="Normal"/></w:pPr>
<w:r><w:t xml:space="preserve">Alexander came in sight of the broken train which still clung</w:t></w:r>
</w:p>
<w:p>
<w:pPr><w:pStyle w:val="Normal"/></w:pPr>
<w:r><w:t xml:space="preserve">to the fallen king.  He had become a puppet in the hands of his</w:t></w:r>
</w:p>
<w:p>
<w:pPr><w:pStyle w:val="Normal"/></w:pPr>
<w:r><w:t xml:space="preserve">cousin Bessus and the Persian magnates with him (see DARIUS</w:t></w:r>
</w:p>
<w:p>
<w:pPr><w:pStyle w:val="Normal"/></w:pPr>
<w:r><w:t xml:space="preserve">III.), and at this extremity they stabbed him and allowed</w:t></w:r>
</w:p>
<w:p>
<w:pPr><w:pStyle w:val="Normal"/></w:pPr>
<w:r><w:t xml:space="preserve">Alexander to become master only of his corpse (summer 330).</w:t></w:r>
</w:p>
<w:p>
<w:pPr><w:pStyle w:val="Normal"/></w:pPr>
<w:r><w:t xml:space="preserve">The pursuit had brought Alexander into that region of</w:t></w:r>
</w:p>
<w:p>
<w:pPr><w:pStyle w:val="Normal"/></w:pPr>
<w:r><w:t xml:space="preserve">mountains to the south of the Caspian which connects western</w:t></w:r>
</w:p>
<w:p>
<w:pPr><w:pStyle w:val="Normal"/></w:pPr>
<w:r><w:t xml:space="preserve">Iran with the provinces to the east of the great central</w:t></w:r>
</w:p>
<w:p>
<w:pPr><w:pStyle w:val="Normal"/></w:pPr>
<w:r><w:t xml:space="preserve">desert.  To conquer this remaining portion of the empire,</w:t></w:r>
</w:p>
<w:p>
<w:pPr><w:pStyle w:val="Normal"/></w:pPr>
<w:r><w:t xml:space="preserve">Alexander now went on through the mountain belt, teaching the</w:t></w:r>
</w:p>
<w:p>
<w:pPr><w:pStyle w:val="Normal"/></w:pPr>
<w:r><w:t xml:space="preserve">power of his arms to the hillsmen, Tapyri and Mardi, till he</w:t></w:r>
</w:p>
<w:p>
<w:pPr><w:pStyle w:val="Normal"/></w:pPr>
<w:r><w:t xml:space="preserve">came, passing through Zadracarta (Asterabad), to Parthia</w:t></w:r>
</w:p>
<w:p>
<w:pPr><w:pStyle w:val="Normal"/></w:pPr>
<w:r><w:t xml:space="preserve">and thence to Aria.  In these further provinces of Iran</w:t></w:r>
</w:p>
<w:p>
<w:pPr><w:pStyle w:val="Normal"/></w:pPr>
<w:r><w:t xml:space="preserve">the Macedonian invader had for the first time to encounter a</w:t></w:r>
</w:p>
<w:p>
<w:pPr><w:pStyle w:val="Normal"/></w:pPr>
<w:r><w:t xml:space="preserve">serious national opposition, for in the west the Iranian rule</w:t></w:r>
</w:p>
<w:p>
<w:pPr><w:pStyle w:val="Normal"/></w:pPr>
<w:r><w:t xml:space="preserve">had been merely the supremacy of an alien power over native</w:t></w:r>
</w:p>
<w:p>
<w:pPr><w:pStyle w:val="Normal"/></w:pPr>
<w:r><w:t xml:space="preserve">populations indifferent or hostile.  Here the ruling race was at</w:t></w:r>
</w:p>
<w:p>
<w:pPr><w:pStyle w:val="Normal"/></w:pPr>
<w:r><w:t xml:space="preserve">home.  In Asia Alexander learnt that Bessus, had taken the</w:t></w:r>
</w:p>
<w:p>
<w:pPr><w:pStyle w:val="Normal"/></w:pPr>
<w:r><w:t xml:space="preserve">diadem as Darius&apos; successor in Bactria, but so soon as he</w:t></w:r>
</w:p>
<w:p>
<w:pPr><w:pStyle w:val="Normal"/></w:pPr>
<w:r><w:t xml:space="preserve">marched against him Aria rose in his rear, and Alexander had</w:t></w:r>
</w:p>
<w:p>
<w:pPr><w:pStyle w:val="Normal"/></w:pPr>
<w:r><w:t xml:space="preserve">to return in all haste to bring the revolt under.  Nor did</w:t></w:r>
</w:p>
<w:p>
<w:pPr><w:pStyle w:val="Normal"/></w:pPr>
<w:r><w:t xml:space="preserve">he, when this was accomplished, again strike directly at</w:t></w:r>
</w:p>
<w:p>
<w:pPr><w:pStyle w:val="Normal"/></w:pPr>
<w:r><w:t xml:space="preserve">Bactria, but made a wide turning movement through Seistan</w:t></w:r>
</w:p>
<w:p>
<w:pPr><w:pStyle w:val="Normal"/></w:pPr>
<w:r><w:t xml:space="preserve">over Kandahar into the Kabul valley.  It was on the way, in</w:t></w:r>
</w:p>
<w:p>
<w:pPr><w:pStyle w:val="Normal"/></w:pPr>
<w:r><w:t xml:space="preserve">Seistan at Prophthasia (mod. Farrah?), that the alienation</w:t></w:r>
</w:p>
<w:p>
<w:pPr><w:pStyle w:val="Normal"/></w:pPr>
<w:r><w:t xml:space="preserve">between Alexander and his Macedonian followers, which becomes</w:t></w:r>
</w:p>
<w:p>
<w:pPr><w:pStyle w:val="Normal"/></w:pPr>
<w:r><w:t xml:space="preserve">sensible in the latter part of his career, first showed itself</w:t></w:r>
</w:p>
<w:p>
<w:pPr><w:pStyle w:val="Normal"/></w:pPr>
<w:r><w:t xml:space="preserve">in an ugly form.  Alexander had come to merge the characters</w:t></w:r>
</w:p>
<w:p>
<w:pPr><w:pStyle w:val="Normal"/></w:pPr>
<w:r><w:t xml:space="preserve">of Macedonian king and Hellenic Captain-general, with which</w:t></w:r>
</w:p>
<w:p>
<w:pPr><w:pStyle w:val="Normal"/></w:pPr>
<w:r><w:t xml:space="preserve">he had set out, in that of Oriental despot (Spieker. Hof</w:t></w:r>
</w:p>
<w:p>
<w:pPr><w:pStyle w:val="Normal"/></w:pPr>
<w:r><w:t xml:space="preserve">u.  Hofordnung Al. d.  Gr., 1904).  He wore on occasions of</w:t></w:r>
</w:p>
<w:p>
<w:pPr><w:pStyle w:val="Normal"/></w:pPr>
<w:r><w:t xml:space="preserve">state the Persian dress. (According to pseudo-Plutarch, de</w:t></w:r>
</w:p>
<w:p>
<w:pPr><w:pStyle w:val="Normal"/></w:pPr>
<w:r><w:t xml:space="preserve">fort.  Al. i. 8, it was the simpler Persian dress, not the</w:t></w:r>
</w:p>
<w:p>
<w:pPr><w:pStyle w:val="Normal"/></w:pPr>
<w:r><w:t xml:space="preserve">Median.) A discontent began to work among the Macedonians,</w:t></w:r>
</w:p>
<w:p>
<w:pPr><w:pStyle w:val="Normal"/></w:pPr>
<w:r><w:t xml:space="preserve">and at Prophthasia the commander of the Macedonian cavalry</w:t></w:r>
</w:p>
<w:p>
<w:pPr><w:pStyle w:val="Normal"/></w:pPr>
<w:r><w:t xml:space="preserve">Philotas, the son of Parmenio, and certain others were arraigned</w:t></w:r>
</w:p>
<w:p>
<w:pPr><w:pStyle w:val="Normal"/></w:pPr>
<w:r><w:t xml:space="preserve">before the army on the charge of conspiring against the king&apos;s</w:t></w:r>
</w:p>
<w:p>
<w:pPr><w:pStyle w:val="Normal"/></w:pPr>
<w:r><w:t xml:space="preserve">life.  They were condemned and put to death.  Not satisfied</w:t></w:r>
</w:p>
<w:p>
<w:pPr><w:pStyle w:val="Normal"/></w:pPr>
<w:r><w:t xml:space="preserve">with procuring this, Alexander had Parmenio himself, who</w:t></w:r>
</w:p>
<w:p>
<w:pPr><w:pStyle w:val="Normal"/></w:pPr>
<w:r><w:t xml:space="preserve">had been left in command in Media, put to death by secret</w:t></w:r>
</w:p>
<w:p>
<w:pPr><w:pStyle w:val="Normal"/></w:pPr>
<w:r><w:t xml:space="preserve">orders.  It is perhaps the worst crime, because the most</w:t></w:r>
</w:p>
<w:p>
<w:pPr><w:pStyle w:val="Normal"/></w:pPr>
<w:r><w:t xml:space="preserve">cold-blooded and ungenerous, which can be laid to his</w:t></w:r>
</w:p>
<w:p>
<w:pPr><w:pStyle w:val="Normal"/></w:pPr>
<w:r><w:t xml:space="preserve">charge.  By the winter of 329-328 Alexander had reached the</w:t></w:r>
</w:p>
<w:p>
<w:pPr><w:pStyle w:val="Normal"/></w:pPr>
<w:r><w:t xml:space="preserve">Kabul valley at the foot of the Paropamisadae (Hindu Kush).</w:t></w:r>
</w:p>
<w:p>
<w:pPr><w:pStyle w:val="Normal"/></w:pPr>
<w:r><w:t xml:space="preserve">The ordinarily received chronology makes Alexander reach</w:t></w:r>
</w:p>
<w:p>
<w:pPr><w:pStyle w:val="Normal"/></w:pPr>
<w:r><w:t xml:space="preserve">the Kabul valley in the winter of 330-329.  That to fit</w:t></w:r>
</w:p>
<w:p>
<w:pPr><w:pStyle w:val="Normal"/></w:pPr>
<w:r><w:t xml:space="preserve">the actions and distances covered by Alexander into such a</w:t></w:r>
</w:p>
<w:p>
<w:pPr><w:pStyle w:val="Normal"/></w:pPr>
<w:r><w:t xml:space="preserve">scheme, assuming that he went by Seistan and Kandahar, would</w:t></w:r>
</w:p>
<w:p>
<w:pPr><w:pStyle w:val="Normal"/></w:pPr>
<w:r><w:t xml:space="preserve">involve physical impossibilities has been pointed out by</w:t></w:r>
</w:p>
<w:p>
<w:pPr><w:pStyle w:val="Normal"/></w:pPr>
<w:r><w:t xml:space="preserve">Count Yorck v.  Wartenburg and Mr D. G. Hogarth.  Kaerst and</w:t></w:r>
</w:p>
<w:p>
<w:pPr><w:pStyle w:val="Normal"/></w:pPr>
<w:r><w:t xml:space="preserve">Beloch continue to give the ordinary chronology untroubled.</w:t></w:r>
</w:p>
<w:p>
<w:pPr><w:pStyle w:val="Normal"/></w:pPr>
<w:r><w:t xml:space="preserve">Invasion of Northern India.</w:t></w:r>
</w:p>
<w:p>
<w:pPr><w:pStyle w:val="Normal"/></w:pPr>
<w:r><w:t xml:space="preserve">In the spring of 328 Alexander crossed the Hindu Kush into</w:t></w:r>
</w:p>
<w:p>
<w:pPr><w:pStyle w:val="Normal"/></w:pPr>
<w:r><w:t xml:space="preserve">Bactria and followed the retreat of Bessus across the Oxus and</w:t></w:r>
</w:p>
<w:p>
<w:pPr><w:pStyle w:val="Normal"/></w:pPr>
<w:r><w:t xml:space="preserve">into Sogdiana (Bokhara).  Here Bessus was at last caught and</w:t></w:r>
</w:p>
<w:p>
<w:pPr><w:pStyle w:val="Normal"/></w:pPr>
<w:r><w:t xml:space="preserve">treated with the barbaric cruelty which the rule of the old</w:t></w:r>
</w:p>
<w:p>
<w:pPr><w:pStyle w:val="Normal"/></w:pPr>
<w:r><w:t xml:space="preserve">Persian monarchy prescribed for rebels.  Till the spring of</w:t></w:r>
</w:p>
<w:p>
<w:pPr><w:pStyle w:val="Normal"/></w:pPr>
<w:r><w:t xml:space="preserve">327 Alexander was moving to and fro in Bactria and Sogdiana,</w:t></w:r>
</w:p>
<w:p>
<w:pPr><w:pStyle w:val="Normal"/></w:pPr>
<w:r><w:t xml:space="preserve">beating down the recurrent rebellions and planting Greek</w:t></w:r>
</w:p>
<w:p>
<w:pPr><w:pStyle w:val="Normal"/></w:pPr>
<w:r><w:t xml:space="preserve">cities.  Just as in 335 he had crossed the Danube, so he now</w:t></w:r>
</w:p>
<w:p>
<w:pPr><w:pStyle w:val="Normal"/></w:pPr>
<w:r><w:t xml:space="preserve">made one raid across the frontier river, the Jaxartes (Sir</w:t></w:r>
</w:p>
<w:p>
<w:pPr><w:pStyle w:val="Normal"/></w:pPr>
<w:r><w:t xml:space="preserve">Daria), to teach the fear of his name to the outlying peoples</w:t></w:r>
</w:p>
<w:p>
<w:pPr><w:pStyle w:val="Normal"/></w:pPr>
<w:r><w:t xml:space="preserve">of the steppe (summer 328).  And meanwhile the rift between</w:t></w:r>
</w:p>
<w:p>
<w:pPr><w:pStyle w:val="Normal"/></w:pPr>
<w:r><w:t xml:space="preserve">Alexander and his European followers continued to show itself in</w:t></w:r>
</w:p>
<w:p>
<w:pPr><w:pStyle w:val="Normal"/></w:pPr>
<w:r><w:t xml:space="preserve">dark incidents--the murder of Clitus at Maracanda (Samarkand),</w:t></w:r>
</w:p>
<w:p>
<w:pPr><w:pStyle w:val="Normal"/></w:pPr>
<w:r><w:t xml:space="preserve">when Alexander struck down an old friend, both being hot</w:t></w:r>
</w:p>
<w:p>
<w:pPr><w:pStyle w:val="Normal"/></w:pPr>
<w:r><w:t xml:space="preserve">with wine; the claim that Alexander should be approached with</w:t></w:r>
</w:p>
<w:p>
<w:pPr><w:pStyle w:val="Normal"/></w:pPr>
<w:r><w:t xml:space="preserve">prostration (proskynesis), urged in the spring of 327, and</w:t></w:r>
</w:p>
<w:p>
<w:pPr><w:pStyle w:val="Normal"/></w:pPr>
<w:r><w:t xml:space="preserve">opposed boldly by the philosopher Callisthenes, Aristotle&apos;s</w:t></w:r>
</w:p>
<w:p>
<w:pPr><w:pStyle w:val="Normal"/></w:pPr>
<w:r><w:t xml:space="preserve">nephew, who had come in the king&apos;s train; the conspiracy of</w:t></w:r>
</w:p>
<w:p>
<w:pPr><w:pStyle w:val="Normal"/></w:pPr>
<w:r><w:t xml:space="preserve">the pages at Bactria, which was made an occasion for putting</w:t></w:r>
</w:p>
<w:p>
<w:pPr><w:pStyle w:val="Normal"/></w:pPr>
<w:r><w:t xml:space="preserve">Callisthenes to death.  It was now that Alexander completed</w:t></w:r>
</w:p>
<w:p>
<w:pPr><w:pStyle w:val="Normal"/></w:pPr>
<w:r><w:t xml:space="preserve">the conquest of the provinces north of the Hindu Kush by</w:t></w:r>
</w:p>
<w:p>
<w:pPr><w:pStyle w:val="Normal"/></w:pPr>
<w:r><w:t xml:space="preserve">the reduction of the last mountain strongholds of the native</w:t></w:r>
</w:p>
<w:p>
<w:pPr><w:pStyle w:val="Normal"/></w:pPr>
<w:r><w:t xml:space="preserve">princes.  In one of them he captured Roxana, the daughter</w:t></w:r>
</w:p>
<w:p>
<w:pPr><w:pStyle w:val="Normal"/></w:pPr>
<w:r><w:t xml:space="preserve">of Oxyartes, whom he made his wife.  Before the summer of</w:t></w:r>
</w:p>
<w:p>
<w:pPr><w:pStyle w:val="Normal"/></w:pPr>
<w:r><w:t xml:space="preserve">327 he had once more crossed the Hindu Kush on his way to</w:t></w:r>
</w:p>
<w:p>
<w:pPr><w:pStyle w:val="Normal"/></w:pPr>
<w:r><w:t xml:space="preserve">India (for the campaigns in the N.E. see F. von Schwarz,</w:t></w:r>
</w:p>
<w:p>
<w:pPr><w:pStyle w:val="Normal"/></w:pPr>
<w:r><w:t xml:space="preserve">Alex. d.  Grossen Feldzuge in Turkestan, 1893, v.).</w:t></w:r>
</w:p>
<w:p>
<w:pPr><w:pStyle w:val="Normal"/></w:pPr>
<w:r><w:t xml:space="preserve">Whilst the heavier troops moved down the Kabul valley to</w:t></w:r>
</w:p>
<w:p>
<w:pPr><w:pStyle w:val="Normal"/></w:pPr>
<w:r><w:t xml:space="preserve">Pencelaotis (Charsadda) under Perdiccas and Hephaestion,</w:t></w:r>
</w:p>
<w:p>
<w:pPr><w:pStyle w:val="Normal"/></w:pPr>
<w:r><w:t xml:space="preserve">Alexander with a body of lighter-armed troops and cavalry pushed</w:t></w:r>
</w:p>
<w:p>
<w:pPr><w:pStyle w:val="Normal"/></w:pPr>
<w:r><w:t xml:space="preserve">up the valleys which join the Kabul from the north--through</w:t></w:r>
</w:p>
<w:p>
<w:pPr><w:pStyle w:val="Normal"/></w:pPr>
<w:r><w:t xml:space="preserve">the regions now known as Bajour, Swat and Buner, inhabited</w:t></w:r>
</w:p>
<w:p>
<w:pPr><w:pStyle w:val="Normal"/></w:pPr>
<w:r><w:t xml:space="preserve">by Indian hill peoples, as fierce then against the western</w:t></w:r>
</w:p>
<w:p>
<w:pPr><w:pStyle w:val="Normal"/></w:pPr>
<w:r><w:t xml:space="preserve">intruder as their Pathan successors are against the British</w:t></w:r>
</w:p>
<w:p>
<w:pPr><w:pStyle w:val="Normal"/></w:pPr>
<w:r><w:t xml:space="preserve">columns.  The books give a number of their ``cities&apos;&apos;</w:t></w:r>
</w:p>
<w:p>
<w:pPr><w:pStyle w:val="Normal"/></w:pPr>
<w:r><w:t xml:space="preserve">reduced by Alexander--walled mountain villages which can</w:t></w:r>
</w:p>
<w:p>
<w:pPr><w:pStyle w:val="Normal"/></w:pPr>
<w:r><w:t xml:space="preserve">in some cases be identified more or less certainly with</w:t></w:r>
</w:p>
<w:p>
<w:pPr><w:pStyle w:val="Normal"/></w:pPr>
<w:r><w:t xml:space="preserve">places where the clans are established to-day.  The crowning</w:t></w:r>
</w:p>
<w:p>
<w:pPr><w:pStyle w:val="Normal"/></w:pPr>
<w:r><w:t xml:space="preserve">exploit was the reduction of Aornus,5 a stronghold perched</w:t></w:r>
</w:p>
<w:p>
<w:pPr><w:pStyle w:val="Normal"/></w:pPr>
<w:r><w:t xml:space="preserve">on a precipitous summit above the Indus, which it was said</w:t></w:r>
</w:p>
<w:p>
<w:pPr><w:pStyle w:val="Normal"/></w:pPr>
<w:r><w:t xml:space="preserve">that Heracles had failed to take.  How much of the story of</w:t></w:r>
</w:p>
<w:p>
<w:pPr><w:pStyle w:val="Normal"/></w:pPr>
<w:r><w:t xml:space="preserve">Alexander&apos;s discovery of the sacred mountain of the Nysa and</w:t></w:r>
</w:p>
<w:p>
<w:pPr><w:pStyle w:val="Normal"/></w:pPr>
<w:r><w:t xml:space="preserve">the traces of Dionysus is due to the invention of Aristobulus</w:t></w:r>
</w:p>
<w:p>
<w:pPr><w:pStyle w:val="Normal"/></w:pPr>
<w:r><w:t xml:space="preserve">and Clitarchus (Arrian did not find it in Ptolemy) we cannot</w:t></w:r>
</w:p>
<w:p>
<w:pPr><w:pStyle w:val="Normal"/></w:pPr>
<w:r><w:t xml:space="preserve">say.  Meantime Perdiccas and Hephaestion had built a bridge</w:t></w:r>
</w:p>
<w:p>
<w:pPr><w:pStyle w:val="Normal"/></w:pPr>
<w:r><w:t xml:space="preserve">over the Indus, and by this in the spring of 326 Alexander</w:t></w:r>
</w:p>
<w:p>
<w:pPr><w:pStyle w:val="Normal"/></w:pPr>
<w:r><w:t xml:space="preserve">passed into the Punjab (at Ohind, 16 m. above Attock, according</w:t></w:r>
</w:p>
<w:p>
<w:pPr><w:pStyle w:val="Normal"/></w:pPr>
<w:r><w:t xml:space="preserve">to Foucher, Notes sur la geogr. anc. du Gandhara,</w:t></w:r>
</w:p>
<w:p>
<w:pPr><w:pStyle w:val="Normal"/></w:pPr>
<w:r><w:t xml:space="preserve">1902).  The country into which he came was dominated by three</w:t></w:r>
</w:p>
<w:p>
<w:pPr><w:pStyle w:val="Normal"/></w:pPr>
<w:r><w:t xml:space="preserve">principalities, that of Ambhi (Gr. Omphis, Curt. viii. 12.</w:t></w:r>
</w:p>
<w:p>
<w:pPr><w:pStyle w:val="Normal"/></w:pPr>
<w:r><w:t xml:space="preserve">6) between the Indus and the Hydaspes (Jhelum, Jehlam),</w:t></w:r>
</w:p>
<w:p>
<w:pPr><w:pStyle w:val="Normal"/></w:pPr>
<w:r><w:t xml:space="preserve">centred in the great city of Takkasila (Gr. Taxila), that</w:t></w:r>
</w:p>
<w:p>
<w:pPr><w:pStyle w:val="Normal"/></w:pPr>
<w:r><w:t xml:space="preserve">of the Paurara rajah (Gr. Porus) between the Hydaspes and</w:t></w:r>
</w:p>
<w:p>
<w:pPr><w:pStyle w:val="Normal"/></w:pPr>
<w:r><w:t xml:space="preserve">Acesines (Chenab), and that of Abhisara (Gr. Abisares)</w:t></w:r>
</w:p>
<w:p>
<w:pPr><w:pStyle w:val="Normal"/></w:pPr>
<w:r><w:t xml:space="preserve">between the same two rivers higher up, on the confines of</w:t></w:r>
</w:p>
<w:p>
<w:pPr><w:pStyle w:val="Normal"/></w:pPr>
<w:r><w:t xml:space="preserve">Kashmir (Stein, Rajatarangini, transl. bk. i. 180, v.</w:t></w:r>
</w:p>
<w:p>
<w:pPr><w:pStyle w:val="Normal"/></w:pPr>
<w:r><w:t xml:space="preserve">217).  The kings of Taxila and Porus were at enmity, and for</w:t></w:r>
</w:p>
<w:p>
<w:pPr><w:pStyle w:val="Normal"/></w:pPr>
<w:r><w:t xml:space="preserve">this cause the invader could reckon upon Omphis as a firm</w:t></w:r>
</w:p>
<w:p>
<w:pPr><w:pStyle w:val="Normal"/></w:pPr>
<w:r><w:t xml:space="preserve">ally.  Porus was prepared to contest the passage of the</w:t></w:r>
</w:p>
<w:p>
<w:pPr><w:pStyle w:val="Normal"/></w:pPr>
<w:r><w:t xml:space="preserve">Hydaspes with all his strength.  Abisares preferred to play</w:t></w:r>
</w:p>
<w:p>
<w:pPr><w:pStyle w:val="Normal"/></w:pPr>
<w:r><w:t xml:space="preserve">a double game and wait upon events.  Alexander reached the</w:t></w:r>
</w:p>
<w:p>
<w:pPr><w:pStyle w:val="Normal"/></w:pPr>
<w:r><w:t xml:space="preserve">Hydaspes just as the rains broke, when the river was already</w:t></w:r>
</w:p>
<w:p>
<w:pPr><w:pStyle w:val="Normal"/></w:pPr>
<w:r><w:t xml:space="preserve">swollen.  Porus held the opposite bank with a powerful army,</w:t></w:r>
</w:p>
<w:p>
<w:pPr><w:pStyle w:val="Normal"/></w:pPr>
<w:r><w:t xml:space="preserve">including 200 elephants.  Alexander succeeded in taking</w:t></w:r>
</w:p>
<w:p>
<w:pPr><w:pStyle w:val="Normal"/></w:pPr>
<w:r><w:t xml:space="preserve">a part of his forces across the river higher up during a</w:t></w:r>
</w:p>
<w:p>
<w:pPr><w:pStyle w:val="Normal"/></w:pPr>
<w:r><w:t xml:space="preserve">night of torrential rain, and then he fought the fourth</w:t></w:r>
</w:p>
<w:p>
<w:pPr><w:pStyle w:val="Normal"/></w:pPr>
<w:r><w:t xml:space="preserve">and last of his pitched battles in Asia, the one which put</w:t></w:r>
</w:p>
<w:p>
<w:pPr><w:pStyle w:val="Normal"/></w:pPr>
<w:r><w:t xml:space="preserve">to proof more shrewdly than any of the others the quality</w:t></w:r>
</w:p>
<w:p>
<w:pPr><w:pStyle w:val="Normal"/></w:pPr>
<w:r><w:t xml:space="preserve">of the Macedonian army as an instrument of war, and yet</w:t></w:r>
</w:p>
<w:p>
<w:pPr><w:pStyle w:val="Normal"/></w:pPr>
<w:r><w:t xml:space="preserve">again emerged victorious.  Porus fell sorely wounded into</w:t></w:r>
</w:p>
<w:p>
<w:pPr><w:pStyle w:val="Normal"/></w:pPr>
<w:r><w:t xml:space="preserve">his hands.6 Porus had saved his honour, and now Alexander</w:t></w:r>
</w:p>
<w:p>
<w:pPr><w:pStyle w:val="Normal"/></w:pPr>
<w:r><w:t xml:space="preserve">tried, and not in vain, to gain him as a friend.  When he</w:t></w:r>
</w:p>
<w:p>
<w:pPr><w:pStyle w:val="Normal"/></w:pPr>
<w:r><w:t xml:space="preserve">continued his progress eastwards across the Acesines, Porus</w:t></w:r>
</w:p>
<w:p>
<w:pPr><w:pStyle w:val="Normal"/></w:pPr>
<w:r><w:t xml:space="preserve">was an active ally.  Alexander moved along close under the</w:t></w:r>
</w:p>
<w:p>
<w:pPr><w:pStyle w:val="Normal"/></w:pPr>
<w:r><w:t xml:space="preserve">hills.  After crossing the Hydraotes (Ravi) he once</w:t></w:r>
</w:p>
<w:p>
<w:pPr><w:pStyle w:val="Normal"/></w:pPr>
<w:r><w:t xml:space="preserve">more came into contact with hostile tribes, and the work of</w:t></w:r>
</w:p>
<w:p>
<w:pPr><w:pStyle w:val="Normal"/></w:pPr>
<w:r><w:t xml:space="preserve">storming petty towns began again.  Then the Hyphasis (Beas)</w:t></w:r>
</w:p>
<w:p>
<w:pPr><w:pStyle w:val="Normal"/></w:pPr>
<w:r><w:t xml:space="preserve">was reached, and here the Macedonian army refused to go any</w:t></w:r>
</w:p>
<w:p>
<w:pPr><w:pStyle w:val="Normal"/></w:pPr>
<w:r><w:t xml:space="preserve">farther.  It was a bitter mortification to Alexander, before</w:t></w:r>
</w:p>
<w:p>
<w:pPr><w:pStyle w:val="Normal"/></w:pPr>
<w:r><w:t xml:space="preserve">whose imagination new vistas had just opened out eastwards,</w:t></w:r>
</w:p>
<w:p>
<w:pPr><w:pStyle w:val="Normal"/></w:pPr>
<w:r><w:t xml:space="preserve">where there beckoned the unknown world of the Ganges and</w:t></w:r>
</w:p>
<w:p>
<w:pPr><w:pStyle w:val="Normal"/></w:pPr>
<w:r><w:t xml:space="preserve">its splendid kings.  For three days the will of king and</w:t></w:r>
</w:p>
<w:p>
<w:pPr><w:pStyle w:val="Normal"/></w:pPr>
<w:r><w:t xml:space="preserve">people were locked in antagonism; then Alexander gave way;</w:t></w:r>
</w:p>
<w:p>
<w:pPr><w:pStyle w:val="Normal"/></w:pPr>
<w:r><w:t xml:space="preserve">the long eastward movement was ended; the return began.</w:t></w:r>
</w:p>
<w:p>
<w:pPr><w:pStyle w:val="Normal"/></w:pPr>
<w:r><w:t xml:space="preserve">The return.</w:t></w:r>
</w:p>
<w:p>
<w:pPr><w:pStyle w:val="Normal"/></w:pPr>
<w:r><w:t xml:space="preserve">Alexander left the conquered portion of India east of the</w:t></w:r>
</w:p>
<w:p>
<w:pPr><w:pStyle w:val="Normal"/></w:pPr>
<w:r><w:t xml:space="preserve">Indus to be governed under Porus, Omphis of Taxila, and</w:t></w:r>
</w:p>
<w:p>
<w:pPr><w:pStyle w:val="Normal"/></w:pPr>
<w:r><w:t xml:space="preserve">Abisares, the country west of the Indus under Macedonian</w:t></w:r>
</w:p>
<w:p>
<w:pPr><w:pStyle w:val="Normal"/></w:pPr>
<w:r><w:t xml:space="preserve">governors, and set out to explore the great river to its mouth</w:t></w:r>
</w:p>
<w:p>
<w:pPr><w:pStyle w:val="Normal"/></w:pPr>
<w:r><w:t xml:space="preserve">(for the organization of the Indian provinces, see especially</w:t></w:r>
</w:p>
<w:p>
<w:pPr><w:pStyle w:val="Normal"/></w:pPr>
<w:r><w:t xml:space="preserve">Niese, vol. i. pp. 500 f.).  The fleet prepared on the</w:t></w:r>
</w:p>
<w:p>
<w:pPr><w:pStyle w:val="Normal"/></w:pPr>
<w:r><w:t xml:space="preserve">Hydaspes sailed in October, while a land army moved along the</w:t></w:r>
</w:p>
<w:p>
<w:pPr><w:pStyle w:val="Normal"/></w:pPr>
<w:r><w:t xml:space="preserve">bank.  The confluence of the Hydaspes and Acesines passed,</w:t></w:r>
</w:p>
<w:p>
<w:pPr><w:pStyle w:val="Normal"/></w:pPr>
<w:r><w:t xml:space="preserve">the Macedonians were once more in a region of hostile tribes</w:t></w:r>
</w:p>
<w:p>
<w:pPr><w:pStyle w:val="Normal"/></w:pPr>
<w:r><w:t xml:space="preserve">with towns to be stormed.  It was at one of these, a town</w:t></w:r>
</w:p>
<w:p>
<w:pPr><w:pStyle w:val="Normal"/></w:pPr>
<w:r><w:t xml:space="preserve">of the Malli, that a memorable incident occurred, such as</w:t></w:r>
</w:p>
<w:p>
<w:pPr><w:pStyle w:val="Normal"/></w:pPr>
<w:r><w:t xml:space="preserve">characterized the personality of Alexander for all succeeding</w:t></w:r>
</w:p>
<w:p>
<w:pPr><w:pStyle w:val="Normal"/></w:pPr>
<w:r><w:t xml:space="preserve">time.  He leapt from the wall with only three companions</w:t></w:r>
</w:p>
<w:p>
<w:pPr><w:pStyle w:val="Normal"/></w:pPr>
<w:r><w:t xml:space="preserve">into the hostile town, and, before the army behind him</w:t></w:r>
</w:p>
<w:p>
<w:pPr><w:pStyle w:val="Normal"/></w:pPr>
<w:r><w:t xml:space="preserve">could effect an entrance, lay wounded almost to death.7</w:t></w:r>
</w:p>
<w:p>
<w:pPr><w:pStyle w:val="Normal"/></w:pPr>
<w:r><w:t xml:space="preserve">He recovered and beat down the resistance of the tribes,</w:t></w:r>
</w:p>
<w:p>
<w:pPr><w:pStyle w:val="Normal"/></w:pPr>
<w:r><w:t xml:space="preserve">leaving them annexed to the Macedonian satrapy west of the</w:t></w:r>
</w:p>
<w:p>
<w:pPr><w:pStyle w:val="Normal"/></w:pPr>
<w:r><w:t xml:space="preserve">Indus.  Below the confluence of the Punjab rivers into the</w:t></w:r>
</w:p>
<w:p>
<w:pPr><w:pStyle w:val="Normal"/></w:pPr>
<w:r><w:t xml:space="preserve">single stream of the Indus the territory of loose tribes</w:t></w:r>
</w:p>
<w:p>
<w:pPr><w:pStyle w:val="Normal"/></w:pPr>
<w:r><w:t xml:space="preserve">was succeeded by another group of regular principalities,</w:t></w:r>
</w:p>
<w:p>
<w:pPr><w:pStyle w:val="Normal"/></w:pPr>
<w:r><w:t xml:space="preserve">under the rajahs called by the Greeks Musicanus, Oxycanus and</w:t></w:r>
</w:p>
<w:p>
<w:pPr><w:pStyle w:val="Normal"/></w:pPr>
<w:r><w:t xml:space="preserve">Sambus.  These opposed a national resistance to the Macedonians,</w:t></w:r>
</w:p>
<w:p>
<w:pPr><w:pStyle w:val="Normal"/></w:pPr>
<w:r><w:t xml:space="preserve">the fires of which were fanned by the Brahmins, but still</w:t></w:r>
</w:p>
<w:p>
<w:pPr><w:pStyle w:val="Normal"/></w:pPr>
<w:r><w:t xml:space="preserve">the strong arm of the western people prevailed.  The rajah of</w:t></w:r>
</w:p>
<w:p>
<w:pPr><w:pStyle w:val="Normal"/></w:pPr>
<w:r><w:t xml:space="preserve">Patala at the apex of the Indus delta abandoned his country and</w:t></w:r>
</w:p>
<w:p>
<w:pPr><w:pStyle w:val="Normal"/></w:pPr>
<w:r><w:t xml:space="preserve">fled.  It was the high summer of 325 when Alexander reached</w:t></w:r>
</w:p>
<w:p>
<w:pPr><w:pStyle w:val="Normal"/></w:pPr>
<w:r><w:t xml:space="preserve">Patala.  From here he explored both arms of the delta</w:t></w:r>
</w:p>
<w:p>
<w:pPr><w:pStyle w:val="Normal"/></w:pPr>
<w:r><w:t xml:space="preserve">to the ocean, now seen by the Macedonians for the first</w:t></w:r>
</w:p>
<w:p>
<w:pPr><w:pStyle w:val="Normal"/></w:pPr>
<w:r><w:t xml:space="preserve">time.  He had determined that the Indus fleet should be</w:t></w:r>
</w:p>
<w:p>
<w:pPr><w:pStyle w:val="Normal"/></w:pPr>
<w:r><w:t xml:space="preserve">used to explore this new world and try to find a waterway</w:t></w:r>
</w:p>
<w:p>
<w:pPr><w:pStyle w:val="Normal"/></w:pPr>
<w:r><w:t xml:space="preserve">between the Indus and the Persian Gulf.  A great part of the</w:t></w:r>
</w:p>
<w:p>
<w:pPr><w:pStyle w:val="Normal"/></w:pPr>
<w:r><w:t xml:space="preserve">land-forces had been already sent off under Craterus in the</w:t></w:r>
</w:p>
<w:p>
<w:pPr><w:pStyle w:val="Normal"/></w:pPr>
<w:r><w:t xml:space="preserve">earlier summer to return west by Kandahar and Seistan; the</w:t></w:r>
</w:p>
<w:p>
<w:pPr><w:pStyle w:val="Normal"/></w:pPr>
<w:r><w:t xml:space="preserve">fleet was to sail under the Greek Nearchus from the Indus</w:t></w:r>
</w:p>
<w:p>
<w:pPr><w:pStyle w:val="Normal"/></w:pPr>
<w:r><w:t xml:space="preserve">mouth with the winter monsoon; Alexander himself with the rest</w:t></w:r>
</w:p>
<w:p>
<w:pPr><w:pStyle w:val="Normal"/></w:pPr>
<w:r><w:t xml:space="preserve">of the land-forces set out in October to go by the coast of</w:t></w:r>
</w:p>
<w:p>
<w:pPr><w:pStyle w:val="Normal"/></w:pPr>
<w:r><w:t xml:space="preserve">Baluchistan, through the appalling sand-wastes of the Mekran.8</w:t></w:r>
</w:p>
<w:p>
<w:pPr><w:pStyle w:val="Normal"/></w:pPr>
<w:r><w:t xml:space="preserve">He would seem to have kept down to the coast until the</w:t></w:r>
</w:p>
<w:p>
<w:pPr><w:pStyle w:val="Normal"/></w:pPr>
<w:r><w:t xml:space="preserve">headland of Ras Malan was reached, scattering before him</w:t></w:r>
</w:p>
<w:p>
<w:pPr><w:pStyle w:val="Normal"/></w:pPr>
<w:r><w:t xml:space="preserve">the bands of Arabitae and Oritae who were the inhabitants</w:t></w:r>
</w:p>
<w:p>
<w:pPr><w:pStyle w:val="Normal"/></w:pPr>
<w:r><w:t xml:space="preserve">of this well-provisioned tract.  For the 150 miles between</w:t></w:r>
</w:p>
<w:p>
<w:pPr><w:pStyle w:val="Normal"/></w:pPr>
<w:r><w:t xml:space="preserve">Ras Malan and Pasni Alexander was compelled by the natural</w:t></w:r>
</w:p>
<w:p>
<w:pPr><w:pStyle w:val="Normal"/></w:pPr>
<w:r><w:t xml:space="preserve">barriers to march inland, and it was here that his troops</w:t></w:r>
</w:p>
<w:p>
<w:pPr><w:pStyle w:val="Normal"/></w:pPr>
<w:r><w:t xml:space="preserve">sank under the horrors of heat and thirst and sand.  The coast</w:t></w:r>
</w:p>
<w:p>
<w:pPr><w:pStyle w:val="Normal"/></w:pPr>
<w:r><w:t xml:space="preserve">once regained, the way was easy; no such desert had to be</w:t></w:r>
</w:p>
<w:p>
<w:pPr><w:pStyle w:val="Normal"/></w:pPr>
<w:r><w:t xml:space="preserve">traversed, when Alexander again struck inland for the chief</w:t></w:r>
</w:p>
<w:p>
<w:pPr><w:pStyle w:val="Normal"/></w:pPr>
<w:r><w:t xml:space="preserve">city of the Gedrosians (Pura), and thence made his way into</w:t></w:r>
</w:p>
<w:p>
<w:pPr><w:pStyle w:val="Normal"/></w:pPr>
<w:r><w:t xml:space="preserve">Carmania.  Here the spent troops rested; here the army</w:t></w:r>
</w:p>
<w:p>
<w:pPr><w:pStyle w:val="Normal"/></w:pPr>
<w:r><w:t xml:space="preserve">of Craterus joined them, and Nearchus came to announce</w:t></w:r>
</w:p>
<w:p>
<w:pPr><w:pStyle w:val="Normal"/></w:pPr>
<w:r><w:t xml:space="preserve">his safe arrival at the entrance of the Persian Gulf.9</w:t></w:r>
</w:p>
<w:p>
<w:pPr><w:pStyle w:val="Normal"/></w:pPr>
<w:r><w:t xml:space="preserve">The machine of empire had not functioned altogether smoothly</w:t></w:r>
</w:p>
<w:p>
<w:pPr><w:pStyle w:val="Normal"/></w:pPr>
<w:r><w:t xml:space="preserve">while the king had been absent, and on Alexander&apos;s re-appearance</w:t></w:r>
</w:p>
<w:p>
<w:pPr><w:pStyle w:val="Normal"/></w:pPr>
<w:r><w:t xml:space="preserve">many incapables and rogues in high office had to be replaced</w:t></w:r>
</w:p>
<w:p>
<w:pPr><w:pStyle w:val="Normal"/></w:pPr>
<w:r><w:t xml:space="preserve">by better men.  In Carmania, in Persis, complaints from the</w:t></w:r>
</w:p>
<w:p>
<w:pPr><w:pStyle w:val="Normal"/></w:pPr>
<w:r><w:t xml:space="preserve">provinces continued to reach him, as well as the news of</w:t></w:r>
</w:p>
<w:p>
<w:pPr><w:pStyle w:val="Normal"/></w:pPr>
<w:r><w:t xml:space="preserve">disorders in Macedonia and Greece.  New orders and appointments</w:t></w:r>
</w:p>
<w:p>
<w:pPr><w:pStyle w:val="Normal"/></w:pPr>
<w:r><w:t xml:space="preserve">served to bring the empire into hand again, and at Susa in</w:t></w:r>
</w:p>
<w:p>
<w:pPr><w:pStyle w:val="Normal"/></w:pPr>
<w:r><w:t xml:space="preserve">the spring of 324 Alexander rested, the task of conquering and</w:t></w:r>
</w:p>
<w:p>
<w:pPr><w:pStyle w:val="Normal"/></w:pPr>
<w:r><w:t xml:space="preserve">compassing the Achaemenian realm achieved.  The task of its</w:t></w:r>
</w:p>
<w:p>
<w:pPr><w:pStyle w:val="Normal"/></w:pPr>
<w:r><w:t xml:space="preserve">internal reorganization now began to occupy him--changes, for</w:t></w:r>
</w:p>
<w:p>
<w:pPr><w:pStyle w:val="Normal"/></w:pPr>
<w:r><w:t xml:space="preserve">instance, in the military system which tended to assimilate</w:t></w:r>
</w:p>
<w:p>
<w:pPr><w:pStyle w:val="Normal"/></w:pPr>
<w:r><w:t xml:space="preserve">Macedonians and Orientals.  The same policy of fusion was</w:t></w:r>
</w:p>
<w:p>
<w:pPr><w:pStyle w:val="Normal"/></w:pPr>
<w:r><w:t xml:space="preserve">furthered by the great marriage festival at Susa, when</w:t></w:r>
</w:p>
<w:p>
<w:pPr><w:pStyle w:val="Normal"/></w:pPr>
<w:r><w:t xml:space="preserve">Alexander took two more wives from the Persian royal house,</w:t></w:r>
</w:p>
<w:p>
<w:pPr><w:pStyle w:val="Normal"/></w:pPr>
<w:r><w:t xml:space="preserve">married a number of his generals to Oriental princesses, and</w:t></w:r>
</w:p>
<w:p>
<w:pPr><w:pStyle w:val="Normal"/></w:pPr>
<w:r><w:t xml:space="preserve">even induced as many as he could of the rank-and-file to take</w:t></w:r>
</w:p>
<w:p>
<w:pPr><w:pStyle w:val="Normal"/></w:pPr>
<w:r><w:t xml:space="preserve">Asiatic wives.  This policy did not allay the discontent of</w:t></w:r>
</w:p>
<w:p>
<w:pPr><w:pStyle w:val="Normal"/></w:pPr>
<w:r><w:t xml:space="preserve">the Macedonian army, and when Alexander in the summer of 324</w:t></w:r>
</w:p>
<w:p>
<w:pPr><w:pStyle w:val="Normal"/></w:pPr>
<w:r><w:t xml:space="preserve">moved to the cooler region of Media, an actual mutiny of the</w:t></w:r>
</w:p>
<w:p>
<w:pPr><w:pStyle w:val="Normal"/></w:pPr>
<w:r><w:t xml:space="preserve">Macedonians broke out on the way at Opis on the Tigris.  It</w:t></w:r>
</w:p>
<w:p>
<w:pPr><w:pStyle w:val="Normal"/></w:pPr>
<w:r><w:t xml:space="preserve">was occasioned by the discharge of the Macedonian veterans,</w:t></w:r>
</w:p>
<w:p>
<w:pPr><w:pStyle w:val="Normal"/></w:pPr>
<w:r><w:t xml:space="preserve">and only the personal magnetism of Alexander and his threat to</w:t></w:r>
</w:p>
<w:p>
<w:pPr><w:pStyle w:val="Normal"/></w:pPr>
<w:r><w:t xml:space="preserve">entrust himself altogether to the Orientals availed to quell</w:t></w:r>
</w:p>
<w:p>
<w:pPr><w:pStyle w:val="Normal"/></w:pPr>
<w:r><w:t xml:space="preserve">it.  At Ecbatana the death of Hephaestion for a time plunged</w:t></w:r>
</w:p>
<w:p>
<w:pPr><w:pStyle w:val="Normal"/></w:pPr>
<w:r><w:t xml:space="preserve">Alexander into a passion of mourning.  But by the winter</w:t></w:r>
</w:p>
<w:p>
<w:pPr><w:pStyle w:val="Normal"/></w:pPr>
<w:r><w:t xml:space="preserve">(324-323) he was again active, bringing the hill- tribes on</w:t></w:r>
</w:p>
<w:p>
<w:pPr><w:pStyle w:val="Normal"/></w:pPr>
<w:r><w:t xml:space="preserve">the S.W. border of Media, the Cossaei, into subjection.  In</w:t></w:r>
</w:p>
<w:p>
<w:pPr><w:pStyle w:val="Normal"/></w:pPr>
<w:r><w:t xml:space="preserve">the spring of 323 he moved down to Babylon, receiving on the</w:t></w:r>
</w:p>
<w:p>
<w:pPr><w:pStyle w:val="Normal"/></w:pPr>
<w:r><w:t xml:space="preserve">way embassies from lands as far as the confines of the known</w:t></w:r>
</w:p>
<w:p>
<w:pPr><w:pStyle w:val="Normal"/></w:pPr>
<w:r><w:t xml:space="preserve">world, for the eyes of all nations were now turned with fear</w:t></w:r>
</w:p>
<w:p>
<w:pPr><w:pStyle w:val="Normal"/></w:pPr>
<w:r><w:t xml:space="preserve">or wonder to the figure which had appeared with so superhuman</w:t></w:r>
</w:p>
<w:p>
<w:pPr><w:pStyle w:val="Normal"/></w:pPr>
<w:r><w:t xml:space="preserve">an effect upon the world&apos;s stage.  The embassy from Rome,</w:t></w:r>
</w:p>
<w:p>
<w:pPr><w:pStyle w:val="Normal"/></w:pPr>
<w:r><w:t xml:space="preserve">however, is almost certainly a later, and an inevitable,</w:t></w:r>
</w:p>
<w:p>
<w:pPr><w:pStyle w:val="Normal"/></w:pPr>
<w:r><w:t xml:space="preserve">invention.  The exploration of the waterways round about the</w:t></w:r>
</w:p>
<w:p>
<w:pPr><w:pStyle w:val="Normal"/></w:pPr>
<w:r><w:t xml:space="preserve">empire was Alexander&apos;s immediate concern, the discovery of</w:t></w:r>
</w:p>
<w:p>
<w:pPr><w:pStyle w:val="Normal"/></w:pPr>
<w:r><w:t xml:space="preserve">the presumed connexion of the Caspian with the Northern Ocean,</w:t></w:r>
</w:p>
<w:p>
<w:pPr><w:pStyle w:val="Normal"/></w:pPr>
<w:r><w:t xml:space="preserve">the opening of a maritime route from Babylon to Egypt round</w:t></w:r>
</w:p>
<w:p>
<w:pPr><w:pStyle w:val="Normal"/></w:pPr>
<w:r><w:t xml:space="preserve">Arabia.  The latter enterprise Alexander designed to conduct</w:t></w:r>
</w:p>
<w:p>
<w:pPr><w:pStyle w:val="Normal"/></w:pPr>
<w:r><w:t xml:space="preserve">in person; under his supervision was prepared in Babylon an</w:t></w:r>
</w:p>
<w:p>
<w:pPr><w:pStyle w:val="Normal"/></w:pPr>
<w:r><w:t xml:space="preserve">immense fleet, a great basin dug out to contain 1000 ships,</w:t></w:r>
</w:p>
<w:p>
<w:pPr><w:pStyle w:val="Normal"/></w:pPr>
<w:r><w:t xml:space="preserve">and the water- communications of Babylonia taken in hand.</w:t></w:r>
</w:p>
<w:p>
<w:pPr><w:pStyle w:val="Normal"/></w:pPr>
<w:r><w:t xml:space="preserve">Innovations were carried out in the tactical system of the</w:t></w:r>
</w:p>
<w:p>
<w:pPr><w:pStyle w:val="Normal"/></w:pPr>
<w:r><w:t xml:space="preserve">army which were to modify considerably the methods of future</w:t></w:r>
</w:p>
<w:p>
<w:pPr><w:pStyle w:val="Normal"/></w:pPr>
<w:r><w:t xml:space="preserve">battle-fields.  At last all was ready; the 20th of the month</w:t></w:r>
</w:p>
<w:p>
<w:pPr><w:pStyle w:val="Normal"/></w:pPr>
<w:r><w:t xml:space="preserve">Daesius (? June 5) was fixed for the king&apos;s setting forth.</w:t></w:r>
</w:p>
<w:p>
<w:pPr><w:pStyle w:val="Normal"/></w:pPr>
<w:r><w:t xml:space="preserve">Illness and death.</w:t></w:r>
</w:p>
<w:p>
<w:pPr><w:pStyle w:val="Normal"/></w:pPr>
<w:r><w:t xml:space="preserve">On the 15th and 16th Alexander caroused deep into the night at</w:t></w:r>
</w:p>
<w:p>
<w:pPr><w:pStyle w:val="Normal"/></w:pPr>
<w:r><w:t xml:space="preserve">the house of the favourite Medius.  On the 17th he developed</w:t></w:r>
</w:p>
<w:p>
<w:pPr><w:pStyle w:val="Normal"/></w:pPr>
<w:r><w:t xml:space="preserve">fever; for a time he treated it as a momentary impediment to the</w:t></w:r>
</w:p>
<w:p>
<w:pPr><w:pStyle w:val="Normal"/></w:pPr>
<w:r><w:t xml:space="preserve">expedition; but on the 27th his speech was gone, and the Macedonian</w:t></w:r>
</w:p>
<w:p>
<w:pPr><w:pStyle w:val="Normal"/></w:pPr>
<w:r><w:t xml:space="preserve">army were suffered to pass man by man through his chamber to</w:t></w:r>
</w:p>
<w:p>
<w:pPr><w:pStyle w:val="Normal"/></w:pPr>
<w:r><w:t xml:space="preserve">bid him farewell.  On the 28th (? June 13) Alexander died.10</w:t></w:r>
</w:p>
<w:p>
<w:pPr><w:pStyle w:val="Normal"/></w:pPr>
<w:r><w:t xml:space="preserve">His son by Roxana, the so-called ALEXANDER ``AEGUS,&apos;&apos; was</w:t></w:r>
</w:p>
<w:p>
<w:pPr><w:pStyle w:val="Normal"/></w:pPr>
<w:r><w:t xml:space="preserve">born a few months later.  He and his uncle Philip, as joint</w:t></w:r>
</w:p>
<w:p>
<w:pPr><w:pStyle w:val="Normal"/></w:pPr>
<w:r><w:t xml:space="preserve">kings, were placed under the guardianship of Perdiccas,</w:t></w:r>
</w:p>
<w:p>
<w:pPr><w:pStyle w:val="Normal"/></w:pPr>
<w:r><w:t xml:space="preserve">Peithon and Antipater in succession.  After the death of</w:t></w:r>
</w:p>
<w:p>
<w:pPr><w:pStyle w:val="Normal"/></w:pPr>
<w:r><w:t xml:space="preserve">Antipater (319) Roxana fled with him to Epirus, and was</w:t></w:r>
</w:p>
<w:p>
<w:pPr><w:pStyle w:val="Normal"/></w:pPr>
<w:r><w:t xml:space="preserve">afterwards taken back to Macedonia, together with Olympias, by</w:t></w:r>
</w:p>
<w:p>
<w:pPr><w:pStyle w:val="Normal"/></w:pPr>
<w:r><w:t xml:space="preserve">Polyperchon.  All three fell into the hands of Cassander;</w:t></w:r>
</w:p>
<w:p>
<w:pPr><w:pStyle w:val="Normal"/></w:pPr>
<w:r><w:t xml:space="preserve">Alexander and his mother were in 310-309 put to death by</w:t></w:r>
</w:p>
<w:p>
<w:pPr><w:pStyle w:val="Normal"/></w:pPr>
<w:r><w:t xml:space="preserve">order of Cassander (Justin xiv. 6, xv. 2). The meaningless</w:t></w:r>
</w:p>
<w:p>
<w:pPr><w:pStyle w:val="Normal"/></w:pPr>
<w:r><w:t xml:space="preserve">surname of Aegus, still given in some books to this</w:t></w:r>
</w:p>
<w:p>
<w:pPr><w:pStyle w:val="Normal"/></w:pPr>
<w:r><w:t xml:space="preserve">Alexander, is derived simply from a modern misreading of</w:t></w:r>
</w:p>
<w:p>
<w:pPr><w:pStyle w:val="Normal"/></w:pPr>
<w:r><w:t xml:space="preserve">the text of the Astronomical Canon, AIGOU for ALLOU.</w:t></w:r>
</w:p>
<w:p>
<w:pPr><w:pStyle w:val="Normal"/></w:pPr>
<w:r><w:t xml:space="preserve">Character and policy.</w:t></w:r>
</w:p>
<w:p>
<w:pPr><w:pStyle w:val="Normal"/></w:pPr>
<w:r><w:t xml:space="preserve">Alexander the Great is one of the instances of the vanity</w:t></w:r>
</w:p>
<w:p>
<w:pPr><w:pStyle w:val="Normal"/></w:pPr>
<w:r><w:t xml:space="preserve">of appealing from contemporary disputes to ``the verdict of</w:t></w:r>
</w:p>
<w:p>
<w:pPr><w:pStyle w:val="Normal"/></w:pPr>
<w:r><w:t xml:space="preserve">posterity&apos;&apos;; his character and his policy are estimated to-day</w:t></w:r>
</w:p>
<w:p>
<w:pPr><w:pStyle w:val="Normal"/></w:pPr>
<w:r><w:t xml:space="preserve">as variously as ever.  Certain features--the high physical</w:t></w:r>
</w:p>
<w:p>
<w:pPr><w:pStyle w:val="Normal"/></w:pPr>
<w:r><w:t xml:space="preserve">courage, the impulsive energy, the fervid imagination--stand</w:t></w:r>
</w:p>
<w:p>
<w:pPr><w:pStyle w:val="Normal"/></w:pPr>
<w:r><w:t xml:space="preserve">out clear; beyond that disagreement begins.  That he was a</w:t></w:r>
</w:p>
<w:p>
<w:pPr><w:pStyle w:val="Normal"/></w:pPr>
<w:r><w:t xml:space="preserve">great master of war is admitted by most of those who judge</w:t></w:r>
</w:p>
<w:p>
<w:pPr><w:pStyle w:val="Normal"/></w:pPr>
<w:r><w:t xml:space="preserve">his character unfavourably, but even this has been seriously</w:t></w:r>
</w:p>
<w:p>
<w:pPr><w:pStyle w:val="Normal"/></w:pPr>
<w:r><w:t xml:space="preserve">questioned (e.g. by Beloch, Griech.  Gesch. iii. (i.),</w:t></w:r>
</w:p>
<w:p>
<w:pPr><w:pStyle w:val="Normal"/></w:pPr>
<w:r><w:t xml:space="preserve">p. 66). There is a dispute as to his real designs.  That</w:t></w:r>
</w:p>
<w:p>
<w:pPr><w:pStyle w:val="Normal"/></w:pPr>
<w:r><w:t xml:space="preserve">he aimed at conquering the whole world and demanded to be</w:t></w:r>
</w:p>
<w:p>
<w:pPr><w:pStyle w:val="Normal"/></w:pPr>
<w:r><w:t xml:space="preserve">worshipped as a god is the traditional view.  Droysen denies</w:t></w:r>
</w:p>
<w:p>
<w:pPr><w:pStyle w:val="Normal"/></w:pPr>
<w:r><w:t xml:space="preserve">the former, and Niese maintains that his ambition was limited</w:t></w:r>
</w:p>
<w:p>
<w:pPr><w:pStyle w:val="Normal"/></w:pPr>
<w:r><w:t xml:space="preserve">by the bounds of the Persian empire and that the claim to</w:t></w:r>
</w:p>
<w:p>
<w:pPr><w:pStyle w:val="Normal"/></w:pPr>
<w:r><w:t xml:space="preserve">divine honours is fabulous (Historische Zeitschr. lxxix.,</w:t></w:r>
</w:p>
<w:p>
<w:pPr><w:pStyle w:val="Normal"/></w:pPr>
<w:r><w:t xml:space="preserve">1897, 1 f.).  It is true that our best authority, Arrian,</w:t></w:r>
</w:p>
<w:p>
<w:pPr><w:pStyle w:val="Normal"/></w:pPr>
<w:r><w:t xml:space="preserve">fails to substantiate the traditional view satisfactorily;</w:t></w:r>
</w:p>
<w:p>
<w:pPr><w:pStyle w:val="Normal"/></w:pPr>
<w:r><w:t xml:space="preserve">on the other hand those who maintain it urge that Arrian&apos;s</w:t></w:r>
</w:p>
<w:p>
<w:pPr><w:pStyle w:val="Normal"/></w:pPr>
<w:r><w:t xml:space="preserve">interests were mainly military, and that the other authorities,</w:t></w:r>
</w:p>
<w:p>
<w:pPr><w:pStyle w:val="Normal"/></w:pPr>
<w:r><w:t xml:space="preserve">if inferior in trustworthiness, are completer in range of</w:t></w:r>
</w:p>
<w:p>
<w:pPr><w:pStyle w:val="Normal"/></w:pPr>
<w:r><w:t xml:space="preserve">vision.  Of those, again, who maintain the traditional view,</w:t></w:r>
</w:p>
<w:p>
<w:pPr><w:pStyle w:val="Normal"/></w:pPr>
<w:r><w:t xml:space="preserve">some, like Niebuhr and Grote, regard it as convicting Alexander</w:t></w:r>
</w:p>
<w:p>
<w:pPr><w:pStyle w:val="Normal"/></w:pPr>
<w:r><w:t xml:space="preserve">of mad ambition and vainglory, whilst to Kaerst Alexander</w:t></w:r>
</w:p>
<w:p>
<w:pPr><w:pStyle w:val="Normal"/></w:pPr>
<w:r><w:t xml:space="preserve">only incorporates ideas which were the timely fruit of a</w:t></w:r>
</w:p>
<w:p>
<w:pPr><w:pStyle w:val="Normal"/></w:pPr>
<w:r><w:t xml:space="preserve">long historical development.  The policy of fusing Greeks and</w:t></w:r>
</w:p>
<w:p>
<w:pPr><w:pStyle w:val="Normal"/></w:pPr>
<w:r><w:t xml:space="preserve">Orientals again is diversely judged.  To Droysen and Kaerst</w:t></w:r>
</w:p>
<w:p>
<w:pPr><w:pStyle w:val="Normal"/></w:pPr>
<w:r><w:t xml:space="preserve">it accords with the historical conditions; to Grote and to</w:t></w:r>
</w:p>
<w:p>
<w:pPr><w:pStyle w:val="Normal"/></w:pPr>
<w:r><w:t xml:space="preserve">Beloch it is a betrayal of the prerogative of Hellenism.</w:t></w:r>
</w:p>
<w:p>
<w:pPr><w:pStyle w:val="Normal"/></w:pPr>
<w:r><w:t xml:space="preserve">Some notion of the personal appearance of Alexander may be</w:t></w:r>
</w:p>
<w:p>
<w:pPr><w:pStyle w:val="Normal"/></w:pPr>
<w:r><w:t xml:space="preserve">got from the literature and the surviving monuments.  He is</w:t></w:r>
</w:p>
<w:p>
<w:pPr><w:pStyle w:val="Normal"/></w:pPr>
<w:r><w:t xml:space="preserve">described as of an athletic frame, though not taller than the</w:t></w:r>
</w:p>
<w:p>
<w:pPr><w:pStyle w:val="Normal"/></w:pPr>
<w:r><w:t xml:space="preserve">common, and a white and ruddy complexion.  The expression</w:t></w:r>
</w:p>
<w:p>
<w:pPr><w:pStyle w:val="Normal"/></w:pPr>
<w:r><w:t xml:space="preserve">of his eyes had something ``liquid and melting&apos;&apos; (ton</w:t></w:r>
</w:p>
<w:p>
<w:pPr><w:pStyle w:val="Normal"/></w:pPr>
<w:r><w:t xml:space="preserve">ommaton ten diachusin kai ugroteta), and the hair</w:t></w:r>
</w:p>
<w:p>
<w:pPr><w:pStyle w:val="Normal"/></w:pPr>
<w:r><w:t xml:space="preserve">which stood up over his forehead gave the suggestion of a</w:t></w:r>
</w:p>
<w:p>
<w:pPr><w:pStyle w:val="Normal"/></w:pPr>
<w:r><w:t xml:space="preserve">lion.  He had a way of carrying his head somewhat aslant. (See</w:t></w:r>
</w:p>
<w:p>
<w:pPr><w:pStyle w:val="Normal"/></w:pPr>
<w:r><w:t xml:space="preserve">especially Plut. Alex. 4; de Alex. fort. ii. 2.) The</w:t></w:r>
</w:p>
<w:p>
<w:pPr><w:pStyle w:val="Normal"/></w:pPr>
<w:r><w:t xml:space="preserve">greatest masters of the time executed portraits of him, Lysippus</w:t></w:r>
</w:p>
<w:p>
<w:pPr><w:pStyle w:val="Normal"/></w:pPr>
<w:r><w:t xml:space="preserve">in sculpture, Apelles in painting and Pyrgoteles in graven</w:t></w:r>
</w:p>
<w:p>
<w:pPr><w:pStyle w:val="Normal"/></w:pPr>
<w:r><w:t xml:space="preserve">gems.  Among surviving monuments, we have no completely</w:t></w:r>
</w:p>
<w:p>
<w:pPr><w:pStyle w:val="Normal"/></w:pPr>
<w:r><w:t xml:space="preserve">certified portraits except the Tivoli herm (now in the Louvre)</w:t></w:r>
</w:p>
<w:p>
<w:pPr><w:pStyle w:val="Normal"/></w:pPr>
<w:r><w:t xml:space="preserve">and the coins struck by his successors.  The herm is a dry</w:t></w:r>
</w:p>
<w:p>
<w:pPr><w:pStyle w:val="Normal"/></w:pPr>
<w:r><w:t xml:space="preserve">work and the head upon the coins shows various degrees of</w:t></w:r>
</w:p>
<w:p>
<w:pPr><w:pStyle w:val="Normal"/></w:pPr>
<w:r><w:t xml:space="preserve">idealization.  There are, however, a considerable number of</w:t></w:r>
</w:p>
<w:p>
<w:pPr><w:pStyle w:val="Normal"/></w:pPr>
<w:r><w:t xml:space="preserve">works which can make out a better or worse claim either to</w:t></w:r>
</w:p>
<w:p>
<w:pPr><w:pStyle w:val="Normal"/></w:pPr>
<w:r><w:t xml:space="preserve">be portraits of Alexander or to reproduce his type, and a</w:t></w:r>
</w:p>
<w:p>
<w:pPr><w:pStyle w:val="Normal"/></w:pPr>
<w:r><w:t xml:space="preserve">large field of discussion is therefore open as to their values</w:t></w:r>
</w:p>
<w:p>
<w:pPr><w:pStyle w:val="Normal"/></w:pPr>
<w:r><w:t xml:space="preserve">and classification (F. Kopp, Uber das Bildnis Alexanders</w:t></w:r>
</w:p>
<w:p>
<w:pPr><w:pStyle w:val="Normal"/></w:pPr>
<w:r><w:t xml:space="preserve">d. Grossen (1892); K. J. Ujfalvy, Le Type physique</w:t></w:r>
</w:p>
<w:p>
<w:pPr><w:pStyle w:val="Normal"/></w:pPr>
<w:r><w:t xml:space="preserve">d&apos;Alexandre le Grand (1902); T. Schreiber, Studien uber das</w:t></w:r>
</w:p>
<w:p>
<w:pPr><w:pStyle w:val="Normal"/></w:pPr>
<w:r><w:t xml:space="preserve">Bildnis Alexanders d.  Grossen (1903); J. J. Bernoulli,</w:t></w:r>
</w:p>
<w:p>
<w:pPr><w:pStyle w:val="Normal"/></w:pPr>
<w:r><w:t xml:space="preserve">Die erhaltenen Darstellungen Alexanders d.  Grossen</w:t></w:r>
</w:p>
<w:p>
<w:pPr><w:pStyle w:val="Normal"/></w:pPr>
<w:r><w:t xml:space="preserve">(1905).  Alexander shaved clean, and set the fashion in this</w:t></w:r>
</w:p>
<w:p>
<w:pPr><w:pStyle w:val="Normal"/></w:pPr>
<w:r><w:t xml:space="preserve">respect for the Graeco-Roman world for the next 500 years.</w:t></w:r>
</w:p>
<w:p>
<w:pPr><w:pStyle w:val="Normal"/></w:pPr>
<w:r><w:t xml:space="preserve">BIBLIOGRAPHY.--The campaigns and life of Alexander did not</w:t></w:r>
</w:p>
<w:p>
<w:pPr><w:pStyle w:val="Normal"/></w:pPr>
<w:r><w:t xml:space="preserve">lack contemporary historians, some of them eye-witnesses and even</w:t></w:r>
</w:p>
<w:p>
<w:pPr><w:pStyle w:val="Normal"/></w:pPr>
<w:r><w:t xml:space="preserve">associates.  They included the philosopher Callisthenes, put to</w:t></w:r>
</w:p>
<w:p>
<w:pPr><w:pStyle w:val="Normal"/></w:pPr>
<w:r><w:t xml:space="preserve">death by Alexander in 327, whose history went up to the death</w:t></w:r>
</w:p>
<w:p>
<w:pPr><w:pStyle w:val="Normal"/></w:pPr>
<w:r><w:t xml:space="preserve">of Darius, Alexander&apos;s general Ptolemy, afterwards king in</w:t></w:r>
</w:p>
<w:p>
<w:pPr><w:pStyle w:val="Normal"/></w:pPr>
<w:r><w:t xml:space="preserve">Egypt, Nearchus who commanded the fleet that sailed from the</w:t></w:r>
</w:p>
<w:p>
<w:pPr><w:pStyle w:val="Normal"/></w:pPr>
<w:r><w:t xml:space="preserve">Indus to the Persian Gulf, Onesicritus who served as pilot in</w:t></w:r>
</w:p>
<w:p>
<w:pPr><w:pStyle w:val="Normal"/></w:pPr>
<w:r><w:t xml:space="preserve">the same fleet, Aristobulus who was with Alexander in India,</w:t></w:r>
</w:p>
<w:p>
<w:pPr><w:pStyle w:val="Normal"/></w:pPr>
<w:r><w:t xml:space="preserve">Clitarchus, a contemporary, if not an eye-witness, important</w:t></w:r>
</w:p>
<w:p>
<w:pPr><w:pStyle w:val="Normal"/></w:pPr>
<w:r><w:t xml:space="preserve">from the fact that his highly coloured version of the life</w:t></w:r>
</w:p>
<w:p>
<w:pPr><w:pStyle w:val="Normal"/></w:pPr>
<w:r><w:t xml:space="preserve">of Alexander became the popular authority for the succeeding</w:t></w:r>
</w:p>
<w:p>
<w:pPr><w:pStyle w:val="Normal"/></w:pPr>
<w:r><w:t xml:space="preserve">centuries.  Besides the historical narrative, there were</w:t></w:r>
</w:p>
<w:p>
<w:pPr><w:pStyle w:val="Normal"/></w:pPr>
<w:r><w:t xml:space="preserve">works mainly geographical or topographical left by persons</w:t></w:r>
</w:p>
<w:p>
<w:pPr><w:pStyle w:val="Normal"/></w:pPr>
<w:r><w:t xml:space="preserve">like Baeton and Diognetus, whom Alexander had employed (as</w:t></w:r>
</w:p>
<w:p>
<w:pPr><w:pStyle w:val="Normal"/></w:pPr>
<w:r><w:t xml:space="preserve">bematistai) to survey the roads over which he passed.  All</w:t></w:r>
</w:p>
<w:p>
<w:pPr><w:pStyle w:val="Normal"/></w:pPr>
<w:r><w:t xml:space="preserve">such original sources have now perished.  The fragments are</w:t></w:r>
</w:p>
<w:p>
<w:pPr><w:pStyle w:val="Normal"/></w:pPr>
<w:r><w:t xml:space="preserve">collected in the Didot edition of Arrian by Karl Muller.  Not</w:t></w:r>
</w:p>
<w:p>
<w:pPr><w:pStyle w:val="Normal"/></w:pPr>
<w:r><w:t xml:space="preserve">reckoning scattered notices, we depend principally opon five</w:t></w:r>
</w:p>
<w:p>
<w:pPr><w:pStyle w:val="Normal"/></w:pPr>
<w:r><w:t xml:space="preserve">later compositions, Diodorus, book xvii. (c. 20 B.C.),</w:t></w:r>
</w:p>
<w:p>
<w:pPr><w:pStyle w:val="Normal"/></w:pPr>
<w:r><w:t xml:space="preserve">the work of Quintus Curtius (c. A.D. 42), Plutarch&apos;s (c.</w:t></w:r>
</w:p>
<w:p>
<w:pPr><w:pStyle w:val="Normal"/></w:pPr>
<w:r><w:t xml:space="preserve">45-125 A.D.) Life of Alexander, Arrian&apos;s Anabasis and</w:t></w:r>
</w:p>
<w:p>
<w:pPr><w:pStyle w:val="Normal"/></w:pPr>
<w:r><w:t xml:space="preserve">Indica (c. A.D. 150), and the relevant books of Justin&apos;s</w:t></w:r>
</w:p>
<w:p>
<w:pPr><w:pStyle w:val="Normal"/></w:pPr>
<w:r><w:t xml:space="preserve">abridgment (2nd cent. A.D.) of the history of Trogus (c.</w:t></w:r>
</w:p>
<w:p>
<w:pPr><w:pStyle w:val="Normal"/></w:pPr>
<w:r><w:t xml:space="preserve">10 B.C.?).  To these we may add the Latin Itinerarium</w:t></w:r>
</w:p>
<w:p>
<w:pPr><w:pStyle w:val="Normal"/></w:pPr>
<w:r><w:t xml:space="preserve">Alexandri, a skeleton outline of Alexander&apos;s campaigns dedicated</w:t></w:r>
</w:p>
<w:p>
<w:pPr><w:pStyle w:val="Normal"/></w:pPr>
<w:r><w:t xml:space="preserve">to the emperor Constantius (A.D. 324-361), printed at the</w:t></w:r>
</w:p>
<w:p>
<w:pPr><w:pStyle w:val="Normal"/></w:pPr>
<w:r><w:t xml:space="preserve">end of the Didot edition of Arrian, and the Epitome Rerum</w:t></w:r>
</w:p>
<w:p>
<w:pPr><w:pStyle w:val="Normal"/></w:pPr>
<w:r><w:t xml:space="preserve">Gestarum Alexandri magni, an abridgment made in the 4th or</w:t></w:r>
</w:p>
<w:p>
<w:pPr><w:pStyle w:val="Normal"/></w:pPr>
<w:r><w:t xml:space="preserve">5th century of a lost Latin work of uncertain date, combining</w:t></w:r>
</w:p>
<w:p>
<w:pPr><w:pStyle w:val="Normal"/></w:pPr>
<w:r><w:t xml:space="preserve">history with elements taken from the Romance (edited by O.</w:t></w:r>
</w:p>
<w:p>
<w:pPr><w:pStyle w:val="Normal"/></w:pPr>
<w:r><w:t xml:space="preserve">Wagner, Leipzig, 1900).  The relation of these works to the</w:t></w:r>
</w:p>
<w:p>
<w:pPr><w:pStyle w:val="Normal"/></w:pPr>
<w:r><w:t xml:space="preserve">various original sources constitutes the critical problem</w:t></w:r>
</w:p>
<w:p>
<w:pPr><w:pStyle w:val="Normal"/></w:pPr>
<w:r><w:t xml:space="preserve">before the modern historian in reference to the history of</w:t></w:r>
</w:p>
<w:p>
<w:pPr><w:pStyle w:val="Normal"/></w:pPr>
<w:r><w:t xml:space="preserve">Alexander.  See Droysen vol. i. appendix i.; A. Schoene, De</w:t></w:r>
</w:p>
<w:p>
<w:pPr><w:pStyle w:val="Normal"/></w:pPr>
<w:r><w:t xml:space="preserve">rerum Alexandri Magni scriptorum imprimis Arriani &amp; Plutarchi</w:t></w:r>
</w:p>
<w:p>
<w:pPr><w:pStyle w:val="Normal"/></w:pPr>
<w:r><w:t xml:space="preserve">fontibus (1870); Fraenkel, Die Geschichtschreiber Alex.</w:t></w:r>
</w:p>
<w:p>
<w:pPr><w:pStyle w:val="Normal"/></w:pPr>
<w:r><w:t xml:space="preserve">d.  Grossen (1883); O. Maas, Kleitarch und Diodor (Petersburg,</w:t></w:r>
</w:p>
<w:p>
<w:pPr><w:pStyle w:val="Normal"/></w:pPr>
<w:r><w:t xml:space="preserve">1894); Kaerst, Ferechungen zur Gesch.  Alex. d.  Grossen</w:t></w:r>
</w:p>
<w:p>
<w:pPr><w:pStyle w:val="Normal"/></w:pPr>
<w:r><w:t xml:space="preserve">(1887), and Gesch. d. hellenist. Zeitalters (vol. i., 1901</w:t></w:r>
</w:p>
<w:p>
<w:pPr><w:pStyle w:val="Normal"/></w:pPr>
<w:r><w:t xml:space="preserve">), pp. 421 f.; F. L. Schoenle, Diodorstudien ( 1891 ); E.</w:t></w:r>
</w:p>
<w:p>
<w:pPr><w:pStyle w:val="Normal"/></w:pPr>
<w:r><w:t xml:space="preserve">Schwartz, articles ``Aristobulos (14),&apos;&apos; ``Arrianus,&apos;&apos; ``Quintus</w:t></w:r>
</w:p>
<w:p>
<w:pPr><w:pStyle w:val="Normal"/></w:pPr>
<w:r><w:t xml:space="preserve">Curtius,&apos;&apos; ``Diodorus&apos;&apos; in Pauly-Wissowa&apos;s Realencyclopadie.</w:t></w:r>
</w:p>
<w:p>
<w:pPr><w:pStyle w:val="Normal"/></w:pPr>
<w:r><w:t xml:space="preserve">For modern views of Alexander see Thirlwall, History of Greece;</w:t></w:r>
</w:p>
<w:p>
<w:pPr><w:pStyle w:val="Normal"/></w:pPr>
<w:r><w:t xml:space="preserve">Niebuhr, Lectures on Ancient History (Eng. trans. rev. by</w:t></w:r>
</w:p>
<w:p>
<w:pPr><w:pStyle w:val="Normal"/></w:pPr>
<w:r><w:t xml:space="preserve">author, 1852) Grote, History of Greece; Droysen, Histoire</w:t></w:r>
</w:p>
<w:p>
<w:pPr><w:pStyle w:val="Normal"/></w:pPr>
<w:r><w:t xml:space="preserve">de l&apos;Hellenisme (translation by Bouche-Leclerq); Ad. Holm,</w:t></w:r>
</w:p>
<w:p>
<w:pPr><w:pStyle w:val="Normal"/></w:pPr>
<w:r><w:t xml:space="preserve">History of Greece (Eng. trans., 1898); B. Niese, Gesch.</w:t></w:r>
</w:p>
<w:p>
<w:pPr><w:pStyle w:val="Normal"/></w:pPr>
<w:r><w:t xml:space="preserve">der griech. u. maked.  Staaten (vol. i.); Kaerst, Gesch. des</w:t></w:r>
</w:p>
<w:p>
<w:pPr><w:pStyle w:val="Normal"/></w:pPr>
<w:r><w:t xml:space="preserve">hellenist.  Zeitalters (1901); J. Beloch, Griechische</w:t></w:r>
</w:p>
<w:p>
<w:pPr><w:pStyle w:val="Normal"/></w:pPr>
<w:r><w:t xml:space="preserve">Gesch. (vol. iii., 1904); J. B. Bury, History of Greece</w:t></w:r>
</w:p>
<w:p>
<w:pPr><w:pStyle w:val="Normal"/></w:pPr>
<w:r><w:t xml:space="preserve">(1902); A. von Gutschmid, Geschichte Irans (1888).  Among</w:t></w:r>
</w:p>
<w:p>
<w:pPr><w:pStyle w:val="Normal"/></w:pPr>
<w:r><w:t xml:space="preserve">the mass of monographs and special articles, reference may</w:t></w:r>
</w:p>
<w:p>
<w:pPr><w:pStyle w:val="Normal"/></w:pPr>
<w:r><w:t xml:space="preserve">be made to Freeman, Historical Essays, 2nd series, pp. 182</w:t></w:r>
</w:p>
<w:p>
<w:pPr><w:pStyle w:val="Normal"/></w:pPr>
<w:r><w:t xml:space="preserve">f.; Dodge, Alexander (in a series called Great Captains)</w:t></w:r>
</w:p>
<w:p>
<w:pPr><w:pStyle w:val="Normal"/></w:pPr>
<w:r><w:t xml:space="preserve">1890; Mahaffy, Problems in Greek History (1892, ch. viii.;</w:t></w:r>
</w:p>
<w:p>
<w:pPr><w:pStyle w:val="Normal"/></w:pPr>
<w:r><w:t xml:space="preserve">D. G. Hogarth, Philip and Alexander of Macedon (1897),</w:t></w:r>
</w:p>
<w:p>
<w:pPr><w:pStyle w:val="Normal"/></w:pPr>
<w:r><w:t xml:space="preserve">a striking effort of historical imagination to reconstruct</w:t></w:r>
</w:p>
<w:p>
<w:pPr><w:pStyle w:val="Normal"/></w:pPr>
<w:r><w:t xml:space="preserve">Alexander as a man of the real world: Benjamin I. Wheeler,</w:t></w:r>
</w:p>
<w:p>
<w:pPr><w:pStyle w:val="Normal"/></w:pPr>
<w:r><w:t xml:space="preserve">Alexander the Great (1900) in the ``Heroes of the Nations</w:t></w:r>
</w:p>
<w:p>
<w:pPr><w:pStyle w:val="Normal"/></w:pPr>
<w:r><w:t xml:space="preserve">Series.&apos;&apos; The purely military aspect of Alexander&apos;s campaigns</w:t></w:r>
</w:p>
<w:p>
<w:pPr><w:pStyle w:val="Normal"/></w:pPr>
<w:r><w:t xml:space="preserve">is treated in general histories of warfare (Rustow-Kochly,</w:t></w:r>
</w:p>
<w:p>
<w:pPr><w:pStyle w:val="Normal"/></w:pPr>
<w:r><w:t xml:space="preserve">Bauer, Delbruck, Verdy du Vernois), and in special monographs</w:t></w:r>
</w:p>
<w:p>
<w:pPr><w:pStyle w:val="Normal"/></w:pPr>
<w:r><w:t xml:space="preserve">by Hogarth, Journ. of Philol. vol. xvii., 1888, pp.</w:t></w:r>
</w:p>
<w:p>
<w:pPr><w:pStyle w:val="Normal"/></w:pPr>
<w:r><w:t xml:space="preserve">1 foll.; H. Droysen, Untersuchungen uber A. des Gr.</w:t></w:r>
</w:p>
<w:p>
<w:pPr><w:pStyle w:val="Normal"/></w:pPr>
<w:r><w:t xml:space="preserve">Heerwesen (1885), and Graf Yorck von Wartenburg, Kurze</w:t></w:r>
</w:p>
<w:p>
<w:pPr><w:pStyle w:val="Normal"/></w:pPr>
<w:r><w:t xml:space="preserve">Ubersicht der Feldzuge A. de Gr. (1897).  For further</w:t></w:r>
</w:p>
<w:p>
<w:pPr><w:pStyle w:val="Normal"/></w:pPr>
<w:r><w:t xml:space="preserve">references to the literature on Alexander, see Kaerst&apos;s article</w:t></w:r>
</w:p>
<w:p>
<w:pPr><w:pStyle w:val="Normal"/></w:pPr>
<w:r><w:t xml:space="preserve">in Pauly-Wissowa&apos;s Realencyclopadie (1894). (E. R. B.)</w:t></w:r>
</w:p>
<w:p>
<w:pPr><w:pStyle w:val="Normal"/></w:pPr>
<w:r><w:t xml:space="preserve">1 The use of the surname is proved as far back</w:t></w:r>
</w:p>
<w:p>
<w:pPr><w:pStyle w:val="Normal"/></w:pPr>
<w:r><w:t xml:space="preserve">as the 1st century B.C. (Nepos, De Reg. 2).</w:t></w:r>
</w:p>
<w:p>
<w:pPr><w:pStyle w:val="Normal"/></w:pPr>
<w:r><w:t xml:space="preserve">2 See Bauer,``Die Schlacht bei Issus&apos;&apos; in Jahreshefte</w:t></w:r>
</w:p>
<w:p>
<w:pPr><w:pStyle w:val="Normal"/></w:pPr>
<w:r><w:t xml:space="preserve">d.osterr. archaol. Instit. ii. pp. 105 f.; A. Janke. Auf</w:t></w:r>
</w:p>
<w:p>
<w:pPr><w:pStyle w:val="Normal"/></w:pPr>
<w:r><w:t xml:space="preserve">Alex. d. grossen Pfaden; Gruhn, Das Schlachtfeld von Issus;</w:t></w:r>
</w:p>
<w:p>
<w:pPr><w:pStyle w:val="Normal"/></w:pPr>
<w:r><w:t xml:space="preserve">Lammert in Berl.  Philol.  Wochenschr. (1905), col. 1596 f.</w:t></w:r>
</w:p>
<w:p>
<w:pPr><w:pStyle w:val="Normal"/></w:pPr>
<w:r><w:t xml:space="preserve">3 Pridik, De Alex.  Mog. epist. commercio (Dorpat, 1893);</w:t></w:r>
</w:p>
<w:p>
<w:pPr><w:pStyle w:val="Normal"/></w:pPr>
<w:r><w:t xml:space="preserve">Schwartz, art. ``Curtius&apos;&apos; in Pauly-Wissowa, col. 1884.</w:t></w:r>
</w:p>
<w:p>
<w:pPr><w:pStyle w:val="Normal"/></w:pPr>
<w:r><w:t xml:space="preserve">4 The story of Alexander&apos;s visit to Jerusalem rests</w:t></w:r>
</w:p>
<w:p>
<w:pPr><w:pStyle w:val="Normal"/></w:pPr>
<w:r><w:t xml:space="preserve">on no better authority than a later Jewish romance.</w:t></w:r>
</w:p>
<w:p>
<w:pPr><w:pStyle w:val="Normal"/></w:pPr>
<w:r><w:t xml:space="preserve">5 The best opinion now confirms Abbott&apos;s identification</w:t></w:r>
</w:p>
<w:p>
<w:pPr><w:pStyle w:val="Normal"/></w:pPr>
<w:r><w:t xml:space="preserve">of Aornus with Mahaban--Deane, Journ.  R. Asiat.  Soc.</w:t></w:r>
</w:p>
<w:p>
<w:pPr><w:pStyle w:val="Normal"/></w:pPr>
<w:r><w:t xml:space="preserve">(Oct. 1896), p. 673; them, Report of an Archaeological</w:t></w:r>
</w:p>
<w:p>
<w:pPr><w:pStyle w:val="Normal"/></w:pPr>
<w:r><w:t xml:space="preserve">Tour with the Buner Field Force (Lahore, 1898), pp. 45-48.</w:t></w:r>
</w:p>
<w:p>
<w:pPr><w:pStyle w:val="Normal"/></w:pPr>
<w:r><w:t xml:space="preserve">6 Beside V. Smith (cited below) see Schubert, ``Die</w:t></w:r>
</w:p>
<w:p>
<w:pPr><w:pStyle w:val="Normal"/></w:pPr>
<w:r><w:t xml:space="preserve">Porusschlacht,&apos;&apos; in Rhein.  Mus. lvi., 1901, p. 543.</w:t></w:r>
</w:p>
<w:p>
<w:pPr><w:pStyle w:val="Normal"/></w:pPr>
<w:r><w:t xml:space="preserve">7 There seems nothing to fix the exact spot of</w:t></w:r>
</w:p>
<w:p>
<w:pPr><w:pStyle w:val="Normal"/></w:pPr>
<w:r><w:t xml:space="preserve">this town; the common identification with Multan is,</w:t></w:r>
</w:p>
<w:p>
<w:pPr><w:pStyle w:val="Normal"/></w:pPr>
<w:r><w:t xml:space="preserve">according to Raverty and V. Smith, certainly wrong.</w:t></w:r>
</w:p>
<w:p>
<w:pPr><w:pStyle w:val="Normal"/></w:pPr>
<w:r><w:t xml:space="preserve">8 For the indian campaigns of Alexander see especially McCrindle,</w:t></w:r>
</w:p>
<w:p>
<w:pPr><w:pStyle w:val="Normal"/></w:pPr>
<w:r><w:t xml:space="preserve">Invasion of India by Alexander the Great (1896); Vincent A.</w:t></w:r>
</w:p>
<w:p>
<w:pPr><w:pStyle w:val="Normal"/></w:pPr>
<w:r><w:t xml:space="preserve">Smith, Early History of India (1904), and the references</w:t></w:r>
</w:p>
<w:p>
<w:pPr><w:pStyle w:val="Normal"/></w:pPr>
<w:r><w:t xml:space="preserve">there given to the researches of Sir T. H. Holdich, Raverty</w:t></w:r>
</w:p>
<w:p>
<w:pPr><w:pStyle w:val="Normal"/></w:pPr>
<w:r><w:t xml:space="preserve">and Foucher; A. Anspach, De Alex.  Magni exped. ind. (1903).</w:t></w:r>
</w:p>
<w:p>
<w:pPr><w:pStyle w:val="Normal"/></w:pPr>
<w:r><w:t xml:space="preserve">9 Tomaschek, ``Topographische Erlauterung der Kustenfahrt Nearchs&apos;&apos;</w:t></w:r>
</w:p>
<w:p>
<w:pPr><w:pStyle w:val="Normal"/></w:pPr>
<w:r><w:t xml:space="preserve">in the Sitzungsberichte der kaiserl.  Akad. d.  Wissensch.</w:t></w:r>
</w:p>
<w:p>
<w:pPr><w:pStyle w:val="Normal"/></w:pPr>
<w:r><w:t xml:space="preserve">of Vienna (Philosoph.-histor.  Klasse, vol. cxxi.); Major</w:t></w:r>
</w:p>
<w:p>
<w:pPr><w:pStyle w:val="Normal"/></w:pPr>
<w:r><w:t xml:space="preserve">P. M. Sykes, Ten Thousand Miles in Persia (1902), pp. 166 f.</w:t></w:r>
</w:p>
<w:p>
<w:pPr><w:pStyle w:val="Normal"/></w:pPr>
<w:r><w:t xml:space="preserve">10 For Alexander&apos;s funeral, see F.</w:t></w:r>
</w:p>
<w:p>
<w:pPr><w:pStyle w:val="Normal"/></w:pPr>
<w:r><w:t xml:space="preserve">Jacoby in Rhein.  Mus. (1903), pp. 461 f.</w:t></w:r>
</w:p>
<w:p>
<w:pPr><w:pStyle w:val="Normal"/></w:pPr>
<w:r><w:t xml:space="preserve">The Romance of Alexander.</w:t></w:r>
</w:p>
<w:p>
<w:pPr><w:pStyle w:val="Normal"/></w:pPr>
<w:r><w:t xml:space="preserve">The figure of Alexander naturally impressed itself upon the</w:t></w:r>
</w:p>
<w:p>
<w:pPr><w:pStyle w:val="Normal"/></w:pPr>
<w:r><w:t xml:space="preserve">imagination of the world which his career had shaken.  Even</w:t></w:r>
</w:p>
<w:p>
<w:pPr><w:pStyle w:val="Normal"/></w:pPr>
<w:r><w:t xml:space="preserve">in India we are told that he was held in honour by the native</w:t></w:r>
</w:p>
<w:p>
<w:pPr><w:pStyle w:val="Normal"/></w:pPr>
<w:r><w:t xml:space="preserve">kings who took his farthest provinces in possession.  But</w:t></w:r>
</w:p>
<w:p>
<w:pPr><w:pStyle w:val="Normal"/></w:pPr>
<w:r><w:t xml:space="preserve">Eastern tradition, so tenacious of the old myths of primitive</w:t></w:r>
</w:p>
<w:p>
<w:pPr><w:pStyle w:val="Normal"/></w:pPr>
<w:r><w:t xml:space="preserve">man, has a short memory for actual history, and five centuries</w:t></w:r>
</w:p>
<w:p>
<w:pPr><w:pStyle w:val="Normal"/></w:pPr>
<w:r><w:t xml:space="preserve">later Alexander was only remembered in Iran as the accursed</w:t></w:r>
</w:p>
<w:p>
<w:pPr><w:pStyle w:val="Normal"/></w:pPr>
<w:r><w:t xml:space="preserve">destroyer of the sacred books, whose wisdom he had at the</w:t></w:r>
</w:p>
<w:p>
<w:pPr><w:pStyle w:val="Normal"/></w:pPr>
<w:r><w:t xml:space="preserve">same time pilfered by causing translations to be made into</w:t></w:r>
</w:p>
<w:p>
<w:pPr><w:pStyle w:val="Normal"/></w:pPr>
<w:r><w:t xml:space="preserve">``Roman.&apos;&apos; That the East to-day has so much to tell about</w:t></w:r>
</w:p>
<w:p>
<w:pPr><w:pStyle w:val="Normal"/></w:pPr>
<w:r><w:t xml:space="preserve">Alexander is only due to the fact that old mythical stories of</w:t></w:r>
</w:p>
<w:p>
<w:pPr><w:pStyle w:val="Normal"/></w:pPr>
<w:r><w:t xml:space="preserve">gods or heroes who go travelling through lands of monsters and</w:t></w:r>
</w:p>
<w:p>
<w:pPr><w:pStyle w:val="Normal"/></w:pPr>
<w:r><w:t xml:space="preserve">darkness, of magical fountains and unearthly oceans, became</w:t></w:r>
</w:p>
<w:p>
<w:pPr><w:pStyle w:val="Normal"/></w:pPr>
<w:r><w:t xml:space="preserve">attached to his name in the popular literature of the Roman</w:t></w:r>
</w:p>
<w:p>
<w:pPr><w:pStyle w:val="Normal"/></w:pPr>
<w:r><w:t xml:space="preserve">empire, and this mythical Alexander was reintroduced in the</w:t></w:r>
</w:p>
<w:p>
<w:pPr><w:pStyle w:val="Normal"/></w:pPr>
<w:r><w:t xml:space="preserve">7th century A.D. into the farther East, where the historical</w:t></w:r>
</w:p>
<w:p>
<w:pPr><w:pStyle w:val="Normal"/></w:pPr>
<w:r><w:t xml:space="preserve">Alexander was almost forgotten.  The romance of Alexander</w:t></w:r>
</w:p>
<w:p>
<w:pPr><w:pStyle w:val="Normal"/></w:pPr>
<w:r><w:t xml:space="preserve">is found written in the languages of nearly all peoples from</w:t></w:r>
</w:p>
<w:p>
<w:pPr><w:pStyle w:val="Normal"/></w:pPr>
<w:r><w:t xml:space="preserve">the Indian Ocean to the Atlantic, but all these versions are</w:t></w:r>
</w:p>
<w:p>
<w:pPr><w:pStyle w:val="Normal"/></w:pPr>
<w:r><w:t xml:space="preserve">derived, mediately or immediately, from the Greek original</w:t></w:r>
</w:p>
<w:p>
<w:pPr><w:pStyle w:val="Normal"/></w:pPr>
<w:r><w:t xml:space="preserve">which circulated under the false name of Callisthenes.  The</w:t></w:r>
</w:p>
<w:p>
<w:pPr><w:pStyle w:val="Normal"/></w:pPr>
<w:r><w:t xml:space="preserve">Greek pseudo-Callisthenes (otherwise Aisopos we possess in</w:t></w:r>
</w:p>
<w:p>
<w:pPr><w:pStyle w:val="Normal"/></w:pPr>
<w:r><w:t xml:space="preserve">three recensions, based all upon a book produced in Egypt in</w:t></w:r>
</w:p>
<w:p>
<w:pPr><w:pStyle w:val="Normal"/></w:pPr>
<w:r><w:t xml:space="preserve">the 2nd century A.D. But this book itself was a farrago of</w:t></w:r>
</w:p>
<w:p>
<w:pPr><w:pStyle w:val="Normal"/></w:pPr>
<w:r><w:t xml:space="preserve">heterogeneous elements--pieces of genuine history, ancient</w:t></w:r>
</w:p>
<w:p>
<w:pPr><w:pStyle w:val="Normal"/></w:pPr>
<w:r><w:t xml:space="preserve">stories once told in Babylon of Gilgamesh or Etanna, literary</w:t></w:r>
</w:p>
<w:p>
<w:pPr><w:pStyle w:val="Normal"/></w:pPr>
<w:r><w:t xml:space="preserve">forgeries of the days soon after Alexander, like the oldest</w:t></w:r>
</w:p>
<w:p>
<w:pPr><w:pStyle w:val="Heading1"/></w:pPr>
<w:r><w:t>part of the ``Testament of Alexander,&apos;&apos; variations due to</w:t></w:r>
</w:p>
<w:p>
<w:pPr><w:pStyle w:val="Normal"/></w:pPr>
<w:r><w:t xml:space="preserve">Egyptian patriotic sentiment, like that which made Alexander</w:t></w:r>
</w:p>
<w:p>
<w:pPr><w:pStyle w:val="Normal"/></w:pPr>
<w:r><w:t xml:space="preserve">the son of the last Pharaoh, Nectanebus.  As the story was</w:t></w:r>
</w:p>
<w:p>
<w:pPr><w:pStyle w:val="Normal"/></w:pPr>
<w:r><w:t xml:space="preserve">reproduced, variations were freely introduced according</w:t></w:r>
</w:p>
<w:p>
<w:pPr><w:pStyle w:val="Normal"/></w:pPr>
<w:r><w:t xml:space="preserve">to the bent of different times and peoples; in the Persian</w:t></w:r>
</w:p>
<w:p>
<w:pPr><w:pStyle w:val="Normal"/></w:pPr>
<w:r><w:t xml:space="preserve">version Alexander (Iskander) became a son of Darius; among</w:t></w:r>
</w:p>
<w:p>
<w:pPr><w:pStyle w:val="Normal"/></w:pPr>
<w:r><w:t xml:space="preserve">the Mahommedans he turned into a prophet, hot against</w:t></w:r>
</w:p>
<w:p>
<w:pPr><w:pStyle w:val="Normal"/></w:pPr>
<w:r><w:t xml:space="preserve">idols; the pen of Christian monks made him an ascetic saint.</w:t></w:r>
</w:p>
<w:p>
<w:pPr><w:pStyle w:val="Normal"/></w:pPr>
<w:r><w:t xml:space="preserve">The Alexander romance found its way into Europe through the</w:t></w:r>
</w:p>
<w:p>
<w:pPr><w:pStyle w:val="Normal"/></w:pPr>
<w:r><w:t xml:space="preserve">medium of Latin, but originated mainly from the versions of</w:t></w:r>
</w:p>
<w:p>
<w:pPr><w:pStyle w:val="Normal"/></w:pPr>
<w:r><w:t xml:space="preserve">the pseudo-Callisthenes, not from the more sober narrative</w:t></w:r>
</w:p>
<w:p>
<w:pPr><w:pStyle w:val="Normal"/></w:pPr>
<w:r><w:t xml:space="preserve">of Quintus Curtius.  The pseudo-Callisthenes, in a recension</w:t></w:r>
</w:p>
<w:p>
<w:pPr><w:pStyle w:val="Normal"/></w:pPr>
<w:r><w:t xml:space="preserve">which has not been preserved, was translated into Latin by</w:t></w:r>
</w:p>
<w:p>
<w:pPr><w:pStyle w:val="Normal"/></w:pPr>
<w:r><w:t xml:space="preserve">Julius Valerius about the end of the 3rd century, and an</w:t></w:r>
</w:p>
<w:p>
<w:pPr><w:pStyle w:val="Normal"/></w:pPr>
<w:r><w:t xml:space="preserve">epitome of this translation, also in Latin, was made some</w:t></w:r>
</w:p>
<w:p>
<w:pPr><w:pStyle w:val="Normal"/></w:pPr>
<w:r><w:t xml:space="preserve">time before the 9th century, and is introduced by Vincent</w:t></w:r>
</w:p>
<w:p>
<w:pPr><w:pStyle w:val="Normal"/></w:pPr>
<w:r><w:t xml:space="preserve">de Beauvais into his Speculum historiale. Much of the</w:t></w:r>
</w:p>
<w:p>
<w:pPr><w:pStyle w:val="Normal"/></w:pPr>
<w:r><w:t xml:space="preserve">legend is a running travesty of the true history of the</w:t></w:r>
</w:p>
<w:p>
<w:pPr><w:pStyle w:val="Normal"/></w:pPr>
<w:r><w:t xml:space="preserve">conqueror.  The first book deals with his birth and early</w:t></w:r>
</w:p>
<w:p>
<w:pPr><w:pStyle w:val="Normal"/></w:pPr>
<w:r><w:t xml:space="preserve">exploits.  The trace of Alexandrian influence is to be found</w:t></w:r>
</w:p>
<w:p>
<w:pPr><w:pStyle w:val="Normal"/></w:pPr>
<w:r><w:t xml:space="preserve">in the pretence that his actual father was Nectanebus, a</w:t></w:r>
</w:p>
<w:p>
<w:pPr><w:pStyle w:val="Normal"/></w:pPr>
<w:r><w:t xml:space="preserve">fugitive king of Egypt.  The latter was a great magician,</w:t></w:r>
</w:p>
<w:p>
<w:pPr><w:pStyle w:val="Normal"/></w:pPr>
<w:r><w:t xml:space="preserve">able, by operating upon waxen figures of the armies and ships</w:t></w:r>
</w:p>
<w:p>
<w:pPr><w:pStyle w:val="Normal"/></w:pPr>
<w:r><w:t xml:space="preserve">of his enemies, to obtain complete power over their real</w:t></w:r>
</w:p>
<w:p>
<w:pPr><w:pStyle w:val="Normal"/></w:pPr>
<w:r><w:t xml:space="preserve">actions.  Obliged, however, to flee to Pella in Macedonia, he</w:t></w:r>
</w:p>
<w:p>
<w:pPr><w:pStyle w:val="Normal"/></w:pPr>
<w:r><w:t xml:space="preserve">established himself as an astrologer, and as such was consulted</w:t></w:r>
</w:p>
<w:p>
<w:pPr><w:pStyle w:val="Normal"/></w:pPr>
<w:r><w:t xml:space="preserve">by the childless Olympias.  Having promised that Zeus Ammon</w:t></w:r>
</w:p>
<w:p>
<w:pPr><w:pStyle w:val="Normal"/></w:pPr>
<w:r><w:t xml:space="preserve">would visit her in the form of a dragon, he himself assumed the</w:t></w:r>
</w:p>
<w:p>
<w:pPr><w:pStyle w:val="Normal"/></w:pPr>
<w:r><w:t xml:space="preserve">disguise.  In due course Alexander was born, and Philip&apos;s</w:t></w:r>
</w:p>
<w:p>
<w:pPr><w:pStyle w:val="Normal"/></w:pPr>
<w:r><w:t xml:space="preserve">suspicions were overcome by a second appearance of the dragon,</w:t></w:r>
</w:p>
<w:p>
<w:pPr><w:pStyle w:val="Normal"/></w:pPr>
<w:r><w:t xml:space="preserve">which was held to prove the divine fatherhood.  The child</w:t></w:r>
</w:p>
<w:p>
<w:pPr><w:pStyle w:val="Normal"/></w:pPr>
<w:r><w:t xml:space="preserve">was small and somewhat deformed, but of great courage and</w:t></w:r>
</w:p>
<w:p>
<w:pPr><w:pStyle w:val="Normal"/></w:pPr>
<w:r><w:t xml:space="preserve">intelligence.  When he was twelve years old he was instructed</w:t></w:r>
</w:p>
<w:p>
<w:pPr><w:pStyle w:val="Normal"/></w:pPr>
<w:r><w:t xml:space="preserve">in starcraft by Nectanebus, who was killed by a fall into a</w:t></w:r>
</w:p>
<w:p>
<w:pPr><w:pStyle w:val="Normal"/></w:pPr>
<w:r><w:t xml:space="preserve">pit, into which he had been playfully pushed by Alexander.  The</w:t></w:r>
</w:p>
<w:p>
<w:pPr><w:pStyle w:val="Normal"/></w:pPr>
<w:r><w:t xml:space="preserve">first book also relates his conquests in Italy, Africa, Syria</w:t></w:r>
</w:p>
<w:p>
<w:pPr><w:pStyle w:val="Normal"/></w:pPr>
<w:r><w:t xml:space="preserve">and Asia Minor; his return to Macedonia and the submission of</w:t></w:r>
</w:p>
<w:p>
<w:pPr><w:pStyle w:val="Normal"/></w:pPr>
<w:r><w:t xml:space="preserve">Greece.  The second book continues the history of his</w:t></w:r>
</w:p>
<w:p>
<w:pPr><w:pStyle w:val="Normal"/></w:pPr>
<w:r><w:t xml:space="preserve">conquests, and the third contains the victory over Porus,</w:t></w:r>
</w:p>
<w:p>
<w:pPr><w:pStyle w:val="Normal"/></w:pPr>
<w:r><w:t xml:space="preserve">the relations with the Brahmins, the letter to Aristotle</w:t></w:r>
</w:p>
<w:p>
<w:pPr><w:pStyle w:val="Normal"/></w:pPr>
<w:r><w:t xml:space="preserve">on the wonders of India, the histories of Candace and the</w:t></w:r>
</w:p>
<w:p>
<w:pPr><w:pStyle w:val="Normal"/></w:pPr>
<w:r><w:t xml:space="preserve">Amazons, the letter to Olympias on the marvels of Farther</w:t></w:r>
</w:p>
<w:p>
<w:pPr><w:pStyle w:val="Normal"/></w:pPr>
<w:r><w:t xml:space="preserve">Asia, and lastly the account of Alexander&apos;s death in Babylon.</w:t></w:r>
</w:p>
<w:p>
<w:pPr><w:pStyle w:val="Normal"/></w:pPr>
<w:r><w:t xml:space="preserve">The most wide-spread Latin version of the story, however, was</w:t></w:r>
</w:p>
<w:p>
<w:pPr><w:pStyle w:val="Normal"/></w:pPr>
<w:r><w:t xml:space="preserve">the Historia de proeliis,1 printed at Strassburg in 1486,</w:t></w:r>
</w:p>
<w:p>
<w:pPr><w:pStyle w:val="Normal"/></w:pPr>
<w:r><w:t xml:space="preserve">which began to supersede the Epitome of Julius Valerius</w:t></w:r>
</w:p>
<w:p>
<w:pPr><w:pStyle w:val="Normal"/></w:pPr>
<w:r><w:t xml:space="preserve">in general favour about the end of the 13th century.  It is</w:t></w:r>
</w:p>
<w:p>
<w:pPr><w:pStyle w:val="Normal"/></w:pPr>
<w:r><w:t xml:space="preserve">said to have been written by the Neapolitan arch-presbyter</w:t></w:r>
</w:p>
<w:p>
<w:pPr><w:pStyle w:val="Normal"/></w:pPr>
<w:r><w:t xml:space="preserve">Leo, who was sent by Johannes and Marinus, dukes of Campania</w:t></w:r>
</w:p>
<w:p>
<w:pPr><w:pStyle w:val="Normal"/></w:pPr>
<w:r><w:t xml:space="preserve">(941-965) to Constantinople, where he found his Greek</w:t></w:r>
</w:p>
<w:p>
<w:pPr><w:pStyle w:val="Normal"/></w:pPr>
<w:r><w:t xml:space="preserve">original.  Auxiliary sources for the medieval romance-writers</w:t></w:r>
</w:p>
<w:p>
<w:pPr><w:pStyle w:val="Normal"/></w:pPr>
<w:r><w:t xml:space="preserve">were:--the opuscule (4th century) known as Alexandri magni</w:t></w:r>
</w:p>
<w:p>
<w:pPr><w:pStyle w:val="Normal"/></w:pPr>
<w:r><w:t xml:space="preserve">iter ad Paradisum, a fable of Eastern origin directed</w:t></w:r>
</w:p>
<w:p>
<w:pPr><w:pStyle w:val="Normal"/></w:pPr>
<w:r><w:t xml:space="preserve">against ambition; the Itinerarium Alexandri (340),</w:t></w:r>
</w:p>
<w:p>
<w:pPr><w:pStyle w:val="Normal"/></w:pPr>
<w:r><w:t xml:space="preserve">based partly on Julius Valerius and dedicated to Constans,</w:t></w:r>
</w:p>
<w:p>
<w:pPr><w:pStyle w:val="Normal"/></w:pPr>
<w:r><w:t xml:space="preserve">son of the emperor Constantine; the letter of Alexander</w:t></w:r>
</w:p>
<w:p>
<w:pPr><w:pStyle w:val="Normal"/></w:pPr>
<w:r><w:t xml:space="preserve">to Aristotle (Epist. de situ et mirabilibus Indiae), and</w:t></w:r>
</w:p>
<w:p>
<w:pPr><w:pStyle w:val="Normal"/></w:pPr>
<w:r><w:t xml:space="preserve">the correspondence between Alexander and the king of the</w:t></w:r>
</w:p>
<w:p>
<w:pPr><w:pStyle w:val="Normal"/></w:pPr>
<w:r><w:t xml:space="preserve">Brahmins, Dindimus, both of which are often contained in</w:t></w:r>
</w:p>
<w:p>
<w:pPr><w:pStyle w:val="Normal"/></w:pPr>
<w:r><w:t xml:space="preserve">MSS. of the Epitome; and the treatise (based on a lost</w:t></w:r>
</w:p>
<w:p>
<w:pPr><w:pStyle w:val="Normal"/></w:pPr>
<w:r><w:t xml:space="preserve">history of Alexander by Onesicritus), De gentibus Indiae et</w:t></w:r>
</w:p>
<w:p>
<w:pPr><w:pStyle w:val="Normal"/></w:pPr>
<w:r><w:t xml:space="preserve">Bragmanibus, ascribed without certainty to Palladius (d.</w:t></w:r>
</w:p>
<w:p>
<w:pPr><w:pStyle w:val="Normal"/></w:pPr>
<w:r><w:t xml:space="preserve">c. 430), successively bishop of Helenopolis and Aspona.</w:t></w:r>
</w:p>
<w:p>
<w:pPr><w:pStyle w:val="Normal"/></w:pPr>
<w:r><w:t xml:space="preserve">The Ethiopic versions are of great interest as a striking</w:t></w:r>
</w:p>
<w:p>
<w:pPr><w:pStyle w:val="Normal"/></w:pPr>
<w:r><w:t xml:space="preserve">example of literary ``accommodation.&apos;&apos; Not only is the</w:t></w:r>
</w:p>
<w:p>
<w:pPr><w:pStyle w:val="Normal"/></w:pPr>
<w:r><w:t xml:space="preserve">whole atmosphere Christian in colouring, but we actually</w:t></w:r>
</w:p>
<w:p>
<w:pPr><w:pStyle w:val="Normal"/></w:pPr>
<w:r><w:t xml:space="preserve">find the Greek gods in the guise of Enoch, Elijah, &amp;c.,</w:t></w:r>
</w:p>
<w:p>
<w:pPr><w:pStyle w:val="Normal"/></w:pPr>
<w:r><w:t xml:space="preserve">while Philip is a Christian martyr, and Alexander himself a</w:t></w:r>
</w:p>
<w:p>
<w:pPr><w:pStyle w:val="Normal"/></w:pPr>
<w:r><w:t xml:space="preserve">great apostle, even a saint; quotations from the Bible are</w:t></w:r>
</w:p>
<w:p>
<w:pPr><w:pStyle w:val="Normal"/></w:pPr>
<w:r><w:t xml:space="preserve">frequent.  Syriac and Armenian versions were made in the 5th</w:t></w:r>
</w:p>
<w:p>
<w:pPr><w:pStyle w:val="Normal"/></w:pPr>
<w:r><w:t xml:space="preserve">century.  Persians and Arabs told the deeds of Iskander; and</w:t></w:r>
</w:p>
<w:p>
<w:pPr><w:pStyle w:val="Normal"/></w:pPr>
<w:r><w:t xml:space="preserve">Firdousi made use of the story in the Shahnama. Another</w:t></w:r>
</w:p>
<w:p>
<w:pPr><w:pStyle w:val="Normal"/></w:pPr>
<w:r><w:t xml:space="preserve">early Persian poet, Nizami, made the story specially his</w:t></w:r>
</w:p>
<w:p>
<w:pPr><w:pStyle w:val="Normal"/></w:pPr>
<w:r><w:t xml:space="preserve">own.  The crusaders brought back fresh developments; Gog</w:t></w:r>
</w:p>
<w:p>
<w:pPr><w:pStyle w:val="Normal"/></w:pPr>
<w:r><w:t xml:space="preserve">and Magog (partly Arab and partly Greek) and some Jewish</w:t></w:r>
</w:p>
<w:p>
<w:pPr><w:pStyle w:val="Normal"/></w:pPr>
<w:r><w:t xml:space="preserve">stories were then added.  In the 11th century Simeon</w:t></w:r>
</w:p>
<w:p>
<w:pPr><w:pStyle w:val="Normal"/></w:pPr>
<w:r><w:t xml:space="preserve">Seth, protovestiarius at the Byzantine court, translated</w:t></w:r>
</w:p>
<w:p>
<w:pPr><w:pStyle w:val="Normal"/></w:pPr>
<w:r><w:t xml:space="preserve">the fabulous history from the Persian back into Greek.</w:t></w:r>
</w:p>
<w:p>
<w:pPr><w:pStyle w:val="Normal"/></w:pPr>
<w:r><w:t xml:space="preserve">The Alexander legend was the theme of poetry in all</w:t></w:r>
</w:p>
<w:p>
<w:pPr><w:pStyle w:val="Normal"/></w:pPr>
<w:r><w:t xml:space="preserve">European languages; six or seven German poets dealt</w:t></w:r>
</w:p>
<w:p>
<w:pPr><w:pStyle w:val="Normal"/></w:pPr>
<w:r><w:t xml:space="preserve">with the subject, and it may be read in French, English,</w:t></w:r>
</w:p>
<w:p>
<w:pPr><w:pStyle w:val="Normal"/></w:pPr>
<w:r><w:t xml:space="preserve">Spanish, Danish, Swedish, Icelandic, Flemish and Bohemian.</w:t></w:r>
</w:p>
<w:p>
<w:pPr><w:pStyle w:val="Normal"/></w:pPr>
<w:r><w:t xml:space="preserve">French.--The earliest known French romance of Alexander,</w:t></w:r>
</w:p>
<w:p>
<w:pPr><w:pStyle w:val="Normal"/></w:pPr>
<w:r><w:t xml:space="preserve">by Alberic of Besancon (or more properly Briancon), was,</w:t></w:r>
</w:p>
<w:p>
<w:pPr><w:pStyle w:val="Normal"/></w:pPr>
<w:r><w:t xml:space="preserve">until the discovery of a fragment of 100 lines at Florence in</w:t></w:r>
</w:p>
<w:p>
<w:pPr><w:pStyle w:val="Normal"/></w:pPr>
<w:r><w:t xml:space="preserve">1852, known only through the German adaptation by Lamprecht</w:t></w:r>
</w:p>
<w:p>
<w:pPr><w:pStyle w:val="Normal"/></w:pPr>
<w:r><w:t xml:space="preserve">the preacher, who wrote towards the end of the 12th century,</w:t></w:r>
</w:p>
<w:p>
<w:pPr><w:pStyle w:val="Normal"/></w:pPr>
<w:r><w:t xml:space="preserve">and by the version made by a Poitevin poet named Simon in</w:t></w:r>
</w:p>
<w:p>
<w:pPr><w:pStyle w:val="Normal"/></w:pPr>
<w:r><w:t xml:space="preserve">decasyllabic lines.  Alberic followed the epitome of Julius</w:t></w:r>
</w:p>
<w:p>
<w:pPr><w:pStyle w:val="Normal"/></w:pPr>
<w:r><w:t xml:space="preserve">Valerius.  He had some knowledge of authentic history, and</w:t></w:r>
</w:p>
<w:p>
<w:pPr><w:pStyle w:val="Normal"/></w:pPr>
<w:r><w:t xml:space="preserve">rejected the more marvellous elements of the story.  The</w:t></w:r>
</w:p>
<w:p>
<w:pPr><w:pStyle w:val="Normal"/></w:pPr>
<w:r><w:t xml:space="preserve">French feudal romance, Li Romans d&apos;Alexandre, was written</w:t></w:r>
</w:p>
<w:p>
<w:pPr><w:pStyle w:val="Normal"/></w:pPr>
<w:r><w:t xml:space="preserve">in the 12th century by Lambert li Tors of Chateaudun,</w:t></w:r>
</w:p>
<w:p>
<w:pPr><w:pStyle w:val="Normal"/></w:pPr>
<w:r><w:t xml:space="preserve">Alexandre de Bernai, surnamed de Paris, and others.  It</w:t></w:r>
</w:p>
<w:p>
<w:pPr><w:pStyle w:val="Normal"/></w:pPr>
<w:r><w:t xml:space="preserve">contained 20,000 lines, and was written in twelve-syllabled</w:t></w:r>
</w:p>
<w:p>
<w:pPr><w:pStyle w:val="Normal"/></w:pPr>
<w:r><w:t xml:space="preserve">lines, whence the term ``alexandrine&apos;&apos; verse.  The authors</w:t></w:r>
</w:p>
<w:p>
<w:pPr><w:pStyle w:val="Normal"/></w:pPr>
<w:r><w:t xml:space="preserve">endowed Alexander with the fashionable virtues of the</w:t></w:r>
</w:p>
<w:p>
<w:pPr><w:pStyle w:val="Normal"/></w:pPr>
<w:r><w:t xml:space="preserve">chivalric hero, making him especially the type of lavish</w:t></w:r>
</w:p>
<w:p>
<w:pPr><w:pStyle w:val="Normal"/></w:pPr>
<w:r><w:t xml:space="preserve">generosity.  They used as their sources Valerius, the letter</w:t></w:r>
</w:p>
<w:p>
<w:pPr><w:pStyle w:val="Normal"/></w:pPr>
<w:r><w:t xml:space="preserve">to Aristotle and the Iter ad Paradisum, adding much of their</w:t></w:r>
</w:p>
<w:p>
<w:pPr><w:pStyle w:val="Normal"/></w:pPr>
<w:r><w:t xml:space="preserve">own.  Pierre de Saint Cloud, the writer of the fourth section</w:t></w:r>
</w:p>
<w:p>
<w:pPr><w:pStyle w:val="Normal"/></w:pPr>
<w:r><w:t xml:space="preserve">of the romance, was evidently acquainted with the Historia de</w:t></w:r>
</w:p>
<w:p>
<w:pPr><w:pStyle w:val="Normal"/></w:pPr>
<w:r><w:t xml:space="preserve">proeliis. The incident of the Fuerre de Gadres (Foray of</w:t></w:r>
</w:p>
<w:p>
<w:pPr><w:pStyle w:val="Normal"/></w:pPr>
<w:r><w:t xml:space="preserve">Gaza), interpolated in the second section, is assigned to a</w:t></w:r>
</w:p>
<w:p>
<w:pPr><w:pStyle w:val="Normal"/></w:pPr>
<w:r><w:t xml:space="preserve">certain Eustache.  The redaction of the whole work is due to</w:t></w:r>
</w:p>
<w:p>
<w:pPr><w:pStyle w:val="Normal"/></w:pPr>
<w:r><w:t xml:space="preserve">Alexandre de Bernai, who replaced the original assonance by</w:t></w:r>
</w:p>
<w:p>
<w:pPr><w:pStyle w:val="Normal"/></w:pPr>
<w:r><w:t xml:space="preserve">rhyme.  According to all the traditions of romance it was</w:t></w:r>
</w:p>
<w:p>
<w:pPr><w:pStyle w:val="Normal"/></w:pPr>
<w:r><w:t xml:space="preserve">necessary to avenge the death of Alexander.  At the end of the</w:t></w:r>
</w:p>
<w:p>
<w:pPr><w:pStyle w:val="Normal"/></w:pPr>
<w:r><w:t xml:space="preserve">12th century Gui de Cambrai and Jean le Nevelon (or Nevelaux</w:t></w:r>
</w:p>
<w:p>
<w:pPr><w:pStyle w:val="Normal"/></w:pPr>
<w:r><w:t xml:space="preserve">or Venelais), each wrote a Vengeance d&apos;Alexandre. Jean le</w:t></w:r>
</w:p>
<w:p>
<w:pPr><w:pStyle w:val="Normal"/></w:pPr>
<w:r><w:t xml:space="preserve">Nevelon relates how Alior, the son of Alexander and Candace,</w:t></w:r>
</w:p>
<w:p>
<w:pPr><w:pStyle w:val="Normal"/></w:pPr>
<w:r><w:t xml:space="preserve">avenged his father&apos;s death on Antipater and others.  Between</w:t></w:r>
</w:p>
<w:p>
<w:pPr><w:pStyle w:val="Normal"/></w:pPr>
<w:r><w:t xml:space="preserve">1310 and 1315 Jacques de Longuyon (or Langhion) introduced</w:t></w:r>
</w:p>
<w:p>
<w:pPr><w:pStyle w:val="Normal"/></w:pPr>
<w:r><w:t xml:space="preserve">into the account of the Indian war Les Voeux du paon, a</w:t></w:r>
</w:p>
<w:p>
<w:pPr><w:pStyle w:val="Normal"/></w:pPr>
<w:r><w:t xml:space="preserve">romanesque and fantastic episode very loosely connected with</w:t></w:r>
</w:p>
<w:p>
<w:pPr><w:pStyle w:val="Normal"/></w:pPr>
<w:r><w:t xml:space="preserve">Alexander.  It is interesting for its connexion with the</w:t></w:r>
</w:p>
<w:p>
<w:pPr><w:pStyle w:val="Normal"/></w:pPr>
<w:r><w:t xml:space="preserve">15th-century romance of Perceforest, since in it Alexander</w:t></w:r>
</w:p>
<w:p>
<w:pPr><w:pStyle w:val="Normal"/></w:pPr>
<w:r><w:t xml:space="preserve">visits Britain, where he bestows Scotland on Gadifer and</w:t></w:r>
</w:p>
<w:p>
<w:pPr><w:pStyle w:val="Normal"/></w:pPr>
<w:r><w:t xml:space="preserve">England on Betis (otherwise Perceforest). Les Voeux du</w:t></w:r>
</w:p>
<w:p>
<w:pPr><w:pStyle w:val="Normal"/></w:pPr>
<w:r><w:t xml:space="preserve">paon enjoyed great popularity, and had two sequels, Le</w:t></w:r>
</w:p>
<w:p>
<w:pPr><w:pStyle w:val="Normal"/></w:pPr>
<w:r><w:t xml:space="preserve">Restor du paon, written before 1338 by Jean Brisebarre de</w:t></w:r>
</w:p>
<w:p>
<w:pPr><w:pStyle w:val="Normal"/></w:pPr>
<w:r><w:t xml:space="preserve">Douai, and Le Parfait du paon, written in 1340 by Jean</w:t></w:r>
</w:p>
<w:p>
<w:pPr><w:pStyle w:val="Normal"/></w:pPr>
<w:r><w:t xml:space="preserve">de la Mote. Florimont, a 12th-century poem by Aimon de</w:t></w:r>
</w:p>
<w:p>
<w:pPr><w:pStyle w:val="Normal"/></w:pPr>
<w:r><w:t xml:space="preserve">Varenne, relates to a fictitious personage said to have</w:t></w:r>
</w:p>
<w:p>
<w:pPr><w:pStyle w:val="Normal"/></w:pPr>
<w:r><w:t xml:space="preserve">been the grandfather of Alexander.  This poem gave rise</w:t></w:r>
</w:p>
<w:p>
<w:pPr><w:pStyle w:val="Normal"/></w:pPr>
<w:r><w:t xml:space="preserve">to two prose romances--La Conqueste de Grece faicte par</w:t></w:r>
</w:p>
<w:p>
<w:pPr><w:pStyle w:val="Normal"/></w:pPr>
<w:r><w:t xml:space="preserve">Philippe de Madien, by Perrinet du Pin, first printed in</w:t></w:r>
</w:p>
<w:p>
<w:pPr><w:pStyle w:val="Normal"/></w:pPr>
<w:r><w:t xml:space="preserve">1527, and Histoire du roi Florimond (1528).  Quintus</w:t></w:r>
</w:p>
<w:p>
<w:pPr><w:pStyle w:val="Normal"/></w:pPr>
<w:r><w:t xml:space="preserve">Curtius was largely used for the Alexandreis (c. 1180) of</w:t></w:r>
</w:p>
<w:p>
<w:pPr><w:pStyle w:val="Normal"/></w:pPr>
<w:r><w:t xml:space="preserve">Gaultier de Lille or de Chatillon (Galtherus ab Insulis or de</w:t></w:r>
</w:p>
<w:p>
<w:pPr><w:pStyle w:val="Normal"/></w:pPr>
<w:r><w:t xml:space="preserve">Castellione).  It is a Latin poem in ten books of hexameters,</w:t></w:r>
</w:p>
<w:p>
<w:pPr><w:pStyle w:val="Normal"/></w:pPr>
<w:r><w:t xml:space="preserve">and contains a curious admixture of Biblical history.  It</w:t></w:r>
</w:p>
<w:p>
<w:pPr><w:pStyle w:val="Normal"/></w:pPr>
<w:r><w:t xml:space="preserve">was translated at the end of the next century into Flemish</w:t></w:r>
</w:p>
<w:p>
<w:pPr><w:pStyle w:val="Normal"/></w:pPr>
<w:r><w:t xml:space="preserve">by J. van Maerlant and into German by Ulrich von Eschenbach.</w:t></w:r>
</w:p>
<w:p>
<w:pPr><w:pStyle w:val="Normal"/></w:pPr>
<w:r><w:t xml:space="preserve">Of the French prose versions of the Historia de proeliis</w:t></w:r>
</w:p>
<w:p>
<w:pPr><w:pStyle w:val="Normal"/></w:pPr>
<w:r><w:t xml:space="preserve">may be noticed the late romance, L&apos;Histoire du noble et</w:t></w:r>
</w:p>
<w:p>
<w:pPr><w:pStyle w:val="Normal"/></w:pPr>
<w:r><w:t xml:space="preserve">vaillant roy Alixandre le Grant (1506).  After an account</w:t></w:r>
</w:p>
<w:p>
<w:pPr><w:pStyle w:val="Normal"/></w:pPr>
<w:r><w:t xml:space="preserve">of the ancient history of Macedonia and of the intrigue of</w:t></w:r>
</w:p>
<w:p>
<w:pPr><w:pStyle w:val="Normal"/></w:pPr>
<w:r><w:t xml:space="preserve">Nectanebus we are told how Philip dies, and how Alexander</w:t></w:r>
</w:p>
<w:p>
<w:pPr><w:pStyle w:val="Normal"/></w:pPr>
<w:r><w:t xml:space="preserve">subdues Rome and receives tribute from all European</w:t></w:r>
</w:p>
<w:p>
<w:pPr><w:pStyle w:val="Normal"/></w:pPr>
<w:r><w:t xml:space="preserve">nations.  He then makes his Persian expedition; the Indian</w:t></w:r>
</w:p>
<w:p>
<w:pPr><w:pStyle w:val="Normal"/></w:pPr>
<w:r><w:t xml:space="preserve">campaign gives occasion for descriptions of all kinds of</w:t></w:r>
</w:p>
<w:p>
<w:pPr><w:pStyle w:val="Normal"/></w:pPr>
<w:r><w:t xml:space="preserve">wonders.  The conqueror visits a cannibal kingdom and finds</w:t></w:r>
</w:p>
<w:p>
<w:pPr><w:pStyle w:val="Normal"/></w:pPr>
<w:r><w:t xml:space="preserve">many marvels in the palace of Porus, among them a vine with</w:t></w:r>
</w:p>
<w:p>
<w:pPr><w:pStyle w:val="Normal"/></w:pPr>
<w:r><w:t xml:space="preserve">golden branches, emerald leaves and fruit of other precious</w:t></w:r>
</w:p>
<w:p>
<w:pPr><w:pStyle w:val="Normal"/></w:pPr>
<w:r><w:t xml:space="preserve">stones.  In one country he meets with women who, after the</w:t></w:r>
</w:p>
<w:p>
<w:pPr><w:pStyle w:val="Normal"/></w:pPr>
<w:r><w:t xml:space="preserve">burial in the winter, become alive again in the spring full</w:t></w:r>
</w:p>
<w:p>
<w:pPr><w:pStyle w:val="Normal"/></w:pPr>
<w:r><w:t xml:space="preserve">of youth and beauty.  Having reached the ends of the earth</w:t></w:r>
</w:p>
<w:p>
<w:pPr><w:pStyle w:val="Normal"/></w:pPr>
<w:r><w:t xml:space="preserve">and conquered all nations, he aspires to the dominion of the</w:t></w:r>
</w:p>
<w:p>
<w:pPr><w:pStyle w:val="Normal"/></w:pPr>
<w:r><w:t xml:space="preserve">air.  He obtains a magic glass cage, yoked with eight</w:t></w:r>
</w:p>
<w:p>
<w:pPr><w:pStyle w:val="Normal"/></w:pPr>
<w:r><w:t xml:space="preserve">griffins, flies through the clouds, and, thanks to enchanters</w:t></w:r>
</w:p>
<w:p>
<w:pPr><w:pStyle w:val="Normal"/></w:pPr>
<w:r><w:t xml:space="preserve">who know the language of birds, gets information as to</w:t></w:r>
</w:p>
<w:p>
<w:pPr><w:pStyle w:val="Normal"/></w:pPr>
<w:r><w:t xml:space="preserve">their manners and customs, and ultimately receives their</w:t></w:r>
</w:p>
<w:p>
<w:pPr><w:pStyle w:val="Normal"/></w:pPr>
<w:r><w:t xml:space="preserve">submission.  The excessive heat of the upper regions compels</w:t></w:r>
</w:p>
<w:p>
<w:pPr><w:pStyle w:val="Normal"/></w:pPr>
<w:r><w:t xml:space="preserve">him to descend, and he next visits the bottom of the sea</w:t></w:r>
</w:p>
<w:p>
<w:pPr><w:pStyle w:val="Normal"/></w:pPr>
<w:r><w:t xml:space="preserve">in a kind of diving-bell.  The fish crowd round him and pay</w:t></w:r>
</w:p>
<w:p>
<w:pPr><w:pStyle w:val="Normal"/></w:pPr>
<w:r><w:t xml:space="preserve">homage.  Alexander returns to Babylon, is crowned with much</w:t></w:r>
</w:p>
<w:p>
<w:pPr><w:pStyle w:val="Normal"/></w:pPr>
<w:r><w:t xml:space="preserve">pomp and mass is celebrated.  He dies by poison soon afterwards.</w:t></w:r>
</w:p>
<w:p>
<w:pPr><w:pStyle w:val="Normal"/></w:pPr>
<w:r><w:t xml:space="preserve">English Versions.--The Alexander cycle was no less</w:t></w:r>
</w:p>
<w:p>
<w:pPr><w:pStyle w:val="Normal"/></w:pPr>
<w:r><w:t xml:space="preserve">popular in Great Britain.  The letter from Alexander to</w:t></w:r>
</w:p>
<w:p>
<w:pPr><w:pStyle w:val="Normal"/></w:pPr>
<w:r><w:t xml:space="preserve">Aristotle and his correspondence with Dindimus are found</w:t></w:r>
</w:p>
<w:p>
<w:pPr><w:pStyle w:val="Normal"/></w:pPr>
<w:r><w:t xml:space="preserve">in Early English versions dating from the 11th century.</w:t></w:r>
</w:p>
<w:p>
<w:pPr><w:pStyle w:val="Normal"/></w:pPr>
<w:r><w:t xml:space="preserve">These are printed by O. Cockayne in his Narratiunculae</w:t></w:r>
</w:p>
<w:p>
<w:pPr><w:pStyle w:val="Normal"/></w:pPr>
<w:r><w:t xml:space="preserve">Anglice conscriptae (1861).  The Monk (De Cas. ill. vir.)</w:t></w:r>
</w:p>
<w:p>
<w:pPr><w:pStyle w:val="Normal"/></w:pPr>
<w:r><w:t xml:space="preserve">in Chaucer&apos;s Canterbury Tales prefaces his account of</w:t></w:r>
</w:p>
<w:p>
<w:pPr><w:pStyle w:val="Normal"/></w:pPr>
<w:r><w:t xml:space="preserve">Alexander with the statement that his story is so common</w:t></w:r>
</w:p>
<w:p>
<w:pPr><w:pStyle w:val="Normal"/></w:pPr>
<w:r><w:t xml:space="preserve">That every wight that hath discrecioun</w:t></w:r>
</w:p>
<w:p>
<w:pPr><w:pStyle w:val="Normal"/></w:pPr>
<w:r><w:t xml:space="preserve">Hath herd somewhat or all of his fortune.</w:t></w:r>
</w:p>
<w:p>
<w:pPr><w:pStyle w:val="Normal"/></w:pPr>
<w:r><w:t xml:space="preserve">There are two considerable fragments of an English</w:t></w:r>
</w:p>
<w:p>
<w:pPr><w:pStyle w:val="Normal"/></w:pPr>
<w:r><w:t xml:space="preserve">alliterative romance on the subject written in the west</w:t></w:r>
</w:p>
<w:p>
<w:pPr><w:pStyle w:val="Normal"/></w:pPr>
<w:r><w:t xml:space="preserve">midland dialect, and dating from the second half of the 14th</w:t></w:r>
</w:p>
<w:p>
<w:pPr><w:pStyle w:val="Normal"/></w:pPr>
<w:r><w:t xml:space="preserve">century.  The first, The Gestes of the Worthy King and</w:t></w:r>
</w:p>
<w:p>
<w:pPr><w:pStyle w:val="Normal"/></w:pPr>
<w:r><w:t xml:space="preserve">Emperor Alisaunder of Macedoine (ed. W. W. Skeat, E.E.T.S.,</w:t></w:r>
</w:p>
<w:p>
<w:pPr><w:pStyle w:val="Normal"/></w:pPr>
<w:r><w:t xml:space="preserve">1877, with William of Palermo) contains an account of</w:t></w:r>
</w:p>
<w:p>
<w:pPr><w:pStyle w:val="Normal"/></w:pPr>
<w:r><w:t xml:space="preserve">the wars of Philip, of Nectanebus and of the education of</w:t></w:r>
</w:p>
<w:p>
<w:pPr><w:pStyle w:val="Normal"/></w:pPr>
<w:r><w:t xml:space="preserve">Alexander.  A second fragment (ed. Skeat, E.E.T.S., 1878)</w:t></w:r>
</w:p>
<w:p>
<w:pPr><w:pStyle w:val="Normal"/></w:pPr>
<w:r><w:t xml:space="preserve">contains Alexander&apos;s visit to the Gymnosophists and his</w:t></w:r>
</w:p>
<w:p>
<w:pPr><w:pStyle w:val="Normal"/></w:pPr>
<w:r><w:t xml:space="preserve">correspondence with Dindimus.  Another alliterative poem in</w:t></w:r>
</w:p>
<w:p>
<w:pPr><w:pStyle w:val="Normal"/></w:pPr>
<w:r><w:t xml:space="preserve">the northern dialect, of 15th-century origin, is based on</w:t></w:r>
</w:p>
<w:p>
<w:pPr><w:pStyle w:val="Normal"/></w:pPr>
<w:r><w:t xml:space="preserve">the Historia de proeliis, and was edited by Skeat for the</w:t></w:r>
</w:p>
<w:p>
<w:pPr><w:pStyle w:val="Normal"/></w:pPr>
<w:r><w:t xml:space="preserve">E.E.T.S. (1886) as The Wars of Alexander. Earlier than</w:t></w:r>
</w:p>
<w:p>
<w:pPr><w:pStyle w:val="Normal"/></w:pPr>
<w:r><w:t xml:space="preserve">any of these is the rhyming Lyfe of Alisaunder (c. 1330)</w:t></w:r>
</w:p>
<w:p>
<w:pPr><w:pStyle w:val="Normal"/></w:pPr>
<w:r><w:t xml:space="preserve">which is printed in H. Weber&apos;s Metrical Romances (vol. i.,</w:t></w:r>
</w:p>
<w:p>
<w:pPr><w:pStyle w:val="Normal"/></w:pPr>
<w:r><w:t xml:space="preserve">1810).  It is written in unusually picturesque and vigorous</w:t></w:r>
</w:p>
<w:p>
<w:pPr><w:pStyle w:val="Normal"/></w:pPr>
<w:r><w:t xml:space="preserve">language, and is based on the Roman de toute chevalerie,</w:t></w:r>
</w:p>
<w:p>
<w:pPr><w:pStyle w:val="Normal"/></w:pPr>
<w:r><w:t xml:space="preserve">a French compilation made about 1250 by a certain Eustace or</w:t></w:r>
</w:p>
<w:p>
<w:pPr><w:pStyle w:val="Normal"/></w:pPr>
<w:r><w:t xml:space="preserve">Thomas of Kent.  Fragments of another rhyming poem (pr. c.</w:t></w:r>
</w:p>
<w:p>
<w:pPr><w:pStyle w:val="Normal"/></w:pPr>
<w:r><w:t xml:space="preserve">1550) are preserved in the British Museum. The Scots Buik</w:t></w:r>
</w:p>
<w:p>
<w:pPr><w:pStyle w:val="Normal"/></w:pPr>
<w:r><w:t xml:space="preserve">of the most noble and vailyzeand Conqueror Alexander the</w:t></w:r>
</w:p>
<w:p>
<w:pPr><w:pStyle w:val="Normal"/></w:pPr>
<w:r><w:t xml:space="preserve">Great, printed by Alexander Arbuthnot (d. 1585) about 1580,</w:t></w:r>
</w:p>
<w:p>
<w:pPr><w:pStyle w:val="Normal"/></w:pPr>
<w:r><w:t xml:space="preserve">reprinted in 1831 for the Bannatyne Club, is not really a</w:t></w:r>
</w:p>
<w:p>
<w:pPr><w:pStyle w:val="Normal"/></w:pPr>
<w:r><w:t xml:space="preserve">life.  It contains three episodes of the cycle, the ``Forray</w:t></w:r>
</w:p>
<w:p>
<w:pPr><w:pStyle w:val="Normal"/></w:pPr>
<w:r><w:t xml:space="preserve">of Gadderis&apos;&apos; (not taken from the Fuerre de Gadres but</w:t></w:r>
</w:p>
<w:p>
<w:pPr><w:pStyle w:val="Normal"/></w:pPr>
<w:r><w:t xml:space="preserve">from the Assaut de Tyr in the Romans d&apos;Alixandre),</w:t></w:r>
</w:p>
<w:p>
<w:pPr><w:pStyle w:val="Normal"/></w:pPr>
<w:r><w:t xml:space="preserve">``The Avowes of Alexander,&apos;&apos; and ``The Great Battel of</w:t></w:r>
</w:p>
<w:p>
<w:pPr><w:pStyle w:val="Normal"/></w:pPr>
<w:r><w:t xml:space="preserve">Effesoun,&apos;&apos; taken from the Voeux du paon. Many passages</w:t></w:r>
</w:p>
<w:p>
<w:pPr><w:pStyle w:val="Normal"/></w:pPr>
<w:r><w:t xml:space="preserve">in John Barbour&apos;s Bruce are almost identical with this</w:t></w:r>
</w:p>
<w:p>
<w:pPr><w:pStyle w:val="Normal"/></w:pPr>
<w:r><w:t xml:space="preserve">book, and it is suggested by G. Neilson (John Barbour, Poet</w:t></w:r>
</w:p>
<w:p>
<w:pPr><w:pStyle w:val="Normal"/></w:pPr>
<w:r><w:t xml:space="preserve">and Translator, London, 1900) that Barbour was the author,</w:t></w:r>
</w:p>
<w:p>
<w:pPr><w:pStyle w:val="Normal"/></w:pPr>
<w:r><w:t xml:space="preserve">although the colophon states that it was written in 1438.</w:t></w:r>
</w:p>
<w:p>
<w:pPr><w:pStyle w:val="Normal"/></w:pPr>
<w:r><w:t xml:space="preserve">Bruce at Bannockburn makes the same oration as Alexander at</w:t></w:r>
</w:p>
<w:p>
<w:pPr><w:pStyle w:val="Normal"/></w:pPr>
<w:r><w:t xml:space="preserve">``Effesoun.&apos;&apos; A Buke of the Conqueror Alexander the Great</w:t></w:r>
</w:p>
<w:p>
<w:pPr><w:pStyle w:val="Normal"/></w:pPr>
<w:r><w:t xml:space="preserve">by Sir Gilbert Hay (fl. 1456) is in MS. at Taymouth Castle.</w:t></w:r>
</w:p>
<w:p>
<w:pPr><w:pStyle w:val="Normal"/></w:pPr>
<w:r><w:t xml:space="preserve">BIBLIOGRAPHY.--The best sketch of the Alexander romance</w:t></w:r>
</w:p>
<w:p>
<w:pPr><w:pStyle w:val="Normal"/></w:pPr>
<w:r><w:t xml:space="preserve">literature is by Paul Meyer. Alexandre le grand dans la</w:t></w:r>
</w:p>
<w:p>
<w:pPr><w:pStyle w:val="Normal"/></w:pPr>
<w:r><w:t xml:space="preserve">litterature francaise au moyen age (2 vols., Paris,</w:t></w:r>
</w:p>
<w:p>
<w:pPr><w:pStyle w:val="Normal"/></w:pPr>
<w:r><w:t xml:space="preserve">1886).  The first volume contains some French texts, and</w:t></w:r>
</w:p>
<w:p>
<w:pPr><w:pStyle w:val="Normal"/></w:pPr>
<w:r><w:t xml:space="preserve">the second a detailed discussion of the various versions</w:t></w:r>
</w:p>
<w:p>
<w:pPr><w:pStyle w:val="Normal"/></w:pPr>
<w:r><w:t xml:space="preserve">from the pseudo-Callisthenes downwards.  See also J.</w:t></w:r>
</w:p>
<w:p>
<w:pPr><w:pStyle w:val="Normal"/></w:pPr>
<w:r><w:t xml:space="preserve">Zacher, Pseudo-Callisthenes, Forschungen zur . . . .</w:t></w:r>
</w:p>
<w:p>
<w:pPr><w:pStyle w:val="Normal"/></w:pPr>
<w:r><w:t xml:space="preserve">Alexandersage (Halle, 1867), and for Oriental versions,</w:t></w:r>
</w:p>
<w:p>
<w:pPr><w:pStyle w:val="Normal"/></w:pPr>
<w:r><w:t xml:space="preserve">T. Noldeke, ksl.  Akad. d.  Wissenschaben, Phil.-hist.</w:t></w:r>
</w:p>
<w:p>
<w:pPr><w:pStyle w:val="Normal"/></w:pPr>
<w:r><w:t xml:space="preserve">Klasse, vol. 38: Vienna, 1890).  For early printed versions</w:t></w:r>
</w:p>
<w:p>
<w:pPr><w:pStyle w:val="Normal"/></w:pPr>
<w:r><w:t xml:space="preserve">see Brunet, Manuel du libraire, s.v. ``Alexandre.&apos;&apos;</w:t></w:r>
</w:p>
<w:p>
<w:pPr><w:pStyle w:val="Normal"/></w:pPr>
<w:r><w:t xml:space="preserve">The text of the pseudo-Callisthenes was edited by C. W.</w:t></w:r>
</w:p>
<w:p>
<w:pPr><w:pStyle w:val="Normal"/></w:pPr>
<w:r><w:t xml:space="preserve">Muller from three MSS. in the Bibl.  Nat. and printed in the</w:t></w:r>
</w:p>
<w:p>
<w:pPr><w:pStyle w:val="Normal"/></w:pPr>
<w:r><w:t xml:space="preserve">Arrian of the Coll.  Didot (Paris, 1846), and by H. Meusel</w:t></w:r>
</w:p>
<w:p>
<w:pPr><w:pStyle w:val="Normal"/></w:pPr>
<w:r><w:t xml:space="preserve">(Leipzig, 1871) from a Leiden MS. A. Mai edited Julius</w:t></w:r>
</w:p>
<w:p>
<w:pPr><w:pStyle w:val="Normal"/></w:pPr>
<w:r><w:t xml:space="preserve">Valerius (Milan, 1817) and the Itinerarium Alexandri</w:t></w:r>
</w:p>
<w:p>
<w:pPr><w:pStyle w:val="Normal"/></w:pPr>
<w:r><w:t xml:space="preserve">(Class.  Auct. vol. vii.; Milan, 1835); J. Zacher, the Epitome</w:t></w:r>
</w:p>
<w:p>
<w:pPr><w:pStyle w:val="Normal"/></w:pPr>
<w:r><w:t xml:space="preserve">Halle, 1867) and Alex. iter ad Paradisum (Regensburg,</w:t></w:r>
</w:p>
<w:p>
<w:pPr><w:pStyle w:val="Normal"/></w:pPr>
<w:r><w:t xml:space="preserve">1859); the Oxford MS. of the Epitome was edited by G. Cilli</w:t></w:r>
</w:p>
<w:p>
<w:pPr><w:pStyle w:val="Normal"/></w:pPr>
<w:r><w:t xml:space="preserve">(Strassburg, 1903); G. Landgraf, Die ``Vita Alexandri&apos;&apos; .</w:t></w:r>
</w:p>
<w:p>
<w:pPr><w:pStyle w:val="Normal"/></w:pPr>
<w:r><w:t xml:space="preserve">. . des Archpresbyter Leo (Historia de proeliis), (Erlangen,</w:t></w:r>
</w:p>
<w:p>
<w:pPr><w:pStyle w:val="Normal"/></w:pPr>
<w:r><w:t xml:space="preserve">1885); Alexander&apos;s letter to Aristotle and his correspondence</w:t></w:r>
</w:p>
<w:p>
<w:pPr><w:pStyle w:val="Normal"/></w:pPr>
<w:r><w:t xml:space="preserve">with Dindimus are included in the Teubner edition of Julius</w:t></w:r>
</w:p>
<w:p>
<w:pPr><w:pStyle w:val="Normal"/></w:pPr>
<w:r><w:t xml:space="preserve">Valerius (ed. B. Kubler, Leipzig, 1888).  A newly discovered</w:t></w:r>
</w:p>
<w:p>
<w:pPr><w:pStyle w:val="Normal"/></w:pPr>
<w:r><w:t xml:space="preserve">anonymous Epitome was edited by O. Wagner (Leipzig, 1900).</w:t></w:r>
</w:p>
<w:p>
<w:pPr><w:pStyle w:val="Normal"/></w:pPr>
<w:r><w:t xml:space="preserve">The fragment by Alberic was edited by P. Heyse (Berlin, 1856);</w:t></w:r>
</w:p>
<w:p>
<w:pPr><w:pStyle w:val="Normal"/></w:pPr>
<w:r><w:t xml:space="preserve">Lamprecht&apos;s German text by H. Weismann (Frankfort, 1850) and</w:t></w:r>
</w:p>
<w:p>
<w:pPr><w:pStyle w:val="Normal"/></w:pPr>
<w:r><w:t xml:space="preserve">by C. Kinzel (Halle, 1884); the Alexandreis of Gaultier de</w:t></w:r>
</w:p>
<w:p>
<w:pPr><w:pStyle w:val="Normal"/></w:pPr>
<w:r><w:t xml:space="preserve">Lille, by F. A. W. Muldener (Leipzig, 1863); an Icelandic</w:t></w:r>
</w:p>
<w:p>
<w:pPr><w:pStyle w:val="Normal"/></w:pPr>
<w:r><w:t xml:space="preserve">prose version (c. 1250) of the same, Alexanders Saga, by</w:t></w:r>
</w:p>
<w:p>
<w:pPr><w:pStyle w:val="Heading1"/></w:pPr>
<w:r><w:t>C. R. Unger (Christiania, 1848); Li Romans d&apos;Alexandre, by</w:t></w:r>
</w:p>
<w:p>
<w:pPr><w:pStyle w:val="Normal"/></w:pPr>
<w:r><w:t xml:space="preserve">H. Michelant (Stuttgart, 1846); the Ethiopic version by E.</w:t></w:r>
</w:p>
<w:p>
<w:pPr><w:pStyle w:val="Normal"/></w:pPr>
<w:r><w:t xml:space="preserve">A. T. Wallis Budge (1896, 2 vols., with English translation);</w:t></w:r>
</w:p>
<w:p>
<w:pPr><w:pStyle w:val="Normal"/></w:pPr>
<w:r><w:t xml:space="preserve">the Syriac text of pseudo-Callisthenes by Budge (Cambridge,</w:t></w:r>
</w:p>
<w:p>
<w:pPr><w:pStyle w:val="Normal"/></w:pPr>
<w:r><w:t xml:space="preserve">1889); cp.  K. F. Weymann, Die athiopische und arabische</w:t></w:r>
</w:p>
<w:p>
<w:pPr><w:pStyle w:val="Normal"/></w:pPr>
<w:r><w:t xml:space="preserve">Ubersetzungen des Pseudo-Kallisthenes (Kirchhain, 1901).</w:t></w:r>
</w:p>
<w:p>
<w:pPr><w:pStyle w:val="Normal"/></w:pPr>
<w:r><w:t xml:space="preserve">Besides the English editions quoted in the text, the</w:t></w:r>
</w:p>
<w:p>
<w:pPr><w:pStyle w:val="Normal"/></w:pPr>
<w:r><w:t xml:space="preserve">alliterative English poems were partially edited by J. Stevenson</w:t></w:r>
</w:p>
<w:p>
<w:pPr><w:pStyle w:val="Normal"/></w:pPr>
<w:r><w:t xml:space="preserve">for the Roxburghe Club (1849).  There is a great deal of</w:t></w:r>
</w:p>
<w:p>
<w:pPr><w:pStyle w:val="Normal"/></w:pPr>
<w:r><w:t xml:space="preserve">information on the various texts in H. L. Wood&apos;s Catalogue</w:t></w:r>
</w:p>
<w:p>
<w:pPr><w:pStyle w:val="Normal"/></w:pPr>
<w:r><w:t xml:space="preserve">of Romances in the British Museum (1883, vol. i. pp. 94 et</w:t></w:r>
</w:p>
<w:p>
<w:pPr><w:pStyle w:val="Normal"/></w:pPr>
<w:r><w:t xml:space="preserve">seq.).  See also A. Hermann, Untersuchungen uber das</w:t></w:r>
</w:p>
<w:p>
<w:pPr><w:pStyle w:val="Normal"/></w:pPr>
<w:r><w:t xml:space="preserve">Scottische Alexanderbuch (1893); and Unters. uber das</w:t></w:r>
</w:p>
<w:p>
<w:pPr><w:pStyle w:val="Normal"/></w:pPr>
<w:r><w:t xml:space="preserve">med.  Gedicht, The Wars of Alexander (Berlin, 1889).</w:t></w:r>
</w:p>
<w:p>
<w:pPr><w:pStyle w:val="Normal"/></w:pPr>
<w:r><w:t xml:space="preserve">Among other works see E. Ronde, Der griechische Roman (2nd</w:t></w:r>
</w:p>
<w:p>
<w:pPr><w:pStyle w:val="Normal"/></w:pPr>
<w:r><w:t xml:space="preserve">ed.  Leipzig, 1900); B. Meissner, Alexander u.  Gilgamos</w:t></w:r>
</w:p>
<w:p>
<w:pPr><w:pStyle w:val="Normal"/></w:pPr>
<w:r><w:t xml:space="preserve">(Leipzig, 1894); F. Kampers, ``Alex. d.  Grosse und die Idee</w:t></w:r>
</w:p>
<w:p>
<w:pPr><w:pStyle w:val="Normal"/></w:pPr>
<w:r><w:t xml:space="preserve">des Weltimperiums in Prophetic und Sage&apos;&apos; (in H. Granert&apos;s</w:t></w:r>
</w:p>
<w:p>
<w:pPr><w:pStyle w:val="Normal"/></w:pPr>
<w:r><w:t xml:space="preserve">Studien, &amp;c., Freiburg, 1901); Adolf Ausfeld, Der griechische</w:t></w:r>
</w:p>
<w:p>
<w:pPr><w:pStyle w:val="Normal"/></w:pPr>
<w:r><w:t xml:space="preserve">Alexanderroman (Leipzig, 1907), edited after the author&apos;s</w:t></w:r>
</w:p>
<w:p>
<w:pPr><w:pStyle w:val="Normal"/></w:pPr>
<w:r><w:t xml:space="preserve">death by W. Kroll; Wilhelm Hertz, ``Aristoteles in den</w:t></w:r>
</w:p>
<w:p>
<w:pPr><w:pStyle w:val="Normal"/></w:pPr>
<w:r><w:t xml:space="preserve">Alex.  Dichtungen d.  Mittelalters&apos;&apos; (Kgl. Acad. d.</w:t></w:r>
</w:p>
<w:p>
<w:pPr><w:pStyle w:val="Normal"/></w:pPr>
<w:r><w:t xml:space="preserve">Wissenschaften, Munich, 1891); H. Becker, Die Brahmanen</w:t></w:r>
</w:p>
<w:p>
<w:pPr><w:pStyle w:val="Normal"/></w:pPr>
<w:r><w:t xml:space="preserve">in d.  Alex.  Sage (Konigsberg, 1889). (M. BR.)</w:t></w:r>
</w:p>
<w:p>
<w:pPr><w:pStyle w:val="Normal"/></w:pPr>
<w:r><w:t xml:space="preserve">1 Nativitas et victoriae Alexandri magni regis was the original title.</w:t></w:r>
</w:p>
<w:p>
<w:pPr><w:pStyle w:val="Normal"/></w:pPr>
<w:r><w:t xml:space="preserve">ALEXANDER, tagus or despot of Pherae in Thessaly, ruled</w:t></w:r>
</w:p>
<w:p>
<w:pPr><w:pStyle w:val="Normal"/></w:pPr>
<w:r><w:t xml:space="preserve">from 369 to 358 B.C. His tyranny caused the Aleuadae of</w:t></w:r>
</w:p>
<w:p>
<w:pPr><w:pStyle w:val="Normal"/></w:pPr>
<w:r><w:t xml:space="preserve">Larissa to invoke the aid of Alexander II. of Macedon, whose</w:t></w:r>
</w:p>
<w:p>
<w:pPr><w:pStyle w:val="Normal"/></w:pPr>
<w:r><w:t xml:space="preserve">intervention was successful, but after his withdrawal Alexander</w:t></w:r>
</w:p>
<w:p>
<w:pPr><w:pStyle w:val="Normal"/></w:pPr>
<w:r><w:t xml:space="preserve">treated his subjects as cruelly as before.  The Thessalians</w:t></w:r>
</w:p>
<w:p>
<w:pPr><w:pStyle w:val="Normal"/></w:pPr>
<w:r><w:t xml:space="preserve">now applied to Thebes; Pelopidas, who was sent to their</w:t></w:r>
</w:p>
<w:p>
<w:pPr><w:pStyle w:val="Normal"/></w:pPr>
<w:r><w:t xml:space="preserve">assistance, was treacherously seized and thrown into prison</w:t></w:r>
</w:p>
<w:p>
<w:pPr><w:pStyle w:val="Normal"/></w:pPr>
<w:r><w:t xml:space="preserve">(368), and it was necessary to send Epaminondas with a large</w:t></w:r>
</w:p>
<w:p>
<w:pPr><w:pStyle w:val="Normal"/></w:pPr>
<w:r><w:t xml:space="preserve">army to secure his release.  Alexander&apos;s conduct caused renewed</w:t></w:r>
</w:p>
<w:p>
<w:pPr><w:pStyle w:val="Normal"/></w:pPr>
<w:r><w:t xml:space="preserve">intervention; in 364 he was defeated at Cynoscephalae by the</w:t></w:r>
</w:p>
<w:p>
<w:pPr><w:pStyle w:val="Normal"/></w:pPr>
<w:r><w:t xml:space="preserve">Thebans, although the victory was dearly bought by the loss</w:t></w:r>
</w:p>
<w:p>
<w:pPr><w:pStyle w:val="Normal"/></w:pPr>
<w:r><w:t xml:space="preserve">of Pelopidas, who fell in the battle.  Alexander was at last</w:t></w:r>
</w:p>
<w:p>
<w:pPr><w:pStyle w:val="Normal"/></w:pPr>
<w:r><w:t xml:space="preserve">crushed by the Thebans, compelled to acknowledge the freedom</w:t></w:r>
</w:p>
<w:p>
<w:pPr><w:pStyle w:val="Normal"/></w:pPr>
<w:r><w:t xml:space="preserve">of the Thessalian cities and to limit his rule to Pherae, and</w:t></w:r>
</w:p>
<w:p>
<w:pPr><w:pStyle w:val="Normal"/></w:pPr>
<w:r><w:t xml:space="preserve">forced to join the Boeotian league.  He was murdered by his</w:t></w:r>
</w:p>
<w:p>
<w:pPr><w:pStyle w:val="Normal"/></w:pPr>
<w:r><w:t xml:space="preserve">wife&apos;s brother at her instigation.  Ancient accounts agree in</w:t></w:r>
</w:p>
<w:p>
<w:pPr><w:pStyle w:val="Normal"/></w:pPr>
<w:r><w:t xml:space="preserve">describing Alexander as a typically cruel and suspicious tyrant.</w:t></w:r>
</w:p>
<w:p>
<w:pPr><w:pStyle w:val="Normal"/></w:pPr>
<w:r><w:t xml:space="preserve">ALEXANDER (1461-1506), king of Poland and grand- duke of</w:t></w:r>
</w:p>
<w:p>
<w:pPr><w:pStyle w:val="Normal"/></w:pPr>
<w:r><w:t xml:space="preserve">Lithuania, fourth son of Casimir IV., king of Poland, was</w:t></w:r>
</w:p>
<w:p>
<w:pPr><w:pStyle w:val="Normal"/></w:pPr>
<w:r><w:t xml:space="preserve">elected grand-duke of Lithuania on the death of his father</w:t></w:r>
</w:p>
<w:p>
<w:pPr><w:pStyle w:val="Normal"/></w:pPr>
<w:r><w:t xml:space="preserve">in 1492, and king of Poland on the death of his brother</w:t></w:r>
</w:p>
<w:p>
<w:pPr><w:pStyle w:val="Normal"/></w:pPr>
<w:r><w:t xml:space="preserve">John Albert in 1501.  His extreme impecuniosity made him</w:t></w:r>
</w:p>
<w:p>
<w:pPr><w:pStyle w:val="Normal"/></w:pPr>
<w:r><w:t xml:space="preserve">from the first subservient to the Polish senate and nobles</w:t></w:r>
</w:p>
<w:p>
<w:pPr><w:pStyle w:val="Normal"/></w:pPr>
<w:r><w:t xml:space="preserve">(szlachta), who deprived him of the control of the mint--then</w:t></w:r>
</w:p>
<w:p>
<w:pPr><w:pStyle w:val="Normal"/></w:pPr>
<w:r><w:t xml:space="preserve">one of the most lucrative sources of revenue of the Polish</w:t></w:r>
</w:p>
<w:p>
<w:pPr><w:pStyle w:val="Normal"/></w:pPr>
<w:r><w:t xml:space="preserve">kings--curtailed his prerogative, and generally endeavoured</w:t></w:r>
</w:p>
<w:p>
<w:pPr><w:pStyle w:val="Normal"/></w:pPr>
<w:r><w:t xml:space="preserve">to reduce him to a subordinate position.  This ill-timed</w:t></w:r>
</w:p>
<w:p>
<w:pPr><w:pStyle w:val="Normal"/></w:pPr>
<w:r><w:t xml:space="preserve">parsimony reacted injuriously upon Polish politics.  Thus,</w:t></w:r>
</w:p>
<w:p>
<w:pPr><w:pStyle w:val="Normal"/></w:pPr>
<w:r><w:t xml:space="preserve">for want of funds, Alexander was unable to assist the Grand</w:t></w:r>
</w:p>
<w:p>
<w:pPr><w:pStyle w:val="Normal"/></w:pPr>
<w:r><w:t xml:space="preserve">Master of the Order of the Sword against Muscovite aggression,</w:t></w:r>
</w:p>
<w:p>
<w:pPr><w:pStyle w:val="Normal"/></w:pPr>
<w:r><w:t xml:space="preserve">or prevent Tsar Ivan III. from ravaging Lithuania with the</w:t></w:r>
</w:p>
<w:p>
<w:pPr><w:pStyle w:val="Normal"/></w:pPr>
<w:r><w:t xml:space="preserve">Tatars.  The utmost the king could do was to garrison Smolensk</w:t></w:r>
</w:p>
<w:p>
<w:pPr><w:pStyle w:val="Normal"/></w:pPr>
<w:r><w:t xml:space="preserve">and other fortresses and employ his wife Helena, the tsar&apos;s</w:t></w:r>
</w:p>
<w:p>
<w:pPr><w:pStyle w:val="Normal"/></w:pPr>
<w:r><w:t xml:space="preserve">daughter, to mediate a truce between his father-in-law and</w:t></w:r>
</w:p>
<w:p>
<w:pPr><w:pStyle w:val="Normal"/></w:pPr>
<w:r><w:t xml:space="preserve">himself.  During his reign Poland suffered much humiliation</w:t></w:r>
</w:p>
<w:p>
<w:pPr><w:pStyle w:val="Normal"/></w:pPr>
<w:r><w:t xml:space="preserve">from the attempts of her subject principalities, Prussia and</w:t></w:r>
</w:p>
<w:p>
<w:pPr><w:pStyle w:val="Normal"/></w:pPr>
<w:r><w:t xml:space="preserve">Moldavia, to throw off her yoke.  Only the death of Stephen,</w:t></w:r>
</w:p>
<w:p>
<w:pPr><w:pStyle w:val="Normal"/></w:pPr>
<w:r><w:t xml:space="preserve">the great hospodar of Moldavia, enabled Poland still to hold her</w:t></w:r>
</w:p>
<w:p>
<w:pPr><w:pStyle w:val="Normal"/></w:pPr>
<w:r><w:t xml:space="preserve">own on the Danube; while the liberality of Pope Julius II., who</w:t></w:r>
</w:p>
<w:p>
<w:pPr><w:pStyle w:val="Normal"/></w:pPr>
<w:r><w:t xml:space="preserve">issued no fewer than 29 bulls in favour of Poland and granted</w:t></w:r>
</w:p>
<w:p>
<w:pPr><w:pStyle w:val="Normal"/></w:pPr>
<w:r><w:t xml:space="preserve">Alexander Peter&apos;s Pence and other financial help, enabled the</w:t></w:r>
</w:p>
<w:p>
<w:pPr><w:pStyle w:val="Normal"/></w:pPr>
<w:r><w:t xml:space="preserve">Polish king to restrain somewhat the arrogance of the Teutonic</w:t></w:r>
</w:p>
<w:p>
<w:pPr><w:pStyle w:val="Normal"/></w:pPr>
<w:r><w:t xml:space="preserve">Order.  In Alexander the characteristic virtues of the Jagiellos,</w:t></w:r>
</w:p>
<w:p>
<w:pPr><w:pStyle w:val="Normal"/></w:pPr>
<w:r><w:t xml:space="preserve">patience and generosity, degenerated into slothfulness and</w:t></w:r>
</w:p>
<w:p>
<w:pPr><w:pStyle w:val="Normal"/></w:pPr>
<w:r><w:t xml:space="preserve">extravagance.  Frequently he was too poor to pay the expenses</w:t></w:r>
</w:p>
<w:p>
<w:pPr><w:pStyle w:val="Normal"/></w:pPr>
<w:r><w:t xml:space="preserve">of his own table.  But he never felt at home in Poland, and</w:t></w:r>
</w:p>
<w:p>
<w:pPr><w:pStyle w:val="Normal"/></w:pPr>
<w:r><w:t xml:space="preserve">bestowed his favour principally upon his fellow-countrymen,</w:t></w:r>
</w:p>
<w:p>
<w:pPr><w:pStyle w:val="Normal"/></w:pPr>
<w:r><w:t xml:space="preserve">the most notable of whom was the wealthy Lithuanian magnate</w:t></w:r>
</w:p>
<w:p>
<w:pPr><w:pStyle w:val="Normal"/></w:pPr>
<w:r><w:t xml:space="preserve">Michael Glinsky, who justified his master&apos;s confidence by</w:t></w:r>
</w:p>
<w:p>
<w:pPr><w:pStyle w:val="Normal"/></w:pPr>
<w:r><w:t xml:space="preserve">his great victory over the Tatars at Kleck (August 5, 1506),</w:t></w:r>
</w:p>
<w:p>
<w:pPr><w:pStyle w:val="Normal"/></w:pPr>
<w:r><w:t xml:space="preserve">the news of which was brought to Alexander on his deathbed.</w:t></w:r>
</w:p>
<w:p>
<w:pPr><w:pStyle w:val="Normal"/></w:pPr>
<w:r><w:t xml:space="preserve">See V. Czerny, The Reigns of John Albert and</w:t></w:r>
</w:p>
<w:p>
<w:pPr><w:pStyle w:val="Normal"/></w:pPr>
<w:r><w:t xml:space="preserve">Alexander Jagiello (Pol.) (Cracow, 1882).</w:t></w:r>
</w:p>
<w:p>
<w:pPr><w:pStyle w:val="Normal"/></w:pPr>
<w:r><w:t xml:space="preserve">ALEXANDER, the name of eight popes:--</w:t></w:r>
</w:p>
<w:p>
<w:pPr><w:pStyle w:val="Normal"/></w:pPr>
<w:r><w:t xml:space="preserve">ALEXANDER I. was bishop of Rome from about 106 to 115. He</w:t></w:r>
</w:p>
<w:p>
<w:pPr><w:pStyle w:val="Normal"/></w:pPr>
<w:r><w:t xml:space="preserve">has been identified, without any foundation, with Alexander,</w:t></w:r>
</w:p>
<w:p>
<w:pPr><w:pStyle w:val="Normal"/></w:pPr>
<w:r><w:t xml:space="preserve">a martyr of the Via Nomentana, whose day is the 3rd of May.</w:t></w:r>
</w:p>
<w:p>
<w:pPr><w:pStyle w:val="Normal"/></w:pPr>
<w:r><w:t xml:space="preserve">ALEXANDER II. (Anselmo Baggio), pope from 1061 to 1073, was</w:t></w:r>
</w:p>
<w:p>
<w:pPr><w:pStyle w:val="Normal"/></w:pPr>
<w:r><w:t xml:space="preserve">a native of Milan.  As bishop of Lucca he had been an energetic</w:t></w:r>
</w:p>
<w:p>
<w:pPr><w:pStyle w:val="Normal"/></w:pPr>
<w:r><w:t xml:space="preserve">coadjutor with Hildebrand in endeavouring to suppress simony,</w:t></w:r>
</w:p>
<w:p>
<w:pPr><w:pStyle w:val="Normal"/></w:pPr>
<w:r><w:t xml:space="preserve">and to enforce the celibacy of the clergy.  His election, which</w:t></w:r>
</w:p>
<w:p>
<w:pPr><w:pStyle w:val="Normal"/></w:pPr>
<w:r><w:t xml:space="preserve">Hildebrand had arranged in conformity with the decree of 1059</w:t></w:r>
</w:p>
<w:p>
<w:pPr><w:pStyle w:val="Normal"/></w:pPr>
<w:r><w:t xml:space="preserve">(see NICHOLAS II.), was not sanctioned by the imperial court of</w:t></w:r>
</w:p>
<w:p>
<w:pPr><w:pStyle w:val="Normal"/></w:pPr>
<w:r><w:t xml:space="preserve">Germany.  This court, faithful to the practice observed by</w:t></w:r>
</w:p>
<w:p>
<w:pPr><w:pStyle w:val="Normal"/></w:pPr>
<w:r><w:t xml:space="preserve">it in the preceding elections, nominatod another candidate,</w:t></w:r>
</w:p>
<w:p>
<w:pPr><w:pStyle w:val="Normal"/></w:pPr>
<w:r><w:t xml:space="preserve">Cadalus, bishop of Parma, who was proclaimed at the council</w:t></w:r>
</w:p>
<w:p>
<w:pPr><w:pStyle w:val="Normal"/></w:pPr>
<w:r><w:t xml:space="preserve">of Basel under the name of Honorius II., marched to Rome, and</w:t></w:r>
</w:p>
<w:p>
<w:pPr><w:pStyle w:val="Normal"/></w:pPr>
<w:r><w:t xml:space="preserve">for a long time jeopardized his rival&apos;s position.  At length,</w:t></w:r>
</w:p>
<w:p>
<w:pPr><w:pStyle w:val="Normal"/></w:pPr>
<w:r><w:t xml:space="preserve">however, he was abandoned by the Germanic court and deposed</w:t></w:r>
</w:p>
<w:p>
<w:pPr><w:pStyle w:val="Normal"/></w:pPr>
<w:r><w:t xml:space="preserve">by a council held at Mantua; and Alexander&apos;s position remained</w:t></w:r>
</w:p>
<w:p>
<w:pPr><w:pStyle w:val="Normal"/></w:pPr>
<w:r><w:t xml:space="preserve">unchallenged.  Alexander was succeeded by his associate</w:t></w:r>
</w:p>
<w:p>
<w:pPr><w:pStyle w:val="Normal"/></w:pPr>
<w:r><w:t xml:space="preserve">Hildebrand, who took the title of Gregory VII. (L. D.*)</w:t></w:r>
</w:p>
<w:p>
<w:pPr><w:pStyle w:val="Normal"/></w:pPr>
<w:r><w:t xml:space="preserve">ALEXANDER III. (Orlando Bandinelli), pope from 1159 to</w:t></w:r>
</w:p>
<w:p>
<w:pPr><w:pStyle w:val="Normal"/></w:pPr>
<w:r><w:t xml:space="preserve">1181, was a Siennese, and as a teacher of canon law in Bologna</w:t></w:r>
</w:p>
<w:p>
<w:pPr><w:pStyle w:val="Normal"/></w:pPr>
<w:r><w:t xml:space="preserve">composed the Stroma or the Summa Magistri Rolandi, one</w:t></w:r>
</w:p>
<w:p>
<w:pPr><w:pStyle w:val="Normal"/></w:pPr>
<w:r><w:t xml:space="preserve">of the earliest commentaries on the Decretum Gratiani.  In</w:t></w:r>
</w:p>
<w:p>
<w:pPr><w:pStyle w:val="Normal"/></w:pPr>
<w:r><w:t xml:space="preserve">October 1150 Eugenius III. created him cardinal deacon SS.</w:t></w:r>
</w:p>
<w:p>
<w:pPr><w:pStyle w:val="Normal"/></w:pPr>
<w:r><w:t xml:space="preserve">Cosmae and Damiani; later he became cardinal priest of St</w:t></w:r>
</w:p>
<w:p>
<w:pPr><w:pStyle w:val="Normal"/></w:pPr>
<w:r><w:t xml:space="preserve">Mark&apos;s.  Probably about this time he composed his Sentences,</w:t></w:r>
</w:p>
<w:p>
<w:pPr><w:pStyle w:val="Normal"/></w:pPr>
<w:r><w:t xml:space="preserve">based on the Introductio ad theologiam of Abelard.  In</w:t></w:r>
</w:p>
<w:p>
<w:pPr><w:pStyle w:val="Normal"/></w:pPr>
<w:r><w:t xml:space="preserve">1153 he became papal chancellor, and was the leader of the</w:t></w:r>
</w:p>
<w:p>
<w:pPr><w:pStyle w:val="Normal"/></w:pPr>
<w:r><w:t xml:space="preserve">cardinals opposed to Frederick Barbarossa.  On the 7th of</w:t></w:r>
</w:p>
<w:p>
<w:pPr><w:pStyle w:val="Normal"/></w:pPr>
<w:r><w:t xml:space="preserve">September 1159 he was chosen the successor of Adrian IV.,</w:t></w:r>
</w:p>
<w:p>
<w:pPr><w:pStyle w:val="Normal"/></w:pPr>
<w:r><w:t xml:space="preserve">a minority of the cardinals, however, electing the cardinal</w:t></w:r>
</w:p>
<w:p>
<w:pPr><w:pStyle w:val="Normal"/></w:pPr>
<w:r><w:t xml:space="preserve">priest Octavian, who assumed the name of Victor IV. This</w:t></w:r>
</w:p>
<w:p>
<w:pPr><w:pStyle w:val="Normal"/></w:pPr>
<w:r><w:t xml:space="preserve">antipope, and his successors Paschal III. (1164-1168) and</w:t></w:r>
</w:p>
<w:p>
<w:pPr><w:pStyle w:val="Normal"/></w:pPr>
<w:r><w:t xml:space="preserve">Calixtus III. (1168-1178), had the imperial support; but after</w:t></w:r>
</w:p>
<w:p>
<w:pPr><w:pStyle w:val="Normal"/></w:pPr>
<w:r><w:t xml:space="preserve">the defeat of Legnano, Barbarossa finally (in the peace of</w:t></w:r>
</w:p>
<w:p>
<w:pPr><w:pStyle w:val="Normal"/></w:pPr>
<w:r><w:t xml:space="preserve">Venice, 1177) recognized Alexander as pope.  On the 12th</w:t></w:r>
</w:p>
<w:p>
<w:pPr><w:pStyle w:val="Normal"/></w:pPr>
<w:r><w:t xml:space="preserve">of March 1178 Alexander returned to Rome, which he had been</w:t></w:r>
</w:p>
<w:p>
<w:pPr><w:pStyle w:val="Normal"/></w:pPr>
<w:r><w:t xml:space="preserve">compelled to leave twice, namely, from 1162 until the 23rd of</w:t></w:r>
</w:p>
<w:p>
<w:pPr><w:pStyle w:val="Normal"/></w:pPr>
<w:r><w:t xml:space="preserve">November 1165, and again in 1167.  The first period he spent</w:t></w:r>
</w:p>
<w:p>
<w:pPr><w:pStyle w:val="Normal"/></w:pPr>
<w:r><w:t xml:space="preserve">in France, the latter chiefly in Gaeta, Benevento, Anagni and</w:t></w:r>
</w:p>
<w:p>
<w:pPr><w:pStyle w:val="Normal"/></w:pPr>
<w:r><w:t xml:space="preserve">Venice.  In March 1179 Alexander held the third Lateran synod,</w:t></w:r>
</w:p>
<w:p>
<w:pPr><w:pStyle w:val="Normal"/></w:pPr>
<w:r><w:t xml:space="preserve">a brilliant assemblage, reckoned by the Roman church as the</w:t></w:r>
</w:p>
<w:p>
<w:pPr><w:pStyle w:val="Normal"/></w:pPr>
<w:r><w:t xml:space="preserve">eleventh oecumenical council; its acts embody several of the</w:t></w:r>
</w:p>
<w:p>
<w:pPr><w:pStyle w:val="Normal"/></w:pPr>
<w:r><w:t xml:space="preserve">pope&apos;s proposals for the betterment of the condition of the</w:t></w:r>
</w:p>
<w:p>
<w:pPr><w:pStyle w:val="Normal"/></w:pPr>
<w:r><w:t xml:space="preserve">church, among them the present law requiring that no one</w:t></w:r>
</w:p>
<w:p>
<w:pPr><w:pStyle w:val="Normal"/></w:pPr>
<w:r><w:t xml:space="preserve">may be elected pope without the votes of two-thirds of the</w:t></w:r>
</w:p>
<w:p>
<w:pPr><w:pStyle w:val="Normal"/></w:pPr>
<w:r><w:t xml:space="preserve">cardinals.  This synod marks the summit of Alexander&apos;s</w:t></w:r>
</w:p>
<w:p>
<w:pPr><w:pStyle w:val="Normal"/></w:pPr>
<w:r><w:t xml:space="preserve">power.  Besides checkmating Barbarossa, he had humbled</w:t></w:r>
</w:p>
<w:p>
<w:pPr><w:pStyle w:val="Normal"/></w:pPr>
<w:r><w:t xml:space="preserve">Henry II. of England in the affair of Thomas Becket, he</w:t></w:r>
</w:p>
<w:p>
<w:pPr><w:pStyle w:val="Normal"/></w:pPr>
<w:r><w:t xml:space="preserve">had confirmed the right of Alphonso I. of Portugal to the</w:t></w:r>
</w:p>
<w:p>
<w:pPr><w:pStyle w:val="Normal"/></w:pPr>
<w:r><w:t xml:space="preserve">crown, and even as a fugitive had enjoyed the favour and</w:t></w:r>
</w:p>
<w:p>
<w:pPr><w:pStyle w:val="Normal"/></w:pPr>
<w:r><w:t xml:space="preserve">protection of Louis VII. of France.  Nevertheless, soon after</w:t></w:r>
</w:p>
<w:p>
<w:pPr><w:pStyle w:val="Normal"/></w:pPr>
<w:r><w:t xml:space="preserve">the close of the synod the Roman republic forced Alexander</w:t></w:r>
</w:p>
<w:p>
<w:pPr><w:pStyle w:val="Normal"/></w:pPr>
<w:r><w:t xml:space="preserve">to leave the city, which he never re-entered; and on the 29th</w:t></w:r>
</w:p>
<w:p>
<w:pPr><w:pStyle w:val="Normal"/></w:pPr>
<w:r><w:t xml:space="preserve">of September 1179 some nobles set up the antipope Innocent</w:t></w:r>
</w:p>
<w:p>
<w:pPr><w:pStyle w:val="Heading1"/></w:pPr>
<w:r><w:t>III. By the judicious use of money, however, Alexander</w:t></w:r>
</w:p>
<w:p>
<w:pPr><w:pStyle w:val="Normal"/></w:pPr>
<w:r><w:t xml:space="preserve">got him into his power, so that he was deposed in January</w:t></w:r>
</w:p>
<w:p>
<w:pPr><w:pStyle w:val="Normal"/></w:pPr>
<w:r><w:t xml:space="preserve">1180.  In 1181 Alexander excommunicated William the Lion of</w:t></w:r>
</w:p>
<w:p>
<w:pPr><w:pStyle w:val="Normal"/></w:pPr>
<w:r><w:t xml:space="preserve">Scotland and put the kingdom under the interdict.  The great</w:t></w:r>
</w:p>
<w:p>
<w:pPr><w:pStyle w:val="Normal"/></w:pPr>
<w:r><w:t xml:space="preserve">pope died at Civita Castellana on the 30th of August 1181.</w:t></w:r>
</w:p>
<w:p>
<w:pPr><w:pStyle w:val="Normal"/></w:pPr>
<w:r><w:t xml:space="preserve">See Herzog-Hauck, Realencyklopadie, 3rd ed., i. 340-344; Wetzer</w:t></w:r>
</w:p>
<w:p>
<w:pPr><w:pStyle w:val="Normal"/></w:pPr>
<w:r><w:t xml:space="preserve">and Welte, Kirchenlexikon, 2nd ed., 1481.  The most elaborate</w:t></w:r>
</w:p>
<w:p>
<w:pPr><w:pStyle w:val="Normal"/></w:pPr>
<w:r><w:t xml:space="preserve">biography is H. Reuter, Geschichte Alexanders III. und der Kirche</w:t></w:r>
</w:p>
<w:p>
<w:pPr><w:pStyle w:val="Normal"/></w:pPr>
<w:r><w:t xml:space="preserve">seiner Zeit (3 vols., 2nd ed., Leipzig, 1860). (W. W. R.*)</w:t></w:r>
</w:p>
<w:p>
<w:pPr><w:pStyle w:val="Normal"/></w:pPr>
<w:r><w:t xml:space="preserve">ALEXANDER IV. (Rinaldo), pope from 1254 to 1261, was, like</w:t></w:r>
</w:p>
<w:p>
<w:pPr><w:pStyle w:val="Normal"/></w:pPr>
<w:r><w:t xml:space="preserve">Innocent III. and Gregory IX., a member of the family of the</w:t></w:r>
</w:p>
<w:p>
<w:pPr><w:pStyle w:val="Normal"/></w:pPr>
<w:r><w:t xml:space="preserve">counts of Segni.  His uncle Gregory IX. made him cardinal deacon</w:t></w:r>
</w:p>
<w:p>
<w:pPr><w:pStyle w:val="Normal"/></w:pPr>
<w:r><w:t xml:space="preserve">in 1227 and cardinal bishop of Ostia in 1231.  On the death of</w:t></w:r>
</w:p>
<w:p>
<w:pPr><w:pStyle w:val="Normal"/></w:pPr>
<w:r><w:t xml:space="preserve">Innocent IV. he was elected pope at Naples on the 12th of December</w:t></w:r>
</w:p>
<w:p>
<w:pPr><w:pStyle w:val="Normal"/></w:pPr>
<w:r><w:t xml:space="preserve">1254.  He is described as a stout man, kindly, cheerful, but</w:t></w:r>
</w:p>
<w:p>
<w:pPr><w:pStyle w:val="Normal"/></w:pPr>
<w:r><w:t xml:space="preserve">of no great brilliancy.  He succeeded Innocent IV. as guardian</w:t></w:r>
</w:p>
<w:p>
<w:pPr><w:pStyle w:val="Normal"/></w:pPr>
<w:r><w:t xml:space="preserve">of Conradin, the last of the Hohenstaufen, promising him</w:t></w:r>
</w:p>
<w:p>
<w:pPr><w:pStyle w:val="Normal"/></w:pPr>
<w:r><w:t xml:space="preserve">his benevolent protection; but in less than a fortnight he</w:t></w:r>
</w:p>
<w:p>
<w:pPr><w:pStyle w:val="Normal"/></w:pPr>
<w:r><w:t xml:space="preserve">conspired against him and bitterly opposed Conradin&apos;s uncle</w:t></w:r>
</w:p>
<w:p>
<w:pPr><w:pStyle w:val="Normal"/></w:pPr>
<w:r><w:t xml:space="preserve">Manfred.  Alexander fulminated with excommunication and interdict</w:t></w:r>
</w:p>
<w:p>
<w:pPr><w:pStyle w:val="Normal"/></w:pPr>
<w:r><w:t xml:space="preserve">against the party of Manfred, but in vain; nor could he enlist</w:t></w:r>
</w:p>
<w:p>
<w:pPr><w:pStyle w:val="Normal"/></w:pPr>
<w:r><w:t xml:space="preserve">the kings of England and Norway in a crusade against the</w:t></w:r>
</w:p>
<w:p>
<w:pPr><w:pStyle w:val="Normal"/></w:pPr>
<w:r><w:t xml:space="preserve">Hohenstaufen.  Rome itself became too Ghibelline for the pope,</w:t></w:r>
</w:p>
<w:p>
<w:pPr><w:pStyle w:val="Normal"/></w:pPr>
<w:r><w:t xml:space="preserve">who withdrew to Viterbo, where he died on the 25th of May</w:t></w:r>
</w:p>
<w:p>
<w:pPr><w:pStyle w:val="Normal"/></w:pPr>
<w:r><w:t xml:space="preserve">1261.  His pontificate was signalized by efforts to unite</w:t></w:r>
</w:p>
<w:p>
<w:pPr><w:pStyle w:val="Normal"/></w:pPr>
<w:r><w:t xml:space="preserve">the Greek and Latin churches, by the establishment of the</w:t></w:r>
</w:p>
<w:p>
<w:pPr><w:pStyle w:val="Normal"/></w:pPr>
<w:r><w:t xml:space="preserve">Inquisition in France, by favours shown to the mendicant orders,</w:t></w:r>
</w:p>
<w:p>
<w:pPr><w:pStyle w:val="Normal"/></w:pPr>
<w:r><w:t xml:space="preserve">and by an attempt to organize a crusade against the Tatars.</w:t></w:r>
</w:p>
<w:p>
<w:pPr><w:pStyle w:val="Normal"/></w:pPr>
<w:r><w:t xml:space="preserve">The registers of Alexander IV. are published by Bourel de la</w:t></w:r>
</w:p>
<w:p>
<w:pPr><w:pStyle w:val="Normal"/></w:pPr>
<w:r><w:t xml:space="preserve">Ronciere and others in the Bibliotheque des Ecoles francaises</w:t></w:r>
</w:p>
<w:p>
<w:pPr><w:pStyle w:val="Normal"/></w:pPr>
<w:r><w:t xml:space="preserve">d&apos;Athenes et de Rome, Paris, 1895 ff. (W. W. R.*)</w:t></w:r>
</w:p>
<w:p>
<w:pPr><w:pStyle w:val="Normal"/></w:pPr>
<w:r><w:t xml:space="preserve">ALEXANDER V. (Peter Philarges), pope 1409-1410, was born</w:t></w:r>
</w:p>
<w:p>
<w:pPr><w:pStyle w:val="Normal"/></w:pPr>
<w:r><w:t xml:space="preserve">in Crete of unknown parents and entered the order of St</w:t></w:r>
</w:p>
<w:p>
<w:pPr><w:pStyle w:val="Normal"/></w:pPr>
<w:r><w:t xml:space="preserve">Francis, for which, as for the other mendicant orders,</w:t></w:r>
</w:p>
<w:p>
<w:pPr><w:pStyle w:val="Normal"/></w:pPr>
<w:r><w:t xml:space="preserve">he later manifested his affection in a striking manner.</w:t></w:r>
</w:p>
<w:p>
<w:pPr><w:pStyle w:val="Normal"/></w:pPr>
<w:r><w:t xml:space="preserve">He was a member in turn of the universities of Oxford and</w:t></w:r>
</w:p>
<w:p>
<w:pPr><w:pStyle w:val="Normal"/></w:pPr>
<w:r><w:t xml:space="preserve">Paris, and finally settled in Lombardy, where, thanks to the</w:t></w:r>
</w:p>
<w:p>
<w:pPr><w:pStyle w:val="Normal"/></w:pPr>
<w:r><w:t xml:space="preserve">favour of Gian Galeazzo Visconti, he became bishop, first of</w:t></w:r>
</w:p>
<w:p>
<w:pPr><w:pStyle w:val="Normal"/></w:pPr>
<w:r><w:t xml:space="preserve">Piacenza, then of Vincenza, then of Novara, and afterwards</w:t></w:r>
</w:p>
<w:p>
<w:pPr><w:pStyle w:val="Normal"/></w:pPr>
<w:r><w:t xml:space="preserve">archbishop of Milan.  On being created cardinal by Innocent</w:t></w:r>
</w:p>
<w:p>
<w:pPr><w:pStyle w:val="Heading1"/></w:pPr>
<w:r><w:t>VII. he devoted all his energies from 1408 onwards to the</w:t></w:r>
</w:p>
<w:p>
<w:pPr><w:pStyle w:val="Normal"/></w:pPr>
<w:r><w:t xml:space="preserve">realization of the union of the church, in spite of the two</w:t></w:r>
</w:p>
<w:p>
<w:pPr><w:pStyle w:val="Normal"/></w:pPr>
<w:r><w:t xml:space="preserve">rival popes.  He was one of the promoters of the council of</w:t></w:r>
</w:p>
<w:p>
<w:pPr><w:pStyle w:val="Normal"/></w:pPr>
<w:r><w:t xml:space="preserve">Pisa, and after that assembly had declared Gregory XII. and</w:t></w:r>
</w:p>
<w:p>
<w:pPr><w:pStyle w:val="Normal"/></w:pPr>
<w:r><w:t xml:space="preserve">Benedict NIII. deposed, the cardinals assembled in conclave</w:t></w:r>
</w:p>
<w:p>
<w:pPr><w:pStyle w:val="Normal"/></w:pPr>
<w:r><w:t xml:space="preserve">thought they could not do better than crown with the tiara</w:t></w:r>
</w:p>
<w:p>
<w:pPr><w:pStyle w:val="Normal"/></w:pPr>
<w:r><w:t xml:space="preserve">this cosmopolitan prelate, who had an equal mastery of the</w:t></w:r>
</w:p>
<w:p>
<w:pPr><w:pStyle w:val="Normal"/></w:pPr>
<w:r><w:t xml:space="preserve">Latin and Greek languages, and was renowned not only for</w:t></w:r>
</w:p>
<w:p>
<w:pPr><w:pStyle w:val="Normal"/></w:pPr>
<w:r><w:t xml:space="preserve">his learning in theology but for his affability (June 26,</w:t></w:r>
</w:p>
<w:p>
<w:pPr><w:pStyle w:val="Normal"/></w:pPr>
<w:r><w:t xml:space="preserve">1409).  As a matter of fact, the only effect of this election</w:t></w:r>
</w:p>
<w:p>
<w:pPr><w:pStyle w:val="Normal"/></w:pPr>
<w:r><w:t xml:space="preserve">was to aggravate the schism by adding a third to the number</w:t></w:r>
</w:p>
<w:p>
<w:pPr><w:pStyle w:val="Normal"/></w:pPr>
<w:r><w:t xml:space="preserve">of rival pontiffs.  During his short reign of ten months</w:t></w:r>
</w:p>
<w:p>
<w:pPr><w:pStyle w:val="Normal"/></w:pPr>
<w:r><w:t xml:space="preserve">Alexander V.&apos;s aim was to extend his obedience with the</w:t></w:r>
</w:p>
<w:p>
<w:pPr><w:pStyle w:val="Normal"/></w:pPr>
<w:r><w:t xml:space="preserve">assistance of France, and, notably, of the duke Louis II. of</w:t></w:r>
</w:p>
<w:p>
<w:pPr><w:pStyle w:val="Normal"/></w:pPr>
<w:r><w:t xml:space="preserve">Anjou, upon whom he conferred the investiture of the kingdom</w:t></w:r>
</w:p>
<w:p>
<w:pPr><w:pStyle w:val="Normal"/></w:pPr>
<w:r><w:t xml:space="preserve">of Sicily, together with the title of gonfalonier of the</w:t></w:r>
</w:p>
<w:p>
<w:pPr><w:pStyle w:val="Normal"/></w:pPr>
<w:r><w:t xml:space="preserve">church.  He proclaimed and promised rather than effected a</w:t></w:r>
</w:p>
<w:p>
<w:pPr><w:pStyle w:val="Normal"/></w:pPr>
<w:r><w:t xml:space="preserve">certain number of reforms: the abandonment of the rights of</w:t></w:r>
</w:p>
<w:p>
<w:pPr><w:pStyle w:val="Normal"/></w:pPr>
<w:r><w:t xml:space="preserve">``spoils&apos;&apos; and ``procurations,&apos;&apos; the re-establishment of the</w:t></w:r>
</w:p>
<w:p>
<w:pPr><w:pStyle w:val="Normal"/></w:pPr>
<w:r><w:t xml:space="preserve">system of canonical election in the cathedral churches and</w:t></w:r>
</w:p>
<w:p>
<w:pPr><w:pStyle w:val="Normal"/></w:pPr>
<w:r><w:t xml:space="preserve">principal monasteries, &amp;c. But death came upon him almost</w:t></w:r>
</w:p>
<w:p>
<w:pPr><w:pStyle w:val="Normal"/></w:pPr>
<w:r><w:t xml:space="preserve">without warning at Bologna, in the night of the 3rd-4th May</w:t></w:r>
</w:p>
<w:p>
<w:pPr><w:pStyle w:val="Normal"/></w:pPr>
<w:r><w:t xml:space="preserve">1410.  A rumour went about that he had been poisoned by the</w:t></w:r>
</w:p>
<w:p>
<w:pPr><w:pStyle w:val="Normal"/></w:pPr>
<w:r><w:t xml:space="preserve">cardinal Baldassare Cossa, impatient to be his successor, who</w:t></w:r>
</w:p>
<w:p>
<w:pPr><w:pStyle w:val="Normal"/></w:pPr>
<w:r><w:t xml:space="preserve">succeeded him in fact under the name of John XXIII.  The crime</w:t></w:r>
</w:p>
<w:p>
<w:pPr><w:pStyle w:val="Normal"/></w:pPr>
<w:r><w:t xml:space="preserve">has, however, never been proved, though a Milanese physician, who</w:t></w:r>
</w:p>
<w:p>
<w:pPr><w:pStyle w:val="Normal"/></w:pPr>
<w:r><w:t xml:space="preserve">performed the task of dissecting the corpse of Peter Philarges,</w:t></w:r>
</w:p>
<w:p>
<w:pPr><w:pStyle w:val="Normal"/></w:pPr>
<w:r><w:t xml:space="preserve">seems to have thought that he found traces of poison. (N. V.)</w:t></w:r>
</w:p>
<w:p>
<w:pPr><w:pStyle w:val="Normal"/></w:pPr>
<w:r><w:t xml:space="preserve">ALEXANDER VI. (Rodrigo Borgia) (1431-1503), pope from 1492</w:t></w:r>
</w:p>
<w:p>
<w:pPr><w:pStyle w:val="Normal"/></w:pPr>
<w:r><w:t xml:space="preserve">to his death, is the most memorable of the corrupt and secular</w:t></w:r>
</w:p>
<w:p>
<w:pPr><w:pStyle w:val="Normal"/></w:pPr>
<w:r><w:t xml:space="preserve">popes of the Renaissance.  He was born (January 1, 1431) at</w:t></w:r>
</w:p>
<w:p>
<w:pPr><w:pStyle w:val="Normal"/></w:pPr>
<w:r><w:t xml:space="preserve">Xativa, near Valencia in Spain, and his father&apos;s surname was</w:t></w:r>
</w:p>
<w:p>
<w:pPr><w:pStyle w:val="Normal"/></w:pPr>
<w:r><w:t xml:space="preserve">Lanzol or Llancol; that of his mother&apos;s family, Borgia or</w:t></w:r>
</w:p>
<w:p>
<w:pPr><w:pStyle w:val="Normal"/></w:pPr>
<w:r><w:t xml:space="preserve">Borja, was assumed by him on the elevation of his maternal</w:t></w:r>
</w:p>
<w:p>
<w:pPr><w:pStyle w:val="Normal"/></w:pPr>
<w:r><w:t xml:space="preserve">uncle to the papacy as Calixtus III. (April 8, 1455).  He</w:t></w:r>
</w:p>
<w:p>
<w:pPr><w:pStyle w:val="Normal"/></w:pPr>
<w:r><w:t xml:space="preserve">studied law at Bologna, and after his uncle&apos;s election he</w:t></w:r>
</w:p>
<w:p>
<w:pPr><w:pStyle w:val="Normal"/></w:pPr>
<w:r><w:t xml:space="preserve">was created successively bishop, cardinal and vice-chancellor</w:t></w:r>
</w:p>
<w:p>
<w:pPr><w:pStyle w:val="Normal"/></w:pPr>
<w:r><w:t xml:space="preserve">of the church, an act of nepotism characteristic of the</w:t></w:r>
</w:p>
<w:p>
<w:pPr><w:pStyle w:val="Normal"/></w:pPr>
<w:r><w:t xml:space="preserve">age.  He served in the Curia under five popes and acquired</w:t></w:r>
</w:p>
<w:p>
<w:pPr><w:pStyle w:val="Normal"/></w:pPr>
<w:r><w:t xml:space="preserve">much administrative experience, influence and wealth,</w:t></w:r>
</w:p>
<w:p>
<w:pPr><w:pStyle w:val="Normal"/></w:pPr>
<w:r><w:t xml:space="preserve">although no great power; he was economical in his habits;</w:t></w:r>
</w:p>
<w:p>
<w:pPr><w:pStyle w:val="Normal"/></w:pPr>
<w:r><w:t xml:space="preserve">on occasion he displayed great splendour and lived in a fine</w:t></w:r>
</w:p>
<w:p>
<w:pPr><w:pStyle w:val="Normal"/></w:pPr>
<w:r><w:t xml:space="preserve">palace.  His manners were agreeable and his appearance</w:t></w:r>
</w:p>
<w:p>
<w:pPr><w:pStyle w:val="Normal"/></w:pPr>
<w:r><w:t xml:space="preserve">fascinating, but, like many other prelates of the day, his</w:t></w:r>
</w:p>
<w:p>
<w:pPr><w:pStyle w:val="Normal"/></w:pPr>
<w:r><w:t xml:space="preserve">morals were far from blameless, his two dominant passions</w:t></w:r>
</w:p>
<w:p>
<w:pPr><w:pStyle w:val="Normal"/></w:pPr>
<w:r><w:t xml:space="preserve">being greed of gold and love of women, and he was devotedly</w:t></w:r>
</w:p>
<w:p>
<w:pPr><w:pStyle w:val="Normal"/></w:pPr>
<w:r><w:t xml:space="preserve">fond of the children whom his mistresses bore him.  Although</w:t></w:r>
</w:p>
<w:p>
<w:pPr><w:pStyle w:val="Normal"/></w:pPr>
<w:r><w:t xml:space="preserve">ecclesiastical corruption was then at its height, his</w:t></w:r>
</w:p>
<w:p>
<w:pPr><w:pStyle w:val="Normal"/></w:pPr>
<w:r><w:t xml:space="preserve">riotous mode of life called down upon him a very severe</w:t></w:r>
</w:p>
<w:p>
<w:pPr><w:pStyle w:val="Normal"/></w:pPr>
<w:r><w:t xml:space="preserve">reprimand from Pope Pius II., who succeeded Calixtus III. in</w:t></w:r>
</w:p>
<w:p>
<w:pPr><w:pStyle w:val="Normal"/></w:pPr>
<w:r><w:t xml:space="preserve">1458.  Of his many mistresses the one for whom his passion</w:t></w:r>
</w:p>
<w:p>
<w:pPr><w:pStyle w:val="Normal"/></w:pPr>
<w:r><w:t xml:space="preserve">lasted longest was a certain Vannozza (Giovanna) dei Cattani,</w:t></w:r>
</w:p>
<w:p>
<w:pPr><w:pStyle w:val="Normal"/></w:pPr>
<w:r><w:t xml:space="preserve">born in 1442, and wife of three successive husbands.  The</w:t></w:r>
</w:p>
<w:p>
<w:pPr><w:pStyle w:val="Normal"/></w:pPr>
<w:r><w:t xml:space="preserve">connexion began in 1470, and she bore him many children whom</w:t></w:r>
</w:p>
<w:p>
<w:pPr><w:pStyle w:val="Normal"/></w:pPr>
<w:r><w:t xml:space="preserve">he openly acknowledged as his own: Giovanni, afterwards duke</w:t></w:r>
</w:p>
<w:p>
<w:pPr><w:pStyle w:val="Normal"/></w:pPr>
<w:r><w:t xml:space="preserve">of Gandia (born 1474), Cesare (born 1476), Lucrezia (born</w:t></w:r>
</w:p>
<w:p>
<w:pPr><w:pStyle w:val="Normal"/></w:pPr>
<w:r><w:t xml:space="preserve">1480), and Goffredo or Giuffre (born 1481 or 1482).  His other</w:t></w:r>
</w:p>
<w:p>
<w:pPr><w:pStyle w:val="Normal"/></w:pPr>
<w:r><w:t xml:space="preserve">children--Girolamo, Isabella and Pier Luigi--were of uncertain</w:t></w:r>
</w:p>
<w:p>
<w:pPr><w:pStyle w:val="Normal"/></w:pPr>
<w:r><w:t xml:space="preserve">parentage.  Before his elevation to the papacy Cardinal</w:t></w:r>
</w:p>
<w:p>
<w:pPr><w:pStyle w:val="Normal"/></w:pPr>
<w:r><w:t xml:space="preserve">Borgia&apos;s passion for Vannozza somewhat diminished, and she</w:t></w:r>
</w:p>
<w:p>
<w:pPr><w:pStyle w:val="Normal"/></w:pPr>
<w:r><w:t xml:space="preserve">subsequently led a very retired life.  Her place in his</w:t></w:r>
</w:p>
<w:p>
<w:pPr><w:pStyle w:val="Normal"/></w:pPr>
<w:r><w:t xml:space="preserve">affections was filled by the beautiful Giulia Farnese (Giulia</w:t></w:r>
</w:p>
<w:p>
<w:pPr><w:pStyle w:val="Normal"/></w:pPr>
<w:r><w:t xml:space="preserve">Bella), wife of an Orsini, but his love for his children by</w:t></w:r>
</w:p>
<w:p>
<w:pPr><w:pStyle w:val="Normal"/></w:pPr>
<w:r><w:t xml:space="preserve">Vannozza remained as strong as ever and proved, indeed, the</w:t></w:r>
</w:p>
<w:p>
<w:pPr><w:pStyle w:val="Normal"/></w:pPr>
<w:r><w:t xml:space="preserve">determining factor of his whole career.  He lavished vast sums</w:t></w:r>
</w:p>
<w:p>
<w:pPr><w:pStyle w:val="Normal"/></w:pPr>
<w:r><w:t xml:space="preserve">on them and loaded them with every honour.  A characteristic</w:t></w:r>
</w:p>
<w:p>
<w:pPr><w:pStyle w:val="Normal"/></w:pPr>
<w:r><w:t xml:space="preserve">instance of the corruption of the papal court is the fact that</w:t></w:r>
</w:p>
<w:p>
<w:pPr><w:pStyle w:val="Normal"/></w:pPr>
<w:r><w:t xml:space="preserve">Borgia&apos;s daughter Lucrezia (see BORGIA, LUCREZIA) lived with</w:t></w:r>
</w:p>
<w:p>
<w:pPr><w:pStyle w:val="Normal"/></w:pPr>
<w:r><w:t xml:space="preserve">his mistress Giulia, who bore him a daughter Laura in 1492.</w:t></w:r>
</w:p>
<w:p>
<w:pPr><w:pStyle w:val="Normal"/></w:pPr>
<w:r><w:t xml:space="preserve">On the death of Pope Innocent VIII. the three likely candidates</w:t></w:r>
</w:p>
<w:p>
<w:pPr><w:pStyle w:val="Normal"/></w:pPr>
<w:r><w:t xml:space="preserve">for the Holy See were Cardinals Borgia, Ascanio Sforza and</w:t></w:r>
</w:p>
<w:p>
<w:pPr><w:pStyle w:val="Normal"/></w:pPr>
<w:r><w:t xml:space="preserve">Giuliano della Rovere; at no previous or subsequent election</w:t></w:r>
</w:p>
<w:p>
<w:pPr><w:pStyle w:val="Normal"/></w:pPr>
<w:r><w:t xml:space="preserve">were such immense sums of money spent on bribery, and Borgia</w:t></w:r>
</w:p>
<w:p>
<w:pPr><w:pStyle w:val="Normal"/></w:pPr>
<w:r><w:t xml:space="preserve">by his great wealth succeeded in buying the largest number of</w:t></w:r>
</w:p>
<w:p>
<w:pPr><w:pStyle w:val="Normal"/></w:pPr>
<w:r><w:t xml:space="preserve">votes, including that of Sforza, and to his intense joy he</w:t></w:r>
</w:p>
<w:p>
<w:pPr><w:pStyle w:val="Normal"/></w:pPr>
<w:r><w:t xml:space="preserve">was elected on the 10th of August 1492, assuming the name of</w:t></w:r>
</w:p>
<w:p>
<w:pPr><w:pStyle w:val="Normal"/></w:pPr>
<w:r><w:t xml:space="preserve">Alexander VI. Borgia&apos;s elevation did not at the time excite</w:t></w:r>
</w:p>
<w:p>
<w:pPr><w:pStyle w:val="Normal"/></w:pPr>
<w:r><w:t xml:space="preserve">much alarm, except in some of the cardinals who knew him, and</w:t></w:r>
</w:p>
<w:p>
<w:pPr><w:pStyle w:val="Normal"/></w:pPr>
<w:r><w:t xml:space="preserve">at first his reign was marked by a strict administration of</w:t></w:r>
</w:p>
<w:p>
<w:pPr><w:pStyle w:val="Normal"/></w:pPr>
<w:r><w:t xml:space="preserve">justice and an orderly method of government in satisfactory</w:t></w:r>
</w:p>
<w:p>
<w:pPr><w:pStyle w:val="Normal"/></w:pPr>
<w:r><w:t xml:space="preserve">contrast with the anarchy of the previous pontificate, as</w:t></w:r>
</w:p>
<w:p>
<w:pPr><w:pStyle w:val="Normal"/></w:pPr>
<w:r><w:t xml:space="preserve">well as by great outward splendour.  But it was not long</w:t></w:r>
</w:p>
<w:p>
<w:pPr><w:pStyle w:val="Normal"/></w:pPr>
<w:r><w:t xml:space="preserve">before his unbridled passion for endowing his relatives</w:t></w:r>
</w:p>
<w:p>
<w:pPr><w:pStyle w:val="Normal"/></w:pPr>
<w:r><w:t xml:space="preserve">at the expense of the church and of his neighbours became</w:t></w:r>
</w:p>
<w:p>
<w:pPr><w:pStyle w:val="Normal"/></w:pPr>
<w:r><w:t xml:space="preserve">manifest.  For this object he was ready to commit any crime</w:t></w:r>
</w:p>
<w:p>
<w:pPr><w:pStyle w:val="Normal"/></w:pPr>
<w:r><w:t xml:space="preserve">and to plunge all Italy into war.  Cesare, then a youth</w:t></w:r>
</w:p>
<w:p>
<w:pPr><w:pStyle w:val="Normal"/></w:pPr>
<w:r><w:t xml:space="preserve">of sixteen and a student at Pisa, was made archbishop of</w:t></w:r>
</w:p>
<w:p>
<w:pPr><w:pStyle w:val="Normal"/></w:pPr>
<w:r><w:t xml:space="preserve">Valencia, his nephew Giovanni received a cardinal&apos;s hat,</w:t></w:r>
</w:p>
<w:p>
<w:pPr><w:pStyle w:val="Normal"/></w:pPr>
<w:r><w:t xml:space="preserve">and for the duke of Gandia and Giuffre the pope proposed</w:t></w:r>
</w:p>
<w:p>
<w:pPr><w:pStyle w:val="Normal"/></w:pPr>
<w:r><w:t xml:space="preserve">to carve fiefs out of the papal states and the kingdom of</w:t></w:r>
</w:p>
<w:p>
<w:pPr><w:pStyle w:val="Normal"/></w:pPr>
<w:r><w:t xml:space="preserve">Naples.  Among the fiefs destined for the duke of Gandia</w:t></w:r>
</w:p>
<w:p>
<w:pPr><w:pStyle w:val="Normal"/></w:pPr>
<w:r><w:t xml:space="preserve">were Cervetri and Anguillara, lately acquired by Virginio</w:t></w:r>
</w:p>
<w:p>
<w:pPr><w:pStyle w:val="Normal"/></w:pPr>
<w:r><w:t xml:space="preserve">Orsini, head of that powerful and turbulent house, with the</w:t></w:r>
</w:p>
<w:p>
<w:pPr><w:pStyle w:val="Normal"/></w:pPr>
<w:r><w:t xml:space="preserve">pecuniary help of Ferdinand of Aragon, king of Naples (Don</w:t></w:r>
</w:p>
<w:p>
<w:pPr><w:pStyle w:val="Normal"/></w:pPr>
<w:r><w:t xml:space="preserve">Ferrante).  This brought the latter into conflict with</w:t></w:r>
</w:p>
<w:p>
<w:pPr><w:pStyle w:val="Normal"/></w:pPr>
<w:r><w:t xml:space="preserve">Alexander, who determined to revenge himself by making an</w:t></w:r>
</w:p>
<w:p>
<w:pPr><w:pStyle w:val="Normal"/></w:pPr>
<w:r><w:t xml:space="preserve">alliance with the king&apos;s enemies, especially the Sforza family,</w:t></w:r>
</w:p>
<w:p>
<w:pPr><w:pStyle w:val="Normal"/></w:pPr>
<w:r><w:t xml:space="preserve">lords of Milan.  In this he was opposed by Cardinal della</w:t></w:r>
</w:p>
<w:p>
<w:pPr><w:pStyle w:val="Normal"/></w:pPr>
<w:r><w:t xml:space="preserve">Rovere, whose candidature for the papacy had been backed by</w:t></w:r>
</w:p>
<w:p>
<w:pPr><w:pStyle w:val="Normal"/></w:pPr>
<w:r><w:t xml:space="preserve">Ferdinand.  Della Rovere, feeling that Rome was a dangerous</w:t></w:r>
</w:p>
<w:p>
<w:pPr><w:pStyle w:val="Normal"/></w:pPr>
<w:r><w:t xml:space="preserve">place for him, fortified himself in his bishopric of Ostia at</w:t></w:r>
</w:p>
<w:p>
<w:pPr><w:pStyle w:val="Normal"/></w:pPr>
<w:r><w:t xml:space="preserve">the Tiber&apos;s mouth, while Ferdinand allied himself with Florence,</w:t></w:r>
</w:p>
<w:p>
<w:pPr><w:pStyle w:val="Normal"/></w:pPr>
<w:r><w:t xml:space="preserve">Milan, Venice, and the pope formed a league against Naples</w:t></w:r>
</w:p>
<w:p>
<w:pPr><w:pStyle w:val="Normal"/></w:pPr>
<w:r><w:t xml:space="preserve">(April 25, 1493) and prepared for war.  Ferdinand appealed</w:t></w:r>
</w:p>
<w:p>
<w:pPr><w:pStyle w:val="Normal"/></w:pPr>
<w:r><w:t xml:space="preserve">to Spain for help; but Spain was anxious to be on good terms</w:t></w:r>
</w:p>
<w:p>
<w:pPr><w:pStyle w:val="Normal"/></w:pPr>
<w:r><w:t xml:space="preserve">with the pope to obtain a title over the newly discovered</w:t></w:r>
</w:p>
<w:p>
<w:pPr><w:pStyle w:val="Normal"/></w:pPr>
<w:r><w:t xml:space="preserve">continent of America and could not afford to quarrel with him.</w:t></w:r>
</w:p>
<w:p>
<w:pPr><w:pStyle w:val="Normal"/></w:pPr>
<w:r><w:t xml:space="preserve">Alexander meditated great marriages for his children.  Lucrezia</w:t></w:r>
</w:p>
<w:p>
<w:pPr><w:pStyle w:val="Normal"/></w:pPr>
<w:r><w:t xml:space="preserve">had been married to the Spaniard Don Gasparo de Procida,</w:t></w:r>
</w:p>
<w:p>
<w:pPr><w:pStyle w:val="Normal"/></w:pPr>
<w:r><w:t xml:space="preserve">but on her father&apos;s elevation to the papacy the union was</w:t></w:r>
</w:p>
<w:p>
<w:pPr><w:pStyle w:val="Normal"/></w:pPr>
<w:r><w:t xml:space="preserve">annulled, and in 1493 she was married to Giovanni Sforza. lord</w:t></w:r>
</w:p>
<w:p>
<w:pPr><w:pStyle w:val="Normal"/></w:pPr>
<w:r><w:t xml:space="preserve">of Pesaro, the ceremony being celebrated at the Vatican with</w:t></w:r>
</w:p>
<w:p>
<w:pPr><w:pStyle w:val="Normal"/></w:pPr>
<w:r><w:t xml:space="preserve">unparalleled magnificence.  But in spite of the splendours</w:t></w:r>
</w:p>
<w:p>
<w:pPr><w:pStyle w:val="Normal"/></w:pPr>
<w:r><w:t xml:space="preserve">of the court, the condition of Rome became every day more</w:t></w:r>
</w:p>
<w:p>
<w:pPr><w:pStyle w:val="Normal"/></w:pPr>
<w:r><w:t xml:space="preserve">deplorable.  The city swarmed with Spanish adventurers,</w:t></w:r>
</w:p>
<w:p>
<w:pPr><w:pStyle w:val="Normal"/></w:pPr>
<w:r><w:t xml:space="preserve">assassins, prostitutes and informers; murder and robbery were</w:t></w:r>
</w:p>
<w:p>
<w:pPr><w:pStyle w:val="Normal"/></w:pPr>
<w:r><w:t xml:space="preserve">committed with impunity, heretics and Jews were admitted to</w:t></w:r>
</w:p>
<w:p>
<w:pPr><w:pStyle w:val="Normal"/></w:pPr>
<w:r><w:t xml:space="preserve">the city on payment of bribes, and the pope himself shamelessly</w:t></w:r>
</w:p>
<w:p>
<w:pPr><w:pStyle w:val="Normal"/></w:pPr>
<w:r><w:t xml:space="preserve">cast aside all show of decorum, living a purely secular and</w:t></w:r>
</w:p>
<w:p>
<w:pPr><w:pStyle w:val="Normal"/></w:pPr>
<w:r><w:t xml:space="preserve">immoral life, and indujging in the chase, dancing, stage</w:t></w:r>
</w:p>
<w:p>
<w:pPr><w:pStyle w:val="Normal"/></w:pPr>
<w:r><w:t xml:space="preserve">plays and indecent orgies.  One of his boon companions was</w:t></w:r>
</w:p>
<w:p>
<w:pPr><w:pStyle w:val="Normal"/></w:pPr>
<w:r><w:t xml:space="preserve">Jem, the brother of the sultan Bayezid, detained as a hostage.</w:t></w:r>
</w:p>
<w:p>
<w:pPr><w:pStyle w:val="Normal"/></w:pPr>
<w:r><w:t xml:space="preserve">The general political outlook in Italy was of the gloomiest,</w:t></w:r>
</w:p>
<w:p>
<w:pPr><w:pStyle w:val="Normal"/></w:pPr>
<w:r><w:t xml:space="preserve">and the country was on the eve of the catastrophe of foreign</w:t></w:r>
</w:p>
<w:p>
<w:pPr><w:pStyle w:val="Normal"/></w:pPr>
<w:r><w:t xml:space="preserve">invasion.  At Milan Lodovico Sforza (il Moro) ruled,</w:t></w:r>
</w:p>
<w:p>
<w:pPr><w:pStyle w:val="Normal"/></w:pPr>
<w:r><w:t xml:space="preserve">nominally as regent for the youthful duke Gian Galeazzo,</w:t></w:r>
</w:p>
<w:p>
<w:pPr><w:pStyle w:val="Normal"/></w:pPr>
<w:r><w:t xml:space="preserve">but really with a view to making himself master of the</w:t></w:r>
</w:p>
<w:p>
<w:pPr><w:pStyle w:val="Normal"/></w:pPr>
<w:r><w:t xml:space="preserve">state.  He made many alliances to secure his position, but</w:t></w:r>
</w:p>
<w:p>
<w:pPr><w:pStyle w:val="Normal"/></w:pPr>
<w:r><w:t xml:space="preserve">fearing himself isolated he sought help from Charles VIII. of</w:t></w:r>
</w:p>
<w:p>
<w:pPr><w:pStyle w:val="Normal"/></w:pPr>
<w:r><w:t xml:space="preserve">France, and as the king of Naples threatened to come to the</w:t></w:r>
</w:p>
<w:p>
<w:pPr><w:pStyle w:val="Normal"/></w:pPr>
<w:r><w:t xml:space="preserve">aid of Gian Galeazzo, who had married his grand- daughter, he</w:t></w:r>
</w:p>
<w:p>
<w:pPr><w:pStyle w:val="Normal"/></w:pPr>
<w:r><w:t xml:space="preserve">encouraged the French king in his schemes for the conquest of</w:t></w:r>
</w:p>
<w:p>
<w:pPr><w:pStyle w:val="Normal"/></w:pPr>
<w:r><w:t xml:space="preserve">Naples.  Alexander carried on a double policy, always ready</w:t></w:r>
</w:p>
<w:p>
<w:pPr><w:pStyle w:val="Normal"/></w:pPr>
<w:r><w:t xml:space="preserve">to seize opportunities to aggrandize his family.  But through</w:t></w:r>
</w:p>
<w:p>
<w:pPr><w:pStyle w:val="Normal"/></w:pPr>
<w:r><w:t xml:space="preserve">the intervention of the Spanish ambassador he made peace with</w:t></w:r>
</w:p>
<w:p>
<w:pPr><w:pStyle w:val="Normal"/></w:pPr>
<w:r><w:t xml:space="preserve">Naples in July 1493 and also with the Orsini; the peace was</w:t></w:r>
</w:p>
<w:p>
<w:pPr><w:pStyle w:val="Normal"/></w:pPr>
<w:r><w:t xml:space="preserve">cemented by a marriage between the pope&apos;s son Giuffre and Dona</w:t></w:r>
</w:p>
<w:p>
<w:pPr><w:pStyle w:val="Normal"/></w:pPr>
<w:r><w:t xml:space="preserve">Sancha, Ferdinand&apos;s grand-daughter.  In order to dominate</w:t></w:r>
</w:p>
<w:p>
<w:pPr><w:pStyle w:val="Normal"/></w:pPr>
<w:r><w:t xml:space="preserve">the Sacred College more completely he created twelve new</w:t></w:r>
</w:p>
<w:p>
<w:pPr><w:pStyle w:val="Normal"/></w:pPr>
<w:r><w:t xml:space="preserve">cardinals, among them his own son Cesare, then only eighteen</w:t></w:r>
</w:p>
<w:p>
<w:pPr><w:pStyle w:val="Normal"/></w:pPr>
<w:r><w:t xml:space="preserve">years old, and Alessandro Farnese, the brother of Giulia Bella,</w:t></w:r>
</w:p>
<w:p>
<w:pPr><w:pStyle w:val="Normal"/></w:pPr>
<w:r><w:t xml:space="preserve">one of the pope&apos;s mistresses, creations which caused much</w:t></w:r>
</w:p>
<w:p>
<w:pPr><w:pStyle w:val="Normal"/></w:pPr>
<w:r><w:t xml:space="preserve">scandal.  On the 25th of January 1494 Ferdinand died and</w:t></w:r>
</w:p>
<w:p>
<w:pPr><w:pStyle w:val="Normal"/></w:pPr>
<w:r><w:t xml:space="preserve">was succeeded by his son Alphonso II. Charles of France now</w:t></w:r>
</w:p>
<w:p>
<w:pPr><w:pStyle w:val="Normal"/></w:pPr>
<w:r><w:t xml:space="preserve">advanced formal claims on the kingdom, and Alexander drew</w:t></w:r>
</w:p>
<w:p>
<w:pPr><w:pStyle w:val="Normal"/></w:pPr>
<w:r><w:t xml:space="preserve">him to his side and authorized him to pass through Rome</w:t></w:r>
</w:p>
<w:p>
<w:pPr><w:pStyle w:val="Normal"/></w:pPr>
<w:r><w:t xml:space="preserve">ostensibly on a crusade against the Turks, without mentioning</w:t></w:r>
</w:p>
<w:p>
<w:pPr><w:pStyle w:val="Normal"/></w:pPr>
<w:r><w:t xml:space="preserve">Naples.  But when the French invasion became a reality he was</w:t></w:r>
</w:p>
<w:p>
<w:pPr><w:pStyle w:val="Normal"/></w:pPr>
<w:r><w:t xml:space="preserve">alarmed, recognized Alphonso as king, and concluded an alliance</w:t></w:r>
</w:p>
<w:p>
<w:pPr><w:pStyle w:val="Normal"/></w:pPr>
<w:r><w:t xml:space="preserve">with him in exchange for various fiefs to his sons (July</w:t></w:r>
</w:p>
<w:p>
<w:pPr><w:pStyle w:val="Normal"/></w:pPr>
<w:r><w:t xml:space="preserve">1494).  Preparations for defence were made; a Neapolitan</w:t></w:r>
</w:p>
<w:p>
<w:pPr><w:pStyle w:val="Normal"/></w:pPr>
<w:r><w:t xml:space="preserve">army was to advance through the Romagna and attack Milan,</w:t></w:r>
</w:p>
<w:p>
<w:pPr><w:pStyle w:val="Normal"/></w:pPr>
<w:r><w:t xml:space="preserve">while the fleet was to seize Genoa; but both expeditions</w:t></w:r>
</w:p>
<w:p>
<w:pPr><w:pStyle w:val="Normal"/></w:pPr>
<w:r><w:t xml:space="preserve">were badly conducted and failed, and on the 8th of September</w:t></w:r>
</w:p>
<w:p>
<w:pPr><w:pStyle w:val="Normal"/></w:pPr>
<w:r><w:t xml:space="preserve">Charles crossed the Alps and joined Lodovico il Moro at</w:t></w:r>
</w:p>
<w:p>
<w:pPr><w:pStyle w:val="Normal"/></w:pPr>
<w:r><w:t xml:space="preserve">Milan.  The papal states were in a turmoil, and the powerful</w:t></w:r>
</w:p>
<w:p>
<w:pPr><w:pStyle w:val="Normal"/></w:pPr>
<w:r><w:t xml:space="preserve">Colonna faction seized Ostia in the name of France.  Charles</w:t></w:r>
</w:p>
<w:p>
<w:pPr><w:pStyle w:val="Normal"/></w:pPr>
<w:r><w:t xml:space="preserve">rapidly advanced southward, and after a short stay in Florence</w:t></w:r>
</w:p>
<w:p>
<w:pPr><w:pStyle w:val="Normal"/></w:pPr>
<w:r><w:t xml:space="preserve">set out for Rome (November 1494).  Alexander appealed to</w:t></w:r>
</w:p>
<w:p>
<w:pPr><w:pStyle w:val="Normal"/></w:pPr>
<w:r><w:t xml:space="preserve">Ascanio Sforza for help, and even to the sultan.  He tried</w:t></w:r>
</w:p>
<w:p>
<w:pPr><w:pStyle w:val="Normal"/></w:pPr>
<w:r><w:t xml:space="preserve">to collect troops and put Rome in a state of defence, but his</w:t></w:r>
</w:p>
<w:p>
<w:pPr><w:pStyle w:val="Normal"/></w:pPr>
<w:r><w:t xml:space="preserve">position was most insecure, and the Orsini offered to admit</w:t></w:r>
</w:p>
<w:p>
<w:pPr><w:pStyle w:val="Normal"/></w:pPr>
<w:r><w:t xml:space="preserve">the French to their castles.  This defection decided the</w:t></w:r>
</w:p>
<w:p>
<w:pPr><w:pStyle w:val="Normal"/></w:pPr>
<w:r><w:t xml:space="preserve">pope to come to terms, and on the 31st of December Charles</w:t></w:r>
</w:p>
<w:p>
<w:pPr><w:pStyle w:val="Normal"/></w:pPr>
<w:r><w:t xml:space="preserve">entered Rome with his troops and the cardinals of the French</w:t></w:r>
</w:p>
<w:p>
<w:pPr><w:pStyle w:val="Normal"/></w:pPr>
<w:r><w:t xml:space="preserve">faction.  Alexander now feared that the king might depose him</w:t></w:r>
</w:p>
<w:p>
<w:pPr><w:pStyle w:val="Normal"/></w:pPr>
<w:r><w:t xml:space="preserve">for simony and summon a council, but he won over the bishop of St</w:t></w:r>
</w:p>
<w:p>
<w:pPr><w:pStyle w:val="Normal"/></w:pPr>
<w:r><w:t xml:space="preserve">Malo, who had much influence over the king, with a cardinal&apos;s</w:t></w:r>
</w:p>
<w:p>
<w:pPr><w:pStyle w:val="Normal"/></w:pPr>
<w:r><w:t xml:space="preserve">hat, and agreed to send Cesare, as legate, to Naples with</w:t></w:r>
</w:p>
<w:p>
<w:pPr><w:pStyle w:val="Normal"/></w:pPr>
<w:r><w:t xml:space="preserve">the French army, to deliver Jem to Charles and to give him</w:t></w:r>
</w:p>
<w:p>
<w:pPr><w:pStyle w:val="Normal"/></w:pPr>
<w:r><w:t xml:space="preserve">Civitavecchia (January 16, 1495).  On the 28th Charles departed</w:t></w:r>
</w:p>
<w:p>
<w:pPr><w:pStyle w:val="Normal"/></w:pPr>
<w:r><w:t xml:space="preserve">for Naples with Jem and Cesare, but the latter escaped to</w:t></w:r>
</w:p>
<w:p>
<w:pPr><w:pStyle w:val="Normal"/></w:pPr>
<w:r><w:t xml:space="preserve">Spoleto.  Neapolitan resistance collapsed; Alphonso fled and</w:t></w:r>
</w:p>
<w:p>
<w:pPr><w:pStyle w:val="Normal"/></w:pPr>
<w:r><w:t xml:space="preserve">abdicated in favour of his son Ferdinand II., who also had</w:t></w:r>
</w:p>
<w:p>
<w:pPr><w:pStyle w:val="Normal"/></w:pPr>
<w:r><w:t xml:space="preserve">to fly abandoned by all, and the kingdom was conquered with</w:t></w:r>
</w:p>
<w:p>
<w:pPr><w:pStyle w:val="Normal"/></w:pPr>
<w:r><w:t xml:space="preserve">surprising ease.  But a reaction against Charles soon set</w:t></w:r>
</w:p>
<w:p>
<w:pPr><w:pStyle w:val="Normal"/></w:pPr>
<w:r><w:t xml:space="preserve">in, for all the powers were alarmed at his success, and on</w:t></w:r>
</w:p>
<w:p>
<w:pPr><w:pStyle w:val="Normal"/></w:pPr>
<w:r><w:t xml:space="preserve">the 31st of March a league between the pope, the emperor,</w:t></w:r>
</w:p>
<w:p>
<w:pPr><w:pStyle w:val="Normal"/></w:pPr>
<w:r><w:t xml:space="preserve">Venice, Lodovico il Moro and Ferdinand of Spain was formed,</w:t></w:r>
</w:p>
<w:p>
<w:pPr><w:pStyle w:val="Normal"/></w:pPr>
<w:r><w:t xml:space="preserve">ostensibly against the Turks, but in reality to expel the</w:t></w:r>
</w:p>
<w:p>
<w:pPr><w:pStyle w:val="Normal"/></w:pPr>
<w:r><w:t xml:space="preserve">French from Italy.  Charles had himself crowned king of Naples</w:t></w:r>
</w:p>
<w:p>
<w:pPr><w:pStyle w:val="Normal"/></w:pPr>
<w:r><w:t xml:space="preserve">on the 12th of May, but a few days later began his retreat</w:t></w:r>
</w:p>
<w:p>
<w:pPr><w:pStyle w:val="Normal"/></w:pPr>
<w:r><w:t xml:space="preserve">northward.  He encountered the allies at Fornovo, and after a</w:t></w:r>
</w:p>
<w:p>
<w:pPr><w:pStyle w:val="Normal"/></w:pPr>
<w:r><w:t xml:space="preserve">drawn battle cut his way through them and was back in France</w:t></w:r>
</w:p>
<w:p>
<w:pPr><w:pStyle w:val="Normal"/></w:pPr>
<w:r><w:t xml:space="preserve">by November; Ferdinand II. with Spanish help was reinstated</w:t></w:r>
</w:p>
<w:p>
<w:pPr><w:pStyle w:val="Normal"/></w:pPr>
<w:r><w:t xml:space="preserve">at Naples soon afterwards.  The expedition, if it produced</w:t></w:r>
</w:p>
<w:p>
<w:pPr><w:pStyle w:val="Normal"/></w:pPr>
<w:r><w:t xml:space="preserve">no material results, laid bare the weakness of the Italian</w:t></w:r>
</w:p>
<w:p>
<w:pPr><w:pStyle w:val="Normal"/></w:pPr>
<w:r><w:t xml:space="preserve">political system and the country&apos;s incapacity for resistance.</w:t></w:r>
</w:p>
<w:p>
<w:pPr><w:pStyle w:val="Normal"/></w:pPr>
<w:r><w:t xml:space="preserve">Alexander availed himself of the defeat of the French to</w:t></w:r>
</w:p>
<w:p>
<w:pPr><w:pStyle w:val="Normal"/></w:pPr>
<w:r><w:t xml:space="preserve">break the power of the Orsini, following the general tendency</w:t></w:r>
</w:p>
<w:p>
<w:pPr><w:pStyle w:val="Normal"/></w:pPr>
<w:r><w:t xml:space="preserve">of all the princes of the day to crush the great feudatories</w:t></w:r>
</w:p>
<w:p>
<w:pPr><w:pStyle w:val="Normal"/></w:pPr>
<w:r><w:t xml:space="preserve">and establish a centralized despotism.  Virginio Orsini,</w:t></w:r>
</w:p>
<w:p>
<w:pPr><w:pStyle w:val="Normal"/></w:pPr>
<w:r><w:t xml:space="preserve">who had been captured by the Spaniards, died a prisoner at</w:t></w:r>
</w:p>
<w:p>
<w:pPr><w:pStyle w:val="Normal"/></w:pPr>
<w:r><w:t xml:space="preserve">Naples, and the pope confiscated his property.  But the</w:t></w:r>
</w:p>
<w:p>
<w:pPr><w:pStyle w:val="Normal"/></w:pPr>
<w:r><w:t xml:space="preserve">rest of the clan still held out, and the papal troops sent</w:t></w:r>
</w:p>
<w:p>
<w:pPr><w:pStyle w:val="Normal"/></w:pPr>
<w:r><w:t xml:space="preserve">against them under Guidobaldo duke of Urbino and the duke of</w:t></w:r>
</w:p>
<w:p>
<w:pPr><w:pStyle w:val="Normal"/></w:pPr>
<w:r><w:t xml:space="preserve">Gandia were defeated at Soriano (January 1497).  Peace was</w:t></w:r>
</w:p>
<w:p>
<w:pPr><w:pStyle w:val="Normal"/></w:pPr>
<w:r><w:t xml:space="preserve">made through Venetian mediation, the Orsini paying 50,000</w:t></w:r>
</w:p>
<w:p>
<w:pPr><w:pStyle w:val="Normal"/></w:pPr>
<w:r><w:t xml:space="preserve">ducats in exchange for their confiscated lands; the duke of</w:t></w:r>
</w:p>
<w:p>
<w:pPr><w:pStyle w:val="Normal"/></w:pPr>
<w:r><w:t xml:space="preserve">Urbino, whom they had captured, was left by the pope to pay</w:t></w:r>
</w:p>
<w:p>
<w:pPr><w:pStyle w:val="Normal"/></w:pPr>
<w:r><w:t xml:space="preserve">his own ransom.  The Orsini still remained very powerful,</w:t></w:r>
</w:p>
<w:p>
<w:pPr><w:pStyle w:val="Normal"/></w:pPr>
<w:r><w:t xml:space="preserve">and Alexander could count on none but his 3000 Spaniards.</w:t></w:r>
</w:p>
<w:p>
<w:pPr><w:pStyle w:val="Normal"/></w:pPr>
<w:r><w:t xml:space="preserve">His only success had been the capture of Ostia and the</w:t></w:r>
</w:p>
<w:p>
<w:pPr><w:pStyle w:val="Normal"/></w:pPr>
<w:r><w:t xml:space="preserve">submission of the Francophile cardinals Colonna and Savelli.</w:t></w:r>
</w:p>
<w:p>
<w:pPr><w:pStyle w:val="Normal"/></w:pPr>
<w:r><w:t xml:space="preserve">Now occurred the first of those ugly domestic tragedies for</w:t></w:r>
</w:p>
<w:p>
<w:pPr><w:pStyle w:val="Normal"/></w:pPr>
<w:r><w:t xml:space="preserve">which the house of Borgia remained famous.  On the 14th of</w:t></w:r>
</w:p>
<w:p>
<w:pPr><w:pStyle w:val="Normal"/></w:pPr>
<w:r><w:t xml:space="preserve">June the duke of Gandia, lately created duke of Benevento,</w:t></w:r>
</w:p>
<w:p>
<w:pPr><w:pStyle w:val="Normal"/></w:pPr>
<w:r><w:t xml:space="preserve">disappeared; the next day his corpse was found in the Tiber.</w:t></w:r>
</w:p>
<w:p>
<w:pPr><w:pStyle w:val="Normal"/></w:pPr>
<w:r><w:t xml:space="preserve">Alexander, overwhelmed with grief, shut himself up in Castle</w:t></w:r>
</w:p>
<w:p>
<w:pPr><w:pStyle w:val="Normal"/></w:pPr>
<w:r><w:t xml:space="preserve">St Angelo, and then declared that the reform of the church</w:t></w:r>
</w:p>
<w:p>
<w:pPr><w:pStyle w:val="Normal"/></w:pPr>
<w:r><w:t xml:space="preserve">would be the sole object of his life henceforth--a resolution</w:t></w:r>
</w:p>
<w:p>
<w:pPr><w:pStyle w:val="Normal"/></w:pPr>
<w:r><w:t xml:space="preserve">which he did not keep.  Every effort was made to discover</w:t></w:r>
</w:p>
<w:p>
<w:pPr><w:pStyle w:val="Normal"/></w:pPr>
<w:r><w:t xml:space="preserve">the assassin, and suspicion fell on various highly placed</w:t></w:r>
</w:p>
<w:p>
<w:pPr><w:pStyle w:val="Normal"/></w:pPr>
<w:r><w:t xml:space="preserve">personages.  Suddenly the rumour spread about that Cesare, the</w:t></w:r>
</w:p>
<w:p>
<w:pPr><w:pStyle w:val="Normal"/></w:pPr>
<w:r><w:t xml:space="preserve">pope&apos;s second son, was the author of the deed, and although the</w:t></w:r>
</w:p>
<w:p>
<w:pPr><w:pStyle w:val="Normal"/></w:pPr>
<w:r><w:t xml:space="preserve">inquiries then ceased and no conclusive evidence has yet come</w:t></w:r>
</w:p>
<w:p>
<w:pPr><w:pStyle w:val="Normal"/></w:pPr>
<w:r><w:t xml:space="preserve">to light, there is every probability that the charge was well</w:t></w:r>
</w:p>
<w:p>
<w:pPr><w:pStyle w:val="Normal"/></w:pPr>
<w:r><w:t xml:space="preserve">founded.  No doubt Cesare, who contemplated quitting the</w:t></w:r>
</w:p>
<w:p>
<w:pPr><w:pStyle w:val="Normal"/></w:pPr>
<w:r><w:t xml:space="preserve">church, was inspired by jealousy. of Gandia&apos;s influence with</w:t></w:r>
</w:p>
<w:p>
<w:pPr><w:pStyle w:val="Normal"/></w:pPr>
<w:r><w:t xml:space="preserve">the pope.  Violent and revengeful, he now became the most</w:t></w:r>
</w:p>
<w:p>
<w:pPr><w:pStyle w:val="Normal"/></w:pPr>
<w:r><w:t xml:space="preserve">powerful man in Rome, and even his father quailed before</w:t></w:r>
</w:p>
<w:p>
<w:pPr><w:pStyle w:val="Normal"/></w:pPr>
<w:r><w:t xml:space="preserve">him.  As he needed funds to carry out his various schemes,</w:t></w:r>
</w:p>
<w:p>
<w:pPr><w:pStyle w:val="Normal"/></w:pPr>
<w:r><w:t xml:space="preserve">the pope began a series of confiscations, of which one of the</w:t></w:r>
</w:p>
<w:p>
<w:pPr><w:pStyle w:val="Normal"/></w:pPr>
<w:r><w:t xml:space="preserve">victims was his own secretary, in order to enrich him.  The</w:t></w:r>
</w:p>
<w:p>
<w:pPr><w:pStyle w:val="Normal"/></w:pPr>
<w:r><w:t xml:space="preserve">process was a simple one: any cardinal, nobleman or official</w:t></w:r>
</w:p>
<w:p>
<w:pPr><w:pStyle w:val="Normal"/></w:pPr>
<w:r><w:t xml:space="preserve">who was known to be rich would be accused of some offence;</w:t></w:r>
</w:p>
<w:p>
<w:pPr><w:pStyle w:val="Normal"/></w:pPr>
<w:r><w:t xml:space="preserve">imprisonment and perhaps murder followed at once, and then</w:t></w:r>
</w:p>
<w:p>
<w:pPr><w:pStyle w:val="Normal"/></w:pPr>
<w:r><w:t xml:space="preserve">the confiscation of his property.  The disorganization of the</w:t></w:r>
</w:p>
<w:p>
<w:pPr><w:pStyle w:val="Normal"/></w:pPr>
<w:r><w:t xml:space="preserve">Curia was appalling, the sale of offices became a veritable</w:t></w:r>
</w:p>
<w:p>
<w:pPr><w:pStyle w:val="Normal"/></w:pPr>
<w:r><w:t xml:space="preserve">scandal, the least opposition to the Borgia was punished</w:t></w:r>
</w:p>
<w:p>
<w:pPr><w:pStyle w:val="Normal"/></w:pPr>
<w:r><w:t xml:space="preserve">with death, and even in that corrupt age the state of things</w:t></w:r>
</w:p>
<w:p>
<w:pPr><w:pStyle w:val="Normal"/></w:pPr>
<w:r><w:t xml:space="preserve">shocked public opinion.  The story of Alexander&apos;s relations</w:t></w:r>
</w:p>
<w:p>
<w:pPr><w:pStyle w:val="Normal"/></w:pPr>
<w:r><w:t xml:space="preserve">with Savonarola is narrated under the latter heading; it is</w:t></w:r>
</w:p>
<w:p>
<w:pPr><w:pStyle w:val="Normal"/></w:pPr>
<w:r><w:t xml:space="preserve">sufficient to say here that the pope&apos;s hostility was due to</w:t></w:r>
</w:p>
<w:p>
<w:pPr><w:pStyle w:val="Normal"/></w:pPr>
<w:r><w:t xml:space="preserve">the friar&apos;s outspoken invectives against papal corruption and</w:t></w:r>
</w:p>
<w:p>
<w:pPr><w:pStyle w:val="Normal"/></w:pPr>
<w:r><w:t xml:space="preserve">to his appeals for a General Council.  Alexander, although</w:t></w:r>
</w:p>
<w:p>
<w:pPr><w:pStyle w:val="Normal"/></w:pPr>
<w:r><w:t xml:space="preserve">he could not get Savonarola into his own hands, browbeat the</w:t></w:r>
</w:p>
<w:p>
<w:pPr><w:pStyle w:val="Normal"/></w:pPr>
<w:r><w:t xml:space="preserve">Florentine government into condemning the reformer to death</w:t></w:r>
</w:p>
<w:p>
<w:pPr><w:pStyle w:val="Normal"/></w:pPr>
<w:r><w:t xml:space="preserve">(May 23, 1498).  The pope was unable to maintain order in</w:t></w:r>
</w:p>
<w:p>
<w:pPr><w:pStyle w:val="Normal"/></w:pPr>
<w:r><w:t xml:space="preserve">his own dominions; the houses of Colonna and Orsini were at</w:t></w:r>
</w:p>
<w:p>
<w:pPr><w:pStyle w:val="Normal"/></w:pPr>
<w:r><w:t xml:space="preserve">open war with each other, but after much fighting they made</w:t></w:r>
</w:p>
<w:p>
<w:pPr><w:pStyle w:val="Normal"/></w:pPr>
<w:r><w:t xml:space="preserve">peace on a basis of alliance against the pope.  Thus further</w:t></w:r>
</w:p>
<w:p>
<w:pPr><w:pStyle w:val="Normal"/></w:pPr>
<w:r><w:t xml:space="preserve">weakened, he felt more than ever that he had only his own</w:t></w:r>
</w:p>
<w:p>
<w:pPr><w:pStyle w:val="Normal"/></w:pPr>
<w:r><w:t xml:space="preserve">kin to rely upon, and his thoughts were ever turned on family</w:t></w:r>
</w:p>
<w:p>
<w:pPr><w:pStyle w:val="Normal"/></w:pPr>
<w:r><w:t xml:space="preserve">aggrandizement.  He had annulled Lucrezia&apos;s marriage with Sforza</w:t></w:r>
</w:p>
<w:p>
<w:pPr><w:pStyle w:val="Normal"/></w:pPr>
<w:r><w:t xml:space="preserve">in 1497, and, unable to arrange a union between Cesare and</w:t></w:r>
</w:p>
<w:p>
<w:pPr><w:pStyle w:val="Normal"/></w:pPr>
<w:r><w:t xml:space="preserve">the daughter of Frederick, king of Naples (who had succeeded</w:t></w:r>
</w:p>
<w:p>
<w:pPr><w:pStyle w:val="Normal"/></w:pPr>
<w:r><w:t xml:space="preserve">Ferdinand II. the previous year), he induced the latter by</w:t></w:r>
</w:p>
<w:p>
<w:pPr><w:pStyle w:val="Normal"/></w:pPr>
<w:r><w:t xml:space="preserve">threats to agree to a marriage between the duke of Bisceglie,</w:t></w:r>
</w:p>
<w:p>
<w:pPr><w:pStyle w:val="Normal"/></w:pPr>
<w:r><w:t xml:space="preserve">a natural son of Alphonso II., and Lucrezia.  Cesare, who</w:t></w:r>
</w:p>
<w:p>
<w:pPr><w:pStyle w:val="Normal"/></w:pPr>
<w:r><w:t xml:space="preserve">renounced his cardinalate, was sent on a mission to France</w:t></w:r>
</w:p>
<w:p>
<w:pPr><w:pStyle w:val="Normal"/></w:pPr>
<w:r><w:t xml:space="preserve">at the end of the year, bearing a bull of divorce for the</w:t></w:r>
</w:p>
<w:p>
<w:pPr><w:pStyle w:val="Normal"/></w:pPr>
<w:r><w:t xml:space="preserve">new king Louis XII., in exchange for which he obtained the</w:t></w:r>
</w:p>
<w:p>
<w:pPr><w:pStyle w:val="Normal"/></w:pPr>
<w:r><w:t xml:space="preserve">duchy of Valentinois (hence his title of Duca Valentino) and</w:t></w:r>
</w:p>
<w:p>
<w:pPr><w:pStyle w:val="Normal"/></w:pPr>
<w:r><w:t xml:space="preserve">a promise of material assistance in his schemes to subjugate</w:t></w:r>
</w:p>
<w:p>
<w:pPr><w:pStyle w:val="Normal"/></w:pPr>
<w:r><w:t xml:space="preserve">the feudal princelings of Romagna; he married a princess of</w:t></w:r>
</w:p>
<w:p>
<w:pPr><w:pStyle w:val="Normal"/></w:pPr>
<w:r><w:t xml:space="preserve">Navarre.  Alexander hoped that Louis&apos;s help would be more</w:t></w:r>
</w:p>
<w:p>
<w:pPr><w:pStyle w:val="Normal"/></w:pPr>
<w:r><w:t xml:space="preserve">profitable to his house than that of Charles had been and,</w:t></w:r>
</w:p>
<w:p>
<w:pPr><w:pStyle w:val="Normal"/></w:pPr>
<w:r><w:t xml:space="preserve">in spite of the remonstrances of Spain and of the Sforza, he</w:t></w:r>
</w:p>
<w:p>
<w:pPr><w:pStyle w:val="Normal"/></w:pPr>
<w:r><w:t xml:space="preserve">allied himself with France in January 1499 and was joined by</w:t></w:r>
</w:p>
<w:p>
<w:pPr><w:pStyle w:val="Normal"/></w:pPr>
<w:r><w:t xml:space="preserve">Venice.  By the autumn Louis was in Italy and expelled</w:t></w:r>
</w:p>
<w:p>
<w:pPr><w:pStyle w:val="Normal"/></w:pPr>
<w:r><w:t xml:space="preserve">Lodovico Sforza from the Milanese.  In order to consolidate</w:t></w:r>
</w:p>
<w:p>
<w:pPr><w:pStyle w:val="Normal"/></w:pPr>
<w:r><w:t xml:space="preserve">his possessions still further, now that French success seemed</w:t></w:r>
</w:p>
<w:p>
<w:pPr><w:pStyle w:val="Normal"/></w:pPr>
<w:r><w:t xml:space="preserve">assured, the pope determined to deal drastically with Romagna,</w:t></w:r>
</w:p>
<w:p>
<w:pPr><w:pStyle w:val="Normal"/></w:pPr>
<w:r><w:t xml:space="preserve">which although nominally under papal rule was divided up</w:t></w:r>
</w:p>
<w:p>
<w:pPr><w:pStyle w:val="Normal"/></w:pPr>
<w:r><w:t xml:space="preserve">into a number of practically independent lordships on which</w:t></w:r>
</w:p>
<w:p>
<w:pPr><w:pStyle w:val="Normal"/></w:pPr>
<w:r><w:t xml:space="preserve">Venice, Milan and Florence cast hungry eyes.  Cesare, nominated</w:t></w:r>
</w:p>
<w:p>
<w:pPr><w:pStyle w:val="Normal"/></w:pPr>
<w:r><w:t xml:space="preserve">gonfaloniere of the Church, and strong in French favour,</w:t></w:r>
</w:p>
<w:p>
<w:pPr><w:pStyle w:val="Normal"/></w:pPr>
<w:r><w:t xml:space="preserve">proceeded to attack the turbulent cities one by one (for</w:t></w:r>
</w:p>
<w:p>
<w:pPr><w:pStyle w:val="Normal"/></w:pPr>
<w:r><w:t xml:space="preserve">detail see BORGIA CESARE.) But the expulsion of the French</w:t></w:r>
</w:p>
<w:p>
<w:pPr><w:pStyle w:val="Normal"/></w:pPr>
<w:r><w:t xml:space="preserve">from Milan and the return of Lodovico Sforza interrupted his</w:t></w:r>
</w:p>
<w:p>
<w:pPr><w:pStyle w:val="Normal"/></w:pPr>
<w:r><w:t xml:space="preserve">conquests, and he returned to Rome early in 1500.  This year</w:t></w:r>
</w:p>
<w:p>
<w:pPr><w:pStyle w:val="Normal"/></w:pPr>
<w:r><w:t xml:space="preserve">was a jubilee year, and crowds of pilgrims flocked to the city</w:t></w:r>
</w:p>
<w:p>
<w:pPr><w:pStyle w:val="Normal"/></w:pPr>
<w:r><w:t xml:space="preserve">from all parts of the world bringing money for the purchase</w:t></w:r>
</w:p>
<w:p>
<w:pPr><w:pStyle w:val="Normal"/></w:pPr>
<w:r><w:t xml:space="preserve">of indulgences, so that Alexander was able to furnish Cesare</w:t></w:r>
</w:p>
<w:p>
<w:pPr><w:pStyle w:val="Normal"/></w:pPr>
<w:r><w:t xml:space="preserve">with funds for his enterprise.  In the north the pendulum</w:t></w:r>
</w:p>
<w:p>
<w:pPr><w:pStyle w:val="Normal"/></w:pPr>
<w:r><w:t xml:space="preserve">swung back once more and the French reoccupied Milan in April,</w:t></w:r>
</w:p>
<w:p>
<w:pPr><w:pStyle w:val="Normal"/></w:pPr>
<w:r><w:t xml:space="preserve">causing the downfall of the Sforzas, much to Alexander&apos;s</w:t></w:r>
</w:p>
<w:p>
<w:pPr><w:pStyle w:val="Normal"/></w:pPr>
<w:r><w:t xml:space="preserve">gratification.  But there was no end to the Vatican tragedies,</w:t></w:r>
</w:p>
<w:p>
<w:pPr><w:pStyle w:val="Normal"/></w:pPr>
<w:r><w:t xml:space="preserve">and in July the duke of Bisceglie, whose existence was no</w:t></w:r>
</w:p>
<w:p>
<w:pPr><w:pStyle w:val="Normal"/></w:pPr>
<w:r><w:t xml:space="preserve">longer advantageous, was murdered by Cesare&apos;s orders; this</w:t></w:r>
</w:p>
<w:p>
<w:pPr><w:pStyle w:val="Normal"/></w:pPr>
<w:r><w:t xml:space="preserve">left Lucrezia free to contract another marriage.  The pope,</w:t></w:r>
</w:p>
<w:p>
<w:pPr><w:pStyle w:val="Normal"/></w:pPr>
<w:r><w:t xml:space="preserve">ever in need of money, now created twelve new cardinals,</w:t></w:r>
</w:p>
<w:p>
<w:pPr><w:pStyle w:val="Normal"/></w:pPr>
<w:r><w:t xml:space="preserve">from whom he received 120,000 ducats, and fresh conquests</w:t></w:r>
</w:p>
<w:p>
<w:pPr><w:pStyle w:val="Normal"/></w:pPr>
<w:r><w:t xml:space="preserve">for Cesare were considered.  But while a crusade was talked</w:t></w:r>
</w:p>
<w:p>
<w:pPr><w:pStyle w:val="Normal"/></w:pPr>
<w:r><w:t xml:space="preserve">of, the real object was central Italy, and in the autumn</w:t></w:r>
</w:p>
<w:p>
<w:pPr><w:pStyle w:val="Normal"/></w:pPr>
<w:r><w:t xml:space="preserve">Cesare, favoured by France and Venice, set forth with 10,000</w:t></w:r>
</w:p>
<w:p>
<w:pPr><w:pStyle w:val="Normal"/></w:pPr>
<w:r><w:t xml:space="preserve">men to complete his interrupted enterprise.  The local despots</w:t></w:r>
</w:p>
<w:p>
<w:pPr><w:pStyle w:val="Normal"/></w:pPr>
<w:r><w:t xml:space="preserve">of Romagna were dispossessed and an administration was set</w:t></w:r>
</w:p>
<w:p>
<w:pPr><w:pStyle w:val="Normal"/></w:pPr>
<w:r><w:t xml:space="preserve">up, which, if tyrannical and cruel, was at least orderly and</w:t></w:r>
</w:p>
<w:p>
<w:pPr><w:pStyle w:val="Normal"/></w:pPr>
<w:r><w:t xml:space="preserve">strong, and aroused the admiration of Machiavelli (q.v..)</w:t></w:r>
</w:p>
<w:p>
<w:pPr><w:pStyle w:val="Normal"/></w:pPr>
<w:r><w:t xml:space="preserve">On his return to Rome (June 1501) he was created duke of</w:t></w:r>
</w:p>
<w:p>
<w:pPr><w:pStyle w:val="Normal"/></w:pPr>
<w:r><w:t xml:space="preserve">Romagna.  Louis XII., having succeeded in the north, determined</w:t></w:r>
</w:p>
<w:p>
<w:pPr><w:pStyle w:val="Normal"/></w:pPr>
<w:r><w:t xml:space="preserve">to conquer southern Italy as well, and concluded a treaty</w:t></w:r>
</w:p>
<w:p>
<w:pPr><w:pStyle w:val="Normal"/></w:pPr>
<w:r><w:t xml:space="preserve">with Spain for the division of the Neapolitan kingdom, which</w:t></w:r>
</w:p>
<w:p>
<w:pPr><w:pStyle w:val="Normal"/></w:pPr>
<w:r><w:t xml:space="preserve">was ratified by the pope on the 25th of June, Frederick</w:t></w:r>
</w:p>
<w:p>
<w:pPr><w:pStyle w:val="Normal"/></w:pPr>
<w:r><w:t xml:space="preserve">being formally deposed.  The French army proceeded to invade</w:t></w:r>
</w:p>
<w:p>
<w:pPr><w:pStyle w:val="Normal"/></w:pPr>
<w:r><w:t xml:space="preserve">Naples, and Alexander took the opportunity, with the help</w:t></w:r>
</w:p>
<w:p>
<w:pPr><w:pStyle w:val="Normal"/></w:pPr>
<w:r><w:t xml:space="preserve">of the Orsini, to reduce the Colonna to obedience.  In his</w:t></w:r>
</w:p>
<w:p>
<w:pPr><w:pStyle w:val="Normal"/></w:pPr>
<w:r><w:t xml:space="preserve">absence he left Lucrezia as regent, offering the astounding</w:t></w:r>
</w:p>
<w:p>
<w:pPr><w:pStyle w:val="Normal"/></w:pPr>
<w:r><w:t xml:space="preserve">spectacle of a pope&apos;s natural daughter in charge of the Holy</w:t></w:r>
</w:p>
<w:p>
<w:pPr><w:pStyle w:val="Normal"/></w:pPr>
<w:r><w:t xml:space="preserve">See. Shortly afterwards he induced Alphonso d&apos;Este, son of</w:t></w:r>
</w:p>
<w:p>
<w:pPr><w:pStyle w:val="Normal"/></w:pPr>
<w:r><w:t xml:space="preserve">the duke of Ferrara, to marry her, thus establishing her</w:t></w:r>
</w:p>
<w:p>
<w:pPr><w:pStyle w:val="Normal"/></w:pPr>
<w:r><w:t xml:space="preserve">as heiress to one of the most important principalities in</w:t></w:r>
</w:p>
<w:p>
<w:pPr><w:pStyle w:val="Normal"/></w:pPr>
<w:r><w:t xml:space="preserve">Italy (January 1502).  About this time a Borgia of doubtful</w:t></w:r>
</w:p>
<w:p>
<w:pPr><w:pStyle w:val="Normal"/></w:pPr>
<w:r><w:t xml:space="preserve">parentage was born, Giovanni, described in some papal</w:t></w:r>
</w:p>
<w:p>
<w:pPr><w:pStyle w:val="Normal"/></w:pPr>
<w:r><w:t xml:space="preserve">documents as Alexander&apos;s son and in others as Cesare&apos;s.</w:t></w:r>
</w:p>
<w:p>
<w:pPr><w:pStyle w:val="Normal"/></w:pPr>
<w:r><w:t xml:space="preserve">As France and Spain were quarrelling over the division of</w:t></w:r>
</w:p>
<w:p>
<w:pPr><w:pStyle w:val="Normal"/></w:pPr>
<w:r><w:t xml:space="preserve">Naples and the Campagna barons were quiet, Cesare set out once</w:t></w:r>
</w:p>
<w:p>
<w:pPr><w:pStyle w:val="Normal"/></w:pPr>
<w:r><w:t xml:space="preserve">more in search of conquests.  In June he seized Camerino and</w:t></w:r>
</w:p>
<w:p>
<w:pPr><w:pStyle w:val="Normal"/></w:pPr>
<w:r><w:t xml:space="preserve">Urbino, the news of which capture filled the pope with childish</w:t></w:r>
</w:p>
<w:p>
<w:pPr><w:pStyle w:val="Normal"/></w:pPr>
<w:r><w:t xml:space="preserve">joy.  But his military force was uncertain, for the condottieri</w:t></w:r>
</w:p>
<w:p>
<w:pPr><w:pStyle w:val="Normal"/></w:pPr>
<w:r><w:t xml:space="preserve">were not to be trusted.  His attempt to draw Florence into an</w:t></w:r>
</w:p>
<w:p>
<w:pPr><w:pStyle w:val="Normal"/></w:pPr>
<w:r><w:t xml:space="preserve">alliance failed, but in July Louis of France again invaded Italy</w:t></w:r>
</w:p>
<w:p>
<w:pPr><w:pStyle w:val="Normal"/></w:pPr>
<w:r><w:t xml:space="preserve">and was at once bombarded with complaints from the Borgia&apos;s</w:t></w:r>
</w:p>
<w:p>
<w:pPr><w:pStyle w:val="Normal"/></w:pPr>
<w:r><w:t xml:space="preserve">enemies.  Alexander&apos;s diplomacy, however, turned the tide, and</w:t></w:r>
</w:p>
<w:p>
<w:pPr><w:pStyle w:val="Normal"/></w:pPr>
<w:r><w:t xml:space="preserve">Cesare, in exchange for promising to assist the French in the</w:t></w:r>
</w:p>
<w:p>
<w:pPr><w:pStyle w:val="Normal"/></w:pPr>
<w:r><w:t xml:space="preserve">south, was given a free hand in central Italy.  A new danger</w:t></w:r>
</w:p>
<w:p>
<w:pPr><w:pStyle w:val="Normal"/></w:pPr>
<w:r><w:t xml:space="preserve">now arose in the shape of a conspiracy against him on the</w:t></w:r>
</w:p>
<w:p>
<w:pPr><w:pStyle w:val="Heading1"/></w:pPr>
<w:r><w:t>part of the deposed despots, the Orsini and some of his own</w:t></w:r>
</w:p>
<w:p>
<w:pPr><w:pStyle w:val="Normal"/></w:pPr>
<w:r><w:t xml:space="preserve">condottieri. At first the papal troops were defeated and</w:t></w:r>
</w:p>
<w:p>
<w:pPr><w:pStyle w:val="Normal"/></w:pPr>
<w:r><w:t xml:space="preserve">things looked black for the house of Borgia.  But a promise of</w:t></w:r>
</w:p>
<w:p>
<w:pPr><w:pStyle w:val="Normal"/></w:pPr>
<w:r><w:t xml:space="preserve">French help at once forced the confederates to come to terms,</w:t></w:r>
</w:p>
<w:p>
<w:pPr><w:pStyle w:val="Normal"/></w:pPr>
<w:r><w:t xml:space="preserve">and Cesare by an act of treachery seized the ringleaders at</w:t></w:r>
</w:p>
<w:p>
<w:pPr><w:pStyle w:val="Normal"/></w:pPr>
<w:r><w:t xml:space="preserve">Senigallia, and put Oliverotto da Fermo and Vitellozzo Vitelli</w:t></w:r>
</w:p>
<w:p>
<w:pPr><w:pStyle w:val="Normal"/></w:pPr>
<w:r><w:t xml:space="preserve">to death (Dec. 31, 1502).  As soon as Alexander heard the</w:t></w:r>
</w:p>
<w:p>
<w:pPr><w:pStyle w:val="Normal"/></w:pPr>
<w:r><w:t xml:space="preserve">news he decoyed Cardinal Orsini to the Vatican and cast him</w:t></w:r>
</w:p>
<w:p>
<w:pPr><w:pStyle w:val="Normal"/></w:pPr>
<w:r><w:t xml:space="preserve">into a dungeon, where he died.  His goods were confiscated,</w:t></w:r>
</w:p>
<w:p>
<w:pPr><w:pStyle w:val="Normal"/></w:pPr>
<w:r><w:t xml:space="preserve">his aged mother turned into the street and numbers of other</w:t></w:r>
</w:p>
<w:p>
<w:pPr><w:pStyle w:val="Normal"/></w:pPr>
<w:r><w:t xml:space="preserve">members of the clan in Rome were arrested, while Giuffre</w:t></w:r>
</w:p>
<w:p>
<w:pPr><w:pStyle w:val="Normal"/></w:pPr>
<w:r><w:t xml:space="preserve">Borgia led an expedition into the Campagna and seized their</w:t></w:r>
</w:p>
<w:p>
<w:pPr><w:pStyle w:val="Normal"/></w:pPr>
<w:r><w:t xml:space="preserve">castles.  Thus the two great houses of Orsini and Colonna,</w:t></w:r>
</w:p>
<w:p>
<w:pPr><w:pStyle w:val="Normal"/></w:pPr>
<w:r><w:t xml:space="preserve">who had long fought for predominance in Rome and often flouted</w:t></w:r>
</w:p>
<w:p>
<w:pPr><w:pStyle w:val="Normal"/></w:pPr>
<w:r><w:t xml:space="preserve">the pope&apos;s authority, were subjugated, and a great step</w:t></w:r>
</w:p>
<w:p>
<w:pPr><w:pStyle w:val="Normal"/></w:pPr>
<w:r><w:t xml:space="preserve">achieved towards consolidating the Borgia&apos;s power.  Cesare</w:t></w:r>
</w:p>
<w:p>
<w:pPr><w:pStyle w:val="Normal"/></w:pPr>
<w:r><w:t xml:space="preserve">then returned to Rome, where his father wished him to assist</w:t></w:r>
</w:p>
<w:p>
<w:pPr><w:pStyle w:val="Normal"/></w:pPr>
<w:r><w:t xml:space="preserve">Giuffre in reducing the last Orsini strongholds; this for some</w:t></w:r>
</w:p>
<w:p>
<w:pPr><w:pStyle w:val="Normal"/></w:pPr>
<w:r><w:t xml:space="preserve">reason he was unwilling to do, much to Alexander&apos;s annoyance,</w:t></w:r>
</w:p>
<w:p>
<w:pPr><w:pStyle w:val="Normal"/></w:pPr>
<w:r><w:t xml:space="preserve">but he eventually marched out, captured Ceri and made peace</w:t></w:r>
</w:p>
<w:p>
<w:pPr><w:pStyle w:val="Normal"/></w:pPr>
<w:r><w:t xml:space="preserve">with Giulio Orsini, who surrendered Bracciano.  Three more</w:t></w:r>
</w:p>
<w:p>
<w:pPr><w:pStyle w:val="Normal"/></w:pPr>
<w:r><w:t xml:space="preserve">high personages fell victims to the Borgia&apos;s greed this year,</w:t></w:r>
</w:p>
<w:p>
<w:pPr><w:pStyle w:val="Normal"/></w:pPr>
<w:r><w:t xml:space="preserve">viz.  Cardinal Michiel, who was poisoned in April, J. da Santa</w:t></w:r>
</w:p>
<w:p>
<w:pPr><w:pStyle w:val="Normal"/></w:pPr>
<w:r><w:t xml:space="preserve">Croce, who had helped to seize Cardinal Orsini, and Troches</w:t></w:r>
</w:p>
<w:p>
<w:pPr><w:pStyle w:val="Normal"/></w:pPr>
<w:r><w:t xml:space="preserve">or Troccio, one of the family&apos;s most faithful assassins;</w:t></w:r>
</w:p>
<w:p>
<w:pPr><w:pStyle w:val="Normal"/></w:pPr>
<w:r><w:t xml:space="preserve">all these murders brought immense sums to the pope.  About</w:t></w:r>
</w:p>
<w:p>
<w:pPr><w:pStyle w:val="Normal"/></w:pPr>
<w:r><w:t xml:space="preserve">Cardinal Ferrari&apos;s death there is more doubt; he probably</w:t></w:r>
</w:p>
<w:p>
<w:pPr><w:pStyle w:val="Normal"/></w:pPr>
<w:r><w:t xml:space="preserve">died of fever, but the pope immediately confiscated his goods.</w:t></w:r>
</w:p>
<w:p>
<w:pPr><w:pStyle w:val="Normal"/></w:pPr>
<w:r><w:t xml:space="preserve">The war between France and Spain for the possession of Naples</w:t></w:r>
</w:p>
<w:p>
<w:pPr><w:pStyle w:val="Normal"/></w:pPr>
<w:r><w:t xml:space="preserve">dragged on, and Alexander was ever intriguing, ready to ally</w:t></w:r>
</w:p>
<w:p>
<w:pPr><w:pStyle w:val="Normal"/></w:pPr>
<w:r><w:t xml:space="preserve">himself with whichever power promised at the moment most</w:t></w:r>
</w:p>
<w:p>
<w:pPr><w:pStyle w:val="Normal"/></w:pPr>
<w:r><w:t xml:space="preserve">advantageous terms.  He offered to help Louis on condition that</w:t></w:r>
</w:p>
<w:p>
<w:pPr><w:pStyle w:val="Normal"/></w:pPr>
<w:r><w:t xml:space="preserve">Sicily be given to Cesare, and then offered to help Spain in</w:t></w:r>
</w:p>
<w:p>
<w:pPr><w:pStyle w:val="Normal"/></w:pPr>
<w:r><w:t xml:space="preserve">exchange for Siena, Pisa and Bologna.  Cesare was preparing</w:t></w:r>
</w:p>
<w:p>
<w:pPr><w:pStyle w:val="Normal"/></w:pPr>
<w:r><w:t xml:space="preserve">for another expedition into central Italy in July 1503, when,</w:t></w:r>
</w:p>
<w:p>
<w:pPr><w:pStyle w:val="Normal"/></w:pPr>
<w:r><w:t xml:space="preserve">in the midst of all these projects and negotiations, both</w:t></w:r>
</w:p>
<w:p>
<w:pPr><w:pStyle w:val="Normal"/></w:pPr>
<w:r><w:t xml:space="preserve">he and his father were taken ill with fever.  The occurrence</w:t></w:r>
</w:p>
<w:p>
<w:pPr><w:pStyle w:val="Normal"/></w:pPr>
<w:r><w:t xml:space="preserve">was of course attributed to poison, although quite without</w:t></w:r>
</w:p>
<w:p>
<w:pPr><w:pStyle w:val="Normal"/></w:pPr>
<w:r><w:t xml:space="preserve">foundation, being merely due to malaria, at that time very</w:t></w:r>
</w:p>
<w:p>
<w:pPr><w:pStyle w:val="Normal"/></w:pPr>
<w:r><w:t xml:space="preserve">prevalent in Rome.  On the 18th of August Alexander died</w:t></w:r>
</w:p>
<w:p>
<w:pPr><w:pStyle w:val="Normal"/></w:pPr>
<w:r><w:t xml:space="preserve">at the age of 72. His death was followed by scenes of wild</w:t></w:r>
</w:p>
<w:p>
<w:pPr><w:pStyle w:val="Normal"/></w:pPr>
<w:r><w:t xml:space="preserve">disorder, and Cesare, being himself ill, could not attend</w:t></w:r>
</w:p>
<w:p>
<w:pPr><w:pStyle w:val="Normal"/></w:pPr>
<w:r><w:t xml:space="preserve">to business, but sent Don Michelotto, his chief bravo, to</w:t></w:r>
</w:p>
<w:p>
<w:pPr><w:pStyle w:val="Normal"/></w:pPr>
<w:r><w:t xml:space="preserve">seize the pope&apos;s treasures before the demise was publicly</w:t></w:r>
</w:p>
<w:p>
<w:pPr><w:pStyle w:val="Normal"/></w:pPr>
<w:r><w:t xml:space="preserve">announced.  When the body was exhibited to the people the next</w:t></w:r>
</w:p>
<w:p>
<w:pPr><w:pStyle w:val="Normal"/></w:pPr>
<w:r><w:t xml:space="preserve">day it was in a shocking state of decomposition, which of course</w:t></w:r>
</w:p>
<w:p>
<w:pPr><w:pStyle w:val="Normal"/></w:pPr>
<w:r><w:t xml:space="preserve">strengthened the suspicion of poison.  At the funeral a brawl</w:t></w:r>
</w:p>
<w:p>
<w:pPr><w:pStyle w:val="Normal"/></w:pPr>
<w:r><w:t xml:space="preserve">occurred between the soldiers and the priests, and the coffin</w:t></w:r>
</w:p>
<w:p>
<w:pPr><w:pStyle w:val="Normal"/></w:pPr>
<w:r><w:t xml:space="preserve">having been made too short the body without the mitre was</w:t></w:r>
</w:p>
<w:p>
<w:pPr><w:pStyle w:val="Normal"/></w:pPr>
<w:r><w:t xml:space="preserve">driven into it by main force and covered with an oil-cloth.</w:t></w:r>
</w:p>
<w:p>
<w:pPr><w:pStyle w:val="Normal"/></w:pPr>
<w:r><w:t xml:space="preserve">Alexander&apos;s successor on the chair of St Peter was Francesco</w:t></w:r>
</w:p>
<w:p>
<w:pPr><w:pStyle w:val="Normal"/></w:pPr>
<w:r><w:t xml:space="preserve">Todeschini-Piccolomini, who assumed the name of Pius III.</w:t></w:r>
</w:p>
<w:p>
<w:pPr><w:pStyle w:val="Normal"/></w:pPr>
<w:r><w:t xml:space="preserve">Alexander VI. has become almost a mythical character, and</w:t></w:r>
</w:p>
<w:p>
<w:pPr><w:pStyle w:val="Normal"/></w:pPr>
<w:r><w:t xml:space="preserve">countless legends and traditions are attached to his name.  As</w:t></w:r>
</w:p>
<w:p>
<w:pPr><w:pStyle w:val="Normal"/></w:pPr>
<w:r><w:t xml:space="preserve">a matter of fact he cannot be regarded in any sense as a great</w:t></w:r>
</w:p>
<w:p>
<w:pPr><w:pStyle w:val="Normal"/></w:pPr>
<w:r><w:t xml:space="preserve">man.  His career shows no great political ideas, and none</w:t></w:r>
</w:p>
<w:p>
<w:pPr><w:pStyle w:val="Normal"/></w:pPr>
<w:r><w:t xml:space="preserve">of his actions indicate genius.  His one thought was family</w:t></w:r>
</w:p>
<w:p>
<w:pPr><w:pStyle w:val="Normal"/></w:pPr>
<w:r><w:t xml:space="preserve">aggrandizement, and while it is unlikely that he meditated</w:t></w:r>
</w:p>
<w:p>
<w:pPr><w:pStyle w:val="Normal"/></w:pPr>
<w:r><w:t xml:space="preserve">making the papacy hereditary in the house of Borgia, he</w:t></w:r>
</w:p>
<w:p>
<w:pPr><w:pStyle w:val="Normal"/></w:pPr>
<w:r><w:t xml:space="preserve">certainly gave away its temporal estates to his children</w:t></w:r>
</w:p>
<w:p>
<w:pPr><w:pStyle w:val="Normal"/></w:pPr>
<w:r><w:t xml:space="preserve">as though they belonged to him.  The secularization of the</w:t></w:r>
</w:p>
<w:p>
<w:pPr><w:pStyle w:val="Normal"/></w:pPr>
<w:r><w:t xml:space="preserve">church was carried to a pitch never before dreamed of, and</w:t></w:r>
</w:p>
<w:p>
<w:pPr><w:pStyle w:val="Normal"/></w:pPr>
<w:r><w:t xml:space="preserve">it was clear to all Italy that he regarded the papacy as an</w:t></w:r>
</w:p>
<w:p>
<w:pPr><w:pStyle w:val="Normal"/></w:pPr>
<w:r><w:t xml:space="preserve">instrument of worldly schemes with no thought of its religious</w:t></w:r>
</w:p>
<w:p>
<w:pPr><w:pStyle w:val="Normal"/></w:pPr>
<w:r><w:t xml:space="preserve">aspect.  During his pontificate the church was brought to its</w:t></w:r>
</w:p>
<w:p>
<w:pPr><w:pStyle w:val="Normal"/></w:pPr>
<w:r><w:t xml:space="preserve">lowest level of degradation.  The condition of his subjects was</w:t></w:r>
</w:p>
<w:p>
<w:pPr><w:pStyle w:val="Normal"/></w:pPr>
<w:r><w:t xml:space="preserve">deplorable, and if Cesare&apos;s rule in Romagna was an improvement</w:t></w:r>
</w:p>
<w:p>
<w:pPr><w:pStyle w:val="Normal"/></w:pPr>
<w:r><w:t xml:space="preserve">on that of the local tyrants, the people of Rome have seldom</w:t></w:r>
</w:p>
<w:p>
<w:pPr><w:pStyle w:val="Normal"/></w:pPr>
<w:r><w:t xml:space="preserve">been more oppressed than under the Borgia.  Alexander was not</w:t></w:r>
</w:p>
<w:p>
<w:pPr><w:pStyle w:val="Normal"/></w:pPr>
<w:r><w:t xml:space="preserve">the only person responsible for the general unrest in Italy</w:t></w:r>
</w:p>
<w:p>
<w:pPr><w:pStyle w:val="Normal"/></w:pPr>
<w:r><w:t xml:space="preserve">and the foreign invasions, but he was ever ready to profit by</w:t></w:r>
</w:p>
<w:p>
<w:pPr><w:pStyle w:val="Normal"/></w:pPr>
<w:r><w:t xml:space="preserve">them.  Even if we do not accept all the stories of his murders</w:t></w:r>
</w:p>
<w:p>
<w:pPr><w:pStyle w:val="Normal"/></w:pPr>
<w:r><w:t xml:space="preserve">and poisonings and immoralities as true, there is no doubt</w:t></w:r>
</w:p>
<w:p>
<w:pPr><w:pStyle w:val="Normal"/></w:pPr>
<w:r><w:t xml:space="preserve">that his greed for money and his essentially vicious nature</w:t></w:r>
</w:p>
<w:p>
<w:pPr><w:pStyle w:val="Normal"/></w:pPr>
<w:r><w:t xml:space="preserve">led him to commit a great number of crimes.  For many of</w:t></w:r>
</w:p>
<w:p>
<w:pPr><w:pStyle w:val="Normal"/></w:pPr>
<w:r><w:t xml:space="preserve">his misdeeds his terrible son Cesare was responsible, but of</w:t></w:r>
</w:p>
<w:p>
<w:pPr><w:pStyle w:val="Normal"/></w:pPr>
<w:r><w:t xml:space="preserve">others the pope cannot be acquitted.  The one pleasing aspect</w:t></w:r>
</w:p>
<w:p>
<w:pPr><w:pStyle w:val="Normal"/></w:pPr>
<w:r><w:t xml:space="preserve">of his life is his patronage of the arts, and in his days a</w:t></w:r>
</w:p>
<w:p>
<w:pPr><w:pStyle w:val="Normal"/></w:pPr>
<w:r><w:t xml:space="preserve">new architectural era was initiated in Rome with the coming of</w:t></w:r>
</w:p>
<w:p>
<w:pPr><w:pStyle w:val="Normal"/></w:pPr>
<w:r><w:t xml:space="preserve">Bramante.  Raphael, Michelangelo and Pinturicchio all worked</w:t></w:r>
</w:p>
<w:p>
<w:pPr><w:pStyle w:val="Normal"/></w:pPr>
<w:r><w:t xml:space="preserve">for him, and a curious contrast, characteristic of the age,</w:t></w:r>
</w:p>
<w:p>
<w:pPr><w:pStyle w:val="Normal"/></w:pPr>
<w:r><w:t xml:space="preserve">is afforded by the fact that a family so steeped in vice and</w:t></w:r>
</w:p>
<w:p>
<w:pPr><w:pStyle w:val="Normal"/></w:pPr>
<w:r><w:t xml:space="preserve">crime could take pleasure in the most exquisite works of art.</w:t></w:r>
</w:p>
<w:p>
<w:pPr><w:pStyle w:val="Normal"/></w:pPr>
<w:r><w:t xml:space="preserve">BIBLIOGRAPHY.--The chief contemporary authorities for this</w:t></w:r>
</w:p>
<w:p>
<w:pPr><w:pStyle w:val="Normal"/></w:pPr>
<w:r><w:t xml:space="preserve">reign are: the diary of Alexander&apos;s master of ceremonies,</w:t></w:r>
</w:p>
<w:p>
<w:pPr><w:pStyle w:val="Normal"/></w:pPr>
<w:r><w:t xml:space="preserve">Johannes Burchardus, edited by L. Thuasne (Paris, 1883-1884),</w:t></w:r>
</w:p>
<w:p>
<w:pPr><w:pStyle w:val="Normal"/></w:pPr>
<w:r><w:t xml:space="preserve">which is characterized by accuracy and extraordinary candour</w:t></w:r>
</w:p>
<w:p>
<w:pPr><w:pStyle w:val="Normal"/></w:pPr>
<w:r><w:t xml:space="preserve">often amounting to gross indecency; the despatches of</w:t></w:r>
</w:p>
<w:p>
<w:pPr><w:pStyle w:val="Normal"/></w:pPr>
<w:r><w:t xml:space="preserve">Giustiniani, the Venetian ambassador, edited by P. Villari</w:t></w:r>
</w:p>
<w:p>
<w:pPr><w:pStyle w:val="Normal"/></w:pPr>
<w:r><w:t xml:space="preserve">(Florence, 1876), which show great insight and are based on</w:t></w:r>
</w:p>
<w:p>
<w:pPr><w:pStyle w:val="Normal"/></w:pPr>
<w:r><w:t xml:space="preserve">the most accurate information; and Paolo Cappelli&apos;s ``Diarii&apos;&apos;</w:t></w:r>
</w:p>
<w:p>
<w:pPr><w:pStyle w:val="Normal"/></w:pPr>
<w:r><w:t xml:space="preserve">in E. Alberi&apos;s Relazioni, series ii., iii.  Among modern</w:t></w:r>
</w:p>
<w:p>
<w:pPr><w:pStyle w:val="Normal"/></w:pPr>
<w:r><w:t xml:space="preserve">works the most important are: F. Gregorovius&apos;s Geschichte</w:t></w:r>
</w:p>
<w:p>
<w:pPr><w:pStyle w:val="Normal"/></w:pPr>
<w:r><w:t xml:space="preserve">der Stadt Rom (3rd ed., Stuttgart, 1881), a work of immense</w:t></w:r>
</w:p>
<w:p>
<w:pPr><w:pStyle w:val="Normal"/></w:pPr>
<w:r><w:t xml:space="preserve">research and admirable synthesis, giving a very unfavourable</w:t></w:r>
</w:p>
<w:p>
<w:pPr><w:pStyle w:val="Normal"/></w:pPr>
<w:r><w:t xml:space="preserve">view of the Borgia; A. von Reumont&apos;s Geschichte der Stadt</w:t></w:r>
</w:p>
<w:p>
<w:pPr><w:pStyle w:val="Normal"/></w:pPr>
<w:r><w:t xml:space="preserve">Rom (Berlin, 1867-1870), also a valuable book; M. Creighton&apos;s</w:t></w:r>
</w:p>
<w:p>
<w:pPr><w:pStyle w:val="Normal"/></w:pPr>
<w:r><w:t xml:space="preserve">History of the Papacy (London, 1897) is very learned and</w:t></w:r>
</w:p>
<w:p>
<w:pPr><w:pStyle w:val="Normal"/></w:pPr>
<w:r><w:t xml:space="preserve">accurate, but the author is more lenient towards Alexander; F.</w:t></w:r>
</w:p>
<w:p>
<w:pPr><w:pStyle w:val="Normal"/></w:pPr>
<w:r><w:t xml:space="preserve">Gregorovius&apos;s Lucrezia Borgia (Stuttgart, 1874) contains a</w:t></w:r>
</w:p>
<w:p>
<w:pPr><w:pStyle w:val="Normal"/></w:pPr>
<w:r><w:t xml:space="preserve">great deal of information on the Borgia family; P. Villari&apos;s</w:t></w:r>
</w:p>
<w:p>
<w:pPr><w:pStyle w:val="Normal"/></w:pPr>
<w:r><w:t xml:space="preserve">Machiavelli (English translation, new ed., 1892) deals</w:t></w:r>
</w:p>
<w:p>
<w:pPr><w:pStyle w:val="Normal"/></w:pPr>
<w:r><w:t xml:space="preserve">with the subject at some length.  Of the Catholic writers L.</w:t></w:r>
</w:p>
<w:p>
<w:pPr><w:pStyle w:val="Normal"/></w:pPr>
<w:r><w:t xml:space="preserve">Pastor, Geschichte der Papste (Freiburg i.  B, 1886) should</w:t></w:r>
</w:p>
<w:p>
<w:pPr><w:pStyle w:val="Normal"/></w:pPr>
<w:r><w:t xml:space="preserve">be consulted, for although the author tries to extenuate</w:t></w:r>
</w:p>
<w:p>
<w:pPr><w:pStyle w:val="Normal"/></w:pPr>
<w:r><w:t xml:space="preserve">the pope to some extent, on the whole he is fair. (L. V.*)</w:t></w:r>
</w:p>
<w:p>
<w:pPr><w:pStyle w:val="Normal"/></w:pPr>
<w:r><w:t xml:space="preserve">ALEXANDER VII. (Fabio Chigi), pope from 1655 to 1667, was</w:t></w:r>
</w:p>
<w:p>
<w:pPr><w:pStyle w:val="Normal"/></w:pPr>
<w:r><w:t xml:space="preserve">born at Siena on the 13th of February 1599.  He was successively</w:t></w:r>
</w:p>
<w:p>
<w:pPr><w:pStyle w:val="Normal"/></w:pPr>
<w:r><w:t xml:space="preserve">inquisitor at Malta, vice-legate at Ferrara and nuncio in Cologne</w:t></w:r>
</w:p>
<w:p>
<w:pPr><w:pStyle w:val="Normal"/></w:pPr>
<w:r><w:t xml:space="preserve">(1639-1651).  Though expected to take part in the negotiations</w:t></w:r>
</w:p>
<w:p>
<w:pPr><w:pStyle w:val="Normal"/></w:pPr>
<w:r><w:t xml:space="preserve">which led in 1648 to the peace of Westphalia, he refused to</w:t></w:r>
</w:p>
<w:p>
<w:pPr><w:pStyle w:val="Normal"/></w:pPr>
<w:r><w:t xml:space="preserve">deliberate with heretics, and protested against the treaties</w:t></w:r>
</w:p>
<w:p>
<w:pPr><w:pStyle w:val="Normal"/></w:pPr>
<w:r><w:t xml:space="preserve">when completed.  Innocent X. subsequently made him cardinal</w:t></w:r>
</w:p>
<w:p>
<w:pPr><w:pStyle w:val="Normal"/></w:pPr>
<w:r><w:t xml:space="preserve">secretary of state.  When Innocent died, Chigi, the candidate</w:t></w:r>
</w:p>
<w:p>
<w:pPr><w:pStyle w:val="Normal"/></w:pPr>
<w:r><w:t xml:space="preserve">favoured by Spain, was elected pope on the 7th of April</w:t></w:r>
</w:p>
<w:p>
<w:pPr><w:pStyle w:val="Normal"/></w:pPr>
<w:r><w:t xml:space="preserve">1655.  The conclave believed he was strongly opposed to the</w:t></w:r>
</w:p>
<w:p>
<w:pPr><w:pStyle w:val="Normal"/></w:pPr>
<w:r><w:t xml:space="preserve">nepotism then prevalent.  In the first year of his reign</w:t></w:r>
</w:p>
<w:p>
<w:pPr><w:pStyle w:val="Normal"/></w:pPr>
<w:r><w:t xml:space="preserve">Alexander VII. forbade his relations even to visit Rome; but</w:t></w:r>
</w:p>
<w:p>
<w:pPr><w:pStyle w:val="Normal"/></w:pPr>
<w:r><w:t xml:space="preserve">in 1656 he gave them the best-paid civil and ecclesiastical</w:t></w:r>
</w:p>
<w:p>
<w:pPr><w:pStyle w:val="Normal"/></w:pPr>
<w:r><w:t xml:space="preserve">offices, also palaces and princely estates.  Alexander disliked</w:t></w:r>
</w:p>
<w:p>
<w:pPr><w:pStyle w:val="Normal"/></w:pPr>
<w:r><w:t xml:space="preserve">business of state, preferring literature and philosophy; a</w:t></w:r>
</w:p>
<w:p>
<w:pPr><w:pStyle w:val="Normal"/></w:pPr>
<w:r><w:t xml:space="preserve">collection of his Latin poems appeared at Paris in 1656 under</w:t></w:r>
</w:p>
<w:p>
<w:pPr><w:pStyle w:val="Normal"/></w:pPr>
<w:r><w:t xml:space="preserve">the title Philomathi Labores Juveniles. He also encouraged</w:t></w:r>
</w:p>
<w:p>
<w:pPr><w:pStyle w:val="Normal"/></w:pPr>
<w:r><w:t xml:space="preserve">architecture, and in particular constructed the beautiful</w:t></w:r>
</w:p>
<w:p>
<w:pPr><w:pStyle w:val="Normal"/></w:pPr>
<w:r><w:t xml:space="preserve">colonnade in the piazza of St Peter&apos;s.  He favoured the</w:t></w:r>
</w:p>
<w:p>
<w:pPr><w:pStyle w:val="Normal"/></w:pPr>
<w:r><w:t xml:space="preserve">Jesuits, especially in their conflict with the Jansenists,</w:t></w:r>
</w:p>
<w:p>
<w:pPr><w:pStyle w:val="Normal"/></w:pPr>
<w:r><w:t xml:space="preserve">forbade in 1661 the translation of the Roman Missal into</w:t></w:r>
</w:p>
<w:p>
<w:pPr><w:pStyle w:val="Normal"/></w:pPr>
<w:r><w:t xml:space="preserve">French, and in 1665 canonized Francis of Sales.  His pontificate</w:t></w:r>
</w:p>
<w:p>
<w:pPr><w:pStyle w:val="Normal"/></w:pPr>
<w:r><w:t xml:space="preserve">was marked by protracted controversies with France and</w:t></w:r>
</w:p>
<w:p>
<w:pPr><w:pStyle w:val="Normal"/></w:pPr>
<w:r><w:t xml:space="preserve">Portugal.  He died on the 22nd of May 1667. (W. W. R.*)</w:t></w:r>
</w:p>
<w:p>
<w:pPr><w:pStyle w:val="Normal"/></w:pPr>
<w:r><w:t xml:space="preserve">ALEXANDER VIII. (Pietro Ottoboni), pope from 1689 to 1691,</w:t></w:r>
</w:p>
<w:p>
<w:pPr><w:pStyle w:val="Normal"/></w:pPr>
<w:r><w:t xml:space="preserve">was born in 1610 of a noble Venetian family, was created</w:t></w:r>
</w:p>
<w:p>
<w:pPr><w:pStyle w:val="Normal"/></w:pPr>
<w:r><w:t xml:space="preserve">cardinal, and then successively bishop of Brescia and datary.</w:t></w:r>
</w:p>
<w:p>
<w:pPr><w:pStyle w:val="Normal"/></w:pPr>
<w:r><w:t xml:space="preserve">The ambassador of Louis XIV. succeeded in procuring his election</w:t></w:r>
</w:p>
<w:p>
<w:pPr><w:pStyle w:val="Normal"/></w:pPr>
<w:r><w:t xml:space="preserve">on the 6th of October 1689 as successor to Innocent XI.;</w:t></w:r>
</w:p>
<w:p>
<w:pPr><w:pStyle w:val="Normal"/></w:pPr>
<w:r><w:t xml:space="preserve">nevertheless, after months of negotiation Alexander finally</w:t></w:r>
</w:p>
<w:p>
<w:pPr><w:pStyle w:val="Normal"/></w:pPr>
<w:r><w:t xml:space="preserve">condemned the declaration made in 1682 by the French clergy</w:t></w:r>
</w:p>
<w:p>
<w:pPr><w:pStyle w:val="Normal"/></w:pPr>
<w:r><w:t xml:space="preserve">concerning the liberties of the Gallican church.  Charities</w:t></w:r>
</w:p>
<w:p>
<w:pPr><w:pStyle w:val="Normal"/></w:pPr>
<w:r><w:t xml:space="preserve">on a large scale and unbounded nepotism exhausted the papal</w:t></w:r>
</w:p>
<w:p>
<w:pPr><w:pStyle w:val="Normal"/></w:pPr>
<w:r><w:t xml:space="preserve">treasury.  He bought the books and manuscripts of Queen Christina</w:t></w:r>
</w:p>
<w:p>
<w:pPr><w:pStyle w:val="Normal"/></w:pPr>
<w:r><w:t xml:space="preserve">of Sweden for the Vatican library.  Alexander condemned in 1690</w:t></w:r>
</w:p>
<w:p>
<w:pPr><w:pStyle w:val="Normal"/></w:pPr>
<w:r><w:t xml:space="preserve">the doctrines of so-called philosophic sin, taught in the Jesuit</w:t></w:r>
</w:p>
<w:p>
<w:pPr><w:pStyle w:val="Normal"/></w:pPr>
<w:r><w:t xml:space="preserve">schools.  He died on the 1st of February 1691. (W. W. R.*)</w:t></w:r>
</w:p>
<w:p>
<w:pPr><w:pStyle w:val="Normal"/></w:pPr>
<w:r><w:t xml:space="preserve">ALEXANDER I. (ALEKSANDER PAVLOVICH) (1777-1825), emperor</w:t></w:r>
</w:p>
<w:p>
<w:pPr><w:pStyle w:val="Normal"/></w:pPr>
<w:r><w:t xml:space="preserve">of Russia, son of the grand-duke Paul Petrovich, afterwards</w:t></w:r>
</w:p>
<w:p>
<w:pPr><w:pStyle w:val="Normal"/></w:pPr>
<w:r><w:t xml:space="preserve">Paul I., and Maria Fedorovna, daughter of Frederick Eugene of</w:t></w:r>
</w:p>
<w:p>
<w:pPr><w:pStyle w:val="Normal"/></w:pPr>
<w:r><w:t xml:space="preserve">Wurttemberg, was born on the 28th of December 1777.  The</w:t></w:r>
</w:p>
<w:p>
<w:pPr><w:pStyle w:val="Normal"/></w:pPr>
<w:r><w:t xml:space="preserve">strange contradictions of his character make Alexander one</w:t></w:r>
</w:p>
<w:p>
<w:pPr><w:pStyle w:val="Normal"/></w:pPr>
<w:r><w:t xml:space="preserve">of the most interesting as he is one of the most important</w:t></w:r>
</w:p>
<w:p>
<w:pPr><w:pStyle w:val="Normal"/></w:pPr>
<w:r><w:t xml:space="preserve">figures in the history of the 19th century.  Autocrat and</w:t></w:r>
</w:p>
<w:p>
<w:pPr><w:pStyle w:val="Normal"/></w:pPr>
<w:r><w:t xml:space="preserve">``Jacobin,&apos;&apos; man of the world and mystic, he was to his</w:t></w:r>
</w:p>
<w:p>
<w:pPr><w:pStyle w:val="Normal"/></w:pPr>
<w:r><w:t xml:space="preserve">contemporaries a riddle which each read according to his own</w:t></w:r>
</w:p>
<w:p>
<w:pPr><w:pStyle w:val="Normal"/></w:pPr>
<w:r><w:t xml:space="preserve">temperament.  Napoleon thought him a ``shifty Byzantine,&apos;&apos;</w:t></w:r>
</w:p>
<w:p>
<w:pPr><w:pStyle w:val="Normal"/></w:pPr>
<w:r><w:t xml:space="preserve">and called him the Talma of the North, as ready to play</w:t></w:r>
</w:p>
<w:p>
<w:pPr><w:pStyle w:val="Normal"/></w:pPr>
<w:r><w:t xml:space="preserve">any conspicuous part.  To Metternich he was a madman to be</w:t></w:r>
</w:p>
<w:p>
<w:pPr><w:pStyle w:val="Normal"/></w:pPr>
<w:r><w:t xml:space="preserve">humoured.  Castlereagh, writing of him to Lord Liverpool,</w:t></w:r>
</w:p>
<w:p>
<w:pPr><w:pStyle w:val="Normal"/></w:pPr>
<w:r><w:t xml:space="preserve">gives him credit for ``grand qualities,&apos;&apos; but adds that he</w:t></w:r>
</w:p>
<w:p>
<w:pPr><w:pStyle w:val="Normal"/></w:pPr>
<w:r><w:t xml:space="preserve">is ``suspicious and undecided.&apos;&apos; His complex nature was, in</w:t></w:r>
</w:p>
<w:p>
<w:pPr><w:pStyle w:val="Normal"/></w:pPr>
<w:r><w:t xml:space="preserve">truth, the outcome of the complex character of his early</w:t></w:r>
</w:p>
<w:p>
<w:pPr><w:pStyle w:val="Normal"/></w:pPr>
<w:r><w:t xml:space="preserve">environment and education.  Reared in the free-thinking</w:t></w:r>
</w:p>
<w:p>
<w:pPr><w:pStyle w:val="Normal"/></w:pPr>
<w:r><w:t xml:space="preserve">atmosphere of the court of Catherine II. he had imbibed from</w:t></w:r>
</w:p>
<w:p>
<w:pPr><w:pStyle w:val="Normal"/></w:pPr>
<w:r><w:t xml:space="preserve">his Swiss tutor, Frederic Cesar de Laharpe, the principles</w:t></w:r>
</w:p>
<w:p>
<w:pPr><w:pStyle w:val="Normal"/></w:pPr>
<w:r><w:t xml:space="preserve">of Rousseau&apos;s gospel of humanity; from his military governor,</w:t></w:r>
</w:p>
<w:p>
<w:pPr><w:pStyle w:val="Normal"/></w:pPr>
<w:r><w:t xml:space="preserve">General Soltikov, the traditions of Russian autocracy; while</w:t></w:r>
</w:p>
<w:p>
<w:pPr><w:pStyle w:val="Normal"/></w:pPr>
<w:r><w:t xml:space="preserve">his father had inspired him with his own passion of military</w:t></w:r>
</w:p>
<w:p>
<w:pPr><w:pStyle w:val="Normal"/></w:pPr>
<w:r><w:t xml:space="preserve">parade, and taught him to combine a theoretical love of</w:t></w:r>
</w:p>
<w:p>
<w:pPr><w:pStyle w:val="Normal"/></w:pPr>
<w:r><w:t xml:space="preserve">mankind with a practical contempt for men.  These contradictory</w:t></w:r>
</w:p>
<w:p>
<w:pPr><w:pStyle w:val="Normal"/></w:pPr>
<w:r><w:t xml:space="preserve">tendencies remained with him through life, revealed in</w:t></w:r>
</w:p>
<w:p>
<w:pPr><w:pStyle w:val="Normal"/></w:pPr>
<w:r><w:t xml:space="preserve">the fluctuations of his policy and influencing through him</w:t></w:r>
</w:p>
<w:p>
<w:pPr><w:pStyle w:val="Normal"/></w:pPr>
<w:r><w:t xml:space="preserve">the fate of the world.  Another element in his character</w:t></w:r>
</w:p>
<w:p>
<w:pPr><w:pStyle w:val="Normal"/></w:pPr>
<w:r><w:t xml:space="preserve">discovered itself when in 1801 he mounted the throne over</w:t></w:r>
</w:p>
<w:p>
<w:pPr><w:pStyle w:val="Normal"/></w:pPr>
<w:r><w:t xml:space="preserve">the body of his murdered father: a mystic melancholy liable</w:t></w:r>
</w:p>
<w:p>
<w:pPr><w:pStyle w:val="Normal"/></w:pPr>
<w:r><w:t xml:space="preserve">at any moment to issue in extravagant action.  At first,</w:t></w:r>
</w:p>
<w:p>
<w:pPr><w:pStyle w:val="Normal"/></w:pPr>
<w:r><w:t xml:space="preserve">indeed, this exercised but little influence on the emperor&apos;s</w:t></w:r>
</w:p>
<w:p>
<w:pPr><w:pStyle w:val="Normal"/></w:pPr>
<w:r><w:t xml:space="preserve">life.  Young, emotional, impressionable, well-meaning and</w:t></w:r>
</w:p>
<w:p>
<w:pPr><w:pStyle w:val="Normal"/></w:pPr>
<w:r><w:t xml:space="preserve">egotistic, Alexander displayed from the first an intention of</w:t></w:r>
</w:p>
<w:p>
<w:pPr><w:pStyle w:val="Normal"/></w:pPr>
<w:r><w:t xml:space="preserve">playing a great part on the world&apos;s stage, and plunged with all</w:t></w:r>
</w:p>
<w:p>
<w:pPr><w:pStyle w:val="Normal"/></w:pPr>
<w:r><w:t xml:space="preserve">the ardour of youth into the task of realizing his political</w:t></w:r>
</w:p>
<w:p>
<w:pPr><w:pStyle w:val="Normal"/></w:pPr>
<w:r><w:t xml:space="preserve">ideals.  While retaining for a time the old ministers who</w:t></w:r>
</w:p>
<w:p>
<w:pPr><w:pStyle w:val="Normal"/></w:pPr>
<w:r><w:t xml:space="preserve">had served and overthrown the emperor Paul, one of the first</w:t></w:r>
</w:p>
<w:p>
<w:pPr><w:pStyle w:val="Normal"/></w:pPr>
<w:r><w:t xml:space="preserve">acts of his reign was to appoint a secret committee, called</w:t></w:r>
</w:p>
<w:p>
<w:pPr><w:pStyle w:val="Normal"/></w:pPr>
<w:r><w:t xml:space="preserve">ironically the ``Comite du salut public,&apos;&apos; consisting of</w:t></w:r>
</w:p>
<w:p>
<w:pPr><w:pStyle w:val="Normal"/></w:pPr>
<w:r><w:t xml:space="preserve">young and enthusiastic friends of his own--Victor Gavovich</w:t></w:r>
</w:p>
<w:p>
<w:pPr><w:pStyle w:val="Normal"/></w:pPr>
<w:r><w:t xml:space="preserve">Kochubey, Nikolai Nikolaevich Novosiltsov, Paul Alexandrovich</w:t></w:r>
</w:p>
<w:p>
<w:pPr><w:pStyle w:val="Normal"/></w:pPr>
<w:r><w:t xml:space="preserve">Strogonov and Adam Czartoryski--to draw up a scheme of internal</w:t></w:r>
</w:p>
<w:p>
<w:pPr><w:pStyle w:val="Normal"/></w:pPr>
<w:r><w:t xml:space="preserve">reform.  Their aims, inspired by their admiration for English</w:t></w:r>
</w:p>
<w:p>
<w:pPr><w:pStyle w:val="Normal"/></w:pPr>
<w:r><w:t xml:space="preserve">institutions, were far in advance of the possibilities of</w:t></w:r>
</w:p>
<w:p>
<w:pPr><w:pStyle w:val="Normal"/></w:pPr>
<w:r><w:t xml:space="preserve">the time, and even after they had been raised to regular</w:t></w:r>
</w:p>
<w:p>
<w:pPr><w:pStyle w:val="Normal"/></w:pPr>
<w:r><w:t xml:space="preserve">ministerial positions but little of their programme could be</w:t></w:r>
</w:p>
<w:p>
<w:pPr><w:pStyle w:val="Normal"/></w:pPr>
<w:r><w:t xml:space="preserve">realized.  For Russia was not ripe for liberty; and Alexander,</w:t></w:r>
</w:p>
<w:p>
<w:pPr><w:pStyle w:val="Normal"/></w:pPr>
<w:r><w:t xml:space="preserve">the disciple of the revolutionist Laharpe, was--as he</w:t></w:r>
</w:p>
<w:p>
<w:pPr><w:pStyle w:val="Normal"/></w:pPr>
<w:r><w:t xml:space="preserve">himself said--but ``a happy accident&apos;&apos; on the throne of the</w:t></w:r>
</w:p>
<w:p>
<w:pPr><w:pStyle w:val="Normal"/></w:pPr>
<w:r><w:t xml:space="preserve">tsars.  He spoke, indeed, bitterly of ``the state of barbarism</w:t></w:r>
</w:p>
<w:p>
<w:pPr><w:pStyle w:val="Normal"/></w:pPr>
<w:r><w:t xml:space="preserve">in which the country had been left by the traffic in men.&apos;&apos;</w:t></w:r>
</w:p>
<w:p>
<w:pPr><w:pStyle w:val="Normal"/></w:pPr>
<w:r><w:t xml:space="preserve">``Under Paul,&apos;&apos; he said, ``three thousand peasants had been</w:t></w:r>
</w:p>
<w:p>
<w:pPr><w:pStyle w:val="Normal"/></w:pPr>
<w:r><w:t xml:space="preserve">given away like a bag of diamonds.  If civilization were more</w:t></w:r>
</w:p>
<w:p>
<w:pPr><w:pStyle w:val="Normal"/></w:pPr>
<w:r><w:t xml:space="preserve">advanced, I would abolish this slavery, if it cost me my</w:t></w:r>
</w:p>
<w:p>
<w:pPr><w:pStyle w:val="Normal"/></w:pPr>
<w:r><w:t xml:space="preserve">head.&apos;&apos;1 But the universal corruption, he complained, had</w:t></w:r>
</w:p>
<w:p>
<w:pPr><w:pStyle w:val="Normal"/></w:pPr>
<w:r><w:t xml:space="preserve">left him no men; and the filling up of the government offices</w:t></w:r>
</w:p>
<w:p>
<w:pPr><w:pStyle w:val="Normal"/></w:pPr>
<w:r><w:t xml:space="preserve">with Germans and other foreigners merely accentuated the</w:t></w:r>
</w:p>
<w:p>
<w:pPr><w:pStyle w:val="Normal"/></w:pPr>
<w:r><w:t xml:space="preserve">sullen resistance of the ``old Russians&apos;&apos; to his reforms.</w:t></w:r>
</w:p>
<w:p>
<w:pPr><w:pStyle w:val="Normal"/></w:pPr>
<w:r><w:t xml:space="preserve">That Alexander&apos;s reign, which began with so large a promise of</w:t></w:r>
</w:p>
<w:p>
<w:pPr><w:pStyle w:val="Normal"/></w:pPr>
<w:r><w:t xml:space="preserve">amelioration, ended by riveting still tighter the chains of</w:t></w:r>
</w:p>
<w:p>
<w:pPr><w:pStyle w:val="Normal"/></w:pPr>
<w:r><w:t xml:space="preserve">the Russian people was, however, due less to the corruption and</w:t></w:r>
</w:p>
<w:p>
<w:pPr><w:pStyle w:val="Normal"/></w:pPr>
<w:r><w:t xml:space="preserve">backwardness of Russian life than to the defects of the tsar</w:t></w:r>
</w:p>
<w:p>
<w:pPr><w:pStyle w:val="Normal"/></w:pPr>
<w:r><w:t xml:space="preserve">himself.  His love of liberty, though sincere, was in fact</w:t></w:r>
</w:p>
<w:p>
<w:pPr><w:pStyle w:val="Normal"/></w:pPr>
<w:r><w:t xml:space="preserve">unreal.  It flattered his vanity to pose before the world as</w:t></w:r>
</w:p>
<w:p>
<w:pPr><w:pStyle w:val="Normal"/></w:pPr>
<w:r><w:t xml:space="preserve">the dispenser of benefits; but his theoretical liberalism was</w:t></w:r>
</w:p>
<w:p>
<w:pPr><w:pStyle w:val="Normal"/></w:pPr>
<w:r><w:t xml:space="preserve">mated with an autocratic will which brooked no contradiction.</w:t></w:r>
</w:p>
<w:p>
<w:pPr><w:pStyle w:val="Normal"/></w:pPr>
<w:r><w:t xml:space="preserve">``You always want to instruct me!&apos;&apos; he exlaimed to Derzhavin,</w:t></w:r>
</w:p>
<w:p>
<w:pPr><w:pStyle w:val="Normal"/></w:pPr>
<w:r><w:t xml:space="preserve">the minister of justice, ``but I am the autocratic emperor,</w:t></w:r>
</w:p>
<w:p>
<w:pPr><w:pStyle w:val="Normal"/></w:pPr>
<w:r><w:t xml:space="preserve">and I will this, and nothing else!&apos;&apos; ``He would gladly have</w:t></w:r>
</w:p>
<w:p>
<w:pPr><w:pStyle w:val="Normal"/></w:pPr>
<w:r><w:t xml:space="preserve">agreed,&apos;&apos; wrote Adam Czartoryski, ``that every one should be</w:t></w:r>
</w:p>
<w:p>
<w:pPr><w:pStyle w:val="Normal"/></w:pPr>
<w:r><w:t xml:space="preserve">free, if every one had freely done only what he wished.&apos;&apos;</w:t></w:r>
</w:p>
<w:p>
<w:pPr><w:pStyle w:val="Normal"/></w:pPr>
<w:r><w:t xml:space="preserve">Moreover, with this masterful temper was joined an infirmity</w:t></w:r>
</w:p>
<w:p>
<w:pPr><w:pStyle w:val="Normal"/></w:pPr>
<w:r><w:t xml:space="preserve">of purpose which ever let ``I dare not wait upon I would,&apos;&apos;</w:t></w:r>
</w:p>
<w:p>
<w:pPr><w:pStyle w:val="Normal"/></w:pPr>
<w:r><w:t xml:space="preserve">and which seized upon any excuse for postponing measures the</w:t></w:r>
</w:p>
<w:p>
<w:pPr><w:pStyle w:val="Normal"/></w:pPr>
<w:r><w:t xml:space="preserve">principles of which he had publicly approved.  The codification</w:t></w:r>
</w:p>
<w:p>
<w:pPr><w:pStyle w:val="Normal"/></w:pPr>
<w:r><w:t xml:space="preserve">of the laws initiated in 1801 was never carried out during his</w:t></w:r>
</w:p>
<w:p>
<w:pPr><w:pStyle w:val="Normal"/></w:pPr>
<w:r><w:t xml:space="preserve">reign; nothing was done to improve the intolerable status of</w:t></w:r>
</w:p>
<w:p>
<w:pPr><w:pStyle w:val="Normal"/></w:pPr>
<w:r><w:t xml:space="preserve">the Russian peasantry; the constitution drawn up by Speranski,</w:t></w:r>
</w:p>
<w:p>
<w:pPr><w:pStyle w:val="Normal"/></w:pPr>
<w:r><w:t xml:space="preserve">and passed by the emperor, remained unsigned.  Alexander, in</w:t></w:r>
</w:p>
<w:p>
<w:pPr><w:pStyle w:val="Normal"/></w:pPr>
<w:r><w:t xml:space="preserve">fact, who, without being consciously tyrannical, possessed</w:t></w:r>
</w:p>
<w:p>
<w:pPr><w:pStyle w:val="Normal"/></w:pPr>
<w:r><w:t xml:space="preserve">in full measure the tyrant&apos;s characteristic distrust of men</w:t></w:r>
</w:p>
<w:p>
<w:pPr><w:pStyle w:val="Normal"/></w:pPr>
<w:r><w:t xml:space="preserve">of ability and independent judgment, lacked also the first</w:t></w:r>
</w:p>
<w:p>
<w:pPr><w:pStyle w:val="Normal"/></w:pPr>
<w:r><w:t xml:space="preserve">requisite for a reforming sovereign: confidence in his people;</w:t></w:r>
</w:p>
<w:p>
<w:pPr><w:pStyle w:val="Normal"/></w:pPr>
<w:r><w:t xml:space="preserve">and it was this want that vitiated such reforms as were actually</w:t></w:r>
</w:p>
<w:p>
<w:pPr><w:pStyle w:val="Normal"/></w:pPr>
<w:r><w:t xml:space="preserve">realized.  He experimented in the outlying provinces of his</w:t></w:r>
</w:p>
<w:p>
<w:pPr><w:pStyle w:val="Normal"/></w:pPr>
<w:r><w:t xml:space="preserve">empire; and the Russians noted with open murmurs that, not content</w:t></w:r>
</w:p>
<w:p>
<w:pPr><w:pStyle w:val="Normal"/></w:pPr>
<w:r><w:t xml:space="preserve">with governing through foreign instruments, he was conferring</w:t></w:r>
</w:p>
<w:p>
<w:pPr><w:pStyle w:val="Normal"/></w:pPr>
<w:r><w:t xml:space="preserve">on Poland, Finland and the Baltic provinces benefits denied to</w:t></w:r>
</w:p>
<w:p>
<w:pPr><w:pStyle w:val="Normal"/></w:pPr>
<w:r><w:t xml:space="preserve">themselves.  In Russia, too, certain reforms were carried</w:t></w:r>
</w:p>
<w:p>
<w:pPr><w:pStyle w:val="Normal"/></w:pPr>
<w:r><w:t xml:space="preserve">out; but they could not survive the suspicious interference</w:t></w:r>
</w:p>
<w:p>
<w:pPr><w:pStyle w:val="Normal"/></w:pPr>
<w:r><w:t xml:space="preserve">of the autocrat and his officials.  The newly created council</w:t></w:r>
</w:p>
<w:p>
<w:pPr><w:pStyle w:val="Normal"/></w:pPr>
<w:r><w:t xml:space="preserve">of ministers, and the senate, endowed for the first time</w:t></w:r>
</w:p>
<w:p>
<w:pPr><w:pStyle w:val="Normal"/></w:pPr>
<w:r><w:t xml:space="preserve">with certain theoretical powers, became in the end but the</w:t></w:r>
</w:p>
<w:p>
<w:pPr><w:pStyle w:val="Normal"/></w:pPr>
<w:r><w:t xml:space="preserve">slavish instruments of the tsar and his favourites of the</w:t></w:r>
</w:p>
<w:p>
<w:pPr><w:pStyle w:val="Normal"/></w:pPr>
<w:r><w:t xml:space="preserve">moment.  The elaborate system of education, culminating in the</w:t></w:r>
</w:p>
<w:p>
<w:pPr><w:pStyle w:val="Normal"/></w:pPr>
<w:r><w:t xml:space="preserve">reconstituted, or new-founded, universities of Dorpat, Vilna,</w:t></w:r>
</w:p>
<w:p>
<w:pPr><w:pStyle w:val="Normal"/></w:pPr>
<w:r><w:t xml:space="preserve">Kazan and Kharkov, was strangled in the supposed interests of</w:t></w:r>
</w:p>
<w:p>
<w:pPr><w:pStyle w:val="Normal"/></w:pPr>
<w:r><w:t xml:space="preserve">``order&apos;&apos; and of orthodox piety; while the military colonies</w:t></w:r>
</w:p>
<w:p>
<w:pPr><w:pStyle w:val="Normal"/></w:pPr>
<w:r><w:t xml:space="preserve">which Alexander proclaimed as a blessing to both soldiers</w:t></w:r>
</w:p>
<w:p>
<w:pPr><w:pStyle w:val="Normal"/></w:pPr>
<w:r><w:t xml:space="preserve">and state were forced on the unwilling peasantry and army</w:t></w:r>
</w:p>
<w:p>
<w:pPr><w:pStyle w:val="Normal"/></w:pPr>
<w:r><w:t xml:space="preserve">with pitiless cruelty.  Even the Bible Society, through which</w:t></w:r>
</w:p>
<w:p>
<w:pPr><w:pStyle w:val="Normal"/></w:pPr>
<w:r><w:t xml:space="preserve">the emperor in his later mood of evangelical zeal proposed</w:t></w:r>
</w:p>
<w:p>
<w:pPr><w:pStyle w:val="Normal"/></w:pPr>
<w:r><w:t xml:space="preserve">to bless his people, was conducted on the same ruthless</w:t></w:r>
</w:p>
<w:p>
<w:pPr><w:pStyle w:val="Normal"/></w:pPr>
<w:r><w:t xml:space="preserve">lines.  The Roman archbishop and the Orthodox metropolitans</w:t></w:r>
</w:p>
<w:p>
<w:pPr><w:pStyle w:val="Normal"/></w:pPr>
<w:r><w:t xml:space="preserve">were forced to serve on its committee side by side with</w:t></w:r>
</w:p>
<w:p>
<w:pPr><w:pStyle w:val="Normal"/></w:pPr>
<w:r><w:t xml:space="preserve">Protestant pastors; and village popes, trained to regard any</w:t></w:r>
</w:p>
<w:p>
<w:pPr><w:pStyle w:val="Normal"/></w:pPr>
<w:r><w:t xml:space="preserve">tampering with the letter of the traditional documents of the</w:t></w:r>
</w:p>
<w:p>
<w:pPr><w:pStyle w:val="Normal"/></w:pPr>
<w:r><w:t xml:space="preserve">church as mortal sin, became the unwilling instruments for</w:t></w:r>
</w:p>
<w:p>
<w:pPr><w:pStyle w:val="Normal"/></w:pPr>
<w:r><w:t xml:space="preserve">the propagation of what they regarded as works of the devil.</w:t></w:r>
</w:p>
<w:p>
<w:pPr><w:pStyle w:val="Normal"/></w:pPr>
<w:r><w:t xml:space="preserve">Alexander&apos;s grandiose imagination was, however, more strongly</w:t></w:r>
</w:p>
<w:p>
<w:pPr><w:pStyle w:val="Normal"/></w:pPr>
<w:r><w:t xml:space="preserve">attracted by the great questions of European politics than</w:t></w:r>
</w:p>
<w:p>
<w:pPr><w:pStyle w:val="Normal"/></w:pPr>
<w:r><w:t xml:space="preserve">by attempts at domestic reform which, on the whole, wounded</w:t></w:r>
</w:p>
<w:p>
<w:pPr><w:pStyle w:val="Normal"/></w:pPr>
<w:r><w:t xml:space="preserve">his pride by proving to him the narrow limits of absolute</w:t></w:r>
</w:p>
<w:p>
<w:pPr><w:pStyle w:val="Normal"/></w:pPr>
<w:r><w:t xml:space="preserve">power.  On the morrow of his accession he had reversed the</w:t></w:r>
</w:p>
<w:p>
<w:pPr><w:pStyle w:val="Normal"/></w:pPr>
<w:r><w:t xml:space="preserve">policy of Paul, denounced the League of Neutrals, and made</w:t></w:r>
</w:p>
<w:p>
<w:pPr><w:pStyle w:val="Normal"/></w:pPr>
<w:r><w:t xml:space="preserve">peace with England (April 1801), at the same time opening</w:t></w:r>
</w:p>
<w:p>
<w:pPr><w:pStyle w:val="Normal"/></w:pPr>
<w:r><w:t xml:space="preserve">negotiations with Austria.  Soon afterwards at Memel he</w:t></w:r>
</w:p>
<w:p>
<w:pPr><w:pStyle w:val="Normal"/></w:pPr>
<w:r><w:t xml:space="preserve">entered into a close alliance with Prussia, not as he boasted</w:t></w:r>
</w:p>
<w:p>
<w:pPr><w:pStyle w:val="Normal"/></w:pPr>
<w:r><w:t xml:space="preserve">from motives of policy, but in the spirit of true chivalry,</w:t></w:r>
</w:p>
<w:p>
<w:pPr><w:pStyle w:val="Normal"/></w:pPr>
<w:r><w:t xml:space="preserve">out of friendship for the young king Frederick William and</w:t></w:r>
</w:p>
<w:p>
<w:pPr><w:pStyle w:val="Normal"/></w:pPr>
<w:r><w:t xml:space="preserve">his beautiful wife.  The development of this alliance was</w:t></w:r>
</w:p>
<w:p>
<w:pPr><w:pStyle w:val="Normal"/></w:pPr>
<w:r><w:t xml:space="preserve">interrupted by the short-lived peace of October 1801; and for</w:t></w:r>
</w:p>
<w:p>
<w:pPr><w:pStyle w:val="Normal"/></w:pPr>
<w:r><w:t xml:space="preserve">a while it seemed as though France and Russia might come to an</w:t></w:r>
</w:p>
<w:p>
<w:pPr><w:pStyle w:val="Normal"/></w:pPr>
<w:r><w:t xml:space="preserve">understanding.  Carried away by the enthusiasm of Laharpe,</w:t></w:r>
</w:p>
<w:p>
<w:pPr><w:pStyle w:val="Normal"/></w:pPr>
<w:r><w:t xml:space="preserve">who had returned to Russia from Paris, Alexander began</w:t></w:r>
</w:p>
<w:p>
<w:pPr><w:pStyle w:val="Normal"/></w:pPr>
<w:r><w:t xml:space="preserve">openly to proclaim his admiration for French institutions</w:t></w:r>
</w:p>
<w:p>
<w:pPr><w:pStyle w:val="Normal"/></w:pPr>
<w:r><w:t xml:space="preserve">and for the person of Bonaparte.  Soon, however, came a</w:t></w:r>
</w:p>
<w:p>
<w:pPr><w:pStyle w:val="Normal"/></w:pPr>
<w:r><w:t xml:space="preserve">change.  Laharpe, after a new visit to Paris, presented to</w:t></w:r>
</w:p>
<w:p>
<w:pPr><w:pStyle w:val="Normal"/></w:pPr>
<w:r><w:t xml:space="preserve">the tsar his Reflexions on the True Nature of the Consulship</w:t></w:r>
</w:p>
<w:p>
<w:pPr><w:pStyle w:val="Normal"/></w:pPr>
<w:r><w:t xml:space="preserve">for Life, which, as Alexander said, tore the veil from his</w:t></w:r>
</w:p>
<w:p>
<w:pPr><w:pStyle w:val="Normal"/></w:pPr>
<w:r><w:t xml:space="preserve">eyes, and revealed Bonaparte ``as not a true patriot,&apos;&apos; but</w:t></w:r>
</w:p>
<w:p>
<w:pPr><w:pStyle w:val="Normal"/></w:pPr>
<w:r><w:t xml:space="preserve">only as ``the most famous tyrant the world has produced.&apos;&apos;</w:t></w:r>
</w:p>
<w:p>
<w:pPr><w:pStyle w:val="Normal"/></w:pPr>
<w:r><w:t xml:space="preserve">His disillusionment was completed by the murder of the duc</w:t></w:r>
</w:p>
<w:p>
<w:pPr><w:pStyle w:val="Normal"/></w:pPr>
<w:r><w:t xml:space="preserve">d&apos;Enghien.  The Russian court went into mourning for the last of</w:t></w:r>
</w:p>
<w:p>
<w:pPr><w:pStyle w:val="Normal"/></w:pPr>
<w:r><w:t xml:space="preserve">the Condes, and diplomatic relations with Paris were broken off.</w:t></w:r>
</w:p>
<w:p>
<w:pPr><w:pStyle w:val="Normal"/></w:pPr>
<w:r><w:t xml:space="preserve">The events of the war that followed belong to the general</w:t></w:r>
</w:p>
<w:p>
<w:pPr><w:pStyle w:val="Normal"/></w:pPr>
<w:r><w:t xml:space="preserve">history of Europe; but the tsar&apos;s attitude throughout is</w:t></w:r>
</w:p>
<w:p>
<w:pPr><w:pStyle w:val="Normal"/></w:pPr>
<w:r><w:t xml:space="preserve">personal to himself, though pregnant with issues momentous</w:t></w:r>
</w:p>
<w:p>
<w:pPr><w:pStyle w:val="Normal"/></w:pPr>
<w:r><w:t xml:space="preserve">for the world.  In opposing Napoleon, ``the oppressor of</w:t></w:r>
</w:p>
<w:p>
<w:pPr><w:pStyle w:val="Normal"/></w:pPr>
<w:r><w:t xml:space="preserve">Europe and the disturber of the world&apos;s peace,&apos;&apos; Alexander</w:t></w:r>
</w:p>
<w:p>
<w:pPr><w:pStyle w:val="Normal"/></w:pPr>
<w:r><w:t xml:space="preserve">in fact already believed himself to be fulfilling a divine</w:t></w:r>
</w:p>
<w:p>
<w:pPr><w:pStyle w:val="Normal"/></w:pPr>
<w:r><w:t xml:space="preserve">mission.  In his instructions to Novosiltsov, his special</w:t></w:r>
</w:p>
<w:p>
<w:pPr><w:pStyle w:val="Normal"/></w:pPr>
<w:r><w:t xml:space="preserve">envoy in London, the tsar elaborated the motives of his policy</w:t></w:r>
</w:p>
<w:p>
<w:pPr><w:pStyle w:val="Normal"/></w:pPr>
<w:r><w:t xml:space="preserve">in language which appealed as little to the common sense of</w:t></w:r>
</w:p>
<w:p>
<w:pPr><w:pStyle w:val="Normal"/></w:pPr>
<w:r><w:t xml:space="preserve">Pitt as did later the treaty of the Holy Alliance to that of</w:t></w:r>
</w:p>
<w:p>
<w:pPr><w:pStyle w:val="Normal"/></w:pPr>
<w:r><w:t xml:space="preserve">Castlereagh.  Yet the document is of great interest, as in it</w:t></w:r>
</w:p>
<w:p>
<w:pPr><w:pStyle w:val="Normal"/></w:pPr>
<w:r><w:t xml:space="preserve">we find formulated for the first time in an official despatch</w:t></w:r>
</w:p>
<w:p>
<w:pPr><w:pStyle w:val="Normal"/></w:pPr>
<w:r><w:t xml:space="preserve">those exalted ideals of international policy which were to</w:t></w:r>
</w:p>
<w:p>
<w:pPr><w:pStyle w:val="Normal"/></w:pPr>
<w:r><w:t xml:space="preserve">play so conspicuous a part in the affairs of the world at the</w:t></w:r>
</w:p>
<w:p>
<w:pPr><w:pStyle w:val="Normal"/></w:pPr>
<w:r><w:t xml:space="preserve">close of the revolutionary epoch, and issued at the end of</w:t></w:r>
</w:p>
<w:p>
<w:pPr><w:pStyle w:val="Normal"/></w:pPr>
<w:r><w:t xml:space="preserve">the 19th century in the Rescript of Nicholas II.2 and the</w:t></w:r>
</w:p>
<w:p>
<w:pPr><w:pStyle w:val="Normal"/></w:pPr>
<w:r><w:t xml:space="preserve">conference of the Hague.  The outcome of the war, Alexander</w:t></w:r>
</w:p>
<w:p>
<w:pPr><w:pStyle w:val="Normal"/></w:pPr>
<w:r><w:t xml:space="preserve">argued, was not to be only the liberation of France, but the</w:t></w:r>
</w:p>
<w:p>
<w:pPr><w:pStyle w:val="Normal"/></w:pPr>
<w:r><w:t xml:space="preserve">universal triumph of ``the sacred rights of humanity.&apos;&apos; To</w:t></w:r>
</w:p>
<w:p>
<w:pPr><w:pStyle w:val="Normal"/></w:pPr>
<w:r><w:t xml:space="preserve">attain this it would be necessary ``after having attached the</w:t></w:r>
</w:p>
<w:p>
<w:pPr><w:pStyle w:val="Normal"/></w:pPr>
<w:r><w:t xml:space="preserve">nations to their government by making these incapable of acting</w:t></w:r>
</w:p>
<w:p>
<w:pPr><w:pStyle w:val="Normal"/></w:pPr>
<w:r><w:t xml:space="preserve">save in the greatest interests of their subjects, to fix the</w:t></w:r>
</w:p>
<w:p>
<w:pPr><w:pStyle w:val="Normal"/></w:pPr>
<w:r><w:t xml:space="preserve">relations of the states amongst each other on more precise</w:t></w:r>
</w:p>
<w:p>
<w:pPr><w:pStyle w:val="Normal"/></w:pPr>
<w:r><w:t xml:space="preserve">rules, and such as it is to their interest to respect.&apos;&apos; A</w:t></w:r>
</w:p>
<w:p>
<w:pPr><w:pStyle w:val="Normal"/></w:pPr>
<w:r><w:t xml:space="preserve">general treaty was to become the basis of the relations of</w:t></w:r>
</w:p>
<w:p>
<w:pPr><w:pStyle w:val="Normal"/></w:pPr>
<w:r><w:t xml:space="preserve">the states forming ``the European Confederation&apos;&apos;; and this,</w:t></w:r>
</w:p>
<w:p>
<w:pPr><w:pStyle w:val="Normal"/></w:pPr>
<w:r><w:t xml:space="preserve">though ``it was no question of realizing the dream of universal</w:t></w:r>
</w:p>
<w:p>
<w:pPr><w:pStyle w:val="Normal"/></w:pPr>
<w:r><w:t xml:space="preserve">peace, would attain some of its results if, at the conclusion</w:t></w:r>
</w:p>
<w:p>
<w:pPr><w:pStyle w:val="Normal"/></w:pPr>
<w:r><w:t xml:space="preserve">of the general war, it were possible to establish on clear</w:t></w:r>
</w:p>
<w:p>
<w:pPr><w:pStyle w:val="Normal"/></w:pPr>
<w:r><w:t xml:space="preserve">principles the prescriptions of the rights of nations.&apos;&apos; ``Why</w:t></w:r>
</w:p>
<w:p>
<w:pPr><w:pStyle w:val="Normal"/></w:pPr>
<w:r><w:t xml:space="preserve">could not one submit to it,&apos;&apos; the tsar continued, ``the positive</w:t></w:r>
</w:p>
<w:p>
<w:pPr><w:pStyle w:val="Normal"/></w:pPr>
<w:r><w:t xml:space="preserve">rights of nations, assure the privilege of neutrality, insert</w:t></w:r>
</w:p>
<w:p>
<w:pPr><w:pStyle w:val="Normal"/></w:pPr>
<w:r><w:t xml:space="preserve">the obligation of never beginning war until all the resources</w:t></w:r>
</w:p>
<w:p>
<w:pPr><w:pStyle w:val="Normal"/></w:pPr>
<w:r><w:t xml:space="preserve">which the mediation of a third party could offer have been</w:t></w:r>
</w:p>
<w:p>
<w:pPr><w:pStyle w:val="Normal"/></w:pPr>
<w:r><w:t xml:space="preserve">exhausted, having by this means brought to light the respective</w:t></w:r>
</w:p>
<w:p>
<w:pPr><w:pStyle w:val="Normal"/></w:pPr>
<w:r><w:t xml:space="preserve">grievances, and tried to remove them? It is on such principles</w:t></w:r>
</w:p>
<w:p>
<w:pPr><w:pStyle w:val="Normal"/></w:pPr>
<w:r><w:t xml:space="preserve">as these that one could proceed to a general pacification,</w:t></w:r>
</w:p>
<w:p>
<w:pPr><w:pStyle w:val="Normal"/></w:pPr>
<w:r><w:t xml:space="preserve">and give birth to a league of which the stipulations would</w:t></w:r>
</w:p>
<w:p>
<w:pPr><w:pStyle w:val="Normal"/></w:pPr>
<w:r><w:t xml:space="preserve">form, so to speak, a new code of the law of nations, which,</w:t></w:r>
</w:p>
<w:p>
<w:pPr><w:pStyle w:val="Normal"/></w:pPr>
<w:r><w:t xml:space="preserve">sanctioned by the greater part of the nations of Europe,</w:t></w:r>
</w:p>
<w:p>
<w:pPr><w:pStyle w:val="Normal"/></w:pPr>
<w:r><w:t xml:space="preserve">would without difficulty become the immutable rule of the</w:t></w:r>
</w:p>
<w:p>
<w:pPr><w:pStyle w:val="Normal"/></w:pPr>
<w:r><w:t xml:space="preserve">cabinets, while those who should try to infringe it would</w:t></w:r>
</w:p>
<w:p>
<w:pPr><w:pStyle w:val="Normal"/></w:pPr>
<w:r><w:t xml:space="preserve">risk bringing upon themselves the forces of the new union.&apos;&apos;3</w:t></w:r>
</w:p>
<w:p>
<w:pPr><w:pStyle w:val="Normal"/></w:pPr>
<w:r><w:t xml:space="preserve">Meanwhile Napoleon, little deterred by the Russian autocrat&apos;s</w:t></w:r>
</w:p>
<w:p>
<w:pPr><w:pStyle w:val="Normal"/></w:pPr>
<w:r><w:t xml:space="preserve">youthful idealogy, never gave up hope of detaching him from</w:t></w:r>
</w:p>
<w:p>
<w:pPr><w:pStyle w:val="Normal"/></w:pPr>
<w:r><w:t xml:space="preserve">the coalition.  He had no sooner entered Vienna in triumph</w:t></w:r>
</w:p>
<w:p>
<w:pPr><w:pStyle w:val="Normal"/></w:pPr>
<w:r><w:t xml:space="preserve">than he opened negotiations with him; he resumed them after</w:t></w:r>
</w:p>
<w:p>
<w:pPr><w:pStyle w:val="Normal"/></w:pPr>
<w:r><w:t xml:space="preserve">Austerlitz.  Russia and France, he urged, were ``geographical</w:t></w:r>
</w:p>
<w:p>
<w:pPr><w:pStyle w:val="Normal"/></w:pPr>
<w:r><w:t xml:space="preserve">allies&apos;&apos;; there was, and could be, between them no true</w:t></w:r>
</w:p>
<w:p>
<w:pPr><w:pStyle w:val="Normal"/></w:pPr>
<w:r><w:t xml:space="preserve">conflict of interests; together they might rule the world.  But</w:t></w:r>
</w:p>
<w:p>
<w:pPr><w:pStyle w:val="Normal"/></w:pPr>
<w:r><w:t xml:space="preserve">Alexander was still determined ``to persist in the system of</w:t></w:r>
</w:p>
<w:p>
<w:pPr><w:pStyle w:val="Normal"/></w:pPr>
<w:r><w:t xml:space="preserve">disinterestedness in respect of all the states of Europe which</w:t></w:r>
</w:p>
<w:p>
<w:pPr><w:pStyle w:val="Normal"/></w:pPr>
<w:r><w:t xml:space="preserve">he had thus far followed,&apos;&apos; and he again allied himself with</w:t></w:r>
</w:p>
<w:p>
<w:pPr><w:pStyle w:val="Normal"/></w:pPr>
<w:r><w:t xml:space="preserve">Prussia.  The campaign of Jena and the battle of Eylau followed;</w:t></w:r>
</w:p>
<w:p>
<w:pPr><w:pStyle w:val="Normal"/></w:pPr>
<w:r><w:t xml:space="preserve">and Napoleon, though still intent on the Russian alliance,</w:t></w:r>
</w:p>
<w:p>
<w:pPr><w:pStyle w:val="Normal"/></w:pPr>
<w:r><w:t xml:space="preserve">stirred up Poles, Turks and Persians to break the obstinacy of</w:t></w:r>
</w:p>
<w:p>
<w:pPr><w:pStyle w:val="Normal"/></w:pPr>
<w:r><w:t xml:space="preserve">the tsar.  A party too in Russia itself, headed by the tsar&apos;s</w:t></w:r>
</w:p>
<w:p>
<w:pPr><w:pStyle w:val="Normal"/></w:pPr>
<w:r><w:t xml:space="preserve">brother the grand-duke Constantine, was clamorous for peace;</w:t></w:r>
</w:p>
<w:p>
<w:pPr><w:pStyle w:val="Normal"/></w:pPr>
<w:r><w:t xml:space="preserve">but Alexander, after a vain attempt to form a new coalition,</w:t></w:r>
</w:p>
<w:p>
<w:pPr><w:pStyle w:val="Normal"/></w:pPr>
<w:r><w:t xml:space="preserve">summoned the Russian nation to a holy war against Napoleon as</w:t></w:r>
</w:p>
<w:p>
<w:pPr><w:pStyle w:val="Normal"/></w:pPr>
<w:r><w:t xml:space="preserve">the enemy of the orthodox faith.  The outcome was the rout of</w:t></w:r>
</w:p>
<w:p>
<w:pPr><w:pStyle w:val="Normal"/></w:pPr>
<w:r><w:t xml:space="preserve">Friedland (June 13 and 14, 1807).  Napoleon saw his chance and</w:t></w:r>
</w:p>
<w:p>
<w:pPr><w:pStyle w:val="Normal"/></w:pPr>
<w:r><w:t xml:space="preserve">seized it.  Instead of making heavy terms, he offered to the</w:t></w:r>
</w:p>
<w:p>
<w:pPr><w:pStyle w:val="Normal"/></w:pPr>
<w:r><w:t xml:space="preserve">chastened autocrat his alliance, and a partnership in his glory.</w:t></w:r>
</w:p>
<w:p>
<w:pPr><w:pStyle w:val="Normal"/></w:pPr>
<w:r><w:t xml:space="preserve">The two emperors met at Tilsit on the 25th of June.  Alexander,</w:t></w:r>
</w:p>
<w:p>
<w:pPr><w:pStyle w:val="Normal"/></w:pPr>
<w:r><w:t xml:space="preserve">dazzled by Napoleon&apos;s genius and overwhelmed by his apparent</w:t></w:r>
</w:p>
<w:p>
<w:pPr><w:pStyle w:val="Normal"/></w:pPr>
<w:r><w:t xml:space="preserve">generosity, was completely won.  Napoleon knew well how to</w:t></w:r>
</w:p>
<w:p>
<w:pPr><w:pStyle w:val="Normal"/></w:pPr>
<w:r><w:t xml:space="preserve">appeal to the exuberant imagination of his new-found friend.</w:t></w:r>
</w:p>
<w:p>
<w:pPr><w:pStyle w:val="Normal"/></w:pPr>
<w:r><w:t xml:space="preserve">He would divide with Alexander the empire of the world; as a</w:t></w:r>
</w:p>
<w:p>
<w:pPr><w:pStyle w:val="Normal"/></w:pPr>
<w:r><w:t xml:space="preserve">first step he would leave him in possession of the Danubian</w:t></w:r>
</w:p>
<w:p>
<w:pPr><w:pStyle w:val="Normal"/></w:pPr>
<w:r><w:t xml:space="preserve">principalities and give him a free hand to deal with Finland;</w:t></w:r>
</w:p>
<w:p>
<w:pPr><w:pStyle w:val="Normal"/></w:pPr>
<w:r><w:t xml:space="preserve">and, afterwards, the emperors of the East and West, when the</w:t></w:r>
</w:p>
<w:p>
<w:pPr><w:pStyle w:val="Normal"/></w:pPr>
<w:r><w:t xml:space="preserve">time should be ripe, would drive the Turks from Europe and</w:t></w:r>
</w:p>
<w:p>
<w:pPr><w:pStyle w:val="Normal"/></w:pPr>
<w:r><w:t xml:space="preserve">march across Asia to the conquest of India.  A programme so</w:t></w:r>
</w:p>
<w:p>
<w:pPr><w:pStyle w:val="Normal"/></w:pPr>
<w:r><w:t xml:space="preserve">stupendous awoke in Alexander&apos;s impressionable mind an ambition</w:t></w:r>
</w:p>
<w:p>
<w:pPr><w:pStyle w:val="Normal"/></w:pPr>
<w:r><w:t xml:space="preserve">to which he had hitherto been a stranger.  The interests of</w:t></w:r>
</w:p>
<w:p>
<w:pPr><w:pStyle w:val="Normal"/></w:pPr>
<w:r><w:t xml:space="preserve">Europe were forgotten. ``What is Europe?&apos;&apos; he exclaimed to the</w:t></w:r>
</w:p>
<w:p>
<w:pPr><w:pStyle w:val="Normal"/></w:pPr>
<w:r><w:t xml:space="preserve">French ambassador. ``Where is it, if it is not you and we?&apos;&apos;4</w:t></w:r>
</w:p>
<w:p>
<w:pPr><w:pStyle w:val="Normal"/></w:pPr>
<w:r><w:t xml:space="preserve">The brilliance of these new visions did not, however, blind</w:t></w:r>
</w:p>
<w:p>
<w:pPr><w:pStyle w:val="Normal"/></w:pPr>
<w:r><w:t xml:space="preserve">Alexander to the obligations of friendship; and he refused</w:t></w:r>
</w:p>
<w:p>
<w:pPr><w:pStyle w:val="Normal"/></w:pPr>
<w:r><w:t xml:space="preserve">to retain the Danubian principalities as the price for</w:t></w:r>
</w:p>
<w:p>
<w:pPr><w:pStyle w:val="Normal"/></w:pPr>
<w:r><w:t xml:space="preserve">suffering a further dismemberment of Prussia. ``We have made</w:t></w:r>
</w:p>
<w:p>
<w:pPr><w:pStyle w:val="Normal"/></w:pPr>
<w:r><w:t xml:space="preserve">loyal war,&apos;&apos; he said, ``we must make a loyal peace.&apos;&apos; It</w:t></w:r>
</w:p>
<w:p>
<w:pPr><w:pStyle w:val="Normal"/></w:pPr>
<w:r><w:t xml:space="preserve">was not long before the first enthusiasm of Tilsit began to</w:t></w:r>
</w:p>
<w:p>
<w:pPr><w:pStyle w:val="Normal"/></w:pPr>
<w:r><w:t xml:space="preserve">wane.  Napoleon was prodigal of promises, but niggard of their</w:t></w:r>
</w:p>
<w:p>
<w:pPr><w:pStyle w:val="Normal"/></w:pPr>
<w:r><w:t xml:space="preserve">fulfilment.  The French remained in Prussia, the Russians on</w:t></w:r>
</w:p>
<w:p>
<w:pPr><w:pStyle w:val="Normal"/></w:pPr>
<w:r><w:t xml:space="preserve">the Danube; and each accused the other of breach of faith.</w:t></w:r>
</w:p>
<w:p>
<w:pPr><w:pStyle w:val="Normal"/></w:pPr>
<w:r><w:t xml:space="preserve">Meanwhile, however, the personal relations of Alexander and</w:t></w:r>
</w:p>
<w:p>
<w:pPr><w:pStyle w:val="Normal"/></w:pPr>
<w:r><w:t xml:space="preserve">Napoleon were of the most cordial character; and it was hoped</w:t></w:r>
</w:p>
<w:p>
<w:pPr><w:pStyle w:val="Normal"/></w:pPr>
<w:r><w:t xml:space="preserve">that a fresh meeting might adjust all differences between</w:t></w:r>
</w:p>
<w:p>
<w:pPr><w:pStyle w:val="Normal"/></w:pPr>
<w:r><w:t xml:space="preserve">them.  The meeting took place at Erfurt in October 1808, and</w:t></w:r>
</w:p>
<w:p>
<w:pPr><w:pStyle w:val="Normal"/></w:pPr>
<w:r><w:t xml:space="preserve">resulted in a treaty which defined the common policy of the two</w:t></w:r>
</w:p>
<w:p>
<w:pPr><w:pStyle w:val="Normal"/></w:pPr>
<w:r><w:t xml:space="preserve">emperors.  But Alexander&apos;s relations with Napoleon none</w:t></w:r>
</w:p>
<w:p>
<w:pPr><w:pStyle w:val="Normal"/></w:pPr>
<w:r><w:t xml:space="preserve">the less suffered a change.  He realized that in Napoleon</w:t></w:r>
</w:p>
<w:p>
<w:pPr><w:pStyle w:val="Normal"/></w:pPr>
<w:r><w:t xml:space="preserve">sentiment never got the better of reason, that as a matter of</w:t></w:r>
</w:p>
<w:p>
<w:pPr><w:pStyle w:val="Normal"/></w:pPr>
<w:r><w:t xml:space="preserve">fact he had never intended his proposed ``grand enterprise&apos;&apos;</w:t></w:r>
</w:p>
<w:p>
<w:pPr><w:pStyle w:val="Normal"/></w:pPr>
<w:r><w:t xml:space="preserve">seriously, and had only used it to preoccupy the mind of the</w:t></w:r>
</w:p>
<w:p>
<w:pPr><w:pStyle w:val="Normal"/></w:pPr>
<w:r><w:t xml:space="preserve">tsar while he consolidated his own power in central Europe.</w:t></w:r>
</w:p>
<w:p>
<w:pPr><w:pStyle w:val="Normal"/></w:pPr>
<w:r><w:t xml:space="preserve">From this moment the French alliance was for Alexander also</w:t></w:r>
</w:p>
<w:p>
<w:pPr><w:pStyle w:val="Normal"/></w:pPr>
<w:r><w:t xml:space="preserve">not a fraternal agreement to rule the world, but an affair</w:t></w:r>
</w:p>
<w:p>
<w:pPr><w:pStyle w:val="Normal"/></w:pPr>
<w:r><w:t xml:space="preserve">of pure policy.  He used it, in the first instance, to remove</w:t></w:r>
</w:p>
<w:p>
<w:pPr><w:pStyle w:val="Normal"/></w:pPr>
<w:r><w:t xml:space="preserve">``the geographical enemy&apos;&apos; from the gates of St Petersburg</w:t></w:r>
</w:p>
<w:p>
<w:pPr><w:pStyle w:val="Normal"/></w:pPr>
<w:r><w:t xml:space="preserve">by wresting Finland from the Swedes (1809); and he hoped</w:t></w:r>
</w:p>
<w:p>
<w:pPr><w:pStyle w:val="Normal"/></w:pPr>
<w:r><w:t xml:space="preserve">by means of it to make the Danube the southern frontier of</w:t></w:r>
</w:p>
<w:p>
<w:pPr><w:pStyle w:val="Normal"/></w:pPr>
<w:r><w:t xml:space="preserve">Russia.  Events were in fact rapidly tending to the rupture</w:t></w:r>
</w:p>
<w:p>
<w:pPr><w:pStyle w:val="Normal"/></w:pPr>
<w:r><w:t xml:space="preserve">of the Franco-Russian alliance.  Alexander, indeed, assisted</w:t></w:r>
</w:p>
<w:p>
<w:pPr><w:pStyle w:val="Normal"/></w:pPr>
<w:r><w:t xml:space="preserve">Napoleon in the war of 1809, but he declared plainly that</w:t></w:r>
</w:p>
<w:p>
<w:pPr><w:pStyle w:val="Normal"/></w:pPr>
<w:r><w:t xml:space="preserve">he would not allow Austria to be crushed out of existence;</w:t></w:r>
</w:p>
<w:p>
<w:pPr><w:pStyle w:val="Normal"/></w:pPr>
<w:r><w:t xml:space="preserve">and Napoleon complained bitterly of the inactivity of the</w:t></w:r>
</w:p>
<w:p>
<w:pPr><w:pStyle w:val="Normal"/></w:pPr>
<w:r><w:t xml:space="preserve">Russian troops during the campaign.  The tsar in his turn</w:t></w:r>
</w:p>
<w:p>
<w:pPr><w:pStyle w:val="Normal"/></w:pPr>
<w:r><w:t xml:space="preserve">protested against Napoleon&apos;s encouragement of the Poles.</w:t></w:r>
</w:p>
<w:p>
<w:pPr><w:pStyle w:val="Normal"/></w:pPr>
<w:r><w:t xml:space="preserve">In the matter of the French alliance he knew himself to be</w:t></w:r>
</w:p>
<w:p>
<w:pPr><w:pStyle w:val="Normal"/></w:pPr>
<w:r><w:t xml:space="preserve">practically isolated in Russia, and he declared that he could</w:t></w:r>
</w:p>
<w:p>
<w:pPr><w:pStyle w:val="Normal"/></w:pPr>
<w:r><w:t xml:space="preserve">not sacrifice the interest of his people and empire to his</w:t></w:r>
</w:p>
<w:p>
<w:pPr><w:pStyle w:val="Normal"/></w:pPr>
<w:r><w:t xml:space="preserve">affection for Napoleon. ``I don&apos;t want anything for myself,&apos;&apos;</w:t></w:r>
</w:p>
<w:p>
<w:pPr><w:pStyle w:val="Normal"/></w:pPr>
<w:r><w:t xml:space="preserve">he said to the French ambassador, ``therefore the world is</w:t></w:r>
</w:p>
<w:p>
<w:pPr><w:pStyle w:val="Normal"/></w:pPr>
<w:r><w:t xml:space="preserve">not large enough to come to an understanding on the affairs</w:t></w:r>
</w:p>
<w:p>
<w:pPr><w:pStyle w:val="Normal"/></w:pPr>
<w:r><w:t xml:space="preserve">of Poland, if it is a question of its restoration.&apos;&apos;5 The</w:t></w:r>
</w:p>
<w:p>
<w:pPr><w:pStyle w:val="Normal"/></w:pPr>
<w:r><w:t xml:space="preserve">treaty of Vienna, which added largely to the grand-duchy of</w:t></w:r>
</w:p>
<w:p>
<w:pPr><w:pStyle w:val="Normal"/></w:pPr>
<w:r><w:t xml:space="preserve">Warsaw, he complained had ``ill requited him for his loyalty,&apos;&apos;</w:t></w:r>
</w:p>
<w:p>
<w:pPr><w:pStyle w:val="Normal"/></w:pPr>
<w:r><w:t xml:space="preserve">and he was only mollified for the time by Napoleon&apos;s public</w:t></w:r>
</w:p>
<w:p>
<w:pPr><w:pStyle w:val="Normal"/></w:pPr>
<w:r><w:t xml:space="preserve">declaration that he had no intention of restoring Poland, and</w:t></w:r>
</w:p>
<w:p>
<w:pPr><w:pStyle w:val="Normal"/></w:pPr>
<w:r><w:t xml:space="preserve">by a convention, signed on the 4th of January 1810 but not</w:t></w:r>
</w:p>
<w:p>
<w:pPr><w:pStyle w:val="Normal"/></w:pPr>
<w:r><w:t xml:space="preserve">ratified, abolishing the Polish name and orders of chivalry.</w:t></w:r>
</w:p>
<w:p>
<w:pPr><w:pStyle w:val="Normal"/></w:pPr>
<w:r><w:t xml:space="preserve">But if Alexander suspected Napoleon, Napoleon was no less</w:t></w:r>
</w:p>
<w:p>
<w:pPr><w:pStyle w:val="Normal"/></w:pPr>
<w:r><w:t xml:space="preserve">suspicious of Alexander; and, partly to test his sincerity, he</w:t></w:r>
</w:p>
<w:p>
<w:pPr><w:pStyle w:val="Normal"/></w:pPr>
<w:r><w:t xml:space="preserve">sent an almost peremptory request for the hand of the grand-</w:t></w:r>
</w:p>
<w:p>
<w:pPr><w:pStyle w:val="Normal"/></w:pPr>
<w:r><w:t xml:space="preserve">duchess Anne, the tsar&apos;s youngest sister.  After some little</w:t></w:r>
</w:p>
<w:p>
<w:pPr><w:pStyle w:val="Normal"/></w:pPr>
<w:r><w:t xml:space="preserve">delay Alexander returned a polite refusal, on the plea of the</w:t></w:r>
</w:p>
<w:p>
<w:pPr><w:pStyle w:val="Normal"/></w:pPr>
<w:r><w:t xml:space="preserve">princess&apos;s tender age and the objection of the dowager empress</w:t></w:r>
</w:p>
<w:p>
<w:pPr><w:pStyle w:val="Normal"/></w:pPr>
<w:r><w:t xml:space="preserve">to the marriage.  Napoleon&apos;s answer was to refuse to ratify</w:t></w:r>
</w:p>
<w:p>
<w:pPr><w:pStyle w:val="Normal"/></w:pPr>
<w:r><w:t xml:space="preserve">the convention of the 4th of January, and to announce his</w:t></w:r>
</w:p>
<w:p>
<w:pPr><w:pStyle w:val="Normal"/></w:pPr>
<w:r><w:t xml:space="preserve">engagement to the archduchess Marie Louise in such a way as to</w:t></w:r>
</w:p>
<w:p>
<w:pPr><w:pStyle w:val="Normal"/></w:pPr>
<w:r><w:t xml:space="preserve">lead Alexander to suppose that the two marriage treaties had</w:t></w:r>
</w:p>
<w:p>
<w:pPr><w:pStyle w:val="Normal"/></w:pPr>
<w:r><w:t xml:space="preserve">been negotiated simultaneously.  From this time the relation</w:t></w:r>
</w:p>
<w:p>
<w:pPr><w:pStyle w:val="Normal"/></w:pPr>
<w:r><w:t xml:space="preserve">between the two emperors gradually became more and more</w:t></w:r>
</w:p>
<w:p>
<w:pPr><w:pStyle w:val="Normal"/></w:pPr>
<w:r><w:t xml:space="preserve">strained.  The annexation of Oldenburg, of which the duke was</w:t></w:r>
</w:p>
<w:p>
<w:pPr><w:pStyle w:val="Normal"/></w:pPr>
<w:r><w:t xml:space="preserve">the tsar&apos;s uncle, to France in December 1810, added another to</w:t></w:r>
</w:p>
<w:p>
<w:pPr><w:pStyle w:val="Normal"/></w:pPr>
<w:r><w:t xml:space="preserve">the personal grievances of Alexander against Napoleon; while</w:t></w:r>
</w:p>
<w:p>
<w:pPr><w:pStyle w:val="Normal"/></w:pPr>
<w:r><w:t xml:space="preserve">the ruinous reaction of ``the continental system&apos;&apos; on Russian</w:t></w:r>
</w:p>
<w:p>
<w:pPr><w:pStyle w:val="Normal"/></w:pPr>
<w:r><w:t xml:space="preserve">trade made it impossible for the tsar to maintain a policy</w:t></w:r>
</w:p>
<w:p>
<w:pPr><w:pStyle w:val="Normal"/></w:pPr>
<w:r><w:t xml:space="preserve">which was Napoleon&apos;s chief motive for the alliance.  An acid</w:t></w:r>
</w:p>
<w:p>
<w:pPr><w:pStyle w:val="Normal"/></w:pPr>
<w:r><w:t xml:space="preserve">correspondence followed, and ill-concealed armaments, which</w:t></w:r>
</w:p>
<w:p>
<w:pPr><w:pStyle w:val="Normal"/></w:pPr>
<w:r><w:t xml:space="preserve">culminated in the summer of 1812 in Napoleon&apos;s invasion of</w:t></w:r>
</w:p>
<w:p>
<w:pPr><w:pStyle w:val="Normal"/></w:pPr>
<w:r><w:t xml:space="preserve">Russia.  Yet, even after the French had passed the frontier,</w:t></w:r>
</w:p>
<w:p>
<w:pPr><w:pStyle w:val="Normal"/></w:pPr>
<w:r><w:t xml:space="preserve">Alexander still protested that his personal sentiments towards</w:t></w:r>
</w:p>
<w:p>
<w:pPr><w:pStyle w:val="Normal"/></w:pPr>
<w:r><w:t xml:space="preserve">the emperor were unaltered; ``but,&apos;&apos; he added, ``God Himself</w:t></w:r>
</w:p>
<w:p>
<w:pPr><w:pStyle w:val="Normal"/></w:pPr>
<w:r><w:t xml:space="preserve">cannot undo the past.&apos;&apos; It was the occupation of Moscow and</w:t></w:r>
</w:p>
<w:p>
<w:pPr><w:pStyle w:val="Normal"/></w:pPr>
<w:r><w:t xml:space="preserve">the desecration of the Kremlin, the sacred centre of Holy</w:t></w:r>
</w:p>
<w:p>
<w:pPr><w:pStyle w:val="Normal"/></w:pPr>
<w:r><w:t xml:space="preserve">Russia, that changed his sentiment for Napoleon into passionate</w:t></w:r>
</w:p>
<w:p>
<w:pPr><w:pStyle w:val="Normal"/></w:pPr>
<w:r><w:t xml:space="preserve">hatred.  In vain the French emperor, within eight days of</w:t></w:r>
</w:p>
<w:p>
<w:pPr><w:pStyle w:val="Normal"/></w:pPr>
<w:r><w:t xml:space="preserve">his entry into Moscow, wrote to the tsar a letter, which was</w:t></w:r>
</w:p>
<w:p>
<w:pPr><w:pStyle w:val="Normal"/></w:pPr>
<w:r><w:t xml:space="preserve">one long cry of distress, revealing the desperate straits</w:t></w:r>
</w:p>
<w:p>
<w:pPr><w:pStyle w:val="Normal"/></w:pPr>
<w:r><w:t xml:space="preserve">of the Grand Army, and appealed to ``any remnant of his</w:t></w:r>
</w:p>
<w:p>
<w:pPr><w:pStyle w:val="Normal"/></w:pPr>
<w:r><w:t xml:space="preserve">former sentiments.&apos;&apos; Alexander returned no answer to these</w:t></w:r>
</w:p>
<w:p>
<w:pPr><w:pStyle w:val="Normal"/></w:pPr>
<w:r><w:t xml:space="preserve">``fanfaronnades.&apos;&apos; ``No more peace with Napoleon!&apos;&apos; he cried,</w:t></w:r>
</w:p>
<w:p>
<w:pPr><w:pStyle w:val="Normal"/></w:pPr>
<w:r><w:t xml:space="preserve">``He or I, I or He: we cannot longer reign together!&apos;&apos;6</w:t></w:r>
</w:p>
<w:p>
<w:pPr><w:pStyle w:val="Normal"/></w:pPr>
<w:r><w:t xml:space="preserve">The campaign of 1812 was the turning-point of Alexander&apos;s life;</w:t></w:r>
</w:p>
<w:p>
<w:pPr><w:pStyle w:val="Normal"/></w:pPr>
<w:r><w:t xml:space="preserve">and its horrors, for which his sensitive nature felt much of</w:t></w:r>
</w:p>
<w:p>
<w:pPr><w:pStyle w:val="Normal"/></w:pPr>
<w:r><w:t xml:space="preserve">the responsibility, overset still more a mind never too well</w:t></w:r>
</w:p>
<w:p>
<w:pPr><w:pStyle w:val="Normal"/></w:pPr>
<w:r><w:t xml:space="preserve">balanced.  At the burning of Moscow, he declared afterwards,</w:t></w:r>
</w:p>
<w:p>
<w:pPr><w:pStyle w:val="Normal"/></w:pPr>
<w:r><w:t xml:space="preserve">his own soul had found illumination, and he had realized once</w:t></w:r>
</w:p>
<w:p>
<w:pPr><w:pStyle w:val="Normal"/></w:pPr>
<w:r><w:t xml:space="preserve">for all the divine revelation to him of his mission as the</w:t></w:r>
</w:p>
<w:p>
<w:pPr><w:pStyle w:val="Normal"/></w:pPr>
<w:r><w:t xml:space="preserve">peacemaker of Europe.  He tried to calm the unrest of his</w:t></w:r>
</w:p>
<w:p>
<w:pPr><w:pStyle w:val="Normal"/></w:pPr>
<w:r><w:t xml:space="preserve">conscience by correspondence with the leaders of the evangelical</w:t></w:r>
</w:p>
<w:p>
<w:pPr><w:pStyle w:val="Normal"/></w:pPr>
<w:r><w:t xml:space="preserve">revival on the continent, and sought for omens and supernatural</w:t></w:r>
</w:p>
<w:p>
<w:pPr><w:pStyle w:val="Normal"/></w:pPr>
<w:r><w:t xml:space="preserve">guidance in texts and passages of scripture.  It was not,</w:t></w:r>
</w:p>
<w:p>
<w:pPr><w:pStyle w:val="Normal"/></w:pPr>
<w:r><w:t xml:space="preserve">however, according to his own account, till he met the Baroness</w:t></w:r>
</w:p>
<w:p>
<w:pPr><w:pStyle w:val="Normal"/></w:pPr>
<w:r><w:t xml:space="preserve">de Krudener--a religious adventuress who made the conversion</w:t></w:r>
</w:p>
<w:p>
<w:pPr><w:pStyle w:val="Normal"/></w:pPr>
<w:r><w:t xml:space="preserve">of princes her special mission--at Basel, in the autumn of</w:t></w:r>
</w:p>
<w:p>
<w:pPr><w:pStyle w:val="Normal"/></w:pPr>
<w:r><w:t xml:space="preserve">1813, that his soul found peace.  From this time a mystic</w:t></w:r>
</w:p>
<w:p>
<w:pPr><w:pStyle w:val="Normal"/></w:pPr>
<w:r><w:t xml:space="preserve">pietism became the avowed force of his political, as of his</w:t></w:r>
</w:p>
<w:p>
<w:pPr><w:pStyle w:val="Normal"/></w:pPr>
<w:r><w:t xml:space="preserve">private actions.  Madame de Krudener, and her colleague, the</w:t></w:r>
</w:p>
<w:p>
<w:pPr><w:pStyle w:val="Normal"/></w:pPr>
<w:r><w:t xml:space="preserve">evangelist Empaytaz, became the confidants of the emperor&apos;s</w:t></w:r>
</w:p>
<w:p>
<w:pPr><w:pStyle w:val="Normal"/></w:pPr>
<w:r><w:t xml:space="preserve">most secret thoughts; and during the campaign that ended in</w:t></w:r>
</w:p>
<w:p>
<w:pPr><w:pStyle w:val="Normal"/></w:pPr>
<w:r><w:t xml:space="preserve">the occupation of Paris the imperial prayer-meetings were</w:t></w:r>
</w:p>
<w:p>
<w:pPr><w:pStyle w:val="Normal"/></w:pPr>
<w:r><w:t xml:space="preserve">the oracle on whose revelations hung the fate of the world.</w:t></w:r>
</w:p>
<w:p>
<w:pPr><w:pStyle w:val="Normal"/></w:pPr>
<w:r><w:t xml:space="preserve">Such was Alexander&apos;s mood when the downfall of Napoleon left</w:t></w:r>
</w:p>
<w:p>
<w:pPr><w:pStyle w:val="Normal"/></w:pPr>
<w:r><w:t xml:space="preserve">him the most powerful sovereign in Europe.  With the memory</w:t></w:r>
</w:p>
<w:p>
<w:pPr><w:pStyle w:val="Normal"/></w:pPr>
<w:r><w:t xml:space="preserve">of Tilsit still fresh in men&apos;s minds, it was not unnatural</w:t></w:r>
</w:p>
<w:p>
<w:pPr><w:pStyle w:val="Normal"/></w:pPr>
<w:r><w:t xml:space="preserve">that to cynical men of the world like Metternich he merely</w:t></w:r>
</w:p>
<w:p>
<w:pPr><w:pStyle w:val="Normal"/></w:pPr>
<w:r><w:t xml:space="preserve">seemed to be disguising ``under the language of evangelical</w:t></w:r>
</w:p>
<w:p>
<w:pPr><w:pStyle w:val="Normal"/></w:pPr>
<w:r><w:t xml:space="preserve">abnegation&apos;&apos; vast and perilous schemes of ambition.  The puzzled</w:t></w:r>
</w:p>
<w:p>
<w:pPr><w:pStyle w:val="Normal"/></w:pPr>
<w:r><w:t xml:space="preserve">powers were, in fact, the more inclined to be suspicious in</w:t></w:r>
</w:p>
<w:p>
<w:pPr><w:pStyle w:val="Normal"/></w:pPr>
<w:r><w:t xml:space="preserve">view of other, and seemingly inconsistent, tendencies of the</w:t></w:r>
</w:p>
<w:p>
<w:pPr><w:pStyle w:val="Normal"/></w:pPr>
<w:r><w:t xml:space="preserve">emperor, which yet seemed all to point to a like disquieting</w:t></w:r>
</w:p>
<w:p>
<w:pPr><w:pStyle w:val="Normal"/></w:pPr>
<w:r><w:t xml:space="preserve">conclusion.  For Madame de Krudener was not the only influence</w:t></w:r>
</w:p>
<w:p>
<w:pPr><w:pStyle w:val="Normal"/></w:pPr>
<w:r><w:t xml:space="preserve">behind the throne; and, though Alexander had declared war</w:t></w:r>
</w:p>
<w:p>
<w:pPr><w:pStyle w:val="Normal"/></w:pPr>
<w:r><w:t xml:space="preserve">against the Revolution, Laharpe was once more at his elbow,</w:t></w:r>
</w:p>
<w:p>
<w:pPr><w:pStyle w:val="Normal"/></w:pPr>
<w:r><w:t xml:space="preserve">and the catchwords of the gospel of humanity were still on his</w:t></w:r>
</w:p>
<w:p>
<w:pPr><w:pStyle w:val="Normal"/></w:pPr>
<w:r><w:t xml:space="preserve">lips.  The very proclamations which denounced Napoleon</w:t></w:r>
</w:p>
<w:p>
<w:pPr><w:pStyle w:val="Normal"/></w:pPr>
<w:r><w:t xml:space="preserve">as ``the genius of evil,&apos;&apos; denounced him in the name of</w:t></w:r>
</w:p>
<w:p>
<w:pPr><w:pStyle w:val="Normal"/></w:pPr>
<w:r><w:t xml:space="preserve">``liberty,&apos;&apos; and of ``enlightenment.&apos;&apos; A monstrous intrigue</w:t></w:r>
</w:p>
<w:p>
<w:pPr><w:pStyle w:val="Normal"/></w:pPr>
<w:r><w:t xml:space="preserve">was suspected for the alliance of the eastern autocrat with</w:t></w:r>
</w:p>
<w:p>
<w:pPr><w:pStyle w:val="Normal"/></w:pPr>
<w:r><w:t xml:space="preserve">the Jacobinism of all Europe, which would have issued in the</w:t></w:r>
</w:p>
<w:p>
<w:pPr><w:pStyle w:val="Normal"/></w:pPr>
<w:r><w:t xml:space="preserve">substitution of an all-powerful Russia for an all-powerful</w:t></w:r>
</w:p>
<w:p>
<w:pPr><w:pStyle w:val="Normal"/></w:pPr>
<w:r><w:t xml:space="preserve">France.  At the congress of Vienna Alexander&apos;s attitude</w:t></w:r>
</w:p>
<w:p>
<w:pPr><w:pStyle w:val="Normal"/></w:pPr>
<w:r><w:t xml:space="preserve">accentuated this distrust.  Castlereagh, whose single-minded</w:t></w:r>
</w:p>
<w:p>
<w:pPr><w:pStyle w:val="Normal"/></w:pPr>
<w:r><w:t xml:space="preserve">aim was the restoration of ``a just equilibrium&apos;&apos; in Europe,</w:t></w:r>
</w:p>
<w:p>
<w:pPr><w:pStyle w:val="Normal"/></w:pPr>
<w:r><w:t xml:space="preserve">reproached the tsar to his face for a ``conscience&apos;&apos; which</w:t></w:r>
</w:p>
<w:p>
<w:pPr><w:pStyle w:val="Normal"/></w:pPr>
<w:r><w:t xml:space="preserve">suffered him to imperil the concert of the powers by keeping</w:t></w:r>
</w:p>
<w:p>
<w:pPr><w:pStyle w:val="Normal"/></w:pPr>
<w:r><w:t xml:space="preserve">his hold on Poland in violation of his treaty obligation.7</w:t></w:r>
</w:p>
<w:p>
<w:pPr><w:pStyle w:val="Normal"/></w:pPr>
<w:r><w:t xml:space="preserve">Yet Alexander was sincere.  Even the Holy Alliance, the pet</w:t></w:r>
</w:p>
<w:p>
<w:pPr><w:pStyle w:val="Normal"/></w:pPr>
<w:r><w:t xml:space="preserve">offspring of his pietism, does not deserve the sinister reputation</w:t></w:r>
</w:p>
<w:p>
<w:pPr><w:pStyle w:val="Normal"/></w:pPr>
<w:r><w:t xml:space="preserve">it has since obtained.  To the other powers it seemed, at best</w:t></w:r>
</w:p>
<w:p>
<w:pPr><w:pStyle w:val="Normal"/></w:pPr>
<w:r><w:t xml:space="preserve">``verbiage&apos;&apos; and ``exalted nonsense,&apos;&apos; at worst an effort of</w:t></w:r>
</w:p>
<w:p>
<w:pPr><w:pStyle w:val="Normal"/></w:pPr>
<w:r><w:t xml:space="preserve">the tsar to establish the hegemony of Russia on the goodwill</w:t></w:r>
</w:p>
<w:p>
<w:pPr><w:pStyle w:val="Normal"/></w:pPr>
<w:r><w:t xml:space="preserve">of the smaller signatory powers.  To the Liberals, then and</w:t></w:r>
</w:p>
<w:p>
<w:pPr><w:pStyle w:val="Normal"/></w:pPr>
<w:r><w:t xml:space="preserve">afterwards it was clearly a hypocritical conspiracy against</w:t></w:r>
</w:p>
<w:p>
<w:pPr><w:pStyle w:val="Normal"/></w:pPr>
<w:r><w:t xml:space="preserve">freedom.  Yet to Alexander himself it seemed the only means</w:t></w:r>
</w:p>
<w:p>
<w:pPr><w:pStyle w:val="Normal"/></w:pPr>
<w:r><w:t xml:space="preserve">of placing the ``confederation of Europe&apos;&apos; on a firm basis of</w:t></w:r>
</w:p>
<w:p>
<w:pPr><w:pStyle w:val="Normal"/></w:pPr>
<w:r><w:t xml:space="preserve">principle8 and, so far from its being directed against liberty</w:t></w:r>
</w:p>
<w:p>
<w:pPr><w:pStyle w:val="Normal"/></w:pPr>
<w:r><w:t xml:space="preserve">he declared roundly to all the signatory powers that ``free</w:t></w:r>
</w:p>
<w:p>
<w:pPr><w:pStyle w:val="Normal"/></w:pPr>
<w:r><w:t xml:space="preserve">constitutions were the logical outcome of its doctrines.&apos;&apos;</w:t></w:r>
</w:p>
<w:p>
<w:pPr><w:pStyle w:val="Normal"/></w:pPr>
<w:r><w:t xml:space="preserve">Europe, in fact, owed much at this time to Alexander&apos;s exalted</w:t></w:r>
</w:p>
<w:p>
<w:pPr><w:pStyle w:val="Normal"/></w:pPr>
<w:r><w:t xml:space="preserve">temper.  During the period when his influence was supreme,</w:t></w:r>
</w:p>
<w:p>
<w:pPr><w:pStyle w:val="Normal"/></w:pPr>
<w:r><w:t xml:space="preserve">the fateful years, that is, between the Moscow campaign and</w:t></w:r>
</w:p>
<w:p>
<w:pPr><w:pStyle w:val="Normal"/></w:pPr>
<w:r><w:t xml:space="preserve">the close of the congress of Aix-la-Chapelle, it had been used</w:t></w:r>
</w:p>
<w:p>
<w:pPr><w:pStyle w:val="Normal"/></w:pPr>
<w:r><w:t xml:space="preserve">largely in the interests of moderation and liberty.  To him</w:t></w:r>
</w:p>
<w:p>
<w:pPr><w:pStyle w:val="Normal"/></w:pPr>
<w:r><w:t xml:space="preserve">mainly it was due that France was saved from dismemberment,</w:t></w:r>
</w:p>
<w:p>
<w:pPr><w:pStyle w:val="Normal"/></w:pPr>
<w:r><w:t xml:space="preserve">and received a constitution which, to use his own words,</w:t></w:r>
</w:p>
<w:p>
<w:pPr><w:pStyle w:val="Normal"/></w:pPr>
<w:r><w:t xml:space="preserve">``united crown and representatives of the people in a sense</w:t></w:r>
</w:p>
<w:p>
<w:pPr><w:pStyle w:val="Normal"/></w:pPr>
<w:r><w:t xml:space="preserve">of common interests.&apos;&apos;9 By his wise intervention Switzerland</w:t></w:r>
</w:p>
<w:p>
<w:pPr><w:pStyle w:val="Normal"/></w:pPr>
<w:r><w:t xml:space="preserve">was saved from violent reaction, and suffered to preserve</w:t></w:r>
</w:p>
<w:p>
<w:pPr><w:pStyle w:val="Normal"/></w:pPr>
<w:r><w:t xml:space="preserve">the essential gains of the Revolution.  To his protection it</w:t></w:r>
</w:p>
<w:p>
<w:pPr><w:pStyle w:val="Normal"/></w:pPr>
<w:r><w:t xml:space="preserve">was due that the weak beginnings of constitutional freedom in</w:t></w:r>
</w:p>
<w:p>
<w:pPr><w:pStyle w:val="Normal"/></w:pPr>
<w:r><w:t xml:space="preserve">Germany were able for a while to defy the hatred of Austria.</w:t></w:r>
</w:p>
<w:p>
<w:pPr><w:pStyle w:val="Normal"/></w:pPr>
<w:r><w:t xml:space="preserve">Lastly, whatever its ultimate outcome, the constitution of</w:t></w:r>
</w:p>
<w:p>
<w:pPr><w:pStyle w:val="Normal"/></w:pPr>
<w:r><w:t xml:space="preserve">Poland was, in its inception, a genuine effort to respond</w:t></w:r>
</w:p>
<w:p>
<w:pPr><w:pStyle w:val="Normal"/></w:pPr>
<w:r><w:t xml:space="preserve">to the appeal of the Poles for a national existence.</w:t></w:r>
</w:p>
<w:p>
<w:pPr><w:pStyle w:val="Normal"/></w:pPr>
<w:r><w:t xml:space="preserve">From the end of the year 1818 Alexander&apos;s views began to</w:t></w:r>
</w:p>
<w:p>
<w:pPr><w:pStyle w:val="Normal"/></w:pPr>
<w:r><w:t xml:space="preserve">change.  A revolutionary conspiracy among the officers of the</w:t></w:r>
</w:p>
<w:p>
<w:pPr><w:pStyle w:val="Normal"/></w:pPr>
<w:r><w:t xml:space="preserve">guard, and a foolish plot to kidnap him on his way to the</w:t></w:r>
</w:p>
<w:p>
<w:pPr><w:pStyle w:val="Normal"/></w:pPr>
<w:r><w:t xml:space="preserve">congress of Aix-la-Chapelle (q.v.), are said to have shaken</w:t></w:r>
</w:p>
<w:p>
<w:pPr><w:pStyle w:val="Normal"/></w:pPr>
<w:r><w:t xml:space="preserve">the foundations of his Liberalism.  At Aix he came for the</w:t></w:r>
</w:p>
<w:p>
<w:pPr><w:pStyle w:val="Normal"/></w:pPr>
<w:r><w:t xml:space="preserve">first time into intimate contact with Metternich, and the</w:t></w:r>
</w:p>
<w:p>
<w:pPr><w:pStyle w:val="Normal"/></w:pPr>
<w:r><w:t xml:space="preserve">astute Austrian was swift to take advantage of the psychological</w:t></w:r>
</w:p>
<w:p>
<w:pPr><w:pStyle w:val="Normal"/></w:pPr>
<w:r><w:t xml:space="preserve">moment.  From this time dates the ascendancy of Metternich</w:t></w:r>
</w:p>
<w:p>
<w:pPr><w:pStyle w:val="Normal"/></w:pPr>
<w:r><w:t xml:space="preserve">over the mind of the Russian emperor and in the councils of</w:t></w:r>
</w:p>
<w:p>
<w:pPr><w:pStyle w:val="Normal"/></w:pPr>
<w:r><w:t xml:space="preserve">Europe.  It was, however, no case of sudden conversion.</w:t></w:r>
</w:p>
<w:p>
<w:pPr><w:pStyle w:val="Normal"/></w:pPr>
<w:r><w:t xml:space="preserve">Though alarmed by the revolutionary agitation in Germany,</w:t></w:r>
</w:p>
<w:p>
<w:pPr><w:pStyle w:val="Normal"/></w:pPr>
<w:r><w:t xml:space="preserve">which culminated in the murder of his agent, the dramatist</w:t></w:r>
</w:p>
<w:p>
<w:pPr><w:pStyle w:val="Normal"/></w:pPr>
<w:r><w:t xml:space="preserve">Kotzebue (q.v.), Alexander approved of Castlereagh&apos;s protest</w:t></w:r>
</w:p>
<w:p>
<w:pPr><w:pStyle w:val="Normal"/></w:pPr>
<w:r><w:t xml:space="preserve">against Metternich&apos;s policy of ``the governments contracting</w:t></w:r>
</w:p>
<w:p>
<w:pPr><w:pStyle w:val="Normal"/></w:pPr>
<w:r><w:t xml:space="preserve">an alliance against the peoples,&apos;&apos; as formulated in the</w:t></w:r>
</w:p>
<w:p>
<w:pPr><w:pStyle w:val="Normal"/></w:pPr>
<w:r><w:t xml:space="preserve">Carlsbad decrees, 1819, and deprecated any intervention of</w:t></w:r>
</w:p>
<w:p>
<w:pPr><w:pStyle w:val="Normal"/></w:pPr>
<w:r><w:t xml:space="preserve">Europe to support ``a league of which the sole object is the</w:t></w:r>
</w:p>
<w:p>
<w:pPr><w:pStyle w:val="Normal"/></w:pPr>
<w:r><w:t xml:space="preserve">absurd pretensions of absolute power.&apos;&apos;10 He still declared</w:t></w:r>
</w:p>
<w:p>
<w:pPr><w:pStyle w:val="Normal"/></w:pPr>
<w:r><w:t xml:space="preserve">his belief in ``free institutions, though not in such as</w:t></w:r>
</w:p>
<w:p>
<w:pPr><w:pStyle w:val="Normal"/></w:pPr>
<w:r><w:t xml:space="preserve">age forced from feebleness, nor contracts ordered by popular</w:t></w:r>
</w:p>
<w:p>
<w:pPr><w:pStyle w:val="Normal"/></w:pPr>
<w:r><w:t xml:space="preserve">leaders from their sovereigns, nor constitutions granted in</w:t></w:r>
</w:p>
<w:p>
<w:pPr><w:pStyle w:val="Normal"/></w:pPr>
<w:r><w:t xml:space="preserve">difficult circumstances to tide over a crisis. ``Liberty,&apos;&apos;</w:t></w:r>
</w:p>
<w:p>
<w:pPr><w:pStyle w:val="Normal"/></w:pPr>
<w:r><w:t xml:space="preserve">he maintained, ``should be confined within just limits.</w:t></w:r>
</w:p>
<w:p>
<w:pPr><w:pStyle w:val="Normal"/></w:pPr>
<w:r><w:t xml:space="preserve">And the limits of liberty are the principles of order.&apos;&apos;11</w:t></w:r>
</w:p>
<w:p>
<w:pPr><w:pStyle w:val="Normal"/></w:pPr>
<w:r><w:t xml:space="preserve">It was the apparent triumph of the principles of disorder</w:t></w:r>
</w:p>
<w:p>
<w:pPr><w:pStyle w:val="Normal"/></w:pPr>
<w:r><w:t xml:space="preserve">in the revolutions of Naples and Piedmont, combined with</w:t></w:r>
</w:p>
<w:p>
<w:pPr><w:pStyle w:val="Normal"/></w:pPr>
<w:r><w:t xml:space="preserve">increasingly disquieting symptoms of discontent in France,</w:t></w:r>
</w:p>
<w:p>
<w:pPr><w:pStyle w:val="Normal"/></w:pPr>
<w:r><w:t xml:space="preserve">Germany and among his own people, that completed Alexander&apos;s</w:t></w:r>
</w:p>
<w:p>
<w:pPr><w:pStyle w:val="Normal"/></w:pPr>
<w:r><w:t xml:space="preserve">conversion.  In the seclusion of the little town of Troppau,</w:t></w:r>
</w:p>
<w:p>
<w:pPr><w:pStyle w:val="Normal"/></w:pPr>
<w:r><w:t xml:space="preserve">where in October of 1820 the powers met in conference, Metternich</w:t></w:r>
</w:p>
<w:p>
<w:pPr><w:pStyle w:val="Normal"/></w:pPr>
<w:r><w:t xml:space="preserve">found an opportunity for cementing his influence over Alexander</w:t></w:r>
</w:p>
<w:p>
<w:pPr><w:pStyle w:val="Normal"/></w:pPr>
<w:r><w:t xml:space="preserve">which had been wanting amid the turmoil and feminine intrigues</w:t></w:r>
</w:p>
<w:p>
<w:pPr><w:pStyle w:val="Normal"/></w:pPr>
<w:r><w:t xml:space="preserve">of Vienna and Aix. Here, in confidence begotten of friendly</w:t></w:r>
</w:p>
<w:p>
<w:pPr><w:pStyle w:val="Normal"/></w:pPr>
<w:r><w:t xml:space="preserve">chats over afternoon tea, the disillusioned autocrat confessed</w:t></w:r>
</w:p>
<w:p>
<w:pPr><w:pStyle w:val="Normal"/></w:pPr>
<w:r><w:t xml:space="preserve">his mistake. ``You have nothing to regret,&apos;&apos; he said sadly</w:t></w:r>
</w:p>
<w:p>
<w:pPr><w:pStyle w:val="Normal"/></w:pPr>
<w:r><w:t xml:space="preserve">to the exultant chancellor, ``but I have!&apos;&apos;12 The issue was</w:t></w:r>
</w:p>
<w:p>
<w:pPr><w:pStyle w:val="Normal"/></w:pPr>
<w:r><w:t xml:space="preserve">momentous.  In January Alexander had still upheld the ideal</w:t></w:r>
</w:p>
<w:p>
<w:pPr><w:pStyle w:val="Normal"/></w:pPr>
<w:r><w:t xml:space="preserve">of a free confederation of the European states, symbolized</w:t></w:r>
</w:p>
<w:p>
<w:pPr><w:pStyle w:val="Normal"/></w:pPr>
<w:r><w:t xml:space="preserve">by the Holy Alliance, against the policy of a dictatorship</w:t></w:r>
</w:p>
<w:p>
<w:pPr><w:pStyle w:val="Normal"/></w:pPr>
<w:r><w:t xml:space="preserve">of the great powers, symbolized by the Quadruple Treaty; he</w:t></w:r>
</w:p>
<w:p>
<w:pPr><w:pStyle w:val="Normal"/></w:pPr>
<w:r><w:t xml:space="preserve">had still protested against the claims of collective Europe</w:t></w:r>
</w:p>
<w:p>
<w:pPr><w:pStyle w:val="Normal"/></w:pPr>
<w:r><w:t xml:space="preserve">to interfere in the internal concerns of the sovereign</w:t></w:r>
</w:p>
<w:p>
<w:pPr><w:pStyle w:val="Normal"/></w:pPr>
<w:r><w:t xml:space="preserve">states.  On the 19th of November he signed the Troppau Protocol,</w:t></w:r>
</w:p>
<w:p>
<w:pPr><w:pStyle w:val="Normal"/></w:pPr>
<w:r><w:t xml:space="preserve">which consecrated the principle of intervention and wrecked</w:t></w:r>
</w:p>
<w:p>
<w:pPr><w:pStyle w:val="Normal"/></w:pPr>
<w:r><w:t xml:space="preserve">the harmony of the concert. (See TROPPAU, CONGRESS OF.)</w:t></w:r>
</w:p>
<w:p>
<w:pPr><w:pStyle w:val="Normal"/></w:pPr>
<w:r><w:t xml:space="preserve">At Laibach, whither in the spring of 1821 the congress had</w:t></w:r>
</w:p>
<w:p>
<w:pPr><w:pStyle w:val="Normal"/></w:pPr>
<w:r><w:t xml:space="preserve">been adjourned, Alexander first heard of the revolt of the</w:t></w:r>
</w:p>
<w:p>
<w:pPr><w:pStyle w:val="Normal"/></w:pPr>
<w:r><w:t xml:space="preserve">Greeks.  From this time until his death his mind was torn between</w:t></w:r>
</w:p>
<w:p>
<w:pPr><w:pStyle w:val="Normal"/></w:pPr>
<w:r><w:t xml:space="preserve">his anxiety to realize his dream of a confederation of Europe</w:t></w:r>
</w:p>
<w:p>
<w:pPr><w:pStyle w:val="Normal"/></w:pPr>
<w:r><w:t xml:space="preserve">and his traditional mission as leader of the Orthodox crusade</w:t></w:r>
</w:p>
<w:p>
<w:pPr><w:pStyle w:val="Normal"/></w:pPr>
<w:r><w:t xml:space="preserve">against the Turks.  At first, under the careful nursing of</w:t></w:r>
</w:p>
<w:p>
<w:pPr><w:pStyle w:val="Normal"/></w:pPr>
<w:r><w:t xml:space="preserve">Metternich, the former motive prevailed.  He struck the name</w:t></w:r>
</w:p>
<w:p>
<w:pPr><w:pStyle w:val="Normal"/></w:pPr>
<w:r><w:t xml:space="preserve">of Alexander Ypsilanti from the Russian army list, and directed</w:t></w:r>
</w:p>
<w:p>
<w:pPr><w:pStyle w:val="Normal"/></w:pPr>
<w:r><w:t xml:space="preserve">his foreign minister, Count Capo d&apos;Istria, himself a Greek, to</w:t></w:r>
</w:p>
<w:p>
<w:pPr><w:pStyle w:val="Normal"/></w:pPr>
<w:r><w:t xml:space="preserve">disavow all sympathy of Russia with his enterprise; and, next</w:t></w:r>
</w:p>
<w:p>
<w:pPr><w:pStyle w:val="Normal"/></w:pPr>
<w:r><w:t xml:space="preserve">year, a deputation of the Greeks of the Morea on its way to</w:t></w:r>
</w:p>
<w:p>
<w:pPr><w:pStyle w:val="Normal"/></w:pPr>
<w:r><w:t xml:space="preserve">the congress of Verona was turned back by his orders on the</w:t></w:r>
</w:p>
<w:p>
<w:pPr><w:pStyle w:val="Normal"/></w:pPr>
<w:r><w:t xml:space="preserve">road.  He made, indeed, some effort to reconcile the principles</w:t></w:r>
</w:p>
<w:p>
<w:pPr><w:pStyle w:val="Normal"/></w:pPr>
<w:r><w:t xml:space="preserve">at conflict in his mind.  He offered to surrender the claim,</w:t></w:r>
</w:p>
<w:p>
<w:pPr><w:pStyle w:val="Normal"/></w:pPr>
<w:r><w:t xml:space="preserve">successfully asserted when the sultan had been excluded from</w:t></w:r>
</w:p>
<w:p>
<w:pPr><w:pStyle w:val="Normal"/></w:pPr>
<w:r><w:t xml:space="preserve">the Holy Alliance and the affairs of the Ottoman empire from</w:t></w:r>
</w:p>
<w:p>
<w:pPr><w:pStyle w:val="Normal"/></w:pPr>
<w:r><w:t xml:space="preserve">the deliberations of Vienna, that the affairs of the East</w:t></w:r>
</w:p>
<w:p>
<w:pPr><w:pStyle w:val="Normal"/></w:pPr>
<w:r><w:t xml:space="preserve">were the ``domestic concerns of Russia,&apos;&apos; and to march into</w:t></w:r>
</w:p>
<w:p>
<w:pPr><w:pStyle w:val="Normal"/></w:pPr>
<w:r><w:t xml:space="preserve">Turkey, as Austria had marched into Naples, ``as the mandatory</w:t></w:r>
</w:p>
<w:p>
<w:pPr><w:pStyle w:val="Normal"/></w:pPr>
<w:r><w:t xml:space="preserve">of Europe.&apos;&apos;13 Metternich&apos;s opposition to this, illogical,</w:t></w:r>
</w:p>
<w:p>
<w:pPr><w:pStyle w:val="Normal"/></w:pPr>
<w:r><w:t xml:space="preserve">but natural from the Austrian point of view, first opened his</w:t></w:r>
</w:p>
<w:p>
<w:pPr><w:pStyle w:val="Normal"/></w:pPr>
<w:r><w:t xml:space="preserve">eyes to the true character of Austria&apos;s attitude towards his</w:t></w:r>
</w:p>
<w:p>
<w:pPr><w:pStyle w:val="Normal"/></w:pPr>
<w:r><w:t xml:space="preserve">ideals.  Once more in Russia, far from the fascination of</w:t></w:r>
</w:p>
<w:p>
<w:pPr><w:pStyle w:val="Normal"/></w:pPr>
<w:r><w:t xml:space="preserve">Metternich&apos;s personality, the immemorial spirit of his people</w:t></w:r>
</w:p>
<w:p>
<w:pPr><w:pStyle w:val="Normal"/></w:pPr>
<w:r><w:t xml:space="preserve">drew him back into itself; and when, in the autumn of 1825,</w:t></w:r>
</w:p>
<w:p>
<w:pPr><w:pStyle w:val="Normal"/></w:pPr>
<w:r><w:t xml:space="preserve">he took his dying empress for change of air to the south of</w:t></w:r>
</w:p>
<w:p>
<w:pPr><w:pStyle w:val="Normal"/></w:pPr>
<w:r><w:t xml:space="preserve">Russia, in order--as all Europe supposed--to place himself</w:t></w:r>
</w:p>
<w:p>
<w:pPr><w:pStyle w:val="Normal"/></w:pPr>
<w:r><w:t xml:space="preserve">at the head of the great army concentrated near the Ottoman</w:t></w:r>
</w:p>
<w:p>
<w:pPr><w:pStyle w:val="Normal"/></w:pPr>
<w:r><w:t xml:space="preserve">frontiers, his language was no longer that of ``the peace-maker</w:t></w:r>
</w:p>
<w:p>
<w:pPr><w:pStyle w:val="Normal"/></w:pPr>
<w:r><w:t xml:space="preserve">of Europe,&apos;&apos; but of the Orthodox tsar determined to take the</w:t></w:r>
</w:p>
<w:p>
<w:pPr><w:pStyle w:val="Normal"/></w:pPr>
<w:r><w:t xml:space="preserve">interests of his people and of his religion ``into his own</w:t></w:r>
</w:p>
<w:p>
<w:pPr><w:pStyle w:val="Normal"/></w:pPr>
<w:r><w:t xml:space="preserve">hands.&apos;&apos; Before the momentous issue could be decided, however,</w:t></w:r>
</w:p>
<w:p>
<w:pPr><w:pStyle w:val="Normal"/></w:pPr>
<w:r><w:t xml:space="preserve">Alexander died at Taganrog on the 1st of December (November</w:t></w:r>
</w:p>
<w:p>
<w:pPr><w:pStyle w:val="Normal"/></w:pPr>
<w:r><w:t xml:space="preserve">18, O.S.) 1825, ``crushed&apos;&apos;, to use his own words, ``beneath</w:t></w:r>
</w:p>
<w:p>
<w:pPr><w:pStyle w:val="Normal"/></w:pPr>
<w:r><w:t xml:space="preserve">the terrible burden of a crown&apos;&apos; which he had more than once</w:t></w:r>
</w:p>
<w:p>
<w:pPr><w:pStyle w:val="Normal"/></w:pPr>
<w:r><w:t xml:space="preserve">declared his intention of resigning.  A report, current at</w:t></w:r>
</w:p>
<w:p>
<w:pPr><w:pStyle w:val="Normal"/></w:pPr>
<w:r><w:t xml:space="preserve">the time and often revived, affirmed that he did not in fact</w:t></w:r>
</w:p>
<w:p>
<w:pPr><w:pStyle w:val="Normal"/></w:pPr>
<w:r><w:t xml:space="preserve">die.  By some it is supposed that a mysterious hermit named</w:t></w:r>
</w:p>
<w:p>
<w:pPr><w:pStyle w:val="Normal"/></w:pPr>
<w:r><w:t xml:space="preserve">Fomich, who lived at Tomsk until 1870 and was treated with peculiar</w:t></w:r>
</w:p>
<w:p>
<w:pPr><w:pStyle w:val="Normal"/></w:pPr>
<w:r><w:t xml:space="preserve">deference by successive tsars, was none other than Alexander.14</w:t></w:r>
</w:p>
<w:p>
<w:pPr><w:pStyle w:val="Normal"/></w:pPr>
<w:r><w:t xml:space="preserve">Modern history knows no more tragic figure than that of</w:t></w:r>
</w:p>
<w:p>
<w:pPr><w:pStyle w:val="Normal"/></w:pPr>
<w:r><w:t xml:space="preserve">Alexander.  The brilliant promise of his early years; the</w:t></w:r>
</w:p>
<w:p>
<w:pPr><w:pStyle w:val="Normal"/></w:pPr>
<w:r><w:t xml:space="preserve">haunting memory of the crime by which he had obtained the</w:t></w:r>
</w:p>
<w:p>
<w:pPr><w:pStyle w:val="Normal"/></w:pPr>
<w:r><w:t xml:space="preserve">power to realize his ideals; and, in the end, the terrible</w:t></w:r>
</w:p>
<w:p>
<w:pPr><w:pStyle w:val="Normal"/></w:pPr>
<w:r><w:t xml:space="preserve">legacy he left to Russia: a principle of government which,</w:t></w:r>
</w:p>
<w:p>
<w:pPr><w:pStyle w:val="Normal"/></w:pPr>
<w:r><w:t xml:space="preserve">under lofty pretensions, veiled a tyranny supported by</w:t></w:r>
</w:p>
<w:p>
<w:pPr><w:pStyle w:val="Normal"/></w:pPr>
<w:r><w:t xml:space="preserve">spies and secret police; an uncertain succession; an army</w:t></w:r>
</w:p>
<w:p>
<w:pPr><w:pStyle w:val="Normal"/></w:pPr>
<w:r><w:t xml:space="preserve">permeated by organized disaffection; an armed Poland, whose</w:t></w:r>
</w:p>
<w:p>
<w:pPr><w:pStyle w:val="Normal"/></w:pPr>
<w:r><w:t xml:space="preserve">hunger for liberty the tsar had whetted but not satisfied;</w:t></w:r>
</w:p>
<w:p>
<w:pPr><w:pStyle w:val="Normal"/></w:pPr>
<w:r><w:t xml:space="preserve">the quarrel with Turkey, with its alternative of war or</w:t></w:r>
</w:p>
<w:p>
<w:pPr><w:pStyle w:val="Normal"/></w:pPr>
<w:r><w:t xml:space="preserve">humiliation for Russia; an educational system rotten with</w:t></w:r>
</w:p>
<w:p>
<w:pPr><w:pStyle w:val="Normal"/></w:pPr>
<w:r><w:t xml:space="preserve">official hypocrisy; a Church in which conduct counted for</w:t></w:r>
</w:p>
<w:p>
<w:pPr><w:pStyle w:val="Normal"/></w:pPr>
<w:r><w:t xml:space="preserve">nothing, orthodoxy and ceremonial observance for everything;</w:t></w:r>
</w:p>
<w:p>
<w:pPr><w:pStyle w:val="Normal"/></w:pPr>
<w:r><w:t xml:space="preserve">economical and financial conditions scarce recovering from</w:t></w:r>
</w:p>
<w:p>
<w:pPr><w:pStyle w:val="Normal"/></w:pPr>
<w:r><w:t xml:space="preserve">the verge of ruin; and lastly, that curse of Russia,--serfdom.</w:t></w:r>
</w:p>
<w:p>
<w:pPr><w:pStyle w:val="Normal"/></w:pPr>
<w:r><w:t xml:space="preserve">In private life Alexander displayed many lovable qualities.</w:t></w:r>
</w:p>
<w:p>
<w:pPr><w:pStyle w:val="Normal"/></w:pPr>
<w:r><w:t xml:space="preserve">All authorities combine in praising his handsome presence</w:t></w:r>
</w:p>
<w:p>
<w:pPr><w:pStyle w:val="Normal"/></w:pPr>
<w:r><w:t xml:space="preserve">and the affability and charm of his address, together with a</w:t></w:r>
</w:p>
<w:p>
<w:pPr><w:pStyle w:val="Normal"/></w:pPr>
<w:r><w:t xml:space="preserve">certain simplicity of personal tastes, which led him in his</w:t></w:r>
</w:p>
<w:p>
<w:pPr><w:pStyle w:val="Normal"/></w:pPr>
<w:r><w:t xml:space="preserve">intercourse with his friends or with the representatives of</w:t></w:r>
</w:p>
<w:p>
<w:pPr><w:pStyle w:val="Normal"/></w:pPr>
<w:r><w:t xml:space="preserve">friendly powers to dispense with ceremonial and etiquette.</w:t></w:r>
</w:p>
<w:p>
<w:pPr><w:pStyle w:val="Normal"/></w:pPr>
<w:r><w:t xml:space="preserve">His personal friendship, too, once bestowed, was never lightly</w:t></w:r>
</w:p>
<w:p>
<w:pPr><w:pStyle w:val="Normal"/></w:pPr>
<w:r><w:t xml:space="preserve">withdrawn.  By nature he was sociable and pleasure-loving,</w:t></w:r>
</w:p>
<w:p>
<w:pPr><w:pStyle w:val="Normal"/></w:pPr>
<w:r><w:t xml:space="preserve">he proved himself a notable patron of the arts and he took</w:t></w:r>
</w:p>
<w:p>
<w:pPr><w:pStyle w:val="Normal"/></w:pPr>
<w:r><w:t xml:space="preserve">a conspicuous part in all the gaieties of the congress of</w:t></w:r>
</w:p>
<w:p>
<w:pPr><w:pStyle w:val="Normal"/></w:pPr>
<w:r><w:t xml:space="preserve">Vienna.  In his later years, however, he fell into a mood</w:t></w:r>
</w:p>
<w:p>
<w:pPr><w:pStyle w:val="Normal"/></w:pPr>
<w:r><w:t xml:space="preserve">of settled melancholy; and, though still accessible to all</w:t></w:r>
</w:p>
<w:p>
<w:pPr><w:pStyle w:val="Normal"/></w:pPr>
<w:r><w:t xml:space="preserve">who chose to approach him with complaints or petitions, he</w:t></w:r>
</w:p>
<w:p>
<w:pPr><w:pStyle w:val="Normal"/></w:pPr>
<w:r><w:t xml:space="preserve">withdrew from all but the most essential social functions, and</w:t></w:r>
</w:p>
<w:p>
<w:pPr><w:pStyle w:val="Normal"/></w:pPr>
<w:r><w:t xml:space="preserve">lived a life of strenuous work and of Spartan simplicity.  His</w:t></w:r>
</w:p>
<w:p>
<w:pPr><w:pStyle w:val="Normal"/></w:pPr>
<w:r><w:t xml:space="preserve">gloom had been increased by domestic misfortune.  He had been</w:t></w:r>
</w:p>
<w:p>
<w:pPr><w:pStyle w:val="Normal"/></w:pPr>
<w:r><w:t xml:space="preserve">married, in 1793, without his wishes being consulted, to the</w:t></w:r>
</w:p>
<w:p>
<w:pPr><w:pStyle w:val="Normal"/></w:pPr>
<w:r><w:t xml:space="preserve">beautiful and amiable Princess Maria Louisa of Baden (Elizabeth</w:t></w:r>
</w:p>
<w:p>
<w:pPr><w:pStyle w:val="Normal"/></w:pPr>
<w:r><w:t xml:space="preserve">Feodorovna), a political match which, as he regretfully</w:t></w:r>
</w:p>
<w:p>
<w:pPr><w:pStyle w:val="Normal"/></w:pPr>
<w:r><w:t xml:space="preserve">confessed to his friend Frederick William of Prussia, had</w:t></w:r>
</w:p>
<w:p>
<w:pPr><w:pStyle w:val="Normal"/></w:pPr>
<w:r><w:t xml:space="preserve">proved the misfortune of both; and he consoled himself in the</w:t></w:r>
</w:p>
<w:p>
<w:pPr><w:pStyle w:val="Normal"/></w:pPr>
<w:r><w:t xml:space="preserve">traditional manner.  The only child of the marriage, a little</w:t></w:r>
</w:p>
<w:p>
<w:pPr><w:pStyle w:val="Normal"/></w:pPr>
<w:r><w:t xml:space="preserve">grand-duchess, died on the 12th of May 1808; and their common</w:t></w:r>
</w:p>
<w:p>
<w:pPr><w:pStyle w:val="Normal"/></w:pPr>
<w:r><w:t xml:space="preserve">sorrow drew husband and wife closer together.  Towards the</w:t></w:r>
</w:p>
<w:p>
<w:pPr><w:pStyle w:val="Normal"/></w:pPr>
<w:r><w:t xml:space="preserve">close of his life their reconciliation was completed by the</w:t></w:r>
</w:p>
<w:p>
<w:pPr><w:pStyle w:val="Normal"/></w:pPr>
<w:r><w:t xml:space="preserve">wise charity of the empress in sympathizing deeply with him</w:t></w:r>
</w:p>
<w:p>
<w:pPr><w:pStyle w:val="Normal"/></w:pPr>
<w:r><w:t xml:space="preserve">over the death of his beloved daughter by Madame Narishkine.</w:t></w:r>
</w:p>
<w:p>
<w:pPr><w:pStyle w:val="Normal"/></w:pPr>
<w:r><w:t xml:space="preserve">See also EUROPE; RUSSIA; FRANCE; TURKEY; VIENNA,</w:t></w:r>
</w:p>
<w:p>
<w:pPr><w:pStyle w:val="Normal"/></w:pPr>
<w:r><w:t xml:space="preserve">CONGRESS OF; NAPOLEON; METTERNICH; CAPO D&apos;ISTARIA.</w:t></w:r>
</w:p>
<w:p>
<w:pPr><w:pStyle w:val="Normal"/></w:pPr>
<w:r><w:t xml:space="preserve">AUTHORITIES.--F. de Martins, Recueil des traites conclus</w:t></w:r>
</w:p>
<w:p>
<w:pPr><w:pStyle w:val="Normal"/></w:pPr>
<w:r><w:t xml:space="preserve">par la Russie, &amp;c. (St Petersb., 1874, &amp;c.); Wellington</w:t></w:r>
</w:p>
<w:p>
<w:pPr><w:pStyle w:val="Normal"/></w:pPr>
<w:r><w:t xml:space="preserve">Despatches Castlereagh Correspondence; Prince Adam Czartoryski,</w:t></w:r>
</w:p>
<w:p>
<w:pPr><w:pStyle w:val="Normal"/></w:pPr>
<w:r><w:t xml:space="preserve">Memoires et correspondance avec l&apos;empereur Alexandre I.</w:t></w:r>
</w:p>
<w:p>
<w:pPr><w:pStyle w:val="Normal"/></w:pPr>
<w:r><w:t xml:space="preserve">(Paris, 1887, 2 vols.).  P. Bailleu (ed). Briefwechsel Konig</w:t></w:r>
</w:p>
<w:p>
<w:pPr><w:pStyle w:val="Normal"/></w:pPr>
<w:r><w:t xml:space="preserve">Friedrich Wilhelm&apos;s III. und der Konigin Luise mit Kaiser</w:t></w:r>
</w:p>
<w:p>
<w:pPr><w:pStyle w:val="Normal"/></w:pPr>
<w:r><w:t xml:space="preserve">Alexander I. (Leipzig, 1900); Laharpe, Le Gouverneur d&apos;un</w:t></w:r>
</w:p>
<w:p>
<w:pPr><w:pStyle w:val="Normal"/></w:pPr>
<w:r><w:t xml:space="preserve">Prince (F. C de Laharpe et Alexandre I. de Russie) 1902;</w:t></w:r>
</w:p>
<w:p>
<w:pPr><w:pStyle w:val="Normal"/></w:pPr>
<w:r><w:t xml:space="preserve">Serge Tatischeff, Alexandre I. et Napoleon d&apos;apres leur</w:t></w:r>
</w:p>
<w:p>
<w:pPr><w:pStyle w:val="Normal"/></w:pPr>
<w:r><w:t xml:space="preserve">correspondance inedite (Paris, 1901); Joseph de Maistre,</w:t></w:r>
</w:p>
<w:p>
<w:pPr><w:pStyle w:val="Normal"/></w:pPr>
<w:r><w:t xml:space="preserve">Memoires historiques et correspondance diplomatique,</w:t></w:r>
</w:p>
<w:p>
<w:pPr><w:pStyle w:val="Normal"/></w:pPr>
<w:r><w:t xml:space="preserve">ed.  A. Blanc (2nd ed., 1859); Comtesse de Choiseul-Gouffier,</w:t></w:r>
</w:p>
<w:p>
<w:pPr><w:pStyle w:val="Normal"/></w:pPr>
<w:r><w:t xml:space="preserve">Memoires historiques sur l&apos;empereur Alexandre (1829),</w:t></w:r>
</w:p>
<w:p>
<w:pPr><w:pStyle w:val="Normal"/></w:pPr>
<w:r><w:t xml:space="preserve">and Reminiscences sur l&apos;empereur Alexandre I., &amp;c.</w:t></w:r>
</w:p>
<w:p>
<w:pPr><w:pStyle w:val="Normal"/></w:pPr>
<w:r><w:t xml:space="preserve">(Paris, 1862); Rulemann Friedrich Eylert, Charakterzuge</w:t></w:r>
</w:p>
<w:p>
<w:pPr><w:pStyle w:val="Normal"/></w:pPr>
<w:r><w:t xml:space="preserve">und historische Fragmente aus dem Leben Konig Friedrich</w:t></w:r>
</w:p>
<w:p>
<w:pPr><w:pStyle w:val="Normal"/></w:pPr>
<w:r><w:t xml:space="preserve">Wilhelm&apos;s III. (1846); H. L. Empaytaz, Notice sur Alexandre</w:t></w:r>
</w:p>
<w:p>
<w:pPr><w:pStyle w:val="Normal"/></w:pPr>
<w:r><w:t xml:space="preserve">Empereur de Russie (2nd ed., Paris, 1840); Comte A. de</w:t></w:r>
</w:p>
<w:p>
<w:pPr><w:pStyle w:val="Normal"/></w:pPr>
<w:r><w:t xml:space="preserve">la Garde- Chambonas, Souvenirs du Congres de Vienne;</w:t></w:r>
</w:p>
<w:p>
<w:pPr><w:pStyle w:val="Normal"/></w:pPr>
<w:r><w:t xml:space="preserve">publ. avec introd. et notes par le Cte. Fleury (1901).</w:t></w:r>
</w:p>
<w:p>
<w:pPr><w:pStyle w:val="Normal"/></w:pPr>
<w:r><w:t xml:space="preserve">LIVES.--The principal life of Alexander I. is that, in</w:t></w:r>
</w:p>
<w:p>
<w:pPr><w:pStyle w:val="Normal"/></w:pPr>
<w:r><w:t xml:space="preserve">Russian, by Nikolai Karlovich Schilder, Imperator Aleksander,</w:t></w:r>
</w:p>
<w:p>
<w:pPr><w:pStyle w:val="Normal"/></w:pPr>
<w:r><w:t xml:space="preserve">&amp;c. (4 vols., St Petersb., 1897, 1898).  See also Bogdanovich,</w:t></w:r>
</w:p>
<w:p>
<w:pPr><w:pStyle w:val="Normal"/></w:pPr>
<w:r><w:t xml:space="preserve">History of the Government of the Emperor Alexander I.</w:t></w:r>
</w:p>
<w:p>
<w:pPr><w:pStyle w:val="Normal"/></w:pPr>
<w:r><w:t xml:space="preserve">(St Petersburg, 1869-1871, Nikolaus I. Band i. Kaiser</w:t></w:r>
</w:p>
<w:p>
<w:pPr><w:pStyle w:val="Normal"/></w:pPr>
<w:r><w:t xml:space="preserve">Alexander I. und die Ergebnisse seiner Lebensarbeit (Berl.,</w:t></w:r>
</w:p>
<w:p>
<w:pPr><w:pStyle w:val="Normal"/></w:pPr>
<w:r><w:t xml:space="preserve">1904), a valuable study based upon much new material from the</w:t></w:r>
</w:p>
<w:p>
<w:pPr><w:pStyle w:val="Normal"/></w:pPr>
<w:r><w:t xml:space="preserve">state archives of St Petersburg, Paris, Berlin and Vienna;</w:t></w:r>
</w:p>
<w:p>
<w:pPr><w:pStyle w:val="Normal"/></w:pPr>
<w:r><w:t xml:space="preserve">A. Vandal, Napoleon et Alexandre I.: l&apos;alliance Russe</w:t></w:r>
</w:p>
<w:p>
<w:pPr><w:pStyle w:val="Normal"/></w:pPr>
<w:r><w:t xml:space="preserve">sous le premier empire (3 vols., Paris, 1891-1896); A. N.</w:t></w:r>
</w:p>
<w:p>
<w:pPr><w:pStyle w:val="Normal"/></w:pPr>
<w:r><w:t xml:space="preserve">Pypin, Political and Literary Movements under Alexander</w:t></w:r>
</w:p>
<w:p>
<w:pPr><w:pStyle w:val="Heading1"/></w:pPr>
<w:r><w:t>I. (Russian, 2nd ed.  St Petersburg, 1885; German, Berlin,</w:t></w:r>
</w:p>
<w:p>
<w:pPr><w:pStyle w:val="Normal"/></w:pPr>
<w:r><w:t xml:space="preserve">1894).  Among the numerous less authoritative biographies</w:t></w:r>
</w:p>
<w:p>
<w:pPr><w:pStyle w:val="Normal"/></w:pPr>
<w:r><w:t xml:space="preserve">may be mentioned Ivan Golovin, Histoire d&apos;Alexandre I.</w:t></w:r>
</w:p>
<w:p>
<w:pPr><w:pStyle w:val="Normal"/></w:pPr>
<w:r><w:t xml:space="preserve">(Leipzig, 1859), and C. Joyneville, Life and Times of</w:t></w:r>
</w:p>
<w:p>
<w:pPr><w:pStyle w:val="Normal"/></w:pPr>
<w:r><w:t xml:space="preserve">Alexander I. (3 vols., 1875).  This last contains much</w:t></w:r>
</w:p>
<w:p>
<w:pPr><w:pStyle w:val="Normal"/></w:pPr>
<w:r><w:t xml:space="preserve">valuable information, but the references in footnotes are</w:t></w:r>
</w:p>
<w:p>
<w:pPr><w:pStyle w:val="Normal"/></w:pPr>
<w:r><w:t xml:space="preserve">often wanting in precision, and it has no index. (W. A. P.)</w:t></w:r>
</w:p>
<w:p>
<w:pPr><w:pStyle w:val="Normal"/></w:pPr>
<w:r><w:t xml:space="preserve">1 Savary to Napoleon, Nov. 4, 1807.  Tatischeff, p. 226.</w:t></w:r>
</w:p>
<w:p>
<w:pPr><w:pStyle w:val="Normal"/></w:pPr>
<w:r><w:t xml:space="preserve">2 Circular of Count Muraviev, Aug. 24, 1898.</w:t></w:r>
</w:p>
<w:p>
<w:pPr><w:pStyle w:val="Normal"/></w:pPr>
<w:r><w:t xml:space="preserve">3 Instructions to M. Novosiltsov, Sept. 11, 1804.  Tatiseheff, p. 82.</w:t></w:r>
</w:p>
<w:p>
<w:pPr><w:pStyle w:val="Normal"/></w:pPr>
<w:r><w:t xml:space="preserve">4 Savary to Napoleon, Nov. 18, 1807.  Tatischeff, p. 232.</w:t></w:r>
</w:p>
<w:p>
<w:pPr><w:pStyle w:val="Normal"/></w:pPr>
<w:r><w:t xml:space="preserve">5 Coulaincourt to Napoleon, 4th report, Aug. 3, 1809.  Tatischeff, p. 496.</w:t></w:r>
</w:p>
<w:p>
<w:pPr><w:pStyle w:val="Normal"/></w:pPr>
<w:r><w:t xml:space="preserve">6 Alexander speaking to Colonel Michaud.  Tatischeff, p. 612.</w:t></w:r>
</w:p>
<w:p>
<w:pPr><w:pStyle w:val="Normal"/></w:pPr>
<w:r><w:t xml:space="preserve">7 Castlereagh to Liverpool, Oct. 2, 1814.  F.O. Papers.  Vienna VII.</w:t></w:r>
</w:p>
<w:p>
<w:pPr><w:pStyle w:val="Normal"/></w:pPr>
<w:r><w:t xml:space="preserve">8 Martens IV. oart i. p. 49.</w:t></w:r>
</w:p>
<w:p>
<w:pPr><w:pStyle w:val="Normal"/></w:pPr>
<w:r><w:t xml:space="preserve">9 Etat des negociations actueelles, &amp;c., mem. prepared by</w:t></w:r>
</w:p>
<w:p>
<w:pPr><w:pStyle w:val="Normal"/></w:pPr>
<w:r><w:t xml:space="preserve">order of the Tsar, July 16, 1815, enclosed in Castlereagh to</w:t></w:r>
</w:p>
<w:p>
<w:pPr><w:pStyle w:val="Normal"/></w:pPr>
<w:r><w:t xml:space="preserve">Liverpool, F.O. Cont. papers.  Congress Paris, Castlereagh, 22.</w:t></w:r>
</w:p>
<w:p>
<w:pPr><w:pStyle w:val="Normal"/></w:pPr>
<w:r><w:t xml:space="preserve">10 Despatch of Lieven, Nov. 30 (Dec. 12), 1819, and</w:t></w:r>
</w:p>
<w:p>
<w:pPr><w:pStyle w:val="Normal"/></w:pPr>
<w:r><w:t xml:space="preserve">Russ.  Circular of Jan. 27, 1820.  Martens IV. part i. p. 270.</w:t></w:r>
</w:p>
<w:p>
<w:pPr><w:pStyle w:val="Normal"/></w:pPr>
<w:r><w:t xml:space="preserve">11 Apercu des idees de l&apos;Empereur, Martens IV. part i. p. 269.</w:t></w:r>
</w:p>
<w:p>
<w:pPr><w:pStyle w:val="Normal"/></w:pPr>
<w:r><w:t xml:space="preserve">12 Metternich Mem.</w:t></w:r>
</w:p>
<w:p>
<w:pPr><w:pStyle w:val="Normal"/></w:pPr>
<w:r><w:t xml:space="preserve">13 Martens IV. part i. pp. 307, &amp;c.</w:t></w:r>
</w:p>
<w:p>
<w:pPr><w:pStyle w:val="Normal"/></w:pPr>
<w:r><w:t xml:space="preserve">14 See W. Gasiorowski, Tragic Russia,</w:t></w:r>
</w:p>
<w:p>
<w:pPr><w:pStyle w:val="Normal"/></w:pPr>
<w:r><w:t xml:space="preserve">translated by Viscount de Busancy (London, 1908).</w:t></w:r>
</w:p>
<w:p>
<w:pPr><w:pStyle w:val="Normal"/></w:pPr>
<w:r><w:t xml:space="preserve">ALEXANDER II. (1818-1881), emperor of Russia, eldest</w:t></w:r>
</w:p>
<w:p>
<w:pPr><w:pStyle w:val="Normal"/></w:pPr>
<w:r><w:t xml:space="preserve">son of Nicholas I., was born on the 29th of April 1818.</w:t></w:r>
</w:p>
<w:p>
<w:pPr><w:pStyle w:val="Normal"/></w:pPr>
<w:r><w:t xml:space="preserve">His early life gave little indication of his subsequent</w:t></w:r>
</w:p>
<w:p>
<w:pPr><w:pStyle w:val="Normal"/></w:pPr>
<w:r><w:t xml:space="preserve">activity, and up to the moment of his accession in 1855 no</w:t></w:r>
</w:p>
<w:p>
<w:pPr><w:pStyle w:val="Normal"/></w:pPr>
<w:r><w:t xml:space="preserve">one ever imagined that he would be known to posterity as a</w:t></w:r>
</w:p>
<w:p>
<w:pPr><w:pStyle w:val="Normal"/></w:pPr>
<w:r><w:t xml:space="preserve">great reformer.  In so far as he had any decided political</w:t></w:r>
</w:p>
<w:p>
<w:pPr><w:pStyle w:val="Normal"/></w:pPr>
<w:r><w:t xml:space="preserve">convictions, he seemed to be animated with that reactionary</w:t></w:r>
</w:p>
<w:p>
<w:pPr><w:pStyle w:val="Normal"/></w:pPr>
<w:r><w:t xml:space="preserve">spirit which was predominant in Europe at the time of his</w:t></w:r>
</w:p>
<w:p>
<w:pPr><w:pStyle w:val="Normal"/></w:pPr>
<w:r><w:t xml:space="preserve">birth, and continued in Russia to the end of his father&apos;s</w:t></w:r>
</w:p>
<w:p>
<w:pPr><w:pStyle w:val="Normal"/></w:pPr>
<w:r><w:t xml:space="preserve">reign.  In the period of thirty years during which he was</w:t></w:r>
</w:p>
<w:p>
<w:pPr><w:pStyle w:val="Normal"/></w:pPr>
<w:r><w:t xml:space="preserve">heir-apparent, the moral atmosphere of St Petersburg was</w:t></w:r>
</w:p>
<w:p>
<w:pPr><w:pStyle w:val="Normal"/></w:pPr>
<w:r><w:t xml:space="preserve">very unfavourable to the development of any originality of</w:t></w:r>
</w:p>
<w:p>
<w:pPr><w:pStyle w:val="Normal"/></w:pPr>
<w:r><w:t xml:space="preserve">thought or character.  It was a time of government on martinet</w:t></w:r>
</w:p>
<w:p>
<w:pPr><w:pStyle w:val="Normal"/></w:pPr>
<w:r><w:t xml:space="preserve">principles, under which all freedom of thought and all private</w:t></w:r>
</w:p>
<w:p>
<w:pPr><w:pStyle w:val="Normal"/></w:pPr>
<w:r><w:t xml:space="preserve">initiative were as far as possible suppressed vigorously by the</w:t></w:r>
</w:p>
<w:p>
<w:pPr><w:pStyle w:val="Normal"/></w:pPr>
<w:r><w:t xml:space="preserve">administration.  Political topics were studiously avoided in</w:t></w:r>
</w:p>
<w:p>
<w:pPr><w:pStyle w:val="Normal"/></w:pPr>
<w:r><w:t xml:space="preserve">general conversation, and books or newspapers in which the</w:t></w:r>
</w:p>
<w:p>
<w:pPr><w:pStyle w:val="Normal"/></w:pPr>
<w:r><w:t xml:space="preserve">most keen-scented press-censor could detect the least odour of</w:t></w:r>
</w:p>
<w:p>
<w:pPr><w:pStyle w:val="Normal"/></w:pPr>
<w:r><w:t xml:space="preserve">political or religious free-thinking were strictly prohibited.</w:t></w:r>
</w:p>
<w:p>
<w:pPr><w:pStyle w:val="Normal"/></w:pPr>
<w:r><w:t xml:space="preserve">Criticism of existing authorities was regarded as a serious</w:t></w:r>
</w:p>
<w:p>
<w:pPr><w:pStyle w:val="Normal"/></w:pPr>
<w:r><w:t xml:space="preserve">offence.  The common policeman, the insignificant scribe</w:t></w:r>
</w:p>
<w:p>
<w:pPr><w:pStyle w:val="Normal"/></w:pPr>
<w:r><w:t xml:space="preserve">in a public office, and even the actors in the ``imperial&apos;&apos;</w:t></w:r>
</w:p>
<w:p>
<w:pPr><w:pStyle w:val="Normal"/></w:pPr>
<w:r><w:t xml:space="preserve">theatres, were protected against public censure as effectually</w:t></w:r>
</w:p>
<w:p>
<w:pPr><w:pStyle w:val="Normal"/></w:pPr>
<w:r><w:t xml:space="preserve">as the government itself; for the whole administration was</w:t></w:r>
</w:p>
<w:p>
<w:pPr><w:pStyle w:val="Normal"/></w:pPr>
<w:r><w:t xml:space="preserve">considered as one and indivisible, and an attack on the humblest</w:t></w:r>
</w:p>
<w:p>
<w:pPr><w:pStyle w:val="Normal"/></w:pPr>
<w:r><w:t xml:space="preserve">representative of the imperial authority was looked on as</w:t></w:r>
</w:p>
<w:p>
<w:pPr><w:pStyle w:val="Normal"/></w:pPr>
<w:r><w:t xml:space="preserve">an indirect attack on the fountain from which that authority</w:t></w:r>
</w:p>
<w:p>
<w:pPr><w:pStyle w:val="Normal"/></w:pPr>
<w:r><w:t xml:space="preserve">flowed.  Such was the moral atmosphere in which young Alexander</w:t></w:r>
</w:p>
<w:p>
<w:pPr><w:pStyle w:val="Normal"/></w:pPr>
<w:r><w:t xml:space="preserve">Nicolaevich grew up to manhood.  He received the education</w:t></w:r>
</w:p>
<w:p>
<w:pPr><w:pStyle w:val="Normal"/></w:pPr>
<w:r><w:t xml:space="preserve">commonly given to young Russians of good family at that time--a</w:t></w:r>
</w:p>
<w:p>
<w:pPr><w:pStyle w:val="Normal"/></w:pPr>
<w:r><w:t xml:space="preserve">smattering of a great many subjects, and a good practical</w:t></w:r>
</w:p>
<w:p>
<w:pPr><w:pStyle w:val="Normal"/></w:pPr>
<w:r><w:t xml:space="preserve">acquaintance with the chief modern European languages.</w:t></w:r>
</w:p>
<w:p>
<w:pPr><w:pStyle w:val="Normal"/></w:pPr>
<w:r><w:t xml:space="preserve">Like so many of his countryman he displayed great linguistic</w:t></w:r>
</w:p>
<w:p>
<w:pPr><w:pStyle w:val="Normal"/></w:pPr>
<w:r><w:t xml:space="preserve">ability, and his quick ear caught up even peculiarities of</w:t></w:r>
</w:p>
<w:p>
<w:pPr><w:pStyle w:val="Normal"/></w:pPr>
<w:r><w:t xml:space="preserve">dialect.  His ordinary life was that of an officer of the</w:t></w:r>
</w:p>
<w:p>
<w:pPr><w:pStyle w:val="Normal"/></w:pPr>
<w:r><w:t xml:space="preserve">Guards, modified by the ceremonial duties incumbent on him as</w:t></w:r>
</w:p>
<w:p>
<w:pPr><w:pStyle w:val="Normal"/></w:pPr>
<w:r><w:t xml:space="preserve">heir to the throne.  Nominally he held the post of director</w:t></w:r>
</w:p>
<w:p>
<w:pPr><w:pStyle w:val="Normal"/></w:pPr>
<w:r><w:t xml:space="preserve">of the military schools, but he took little personal interest</w:t></w:r>
</w:p>
<w:p>
<w:pPr><w:pStyle w:val="Normal"/></w:pPr>
<w:r><w:t xml:space="preserve">in military affairs.  To the disappointment of his father,</w:t></w:r>
</w:p>
<w:p>
<w:pPr><w:pStyle w:val="Normal"/></w:pPr>
<w:r><w:t xml:space="preserve">in whom the military instinct was ever predominant, he showed</w:t></w:r>
</w:p>
<w:p>
<w:pPr><w:pStyle w:val="Normal"/></w:pPr>
<w:r><w:t xml:space="preserve">no love of soldiering, and gave evidence of a kindliness of</w:t></w:r>
</w:p>
<w:p>
<w:pPr><w:pStyle w:val="Normal"/></w:pPr>
<w:r><w:t xml:space="preserve">disposition and a tender-heartedness which were considered</w:t></w:r>
</w:p>
<w:p>
<w:pPr><w:pStyle w:val="Normal"/></w:pPr>
<w:r><w:t xml:space="preserve">out of place in one destined to become a military autocrat.</w:t></w:r>
</w:p>
<w:p>
<w:pPr><w:pStyle w:val="Normal"/></w:pPr>
<w:r><w:t xml:space="preserve">These tendencies had been fostered by his tutor Zhukovsky,</w:t></w:r>
</w:p>
<w:p>
<w:pPr><w:pStyle w:val="Normal"/></w:pPr>
<w:r><w:t xml:space="preserve">the amiable humanitarian poet, who had made the Russian</w:t></w:r>
</w:p>
<w:p>
<w:pPr><w:pStyle w:val="Normal"/></w:pPr>
<w:r><w:t xml:space="preserve">public acquainted with the literature of the German romantic</w:t></w:r>
</w:p>
<w:p>
<w:pPr><w:pStyle w:val="Normal"/></w:pPr>
<w:r><w:t xml:space="preserve">school, and they remained with him all through life, though</w:t></w:r>
</w:p>
<w:p>
<w:pPr><w:pStyle w:val="Normal"/></w:pPr>
<w:r><w:t xml:space="preserve">they did not prevent him from being severe in his official</w:t></w:r>
</w:p>
<w:p>
<w:pPr><w:pStyle w:val="Normal"/></w:pPr>
<w:r><w:t xml:space="preserve">position when he believed severity to be necessary.  In 1841</w:t></w:r>
</w:p>
<w:p>
<w:pPr><w:pStyle w:val="Normal"/></w:pPr>
<w:r><w:t xml:space="preserve">he married the daughter of the grand-duke Louis II. of Hesse,</w:t></w:r>
</w:p>
<w:p>
<w:pPr><w:pStyle w:val="Normal"/></w:pPr>
<w:r><w:t xml:space="preserve">Maximilienne Wilhelmine Marie, thenceforward known as Maria</w:t></w:r>
</w:p>
<w:p>
<w:pPr><w:pStyle w:val="Normal"/></w:pPr>
<w:r><w:t xml:space="preserve">Alexandrovna, who bore him six sons and two daughters.  He</w:t></w:r>
</w:p>
<w:p>
<w:pPr><w:pStyle w:val="Normal"/></w:pPr>
<w:r><w:t xml:space="preserve">did not travel much abroad, for his father, in his desire to</w:t></w:r>
</w:p>
<w:p>
<w:pPr><w:pStyle w:val="Normal"/></w:pPr>
<w:r><w:t xml:space="preserve">exclude from Holy Russia the subversive ideas current in Western</w:t></w:r>
</w:p>
<w:p>
<w:pPr><w:pStyle w:val="Normal"/></w:pPr>
<w:r><w:t xml:space="preserve">Europe, disapproved foreign tours, and could not consistently</w:t></w:r>
</w:p>
<w:p>
<w:pPr><w:pStyle w:val="Normal"/></w:pPr>
<w:r><w:t xml:space="preserve">encourage in his own family what he tried to prevent among</w:t></w:r>
</w:p>
<w:p>
<w:pPr><w:pStyle w:val="Normal"/></w:pPr>
<w:r><w:t xml:space="preserve">the rest of his subjects.  He visited England, however, in</w:t></w:r>
</w:p>
<w:p>
<w:pPr><w:pStyle w:val="Normal"/></w:pPr>
<w:r><w:t xml:space="preserve">1839, and in the years immediately preceding his accession he</w:t></w:r>
</w:p>
<w:p>
<w:pPr><w:pStyle w:val="Normal"/></w:pPr>
<w:r><w:t xml:space="preserve">was entrusted with several missions to the courts of Berlin</w:t></w:r>
</w:p>
<w:p>
<w:pPr><w:pStyle w:val="Normal"/></w:pPr>
<w:r><w:t xml:space="preserve">and Vienna.  On the 2nd of March 1855, during the Crimean</w:t></w:r>
</w:p>
<w:p>
<w:pPr><w:pStyle w:val="Normal"/></w:pPr>
<w:r><w:t xml:space="preserve">War, he succeeded to the throne on the death of his father.</w:t></w:r>
</w:p>
<w:p>
<w:pPr><w:pStyle w:val="Normal"/></w:pPr>
<w:r><w:t xml:space="preserve">The first year of the new reign was devoted to the prosecution</w:t></w:r>
</w:p>
<w:p>
<w:pPr><w:pStyle w:val="Normal"/></w:pPr>
<w:r><w:t xml:space="preserve">of the war, and after the fall of Sevastopol, to negotiations for</w:t></w:r>
</w:p>
<w:p>
<w:pPr><w:pStyle w:val="Normal"/></w:pPr>
<w:r><w:t xml:space="preserve">peace.  Then began a period of radical reforms, recommended</w:t></w:r>
</w:p>
<w:p>
<w:pPr><w:pStyle w:val="Normal"/></w:pPr>
<w:r><w:t xml:space="preserve">by public opinion and carried out by the autocratic</w:t></w:r>
</w:p>
<w:p>
<w:pPr><w:pStyle w:val="Normal"/></w:pPr>
<w:r><w:t xml:space="preserve">power.  The rule of Nicholas, which had sacrificed all other</w:t></w:r>
</w:p>
<w:p>
<w:pPr><w:pStyle w:val="Normal"/></w:pPr>
<w:r><w:t xml:space="preserve">interests to that of making Russia an irresistibly strong</w:t></w:r>
</w:p>
<w:p>
<w:pPr><w:pStyle w:val="Normal"/></w:pPr>
<w:r><w:t xml:space="preserve">military power, had been tried by the Crimean War and found</w:t></w:r>
</w:p>
<w:p>
<w:pPr><w:pStyle w:val="Normal"/></w:pPr>
<w:r><w:t xml:space="preserve">wanting.  A new system must, therefore, be adopted.  All</w:t></w:r>
</w:p>
<w:p>
<w:pPr><w:pStyle w:val="Normal"/></w:pPr>
<w:r><w:t xml:space="preserve">who had any pretensions to enlightenment declared loudly</w:t></w:r>
</w:p>
<w:p>
<w:pPr><w:pStyle w:val="Normal"/></w:pPr>
<w:r><w:t xml:space="preserve">that the country had been exhausted and humiliated by the</w:t></w:r>
</w:p>
<w:p>
<w:pPr><w:pStyle w:val="Normal"/></w:pPr>
<w:r><w:t xml:space="preserve">war, and that the only way of restoring it to its proper</w:t></w:r>
</w:p>
<w:p>
<w:pPr><w:pStyle w:val="Normal"/></w:pPr>
<w:r><w:t xml:space="preserve">position in Europe was to develop its natural resources and</w:t></w:r>
</w:p>
<w:p>
<w:pPr><w:pStyle w:val="Normal"/></w:pPr>
<w:r><w:t xml:space="preserve">to reform thoroughly all branches of the administration.</w:t></w:r>
</w:p>
<w:p>
<w:pPr><w:pStyle w:val="Normal"/></w:pPr>
<w:r><w:t xml:space="preserve">The government found, therefore, in the educated classes a</w:t></w:r>
</w:p>
<w:p>
<w:pPr><w:pStyle w:val="Normal"/></w:pPr>
<w:r><w:t xml:space="preserve">new-born public spirit, anxious to assist it in any work of</w:t></w:r>
</w:p>
<w:p>
<w:pPr><w:pStyle w:val="Normal"/></w:pPr>
<w:r><w:t xml:space="preserve">reform that it might think fit to undertake.  Fortunately</w:t></w:r>
</w:p>
<w:p>
<w:pPr><w:pStyle w:val="Normal"/></w:pPr>
<w:r><w:t xml:space="preserve">for Russia the autocratic power was now in the hands of a</w:t></w:r>
</w:p>
<w:p>
<w:pPr><w:pStyle w:val="Normal"/></w:pPr>
<w:r><w:t xml:space="preserve">man who was impressionable enough to be deeply influenced by</w:t></w:r>
</w:p>
<w:p>
<w:pPr><w:pStyle w:val="Normal"/></w:pPr>
<w:r><w:t xml:space="preserve">the spirit of the time, and who had sufficient prudence and</w:t></w:r>
</w:p>
<w:p>
<w:pPr><w:pStyle w:val="Normal"/></w:pPr>
<w:r><w:t xml:space="preserve">practical common-sense to prevent his being carried away by</w:t></w:r>
</w:p>
<w:p>
<w:pPr><w:pStyle w:val="Normal"/></w:pPr>
<w:r><w:t xml:space="preserve">the prevailing excitement into the dangerous region of Utopian</w:t></w:r>
</w:p>
<w:p>
<w:pPr><w:pStyle w:val="Normal"/></w:pPr>
<w:r><w:t xml:space="preserve">dreaming.  Unlike some of his predecessors, he had no grand,</w:t></w:r>
</w:p>
<w:p>
<w:pPr><w:pStyle w:val="Normal"/></w:pPr>
<w:r><w:t xml:space="preserve">original schemes of his own to impose by force on unwilling</w:t></w:r>
</w:p>
<w:p>
<w:pPr><w:pStyle w:val="Normal"/></w:pPr>
<w:r><w:t xml:space="preserve">subjects, and no pet crotchets to lead his judgment astray;</w:t></w:r>
</w:p>
<w:p>
<w:pPr><w:pStyle w:val="Normal"/></w:pPr>
<w:r><w:t xml:space="preserve">and he instinctively looked with a suspicious, critical eye on</w:t></w:r>
</w:p>
<w:p>
<w:pPr><w:pStyle w:val="Normal"/></w:pPr>
<w:r><w:t xml:space="preserve">the panaceas which more imaginative and less cautious people</w:t></w:r>
</w:p>
<w:p>
<w:pPr><w:pStyle w:val="Normal"/></w:pPr>
<w:r><w:t xml:space="preserve">recommended.  These traits of character, together with the</w:t></w:r>
</w:p>
<w:p>
<w:pPr><w:pStyle w:val="Normal"/></w:pPr>
<w:r><w:t xml:space="preserve">peculiar circumstances in which he was placed, determined the</w:t></w:r>
</w:p>
<w:p>
<w:pPr><w:pStyle w:val="Heading1"/></w:pPr>
<w:r><w:t>part which he was to play.  He moderated, guided and in great</w:t></w:r>
</w:p>
<w:p>
<w:pPr><w:pStyle w:val="Normal"/></w:pPr>
<w:r><w:t xml:space="preserve">measure realized the reform aspirations of the educated classes.</w:t></w:r>
</w:p>
<w:p>
<w:pPr><w:pStyle w:val="Normal"/></w:pPr>
<w:r><w:t xml:space="preserve">Emancipation of the serfs.</w:t></w:r>
</w:p>
<w:p>
<w:pPr><w:pStyle w:val="Normal"/></w:pPr>
<w:r><w:t xml:space="preserve">Though he carefully guarded his autocratic rights and</w:t></w:r>
</w:p>
<w:p>
<w:pPr><w:pStyle w:val="Normal"/></w:pPr>
<w:r><w:t xml:space="preserve">privileges, and obstinately resisted all efforts to push him</w:t></w:r>
</w:p>
<w:p>
<w:pPr><w:pStyle w:val="Normal"/></w:pPr>
<w:r><w:t xml:space="preserve">farther than he felt inclined to go he acted for several years</w:t></w:r>
</w:p>
<w:p>
<w:pPr><w:pStyle w:val="Normal"/></w:pPr>
<w:r><w:t xml:space="preserve">somewhat like a constitutional sovereign of the continental</w:t></w:r>
</w:p>
<w:p>
<w:pPr><w:pStyle w:val="Normal"/></w:pPr>
<w:r><w:t xml:space="preserve">type.  At first he moved so slowly that many of the impatient,</w:t></w:r>
</w:p>
<w:p>
<w:pPr><w:pStyle w:val="Normal"/></w:pPr>
<w:r><w:t xml:space="preserve">would-be reformers began to murmur at the unnecessary</w:t></w:r>
</w:p>
<w:p>
<w:pPr><w:pStyle w:val="Normal"/></w:pPr>
<w:r><w:t xml:space="preserve">delay.  In reality not much time was lost.  Soon after</w:t></w:r>
</w:p>
<w:p>
<w:pPr><w:pStyle w:val="Normal"/></w:pPr>
<w:r><w:t xml:space="preserve">the conclusion of peace important changes were made in the</w:t></w:r>
</w:p>
<w:p>
<w:pPr><w:pStyle w:val="Normal"/></w:pPr>
<w:r><w:t xml:space="preserve">legislation concerning industry and commerce, and the new</w:t></w:r>
</w:p>
<w:p>
<w:pPr><w:pStyle w:val="Normal"/></w:pPr>
<w:r><w:t xml:space="preserve">freedom thus accorded produced a large number of limited</w:t></w:r>
</w:p>
<w:p>
<w:pPr><w:pStyle w:val="Normal"/></w:pPr>
<w:r><w:t xml:space="preserve">liability companies.  At the same time plans were formed</w:t></w:r>
</w:p>
<w:p>
<w:pPr><w:pStyle w:val="Normal"/></w:pPr>
<w:r><w:t xml:space="preserve">for constructing a great network of railways, partly for the</w:t></w:r>
</w:p>
<w:p>
<w:pPr><w:pStyle w:val="Normal"/></w:pPr>
<w:r><w:t xml:space="preserve">purpose of developing the natural resources of the country, and</w:t></w:r>
</w:p>
<w:p>
<w:pPr><w:pStyle w:val="Normal"/></w:pPr>
<w:r><w:t xml:space="preserve">partly for the purpose of increasing its powers of defence and</w:t></w:r>
</w:p>
<w:p>
<w:pPr><w:pStyle w:val="Normal"/></w:pPr>
<w:r><w:t xml:space="preserve">attack.  Then it was found that further progress was blocked</w:t></w:r>
</w:p>
<w:p>
<w:pPr><w:pStyle w:val="Normal"/></w:pPr>
<w:r><w:t xml:space="preserve">by a great obstacle, the existence of serfage: and Alexander</w:t></w:r>
</w:p>
<w:p>
<w:pPr><w:pStyle w:val="Heading1"/></w:pPr>
<w:r><w:t>II. showed that, unlike his father, he meant to grapple boldly</w:t></w:r>
</w:p>
<w:p>
<w:pPr><w:pStyle w:val="Normal"/></w:pPr>
<w:r><w:t xml:space="preserve">with the difficult and dangerous problem.  Taking advantage of</w:t></w:r>
</w:p>
<w:p>
<w:pPr><w:pStyle w:val="Normal"/></w:pPr>
<w:r><w:t xml:space="preserve">a petition presented by the Polish landed proprietors of the</w:t></w:r>
</w:p>
<w:p>
<w:pPr><w:pStyle w:val="Normal"/></w:pPr>
<w:r><w:t xml:space="preserve">Lithuanian provinces, praying that their relations with the</w:t></w:r>
</w:p>
<w:p>
<w:pPr><w:pStyle w:val="Normal"/></w:pPr>
<w:r><w:t xml:space="preserve">serfs might be regulated in a more satisfactory way--meaning</w:t></w:r>
</w:p>
<w:p>
<w:pPr><w:pStyle w:val="Normal"/></w:pPr>
<w:r><w:t xml:space="preserve">in a way more satisfactory for the proprietors--he authorized</w:t></w:r>
</w:p>
<w:p>
<w:pPr><w:pStyle w:val="Normal"/></w:pPr>
<w:r><w:t xml:space="preserve">the formation of committees ``for ameliorating the condition</w:t></w:r>
</w:p>
<w:p>
<w:pPr><w:pStyle w:val="Normal"/></w:pPr>
<w:r><w:t xml:space="preserve">of the peasants,&apos;&apos; and laid down the principles on which the</w:t></w:r>
</w:p>
<w:p>
<w:pPr><w:pStyle w:val="Normal"/></w:pPr>
<w:r><w:t xml:space="preserve">amelioration was to be effected.  This was a decided step</w:t></w:r>
</w:p>
<w:p>
<w:pPr><w:pStyle w:val="Normal"/></w:pPr>
<w:r><w:t xml:space="preserve">and it was followed by one still more significant.  Without</w:t></w:r>
</w:p>
<w:p>
<w:pPr><w:pStyle w:val="Normal"/></w:pPr>
<w:r><w:t xml:space="preserve">consulting his ordinary advisers, his majesty ordered the</w:t></w:r>
</w:p>
<w:p>
<w:pPr><w:pStyle w:val="Normal"/></w:pPr>
<w:r><w:t xml:space="preserve">minister of the interior to send a circular to the provincial</w:t></w:r>
</w:p>
<w:p>
<w:pPr><w:pStyle w:val="Normal"/></w:pPr>
<w:r><w:t xml:space="preserve">governors of European Russia, containing a copy of the</w:t></w:r>
</w:p>
<w:p>
<w:pPr><w:pStyle w:val="Normal"/></w:pPr>
<w:r><w:t xml:space="preserve">instructions forwarded to the governor-general of Lithuania,</w:t></w:r>
</w:p>
<w:p>
<w:pPr><w:pStyle w:val="Normal"/></w:pPr>
<w:r><w:t xml:space="preserve">praising the supposed generous, patriotic intentions of the</w:t></w:r>
</w:p>
<w:p>
<w:pPr><w:pStyle w:val="Normal"/></w:pPr>
<w:r><w:t xml:space="preserve">Lithuanian landed proprietors, and suggesting that perhaps the</w:t></w:r>
</w:p>
<w:p>
<w:pPr><w:pStyle w:val="Normal"/></w:pPr>
<w:r><w:t xml:space="preserve">landed proprietors of other provinces might express a similar</w:t></w:r>
</w:p>
<w:p>
<w:pPr><w:pStyle w:val="Normal"/></w:pPr>
<w:r><w:t xml:space="preserve">desire.  The hint was taken, of course, and in all provinces</w:t></w:r>
</w:p>
<w:p>
<w:pPr><w:pStyle w:val="Normal"/></w:pPr>
<w:r><w:t xml:space="preserve">where serfage existed emancipation committees were formed.</w:t></w:r>
</w:p>
<w:p>
<w:pPr><w:pStyle w:val="Normal"/></w:pPr>
<w:r><w:t xml:space="preserve">The deliberations at once raised a host of important, thorny</w:t></w:r>
</w:p>
<w:p>
<w:pPr><w:pStyle w:val="Normal"/></w:pPr>
<w:r><w:t xml:space="preserve">questions.  The emancipation was not merely a humanitarian</w:t></w:r>
</w:p>
<w:p>
<w:pPr><w:pStyle w:val="Normal"/></w:pPr>
<w:r><w:t xml:space="preserve">question capable of being solved instantaneously by imperial</w:t></w:r>
</w:p>
<w:p>
<w:pPr><w:pStyle w:val="Normal"/></w:pPr>
<w:r><w:t xml:space="preserve">ukaz.  It contained very complicated problems affecting</w:t></w:r>
</w:p>
<w:p>
<w:pPr><w:pStyle w:val="Normal"/></w:pPr>
<w:r><w:t xml:space="preserve">deeply the economic, social and political future of the</w:t></w:r>
</w:p>
<w:p>
<w:pPr><w:pStyle w:val="Normal"/></w:pPr>
<w:r><w:t xml:space="preserve">nation.  Alexander II. had little of the special knowledge</w:t></w:r>
</w:p>
<w:p>
<w:pPr><w:pStyle w:val="Normal"/></w:pPr>
<w:r><w:t xml:space="preserve">required for dealing successfully with such problems, and</w:t></w:r>
</w:p>
<w:p>
<w:pPr><w:pStyle w:val="Normal"/></w:pPr>
<w:r><w:t xml:space="preserve">he had to restrict himself to choosing between the different</w:t></w:r>
</w:p>
<w:p>
<w:pPr><w:pStyle w:val="Normal"/></w:pPr>
<w:r><w:t xml:space="preserve">measures recommended to him.  The main point at issue was</w:t></w:r>
</w:p>
<w:p>
<w:pPr><w:pStyle w:val="Normal"/></w:pPr>
<w:r><w:t xml:space="preserve">whether the serfs should become agricultural labourers</w:t></w:r>
</w:p>
<w:p>
<w:pPr><w:pStyle w:val="Normal"/></w:pPr>
<w:r><w:t xml:space="preserve">dependent economically and administratively on the landlords,</w:t></w:r>
</w:p>
<w:p>
<w:pPr><w:pStyle w:val="Normal"/></w:pPr>
<w:r><w:t xml:space="preserve">or should be transformed into a class of independent communal</w:t></w:r>
</w:p>
<w:p>
<w:pPr><w:pStyle w:val="Normal"/></w:pPr>
<w:r><w:t xml:space="preserve">proprietors.  The emperor gave his support to the latter</w:t></w:r>
</w:p>
<w:p>
<w:pPr><w:pStyle w:val="Normal"/></w:pPr>
<w:r><w:t xml:space="preserve">project, and the Russian peasantry accordingly acquired rights</w:t></w:r>
</w:p>
<w:p>
<w:pPr><w:pStyle w:val="Normal"/></w:pPr>
<w:r><w:t xml:space="preserve">and privileges such as are enjoyed by no other peasantry in</w:t></w:r>
</w:p>
<w:p>
<w:pPr><w:pStyle w:val="Normal"/></w:pPr>
<w:r><w:t xml:space="preserve">Europe.  In the numerous other questions submitted to him be{sic}</w:t></w:r>
</w:p>
<w:p>
<w:pPr><w:pStyle w:val="Normal"/></w:pPr>
<w:r><w:t xml:space="preserve">began by consulting carefully the conflicting authorities, and</w:t></w:r>
</w:p>
<w:p>
<w:pPr><w:pStyle w:val="Normal"/></w:pPr>
<w:r><w:t xml:space="preserve">while leaning as a rule rather to the side of those who were</w:t></w:r>
</w:p>
<w:p>
<w:pPr><w:pStyle w:val="Normal"/></w:pPr>
<w:r><w:t xml:space="preserve">known as ``Liberals,&apos;&apos; he never went so far as they desired,</w:t></w:r>
</w:p>
<w:p>
<w:pPr><w:pStyle w:val="Normal"/></w:pPr>
<w:r><w:t xml:space="preserve">and always sought some middle course by which conflicting</w:t></w:r>
</w:p>
<w:p>
<w:pPr><w:pStyle w:val="Normal"/></w:pPr>
<w:r><w:t xml:space="preserve">interests might be reconciled.  On the 3rd of March 1861,</w:t></w:r>
</w:p>
<w:p>
<w:pPr><w:pStyle w:val="Normal"/></w:pPr>
<w:r><w:t xml:space="preserve">the sixth anniversary of his accession, the emancipation law</w:t></w:r>
</w:p>
<w:p>
<w:pPr><w:pStyle w:val="Normal"/></w:pPr>
<w:r><w:t xml:space="preserve">was signed and published.  Other reforms followed in quick</w:t></w:r>
</w:p>
<w:p>
<w:pPr><w:pStyle w:val="Normal"/></w:pPr>
<w:r><w:t xml:space="preserve">succession during the next five or six years: army and navy</w:t></w:r>
</w:p>
<w:p>
<w:pPr><w:pStyle w:val="Normal"/></w:pPr>
<w:r><w:t xml:space="preserve">organization, a new judicial administration on the French</w:t></w:r>
</w:p>
<w:p>
<w:pPr><w:pStyle w:val="Normal"/></w:pPr>
<w:r><w:t xml:space="preserve">model, a new penal code and a greatly simplified system of</w:t></w:r>
</w:p>
<w:p>
<w:pPr><w:pStyle w:val="Normal"/></w:pPr>
<w:r><w:t xml:space="preserve">civil and criminal procedure, an elaborate scheme of local</w:t></w:r>
</w:p>
<w:p>
<w:pPr><w:pStyle w:val="Normal"/></w:pPr>
<w:r><w:t xml:space="preserve">self-government for the rural districts and the large towns, with</w:t></w:r>
</w:p>
<w:p>
<w:pPr><w:pStyle w:val="Normal"/></w:pPr>
<w:r><w:t xml:space="preserve">elective assemhljes possessing a restricted right of taxation,</w:t></w:r>
</w:p>
<w:p>
<w:pPr><w:pStyle w:val="Normal"/></w:pPr>
<w:r><w:t xml:space="preserve">and a new rural and municipal police under the direction of</w:t></w:r>
</w:p>
<w:p>
<w:pPr><w:pStyle w:val="Normal"/></w:pPr>
<w:r><w:t xml:space="preserve">the minister of the interior.  These new institutions were</w:t></w:r>
</w:p>
<w:p>
<w:pPr><w:pStyle w:val="Normal"/></w:pPr>
<w:r><w:t xml:space="preserve">incomparably better than the old ones which they replaced, but</w:t></w:r>
</w:p>
<w:p>
<w:pPr><w:pStyle w:val="Normal"/></w:pPr>
<w:r><w:t xml:space="preserve">they did not work such miracles as inexperienced enthusiasts</w:t></w:r>
</w:p>
<w:p>
<w:pPr><w:pStyle w:val="Normal"/></w:pPr>
<w:r><w:t xml:space="preserve">expected.  Comparisons were made, not with the past, but with</w:t></w:r>
</w:p>
<w:p>
<w:pPr><w:pStyle w:val="Normal"/></w:pPr>
<w:r><w:t xml:space="preserve">an ideal state of things which never existed in Russia or</w:t></w:r>
</w:p>
<w:p>
<w:pPr><w:pStyle w:val="Normal"/></w:pPr>
<w:r><w:t xml:space="preserve">elsewhere.  Hence arose a general feeling of disappointment,</w:t></w:r>
</w:p>
<w:p>
<w:pPr><w:pStyle w:val="Normal"/></w:pPr>
<w:r><w:t xml:space="preserve">which acted on different natures in different ways.  Some of</w:t></w:r>
</w:p>
<w:p>
<w:pPr><w:pStyle w:val="Normal"/></w:pPr>
<w:r><w:t xml:space="preserve">the enthusiasts sank into a sceptical, reactionary frame of</w:t></w:r>
</w:p>
<w:p>
<w:pPr><w:pStyle w:val="Normal"/></w:pPr>
<w:r><w:t xml:space="preserve">mind; while others, with deeper convictions or capable of more</w:t></w:r>
</w:p>
<w:p>
<w:pPr><w:pStyle w:val="Normal"/></w:pPr>
<w:r><w:t xml:space="preserve">lasting excitement, attributed the failure to the fact that</w:t></w:r>
</w:p>
<w:p>
<w:pPr><w:pStyle w:val="Normal"/></w:pPr>
<w:r><w:t xml:space="preserve">only half- measures and compromises had been adopted by the</w:t></w:r>
</w:p>
<w:p>
<w:pPr><w:pStyle w:val="Normal"/></w:pPr>
<w:r><w:t xml:space="preserve">government.  Thus appeared in the educated classes two extreme</w:t></w:r>
</w:p>
<w:p>
<w:pPr><w:pStyle w:val="Normal"/></w:pPr>
<w:r><w:t xml:space="preserve">groups: on the one hand, the discontented Conservatives,</w:t></w:r>
</w:p>
<w:p>
<w:pPr><w:pStyle w:val="Normal"/></w:pPr>
<w:r><w:t xml:space="preserve">who recommended a return to a more severe disciplinarian</w:t></w:r>
</w:p>
<w:p>
<w:pPr><w:pStyle w:val="Normal"/></w:pPr>
<w:r><w:t xml:space="preserve">regime; and on the other, the discontented Radicals, who</w:t></w:r>
</w:p>
<w:p>
<w:pPr><w:pStyle w:val="Normal"/></w:pPr>
<w:r><w:t xml:space="preserve">would have been satisfied with nothing less than the adoption</w:t></w:r>
</w:p>
<w:p>
<w:pPr><w:pStyle w:val="Normal"/></w:pPr>
<w:r><w:t xml:space="preserve">of a throughgoing socialistic programme.  Between the two</w:t></w:r>
</w:p>
<w:p>
<w:pPr><w:pStyle w:val="Normal"/></w:pPr>
<w:r><w:t xml:space="preserve">extremes stood the discontented Moderates, who indulged freely</w:t></w:r>
</w:p>
<w:p>
<w:pPr><w:pStyle w:val="Normal"/></w:pPr>
<w:r><w:t xml:space="preserve">in grumbling without knowing how the unsatisfactory state of</w:t></w:r>
</w:p>
<w:p>
<w:pPr><w:pStyle w:val="Normal"/></w:pPr>
<w:r><w:t xml:space="preserve">things was to be remedied.  For some years the emperor, with</w:t></w:r>
</w:p>
<w:p>
<w:pPr><w:pStyle w:val="Normal"/></w:pPr>
<w:r><w:t xml:space="preserve">his sound common-sense and dislike of exaggeration, held the</w:t></w:r>
</w:p>
<w:p>
<w:pPr><w:pStyle w:val="Normal"/></w:pPr>
<w:r><w:t xml:space="preserve">balance fairly between the two extremes; but long years of</w:t></w:r>
</w:p>
<w:p>
<w:pPr><w:pStyle w:val="Normal"/></w:pPr>
<w:r><w:t xml:space="preserve">uninterrupted labour, anxiety and disappointment weakened his</w:t></w:r>
</w:p>
<w:p>
<w:pPr><w:pStyle w:val="Normal"/></w:pPr>
<w:r><w:t xml:space="preserve">zeal for reform, and when radicalism assumed more and more</w:t></w:r>
</w:p>
<w:p>
<w:pPr><w:pStyle w:val="Normal"/></w:pPr>
<w:r><w:t xml:space="preserve">the form of secret societies and revolutionary agitation,</w:t></w:r>
</w:p>
<w:p>
<w:pPr><w:pStyle w:val="Normal"/></w:pPr>
<w:r><w:t xml:space="preserve">he felt constrained to adopt severe repressive measures.</w:t></w:r>
</w:p>
<w:p>
<w:pPr><w:pStyle w:val="Normal"/></w:pPr>
<w:r><w:t xml:space="preserve">Nihilism.</w:t></w:r>
</w:p>
<w:p>
<w:pPr><w:pStyle w:val="Normal"/></w:pPr>
<w:r><w:t xml:space="preserve">The revolutionary agitation was of a very peculiar kind.</w:t></w:r>
</w:p>
<w:p>
<w:pPr><w:pStyle w:val="Normal"/></w:pPr>
<w:r><w:t xml:space="preserve">It was confined to a section of the educated classes,</w:t></w:r>
</w:p>
<w:p>
<w:pPr><w:pStyle w:val="Normal"/></w:pPr>
<w:r><w:t xml:space="preserve">and emanated from the universities and higher technical</w:t></w:r>
</w:p>
<w:p>
<w:pPr><w:pStyle w:val="Normal"/></w:pPr>
<w:r><w:t xml:space="preserve">schools.  At the beginning of the reform period there had been</w:t></w:r>
</w:p>
<w:p>
<w:pPr><w:pStyle w:val="Normal"/></w:pPr>
<w:r><w:t xml:space="preserve">enthusiasm for scientific as opposed to classical education.</w:t></w:r>
</w:p>
<w:p>
<w:pPr><w:pStyle w:val="Normal"/></w:pPr>
<w:r><w:t xml:space="preserve">Russia required, it was said, not classical scholars, but</w:t></w:r>
</w:p>
<w:p>
<w:pPr><w:pStyle w:val="Normal"/></w:pPr>
<w:r><w:t xml:space="preserve">practical, scientific men, capable of developing her natural</w:t></w:r>
</w:p>
<w:p>
<w:pPr><w:pStyle w:val="Normal"/></w:pPr>
<w:r><w:t xml:space="preserve">resources.  The government, in accordance with this view,</w:t></w:r>
</w:p>
<w:p>
<w:pPr><w:pStyle w:val="Normal"/></w:pPr>
<w:r><w:t xml:space="preserve">had encouraged scientific studies until it discovered to</w:t></w:r>
</w:p>
<w:p>
<w:pPr><w:pStyle w:val="Normal"/></w:pPr>
<w:r><w:t xml:space="preserve">its astonishment that there was some mysterious connexion</w:t></w:r>
</w:p>
<w:p>
<w:pPr><w:pStyle w:val="Normal"/></w:pPr>
<w:r><w:t xml:space="preserve">between natural science and revolutionary tendencies.  Many</w:t></w:r>
</w:p>
<w:p>
<w:pPr><w:pStyle w:val="Normal"/></w:pPr>
<w:r><w:t xml:space="preserve">of the young men and women, who were supposed to be qualifying</w:t></w:r>
</w:p>
<w:p>
<w:pPr><w:pStyle w:val="Normal"/></w:pPr>
<w:r><w:t xml:space="preserve">as specialists in the various spheres of industrial and</w:t></w:r>
</w:p>
<w:p>
<w:pPr><w:pStyle w:val="Normal"/></w:pPr>
<w:r><w:t xml:space="preserve">commercial enterprise, were in reality devoting their time</w:t></w:r>
</w:p>
<w:p>
<w:pPr><w:pStyle w:val="Normal"/></w:pPr>
<w:r><w:t xml:space="preserve">to considering how human society in general, and Russian</w:t></w:r>
</w:p>
<w:p>
<w:pPr><w:pStyle w:val="Normal"/></w:pPr>
<w:r><w:t xml:space="preserve">society in particular, could be reconstructed in accordance</w:t></w:r>
</w:p>
<w:p>
<w:pPr><w:pStyle w:val="Normal"/></w:pPr>
<w:r><w:t xml:space="preserve">with the latest physiological, biological and sociological</w:t></w:r>
</w:p>
<w:p>
<w:pPr><w:pStyle w:val="Normal"/></w:pPr>
<w:r><w:t xml:space="preserve">principles.  Some of these young people wished to put their</w:t></w:r>
</w:p>
<w:p>
<w:pPr><w:pStyle w:val="Normal"/></w:pPr>
<w:r><w:t xml:space="preserve">crude notions immediately into practice, and as their desire</w:t></w:r>
</w:p>
<w:p>
<w:pPr><w:pStyle w:val="Normal"/></w:pPr>
<w:r><w:t xml:space="preserve">to make gigantic socialist experiments naturally alarmed the</w:t></w:r>
</w:p>
<w:p>
<w:pPr><w:pStyle w:val="Normal"/></w:pPr>
<w:r><w:t xml:space="preserve">government, their activity was opposed by the police.  Many</w:t></w:r>
</w:p>
<w:p>
<w:pPr><w:pStyle w:val="Normal"/></w:pPr>
<w:r><w:t xml:space="preserve">of them were arrested and imprisoned or exiled to distant</w:t></w:r>
</w:p>
<w:p>
<w:pPr><w:pStyle w:val="Normal"/></w:pPr>
<w:r><w:t xml:space="preserve">provinces, but the revolutionary work was continued with</w:t></w:r>
</w:p>
<w:p>
<w:pPr><w:pStyle w:val="Normal"/></w:pPr>
<w:r><w:t xml:space="preserve">unabated zeal.  Thus arose a struggle between the youthful,</w:t></w:r>
</w:p>
<w:p>
<w:pPr><w:pStyle w:val="Normal"/></w:pPr>
<w:r><w:t xml:space="preserve">hot-headed partisans of revolutionary physical science and</w:t></w:r>
</w:p>
<w:p>
<w:pPr><w:pStyle w:val="Normal"/></w:pPr>
<w:r><w:t xml:space="preserve">the zealous official guardians of political order--a struggle</w:t></w:r>
</w:p>
<w:p>
<w:pPr><w:pStyle w:val="Normal"/></w:pPr>
<w:r><w:t xml:space="preserve">which has made the strange term Nihilism (q.v.) a familiar</w:t></w:r>
</w:p>
<w:p>
<w:pPr><w:pStyle w:val="Normal"/></w:pPr>
<w:r><w:t xml:space="preserve">word not only in Russia but also in western Europe.  The</w:t></w:r>
</w:p>
<w:p>
<w:pPr><w:pStyle w:val="Normal"/></w:pPr>
<w:r><w:t xml:space="preserve">movement gradually assumed the form of terrorism, and aimed</w:t></w:r>
</w:p>
<w:p>
<w:pPr><w:pStyle w:val="Normal"/></w:pPr>
<w:r><w:t xml:space="preserve">at the assassination of prominent officials, and even of</w:t></w:r>
</w:p>
<w:p>
<w:pPr><w:pStyle w:val="Normal"/></w:pPr>
<w:r><w:t xml:space="preserve">the emperor himself, and the natural result was that the</w:t></w:r>
</w:p>
<w:p>
<w:pPr><w:pStyle w:val="Normal"/></w:pPr>
<w:r><w:t xml:space="preserve">reactionary tendencies of the government were strengthened.</w:t></w:r>
</w:p>
<w:p>
<w:pPr><w:pStyle w:val="Normal"/></w:pPr>
<w:r><w:t xml:space="preserve">Foreign policy.</w:t></w:r>
</w:p>
<w:p>
<w:pPr><w:pStyle w:val="Normal"/></w:pPr>
<w:r><w:t xml:space="preserve">In foreign policy Alexander II. showed the same qualities of</w:t></w:r>
</w:p>
<w:p>
<w:pPr><w:pStyle w:val="Normal"/></w:pPr>
<w:r><w:t xml:space="preserve">character as in internal affairs, ever trying prudently to</w:t></w:r>
</w:p>
<w:p>
<w:pPr><w:pStyle w:val="Normal"/></w:pPr>
<w:r><w:t xml:space="preserve">steer a middle course.  When he came to the throne a peace</w:t></w:r>
</w:p>
<w:p>
<w:pPr><w:pStyle w:val="Normal"/></w:pPr>
<w:r><w:t xml:space="preserve">policy was imposed on him by circumstances.  The Crimean War</w:t></w:r>
</w:p>
<w:p>
<w:pPr><w:pStyle w:val="Normal"/></w:pPr>
<w:r><w:t xml:space="preserve">was still going on, but as there was no doubt as to the final</w:t></w:r>
</w:p>
<w:p>
<w:pPr><w:pStyle w:val="Normal"/></w:pPr>
<w:r><w:t xml:space="preserve">issue, and the country was showing symptoms of exhaustion,</w:t></w:r>
</w:p>
<w:p>
<w:pPr><w:pStyle w:val="Normal"/></w:pPr>
<w:r><w:t xml:space="preserve">he concluded peace with the allies as soon as he thought the</w:t></w:r>
</w:p>
<w:p>
<w:pPr><w:pStyle w:val="Normal"/></w:pPr>
<w:r><w:t xml:space="preserve">national honour had been satisfied.  Prince Gorchakov could</w:t></w:r>
</w:p>
<w:p>
<w:pPr><w:pStyle w:val="Normal"/></w:pPr>
<w:r><w:t xml:space="preserve">then declare to Europe, ``La Russie ne boude pas elle</w:t></w:r>
</w:p>
<w:p>
<w:pPr><w:pStyle w:val="Normal"/></w:pPr>
<w:r><w:t xml:space="preserve">se recueille&apos;&apos;; and for fifteen years he avoided foreign</w:t></w:r>
</w:p>
<w:p>
<w:pPr><w:pStyle w:val="Normal"/></w:pPr>
<w:r><w:t xml:space="preserve">complications, so that the internal strength of the country</w:t></w:r>
</w:p>
<w:p>
<w:pPr><w:pStyle w:val="Normal"/></w:pPr>
<w:r><w:t xml:space="preserve">might be developed, while the national pride and ambition</w:t></w:r>
</w:p>
<w:p>
<w:pPr><w:pStyle w:val="Normal"/></w:pPr>
<w:r><w:t xml:space="preserve">received a certain satisfaction by the expansion of Russian</w:t></w:r>
</w:p>
<w:p>
<w:pPr><w:pStyle w:val="Normal"/></w:pPr>
<w:r><w:t xml:space="preserve">influence and domination in Asia.  Twice, indeed, during that</w:t></w:r>
</w:p>
<w:p>
<w:pPr><w:pStyle w:val="Normal"/></w:pPr>
<w:r><w:t xml:space="preserve">period the chancellor ran the risk of provoking war.  The</w:t></w:r>
</w:p>
<w:p>
<w:pPr><w:pStyle w:val="Normal"/></w:pPr>
<w:r><w:t xml:space="preserve">first occasion was in 1863, when the Western powers seemed</w:t></w:r>
</w:p>
<w:p>
<w:pPr><w:pStyle w:val="Normal"/></w:pPr>
<w:r><w:t xml:space="preserve">inclined to interfere in the Polish question, and the Russian</w:t></w:r>
</w:p>
<w:p>
<w:pPr><w:pStyle w:val="Normal"/></w:pPr>
<w:r><w:t xml:space="preserve">chancery declared categorically that no interference would be</w:t></w:r>
</w:p>
<w:p>
<w:pPr><w:pStyle w:val="Normal"/></w:pPr>
<w:r><w:t xml:space="preserve">tolerated.  The second occasion was during the Franco-German</w:t></w:r>
</w:p>
<w:p>
<w:pPr><w:pStyle w:val="Normal"/></w:pPr>
<w:r><w:t xml:space="preserve">War of 1870-71, when the cabinet of St Petersburg boldly</w:t></w:r>
</w:p>
<w:p>
<w:pPr><w:pStyle w:val="Normal"/></w:pPr>
<w:r><w:t xml:space="preserve">declared that it considered itself no longer bound by the Black</w:t></w:r>
</w:p>
<w:p>
<w:pPr><w:pStyle w:val="Normal"/></w:pPr>
<w:r><w:t xml:space="preserve">Sea clause of the treaty of Paris.  On both these occasions</w:t></w:r>
</w:p>
<w:p>
<w:pPr><w:pStyle w:val="Normal"/></w:pPr>
<w:r><w:t xml:space="preserve">hostilities were averted.  Not so on the next occasion, when</w:t></w:r>
</w:p>
<w:p>
<w:pPr><w:pStyle w:val="Normal"/></w:pPr>
<w:r><w:t xml:space="preserve">Russia abandoned her attitude of recueillement. When the</w:t></w:r>
</w:p>
<w:p>
<w:pPr><w:pStyle w:val="Normal"/></w:pPr>
<w:r><w:t xml:space="preserve">Eastern question was raised in 1875 by the insurrection of</w:t></w:r>
</w:p>
<w:p>
<w:pPr><w:pStyle w:val="Normal"/></w:pPr>
<w:r><w:t xml:space="preserve">Herzegovina, Alexander II. had no intention or wish to</w:t></w:r>
</w:p>
<w:p>
<w:pPr><w:pStyle w:val="Normal"/></w:pPr>
<w:r><w:t xml:space="preserve">provoke a great European war.  No doubt he was waiting for</w:t></w:r>
</w:p>
<w:p>
<w:pPr><w:pStyle w:val="Normal"/></w:pPr>
<w:r><w:t xml:space="preserve">an opportunity of recovering the portion of Bessarabia which</w:t></w:r>
</w:p>
<w:p>
<w:pPr><w:pStyle w:val="Normal"/></w:pPr>
<w:r><w:t xml:space="preserve">had been ceded by the treaty of Paris, and he perceived</w:t></w:r>
</w:p>
<w:p>
<w:pPr><w:pStyle w:val="Normal"/></w:pPr>
<w:r><w:t xml:space="preserve">in the disturbed state of Eastern Europe a possibility of</w:t></w:r>
</w:p>
<w:p>
<w:pPr><w:pStyle w:val="Normal"/></w:pPr>
<w:r><w:t xml:space="preserve">obtaining the desired rectification of frontier, but he hoped</w:t></w:r>
</w:p>
<w:p>
<w:pPr><w:pStyle w:val="Normal"/></w:pPr>
<w:r><w:t xml:space="preserve">to effect his purpose by diplomatic means in conjunction with</w:t></w:r>
</w:p>
<w:p>
<w:pPr><w:pStyle w:val="Normal"/></w:pPr>
<w:r><w:t xml:space="preserve">Austria.  At the same time he was anxious to obtain for the</w:t></w:r>
</w:p>
<w:p>
<w:pPr><w:pStyle w:val="Normal"/></w:pPr>
<w:r><w:t xml:space="preserve">Christians of Turkey some amelioration of their condition,</w:t></w:r>
</w:p>
<w:p>
<w:pPr><w:pStyle w:val="Normal"/></w:pPr>
<w:r><w:t xml:space="preserve">and to give thereby some satisfaction to his own subjects.</w:t></w:r>
</w:p>
<w:p>
<w:pPr><w:pStyle w:val="Normal"/></w:pPr>
<w:r><w:t xml:space="preserve">As autocratic ruler of the nation which had long considered</w:t></w:r>
</w:p>
<w:p>
<w:pPr><w:pStyle w:val="Normal"/></w:pPr>
<w:r><w:t xml:space="preserve">itself the defender of the Eastern Orthodox faith and the</w:t></w:r>
</w:p>
<w:p>
<w:pPr><w:pStyle w:val="Normal"/></w:pPr>
<w:r><w:t xml:space="preserve">protector of the Slav nationalities, he could not remain</w:t></w:r>
</w:p>
<w:p>
<w:pPr><w:pStyle w:val="Normal"/></w:pPr>
<w:r><w:t xml:space="preserve">inactive at such a crisis, and he gradually allowed himself</w:t></w:r>
</w:p>
<w:p>
<w:pPr><w:pStyle w:val="Normal"/></w:pPr>
<w:r><w:t xml:space="preserve">to drift into a position from which he could not retreat</w:t></w:r>
</w:p>
<w:p>
<w:pPr><w:pStyle w:val="Normal"/></w:pPr>
<w:r><w:t xml:space="preserve">without obtaining some tangible result.  Supposing that the</w:t></w:r>
</w:p>
<w:p>
<w:pPr><w:pStyle w:val="Normal"/></w:pPr>
<w:r><w:t xml:space="preserve">Porte would yield to diplomatic pressure and menace so far as</w:t></w:r>
</w:p>
<w:p>
<w:pPr><w:pStyle w:val="Normal"/></w:pPr>
<w:r><w:t xml:space="preserve">to make some reasonable concessions, he delivered his famous</w:t></w:r>
</w:p>
<w:p>
<w:pPr><w:pStyle w:val="Normal"/></w:pPr>
<w:r><w:t xml:space="preserve">Moscow speech, in which he declared that if Europe would not</w:t></w:r>
</w:p>
<w:p>
<w:pPr><w:pStyle w:val="Normal"/></w:pPr>
<w:r><w:t xml:space="preserve">secure a better position for the oppressed Slavs he would act</w:t></w:r>
</w:p>
<w:p>
<w:pPr><w:pStyle w:val="Normal"/></w:pPr>
<w:r><w:t xml:space="preserve">alone.  The diplomatic pressure failed and war became</w:t></w:r>
</w:p>
<w:p>
<w:pPr><w:pStyle w:val="Normal"/></w:pPr>
<w:r><w:t xml:space="preserve">inevitable.  During the campaign he displayed the same</w:t></w:r>
</w:p>
<w:p>
<w:pPr><w:pStyle w:val="Normal"/></w:pPr>
<w:r><w:t xml:space="preserve">perseverance and the same moderation that he had shown in the</w:t></w:r>
</w:p>
<w:p>
<w:pPr><w:pStyle w:val="Normal"/></w:pPr>
<w:r><w:t xml:space="preserve">emancipation of the serfs.  To those who began to despair of</w:t></w:r>
</w:p>
<w:p>
<w:pPr><w:pStyle w:val="Normal"/></w:pPr>
<w:r><w:t xml:space="preserve">success, and advised him to conclude peace on almost any</w:t></w:r>
</w:p>
<w:p>
<w:pPr><w:pStyle w:val="Normal"/></w:pPr>
<w:r><w:t xml:space="preserve">terms so as to avoid greater disasters, he turned a deaf</w:t></w:r>
</w:p>
<w:p>
<w:pPr><w:pStyle w:val="Normal"/></w:pPr>
<w:r><w:t xml:space="preserve">ear, and brought the campaign to a successful conclusion;</w:t></w:r>
</w:p>
<w:p>
<w:pPr><w:pStyle w:val="Normal"/></w:pPr>
<w:r><w:t xml:space="preserve">but when his more headstrong advisers urged him to insist</w:t></w:r>
</w:p>
<w:p>
<w:pPr><w:pStyle w:val="Normal"/></w:pPr>
<w:r><w:t xml:space="preserve">on terms which would probably have produced a conflict with</w:t></w:r>
</w:p>
<w:p>
<w:pPr><w:pStyle w:val="Normal"/></w:pPr>
<w:r><w:t xml:space="preserve">Great Britain and Austria, he resolved, after some hesitation,</w:t></w:r>
</w:p>
<w:p>
<w:pPr><w:pStyle w:val="Normal"/></w:pPr>
<w:r><w:t xml:space="preserve">to make the requisite concessions.  In this resolution he</w:t></w:r>
</w:p>
<w:p>
<w:pPr><w:pStyle w:val="Normal"/></w:pPr>
<w:r><w:t xml:space="preserve">was influenced by the discovery that he could not rely on</w:t></w:r>
</w:p>
<w:p>
<w:pPr><w:pStyle w:val="Normal"/></w:pPr>
<w:r><w:t xml:space="preserve">the expected support of Germany, and the discovery made</w:t></w:r>
</w:p>
<w:p>
<w:pPr><w:pStyle w:val="Normal"/></w:pPr>
<w:r><w:t xml:space="preserve">him waver in his devotion to the German alliance, which had</w:t></w:r>
</w:p>
<w:p>
<w:pPr><w:pStyle w:val="Normal"/></w:pPr>
<w:r><w:t xml:space="preserve">been the main pivot of his foreign policy; but his personal</w:t></w:r>
</w:p>
<w:p>
<w:pPr><w:pStyle w:val="Normal"/></w:pPr>
<w:r><w:t xml:space="preserve">attachment to the emperor William prevented him from adopting</w:t></w:r>
</w:p>
<w:p>
<w:pPr><w:pStyle w:val="Normal"/></w:pPr>
<w:r><w:t xml:space="preserve">a hostile attitude towards the empire he had helped to create.</w:t></w:r>
</w:p>
<w:p>
<w:pPr><w:pStyle w:val="Normal"/></w:pPr>
<w:r><w:t xml:space="preserve">The patriotic excitement produced by the war did not weaken</w:t></w:r>
</w:p>
<w:p>
<w:pPr><w:pStyle w:val="Normal"/></w:pPr>
<w:r><w:t xml:space="preserve">the revolutionary agitation.  The struggle between the</w:t></w:r>
</w:p>
<w:p>
<w:pPr><w:pStyle w:val="Normal"/></w:pPr>
<w:r><w:t xml:space="preserve">Terrorists and the police authorities became more and more</w:t></w:r>
</w:p>
<w:p>
<w:pPr><w:pStyle w:val="Normal"/></w:pPr>
<w:r><w:t xml:space="preserve">intense, and attempts at assassination became more and more</w:t></w:r>
</w:p>
<w:p>
<w:pPr><w:pStyle w:val="Normal"/></w:pPr>
<w:r><w:t xml:space="preserve">frequent.  Alexander II. succumbed by degrees to the mental</w:t></w:r>
</w:p>
<w:p>
<w:pPr><w:pStyle w:val="Normal"/></w:pPr>
<w:r><w:t xml:space="preserve">depression produced originally by the disappointments</w:t></w:r>
</w:p>
<w:p>
<w:pPr><w:pStyle w:val="Normal"/></w:pPr>
<w:r><w:t xml:space="preserve">which he experienced in his home and foreign policy; and in</w:t></w:r>
</w:p>
<w:p>
<w:pPr><w:pStyle w:val="Normal"/></w:pPr>
<w:r><w:t xml:space="preserve">1880, when he had reigned twenty-five years, he entrusted</w:t></w:r>
</w:p>
<w:p>
<w:pPr><w:pStyle w:val="Normal"/></w:pPr>
<w:r><w:t xml:space="preserve">to Count Loris-Melikov a large share of the executive</w:t></w:r>
</w:p>
<w:p>
<w:pPr><w:pStyle w:val="Normal"/></w:pPr>
<w:r><w:t xml:space="preserve">power.  In that year the empress died, and a few weeks</w:t></w:r>
</w:p>
<w:p>
<w:pPr><w:pStyle w:val="Normal"/></w:pPr>
<w:r><w:t xml:space="preserve">afterwards he married secretly a Princess Dolgoruki, with</w:t></w:r>
</w:p>
<w:p>
<w:pPr><w:pStyle w:val="Normal"/></w:pPr>
<w:r><w:t xml:space="preserve">whom he had already entertained intimate relations for some</w:t></w:r>
</w:p>
<w:p>
<w:pPr><w:pStyle w:val="Normal"/></w:pPr>
<w:r><w:t xml:space="preserve">years.  Early in 1881, on the advice of Count Loris-Melikov,</w:t></w:r>
</w:p>
<w:p>
<w:pPr><w:pStyle w:val="Normal"/></w:pPr>
<w:r><w:t xml:space="preserve">he determined to try the effect of some moderate liberal</w:t></w:r>
</w:p>
<w:p>
<w:pPr><w:pStyle w:val="Normal"/></w:pPr>
<w:r><w:t xml:space="preserve">reforms on the revolutionary agitation, and for this purpose</w:t></w:r>
</w:p>
<w:p>
<w:pPr><w:pStyle w:val="Normal"/></w:pPr>
<w:r><w:t xml:space="preserve">he caused a ukaz to be prepared creating special commissions,</w:t></w:r>
</w:p>
<w:p>
<w:pPr><w:pStyle w:val="Normal"/></w:pPr>
<w:r><w:t xml:space="preserve">composed of high officials and private personages who should</w:t></w:r>
</w:p>
<w:p>
<w:pPr><w:pStyle w:val="Normal"/></w:pPr>
<w:r><w:t xml:space="preserve">prepare reforms in various branches of the administration.</w:t></w:r>
</w:p>
<w:p>
<w:pPr><w:pStyle w:val="Normal"/></w:pPr>
<w:r><w:t xml:space="preserve">On the very day on which this ukaz was signed--13th of March</w:t></w:r>
</w:p>
<w:p>
<w:pPr><w:pStyle w:val="Normal"/></w:pPr>
<w:r><w:t xml:space="preserve">1881--he fell a victim to a Nihilist plot.  When driving in</w:t></w:r>
</w:p>
<w:p>
<w:pPr><w:pStyle w:val="Normal"/></w:pPr>
<w:r><w:t xml:space="preserve">one of the central streets of St Petersburg, near the Winter</w:t></w:r>
</w:p>
<w:p>
<w:pPr><w:pStyle w:val="Normal"/></w:pPr>
<w:r><w:t xml:space="preserve">Palace, he was mortally wounded by the explosion of some</w:t></w:r>
</w:p>
<w:p>
<w:pPr><w:pStyle w:val="Normal"/></w:pPr>
<w:r><w:t xml:space="preserve">small bombs and died a few hours afterwards. (D. M. W.)</w:t></w:r>
</w:p>
<w:p>
<w:pPr><w:pStyle w:val="Normal"/></w:pPr>
<w:r><w:t xml:space="preserve">ALEXANDER III. (1845-1894), emperor of Russia, second</w:t></w:r>
</w:p>
<w:p>
<w:pPr><w:pStyle w:val="Normal"/></w:pPr>
<w:r><w:t xml:space="preserve">son of Alexander II., was born on the 10th of March 1845.</w:t></w:r>
</w:p>
<w:p>
<w:pPr><w:pStyle w:val="Normal"/></w:pPr>
<w:r><w:t xml:space="preserve">In natural disposition he bore little resemblance to his</w:t></w:r>
</w:p>
<w:p>
<w:pPr><w:pStyle w:val="Normal"/></w:pPr>
<w:r><w:t xml:space="preserve">soft-hearted, liberal minded father, and still less to his</w:t></w:r>
</w:p>
<w:p>
<w:pPr><w:pStyle w:val="Normal"/></w:pPr>
<w:r><w:t xml:space="preserve">refined, philosophic, sentimental, chivalrous, yet cunning</w:t></w:r>
</w:p>
<w:p>
<w:pPr><w:pStyle w:val="Normal"/></w:pPr>
<w:r><w:t xml:space="preserve">grand-uncle Alexander I., who coveted the title of ``the</w:t></w:r>
</w:p>
<w:p>
<w:pPr><w:pStyle w:val="Normal"/></w:pPr>
<w:r><w:t xml:space="preserve">first gentleman of Europe.&apos;&apos; With high culture, exquisite</w:t></w:r>
</w:p>
<w:p>
<w:pPr><w:pStyle w:val="Normal"/></w:pPr>
<w:r><w:t xml:space="preserve">refinement and studied elegance he had no sympathy and never</w:t></w:r>
</w:p>
<w:p>
<w:pPr><w:pStyle w:val="Normal"/></w:pPr>
<w:r><w:t xml:space="preserve">affected to have any.  Indeed, he rather gloried in the idea</w:t></w:r>
</w:p>
<w:p>
<w:pPr><w:pStyle w:val="Normal"/></w:pPr>
<w:r><w:t xml:space="preserve">of being of the same rough texture as the great majority of</w:t></w:r>
</w:p>
<w:p>
<w:pPr><w:pStyle w:val="Normal"/></w:pPr>
<w:r><w:t xml:space="preserve">his subjects.  His straightforward, abrupt manner savoured</w:t></w:r>
</w:p>
<w:p>
<w:pPr><w:pStyle w:val="Normal"/></w:pPr>
<w:r><w:t xml:space="preserve">sometimes of gruffness, while his direct, unadorned method</w:t></w:r>
</w:p>
<w:p>
<w:pPr><w:pStyle w:val="Normal"/></w:pPr>
<w:r><w:t xml:space="preserve">of expressing himself harmonized well with his rough-hewn,</w:t></w:r>
</w:p>
<w:p>
<w:pPr><w:pStyle w:val="Normal"/></w:pPr>
<w:r><w:t xml:space="preserve">immobile features and somewhat sluggish movements.  His</w:t></w:r>
</w:p>
<w:p>
<w:pPr><w:pStyle w:val="Normal"/></w:pPr>
<w:r><w:t xml:space="preserve">education was not fitted to soften these peculiarities.</w:t></w:r>
</w:p>
<w:p>
<w:pPr><w:pStyle w:val="Normal"/></w:pPr>
<w:r><w:t xml:space="preserve">During the first twenty years of his life he had no prospect</w:t></w:r>
</w:p>
<w:p>
<w:pPr><w:pStyle w:val="Normal"/></w:pPr>
<w:r><w:t xml:space="preserve">of succeeding to the throne, because he had an elder brother,</w:t></w:r>
</w:p>
<w:p>
<w:pPr><w:pStyle w:val="Normal"/></w:pPr>
<w:r><w:t xml:space="preserve">Nicholas, who seemed of a fairly robust constitution.  Even</w:t></w:r>
</w:p>
<w:p>
<w:pPr><w:pStyle w:val="Normal"/></w:pPr>
<w:r><w:t xml:space="preserve">when this elder brother showed symptoms of delicate health</w:t></w:r>
</w:p>
<w:p>
<w:pPr><w:pStyle w:val="Normal"/></w:pPr>
<w:r><w:t xml:space="preserve">it was believed that his life might be indefinitely prolonged</w:t></w:r>
</w:p>
<w:p>
<w:pPr><w:pStyle w:val="Normal"/></w:pPr>
<w:r><w:t xml:space="preserve">by proper care and attention, and precautions had been taken</w:t></w:r>
</w:p>
<w:p>
<w:pPr><w:pStyle w:val="Normal"/></w:pPr>
<w:r><w:t xml:space="preserve">for the succession by his betrothal with Princess Dagmar of</w:t></w:r>
</w:p>
<w:p>
<w:pPr><w:pStyle w:val="Normal"/></w:pPr>
<w:r><w:t xml:space="preserve">Denmark.  Under these circumstances the greatest solicitude</w:t></w:r>
</w:p>
<w:p>
<w:pPr><w:pStyle w:val="Normal"/></w:pPr>
<w:r><w:t xml:space="preserve">was devoted to the education of Nicholas as cesarevich,</w:t></w:r>
</w:p>
<w:p>
<w:pPr><w:pStyle w:val="Normal"/></w:pPr>
<w:r><w:t xml:space="preserve">whereas Alexander received only the perfunctory and inadequate</w:t></w:r>
</w:p>
<w:p>
<w:pPr><w:pStyle w:val="Normal"/></w:pPr>
<w:r><w:t xml:space="preserve">training of an ordinary grand- duke of that period, which</w:t></w:r>
</w:p>
<w:p>
<w:pPr><w:pStyle w:val="Normal"/></w:pPr>
<w:r><w:t xml:space="preserve">did not go much beyond primary and secondary instruction,</w:t></w:r>
</w:p>
<w:p>
<w:pPr><w:pStyle w:val="Normal"/></w:pPr>
<w:r><w:t xml:space="preserve">practical acquaintance with French, English and German, and</w:t></w:r>
</w:p>
<w:p>
<w:pPr><w:pStyle w:val="Normal"/></w:pPr>
<w:r><w:t xml:space="preserve">a certain amount of drill.  When he became heir-apparent by</w:t></w:r>
</w:p>
<w:p>
<w:pPr><w:pStyle w:val="Normal"/></w:pPr>
<w:r><w:t xml:space="preserve">the death of his elder brother in 1865, he began to study</w:t></w:r>
</w:p>
<w:p>
<w:pPr><w:pStyle w:val="Normal"/></w:pPr>
<w:r><w:t xml:space="preserve">the principles of law and administration under Professor</w:t></w:r>
</w:p>
<w:p>
<w:pPr><w:pStyle w:val="Normal"/></w:pPr>
<w:r><w:t xml:space="preserve">Pobedonostsef, who did not succeed in awakening in his pupil</w:t></w:r>
</w:p>
<w:p>
<w:pPr><w:pStyle w:val="Normal"/></w:pPr>
<w:r><w:t xml:space="preserve">a love of abstract studies or prolonged intellectual exertion,</w:t></w:r>
</w:p>
<w:p>
<w:pPr><w:pStyle w:val="Normal"/></w:pPr>
<w:r><w:t xml:space="preserve">but who influenced the character of his reign by instilling</w:t></w:r>
</w:p>
<w:p>
<w:pPr><w:pStyle w:val="Normal"/></w:pPr>
<w:r><w:t xml:space="preserve">into his mind the belief that zeal for Eastern Orthodoxy ought,</w:t></w:r>
</w:p>
<w:p>
<w:pPr><w:pStyle w:val="Normal"/></w:pPr>
<w:r><w:t xml:space="preserve">as an essential factor of Russian patriotism, to be specially</w:t></w:r>
</w:p>
<w:p>
<w:pPr><w:pStyle w:val="Normal"/></w:pPr>
<w:r><w:t xml:space="preserve">cultivated by every right-minded tsar.  His elder brother</w:t></w:r>
</w:p>
<w:p>
<w:pPr><w:pStyle w:val="Normal"/></w:pPr>
<w:r><w:t xml:space="preserve">when on his deathbed had expressed a wish that his affianced</w:t></w:r>
</w:p>
<w:p>
<w:pPr><w:pStyle w:val="Normal"/></w:pPr>
<w:r><w:t xml:space="preserve">bride, Princess Dagmar of Denmark, should marry his successor,</w:t></w:r>
</w:p>
<w:p>
<w:pPr><w:pStyle w:val="Normal"/></w:pPr>
<w:r><w:t xml:space="preserve">and this wish was realized on the 9th of November 1866.  The</w:t></w:r>
</w:p>
<w:p>
<w:pPr><w:pStyle w:val="Normal"/></w:pPr>
<w:r><w:t xml:space="preserve">union proved a most happy one and remained unclouded to the</w:t></w:r>
</w:p>
<w:p>
<w:pPr><w:pStyle w:val="Normal"/></w:pPr>
<w:r><w:t xml:space="preserve">end.  During those years when he was heir-apparent--1865 to</w:t></w:r>
</w:p>
<w:p>
<w:pPr><w:pStyle w:val="Normal"/></w:pPr>
<w:r><w:t xml:space="preserve">1881--he did not play a prominent part in public affairs, but</w:t></w:r>
</w:p>
<w:p>
<w:pPr><w:pStyle w:val="Normal"/></w:pPr>
<w:r><w:t xml:space="preserve">he allowed it to become known that he had certain ideas of his</w:t></w:r>
</w:p>
<w:p>
<w:pPr><w:pStyle w:val="Normal"/></w:pPr>
<w:r><w:t xml:space="preserve">own which did not coincide with the principles of the existing</w:t></w:r>
</w:p>
<w:p>
<w:pPr><w:pStyle w:val="Normal"/></w:pPr>
<w:r><w:t xml:space="preserve">government.  He deprecated what he considered undue foreign</w:t></w:r>
</w:p>
<w:p>
<w:pPr><w:pStyle w:val="Normal"/></w:pPr>
<w:r><w:t xml:space="preserve">influence in general, and German influence in particular, and</w:t></w:r>
</w:p>
<w:p>
<w:pPr><w:pStyle w:val="Normal"/></w:pPr>
<w:r><w:t xml:space="preserve">he longed to see the adoption of genuine national principles</w:t></w:r>
</w:p>
<w:p>
<w:pPr><w:pStyle w:val="Normal"/></w:pPr>
<w:r><w:t xml:space="preserve">in all spheres of official activity, with a view to realizing</w:t></w:r>
</w:p>
<w:p>
<w:pPr><w:pStyle w:val="Normal"/></w:pPr>
<w:r><w:t xml:space="preserve">his ideal of a homogeneous Russia--homogeneous in language,</w:t></w:r>
</w:p>
<w:p>
<w:pPr><w:pStyle w:val="Normal"/></w:pPr>
<w:r><w:t xml:space="preserve">administration and religion.  With such ideas and aspirations</w:t></w:r>
</w:p>
<w:p>
<w:pPr><w:pStyle w:val="Normal"/></w:pPr>
<w:r><w:t xml:space="preserve">he could hardly remain permanently in cordial agreement</w:t></w:r>
</w:p>
<w:p>
<w:pPr><w:pStyle w:val="Normal"/></w:pPr>
<w:r><w:t xml:space="preserve">with his father, who, though a good patriot according to his</w:t></w:r>
</w:p>
<w:p>
<w:pPr><w:pStyle w:val="Normal"/></w:pPr>
<w:r><w:t xml:space="preserve">lights, had strong German sympathies, often used the German</w:t></w:r>
</w:p>
<w:p>
<w:pPr><w:pStyle w:val="Normal"/></w:pPr>
<w:r><w:t xml:space="preserve">language in his private relations, occasionally ridiculed</w:t></w:r>
</w:p>
<w:p>
<w:pPr><w:pStyle w:val="Normal"/></w:pPr>
<w:r><w:t xml:space="preserve">the exaggerations and eccentricities of the Slavophils and</w:t></w:r>
</w:p>
<w:p>
<w:pPr><w:pStyle w:val="Normal"/></w:pPr>
<w:r><w:t xml:space="preserve">based his foreign policy on the Prussian alliance.  The</w:t></w:r>
</w:p>
<w:p>
<w:pPr><w:pStyle w:val="Normal"/></w:pPr>
<w:r><w:t xml:space="preserve">antagonism first appeared publicly during the Franco-German</w:t></w:r>
</w:p>
<w:p>
<w:pPr><w:pStyle w:val="Normal"/></w:pPr>
<w:r><w:t xml:space="preserve">War, when the tsar supported the cabinet of Berlin and the</w:t></w:r>
</w:p>
<w:p>
<w:pPr><w:pStyle w:val="Normal"/></w:pPr>
<w:r><w:t xml:space="preserve">cesarevich did not conceal his sympathies with the French.</w:t></w:r>
</w:p>
<w:p>
<w:pPr><w:pStyle w:val="Normal"/></w:pPr>
<w:r><w:t xml:space="preserve">It reappeared in an intermittent fashion during the years</w:t></w:r>
</w:p>
<w:p>
<w:pPr><w:pStyle w:val="Normal"/></w:pPr>
<w:r><w:t xml:space="preserve">1875-1879, when the Eastern question produced so much excitement</w:t></w:r>
</w:p>
<w:p>
<w:pPr><w:pStyle w:val="Normal"/></w:pPr>
<w:r><w:t xml:space="preserve">in all ranks of Russian society.  At first the cesarevich was</w:t></w:r>
</w:p>
<w:p>
<w:pPr><w:pStyle w:val="Normal"/></w:pPr>
<w:r><w:t xml:space="preserve">more Slavophil than the government, but his phlegmatic nature</w:t></w:r>
</w:p>
<w:p>
<w:pPr><w:pStyle w:val="Normal"/></w:pPr>
<w:r><w:t xml:space="preserve">preserved him from many of the exaggerations indulged in by</w:t></w:r>
</w:p>
<w:p>
<w:pPr><w:pStyle w:val="Normal"/></w:pPr>
<w:r><w:t xml:space="preserve">others, and any of the prevalent popular illusions he may</w:t></w:r>
</w:p>
<w:p>
<w:pPr><w:pStyle w:val="Normal"/></w:pPr>
<w:r><w:t xml:space="preserve">have imbibed were soon dispelled by personal observation in</w:t></w:r>
</w:p>
<w:p>
<w:pPr><w:pStyle w:val="Normal"/></w:pPr>
<w:r><w:t xml:space="preserve">Bulgaria, where he commanded the left wing of the invading</w:t></w:r>
</w:p>
<w:p>
<w:pPr><w:pStyle w:val="Normal"/></w:pPr>
<w:r><w:t xml:space="preserve">army.  The Bulgarians had been represented in St Petersburg</w:t></w:r>
</w:p>
<w:p>
<w:pPr><w:pStyle w:val="Normal"/></w:pPr>
<w:r><w:t xml:space="preserve">and Moscow not only as martyrs but also as saints, and a</w:t></w:r>
</w:p>
<w:p>
<w:pPr><w:pStyle w:val="Normal"/></w:pPr>
<w:r><w:t xml:space="preserve">very little personal experience sufficed to correct the</w:t></w:r>
</w:p>
<w:p>
<w:pPr><w:pStyle w:val="Normal"/></w:pPr>
<w:r><w:t xml:space="preserve">error.  Like most of his brother officers he could not feel</w:t></w:r>
</w:p>
<w:p>
<w:pPr><w:pStyle w:val="Normal"/></w:pPr>
<w:r><w:t xml:space="preserve">any very great affection for the ``little brothers,&apos;&apos; as the</w:t></w:r>
</w:p>
<w:p>
<w:pPr><w:pStyle w:val="Normal"/></w:pPr>
<w:r><w:t xml:space="preserve">Bulgarians were then commonly called, and he was constrained to</w:t></w:r>
</w:p>
<w:p>
<w:pPr><w:pStyle w:val="Normal"/></w:pPr>
<w:r><w:t xml:space="preserve">admit that the Turks were by no means so black as they had been</w:t></w:r>
</w:p>
<w:p>
<w:pPr><w:pStyle w:val="Normal"/></w:pPr>
<w:r><w:t xml:space="preserve">painted.  He did not, however, scandalize the believers by any</w:t></w:r>
</w:p>
<w:p>
<w:pPr><w:pStyle w:val="Normal"/></w:pPr>
<w:r><w:t xml:space="preserve">public expression of his opinions, and did not indeed make himself</w:t></w:r>
</w:p>
<w:p>
<w:pPr><w:pStyle w:val="Normal"/></w:pPr>
<w:r><w:t xml:space="preserve">conspicuous in any way during the campaign.  Never consulted</w:t></w:r>
</w:p>
<w:p>
<w:pPr><w:pStyle w:val="Normal"/></w:pPr>
<w:r><w:t xml:space="preserve">on political questions, he confined himself to his military</w:t></w:r>
</w:p>
<w:p>
<w:pPr><w:pStyle w:val="Normal"/></w:pPr>
<w:r><w:t xml:space="preserve">duties and fulfilled them in a conscientious and unobtrusive</w:t></w:r>
</w:p>
<w:p>
<w:pPr><w:pStyle w:val="Normal"/></w:pPr>
<w:r><w:t xml:space="preserve">manner.  After many mistakes and disappointments, the army</w:t></w:r>
</w:p>
<w:p>
<w:pPr><w:pStyle w:val="Normal"/></w:pPr>
<w:r><w:t xml:space="preserve">reached Constantinople and the treaty of San Stefano was</w:t></w:r>
</w:p>
<w:p>
<w:pPr><w:pStyle w:val="Normal"/></w:pPr>
<w:r><w:t xml:space="preserve">signed, but much that had been obtained by that important</w:t></w:r>
</w:p>
<w:p>
<w:pPr><w:pStyle w:val="Normal"/></w:pPr>
<w:r><w:t xml:space="preserve">document had to be sacrificed at the congress of Berlin.</w:t></w:r>
</w:p>
<w:p>
<w:pPr><w:pStyle w:val="Normal"/></w:pPr>
<w:r><w:t xml:space="preserve">Prince Bismarck failed to do what was confidently expected of</w:t></w:r>
</w:p>
<w:p>
<w:pPr><w:pStyle w:val="Normal"/></w:pPr>
<w:r><w:t xml:space="preserve">him.  In return for the Russian support, which had enabled</w:t></w:r>
</w:p>
<w:p>
<w:pPr><w:pStyle w:val="Normal"/></w:pPr>
<w:r><w:t xml:space="preserve">him to create the German empire, it was thought that he would</w:t></w:r>
</w:p>
<w:p>
<w:pPr><w:pStyle w:val="Normal"/></w:pPr>
<w:r><w:t xml:space="preserve">help Russia to solve the Eastern question in accordance with</w:t></w:r>
</w:p>
<w:p>
<w:pPr><w:pStyle w:val="Normal"/></w:pPr>
<w:r><w:t xml:space="preserve">her own interests, but to the surprise and indignation of</w:t></w:r>
</w:p>
<w:p>
<w:pPr><w:pStyle w:val="Normal"/></w:pPr>
<w:r><w:t xml:space="preserve">the cabinet of St Petersburg he confined himself to acting</w:t></w:r>
</w:p>
<w:p>
<w:pPr><w:pStyle w:val="Normal"/></w:pPr>
<w:r><w:t xml:space="preserve">the part of ``honest broker&apos;&apos; at the congress, and shortly</w:t></w:r>
</w:p>
<w:p>
<w:pPr><w:pStyle w:val="Normal"/></w:pPr>
<w:r><w:t xml:space="preserve">afterwards he ostentatiously contracted an alliance with</w:t></w:r>
</w:p>
<w:p>
<w:pPr><w:pStyle w:val="Normal"/></w:pPr>
<w:r><w:t xml:space="preserve">Austria for the express purpose of counteracting Russian</w:t></w:r>
</w:p>
<w:p>
<w:pPr><w:pStyle w:val="Normal"/></w:pPr>
<w:r><w:t xml:space="preserve">designs in Eastern Europe.  The cesarevich could point to</w:t></w:r>
</w:p>
<w:p>
<w:pPr><w:pStyle w:val="Normal"/></w:pPr>
<w:r><w:t xml:space="preserve">these results as confirming the views he had expressed during</w:t></w:r>
</w:p>
<w:p>
<w:pPr><w:pStyle w:val="Normal"/></w:pPr>
<w:r><w:t xml:space="preserve">the Franco-German War, and he drew from them the practical</w:t></w:r>
</w:p>
<w:p>
<w:pPr><w:pStyle w:val="Normal"/></w:pPr>
<w:r><w:t xml:space="preserve">conclusion that for Russia the best thing to do was to recover</w:t></w:r>
</w:p>
<w:p>
<w:pPr><w:pStyle w:val="Normal"/></w:pPr>
<w:r><w:t xml:space="preserve">as quickly as possible from her temporary exhaustion and</w:t></w:r>
</w:p>
<w:p>
<w:pPr><w:pStyle w:val="Normal"/></w:pPr>
<w:r><w:t xml:space="preserve">to prepare for future contingencies by a radical scheme of</w:t></w:r>
</w:p>
<w:p>
<w:pPr><w:pStyle w:val="Normal"/></w:pPr>
<w:r><w:t xml:space="preserve">military and naval reorganization.  In accordance with this</w:t></w:r>
</w:p>
<w:p>
<w:pPr><w:pStyle w:val="Normal"/></w:pPr>
<w:r><w:t xml:space="preserve">conviction, he suggested that certain reforms should be</w:t></w:r>
</w:p>
<w:p>
<w:pPr><w:pStyle w:val="Normal"/></w:pPr>
<w:r><w:t xml:space="preserve">introduced.  During the campaign in Bulgaria he had found by</w:t></w:r>
</w:p>
<w:p>
<w:pPr><w:pStyle w:val="Normal"/></w:pPr>
<w:r><w:t xml:space="preserve">painful experience that grave disorders and gross corruption</w:t></w:r>
</w:p>
<w:p>
<w:pPr><w:pStyle w:val="Normal"/></w:pPr>
<w:r><w:t xml:space="preserve">existed in the military administration, and after his return</w:t></w:r>
</w:p>
<w:p>
<w:pPr><w:pStyle w:val="Normal"/></w:pPr>
<w:r><w:t xml:space="preserve">to St Petersburg he had discovered that similar abuses existed</w:t></w:r>
</w:p>
<w:p>
<w:pPr><w:pStyle w:val="Normal"/></w:pPr>
<w:r><w:t xml:space="preserve">in the naval department.  For these abuses, several high-placed</w:t></w:r>
</w:p>
<w:p>
<w:pPr><w:pStyle w:val="Normal"/></w:pPr>
<w:r><w:t xml:space="preserve">personages--among others two of the grand-dukes-- were believed</w:t></w:r>
</w:p>
<w:p>
<w:pPr><w:pStyle w:val="Normal"/></w:pPr>
<w:r><w:t xml:space="preserve">to be responsible, and he called his father&apos;s attention</w:t></w:r>
</w:p>
<w:p>
<w:pPr><w:pStyle w:val="Normal"/></w:pPr>
<w:r><w:t xml:space="preserve">to the subject.  His representations were not favourably</w:t></w:r>
</w:p>
<w:p>
<w:pPr><w:pStyle w:val="Normal"/></w:pPr>
<w:r><w:t xml:space="preserve">received.  Alexander II. had lost much of the reforming zeal</w:t></w:r>
</w:p>
<w:p>
<w:pPr><w:pStyle w:val="Normal"/></w:pPr>
<w:r><w:t xml:space="preserve">which distinguished the first decade of his reign, and had no</w:t></w:r>
</w:p>
<w:p>
<w:pPr><w:pStyle w:val="Normal"/></w:pPr>
<w:r><w:t xml:space="preserve">longer the energy required to undertake the task suggested to</w:t></w:r>
</w:p>
<w:p>
<w:pPr><w:pStyle w:val="Normal"/></w:pPr>
<w:r><w:t xml:space="preserve">him.  The consequence was that the relations between father</w:t></w:r>
</w:p>
<w:p>
<w:pPr><w:pStyle w:val="Normal"/></w:pPr>
<w:r><w:t xml:space="preserve">and son became more strained.  The latter must have felt that</w:t></w:r>
</w:p>
<w:p>
<w:pPr><w:pStyle w:val="Normal"/></w:pPr>
<w:r><w:t xml:space="preserve">there would be no important reforms until he himself succeeded</w:t></w:r>
</w:p>
<w:p>
<w:pPr><w:pStyle w:val="Normal"/></w:pPr>
<w:r><w:t xml:space="preserve">to the direction of affairs.  That change was much nearer</w:t></w:r>
</w:p>
<w:p>
<w:pPr><w:pStyle w:val="Normal"/></w:pPr>
<w:r><w:t xml:space="preserve">at hand than was commonly supposed.  On the 13th of March</w:t></w:r>
</w:p>
<w:p>
<w:pPr><w:pStyle w:val="Normal"/></w:pPr>
<w:r><w:t xml:space="preserve">1881 Alexander II. was assassinated by a band of Nihilists,</w:t></w:r>
</w:p>
<w:p>
<w:pPr><w:pStyle w:val="Normal"/></w:pPr>
<w:r><w:t xml:space="preserve">and the autocratic power passed to the hands of his son.</w:t></w:r>
</w:p>
<w:p>
<w:pPr><w:pStyle w:val="Normal"/></w:pPr>
<w:r><w:t xml:space="preserve">In the last years of his reign, Alexander II. had been</w:t></w:r>
</w:p>
<w:p>
<w:pPr><w:pStyle w:val="Normal"/></w:pPr>
<w:r><w:t xml:space="preserve">much exercised by the spread of Nihilist doctrines and the</w:t></w:r>
</w:p>
<w:p>
<w:pPr><w:pStyle w:val="Normal"/></w:pPr>
<w:r><w:t xml:space="preserve">increasing number of anarchist conspiracies, and for some</w:t></w:r>
</w:p>
<w:p>
<w:pPr><w:pStyle w:val="Normal"/></w:pPr>
<w:r><w:t xml:space="preserve">time he had hesitated between strengthening the hands of the</w:t></w:r>
</w:p>
<w:p>
<w:pPr><w:pStyle w:val="Normal"/></w:pPr>
<w:r><w:t xml:space="preserve">executive and making concessions to the widespread political</w:t></w:r>
</w:p>
<w:p>
<w:pPr><w:pStyle w:val="Normal"/></w:pPr>
<w:r><w:t xml:space="preserve">aspirations of the educated classes.  Finally he decided in</w:t></w:r>
</w:p>
<w:p>
<w:pPr><w:pStyle w:val="Normal"/></w:pPr>
<w:r><w:t xml:space="preserve">favour of the latter course, and on the very day of his death</w:t></w:r>
</w:p>
<w:p>
<w:pPr><w:pStyle w:val="Normal"/></w:pPr>
<w:r><w:t xml:space="preserve">he signed a ukaz, creating a number of consultative commissions</w:t></w:r>
</w:p>
<w:p>
<w:pPr><w:pStyle w:val="Normal"/></w:pPr>
<w:r><w:t xml:space="preserve">which might have been easily transformed into an assembly of</w:t></w:r>
</w:p>
<w:p>
<w:pPr><w:pStyle w:val="Normal"/></w:pPr>
<w:r><w:t xml:space="preserve">notables.  Alexander III. determined to adopt the opposite</w:t></w:r>
</w:p>
<w:p>
<w:pPr><w:pStyle w:val="Normal"/></w:pPr>
<w:r><w:t xml:space="preserve">policy.  He at once cancelled the ukaz before it was published,</w:t></w:r>
</w:p>
<w:p>
<w:pPr><w:pStyle w:val="Normal"/></w:pPr>
<w:r><w:t xml:space="preserve">and in the manifesto announcing his accession to the throne</w:t></w:r>
</w:p>
<w:p>
<w:pPr><w:pStyle w:val="Normal"/></w:pPr>
<w:r><w:t xml:space="preserve">he let it be very clearly understood that he had no intention</w:t></w:r>
</w:p>
<w:p>
<w:pPr><w:pStyle w:val="Normal"/></w:pPr>
<w:r><w:t xml:space="preserve">of limiting or weakening the autocratic power which he had</w:t></w:r>
</w:p>
<w:p>
<w:pPr><w:pStyle w:val="Normal"/></w:pPr>
<w:r><w:t xml:space="preserve">inherited from his ancestors.  Nor did he afterwards show any</w:t></w:r>
</w:p>
<w:p>
<w:pPr><w:pStyle w:val="Normal"/></w:pPr>
<w:r><w:t xml:space="preserve">inclination to change his mind.  All the internal reforms which</w:t></w:r>
</w:p>
<w:p>
<w:pPr><w:pStyle w:val="Normal"/></w:pPr>
<w:r><w:t xml:space="preserve">he initiated were intended to correct what he considered as</w:t></w:r>
</w:p>
<w:p>
<w:pPr><w:pStyle w:val="Normal"/></w:pPr>
<w:r><w:t xml:space="preserve">the too liberal tendencies of the previous reign, so that he</w:t></w:r>
</w:p>
<w:p>
<w:pPr><w:pStyle w:val="Normal"/></w:pPr>
<w:r><w:t xml:space="preserve">left behind him the reputation of a sovereign of the retrograde</w:t></w:r>
</w:p>
<w:p>
<w:pPr><w:pStyle w:val="Normal"/></w:pPr>
<w:r><w:t xml:space="preserve">type.  In his opinion Russia was to be saved from anarchical</w:t></w:r>
</w:p>
<w:p>
<w:pPr><w:pStyle w:val="Normal"/></w:pPr>
<w:r><w:t xml:space="preserve">disorders and revolutionary agitation, not by the parliamentary</w:t></w:r>
</w:p>
<w:p>
<w:pPr><w:pStyle w:val="Normal"/></w:pPr>
<w:r><w:t xml:space="preserve">institutions and so-called liberalism of western Europe, but by</w:t></w:r>
</w:p>
<w:p>
<w:pPr><w:pStyle w:val="Normal"/></w:pPr>
<w:r><w:t xml:space="preserve">the three principles which the elder generation of the Slavophils</w:t></w:r>
</w:p>
<w:p>
<w:pPr><w:pStyle w:val="Normal"/></w:pPr>
<w:r><w:t xml:space="preserve">systematically recommended--nationality, Eastern Orthodoxy and</w:t></w:r>
</w:p>
<w:p>
<w:pPr><w:pStyle w:val="Normal"/></w:pPr>
<w:r><w:t xml:space="preserve">autocracy.  His political ideal was a nation containing only</w:t></w:r>
</w:p>
<w:p>
<w:pPr><w:pStyle w:val="Normal"/></w:pPr>
<w:r><w:t xml:space="preserve">one nationality, one language, one religion and one form</w:t></w:r>
</w:p>
<w:p>
<w:pPr><w:pStyle w:val="Normal"/></w:pPr>
<w:r><w:t xml:space="preserve">of administration; and he did his utmost to prepare for the</w:t></w:r>
</w:p>
<w:p>
<w:pPr><w:pStyle w:val="Normal"/></w:pPr>
<w:r><w:t xml:space="preserve">realization of this ideal by imposing the Russian language and</w:t></w:r>
</w:p>
<w:p>
<w:pPr><w:pStyle w:val="Normal"/></w:pPr>
<w:r><w:t xml:space="preserve">Russian schools on his German, Polish and Finnish subjects, by</w:t></w:r>
</w:p>
<w:p>
<w:pPr><w:pStyle w:val="Normal"/></w:pPr>
<w:r><w:t xml:space="preserve">fostering Eastern Orthodoxy at the expense of other confessions,</w:t></w:r>
</w:p>
<w:p>
<w:pPr><w:pStyle w:val="Normal"/></w:pPr>
<w:r><w:t xml:space="preserve">by persecuting the Jews and by destroying the remnants of</w:t></w:r>
</w:p>
<w:p>
<w:pPr><w:pStyle w:val="Normal"/></w:pPr>
<w:r><w:t xml:space="preserve">German, Polish and Swedish institutions in the outlying</w:t></w:r>
</w:p>
<w:p>
<w:pPr><w:pStyle w:val="Normal"/></w:pPr>
<w:r><w:t xml:space="preserve">provinces.  In the other provinces he sought to counteract</w:t></w:r>
</w:p>
<w:p>
<w:pPr><w:pStyle w:val="Normal"/></w:pPr>
<w:r><w:t xml:space="preserve">what he considered the excessive liberalism of his father&apos;s</w:t></w:r>
</w:p>
<w:p>
<w:pPr><w:pStyle w:val="Normal"/></w:pPr>
<w:r><w:t xml:space="preserve">reign.  For this purpose he clipped the feeble wings of the</w:t></w:r>
</w:p>
<w:p>
<w:pPr><w:pStyle w:val="Normal"/></w:pPr>
<w:r><w:t xml:space="preserve">zemstvo, an elective local administration resembling the county</w:t></w:r>
</w:p>
<w:p>
<w:pPr><w:pStyle w:val="Normal"/></w:pPr>
<w:r><w:t xml:space="preserve">and parish councils in England, and placed the autonomous</w:t></w:r>
</w:p>
<w:p>
<w:pPr><w:pStyle w:val="Normal"/></w:pPr>
<w:r><w:t xml:space="preserve">administration of the peasant communes under the supervision</w:t></w:r>
</w:p>
<w:p>
<w:pPr><w:pStyle w:val="Normal"/></w:pPr>
<w:r><w:t xml:space="preserve">of landed proprietors appointed by the government.  At the</w:t></w:r>
</w:p>
<w:p>
<w:pPr><w:pStyle w:val="Normal"/></w:pPr>
<w:r><w:t xml:space="preserve">same time he sought to strengthen and centralize the imperial</w:t></w:r>
</w:p>
<w:p>
<w:pPr><w:pStyle w:val="Normal"/></w:pPr>
<w:r><w:t xml:space="preserve">administration, and to bring it more under his personal</w:t></w:r>
</w:p>
<w:p>
<w:pPr><w:pStyle w:val="Normal"/></w:pPr>
<w:r><w:t xml:space="preserve">control.  In foreign affairs he was emphatically a man of</w:t></w:r>
</w:p>
<w:p>
<w:pPr><w:pStyle w:val="Normal"/></w:pPr>
<w:r><w:t xml:space="preserve">peace, but not at all a partisan of the docrrine of peace at any</w:t></w:r>
</w:p>
<w:p>
<w:pPr><w:pStyle w:val="Normal"/></w:pPr>
<w:r><w:t xml:space="preserve">price, and he followed the principle that the best means of</w:t></w:r>
</w:p>
<w:p>
<w:pPr><w:pStyle w:val="Normal"/></w:pPr>
<w:r><w:t xml:space="preserve">averting war is to be well prepared for it.  Though indignant</w:t></w:r>
</w:p>
<w:p>
<w:pPr><w:pStyle w:val="Normal"/></w:pPr>
<w:r><w:t xml:space="preserve">at the conduct of Prince Bismarck towards Russia, he avoided</w:t></w:r>
</w:p>
<w:p>
<w:pPr><w:pStyle w:val="Normal"/></w:pPr>
<w:r><w:t xml:space="preserve">an open rupture with Germany, and even revived for a time the</w:t></w:r>
</w:p>
<w:p>
<w:pPr><w:pStyle w:val="Normal"/></w:pPr>
<w:r><w:t xml:space="preserve">Three Emperors&apos; Alliance.  It was only in the last years of</w:t></w:r>
</w:p>
<w:p>
<w:pPr><w:pStyle w:val="Normal"/></w:pPr>
<w:r><w:t xml:space="preserve">his reign, when M. Katkov had acquired a certain influence</w:t></w:r>
</w:p>
<w:p>
<w:pPr><w:pStyle w:val="Normal"/></w:pPr>
<w:r><w:t xml:space="preserve">over him, that he adopted towards the cabinet of Berlin a</w:t></w:r>
</w:p>
<w:p>
<w:pPr><w:pStyle w:val="Normal"/></w:pPr>
<w:r><w:t xml:space="preserve">more hostile attitude, and even then he confined himself to</w:t></w:r>
</w:p>
<w:p>
<w:pPr><w:pStyle w:val="Normal"/></w:pPr>
<w:r><w:t xml:space="preserve">keeping a large quantity of troops near the German frontier,</w:t></w:r>
</w:p>
<w:p>
<w:pPr><w:pStyle w:val="Normal"/></w:pPr>
<w:r><w:t xml:space="preserve">and establishing cordial relations with France.  With regard</w:t></w:r>
</w:p>
<w:p>
<w:pPr><w:pStyle w:val="Normal"/></w:pPr>
<w:r><w:t xml:space="preserve">to Bulgaria he exercised similar self-control.  The efforts of</w:t></w:r>
</w:p>
<w:p>
<w:pPr><w:pStyle w:val="Normal"/></w:pPr>
<w:r><w:t xml:space="preserve">Prince Alexander and afterwards of Stamboloff to destroy Russian</w:t></w:r>
</w:p>
<w:p>
<w:pPr><w:pStyle w:val="Normal"/></w:pPr>
<w:r><w:t xml:space="preserve">influence in the principality excited his indignation, but</w:t></w:r>
</w:p>
<w:p>
<w:pPr><w:pStyle w:val="Normal"/></w:pPr>
<w:r><w:t xml:space="preserve">he persistently vetoed all proposals to intervene by force of</w:t></w:r>
</w:p>
<w:p>
<w:pPr><w:pStyle w:val="Normal"/></w:pPr>
<w:r><w:t xml:space="preserve">arms.  In Central Asian affairs he followed the traditional</w:t></w:r>
</w:p>
<w:p>
<w:pPr><w:pStyle w:val="Normal"/></w:pPr>
<w:r><w:t xml:space="preserve">policy of gradually extending Russian domination without</w:t></w:r>
</w:p>
<w:p>
<w:pPr><w:pStyle w:val="Normal"/></w:pPr>
<w:r><w:t xml:space="preserve">provoking a conflict with Great Britain, and he never allowed</w:t></w:r>
</w:p>
<w:p>
<w:pPr><w:pStyle w:val="Normal"/></w:pPr>
<w:r><w:t xml:space="preserve">the bellicose partisans of a forward policy to get out of</w:t></w:r>
</w:p>
<w:p>
<w:pPr><w:pStyle w:val="Normal"/></w:pPr>
<w:r><w:t xml:space="preserve">hand.  As a whole his reign cannot be regarded as one of the</w:t></w:r>
</w:p>
<w:p>
<w:pPr><w:pStyle w:val="Normal"/></w:pPr>
<w:r><w:t xml:space="preserve">eventful periods of Russian history; but it must be admitted that</w:t></w:r>
</w:p>
<w:p>
<w:pPr><w:pStyle w:val="Normal"/></w:pPr>
<w:r><w:t xml:space="preserve">under his hard unsympathetic rule the country made considerable</w:t></w:r>
</w:p>
<w:p>
<w:pPr><w:pStyle w:val="Normal"/></w:pPr>
<w:r><w:t xml:space="preserve">progress.  He died at Livadia on the 1st of November 1894,</w:t></w:r>
</w:p>
<w:p>
<w:pPr><w:pStyle w:val="Normal"/></w:pPr>
<w:r><w:t xml:space="preserve">and was succeeded by his eldest son, Nicholas II. (D. M. W.)</w:t></w:r>
</w:p>
<w:p>
<w:pPr><w:pStyle w:val="Normal"/></w:pPr>
<w:r><w:t xml:space="preserve">ALEXANDER I. (c. 1078-1124), king of Scotland, was the fourth</w:t></w:r>
</w:p>
<w:p>
<w:pPr><w:pStyle w:val="Normal"/></w:pPr>
<w:r><w:t xml:space="preserve">son of Malcolm Canmore by his wife (St) Margaret, grand-niece</w:t></w:r>
</w:p>
<w:p>
<w:pPr><w:pStyle w:val="Normal"/></w:pPr>
<w:r><w:t xml:space="preserve">of Edward the Confessor.  On the death of his brother Edgar</w:t></w:r>
</w:p>
<w:p>
<w:pPr><w:pStyle w:val="Normal"/></w:pPr>
<w:r><w:t xml:space="preserve">in 1107 he succeeded to the Scottish crown; but, in accordance</w:t></w:r>
</w:p>
<w:p>
<w:pPr><w:pStyle w:val="Normal"/></w:pPr>
<w:r><w:t xml:space="preserve">with Edgar&apos;s instructions, he inherited only a part of its</w:t></w:r>
</w:p>
<w:p>
<w:pPr><w:pStyle w:val="Normal"/></w:pPr>
<w:r><w:t xml:space="preserve">possessions.  By a partition, the motive of which is not</w:t></w:r>
</w:p>
<w:p>
<w:pPr><w:pStyle w:val="Normal"/></w:pPr>
<w:r><w:t xml:space="preserve">quite certain, the districts south of the Forth and Clyde</w:t></w:r>
</w:p>
<w:p>
<w:pPr><w:pStyle w:val="Normal"/></w:pPr>
<w:r><w:t xml:space="preserve">were erected into an earldom for Alexander&apos;s younger brother,</w:t></w:r>
</w:p>
<w:p>
<w:pPr><w:pStyle w:val="Normal"/></w:pPr>
<w:r><w:t xml:space="preserve">David.  Alexander, dissatisfied, sought to obtain the whole,</w:t></w:r>
</w:p>
<w:p>
<w:pPr><w:pStyle w:val="Normal"/></w:pPr>
<w:r><w:t xml:space="preserve">but without success.  A curious combination of the fierce</w:t></w:r>
</w:p>
<w:p>
<w:pPr><w:pStyle w:val="Normal"/></w:pPr>
<w:r><w:t xml:space="preserve">warrior and the pious churchman, he manifested the one</w:t></w:r>
</w:p>
<w:p>
<w:pPr><w:pStyle w:val="Normal"/></w:pPr>
<w:r><w:t xml:space="preserve">aspect of his character in his ruthless suppression of an</w:t></w:r>
</w:p>
<w:p>
<w:pPr><w:pStyle w:val="Normal"/></w:pPr>
<w:r><w:t xml:space="preserve">insurrection in his northern dominion (thus gaining for himself</w:t></w:r>
</w:p>
<w:p>
<w:pPr><w:pStyle w:val="Normal"/></w:pPr>
<w:r><w:t xml:space="preserve">the title of ``the Fierce&apos;&apos;), the other in his munificent</w:t></w:r>
</w:p>
<w:p>
<w:pPr><w:pStyle w:val="Normal"/></w:pPr>
<w:r><w:t xml:space="preserve">foundation of bishoprics and abbeys.  Among the latter were</w:t></w:r>
</w:p>
<w:p>
<w:pPr><w:pStyle w:val="Normal"/></w:pPr>
<w:r><w:t xml:space="preserve">those of Scone and Inchcolm.  His strong championship of the</w:t></w:r>
</w:p>
<w:p>
<w:pPr><w:pStyle w:val="Normal"/></w:pPr>
<w:r><w:t xml:space="preserve">independence of the Scottish church involved him in struggles</w:t></w:r>
</w:p>
<w:p>
<w:pPr><w:pStyle w:val="Normal"/></w:pPr>
<w:r><w:t xml:space="preserve">with both the English metropolitan sees.  He died on the 27th</w:t></w:r>
</w:p>
<w:p>
<w:pPr><w:pStyle w:val="Normal"/></w:pPr>
<w:r><w:t xml:space="preserve">of April 1124, and was succeeded by his brother, David I.</w:t></w:r>
</w:p>
<w:p>
<w:pPr><w:pStyle w:val="Normal"/></w:pPr>
<w:r><w:t xml:space="preserve">ALEXANDER II. (1198-1249), king of Scotland, son of William</w:t></w:r>
</w:p>
<w:p>
<w:pPr><w:pStyle w:val="Normal"/></w:pPr>
<w:r><w:t xml:space="preserve">the Lion and Ermengarde of Beaumont, was born at Haddington</w:t></w:r>
</w:p>
<w:p>
<w:pPr><w:pStyle w:val="Normal"/></w:pPr>
<w:r><w:t xml:space="preserve">in 1198, and succeeded to the kingdom on the death of his</w:t></w:r>
</w:p>
<w:p>
<w:pPr><w:pStyle w:val="Normal"/></w:pPr>
<w:r><w:t xml:space="preserve">father in 1214.  The year after his accession the clans</w:t></w:r>
</w:p>
<w:p>
<w:pPr><w:pStyle w:val="Normal"/></w:pPr>
<w:r><w:t xml:space="preserve">MacWilliam and MacHeth, inveterate enemies of the Scottish</w:t></w:r>
</w:p>
<w:p>
<w:pPr><w:pStyle w:val="Normal"/></w:pPr>
<w:r><w:t xml:space="preserve">crown, broke into revolt; but the insurrection was speedily</w:t></w:r>
</w:p>
<w:p>
<w:pPr><w:pStyle w:val="Normal"/></w:pPr>
<w:r><w:t xml:space="preserve">quelled.  In the same year Alexander joined the English</w:t></w:r>
</w:p>
<w:p>
<w:pPr><w:pStyle w:val="Normal"/></w:pPr>
<w:r><w:t xml:space="preserve">barons in their struggle against John, and led an army into</w:t></w:r>
</w:p>
<w:p>
<w:pPr><w:pStyle w:val="Normal"/></w:pPr>
<w:r><w:t xml:space="preserve">England in support of their cause; but on the conclusion of</w:t></w:r>
</w:p>
<w:p>
<w:pPr><w:pStyle w:val="Normal"/></w:pPr>
<w:r><w:t xml:space="preserve">peace after John&apos;s death between his youthful son Henry III.</w:t></w:r>
</w:p>
<w:p>
<w:pPr><w:pStyle w:val="Normal"/></w:pPr>
<w:r><w:t xml:space="preserve">and the French prince Louis, the Scottish king was included</w:t></w:r>
</w:p>
<w:p>
<w:pPr><w:pStyle w:val="Normal"/></w:pPr>
<w:r><w:t xml:space="preserve">in the pacification.  The reconciliation thus effected</w:t></w:r>
</w:p>
<w:p>
<w:pPr><w:pStyle w:val="Normal"/></w:pPr>
<w:r><w:t xml:space="preserve">was further strengthened by the marriage of Alexander to</w:t></w:r>
</w:p>
<w:p>
<w:pPr><w:pStyle w:val="Normal"/></w:pPr>
<w:r><w:t xml:space="preserve">Henry&apos;s sister Joanna in 1221.  The next year was marked by</w:t></w:r>
</w:p>
<w:p>
<w:pPr><w:pStyle w:val="Normal"/></w:pPr>
<w:r><w:t xml:space="preserve">the subjection of the hitherto semi-independent district of</w:t></w:r>
</w:p>
<w:p>
<w:pPr><w:pStyle w:val="Normal"/></w:pPr>
<w:r><w:t xml:space="preserve">Argyll.  A revolt in Galloway in 1235 was crushed without</w:t></w:r>
</w:p>
<w:p>
<w:pPr><w:pStyle w:val="Normal"/></w:pPr>
<w:r><w:t xml:space="preserve">difficulty; nor did an invasion attempted soon afterwards</w:t></w:r>
</w:p>
<w:p>
<w:pPr><w:pStyle w:val="Normal"/></w:pPr>
<w:r><w:t xml:space="preserve">by its exiled leaders meet with any better fortune.  Soon</w:t></w:r>
</w:p>
<w:p>
<w:pPr><w:pStyle w:val="Normal"/></w:pPr>
<w:r><w:t xml:space="preserve">afterwards a claim for homage from Henry of England drew</w:t></w:r>
</w:p>
<w:p>
<w:pPr><w:pStyle w:val="Normal"/></w:pPr>
<w:r><w:t xml:space="preserve">forth from Alexander a counter-claim to the northern English</w:t></w:r>
</w:p>
<w:p>
<w:pPr><w:pStyle w:val="Normal"/></w:pPr>
<w:r><w:t xml:space="preserve">counties.  The dispute, however, was settled by a compromise in</w:t></w:r>
</w:p>
<w:p>
<w:pPr><w:pStyle w:val="Normal"/></w:pPr>
<w:r><w:t xml:space="preserve">1237.  A threat of invasion by Henry in 1243 for a time</w:t></w:r>
</w:p>
<w:p>
<w:pPr><w:pStyle w:val="Normal"/></w:pPr>
<w:r><w:t xml:space="preserve">interrupted the friendly relations between the two countries;</w:t></w:r>
</w:p>
<w:p>
<w:pPr><w:pStyle w:val="Normal"/></w:pPr>
<w:r><w:t xml:space="preserve">but the prompt action of Alexander in anticipating his</w:t></w:r>
</w:p>
<w:p>
<w:pPr><w:pStyle w:val="Normal"/></w:pPr>
<w:r><w:t xml:space="preserve">attack, and the disinclination of the English barons for</w:t></w:r>
</w:p>
<w:p>
<w:pPr><w:pStyle w:val="Normal"/></w:pPr>
<w:r><w:t xml:space="preserve">war, compelled him to make peace next year at Newcastle.</w:t></w:r>
</w:p>
<w:p>
<w:pPr><w:pStyle w:val="Normal"/></w:pPr>
<w:r><w:t xml:space="preserve">Alexander now turned his attention to securing the Western</w:t></w:r>
</w:p>
<w:p>
<w:pPr><w:pStyle w:val="Normal"/></w:pPr>
<w:r><w:t xml:space="preserve">Isles, which still owned a nominal dependence on Norway.</w:t></w:r>
</w:p>
<w:p>
<w:pPr><w:pStyle w:val="Normal"/></w:pPr>
<w:r><w:t xml:space="preserve">Negotiations and purchase were successively tried but without</w:t></w:r>
</w:p>
<w:p>
<w:pPr><w:pStyle w:val="Normal"/></w:pPr>
<w:r><w:t xml:space="preserve">success.  Alexander next attempted to seduce Ewen, the son of</w:t></w:r>
</w:p>
<w:p>
<w:pPr><w:pStyle w:val="Normal"/></w:pPr>
<w:r><w:t xml:space="preserve">Duncan, lord of Argyll, from his allegiance to the Norwegian</w:t></w:r>
</w:p>
<w:p>
<w:pPr><w:pStyle w:val="Normal"/></w:pPr>
<w:r><w:t xml:space="preserve">king.  Ewen refused his overtures, and Alexander sailed</w:t></w:r>
</w:p>
<w:p>
<w:pPr><w:pStyle w:val="Normal"/></w:pPr>
<w:r><w:t xml:space="preserve">forth to compel him.  But on the way he was seized with</w:t></w:r>
</w:p>
<w:p>
<w:pPr><w:pStyle w:val="Normal"/></w:pPr>
<w:r><w:t xml:space="preserve">fever at Kerrera, and died there on the 8th of July 1249.</w:t></w:r>
</w:p>
<w:p>
<w:pPr><w:pStyle w:val="Normal"/></w:pPr>
<w:r><w:t xml:space="preserve">ALEXANDER III. (1241-1285), king of Scotland, son of</w:t></w:r>
</w:p>
<w:p>
<w:pPr><w:pStyle w:val="Normal"/></w:pPr>
<w:r><w:t xml:space="preserve">Alexander II. by his second wife Mary de Coucy, was born in</w:t></w:r>
</w:p>
<w:p>
<w:pPr><w:pStyle w:val="Normal"/></w:pPr>
<w:r><w:t xml:space="preserve">1241.  At the age of eight years the death of his father</w:t></w:r>
</w:p>
<w:p>
<w:pPr><w:pStyle w:val="Normal"/></w:pPr>
<w:r><w:t xml:space="preserve">called him to the throne.  The years of his minority were</w:t></w:r>
</w:p>
<w:p>
<w:pPr><w:pStyle w:val="Normal"/></w:pPr>
<w:r><w:t xml:space="preserve">marked by an embittered struggle for the control of affairs</w:t></w:r>
</w:p>
<w:p>
<w:pPr><w:pStyle w:val="Normal"/></w:pPr>
<w:r><w:t xml:space="preserve">between two rival parties, the one led by Walter Comyn, earl</w:t></w:r>
</w:p>
<w:p>
<w:pPr><w:pStyle w:val="Normal"/></w:pPr>
<w:r><w:t xml:space="preserve">of Menteith, the other by Alan Durward, the justiciar.  The</w:t></w:r>
</w:p>
<w:p>
<w:pPr><w:pStyle w:val="Normal"/></w:pPr>
<w:r><w:t xml:space="preserve">former was in the ascendant during the early years of the</w:t></w:r>
</w:p>
<w:p>
<w:pPr><w:pStyle w:val="Normal"/></w:pPr>
<w:r><w:t xml:space="preserve">reign.  At the marriage of Alexander to Margaret of England in</w:t></w:r>
</w:p>
<w:p>
<w:pPr><w:pStyle w:val="Normal"/></w:pPr>
<w:r><w:t xml:space="preserve">1251, Henry III. seized the opportunity to demand from his</w:t></w:r>
</w:p>
<w:p>
<w:pPr><w:pStyle w:val="Normal"/></w:pPr>
<w:r><w:t xml:space="preserve">son-in-law homage for the Scottish kingdom, but the claim was</w:t></w:r>
</w:p>
<w:p>
<w:pPr><w:pStyle w:val="Normal"/></w:pPr>
<w:r><w:t xml:space="preserve">refused.  In 1255 an interview between the English and Scottish</w:t></w:r>
</w:p>
<w:p>
<w:pPr><w:pStyle w:val="Normal"/></w:pPr>
<w:r><w:t xml:space="preserve">kings at Kelso resulted in the deposition of Menteith and his</w:t></w:r>
</w:p>
<w:p>
<w:pPr><w:pStyle w:val="Normal"/></w:pPr>
<w:r><w:t xml:space="preserve">party in favour of their opponents.  But though disgraced,</w:t></w:r>
</w:p>
<w:p>
<w:pPr><w:pStyle w:val="Normal"/></w:pPr>
<w:r><w:t xml:space="preserve">they still retained great influence; and two years later,</w:t></w:r>
</w:p>
<w:p>
<w:pPr><w:pStyle w:val="Normal"/></w:pPr>
<w:r><w:t xml:space="preserve">seizing the person of the king, they compelled their rivals</w:t></w:r>
</w:p>
<w:p>
<w:pPr><w:pStyle w:val="Normal"/></w:pPr>
<w:r><w:t xml:space="preserve">to consent to the erection of a regency representative of both</w:t></w:r>
</w:p>
<w:p>
<w:pPr><w:pStyle w:val="Normal"/></w:pPr>
<w:r><w:t xml:space="preserve">parties.  On attaining his majority in 1262, Alexander declared</w:t></w:r>
</w:p>
<w:p>
<w:pPr><w:pStyle w:val="Normal"/></w:pPr>
<w:r><w:t xml:space="preserve">his intention of resuming the projects on the Western Isles which</w:t></w:r>
</w:p>
<w:p>
<w:pPr><w:pStyle w:val="Normal"/></w:pPr>
<w:r><w:t xml:space="preserve">had been cut short by the death of his father thirteen years</w:t></w:r>
</w:p>
<w:p>
<w:pPr><w:pStyle w:val="Normal"/></w:pPr>
<w:r><w:t xml:space="preserve">before.  A formal claim was laid before the Norwegian king</w:t></w:r>
</w:p>
<w:p>
<w:pPr><w:pStyle w:val="Normal"/></w:pPr>
<w:r><w:t xml:space="preserve">Haakon.  Not only was this unsuccessful, but next year Haakon</w:t></w:r>
</w:p>
<w:p>
<w:pPr><w:pStyle w:val="Normal"/></w:pPr>
<w:r><w:t xml:space="preserve">replied by a formidable invasion.  Sailing round the west</w:t></w:r>
</w:p>
<w:p>
<w:pPr><w:pStyle w:val="Normal"/></w:pPr>
<w:r><w:t xml:space="preserve">coast of Scotland he halted off Arran, where negotiations were</w:t></w:r>
</w:p>
<w:p>
<w:pPr><w:pStyle w:val="Normal"/></w:pPr>
<w:r><w:t xml:space="preserve">opened.  These were artfully prolonged by Alexander until</w:t></w:r>
</w:p>
<w:p>
<w:pPr><w:pStyle w:val="Normal"/></w:pPr>
<w:r><w:t xml:space="preserve">the autumn storms should begin.  At length Haakon, weary of</w:t></w:r>
</w:p>
<w:p>
<w:pPr><w:pStyle w:val="Normal"/></w:pPr>
<w:r><w:t xml:space="preserve">delay, attacked, only to encounter a terrific storm which</w:t></w:r>
</w:p>
<w:p>
<w:pPr><w:pStyle w:val="Normal"/></w:pPr>
<w:r><w:t xml:space="preserve">greatly damaged his ships.  The battle of Largs, fought next</w:t></w:r>
</w:p>
<w:p>
<w:pPr><w:pStyle w:val="Normal"/></w:pPr>
<w:r><w:t xml:space="preserve">day, was indecisive.  But even so Haakon&apos;s position was</w:t></w:r>
</w:p>
<w:p>
<w:pPr><w:pStyle w:val="Normal"/></w:pPr>
<w:r><w:t xml:space="preserve">hopeless.  Baffled he turned homewards, but died on the</w:t></w:r>
</w:p>
<w:p>
<w:pPr><w:pStyle w:val="Normal"/></w:pPr>
<w:r><w:t xml:space="preserve">way.  The Isles now lay at Alexander&apos;s feet, and in 1266</w:t></w:r>
</w:p>
<w:p>
<w:pPr><w:pStyle w:val="Normal"/></w:pPr>
<w:r><w:t xml:space="preserve">Haakon&apos;s successor concluded a treaty by which the Isle of</w:t></w:r>
</w:p>
<w:p>
<w:pPr><w:pStyle w:val="Normal"/></w:pPr>
<w:r><w:t xml:space="preserve">Man and the Western Isles were ceded to Scotland in return for</w:t></w:r>
</w:p>
<w:p>
<w:pPr><w:pStyle w:val="Normal"/></w:pPr>
<w:r><w:t xml:space="preserve">a money payment, Orkney and Shetland alone being retained.</w:t></w:r>
</w:p>
<w:p>
<w:pPr><w:pStyle w:val="Normal"/></w:pPr>
<w:r><w:t xml:space="preserve">Towards the end of Alexander&apos;s reign, the death of all his</w:t></w:r>
</w:p>
<w:p>
<w:pPr><w:pStyle w:val="Normal"/></w:pPr>
<w:r><w:t xml:space="preserve">three children within a few years made the question of the</w:t></w:r>
</w:p>
<w:p>
<w:pPr><w:pStyle w:val="Normal"/></w:pPr>
<w:r><w:t xml:space="preserve">succession one of pressing importance.  In 1284 he induced the</w:t></w:r>
</w:p>
<w:p>
<w:pPr><w:pStyle w:val="Normal"/></w:pPr>
<w:r><w:t xml:space="preserve">Estates to recognize as his heir-presumptive his grand-daughter</w:t></w:r>
</w:p>
<w:p>
<w:pPr><w:pStyle w:val="Normal"/></w:pPr>
<w:r><w:t xml:space="preserve">Margaret, the ``Maid of Norway&apos;&apos;; and next year the desire for</w:t></w:r>
</w:p>
<w:p>
<w:pPr><w:pStyle w:val="Normal"/></w:pPr>
<w:r><w:t xml:space="preserve">a male heir led him to contract a second marriage.  But all</w:t></w:r>
</w:p>
<w:p>
<w:pPr><w:pStyle w:val="Normal"/></w:pPr>
<w:r><w:t xml:space="preserve">such hopes were defeated by the sudden death of the king, who</w:t></w:r>
</w:p>
<w:p>
<w:pPr><w:pStyle w:val="Normal"/></w:pPr>
<w:r><w:t xml:space="preserve">was killed by a fall from his horse in the dark while riding</w:t></w:r>
</w:p>
<w:p>
<w:pPr><w:pStyle w:val="Normal"/></w:pPr>
<w:r><w:t xml:space="preserve">to visit the queen at Kinghorn on the 16th of March 1285.</w:t></w:r>
</w:p>
<w:p>
<w:pPr><w:pStyle w:val="Normal"/></w:pPr>
<w:r><w:t xml:space="preserve">ALEXANDER (ALEXANDER OBRENOVICH) (1876-1903), king of</w:t></w:r>
</w:p>
<w:p>
<w:pPr><w:pStyle w:val="Normal"/></w:pPr>
<w:r><w:t xml:space="preserve">Servia, was born on the 14th of August 1876.  On the 6th of</w:t></w:r>
</w:p>
<w:p>
<w:pPr><w:pStyle w:val="Normal"/></w:pPr>
<w:r><w:t xml:space="preserve">March 1889 his father, King Milan, abdicated and proclaimed</w:t></w:r>
</w:p>
<w:p>
<w:pPr><w:pStyle w:val="Normal"/></w:pPr>
<w:r><w:t xml:space="preserve">him king of Servia under a regency until he should attain his</w:t></w:r>
</w:p>
<w:p>
<w:pPr><w:pStyle w:val="Normal"/></w:pPr>
<w:r><w:t xml:space="preserve">majority at eighteen years of age.  King Alexander, on the</w:t></w:r>
</w:p>
<w:p>
<w:pPr><w:pStyle w:val="Normal"/></w:pPr>
<w:r><w:t xml:space="preserve">13th of April 1893, being then in his seventeenth year, made</w:t></w:r>
</w:p>
<w:p>
<w:pPr><w:pStyle w:val="Normal"/></w:pPr>
<w:r><w:t xml:space="preserve">his notable first coup d&apos;etat, proclaimed himself of full</w:t></w:r>
</w:p>
<w:p>
<w:pPr><w:pStyle w:val="Normal"/></w:pPr>
<w:r><w:t xml:space="preserve">age, dismissed the regents and their government, and took the</w:t></w:r>
</w:p>
<w:p>
<w:pPr><w:pStyle w:val="Normal"/></w:pPr>
<w:r><w:t xml:space="preserve">royal authority into his own hands.  His action was popular,</w:t></w:r>
</w:p>
<w:p>
<w:pPr><w:pStyle w:val="Normal"/></w:pPr>
<w:r><w:t xml:space="preserve">and was rendered still more so by his appointment of a radical</w:t></w:r>
</w:p>
<w:p>
<w:pPr><w:pStyle w:val="Normal"/></w:pPr>
<w:r><w:t xml:space="preserve">ministry.  In May 1894 King Alexander, by another coup</w:t></w:r>
</w:p>
<w:p>
<w:pPr><w:pStyle w:val="Normal"/></w:pPr>
<w:r><w:t xml:space="preserve">d&apos;etat, abolished the liberal constitution of 1889 and</w:t></w:r>
</w:p>
<w:p>
<w:pPr><w:pStyle w:val="Normal"/></w:pPr>
<w:r><w:t xml:space="preserve">restored the conservative one of 1869.  His attitude during</w:t></w:r>
</w:p>
<w:p>
<w:pPr><w:pStyle w:val="Normal"/></w:pPr>
<w:r><w:t xml:space="preserve">the Turco-Greek war of 1897 was one of strict neutrality.  In</w:t></w:r>
</w:p>
<w:p>
<w:pPr><w:pStyle w:val="Normal"/></w:pPr>
<w:r><w:t xml:space="preserve">1898 he appointed his father commander-in-chief of the Servian</w:t></w:r>
</w:p>
<w:p>
<w:pPr><w:pStyle w:val="Normal"/></w:pPr>
<w:r><w:t xml:space="preserve">army, and from that time, or rather from his return to Servia</w:t></w:r>
</w:p>
<w:p>
<w:pPr><w:pStyle w:val="Normal"/></w:pPr>
<w:r><w:t xml:space="preserve">in 1894 until 1900, ex-king Milan was regarded as the de</w:t></w:r>
</w:p>
<w:p>
<w:pPr><w:pStyle w:val="Normal"/></w:pPr>
<w:r><w:t xml:space="preserve">facto ruler of the country.  But while, during the summer of</w:t></w:r>
</w:p>
<w:p>
<w:pPr><w:pStyle w:val="Normal"/></w:pPr>
<w:r><w:t xml:space="preserve">1900, Milan was away from Servia taking waters in Carlsbad,</w:t></w:r>
</w:p>
<w:p>
<w:pPr><w:pStyle w:val="Normal"/></w:pPr>
<w:r><w:t xml:space="preserve">and making arrangements to secure the hand of a German princess</w:t></w:r>
</w:p>
<w:p>
<w:pPr><w:pStyle w:val="Normal"/></w:pPr>
<w:r><w:t xml:space="preserve">for his son, and while the premier, Dr Vladan Dyorevich,</w:t></w:r>
</w:p>
<w:p>
<w:pPr><w:pStyle w:val="Normal"/></w:pPr>
<w:r><w:t xml:space="preserve">was visiting the Paris Universal Exhibition, King Alexander</w:t></w:r>
</w:p>
<w:p>
<w:pPr><w:pStyle w:val="Normal"/></w:pPr>
<w:r><w:t xml:space="preserve">suddenly announced to the people of Servia his engagement to</w:t></w:r>
</w:p>
<w:p>
<w:pPr><w:pStyle w:val="Normal"/></w:pPr>
<w:r><w:t xml:space="preserve">Mme Draga Mashin, a widow, formerly a lady-in-waiting to Queen</w:t></w:r>
</w:p>
<w:p>
<w:pPr><w:pStyle w:val="Normal"/></w:pPr>
<w:r><w:t xml:space="preserve">Natalie.  The projected union aroused great opposition at</w:t></w:r>
</w:p>
<w:p>
<w:pPr><w:pStyle w:val="Normal"/></w:pPr>
<w:r><w:t xml:space="preserve">first.  Ex-King Milan resigned his post; so did the government;</w:t></w:r>
</w:p>
<w:p>
<w:pPr><w:pStyle w:val="Normal"/></w:pPr>
<w:r><w:t xml:space="preserve">and King Alexander had great difficulty in forming a new</w:t></w:r>
</w:p>
<w:p>
<w:pPr><w:pStyle w:val="Normal"/></w:pPr>
<w:r><w:t xml:space="preserve">cabinet.  But the opposition subsided somewhat on the</w:t></w:r>
</w:p>
<w:p>
<w:pPr><w:pStyle w:val="Normal"/></w:pPr>
<w:r><w:t xml:space="preserve">publication of Tsar Nicholas&apos;s congratulations to the king on</w:t></w:r>
</w:p>
<w:p>
<w:pPr><w:pStyle w:val="Normal"/></w:pPr>
<w:r><w:t xml:space="preserve">his engagement and of his acceptance to act as the principal</w:t></w:r>
</w:p>
<w:p>
<w:pPr><w:pStyle w:val="Normal"/></w:pPr>
<w:r><w:t xml:space="preserve">witness at the wedding.  The marriage was then duly celebrated</w:t></w:r>
</w:p>
<w:p>
<w:pPr><w:pStyle w:val="Normal"/></w:pPr>
<w:r><w:t xml:space="preserve">on the 5th of August 1900.  Still this union was unpopular and</w:t></w:r>
</w:p>
<w:p>
<w:pPr><w:pStyle w:val="Normal"/></w:pPr>
<w:r><w:t xml:space="preserve">weakened the position of King Alexander in the army and the</w:t></w:r>
</w:p>
<w:p>
<w:pPr><w:pStyle w:val="Normal"/></w:pPr>
<w:r><w:t xml:space="preserve">country.  He tried to reconcile political parties by granting</w:t></w:r>
</w:p>
<w:p>
<w:pPr><w:pStyle w:val="Normal"/></w:pPr>
<w:r><w:t xml:space="preserve">from his own initiative a liberal constitution (April 6,</w:t></w:r>
</w:p>
<w:p>
<w:pPr><w:pStyle w:val="Normal"/></w:pPr>
<w:r><w:t xml:space="preserve">1901), introducing for the first time in the constitutional</w:t></w:r>
</w:p>
<w:p>
<w:pPr><w:pStyle w:val="Normal"/></w:pPr>
<w:r><w:t xml:space="preserve">history of Servia the system of two chambers (skupshtina and</w:t></w:r>
</w:p>
<w:p>
<w:pPr><w:pStyle w:val="Normal"/></w:pPr>
<w:r><w:t xml:space="preserve">senate).  This did in a certain measure reconcile the political</w:t></w:r>
</w:p>
<w:p>
<w:pPr><w:pStyle w:val="Normal"/></w:pPr>
<w:r><w:t xml:space="preserve">parties, but did not reconcile the army, which, already</w:t></w:r>
</w:p>
<w:p>
<w:pPr><w:pStyle w:val="Normal"/></w:pPr>
<w:r><w:t xml:space="preserve">dissatisfied with the king&apos;s marriage, became still more</w:t></w:r>
</w:p>
<w:p>
<w:pPr><w:pStyle w:val="Normal"/></w:pPr>
<w:r><w:t xml:space="preserve">so at the rumours that one of the two unpopular brothers of</w:t></w:r>
</w:p>
<w:p>
<w:pPr><w:pStyle w:val="Normal"/></w:pPr>
<w:r><w:t xml:space="preserve">Queen Draga, Lieutenant Nicodiye, was to be proclaimed heir-</w:t></w:r>
</w:p>
<w:p>
<w:pPr><w:pStyle w:val="Normal"/></w:pPr>
<w:r><w:t xml:space="preserve">apparent to the throne.  Meanwhile the independence of the</w:t></w:r>
</w:p>
<w:p>
<w:pPr><w:pStyle w:val="Normal"/></w:pPr>
<w:r><w:t xml:space="preserve">senate and of the council of state caused growing irritation</w:t></w:r>
</w:p>
<w:p>
<w:pPr><w:pStyle w:val="Normal"/></w:pPr>
<w:r><w:t xml:space="preserve">to King Alexander, which led him to another coup d&apos;etat.</w:t></w:r>
</w:p>
<w:p>
<w:pPr><w:pStyle w:val="Normal"/></w:pPr>
<w:r><w:t xml:space="preserve">He suspended (March 1903) the constitution for half an hour,</w:t></w:r>
</w:p>
<w:p>
<w:pPr><w:pStyle w:val="Normal"/></w:pPr>
<w:r><w:t xml:space="preserve">time enough to publish the decrees by which the old senators</w:t></w:r>
</w:p>
<w:p>
<w:pPr><w:pStyle w:val="Normal"/></w:pPr>
<w:r><w:t xml:space="preserve">and councillors of state were dismissed and replaced by new</w:t></w:r>
</w:p>
<w:p>
<w:pPr><w:pStyle w:val="Normal"/></w:pPr>
<w:r><w:t xml:space="preserve">ones.  This arbitrary act naturally increased the dissatisfaction</w:t></w:r>
</w:p>
<w:p>
<w:pPr><w:pStyle w:val="Normal"/></w:pPr>
<w:r><w:t xml:space="preserve">in the country.  The general impression was that inasmuch as</w:t></w:r>
</w:p>
<w:p>
<w:pPr><w:pStyle w:val="Normal"/></w:pPr>
<w:r><w:t xml:space="preserve">the senate was packed with men devoted to the royal couple,</w:t></w:r>
</w:p>
<w:p>
<w:pPr><w:pStyle w:val="Normal"/></w:pPr>
<w:r><w:t xml:space="preserve">and inasmuch as the government obtained a large majority at</w:t></w:r>
</w:p>
<w:p>
<w:pPr><w:pStyle w:val="Normal"/></w:pPr>
<w:r><w:t xml:space="preserve">the general elections, King Alexander would not hesitate any</w:t></w:r>
</w:p>
<w:p>
<w:pPr><w:pStyle w:val="Normal"/></w:pPr>
<w:r><w:t xml:space="preserve">longer to proclaim Queen Draga&apos;s brother as the heir to the</w:t></w:r>
</w:p>
<w:p>
<w:pPr><w:pStyle w:val="Normal"/></w:pPr>
<w:r><w:t xml:space="preserve">throne.  Apparently to prevent this, but in reality to replace</w:t></w:r>
</w:p>
<w:p>
<w:pPr><w:pStyle w:val="Normal"/></w:pPr>
<w:r><w:t xml:space="preserve">Alexander Obrenovich by Peter Karageorgevich, a military</w:t></w:r>
</w:p>
<w:p>
<w:pPr><w:pStyle w:val="Normal"/></w:pPr>
<w:r><w:t xml:space="preserve">conspiracy was organized.  The conspirators penetrated into</w:t></w:r>
</w:p>
<w:p>
<w:pPr><w:pStyle w:val="Normal"/></w:pPr>
<w:r><w:t xml:space="preserve">the palace and savagely murdered King Alexander and Queen</w:t></w:r>
</w:p>
<w:p>
<w:pPr><w:pStyle w:val="Normal"/></w:pPr>
<w:r><w:t xml:space="preserve">Draga in the early morning of the 11th of June 1903. (C. MI.)</w:t></w:r>
</w:p>
<w:p>
<w:pPr><w:pStyle w:val="Normal"/></w:pPr>
<w:r><w:t xml:space="preserve">ALEXANDER, son of Numenius, Greek rhetorician, flourished</w:t></w:r>
</w:p>
<w:p>
<w:pPr><w:pStyle w:val="Normal"/></w:pPr>
<w:r><w:t xml:space="preserve">in the first half of the second century A.D. In addition to</w:t></w:r>
</w:p>
<w:p>
<w:pPr><w:pStyle w:val="Normal"/></w:pPr>
<w:r><w:t xml:space="preserve">general treatises on rhetoric, he wrote a special work Peri</w:t></w:r>
</w:p>
<w:p>
<w:pPr><w:pStyle w:val="Normal"/></w:pPr>
<w:r><w:t xml:space="preserve">ton tes dianoias kai tes lexeos schematon, of which</w:t></w:r>
</w:p>
<w:p>
<w:pPr><w:pStyle w:val="Normal"/></w:pPr>
<w:r><w:t xml:space="preserve">only an abridgment is extant; later epitomes were made in Latin</w:t></w:r>
</w:p>
<w:p>
<w:pPr><w:pStyle w:val="Normal"/></w:pPr>
<w:r><w:t xml:space="preserve">by Aquila Romanus and Julius Rufinianus under the title De</w:t></w:r>
</w:p>
<w:p>
<w:pPr><w:pStyle w:val="Normal"/></w:pPr>
<w:r><w:t xml:space="preserve">Figuris Sententiarum et Elocutionis. Another epitome was</w:t></w:r>
</w:p>
<w:p>
<w:pPr><w:pStyle w:val="Normal"/></w:pPr>
<w:r><w:t xml:space="preserve">made in the fourth century by a Christian for use in Christian</w:t></w:r>
</w:p>
<w:p>
<w:pPr><w:pStyle w:val="Normal"/></w:pPr>
<w:r><w:t xml:space="preserve">schools, containing additional examples from Gregory of Nazianzus.</w:t></w:r>
</w:p>
<w:p>
<w:pPr><w:pStyle w:val="Normal"/></w:pPr>
<w:r><w:t xml:space="preserve">Text in Spengel, Rhetores Graeci (1856).</w:t></w:r>
</w:p>
<w:p>
<w:pPr><w:pStyle w:val="Normal"/></w:pPr>
<w:r><w:t xml:space="preserve">ALEXANDER, ARCHIBALD (1772-1851), American Presbyterian</w:t></w:r>
</w:p>
<w:p>
<w:pPr><w:pStyle w:val="Normal"/></w:pPr>
<w:r><w:t xml:space="preserve">divine, was born, of Scottish-Irish descent, in that part</w:t></w:r>
</w:p>
<w:p>
<w:pPr><w:pStyle w:val="Normal"/></w:pPr>
<w:r><w:t xml:space="preserve">of Augusta county which is now Rockbridge county, Virginia,</w:t></w:r>
</w:p>
<w:p>
<w:pPr><w:pStyle w:val="Normal"/></w:pPr>
<w:r><w:t xml:space="preserve">on the 17th of April 1772.  After completing his preliminary</w:t></w:r>
</w:p>
<w:p>
<w:pPr><w:pStyle w:val="Normal"/></w:pPr>
<w:r><w:t xml:space="preserve">education in the little school at Lexington, Virginia, which</w:t></w:r>
</w:p>
<w:p>
<w:pPr><w:pStyle w:val="Normal"/></w:pPr>
<w:r><w:t xml:space="preserve">later developed into Washington and Lee University, he came</w:t></w:r>
</w:p>
<w:p>
<w:pPr><w:pStyle w:val="Normal"/></w:pPr>
<w:r><w:t xml:space="preserve">under the influence of the religious movement known as the</w:t></w:r>
</w:p>
<w:p>
<w:pPr><w:pStyle w:val="Normal"/></w:pPr>
<w:r><w:t xml:space="preserve">``great revival&apos;&apos; (1789-1790) and devoted himself to the study of</w:t></w:r>
</w:p>
<w:p>
<w:pPr><w:pStyle w:val="Normal"/></w:pPr>
<w:r><w:t xml:space="preserve">theology.  Licensed to preach in 1791, he was engaged for</w:t></w:r>
</w:p>
<w:p>
<w:pPr><w:pStyle w:val="Normal"/></w:pPr>
<w:r><w:t xml:space="preserve">several years as an itinerant Presbyterian preacher in his</w:t></w:r>
</w:p>
<w:p>
<w:pPr><w:pStyle w:val="Normal"/></w:pPr>
<w:r><w:t xml:space="preserve">native state, and acquired during this period the facility in</w:t></w:r>
</w:p>
<w:p>
<w:pPr><w:pStyle w:val="Normal"/></w:pPr>
<w:r><w:t xml:space="preserve">extemporaneous speaking for which he was remarkable.  He was</w:t></w:r>
</w:p>
<w:p>
<w:pPr><w:pStyle w:val="Normal"/></w:pPr>
<w:r><w:t xml:space="preserve">president of Hampden-Sidney College from 1796 to 1807, with a</w:t></w:r>
</w:p>
<w:p>
<w:pPr><w:pStyle w:val="Normal"/></w:pPr>
<w:r><w:t xml:space="preserve">short intermission (in 1801-1802), and in 1807 became pastor</w:t></w:r>
</w:p>
<w:p>
<w:pPr><w:pStyle w:val="Normal"/></w:pPr>
<w:r><w:t xml:space="preserve">of Pine Street Church, Philadelphia.  In 1812 he became first</w:t></w:r>
</w:p>
<w:p>
<w:pPr><w:pStyle w:val="Normal"/></w:pPr>
<w:r><w:t xml:space="preserve">professor in the newly established Presbyterian Theological</w:t></w:r>
</w:p>
<w:p>
<w:pPr><w:pStyle w:val="Normal"/></w:pPr>
<w:r><w:t xml:space="preserve">Seminary at Princeton, New Jersey, where he remained until</w:t></w:r>
</w:p>
<w:p>
<w:pPr><w:pStyle w:val="Normal"/></w:pPr>
<w:r><w:t xml:space="preserve">his death at Princeton on the 22nd of October 1851, filling</w:t></w:r>
</w:p>
<w:p>
<w:pPr><w:pStyle w:val="Normal"/></w:pPr>
<w:r><w:t xml:space="preserve">successively the chairs of didactic and polemic theology</w:t></w:r>
</w:p>
<w:p>
<w:pPr><w:pStyle w:val="Normal"/></w:pPr>
<w:r><w:t xml:space="preserve">(1812-1840), and pastoral and polemic theology (1840-1851).  He</w:t></w:r>
</w:p>
<w:p>
<w:pPr><w:pStyle w:val="Normal"/></w:pPr>
<w:r><w:t xml:space="preserve">married, in 1802, Janetta Waddel, the daughter of the celebrated</w:t></w:r>
</w:p>
<w:p>
<w:pPr><w:pStyle w:val="Normal"/></w:pPr>
<w:r><w:t xml:space="preserve">blind preacher, James Waddel (1739-1805), whose eloquence</w:t></w:r>
</w:p>
<w:p>
<w:pPr><w:pStyle w:val="Normal"/></w:pPr>
<w:r><w:t xml:space="preserve">was described in William Wirt&apos;s Letters of a British Spy</w:t></w:r>
</w:p>
<w:p>
<w:pPr><w:pStyle w:val="Normal"/></w:pPr>
<w:r><w:t xml:space="preserve">(1803).  Dr Alexander wrote a considerable number of theological</w:t></w:r>
</w:p>
<w:p>
<w:pPr><w:pStyle w:val="Normal"/></w:pPr>
<w:r><w:t xml:space="preserve">works, which had a large circulation.  Among these may be</w:t></w:r>
</w:p>
<w:p>
<w:pPr><w:pStyle w:val="Normal"/></w:pPr>
<w:r><w:t xml:space="preserve">mentioned his Brief Outline of the Evidences of the Christian</w:t></w:r>
</w:p>
<w:p>
<w:pPr><w:pStyle w:val="Normal"/></w:pPr>
<w:r><w:t xml:space="preserve">Religion (1825), which passed through several editions, and</w:t></w:r>
</w:p>
<w:p>
<w:pPr><w:pStyle w:val="Normal"/></w:pPr>
<w:r><w:t xml:space="preserve">was translated into various languages; The Canon of the Old</w:t></w:r>
</w:p>
<w:p>
<w:pPr><w:pStyle w:val="Normal"/></w:pPr>
<w:r><w:t xml:space="preserve">and New Testament Ascertained; or the Bible Complete without</w:t></w:r>
</w:p>
<w:p>
<w:pPr><w:pStyle w:val="Normal"/></w:pPr>
<w:r><w:t xml:space="preserve">the Apocrypha and Unwritten Traditions (1826); A History</w:t></w:r>
</w:p>
<w:p>
<w:pPr><w:pStyle w:val="Normal"/></w:pPr>
<w:r><w:t xml:space="preserve">of the Israelitish Nation (1852), and Outlines of Moral</w:t></w:r>
</w:p>
<w:p>
<w:pPr><w:pStyle w:val="Normal"/></w:pPr>
<w:r><w:t xml:space="preserve">Science (1852), the last two being published posthumously.</w:t></w:r>
</w:p>
<w:p>
<w:pPr><w:pStyle w:val="Normal"/></w:pPr>
<w:r><w:t xml:space="preserve">See the biography (New York, 1854) by his son James W. Alexander.</w:t></w:r>
</w:p>
<w:p>
<w:pPr><w:pStyle w:val="Normal"/></w:pPr>
<w:r><w:t xml:space="preserve">ALEXANDER, FRANCIS (1800-1881), American portrait- painter,</w:t></w:r>
</w:p>
<w:p>
<w:pPr><w:pStyle w:val="Normal"/></w:pPr>
<w:r><w:t xml:space="preserve">was born in Windham county, Connecticut, in February 1800.</w:t></w:r>
</w:p>
<w:p>
<w:pPr><w:pStyle w:val="Normal"/></w:pPr>
<w:r><w:t xml:space="preserve">Brought up on a farm, he taught himself the use of colours,</w:t></w:r>
</w:p>
<w:p>
<w:pPr><w:pStyle w:val="Normal"/></w:pPr>
<w:r><w:t xml:space="preserve">and in 1820 went to New York City and studied painting with</w:t></w:r>
</w:p>
<w:p>
<w:pPr><w:pStyle w:val="Normal"/></w:pPr>
<w:r><w:t xml:space="preserve">Alexander Robertson.  He spent the winters of 1831 and 1832</w:t></w:r>
</w:p>
<w:p>
<w:pPr><w:pStyle w:val="Normal"/></w:pPr>
<w:r><w:t xml:space="preserve">in Rome, and then for nearly a decade he lived in Boston,</w:t></w:r>
</w:p>
<w:p>
<w:pPr><w:pStyle w:val="Normal"/></w:pPr>
<w:r><w:t xml:space="preserve">Massachusetts, where he had considerable vogue, and where</w:t></w:r>
</w:p>
<w:p>
<w:pPr><w:pStyle w:val="Normal"/></w:pPr>
<w:r><w:t xml:space="preserve">in 1842 he painted a portrait of Charles Dickens.  One of</w:t></w:r>
</w:p>
<w:p>
<w:pPr><w:pStyle w:val="Normal"/></w:pPr>
<w:r><w:t xml:space="preserve">his best portraits is that of Mrs Fletcher Webster in the</w:t></w:r>
</w:p>
<w:p>
<w:pPr><w:pStyle w:val="Normal"/></w:pPr>
<w:r><w:t xml:space="preserve">Boston Museum of Fine Arts.  He died in 1881 in Florence.</w:t></w:r>
</w:p>
<w:p>
<w:pPr><w:pStyle w:val="Normal"/></w:pPr>
<w:r><w:t xml:space="preserve">ALEXANDER, GEORGE (1858- ), English actor, whose family</w:t></w:r>
</w:p>
<w:p>
<w:pPr><w:pStyle w:val="Normal"/></w:pPr>
<w:r><w:t xml:space="preserve">name was Samson, was born in Reading on the 19th of June 1858,</w:t></w:r>
</w:p>
<w:p>
<w:pPr><w:pStyle w:val="Normal"/></w:pPr>
<w:r><w:t xml:space="preserve">the son of a Scottish manufacturer.  He went into business in</w:t></w:r>
</w:p>
<w:p>
<w:pPr><w:pStyle w:val="Normal"/></w:pPr>
<w:r><w:t xml:space="preserve">London after leaving school, but having acted as an amateur</w:t></w:r>
</w:p>
<w:p>
<w:pPr><w:pStyle w:val="Normal"/></w:pPr>
<w:r><w:t xml:space="preserve">he determined to make the stage his profession.  His first</w:t></w:r>
</w:p>
<w:p>
<w:pPr><w:pStyle w:val="Normal"/></w:pPr>
<w:r><w:t xml:space="preserve">appearance was at Nottingham in 1879, and after some seasons</w:t></w:r>
</w:p>
<w:p>
<w:pPr><w:pStyle w:val="Normal"/></w:pPr>
<w:r><w:t xml:space="preserve">of provincial experience he made his first London appearance</w:t></w:r>
</w:p>
<w:p>
<w:pPr><w:pStyle w:val="Normal"/></w:pPr>
<w:r><w:t xml:space="preserve">as Caleb Deecie in Two Roses in 1881 with Irving at the</w:t></w:r>
</w:p>
<w:p>
<w:pPr><w:pStyle w:val="Normal"/></w:pPr>
<w:r><w:t xml:space="preserve">Lyceum.  He was selected by W. S. Gilbert to support Mary</w:t></w:r>
</w:p>
<w:p>
<w:pPr><w:pStyle w:val="Normal"/></w:pPr>
<w:r><w:t xml:space="preserve">Anderson in Comedy and Tragedy, returned for a time to the</w:t></w:r>
</w:p>
<w:p>
<w:pPr><w:pStyle w:val="Normal"/></w:pPr>
<w:r><w:t xml:space="preserve">Lyceum, where he was Irving&apos;s principal associate, especially</w:t></w:r>
</w:p>
<w:p>
<w:pPr><w:pStyle w:val="Normal"/></w:pPr>
<w:r><w:t xml:space="preserve">as Faust (1886) and Macduff (1888); and, after starting</w:t></w:r>
</w:p>
<w:p>
<w:pPr><w:pStyle w:val="Normal"/></w:pPr>
<w:r><w:t xml:space="preserve">successfully under his own management at the Avenue Theatre in</w:t></w:r>
</w:p>
<w:p>
<w:pPr><w:pStyle w:val="Normal"/></w:pPr>
<w:r><w:t xml:space="preserve">1890 with Dr Bill, in 1891 became manager of the St James&apos;s</w:t></w:r>
</w:p>
<w:p>
<w:pPr><w:pStyle w:val="Normal"/></w:pPr>
<w:r><w:t xml:space="preserve">Theatre.  There he produced a number of successful plays, notably</w:t></w:r>
</w:p>
<w:p>
<w:pPr><w:pStyle w:val="Normal"/></w:pPr>
<w:r><w:t xml:space="preserve">Oscar Wilde&apos;s Lady Windermere&apos;s Fan and The Importance of</w:t></w:r>
</w:p>
<w:p>
<w:pPr><w:pStyle w:val="Normal"/></w:pPr>
<w:r><w:t xml:space="preserve">being Earnest, Pinero&apos;s Second Mrs Tanqueray, The Princess</w:t></w:r>
</w:p>
<w:p>
<w:pPr><w:pStyle w:val="Normal"/></w:pPr>
<w:r><w:t xml:space="preserve">and the Butterfiy, His House in Order and The Thunderbolt;</w:t></w:r>
</w:p>
<w:p>
<w:pPr><w:pStyle w:val="Heading1"/></w:pPr>
<w:r><w:t>C. Haddon Chambers&apos;s The Idler; H. A. Jones&apos;s Masqueraders;</w:t></w:r>
</w:p>
<w:p>
<w:pPr><w:pStyle w:val="Normal"/></w:pPr>
<w:r><w:t xml:space="preserve">Alfred Sutro&apos;s John Glayde&apos;s Honour and The Builder of</w:t></w:r>
</w:p>
<w:p>
<w:pPr><w:pStyle w:val="Normal"/></w:pPr>
<w:r><w:t xml:space="preserve">Bridges; Carton&apos;s Liberty Hall and The Tree of Knowledge;</w:t></w:r>
</w:p>
<w:p>
<w:pPr><w:pStyle w:val="Normal"/></w:pPr>
<w:r><w:t xml:space="preserve">Anthony Hope&apos;s Prisoner of Zenda and Rupert of Hentzau;</w:t></w:r>
</w:p>
<w:p>
<w:pPr><w:pStyle w:val="Normal"/></w:pPr>
<w:r><w:t xml:space="preserve">and Stephen Phillips&apos;s Paolo and Francesca, himself playing</w:t></w:r>
</w:p>
<w:p>
<w:pPr><w:pStyle w:val="Normal"/></w:pPr>
<w:r><w:t xml:space="preserve">the leading parts with great distinction.  In 1907 he was</w:t></w:r>
</w:p>
<w:p>
<w:pPr><w:pStyle w:val="Normal"/></w:pPr>
<w:r><w:t xml:space="preserve">elected a member of the London County Council as a municipal</w:t></w:r>
</w:p>
<w:p>
<w:pPr><w:pStyle w:val="Normal"/></w:pPr>
<w:r><w:t xml:space="preserve">reformer, but continued to act regularly at the St James&apos;s.</w:t></w:r>
</w:p>
<w:p>
<w:pPr><w:pStyle w:val="Normal"/></w:pPr>
<w:r><w:t xml:space="preserve">ALEXANDER, SIR JAMES EDWARD (1803-1885), British soldier and</w:t></w:r>
</w:p>
<w:p>
<w:pPr><w:pStyle w:val="Normal"/></w:pPr>
<w:r><w:t xml:space="preserve">traveller, was born on the 16th of October 1803.  He joined</w:t></w:r>
</w:p>
<w:p>
<w:pPr><w:pStyle w:val="Normal"/></w:pPr>
<w:r><w:t xml:space="preserve">the East India Company&apos;s army in 1820, transferring into the</w:t></w:r>
</w:p>
<w:p>
<w:pPr><w:pStyle w:val="Normal"/></w:pPr>
<w:r><w:t xml:space="preserve">British army in 1825.  As aide-de-camp to the British envoy</w:t></w:r>
</w:p>
<w:p>
<w:pPr><w:pStyle w:val="Normal"/></w:pPr>
<w:r><w:t xml:space="preserve">to Persia, he was an eye-witness of the fighting in the war</w:t></w:r>
</w:p>
<w:p>
<w:pPr><w:pStyle w:val="Normal"/></w:pPr>
<w:r><w:t xml:space="preserve">between Persia and Russia (1826), and in 1829 was present in</w:t></w:r>
</w:p>
<w:p>
<w:pPr><w:pStyle w:val="Normal"/></w:pPr>
<w:r><w:t xml:space="preserve">the Balkans during the Russo-Turkish war.  In 1832-1834 he was</w:t></w:r>
</w:p>
<w:p>
<w:pPr><w:pStyle w:val="Normal"/></w:pPr>
<w:r><w:t xml:space="preserve">in Portugal during the Miguelete war, and in 1835 served in</w:t></w:r>
</w:p>
<w:p>
<w:pPr><w:pStyle w:val="Normal"/></w:pPr>
<w:r><w:t xml:space="preserve">the Kaffir war in South Africa as aide-de-camp to Sir Benjamin</w:t></w:r>
</w:p>
<w:p>
<w:pPr><w:pStyle w:val="Normal"/></w:pPr>
<w:r><w:t xml:space="preserve">D&apos;Urban.  Subsequently he conducted an exploring expedition into</w:t></w:r>
</w:p>
<w:p>
<w:pPr><w:pStyle w:val="Normal"/></w:pPr>
<w:r><w:t xml:space="preserve">Namaqualand and Damaraland, and was knighted for his services</w:t></w:r>
</w:p>
<w:p>
<w:pPr><w:pStyle w:val="Normal"/></w:pPr>
<w:r><w:t xml:space="preserve">(1838).  From 1841 to 1855 he served in Canada, proceeding</w:t></w:r>
</w:p>
<w:p>
<w:pPr><w:pStyle w:val="Normal"/></w:pPr>
<w:r><w:t xml:space="preserve">thence to the Crimea, and in 1862 held an important command</w:t></w:r>
</w:p>
<w:p>
<w:pPr><w:pStyle w:val="Normal"/></w:pPr>
<w:r><w:t xml:space="preserve">in New Zealand during the Maori war.  He retired from the</w:t></w:r>
</w:p>
<w:p>
<w:pPr><w:pStyle w:val="Normal"/></w:pPr>
<w:r><w:t xml:space="preserve">service in 1877, and in 1881 was given the honorary rank of</w:t></w:r>
</w:p>
<w:p>
<w:pPr><w:pStyle w:val="Normal"/></w:pPr>
<w:r><w:t xml:space="preserve">general.  He was largely responsible for the preservation</w:t></w:r>
</w:p>
<w:p>
<w:pPr><w:pStyle w:val="Normal"/></w:pPr>
<w:r><w:t xml:space="preserve">and transfer to England of Cleopatra&apos;s Needle in 1877.  His</w:t></w:r>
</w:p>
<w:p>
<w:pPr><w:pStyle w:val="Normal"/></w:pPr>
<w:r><w:t xml:space="preserve">varied experiences provided material for a large number of</w:t></w:r>
</w:p>
<w:p>
<w:pPr><w:pStyle w:val="Normal"/></w:pPr>
<w:r><w:t xml:space="preserve">books, among which were Travels from India to England</w:t></w:r>
</w:p>
<w:p>
<w:pPr><w:pStyle w:val="Normal"/></w:pPr>
<w:r><w:t xml:space="preserve">(1827); Transatlantic Sketches (1833); An Expedition of</w:t></w:r>
</w:p>
<w:p>
<w:pPr><w:pStyle w:val="Normal"/></w:pPr>
<w:r><w:t xml:space="preserve">Discovery into the Interior of Africa (1838); Passages in</w:t></w:r>
</w:p>
<w:p>
<w:pPr><w:pStyle w:val="Normal"/></w:pPr>
<w:r><w:t xml:space="preserve">the Life of a Soldier (1857); Incidents of the Maori War</w:t></w:r>
</w:p>
<w:p>
<w:pPr><w:pStyle w:val="Normal"/></w:pPr>
<w:r><w:t xml:space="preserve">(1863).  He was also the author of a Life of Field-Marshal the</w:t></w:r>
</w:p>
<w:p>
<w:pPr><w:pStyle w:val="Normal"/></w:pPr>
<w:r><w:t xml:space="preserve">Duke of Wellington (1840).  He died on the 2nd of April 1885.</w:t></w:r>
</w:p>
<w:p>
<w:pPr><w:pStyle w:val="Normal"/></w:pPr>
<w:r><w:t xml:space="preserve">ALEXANDER, JOHN WHITE (1856- ), American painter, was</w:t></w:r>
</w:p>
<w:p>
<w:pPr><w:pStyle w:val="Normal"/></w:pPr>
<w:r><w:t xml:space="preserve">born in Allegheny, Pennsylvania, on the 7th of October</w:t></w:r>
</w:p>
<w:p>
<w:pPr><w:pStyle w:val="Normal"/></w:pPr>
<w:r><w:t xml:space="preserve">1836.  He was left an orphan when very young, became an</w:t></w:r>
</w:p>
<w:p>
<w:pPr><w:pStyle w:val="Normal"/></w:pPr>
<w:r><w:t xml:space="preserve">illustrator for Harper&apos;s Magazine, studied in Europe, became</w:t></w:r>
</w:p>
<w:p>
<w:pPr><w:pStyle w:val="Normal"/></w:pPr>
<w:r><w:t xml:space="preserve">a pupil of the Royal Academy at Munich, and also worked in</w:t></w:r>
</w:p>
<w:p>
<w:pPr><w:pStyle w:val="Normal"/></w:pPr>
<w:r><w:t xml:space="preserve">Venice, in Holland and in Paris, where he attracted much</w:t></w:r>
</w:p>
<w:p>
<w:pPr><w:pStyle w:val="Normal"/></w:pPr>
<w:r><w:t xml:space="preserve">attention by his exhibition at the Salon of two female</w:t></w:r>
</w:p>
<w:p>
<w:pPr><w:pStyle w:val="Normal"/></w:pPr>
<w:r><w:t xml:space="preserve">portraits entitled ``Gris&apos;&apos; and ``Noir.&apos;&apos; He became a member</w:t></w:r>
</w:p>
<w:p>
<w:pPr><w:pStyle w:val="Normal"/></w:pPr>
<w:r><w:t xml:space="preserve">of the Societe Nationale des Beaux Arts (Paris), of the</w:t></w:r>
</w:p>
<w:p>
<w:pPr><w:pStyle w:val="Normal"/></w:pPr>
<w:r><w:t xml:space="preserve">National Academy of Design (New York), of the International</w:t></w:r>
</w:p>
<w:p>
<w:pPr><w:pStyle w:val="Normal"/></w:pPr>
<w:r><w:t xml:space="preserve">Society (London), and of the Vienna and Munich Societies of</w:t></w:r>
</w:p>
<w:p>
<w:pPr><w:pStyle w:val="Normal"/></w:pPr>
<w:r><w:t xml:space="preserve">Painters.  In 1901 he was made a Chevalier of the Legion of</w:t></w:r>
</w:p>
<w:p>
<w:pPr><w:pStyle w:val="Normal"/></w:pPr>
<w:r><w:t xml:space="preserve">Honour.  He executed decorative panels for the Congressional</w:t></w:r>
</w:p>
<w:p>
<w:pPr><w:pStyle w:val="Normal"/></w:pPr>
<w:r><w:t xml:space="preserve">Library, Washington, D.C., and a large decoration for</w:t></w:r>
</w:p>
<w:p>
<w:pPr><w:pStyle w:val="Normal"/></w:pPr>
<w:r><w:t xml:space="preserve">the Carnegie Institute, Pittsburg, Pennsylvania; and his</w:t></w:r>
</w:p>
<w:p>
<w:pPr><w:pStyle w:val="Normal"/></w:pPr>
<w:r><w:t xml:space="preserve">works include numerous portraits and subject pictures.</w:t></w:r>
</w:p>
<w:p>
<w:pPr><w:pStyle w:val="Normal"/></w:pPr>
<w:r><w:t xml:space="preserve">ALEXANDER, JOSEPH ADDISON (1809-1860), American biblical</w:t></w:r>
</w:p>
<w:p>
<w:pPr><w:pStyle w:val="Normal"/></w:pPr>
<w:r><w:t xml:space="preserve">scholar, the third son of Archibald Alexander, was born in</w:t></w:r>
</w:p>
<w:p>
<w:pPr><w:pStyle w:val="Normal"/></w:pPr>
<w:r><w:t xml:space="preserve">Philadelphia, Pennsylvania, on the 24th of April 1809.  He</w:t></w:r>
</w:p>
<w:p>
<w:pPr><w:pStyle w:val="Normal"/></w:pPr>
<w:r><w:t xml:space="preserve">graduated at the College of New Jersey (now Princeton University)</w:t></w:r>
</w:p>
<w:p>
<w:pPr><w:pStyle w:val="Normal"/></w:pPr>
<w:r><w:t xml:space="preserve">in 1826, having devoted himself especially to the study of</w:t></w:r>
</w:p>
<w:p>
<w:pPr><w:pStyle w:val="Normal"/></w:pPr>
<w:r><w:t xml:space="preserve">Hebrew and other oriental languages, and from 1830 to 1833</w:t></w:r>
</w:p>
<w:p>
<w:pPr><w:pStyle w:val="Normal"/></w:pPr>
<w:r><w:t xml:space="preserve">was adjunct professor of ancient languages and literature</w:t></w:r>
</w:p>
<w:p>
<w:pPr><w:pStyle w:val="Normal"/></w:pPr>
<w:r><w:t xml:space="preserve">there.  In 1834 he became an assistant to Dr Charles Hodge,</w:t></w:r>
</w:p>
<w:p>
<w:pPr><w:pStyle w:val="Normal"/></w:pPr>
<w:r><w:t xml:space="preserve">professor of oriental and biblical literature in the Princeton</w:t></w:r>
</w:p>
<w:p>
<w:pPr><w:pStyle w:val="Normal"/></w:pPr>
<w:r><w:t xml:space="preserve">Theological Seminary, and in 1838 became associate professor</w:t></w:r>
</w:p>
<w:p>
<w:pPr><w:pStyle w:val="Normal"/></w:pPr>
<w:r><w:t xml:space="preserve">of oriental and biblical literature there, succeeding Dr Hodge</w:t></w:r>
</w:p>
<w:p>
<w:pPr><w:pStyle w:val="Normal"/></w:pPr>
<w:r><w:t xml:space="preserve">in that chair in 1840 and being transferred in 1851 to the</w:t></w:r>
</w:p>
<w:p>
<w:pPr><w:pStyle w:val="Normal"/></w:pPr>
<w:r><w:t xml:space="preserve">chair of biblical and ecclesiastical history, and in 1859 to</w:t></w:r>
</w:p>
<w:p>
<w:pPr><w:pStyle w:val="Normal"/></w:pPr>
<w:r><w:t xml:space="preserve">that of Hellenistic and New Testament literature, which he</w:t></w:r>
</w:p>
<w:p>
<w:pPr><w:pStyle w:val="Normal"/></w:pPr>
<w:r><w:t xml:space="preserve">occupied until his death at Princeton on the 28th of January</w:t></w:r>
</w:p>
<w:p>
<w:pPr><w:pStyle w:val="Normal"/></w:pPr>
<w:r><w:t xml:space="preserve">1860.  Alexander was a remarkable linquist and exegete.  He</w:t></w:r>
</w:p>
<w:p>
<w:pPr><w:pStyle w:val="Normal"/></w:pPr>
<w:r><w:t xml:space="preserve">had been ordained as a Presbyterian minister in 1839, and</w:t></w:r>
</w:p>
<w:p>
<w:pPr><w:pStyle w:val="Normal"/></w:pPr>
<w:r><w:t xml:space="preserve">was well known for his pulpit eloquence.  He was the author</w:t></w:r>
</w:p>
<w:p>
<w:pPr><w:pStyle w:val="Normal"/></w:pPr>
<w:r><w:t xml:space="preserve">of The Earlier Prophecies of Isaiah (1846), The Later</w:t></w:r>
</w:p>
<w:p>
<w:pPr><w:pStyle w:val="Normal"/></w:pPr>
<w:r><w:t xml:space="preserve">Prophecies of Isaiah (1847), and an abbreviation of these</w:t></w:r>
</w:p>
<w:p>
<w:pPr><w:pStyle w:val="Normal"/></w:pPr>
<w:r><w:t xml:space="preserve">two volumes, Isaiah Illustrated and Explained (2 vols.,</w:t></w:r>
</w:p>
<w:p>
<w:pPr><w:pStyle w:val="Normal"/></w:pPr>
<w:r><w:t xml:space="preserve">1851), The Psalms Translated and Explained (3 vols.,</w:t></w:r>
</w:p>
<w:p>
<w:pPr><w:pStyle w:val="Normal"/></w:pPr>
<w:r><w:t xml:space="preserve">1850), commentaries on Acts (2 vols., 1857), Mark (1858)</w:t></w:r>
</w:p>
<w:p>
<w:pPr><w:pStyle w:val="Normal"/></w:pPr>
<w:r><w:t xml:space="preserve">and Matthew (1860), and two volumes of Sermons (1860).</w:t></w:r>
</w:p>
<w:p>
<w:pPr><w:pStyle w:val="Normal"/></w:pPr>
<w:r><w:t xml:space="preserve">See The Life of Joseph A. Alexander (2 vols., 2nd</w:t></w:r>
</w:p>
<w:p>
<w:pPr><w:pStyle w:val="Normal"/></w:pPr>
<w:r><w:t xml:space="preserve">ed., New York, 1875) by his nephew, Henry C. Alexander.</w:t></w:r>
</w:p>
<w:p>
<w:pPr><w:pStyle w:val="Normal"/></w:pPr>
<w:r><w:t xml:space="preserve">His brother, JAMES WADDEL ALEXANDER (1804-1859), born in</w:t></w:r>
</w:p>
<w:p>
<w:pPr><w:pStyle w:val="Normal"/></w:pPr>
<w:r><w:t xml:space="preserve">Louisa county, Virginia, on the 13th of March 1804, was a famous</w:t></w:r>
</w:p>
<w:p>
<w:pPr><w:pStyle w:val="Normal"/></w:pPr>
<w:r><w:t xml:space="preserve">Presbyterian preacher.  He graduated at the College of New Jersey</w:t></w:r>
</w:p>
<w:p>
<w:pPr><w:pStyle w:val="Normal"/></w:pPr>
<w:r><w:t xml:space="preserve">in 1820, studied theology in the Princeton Seminary, and was</w:t></w:r>
</w:p>
<w:p>
<w:pPr><w:pStyle w:val="Normal"/></w:pPr>
<w:r><w:t xml:space="preserve">pastor of a Presbyterian church in Charlotte county, Virginia,</w:t></w:r>
</w:p>
<w:p>
<w:pPr><w:pStyle w:val="Normal"/></w:pPr>
<w:r><w:t xml:space="preserve">from 1826 to 1828, and of the First Presbyterian church in</w:t></w:r>
</w:p>
<w:p>
<w:pPr><w:pStyle w:val="Normal"/></w:pPr>
<w:r><w:t xml:space="preserve">Trenton, New Jersey, in 1829-1832.  From 1833 to 1844 he was</w:t></w:r>
</w:p>
<w:p>
<w:pPr><w:pStyle w:val="Normal"/></w:pPr>
<w:r><w:t xml:space="preserve">professor of belles-lettres and Latin language and literature</w:t></w:r>
</w:p>
<w:p>
<w:pPr><w:pStyle w:val="Normal"/></w:pPr>
<w:r><w:t xml:space="preserve">in the College of New Jersey, from 1844 to 1849 was pastor of</w:t></w:r>
</w:p>
<w:p>
<w:pPr><w:pStyle w:val="Normal"/></w:pPr>
<w:r><w:t xml:space="preserve">the Duane Street Presbyterian church in New York City, from</w:t></w:r>
</w:p>
<w:p>
<w:pPr><w:pStyle w:val="Normal"/></w:pPr>
<w:r><w:t xml:space="preserve">1849 to 1851 was professor of ecclesiastical history, church</w:t></w:r>
</w:p>
<w:p>
<w:pPr><w:pStyle w:val="Normal"/></w:pPr>
<w:r><w:t xml:space="preserve">government and sacred rhetoric in the Princeton Theological</w:t></w:r>
</w:p>
<w:p>
<w:pPr><w:pStyle w:val="Normal"/></w:pPr>
<w:r><w:t xml:space="preserve">Seminary, and from 1851 until his death, at Red Sweet Springs,</w:t></w:r>
</w:p>
<w:p>
<w:pPr><w:pStyle w:val="Normal"/></w:pPr>
<w:r><w:t xml:space="preserve">Virginia, on the 31st of July 1859, was pastor of the Fifth</w:t></w:r>
</w:p>
<w:p>
<w:pPr><w:pStyle w:val="Normal"/></w:pPr>
<w:r><w:t xml:space="preserve">Avenue Presbyterian church in New York City.  He wrote numerous</w:t></w:r>
</w:p>
<w:p>
<w:pPr><w:pStyle w:val="Normal"/></w:pPr>
<w:r><w:t xml:space="preserve">magazine articles and published a number of books, including</w:t></w:r>
</w:p>
<w:p>
<w:pPr><w:pStyle w:val="Normal"/></w:pPr>
<w:r><w:t xml:space="preserve">The American Mechanic and Workingman (2 vols., 1847, a</w:t></w:r>
</w:p>
<w:p>
<w:pPr><w:pStyle w:val="Normal"/></w:pPr>
<w:r><w:t xml:space="preserve">coltection of papers to mechanics first printed under the</w:t></w:r>
</w:p>
<w:p>
<w:pPr><w:pStyle w:val="Normal"/></w:pPr>
<w:r><w:t xml:space="preserve">pseudonym of ``Charles Quill&apos;&apos;), Thoughts on Family Worship</w:t></w:r>
</w:p>
<w:p>
<w:pPr><w:pStyle w:val="Normal"/></w:pPr>
<w:r><w:t xml:space="preserve">(1847), Sacramental Addresses (1854), The Revival and</w:t></w:r>
</w:p>
<w:p>
<w:pPr><w:pStyle w:val="Normal"/></w:pPr>
<w:r><w:t xml:space="preserve">its Lessons (1859), Thoughts on Preaching (1861), Faith</w:t></w:r>
</w:p>
<w:p>
<w:pPr><w:pStyle w:val="Normal"/></w:pPr>
<w:r><w:t xml:space="preserve">(1862), and many juvenile books for Sunday-school libraries.</w:t></w:r>
</w:p>
<w:p>
<w:pPr><w:pStyle w:val="Normal"/></w:pPr>
<w:r><w:t xml:space="preserve">See Forty Years&apos; Familiar Letters of James W. Alexander (2 vols.,</w:t></w:r>
</w:p>
<w:p>
<w:pPr><w:pStyle w:val="Normal"/></w:pPr>
<w:r><w:t xml:space="preserve">New York, 1860), edited by Dr John Hall (1806-1894) of Trenton, N. J.</w:t></w:r>
</w:p>
<w:p>
<w:pPr><w:pStyle w:val="Normal"/></w:pPr>
<w:r><w:t xml:space="preserve">ALEXANDER, WILLIAM (1824- ), Protestant archbishop of</w:t></w:r>
</w:p>
<w:p>
<w:pPr><w:pStyle w:val="Normal"/></w:pPr>
<w:r><w:t xml:space="preserve">Armagh and primate of all Ireland, was born at Londonderry</w:t></w:r>
</w:p>
<w:p>
<w:pPr><w:pStyle w:val="Normal"/></w:pPr>
<w:r><w:t xml:space="preserve">on the 13th of April 1824 and educated at Tonbridge Grammar</w:t></w:r>
</w:p>
<w:p>
<w:pPr><w:pStyle w:val="Normal"/></w:pPr>
<w:r><w:t xml:space="preserve">School and Brasenose College, Oxford.  After holding several</w:t></w:r>
</w:p>
<w:p>
<w:pPr><w:pStyle w:val="Normal"/></w:pPr>
<w:r><w:t xml:space="preserve">livings in the north of Ireland he was made bishop of Derry</w:t></w:r>
</w:p>
<w:p>
<w:pPr><w:pStyle w:val="Normal"/></w:pPr>
<w:r><w:t xml:space="preserve">and Raphoe in 1867, and was elevated to the primacy in</w:t></w:r>
</w:p>
<w:p>
<w:pPr><w:pStyle w:val="Normal"/></w:pPr>
<w:r><w:t xml:space="preserve">1896.  He was Bampton lecturer in 1816.  An eloquent preacher</w:t></w:r>
</w:p>
<w:p>
<w:pPr><w:pStyle w:val="Normal"/></w:pPr>
<w:r><w:t xml:space="preserve">and the author of numerous theological works, he is best</w:t></w:r>
</w:p>
<w:p>
<w:pPr><w:pStyle w:val="Normal"/></w:pPr>
<w:r><w:t xml:space="preserve">known to literature as a master of dignified and animated</w:t></w:r>
</w:p>
<w:p>
<w:pPr><w:pStyle w:val="Normal"/></w:pPr>
<w:r><w:t xml:space="preserve">verse.  His poems were collected in 1887 under the title of</w:t></w:r>
</w:p>
<w:p>
<w:pPr><w:pStyle w:val="Normal"/></w:pPr>
<w:r><w:t xml:space="preserve">St Augustine&apos;s Holiday, and other Poems. His wife, Cecil</w:t></w:r>
</w:p>
<w:p>
<w:pPr><w:pStyle w:val="Normal"/></w:pPr>
<w:r><w:t xml:space="preserve">Francis Humphreys (1818-1895), wrote some tracts in connexion</w:t></w:r>
</w:p>
<w:p>
<w:pPr><w:pStyle w:val="Normal"/></w:pPr>
<w:r><w:t xml:space="preserve">with the Oxford movement, but is famous as the author of</w:t></w:r>
</w:p>
<w:p>
<w:pPr><w:pStyle w:val="Normal"/></w:pPr>
<w:r><w:t xml:space="preserve">``Jesus calls us o&apos;er the tumult,&apos;&apos; ``There is a green hill</w:t></w:r>
</w:p>
<w:p>
<w:pPr><w:pStyle w:val="Normal"/></w:pPr>
<w:r><w:t xml:space="preserve">far away&apos;&apos; and other well-known hymns (nearly four hundred in</w:t></w:r>
</w:p>
<w:p>
<w:pPr><w:pStyle w:val="Normal"/></w:pPr>
<w:r><w:t xml:space="preserve">all).  A collection of her verse was published in 1896.</w:t></w:r>
</w:p>
<w:p>
<w:pPr><w:pStyle w:val="Normal"/></w:pPr>
<w:r><w:t xml:space="preserve">ALEXANDER, WILLIAM LINDSAY (1808-1884), Scottish divine,</w:t></w:r>
</w:p>
<w:p>
<w:pPr><w:pStyle w:val="Normal"/></w:pPr>
<w:r><w:t xml:space="preserve">was born at Leith on the 24th of August 1808.  He was educated</w:t></w:r>
</w:p>
<w:p>
<w:pPr><w:pStyle w:val="Normal"/></w:pPr>
<w:r><w:t xml:space="preserve">at the universities of St Andrews and Edinburgh, where he</w:t></w:r>
</w:p>
<w:p>
<w:pPr><w:pStyle w:val="Normal"/></w:pPr>
<w:r><w:t xml:space="preserve">gained a lasting reputation for classical scholarship.  He</w:t></w:r>
</w:p>
<w:p>
<w:pPr><w:pStyle w:val="Normal"/></w:pPr>
<w:r><w:t xml:space="preserve">entered Glasgow Theological Academy under Ralph Wardlaw in</w:t></w:r>
</w:p>
<w:p>
<w:pPr><w:pStyle w:val="Normal"/></w:pPr>
<w:r><w:t xml:space="preserve">September 1827, but in December of the same year he left</w:t></w:r>
</w:p>
<w:p>
<w:pPr><w:pStyle w:val="Normal"/></w:pPr>
<w:r><w:t xml:space="preserve">to become classical tutor at the Blackburn Theological</w:t></w:r>
</w:p>
<w:p>
<w:pPr><w:pStyle w:val="Normal"/></w:pPr>
<w:r><w:t xml:space="preserve">Academy (afterwards the Lancashire Independent College).</w:t></w:r>
</w:p>
<w:p>
<w:pPr><w:pStyle w:val="Normal"/></w:pPr>
<w:r><w:t xml:space="preserve">At Blackburn he stayed till 1831, lecturing on biblical</w:t></w:r>
</w:p>
<w:p>
<w:pPr><w:pStyle w:val="Normal"/></w:pPr>
<w:r><w:t xml:space="preserve">literature, metaphysics, Greek and Latin.  After short visits</w:t></w:r>
</w:p>
<w:p>
<w:pPr><w:pStyle w:val="Normal"/></w:pPr>
<w:r><w:t xml:space="preserve">to Germany and London he was invited in November 1834 to</w:t></w:r>
</w:p>
<w:p>
<w:pPr><w:pStyle w:val="Normal"/></w:pPr>
<w:r><w:t xml:space="preserve">become minister of North College Street church (afterwards</w:t></w:r>
</w:p>
<w:p>
<w:pPr><w:pStyle w:val="Normal"/></w:pPr>
<w:r><w:t xml:space="preserve">Argyle Square), Edinburgh, an independent church which had</w:t></w:r>
</w:p>
<w:p>
<w:pPr><w:pStyle w:val="Normal"/></w:pPr>
<w:r><w:t xml:space="preserve">arisen out of the evangelical movement associated with the</w:t></w:r>
</w:p>
<w:p>
<w:pPr><w:pStyle w:val="Normal"/></w:pPr>
<w:r><w:t xml:space="preserve">Haldanes.  He deliberately put aside the ambition to become a</w:t></w:r>
</w:p>
<w:p>
<w:pPr><w:pStyle w:val="Normal"/></w:pPr>
<w:r><w:t xml:space="preserve">pulpit orator in favour of the practice of biblical exposition,</w:t></w:r>
</w:p>
<w:p>
<w:pPr><w:pStyle w:val="Normal"/></w:pPr>
<w:r><w:t xml:space="preserve">which he invested with a singular charm and impressiveness.</w:t></w:r>
</w:p>
<w:p>
<w:pPr><w:pStyle w:val="Normal"/></w:pPr>
<w:r><w:t xml:space="preserve">In 1836 he became one of the editors of the Congregational</w:t></w:r>
</w:p>
<w:p>
<w:pPr><w:pStyle w:val="Normal"/></w:pPr>
<w:r><w:t xml:space="preserve">Magazine, to which he contributed articles on biblical</w:t></w:r>
</w:p>
<w:p>
<w:pPr><w:pStyle w:val="Normal"/></w:pPr>
<w:r><w:t xml:space="preserve">literature and theology and on the ``voluntary&apos;&apos; controversy.</w:t></w:r>
</w:p>
<w:p>
<w:pPr><w:pStyle w:val="Normal"/></w:pPr>
<w:r><w:t xml:space="preserve">In 1840 he delivered the Congregational Lecture in London on</w:t></w:r>
</w:p>
<w:p>
<w:pPr><w:pStyle w:val="Normal"/></w:pPr>
<w:r><w:t xml:space="preserve">the ``Connexion and Harmony of the Old and New Testaments.&apos;&apos;</w:t></w:r>
</w:p>
<w:p>
<w:pPr><w:pStyle w:val="Normal"/></w:pPr>
<w:r><w:t xml:space="preserve">Alexander took an active part in the ``voluntary&apos;&apos; controversy</w:t></w:r>
</w:p>
<w:p>
<w:pPr><w:pStyle w:val="Normal"/></w:pPr>
<w:r><w:t xml:space="preserve">which ended in the Disruption, but he also maintained</w:t></w:r>
</w:p>
<w:p>
<w:pPr><w:pStyle w:val="Normal"/></w:pPr>
<w:r><w:t xml:space="preserve">broad and catholic views of the spiritual relations between</w:t></w:r>
</w:p>
<w:p>
<w:pPr><w:pStyle w:val="Normal"/></w:pPr>
<w:r><w:t xml:space="preserve">different sections of the Christian church.  In 1845 he</w:t></w:r>
</w:p>
<w:p>
<w:pPr><w:pStyle w:val="Normal"/></w:pPr>
<w:r><w:t xml:space="preserve">visited Switzerland with the special object of inquiring into</w:t></w:r>
</w:p>
<w:p>
<w:pPr><w:pStyle w:val="Normal"/></w:pPr>
<w:r><w:t xml:space="preserve">the religious life of the churches there.  He published an</w:t></w:r>
</w:p>
<w:p>
<w:pPr><w:pStyle w:val="Normal"/></w:pPr>
<w:r><w:t xml:space="preserve">account of his journey in a book, Switzerland and the Swiss</w:t></w:r>
</w:p>
<w:p>
<w:pPr><w:pStyle w:val="Normal"/></w:pPr>
<w:r><w:t xml:space="preserve">Churches, which led to an interchange of correspondence</w:t></w:r>
</w:p>
<w:p>
<w:pPr><w:pStyle w:val="Normal"/></w:pPr>
<w:r><w:t xml:space="preserve">between the Swiss and Scottish churches.  In 1845 he received</w:t></w:r>
</w:p>
<w:p>
<w:pPr><w:pStyle w:val="Normal"/></w:pPr>
<w:r><w:t xml:space="preserve">the degree of D.D. from the university of St Andrews.  In 1861</w:t></w:r>
</w:p>
<w:p>
<w:pPr><w:pStyle w:val="Normal"/></w:pPr>
<w:r><w:t xml:space="preserve">he undertook the editorship of the third edition of Kitto&apos;s</w:t></w:r>
</w:p>
<w:p>
<w:pPr><w:pStyle w:val="Normal"/></w:pPr>
<w:r><w:t xml:space="preserve">Biblical Encyclopaedia with the understanding that the whole</w:t></w:r>
</w:p>
<w:p>
<w:pPr><w:pStyle w:val="Normal"/></w:pPr>
<w:r><w:t xml:space="preserve">work should be thoroughly revised and brought up to date.  In</w:t></w:r>
</w:p>
<w:p>
<w:pPr><w:pStyle w:val="Normal"/></w:pPr>
<w:r><w:t xml:space="preserve">January 1870 he became one of the committee of Old Testament</w:t></w:r>
</w:p>
<w:p>
<w:pPr><w:pStyle w:val="Normal"/></w:pPr>
<w:r><w:t xml:space="preserve">revisers, and by his thorough biblical scholarship rendered</w:t></w:r>
</w:p>
<w:p>
<w:pPr><w:pStyle w:val="Normal"/></w:pPr>
<w:r><w:t xml:space="preserve">exceptional service to the board; he enjoyed the work and</w:t></w:r>
</w:p>
<w:p>
<w:pPr><w:pStyle w:val="Normal"/></w:pPr>
<w:r><w:t xml:space="preserve">devoted much time to it for the next fourteen years.  In 1877 he</w:t></w:r>
</w:p>
<w:p>
<w:pPr><w:pStyle w:val="Normal"/></w:pPr>
<w:r><w:t xml:space="preserve">became principal of the Edinburgh Theological Hall, a position</w:t></w:r>
</w:p>
<w:p>
<w:pPr><w:pStyle w:val="Normal"/></w:pPr>
<w:r><w:t xml:space="preserve">which he held, in spite of many tempting offers of preferment</w:t></w:r>
</w:p>
<w:p>
<w:pPr><w:pStyle w:val="Normal"/></w:pPr>
<w:r><w:t xml:space="preserve">elsewhere, until his death on the 20th of December 1884.</w:t></w:r>
</w:p>
<w:p>
<w:pPr><w:pStyle w:val="Normal"/></w:pPr>
<w:r><w:t xml:space="preserve">See his Life and Work by James Ross (1887). (D. Mn.)</w:t></w:r>
</w:p>
<w:p>
<w:pPr><w:pStyle w:val="Normal"/></w:pPr>
<w:r><w:t xml:space="preserve">ALEXANDER AETOLUS, of Pleuron in Aetolia, Greek poet and</w:t></w:r>
</w:p>
<w:p>
<w:pPr><w:pStyle w:val="Normal"/></w:pPr>
<w:r><w:t xml:space="preserve">man of letters, the only representative of Aetolian poetry,</w:t></w:r>
</w:p>
<w:p>
<w:pPr><w:pStyle w:val="Normal"/></w:pPr>
<w:r><w:t xml:space="preserve">flourished about 280 B.C. When living in Alexandria he was</w:t></w:r>
</w:p>
<w:p>
<w:pPr><w:pStyle w:val="Normal"/></w:pPr>
<w:r><w:t xml:space="preserve">commissioned by Ptolemy Philadelphus to arrange the tragedies</w:t></w:r>
</w:p>
<w:p>
<w:pPr><w:pStyle w:val="Normal"/></w:pPr>
<w:r><w:t xml:space="preserve">and satyric dramas in the library; some ten years later he</w:t></w:r>
</w:p>
<w:p>
<w:pPr><w:pStyle w:val="Normal"/></w:pPr>
<w:r><w:t xml:space="preserve">took up his residence at the court of Antigonus Gonatas,</w:t></w:r>
</w:p>
<w:p>
<w:pPr><w:pStyle w:val="Normal"/></w:pPr>
<w:r><w:t xml:space="preserve">king of Macedonia.  His reputation as a tragic poet was so</w:t></w:r>
</w:p>
<w:p>
<w:pPr><w:pStyle w:val="Normal"/></w:pPr>
<w:r><w:t xml:space="preserve">high that he was allotted a place in the Alexandrian tragic</w:t></w:r>
</w:p>
<w:p>
<w:pPr><w:pStyle w:val="Normal"/></w:pPr>
<w:r><w:t xml:space="preserve">Pleiad; we only know the title of one play (Astragalistae.)</w:t></w:r>
</w:p>
<w:p>
<w:pPr><w:pStyle w:val="Normal"/></w:pPr>
<w:r><w:t xml:space="preserve">He also wrote short epics, epigrams and elegies, the</w:t></w:r>
</w:p>
<w:p>
<w:pPr><w:pStyle w:val="Normal"/></w:pPr>
<w:r><w:t xml:space="preserve">considerable fragments of which show learning and eloquence.</w:t></w:r>
</w:p>
<w:p>
<w:pPr><w:pStyle w:val="Normal"/></w:pPr>
<w:r><w:t xml:space="preserve">Meineke, Analecta Alexandrina (1853); Bergk, Poetae</w:t></w:r>
</w:p>
<w:p>
<w:pPr><w:pStyle w:val="Normal"/></w:pPr>
<w:r><w:t xml:space="preserve">Lyrioi Graeci; Couat, La Poesie alexandrine (1882).</w:t></w:r>
</w:p>
<w:p>
<w:pPr><w:pStyle w:val="Normal"/></w:pPr>
<w:r><w:t xml:space="preserve">ALEXANDER BALAS (i.e. ``lord&apos;&apos;), ruler of the Greek kingdom</w:t></w:r>
</w:p>
<w:p>
<w:pPr><w:pStyle w:val="Normal"/></w:pPr>
<w:r><w:t xml:space="preserve">of Syria 150-146 B.C., was a native of Smyrna of humble</w:t></w:r>
</w:p>
<w:p>
<w:pPr><w:pStyle w:val="Normal"/></w:pPr>
<w:r><w:t xml:space="preserve">origin, but gave himself out to be the son of Antiochus IV.</w:t></w:r>
</w:p>
<w:p>
<w:pPr><w:pStyle w:val="Normal"/></w:pPr>
<w:r><w:t xml:space="preserve">Epiphanes and heir to the Syrian throne.  His claims were</w:t></w:r>
</w:p>
<w:p>
<w:pPr><w:pStyle w:val="Normal"/></w:pPr>
<w:r><w:t xml:space="preserve">recognized by the Roman senate, Ptolemy Philometor of Egypt</w:t></w:r>
</w:p>
<w:p>
<w:pPr><w:pStyle w:val="Normal"/></w:pPr>
<w:r><w:t xml:space="preserve">and others.  At first unsuccessful, he finally defeated</w:t></w:r>
</w:p>
<w:p>
<w:pPr><w:pStyle w:val="Normal"/></w:pPr>
<w:r><w:t xml:space="preserve">the reigning king Demetrius Soter in 150 B.C. Being now</w:t></w:r>
</w:p>
<w:p>
<w:pPr><w:pStyle w:val="Normal"/></w:pPr>
<w:r><w:t xml:space="preserve">undisputed master of Syria, he abandoned himself to a life of</w:t></w:r>
</w:p>
<w:p>
<w:pPr><w:pStyle w:val="Normal"/></w:pPr>
<w:r><w:t xml:space="preserve">debauchery.  Demetrius Soter&apos;s son profited by the opportunity</w:t></w:r>
</w:p>
<w:p>
<w:pPr><w:pStyle w:val="Normal"/></w:pPr>
<w:r><w:t xml:space="preserve">to regain the throne.  Ptolemy Philometor, who was Alexander&apos;s</w:t></w:r>
</w:p>
<w:p>
<w:pPr><w:pStyle w:val="Normal"/></w:pPr>
<w:r><w:t xml:space="preserve">father-in-law, went over to his side, and Alexander was defeated</w:t></w:r>
</w:p>
<w:p>
<w:pPr><w:pStyle w:val="Normal"/></w:pPr>
<w:r><w:t xml:space="preserve">in a pitched battle near Antioch in Syria.  He fled for refuge</w:t></w:r>
</w:p>
<w:p>
<w:pPr><w:pStyle w:val="Normal"/></w:pPr>
<w:r><w:t xml:space="preserve">to a Nabataean prince, who murdered him and sent his head to</w:t></w:r>
</w:p>
<w:p>
<w:pPr><w:pStyle w:val="Normal"/></w:pPr>
<w:r><w:t xml:space="preserve">Ptolemy, who had been mortally wounded in the engagement.</w:t></w:r>
</w:p>
<w:p>
<w:pPr><w:pStyle w:val="Normal"/></w:pPr>
<w:r><w:t xml:space="preserve">See 1 Maccab. 10 ff.; Justin xxxv. 1 and 2; Josephus,</w:t></w:r>
</w:p>
<w:p>
<w:pPr><w:pStyle w:val="Normal"/></w:pPr>
<w:r><w:t xml:space="preserve">Antiq. xiii. 2; Appian, Sir. 67; Polybius xxxiii. 14.</w:t></w:r>
</w:p>
<w:p>
<w:pPr><w:pStyle w:val="Normal"/></w:pPr>
<w:r><w:t xml:space="preserve">ALEXANDER CORNELIUS, Greek grammarian, surnamed POLYHISTOR</w:t></w:r>
</w:p>
<w:p>
<w:pPr><w:pStyle w:val="Normal"/></w:pPr>
<w:r><w:t xml:space="preserve">from his great learning, born at Miletus or Myndus in</w:t></w:r>
</w:p>
<w:p>
<w:pPr><w:pStyle w:val="Normal"/></w:pPr>
<w:r><w:t xml:space="preserve">Caria, flourished about 70 B.C. He was taken prisoner in</w:t></w:r>
</w:p>
<w:p>
<w:pPr><w:pStyle w:val="Normal"/></w:pPr>
<w:r><w:t xml:space="preserve">the Mithridatic war by Sulla, from whom (or from Cornelius</w:t></w:r>
</w:p>
<w:p>
<w:pPr><w:pStyle w:val="Normal"/></w:pPr>
<w:r><w:t xml:space="preserve">Lentulus) he received his freedom and assumed the name</w:t></w:r>
</w:p>
<w:p>
<w:pPr><w:pStyle w:val="Normal"/></w:pPr>
<w:r><w:t xml:space="preserve">Cornelius.  He accompanied Crassus on his Parthian</w:t></w:r>
</w:p>
<w:p>
<w:pPr><w:pStyle w:val="Normal"/></w:pPr>
<w:r><w:t xml:space="preserve">campaigns, and perished at the destruction by fire of his</w:t></w:r>
</w:p>
<w:p>
<w:pPr><w:pStyle w:val="Normal"/></w:pPr>
<w:r><w:t xml:space="preserve">house at Laurentum.  He is said to have written ``books</w:t></w:r>
</w:p>
<w:p>
<w:pPr><w:pStyle w:val="Normal"/></w:pPr>
<w:r><w:t xml:space="preserve">without number,&apos;&apos; chiefly on historical and geographical</w:t></w:r>
</w:p>
<w:p>
<w:pPr><w:pStyle w:val="Normal"/></w:pPr>
<w:r><w:t xml:space="preserve">subjects.  Of the extant fragments (Muller, Fragmenta</w:t></w:r>
</w:p>
<w:p>
<w:pPr><w:pStyle w:val="Normal"/></w:pPr>
<w:r><w:t xml:space="preserve">Historicorum Graecorum, iii:) those relating to the Jews are</w:t></w:r>
</w:p>
<w:p>
<w:pPr><w:pStyle w:val="Normal"/></w:pPr>
<w:r><w:t xml:space="preserve">important as containing quotations from lost Jewish authors.</w:t></w:r>
</w:p>
<w:p>
<w:pPr><w:pStyle w:val="Normal"/></w:pPr>
<w:r><w:t xml:space="preserve">ALEXANDER JANNAEUS, king of the Jews, succeeded his brother</w:t></w:r>
</w:p>
<w:p>
<w:pPr><w:pStyle w:val="Normal"/></w:pPr>
<w:r><w:t xml:space="preserve">Aristobulus in 103 B.C. and died in 76 B.C. His first act</w:t></w:r>
</w:p>
<w:p>
<w:pPr><w:pStyle w:val="Normal"/></w:pPr>
<w:r><w:t xml:space="preserve">was the murder of one of his brothers who claimed the throne,</w:t></w:r>
</w:p>
<w:p>
<w:pPr><w:pStyle w:val="Normal"/></w:pPr>
<w:r><w:t xml:space="preserve">and his reign was disgraced by the cruelties that he perpetrated</w:t></w:r>
</w:p>
<w:p>
<w:pPr><w:pStyle w:val="Normal"/></w:pPr>
<w:r><w:t xml:space="preserve">in order to retain his position. (See JEWS and PHARISEES.)</w:t></w:r>
</w:p>
<w:p>
<w:pPr><w:pStyle w:val="Normal"/></w:pPr>
<w:r><w:t xml:space="preserve">ALEXANDER NEVSKY, SAINT (1220-1263), grand-duke of Vladimir,</w:t></w:r>
</w:p>
<w:p>
<w:pPr><w:pStyle w:val="Normal"/></w:pPr>
<w:r><w:t xml:space="preserve">was the second son of the grand-duke Yaroslav.  His childhood</w:t></w:r>
</w:p>
<w:p>
<w:pPr><w:pStyle w:val="Normal"/></w:pPr>
<w:r><w:t xml:space="preserve">and youth were spent at Great Novgorod, whither his father</w:t></w:r>
</w:p>
<w:p>
<w:pPr><w:pStyle w:val="Normal"/></w:pPr>
<w:r><w:t xml:space="preserve">sent him to rule (1228) with some guardian boyars.  In 1239</w:t></w:r>
</w:p>
<w:p>
<w:pPr><w:pStyle w:val="Normal"/></w:pPr>
<w:r><w:t xml:space="preserve">he married Alexandra, daughter of Prince Bryachislav of</w:t></w:r>
</w:p>
<w:p>
<w:pPr><w:pStyle w:val="Normal"/></w:pPr>
<w:r><w:t xml:space="preserve">Polotsk.  At an early age he distinguished himself in</w:t></w:r>
</w:p>
<w:p>
<w:pPr><w:pStyle w:val="Normal"/></w:pPr>
<w:r><w:t xml:space="preserve">constant warfare with the Germans, Swedes and Lithuanians,</w:t></w:r>
</w:p>
<w:p>
<w:pPr><w:pStyle w:val="Normal"/></w:pPr>
<w:r><w:t xml:space="preserve">who tried to wrest Novgorod and Pskov from Russia while she</w:t></w:r>
</w:p>
<w:p>
<w:pPr><w:pStyle w:val="Normal"/></w:pPr>
<w:r><w:t xml:space="preserve">was still suffering from the effects of the terrible Tatar</w:t></w:r>
</w:p>
<w:p>
<w:pPr><w:pStyle w:val="Normal"/></w:pPr>
<w:r><w:t xml:space="preserve">invasion.  The most notable of these battles, whereby he</w:t></w:r>
</w:p>
<w:p>
<w:pPr><w:pStyle w:val="Normal"/></w:pPr>
<w:r><w:t xml:space="preserve">won his honorific epithet of Nevsky (i.e. of the Neva),</w:t></w:r>
</w:p>
<w:p>
<w:pPr><w:pStyle w:val="Normal"/></w:pPr>
<w:r><w:t xml:space="preserve">was fought on the banks of the Neva (July 15 1240) against</w:t></w:r>
</w:p>
<w:p>
<w:pPr><w:pStyle w:val="Normal"/></w:pPr>
<w:r><w:t xml:space="preserve">the famous Swedish statesman, Birger Jarl, whom he utterly</w:t></w:r>
</w:p>
<w:p>
<w:pPr><w:pStyle w:val="Normal"/></w:pPr>
<w:r><w:t xml:space="preserve">defeated, besides wounding him with his lance.  In the following</w:t></w:r>
</w:p>
<w:p>
<w:pPr><w:pStyle w:val="Normal"/></w:pPr>
<w:r><w:t xml:space="preserve">year the Teutonic Order, in conjunction with the Order of the</w:t></w:r>
</w:p>
<w:p>
<w:pPr><w:pStyle w:val="Normal"/></w:pPr>
<w:r><w:t xml:space="preserve">Sword, succeeded in capturing Pskov; but Alexander recovered</w:t></w:r>
</w:p>
<w:p>
<w:pPr><w:pStyle w:val="Normal"/></w:pPr>
<w:r><w:t xml:space="preserve">it in 1242, advanced into Livonia, and on the 5th of April</w:t></w:r>
</w:p>
<w:p>
<w:pPr><w:pStyle w:val="Normal"/></w:pPr>
<w:r><w:t xml:space="preserve">defeated the knights on the ice of Lake Peipus and compelled</w:t></w:r>
</w:p>
<w:p>
<w:pPr><w:pStyle w:val="Normal"/></w:pPr>
<w:r><w:t xml:space="preserve">them in the ensuing peace to renounce all their conquests.</w:t></w:r>
</w:p>
<w:p>
<w:pPr><w:pStyle w:val="Normal"/></w:pPr>
<w:r><w:t xml:space="preserve">He also prevented the Swedes (in 1256) from settling in South</w:t></w:r>
</w:p>
<w:p>
<w:pPr><w:pStyle w:val="Normal"/></w:pPr>
<w:r><w:t xml:space="preserve">Finland.  On the death of his father (1246) Alexander and</w:t></w:r>
</w:p>
<w:p>
<w:pPr><w:pStyle w:val="Normal"/></w:pPr>
<w:r><w:t xml:space="preserve">his younger brother Andrew went on a two years&apos; journey</w:t></w:r>
</w:p>
<w:p>
<w:pPr><w:pStyle w:val="Normal"/></w:pPr>
<w:r><w:t xml:space="preserve">into Mongolia to obtain their yarluiki, or letters of</w:t></w:r>
</w:p>
<w:p>
<w:pPr><w:pStyle w:val="Normal"/></w:pPr>
<w:r><w:t xml:space="preserve">investiture, from the Grand Khan, who then disposed of the</w:t></w:r>
</w:p>
<w:p>
<w:pPr><w:pStyle w:val="Normal"/></w:pPr>
<w:r><w:t xml:space="preserve">fate of all the Russian princes.  He returned (1250) as</w:t></w:r>
</w:p>
<w:p>
<w:pPr><w:pStyle w:val="Normal"/></w:pPr>
<w:r><w:t xml:space="preserve">grand-duke of Kiev and Novgorod, while to Andrew was given</w:t></w:r>
</w:p>
<w:p>
<w:pPr><w:pStyle w:val="Normal"/></w:pPr>
<w:r><w:t xml:space="preserve">the far more important grand- duchy of Vladimir.  In 1252,</w:t></w:r>
</w:p>
<w:p>
<w:pPr><w:pStyle w:val="Normal"/></w:pPr>
<w:r><w:t xml:space="preserve">however, the Tatars themselves expelled Andrew and placed</w:t></w:r>
</w:p>
<w:p>
<w:pPr><w:pStyle w:val="Normal"/></w:pPr>
<w:r><w:t xml:space="preserve">Alexander on the throne of Vladimir.  Alexander henceforth</w:t></w:r>
</w:p>
<w:p>
<w:pPr><w:pStyle w:val="Normal"/></w:pPr>
<w:r><w:t xml:space="preserve">did his best for his country by humbling himself before the</w:t></w:r>
</w:p>
<w:p>
<w:pPr><w:pStyle w:val="Normal"/></w:pPr>
<w:r><w:t xml:space="preserve">Tatars so as to give them no pretext for ravaging the land</w:t></w:r>
</w:p>
<w:p>
<w:pPr><w:pStyle w:val="Normal"/></w:pPr>
<w:r><w:t xml:space="preserve">again.  Most of his spare money he devoted to the ransoming</w:t></w:r>
</w:p>
<w:p>
<w:pPr><w:pStyle w:val="Normal"/></w:pPr>
<w:r><w:t xml:space="preserve">of the numerous Russian captives detained at the Golden</w:t></w:r>
</w:p>
<w:p>
<w:pPr><w:pStyle w:val="Normal"/></w:pPr>
<w:r><w:t xml:space="preserve">Horde.  But the men of Novgorod, in their semi-independent</w:t></w:r>
</w:p>
<w:p>
<w:pPr><w:pStyle w:val="Normal"/></w:pPr>
<w:r><w:t xml:space="preserve">republic, continued (1255-1257) to give the grand-duke</w:t></w:r>
</w:p>
<w:p>
<w:pPr><w:pStyle w:val="Normal"/></w:pPr>
<w:r><w:t xml:space="preserve">trouble, their chief grievance being the imposition of a Tatar</w:t></w:r>
</w:p>
<w:p>
<w:pPr><w:pStyle w:val="Normal"/></w:pPr>
<w:r><w:t xml:space="preserve">tribute, which they only submitted to in 1259 on the rumour</w:t></w:r>
</w:p>
<w:p>
<w:pPr><w:pStyle w:val="Normal"/></w:pPr>
<w:r><w:t xml:space="preserve">of an impending Tatar invasion.  In 1262 the Tatar tribute</w:t></w:r>
</w:p>
<w:p>
<w:pPr><w:pStyle w:val="Normal"/></w:pPr>
<w:r><w:t xml:space="preserve">was felt so grievously all over Russia that preparations</w:t></w:r>
</w:p>
<w:p>
<w:pPr><w:pStyle w:val="Normal"/></w:pPr>
<w:r><w:t xml:space="preserve">were made for a general insurrection, and Alexander, who knew</w:t></w:r>
</w:p>
<w:p>
<w:pPr><w:pStyle w:val="Normal"/></w:pPr>
<w:r><w:t xml:space="preserve">that an abortive rebellion would make the yoke heavier, was</w:t></w:r>
</w:p>
<w:p>
<w:pPr><w:pStyle w:val="Normal"/></w:pPr>
<w:r><w:t xml:space="preserve">obliged to go to the Horde in person to prevent the Tatars</w:t></w:r>
</w:p>
<w:p>
<w:pPr><w:pStyle w:val="Normal"/></w:pPr>
<w:r><w:t xml:space="preserve">from again attacking Russia.  He stayed at Sarai, their Volgan</w:t></w:r>
</w:p>
<w:p>
<w:pPr><w:pStyle w:val="Normal"/></w:pPr>
<w:r><w:t xml:space="preserve">capital, all the Winter, and not only succeeded in obtaining</w:t></w:r>
</w:p>
<w:p>
<w:pPr><w:pStyle w:val="Normal"/></w:pPr>
<w:r><w:t xml:space="preserve">a mitigation of the tribute, but also the abolition of the</w:t></w:r>
</w:p>
<w:p>
<w:pPr><w:pStyle w:val="Normal"/></w:pPr>
<w:r><w:t xml:space="preserve">military service previously rendered by the Russians to the</w:t></w:r>
</w:p>
<w:p>
<w:pPr><w:pStyle w:val="Normal"/></w:pPr>
<w:r><w:t xml:space="preserve">Tatars.  This was his last service to his country.  He died</w:t></w:r>
</w:p>
<w:p>
<w:pPr><w:pStyle w:val="Normal"/></w:pPr>
<w:r><w:t xml:space="preserve">on his way home from the Horde, and in the words of his</w:t></w:r>
</w:p>
<w:p>
<w:pPr><w:pStyle w:val="Normal"/></w:pPr>
<w:r><w:t xml:space="preserve">contemporary, the metropolitan Cyril, ``with him the sun</w:t></w:r>
</w:p>
<w:p>
<w:pPr><w:pStyle w:val="Normal"/></w:pPr>
<w:r><w:t xml:space="preserve">of Russia set.&apos;&apos; The Orthodox Church has canonized the</w:t></w:r>
</w:p>
<w:p>
<w:pPr><w:pStyle w:val="Normal"/></w:pPr>
<w:r><w:t xml:space="preserve">ruler who gave his whole life for Russia and the Orthodox</w:t></w:r>
</w:p>
<w:p>
<w:pPr><w:pStyle w:val="Normal"/></w:pPr>
<w:r><w:t xml:space="preserve">faith.  His relics, discovered in 1380, were in 1724</w:t></w:r>
</w:p>
<w:p>
<w:pPr><w:pStyle w:val="Normal"/></w:pPr>
<w:r><w:t xml:space="preserve">translated by Peter the Great from Vladimir to St Petersburg.</w:t></w:r>
</w:p>
<w:p>
<w:pPr><w:pStyle w:val="Normal"/></w:pPr>
<w:r><w:t xml:space="preserve">See Sergyei Mikhailovich Solovev, History of Russia</w:t></w:r>
</w:p>
<w:p>
<w:pPr><w:pStyle w:val="Normal"/></w:pPr>
<w:r><w:t xml:space="preserve">(Rus., 2nd ed., St Petersburg, 1897, vol. 3). (R. N. B.)</w:t></w:r>
</w:p>
<w:p>
<w:pPr><w:pStyle w:val="Normal"/></w:pPr>
<w:r><w:t xml:space="preserve">ALEXANDER OF APHRODISIAS, pupil of Aristocles of Messene, the</w:t></w:r>
</w:p>
<w:p>
<w:pPr><w:pStyle w:val="Normal"/></w:pPr>
<w:r><w:t xml:space="preserve">most celebrated of the Greek commentators on the writings of</w:t></w:r>
</w:p>
<w:p>
<w:pPr><w:pStyle w:val="Normal"/></w:pPr>
<w:r><w:t xml:space="preserve">Aristotle, and styled, by way of pre-eminence, o exegetes (``the</w:t></w:r>
</w:p>
<w:p>
<w:pPr><w:pStyle w:val="Normal"/></w:pPr>
<w:r><w:t xml:space="preserve">expositor&apos;&apos;), was a native of Aphrodisias in Caria.  He came</w:t></w:r>
</w:p>
<w:p>
<w:pPr><w:pStyle w:val="Normal"/></w:pPr>
<w:r><w:t xml:space="preserve">to Athens towards the end of the 2nd century A.D., became</w:t></w:r>
</w:p>
<w:p>
<w:pPr><w:pStyle w:val="Normal"/></w:pPr>
<w:r><w:t xml:space="preserve">head of the Lyceum and lectured on peripatetic philosophy.  The</w:t></w:r>
</w:p>
<w:p>
<w:pPr><w:pStyle w:val="Normal"/></w:pPr>
<w:r><w:t xml:space="preserve">object of his work was to free the doctrine from the syncretism</w:t></w:r>
</w:p>
<w:p>
<w:pPr><w:pStyle w:val="Normal"/></w:pPr>
<w:r><w:t xml:space="preserve">of Ammonius and to reproduce the pure doctrine of Aristotle.</w:t></w:r>
</w:p>
<w:p>
<w:pPr><w:pStyle w:val="Normal"/></w:pPr>
<w:r><w:t xml:space="preserve">Commentaries by Alexander on the following works of Aristotle</w:t></w:r>
</w:p>
<w:p>
<w:pPr><w:pStyle w:val="Normal"/></w:pPr>
<w:r><w:t xml:space="preserve">are still extant:--the Analytica Priora, i.; the Topica;</w:t></w:r>
</w:p>
<w:p>
<w:pPr><w:pStyle w:val="Normal"/></w:pPr>
<w:r><w:t xml:space="preserve">the Meteorologica; the De Sensu; and the Metaphysica,</w:t></w:r>
</w:p>
<w:p>
<w:pPr><w:pStyle w:val="Normal"/></w:pPr>
<w:r><w:t xml:space="preserve">i.-v., together with an abridgment of what he wrote on the</w:t></w:r>
</w:p>
<w:p>
<w:pPr><w:pStyle w:val="Normal"/></w:pPr>
<w:r><w:t xml:space="preserve">remaining books of the Metaphysica. His commentaries were</w:t></w:r>
</w:p>
<w:p>
<w:pPr><w:pStyle w:val="Normal"/></w:pPr>
<w:r><w:t xml:space="preserve">greatly esteemed among the Arabians, who translated many of</w:t></w:r>
</w:p>
<w:p>
<w:pPr><w:pStyle w:val="Normal"/></w:pPr>
<w:r><w:t xml:space="preserve">them.  There are also several original writings by Alexander still</w:t></w:r>
</w:p>
<w:p>
<w:pPr><w:pStyle w:val="Normal"/></w:pPr>
<w:r><w:t xml:space="preserve">extant.  The most important of these are a work On Fate, in</w:t></w:r>
</w:p>
<w:p>
<w:pPr><w:pStyle w:val="Normal"/></w:pPr>
<w:r><w:t xml:space="preserve">which he argues against the Stoic doctrine of necessity; and</w:t></w:r>
</w:p>
<w:p>
<w:pPr><w:pStyle w:val="Normal"/></w:pPr>
<w:r><w:t xml:space="preserve">one On the Soul, in which he contends that the undeveloped</w:t></w:r>
</w:p>
<w:p>
<w:pPr><w:pStyle w:val="Normal"/></w:pPr>
<w:r><w:t xml:space="preserve">reason in man is material (nous ulikos) and inseparable</w:t></w:r>
</w:p>
<w:p>
<w:pPr><w:pStyle w:val="Normal"/></w:pPr>
<w:r><w:t xml:space="preserve">from the body.  He argued strongly against the doctrine of</w:t></w:r>
</w:p>
<w:p>
<w:pPr><w:pStyle w:val="Normal"/></w:pPr>
<w:r><w:t xml:space="preserve">immortality.  He identified the active intellect (nous</w:t></w:r>
</w:p>
<w:p>
<w:pPr><w:pStyle w:val="Normal"/></w:pPr>
<w:r><w:t xml:space="preserve">poietikos), through whose agency the potential intellect</w:t></w:r>
</w:p>
<w:p>
<w:pPr><w:pStyle w:val="Normal"/></w:pPr>
<w:r><w:t xml:space="preserve">in man becomes actual, with God. Several of Alexander&apos;s works</w:t></w:r>
</w:p>
<w:p>
<w:pPr><w:pStyle w:val="Normal"/></w:pPr>
<w:r><w:t xml:space="preserve">were published in the Aldine edition of Aristotle, Venice,</w:t></w:r>
</w:p>
<w:p>
<w:pPr><w:pStyle w:val="Normal"/></w:pPr>
<w:r><w:t xml:space="preserve">1495-1498; his De Fato and De Anima were printed along</w:t></w:r>
</w:p>
<w:p>
<w:pPr><w:pStyle w:val="Normal"/></w:pPr>
<w:r><w:t xml:space="preserve">with the works of Themistius at Venice (1534); the former</w:t></w:r>
</w:p>
<w:p>
<w:pPr><w:pStyle w:val="Normal"/></w:pPr>
<w:r><w:t xml:space="preserve">work, which has been translated into Latin by Grotius and also</w:t></w:r>
</w:p>
<w:p>
<w:pPr><w:pStyle w:val="Normal"/></w:pPr>
<w:r><w:t xml:space="preserve">by Schulthess, was edited by J. C. Orelli, Zurich, 1824; and</w:t></w:r>
</w:p>
<w:p>
<w:pPr><w:pStyle w:val="Normal"/></w:pPr>
<w:r><w:t xml:space="preserve">his commentaries on the Metaphysica by H. Bonitz, Berlin,</w:t></w:r>
</w:p>
<w:p>
<w:pPr><w:pStyle w:val="Normal"/></w:pPr>
<w:r><w:t xml:space="preserve">1847.  J. Nourisson has treated of his doctrine of fate (De</w:t></w:r>
</w:p>
<w:p>
<w:pPr><w:pStyle w:val="Normal"/></w:pPr>
<w:r><w:t xml:space="preserve">la liberte et du hazard, Paris, 1870).  In the early</w:t></w:r>
</w:p>
<w:p>
<w:pPr><w:pStyle w:val="Normal"/></w:pPr>
<w:r><w:t xml:space="preserve">Renaissance his doctrine of the soul&apos;s mortality was adopted</w:t></w:r>
</w:p>
<w:p>
<w:pPr><w:pStyle w:val="Normal"/></w:pPr>
<w:r><w:t xml:space="preserve">by F. Pomponazzi against the Thomists and the Averroists.</w:t></w:r>
</w:p>
<w:p>
<w:pPr><w:pStyle w:val="Normal"/></w:pPr>
<w:r><w:t xml:space="preserve">See PERIPATETICS (ad fin.); ALEXANDRISTS; POMPONAZZI, PIETRO;</w:t></w:r>
</w:p>
<w:p>
<w:pPr><w:pStyle w:val="Normal"/></w:pPr>
<w:r><w:t xml:space="preserve">also A. Apelt, ``Die Schrift d.  Alex. v.  Aphr.,&apos;&apos; Philolegus,</w:t></w:r>
</w:p>
<w:p>
<w:pPr><w:pStyle w:val="Normal"/></w:pPr>
<w:r><w:t xml:space="preserve">xlv., 1886: C. Ruelle, ``Alex. d&apos;Aphr. et le pretendu Alex.</w:t></w:r>
</w:p>
<w:p>
<w:pPr><w:pStyle w:val="Normal"/></w:pPr>
<w:r><w:t xml:space="preserve">d&apos;Alexandrie,&apos;&apos; Rev. des etudes grecques, v., 1892; E.</w:t></w:r>
</w:p>
<w:p>
<w:pPr><w:pStyle w:val="Normal"/></w:pPr>
<w:r><w:t xml:space="preserve">Zeller&apos;s Outlines of Gk. Phil. (Eng. trans., ed. 1905, p. 296).</w:t></w:r>
</w:p>
<w:p>
<w:pPr><w:pStyle w:val="Normal"/></w:pPr>
<w:r><w:t xml:space="preserve">ALEXANDER OF HALES (ALEXANDER HALENSIS), surnamed DOCTOR</w:t></w:r>
</w:p>
<w:p>
<w:pPr><w:pStyle w:val="Normal"/></w:pPr>
<w:r><w:t xml:space="preserve">IRREFRAGABILIS, THEOLOGORUM MONARCHA and FONS VITAE, a</w:t></w:r>
</w:p>
<w:p>
<w:pPr><w:pStyle w:val="Normal"/></w:pPr>
<w:r><w:t xml:space="preserve">celebrated English theologian of the 13th century, was born in</w:t></w:r>
</w:p>
<w:p>
<w:pPr><w:pStyle w:val="Normal"/></w:pPr>
<w:r><w:t xml:space="preserve">Gloucestershire.  Trained in the monastery of Hales he was</w:t></w:r>
</w:p>
<w:p>
<w:pPr><w:pStyle w:val="Normal"/></w:pPr>
<w:r><w:t xml:space="preserve">early raised to an archdeaconry.  He went, like most of the</w:t></w:r>
</w:p>
<w:p>
<w:pPr><w:pStyle w:val="Normal"/></w:pPr>
<w:r><w:t xml:space="preserve">scholars of his day, to study at Paris, where he took the</w:t></w:r>
</w:p>
<w:p>
<w:pPr><w:pStyle w:val="Normal"/></w:pPr>
<w:r><w:t xml:space="preserve">degree of doctor and became celebrated as a teacher.  It is</w:t></w:r>
</w:p>
<w:p>
<w:pPr><w:pStyle w:val="Normal"/></w:pPr>
<w:r><w:t xml:space="preserve">generally held that he taught Bonaventura, Duns Scotus and</w:t></w:r>
</w:p>
<w:p>
<w:pPr><w:pStyle w:val="Normal"/></w:pPr>
<w:r><w:t xml:space="preserve">Thomas Aquinas, but a comparison of dates makes it clear</w:t></w:r>
</w:p>
<w:p>
<w:pPr><w:pStyle w:val="Normal"/></w:pPr>
<w:r><w:t xml:space="preserve">that the two latter could not have been his pupils and that</w:t></w:r>
</w:p>
<w:p>
<w:pPr><w:pStyle w:val="Normal"/></w:pPr>
<w:r><w:t xml:space="preserve">the statement about Bonaventura is open to doubt.  In 1222</w:t></w:r>
</w:p>
<w:p>
<w:pPr><w:pStyle w:val="Normal"/></w:pPr>
<w:r><w:t xml:space="preserve">(or 1231, see Denifle, Chartul.  Univers. Paris, Paris,</w:t></w:r>
</w:p>
<w:p>
<w:pPr><w:pStyle w:val="Normal"/></w:pPr>
<w:r><w:t xml:space="preserve">1889, i. 135) Alexander entered the order of Minorite Friars</w:t></w:r>
</w:p>
<w:p>
<w:pPr><w:pStyle w:val="Normal"/></w:pPr>
<w:r><w:t xml:space="preserve">and thenceforward lived in strict seclusion.  He refused,</w:t></w:r>
</w:p>
<w:p>
<w:pPr><w:pStyle w:val="Normal"/></w:pPr>
<w:r><w:t xml:space="preserve">however, to renounce his degree of doctor, and was the</w:t></w:r>
</w:p>
<w:p>
<w:pPr><w:pStyle w:val="Normal"/></w:pPr>
<w:r><w:t xml:space="preserve">first of his order who continued to bear that title after</w:t></w:r>
</w:p>
<w:p>
<w:pPr><w:pStyle w:val="Normal"/></w:pPr>
<w:r><w:t xml:space="preserve">initiation.  He died in 1245 and was buried in the convent</w:t></w:r>
</w:p>
<w:p>
<w:pPr><w:pStyle w:val="Normal"/></w:pPr>
<w:r><w:t xml:space="preserve">of the Cordeliers at Paris.  His most celebrated work was the</w:t></w:r>
</w:p>
<w:p>
<w:pPr><w:pStyle w:val="Normal"/></w:pPr>
<w:r><w:t xml:space="preserve">Summa Theologiae (Nuremberg, 1452; Venice, 1576; Cologne,</w:t></w:r>
</w:p>
<w:p>
<w:pPr><w:pStyle w:val="Normal"/></w:pPr>
<w:r><w:t xml:space="preserve">1611), undertaken by the orders of Pope Innocent IV. and</w:t></w:r>
</w:p>
<w:p>
<w:pPr><w:pStyle w:val="Normal"/></w:pPr>
<w:r><w:t xml:space="preserve">approved by Alexander IV., on the report of seventy learned</w:t></w:r>
</w:p>
<w:p>
<w:pPr><w:pStyle w:val="Normal"/></w:pPr>
<w:r><w:t xml:space="preserve">theologians, as a system of instruction for all the schools in</w:t></w:r>
</w:p>
<w:p>
<w:pPr><w:pStyle w:val="Normal"/></w:pPr>
<w:r><w:t xml:space="preserve">Christendom.  The form is that of question and answer,</w:t></w:r>
</w:p>
<w:p>
<w:pPr><w:pStyle w:val="Normal"/></w:pPr>
<w:r><w:t xml:space="preserve">and the method is rigidly scholastic.  Of small intrinsic</w:t></w:r>
</w:p>
<w:p>
<w:pPr><w:pStyle w:val="Normal"/></w:pPr>
<w:r><w:t xml:space="preserve">value, it is interesting partly as the first philosophical</w:t></w:r>
</w:p>
<w:p>
<w:pPr><w:pStyle w:val="Normal"/></w:pPr>
<w:r><w:t xml:space="preserve">contribution of the Franciscans who were afterwards to take</w:t></w:r>
</w:p>
<w:p>
<w:pPr><w:pStyle w:val="Normal"/></w:pPr>
<w:r><w:t xml:space="preserve">a prominent part in medieval thought (see SCHOLASTICISM),</w:t></w:r>
</w:p>
<w:p>
<w:pPr><w:pStyle w:val="Normal"/></w:pPr>
<w:r><w:t xml:space="preserve">and partly as the first work based on a knowledge of the</w:t></w:r>
</w:p>
<w:p>
<w:pPr><w:pStyle w:val="Normal"/></w:pPr>
<w:r><w:t xml:space="preserve">whole Aristotelian corpus and the Arabian commentators.</w:t></w:r>
</w:p>
<w:p>
<w:pPr><w:pStyle w:val="Normal"/></w:pPr>
<w:r><w:t xml:space="preserve">See Wadding, Script. ord. minor. (Rome, 1650); for his method</w:t></w:r>
</w:p>
<w:p>
<w:pPr><w:pStyle w:val="Normal"/></w:pPr>
<w:r><w:t xml:space="preserve">B. Haureau, Hist. de philos. scholast. (Paris, 1880); F.</w:t></w:r>
</w:p>
<w:p>
<w:pPr><w:pStyle w:val="Normal"/></w:pPr>
<w:r><w:t xml:space="preserve">Picavet, ``Abelard et A. de H.&apos;&apos; in the Bibliothieque de</w:t></w:r>
</w:p>
<w:p>
<w:pPr><w:pStyle w:val="Normal"/></w:pPr>
<w:r><w:t xml:space="preserve">l&apos;ecole des hautes-etudes (2nd series, Paris, 1896, pp.</w:t></w:r>
</w:p>
<w:p>
<w:pPr><w:pStyle w:val="Normal"/></w:pPr>
<w:r><w:t xml:space="preserve">222-230); Schwane, Dogmengesch. (Freiburg, 1882); A. Harnack,</w:t></w:r>
</w:p>
<w:p>
<w:pPr><w:pStyle w:val="Normal"/></w:pPr>
<w:r><w:t xml:space="preserve">Dogmengesch. (1890); J. Endres, ``Des A. von H. Leben und</w:t></w:r>
</w:p>
<w:p>
<w:pPr><w:pStyle w:val="Normal"/></w:pPr>
<w:r><w:t xml:space="preserve">psvchol.  Lehre&apos;&apos; in Philos.  Jahrb. (i. Fulda, 1888, pp. 24-55,</w:t></w:r>
</w:p>
<w:p>
<w:pPr><w:pStyle w:val="Normal"/></w:pPr>
<w:r><w:t xml:space="preserve">203-296): also Vacant&apos;s Dict. de theologie catholique, vol. i.</w:t></w:r>
</w:p>
<w:p>
<w:pPr><w:pStyle w:val="Normal"/></w:pPr>
<w:r><w:t xml:space="preserve">ALEXANDER OP TRALLES (ALEXANDER TRALLIANUS), Greek</w:t></w:r>
</w:p>
<w:p>
<w:pPr><w:pStyle w:val="Normal"/></w:pPr>
<w:r><w:t xml:space="preserve">physician, born at Tralles in Lydia, lived probably about the</w:t></w:r>
</w:p>
<w:p>
<w:pPr><w:pStyle w:val="Normal"/></w:pPr>
<w:r><w:t xml:space="preserve">middle of the 6th century and practised medicine with success at</w:t></w:r>
</w:p>
<w:p>
<w:pPr><w:pStyle w:val="Normal"/></w:pPr>
<w:r><w:t xml:space="preserve">Rome.  The Greek text of his Biblia iatrika was printed</w:t></w:r>
</w:p>
<w:p>
<w:pPr><w:pStyle w:val="Normal"/></w:pPr>
<w:r><w:t xml:space="preserve">at Paris in 1548 and his De Lumbricis at Venice in 1570.</w:t></w:r>
</w:p>
<w:p>
<w:pPr><w:pStyle w:val="Normal"/></w:pPr>
<w:r><w:t xml:space="preserve">See E. Milward, Trallianus Reviviscens (London, 1734).</w:t></w:r>
</w:p>
<w:p>
<w:pPr><w:pStyle w:val="Normal"/></w:pPr>
<w:r><w:t xml:space="preserve">ALEXANDER SEVERUS (MARCUS AURELIUS SEVERUS ALEXAXDER)</w:t></w:r>
</w:p>
<w:p>
<w:pPr><w:pStyle w:val="Normal"/></w:pPr>
<w:r><w:t xml:space="preserve">(208-235), Roman emperor from A.D. 222 to 235, was born</w:t></w:r>
</w:p>
<w:p>
<w:pPr><w:pStyle w:val="Normal"/></w:pPr>
<w:r><w:t xml:space="preserve">at Arca Caesarea in Palestine on the 1st of October 208. His</w:t></w:r>
</w:p>
<w:p>
<w:pPr><w:pStyle w:val="Normal"/></w:pPr>
<w:r><w:t xml:space="preserve">father, Gessius Marcianus, held office more than once as an</w:t></w:r>
</w:p>
<w:p>
<w:pPr><w:pStyle w:val="Normal"/></w:pPr>
<w:r><w:t xml:space="preserve">imperial procurator; his mother, Julia Mamaea, was the daughter</w:t></w:r>
</w:p>
<w:p>
<w:pPr><w:pStyle w:val="Normal"/></w:pPr>
<w:r><w:t xml:space="preserve">of Julia Maesa and the aunt of Heliogabalus.  His original name</w:t></w:r>
</w:p>
<w:p>
<w:pPr><w:pStyle w:val="Normal"/></w:pPr>
<w:r><w:t xml:space="preserve">was Bassianus, but he changed it in 221 when his grandmother,</w:t></w:r>
</w:p>
<w:p>
<w:pPr><w:pStyle w:val="Normal"/></w:pPr>
<w:r><w:t xml:space="preserve">Maesa, persuaded the emperor Heliogabalus to adopt his cousin</w:t></w:r>
</w:p>
<w:p>
<w:pPr><w:pStyle w:val="Normal"/></w:pPr>
<w:r><w:t xml:space="preserve">as successor and create him Caesar.  In the next year, on</w:t></w:r>
</w:p>
<w:p>
<w:pPr><w:pStyle w:val="Normal"/></w:pPr>
<w:r><w:t xml:space="preserve">the 11th of March, Heliogabalus was murdered, and Alexander</w:t></w:r>
</w:p>
<w:p>
<w:pPr><w:pStyle w:val="Normal"/></w:pPr>
<w:r><w:t xml:space="preserve">was proclaimed emperor by the Praetorians and accepted by the</w:t></w:r>
</w:p>
<w:p>
<w:pPr><w:pStyle w:val="Normal"/></w:pPr>
<w:r><w:t xml:space="preserve">senate.  He was then a mere lad, amiable, well-meaning, but</w:t></w:r>
</w:p>
<w:p>
<w:pPr><w:pStyle w:val="Normal"/></w:pPr>
<w:r><w:t xml:space="preserve">entirely under the dominion of his mother, a woman of many</w:t></w:r>
</w:p>
<w:p>
<w:pPr><w:pStyle w:val="Normal"/></w:pPr>
<w:r><w:t xml:space="preserve">virtues, who surrounded him with wise counsellors, watched</w:t></w:r>
</w:p>
<w:p>
<w:pPr><w:pStyle w:val="Normal"/></w:pPr>
<w:r><w:t xml:space="preserve">over the development of his character and improved the tone</w:t></w:r>
</w:p>
<w:p>
<w:pPr><w:pStyle w:val="Normal"/></w:pPr>
<w:r><w:t xml:space="preserve">of the administration, but on the other hand was inordinately</w:t></w:r>
</w:p>
<w:p>
<w:pPr><w:pStyle w:val="Normal"/></w:pPr>
<w:r><w:t xml:space="preserve">jealous, and alienated the army by extreme parsimony, while</w:t></w:r>
</w:p>
<w:p>
<w:pPr><w:pStyle w:val="Normal"/></w:pPr>
<w:r><w:t xml:space="preserve">neither she nor her son had a strong enough hand to keep tight</w:t></w:r>
</w:p>
<w:p>
<w:pPr><w:pStyle w:val="Normal"/></w:pPr>
<w:r><w:t xml:space="preserve">the reins of military discipline.  Mutinies became frequent</w:t></w:r>
</w:p>
<w:p>
<w:pPr><w:pStyle w:val="Normal"/></w:pPr>
<w:r><w:t xml:space="preserve">in all parts of the empire; to one of them the life of the</w:t></w:r>
</w:p>
<w:p>
<w:pPr><w:pStyle w:val="Normal"/></w:pPr>
<w:r><w:t xml:space="preserve">jurist and praetorian praefect Ulpian was sacrificed; another</w:t></w:r>
</w:p>
<w:p>
<w:pPr><w:pStyle w:val="Normal"/></w:pPr>
<w:r><w:t xml:space="preserve">compelled the retirement of Dio Cassius from his command)</w:t></w:r>
</w:p>
<w:p>
<w:pPr><w:pStyle w:val="Normal"/></w:pPr>
<w:r><w:t xml:space="preserve">On the whole, however, the reign of Alexander was prosperous</w:t></w:r>
</w:p>
<w:p>
<w:pPr><w:pStyle w:val="Normal"/></w:pPr>
<w:r><w:t xml:space="preserve">till he was summoned to the East to face the new power of the</w:t></w:r>
</w:p>
<w:p>
<w:pPr><w:pStyle w:val="Normal"/></w:pPr>
<w:r><w:t xml:space="preserve">Sassanians (see PERSIA: History.) Of the war that followed</w:t></w:r>
</w:p>
<w:p>
<w:pPr><w:pStyle w:val="Normal"/></w:pPr>
<w:r><w:t xml:space="preserve">we have very various accounts; Mommsen leans to that which</w:t></w:r>
</w:p>
<w:p>
<w:pPr><w:pStyle w:val="Normal"/></w:pPr>
<w:r><w:t xml:space="preserve">is least favourable to the Romans.  According to Alexander&apos;s</w:t></w:r>
</w:p>
<w:p>
<w:pPr><w:pStyle w:val="Normal"/></w:pPr>
<w:r><w:t xml:space="preserve">own despatch to the senate he gained great victories.  At all</w:t></w:r>
</w:p>
<w:p>
<w:pPr><w:pStyle w:val="Normal"/></w:pPr>
<w:r><w:t xml:space="preserve">events, though the Persians were checked for the time, the</w:t></w:r>
</w:p>
<w:p>
<w:pPr><w:pStyle w:val="Normal"/></w:pPr>
<w:r><w:t xml:space="preserve">conduct of the Roman army showed an extraordinary lack of</w:t></w:r>
</w:p>
<w:p>
<w:pPr><w:pStyle w:val="Normal"/></w:pPr>
<w:r><w:t xml:space="preserve">discipline.  The emperor returned to Rome and celebrated a</w:t></w:r>
</w:p>
<w:p>
<w:pPr><w:pStyle w:val="Normal"/></w:pPr>
<w:r><w:t xml:space="preserve">triumph (233), but next year he was called to face German</w:t></w:r>
</w:p>
<w:p>
<w:pPr><w:pStyle w:val="Normal"/></w:pPr>
<w:r><w:t xml:space="preserve">invaders in Gaul, where he was slain (on the 18th or 19th of</w:t></w:r>
</w:p>
<w:p>
<w:pPr><w:pStyle w:val="Normal"/></w:pPr>
<w:r><w:t xml:space="preserve">March 235), together with his mother, in a mutiny which was</w:t></w:r>
</w:p>
<w:p>
<w:pPr><w:pStyle w:val="Normal"/></w:pPr>
<w:r><w:t xml:space="preserve">probably led by Maximinus, a Thracian legionary, and at any rate</w:t></w:r>
</w:p>
<w:p>
<w:pPr><w:pStyle w:val="Normal"/></w:pPr>
<w:r><w:t xml:space="preserve">secured him the throne.  Alexander was the last of the Syrian</w:t></w:r>
</w:p>
<w:p>
<w:pPr><w:pStyle w:val="Normal"/></w:pPr>
<w:r><w:t xml:space="preserve">princes.  During his reign, acting, as he did in most things,</w:t></w:r>
</w:p>
<w:p>
<w:pPr><w:pStyle w:val="Normal"/></w:pPr>
<w:r><w:t xml:space="preserve">under the influence of his mother, he did much to improve</w:t></w:r>
</w:p>
<w:p>
<w:pPr><w:pStyle w:val="Normal"/></w:pPr>
<w:r><w:t xml:space="preserve">the morals and condition of the people.  His advisers were</w:t></w:r>
</w:p>
<w:p>
<w:pPr><w:pStyle w:val="Normal"/></w:pPr>
<w:r><w:t xml:space="preserve">men like the famous jurist Ulpian, the historian Dio Cassius</w:t></w:r>
</w:p>
<w:p>
<w:pPr><w:pStyle w:val="Normal"/></w:pPr>
<w:r><w:t xml:space="preserve">and a select board of sixteen senators; a municipal council</w:t></w:r>
</w:p>
<w:p>
<w:pPr><w:pStyle w:val="Normal"/></w:pPr>
<w:r><w:t xml:space="preserve">of fourteen assisted the city praefect in administering the</w:t></w:r>
</w:p>
<w:p>
<w:pPr><w:pStyle w:val="Normal"/></w:pPr>
<w:r><w:t xml:space="preserve">affairs of the fourteen districts of Rome.  The luxury and</w:t></w:r>
</w:p>
<w:p>
<w:pPr><w:pStyle w:val="Normal"/></w:pPr>
<w:r><w:t xml:space="preserve">extravagance that had formerly been so prevalent at the court</w:t></w:r>
</w:p>
<w:p>
<w:pPr><w:pStyle w:val="Normal"/></w:pPr>
<w:r><w:t xml:space="preserve">were put down; the standard of the coinage was raised; taxes</w:t></w:r>
</w:p>
<w:p>
<w:pPr><w:pStyle w:val="Normal"/></w:pPr>
<w:r><w:t xml:space="preserve">were lightened; literature, art and science were encouraged;</w:t></w:r>
</w:p>
<w:p>
<w:pPr><w:pStyle w:val="Normal"/></w:pPr>
<w:r><w:t xml:space="preserve">the lot of the soldiers was improved; and, for the convenience</w:t></w:r>
</w:p>
<w:p>
<w:pPr><w:pStyle w:val="Normal"/></w:pPr>
<w:r><w:t xml:space="preserve">of the people, loan offices were instituted for lending</w:t></w:r>
</w:p>
<w:p>
<w:pPr><w:pStyle w:val="Normal"/></w:pPr>
<w:r><w:t xml:space="preserve">money at a moderate rate of interest.  In religious matters</w:t></w:r>
</w:p>
<w:p>
<w:pPr><w:pStyle w:val="Normal"/></w:pPr>
<w:r><w:t xml:space="preserve">Alexander preserved an open mind.  In his private chapel he</w:t></w:r>
</w:p>
<w:p>
<w:pPr><w:pStyle w:val="Normal"/></w:pPr>
<w:r><w:t xml:space="preserve">had busts of Orpheus, Abraham, Apollonius of Tyana and Jesus</w:t></w:r>
</w:p>
<w:p>
<w:pPr><w:pStyle w:val="Normal"/></w:pPr>
<w:r><w:t xml:space="preserve">Christ.  It is said that he was desirous of erecting a temple</w:t></w:r>
</w:p>
<w:p>
<w:pPr><w:pStyle w:val="Normal"/></w:pPr>
<w:r><w:t xml:space="preserve">to the founder of Christianity, but was dissuaded by the pagan</w:t></w:r>
</w:p>
<w:p>
<w:pPr><w:pStyle w:val="Normal"/></w:pPr>
<w:r><w:t xml:space="preserve">priests.  There is no doubt that, had Alexander&apos;s many</w:t></w:r>
</w:p>
<w:p>
<w:pPr><w:pStyle w:val="Normal"/></w:pPr>
<w:r><w:t xml:space="preserve">excellent qualities been supported by the energy and strength</w:t></w:r>
</w:p>
<w:p>
<w:pPr><w:pStyle w:val="Normal"/></w:pPr>
<w:r><w:t xml:space="preserve">of will necessary for the government of a military empire,</w:t></w:r>
</w:p>
<w:p>
<w:pPr><w:pStyle w:val="Normal"/></w:pPr>
<w:r><w:t xml:space="preserve">he would have been one of the greatest of the Roman emperors.</w:t></w:r>
</w:p>
<w:p>
<w:pPr><w:pStyle w:val="Normal"/></w:pPr>
<w:r><w:t xml:space="preserve">See Lampridius, Alexander Severus; Dio Cassius lxxviii. 30,</w:t></w:r>
</w:p>
<w:p>
<w:pPr><w:pStyle w:val="Normal"/></w:pPr>
<w:r><w:t xml:space="preserve">lxxix. 17, lxxx. 1; Herodian vi. 1-18; Porrath, Der Kaiser</w:t></w:r>
</w:p>
<w:p>
<w:pPr><w:pStyle w:val="Normal"/></w:pPr>
<w:r><w:t xml:space="preserve">Alex. Sev. (1876); Pauly-Wissowa, Realencyclopadie,</w:t></w:r>
</w:p>
<w:p>
<w:pPr><w:pStyle w:val="Normal"/></w:pPr>
<w:r><w:t xml:space="preserve">ii. 2526 foll. (Groebe); monograph by R. V. Nind</w:t></w:r>
</w:p>
<w:p>
<w:pPr><w:pStyle w:val="Normal"/></w:pPr>
<w:r><w:t xml:space="preserve">Hopkins, Cambridge Historical Essays, No. xiv. (1907).</w:t></w:r>
</w:p>
<w:p>
<w:pPr><w:pStyle w:val="Normal"/></w:pPr>
<w:r><w:t xml:space="preserve">ALEXANDER THE PAPHLAGONIAN, a celebrated impostor and worker</w:t></w:r>
</w:p>
<w:p>
<w:pPr><w:pStyle w:val="Normal"/></w:pPr>
<w:r><w:t xml:space="preserve">of false oracles, was born at Abonouteichos (see INEBOLI)</w:t></w:r>
</w:p>
<w:p>
<w:pPr><w:pStyle w:val="Normal"/></w:pPr>
<w:r><w:t xml:space="preserve">in Paphlagonia in the early part of the 2nd century A.D.</w:t></w:r>
</w:p>
<w:p>
<w:pPr><w:pStyle w:val="Normal"/></w:pPr>
<w:r><w:t xml:space="preserve">The vivid narrative of his career given by Lucian might be</w:t></w:r>
</w:p>
<w:p>
<w:pPr><w:pStyle w:val="Normal"/></w:pPr>
<w:r><w:t xml:space="preserve">taken as fictitious but for the corroboration of certain</w:t></w:r>
</w:p>
<w:p>
<w:pPr><w:pStyle w:val="Normal"/></w:pPr>
<w:r><w:t xml:space="preserve">coins of the emperors Lucius Verus and Marcus Aurelius (J. H.</w:t></w:r>
</w:p>
<w:p>
<w:pPr><w:pStyle w:val="Normal"/></w:pPr>
<w:r><w:t xml:space="preserve">Eckhel, Doctrina Nummorum veterum, ii. pp. 383, 384) and</w:t></w:r>
</w:p>
<w:p>
<w:pPr><w:pStyle w:val="Normal"/></w:pPr>
<w:r><w:t xml:space="preserve">of a statue of Alexander, said by Athenagoras (Apology, c.</w:t></w:r>
</w:p>
<w:p>
<w:pPr><w:pStyle w:val="Normal"/></w:pPr>
<w:r><w:t xml:space="preserve">26) to have stood in the forum of Parium.  After a period of</w:t></w:r>
</w:p>
<w:p>
<w:pPr><w:pStyle w:val="Normal"/></w:pPr>
<w:r><w:t xml:space="preserve">instruction in medicine by a doctor who also, according to</w:t></w:r>
</w:p>
<w:p>
<w:pPr><w:pStyle w:val="Normal"/></w:pPr>
<w:r><w:t xml:space="preserve">Lucian, was an impostor, he succeeded in establishing an</w:t></w:r>
</w:p>
<w:p>
<w:pPr><w:pStyle w:val="Normal"/></w:pPr>
<w:r><w:t xml:space="preserve">oracle of Aesculapius at his native town.  Having circulated</w:t></w:r>
</w:p>
<w:p>
<w:pPr><w:pStyle w:val="Normal"/></w:pPr>
<w:r><w:t xml:space="preserve">a prophecy that the son of Apollo was to be born again, he</w:t></w:r>
</w:p>
<w:p>
<w:pPr><w:pStyle w:val="Normal"/></w:pPr>
<w:r><w:t xml:space="preserve">contrived that there should be found in the foundations of</w:t></w:r>
</w:p>
<w:p>
<w:pPr><w:pStyle w:val="Normal"/></w:pPr>
<w:r><w:t xml:space="preserve">the temple to Aesculapius, then in course of construction at</w:t></w:r>
</w:p>
<w:p>
<w:pPr><w:pStyle w:val="Normal"/></w:pPr>
<w:r><w:t xml:space="preserve">Abonouteichos, an egg in which a small live snake had been</w:t></w:r>
</w:p>
<w:p>
<w:pPr><w:pStyle w:val="Normal"/></w:pPr>
<w:r><w:t xml:space="preserve">placed.  In an age of superstition no people had so great a</w:t></w:r>
</w:p>
<w:p>
<w:pPr><w:pStyle w:val="Normal"/></w:pPr>
<w:r><w:t xml:space="preserve">reputation for credulity as the Paphlagonians, and Alexander</w:t></w:r>
</w:p>
<w:p>
<w:pPr><w:pStyle w:val="Normal"/></w:pPr>
<w:r><w:t xml:space="preserve">had little difficulty in convincing them of the second coming</w:t></w:r>
</w:p>
<w:p>
<w:pPr><w:pStyle w:val="Normal"/></w:pPr>
<w:r><w:t xml:space="preserve">of the god under the name of Glycon.  A large tame snake with</w:t></w:r>
</w:p>
<w:p>
<w:pPr><w:pStyle w:val="Normal"/></w:pPr>
<w:r><w:t xml:space="preserve">a false human head, wound round Alexander&apos;s body as he sat</w:t></w:r>
</w:p>
<w:p>
<w:pPr><w:pStyle w:val="Normal"/></w:pPr>
<w:r><w:t xml:space="preserve">in a shrine in the temple, gave ``autophones&apos;&apos; or oracles</w:t></w:r>
</w:p>
<w:p>
<w:pPr><w:pStyle w:val="Normal"/></w:pPr>
<w:r><w:t xml:space="preserve">unasked, but the usual methods practised were those of the</w:t></w:r>
</w:p>
<w:p>
<w:pPr><w:pStyle w:val="Normal"/></w:pPr>
<w:r><w:t xml:space="preserve">numerous oracle-mongers of the time, of which Lucian gives a</w:t></w:r>
</w:p>
<w:p>
<w:pPr><w:pStyle w:val="Normal"/></w:pPr>
<w:r><w:t xml:space="preserve">detailed account, the opening of sealed inquiries by heated</w:t></w:r>
</w:p>
<w:p>
<w:pPr><w:pStyle w:val="Normal"/></w:pPr>
<w:r><w:t xml:space="preserve">needles, a neat plan of forging broken seals, and the giving</w:t></w:r>
</w:p>
<w:p>
<w:pPr><w:pStyle w:val="Normal"/></w:pPr>
<w:r><w:t xml:space="preserve">of vague or meaningless replies to difficult questions, coupled</w:t></w:r>
</w:p>
<w:p>
<w:pPr><w:pStyle w:val="Normal"/></w:pPr>
<w:r><w:t xml:space="preserve">with a lucrative blackmailing of those whose inquiries were</w:t></w:r>
</w:p>
<w:p>
<w:pPr><w:pStyle w:val="Normal"/></w:pPr>
<w:r><w:t xml:space="preserve">compromising.  The reputation of the oracle, which was in origin</w:t></w:r>
</w:p>
<w:p>
<w:pPr><w:pStyle w:val="Normal"/></w:pPr>
<w:r><w:t xml:space="preserve">medical, spread, and with it grew Alexander&apos;s skilled plans</w:t></w:r>
</w:p>
<w:p>
<w:pPr><w:pStyle w:val="Normal"/></w:pPr>
<w:r><w:t xml:space="preserve">of organized deception.  He set up an ``intelligence bureau&apos;&apos;</w:t></w:r>
</w:p>
<w:p>
<w:pPr><w:pStyle w:val="Normal"/></w:pPr>
<w:r><w:t xml:space="preserve">in Rome, instituted mysteries like those of Eleusis, from</w:t></w:r>
</w:p>
<w:p>
<w:pPr><w:pStyle w:val="Normal"/></w:pPr>
<w:r><w:t xml:space="preserve">which his particular enemies the Christians and Epicureans</w:t></w:r>
</w:p>
<w:p>
<w:pPr><w:pStyle w:val="Normal"/></w:pPr>
<w:r><w:t xml:space="preserve">were alike excluded as ``profane,&apos;&apos; and celebrated a mystic</w:t></w:r>
</w:p>
<w:p>
<w:pPr><w:pStyle w:val="Normal"/></w:pPr>
<w:r><w:t xml:space="preserve">marriage between himself and the moon.  During the plague of</w:t></w:r>
</w:p>
<w:p>
<w:pPr><w:pStyle w:val="Normal"/></w:pPr>
<w:r><w:t xml:space="preserve">A.D. 166 a verse from the oracle was used as an amulet and</w:t></w:r>
</w:p>
<w:p>
<w:pPr><w:pStyle w:val="Normal"/></w:pPr>
<w:r><w:t xml:space="preserve">was inscribed over the doors of houses as a protection, and</w:t></w:r>
</w:p>
<w:p>
<w:pPr><w:pStyle w:val="Normal"/></w:pPr>
<w:r><w:t xml:space="preserve">an oracle was sent, at Marcus Aurelius&apos; request, by Alexander</w:t></w:r>
</w:p>
<w:p>
<w:pPr><w:pStyle w:val="Normal"/></w:pPr>
<w:r><w:t xml:space="preserve">to the Roman army on the Danube during the war with the</w:t></w:r>
</w:p>
<w:p>
<w:pPr><w:pStyle w:val="Normal"/></w:pPr>
<w:r><w:t xml:space="preserve">Marcomanni, declaring that victory would follow on the throwing</w:t></w:r>
</w:p>
<w:p>
<w:pPr><w:pStyle w:val="Normal"/></w:pPr>
<w:r><w:t xml:space="preserve">of two lions alive into the river.  The result was a great</w:t></w:r>
</w:p>
<w:p>
<w:pPr><w:pStyle w:val="Normal"/></w:pPr>
<w:r><w:t xml:space="preserve">disaster, and Alexander had recourse to the old quibble of</w:t></w:r>
</w:p>
<w:p>
<w:pPr><w:pStyle w:val="Normal"/></w:pPr>
<w:r><w:t xml:space="preserve">the Delphic oracle to Croesus for an explanation.  Lucian&apos;s</w:t></w:r>
</w:p>
<w:p>
<w:pPr><w:pStyle w:val="Normal"/></w:pPr>
<w:r><w:t xml:space="preserve">own close investigations into Alexander&apos;s methods of fraud</w:t></w:r>
</w:p>
<w:p>
<w:pPr><w:pStyle w:val="Normal"/></w:pPr>
<w:r><w:t xml:space="preserve">led to a serious attempt on his life.  The whole account</w:t></w:r>
</w:p>
<w:p>
<w:pPr><w:pStyle w:val="Normal"/></w:pPr>
<w:r><w:t xml:space="preserve">gives a graphic description of the inner working of one among</w:t></w:r>
</w:p>
<w:p>
<w:pPr><w:pStyle w:val="Normal"/></w:pPr>
<w:r><w:t xml:space="preserve">the many new oracles that were springing up at this period.</w:t></w:r>
</w:p>
<w:p>
<w:pPr><w:pStyle w:val="Normal"/></w:pPr>
<w:r><w:t xml:space="preserve">Alexander had remarkable beauty and the striking personality</w:t></w:r>
</w:p>
<w:p>
<w:pPr><w:pStyle w:val="Normal"/></w:pPr>
<w:r><w:t xml:space="preserve">of the successful charlatan, and must have been a man of</w:t></w:r>
</w:p>
<w:p>
<w:pPr><w:pStyle w:val="Normal"/></w:pPr>
<w:r><w:t xml:space="preserve">considerable intellectual abilities and power of organization.</w:t></w:r>
</w:p>
<w:p>
<w:pPr><w:pStyle w:val="Normal"/></w:pPr>
<w:r><w:t xml:space="preserve">His income is said by Lucian to have reached an enormous</w:t></w:r>
</w:p>
<w:p>
<w:pPr><w:pStyle w:val="Normal"/></w:pPr>
<w:r><w:t xml:space="preserve">figure.  He died of gangrene of the leg in his seventieth year.</w:t></w:r>
</w:p>
<w:p>
<w:pPr><w:pStyle w:val="Normal"/></w:pPr>
<w:r><w:t xml:space="preserve">See Lucian, &apos;Alexandros e pseudomantis; Samuel Dill, Roman</w:t></w:r>
</w:p>
<w:p>
<w:pPr><w:pStyle w:val="Normal"/></w:pPr>
<w:r><w:t xml:space="preserve">Society from Nero to Marcus Aurelius (1904): and F. Gregorovius,</w:t></w:r>
</w:p>
<w:p>
<w:pPr><w:pStyle w:val="Normal"/></w:pPr>
<w:r><w:t xml:space="preserve">The Emperor Hadrian, trans. by M. E. Robinson (1898).</w:t></w:r>
</w:p>
<w:p>
<w:pPr><w:pStyle w:val="Normal"/></w:pPr>
<w:r><w:t xml:space="preserve">ALEXANDERS (botanical name, Smyrnium Olusatrum, natural</w:t></w:r>
</w:p>
<w:p>
<w:pPr><w:pStyle w:val="Normal"/></w:pPr>
<w:r><w:t xml:space="preserve">order Umbelliferae), a stout herbaceous plant with a</w:t></w:r>
</w:p>
<w:p>
<w:pPr><w:pStyle w:val="Normal"/></w:pPr>
<w:r><w:t xml:space="preserve">furrowed, much-branched stem 1-3 ft. high, and large compound</w:t></w:r>
</w:p>
<w:p>
<w:pPr><w:pStyle w:val="Normal"/></w:pPr>
<w:r><w:t xml:space="preserve">leaves with broad sheathing stalks, and broad, cut or lobed</w:t></w:r>
</w:p>
<w:p>
<w:pPr><w:pStyle w:val="Normal"/></w:pPr>
<w:r><w:t xml:space="preserve">segments.  The small yellow flowers are borne in compound</w:t></w:r>
</w:p>
<w:p>
<w:pPr><w:pStyle w:val="Normal"/></w:pPr>
<w:r><w:t xml:space="preserve">umbels.  The plant is a native of the Mediterranean region,</w:t></w:r>
</w:p>
<w:p>
<w:pPr><w:pStyle w:val="Normal"/></w:pPr>
<w:r><w:t xml:space="preserve">and was formerly cultivated as a pot-herb.  It is now found</w:t></w:r>
</w:p>
<w:p>
<w:pPr><w:pStyle w:val="Normal"/></w:pPr>
<w:r><w:t xml:space="preserve">apparently wild in Great Britain and Ireland, growing in</w:t></w:r>
</w:p>
<w:p>
<w:pPr><w:pStyle w:val="Normal"/></w:pPr>
<w:r><w:t xml:space="preserve">waste places, especially near the sea and amongst ruins.</w:t></w:r>
</w:p>
<w:p>
<w:pPr><w:pStyle w:val="Normal"/></w:pPr>
<w:r><w:t xml:space="preserve">In England the plant is sometimes popularly termed</w:t></w:r>
</w:p>
<w:p>
<w:pPr><w:pStyle w:val="Normal"/></w:pPr>
<w:r><w:t xml:space="preserve">``alisander&apos;&apos;; in North America Thaspium aureum is sometimes</w:t></w:r>
</w:p>
<w:p>
<w:pPr><w:pStyle w:val="Normal"/></w:pPr>
<w:r><w:t xml:space="preserve">called ``alexanders.&apos;&apos; ``Alexander&apos;s foot,&apos;&apos; botanical</w:t></w:r>
</w:p>
<w:p>
<w:pPr><w:pStyle w:val="Normal"/></w:pPr>
<w:r><w:t xml:space="preserve">name Anacyclus Pyrethrum, is the pellitory of Spain.</w:t></w:r>
</w:p>
<w:p>
<w:pPr><w:pStyle w:val="Normal"/></w:pPr>
<w:r><w:t xml:space="preserve">ALEXANDERSBAD, a watering-place of Germany, in the kingdom</w:t></w:r>
</w:p>
<w:p>
<w:pPr><w:pStyle w:val="Normal"/></w:pPr>
<w:r><w:t xml:space="preserve">of Bavaria, romantically situated in the Fichtelgebirge,</w:t></w:r>
</w:p>
<w:p>
<w:pPr><w:pStyle w:val="Normal"/></w:pPr>
<w:r><w:t xml:space="preserve">near Wunsiedel, at a height of 1900 ft. above the sea.  Pop.</w:t></w:r>
</w:p>
<w:p>
<w:pPr><w:pStyle w:val="Normal"/></w:pPr>
<w:r><w:t xml:space="preserve">1200.  Its waters, which are ferruginous and largely charged</w:t></w:r>
</w:p>
<w:p>
<w:pPr><w:pStyle w:val="Normal"/></w:pPr>
<w:r><w:t xml:space="preserve">with carbonic acid gas, are of use in nervous and rheumatic</w:t></w:r>
</w:p>
<w:p>
<w:pPr><w:pStyle w:val="Normal"/></w:pPr>
<w:r><w:t xml:space="preserve">disorders.  In the neighbourhood is the Luisenburg (or Luxburg),</w:t></w:r>
</w:p>
<w:p>
<w:pPr><w:pStyle w:val="Normal"/></w:pPr>
<w:r><w:t xml:space="preserve">so called after a visit paid by Queen Louise of Prussia in</w:t></w:r>
</w:p>
<w:p>
<w:pPr><w:pStyle w:val="Normal"/></w:pPr>
<w:r><w:t xml:space="preserve">1805, a hill covered by majestic granite rocks, commanding</w:t></w:r>
</w:p>
<w:p>
<w:pPr><w:pStyle w:val="Normal"/></w:pPr>
<w:r><w:t xml:space="preserve">a grand view of the whole range of the Fichtelgebirge.</w:t></w:r>
</w:p>
<w:p>
<w:pPr><w:pStyle w:val="Normal"/></w:pPr>
<w:r><w:t xml:space="preserve">ALEXANDRE, NOEL (NATALIS ALEXANDER) (1639-1724), French</w:t></w:r>
</w:p>
<w:p>
<w:pPr><w:pStyle w:val="Normal"/></w:pPr>
<w:r><w:t xml:space="preserve">theologian and ecclesiastical historian, was born at Rouen</w:t></w:r>
</w:p>
<w:p>
<w:pPr><w:pStyle w:val="Normal"/></w:pPr>
<w:r><w:t xml:space="preserve">on the 19th of January 1639.  In his 15th year he joined the</w:t></w:r>
</w:p>
<w:p>
<w:pPr><w:pStyle w:val="Normal"/></w:pPr>
<w:r><w:t xml:space="preserve">Dominicans, and shortly after his ordination was appointed</w:t></w:r>
</w:p>
<w:p>
<w:pPr><w:pStyle w:val="Normal"/></w:pPr>
<w:r><w:t xml:space="preserve">professor of philosophy at the convent of Saint-Jacques in</w:t></w:r>
</w:p>
<w:p>
<w:pPr><w:pStyle w:val="Normal"/></w:pPr>
<w:r><w:t xml:space="preserve">Paris.  The success of his subsequent lectures at the Sorbonne</w:t></w:r>
</w:p>
<w:p>
<w:pPr><w:pStyle w:val="Normal"/></w:pPr>
<w:r><w:t xml:space="preserve">led to his selection by Colbert as tutor to his son, Jacques</w:t></w:r>
</w:p>
<w:p>
<w:pPr><w:pStyle w:val="Normal"/></w:pPr>
<w:r><w:t xml:space="preserve">Nicolas Colbert, afterwards archbishop of Rouen.  Alexandre</w:t></w:r>
</w:p>
<w:p>
<w:pPr><w:pStyle w:val="Normal"/></w:pPr>
<w:r><w:t xml:space="preserve">obtained the degree of doctor in divinity from the Sorbonne</w:t></w:r>
</w:p>
<w:p>
<w:pPr><w:pStyle w:val="Normal"/></w:pPr>
<w:r><w:t xml:space="preserve">in 1675 and for twelve years taught philosophy, theology</w:t></w:r>
</w:p>
<w:p>
<w:pPr><w:pStyle w:val="Normal"/></w:pPr>
<w:r><w:t xml:space="preserve">and ecclesiastical law to the members of the Saint-Jacques</w:t></w:r>
</w:p>
<w:p>
<w:pPr><w:pStyle w:val="Normal"/></w:pPr>
<w:r><w:t xml:space="preserve">community.  He played a prominent part in ecclesiastical</w:t></w:r>
</w:p>
<w:p>
<w:pPr><w:pStyle w:val="Normal"/></w:pPr>
<w:r><w:t xml:space="preserve">affairs and preached several times before Louis XIV., who</w:t></w:r>
</w:p>
<w:p>
<w:pPr><w:pStyle w:val="Normal"/></w:pPr>
<w:r><w:t xml:space="preserve">granted him an annual pension of 800 livres, and in the</w:t></w:r>
</w:p>
<w:p>
<w:pPr><w:pStyle w:val="Normal"/></w:pPr>
<w:r><w:t xml:space="preserve">general assemblies of the French bishops.  He became provincial</w:t></w:r>
</w:p>
<w:p>
<w:pPr><w:pStyle w:val="Normal"/></w:pPr>
<w:r><w:t xml:space="preserve">of his order in 1706, but was banished to Chatellerault</w:t></w:r>
</w:p>
<w:p>
<w:pPr><w:pStyle w:val="Normal"/></w:pPr>
<w:r><w:t xml:space="preserve">in 1709 for having subscribed to the Cas de conscience</w:t></w:r>
</w:p>
<w:p>
<w:pPr><w:pStyle w:val="Normal"/></w:pPr>
<w:r><w:t xml:space="preserve">(1703), and was deprived of his pension in 1713 on account</w:t></w:r>
</w:p>
<w:p>
<w:pPr><w:pStyle w:val="Normal"/></w:pPr>
<w:r><w:t xml:space="preserve">of his opposition to the bull Unigenitus. He died in Paris</w:t></w:r>
</w:p>
<w:p>
<w:pPr><w:pStyle w:val="Normal"/></w:pPr>
<w:r><w:t xml:space="preserve">on the 21st of August 1724, having lost his sight some time</w:t></w:r>
</w:p>
<w:p>
<w:pPr><w:pStyle w:val="Normal"/></w:pPr>
<w:r><w:t xml:space="preserve">before owing to his strenuous literary activity.  His numerous</w:t></w:r>
</w:p>
<w:p>
<w:pPr><w:pStyle w:val="Normal"/></w:pPr>
<w:r><w:t xml:space="preserve">works are still much valued by ecclesiastical students.</w:t></w:r>
</w:p>
<w:p>
<w:pPr><w:pStyle w:val="Normal"/></w:pPr>
<w:r><w:t xml:space="preserve">His best-known work, the Selecta historiae ecclesiasticae</w:t></w:r>
</w:p>
<w:p>
<w:pPr><w:pStyle w:val="Normal"/></w:pPr>
<w:r><w:t xml:space="preserve">capita, et in loca ejusdem insignia dissertationes</w:t></w:r>
</w:p>
<w:p>
<w:pPr><w:pStyle w:val="Normal"/></w:pPr>
<w:r><w:t xml:space="preserve">historicae, chronologicae, dogmaticae (26 vols., Paris,</w:t></w:r>
</w:p>
<w:p>
<w:pPr><w:pStyle w:val="Normal"/></w:pPr>
<w:r><w:t xml:space="preserve">1676-1686), was placed on the Index by Innocent XI., on</w:t></w:r>
</w:p>
<w:p>
<w:pPr><w:pStyle w:val="Normal"/></w:pPr>
<w:r><w:t xml:space="preserve">account of his bold defence of the Gallican claims.  In 1689</w:t></w:r>
</w:p>
<w:p>
<w:pPr><w:pStyle w:val="Normal"/></w:pPr>
<w:r><w:t xml:space="preserve">he brought out at Paris his history of the Old Testament:</w:t></w:r>
</w:p>
<w:p>
<w:pPr><w:pStyle w:val="Normal"/></w:pPr>
<w:r><w:t xml:space="preserve">Selecta historiae Veteris Testamenti capita, &amp;c., in 6</w:t></w:r>
</w:p>
<w:p>
<w:pPr><w:pStyle w:val="Normal"/></w:pPr>
<w:r><w:t xml:space="preserve">vols.  Of the numerous editions of Alexandre&apos;s ecclesiastical</w:t></w:r>
</w:p>
<w:p>
<w:pPr><w:pStyle w:val="Normal"/></w:pPr>
<w:r><w:t xml:space="preserve">history the best is that of P. J. D. Mansi, which contains</w:t></w:r>
</w:p>
<w:p>
<w:pPr><w:pStyle w:val="Normal"/></w:pPr>
<w:r><w:t xml:space="preserve">many valuable notes and additions (11 vols., Lucca, 1749)</w:t></w:r>
</w:p>
<w:p>
<w:pPr><w:pStyle w:val="Normal"/></w:pPr>
<w:r><w:t xml:space="preserve">and has been frequently reprinted.  Alexandre&apos;s principal</w:t></w:r>
</w:p>
<w:p>
<w:pPr><w:pStyle w:val="Normal"/></w:pPr>
<w:r><w:t xml:space="preserve">contribution to theological literature is his Theologia</w:t></w:r>
</w:p>
<w:p>
<w:pPr><w:pStyle w:val="Normal"/></w:pPr>
<w:r><w:t xml:space="preserve">dogmatica et moralis secundum ordinem catechismi concilii</w:t></w:r>
</w:p>
<w:p>
<w:pPr><w:pStyle w:val="Normal"/></w:pPr>
<w:r><w:t xml:space="preserve">Tridentini (10 vols., Paris, 1694), in which he clearly shows</w:t></w:r>
</w:p>
<w:p>
<w:pPr><w:pStyle w:val="Normal"/></w:pPr>
<w:r><w:t xml:space="preserve">himself a disciple of the Thomist school.  His Couformite</w:t></w:r>
</w:p>
<w:p>
<w:pPr><w:pStyle w:val="Normal"/></w:pPr>
<w:r><w:t xml:space="preserve">des ceremonies chinoises avec l&apos;idolatrie grecque et</w:t></w:r>
</w:p>
<w:p>
<w:pPr><w:pStyle w:val="Normal"/></w:pPr>
<w:r><w:t xml:space="preserve">romaine and Sept lettres sur les ceremonies de la Chine</w:t></w:r>
</w:p>
<w:p>
<w:pPr><w:pStyle w:val="Normal"/></w:pPr>
<w:r><w:t xml:space="preserve">(both published at Cologne in 1700) are interesting as they</w:t></w:r>
</w:p>
<w:p>
<w:pPr><w:pStyle w:val="Normal"/></w:pPr>
<w:r><w:t xml:space="preserve">mark him out as a pioneer in the study of comparative religion.</w:t></w:r>
</w:p>
<w:p>
<w:pPr><w:pStyle w:val="Normal"/></w:pPr>
<w:r><w:t xml:space="preserve">See Catalogue complet des oeuvres du Pere Alexandre (Paris,</w:t></w:r>
</w:p>
<w:p>
<w:pPr><w:pStyle w:val="Normal"/></w:pPr>
<w:r><w:t xml:space="preserve">1716); Quetif-Echard, Scriptores ordinis praedicatorum (Paris,</w:t></w:r>
</w:p>
<w:p>
<w:pPr><w:pStyle w:val="Normal"/></w:pPr>
<w:r><w:t xml:space="preserve">1719-1721), t. ii. p. 810; and full bibliography in A. Vacant, Dict.</w:t></w:r>
</w:p>
<w:p>
<w:pPr><w:pStyle w:val="Normal"/></w:pPr>
<w:r><w:t xml:space="preserve">de theologie (scholarly article by P. Mandounet, cols. 769-772).</w:t></w:r>
</w:p>
<w:p>
<w:pPr><w:pStyle w:val="Normal"/></w:pPr>
<w:r><w:t xml:space="preserve">ALEXANDRETTA, or ISKANDERUN (med. Scanderoon), a town</w:t></w:r>
</w:p>
<w:p>
<w:pPr><w:pStyle w:val="Normal"/></w:pPr>
<w:r><w:t xml:space="preserve">of N. Syria, situated in the N.E. angle of the Levantine</w:t></w:r>
</w:p>
<w:p>
<w:pPr><w:pStyle w:val="Normal"/></w:pPr>
<w:r><w:t xml:space="preserve">Mediterranean on the S.E. of the gulf to which it gives a</w:t></w:r>
</w:p>
<w:p>
<w:pPr><w:pStyle w:val="Normal"/></w:pPr>
<w:r><w:t xml:space="preserve">title.  Pop. about 10,000, two-thirds Moslem.  Iskanderun</w:t></w:r>
</w:p>
<w:p>
<w:pPr><w:pStyle w:val="Normal"/></w:pPr>
<w:r><w:t xml:space="preserve">preserves the name, but probably not the exact site, of Alexandria</w:t></w:r>
</w:p>
<w:p>
<w:pPr><w:pStyle w:val="Normal"/></w:pPr>
<w:r><w:t xml:space="preserve">ad Issum, founded by Alexander in 333 B.C., about 23</w:t></w:r>
</w:p>
<w:p>
<w:pPr><w:pStyle w:val="Normal"/></w:pPr>
<w:r><w:t xml:space="preserve">m.  S. of the scene of his victory, to supersede Myriandrus as</w:t></w:r>
</w:p>
<w:p>
<w:pPr><w:pStyle w:val="Normal"/></w:pPr>
<w:r><w:t xml:space="preserve">key of the Syrian Gates (Beilan Pass).  The importance of the</w:t></w:r>
</w:p>
<w:p>
<w:pPr><w:pStyle w:val="Normal"/></w:pPr>
<w:r><w:t xml:space="preserve">place ever since has been derived from its relation to this</w:t></w:r>
</w:p>
<w:p>
<w:pPr><w:pStyle w:val="Normal"/></w:pPr>
<w:r><w:t xml:space="preserve">pass, the easiest approach to the open ground of N. Syria of</w:t></w:r>
</w:p>
<w:p>
<w:pPr><w:pStyle w:val="Normal"/></w:pPr>
<w:r><w:t xml:space="preserve">which Antioch and Aleppo have been the successive capitals;</w:t></w:r>
</w:p>
<w:p>
<w:pPr><w:pStyle w:val="Normal"/></w:pPr>
<w:r><w:t xml:space="preserve">and this relation has prevailed over the extreme unhealthiness</w:t></w:r>
</w:p>
<w:p>
<w:pPr><w:pStyle w:val="Normal"/></w:pPr>
<w:r><w:t xml:space="preserve">of the site, which lies on marshy deltaic ground, screened by</w:t></w:r>
</w:p>
<w:p>
<w:pPr><w:pStyle w:val="Normal"/></w:pPr>
<w:r><w:t xml:space="preserve">the horseshoe of Elma Dagh from all purifying influences of</w:t></w:r>
</w:p>
<w:p>
<w:pPr><w:pStyle w:val="Normal"/></w:pPr>
<w:r><w:t xml:space="preserve">N. and E. winds.  As the main outlet for the overland trade</w:t></w:r>
</w:p>
<w:p>
<w:pPr><w:pStyle w:val="Normal"/></w:pPr>
<w:r><w:t xml:space="preserve">from Bagdad and India, whose importance was great until the</w:t></w:r>
</w:p>
<w:p>
<w:pPr><w:pStyle w:val="Normal"/></w:pPr>
<w:r><w:t xml:space="preserve">establishment of the Egyptian overland route, the place was a</w:t></w:r>
</w:p>
<w:p>
<w:pPr><w:pStyle w:val="Normal"/></w:pPr>
<w:r><w:t xml:space="preserve">great resort, first of Genoese and Venetian merchants, then of</w:t></w:r>
</w:p>
<w:p>
<w:pPr><w:pStyle w:val="Normal"/></w:pPr>
<w:r><w:t xml:space="preserve">those of West and North European nations.  The British Levant</w:t></w:r>
</w:p>
<w:p>
<w:pPr><w:pStyle w:val="Normal"/></w:pPr>
<w:r><w:t xml:space="preserve">(Turkey) Company maintained an agency and factory here for 200</w:t></w:r>
</w:p>
<w:p>
<w:pPr><w:pStyle w:val="Normal"/></w:pPr>
<w:r><w:t xml:space="preserve">years, till 1825, in spite of appalling mortality among its</w:t></w:r>
</w:p>
<w:p>
<w:pPr><w:pStyle w:val="Normal"/></w:pPr>
<w:r><w:t xml:space="preserve">employes.  Alexandretta is still the main port for the Aleppo</w:t></w:r>
</w:p>
<w:p>
<w:pPr><w:pStyle w:val="Normal"/></w:pPr>
<w:r><w:t xml:space="preserve">district, to which a good chaussee leads over the Beilan</w:t></w:r>
</w:p>
<w:p>
<w:pPr><w:pStyle w:val="Normal"/></w:pPr>
<w:r><w:t xml:space="preserve">Pass, and it has a considerable export trade in tobacco, silk,</w:t></w:r>
</w:p>
<w:p>
<w:pPr><w:pStyle w:val="Normal"/></w:pPr>
<w:r><w:t xml:space="preserve">cereals, liquorice, textiles.  The health of the place has</w:t></w:r>
</w:p>
<w:p>
<w:pPr><w:pStyle w:val="Normal"/></w:pPr>
<w:r><w:t xml:space="preserve">improved with the draining of the marshes and the provision</w:t></w:r>
</w:p>
<w:p>
<w:pPr><w:pStyle w:val="Normal"/></w:pPr>
<w:r><w:t xml:space="preserve">of a better supply of water, but still leaves much to be</w:t></w:r>
</w:p>
<w:p>
<w:pPr><w:pStyle w:val="Normal"/></w:pPr>
<w:r><w:t xml:space="preserve">desired.  The wealthier inhabitants have summer residences</w:t></w:r>
</w:p>
<w:p>
<w:pPr><w:pStyle w:val="Normal"/></w:pPr>
<w:r><w:t xml:space="preserve">at Beilan near the summit of the pass, long a stronghold of</w:t></w:r>
</w:p>
<w:p>
<w:pPr><w:pStyle w:val="Normal"/></w:pPr>
<w:r><w:t xml:space="preserve">freebooting Dere Beys and the scene of the victory won by</w:t></w:r>
</w:p>
<w:p>
<w:pPr><w:pStyle w:val="Normal"/></w:pPr>
<w:r><w:t xml:space="preserve">Ibrahim Pasha in 1832, which opened Cilicia to his advance.</w:t></w:r>
</w:p>
<w:p>
<w:pPr><w:pStyle w:val="Normal"/></w:pPr>
<w:r><w:t xml:space="preserve">There are resident consuls of all the principal powers, and</w:t></w:r>
</w:p>
<w:p>
<w:pPr><w:pStyle w:val="Normal"/></w:pPr>
<w:r><w:t xml:space="preserve">the port is well served by coasting steamers under European</w:t></w:r>
</w:p>
<w:p>
<w:pPr><w:pStyle w:val="Normal"/></w:pPr>
<w:r><w:t xml:space="preserve">and Ottoman flags.  The distance by road to Aleppo has been</w:t></w:r>
</w:p>
<w:p>
<w:pPr><w:pStyle w:val="Normal"/></w:pPr>
<w:r><w:t xml:space="preserve">shortened to about 70 m., and Antakia (Antioch) is about 45</w:t></w:r>
</w:p>
<w:p>
<w:pPr><w:pStyle w:val="Normal"/></w:pPr>
<w:r><w:t xml:space="preserve">m. distant by a branch of the same chaussee. (D. G. H.)</w:t></w:r>
</w:p>
<w:p>
<w:pPr><w:pStyle w:val="Normal"/></w:pPr>
<w:r><w:t xml:space="preserve">ALEXANDRIA (Arab. Iskenderia), a city and chief seaport</w:t></w:r>
</w:p>
<w:p>
<w:pPr><w:pStyle w:val="Normal"/></w:pPr>
<w:r><w:t xml:space="preserve">of Egypt, and for over a thousand years from its foundation</w:t></w:r>
</w:p>
<w:p>
<w:pPr><w:pStyle w:val="Normal"/></w:pPr>
<w:r><w:t xml:space="preserve">the capital of the country, situated on the Mediterranean in</w:t></w:r>
</w:p>
<w:p>
<w:pPr><w:pStyle w:val="Normal"/></w:pPr>
<w:r><w:t xml:space="preserve">31 deg.  12&apos; N., 29 deg.  15&apos; E., and 129 m. by rail N.W. of Cairo.</w:t></w:r>
</w:p>
<w:p>
<w:pPr><w:pStyle w:val="Normal"/></w:pPr>
<w:r><w:t xml:space="preserve">The ancient Canopic mouth of the Nile (now dry) was 12 m.  E.</w:t></w:r>
</w:p>
<w:p>
<w:pPr><w:pStyle w:val="Heading1"/></w:pPr>
<w:r><w:t>I. The Modern City.--The city is built on the strip of land</w:t></w:r>
</w:p>
<w:p>
<w:pPr><w:pStyle w:val="Normal"/></w:pPr>
<w:r><w:t xml:space="preserve">which separates the Mediterranean from Lake Mareotis ( Mariut),</w:t></w:r>
</w:p>
<w:p>
<w:pPr><w:pStyle w:val="Normal"/></w:pPr>
<w:r><w:t xml:space="preserve">and on a T-shaped peninsula which forms harbours east and</w:t></w:r>
</w:p>
<w:p>
<w:pPr><w:pStyle w:val="Normal"/></w:pPr>
<w:r><w:t xml:space="preserve">west.  The stem of the T was originally a mole leading to an</w:t></w:r>
</w:p>
<w:p>
<w:pPr><w:pStyle w:val="Normal"/></w:pPr>
<w:r><w:t xml:space="preserve">island (Pharos) which formed the cross-piece.  In the course</w:t></w:r>
</w:p>
<w:p>
<w:pPr><w:pStyle w:val="Normal"/></w:pPr>
<w:r><w:t xml:space="preserve">of centuries this mole has been silted up and is now an isthmus</w:t></w:r>
</w:p>
<w:p>
<w:pPr><w:pStyle w:val="Normal"/></w:pPr>
<w:r><w:t xml:space="preserve">half a mile wide.  On it a part of the modern city is built.</w:t></w:r>
</w:p>
<w:p>
<w:pPr><w:pStyle w:val="Normal"/></w:pPr>
<w:r><w:t xml:space="preserve">The cape at the western end of the peninsula is Ras et-Tin (Cape</w:t></w:r>
</w:p>
<w:p>
<w:pPr><w:pStyle w:val="Normal"/></w:pPr>
<w:r><w:t xml:space="preserve">of Figs); the eastern cape is known as Pharos or Kait Bey. South</w:t></w:r>
</w:p>
<w:p>
<w:pPr><w:pStyle w:val="Normal"/></w:pPr>
<w:r><w:t xml:space="preserve">of the town--between it and Lake Mareotis--runs the Mahmudiya</w:t></w:r>
</w:p>
<w:p>
<w:pPr><w:pStyle w:val="Normal"/></w:pPr>
<w:r><w:t xml:space="preserve">canal, which enters the western harbour by a series of locks.</w:t></w:r>
</w:p>
<w:p>
<w:pPr><w:pStyle w:val="Normal"/></w:pPr>
<w:r><w:t xml:space="preserve">The customs house and chief warehouses are by the western</w:t></w:r>
</w:p>
<w:p>
<w:pPr><w:pStyle w:val="Normal"/></w:pPr>
<w:r><w:t xml:space="preserve">harbour, but the principal buildings of the city are in the</w:t></w:r>
</w:p>
<w:p>
<w:pPr><w:pStyle w:val="Normal"/></w:pPr>
<w:r><w:t xml:space="preserve">east and south-east quarters.  From the landing-stage, by the</w:t></w:r>
</w:p>
<w:p>
<w:pPr><w:pStyle w:val="Normal"/></w:pPr>
<w:r><w:t xml:space="preserve">customs house, roads lead to the Place Mehemet Ali, the centre</w:t></w:r>
</w:p>
<w:p>
<w:pPr><w:pStyle w:val="Normal"/></w:pPr>
<w:r><w:t xml:space="preserve">of the life of the city and the starting-point of the electric</w:t></w:r>
</w:p>
<w:p>
<w:pPr><w:pStyle w:val="Normal"/></w:pPr>
<w:r><w:t xml:space="preserve">tramways.  The place, usually called the Grand Square,</w:t></w:r>
</w:p>
<w:p>
<w:pPr><w:pStyle w:val="Normal"/></w:pPr>
<w:r><w:t xml:space="preserve">is an oblong open space, tree-lined, in the centre of which</w:t></w:r>
</w:p>
<w:p>
<w:pPr><w:pStyle w:val="Normal"/></w:pPr>
<w:r><w:t xml:space="preserve">there is an equestrian statue of the prince after whom it is</w:t></w:r>
</w:p>
<w:p>
<w:pPr><w:pStyle w:val="Normal"/></w:pPr>
<w:r><w:t xml:space="preserve">named.  The square is faced with handsome buildings mainly</w:t></w:r>
</w:p>
<w:p>
<w:pPr><w:pStyle w:val="Normal"/></w:pPr>
<w:r><w:t xml:space="preserve">in the Italian style.  The most important are the law courts,</w:t></w:r>
</w:p>
<w:p>
<w:pPr><w:pStyle w:val="Normal"/></w:pPr>
<w:r><w:t xml:space="preserve">exchange, Ottoman bank, English church and the Abbas Hilmi</w:t></w:r>
</w:p>
<w:p>
<w:pPr><w:pStyle w:val="Normal"/></w:pPr>
<w:r><w:t xml:space="preserve">theatre.  A number of short streets lead from the square</w:t></w:r>
</w:p>
<w:p>
<w:pPr><w:pStyle w:val="Normal"/></w:pPr>
<w:r><w:t xml:space="preserve">to the eastern harbour.  Here a sea wall, completed in</w:t></w:r>
</w:p>
<w:p>
<w:pPr><w:pStyle w:val="Normal"/></w:pPr>
<w:r><w:t xml:space="preserve">1905, provides a magnificent drive and promenade along</w:t></w:r>
</w:p>
<w:p>
<w:pPr><w:pStyle w:val="Normal"/></w:pPr>
<w:r><w:t xml:space="preserve">the shore for a distance of about 3 m.  In building this</w:t></w:r>
</w:p>
<w:p>
<w:pPr><w:pStyle w:val="Normal"/></w:pPr>
<w:r><w:t xml:space="preserve">quay a considerable area of foreshore was reclaimed and an</w:t></w:r>
</w:p>
<w:p>
<w:pPr><w:pStyle w:val="Normal"/></w:pPr>
<w:r><w:t xml:space="preserve">evil-smelling beach done away with.  From the south end of</w:t></w:r>
</w:p>
<w:p>
<w:pPr><w:pStyle w:val="Normal"/></w:pPr>
<w:r><w:t xml:space="preserve">the square the rue Sherif Pasha--in which are the principal</w:t></w:r>
</w:p>
<w:p>
<w:pPr><w:pStyle w:val="Normal"/></w:pPr>
<w:r><w:t xml:space="preserve">shops--and the rue Tewfik Pasha lead to the boulevard, or</w:t></w:r>
</w:p>
<w:p>
<w:pPr><w:pStyle w:val="Normal"/></w:pPr>
<w:r><w:t xml:space="preserve">rue, de Rosette, a long straight road with a general E. and W.</w:t></w:r>
</w:p>
<w:p>
<w:pPr><w:pStyle w:val="Normal"/></w:pPr>
<w:r><w:t xml:space="preserve">direction.  In it are the Zizinia theatre and the municipal</w:t></w:r>
</w:p>
<w:p>
<w:pPr><w:pStyle w:val="Normal"/></w:pPr>
<w:r><w:t xml:space="preserve">palace (containing the public library); the museum lies up a</w:t></w:r>
</w:p>
<w:p>
<w:pPr><w:pStyle w:val="Normal"/></w:pPr>
<w:r><w:t xml:space="preserve">short street to the N. Opened in 1895 this museum possesses an</w:t></w:r>
</w:p>
<w:p>
<w:pPr><w:pStyle w:val="Normal"/></w:pPr>
<w:r><w:t xml:space="preserve">important collection of Egyptian, Greek and Roman antiquities,</w:t></w:r>
</w:p>
<w:p>
<w:pPr><w:pStyle w:val="Normal"/></w:pPr>
<w:r><w:t xml:space="preserve">found not only in the city but in all Lower Egypt and the</w:t></w:r>
</w:p>
<w:p>
<w:pPr><w:pStyle w:val="Normal"/></w:pPr>
<w:r><w:t xml:space="preserve">Fayum.  The western end of the boulevard leads to the Place</w:t></w:r>
</w:p>
<w:p>
<w:pPr><w:pStyle w:val="Normal"/></w:pPr>
<w:r><w:t xml:space="preserve">Ibrahim, often called Place Ste Catherine, from the Roman</w:t></w:r>
</w:p>
<w:p>
<w:pPr><w:pStyle w:val="Normal"/></w:pPr>
<w:r><w:t xml:space="preserve">Catholic church at its S.E. side.  In a street running S. from</w:t></w:r>
</w:p>
<w:p>
<w:pPr><w:pStyle w:val="Normal"/></w:pPr>
<w:r><w:t xml:space="preserve">the boulevard to the railway station is the mosque of Nebi</w:t></w:r>
</w:p>
<w:p>
<w:pPr><w:pStyle w:val="Normal"/></w:pPr>
<w:r><w:t xml:space="preserve">Daniel, containing the tombs of Said Pasha and other members</w:t></w:r>
</w:p>
<w:p>
<w:pPr><w:pStyle w:val="Normal"/></w:pPr>
<w:r><w:t xml:space="preserve">of the khedivial family.  Immediately E. of the mosque is Kom</w:t></w:r>
</w:p>
<w:p>
<w:pPr><w:pStyle w:val="Normal"/></w:pPr>
<w:r><w:t xml:space="preserve">ed-Dik, garrisoned by British troops, one of several forts built</w:t></w:r>
</w:p>
<w:p>
<w:pPr><w:pStyle w:val="Normal"/></w:pPr>
<w:r><w:t xml:space="preserve">for the protection of the city.  Except Kom ed-Dik the forts</w:t></w:r>
</w:p>
<w:p>
<w:pPr><w:pStyle w:val="Normal"/></w:pPr>
<w:r><w:t xml:space="preserve">have not been repaired since the bombardment of 1882.  Equally</w:t></w:r>
</w:p>
<w:p>
<w:pPr><w:pStyle w:val="Normal"/></w:pPr>
<w:r><w:t xml:space="preserve">obsolete is the old line of fortifications which formerly marked</w:t></w:r>
</w:p>
<w:p>
<w:pPr><w:pStyle w:val="Normal"/></w:pPr>
<w:r><w:t xml:space="preserve">the limits of the city south and east and has now been partly</w:t></w:r>
</w:p>
<w:p>
<w:pPr><w:pStyle w:val="Normal"/></w:pPr>
<w:r><w:t xml:space="preserve">demolished.  Throughout the central part of Alexandria the</w:t></w:r>
</w:p>
<w:p>
<w:pPr><w:pStyle w:val="Normal"/></w:pPr>
<w:r><w:t xml:space="preserve">streets are paved with blocks of lava and lighted by electricity.</w:t></w:r>
</w:p>
<w:p>
<w:pPr><w:pStyle w:val="Normal"/></w:pPr>
<w:r><w:t xml:space="preserve">The north quarter is mainly occupied by natives and Levantines.</w:t></w:r>
</w:p>
<w:p>
<w:pPr><w:pStyle w:val="Normal"/></w:pPr>
<w:r><w:t xml:space="preserve">The narrow winding streets and the Arab bazaars present an</w:t></w:r>
</w:p>
<w:p>
<w:pPr><w:pStyle w:val="Normal"/></w:pPr>
<w:r><w:t xml:space="preserve">Oriental scene contrasting with the European aspect of the</w:t></w:r>
</w:p>
<w:p>
<w:pPr><w:pStyle w:val="Normal"/></w:pPr>
<w:r><w:t xml:space="preserve">district already described.  This Arab quarter is traversed</w:t></w:r>
</w:p>
<w:p>
<w:pPr><w:pStyle w:val="Normal"/></w:pPr>
<w:r><w:t xml:space="preserve">by the rue Ras et-Tin, leading to the promontory of than</w:t></w:r>
</w:p>
<w:p>
<w:pPr><w:pStyle w:val="Normal"/></w:pPr>
<w:r><w:t xml:space="preserve">name.  Here, overlooking the harbour, is the khedivial yacht</w:t></w:r>
</w:p>
<w:p>
<w:pPr><w:pStyle w:val="Normal"/></w:pPr>
<w:r><w:t xml:space="preserve">club (built 1903) and the palace, also called Ras et-Tin,</w:t></w:r>
</w:p>
<w:p>
<w:pPr><w:pStyle w:val="Normal"/></w:pPr>
<w:r><w:t xml:space="preserve">built by Mehemet Ali, a large but not otherwise noteworthy</w:t></w:r>
</w:p>
<w:p>
<w:pPr><w:pStyle w:val="Normal"/></w:pPr>
<w:r><w:t xml:space="preserve">building.  In the district between the Grand Square and the</w:t></w:r>
</w:p>
<w:p>
<w:pPr><w:pStyle w:val="Normal"/></w:pPr>
<w:r><w:t xml:space="preserve">western harbour, one of the poorest quarters of the city,</w:t></w:r>
</w:p>
<w:p>
<w:pPr><w:pStyle w:val="Normal"/></w:pPr>
<w:r><w:t xml:space="preserve">is an open space with Fort Caffareli or Napoleon in the</w:t></w:r>
</w:p>
<w:p>
<w:pPr><w:pStyle w:val="Normal"/></w:pPr>
<w:r><w:t xml:space="preserve">centre.  This quarter has been pierced by several straight</w:t></w:r>
</w:p>
<w:p>
<w:pPr><w:pStyle w:val="Normal"/></w:pPr>
<w:r><w:t xml:space="preserve">roads, one of which, crossing the Mahmudiya canal by the Pont</w:t></w:r>
</w:p>
<w:p>
<w:pPr><w:pStyle w:val="Normal"/></w:pPr>
<w:r><w:t xml:space="preserve">Neuf, leads to Gabbari, the most westerly part of the city</w:t></w:r>
</w:p>
<w:p>
<w:pPr><w:pStyle w:val="Normal"/></w:pPr>
<w:r><w:t xml:space="preserve">and an industrial and manufacturing region, possessing asphalt</w:t></w:r>
</w:p>
<w:p>
<w:pPr><w:pStyle w:val="Normal"/></w:pPr>
<w:r><w:t xml:space="preserve">works and oil, rice and paper mills.  On either side of the</w:t></w:r>
</w:p>
<w:p>
<w:pPr><w:pStyle w:val="Normal"/></w:pPr>
<w:r><w:t xml:space="preserve">canal are the warehouses of wholesale dealers in cotton, wool,</w:t></w:r>
</w:p>
<w:p>
<w:pPr><w:pStyle w:val="Normal"/></w:pPr>
<w:r><w:t xml:space="preserve">sugar, grain and other commodities.  In the southern part of</w:t></w:r>
</w:p>
<w:p>
<w:pPr><w:pStyle w:val="Normal"/></w:pPr>
<w:r><w:t xml:space="preserve">the city are the Arab cemetery, ``Pompey&apos;s Pillar&apos;&apos; and the</w:t></w:r>
</w:p>
<w:p>
<w:pPr><w:pStyle w:val="Normal"/></w:pPr>
<w:r><w:t xml:space="preserve">catacombs. ``Pompey&apos;s Pillar,&apos;&apos; which stands on the highest</w:t></w:r>
</w:p>
<w:p>
<w:pPr><w:pStyle w:val="Normal"/></w:pPr>
<w:r><w:t xml:space="preserve">spot in Alexandria, is nearly 99 ft. high, including the</w:t></w:r>
</w:p>
<w:p>
<w:pPr><w:pStyle w:val="Normal"/></w:pPr>
<w:r><w:t xml:space="preserve">pedestal.  The shaft is of red granite and is beautifully</w:t></w:r>
</w:p>
<w:p>
<w:pPr><w:pStyle w:val="Normal"/></w:pPr>
<w:r><w:t xml:space="preserve">polished.  Nine feet in diameter at the base, it tapers to eight</w:t></w:r>
</w:p>
<w:p>
<w:pPr><w:pStyle w:val="Normal"/></w:pPr>
<w:r><w:t xml:space="preserve">feet at the top.  The catacombs, a short distance S.W. of the</w:t></w:r>
</w:p>
<w:p>
<w:pPr><w:pStyle w:val="Normal"/></w:pPr>
<w:r><w:t xml:space="preserve">pillar, are hewn out of the rocky slope of a hill, and are an</w:t></w:r>
</w:p>
<w:p>
<w:pPr><w:pStyle w:val="Normal"/></w:pPr>
<w:r><w:t xml:space="preserve">elaborate series of chambers adorned with pillars, statues,</w:t></w:r>
</w:p>
<w:p>
<w:pPr><w:pStyle w:val="Normal"/></w:pPr>
<w:r><w:t xml:space="preserve">religious symbols and traces of painting (see below, Ancient</w:t></w:r>
</w:p>
<w:p>
<w:pPr><w:pStyle w:val="Normal"/></w:pPr>
<w:r><w:t xml:space="preserve">City.) Along the northern side of the Mahmudiya canal,</w:t></w:r>
</w:p>
<w:p>
<w:pPr><w:pStyle w:val="Normal"/></w:pPr>
<w:r><w:t xml:space="preserve">which here passes a little S. of the catacombs, are many fine</w:t></w:r>
</w:p>
<w:p>
<w:pPr><w:pStyle w:val="Normal"/></w:pPr>
<w:r><w:t xml:space="preserve">houses and gardens (Moharrem Bey quarter), stretching eastward</w:t></w:r>
</w:p>
<w:p>
<w:pPr><w:pStyle w:val="Normal"/></w:pPr>
<w:r><w:t xml:space="preserve">for a considerable distance, favourite residences of wealthy</w:t></w:r>
</w:p>
<w:p>
<w:pPr><w:pStyle w:val="Normal"/></w:pPr>
<w:r><w:t xml:space="preserve">citizens.  A similar residential quarter has also grown up</w:t></w:r>
</w:p>
<w:p>
<w:pPr><w:pStyle w:val="Normal"/></w:pPr>
<w:r><w:t xml:space="preserve">on the N.E., where the line of the old fortifications has</w:t></w:r>
</w:p>
<w:p>
<w:pPr><w:pStyle w:val="Normal"/></w:pPr>
<w:r><w:t xml:space="preserve">become a boulevard.  The district extending outside the E.</w:t></w:r>
</w:p>
<w:p>
<w:pPr><w:pStyle w:val="Normal"/></w:pPr>
<w:r><w:t xml:space="preserve">fortifications, in the direction of Hadra, has been laid out</w:t></w:r>
</w:p>
<w:p>
<w:pPr><w:pStyle w:val="Normal"/></w:pPr>
<w:r><w:t xml:space="preserve">with fine avenues, and contains numerous garden-cafes and</w:t></w:r>
</w:p>
<w:p>
<w:pPr><w:pStyle w:val="Normal"/></w:pPr>
<w:r><w:t xml:space="preserve">pleasure resorts.  Thence roads lead to the E. suburb known</w:t></w:r>
</w:p>
<w:p>
<w:pPr><w:pStyle w:val="Normal"/></w:pPr>
<w:r><w:t xml:space="preserve">generally as Ramleh, which stretches along the coast, and is</w:t></w:r>
</w:p>
<w:p>
<w:pPr><w:pStyle w:val="Normal"/></w:pPr>
<w:r><w:t xml:space="preserve">served by a local railway.  It begins E. of the racecourse</w:t></w:r>
</w:p>
<w:p>
<w:pPr><w:pStyle w:val="Normal"/></w:pPr>
<w:r><w:t xml:space="preserve">with Sidi Gabr, and does not end till the khedivial estates</w:t></w:r>
</w:p>
<w:p>
<w:pPr><w:pStyle w:val="Normal"/></w:pPr>
<w:r><w:t xml:space="preserve">E. of San Stefano are reached, some 5 m.  E. All this space</w:t></w:r>
</w:p>
<w:p>
<w:pPr><w:pStyle w:val="Normal"/></w:pPr>
<w:r><w:t xml:space="preserve">is filled with villas, gardens and hotels, and is a favourite</w:t></w:r>
</w:p>
<w:p>
<w:pPr><w:pStyle w:val="Normal"/></w:pPr>
<w:r><w:t xml:space="preserve">summer resort not only of Alexandrians but also of Cairenes.</w:t></w:r>
</w:p>
<w:p>
<w:pPr><w:pStyle w:val="Normal"/></w:pPr>
<w:r><w:t xml:space="preserve">The eastern bay is rocky, shallow and exposed, and is now used</w:t></w:r>
</w:p>
<w:p>
<w:pPr><w:pStyle w:val="Normal"/></w:pPr>
<w:r><w:t xml:space="preserve">only by native craft.  The harbour is on the W. of Pharos and</w:t></w:r>
</w:p>
<w:p>
<w:pPr><w:pStyle w:val="Normal"/></w:pPr>
<w:r><w:t xml:space="preserve">partly formed by a breakwater (built 1871-1873 and prolonged</w:t></w:r>
</w:p>
<w:p>
<w:pPr><w:pStyle w:val="Normal"/></w:pPr>
<w:r><w:t xml:space="preserve">1906-1907), 2 m. long.  The breakwater starts opposite the</w:t></w:r>
</w:p>
<w:p>
<w:pPr><w:pStyle w:val="Normal"/></w:pPr>
<w:r><w:t xml:space="preserve">promontory of Ras et-Tin, on which is a lighthouse, 180 ft.</w:t></w:r>
</w:p>
<w:p>
<w:pPr><w:pStyle w:val="Normal"/></w:pPr>
<w:r><w:t xml:space="preserve">above the sea, built by Mehemet Ali. Another breakwater starts</w:t></w:r>
</w:p>
<w:p>
<w:pPr><w:pStyle w:val="Normal"/></w:pPr>
<w:r><w:t xml:space="preserve">from the Gabbari side, the opening between the two works</w:t></w:r>
</w:p>
<w:p>
<w:pPr><w:pStyle w:val="Normal"/></w:pPr>
<w:r><w:t xml:space="preserve">being about half a mile.  A number of scattered rocks lie</w:t></w:r>
</w:p>
<w:p>
<w:pPr><w:pStyle w:val="Normal"/></w:pPr>
<w:r><w:t xml:space="preserve">across the entrance, but through them two fairways have been</w:t></w:r>
</w:p>
<w:p>
<w:pPr><w:pStyle w:val="Normal"/></w:pPr>
<w:r><w:t xml:space="preserve">made, one 600 ft. wide and 35 ft. deep, the other 300 ft.</w:t></w:r>
</w:p>
<w:p>
<w:pPr><w:pStyle w:val="Normal"/></w:pPr>
<w:r><w:t xml:space="preserve">wide and 30 ft. deep.  The enclosed water is divided into an</w:t></w:r>
</w:p>
<w:p>
<w:pPr><w:pStyle w:val="Normal"/></w:pPr>
<w:r><w:t xml:space="preserve">outer and inner harbour by a mole, 1000 yds. long, projecting</w:t></w:r>
</w:p>
<w:p>
<w:pPr><w:pStyle w:val="Normal"/></w:pPr>
<w:r><w:t xml:space="preserve">N.W. from the southern shore.  The inner harbour covers 464</w:t></w:r>
</w:p>
<w:p>
<w:pPr><w:pStyle w:val="Normal"/></w:pPr>
<w:r><w:t xml:space="preserve">acres.  It is lined for 2 1/2 m. by quays, affording accommodation</w:t></w:r>
</w:p>
<w:p>
<w:pPr><w:pStyle w:val="Normal"/></w:pPr>
<w:r><w:t xml:space="preserve">for ships drawing up to 28 ft.  The outer harbour (1400 acres</w:t></w:r>
</w:p>
<w:p>
<w:pPr><w:pStyle w:val="Normal"/></w:pPr>
<w:r><w:t xml:space="preserve">water area) is furnished with a graving dock, completed in</w:t></w:r>
</w:p>
<w:p>
<w:pPr><w:pStyle w:val="Normal"/></w:pPr>
<w:r><w:t xml:space="preserve">1905, 520 ft. long, and with quays and jetties along the</w:t></w:r>
</w:p>
<w:p>
<w:pPr><w:pStyle w:val="Normal"/></w:pPr>
<w:r><w:t xml:space="preserve">Gabbari foreshore.  Their construction was begun in 1906.</w:t></w:r>
</w:p>
<w:p>
<w:pPr><w:pStyle w:val="Normal"/></w:pPr>
<w:r><w:t xml:space="preserve">Alexandria is linked by a network of railway and telegraph</w:t></w:r>
</w:p>
<w:p>
<w:pPr><w:pStyle w:val="Normal"/></w:pPr>
<w:r><w:t xml:space="preserve">lines to the other towns of Egypt, and there is a trunk</w:t></w:r>
</w:p>
<w:p>
<w:pPr><w:pStyle w:val="Normal"/></w:pPr>
<w:r><w:t xml:space="preserve">telephone line to Cairo.  The city secured in 1906 a new</w:t></w:r>
</w:p>
<w:p>
<w:pPr><w:pStyle w:val="Normal"/></w:pPr>
<w:r><w:t xml:space="preserve">and adequate water-supply, modern drainage works having been</w:t></w:r>
</w:p>
<w:p>
<w:pPr><w:pStyle w:val="Normal"/></w:pPr>
<w:r><w:t xml:space="preserve">completed the previous year.  Being the great entrepot</w:t></w:r>
</w:p>
<w:p>
<w:pPr><w:pStyle w:val="Normal"/></w:pPr>
<w:r><w:t xml:space="preserve">for the trade of Egypt, the city is the headquarters of the</w:t></w:r>
</w:p>
<w:p>
<w:pPr><w:pStyle w:val="Normal"/></w:pPr>
<w:r><w:t xml:space="preserve">British chamber of commerce and of most of the merchants and</w:t></w:r>
</w:p>
<w:p>
<w:pPr><w:pStyle w:val="Normal"/></w:pPr>
<w:r><w:t xml:space="preserve">companies engaged in the development of the Delta.  About 90%</w:t></w:r>
</w:p>
<w:p>
<w:pPr><w:pStyle w:val="Normal"/></w:pPr>
<w:r><w:t xml:space="preserve">of the total exports and imports of the country pass through</w:t></w:r>
</w:p>
<w:p>
<w:pPr><w:pStyle w:val="Normal"/></w:pPr>
<w:r><w:t xml:space="preserve">the port, though the completion, in 1904, of a broad-gauge</w:t></w:r>
</w:p>
<w:p>
<w:pPr><w:pStyle w:val="Normal"/></w:pPr>
<w:r><w:t xml:space="preserve">railway connecting Cairo and Port Said deflected some of the</w:t></w:r>
</w:p>
<w:p>
<w:pPr><w:pStyle w:val="Normal"/></w:pPr>
<w:r><w:t xml:space="preserve">cotton exports to the Suez Canal route.  The staple export</w:t></w:r>
</w:p>
<w:p>
<w:pPr><w:pStyle w:val="Normal"/></w:pPr>
<w:r><w:t xml:space="preserve">is raw cotton, the value of which is about 80% of all the</w:t></w:r>
</w:p>
<w:p>
<w:pPr><w:pStyle w:val="Normal"/></w:pPr>
<w:r><w:t xml:space="preserve">exports.  The principal imports are manufactured cotton goods</w:t></w:r>
</w:p>
<w:p>
<w:pPr><w:pStyle w:val="Normal"/></w:pPr>
<w:r><w:t xml:space="preserve">and other textiles, machinery, timber and coal.  The value</w:t></w:r>
</w:p>
<w:p>
<w:pPr><w:pStyle w:val="Normal"/></w:pPr>
<w:r><w:t xml:space="preserve">of the trade of the port increased from L. 30,000,000 in 1900</w:t></w:r>
</w:p>
<w:p>
<w:pPr><w:pStyle w:val="Normal"/></w:pPr>
<w:r><w:t xml:space="preserve">to L. 46,000,000 in 1906.  In the same period the tonnage</w:t></w:r>
</w:p>
<w:p>
<w:pPr><w:pStyle w:val="Normal"/></w:pPr>
<w:r><w:t xml:space="preserve">of the ships entering the harbour rose from 2,375,000 to</w:t></w:r>
</w:p>
<w:p>
<w:pPr><w:pStyle w:val="Normal"/></w:pPr>
<w:r><w:t xml:space="preserve">3,695,000.  Of the total trade Great Britain supplies from</w:t></w:r>
</w:p>
<w:p>
<w:pPr><w:pStyle w:val="Normal"/></w:pPr>
<w:r><w:t xml:space="preserve">35 to 40% of the imports and takes over 50% of the exports.</w:t></w:r>
</w:p>
<w:p>
<w:pPr><w:pStyle w:val="Normal"/></w:pPr>
<w:r><w:t xml:space="preserve">Among the exports sent to England are the great majority of the</w:t></w:r>
</w:p>
<w:p>
<w:pPr><w:pStyle w:val="Normal"/></w:pPr>
<w:r><w:t xml:space="preserve">80,000,000 eggs annually shipped (see also EGYPT: Commerce.)</w:t></w:r>
</w:p>
<w:p>
<w:pPr><w:pStyle w:val="Normal"/></w:pPr>
<w:r><w:t xml:space="preserve">The population of the city (1907) was 332,246 or including</w:t></w:r>
</w:p>
<w:p>
<w:pPr><w:pStyle w:val="Normal"/></w:pPr>
<w:r><w:t xml:space="preserve">the suburbs, about 400,000.  The foreigners numbered over</w:t></w:r>
</w:p>
<w:p>
<w:pPr><w:pStyle w:val="Normal"/></w:pPr>
<w:r><w:t xml:space="preserve">90,000.  The majority of these were Greeks, Italians, Syrians,</w:t></w:r>
</w:p>
<w:p>
<w:pPr><w:pStyle w:val="Normal"/></w:pPr>
<w:r><w:t xml:space="preserve">Armenians and other Levantines, though almost every European</w:t></w:r>
</w:p>
<w:p>
<w:pPr><w:pStyle w:val="Normal"/></w:pPr>
<w:r><w:t xml:space="preserve">and Oriental nation is represented.  The predominant languages</w:t></w:r>
</w:p>
<w:p>
<w:pPr><w:pStyle w:val="Normal"/></w:pPr>
<w:r><w:t xml:space="preserve">spoken, besides the Arabic of the natives, are Greek, French,</w:t></w:r>
</w:p>
<w:p>
<w:pPr><w:pStyle w:val="Normal"/></w:pPr>
<w:r><w:t xml:space="preserve">English and Italian.  The labouring population is mainly</w:t></w:r>
</w:p>
<w:p>
<w:pPr><w:pStyle w:val="Normal"/></w:pPr>
<w:r><w:t xml:space="preserve">Egyptian; the Greeks and Levantines are usually shopkeepers</w:t></w:r>
</w:p>
<w:p>
<w:pPr><w:pStyle w:val="Normal"/></w:pPr>
<w:r><w:t xml:space="preserve">or petty traders.  In its social life Alexandria is the</w:t></w:r>
</w:p>
<w:p>
<w:pPr><w:pStyle w:val="Normal"/></w:pPr>
<w:r><w:t xml:space="preserve">most progressive and occidental of all the cities of North</w:t></w:r>
</w:p>
<w:p>
<w:pPr><w:pStyle w:val="Normal"/></w:pPr>
<w:r><w:t xml:space="preserve">Africa, with the possible exception of Algiers. (F. R. C.)</w:t></w:r>
</w:p>
<w:p>
<w:pPr><w:pStyle w:val="Heading1"/></w:pPr>
<w:r><w:t>II. The Ancient City.--The Greek Alexandria was divided</w:t></w:r>
</w:p>
<w:p>
<w:pPr><w:pStyle w:val="Normal"/></w:pPr>
<w:r><w:t xml:space="preserve">into three regions: (1) the Jews&apos; quarter, forming the</w:t></w:r>
</w:p>
<w:p>
<w:pPr><w:pStyle w:val="Normal"/></w:pPr>
<w:r><w:t xml:space="preserve">north-east portion of the city; (2) Rhacotis, on the west,</w:t></w:r>
</w:p>
<w:p>
<w:pPr><w:pStyle w:val="Normal"/></w:pPr>
<w:r><w:t xml:space="preserve">occupied chiefly by Egyptians; (3) Brucheum, the Royal or</w:t></w:r>
</w:p>
<w:p>
<w:pPr><w:pStyle w:val="Normal"/></w:pPr>
<w:r><w:t xml:space="preserve">Greek quarter, forming the most magnificent portion of the</w:t></w:r>
</w:p>
<w:p>
<w:pPr><w:pStyle w:val="Normal"/></w:pPr>
<w:r><w:t xml:space="preserve">city.  In Roman times Brucheum was enlarged by the addition of</w:t></w:r>
</w:p>
<w:p>
<w:pPr><w:pStyle w:val="Normal"/></w:pPr>
<w:r><w:t xml:space="preserve">an official quarter, making up the number of four regiones</w:t></w:r>
</w:p>
<w:p>
<w:pPr><w:pStyle w:val="Normal"/></w:pPr>
<w:r><w:t xml:space="preserve">in all.  The city was laid out as a gridiron of parallel</w:t></w:r>
</w:p>
<w:p>
<w:pPr><w:pStyle w:val="Normal"/></w:pPr>
<w:r><w:t xml:space="preserve">streets, each of which had an attendant subterranean canal.</w:t></w:r>
</w:p>
<w:p>
<w:pPr><w:pStyle w:val="Normal"/></w:pPr>
<w:r><w:t xml:space="preserve">Two main streets, lined with colonnades and said to have been</w:t></w:r>
</w:p>
<w:p>
<w:pPr><w:pStyle w:val="Normal"/></w:pPr>
<w:r><w:t xml:space="preserve">each about 200 ft. wide, intersected in the centre of the</w:t></w:r>
</w:p>
<w:p>
<w:pPr><w:pStyle w:val="Normal"/></w:pPr>
<w:r><w:t xml:space="preserve">city, close to the point where rose the Sema (or Soma)</w:t></w:r>
</w:p>
<w:p>
<w:pPr><w:pStyle w:val="Normal"/></w:pPr>
<w:r><w:t xml:space="preserve">of Alexander (i.e. his Mausoleum).  This point is very</w:t></w:r>
</w:p>
<w:p>
<w:pPr><w:pStyle w:val="Normal"/></w:pPr>
<w:r><w:t xml:space="preserve">near the present mosque of Nebi Daniel; and the line of the</w:t></w:r>
</w:p>
<w:p>
<w:pPr><w:pStyle w:val="Normal"/></w:pPr>
<w:r><w:t xml:space="preserve">great east-west ``Canopic&apos;&apos; street only slightly diverged</w:t></w:r>
</w:p>
<w:p>
<w:pPr><w:pStyle w:val="Normal"/></w:pPr>
<w:r><w:t xml:space="preserve">from that of the modern Boulevard de Rosette.  Traces of its</w:t></w:r>
</w:p>
<w:p>
<w:pPr><w:pStyle w:val="Normal"/></w:pPr>
<w:r><w:t xml:space="preserve">pavement and canal have been found near the Rosetta Gate; but</w:t></w:r>
</w:p>
<w:p>
<w:pPr><w:pStyle w:val="Normal"/></w:pPr>
<w:r><w:t xml:space="preserve">better remains still of streets and canals were exposed in</w:t></w:r>
</w:p>
<w:p>
<w:pPr><w:pStyle w:val="Normal"/></w:pPr>
<w:r><w:t xml:space="preserve">1899 by the German excavators outside the E. fortifications,</w:t></w:r>
</w:p>
<w:p>
<w:pPr><w:pStyle w:val="Normal"/></w:pPr>
<w:r><w:t xml:space="preserve">which lie well within the area of the ancient city.</w:t></w:r>
</w:p>
<w:p>
<w:pPr><w:pStyle w:val="Normal"/></w:pPr>
<w:r><w:t xml:space="preserve">Alexandria consisted originally of little more than the</w:t></w:r>
</w:p>
<w:p>
<w:pPr><w:pStyle w:val="Normal"/></w:pPr>
<w:r><w:t xml:space="preserve">island of Pharos, which was joined to the mainland by a mole</w:t></w:r>
</w:p>
<w:p>
<w:pPr><w:pStyle w:val="Normal"/></w:pPr>
<w:r><w:t xml:space="preserve">nearly a mile long and called the Heptastadium. The end</w:t></w:r>
</w:p>
<w:p>
<w:pPr><w:pStyle w:val="Normal"/></w:pPr>
<w:r><w:t xml:space="preserve">of this abutted on the land at the head of the present Grand</w:t></w:r>
</w:p>
<w:p>
<w:pPr><w:pStyle w:val="Normal"/></w:pPr>
<w:r><w:t xml:space="preserve">Square, where rose the ``Moon Gate.&apos;&apos; All that now lies</w:t></w:r>
</w:p>
<w:p>
<w:pPr><w:pStyle w:val="Normal"/></w:pPr>
<w:r><w:t xml:space="preserve">between that point and the modern Ras et-Tin quarter is built</w:t></w:r>
</w:p>
<w:p>
<w:pPr><w:pStyle w:val="Normal"/></w:pPr>
<w:r><w:t xml:space="preserve">on the silt which gradually widened and obliterated this</w:t></w:r>
</w:p>
<w:p>
<w:pPr><w:pStyle w:val="Normal"/></w:pPr>
<w:r><w:t xml:space="preserve">mole.  The Ras et-Tin quarter represents all that is left</w:t></w:r>
</w:p>
<w:p>
<w:pPr><w:pStyle w:val="Normal"/></w:pPr>
<w:r><w:t xml:space="preserve">of the island of Pharos, the site of the actual lighthouse</w:t></w:r>
</w:p>
<w:p>
<w:pPr><w:pStyle w:val="Normal"/></w:pPr>
<w:r><w:t xml:space="preserve">having been weathered away by the sea.  On the east of</w:t></w:r>
</w:p>
<w:p>
<w:pPr><w:pStyle w:val="Normal"/></w:pPr>
<w:r><w:t xml:space="preserve">the mole was the Great Harbour, now an open bay; on the</w:t></w:r>
</w:p>
<w:p>
<w:pPr><w:pStyle w:val="Normal"/></w:pPr>
<w:r><w:t xml:space="preserve">west lay the port of Eunostos, with its inner basin</w:t></w:r>
</w:p>
<w:p>
<w:pPr><w:pStyle w:val="Normal"/></w:pPr>
<w:r><w:t xml:space="preserve">Kibotos, now vastly enlarged to form the modern harbour.</w:t></w:r>
</w:p>
<w:p>
<w:pPr><w:pStyle w:val="Normal"/></w:pPr>
<w:r><w:t xml:space="preserve">In Strabo&apos;s time, (latter half of 1st century B.C.) the</w:t></w:r>
</w:p>
<w:p>
<w:pPr><w:pStyle w:val="Normal"/></w:pPr>
<w:r><w:t xml:space="preserve">principal buildings were as follows, enumerated as they were to</w:t></w:r>
</w:p>
<w:p>
<w:pPr><w:pStyle w:val="Normal"/></w:pPr>
<w:r><w:t xml:space="preserve">be seen from a ship entering the Great Harbour. (1) The Royal</w:t></w:r>
</w:p>
<w:p>
<w:pPr><w:pStyle w:val="Normal"/></w:pPr>
<w:r><w:t xml:space="preserve">Palaces, filling the N.E. angle of the town and occupying the</w:t></w:r>
</w:p>
<w:p>
<w:pPr><w:pStyle w:val="Normal"/></w:pPr>
<w:r><w:t xml:space="preserve">promontory of Lochias, which shut in the Great Harbouron the</w:t></w:r>
</w:p>
<w:p>
<w:pPr><w:pStyle w:val="Normal"/></w:pPr>
<w:r><w:t xml:space="preserve">east.  Lochias, the modern Pharillon, has almost entirely</w:t></w:r>
</w:p>
<w:p>
<w:pPr><w:pStyle w:val="Normal"/></w:pPr>
<w:r><w:t xml:space="preserve">disappeared into the sea, together with the palaces, the</w:t></w:r>
</w:p>
<w:p>
<w:pPr><w:pStyle w:val="Normal"/></w:pPr>
<w:r><w:t xml:space="preserve">``Private Port&apos;&apos; and the island of Antirrhodus.  There has been</w:t></w:r>
</w:p>
<w:p>
<w:pPr><w:pStyle w:val="Normal"/></w:pPr>
<w:r><w:t xml:space="preserve">a land subsidence here, as throughout the N. Delta and indeed</w:t></w:r>
</w:p>
<w:p>
<w:pPr><w:pStyle w:val="Normal"/></w:pPr>
<w:r><w:t xml:space="preserve">all the N.E. coast of Africa; and on calm days the foundations</w:t></w:r>
</w:p>
<w:p>
<w:pPr><w:pStyle w:val="Normal"/></w:pPr>
<w:r><w:t xml:space="preserve">of buildings may be seen, running out far under sea, near the</w:t></w:r>
</w:p>
<w:p>
<w:pPr><w:pStyle w:val="Normal"/></w:pPr>
<w:r><w:t xml:space="preserve">Pharillon.  Search was made for relics of these palaces by</w:t></w:r>
</w:p>
<w:p>
<w:pPr><w:pStyle w:val="Normal"/></w:pPr>
<w:r><w:t xml:space="preserve">German explorers in 1898-1899, but without much success. (2)</w:t></w:r>
</w:p>
<w:p>
<w:pPr><w:pStyle w:val="Normal"/></w:pPr>
<w:r><w:t xml:space="preserve">The Great Theatre, on the modern Hospital Hill near the Ramleh</w:t></w:r>
</w:p>
<w:p>
<w:pPr><w:pStyle w:val="Normal"/></w:pPr>
<w:r><w:t xml:space="preserve">station.  This was used by Caesar as a fortress, where he</w:t></w:r>
</w:p>
<w:p>
<w:pPr><w:pStyle w:val="Normal"/></w:pPr>
<w:r><w:t xml:space="preserve">stood a siege from the city mob after the battle of Pharsalus.</w:t></w:r>
</w:p>
<w:p>
<w:pPr><w:pStyle w:val="Normal"/></w:pPr>
<w:r><w:t xml:space="preserve">(3)The Poseideion or Temple of the Sea God, close to the</w:t></w:r>
</w:p>
<w:p>
<w:pPr><w:pStyle w:val="Normal"/></w:pPr>
<w:r><w:t xml:space="preserve">theatre and in front of it. (4) The Timonium built by Antony.</w:t></w:r>
</w:p>
<w:p>
<w:pPr><w:pStyle w:val="Normal"/></w:pPr>
<w:r><w:t xml:space="preserve">(5, 6, 7) The Emporium (Exchange), Apostases (Magazines)</w:t></w:r>
</w:p>
<w:p>
<w:pPr><w:pStyle w:val="Normal"/></w:pPr>
<w:r><w:t xml:space="preserve">and Navalia (Docks), lying west of (4), along the sea-front</w:t></w:r>
</w:p>
<w:p>
<w:pPr><w:pStyle w:val="Normal"/></w:pPr>
<w:r><w:t xml:space="preserve">as far as the mole.  Behind the Emporium rose (8) the Great</w:t></w:r>
</w:p>
<w:p>
<w:pPr><w:pStyle w:val="Normal"/></w:pPr>
<w:r><w:t xml:space="preserve">Caesareum, by which stood the two great obelisks, later known</w:t></w:r>
</w:p>
<w:p>
<w:pPr><w:pStyle w:val="Normal"/></w:pPr>
<w:r><w:t xml:space="preserve">as ``Cleopatra&apos;s Needles,&apos;&apos; and now removed to New York and</w:t></w:r>
</w:p>
<w:p>
<w:pPr><w:pStyle w:val="Normal"/></w:pPr>
<w:r><w:t xml:space="preserve">London.  This temple became in time the Patriarchal Church,</w:t></w:r>
</w:p>
<w:p>
<w:pPr><w:pStyle w:val="Normal"/></w:pPr>
<w:r><w:t xml:space="preserve">some remains of which have been discovered: but the actual</w:t></w:r>
</w:p>
<w:p>
<w:pPr><w:pStyle w:val="Normal"/></w:pPr>
<w:r><w:t xml:space="preserve">Caesareum, so far as not eroded by the waves, lies under</w:t></w:r>
</w:p>
<w:p>
<w:pPr><w:pStyle w:val="Normal"/></w:pPr>
<w:r><w:t xml:space="preserve">the houses lining the new sea-wall. (9) The Gymnasium</w:t></w:r>
</w:p>
<w:p>
<w:pPr><w:pStyle w:val="Normal"/></w:pPr>
<w:r><w:t xml:space="preserve">and (10) the Palaestra are both inland, near the great</w:t></w:r>
</w:p>
<w:p>
<w:pPr><w:pStyle w:val="Normal"/></w:pPr>
<w:r><w:t xml:space="preserve">Canopic street (Boulevard de Rosette) in the eastern half</w:t></w:r>
</w:p>
<w:p>
<w:pPr><w:pStyle w:val="Normal"/></w:pPr>
<w:r><w:t xml:space="preserve">of the town, but on sites not determined. (11) The Temple</w:t></w:r>
</w:p>
<w:p>
<w:pPr><w:pStyle w:val="Normal"/></w:pPr>
<w:r><w:t xml:space="preserve">of Saturn: site unknown. (12) The Mausolea of Alexander</w:t></w:r>
</w:p>
<w:p>
<w:pPr><w:pStyle w:val="Normal"/></w:pPr>
<w:r><w:t xml:space="preserve">(Soma) and the Ptolemies in one ring-fence, near the point</w:t></w:r>
</w:p>
<w:p>
<w:pPr><w:pStyle w:val="Normal"/></w:pPr>
<w:r><w:t xml:space="preserve">of intersection of the two main streets. (13) The Museum</w:t></w:r>
</w:p>
<w:p>
<w:pPr><w:pStyle w:val="Normal"/></w:pPr>
<w:r><w:t xml:space="preserve">with its library and theatre in the same region; but on a</w:t></w:r>
</w:p>
<w:p>
<w:pPr><w:pStyle w:val="Normal"/></w:pPr>
<w:r><w:t xml:space="preserve">site not identified. (14) The Serapeum, the most famous of</w:t></w:r>
</w:p>
<w:p>
<w:pPr><w:pStyle w:val="Normal"/></w:pPr>
<w:r><w:t xml:space="preserve">all Alexandrian temples Strabo tells us that this stood in</w:t></w:r>
</w:p>
<w:p>
<w:pPr><w:pStyle w:val="Normal"/></w:pPr>
<w:r><w:t xml:space="preserve">the west of the city; and recent discoveries go far to place</w:t></w:r>
</w:p>
<w:p>
<w:pPr><w:pStyle w:val="Normal"/></w:pPr>
<w:r><w:t xml:space="preserve">it near ``Pompey&apos;s Pillar&apos;&apos; (see above) which, however, was</w:t></w:r>
</w:p>
<w:p>
<w:pPr><w:pStyle w:val="Normal"/></w:pPr>
<w:r><w:t xml:space="preserve">an independent monument erected to commemorate Diocletian&apos;s</w:t></w:r>
</w:p>
<w:p>
<w:pPr><w:pStyle w:val="Normal"/></w:pPr>
<w:r><w:t xml:space="preserve">siege of the city.  We know the names of a few other public</w:t></w:r>
</w:p>
<w:p>
<w:pPr><w:pStyle w:val="Normal"/></w:pPr>
<w:r><w:t xml:space="preserve">buildings on the mainland, but nothing as to their position.</w:t></w:r>
</w:p>
<w:p>
<w:pPr><w:pStyle w:val="Normal"/></w:pPr>
<w:r><w:t xml:space="preserve">On the eastern point of the Pharos island stood the Great</w:t></w:r>
</w:p>
<w:p>
<w:pPr><w:pStyle w:val="Normal"/></w:pPr>
<w:r><w:t xml:space="preserve">Lighthouse, one of the ``Seven Wonders,&apos;&apos; reputed to be 400 ft.</w:t></w:r>
</w:p>
<w:p>
<w:pPr><w:pStyle w:val="Normal"/></w:pPr>
<w:r><w:t xml:space="preserve">high.  The first Ptolemy began it, and the second completed</w:t></w:r>
</w:p>
<w:p>
<w:pPr><w:pStyle w:val="Normal"/></w:pPr>
<w:r><w:t xml:space="preserve">it, at a total cost of 800 talents.  It is the prototype of</w:t></w:r>
</w:p>
<w:p>
<w:pPr><w:pStyle w:val="Normal"/></w:pPr>
<w:r><w:t xml:space="preserve">all lighthouses (q.v.) in the world.  A temple of Hephaestus</w:t></w:r>
</w:p>
<w:p>
<w:pPr><w:pStyle w:val="Normal"/></w:pPr>
<w:r><w:t xml:space="preserve">also stood on Pharos at the head of the mole.  In the Augustan</w:t></w:r>
</w:p>
<w:p>
<w:pPr><w:pStyle w:val="Normal"/></w:pPr>
<w:r><w:t xml:space="preserve">age the population of Alexandria was estimated at 300,000</w:t></w:r>
</w:p>
<w:p>
<w:pPr><w:pStyle w:val="Normal"/></w:pPr>
<w:r><w:t xml:space="preserve">free folk, in addition to an immense number of slaves.</w:t></w:r>
</w:p>
<w:p>
<w:pPr><w:pStyle w:val="Heading1"/></w:pPr>
<w:r><w:t>III. History.--</w:t></w:r>
</w:p>
<w:p>
<w:pPr><w:pStyle w:val="Normal"/></w:pPr>
<w:r><w:t xml:space="preserve">Ancient and medieval period.</w:t></w:r>
</w:p>
<w:p>
<w:pPr><w:pStyle w:val="Normal"/></w:pPr>
<w:r><w:t xml:space="preserve">Founded in 332 B.C. by Alexander the Great, Alexandria was</w:t></w:r>
</w:p>
<w:p>
<w:pPr><w:pStyle w:val="Normal"/></w:pPr>
<w:r><w:t xml:space="preserve">intended to supersede Naucratis (q.v.) as a Greek centre in</w:t></w:r>
</w:p>
<w:p>
<w:pPr><w:pStyle w:val="Normal"/></w:pPr>
<w:r><w:t xml:space="preserve">Egypt, and to be the link between Macedonia and the rich Nile</w:t></w:r>
</w:p>
<w:p>
<w:pPr><w:pStyle w:val="Normal"/></w:pPr>
<w:r><w:t xml:space="preserve">Valley.  If such a city was to be on the Egyptian coast, there</w:t></w:r>
</w:p>
<w:p>
<w:pPr><w:pStyle w:val="Normal"/></w:pPr>
<w:r><w:t xml:space="preserve">was only one possible site, behind the screen of the Pharos</w:t></w:r>
</w:p>
<w:p>
<w:pPr><w:pStyle w:val="Normal"/></w:pPr>
<w:r><w:t xml:space="preserve">island and removed from the silt thrown out by Nile mouths.</w:t></w:r>
</w:p>
<w:p>
<w:pPr><w:pStyle w:val="Normal"/></w:pPr>
<w:r><w:t xml:space="preserve">An Egyptian townlet, Rhacotis, already stood on the shore and</w:t></w:r>
</w:p>
<w:p>
<w:pPr><w:pStyle w:val="Normal"/></w:pPr>
<w:r><w:t xml:space="preserve">was a resort of fishermen and pirates.  Behind it (according</w:t></w:r>
</w:p>
<w:p>
<w:pPr><w:pStyle w:val="Normal"/></w:pPr>
<w:r><w:t xml:space="preserve">to the Alexandrian treatise, known as pseudo-Callisthenes)</w:t></w:r>
</w:p>
<w:p>
<w:pPr><w:pStyle w:val="Normal"/></w:pPr>
<w:r><w:t xml:space="preserve">were five native villages scattered along the strip between</w:t></w:r>
</w:p>
<w:p>
<w:pPr><w:pStyle w:val="Normal"/></w:pPr>
<w:r><w:t xml:space="preserve">Lake Mareotis and the sea.  Alexander occupied Pharos, and</w:t></w:r>
</w:p>
<w:p>
<w:pPr><w:pStyle w:val="Normal"/></w:pPr>
<w:r><w:t xml:space="preserve">had a walled city marked out by Deinocrates on the mainland</w:t></w:r>
</w:p>
<w:p>
<w:pPr><w:pStyle w:val="Normal"/></w:pPr>
<w:r><w:t xml:space="preserve">to include Rhacotis.  A few months later he left Egypt for</w:t></w:r>
</w:p>
<w:p>
<w:pPr><w:pStyle w:val="Normal"/></w:pPr>
<w:r><w:t xml:space="preserve">the East and never returned to his city; but his corpse was</w:t></w:r>
</w:p>
<w:p>
<w:pPr><w:pStyle w:val="Normal"/></w:pPr>
<w:r><w:t xml:space="preserve">ultimately entombed there.  His viceroy, Cleomenes, continued</w:t></w:r>
</w:p>
<w:p>
<w:pPr><w:pStyle w:val="Normal"/></w:pPr>
<w:r><w:t xml:space="preserve">the creation of Alexandria.  The Heptastadium, however, and</w:t></w:r>
</w:p>
<w:p>
<w:pPr><w:pStyle w:val="Normal"/></w:pPr>
<w:r><w:t xml:space="preserve">the mainland quarters seem to have been mainly Ptolemaic</w:t></w:r>
</w:p>
<w:p>
<w:pPr><w:pStyle w:val="Normal"/></w:pPr>
<w:r><w:t xml:space="preserve">work.  Inheriting the trade of ruined Tyre and becoming the</w:t></w:r>
</w:p>
<w:p>
<w:pPr><w:pStyle w:val="Normal"/></w:pPr>
<w:r><w:t xml:space="preserve">centre of the new commerce between Europe and the Arabian</w:t></w:r>
</w:p>
<w:p>
<w:pPr><w:pStyle w:val="Normal"/></w:pPr>
<w:r><w:t xml:space="preserve">and Indian East, the city grew in less than a century to be</w:t></w:r>
</w:p>
<w:p>
<w:pPr><w:pStyle w:val="Normal"/></w:pPr>
<w:r><w:t xml:space="preserve">larger than Carthage; and for some centuries more it had to</w:t></w:r>
</w:p>
<w:p>
<w:pPr><w:pStyle w:val="Normal"/></w:pPr>
<w:r><w:t xml:space="preserve">acknowledge no superior but Rome.  It was a centre not only of</w:t></w:r>
</w:p>
<w:p>
<w:pPr><w:pStyle w:val="Normal"/></w:pPr>
<w:r><w:t xml:space="preserve">Hellenism but of Semitism, and the greatest Jewish city in the</w:t></w:r>
</w:p>
<w:p>
<w:pPr><w:pStyle w:val="Normal"/></w:pPr>
<w:r><w:t xml:space="preserve">world.  There the Septuagint was produced.  The early Ptolemies</w:t></w:r>
</w:p>
<w:p>
<w:pPr><w:pStyle w:val="Normal"/></w:pPr>
<w:r><w:t xml:space="preserve">kept it in order and fostered the development of its museum</w:t></w:r>
</w:p>
<w:p>
<w:pPr><w:pStyle w:val="Normal"/></w:pPr>
<w:r><w:t xml:space="preserve">into the leading Greek university; but they were careful</w:t></w:r>
</w:p>
<w:p>
<w:pPr><w:pStyle w:val="Normal"/></w:pPr>
<w:r><w:t xml:space="preserve">to maintain the distinction of its population into three</w:t></w:r>
</w:p>
<w:p>
<w:pPr><w:pStyle w:val="Normal"/></w:pPr>
<w:r><w:t xml:space="preserve">nations, ``Macedonian&apos;&apos; (i.e. Greek), Jew and Egyptian.</w:t></w:r>
</w:p>
<w:p>
<w:pPr><w:pStyle w:val="Normal"/></w:pPr>
<w:r><w:t xml:space="preserve">From this division arose much of the later turbulence which</w:t></w:r>
</w:p>
<w:p>
<w:pPr><w:pStyle w:val="Normal"/></w:pPr>
<w:r><w:t xml:space="preserve">began to manifest itself under Ptolemy Philopater.  Nominally</w:t></w:r>
</w:p>
<w:p>
<w:pPr><w:pStyle w:val="Normal"/></w:pPr>
<w:r><w:t xml:space="preserve">a free Greek city, Alexandria retained its senate to Roman</w:t></w:r>
</w:p>
<w:p>
<w:pPr><w:pStyle w:val="Normal"/></w:pPr>
<w:r><w:t xml:space="preserve">times; and indeed the judicial functions of that body were</w:t></w:r>
</w:p>
<w:p>
<w:pPr><w:pStyle w:val="Normal"/></w:pPr>
<w:r><w:t xml:space="preserve">restored by Septimius Severus, after temporary abolition by</w:t></w:r>
</w:p>
<w:p>
<w:pPr><w:pStyle w:val="Normal"/></w:pPr>
<w:r><w:t xml:space="preserve">Augustus.  The city passed formally under Roman jurisdiction</w:t></w:r>
</w:p>
<w:p>
<w:pPr><w:pStyle w:val="Normal"/></w:pPr>
<w:r><w:t xml:space="preserve">in 80 B.C., according to the will of Ptolemy Alexander: but</w:t></w:r>
</w:p>
<w:p>
<w:pPr><w:pStyle w:val="Normal"/></w:pPr>
<w:r><w:t xml:space="preserve">it had been under Roman influence for more than a hundred years</w:t></w:r>
</w:p>
<w:p>
<w:pPr><w:pStyle w:val="Normal"/></w:pPr>
<w:r><w:t xml:space="preserve">previously.  There Julius Caesar dallied with Cleopatra in</w:t></w:r>
</w:p>
<w:p>
<w:pPr><w:pStyle w:val="Normal"/></w:pPr>
<w:r><w:t xml:space="preserve">47 B.C. and was mobbed by the rabble; there his example</w:t></w:r>
</w:p>
<w:p>
<w:pPr><w:pStyle w:val="Normal"/></w:pPr>
<w:r><w:t xml:space="preserve">was followed by Antony, for whose favour the city paid dear</w:t></w:r>
</w:p>
<w:p>
<w:pPr><w:pStyle w:val="Normal"/></w:pPr>
<w:r><w:t xml:space="preserve">to Octavian, who placed over it a prefect from the imperial</w:t></w:r>
</w:p>
<w:p>
<w:pPr><w:pStyle w:val="Normal"/></w:pPr>
<w:r><w:t xml:space="preserve">household.  Alexandria seems from this time to have regained its</w:t></w:r>
</w:p>
<w:p>
<w:pPr><w:pStyle w:val="Normal"/></w:pPr>
<w:r><w:t xml:space="preserve">old prosperity, commanding, as it did, an important granary of</w:t></w:r>
</w:p>
<w:p>
<w:pPr><w:pStyle w:val="Normal"/></w:pPr>
<w:r><w:t xml:space="preserve">Rome.  This latter fact, doubtless, was one of the chief</w:t></w:r>
</w:p>
<w:p>
<w:pPr><w:pStyle w:val="Normal"/></w:pPr>
<w:r><w:t xml:space="preserve">reasons which induced Augustus to place it directly under</w:t></w:r>
</w:p>
<w:p>
<w:pPr><w:pStyle w:val="Normal"/></w:pPr>
<w:r><w:t xml:space="preserve">the imperial power.  In A.D. 215 the emperor Caracalla</w:t></w:r>
</w:p>
<w:p>
<w:pPr><w:pStyle w:val="Normal"/></w:pPr>
<w:r><w:t xml:space="preserve">visited the city; and, in order to repay some insulting</w:t></w:r>
</w:p>
<w:p>
<w:pPr><w:pStyle w:val="Normal"/></w:pPr>
<w:r><w:t xml:space="preserve">satires that the inhabitants had made upon him, he commanded</w:t></w:r>
</w:p>
<w:p>
<w:pPr><w:pStyle w:val="Normal"/></w:pPr>
<w:r><w:t xml:space="preserve">his troops to put to death all youths capable of bearing</w:t></w:r>
</w:p>
<w:p>
<w:pPr><w:pStyle w:val="Normal"/></w:pPr>
<w:r><w:t xml:space="preserve">arms.  This brutal order seems to have been carried out</w:t></w:r>
</w:p>
<w:p>
<w:pPr><w:pStyle w:val="Normal"/></w:pPr>
<w:r><w:t xml:space="preserve">even beyond the letter, for a general massacre was the</w:t></w:r>
</w:p>
<w:p>
<w:pPr><w:pStyle w:val="Normal"/></w:pPr>
<w:r><w:t xml:space="preserve">result.  Notwithstanding this terrible disaster, Alexandria</w:t></w:r>
</w:p>
<w:p>
<w:pPr><w:pStyle w:val="Normal"/></w:pPr>
<w:r><w:t xml:space="preserve">soon recovered its former splendour, and for some time longer</w:t></w:r>
</w:p>
<w:p>
<w:pPr><w:pStyle w:val="Normal"/></w:pPr>
<w:r><w:t xml:space="preserve">was esteemed the first city of the world after Rome.  Even as</w:t></w:r>
</w:p>
<w:p>
<w:pPr><w:pStyle w:val="Normal"/></w:pPr>
<w:r><w:t xml:space="preserve">its main historical importance had formerly sprung from pagan</w:t></w:r>
</w:p>
<w:p>
<w:pPr><w:pStyle w:val="Normal"/></w:pPr>
<w:r><w:t xml:space="preserve">learning, so now it acquired fresh importance as a centre of</w:t></w:r>
</w:p>
<w:p>
<w:pPr><w:pStyle w:val="Normal"/></w:pPr>
<w:r><w:t xml:space="preserve">Christian theology and church government.  There Arianism was</w:t></w:r>
</w:p>
<w:p>
<w:pPr><w:pStyle w:val="Normal"/></w:pPr>
<w:r><w:t xml:space="preserve">formulated and there Athanasius, the great opponent of both</w:t></w:r>
</w:p>
<w:p>
<w:pPr><w:pStyle w:val="Normal"/></w:pPr>
<w:r><w:t xml:space="preserve">heresy and pagan rcaction, worked and triumphed.  As native</w:t></w:r>
</w:p>
<w:p>
<w:pPr><w:pStyle w:val="Normal"/></w:pPr>
<w:r><w:t xml:space="preserve">influences, however, began to reassert themselves in the Nile</w:t></w:r>
</w:p>
<w:p>
<w:pPr><w:pStyle w:val="Normal"/></w:pPr>
<w:r><w:t xml:space="preserve">valley, Alexandria gradually became an alien city, more and</w:t></w:r>
</w:p>
<w:p>
<w:pPr><w:pStyle w:val="Normal"/></w:pPr>
<w:r><w:t xml:space="preserve">more detached from Egypt; and, losing much of its commerce</w:t></w:r>
</w:p>
<w:p>
<w:pPr><w:pStyle w:val="Normal"/></w:pPr>
<w:r><w:t xml:space="preserve">as the peace of the empire broke up during the 3rd century</w:t></w:r>
</w:p>
<w:p>
<w:pPr><w:pStyle w:val="Normal"/></w:pPr>
<w:r><w:t xml:space="preserve">A.D., it declined fast in population and splendour.  The</w:t></w:r>
</w:p>
<w:p>
<w:pPr><w:pStyle w:val="Normal"/></w:pPr>
<w:r><w:t xml:space="preserve">Brucheum, and Jewish quarters were desolate in the 5th century,</w:t></w:r>
</w:p>
<w:p>
<w:pPr><w:pStyle w:val="Normal"/></w:pPr>
<w:r><w:t xml:space="preserve">and the central monuments, the Soma and Museum, fallen to</w:t></w:r>
</w:p>
<w:p>
<w:pPr><w:pStyle w:val="Normal"/></w:pPr>
<w:r><w:t xml:space="preserve">ruin.  On the mainland life seems to have centred in the</w:t></w:r>
</w:p>
<w:p>
<w:pPr><w:pStyle w:val="Normal"/></w:pPr>
<w:r><w:t xml:space="preserve">vicinity of the Serapeum and Caesareum, both become Christian</w:t></w:r>
</w:p>
<w:p>
<w:pPr><w:pStyle w:val="Normal"/></w:pPr>
<w:r><w:t xml:space="preserve">churches: but the Pharos and Heptastadium quarters remained</w:t></w:r>
</w:p>
<w:p>
<w:pPr><w:pStyle w:val="Normal"/></w:pPr>
<w:r><w:t xml:space="preserve">populous and intact.  In 616 it was taken by Chosroes, king</w:t></w:r>
</w:p>
<w:p>
<w:pPr><w:pStyle w:val="Normal"/></w:pPr>
<w:r><w:t xml:space="preserve">of Persia; and in 640 by the Arabians, under `Amr, after a</w:t></w:r>
</w:p>
<w:p>
<w:pPr><w:pStyle w:val="Normal"/></w:pPr>
<w:r><w:t xml:space="preserve">siege that lasted fourteen months, during which Heraclius, the</w:t></w:r>
</w:p>
<w:p>
<w:pPr><w:pStyle w:val="Normal"/></w:pPr>
<w:r><w:t xml:space="preserve">emperor of Constantinople, did not send a single ship to its</w:t></w:r>
</w:p>
<w:p>
<w:pPr><w:pStyle w:val="Normal"/></w:pPr>
<w:r><w:t xml:space="preserve">assistance.  Notwithstanding the losses that the city had</w:t></w:r>
</w:p>
<w:p>
<w:pPr><w:pStyle w:val="Normal"/></w:pPr>
<w:r><w:t xml:space="preserve">sustained, `Amr was able to write to his master, the caliph</w:t></w:r>
</w:p>
<w:p>
<w:pPr><w:pStyle w:val="Normal"/></w:pPr>
<w:r><w:t xml:space="preserve">Omar, that he had taken a city containing ``4000 palaces, 4000</w:t></w:r>
</w:p>
<w:p>
<w:pPr><w:pStyle w:val="Normal"/></w:pPr>
<w:r><w:t xml:space="preserve">baths, 12,000 dealers in fresh oil, 12,000 gardeners, 40,000</w:t></w:r>
</w:p>
<w:p>
<w:pPr><w:pStyle w:val="Normal"/></w:pPr>
<w:r><w:t xml:space="preserve">Jews who pay tribute, 400 theatres or places of amusement.&quot;</w:t></w:r>
</w:p>
<w:p>
<w:pPr><w:pStyle w:val="Normal"/></w:pPr>
<w:r><w:t xml:space="preserve">The story of the destruction of the library by the Arabs is</w:t></w:r>
</w:p>
<w:p>
<w:pPr><w:pStyle w:val="Normal"/></w:pPr>
<w:r><w:t xml:space="preserve">first told by Bar-hebraeus (Abulfaragius), a Christian writer</w:t></w:r>
</w:p>
<w:p>
<w:pPr><w:pStyle w:val="Normal"/></w:pPr>
<w:r><w:t xml:space="preserve">who lived six centuries later; and it is of very doubtful</w:t></w:r>
</w:p>
<w:p>
<w:pPr><w:pStyle w:val="Normal"/></w:pPr>
<w:r><w:t xml:space="preserve">authority.  It is highly improbable that many of the 700,000</w:t></w:r>
</w:p>
<w:p>
<w:pPr><w:pStyle w:val="Normal"/></w:pPr>
<w:r><w:t xml:space="preserve">volumes collected by the Ptolemies remained at the time of the</w:t></w:r>
</w:p>
<w:p>
<w:pPr><w:pStyle w:val="Normal"/></w:pPr>
<w:r><w:t xml:space="preserve">Arab conquest, when the various calamities of Alexandria from the</w:t></w:r>
</w:p>
<w:p>
<w:pPr><w:pStyle w:val="Normal"/></w:pPr>
<w:r><w:t xml:space="preserve">time of Caesar to that of Diocletian are considered, together with</w:t></w:r>
</w:p>
<w:p>
<w:pPr><w:pStyle w:val="Normal"/></w:pPr>
<w:r><w:t xml:space="preserve">the disgraceful pillage of the library in A.D. 389 under the</w:t></w:r>
</w:p>
<w:p>
<w:pPr><w:pStyle w:val="Normal"/></w:pPr>
<w:r><w:t xml:space="preserve">rule of the Christian bishop, Theophilus, acting on Theodosius&apos;</w:t></w:r>
</w:p>
<w:p>
<w:pPr><w:pStyle w:val="Normal"/></w:pPr>
<w:r><w:t xml:space="preserve">decree concerning pagan monumcnts (see LIBRARIES: Ancient</w:t></w:r>
</w:p>
<w:p>
<w:pPr><w:pStyle w:val="Normal"/></w:pPr>
<w:r><w:t xml:space="preserve">History).  The story of Abulfaragius runs as follows:--</w:t></w:r>
</w:p>
<w:p>
<w:pPr><w:pStyle w:val="Normal"/></w:pPr>
<w:r><w:t xml:space="preserve">John the Grammarian, a famous Peripatetic philosopher,</w:t></w:r>
</w:p>
<w:p>
<w:pPr><w:pStyle w:val="Normal"/></w:pPr>
<w:r><w:t xml:space="preserve">being in Alexandria at the time of its capture, and in high</w:t></w:r>
</w:p>
<w:p>
<w:pPr><w:pStyle w:val="Normal"/></w:pPr>
<w:r><w:t xml:space="preserve">favour with `Amr, begged that he would give him the royal</w:t></w:r>
</w:p>
<w:p>
<w:pPr><w:pStyle w:val="Normal"/></w:pPr>
<w:r><w:t xml:space="preserve">library. `Amr told him that it was not in his power to grant</w:t></w:r>
</w:p>
<w:p>
<w:pPr><w:pStyle w:val="Normal"/></w:pPr>
<w:r><w:t xml:space="preserve">such a request, but promised to write to the caliph for his</w:t></w:r>
</w:p>
<w:p>
<w:pPr><w:pStyle w:val="Normal"/></w:pPr>
<w:r><w:t xml:space="preserve">consent.  Omar, on hearing the request of his general, is</w:t></w:r>
</w:p>
<w:p>
<w:pPr><w:pStyle w:val="Normal"/></w:pPr>
<w:r><w:t xml:space="preserve">said to have replied that if those books contained the same</w:t></w:r>
</w:p>
<w:p>
<w:pPr><w:pStyle w:val="Normal"/></w:pPr>
<w:r><w:t xml:space="preserve">doctrine with the Koran, they could be of no use, since the</w:t></w:r>
</w:p>
<w:p>
<w:pPr><w:pStyle w:val="Normal"/></w:pPr>
<w:r><w:t xml:space="preserve">Koran contained all necessary truths; but if they contained</w:t></w:r>
</w:p>
<w:p>
<w:pPr><w:pStyle w:val="Normal"/></w:pPr>
<w:r><w:t xml:space="preserve">anything contrary to that book, they ought to be destroyed; and</w:t></w:r>
</w:p>
<w:p>
<w:pPr><w:pStyle w:val="Normal"/></w:pPr>
<w:r><w:t xml:space="preserve">therefore, whatever their contents were, he ordered them to be</w:t></w:r>
</w:p>
<w:p>
<w:pPr><w:pStyle w:val="Normal"/></w:pPr>
<w:r><w:t xml:space="preserve">burnt.  Pursuant to this order, they were distributed among</w:t></w:r>
</w:p>
<w:p>
<w:pPr><w:pStyle w:val="Normal"/></w:pPr>
<w:r><w:t xml:space="preserve">the public baths, of which there was a large number in the</w:t></w:r>
</w:p>
<w:p>
<w:pPr><w:pStyle w:val="Normal"/></w:pPr>
<w:r><w:t xml:space="preserve">city, where, for six months, they served to supply the fires.</w:t></w:r>
</w:p>
<w:p>
<w:pPr><w:pStyle w:val="Normal"/></w:pPr>
<w:r><w:t xml:space="preserve">Shortly after its capture Alexandria again fell into the hands</w:t></w:r>
</w:p>
<w:p>
<w:pPr><w:pStyle w:val="Normal"/></w:pPr>
<w:r><w:t xml:space="preserve">of the Greeks, who took advantage of `Amr&apos;s absence with the</w:t></w:r>
</w:p>
<w:p>
<w:pPr><w:pStyle w:val="Normal"/></w:pPr>
<w:r><w:t xml:space="preserve">greater portion of his army.  On hearing what had happened,</w:t></w:r>
</w:p>
<w:p>
<w:pPr><w:pStyle w:val="Normal"/></w:pPr>
<w:r><w:t xml:space="preserve">however, `Amr returned, and quickly regained possession of the</w:t></w:r>
</w:p>
<w:p>
<w:pPr><w:pStyle w:val="Normal"/></w:pPr>
<w:r><w:t xml:space="preserve">city.  About the year 646 `Amr was deprived of his government</w:t></w:r>
</w:p>
<w:p>
<w:pPr><w:pStyle w:val="Normal"/></w:pPr>
<w:r><w:t xml:space="preserve">by the caliph Othman.  The Egyptians, by whom `Amr was greatly</w:t></w:r>
</w:p>
<w:p>
<w:pPr><w:pStyle w:val="Normal"/></w:pPr>
<w:r><w:t xml:space="preserve">beloved, were so much dissatisfied by this act, and even</w:t></w:r>
</w:p>
<w:p>
<w:pPr><w:pStyle w:val="Normal"/></w:pPr>
<w:r><w:t xml:space="preserve">showed such a tendency to revolt, that the Greek emperor</w:t></w:r>
</w:p>
<w:p>
<w:pPr><w:pStyle w:val="Normal"/></w:pPr>
<w:r><w:t xml:space="preserve">determined to make an effort to reduce Alexandria.  The attempt</w:t></w:r>
</w:p>
<w:p>
<w:pPr><w:pStyle w:val="Normal"/></w:pPr>
<w:r><w:t xml:space="preserve">proved perfectly successful.  The caliph, perceiving his</w:t></w:r>
</w:p>
<w:p>
<w:pPr><w:pStyle w:val="Normal"/></w:pPr>
<w:r><w:t xml:space="preserve">mistake, immediately restored `Amr, who, on his arrival in</w:t></w:r>
</w:p>
<w:p>
<w:pPr><w:pStyle w:val="Normal"/></w:pPr>
<w:r><w:t xml:space="preserve">Egypt, drove the Greeks within the walls of Alexandria, but</w:t></w:r>
</w:p>
<w:p>
<w:pPr><w:pStyle w:val="Normal"/></w:pPr>
<w:r><w:t xml:space="preserve">was only able to capture the city after a most obstinate</w:t></w:r>
</w:p>
<w:p>
<w:pPr><w:pStyle w:val="Normal"/></w:pPr>
<w:r><w:t xml:space="preserve">resistance by the defenders.  This so exasperated him that</w:t></w:r>
</w:p>
<w:p>
<w:pPr><w:pStyle w:val="Normal"/></w:pPr>
<w:r><w:t xml:space="preserve">he completely demolished its fortifications, although he</w:t></w:r>
</w:p>
<w:p>
<w:pPr><w:pStyle w:val="Normal"/></w:pPr>
<w:r><w:t xml:space="preserve">seems to have spared the lives of the inhabitants as far</w:t></w:r>
</w:p>
<w:p>
<w:pPr><w:pStyle w:val="Normal"/></w:pPr>
<w:r><w:t xml:space="preserve">as lay in his power.  Alexandria now rapidly declined in</w:t></w:r>
</w:p>
<w:p>
<w:pPr><w:pStyle w:val="Normal"/></w:pPr>
<w:r><w:t xml:space="preserve">importance.  The building of Cairo in 969, and, above all,</w:t></w:r>
</w:p>
<w:p>
<w:pPr><w:pStyle w:val="Normal"/></w:pPr>
<w:r><w:t xml:space="preserve">the discovery of the route to the East by the Cape of Good</w:t></w:r>
</w:p>
<w:p>
<w:pPr><w:pStyle w:val="Normal"/></w:pPr>
<w:r><w:t xml:space="preserve">Hope in 1498, nearly ruined its commerce; the canal, which</w:t></w:r>
</w:p>
<w:p>
<w:pPr><w:pStyle w:val="Normal"/></w:pPr>
<w:r><w:t xml:space="preserve">supplied it with Nile water, became blocked; and although it</w:t></w:r>
</w:p>
<w:p>
<w:pPr><w:pStyle w:val="Normal"/></w:pPr>
<w:r><w:t xml:space="preserve">remained a principal Egyptian port, at which most European</w:t></w:r>
</w:p>
<w:p>
<w:pPr><w:pStyle w:val="Normal"/></w:pPr>
<w:r><w:t xml:space="preserve">visitors in the Mameluke and Ottoman periods landed, we hear</w:t></w:r>
</w:p>
<w:p>
<w:pPr><w:pStyle w:val="Normal"/></w:pPr>
<w:r><w:t xml:space="preserve">little of it until about the beginning of the 19th century.</w:t></w:r>
</w:p>
<w:p>
<w:pPr><w:pStyle w:val="Normal"/></w:pPr>
<w:r><w:t xml:space="preserve">[Alexandria figured prominently in the military operations</w:t></w:r>
</w:p>
<w:p>
<w:pPr><w:pStyle w:val="Normal"/></w:pPr>
<w:r><w:t xml:space="preserve">of Napoleon&apos;s Egyptian expedition of 1798.  The French troops</w:t></w:r>
</w:p>
<w:p>
<w:pPr><w:pStyle w:val="Normal"/></w:pPr>
<w:r><w:t xml:space="preserve">stormed the city on the 2nd of July 1798, and it remained in</w:t></w:r>
</w:p>
<w:p>
<w:pPr><w:pStyle w:val="Normal"/></w:pPr>
<w:r><w:t xml:space="preserve">their hands until the arrival of the British expedition of 1801.</w:t></w:r>
</w:p>
<w:p>
<w:pPr><w:pStyle w:val="Normal"/></w:pPr>
<w:r><w:t xml:space="preserve">The battle of Alexandria, fought on the 21st of March of that</w:t></w:r>
</w:p>
<w:p>
<w:pPr><w:pStyle w:val="Normal"/></w:pPr>
<w:r><w:t xml:space="preserve">year, between the French army under General Menou and the</w:t></w:r>
</w:p>
<w:p>
<w:pPr><w:pStyle w:val="Normal"/></w:pPr>
<w:r><w:t xml:space="preserve">British expeditionary corps under Sir Ralph Abercromby,</w:t></w:r>
</w:p>
<w:p>
<w:pPr><w:pStyle w:val="Normal"/></w:pPr>
<w:r><w:t xml:space="preserve">took place near the ruins of Nicopohs, on the narrow spit</w:t></w:r>
</w:p>
<w:p>
<w:pPr><w:pStyle w:val="Normal"/></w:pPr>
<w:r><w:t xml:space="preserve">of land between the sea and Lake Aboukir, along which the</w:t></w:r>
</w:p>
<w:p>
<w:pPr><w:pStyle w:val="Normal"/></w:pPr>
<w:r><w:t xml:space="preserve">British troops had advanced towards Alexandria after the</w:t></w:r>
</w:p>
<w:p>
<w:pPr><w:pStyle w:val="Normal"/></w:pPr>
<w:r><w:t xml:space="preserve">actions of Aboukir on the 8th and Mandora on the 13th.</w:t></w:r>
</w:p>
<w:p>
<w:pPr><w:pStyle w:val="Normal"/></w:pPr>
<w:r><w:t xml:space="preserve">Battle of 1801.</w:t></w:r>
</w:p>
<w:p>
<w:pPr><w:pStyle w:val="Normal"/></w:pPr>
<w:r><w:t xml:space="preserve">The British position on the night of the 20th extended across</w:t></w:r>
</w:p>
<w:p>
<w:pPr><w:pStyle w:val="Normal"/></w:pPr>
<w:r><w:t xml:space="preserve">the isthmus, the right resting upon the ruins of Nicopolis and</w:t></w:r>
</w:p>
<w:p>
<w:pPr><w:pStyle w:val="Normal"/></w:pPr>
<w:r><w:t xml:space="preserve">the sea, the left on the lake of Aboukir and the Alexandria</w:t></w:r>
</w:p>
<w:p>
<w:pPr><w:pStyle w:val="Normal"/></w:pPr>
<w:r><w:t xml:space="preserve">canal.  The line faced generally south-west towards the</w:t></w:r>
</w:p>
<w:p>
<w:pPr><w:pStyle w:val="Normal"/></w:pPr>
<w:r><w:t xml:space="preserve">city, the reserve division under Major-General (Sir) John</w:t></w:r>
</w:p>
<w:p>
<w:pPr><w:pStyle w:val="Normal"/></w:pPr>
<w:r><w:t xml:space="preserve">Moore on the right, the Guards brigade in the centre, and</w:t></w:r>
</w:p>
<w:p>
<w:pPr><w:pStyle w:val="Normal"/></w:pPr>
<w:r><w:t xml:space="preserve">three other brigades on the left.  In second line were two</w:t></w:r>
</w:p>
<w:p>
<w:pPr><w:pStyle w:val="Normal"/></w:pPr>
<w:r><w:t xml:space="preserve">brigades and the cavalry (dismounted).  On the 21st the</w:t></w:r>
</w:p>
<w:p>
<w:pPr><w:pStyle w:val="Normal"/></w:pPr>
<w:r><w:t xml:space="preserve">troops were under arms at 3 A.M., and at 3.30 the French</w:t></w:r>
</w:p>
<w:p>
<w:pPr><w:pStyle w:val="Normal"/></w:pPr>
<w:r><w:t xml:space="preserve">attacked and drove in the outposts.  The French army now</w:t></w:r>
</w:p>
<w:p>
<w:pPr><w:pStyle w:val="Normal"/></w:pPr>
<w:r><w:t xml:space="preserve">moved forward with great rapidity in their usual formation of</w:t></w:r>
</w:p>
<w:p>
<w:pPr><w:pStyle w:val="Normal"/></w:pPr>
<w:r><w:t xml:space="preserve">columns.  The brunt of the attack fell upon the command of</w:t></w:r>
</w:p>
<w:p>
<w:pPr><w:pStyle w:val="Normal"/></w:pPr>
<w:r><w:t xml:space="preserve">Moore, and in particular upon the 28th (Gloucestershire</w:t></w:r>
</w:p>
<w:p>
<w:pPr><w:pStyle w:val="Normal"/></w:pPr>
<w:r><w:t xml:space="preserve">Regiment).  The first shock was repulsed, but a French column</w:t></w:r>
</w:p>
<w:p>
<w:pPr><w:pStyle w:val="Normal"/></w:pPr>
<w:r><w:t xml:space="preserve">penetrated in the dark between two regiments of the British</w:t></w:r>
</w:p>
<w:p>
<w:pPr><w:pStyle w:val="Normal"/></w:pPr>
<w:r><w:t xml:space="preserve">and a confused fight ensued in the ruins, in which the 42nd</w:t></w:r>
</w:p>
<w:p>
<w:pPr><w:pStyle w:val="Normal"/></w:pPr>
<w:r><w:t xml:space="preserve">(Black Watch) captured a colour.  The front and rear ranks</w:t></w:r>
</w:p>
<w:p>
<w:pPr><w:pStyle w:val="Normal"/></w:pPr>
<w:r><w:t xml:space="preserve">of the 28th were simultaneously engaged, and the conduct of</w:t></w:r>
</w:p>
<w:p>
<w:pPr><w:pStyle w:val="Normal"/></w:pPr>
<w:r><w:t xml:space="preserve">the regiment won for it the distinction of wearing badges</w:t></w:r>
</w:p>
<w:p>
<w:pPr><w:pStyle w:val="Normal"/></w:pPr>
<w:r><w:t xml:space="preserve">both at the front and at the back of their head-dress.</w:t></w:r>
</w:p>
<w:p>
<w:pPr><w:pStyle w:val="Normal"/></w:pPr>
<w:r><w:t xml:space="preserve">Other regiments which assisted in the overthrow of the French</w:t></w:r>
</w:p>
<w:p>
<w:pPr><w:pStyle w:val="Normal"/></w:pPr>
<w:r><w:t xml:space="preserve">column were the 23rd, 40th and 58th.  In a second attack the</w:t></w:r>
</w:p>
<w:p>
<w:pPr><w:pStyle w:val="Normal"/></w:pPr>
<w:r><w:t xml:space="preserve">enemy&apos;s cavalry inflicted severe losses on the 42nd.  Sir</w:t></w:r>
</w:p>
<w:p>
<w:pPr><w:pStyle w:val="Normal"/></w:pPr>
<w:r><w:t xml:space="preserve">Ralph Abercromby was here engaged in personal conflict with</w:t></w:r>
</w:p>
<w:p>
<w:pPr><w:pStyle w:val="Normal"/></w:pPr>
<w:r><w:t xml:space="preserve">some French dragoons, and about this time received a mortal</w:t></w:r>
</w:p>
<w:p>
<w:pPr><w:pStyle w:val="Normal"/></w:pPr>
<w:r><w:t xml:space="preserve">wound, though he remained on the field and in command to the</w:t></w:r>
</w:p>
<w:p>
<w:pPr><w:pStyle w:val="Normal"/></w:pPr>
<w:r><w:t xml:space="preserve">end.  The attack on the centre was repulsed by the cool and</w:t></w:r>
</w:p>
<w:p>
<w:pPr><w:pStyle w:val="Normal"/></w:pPr>
<w:r><w:t xml:space="preserve">steady fire of the Guards, and the left wing maintained its</w:t></w:r>
</w:p>
<w:p>
<w:pPr><w:pStyle w:val="Normal"/></w:pPr>
<w:r><w:t xml:space="preserve">position with ease, but the French cavalry for the second time</w:t></w:r>
</w:p>
<w:p>
<w:pPr><w:pStyle w:val="Normal"/></w:pPr>
<w:r><w:t xml:space="preserve">came to close quarters with the reserve.  About half-past eight</w:t></w:r>
</w:p>
<w:p>
<w:pPr><w:pStyle w:val="Normal"/></w:pPr>
<w:r><w:t xml:space="preserve">the combat began to wane, and the last shots were fired at</w:t></w:r>
</w:p>
<w:p>
<w:pPr><w:pStyle w:val="Normal"/></w:pPr>
<w:r><w:t xml:space="preserve">ten.  The real attack had been pressed home on the British</w:t></w:r>
</w:p>
<w:p>
<w:pPr><w:pStyle w:val="Normal"/></w:pPr>
<w:r><w:t xml:space="preserve">right, and the History of the Queen&apos;s Royal West Surrey</w:t></w:r>
</w:p>
<w:p>
<w:pPr><w:pStyle w:val="Normal"/></w:pPr>
<w:r><w:t xml:space="preserve">Regiment gives no undue praise to the regiments of the</w:t></w:r>
</w:p>
<w:p>
<w:pPr><w:pStyle w:val="Normal"/></w:pPr>
<w:r><w:t xml:space="preserve">reserve in saying that ``the determined attack would have been</w:t></w:r>
</w:p>
<w:p>
<w:pPr><w:pStyle w:val="Normal"/></w:pPr>
<w:r><w:t xml:space="preserve">successful against almost any other troops.&apos;&apos; Technically,</w:t></w:r>
</w:p>
<w:p>
<w:pPr><w:pStyle w:val="Normal"/></w:pPr>
<w:r><w:t xml:space="preserve">the details of the action show that, while not markedly better</w:t></w:r>
</w:p>
<w:p>
<w:pPr><w:pStyle w:val="Normal"/></w:pPr>
<w:r><w:t xml:space="preserve">in a melee than the war-seasoned French, the British</w:t></w:r>
</w:p>
<w:p>
<w:pPr><w:pStyle w:val="Normal"/></w:pPr>
<w:r><w:t xml:space="preserve">infantry had in its volleys a power which no other troops</w:t></w:r>
</w:p>
<w:p>
<w:pPr><w:pStyle w:val="Normal"/></w:pPr>
<w:r><w:t xml:space="preserve">then existing possessed, and it was these volleys that decided</w:t></w:r>
</w:p>
<w:p>
<w:pPr><w:pStyle w:val="Normal"/></w:pPr>
<w:r><w:t xml:space="preserve">the day even more than the individual stubbornness of the</w:t></w:r>
</w:p>
<w:p>
<w:pPr><w:pStyle w:val="Normal"/></w:pPr>
<w:r><w:t xml:space="preserve">men.  The 42nd, twice charged by cavalry, had but thirteen</w:t></w:r>
</w:p>
<w:p>
<w:pPr><w:pStyle w:val="Normal"/></w:pPr>
<w:r><w:t xml:space="preserve">men wounded by the sabre.  Part of the French losses, which</w:t></w:r>
</w:p>
<w:p>
<w:pPr><w:pStyle w:val="Normal"/></w:pPr>
<w:r><w:t xml:space="preserve">were disproportionately heavy, were caused by the gunboats</w:t></w:r>
</w:p>
<w:p>
<w:pPr><w:pStyle w:val="Normal"/></w:pPr>
<w:r><w:t xml:space="preserve">which lay close inshore and cannonaded the left flank of the</w:t></w:r>
</w:p>
<w:p>
<w:pPr><w:pStyle w:val="Normal"/></w:pPr>
<w:r><w:t xml:space="preserve">French columns, and by a heavy naval gun which was placed in</w:t></w:r>
</w:p>
<w:p>
<w:pPr><w:pStyle w:val="Normal"/></w:pPr>
<w:r><w:t xml:space="preserve">battery near the position of the 28th.  The forces engaged</w:t></w:r>
</w:p>
<w:p>
<w:pPr><w:pStyle w:val="Normal"/></w:pPr>
<w:r><w:t xml:space="preserve">on this day mere approximately 14,000 British to about 20,000</w:t></w:r>
</w:p>
<w:p>
<w:pPr><w:pStyle w:val="Normal"/></w:pPr>
<w:r><w:t xml:space="preserve">French, and the losses were:-- British, 1468 killed, wounded</w:t></w:r>
</w:p>
<w:p>
<w:pPr><w:pStyle w:val="Normal"/></w:pPr>
<w:r><w:t xml:space="preserve">and missing, including Abercromby (who died on the 28th),</w:t></w:r>
</w:p>
<w:p>
<w:pPr><w:pStyle w:val="Normal"/></w:pPr>
<w:r><w:t xml:space="preserve">Moore and three other generals wounded; French, 1160 killed</w:t></w:r>
</w:p>
<w:p>
<w:pPr><w:pStyle w:val="Normal"/></w:pPr>
<w:r><w:t xml:space="preserve">and (?) 3000 wounded.  The British subsequently advanced upon</w:t></w:r>
</w:p>
<w:p>
<w:pPr><w:pStyle w:val="Normal"/></w:pPr>
<w:r><w:t xml:space="preserve">Alexandria, which surrendered on the 31st of August. (C. F. A.)</w:t></w:r>
</w:p>
<w:p>
<w:pPr><w:pStyle w:val="Normal"/></w:pPr>
<w:r><w:t xml:space="preserve">Modern city.</w:t></w:r>
</w:p>
<w:p>
<w:pPr><w:pStyle w:val="Normal"/></w:pPr>
<w:r><w:t xml:space="preserve">During the anarchy which accompanied Ottoman rule in Egypt</w:t></w:r>
</w:p>
<w:p>
<w:pPr><w:pStyle w:val="Normal"/></w:pPr>
<w:r><w:t xml:space="preserve">from first to last, Alexandria sank to a small town of about</w:t></w:r>
</w:p>
<w:p>
<w:pPr><w:pStyle w:val="Normal"/></w:pPr>
<w:r><w:t xml:space="preserve">4000 inhabitants; and it owed its modern renascence solely to</w:t></w:r>
</w:p>
<w:p>
<w:pPr><w:pStyle w:val="Normal"/></w:pPr>
<w:r><w:t xml:space="preserve">Mehemet Ali, who wanted a deep port and naval station for his</w:t></w:r>
</w:p>
<w:p>
<w:pPr><w:pStyle w:val="Normal"/></w:pPr>
<w:r><w:t xml:space="preserve">viceregal domain.  He restored its water communication with</w:t></w:r>
</w:p>
<w:p>
<w:pPr><w:pStyle w:val="Normal"/></w:pPr>
<w:r><w:t xml:space="preserve">the Nile by making the Mahmudiya canal, finished in 1820; and</w:t></w:r>
</w:p>
<w:p>
<w:pPr><w:pStyle w:val="Normal"/></w:pPr>
<w:r><w:t xml:space="preserve">he established at Ras et-Tin his favourite residence.  The</w:t></w:r>
</w:p>
<w:p>
<w:pPr><w:pStyle w:val="Normal"/></w:pPr>
<w:r><w:t xml:space="preserve">Old Eunostus harbour became the port, and a flourishing city</w:t></w:r>
</w:p>
<w:p>
<w:pPr><w:pStyle w:val="Normal"/></w:pPr>
<w:r><w:t xml:space="preserve">arose on the old Pharos island and the Heptastadium district,</w:t></w:r>
</w:p>
<w:p>
<w:pPr><w:pStyle w:val="Normal"/></w:pPr>
<w:r><w:t xml:space="preserve">with outlying suburbs and villa residences along the coast</w:t></w:r>
</w:p>
<w:p>
<w:pPr><w:pStyle w:val="Normal"/></w:pPr>
<w:r><w:t xml:space="preserve">eastwards and the Mareotic shore.  Being the starting-point</w:t></w:r>
</w:p>
<w:p>
<w:pPr><w:pStyle w:val="Normal"/></w:pPr>
<w:r><w:t xml:space="preserve">of the ``overland route&apos;&apos; to India, and the residence of the</w:t></w:r>
</w:p>
<w:p>
<w:pPr><w:pStyle w:val="Normal"/></w:pPr>
<w:r><w:t xml:space="preserve">chief foreign consuls, it quickly acquired a European character</w:t></w:r>
</w:p>
<w:p>
<w:pPr><w:pStyle w:val="Normal"/></w:pPr>
<w:r><w:t xml:space="preserve">and attracted not only Frank residents, but great numbers of</w:t></w:r>
</w:p>
<w:p>
<w:pPr><w:pStyle w:val="Normal"/></w:pPr>
<w:r><w:t xml:space="preserve">Greeks, Jews and Syrians.  There most of the negotiations</w:t></w:r>
</w:p>
<w:p>
<w:pPr><w:pStyle w:val="Normal"/></w:pPr>
<w:r><w:t xml:space="preserve">between the powers and Mehemet All were conducted; thence</w:t></w:r>
</w:p>
<w:p>
<w:pPr><w:pStyle w:val="Normal"/></w:pPr>
<w:r><w:t xml:space="preserve">started the Egyptian naval expeditions to Crete, the Morea</w:t></w:r>
</w:p>
<w:p>
<w:pPr><w:pStyle w:val="Normal"/></w:pPr>
<w:r><w:t xml:space="preserve">and Syria; and thither sailed the betrayed Ottoman fleet in</w:t></w:r>
</w:p>
<w:p>
<w:pPr><w:pStyle w:val="Normal"/></w:pPr>
<w:r><w:t xml:space="preserve">1839.  It was twice threatened by hostile fleets, the Greek in</w:t></w:r>
</w:p>
<w:p>
<w:pPr><w:pStyle w:val="Normal"/></w:pPr>
<w:r><w:t xml:space="preserve">1827 and the combined British, French and Russian squadrons in</w:t></w:r>
</w:p>
<w:p>
<w:pPr><w:pStyle w:val="Normal"/></w:pPr>
<w:r><w:t xml:space="preserve">1828.  The latter withdrew on the viceroy&apos;s promise that</w:t></w:r>
</w:p>
<w:p>
<w:pPr><w:pStyle w:val="Normal"/></w:pPr>
<w:r><w:t xml:space="preserve">Ibrahim should evacuate the Morea.  The fortifications</w:t></w:r>
</w:p>
<w:p>
<w:pPr><w:pStyle w:val="Normal"/></w:pPr>
<w:r><w:t xml:space="preserve">were strengthened in 1841, and remained in an antiquated</w:t></w:r>
</w:p>
<w:p>
<w:pPr><w:pStyle w:val="Normal"/></w:pPr>
<w:r><w:t xml:space="preserve">condition until 1882, when they were renovated by Arabi</w:t></w:r>
</w:p>
<w:p>
<w:pPr><w:pStyle w:val="Normal"/></w:pPr>
<w:r><w:t xml:space="preserve">Pasha.  Alexandria was connected with Cairo by railway in</w:t></w:r>
</w:p>
<w:p>
<w:pPr><w:pStyle w:val="Normal"/></w:pPr>
<w:r><w:t xml:space="preserve">1856.  Much favoured by the earlier viceroys of Mehemet Ali&apos;s</w:t></w:r>
</w:p>
<w:p>
<w:pPr><w:pStyle w:val="Normal"/></w:pPr>
<w:r><w:t xml:space="preserve">house, and removed from the Mameluke troubles, Alexandria was</w:t></w:r>
</w:p>
<w:p>
<w:pPr><w:pStyle w:val="Normal"/></w:pPr>
<w:r><w:t xml:space="preserve">the real capital of Egypt till Said Pasha died there in 1863</w:t></w:r>
</w:p>
<w:p>
<w:pPr><w:pStyle w:val="Normal"/></w:pPr>
<w:r><w:t xml:space="preserve">and Ismail came into power.  Though this prince continued to</w:t></w:r>
</w:p>
<w:p>
<w:pPr><w:pStyle w:val="Normal"/></w:pPr>
<w:r><w:t xml:space="preserve">develop the city, giving it a municipality in 18661 and new</w:t></w:r>
</w:p>
<w:p>
<w:pPr><w:pStyle w:val="Normal"/></w:pPr>
<w:r><w:t xml:space="preserve">harbour works in 1871-1878, he developed Cairo still more; and</w:t></w:r>
</w:p>
<w:p>
<w:pPr><w:pStyle w:val="Normal"/></w:pPr>
<w:r><w:t xml:space="preserve">the centre of gravity definitely shifted to the inland capital.</w:t></w:r>
</w:p>
<w:p>
<w:pPr><w:pStyle w:val="Normal"/></w:pPr>
<w:r><w:t xml:space="preserve">Bombardment of 1882.</w:t></w:r>
</w:p>
<w:p>
<w:pPr><w:pStyle w:val="Normal"/></w:pPr>
<w:r><w:t xml:space="preserve">Fate, however, again brought Alexandria to the front.  After</w:t></w:r>
</w:p>
<w:p>
<w:pPr><w:pStyle w:val="Normal"/></w:pPr>
<w:r><w:t xml:space="preserve">a mutiny of soldiers there in 1881, the town was greatly</w:t></w:r>
</w:p>
<w:p>
<w:pPr><w:pStyle w:val="Normal"/></w:pPr>
<w:r><w:t xml:space="preserve">excited by the arrival of an Anglo-French fleet in May 1882,</w:t></w:r>
</w:p>
<w:p>
<w:pPr><w:pStyle w:val="Normal"/></w:pPr>
<w:r><w:t xml:space="preserve">and on the 11th of June a terrible riot and massacre took</w:t></w:r>
</w:p>
<w:p>
<w:pPr><w:pStyle w:val="Normal"/></w:pPr>
<w:r><w:t xml:space="preserve">place, resulting in the death of four hundred Europeans.</w:t></w:r>
</w:p>
<w:p>
<w:pPr><w:pStyle w:val="Normal"/></w:pPr>
<w:r><w:t xml:space="preserve">Since satisfaction was not given for this and the forts were</w:t></w:r>
</w:p>
<w:p>
<w:pPr><w:pStyle w:val="Normal"/></w:pPr>
<w:r><w:t xml:space="preserve">being strengthened at the instigation of Arabi Pasha, the</w:t></w:r>
</w:p>
<w:p>
<w:pPr><w:pStyle w:val="Normal"/></w:pPr>
<w:r><w:t xml:space="preserve">war minister, the British admiral, Sir Beauchamp Seymour</w:t></w:r>
</w:p>
<w:p>
<w:pPr><w:pStyle w:val="Normal"/></w:pPr>
<w:r><w:t xml:space="preserve">(afterwards Lord Alcester), sent an ultimatum on the 10th of</w:t></w:r>
</w:p>
<w:p>
<w:pPr><w:pStyle w:val="Normal"/></w:pPr>
<w:r><w:t xml:space="preserve">July and opened fire on the forts the next day.  They were</w:t></w:r>
</w:p>
<w:p>
<w:pPr><w:pStyle w:val="Normal"/></w:pPr>
<w:r><w:t xml:space="preserve">demolished, but as no troops were landed immediately a fresh</w:t></w:r>
</w:p>
<w:p>
<w:pPr><w:pStyle w:val="Normal"/></w:pPr>
<w:r><w:t xml:space="preserve">riot and massacre ensued.  As Arabi did not submit, a British</w:t></w:r>
</w:p>
<w:p>
<w:pPr><w:pStyle w:val="Normal"/></w:pPr>
<w:r><w:t xml:space="preserve">military expedition landed at Alexandria on the 10th of</w:t></w:r>
</w:p>
<w:p>
<w:pPr><w:pStyle w:val="Normal"/></w:pPr>
<w:r><w:t xml:space="preserve">August, the sequel being the British occupation of the whole</w:t></w:r>
</w:p>
<w:p>
<w:pPr><w:pStyle w:val="Normal"/></w:pPr>
<w:r><w:t xml:space="preserve">country, the history of which is set forth under EGYPT.</w:t></w:r>
</w:p>
<w:p>
<w:pPr><w:pStyle w:val="Normal"/></w:pPr>
<w:r><w:t xml:space="preserve">Since the restoration of tranquillity and the establishment</w:t></w:r>
</w:p>
<w:p>
<w:pPr><w:pStyle w:val="Normal"/></w:pPr>
<w:r><w:t xml:space="preserve">of sound political and economic conditions in the Nile valley,</w:t></w:r>
</w:p>
<w:p>
<w:pPr><w:pStyle w:val="Normal"/></w:pPr>
<w:r><w:t xml:space="preserve">Alexandria has greatly expanded.  As the British consular</w:t></w:r>
</w:p>
<w:p>
<w:pPr><w:pStyle w:val="Normal"/></w:pPr>
<w:r><w:t xml:space="preserve">report for 1904 says, ``Building . . . for residential and</w:t></w:r>
</w:p>
<w:p>
<w:pPr><w:pStyle w:val="Normal"/></w:pPr>
<w:r><w:t xml:space="preserve">other purposes proceeds with almost feverish rapidity.  The</w:t></w:r>
</w:p>
<w:p>
<w:pPr><w:pStyle w:val="Normal"/></w:pPr>
<w:r><w:t xml:space="preserve">cost of living has doubled and the price of land has risen</w:t></w:r>
</w:p>
<w:p>
<w:pPr><w:pStyle w:val="Normal"/></w:pPr>
<w:r><w:t xml:space="preserve">enormously.&apos;&apos; On the E. and S.E. a new town of handsome</w:t></w:r>
</w:p>
<w:p>
<w:pPr><w:pStyle w:val="Normal"/></w:pPr>
<w:r><w:t xml:space="preserve">houses, gardens and boulevards has been called into existence,</w:t></w:r>
</w:p>
<w:p>
<w:pPr><w:pStyle w:val="Normal"/></w:pPr>
<w:r><w:t xml:space="preserve">in the arrangement of which the controlling influence of</w:t></w:r>
</w:p>
<w:p>
<w:pPr><w:pStyle w:val="Normal"/></w:pPr>
<w:r><w:t xml:space="preserve">the municipality is evident (see Modern Gity above).</w:t></w:r>
</w:p>
<w:p>
<w:pPr><w:pStyle w:val="Heading1"/></w:pPr>
<w:r><w:t>IV. Antiquities.--Persistent efforts have been made to explore</w:t></w:r>
</w:p>
<w:p>
<w:pPr><w:pStyle w:val="Normal"/></w:pPr>
<w:r><w:t xml:space="preserve">the antiquities of Alexandria.  Encouragement and help have</w:t></w:r>
</w:p>
<w:p>
<w:pPr><w:pStyle w:val="Normal"/></w:pPr>
<w:r><w:t xml:space="preserve">been given by the local Archaeological Society, and by many</w:t></w:r>
</w:p>
<w:p>
<w:pPr><w:pStyle w:val="Normal"/></w:pPr>
<w:r><w:t xml:space="preserve">individuals, notably Greeks justly proud of a city which is</w:t></w:r>
</w:p>
<w:p>
<w:pPr><w:pStyle w:val="Normal"/></w:pPr>
<w:r><w:t xml:space="preserve">one of the glories of their national story.  The past and</w:t></w:r>
</w:p>
<w:p>
<w:pPr><w:pStyle w:val="Normal"/></w:pPr>
<w:r><w:t xml:space="preserve">present directors of the museum have been enabled from time</w:t></w:r>
</w:p>
<w:p>
<w:pPr><w:pStyle w:val="Normal"/></w:pPr>
<w:r><w:t xml:space="preserve">to time to carry out systematic excavations when opportunity</w:t></w:r>
</w:p>
<w:p>
<w:pPr><w:pStyle w:val="Normal"/></w:pPr>
<w:r><w:t xml:space="preserve">offered; Mr D. G. Hogarth made tentative researches on behalf</w:t></w:r>
</w:p>
<w:p>
<w:pPr><w:pStyle w:val="Normal"/></w:pPr>
<w:r><w:t xml:space="preserve">of the Egypt Exploration Fund and the Society for the Promotion</w:t></w:r>
</w:p>
<w:p>
<w:pPr><w:pStyle w:val="Normal"/></w:pPr>
<w:r><w:t xml:space="preserve">of Hellenic Studies in 1895; and a German expedition worked</w:t></w:r>
</w:p>
<w:p>
<w:pPr><w:pStyle w:val="Normal"/></w:pPr>
<w:r><w:t xml:space="preserve">for two years (1898-1899).  But two difficulties face the</w:t></w:r>
</w:p>
<w:p>
<w:pPr><w:pStyle w:val="Normal"/></w:pPr>
<w:r><w:t xml:space="preserve">would-be excavator in Alexandria.  First, since the great</w:t></w:r>
</w:p>
<w:p>
<w:pPr><w:pStyle w:val="Normal"/></w:pPr>
<w:r><w:t xml:space="preserve">and growing modern city stands right over the ancient one,</w:t></w:r>
</w:p>
<w:p>
<w:pPr><w:pStyle w:val="Normal"/></w:pPr>
<w:r><w:t xml:space="preserve">it is almost impossible to find any considerable space in</w:t></w:r>
</w:p>
<w:p>
<w:pPr><w:pStyle w:val="Normal"/></w:pPr>
<w:r><w:t xml:space="preserve">which to dig, except at enormous cost.  Second, the general</w:t></w:r>
</w:p>
<w:p>
<w:pPr><w:pStyle w:val="Normal"/></w:pPr>
<w:r><w:t xml:space="preserve">subsidence of the coast has sunk the lower-lying parts of</w:t></w:r>
</w:p>
<w:p>
<w:pPr><w:pStyle w:val="Normal"/></w:pPr>
<w:r><w:t xml:space="preserve">the ancient town under water.  Unfortunately the spaces</w:t></w:r>
</w:p>
<w:p>
<w:pPr><w:pStyle w:val="Normal"/></w:pPr>
<w:r><w:t xml:space="preserve">still most open are the low grounds to N.E. and S.W., where</w:t></w:r>
</w:p>
<w:p>
<w:pPr><w:pStyle w:val="Normal"/></w:pPr>
<w:r><w:t xml:space="preserve">it is practically impossible to get below the Roman strata.</w:t></w:r>
</w:p>
<w:p>
<w:pPr><w:pStyle w:val="Normal"/></w:pPr>
<w:r><w:t xml:space="preserve">The most important results were those achieved by Dr G.</w:t></w:r>
</w:p>
<w:p>
<w:pPr><w:pStyle w:val="Normal"/></w:pPr>
<w:r><w:t xml:space="preserve">Botti, late director Of the museum, in the neighbourhood</w:t></w:r>
</w:p>
<w:p>
<w:pPr><w:pStyle w:val="Normal"/></w:pPr>
<w:r><w:t xml:space="preserve">of ``Pompey&apos;s Pillar,&apos;&apos; where there is a good deal of open</w:t></w:r>
</w:p>
<w:p>
<w:pPr><w:pStyle w:val="Normal"/></w:pPr>
<w:r><w:t xml:space="preserve">ground.  Here substructures of a large building or group of</w:t></w:r>
</w:p>
<w:p>
<w:pPr><w:pStyle w:val="Normal"/></w:pPr>
<w:r><w:t xml:space="preserve">buildings have been exposed, which are perhaps part of the</w:t></w:r>
</w:p>
<w:p>
<w:pPr><w:pStyle w:val="Normal"/></w:pPr>
<w:r><w:t xml:space="preserve">Serapeum.  Hard by immense catacombs and columbaria</w:t></w:r>
</w:p>
<w:p>
<w:pPr><w:pStyle w:val="Normal"/></w:pPr>
<w:r><w:t xml:space="preserve">have been opened which may have been appendages of the</w:t></w:r>
</w:p>
<w:p>
<w:pPr><w:pStyle w:val="Normal"/></w:pPr>
<w:r><w:t xml:space="preserve">temple.  These contain one very remarkable vault with curious</w:t></w:r>
</w:p>
<w:p>
<w:pPr><w:pStyle w:val="Normal"/></w:pPr>
<w:r><w:t xml:space="preserve">painted reliefs, now lighted by electricity and shown to</w:t></w:r>
</w:p>
<w:p>
<w:pPr><w:pStyle w:val="Normal"/></w:pPr>
<w:r><w:t xml:space="preserve">visitors.  The objects found in these researches are in the</w:t></w:r>
</w:p>
<w:p>
<w:pPr><w:pStyle w:val="Normal"/></w:pPr>
<w:r><w:t xml:space="preserve">museum, the most notable being a great basalt bull, probably</w:t></w:r>
</w:p>
<w:p>
<w:pPr><w:pStyle w:val="Normal"/></w:pPr>
<w:r><w:t xml:space="preserve">once an object of cult in the Serapeum.  Other catacombs and</w:t></w:r>
</w:p>
<w:p>
<w:pPr><w:pStyle w:val="Normal"/></w:pPr>
<w:r><w:t xml:space="preserve">tombs have been opened in Kore es-Shugafa Hadra (Roman) and</w:t></w:r>
</w:p>
<w:p>
<w:pPr><w:pStyle w:val="Normal"/></w:pPr>
<w:r><w:t xml:space="preserve">Ras et-Tin (painted).  The Germans found remains of a Ptolemaic</w:t></w:r>
</w:p>
<w:p>
<w:pPr><w:pStyle w:val="Normal"/></w:pPr>
<w:r><w:t xml:space="preserve">colonnade and streets in the north-east of the city, but little</w:t></w:r>
</w:p>
<w:p>
<w:pPr><w:pStyle w:val="Normal"/></w:pPr>
<w:r><w:t xml:space="preserve">else.  Mr Hogarth explored part of an immense brick structure</w:t></w:r>
</w:p>
<w:p>
<w:pPr><w:pStyle w:val="Normal"/></w:pPr>
<w:r><w:t xml:space="preserve">under the mound of Kom ed-Dik, which may have been part of</w:t></w:r>
</w:p>
<w:p>
<w:pPr><w:pStyle w:val="Normal"/></w:pPr>
<w:r><w:t xml:space="preserve">the Paneum, the Mausolea or a Roman fortress.  The making of</w:t></w:r>
</w:p>
<w:p>
<w:pPr><w:pStyle w:val="Normal"/></w:pPr>
<w:r><w:t xml:space="preserve">the new foreshore led to the dredging up of remains of the</w:t></w:r>
</w:p>
<w:p>
<w:pPr><w:pStyle w:val="Normal"/></w:pPr>
<w:r><w:t xml:space="preserve">Patriarchal Church; and the foundations of modern buildings</w:t></w:r>
</w:p>
<w:p>
<w:pPr><w:pStyle w:val="Normal"/></w:pPr>
<w:r><w:t xml:space="preserve">are seldom laid without some objects of antiquity being</w:t></w:r>
</w:p>
<w:p>
<w:pPr><w:pStyle w:val="Normal"/></w:pPr>
<w:r><w:t xml:space="preserve">discovered.  The wealth underground is doubtless immense;</w:t></w:r>
</w:p>
<w:p>
<w:pPr><w:pStyle w:val="Normal"/></w:pPr>
<w:r><w:t xml:space="preserve">but, despite all efforts, there is not much for antiquarians</w:t></w:r>
</w:p>
<w:p>
<w:pPr><w:pStyle w:val="Normal"/></w:pPr>
<w:r><w:t xml:space="preserve">to see in Alexandria outside the museum and the neighbourhood</w:t></w:r>
</w:p>
<w:p>
<w:pPr><w:pStyle w:val="Normal"/></w:pPr>
<w:r><w:t xml:space="preserve">of ``Pompey&apos;s Pillar.&apos;&apos; The native tomb- robbers, well-sinkers,</w:t></w:r>
</w:p>
<w:p>
<w:pPr><w:pStyle w:val="Normal"/></w:pPr>
<w:r><w:t xml:space="preserve">dredgers and the like, however, come upon valuable objects from</w:t></w:r>
</w:p>
<w:p>
<w:pPr><w:pStyle w:val="Normal"/></w:pPr>
<w:r><w:t xml:space="preserve">time to time, which find their way into private collections.</w:t></w:r>
</w:p>
<w:p>
<w:pPr><w:pStyle w:val="Normal"/></w:pPr>
<w:r><w:t xml:space="preserve">BIBLIOGRAPHY.--(1) Modern City.  See latest editions of</w:t></w:r>
</w:p>
<w:p>
<w:pPr><w:pStyle w:val="Normal"/></w:pPr>
<w:r><w:t xml:space="preserve">guidebooks to Lower Egypt (Baedeker, Murray, Macmillan). (2)</w:t></w:r>
</w:p>
<w:p>
<w:pPr><w:pStyle w:val="Normal"/></w:pPr>
<w:r><w:t xml:space="preserve">History.  See authorities for history of EGYPT. (3) Ancient</w:t></w:r>
</w:p>
<w:p>
<w:pPr><w:pStyle w:val="Normal"/></w:pPr>
<w:r><w:t xml:space="preserve">City and Antiquities.  Mahmud Bey el Fallaki, Memoire</w:t></w:r>
</w:p>
<w:p>
<w:pPr><w:pStyle w:val="Normal"/></w:pPr>
<w:r><w:t xml:space="preserve">sur l&apos;antique Alexandrie (1872); T. D. Neroutsos, L&apos;A</w:t></w:r>
</w:p>
<w:p>
<w:pPr><w:pStyle w:val="Normal"/></w:pPr>
<w:r><w:t xml:space="preserve">ncienne A lexandrie ( I 888) D.G. Hogarth and E. F.</w:t></w:r>
</w:p>
<w:p>
<w:pPr><w:pStyle w:val="Normal"/></w:pPr>
<w:r><w:t xml:space="preserve">Benson, Report on Prospects of Research in Alexandria Egypt</w:t></w:r>
</w:p>
<w:p>
<w:pPr><w:pStyle w:val="Normal"/></w:pPr>
<w:r><w:t xml:space="preserve">Expl.  Fund Archaeological Report, 1894-1895); Bulletin</w:t></w:r>
</w:p>
<w:p>
<w:pPr><w:pStyle w:val="Normal"/></w:pPr>
<w:r><w:t xml:space="preserve">de la Societe Archeologique d&apos;Alexandrie(1898 foll.);</w:t></w:r>
</w:p>
<w:p>
<w:pPr><w:pStyle w:val="Normal"/></w:pPr>
<w:r><w:t xml:space="preserve">O. Puchstein in Pauly- Wissowa, Realencyclopadie, s.v.</w:t></w:r>
</w:p>
<w:p>
<w:pPr><w:pStyle w:val="Normal"/></w:pPr>
<w:r><w:t xml:space="preserve">``Alexandria&apos;&apos;; U. Wilcken, Observationes ad historiam</w:t></w:r>
</w:p>
<w:p>
<w:pPr><w:pStyle w:val="Normal"/></w:pPr>
<w:r><w:t xml:space="preserve">Egypti Provinciae Romanae (1885); G. Lumbroso, L&apos;Egitto</w:t></w:r>
</w:p>
<w:p>
<w:pPr><w:pStyle w:val="Normal"/></w:pPr>
<w:r><w:t xml:space="preserve">al tempo dei Greci e dei Romani (1882); H. Kiepert, Zur</w:t></w:r>
</w:p>
<w:p>
<w:pPr><w:pStyle w:val="Normal"/></w:pPr>
<w:r><w:t xml:space="preserve">Topographie des alten Alexandria (1872). (D. G. H.)</w:t></w:r>
</w:p>
<w:p>
<w:pPr><w:pStyle w:val="Normal"/></w:pPr>
<w:r><w:t xml:space="preserve">1 This municipality was superseded by a new municipal</w:t></w:r>
</w:p>
<w:p>
<w:pPr><w:pStyle w:val="Normal"/></w:pPr>
<w:r><w:t xml:space="preserve">body, with extensive powers, created in 1890.</w:t></w:r>
</w:p>
<w:p>
<w:pPr><w:pStyle w:val="Normal"/></w:pPr>
<w:r><w:t xml:space="preserve">ALEXANDRIA, a city of Madison county, Indiana, U.S.A., about 46</w:t></w:r>
</w:p>
<w:p>
<w:pPr><w:pStyle w:val="Normal"/></w:pPr>
<w:r><w:t xml:space="preserve">m.  N.E. of Indianapolis.  Pop. (1890) 715; (1900) 7221,</w:t></w:r>
</w:p>
<w:p>
<w:pPr><w:pStyle w:val="Normal"/></w:pPr>
<w:r><w:t xml:space="preserve">(1002 foreign-born); (1910) 5096.  Alexandria is served by the</w:t></w:r>
</w:p>
<w:p>
<w:pPr><w:pStyle w:val="Normal"/></w:pPr>
<w:r><w:t xml:space="preserve">Cleveland, Cincinnati, Chicago &amp; St Louis, and the Lake Erie</w:t></w:r>
</w:p>
<w:p>
<w:pPr><w:pStyle w:val="Normal"/></w:pPr>
<w:r><w:t xml:space="preserve">&amp; Western railways, and by the Indiana Union Traction System</w:t></w:r>
</w:p>
<w:p>
<w:pPr><w:pStyle w:val="Normal"/></w:pPr>
<w:r><w:t xml:space="preserve">(electric).  In the city are a Carnegie library and Beulah</w:t></w:r>
</w:p>
<w:p>
<w:pPr><w:pStyle w:val="Normal"/></w:pPr>
<w:r><w:t xml:space="preserve">Park (24 acres), the latter belonging to the Northern Indiana</w:t></w:r>
</w:p>
<w:p>
<w:pPr><w:pStyle w:val="Normal"/></w:pPr>
<w:r><w:t xml:space="preserve">Holiness Association, which there holds summer camp-meetings.</w:t></w:r>
</w:p>
<w:p>
<w:pPr><w:pStyle w:val="Normal"/></w:pPr>
<w:r><w:t xml:space="preserve">The city is in a rich farming country, which produces Indian</w:t></w:r>
</w:p>
<w:p>
<w:pPr><w:pStyle w:val="Normal"/></w:pPr>
<w:r><w:t xml:space="preserve">corn, oats and wheat; and is in the Indiana natural gas region,</w:t></w:r>
</w:p>
<w:p>
<w:pPr><w:pStyle w:val="Normal"/></w:pPr>
<w:r><w:t xml:space="preserve">to which fact it owes its rapid growth as a manufacturing</w:t></w:r>
</w:p>
<w:p>
<w:pPr><w:pStyle w:val="Normal"/></w:pPr>
<w:r><w:t xml:space="preserve">centre.  It is one of the principal seats of the glass</w:t></w:r>
</w:p>
<w:p>
<w:pPr><w:pStyle w:val="Normal"/></w:pPr>
<w:r><w:t xml:space="preserve">industry in Indiana-- plate glass, lamp chimneys, mirrors,</w:t></w:r>
</w:p>
<w:p>
<w:pPr><w:pStyle w:val="Normal"/></w:pPr>
<w:r><w:t xml:space="preserve">&amp;c., being manufactured here--and also has mineral wool</w:t></w:r>
</w:p>
<w:p>
<w:pPr><w:pStyle w:val="Normal"/></w:pPr>
<w:r><w:t xml:space="preserve">factories and paper mills.  The municipality owns and operates</w:t></w:r>
</w:p>
<w:p>
<w:pPr><w:pStyle w:val="Normal"/></w:pPr>
<w:r><w:t xml:space="preserve">the water-works and the gas-lighting plant.  Alexandria</w:t></w:r>
</w:p>
<w:p>
<w:pPr><w:pStyle w:val="Normal"/></w:pPr>
<w:r><w:t xml:space="preserve">was founded in 1836 and was chartered as a city in 1893.</w:t></w:r>
</w:p>
<w:p>
<w:pPr><w:pStyle w:val="Normal"/></w:pPr>
<w:r><w:t xml:space="preserve">ALEXANDRIA, a city of Louisiana, U.S.A., capital of Rapides</w:t></w:r>
</w:p>
<w:p>
<w:pPr><w:pStyle w:val="Normal"/></w:pPr>
<w:r><w:t xml:space="preserve">Parish, on the S. bank of the Red river in almost the exact</w:t></w:r>
</w:p>
<w:p>
<w:pPr><w:pStyle w:val="Normal"/></w:pPr>
<w:r><w:t xml:space="preserve">geographical centre of the state.  Pop. (1890) 2861; (1900)</w:t></w:r>
</w:p>
<w:p>
<w:pPr><w:pStyle w:val="Normal"/></w:pPr>
<w:r><w:t xml:space="preserve">5648 (3142 negroes); (1910) 11,213.  The city is served</w:t></w:r>
</w:p>
<w:p>
<w:pPr><w:pStyle w:val="Normal"/></w:pPr>
<w:r><w:t xml:space="preserve">by the Louisiana Railway &amp; Navigation Company, the St</w:t></w:r>
</w:p>
<w:p>
<w:pPr><w:pStyle w:val="Normal"/></w:pPr>
<w:r><w:t xml:space="preserve">Louis, Watkins &amp; Gulf, the Texas &amp; Pacific, the Louisiana &amp;</w:t></w:r>
</w:p>
<w:p>
<w:pPr><w:pStyle w:val="Normal"/></w:pPr>
<w:r><w:t xml:space="preserve">Arkansas, the Southern Pacific, the Chicago, Rock Island &amp;</w:t></w:r>
</w:p>
<w:p>
<w:pPr><w:pStyle w:val="Normal"/></w:pPr>
<w:r><w:t xml:space="preserve">Pacific, and the Missouri Pacific railways.  The Red river is</w:t></w:r>
</w:p>
<w:p>
<w:pPr><w:pStyle w:val="Normal"/></w:pPr>
<w:r><w:t xml:space="preserve">navigable to Alexandria during the entire year.  Alexandria</w:t></w:r>
</w:p>
<w:p>
<w:pPr><w:pStyle w:val="Normal"/></w:pPr>
<w:r><w:t xml:space="preserve">is on a level plain in the centre of the Louisiana long-leaf</w:t></w:r>
</w:p>
<w:p>
<w:pPr><w:pStyle w:val="Normal"/></w:pPr>
<w:r><w:t xml:space="preserve">pine forests, in which pine is interspersed with various</w:t></w:r>
</w:p>
<w:p>
<w:pPr><w:pStyle w:val="Normal"/></w:pPr>
<w:r><w:t xml:space="preserve">hardwoods.  The forests stretch on all sides within a radius of 75</w:t></w:r>
</w:p>
<w:p>
<w:pPr><w:pStyle w:val="Normal"/></w:pPr>
<w:r><w:t xml:space="preserve">m.  In the immediate vicinity of the city, on the Red river,</w:t></w:r>
</w:p>
<w:p>
<w:pPr><w:pStyle w:val="Normal"/></w:pPr>
<w:r><w:t xml:space="preserve">cotton, sugar, alfalfa and garden vegetables are cultivated;</w:t></w:r>
</w:p>
<w:p>
<w:pPr><w:pStyle w:val="Normal"/></w:pPr>
<w:r><w:t xml:space="preserve">south of the Red river is a peculiarly rich farming country</w:t></w:r>
</w:p>
<w:p>
<w:pPr><w:pStyle w:val="Normal"/></w:pPr>
<w:r><w:t xml:space="preserve">watered by Bayou Rapides and Bayou Boeuf.  Near the city is</w:t></w:r>
</w:p>
<w:p>
<w:pPr><w:pStyle w:val="Normal"/></w:pPr>
<w:r><w:t xml:space="preserve">the Louisiana Asylum for the Insane.  The principal industaes</w:t></w:r>
</w:p>
<w:p>
<w:pPr><w:pStyle w:val="Normal"/></w:pPr>
<w:r><w:t xml:space="preserve">are cotton- pressing and the manufacture of lumber and of</w:t></w:r>
</w:p>
<w:p>
<w:pPr><w:pStyle w:val="Normal"/></w:pPr>
<w:r><w:t xml:space="preserve">cotton-seed products; sugar and molasses, artificial ice,</w:t></w:r>
</w:p>
<w:p>
<w:pPr><w:pStyle w:val="Normal"/></w:pPr>
<w:r><w:t xml:space="preserve">mineral waters and brick are other manufactures.  The city</w:t></w:r>
</w:p>
<w:p>
<w:pPr><w:pStyle w:val="Normal"/></w:pPr>
<w:r><w:t xml:space="preserve">owns and operates the water-works and electric-lighting plant;</w:t></w:r>
</w:p>
<w:p>
<w:pPr><w:pStyle w:val="Normal"/></w:pPr>
<w:r><w:t xml:space="preserve">the water-supply is derived from artesian wells.  Alexandria</w:t></w:r>
</w:p>
<w:p>
<w:pPr><w:pStyle w:val="Normal"/></w:pPr>
<w:r><w:t xml:space="preserve">was named in honour of Alexander Fulton, on whose grant from</w:t></w:r>
</w:p>
<w:p>
<w:pPr><w:pStyle w:val="Normal"/></w:pPr>
<w:r><w:t xml:space="preserve">Spain the first settlement was made in 1785; it was first</w:t></w:r>
</w:p>
<w:p>
<w:pPr><w:pStyle w:val="Normal"/></w:pPr>
<w:r><w:t xml:space="preserve">incorporated as a town in 1818 and received a city charter in</w:t></w:r>
</w:p>
<w:p>
<w:pPr><w:pStyle w:val="Normal"/></w:pPr>
<w:r><w:t xml:space="preserve">1882.  In the spring of 1863 a Union fleet under Admiral David</w:t></w:r>
</w:p>
<w:p>
<w:pPr><w:pStyle w:val="Normal"/></w:pPr>
<w:r><w:t xml:space="preserve">D. Porter, operating on the Red river, co-operated with land</w:t></w:r>
</w:p>
<w:p>
<w:pPr><w:pStyle w:val="Normal"/></w:pPr>
<w:r><w:t xml:space="preserve">forces under General N. P. Banks in pushing the Confederates</w:t></w:r>
</w:p>
<w:p>
<w:pPr><w:pStyle w:val="Normal"/></w:pPr>
<w:r><w:t xml:space="preserve">westward.  Alexandria was occupied on the 7th of May 1863,</w:t></w:r>
</w:p>
<w:p>
<w:pPr><w:pStyle w:val="Normal"/></w:pPr>
<w:r><w:t xml:space="preserve">but the troops were soon withdrawn for the Port Hudson</w:t></w:r>
</w:p>
<w:p>
<w:pPr><w:pStyle w:val="Normal"/></w:pPr>
<w:r><w:t xml:space="preserve">attack.  On the 19th of March 1864 it was again occupied by</w:t></w:r>
</w:p>
<w:p>
<w:pPr><w:pStyle w:val="Normal"/></w:pPr>
<w:r><w:t xml:space="preserve">the Union forces, who made it the point of concentration for</w:t></w:r>
</w:p>
<w:p>
<w:pPr><w:pStyle w:val="Normal"/></w:pPr>
<w:r><w:t xml:space="preserve">another land and naval expedition against E. Kirby Smith and</w:t></w:r>
</w:p>
<w:p>
<w:pPr><w:pStyle w:val="Normal"/></w:pPr>
<w:r><w:t xml:space="preserve">Shreveport.  After the check of this expedition and its</w:t></w:r>
</w:p>
<w:p>
<w:pPr><w:pStyle w:val="Normal"/></w:pPr>
<w:r><w:t xml:space="preserve">abandonment, Alexandria was again vacated on the 12th-13th of</w:t></w:r>
</w:p>
<w:p>
<w:pPr><w:pStyle w:val="Normal"/></w:pPr>
<w:r><w:t xml:space="preserve">May, when the city was almost entirely burned.  The Union</w:t></w:r>
</w:p>
<w:p>
<w:pPr><w:pStyle w:val="Normal"/></w:pPr>
<w:r><w:t xml:space="preserve">gunboats, which had passed up the river toward Shreveport</w:t></w:r>
</w:p>
<w:p>
<w:pPr><w:pStyle w:val="Normal"/></w:pPr>
<w:r><w:t xml:space="preserve">at high water, were caught in its decline above the falls at</w:t></w:r>
</w:p>
<w:p>
<w:pPr><w:pStyle w:val="Normal"/></w:pPr>
<w:r><w:t xml:space="preserve">Alexandria, but they were saved by a splendid piece of engineering</w:t></w:r>
</w:p>
<w:p>
<w:pPr><w:pStyle w:val="Normal"/></w:pPr>
<w:r><w:t xml:space="preserve">(a dam at the falls), constructed by Lieutenant-Colonel Joseph</w:t></w:r>
</w:p>
<w:p>
<w:pPr><w:pStyle w:val="Normal"/></w:pPr>
<w:r><w:t xml:space="preserve">Bailey (1827-1867), who for this service received the thanks</w:t></w:r>
</w:p>
<w:p>
<w:pPr><w:pStyle w:val="Normal"/></w:pPr>
<w:r><w:t xml:space="preserve">of Congress and the brevet of brigadier-general of volunteers.</w:t></w:r>
</w:p>
<w:p>
<w:pPr><w:pStyle w:val="Normal"/></w:pPr>
<w:r><w:t xml:space="preserve">ALEXANDRIA, a town of Rumania, situated among the rich</w:t></w:r>
</w:p>
<w:p>
<w:pPr><w:pStyle w:val="Normal"/></w:pPr>
<w:r><w:t xml:space="preserve">corn-lands of the Teleorman department, on the right bank of</w:t></w:r>
</w:p>
<w:p>
<w:pPr><w:pStyle w:val="Normal"/></w:pPr>
<w:r><w:t xml:space="preserve">the river Vedea.  Pop. (1900) 13,675.  Its chief trade is in</w:t></w:r>
</w:p>
<w:p>
<w:pPr><w:pStyle w:val="Normal"/></w:pPr>
<w:r><w:t xml:space="preserve">grain, despatched by rail to the Danubian port of Zimnicea, or</w:t></w:r>
</w:p>
<w:p>
<w:pPr><w:pStyle w:val="Normal"/></w:pPr>
<w:r><w:t xml:space="preserve">by river to Giurgevo.  Alexandria was named after its founder,</w:t></w:r>
</w:p>
<w:p>
<w:pPr><w:pStyle w:val="Normal"/></w:pPr>
<w:r><w:t xml:space="preserve">Alexander John Cuza, prince of Rumania from 1859 to 1866.</w:t></w:r>
</w:p>
<w:p>
<w:pPr><w:pStyle w:val="Normal"/></w:pPr>
<w:r><w:t xml:space="preserve">ALEXANDRIA, a manufacturing town of Dumbartonshire,</w:t></w:r>
</w:p>
<w:p>
<w:pPr><w:pStyle w:val="Normal"/></w:pPr>
<w:r><w:t xml:space="preserve">Scotland, situated on the right bank of the Leven about 3</w:t></w:r>
</w:p>
<w:p>
<w:pPr><w:pStyle w:val="Normal"/></w:pPr>
<w:r><w:t xml:space="preserve">m. north of Dumbarton, on the North British and Caledonian</w:t></w:r>
</w:p>
<w:p>
<w:pPr><w:pStyle w:val="Normal"/></w:pPr>
<w:r><w:t xml:space="preserve">railways.  It owes its origin almost entirely to the cotton</w:t></w:r>
</w:p>
<w:p>
<w:pPr><w:pStyle w:val="Normal"/></w:pPr>
<w:r><w:t xml:space="preserve">printing and bleaching works of the vicinity, for which there</w:t></w:r>
</w:p>
<w:p>
<w:pPr><w:pStyle w:val="Normal"/></w:pPr>
<w:r><w:t xml:space="preserve">is an abundant supply of excellent water, and contains one</w:t></w:r>
</w:p>
<w:p>
<w:pPr><w:pStyle w:val="Normal"/></w:pPr>
<w:r><w:t xml:space="preserve">of the largest of the Turkey-red dyeing establishments in the</w:t></w:r>
</w:p>
<w:p>
<w:pPr><w:pStyle w:val="Normal"/></w:pPr>
<w:r><w:t xml:space="preserve">Vale of Leven.  The public buildings include a public hall,</w:t></w:r>
</w:p>
<w:p>
<w:pPr><w:pStyle w:val="Normal"/></w:pPr>
<w:r><w:t xml:space="preserve">the mechanics&apos; institute with library and lecture-hall, an</w:t></w:r>
</w:p>
<w:p>
<w:pPr><w:pStyle w:val="Normal"/></w:pPr>
<w:r><w:t xml:space="preserve">institute for men, with library and recreation rooms, a similar</w:t></w:r>
</w:p>
<w:p>
<w:pPr><w:pStyle w:val="Normal"/></w:pPr>
<w:r><w:t xml:space="preserve">institution for women, banks and other important commercial</w:t></w:r>
</w:p>
<w:p>
<w:pPr><w:pStyle w:val="Normal"/></w:pPr>
<w:r><w:t xml:space="preserve">offices.  Pop. (1891) 7796; (1901) 8007.  Alexandria is</w:t></w:r>
</w:p>
<w:p>
<w:pPr><w:pStyle w:val="Normal"/></w:pPr>
<w:r><w:t xml:space="preserve">connected with BONHILL, on the opposite bank of the river,</w:t></w:r>
</w:p>
<w:p>
<w:pPr><w:pStyle w:val="Normal"/></w:pPr>
<w:r><w:t xml:space="preserve">by a bridge which replaced in 1898 one bought three years</w:t></w:r>
</w:p>
<w:p>
<w:pPr><w:pStyle w:val="Normal"/></w:pPr>
<w:r><w:t xml:space="preserve">earlier by the county council from the Smollett family, who</w:t></w:r>
</w:p>
<w:p>
<w:pPr><w:pStyle w:val="Normal"/></w:pPr>
<w:r><w:t xml:space="preserve">have been closely associated with the district since the</w:t></w:r>
</w:p>
<w:p>
<w:pPr><w:pStyle w:val="Normal"/></w:pPr>
<w:r><w:t xml:space="preserve">time of Sir James Smollett, the novelist&apos;s grandfather.</w:t></w:r>
</w:p>
<w:p>
<w:pPr><w:pStyle w:val="Normal"/></w:pPr>
<w:r><w:t xml:space="preserve">The industries of Bonhill centre in the calico printing,</w:t></w:r>
</w:p>
<w:p>
<w:pPr><w:pStyle w:val="Normal"/></w:pPr>
<w:r><w:t xml:space="preserve">dyeing and bleaching which find their headquarters in the</w:t></w:r>
</w:p>
<w:p>
<w:pPr><w:pStyle w:val="Normal"/></w:pPr>
<w:r><w:t xml:space="preserve">valley.  Population (1891) 3843; (1901) 3333. JAMESTOWN,</w:t></w:r>
</w:p>
<w:p>
<w:pPr><w:pStyle w:val="Normal"/></w:pPr>
<w:r><w:t xml:space="preserve">about 1 m. to the north-east of Alexandria, with a station</w:t></w:r>
</w:p>
<w:p>
<w:pPr><w:pStyle w:val="Normal"/></w:pPr>
<w:r><w:t xml:space="preserve">on the Forth &amp; Clyde railway from Balloch to Stirling (North</w:t></w:r>
</w:p>
<w:p>
<w:pPr><w:pStyle w:val="Normal"/></w:pPr>
<w:r><w:t xml:space="preserve">British), contains some of the largest cotton-printing</w:t></w:r>
</w:p>
<w:p>
<w:pPr><w:pStyle w:val="Normal"/></w:pPr>
<w:r><w:t xml:space="preserve">works in Scotland.  Population (1891) 1668; (1901) 2080.</w:t></w:r>
</w:p>
<w:p>
<w:pPr><w:pStyle w:val="Normal"/></w:pPr>
<w:r><w:t xml:space="preserve">ALEXANDRIA, a city and a port of entry of Alexandria county,</w:t></w:r>
</w:p>
<w:p>
<w:pPr><w:pStyle w:val="Normal"/></w:pPr>
<w:r><w:t xml:space="preserve">Virginia, U.S.A., on the W. bank of the Potomac river, 6</w:t></w:r>
</w:p>
<w:p>
<w:pPr><w:pStyle w:val="Normal"/></w:pPr>
<w:r><w:t xml:space="preserve">m. below Washington, D.C., with which it is connected by a</w:t></w:r>
</w:p>
<w:p>
<w:pPr><w:pStyle w:val="Normal"/></w:pPr>
<w:r><w:t xml:space="preserve">ferry.  Pop. (1890) 14,339; (1900) 14,528, of whom 4533 were</w:t></w:r>
</w:p>
<w:p>
<w:pPr><w:pStyle w:val="Normal"/></w:pPr>
<w:r><w:t xml:space="preserve">negroes; (1910, census), 15,329.  Alexandria is served by the</w:t></w:r>
</w:p>
<w:p>
<w:pPr><w:pStyle w:val="Normal"/></w:pPr>
<w:r><w:t xml:space="preserve">Baltimore &amp; Ohio, the Chesapeake &amp; Ohio, the Southern and the</w:t></w:r>
</w:p>
<w:p>
<w:pPr><w:pStyle w:val="Normal"/></w:pPr>
<w:r><w:t xml:space="preserve">Washington Southern railways; by the Washington, Alexandria &amp;</w:t></w:r>
</w:p>
<w:p>
<w:pPr><w:pStyle w:val="Normal"/></w:pPr>
<w:r><w:t xml:space="preserve">Mount Vernon electric railway; and by several lines of river</w:t></w:r>
</w:p>
<w:p>
<w:pPr><w:pStyle w:val="Normal"/></w:pPr>
<w:r><w:t xml:space="preserve">and coasting steamboats.  It is a quaint, old-fashioned city,</w:t></w:r>
</w:p>
<w:p>
<w:pPr><w:pStyle w:val="Normal"/></w:pPr>
<w:r><w:t xml:space="preserve">with quiet, shady streets, and a number of buildings dating</w:t></w:r>
</w:p>
<w:p>
<w:pPr><w:pStyle w:val="Normal"/></w:pPr>
<w:r><w:t xml:space="preserve">back to the 18th century; of these the most interesting is the</w:t></w:r>
</w:p>
<w:p>
<w:pPr><w:pStyle w:val="Normal"/></w:pPr>
<w:r><w:t xml:space="preserve">old Christ Church in which George Washington and Robert E. Lee</w:t></w:r>
</w:p>
<w:p>
<w:pPr><w:pStyle w:val="Normal"/></w:pPr>
<w:r><w:t xml:space="preserve">worshipped.  The city has a public library.  About 2 1/2</w:t></w:r>
</w:p>
<w:p>
<w:pPr><w:pStyle w:val="Normal"/></w:pPr>
<w:r><w:t xml:space="preserve">m.  W. of Alexandria is the Protestant Episcopal Theological</w:t></w:r>
</w:p>
<w:p>
<w:pPr><w:pStyle w:val="Normal"/></w:pPr>
<w:r><w:t xml:space="preserve">Seminary in Virginia, opened here in 1823 and chartered in</w:t></w:r>
</w:p>
<w:p>
<w:pPr><w:pStyle w:val="Normal"/></w:pPr>
<w:r><w:t xml:space="preserve">1854; in 1906-1907 the Seminary had a faculty of 7 and 46</w:t></w:r>
</w:p>
<w:p>
<w:pPr><w:pStyle w:val="Normal"/></w:pPr>
<w:r><w:t xml:space="preserve">students.  Alexandria is a distributing and jobbing centre for</w:t></w:r>
</w:p>
<w:p>
<w:pPr><w:pStyle w:val="Normal"/></w:pPr>
<w:r><w:t xml:space="preserve">the north-east counties of Virginia.  Among its manufactures</w:t></w:r>
</w:p>
<w:p>
<w:pPr><w:pStyle w:val="Normal"/></w:pPr>
<w:r><w:t xml:space="preserve">are fertilizers, bottles, carbonated beverages, flour, beer,</w:t></w:r>
</w:p>
<w:p>
<w:pPr><w:pStyle w:val="Normal"/></w:pPr>
<w:r><w:t xml:space="preserve">shoes, silk thread, aprons, brooms, leather, bricks, and</w:t></w:r>
</w:p>
<w:p>
<w:pPr><w:pStyle w:val="Normal"/></w:pPr>
<w:r><w:t xml:space="preserve">tiling and structural iron.  The total value of its factory</w:t></w:r>
</w:p>
<w:p>
<w:pPr><w:pStyle w:val="Normal"/></w:pPr>
<w:r><w:t xml:space="preserve">product in 1905 was $2,186,658.  The municipality owns and</w:t></w:r>
</w:p>
<w:p>
<w:pPr><w:pStyle w:val="Normal"/></w:pPr>
<w:r><w:t xml:space="preserve">operates its gas-lighting plant.  Alexandria, first known as</w:t></w:r>
</w:p>
<w:p>
<w:pPr><w:pStyle w:val="Normal"/></w:pPr>
<w:r><w:t xml:space="preserve">Belhaven, was named in honour of John Alexander, who in the</w:t></w:r>
</w:p>
<w:p>
<w:pPr><w:pStyle w:val="Normal"/></w:pPr>
<w:r><w:t xml:space="preserve">last quarter of the 17th century had bought the land on which</w:t></w:r>
</w:p>
<w:p>
<w:pPr><w:pStyle w:val="Normal"/></w:pPr>
<w:r><w:t xml:space="preserve">the city now stands from Robert Howison; the first settlement</w:t></w:r>
</w:p>
<w:p>
<w:pPr><w:pStyle w:val="Normal"/></w:pPr>
<w:r><w:t xml:space="preserve">here was made in 1695.  Alexandria was laid out in 1749 and</w:t></w:r>
</w:p>
<w:p>
<w:pPr><w:pStyle w:val="Normal"/></w:pPr>
<w:r><w:t xml:space="preserve">was incorporated in 1779.  From 1790 until 1846 Alexandria</w:t></w:r>
</w:p>
<w:p>
<w:pPr><w:pStyle w:val="Normal"/></w:pPr>
<w:r><w:t xml:space="preserve">county was a part of the District of Columbia; at present the</w:t></w:r>
</w:p>
<w:p>
<w:pPr><w:pStyle w:val="Normal"/></w:pPr>
<w:r><w:t xml:space="preserve">city, although within the limits of Alexandria county, is not</w:t></w:r>
</w:p>
<w:p>
<w:pPr><w:pStyle w:val="Normal"/></w:pPr>
<w:r><w:t xml:space="preserve">administratively a part of it.  The city was re-chartered in</w:t></w:r>
</w:p>
<w:p>
<w:pPr><w:pStyle w:val="Normal"/></w:pPr>
<w:r><w:t xml:space="preserve">1852.  For some time Alexandria seemed destined to become</w:t></w:r>
</w:p>
<w:p>
<w:pPr><w:pStyle w:val="Normal"/></w:pPr>
<w:r><w:t xml:space="preserve">an important commercial centre, but the rise of Washington</w:t></w:r>
</w:p>
<w:p>
<w:pPr><w:pStyle w:val="Normal"/></w:pPr>
<w:r><w:t xml:space="preserve">created a rival that soon outstripped it, and since the</w:t></w:r>
</w:p>
<w:p>
<w:pPr><w:pStyle w:val="Normal"/></w:pPr>
<w:r><w:t xml:space="preserve">Civil War the city&apos;s growth has been comparatively slight.</w:t></w:r>
</w:p>
<w:p>
<w:pPr><w:pStyle w:val="Normal"/></w:pPr>
<w:r><w:t xml:space="preserve">At Alexandria in 1755 General Edward Braddock organized his</w:t></w:r>
</w:p>
<w:p>
<w:pPr><w:pStyle w:val="Normal"/></w:pPr>
<w:r><w:t xml:space="preserve">fatal expedition against Fort Duquesne, and here, in April of</w:t></w:r>
</w:p>
<w:p>
<w:pPr><w:pStyle w:val="Normal"/></w:pPr>
<w:r><w:t xml:space="preserve">the same year, the governors of Virginia, Massachusetts, New</w:t></w:r>
</w:p>
<w:p>
<w:pPr><w:pStyle w:val="Normal"/></w:pPr>
<w:r><w:t xml:space="preserve">Yfork, Pennsylvania and Maryland met (in a house still standing)</w:t></w:r>
</w:p>
<w:p>
<w:pPr><w:pStyle w:val="Normal"/></w:pPr>
<w:r><w:t xml:space="preserve">to determine upon concerted action against the French in</w:t></w:r>
</w:p>
<w:p>
<w:pPr><w:pStyle w:val="Normal"/></w:pPr>
<w:r><w:t xml:space="preserve">America.  In March 1785 commissioners from Virginia and</w:t></w:r>
</w:p>
<w:p>
<w:pPr><w:pStyle w:val="Normal"/></w:pPr>
<w:r><w:t xml:space="preserve">Maryland met here to discuss the commercial relations of</w:t></w:r>
</w:p>
<w:p>
<w:pPr><w:pStyle w:val="Normal"/></w:pPr>
<w:r><w:t xml:space="preserve">the two states, finishing their business at Mount Vernon on</w:t></w:r>
</w:p>
<w:p>
<w:pPr><w:pStyle w:val="Normal"/></w:pPr>
<w:r><w:t xml:space="preserve">the 28th with an agreement for freedom of trade and freedom</w:t></w:r>
</w:p>
<w:p>
<w:pPr><w:pStyle w:val="Normal"/></w:pPr>
<w:r><w:t xml:space="preserve">of navigation of the Potomac.  The Maryland legislature in</w:t></w:r>
</w:p>
<w:p>
<w:pPr><w:pStyle w:val="Normal"/></w:pPr>
<w:r><w:t xml:space="preserve">ratifying this agreement on the 22nd of November proposed</w:t></w:r>
</w:p>
<w:p>
<w:pPr><w:pStyle w:val="Normal"/></w:pPr>
<w:r><w:t xml:space="preserve">a conference between representatives from all the states to</w:t></w:r>
</w:p>
<w:p>
<w:pPr><w:pStyle w:val="Normal"/></w:pPr>
<w:r><w:t xml:space="preserve">consider the adoption of definite commercial regulations.</w:t></w:r>
</w:p>
<w:p>
<w:pPr><w:pStyle w:val="Normal"/></w:pPr>
<w:r><w:t xml:space="preserve">This led to the calling of the Annapolis convention of 1786,</w:t></w:r>
</w:p>
<w:p>
<w:pPr><w:pStyle w:val="Normal"/></w:pPr>
<w:r><w:t xml:space="preserve">which in turn led to the calling of the Federal convention of</w:t></w:r>
</w:p>
<w:p>
<w:pPr><w:pStyle w:val="Normal"/></w:pPr>
<w:r><w:t xml:space="preserve">1787.  In 1814 Alexandria was threatened by a British fleet,</w:t></w:r>
</w:p>
<w:p>
<w:pPr><w:pStyle w:val="Normal"/></w:pPr>
<w:r><w:t xml:space="preserve">but bought immunity from attack by paying about $100,000.  At</w:t></w:r>
</w:p>
<w:p>
<w:pPr><w:pStyle w:val="Normal"/></w:pPr>
<w:r><w:t xml:space="preserve">the opening of the Civil War the city was occupied by Federal</w:t></w:r>
</w:p>
<w:p>
<w:pPr><w:pStyle w:val="Normal"/></w:pPr>
<w:r><w:t xml:space="preserve">troops, and great excitement throughout the North was caused</w:t></w:r>
</w:p>
<w:p>
<w:pPr><w:pStyle w:val="Normal"/></w:pPr>
<w:r><w:t xml:space="preserve">by the killing (May 24, 1861) of Colonel E. E. Ellsworth</w:t></w:r>
</w:p>
<w:p>
<w:pPr><w:pStyle w:val="Normal"/></w:pPr>
<w:r><w:t xml:space="preserve">(1837-1861) by Captain James W. Jackson, a hotel proprietor,</w:t></w:r>
</w:p>
<w:p>
<w:pPr><w:pStyle w:val="Normal"/></w:pPr>
<w:r><w:t xml:space="preserve">from whose building Ellsworth had removed a Confederate</w:t></w:r>
</w:p>
<w:p>
<w:pPr><w:pStyle w:val="Normal"/></w:pPr>
<w:r><w:t xml:space="preserve">flag.  After the erection of the state of West Virginia (1863),</w:t></w:r>
</w:p>
<w:p>
<w:pPr><w:pStyle w:val="Normal"/></w:pPr>
<w:r><w:t xml:space="preserve">and until the close of the war, Alexandria was the seat of what</w:t></w:r>
</w:p>
<w:p>
<w:pPr><w:pStyle w:val="Normal"/></w:pPr>
<w:r><w:t xml:space="preserve">was known as the ``Alexandria Government&apos;&apos; (see VIRGINIA).</w:t></w:r>
</w:p>
<w:p>
<w:pPr><w:pStyle w:val="Normal"/></w:pPr>
<w:r><w:t xml:space="preserve">ALEXANDRIAN SCHOOL. Under this title are generally included</w:t></w:r>
</w:p>
<w:p>
<w:pPr><w:pStyle w:val="Normal"/></w:pPr>
<w:r><w:t xml:space="preserve">certain strongly marked tendencies in literature, science and</w:t></w:r>
</w:p>
<w:p>
<w:pPr><w:pStyle w:val="Normal"/></w:pPr>
<w:r><w:t xml:space="preserve">art, which took their rise in the ancient Egyptian city of</w:t></w:r>
</w:p>
<w:p>
<w:pPr><w:pStyle w:val="Normal"/></w:pPr>
<w:r><w:t xml:space="preserve">Alexandria.  That city, founded by Alexander the Great about</w:t></w:r>
</w:p>
<w:p>
<w:pPr><w:pStyle w:val="Normal"/></w:pPr>
<w:r><w:t xml:space="preserve">the time when Greece, in losing her national independence, lost</w:t></w:r>
</w:p>
<w:p>
<w:pPr><w:pStyle w:val="Normal"/></w:pPr>
<w:r><w:t xml:space="preserve">also her intellectual supremacy, was in every way admirably</w:t></w:r>
</w:p>
<w:p>
<w:pPr><w:pStyle w:val="Normal"/></w:pPr>
<w:r><w:t xml:space="preserve">adapted for becoming the new centre of the world&apos;s activity and</w:t></w:r>
</w:p>
<w:p>
<w:pPr><w:pStyle w:val="Normal"/></w:pPr>
<w:r><w:t xml:space="preserve">thought.  Its situation brought it into commercial relations</w:t></w:r>
</w:p>
<w:p>
<w:pPr><w:pStyle w:val="Normal"/></w:pPr>
<w:r><w:t xml:space="preserve">with all the nations lying around the Mediterranean, and at</w:t></w:r>
</w:p>
<w:p>
<w:pPr><w:pStyle w:val="Normal"/></w:pPr>
<w:r><w:t xml:space="preserve">the same time rendered it the one communicating link with</w:t></w:r>
</w:p>
<w:p>
<w:pPr><w:pStyle w:val="Normal"/></w:pPr>
<w:r><w:t xml:space="preserve">the wealth and civilization of the East.  The great natural</w:t></w:r>
</w:p>
<w:p>
<w:pPr><w:pStyle w:val="Normal"/></w:pPr>
<w:r><w:t xml:space="preserve">advantages it thus enjoyed were artificially increased to</w:t></w:r>
</w:p>
<w:p>
<w:pPr><w:pStyle w:val="Normal"/></w:pPr>
<w:r><w:t xml:space="preserve">an enormous extent by the care of the sovereigns of Egypt.</w:t></w:r>
</w:p>
<w:p>
<w:pPr><w:pStyle w:val="Normal"/></w:pPr>
<w:r><w:t xml:space="preserve">Ptolemy Soter (reigned 323-285 B.C.), to whom, in the</w:t></w:r>
</w:p>
<w:p>
<w:pPr><w:pStyle w:val="Normal"/></w:pPr>
<w:r><w:t xml:space="preserve">general distribution of Alexander&apos;s conquests, this kingdom had</w:t></w:r>
</w:p>
<w:p>
<w:pPr><w:pStyle w:val="Normal"/></w:pPr>
<w:r><w:t xml:space="preserve">fallen, began to draw around him from various parts of Greece</w:t></w:r>
</w:p>
<w:p>
<w:pPr><w:pStyle w:val="Normal"/></w:pPr>
<w:r><w:t xml:space="preserve">a circle of men eminent in literature and philosophy.  To these</w:t></w:r>
</w:p>
<w:p>
<w:pPr><w:pStyle w:val="Normal"/></w:pPr>
<w:r><w:t xml:space="preserve">he gave every facility for the prosecution of their learned</w:t></w:r>
</w:p>
<w:p>
<w:pPr><w:pStyle w:val="Normal"/></w:pPr>
<w:r><w:t xml:space="preserve">researches.  Under the inspiration of his friend Demetrius of</w:t></w:r>
</w:p>
<w:p>
<w:pPr><w:pStyle w:val="Normal"/></w:pPr>
<w:r><w:t xml:space="preserve">Phalerum, the Athenian orator, statesman and philosopher, this</w:t></w:r>
</w:p>
<w:p>
<w:pPr><w:pStyle w:val="Normal"/></w:pPr>
<w:r><w:t xml:space="preserve">Ptolemy laid the foundations of the great Alexandrian library</w:t></w:r>
</w:p>
<w:p>
<w:pPr><w:pStyle w:val="Normal"/></w:pPr>
<w:r><w:t xml:space="preserve">and originated the keen search for all written works, which</w:t></w:r>
</w:p>
<w:p>
<w:pPr><w:pStyle w:val="Normal"/></w:pPr>
<w:r><w:t xml:space="preserve">resulted in the formation of a collection such as the world</w:t></w:r>
</w:p>
<w:p>
<w:pPr><w:pStyle w:val="Normal"/></w:pPr>
<w:r><w:t xml:space="preserve">has seldom seen.  He also built, for the convenience of his</w:t></w:r>
</w:p>
<w:p>
<w:pPr><w:pStyle w:val="Normal"/></w:pPr>
<w:r><w:t xml:space="preserve">men of letters, the Museum, in which, maintained by the royal</w:t></w:r>
</w:p>
<w:p>
<w:pPr><w:pStyle w:val="Normal"/></w:pPr>
<w:r><w:t xml:space="preserve">bounty, they resided, studied and taught.  This Museum, or</w:t></w:r>
</w:p>
<w:p>
<w:pPr><w:pStyle w:val="Normal"/></w:pPr>
<w:r><w:t xml:space="preserve">academy of science, was in many respects not unlike a modern</w:t></w:r>
</w:p>
<w:p>
<w:pPr><w:pStyle w:val="Normal"/></w:pPr>
<w:r><w:t xml:space="preserve">university.  The work thus begun by Ptolemy Soter was carried</w:t></w:r>
</w:p>
<w:p>
<w:pPr><w:pStyle w:val="Normal"/></w:pPr>
<w:r><w:t xml:space="preserve">on vigorously by his descendants, in particular by his</w:t></w:r>
</w:p>
<w:p>
<w:pPr><w:pStyle w:val="Normal"/></w:pPr>
<w:r><w:t xml:space="preserve">two immediate successors, Ptolemy Philadelphus and Ptolemy</w:t></w:r>
</w:p>
<w:p>
<w:pPr><w:pStyle w:val="Normal"/></w:pPr>
<w:r><w:t xml:space="preserve">Euergetes.  Philadelphus (285-247), whose librarian was the</w:t></w:r>
</w:p>
<w:p>
<w:pPr><w:pStyle w:val="Normal"/></w:pPr>
<w:r><w:t xml:space="preserve">celebrated Callimachus, bought up all Aristotle&apos;s collection</w:t></w:r>
</w:p>
<w:p>
<w:pPr><w:pStyle w:val="Normal"/></w:pPr>
<w:r><w:t xml:space="preserve">of books, and also introduced a number of Jewish and Egyptian</w:t></w:r>
</w:p>
<w:p>
<w:pPr><w:pStyle w:val="Normal"/></w:pPr>
<w:r><w:t xml:space="preserve">works.  Among these appears to have been a portion pf the</w:t></w:r>
</w:p>
<w:p>
<w:pPr><w:pStyle w:val="Normal"/></w:pPr>
<w:r><w:t xml:space="preserve">Septuagint.  Euergetes (247-222) largely increased the library</w:t></w:r>
</w:p>
<w:p>
<w:pPr><w:pStyle w:val="Normal"/></w:pPr>
<w:r><w:t xml:space="preserve">by seizing on the original editions of the dramatists laid up</w:t></w:r>
</w:p>
<w:p>
<w:pPr><w:pStyle w:val="Normal"/></w:pPr>
<w:r><w:t xml:space="preserve">in the Athenian archives, and by compelling all travellers who</w:t></w:r>
</w:p>
<w:p>
<w:pPr><w:pStyle w:val="Normal"/></w:pPr>
<w:r><w:t xml:space="preserve">arrived in Alexandria to leave a copy of any work they possessed.</w:t></w:r>
</w:p>
<w:p>
<w:pPr><w:pStyle w:val="Normal"/></w:pPr>
<w:r><w:t xml:space="preserve">The intellectual movement so originated extended over a long</w:t></w:r>
</w:p>
<w:p>
<w:pPr><w:pStyle w:val="Normal"/></w:pPr>
<w:r><w:t xml:space="preserve">period of years.  If we date its rise from the 4th century</w:t></w:r>
</w:p>
<w:p>
<w:pPr><w:pStyle w:val="Normal"/></w:pPr>
<w:r><w:t xml:space="preserve">B.C., at the time of the fall of Greece and the foundation</w:t></w:r>
</w:p>
<w:p>
<w:pPr><w:pStyle w:val="Normal"/></w:pPr>
<w:r><w:t xml:space="preserve">of the Graeco- Macedonian empire, we must look for its final</w:t></w:r>
</w:p>
<w:p>
<w:pPr><w:pStyle w:val="Normal"/></w:pPr>
<w:r><w:t xml:space="preserve">dissolution in the 7th century of the Christian era, at the</w:t></w:r>
</w:p>
<w:p>
<w:pPr><w:pStyle w:val="Normal"/></w:pPr>
<w:r><w:t xml:space="preserve">time of the fall of Alexandria and the rise of the Mahommedan</w:t></w:r>
</w:p>
<w:p>
<w:pPr><w:pStyle w:val="Normal"/></w:pPr>
<w:r><w:t xml:space="preserve">power.  But this very long period falls into two divisions.</w:t></w:r>
</w:p>
<w:p>
<w:pPr><w:pStyle w:val="Normal"/></w:pPr>
<w:r><w:t xml:space="preserve">The first, extending from about 306 to 30, includes the time</w:t></w:r>
</w:p>
<w:p>
<w:pPr><w:pStyle w:val="Normal"/></w:pPr>
<w:r><w:t xml:space="preserve">from the foundation of the Ptolemaic dynasty to its final</w:t></w:r>
</w:p>
<w:p>
<w:pPr><w:pStyle w:val="Normal"/></w:pPr>
<w:r><w:t xml:space="preserve">subjugation by the Romans; the second extends from 30 to</w:t></w:r>
</w:p>
<w:p>
<w:pPr><w:pStyle w:val="Normal"/></w:pPr>
<w:r><w:t xml:space="preserve">A.D. 642, when Alexandria was destroyed by the Arabs.  The</w:t></w:r>
</w:p>
<w:p>
<w:pPr><w:pStyle w:val="Normal"/></w:pPr>
<w:r><w:t xml:space="preserve">characteristic features of these divisions are very clearly</w:t></w:r>
</w:p>
<w:p>
<w:pPr><w:pStyle w:val="Normal"/></w:pPr>
<w:r><w:t xml:space="preserve">marked, and their difference affords an explanation of</w:t></w:r>
</w:p>
<w:p>
<w:pPr><w:pStyle w:val="Normal"/></w:pPr>
<w:r><w:t xml:space="preserve">the variety and vagueness of meaning attaching to the term</w:t></w:r>
</w:p>
<w:p>
<w:pPr><w:pStyle w:val="Normal"/></w:pPr>
<w:r><w:t xml:space="preserve">``Alexandrian School.&apos;&apos; In the first of the two periods the</w:t></w:r>
</w:p>
<w:p>
<w:pPr><w:pStyle w:val="Normal"/></w:pPr>
<w:r><w:t xml:space="preserve">intellectual activity was of a purely literary and scientific</w:t></w:r>
</w:p>
<w:p>
<w:pPr><w:pStyle w:val="Normal"/></w:pPr>
<w:r><w:t xml:space="preserve">nature.  It was an attempt to continue and develop, under new</w:t></w:r>
</w:p>
<w:p>
<w:pPr><w:pStyle w:val="Normal"/></w:pPr>
<w:r><w:t xml:space="preserve">conditions, the old Hellenic culture.  This direction of</w:t></w:r>
</w:p>
<w:p>
<w:pPr><w:pStyle w:val="Normal"/></w:pPr>
<w:r><w:t xml:space="preserve">effort was particularly noticeable under the early Ptolemies,</w:t></w:r>
</w:p>
<w:p>
<w:pPr><w:pStyle w:val="Normal"/></w:pPr>
<w:r><w:t xml:space="preserve">Alexandria being then almost the only home in the world for pure</w:t></w:r>
</w:p>
<w:p>
<w:pPr><w:pStyle w:val="Normal"/></w:pPr>
<w:r><w:t xml:space="preserve">literature.  During the last century and a half before the</w:t></w:r>
</w:p>
<w:p>
<w:pPr><w:pStyle w:val="Normal"/></w:pPr>
<w:r><w:t xml:space="preserve">Christian era, the school, as it might be called, began to break</w:t></w:r>
</w:p>
<w:p>
<w:pPr><w:pStyle w:val="Normal"/></w:pPr>
<w:r><w:t xml:space="preserve">up and to lose its individuality.  This was due partly to the</w:t></w:r>
</w:p>
<w:p>
<w:pPr><w:pStyle w:val="Normal"/></w:pPr>
<w:r><w:t xml:space="preserve">state of government under some of the later Ptolemies, partly</w:t></w:r>
</w:p>
<w:p>
<w:pPr><w:pStyle w:val="Normal"/></w:pPr>
<w:r><w:t xml:space="preserve">to the formation of new literary circles in Rhodes, Syria and</w:t></w:r>
</w:p>
<w:p>
<w:pPr><w:pStyle w:val="Normal"/></w:pPr>
<w:r><w:t xml:space="preserve">elsewhere, whose supporters, though retaining the Alexandrian</w:t></w:r>
</w:p>
<w:p>
<w:pPr><w:pStyle w:val="Normal"/></w:pPr>
<w:r><w:t xml:space="preserve">peculiarities, could scarcely be included in the Alexandrian</w:t></w:r>
</w:p>
<w:p>
<w:pPr><w:pStyle w:val="Normal"/></w:pPr>
<w:r><w:t xml:space="preserve">school.  The loss of active life, consequent on this gradual</w:t></w:r>
</w:p>
<w:p>
<w:pPr><w:pStyle w:val="Normal"/></w:pPr>
<w:r><w:t xml:space="preserve">dissolution, was much increased when Alexandria fell under Roman</w:t></w:r>
</w:p>
<w:p>
<w:pPr><w:pStyle w:val="Normal"/></w:pPr>
<w:r><w:t xml:space="preserve">sway.  Then the influence of the school was extended over the</w:t></w:r>
</w:p>
<w:p>
<w:pPr><w:pStyle w:val="Normal"/></w:pPr>
<w:r><w:t xml:space="preserve">whole known world, but men of letters began to concentrate</w:t></w:r>
</w:p>
<w:p>
<w:pPr><w:pStyle w:val="Normal"/></w:pPr>
<w:r><w:t xml:space="preserve">at Rome rather than at Alexandria.  In that city, however,</w:t></w:r>
</w:p>
<w:p>
<w:pPr><w:pStyle w:val="Normal"/></w:pPr>
<w:r><w:t xml:space="preserve">there were new forces in operation which produced a second</w:t></w:r>
</w:p>
<w:p>
<w:pPr><w:pStyle w:val="Normal"/></w:pPr>
<w:r><w:t xml:space="preserve">grand outburst of intellectual life.  The new movement was</w:t></w:r>
</w:p>
<w:p>
<w:pPr><w:pStyle w:val="Normal"/></w:pPr>
<w:r><w:t xml:space="preserve">not in the old direction--had, indeed, nothing in common</w:t></w:r>
</w:p>
<w:p>
<w:pPr><w:pStyle w:val="Normal"/></w:pPr>
<w:r><w:t xml:space="preserve">with it.  With its character largely determined by Jewish</w:t></w:r>
</w:p>
<w:p>
<w:pPr><w:pStyle w:val="Normal"/></w:pPr>
<w:r><w:t xml:space="preserve">elements, and even more by contact with the dogmas of</w:t></w:r>
</w:p>
<w:p>
<w:pPr><w:pStyle w:val="Normal"/></w:pPr>
<w:r><w:t xml:space="preserve">Christianity, this second Alexandrian school resulted in</w:t></w:r>
</w:p>
<w:p>
<w:pPr><w:pStyle w:val="Normal"/></w:pPr>
<w:r><w:t xml:space="preserve">the speculative philosophy of the Neo-Platonists and the</w:t></w:r>
</w:p>
<w:p>
<w:pPr><w:pStyle w:val="Normal"/></w:pPr>
<w:r><w:t xml:space="preserve">religious philosophy of the Gnostics and early church fathers.</w:t></w:r>
</w:p>
<w:p>
<w:pPr><w:pStyle w:val="Normal"/></w:pPr>
<w:r><w:t xml:space="preserve">There appear, therefore, to be at least two definite significations</w:t></w:r>
</w:p>
<w:p>
<w:pPr><w:pStyle w:val="Normal"/></w:pPr>
<w:r><w:t xml:space="preserve">of the title Alexandrian School; or rather, there are two</w:t></w:r>
</w:p>
<w:p>
<w:pPr><w:pStyle w:val="Normal"/></w:pPr>
<w:r><w:t xml:space="preserve">Alexandrian schools, distinct both chronologically and in</w:t></w:r>
</w:p>
<w:p>
<w:pPr><w:pStyle w:val="Normal"/></w:pPr>
<w:r><w:t xml:space="preserve">substance.  The one is the Alexandrian school of poetry and</w:t></w:r>
</w:p>
<w:p>
<w:pPr><w:pStyle w:val="Normal"/></w:pPr>
<w:r><w:t xml:space="preserve">science, the other the Alexandrian school of philosophy.</w:t></w:r>
</w:p>
<w:p>
<w:pPr><w:pStyle w:val="Normal"/></w:pPr>
<w:r><w:t xml:space="preserve">The term ``school,&apos;&apos; however, has not the same meaning as</w:t></w:r>
</w:p>
<w:p>
<w:pPr><w:pStyle w:val="Normal"/></w:pPr>
<w:r><w:t xml:space="preserve">when applied to the Academics or Peripatetics, the Stoics or</w:t></w:r>
</w:p>
<w:p>
<w:pPr><w:pStyle w:val="Normal"/></w:pPr>
<w:r><w:t xml:space="preserve">Epicureans.  These consisted of a company united by holding</w:t></w:r>
</w:p>
<w:p>
<w:pPr><w:pStyle w:val="Normal"/></w:pPr>
<w:r><w:t xml:space="preserve">in common certain speculative principles, by having the same</w:t></w:r>
</w:p>
<w:p>
<w:pPr><w:pStyle w:val="Normal"/></w:pPr>
<w:r><w:t xml:space="preserve">theory of things.  There was nothing at all corresponding to</w:t></w:r>
</w:p>
<w:p>
<w:pPr><w:pStyle w:val="Normal"/></w:pPr>
<w:r><w:t xml:space="preserve">this among the Alexandrians.  In literature their activities</w:t></w:r>
</w:p>
<w:p>
<w:pPr><w:pStyle w:val="Normal"/></w:pPr>
<w:r><w:t xml:space="preserve">were directed to the most diverse objects; they have only</w:t></w:r>
</w:p>
<w:p>
<w:pPr><w:pStyle w:val="Normal"/></w:pPr>
<w:r><w:t xml:space="preserve">in common a certain spirit or form.  There was among them</w:t></w:r>
</w:p>
<w:p>
<w:pPr><w:pStyle w:val="Normal"/></w:pPr>
<w:r><w:t xml:space="preserve">no definite system of phllosophy.  Even in the later schools</w:t></w:r>
</w:p>
<w:p>
<w:pPr><w:pStyle w:val="Normal"/></w:pPr>
<w:r><w:t xml:space="preserve">of philosophy proper there is found a community rather of</w:t></w:r>
</w:p>
<w:p>
<w:pPr><w:pStyle w:val="Normal"/></w:pPr>
<w:r><w:t xml:space="preserve">tendency than of definite result or of fixed principles.</w:t></w:r>
</w:p>
<w:p>
<w:pPr><w:pStyle w:val="Heading1"/></w:pPr>
<w:r><w:t>I. Literature.--The general character of the literature of</w:t></w:r>
</w:p>
<w:p>
<w:pPr><w:pStyle w:val="Normal"/></w:pPr>
<w:r><w:t xml:space="preserve">the school appears as the necessary consequence of the state</w:t></w:r>
</w:p>
<w:p>
<w:pPr><w:pStyle w:val="Normal"/></w:pPr>
<w:r><w:t xml:space="preserve">of affairs brought about by the fall of Greek nationality and</w:t></w:r>
</w:p>
<w:p>
<w:pPr><w:pStyle w:val="Normal"/></w:pPr>
<w:r><w:t xml:space="preserve">independence.  The great works of the Greek mind had formerly</w:t></w:r>
</w:p>
<w:p>
<w:pPr><w:pStyle w:val="Normal"/></w:pPr>
<w:r><w:t xml:space="preserve">been the products of a fresh life of nature and perfect</w:t></w:r>
</w:p>
<w:p>
<w:pPr><w:pStyle w:val="Normal"/></w:pPr>
<w:r><w:t xml:space="preserve">freedom of thought.  All their hymns, epics and histories were</w:t></w:r>
</w:p>
<w:p>
<w:pPr><w:pStyle w:val="Normal"/></w:pPr>
<w:r><w:t xml:space="preserve">bound up with their individuality as a free people.  But the</w:t></w:r>
</w:p>
<w:p>
<w:pPr><w:pStyle w:val="Normal"/></w:pPr>
<w:r><w:t xml:space="preserve">Macedonian conquest at Chaeroneia brought about a complete</w:t></w:r>
</w:p>
<w:p>
<w:pPr><w:pStyle w:val="Normal"/></w:pPr>
<w:r><w:t xml:space="preserve">dissolution of this Greek life in all its relations, private and</w:t></w:r>
</w:p>
<w:p>
<w:pPr><w:pStyle w:val="Normal"/></w:pPr>
<w:r><w:t xml:space="preserve">political.  The full, genial spirit of Greek thought vanished</w:t></w:r>
</w:p>
<w:p>
<w:pPr><w:pStyle w:val="Normal"/></w:pPr>
<w:r><w:t xml:space="preserve">when freedom, with which it was inseparably united, was</w:t></w:r>
</w:p>
<w:p>
<w:pPr><w:pStyle w:val="Normal"/></w:pPr>
<w:r><w:t xml:space="preserve">lost.  A substitute for this originality was found at Alexandria</w:t></w:r>
</w:p>
<w:p>
<w:pPr><w:pStyle w:val="Normal"/></w:pPr>
<w:r><w:t xml:space="preserve">in learned research, extended and multifarious knowledge.</w:t></w:r>
</w:p>
<w:p>
<w:pPr><w:pStyle w:val="Normal"/></w:pPr>
<w:r><w:t xml:space="preserve">Amply provided with means for acquiring information, and</w:t></w:r>
</w:p>
<w:p>
<w:pPr><w:pStyle w:val="Normal"/></w:pPr>
<w:r><w:t xml:space="preserve">under the watchful care of a great monarch, the Alexandrians</w:t></w:r>
</w:p>
<w:p>
<w:pPr><w:pStyle w:val="Normal"/></w:pPr>
<w:r><w:t xml:space="preserve">readily took this new direction in literature.  With all the</w:t></w:r>
</w:p>
<w:p>
<w:pPr><w:pStyle w:val="Normal"/></w:pPr>
<w:r><w:t xml:space="preserve">great objects removed which could excite a true spirit of</w:t></w:r>
</w:p>
<w:p>
<w:pPr><w:pStyle w:val="Normal"/></w:pPr>
<w:r><w:t xml:space="preserve">poetry, they devoted themselves to minute researches in all</w:t></w:r>
</w:p>
<w:p>
<w:pPr><w:pStyle w:val="Normal"/></w:pPr>
<w:r><w:t xml:space="preserve">sciences subordinate to literature proper.  They studied</w:t></w:r>
</w:p>
<w:p>
<w:pPr><w:pStyle w:val="Normal"/></w:pPr>
<w:r><w:t xml:space="preserve">criticism, grammar, prosody and metre, antiquities and</w:t></w:r>
</w:p>
<w:p>
<w:pPr><w:pStyle w:val="Normal"/></w:pPr>
<w:r><w:t xml:space="preserve">mythology.  The results of this study constantly appear in their</w:t></w:r>
</w:p>
<w:p>
<w:pPr><w:pStyle w:val="Normal"/></w:pPr>
<w:r><w:t xml:space="preserve">productions.  Their works are never national, never addressed</w:t></w:r>
</w:p>
<w:p>
<w:pPr><w:pStyle w:val="Normal"/></w:pPr>
<w:r><w:t xml:space="preserve">to a people, but to a circle of learned men.  Moreover, the very</w:t></w:r>
</w:p>
<w:p>
<w:pPr><w:pStyle w:val="Normal"/></w:pPr>
<w:r><w:t xml:space="preserve">fact of being under the protection and, as it were, in the pay</w:t></w:r>
</w:p>
<w:p>
<w:pPr><w:pStyle w:val="Normal"/></w:pPr>
<w:r><w:t xml:space="preserve">of an absolute monarch was damaging to the character of their</w:t></w:r>
</w:p>
<w:p>
<w:pPr><w:pStyle w:val="Normal"/></w:pPr>
<w:r><w:t xml:space="preserve">literature.  There was introduced into it a courtjy element,</w:t></w:r>
</w:p>
<w:p>
<w:pPr><w:pStyle w:val="Normal"/></w:pPr>
<w:r><w:t xml:space="preserve">clear traces of which, with all its accompaniments, are found</w:t></w:r>
</w:p>
<w:p>
<w:pPr><w:pStyle w:val="Normal"/></w:pPr>
<w:r><w:t xml:space="preserve">in the extant works of the school.  One other fact, not to</w:t></w:r>
</w:p>
<w:p>
<w:pPr><w:pStyle w:val="Normal"/></w:pPr>
<w:r><w:t xml:space="preserve">be forgotten in forming a general estimate of the literary</w:t></w:r>
</w:p>
<w:p>
<w:pPr><w:pStyle w:val="Normal"/></w:pPr>
<w:r><w:t xml:space="preserve">value of their productions, is, that the same writer was</w:t></w:r>
</w:p>
<w:p>
<w:pPr><w:pStyle w:val="Normal"/></w:pPr>
<w:r><w:t xml:space="preserve">frequently or almost always distinguished in several special</w:t></w:r>
</w:p>
<w:p>
<w:pPr><w:pStyle w:val="Normal"/></w:pPr>
<w:r><w:t xml:space="preserve">sciences.  The most renowned poets were at the same time men</w:t></w:r>
</w:p>
<w:p>
<w:pPr><w:pStyle w:val="Normal"/></w:pPr>
<w:r><w:t xml:space="preserve">of culture and science, critics, archaeologists, astronomers</w:t></w:r>
</w:p>
<w:p>
<w:pPr><w:pStyle w:val="Normal"/></w:pPr>
<w:r><w:t xml:space="preserve">or physicians.  To such writers the poetical form was</w:t></w:r>
</w:p>
<w:p>
<w:pPr><w:pStyle w:val="Normal"/></w:pPr>
<w:r><w:t xml:space="preserve">merely a convenient vehicle for the exposition of science.</w:t></w:r>
</w:p>
<w:p>
<w:pPr><w:pStyle w:val="Normal"/></w:pPr>
<w:r><w:t xml:space="preserve">The forms of poetical composition chiefly cultivated by the</w:t></w:r>
</w:p>
<w:p>
<w:pPr><w:pStyle w:val="Normal"/></w:pPr>
<w:r><w:t xml:space="preserve">Alexandrians were epic and lyric, or elegiac.  Great epics</w:t></w:r>
</w:p>
<w:p>
<w:pPr><w:pStyle w:val="Normal"/></w:pPr>
<w:r><w:t xml:space="preserve">are wanting; but in their place, as might almost have been</w:t></w:r>
</w:p>
<w:p>
<w:pPr><w:pStyle w:val="Normal"/></w:pPr>
<w:r><w:t xml:space="preserve">expected, are found the historical and the didactic or expository</w:t></w:r>
</w:p>
<w:p>
<w:pPr><w:pStyle w:val="Normal"/></w:pPr>
<w:r><w:t xml:space="preserve">epics.  The subjects of the historical epics were generally</w:t></w:r>
</w:p>
<w:p>
<w:pPr><w:pStyle w:val="Normal"/></w:pPr>
<w:r><w:t xml:space="preserve">some of the well-known myths, in the exposition of which</w:t></w:r>
</w:p>
<w:p>
<w:pPr><w:pStyle w:val="Normal"/></w:pPr>
<w:r><w:t xml:space="preserve">the writer could exhibit the full extent of his learning and</w:t></w:r>
</w:p>
<w:p>
<w:pPr><w:pStyle w:val="Normal"/></w:pPr>
<w:r><w:t xml:space="preserve">his perfect command of verse.  These poems are in a sense</w:t></w:r>
</w:p>
<w:p>
<w:pPr><w:pStyle w:val="Normal"/></w:pPr>
<w:r><w:t xml:space="preserve">valuable as repertoires of antiquities; but their style is</w:t></w:r>
</w:p>
<w:p>
<w:pPr><w:pStyle w:val="Normal"/></w:pPr>
<w:r><w:t xml:space="preserve">on the whole bad, and infinite patience is required to clear</w:t></w:r>
</w:p>
<w:p>
<w:pPr><w:pStyle w:val="Normal"/></w:pPr>
<w:r><w:t xml:space="preserve">up their numerous and obscure allusions.  The best extant</w:t></w:r>
</w:p>
<w:p>
<w:pPr><w:pStyle w:val="Normal"/></w:pPr>
<w:r><w:t xml:space="preserve">specimen is the Argonautica of Apollonius Rhodius; the</w:t></w:r>
</w:p>
<w:p>
<w:pPr><w:pStyle w:val="Normal"/></w:pPr>
<w:r><w:t xml:space="preserve">most characteristic is the Alexandra or Cassandra of</w:t></w:r>
</w:p>
<w:p>
<w:pPr><w:pStyle w:val="Normal"/></w:pPr>
<w:r><w:t xml:space="preserve">Lycophron, the obscurity of which is almost proverbial.</w:t></w:r>
</w:p>
<w:p>
<w:pPr><w:pStyle w:val="Normal"/></w:pPr>
<w:r><w:t xml:space="preserve">The subjects of didactic epics were very numerous; they</w:t></w:r>
</w:p>
<w:p>
<w:pPr><w:pStyle w:val="Normal"/></w:pPr>
<w:r><w:t xml:space="preserve">seem to have depended on the special knowledge possessed by</w:t></w:r>
</w:p>
<w:p>
<w:pPr><w:pStyle w:val="Normal"/></w:pPr>
<w:r><w:t xml:space="preserve">the writers, who used verse as a form for unfolding their</w:t></w:r>
</w:p>
<w:p>
<w:pPr><w:pStyle w:val="Normal"/></w:pPr>
<w:r><w:t xml:space="preserve">information.  Some, e.g. the lost poem of Callimachus,</w:t></w:r>
</w:p>
<w:p>
<w:pPr><w:pStyle w:val="Normal"/></w:pPr>
<w:r><w:t xml:space="preserve">called Ai&apos;tia, were on the origin of myths and religious</w:t></w:r>
</w:p>
<w:p>
<w:pPr><w:pStyle w:val="Normal"/></w:pPr>
<w:r><w:t xml:space="preserve">observances; others were on special sciences.  Thus we have</w:t></w:r>
</w:p>
<w:p>
<w:pPr><w:pStyle w:val="Normal"/></w:pPr>
<w:r><w:t xml:space="preserve">two poems of Aratus, who, though not resident at Alexandria,</w:t></w:r>
</w:p>
<w:p>
<w:pPr><w:pStyle w:val="Normal"/></w:pPr>
<w:r><w:t xml:space="preserve">was so thoroughly imbued with the Alexandrian spirit as to</w:t></w:r>
</w:p>
<w:p>
<w:pPr><w:pStyle w:val="Normal"/></w:pPr>
<w:r><w:t xml:space="preserve">be with reason included in the school; the one is an essay</w:t></w:r>
</w:p>
<w:p>
<w:pPr><w:pStyle w:val="Normal"/></w:pPr>
<w:r><w:t xml:space="preserve">on astronomy, the other an account of the signs of the</w:t></w:r>
</w:p>
<w:p>
<w:pPr><w:pStyle w:val="Normal"/></w:pPr>
<w:r><w:t xml:space="preserve">weather.  Nicander of Colophon has also left us two epics, one</w:t></w:r>
</w:p>
<w:p>
<w:pPr><w:pStyle w:val="Normal"/></w:pPr>
<w:r><w:t xml:space="preserve">on remedies for poisons, the other on the bites of venomous</w:t></w:r>
</w:p>
<w:p>
<w:pPr><w:pStyle w:val="Normal"/></w:pPr>
<w:r><w:t xml:space="preserve">beasts.  Euphorion and Rhianus wrote mythological epics.  The</w:t></w:r>
</w:p>
<w:p>
<w:pPr><w:pStyle w:val="Normal"/></w:pPr>
<w:r><w:t xml:space="preserve">spirit of all their productions is the same, that of learned</w:t></w:r>
</w:p>
<w:p>
<w:pPr><w:pStyle w:val="Normal"/></w:pPr>
<w:r><w:t xml:space="preserve">research.  They are distinguished by artistic form, purity</w:t></w:r>
</w:p>
<w:p>
<w:pPr><w:pStyle w:val="Normal"/></w:pPr>
<w:r><w:t xml:space="preserve">of expression and strict attention to the laws of metre and</w:t></w:r>
</w:p>
<w:p>
<w:pPr><w:pStyle w:val="Normal"/></w:pPr>
<w:r><w:t xml:space="preserve">prosody, qualities which, however good in themselves, do</w:t></w:r>
</w:p>
<w:p>
<w:pPr><w:pStyle w:val="Normal"/></w:pPr>
<w:r><w:t xml:space="preserve">not compensate for want of originality, freshness and power.</w:t></w:r>
</w:p>
<w:p>
<w:pPr><w:pStyle w:val="Normal"/></w:pPr>
<w:r><w:t xml:space="preserve">In their lyric and elegiac poetry there is much worthy of</w:t></w:r>
</w:p>
<w:p>
<w:pPr><w:pStyle w:val="Normal"/></w:pPr>
<w:r><w:t xml:space="preserve">admiration.  The specimens we possess are not devoid of</w:t></w:r>
</w:p>
<w:p>
<w:pPr><w:pStyle w:val="Normal"/></w:pPr>
<w:r><w:t xml:space="preserve">talent or of a certain happy art of expression.  Yet, for</w:t></w:r>
</w:p>
<w:p>
<w:pPr><w:pStyle w:val="Normal"/></w:pPr>
<w:r><w:t xml:space="preserve">the most part, they either relate to objects thoroughly</w:t></w:r>
</w:p>
<w:p>
<w:pPr><w:pStyle w:val="Normal"/></w:pPr>
<w:r><w:t xml:space="preserve">incapable of poetic treatment, where the writer&apos;s endeavour</w:t></w:r>
</w:p>
<w:p>
<w:pPr><w:pStyle w:val="Normal"/></w:pPr>
<w:r><w:t xml:space="preserve">is rather to expound the matter fully than to render it</w:t></w:r>
</w:p>
<w:p>
<w:pPr><w:pStyle w:val="Normal"/></w:pPr>
<w:r><w:t xml:space="preserve">poetically beautiful, or else expend themselves on short</w:t></w:r>
</w:p>
<w:p>
<w:pPr><w:pStyle w:val="Normal"/></w:pPr>
<w:r><w:t xml:space="preserve">isolated subjects, generally myths, and are erotic in</w:t></w:r>
</w:p>
<w:p>
<w:pPr><w:pStyle w:val="Normal"/></w:pPr>
<w:r><w:t xml:space="preserve">character.  The earliest of the elegiac poets was Philetas,</w:t></w:r>
</w:p>
<w:p>
<w:pPr><w:pStyle w:val="Normal"/></w:pPr>
<w:r><w:t xml:space="preserve">the sweet singer of Cos. But the most distinguished was</w:t></w:r>
</w:p>
<w:p>
<w:pPr><w:pStyle w:val="Normal"/></w:pPr>
<w:r><w:t xml:space="preserve">Callimachus, undoubtedly the greatest of the Alexandrian</w:t></w:r>
</w:p>
<w:p>
<w:pPr><w:pStyle w:val="Normal"/></w:pPr>
<w:r><w:t xml:space="preserve">poets.  Of his numerous works there remain to us only a few</w:t></w:r>
</w:p>
<w:p>
<w:pPr><w:pStyle w:val="Normal"/></w:pPr>
<w:r><w:t xml:space="preserve">hymns, epigrams and fragments of elegies.1 Other lyric poets</w:t></w:r>
</w:p>
<w:p>
<w:pPr><w:pStyle w:val="Normal"/></w:pPr>
<w:r><w:t xml:space="preserve">were Phanocles, Hermesianax, Alexander of Aetolla and Lycophron.</w:t></w:r>
</w:p>
<w:p>
<w:pPr><w:pStyle w:val="Normal"/></w:pPr>
<w:r><w:t xml:space="preserve">Some of the best productions of the school were their</w:t></w:r>
</w:p>
<w:p>
<w:pPr><w:pStyle w:val="Normal"/></w:pPr>
<w:r><w:t xml:space="preserve">epirams.  Of these we have several specimens, and the art</w:t></w:r>
</w:p>
<w:p>
<w:pPr><w:pStyle w:val="Normal"/></w:pPr>
<w:r><w:t xml:space="preserve">of composing them seems to have been assiduously cultivated,</w:t></w:r>
</w:p>
<w:p>
<w:pPr><w:pStyle w:val="Normal"/></w:pPr>
<w:r><w:t xml:space="preserve">as might naturally be expected from the court life of the</w:t></w:r>
</w:p>
<w:p>
<w:pPr><w:pStyle w:val="Normal"/></w:pPr>
<w:r><w:t xml:space="preserve">poets, and their constant endeavours after terseness and</w:t></w:r>
</w:p>
<w:p>
<w:pPr><w:pStyle w:val="Normal"/></w:pPr>
<w:r><w:t xml:space="preserve">neatness of expression.  Of kindred character were the</w:t></w:r>
</w:p>
<w:p>
<w:pPr><w:pStyle w:val="Normal"/></w:pPr>
<w:r><w:t xml:space="preserve">parodies and satirical poems, of which the best examples</w:t></w:r>
</w:p>
<w:p>
<w:pPr><w:pStyle w:val="Normal"/></w:pPr>
<w:r><w:t xml:space="preserve">were the Silli of Timon and the Cinaedi of Sotades.</w:t></w:r>
</w:p>
<w:p>
<w:pPr><w:pStyle w:val="Normal"/></w:pPr>
<w:r><w:t xml:space="preserve">Dramatic poetry appears to have flourished to some</w:t></w:r>
</w:p>
<w:p>
<w:pPr><w:pStyle w:val="Normal"/></w:pPr>
<w:r><w:t xml:space="preserve">extent.  There are still extant three or four varying lists</w:t></w:r>
</w:p>
<w:p>
<w:pPr><w:pStyle w:val="Normal"/></w:pPr>
<w:r><w:t xml:space="preserve">of the seven great dramatists who composed the Pleiad of</w:t></w:r>
</w:p>
<w:p>
<w:pPr><w:pStyle w:val="Normal"/></w:pPr>
<w:r><w:t xml:space="preserve">Alexandria.  Their works, perhaps not unfortunately, have</w:t></w:r>
</w:p>
<w:p>
<w:pPr><w:pStyle w:val="Normal"/></w:pPr>
<w:r><w:t xml:space="preserve">perished.  A ruder kind of drama, the amoebaean verse, or</w:t></w:r>
</w:p>
<w:p>
<w:pPr><w:pStyle w:val="Normal"/></w:pPr>
<w:r><w:t xml:space="preserve">bucolic mime, developed into the only pure stream of genial</w:t></w:r>
</w:p>
<w:p>
<w:pPr><w:pStyle w:val="Normal"/></w:pPr>
<w:r><w:t xml:space="preserve">poetry found in the Alexandrian School, the Idylls of</w:t></w:r>
</w:p>
<w:p>
<w:pPr><w:pStyle w:val="Normal"/></w:pPr>
<w:r><w:t xml:space="preserve">Theocritus.  The name of these poems preserves their</w:t></w:r>
</w:p>
<w:p>
<w:pPr><w:pStyle w:val="Normal"/></w:pPr>
<w:r><w:t xml:space="preserve">original idea; they were pictures of fresh country life.</w:t></w:r>
</w:p>
<w:p>
<w:pPr><w:pStyle w:val="Normal"/></w:pPr>
<w:r><w:t xml:space="preserve">The most interesting fact connected with this Alexandrian poetry</w:t></w:r>
</w:p>
<w:p>
<w:pPr><w:pStyle w:val="Normal"/></w:pPr>
<w:r><w:t xml:space="preserve">is the powerful influence it exercised on Roman literature.</w:t></w:r>
</w:p>
<w:p>
<w:pPr><w:pStyle w:val="Normal"/></w:pPr>
<w:r><w:t xml:space="preserve">That literature, especially in the Augustan age, is not to be</w:t></w:r>
</w:p>
<w:p>
<w:pPr><w:pStyle w:val="Normal"/></w:pPr>
<w:r><w:t xml:space="preserve">thoroughly understood without due appreciation of the character</w:t></w:r>
</w:p>
<w:p>
<w:pPr><w:pStyle w:val="Normal"/></w:pPr>
<w:r><w:t xml:space="preserve">of the Alexandrian school.  The historians of this period</w:t></w:r>
</w:p>
<w:p>
<w:pPr><w:pStyle w:val="Normal"/></w:pPr>
<w:r><w:t xml:space="preserve">were numerous and prolific.  Many of them, e.g. Cleitarchus,</w:t></w:r>
</w:p>
<w:p>
<w:pPr><w:pStyle w:val="Normal"/></w:pPr>
<w:r><w:t xml:space="preserve">devoted themselves to the life and achievements of Alexander the</w:t></w:r>
</w:p>
<w:p>
<w:pPr><w:pStyle w:val="Normal"/></w:pPr>
<w:r><w:t xml:space="preserve">Great.  The best-known names are those of Timaeus and Polybius.</w:t></w:r>
</w:p>
<w:p>
<w:pPr><w:pStyle w:val="Normal"/></w:pPr>
<w:r><w:t xml:space="preserve">Before the Alexandrians had begun to produce original works,</w:t></w:r>
</w:p>
<w:p>
<w:pPr><w:pStyle w:val="Normal"/></w:pPr>
<w:r><w:t xml:space="preserve">their researches were directed towards the masterpieces of ancient</w:t></w:r>
</w:p>
<w:p>
<w:pPr><w:pStyle w:val="Normal"/></w:pPr>
<w:r><w:t xml:space="preserve">Greek literature.  If that literature was to be a power in the</w:t></w:r>
</w:p>
<w:p>
<w:pPr><w:pStyle w:val="Normal"/></w:pPr>
<w:r><w:t xml:space="preserve">world, it must be handed down to posterity in a form capable</w:t></w:r>
</w:p>
<w:p>
<w:pPr><w:pStyle w:val="Normal"/></w:pPr>
<w:r><w:t xml:space="preserve">of being understood.  This was the task begun and carried out</w:t></w:r>
</w:p>
<w:p>
<w:pPr><w:pStyle w:val="Normal"/></w:pPr>
<w:r><w:t xml:space="preserve">by the Alexandrian critics.  These men did not merely collect</w:t></w:r>
</w:p>
<w:p>
<w:pPr><w:pStyle w:val="Normal"/></w:pPr>
<w:r><w:t xml:space="preserve">works, but sought to arrange them, to subject the texts to</w:t></w:r>
</w:p>
<w:p>
<w:pPr><w:pStyle w:val="Normal"/></w:pPr>
<w:r><w:t xml:space="preserve">criticism, and to explain any allusion or reference in them</w:t></w:r>
</w:p>
<w:p>
<w:pPr><w:pStyle w:val="Normal"/></w:pPr>
<w:r><w:t xml:space="preserve">which at a later date might become obscure.  The complete</w:t></w:r>
</w:p>
<w:p>
<w:pPr><w:pStyle w:val="Normal"/></w:pPr>
<w:r><w:t xml:space="preserve">philological examination of any work consisted, according to</w:t></w:r>
</w:p>
<w:p>
<w:pPr><w:pStyle w:val="Normal"/></w:pPr>
<w:r><w:t xml:space="preserve">them, of the following processes:---diorthosis, arrangement</w:t></w:r>
</w:p>
<w:p>
<w:pPr><w:pStyle w:val="Normal"/></w:pPr>
<w:r><w:t xml:space="preserve">of the text; anagnosis, settlement of accents; tenn??,</w:t></w:r>
</w:p>
<w:p>
<w:pPr><w:pStyle w:val="Normal"/></w:pPr>
<w:r><w:t xml:space="preserve">theory of forms, syntax; lxegnsis, explanation either of</w:t></w:r>
</w:p>
<w:p>
<w:pPr><w:pStyle w:val="Normal"/></w:pPr>
<w:r><w:t xml:space="preserve">words or things; and finally, krisis, judgment on the author</w:t></w:r>
</w:p>
<w:p>
<w:pPr><w:pStyle w:val="Normal"/></w:pPr>
<w:r><w:t xml:space="preserve">and his work, including all questions as to authenticity and</w:t></w:r>
</w:p>
<w:p>
<w:pPr><w:pStyle w:val="Normal"/></w:pPr>
<w:r><w:t xml:space="preserve">integrity.  To perform their task adequately required from the</w:t></w:r>
</w:p>
<w:p>
<w:pPr><w:pStyle w:val="Normal"/></w:pPr>
<w:r><w:t xml:space="preserve">critics a wide circle of knowledge; and from this requirement</w:t></w:r>
</w:p>
<w:p>
<w:pPr><w:pStyle w:val="Normal"/></w:pPr>
<w:r><w:t xml:space="preserve">sprang the sciences of grammar, prosody, lexicography, mythology</w:t></w:r>
</w:p>
<w:p>
<w:pPr><w:pStyle w:val="Normal"/></w:pPr>
<w:r><w:t xml:space="preserve">and archaeology.  The service rendered by these critics is</w:t></w:r>
</w:p>
<w:p>
<w:pPr><w:pStyle w:val="Normal"/></w:pPr>
<w:r><w:t xml:space="preserve">invaluable.  To them we owe not merely the possession of</w:t></w:r>
</w:p>
<w:p>
<w:pPr><w:pStyle w:val="Normal"/></w:pPr>
<w:r><w:t xml:space="preserve">the greatest works of Greek intellect, but the possession of</w:t></w:r>
</w:p>
<w:p>
<w:pPr><w:pStyle w:val="Normal"/></w:pPr>
<w:r><w:t xml:space="preserve">them in a readable state.  The most celebrated critics were</w:t></w:r>
</w:p>
<w:p>
<w:pPr><w:pStyle w:val="Normal"/></w:pPr>
<w:r><w:t xml:space="preserve">Zenodotus; Aristophanes of Byzantium, to whom we owe the</w:t></w:r>
</w:p>
<w:p>
<w:pPr><w:pStyle w:val="Normal"/></w:pPr>
<w:r><w:t xml:space="preserve">theory of Greek accents; Crates of Mallus; and Aristarchus of</w:t></w:r>
</w:p>
<w:p>
<w:pPr><w:pStyle w:val="Normal"/></w:pPr>
<w:r><w:t xml:space="preserve">Samothrace, confessedly the coryphaeus of criticism.  Others</w:t></w:r>
</w:p>
<w:p>
<w:pPr><w:pStyle w:val="Normal"/></w:pPr>
<w:r><w:t xml:space="preserve">were Lycophron, Callimachus, Eratosthenes and many of a later</w:t></w:r>
</w:p>
<w:p>
<w:pPr><w:pStyle w:val="Normal"/></w:pPr>
<w:r><w:t xml:space="preserve">age, for the critical school long survived the literary.</w:t></w:r>
</w:p>
<w:p>
<w:pPr><w:pStyle w:val="Normal"/></w:pPr>
<w:r><w:t xml:space="preserve">Dionysius Thrax, the author of the first scientific Greek</w:t></w:r>
</w:p>
<w:p>
<w:pPr><w:pStyle w:val="Normal"/></w:pPr>
<w:r><w:t xml:space="preserve">grammar, may also be mentioned.  These philological labours</w:t></w:r>
</w:p>
<w:p>
<w:pPr><w:pStyle w:val="Normal"/></w:pPr>
<w:r><w:t xml:space="preserve">were of great indirect importance, for they led immediately</w:t></w:r>
</w:p>
<w:p>
<w:pPr><w:pStyle w:val="Normal"/></w:pPr>
<w:r><w:t xml:space="preserve">to the study of the natural sciences, and in particular to a</w:t></w:r>
</w:p>
<w:p>
<w:pPr><w:pStyle w:val="Normal"/></w:pPr>
<w:r><w:t xml:space="preserve">more accurate knowledge of geography and history.  Considerable</w:t></w:r>
</w:p>
<w:p>
<w:pPr><w:pStyle w:val="Normal"/></w:pPr>
<w:r><w:t xml:space="preserve">attention began to be paid to the ancient history of Greece,</w:t></w:r>
</w:p>
<w:p>
<w:pPr><w:pStyle w:val="Normal"/></w:pPr>
<w:r><w:t xml:space="preserve">and to all the myths relating to the foundation of states and</w:t></w:r>
</w:p>
<w:p>
<w:pPr><w:pStyle w:val="Normal"/></w:pPr>
<w:r><w:t xml:space="preserve">cities.  A large collection of such curious information</w:t></w:r>
</w:p>
<w:p>
<w:pPr><w:pStyle w:val="Normal"/></w:pPr>
<w:r><w:t xml:space="preserve">is contained in the Bibliotheca of Apollodorus, a pupil</w:t></w:r>
</w:p>
<w:p>
<w:pPr><w:pStyle w:val="Normal"/></w:pPr>
<w:r><w:t xml:space="preserve">of Aristarchus who flourished in the 2nd century B.C.</w:t></w:r>
</w:p>
<w:p>
<w:pPr><w:pStyle w:val="Normal"/></w:pPr>
<w:r><w:t xml:space="preserve">Eratosthenes was the first to write on mathematical and physical</w:t></w:r>
</w:p>
<w:p>
<w:pPr><w:pStyle w:val="Normal"/></w:pPr>
<w:r><w:t xml:space="preserve">geography; he also first attempted to draw up a chronological</w:t></w:r>
</w:p>
<w:p>
<w:pPr><w:pStyle w:val="Normal"/></w:pPr>
<w:r><w:t xml:space="preserve">table of the Egyptian kings and of the historical events of</w:t></w:r>
</w:p>
<w:p>
<w:pPr><w:pStyle w:val="Normal"/></w:pPr>
<w:r><w:t xml:space="preserve">Greece.  The sciences of mathematics, astronomy and medicine</w:t></w:r>
</w:p>
<w:p>
<w:pPr><w:pStyle w:val="Normal"/></w:pPr>
<w:r><w:t xml:space="preserve">were also cultivated with assiduity and success at Alexandria,</w:t></w:r>
</w:p>
<w:p>
<w:pPr><w:pStyle w:val="Normal"/></w:pPr>
<w:r><w:t xml:space="preserve">but they can scarcely be said to have their origin there, or in</w:t></w:r>
</w:p>
<w:p>
<w:pPr><w:pStyle w:val="Normal"/></w:pPr>
<w:r><w:t xml:space="preserve">any strict sense to form a part of the peculiarly Alexandrian</w:t></w:r>
</w:p>
<w:p>
<w:pPr><w:pStyle w:val="Normal"/></w:pPr>
<w:r><w:t xml:space="preserve">literature.  The founder of the mathematical school was</w:t></w:r>
</w:p>
<w:p>
<w:pPr><w:pStyle w:val="Normal"/></w:pPr>
<w:r><w:t xml:space="preserve">the celebrated Euclid (Eucleides); among its scholars were</w:t></w:r>
</w:p>
<w:p>
<w:pPr><w:pStyle w:val="Normal"/></w:pPr>
<w:r><w:t xml:space="preserve">Archimedes; Apollonius of Perga, author of a treatise on</w:t></w:r>
</w:p>
<w:p>
<w:pPr><w:pStyle w:val="Normal"/></w:pPr>
<w:r><w:t xml:space="preserve">Conic Sections; Eratosthenes, to whom we owe the first</w:t></w:r>
</w:p>
<w:p>
<w:pPr><w:pStyle w:val="Normal"/></w:pPr>
<w:r><w:t xml:space="preserve">measurement of the earth; and Hipparchus, the founder of</w:t></w:r>
</w:p>
<w:p>
<w:pPr><w:pStyle w:val="Normal"/></w:pPr>
<w:r><w:t xml:space="preserve">the epicyclical theory of the heavens, afterwards called the</w:t></w:r>
</w:p>
<w:p>
<w:pPr><w:pStyle w:val="Normal"/></w:pPr>
<w:r><w:t xml:space="preserve">Ptolemaic system, from its most famous expositor, Claudius</w:t></w:r>
</w:p>
<w:p>
<w:pPr><w:pStyle w:val="Normal"/></w:pPr>
<w:r><w:t xml:space="preserve">Ptolemaeus.  Alexandria continued to be celebrated as a</w:t></w:r>
</w:p>
<w:p>
<w:pPr><w:pStyle w:val="Normal"/></w:pPr>
<w:r><w:t xml:space="preserve">school of mathematics and science long after the Christian</w:t></w:r>
</w:p>
<w:p>
<w:pPr><w:pStyle w:val="Normal"/></w:pPr>
<w:r><w:t xml:space="preserve">era.  The science of medicine had distinguished representatives</w:t></w:r>
</w:p>
<w:p>
<w:pPr><w:pStyle w:val="Normal"/></w:pPr>
<w:r><w:t xml:space="preserve">in Herophilus and Erasistratus, the two first great anatomists.</w:t></w:r>
</w:p>
<w:p>
<w:pPr><w:pStyle w:val="Normal"/></w:pPr>
<w:r><w:t xml:space="preserve">AUTHORITIES.--Muller and Donaldson, History of the</w:t></w:r>
</w:p>
<w:p>
<w:pPr><w:pStyle w:val="Normal"/></w:pPr>
<w:r><w:t xml:space="preserve">Literature of Ancient Greece; W. Christ, Geschichte</w:t></w:r>
</w:p>
<w:p>
<w:pPr><w:pStyle w:val="Normal"/></w:pPr>
<w:r><w:t xml:space="preserve">der griechischen Litteratur; Mahaffy, Greek Life</w:t></w:r>
</w:p>
<w:p>
<w:pPr><w:pStyle w:val="Normal"/></w:pPr>
<w:r><w:t xml:space="preserve">and Thought from the Age of Alexander to the Roman</w:t></w:r>
</w:p>
<w:p>
<w:pPr><w:pStyle w:val="Normal"/></w:pPr>
<w:r><w:t xml:space="preserve">Empire; Couat, La Poesie alexandrine; and especially</w:t></w:r>
</w:p>
<w:p>
<w:pPr><w:pStyle w:val="Normal"/></w:pPr>
<w:r><w:t xml:space="preserve">Susemihl, Geschichte der griechischen Litteratur in der</w:t></w:r>
</w:p>
<w:p>
<w:pPr><w:pStyle w:val="Normal"/></w:pPr>
<w:r><w:t xml:space="preserve">Alexandninerzeit. Nicolai&apos;s Gricchische Literaturgeschichte,</w:t></w:r>
</w:p>
<w:p>
<w:pPr><w:pStyle w:val="Normal"/></w:pPr>
<w:r><w:t xml:space="preserve">though somewhat out of date, is useful for bibliography.</w:t></w:r>
</w:p>
<w:p>
<w:pPr><w:pStyle w:val="Heading1"/></w:pPr>
<w:r><w:t>II. Philosophy.--Although it is not possible to divide</w:t></w:r>
</w:p>
<w:p>
<w:pPr><w:pStyle w:val="Normal"/></w:pPr>
<w:r><w:t xml:space="preserve">literatures with absolute rigidity by centuries, and although</w:t></w:r>
</w:p>
<w:p>
<w:pPr><w:pStyle w:val="Normal"/></w:pPr>
<w:r><w:t xml:space="preserve">the intellectual life of Alexandria, particularly as applied to</w:t></w:r>
</w:p>
<w:p>
<w:pPr><w:pStyle w:val="Normal"/></w:pPr>
<w:r><w:t xml:space="preserve">science, long survived the Roman conquest, yet at that period</w:t></w:r>
</w:p>
<w:p>
<w:pPr><w:pStyle w:val="Normal"/></w:pPr>
<w:r><w:t xml:space="preserve">the school, which for some time had been gradually breaking up,</w:t></w:r>
</w:p>
<w:p>
<w:pPr><w:pStyle w:val="Normal"/></w:pPr>
<w:r><w:t xml:space="preserve">seems finally to have succumbed.  The later productions in the</w:t></w:r>
</w:p>
<w:p>
<w:pPr><w:pStyle w:val="Normal"/></w:pPr>
<w:r><w:t xml:space="preserve">field of pure literature bear the stamp of Rome rather than of</w:t></w:r>
</w:p>
<w:p>
<w:pPr><w:pStyle w:val="Normal"/></w:pPr>
<w:r><w:t xml:space="preserve">Alexandria.  But in that city for some time past there had</w:t></w:r>
</w:p>
<w:p>
<w:pPr><w:pStyle w:val="Normal"/></w:pPr>
<w:r><w:t xml:space="preserve">been various forces secretly working, and these, coming in</w:t></w:r>
</w:p>
<w:p>
<w:pPr><w:pStyle w:val="Normal"/></w:pPr>
<w:r><w:t xml:space="preserve">contact with great spiritual changes in the world around,</w:t></w:r>
</w:p>
<w:p>
<w:pPr><w:pStyle w:val="Normal"/></w:pPr>
<w:r><w:t xml:space="preserve">produced a second outburst of intellectual activity, which is</w:t></w:r>
</w:p>
<w:p>
<w:pPr><w:pStyle w:val="Normal"/></w:pPr>
<w:r><w:t xml:space="preserve">generally known as the Alexandrian school of philosophy.  The</w:t></w:r>
</w:p>
<w:p>
<w:pPr><w:pStyle w:val="Normal"/></w:pPr>
<w:r><w:t xml:space="preserve">doctrines of this school were a fusion of Eastern and Western</w:t></w:r>
</w:p>
<w:p>
<w:pPr><w:pStyle w:val="Normal"/></w:pPr>
<w:r><w:t xml:space="preserve">thought, and combined in varying proportions the elements of</w:t></w:r>
</w:p>
<w:p>
<w:pPr><w:pStyle w:val="Normal"/></w:pPr>
<w:r><w:t xml:space="preserve">Hellenistic and Jewish philosophy.  Traces of this eclectic</w:t></w:r>
</w:p>
<w:p>
<w:pPr><w:pStyle w:val="Normal"/></w:pPr>
<w:r><w:t xml:space="preserve">tendency are discoverable as far back as 280 B.C., but for</w:t></w:r>
</w:p>
<w:p>
<w:pPr><w:pStyle w:val="Normal"/></w:pPr>
<w:r><w:t xml:space="preserve">practical purposes the dates of the school may be given as</w:t></w:r>
</w:p>
<w:p>
<w:pPr><w:pStyle w:val="Normal"/></w:pPr>
<w:r><w:t xml:space="preserve">from about 30 B.C. to A.D. 529. The city of Alexandria</w:t></w:r>
</w:p>
<w:p>
<w:pPr><w:pStyle w:val="Normal"/></w:pPr>
<w:r><w:t xml:space="preserve">had gradually become the neutral ground of Europe, Asia and</w:t></w:r>
</w:p>
<w:p>
<w:pPr><w:pStyle w:val="Normal"/></w:pPr>
<w:r><w:t xml:space="preserve">Africa.  Its population, then as at the present day, was a</w:t></w:r>
</w:p>
<w:p>
<w:pPr><w:pStyle w:val="Normal"/></w:pPr>
<w:r><w:t xml:space="preserve">heterogeneous collection of all races.  Alexander had planted</w:t></w:r>
</w:p>
<w:p>
<w:pPr><w:pStyle w:val="Normal"/></w:pPr>
<w:r><w:t xml:space="preserve">a colony of Jews who had increased in number until at the</w:t></w:r>
</w:p>
<w:p>
<w:pPr><w:pStyle w:val="Normal"/></w:pPr>
<w:r><w:t xml:space="preserve">beginning of the Christian era they occupied two-fifths of</w:t></w:r>
</w:p>
<w:p>
<w:pPr><w:pStyle w:val="Normal"/></w:pPr>
<w:r><w:t xml:space="preserve">the city and held some of the highest offices.  The contact</w:t></w:r>
</w:p>
<w:p>
<w:pPr><w:pStyle w:val="Normal"/></w:pPr>
<w:r><w:t xml:space="preserve">of Jewish theology with Greek speculation became the great</w:t></w:r>
</w:p>
<w:p>
<w:pPr><w:pStyle w:val="Normal"/></w:pPr>
<w:r><w:t xml:space="preserve">problem of thought.  The Jewish ideas of divine authority</w:t></w:r>
</w:p>
<w:p>
<w:pPr><w:pStyle w:val="Normal"/></w:pPr>
<w:r><w:t xml:space="preserve">and their transcendental theories of conduct were peculiarly</w:t></w:r>
</w:p>
<w:p>
<w:pPr><w:pStyle w:val="Normal"/></w:pPr>
<w:r><w:t xml:space="preserve">attractive to the Greek thinkers who found no inspiration</w:t></w:r>
</w:p>
<w:p>
<w:pPr><w:pStyle w:val="Normal"/></w:pPr>
<w:r><w:t xml:space="preserve">in the dry intellectualism into which they had fallen (see</w:t></w:r>
</w:p>
<w:p>
<w:pPr><w:pStyle w:val="Normal"/></w:pPr>
<w:r><w:t xml:space="preserve">NEO-PYTHAGOREANISM). At the same time the Jews of the</w:t></w:r>
</w:p>
<w:p>
<w:pPr><w:pStyle w:val="Normal"/></w:pPr>
<w:r><w:t xml:space="preserve">Dispersion had to some extent shaken off the exclusiveness</w:t></w:r>
</w:p>
<w:p>
<w:pPr><w:pStyle w:val="Normal"/></w:pPr>
<w:r><w:t xml:space="preserve">of their old political relations and were prepared to compare</w:t></w:r>
</w:p>
<w:p>
<w:pPr><w:pStyle w:val="Normal"/></w:pPr>
<w:r><w:t xml:space="preserve">and contrast their old territorial theology with cosmopolitan</w:t></w:r>
</w:p>
<w:p>
<w:pPr><w:pStyle w:val="Normal"/></w:pPr>
<w:r><w:t xml:space="preserve">culture.  Further, when the two sides came to consider</w:t></w:r>
</w:p>
<w:p>
<w:pPr><w:pStyle w:val="Normal"/></w:pPr>
<w:r><w:t xml:space="preserve">the results of their intellectual inheritance they found</w:t></w:r>
</w:p>
<w:p>
<w:pPr><w:pStyle w:val="Normal"/></w:pPr>
<w:r><w:t xml:space="preserve">that they had sufficient common ground for the initial</w:t></w:r>
</w:p>
<w:p>
<w:pPr><w:pStyle w:val="Normal"/></w:pPr>
<w:r><w:t xml:space="preserve">compromise.  Thus the Hellenistic doctrine of personal</w:t></w:r>
</w:p>
<w:p>
<w:pPr><w:pStyle w:val="Normal"/></w:pPr>
<w:r><w:t xml:space="preserve">revelation could be combined with the Jewish tradition of a</w:t></w:r>
</w:p>
<w:p>
<w:pPr><w:pStyle w:val="Normal"/></w:pPr>
<w:r><w:t xml:space="preserve">complete theology revealed to a special people.  The result</w:t></w:r>
</w:p>
<w:p>
<w:pPr><w:pStyle w:val="Normal"/></w:pPr>
<w:r><w:t xml:space="preserve">was the application of a purely philosophical system to the</w:t></w:r>
</w:p>
<w:p>
<w:pPr><w:pStyle w:val="Normal"/></w:pPr>
<w:r><w:t xml:space="preserve">somewhat vague and unorganized corpus of Jewish theology.  The</w:t></w:r>
</w:p>
<w:p>
<w:pPr><w:pStyle w:val="Normal"/></w:pPr>
<w:r><w:t xml:space="preserve">matter was Jewish, the arrangement Greek.  According to the</w:t></w:r>
</w:p>
<w:p>
<w:pPr><w:pStyle w:val="Normal"/></w:pPr>
<w:r><w:t xml:space="preserve">relative predominance of these two elements arose Gnosticism,</w:t></w:r>
</w:p>
<w:p>
<w:pPr><w:pStyle w:val="Normal"/></w:pPr>
<w:r><w:t xml:space="preserve">the Patristic theology, and the philosophical schools of</w:t></w:r>
</w:p>
<w:p>
<w:pPr><w:pStyle w:val="Normal"/></w:pPr>
<w:r><w:t xml:space="preserve">Neo-Pythagoreanism, Neo-Platonism and eclectic Platonism.</w:t></w:r>
</w:p>
<w:p>
<w:pPr><w:pStyle w:val="Normal"/></w:pPr>
<w:r><w:t xml:space="preserve">The members of the school may be enumerated under three heads.</w:t></w:r>
</w:p>
<w:p>
<w:pPr><w:pStyle w:val="Normal"/></w:pPr>
<w:r><w:t xml:space="preserve">(1) The beginnings of the eclectic spirit are, according</w:t></w:r>
</w:p>
<w:p>
<w:pPr><w:pStyle w:val="Normal"/></w:pPr>
<w:r><w:t xml:space="preserve">to some authorities, discernible in the Septuagint (280</w:t></w:r>
</w:p>
<w:p>
<w:pPr><w:pStyle w:val="Normal"/></w:pPr>
<w:r><w:t xml:space="preserve">B.C.) (see Frankel, Historisch-kritische Studien zur</w:t></w:r>
</w:p>
<w:p>
<w:pPr><w:pStyle w:val="Normal"/></w:pPr>
<w:r><w:t xml:space="preserve">Septuaginta, 1841), but the first concrete exemplification is</w:t></w:r>
</w:p>
<w:p>
<w:pPr><w:pStyle w:val="Normal"/></w:pPr>
<w:r><w:t xml:space="preserve">found in Aristobulus (e. 160 B.C.). So far as the Jewish</w:t></w:r>
</w:p>
<w:p>
<w:pPr><w:pStyle w:val="Normal"/></w:pPr>
<w:r><w:t xml:space="preserve">succession is concerned, the great name is that of Philo in</w:t></w:r>
</w:p>
<w:p>
<w:pPr><w:pStyle w:val="Normal"/></w:pPr>
<w:r><w:t xml:space="preserve">the first century of our era.  He took Greek metaphysical</w:t></w:r>
</w:p>
<w:p>
<w:pPr><w:pStyle w:val="Normal"/></w:pPr>
<w:r><w:t xml:space="preserve">theories, and, by the allegorical method, interpreted them</w:t></w:r>
</w:p>
<w:p>
<w:pPr><w:pStyle w:val="Normal"/></w:pPr>
<w:r><w:t xml:space="preserve">in accordance with the Jewish Revelation.  He dealt with</w:t></w:r>
</w:p>
<w:p>
<w:pPr><w:pStyle w:val="Normal"/></w:pPr>
<w:r><w:t xml:space="preserve">(a) human life as explained by the relative nature of Man</w:t></w:r>
</w:p>
<w:p>
<w:pPr><w:pStyle w:val="Normal"/></w:pPr>
<w:r><w:t xml:space="preserve">and God, (b) the Divine nature and the existence of God,</w:t></w:r>
</w:p>
<w:p>
<w:pPr><w:pStyle w:val="Normal"/></w:pPr>
<w:r><w:t xml:space="preserve">and, (c) the great Logos doctrine as the explanation of</w:t></w:r>
</w:p>
<w:p>
<w:pPr><w:pStyle w:val="Normal"/></w:pPr>
<w:r><w:t xml:space="preserve">the relation between God and the material universe.  From</w:t></w:r>
</w:p>
<w:p>
<w:pPr><w:pStyle w:val="Normal"/></w:pPr>
<w:r><w:t xml:space="preserve">these three arguments he developed an elaborate theosophy</w:t></w:r>
</w:p>
<w:p>
<w:pPr><w:pStyle w:val="Normal"/></w:pPr>
<w:r><w:t xml:space="preserve">which was a syncretism of oriental mysticism and pure Greek</w:t></w:r>
</w:p>
<w:p>
<w:pPr><w:pStyle w:val="Normal"/></w:pPr>
<w:r><w:t xml:space="preserve">metaphysic, and may be regarded as representing the climax</w:t></w:r>
</w:p>
<w:p>
<w:pPr><w:pStyle w:val="Normal"/></w:pPr>
<w:r><w:t xml:space="preserve">of Jewish philosophy. (2) The first purely philosophical</w:t></w:r>
</w:p>
<w:p>
<w:pPr><w:pStyle w:val="Normal"/></w:pPr>
<w:r><w:t xml:space="preserve">phenomenon of the Alexandrian school was Neo-Pythagoreanism,</w:t></w:r>
</w:p>
<w:p>
<w:pPr><w:pStyle w:val="Normal"/></w:pPr>
<w:r><w:t xml:space="preserve">the second and last Neo-Platonism.  Leaving all detailed</w:t></w:r>
</w:p>
<w:p>
<w:pPr><w:pStyle w:val="Normal"/></w:pPr>
<w:r><w:t xml:space="preserve">descriptions of these schools to special articles devoted to</w:t></w:r>
</w:p>
<w:p>
<w:pPr><w:pStyle w:val="Normal"/></w:pPr>
<w:r><w:t xml:space="preserve">them, it is sufficient here to say that their doctrines were a</w:t></w:r>
</w:p>
<w:p>
<w:pPr><w:pStyle w:val="Normal"/></w:pPr>
<w:r><w:t xml:space="preserve">synthesis of Platonism, Stoicism and the later Aristotelianism</w:t></w:r>
</w:p>
<w:p>
<w:pPr><w:pStyle w:val="Normal"/></w:pPr>
<w:r><w:t xml:space="preserve">with a leaven of oriental mysticism which gradually became</w:t></w:r>
</w:p>
<w:p>
<w:pPr><w:pStyle w:val="Normal"/></w:pPr>
<w:r><w:t xml:space="preserve">more and more important.  The world to which they spoke had</w:t></w:r>
</w:p>
<w:p>
<w:pPr><w:pStyle w:val="Normal"/></w:pPr>
<w:r><w:t xml:space="preserve">begun to demand a doctrine of salvation to satisfy the human</w:t></w:r>
</w:p>
<w:p>
<w:pPr><w:pStyle w:val="Normal"/></w:pPr>
<w:r><w:t xml:space="preserve">soul.  They endeavoured to deal with the problem of good and</w:t></w:r>
</w:p>
<w:p>
<w:pPr><w:pStyle w:val="Normal"/></w:pPr>
<w:r><w:t xml:space="preserve">evil.  They therefore devoted themselves to examining the</w:t></w:r>
</w:p>
<w:p>
<w:pPr><w:pStyle w:val="Normal"/></w:pPr>
<w:r><w:t xml:space="preserve">nature of the soul, and taught that its freedom consists in</w:t></w:r>
</w:p>
<w:p>
<w:pPr><w:pStyle w:val="Normal"/></w:pPr>
<w:r><w:t xml:space="preserve">communion with God, to be achieved by absorption in a sort</w:t></w:r>
</w:p>
<w:p>
<w:pPr><w:pStyle w:val="Normal"/></w:pPr>
<w:r><w:t xml:space="preserve">of ecstatic trance.  This doctrine reaches its height in</w:t></w:r>
</w:p>
<w:p>
<w:pPr><w:pStyle w:val="Normal"/></w:pPr>
<w:r><w:t xml:space="preserve">Plotinus, after whom it degenerated into magic and theurgy</w:t></w:r>
</w:p>
<w:p>
<w:pPr><w:pStyle w:val="Normal"/></w:pPr>
<w:r><w:t xml:space="preserve">in its unsuccessful combat with the victorious Christianity.</w:t></w:r>
</w:p>
<w:p>
<w:pPr><w:pStyle w:val="Normal"/></w:pPr>
<w:r><w:t xml:space="preserve">Finally this pagan theosophy was driven from Alexandria back</w:t></w:r>
</w:p>
<w:p>
<w:pPr><w:pStyle w:val="Normal"/></w:pPr>
<w:r><w:t xml:space="preserve">to Athens under Plutarch and Proclus, and occupied itself</w:t></w:r>
</w:p>
<w:p>
<w:pPr><w:pStyle w:val="Normal"/></w:pPr>
<w:r><w:t xml:space="preserve">largely in purely historical work based mainly on the attempt</w:t></w:r>
</w:p>
<w:p>
<w:pPr><w:pStyle w:val="Normal"/></w:pPr>
<w:r><w:t xml:space="preserve">to re-organize ancient philosophy in conformity with the</w:t></w:r>
</w:p>
<w:p>
<w:pPr><w:pStyle w:val="Normal"/></w:pPr>
<w:r><w:t xml:space="preserve">system of Plotinus.  This school ended under Damascius when</w:t></w:r>
</w:p>
<w:p>
<w:pPr><w:pStyle w:val="Normal"/></w:pPr>
<w:r><w:t xml:space="preserve">Justinian closed the Athenian schools (A.D. 529). (3)</w:t></w:r>
</w:p>
<w:p>
<w:pPr><w:pStyle w:val="Normal"/></w:pPr>
<w:r><w:t xml:space="preserve">The eddies of Neo-Platonism had a considerable effect on</w:t></w:r>
</w:p>
<w:p>
<w:pPr><w:pStyle w:val="Normal"/></w:pPr>
<w:r><w:t xml:space="preserve">certain Christian thinkers about the beginning of the 3rd</w:t></w:r>
</w:p>
<w:p>
<w:pPr><w:pStyle w:val="Normal"/></w:pPr>
<w:r><w:t xml:space="preserve">century.  Among these the most important were Clement of</w:t></w:r>
</w:p>
<w:p>
<w:pPr><w:pStyle w:val="Normal"/></w:pPr>
<w:r><w:t xml:space="preserve">Alexandria and Origen.  Clement, as a scholar and a theologian,</w:t></w:r>
</w:p>
<w:p>
<w:pPr><w:pStyle w:val="Normal"/></w:pPr>
<w:r><w:t xml:space="preserve">proposed to unite the mysticism of Neo- Platonism with the</w:t></w:r>
</w:p>
<w:p>
<w:pPr><w:pStyle w:val="Normal"/></w:pPr>
<w:r><w:t xml:space="preserve">practical spirit of Christianity.  He combined the principle</w:t></w:r>
</w:p>
<w:p>
<w:pPr><w:pStyle w:val="Normal"/></w:pPr>
<w:r><w:t xml:space="preserve">of pure living with that of free thinking, and held that</w:t></w:r>
</w:p>
<w:p>
<w:pPr><w:pStyle w:val="Normal"/></w:pPr>
<w:r><w:t xml:space="preserve">instruction must have regard to the mental capacity of the</w:t></w:r>
</w:p>
<w:p>
<w:pPr><w:pStyle w:val="Normal"/></w:pPr>
<w:r><w:t xml:space="preserve">hearer.  The compatibility of Christian and later Neo-Platonic</w:t></w:r>
</w:p>
<w:p>
<w:pPr><w:pStyle w:val="Normal"/></w:pPr>
<w:r><w:t xml:space="preserve">ideas is evidenced by the writings of Synesius, bishop of</w:t></w:r>
</w:p>
<w:p>
<w:pPr><w:pStyle w:val="Normal"/></w:pPr>
<w:r><w:t xml:space="preserve">Ptolemais, and though Neo-Platonism eventually succumbed to</w:t></w:r>
</w:p>
<w:p>
<w:pPr><w:pStyle w:val="Normal"/></w:pPr>
<w:r><w:t xml:space="preserve">Christianity, it had the effect, through the writings of</w:t></w:r>
</w:p>
<w:p>
<w:pPr><w:pStyle w:val="Normal"/></w:pPr>
<w:r><w:t xml:space="preserve">Clement and Origen, of modifying the tyrannical fanaticism</w:t></w:r>
</w:p>
<w:p>
<w:pPr><w:pStyle w:val="Normal"/></w:pPr>
<w:r><w:t xml:space="preserve">and ultra- dogmatism of the early Christian writers.</w:t></w:r>
</w:p>
<w:p>
<w:pPr><w:pStyle w:val="Normal"/></w:pPr>
<w:r><w:t xml:space="preserve">AUTHORITIES.--Matter, Histoire de l&apos;ecole d&apos;Alexandrie,</w:t></w:r>
</w:p>
<w:p>
<w:pPr><w:pStyle w:val="Normal"/></w:pPr>
<w:r><w:t xml:space="preserve">2nd ed. (3 vols., 1840-1844); Simon, Histoire de L&apos;ecole</w:t></w:r>
</w:p>
<w:p>
<w:pPr><w:pStyle w:val="Normal"/></w:pPr>
<w:r><w:t xml:space="preserve">d&apos;Ajexandrie (2 vols., 1844-1845); Vacherot, Histoire critique</w:t></w:r>
</w:p>
<w:p>
<w:pPr><w:pStyle w:val="Normal"/></w:pPr>
<w:r><w:t xml:space="preserve">de l&apos;ecole d&apos;Ajexandrie (3 vols., 1846-1851); Kingsley,</w:t></w:r>
</w:p>
<w:p>
<w:pPr><w:pStyle w:val="Normal"/></w:pPr>
<w:r><w:t xml:space="preserve">Alexandria and her Schools (1854); Gfrorer, Philo und</w:t></w:r>
</w:p>
<w:p>
<w:pPr><w:pStyle w:val="Normal"/></w:pPr>
<w:r><w:t xml:space="preserve">die Alexandrinische Theosophie (1835) Dahne, Geschict.</w:t></w:r>
</w:p>
<w:p>
<w:pPr><w:pStyle w:val="Normal"/></w:pPr>
<w:r><w:t xml:space="preserve">Darstellung der Judisch-Alexandrinischen Religionsphilosophie</w:t></w:r>
</w:p>
<w:p>
<w:pPr><w:pStyle w:val="Normal"/></w:pPr>
<w:r><w:t xml:space="preserve">(1834); Histories of Philosophy by Zeller, Uberweg,</w:t></w:r>
</w:p>
<w:p>
<w:pPr><w:pStyle w:val="Normal"/></w:pPr>
<w:r><w:t xml:space="preserve">Windelband, &amp;c., and Bibliography of CHURCH HISTORY, &amp;c.</w:t></w:r>
</w:p>
<w:p>
<w:pPr><w:pStyle w:val="Normal"/></w:pPr>
<w:r><w:t xml:space="preserve">1 A considerable fragment of his epic Hecale</w:t></w:r>
</w:p>
<w:p>
<w:pPr><w:pStyle w:val="Normal"/></w:pPr>
<w:r><w:t xml:space="preserve">has been discovered in the Rainer papyrus.</w:t></w:r>
</w:p>
<w:p>
<w:pPr><w:pStyle w:val="Normal"/></w:pPr>
<w:r><w:t xml:space="preserve">ALEXANDRIA TROAS (mod. Eski Stambul), an ancient Greek city</w:t></w:r>
</w:p>
<w:p>
<w:pPr><w:pStyle w:val="Normal"/></w:pPr>
<w:r><w:t xml:space="preserve">of the Troad, situated on the west coast at nearly its middle</w:t></w:r>
</w:p>
<w:p>
<w:pPr><w:pStyle w:val="Normal"/></w:pPr>
<w:r><w:t xml:space="preserve">point, a little south of Tenedos.  It was built by Antigonus,</w:t></w:r>
</w:p>
<w:p>
<w:pPr><w:pStyle w:val="Normal"/></w:pPr>
<w:r><w:t xml:space="preserve">perhaps about 310 B.C., and was called by him Antigonia</w:t></w:r>
</w:p>
<w:p>
<w:pPr><w:pStyle w:val="Normal"/></w:pPr>
<w:r><w:t xml:space="preserve">Troas.  Early in the next century the name was changed by</w:t></w:r>
</w:p>
<w:p>
<w:pPr><w:pStyle w:val="Normal"/></w:pPr>
<w:r><w:t xml:space="preserve">Lysimachus to Alexandria Troas, in honour of Alexander&apos;s</w:t></w:r>
</w:p>
<w:p>
<w:pPr><w:pStyle w:val="Normal"/></w:pPr>
<w:r><w:t xml:space="preserve">memory.  As the chief port of north-west Asia Minor, the place</w:t></w:r>
</w:p>
<w:p>
<w:pPr><w:pStyle w:val="Normal"/></w:pPr>
<w:r><w:t xml:space="preserve">prospered greatly in Roman times, and the existing remains</w:t></w:r>
</w:p>
<w:p>
<w:pPr><w:pStyle w:val="Normal"/></w:pPr>
<w:r><w:t xml:space="preserve">sufficiently attest its former importance.  Thence St Paul</w:t></w:r>
</w:p>
<w:p>
<w:pPr><w:pStyle w:val="Normal"/></w:pPr>
<w:r><w:t xml:space="preserve">sailed for Europe for the first time, and there occurred</w:t></w:r>
</w:p>
<w:p>
<w:pPr><w:pStyle w:val="Normal"/></w:pPr>
<w:r><w:t xml:space="preserve">later the episode of the raising of Eutychus (Acts xx.</w:t></w:r>
</w:p>
<w:p>
<w:pPr><w:pStyle w:val="Normal"/></w:pPr>
<w:r><w:t xml:space="preserve">5-12).  The site is now covered with valonia oaks, and has</w:t></w:r>
</w:p>
<w:p>
<w:pPr><w:pStyle w:val="Normal"/></w:pPr>
<w:r><w:t xml:space="preserve">been much plundered, e.g by Mahommed IV., who took columns</w:t></w:r>
</w:p>
<w:p>
<w:pPr><w:pStyle w:val="Normal"/></w:pPr>
<w:r><w:t xml:space="preserve">to adorn his new Valideh mosque in Stambul; but the circuit</w:t></w:r>
</w:p>
<w:p>
<w:pPr><w:pStyle w:val="Normal"/></w:pPr>
<w:r><w:t xml:space="preserve">of the old walls can be traced, and in several places they</w:t></w:r>
</w:p>
<w:p>
<w:pPr><w:pStyle w:val="Normal"/></w:pPr>
<w:r><w:t xml:space="preserve">are fairly well preserved.  They had a circumference of about</w:t></w:r>
</w:p>
<w:p>
<w:pPr><w:pStyle w:val="Normal"/></w:pPr>
<w:r><w:t xml:space="preserve">six English miles, and were fortified with towers at regular</w:t></w:r>
</w:p>
<w:p>
<w:pPr><w:pStyle w:val="Normal"/></w:pPr>
<w:r><w:t xml:space="preserve">intervals.  Remains of some ancient buildings, including a</w:t></w:r>
</w:p>
<w:p>
<w:pPr><w:pStyle w:val="Normal"/></w:pPr>
<w:r><w:t xml:space="preserve">bath and gymnasium, can be traced within this area.  Trajan</w:t></w:r>
</w:p>
<w:p>
<w:pPr><w:pStyle w:val="Normal"/></w:pPr>
<w:r><w:t xml:space="preserve">built an aqueduct which can still be traced.  The harbour had</w:t></w:r>
</w:p>
<w:p>
<w:pPr><w:pStyle w:val="Normal"/></w:pPr>
<w:r><w:t xml:space="preserve">two large basins, now almost choked with sand.  A Roman colony</w:t></w:r>
</w:p>
<w:p>
<w:pPr><w:pStyle w:val="Normal"/></w:pPr>
<w:r><w:t xml:space="preserve">was sent to the place, as Strabo mentions, in the reign of</w:t></w:r>
</w:p>
<w:p>
<w:pPr><w:pStyle w:val="Normal"/></w:pPr>
<w:r><w:t xml:space="preserve">Augustus.  The abridged name ``Troas&apos;&apos; (Acts xvi. 8) was</w:t></w:r>
</w:p>
<w:p>
<w:pPr><w:pStyle w:val="Normal"/></w:pPr>
<w:r><w:t xml:space="preserve">probably the current one in later Roman times. (D. G. H.)</w:t></w:r>
</w:p>
<w:p>
<w:pPr><w:pStyle w:val="Normal"/></w:pPr>
<w:r><w:t xml:space="preserve">ALEXANDRINE VERSE, a name given to the leading measure in</w:t></w:r>
</w:p>
<w:p>
<w:pPr><w:pStyle w:val="Normal"/></w:pPr>
<w:r><w:t xml:space="preserve">French poetry.  It is the heroic French verse, used in epic</w:t></w:r>
</w:p>
<w:p>
<w:pPr><w:pStyle w:val="Normal"/></w:pPr>
<w:r><w:t xml:space="preserve">narrative, in tragedy and in the higher comedy.  There is</w:t></w:r>
</w:p>
<w:p>
<w:pPr><w:pStyle w:val="Normal"/></w:pPr>
<w:r><w:t xml:space="preserve">some doubt as to the origin of the name; but most probably</w:t></w:r>
</w:p>
<w:p>
<w:pPr><w:pStyle w:val="Normal"/></w:pPr>
<w:r><w:t xml:space="preserve">it is derived from a collection of romances, collected in</w:t></w:r>
</w:p>
<w:p>
<w:pPr><w:pStyle w:val="Normal"/></w:pPr>
<w:r><w:t xml:space="preserve">the 12th century, of which Alexander of Macedon was the</w:t></w:r>
</w:p>
<w:p>
<w:pPr><w:pStyle w:val="Normal"/></w:pPr>
<w:r><w:t xml:space="preserve">hero, and in which he was represented, somewhat like the</w:t></w:r>
</w:p>
<w:p>
<w:pPr><w:pStyle w:val="Normal"/></w:pPr>
<w:r><w:t xml:space="preserve">British Arthur, as the pride and crown of chivalry.  Before</w:t></w:r>
</w:p>
<w:p>
<w:pPr><w:pStyle w:val="Normal"/></w:pPr>
<w:r><w:t xml:space="preserve">the publication of this work most of the trouvere romances</w:t></w:r>
</w:p>
<w:p>
<w:pPr><w:pStyle w:val="Normal"/></w:pPr>
<w:r><w:t xml:space="preserve">appeared in octosyllabic verse.  There is also a theory that</w:t></w:r>
</w:p>
<w:p>
<w:pPr><w:pStyle w:val="Normal"/></w:pPr>
<w:r><w:t xml:space="preserve">the form was invented by a poet named Alexander.  The new</w:t></w:r>
</w:p>
<w:p>
<w:pPr><w:pStyle w:val="Normal"/></w:pPr>
<w:r><w:t xml:space="preserve">work, which was henceforth to set the fashion to French</w:t></w:r>
</w:p>
<w:p>
<w:pPr><w:pStyle w:val="Normal"/></w:pPr>
<w:r><w:t xml:space="preserve">literature, was written in lines of twelve syllables,</w:t></w:r>
</w:p>
<w:p>
<w:pPr><w:pStyle w:val="Normal"/></w:pPr>
<w:r><w:t xml:space="preserve">but with a freedom of pause which was afterwards greatly</w:t></w:r>
</w:p>
<w:p>
<w:pPr><w:pStyle w:val="Normal"/></w:pPr>
<w:r><w:t xml:space="preserve">curtailed.  The new fashion, however, was not adopted all at</w:t></w:r>
</w:p>
<w:p>
<w:pPr><w:pStyle w:val="Normal"/></w:pPr>
<w:r><w:t xml:space="preserve">once.  The metre fell into disuse until the reign of Francis</w:t></w:r>
</w:p>
<w:p>
<w:pPr><w:pStyle w:val="Normal"/></w:pPr>
<w:r><w:t xml:space="preserve">I., when it was revived by Jean Antoine de Baif, one of the</w:t></w:r>
</w:p>
<w:p>
<w:pPr><w:pStyle w:val="Normal"/></w:pPr>
<w:r><w:t xml:space="preserve">seven poets known as the Pleiades.  Jodelle mingled episodical</w:t></w:r>
</w:p>
<w:p>
<w:pPr><w:pStyle w:val="Normal"/></w:pPr>
<w:r><w:t xml:space="preserve">Alexandrines with the vers communs of his tragedies and so</w:t></w:r>
</w:p>
<w:p>
<w:pPr><w:pStyle w:val="Normal"/></w:pPr>
<w:r><w:t xml:space="preserve">introduced them into drama.  It was Ronsard, however, who made</w:t></w:r>
</w:p>
<w:p>
<w:pPr><w:pStyle w:val="Normal"/></w:pPr>
<w:r><w:t xml:space="preserve">the verse popular, and gave it vogue in France.  From his time</w:t></w:r>
</w:p>
<w:p>
<w:pPr><w:pStyle w:val="Normal"/></w:pPr>
<w:r><w:t xml:space="preserve">it became the recognized vehicle for all great poetry, and</w:t></w:r>
</w:p>
<w:p>
<w:pPr><w:pStyle w:val="Normal"/></w:pPr>
<w:r><w:t xml:space="preserve">the regulation of its pauses became more and more strict.</w:t></w:r>
</w:p>
<w:p>
<w:pPr><w:pStyle w:val="Normal"/></w:pPr>
<w:r><w:t xml:space="preserve">The following is an example of the verse as used by Racine--</w:t></w:r>
</w:p>
<w:p>
<w:pPr><w:pStyle w:val="Normal"/></w:pPr>
<w:r><w:t xml:space="preserve">Ou suis-je? qu&apos;ai-je fait?  || que dois-je faire encore?</w:t></w:r>
</w:p>
<w:p>
<w:pPr><w:pStyle w:val="Normal"/></w:pPr>
<w:r><w:t xml:space="preserve">Quel transport me saisit?      || quel chagrin me devore?</w:t></w:r>
</w:p>
<w:p>
<w:pPr><w:pStyle w:val="Normal"/></w:pPr>
<w:r><w:t xml:space="preserve">Two inexorable laws came to be established with regard to the</w:t></w:r>
</w:p>
<w:p>
<w:pPr><w:pStyle w:val="Normal"/></w:pPr>
<w:r><w:t xml:space="preserve">pauses.  The first is, that each line should be divided into</w:t></w:r>
</w:p>
<w:p>
<w:pPr><w:pStyle w:val="Normal"/></w:pPr>
<w:r><w:t xml:space="preserve">two equal parts, the sixth syllable always ending with a</w:t></w:r>
</w:p>
<w:p>
<w:pPr><w:pStyle w:val="Normal"/></w:pPr>
<w:r><w:t xml:space="preserve">word.  In the earlier use of this metre, on the contrary,</w:t></w:r>
</w:p>
<w:p>
<w:pPr><w:pStyle w:val="Normal"/></w:pPr>
<w:r><w:t xml:space="preserve">it frequently happened that the sixth and seventh syllables</w:t></w:r>
</w:p>
<w:p>
<w:pPr><w:pStyle w:val="Normal"/></w:pPr>
<w:r><w:t xml:space="preserve">belonged to the same word.  The other is that, except under</w:t></w:r>
</w:p>
<w:p>
<w:pPr><w:pStyle w:val="Normal"/></w:pPr>
<w:r><w:t xml:space="preserve">the most stringent conditions, there should be none of</w:t></w:r>
</w:p>
<w:p>
<w:pPr><w:pStyle w:val="Normal"/></w:pPr>
<w:r><w:t xml:space="preserve">what the French critics call enjambement, that is, the</w:t></w:r>
</w:p>
<w:p>
<w:pPr><w:pStyle w:val="Normal"/></w:pPr>
<w:r><w:t xml:space="preserve">overlapping of the sense from one line on to the next.</w:t></w:r>
</w:p>
<w:p>
<w:pPr><w:pStyle w:val="Normal"/></w:pPr>
<w:r><w:t xml:space="preserve">Ronsard completely ignored this rule, which was after his time</w:t></w:r>
</w:p>
<w:p>
<w:pPr><w:pStyle w:val="Normal"/></w:pPr>
<w:r><w:t xml:space="preserve">settled by the authority of Malherbe.  The latest school of</w:t></w:r>
</w:p>
<w:p>
<w:pPr><w:pStyle w:val="Normal"/></w:pPr>
<w:r><w:t xml:space="preserve">French prosody has given great attention to the breaking up</w:t></w:r>
</w:p>
<w:p>
<w:pPr><w:pStyle w:val="Normal"/></w:pPr>
<w:r><w:t xml:space="preserve">of the Alexandrine, which no longer possesses the rigidity</w:t></w:r>
</w:p>
<w:p>
<w:pPr><w:pStyle w:val="Normal"/></w:pPr>
<w:r><w:t xml:space="preserve">of authoritative form which it held until about 1880, but is</w:t></w:r>
</w:p>
<w:p>
<w:pPr><w:pStyle w:val="Normal"/></w:pPr>
<w:r><w:t xml:space="preserve">often used with a licence no less than when Ronsard wrote.</w:t></w:r>
</w:p>
<w:p>
<w:pPr><w:pStyle w:val="Normal"/></w:pPr>
<w:r><w:t xml:space="preserve">Michael Drayton, who was twenty-two years of age when Ronsard</w:t></w:r>
</w:p>
<w:p>
<w:pPr><w:pStyle w:val="Normal"/></w:pPr>
<w:r><w:t xml:space="preserve">died, seemed to think that the Alexandrine might be as</w:t></w:r>
</w:p>
<w:p>
<w:pPr><w:pStyle w:val="Normal"/></w:pPr>
<w:r><w:t xml:space="preserve">pleasing to English as it was to French ears, and in this</w:t></w:r>
</w:p>
<w:p>
<w:pPr><w:pStyle w:val="Normal"/></w:pPr>
<w:r><w:t xml:space="preserve">metre he wrote a long poem in twenty-four books called the</w:t></w:r>
</w:p>
<w:p>
<w:pPr><w:pStyle w:val="Normal"/></w:pPr>
<w:r><w:t xml:space="preserve">Polyolbion. The metre, however, failed to catch the English</w:t></w:r>
</w:p>
<w:p>
<w:pPr><w:pStyle w:val="Normal"/></w:pPr>
<w:r><w:t xml:space="preserve">ear.  The principal English measure is a line of ten</w:t></w:r>
</w:p>
<w:p>
<w:pPr><w:pStyle w:val="Normal"/></w:pPr>
<w:r><w:t xml:space="preserve">syllables, and the Alexandrine is used only occasionally to</w:t></w:r>
</w:p>
<w:p>
<w:pPr><w:pStyle w:val="Normal"/></w:pPr>
<w:r><w:t xml:space="preserve">give it variety and weight.  In ordinary English heroic verse</w:t></w:r>
</w:p>
<w:p>
<w:pPr><w:pStyle w:val="Normal"/></w:pPr>
<w:r><w:t xml:space="preserve">it is but rarely introduced; but in the favourite narrative</w:t></w:r>
</w:p>
<w:p>
<w:pPr><w:pStyle w:val="Normal"/></w:pPr>
<w:r><w:t xml:space="preserve">metre, known as the Spenserian, it comes in regularly as the</w:t></w:r>
</w:p>
<w:p>
<w:pPr><w:pStyle w:val="Normal"/></w:pPr>
<w:r><w:t xml:space="preserve">concluding line of each stanza.  In English usage, moreover,</w:t></w:r>
</w:p>
<w:p>
<w:pPr><w:pStyle w:val="Normal"/></w:pPr>
<w:r><w:t xml:space="preserve">it is to be observed that there is no fixed rule as to the</w:t></w:r>
</w:p>
<w:p>
<w:pPr><w:pStyle w:val="Normal"/></w:pPr>
<w:r><w:t xml:space="preserve">position of the pause, though it is true that most commonly</w:t></w:r>
</w:p>
<w:p>
<w:pPr><w:pStyle w:val="Normal"/></w:pPr>
<w:r><w:t xml:space="preserve">the pause occurs at the end of the sixth syllable.  Spenser</w:t></w:r>
</w:p>
<w:p>
<w:pPr><w:pStyle w:val="Normal"/></w:pPr>
<w:r><w:t xml:space="preserve">is very free in shifting the pause about; and though the</w:t></w:r>
</w:p>
<w:p>
<w:pPr><w:pStyle w:val="Normal"/></w:pPr>
<w:r><w:t xml:space="preserve">later poets who have used this stanza are not so free, yet,</w:t></w:r>
</w:p>
<w:p>
<w:pPr><w:pStyle w:val="Normal"/></w:pPr>
<w:r><w:t xml:space="preserve">with the exception of Shenstone and of Byron, they do not</w:t></w:r>
</w:p>
<w:p>
<w:pPr><w:pStyle w:val="Normal"/></w:pPr>
<w:r><w:t xml:space="preserve">scruple to obliterate all pause between the sixth and seventh</w:t></w:r>
</w:p>
<w:p>
<w:pPr><w:pStyle w:val="Normal"/></w:pPr>
<w:r><w:t xml:space="preserve">syllables.  Thus Thomson (Castle of Indolenee, i. 42):--</w:t></w:r>
</w:p>
<w:p>
<w:pPr><w:pStyle w:val="Normal"/></w:pPr>
<w:r><w:t xml:space="preserve">And music lent new gladness to the morning air.</w:t></w:r>
</w:p>
<w:p>
<w:pPr><w:pStyle w:val="Normal"/></w:pPr>
<w:r><w:t xml:space="preserve">The danger in the use of the Alexandrine is that, in</w:t></w:r>
</w:p>
<w:p>
<w:pPr><w:pStyle w:val="Normal"/></w:pPr>
<w:r><w:t xml:space="preserve">attempting to give dignity to his line, the poet may</w:t></w:r>
</w:p>
<w:p>
<w:pPr><w:pStyle w:val="Normal"/></w:pPr>
<w:r><w:t xml:space="preserve">only produce heaviness, incurring the sneer of Pope--</w:t></w:r>
</w:p>
<w:p>
<w:pPr><w:pStyle w:val="Normal"/></w:pPr>
<w:r><w:t xml:space="preserve">A needless Alexandrine ends the song.</w:t></w:r>
</w:p>
<w:p>
<w:pPr><w:pStyle w:val="Normal"/></w:pPr>
<w:r><w:t xml:space="preserve">That, like a wounded snake, drags its slow length along.</w:t></w:r>
</w:p>
<w:p>
<w:pPr><w:pStyle w:val="Normal"/></w:pPr>
<w:r><w:t xml:space="preserve">The Alexandrine was the dominant metre in Dutch poetry from the</w:t></w:r>
</w:p>
<w:p>
<w:pPr><w:pStyle w:val="Normal"/></w:pPr>
<w:r><w:t xml:space="preserve">16th to the middle of the 19th century, and about the time of its</w:t></w:r>
</w:p>
<w:p>
<w:pPr><w:pStyle w:val="Normal"/></w:pPr>
<w:r><w:t xml:space="preserve">introduction to Holland it was accepted in Germany by the school of</w:t></w:r>
</w:p>
<w:p>
<w:pPr><w:pStyle w:val="Normal"/></w:pPr>
<w:r><w:t xml:space="preserve">Opitz.  In the course of the 17th century, after being used</w:t></w:r>
</w:p>
<w:p>
<w:pPr><w:pStyle w:val="Normal"/></w:pPr>
<w:r><w:t xml:space="preserve">without rhyme by Seckendorf and others, it formed a transitional</w:t></w:r>
</w:p>
<w:p>
<w:pPr><w:pStyle w:val="Normal"/></w:pPr>
<w:r><w:t xml:space="preserve">station on the route to German blank verse, and has since then</w:t></w:r>
</w:p>
<w:p>
<w:pPr><w:pStyle w:val="Normal"/></w:pPr>
<w:r><w:t xml:space="preserve">been rarely employed, except occasionally in rhymed comedy.</w:t></w:r>
</w:p>
<w:p>
<w:pPr><w:pStyle w:val="Normal"/></w:pPr>
<w:r><w:t xml:space="preserve">ALEXANDRISTS, the name given to those philosophers of the</w:t></w:r>
</w:p>
<w:p>
<w:pPr><w:pStyle w:val="Normal"/></w:pPr>
<w:r><w:t xml:space="preserve">Renaissance, who, in the great controversy on the subject</w:t></w:r>
</w:p>
<w:p>
<w:pPr><w:pStyle w:val="Normal"/></w:pPr>
<w:r><w:t xml:space="preserve">of personal immortality, adopted the explanation of the De</w:t></w:r>
</w:p>
<w:p>
<w:pPr><w:pStyle w:val="Normal"/></w:pPr>
<w:r><w:t xml:space="preserve">Anima given by Alexander of Aphrodisias.  According to the</w:t></w:r>
</w:p>
<w:p>
<w:pPr><w:pStyle w:val="Normal"/></w:pPr>
<w:r><w:t xml:space="preserve">orthodox Thomism of the Roman Catholic Church, Aristotle</w:t></w:r>
</w:p>
<w:p>
<w:pPr><w:pStyle w:val="Normal"/></w:pPr>
<w:r><w:t xml:space="preserve">rightly regarded reason as a facility of the individual</w:t></w:r>
</w:p>
<w:p>
<w:pPr><w:pStyle w:val="Normal"/></w:pPr>
<w:r><w:t xml:space="preserve">soul.  Against this, the Averroists, led by Agostino Nito</w:t></w:r>
</w:p>
<w:p>
<w:pPr><w:pStyle w:val="Normal"/></w:pPr>
<w:r><w:t xml:space="preserve">(q.v.), introduced the modifying theory that universal</w:t></w:r>
</w:p>
<w:p>
<w:pPr><w:pStyle w:val="Normal"/></w:pPr>
<w:r><w:t xml:space="preserve">reason in a sense individualizes itself in each soul and</w:t></w:r>
</w:p>
<w:p>
<w:pPr><w:pStyle w:val="Normal"/></w:pPr>
<w:r><w:t xml:space="preserve">then absorbs the active reason into itself again.  These two</w:t></w:r>
</w:p>
<w:p>
<w:pPr><w:pStyle w:val="Normal"/></w:pPr>
<w:r><w:t xml:space="preserve">theories respectively evolved the doctrine of individual and</w:t></w:r>
</w:p>
<w:p>
<w:pPr><w:pStyle w:val="Normal"/></w:pPr>
<w:r><w:t xml:space="preserve">universal immortality, or the absorption of the individual</w:t></w:r>
</w:p>
<w:p>
<w:pPr><w:pStyle w:val="Normal"/></w:pPr>
<w:r><w:t xml:space="preserve">into the eternal One. The Alexandrists, led by Pietro</w:t></w:r>
</w:p>
<w:p>
<w:pPr><w:pStyle w:val="Normal"/></w:pPr>
<w:r><w:t xml:space="preserve">Pomponazzi, boldly assailed these beliefs and denied that</w:t></w:r>
</w:p>
<w:p>
<w:pPr><w:pStyle w:val="Normal"/></w:pPr>
<w:r><w:t xml:space="preserve">either was rightly attributed to Aristotle.  They held that</w:t></w:r>
</w:p>
<w:p>
<w:pPr><w:pStyle w:val="Normal"/></w:pPr>
<w:r><w:t xml:space="preserve">Aristotle considered the soul as a material and therefore</w:t></w:r>
</w:p>
<w:p>
<w:pPr><w:pStyle w:val="Normal"/></w:pPr>
<w:r><w:t xml:space="preserve">a mortal entity which operates during life only under the</w:t></w:r>
</w:p>
<w:p>
<w:pPr><w:pStyle w:val="Normal"/></w:pPr>
<w:r><w:t xml:space="preserve">authority of universal reason.  Hence the Alexandrists denied</w:t></w:r>
</w:p>
<w:p>
<w:pPr><w:pStyle w:val="Normal"/></w:pPr>
<w:r><w:t xml:space="preserve">the possibillty of immortality in every shape or form.</w:t></w:r>
</w:p>
<w:p>
<w:pPr><w:pStyle w:val="Normal"/></w:pPr>
<w:r><w:t xml:space="preserve">Since the soul is organically connected with the body, the</w:t></w:r>
</w:p>
<w:p>
<w:pPr><w:pStyle w:val="Normal"/></w:pPr>
<w:r><w:t xml:space="preserve">dissolution of the latter involves the extinction of the former.</w:t></w:r>
</w:p>
<w:p>
<w:pPr><w:pStyle w:val="Normal"/></w:pPr>
<w:r><w:t xml:space="preserve">ALEXANDRITE, a variety of chrysoberyl (q.v.) discovered</w:t></w:r>
</w:p>
<w:p>
<w:pPr><w:pStyle w:val="Normal"/></w:pPr>
<w:r><w:t xml:space="preserve">in the Urals in 1833, on the day set apart for celebrating</w:t></w:r>
</w:p>
<w:p>
<w:pPr><w:pStyle w:val="Normal"/></w:pPr>
<w:r><w:t xml:space="preserve">the majority of the cesarevich, afterwards the tsar, Alexander</w:t></w:r>
</w:p>
<w:p>
<w:pPr><w:pStyle w:val="Normal"/></w:pPr>
<w:r><w:t xml:space="preserve">II., in whose honour the stone was named by Nils Gustaf</w:t></w:r>
</w:p>
<w:p>
<w:pPr><w:pStyle w:val="Normal"/></w:pPr>
<w:r><w:t xml:space="preserve">Nordenskiold, of Helsingfors.  It is remarkable for being</w:t></w:r>
</w:p>
<w:p>
<w:pPr><w:pStyle w:val="Normal"/></w:pPr>
<w:r><w:t xml:space="preserve">strongly dichroic, generally appearing dark green by daylight</w:t></w:r>
</w:p>
<w:p>
<w:pPr><w:pStyle w:val="Normal"/></w:pPr>
<w:r><w:t xml:space="preserve">and raspberry-red by candle-light, or by daylight transmitted</w:t></w:r>
</w:p>
<w:p>
<w:pPr><w:pStyle w:val="Normal"/></w:pPr>
<w:r><w:t xml:space="preserve">through the stone.  As red and green are the military</w:t></w:r>
</w:p>
<w:p>
<w:pPr><w:pStyle w:val="Normal"/></w:pPr>
<w:r><w:t xml:space="preserve">colours of Russia, the mineral became highly popular as a</w:t></w:r>
</w:p>
<w:p>
<w:pPr><w:pStyle w:val="Normal"/></w:pPr>
<w:r><w:t xml:space="preserve">gem-stone.  The dark green crystals are usually cloudy and</w:t></w:r>
</w:p>
<w:p>
<w:pPr><w:pStyle w:val="Normal"/></w:pPr>
<w:r><w:t xml:space="preserve">cracked, and grouped in triplets presenting a pseudo-hexagonal</w:t></w:r>
</w:p>
<w:p>
<w:pPr><w:pStyle w:val="Normal"/></w:pPr>
<w:r><w:t xml:space="preserve">form.  Alexandrite was found originally in the emerald- mine of</w:t></w:r>
</w:p>
<w:p>
<w:pPr><w:pStyle w:val="Normal"/></w:pPr>
<w:r><w:t xml:space="preserve">Takovaya, east of Ekaterinburg in the Urals, and afterwards</w:t></w:r>
</w:p>
<w:p>
<w:pPr><w:pStyle w:val="Normal"/></w:pPr>
<w:r><w:t xml:space="preserve">in the gold-bearing sands of the Sanarka in the southern</w:t></w:r>
</w:p>
<w:p>
<w:pPr><w:pStyle w:val="Normal"/></w:pPr>
<w:r><w:t xml:space="preserve">Urals.  Subsequently it was discovered in greater abundance</w:t></w:r>
</w:p>
<w:p>
<w:pPr><w:pStyle w:val="Normal"/></w:pPr>
<w:r><w:t xml:space="preserve">in the gem-gravels of Ceylon.  It has been found also in</w:t></w:r>
</w:p>
<w:p>
<w:pPr><w:pStyle w:val="Normal"/></w:pPr>
<w:r><w:t xml:space="preserve">Tasmania.  Some of the Ceylon alexandrite exhibits,</w:t></w:r>
</w:p>
<w:p>
<w:pPr><w:pStyle w:val="Normal"/></w:pPr>
<w:r><w:t xml:space="preserve">when suitably cut, the Cat&apos;s-eye chatoyance, whence</w:t></w:r>
</w:p>
<w:p>
<w:pPr><w:pStyle w:val="Normal"/></w:pPr>
<w:r><w:t xml:space="preserve">it has been called alexandrite cat&apos;s-eye. (F. W. R.*)</w:t></w:r>
</w:p>
<w:p>
<w:pPr><w:pStyle w:val="Normal"/></w:pPr>
<w:r><w:t xml:space="preserve">ALEXANDROPOL, or ALEXANDRAPOL. (Turk. Gumri), a</w:t></w:r>
</w:p>
<w:p>
<w:pPr><w:pStyle w:val="Normal"/></w:pPr>
<w:r><w:t xml:space="preserve">Russian town and fortified camp in Transcaucasia, government</w:t></w:r>
</w:p>
<w:p>
<w:pPr><w:pStyle w:val="Normal"/></w:pPr>
<w:r><w:t xml:space="preserve">of Erivan, near the junction of the Arpa-chai with the</w:t></w:r>
</w:p>
<w:p>
<w:pPr><w:pStyle w:val="Normal"/></w:pPr>
<w:r><w:t xml:space="preserve">Aras, 48 m. by rail E.N.E. of Kars.  Altitude 5080</w:t></w:r>
</w:p>
<w:p>
<w:pPr><w:pStyle w:val="Normal"/></w:pPr>
<w:r><w:t xml:space="preserve">ft.  It has a trade in silk.  Here the Russians defeated</w:t></w:r>
</w:p>
<w:p>
<w:pPr><w:pStyle w:val="Normal"/></w:pPr>
<w:r><w:t xml:space="preserve">the Turks in 1853.  Pop. (1885) 22,670; (1897) 32,735.</w:t></w:r>
</w:p>
<w:p>
<w:pPr><w:pStyle w:val="Normal"/></w:pPr>
<w:r><w:t xml:space="preserve">ALEXANDROVSK. (1) A town of N. Russia, in the government</w:t></w:r>
</w:p>
<w:p>
<w:pPr><w:pStyle w:val="Normal"/></w:pPr>
<w:r><w:t xml:space="preserve">of Archangel, on the harbour of Catherine (Ekaterininsk),</w:t></w:r>
</w:p>
<w:p>
<w:pPr><w:pStyle w:val="Normal"/></w:pPr>
<w:r><w:t xml:space="preserve">on the Murman coast, 5 m. from the mouth of Kola Bay.</w:t></w:r>
</w:p>
<w:p>
<w:pPr><w:pStyle w:val="Normal"/></w:pPr>
<w:r><w:t xml:space="preserve">It was opened in 1899 and is a naval station, being free</w:t></w:r>
</w:p>
<w:p>
<w:pPr><w:pStyle w:val="Normal"/></w:pPr>
<w:r><w:t xml:space="preserve">from ice all the year round.  It is also called Port</w:t></w:r>
</w:p>
<w:p>
<w:pPr><w:pStyle w:val="Normal"/></w:pPr>
<w:r><w:t xml:space="preserve">Catherine.  Pop. (1901) 300. (2) A town of S. Russia, 83</w:t></w:r>
</w:p>
<w:p>
<w:pPr><w:pStyle w:val="Normal"/></w:pPr>
<w:r><w:t xml:space="preserve">m.  S. of Ekaterinoslav, on the railway to the Crimea, near</w:t></w:r>
</w:p>
<w:p>
<w:pPr><w:pStyle w:val="Normal"/></w:pPr>
<w:r><w:t xml:space="preserve">the left bank of the Dnieper, below its rapids.  Pop. (1897)</w:t></w:r>
</w:p>
<w:p>
<w:pPr><w:pStyle w:val="Normal"/></w:pPr>
<w:r><w:t xml:space="preserve">16,393.  Opposite it is the island of Khortitsa, upon which was</w:t></w:r>
</w:p>
<w:p>
<w:pPr><w:pStyle w:val="Normal"/></w:pPr>
<w:r><w:t xml:space="preserve">the sich (or syech) or camp of the Zaporozhian cossacks.</w:t></w:r>
</w:p>
<w:p>
<w:pPr><w:pStyle w:val="Normal"/></w:pPr>
<w:r><w:t xml:space="preserve">All its neighbouthood is strewn with kurgans (tumuli).</w:t></w:r>
</w:p>
<w:p>
<w:pPr><w:pStyle w:val="Normal"/></w:pPr>
<w:r><w:t xml:space="preserve">ALEXIS, Greek comic poet of the Middle Comedy, was born</w:t></w:r>
</w:p>
<w:p>
<w:pPr><w:pStyle w:val="Normal"/></w:pPr>
<w:r><w:t xml:space="preserve">about 394 B.C. at Thurii and taken early to Athens,</w:t></w:r>
</w:p>
<w:p>
<w:pPr><w:pStyle w:val="Normal"/></w:pPr>
<w:r><w:t xml:space="preserve">where he became a citizen.  Plutarch says that he lived to</w:t></w:r>
</w:p>
<w:p>
<w:pPr><w:pStyle w:val="Normal"/></w:pPr>
<w:r><w:t xml:space="preserve">the age of 106, and that he died on the stage while being</w:t></w:r>
</w:p>
<w:p>
<w:pPr><w:pStyle w:val="Normal"/></w:pPr>
<w:r><w:t xml:space="preserve">crowned.  According to Suidas, who calls him Monander&apos;s</w:t></w:r>
</w:p>
<w:p>
<w:pPr><w:pStyle w:val="Normal"/></w:pPr>
<w:r><w:t xml:space="preserve">uncle, he wrote 245 comedies, of which some 130 titles are</w:t></w:r>
</w:p>
<w:p>
<w:pPr><w:pStyle w:val="Normal"/></w:pPr>
<w:r><w:t xml:space="preserve">preserved.  The fragments (about 1000 lines) attest the wit and</w:t></w:r>
</w:p>
<w:p>
<w:pPr><w:pStyle w:val="Normal"/></w:pPr>
<w:r><w:t xml:space="preserve">refinement of the author (Koch, Comicorum Atticorum Fragmenta).</w:t></w:r>
</w:p>
<w:p>
<w:pPr><w:pStyle w:val="Normal"/></w:pPr>
<w:r><w:t xml:space="preserve">ALEXIS, WILLIBALD, the pseudonym of GEORG WILHELM HEINRICH</w:t></w:r>
</w:p>
<w:p>
<w:pPr><w:pStyle w:val="Normal"/></w:pPr>
<w:r><w:t xml:space="preserve">HARING (1798--1871), German historical novelist.  He was</w:t></w:r>
</w:p>
<w:p>
<w:pPr><w:pStyle w:val="Normal"/></w:pPr>
<w:r><w:t xml:space="preserve">born on the 29th of June 1798 at Breslau, where his father,</w:t></w:r>
</w:p>
<w:p>
<w:pPr><w:pStyle w:val="Normal"/></w:pPr>
<w:r><w:t xml:space="preserve">who came of a French refugee family, named Hareng, held a high</w:t></w:r>
</w:p>
<w:p>
<w:pPr><w:pStyle w:val="Normal"/></w:pPr>
<w:r><w:t xml:space="preserve">position in the war department.  He attended the Werdersche</w:t></w:r>
</w:p>
<w:p>
<w:pPr><w:pStyle w:val="Normal"/></w:pPr>
<w:r><w:t xml:space="preserve">Gymnasium in Berlin, and then, serving as a volunteer in</w:t></w:r>
</w:p>
<w:p>
<w:pPr><w:pStyle w:val="Normal"/></w:pPr>
<w:r><w:t xml:space="preserve">the campaign of 1815, took part in the siege of the Ardenne</w:t></w:r>
</w:p>
<w:p>
<w:pPr><w:pStyle w:val="Normal"/></w:pPr>
<w:r><w:t xml:space="preserve">fortresses.  On his return he studied law at the universities</w:t></w:r>
</w:p>
<w:p>
<w:pPr><w:pStyle w:val="Normal"/></w:pPr>
<w:r><w:t xml:space="preserve">of Berlin and Breslau and entered the legal profession, but he</w:t></w:r>
</w:p>
<w:p>
<w:pPr><w:pStyle w:val="Normal"/></w:pPr>
<w:r><w:t xml:space="preserve">soon abandoned this career and devoted himself to literature.</w:t></w:r>
</w:p>
<w:p>
<w:pPr><w:pStyle w:val="Normal"/></w:pPr>
<w:r><w:t xml:space="preserve">Settling in Berlin he edited, 1827-1835, the Berliner</w:t></w:r>
</w:p>
<w:p>
<w:pPr><w:pStyle w:val="Normal"/></w:pPr>
<w:r><w:t xml:space="preserve">Konversationsblatt, in which for the first two years he was</w:t></w:r>
</w:p>
<w:p>
<w:pPr><w:pStyle w:val="Normal"/></w:pPr>
<w:r><w:t xml:space="preserve">assisted by Friedrich Christoph Forster (1791--1868); and in</w:t></w:r>
</w:p>
<w:p>
<w:pPr><w:pStyle w:val="Normal"/></w:pPr>
<w:r><w:t xml:space="preserve">1828 was created a doctor of philosophy by the university of</w:t></w:r>
</w:p>
<w:p>
<w:pPr><w:pStyle w:val="Normal"/></w:pPr>
<w:r><w:t xml:space="preserve">Halle.  In 1852 he retired to Arnstadt in Thuringia, where after</w:t></w:r>
</w:p>
<w:p>
<w:pPr><w:pStyle w:val="Normal"/></w:pPr>
<w:r><w:t xml:space="preserve">many years of broken health he died on the 16th of December 1871.</w:t></w:r>
</w:p>
<w:p>
<w:pPr><w:pStyle w:val="Normal"/></w:pPr>
<w:r><w:t xml:space="preserve">Haring made his name first known as a writer by an idyll in</w:t></w:r>
</w:p>
<w:p>
<w:pPr><w:pStyle w:val="Normal"/></w:pPr>
<w:r><w:t xml:space="preserve">hexameters, Die Treibjagd (1820), and several short stories</w:t></w:r>
</w:p>
<w:p>
<w:pPr><w:pStyle w:val="Normal"/></w:pPr>
<w:r><w:t xml:space="preserve">in which the influence of Tieck is observable; but his</w:t></w:r>
</w:p>
<w:p>
<w:pPr><w:pStyle w:val="Normal"/></w:pPr>
<w:r><w:t xml:space="preserve">literary reputation was first established by the historical</w:t></w:r>
</w:p>
<w:p>
<w:pPr><w:pStyle w:val="Normal"/></w:pPr>
<w:r><w:t xml:space="preserve">romance Walladmor (1823), which, published as being ``freely</w:t></w:r>
</w:p>
<w:p>
<w:pPr><w:pStyle w:val="Normal"/></w:pPr>
<w:r><w:t xml:space="preserve">translated from the English of Sir Walter Scott, with a</w:t></w:r>
</w:p>
<w:p>
<w:pPr><w:pStyle w:val="Normal"/></w:pPr>
<w:r><w:t xml:space="preserve">preface by Willibald Alexis,&apos;&apos; so closely imitated the style</w:t></w:r>
</w:p>
<w:p>
<w:pPr><w:pStyle w:val="Normal"/></w:pPr>
<w:r><w:t xml:space="preserve">of the famous Scotsman as really to deceive even Scott&apos;s</w:t></w:r>
</w:p>
<w:p>
<w:pPr><w:pStyle w:val="Normal"/></w:pPr>
<w:r><w:t xml:space="preserve">admirers.  The work became immediately popular and was</w:t></w:r>
</w:p>
<w:p>
<w:pPr><w:pStyle w:val="Normal"/></w:pPr>
<w:r><w:t xml:space="preserve">translated into several languages, including English.  It</w:t></w:r>
</w:p>
<w:p>
<w:pPr><w:pStyle w:val="Normal"/></w:pPr>
<w:r><w:t xml:space="preserve">was followed by Schloss Avalon (1827), with regard to</w:t></w:r>
</w:p>
<w:p>
<w:pPr><w:pStyle w:val="Normal"/></w:pPr>
<w:r><w:t xml:space="preserve">which the author adopted the same tactics and with equal</w:t></w:r>
</w:p>
<w:p>
<w:pPr><w:pStyle w:val="Normal"/></w:pPr>
<w:r><w:t xml:space="preserve">success.  These historical novels, however, were of considerable</w:t></w:r>
</w:p>
<w:p>
<w:pPr><w:pStyle w:val="Normal"/></w:pPr>
<w:r><w:t xml:space="preserve">literary merit, and would doubtless have achieved popularity</w:t></w:r>
</w:p>
<w:p>
<w:pPr><w:pStyle w:val="Normal"/></w:pPr>
<w:r><w:t xml:space="preserve">even without the borrowed plumage.  Soon afterwards Haring</w:t></w:r>
</w:p>
<w:p>
<w:pPr><w:pStyle w:val="Normal"/></w:pPr>
<w:r><w:t xml:space="preserve">published a number of successful short stories (Gesammelte</w:t></w:r>
</w:p>
<w:p>
<w:pPr><w:pStyle w:val="Normal"/></w:pPr>
<w:r><w:t xml:space="preserve">Novellen, 4 vols., 1830-1831), some books of travel, and in</w:t></w:r>
</w:p>
<w:p>
<w:pPr><w:pStyle w:val="Normal"/></w:pPr>
<w:r><w:t xml:space="preserve">the novels Das Haus Dusterweg (1835) and Zwolf Nachte</w:t></w:r>
</w:p>
<w:p>
<w:pPr><w:pStyle w:val="Normal"/></w:pPr>
<w:r><w:t xml:space="preserve">(1838) showed for a while a leaning towards the ``Young German&apos;&apos;</w:t></w:r>
</w:p>
<w:p>
<w:pPr><w:pStyle w:val="Normal"/></w:pPr>
<w:r><w:t xml:space="preserve">school.  In Cabanis (1832), however, a story of the time</w:t></w:r>
</w:p>
<w:p>
<w:pPr><w:pStyle w:val="Normal"/></w:pPr>
<w:r><w:t xml:space="preserve">of Frederick the Great, he entered the field of patriotic-</w:t></w:r>
</w:p>
<w:p>
<w:pPr><w:pStyle w:val="Normal"/></w:pPr>
<w:r><w:t xml:space="preserve">historical romance, in which he so far excelled as to have</w:t></w:r>
</w:p>
<w:p>
<w:pPr><w:pStyle w:val="Normal"/></w:pPr>
<w:r><w:t xml:space="preserve">earned the name of ``der Markische Walter Scott&apos;&apos; (Walter</w:t></w:r>
</w:p>
<w:p>
<w:pPr><w:pStyle w:val="Normal"/></w:pPr>
<w:r><w:t xml:space="preserve">Scott of the Mark).  From 1840 onwards he published at</w:t></w:r>
</w:p>
<w:p>
<w:pPr><w:pStyle w:val="Normal"/></w:pPr>
<w:r><w:t xml:space="preserve">short intervals a series of romances, each dealing with</w:t></w:r>
</w:p>
<w:p>
<w:pPr><w:pStyle w:val="Normal"/></w:pPr>
<w:r><w:t xml:space="preserve">some epoch in the history of Brandenburg.  Among them may</w:t></w:r>
</w:p>
<w:p>
<w:pPr><w:pStyle w:val="Normal"/></w:pPr>
<w:r><w:t xml:space="preserve">be especially noted Der Roland von Berlin (1840), Der</w:t></w:r>
</w:p>
<w:p>
<w:pPr><w:pStyle w:val="Normal"/></w:pPr>
<w:r><w:t xml:space="preserve">falsche Woldemar (1842), Die Hosen des Herrn von Bredow</w:t></w:r>
</w:p>
<w:p>
<w:pPr><w:pStyle w:val="Normal"/></w:pPr>
<w:r><w:t xml:space="preserve">(1846-1848), Ruhe ist die erste Burgerpflicht (1852),</w:t></w:r>
</w:p>
<w:p>
<w:pPr><w:pStyle w:val="Normal"/></w:pPr>
<w:r><w:t xml:space="preserve">Isegrimm (1854) and Dorothe (1856).  In all these the</w:t></w:r>
</w:p>
<w:p>
<w:pPr><w:pStyle w:val="Normal"/></w:pPr>
<w:r><w:t xml:space="preserve">author shows himself as a keen observer of men and things; the</w:t></w:r>
</w:p>
<w:p>
<w:pPr><w:pStyle w:val="Normal"/></w:pPr>
<w:r><w:t xml:space="preserve">characters, situations and natural surroundings are excellently</w:t></w:r>
</w:p>
<w:p>
<w:pPr><w:pStyle w:val="Normal"/></w:pPr>
<w:r><w:t xml:space="preserve">delineated, and the patriotic feeling which pervades them is</w:t></w:r>
</w:p>
<w:p>
<w:pPr><w:pStyle w:val="Normal"/></w:pPr>
<w:r><w:t xml:space="preserve">not overdone.  Haring also made a name for himself in the</w:t></w:r>
</w:p>
<w:p>
<w:pPr><w:pStyle w:val="Normal"/></w:pPr>
<w:r><w:t xml:space="preserve">field of criminology by commencing in 1842, in conjunction</w:t></w:r>
</w:p>
<w:p>
<w:pPr><w:pStyle w:val="Normal"/></w:pPr>
<w:r><w:t xml:space="preserve">with the publicist, Julius Eduard Hitzig (1780- 1849), the</w:t></w:r>
</w:p>
<w:p>
<w:pPr><w:pStyle w:val="Normal"/></w:pPr>
<w:r><w:t xml:space="preserve">publication of Der neue Pitaval (continued by A. Vollert, 36</w:t></w:r>
</w:p>
<w:p>
<w:pPr><w:pStyle w:val="Normal"/></w:pPr>
<w:r><w:t xml:space="preserve">vols., Leipzig, 1842-1865; new edition, 24 vols., Leipzig,</w:t></w:r>
</w:p>
<w:p>
<w:pPr><w:pStyle w:val="Normal"/></w:pPr>
<w:r><w:t xml:space="preserve">1866-1891), a, collection of criminal anecdotes culled from</w:t></w:r>
</w:p>
<w:p>
<w:pPr><w:pStyle w:val="Normal"/></w:pPr>
<w:r><w:t xml:space="preserve">all nations and all times.  This publication attained great</w:t></w:r>
</w:p>
<w:p>
<w:pPr><w:pStyle w:val="Normal"/></w:pPr>
<w:r><w:t xml:space="preserve">popularity, and is to-day of psychological interest and value.</w:t></w:r>
</w:p>
<w:p>
<w:pPr><w:pStyle w:val="Normal"/></w:pPr>
<w:r><w:t xml:space="preserve">His Gesammelte Werke were published in 20 volumes (Berlin,</w:t></w:r>
</w:p>
<w:p>
<w:pPr><w:pStyle w:val="Normal"/></w:pPr>
<w:r><w:t xml:space="preserve">1874); the Vaterlandische Romane separately in 8 volumes</w:t></w:r>
</w:p>
<w:p>
<w:pPr><w:pStyle w:val="Normal"/></w:pPr>
<w:r><w:t xml:space="preserve">(Berlin, 1881, 1884), and, since the expiry of the copyright in</w:t></w:r>
</w:p>
<w:p>
<w:pPr><w:pStyle w:val="Normal"/></w:pPr>
<w:r><w:t xml:space="preserve">1901, in many cheap reprints.  Cp. W. Alexis&apos; Erinnerungen,</w:t></w:r>
</w:p>
<w:p>
<w:pPr><w:pStyle w:val="Normal"/></w:pPr>
<w:r><w:t xml:space="preserve">edited by M. Ewert (1900), and essays by Julian Schmidt (Neue</w:t></w:r>
</w:p>
<w:p>
<w:pPr><w:pStyle w:val="Normal"/></w:pPr>
<w:r><w:t xml:space="preserve">Bilaer aus dere geistigen Leben unsrer Zeit, 1873), G. Freytag</w:t></w:r>
</w:p>
<w:p>
<w:pPr><w:pStyle w:val="Normal"/></w:pPr>
<w:r><w:t xml:space="preserve">(Werke, vols. 16 and 23), A. Stern Zur Literatur der Gegenwart,</w:t></w:r>
</w:p>
<w:p>
<w:pPr><w:pStyle w:val="Normal"/></w:pPr>
<w:r><w:t xml:space="preserve">1880) and T. Fontane (in Bayreuther Blatter, vi., 1883).</w:t></w:r>
</w:p>
<w:p>
<w:pPr><w:pStyle w:val="Normal"/></w:pPr>
<w:r><w:t xml:space="preserve">ALEXISBAD, a spa of Germany, in the duchy of Anhalt, lying</w:t></w:r>
</w:p>
<w:p>
<w:pPr><w:pStyle w:val="Normal"/></w:pPr>
<w:r><w:t xml:space="preserve">under the Harz mountains, 1000 ft. above the sea, on the railway</w:t></w:r>
</w:p>
<w:p>
<w:pPr><w:pStyle w:val="Normal"/></w:pPr>
<w:r><w:t xml:space="preserve">from Gernrode to Harzgerode.  Pop. 1000.  It is celebrated for</w:t></w:r>
</w:p>
<w:p>
<w:pPr><w:pStyle w:val="Normal"/></w:pPr>
<w:r><w:t xml:space="preserve">its medicinal waters, of which the Abexisbrunnen, a ferruginous</w:t></w:r>
</w:p>
<w:p>
<w:pPr><w:pStyle w:val="Normal"/></w:pPr>
<w:r><w:t xml:space="preserve">spring, is used for drinking, while the Selkebrunnen supplies</w:t></w:r>
</w:p>
<w:p>
<w:pPr><w:pStyle w:val="Normal"/></w:pPr>
<w:r><w:t xml:space="preserve">the baths, which are of use in feminine disorders.  The</w:t></w:r>
</w:p>
<w:p>
<w:pPr><w:pStyle w:val="Normal"/></w:pPr>
<w:r><w:t xml:space="preserve">place was founded in 1810 by Duke Alexius of Anhalt-Bernburg.</w:t></w:r>
</w:p>
<w:p>
<w:pPr><w:pStyle w:val="Normal"/></w:pPr>
<w:r><w:t xml:space="preserve">ALEXIUS I. (1048-1118), emperor of the East, was the third</w:t></w:r>
</w:p>
<w:p>
<w:pPr><w:pStyle w:val="Normal"/></w:pPr>
<w:r><w:t xml:space="preserve">son of John Comnenus, nephew of Isaac Comnenus, emperor</w:t></w:r>
</w:p>
<w:p>
<w:pPr><w:pStyle w:val="Normal"/></w:pPr>
<w:r><w:t xml:space="preserve">1057-1059.  His father declined the throne on the abdication</w:t></w:r>
</w:p>
<w:p>
<w:pPr><w:pStyle w:val="Normal"/></w:pPr>
<w:r><w:t xml:space="preserve">of Isaac, who was accordingly succeeded by four emperors</w:t></w:r>
</w:p>
<w:p>
<w:pPr><w:pStyle w:val="Normal"/></w:pPr>
<w:r><w:t xml:space="preserve">of other families between that date and 1081.  Under one</w:t></w:r>
</w:p>
<w:p>
<w:pPr><w:pStyle w:val="Normal"/></w:pPr>
<w:r><w:t xml:space="preserve">of these emperors, Romanus Diogenes (1067-1071), he served</w:t></w:r>
</w:p>
<w:p>
<w:pPr><w:pStyle w:val="Normal"/></w:pPr>
<w:r><w:t xml:space="preserve">with distinction against the Seljuk Turks.  Under Michael</w:t></w:r>
</w:p>
<w:p>
<w:pPr><w:pStyle w:val="Normal"/></w:pPr>
<w:r><w:t xml:space="preserve">Parapinaces (1071-1078) and Nicephorus Botaniates (1078-1081)</w:t></w:r>
</w:p>
<w:p>
<w:pPr><w:pStyle w:val="Normal"/></w:pPr>
<w:r><w:t xml:space="preserve">he was also employed, along with his elder brother Isaac,</w:t></w:r>
</w:p>
<w:p>
<w:pPr><w:pStyle w:val="Normal"/></w:pPr>
<w:r><w:t xml:space="preserve">against rebels in Asia Minor, Thrace and in Epirus (1071).</w:t></w:r>
</w:p>
<w:p>
<w:pPr><w:pStyle w:val="Normal"/></w:pPr>
<w:r><w:t xml:space="preserve">The success of the Comneni roused the jealousy of Botaniates</w:t></w:r>
</w:p>
<w:p>
<w:pPr><w:pStyle w:val="Normal"/></w:pPr>
<w:r><w:t xml:space="preserve">and his ministers, and the Comneni were almost compelled</w:t></w:r>
</w:p>
<w:p>
<w:pPr><w:pStyle w:val="Normal"/></w:pPr>
<w:r><w:t xml:space="preserve">to take up arms in self- defence.  Botaniates was forced to</w:t></w:r>
</w:p>
<w:p>
<w:pPr><w:pStyle w:val="Normal"/></w:pPr>
<w:r><w:t xml:space="preserve">abdicate and retire to a monastery, and Isaac declined the</w:t></w:r>
</w:p>
<w:p>
<w:pPr><w:pStyle w:val="Normal"/></w:pPr>
<w:r><w:t xml:space="preserve">crown in favour of his younger brother Alexius, who then</w:t></w:r>
</w:p>
<w:p>
<w:pPr><w:pStyle w:val="Normal"/></w:pPr>
<w:r><w:t xml:space="preserve">became emperor in the 33rd year of his age.  His long reign of</w:t></w:r>
</w:p>
<w:p>
<w:pPr><w:pStyle w:val="Normal"/></w:pPr>
<w:r><w:t xml:space="preserve">nearly 37 years was full of difficulties (see ROMAN EMPIRE,</w:t></w:r>
</w:p>
<w:p>
<w:pPr><w:pStyle w:val="Normal"/></w:pPr>
<w:r><w:t xml:space="preserve">LATER). At the very outset he had to meet the formidable</w:t></w:r>
</w:p>
<w:p>
<w:pPr><w:pStyle w:val="Normal"/></w:pPr>
<w:r><w:t xml:space="preserve">attack of the Normans (Robert Guiscard and his son Bohemund),</w:t></w:r>
</w:p>
<w:p>
<w:pPr><w:pStyle w:val="Normal"/></w:pPr>
<w:r><w:t xml:space="preserve">who took Dyrrhachium and Corfu, and laid siege to Larissa in</w:t></w:r>
</w:p>
<w:p>
<w:pPr><w:pStyle w:val="Normal"/></w:pPr>
<w:r><w:t xml:space="preserve">Thessaly.  The Norman danger ended for the time with Robert</w:t></w:r>
</w:p>
<w:p>
<w:pPr><w:pStyle w:val="Normal"/></w:pPr>
<w:r><w:t xml:space="preserve">Guiscard&apos;s death (1085) and the conquests were recovered.</w:t></w:r>
</w:p>
<w:p>
<w:pPr><w:pStyle w:val="Normal"/></w:pPr>
<w:r><w:t xml:space="preserve">He had next to repel the invasions of Patzinaks (Petchenegs)</w:t></w:r>
</w:p>
<w:p>
<w:pPr><w:pStyle w:val="Normal"/></w:pPr>
<w:r><w:t xml:space="preserve">and Kumans in Thrace, with whom the Manichaean sects of the</w:t></w:r>
</w:p>
<w:p>
<w:pPr><w:pStyle w:val="Normal"/></w:pPr>
<w:r><w:t xml:space="preserve">Paulicians and Bogomilians made Common cause; and thirdly, he</w:t></w:r>
</w:p>
<w:p>
<w:pPr><w:pStyle w:val="Normal"/></w:pPr>
<w:r><w:t xml:space="preserve">had to cope with the fast-growing power of the Turks in Asia</w:t></w:r>
</w:p>
<w:p>
<w:pPr><w:pStyle w:val="Normal"/></w:pPr>
<w:r><w:t xml:space="preserve">Minor.  Above all he had to meet the difficulties caused by</w:t></w:r>
</w:p>
<w:p>
<w:pPr><w:pStyle w:val="Normal"/></w:pPr>
<w:r><w:t xml:space="preserve">the arrival of the warriors of the First Crusade, which had</w:t></w:r>
</w:p>
<w:p>
<w:pPr><w:pStyle w:val="Normal"/></w:pPr>
<w:r><w:t xml:space="preserve">been in a great degree initiated owing to the representations</w:t></w:r>
</w:p>
<w:p>
<w:pPr><w:pStyle w:val="Normal"/></w:pPr>
<w:r><w:t xml:space="preserve">of his own ambassadors, though the help which he wanted from</w:t></w:r>
</w:p>
<w:p>
<w:pPr><w:pStyle w:val="Normal"/></w:pPr>
<w:r><w:t xml:space="preserve">the West was simply mercenary forces and not the immense hosts</w:t></w:r>
</w:p>
<w:p>
<w:pPr><w:pStyle w:val="Normal"/></w:pPr>
<w:r><w:t xml:space="preserve">which arrived to his consternation and embarrassment.  The</w:t></w:r>
</w:p>
<w:p>
<w:pPr><w:pStyle w:val="Normal"/></w:pPr>
<w:r><w:t xml:space="preserve">first part, under Peter the Hermit, he got rid of by sending</w:t></w:r>
</w:p>
<w:p>
<w:pPr><w:pStyle w:val="Normal"/></w:pPr>
<w:r><w:t xml:space="preserve">them on to Asia Minor, where they were massacred by the Turks</w:t></w:r>
</w:p>
<w:p>
<w:pPr><w:pStyle w:val="Normal"/></w:pPr>
<w:r><w:t xml:space="preserve">(1096).  The second and much more serious host of warriors,</w:t></w:r>
</w:p>
<w:p>
<w:pPr><w:pStyle w:val="Normal"/></w:pPr>
<w:r><w:t xml:space="preserve">led by Godfrey of Bouillon, he conducted also into Asia,</w:t></w:r>
</w:p>
<w:p>
<w:pPr><w:pStyle w:val="Normal"/></w:pPr>
<w:r><w:t xml:space="preserve">promising to supply them with provisions in return for an oath</w:t></w:r>
</w:p>
<w:p>
<w:pPr><w:pStyle w:val="Normal"/></w:pPr>
<w:r><w:t xml:space="preserve">of homage, and by their victories recovered for the Empire</w:t></w:r>
</w:p>
<w:p>
<w:pPr><w:pStyle w:val="Normal"/></w:pPr>
<w:r><w:t xml:space="preserve">a number of important cities and islands--Nicaea, Chics,</w:t></w:r>
</w:p>
<w:p>
<w:pPr><w:pStyle w:val="Normal"/></w:pPr>
<w:r><w:t xml:space="preserve">Rhodes, Smyrna, Ephesus, Philadelphia, Sardis, and in fact</w:t></w:r>
</w:p>
<w:p>
<w:pPr><w:pStyle w:val="Normal"/></w:pPr>
<w:r><w:t xml:space="preserve">most of Asia Minor (1097-1099).  This is ascribed as a credit</w:t></w:r>
</w:p>
<w:p>
<w:pPr><w:pStyle w:val="Normal"/></w:pPr>
<w:r><w:t xml:space="preserve">to his policy and diplomacy by his daughter, by the Latin</w:t></w:r>
</w:p>
<w:p>
<w:pPr><w:pStyle w:val="Normal"/></w:pPr>
<w:r><w:t xml:space="preserve">historians of the crusade to his treachery and falseness, but</w:t></w:r>
</w:p>
<w:p>
<w:pPr><w:pStyle w:val="Normal"/></w:pPr>
<w:r><w:t xml:space="preserve">during the last twenty years of his life he lost much of his</w:t></w:r>
</w:p>
<w:p>
<w:pPr><w:pStyle w:val="Normal"/></w:pPr>
<w:r><w:t xml:space="preserve">popularity.  They were marked by persecution of the followers</w:t></w:r>
</w:p>
<w:p>
<w:pPr><w:pStyle w:val="Normal"/></w:pPr>
<w:r><w:t xml:space="preserve">of the Paulician and Bogomilian heresies (one of his last</w:t></w:r>
</w:p>
<w:p>
<w:pPr><w:pStyle w:val="Normal"/></w:pPr>
<w:r><w:t xml:space="preserve">acts was to burn Basilius, a Bogomilian leader, with whom</w:t></w:r>
</w:p>
<w:p>
<w:pPr><w:pStyle w:val="Normal"/></w:pPr>
<w:r><w:t xml:space="preserve">he had engaged in a theological controversy), by renewed</w:t></w:r>
</w:p>
<w:p>
<w:pPr><w:pStyle w:val="Normal"/></w:pPr>
<w:r><w:t xml:space="preserve">struggles with the Turks (1110-1117), by anxieties as to the</w:t></w:r>
</w:p>
<w:p>
<w:pPr><w:pStyle w:val="Normal"/></w:pPr>
<w:r><w:t xml:space="preserve">succession, which his wife Irene wished to alter in favour of</w:t></w:r>
</w:p>
<w:p>
<w:pPr><w:pStyle w:val="Normal"/></w:pPr>
<w:r><w:t xml:space="preserve">her daughter Anne&apos;s husband, Nicephorus Bryennius for whose</w:t></w:r>
</w:p>
<w:p>
<w:pPr><w:pStyle w:val="Normal"/></w:pPr>
<w:r><w:t xml:space="preserve">benefit the special title panhypersebastos (i.e. as it were</w:t></w:r>
</w:p>
<w:p>
<w:pPr><w:pStyle w:val="Normal"/></w:pPr>
<w:r><w:t xml:space="preserve">dugustissimus si quis ahus) was created.  This intrigue</w:t></w:r>
</w:p>
<w:p>
<w:pPr><w:pStyle w:val="Normal"/></w:pPr>
<w:r><w:t xml:space="preserve">disturbed even his dying hours.  He deserves the credit of</w:t></w:r>
</w:p>
<w:p>
<w:pPr><w:pStyle w:val="Normal"/></w:pPr>
<w:r><w:t xml:space="preserve">having raised the Empire from a condition of anarchy and</w:t></w:r>
</w:p>
<w:p>
<w:pPr><w:pStyle w:val="Normal"/></w:pPr>
<w:r><w:t xml:space="preserve">decay at a time when it was threatened on all sides by new</w:t></w:r>
</w:p>
<w:p>
<w:pPr><w:pStyle w:val="Normal"/></w:pPr>
<w:r><w:t xml:space="preserve">dangers.  No emperor devoted himself more laboriously</w:t></w:r>
</w:p>
<w:p>
<w:pPr><w:pStyle w:val="Normal"/></w:pPr>
<w:r><w:t xml:space="preserve">or with a greater sense of duty to the task of ruling.</w:t></w:r>
</w:p>
<w:p>
<w:pPr><w:pStyle w:val="Normal"/></w:pPr>
<w:r><w:t xml:space="preserve">AUTHORITIES.--Zonaras xviii. 27-29; Anna Comnena&apos;s Life;</w:t></w:r>
</w:p>
<w:p>
<w:pPr><w:pStyle w:val="Normal"/></w:pPr>
<w:r><w:t xml:space="preserve">see also Du Cange, Familiae Byzantinae; Friedrich Wilken,</w:t></w:r>
</w:p>
<w:p>
<w:pPr><w:pStyle w:val="Normal"/></w:pPr>
<w:r><w:t xml:space="preserve">Rerum ab Alexio I., Joanne, Manuele et Alexio II. Comnenis</w:t></w:r>
</w:p>
<w:p>
<w:pPr><w:pStyle w:val="Normal"/></w:pPr>
<w:r><w:t xml:space="preserve">Romanorum, Byzantinorum imperatoribus gestarum, tibri iv.</w:t></w:r>
</w:p>
<w:p>
<w:pPr><w:pStyle w:val="Normal"/></w:pPr>
<w:r><w:t xml:space="preserve">Commentatio (Heidelberg, 1811); Finlay, History of Greece</w:t></w:r>
</w:p>
<w:p>
<w:pPr><w:pStyle w:val="Normal"/></w:pPr>
<w:r><w:t xml:space="preserve">(vol. iii., Oxford, 1877); Gibbon, Decline and Fall of the Roman</w:t></w:r>
</w:p>
<w:p>
<w:pPr><w:pStyle w:val="Normal"/></w:pPr>
<w:r><w:t xml:space="preserve">Empire, edited with notes, &amp;c., by Prof.  J. B. Bury (London,</w:t></w:r>
</w:p>
<w:p>
<w:pPr><w:pStyle w:val="Normal"/></w:pPr>
<w:r><w:t xml:space="preserve">1898), where further authorities are cited; F. Chalandon, Essai</w:t></w:r>
</w:p>
<w:p>
<w:pPr><w:pStyle w:val="Normal"/></w:pPr>
<w:r><w:t xml:space="preserve">sur le regne d&apos;Alexis Ier, Comnene (1900). (J. B. B.)</w:t></w:r>
</w:p>
<w:p>
<w:pPr><w:pStyle w:val="Normal"/></w:pPr>
<w:r><w:t xml:space="preserve">ALEXIUS II. (COMNENUS) (1167-1183), emperor of the</w:t></w:r>
</w:p>
<w:p>
<w:pPr><w:pStyle w:val="Normal"/></w:pPr>
<w:r><w:t xml:space="preserve">East, was the son of Manuel Comnenus and Maria, daughter of</w:t></w:r>
</w:p>
<w:p>
<w:pPr><w:pStyle w:val="Normal"/></w:pPr>
<w:r><w:t xml:space="preserve">Kaymund, prince of Antioch, and was born at Constantinople</w:t></w:r>
</w:p>
<w:p>
<w:pPr><w:pStyle w:val="Normal"/></w:pPr>
<w:r><w:t xml:space="preserve">on the 10th of September 1167.  On Manuel&apos;s death, Maria,</w:t></w:r>
</w:p>
<w:p>
<w:pPr><w:pStyle w:val="Normal"/></w:pPr>
<w:r><w:t xml:space="preserve">who hid been immured in a convent under the name of Xene,</w:t></w:r>
</w:p>
<w:p>
<w:pPr><w:pStyle w:val="Normal"/></w:pPr>
<w:r><w:t xml:space="preserve">had herself proclaimed regent (1179-1180), and handing over</w:t></w:r>
</w:p>
<w:p>
<w:pPr><w:pStyle w:val="Normal"/></w:pPr>
<w:r><w:t xml:space="preserve">her son to evil counsellors, who encouraged him in every</w:t></w:r>
</w:p>
<w:p>
<w:pPr><w:pStyle w:val="Normal"/></w:pPr>
<w:r><w:t xml:space="preserve">vice, supported the government of Alexius the protosebastos</w:t></w:r>
</w:p>
<w:p>
<w:pPr><w:pStyle w:val="Normal"/></w:pPr>
<w:r><w:t xml:space="preserve">(nephew of Manuel), who was supposed to be her lover.  The</w:t></w:r>
</w:p>
<w:p>
<w:pPr><w:pStyle w:val="Normal"/></w:pPr>
<w:r><w:t xml:space="preserve">young Alexius and his friends now tried to form a party</w:t></w:r>
</w:p>
<w:p>
<w:pPr><w:pStyle w:val="Normal"/></w:pPr>
<w:r><w:t xml:space="preserve">against the empress mother and the protosebastos; and his</w:t></w:r>
</w:p>
<w:p>
<w:pPr><w:pStyle w:val="Normal"/></w:pPr>
<w:r><w:t xml:space="preserve">sister Maria, wife of Caesar John, stirred up riots in</w:t></w:r>
</w:p>
<w:p>
<w:pPr><w:pStyle w:val="Normal"/></w:pPr>
<w:r><w:t xml:space="preserve">the streets of the capital.  Their party was defeated (May</w:t></w:r>
</w:p>
<w:p>
<w:pPr><w:pStyle w:val="Normal"/></w:pPr>
<w:r><w:t xml:space="preserve">2, 1182), but Andronicus Comnenus took advantage of these</w:t></w:r>
</w:p>
<w:p>
<w:pPr><w:pStyle w:val="Normal"/></w:pPr>
<w:r><w:t xml:space="preserve">disorders to aim at the crown, entered Constantinople, where</w:t></w:r>
</w:p>
<w:p>
<w:pPr><w:pStyle w:val="Normal"/></w:pPr>
<w:r><w:t xml:space="preserve">he was received with almost divine honours, and overthrew the</w:t></w:r>
</w:p>
<w:p>
<w:pPr><w:pStyle w:val="Normal"/></w:pPr>
<w:r><w:t xml:space="preserve">regents.  His arrival was celebrated by a barbarous massacre</w:t></w:r>
</w:p>
<w:p>
<w:pPr><w:pStyle w:val="Normal"/></w:pPr>
<w:r><w:t xml:space="preserve">of the Latins in Constantinople, which he made no attempt to</w:t></w:r>
</w:p>
<w:p>
<w:pPr><w:pStyle w:val="Normal"/></w:pPr>
<w:r><w:t xml:space="preserve">stop.  He allowed Alexius to be crowned, but forced him to</w:t></w:r>
</w:p>
<w:p>
<w:pPr><w:pStyle w:val="Normal"/></w:pPr>
<w:r><w:t xml:space="preserve">consent to the death of all his friends, including his mother,</w:t></w:r>
</w:p>
<w:p>
<w:pPr><w:pStyle w:val="Normal"/></w:pPr>
<w:r><w:t xml:space="preserve">his sister and the Caesar, and refused to allow him the smallest</w:t></w:r>
</w:p>
<w:p>
<w:pPr><w:pStyle w:val="Normal"/></w:pPr>
<w:r><w:t xml:space="preserve">voice in public affairs.  The betrothal in 1180 of Alexius</w:t></w:r>
</w:p>
<w:p>
<w:pPr><w:pStyle w:val="Normal"/></w:pPr>
<w:r><w:t xml:space="preserve">with Agnes, daughter of Louis VII. of France, a child of</w:t></w:r>
</w:p>
<w:p>
<w:pPr><w:pStyle w:val="Normal"/></w:pPr>
<w:r><w:t xml:space="preserve">nine, was quashed, and he was married to Irene, daughter of</w:t></w:r>
</w:p>
<w:p>
<w:pPr><w:pStyle w:val="Normal"/></w:pPr>
<w:r><w:t xml:space="preserve">Andronicus.  The latter was now formally proclaimed as</w:t></w:r>
</w:p>
<w:p>
<w:pPr><w:pStyle w:val="Normal"/></w:pPr>
<w:r><w:t xml:space="preserve">co-emperor, and not long afterwards, on the pretext that</w:t></w:r>
</w:p>
<w:p>
<w:pPr><w:pStyle w:val="Normal"/></w:pPr>
<w:r><w:t xml:space="preserve">divided rule was injurious to the Empire, he caused Alexius</w:t></w:r>
</w:p>
<w:p>
<w:pPr><w:pStyle w:val="Normal"/></w:pPr>
<w:r><w:t xml:space="preserve">to be strangled with a bow-string (October 1183). (J. B. B.)</w:t></w:r>
</w:p>
<w:p>
<w:pPr><w:pStyle w:val="Normal"/></w:pPr>
<w:r><w:t xml:space="preserve">ALEXIUS III. (ANGELUS), emperor of the East, was the</w:t></w:r>
</w:p>
<w:p>
<w:pPr><w:pStyle w:val="Normal"/></w:pPr>
<w:r><w:t xml:space="preserve">second son of Andronicus Angelus, nephew of Alexius I. In</w:t></w:r>
</w:p>
<w:p>
<w:pPr><w:pStyle w:val="Normal"/></w:pPr>
<w:r><w:t xml:space="preserve">1195, while his brother Isaac II. was away hunting in</w:t></w:r>
</w:p>
<w:p>
<w:pPr><w:pStyle w:val="Normal"/></w:pPr>
<w:r><w:t xml:space="preserve">Thrace, he was proclaimed emperor by the troops; he captured</w:t></w:r>
</w:p>
<w:p>
<w:pPr><w:pStyle w:val="Normal"/></w:pPr>
<w:r><w:t xml:space="preserve">Isaac at Stagira in Macedonia, put out his eyes, and</w:t></w:r>
</w:p>
<w:p>
<w:pPr><w:pStyle w:val="Normal"/></w:pPr>
<w:r><w:t xml:space="preserve">kept him henceforth a close prisoner, though he had been</w:t></w:r>
</w:p>
<w:p>
<w:pPr><w:pStyle w:val="Normal"/></w:pPr>
<w:r><w:t xml:space="preserve">redeemed by him from captivity at Antioch and loaded with</w:t></w:r>
</w:p>
<w:p>
<w:pPr><w:pStyle w:val="Normal"/></w:pPr>
<w:r><w:t xml:space="preserve">honours.  To compensate for this crime and to confirm his</w:t></w:r>
</w:p>
<w:p>
<w:pPr><w:pStyle w:val="Normal"/></w:pPr>
<w:r><w:t xml:space="preserve">position as emperor, he had to scatter money so lavishly</w:t></w:r>
</w:p>
<w:p>
<w:pPr><w:pStyle w:val="Normal"/></w:pPr>
<w:r><w:t xml:space="preserve">as to empty his treasury, and to allow such licence to the</w:t></w:r>
</w:p>
<w:p>
<w:pPr><w:pStyle w:val="Normal"/></w:pPr>
<w:r><w:t xml:space="preserve">officers of the army as to leave the Empire practically</w:t></w:r>
</w:p>
<w:p>
<w:pPr><w:pStyle w:val="Normal"/></w:pPr>
<w:r><w:t xml:space="preserve">defenceless.  He consummated the financial ruin of the</w:t></w:r>
</w:p>
<w:p>
<w:pPr><w:pStyle w:val="Normal"/></w:pPr>
<w:r><w:t xml:space="preserve">state.  The empress Euphrosyne tried in vain to sustain his</w:t></w:r>
</w:p>
<w:p>
<w:pPr><w:pStyle w:val="Normal"/></w:pPr>
<w:r><w:t xml:space="preserve">credit and his court; Vatatzes, the favourite instrument of</w:t></w:r>
</w:p>
<w:p>
<w:pPr><w:pStyle w:val="Normal"/></w:pPr>
<w:r><w:t xml:space="preserve">her attempts at reform, was assassinated by the emperor&apos;s</w:t></w:r>
</w:p>
<w:p>
<w:pPr><w:pStyle w:val="Normal"/></w:pPr>
<w:r><w:t xml:space="preserve">orders.  Eastward the Empire was overrun by the Turks;</w:t></w:r>
</w:p>
<w:p>
<w:pPr><w:pStyle w:val="Normal"/></w:pPr>
<w:r><w:t xml:space="preserve">from the north Bulgarians and Vlachs descended unchecked</w:t></w:r>
</w:p>
<w:p>
<w:pPr><w:pStyle w:val="Normal"/></w:pPr>
<w:r><w:t xml:space="preserve">to ravage the plains of Macedonia and Thrace; while Alexius</w:t></w:r>
</w:p>
<w:p>
<w:pPr><w:pStyle w:val="Normal"/></w:pPr>
<w:r><w:t xml:space="preserve">squandered the public treasure on his palaces and gardens.</w:t></w:r>
</w:p>
<w:p>
<w:pPr><w:pStyle w:val="Normal"/></w:pPr>
<w:r><w:t xml:space="preserve">Soon he was threatened by a new and yet more formidable</w:t></w:r>
</w:p>
<w:p>
<w:pPr><w:pStyle w:val="Normal"/></w:pPr>
<w:r><w:t xml:space="preserve">danger.  In 1202 the Western princes assembled at Venice,</w:t></w:r>
</w:p>
<w:p>
<w:pPr><w:pStyle w:val="Normal"/></w:pPr>
<w:r><w:t xml:space="preserve">bent on a new crusade.  To them Alexius, son of the deposed</w:t></w:r>
</w:p>
<w:p>
<w:pPr><w:pStyle w:val="Normal"/></w:pPr>
<w:r><w:t xml:space="preserve">Isaac, made appeal, promising as a crowning bribe to heal the</w:t></w:r>
</w:p>
<w:p>
<w:pPr><w:pStyle w:val="Normal"/></w:pPr>
<w:r><w:t xml:space="preserve">schism of East and West if they would help him to depose his</w:t></w:r>
</w:p>
<w:p>
<w:pPr><w:pStyle w:val="Normal"/></w:pPr>
<w:r><w:t xml:space="preserve">uncle.  The crusaders, whose objective had been Egypt, were</w:t></w:r>
</w:p>
<w:p>
<w:pPr><w:pStyle w:val="Normal"/></w:pPr>
<w:r><w:t xml:space="preserve">persuaded to set their course for Constantinople, before which</w:t></w:r>
</w:p>
<w:p>
<w:pPr><w:pStyle w:val="Normal"/></w:pPr>
<w:r><w:t xml:space="preserve">they appeared in June 1203, proclaiming the emperor Alexius</w:t></w:r>
</w:p>
<w:p>
<w:pPr><w:pStyle w:val="Heading1"/></w:pPr>
<w:r><w:t>IV. and summoning the capital to depose his uncle.  Alexius</w:t></w:r>
</w:p>
<w:p>
<w:pPr><w:pStyle w:val="Normal"/></w:pPr>
<w:r><w:t xml:space="preserve">III., sunk in debauchery, took no efficient measures to</w:t></w:r>
</w:p>
<w:p>
<w:pPr><w:pStyle w:val="Normal"/></w:pPr>
<w:r><w:t xml:space="preserve">resist.  His son-in-law, Lascaris, who was the only one</w:t></w:r>
</w:p>
<w:p>
<w:pPr><w:pStyle w:val="Normal"/></w:pPr>
<w:r><w:t xml:space="preserve">to do anything, was defeated at Scutari, and the siege of</w:t></w:r>
</w:p>
<w:p>
<w:pPr><w:pStyle w:val="Normal"/></w:pPr>
<w:r><w:t xml:space="preserve">Constantinople began.  On the 17th of July the crusaders,</w:t></w:r>
</w:p>
<w:p>
<w:pPr><w:pStyle w:val="Normal"/></w:pPr>
<w:r><w:t xml:space="preserve">the aged doge Dandolo at their head, scaled the walls and</w:t></w:r>
</w:p>
<w:p>
<w:pPr><w:pStyle w:val="Normal"/></w:pPr>
<w:r><w:t xml:space="preserve">took the city by storm.  During the fighting and carnage</w:t></w:r>
</w:p>
<w:p>
<w:pPr><w:pStyle w:val="Normal"/></w:pPr>
<w:r><w:t xml:space="preserve">that followed Alexius hid in the palace, and finally, with</w:t></w:r>
</w:p>
<w:p>
<w:pPr><w:pStyle w:val="Normal"/></w:pPr>
<w:r><w:t xml:space="preserve">one of his daughters, Irene, and such treasures as he could</w:t></w:r>
</w:p>
<w:p>
<w:pPr><w:pStyle w:val="Normal"/></w:pPr>
<w:r><w:t xml:space="preserve">collect, got into a boat and escaped to Develton in Thrace,</w:t></w:r>
</w:p>
<w:p>
<w:pPr><w:pStyle w:val="Normal"/></w:pPr>
<w:r><w:t xml:space="preserve">leaving his wife, his other daughters and his Empire to the</w:t></w:r>
</w:p>
<w:p>
<w:pPr><w:pStyle w:val="Normal"/></w:pPr>
<w:r><w:t xml:space="preserve">victors.  Isaac, drawn from his prison and robed once</w:t></w:r>
</w:p>
<w:p>
<w:pPr><w:pStyle w:val="Normal"/></w:pPr>
<w:r><w:t xml:space="preserve">more in the imperial purple, received hs son in state.</w:t></w:r>
</w:p>
<w:p>
<w:pPr><w:pStyle w:val="Normal"/></w:pPr>
<w:r><w:t xml:space="preserve">Shortly afterwards Alexius made an effort in conjunction</w:t></w:r>
</w:p>
<w:p>
<w:pPr><w:pStyle w:val="Normal"/></w:pPr>
<w:r><w:t xml:space="preserve">with Murtzuphlos (Alexius V.) to recover the throne.  The</w:t></w:r>
</w:p>
<w:p>
<w:pPr><w:pStyle w:val="Normal"/></w:pPr>
<w:r><w:t xml:space="preserve">attempt was unsuccessful and, after wandering about Greece,</w:t></w:r>
</w:p>
<w:p>
<w:pPr><w:pStyle w:val="Normal"/></w:pPr>
<w:r><w:t xml:space="preserve">he surrendered with Euphrosyne, who had meanwhile joined</w:t></w:r>
</w:p>
<w:p>
<w:pPr><w:pStyle w:val="Normal"/></w:pPr>
<w:r><w:t xml:space="preserve">him, to Boniface of Montferrat, then master of a great part</w:t></w:r>
</w:p>
<w:p>
<w:pPr><w:pStyle w:val="Normal"/></w:pPr>
<w:r><w:t xml:space="preserve">of the Balkan peninsula.  Leaving his protection he sought</w:t></w:r>
</w:p>
<w:p>
<w:pPr><w:pStyle w:val="Normal"/></w:pPr>
<w:r><w:t xml:space="preserve">shelter with Michael, despot of Epirus, and then repaired</w:t></w:r>
</w:p>
<w:p>
<w:pPr><w:pStyle w:val="Normal"/></w:pPr>
<w:r><w:t xml:space="preserve">to Asia Minor,where his son-in-law Lascaris was holding his</w:t></w:r>
</w:p>
<w:p>
<w:pPr><w:pStyle w:val="Normal"/></w:pPr>
<w:r><w:t xml:space="preserve">own against the Latins.  Alexius, joined by the sultan of</w:t></w:r>
</w:p>
<w:p>
<w:pPr><w:pStyle w:val="Normal"/></w:pPr>
<w:r><w:t xml:space="preserve">Iconium (Konieh), now demanded the crown of Lascaris, and</w:t></w:r>
</w:p>
<w:p>
<w:pPr><w:pStyle w:val="Normal"/></w:pPr>
<w:r><w:t xml:space="preserve">on his refusal marched against him.  Lascaris, however,</w:t></w:r>
</w:p>
<w:p>
<w:pPr><w:pStyle w:val="Normal"/></w:pPr>
<w:r><w:t xml:space="preserve">defeated and took him prisoner.  Alexius was relegated to</w:t></w:r>
</w:p>
<w:p>
<w:pPr><w:pStyle w:val="Normal"/></w:pPr>
<w:r><w:t xml:space="preserve">a monastery at Nicaea, where he died on some date unknown.</w:t></w:r>
</w:p>
<w:p>
<w:pPr><w:pStyle w:val="Normal"/></w:pPr>
<w:r><w:t xml:space="preserve">AUTHORITIES.--Nicetas Acominatus, George Acropolites, Nicephorus Gregoras;</w:t></w:r>
</w:p>
<w:p>
<w:pPr><w:pStyle w:val="Normal"/></w:pPr>
<w:r><w:t xml:space="preserve">and the sources for the Fourth Crusade (see CRUSADES). (J. B. B.)</w:t></w:r>
</w:p>
<w:p>
<w:pPr><w:pStyle w:val="Normal"/></w:pPr>
<w:r><w:t xml:space="preserve">ALEXIUS V., eastern Roman emperor, was proclaimed emperor on</w:t></w:r>
</w:p>
<w:p>
<w:pPr><w:pStyle w:val="Normal"/></w:pPr>
<w:r><w:t xml:space="preserve">the 5th of February 1204, during the siege of Constantinople</w:t></w:r>
</w:p>
<w:p>
<w:pPr><w:pStyle w:val="Normal"/></w:pPr>
<w:r><w:t xml:space="preserve">by the Latins (Fourth Crusade).  His name was Alexius Ducas</w:t></w:r>
</w:p>
<w:p>
<w:pPr><w:pStyle w:val="Normal"/></w:pPr>
<w:r><w:t xml:space="preserve">Murtzuphlos, and he was a connexion of the imperial house</w:t></w:r>
</w:p>
<w:p>
<w:pPr><w:pStyle w:val="Normal"/></w:pPr>
<w:r><w:t xml:space="preserve">of the Angell.  His elevation was the result of a revolution</w:t></w:r>
</w:p>
<w:p>
<w:pPr><w:pStyle w:val="Normal"/></w:pPr>
<w:r><w:t xml:space="preserve">in the city against Isaac II. and Alexius IV. He conducted</w:t></w:r>
</w:p>
<w:p>
<w:pPr><w:pStyle w:val="Normal"/></w:pPr>
<w:r><w:t xml:space="preserve">the defence with great bravery till it became hopeless</w:t></w:r>
</w:p>
<w:p>
<w:pPr><w:pStyle w:val="Normal"/></w:pPr>
<w:r><w:t xml:space="preserve">(April 12), whereupon he fled.  He would then have made</w:t></w:r>
</w:p>
<w:p>
<w:pPr><w:pStyle w:val="Normal"/></w:pPr>
<w:r><w:t xml:space="preserve">common cause with Alexius III. against the Latins, but was</w:t></w:r>
</w:p>
<w:p>
<w:pPr><w:pStyle w:val="Normal"/></w:pPr>
<w:r><w:t xml:space="preserve">blinded by that ex-monarch and fell into the hands of the</w:t></w:r>
</w:p>
<w:p>
<w:pPr><w:pStyle w:val="Normal"/></w:pPr>
<w:r><w:t xml:space="preserve">crusaders, who put him to death by casting him from the top</w:t></w:r>
</w:p>
<w:p>
<w:pPr><w:pStyle w:val="Normal"/></w:pPr>
<w:r><w:t xml:space="preserve">of the Pillar of Theodosius as the murderer of Alexius IV.</w:t></w:r>
</w:p>
<w:p>
<w:pPr><w:pStyle w:val="Normal"/></w:pPr>
<w:r><w:t xml:space="preserve">ALEXIUS MIKHAILOVICH (1624-1676), tsar of Muscovy, the son</w:t></w:r>
</w:p>
<w:p>
<w:pPr><w:pStyle w:val="Normal"/></w:pPr>
<w:r><w:t xml:space="preserve">of Tsar Michael Romanov and Eudoxia Stryeshnevaya, was born</w:t></w:r>
</w:p>
<w:p>
<w:pPr><w:pStyle w:val="Normal"/></w:pPr>
<w:r><w:t xml:space="preserve">on the 9th of March 1629.  A youth at his father&apos;s death</w:t></w:r>
</w:p>
<w:p>
<w:pPr><w:pStyle w:val="Normal"/></w:pPr>
<w:r><w:t xml:space="preserve">(1645), he was committed to the care of the boyarin Boris</w:t></w:r>
</w:p>
<w:p>
<w:pPr><w:pStyle w:val="Normal"/></w:pPr>
<w:r><w:t xml:space="preserve">Ivanovich Morozov, a shrewd and sensible guardian, sufficiently</w:t></w:r>
</w:p>
<w:p>
<w:pPr><w:pStyle w:val="Normal"/></w:pPr>
<w:r><w:t xml:space="preserve">enlightened to recognize the needs of his country, and by no</w:t></w:r>
</w:p>
<w:p>
<w:pPr><w:pStyle w:val="Normal"/></w:pPr>
<w:r><w:t xml:space="preserve">means inaccessible to Western ideas.  Morozov&apos;s foreign policy was</w:t></w:r>
</w:p>
<w:p>
<w:pPr><w:pStyle w:val="Normal"/></w:pPr>
<w:r><w:t xml:space="preserve">pacificatory.  He secured the truce with Poland and carefully</w:t></w:r>
</w:p>
<w:p>
<w:pPr><w:pStyle w:val="Normal"/></w:pPr>
<w:r><w:t xml:space="preserve">avoided complications with the Porte.  His domestic policy was</w:t></w:r>
</w:p>
<w:p>
<w:pPr><w:pStyle w:val="Normal"/></w:pPr>
<w:r><w:t xml:space="preserve">severely equitable, and aimed at relieving the public burdens</w:t></w:r>
</w:p>
<w:p>
<w:pPr><w:pStyle w:val="Normal"/></w:pPr>
<w:r><w:t xml:space="preserve">by limiting the privileges of foreign traders and abolishing</w:t></w:r>
</w:p>
<w:p>
<w:pPr><w:pStyle w:val="Normal"/></w:pPr>
<w:r><w:t xml:space="preserve">a great many useless and expensive court offices.  On the 17th</w:t></w:r>
</w:p>
<w:p>
<w:pPr><w:pStyle w:val="Normal"/></w:pPr>
<w:r><w:t xml:space="preserve">of January 1648 he procured the marriage of the tsar with Maria</w:t></w:r>
</w:p>
<w:p>
<w:pPr><w:pStyle w:val="Normal"/></w:pPr>
<w:r><w:t xml:space="preserve">Miloslavshaya, himself marrying her sister, Anna, ten days</w:t></w:r>
</w:p>
<w:p>
<w:pPr><w:pStyle w:val="Normal"/></w:pPr>
<w:r><w:t xml:space="preserve">later.  The Miloslavskis were typical self-seeking 17th century</w:t></w:r>
</w:p>
<w:p>
<w:pPr><w:pStyle w:val="Normal"/></w:pPr>
<w:r><w:t xml:space="preserve">boyars, whose extortions made them generally detested.  In</w:t></w:r>
</w:p>
<w:p>
<w:pPr><w:pStyle w:val="Normal"/></w:pPr>
<w:r><w:t xml:space="preserve">May 1648 the people of Moscow rose against them, and the</w:t></w:r>
</w:p>
<w:p>
<w:pPr><w:pStyle w:val="Normal"/></w:pPr>
<w:r><w:t xml:space="preserve">young tsar was compelled to dismiss both them and their patron</w:t></w:r>
</w:p>
<w:p>
<w:pPr><w:pStyle w:val="Normal"/></w:pPr>
<w:r><w:t xml:space="preserve">Morozov.  The successful issue of the Moscow riots was the</w:t></w:r>
</w:p>
<w:p>
<w:pPr><w:pStyle w:val="Normal"/></w:pPr>
<w:r><w:t xml:space="preserve">occasion of disquieting disturbances all over the tsardom</w:t></w:r>
</w:p>
<w:p>
<w:pPr><w:pStyle w:val="Normal"/></w:pPr>
<w:r><w:t xml:space="preserve">culminating in dangerous rebellions at Pskov and Great Novgorod,</w:t></w:r>
</w:p>
<w:p>
<w:pPr><w:pStyle w:val="Normal"/></w:pPr>
<w:r><w:t xml:space="preserve">with which the government was so unable to cope that they</w:t></w:r>
</w:p>
<w:p>
<w:pPr><w:pStyle w:val="Normal"/></w:pPr>
<w:r><w:t xml:space="preserve">surrendered, practically granting the malcontents their own</w:t></w:r>
</w:p>
<w:p>
<w:pPr><w:pStyle w:val="Normal"/></w:pPr>
<w:r><w:t xml:space="preserve">terms.  One man only had displayed equal tact and courage at Great</w:t></w:r>
</w:p>
<w:p>
<w:pPr><w:pStyle w:val="Normal"/></w:pPr>
<w:r><w:t xml:space="preserve">Novgorod, the metropolitan Nikon (q.v.), who in consequence</w:t></w:r>
</w:p>
<w:p>
<w:pPr><w:pStyle w:val="Normal"/></w:pPr>
<w:r><w:t xml:space="preserve">became in 1651 the tsar&apos;s chief minister.  In 1653 the weakness</w:t></w:r>
</w:p>
<w:p>
<w:pPr><w:pStyle w:val="Normal"/></w:pPr>
<w:r><w:t xml:space="preserve">and disorder of Poland, which had just emerged, bleeding at</w:t></w:r>
</w:p>
<w:p>
<w:pPr><w:pStyle w:val="Normal"/></w:pPr>
<w:r><w:t xml:space="preserve">every pore, from the savage Cossack war, encouraged Alexius</w:t></w:r>
</w:p>
<w:p>
<w:pPr><w:pStyle w:val="Normal"/></w:pPr>
<w:r><w:t xml:space="preserve">to attempt to recover from her secular rival the old Russian</w:t></w:r>
</w:p>
<w:p>
<w:pPr><w:pStyle w:val="Normal"/></w:pPr>
<w:r><w:t xml:space="preserve">lands.  On the 1st of October 1653 a national assembly met</w:t></w:r>
</w:p>
<w:p>
<w:pPr><w:pStyle w:val="Normal"/></w:pPr>
<w:r><w:t xml:space="preserve">at Moscow to sanction the war and find the means of carrying</w:t></w:r>
</w:p>
<w:p>
<w:pPr><w:pStyle w:val="Normal"/></w:pPr>
<w:r><w:t xml:space="preserve">it on, and in April 1654 the army was blessed by Nikon (now</w:t></w:r>
</w:p>
<w:p>
<w:pPr><w:pStyle w:val="Normal"/></w:pPr>
<w:r><w:t xml:space="preserve">patriarch).  The campaign of 1654 was an uninterrupted triumph,</w:t></w:r>
</w:p>
<w:p>
<w:pPr><w:pStyle w:val="Normal"/></w:pPr>
<w:r><w:t xml:space="preserve">and scores of towns, including the important fortress of</w:t></w:r>
</w:p>
<w:p>
<w:pPr><w:pStyle w:val="Normal"/></w:pPr>
<w:r><w:t xml:space="preserve">Smolensk, fell into the hands of the Muscovites.  In January</w:t></w:r>
</w:p>
<w:p>
<w:pPr><w:pStyle w:val="Normal"/></w:pPr>
<w:r><w:t xml:space="preserve">1655 the rout of Ochmatov arrested their progress; but in</w:t></w:r>
</w:p>
<w:p>
<w:pPr><w:pStyle w:val="Normal"/></w:pPr>
<w:r><w:t xml:space="preserve">the summer of the same year, the sudden invasion by Charles</w:t></w:r>
</w:p>
<w:p>
<w:pPr><w:pStyle w:val="Heading1"/></w:pPr>
<w:r><w:t>X. of Sweden for the moment swept the Polish state out of</w:t></w:r>
</w:p>
<w:p>
<w:pPr><w:pStyle w:val="Normal"/></w:pPr>
<w:r><w:t xml:space="preserve">existence; the Muscovites, unopposed, quickly appropriated</w:t></w:r>
</w:p>
<w:p>
<w:pPr><w:pStyle w:val="Normal"/></w:pPr>
<w:r><w:t xml:space="preserve">nearly everything which was not already occupied by the</w:t></w:r>
</w:p>
<w:p>
<w:pPr><w:pStyle w:val="Normal"/></w:pPr>
<w:r><w:t xml:space="preserve">Swedes, and when at last the Poles offered to negotiate, the</w:t></w:r>
</w:p>
<w:p>
<w:pPr><w:pStyle w:val="Normal"/></w:pPr>
<w:r><w:t xml:space="preserve">whole grand-duchy of Lithuania was the least of the demands of</w:t></w:r>
</w:p>
<w:p>
<w:pPr><w:pStyle w:val="Normal"/></w:pPr>
<w:r><w:t xml:space="preserve">Alexius.  Fortunately for Poland, the tsar and the king of</w:t></w:r>
</w:p>
<w:p>
<w:pPr><w:pStyle w:val="Normal"/></w:pPr>
<w:r><w:t xml:space="preserve">Sweden now quarrelled over the apportionment of the spoil, and</w:t></w:r>
</w:p>
<w:p>
<w:pPr><w:pStyle w:val="Normal"/></w:pPr>
<w:r><w:t xml:space="preserve">at the end of May 1656 Alexius, stimulated by the emperor and</w:t></w:r>
</w:p>
<w:p>
<w:pPr><w:pStyle w:val="Normal"/></w:pPr>
<w:r><w:t xml:space="preserve">the other enemies of Sweden, declared war against her.  Great</w:t></w:r>
</w:p>
<w:p>
<w:pPr><w:pStyle w:val="Normal"/></w:pPr>
<w:r><w:t xml:space="preserve">things were expected of the Swedish war, but nothing came of</w:t></w:r>
</w:p>
<w:p>
<w:pPr><w:pStyle w:val="Normal"/></w:pPr>
<w:r><w:t xml:space="preserve">it.  Dorpat was taken, but countless multitudes were lost</w:t></w:r>
</w:p>
<w:p>
<w:pPr><w:pStyle w:val="Normal"/></w:pPr>
<w:r><w:t xml:space="preserve">in vain before Riga.  In the meantime Poland had so far</w:t></w:r>
</w:p>
<w:p>
<w:pPr><w:pStyle w:val="Normal"/></w:pPr>
<w:r><w:t xml:space="preserve">recovered herself as to become a much more dangerous foe</w:t></w:r>
</w:p>
<w:p>
<w:pPr><w:pStyle w:val="Normal"/></w:pPr>
<w:r><w:t xml:space="preserve">than Sweden, and, as it was impossible to wage war with both</w:t></w:r>
</w:p>
<w:p>
<w:pPr><w:pStyle w:val="Normal"/></w:pPr>
<w:r><w:t xml:space="preserve">simultaneously, the tsar resolved to rid himself of the Swedes</w:t></w:r>
</w:p>
<w:p>
<w:pPr><w:pStyle w:val="Normal"/></w:pPr>
<w:r><w:t xml:space="preserve">first.  This he did by the peace of Kardis (July 2, 1661),</w:t></w:r>
</w:p>
<w:p>
<w:pPr><w:pStyle w:val="Normal"/></w:pPr>
<w:r><w:t xml:space="preserve">whereby Muscovy retroceded all her conquests.  The Polish war</w:t></w:r>
</w:p>
<w:p>
<w:pPr><w:pStyle w:val="Normal"/></w:pPr>
<w:r><w:t xml:space="preserve">dragged on for six years longer and was then concluded by a</w:t></w:r>
</w:p>
<w:p>
<w:pPr><w:pStyle w:val="Normal"/></w:pPr>
<w:r><w:t xml:space="preserve">truce, nominally for thirteen years, which proved the most</w:t></w:r>
</w:p>
<w:p>
<w:pPr><w:pStyle w:val="Normal"/></w:pPr>
<w:r><w:t xml:space="preserve">durable of treaties.  By the truce of Andrussowo (February</w:t></w:r>
</w:p>
<w:p>
<w:pPr><w:pStyle w:val="Normal"/></w:pPr>
<w:r><w:t xml:space="preserve">11, 1667) Vitebsk, Polotsk and Polish Livonia were restored</w:t></w:r>
</w:p>
<w:p>
<w:pPr><w:pStyle w:val="Normal"/></w:pPr>
<w:r><w:t xml:space="preserve">to Poland, but the infinitely more important Smolensk and</w:t></w:r>
</w:p>
<w:p>
<w:pPr><w:pStyle w:val="Normal"/></w:pPr>
<w:r><w:t xml:space="preserve">Kiev remained in the hands of the Muscovite together with</w:t></w:r>
</w:p>
<w:p>
<w:pPr><w:pStyle w:val="Normal"/></w:pPr>
<w:r><w:t xml:space="preserve">the whole eastern bank of the Dnieper.  This truce was the</w:t></w:r>
</w:p>
<w:p>
<w:pPr><w:pStyle w:val="Normal"/></w:pPr>
<w:r><w:t xml:space="preserve">achievement of Athanasy Orduin-Nashchokin, the first Russian</w:t></w:r>
</w:p>
<w:p>
<w:pPr><w:pStyle w:val="Normal"/></w:pPr>
<w:r><w:t xml:space="preserve">chancellor and diplomatist in the modern sense, who after</w:t></w:r>
</w:p>
<w:p>
<w:pPr><w:pStyle w:val="Normal"/></w:pPr>
<w:r><w:t xml:space="preserve">the disgrace of Nikon became the tsar&apos;s first minister till</w:t></w:r>
</w:p>
<w:p>
<w:pPr><w:pStyle w:val="Normal"/></w:pPr>
<w:r><w:t xml:space="preserve">1670, when he was superseded by the equally able Artamon</w:t></w:r>
</w:p>
<w:p>
<w:pPr><w:pStyle w:val="Normal"/></w:pPr>
<w:r><w:t xml:space="preserve">Matvyeev, whose beneficent influence prevailed to the end</w:t></w:r>
</w:p>
<w:p>
<w:pPr><w:pStyle w:val="Normal"/></w:pPr>
<w:r><w:t xml:space="preserve">of the reign.  It is the crowning merit of the ever amiable</w:t></w:r>
</w:p>
<w:p>
<w:pPr><w:pStyle w:val="Normal"/></w:pPr>
<w:r><w:t xml:space="preserve">and courteous tsar Alexius that he discovered so many great</w:t></w:r>
</w:p>
<w:p>
<w:pPr><w:pStyle w:val="Normal"/></w:pPr>
<w:r><w:t xml:space="preserve">men (like Nikon, Orduin, Matvyeev, the best of Peter&apos;s</w:t></w:r>
</w:p>
<w:p>
<w:pPr><w:pStyle w:val="Normal"/></w:pPr>
<w:r><w:t xml:space="preserve">precursors) and suitably employed them.  He was not a man</w:t></w:r>
</w:p>
<w:p>
<w:pPr><w:pStyle w:val="Normal"/></w:pPr>
<w:r><w:t xml:space="preserve">of superior strength of character, or he would never have</w:t></w:r>
</w:p>
<w:p>
<w:pPr><w:pStyle w:val="Normal"/></w:pPr>
<w:r><w:t xml:space="preserve">submitted to the dictation of Nikon.  But, on the other</w:t></w:r>
</w:p>
<w:p>
<w:pPr><w:pStyle w:val="Normal"/></w:pPr>
<w:r><w:t xml:space="preserve">hand, he was naturally, if timorously, progressive, or he</w:t></w:r>
</w:p>
<w:p>
<w:pPr><w:pStyle w:val="Normal"/></w:pPr>
<w:r><w:t xml:space="preserve">would never have encouraged the great reforming boyarin</w:t></w:r>
</w:p>
<w:p>
<w:pPr><w:pStyle w:val="Normal"/></w:pPr>
<w:r><w:t xml:space="preserve">Matvyeev.  His education was necessarily narrow; yet he</w:t></w:r>
</w:p>
<w:p>
<w:pPr><w:pStyle w:val="Normal"/></w:pPr>
<w:r><w:t xml:space="preserve">was learned in his way, wrote verses, and even began a</w:t></w:r>
</w:p>
<w:p>
<w:pPr><w:pStyle w:val="Normal"/></w:pPr>
<w:r><w:t xml:space="preserve">history of his own times.  His last years, notwithstanding</w:t></w:r>
</w:p>
<w:p>
<w:pPr><w:pStyle w:val="Normal"/></w:pPr>
<w:r><w:t xml:space="preserve">the terrible rebellion of Stenka Razin, were deservedly</w:t></w:r>
</w:p>
<w:p>
<w:pPr><w:pStyle w:val="Normal"/></w:pPr>
<w:r><w:t xml:space="preserve">tranquil.  By his first consort he had thirteen children,</w:t></w:r>
</w:p>
<w:p>
<w:pPr><w:pStyle w:val="Normal"/></w:pPr>
<w:r><w:t xml:space="preserve">of whom two sickly sons and eight healthy daughters survived</w:t></w:r>
</w:p>
<w:p>
<w:pPr><w:pStyle w:val="Normal"/></w:pPr>
<w:r><w:t xml:space="preserve">him.  By his second consort, Natalia Naruishkina, he had two</w:t></w:r>
</w:p>
<w:p>
<w:pPr><w:pStyle w:val="Normal"/></w:pPr>
<w:r><w:t xml:space="preserve">children, the tsarevich Peter and the tsarevna Natalia.</w:t></w:r>
</w:p>
<w:p>
<w:pPr><w:pStyle w:val="Normal"/></w:pPr>
<w:r><w:t xml:space="preserve">See Robert Nisbet Bain, The First Romanovs (London, 1905). (R. N. B.)</w:t></w:r>
</w:p>
<w:p>
<w:pPr><w:pStyle w:val="Normal"/></w:pPr>
<w:r><w:t xml:space="preserve">ALEXIUS PETROVICH (1600-1718), Russian tsarevich, the sole</w:t></w:r>
</w:p>
<w:p>
<w:pPr><w:pStyle w:val="Normal"/></w:pPr>
<w:r><w:t xml:space="preserve">surviving son of Peter I. and Eudoxia Lopukhina, was horn on the</w:t></w:r>
</w:p>
<w:p>
<w:pPr><w:pStyle w:val="Normal"/></w:pPr>
<w:r><w:t xml:space="preserve">19th of February 1690.  The young tsar married the boyarinya</w:t></w:r>
</w:p>
<w:p>
<w:pPr><w:pStyle w:val="Normal"/></w:pPr>
<w:r><w:t xml:space="preserve">Lopukhina at his mother&apos;s command.  We know nothing of the</w:t></w:r>
</w:p>
<w:p>
<w:pPr><w:pStyle w:val="Normal"/></w:pPr>
<w:r><w:t xml:space="preserve">bride except that she was beautiful, modest and ``brought up</w:t></w:r>
</w:p>
<w:p>
<w:pPr><w:pStyle w:val="Normal"/></w:pPr>
<w:r><w:t xml:space="preserve">in the fear of the Lord.&apos;&apos; She would, doubtless, have made a</w:t></w:r>
</w:p>
<w:p>
<w:pPr><w:pStyle w:val="Normal"/></w:pPr>
<w:r><w:t xml:space="preserve">model tsaritsa of the pre-Petrine period, but, unfortunately,</w:t></w:r>
</w:p>
<w:p>
<w:pPr><w:pStyle w:val="Normal"/></w:pPr>
<w:r><w:t xml:space="preserve">she was no fit wife for such a vagabond of genius as Peter the</w:t></w:r>
</w:p>
<w:p>
<w:pPr><w:pStyle w:val="Normal"/></w:pPr>
<w:r><w:t xml:space="preserve">Great.  From the first her society bored Peter unspeakably,</w:t></w:r>
</w:p>
<w:p>
<w:pPr><w:pStyle w:val="Normal"/></w:pPr>
<w:r><w:t xml:space="preserve">and, after the birth of their second short-lived son</w:t></w:r>
</w:p>
<w:p>
<w:pPr><w:pStyle w:val="Normal"/></w:pPr>
<w:r><w:t xml:space="preserve">Alexander, on the 3rd of October 1691, he practically deserted</w:t></w:r>
</w:p>
<w:p>
<w:pPr><w:pStyle w:val="Normal"/></w:pPr>
<w:r><w:t xml:space="preserve">her.  The young Alexius was ignored by his father till he was</w:t></w:r>
</w:p>
<w:p>
<w:pPr><w:pStyle w:val="Normal"/></w:pPr>
<w:r><w:t xml:space="preserve">nine years old.  Peter was a rare and unwelcome guest in his</w:t></w:r>
</w:p>
<w:p>
<w:pPr><w:pStyle w:val="Normal"/></w:pPr>
<w:r><w:t xml:space="preserve">own family, and a son who loved his mother could have little</w:t></w:r>
</w:p>
<w:p>
<w:pPr><w:pStyle w:val="Normal"/></w:pPr>
<w:r><w:t xml:space="preserve">affection for a father who had ever been that mother&apos;s worst</w:t></w:r>
</w:p>
<w:p>
<w:pPr><w:pStyle w:val="Normal"/></w:pPr>
<w:r><w:t xml:space="preserve">persecutor.  From his sixth to his ninth year Alexius was</w:t></w:r>
</w:p>
<w:p>
<w:pPr><w:pStyle w:val="Normal"/></w:pPr>
<w:r><w:t xml:space="preserve">educated by the diffuse and pedantic Vyazemsky, but after the</w:t></w:r>
</w:p>
<w:p>
<w:pPr><w:pStyle w:val="Normal"/></w:pPr>
<w:r><w:t xml:space="preserve">removal of his mother to the Suzdal Prokovsky Monastery he</w:t></w:r>
</w:p>
<w:p>
<w:pPr><w:pStyle w:val="Normal"/></w:pPr>
<w:r><w:t xml:space="preserve">was confided to the care of learned foreigners, who taught him</w:t></w:r>
</w:p>
<w:p>
<w:pPr><w:pStyle w:val="Normal"/></w:pPr>
<w:r><w:t xml:space="preserve">history, geography, mathematics and French.  In 1703 Alexius</w:t></w:r>
</w:p>
<w:p>
<w:pPr><w:pStyle w:val="Normal"/></w:pPr>
<w:r><w:t xml:space="preserve">was ordered to follow the army to the field as a private in a</w:t></w:r>
</w:p>
<w:p>
<w:pPr><w:pStyle w:val="Normal"/></w:pPr>
<w:r><w:t xml:space="preserve">bombardier regiment.  In 1704 he was present at the capture of</w:t></w:r>
</w:p>
<w:p>
<w:pPr><w:pStyle w:val="Normal"/></w:pPr>
<w:r><w:t xml:space="preserve">Narva.  At this period the preceptors of the tsarevich had</w:t></w:r>
</w:p>
<w:p>
<w:pPr><w:pStyle w:val="Normal"/></w:pPr>
<w:r><w:t xml:space="preserve">the highest opinion of his ability; but, unfortunately, it</w:t></w:r>
</w:p>
<w:p>
<w:pPr><w:pStyle w:val="Normal"/></w:pPr>
<w:r><w:t xml:space="preserve">was not the sort of ability that his father could make use</w:t></w:r>
</w:p>
<w:p>
<w:pPr><w:pStyle w:val="Normal"/></w:pPr>
<w:r><w:t xml:space="preserve">of.  He was essentially a student, with strong leanings towards</w:t></w:r>
</w:p>
<w:p>
<w:pPr><w:pStyle w:val="Normal"/></w:pPr>
<w:r><w:t xml:space="preserve">archaeology and ecclesiology.  A monastic library was the proper</w:t></w:r>
</w:p>
<w:p>
<w:pPr><w:pStyle w:val="Normal"/></w:pPr>
<w:r><w:t xml:space="preserve">place for this gentle emotional dreamer, who clung so fondly</w:t></w:r>
</w:p>
<w:p>
<w:pPr><w:pStyle w:val="Normal"/></w:pPr>
<w:r><w:t xml:space="preserve">to the ancient traditions.  To a prince of his temperament the</w:t></w:r>
</w:p>
<w:p>
<w:pPr><w:pStyle w:val="Normal"/></w:pPr>
<w:r><w:t xml:space="preserve">vehement activity of his abnormally energetic father was very</w:t></w:r>
</w:p>
<w:p>
<w:pPr><w:pStyle w:val="Normal"/></w:pPr>
<w:r><w:t xml:space="preserve">offensive.  He liked neither the labour itself nor its</w:t></w:r>
</w:p>
<w:p>
<w:pPr><w:pStyle w:val="Normal"/></w:pPr>
<w:r><w:t xml:space="preserve">object.  Yet Peter, not unnaturally, wished his heir to</w:t></w:r>
</w:p>
<w:p>
<w:pPr><w:pStyle w:val="Normal"/></w:pPr>
<w:r><w:t xml:space="preserve">dedicate himself to the service of new Russia, and demanded</w:t></w:r>
</w:p>
<w:p>
<w:pPr><w:pStyle w:val="Normal"/></w:pPr>
<w:r><w:t xml:space="preserve">from him unceasing labour in order to maintain the brand-new</w:t></w:r>
</w:p>
<w:p>
<w:pPr><w:pStyle w:val="Normal"/></w:pPr>
<w:r><w:t xml:space="preserve">state at the high level of greatness to which it had been</w:t></w:r>
</w:p>
<w:p>
<w:pPr><w:pStyle w:val="Normal"/></w:pPr>
<w:r><w:t xml:space="preserve">raised.  Painful relations between father and son, quite</w:t></w:r>
</w:p>
<w:p>
<w:pPr><w:pStyle w:val="Normal"/></w:pPr>
<w:r><w:t xml:space="preserve">apart from the personal antipathies already existing, were</w:t></w:r>
</w:p>
<w:p>
<w:pPr><w:pStyle w:val="Normal"/></w:pPr>
<w:r><w:t xml:space="preserve">therefore inevitable.  It was an additional misfortune</w:t></w:r>
</w:p>
<w:p>
<w:pPr><w:pStyle w:val="Normal"/></w:pPr>
<w:r><w:t xml:space="preserve">for Alexius that his father should have been too busy to</w:t></w:r>
</w:p>
<w:p>
<w:pPr><w:pStyle w:val="Normal"/></w:pPr>
<w:r><w:t xml:space="preserve">attend to him just as he was growing up from boyhood to</w:t></w:r>
</w:p>
<w:p>
<w:pPr><w:pStyle w:val="Normal"/></w:pPr>
<w:r><w:t xml:space="preserve">manhood.  He was left in the hands of reactionary boyars</w:t></w:r>
</w:p>
<w:p>
<w:pPr><w:pStyle w:val="Normal"/></w:pPr>
<w:r><w:t xml:space="preserve">and priests, who encouraged him to hate his father and</w:t></w:r>
</w:p>
<w:p>
<w:pPr><w:pStyle w:val="Normal"/></w:pPr>
<w:r><w:t xml:space="preserve">wish for the death of the tsar-antichrist.  His confessor,</w:t></w:r>
</w:p>
<w:p>
<w:pPr><w:pStyle w:val="Normal"/></w:pPr>
<w:r><w:t xml:space="preserve">Yakov Ignatiev, whom he promised to obey as ``an angel and</w:t></w:r>
</w:p>
<w:p>
<w:pPr><w:pStyle w:val="Normal"/></w:pPr>
<w:r><w:t xml:space="preserve">apostle of God,&apos;&apos; was his chief counsellor in these days.</w:t></w:r>
</w:p>
<w:p>
<w:pPr><w:pStyle w:val="Normal"/></w:pPr>
<w:r><w:t xml:space="preserve">In 1708 Peter sent Alexius to Smolensk to collect provender</w:t></w:r>
</w:p>
<w:p>
<w:pPr><w:pStyle w:val="Normal"/></w:pPr>
<w:r><w:t xml:space="preserve">and recruits, and thence to Moscow to fortify it against</w:t></w:r>
</w:p>
<w:p>
<w:pPr><w:pStyle w:val="Normal"/></w:pPr>
<w:r><w:t xml:space="preserve">Charles XII. At the end of 1709 he went to Dresden for twelve</w:t></w:r>
</w:p>
<w:p>
<w:pPr><w:pStyle w:val="Normal"/></w:pPr>
<w:r><w:t xml:space="preserve">months for finishing lessons in French and German, mathematics</w:t></w:r>
</w:p>
<w:p>
<w:pPr><w:pStyle w:val="Normal"/></w:pPr>
<w:r><w:t xml:space="preserve">and fortification, and, his education completed, he was</w:t></w:r>
</w:p>
<w:p>
<w:pPr><w:pStyle w:val="Normal"/></w:pPr>
<w:r><w:t xml:space="preserve">married, greatly against his will, to the princess Charlotte</w:t></w:r>
</w:p>
<w:p>
<w:pPr><w:pStyle w:val="Normal"/></w:pPr>
<w:r><w:t xml:space="preserve">of Brunswick- Wolfenbuttel, whose sister espoused, almost</w:t></w:r>
</w:p>
<w:p>
<w:pPr><w:pStyle w:val="Normal"/></w:pPr>
<w:r><w:t xml:space="preserve">simultaneously, the heir to the Austrian throne, the archduke</w:t></w:r>
</w:p>
<w:p>
<w:pPr><w:pStyle w:val="Normal"/></w:pPr>
<w:r><w:t xml:space="preserve">Charles.  The wedding was celebrated at Torgau on the 14th of</w:t></w:r>
</w:p>
<w:p>
<w:pPr><w:pStyle w:val="Normal"/></w:pPr>
<w:r><w:t xml:space="preserve">October 1711, in the house of the queen of Poland, and three</w:t></w:r>
</w:p>
<w:p>
<w:pPr><w:pStyle w:val="Normal"/></w:pPr>
<w:r><w:t xml:space="preserve">weeks later the bridegroom was hurried away by his father to</w:t></w:r>
</w:p>
<w:p>
<w:pPr><w:pStyle w:val="Normal"/></w:pPr>
<w:r><w:t xml:space="preserve">Thorn to superintend the provisioning of the Russian troops in</w:t></w:r>
</w:p>
<w:p>
<w:pPr><w:pStyle w:val="Normal"/></w:pPr>
<w:r><w:t xml:space="preserve">Poland.  For the next twelve months Alexius was kept constantly</w:t></w:r>
</w:p>
<w:p>
<w:pPr><w:pStyle w:val="Normal"/></w:pPr>
<w:r><w:t xml:space="preserve">on the move.  His wife joined him at Thorn in December, but</w:t></w:r>
</w:p>
<w:p>
<w:pPr><w:pStyle w:val="Normal"/></w:pPr>
<w:r><w:t xml:space="preserve">in April 1712 a peremptory ukaz ordered him off to the army in</w:t></w:r>
</w:p>
<w:p>
<w:pPr><w:pStyle w:val="Normal"/></w:pPr>
<w:r><w:t xml:space="preserve">Pomerania, and in the autumn of the same year he was forced</w:t></w:r>
</w:p>
<w:p>
<w:pPr><w:pStyle w:val="Normal"/></w:pPr>
<w:r><w:t xml:space="preserve">to accompany his father on a tour of inspection through</w:t></w:r>
</w:p>
<w:p>
<w:pPr><w:pStyle w:val="Normal"/></w:pPr>
<w:r><w:t xml:space="preserve">Finland.  Evidently Peter was determined to tear his son</w:t></w:r>
</w:p>
<w:p>
<w:pPr><w:pStyle w:val="Normal"/></w:pPr>
<w:r><w:t xml:space="preserve">away from a life of indolent ease.  Immediately on his</w:t></w:r>
</w:p>
<w:p>
<w:pPr><w:pStyle w:val="Normal"/></w:pPr>
<w:r><w:t xml:space="preserve">return from Finland Alexius was despatched by his father</w:t></w:r>
</w:p>
<w:p>
<w:pPr><w:pStyle w:val="Normal"/></w:pPr>
<w:r><w:t xml:space="preserve">to Staraya Rusya and Ladoga to see to the building of new</w:t></w:r>
</w:p>
<w:p>
<w:pPr><w:pStyle w:val="Normal"/></w:pPr>
<w:r><w:t xml:space="preserve">ships.  This was the last commission entrusted to him.</w:t></w:r>
</w:p>
<w:p>
<w:pPr><w:pStyle w:val="Normal"/></w:pPr>
<w:r><w:t xml:space="preserve">On his return to the capital Peter, in order to see what</w:t></w:r>
</w:p>
<w:p>
<w:pPr><w:pStyle w:val="Normal"/></w:pPr>
<w:r><w:t xml:space="preserve">progress his son had made in mechanics and mathematics,</w:t></w:r>
</w:p>
<w:p>
<w:pPr><w:pStyle w:val="Normal"/></w:pPr>
<w:r><w:t xml:space="preserve">asked him to draw something of a technical nature for his</w:t></w:r>
</w:p>
<w:p>
<w:pPr><w:pStyle w:val="Normal"/></w:pPr>
<w:r><w:t xml:space="preserve">inspection.  Alexius, in order to escape such an ordeal,</w:t></w:r>
</w:p>
<w:p>
<w:pPr><w:pStyle w:val="Normal"/></w:pPr>
<w:r><w:t xml:space="preserve">resorted to the abject expedient of disabling his right hand by a</w:t></w:r>
</w:p>
<w:p>
<w:pPr><w:pStyle w:val="Normal"/></w:pPr>
<w:r><w:t xml:space="preserve">pistol-shot.  In no other way could the tsarevich have offended</w:t></w:r>
</w:p>
<w:p>
<w:pPr><w:pStyle w:val="Normal"/></w:pPr>
<w:r><w:t xml:space="preserve">his father so deeply.  He had behaved like a cowardly recruit</w:t></w:r>
</w:p>
<w:p>
<w:pPr><w:pStyle w:val="Normal"/></w:pPr>
<w:r><w:t xml:space="preserve">who mutilates himself to escape military service.  After</w:t></w:r>
</w:p>
<w:p>
<w:pPr><w:pStyle w:val="Normal"/></w:pPr>
<w:r><w:t xml:space="preserve">this, Peter seemed for a time to take no further interest in</w:t></w:r>
</w:p>
<w:p>
<w:pPr><w:pStyle w:val="Normal"/></w:pPr>
<w:r><w:t xml:space="preserve">Alexius.  He left him entirely to himself.  He employed him no</w:t></w:r>
</w:p>
<w:p>
<w:pPr><w:pStyle w:val="Normal"/></w:pPr>
<w:r><w:t xml:space="preserve">more.  He no longer pressed him to attend public functions.</w:t></w:r>
</w:p>
<w:p>
<w:pPr><w:pStyle w:val="Normal"/></w:pPr>
<w:r><w:t xml:space="preserve">Alexius rejoiced at this welcome change, but he had cause</w:t></w:r>
</w:p>
<w:p>
<w:pPr><w:pStyle w:val="Normal"/></w:pPr>
<w:r><w:t xml:space="preserve">rather to fear it.  It marked the deepening of a hatred which</w:t></w:r>
</w:p>
<w:p>
<w:pPr><w:pStyle w:val="Normal"/></w:pPr>
<w:r><w:t xml:space="preserve">might have been overcome.  Alexius was evidently consoling</w:t></w:r>
</w:p>
<w:p>
<w:pPr><w:pStyle w:val="Normal"/></w:pPr>
<w:r><w:t xml:space="preserve">himself with the reflexion that the future belonged to</w:t></w:r>
</w:p>
<w:p>
<w:pPr><w:pStyle w:val="Normal"/></w:pPr>
<w:r><w:t xml:space="preserve">him.  He was well aware that the mass of the Russian nation</w:t></w:r>
</w:p>
<w:p>
<w:pPr><w:pStyle w:val="Normal"/></w:pPr>
<w:r><w:t xml:space="preserve">was on his side.  Nearly all the prelates were devoted to</w:t></w:r>
</w:p>
<w:p>
<w:pPr><w:pStyle w:val="Normal"/></w:pPr>
<w:r><w:t xml:space="preserve">him.  Equally friendly were the great boyar families.  All</w:t></w:r>
</w:p>
<w:p>
<w:pPr><w:pStyle w:val="Normal"/></w:pPr>
<w:r><w:t xml:space="preserve">Alexius had to do was to sit still, keep out of his father&apos;s</w:t></w:r>
</w:p>
<w:p>
<w:pPr><w:pStyle w:val="Normal"/></w:pPr>
<w:r><w:t xml:space="preserve">way as much as possible and await the natural course of</w:t></w:r>
</w:p>
<w:p>
<w:pPr><w:pStyle w:val="Normal"/></w:pPr>
<w:r><w:t xml:space="preserve">events.  But with Peter the present was everything.  He could</w:t></w:r>
</w:p>
<w:p>
<w:pPr><w:pStyle w:val="Normal"/></w:pPr>
<w:r><w:t xml:space="preserve">not afford to leave anything to chance.  All his life long</w:t></w:r>
</w:p>
<w:p>
<w:pPr><w:pStyle w:val="Normal"/></w:pPr>
<w:r><w:t xml:space="preserve">he had been working incessantly with a single object --the</w:t></w:r>
</w:p>
<w:p>
<w:pPr><w:pStyle w:val="Normal"/></w:pPr>
<w:r><w:t xml:space="preserve">regeneration of Russia.  What if his successor refused to tread</w:t></w:r>
</w:p>
<w:p>
<w:pPr><w:pStyle w:val="Normal"/></w:pPr>
<w:r><w:t xml:space="preserve">in his father&apos;s footsteps or, still worse, tried to destroy his</w:t></w:r>
</w:p>
<w:p>
<w:pPr><w:pStyle w:val="Normal"/></w:pPr>
<w:r><w:t xml:space="preserve">father&apos;s work? By some such process of reasoning as this must</w:t></w:r>
</w:p>
<w:p>
<w:pPr><w:pStyle w:val="Normal"/></w:pPr>
<w:r><w:t xml:space="preserve">the idea of changing the succession to the throne, by setting</w:t></w:r>
</w:p>
<w:p>
<w:pPr><w:pStyle w:val="Normal"/></w:pPr>
<w:r><w:t xml:space="preserve">aside Alexius, have first occurred to the mind of Peter the</w:t></w:r>
</w:p>
<w:p>
<w:pPr><w:pStyle w:val="Normal"/></w:pPr>
<w:r><w:t xml:space="preserve">Great.  Nevertheless he made one last effort to reclaim his</w:t></w:r>
</w:p>
<w:p>
<w:pPr><w:pStyle w:val="Normal"/></w:pPr>
<w:r><w:t xml:space="preserve">son.  On the 22nd of October 1715 Alexius&apos; consort, the princess</w:t></w:r>
</w:p>
<w:p>
<w:pPr><w:pStyle w:val="Normal"/></w:pPr>
<w:r><w:t xml:space="preserve">Charlotte, died, after giving birth to a son, the grand-duke</w:t></w:r>
</w:p>
<w:p>
<w:pPr><w:pStyle w:val="Normal"/></w:pPr>
<w:r><w:t xml:space="preserve">Peter, afterwards Peter II. On the day of the funeral Peter</w:t></w:r>
</w:p>
<w:p>
<w:pPr><w:pStyle w:val="Normal"/></w:pPr>
<w:r><w:t xml:space="preserve">addressed to Alexius a stern letter of warning and remonstrance,</w:t></w:r>
</w:p>
<w:p>
<w:pPr><w:pStyle w:val="Normal"/></w:pPr>
<w:r><w:t xml:space="preserve">urging him no longer to resemble the slothful servant in the</w:t></w:r>
</w:p>
<w:p>
<w:pPr><w:pStyle w:val="Normal"/></w:pPr>
<w:r><w:t xml:space="preserve">parable, and threatening to cut him off, as though he were a</w:t></w:r>
</w:p>
<w:p>
<w:pPr><w:pStyle w:val="Normal"/></w:pPr>
<w:r><w:t xml:space="preserve">gangrenous swelling, if he did not acquiesce in his father&apos;s</w:t></w:r>
</w:p>
<w:p>
<w:pPr><w:pStyle w:val="Normal"/></w:pPr>
<w:r><w:t xml:space="preserve">plans.  But it was now that Alexius showed what a poor</w:t></w:r>
</w:p>
<w:p>
<w:pPr><w:pStyle w:val="Normal"/></w:pPr>
<w:r><w:t xml:space="preserve">creature he really was.  He wrote a pitiful reply to his</w:t></w:r>
</w:p>
<w:p>
<w:pPr><w:pStyle w:val="Normal"/></w:pPr>
<w:r><w:t xml:space="preserve">father, offering to renounce the succession in favour of his</w:t></w:r>
</w:p>
<w:p>
<w:pPr><w:pStyle w:val="Normal"/></w:pPr>
<w:r><w:t xml:space="preserve">baby half-brother Peter, who had been born the day after the</w:t></w:r>
</w:p>
<w:p>
<w:pPr><w:pStyle w:val="Normal"/></w:pPr>
<w:r><w:t xml:space="preserve">princess Charlotte&apos;s funeral.  As if this were not enough, in</w:t></w:r>
</w:p>
<w:p>
<w:pPr><w:pStyle w:val="Normal"/></w:pPr>
<w:r><w:t xml:space="preserve">January 1716 he wrote to his father for permission to become a</w:t></w:r>
</w:p>
<w:p>
<w:pPr><w:pStyle w:val="Normal"/></w:pPr>
<w:r><w:t xml:space="preserve">monk.  Still Peter did not despair.  On the 26th of August</w:t></w:r>
</w:p>
<w:p>
<w:pPr><w:pStyle w:val="Normal"/></w:pPr>
<w:r><w:t xml:space="preserve">1716 he wrote to Alexius from abroad urging him, if he</w:t></w:r>
</w:p>
<w:p>
<w:pPr><w:pStyle w:val="Normal"/></w:pPr>
<w:r><w:t xml:space="preserve">desired to remain tsarevich, to join him and the army without</w:t></w:r>
</w:p>
<w:p>
<w:pPr><w:pStyle w:val="Normal"/></w:pPr>
<w:r><w:t xml:space="preserve">delay.  Rather than face this ordeal Alexius fled to Vienna</w:t></w:r>
</w:p>
<w:p>
<w:pPr><w:pStyle w:val="Normal"/></w:pPr>
<w:r><w:t xml:space="preserve">and placed himself under the protection of his brother-in-law,</w:t></w:r>
</w:p>
<w:p>
<w:pPr><w:pStyle w:val="Normal"/></w:pPr>
<w:r><w:t xml:space="preserve">the emperor Charles VI., who sent him for safety first to the</w:t></w:r>
</w:p>
<w:p>
<w:pPr><w:pStyle w:val="Normal"/></w:pPr>
<w:r><w:t xml:space="preserve">Tirolean fortress of Ahrenberg, and finally to the castle of</w:t></w:r>
</w:p>
<w:p>
<w:pPr><w:pStyle w:val="Normal"/></w:pPr>
<w:r><w:t xml:space="preserve">San Elmo at Naples.  He was accompanied throughout his journey</w:t></w:r>
</w:p>
<w:p>
<w:pPr><w:pStyle w:val="Normal"/></w:pPr>
<w:r><w:t xml:space="preserve">by his mistress, the Finnish girl Afrosina.  That the emperor</w:t></w:r>
</w:p>
<w:p>
<w:pPr><w:pStyle w:val="Normal"/></w:pPr>
<w:r><w:t xml:space="preserve">sincerely sympathized with Alexius, and suspected Peter of</w:t></w:r>
</w:p>
<w:p>
<w:pPr><w:pStyle w:val="Normal"/></w:pPr>
<w:r><w:t xml:space="preserve">harbouring murderous designs against his son, is plain from</w:t></w:r>
</w:p>
<w:p>
<w:pPr><w:pStyle w:val="Normal"/></w:pPr>
<w:r><w:t xml:space="preserve">his confidential letter to George I. of England, whom he</w:t></w:r>
</w:p>
<w:p>
<w:pPr><w:pStyle w:val="Normal"/></w:pPr>
<w:r><w:t xml:space="preserve">consulted on this delicate affair.  Peter&apos;s agitation was</w:t></w:r>
</w:p>
<w:p>
<w:pPr><w:pStyle w:val="Normal"/></w:pPr>
<w:r><w:t xml:space="preserve">extreme.  The flight of the tsarevich to a foreign potentate</w:t></w:r>
</w:p>
<w:p>
<w:pPr><w:pStyle w:val="Normal"/></w:pPr>
<w:r><w:t xml:space="preserve">was a reproach and a scandal.  He must be recovered and</w:t></w:r>
</w:p>
<w:p>
<w:pPr><w:pStyle w:val="Normal"/></w:pPr>
<w:r><w:t xml:space="preserve">brought back to Russia at all hazards.  This difficult task</w:t></w:r>
</w:p>
<w:p>
<w:pPr><w:pStyle w:val="Normal"/></w:pPr>
<w:r><w:t xml:space="preserve">was accomplished by Count Peter Tolstoi, the most subtle and</w:t></w:r>
</w:p>
<w:p>
<w:pPr><w:pStyle w:val="Normal"/></w:pPr>
<w:r><w:t xml:space="preserve">unscrupulous of Peter&apos;s servants; but terrorized though he</w:t></w:r>
</w:p>
<w:p>
<w:pPr><w:pStyle w:val="Normal"/></w:pPr>
<w:r><w:t xml:space="preserve">was, Alexius would only consent to return on his father solemnly</w:t></w:r>
</w:p>
<w:p>
<w:pPr><w:pStyle w:val="Normal"/></w:pPr>
<w:r><w:t xml:space="preserve">swearing, ``before God and His judgment seat,&apos;&apos; that if he</w:t></w:r>
</w:p>
<w:p>
<w:pPr><w:pStyle w:val="Normal"/></w:pPr>
<w:r><w:t xml:space="preserve">came back he should not be punished in the least, but cherished</w:t></w:r>
</w:p>
<w:p>
<w:pPr><w:pStyle w:val="Normal"/></w:pPr>
<w:r><w:t xml:space="preserve">as a son and allowed to live quietly on his estates and marry</w:t></w:r>
</w:p>
<w:p>
<w:pPr><w:pStyle w:val="Normal"/></w:pPr>
<w:r><w:t xml:space="preserve">Afrosina.  On the 31st of January 1718 the tsarevich reached</w:t></w:r>
</w:p>
<w:p>
<w:pPr><w:pStyle w:val="Normal"/></w:pPr>
<w:r><w:t xml:space="preserve">Moscow.  Peter had already determined to institute a most searching</w:t></w:r>
</w:p>
<w:p>
<w:pPr><w:pStyle w:val="Normal"/></w:pPr>
<w:r><w:t xml:space="preserve">inquisition in order to get at the bottom of the mystery of the</w:t></w:r>
</w:p>
<w:p>
<w:pPr><w:pStyle w:val="Normal"/></w:pPr>
<w:r><w:t xml:space="preserve">flight.  On the 18th of February a ``confession&apos;&apos; was extorted</w:t></w:r>
</w:p>
<w:p>
<w:pPr><w:pStyle w:val="Normal"/></w:pPr>
<w:r><w:t xml:space="preserve">from Alexius which implicated most of his friends, and he</w:t></w:r>
</w:p>
<w:p>
<w:pPr><w:pStyle w:val="Normal"/></w:pPr>
<w:r><w:t xml:space="preserve">then publicly renounced the succession to the throne in favour</w:t></w:r>
</w:p>
<w:p>
<w:pPr><w:pStyle w:val="Normal"/></w:pPr>
<w:r><w:t xml:space="preserve">of the baby grand-duke Peter Petrovich.  A horrible reign of</w:t></w:r>
</w:p>
<w:p>
<w:pPr><w:pStyle w:val="Normal"/></w:pPr>
<w:r><w:t xml:space="preserve">terror ensued, in the course of which the ex-tsaritsa Eudoxia</w:t></w:r>
</w:p>
<w:p>
<w:pPr><w:pStyle w:val="Normal"/></w:pPr>
<w:r><w:t xml:space="preserve">was dragged from her monastery and publicly tried for alleged</w:t></w:r>
</w:p>
<w:p>
<w:pPr><w:pStyle w:val="Normal"/></w:pPr>
<w:r><w:t xml:space="preserve">adultery, while all who had in any way befriended Alexius were</w:t></w:r>
</w:p>
<w:p>
<w:pPr><w:pStyle w:val="Normal"/></w:pPr>
<w:r><w:t xml:space="preserve">impaled, broken on the wheel and otherwise lingeringly done to</w:t></w:r>
</w:p>
<w:p>
<w:pPr><w:pStyle w:val="Normal"/></w:pPr>
<w:r><w:t xml:space="preserve">death.  All this was done to terrorize the reactionaries and</w:t></w:r>
</w:p>
<w:p>
<w:pPr><w:pStyle w:val="Normal"/></w:pPr>
<w:r><w:t xml:space="preserve">isolate the tsarevich.  In April 1718 fresh confessions were</w:t></w:r>
</w:p>
<w:p>
<w:pPr><w:pStyle w:val="Normal"/></w:pPr>
<w:r><w:t xml:space="preserve">extorted from Alexius, now utterly broken and half idiotic with</w:t></w:r>
</w:p>
<w:p>
<w:pPr><w:pStyle w:val="Normal"/></w:pPr>
<w:r><w:t xml:space="preserve">fright.  Yet even now there were no actual facts to go upon.</w:t></w:r>
</w:p>
<w:p>
<w:pPr><w:pStyle w:val="Normal"/></w:pPr>
<w:r><w:t xml:space="preserve">Alexius&apos; ``evil designs&apos;&apos; were still in foro conscientiae,</w:t></w:r>
</w:p>
<w:p>
<w:pPr><w:pStyle w:val="Normal"/></w:pPr>
<w:r><w:t xml:space="preserve">and had not been, perhaps never would be, translated into</w:t></w:r>
</w:p>
<w:p>
<w:pPr><w:pStyle w:val="Normal"/></w:pPr>
<w:r><w:t xml:space="preserve">practice.  The worst that could be brought against him was</w:t></w:r>
</w:p>
<w:p>
<w:pPr><w:pStyle w:val="Normal"/></w:pPr>
<w:r><w:t xml:space="preserve">that he had wished his father&apos;s death.  In the eyes of Peter,</w:t></w:r>
</w:p>
<w:p>
<w:pPr><w:pStyle w:val="Normal"/></w:pPr>
<w:r><w:t xml:space="preserve">his son was now a self-convicted and most dangerous traitor,</w:t></w:r>
</w:p>
<w:p>
<w:pPr><w:pStyle w:val="Normal"/></w:pPr>
<w:r><w:t xml:space="preserve">whose life was forfeit.  But there was no getting over the</w:t></w:r>
</w:p>
<w:p>
<w:pPr><w:pStyle w:val="Normal"/></w:pPr>
<w:r><w:t xml:space="preserve">fact that his father had sworn ``before the Almighty and His</w:t></w:r>
</w:p>
<w:p>
<w:pPr><w:pStyle w:val="Normal"/></w:pPr>
<w:r><w:t xml:space="preserve">judgment seat&apos;&apos; to pardon him and let him live in peace if he</w:t></w:r>
</w:p>
<w:p>
<w:pPr><w:pStyle w:val="Normal"/></w:pPr>
<w:r><w:t xml:space="preserve">returned to Russia.  From Peter&apos;s point of view the question</w:t></w:r>
</w:p>
<w:p>
<w:pPr><w:pStyle w:val="Normal"/></w:pPr>
<w:r><w:t xml:space="preserve">was, did the enormity of the tsarevich&apos;s crime absolve the</w:t></w:r>
</w:p>
<w:p>
<w:pPr><w:pStyle w:val="Normal"/></w:pPr>
<w:r><w:t xml:space="preserve">tsar from the oath which he had taken to spare the life of</w:t></w:r>
</w:p>
<w:p>
<w:pPr><w:pStyle w:val="Normal"/></w:pPr>
<w:r><w:t xml:space="preserve">this prodigal son? This question was solemnly submitted to</w:t></w:r>
</w:p>
<w:p>
<w:pPr><w:pStyle w:val="Normal"/></w:pPr>
<w:r><w:t xml:space="preserve">a grand council of prelates, senators, ministers and other</w:t></w:r>
</w:p>
<w:p>
<w:pPr><w:pStyle w:val="Normal"/></w:pPr>
<w:r><w:t xml:space="preserve">dignitaries on the 13th of June 1718.  The clergy left the</w:t></w:r>
</w:p>
<w:p>
<w:pPr><w:pStyle w:val="Normal"/></w:pPr>
<w:r><w:t xml:space="preserve">matter to the tsar&apos;s own decision.  The temporal dignitaries</w:t></w:r>
</w:p>
<w:p>
<w:pPr><w:pStyle w:val="Normal"/></w:pPr>
<w:r><w:t xml:space="preserve">declared the evidence to be insufficient and suggested that</w:t></w:r>
</w:p>
<w:p>
<w:pPr><w:pStyle w:val="Normal"/></w:pPr>
<w:r><w:t xml:space="preserve">Alexius should be examined by torture.  Accordingly, on</w:t></w:r>
</w:p>
<w:p>
<w:pPr><w:pStyle w:val="Normal"/></w:pPr>
<w:r><w:t xml:space="preserve">the 19th of June, the weak and ailing tsarevich received</w:t></w:r>
</w:p>
<w:p>
<w:pPr><w:pStyle w:val="Normal"/></w:pPr>
<w:r><w:t xml:space="preserve">twenty-five strokes with the knout (as then administered</w:t></w:r>
</w:p>
<w:p>
<w:pPr><w:pStyle w:val="Normal"/></w:pPr>
<w:r><w:t xml:space="preserve">nobody ever survived thirty), and on the 24th fifteen more.</w:t></w:r>
</w:p>
<w:p>
<w:pPr><w:pStyle w:val="Normal"/></w:pPr>
<w:r><w:t xml:space="preserve">It was hardly possible that he could survive such treatment;</w:t></w:r>
</w:p>
<w:p>
<w:pPr><w:pStyle w:val="Normal"/></w:pPr>
<w:r><w:t xml:space="preserve">the natural inference is that he was not intended to survive</w:t></w:r>
</w:p>
<w:p>
<w:pPr><w:pStyle w:val="Normal"/></w:pPr>
<w:r><w:t xml:space="preserve">it.  Anyway, he expired two days later in the guardhouse of</w:t></w:r>
</w:p>
<w:p>
<w:pPr><w:pStyle w:val="Normal"/></w:pPr>
<w:r><w:t xml:space="preserve">the citadel of St Petersburg, two days after the senate had</w:t></w:r>
</w:p>
<w:p>
<w:pPr><w:pStyle w:val="Normal"/></w:pPr>
<w:r><w:t xml:space="preserve">condemned him to death for imagining rebellion against his</w:t></w:r>
</w:p>
<w:p>
<w:pPr><w:pStyle w:val="Normal"/></w:pPr>
<w:r><w:t xml:space="preserve">father, and for hoping for the co-operation of the common</w:t></w:r>
</w:p>
<w:p>
<w:pPr><w:pStyle w:val="Normal"/></w:pPr>
<w:r><w:t xml:space="preserve">people and the armed intervention of his brother-in-law, the</w:t></w:r>
</w:p>
<w:p>
<w:pPr><w:pStyle w:val="Normal"/></w:pPr>
<w:r><w:t xml:space="preserve">emperor.  This shameful sentence was the outcome of mingled</w:t></w:r>
</w:p>
<w:p>
<w:pPr><w:pStyle w:val="Normal"/></w:pPr>
<w:r><w:t xml:space="preserve">terror and obsequiousness.  Abominable, unnatural as Peter&apos;s</w:t></w:r>
</w:p>
<w:p>
<w:pPr><w:pStyle w:val="Normal"/></w:pPr>
<w:r><w:t xml:space="preserve">conduct to his unhappy and innocent son undoubtedly was,</w:t></w:r>
</w:p>
<w:p>
<w:pPr><w:pStyle w:val="Normal"/></w:pPr>
<w:r><w:t xml:space="preserve">there is no reason to suppose that he ever regretted it.  He</w:t></w:r>
</w:p>
<w:p>
<w:pPr><w:pStyle w:val="Normal"/></w:pPr>
<w:r><w:t xml:space="preserve">argued that a single worthless life stood in the way of the</w:t></w:r>
</w:p>
<w:p>
<w:pPr><w:pStyle w:val="Normal"/></w:pPr>
<w:r><w:t xml:space="preserve">regeneration of Russia, and he therefore deliberately removed it.</w:t></w:r>
</w:p>
<w:p>
<w:pPr><w:pStyle w:val="Normal"/></w:pPr>
<w:r><w:t xml:space="preserve">See Robert Nisbet Bain, The First Romanovs (London, 1905). (R. N. B.)</w:t></w:r>
</w:p>
<w:p>
<w:pPr><w:pStyle w:val="Normal"/></w:pPr>
<w:r><w:t xml:space="preserve">ALFANI, DOMENICO, italian painter, was born at Perugia</w:t></w:r>
</w:p>
<w:p>
<w:pPr><w:pStyle w:val="Normal"/></w:pPr>
<w:r><w:t xml:space="preserve">towards the close of the 15th century.  He was a contemporary</w:t></w:r>
</w:p>
<w:p>
<w:pPr><w:pStyle w:val="Normal"/></w:pPr>
<w:r><w:t xml:space="preserve">of Raphael, with whom he studied in the school of Perugino.</w:t></w:r>
</w:p>
<w:p>
<w:pPr><w:pStyle w:val="Normal"/></w:pPr>
<w:r><w:t xml:space="preserve">The two artists lived on terms of intimate friendship, and</w:t></w:r>
</w:p>
<w:p>
<w:pPr><w:pStyle w:val="Normal"/></w:pPr>
<w:r><w:t xml:space="preserve">the influence of the more distinguished of the two is so</w:t></w:r>
</w:p>
<w:p>
<w:pPr><w:pStyle w:val="Normal"/></w:pPr>
<w:r><w:t xml:space="preserve">clearly traceable in the works of the other, that these</w:t></w:r>
</w:p>
<w:p>
<w:pPr><w:pStyle w:val="Normal"/></w:pPr>
<w:r><w:t xml:space="preserve">have frequently been attributed to Raphael.  Towards the</w:t></w:r>
</w:p>
<w:p>
<w:pPr><w:pStyle w:val="Normal"/></w:pPr>
<w:r><w:t xml:space="preserve">close of his life Alfani gradually changed his style and</w:t></w:r>
</w:p>
<w:p>
<w:pPr><w:pStyle w:val="Normal"/></w:pPr>
<w:r><w:t xml:space="preserve">approximated to that of the later Florentine school.  The</w:t></w:r>
</w:p>
<w:p>
<w:pPr><w:pStyle w:val="Normal"/></w:pPr>
<w:r><w:t xml:space="preserve">date of his death, according to some, was 1540, while others</w:t></w:r>
</w:p>
<w:p>
<w:pPr><w:pStyle w:val="Normal"/></w:pPr>
<w:r><w:t xml:space="preserve">say he was alive in 1553.  Pictures by Alfani may be seen in</w:t></w:r>
</w:p>
<w:p>
<w:pPr><w:pStyle w:val="Normal"/></w:pPr>
<w:r><w:t xml:space="preserve">collections at Florence and in several churches in Perugia.</w:t></w:r>
</w:p>
<w:p>
<w:pPr><w:pStyle w:val="Normal"/></w:pPr>
<w:r><w:t xml:space="preserve">ALFELD, a town of Germany, in the Prussian province of</w:t></w:r>
</w:p>
<w:p>
<w:pPr><w:pStyle w:val="Normal"/></w:pPr>
<w:r><w:t xml:space="preserve">Hanover, 10 m.  W. of Hildesheim, on the river Leine and</w:t></w:r>
</w:p>
<w:p>
<w:pPr><w:pStyle w:val="Normal"/></w:pPr>
<w:r><w:t xml:space="preserve">the Hanover-Cassel main line of railway.  Pop. (1900)</w:t></w:r>
</w:p>
<w:p>
<w:pPr><w:pStyle w:val="Normal"/></w:pPr>
<w:r><w:t xml:space="preserve">4900.  It has a handsome church with twin spires, and training</w:t></w:r>
</w:p>
<w:p>
<w:pPr><w:pStyle w:val="Normal"/></w:pPr>
<w:r><w:t xml:space="preserve">colleges for schoolmasters and theological candidates.</w:t></w:r>
</w:p>
<w:p>
<w:pPr><w:pStyle w:val="Normal"/></w:pPr>
<w:r><w:t xml:space="preserve">Its industries are flourishing, and embrace paper-making,</w:t></w:r>
</w:p>
<w:p>
<w:pPr><w:pStyle w:val="Normal"/></w:pPr>
<w:r><w:t xml:space="preserve">agricultural machine- works, iron-founding and flax-spinning.</w:t></w:r>
</w:p>
<w:p>
<w:pPr><w:pStyle w:val="Normal"/></w:pPr>
<w:r><w:t xml:space="preserve">ALFIERI, VITTORIO, COUNT (1749-1803), Italian dramatist,</w:t></w:r>
</w:p>
<w:p>
<w:pPr><w:pStyle w:val="Normal"/></w:pPr>
<w:r><w:t xml:space="preserve">was born on the 17th of January 1749 at Asti in Piedmont.  He</w:t></w:r>
</w:p>
<w:p>
<w:pPr><w:pStyle w:val="Normal"/></w:pPr>
<w:r><w:t xml:space="preserve">lost his father in early infancy; but he continued to reside</w:t></w:r>
</w:p>
<w:p>
<w:pPr><w:pStyle w:val="Normal"/></w:pPr>
<w:r><w:t xml:space="preserve">with his mother, who married a second time, till his tenth</w:t></w:r>
</w:p>
<w:p>
<w:pPr><w:pStyle w:val="Normal"/></w:pPr>
<w:r><w:t xml:space="preserve">year, when he was placed at the academy of Turin.  After</w:t></w:r>
</w:p>
<w:p>
<w:pPr><w:pStyle w:val="Normal"/></w:pPr>
<w:r><w:t xml:space="preserve">he had passed a twelvemonth at the academy, he went on a</w:t></w:r>
</w:p>
<w:p>
<w:pPr><w:pStyle w:val="Normal"/></w:pPr>
<w:r><w:t xml:space="preserve">short visit to a relation who dwelt at Coni; and during his</w:t></w:r>
</w:p>
<w:p>
<w:pPr><w:pStyle w:val="Normal"/></w:pPr>
<w:r><w:t xml:space="preserve">stay there he made his first poetical attempt in a sonnet</w:t></w:r>
</w:p>
<w:p>
<w:pPr><w:pStyle w:val="Normal"/></w:pPr>
<w:r><w:t xml:space="preserve">chiefly borrowed from lines in Ariosto and Metastasio,</w:t></w:r>
</w:p>
<w:p>
<w:pPr><w:pStyle w:val="Normal"/></w:pPr>
<w:r><w:t xml:space="preserve">the only poets he had at that time read.  When thirteen</w:t></w:r>
</w:p>
<w:p>
<w:pPr><w:pStyle w:val="Normal"/></w:pPr>
<w:r><w:t xml:space="preserve">years of age he was induced to begin the study of civil and</w:t></w:r>
</w:p>
<w:p>
<w:pPr><w:pStyle w:val="Normal"/></w:pPr>
<w:r><w:t xml:space="preserve">canonical law; but the attempt only served to disgust him</w:t></w:r>
</w:p>
<w:p>
<w:pPr><w:pStyle w:val="Normal"/></w:pPr>
<w:r><w:t xml:space="preserve">with every species of application and to increase his relish</w:t></w:r>
</w:p>
<w:p>
<w:pPr><w:pStyle w:val="Normal"/></w:pPr>
<w:r><w:t xml:space="preserve">for the perusal of French romances.  By the death of his</w:t></w:r>
</w:p>
<w:p>
<w:pPr><w:pStyle w:val="Normal"/></w:pPr>
<w:r><w:t xml:space="preserve">uncle, who had hitherto taken some charge of his education</w:t></w:r>
</w:p>
<w:p>
<w:pPr><w:pStyle w:val="Normal"/></w:pPr>
<w:r><w:t xml:space="preserve">and conduct, he was left, at the age of fourteen, to enjoy</w:t></w:r>
</w:p>
<w:p>
<w:pPr><w:pStyle w:val="Normal"/></w:pPr>
<w:r><w:t xml:space="preserve">without control his vast paternal inheritance, augmented by</w:t></w:r>
</w:p>
<w:p>
<w:pPr><w:pStyle w:val="Normal"/></w:pPr>
<w:r><w:t xml:space="preserve">the recent accession of his uncle&apos;s fortune.  He now began</w:t></w:r>
</w:p>
<w:p>
<w:pPr><w:pStyle w:val="Normal"/></w:pPr>
<w:r><w:t xml:space="preserve">to attend the riding-school, where he acquired that rage</w:t></w:r>
</w:p>
<w:p>
<w:pPr><w:pStyle w:val="Normal"/></w:pPr>
<w:r><w:t xml:space="preserve">for horses and equestrian exercise which continued to be one</w:t></w:r>
</w:p>
<w:p>
<w:pPr><w:pStyle w:val="Normal"/></w:pPr>
<w:r><w:t xml:space="preserve">of his strongest passions till the close of his existence.</w:t></w:r>
</w:p>
<w:p>
<w:pPr><w:pStyle w:val="Normal"/></w:pPr>
<w:r><w:t xml:space="preserve">After some time spent in alternate fits of extravagant</w:t></w:r>
</w:p>
<w:p>
<w:pPr><w:pStyle w:val="Normal"/></w:pPr>
<w:r><w:t xml:space="preserve">dissipation and ill-directed study, he was seized with a desire</w:t></w:r>
</w:p>
<w:p>
<w:pPr><w:pStyle w:val="Normal"/></w:pPr>
<w:r><w:t xml:space="preserve">of travelling; and having obtained permission from the king,</w:t></w:r>
</w:p>
<w:p>
<w:pPr><w:pStyle w:val="Normal"/></w:pPr>
<w:r><w:t xml:space="preserve">he departed in 1766, under the care of an English preceptor.</w:t></w:r>
</w:p>
<w:p>
<w:pPr><w:pStyle w:val="Normal"/></w:pPr>
<w:r><w:t xml:space="preserve">Restless and unquiet, he posted with the utmost rapidity</w:t></w:r>
</w:p>
<w:p>
<w:pPr><w:pStyle w:val="Normal"/></w:pPr>
<w:r><w:t xml:space="preserve">through the towns of Italy; and his improvement was such as</w:t></w:r>
</w:p>
<w:p>
<w:pPr><w:pStyle w:val="Normal"/></w:pPr>
<w:r><w:t xml:space="preserve">was to be expected from his mode of travelling and his previous</w:t></w:r>
</w:p>
<w:p>
<w:pPr><w:pStyle w:val="Normal"/></w:pPr>
<w:r><w:t xml:space="preserve">habits.  Hoping to find in foreign countries some relief from the</w:t></w:r>
</w:p>
<w:p>
<w:pPr><w:pStyle w:val="Normal"/></w:pPr>
<w:r><w:t xml:space="preserve">tedium and ennui with which he was oppressed, and being anxious</w:t></w:r>
</w:p>
<w:p>
<w:pPr><w:pStyle w:val="Normal"/></w:pPr>
<w:r><w:t xml:space="preserve">to become acquainted with the French theatre, he proceeded to</w:t></w:r>
</w:p>
<w:p>
<w:pPr><w:pStyle w:val="Normal"/></w:pPr>
<w:r><w:t xml:space="preserve">Paris.  But he appears to have been completely dissatisfied</w:t></w:r>
</w:p>
<w:p>
<w:pPr><w:pStyle w:val="Normal"/></w:pPr>
<w:r><w:t xml:space="preserve">with everything he witnessed in France and contracted a</w:t></w:r>
</w:p>
<w:p>
<w:pPr><w:pStyle w:val="Normal"/></w:pPr>
<w:r><w:t xml:space="preserve">dislike to its people, which his intercourse in future years</w:t></w:r>
</w:p>
<w:p>
<w:pPr><w:pStyle w:val="Normal"/></w:pPr>
<w:r><w:t xml:space="preserve">rather contributed to augment than diminish.  In Holland he</w:t></w:r>
</w:p>
<w:p>
<w:pPr><w:pStyle w:val="Normal"/></w:pPr>
<w:r><w:t xml:space="preserve">became deeply enamoured of a married lady, who returned his</w:t></w:r>
</w:p>
<w:p>
<w:pPr><w:pStyle w:val="Normal"/></w:pPr>
<w:r><w:t xml:space="preserve">attachment, but who was soon obliged to accompany her husband to</w:t></w:r>
</w:p>
<w:p>
<w:pPr><w:pStyle w:val="Normal"/></w:pPr>
<w:r><w:t xml:space="preserve">Switzerland.  Alfieri, whose feelings were of the most impetuous</w:t></w:r>
</w:p>
<w:p>
<w:pPr><w:pStyle w:val="Normal"/></w:pPr>
<w:r><w:t xml:space="preserve">description, was in despair at this separation, and returned</w:t></w:r>
</w:p>
<w:p>
<w:pPr><w:pStyle w:val="Normal"/></w:pPr>
<w:r><w:t xml:space="preserve">to his own country in the utmost anguish and despondency of</w:t></w:r>
</w:p>
<w:p>
<w:pPr><w:pStyle w:val="Normal"/></w:pPr>
<w:r><w:t xml:space="preserve">mind.  While under this depression of spirits he was induced</w:t></w:r>
</w:p>
<w:p>
<w:pPr><w:pStyle w:val="Normal"/></w:pPr>
<w:r><w:t xml:space="preserve">to seek alleviation from works of literature; and the perusal</w:t></w:r>
</w:p>
<w:p>
<w:pPr><w:pStyle w:val="Normal"/></w:pPr>
<w:r><w:t xml:space="preserve">of Plutarch&apos;s Lives, which he read with profound emotion,</w:t></w:r>
</w:p>
<w:p>
<w:pPr><w:pStyle w:val="Normal"/></w:pPr>
<w:r><w:t xml:space="preserve">inspired him with an enthusiastic passion for freedom and</w:t></w:r>
</w:p>
<w:p>
<w:pPr><w:pStyle w:val="Normal"/></w:pPr>
<w:r><w:t xml:space="preserve">independence.  Under the influence of this rage for liberty</w:t></w:r>
</w:p>
<w:p>
<w:pPr><w:pStyle w:val="Normal"/></w:pPr>
<w:r><w:t xml:space="preserve">he recommenced his travels; and his only gratification, in</w:t></w:r>
</w:p>
<w:p>
<w:pPr><w:pStyle w:val="Normal"/></w:pPr>
<w:r><w:t xml:space="preserve">the absence of freedom among the continental states, appears</w:t></w:r>
</w:p>
<w:p>
<w:pPr><w:pStyle w:val="Normal"/></w:pPr>
<w:r><w:t xml:space="preserve">to have been derived from contemplating the wild and sterile</w:t></w:r>
</w:p>
<w:p>
<w:pPr><w:pStyle w:val="Normal"/></w:pPr>
<w:r><w:t xml:space="preserve">regions of the north of Sweden, where gloomy forests, lakes</w:t></w:r>
</w:p>
<w:p>
<w:pPr><w:pStyle w:val="Normal"/></w:pPr>
<w:r><w:t xml:space="preserve">and precipices conspired to excite those sublime and melancholy</w:t></w:r>
</w:p>
<w:p>
<w:pPr><w:pStyle w:val="Normal"/></w:pPr>
<w:r><w:t xml:space="preserve">ideas which were congenial to his disposition.  Everywhere</w:t></w:r>
</w:p>
<w:p>
<w:pPr><w:pStyle w:val="Normal"/></w:pPr>
<w:r><w:t xml:space="preserve">his soul felt as if confined by the bonds of society; he</w:t></w:r>
</w:p>
<w:p>
<w:pPr><w:pStyle w:val="Normal"/></w:pPr>
<w:r><w:t xml:space="preserve">panted for something more free in government, more elevated</w:t></w:r>
</w:p>
<w:p>
<w:pPr><w:pStyle w:val="Normal"/></w:pPr>
<w:r><w:t xml:space="preserve">in sentiment, more devoted in love and more perfect in</w:t></w:r>
</w:p>
<w:p>
<w:pPr><w:pStyle w:val="Normal"/></w:pPr>
<w:r><w:t xml:space="preserve">friendship.  In search of this ideal world he posted through</w:t></w:r>
</w:p>
<w:p>
<w:pPr><w:pStyle w:val="Normal"/></w:pPr>
<w:r><w:t xml:space="preserve">various countries more with the rapidity of a courier than</w:t></w:r>
</w:p>
<w:p>
<w:pPr><w:pStyle w:val="Normal"/></w:pPr>
<w:r><w:t xml:space="preserve">of one who travels for amusement or instruction.  During a</w:t></w:r>
</w:p>
<w:p>
<w:pPr><w:pStyle w:val="Normal"/></w:pPr>
<w:r><w:t xml:space="preserve">journey to London he engaged in an intrigue with a married</w:t></w:r>
</w:p>
<w:p>
<w:pPr><w:pStyle w:val="Normal"/></w:pPr>
<w:r><w:t xml:space="preserve">lady of high rank; and having been detected, the publicity</w:t></w:r>
</w:p>
<w:p>
<w:pPr><w:pStyle w:val="Normal"/></w:pPr>
<w:r><w:t xml:space="preserve">of a rencounter with the injured husband, and of a divorce</w:t></w:r>
</w:p>
<w:p>
<w:pPr><w:pStyle w:val="Normal"/></w:pPr>
<w:r><w:t xml:space="preserve">which followed, rendered it expedient and desirable for him</w:t></w:r>
</w:p>
<w:p>
<w:pPr><w:pStyle w:val="Normal"/></w:pPr>
<w:r><w:t xml:space="preserve">to quit England.  He then visited Spain and Portugal, where</w:t></w:r>
</w:p>
<w:p>
<w:pPr><w:pStyle w:val="Normal"/></w:pPr>
<w:r><w:t xml:space="preserve">he became acquainted with the Abbe Caluso, who remained</w:t></w:r>
</w:p>
<w:p>
<w:pPr><w:pStyle w:val="Normal"/></w:pPr>
<w:r><w:t xml:space="preserve">through life the most attached and estimable friend he ever</w:t></w:r>
</w:p>
<w:p>
<w:pPr><w:pStyle w:val="Normal"/></w:pPr>
<w:r><w:t xml:space="preserve">possessed.  In 1772 Alfieri returned to Turin.  This time he</w:t></w:r>
</w:p>
<w:p>
<w:pPr><w:pStyle w:val="Normal"/></w:pPr>
<w:r><w:t xml:space="preserve">became enamoured of the Marchesa Turinetti di Prie, whom he</w:t></w:r>
</w:p>
<w:p>
<w:pPr><w:pStyle w:val="Normal"/></w:pPr>
<w:r><w:t xml:space="preserve">loved with his usual ardour, and who seems to have been as</w:t></w:r>
</w:p>
<w:p>
<w:pPr><w:pStyle w:val="Normal"/></w:pPr>
<w:r><w:t xml:space="preserve">undeserving of a sincere attachment as those he had hitherto</w:t></w:r>
</w:p>
<w:p>
<w:pPr><w:pStyle w:val="Normal"/></w:pPr>
<w:r><w:t xml:space="preserve">adored.  In the course of a long attendance on his mistress,</w:t></w:r>
</w:p>
<w:p>
<w:pPr><w:pStyle w:val="Normal"/></w:pPr>
<w:r><w:t xml:space="preserve">during a malady with which she was afflicted, he one day wrote</w:t></w:r>
</w:p>
<w:p>
<w:pPr><w:pStyle w:val="Normal"/></w:pPr>
<w:r><w:t xml:space="preserve">a dialogue or scene of a drama, which he left at her house.  On</w:t></w:r>
</w:p>
<w:p>
<w:pPr><w:pStyle w:val="Normal"/></w:pPr>
<w:r><w:t xml:space="preserve">a difference taking place between them the piece was returned</w:t></w:r>
</w:p>
<w:p>
<w:pPr><w:pStyle w:val="Normal"/></w:pPr>
<w:r><w:t xml:space="preserve">to him, and being retouched and extended to five acts, it was</w:t></w:r>
</w:p>
<w:p>
<w:pPr><w:pStyle w:val="Normal"/></w:pPr>
<w:r><w:t xml:space="preserve">performed at Turin in 1775, under the title of Cleopatra.</w:t></w:r>
</w:p>
<w:p>
<w:pPr><w:pStyle w:val="Normal"/></w:pPr>
<w:r><w:t xml:space="preserve">From this moment Alfieri was seized with an insatiable</w:t></w:r>
</w:p>
<w:p>
<w:pPr><w:pStyle w:val="Normal"/></w:pPr>
<w:r><w:t xml:space="preserve">thirst for theatrical fame, and the remainder of his life</w:t></w:r>
</w:p>
<w:p>
<w:pPr><w:pStyle w:val="Normal"/></w:pPr>
<w:r><w:t xml:space="preserve">was devoted to its attainment.  His first two tragedies,</w:t></w:r>
</w:p>
<w:p>
<w:pPr><w:pStyle w:val="Normal"/></w:pPr>
<w:r><w:t xml:space="preserve">Filippo and Polinice were originally written in French</w:t></w:r>
</w:p>
<w:p>
<w:pPr><w:pStyle w:val="Normal"/></w:pPr>
<w:r><w:t xml:space="preserve">prose; and when he came to versify them in Italian, he</w:t></w:r>
</w:p>
<w:p>
<w:pPr><w:pStyle w:val="Normal"/></w:pPr>
<w:r><w:t xml:space="preserve">found that, from his Lombard origin and long intercourse</w:t></w:r>
</w:p>
<w:p>
<w:pPr><w:pStyle w:val="Normal"/></w:pPr>
<w:r><w:t xml:space="preserve">with foreigners, he expressed himself with feebleness and</w:t></w:r>
</w:p>
<w:p>
<w:pPr><w:pStyle w:val="Normal"/></w:pPr>
<w:r><w:t xml:space="preserve">inaccuracy.  Accordingly, with the view of improving his</w:t></w:r>
</w:p>
<w:p>
<w:pPr><w:pStyle w:val="Normal"/></w:pPr>
<w:r><w:t xml:space="preserve">Italian style, he went to Tuscany and, during an alternate</w:t></w:r>
</w:p>
<w:p>
<w:pPr><w:pStyle w:val="Normal"/></w:pPr>
<w:r><w:t xml:space="preserve">residence at Florence and Siena, he completed his Filippo</w:t></w:r>
</w:p>
<w:p>
<w:pPr><w:pStyle w:val="Normal"/></w:pPr>
<w:r><w:t xml:space="preserve">and Polinice, and conceived the plan of various other</w:t></w:r>
</w:p>
<w:p>
<w:pPr><w:pStyle w:val="Normal"/></w:pPr>
<w:r><w:t xml:space="preserve">dramas.  While thus employed he became acquainted with the</w:t></w:r>
</w:p>
<w:p>
<w:pPr><w:pStyle w:val="Normal"/></w:pPr>
<w:r><w:t xml:space="preserve">countess of Albany, who then resided with her husband at</w:t></w:r>
</w:p>
<w:p>
<w:pPr><w:pStyle w:val="Normal"/></w:pPr>
<w:r><w:t xml:space="preserve">Florence.  For her he formed an attachment which, if less</w:t></w:r>
</w:p>
<w:p>
<w:pPr><w:pStyle w:val="Normal"/></w:pPr>
<w:r><w:t xml:space="preserve">violent than his former loves, appears to have been more</w:t></w:r>
</w:p>
<w:p>
<w:pPr><w:pStyle w:val="Normal"/></w:pPr>
<w:r><w:t xml:space="preserve">permanent.  With this motive to remain at Florence, he could</w:t></w:r>
</w:p>
<w:p>
<w:pPr><w:pStyle w:val="Normal"/></w:pPr>
<w:r><w:t xml:space="preserve">not endure the chains by which his vast possessions bound him to</w:t></w:r>
</w:p>
<w:p>
<w:pPr><w:pStyle w:val="Normal"/></w:pPr>
<w:r><w:t xml:space="preserve">Piedmont.  He therefore resigned his whole property to his</w:t></w:r>
</w:p>
<w:p>
<w:pPr><w:pStyle w:val="Normal"/></w:pPr>
<w:r><w:t xml:space="preserve">sister, the countess Cumiana, reserving an annuity which</w:t></w:r>
</w:p>
<w:p>
<w:pPr><w:pStyle w:val="Normal"/></w:pPr>
<w:r><w:t xml:space="preserve">scarcely amounted to a half of his original revenues.  At</w:t></w:r>
</w:p>
<w:p>
<w:pPr><w:pStyle w:val="Normal"/></w:pPr>
<w:r><w:t xml:space="preserve">this period the countess of Albany, urged by the ill-treatment</w:t></w:r>
</w:p>
<w:p>
<w:pPr><w:pStyle w:val="Normal"/></w:pPr>
<w:r><w:t xml:space="preserve">she received from her husband, sought refuge in Rome, where</w:t></w:r>
</w:p>
<w:p>
<w:pPr><w:pStyle w:val="Normal"/></w:pPr>
<w:r><w:t xml:space="preserve">she at length received permission from the pope to live</w:t></w:r>
</w:p>
<w:p>
<w:pPr><w:pStyle w:val="Normal"/></w:pPr>
<w:r><w:t xml:space="preserve">apart from her tormentor.  Alfieri followed the countess to</w:t></w:r>
</w:p>
<w:p>
<w:pPr><w:pStyle w:val="Normal"/></w:pPr>
<w:r><w:t xml:space="preserve">that capital, where he completed fourteen tragedies, four</w:t></w:r>
</w:p>
<w:p>
<w:pPr><w:pStyle w:val="Normal"/></w:pPr>
<w:r><w:t xml:space="preserve">of which were now for the first time printed at Sienna.</w:t></w:r>
</w:p>
<w:p>
<w:pPr><w:pStyle w:val="Normal"/></w:pPr>
<w:r><w:t xml:space="preserve">At length, however, it was thought proper that, by leaving</w:t></w:r>
</w:p>
<w:p>
<w:pPr><w:pStyle w:val="Normal"/></w:pPr>
<w:r><w:t xml:space="preserve">Rome, he should remove the aspersions which had been thrown</w:t></w:r>
</w:p>
<w:p>
<w:pPr><w:pStyle w:val="Normal"/></w:pPr>
<w:r><w:t xml:space="preserve">on the object of his affections.  During the year 1783 he</w:t></w:r>
</w:p>
<w:p>
<w:pPr><w:pStyle w:val="Normal"/></w:pPr>
<w:r><w:t xml:space="preserve">therefore travelled through different states of Italy, and</w:t></w:r>
</w:p>
<w:p>
<w:pPr><w:pStyle w:val="Normal"/></w:pPr>
<w:r><w:t xml:space="preserve">published six additional tragedies.  The interests of his love</w:t></w:r>
</w:p>
<w:p>
<w:pPr><w:pStyle w:val="Normal"/></w:pPr>
<w:r><w:t xml:space="preserve">and literary glory had not diminished his rage for horses,</w:t></w:r>
</w:p>
<w:p>
<w:pPr><w:pStyle w:val="Normal"/></w:pPr>
<w:r><w:t xml:space="preserve">which seems to have been at least the third passion of his</w:t></w:r>
</w:p>
<w:p>
<w:pPr><w:pStyle w:val="Normal"/></w:pPr>
<w:r><w:t xml:space="preserve">soul.  He came to England solely for the purpose of purchasing</w:t></w:r>
</w:p>
<w:p>
<w:pPr><w:pStyle w:val="Normal"/></w:pPr>
<w:r><w:t xml:space="preserve">a number of these animals, which he carried with him to</w:t></w:r>
</w:p>
<w:p>
<w:pPr><w:pStyle w:val="Normal"/></w:pPr>
<w:r><w:t xml:space="preserve">Italy.  On his return he learned that the countess of Albany</w:t></w:r>
</w:p>
<w:p>
<w:pPr><w:pStyle w:val="Normal"/></w:pPr>
<w:r><w:t xml:space="preserve">had gone to Colmar in Alsace, where he joined her, and</w:t></w:r>
</w:p>
<w:p>
<w:pPr><w:pStyle w:val="Normal"/></w:pPr>
<w:r><w:t xml:space="preserve">resided with her under the same roof during the rest of his</w:t></w:r>
</w:p>
<w:p>
<w:pPr><w:pStyle w:val="Normal"/></w:pPr>
<w:r><w:t xml:space="preserve">life.  They chiefly passed their time between Alsace and</w:t></w:r>
</w:p>
<w:p>
<w:pPr><w:pStyle w:val="Normal"/></w:pPr>
<w:r><w:t xml:space="preserve">Paris, but at length took up their abode entirely in that</w:t></w:r>
</w:p>
<w:p>
<w:pPr><w:pStyle w:val="Normal"/></w:pPr>
<w:r><w:t xml:space="preserve">metropolis.  While here, Alfieri made arrangements with</w:t></w:r>
</w:p>
<w:p>
<w:pPr><w:pStyle w:val="Normal"/></w:pPr>
<w:r><w:t xml:space="preserve">Didot for an edition of his tragedies, but was soon after</w:t></w:r>
</w:p>
<w:p>
<w:pPr><w:pStyle w:val="Normal"/></w:pPr>
<w:r><w:t xml:space="preserve">forced to quit Paris by the storms of the Revolution.  He</w:t></w:r>
</w:p>
<w:p>
<w:pPr><w:pStyle w:val="Normal"/></w:pPr>
<w:r><w:t xml:space="preserve">recrossed the Alps with the countess, and finally settled at</w:t></w:r>
</w:p>
<w:p>
<w:pPr><w:pStyle w:val="Normal"/></w:pPr>
<w:r><w:t xml:space="preserve">Florence.  The last ten years of his life, which he spent in</w:t></w:r>
</w:p>
<w:p>
<w:pPr><w:pStyle w:val="Normal"/></w:pPr>
<w:r><w:t xml:space="preserve">that city, seem to have been the happiest of his existence.</w:t></w:r>
</w:p>
<w:p>
<w:pPr><w:pStyle w:val="Normal"/></w:pPr>
<w:r><w:t xml:space="preserve">During that long period his tranquillity was only interrupted</w:t></w:r>
</w:p>
<w:p>
<w:pPr><w:pStyle w:val="Normal"/></w:pPr>
<w:r><w:t xml:space="preserve">by the entrance of the Revolutionary armies into Florence in</w:t></w:r>
</w:p>
<w:p>
<w:pPr><w:pStyle w:val="Normal"/></w:pPr>
<w:r><w:t xml:space="preserve">1799.  Though an enemy of kings, the aristocratic feeling</w:t></w:r>
</w:p>
<w:p>
<w:pPr><w:pStyle w:val="Normal"/></w:pPr>
<w:r><w:t xml:space="preserve">of Alfieri rendered him also a decided foe to the principles</w:t></w:r>
</w:p>
<w:p>
<w:pPr><w:pStyle w:val="Normal"/></w:pPr>
<w:r><w:t xml:space="preserve">and leaders of the French Revolution; and he rejected with</w:t></w:r>
</w:p>
<w:p>
<w:pPr><w:pStyle w:val="Normal"/></w:pPr>
<w:r><w:t xml:space="preserve">the utmost contempt those advances which were made with</w:t></w:r>
</w:p>
<w:p>
<w:pPr><w:pStyle w:val="Normal"/></w:pPr>
<w:r><w:t xml:space="preserve">a view to bring him over to their cause.  The concluding</w:t></w:r>
</w:p>
<w:p>
<w:pPr><w:pStyle w:val="Normal"/></w:pPr>
<w:r><w:t xml:space="preserve">years of his life were laudably employed in the study</w:t></w:r>
</w:p>
<w:p>
<w:pPr><w:pStyle w:val="Normal"/></w:pPr>
<w:r><w:t xml:space="preserve">of the Greek literature and in perfecting a series of</w:t></w:r>
</w:p>
<w:p>
<w:pPr><w:pStyle w:val="Normal"/></w:pPr>
<w:r><w:t xml:space="preserve">comedies.  His assiduous labour on this subject, which he</w:t></w:r>
</w:p>
<w:p>
<w:pPr><w:pStyle w:val="Normal"/></w:pPr>
<w:r><w:t xml:space="preserve">pursued with his characteristic impetuosity, exhausted his</w:t></w:r>
</w:p>
<w:p>
<w:pPr><w:pStyle w:val="Normal"/></w:pPr>
<w:r><w:t xml:space="preserve">strength, and brought on a malady for which he would not</w:t></w:r>
</w:p>
<w:p>
<w:pPr><w:pStyle w:val="Normal"/></w:pPr>
<w:r><w:t xml:space="preserve">adopt the prescriptions of his physicians, but obstinately</w:t></w:r>
</w:p>
<w:p>
<w:pPr><w:pStyle w:val="Normal"/></w:pPr>
<w:r><w:t xml:space="preserve">persisted in employing remedies of his own.  His disorder</w:t></w:r>
</w:p>
<w:p>
<w:pPr><w:pStyle w:val="Normal"/></w:pPr>
<w:r><w:t xml:space="preserve">rapidly increased, and he died on the 8th of October 1803.</w:t></w:r>
</w:p>
<w:p>
<w:pPr><w:pStyle w:val="Normal"/></w:pPr>
<w:r><w:t xml:space="preserve">The character of Alfieri may be best appreciated from the</w:t></w:r>
</w:p>
<w:p>
<w:pPr><w:pStyle w:val="Normal"/></w:pPr>
<w:r><w:t xml:space="preserve">portrait which he has drawn of himself in his own Memoirs</w:t></w:r>
</w:p>
<w:p>
<w:pPr><w:pStyle w:val="Normal"/></w:pPr>
<w:r><w:t xml:space="preserve">of his Life. He was evidently of an irritable, impetuous</w:t></w:r>
</w:p>
<w:p>
<w:pPr><w:pStyle w:val="Normal"/></w:pPr>
<w:r><w:t xml:space="preserve">and almost ungovernable temper.  Pride, which seems to</w:t></w:r>
</w:p>
<w:p>
<w:pPr><w:pStyle w:val="Normal"/></w:pPr>
<w:r><w:t xml:space="preserve">have been a ruling sentiment, may account for many apparent</w:t></w:r>
</w:p>
<w:p>
<w:pPr><w:pStyle w:val="Normal"/></w:pPr>
<w:r><w:t xml:space="preserve">inconsistencies of his character.  But his less amiable</w:t></w:r>
</w:p>
<w:p>
<w:pPr><w:pStyle w:val="Normal"/></w:pPr>
<w:r><w:t xml:space="preserve">qualities were greatly softened by the cultivation of</w:t></w:r>
</w:p>
<w:p>
<w:pPr><w:pStyle w:val="Normal"/></w:pPr>
<w:r><w:t xml:space="preserve">literature.  His application to study gradually tranquillized</w:t></w:r>
</w:p>
<w:p>
<w:pPr><w:pStyle w:val="Normal"/></w:pPr>
<w:r><w:t xml:space="preserve">his temper and softened his manners, leaving him at the same</w:t></w:r>
</w:p>
<w:p>
<w:pPr><w:pStyle w:val="Normal"/></w:pPr>
<w:r><w:t xml:space="preserve">time in perfect possession of those good qualities which he</w:t></w:r>
</w:p>
<w:p>
<w:pPr><w:pStyle w:val="Normal"/></w:pPr>
<w:r><w:t xml:space="preserve">had inherited from nature--a warm and disinterested attachment</w:t></w:r>
</w:p>
<w:p>
<w:pPr><w:pStyle w:val="Normal"/></w:pPr>
<w:r><w:t xml:space="preserve">to his family and friends, united to a generosity, vigour and</w:t></w:r>
</w:p>
<w:p>
<w:pPr><w:pStyle w:val="Normal"/></w:pPr>
<w:r><w:t xml:space="preserve">elevation of character, which rendered him not unworthy to embody</w:t></w:r>
</w:p>
<w:p>
<w:pPr><w:pStyle w:val="Normal"/></w:pPr>
<w:r><w:t xml:space="preserve">in his dramas the actions and sentiments of Grecian heroes.</w:t></w:r>
</w:p>
<w:p>
<w:pPr><w:pStyle w:val="Normal"/></w:pPr>
<w:r><w:t xml:space="preserve">It is to his dramas that Alfieri is chiefly indebted for the</w:t></w:r>
</w:p>
<w:p>
<w:pPr><w:pStyle w:val="Normal"/></w:pPr>
<w:r><w:t xml:space="preserve">high reputation he has attained.  Before his time the Italian</w:t></w:r>
</w:p>
<w:p>
<w:pPr><w:pStyle w:val="Normal"/></w:pPr>
<w:r><w:t xml:space="preserve">language, so harmonious in the Sonnets of Petrarch and so</w:t></w:r>
</w:p>
<w:p>
<w:pPr><w:pStyle w:val="Normal"/></w:pPr>
<w:r><w:t xml:space="preserve">energetic in the Commedia of Dante, had been invariably</w:t></w:r>
</w:p>
<w:p>
<w:pPr><w:pStyle w:val="Normal"/></w:pPr>
<w:r><w:t xml:space="preserve">languid and prosaic in dramatic dialogue.  The pedantic</w:t></w:r>
</w:p>
<w:p>
<w:pPr><w:pStyle w:val="Normal"/></w:pPr>
<w:r><w:t xml:space="preserve">and inanimate tragedies of the 16th century were followed,</w:t></w:r>
</w:p>
<w:p>
<w:pPr><w:pStyle w:val="Normal"/></w:pPr>
<w:r><w:t xml:space="preserve">during the iron age of Italian literature, by dramas of</w:t></w:r>
</w:p>
<w:p>
<w:pPr><w:pStyle w:val="Normal"/></w:pPr>
<w:r><w:t xml:space="preserve">which extravagance in the sentiments and improbability in</w:t></w:r>
</w:p>
<w:p>
<w:pPr><w:pStyle w:val="Normal"/></w:pPr>
<w:r><w:t xml:space="preserve">the action were the chief characteristics.  The prodigious</w:t></w:r>
</w:p>
<w:p>
<w:pPr><w:pStyle w:val="Normal"/></w:pPr>
<w:r><w:t xml:space="preserve">success of the Merope of Maffei, which appeared in the</w:t></w:r>
</w:p>
<w:p>
<w:pPr><w:pStyle w:val="Normal"/></w:pPr>
<w:r><w:t xml:space="preserve">commencement of the 18th century, may be attributed more</w:t></w:r>
</w:p>
<w:p>
<w:pPr><w:pStyle w:val="Normal"/></w:pPr>
<w:r><w:t xml:space="preserve">to a comparison with such productions than to intrinsic</w:t></w:r>
</w:p>
<w:p>
<w:pPr><w:pStyle w:val="Normal"/></w:pPr>
<w:r><w:t xml:space="preserve">merit.  In this degradation of tragic taste the appearance</w:t></w:r>
</w:p>
<w:p>
<w:pPr><w:pStyle w:val="Normal"/></w:pPr>
<w:r><w:t xml:space="preserve">of the tragedies of Alfieri was perhaps the most important</w:t></w:r>
</w:p>
<w:p>
<w:pPr><w:pStyle w:val="Normal"/></w:pPr>
<w:r><w:t xml:space="preserve">literary event that had occurred in Italy during the 18th</w:t></w:r>
</w:p>
<w:p>
<w:pPr><w:pStyle w:val="Normal"/></w:pPr>
<w:r><w:t xml:space="preserve">century.  On these tragedies it is difficult to pronounce a</w:t></w:r>
</w:p>
<w:p>
<w:pPr><w:pStyle w:val="Normal"/></w:pPr>
<w:r><w:t xml:space="preserve">judgment, as the taste and system of the author underwent</w:t></w:r>
</w:p>
<w:p>
<w:pPr><w:pStyle w:val="Normal"/></w:pPr>
<w:r><w:t xml:space="preserve">considerable change and modification during the intervals</w:t></w:r>
</w:p>
<w:p>
<w:pPr><w:pStyle w:val="Normal"/></w:pPr>
<w:r><w:t xml:space="preserve">which elapsed between the three periods of their publication.</w:t></w:r>
</w:p>
<w:p>
<w:pPr><w:pStyle w:val="Normal"/></w:pPr>
<w:r><w:t xml:space="preserve">An excessive harshness of style, an asperity of sentiment and</w:t></w:r>
</w:p>
<w:p>
<w:pPr><w:pStyle w:val="Normal"/></w:pPr>
<w:r><w:t xml:space="preserve">total want of Poetical ornament are the characteristics of</w:t></w:r>
</w:p>
<w:p>
<w:pPr><w:pStyle w:val="Normal"/></w:pPr>
<w:r><w:t xml:space="preserve">his first four tragedies, Filippo, Polinice, Antigone and</w:t></w:r>
</w:p>
<w:p>
<w:pPr><w:pStyle w:val="Normal"/></w:pPr>
<w:r><w:t xml:space="preserve">Virginia. These faults were in some measure corrected in</w:t></w:r>
</w:p>
<w:p>
<w:pPr><w:pStyle w:val="Normal"/></w:pPr>
<w:r><w:t xml:space="preserve">the six tragedies which he gave to the world some years after,</w:t></w:r>
</w:p>
<w:p>
<w:pPr><w:pStyle w:val="Normal"/></w:pPr>
<w:r><w:t xml:space="preserve">and in those which he published along with Saul, the drama</w:t></w:r>
</w:p>
<w:p>
<w:pPr><w:pStyle w:val="Normal"/></w:pPr>
<w:r><w:t xml:space="preserve">which enjoyed the greatest success of all his productions--a</w:t></w:r>
</w:p>
<w:p>
<w:pPr><w:pStyle w:val="Normal"/></w:pPr>
<w:r><w:t xml:space="preserve">popularity which may be partly attributed to the severe and</w:t></w:r>
</w:p>
<w:p>
<w:pPr><w:pStyle w:val="Normal"/></w:pPr>
<w:r><w:t xml:space="preserve">unadorned manner of Alfieri being well adapted to the patriarchal</w:t></w:r>
</w:p>
<w:p>
<w:pPr><w:pStyle w:val="Normal"/></w:pPr>
<w:r><w:t xml:space="preserve">simplicity of the age in which the scene of the tragedy is</w:t></w:r>
</w:p>
<w:p>
<w:pPr><w:pStyle w:val="Normal"/></w:pPr>
<w:r><w:t xml:space="preserve">placed.  But though there be a considerable difference in his</w:t></w:r>
</w:p>
<w:p>
<w:pPr><w:pStyle w:val="Normal"/></w:pPr>
<w:r><w:t xml:space="preserve">dramas, there are certain observations applicable to them</w:t></w:r>
</w:p>
<w:p>
<w:pPr><w:pStyle w:val="Normal"/></w:pPr>
<w:r><w:t xml:space="preserve">all.  None of the plots are of his own invention.  They are</w:t></w:r>
</w:p>
<w:p>
<w:pPr><w:pStyle w:val="Normal"/></w:pPr>
<w:r><w:t xml:space="preserve">founded either on mythological fable or history; most of them</w:t></w:r>
</w:p>
<w:p>
<w:pPr><w:pStyle w:val="Normal"/></w:pPr>
<w:r><w:t xml:space="preserve">had been previously treated by the Greek dramatists or by</w:t></w:r>
</w:p>
<w:p>
<w:pPr><w:pStyle w:val="Normal"/></w:pPr>
<w:r><w:t xml:space="preserve">Seneca. Rosmunda, the only one which could be supposed of</w:t></w:r>
</w:p>
<w:p>
<w:pPr><w:pStyle w:val="Normal"/></w:pPr>
<w:r><w:t xml:space="preserve">his own contrivance, and which is certainly the least happy</w:t></w:r>
</w:p>
<w:p>
<w:pPr><w:pStyle w:val="Normal"/></w:pPr>
<w:r><w:t xml:space="preserve">effusion of his genius, is partly founded on the eighteenth</w:t></w:r>
</w:p>
<w:p>
<w:pPr><w:pStyle w:val="Normal"/></w:pPr>
<w:r><w:t xml:space="preserve">novel of the third part of Bandello and partly on Prevost&apos;s</w:t></w:r>
</w:p>
<w:p>
<w:pPr><w:pStyle w:val="Normal"/></w:pPr>
<w:r><w:t xml:space="preserve">Memoires d&apos;un homme de qualite. But whatever subject he</w:t></w:r>
</w:p>
<w:p>
<w:pPr><w:pStyle w:val="Normal"/></w:pPr>
<w:r><w:t xml:space="preserve">chooses, his dramas are always formed on the Grecian model</w:t></w:r>
</w:p>
<w:p>
<w:pPr><w:pStyle w:val="Normal"/></w:pPr>
<w:r><w:t xml:space="preserve">and breathe a freedom and independence worthy of an Athenian</w:t></w:r>
</w:p>
<w:p>
<w:pPr><w:pStyle w:val="Normal"/></w:pPr>
<w:r><w:t xml:space="preserve">poet.  Indeed, his Agide and Bruto may rather be considered</w:t></w:r>
</w:p>
<w:p>
<w:pPr><w:pStyle w:val="Normal"/></w:pPr>
<w:r><w:t xml:space="preserve">oratorical declamations and dialogues on liberty than tragedies.</w:t></w:r>
</w:p>
<w:p>
<w:pPr><w:pStyle w:val="Normal"/></w:pPr>
<w:r><w:t xml:space="preserve">The unities of time and place are not so scrupulously observed</w:t></w:r>
</w:p>
<w:p>
<w:pPr><w:pStyle w:val="Normal"/></w:pPr>
<w:r><w:t xml:space="preserve">in his as in the ancient dramas; but he has rigidly adhered</w:t></w:r>
</w:p>
<w:p>
<w:pPr><w:pStyle w:val="Normal"/></w:pPr>
<w:r><w:t xml:space="preserve">to a unity of action and interest.  He occupies his scene with</w:t></w:r>
</w:p>
<w:p>
<w:pPr><w:pStyle w:val="Normal"/></w:pPr>
<w:r><w:t xml:space="preserve">one great action and one ruling passion, and removes from it</w:t></w:r>
</w:p>
<w:p>
<w:pPr><w:pStyle w:val="Normal"/></w:pPr>
<w:r><w:t xml:space="preserve">every accessory event or feeling.  In this excessive zeal for</w:t></w:r>
</w:p>
<w:p>
<w:pPr><w:pStyle w:val="Normal"/></w:pPr>
<w:r><w:t xml:space="preserve">the observance of unity he seems to have forgotten that its</w:t></w:r>
</w:p>
<w:p>
<w:pPr><w:pStyle w:val="Normal"/></w:pPr>
<w:r><w:t xml:space="preserve">charm consists in producing a common relation between multiplied</w:t></w:r>
</w:p>
<w:p>
<w:pPr><w:pStyle w:val="Normal"/></w:pPr>
<w:r><w:t xml:space="preserve">feelings, and not in the bare exhibition of one, divested</w:t></w:r>
</w:p>
<w:p>
<w:pPr><w:pStyle w:val="Normal"/></w:pPr>
<w:r><w:t xml:space="preserve">of those various accompaniments which give harmony to the</w:t></w:r>
</w:p>
<w:p>
<w:pPr><w:pStyle w:val="Normal"/></w:pPr>
<w:r><w:t xml:space="preserve">whole.  Consistently with that austere and simple manner which</w:t></w:r>
</w:p>
<w:p>
<w:pPr><w:pStyle w:val="Normal"/></w:pPr>
<w:r><w:t xml:space="preserve">he considered the chief excellence of dramatic composition,</w:t></w:r>
</w:p>
<w:p>
<w:pPr><w:pStyle w:val="Normal"/></w:pPr>
<w:r><w:t xml:space="preserve">he excluded from his scene all coups de theatre,</w:t></w:r>
</w:p>
<w:p>
<w:pPr><w:pStyle w:val="Normal"/></w:pPr>
<w:r><w:t xml:space="preserve">all philosophical reflexions, and that highly ornamented</w:t></w:r>
</w:p>
<w:p>
<w:pPr><w:pStyle w:val="Normal"/></w:pPr>
<w:r><w:t xml:space="preserve">Versification which had been so assiduously cultivated by his</w:t></w:r>
</w:p>
<w:p>
<w:pPr><w:pStyle w:val="Normal"/></w:pPr>
<w:r><w:t xml:space="preserve">predecessors.  In his anxiety, however, to avoid all superfluous</w:t></w:r>
</w:p>
<w:p>
<w:pPr><w:pStyle w:val="Normal"/></w:pPr>
<w:r><w:t xml:space="preserve">ornament, he has stripped his dramas of the embellishments</w:t></w:r>
</w:p>
<w:p>
<w:pPr><w:pStyle w:val="Normal"/></w:pPr>
<w:r><w:t xml:space="preserve">of imagination; and for the harmony and flow of poetical</w:t></w:r>
</w:p>
<w:p>
<w:pPr><w:pStyle w:val="Normal"/></w:pPr>
<w:r><w:t xml:space="preserve">language he has substituted, even in his best performances,</w:t></w:r>
</w:p>
<w:p>
<w:pPr><w:pStyle w:val="Normal"/></w:pPr>
<w:r><w:t xml:space="preserve">a style which, though correct and pure, is generally harsh,</w:t></w:r>
</w:p>
<w:p>
<w:pPr><w:pStyle w:val="Normal"/></w:pPr>
<w:r><w:t xml:space="preserve">elaborate and abrupt; often strained into unnatural energy or</w:t></w:r>
</w:p>
<w:p>
<w:pPr><w:pStyle w:val="Normal"/></w:pPr>
<w:r><w:t xml:space="preserve">condensed into factitious conciseness.  The chief excellence</w:t></w:r>
</w:p>
<w:p>
<w:pPr><w:pStyle w:val="Normal"/></w:pPr>
<w:r><w:t xml:space="preserve">of Alfieri consists in powerful delineation of dramatic</w:t></w:r>
</w:p>
<w:p>
<w:pPr><w:pStyle w:val="Normal"/></w:pPr>
<w:r><w:t xml:space="preserve">character.  In his Filippo he has represented, almost with</w:t></w:r>
</w:p>
<w:p>
<w:pPr><w:pStyle w:val="Normal"/></w:pPr>
<w:r><w:t xml:space="preserve">the masterly touches of Tacitus, the sombre character, the</w:t></w:r>
</w:p>
<w:p>
<w:pPr><w:pStyle w:val="Normal"/></w:pPr>
<w:r><w:t xml:space="preserve">dark mysterious counsels, the suspensa semper et obscura</w:t></w:r>
</w:p>
<w:p>
<w:pPr><w:pStyle w:val="Normal"/></w:pPr>
<w:r><w:t xml:space="preserve">verba, of the modern Tiberius.  In Polinice, the characters</w:t></w:r>
</w:p>
<w:p>
<w:pPr><w:pStyle w:val="Normal"/></w:pPr>
<w:r><w:t xml:space="preserve">of the rival brothers are beautifully contrasted; in Maria</w:t></w:r>
</w:p>
<w:p>
<w:pPr><w:pStyle w:val="Normal"/></w:pPr>
<w:r><w:t xml:space="preserve">Stuarda, that unfortunate queen is represented unsuspicious,</w:t></w:r>
</w:p>
<w:p>
<w:pPr><w:pStyle w:val="Normal"/></w:pPr>
<w:r><w:t xml:space="preserve">impatient of contradiction and violent in her attachments.</w:t></w:r>
</w:p>
<w:p>
<w:pPr><w:pStyle w:val="Normal"/></w:pPr>
<w:r><w:t xml:space="preserve">In Mirra, the character of Ciniro is perfect as a father</w:t></w:r>
</w:p>
<w:p>
<w:pPr><w:pStyle w:val="Normal"/></w:pPr>
<w:r><w:t xml:space="preserve">and king, and Cecri is a model of a wife and mother.  In the</w:t></w:r>
</w:p>
<w:p>
<w:pPr><w:pStyle w:val="Normal"/></w:pPr>
<w:r><w:t xml:space="preserve">representation of that species of mental alienation where</w:t></w:r>
</w:p>
<w:p>
<w:pPr><w:pStyle w:val="Normal"/></w:pPr>
<w:r><w:t xml:space="preserve">the judgment has perished but traces of character still</w:t></w:r>
</w:p>
<w:p>
<w:pPr><w:pStyle w:val="Normal"/></w:pPr>
<w:r><w:t xml:space="preserve">remain, he is peculiarly happy.  The insanity of Saul is</w:t></w:r>
</w:p>
<w:p>
<w:pPr><w:pStyle w:val="Normal"/></w:pPr>
<w:r><w:t xml:space="preserve">skilfully managed; and the horrid joy of Orestes in killing</w:t></w:r>
</w:p>
<w:p>
<w:pPr><w:pStyle w:val="Normal"/></w:pPr>
<w:r><w:t xml:space="preserve">Aegisthus rises finely and naturally to madness in finding</w:t></w:r>
</w:p>
<w:p>
<w:pPr><w:pStyle w:val="Normal"/></w:pPr>
<w:r><w:t xml:space="preserve">that, at the same time, he had inadvertently slain his mother.</w:t></w:r>
</w:p>
<w:p>
<w:pPr><w:pStyle w:val="Normal"/></w:pPr>
<w:r><w:t xml:space="preserve">Whatever may be the merits or defects of Alfieri, he may be</w:t></w:r>
</w:p>
<w:p>
<w:pPr><w:pStyle w:val="Normal"/></w:pPr>
<w:r><w:t xml:space="preserve">considered as the founder of a new school in the Italian drama.</w:t></w:r>
</w:p>
<w:p>
<w:pPr><w:pStyle w:val="Normal"/></w:pPr>
<w:r><w:t xml:space="preserve">His country hailed him as her sole tragic poet; and his successors</w:t></w:r>
</w:p>
<w:p>
<w:pPr><w:pStyle w:val="Normal"/></w:pPr>
<w:r><w:t xml:space="preserve">in the same path of literature have regarded his bold, austere</w:t></w:r>
</w:p>
<w:p>
<w:pPr><w:pStyle w:val="Normal"/></w:pPr>
<w:r><w:t xml:space="preserve">and rapid manner as the genuine model of tragic composition.</w:t></w:r>
</w:p>
<w:p>
<w:pPr><w:pStyle w:val="Normal"/></w:pPr>
<w:r><w:t xml:space="preserve">Besides his tragedies, Alfieri published during his life many</w:t></w:r>
</w:p>
<w:p>
<w:pPr><w:pStyle w:val="Normal"/></w:pPr>
<w:r><w:t xml:space="preserve">sonnets, five odes on American independence and the poem of</w:t></w:r>
</w:p>
<w:p>
<w:pPr><w:pStyle w:val="Normal"/></w:pPr>
<w:r><w:t xml:space="preserve">Etruria, founded on the assassination of Alexander I., duke of</w:t></w:r>
</w:p>
<w:p>
<w:pPr><w:pStyle w:val="Normal"/></w:pPr>
<w:r><w:t xml:space="preserve">Florence.  Of his prose works the most distinguished for</w:t></w:r>
</w:p>
<w:p>
<w:pPr><w:pStyle w:val="Normal"/></w:pPr>
<w:r><w:t xml:space="preserve">animation and eloquence is the Panegyric on Trajan, composed</w:t></w:r>
</w:p>
<w:p>
<w:pPr><w:pStyle w:val="Normal"/></w:pPr>
<w:r><w:t xml:space="preserve">in a transport of indignation at the supposed feebleness of</w:t></w:r>
</w:p>
<w:p>
<w:pPr><w:pStyle w:val="Normal"/></w:pPr>
<w:r><w:t xml:space="preserve">Pliny&apos;s eulogium.  The two books entitled La Tirannide and</w:t></w:r>
</w:p>
<w:p>
<w:pPr><w:pStyle w:val="Normal"/></w:pPr>
<w:r><w:t xml:space="preserve">the Essays on Literature and Government are remarkable for</w:t></w:r>
</w:p>
<w:p>
<w:pPr><w:pStyle w:val="Normal"/></w:pPr>
<w:r><w:t xml:space="preserve">elegance and vigour of style, but are too evidently imitations</w:t></w:r>
</w:p>
<w:p>
<w:pPr><w:pStyle w:val="Normal"/></w:pPr>
<w:r><w:t xml:space="preserve">of the manner of Machiavel.  His Antigallican, which was</w:t></w:r>
</w:p>
<w:p>
<w:pPr><w:pStyle w:val="Normal"/></w:pPr>
<w:r><w:t xml:space="preserve">written at the same time with his Defence of Louis XVI.,</w:t></w:r>
</w:p>
<w:p>
<w:pPr><w:pStyle w:val="Normal"/></w:pPr>
<w:r><w:t xml:space="preserve">comprehends an historical and satirical view of the French</w:t></w:r>
</w:p>
<w:p>
<w:pPr><w:pStyle w:val="Normal"/></w:pPr>
<w:r><w:t xml:space="preserve">Revolution.  The posthumous works of Alfieri consist of satires,</w:t></w:r>
</w:p>
<w:p>
<w:pPr><w:pStyle w:val="Normal"/></w:pPr>
<w:r><w:t xml:space="preserve">six political comedies and the Memoirs of his Life--a work</w:t></w:r>
</w:p>
<w:p>
<w:pPr><w:pStyle w:val="Normal"/></w:pPr>
<w:r><w:t xml:space="preserve">which will always be read with interest, in spite of the cold</w:t></w:r>
</w:p>
<w:p>
<w:pPr><w:pStyle w:val="Normal"/></w:pPr>
<w:r><w:t xml:space="preserve">and languid gravity with which he delineates the most interesting</w:t></w:r>
</w:p>
<w:p>
<w:pPr><w:pStyle w:val="Normal"/></w:pPr>
<w:r><w:t xml:space="preserve">adventures and the strongest passions of his agitated life.</w:t></w:r>
</w:p>
<w:p>
<w:pPr><w:pStyle w:val="Normal"/></w:pPr>
<w:r><w:t xml:space="preserve">See Mem. di Vit. Alfieri; Sismondi, De la lit. du midi de</w:t></w:r>
</w:p>
<w:p>
<w:pPr><w:pStyle w:val="Normal"/></w:pPr>
<w:r><w:t xml:space="preserve">l&apos;Europe; Walker&apos;s Memoir on Italian Tragedy; Giorn. de Pisa,</w:t></w:r>
</w:p>
<w:p>
<w:pPr><w:pStyle w:val="Normal"/></w:pPr>
<w:r><w:t xml:space="preserve">tom. lviii.; Life of Alfieri, by Centofanti (Florence, 1842);</w:t></w:r>
</w:p>
<w:p>
<w:pPr><w:pStyle w:val="Normal"/></w:pPr>
<w:r><w:t xml:space="preserve">Vita, Giornuli, Lettere di Alfieri, by Teza (Florence, 1861);</w:t></w:r>
</w:p>
<w:p>
<w:pPr><w:pStyle w:val="Normal"/></w:pPr>
<w:r><w:t xml:space="preserve">Vittorio Alfieri, by Antonini and Cognetti (Turin, 1898).</w:t></w:r>
</w:p>
<w:p>
<w:pPr><w:pStyle w:val="Normal"/></w:pPr>
<w:r><w:t xml:space="preserve">ALFORD, HENRY (1810-1871), English divine and scholar,</w:t></w:r>
</w:p>
<w:p>
<w:pPr><w:pStyle w:val="Normal"/></w:pPr>
<w:r><w:t xml:space="preserve">was born in London on the 7th of October 1810.  He came of</w:t></w:r>
</w:p>
<w:p>
<w:pPr><w:pStyle w:val="Normal"/></w:pPr>
<w:r><w:t xml:space="preserve">a Somersetshire family, which had given five consecutive</w:t></w:r>
</w:p>
<w:p>
<w:pPr><w:pStyle w:val="Normal"/></w:pPr>
<w:r><w:t xml:space="preserve">generations of clergymen to the Anglican church.  Alford&apos;s</w:t></w:r>
</w:p>
<w:p>
<w:pPr><w:pStyle w:val="Normal"/></w:pPr>
<w:r><w:t xml:space="preserve">early years were passed with his widowed father, who was</w:t></w:r>
</w:p>
<w:p>
<w:pPr><w:pStyle w:val="Normal"/></w:pPr>
<w:r><w:t xml:space="preserve">curate of Steeple Ashton in Wiltshire.  He was an extremely</w:t></w:r>
</w:p>
<w:p>
<w:pPr><w:pStyle w:val="Normal"/></w:pPr>
<w:r><w:t xml:space="preserve">precocious lad, and before he was ten had written several</w:t></w:r>
</w:p>
<w:p>
<w:pPr><w:pStyle w:val="Normal"/></w:pPr>
<w:r><w:t xml:space="preserve">Latin odes, a history of the Jews and a series of homiletic</w:t></w:r>
</w:p>
<w:p>
<w:pPr><w:pStyle w:val="Normal"/></w:pPr>
<w:r><w:t xml:space="preserve">outlines.  After a peripatetic school course he went up to</w:t></w:r>
</w:p>
<w:p>
<w:pPr><w:pStyle w:val="Normal"/></w:pPr>
<w:r><w:t xml:space="preserve">Cambridge in 1827 as a scholar of Trinity.  In 1832 he was</w:t></w:r>
</w:p>
<w:p>
<w:pPr><w:pStyle w:val="Normal"/></w:pPr>
<w:r><w:t xml:space="preserve">34th wrangler and 8th classic, and in 1834 was made fellow of</w:t></w:r>
</w:p>
<w:p>
<w:pPr><w:pStyle w:val="Normal"/></w:pPr>
<w:r><w:t xml:space="preserve">Trinity.  He had already taken orders, and in 1835 began</w:t></w:r>
</w:p>
<w:p>
<w:pPr><w:pStyle w:val="Normal"/></w:pPr>
<w:r><w:t xml:space="preserve">his eighteen years&apos; tenure of the vicarage of Wymeswold in</w:t></w:r>
</w:p>
<w:p>
<w:pPr><w:pStyle w:val="Normal"/></w:pPr>
<w:r><w:t xml:space="preserve">Leicestershire, from which seclusion the twice-repeated</w:t></w:r>
</w:p>
<w:p>
<w:pPr><w:pStyle w:val="Normal"/></w:pPr>
<w:r><w:t xml:space="preserve">offer of a colonial bishopric failed to draw him.  He was</w:t></w:r>
</w:p>
<w:p>
<w:pPr><w:pStyle w:val="Normal"/></w:pPr>
<w:r><w:t xml:space="preserve">Hulsean lecturer at Cambridge in 1841-1842, and steadily</w:t></w:r>
</w:p>
<w:p>
<w:pPr><w:pStyle w:val="Normal"/></w:pPr>
<w:r><w:t xml:space="preserve">built up a reputation as scholar and preacher, which would</w:t></w:r>
</w:p>
<w:p>
<w:pPr><w:pStyle w:val="Normal"/></w:pPr>
<w:r><w:t xml:space="preserve">have been enhanced but for his discursive ramblings in the</w:t></w:r>
</w:p>
<w:p>
<w:pPr><w:pStyle w:val="Normal"/></w:pPr>
<w:r><w:t xml:space="preserve">fields of minor poetry and magazine editing.  In September</w:t></w:r>
</w:p>
<w:p>
<w:pPr><w:pStyle w:val="Normal"/></w:pPr>
<w:r><w:t xml:space="preserve">1853 Alford removed to Quebec Chapel, London, where he had</w:t></w:r>
</w:p>
<w:p>
<w:pPr><w:pStyle w:val="Normal"/></w:pPr>
<w:r><w:t xml:space="preserve">a large and cultured congregation.  In March 1857 Viscount</w:t></w:r>
</w:p>
<w:p>
<w:pPr><w:pStyle w:val="Normal"/></w:pPr>
<w:r><w:t xml:space="preserve">Palmerston advanced him to the deanery of Canterbury, where,</w:t></w:r>
</w:p>
<w:p>
<w:pPr><w:pStyle w:val="Normal"/></w:pPr>
<w:r><w:t xml:space="preserve">till his death on the 12th of January 1871, he lived the same</w:t></w:r>
</w:p>
<w:p>
<w:pPr><w:pStyle w:val="Normal"/></w:pPr>
<w:r><w:t xml:space="preserve">strenuous and diversified life that had always characterized</w:t></w:r>
</w:p>
<w:p>
<w:pPr><w:pStyle w:val="Normal"/></w:pPr>
<w:r><w:t xml:space="preserve">him.  The inscription on his tomb, chosen by himself, is</w:t></w:r>
</w:p>
<w:p>
<w:pPr><w:pStyle w:val="Normal"/></w:pPr>
<w:r><w:t xml:space="preserve">``Diversorium Viatoris Hierosolymam Proficiscentis.&apos;&apos;</w:t></w:r>
</w:p>
<w:p>
<w:pPr><w:pStyle w:val="Normal"/></w:pPr>
<w:r><w:t xml:space="preserve">Alford was a not inconsiderable artist, as his picture-book,</w:t></w:r>
</w:p>
<w:p>
<w:pPr><w:pStyle w:val="Normal"/></w:pPr>
<w:r><w:t xml:space="preserve">The Riviera (1870), shows, and he had abundant musical and</w:t></w:r>
</w:p>
<w:p>
<w:pPr><w:pStyle w:val="Normal"/></w:pPr>
<w:r><w:t xml:space="preserve">mechanical talent.  Besides editing the works of John Donne,</w:t></w:r>
</w:p>
<w:p>
<w:pPr><w:pStyle w:val="Normal"/></w:pPr>
<w:r><w:t xml:space="preserve">he published several volumes of his own verse, The School of</w:t></w:r>
</w:p>
<w:p>
<w:pPr><w:pStyle w:val="Normal"/></w:pPr>
<w:r><w:t xml:space="preserve">the Heart (1835), The Abbot of Muchelnaye (1841), and a</w:t></w:r>
</w:p>
<w:p>
<w:pPr><w:pStyle w:val="Normal"/></w:pPr>
<w:r><w:t xml:space="preserve">number of hymns, the best-known of which are ``Forward! be our</w:t></w:r>
</w:p>
<w:p>
<w:pPr><w:pStyle w:val="Normal"/></w:pPr>
<w:r><w:t xml:space="preserve">watch-word,&apos;&apos; ``Come, ye thankful people, come,&apos;&apos; and ``Ten</w:t></w:r>
</w:p>
<w:p>
<w:pPr><w:pStyle w:val="Normal"/></w:pPr>
<w:r><w:t xml:space="preserve">thousand times ten thousand.&apos;&apos; He translated the Odyssey,</w:t></w:r>
</w:p>
<w:p>
<w:pPr><w:pStyle w:val="Normal"/></w:pPr>
<w:r><w:t xml:space="preserve">wrote a well-known manual of idiom, A Plea for the Queen&apos;s</w:t></w:r>
</w:p>
<w:p>
<w:pPr><w:pStyle w:val="Normal"/></w:pPr>
<w:r><w:t xml:space="preserve">English (1863), and was the first editor of the Contemporary</w:t></w:r>
</w:p>
<w:p>
<w:pPr><w:pStyle w:val="Normal"/></w:pPr>
<w:r><w:t xml:space="preserve">Review (1866--1870).  His chief fame, however, rests upon his</w:t></w:r>
</w:p>
<w:p>
<w:pPr><w:pStyle w:val="Normal"/></w:pPr>
<w:r><w:t xml:space="preserve">monumental edition of the New Testament in Greek (4 vols.),</w:t></w:r>
</w:p>
<w:p>
<w:pPr><w:pStyle w:val="Normal"/></w:pPr>
<w:r><w:t xml:space="preserve">which occupied him from 1841 to 1861.  In this work he first</w:t></w:r>
</w:p>
<w:p>
<w:pPr><w:pStyle w:val="Normal"/></w:pPr>
<w:r><w:t xml:space="preserve">brought before English students a careful collation of the</w:t></w:r>
</w:p>
<w:p>
<w:pPr><w:pStyle w:val="Normal"/></w:pPr>
<w:r><w:t xml:space="preserve">readings of the chief MSS. and the researches of the ripest</w:t></w:r>
</w:p>
<w:p>
<w:pPr><w:pStyle w:val="Normal"/></w:pPr>
<w:r><w:t xml:space="preserve">continental scholarship of his day.  Philological rather</w:t></w:r>
</w:p>
<w:p>
<w:pPr><w:pStyle w:val="Normal"/></w:pPr>
<w:r><w:t xml:space="preserve">than theological in character, it marked an epochal change</w:t></w:r>
</w:p>
<w:p>
<w:pPr><w:pStyle w:val="Normal"/></w:pPr>
<w:r><w:t xml:space="preserve">from the old homiletic commentary, and though more recent</w:t></w:r>
</w:p>
<w:p>
<w:pPr><w:pStyle w:val="Normal"/></w:pPr>
<w:r><w:t xml:space="preserve">research, patristic and papyral, has largely changed the</w:t></w:r>
</w:p>
<w:p>
<w:pPr><w:pStyle w:val="Normal"/></w:pPr>
<w:r><w:t xml:space="preserve">method of New Testament exegesis, Alford&apos;s work is still a</w:t></w:r>
</w:p>
<w:p>
<w:pPr><w:pStyle w:val="Normal"/></w:pPr>
<w:r><w:t xml:space="preserve">quarry where the student can dig with a good deal of profit.</w:t></w:r>
</w:p>
<w:p>
<w:pPr><w:pStyle w:val="Normal"/></w:pPr>
<w:r><w:t xml:space="preserve">His Life, written by his widow, appeared in 1873 (Rivington). (A. J. G.)</w:t></w:r>
</w:p>
<w:p>
<w:pPr><w:pStyle w:val="Normal"/></w:pPr>
<w:r><w:t xml:space="preserve">ALFRED, or AELFRED, known as THE GREAT (848-? 900), king</w:t></w:r>
</w:p>
<w:p>
<w:pPr><w:pStyle w:val="Normal"/></w:pPr>
<w:r><w:t xml:space="preserve">of England, was born in 848 at Wantage, and was the fourth</w:t></w:r>
</w:p>
<w:p>
<w:pPr><w:pStyle w:val="Normal"/></w:pPr>
<w:r><w:t xml:space="preserve">son of King AEthelwulf and his first wife (Osburh).  He seems</w:t></w:r>
</w:p>
<w:p>
<w:pPr><w:pStyle w:val="Normal"/></w:pPr>
<w:r><w:t xml:space="preserve">to have been a child of singular attractiveness and promise,</w:t></w:r>
</w:p>
<w:p>
<w:pPr><w:pStyle w:val="Normal"/></w:pPr>
<w:r><w:t xml:space="preserve">and stories of his boyhood were remembered.  At the age of</w:t></w:r>
</w:p>
<w:p>
<w:pPr><w:pStyle w:val="Normal"/></w:pPr>
<w:r><w:t xml:space="preserve">five (853) he was sent to Rome, where he was confirmed by Leo</w:t></w:r>
</w:p>
<w:p>
<w:pPr><w:pStyle w:val="Normal"/></w:pPr>
<w:r><w:t xml:space="preserve">IV., who is also stated to have ``hallowed him as king.&apos;&apos;</w:t></w:r>
</w:p>
<w:p>
<w:pPr><w:pStyle w:val="Normal"/></w:pPr>
<w:r><w:t xml:space="preserve">Later writers interpreted this as an anticipatory crowning</w:t></w:r>
</w:p>
<w:p>
<w:pPr><w:pStyle w:val="Normal"/></w:pPr>
<w:r><w:t xml:space="preserve">in preparation for his ultimate succession to the throne of</w:t></w:r>
</w:p>
<w:p>
<w:pPr><w:pStyle w:val="Normal"/></w:pPr>
<w:r><w:t xml:space="preserve">Wessex.  That, however, could not have been foreseen in</w:t></w:r>
</w:p>
<w:p>
<w:pPr><w:pStyle w:val="Normal"/></w:pPr>
<w:r><w:t xml:space="preserve">853, as Alfred had three elder brothers living.  It is</w:t></w:r>
</w:p>
<w:p>
<w:pPr><w:pStyle w:val="Normal"/></w:pPr>
<w:r><w:t xml:space="preserve">probably to be understood either of investiture with the</w:t></w:r>
</w:p>
<w:p>
<w:pPr><w:pStyle w:val="Normal"/></w:pPr>
<w:r><w:t xml:space="preserve">consular insignia, or possibly with some titular royalty</w:t></w:r>
</w:p>
<w:p>
<w:pPr><w:pStyle w:val="Normal"/></w:pPr>
<w:r><w:t xml:space="preserve">such as that of the under-kingdom of Kent.  In 855 Alfred</w:t></w:r>
</w:p>
<w:p>
<w:pPr><w:pStyle w:val="Normal"/></w:pPr>
<w:r><w:t xml:space="preserve">again went to Rome with his father AEthelwulf, returning</w:t></w:r>
</w:p>
<w:p>
<w:pPr><w:pStyle w:val="Normal"/></w:pPr>
<w:r><w:t xml:space="preserve">towards the end of 856. About two years later his father</w:t></w:r>
</w:p>
<w:p>
<w:pPr><w:pStyle w:val="Normal"/></w:pPr>
<w:r><w:t xml:space="preserve">died.  During the short reigns of his two eldest brothers,</w:t></w:r>
</w:p>
<w:p>
<w:pPr><w:pStyle w:val="Normal"/></w:pPr>
<w:r><w:t xml:space="preserve">AEthelbald and AEthelberht, nothing is heard of Alfred.</w:t></w:r>
</w:p>
<w:p>
<w:pPr><w:pStyle w:val="Normal"/></w:pPr>
<w:r><w:t xml:space="preserve">But with the accession of the third brother AEthelred (866)</w:t></w:r>
</w:p>
<w:p>
<w:pPr><w:pStyle w:val="Normal"/></w:pPr>
<w:r><w:t xml:space="preserve">the public life of Alfred begins, and he enters on his</w:t></w:r>
</w:p>
<w:p>
<w:pPr><w:pStyle w:val="Normal"/></w:pPr>
<w:r><w:t xml:space="preserve">great work of delivering England from the Danes.  It is in</w:t></w:r>
</w:p>
<w:p>
<w:pPr><w:pStyle w:val="Normal"/></w:pPr>
<w:r><w:t xml:space="preserve">this reign that Asser applies to Alfred the unique title of</w:t></w:r>
</w:p>
<w:p>
<w:pPr><w:pStyle w:val="Normal"/></w:pPr>
<w:r><w:t xml:space="preserve">secundarius, which seems to indicate a position analogous to</w:t></w:r>
</w:p>
<w:p>
<w:pPr><w:pStyle w:val="Normal"/></w:pPr>
<w:r><w:t xml:space="preserve">that of the Celtic tanist, a recognized successor, closely</w:t></w:r>
</w:p>
<w:p>
<w:pPr><w:pStyle w:val="Normal"/></w:pPr>
<w:r><w:t xml:space="preserve">associated with the reigning prince.  It is probable that</w:t></w:r>
</w:p>
<w:p>
<w:pPr><w:pStyle w:val="Normal"/></w:pPr>
<w:r><w:t xml:space="preserve">this arrangement was definitely sanctioned by the witenagemot,</w:t></w:r>
</w:p>
<w:p>
<w:pPr><w:pStyle w:val="Normal"/></w:pPr>
<w:r><w:t xml:space="preserve">to guard against the danger of a disputed succession should</w:t></w:r>
</w:p>
<w:p>
<w:pPr><w:pStyle w:val="Normal"/></w:pPr>
<w:r><w:t xml:space="preserve">AEthelred fall in battle.  In 868 Alfred married Ealhswith,</w:t></w:r>
</w:p>
<w:p>
<w:pPr><w:pStyle w:val="Normal"/></w:pPr>
<w:r><w:t xml:space="preserve">daughter of AEthelred Mucill, who is called ealdorman of the</w:t></w:r>
</w:p>
<w:p>
<w:pPr><w:pStyle w:val="Normal"/></w:pPr>
<w:r><w:t xml:space="preserve">Gaini, an unidentified district.  The same year the two</w:t></w:r>
</w:p>
<w:p>
<w:pPr><w:pStyle w:val="Normal"/></w:pPr>
<w:r><w:t xml:space="preserve">brothers made an unsuccessful attempt to relieve Mercia from</w:t></w:r>
</w:p>
<w:p>
<w:pPr><w:pStyle w:val="Normal"/></w:pPr>
<w:r><w:t xml:space="preserve">the pressure of the Danes.  For nearly two years Wessex had a</w:t></w:r>
</w:p>
<w:p>
<w:pPr><w:pStyle w:val="Normal"/></w:pPr>
<w:r><w:t xml:space="preserve">respite.  But at the end of 870 the storm burst; and the year</w:t></w:r>
</w:p>
<w:p>
<w:pPr><w:pStyle w:val="Normal"/></w:pPr>
<w:r><w:t xml:space="preserve">which followed has been rightly called ``Alfred&apos;s year of</w:t></w:r>
</w:p>
<w:p>
<w:pPr><w:pStyle w:val="Normal"/></w:pPr>
<w:r><w:t xml:space="preserve">battles.&apos;&apos; Nine general engagements were fought with varying</w:t></w:r>
</w:p>
<w:p>
<w:pPr><w:pStyle w:val="Normal"/></w:pPr>
<w:r><w:t xml:space="preserve">fortunes, though the place and date of two of them have not</w:t></w:r>
</w:p>
<w:p>
<w:pPr><w:pStyle w:val="Normal"/></w:pPr>
<w:r><w:t xml:space="preserve">been recorded.  A successful skirmish at Englefield, Berks</w:t></w:r>
</w:p>
<w:p>
<w:pPr><w:pStyle w:val="Normal"/></w:pPr>
<w:r><w:t xml:space="preserve">(December 31, 870), was followed by a severe defeat at Reading</w:t></w:r>
</w:p>
<w:p>
<w:pPr><w:pStyle w:val="Normal"/></w:pPr>
<w:r><w:t xml:space="preserve">(January 4, 871), and this, four days later, by the brilliant</w:t></w:r>
</w:p>
<w:p>
<w:pPr><w:pStyle w:val="Normal"/></w:pPr>
<w:r><w:t xml:space="preserve">victory of Ashdown, near Compton Beauchamp in Shrivenham</w:t></w:r>
</w:p>
<w:p>
<w:pPr><w:pStyle w:val="Normal"/></w:pPr>
<w:r><w:t xml:space="preserve">Hundred.  On the 22nd of January the English were again</w:t></w:r>
</w:p>
<w:p>
<w:pPr><w:pStyle w:val="Normal"/></w:pPr>
<w:r><w:t xml:space="preserve">defeated at Basing, and on the 22nd of March at Marton, Wilts,</w:t></w:r>
</w:p>
<w:p>
<w:pPr><w:pStyle w:val="Normal"/></w:pPr>
<w:r><w:t xml:space="preserve">the two unidentified battles having perhaps occurred in the</w:t></w:r>
</w:p>
<w:p>
<w:pPr><w:pStyle w:val="Normal"/></w:pPr>
<w:r><w:t xml:space="preserve">interval.  In April AEthelred died, and Alfred succeeded to</w:t></w:r>
</w:p>
<w:p>
<w:pPr><w:pStyle w:val="Normal"/></w:pPr>
<w:r><w:t xml:space="preserve">the whole burden of the contest.  While he was busied with</w:t></w:r>
</w:p>
<w:p>
<w:pPr><w:pStyle w:val="Normal"/></w:pPr>
<w:r><w:t xml:space="preserve">his brother&apos;s exequies, the Danes defeated the English in</w:t></w:r>
</w:p>
<w:p>
<w:pPr><w:pStyle w:val="Normal"/></w:pPr>
<w:r><w:t xml:space="preserve">his absence at an unnamed spot, and once more in his presence</w:t></w:r>
</w:p>
<w:p>
<w:pPr><w:pStyle w:val="Normal"/></w:pPr>
<w:r><w:t xml:space="preserve">at Wilton in May. After this peace was made, and for the</w:t></w:r>
</w:p>
<w:p>
<w:pPr><w:pStyle w:val="Normal"/></w:pPr>
<w:r><w:t xml:space="preserve">next five years the Danes were occupied in other parts of</w:t></w:r>
</w:p>
<w:p>
<w:pPr><w:pStyle w:val="Normal"/></w:pPr>
<w:r><w:t xml:space="preserve">England, Alfred merely keeping a force of observation on the</w:t></w:r>
</w:p>
<w:p>
<w:pPr><w:pStyle w:val="Normal"/></w:pPr>
<w:r><w:t xml:space="preserve">frontier.  But in 876 part of the Danes managed to slip past</w:t></w:r>
</w:p>
<w:p>
<w:pPr><w:pStyle w:val="Normal"/></w:pPr>
<w:r><w:t xml:space="preserve">him and occupied Wareham; whence, early in 877, under cover of</w:t></w:r>
</w:p>
<w:p>
<w:pPr><w:pStyle w:val="Normal"/></w:pPr>
<w:r><w:t xml:space="preserve">treacherous negotiations, they made a dash westwards and seized</w:t></w:r>
</w:p>
<w:p>
<w:pPr><w:pStyle w:val="Normal"/></w:pPr>
<w:r><w:t xml:space="preserve">Exeter.  Here Alfred blockaded them, and a relieving fleet</w:t></w:r>
</w:p>
<w:p>
<w:pPr><w:pStyle w:val="Normal"/></w:pPr>
<w:r><w:t xml:space="preserve">having been scattered by a storm, the Danes had to submit</w:t></w:r>
</w:p>
<w:p>
<w:pPr><w:pStyle w:val="Normal"/></w:pPr>
<w:r><w:t xml:space="preserve">and withdrew to Mercia.  But in January 878 they made a</w:t></w:r>
</w:p>
<w:p>
<w:pPr><w:pStyle w:val="Normal"/></w:pPr>
<w:r><w:t xml:space="preserve">sudden swoop on Chippenham, a royal vill in which Alfred had</w:t></w:r>
</w:p>
<w:p>
<w:pPr><w:pStyle w:val="Normal"/></w:pPr>
<w:r><w:t xml:space="preserve">been keeping his Christmas, ``and most of the people they</w:t></w:r>
</w:p>
<w:p>
<w:pPr><w:pStyle w:val="Normal"/></w:pPr>
<w:r><w:t xml:space="preserve">reduced, except the King Alfred, and he with a little band</w:t></w:r>
</w:p>
<w:p>
<w:pPr><w:pStyle w:val="Normal"/></w:pPr>
<w:r><w:t xml:space="preserve">made his way . . . by wood and swamp, and after Easter he . .</w:t></w:r>
</w:p>
<w:p>
<w:pPr><w:pStyle w:val="Normal"/></w:pPr>
<w:r><w:t xml:space="preserve">. made a fort at Athelney, and from that fort kept fighting</w:t></w:r>
</w:p>
<w:p>
<w:pPr><w:pStyle w:val="Normal"/></w:pPr>
<w:r><w:t xml:space="preserve">against the foe&apos;&apos; (Chron..) The idea that Alfred, during</w:t></w:r>
</w:p>
<w:p>
<w:pPr><w:pStyle w:val="Normal"/></w:pPr>
<w:r><w:t xml:space="preserve">his retreat at Athelney, was a helpless fugitive rests upon</w:t></w:r>
</w:p>
<w:p>
<w:pPr><w:pStyle w:val="Normal"/></w:pPr>
<w:r><w:t xml:space="preserve">the foolish legend of the cakes.  In reality he was organizing</w:t></w:r>
</w:p>
<w:p>
<w:pPr><w:pStyle w:val="Normal"/></w:pPr>
<w:r><w:t xml:space="preserve">victory.  By the middle of May his preparations were complete</w:t></w:r>
</w:p>
<w:p>
<w:pPr><w:pStyle w:val="Normal"/></w:pPr>
<w:r><w:t xml:space="preserve">and he moved out of Athelney, being joined on the way by the</w:t></w:r>
</w:p>
<w:p>
<w:pPr><w:pStyle w:val="Normal"/></w:pPr>
<w:r><w:t xml:space="preserve">levies of Somerset, Wilts and Hants.  The Danes on their side</w:t></w:r>
</w:p>
<w:p>
<w:pPr><w:pStyle w:val="Normal"/></w:pPr>
<w:r><w:t xml:space="preserve">moved out of Chippenham, and the two armies met at Edington in</w:t></w:r>
</w:p>
<w:p>
<w:pPr><w:pStyle w:val="Normal"/></w:pPr>
<w:r><w:t xml:space="preserve">Wiltshire.  The result was a decisive victory for Alfred.  The</w:t></w:r>
</w:p>
<w:p>
<w:pPr><w:pStyle w:val="Normal"/></w:pPr>
<w:r><w:t xml:space="preserve">Danes submitted.  Guthrum, the Danish king, and twenty-nine of</w:t></w:r>
</w:p>
<w:p>
<w:pPr><w:pStyle w:val="Normal"/></w:pPr>
<w:r><w:t xml:space="preserve">his chief men accepted baptism.  By the next year (879) not only</w:t></w:r>
</w:p>
<w:p>
<w:pPr><w:pStyle w:val="Normal"/></w:pPr>
<w:r><w:t xml:space="preserve">Wessex, but Mercia, west of Watling Street, was cleared of the</w:t></w:r>
</w:p>
<w:p>
<w:pPr><w:pStyle w:val="Normal"/></w:pPr>
<w:r><w:t xml:space="preserve">invader.  This is the arrangement known as the peace of Wedmore</w:t></w:r>
</w:p>
<w:p>
<w:pPr><w:pStyle w:val="Normal"/></w:pPr>
<w:r><w:t xml:space="preserve">(878), though no document embodying its provisions is in</w:t></w:r>
</w:p>
<w:p>
<w:pPr><w:pStyle w:val="Normal"/></w:pPr>
<w:r><w:t xml:space="preserve">existence.  And though for the present the north-eastern half</w:t></w:r>
</w:p>
<w:p>
<w:pPr><w:pStyle w:val="Normal"/></w:pPr>
<w:r><w:t xml:space="preserve">of England, including London, remained in the hands of the</w:t></w:r>
</w:p>
<w:p>
<w:pPr><w:pStyle w:val="Normal"/></w:pPr>
<w:r><w:t xml:space="preserve">Danes, in reality the tide had turned, and western Europe</w:t></w:r>
</w:p>
<w:p>
<w:pPr><w:pStyle w:val="Normal"/></w:pPr>
<w:r><w:t xml:space="preserve">was saved from the danger of becoming a heathen Scandinavian</w:t></w:r>
</w:p>
<w:p>
<w:pPr><w:pStyle w:val="Normal"/></w:pPr>
<w:r><w:t xml:space="preserve">power.  For the next few years there was peace, the Danes</w:t></w:r>
</w:p>
<w:p>
<w:pPr><w:pStyle w:val="Normal"/></w:pPr>
<w:r><w:t xml:space="preserve">being kept busy on the continent.  A landing in Kent in 884</w:t></w:r>
</w:p>
<w:p>
<w:pPr><w:pStyle w:val="Normal"/></w:pPr>
<w:r><w:t xml:space="preserve">or 885,1 though successfully repelled, encouraged the East</w:t></w:r>
</w:p>
<w:p>
<w:pPr><w:pStyle w:val="Normal"/></w:pPr>
<w:r><w:t xml:space="preserve">Anglian Danes to revolt.  The measures taken by Alfred to</w:t></w:r>
</w:p>
<w:p>
<w:pPr><w:pStyle w:val="Normal"/></w:pPr>
<w:r><w:t xml:space="preserve">repress this revolt culminated in the capture of London in 885</w:t></w:r>
</w:p>
<w:p>
<w:pPr><w:pStyle w:val="Normal"/></w:pPr>
<w:r><w:t xml:space="preserve">or 886, and the treaty known as Alfred and Guthrum&apos;s peace,</w:t></w:r>
</w:p>
<w:p>
<w:pPr><w:pStyle w:val="Normal"/></w:pPr>
<w:r><w:t xml:space="preserve">whereby the boundaries of the treaty of Wedmore (with which</w:t></w:r>
</w:p>
<w:p>
<w:pPr><w:pStyle w:val="Normal"/></w:pPr>
<w:r><w:t xml:space="preserve">this is often confused) were materially modified in Alfred&apos;s</w:t></w:r>
</w:p>
<w:p>
<w:pPr><w:pStyle w:val="Normal"/></w:pPr>
<w:r><w:t xml:space="preserve">favour.  Once more for a time there was a lull; but in</w:t></w:r>
</w:p>
<w:p>
<w:pPr><w:pStyle w:val="Normal"/></w:pPr>
<w:r><w:t xml:space="preserve">the autumn of 892 (893) the final storm burst.  The Danes,</w:t></w:r>
</w:p>
<w:p>
<w:pPr><w:pStyle w:val="Normal"/></w:pPr>
<w:r><w:t xml:space="preserve">finding their position on the continent becoming more and more</w:t></w:r>
</w:p>
<w:p>
<w:pPr><w:pStyle w:val="Normal"/></w:pPr>
<w:r><w:t xml:space="preserve">precarious, crossed to England in two divisions, amounting in</w:t></w:r>
</w:p>
<w:p>
<w:pPr><w:pStyle w:val="Normal"/></w:pPr>
<w:r><w:t xml:space="preserve">the aggregate to 330 sail, and entrenched themselves, the larger</w:t></w:r>
</w:p>
<w:p>
<w:pPr><w:pStyle w:val="Normal"/></w:pPr>
<w:r><w:t xml:space="preserve">body at Appledore and the lesser under Haesten at Milton in</w:t></w:r>
</w:p>
<w:p>
<w:pPr><w:pStyle w:val="Normal"/></w:pPr>
<w:r><w:t xml:space="preserve">Kent.  The fact that the new invaders brought their wives and</w:t></w:r>
</w:p>
<w:p>
<w:pPr><w:pStyle w:val="Normal"/></w:pPr>
<w:r><w:t xml:space="preserve">children with them shows that this was no mere raid, but a</w:t></w:r>
</w:p>
<w:p>
<w:pPr><w:pStyle w:val="Normal"/></w:pPr>
<w:r><w:t xml:space="preserve">deliberate attempt, in concert with the Northumbrian and East</w:t></w:r>
</w:p>
<w:p>
<w:pPr><w:pStyle w:val="Normal"/></w:pPr>
<w:r><w:t xml:space="preserve">Anglian Danes, to conquer England.  Alfred, 893 (894), took up</w:t></w:r>
</w:p>
<w:p>
<w:pPr><w:pStyle w:val="Normal"/></w:pPr>
<w:r><w:t xml:space="preserve">a position whence he could observe both forces.  While he was</w:t></w:r>
</w:p>
<w:p>
<w:pPr><w:pStyle w:val="Normal"/></w:pPr>
<w:r><w:t xml:space="preserve">negotiating with Haesten the Danes at Appledore broke out and</w:t></w:r>
</w:p>
<w:p>
<w:pPr><w:pStyle w:val="Normal"/></w:pPr>
<w:r><w:t xml:space="preserve">struck north-westwards, but were overtaken by Alfred&apos;s eldest</w:t></w:r>
</w:p>
<w:p>
<w:pPr><w:pStyle w:val="Normal"/></w:pPr>
<w:r><w:t xml:space="preserve">son, Edward, and defeated in a general engagement at Farnham,</w:t></w:r>
</w:p>
<w:p>
<w:pPr><w:pStyle w:val="Normal"/></w:pPr>
<w:r><w:t xml:space="preserve">and driven to take refuge in Thorney Island in the Hertfordshire</w:t></w:r>
</w:p>
<w:p>
<w:pPr><w:pStyle w:val="Normal"/></w:pPr>
<w:r><w:t xml:space="preserve">Colne, where they were blockaded and ultimately compelled to</w:t></w:r>
</w:p>
<w:p>
<w:pPr><w:pStyle w:val="Normal"/></w:pPr>
<w:r><w:t xml:space="preserve">submit.  They then fell back on Essex, and after suffering</w:t></w:r>
</w:p>
<w:p>
<w:pPr><w:pStyle w:val="Normal"/></w:pPr>
<w:r><w:t xml:space="preserve">another defeat at Benfleet coalesced with Haesten&apos;s force at</w:t></w:r>
</w:p>
<w:p>
<w:pPr><w:pStyle w:val="Normal"/></w:pPr>
<w:r><w:t xml:space="preserve">Shoebury.  Alfred had been on his way to relieve his son at</w:t></w:r>
</w:p>
<w:p>
<w:pPr><w:pStyle w:val="Normal"/></w:pPr>
<w:r><w:t xml:space="preserve">Thorney when he heard that the Northumbrian and East Anglian</w:t></w:r>
</w:p>
<w:p>
<w:pPr><w:pStyle w:val="Normal"/></w:pPr>
<w:r><w:t xml:space="preserve">Danes were besieging Exeter and an unnamed fort on the coast</w:t></w:r>
</w:p>
<w:p>
<w:pPr><w:pStyle w:val="Normal"/></w:pPr>
<w:r><w:t xml:space="preserve">of North Devon.  Alfred at once hurried westwards and raised</w:t></w:r>
</w:p>
<w:p>
<w:pPr><w:pStyle w:val="Normal"/></w:pPr>
<w:r><w:t xml:space="preserve">the siege of Exeter; the fate of the other place is not</w:t></w:r>
</w:p>
<w:p>
<w:pPr><w:pStyle w:val="Normal"/></w:pPr>
<w:r><w:t xml:space="preserve">recorded.  Meanwhile the force under Haesten set out to march</w:t></w:r>
</w:p>
<w:p>
<w:pPr><w:pStyle w:val="Normal"/></w:pPr>
<w:r><w:t xml:space="preserve">up the Thames valley, possibly with the idea of assisting their</w:t></w:r>
</w:p>
<w:p>
<w:pPr><w:pStyle w:val="Normal"/></w:pPr>
<w:r><w:t xml:space="preserve">friends in the west.  But they were met by a large force under</w:t></w:r>
</w:p>
<w:p>
<w:pPr><w:pStyle w:val="Normal"/></w:pPr>
<w:r><w:t xml:space="preserve">the three great ealdormen of Mercia, Wilts and Somerset, and</w:t></w:r>
</w:p>
<w:p>
<w:pPr><w:pStyle w:val="Normal"/></w:pPr>
<w:r><w:t xml:space="preserve">forced to head off to the north-west, being finally overtaken</w:t></w:r>
</w:p>
<w:p>
<w:pPr><w:pStyle w:val="Normal"/></w:pPr>
<w:r><w:t xml:space="preserve">and blockaded at Buttington, which some identify with Buttington</w:t></w:r>
</w:p>
<w:p>
<w:pPr><w:pStyle w:val="Normal"/></w:pPr>
<w:r><w:t xml:space="preserve">Tump at the mouth of the Wye, others with Buttington near</w:t></w:r>
</w:p>
<w:p>
<w:pPr><w:pStyle w:val="Normal"/></w:pPr>
<w:r><w:t xml:space="preserve">Welshpool.  An attempt to break through the English lines</w:t></w:r>
</w:p>
<w:p>
<w:pPr><w:pStyle w:val="Normal"/></w:pPr>
<w:r><w:t xml:space="preserve">was defeated with loss; those who escaped retreated to</w:t></w:r>
</w:p>
<w:p>
<w:pPr><w:pStyle w:val="Normal"/></w:pPr>
<w:r><w:t xml:space="preserve">Shoebury.  Then after collecting reinforcements they made a</w:t></w:r>
</w:p>
<w:p>
<w:pPr><w:pStyle w:val="Normal"/></w:pPr>
<w:r><w:t xml:space="preserve">sudden dash across England and occupied the ruined Roman walls of</w:t></w:r>
</w:p>
<w:p>
<w:pPr><w:pStyle w:val="Normal"/></w:pPr>
<w:r><w:t xml:space="preserve">Chester.  The English did not attempt a winter blockade, but</w:t></w:r>
</w:p>
<w:p>
<w:pPr><w:pStyle w:val="Normal"/></w:pPr>
<w:r><w:t xml:space="preserve">contented themselves with destroying all the supplies in the</w:t></w:r>
</w:p>
<w:p>
<w:pPr><w:pStyle w:val="Normal"/></w:pPr>
<w:r><w:t xml:space="preserve">neighbourhood.  And early in 894 (895) want of food obliged</w:t></w:r>
</w:p>
<w:p>
<w:pPr><w:pStyle w:val="Normal"/></w:pPr>
<w:r><w:t xml:space="preserve">the Danes to retire once more to Essex.  At the end of this</w:t></w:r>
</w:p>
<w:p>
<w:pPr><w:pStyle w:val="Normal"/></w:pPr>
<w:r><w:t xml:space="preserve">year and early in 895 (896) the Danes drew their ships up the</w:t></w:r>
</w:p>
<w:p>
<w:pPr><w:pStyle w:val="Normal"/></w:pPr>
<w:r><w:t xml:space="preserve">Thames and Lea and fortified themselves twenty miles above</w:t></w:r>
</w:p>
<w:p>
<w:pPr><w:pStyle w:val="Normal"/></w:pPr>
<w:r><w:t xml:space="preserve">London.  A direct attack on the Danish lines failed, but</w:t></w:r>
</w:p>
<w:p>
<w:pPr><w:pStyle w:val="Normal"/></w:pPr>
<w:r><w:t xml:space="preserve">later in the year Alfred saw a means of obstructing the</w:t></w:r>
</w:p>
<w:p>
<w:pPr><w:pStyle w:val="Normal"/></w:pPr>
<w:r><w:t xml:space="preserve">river so as to prevent the egress of the Danish ships.  The</w:t></w:r>
</w:p>
<w:p>
<w:pPr><w:pStyle w:val="Normal"/></w:pPr>
<w:r><w:t xml:space="preserve">Danes realized that they were out-manoeuvred.  They struck</w:t></w:r>
</w:p>
<w:p>
<w:pPr><w:pStyle w:val="Normal"/></w:pPr>
<w:r><w:t xml:space="preserve">off north-westwards and wintered at Bridgenorth.  The next</w:t></w:r>
</w:p>
<w:p>
<w:pPr><w:pStyle w:val="Normal"/></w:pPr>
<w:r><w:t xml:space="preserve">year, 896 (897), they abandoned the struggle.  Some retired to</w:t></w:r>
</w:p>
<w:p>
<w:pPr><w:pStyle w:val="Normal"/></w:pPr>
<w:r><w:t xml:space="preserve">Northumbria, some to East Anglia; those who had no connexions</w:t></w:r>
</w:p>
<w:p>
<w:pPr><w:pStyle w:val="Normal"/></w:pPr>
<w:r><w:t xml:space="preserve">in England withdrew to the continent.  The long campaign was</w:t></w:r>
</w:p>
<w:p>
<w:pPr><w:pStyle w:val="Normal"/></w:pPr>
<w:r><w:t xml:space="preserve">over.  The result testifies to the confidence inspired by</w:t></w:r>
</w:p>
<w:p>
<w:pPr><w:pStyle w:val="Normal"/></w:pPr>
<w:r><w:t xml:space="preserve">Alfred&apos;s character and generalship, and to the efficacy of the</w:t></w:r>
</w:p>
<w:p>
<w:pPr><w:pStyle w:val="Normal"/></w:pPr>
<w:r><w:t xml:space="preserve">military reforms initiated by him.  These were (1) the division</w:t></w:r>
</w:p>
<w:p>
<w:pPr><w:pStyle w:val="Normal"/></w:pPr>
<w:r><w:t xml:space="preserve">of the fyrd or national militia into two parts, relieving</w:t></w:r>
</w:p>
<w:p>
<w:pPr><w:pStyle w:val="Normal"/></w:pPr>
<w:r><w:t xml:space="preserve">each other at fixed intervals, so as to ensure continuity in</w:t></w:r>
</w:p>
<w:p>
<w:pPr><w:pStyle w:val="Normal"/></w:pPr>
<w:r><w:t xml:space="preserve">military operations; (2) the establishment of fortified posts</w:t></w:r>
</w:p>
<w:p>
<w:pPr><w:pStyle w:val="Normal"/></w:pPr>
<w:r><w:t xml:space="preserve">(burgs) and garrisons at certain points; (3) the enforcement</w:t></w:r>
</w:p>
<w:p>
<w:pPr><w:pStyle w:val="Normal"/></w:pPr>
<w:r><w:t xml:space="preserve">of the obligations of thanehood on all owners of five hides</w:t></w:r>
</w:p>
<w:p>
<w:pPr><w:pStyle w:val="Normal"/></w:pPr>
<w:r><w:t xml:space="preserve">of land, thus giving the king a nucleus of highly equipped</w:t></w:r>
</w:p>
<w:p>
<w:pPr><w:pStyle w:val="Normal"/></w:pPr>
<w:r><w:t xml:space="preserve">troops.  After the final dispersal of the Danish invaders</w:t></w:r>
</w:p>
<w:p>
<w:pPr><w:pStyle w:val="Normal"/></w:pPr>
<w:r><w:t xml:space="preserve">Alfred turned his attention to the increase of the navy, and</w:t></w:r>
</w:p>
<w:p>
<w:pPr><w:pStyle w:val="Normal"/></w:pPr>
<w:r><w:t xml:space="preserve">ships were built according to the king&apos;s own designs, partly to</w:t></w:r>
</w:p>
<w:p>
<w:pPr><w:pStyle w:val="Normal"/></w:pPr>
<w:r><w:t xml:space="preserve">repress the ravages of the Northumbrian and East Anglian Danes</w:t></w:r>
</w:p>
<w:p>
<w:pPr><w:pStyle w:val="Normal"/></w:pPr>
<w:r><w:t xml:space="preserve">on the coasts of Wessex, partly to prevent the landing of fresh</w:t></w:r>
</w:p>
<w:p>
<w:pPr><w:pStyle w:val="Normal"/></w:pPr>
<w:r><w:t xml:space="preserve">hordes.  This is not, as often asserted, the beginning of the</w:t></w:r>
</w:p>
<w:p>
<w:pPr><w:pStyle w:val="Normal"/></w:pPr>
<w:r><w:t xml:space="preserve">English navy.  There had been earlier naval operations under</w:t></w:r>
</w:p>
<w:p>
<w:pPr><w:pStyle w:val="Normal"/></w:pPr>
<w:r><w:t xml:space="preserve">Alfred.  One naval engagement was certainly fought under</w:t></w:r>
</w:p>
<w:p>
<w:pPr><w:pStyle w:val="Normal"/></w:pPr>
<w:r><w:t xml:space="preserve">AEthelwulf (851), and earlier ones, possibly in 833 and 840.</w:t></w:r>
</w:p>
<w:p>
<w:pPr><w:pStyle w:val="Normal"/></w:pPr>
<w:r><w:t xml:space="preserve">Nor were the new ships a great success, as we hear of them</w:t></w:r>
</w:p>
<w:p>
<w:pPr><w:pStyle w:val="Normal"/></w:pPr>
<w:r><w:t xml:space="preserve">grounding in action and foundering in a storm.  Much, too, was</w:t></w:r>
</w:p>
<w:p>
<w:pPr><w:pStyle w:val="Normal"/></w:pPr>
<w:r><w:t xml:space="preserve">needed in the way of civil re-organization, especially in the</w:t></w:r>
</w:p>
<w:p>
<w:pPr><w:pStyle w:val="Normal"/></w:pPr>
<w:r><w:t xml:space="preserve">districts ravaged by the Danes.  In the parts of Mercia acquired</w:t></w:r>
</w:p>
<w:p>
<w:pPr><w:pStyle w:val="Normal"/></w:pPr>
<w:r><w:t xml:space="preserve">by Alfred, the shire system seems now to have been introduced</w:t></w:r>
</w:p>
<w:p>
<w:pPr><w:pStyle w:val="Normal"/></w:pPr>
<w:r><w:t xml:space="preserve">for the first time.  This is the one grain of truth in the</w:t></w:r>
</w:p>
<w:p>
<w:pPr><w:pStyle w:val="Normal"/></w:pPr>
<w:r><w:t xml:space="preserve">legend that Alfred was the inventor of shires, hundreds and</w:t></w:r>
</w:p>
<w:p>
<w:pPr><w:pStyle w:val="Normal"/></w:pPr>
<w:r><w:t xml:space="preserve">tithings.  The finances also would need careful attention;</w:t></w:r>
</w:p>
<w:p>
<w:pPr><w:pStyle w:val="Normal"/></w:pPr>
<w:r><w:t xml:space="preserve">but the subject is obscure, and we cannot accept Asser&apos;s</w:t></w:r>
</w:p>
<w:p>
<w:pPr><w:pStyle w:val="Normal"/></w:pPr>
<w:r><w:t xml:space="preserve">description of Alfred&apos;s appropriation of his revenue as more</w:t></w:r>
</w:p>
<w:p>
<w:pPr><w:pStyle w:val="Normal"/></w:pPr>
<w:r><w:t xml:space="preserve">than an ideal sketch.  Alfred&apos;s care for the administration</w:t></w:r>
</w:p>
<w:p>
<w:pPr><w:pStyle w:val="Normal"/></w:pPr>
<w:r><w:t xml:space="preserve">of justice is testified both by history and legend; and</w:t></w:r>
</w:p>
<w:p>
<w:pPr><w:pStyle w:val="Normal"/></w:pPr>
<w:r><w:t xml:space="preserve">the title ``protector of the poor&apos;&apos; was his by unquestioned</w:t></w:r>
</w:p>
<w:p>
<w:pPr><w:pStyle w:val="Normal"/></w:pPr>
<w:r><w:t xml:space="preserve">right.  Of the action of the witenagemot we do not hear very</w:t></w:r>
</w:p>
<w:p>
<w:pPr><w:pStyle w:val="Normal"/></w:pPr>
<w:r><w:t xml:space="preserve">much under Alfred.  That he was anxious to respect its rights</w:t></w:r>
</w:p>
<w:p>
<w:pPr><w:pStyle w:val="Normal"/></w:pPr>
<w:r><w:t xml:space="preserve">is conclusively proved, but both the circumstances of the</w:t></w:r>
</w:p>
<w:p>
<w:pPr><w:pStyle w:val="Normal"/></w:pPr>
<w:r><w:t xml:space="preserve">time and the character of the king would tend to throw more</w:t></w:r>
</w:p>
<w:p>
<w:pPr><w:pStyle w:val="Normal"/></w:pPr>
<w:r><w:t xml:space="preserve">power into his hands.  The legislation of Alfred probably</w:t></w:r>
</w:p>
<w:p>
<w:pPr><w:pStyle w:val="Normal"/></w:pPr>
<w:r><w:t xml:space="preserve">belongs to the later part of the reign, after the pressure of</w:t></w:r>
</w:p>
<w:p>
<w:pPr><w:pStyle w:val="Normal"/></w:pPr>
<w:r><w:t xml:space="preserve">the Danes had relaxed.  The details of it cannot be discussed</w:t></w:r>
</w:p>
<w:p>
<w:pPr><w:pStyle w:val="Normal"/></w:pPr>
<w:r><w:t xml:space="preserve">here.  Asser speaks grandiosely of Alfred&apos;s relations with</w:t></w:r>
</w:p>
<w:p>
<w:pPr><w:pStyle w:val="Normal"/></w:pPr>
<w:r><w:t xml:space="preserve">foreign powers, but little definite information is available.</w:t></w:r>
</w:p>
<w:p>
<w:pPr><w:pStyle w:val="Normal"/></w:pPr>
<w:r><w:t xml:space="preserve">He certainly corresponded with Elias III., the patriarch of</w:t></w:r>
</w:p>
<w:p>
<w:pPr><w:pStyle w:val="Normal"/></w:pPr>
<w:r><w:t xml:space="preserve">Jerusalem, and probably sent a mission to India.  Embassies</w:t></w:r>
</w:p>
<w:p>
<w:pPr><w:pStyle w:val="Normal"/></w:pPr>
<w:r><w:t xml:space="preserve">to Rome conveying the English alms to the pope were fairly</w:t></w:r>
</w:p>
<w:p>
<w:pPr><w:pStyle w:val="Normal"/></w:pPr>
<w:r><w:t xml:space="preserve">frequent; while Alfred&apos;s interest in foreign countries is</w:t></w:r>
</w:p>
<w:p>
<w:pPr><w:pStyle w:val="Normal"/></w:pPr>
<w:r><w:t xml:space="preserve">shown by the insertions which he made in his translation of</w:t></w:r>
</w:p>
<w:p>
<w:pPr><w:pStyle w:val="Normal"/></w:pPr>
<w:r><w:t xml:space="preserve">Orosius.  His relations to the Celtic princes in the southern</w:t></w:r>
</w:p>
<w:p>
<w:pPr><w:pStyle w:val="Normal"/></w:pPr>
<w:r><w:t xml:space="preserve">half of the island are clearer.  Comparatively early in</w:t></w:r>
</w:p>
<w:p>
<w:pPr><w:pStyle w:val="Normal"/></w:pPr>
<w:r><w:t xml:space="preserve">his reign the South Welsh princes, owing to the pressure</w:t></w:r>
</w:p>
<w:p>
<w:pPr><w:pStyle w:val="Normal"/></w:pPr>
<w:r><w:t xml:space="preserve">on them of North Wales and Mercia, commended themselves to</w:t></w:r>
</w:p>
<w:p>
<w:pPr><w:pStyle w:val="Normal"/></w:pPr>
<w:r><w:t xml:space="preserve">Alfred.  Later in the reign the North Welsh followed their</w:t></w:r>
</w:p>
<w:p>
<w:pPr><w:pStyle w:val="Normal"/></w:pPr>
<w:r><w:t xml:space="preserve">example, and the latter co-operated with the English in the</w:t></w:r>
</w:p>
<w:p>
<w:pPr><w:pStyle w:val="Normal"/></w:pPr>
<w:r><w:t xml:space="preserve">campaign of 893 (894).  The Celtic principality in Cornwall,</w:t></w:r>
</w:p>
<w:p>
<w:pPr><w:pStyle w:val="Normal"/></w:pPr>
<w:r><w:t xml:space="preserve">which seems to have survived at least till 926, must long</w:t></w:r>
</w:p>
<w:p>
<w:pPr><w:pStyle w:val="Normal"/></w:pPr>
<w:r><w:t xml:space="preserve">have been practically dependent on Wessex.  That Alfred</w:t></w:r>
</w:p>
<w:p>
<w:pPr><w:pStyle w:val="Normal"/></w:pPr>
<w:r><w:t xml:space="preserve">sent alms to Irish as well as to continental monasteries</w:t></w:r>
</w:p>
<w:p>
<w:pPr><w:pStyle w:val="Normal"/></w:pPr>
<w:r><w:t xml:space="preserve">may be accepted on Asser&apos;s authority; the visit of the</w:t></w:r>
</w:p>
<w:p>
<w:pPr><w:pStyle w:val="Normal"/></w:pPr>
<w:r><w:t xml:space="preserve">three pilgrim ``Scots&apos;&apos; (i.e. Irish) to Alfred in 891</w:t></w:r>
</w:p>
<w:p>
<w:pPr><w:pStyle w:val="Normal"/></w:pPr>
<w:r><w:t xml:space="preserve">is undoubtedly authentic; the story that he himself in his</w:t></w:r>
</w:p>
<w:p>
<w:pPr><w:pStyle w:val="Normal"/></w:pPr>
<w:r><w:t xml:space="preserve">childhood was sent to Ireland to be healed by St Modwenna,</w:t></w:r>
</w:p>
<w:p>
<w:pPr><w:pStyle w:val="Normal"/></w:pPr>
<w:r><w:t xml:space="preserve">though mythical, may point to Alfred&apos;s interest in that</w:t></w:r>
</w:p>
<w:p>
<w:pPr><w:pStyle w:val="Normal"/></w:pPr>
<w:r><w:t xml:space="preserve">island.  The history of the church under Alfred is most</w:t></w:r>
</w:p>
<w:p>
<w:pPr><w:pStyle w:val="Normal"/></w:pPr>
<w:r><w:t xml:space="preserve">obscure.  The Danish inroads had told heavily upon it; the</w:t></w:r>
</w:p>
<w:p>
<w:pPr><w:pStyle w:val="Normal"/></w:pPr>
<w:r><w:t xml:space="preserve">monasteries had been special points of attack, and though</w:t></w:r>
</w:p>
<w:p>
<w:pPr><w:pStyle w:val="Normal"/></w:pPr>
<w:r><w:t xml:space="preserve">Alfred founded two or three monasteries and imported foreign</w:t></w:r>
</w:p>
<w:p>
<w:pPr><w:pStyle w:val="Normal"/></w:pPr>
<w:r><w:t xml:space="preserve">monks, there was no general revival of monasticism under</w:t></w:r>
</w:p>
<w:p>
<w:pPr><w:pStyle w:val="Normal"/></w:pPr>
<w:r><w:t xml:space="preserve">him.  To the ruin of learning and education wrought by</w:t></w:r>
</w:p>
<w:p>
<w:pPr><w:pStyle w:val="Normal"/></w:pPr>
<w:r><w:t xml:space="preserve">the Danes, and the practical extinction of the knowledge</w:t></w:r>
</w:p>
<w:p>
<w:pPr><w:pStyle w:val="Normal"/></w:pPr>
<w:r><w:t xml:space="preserve">of Latin even among the clergy, the preface to Alfred&apos;s</w:t></w:r>
</w:p>
<w:p>
<w:pPr><w:pStyle w:val="Normal"/></w:pPr>
<w:r><w:t xml:space="preserve">translation of Gregory&apos;s Pastoral Care bears eloquent</w:t></w:r>
</w:p>
<w:p>
<w:pPr><w:pStyle w:val="Normal"/></w:pPr>
<w:r><w:t xml:space="preserve">testimony.  It was to remedy these evils that he established</w:t></w:r>
</w:p>
<w:p>
<w:pPr><w:pStyle w:val="Normal"/></w:pPr>
<w:r><w:t xml:space="preserve">a court school, after the example of Charles the Great; for</w:t></w:r>
</w:p>
<w:p>
<w:pPr><w:pStyle w:val="Normal"/></w:pPr>
<w:r><w:t xml:space="preserve">this he imported scholars like Grimbald and John the Saxon</w:t></w:r>
</w:p>
<w:p>
<w:pPr><w:pStyle w:val="Normal"/></w:pPr>
<w:r><w:t xml:space="preserve">from the continent and Asser from South Wales; for this,</w:t></w:r>
</w:p>
<w:p>
<w:pPr><w:pStyle w:val="Normal"/></w:pPr>
<w:r><w:t xml:space="preserve">above all, he put himself to school, and made the series of</w:t></w:r>
</w:p>
<w:p>
<w:pPr><w:pStyle w:val="Normal"/></w:pPr>
<w:r><w:t xml:space="preserve">translations for the instruction of his clergy and people,</w:t></w:r>
</w:p>
<w:p>
<w:pPr><w:pStyle w:val="Normal"/></w:pPr>
<w:r><w:t xml:space="preserve">most of which still survive.  These belong unquestionably</w:t></w:r>
</w:p>
<w:p>
<w:pPr><w:pStyle w:val="Normal"/></w:pPr>
<w:r><w:t xml:space="preserve">to the later part of his reign, not improbably to the last</w:t></w:r>
</w:p>
<w:p>
<w:pPr><w:pStyle w:val="Normal"/></w:pPr>
<w:r><w:t xml:space="preserve">four years of it, during which the chronicles are almost</w:t></w:r>
</w:p>
<w:p>
<w:pPr><w:pStyle w:val="Normal"/></w:pPr>
<w:r><w:t xml:space="preserve">silent.  Apart from the lost Handboc or Encheiridion,</w:t></w:r>
</w:p>
<w:p>
<w:pPr><w:pStyle w:val="Normal"/></w:pPr>
<w:r><w:t xml:space="preserve">which seems to have been merely a commonplace-book kept by the</w:t></w:r>
</w:p>
<w:p>
<w:pPr><w:pStyle w:val="Normal"/></w:pPr>
<w:r><w:t xml:space="preserve">king, the earliest work to be translated was the Dialogues</w:t></w:r>
</w:p>
<w:p>
<w:pPr><w:pStyle w:val="Normal"/></w:pPr>
<w:r><w:t xml:space="preserve">of Gregory, a book enormously popular in the middle</w:t></w:r>
</w:p>
<w:p>
<w:pPr><w:pStyle w:val="Normal"/></w:pPr>
<w:r><w:t xml:space="preserve">ages.  In this case the translation was made by Alfred&apos;s</w:t></w:r>
</w:p>
<w:p>
<w:pPr><w:pStyle w:val="Normal"/></w:pPr>
<w:r><w:t xml:space="preserve">great friend Werferth, bishop of Worcester, the king merely</w:t></w:r>
</w:p>
<w:p>
<w:pPr><w:pStyle w:val="Normal"/></w:pPr>
<w:r><w:t xml:space="preserve">furnishing a preface.  The next work to be undertaken was</w:t></w:r>
</w:p>
<w:p>
<w:pPr><w:pStyle w:val="Normal"/></w:pPr>
<w:r><w:t xml:space="preserve">Gregory&apos;s Pastoral Care, especially for the benefit of the</w:t></w:r>
</w:p>
<w:p>
<w:pPr><w:pStyle w:val="Normal"/></w:pPr>
<w:r><w:t xml:space="preserve">clergy.  In this Alfred keeps very close to his original;</w:t></w:r>
</w:p>
<w:p>
<w:pPr><w:pStyle w:val="Normal"/></w:pPr>
<w:r><w:t xml:space="preserve">but the introduction which he prefixed to it is one of the</w:t></w:r>
</w:p>
<w:p>
<w:pPr><w:pStyle w:val="Normal"/></w:pPr>
<w:r><w:t xml:space="preserve">most interesting documents of the reign, or indeed of English</w:t></w:r>
</w:p>
<w:p>
<w:pPr><w:pStyle w:val="Normal"/></w:pPr>
<w:r><w:t xml:space="preserve">history.  The next two works taken in hand were historical,</w:t></w:r>
</w:p>
<w:p>
<w:pPr><w:pStyle w:val="Normal"/></w:pPr>
<w:r><w:t xml:space="preserve">the Universal History of Orosius and Bede&apos;s Ecclesiastical</w:t></w:r>
</w:p>
<w:p>
<w:pPr><w:pStyle w:val="Normal"/></w:pPr>
<w:r><w:t xml:space="preserve">History of the English People. The priority should probably</w:t></w:r>
</w:p>
<w:p>
<w:pPr><w:pStyle w:val="Normal"/></w:pPr>
<w:r><w:t xml:space="preserve">be assigned to the Orosius, but the point has been much</w:t></w:r>
</w:p>
<w:p>
<w:pPr><w:pStyle w:val="Normal"/></w:pPr>
<w:r><w:t xml:space="preserve">debated.  In the Orosius, by omissions and additions, Alfred</w:t></w:r>
</w:p>
<w:p>
<w:pPr><w:pStyle w:val="Normal"/></w:pPr>
<w:r><w:t xml:space="preserve">so remodels his original as to produce an almost new work;</w:t></w:r>
</w:p>
<w:p>
<w:pPr><w:pStyle w:val="Normal"/></w:pPr>
<w:r><w:t xml:space="preserve">in the Bede the author&apos;s text is closely adhered to, no</w:t></w:r>
</w:p>
<w:p>
<w:pPr><w:pStyle w:val="Normal"/></w:pPr>
<w:r><w:t xml:space="preserve">additions being made, though most of the documents and some</w:t></w:r>
</w:p>
<w:p>
<w:pPr><w:pStyle w:val="Normal"/></w:pPr>
<w:r><w:t xml:space="preserve">other less interesting matters are omitted.  Of late years</w:t></w:r>
</w:p>
<w:p>
<w:pPr><w:pStyle w:val="Normal"/></w:pPr>
<w:r><w:t xml:space="preserve">doubts have been raised as to Alfred&apos;s authorship of the Bede</w:t></w:r>
</w:p>
<w:p>
<w:pPr><w:pStyle w:val="Normal"/></w:pPr>
<w:r><w:t xml:space="preserve">translation.  But the sceptics cannot be regarded as having</w:t></w:r>
</w:p>
<w:p>
<w:pPr><w:pStyle w:val="Normal"/></w:pPr>
<w:r><w:t xml:space="preserve">proved their point.  We come now to what is in many ways</w:t></w:r>
</w:p>
<w:p>
<w:pPr><w:pStyle w:val="Normal"/></w:pPr>
<w:r><w:t xml:space="preserve">the most interesting of Alfred&apos;s works, his translation of</w:t></w:r>
</w:p>
<w:p>
<w:pPr><w:pStyle w:val="Normal"/></w:pPr>
<w:r><w:t xml:space="preserve">Boethius&apos; Consolation of Philosophy, the most popular</w:t></w:r>
</w:p>
<w:p>
<w:pPr><w:pStyle w:val="Normal"/></w:pPr>
<w:r><w:t xml:space="preserve">philosophical manual of the middle ages.  Here again Alfred</w:t></w:r>
</w:p>
<w:p>
<w:pPr><w:pStyle w:val="Normal"/></w:pPr>
<w:r><w:t xml:space="preserve">deals very freely with his original and though the late Dr</w:t></w:r>
</w:p>
<w:p>
<w:pPr><w:pStyle w:val="Normal"/></w:pPr>
<w:r><w:t xml:space="preserve">G. Schepss showed that many of the additions to the text are</w:t></w:r>
</w:p>
<w:p>
<w:pPr><w:pStyle w:val="Normal"/></w:pPr>
<w:r><w:t xml:space="preserve">to be traced not to Alfred himself, but to the glosses and</w:t></w:r>
</w:p>
<w:p>
<w:pPr><w:pStyle w:val="Normal"/></w:pPr>
<w:r><w:t xml:space="preserve">commentaries which he used, still there is much in the work</w:t></w:r>
</w:p>
<w:p>
<w:pPr><w:pStyle w:val="Normal"/></w:pPr>
<w:r><w:t xml:space="preserve">which is solely Alfred&apos;s and highly characteristic of his</w:t></w:r>
</w:p>
<w:p>
<w:pPr><w:pStyle w:val="Normal"/></w:pPr>
<w:r><w:t xml:space="preserve">genius.  It is in the Boethius that the oft-quoted sentence</w:t></w:r>
</w:p>
<w:p>
<w:pPr><w:pStyle w:val="Normal"/></w:pPr>
<w:r><w:t xml:space="preserve">occurs: ``My will was to live worthily as long as I lived,</w:t></w:r>
</w:p>
<w:p>
<w:pPr><w:pStyle w:val="Normal"/></w:pPr>
<w:r><w:t xml:space="preserve">and after my life to leave to them that should come after, my</w:t></w:r>
</w:p>
<w:p>
<w:pPr><w:pStyle w:val="Normal"/></w:pPr>
<w:r><w:t xml:space="preserve">memory in good works.&apos;&apos; The book has come down to us in two MSS.</w:t></w:r>
</w:p>
<w:p>
<w:pPr><w:pStyle w:val="Normal"/></w:pPr>
<w:r><w:t xml:space="preserve">only.  In one of these the poems with which the original</w:t></w:r>
</w:p>
<w:p>
<w:pPr><w:pStyle w:val="Normal"/></w:pPr>
<w:r><w:t xml:space="preserve">is interspersed are rendered into prose, in the other into</w:t></w:r>
</w:p>
<w:p>
<w:pPr><w:pStyle w:val="Normal"/></w:pPr>
<w:r><w:t xml:space="preserve">alliterating verse.  The authorship of the latter has been</w:t></w:r>
</w:p>
<w:p>
<w:pPr><w:pStyle w:val="Normal"/></w:pPr>
<w:r><w:t xml:space="preserve">much disputed; but probably they also are by Alfred.  Of the</w:t></w:r>
</w:p>
<w:p>
<w:pPr><w:pStyle w:val="Normal"/></w:pPr>
<w:r><w:t xml:space="preserve">authenticity of the work as a whole there has never been any</w:t></w:r>
</w:p>
<w:p>
<w:pPr><w:pStyle w:val="Normal"/></w:pPr>
<w:r><w:t xml:space="preserve">doubt.  The last of Alfred&apos;s works is one to which he gave the</w:t></w:r>
</w:p>
<w:p>
<w:pPr><w:pStyle w:val="Normal"/></w:pPr>
<w:r><w:t xml:space="preserve">title Blostman, i. e. ``Blooms&apos;&apos; or Anthology.  The first</w:t></w:r>
</w:p>
<w:p>
<w:pPr><w:pStyle w:val="Normal"/></w:pPr>
<w:r><w:t xml:space="preserve">half is based mainly on the Soliloquies of St Augustine,</w:t></w:r>
</w:p>
<w:p>
<w:pPr><w:pStyle w:val="Normal"/></w:pPr>
<w:r><w:t xml:space="preserve">the remainder is drawn from various sources, and contains</w:t></w:r>
</w:p>
<w:p>
<w:pPr><w:pStyle w:val="Normal"/></w:pPr>
<w:r><w:t xml:space="preserve">much that is Alfred&apos;s own and highly characteristic of</w:t></w:r>
</w:p>
<w:p>
<w:pPr><w:pStyle w:val="Normal"/></w:pPr>
<w:r><w:t xml:space="preserve">him.  The last words of it may be quoted; they form a fitting</w:t></w:r>
</w:p>
<w:p>
<w:pPr><w:pStyle w:val="Normal"/></w:pPr>
<w:r><w:t xml:space="preserve">epitaph for the noblest of English kings. ``Therefore he</w:t></w:r>
</w:p>
<w:p>
<w:pPr><w:pStyle w:val="Normal"/></w:pPr>
<w:r><w:t xml:space="preserve">seems to me a very foolish man, and very wretched, who will</w:t></w:r>
</w:p>
<w:p>
<w:pPr><w:pStyle w:val="Normal"/></w:pPr>
<w:r><w:t xml:space="preserve">not increase his understanding while he is in the world, and</w:t></w:r>
</w:p>
<w:p>
<w:pPr><w:pStyle w:val="Normal"/></w:pPr>
<w:r><w:t xml:space="preserve">ever wish and long to reach that endless life where all shall</w:t></w:r>
</w:p>
<w:p>
<w:pPr><w:pStyle w:val="Normal"/></w:pPr>
<w:r><w:t xml:space="preserve">be made clear.&apos;&apos; Besides these works of Alfred&apos;s, the Saxon</w:t></w:r>
</w:p>
<w:p>
<w:pPr><w:pStyle w:val="Normal"/></w:pPr>
<w:r><w:t xml:space="preserve">Chronicle almost certainly, and a Saxon Martyrology, of</w:t></w:r>
</w:p>
<w:p>
<w:pPr><w:pStyle w:val="Normal"/></w:pPr>
<w:r><w:t xml:space="preserve">which fragments only exist, probably owe their inspiration to</w:t></w:r>
</w:p>
<w:p>
<w:pPr><w:pStyle w:val="Normal"/></w:pPr>
<w:r><w:t xml:space="preserve">him.  A prose version of the first fifty Psalms has been</w:t></w:r>
</w:p>
<w:p>
<w:pPr><w:pStyle w:val="Normal"/></w:pPr>
<w:r><w:t xml:space="preserve">attributed to him; and the attribution, though not proved,</w:t></w:r>
</w:p>
<w:p>
<w:pPr><w:pStyle w:val="Normal"/></w:pPr>
<w:r><w:t xml:space="preserve">is perfectly possible.  How Alfred passed to ``the life where</w:t></w:r>
</w:p>
<w:p>
<w:pPr><w:pStyle w:val="Normal"/></w:pPr>
<w:r><w:t xml:space="preserve">all things are made clear&apos;&apos; we do not know.  The very year is</w:t></w:r>
</w:p>
<w:p>
<w:pPr><w:pStyle w:val="Normal"/></w:pPr>
<w:r><w:t xml:space="preserve">uncertain.  The arguments on the whole are in favour of</w:t></w:r>
</w:p>
<w:p>
<w:pPr><w:pStyle w:val="Normal"/></w:pPr>
<w:r><w:t xml:space="preserve">900. The day was the 26th of October.  Alike for what he</w:t></w:r>
</w:p>
<w:p>
<w:pPr><w:pStyle w:val="Normal"/></w:pPr>
<w:r><w:t xml:space="preserve">did and for what he was, there is none to equal Alfred</w:t></w:r>
</w:p>
<w:p>
<w:pPr><w:pStyle w:val="Normal"/></w:pPr>
<w:r><w:t xml:space="preserve">in the whole line of English sovereigns; and no monarch</w:t></w:r>
</w:p>
<w:p>
<w:pPr><w:pStyle w:val="Normal"/></w:pPr>
<w:r><w:t xml:space="preserve">in history ever deserved more truly the epithet of Great.</w:t></w:r>
</w:p>
<w:p>
<w:pPr><w:pStyle w:val="Normal"/></w:pPr>
<w:r><w:t xml:space="preserve">BIBLIOGRAPHY.--The chief original authorities for the reign</w:t></w:r>
</w:p>
<w:p>
<w:pPr><w:pStyle w:val="Normal"/></w:pPr>
<w:r><w:t xml:space="preserve">of Alfred are the so-called Life by Asser (best edition</w:t></w:r>
</w:p>
<w:p>
<w:pPr><w:pStyle w:val="Normal"/></w:pPr>
<w:r><w:t xml:space="preserve">by W. H. Stevenson, Clarendon Press, 1904); and the Saxon</w:t></w:r>
</w:p>
<w:p>
<w:pPr><w:pStyle w:val="Normal"/></w:pPr>
<w:r><w:t xml:space="preserve">Chronicles (text and notes by Earle and Plummer, 2 vols.,</w:t></w:r>
</w:p>
<w:p>
<w:pPr><w:pStyle w:val="Normal"/></w:pPr>
<w:r><w:t xml:space="preserve">Clar.  Press, 1892-1899; parallel texts and translation,</w:t></w:r>
</w:p>
<w:p>
<w:pPr><w:pStyle w:val="Normal"/></w:pPr>
<w:r><w:t xml:space="preserve">Thorpe, 2 vols., 1861, Rolls Series; translation alone,</w:t></w:r>
</w:p>
<w:p>
<w:pPr><w:pStyle w:val="Normal"/></w:pPr>
<w:r><w:t xml:space="preserve">Joseph Stevenson in Church Historians of England, vol. ii.,</w:t></w:r>
</w:p>
<w:p>
<w:pPr><w:pStyle w:val="Normal"/></w:pPr>
<w:r><w:t xml:space="preserve">1853).  The above sketch is based mainly on C. Plummer&apos;s Life</w:t></w:r>
</w:p>
<w:p>
<w:pPr><w:pStyle w:val="Normal"/></w:pPr>
<w:r><w:t xml:space="preserve">and Times of Alfred the Great (Clar.  Press, 1902).  Of earlier</w:t></w:r>
</w:p>
<w:p>
<w:pPr><w:pStyle w:val="Normal"/></w:pPr>
<w:r><w:t xml:space="preserve">biographies that by Pauli is still of great value: Konig</w:t></w:r>
</w:p>
<w:p>
<w:pPr><w:pStyle w:val="Normal"/></w:pPr>
<w:r><w:t xml:space="preserve">AElfred (Berlin, 1851); Eng. trans. by Thorpe (Bohn, 1853).  Of</w:t></w:r>
</w:p>
<w:p>
<w:pPr><w:pStyle w:val="Normal"/></w:pPr>
<w:r><w:t xml:space="preserve">recent works mention may be made of Alfred the Great, Chapters</w:t></w:r>
</w:p>
<w:p>
<w:pPr><w:pStyle w:val="Normal"/></w:pPr>
<w:r><w:t xml:space="preserve">on his Life and Times, by various authors, edited by Alfred</w:t></w:r>
</w:p>
<w:p>
<w:pPr><w:pStyle w:val="Normal"/></w:pPr>
<w:r><w:t xml:space="preserve">Bowker (1899); Earle, The Alfred Jewel (Clar.  Press, 1901).</w:t></w:r>
</w:p>
<w:p>
<w:pPr><w:pStyle w:val="Normal"/></w:pPr>
<w:r><w:t xml:space="preserve">For the bioliography of Alfred&apos;s works in general see Wulker,</w:t></w:r>
</w:p>
<w:p>
<w:pPr><w:pStyle w:val="Normal"/></w:pPr>
<w:r><w:t xml:space="preserve">Grundriss zur Gesch. der angelsachsischen Litteratur, pp.</w:t></w:r>
</w:p>
<w:p>
<w:pPr><w:pStyle w:val="Normal"/></w:pPr>
<w:r><w:t xml:space="preserve">386-451 (Leipzig, 1885).  Only the more recent and accessible</w:t></w:r>
</w:p>
<w:p>
<w:pPr><w:pStyle w:val="Normal"/></w:pPr>
<w:r><w:t xml:space="preserve">editions are mentioned here. Laws: The Legal Code ofAElfred</w:t></w:r>
</w:p>
<w:p>
<w:pPr><w:pStyle w:val="Normal"/></w:pPr>
<w:r><w:t xml:space="preserve">the Great (M. H. Turk, Halle, 1893). (For the Anglo-Saxon laws</w:t></w:r>
</w:p>
<w:p>
<w:pPr><w:pStyle w:val="Normal"/></w:pPr>
<w:r><w:t xml:space="preserve">as a whole see Liebermann, Gesetze der Angelsachsen, Halle,</w:t></w:r>
</w:p>
<w:p>
<w:pPr><w:pStyle w:val="Normal"/></w:pPr>
<w:r><w:t xml:space="preserve">1898-1903.  Earlier editions, Schmid, 1858; Thorpe, 1840.)</w:t></w:r>
</w:p>
<w:p>
<w:pPr><w:pStyle w:val="Normal"/></w:pPr>
<w:r><w:t xml:space="preserve">Gregory&apos;s Dialogues: Hans Hecht, in Grein&apos;s Bibliothek der</w:t></w:r>
</w:p>
<w:p>
<w:pPr><w:pStyle w:val="Normal"/></w:pPr>
<w:r><w:t xml:space="preserve">angels.  Prosa (1900). Gregory&apos;s Pastoral Care: H. Sweet,</w:t></w:r>
</w:p>
<w:p>
<w:pPr><w:pStyle w:val="Normal"/></w:pPr>
<w:r><w:t xml:space="preserve">for Early Eng. Text Society (1871--1872). (Dissertations by</w:t></w:r>
</w:p>
<w:p>
<w:pPr><w:pStyle w:val="Normal"/></w:pPr>
<w:r><w:t xml:space="preserve">Wack and DeWitz, 1889.) Orosius: Thorpe (in his translation of</w:t></w:r>
</w:p>
<w:p>
<w:pPr><w:pStyle w:val="Normal"/></w:pPr>
<w:r><w:t xml:space="preserve">Pauli, U. S. 1853); Bosworth (1859); Sweet, E.E.T.S. (1883).</w:t></w:r>
</w:p>
<w:p>
<w:pPr><w:pStyle w:val="Normal"/></w:pPr>
<w:r><w:t xml:space="preserve">(Dissertation Schelling, Konig AElfred&apos;s . . . Orosius,</w:t></w:r>
</w:p>
<w:p>
<w:pPr><w:pStyle w:val="Normal"/></w:pPr>
<w:r><w:t xml:space="preserve">Halle, 1886.) Bede: T. Miller, for E.E.T.S. (1890); Prof.</w:t></w:r>
</w:p>
<w:p>
<w:pPr><w:pStyle w:val="Normal"/></w:pPr>
<w:r><w:t xml:space="preserve">Schipper, in Grein&apos;s Bibliothek (U.S. 1899). Boethius:</w:t></w:r>
</w:p>
<w:p>
<w:pPr><w:pStyle w:val="Normal"/></w:pPr>
<w:r><w:t xml:space="preserve">W. J. Sedgfield (Clar.  Press, 1899); translation by the same</w:t></w:r>
</w:p>
<w:p>
<w:pPr><w:pStyle w:val="Normal"/></w:pPr>
<w:r><w:t xml:space="preserve">(1900). (Dissertation: G. Schepss, Archiv fur&apos;s Studium</w:t></w:r>
</w:p>
<w:p>
<w:pPr><w:pStyle w:val="Normal"/></w:pPr>
<w:r><w:t xml:space="preserve">der neueren Sprachen, xciv. 14-160.) Blostman: First printed</w:t></w:r>
</w:p>
<w:p>
<w:pPr><w:pStyle w:val="Normal"/></w:pPr>
<w:r><w:t xml:space="preserve">by Cockayne in the Shrine (1868-1869); reprinted, Englische</w:t></w:r>
</w:p>
<w:p>
<w:pPr><w:pStyle w:val="Normal"/></w:pPr>
<w:r><w:t xml:space="preserve">Studien, xviii.; new edition by Hararove, Yale Studies in</w:t></w:r>
</w:p>
<w:p>
<w:pPr><w:pStyle w:val="Normal"/></w:pPr>
<w:r><w:t xml:space="preserve">English, xiii. (1902); translation by the same, ib. xxii.</w:t></w:r>
</w:p>
<w:p>
<w:pPr><w:pStyle w:val="Normal"/></w:pPr>
<w:r><w:t xml:space="preserve">(1904). (Dissertation: F. G. Hubbard, Modern Language Notes,</w:t></w:r>
</w:p>
<w:p>
<w:pPr><w:pStyle w:val="Normal"/></w:pPr>
<w:r><w:t xml:space="preserve">ix. 522 ff.) Anglo-Saxon Chronicle: see above. Mortyrology:</w:t></w:r>
</w:p>
<w:p>
<w:pPr><w:pStyle w:val="Normal"/></w:pPr>
<w:r><w:t xml:space="preserve">Cockayne, in the Shrine, v.s. Psalter: Thorpe (Clar.</w:t></w:r>
</w:p>
<w:p>
<w:pPr><w:pStyle w:val="Normal"/></w:pPr>
<w:r><w:t xml:space="preserve">Press, 1855). (Dissertations: for Alfred&apos;s authorship, Wichmann,</w:t></w:r>
</w:p>
<w:p>
<w:pPr><w:pStyle w:val="Normal"/></w:pPr>
<w:r><w:t xml:space="preserve">Anglia, xi. 19 ff.; against, J. D. Bruce, The Anglo-Saxon</w:t></w:r>
</w:p>
<w:p>
<w:pPr><w:pStyle w:val="Normal"/></w:pPr>
<w:r><w:t xml:space="preserve">Version of the Book of Psalms, Baltimore, 1894.) (C. PL.)</w:t></w:r>
</w:p>
<w:p>
<w:pPr><w:pStyle w:val="Normal"/></w:pPr>
<w:r><w:t xml:space="preserve">1 Where alternative dates are given the later date is that</w:t></w:r>
</w:p>
<w:p>
<w:pPr><w:pStyle w:val="Normal"/></w:pPr>
<w:r><w:t xml:space="preserve">of the Saxon Chronicle. But the evidence of the Continental</w:t></w:r>
</w:p>
<w:p>
<w:pPr><w:pStyle w:val="Normal"/></w:pPr>
<w:r><w:t xml:space="preserve">Chronicles makes it probable that the Saxon Chronicle</w:t></w:r>
</w:p>
<w:p>
<w:pPr><w:pStyle w:val="Normal"/></w:pPr>
<w:r><w:t xml:space="preserve">is a year in advance of the true chronology in this part.</w:t></w:r>
</w:p>
<w:p>
<w:pPr><w:pStyle w:val="Normal"/></w:pPr>
<w:r><w:t xml:space="preserve">ALFRED ERNEST ALBERT, duke of Saxe-Coburg and Gotha, and duke</w:t></w:r>
</w:p>
<w:p>
<w:pPr><w:pStyle w:val="Normal"/></w:pPr>
<w:r><w:t xml:space="preserve">of Edinburgh (1844-1900), second son and fourth child of Queen</w:t></w:r>
</w:p>
<w:p>
<w:pPr><w:pStyle w:val="Normal"/></w:pPr>
<w:r><w:t xml:space="preserve">Victoria, was born at Windsor Castle on the 6th of August</w:t></w:r>
</w:p>
<w:p>
<w:pPr><w:pStyle w:val="Normal"/></w:pPr>
<w:r><w:t xml:space="preserve">1844.  In 1856 it was decided that the prince, in accordance</w:t></w:r>
</w:p>
<w:p>
<w:pPr><w:pStyle w:val="Normal"/></w:pPr>
<w:r><w:t xml:space="preserve">with his own wishes, should enter the navy, and a separate</w:t></w:r>
</w:p>
<w:p>
<w:pPr><w:pStyle w:val="Normal"/></w:pPr>
<w:r><w:t xml:space="preserve">establishment was accordingly assigned to him, with Lieutenant</w:t></w:r>
</w:p>
<w:p>
<w:pPr><w:pStyle w:val="Normal"/></w:pPr>
<w:r><w:t xml:space="preserve">Sowell, R. E., as governor.  He passed a most creditable</w:t></w:r>
</w:p>
<w:p>
<w:pPr><w:pStyle w:val="Normal"/></w:pPr>
<w:r><w:t xml:space="preserve">examination for midshipman in August 1858, and being appointed</w:t></w:r>
</w:p>
<w:p>
<w:pPr><w:pStyle w:val="Normal"/></w:pPr>
<w:r><w:t xml:space="preserve">to the ``Euryalus,&apos;&apos; at once began to work hard at the</w:t></w:r>
</w:p>
<w:p>
<w:pPr><w:pStyle w:val="Normal"/></w:pPr>
<w:r><w:t xml:space="preserve">practical part of his profession.  In July 1860, while on this</w:t></w:r>
</w:p>
<w:p>
<w:pPr><w:pStyle w:val="Normal"/></w:pPr>
<w:r><w:t xml:space="preserve">ship, he paid an official visit to the Cape, and made a very</w:t></w:r>
</w:p>
<w:p>
<w:pPr><w:pStyle w:val="Normal"/></w:pPr>
<w:r><w:t xml:space="preserve">favourable impression both on the colonials and on the native</w:t></w:r>
</w:p>
<w:p>
<w:pPr><w:pStyle w:val="Normal"/></w:pPr>
<w:r><w:t xml:space="preserve">chiefs.  On the abdication of Otto, king of Greece, in 1862,</w:t></w:r>
</w:p>
<w:p>
<w:pPr><w:pStyle w:val="Normal"/></w:pPr>
<w:r><w:t xml:space="preserve">Prince Alfred was chosen by the whole people to succeed</w:t></w:r>
</w:p>
<w:p>
<w:pPr><w:pStyle w:val="Normal"/></w:pPr>
<w:r><w:t xml:space="preserve">him, but political conventions of long standing rendered</w:t></w:r>
</w:p>
<w:p>
<w:pPr><w:pStyle w:val="Normal"/></w:pPr>
<w:r><w:t xml:space="preserve">it impossible for the British government to accede to their</w:t></w:r>
</w:p>
<w:p>
<w:pPr><w:pStyle w:val="Normal"/></w:pPr>
<w:r><w:t xml:space="preserve">wishes.  The prince therefore remained in the navy, and was</w:t></w:r>
</w:p>
<w:p>
<w:pPr><w:pStyle w:val="Normal"/></w:pPr>
<w:r><w:t xml:space="preserve">promoted lieutenant on the 24th of February 1863 and captain</w:t></w:r>
</w:p>
<w:p>
<w:pPr><w:pStyle w:val="Normal"/></w:pPr>
<w:r><w:t xml:space="preserve">on the 23rd of February 1866, being then appointed to the</w:t></w:r>
</w:p>
<w:p>
<w:pPr><w:pStyle w:val="Normal"/></w:pPr>
<w:r><w:t xml:space="preserve">command of the ``Galatea.&apos;&apos; On attaining his majority in 1865</w:t></w:r>
</w:p>
<w:p>
<w:pPr><w:pStyle w:val="Normal"/></w:pPr>
<w:r><w:t xml:space="preserve">the prince was created duke of Edinburgh and earl of Ulster,</w:t></w:r>
</w:p>
<w:p>
<w:pPr><w:pStyle w:val="Normal"/></w:pPr>
<w:r><w:t xml:space="preserve">with an annuity of L. 15,000 granted by parliament.  While</w:t></w:r>
</w:p>
<w:p>
<w:pPr><w:pStyle w:val="Normal"/></w:pPr>
<w:r><w:t xml:space="preserve">still in command of the ``Galatea&apos;&apos; the duke started from</w:t></w:r>
</w:p>
<w:p>
<w:pPr><w:pStyle w:val="Normal"/></w:pPr>
<w:r><w:t xml:space="preserve">Plymouth on the 24th of January 1867 for his voyage round the</w:t></w:r>
</w:p>
<w:p>
<w:pPr><w:pStyle w:val="Normal"/></w:pPr>
<w:r><w:t xml:space="preserve">world.  On the 11th of June 1867 he left Gibraltar and reached</w:t></w:r>
</w:p>
<w:p>
<w:pPr><w:pStyle w:val="Normal"/></w:pPr>
<w:r><w:t xml:space="preserve">the Cape on the 24th of July, and landed at Glenelg, South</w:t></w:r>
</w:p>
<w:p>
<w:pPr><w:pStyle w:val="Normal"/></w:pPr>
<w:r><w:t xml:space="preserve">Australia, on the 31st of October.  Being the first English</w:t></w:r>
</w:p>
<w:p>
<w:pPr><w:pStyle w:val="Normal"/></w:pPr>
<w:r><w:t xml:space="preserve">prince to visit Australia, the duke was received with the greatest</w:t></w:r>
</w:p>
<w:p>
<w:pPr><w:pStyle w:val="Normal"/></w:pPr>
<w:r><w:t xml:space="preserve">enthusiasm.  During his stay of nearly five months he visited</w:t></w:r>
</w:p>
<w:p>
<w:pPr><w:pStyle w:val="Normal"/></w:pPr>
<w:r><w:t xml:space="preserve">Adelaide, Melbourne, Sydney, Brisbane and Tasmania; and</w:t></w:r>
</w:p>
<w:p>
<w:pPr><w:pStyle w:val="Normal"/></w:pPr>
<w:r><w:t xml:space="preserve">it was on his second visit to Sydney that, while attending</w:t></w:r>
</w:p>
<w:p>
<w:pPr><w:pStyle w:val="Normal"/></w:pPr>
<w:r><w:t xml:space="preserve">a public picnic at Clonfert in aid of the Sailors&apos; Home,</w:t></w:r>
</w:p>
<w:p>
<w:pPr><w:pStyle w:val="Normal"/></w:pPr>
<w:r><w:t xml:space="preserve">an Irishman named O&apos;Farrell shot him in the back with a</w:t></w:r>
</w:p>
<w:p>
<w:pPr><w:pStyle w:val="Normal"/></w:pPr>
<w:r><w:t xml:space="preserve">revolver.  The wound was fortunately not dangerous, and</w:t></w:r>
</w:p>
<w:p>
<w:pPr><w:pStyle w:val="Normal"/></w:pPr>
<w:r><w:t xml:space="preserve">within a month the duke was able to resume command of his</w:t></w:r>
</w:p>
<w:p>
<w:pPr><w:pStyle w:val="Normal"/></w:pPr>
<w:r><w:t xml:space="preserve">ship and return home.  He reached Spithead on the 26th of</w:t></w:r>
</w:p>
<w:p>
<w:pPr><w:pStyle w:val="Normal"/></w:pPr>
<w:r><w:t xml:space="preserve">June 1868, after an absence of seventeen months.  The duke&apos;s</w:t></w:r>
</w:p>
<w:p>
<w:pPr><w:pStyle w:val="Normal"/></w:pPr>
<w:r><w:t xml:space="preserve">next voyage was to India, where he arrived in December</w:t></w:r>
</w:p>
<w:p>
<w:pPr><w:pStyle w:val="Normal"/></w:pPr>
<w:r><w:t xml:space="preserve">1869.  Both there and at Hong Kong, which he visited on the</w:t></w:r>
</w:p>
<w:p>
<w:pPr><w:pStyle w:val="Normal"/></w:pPr>
<w:r><w:t xml:space="preserve">way, he was the first British prince to set foot in the</w:t></w:r>
</w:p>
<w:p>
<w:pPr><w:pStyle w:val="Normal"/></w:pPr>
<w:r><w:t xml:space="preserve">country.  The native rulers of India vied with one another</w:t></w:r>
</w:p>
<w:p>
<w:pPr><w:pStyle w:val="Normal"/></w:pPr>
<w:r><w:t xml:space="preserve">in the magnificence of their entertainments during the duke&apos;s</w:t></w:r>
</w:p>
<w:p>
<w:pPr><w:pStyle w:val="Normal"/></w:pPr>
<w:r><w:t xml:space="preserve">stay of three months.  On the 23rd of January 1874 the marriage</w:t></w:r>
</w:p>
<w:p>
<w:pPr><w:pStyle w:val="Normal"/></w:pPr>
<w:r><w:t xml:space="preserve">of the duke to the grand-duchess Marie Alexandrovna, only</w:t></w:r>
</w:p>
<w:p>
<w:pPr><w:pStyle w:val="Normal"/></w:pPr>
<w:r><w:t xml:space="preserve">daughter of Alexander II., emperor of Russia, was celebrated</w:t></w:r>
</w:p>
<w:p>
<w:pPr><w:pStyle w:val="Normal"/></w:pPr>
<w:r><w:t xml:space="preserve">at St Petersburg, and the bride and bridegroom made their</w:t></w:r>
</w:p>
<w:p>
<w:pPr><w:pStyle w:val="Normal"/></w:pPr>
<w:r><w:t xml:space="preserve">public entry into London on the 12th of March.  The duke</w:t></w:r>
</w:p>
<w:p>
<w:pPr><w:pStyle w:val="Normal"/></w:pPr>
<w:r><w:t xml:space="preserve">still devoted himself to his profession, showing complete</w:t></w:r>
</w:p>
<w:p>
<w:pPr><w:pStyle w:val="Normal"/></w:pPr>
<w:r><w:t xml:space="preserve">mastery of his duties and unusual skill in naval tactics.</w:t></w:r>
</w:p>
<w:p>
<w:pPr><w:pStyle w:val="Normal"/></w:pPr>
<w:r><w:t xml:space="preserve">He was promoted rear-admiral on the 30th of December 1878;</w:t></w:r>
</w:p>
<w:p>
<w:pPr><w:pStyle w:val="Normal"/></w:pPr>
<w:r><w:t xml:space="preserve">vice-admiral, 10th of November 1882; admiral, 18th of October</w:t></w:r>
</w:p>
<w:p>
<w:pPr><w:pStyle w:val="Normal"/></w:pPr>
<w:r><w:t xml:space="preserve">1887; and received his baton as admiral of the Fleet, 3rd of</w:t></w:r>
</w:p>
<w:p>
<w:pPr><w:pStyle w:val="Normal"/></w:pPr>
<w:r><w:t xml:space="preserve">June 1893.  He commanded the Channel fleet, 1883-1884; the</w:t></w:r>
</w:p>
<w:p>
<w:pPr><w:pStyle w:val="Normal"/></w:pPr>
<w:r><w:t xml:space="preserve">Mediterranean fleet, 1886-1889; and was commander-in-chief at</w:t></w:r>
</w:p>
<w:p>
<w:pPr><w:pStyle w:val="Normal"/></w:pPr>
<w:r><w:t xml:space="preserve">Davenport, 1890- 1893.  He always paid the greatest attention</w:t></w:r>
</w:p>
<w:p>
<w:pPr><w:pStyle w:val="Normal"/></w:pPr>
<w:r><w:t xml:space="preserve">to his offiicial duties and was most efficient as an admiral.</w:t></w:r>
</w:p>
<w:p>
<w:pPr><w:pStyle w:val="Normal"/></w:pPr>
<w:r><w:t xml:space="preserve">On the death of his uncle, Ernest II., duke of Saxe-Coburg and</w:t></w:r>
</w:p>
<w:p>
<w:pPr><w:pStyle w:val="Normal"/></w:pPr>
<w:r><w:t xml:space="preserve">Gotha, on the 22nd of August 1893, the vacant duchy fell to</w:t></w:r>
</w:p>
<w:p>
<w:pPr><w:pStyle w:val="Normal"/></w:pPr>
<w:r><w:t xml:space="preserve">the duke of Edinburgh, for the prince of Wales had renounced</w:t></w:r>
</w:p>
<w:p>
<w:pPr><w:pStyle w:val="Normal"/></w:pPr>
<w:r><w:t xml:space="preserve">his right to the succession.  At first regarded with some</w:t></w:r>
</w:p>
<w:p>
<w:pPr><w:pStyle w:val="Normal"/></w:pPr>
<w:r><w:t xml:space="preserve">coldness as a ``foreigner,&apos;&apos; he gradually gained popularity,</w:t></w:r>
</w:p>
<w:p>
<w:pPr><w:pStyle w:val="Normal"/></w:pPr>
<w:r><w:t xml:space="preserve">and by the time of his death, on the 30th of July 1900, he</w:t></w:r>
</w:p>
<w:p>
<w:pPr><w:pStyle w:val="Normal"/></w:pPr>
<w:r><w:t xml:space="preserve">had completely won the good opinion of his subjects.  The duke</w:t></w:r>
</w:p>
<w:p>
<w:pPr><w:pStyle w:val="Normal"/></w:pPr>
<w:r><w:t xml:space="preserve">was exceedingly fond of music and an excellent violinist, and</w:t></w:r>
</w:p>
<w:p>
<w:pPr><w:pStyle w:val="Normal"/></w:pPr>
<w:r><w:t xml:space="preserve">took a prominent part in establishing the Royal College of</w:t></w:r>
</w:p>
<w:p>
<w:pPr><w:pStyle w:val="Normal"/></w:pPr>
<w:r><w:t xml:space="preserve">music.  He was also a keen collector of glass and ceramic</w:t></w:r>
</w:p>
<w:p>
<w:pPr><w:pStyle w:val="Normal"/></w:pPr>
<w:r><w:t xml:space="preserve">ware, and his collection, valued at half a million of marks,</w:t></w:r>
</w:p>
<w:p>
<w:pPr><w:pStyle w:val="Normal"/></w:pPr>
<w:r><w:t xml:space="preserve">was presented by his widow to the ``Veste Coburg,&apos;&apos; near</w:t></w:r>
</w:p>
<w:p>
<w:pPr><w:pStyle w:val="Normal"/></w:pPr>
<w:r><w:t xml:space="preserve">Coburg.  When he became duke of Saxe-Coburg he surrendered his</w:t></w:r>
</w:p>
<w:p>
<w:pPr><w:pStyle w:val="Normal"/></w:pPr>
<w:r><w:t xml:space="preserve">English allowance of L. 15,000 a year, but the L. 10,000 granted</w:t></w:r>
</w:p>
<w:p>
<w:pPr><w:pStyle w:val="Normal"/></w:pPr>
<w:r><w:t xml:space="preserve">in addition by parliament on his marriage he retained in</w:t></w:r>
</w:p>
<w:p>
<w:pPr><w:pStyle w:val="Normal"/></w:pPr>
<w:r><w:t xml:space="preserve">order to keep up Clarence House.  The duke had one son,</w:t></w:r>
</w:p>
<w:p>
<w:pPr><w:pStyle w:val="Normal"/></w:pPr>
<w:r><w:t xml:space="preserve">who died unmarried on the 6th of February 1899, and four</w:t></w:r>
</w:p>
<w:p>
<w:pPr><w:pStyle w:val="Normal"/></w:pPr>
<w:r><w:t xml:space="preserve">daughters.  The third daughter, Princess Alexandra Louisa</w:t></w:r>
</w:p>
<w:p>
<w:pPr><w:pStyle w:val="Normal"/></w:pPr>
<w:r><w:t xml:space="preserve">Olga Victoria, married the hereditary prince Ernest of</w:t></w:r>
</w:p>
<w:p>
<w:pPr><w:pStyle w:val="Normal"/></w:pPr>
<w:r><w:t xml:space="preserve">Hohenlohe-Langenburg, who became regent of the duchy of</w:t></w:r>
</w:p>
<w:p>
<w:pPr><w:pStyle w:val="Normal"/></w:pPr>
<w:r><w:t xml:space="preserve">Coburg during the minority of the deceased duke&apos;s nephew, the</w:t></w:r>
</w:p>
<w:p>
<w:pPr><w:pStyle w:val="Normal"/></w:pPr>
<w:r><w:t xml:space="preserve">young duke of Albany, to whom the succession fell. (G. F. B.)</w:t></w:r>
</w:p>
<w:p>
<w:pPr><w:pStyle w:val="Normal"/></w:pPr>
<w:r><w:t xml:space="preserve">ALFRED, a village in the township of Alfred, Allegany county,</w:t></w:r>
</w:p>
<w:p>
<w:pPr><w:pStyle w:val="Normal"/></w:pPr>
<w:r><w:t xml:space="preserve">New York, U.S.A., about 75 m.  S.W. of Buffalo.  Pop. of the</w:t></w:r>
</w:p>
<w:p>
<w:pPr><w:pStyle w:val="Normal"/></w:pPr>
<w:r><w:t xml:space="preserve">township, including the village (1900), 1615; (1910 U. S. census)</w:t></w:r>
</w:p>
<w:p>
<w:pPr><w:pStyle w:val="Normal"/></w:pPr>
<w:r><w:t xml:space="preserve">1590.  Pop. of the village (1900) 756; (1910 U. S. census) 759.</w:t></w:r>
</w:p>
<w:p>
<w:pPr><w:pStyle w:val="Normal"/></w:pPr>
<w:r><w:t xml:space="preserve">The township is served, at Alfred station, by the Erie railway.</w:t></w:r>
</w:p>
<w:p>
<w:pPr><w:pStyle w:val="Normal"/></w:pPr>
<w:r><w:t xml:space="preserve">The village, which is connected by stage with the station, is</w:t></w:r>
</w:p>
<w:p>
<w:pPr><w:pStyle w:val="Normal"/></w:pPr>
<w:r><w:t xml:space="preserve">situated at the junction of two valleys and commands delightful</w:t></w:r>
</w:p>
<w:p>
<w:pPr><w:pStyle w:val="Normal"/></w:pPr>
<w:r><w:t xml:space="preserve">views of mountain scenery.  On the west slope of pine Hill is</w:t></w:r>
</w:p>
<w:p>
<w:pPr><w:pStyle w:val="Normal"/></w:pPr>
<w:r><w:t xml:space="preserve">Alfred University (co-educational), which embraces a College</w:t></w:r>
</w:p>
<w:p>
<w:pPr><w:pStyle w:val="Normal"/></w:pPr>
<w:r><w:t xml:space="preserve">(non-sectarian), an academy (non-sectarian) and a theological</w:t></w:r>
</w:p>
<w:p>
<w:pPr><w:pStyle w:val="Normal"/></w:pPr>
<w:r><w:t xml:space="preserve">seminary (Seventh-Day Baptist).  Closely associated with it</w:t></w:r>
</w:p>
<w:p>
<w:pPr><w:pStyle w:val="Normal"/></w:pPr>
<w:r><w:t xml:space="preserve">also, and under the management of the university trustees,</w:t></w:r>
</w:p>
<w:p>
<w:pPr><w:pStyle w:val="Normal"/></w:pPr>
<w:r><w:t xml:space="preserve">is the New York State School of Clay-Working and Ceramics</w:t></w:r>
</w:p>
<w:p>
<w:pPr><w:pStyle w:val="Normal"/></w:pPr>
<w:r><w:t xml:space="preserve">(1900), one of the most efficient schools of the kind in the</w:t></w:r>
</w:p>
<w:p>
<w:pPr><w:pStyle w:val="Normal"/></w:pPr>
<w:r><w:t xml:space="preserve">country.  In 1908 the legislature of New York appropriated</w:t></w:r>
</w:p>
<w:p>
<w:pPr><w:pStyle w:val="Normal"/></w:pPr>
<w:r><w:t xml:space="preserve">$80,000 for the establishment of a state school of agriculture</w:t></w:r>
</w:p>
<w:p>
<w:pPr><w:pStyle w:val="Normal"/></w:pPr>
<w:r><w:t xml:space="preserve">in connexion with the university.  The institution had its</w:t></w:r>
</w:p>
<w:p>
<w:pPr><w:pStyle w:val="Normal"/></w:pPr>
<w:r><w:t xml:space="preserve">beginning in 1836 in a private school.  This developed into</w:t></w:r>
</w:p>
<w:p>
<w:pPr><w:pStyle w:val="Normal"/></w:pPr>
<w:r><w:t xml:space="preserve">an academy, which in 1843 was incorporated as Alfred Academy</w:t></w:r>
</w:p>
<w:p>
<w:pPr><w:pStyle w:val="Normal"/></w:pPr>
<w:r><w:t xml:space="preserve">and Teachers&apos; Seminary; in 1857 the university was chartered</w:t></w:r>
</w:p>
<w:p>
<w:pPr><w:pStyle w:val="Normal"/></w:pPr>
<w:r><w:t xml:space="preserve">under its present name.  The principal industry of the village</w:t></w:r>
</w:p>
<w:p>
<w:pPr><w:pStyle w:val="Normal"/></w:pPr>
<w:r><w:t xml:space="preserve">is the manufacture of roofing tiles.  The township of Alfred</w:t></w:r>
</w:p>
<w:p>
<w:pPr><w:pStyle w:val="Normal"/></w:pPr>
<w:r><w:t xml:space="preserve">lies within the territory purchased by Robert Morris in 1791.</w:t></w:r>
</w:p>
<w:p>
<w:pPr><w:pStyle w:val="Normal"/></w:pPr>
<w:r><w:t xml:space="preserve">He sold it in the same year to a company resident in London,</w:t></w:r>
</w:p>
<w:p>
<w:pPr><w:pStyle w:val="Normal"/></w:pPr>
<w:r><w:t xml:space="preserve">England.  Their agent sold most of it to settlers and, it is</w:t></w:r>
</w:p>
<w:p>
<w:pPr><w:pStyle w:val="Normal"/></w:pPr>
<w:r><w:t xml:space="preserve">said, named the township, when it was organized in 1806, in</w:t></w:r>
</w:p>
<w:p>
<w:pPr><w:pStyle w:val="Normal"/></w:pPr>
<w:r><w:t xml:space="preserve">honour of Alfred the Great.  The first settlement within its</w:t></w:r>
</w:p>
<w:p>
<w:pPr><w:pStyle w:val="Normal"/></w:pPr>
<w:r><w:t xml:space="preserve">present limits was made in 1807.  For several years most of the</w:t></w:r>
</w:p>
<w:p>
<w:pPr><w:pStyle w:val="Normal"/></w:pPr>
<w:r><w:t xml:space="preserve">settlers were Seventh-Day Baptists, and in 1812 they organized</w:t></w:r>
</w:p>
<w:p>
<w:pPr><w:pStyle w:val="Normal"/></w:pPr>
<w:r><w:t xml:space="preserve">a church here.  The village of Alfred was chartered in 1887.</w:t></w:r>
</w:p>
<w:p>
<w:pPr><w:pStyle w:val="Normal"/></w:pPr>
<w:r><w:t xml:space="preserve">J. S. Minard, Allegany County and its People (Alfred, 1896).</w:t></w:r>
</w:p>
<w:p>
<w:pPr><w:pStyle w:val="Normal"/></w:pPr>
<w:r><w:t xml:space="preserve">ALFRETON, a market town in the mid-parliamentary division of</w:t></w:r>
</w:p>
<w:p>
<w:pPr><w:pStyle w:val="Normal"/></w:pPr>
<w:r><w:t xml:space="preserve">Derbyshire, England, 14 m N. by E. of Derby, on the Midland</w:t></w:r>
</w:p>
<w:p>
<w:pPr><w:pStyle w:val="Normal"/></w:pPr>
<w:r><w:t xml:space="preserve">railway.  Pop. of urban district (1901) 17,505.  It lies at a</w:t></w:r>
</w:p>
<w:p>
<w:pPr><w:pStyle w:val="Normal"/></w:pPr>
<w:r><w:t xml:space="preserve">considerable elevation above the valley of a small stream tributary</w:t></w:r>
</w:p>
<w:p>
<w:pPr><w:pStyle w:val="Normal"/></w:pPr>
<w:r><w:t xml:space="preserve">to the Derwent.  The church of St Martin is Early English and</w:t></w:r>
</w:p>
<w:p>
<w:pPr><w:pStyle w:val="Normal"/></w:pPr>
<w:r><w:t xml:space="preserve">later.  The neighbourhood abounds in ironworks, collieries,</w:t></w:r>
</w:p>
<w:p>
<w:pPr><w:pStyle w:val="Normal"/></w:pPr>
<w:r><w:t xml:space="preserve">quarries and potteries, and is thickly populated.  To the</w:t></w:r>
</w:p>
<w:p>
<w:pPr><w:pStyle w:val="Normal"/></w:pPr>
<w:r><w:t xml:space="preserve">north-east of Alfreton are South Normanton (pop. 5170), Blackwell</w:t></w:r>
</w:p>
<w:p>
<w:pPr><w:pStyle w:val="Normal"/></w:pPr>
<w:r><w:t xml:space="preserve">(4144) and Tibshelf (3432); to the north Shirland (3929), to</w:t></w:r>
</w:p>
<w:p>
<w:pPr><w:pStyle w:val="Normal"/></w:pPr>
<w:r><w:t xml:space="preserve">the south Ironville and other busy industrial villages.  The</w:t></w:r>
</w:p>
<w:p>
<w:pPr><w:pStyle w:val="Normal"/></w:pPr>
<w:r><w:t xml:space="preserve">foundation of Alfreton is traditionally ascribed to King Alfred.</w:t></w:r>
</w:p>
<w:p>
<w:pPr><w:pStyle w:val="Normal"/></w:pPr>
<w:r><w:t xml:space="preserve">ALFUROS (ALFURES, HORAFORAS), a term of no ethnological value</w:t></w:r>
</w:p>
<w:p>
<w:pPr><w:pStyle w:val="Normal"/></w:pPr>
<w:r><w:t xml:space="preserve">applied by the Malays to all the uncivilized non- Mahommedan</w:t></w:r>
</w:p>
<w:p>
<w:pPr><w:pStyle w:val="Normal"/></w:pPr>
<w:r><w:t xml:space="preserve">peoples in the eastern portion of the Malay Archipelago.  Its</w:t></w:r>
</w:p>
<w:p>
<w:pPr><w:pStyle w:val="Normal"/></w:pPr>
<w:r><w:t xml:space="preserve">origin is uncertain, but its meaning is ``wild&apos;&apos; or ``uncivilized.&apos;&apos;</w:t></w:r>
</w:p>
<w:p>
<w:pPr><w:pStyle w:val="Normal"/></w:pPr>
<w:r><w:t xml:space="preserve">The term is not restricted to the aborigines, but is far</w:t></w:r>
</w:p>
<w:p>
<w:pPr><w:pStyle w:val="Normal"/></w:pPr>
<w:r><w:t xml:space="preserve">more frequently used to describe the tribes of Malayan blood.</w:t></w:r>
</w:p>
<w:p>
<w:pPr><w:pStyle w:val="Normal"/></w:pPr>
<w:r><w:t xml:space="preserve">ALGAE. The Latin word alga seems to have been the equivalent</w:t></w:r>
</w:p>
<w:p>
<w:pPr><w:pStyle w:val="Normal"/></w:pPr>
<w:r><w:t xml:space="preserve">of the English word ``seaweed&apos;&apos; and probably stood for any or all</w:t></w:r>
</w:p>
<w:p>
<w:pPr><w:pStyle w:val="Normal"/></w:pPr>
<w:r><w:t xml:space="preserve">of the species of plants which form the ``wrack&apos;&apos; of a seashore.</w:t></w:r>
</w:p>
<w:p>
<w:pPr><w:pStyle w:val="Normal"/></w:pPr>
<w:r><w:t xml:space="preserve">Classification.</w:t></w:r>
</w:p>
<w:p>
<w:pPr><w:pStyle w:val="Normal"/></w:pPr>
<w:r><w:t xml:space="preserve">When the word ``Algae&apos;&apos; came to be employed in botanical</w:t></w:r>
</w:p>
<w:p>
<w:pPr><w:pStyle w:val="Normal"/></w:pPr>
<w:r><w:t xml:space="preserve">classification as the name of a class, an arbitrary limitation</w:t></w:r>
</w:p>
<w:p>
<w:pPr><w:pStyle w:val="Normal"/></w:pPr>
<w:r><w:t xml:space="preserve">had to be set to its signification, and this was not always in</w:t></w:r>
</w:p>
<w:p>
<w:pPr><w:pStyle w:val="Normal"/></w:pPr>
<w:r><w:t xml:space="preserve">keeping with its original meaning.  The absence of differentiation</w:t></w:r>
</w:p>
<w:p>
<w:pPr><w:pStyle w:val="Normal"/></w:pPr>
<w:r><w:t xml:space="preserve">into root, stem and leaf which prevails among seaweeds,</w:t></w:r>
</w:p>
<w:p>
<w:pPr><w:pStyle w:val="Normal"/></w:pPr>
<w:r><w:t xml:space="preserve">seems, for example, to have led Linnaeus to employ the term</w:t></w:r>
</w:p>
<w:p>
<w:pPr><w:pStyle w:val="Normal"/></w:pPr>
<w:r><w:t xml:space="preserve">in the Genera Plantarum for a sub-class of Cryptogamia, the</w:t></w:r>
</w:p>
<w:p>
<w:pPr><w:pStyle w:val="Normal"/></w:pPr>
<w:r><w:t xml:space="preserve">members of which presented this character in a greater or less</w:t></w:r>
</w:p>
<w:p>
<w:pPr><w:pStyle w:val="Normal"/></w:pPr>
<w:r><w:t xml:space="preserve">degree.  Of the fifteen genera included by Linnaeus among</w:t></w:r>
</w:p>
<w:p>
<w:pPr><w:pStyle w:val="Normal"/></w:pPr>
<w:r><w:t xml:space="preserve">algae, not more than six--viz. Chara, Fucus, Diva and</w:t></w:r>
</w:p>
<w:p>
<w:pPr><w:pStyle w:val="Normal"/></w:pPr>
<w:r><w:t xml:space="preserve">Conferva, and in part Tremella and Byssus--would to-day,</w:t></w:r>
</w:p>
<w:p>
<w:pPr><w:pStyle w:val="Normal"/></w:pPr>
<w:r><w:t xml:space="preserve">in any sense in which the term is employed, be regarded as</w:t></w:r>
</w:p>
<w:p>
<w:pPr><w:pStyle w:val="Normal"/></w:pPr>
<w:r><w:t xml:space="preserve">algae.  The excluded genera are distributed among the</w:t></w:r>
</w:p>
<w:p>
<w:pPr><w:pStyle w:val="Normal"/></w:pPr>
<w:r><w:t xml:space="preserve">liverworts, lichens and fungi; but notwithstanding the</w:t></w:r>
</w:p>
<w:p>
<w:pPr><w:pStyle w:val="Normal"/></w:pPr>
<w:r><w:t xml:space="preserve">great advance in knowledge since the time of Linnaeus, the</w:t></w:r>
</w:p>
<w:p>
<w:pPr><w:pStyle w:val="Normal"/></w:pPr>
<w:r><w:t xml:space="preserve">difficulty of deciding what limits to assign to the group</w:t></w:r>
</w:p>
<w:p>
<w:pPr><w:pStyle w:val="Normal"/></w:pPr>
<w:r><w:t xml:space="preserve">to be designated Algae still remains.  It arises from the</w:t></w:r>
</w:p>
<w:p>
<w:pPr><w:pStyle w:val="Normal"/></w:pPr>
<w:r><w:t xml:space="preserve">fact that algae, as generally understood, do not constitute</w:t></w:r>
</w:p>
<w:p>
<w:pPr><w:pStyle w:val="Normal"/></w:pPr>
<w:r><w:t xml:space="preserve">a homogeneous group, suggesting a descent from a common</w:t></w:r>
</w:p>
<w:p>
<w:pPr><w:pStyle w:val="Normal"/></w:pPr>
<w:r><w:t xml:space="preserve">stock.  Among them there exist, as will be seen hereafter, many</w:t></w:r>
</w:p>
<w:p>
<w:pPr><w:pStyle w:val="Normal"/></w:pPr>
<w:r><w:t xml:space="preserve">well-marked but isolated natural groups, and their inclusion</w:t></w:r>
</w:p>
<w:p>
<w:pPr><w:pStyle w:val="Normal"/></w:pPr>
<w:r><w:t xml:space="preserve">in the larger group is generally felt to be a matter of</w:t></w:r>
</w:p>
<w:p>
<w:pPr><w:pStyle w:val="Normal"/></w:pPr>
<w:r><w:t xml:space="preserve">convenience rather than the expression of a belief in their</w:t></w:r>
</w:p>
<w:p>
<w:pPr><w:pStyle w:val="Normal"/></w:pPr>
<w:r><w:t xml:space="preserve">close inter-relationship.  Efforts are therefore continually</w:t></w:r>
</w:p>
<w:p>
<w:pPr><w:pStyle w:val="Normal"/></w:pPr>
<w:r><w:t xml:space="preserve">being made by successive writers to exclude certain outlying</w:t></w:r>
</w:p>
<w:p>
<w:pPr><w:pStyle w:val="Normal"/></w:pPr>
<w:r><w:t xml:space="preserve">sub-groups, and to reserve the term Algae for a central group</w:t></w:r>
</w:p>
<w:p>
<w:pPr><w:pStyle w:val="Normal"/></w:pPr>
<w:r><w:t xml:space="preserve">reconstituted on a more natural basis within narrower limits.</w:t></w:r>
</w:p>
<w:p>
<w:pPr><w:pStyle w:val="Normal"/></w:pPr>
<w:r><w:t xml:space="preserve">It is perhaps desirable, in an article like this, to treat</w:t></w:r>
</w:p>
<w:p>
<w:pPr><w:pStyle w:val="Normal"/></w:pPr>
<w:r><w:t xml:space="preserve">of algae in the widest possible sense in which the term</w:t></w:r>
</w:p>
<w:p>
<w:pPr><w:pStyle w:val="Normal"/></w:pPr>
<w:r><w:t xml:space="preserve">may be used, an indication being at the same time given</w:t></w:r>
</w:p>
<w:p>
<w:pPr><w:pStyle w:val="Normal"/></w:pPr>
<w:r><w:t xml:space="preserve">of the narrower senses in which it has been proposed to</w:t></w:r>
</w:p>
<w:p>
<w:pPr><w:pStyle w:val="Normal"/></w:pPr>
<w:r><w:t xml:space="preserve">employ it.  Interpreted in this way, the place of algae</w:t></w:r>
</w:p>
<w:p>
<w:pPr><w:pStyle w:val="Normal"/></w:pPr>
<w:r><w:t xml:space="preserve">in the vegetable kingdom may be shown by means of a</w:t></w:r>
</w:p>
<w:p>
<w:pPr><w:pStyle w:val="Normal"/></w:pPr>
<w:r><w:t xml:space="preserve">_</w:t></w:r>
</w:p>
<w:p>
<w:pPr><w:pStyle w:val="Normal"/></w:pPr>
<w:r><w:t xml:space="preserve">_                  _              |   Myxomycetes</w:t></w:r>
</w:p>
<w:p>
<w:pPr><w:pStyle w:val="Normal"/></w:pPr>
<w:r><w:t xml:space="preserve">|                  |  Thallophyta  |   Fungi</w:t></w:r>
</w:p>
<w:p>
<w:pPr><w:pStyle w:val="Normal"/></w:pPr>
<w:r><w:t xml:space="preserve">|   Cryptogamia    |               |_  Algae</w:t></w:r>
</w:p>
<w:p>
<w:pPr><w:pStyle w:val="Normal"/></w:pPr>
<w:r><w:t xml:space="preserve">The Vegetable   |                  |  Bryophyta</w:t></w:r>
</w:p>
<w:p>
<w:pPr><w:pStyle w:val="Normal"/></w:pPr>
<w:r><w:t xml:space="preserve">Kingdom         |                  |_ Pteridophyta</w:t></w:r>
</w:p>
<w:p>
<w:pPr><w:pStyle w:val="Normal"/></w:pPr>
<w:r><w:t xml:space="preserve">|                   _</w:t></w:r>
</w:p>
<w:p>
<w:pPr><w:pStyle w:val="Normal"/></w:pPr>
<w:r><w:t xml:space="preserve">|                  |  Gymnosperms</w:t></w:r>
</w:p>
<w:p>
<w:pPr><w:pStyle w:val="Normal"/></w:pPr>
<w:r><w:t xml:space="preserve">|  Phanerogamia    |_ Angiosperms</w:t></w:r>
</w:p>
<w:p>
<w:pPr><w:pStyle w:val="Normal"/></w:pPr>
<w:r><w:t xml:space="preserve">|_</w:t></w:r>
</w:p>
<w:p>
<w:pPr><w:pStyle w:val="Normal"/></w:pPr>
<w:r><w:t xml:space="preserve">Algae in this wide sense may be briefly described as the</w:t></w:r>
</w:p>
<w:p>
<w:pPr><w:pStyle w:val="Normal"/></w:pPr>
<w:r><w:t xml:space="preserve">aggregate of those simpler forms of plant life usually devoid,</w:t></w:r>
</w:p>
<w:p>
<w:pPr><w:pStyle w:val="Normal"/></w:pPr>
<w:r><w:t xml:space="preserve">like the rest of the Thallophyta, of differentiation into</w:t></w:r>
</w:p>
<w:p>
<w:pPr><w:pStyle w:val="Normal"/></w:pPr>
<w:r><w:t xml:space="preserve">root, stem and leaf; but, unlike other Thallophyta, possessed</w:t></w:r>
</w:p>
<w:p>
<w:pPr><w:pStyle w:val="Normal"/></w:pPr>
<w:r><w:t xml:space="preserve">of a colouring matter; by means of which they are enabled,</w:t></w:r>
</w:p>
<w:p>
<w:pPr><w:pStyle w:val="Normal"/></w:pPr>
<w:r><w:t xml:space="preserve">in the presence of sunlight, to make use of the carbonic</w:t></w:r>
</w:p>
<w:p>
<w:pPr><w:pStyle w:val="Normal"/></w:pPr>
<w:r><w:t xml:space="preserve">acid gas of the atmosphere as a source of carbon.  It is</w:t></w:r>
</w:p>
<w:p>
<w:pPr><w:pStyle w:val="Normal"/></w:pPr>
<w:r><w:t xml:space="preserve">true that certain Bryophyta (Marchantiaceae, Anthoceroteae)</w:t></w:r>
</w:p>
<w:p>
<w:pPr><w:pStyle w:val="Normal"/></w:pPr>
<w:r><w:t xml:space="preserve">possess a thalloid structure similar to that of Thallophyta,</w:t></w:r>
</w:p>
<w:p>
<w:pPr><w:pStyle w:val="Normal"/></w:pPr>
<w:r><w:t xml:space="preserve">and are at the same time possessed of the colouring matter</w:t></w:r>
</w:p>
<w:p>
<w:pPr><w:pStyle w:val="Normal"/></w:pPr>
<w:r><w:t xml:space="preserve">of the Green Algae.  Their life-cycle, however, the structure</w:t></w:r>
</w:p>
<w:p>
<w:pPr><w:pStyle w:val="Normal"/></w:pPr>
<w:r><w:t xml:space="preserve">of the reproductive organs and their whole organization</w:t></w:r>
</w:p>
<w:p>
<w:pPr><w:pStyle w:val="Normal"/></w:pPr>
<w:r><w:t xml:space="preserve">proclaim them to be Bryophyta (q.v..) On the other hand,</w:t></w:r>
</w:p>
<w:p>
<w:pPr><w:pStyle w:val="Normal"/></w:pPr>
<w:r><w:t xml:space="preserve">certain undoubted animals (Stentor, Hydra, Bonellia) are</w:t></w:r>
</w:p>
<w:p>
<w:pPr><w:pStyle w:val="Normal"/></w:pPr>
<w:r><w:t xml:space="preserve">provided with a green colouring matter by means of which</w:t></w:r>
</w:p>
<w:p>
<w:pPr><w:pStyle w:val="Normal"/></w:pPr>
<w:r><w:t xml:space="preserve">they make use of atmospheric carbonic acid.  A more important</w:t></w:r>
</w:p>
<w:p>
<w:pPr><w:pStyle w:val="Normal"/></w:pPr>
<w:r><w:t xml:space="preserve">consideration is the occasional absence of this colour in</w:t></w:r>
</w:p>
<w:p>
<w:pPr><w:pStyle w:val="Normal"/></w:pPr>
<w:r><w:t xml:space="preserve">species, or groups of species, with, in other respects, algal</w:t></w:r>
</w:p>
<w:p>
<w:pPr><w:pStyle w:val="Normal"/></w:pPr>
<w:r><w:t xml:space="preserve">affinities.  Such aberrant forms are to be regarded in the</w:t></w:r>
</w:p>
<w:p>
<w:pPr><w:pStyle w:val="Normal"/></w:pPr>
<w:r><w:t xml:space="preserve">same light as Cuscuta and Orobanchaceae, for example, among</w:t></w:r>
</w:p>
<w:p>
<w:pPr><w:pStyle w:val="Normal"/></w:pPr>
<w:r><w:t xml:space="preserve">Phanerogams.  As these non-green plants do not cease to</w:t></w:r>
</w:p>
<w:p>
<w:pPr><w:pStyle w:val="Normal"/></w:pPr>
<w:r><w:t xml:space="preserve">be classed with other Phanerogams, so must the forms in</w:t></w:r>
</w:p>
<w:p>
<w:pPr><w:pStyle w:val="Normal"/></w:pPr>
<w:r><w:t xml:space="preserve">question be retained among algae.  In all cases the loss</w:t></w:r>
</w:p>
<w:p>
<w:pPr><w:pStyle w:val="Normal"/></w:pPr>
<w:r><w:t xml:space="preserve">of the colouring matter is associated with an incapacity to</w:t></w:r>
</w:p>
<w:p>
<w:pPr><w:pStyle w:val="Normal"/></w:pPr>
<w:r><w:t xml:space="preserve">take up carbon from so simple a compound as carbonic acid</w:t></w:r>
</w:p>
<w:p>
<w:pPr><w:pStyle w:val="Normal"/></w:pPr>
<w:r><w:t xml:space="preserve">It might be mentioned here that the whole group of the</w:t></w:r>
</w:p>
<w:p>
<w:pPr><w:pStyle w:val="Normal"/></w:pPr>
<w:r><w:t xml:space="preserve">Fungi (q.v.),with its many thousands of species, is now</w:t></w:r>
</w:p>
<w:p>
<w:pPr><w:pStyle w:val="Normal"/></w:pPr>
<w:r><w:t xml:space="preserve">generally regarded as having been derived from algae, and</w:t></w:r>
</w:p>
<w:p>
<w:pPr><w:pStyle w:val="Normal"/></w:pPr>
<w:r><w:t xml:space="preserve">the system of classification of fungi devised by Brefeld is</w:t></w:r>
</w:p>
<w:p>
<w:pPr><w:pStyle w:val="Normal"/></w:pPr>
<w:r><w:t xml:space="preserve">based upon this belief.  The similarity of the morphological</w:t></w:r>
</w:p>
<w:p>
<w:pPr><w:pStyle w:val="Normal"/></w:pPr>
<w:r><w:t xml:space="preserve">characters of one group of fungi to those of certain algae</w:t></w:r>
</w:p>
<w:p>
<w:pPr><w:pStyle w:val="Normal"/></w:pPr>
<w:r><w:t xml:space="preserve">has earned for it the name Phycomycetes or alga-fungi.</w:t></w:r>
</w:p>
<w:p>
<w:pPr><w:pStyle w:val="Normal"/></w:pPr>
<w:r><w:t xml:space="preserve">Further discussion of the general characters of algae will be</w:t></w:r>
</w:p>
<w:p>
<w:pPr><w:pStyle w:val="Normal"/></w:pPr>
<w:r><w:t xml:space="preserve">deferred in order to take a brief survey of the subdivisions</w:t></w:r>
</w:p>
<w:p>
<w:pPr><w:pStyle w:val="Normal"/></w:pPr>
<w:r><w:t xml:space="preserve">of the group.  For this purpose there will be adopted the</w:t></w:r>
</w:p>
<w:p>
<w:pPr><w:pStyle w:val="Normal"/></w:pPr>
<w:r><w:t xml:space="preserve">classification of algae into four sub-groups, founded on</w:t></w:r>
</w:p>
<w:p>
<w:pPr><w:pStyle w:val="Normal"/></w:pPr>
<w:r><w:t xml:space="preserve">the nature of the colouring matters present in the plant:--</w:t></w:r>
</w:p>
<w:p>
<w:pPr><w:pStyle w:val="Heading1"/></w:pPr>
<w:r><w:t>I.   CYANOPHYCEAE, or Blue-green Algae.</w:t></w:r>
</w:p>
<w:p>
<w:pPr><w:pStyle w:val="Heading1"/></w:pPr>
<w:r><w:t>II.  CHLOROPHYCEAE, or Green Algae.</w:t></w:r>
</w:p>
<w:p>
<w:pPr><w:pStyle w:val="Heading1"/></w:pPr>
<w:r><w:t>III. PHAEOPHYCEAE, or Brown Algae.</w:t></w:r>
</w:p>
<w:p>
<w:pPr><w:pStyle w:val="Heading1"/></w:pPr>
<w:r><w:t>IV.  RHODOPHYCEAE, or Red Algae.</w:t></w:r>
</w:p>
<w:p>
<w:pPr><w:pStyle w:val="Normal"/></w:pPr>
<w:r><w:t xml:space="preserve">The merits and demerits of this system will appear during the</w:t></w:r>
</w:p>
<w:p>
<w:pPr><w:pStyle w:val="Normal"/></w:pPr>
<w:r><w:t xml:space="preserve">description of the characters of the members of the several subdivisions.</w:t></w:r>
</w:p>
<w:p>
<w:pPr><w:pStyle w:val="Heading1"/></w:pPr>
<w:r><w:t>I. CYANOPHYCEAE.--This group derives its name from the</w:t></w:r>
</w:p>
<w:p>
<w:pPr><w:pStyle w:val="Normal"/></w:pPr>
<w:r><w:t xml:space="preserve">circumstance that the cells contain in addition to the</w:t></w:r>
</w:p>
<w:p>
<w:pPr><w:pStyle w:val="Normal"/></w:pPr>
<w:r><w:t xml:space="preserve">green colouring matter, chlorophyll, a blue-green colouring</w:t></w:r>
</w:p>
<w:p>
<w:pPr><w:pStyle w:val="Normal"/></w:pPr>
<w:r><w:t xml:space="preserve">matter to which the term phycocyanin has been applied.</w:t></w:r>
</w:p>
<w:p>
<w:pPr><w:pStyle w:val="Normal"/></w:pPr>
<w:r><w:t xml:space="preserve">Sub-divisions.</w:t></w:r>
</w:p>
<w:p>
<w:pPr><w:pStyle w:val="Normal"/></w:pPr>
<w:r><w:t xml:space="preserve">To the eye, however, members of this group present a greater</w:t></w:r>
</w:p>
<w:p>
<w:pPr><w:pStyle w:val="Normal"/></w:pPr>
<w:r><w:t xml:space="preserve">variety of colour than those of any other--yellow, brown,</w:t></w:r>
</w:p>
<w:p>
<w:pPr><w:pStyle w:val="Normal"/></w:pPr>
<w:r><w:t xml:space="preserve">olive, red, purple, violet and variations of all these being</w:t></w:r>
</w:p>
<w:p>
<w:pPr><w:pStyle w:val="Normal"/></w:pPr>
<w:r><w:t xml:space="preserve">known.  They undoubtedly represent the lowest grade of</w:t></w:r>
</w:p>
<w:p>
<w:pPr><w:pStyle w:val="Normal"/></w:pPr>
<w:r><w:t xml:space="preserve">algal life, and their distribution rivals that of the Green</w:t></w:r>
</w:p>
<w:p>
<w:pPr><w:pStyle w:val="Normal"/></w:pPr>
<w:r><w:t xml:space="preserve">Algae.  They occur in the sea, in fresh water, on moist</w:t></w:r>
</w:p>
<w:p>
<w:pPr><w:pStyle w:val="Normal"/></w:pPr>
<w:r><w:t xml:space="preserve">earth, on damp rocks and on the bark of trees.  Certain</w:t></w:r>
</w:p>
<w:p>
<w:pPr><w:pStyle w:val="Normal"/></w:pPr>
<w:r><w:t xml:space="preserve">species are regularly found in the intercellular spaces of</w:t></w:r>
</w:p>
<w:p>
<w:pPr><w:pStyle w:val="Normal"/></w:pPr>
<w:r><w:t xml:space="preserve">higher plants; such are species of Nostoc in the thallus of</w:t></w:r>
</w:p>
<w:p>
<w:pPr><w:pStyle w:val="Normal"/></w:pPr>
<w:r><w:t xml:space="preserve">Anthoceros, the leaves of Azolla and the roots of Cycads.</w:t></w:r>
</w:p>
<w:p>
<w:pPr><w:pStyle w:val="Normal"/></w:pPr>
<w:r><w:t xml:space="preserve">Many of them enter into the structure of the lichen-thallus,</w:t></w:r>
</w:p>
<w:p>
<w:pPr><w:pStyle w:val="Normal"/></w:pPr>
<w:r><w:t xml:space="preserve">as the so-called gonidia.  It is remarkable that species</w:t></w:r>
</w:p>
<w:p>
<w:pPr><w:pStyle w:val="Normal"/></w:pPr>
<w:r><w:t xml:space="preserve">belonging to the Oscillatoriaceae are known to flourish in hot</w:t></w:r>
</w:p>
<w:p>
<w:pPr><w:pStyle w:val="Normal"/></w:pPr>
<w:r><w:t xml:space="preserve">springs, the temperature of which rises as high as 85 deg. C.</w:t></w:r>
</w:p>
<w:p>
<w:pPr><w:pStyle w:val="Normal"/></w:pPr>
<w:r><w:t xml:space="preserve">The thallus may be unicellular or multicellular.  When unicellular,</w:t></w:r>
</w:p>
<w:p>
<w:pPr><w:pStyle w:val="Normal"/></w:pPr>
<w:r><w:t xml:space="preserve">it may consist of isolated cells, but more commonly the cells</w:t></w:r>
</w:p>
<w:p>
<w:pPr><w:pStyle w:val="Normal"/></w:pPr>
<w:r><w:t xml:space="preserve">are held together in a common jelly (Chroococcaceae) derived</w:t></w:r>
</w:p>
<w:p>
<w:pPr><w:pStyle w:val="Normal"/></w:pPr>
<w:r><w:t xml:space="preserve">from the outer layers of the cell-wall.  The multicellular</w:t></w:r>
</w:p>
<w:p>
<w:pPr><w:pStyle w:val="Normal"/></w:pPr>
<w:r><w:t xml:space="preserve">species consist of filaments, branched or unbranched, which</w:t></w:r>
</w:p>
<w:p>
<w:pPr><w:pStyle w:val="Normal"/></w:pPr>
<w:r><w:t xml:space="preserve">arise by the repeated divisions of the cells in parallel</w:t></w:r>
</w:p>
<w:p>
<w:pPr><w:pStyle w:val="Normal"/></w:pPr>
<w:r><w:t xml:space="preserve">planes, no formation of mucilage occurring in the dividing</w:t></w:r>
</w:p>
<w:p>
<w:pPr><w:pStyle w:val="Normal"/></w:pPr>
<w:r><w:t xml:space="preserve">walls.  Such filaments may not give rise to mucilage on the</w:t></w:r>
</w:p>
<w:p>
<w:pPr><w:pStyle w:val="Normal"/></w:pPr>
<w:r><w:t xml:space="preserve">lateral surface either, in which case they are said to be free;</w:t></w:r>
</w:p>
<w:p>
<w:pPr><w:pStyle w:val="Normal"/></w:pPr>
<w:r><w:t xml:space="preserve">when mucilage does occur on the lateral wall, it appears as</w:t></w:r>
</w:p>
<w:p>
<w:pPr><w:pStyle w:val="Normal"/></w:pPr>
<w:r><w:t xml:space="preserve">the sheath surrounding either the single filament, or a sheaf</w:t></w:r>
</w:p>
<w:p>
<w:pPr><w:pStyle w:val="Normal"/></w:pPr>
<w:r><w:t xml:space="preserve">of filaments of common origin.  The mucilage may also form an</w:t></w:r>
</w:p>
<w:p>
<w:pPr><w:pStyle w:val="Normal"/></w:pPr>
<w:r><w:t xml:space="preserve">embedding substance similar to that of Chroococcaceae, in which</w:t></w:r>
</w:p>
<w:p>
<w:pPr><w:pStyle w:val="Normal"/></w:pPr>
<w:r><w:t xml:space="preserve">the filaments lie parallel or radiate from a common centre</w:t></w:r>
</w:p>
<w:p>
<w:pPr><w:pStyle w:val="Normal"/></w:pPr>
<w:r><w:t xml:space="preserve">(Rivulariaceae).  The cells of the filament may be all alike,</w:t></w:r>
</w:p>
<w:p>
<w:pPr><w:pStyle w:val="Normal"/></w:pPr>
<w:r><w:t xml:space="preserve">and growth may occur equally in all parts (Oscillatoriaceae);</w:t></w:r>
</w:p>
<w:p>
<w:pPr><w:pStyle w:val="Normal"/></w:pPr>
<w:r><w:t xml:space="preserve">or certain cells (heterocysts) may become marked off by</w:t></w:r>
</w:p>
<w:p>
<w:pPr><w:pStyle w:val="Normal"/></w:pPr>
<w:r><w:t xml:space="preserve">their larger size and the transparency of their contents;</w:t></w:r>
</w:p>
<w:p>
<w:pPr><w:pStyle w:val="Normal"/></w:pPr>
<w:r><w:t xml:space="preserve">in which case growth may still be distributed equally</w:t></w:r>
</w:p>
<w:p>
<w:pPr><w:pStyle w:val="Normal"/></w:pPr>
<w:r><w:t xml:space="preserve">throughout (Nostoc), or the filament may be attached</w:t></w:r>
</w:p>
<w:p>
<w:pPr><w:pStyle w:val="Normal"/></w:pPr>
<w:r><w:t xml:space="preserve">where the heterocyst arises, and grow out at the opposite</w:t></w:r>
</w:p>
<w:p>
<w:pPr><w:pStyle w:val="Normal"/></w:pPr>
<w:r><w:t xml:space="preserve">extremity into a fine hair (Rivulariaceae).  An African form</w:t></w:r>
</w:p>
<w:p>
<w:pPr><w:pStyle w:val="Normal"/></w:pPr>
<w:r><w:t xml:space="preserve">(Camptothrix), devoid of heterocysts and hair-like at both</w:t></w:r>
</w:p>
<w:p>
<w:pPr><w:pStyle w:val="Normal"/></w:pPr>
<w:r><w:t xml:space="preserve">extremities, has recently been described.  Branching has been</w:t></w:r>
</w:p>
<w:p>
<w:pPr><w:pStyle w:val="Normal"/></w:pPr>
<w:r><w:t xml:space="preserve">described as ``false&apos;&apos; and ``true.&apos;&apos; The former arises when</w:t></w:r>
</w:p>
<w:p>
<w:pPr><w:pStyle w:val="Normal"/></w:pPr>
<w:r><w:t xml:space="preserve">a filament in a sheath, either in consequence of growth in</w:t></w:r>
</w:p>
<w:p>
<w:pPr><w:pStyle w:val="Normal"/></w:pPr>
<w:r><w:t xml:space="preserve">length beyond the capacity of the sheath to accommodate it,</w:t></w:r>
</w:p>
<w:p>
<w:pPr><w:pStyle w:val="Normal"/></w:pPr>
<w:r><w:t xml:space="preserve">FIG, 1.--Cyanophyceae, variously magnified.</w:t></w:r>
</w:p>
<w:p>
<w:pPr><w:pStyle w:val="Normal"/></w:pPr>
<w:r><w:t xml:space="preserve">A. Gloeocapsa sp.,colony in mucilage.</w:t></w:r>
</w:p>
<w:p>
<w:pPr><w:pStyle w:val="Normal"/></w:pPr>
<w:r><w:t xml:space="preserve">B. Phormidium sp., single filament with hormogonium.</w:t></w:r>
</w:p>
<w:p>
<w:pPr><w:pStyle w:val="Heading1"/></w:pPr>
<w:r><w:t>C. Microcoleus sp., several filaments in common sheath.</w:t></w:r>
</w:p>
<w:p>
<w:pPr><w:pStyle w:val="Normal"/></w:pPr>
<w:r><w:t xml:space="preserve">D. Nostoc sp., young colony-filament with heterocysts.</w:t></w:r>
</w:p>
<w:p>
<w:pPr><w:pStyle w:val="Normal"/></w:pPr>
<w:r><w:t xml:space="preserve">E. Scytonema sp., false branching.</w:t></w:r>
</w:p>
<w:p>
<w:pPr><w:pStyle w:val="Normal"/></w:pPr>
<w:r><w:t xml:space="preserve">F. Rivularia sp.</w:t></w:r>
</w:p>
<w:p>
<w:pPr><w:pStyle w:val="Normal"/></w:pPr>
<w:r><w:t xml:space="preserve">G. Stigonema sp., with hormogonium and true branching.</w:t></w:r>
</w:p>
<w:p>
<w:pPr><w:pStyle w:val="Normal"/></w:pPr>
<w:r><w:t xml:space="preserve">H. Spirulina sp.</w:t></w:r>
</w:p>
<w:p>
<w:pPr><w:pStyle w:val="Normal"/></w:pPr>
<w:r><w:t xml:space="preserve">(From Engler and Prantl, Pflanzenfamilien,</w:t></w:r>
</w:p>
<w:p>
<w:pPr><w:pStyle w:val="Normal"/></w:pPr>
<w:r><w:t xml:space="preserve">by permission of Wilhelm Engelmann.)</w:t></w:r>
</w:p>
<w:p>
<w:pPr><w:pStyle w:val="Normal"/></w:pPr>
<w:r><w:t xml:space="preserve">or because of the decay of a cell, becomes interrupted by</w:t></w:r>
</w:p>
<w:p>
<w:pPr><w:pStyle w:val="Normal"/></w:pPr>
<w:r><w:t xml:space="preserve">breaking, and the free ends slip past one another. ``True&apos;&apos;</w:t></w:r>
</w:p>
<w:p>
<w:pPr><w:pStyle w:val="Normal"/></w:pPr>
<w:r><w:t xml:space="preserve">branching arises only by the longitudinal division of a</w:t></w:r>
</w:p>
<w:p>
<w:pPr><w:pStyle w:val="Normal"/></w:pPr>
<w:r><w:t xml:space="preserve">cell of a filament and the lateral outgrowth of one of</w:t></w:r>
</w:p>
<w:p>
<w:pPr><w:pStyle w:val="Normal"/></w:pPr>
<w:r><w:t xml:space="preserve">the cells resulting from the division (Sirosiohonaceae).</w:t></w:r>
</w:p>
<w:p>
<w:pPr><w:pStyle w:val="Normal"/></w:pPr>
<w:r><w:t xml:space="preserve">The nature of the contents of the cells of Cyanophyceae has</w:t></w:r>
</w:p>
<w:p>
<w:pPr><w:pStyle w:val="Normal"/></w:pPr>
<w:r><w:t xml:space="preserve">given rise to considerable controversy.  The cells are for</w:t></w:r>
</w:p>
<w:p>
<w:pPr><w:pStyle w:val="Normal"/></w:pPr>
<w:r><w:t xml:space="preserve">the most part exceedingly minute, and are not easy to free</w:t></w:r>
</w:p>
<w:p>
<w:pPr><w:pStyle w:val="Normal"/></w:pPr>
<w:r><w:t xml:space="preserve">from their colouring matters, so that investigation has been</w:t></w:r>
</w:p>
<w:p>
<w:pPr><w:pStyle w:val="Normal"/></w:pPr>
<w:r><w:t xml:space="preserve">attended with great difficulty.  Occupying as these algae</w:t></w:r>
</w:p>
<w:p>
<w:pPr><w:pStyle w:val="Normal"/></w:pPr>
<w:r><w:t xml:space="preserve">do perhaps the lowest grade of plant life, it is a matter of</w:t></w:r>
</w:p>
<w:p>
<w:pPr><w:pStyle w:val="Normal"/></w:pPr>
<w:r><w:t xml:space="preserve">interest to ascertain whether a nucleus or chromatophore is</w:t></w:r>
</w:p>
<w:p>
<w:pPr><w:pStyle w:val="Normal"/></w:pPr>
<w:r><w:t xml:space="preserve">differentiated in their cells, or whether the functions and</w:t></w:r>
</w:p>
<w:p>
<w:pPr><w:pStyle w:val="Normal"/></w:pPr>
<w:r><w:t xml:space="preserve">properties of these bodies are diffused through the whole</w:t></w:r>
</w:p>
<w:p>
<w:pPr><w:pStyle w:val="Normal"/></w:pPr>
<w:r><w:t xml:space="preserve">protoplast.  It is certain that the centre of the cell, which is</w:t></w:r>
</w:p>
<w:p>
<w:pPr><w:pStyle w:val="Normal"/></w:pPr>
<w:r><w:t xml:space="preserve">usually non-vacuolated, is occupied by protoplasm of different</w:t></w:r>
</w:p>
<w:p>
<w:pPr><w:pStyle w:val="Normal"/></w:pPr>
<w:r><w:t xml:space="preserve">properties from the peripheral region; and A. Fischer has</w:t></w:r>
</w:p>
<w:p>
<w:pPr><w:pStyle w:val="Normal"/></w:pPr>
<w:r><w:t xml:space="preserve">further established the fact that the peripheral mass, which</w:t></w:r>
</w:p>
<w:p>
<w:pPr><w:pStyle w:val="Normal"/></w:pPr>
<w:r><w:t xml:space="preserve">is a hollow sphere in spherical cells, and either a hollow</w:t></w:r>
</w:p>
<w:p>
<w:pPr><w:pStyle w:val="Normal"/></w:pPr>
<w:r><w:t xml:space="preserve">cylinder or barrel-shaped body in filamentous forms, must</w:t></w:r>
</w:p>
<w:p>
<w:pPr><w:pStyle w:val="Normal"/></w:pPr>
<w:r><w:t xml:space="preserve">be regarded as the single chromatophore of the Cyanophyceous</w:t></w:r>
</w:p>
<w:p>
<w:pPr><w:pStyle w:val="Normal"/></w:pPr>
<w:r><w:t xml:space="preserve">cell.  But what precisely is the nature of the central</w:t></w:r>
</w:p>
<w:p>
<w:pPr><w:pStyle w:val="Normal"/></w:pPr>
<w:r><w:t xml:space="preserve">mass is still uncertain.  Some investigators, such as R.</w:t></w:r>
</w:p>
<w:p>
<w:pPr><w:pStyle w:val="Normal"/></w:pPr>
<w:r><w:t xml:space="preserve">Hegler, F. G. Kohl and E. W. Olive, claim that this body is</w:t></w:r>
</w:p>
<w:p>
<w:pPr><w:pStyle w:val="Normal"/></w:pPr>
<w:r><w:t xml:space="preserve">a true nucleus comparable with that of the higher plants.</w:t></w:r>
</w:p>
<w:p>
<w:pPr><w:pStyle w:val="Normal"/></w:pPr>
<w:r><w:t xml:space="preserve">It is said to undergo division by a mitosis essentially of</w:t></w:r>
</w:p>
<w:p>
<w:pPr><w:pStyle w:val="Normal"/></w:pPr>
<w:r><w:t xml:space="preserve">the same character, with the formation of a spindle and the</w:t></w:r>
</w:p>
<w:p>
<w:pPr><w:pStyle w:val="Normal"/></w:pPr>
<w:r><w:t xml:space="preserve">differentiation of chromosomes.  It is further stated by Olive</w:t></w:r>
</w:p>
<w:p>
<w:pPr><w:pStyle w:val="Normal"/></w:pPr>
<w:r><w:t xml:space="preserve">that the chromosomes undergo longitudinal fission, and that for</w:t></w:r>
</w:p>
<w:p>
<w:pPr><w:pStyle w:val="Normal"/></w:pPr>
<w:r><w:t xml:space="preserve">the same species the same number of chromosomes appear at each</w:t></w:r>
</w:p>
<w:p>
<w:pPr><w:pStyle w:val="Normal"/></w:pPr>
<w:r><w:t xml:space="preserve">division.  H. Wager speaks with greater reserve, acknowledging,</w:t></w:r>
</w:p>
<w:p>
<w:pPr><w:pStyle w:val="Normal"/></w:pPr>
<w:r><w:t xml:space="preserve">however, the central body to be a nucleus of a rudimentary</w:t></w:r>
</w:p>
<w:p>
<w:pPr><w:pStyle w:val="Normal"/></w:pPr>
<w:r><w:t xml:space="preserve">type, but devoid of nuclear membrane and nucleolus.  He</w:t></w:r>
</w:p>
<w:p>
<w:pPr><w:pStyle w:val="Normal"/></w:pPr>
<w:r><w:t xml:space="preserve">thinks it may possibly originate in the vacuolization of the</w:t></w:r>
</w:p>
<w:p>
<w:pPr><w:pStyle w:val="Normal"/></w:pPr>
<w:r><w:t xml:space="preserve">central region, and the accumulation of chromatin granules</w:t></w:r>
</w:p>
<w:p>
<w:pPr><w:pStyle w:val="Normal"/></w:pPr>
<w:r><w:t xml:space="preserve">therein.  He finds no spindle fibres or true chromosomes, and</w:t></w:r>
</w:p>
<w:p>
<w:pPr><w:pStyle w:val="Normal"/></w:pPr>
<w:r><w:t xml:space="preserve">considers the division direct, not indirect.  With reference</w:t></w:r>
</w:p>
<w:p>
<w:pPr><w:pStyle w:val="Normal"/></w:pPr>
<w:r><w:t xml:space="preserve">to the existence of a chromatophore, he with others finds</w:t></w:r>
</w:p>
<w:p>
<w:pPr><w:pStyle w:val="Normal"/></w:pPr>
<w:r><w:t xml:space="preserve">the colouring matter localized in granules in the peripheral</w:t></w:r>
</w:p>
<w:p>
<w:pPr><w:pStyle w:val="Normal"/></w:pPr>
<w:r><w:t xml:space="preserve">region, but does not consider these individually or in the</w:t></w:r>
</w:p>
<w:p>
<w:pPr><w:pStyle w:val="Normal"/></w:pPr>
<w:r><w:t xml:space="preserve">aggregate as chromatophores.  Among other contents of the cell,</w:t></w:r>
</w:p>
<w:p>
<w:pPr><w:pStyle w:val="Normal"/></w:pPr>
<w:r><w:t xml:space="preserve">fatty substances and tannin are known.  A curious adaptation</w:t></w:r>
</w:p>
<w:p>
<w:pPr><w:pStyle w:val="Normal"/></w:pPr>
<w:r><w:t xml:space="preserve">seems to occur in certain floating forms, in the presence of a</w:t></w:r>
</w:p>
<w:p>
<w:pPr><w:pStyle w:val="Normal"/></w:pPr>
<w:r><w:t xml:space="preserve">gas-vacuole, which may be made to vary its volume with varying</w:t></w:r>
</w:p>
<w:p>
<w:pPr><w:pStyle w:val="Normal"/></w:pPr>
<w:r><w:t xml:space="preserve">pressure.  There is evidence that the dividing wall of filamentous</w:t></w:r>
</w:p>
<w:p>
<w:pPr><w:pStyle w:val="Normal"/></w:pPr>
<w:r><w:t xml:space="preserve">forms is deeply pitted, as is found to be the case in red</w:t></w:r>
</w:p>
<w:p>
<w:pPr><w:pStyle w:val="Normal"/></w:pPr>
<w:r><w:t xml:space="preserve">algae.  Reproduction is chiefly effected by the vegetative</w:t></w:r>
</w:p>
<w:p>
<w:pPr><w:pStyle w:val="Normal"/></w:pPr>
<w:r><w:t xml:space="preserve">method.  Asexual reproductive cells are not infrequent, but</w:t></w:r>
</w:p>
<w:p>
<w:pPr><w:pStyle w:val="Normal"/></w:pPr>
<w:r><w:t xml:space="preserve">sexual reproduction even in its initial stages is unknown.</w:t></w:r>
</w:p>
<w:p>
<w:pPr><w:pStyle w:val="Normal"/></w:pPr>
<w:r><w:t xml:space="preserve">Nor is motility by means of cilia known in the group.  In the</w:t></w:r>
</w:p>
<w:p>
<w:pPr><w:pStyle w:val="Normal"/></w:pPr>
<w:r><w:t xml:space="preserve">unicellular forms, cell-division involves multiplication of the</w:t></w:r>
</w:p>
<w:p>
<w:pPr><w:pStyle w:val="Normal"/></w:pPr>
<w:r><w:t xml:space="preserve">plant.  In all the multicellular plants of this group which</w:t></w:r>
</w:p>
<w:p>
<w:pPr><w:pStyle w:val="Normal"/></w:pPr>
<w:r><w:t xml:space="preserve">have been adequately investigated, vegetative multiplication</w:t></w:r>
</w:p>
<w:p>
<w:pPr><w:pStyle w:val="Normal"/></w:pPr>
<w:r><w:t xml:space="preserve">by means of what are known as hormogonia has been found to</w:t></w:r>
</w:p>
<w:p>
<w:pPr><w:pStyle w:val="Normal"/></w:pPr>
<w:r><w:t xml:space="preserve">occur.  These are short segments of filaments consisting of a</w:t></w:r>
</w:p>
<w:p>
<w:pPr><w:pStyle w:val="Normal"/></w:pPr>
<w:r><w:t xml:space="preserve">few cells which disengage themselves from the ambient jelly,</w:t></w:r>
</w:p>
<w:p>
<w:pPr><w:pStyle w:val="Normal"/></w:pPr>
<w:r><w:t xml:space="preserve">if it be present, in virtue of a peculiar creeping movement</w:t></w:r>
</w:p>
<w:p>
<w:pPr><w:pStyle w:val="Normal"/></w:pPr>
<w:r><w:t xml:space="preserve">which they possess at this stage.  After a time they come</w:t></w:r>
</w:p>
<w:p>
<w:pPr><w:pStyle w:val="Normal"/></w:pPr>
<w:r><w:t xml:space="preserve">to rest and give rise to new colonies.  True reproduction</w:t></w:r>
</w:p>
<w:p>
<w:pPr><w:pStyle w:val="Normal"/></w:pPr>
<w:r><w:t xml:space="preserve">of the asexual kind occurs, however, in the formation of</w:t></w:r>
</w:p>
<w:p>
<w:pPr><w:pStyle w:val="Normal"/></w:pPr>
<w:r><w:t xml:space="preserve">sporangia, particularly in the Chamaesiohonaceae.  Here</w:t></w:r>
</w:p>
<w:p>
<w:pPr><w:pStyle w:val="Normal"/></w:pPr>
<w:r><w:t xml:space="preserve">the contents of certain cells break up endogenously into</w:t></w:r>
</w:p>
<w:p>
<w:pPr><w:pStyle w:val="Normal"/></w:pPr>
<w:r><w:t xml:space="preserve">a great number of spores, which are distributed as a fine</w:t></w:r>
</w:p>
<w:p>
<w:pPr><w:pStyle w:val="Normal"/></w:pPr>
<w:r><w:t xml:space="preserve">dust.  Resting spores are also known.  In these cases, certain</w:t></w:r>
</w:p>
<w:p>
<w:pPr><w:pStyle w:val="Normal"/></w:pPr>
<w:r><w:t xml:space="preserve">cells of a colony of unicellular plants or of the filaments</w:t></w:r>
</w:p>
<w:p>
<w:pPr><w:pStyle w:val="Normal"/></w:pPr>
<w:r><w:t xml:space="preserve">of multicellular plants enlarge greatly and thicken their</w:t></w:r>
</w:p>
<w:p>
<w:pPr><w:pStyle w:val="Normal"/></w:pPr>
<w:r><w:t xml:space="preserve">wall.  When unfavourable external conditions supervene and</w:t></w:r>
</w:p>
<w:p>
<w:pPr><w:pStyle w:val="Normal"/></w:pPr>
<w:r><w:t xml:space="preserve">the ordinary cells become atrophied, these cells persist</w:t></w:r>
</w:p>
<w:p>
<w:pPr><w:pStyle w:val="Normal"/></w:pPr>
<w:r><w:t xml:space="preserve">and reproduce the plant with the return of more favourable</w:t></w:r>
</w:p>
<w:p>
<w:pPr><w:pStyle w:val="Normal"/></w:pPr>
<w:r><w:t xml:space="preserve">conditions.  The Oscillatoriaceae are capable of a peculiar</w:t></w:r>
</w:p>
<w:p>
<w:pPr><w:pStyle w:val="Normal"/></w:pPr>
<w:r><w:t xml:space="preserve">oscillatory movement, which has earned for them their</w:t></w:r>
</w:p>
<w:p>
<w:pPr><w:pStyle w:val="Normal"/></w:pPr>
<w:r><w:t xml:space="preserve">name, and which enables them to move through considerable</w:t></w:r>
</w:p>
<w:p>
<w:pPr><w:pStyle w:val="Normal"/></w:pPr>
<w:r><w:t xml:space="preserve">distances.  It is not clear how the movement is effected, though</w:t></w:r>
</w:p>
<w:p>
<w:pPr><w:pStyle w:val="Normal"/></w:pPr>
<w:r><w:t xml:space="preserve">it has frequently been the subject of careful investigation.</w:t></w:r>
</w:p>
<w:p>
<w:pPr><w:pStyle w:val="Normal"/></w:pPr>
<w:r><w:t xml:space="preserve">With the Cyanophyceae must be included, as their nearest allies,</w:t></w:r>
</w:p>
<w:p>
<w:pPr><w:pStyle w:val="Normal"/></w:pPr>
<w:r><w:t xml:space="preserve">the Bacteriaceae (see BACTERIOLOGY.) Notwithstanding the absence</w:t></w:r>
</w:p>
<w:p>
<w:pPr><w:pStyle w:val="Normal"/></w:pPr>
<w:r><w:t xml:space="preserve">of chlorophyll, and the consequent parasitic or saprophytic</w:t></w:r>
</w:p>
<w:p>
<w:pPr><w:pStyle w:val="Normal"/></w:pPr>
<w:r><w:t xml:space="preserve">habit, Bacteriaceae agree in so many morphological features</w:t></w:r>
</w:p>
<w:p>
<w:pPr><w:pStyle w:val="Normal"/></w:pPr>
<w:r><w:t xml:space="preserve">with Cyanophyceae that the affinity can hardly be doubted.</w:t></w:r>
</w:p>
<w:p>
<w:pPr><w:pStyle w:val="Normal"/></w:pPr>
<w:r><w:t xml:space="preserve">A census of the Cyanophyceae with their two main groups is given below:--</w:t></w:r>
</w:p>
<w:p>
<w:pPr><w:pStyle w:val="Normal"/></w:pPr>
<w:r><w:t xml:space="preserve">1. Coccogoneae--2 families, 29 genera, 253 species.</w:t></w:r>
</w:p>
<w:p>
<w:pPr><w:pStyle w:val="Normal"/></w:pPr>
<w:r><w:t xml:space="preserve">2. Hormogoneae--6 families, 59 genera, 701 species.</w:t></w:r>
</w:p>
<w:p>
<w:pPr><w:pStyle w:val="Normal"/></w:pPr>
<w:r><w:t xml:space="preserve">(Engler and Prantl&apos;s Pflanzenfamilien, 1900)</w:t></w:r>
</w:p>
<w:p>
<w:pPr><w:pStyle w:val="Heading1"/></w:pPr>
<w:r><w:t>II. CHLOROPHYCEAE.--This group includes those algae in which</w:t></w:r>
</w:p>
<w:p>
<w:pPr><w:pStyle w:val="Normal"/></w:pPr>
<w:r><w:t xml:space="preserve">the green colouring matter, chlorophyll, is not accompanied</w:t></w:r>
</w:p>
<w:p>
<w:pPr><w:pStyle w:val="Normal"/></w:pPr>
<w:r><w:t xml:space="preserve">by a second colouring matter, as it is in other groups.  It</w:t></w:r>
</w:p>
<w:p>
<w:pPr><w:pStyle w:val="Normal"/></w:pPr>
<w:r><w:t xml:space="preserve">consists of three subdivisions--Conjugatae, Euchlorophyceae and</w:t></w:r>
</w:p>
<w:p>
<w:pPr><w:pStyle w:val="Normal"/></w:pPr>
<w:r><w:t xml:space="preserve">Characeae.  Of these the first and last are relatively small</w:t></w:r>
</w:p>
<w:p>
<w:pPr><w:pStyle w:val="Normal"/></w:pPr>
<w:r><w:t xml:space="preserve">and sharply defined families, distinguished from the second</w:t></w:r>
</w:p>
<w:p>
<w:pPr><w:pStyle w:val="Normal"/></w:pPr>
<w:r><w:t xml:space="preserve">family, which forms the bulk of the group, by characters</w:t></w:r>
</w:p>
<w:p>
<w:pPr><w:pStyle w:val="Normal"/></w:pPr>
<w:r><w:t xml:space="preserve">so diverse that their inclusion with them in one larger</w:t></w:r>
</w:p>
<w:p>
<w:pPr><w:pStyle w:val="Normal"/></w:pPr>
<w:r><w:t xml:space="preserve">group can only be justified on the ground of convenience.</w:t></w:r>
</w:p>
<w:p>
<w:pPr><w:pStyle w:val="Normal"/></w:pPr>
<w:r><w:t xml:space="preserve">Chlorophyceae include both marine and freshwater plants.</w:t></w:r>
</w:p>
<w:p>
<w:pPr><w:pStyle w:val="Normal"/></w:pPr>
<w:r><w:t xml:space="preserve">Euchlorophyceae in their turn have been until recently regarded</w:t></w:r>
</w:p>
<w:p>
<w:pPr><w:pStyle w:val="Normal"/></w:pPr>
<w:r><w:t xml:space="preserve">as made up of the three series of families--Protococcales,</w:t></w:r>
</w:p>
<w:p>
<w:pPr><w:pStyle w:val="Normal"/></w:pPr>
<w:r><w:t xml:space="preserve">Confervales and Siphonales.  As the result of recent</w:t></w:r>
</w:p>
<w:p>
<w:pPr><w:pStyle w:val="Normal"/></w:pPr>
<w:r><w:t xml:space="preserve">investigations by two Swedish algologists, Bohlin and Luther, it</w:t></w:r>
</w:p>
<w:p>
<w:pPr><w:pStyle w:val="Normal"/></w:pPr>
<w:r><w:t xml:space="preserve">has been proposed to make a re-classification of a far-reaching</w:t></w:r>
</w:p>
<w:p>
<w:pPr><w:pStyle w:val="Normal"/></w:pPr>
<w:r><w:t xml:space="preserve">nature.  Algae are withdrawn from each of the three series</w:t></w:r>
</w:p>
<w:p>
<w:pPr><w:pStyle w:val="Normal"/></w:pPr>
<w:r><w:t xml:space="preserve">enumerated above and consolidated into an entirely new</w:t></w:r>
</w:p>
<w:p>
<w:pPr><w:pStyle w:val="Normal"/></w:pPr>
<w:r><w:t xml:space="preserve">group.  In these algae, the colouring matter is said to</w:t></w:r>
</w:p>
<w:p>
<w:pPr><w:pStyle w:val="Normal"/></w:pPr>
<w:r><w:t xml:space="preserve">be yellowish-green, not strictly green, and contained in</w:t></w:r>
</w:p>
<w:p>
<w:pPr><w:pStyle w:val="Normal"/></w:pPr>
<w:r><w:t xml:space="preserve">numerous small discoid chromatophores which are devoid of</w:t></w:r>
</w:p>
<w:p>
<w:pPr><w:pStyle w:val="Normal"/></w:pPr>
<w:r><w:t xml:space="preserve">pyrenoids.  The products of assimilation are stored up in</w:t></w:r>
</w:p>
<w:p>
<w:pPr><w:pStyle w:val="Normal"/></w:pPr>
<w:r><w:t xml:space="preserve">the form of a fatty substance and not starch.  A certain</w:t></w:r>
</w:p>
<w:p>
<w:pPr><w:pStyle w:val="Normal"/></w:pPr>
<w:r><w:t xml:space="preserve">inequality in the character of the two cilia of the zoospores</w:t></w:r>
</w:p>
<w:p>
<w:pPr><w:pStyle w:val="Normal"/></w:pPr>
<w:r><w:t xml:space="preserve">of some of the members of the group has earned for it the title</w:t></w:r>
</w:p>
<w:p>
<w:pPr><w:pStyle w:val="Normal"/></w:pPr>
<w:r><w:t xml:space="preserve">Heterokontae, from the Greek kontos, a punting-pole.  In</w:t></w:r>
</w:p>
<w:p>
<w:pPr><w:pStyle w:val="Normal"/></w:pPr>
<w:r><w:t xml:space="preserve">consonance with this name, its authors propose to re-name</w:t></w:r>
</w:p>
<w:p>
<w:pPr><w:pStyle w:val="Normal"/></w:pPr>
<w:r><w:t xml:space="preserve">the Conjugatae; Akontae and Oedogoniaceae with a chaplet</w:t></w:r>
</w:p>
<w:p>
<w:pPr><w:pStyle w:val="Normal"/></w:pPr>
<w:r><w:t xml:space="preserve">of cilia become Stephanokontae, and the algae remaining</w:t></w:r>
</w:p>
<w:p>
<w:pPr><w:pStyle w:val="Normal"/></w:pPr>
<w:r><w:t xml:space="preserve">over in the three series from which the Heterokontae and</w:t></w:r>
</w:p>
<w:p>
<w:pPr><w:pStyle w:val="Normal"/></w:pPr>
<w:r><w:t xml:space="preserve">Stephanokontae are withdrawn become Isokontae.  Conjugatae,</w:t></w:r>
</w:p>
<w:p>
<w:pPr><w:pStyle w:val="Normal"/></w:pPr>
<w:r><w:t xml:space="preserve">Protococcales and Characeae are exclusively freshwater;</w:t></w:r>
</w:p>
<w:p>
<w:pPr><w:pStyle w:val="Normal"/></w:pPr>
<w:r><w:t xml:space="preserve">Confervales and Siphonales are both freshwater and marine,</w:t></w:r>
</w:p>
<w:p>
<w:pPr><w:pStyle w:val="Normal"/></w:pPr>
<w:r><w:t xml:space="preserve">but the latter group attains its greatest development in the</w:t></w:r>
</w:p>
<w:p>
<w:pPr><w:pStyle w:val="Normal"/></w:pPr>
<w:r><w:t xml:space="preserve">sea.  Some Chlorophyceae are terrestrial in habit, usually</w:t></w:r>
</w:p>
<w:p>
<w:pPr><w:pStyle w:val="Normal"/></w:pPr>
<w:r><w:t xml:space="preserve">growing on a damp substratum, however. Trentepohlia</w:t></w:r>
</w:p>
<w:p>
<w:pPr><w:pStyle w:val="Normal"/></w:pPr>
<w:r><w:t xml:space="preserve">grows on rocks and can survive considerable desiccation.</w:t></w:r>
</w:p>
<w:p>
<w:pPr><w:pStyle w:val="Normal"/></w:pPr>
<w:r><w:t xml:space="preserve">Phycopeltis grows on the surface of leaves, Phyllobium</w:t></w:r>
</w:p>
<w:p>
<w:pPr><w:pStyle w:val="Normal"/></w:pPr>
<w:r><w:t xml:space="preserve">and Phyllosiphon in their tissues. Gomontia is a</w:t></w:r>
</w:p>
<w:p>
<w:pPr><w:pStyle w:val="Normal"/></w:pPr>
<w:r><w:t xml:space="preserve">shell-boring alga, FIG. 2.--Chlorophyceae, variously magnified.</w:t></w:r>
</w:p>
<w:p>
<w:pPr><w:pStyle w:val="Normal"/></w:pPr>
<w:r><w:t xml:space="preserve">A. Chlamydomonas sp., unicellular; chr., chromatophore; p.,</w:t></w:r>
</w:p>
<w:p>
<w:pPr><w:pStyle w:val="Normal"/></w:pPr>
<w:r><w:t xml:space="preserve">pyrenoid; n., nucleus; p.v., pulsating vacuoles; e.s., eyespot.</w:t></w:r>
</w:p>
<w:p>
<w:pPr><w:pStyle w:val="Normal"/></w:pPr>
<w:r><w:t xml:space="preserve">B1. Volvox sp., with a, antheridia, and o, oogonia.</w:t></w:r>
</w:p>
<w:p>
<w:pPr><w:pStyle w:val="Normal"/></w:pPr>
<w:r><w:t xml:space="preserve">B2. Volvox sp., surface view of a single cell showing connexions.</w:t></w:r>
</w:p>
<w:p>
<w:pPr><w:pStyle w:val="Heading1"/></w:pPr>
<w:r><w:t>C. Pandorina sp., a 16-celled colony.</w:t></w:r>
</w:p>
<w:p>
<w:pPr><w:pStyle w:val="Normal"/></w:pPr>
<w:r><w:t xml:space="preserve">D. Hydrodictyon, a single mesh surrounded by 6 cells.</w:t></w:r>
</w:p>
<w:p>
<w:pPr><w:pStyle w:val="Normal"/></w:pPr>
<w:r><w:t xml:space="preserve">E. Microspora sp., showing H-pieces in the wall.</w:t></w:r>
</w:p>
<w:p>
<w:pPr><w:pStyle w:val="Normal"/></w:pPr>
<w:r><w:t xml:space="preserve">F. Entoderma sp., endophytic in Ectocarpus.</w:t></w:r>
</w:p>
<w:p>
<w:pPr><w:pStyle w:val="Normal"/></w:pPr>
<w:r><w:t xml:space="preserve">G. Coleochaete sp., growing as a plate.</w:t></w:r>
</w:p>
<w:p>
<w:pPr><w:pStyle w:val="Normal"/></w:pPr>
<w:r><w:t xml:space="preserve">H. Oedogonium sp., intercalated growth by</w:t></w:r>
</w:p>
<w:p>
<w:pPr><w:pStyle w:val="Normal"/></w:pPr>
<w:r><w:t xml:space="preserve">insertion of new piece (a) leaving caps.</w:t></w:r>
</w:p>
<w:p>
<w:pPr><w:pStyle w:val="Normal"/></w:pPr>
<w:r><w:t xml:space="preserve">K. Struvea sp., showing branches forming a net-work.</w:t></w:r>
</w:p>
<w:p>
<w:pPr><w:pStyle w:val="Heading1"/></w:pPr>
<w:r><w:t>L. Caulerpa sp., showing portion of axis</w:t></w:r>
</w:p>
<w:p>
<w:pPr><w:pStyle w:val="Normal"/></w:pPr>
<w:r><w:t xml:space="preserve">with leaf-like and root- like appendages.</w:t></w:r>
</w:p>
<w:p>
<w:pPr><w:pStyle w:val="Normal"/></w:pPr>
<w:r><w:t xml:space="preserve">M1. Chara sp., axis with leaf-like appendages and a branch.</w:t></w:r>
</w:p>
<w:p>
<w:pPr><w:pStyle w:val="Normal"/></w:pPr>
<w:r><w:t xml:space="preserve">M2. Chara sp., apical region.</w:t></w:r>
</w:p>
<w:p>
<w:pPr><w:pStyle w:val="Normal"/></w:pPr>
<w:r><w:t xml:space="preserve">N. Botrydium, a simple siphonaceous alga with root-like attachment.</w:t></w:r>
</w:p>
<w:p>
<w:pPr><w:pStyle w:val="Normal"/></w:pPr>
<w:r><w:t xml:space="preserve">O. Acetabularia Mediterranea, mushroom-like calcareous siphonaceous alga.</w:t></w:r>
</w:p>
<w:p>
<w:pPr><w:pStyle w:val="Normal"/></w:pPr>
<w:r><w:t xml:space="preserve">(A, C, E, F, G, H, K, M1, M2, from from Engler and Prantl,</w:t></w:r>
</w:p>
<w:p>
<w:pPr><w:pStyle w:val="Normal"/></w:pPr>
<w:r><w:t xml:space="preserve">Pflanzenfamilien, by permission of Wilhelm Engelmann; B1,</w:t></w:r>
</w:p>
<w:p>
<w:pPr><w:pStyle w:val="Normal"/></w:pPr>
<w:r><w:t xml:space="preserve">N, from Vines, Student&apos;s Text Book of Botany, by permission of</w:t></w:r>
</w:p>
<w:p>
<w:pPr><w:pStyle w:val="Normal"/></w:pPr>
<w:r><w:t xml:space="preserve">Swan Sonnenschein and Co.; B2, D, O from Oltmanns, Morphologie</w:t></w:r>
</w:p>
<w:p>
<w:pPr><w:pStyle w:val="Normal"/></w:pPr>
<w:r><w:t xml:space="preserve">u.  Biologie der Algen, by permission of Gustav Fischer.)</w:t></w:r>
</w:p>
<w:p>
<w:pPr><w:pStyle w:val="Normal"/></w:pPr>
<w:r><w:t xml:space="preserve">Dermatophyton grows on the carapace of the tortoise and</w:t></w:r>
</w:p>
<w:p>
<w:pPr><w:pStyle w:val="Normal"/></w:pPr>
<w:r><w:t xml:space="preserve">Trichophilus in the hairs of the sloth.  Certain Protococcales</w:t></w:r>
</w:p>
<w:p>
<w:pPr><w:pStyle w:val="Normal"/></w:pPr>
<w:r><w:t xml:space="preserve">and Confervales exist as the gonidia of the lichenthallus.</w:t></w:r>
</w:p>
<w:p>
<w:pPr><w:pStyle w:val="Normal"/></w:pPr>
<w:r><w:t xml:space="preserve">The thallus is of more varied structure in this group than in any</w:t></w:r>
</w:p>
<w:p>
<w:pPr><w:pStyle w:val="Normal"/></w:pPr>
<w:r><w:t xml:space="preserve">other.  In the simplest case it may consist of a single cell,</w:t></w:r>
</w:p>
<w:p>
<w:pPr><w:pStyle w:val="Normal"/></w:pPr>
<w:r><w:t xml:space="preserve">which may remain free during the whole of the greater part</w:t></w:r>
</w:p>
<w:p>
<w:pPr><w:pStyle w:val="Normal"/></w:pPr>
<w:r><w:t xml:space="preserve">of its existence, or be loosely aggregated together within a</w:t></w:r>
</w:p>
<w:p>
<w:pPr><w:pStyle w:val="Normal"/></w:pPr>
<w:r><w:t xml:space="preserve">common mucilage, or be held together by the adhesion of the</w:t></w:r>
</w:p>
<w:p>
<w:pPr><w:pStyle w:val="Normal"/></w:pPr>
<w:r><w:t xml:space="preserve">cell-walls at the surface of contact.  These aggregations or</w:t></w:r>
</w:p>
<w:p>
<w:pPr><w:pStyle w:val="Normal"/></w:pPr>
<w:r><w:t xml:space="preserve">colonies, as they are termed, may assume the form of a plate, a</w:t></w:r>
</w:p>
<w:p>
<w:pPr><w:pStyle w:val="Normal"/></w:pPr>
<w:r><w:t xml:space="preserve">ring, a solid sphere, a hollow sphere, a perforate sphere, a</w:t></w:r>
</w:p>
<w:p>
<w:pPr><w:pStyle w:val="Normal"/></w:pPr>
<w:r><w:t xml:space="preserve">closed net, or a simple or branched filament.  It is not easy</w:t></w:r>
</w:p>
<w:p>
<w:pPr><w:pStyle w:val="Normal"/></w:pPr>
<w:r><w:t xml:space="preserve">in all cases to draw a distinction between a colony of planes</w:t></w:r>
</w:p>
<w:p>
<w:pPr><w:pStyle w:val="Normal"/></w:pPr>
<w:r><w:t xml:space="preserve">and a multicellular individual. in a Volvox sphere, for</w:t></w:r>
</w:p>
<w:p>
<w:pPr><w:pStyle w:val="Normal"/></w:pPr>
<w:r><w:t xml:space="preserve">example, there is a marked protoplasmic continuity between</w:t></w:r>
</w:p>
<w:p>
<w:pPr><w:pStyle w:val="Normal"/></w:pPr>
<w:r><w:t xml:space="preserve">all the cells of the colony.  The Ulvaceae, the thallus of</w:t></w:r>
</w:p>
<w:p>
<w:pPr><w:pStyle w:val="Normal"/></w:pPr>
<w:r><w:t xml:space="preserve">which consists of laminae, one or more cells thick, or hollow</w:t></w:r>
</w:p>
<w:p>
<w:pPr><w:pStyle w:val="Normal"/></w:pPr>
<w:r><w:t xml:space="preserve">tubes, probably represent a still more advanced stage in the</w:t></w:r>
</w:p>
<w:p>
<w:pPr><w:pStyle w:val="Normal"/></w:pPr>
<w:r><w:t xml:space="preserve">passaae of a colony into a multicellelar plant.  Here there</w:t></w:r>
</w:p>
<w:p>
<w:pPr><w:pStyle w:val="Normal"/></w:pPr>
<w:r><w:t xml:space="preserve">is some amount of localization of growth and distinction of</w:t></w:r>
</w:p>
<w:p>
<w:pPr><w:pStyle w:val="Normal"/></w:pPr>
<w:r><w:t xml:space="preserve">parts.  It is only in such cases as Volvox and Ulvaceae</w:t></w:r>
</w:p>
<w:p>
<w:pPr><w:pStyle w:val="Normal"/></w:pPr>
<w:r><w:t xml:space="preserve">that there is any pretension to the formation of a true</w:t></w:r>
</w:p>
<w:p>
<w:pPr><w:pStyle w:val="Normal"/></w:pPr>
<w:r><w:t xml:space="preserve">parenchyma within the limits of the Chlorophyceae.  In the</w:t></w:r>
</w:p>
<w:p>
<w:pPr><w:pStyle w:val="Normal"/></w:pPr>
<w:r><w:t xml:space="preserve">whole series of the Confervales, the thallus consists of</w:t></w:r>
</w:p>
<w:p>
<w:pPr><w:pStyle w:val="Normal"/></w:pPr>
<w:r><w:t xml:space="preserve">filaments branched or unbranched, attached at one extremity,</w:t></w:r>
</w:p>
<w:p>
<w:pPr><w:pStyle w:val="Normal"/></w:pPr>
<w:r><w:t xml:space="preserve">and growing almost wholly at the free end.  The branches</w:t></w:r>
</w:p>
<w:p>
<w:pPr><w:pStyle w:val="Normal"/></w:pPr>
<w:r><w:t xml:space="preserve">end in fine hairs in Chaetophoraceae.  In Coleochaetaceae</w:t></w:r>
</w:p>
<w:p>
<w:pPr><w:pStyle w:val="Normal"/></w:pPr>
<w:r><w:t xml:space="preserve">the branches are often welded into a plate, simulating a</w:t></w:r>
</w:p>
<w:p>
<w:pPr><w:pStyle w:val="Normal"/></w:pPr>
<w:r><w:t xml:space="preserve">parenchyma.  In all Conjugatae and most Protococcales, and</w:t></w:r>
</w:p>
<w:p>
<w:pPr><w:pStyle w:val="Normal"/></w:pPr>
<w:r><w:t xml:space="preserve">in the bulk of the Confervales, the thallus consists of a</w:t></w:r>
</w:p>
<w:p>
<w:pPr><w:pStyle w:val="Normal"/></w:pPr>
<w:r><w:t xml:space="preserve">cell or cells, the Protoplast of which contains a single</w:t></w:r>
</w:p>
<w:p>
<w:pPr><w:pStyle w:val="Normal"/></w:pPr>
<w:r><w:t xml:space="preserve">nucleus.  In Hydrodictyaceae, Cladophoraceae, Sphaeropleaceae</w:t></w:r>
</w:p>
<w:p>
<w:pPr><w:pStyle w:val="Normal"/></w:pPr>
<w:r><w:t xml:space="preserve">and Gomontiaceae this is no longer the case.  Instead of a</w:t></w:r>
</w:p>
<w:p>
<w:pPr><w:pStyle w:val="Normal"/></w:pPr>
<w:r><w:t xml:space="preserve">single relatively large nucleus, each cell is found to contain</w:t></w:r>
</w:p>
<w:p>
<w:pPr><w:pStyle w:val="Normal"/></w:pPr>
<w:r><w:t xml:space="preserve">many small nuclei, and is spoken of as a coenocyte.  This</w:t></w:r>
</w:p>
<w:p>
<w:pPr><w:pStyle w:val="Normal"/></w:pPr>
<w:r><w:t xml:space="preserve">character becomes still more pronounced in the large group of</w:t></w:r>
</w:p>
<w:p>
<w:pPr><w:pStyle w:val="Normal"/></w:pPr>
<w:r><w:t xml:space="preserve">the Siphonales.  Valoniaceae and Dasycladaceae are partially</w:t></w:r>
</w:p>
<w:p>
<w:pPr><w:pStyle w:val="Normal"/></w:pPr>
<w:r><w:t xml:space="preserve">septate, but elsewhere no cellulose partitions occur, and the</w:t></w:r>
</w:p>
<w:p>
<w:pPr><w:pStyle w:val="Normal"/></w:pPr>
<w:r><w:t xml:space="preserve">thallus is more or less the continuous tube from which the</w:t></w:r>
</w:p>
<w:p>
<w:pPr><w:pStyle w:val="Normal"/></w:pPr>
<w:r><w:t xml:space="preserve">group is named.  Yet the siphonaceous algae may assume great</w:t></w:r>
</w:p>
<w:p>
<w:pPr><w:pStyle w:val="Normal"/></w:pPr>
<w:r><w:t xml:space="preserve">variety of form and reach a high degree of differentiation.</w:t></w:r>
</w:p>
<w:p>
<w:pPr><w:pStyle w:val="Normal"/></w:pPr>
<w:r><w:t xml:space="preserve">Protosiphon and Botrydium, on the one hand, are minute</w:t></w:r>
</w:p>
<w:p>
<w:pPr><w:pStyle w:val="Normal"/></w:pPr>
<w:r><w:t xml:space="preserve">vesicles attached to muddy surfaces by rhizoids; Caulerpa, on</w:t></w:r>
</w:p>
<w:p>
<w:pPr><w:pStyle w:val="Normal"/></w:pPr>
<w:r><w:t xml:space="preserve">the other, presents a remarkable instance of the way in which</w:t></w:r>
</w:p>
<w:p>
<w:pPr><w:pStyle w:val="Normal"/></w:pPr>
<w:r><w:t xml:space="preserve">much the same external morphology as that of cormophytes has</w:t></w:r>
</w:p>
<w:p>
<w:pPr><w:pStyle w:val="Normal"/></w:pPr>
<w:r><w:t xml:space="preserve">been reached by a totally different internal structure.  Many</w:t></w:r>
</w:p>
<w:p>
<w:pPr><w:pStyle w:val="Normal"/></w:pPr>
<w:r><w:t xml:space="preserve">Siphonales are encrusted with lime like Corallina among Red</w:t></w:r>
</w:p>
<w:p>
<w:pPr><w:pStyle w:val="Normal"/></w:pPr>
<w:r><w:t xml:space="preserve">Algae. Penicillus is brush-like, Hallimeda and Cymopolia</w:t></w:r>
</w:p>
<w:p>
<w:pPr><w:pStyle w:val="Normal"/></w:pPr>
<w:r><w:t xml:space="preserve">are jointed, Acetabularia has much the same external form</w:t></w:r>
</w:p>
<w:p>
<w:pPr><w:pStyle w:val="Normal"/></w:pPr>
<w:r><w:t xml:space="preserve">as an expanded Coprinus, Neomeris simulates the fertile</w:t></w:r>
</w:p>
<w:p>
<w:pPr><w:pStyle w:val="Normal"/></w:pPr>
<w:r><w:t xml:space="preserve">shoot of Equisetum with its densely packed whorled branches,</w:t></w:r>
</w:p>
<w:p>
<w:pPr><w:pStyle w:val="Normal"/></w:pPr>
<w:r><w:t xml:space="preserve">and in Microdictyon, Anadyomene, Struvea and Boodlea the</w:t></w:r>
</w:p>
<w:p>
<w:pPr><w:pStyle w:val="Normal"/></w:pPr>
<w:r><w:t xml:space="preserve">branches, spreading in one plane, become bound together in</w:t></w:r>
</w:p>
<w:p>
<w:pPr><w:pStyle w:val="Normal"/></w:pPr>
<w:r><w:t xml:space="preserve">a more or less close network.  Characeae are separated from</w:t></w:r>
</w:p>
<w:p>
<w:pPr><w:pStyle w:val="Normal"/></w:pPr>
<w:r><w:t xml:space="preserve">other Chloroohlceae by a long interval, and present the</w:t></w:r>
</w:p>
<w:p>
<w:pPr><w:pStyle w:val="Normal"/></w:pPr>
<w:r><w:t xml:space="preserve">highest degree of differentiation of parts known among Green</w:t></w:r>
</w:p>
<w:p>
<w:pPr><w:pStyle w:val="Normal"/></w:pPr>
<w:r><w:t xml:space="preserve">Algae.  Attached to the bottom of pools by means of rhizoids,</w:t></w:r>
</w:p>
<w:p>
<w:pPr><w:pStyle w:val="Normal"/></w:pPr>
<w:r><w:t xml:space="preserve">the thallus of Characeae grows upwards by means of an apical</w:t></w:r>
</w:p>
<w:p>
<w:pPr><w:pStyle w:val="Normal"/></w:pPr>
<w:r><w:t xml:space="preserve">cell, giving off whorled appendages at regular intervals.</w:t></w:r>
</w:p>
<w:p>
<w:pPr><w:pStyle w:val="Normal"/></w:pPr>
<w:r><w:t xml:space="preserve">The appendages have a limited growth; but in connexion with</w:t></w:r>
</w:p>
<w:p>
<w:pPr><w:pStyle w:val="Normal"/></w:pPr>
<w:r><w:t xml:space="preserve">each whorl there arise, singly or in pairs, branches which</w:t></w:r>
</w:p>
<w:p>
<w:pPr><w:pStyle w:val="Normal"/></w:pPr>
<w:r><w:t xml:space="preserve">have the same unlimited growth as the main axis.  There is</w:t></w:r>
</w:p>
<w:p>
<w:pPr><w:pStyle w:val="Normal"/></w:pPr>
<w:r><w:t xml:space="preserve">thus a close approach to the external morphology of the higher</w:t></w:r>
</w:p>
<w:p>
<w:pPr><w:pStyle w:val="Normal"/></w:pPr>
<w:r><w:t xml:space="preserve">plants.  The streaming of the protoplasm, known elsewhere among</w:t></w:r>
</w:p>
<w:p>
<w:pPr><w:pStyle w:val="Normal"/></w:pPr>
<w:r><w:t xml:space="preserve">Chlorophyceae, is a conspicuous feature of the cells of Characeae.</w:t></w:r>
</w:p>
<w:p>
<w:pPr><w:pStyle w:val="Normal"/></w:pPr>
<w:r><w:t xml:space="preserve">The Chlorophyceae excel all other groups of algae in the</w:t></w:r>
</w:p>
<w:p>
<w:pPr><w:pStyle w:val="Normal"/></w:pPr>
<w:r><w:t xml:space="preserve">magnitude and variety of form of the chlorophyll-bodies.  In</w:t></w:r>
</w:p>
<w:p>
<w:pPr><w:pStyle w:val="Normal"/></w:pPr>
<w:r><w:t xml:space="preserve">Ulva and Mesocarpus the chromatophore is a single plate,</w:t></w:r>
</w:p>
<w:p>
<w:pPr><w:pStyle w:val="Normal"/></w:pPr>
<w:r><w:t xml:space="preserve">which in the latter genus places its edge towards the incident</w:t></w:r>
</w:p>
<w:p>
<w:pPr><w:pStyle w:val="Normal"/></w:pPr>
<w:r><w:t xml:space="preserve">light; in Spirogyra they are spiral bands embedded in the</w:t></w:r>
</w:p>
<w:p>
<w:pPr><w:pStyle w:val="Normal"/></w:pPr>
<w:r><w:t xml:space="preserve">primordial utricle; in Zygnema they are a pair of stellate</w:t></w:r>
</w:p>
<w:p>
<w:pPr><w:pStyle w:val="Normal"/></w:pPr>
<w:r><w:t xml:space="preserve">masses, the rays of which branch peripherally; in Oedogonium</w:t></w:r>
</w:p>
<w:p>
<w:pPr><w:pStyle w:val="Normal"/></w:pPr>
<w:r><w:t xml:space="preserve">they are longitudinally-disposed anastomosing bands; in Desmids</w:t></w:r>
</w:p>
<w:p>
<w:pPr><w:pStyle w:val="Normal"/></w:pPr>
<w:r><w:t xml:space="preserve">plates with irregular margins; in Cladophora polyhedral</w:t></w:r>
</w:p>
<w:p>
<w:pPr><w:pStyle w:val="Normal"/></w:pPr>
<w:r><w:t xml:space="preserve">plates: in Vaucheria minute elliptical bodies occurring in</w:t></w:r>
</w:p>
<w:p>
<w:pPr><w:pStyle w:val="Normal"/></w:pPr>
<w:r><w:t xml:space="preserve">immense numbers.  Embedded in the chromatophore, much in the</w:t></w:r>
</w:p>
<w:p>
<w:pPr><w:pStyle w:val="Normal"/></w:pPr>
<w:r><w:t xml:space="preserve">same way as the nucleus is embedded in the cytoplasm, are the</w:t></w:r>
</w:p>
<w:p>
<w:pPr><w:pStyle w:val="Normal"/></w:pPr>
<w:r><w:t xml:space="preserve">pyrenoids.  Unknown in Cyanophyceae and Phoeophyeeae, known</w:t></w:r>
</w:p>
<w:p>
<w:pPr><w:pStyle w:val="Normal"/></w:pPr>
<w:r><w:t xml:space="preserve">only in Bangiaceae and Nemalion among Rhodophyceae, they</w:t></w:r>
</w:p>
<w:p>
<w:pPr><w:pStyle w:val="Normal"/></w:pPr>
<w:r><w:t xml:space="preserve">are of frequent occurrence among Chlorophyceae, excepting</w:t></w:r>
</w:p>
<w:p>
<w:pPr><w:pStyle w:val="Normal"/></w:pPr>
<w:r><w:t xml:space="preserve">Characeae.  Sometimes several pyrenoids occur in each</w:t></w:r>
</w:p>
<w:p>
<w:pPr><w:pStyle w:val="Normal"/></w:pPr>
<w:r><w:t xml:space="preserve">chloroplast, as in Mesocarpus and Spirogyra; sometimes</w:t></w:r>
</w:p>
<w:p>
<w:pPr><w:pStyle w:val="Normal"/></w:pPr>
<w:r><w:t xml:space="preserve">only an occasional chloroplast contains pyrenoid at all,</w:t></w:r>
</w:p>
<w:p>
<w:pPr><w:pStyle w:val="Normal"/></w:pPr>
<w:r><w:t xml:space="preserve">as in Cadophora. The pyrenoid seems to be of proteid</w:t></w:r>
</w:p>
<w:p>
<w:pPr><w:pStyle w:val="Normal"/></w:pPr>
<w:r><w:t xml:space="preserve">nature and gelatinous consistency, and to arise as a new</w:t></w:r>
</w:p>
<w:p>
<w:pPr><w:pStyle w:val="Normal"/></w:pPr>
<w:r><w:t xml:space="preserve">formation or by division of pre-existing pyrenoids.  When</w:t></w:r>
</w:p>
<w:p>
<w:pPr><w:pStyle w:val="Normal"/></w:pPr>
<w:r><w:t xml:space="preserve">carbon-assimilation is active, starch-granules crowd upon the</w:t></w:r>
</w:p>
<w:p>
<w:pPr><w:pStyle w:val="Normal"/></w:pPr>
<w:r><w:t xml:space="preserve">surface of the pyrenoid and completely obscure it from view.</w:t></w:r>
</w:p>
<w:p>
<w:pPr><w:pStyle w:val="Normal"/></w:pPr>
<w:r><w:t xml:space="preserve">Special provision for vegetative multiplication is not common</w:t></w:r>
</w:p>
<w:p>
<w:pPr><w:pStyle w:val="Normal"/></w:pPr>
<w:r><w:t xml:space="preserve">among Chlorophyceae. Valonia and Caulerpa among Siphonales</w:t></w:r>
</w:p>
<w:p>
<w:pPr><w:pStyle w:val="Normal"/></w:pPr>
<w:r><w:t xml:space="preserve">detach portions of their thallus, which are capable of independent</w:t></w:r>
</w:p>
<w:p>
<w:pPr><w:pStyle w:val="Normal"/></w:pPr>
<w:r><w:t xml:space="preserve">growth.  In Caulerpa no other means of multiplication is as yet</w:t></w:r>
</w:p>
<w:p>
<w:pPr><w:pStyle w:val="Normal"/></w:pPr>
<w:r><w:t xml:space="preserve">known.  In Characeae no fewer than four methods of vegetative</w:t></w:r>
</w:p>
<w:p>
<w:pPr><w:pStyle w:val="Normal"/></w:pPr>
<w:r><w:t xml:space="preserve">reproduction have been described, and the facility with which</w:t></w:r>
</w:p>
<w:p>
<w:pPr><w:pStyle w:val="Normal"/></w:pPr>
<w:r><w:t xml:space="preserve">buds and branches are in these cases detached has been adduced</w:t></w:r>
</w:p>
<w:p>
<w:pPr><w:pStyle w:val="Normal"/></w:pPr>
<w:r><w:t xml:space="preserve">as an evidence of affinity with Bryophyta, which, as a class, are</w:t></w:r>
</w:p>
<w:p>
<w:pPr><w:pStyle w:val="Normal"/></w:pPr>
<w:r><w:t xml:space="preserve">distinguished by their ready resort to vegetative reproduction.</w:t></w:r>
</w:p>
<w:p>
<w:pPr><w:pStyle w:val="Normal"/></w:pPr>
<w:r><w:t xml:space="preserve">With regard to true reproduction, which is characterized by</w:t></w:r>
</w:p>
<w:p>
<w:pPr><w:pStyle w:val="Normal"/></w:pPr>
<w:r><w:t xml:space="preserve">the formation of special cells, the group Euchlorophyceae</w:t></w:r>
</w:p>
<w:p>
<w:pPr><w:pStyle w:val="Normal"/></w:pPr>
<w:r><w:t xml:space="preserve">is characterized by the production of zoospores (Gr. zoon,</w:t></w:r>
</w:p>
<w:p>
<w:pPr><w:pStyle w:val="Normal"/></w:pPr>
<w:r><w:t xml:space="preserve">animal, spora, seed); that is to say, cells capable of</w:t></w:r>
</w:p>
<w:p>
<w:pPr><w:pStyle w:val="Normal"/></w:pPr>
<w:r><w:t xml:space="preserve">motility through the agency of cilia.  Such ciliary motion</w:t></w:r>
</w:p>
<w:p>
<w:pPr><w:pStyle w:val="Normal"/></w:pPr>
<w:r><w:t xml:space="preserve">is known in the adult condition of the cells of Volvocaceae,</w:t></w:r>
</w:p>
<w:p>
<w:pPr><w:pStyle w:val="Normal"/></w:pPr>
<w:r><w:t xml:space="preserve">but where this is not the case the reproductive cells are</w:t></w:r>
</w:p>
<w:p>
<w:pPr><w:pStyle w:val="Normal"/></w:pPr>
<w:r><w:t xml:space="preserve">endowed with motility for a brief period.  The zoospore</w:t></w:r>
</w:p>
<w:p>
<w:pPr><w:pStyle w:val="Normal"/></w:pPr>
<w:r><w:t xml:space="preserve">is usually a pyriform mass of naked protoplasm, the beaked</w:t></w:r>
</w:p>
<w:p>
<w:pPr><w:pStyle w:val="Normal"/></w:pPr>
<w:r><w:t xml:space="preserve">end of which where the cilia arise is devoid of colouring</w:t></w:r>
</w:p>
<w:p>
<w:pPr><w:pStyle w:val="Normal"/></w:pPr>
<w:r><w:t xml:space="preserve">matter.  A reddish-brown body, known as the eyespot, is</w:t></w:r>
</w:p>
<w:p>
<w:pPr><w:pStyle w:val="Normal"/></w:pPr>
<w:r><w:t xml:space="preserve">usually situated near the limits of the hyaline portion, and</w:t></w:r>
</w:p>
<w:p>
<w:pPr><w:pStyle w:val="Normal"/></w:pPr>
<w:r><w:t xml:space="preserve">in the protoolasm contractile vacuoles similar to those of</w:t></w:r>
</w:p>
<w:p>
<w:pPr><w:pStyle w:val="Normal"/></w:pPr>
<w:r><w:t xml:space="preserve">lower animals have been occasionally detected.  The movement</w:t></w:r>
</w:p>
<w:p>
<w:pPr><w:pStyle w:val="Normal"/></w:pPr>
<w:r><w:t xml:space="preserve">of the zoospore is effected by the lashing of the cilia and</w:t></w:r>
</w:p>
<w:p>
<w:pPr><w:pStyle w:val="Normal"/></w:pPr>
<w:r><w:t xml:space="preserve">is in the direction of the beak, while the zoospore slowly</w:t></w:r>
</w:p>
<w:p>
<w:pPr><w:pStyle w:val="Normal"/></w:pPr>
<w:r><w:t xml:space="preserve">rotates on Botrydium and Hydrodictyon only one is present;</w:t></w:r>
</w:p>
<w:p>
<w:pPr><w:pStyle w:val="Normal"/></w:pPr>
<w:r><w:t xml:space="preserve">in certain species of Cladophora four; in Dasycladus a</w:t></w:r>
</w:p>
<w:p>
<w:pPr><w:pStyle w:val="Normal"/></w:pPr>
<w:r><w:t xml:space="preserve">chaplet, and in Oedogonium a ring of many cilia.  The</w:t></w:r>
</w:p>
<w:p>
<w:pPr><w:pStyle w:val="Normal"/></w:pPr>
<w:r><w:t xml:space="preserve">so-called zoospore of Vaucheria is a coenocyte covered over</w:t></w:r>
</w:p>
<w:p>
<w:pPr><w:pStyle w:val="Normal"/></w:pPr>
<w:r><w:t xml:space="preserve">with paired cilia corresponding in position to nuclei lying</w:t></w:r>
</w:p>
<w:p>
<w:pPr><w:pStyle w:val="Normal"/></w:pPr>
<w:r><w:t xml:space="preserve">below.  In all other cases, zoospores are uninucleate bodies.</w:t></w:r>
</w:p>
<w:p>
<w:pPr><w:pStyle w:val="Normal"/></w:pPr>
<w:r><w:t xml:space="preserve">Zoospores arise in cells of ordinary size and form termed</w:t></w:r>
</w:p>
<w:p>
<w:pPr><w:pStyle w:val="Normal"/></w:pPr>
<w:r><w:t xml:space="preserve">zoosporangia.  In unicellular forms (Sphaerella) the thallus</w:t></w:r>
</w:p>
<w:p>
<w:pPr><w:pStyle w:val="Normal"/></w:pPr>
<w:r><w:t xml:space="preserve">becomes transformed into a zoosporangium at the reproductive</w:t></w:r>
</w:p>
<w:p>
<w:pPr><w:pStyle w:val="Normal"/></w:pPr>
<w:r><w:t xml:space="preserve">stage.  In the zoosporangia of Oedogonium, Tetraspora and</w:t></w:r>
</w:p>
<w:p>
<w:pPr><w:pStyle w:val="Normal"/></w:pPr>
<w:r><w:t xml:space="preserve">Coleochaete the contents become transformed into a single</w:t></w:r>
</w:p>
<w:p>
<w:pPr><w:pStyle w:val="Normal"/></w:pPr>
<w:r><w:t xml:space="preserve">zoospore.  In most cases repeated division seems to take</w:t></w:r>
</w:p>
<w:p>
<w:pPr><w:pStyle w:val="Normal"/></w:pPr>
<w:r><w:t xml:space="preserve">place, and the final number is represented by some power of</w:t></w:r>
</w:p>
<w:p>
<w:pPr><w:pStyle w:val="Normal"/></w:pPr>
<w:r><w:t xml:space="preserve">two.  In coenocytic forms the zoospores would seem to arise</w:t></w:r>
</w:p>
<w:p>
<w:pPr><w:pStyle w:val="Normal"/></w:pPr>
<w:r><w:t xml:space="preserve">simultaneously, probably because many nuclei are already</w:t></w:r>
</w:p>
<w:p>
<w:pPr><w:pStyle w:val="Normal"/></w:pPr>
<w:r><w:t xml:space="preserve">present.  The escape of zoospores is effected by the</w:t></w:r>
</w:p>
<w:p>
<w:pPr><w:pStyle w:val="Normal"/></w:pPr>
<w:r><w:t xml:space="preserve">degeneration of the sporangial wall (Chaetophora), or by</w:t></w:r>
</w:p>
<w:p>
<w:pPr><w:pStyle w:val="Normal"/></w:pPr>
<w:r><w:t xml:space="preserve">a pore (Cladophora), a slit (Pediastrum ), or a circular</w:t></w:r>
</w:p>
<w:p>
<w:pPr><w:pStyle w:val="Normal"/></w:pPr>
<w:r><w:t xml:space="preserve">fracture (Oedogonium).  Zoospores are of two kinds: (1) Those</w:t></w:r>
</w:p>
<w:p>
<w:pPr><w:pStyle w:val="Normal"/></w:pPr>
<w:r><w:t xml:space="preserve">which come to rest and germinate to form a new plant; these are</w:t></w:r>
</w:p>
<w:p>
<w:pPr><w:pStyle w:val="Normal"/></w:pPr>
<w:r><w:t xml:space="preserve">asexual and are zoospores proper. (2) Those which are unable</w:t></w:r>
</w:p>
<w:p>
<w:pPr><w:pStyle w:val="Normal"/></w:pPr>
<w:r><w:t xml:space="preserve">to germinate of themselves, but fuse with another cell, the</w:t></w:r>
</w:p>
<w:p>
<w:pPr><w:pStyle w:val="Normal"/></w:pPr>
<w:r><w:t xml:space="preserve">product giving rise to a new individual; these are sexual and</w:t></w:r>
</w:p>
<w:p>
<w:pPr><w:pStyle w:val="Normal"/></w:pPr>
<w:r><w:t xml:space="preserve">are zoogametes (Gr. zoon, animal, and gametes, gamete,</w:t></w:r>
</w:p>
<w:p>
<w:pPr><w:pStyle w:val="Normal"/></w:pPr>
<w:r><w:t xml:space="preserve">husband, wife).  When two similar zoogametes fuse, the process</w:t></w:r>
</w:p>
<w:p>
<w:pPr><w:pStyle w:val="Normal"/></w:pPr>
<w:r><w:t xml:space="preserve">is conjugation, and the product a zygospore (Gr. zugon,</w:t></w:r>
</w:p>
<w:p>
<w:pPr><w:pStyle w:val="Normal"/></w:pPr>
<w:r><w:t xml:space="preserve">yoke).  Usually, however, only one of the fusing cells is a</w:t></w:r>
</w:p>
<w:p>
<w:pPr><w:pStyle w:val="Normal"/></w:pPr>
<w:r><w:t xml:space="preserve">zoogamete, the other gamete being a much larger resting</w:t></w:r>
</w:p>
<w:p>
<w:pPr><w:pStyle w:val="Normal"/></w:pPr>
<w:r><w:t xml:space="preserve">cell.  In such a case the zoogamete is male, is called an</w:t></w:r>
</w:p>
<w:p>
<w:pPr><w:pStyle w:val="Normal"/></w:pPr>
<w:r><w:t xml:space="preserve">antherozoid or spermatozoid, and arises in an antheridium; the</w:t></w:r>
</w:p>
<w:p>
<w:pPr><w:pStyle w:val="Normal"/></w:pPr>
<w:r><w:t xml:space="preserve">larger gamete is an oosphere and arises in an oogonium.  The</w:t></w:r>
</w:p>
<w:p>
<w:pPr><w:pStyle w:val="Normal"/></w:pPr>
<w:r><w:t xml:space="preserve">fusion is now known as fertilization, and the product is an</w:t></w:r>
</w:p>
<w:p>
<w:pPr><w:pStyle w:val="Normal"/></w:pPr>
<w:r><w:t xml:space="preserve">oospore.  Reproduction by conjugation is also known as isogamy,</w:t></w:r>
</w:p>
<w:p>
<w:pPr><w:pStyle w:val="Normal"/></w:pPr>
<w:r><w:t xml:space="preserve">by fertilization as oogamy.  When zoospores come to rest,</w:t></w:r>
</w:p>
<w:p>
<w:pPr><w:pStyle w:val="Normal"/></w:pPr>
<w:r><w:t xml:space="preserve">a new cell is formed and germination ensues at once.  When</w:t></w:r>
</w:p>
<w:p>
<w:pPr><w:pStyle w:val="Normal"/></w:pPr>
<w:r><w:t xml:space="preserve">zygospores and oospores are produced a new cell-wall is also</w:t></w:r>
</w:p>
<w:p>
<w:pPr><w:pStyle w:val="Normal"/></w:pPr>
<w:r><w:t xml:space="preserve">formed, but a long period of rest ensues.  All investigation</w:t></w:r>
</w:p>
<w:p>
<w:pPr><w:pStyle w:val="Normal"/></w:pPr>
<w:r><w:t xml:space="preserve">goes to show that an essential part of sexual union is the</w:t></w:r>
</w:p>
<w:p>
<w:pPr><w:pStyle w:val="Normal"/></w:pPr>
<w:r><w:t xml:space="preserve">fusion of the two nuclei concerned.  It is interesting to</w:t></w:r>
</w:p>
<w:p>
<w:pPr><w:pStyle w:val="Normal"/></w:pPr>
<w:r><w:t xml:space="preserve">know, on the authority of Oltmanns, that when the oosphere is</w:t></w:r>
</w:p>
<w:p>
<w:pPr><w:pStyle w:val="Normal"/></w:pPr>
<w:r><w:t xml:space="preserve">forming in the oogonium of Vaucheria, there is a retrocession</w:t></w:r>
</w:p>
<w:p>
<w:pPr><w:pStyle w:val="Normal"/></w:pPr>
<w:r><w:t xml:space="preserve">of all the included nuclei but one. that the antherozoid of</w:t></w:r>
</w:p>
<w:p>
<w:pPr><w:pStyle w:val="Normal"/></w:pPr>
<w:r><w:t xml:space="preserve">Vaucheria contains a single nucleus had been inferred before.</w:t></w:r>
</w:p>
<w:p>
<w:pPr><w:pStyle w:val="Normal"/></w:pPr>
<w:r><w:t xml:space="preserve">From a comparison of those Euchlorophyceae which have been</w:t></w:r>
</w:p>
<w:p>
<w:pPr><w:pStyle w:val="Normal"/></w:pPr>
<w:r><w:t xml:space="preserve">most closely investigated, it appears probable that sexual</w:t></w:r>
</w:p>
<w:p>
<w:pPr><w:pStyle w:val="Normal"/></w:pPr>
<w:r><w:t xml:space="preserve">reproductive cells have in the course of evolution arisen</w:t></w:r>
</w:p>
<w:p>
<w:pPr><w:pStyle w:val="Normal"/></w:pPr>
<w:r><w:t xml:space="preserve">as the result of specialization among asexual reproductive</w:t></w:r>
</w:p>
<w:p>
<w:pPr><w:pStyle w:val="Normal"/></w:pPr>
<w:r><w:t xml:space="preserve">cells, and that in turn oogamous reproduction has arisen</w:t></w:r>
</w:p>
<w:p>
<w:pPr><w:pStyle w:val="Normal"/></w:pPr>
<w:r><w:t xml:space="preserve">as the result of differentiation of the two conjugating</w:t></w:r>
</w:p>
<w:p>
<w:pPr><w:pStyle w:val="Normal"/></w:pPr>
<w:r><w:t xml:space="preserve">cells into the smaller male gamete and the larger male</w:t></w:r>
</w:p>
<w:p>
<w:pPr><w:pStyle w:val="Normal"/></w:pPr>
<w:r><w:t xml:space="preserve">gamete.  It would further appear that oogamous reproduction</w:t></w:r>
</w:p>
<w:p>
<w:pPr><w:pStyle w:val="Normal"/></w:pPr>
<w:r><w:t xml:space="preserve">has arisen independently in each of the three main groups</w:t></w:r>
</w:p>
<w:p>
<w:pPr><w:pStyle w:val="Normal"/></w:pPr>
<w:r><w:t xml:space="preserve">of Euchlorophyceae, viz.  Ptotococcales, Siphonales and</w:t></w:r>
</w:p>
<w:p>
<w:pPr><w:pStyle w:val="Normal"/></w:pPr>
<w:r><w:t xml:space="preserve">Confervales.  Thus among Volvocaceae, a family of Protococcales,</w:t></w:r>
</w:p>
<w:p>
<w:pPr><w:pStyle w:val="Normal"/></w:pPr>
<w:r><w:t xml:space="preserve">while in some of the genera (Chloraster, Sphondylomorum)</w:t></w:r>
</w:p>
<w:p>
<w:pPr><w:pStyle w:val="Normal"/></w:pPr>
<w:r><w:t xml:space="preserve">no sexual union has as yet been observed, in others</w:t></w:r>
</w:p>
<w:p>
<w:pPr><w:pStyle w:val="Normal"/></w:pPr>
<w:r><w:t xml:space="preserve">(Pandorina, Chlorogonium, Stephanosphaera, Sphaerella)</w:t></w:r>
</w:p>
<w:p>
<w:pPr><w:pStyle w:val="Normal"/></w:pPr>
<w:r><w:t xml:space="preserve">conjugation of similar gametes takes place, in others still</w:t></w:r>
</w:p>
<w:p>
<w:pPr><w:pStyle w:val="Normal"/></w:pPr>
<w:r><w:t xml:space="preserve">(Phacotus, Eudorina, Volvox) the union is of the nature of</w:t></w:r>
</w:p>
<w:p>
<w:pPr><w:pStyle w:val="Normal"/></w:pPr>
<w:r><w:t xml:space="preserve">fertilization.  No other family of Protococcales has advanced</w:t></w:r>
</w:p>
<w:p>
<w:pPr><w:pStyle w:val="Normal"/></w:pPr>
<w:r><w:t xml:space="preserve">beyond the stage of isogamous reproduction.  Again, among</w:t></w:r>
</w:p>
<w:p>
<w:pPr><w:pStyle w:val="Normal"/></w:pPr>
<w:r><w:t xml:space="preserve">Siphonales only one family (Vaucheriaceae) has reached the</w:t></w:r>
</w:p>
<w:p>
<w:pPr><w:pStyle w:val="Normal"/></w:pPr>
<w:r><w:t xml:space="preserve">stage of oogamy, although an incipient heterogamy is said</w:t></w:r>
</w:p>
<w:p>
<w:pPr><w:pStyle w:val="Normal"/></w:pPr>
<w:r><w:t xml:space="preserve">to occur in two other families (Codiaceae, Bryopsidaceae).</w:t></w:r>
</w:p>
<w:p>
<w:pPr><w:pStyle w:val="Normal"/></w:pPr>
<w:r><w:t xml:space="preserve">Elsewhere among Siphonales, in those cases where reproductive</w:t></w:r>
</w:p>
<w:p>
<w:pPr><w:pStyle w:val="Normal"/></w:pPr>
<w:r><w:t xml:space="preserve">cells are known, the reproduction is either isogamous or</w:t></w:r>
</w:p>
<w:p>
<w:pPr><w:pStyle w:val="Normal"/></w:pPr>
<w:r><w:t xml:space="preserve">asexual.  Among Confervales there is no family in which</w:t></w:r>
</w:p>
<w:p>
<w:pPr><w:pStyle w:val="Normal"/></w:pPr>
<w:r><w:t xml:space="preserve">sexual reproduction--isogamy or oogamy--is not known to occur</w:t></w:r>
</w:p>
<w:p>
<w:pPr><w:pStyle w:val="Normal"/></w:pPr>
<w:r><w:t xml:space="preserve">among some of the component species, and as many as four</w:t></w:r>
</w:p>
<w:p>
<w:pPr><w:pStyle w:val="Normal"/></w:pPr>
<w:r><w:t xml:space="preserve">families (Cylindrocapsaceae, Sphaeropleaceae, Oedogoniaceae,</w:t></w:r>
</w:p>
<w:p>
<w:pPr><w:pStyle w:val="Normal"/></w:pPr>
<w:r><w:t xml:space="preserve">Coleochaetaceae) are oogamous.  On these, as well as other</w:t></w:r>
</w:p>
<w:p>
<w:pPr><w:pStyle w:val="Normal"/></w:pPr>
<w:r><w:t xml:space="preserve">grounds.  Confervales are regarded as having attained to the</w:t></w:r>
</w:p>
<w:p>
<w:pPr><w:pStyle w:val="Normal"/></w:pPr>
<w:r><w:t xml:space="preserve">highest rank among Euchlorophyceae.  Although the phenomena</w:t></w:r>
</w:p>
<w:p>
<w:pPr><w:pStyle w:val="Normal"/></w:pPr>
<w:r><w:t xml:space="preserve">attending isogamous and oogamous reproduction respectively</w:t></w:r>
</w:p>
<w:p>
<w:pPr><w:pStyle w:val="Normal"/></w:pPr>
<w:r><w:t xml:space="preserve">are essentially the same in all cases, slight variations in</w:t></w:r>
</w:p>
<w:p>
<w:pPr><w:pStyle w:val="Normal"/></w:pPr>
<w:r><w:t xml:space="preserve">both instances appear in different families, attributable</w:t></w:r>
</w:p>
<w:p>
<w:pPr><w:pStyle w:val="Normal"/></w:pPr>
<w:r><w:t xml:space="preserve">doubtless to the independent origin of the process in different</w:t></w:r>
</w:p>
<w:p>
<w:pPr><w:pStyle w:val="Normal"/></w:pPr>
<w:r><w:t xml:space="preserve">groups.  Thus, although isogamy consists in typical cases of</w:t></w:r>
</w:p>
<w:p>
<w:pPr><w:pStyle w:val="Normal"/></w:pPr>
<w:r><w:t xml:space="preserve">a union of naked motile gametes by a fusion which begins at</w:t></w:r>
</w:p>
<w:p>
<w:pPr><w:pStyle w:val="Normal"/></w:pPr>
<w:r><w:t xml:space="preserve">the beaked ends, and results in the formation of an immotile</w:t></w:r>
</w:p>
<w:p>
<w:pPr><w:pStyle w:val="Normal"/></w:pPr>
<w:r><w:t xml:space="preserve">spherical zygote surrounded by a cell-wall, in Leptosira it</w:t></w:r>
</w:p>
<w:p>
<w:pPr><w:pStyle w:val="Normal"/></w:pPr>
<w:r><w:t xml:space="preserve">is noticeable that the fusion begins at the blunt end; in a</w:t></w:r>
</w:p>
<w:p>
<w:pPr><w:pStyle w:val="Normal"/></w:pPr>
<w:r><w:t xml:space="preserve">species of Chlamydomonas the two gametes are each included</w:t></w:r>
</w:p>
<w:p>
<w:pPr><w:pStyle w:val="Normal"/></w:pPr>
<w:r><w:t xml:space="preserve">in a cell-wall before fusion; and in many cases the zygote</w:t></w:r>
</w:p>
<w:p>
<w:pPr><w:pStyle w:val="Normal"/></w:pPr>
<w:r><w:t xml:space="preserve">retains for some time its motility with the double number of</w:t></w:r>
</w:p>
<w:p>
<w:pPr><w:pStyle w:val="Normal"/></w:pPr>
<w:r><w:t xml:space="preserve">cilia.  Again, in oogamous reproduction, while in general only</w:t></w:r>
</w:p>
<w:p>
<w:pPr><w:pStyle w:val="Normal"/></w:pPr>
<w:r><w:t xml:space="preserve">one oosphere is differentiated in the oogonium, in Sphaeroplea</w:t></w:r>
</w:p>
<w:p>
<w:pPr><w:pStyle w:val="Normal"/></w:pPr>
<w:r><w:t xml:space="preserve">several oospheres arise in each oogonium; and while the oospheres</w:t></w:r>
</w:p>
<w:p>
<w:pPr><w:pStyle w:val="Normal"/></w:pPr>
<w:r><w:t xml:space="preserve">usually contract away from the oogonial wall, acquiring for</w:t></w:r>
</w:p>
<w:p>
<w:pPr><w:pStyle w:val="Normal"/></w:pPr>
<w:r><w:t xml:space="preserve">themselves a new cell-wall after fertilization, in Coleochaete</w:t></w:r>
</w:p>
<w:p>
<w:pPr><w:pStyle w:val="Normal"/></w:pPr>
<w:r><w:t xml:space="preserve">the oosphere remains throughout in contact with the oogonial</w:t></w:r>
</w:p>
<w:p>
<w:pPr><w:pStyle w:val="Normal"/></w:pPr>
<w:r><w:t xml:space="preserve">wall.  The oosphere is in all cases fertilized while still within</w:t></w:r>
</w:p>
<w:p>
<w:pPr><w:pStyle w:val="Normal"/></w:pPr>
<w:r><w:t xml:space="preserve">the oogonium, the antherozoids being admitted by means of a</w:t></w:r>
</w:p>
<w:p>
<w:pPr><w:pStyle w:val="Normal"/></w:pPr>
<w:r><w:t xml:space="preserve">pore.  There is usually distinguishable upon the surface</w:t></w:r>
</w:p>
<w:p>
<w:pPr><w:pStyle w:val="Normal"/></w:pPr>
<w:r><w:t xml:space="preserve">of the oosphere an area free from chlorophyll, known as the</w:t></w:r>
</w:p>
<w:p>
<w:pPr><w:pStyle w:val="Normal"/></w:pPr>
<w:r><w:t xml:space="preserve">receptive spot, at which the fusion with the antherozoid</w:t></w:r>
</w:p>
<w:p>
<w:pPr><w:pStyle w:val="Normal"/></w:pPr>
<w:r><w:t xml:space="preserve">takes place; and in many cases, before fertilization, a small</w:t></w:r>
</w:p>
<w:p>
<w:pPr><w:pStyle w:val="Normal"/></w:pPr>
<w:r><w:t xml:space="preserve">mucilaginous mass has been observed to separate itself off</w:t></w:r>
</w:p>
<w:p>
<w:pPr><w:pStyle w:val="Normal"/></w:pPr>
<w:r><w:t xml:space="preserve">from the oosphere at this point and to escape through the</w:t></w:r>
</w:p>
<w:p>
<w:pPr><w:pStyle w:val="Normal"/></w:pPr>
<w:r><w:t xml:space="preserve">pore.  In Coleochaete the oogonial wall is drawn out into a</w:t></w:r>
</w:p>
<w:p>
<w:pPr><w:pStyle w:val="Normal"/></w:pPr>
<w:r><w:t xml:space="preserve">considerable tube, which is provided with an apical pore, and</w:t></w:r>
</w:p>
<w:p>
<w:pPr><w:pStyle w:val="Normal"/></w:pPr>
<w:r><w:t xml:space="preserve">this tube has a somewhat similar appearance to the imperforate</w:t></w:r>
</w:p>
<w:p>
<w:pPr><w:pStyle w:val="Normal"/></w:pPr>
<w:r><w:t xml:space="preserve">trichogyne of Florideae to be hereafter described.  In certain</w:t></w:r>
</w:p>
<w:p>
<w:pPr><w:pStyle w:val="Normal"/></w:pPr>
<w:r><w:t xml:space="preserve">species of Oedogonium minute male plantlets, known as dwarf</w:t></w:r>
</w:p>
<w:p>
<w:pPr><w:pStyle w:val="Normal"/></w:pPr>
<w:r><w:t xml:space="preserve">males, become attached to the female plant in the neighbourhood</w:t></w:r>
</w:p>
<w:p>
<w:pPr><w:pStyle w:val="Normal"/></w:pPr>
<w:r><w:t xml:space="preserve">of the oogonia, thus facilitating fertilization.  Indeed the</w:t></w:r>
</w:p>
<w:p>
<w:pPr><w:pStyle w:val="Normal"/></w:pPr>
<w:r><w:t xml:space="preserve">genus Oedogonium exhibits a high degree of specialization</w:t></w:r>
</w:p>
<w:p>
<w:pPr><w:pStyle w:val="Normal"/></w:pPr>
<w:r><w:t xml:space="preserve">in its reproductive system, considering that its thallus</w:t></w:r>
</w:p>
<w:p>
<w:pPr><w:pStyle w:val="Normal"/></w:pPr>
<w:r><w:t xml:space="preserve">has not advanced beyond the stage of an unbranched filament.</w:t></w:r>
</w:p>
<w:p>
<w:pPr><w:pStyle w:val="Normal"/></w:pPr>
<w:r><w:t xml:space="preserve">Many Euchlorophyceae are endowed with both asexual and sexual</w:t></w:r>
</w:p>
<w:p>
<w:pPr><w:pStyle w:val="Normal"/></w:pPr>
<w:r><w:t xml:space="preserve">reproduction.  Such are Coleochaete, Oedogonium, Cylindrocapsa,</w:t></w:r>
</w:p>
<w:p>
<w:pPr><w:pStyle w:val="Normal"/></w:pPr>
<w:r><w:t xml:space="preserve">Ulothrix, Vaucheria, Volvox, &amp;c. In others only the asexual</w:t></w:r>
</w:p>
<w:p>
<w:pPr><w:pStyle w:val="Normal"/></w:pPr>
<w:r><w:t xml:space="preserve">method is yet known.  When a species resorts to both methods,</w:t></w:r>
</w:p>
<w:p>
<w:pPr><w:pStyle w:val="Normal"/></w:pPr>
<w:r><w:t xml:space="preserve">it is generally found that the asexual method prevails in the</w:t></w:r>
</w:p>
<w:p>
<w:pPr><w:pStyle w:val="Normal"/></w:pPr>
<w:r><w:t xml:space="preserve">early part of the vegetative period and the sexual towards</w:t></w:r>
</w:p>
<w:p>
<w:pPr><w:pStyle w:val="Normal"/></w:pPr>
<w:r><w:t xml:space="preserve">the close of that period.  This is in consonance with the</w:t></w:r>
</w:p>
<w:p>
<w:pPr><w:pStyle w:val="Normal"/></w:pPr>
<w:r><w:t xml:space="preserve">facts already mentioned that zoospores germinate forthwith,</w:t></w:r>
</w:p>
<w:p>
<w:pPr><w:pStyle w:val="Normal"/></w:pPr>
<w:r><w:t xml:space="preserve">and that the sexually-produced cell or zygote enters upon a</w:t></w:r>
</w:p>
<w:p>
<w:pPr><w:pStyle w:val="Normal"/></w:pPr>
<w:r><w:t xml:space="preserve">period of rest.  It is known that zoogametes, which usually</w:t></w:r>
</w:p>
<w:p>
<w:pPr><w:pStyle w:val="Normal"/></w:pPr>
<w:r><w:t xml:space="preserve">conjugate, may, when conjugation fails, germinate directly</w:t></w:r>
</w:p>
<w:p>
<w:pPr><w:pStyle w:val="Normal"/></w:pPr>
<w:r><w:t xml:space="preserve">(Sphaerella.) In rare cases the oosphere has been known to</w:t></w:r>
</w:p>
<w:p>
<w:pPr><w:pStyle w:val="Normal"/></w:pPr>
<w:r><w:t xml:space="preserve">germinate without fertilization (Oedogonium, Cylindrocapsa.)</w:t></w:r>
</w:p>
<w:p>
<w:pPr><w:pStyle w:val="Normal"/></w:pPr>
<w:r><w:t xml:space="preserve">The germination of a zygospore or oospore is effected by</w:t></w:r>
</w:p>
<w:p>
<w:pPr><w:pStyle w:val="Normal"/></w:pPr>
<w:r><w:t xml:space="preserve">the rupture of an outer cuticularized exosporium; then the</w:t></w:r>
</w:p>
<w:p>
<w:pPr><w:pStyle w:val="Normal"/></w:pPr>
<w:r><w:t xml:space="preserve">cell may protrude an inner wall, the endosporium, and grow</w:t></w:r>
</w:p>
<w:p>
<w:pPr><w:pStyle w:val="Normal"/></w:pPr>
<w:r><w:t xml:space="preserve">out into the new plant ( Vaucheria), or the contents may</w:t></w:r>
</w:p>
<w:p>
<w:pPr><w:pStyle w:val="Normal"/></w:pPr>
<w:r><w:t xml:space="preserve">break up into a first brood of zoospores.  It is held that</w:t></w:r>
</w:p>
<w:p>
<w:pPr><w:pStyle w:val="Normal"/></w:pPr>
<w:r><w:t xml:space="preserve">in Coleochaetea parenchyma results from the division of</w:t></w:r>
</w:p>
<w:p>
<w:pPr><w:pStyle w:val="Normal"/></w:pPr>
<w:r><w:t xml:space="preserve">the oospore, from each cell of which a zoospore arises.</w:t></w:r>
</w:p>
<w:p>
<w:pPr><w:pStyle w:val="Normal"/></w:pPr>
<w:r><w:t xml:space="preserve">Reproduction is also effected among Euchlorophyceae by means of</w:t></w:r>
</w:p>
<w:p>
<w:pPr><w:pStyle w:val="Normal"/></w:pPr>
<w:r><w:t xml:space="preserve">aplanospores and akinetes.  Aplanospores would seem to represent</w:t></w:r>
</w:p>
<w:p>
<w:pPr><w:pStyle w:val="Normal"/></w:pPr>
<w:r><w:t xml:space="preserve">zoospores arrested in their development; without reaching</w:t></w:r>
</w:p>
<w:p>
<w:pPr><w:pStyle w:val="Normal"/></w:pPr>
<w:r><w:t xml:space="preserve">the stage of motility, they germinate within the sporangium.</w:t></w:r>
</w:p>
<w:p>
<w:pPr><w:pStyle w:val="Normal"/></w:pPr>
<w:r><w:t xml:space="preserve">Akinetes are ordinary thallus cells, which on account of their</w:t></w:r>
</w:p>
<w:p>
<w:pPr><w:pStyle w:val="Normal"/></w:pPr>
<w:r><w:t xml:space="preserve">acquisition of a thick wall are capable of surviving unfavourable</w:t></w:r>
</w:p>
<w:p>
<w:pPr><w:pStyle w:val="Normal"/></w:pPr>
<w:r><w:t xml:space="preserve">conditions.  Both aplanospores and akinetes may germinate with</w:t></w:r>
</w:p>
<w:p>
<w:pPr><w:pStyle w:val="Normal"/></w:pPr>
<w:r><w:t xml:space="preserve">or without the formation of zoospores at the initial stage.</w:t></w:r>
</w:p>
<w:p>
<w:pPr><w:pStyle w:val="Normal"/></w:pPr>
<w:r><w:t xml:space="preserve">Among Conjugatae reproduction is effected solely by means</w:t></w:r>
</w:p>
<w:p>
<w:pPr><w:pStyle w:val="Normal"/></w:pPr>
<w:r><w:t xml:space="preserve">of conjugation of what are literally aplanospores.  Among</w:t></w:r>
</w:p>
<w:p>
<w:pPr><w:pStyle w:val="Normal"/></w:pPr>
<w:r><w:t xml:space="preserve">those Desmidiaceae which live a free life, two plants</w:t></w:r>
</w:p>
<w:p>
<w:pPr><w:pStyle w:val="Normal"/></w:pPr>
<w:r><w:t xml:space="preserve">become surrounded by a common mucilage, in which they lie</w:t></w:r>
</w:p>
<w:p>
<w:pPr><w:pStyle w:val="Normal"/></w:pPr>
<w:r><w:t xml:space="preserve">either parallel (Closterium) or crosswise (Cosmarium.)</w:t></w:r>
</w:p>
<w:p>
<w:pPr><w:pStyle w:val="Normal"/></w:pPr>
<w:r><w:t xml:space="preserve">Gaps then appear in the apposed surfaces, usually at the</w:t></w:r>
</w:p>
<w:p>
<w:pPr><w:pStyle w:val="Normal"/></w:pPr>
<w:r><w:t xml:space="preserve">isthmus; the entire protoplasts either pass out to melt into</w:t></w:r>
</w:p>
<w:p>
<w:pPr><w:pStyle w:val="Normal"/></w:pPr>
<w:r><w:t xml:space="preserve">one another clear of the old walls, or partly pass out and</w:t></w:r>
</w:p>
<w:p>
<w:pPr><w:pStyle w:val="Normal"/></w:pPr>
<w:r><w:t xml:space="preserve">fuse without complete detachment from the old walls.  Among</w:t></w:r>
</w:p>
<w:p>
<w:pPr><w:pStyle w:val="Normal"/></w:pPr>
<w:r><w:t xml:space="preserve">colonial Desmidiaceae, the break-up of the filament is a</w:t></w:r>
</w:p>
<w:p>
<w:pPr><w:pStyle w:val="Normal"/></w:pPr>
<w:r><w:t xml:space="preserve">preliminary to this conjugation; otherwise the process is the</w:t></w:r>
</w:p>
<w:p>
<w:pPr><w:pStyle w:val="Normal"/></w:pPr>
<w:r><w:t xml:space="preserve">same.  The zygospore becomes surrounded with its own wall,</w:t></w:r>
</w:p>
<w:p>
<w:pPr><w:pStyle w:val="Normal"/></w:pPr>
<w:r><w:t xml:space="preserve">consisting finally of three layers, the outer of which is</w:t></w:r>
</w:p>
<w:p>
<w:pPr><w:pStyle w:val="Normal"/></w:pPr>
<w:r><w:t xml:space="preserve">furnished with spicular prominences of various forms.  In</w:t></w:r>
</w:p>
<w:p>
<w:pPr><w:pStyle w:val="Normal"/></w:pPr>
<w:r><w:t xml:space="preserve">Zygnemaceae there is no dissolution of the filaments, but</w:t></w:r>
</w:p>
<w:p>
<w:pPr><w:pStyle w:val="Normal"/></w:pPr>
<w:r><w:t xml:space="preserve">the whole contents of one cell pass over by means of a</w:t></w:r>
</w:p>
<w:p>
<w:pPr><w:pStyle w:val="Normal"/></w:pPr>
<w:r><w:t xml:space="preserve">conjugation-tube into the cavity of a cell of a neighbouring</w:t></w:r>
</w:p>
<w:p>
<w:pPr><w:pStyle w:val="Normal"/></w:pPr>
<w:r><w:t xml:space="preserve">filament, where the zygospore is formed by the fusion of the two</w:t></w:r>
</w:p>
<w:p>
<w:pPr><w:pStyle w:val="Normal"/></w:pPr>
<w:r><w:t xml:space="preserve">Fig. 3.--Chlorophyceae, variously magnified.</w:t></w:r>
</w:p>
<w:p>
<w:pPr><w:pStyle w:val="Normal"/></w:pPr>
<w:r><w:t xml:space="preserve">A. Spirogyra sp., in conjugation.</w:t></w:r>
</w:p>
<w:p>
<w:pPr><w:pStyle w:val="Normal"/></w:pPr>
<w:r><w:t xml:space="preserve">B. Zoospore of Pandorina.  B234, stages of conjugation.</w:t></w:r>
</w:p>
<w:p>
<w:pPr><w:pStyle w:val="Heading1"/></w:pPr>
<w:r><w:t>C. Ulothrix sp., zoospores escaping.  C23, stages of conjugation.</w:t></w:r>
</w:p>
<w:p>
<w:pPr><w:pStyle w:val="Normal"/></w:pPr>
<w:r><w:t xml:space="preserve">D1. Oedogonium sp., oogonium at moment</w:t></w:r>
</w:p>
<w:p>
<w:pPr><w:pStyle w:val="Normal"/></w:pPr>
<w:r><w:t xml:space="preserve">of fertilization with dwarf male attached.</w:t></w:r>
</w:p>
<w:p>
<w:pPr><w:pStyle w:val="Normal"/></w:pPr>
<w:r><w:t xml:space="preserve">D2. Oedogonium sp., zoospore with crown of cilia.</w:t></w:r>
</w:p>
<w:p>
<w:pPr><w:pStyle w:val="Normal"/></w:pPr>
<w:r><w:t xml:space="preserve">E1. Coleochaete sp., with antheridia and an oogonium.</w:t></w:r>
</w:p>
<w:p>
<w:pPr><w:pStyle w:val="Normal"/></w:pPr>
<w:r><w:t xml:space="preserve">E2. Coleochaete sp., fertilized egg with investment of filaments.</w:t></w:r>
</w:p>
<w:p>
<w:pPr><w:pStyle w:val="Normal"/></w:pPr>
<w:r><w:t xml:space="preserve">E3. Coleochaete sp., zoospore.</w:t></w:r>
</w:p>
<w:p>
<w:pPr><w:pStyle w:val="Normal"/></w:pPr>
<w:r><w:t xml:space="preserve">F123. Protosiphon, conjugation of zoogametes.</w:t></w:r>
</w:p>
<w:p>
<w:pPr><w:pStyle w:val="Normal"/></w:pPr>
<w:r><w:t xml:space="preserve">G. Derbesia sp., zoospore with chaplet of cilia.</w:t></w:r>
</w:p>
<w:p>
<w:pPr><w:pStyle w:val="Normal"/></w:pPr>
<w:r><w:t xml:space="preserve">H1. Chara sp., oogonium and antheridium at a node on a lateral appendage.</w:t></w:r>
</w:p>
<w:p>
<w:pPr><w:pStyle w:val="Normal"/></w:pPr>
<w:r><w:t xml:space="preserve">H2. Chara sp., antherozoid.</w:t></w:r>
</w:p>
<w:p>
<w:pPr><w:pStyle w:val="Normal"/></w:pPr>
<w:r><w:t xml:space="preserve">K1. Vaucheria sp., oogonium and antheridium before fertilization.</w:t></w:r>
</w:p>
<w:p>
<w:pPr><w:pStyle w:val="Normal"/></w:pPr>
<w:r><w:t xml:space="preserve">K2. Vaucheria sp., after fertilization.</w:t></w:r>
</w:p>
<w:p>
<w:pPr><w:pStyle w:val="Normal"/></w:pPr>
<w:r><w:t xml:space="preserve">(A from Cooke, British Freshwater Algae, by permission</w:t></w:r>
</w:p>
<w:p>
<w:pPr><w:pStyle w:val="Normal"/></w:pPr>
<w:r><w:t xml:space="preserve">of Kegan Paul, Trench Trubner and Co.; C, E, F. G. H. K</w:t></w:r>
</w:p>
<w:p>
<w:pPr><w:pStyle w:val="Normal"/></w:pPr>
<w:r><w:t xml:space="preserve">from Engler and Prantl, by permission of Wilheim Engelmann;</w:t></w:r>
</w:p>
<w:p>
<w:pPr><w:pStyle w:val="Normal"/></w:pPr>
<w:r><w:t xml:space="preserve">B1 from Vines, by permission of Swan Sonnenschein and Co.;</w:t></w:r>
</w:p>
<w:p>
<w:pPr><w:pStyle w:val="Normal"/></w:pPr>
<w:r><w:t xml:space="preserve">B2, D from Oltmanns, by permission of Gustav Fischer.)</w:t></w:r>
</w:p>
<w:p>
<w:pPr><w:pStyle w:val="Normal"/></w:pPr>
<w:r><w:t xml:space="preserve">protoplasts.  In these cases the activity of one of the</w:t></w:r>
</w:p>
<w:p>
<w:pPr><w:pStyle w:val="Normal"/></w:pPr>
<w:r><w:t xml:space="preserve">gametes, and the passivity of the other, is regarded</w:t></w:r>
</w:p>
<w:p>
<w:pPr><w:pStyle w:val="Normal"/></w:pPr>
<w:r><w:t xml:space="preserve">as evidence of incipient sex.  In Strogonium there is</w:t></w:r>
</w:p>
<w:p>
<w:pPr><w:pStyle w:val="Normal"/></w:pPr>
<w:r><w:t xml:space="preserve">cell-division in the parent-cell prior to conjugation; and</w:t></w:r>
</w:p>
<w:p>
<w:pPr><w:pStyle w:val="Normal"/></w:pPr>
<w:r><w:t xml:space="preserve">as two segments are cut off in the case of the active gamete,</w:t></w:r>
</w:p>
<w:p>
<w:pPr><w:pStyle w:val="Normal"/></w:pPr>
<w:r><w:t xml:space="preserve">and only one in the case of the passive gamete, there is a</w:t></w:r>
</w:p>
<w:p>
<w:pPr><w:pStyle w:val="Normal"/></w:pPr>
<w:r><w:t xml:space="preserve">corresponding difference of size, marking another step in</w:t></w:r>
</w:p>
<w:p>
<w:pPr><w:pStyle w:val="Normal"/></w:pPr>
<w:r><w:t xml:space="preserve">the sexual differentiation.  In Zygogonium, although no</w:t></w:r>
</w:p>
<w:p>
<w:pPr><w:pStyle w:val="Normal"/></w:pPr>
<w:r><w:t xml:space="preserve">cell-division takes place, the gametes consist of a portion</w:t></w:r>
</w:p>
<w:p>
<w:pPr><w:pStyle w:val="Normal"/></w:pPr>
<w:r><w:t xml:space="preserve">only of the contents of a cell, and this is regularly the</w:t></w:r>
</w:p>
<w:p>
<w:pPr><w:pStyle w:val="Normal"/></w:pPr>
<w:r><w:t xml:space="preserve">case in Mesocarpaceae, which occupy the highest grade among</w:t></w:r>
</w:p>
<w:p>
<w:pPr><w:pStyle w:val="Normal"/></w:pPr>
<w:r><w:t xml:space="preserve">Conjugatae.  Some Zygnemaceae and Mesocarpaceae form either</w:t></w:r>
</w:p>
<w:p>
<w:pPr><w:pStyle w:val="Normal"/></w:pPr>
<w:r><w:t xml:space="preserve">a short conjugating tube, or none at all, but the filaments</w:t></w:r>
</w:p>
<w:p>
<w:pPr><w:pStyle w:val="Normal"/></w:pPr>
<w:r><w:t xml:space="preserve">approach each other by a knee-like bend, and the zygospore is</w:t></w:r>
</w:p>
<w:p>
<w:pPr><w:pStyle w:val="Normal"/></w:pPr>
<w:r><w:t xml:space="preserve">formed at the point of contact, often being partially contained</w:t></w:r>
</w:p>
<w:p>
<w:pPr><w:pStyle w:val="Normal"/></w:pPr>
<w:r><w:t xml:space="preserve">within the walls of the parent-cell.  It would seem that in</w:t></w:r>
</w:p>
<w:p>
<w:pPr><w:pStyle w:val="Normal"/></w:pPr>
<w:r><w:t xml:space="preserve">some cases the nuclei of the gametes remain distinct in the</w:t></w:r>
</w:p>
<w:p>
<w:pPr><w:pStyle w:val="Normal"/></w:pPr>
<w:r><w:t xml:space="preserve">zygospore for a considerable time after conjugation.  It is</w:t></w:r>
</w:p>
<w:p>
<w:pPr><w:pStyle w:val="Normal"/></w:pPr>
<w:r><w:t xml:space="preserve">probable that in all cases nuclear fusion takes place sooner or</w:t></w:r>
</w:p>
<w:p>
<w:pPr><w:pStyle w:val="Normal"/></w:pPr>
<w:r><w:t xml:space="preserve">later.  In Zygnemaceae and Mesocarpaceae the zygospore,</w:t></w:r>
</w:p>
<w:p>
<w:pPr><w:pStyle w:val="Normal"/></w:pPr>
<w:r><w:t xml:space="preserve">after a period of rest, germinates, to form a new filamentous</w:t></w:r>
</w:p>
<w:p>
<w:pPr><w:pStyle w:val="Normal"/></w:pPr>
<w:r><w:t xml:space="preserve">colony; in Desmidiaceae its contents divide on germination,</w:t></w:r>
</w:p>
<w:p>
<w:pPr><w:pStyle w:val="Normal"/></w:pPr>
<w:r><w:t xml:space="preserve">and thus give rise to two or more Desmids.  Gametes which fail</w:t></w:r>
</w:p>
<w:p>
<w:pPr><w:pStyle w:val="Normal"/></w:pPr>
<w:r><w:t xml:space="preserve">to conjugate sometimes assume the appearance of zygospores</w:t></w:r>
</w:p>
<w:p>
<w:pPr><w:pStyle w:val="Normal"/></w:pPr>
<w:r><w:t xml:space="preserve">and germinate in due course.  They are known as azygospores.</w:t></w:r>
</w:p>
<w:p>
<w:pPr><w:pStyle w:val="Normal"/></w:pPr>
<w:r><w:t xml:space="preserve">The reproduction of Characeae is characterized by a pronounced</w:t></w:r>
</w:p>
<w:p>
<w:pPr><w:pStyle w:val="Normal"/></w:pPr>
<w:r><w:t xml:space="preserve">oogamy, the reproductive organs being the most highly</w:t></w:r>
</w:p>
<w:p>
<w:pPr><w:pStyle w:val="Normal"/></w:pPr>
<w:r><w:t xml:space="preserve">differentiated among Chlorophyceae.  The antheridia and oogonia</w:t></w:r>
</w:p>
<w:p>
<w:pPr><w:pStyle w:val="Normal"/></w:pPr>
<w:r><w:t xml:space="preserve">are formed at the nodes of the appendages.  The oogonium,</w:t></w:r>
</w:p>
<w:p>
<w:pPr><w:pStyle w:val="Normal"/></w:pPr>
<w:r><w:t xml:space="preserve">seated on a stalk cell, is surrounded by an investment</w:t></w:r>
</w:p>
<w:p>
<w:pPr><w:pStyle w:val="Normal"/></w:pPr>
<w:r><w:t xml:space="preserve">consisting of five spirally-wound cells, from the projecting</w:t></w:r>
</w:p>
<w:p>
<w:pPr><w:pStyle w:val="Normal"/></w:pPr>
<w:r><w:t xml:space="preserve">ends of which segments are cut off, constituting the so-called</w:t></w:r>
</w:p>
<w:p>
<w:pPr><w:pStyle w:val="Normal"/></w:pPr>
<w:r><w:t xml:space="preserve">stigma.  The oosphere is not differentiated within the wall of</w:t></w:r>
</w:p>
<w:p>
<w:pPr><w:pStyle w:val="Normal"/></w:pPr>
<w:r><w:t xml:space="preserve">the oogonium, but certain cells known as wendungszellen, the</w:t></w:r>
</w:p>
<w:p>
<w:pPr><w:pStyle w:val="Normal"/></w:pPr>
<w:r><w:t xml:space="preserve">significance of which has given rise to much speculation, are</w:t></w:r>
</w:p>
<w:p>
<w:pPr><w:pStyle w:val="Normal"/></w:pPr>
<w:r><w:t xml:space="preserve">cut off from the basal portion of the parent-cell during its</w:t></w:r>
</w:p>
<w:p>
<w:pPr><w:pStyle w:val="Normal"/></w:pPr>
<w:r><w:t xml:space="preserve">development.  The antheridia are spherical orange-coloured</w:t></w:r>
</w:p>
<w:p>
<w:pPr><w:pStyle w:val="Normal"/></w:pPr>
<w:r><w:t xml:space="preserve">bodies of very complex structure.  The antherozoid is a</w:t></w:r>
</w:p>
<w:p>
<w:pPr><w:pStyle w:val="Normal"/></w:pPr>
<w:r><w:t xml:space="preserve">spirally-coiled thread of protoplasm, furnished at one</w:t></w:r>
</w:p>
<w:p>
<w:pPr><w:pStyle w:val="Normal"/></w:pPr>
<w:r><w:t xml:space="preserve">end with a pair of cilia.  It much more resembles the</w:t></w:r>
</w:p>
<w:p>
<w:pPr><w:pStyle w:val="Normal"/></w:pPr>
<w:r><w:t xml:space="preserve">antherozoids of Bryophyta and certain Pteridophyta than any</w:t></w:r>
</w:p>
<w:p>
<w:pPr><w:pStyle w:val="Normal"/></w:pPr>
<w:r><w:t xml:space="preserve">known among other algae.  The fertilized egg charged with</w:t></w:r>
</w:p>
<w:p>
<w:pPr><w:pStyle w:val="Normal"/></w:pPr>
<w:r><w:t xml:space="preserve">food reserves rests for a considerable period, surrounded</w:t></w:r>
</w:p>
<w:p>
<w:pPr><w:pStyle w:val="Normal"/></w:pPr>
<w:r><w:t xml:space="preserve">by its cortex, the whole having assumed a reddish-brown</w:t></w:r>
</w:p>
<w:p>
<w:pPr><w:pStyle w:val="Normal"/></w:pPr>
<w:r><w:t xml:space="preserve">colour.  On germination it gives rise to a row of cells in</w:t></w:r>
</w:p>
<w:p>
<w:pPr><w:pStyle w:val="Normal"/></w:pPr>
<w:r><w:t xml:space="preserve">which short (nodal) and long (internodal) cells alternate.</w:t></w:r>
</w:p>
<w:p>
<w:pPr><w:pStyle w:val="Normal"/></w:pPr>
<w:r><w:t xml:space="preserve">From the first node arise rhizoids; from the second a lateral</w:t></w:r>
</w:p>
<w:p>
<w:pPr><w:pStyle w:val="Normal"/></w:pPr>
<w:r><w:t xml:space="preserve">bud, which becomes the new plant.  This peculiar product of</w:t></w:r>
</w:p>
<w:p>
<w:pPr><w:pStyle w:val="Normal"/></w:pPr>
<w:r><w:t xml:space="preserve">germination, which intervenes between the oospore and the</w:t></w:r>
</w:p>
<w:p>
<w:pPr><w:pStyle w:val="Normal"/></w:pPr>
<w:r><w:t xml:space="preserve">adult form, is the proembryo.  It will be remembered that in</w:t></w:r>
</w:p>
<w:p>
<w:pPr><w:pStyle w:val="Normal"/></w:pPr>
<w:r><w:t xml:space="preserve">Musci, the asexual spore somewhat similarly gives rise to a</w:t></w:r>
</w:p>
<w:p>
<w:pPr><w:pStyle w:val="Normal"/></w:pPr>
<w:r><w:t xml:space="preserve">protonema, from which the adult plant is produced as a lateral</w:t></w:r>
</w:p>
<w:p>
<w:pPr><w:pStyle w:val="Normal"/></w:pPr>
<w:r><w:t xml:space="preserve">bud.  The proembryonic branches of Characeae, one of the</w:t></w:r>
</w:p>
<w:p>
<w:pPr><w:pStyle w:val="Normal"/></w:pPr>
<w:r><w:t xml:space="preserve">means of vegetative reproduction already referred to, are so</w:t></w:r>
</w:p>
<w:p>
<w:pPr><w:pStyle w:val="Normal"/></w:pPr>
<w:r><w:t xml:space="preserve">called because they repeat the characters of the proembryo.</w:t></w:r>
</w:p>
<w:p>
<w:pPr><w:pStyle w:val="Normal"/></w:pPr>
<w:r><w:t xml:space="preserve">Before leaving the Chlorophyceae, it should be mentioned</w:t></w:r>
</w:p>
<w:p>
<w:pPr><w:pStyle w:val="Normal"/></w:pPr>
<w:r><w:t xml:space="preserve">that the genus Volvox has been included by some zoologists</w:t></w:r>
</w:p>
<w:p>
<w:pPr><w:pStyle w:val="Normal"/></w:pPr>
<w:r><w:t xml:space="preserve">(Butschli, for example) among Flagellata; on the other hand,</w:t></w:r>
</w:p>
<w:p>
<w:pPr><w:pStyle w:val="Normal"/></w:pPr>
<w:r><w:t xml:space="preserve">certain green Flagellata, such as Euglena, are included by</w:t></w:r>
</w:p>
<w:p>
<w:pPr><w:pStyle w:val="Normal"/></w:pPr>
<w:r><w:t xml:space="preserve">some botanists (for example, van Tieghem) among unicellular</w:t></w:r>
</w:p>
<w:p>
<w:pPr><w:pStyle w:val="Normal"/></w:pPr>
<w:r><w:t xml:space="preserve">plants.  A similar uncertainty exists with reference to certain</w:t></w:r>
</w:p>
<w:p>
<w:pPr><w:pStyle w:val="Normal"/></w:pPr>
<w:r><w:t xml:space="preserve">groups of Phaeophyceae, and the matter will thus arise again.</w:t></w:r>
</w:p>
<w:p>
<w:pPr><w:pStyle w:val="Normal"/></w:pPr>
<w:r><w:t xml:space="preserve">A census of the Chlorophyceae is furnished below:--</w:t></w:r>
</w:p>
<w:p>
<w:pPr><w:pStyle w:val="Normal"/></w:pPr>
<w:r><w:t xml:space="preserve">1. Confervoideae---12 families, 77 genera, 1021 species.</w:t></w:r>
</w:p>
<w:p>
<w:pPr><w:pStyle w:val="Normal"/></w:pPr>
<w:r><w:t xml:space="preserve">2. Siphoneae--9 families, 26 genera, 271 species.</w:t></w:r>
</w:p>
<w:p>
<w:pPr><w:pStyle w:val="Normal"/></w:pPr>
<w:r><w:t xml:space="preserve">3. Protococcoideae--2 families, 90 genera, 342 species.</w:t></w:r>
</w:p>
<w:p>
<w:pPr><w:pStyle w:val="Normal"/></w:pPr>
<w:r><w:t xml:space="preserve">4. Conjugateae--2 families, 33 genera, 1296</w:t></w:r>
</w:p>
<w:p>
<w:pPr><w:pStyle w:val="Normal"/></w:pPr>
<w:r><w:t xml:space="preserve">species. (De Toni&apos;s Sylloge Algarum, 1889.)</w:t></w:r>
</w:p>
<w:p>
<w:pPr><w:pStyle w:val="Normal"/></w:pPr>
<w:r><w:t xml:space="preserve">5. Characeae--2 families, 6 genera, 181 species.</w:t></w:r>
</w:p>
<w:p>
<w:pPr><w:pStyle w:val="Normal"/></w:pPr>
<w:r><w:t xml:space="preserve">(Engler and Prantl&apos;s Pflanzenfamilien, 1897)</w:t></w:r>
</w:p>
<w:p>
<w:pPr><w:pStyle w:val="Heading1"/></w:pPr>
<w:r><w:t>III. PHAEOPHYCEAE.--The Phaeophyceae are distinguished</w:t></w:r>
</w:p>
<w:p>
<w:pPr><w:pStyle w:val="Normal"/></w:pPr>
<w:r><w:t xml:space="preserve">by the possession of a brown colouring matter, phycophaein,</w:t></w:r>
</w:p>
<w:p>
<w:pPr><w:pStyle w:val="Normal"/></w:pPr>
<w:r><w:t xml:space="preserve">in addition to chlorophyll.  They consist of the following</w:t></w:r>
</w:p>
<w:p>
<w:pPr><w:pStyle w:val="Normal"/></w:pPr>
<w:r><w:t xml:space="preserve">groups:--Fucaceae, Phaeosporeae; Dictyotaceae, Cryptomonadaceae,</w:t></w:r>
</w:p>
<w:p>
<w:pPr><w:pStyle w:val="Normal"/></w:pPr>
<w:r><w:t xml:space="preserve">Peridiniaceae and Diatomaceae.  Of these the first three</w:t></w:r>
</w:p>
<w:p>
<w:pPr><w:pStyle w:val="Normal"/></w:pPr>
<w:r><w:t xml:space="preserve">include multicellular plants, some of them of great size; the</w:t></w:r>
</w:p>
<w:p>
<w:pPr><w:pStyle w:val="Normal"/></w:pPr>
<w:r><w:t xml:space="preserve">last three are unicellular organisms, with little in common</w:t></w:r>
</w:p>
<w:p>
<w:pPr><w:pStyle w:val="Normal"/></w:pPr>
<w:r><w:t xml:space="preserve">with the rest excepting the possession of a brown colouring</w:t></w:r>
</w:p>
<w:p>
<w:pPr><w:pStyle w:val="Normal"/></w:pPr>
<w:r><w:t xml:space="preserve">matter.  Fucaceae and Phaeosporeae are doubtless closely</w:t></w:r>
</w:p>
<w:p>
<w:pPr><w:pStyle w:val="Normal"/></w:pPr>
<w:r><w:t xml:space="preserve">allied, and to these Dictyotaceae may be joined, though</w:t></w:r>
</w:p>
<w:p>
<w:pPr><w:pStyle w:val="Normal"/></w:pPr>
<w:r><w:t xml:space="preserve">the relationship is less close.  They constitute the</w:t></w:r>
</w:p>
<w:p>
<w:pPr><w:pStyle w:val="Normal"/></w:pPr>
<w:r><w:t xml:space="preserve">Euphaeophyceae, and will be dealt with in the first place.</w:t></w:r>
</w:p>
<w:p>
<w:pPr><w:pStyle w:val="Normal"/></w:pPr>
<w:r><w:t xml:space="preserve">Euphaeophyceae are almost exclusively marine, growing on</w:t></w:r>
</w:p>
<w:p>
<w:pPr><w:pStyle w:val="Normal"/></w:pPr>
<w:r><w:t xml:space="preserve">rocks and stones on the coast, or epiphytic upon other</w:t></w:r>
</w:p>
<w:p>
<w:pPr><w:pStyle w:val="Normal"/></w:pPr>
<w:r><w:t xml:space="preserve">algae.  In tidal seas they range from the limits of high water</w:t></w:r>
</w:p>
<w:p>
<w:pPr><w:pStyle w:val="Normal"/></w:pPr>
<w:r><w:t xml:space="preserve">to some distance beyond the low-water line.  On the British</w:t></w:r>
</w:p>
<w:p>
<w:pPr><w:pStyle w:val="Normal"/></w:pPr>
<w:r><w:t xml:space="preserve">coasts zones are observable in passing from high to low water</w:t></w:r>
</w:p>
<w:p>
<w:pPr><w:pStyle w:val="Normal"/></w:pPr>
<w:r><w:t xml:space="preserve">mark, characterized by the prevalence of different species,</w:t></w:r>
</w:p>
<w:p>
<w:pPr><w:pStyle w:val="Normal"/></w:pPr>
<w:r><w:t xml:space="preserve">thus:---Pelvetia canaliculata, Fucus platycarpus, Fucus</w:t></w:r>
</w:p>
<w:p>
<w:pPr><w:pStyle w:val="Normal"/></w:pPr>
<w:r><w:t xml:space="preserve">vesiculosus, Ascophyllum nodosum, Fucus serratus, Laminaria</w:t></w:r>
</w:p>
<w:p>
<w:pPr><w:pStyle w:val="Normal"/></w:pPr>
<w:r><w:t xml:space="preserve">digitata. Some species are minute filamentous plants, requiring</w:t></w:r>
</w:p>
<w:p>
<w:pPr><w:pStyle w:val="Normal"/></w:pPr>
<w:r><w:t xml:space="preserve">the microscope for their detection; others, like Lessonia,</w:t></w:r>
</w:p>
<w:p>
<w:pPr><w:pStyle w:val="Normal"/></w:pPr>
<w:r><w:t xml:space="preserve">are of considerable bulk, or, like Macrocystis, of enormous</w:t></w:r>
</w:p>
<w:p>
<w:pPr><w:pStyle w:val="Normal"/></w:pPr>
<w:r><w:t xml:space="preserve">length.  In Fucaceae, Dictyotacea, and in Laminariaceae and</w:t></w:r>
</w:p>
<w:p>
<w:pPr><w:pStyle w:val="Normal"/></w:pPr>
<w:r><w:t xml:space="preserve">Sphacelariaceae, among Phaeosporeae, the thallus consists of</w:t></w:r>
</w:p>
<w:p>
<w:pPr><w:pStyle w:val="Normal"/></w:pPr>
<w:r><w:t xml:space="preserve">a true parenchyma; elsewhere it consists of free filaments,</w:t></w:r>
</w:p>
<w:p>
<w:pPr><w:pStyle w:val="Normal"/></w:pPr>
<w:r><w:t xml:space="preserve">or filaments so compacted together, as in Cutleriaceae and</w:t></w:r>
</w:p>
<w:p>
<w:pPr><w:pStyle w:val="Normal"/></w:pPr>
<w:r><w:t xml:space="preserve">Desmarestiaceae, as to form a false parenchyma.  In Fucaceae</w:t></w:r>
</w:p>
<w:p>
<w:pPr><w:pStyle w:val="Normal"/></w:pPr>
<w:r><w:t xml:space="preserve">and Laminariaceae the inner tissue is differentiated into</w:t></w:r>
</w:p>
<w:p>
<w:pPr><w:pStyle w:val="Normal"/></w:pPr>
<w:r><w:t xml:space="preserve">a conducting system.  In Laminariaceae the inflation of</w:t></w:r>
</w:p>
<w:p>
<w:pPr><w:pStyle w:val="Normal"/></w:pPr>
<w:r><w:t xml:space="preserve">the ends of conducting cells gives rise to the so-called</w:t></w:r>
</w:p>
<w:p>
<w:pPr><w:pStyle w:val="Normal"/></w:pPr>
<w:r><w:t xml:space="preserve">trumpet-hyphae.  In Nereocystis and Macrocystis a zone</w:t></w:r>
</w:p>
<w:p>
<w:pPr><w:pStyle w:val="Normal"/></w:pPr>
<w:r><w:t xml:space="preserve">of tubes occurs, which present the appearance of sieve-tubes</w:t></w:r>
</w:p>
<w:p>
<w:pPr><w:pStyle w:val="Normal"/></w:pPr>
<w:r><w:t xml:space="preserve">even to the eventual obliteration of the perforations by a</w:t></w:r>
</w:p>
<w:p>
<w:pPr><w:pStyle w:val="Normal"/></w:pPr>
<w:r><w:t xml:space="preserve">callus.  While there is a general tendency in the group to</w:t></w:r>
</w:p>
<w:p>
<w:pPr><w:pStyle w:val="Normal"/></w:pPr>
<w:r><w:t xml:space="preserve">mucilaginous degeneration of the cell-wall, in Laminaria</w:t></w:r>
</w:p>
<w:p>
<w:pPr><w:pStyle w:val="Normal"/></w:pPr>
<w:r><w:t xml:space="preserve">digitata there are also glands secreting a plentiful</w:t></w:r>
</w:p>
<w:p>
<w:pPr><w:pStyle w:val="Normal"/></w:pPr>
<w:r><w:t xml:space="preserve">mucilage.  Secondary growth in thickness is effected by</w:t></w:r>
</w:p>
<w:p>
<w:pPr><w:pStyle w:val="Normal"/></w:pPr>
<w:r><w:t xml:space="preserve">the tangential division of superficial cells.  The most</w:t></w:r>
</w:p>
<w:p>
<w:pPr><w:pStyle w:val="Normal"/></w:pPr>
<w:r><w:t xml:space="preserve">fundamental external differentiation is into holdfast and</w:t></w:r>
</w:p>
<w:p>
<w:pPr><w:pStyle w:val="Normal"/></w:pPr>
<w:r><w:t xml:space="preserve">shoot.  In Laminariaceae secondary cylindrical props arise</w:t></w:r>
</w:p>
<w:p>
<w:pPr><w:pStyle w:val="Normal"/></w:pPr>
<w:r><w:t xml:space="preserve">obliquely from the base of the thallus.  In epiphytic forms</w:t></w:r>
</w:p>
<w:p>
<w:pPr><w:pStyle w:val="Normal"/></w:pPr>
<w:r><w:t xml:space="preserve">the rhizoids of the epiphyte often penetrate into the tissue</w:t></w:r>
</w:p>
<w:p>
<w:pPr><w:pStyle w:val="Normal"/></w:pPr>
<w:r><w:t xml:space="preserve">of the host, and certain epiphytes are not known to occur</w:t></w:r>
</w:p>
<w:p>
<w:pPr><w:pStyle w:val="Normal"/></w:pPr>
<w:r><w:t xml:space="preserve">excepting in connexion with a certain host; but to what</w:t></w:r>
</w:p>
<w:p>
<w:pPr><w:pStyle w:val="Normal"/></w:pPr>
<w:r><w:t xml:space="preserve">extent, if any, there is a partial parasitism in these cases</w:t></w:r>
</w:p>
<w:p>
<w:pPr><w:pStyle w:val="Normal"/></w:pPr>
<w:r><w:t xml:space="preserve">has not been ascertained.  In filamentous forms there is</w:t></w:r>
</w:p>
<w:p>
<w:pPr><w:pStyle w:val="Normal"/></w:pPr>
<w:r><w:t xml:space="preserve">a differentiation into branches of limited and branches of</w:t></w:r>
</w:p>
<w:p>
<w:pPr><w:pStyle w:val="Normal"/></w:pPr>
<w:r><w:t xml:space="preserve">unlimited growth (Sphacelaria.) In Laminariaceae there is a</w:t></w:r>
</w:p>
<w:p>
<w:pPr><w:pStyle w:val="Normal"/></w:pPr>
<w:r><w:t xml:space="preserve">distinction of stipe and blade.  The blade is centrally-ribbed</w:t></w:r>
</w:p>
<w:p>
<w:pPr><w:pStyle w:val="Normal"/></w:pPr>
<w:r><w:t xml:space="preserve">in Alaria and laterally-ribbed in Macrocystis. It is</w:t></w:r>
</w:p>
<w:p>
<w:pPr><w:pStyle w:val="Normal"/></w:pPr>
<w:r><w:t xml:space="preserve">among the Sargassaceae that the greatest amount of external</w:t></w:r>
</w:p>
<w:p>
<w:pPr><w:pStyle w:val="Normal"/></w:pPr>
<w:r><w:t xml:space="preserve">differentiation, rivalling that of the higher leafy plants, is</w:t></w:r>
</w:p>
<w:p>
<w:pPr><w:pStyle w:val="Normal"/></w:pPr>
<w:r><w:t xml:space="preserve">reached.  A characteristic feature of the more massive</w:t></w:r>
</w:p>
<w:p>
<w:pPr><w:pStyle w:val="Normal"/></w:pPr>
<w:r><w:t xml:space="preserve">species is the occurrence of air-vesicles in their tissues.</w:t></w:r>
</w:p>
<w:p>
<w:pPr><w:pStyle w:val="Normal"/></w:pPr>
<w:r><w:t xml:space="preserve">In Fucus vesiculosus they arise in lateral pairs; in</w:t></w:r>
</w:p>
<w:p>
<w:pPr><w:pStyle w:val="Normal"/></w:pPr>
<w:r><w:t xml:space="preserve">Ascophyllum they are single and median; in Macrocystis</w:t></w:r>
</w:p>
<w:p>
<w:pPr><w:pStyle w:val="Normal"/></w:pPr>
<w:r><w:t xml:space="preserve">one vesicle arises at the base of each thallus segment; in</w:t></w:r>
</w:p>
<w:p>
<w:pPr><w:pStyle w:val="Normal"/></w:pPr>
<w:r><w:t xml:space="preserve">Sargassum and Halidrys the vesicles arise on special</w:t></w:r>
</w:p>
<w:p>
<w:pPr><w:pStyle w:val="Normal"/></w:pPr>
<w:r><w:t xml:space="preserve">branches.  They serve to buoy up the plant when attached to the</w:t></w:r>
</w:p>
<w:p>
<w:pPr><w:pStyle w:val="Normal"/></w:pPr>
<w:r><w:t xml:space="preserve">sea-bottom, and thus light is admitted into the forest-like</w:t></w:r>
</w:p>
<w:p>
<w:pPr><w:pStyle w:val="Normal"/></w:pPr>
<w:r><w:t xml:space="preserve">growths of the gregarious species.  When such plants are</w:t></w:r>
</w:p>
<w:p>
<w:pPr><w:pStyle w:val="Normal"/></w:pPr>
<w:r><w:t xml:space="preserve">detached they are enabled to float for great distances, and</w:t></w:r>
</w:p>
<w:p>
<w:pPr><w:pStyle w:val="Normal"/></w:pPr>
<w:r><w:t xml:space="preserve">the great Sargasso Sea of the North Atlantic Ocean is probably</w:t></w:r>
</w:p>
<w:p>
<w:pPr><w:pStyle w:val="Normal"/></w:pPr>
<w:r><w:t xml:space="preserve">only renewed by the constant addition of plants detached</w:t></w:r>
</w:p>
<w:p>
<w:pPr><w:pStyle w:val="Normal"/></w:pPr>
<w:r><w:t xml:space="preserve">from the shores of the Caribbean Sea and Gulf of Mexico.</w:t></w:r>
</w:p>
<w:p>
<w:pPr><w:pStyle w:val="Normal"/></w:pPr>
<w:r><w:t xml:space="preserve">Growth in length is effected in a variety of ways.  In Dictyota</w:t></w:r>
</w:p>
<w:p>
<w:pPr><w:pStyle w:val="Normal"/></w:pPr>
<w:r><w:t xml:space="preserve">Sphacelariaceae and Fucaceae there is a definite apical</w:t></w:r>
</w:p>
<w:p>
<w:pPr><w:pStyle w:val="Normal"/></w:pPr>
<w:r><w:t xml:space="preserve">cell.  In the first it is a biconvex lens, from which segments</w:t></w:r>
</w:p>
<w:p>
<w:pPr><w:pStyle w:val="Normal"/></w:pPr>
<w:r><w:t xml:space="preserve">are continually cut off parallel to the posterior surface;</w:t></w:r>
</w:p>
<w:p>
<w:pPr><w:pStyle w:val="Normal"/></w:pPr>
<w:r><w:t xml:space="preserve">and in the second an elongated dome, from which segments are</w:t></w:r>
</w:p>
<w:p>
<w:pPr><w:pStyle w:val="Normal"/></w:pPr>
<w:r><w:t xml:space="preserve">cut off by a transverse wall.  While, however, in Dictyota</w:t></w:r>
</w:p>
<w:p>
<w:pPr><w:pStyle w:val="Normal"/></w:pPr>
<w:r><w:t xml:space="preserve">the product of the subsequent division in the segment enlarges</w:t></w:r>
</w:p>
<w:p>
<w:pPr><w:pStyle w:val="Normal"/></w:pPr>
<w:r><w:t xml:space="preserve">with each subdivision, the divisions in the cylindrical</w:t></w:r>
</w:p>
<w:p>
<w:pPr><w:pStyle w:val="Normal"/></w:pPr>
<w:r><w:t xml:space="preserve">segment of Sphacelariaceae are such that the whole product</w:t></w:r>
</w:p>
<w:p>
<w:pPr><w:pStyle w:val="Normal"/></w:pPr>
<w:r><w:t xml:space="preserve">after subdivision, however many cells it may consist of, does</w:t></w:r>
</w:p>
<w:p>
<w:pPr><w:pStyle w:val="Normal"/></w:pPr>
<w:r><w:t xml:space="preserve">not exceed in bulk the segment as cut off from the apical</w:t></w:r>
</w:p>
<w:p>
<w:pPr><w:pStyle w:val="Normal"/></w:pPr>
<w:r><w:t xml:space="preserve">cell.  In Dictyotaceae the apical cell occasionally divides</w:t></w:r>
</w:p>
<w:p>
<w:pPr><w:pStyle w:val="Normal"/></w:pPr>
<w:r><w:t xml:space="preserve">longitudinally, and thus the dichotomous branching is provided</w:t></w:r>
</w:p>
<w:p>
<w:pPr><w:pStyle w:val="Normal"/></w:pPr>
<w:r><w:t xml:space="preserve">for.  In some Sphacelariaceae branches may appear at their</w:t></w:r>
</w:p>
<w:p>
<w:pPr><w:pStyle w:val="Normal"/></w:pPr>
<w:r><w:t xml:space="preserve">inception as lateral protuberances of the apical cell itself.</w:t></w:r>
</w:p>
<w:p>
<w:pPr><w:pStyle w:val="Normal"/></w:pPr>
<w:r><w:t xml:space="preserve">In Fucaceae an apical cell is situate at the surface of the</w:t></w:r>
</w:p>
<w:p>
<w:pPr><w:pStyle w:val="Normal"/></w:pPr>
<w:r><w:t xml:space="preserve">thallus in a slit-like depression at the apex.  From this cell</w:t></w:r>
</w:p>
<w:p>
<w:pPr><w:pStyle w:val="Normal"/></w:pPr>
<w:r><w:t xml:space="preserve">segments are cut off in three or four lateral oblique planes.</w:t></w:r>
</w:p>
<w:p>
<w:pPr><w:pStyle w:val="Normal"/></w:pPr>
<w:r><w:t xml:space="preserve">A peculiar manner of growth in length is that to which the term</w:t></w:r>
</w:p>
<w:p>
<w:pPr><w:pStyle w:val="Normal"/></w:pPr>
<w:r><w:t xml:space="preserve">trichothallic has been applied.  It may readily be observed</w:t></w:r>
</w:p>
<w:p>
<w:pPr><w:pStyle w:val="Normal"/></w:pPr>
<w:r><w:t xml:space="preserve">that in the hair-like branches of Ectocarpaceae, the point at</w:t></w:r>
</w:p>
<w:p>
<w:pPr><w:pStyle w:val="Normal"/></w:pPr>
<w:r><w:t xml:space="preserve">which most rapid division occurs is situate near the base of the</w:t></w:r>
</w:p>
<w:p>
<w:pPr><w:pStyle w:val="Normal"/></w:pPr>
<w:r><w:t xml:space="preserve">hair.  In Desmarestia and Arthrocladia, for example, it is</w:t></w:r>
</w:p>
<w:p>
<w:pPr><w:pStyle w:val="Normal"/></w:pPr>
<w:r><w:t xml:space="preserve">found that the thallus ends in a tuft of such hairs, each of</w:t></w:r>
</w:p>
<w:p>
<w:pPr><w:pStyle w:val="Normal"/></w:pPr>
<w:r><w:t xml:space="preserve">them growing by means of an intercalated growing point.  In these</w:t></w:r>
</w:p>
<w:p>
<w:pPr><w:pStyle w:val="Normal"/></w:pPr>
<w:r><w:t xml:space="preserve">cases, however, the portions of the hairs behind the growing</w:t></w:r>
</w:p>
<w:p>
<w:pPr><w:pStyle w:val="Normal"/></w:pPr>
<w:r><w:t xml:space="preserve">region become agglutinated together into a solid cylindrical</w:t></w:r>
</w:p>
<w:p>
<w:pPr><w:pStyle w:val="Normal"/></w:pPr>
<w:r><w:t xml:space="preserve">pseudo-parenchymatous axis.  In Cutleria the laminated thallus</w:t></w:r>
</w:p>
<w:p>
<w:pPr><w:pStyle w:val="Normal"/></w:pPr>
<w:r><w:t xml:space="preserve">is formed in the same way.  The intercalated growing region of</w:t></w:r>
</w:p>
<w:p>
<w:pPr><w:pStyle w:val="Normal"/></w:pPr>
<w:r><w:t xml:space="preserve">Laminaria affords an example of another variety of growth in</w:t></w:r>
</w:p>
<w:p>
<w:pPr><w:pStyle w:val="Normal"/></w:pPr>
<w:r><w:t xml:space="preserve">Phaeophyceae.  While the laminated portion of the thallus is</w:t></w:r>
</w:p>
<w:p>
<w:pPr><w:pStyle w:val="Normal"/></w:pPr>
<w:r><w:t xml:space="preserve">being gradually worn off in our latitudes during the autumnal</w:t></w:r>
</w:p>
<w:p>
<w:pPr><w:pStyle w:val="Normal"/></w:pPr>
<w:r><w:t xml:space="preserve">storms, a vigorous new growth appears at the junction of</w:t></w:r>
</w:p>
<w:p>
<w:pPr><w:pStyle w:val="Normal"/></w:pPr>
<w:r><w:t xml:space="preserve">the stipe and the blade, as the result of which a new piece</w:t></w:r>
</w:p>
<w:p>
<w:pPr><w:pStyle w:val="Normal"/></w:pPr>
<w:r><w:t xml:space="preserve">is added to the stipe and the lamina entirely renovated.</w:t></w:r>
</w:p>
<w:p>
<w:pPr><w:pStyle w:val="Normal"/></w:pPr>
<w:r><w:t xml:space="preserve">Both asexual and sexual reproduction occur among Euphaeophyceae.</w:t></w:r>
</w:p>
<w:p>
<w:pPr><w:pStyle w:val="Normal"/></w:pPr>
<w:r><w:t xml:space="preserve">Fucaceae are marked by an entire absence of the asexual</w:t></w:r>
</w:p>
<w:p>
<w:pPr><w:pStyle w:val="Normal"/></w:pPr>
<w:r><w:t xml:space="preserve">method.  The sexual organs--oogonia and antheridia---are</w:t></w:r>
</w:p>
<w:p>
<w:pPr><w:pStyle w:val="Normal"/></w:pPr>
<w:r><w:t xml:space="preserve">borne on special portions of the thallus in cavities known as</w:t></w:r>
</w:p>
<w:p>
<w:pPr><w:pStyle w:val="Normal"/></w:pPr>
<w:r><w:t xml:space="preserve">conceptacles.  Both organs may occur in one conceptacle, as</w:t></w:r>
</w:p>
<w:p>
<w:pPr><w:pStyle w:val="Normal"/></w:pPr>
<w:r><w:t xml:space="preserve">in Pelvetia, or each may be confined to one conceptacle</w:t></w:r>
</w:p>
<w:p>
<w:pPr><w:pStyle w:val="Normal"/></w:pPr>
<w:r><w:t xml:space="preserve">or even one plant, as in Fucus vesiculosus. The oogonia</w:t></w:r>
</w:p>
<w:p>
<w:pPr><w:pStyle w:val="Normal"/></w:pPr>
<w:r><w:t xml:space="preserve">arise on a stalk cell from the lining layer of the cavity, the</w:t></w:r>
</w:p>
<w:p>
<w:pPr><w:pStyle w:val="Normal"/></w:pPr>
<w:r><w:t xml:space="preserve">contents dividing to form eight oospheres as in Fucus, four</w:t></w:r>
</w:p>
<w:p>
<w:pPr><w:pStyle w:val="Normal"/></w:pPr>
<w:r><w:t xml:space="preserve">as in Ascophyllum, two as in Pelvetia, or one only as in</w:t></w:r>
</w:p>
<w:p>
<w:pPr><w:pStyle w:val="Normal"/></w:pPr>
<w:r><w:t xml:space="preserve">Hallidrys. It would seem that eight nuclei primarily arise</w:t></w:r>
</w:p>
<w:p>
<w:pPr><w:pStyle w:val="Normal"/></w:pPr>
<w:r><w:t xml:space="preserve">in all Fucaceae, and that a number corresponding to the number</w:t></w:r>
</w:p>
<w:p>
<w:pPr><w:pStyle w:val="Normal"/></w:pPr>
<w:r><w:t xml:space="preserve">of oospheres subsequently formed is reserved, the rest being</w:t></w:r>
</w:p>
<w:p>
<w:pPr><w:pStyle w:val="Normal"/></w:pPr>
<w:r><w:t xml:space="preserve">discharged to the periphery, where they may be detected at a late</w:t></w:r>
</w:p>
<w:p>
<w:pPr><w:pStyle w:val="Normal"/></w:pPr>
<w:r><w:t xml:space="preserve">stage.  On the maturation of the oospheres the outer layer of</w:t></w:r>
</w:p>
<w:p>
<w:pPr><w:pStyle w:val="Normal"/></w:pPr>
<w:r><w:t xml:space="preserve">the oogonial wall ruptures, and the oospheres, still surrounded</w:t></w:r>
</w:p>
<w:p>
<w:pPr><w:pStyle w:val="Normal"/></w:pPr>
<w:r><w:t xml:space="preserve">by a middle and inner layer, pass out through the mouth of the</w:t></w:r>
</w:p>
<w:p>
<w:pPr><w:pStyle w:val="Normal"/></w:pPr>
<w:r><w:t xml:space="preserve">conceptacle.  Then usually these layers successively give</w:t></w:r>
</w:p>
<w:p>
<w:pPr><w:pStyle w:val="Normal"/></w:pPr>
<w:r><w:t xml:space="preserve">way, and the spherical naked oospheres float free in the</w:t></w:r>
</w:p>
<w:p>
<w:pPr><w:pStyle w:val="Normal"/></w:pPr>
<w:r><w:t xml:space="preserve">water.  The antheridia, which arise in the conceptacular cavity</w:t></w:r>
</w:p>
<w:p>
<w:pPr><w:pStyle w:val="Normal"/></w:pPr>
<w:r><w:t xml:space="preserve">as special cells of branched filaments, are similarly discharged</w:t></w:r>
</w:p>
<w:p>
<w:pPr><w:pStyle w:val="Normal"/></w:pPr>
<w:r><w:t xml:space="preserve">whole, the antherozoids only escaping when the antheridia</w:t></w:r>
</w:p>
<w:p>
<w:pPr><w:pStyle w:val="Normal"/></w:pPr>
<w:r><w:t xml:space="preserve">are clear of the conceptacle.  The antherozoids are attracted</w:t></w:r>
</w:p>
<w:p>
<w:pPr><w:pStyle w:val="Normal"/></w:pPr>
<w:r><w:t xml:space="preserve">to the oospheres, round each of which they swarm in great</w:t></w:r>
</w:p>
<w:p>
<w:pPr><w:pStyle w:val="Normal"/></w:pPr>
<w:r><w:t xml:space="preserve">numbers.  Suddenly the attraction ceases, and the oosphere is</w:t></w:r>
</w:p>
<w:p>
<w:pPr><w:pStyle w:val="Normal"/></w:pPr>
<w:r><w:t xml:space="preserve">fertilized, probably at that moment, by the entry of a single</w:t></w:r>
</w:p>
<w:p>
<w:pPr><w:pStyle w:val="Normal"/></w:pPr>
<w:r><w:t xml:space="preserve">antherozoid into the substance of the oosphere; a cell-wall</w:t></w:r>
</w:p>
<w:p>
<w:pPr><w:pStyle w:val="Normal"/></w:pPr>
<w:r><w:t xml:space="preserve">is formed thereupon, in some cases in so short an interval</w:t></w:r>
</w:p>
<w:p>
<w:pPr><w:pStyle w:val="Normal"/></w:pPr>
<w:r><w:t xml:space="preserve">as five minutes.  Remarkable changes of size and outline of</w:t></w:r>
</w:p>
<w:p>
<w:pPr><w:pStyle w:val="Normal"/></w:pPr>
<w:r><w:t xml:space="preserve">the oosphere have recently been described as accompanying</w:t></w:r>
</w:p>
<w:p>
<w:pPr><w:pStyle w:val="Normal"/></w:pPr>
<w:r><w:t xml:space="preserve">fertilization in Hallidrys. Probably the act of fertilization</w:t></w:r>
</w:p>
<w:p>
<w:pPr><w:pStyle w:val="Normal"/></w:pPr>
<w:r><w:t xml:space="preserve">in plants has nowhere been observed in such detail as in</w:t></w:r>
</w:p>
<w:p>
<w:pPr><w:pStyle w:val="Normal"/></w:pPr>
<w:r><w:t xml:space="preserve">Fucaceae.  Dictyotaceae resemble Fucaceae in their pronounced</w:t></w:r>
</w:p>
<w:p>
<w:pPr><w:pStyle w:val="Normal"/></w:pPr>
<w:r><w:t xml:space="preserve">oogamy.  They differ, however, in being also asexually</w:t></w:r>
</w:p>
<w:p>
<w:pPr><w:pStyle w:val="Normal"/></w:pPr>
<w:r><w:t xml:space="preserve">reproduced.  The asexual cells are immotile spores arising in</w:t></w:r>
</w:p>
<w:p>
<w:pPr><w:pStyle w:val="Normal"/></w:pPr>
<w:r><w:t xml:space="preserve">fours in sporangia from superficial cells of the thallus.  In</w:t></w:r>
</w:p>
<w:p>
<w:pPr><w:pStyle w:val="Normal"/></w:pPr>
<w:r><w:t xml:space="preserve">Dictyota the oospheres arise singly in oogonia, crowded together</w:t></w:r>
</w:p>
<w:p>
<w:pPr><w:pStyle w:val="Normal"/></w:pPr>
<w:r><w:t xml:space="preserve">in sori on the surface of the female plant.  The antheridia</w:t></w:r>
</w:p>
<w:p>
<w:pPr><w:pStyle w:val="Normal"/></w:pPr>
<w:r><w:t xml:space="preserve">have a similar origin and grouping on the male plant.  Until the</w:t></w:r>
</w:p>
<w:p>
<w:pPr><w:pStyle w:val="Normal"/></w:pPr>
<w:r><w:t xml:space="preserve">recent discovery by Williams of motility, by means of a single</w:t></w:r>
</w:p>
<w:p>
<w:pPr><w:pStyle w:val="Normal"/></w:pPr>
<w:r><w:t xml:space="preserve">cilium, of the antherozoids of Dictyota and Taonia, they</w:t></w:r>
</w:p>
<w:p>
<w:pPr><w:pStyle w:val="Normal"/></w:pPr>
<w:r><w:t xml:space="preserve">were believed to be immotile bodies, like the male cells of</w:t></w:r>
</w:p>
<w:p>
<w:pPr><w:pStyle w:val="Normal"/></w:pPr>
<w:r><w:t xml:space="preserve">red seaweeds. in Dictyota the unfertilized oosphere is found</w:t></w:r>
</w:p>
<w:p>
<w:pPr><w:pStyle w:val="Normal"/></w:pPr>
<w:r><w:t xml:space="preserve">to be capable of undergoing a limited number of divisions,</w:t></w:r>
</w:p>
<w:p>
<w:pPr><w:pStyle w:val="Normal"/></w:pPr>
<w:r><w:t xml:space="preserve">but the body thus formed appears to atrophy sooner or later.</w:t></w:r>
</w:p>
<w:p>
<w:pPr><w:pStyle w:val="Normal"/></w:pPr>
<w:r><w:t xml:space="preserve">Of the small family of the Tilopteridaceae our knowledge is</w:t></w:r>
</w:p>
<w:p>
<w:pPr><w:pStyle w:val="Normal"/></w:pPr>
<w:r><w:t xml:space="preserve">as yet inadequate, but they probably present the only case of</w:t></w:r>
</w:p>
<w:p>
<w:pPr><w:pStyle w:val="Normal"/></w:pPr>
<w:r><w:t xml:space="preserve">pronounced oogamy among Phaeosporeae.  They are filamentous</w:t></w:r>
</w:p>
<w:p>
<w:pPr><w:pStyle w:val="Normal"/></w:pPr>
<w:r><w:t xml:space="preserve">forms, exhibiting, however, a tendency to division in more</w:t></w:r>
</w:p>
<w:p>
<w:pPr><w:pStyle w:val="Normal"/></w:pPr>
<w:r><w:t xml:space="preserve">than one plane, even in the vegetative parts.  The discovery</w:t></w:r>
</w:p>
<w:p>
<w:pPr><w:pStyle w:val="Normal"/></w:pPr>
<w:r><w:t xml:space="preserve">by Brebner of the specific identity of Haplospora globosa and</w:t></w:r>
</w:p>
<w:p>
<w:pPr><w:pStyle w:val="Normal"/></w:pPr>
<w:r><w:t xml:space="preserve">Scaphospora speciosa marks an important step in the advance of</w:t></w:r>
</w:p>
<w:p>
<w:pPr><w:pStyle w:val="Normal"/></w:pPr>
<w:r><w:t xml:space="preserve">our knowledge of the group.  Three kinds of reproductive organs</w:t></w:r>
</w:p>
<w:p>
<w:pPr><w:pStyle w:val="Normal"/></w:pPr>
<w:r><w:t xml:space="preserve">are known: first, sporangia, which each give rise to a single</w:t></w:r>
</w:p>
<w:p>
<w:pPr><w:pStyle w:val="Normal"/></w:pPr>
<w:r><w:t xml:space="preserve">tetra-, or multi-nucleate non-motile, probably asexual spore;</w:t></w:r>
</w:p>
<w:p>
<w:pPr><w:pStyle w:val="Normal"/></w:pPr>
<w:r><w:t xml:space="preserve">second, plurilocular sporangia, which are probably antheridia,</w:t></w:r>
</w:p>
<w:p>
<w:pPr><w:pStyle w:val="Normal"/></w:pPr>
<w:r><w:t xml:space="preserve">generating antherozoids; and third, sporangia, which are</w:t></w:r>
</w:p>
<w:p>
<w:pPr><w:pStyle w:val="Normal"/></w:pPr>
<w:r><w:t xml:space="preserve">probably oogonia, giving rise to single uni- nucleate non-motile</w:t></w:r>
</w:p>
<w:p>
<w:pPr><w:pStyle w:val="Normal"/></w:pPr>
<w:r><w:t xml:space="preserve">oospheres.  No process of fertilization has as yet been observed.</w:t></w:r>
</w:p>
<w:p>
<w:pPr><w:pStyle w:val="Normal"/></w:pPr>
<w:r><w:t xml:space="preserve">The Cutleriaceae exhibit a heterogamy in which the female sexual</w:t></w:r>
</w:p>
<w:p>
<w:pPr><w:pStyle w:val="Normal"/></w:pPr>
<w:r><w:t xml:space="preserve">cell is not highly specialized, as is in the groups already</w:t></w:r>
</w:p>
<w:p>
<w:pPr><w:pStyle w:val="Normal"/></w:pPr>
<w:r><w:t xml:space="preserve">described.  From each locule of a plurilocular sporangium there</w:t></w:r>
</w:p>
<w:p>
<w:pPr><w:pStyle w:val="Normal"/></w:pPr>
<w:r><w:t xml:space="preserve">is set free an oosphere, which, being furnished with a pair</w:t></w:r>
</w:p>
<w:p>
<w:pPr><w:pStyle w:val="Normal"/></w:pPr>
<w:r><w:t xml:space="preserve">of cilia, swarms for a time.  In similar organs on separate</w:t></w:r>
</w:p>
<w:p>
<w:pPr><w:pStyle w:val="Normal"/></w:pPr>
<w:r><w:t xml:space="preserve">plants the much smaller antherozoids arise.  Fertilization has</w:t></w:r>
</w:p>
<w:p>
<w:pPr><w:pStyle w:val="Normal"/></w:pPr>
<w:r><w:t xml:space="preserve">been observed at Naples; but it apparently depends on climatic</w:t></w:r>
</w:p>
<w:p>
<w:pPr><w:pStyle w:val="Normal"/></w:pPr>
<w:r><w:t xml:space="preserve">conditions, as at Plymouth the oospheres have been observed to</w:t></w:r>
</w:p>
<w:p>
<w:pPr><w:pStyle w:val="Normal"/></w:pPr>
<w:r><w:t xml:space="preserve">germinate parthenogenetically.  The asexual organs in the case</w:t></w:r>
</w:p>
<w:p>
<w:pPr><w:pStyle w:val="Normal"/></w:pPr>
<w:r><w:t xml:space="preserve">of Cutleria multifida arise on a crustaceous form, Aglaozonia</w:t></w:r>
</w:p>
<w:p>
<w:pPr><w:pStyle w:val="Normal"/></w:pPr>
<w:r><w:t xml:space="preserve">reptans, formerly considered to be a distinct species.  They</w:t></w:r>
</w:p>
<w:p>
<w:pPr><w:pStyle w:val="Normal"/></w:pPr>
<w:r><w:t xml:space="preserve">are unilocular, each producing a small number of zoospores.</w:t></w:r>
</w:p>
<w:p>
<w:pPr><w:pStyle w:val="Normal"/></w:pPr>
<w:r><w:t xml:space="preserve">The possession of two kinds of reproductive organs, unilocular</w:t></w:r>
</w:p>
<w:p>
<w:pPr><w:pStyle w:val="Normal"/></w:pPr>
<w:r><w:t xml:space="preserve">and plurilocular sporangia, is general among the rest of the</w:t></w:r>
</w:p>
<w:p>
<w:pPr><w:pStyle w:val="Normal"/></w:pPr>
<w:r><w:t xml:space="preserve">Phaeosporeae.  Bornet, however, called attention in 1871 to</w:t></w:r>
</w:p>
<w:p>
<w:pPr><w:pStyle w:val="Normal"/></w:pPr>
<w:r><w:t xml:space="preserve">the fact that two kinds of plurilocular sporangia occurred in</w:t></w:r>
</w:p>
<w:p>
<w:pPr><w:pStyle w:val="Normal"/></w:pPr>
<w:r><w:t xml:space="preserve">certain species of the genus Ectocarpus--somewhat transparent</w:t></w:r>
</w:p>
<w:p>
<w:pPr><w:pStyle w:val="Normal"/></w:pPr>
<w:r><w:t xml:space="preserve">organs of an orange tint producing small zoospores, and also</w:t></w:r>
</w:p>
<w:p>
<w:pPr><w:pStyle w:val="Normal"/></w:pPr>
<w:r><w:t xml:space="preserve">more opaque organs of a darker colour producing relatively larger</w:t></w:r>
</w:p>
<w:p>
<w:pPr><w:pStyle w:val="Normal"/></w:pPr>
<w:r><w:t xml:space="preserve">zoospores.  On the discovery of another such species by F.</w:t></w:r>
</w:p>
<w:p>
<w:pPr><w:pStyle w:val="Normal"/></w:pPr>
<w:r><w:t xml:space="preserve">H. Buffham, Batters in 1892 separated the three species,</w:t></w:r>
</w:p>
<w:p>
<w:pPr><w:pStyle w:val="Normal"/></w:pPr>
<w:r><w:t xml:space="preserve">Ectocarpus secundus, E. fenestratus, E. Lebelii, together</w:t></w:r>
</w:p>
<w:p>
<w:pPr><w:pStyle w:val="Normal"/></w:pPr>
<w:r><w:t xml:space="preserve">with the new species, into a genus, Giffordia, characterized</w:t></w:r>
</w:p>
<w:p>
<w:pPr><w:pStyle w:val="Normal"/></w:pPr>
<w:r><w:t xml:space="preserve">by the possession of two kinds of plurilocular sporangia.</w:t></w:r>
</w:p>
<w:p>
<w:pPr><w:pStyle w:val="Normal"/></w:pPr>
<w:r><w:t xml:space="preserve">The suspicion that a distinction of sex accompanied this</w:t></w:r>
</w:p>
<w:p>
<w:pPr><w:pStyle w:val="Normal"/></w:pPr>
<w:r><w:t xml:space="preserve">difference of structure has been justified by the discovery</w:t></w:r>
</w:p>
<w:p>
<w:pPr><w:pStyle w:val="Normal"/></w:pPr>
<w:r><w:t xml:space="preserve">by Sauvageau of undoubted fertilization in Gidordia secunda</w:t></w:r>
</w:p>
<w:p>
<w:pPr><w:pStyle w:val="Normal"/></w:pPr>
<w:r><w:t xml:space="preserve">and G. fenestrata. The conjugation of similar gametes,</w:t></w:r>
</w:p>
<w:p>
<w:pPr><w:pStyle w:val="Normal"/></w:pPr>
<w:r><w:t xml:space="preserve">arising from distinct plurilocular sporangia, was observed</w:t></w:r>
</w:p>
<w:p>
<w:pPr><w:pStyle w:val="Normal"/></w:pPr>
<w:r><w:t xml:space="preserve">by Berthold in Ectocarpus siliculosus and Scytosiphon</w:t></w:r>
</w:p>
<w:p>
<w:pPr><w:pStyle w:val="Normal"/></w:pPr>
<w:r><w:t xml:space="preserve">lomentarius in 1880; and these observations have been recently</w:t></w:r>
</w:p>
<w:p>
<w:pPr><w:pStyle w:val="Normal"/></w:pPr>
<w:r><w:t xml:space="preserve">confirmed in the case of the former species by Sauvageau,</w:t></w:r>
</w:p>
<w:p>
<w:pPr><w:pStyle w:val="Normal"/></w:pPr>
<w:r><w:t xml:space="preserve">and in the case of the latter by Kuckuck.  In these cases,</w:t></w:r>
</w:p>
<w:p>
<w:pPr><w:pStyle w:val="Normal"/></w:pPr>
<w:r><w:t xml:space="preserve">however, the potential gametes may, failing conjugation,</w:t></w:r>
</w:p>
<w:p>
<w:pPr><w:pStyle w:val="Normal"/></w:pPr>
<w:r><w:t xml:space="preserve">germinate directly, like the zoospores derived from unilocular</w:t></w:r>
</w:p>
<w:p>
<w:pPr><w:pStyle w:val="Normal"/></w:pPr>
<w:r><w:t xml:space="preserve">sporangia.  The assertion of Areschoug that conjugation</w:t></w:r>
</w:p>
<w:p>
<w:pPr><w:pStyle w:val="Normal"/></w:pPr>
<w:r><w:t xml:space="preserve">occurs among zoospores derived from unilocular sporangia,</w:t></w:r>
</w:p>
<w:p>
<w:pPr><w:pStyle w:val="Normal"/></w:pPr>
<w:r><w:t xml:space="preserve">in the case of Dictyosiphon hippuroides, is no doubt to be</w:t></w:r>
</w:p>
<w:p>
<w:pPr><w:pStyle w:val="Normal"/></w:pPr>
<w:r><w:t xml:space="preserve">ascribed to error of observation.  It would thus seem that</w:t></w:r>
</w:p>
<w:p>
<w:pPr><w:pStyle w:val="Normal"/></w:pPr>
<w:r><w:t xml:space="preserve">the explanation of the existence of two kinds of sporangia,</w:t></w:r>
</w:p>
<w:p>
<w:pPr><w:pStyle w:val="Normal"/></w:pPr>
<w:r><w:t xml:space="preserve">unilocular and plurilocular, among Phaeosporeae, lies in the</w:t></w:r>
</w:p>
<w:p>
<w:pPr><w:pStyle w:val="Normal"/></w:pPr>
<w:r><w:t xml:space="preserve">fact that unilocular sporangia are for asexual reproduction,</w:t></w:r>
</w:p>
<w:p>
<w:pPr><w:pStyle w:val="Normal"/></w:pPr>
<w:r><w:t xml:space="preserve">and that plurilocular sporangia are gametangia--potential or</w:t></w:r>
</w:p>
<w:p>
<w:pPr><w:pStyle w:val="Normal"/></w:pPr>
<w:r><w:t xml:space="preserve">actual.  It must, however, be remembered that so important</w:t></w:r>
</w:p>
<w:p>
<w:pPr><w:pStyle w:val="Normal"/></w:pPr>
<w:r><w:t xml:space="preserve">a generalization is as yet supported upon a somewhat narrow</w:t></w:r>
</w:p>
<w:p>
<w:pPr><w:pStyle w:val="Normal"/></w:pPr>
<w:r><w:t xml:space="preserve">base of observation.  Moreover, for the important family</w:t></w:r>
</w:p>
<w:p>
<w:pPr><w:pStyle w:val="Normal"/></w:pPr>
<w:r><w:t xml:space="preserve">of the Laminariaceae only unilocular sporangia are known to</w:t></w:r>
</w:p>
<w:p>
<w:pPr><w:pStyle w:val="Normal"/></w:pPr>
<w:r><w:t xml:space="preserve">occur; and for many species of other families, only one or</w:t></w:r>
</w:p>
<w:p>
<w:pPr><w:pStyle w:val="Normal"/></w:pPr>
<w:r><w:t xml:space="preserve">other kind, and in some cases neither kind, has hitherto been</w:t></w:r>
</w:p>
<w:p>
<w:pPr><w:pStyle w:val="Normal"/></w:pPr>
<w:r><w:t xml:space="preserve">observed.  The four species--Ectocarpus siliculosus,</w:t></w:r>
</w:p>
<w:p>
<w:pPr><w:pStyle w:val="Normal"/></w:pPr>
<w:r><w:t xml:space="preserve">Giffordia secunda, Cutleria multifida and Haplospora</w:t></w:r>
</w:p>
<w:p>
<w:pPr><w:pStyle w:val="Normal"/></w:pPr>
<w:r><w:t xml:space="preserve">globosa--may be taken to represent, within the phaeosporeae,</w:t></w:r>
</w:p>
<w:p>
<w:pPr><w:pStyle w:val="Normal"/></w:pPr>
<w:r><w:t xml:space="preserve">successive steps in the advance from isogamy to oogamy.</w:t></w:r>
</w:p>
<w:p>
<w:pPr><w:pStyle w:val="Normal"/></w:pPr>
<w:r><w:t xml:space="preserve">The Peridiniaceae have been included among Flagellata under</w:t></w:r>
</w:p>
<w:p>
<w:pPr><w:pStyle w:val="Normal"/></w:pPr>
<w:r><w:t xml:space="preserve">the title of Dinoflagellata.  The majority of the species</w:t></w:r>
</w:p>
<w:p>
<w:pPr><w:pStyle w:val="Normal"/></w:pPr>
<w:r><w:t xml:space="preserve">belong to the sea, but many are found in fresh water.  The</w:t></w:r>
</w:p>
<w:p>
<w:pPr><w:pStyle w:val="Normal"/></w:pPr>
<w:r><w:t xml:space="preserve">thallus is somewhat spherical and unicellular, exhibiting</w:t></w:r>
</w:p>
<w:p>
<w:pPr><w:pStyle w:val="Normal"/></w:pPr>
<w:r><w:t xml:space="preserve">a distinction between anterior and posterior extremities,</w:t></w:r>
</w:p>
<w:p>
<w:pPr><w:pStyle w:val="Normal"/></w:pPr>
<w:r><w:t xml:space="preserve">and dorsal and ventral surfaces.  The wall consists of a</w:t></w:r>
</w:p>
<w:p>
<w:pPr><w:pStyle w:val="Normal"/></w:pPr>
<w:r><w:t xml:space="preserve">basis of cellulose, and in some cases readily breaks up into</w:t></w:r>
</w:p>
<w:p>
<w:pPr><w:pStyle w:val="Normal"/></w:pPr>
<w:r><w:t xml:space="preserve">a definite number of plates, fitting into one another like</w:t></w:r>
</w:p>
<w:p>
<w:pPr><w:pStyle w:val="Normal"/></w:pPr>
<w:r><w:t xml:space="preserve">the plates of the carapace of a tortoise; it is, moreover,</w:t></w:r>
</w:p>
<w:p>
<w:pPr><w:pStyle w:val="Normal"/></w:pPr>
<w:r><w:t xml:space="preserve">often finely sculptured or coarsely ridged and flanged.  Two</w:t></w:r>
</w:p>
<w:p>
<w:pPr><w:pStyle w:val="Normal"/></w:pPr>
<w:r><w:t xml:space="preserve">grooves are a constant feature of the family, one running</w:t></w:r>
</w:p>
<w:p>
<w:pPr><w:pStyle w:val="Normal"/></w:pPr>
<w:r><w:t xml:space="preserve">transversely and anoiher longitudinally.  In these grooves</w:t></w:r>
</w:p>
<w:p>
<w:pPr><w:pStyle w:val="Normal"/></w:pPr>
<w:r><w:t xml:space="preserve">lie two c;lia, attached at the point of meeting on the dorsal</w:t></w:r>
</w:p>
<w:p>
<w:pPr><w:pStyle w:val="Normal"/></w:pPr>
<w:r><w:t xml:space="preserve">surface.  The protoplast is uninucleate and vacuolate,</w:t></w:r>
</w:p>
<w:p>
<w:pPr><w:pStyle w:val="Normal"/></w:pPr>
<w:r><w:t xml:space="preserve">and contains chromatophores of a brownish colour.  It is</w:t></w:r>
</w:p>
<w:p>
<w:pPr><w:pStyle w:val="Normal"/></w:pPr>
<w:r><w:t xml:space="preserve">not clear that FIG. 4.--Phaeophyceae, variously magnified.</w:t></w:r>
</w:p>
<w:p>
<w:pPr><w:pStyle w:val="Normal"/></w:pPr>
<w:r><w:t xml:space="preserve">A. Halopteris, apical region.</w:t></w:r>
</w:p>
<w:p>
<w:pPr><w:pStyle w:val="Normal"/></w:pPr>
<w:r><w:t xml:space="preserve">B. Chordaria sp., apical region showing so-called trichothallic growth.</w:t></w:r>
</w:p>
<w:p>
<w:pPr><w:pStyle w:val="Heading1"/></w:pPr>
<w:r><w:t>C. Dictyota sp., apical cells immediately after dichotomy.</w:t></w:r>
</w:p>
<w:p>
<w:pPr><w:pStyle w:val="Normal"/></w:pPr>
<w:r><w:t xml:space="preserve">D. Cutleria sp., margin of thallus showing trichothallic growth.</w:t></w:r>
</w:p>
<w:p>
<w:pPr><w:pStyle w:val="Normal"/></w:pPr>
<w:r><w:t xml:space="preserve">E. Halidrys, apical depression with leading cell.</w:t></w:r>
</w:p>
<w:p>
<w:pPr><w:pStyle w:val="Normal"/></w:pPr>
<w:r><w:t xml:space="preserve">F. Macrocystis sp., tubular elements from the</w:t></w:r>
</w:p>
<w:p>
<w:pPr><w:pStyle w:val="Normal"/></w:pPr>
<w:r><w:t xml:space="preserve">medulla, with sieve-like transverse walls.</w:t></w:r>
</w:p>
<w:p>
<w:pPr><w:pStyle w:val="Normal"/></w:pPr>
<w:r><w:t xml:space="preserve">G. Laminaria sp., hyphae with trumpet-like ends also from medulla.</w:t></w:r>
</w:p>
<w:p>
<w:pPr><w:pStyle w:val="Normal"/></w:pPr>
<w:r><w:t xml:space="preserve">H. Elachistea sp., Plurilocular sporanges.</w:t></w:r>
</w:p>
<w:p>
<w:pPr><w:pStyle w:val="Normal"/></w:pPr>
<w:r><w:t xml:space="preserve">K. Ectocarpus sp., unilocular sporange.</w:t></w:r>
</w:p>
<w:p>
<w:pPr><w:pStyle w:val="Heading1"/></w:pPr>
<w:r><w:t>L. Ectocarpus siliculosus, female gamete surrounded</w:t></w:r>
</w:p>
<w:p>
<w:pPr><w:pStyle w:val="Normal"/></w:pPr>
<w:r><w:t xml:space="preserve">by male gametes a, b, c, d, e, stages of conjugation.</w:t></w:r>
</w:p>
<w:p>
<w:pPr><w:pStyle w:val="Normal"/></w:pPr>
<w:r><w:t xml:space="preserve">M. Cutleria multifida. a, antherozoids, b, a female gamete.</w:t></w:r>
</w:p>
<w:p>
<w:pPr><w:pStyle w:val="Normal"/></w:pPr>
<w:r><w:t xml:space="preserve">N1. Fucus vesiculosus, young oogonium.</w:t></w:r>
</w:p>
<w:p>
<w:pPr><w:pStyle w:val="Normal"/></w:pPr>
<w:r><w:t xml:space="preserve">N2. Fucus vesiculosus, discharge of eight oospheres from oogonium</w:t></w:r>
</w:p>
<w:p>
<w:pPr><w:pStyle w:val="Normal"/></w:pPr>
<w:r><w:t xml:space="preserve">O. Laminaria sp., sporanges among paraphyses.</w:t></w:r>
</w:p>
<w:p>
<w:pPr><w:pStyle w:val="Normal"/></w:pPr>
<w:r><w:t xml:space="preserve">P. Dictyota dichotoma, a sorus of oogonia.</w:t></w:r>
</w:p>
<w:p>
<w:pPr><w:pStyle w:val="Normal"/></w:pPr>
<w:r><w:t xml:space="preserve">Q. Dictyota dichotoma, part of a sorus of antheridia.</w:t></w:r>
</w:p>
<w:p>
<w:pPr><w:pStyle w:val="Normal"/></w:pPr>
<w:r><w:t xml:space="preserve">(A, B, C, D, E, H, L, M, P, from Engler and Prantl, by</w:t></w:r>
</w:p>
<w:p>
<w:pPr><w:pStyle w:val="Normal"/></w:pPr>
<w:r><w:t xml:space="preserve">permission of Wilhelm Engelmann; F, G, K, O, from Oltmanns,</w:t></w:r>
</w:p>
<w:p>
<w:pPr><w:pStyle w:val="Normal"/></w:pPr>
<w:r><w:t xml:space="preserve">by permission of Gustav Fischer; Q. from The Annals of</w:t></w:r>
</w:p>
<w:p>
<w:pPr><w:pStyle w:val="Normal"/></w:pPr>
<w:r><w:t xml:space="preserve">Botany, by permission of the Clarendon Press; N1, N2,</w:t></w:r>
</w:p>
<w:p>
<w:pPr><w:pStyle w:val="Normal"/></w:pPr>
<w:r><w:t xml:space="preserve">from Hauck, Meeresalgen, by permission of Eduard Kummer.)</w:t></w:r>
</w:p>
<w:p>
<w:pPr><w:pStyle w:val="Normal"/></w:pPr>
<w:r><w:t xml:space="preserve">the brown colouring matter which is added to chlorophyll</w:t></w:r>
</w:p>
<w:p>
<w:pPr><w:pStyle w:val="Normal"/></w:pPr>
<w:r><w:t xml:space="preserve">is identical with phycophaein: two varieties of it have</w:t></w:r>
</w:p>
<w:p>
<w:pPr><w:pStyle w:val="Normal"/></w:pPr>
<w:r><w:t xml:space="preserve">been termed phycopyrrin and peridinine.  Certain species,</w:t></w:r>
</w:p>
<w:p>
<w:pPr><w:pStyle w:val="Normal"/></w:pPr>
<w:r><w:t xml:space="preserve">such as Gymnodinium spirale, are colourless and therefore</w:t></w:r>
</w:p>
<w:p>
<w:pPr><w:pStyle w:val="Normal"/></w:pPr>
<w:r><w:t xml:space="preserve">saprophytic in their method of nutrition.  Multiplication</w:t></w:r>
</w:p>
<w:p>
<w:pPr><w:pStyle w:val="Normal"/></w:pPr>
<w:r><w:t xml:space="preserve">takes place in some cases by the endogenous formation of</w:t></w:r>
</w:p>
<w:p>
<w:pPr><w:pStyle w:val="Normal"/></w:pPr>
<w:r><w:t xml:space="preserve">zoospores, the organism having come to rest; in others by</w:t></w:r>
</w:p>
<w:p>
<w:pPr><w:pStyle w:val="Normal"/></w:pPr>
<w:r><w:t xml:space="preserve">longitudinal division, when the organism is still motile.</w:t></w:r>
</w:p>
<w:p>
<w:pPr><w:pStyle w:val="Normal"/></w:pPr>
<w:r><w:t xml:space="preserve">No method of sexual reproduction is known with certainty.</w:t></w:r>
</w:p>
<w:p>
<w:pPr><w:pStyle w:val="Normal"/></w:pPr>
<w:r><w:t xml:space="preserve">The Cryptomonadaceae also are unicellular, and live free or in</w:t></w:r>
</w:p>
<w:p>
<w:pPr><w:pStyle w:val="Normal"/></w:pPr>
<w:r><w:t xml:space="preserve">colonies.  Each cell contains a flattened chromatophore of a</w:t></w:r>
</w:p>
<w:p>
<w:pPr><w:pStyle w:val="Normal"/></w:pPr>
<w:r><w:t xml:space="preserve">brown or yellow colour. Hydrurus forms a branched gelatinous</w:t></w:r>
</w:p>
<w:p>
<w:pPr><w:pStyle w:val="Normal"/></w:pPr>
<w:r><w:t xml:space="preserve">colony attached to stones in mountain streams. Chromophyton</w:t></w:r>
</w:p>
<w:p>
<w:pPr><w:pStyle w:val="Normal"/></w:pPr>
<w:r><w:t xml:space="preserve">forms an eight-celled colony.  Both plants multiply solely by</w:t></w:r>
</w:p>
<w:p>
<w:pPr><w:pStyle w:val="Normal"/></w:pPr>
<w:r><w:t xml:space="preserve">means of zoospores.  The Cryptomonadeae and Chromulineae are</w:t></w:r>
</w:p>
<w:p>
<w:pPr><w:pStyle w:val="Normal"/></w:pPr>
<w:r><w:t xml:space="preserve">motile through the greater part of their life. Cryptomonas,</w:t></w:r>
</w:p>
<w:p>
<w:pPr><w:pStyle w:val="Normal"/></w:pPr>
<w:r><w:t xml:space="preserve">when dividing in a mucilage after encystment, recalls the</w:t></w:r>
</w:p>
<w:p>
<w:pPr><w:pStyle w:val="Normal"/></w:pPr>
<w:r><w:t xml:space="preserve">condition in Gloeocystis. In Synura and Chromulina the</w:t></w:r>
</w:p>
<w:p>
<w:pPr><w:pStyle w:val="Normal"/></w:pPr>
<w:r><w:t xml:space="preserve">cells form a spherical motile colony, recalling Volvocaceae.</w:t></w:r>
</w:p>
<w:p>
<w:pPr><w:pStyle w:val="Normal"/></w:pPr>
<w:r><w:t xml:space="preserve">Chromulina is uniciliate, and is contained in a hyaline</w:t></w:r>
</w:p>
<w:p>
<w:pPr><w:pStyle w:val="Normal"/></w:pPr>
<w:r><w:t xml:space="preserve">capsule.  Like the Peridiniaceae, the Cryptomonadaceae have</w:t></w:r>
</w:p>
<w:p>
<w:pPr><w:pStyle w:val="Normal"/></w:pPr>
<w:r><w:t xml:space="preserve">been included among Flagellata.  They have no close affinity</w:t></w:r>
</w:p>
<w:p>
<w:pPr><w:pStyle w:val="Normal"/></w:pPr>
<w:r><w:t xml:space="preserve">with Euphaeophyceae.  Such colonial forms as Hydrurus</w:t></w:r>
</w:p>
<w:p>
<w:pPr><w:pStyle w:val="Normal"/></w:pPr>
<w:r><w:t xml:space="preserve">and Phaeocystis are supposed, however, to indicate</w:t></w:r>
</w:p>
<w:p>
<w:pPr><w:pStyle w:val="Normal"/></w:pPr>
<w:r><w:t xml:space="preserve">a stage in the passage to the multicellular condition.</w:t></w:r>
</w:p>
<w:p>
<w:pPr><w:pStyle w:val="Normal"/></w:pPr>
<w:r><w:t xml:space="preserve">Diatomaceae have long been recognized as plants.  Together</w:t></w:r>
</w:p>
<w:p>
<w:pPr><w:pStyle w:val="Normal"/></w:pPr>
<w:r><w:t xml:space="preserve">with Peridiniaceae they constitute the bulk of marine plankton,</w:t></w:r>
</w:p>
<w:p>
<w:pPr><w:pStyle w:val="Normal"/></w:pPr>
<w:r><w:t xml:space="preserve">and thus play an important part in the support of marine</w:t></w:r>
</w:p>
<w:p>
<w:pPr><w:pStyle w:val="Normal"/></w:pPr>
<w:r><w:t xml:space="preserve">animal life.  They exhibit striking adaptations in these</w:t></w:r>
</w:p>
<w:p>
<w:pPr><w:pStyle w:val="Normal"/></w:pPr>
<w:r><w:t xml:space="preserve">circumstances to the floating habit. (See DIATOMACEAE.)</w:t></w:r>
</w:p>
<w:p>
<w:pPr><w:pStyle w:val="Normal"/></w:pPr>
<w:r><w:t xml:space="preserve">A census of Phaeophyceae is given below:--</w:t></w:r>
</w:p>
<w:p>
<w:pPr><w:pStyle w:val="Normal"/></w:pPr>
<w:r><w:t xml:space="preserve">(1) Cyclosporinae (Fucaceae)--4 families, 32 genera, 347 species.</w:t></w:r>
</w:p>
<w:p>
<w:pPr><w:pStyle w:val="Normal"/></w:pPr>
<w:r><w:t xml:space="preserve">(2) Tetrasporinae (Dictyotaceae)-- 1 family, 17 genera, 130 species.</w:t></w:r>
</w:p>
<w:p>
<w:pPr><w:pStyle w:val="Normal"/></w:pPr>
<w:r><w:t xml:space="preserve">(3) Phaeozoosporineae (Phaeosporeae)--24 families, 143</w:t></w:r>
</w:p>
<w:p>
<w:pPr><w:pStyle w:val="Normal"/></w:pPr>
<w:r><w:t xml:space="preserve">genera, 571 species. (De Toni&apos;s Sylloge ALgarum.)</w:t></w:r>
</w:p>
<w:p>
<w:pPr><w:pStyle w:val="Normal"/></w:pPr>
<w:r><w:t xml:space="preserve">(4) Peridiniales---3 families, 32 genera, 167 species.</w:t></w:r>
</w:p>
<w:p>
<w:pPr><w:pStyle w:val="Normal"/></w:pPr>
<w:r><w:t xml:space="preserve">(5) Cryptomonadaceae (including Chrysomonadaceae)</w:t></w:r>
</w:p>
<w:p>
<w:pPr><w:pStyle w:val="Normal"/></w:pPr>
<w:r><w:t xml:space="preserve">--2 families, 28 genera, 50-60 species.</w:t></w:r>
</w:p>
<w:p>
<w:pPr><w:pStyle w:val="Normal"/></w:pPr>
<w:r><w:t xml:space="preserve">(6) Bacillariales (Diatomaceae)--about 150</w:t></w:r>
</w:p>
<w:p>
<w:pPr><w:pStyle w:val="Normal"/></w:pPr>
<w:r><w:t xml:space="preserve">genera and 5000 species, fossil and recent.</w:t></w:r>
</w:p>
<w:p>
<w:pPr><w:pStyle w:val="Normal"/></w:pPr>
<w:r><w:t xml:space="preserve">(Engler and Prantl&apos;s Pflanzenfamilien)</w:t></w:r>
</w:p>
<w:p>
<w:pPr><w:pStyle w:val="Heading1"/></w:pPr>
<w:r><w:t>IV. RHODOPHYCEAE, or FLORIDEAE.--The members of this</w:t></w:r>
</w:p>
<w:p>
<w:pPr><w:pStyle w:val="Normal"/></w:pPr>
<w:r><w:t xml:space="preserve">group are characterized by the possession of a red colouring</w:t></w:r>
</w:p>
<w:p>
<w:pPr><w:pStyle w:val="Normal"/></w:pPr>
<w:r><w:t xml:space="preserve">matter, phycoerythrin, in addition to chlorophyll.  There is,</w:t></w:r>
</w:p>
<w:p>
<w:pPr><w:pStyle w:val="Normal"/></w:pPr>
<w:r><w:t xml:space="preserve">however, a considerable amount of difference in the shades</w:t></w:r>
</w:p>
<w:p>
<w:pPr><w:pStyle w:val="Normal"/></w:pPr>
<w:r><w:t xml:space="preserve">of red which mark different species.  The brightest belongs</w:t></w:r>
</w:p>
<w:p>
<w:pPr><w:pStyle w:val="Normal"/></w:pPr>
<w:r><w:t xml:space="preserve">to those species which grow near low-water mark, or under</w:t></w:r>
</w:p>
<w:p>
<w:pPr><w:pStyle w:val="Normal"/></w:pPr>
<w:r><w:t xml:space="preserve">the shade of larger algae at higher levels; species which</w:t></w:r>
</w:p>
<w:p>
<w:pPr><w:pStyle w:val="Normal"/></w:pPr>
<w:r><w:t xml:space="preserve">grow near high-water mark are usually of so dark a hue that</w:t></w:r>
</w:p>
<w:p>
<w:pPr><w:pStyle w:val="Normal"/></w:pPr>
<w:r><w:t xml:space="preserve">they are easily mistaken for brown seaweeds.  Rhodophyceae</w:t></w:r>
</w:p>
<w:p>
<w:pPr><w:pStyle w:val="Normal"/></w:pPr>
<w:r><w:t xml:space="preserve">are mostly marine, but not exclusively so. Thorea,</w:t></w:r>
</w:p>
<w:p>
<w:pPr><w:pStyle w:val="Normal"/></w:pPr>
<w:r><w:t xml:space="preserve">Lemanea, Tuomeya, Stenocladia, Batrachospermum, Balbiania</w:t></w:r>
</w:p>
<w:p>
<w:pPr><w:pStyle w:val="Normal"/></w:pPr>
<w:r><w:t xml:space="preserve">are genera belonging entirely to fresh water; and Bangia,</w:t></w:r>
</w:p>
<w:p>
<w:pPr><w:pStyle w:val="Normal"/></w:pPr>
<w:r><w:t xml:space="preserve">Chanitransia, Caloglossa, Bostrychia and Delesseria</w:t></w:r>
</w:p>
<w:p>
<w:pPr><w:pStyle w:val="Normal"/></w:pPr>
<w:r><w:t xml:space="preserve">contain each one or more freshwater species.  Most of the</w:t></w:r>
</w:p>
<w:p>
<w:pPr><w:pStyle w:val="Normal"/></w:pPr>
<w:r><w:t xml:space="preserve">larger species of marine Rhodophyceae are attached by means</w:t></w:r>
</w:p>
<w:p>
<w:pPr><w:pStyle w:val="Normal"/></w:pPr>
<w:r><w:t xml:space="preserve">of a disc to rocks, stones or shells.  Many are epiphytic</w:t></w:r>
</w:p>
<w:p>
<w:pPr><w:pStyle w:val="Normal"/></w:pPr>
<w:r><w:t xml:space="preserve">on other algae, more especially the larger Phaeophyceae and</w:t></w:r>
</w:p>
<w:p>
<w:pPr><w:pStyle w:val="Normal"/></w:pPr>
<w:r><w:t xml:space="preserve">Rhodophyceae.  As in the case of epiphytic brown seaweeds,</w:t></w:r>
</w:p>
<w:p>
<w:pPr><w:pStyle w:val="Normal"/></w:pPr>
<w:r><w:t xml:space="preserve">the rhizoids of the epiphyte often penetrate the substance</w:t></w:r>
</w:p>
<w:p>
<w:pPr><w:pStyle w:val="Normal"/></w:pPr>
<w:r><w:t xml:space="preserve">of the supporting alga.  Some Red Algae find a home in the</w:t></w:r>
</w:p>
<w:p>
<w:pPr><w:pStyle w:val="Normal"/></w:pPr>
<w:r><w:t xml:space="preserve">gelatinous substance of Flustra, Alcyonidium and other</w:t></w:r>
</w:p>
<w:p>
<w:pPr><w:pStyle w:val="Normal"/></w:pPr>
<w:r><w:t xml:space="preserve">polyzoa, only emerging for the formation of the reproductive</w:t></w:r>
</w:p>
<w:p>
<w:pPr><w:pStyle w:val="Normal"/></w:pPr>
<w:r><w:t xml:space="preserve">organs.  Some are perforating algae and burrow into the</w:t></w:r>
</w:p>
<w:p>
<w:pPr><w:pStyle w:val="Normal"/></w:pPr>
<w:r><w:t xml:space="preserve">substance of molluscan shells, in company with certain Green</w:t></w:r>
</w:p>
<w:p>
<w:pPr><w:pStyle w:val="Normal"/></w:pPr>
<w:r><w:t xml:space="preserve">and Blue-green Algae.  Some species belonging to the families</w:t></w:r>
</w:p>
<w:p>
<w:pPr><w:pStyle w:val="Normal"/></w:pPr>
<w:r><w:t xml:space="preserve">Squamariaceae nnd Corallinaceae grow attached through their</w:t></w:r>
</w:p>
<w:p>
<w:pPr><w:pStyle w:val="Normal"/></w:pPr>
<w:r><w:t xml:space="preserve">whole length and breadth, and are often encrusted with</w:t></w:r>
</w:p>
<w:p>
<w:pPr><w:pStyle w:val="Normal"/></w:pPr>
<w:r><w:t xml:space="preserve">lime.  The forms which grow away from the substratum vary</w:t></w:r>
</w:p>
<w:p>
<w:pPr><w:pStyle w:val="Normal"/></w:pPr>
<w:r><w:t xml:space="preserve">greatly in external configuration.  In point of size the</w:t></w:r>
</w:p>
<w:p>
<w:pPr><w:pStyle w:val="Normal"/></w:pPr>
<w:r><w:t xml:space="preserve">largest cannot rival the larger Brown Algae, while the majority</w:t></w:r>
</w:p>
<w:p>
<w:pPr><w:pStyle w:val="Normal"/></w:pPr>
<w:r><w:t xml:space="preserve">require the aid of the microscope for their investigation.</w:t></w:r>
</w:p>
<w:p>
<w:pPr><w:pStyle w:val="Normal"/></w:pPr>
<w:r><w:t xml:space="preserve">No unicellular Rhodophyceae are known, although a flagellate</w:t></w:r>
</w:p>
<w:p>
<w:pPr><w:pStyle w:val="Normal"/></w:pPr>
<w:r><w:t xml:space="preserve">organism, Rhodomonas, has recently been described as possessed</w:t></w:r>
</w:p>
<w:p>
<w:pPr><w:pStyle w:val="Normal"/></w:pPr>
<w:r><w:t xml:space="preserve">of the same red colouring matter.  If the sub-group, Bangiaceae,</w:t></w:r>
</w:p>
<w:p>
<w:pPr><w:pStyle w:val="Normal"/></w:pPr>
<w:r><w:t xml:space="preserve">be excluded, they may be said to consist exclusively of branched</w:t></w:r>
</w:p>
<w:p>
<w:pPr><w:pStyle w:val="Normal"/></w:pPr>
<w:r><w:t xml:space="preserve">filaments.  Growth in these cases takes place by means of an</w:t></w:r>
</w:p>
<w:p>
<w:pPr><w:pStyle w:val="Normal"/></w:pPr>
<w:r><w:t xml:space="preserve">apical cell, from which successive segments are cut off by means</w:t></w:r>
</w:p>
<w:p>
<w:pPr><w:pStyle w:val="Normal"/></w:pPr>
<w:r><w:t xml:space="preserve">of a transverse wall.  The segment so cut off does not usually</w:t></w:r>
</w:p>
<w:p>
<w:pPr><w:pStyle w:val="Normal"/></w:pPr>
<w:r><w:t xml:space="preserve">divide again by means of a transverse wall, nor indeed by a</w:t></w:r>
</w:p>
<w:p>
<w:pPr><w:pStyle w:val="Normal"/></w:pPr>
<w:r><w:t xml:space="preserve">longitudinal wall which passes through the organic axis of the</w:t></w:r>
</w:p>
<w:p>
<w:pPr><w:pStyle w:val="Normal"/></w:pPr>
<w:r><w:t xml:space="preserve">cell.  New cells may be cut off laterally, which become</w:t></w:r>
</w:p>
<w:p>
<w:pPr><w:pStyle w:val="Normal"/></w:pPr>
<w:r><w:t xml:space="preserve">the apical cells of branches.  When the new cells grow no</w:t></w:r>
</w:p>
<w:p>
<w:pPr><w:pStyle w:val="Normal"/></w:pPr>
<w:r><w:t xml:space="preserve">further, but constitute a palisading round the central cell</w:t></w:r>
</w:p>
<w:p>
<w:pPr><w:pStyle w:val="Normal"/></w:pPr>
<w:r><w:t xml:space="preserve">covering its whole length, the condition is reached which</w:t></w:r>
</w:p>
<w:p>
<w:pPr><w:pStyle w:val="Normal"/></w:pPr>
<w:r><w:t xml:space="preserve">characterizes the species of Polysiphonia, the &quot;siphons&quot; of</w:t></w:r>
</w:p>
<w:p>
<w:pPr><w:pStyle w:val="Normal"/></w:pPr>
<w:r><w:t xml:space="preserve">which may be regarded as one-celled branches.  To the law that</w:t></w:r>
</w:p>
<w:p>
<w:pPr><w:pStyle w:val="Normal"/></w:pPr>
<w:r><w:t xml:space="preserve">no subsequent transverse division takes place in segments cut</w:t></w:r>
</w:p>
<w:p>
<w:pPr><w:pStyle w:val="Normal"/></w:pPr>
<w:r><w:t xml:space="preserve">off from the apical cell, there seem to be two exceptions:</w:t></w:r>
</w:p>
<w:p>
<w:pPr><w:pStyle w:val="Normal"/></w:pPr>
<w:r><w:t xml:space="preserve">first, the calcareous genus Corallinia, in the pliable</w:t></w:r>
</w:p>
<w:p>
<w:pPr><w:pStyle w:val="Normal"/></w:pPr>
<w:r><w:t xml:space="preserve">joints of which intercalated division occurs; and, second,</w:t></w:r>
</w:p>
<w:p>
<w:pPr><w:pStyle w:val="Normal"/></w:pPr>
<w:r><w:t xml:space="preserve">the Nitophylleae, in which, moreover, median longitudinal</w:t></w:r>
</w:p>
<w:p>
<w:pPr><w:pStyle w:val="Normal"/></w:pPr>
<w:r><w:t xml:space="preserve">division of axial cells is said to occur.  Like the Fungi,</w:t></w:r>
</w:p>
<w:p>
<w:pPr><w:pStyle w:val="Normal"/></w:pPr>
<w:r><w:t xml:space="preserve">therefore, the Red Algae consist for the most part of branched</w:t></w:r>
</w:p>
<w:p>
<w:pPr><w:pStyle w:val="Normal"/></w:pPr>
<w:r><w:t xml:space="preserve">filaments, even where the thallus appears massive to the eye,</w:t></w:r>
</w:p>
<w:p>
<w:pPr><w:pStyle w:val="Normal"/></w:pPr>
<w:r><w:t xml:space="preserve">and, as in the case of Fungi, this fact is not inconsistent</w:t></w:r>
</w:p>
<w:p>
<w:pPr><w:pStyle w:val="Normal"/></w:pPr>
<w:r><w:t xml:space="preserve">with a great variery of external morphology.  In the great</w:t></w:r>
</w:p>
<w:p>
<w:pPr><w:pStyle w:val="Normal"/></w:pPr>
<w:r><w:t xml:space="preserve">majority the thallus is obviously filamentous, as in some</w:t></w:r>
</w:p>
<w:p>
<w:pPr><w:pStyle w:val="Normal"/></w:pPr>
<w:r><w:t xml:space="preserve">species of Cillithamnion. In other species of that genus</w:t></w:r>
</w:p>
<w:p>
<w:pPr><w:pStyle w:val="Normal"/></w:pPr>
<w:r><w:t xml:space="preserve">an apparent cortication arises by the downward growth of</w:t></w:r>
</w:p>
<w:p>
<w:pPr><w:pStyle w:val="Normal"/></w:pPr>
<w:r><w:t xml:space="preserve">rhizoids, which are retained within the gelatinous wall of the</w:t></w:r>
</w:p>
<w:p>
<w:pPr><w:pStyle w:val="Normal"/></w:pPr>
<w:r><w:t xml:space="preserve">axial cells. in Batrachospermum the whole system of branches</w:t></w:r>
</w:p>
<w:p>
<w:pPr><w:pStyle w:val="Normal"/></w:pPr>
<w:r><w:t xml:space="preserve">are retained within a diffluent gelatinous substance derived</w:t></w:r>
</w:p>
<w:p>
<w:pPr><w:pStyle w:val="Normal"/></w:pPr>
<w:r><w:t xml:space="preserve">from the outer layers of the cell-walls.  In other cases the</w:t></w:r>
</w:p>
<w:p>
<w:pPr><w:pStyle w:val="Normal"/></w:pPr>
<w:r><w:t xml:space="preserve">mucilage is denser and the branches more closely compacted</w:t></w:r>
</w:p>
<w:p>
<w:pPr><w:pStyle w:val="Normal"/></w:pPr>
<w:r><w:t xml:space="preserve">Helminthora.) In such cases as Lemanea, the terminal</w:t></w:r>
</w:p>
<w:p>
<w:pPr><w:pStyle w:val="Normal"/></w:pPr>
<w:r><w:t xml:space="preserve">cells of the lateral branches form a superficial layer which</w:t></w:r>
</w:p>
<w:p>
<w:pPr><w:pStyle w:val="Normal"/></w:pPr>
<w:r><w:t xml:space="preserve">has all the appearance of a parenchyma when viewed from the</w:t></w:r>
</w:p>
<w:p>
<w:pPr><w:pStyle w:val="Normal"/></w:pPr>
<w:r><w:t xml:space="preserve">surface.  In Champia and allied genera, the cylindrical axis</w:t></w:r>
</w:p>
<w:p>
<w:pPr><w:pStyle w:val="Normal"/></w:pPr>
<w:r><w:t xml:space="preserve">is due not to the derivatives of one axial filament, but of</w:t></w:r>
</w:p>
<w:p>
<w:pPr><w:pStyle w:val="Normal"/></w:pPr>
<w:r><w:t xml:space="preserve">several, the growth of which is co-ordinated to form a septated</w:t></w:r>
</w:p>
<w:p>
<w:pPr><w:pStyle w:val="Normal"/></w:pPr>
<w:r><w:t xml:space="preserve">tube.  The branching of the thallus, which meets the eye</w:t></w:r>
</w:p>
<w:p>
<w:pPr><w:pStyle w:val="Normal"/></w:pPr>
<w:r><w:t xml:space="preserve">in all these cases, is due to the unlimited growth of a few</w:t></w:r>
</w:p>
<w:p>
<w:pPr><w:pStyle w:val="Normal"/></w:pPr>
<w:r><w:t xml:space="preserve">branches.  When such a lateral branch overtops the main axis</w:t></w:r>
</w:p>
<w:p>
<w:pPr><w:pStyle w:val="Normal"/></w:pPr>
<w:r><w:t xml:space="preserve">whose growth has become limited, as in Plocamium and Dasya,</w:t></w:r>
</w:p>
<w:p>
<w:pPr><w:pStyle w:val="Normal"/></w:pPr>
<w:r><w:t xml:space="preserve">a sympodium is formed.  For the most part the branching is</w:t></w:r>
</w:p>
<w:p>
<w:pPr><w:pStyle w:val="Normal"/></w:pPr>
<w:r><w:t xml:space="preserve">monopodial.  Besides the differentiation into holdfast and</w:t></w:r>
</w:p>
<w:p>
<w:pPr><w:pStyle w:val="Normal"/></w:pPr>
<w:r><w:t xml:space="preserve">shoot, and into branches of limited and branches of unlimited</w:t></w:r>
</w:p>
<w:p>
<w:pPr><w:pStyle w:val="Normal"/></w:pPr>
<w:r><w:t xml:space="preserve">growth, there appear superficial structures of the nature of</w:t></w:r>
</w:p>
<w:p>
<w:pPr><w:pStyle w:val="Normal"/></w:pPr>
<w:r><w:t xml:space="preserve">hairs.  These are for the most part long, thin-walled,</w:t></w:r>
</w:p>
<w:p>
<w:pPr><w:pStyle w:val="Normal"/></w:pPr>
<w:r><w:t xml:space="preserve">unicellular and colourless, and arise from the outer cells</w:t></w:r>
</w:p>
<w:p>
<w:pPr><w:pStyle w:val="Normal"/></w:pPr>
<w:r><w:t xml:space="preserve">of the pseudo-cortex, or from the terminal cells of branches</w:t></w:r>
</w:p>
<w:p>
<w:pPr><w:pStyle w:val="Normal"/></w:pPr>
<w:r><w:t xml:space="preserve">when the filaments are free.  Among Rhodomelaceae, hair-like</w:t></w:r>
</w:p>
<w:p>
<w:pPr><w:pStyle w:val="Normal"/></w:pPr>
<w:r><w:t xml:space="preserve">structures of a higher order are known.  These arise from</w:t></w:r>
</w:p>
<w:p>
<w:pPr><w:pStyle w:val="Normal"/></w:pPr>
<w:r><w:t xml:space="preserve">the axial cell, and are multicellular and branched.  They</w:t></w:r>
</w:p>
<w:p>
<w:pPr><w:pStyle w:val="Normal"/></w:pPr>
<w:r><w:t xml:space="preserve">soon fall off, and it is from the persistent basal cell that</w:t></w:r>
</w:p>
<w:p>
<w:pPr><w:pStyle w:val="Normal"/></w:pPr>
<w:r><w:t xml:space="preserve">the branches of unlimited growth arise.  Upon them also the</w:t></w:r>
</w:p>
<w:p>
<w:pPr><w:pStyle w:val="Normal"/></w:pPr>
<w:r><w:t xml:space="preserve">reproductive organs arise in this family.  It is not surprising,</w:t></w:r>
</w:p>
<w:p>
<w:pPr><w:pStyle w:val="Normal"/></w:pPr>
<w:r><w:t xml:space="preserve">therefore, that they have been regarded as the rudiments of</w:t></w:r>
</w:p>
<w:p>
<w:pPr><w:pStyle w:val="Normal"/></w:pPr>
<w:r><w:t xml:space="preserve">leaves.  In Iridaea the thallus is an entire lamina; in</w:t></w:r>
</w:p>
<w:p>
<w:pPr><w:pStyle w:val="Normal"/></w:pPr>
<w:r><w:t xml:space="preserve">Callophyllis a lobed lamina; in Delesseria it is provided</w:t></w:r>
</w:p>
<w:p>
<w:pPr><w:pStyle w:val="Normal"/></w:pPr>
<w:r><w:t xml:space="preserve">with midrib and veins, simulating the appearance of a leaf</w:t></w:r>
</w:p>
<w:p>
<w:pPr><w:pStyle w:val="Normal"/></w:pPr>
<w:r><w:t xml:space="preserve">of the higher plants; in Constantinea the axis remains</w:t></w:r>
</w:p>
<w:p>
<w:pPr><w:pStyle w:val="Normal"/></w:pPr>
<w:r><w:t xml:space="preserve">cylindrical, and the lateral branches assume the form of</w:t></w:r>
</w:p>
<w:p>
<w:pPr><w:pStyle w:val="Normal"/></w:pPr>
<w:r><w:t xml:space="preserve">leaves.  In the compact thalli a secondary development</w:t></w:r>
</w:p>
<w:p>
<w:pPr><w:pStyle w:val="Normal"/></w:pPr>
<w:r><w:t xml:space="preserve">often takes place by the growth of rhizoid-like internal</w:t></w:r>
</w:p>
<w:p>
<w:pPr><w:pStyle w:val="Normal"/></w:pPr>
<w:r><w:t xml:space="preserve">filaments.  They present a hypha-like appearance, running</w:t></w:r>
</w:p>
<w:p>
<w:pPr><w:pStyle w:val="Normal"/></w:pPr>
<w:r><w:t xml:space="preserve">longitudinally for considerable distances.  It is not difficult</w:t></w:r>
</w:p>
<w:p>
<w:pPr><w:pStyle w:val="Normal"/></w:pPr>
<w:r><w:t xml:space="preserve">in such compact species to distinguish between superficial</w:t></w:r>
</w:p>
<w:p>
<w:pPr><w:pStyle w:val="Normal"/></w:pPr>
<w:r><w:t xml:space="preserve">cells, whose chief function is assimilation, subjacent cells</w:t></w:r>
</w:p>
<w:p>
<w:pPr><w:pStyle w:val="Normal"/></w:pPr>
<w:r><w:t xml:space="preserve">charged with reserve material, and a core of tissue engaged</w:t></w:r>
</w:p>
<w:p>
<w:pPr><w:pStyle w:val="Normal"/></w:pPr>
<w:r><w:t xml:space="preserve">in the convection of elaborated material from part to part.</w:t></w:r>
</w:p>
<w:p>
<w:pPr><w:pStyle w:val="Normal"/></w:pPr>
<w:r><w:t xml:space="preserve">An interesting feature of the minute anatomy of Euflorideae,</w:t></w:r>
</w:p>
<w:p>
<w:pPr><w:pStyle w:val="Normal"/></w:pPr>
<w:r><w:t xml:space="preserve">as the Red Algae, exclusive of the Bangiaceae, have been</w:t></w:r>
</w:p>
<w:p>
<w:pPr><w:pStyle w:val="Normal"/></w:pPr>
<w:r><w:t xml:space="preserve">termed, is the existence of the so-called Floridean pit.</w:t></w:r>
</w:p>
<w:p>
<w:pPr><w:pStyle w:val="Normal"/></w:pPr>
<w:r><w:t xml:space="preserve">When a cell divides it is found that there remains in the</w:t></w:r>
</w:p>
<w:p>
<w:pPr><w:pStyle w:val="Normal"/></w:pPr>
<w:r><w:t xml:space="preserve">middle of the new wall a single large circular pit, which</w:t></w:r>
</w:p>
<w:p>
<w:pPr><w:pStyle w:val="Normal"/></w:pPr>
<w:r><w:t xml:space="preserve">persists throughout the life of the cells, becoming more and</w:t></w:r>
</w:p>
<w:p>
<w:pPr><w:pStyle w:val="Normal"/></w:pPr>
<w:r><w:t xml:space="preserve">more conspicuous with the progress of the thickening of the</w:t></w:r>
</w:p>
<w:p>
<w:pPr><w:pStyle w:val="Normal"/></w:pPr>
<w:r><w:t xml:space="preserve">wall.  These pits serve to indicate the genetic relationship</w:t></w:r>
</w:p>
<w:p>
<w:pPr><w:pStyle w:val="Normal"/></w:pPr>
<w:r><w:t xml:space="preserve">of adjacent cells, when they form a compact pseudo-parenchyma,</w:t></w:r>
</w:p>
<w:p>
<w:pPr><w:pStyle w:val="Normal"/></w:pPr>
<w:r><w:t xml:space="preserve">notwithstanding the fact that somewhat smaller secondary pits</w:t></w:r>
</w:p>
<w:p>
<w:pPr><w:pStyle w:val="Normal"/></w:pPr>
<w:r><w:t xml:space="preserve">appear later between any contiguous cells.  Protoplasmic continuity</w:t></w:r>
</w:p>
<w:p>
<w:pPr><w:pStyle w:val="Normal"/></w:pPr>
<w:r><w:t xml:space="preserve">has been observed in the delicate membrane closing the pit.</w:t></w:r>
</w:p>
<w:p>
<w:pPr><w:pStyle w:val="Normal"/></w:pPr>
<w:r><w:t xml:space="preserve">Vegetative multiplication occurs only sparingly in Rhodophyceae.</w:t></w:r>
</w:p>
<w:p>
<w:pPr><w:pStyle w:val="Normal"/></w:pPr>
<w:r><w:t xml:space="preserve">Melobesia callithamnioides gives rise to multicellular</w:t></w:r>
</w:p>
<w:p>
<w:pPr><w:pStyle w:val="Normal"/></w:pPr>
<w:r><w:t xml:space="preserve">propagula; (Griffithsia corallina is said to give rise</w:t></w:r>
</w:p>
<w:p>
<w:pPr><w:pStyle w:val="Normal"/></w:pPr>
<w:r><w:t xml:space="preserve">to new individuals, by detaching portions of the thallus</w:t></w:r>
</w:p>
<w:p>
<w:pPr><w:pStyle w:val="Normal"/></w:pPr>
<w:r><w:t xml:space="preserve">from the base of which new attachment organs have already</w:t></w:r>
</w:p>
<w:p>
<w:pPr><w:pStyle w:val="Normal"/></w:pPr>
<w:r><w:t xml:space="preserve">arisen.  The spores of Monospora are by some regarded as</w:t></w:r>
</w:p>
<w:p>
<w:pPr><w:pStyle w:val="Normal"/></w:pPr>
<w:r><w:t xml:space="preserve">unicellular propagula.  Reproduction is both asexual and</w:t></w:r>
</w:p>
<w:p>
<w:pPr><w:pStyle w:val="Normal"/></w:pPr>
<w:r><w:t xml:space="preserve">sexual.  It is noteworthy that although all the members of</w:t></w:r>
</w:p>
<w:p>
<w:pPr><w:pStyle w:val="Normal"/></w:pPr>
<w:r><w:t xml:space="preserve">the group are aquatic no zoospores are produced, a negative</w:t></w:r>
</w:p>
<w:p>
<w:pPr><w:pStyle w:val="Normal"/></w:pPr>
<w:r><w:t xml:space="preserve">character common to them and the Blue-green Algae.  As a rule</w:t></w:r>
</w:p>
<w:p>
<w:pPr><w:pStyle w:val="Normal"/></w:pPr>
<w:r><w:t xml:space="preserve">the asexual cells, and the male and female sexual cells arise</w:t></w:r>
</w:p>
<w:p>
<w:pPr><w:pStyle w:val="Normal"/></w:pPr>
<w:r><w:t xml:space="preserve">upon different plants, so that the species may be said to be</w:t></w:r>
</w:p>
<w:p>
<w:pPr><w:pStyle w:val="Normal"/></w:pPr>
<w:r><w:t xml:space="preserve">trioecious.  Numerous exceptions, however, occur.  Thus in</w:t></w:r>
</w:p>
<w:p>
<w:pPr><w:pStyle w:val="Normal"/></w:pPr>
<w:r><w:t xml:space="preserve">Lemaneaceae asexual spores are unknown; in Batracho-spermum,</w:t></w:r>
</w:p>
<w:p>
<w:pPr><w:pStyle w:val="Normal"/></w:pPr>
<w:r><w:t xml:space="preserve">Bonnemaisonia and Polysiphonia byssoides both kinds of</w:t></w:r>
</w:p>
<w:p>
<w:pPr><w:pStyle w:val="Normal"/></w:pPr>
<w:r><w:t xml:space="preserve">sexual cells appear on the same plant; and in some cases the</w:t></w:r>
</w:p>
<w:p>
<w:pPr><w:pStyle w:val="Normal"/></w:pPr>
<w:r><w:t xml:space="preserve">asexual cells may occur in conjunction with either the male or</w:t></w:r>
</w:p>
<w:p>
<w:pPr><w:pStyle w:val="Normal"/></w:pPr>
<w:r><w:t xml:space="preserve">female sexual cells.  The asexual cells are termed tetraspores</w:t></w:r>
</w:p>
<w:p>
<w:pPr><w:pStyle w:val="Normal"/></w:pPr>
<w:r><w:t xml:space="preserve">on account of the usual occurrence of four in each sporangium.</w:t></w:r>
</w:p>
<w:p>
<w:pPr><w:pStyle w:val="Normal"/></w:pPr>
<w:r><w:t xml:space="preserve">What may be termed monospores, bispores and octospores,</w:t></w:r>
</w:p>
<w:p>
<w:pPr><w:pStyle w:val="Normal"/></w:pPr>
<w:r><w:t xml:space="preserve">however, are not unknown.  The sporangia may be terminal or</w:t></w:r>
</w:p>
<w:p>
<w:pPr><w:pStyle w:val="Normal"/></w:pPr>
<w:r><w:t xml:space="preserve">intercalated.  When they are confined to special branches</w:t></w:r>
</w:p>
<w:p>
<w:pPr><w:pStyle w:val="Normal"/></w:pPr>
<w:r><w:t xml:space="preserve">such branches are spoken of as stichidia.  The tetrasrores</w:t></w:r>
</w:p>
<w:p>
<w:pPr><w:pStyle w:val="Normal"/></w:pPr>
<w:r><w:t xml:space="preserve">may arise by the simultaneous division of the contents of a</w:t></w:r>
</w:p>
<w:p>
<w:pPr><w:pStyle w:val="Normal"/></w:pPr>
<w:r><w:t xml:space="preserve">sporangium, when they are arranged tetrahedrally, or they may</w:t></w:r>
</w:p>
<w:p>
<w:pPr><w:pStyle w:val="Normal"/></w:pPr>
<w:r><w:t xml:space="preserve">arise by two successive divisions, in which case the arrangement</w:t></w:r>
</w:p>
<w:p>
<w:pPr><w:pStyle w:val="Normal"/></w:pPr>
<w:r><w:t xml:space="preserve">may be zonate when the spores are in a row, or cruciate when</w:t></w:r>
</w:p>
<w:p>
<w:pPr><w:pStyle w:val="Normal"/></w:pPr>
<w:r><w:t xml:space="preserve">the second divisions are at right angles to the first, or</w:t></w:r>
</w:p>
<w:p>
<w:pPr><w:pStyle w:val="Normal"/></w:pPr>
<w:r><w:t xml:space="preserve">tetrahedral when the second divisions are at right angles to</w:t></w:r>
</w:p>
<w:p>
<w:pPr><w:pStyle w:val="Normal"/></w:pPr>
<w:r><w:t xml:space="preserve">the first and also to one another.  Tetraspores are at first</w:t></w:r>
</w:p>
<w:p>
<w:pPr><w:pStyle w:val="Normal"/></w:pPr>
<w:r><w:t xml:space="preserve">naked, but soon acquire a cell-wall and germinate without a</w:t></w:r>
</w:p>
<w:p>
<w:pPr><w:pStyle w:val="Normal"/></w:pPr>
<w:r><w:t xml:space="preserve">period of rest.  The male sexual cells are produced singly</w:t></w:r>
</w:p>
<w:p>
<w:pPr><w:pStyle w:val="Normal"/></w:pPr>
<w:r><w:t xml:space="preserve">in the terminal cells of branches.  They are spoken of as</w:t></w:r>
</w:p>
<w:p>
<w:pPr><w:pStyle w:val="Normal"/></w:pPr>
<w:r><w:t xml:space="preserve">spermaria.  Great numbers of antheridia are usually crowded</w:t></w:r>
</w:p>
<w:p>
<w:pPr><w:pStyle w:val="Normal"/></w:pPr>
<w:r><w:t xml:space="preserve">together, when the part is distinguishable by the absence</w:t></w:r>
</w:p>
<w:p>
<w:pPr><w:pStyle w:val="Normal"/></w:pPr>
<w:r><w:t xml:space="preserve">of the usual red colour.  In Polysiphonia they cover the</w:t></w:r>
</w:p>
<w:p>
<w:pPr><w:pStyle w:val="Normal"/></w:pPr>
<w:r><w:t xml:space="preserve">joints of the so-called leaves; in Chondria they arise</w:t></w:r>
</w:p>
<w:p>
<w:pPr><w:pStyle w:val="Normal"/></w:pPr>
<w:r><w:t xml:space="preserve">on flattened dishs; in the more massive forms they arise in</w:t></w:r>
</w:p>
<w:p>
<w:pPr><w:pStyle w:val="Normal"/></w:pPr>
<w:r><w:t xml:space="preserve">patches on the ordinary surface; in a few cases (Gracilaria,</w:t></w:r>
</w:p>
<w:p>
<w:pPr><w:pStyle w:val="Normal"/></w:pPr>
<w:r><w:t xml:space="preserve">Corallina, Galaxaura) they line the walls of conceptacle-like</w:t></w:r>
</w:p>
<w:p>
<w:pPr><w:pStyle w:val="Normal"/></w:pPr>
<w:r><w:t xml:space="preserve">depressions.  The female sexual cell is represented by the</w:t></w:r>
</w:p>
<w:p>
<w:pPr><w:pStyle w:val="Normal"/></w:pPr>
<w:r><w:t xml:space="preserve">contents of a cell which is terminal on ordinary or specialized</w:t></w:r>
</w:p>
<w:p>
<w:pPr><w:pStyle w:val="Normal"/></w:pPr>
<w:r><w:t xml:space="preserve">branches.  This is the carpogonium: it consists of a neutral</w:t></w:r>
</w:p>
<w:p>
<w:pPr><w:pStyle w:val="Normal"/></w:pPr>
<w:r><w:t xml:space="preserve">portion which contains a nucleus, but in which no oosphere is</w:t></w:r>
</w:p>
<w:p>
<w:pPr><w:pStyle w:val="Normal"/></w:pPr>
<w:r><w:t xml:space="preserve">differentiated, and an elongated tubular portion known as the</w:t></w:r>
</w:p>
<w:p>
<w:pPr><w:pStyle w:val="Normal"/></w:pPr>
<w:r><w:t xml:space="preserve">trichogyne, into which the cytoplasm extends.  Fertilization</w:t></w:r>
</w:p>
<w:p>
<w:pPr><w:pStyle w:val="Normal"/></w:pPr>
<w:r><w:t xml:space="preserve">is effected by the passive convection of a spermatium from</w:t></w:r>
</w:p>
<w:p>
<w:pPr><w:pStyle w:val="Normal"/></w:pPr>
<w:r><w:t xml:space="preserve">the antheridium to the trichogyne, to which it adheres,</w:t></w:r>
</w:p>
<w:p>
<w:pPr><w:pStyle w:val="Normal"/></w:pPr>
<w:r><w:t xml:space="preserve">and to which it passes over its nucleus through an open</w:t></w:r>
</w:p>
<w:p>
<w:pPr><w:pStyle w:val="Normal"/></w:pPr>
<w:r><w:t xml:space="preserve">communication set up at the point of contact.  The nucleus</w:t></w:r>
</w:p>
<w:p>
<w:pPr><w:pStyle w:val="Normal"/></w:pPr>
<w:r><w:t xml:space="preserve">then passes down the trichogyne and fuses with that of the</w:t></w:r>
</w:p>
<w:p>
<w:pPr><w:pStyle w:val="Normal"/></w:pPr>
<w:r><w:t xml:space="preserve">eeg.  This fusion has been observed by Wille in Nemalion</w:t></w:r>
</w:p>
<w:p>
<w:pPr><w:pStyle w:val="Normal"/></w:pPr>
<w:r><w:t xml:space="preserve">multifidim, and by Schmidle in Batrachospermum. It is</w:t></w:r>
</w:p>
<w:p>
<w:pPr><w:pStyle w:val="Normal"/></w:pPr>
<w:r><w:t xml:space="preserve">singular that in the last-named species two nuclei occur</w:t></w:r>
</w:p>
<w:p>
<w:pPr><w:pStyle w:val="Normal"/></w:pPr>
<w:r><w:t xml:space="preserve">regularly in the spermatium.  The ventral portion of the</w:t></w:r>
</w:p>
<w:p>
<w:pPr><w:pStyle w:val="Normal"/></w:pPr>
<w:r><w:t xml:space="preserve">carpogonium may be imbedded deep in the thallus in the</w:t></w:r>
</w:p>
<w:p>
<w:pPr><w:pStyle w:val="Normal"/></w:pPr>
<w:r><w:t xml:space="preserve">massive species; the trichogyne, however, always reaches the</w:t></w:r>
</w:p>
<w:p>
<w:pPr><w:pStyle w:val="Normal"/></w:pPr>
<w:r><w:t xml:space="preserve">surface.  The first effect of fertilization is the occlusion</w:t></w:r>
</w:p>
<w:p>
<w:pPr><w:pStyle w:val="Normal"/></w:pPr>
<w:r><w:t xml:space="preserve">of the trichogyne from the fertilized carpogonium.  The</w:t></w:r>
</w:p>
<w:p>
<w:pPr><w:pStyle w:val="Normal"/></w:pPr>
<w:r><w:t xml:space="preserve">subsequent course of development is characteristic of the</w:t></w:r>
</w:p>
<w:p>
<w:pPr><w:pStyle w:val="Normal"/></w:pPr>
<w:r><w:t xml:space="preserve">Florideae.  The carpogonium germinates forthwith, drawing</w:t></w:r>
</w:p>
<w:p>
<w:pPr><w:pStyle w:val="Normal"/></w:pPr>
<w:r><w:t xml:space="preserve">its nourishment almost wholly from the parent plant.  The</w:t></w:r>
</w:p>
<w:p>
<w:pPr><w:pStyle w:val="Normal"/></w:pPr>
<w:r><w:t xml:space="preserve">ultimate product in all cases is a number of carpospores, but</w:t></w:r>
</w:p>
<w:p>
<w:pPr><w:pStyle w:val="Normal"/></w:pPr>
<w:r><w:t xml:space="preserve">before this stage is reached the development is different in</w:t></w:r>
</w:p>
<w:p>
<w:pPr><w:pStyle w:val="Normal"/></w:pPr>
<w:r><w:t xml:space="preserve">different subgroups.  In Batrachospermum filaments arise</w:t></w:r>
</w:p>
<w:p>
<w:pPr><w:pStyle w:val="Normal"/></w:pPr>
<w:r><w:t xml:space="preserve">from the carpogonium on all sides; in Chantransia and</w:t></w:r>
</w:p>
<w:p>
<w:pPr><w:pStyle w:val="Normal"/></w:pPr>
<w:r><w:t xml:space="preserve">Scinaia on one side only; in Helminthora the filaments</w:t></w:r>
</w:p>
<w:p>
<w:pPr><w:pStyle w:val="Normal"/></w:pPr>
<w:r><w:t xml:space="preserve">are enclosed in a dense mucilage; in Nemalion, prior to</w:t></w:r>
</w:p>
<w:p>
<w:pPr><w:pStyle w:val="Normal"/></w:pPr>
<w:r><w:t xml:space="preserve">the formation of the filaments, a sterile segment is cut off</w:t></w:r>
</w:p>
<w:p>
<w:pPr><w:pStyle w:val="Normal"/></w:pPr>
<w:r><w:t xml:space="preserve">below.  In all these cases, however, the end-cells of the</w:t></w:r>
</w:p>
<w:p>
<w:pPr><w:pStyle w:val="Normal"/></w:pPr>
<w:r><w:t xml:space="preserve">filaments each give rise to a carpospore, and the aggregate</w:t></w:r>
</w:p>
<w:p>
<w:pPr><w:pStyle w:val="Normal"/></w:pPr>
<w:r><w:t xml:space="preserve">of such sporiferous filaments is a cystocarp.  Again, in the</w:t></w:r>
</w:p>
<w:p>
<w:pPr><w:pStyle w:val="Normal"/></w:pPr>
<w:r><w:t xml:space="preserve">family of the Gelidiaceae, the single filament arising from</w:t></w:r>
</w:p>
<w:p>
<w:pPr><w:pStyle w:val="Normal"/></w:pPr>
<w:r><w:t xml:space="preserve">the carpogonium grows back into the tissue and preys upon</w:t></w:r>
</w:p>
<w:p>
<w:pPr><w:pStyle w:val="Normal"/></w:pPr>
<w:r><w:t xml:space="preserve">the cells of the axis and larger branches, after which the</w:t></w:r>
</w:p>
<w:p>
<w:pPr><w:pStyle w:val="Normal"/></w:pPr>
<w:r><w:t xml:space="preserve">end-cells give rise to carpospores and a diffused cystocarp is</w:t></w:r>
</w:p>
<w:p>
<w:pPr><w:pStyle w:val="Normal"/></w:pPr>
<w:r><w:t xml:space="preserve">formed.  In the whole group of the Cryptonemiales the</w:t></w:r>
</w:p>
<w:p>
<w:pPr><w:pStyle w:val="Normal"/></w:pPr>
<w:r><w:t xml:space="preserve">parasitism becomes more marked still.  The filaments arising</w:t></w:r>
</w:p>
<w:p>
<w:pPr><w:pStyle w:val="Normal"/></w:pPr>
<w:r><w:t xml:space="preserve">from the carpogonia grow into long thin tubes, which fuse</w:t></w:r>
</w:p>
<w:p>
<w:pPr><w:pStyle w:val="Normal"/></w:pPr>
<w:r><w:t xml:space="preserve">with special cells rich in protoplasm contents; and from</w:t></w:r>
</w:p>
<w:p>
<w:pPr><w:pStyle w:val="Normal"/></w:pPr>
<w:r><w:t xml:space="preserve">these points issue isolated tufts of sporogenous filaments,</w:t></w:r>
</w:p>
<w:p>
<w:pPr><w:pStyle w:val="Normal"/></w:pPr>
<w:r><w:t xml:space="preserve">several of which may form the product of one fertilized female</w:t></w:r>
</w:p>
<w:p>
<w:pPr><w:pStyle w:val="Normal"/></w:pPr>
<w:r><w:t xml:space="preserve">cell.  In Naccaria, one of the Gelidiaceae, it is observable</w:t></w:r>
</w:p>
<w:p>
<w:pPr><w:pStyle w:val="Normal"/></w:pPr>
<w:r><w:t xml:space="preserve">that the ooblastema filament, as the tube arising from the</w:t></w:r>
</w:p>
<w:p>
<w:pPr><w:pStyle w:val="Normal"/></w:pPr>
<w:r><w:t xml:space="preserve">fertilized carpogonium has been called, fuses completely with</w:t></w:r>
</w:p>
<w:p>
<w:pPr><w:pStyle w:val="Normal"/></w:pPr>
<w:r><w:t xml:space="preserve">a cell contiguous to the carpogonium before giving rise to</w:t></w:r>
</w:p>
<w:p>
<w:pPr><w:pStyle w:val="Normal"/></w:pPr>
<w:r><w:t xml:space="preserve">the foraging filaments already referred to.  This is also</w:t></w:r>
</w:p>
<w:p>
<w:pPr><w:pStyle w:val="Normal"/></w:pPr>
<w:r><w:t xml:space="preserve">the case among Cryptonemiales.  In a whole series of Red</w:t></w:r>
</w:p>
<w:p>
<w:pPr><w:pStyle w:val="Normal"/></w:pPr>
<w:r><w:t xml:space="preserve">Algae, the existence or a highly specialized auxiliary cell</w:t></w:r>
</w:p>
<w:p>
<w:pPr><w:pStyle w:val="Normal"/></w:pPr>
<w:r><w:t xml:space="preserve">in the neighbourhood of the carpogonium is a characteristic</w:t></w:r>
</w:p>
<w:p>
<w:pPr><w:pStyle w:val="Normal"/></w:pPr>
<w:r><w:t xml:space="preserve">feature.  In the Gigartinales it is already differentiated</w:t></w:r>
</w:p>
<w:p>
<w:pPr><w:pStyle w:val="Normal"/></w:pPr>
<w:r><w:t xml:space="preserve">previous to fertilization; in Rhodymeniales it arises</w:t></w:r>
</w:p>
<w:p>
<w:pPr><w:pStyle w:val="Normal"/></w:pPr>
<w:r><w:t xml:space="preserve">subsequent to fertilization.  In the Gigartinales, the</w:t></w:r>
</w:p>
<w:p>
<w:pPr><w:pStyle w:val="Normal"/></w:pPr>
<w:r><w:t xml:space="preserve">filaments which arise from the auxiliary cell may spread and</w:t></w:r>
</w:p>
<w:p>
<w:pPr><w:pStyle w:val="Normal"/></w:pPr>
<w:r><w:t xml:space="preserve">give rise to isolated tufts of sporogenous filaments, as in the</w:t></w:r>
</w:p>
<w:p>
<w:pPr><w:pStyle w:val="Normal"/></w:pPr>
<w:r><w:t xml:space="preserve">Cryptonemiales.  In the Rhodymeniales a single tuft arises</w:t></w:r>
</w:p>
<w:p>
<w:pPr><w:pStyle w:val="Normal"/></w:pPr>
<w:r><w:t xml:space="preserve">directly from the auxiliary cell.  The carpospores are in</w:t></w:r>
</w:p>
<w:p>
<w:pPr><w:pStyle w:val="Normal"/></w:pPr>
<w:r><w:t xml:space="preserve">all cases bright red naked masses of protoplasm when first</w:t></w:r>
</w:p>
<w:p>
<w:pPr><w:pStyle w:val="Normal"/></w:pPr>
<w:r><w:t xml:space="preserve">discharged.  They soon acquire a cell-wall, and germinate</w:t></w:r>
</w:p>
<w:p>
<w:pPr><w:pStyle w:val="Normal"/></w:pPr>
<w:r><w:t xml:space="preserve">without a period of rest.  When the cystocarps or segments</w:t></w:r>
</w:p>
<w:p>
<w:pPr><w:pStyle w:val="Normal"/></w:pPr>
<w:r><w:t xml:space="preserve">of cystocarps are formed in the substance of a thallus, the</w:t></w:r>
</w:p>
<w:p>
<w:pPr><w:pStyle w:val="Normal"/></w:pPr>
<w:r><w:t xml:space="preserve">site is marked merely by a swelling of the substance.  When</w:t></w:r>
</w:p>
<w:p>
<w:pPr><w:pStyle w:val="Normal"/></w:pPr>
<w:r><w:t xml:space="preserve">the cystocarp is produced externally, it may form a berry-like</w:t></w:r>
</w:p>
<w:p>
<w:pPr><w:pStyle w:val="Normal"/></w:pPr>
<w:r><w:t xml:space="preserve">mass without an envelope, in which case it it known as a</w:t></w:r>
</w:p>
<w:p>
<w:pPr><w:pStyle w:val="Normal"/></w:pPr>
<w:r><w:t xml:space="preserve">favella.  In Rhodomelaceae there is a special urn-shaped envelope</w:t></w:r>
</w:p>
<w:p>
<w:pPr><w:pStyle w:val="Normal"/></w:pPr>
<w:r><w:t xml:space="preserve">surrounding the sporogenous filaments.  This is a ceramidium.</w:t></w:r>
</w:p>
<w:p>
<w:pPr><w:pStyle w:val="Normal"/></w:pPr>
<w:r><w:t xml:space="preserve">The attachment of the cell of an ooblastema filament to a</w:t></w:r>
</w:p>
<w:p>
<w:pPr><w:pStyle w:val="Normal"/></w:pPr>
<w:r><w:t xml:space="preserve">cell of the thallus may be effected by means of a minute</w:t></w:r>
</w:p>
<w:p>
<w:pPr><w:pStyle w:val="Normal"/></w:pPr>
<w:r><w:t xml:space="preserve">pore, or the two cells may fuse their contents into one</w:t></w:r>
</w:p>
<w:p>
<w:pPr><w:pStyle w:val="Normal"/></w:pPr>
<w:r><w:t xml:space="preserve">protoplasmic mass.  In the latter case, and especially</w:t></w:r>
</w:p>
<w:p>
<w:pPr><w:pStyle w:val="Normal"/></w:pPr>
<w:r><w:t xml:space="preserve">where the union is with a special auxiliary cell, it is of</w:t></w:r>
</w:p>
<w:p>
<w:pPr><w:pStyle w:val="Normal"/></w:pPr>
<w:r><w:t xml:space="preserve">importance to know what happens to the nuclei of the fusing</w:t></w:r>
</w:p>
<w:p>
<w:pPr><w:pStyle w:val="Normal"/></w:pPr>
<w:r><w:t xml:space="preserve">cells.  Schmitz was of opinion that in the cases of open</w:t></w:r>
</w:p>
<w:p>
<w:pPr><w:pStyle w:val="Normal"/></w:pPr>
<w:r><w:t xml:space="preserve">union there occurred a fusion of nuclei similar to that</w:t></w:r>
</w:p>
<w:p>
<w:pPr><w:pStyle w:val="Normal"/></w:pPr>
<w:r><w:t xml:space="preserve">which occurs in the sexual union of two cells.  He founded</w:t></w:r>
</w:p>
<w:p>
<w:pPr><w:pStyle w:val="Normal"/></w:pPr>
<w:r><w:t xml:space="preserve">his generalization to a large extent upon the observation</w:t></w:r>
</w:p>
<w:p>
<w:pPr><w:pStyle w:val="Normal"/></w:pPr>
<w:r><w:t xml:space="preserve">that in Gloeosiphonia capillaris two cells completely</w:t></w:r>
</w:p>
<w:p>
<w:pPr><w:pStyle w:val="Normal"/></w:pPr>
<w:r><w:t xml:space="preserve">fuse, and that only one nucleus can be detecteo in the fused</w:t></w:r>
</w:p>
<w:p>
<w:pPr><w:pStyle w:val="Normal"/></w:pPr>
<w:r><w:t xml:space="preserve">mass.  Oltmanns has recently re-investigated the phenomena in</w:t></w:r>
</w:p>
<w:p>
<w:pPr><w:pStyle w:val="Normal"/></w:pPr>
<w:r><w:t xml:space="preserve">this plant, among others, and has shown that the nucleus of</w:t></w:r>
</w:p>
<w:p>
<w:pPr><w:pStyle w:val="Normal"/></w:pPr>
<w:r><w:t xml:space="preserve">the cell which is being preyed upon recedes to the wall and</w:t></w:r>
</w:p>
<w:p>
<w:pPr><w:pStyle w:val="Normal"/></w:pPr>
<w:r><w:t xml:space="preserve">gradually atrophies.  The nucleus of the ooblastema filament</w:t></w:r>
</w:p>
<w:p>
<w:pPr><w:pStyle w:val="Normal"/></w:pPr>
<w:r><w:t xml:space="preserve">dominates the FIG. 5.--Rhodophyceae, variously magnified.</w:t></w:r>
</w:p>
<w:p>
<w:pPr><w:pStyle w:val="Normal"/></w:pPr>
<w:r><w:t xml:space="preserve">A. Polysiphonia sp., apical region showing</w:t></w:r>
</w:p>
<w:p>
<w:pPr><w:pStyle w:val="Normal"/></w:pPr>
<w:r><w:t xml:space="preserve">leading cell and cutting off of pericentral cell.</w:t></w:r>
</w:p>
<w:p>
<w:pPr><w:pStyle w:val="Normal"/></w:pPr>
<w:r><w:t xml:space="preserve">B. Polysiphonia sp., transverse section through</w:t></w:r>
</w:p>
<w:p>
<w:pPr><w:pStyle w:val="Normal"/></w:pPr>
<w:r><w:t xml:space="preserve">a branch, and at a, mother-cell of tetraspores.</w:t></w:r>
</w:p>
<w:p>
<w:pPr><w:pStyle w:val="Heading1"/></w:pPr>
<w:r><w:t>C. Lomeittaria sp., apex showing growth in length</w:t></w:r>
</w:p>
<w:p>
<w:pPr><w:pStyle w:val="Normal"/></w:pPr>
<w:r><w:t xml:space="preserve">through coordinated growth of many filaments.</w:t></w:r>
</w:p>
<w:p>
<w:pPr><w:pStyle w:val="Normal"/></w:pPr>
<w:r><w:t xml:space="preserve">D. Delesseria sp., showing apical region with leading cell.</w:t></w:r>
</w:p>
<w:p>
<w:pPr><w:pStyle w:val="Normal"/></w:pPr>
<w:r><w:t xml:space="preserve">E. Chrysymenia uvaria, axis with swollen leaf-like appendages.</w:t></w:r>
</w:p>
<w:p>
<w:pPr><w:pStyle w:val="Normal"/></w:pPr>
<w:r><w:t xml:space="preserve">F. Polyzonia sp., branch with leaf-like branches of limited growth.</w:t></w:r>
</w:p>
<w:p>
<w:pPr><w:pStyle w:val="Normal"/></w:pPr>
<w:r><w:t xml:space="preserve">G. Collithamnson sp., tetrasporangium with spores arranged in a tetrad.</w:t></w:r>
</w:p>
<w:p>
<w:pPr><w:pStyle w:val="Normal"/></w:pPr>
<w:r><w:t xml:space="preserve">H. Corallina sp., tetrasporangia with zonate arrangement of tetraspores.</w:t></w:r>
</w:p>
<w:p>
<w:pPr><w:pStyle w:val="Normal"/></w:pPr>
<w:r><w:t xml:space="preserve">K. Nemalion sp., carpogonial and antheridial branches.</w:t></w:r>
</w:p>
<w:p>
<w:pPr><w:pStyle w:val="Heading1"/></w:pPr>
<w:r><w:t>L. Batrachospermum sp., trichogyne with spermatia</w:t></w:r>
</w:p>
<w:p>
<w:pPr><w:pStyle w:val="Normal"/></w:pPr>
<w:r><w:t xml:space="preserve">attached; carpospores arising from fertilized carpogonium.</w:t></w:r>
</w:p>
<w:p>
<w:pPr><w:pStyle w:val="Normal"/></w:pPr>
<w:r><w:t xml:space="preserve">M. Polysiphonia sp., antheridium.</w:t></w:r>
</w:p>
<w:p>
<w:pPr><w:pStyle w:val="Normal"/></w:pPr>
<w:r><w:t xml:space="preserve">N. Constantinea sp., with flattened leaf-like appendages.</w:t></w:r>
</w:p>
<w:p>
<w:pPr><w:pStyle w:val="Normal"/></w:pPr>
<w:r><w:t xml:space="preserve">O. Dudresnaya coccinea, fusion of ooblastema filaments with auxiliary</w:t></w:r>
</w:p>
<w:p>
<w:pPr><w:pStyle w:val="Normal"/></w:pPr>
<w:r><w:t xml:space="preserve">cells; a is an axial cell in transverse section with four appendages.</w:t></w:r>
</w:p>
<w:p>
<w:pPr><w:pStyle w:val="Normal"/></w:pPr>
<w:r><w:t xml:space="preserve">P. Callithamnion corymbosum, a joint cell with</w:t></w:r>
</w:p>
<w:p>
<w:pPr><w:pStyle w:val="Normal"/></w:pPr>
<w:r><w:t xml:space="preserve">carpogonial branch and a, b, two auxiliary cells.</w:t></w:r>
</w:p>
<w:p>
<w:pPr><w:pStyle w:val="Normal"/></w:pPr>
<w:r><w:t xml:space="preserve">Q. Callithamnion corymbosum, fusion of products of fertilization with</w:t></w:r>
</w:p>
<w:p>
<w:pPr><w:pStyle w:val="Normal"/></w:pPr>
<w:r><w:t xml:space="preserve">auxiliary cells, the nuclei of which a and b retire to the wall.</w:t></w:r>
</w:p>
<w:p>
<w:pPr><w:pStyle w:val="Normal"/></w:pPr>
<w:r><w:t xml:space="preserve">R. Polysiphonia sp., section through young cystocarp.</w:t></w:r>
</w:p>
<w:p>
<w:pPr><w:pStyle w:val="Normal"/></w:pPr>
<w:r><w:t xml:space="preserve">(A, C, D, E, F, G, H, K, L, M, P, Q, from Oltmanns,</w:t></w:r>
</w:p>
<w:p>
<w:pPr><w:pStyle w:val="Normal"/></w:pPr>
<w:r><w:t xml:space="preserve">by permission of Gustav Fischer; B, N, O, R, from</w:t></w:r>
</w:p>
<w:p>
<w:pPr><w:pStyle w:val="Normal"/></w:pPr>
<w:r><w:t xml:space="preserve">Engler and Prantl, by permission of Wilhelm Engelmann.)</w:t></w:r>
</w:p>
<w:p>
<w:pPr><w:pStyle w:val="Normal"/></w:pPr>
<w:r><w:t xml:space="preserve">mass and from it all the nuclei of the carpospores are thus</w:t></w:r>
</w:p>
<w:p>
<w:pPr><w:pStyle w:val="Normal"/></w:pPr>
<w:r><w:t xml:space="preserve">derived.  There thus seems to be no justification for</w:t></w:r>
</w:p>
<w:p>
<w:pPr><w:pStyle w:val="Normal"/></w:pPr>
<w:r><w:t xml:space="preserve">believing, as Schmitz taught, that a second sexual</w:t></w:r>
</w:p>
<w:p>
<w:pPr><w:pStyle w:val="Normal"/></w:pPr>
<w:r><w:t xml:space="preserve">act occurs in the life-cycle of these Florideae.</w:t></w:r>
</w:p>
<w:p>
<w:pPr><w:pStyle w:val="Normal"/></w:pPr>
<w:r><w:t xml:space="preserve">The Bangiales are a relatively small group of Red Algae,</w:t></w:r>
</w:p>
<w:p>
<w:pPr><w:pStyle w:val="Normal"/></w:pPr>
<w:r><w:t xml:space="preserve">to which much of the description now given does not apply.</w:t></w:r>
</w:p>
<w:p>
<w:pPr><w:pStyle w:val="Normal"/></w:pPr>
<w:r><w:t xml:space="preserve">Structurally they are either a plate of cells, as in Porphyra, or</w:t></w:r>
</w:p>
<w:p>
<w:pPr><w:pStyle w:val="Normal"/></w:pPr>
<w:r><w:t xml:space="preserve">filaments, as in Bangia. There is no exclusive apical growth,</w:t></w:r>
</w:p>
<w:p>
<w:pPr><w:pStyle w:val="Normal"/></w:pPr>
<w:r><w:t xml:space="preserve">and the cells divide in all directions.  The characteristic</w:t></w:r>
</w:p>
<w:p>
<w:pPr><w:pStyle w:val="Normal"/></w:pPr>
<w:r><w:t xml:space="preserve">pit is also absent.  Sexual and asexual reproduction prevail.</w:t></w:r>
</w:p>
<w:p>
<w:pPr><w:pStyle w:val="Normal"/></w:pPr>
<w:r><w:t xml:space="preserve">The male cell is a spermatium, but the female cell bears no</w:t></w:r>
</w:p>
<w:p>
<w:pPr><w:pStyle w:val="Normal"/></w:pPr>
<w:r><w:t xml:space="preserve">such receptive trichogyne as occurs in other Rhodophyceae.</w:t></w:r>
</w:p>
<w:p>
<w:pPr><w:pStyle w:val="Normal"/></w:pPr>
<w:r><w:t xml:space="preserve">After fertilization the equivalent of the oospore divides</w:t></w:r>
</w:p>
<w:p>
<w:pPr><w:pStyle w:val="Normal"/></w:pPr>
<w:r><w:t xml:space="preserve">directly to form a group of carpospores.  There is thus a</w:t></w:r>
</w:p>
<w:p>
<w:pPr><w:pStyle w:val="Normal"/></w:pPr>
<w:r><w:t xml:space="preserve">certain resemblance to Euflorideae, but sufficient difference</w:t></w:r>
</w:p>
<w:p>
<w:pPr><w:pStyle w:val="Normal"/></w:pPr>
<w:r><w:t xml:space="preserve">to necessitate their being grouped apart.  Fertilization by</w:t></w:r>
</w:p>
<w:p>
<w:pPr><w:pStyle w:val="Normal"/></w:pPr>
<w:r><w:t xml:space="preserve">means of non-motile spermatia and a trichogyne are known among</w:t></w:r>
</w:p>
<w:p>
<w:pPr><w:pStyle w:val="Normal"/></w:pPr>
<w:r><w:t xml:space="preserve">the Fungi in the families Collemaceae any Laboulbeniaceae.</w:t></w:r>
</w:p>
<w:p>
<w:pPr><w:pStyle w:val="Normal"/></w:pPr>
<w:r><w:t xml:space="preserve">A census of Rhodophyceae is furnished below:--</w:t></w:r>
</w:p>
<w:p>
<w:pPr><w:pStyle w:val="Normal"/></w:pPr>
<w:r><w:t xml:space="preserve">(1) Bangiaceae--4 families, 9 genera, 58 species.</w:t></w:r>
</w:p>
<w:p>
<w:pPr><w:pStyle w:val="Normal"/></w:pPr>
<w:r><w:t xml:space="preserve">(2) Nemalioninae--4 families, 33 genera, 343 species.</w:t></w:r>
</w:p>
<w:p>
<w:pPr><w:pStyle w:val="Normal"/></w:pPr>
<w:r><w:t xml:space="preserve">(3) Gigartininae--3 families, 54 genera, 409 species.</w:t></w:r>
</w:p>
<w:p>
<w:pPr><w:pStyle w:val="Normal"/></w:pPr>
<w:r><w:t xml:space="preserve">(4) Rhodymeninae--4 families, 92 genera, 602</w:t></w:r>
</w:p>
<w:p>
<w:pPr><w:pStyle w:val="Normal"/></w:pPr>
<w:r><w:t xml:space="preserve">species. (De Toni&apos;s Sylloge Algarum, 1897.)</w:t></w:r>
</w:p>
<w:p>
<w:pPr><w:pStyle w:val="Normal"/></w:pPr>
<w:r><w:t xml:space="preserve">Limits of the algae.</w:t></w:r>
</w:p>
<w:p>
<w:pPr><w:pStyle w:val="Normal"/></w:pPr>
<w:r><w:t xml:space="preserve">After this survey of the four groups comprised under Algae</w:t></w:r>
</w:p>
<w:p>
<w:pPr><w:pStyle w:val="Normal"/></w:pPr>
<w:r><w:t xml:space="preserve">it is easier to indicate the variations in the limits of the</w:t></w:r>
</w:p>
<w:p>
<w:pPr><w:pStyle w:val="Normal"/></w:pPr>
<w:r><w:t xml:space="preserve">class as defined by different authorities.  To consider the</w:t></w:r>
</w:p>
<w:p>
<w:pPr><w:pStyle w:val="Normal"/></w:pPr>
<w:r><w:t xml:space="preserve">Cyanophyceae first, either the marked contrast in the method of</w:t></w:r>
</w:p>
<w:p>
<w:pPr><w:pStyle w:val="Normal"/></w:pPr>
<w:r><w:t xml:space="preserve">nutrition of the generally colourless Bacteriaceae to that of</w:t></w:r>
</w:p>
<w:p>
<w:pPr><w:pStyle w:val="Normal"/></w:pPr>
<w:r><w:t xml:space="preserve">the blue-green Cyanophyceae is regarded as sufficient ground for</w:t></w:r>
</w:p>
<w:p>
<w:pPr><w:pStyle w:val="Normal"/></w:pPr>
<w:r><w:t xml:space="preserve">excluding Bacteriaceae from algae altogether, notwithstanding</w:t></w:r>
</w:p>
<w:p>
<w:pPr><w:pStyle w:val="Normal"/></w:pPr>
<w:r><w:t xml:space="preserve">their acknowledged morphological affinity with Cyanophyceae,</w:t></w:r>
</w:p>
<w:p>
<w:pPr><w:pStyle w:val="Normal"/></w:pPr>
<w:r><w:t xml:space="preserve">or, in recognition of the incongruity of effecting such a</w:t></w:r>
</w:p>
<w:p>
<w:pPr><w:pStyle w:val="Normal"/></w:pPr>
<w:r><w:t xml:space="preserve">separation, the whole group of the Schizophyta --that is to</w:t></w:r>
</w:p>
<w:p>
<w:pPr><w:pStyle w:val="Normal"/></w:pPr>
<w:r><w:t xml:space="preserve">say, the Cyanophyceae in the narrow sense, together with</w:t></w:r>
</w:p>
<w:p>
<w:pPr><w:pStyle w:val="Normal"/></w:pPr>
<w:r><w:t xml:space="preserve">Bacteriaceae, is included or excluded together.  Again,</w:t></w:r>
</w:p>
<w:p>
<w:pPr><w:pStyle w:val="Normal"/></w:pPr>
<w:r><w:t xml:space="preserve">while Conjugatae may be shut out from Chlorophyceae as an</w:t></w:r>
</w:p>
<w:p>
<w:pPr><w:pStyle w:val="Normal"/></w:pPr>
<w:r><w:t xml:space="preserve">independent group co-ordinate with them in rank, the Characeae</w:t></w:r>
</w:p>
<w:p>
<w:pPr><w:pStyle w:val="Normal"/></w:pPr>
<w:r><w:t xml:space="preserve">constitute so aberrant a group that it has even been proposed</w:t></w:r>
</w:p>
<w:p>
<w:pPr><w:pStyle w:val="Normal"/></w:pPr>
<w:r><w:t xml:space="preserve">to raise them as Charophyta to the dignity of a main division</w:t></w:r>
</w:p>
<w:p>
<w:pPr><w:pStyle w:val="Normal"/></w:pPr>
<w:r><w:t xml:space="preserve">co-ordinate with Thallophyta.  Similarly, while Diatomaceae</w:t></w:r>
</w:p>
<w:p>
<w:pPr><w:pStyle w:val="Normal"/></w:pPr>
<w:r><w:t xml:space="preserve">may be excluded from among Phaeophyceae, though retained among</w:t></w:r>
</w:p>
<w:p>
<w:pPr><w:pStyle w:val="Normal"/></w:pPr>
<w:r><w:t xml:space="preserve">algae, the Cryptomonadaceae and Peridiniaceae, like Euglena</w:t></w:r>
</w:p>
<w:p>
<w:pPr><w:pStyle w:val="Normal"/></w:pPr>
<w:r><w:t xml:space="preserve">and other Chlorophyceae, may be excluded from Thallophyta</w:t></w:r>
</w:p>
<w:p>
<w:pPr><w:pStyle w:val="Normal"/></w:pPr>
<w:r><w:t xml:space="preserve">and ranged among the flagellate Protozoa.  It is doubtful,</w:t></w:r>
</w:p>
<w:p>
<w:pPr><w:pStyle w:val="Normal"/></w:pPr>
<w:r><w:t xml:space="preserve">however, whether the conventional distinction between plants</w:t></w:r>
</w:p>
<w:p>
<w:pPr><w:pStyle w:val="Normal"/></w:pPr>
<w:r><w:t xml:space="preserve">and animals will continue to be urged; and the suggestion of</w:t></w:r>
</w:p>
<w:p>
<w:pPr><w:pStyle w:val="Normal"/></w:pPr>
<w:r><w:t xml:space="preserve">Haeckel that a class Protista should be established to receive</w:t></w:r>
</w:p>
<w:p>
<w:pPr><w:pStyle w:val="Normal"/></w:pPr>
<w:r><w:t xml:space="preserve">the forms exhibiting both animal and plant affinities has much</w:t></w:r>
</w:p>
<w:p>
<w:pPr><w:pStyle w:val="Normal"/></w:pPr>
<w:r><w:t xml:space="preserve">to recommend it on phylogenetic grounds.  To adopt a figure,</w:t></w:r>
</w:p>
<w:p>
<w:pPr><w:pStyle w:val="Normal"/></w:pPr>
<w:r><w:t xml:space="preserve">it is probable that the sources from which the two streams of</w:t></w:r>
</w:p>
<w:p>
<w:pPr><w:pStyle w:val="Normal"/></w:pPr>
<w:r><w:t xml:space="preserve">life--animal and vegetable--spring may not be separable by a</w:t></w:r>
</w:p>
<w:p>
<w:pPr><w:pStyle w:val="Normal"/></w:pPr>
<w:r><w:t xml:space="preserve">well-defined watershed at all, but consist of a great level</w:t></w:r>
</w:p>
<w:p>
<w:pPr><w:pStyle w:val="Normal"/></w:pPr>
<w:r><w:t xml:space="preserve">upland, in which the waterways anastomose.  Finally, while</w:t></w:r>
</w:p>
<w:p>
<w:pPr><w:pStyle w:val="Normal"/></w:pPr>
<w:r><w:t xml:space="preserve">Chlorophyceae and Phaeophyceae exhibit important affinities,</w:t></w:r>
</w:p>
<w:p>
<w:pPr><w:pStyle w:val="Normal"/></w:pPr>
<w:r><w:t xml:space="preserve">the Rhodophyceae are so distinct that the term ``algae&apos;&apos; cannot</w:t></w:r>
</w:p>
<w:p>
<w:pPr><w:pStyle w:val="Normal"/></w:pPr>
<w:r><w:t xml:space="preserve">be made to include them, except when used in its widest sense.</w:t></w:r>
</w:p>
<w:p>
<w:pPr><w:pStyle w:val="Normal"/></w:pPr>
<w:r><w:t xml:space="preserve">Phylogeny.</w:t></w:r>
</w:p>
<w:p>
<w:pPr><w:pStyle w:val="Normal"/></w:pPr>
<w:r><w:t xml:space="preserve">It has been well said that the attempt to classify plants according</w:t></w:r>
</w:p>
<w:p>
<w:pPr><w:pStyle w:val="Normal"/></w:pPr>
<w:r><w:t xml:space="preserve">to their natural affinities is an attempt to construct for</w:t></w:r>
</w:p>
<w:p>
<w:pPr><w:pStyle w:val="Normal"/></w:pPr>
<w:r><w:t xml:space="preserve">them the genealogical tree by which their relationships can be</w:t></w:r>
</w:p>
<w:p>
<w:pPr><w:pStyle w:val="Normal"/></w:pPr>
<w:r><w:t xml:space="preserve">traced.  Algae are, however, so heterogeneous a class, of</w:t></w:r>
</w:p>
<w:p>
<w:pPr><w:pStyle w:val="Normal"/></w:pPr>
<w:r><w:t xml:space="preserve">which the constituent groups are so inadequately known, that</w:t></w:r>
</w:p>
<w:p>
<w:pPr><w:pStyle w:val="Normal"/></w:pPr>
<w:r><w:t xml:space="preserve">it is at present futile to endeavour thus to exhibit their</w:t></w:r>
</w:p>
<w:p>
<w:pPr><w:pStyle w:val="Normal"/></w:pPr>
<w:r><w:t xml:space="preserve">pedigree.  A synoptical representation of the present state</w:t></w:r>
</w:p>
<w:p>
<w:pPr><w:pStyle w:val="Normal"/></w:pPr>
<w:r><w:t xml:space="preserve">of knowledge would be expressed by a network rather than by a</w:t></w:r>
</w:p>
<w:p>
<w:pPr><w:pStyle w:val="Normal"/></w:pPr>
<w:r><w:t xml:space="preserve">tree.  The following table is an adaptation of a scheme</w:t></w:r>
</w:p>
<w:p>
<w:pPr><w:pStyle w:val="Normal"/></w:pPr>
<w:r><w:t xml:space="preserve">devised by Klebs, and indicates the inter-relationships</w:t></w:r>
</w:p>
<w:p>
<w:pPr><w:pStyle w:val="Normal"/></w:pPr>
<w:r><w:t xml:space="preserve">PROTOZOA            Peridiniaceae......Diatomaceae</w:t></w:r>
</w:p>
<w:p>
<w:pPr><w:pStyle w:val="Normal"/></w:pPr>
<w:r><w:t xml:space="preserve">|                 |</w:t></w:r>
</w:p>
<w:p>
<w:pPr><w:pStyle w:val="Normal"/></w:pPr>
<w:r><w:t xml:space="preserve">Cryptomonadaceae--Hydruraceae--EUPHAEOPHYCEAE</w:t></w:r>
</w:p>
<w:p>
<w:pPr><w:pStyle w:val="Normal"/></w:pPr>
<w:r><w:t xml:space="preserve">Flagellata</w:t></w:r>
</w:p>
<w:p>
<w:pPr><w:pStyle w:val="Normal"/></w:pPr>
<w:r><w:t xml:space="preserve">protomastigina......Bacteriaceae--Endosphaeraceae</w:t></w:r>
</w:p>
<w:p>
<w:pPr><w:pStyle w:val="Normal"/></w:pPr>
<w:r><w:t xml:space="preserve">|</w:t></w:r>
</w:p>
<w:p>
<w:pPr><w:pStyle w:val="Normal"/></w:pPr>
<w:r><w:t xml:space="preserve">CYANOPHYCEAE........Bangiacaeae--EUFLORIDEAE</w:t></w:r>
</w:p>
<w:p>
<w:pPr><w:pStyle w:val="Normal"/></w:pPr>
<w:r><w:t xml:space="preserve">Eugleneae</w:t></w:r>
</w:p>
<w:p>
<w:pPr><w:pStyle w:val="Normal"/></w:pPr>
<w:r><w:t xml:space="preserve">Chloromonadinae         Pleurococcaceae--Endosphaeraceae</w:t></w:r>
</w:p>
<w:p>
<w:pPr><w:pStyle w:val="Normal"/></w:pPr>
<w:r><w:t xml:space="preserve">Volvocaceae             Chlorosphaeraceae   CONGUGATAE     SIPHONALES</w:t></w:r>
</w:p>
<w:p>
<w:pPr><w:pStyle w:val="Normal"/></w:pPr>
<w:r><w:t xml:space="preserve">Tetrasporaceae----------Ulvaceae----------CONFERVALES......CHARACEAE</w:t></w:r>
</w:p>
<w:p>
<w:pPr><w:pStyle w:val="Normal"/></w:pPr>
<w:r><w:t xml:space="preserve">FUNGI                            BRYOPHYTA</w:t></w:r>
</w:p>
<w:p>
<w:pPr><w:pStyle w:val="Normal"/></w:pPr>
<w:r><w:t xml:space="preserve">of the various constituent groups.  The area included in</w:t></w:r>
</w:p>
<w:p>
<w:pPr><w:pStyle w:val="Normal"/></w:pPr>
<w:r><w:t xml:space="preserve">the thick boundary line represents algae in the widest</w:t></w:r>
</w:p>
<w:p>
<w:pPr><w:pStyle w:val="Normal"/></w:pPr>
<w:r><w:t xml:space="preserve">sense in which the term is used, and the four included areas</w:t></w:r>
</w:p>
<w:p>
<w:pPr><w:pStyle w:val="Normal"/></w:pPr>
<w:r><w:t xml:space="preserve">the four main subdivisions.  A continuous line indicates a</w:t></w:r>
</w:p>
<w:p>
<w:pPr><w:pStyle w:val="Normal"/></w:pPr>
<w:r><w:t xml:space="preserve">close affinity, and a dotted line a doubtful relationship.</w:t></w:r>
</w:p>
<w:p>
<w:pPr><w:pStyle w:val="Normal"/></w:pPr>
<w:r><w:t xml:space="preserve">Alternation of generations.</w:t></w:r>
</w:p>
<w:p>
<w:pPr><w:pStyle w:val="Normal"/></w:pPr>
<w:r><w:t xml:space="preserve">In comparing algae with the great archegoniate series which</w:t></w:r>
</w:p>
<w:p>
<w:pPr><w:pStyle w:val="Normal"/></w:pPr>
<w:r><w:t xml:space="preserve">has doubtless sprung from them, it is natural to inquire to</w:t></w:r>
</w:p>
<w:p>
<w:pPr><w:pStyle w:val="Normal"/></w:pPr>
<w:r><w:t xml:space="preserve">what extent, if any, they present evidence of the existence</w:t></w:r>
</w:p>
<w:p>
<w:pPr><w:pStyle w:val="Normal"/></w:pPr>
<w:r><w:t xml:space="preserve">of the marked alternation of generations which dominates</w:t></w:r>
</w:p>
<w:p>
<w:pPr><w:pStyle w:val="Normal"/></w:pPr>
<w:r><w:t xml:space="preserve">the life-history of the higher plants.  Turning first to the</w:t></w:r>
</w:p>
<w:p>
<w:pPr><w:pStyle w:val="Normal"/></w:pPr>
<w:r><w:t xml:space="preserve">Rhodophyceae, both on account of the high place which they</w:t></w:r>
</w:p>
<w:p>
<w:pPr><w:pStyle w:val="Normal"/></w:pPr>
<w:r><w:t xml:space="preserve">occupy among algae and also the remarkable uniformity in their</w:t></w:r>
</w:p>
<w:p>
<w:pPr><w:pStyle w:val="Normal"/></w:pPr>
<w:r><w:t xml:space="preserve">reproductive processes, it is clear that, as is the case among</w:t></w:r>
</w:p>
<w:p>
<w:pPr><w:pStyle w:val="Normal"/></w:pPr>
<w:r><w:t xml:space="preserve">Archegoniatae, the product of the sexual act never germinates</w:t></w:r>
</w:p>
<w:p>
<w:pPr><w:pStyle w:val="Normal"/></w:pPr>
<w:r><w:t xml:space="preserve">directly into a plant which gives rise to the sexual organs.</w:t></w:r>
</w:p>
<w:p>
<w:pPr><w:pStyle w:val="Normal"/></w:pPr>
<w:r><w:t xml:space="preserve">Even among Bangiaceae the carpospores arise from the fertilized</w:t></w:r>
</w:p>
<w:p>
<w:pPr><w:pStyle w:val="Normal"/></w:pPr>
<w:r><w:t xml:space="preserve">cell by division, while in all other Rhodophyceae the oospore,</w:t></w:r>
</w:p>
<w:p>
<w:pPr><w:pStyle w:val="Normal"/></w:pPr>
<w:r><w:t xml:space="preserve">as it may be called, gives rise to a filamentous structure,</w:t></w:r>
</w:p>
<w:p>
<w:pPr><w:pStyle w:val="Normal"/></w:pPr>
<w:r><w:t xml:space="preserve">varying greatly in its dimensions, epiphytic, and to a large</w:t></w:r>
</w:p>
<w:p>
<w:pPr><w:pStyle w:val="Normal"/></w:pPr>
<w:r><w:t xml:space="preserve">extent parasitic upon the egg-bearing parent plant, and in the</w:t></w:r>
</w:p>
<w:p>
<w:pPr><w:pStyle w:val="Normal"/></w:pPr>
<w:r><w:t xml:space="preserve">end giving rise to carpospores in the terminal cells of certain</w:t></w:r>
</w:p>
<w:p>
<w:pPr><w:pStyle w:val="Normal"/></w:pPr>
<w:r><w:t xml:space="preserve">branches.  There is here obviously a certain parallelism</w:t></w:r>
</w:p>
<w:p>
<w:pPr><w:pStyle w:val="Normal"/></w:pPr>
<w:r><w:t xml:space="preserve">with the case of Bryophyta, where the sporogonium arising</w:t></w:r>
</w:p>
<w:p>
<w:pPr><w:pStyle w:val="Normal"/></w:pPr>
<w:r><w:t xml:space="preserve">from the oospore is epiphytic and partially parasitic upon</w:t></w:r>
</w:p>
<w:p>
<w:pPr><w:pStyle w:val="Normal"/></w:pPr>
<w:r><w:t xml:space="preserve">the female plant, and always culminates in the production of</w:t></w:r>
</w:p>
<w:p>
<w:pPr><w:pStyle w:val="Normal"/></w:pPr>
<w:r><w:t xml:space="preserve">spores.  Not even Riccia, with its rudimentary sporogonium,</w:t></w:r>
</w:p>
<w:p>
<w:pPr><w:pStyle w:val="Normal"/></w:pPr>
<w:r><w:t xml:space="preserve">has so simple a corresponding stage as Bangia, for, while</w:t></w:r>
</w:p>
<w:p>
<w:pPr><w:pStyle w:val="Normal"/></w:pPr>
<w:r><w:t xml:space="preserve">there is some amount of sterile tissue in Riccia, in Bangia</w:t></w:r>
</w:p>
<w:p>
<w:pPr><w:pStyle w:val="Normal"/></w:pPr>
<w:r><w:t xml:space="preserve">the oospore completely divides to form carpospores.  Excluding</w:t></w:r>
</w:p>
<w:p>
<w:pPr><w:pStyle w:val="Normal"/></w:pPr>
<w:r><w:t xml:space="preserve">Bangiaceae, however, from consideration, the Euflorideae</w:t></w:r>
</w:p>
<w:p>
<w:pPr><w:pStyle w:val="Normal"/></w:pPr>
<w:r><w:t xml:space="preserve">present in the product of the development of the oospore like</w:t></w:r>
</w:p>
<w:p>
<w:pPr><w:pStyle w:val="Normal"/></w:pPr>
<w:r><w:t xml:space="preserve">Bryophyta a structure partly sterile and partly fertile.  There</w:t></w:r>
</w:p>
<w:p>
<w:pPr><w:pStyle w:val="Normal"/></w:pPr>
<w:r><w:t xml:space="preserve">is, nevertheless, this important difference between the two</w:t></w:r>
</w:p>
<w:p>
<w:pPr><w:pStyle w:val="Normal"/></w:pPr>
<w:r><w:t xml:space="preserve">cases.  While the spore of Bryophyta on germination gives rise</w:t></w:r>
</w:p>
<w:p>
<w:pPr><w:pStyle w:val="Normal"/></w:pPr>
<w:r><w:t xml:space="preserve">to the sexual plant, the carpospore of the alga may give rise</w:t></w:r>
</w:p>
<w:p>
<w:pPr><w:pStyle w:val="Normal"/></w:pPr>
<w:r><w:t xml:space="preserve">on germination to a plant bearing a second sort of asexual</w:t></w:r>
</w:p>
<w:p>
<w:pPr><w:pStyle w:val="Normal"/></w:pPr>
<w:r><w:t xml:space="preserve">cells, viz. the tetraspores, and the sexual plant may only be</w:t></w:r>
</w:p>
<w:p>
<w:pPr><w:pStyle w:val="Normal"/></w:pPr>
<w:r><w:t xml:space="preserve">reached after a series of such plants have been successively</w:t></w:r>
</w:p>
<w:p>
<w:pPr><w:pStyle w:val="Normal"/></w:pPr>
<w:r><w:t xml:space="preserve">generated.  It is possible, however, that the tetraspore</w:t></w:r>
</w:p>
<w:p>
<w:pPr><w:pStyle w:val="Normal"/></w:pPr>
<w:r><w:t xml:space="preserve">formation should be regarded as comparable with the prolific</w:t></w:r>
</w:p>
<w:p>
<w:pPr><w:pStyle w:val="Normal"/></w:pPr>
<w:r><w:t xml:space="preserve">vegetative reproduction of Bryophyta, and in favour of this</w:t></w:r>
</w:p>
<w:p>
<w:pPr><w:pStyle w:val="Normal"/></w:pPr>
<w:r><w:t xml:space="preserve">view there is the fact that the tetraspores originate on the</w:t></w:r>
</w:p>
<w:p>
<w:pPr><w:pStyle w:val="Normal"/></w:pPr>
<w:r><w:t xml:space="preserve">thallus in a different way from carpospores with which the</w:t></w:r>
</w:p>
<w:p>
<w:pPr><w:pStyle w:val="Normal"/></w:pPr>
<w:r><w:t xml:space="preserve">spores of Bryophyta are in the first place to be compared;</w:t></w:r>
</w:p>
<w:p>
<w:pPr><w:pStyle w:val="Normal"/></w:pPr>
<w:r><w:t xml:space="preserve">moreover, in certain Nemalionales the production of tetraspores</w:t></w:r>
</w:p>
<w:p>
<w:pPr><w:pStyle w:val="Normal"/></w:pPr>
<w:r><w:t xml:space="preserve">does not occur, and the difficulty referred to does not arise</w:t></w:r>
</w:p>
<w:p>
<w:pPr><w:pStyle w:val="Normal"/></w:pPr>
<w:r><w:t xml:space="preserve">in such cases.  Altogether it is difficult on morphological</w:t></w:r>
</w:p>
<w:p>
<w:pPr><w:pStyle w:val="Normal"/></w:pPr>
<w:r><w:t xml:space="preserve">grounds to resist the conclusion that Florideae present the</w:t></w:r>
</w:p>
<w:p>
<w:pPr><w:pStyle w:val="Normal"/></w:pPr>
<w:r><w:t xml:space="preserve">same fundamental phenomenon of alternation of generations</w:t></w:r>
</w:p>
<w:p>
<w:pPr><w:pStyle w:val="Normal"/></w:pPr>
<w:r><w:t xml:space="preserve">as prevails in the higher plants.  It is by means of the</w:t></w:r>
</w:p>
<w:p>
<w:pPr><w:pStyle w:val="Normal"/></w:pPr>
<w:r><w:t xml:space="preserve">cytological evidence, however, that this problem will finally be</w:t></w:r>
</w:p>
<w:p>
<w:pPr><w:pStyle w:val="Normal"/></w:pPr>
<w:r><w:t xml:space="preserve">solved.  As is well known, the dividing nuclei of the cells</w:t></w:r>
</w:p>
<w:p>
<w:pPr><w:pStyle w:val="Normal"/></w:pPr>
<w:r><w:t xml:space="preserve">of the sporophyte generation of the higher plants exhibit a</w:t></w:r>
</w:p>
<w:p>
<w:pPr><w:pStyle w:val="Normal"/></w:pPr>
<w:r><w:t xml:space="preserve">double number of chromosomes, while the dividing nuclei of</w:t></w:r>
</w:p>
<w:p>
<w:pPr><w:pStyle w:val="Normal"/></w:pPr>
<w:r><w:t xml:space="preserve">the cells of the gametophyte generation exhibit the single</w:t></w:r>
</w:p>
<w:p>
<w:pPr><w:pStyle w:val="Normal"/></w:pPr>
<w:r><w:t xml:space="preserve">number.  In a fern-plant, for example, which is a sporophyte,</w:t></w:r>
</w:p>
<w:p>
<w:pPr><w:pStyle w:val="Normal"/></w:pPr>
<w:r><w:t xml:space="preserve">every karyokinesis divulges the double number, while in the</w:t></w:r>
</w:p>
<w:p>
<w:pPr><w:pStyle w:val="Normal"/></w:pPr>
<w:r><w:t xml:space="preserve">prothallium, which is the gametophyte generation, the single</w:t></w:r>
</w:p>
<w:p>
<w:pPr><w:pStyle w:val="Normal"/></w:pPr>
<w:r><w:t xml:space="preserve">number appears.  The doubling process is provided by the</w:t></w:r>
</w:p>
<w:p>
<w:pPr><w:pStyle w:val="Normal"/></w:pPr>
<w:r><w:t xml:space="preserve">act of fertilization, where an antherozoid with the single</w:t></w:r>
</w:p>
<w:p>
<w:pPr><w:pStyle w:val="Normal"/></w:pPr>
<w:r><w:t xml:space="preserve">number of chromosomes fuses with an oosphere also with the</w:t></w:r>
</w:p>
<w:p>
<w:pPr><w:pStyle w:val="Normal"/></w:pPr>
<w:r><w:t xml:space="preserve">single number to provide a fertilized egg with the double</w:t></w:r>
</w:p>
<w:p>
<w:pPr><w:pStyle w:val="Normal"/></w:pPr>
<w:r><w:t xml:space="preserve">number.  The reduction stage, on the other hand, is the</w:t></w:r>
</w:p>
<w:p>
<w:pPr><w:pStyle w:val="Normal"/></w:pPr>
<w:r><w:t xml:space="preserve">first division of the mother-cell of the spore.  From egg to</w:t></w:r>
</w:p>
<w:p>
<w:pPr><w:pStyle w:val="Normal"/></w:pPr>
<w:r><w:t xml:space="preserve">spore-mother-cell is sporophyte; from spore-mother-cell to</w:t></w:r>
</w:p>
<w:p>
<w:pPr><w:pStyle w:val="Normal"/></w:pPr>
<w:r><w:t xml:space="preserve">egg is gametophyte.  And since this rule has been found to</w:t></w:r>
</w:p>
<w:p>
<w:pPr><w:pStyle w:val="Normal"/></w:pPr>
<w:r><w:t xml:space="preserve">hold good for all the archegoniate series and also for the</w:t></w:r>
</w:p>
<w:p>
<w:pPr><w:pStyle w:val="Normal"/></w:pPr>
<w:r><w:t xml:space="preserve">flowering plants where, however, the gametophyte generation</w:t></w:r>
</w:p>
<w:p>
<w:pPr><w:pStyle w:val="Normal"/></w:pPr>
<w:r><w:t xml:space="preserve">has become so extremely reduced as to be only with difficulty</w:t></w:r>
</w:p>
<w:p>
<w:pPr><w:pStyle w:val="Normal"/></w:pPr>
<w:r><w:t xml:space="preserve">discerned, it is natural that when alternation of generation</w:t></w:r>
</w:p>
<w:p>
<w:pPr><w:pStyle w:val="Normal"/></w:pPr>
<w:r><w:t xml:space="preserve">is stated to occur in any group of Thallophyta it should be</w:t></w:r>
</w:p>
<w:p>
<w:pPr><w:pStyle w:val="Normal"/></w:pPr>
<w:r><w:t xml:space="preserve">required that the cytological evidence should support the</w:t></w:r>
</w:p>
<w:p>
<w:pPr><w:pStyle w:val="Normal"/></w:pPr>
<w:r><w:t xml:space="preserve">view.  The genus Nemalion has been recently investigated by</w:t></w:r>
</w:p>
<w:p>
<w:pPr><w:pStyle w:val="Normal"/></w:pPr>
<w:r><w:t xml:space="preserve">Wolfe with the object of examining the cytological evidence.</w:t></w:r>
</w:p>
<w:p>
<w:pPr><w:pStyle w:val="Normal"/></w:pPr>
<w:r><w:t xml:space="preserve">He finds that eight chromosomes appear in karyokinesis in the</w:t></w:r>
</w:p>
<w:p>
<w:pPr><w:pStyle w:val="Normal"/></w:pPr>
<w:r><w:t xml:space="preserve">ordinary thallus cells, but sixteen in the gonimoblast filaments</w:t></w:r>
</w:p>
<w:p>
<w:pPr><w:pStyle w:val="Normal"/></w:pPr>
<w:r><w:t xml:space="preserve">derived from the fertilized carpogonium.  Eight chromosomes</w:t></w:r>
</w:p>
<w:p>
<w:pPr><w:pStyle w:val="Normal"/></w:pPr>
<w:r><w:t xml:space="preserve">appear again in the ultimate divisions which give rise to the</w:t></w:r>
</w:p>
<w:p>
<w:pPr><w:pStyle w:val="Normal"/></w:pPr>
<w:r><w:t xml:space="preserve">carpospores.  Upon the evidence it would seem therefore</w:t></w:r>
</w:p>
<w:p>
<w:pPr><w:pStyle w:val="Normal"/></w:pPr>
<w:r><w:t xml:space="preserve">that so far as Nemalion is concerned an alternation occurs</w:t></w:r>
</w:p>
<w:p>
<w:pPr><w:pStyle w:val="Normal"/></w:pPr>
<w:r><w:t xml:space="preserve">comparable with that existing in the lower Bryophyta where</w:t></w:r>
</w:p>
<w:p>
<w:pPr><w:pStyle w:val="Normal"/></w:pPr>
<w:r><w:t xml:space="preserve">the sporophyte is relatively small, being attached to and to</w:t></w:r>
</w:p>
<w:p>
<w:pPr><w:pStyle w:val="Normal"/></w:pPr>
<w:r><w:t xml:space="preserve">some extent parasitic upon the gametophyte. Nemalion is,</w:t></w:r>
</w:p>
<w:p>
<w:pPr><w:pStyle w:val="Normal"/></w:pPr>
<w:r><w:t xml:space="preserve">however, one of those Florideae in which tetraspores do not</w:t></w:r>
</w:p>
<w:p>
<w:pPr><w:pStyle w:val="Normal"/></w:pPr>
<w:r><w:t xml:space="preserve">occur.  What is the case with those Florideae which have been</w:t></w:r>
</w:p>
<w:p>
<w:pPr><w:pStyle w:val="Normal"/></w:pPr>
<w:r><w:t xml:space="preserve">described as trioecious? If the sporophyte generation is confined</w:t></w:r>
</w:p>
<w:p>
<w:pPr><w:pStyle w:val="Normal"/></w:pPr>
<w:r><w:t xml:space="preserve">to the cystocarp, is the tetrasporiferous plant, as has been</w:t></w:r>
</w:p>
<w:p>
<w:pPr><w:pStyle w:val="Normal"/></w:pPr>
<w:r><w:t xml:space="preserve">suggested, merely a potential gametophyte reproducing by a</w:t></w:r>
</w:p>
<w:p>
<w:pPr><w:pStyle w:val="Normal"/></w:pPr>
<w:r><w:t xml:space="preserve">process analogous to the bud- formation of the Bryophyta? In</w:t></w:r>
</w:p>
<w:p>
<w:pPr><w:pStyle w:val="Normal"/></w:pPr>
<w:r><w:t xml:space="preserve">answer to this question a recent writer, Yamanouchi, states</w:t></w:r>
</w:p>
<w:p>
<w:pPr><w:pStyle w:val="Normal"/></w:pPr>
<w:r><w:t xml:space="preserve">in a preliminary communication that he has found that in</w:t></w:r>
</w:p>
<w:p>
<w:pPr><w:pStyle w:val="Normal"/></w:pPr>
<w:r><w:t xml:space="preserve">Polysiphonia violacea the germinating carpospores exhibit</w:t></w:r>
</w:p>
<w:p>
<w:pPr><w:pStyle w:val="Normal"/></w:pPr>
<w:r><w:t xml:space="preserve">forty chromosomes, and the germinating tetraspores twenty</w:t></w:r>
</w:p>
<w:p>
<w:pPr><w:pStyle w:val="Normal"/></w:pPr>
<w:r><w:t xml:space="preserve">chromosomes.  From this it would seem that in this plant</w:t></w:r>
</w:p>
<w:p>
<w:pPr><w:pStyle w:val="Normal"/></w:pPr>
<w:r><w:t xml:space="preserve">reduction takes place in the tetraspore mother- cell, and that</w:t></w:r>
</w:p>
<w:p>
<w:pPr><w:pStyle w:val="Normal"/></w:pPr>
<w:r><w:t xml:space="preserve">the tetrasporiferous plants are sporophytes which alternate with</w:t></w:r>
</w:p>
<w:p>
<w:pPr><w:pStyle w:val="Normal"/></w:pPr>
<w:r><w:t xml:space="preserve">sexual plants.  Novel as this result may seem, the tetraspores</w:t></w:r>
</w:p>
<w:p>
<w:pPr><w:pStyle w:val="Normal"/></w:pPr>
<w:r><w:t xml:space="preserve">of Florideae become hereby comparable with the tetraspores of</w:t></w:r>
</w:p>
<w:p>
<w:pPr><w:pStyle w:val="Normal"/></w:pPr>
<w:r><w:t xml:space="preserve">Dictyota, to which reference will be made hereafter.  But it</w:t></w:r>
</w:p>
<w:p>
<w:pPr><w:pStyle w:val="Normal"/></w:pPr>
<w:r><w:t xml:space="preserve">is clear that it becomes on this view increasingly difficult</w:t></w:r>
</w:p>
<w:p>
<w:pPr><w:pStyle w:val="Normal"/></w:pPr>
<w:r><w:t xml:space="preserve">to explain the occasional occurrence of tetraspores on male,</w:t></w:r>
</w:p>
<w:p>
<w:pPr><w:pStyle w:val="Normal"/></w:pPr>
<w:r><w:t xml:space="preserve">female and monoecious plants or the role of the carpospores</w:t></w:r>
</w:p>
<w:p>
<w:pPr><w:pStyle w:val="Normal"/></w:pPr>
<w:r><w:t xml:space="preserve">in the life-cycle of Florideae.  The results of future research</w:t></w:r>
</w:p>
<w:p>
<w:pPr><w:pStyle w:val="Normal"/></w:pPr>
<w:r><w:t xml:space="preserve">on the cytology of the group will be awaited with interest.</w:t></w:r>
</w:p>
<w:p>
<w:pPr><w:pStyle w:val="Normal"/></w:pPr>
<w:r><w:t xml:space="preserve">Among Phaeophyceae it is well known that the oospore of</w:t></w:r>
</w:p>
<w:p>
<w:pPr><w:pStyle w:val="Normal"/></w:pPr>
<w:r><w:t xml:space="preserve">Fucaceae germinates directly into the sexual plant, and there</w:t></w:r>
</w:p>
<w:p>
<w:pPr><w:pStyle w:val="Normal"/></w:pPr>
<w:r><w:t xml:space="preserve">is thus only one generation.  Moreover, it is known that</w:t></w:r>
</w:p>
<w:p>
<w:pPr><w:pStyle w:val="Normal"/></w:pPr>
<w:r><w:t xml:space="preserve">the reduction in the number of chromosomes which occurs at</w:t></w:r>
</w:p>
<w:p>
<w:pPr><w:pStyle w:val="Normal"/></w:pPr>
<w:r><w:t xml:space="preserve">the initiation of the gametophyte generation in Pteridophyta</w:t></w:r>
</w:p>
<w:p>
<w:pPr><w:pStyle w:val="Normal"/></w:pPr>
<w:r><w:t xml:space="preserve">occurs in the culminating stage of Fucus, where the oogonium</w:t></w:r>
</w:p>
<w:p>
<w:pPr><w:pStyle w:val="Normal"/></w:pPr>
<w:r><w:t xml:space="preserve">is separated from the stalk-cell, so that unless it be</w:t></w:r>
</w:p>
<w:p>
<w:pPr><w:pStyle w:val="Normal"/></w:pPr>
<w:r><w:t xml:space="preserve">contended that the Fucus is really a sporophyte which does</w:t></w:r>
</w:p>
<w:p>
<w:pPr><w:pStyle w:val="Normal"/></w:pPr>
<w:r><w:t xml:space="preserve">not produce spores, and that the gametophyte is represented</w:t></w:r>
</w:p>
<w:p>
<w:pPr><w:pStyle w:val="Normal"/></w:pPr>
<w:r><w:t xml:space="preserve">merely by the oogonium and antheridium, there is no semblance</w:t></w:r>
</w:p>
<w:p>
<w:pPr><w:pStyle w:val="Normal"/></w:pPr>
<w:r><w:t xml:space="preserve">of alternation of generation in this case.  The only case</w:t></w:r>
</w:p>
<w:p>
<w:pPr><w:pStyle w:val="Normal"/></w:pPr>
<w:r><w:t xml:space="preserve">among Phaeophyceae which has been considered to point to the</w:t></w:r>
</w:p>
<w:p>
<w:pPr><w:pStyle w:val="Normal"/></w:pPr>
<w:r><w:t xml:space="preserve">existence of such a phenomenon is Cutleria. Here the asexual</w:t></w:r>
</w:p>
<w:p>
<w:pPr><w:pStyle w:val="Normal"/></w:pPr>
<w:r><w:t xml:space="preserve">cells are borne upon the so-called Aglaozonia reptans and the</w:t></w:r>
</w:p>
<w:p>
<w:pPr><w:pStyle w:val="Normal"/></w:pPr>
<w:r><w:t xml:space="preserve">sexual cells upon the plants known as Cutleria. The spores</w:t></w:r>
</w:p>
<w:p>
<w:pPr><w:pStyle w:val="Normal"/></w:pPr>
<w:r><w:t xml:space="preserve">of the Aglaozonia form are known to give rise to sexual</w:t></w:r>
</w:p>
<w:p>
<w:pPr><w:pStyle w:val="Normal"/></w:pPr>
<w:r><w:t xml:space="preserve">plants, and the oospore of Cutleria has been observed to</w:t></w:r>
</w:p>
<w:p>
<w:pPr><w:pStyle w:val="Normal"/></w:pPr>
<w:r><w:t xml:space="preserve">grow into rudimentary Aglaozonia. Latterly, however, as the</w:t></w:r>
</w:p>
<w:p>
<w:pPr><w:pStyle w:val="Normal"/></w:pPr>
<w:r><w:t xml:space="preserve">result of the cytological investigations of Mottler and Lloyd</w:t></w:r>
</w:p>
<w:p>
<w:pPr><w:pStyle w:val="Normal"/></w:pPr>
<w:r><w:t xml:space="preserve">Williams, great advance has been made in our knowledge of the</w:t></w:r>
</w:p>
<w:p>
<w:pPr><w:pStyle w:val="Normal"/></w:pPr>
<w:r><w:t xml:space="preserve">conditions existing in Dictyota. Mottler first observed that</w:t></w:r>
</w:p>
<w:p>
<w:pPr><w:pStyle w:val="Normal"/></w:pPr>
<w:r><w:t xml:space="preserve">a reduction in the number takes place in the mother-cells of the</w:t></w:r>
</w:p>
<w:p>
<w:pPr><w:pStyle w:val="Normal"/></w:pPr>
<w:r><w:t xml:space="preserve">tetraspore.  It will be remembered that, as in most Florideae,</w:t></w:r>
</w:p>
<w:p>
<w:pPr><w:pStyle w:val="Normal"/></w:pPr>
<w:r><w:t xml:space="preserve">the male, female and asexual plants are distinct in this</w:t></w:r>
</w:p>
<w:p>
<w:pPr><w:pStyle w:val="Normal"/></w:pPr>
<w:r><w:t xml:space="preserve">genus.  Mottler&apos;s observation has been confirmed by Lloyd</w:t></w:r>
</w:p>
<w:p>
<w:pPr><w:pStyle w:val="Normal"/></w:pPr>
<w:r><w:t xml:space="preserve">Williams, who has shown, moreover, that the single number</w:t></w:r>
</w:p>
<w:p>
<w:pPr><w:pStyle w:val="Normal"/></w:pPr>
<w:r><w:t xml:space="preserve">occurs in germlings from the tetraspore, and also in the</w:t></w:r>
</w:p>
<w:p>
<w:pPr><w:pStyle w:val="Normal"/></w:pPr>
<w:r><w:t xml:space="preserve">adult stages of all sexual plants, while the double number</w:t></w:r>
</w:p>
<w:p>
<w:pPr><w:pStyle w:val="Normal"/></w:pPr>
<w:r><w:t xml:space="preserve">occurs in germlings from the oospore, and in adult stages of</w:t></w:r>
</w:p>
<w:p>
<w:pPr><w:pStyle w:val="Normal"/></w:pPr>
<w:r><w:t xml:space="preserve">all asexual plants.  It is probable, therefore, that we have</w:t></w:r>
</w:p>
<w:p>
<w:pPr><w:pStyle w:val="Normal"/></w:pPr>
<w:r><w:t xml:space="preserve">here a sharp alternation of generations, both generations</w:t></w:r>
</w:p>
<w:p>
<w:pPr><w:pStyle w:val="Normal"/></w:pPr>
<w:r><w:t xml:space="preserve">being, however, precisely similar to the eye up to point of</w:t></w:r>
</w:p>
<w:p>
<w:pPr><w:pStyle w:val="Normal"/></w:pPr>
<w:r><w:t xml:space="preserve">reproduction.  Among Chlorophyceae it is often the case that the</w:t></w:r>
</w:p>
<w:p>
<w:pPr><w:pStyle w:val="Normal"/></w:pPr>
<w:r><w:t xml:space="preserve">oospore on germination divides up directly to form a brood of</w:t></w:r>
</w:p>
<w:p>
<w:pPr><w:pStyle w:val="Normal"/></w:pPr>
<w:r><w:t xml:space="preserve">zoospores.  In Coleochaete this seems to be preceded by the</w:t></w:r>
</w:p>
<w:p>
<w:pPr><w:pStyle w:val="Normal"/></w:pPr>
<w:r><w:t xml:space="preserve">formation of a minute parenchymatous mass, in each cell of which</w:t></w:r>
</w:p>
<w:p>
<w:pPr><w:pStyle w:val="Normal"/></w:pPr>
<w:r><w:t xml:space="preserve">a zoospore is produced.  In Sphaeroplea it is only at this</w:t></w:r>
</w:p>
<w:p>
<w:pPr><w:pStyle w:val="Normal"/></w:pPr>
<w:r><w:t xml:space="preserve">stage that zoospores are formed at all; but in most cases, such</w:t></w:r>
</w:p>
<w:p>
<w:pPr><w:pStyle w:val="Normal"/></w:pPr>
<w:r><w:t xml:space="preserve">as Oedogogonium, Ulothrix, Coleochaete, similar zoospores</w:t></w:r>
</w:p>
<w:p>
<w:pPr><w:pStyle w:val="Normal"/></w:pPr>
<w:r><w:t xml:space="preserve">are produced again and again upon the thallus, and the product</w:t></w:r>
</w:p>
<w:p>
<w:pPr><w:pStyle w:val="Normal"/></w:pPr>
<w:r><w:t xml:space="preserve">of the oospore may be regarded as merely a first brood of a</w:t></w:r>
</w:p>
<w:p>
<w:pPr><w:pStyle w:val="Normal"/></w:pPr>
<w:r><w:t xml:space="preserve">series.  It has been held by some, however, that the first</w:t></w:r>
</w:p>
<w:p>
<w:pPr><w:pStyle w:val="Normal"/></w:pPr>
<w:r><w:t xml:space="preserve">brood corresponds to the sporophyte generation of the higher</w:t></w:r>
</w:p>
<w:p>
<w:pPr><w:pStyle w:val="Normal"/></w:pPr>
<w:r><w:t xml:space="preserve">plants, and that the rest of the cycle is the gametophyte</w:t></w:r>
</w:p>
<w:p>
<w:pPr><w:pStyle w:val="Normal"/></w:pPr>
<w:r><w:t xml:space="preserve">generation.  Were the case of Sphaeroplea to stand alone,</w:t></w:r>
</w:p>
<w:p>
<w:pPr><w:pStyle w:val="Normal"/></w:pPr>
<w:r><w:t xml:space="preserve">the phenomenon might perhaps be regarded as an alternation of</w:t></w:r>
</w:p>
<w:p>
<w:pPr><w:pStyle w:val="Normal"/></w:pPr>
<w:r><w:t xml:space="preserve">generations, but still only comparable with the case of Bangia,</w:t></w:r>
</w:p>
<w:p>
<w:pPr><w:pStyle w:val="Normal"/></w:pPr>
<w:r><w:t xml:space="preserve">and not the case of the Florideae.  But it is difficult to</w:t></w:r>
</w:p>
<w:p>
<w:pPr><w:pStyle w:val="Normal"/></w:pPr>
<w:r><w:t xml:space="preserve">apply such a term at all to those cases in which there intervene</w:t></w:r>
</w:p>
<w:p>
<w:pPr><w:pStyle w:val="Normal"/></w:pPr>
<w:r><w:t xml:space="preserve">between the oospore and the next sexual stage a series of</w:t></w:r>
</w:p>
<w:p>
<w:pPr><w:pStyle w:val="Normal"/></w:pPr>
<w:r><w:t xml:space="preserve">generations, the zoospores of which are all precisely similar.</w:t></w:r>
</w:p>
<w:p>
<w:pPr><w:pStyle w:val="Normal"/></w:pPr>
<w:r><w:t xml:space="preserve">Polymorphism.</w:t></w:r>
</w:p>
<w:p>
<w:pPr><w:pStyle w:val="Normal"/></w:pPr>
<w:r><w:t xml:space="preserve">The difficulty of tracing the relationships of algae is largely</w:t></w:r>
</w:p>
<w:p>
<w:pPr><w:pStyle w:val="Normal"/></w:pPr>
<w:r><w:t xml:space="preserve">due to the inadequacy of our knowledge of the conditions</w:t></w:r>
</w:p>
<w:p>
<w:pPr><w:pStyle w:val="Normal"/></w:pPr>
<w:r><w:t xml:space="preserve">under which they pass through the crucial stages of their</w:t></w:r>
</w:p>
<w:p>
<w:pPr><w:pStyle w:val="Normal"/></w:pPr>
<w:r><w:t xml:space="preserve">life-cycle.  Of the thousands of species which have been</w:t></w:r>
</w:p>
<w:p>
<w:pPr><w:pStyle w:val="Normal"/></w:pPr>
<w:r><w:t xml:space="preserve">distinguished, relatively few have been traced from spore</w:t></w:r>
</w:p>
<w:p>
<w:pPr><w:pStyle w:val="Normal"/></w:pPr>
<w:r><w:t xml:space="preserve">to spore, as the flowering plants have been observed from</w:t></w:r>
</w:p>
<w:p>
<w:pPr><w:pStyle w:val="Normal"/></w:pPr>
<w:r><w:t xml:space="preserve">seed to seed.  The aquatic habit of most of the species</w:t></w:r>
</w:p>
<w:p>
<w:pPr><w:pStyle w:val="Normal"/></w:pPr>
<w:r><w:t xml:space="preserve">and the minute size of many of them are difficulties which</w:t></w:r>
</w:p>
<w:p>
<w:pPr><w:pStyle w:val="Normal"/></w:pPr>
<w:r><w:t xml:space="preserve">do not exist in the case of most seed-plants.  From the</w:t></w:r>
</w:p>
<w:p>
<w:pPr><w:pStyle w:val="Normal"/></w:pPr>
<w:r><w:t xml:space="preserve">analogy of the higher plants observers have justly argued</w:t></w:r>
</w:p>
<w:p>
<w:pPr><w:pStyle w:val="Normal"/></w:pPr>
<w:r><w:t xml:space="preserve">that when they have seen and marked the characters of the</w:t></w:r>
</w:p>
<w:p>
<w:pPr><w:pStyle w:val="Normal"/></w:pPr>
<w:r><w:t xml:space="preserve">reproductive organs they have found the plant at the stage</w:t></w:r>
</w:p>
<w:p>
<w:pPr><w:pStyle w:val="Normal"/></w:pPr>
<w:r><w:t xml:space="preserve">when it exhibits its most noteworthy features, and they have</w:t></w:r>
</w:p>
<w:p>
<w:pPr><w:pStyle w:val="Normal"/></w:pPr>
<w:r><w:t xml:space="preserve">named and classified the species in accordance with these</w:t></w:r>
</w:p>
<w:p>
<w:pPr><w:pStyle w:val="Normal"/></w:pPr>
<w:r><w:t xml:space="preserve">observations.  While even in such cases it is obvious that</w:t></w:r>
</w:p>
<w:p>
<w:pPr><w:pStyle w:val="Normal"/></w:pPr>
<w:r><w:t xml:space="preserve">interesting stages in the life of the plant may escape notice</w:t></w:r>
</w:p>
<w:p>
<w:pPr><w:pStyle w:val="Normal"/></w:pPr>
<w:r><w:t xml:space="preserve">altogether, in the cases of those plants the reproduction of</w:t></w:r>
</w:p>
<w:p>
<w:pPr><w:pStyle w:val="Normal"/></w:pPr>
<w:r><w:t xml:space="preserve">which is unknown, and which have been named and placed on the</w:t></w:r>
</w:p>
<w:p>
<w:pPr><w:pStyle w:val="Normal"/></w:pPr>
<w:r><w:t xml:space="preserve">analogy of the vegetative parts alone, there is considerable</w:t></w:r>
</w:p>
<w:p>
<w:pPr><w:pStyle w:val="Normal"/></w:pPr>
<w:r><w:t xml:space="preserve">danger that a plant may be named as a distinct species which</w:t></w:r>
</w:p>
<w:p>
<w:pPr><w:pStyle w:val="Normal"/></w:pPr>
<w:r><w:t xml:space="preserve">is only a stage in the life of another distinct and perhaps</w:t></w:r>
</w:p>
<w:p>
<w:pPr><w:pStyle w:val="Normal"/></w:pPr>
<w:r><w:t xml:space="preserve">already known species.  To take an example, Lemanea and</w:t></w:r>
</w:p>
<w:p>
<w:pPr><w:pStyle w:val="Normal"/></w:pPr>
<w:r><w:t xml:space="preserve">Batrachospermum are Florideae which bear densely-whorled</w:t></w:r>
</w:p>
<w:p>
<w:pPr><w:pStyle w:val="Normal"/></w:pPr>
<w:r><w:t xml:space="preserve">branches, but which, on the germination of the carpospore,</w:t></w:r>
</w:p>
<w:p>
<w:pPr><w:pStyle w:val="Normal"/></w:pPr>
<w:r><w:t xml:space="preserve">give rise to a laxly-filamentous, somewhat irregularly-branched</w:t></w:r>
</w:p>
<w:p>
<w:pPr><w:pStyle w:val="Normal"/></w:pPr>
<w:r><w:t xml:space="preserve">plant, from which the ordinary sexual plants arise at a later</w:t></w:r>
</w:p>
<w:p>
<w:pPr><w:pStyle w:val="Normal"/></w:pPr>
<w:r><w:t xml:space="preserve">stage.  This filamentous structure has been attributed to the</w:t></w:r>
</w:p>
<w:p>
<w:pPr><w:pStyle w:val="Normal"/></w:pPr>
<w:r><w:t xml:space="preserve">genus Chantransia, which it greatly resembles, especially</w:t></w:r>
</w:p>
<w:p>
<w:pPr><w:pStyle w:val="Normal"/></w:pPr>
<w:r><w:t xml:space="preserve">when, as is said to be the case in Batrachospermum, it</w:t></w:r>
</w:p>
<w:p>
<w:pPr><w:pStyle w:val="Normal"/></w:pPr>
<w:r><w:t xml:space="preserve">bears similar monospores.  The true Chantransia, however,</w:t></w:r>
</w:p>
<w:p>
<w:pPr><w:pStyle w:val="Normal"/></w:pPr>
<w:r><w:t xml:space="preserve">bears its own sexual organs as well as monospores.  To the</w:t></w:r>
</w:p>
<w:p>
<w:pPr><w:pStyle w:val="Normal"/></w:pPr>
<w:r><w:t xml:space="preserve">specific identity of Haplospora globosa and Scaphospora</w:t></w:r>
</w:p>
<w:p>
<w:pPr><w:pStyle w:val="Normal"/></w:pPr>
<w:r><w:t xml:space="preserve">speciosa, and of Cutleria muitifida and Aglaozonia</w:t></w:r>
</w:p>
<w:p>
<w:pPr><w:pStyle w:val="Normal"/></w:pPr>
<w:r><w:t xml:space="preserve">reptans, reference has already been made.  Again, many Green</w:t></w:r>
</w:p>
<w:p>
<w:pPr><w:pStyle w:val="Normal"/></w:pPr>
<w:r><w:t xml:space="preserve">Algae--some unicellular, like Sphaerella and Chlamydomonas;</w:t></w:r>
</w:p>
<w:p>
<w:pPr><w:pStyle w:val="Normal"/></w:pPr>
<w:r><w:t xml:space="preserve">some colonial forms, like Volvox and Hormotila; some</w:t></w:r>
</w:p>
<w:p>
<w:pPr><w:pStyle w:val="Normal"/></w:pPr>
<w:r><w:t xml:space="preserve">even filamentous forms, like Ulothrix and Stigeoclonium--</w:t></w:r>
</w:p>
<w:p>
<w:pPr><w:pStyle w:val="Normal"/></w:pPr>
<w:r><w:t xml:space="preserve">are known to pass into a condition resembling that of a</w:t></w:r>
</w:p>
<w:p>
<w:pPr><w:pStyle w:val="Normal"/></w:pPr>
<w:r><w:t xml:space="preserve">Palmella, and might escape identification on this account.</w:t></w:r>
</w:p>
<w:p>
<w:pPr><w:pStyle w:val="Normal"/></w:pPr>
<w:r><w:t xml:space="preserve">It is, on the other hand, a danger in the opposite sense to</w:t></w:r>
</w:p>
<w:p>
<w:pPr><w:pStyle w:val="Normal"/></w:pPr>
<w:r><w:t xml:space="preserve">conclude that all Chantransia species are stages in the</w:t></w:r>
</w:p>
<w:p>
<w:pPr><w:pStyle w:val="Normal"/></w:pPr>
<w:r><w:t xml:space="preserve">life-cycle of other plants, and, similarly, that all irregular</w:t></w:r>
</w:p>
<w:p>
<w:pPr><w:pStyle w:val="Normal"/></w:pPr>
<w:r><w:t xml:space="preserve">colonial forms, like Palmella, represent phases in the life</w:t></w:r>
</w:p>
<w:p>
<w:pPr><w:pStyle w:val="Normal"/></w:pPr>
<w:r><w:t xml:space="preserve">of other Green Algae.  Long ago Kutzing went so far as to</w:t></w:r>
</w:p>
<w:p>
<w:pPr><w:pStyle w:val="Normal"/></w:pPr>
<w:r><w:t xml:space="preserve">express the belief that the lower algae were all capable of</w:t></w:r>
</w:p>
<w:p>
<w:pPr><w:pStyle w:val="Normal"/></w:pPr>
<w:r><w:t xml:space="preserve">transformations into higher forms, even into moss-protonemata.</w:t></w:r>
</w:p>
<w:p>
<w:pPr><w:pStyle w:val="Normal"/></w:pPr>
<w:r><w:t xml:space="preserve">Later writers have also thought that in all four groups</w:t></w:r>
</w:p>
<w:p>
<w:pPr><w:pStyle w:val="Normal"/></w:pPr>
<w:r><w:t xml:space="preserve">of algae transformations of a most far-reaching character</w:t></w:r>
</w:p>
<w:p>
<w:pPr><w:pStyle w:val="Normal"/></w:pPr>
<w:r><w:t xml:space="preserve">occur.  Thus Borzi finds that Protoderma viride passes</w:t></w:r>
</w:p>
<w:p>
<w:pPr><w:pStyle w:val="Normal"/></w:pPr>
<w:r><w:t xml:space="preserve">through a series of changes so varied that at different times</w:t></w:r>
</w:p>
<w:p>
<w:pPr><w:pStyle w:val="Normal"/></w:pPr>
<w:r><w:t xml:space="preserve">it presents the characters of twelve different genera.  Chodat</w:t></w:r>
</w:p>
<w:p>
<w:pPr><w:pStyle w:val="Normal"/></w:pPr>
<w:r><w:t xml:space="preserve">does not find so general a polymorphism, but nevertheless</w:t></w:r>
</w:p>
<w:p>
<w:pPr><w:pStyle w:val="Normal"/></w:pPr>
<w:r><w:t xml:space="preserve">holds that Raphidium passes through stages represented by</w:t></w:r>
</w:p>
<w:p>
<w:pPr><w:pStyle w:val="Normal"/></w:pPr>
<w:r><w:t xml:space="preserve">Protococcus, Characium, Dactylococcus and Sciadium. Klebs</w:t></w:r>
</w:p>
<w:p>
<w:pPr><w:pStyle w:val="Normal"/></w:pPr>
<w:r><w:t xml:space="preserve">has, however, recently canvassed the conclusions of both</w:t></w:r>
</w:p>
<w:p>
<w:pPr><w:pStyle w:val="Normal"/></w:pPr>
<w:r><w:t xml:space="preserve">these investigators; and as the result of his own observations</w:t></w:r>
</w:p>
<w:p>
<w:pPr><w:pStyle w:val="Normal"/></w:pPr>
<w:r><w:t xml:space="preserve">declares that algae, so far from being as polymorphic as</w:t></w:r>
</w:p>
<w:p>
<w:pPr><w:pStyle w:val="Normal"/></w:pPr>
<w:r><w:t xml:space="preserve">they have been described, vary only within relatively narrow</w:t></w:r>
</w:p>
<w:p>
<w:pPr><w:pStyle w:val="Normal"/></w:pPr>
<w:r><w:t xml:space="preserve">limits, and present on the whole as great fixity as the higher</w:t></w:r>
</w:p>
<w:p>
<w:pPr><w:pStyle w:val="Normal"/></w:pPr>
<w:r><w:t xml:space="preserve">plants.  It certainly supports his view to discover, on</w:t></w:r>
</w:p>
<w:p>
<w:pPr><w:pStyle w:val="Normal"/></w:pPr>
<w:r><w:t xml:space="preserve">subjecting to a careful investigation Botrydium granulatum,</w:t></w:r>
</w:p>
<w:p>
<w:pPr><w:pStyle w:val="Normal"/></w:pPr>
<w:r><w:t xml:space="preserve">a siphonaceous alga whose varied forms had been described</w:t></w:r>
</w:p>
<w:p>
<w:pPr><w:pStyle w:val="Normal"/></w:pPr>
<w:r><w:t xml:space="preserve">by J. Rostafinski and M. Woronin, that these authors had</w:t></w:r>
</w:p>
<w:p>
<w:pPr><w:pStyle w:val="Normal"/></w:pPr>
<w:r><w:t xml:space="preserve">included in the life-cycle stages of a second alga described</w:t></w:r>
</w:p>
<w:p>
<w:pPr><w:pStyle w:val="Normal"/></w:pPr>
<w:r><w:t xml:space="preserve">previously by Kutzing, and now described afresh by Klebs as</w:t></w:r>
</w:p>
<w:p>
<w:pPr><w:pStyle w:val="Normal"/></w:pPr>
<w:r><w:t xml:space="preserve">Protosiphon bolryoides. In Botrydium the chromatophores</w:t></w:r>
</w:p>
<w:p>
<w:pPr><w:pStyle w:val="Normal"/></w:pPr>
<w:r><w:t xml:space="preserve">are small, without pyrenoids, and oil-drops are present;</w:t></w:r>
</w:p>
<w:p>
<w:pPr><w:pStyle w:val="Normal"/></w:pPr>
<w:r><w:t xml:space="preserve">in Protosiphon the chromatophores form a net-work with</w:t></w:r>
</w:p>
<w:p>
<w:pPr><w:pStyle w:val="Normal"/></w:pPr>
<w:r><w:t xml:space="preserve">pyrenoids, and the contents include starch.  Klebs insists</w:t></w:r>
</w:p>
<w:p>
<w:pPr><w:pStyle w:val="Normal"/></w:pPr>
<w:r><w:t xml:space="preserve">that the only solution of such problems is the subjection of</w:t></w:r>
</w:p>
<w:p>
<w:pPr><w:pStyle w:val="Normal"/></w:pPr>
<w:r><w:t xml:space="preserve">the algae in question to a rigorous method of pure culture.</w:t></w:r>
</w:p>
<w:p>
<w:pPr><w:pStyle w:val="Normal"/></w:pPr>
<w:r><w:t xml:space="preserve">It is interesting to learn that G. Senn, pursuing the methods</w:t></w:r>
</w:p>
<w:p>
<w:pPr><w:pStyle w:val="Normal"/></w:pPr>
<w:r><w:t xml:space="preserve">described by Klebs, has confirmed Chodat&apos;s observation of the</w:t></w:r>
</w:p>
<w:p>
<w:pPr><w:pStyle w:val="Normal"/></w:pPr>
<w:r><w:t xml:space="preserve">passage of Raphidium into a Dactylococcus-stage, although</w:t></w:r>
</w:p>
<w:p>
<w:pPr><w:pStyle w:val="Normal"/></w:pPr>
<w:r><w:t xml:space="preserve">he was unable to observe further metamorphosis.  He has</w:t></w:r>
</w:p>
<w:p>
<w:pPr><w:pStyle w:val="Normal"/></w:pPr>
<w:r><w:t xml:space="preserve">also seen Pleurococcus viridis dividing so as to form a</w:t></w:r>
</w:p>
<w:p>
<w:pPr><w:pStyle w:val="Normal"/></w:pPr>
<w:r><w:t xml:space="preserve">filament, but has not succeeded in seeing the formation of</w:t></w:r>
</w:p>
<w:p>
<w:pPr><w:pStyle w:val="Normal"/></w:pPr>
<w:r><w:t xml:space="preserve">zoospores as described by Chodat.  While, therefore, there is</w:t></w:r>
</w:p>
<w:p>
<w:pPr><w:pStyle w:val="Normal"/></w:pPr>
<w:r><w:t xml:space="preserve">much evidence of a negative character against the existence</w:t></w:r>
</w:p>
<w:p>
<w:pPr><w:pStyle w:val="Normal"/></w:pPr>
<w:r><w:t xml:space="preserve">of an extensive polymorphism among algae, some amount of</w:t></w:r>
</w:p>
<w:p>
<w:pPr><w:pStyle w:val="Normal"/></w:pPr>
<w:r><w:t xml:space="preserve">metamorphosis is known to occur.  But until the conditions</w:t></w:r>
</w:p>
<w:p>
<w:pPr><w:pStyle w:val="Normal"/></w:pPr>
<w:r><w:t xml:space="preserve">under which a particular transformation takes place have</w:t></w:r>
</w:p>
<w:p>
<w:pPr><w:pStyle w:val="Normal"/></w:pPr>
<w:r><w:t xml:space="preserve">been ascertained and described, so that the observation</w:t></w:r>
</w:p>
<w:p>
<w:pPr><w:pStyle w:val="Normal"/></w:pPr>
<w:r><w:t xml:space="preserve">may be repeated by other investigators, scant credence is</w:t></w:r>
</w:p>
<w:p>
<w:pPr><w:pStyle w:val="Normal"/></w:pPr>
<w:r><w:t xml:space="preserve">likely to be given to the more extreme polymorphistic views.</w:t></w:r>
</w:p>
<w:p>
<w:pPr><w:pStyle w:val="Normal"/></w:pPr>
<w:r><w:t xml:space="preserve">Physiology.</w:t></w:r>
</w:p>
<w:p>
<w:pPr><w:pStyle w:val="Normal"/></w:pPr>
<w:r><w:t xml:space="preserve">In comparison with the higher plants, algae exhibit so much</w:t></w:r>
</w:p>
<w:p>
<w:pPr><w:pStyle w:val="Normal"/></w:pPr>
<w:r><w:t xml:space="preserve">simplicity of structure, while the conditions under which</w:t></w:r>
</w:p>
<w:p>
<w:pPr><w:pStyle w:val="Normal"/></w:pPr>
<w:r><w:t xml:space="preserve">they grow are so much more readily controlled, that they have</w:t></w:r>
</w:p>
<w:p>
<w:pPr><w:pStyle w:val="Normal"/></w:pPr>
<w:r><w:t xml:space="preserve">frequently been the subject of physiological investigation with</w:t></w:r>
</w:p>
<w:p>
<w:pPr><w:pStyle w:val="Normal"/></w:pPr>
<w:r><w:t xml:space="preserve">a view chiefly to the application of the results to the study</w:t></w:r>
</w:p>
<w:p>
<w:pPr><w:pStyle w:val="Normal"/></w:pPr>
<w:r><w:t xml:space="preserve">of the higher plants. (See PLANTS: Physiology of.) In the</w:t></w:r>
</w:p>
<w:p>
<w:pPr><w:pStyle w:val="Normal"/></w:pPr>
<w:r><w:t xml:space="preserve">literature of vegetable physiology there has thus accumulated</w:t></w:r>
</w:p>
<w:p>
<w:pPr><w:pStyle w:val="Normal"/></w:pPr>
<w:r><w:t xml:space="preserve">a great body of facts relating not only to the phenomena of</w:t></w:r>
</w:p>
<w:p>
<w:pPr><w:pStyle w:val="Normal"/></w:pPr>
<w:r><w:t xml:space="preserve">reproduction, but also to the nutrition of algae.  With</w:t></w:r>
</w:p>
<w:p>
<w:pPr><w:pStyle w:val="Normal"/></w:pPr>
<w:r><w:t xml:space="preserve">reference to their chemical physiology, the gelatinization</w:t></w:r>
</w:p>
<w:p>
<w:pPr><w:pStyle w:val="Normal"/></w:pPr>
<w:r><w:t xml:space="preserve">of the cell-wall, which is so marked a feature, is doubtless</w:t></w:r>
</w:p>
<w:p>
<w:pPr><w:pStyle w:val="Normal"/></w:pPr>
<w:r><w:t xml:space="preserve">attributable to the occurrence along with cellulose of pectic</w:t></w:r>
</w:p>
<w:p>
<w:pPr><w:pStyle w:val="Normal"/></w:pPr>
<w:r><w:t xml:space="preserve">compounds.  There is, however, considerable variation in</w:t></w:r>
</w:p>
<w:p>
<w:pPr><w:pStyle w:val="Normal"/></w:pPr>
<w:r><w:t xml:space="preserve">the nature of the membrane in different species; thus the</w:t></w:r>
</w:p>
<w:p>
<w:pPr><w:pStyle w:val="Normal"/></w:pPr>
<w:r><w:t xml:space="preserve">cell-wall of Gedogonium, treated with sulphuric acid and</w:t></w:r>
</w:p>
<w:p>
<w:pPr><w:pStyle w:val="Normal"/></w:pPr>
<w:r><w:t xml:space="preserve">iodine, turns a bright blue, while the colour is very faint</w:t></w:r>
</w:p>
<w:p>
<w:pPr><w:pStyle w:val="Normal"/></w:pPr>
<w:r><w:t xml:space="preserve">in the case of Spirogyra, the wall of which is said to</w:t></w:r>
</w:p>
<w:p>
<w:pPr><w:pStyle w:val="Normal"/></w:pPr>
<w:r><w:t xml:space="preserve">consist for the most part of pectose.  While starch occurs</w:t></w:r>
</w:p>
<w:p>
<w:pPr><w:pStyle w:val="Normal"/></w:pPr>
<w:r><w:t xml:space="preserve">commonly as a cell-content in the majority of the Green</w:t></w:r>
</w:p>
<w:p>
<w:pPr><w:pStyle w:val="Normal"/></w:pPr>
<w:r><w:t xml:space="preserve">Algae no trace of it occurs in Vaucheria and some of its</w:t></w:r>
</w:p>
<w:p>
<w:pPr><w:pStyle w:val="Normal"/></w:pPr>
<w:r><w:t xml:space="preserve">allies, nor is it known in the whole of the Phaeophyceae and</w:t></w:r>
</w:p>
<w:p>
<w:pPr><w:pStyle w:val="Normal"/></w:pPr>
<w:r><w:t xml:space="preserve">Rhodophyceae.  In certain Euphaeophyceae bodies built up of</w:t></w:r>
</w:p>
<w:p>
<w:pPr><w:pStyle w:val="Normal"/></w:pPr>
<w:r><w:t xml:space="preserve">concentric layers, and attached to the chromatophores, were</w:t></w:r>
</w:p>
<w:p>
<w:pPr><w:pStyle w:val="Normal"/></w:pPr>
<w:r><w:t xml:space="preserve">described by Schmitz as phaeophycean-starch; they do not,</w:t></w:r>
</w:p>
<w:p>
<w:pPr><w:pStyle w:val="Normal"/></w:pPr>
<w:r><w:t xml:space="preserve">however, give the ordinary starch reaction.  Other granules,</w:t></w:r>
</w:p>
<w:p>
<w:pPr><w:pStyle w:val="Normal"/></w:pPr>
<w:r><w:t xml:space="preserve">easily mistaken for the ``starch&apos;&apos; granules, are also found in</w:t></w:r>
</w:p>
<w:p>
<w:pPr><w:pStyle w:val="Normal"/></w:pPr>
<w:r><w:t xml:space="preserve">the cells of Phaeophyceae; these possess a power of movement</w:t></w:r>
</w:p>
<w:p>
<w:pPr><w:pStyle w:val="Normal"/></w:pPr>
<w:r><w:t xml:space="preserve">apart from the protoplasm, and are considered to be vesicles</w:t></w:r>
</w:p>
<w:p>
<w:pPr><w:pStyle w:val="Normal"/></w:pPr>
<w:r><w:t xml:space="preserve">and to contain phloroglucin.  The colourless granules of</w:t></w:r>
</w:p>
<w:p>
<w:pPr><w:pStyle w:val="Normal"/></w:pPr>
<w:r><w:t xml:space="preserve">Florideae, which are supposed to constitute the carbohydrate</w:t></w:r>
</w:p>
<w:p>
<w:pPr><w:pStyle w:val="Normal"/></w:pPr>
<w:r><w:t xml:space="preserve">reserve material, have been called floridean-starch.  A white</w:t></w:r>
</w:p>
<w:p>
<w:pPr><w:pStyle w:val="Normal"/></w:pPr>
<w:r><w:t xml:space="preserve">efflorescence which appears on certain Brown Algae (Saccorhiza</w:t></w:r>
</w:p>
<w:p>
<w:pPr><w:pStyle w:val="Normal"/></w:pPr>
<w:r><w:t xml:space="preserve">bulbosa, Laminaria saccharina), when they are dried in</w:t></w:r>
</w:p>
<w:p>
<w:pPr><w:pStyle w:val="Normal"/></w:pPr>
<w:r><w:t xml:space="preserve">the air, is found to consist of mannite.  Mucin is known in</w:t></w:r>
</w:p>
<w:p>
<w:pPr><w:pStyle w:val="Normal"/></w:pPr>
<w:r><w:t xml:space="preserve">the cell-sap of Acetabularia. Some Siphonales (Codium)</w:t></w:r>
</w:p>
<w:p>
<w:pPr><w:pStyle w:val="Normal"/></w:pPr>
<w:r><w:t xml:space="preserve">give rise to proteid crystalloids, and they are of constant</w:t></w:r>
</w:p>
<w:p>
<w:pPr><w:pStyle w:val="Normal"/></w:pPr>
<w:r><w:t xml:space="preserve">occurrence among Florideae.  The presence of tannin has been</w:t></w:r>
</w:p>
<w:p>
<w:pPr><w:pStyle w:val="Normal"/></w:pPr>
<w:r><w:t xml:space="preserve">established in the case of a great number of freshwater algae.</w:t></w:r>
</w:p>
<w:p>
<w:pPr><w:pStyle w:val="Normal"/></w:pPr>
<w:r><w:t xml:space="preserve">Colouring matters.</w:t></w:r>
</w:p>
<w:p>
<w:pPr><w:pStyle w:val="Normal"/></w:pPr>
<w:r><w:t xml:space="preserve">By virtue of the possession of chlorophyll all algae are</w:t></w:r>
</w:p>
<w:p>
<w:pPr><w:pStyle w:val="Normal"/></w:pPr>
<w:r><w:t xml:space="preserve">capable of utilizing carbonic acid gas as a source of carbon</w:t></w:r>
</w:p>
<w:p>
<w:pPr><w:pStyle w:val="Normal"/></w:pPr>
<w:r><w:t xml:space="preserve">in the presence of sunlight.  The presence of phycocyanin,</w:t></w:r>
</w:p>
<w:p>
<w:pPr><w:pStyle w:val="Normal"/></w:pPr>
<w:r><w:t xml:space="preserve">phycophaein and phycoerythrin considerably modifies the</w:t></w:r>
</w:p>
<w:p>
<w:pPr><w:pStyle w:val="Normal"/></w:pPr>
<w:r><w:t xml:space="preserve">absorption spectra for the plants in which they occur.  Thus</w:t></w:r>
</w:p>
<w:p>
<w:pPr><w:pStyle w:val="Normal"/></w:pPr>
<w:r><w:t xml:space="preserve">in the case of phycoerythrin the maximum absorption, apart</w:t></w:r>
</w:p>
<w:p>
<w:pPr><w:pStyle w:val="Normal"/></w:pPr>
<w:r><w:t xml:space="preserve">from the great absorption at the blue end of the spectrum,</w:t></w:r>
</w:p>
<w:p>
<w:pPr><w:pStyle w:val="Normal"/></w:pPr>
<w:r><w:t xml:space="preserve">is not, as in the case where chlorophyll occurs alone, near</w:t></w:r>
</w:p>
<w:p>
<w:pPr><w:pStyle w:val="Normal"/></w:pPr>
<w:r><w:t xml:space="preserve">the Fraunhofer line B, but farther to the right beyond the</w:t></w:r>
</w:p>
<w:p>
<w:pPr><w:pStyle w:val="Normal"/></w:pPr>
<w:r><w:t xml:space="preserve">line D. By an ingenious method devised by Engelmann, it</w:t></w:r>
</w:p>
<w:p>
<w:pPr><w:pStyle w:val="Normal"/></w:pPr>
<w:r><w:t xml:space="preserve">may be shown that the greatest liberation of oxygen, and</w:t></w:r>
</w:p>
<w:p>
<w:pPr><w:pStyle w:val="Normal"/></w:pPr>
<w:r><w:t xml:space="preserve">consequently the greatest assimilation of carbon, occurs in</w:t></w:r>
</w:p>
<w:p>
<w:pPr><w:pStyle w:val="Normal"/></w:pPr>
<w:r><w:t xml:space="preserve">that region of the spectrum represented by the absorption</w:t></w:r>
</w:p>
<w:p>
<w:pPr><w:pStyle w:val="Normal"/></w:pPr>
<w:r><w:t xml:space="preserve">bands.  In this connexion Pfeffer points out that the penetrating</w:t></w:r>
</w:p>
<w:p>
<w:pPr><w:pStyle w:val="Normal"/></w:pPr>
<w:r><w:t xml:space="preserve">power of light into a clear sea varies for light of different</w:t></w:r>
</w:p>
<w:p>
<w:pPr><w:pStyle w:val="Normal"/></w:pPr>
<w:r><w:t xml:space="preserve">colours.  Thus red light is reduced to such an extent as</w:t></w:r>
</w:p>
<w:p>
<w:pPr><w:pStyle w:val="Normal"/></w:pPr>
<w:r><w:t xml:space="preserve">to be insufficient for growth at a depth of 34 metres,</w:t></w:r>
</w:p>
<w:p>
<w:pPr><w:pStyle w:val="Normal"/></w:pPr>
<w:r><w:t xml:space="preserve">yellow light at a depth of 177 metres and green light at 322</w:t></w:r>
</w:p>
<w:p>
<w:pPr><w:pStyle w:val="Normal"/></w:pPr>
<w:r><w:t xml:space="preserve">metres.  It is thus an obvious advantage to Red Algae, which</w:t></w:r>
</w:p>
<w:p>
<w:pPr><w:pStyle w:val="Normal"/></w:pPr>
<w:r><w:t xml:space="preserve">flourish at considerable depths, to be able to utilize yellow</w:t></w:r>
</w:p>
<w:p>
<w:pPr><w:pStyle w:val="Normal"/></w:pPr>
<w:r><w:t xml:space="preserve">light rather than the red, which is extinguished so much</w:t></w:r>
</w:p>
<w:p>
<w:pPr><w:pStyle w:val="Normal"/></w:pPr>
<w:r><w:t xml:space="preserve">sooner.  The experiment of Engelmann referred to deserves</w:t></w:r>
</w:p>
<w:p>
<w:pPr><w:pStyle w:val="Normal"/></w:pPr>
<w:r><w:t xml:space="preserve">to be mentioned here, if only in illustration of the use</w:t></w:r>
</w:p>
<w:p>
<w:pPr><w:pStyle w:val="Normal"/></w:pPr>
<w:r><w:t xml:space="preserve">to which algae have been put in the study of physiological</w:t></w:r>
</w:p>
<w:p>
<w:pPr><w:pStyle w:val="Normal"/></w:pPr>
<w:r><w:t xml:space="preserve">problems.  Engelmann observed that certain bacteria were motile</w:t></w:r>
</w:p>
<w:p>
<w:pPr><w:pStyle w:val="Normal"/></w:pPr>
<w:r><w:t xml:space="preserve">only in the presence of oxygen, and that they retained their</w:t></w:r>
</w:p>
<w:p>
<w:pPr><w:pStyle w:val="Normal"/></w:pPr>
<w:r><w:t xml:space="preserve">motility in a microscopic preparation in the neighbourhood</w:t></w:r>
</w:p>
<w:p>
<w:pPr><w:pStyle w:val="Normal"/></w:pPr>
<w:r><w:t xml:space="preserve">of an algal filament when they had come to rest elsewhere</w:t></w:r>
</w:p>
<w:p>
<w:pPr><w:pStyle w:val="Normal"/></w:pPr>
<w:r><w:t xml:space="preserve">on account of the exhaustion of oxygen.  After the bacteria</w:t></w:r>
</w:p>
<w:p>
<w:pPr><w:pStyle w:val="Normal"/></w:pPr>
<w:r><w:t xml:space="preserve">had all been brought to rest by being placed in the dark,</w:t></w:r>
</w:p>
<w:p>
<w:pPr><w:pStyle w:val="Normal"/></w:pPr>
<w:r><w:t xml:space="preserve">he threw a spectrum upon the filament, and observed in what</w:t></w:r>
</w:p>
<w:p>
<w:pPr><w:pStyle w:val="Normal"/></w:pPr>
<w:r><w:t xml:space="preserve">region the bacteria first regained their motility, owing to the</w:t></w:r>
</w:p>
<w:p>
<w:pPr><w:pStyle w:val="Normal"/></w:pPr>
<w:r><w:t xml:space="preserve">liberation of oxygen in the process of carbon-assimilation.</w:t></w:r>
</w:p>
<w:p>
<w:pPr><w:pStyle w:val="Normal"/></w:pPr>
<w:r><w:t xml:space="preserve">He found that these places corresponded closely with the</w:t></w:r>
</w:p>
<w:p>
<w:pPr><w:pStyle w:val="Normal"/></w:pPr>
<w:r><w:t xml:space="preserve">region of the absorption band for the algae under experiment.</w:t></w:r>
</w:p>
<w:p>
<w:pPr><w:pStyle w:val="Normal"/></w:pPr>
<w:r><w:t xml:space="preserve">Although algae generally are able to use carbonic acid gas</w:t></w:r>
</w:p>
<w:p>
<w:pPr><w:pStyle w:val="Normal"/></w:pPr>
<w:r><w:t xml:space="preserve">as a source of carbon, some algae, like certain of the higher</w:t></w:r>
</w:p>
<w:p>
<w:pPr><w:pStyle w:val="Normal"/></w:pPr>
<w:r><w:t xml:space="preserve">plants, are capable of utilizing organic compounds for this</w:t></w:r>
</w:p>
<w:p>
<w:pPr><w:pStyle w:val="Normal"/></w:pPr>
<w:r><w:t xml:space="preserve">purpose.  Thus Spirogyra filaments, which have been</w:t></w:r>
</w:p>
<w:p>
<w:pPr><w:pStyle w:val="Normal"/></w:pPr>
<w:r><w:t xml:space="preserve">denuded of starch by being placed in the dark, form starch</w:t></w:r>
</w:p>
<w:p>
<w:pPr><w:pStyle w:val="Normal"/></w:pPr>
<w:r><w:t xml:space="preserve">in one day if they are placed in a 10 to 20% solution of</w:t></w:r>
</w:p>
<w:p>
<w:pPr><w:pStyle w:val="Normal"/></w:pPr>
<w:r><w:t xml:space="preserve">dextrose.  According to T. Bokorny, moreover, it appears</w:t></w:r>
</w:p>
<w:p>
<w:pPr><w:pStyle w:val="Normal"/></w:pPr>
<w:r><w:t xml:space="preserve">that such filaments will yield starch from formaldehyde</w:t></w:r>
</w:p>
<w:p>
<w:pPr><w:pStyle w:val="Normal"/></w:pPr>
<w:r><w:t xml:space="preserve">when they are supplied with sodium oxymethyl sulphonate, a</w:t></w:r>
</w:p>
<w:p>
<w:pPr><w:pStyle w:val="Normal"/></w:pPr>
<w:r><w:t xml:space="preserve">salt which readily decomposes into formaldehyde and hydrogen</w:t></w:r>
</w:p>
<w:p>
<w:pPr><w:pStyle w:val="Normal"/></w:pPr>
<w:r><w:t xml:space="preserve">sodium sulphite, an observation which has been taken to</w:t></w:r>
</w:p>
<w:p>
<w:pPr><w:pStyle w:val="Normal"/></w:pPr>
<w:r><w:t xml:space="preserve">mean that formaldehyde is always a stage in the synthesis of</w:t></w:r>
</w:p>
<w:p>
<w:pPr><w:pStyle w:val="Normal"/></w:pPr>
<w:r><w:t xml:space="preserve">starch.  With reference to the assimilation of nitrogen,</w:t></w:r>
</w:p>
<w:p>
<w:pPr><w:pStyle w:val="Normal"/></w:pPr>
<w:r><w:t xml:space="preserve">it would seem that algae, like other green plants, can</w:t></w:r>
</w:p>
<w:p>
<w:pPr><w:pStyle w:val="Normal"/></w:pPr>
<w:r><w:t xml:space="preserve">best use it when it is presented to them in the form of a</w:t></w:r>
</w:p>
<w:p>
<w:pPr><w:pStyle w:val="Normal"/></w:pPr>
<w:r><w:t xml:space="preserve">nitrate.  Some algae, however, seem to flourish better</w:t></w:r>
</w:p>
<w:p>
<w:pPr><w:pStyle w:val="Normal"/></w:pPr>
<w:r><w:t xml:space="preserve">in the presence of organic compounds.  In the case of</w:t></w:r>
</w:p>
<w:p>
<w:pPr><w:pStyle w:val="Normal"/></w:pPr>
<w:r><w:t xml:space="preserve">Scenedesmus acutus it is said that the alga is unable</w:t></w:r>
</w:p>
<w:p>
<w:pPr><w:pStyle w:val="Normal"/></w:pPr>
<w:r><w:t xml:space="preserve">to take up nitrogen in the form of a nitrate or ammoniacal</w:t></w:r>
</w:p>
<w:p>
<w:pPr><w:pStyle w:val="Normal"/></w:pPr>
<w:r><w:t xml:space="preserve">salt, and requires some such substance as an amide or a</w:t></w:r>
</w:p>
<w:p>
<w:pPr><w:pStyle w:val="Normal"/></w:pPr>
<w:r><w:t xml:space="preserve">peptone.  On the other hand, it has been held by Bernhard</w:t></w:r>
</w:p>
<w:p>
<w:pPr><w:pStyle w:val="Normal"/></w:pPr>
<w:r><w:t xml:space="preserve">Frank and other observers that atmospheric nitrogen is fixed</w:t></w:r>
</w:p>
<w:p>
<w:pPr><w:pStyle w:val="Normal"/></w:pPr>
<w:r><w:t xml:space="preserve">by the agency of Green Algae in the soil: (For the remarkable</w:t></w:r>
</w:p>
<w:p>
<w:pPr><w:pStyle w:val="Normal"/></w:pPr>
<w:r><w:t xml:space="preserve">symbiotism between algae and fungi see FUNGI and LICHENS.)</w:t></w:r>
</w:p>
<w:p>
<w:pPr><w:pStyle w:val="Normal"/></w:pPr>
<w:r><w:t xml:space="preserve">Habitat.</w:t></w:r>
</w:p>
<w:p>
<w:pPr><w:pStyle w:val="Normal"/></w:pPr>
<w:r><w:t xml:space="preserve">Most algae, particularly Phaeophyceae and Rhodophyceae, spend</w:t></w:r>
</w:p>
<w:p>
<w:pPr><w:pStyle w:val="Normal"/></w:pPr>
<w:r><w:t xml:space="preserve">the whole of the life-cycle immersed in water.  In the case of</w:t></w:r>
</w:p>
<w:p>
<w:pPr><w:pStyle w:val="Normal"/></w:pPr>
<w:r><w:t xml:space="preserve">the freshwater algae, however, belonging to the Chlorophyceae</w:t></w:r>
</w:p>
<w:p>
<w:pPr><w:pStyle w:val="Normal"/></w:pPr>
<w:r><w:t xml:space="preserve">and Cyanophyceae, although they required to be immersed during</w:t></w:r>
</w:p>
<w:p>
<w:pPr><w:pStyle w:val="Normal"/></w:pPr>
<w:r><w:t xml:space="preserve">the vegetative period, the reproductive cells are often capable</w:t></w:r>
</w:p>
<w:p>
<w:pPr><w:pStyle w:val="Normal"/></w:pPr>
<w:r><w:t xml:space="preserve">of resisting a considerable degree of desiccation, and in this</w:t></w:r>
</w:p>
<w:p>
<w:pPr><w:pStyle w:val="Normal"/></w:pPr>
<w:r><w:t xml:space="preserve">condition are dispersed through great distances by various</w:t></w:r>
</w:p>
<w:p>
<w:pPr><w:pStyle w:val="Normal"/></w:pPr>
<w:r><w:t xml:space="preserve">agencies.  Again, as is well known, many species of marine</w:t></w:r>
</w:p>
<w:p>
<w:pPr><w:pStyle w:val="Normal"/></w:pPr>
<w:r><w:t xml:space="preserve">algae growing in the region between the limits of high and low</w:t></w:r>
</w:p>
<w:p>
<w:pPr><w:pStyle w:val="Normal"/></w:pPr>
<w:r><w:t xml:space="preserve">water are so constituted that they are exposed to the air twice</w:t></w:r>
</w:p>
<w:p>
<w:pPr><w:pStyle w:val="Normal"/></w:pPr>
<w:r><w:t xml:space="preserve">a day without injury.  The occurrence of characteristic algae</w:t></w:r>
</w:p>
<w:p>
<w:pPr><w:pStyle w:val="Normal"/></w:pPr>
<w:r><w:t xml:space="preserve">at different levels constituting the zones to which reference</w:t></w:r>
</w:p>
<w:p>
<w:pPr><w:pStyle w:val="Normal"/></w:pPr>
<w:r><w:t xml:space="preserve">has already been made, is probably in part an expression of</w:t></w:r>
</w:p>
<w:p>
<w:pPr><w:pStyle w:val="Normal"/></w:pPr>
<w:r><w:t xml:space="preserve">the fact that different species vary in the capacity to resist</w:t></w:r>
</w:p>
<w:p>
<w:pPr><w:pStyle w:val="Normal"/></w:pPr>
<w:r><w:t xml:space="preserve">desiccation from exposure.  Thus Laminaria digitata, which</w:t></w:r>
</w:p>
<w:p>
<w:pPr><w:pStyle w:val="Normal"/></w:pPr>
<w:r><w:t xml:space="preserve">characterizes the lowest zone, is only occasionally exposed at</w:t></w:r>
</w:p>
<w:p>
<w:pPr><w:pStyle w:val="Normal"/></w:pPr>
<w:r><w:t xml:space="preserve">all, and then only for short periods of time.  On the other</w:t></w:r>
</w:p>
<w:p>
<w:pPr><w:pStyle w:val="Normal"/></w:pPr>
<w:r><w:t xml:space="preserve">hand, Pelvetia canaliculata, which marks the upper belt, is</w:t></w:r>
</w:p>
<w:p>
<w:pPr><w:pStyle w:val="Normal"/></w:pPr>
<w:r><w:t xml:space="preserve">exposed for longer periods, and during neap tides may not be</w:t></w:r>
</w:p>
<w:p>
<w:pPr><w:pStyle w:val="Normal"/></w:pPr>
<w:r><w:t xml:space="preserve">reached by the water for many days.  Algae of more delicate</w:t></w:r>
</w:p>
<w:p>
<w:pPr><w:pStyle w:val="Normal"/></w:pPr>
<w:r><w:t xml:space="preserve">texture than either Fucaceae or Laminariaceae also occur in</w:t></w:r>
</w:p>
<w:p>
<w:pPr><w:pStyle w:val="Normal"/></w:pPr>
<w:r><w:t xml:space="preserve">the region exposed by the ebb of the tide, but these secure</w:t></w:r>
</w:p>
<w:p>
<w:pPr><w:pStyle w:val="Normal"/></w:pPr>
<w:r><w:t xml:space="preserve">their exemption from desiccation either by retaining water</w:t></w:r>
</w:p>
<w:p>
<w:pPr><w:pStyle w:val="Normal"/></w:pPr>
<w:r><w:t xml:space="preserve">in their meshes by capillary attraction, as in the case of</w:t></w:r>
</w:p>
<w:p>
<w:pPr><w:pStyle w:val="Normal"/></w:pPr>
<w:r><w:t xml:space="preserve">Pilayella, or by growing among the tangles of the larger</w:t></w:r>
</w:p>
<w:p>
<w:pPr><w:pStyle w:val="Normal"/></w:pPr>
<w:r><w:t xml:space="preserve">Fucaceae, as in the case of Polysiphonia fastigiata, or by</w:t></w:r>
</w:p>
<w:p>
<w:pPr><w:pStyle w:val="Normal"/></w:pPr>
<w:r><w:t xml:space="preserve">growing in dense masses on rocks, as in the case of Laurencia</w:t></w:r>
</w:p>
<w:p>
<w:pPr><w:pStyle w:val="Normal"/></w:pPr>
<w:r><w:t xml:space="preserve">pinnatifida. Such a species as Delesseria sanguinea or</w:t></w:r>
</w:p>
<w:p>
<w:pPr><w:pStyle w:val="Normal"/></w:pPr>
<w:r><w:t xml:space="preserve">Callophyllis laciniata would on the contrary run great risk</w:t></w:r>
</w:p>
<w:p>
<w:pPr><w:pStyle w:val="Normal"/></w:pPr>
<w:r><w:t xml:space="preserve">by exposure for even a short period.  A few algae approach</w:t></w:r>
</w:p>
<w:p>
<w:pPr><w:pStyle w:val="Normal"/></w:pPr>
<w:r><w:t xml:space="preserve">the ordinary terrestrial plants in their capacity to live in</w:t></w:r>
</w:p>
<w:p>
<w:pPr><w:pStyle w:val="Normal"/></w:pPr>
<w:r><w:t xml:space="preserve">a sub-aerial habitat subject only to such occasional supphes</w:t></w:r>
</w:p>
<w:p>
<w:pPr><w:pStyle w:val="Normal"/></w:pPr>
<w:r><w:t xml:space="preserve">of water as is afforded by the rainfall.  Of this nature are</w:t></w:r>
</w:p>
<w:p>
<w:pPr><w:pStyle w:val="Normal"/></w:pPr>
<w:r><w:t xml:space="preserve">some of the species of Vaucheria. A very few species, like</w:t></w:r>
</w:p>
<w:p>
<w:pPr><w:pStyle w:val="Normal"/></w:pPr>
<w:r><w:t xml:space="preserve">Chroolepus, which grows on rock surfaces, are comparable</w:t></w:r>
</w:p>
<w:p>
<w:pPr><w:pStyle w:val="Normal"/></w:pPr>
<w:r><w:t xml:space="preserve">with the land plants which have been termed xerophilous.</w:t></w:r>
</w:p>
<w:p>
<w:pPr><w:pStyle w:val="Normal"/></w:pPr>
<w:r><w:t xml:space="preserve">Plankton.</w:t></w:r>
</w:p>
<w:p>
<w:pPr><w:pStyle w:val="Normal"/></w:pPr>
<w:r><w:t xml:space="preserve">The great majority of the aquatic algae, both freshwater and</w:t></w:r>
</w:p>
<w:p>
<w:pPr><w:pStyle w:val="Normal"/></w:pPr>
<w:r><w:t xml:space="preserve">marine, are attached plants.  Some, however, are wanderers,</w:t></w:r>
</w:p>
<w:p>
<w:pPr><w:pStyle w:val="Normal"/></w:pPr>
<w:r><w:t xml:space="preserve">either swimming actively with the aid of cilia, or floating</w:t></w:r>
</w:p>
<w:p>
<w:pPr><w:pStyle w:val="Normal"/></w:pPr>
<w:r><w:t xml:space="preserve">inertly as the result of a specific weight closely approaching</w:t></w:r>
</w:p>
<w:p>
<w:pPr><w:pStyle w:val="Normal"/></w:pPr>
<w:r><w:t xml:space="preserve">that of the medium.  To the aggregate of such forms, both</w:t></w:r>
</w:p>
<w:p>
<w:pPr><w:pStyle w:val="Normal"/></w:pPr>
<w:r><w:t xml:space="preserve">animal and vegetable, the term plankton has been applied, and</w:t></w:r>
</w:p>
<w:p>
<w:pPr><w:pStyle w:val="Normal"/></w:pPr>
<w:r><w:t xml:space="preserve">the investigation of the vegetable plankton, both freshwater</w:t></w:r>
</w:p>
<w:p>
<w:pPr><w:pStyle w:val="Normal"/></w:pPr>
<w:r><w:t xml:space="preserve">and marine, has been pursued in recent times with energy and</w:t></w:r>
</w:p>
<w:p>
<w:pPr><w:pStyle w:val="Normal"/></w:pPr>
<w:r><w:t xml:space="preserve">success.  The German Plankton Expedition of 1889 added greatly</w:t></w:r>
</w:p>
<w:p>
<w:pPr><w:pStyle w:val="Normal"/></w:pPr>
<w:r><w:t xml:space="preserve">to our knowledge of the floating vegetable life of the North</w:t></w:r>
</w:p>
<w:p>
<w:pPr><w:pStyle w:val="Normal"/></w:pPr>
<w:r><w:t xml:space="preserve">Atlantic Ocean, while many laboratories established on the</w:t></w:r>
</w:p>
<w:p>
<w:pPr><w:pStyle w:val="Normal"/></w:pPr>
<w:r><w:t xml:space="preserve">shores of inland seas and lakes have rendered a similar</w:t></w:r>
</w:p>
<w:p>
<w:pPr><w:pStyle w:val="Normal"/></w:pPr>
<w:r><w:t xml:space="preserve">service in the case of our freshwater phyto-plankton.</w:t></w:r>
</w:p>
<w:p>
<w:pPr><w:pStyle w:val="Normal"/></w:pPr>
<w:r><w:t xml:space="preserve">The quantitative estimate of the amount of this flora has</w:t></w:r>
</w:p>
<w:p>
<w:pPr><w:pStyle w:val="Normal"/></w:pPr>
<w:r><w:t xml:space="preserve">revealed its enormous aggregate amount and therefore its great</w:t></w:r>
</w:p>
<w:p>
<w:pPr><w:pStyle w:val="Normal"/></w:pPr>
<w:r><w:t xml:space="preserve">importance in the economy of oceanic and lacustrine animal</w:t></w:r>
</w:p>
<w:p>
<w:pPr><w:pStyle w:val="Normal"/></w:pPr>
<w:r><w:t xml:space="preserve">life.  The organisms constituting this plankton are mostly</w:t></w:r>
</w:p>
<w:p>
<w:pPr><w:pStyle w:val="Normal"/></w:pPr>
<w:r><w:t xml:space="preserve">unicellular, often aggregated together in colonies, and the</w:t></w:r>
</w:p>
<w:p>
<w:pPr><w:pStyle w:val="Normal"/></w:pPr>
<w:r><w:t xml:space="preserve">remarkable structure which they exhibit has added a new chapter</w:t></w:r>
</w:p>
<w:p>
<w:pPr><w:pStyle w:val="Normal"/></w:pPr>
<w:r><w:t xml:space="preserve">to the story of adaptation to environment.  The families</w:t></w:r>
</w:p>
<w:p>
<w:pPr><w:pStyle w:val="Normal"/></w:pPr>
<w:r><w:t xml:space="preserve">Diatomaceae, Peridiniaceae and Protococcaceae are best</w:t></w:r>
</w:p>
<w:p>
<w:pPr><w:pStyle w:val="Normal"/></w:pPr>
<w:r><w:t xml:space="preserve">represented in the pelagic plankton, while in addition the</w:t></w:r>
</w:p>
<w:p>
<w:pPr><w:pStyle w:val="Normal"/></w:pPr>
<w:r><w:t xml:space="preserve">Volvocaceae are an important element in freshwater plankton.</w:t></w:r>
</w:p>
<w:p>
<w:pPr><w:pStyle w:val="Normal"/></w:pPr>
<w:r><w:t xml:space="preserve">Benthos.</w:t></w:r>
</w:p>
<w:p>
<w:pPr><w:pStyle w:val="Normal"/></w:pPr>
<w:r><w:t xml:space="preserve">The great majority of algae, however, grow like land-plants</w:t></w:r>
</w:p>
<w:p>
<w:pPr><w:pStyle w:val="Normal"/></w:pPr>
<w:r><w:t xml:space="preserve">attached to a substratum, and to these the term benthos is</w:t></w:r>
</w:p>
<w:p>
<w:pPr><w:pStyle w:val="Normal"/></w:pPr>
<w:r><w:t xml:space="preserve">now generally applied.  While the root of land-plants serves</w:t></w:r>
</w:p>
<w:p>
<w:pPr><w:pStyle w:val="Normal"/></w:pPr>
<w:r><w:t xml:space="preserve">for the double purpose of attachment and the supply of water,</w:t></w:r>
</w:p>
<w:p>
<w:pPr><w:pStyle w:val="Normal"/></w:pPr>
<w:r><w:t xml:space="preserve">it is attachment only that is usually sought in the case of</w:t></w:r>
</w:p>
<w:p>
<w:pPr><w:pStyle w:val="Normal"/></w:pPr>
<w:r><w:t xml:space="preserve">algae.  Immersed as they usually are in a medium containing in</w:t></w:r>
</w:p>
<w:p>
<w:pPr><w:pStyle w:val="Normal"/></w:pPr>
<w:r><w:t xml:space="preserve">solution the inorganic substances which they require for their</w:t></w:r>
</w:p>
<w:p>
<w:pPr><w:pStyle w:val="Normal"/></w:pPr>
<w:r><w:t xml:space="preserve">nutrition, the absorption of these takes place throughout</w:t></w:r>
</w:p>
<w:p>
<w:pPr><w:pStyle w:val="Normal"/></w:pPr>
<w:r><w:t xml:space="preserve">their whole extent.  The elaborate provision for the conduct</w:t></w:r>
</w:p>
<w:p>
<w:pPr><w:pStyle w:val="Normal"/></w:pPr>
<w:r><w:t xml:space="preserve">of water from part to part which has played so important</w:t></w:r>
</w:p>
<w:p>
<w:pPr><w:pStyle w:val="Normal"/></w:pPr>
<w:r><w:t xml:space="preserve">a role in the morphological development of land plants is</w:t></w:r>
</w:p>
<w:p>
<w:pPr><w:pStyle w:val="Normal"/></w:pPr>
<w:r><w:t xml:space="preserve">entirely wanting in algae, such conducting tissues as do</w:t></w:r>
</w:p>
<w:p>
<w:pPr><w:pStyle w:val="Normal"/></w:pPr>
<w:r><w:t xml:space="preserve">exist in the larger Phaeophyceae and Rhodophyceae serving</w:t></w:r>
</w:p>
<w:p>
<w:pPr><w:pStyle w:val="Normal"/></w:pPr>
<w:r><w:t xml:space="preserve">rather for the convection of elaborated organic substance, and</w:t></w:r>
</w:p>
<w:p>
<w:pPr><w:pStyle w:val="Normal"/></w:pPr>
<w:r><w:t xml:space="preserve">being thus comparable with the phloem of the higher plants.</w:t></w:r>
</w:p>
<w:p>
<w:pPr><w:pStyle w:val="Normal"/></w:pPr>
<w:r><w:t xml:space="preserve">The attachment organ of algae is thus more properly called</w:t></w:r>
</w:p>
<w:p>
<w:pPr><w:pStyle w:val="Normal"/></w:pPr>
<w:r><w:t xml:space="preserve">a holdfast, and is found to be of very varied structure.</w:t></w:r>
</w:p>
<w:p>
<w:pPr><w:pStyle w:val="Normal"/></w:pPr>
<w:r><w:t xml:space="preserve">It generally takes the form of a single flattened disc as</w:t></w:r>
</w:p>
<w:p>
<w:pPr><w:pStyle w:val="Normal"/></w:pPr>
<w:r><w:t xml:space="preserve">in the Fucaceae, or a group of finger- like processes as in</w:t></w:r>
</w:p>
<w:p>
<w:pPr><w:pStyle w:val="Normal"/></w:pPr>
<w:r><w:t xml:space="preserve">Laminariaceae, or a tuft of filaments as in many instances.</w:t></w:r>
</w:p>
<w:p>
<w:pPr><w:pStyle w:val="Normal"/></w:pPr>
<w:r><w:t xml:space="preserve">When the attachment is in sand or mud, it often simulates the</w:t></w:r>
</w:p>
<w:p>
<w:pPr><w:pStyle w:val="Normal"/></w:pPr>
<w:r><w:t xml:space="preserve">appearance of a true root as in Chara or Caulerpa. It is</w:t></w:r>
</w:p>
<w:p>
<w:pPr><w:pStyle w:val="Normal"/></w:pPr>
<w:r><w:t xml:space="preserve">clear that where the bottom of a lake or sea consists of oozy</w:t></w:r>
</w:p>
<w:p>
<w:pPr><w:pStyle w:val="Normal"/></w:pPr>
<w:r><w:t xml:space="preserve">mud or shifting sand, it is impossible for algae to secure a</w:t></w:r>
</w:p>
<w:p>
<w:pPr><w:pStyle w:val="Normal"/></w:pPr>
<w:r><w:t xml:space="preserve">foothold.  Thus a rock emerging from a sandy beach may often</w:t></w:r>
</w:p>
<w:p>
<w:pPr><w:pStyle w:val="Normal"/></w:pPr>
<w:r><w:t xml:space="preserve">be observed to stand covered with vegetation like an oasis in a</w:t></w:r>
</w:p>
<w:p>
<w:pPr><w:pStyle w:val="Normal"/></w:pPr>
<w:r><w:t xml:space="preserve">desert.  The rapidity with which walls, piles and pontoons--stone,</w:t></w:r>
</w:p>
<w:p>
<w:pPr><w:pStyle w:val="Normal"/></w:pPr>
<w:r><w:t xml:space="preserve">wood and iron--become covered with marine plants is well known,</w:t></w:r>
</w:p>
<w:p>
<w:pPr><w:pStyle w:val="Normal"/></w:pPr>
<w:r><w:t xml:space="preserve">while the discovery of some effective means of preventing</w:t></w:r>
</w:p>
<w:p>
<w:pPr><w:pStyle w:val="Normal"/></w:pPr>
<w:r><w:t xml:space="preserve">the fouling of the bottoms of ships by the growth of algae</w:t></w:r>
</w:p>
<w:p>
<w:pPr><w:pStyle w:val="Normal"/></w:pPr>
<w:r><w:t xml:space="preserve">would be hailed as a boon by shipowners.  While rocks and</w:t></w:r>
</w:p>
<w:p>
<w:pPr><w:pStyle w:val="Normal"/></w:pPr>
<w:r><w:t xml:space="preserve">boulders are the favoured situation for the growth of marine</w:t></w:r>
</w:p>
<w:p>
<w:pPr><w:pStyle w:val="Normal"/></w:pPr>
<w:r><w:t xml:space="preserve">algae, those which readily disintegrate, like the coarser</w:t></w:r>
</w:p>
<w:p>
<w:pPr><w:pStyle w:val="Normal"/></w:pPr>
<w:r><w:t xml:space="preserve">sandstones, are naturally less favoured than the hard and</w:t></w:r>
</w:p>
<w:p>
<w:pPr><w:pStyle w:val="Normal"/></w:pPr>
<w:r><w:t xml:space="preserve">resistant.  A large number of algae again live as epiphytes or</w:t></w:r>
</w:p>
<w:p>
<w:pPr><w:pStyle w:val="Normal"/></w:pPr>
<w:r><w:t xml:space="preserve">endophytes.  In the case of the freshwater species the host-plants</w:t></w:r>
</w:p>
<w:p>
<w:pPr><w:pStyle w:val="Normal"/></w:pPr>
<w:r><w:t xml:space="preserve">are mostly species of aquatic Graminaceae, Naiadaceae or</w:t></w:r>
</w:p>
<w:p>
<w:pPr><w:pStyle w:val="Normal"/></w:pPr>
<w:r><w:t xml:space="preserve">Nymphaeaceae.  In the case of marine algae, the hosts are</w:t></w:r>
</w:p>
<w:p>
<w:pPr><w:pStyle w:val="Normal"/></w:pPr>
<w:r><w:t xml:space="preserve">chiefly the larger Phaeophyceae and Rhodophyceae.  A bed of</w:t></w:r>
</w:p>
<w:p>
<w:pPr><w:pStyle w:val="Normal"/></w:pPr>
<w:r><w:t xml:space="preserve">Zostera near the level of low water is, however, on the</w:t></w:r>
</w:p>
<w:p>
<w:pPr><w:pStyle w:val="Normal"/></w:pPr>
<w:r><w:t xml:space="preserve">British coast a favourite collecting ground for the smaller</w:t></w:r>
</w:p>
<w:p>
<w:pPr><w:pStyle w:val="Normal"/></w:pPr>
<w:r><w:t xml:space="preserve">red and brown epiphytes.  Of endophytes a distinction must be</w:t></w:r>
</w:p>
<w:p>
<w:pPr><w:pStyle w:val="Normal"/></w:pPr>
<w:r><w:t xml:space="preserve">made between those which occupy the cell-wall only and those</w:t></w:r>
</w:p>
<w:p>
<w:pPr><w:pStyle w:val="Normal"/></w:pPr>
<w:r><w:t xml:space="preserve">which perforate the cells, bringing about their destruction.</w:t></w:r>
</w:p>
<w:p>
<w:pPr><w:pStyle w:val="Normal"/></w:pPr>
<w:r><w:t xml:space="preserve">There can be little doubt that in some cases the epiphytism</w:t></w:r>
</w:p>
<w:p>
<w:pPr><w:pStyle w:val="Normal"/></w:pPr>
<w:r><w:t xml:space="preserve">approaches parasitism.  In one case described by Kuckuck the</w:t></w:r>
</w:p>
<w:p>
<w:pPr><w:pStyle w:val="Normal"/></w:pPr>
<w:r><w:t xml:space="preserve">chromaphores of the infesting algae are absent, a circumstance</w:t></w:r>
</w:p>
<w:p>
<w:pPr><w:pStyle w:val="Normal"/></w:pPr>
<w:r><w:t xml:space="preserve">which points to a complete parasitism.  Allusion has already</w:t></w:r>
</w:p>
<w:p>
<w:pPr><w:pStyle w:val="Normal"/></w:pPr>
<w:r><w:t xml:space="preserve">been made to the peculiar habit of the shell-boring algae.</w:t></w:r>
</w:p>
<w:p>
<w:pPr><w:pStyle w:val="Normal"/></w:pPr>
<w:r><w:t xml:space="preserve">Habit.</w:t></w:r>
</w:p>
<w:p>
<w:pPr><w:pStyle w:val="Normal"/></w:pPr>
<w:r><w:t xml:space="preserve">In many algae certain branches of limited growth bear a remarkable</w:t></w:r>
</w:p>
<w:p>
<w:pPr><w:pStyle w:val="Normal"/></w:pPr>
<w:r><w:t xml:space="preserve">resemblance to leaves.  The Characeae among freshwater algae</w:t></w:r>
</w:p>
<w:p>
<w:pPr><w:pStyle w:val="Normal"/></w:pPr>
<w:r><w:t xml:space="preserve">and the Sargassaceae among marine algae might be cited as</w:t></w:r>
</w:p>
<w:p>
<w:pPr><w:pStyle w:val="Normal"/></w:pPr>
<w:r><w:t xml:space="preserve">examples.  Surveying the whole range of algae life, Oltmanns</w:t></w:r>
</w:p>
<w:p>
<w:pPr><w:pStyle w:val="Normal"/></w:pPr>
<w:r><w:t xml:space="preserve">distinguishes bush-forms, whip- forms, net-forms, leaf-forms,</w:t></w:r>
</w:p>
<w:p>
<w:pPr><w:pStyle w:val="Normal"/></w:pPr>
<w:r><w:t xml:space="preserve">sack-forms, dorsi-ventral forms, and cushions, plates and</w:t></w:r>
</w:p>
<w:p>
<w:pPr><w:pStyle w:val="Normal"/></w:pPr>
<w:r><w:t xml:space="preserve">crusts.  The similarity of outline in many species to that</w:t></w:r>
</w:p>
<w:p>
<w:pPr><w:pStyle w:val="Normal"/></w:pPr>
<w:r><w:t xml:space="preserve">of trees and shrubs will strike any one who examines algae</w:t></w:r>
</w:p>
<w:p>
<w:pPr><w:pStyle w:val="Normal"/></w:pPr>
<w:r><w:t xml:space="preserve">mounted for the herbarium. Cladophora and Bryopsis among</w:t></w:r>
</w:p>
<w:p>
<w:pPr><w:pStyle w:val="Normal"/></w:pPr>
<w:r><w:t xml:space="preserve">monosiphonous forms, Chara, Polysiphonia, Ceramium and</w:t></w:r>
</w:p>
<w:p>
<w:pPr><w:pStyle w:val="Normal"/></w:pPr>
<w:r><w:t xml:space="preserve">Cystoseira among larger algae, are illustrations of this.</w:t></w:r>
</w:p>
<w:p>
<w:pPr><w:pStyle w:val="Normal"/></w:pPr>
<w:r><w:t xml:space="preserve">The whip-forms are represented by Spirogyra, Chaetomorpha,</w:t></w:r>
</w:p>
<w:p>
<w:pPr><w:pStyle w:val="Normal"/></w:pPr>
<w:r><w:t xml:space="preserve">Scytosiphon, Nemalion, Himanthalia and Chorda. Net-forms are</w:t></w:r>
</w:p>
<w:p>
<w:pPr><w:pStyle w:val="Normal"/></w:pPr>
<w:r><w:t xml:space="preserve">found in Hydrodictyon and Microdictyon. The leaf-forms are</w:t></w:r>
</w:p>
<w:p>
<w:pPr><w:pStyle w:val="Normal"/></w:pPr>
<w:r><w:t xml:space="preserve">very varied and owe their existence to the advantage accruing</w:t></w:r>
</w:p>
<w:p>
<w:pPr><w:pStyle w:val="Normal"/></w:pPr>
<w:r><w:t xml:space="preserve">from the exposure of a large surface to the influence of the</w:t></w:r>
</w:p>
<w:p>
<w:pPr><w:pStyle w:val="Normal"/></w:pPr>
<w:r><w:t xml:space="preserve">light.  In some cases such as Delesseria, Neurymenia, Fucus,</w:t></w:r>
</w:p>
<w:p>
<w:pPr><w:pStyle w:val="Normal"/></w:pPr>
<w:r><w:t xml:space="preserve">Alaria, the leaf-like structure is provided with a strengthening</w:t></w:r>
</w:p>
<w:p>
<w:pPr><w:pStyle w:val="Normal"/></w:pPr>
<w:r><w:t xml:space="preserve">mid-rib, and when as in Delesseria it is also richly veined</w:t></w:r>
</w:p>
<w:p>
<w:pPr><w:pStyle w:val="Normal"/></w:pPr>
<w:r><w:t xml:space="preserve">the resemblance to the leaf of a flowering plant is striking.</w:t></w:r>
</w:p>
<w:p>
<w:pPr><w:pStyle w:val="Normal"/></w:pPr>
<w:r><w:t xml:space="preserve">Laminaria, Padina, Cutleria, Punctaria, Iridaea, Ulva,</w:t></w:r>
</w:p>
<w:p>
<w:pPr><w:pStyle w:val="Normal"/></w:pPr>
<w:r><w:t xml:space="preserve">Porphyra, are leaf-like with a rigidity varying from a fleshy</w:t></w:r>
</w:p>
<w:p>
<w:pPr><w:pStyle w:val="Normal"/></w:pPr>
<w:r><w:t xml:space="preserve">lamina to the thin and pliable. Agarum, Claudea and Struvea</w:t></w:r>
</w:p>
<w:p>
<w:pPr><w:pStyle w:val="Normal"/></w:pPr>
<w:r><w:t xml:space="preserve">are leaf-forms which are perforated like Aldrovanda among</w:t></w:r>
</w:p>
<w:p>
<w:pPr><w:pStyle w:val="Normal"/></w:pPr>
<w:r><w:t xml:space="preserve">flowering plants. Enteromorpha, Asperococcus and Adenocystis</w:t></w:r>
</w:p>
<w:p>
<w:pPr><w:pStyle w:val="Normal"/></w:pPr>
<w:r><w:t xml:space="preserve">are sack-forms.  Dorsi-ventral algae are rare. Leveillea</w:t></w:r>
</w:p>
<w:p>
<w:pPr><w:pStyle w:val="Normal"/></w:pPr>
<w:r><w:t xml:space="preserve">jungermanneoides bears a remarkable resemblance to a leafy</w:t></w:r>
</w:p>
<w:p>
<w:pPr><w:pStyle w:val="Normal"/></w:pPr>
<w:r><w:t xml:space="preserve">liverwort.  In the next group of forms the simplest are crusts</w:t></w:r>
</w:p>
<w:p>
<w:pPr><w:pStyle w:val="Normal"/></w:pPr>
<w:r><w:t xml:space="preserve">attached to the substratum throughout their extent, and growing</w:t></w:r>
</w:p>
<w:p>
<w:pPr><w:pStyle w:val="Normal"/></w:pPr>
<w:r><w:t xml:space="preserve">at the margin.  Such are Myrionema, Ralfsia, Melobesia and</w:t></w:r>
</w:p>
<w:p>
<w:pPr><w:pStyle w:val="Normal"/></w:pPr>
<w:r><w:t xml:space="preserve">Hildebrandtia. Others are attached throughout their extent,</w:t></w:r>
</w:p>
<w:p>
<w:pPr><w:pStyle w:val="Normal"/></w:pPr>
<w:r><w:t xml:space="preserve">but also grow vertical filaments so as to form a velvety pile.</w:t></w:r>
</w:p>
<w:p>
<w:pPr><w:pStyle w:val="Normal"/></w:pPr>
<w:r><w:t xml:space="preserve">Such are Coleochaete, Ochlochaete, Elachistea, Ascocyclus and</w:t></w:r>
</w:p>
<w:p>
<w:pPr><w:pStyle w:val="Normal"/></w:pPr>
<w:r><w:t xml:space="preserve">Rhododermis.  Peysonellia squamaria, Melobesia lichenoides,</w:t></w:r>
</w:p>
<w:p>
<w:pPr><w:pStyle w:val="Normal"/></w:pPr>
<w:r><w:t xml:space="preserve">Leathesia difformis are forms which are not attached</w:t></w:r>
</w:p>
<w:p>
<w:pPr><w:pStyle w:val="Normal"/></w:pPr>
<w:r><w:t xml:space="preserve">throughout but grow in plates like the foliaceous lichens.</w:t></w:r>
</w:p>
<w:p>
<w:pPr><w:pStyle w:val="Normal"/></w:pPr>
<w:r><w:t xml:space="preserve">Ecology.</w:t></w:r>
</w:p>
<w:p>
<w:pPr><w:pStyle w:val="Normal"/></w:pPr>
<w:r><w:t xml:space="preserve">When it is sought to consider algae with a view to the</w:t></w:r>
</w:p>
<w:p>
<w:pPr><w:pStyle w:val="Normal"/></w:pPr>
<w:r><w:t xml:space="preserve">correlation of the external form to the conditions of life,</w:t></w:r>
</w:p>
<w:p>
<w:pPr><w:pStyle w:val="Normal"/></w:pPr>
<w:r><w:t xml:space="preserve">a subject the study of which under the name of ecology has</w:t></w:r>
</w:p>
<w:p>
<w:pPr><w:pStyle w:val="Normal"/></w:pPr>
<w:r><w:t xml:space="preserve">been latterly pursued with great success among land plants,</w:t></w:r>
</w:p>
<w:p>
<w:pPr><w:pStyle w:val="Normal"/></w:pPr>
<w:r><w:t xml:space="preserve">it is difficult as yet to arrive at generalizations which are</w:t></w:r>
</w:p>
<w:p>
<w:pPr><w:pStyle w:val="Normal"/></w:pPr>
<w:r><w:t xml:space="preserve">trustworthy.  Among land plants, as is well known, similarity</w:t></w:r>
</w:p>
<w:p>
<w:pPr><w:pStyle w:val="Normal"/></w:pPr>
<w:r><w:t xml:space="preserve">of environment has often called forth similar adaptations</w:t></w:r>
</w:p>
<w:p>
<w:pPr><w:pStyle w:val="Normal"/></w:pPr>
<w:r><w:t xml:space="preserve">among plants of widely separated families.  The similarity</w:t></w:r>
</w:p>
<w:p>
<w:pPr><w:pStyle w:val="Normal"/></w:pPr>
<w:r><w:t xml:space="preserve">of certain xerophilous Euphorbiaceae to Cactaceae is a ready</w:t></w:r>
</w:p>
<w:p>
<w:pPr><w:pStyle w:val="Normal"/></w:pPr>
<w:r><w:t xml:space="preserve">illustration of this phenomenon.  From what has been already</w:t></w:r>
</w:p>
<w:p>
<w:pPr><w:pStyle w:val="Normal"/></w:pPr>
<w:r><w:t xml:space="preserve">said it is evident that among algae also strikingly similar</w:t></w:r>
</w:p>
<w:p>
<w:pPr><w:pStyle w:val="Normal"/></w:pPr>
<w:r><w:t xml:space="preserve">forms exist in widely different groups.  Instances might be</w:t></w:r>
</w:p>
<w:p>
<w:pPr><w:pStyle w:val="Normal"/></w:pPr>
<w:r><w:t xml:space="preserve">multiplied.  Compare, for example, the blue-green Gloeocapsa</w:t></w:r>
</w:p>
<w:p>
<w:pPr><w:pStyle w:val="Normal"/></w:pPr>
<w:r><w:t xml:space="preserve">with the green Gloeocystis, the red Batrachospermum</w:t></w:r>
</w:p>
<w:p>
<w:pPr><w:pStyle w:val="Normal"/></w:pPr>
<w:r><w:t xml:space="preserve">with the green Draparnaldia, the red Corallina with the</w:t></w:r>
</w:p>
<w:p>
<w:pPr><w:pStyle w:val="Normal"/></w:pPr>
<w:r><w:t xml:space="preserve">green Cymopolia, the green Enteromorpha with the brown</w:t></w:r>
</w:p>
<w:p>
<w:pPr><w:pStyle w:val="Normal"/></w:pPr>
<w:r><w:t xml:space="preserve">Asperococcus, the green Ulva with the red Porphyra, the</w:t></w:r>
</w:p>
<w:p>
<w:pPr><w:pStyle w:val="Normal"/></w:pPr>
<w:r><w:t xml:space="preserve">red Nemalion with the brown Castagnea, and so on.  But on</w:t></w:r>
</w:p>
<w:p>
<w:pPr><w:pStyle w:val="Normal"/></w:pPr>
<w:r><w:t xml:space="preserve">the one hand similar forms seem to grow often under different</w:t></w:r>
</w:p>
<w:p>
<w:pPr><w:pStyle w:val="Normal"/></w:pPr>
<w:r><w:t xml:space="preserve">conditions, while on the other hand different forms flourish</w:t></w:r>
</w:p>
<w:p>
<w:pPr><w:pStyle w:val="Normal"/></w:pPr>
<w:r><w:t xml:space="preserve">under the same conditions.  The conceivable variations in the</w:t></w:r>
</w:p>
<w:p>
<w:pPr><w:pStyle w:val="Normal"/></w:pPr>
<w:r><w:t xml:space="preserve">conditions which would count in algal life are variations in</w:t></w:r>
</w:p>
<w:p>
<w:pPr><w:pStyle w:val="Normal"/></w:pPr>
<w:r><w:t xml:space="preserve">the chemical character of the water--whether fresh, brackish</w:t></w:r>
</w:p>
<w:p>
<w:pPr><w:pStyle w:val="Normal"/></w:pPr>
<w:r><w:t xml:space="preserve">or salt; or in the rate of movement of the water, whether</w:t></w:r>
</w:p>
<w:p>
<w:pPr><w:pStyle w:val="Normal"/></w:pPr>
<w:r><w:t xml:space="preserve">relatively quiet, or a stream or a surf; or in the degree of</w:t></w:r>
</w:p>
<w:p>
<w:pPr><w:pStyle w:val="Normal"/></w:pPr>
<w:r><w:t xml:space="preserve">illumination with the depth and transparency of the water.</w:t></w:r>
</w:p>
<w:p>
<w:pPr><w:pStyle w:val="Normal"/></w:pPr>
<w:r><w:t xml:space="preserve">But the laws which determine the associations of various</w:t></w:r>
</w:p>
<w:p>
<w:pPr><w:pStyle w:val="Normal"/></w:pPr>
<w:r><w:t xml:space="preserve">algae under one environment are as yet little understood.  The</w:t></w:r>
</w:p>
<w:p>
<w:pPr><w:pStyle w:val="Normal"/></w:pPr>
<w:r><w:t xml:space="preserve">occurrence of a plentiful mucilage in many freshwater forms</w:t></w:r>
</w:p>
<w:p>
<w:pPr><w:pStyle w:val="Normal"/></w:pPr>
<w:r><w:t xml:space="preserve">is, however, doubtless a provision against desiccation on</w:t></w:r>
</w:p>
<w:p>
<w:pPr><w:pStyle w:val="Normal"/></w:pPr>
<w:r><w:t xml:space="preserve">exposure.  The fine subdivision of filamentous and net-forms is</w:t></w:r>
</w:p>
<w:p>
<w:pPr><w:pStyle w:val="Normal"/></w:pPr>
<w:r><w:t xml:space="preserve">similarly a provision for easy access of water and light to all</w:t></w:r>
</w:p>
<w:p>
<w:pPr><w:pStyle w:val="Normal"/></w:pPr>
<w:r><w:t xml:space="preserve">parts.  The calcareous deposits in Characeae, Corallinaceae</w:t></w:r>
</w:p>
<w:p>
<w:pPr><w:pStyle w:val="Normal"/></w:pPr>
<w:r><w:t xml:space="preserve">and Siphonaceae are at once a protection against attack and</w:t></w:r>
</w:p>
<w:p>
<w:pPr><w:pStyle w:val="Normal"/></w:pPr>
<w:r><w:t xml:space="preserve">a means of support.  The whip-forms would seem to be designed</w:t></w:r>
</w:p>
<w:p>
<w:pPr><w:pStyle w:val="Normal"/></w:pPr>
<w:r><w:t xml:space="preserve">to resist injury from surf or current.  The vesicles of</w:t></w:r>
</w:p>
<w:p>
<w:pPr><w:pStyle w:val="Normal"/></w:pPr>
<w:r><w:t xml:space="preserve">Fucaceae and Laminariaceae prevent the sinking of the bulkier</w:t></w:r>
</w:p>
<w:p>
<w:pPr><w:pStyle w:val="Normal"/></w:pPr>
<w:r><w:t xml:space="preserve">forms.  But why certain Fucaceae favour certain zones in</w:t></w:r>
</w:p>
<w:p>
<w:pPr><w:pStyle w:val="Normal"/></w:pPr>
<w:r><w:t xml:space="preserve">the littoral region, why certain epiphytes are confined</w:t></w:r>
</w:p>
<w:p>
<w:pPr><w:pStyle w:val="Normal"/></w:pPr>
<w:r><w:t xml:space="preserve">to certain hosts, why Red and Brown Algae are not better</w:t></w:r>
</w:p>
<w:p>
<w:pPr><w:pStyle w:val="Normal"/></w:pPr>
<w:r><w:t xml:space="preserve">represented in fresh water Or Green Algae in salt,--these</w:t></w:r>
</w:p>
<w:p>
<w:pPr><w:pStyle w:val="Normal"/></w:pPr>
<w:r><w:t xml:space="preserve">are problems to which it is difficult to find a ready answer.</w:t></w:r>
</w:p>
<w:p>
<w:pPr><w:pStyle w:val="Normal"/></w:pPr>
<w:r><w:t xml:space="preserve">Uses.</w:t></w:r>
</w:p>
<w:p>
<w:pPr><w:pStyle w:val="Normal"/></w:pPr>
<w:r><w:t xml:space="preserve">Algae cannot be regarded as directly important in the</w:t></w:r>
</w:p>
<w:p>
<w:pPr><w:pStyle w:val="Normal"/></w:pPr>
<w:r><w:t xml:space="preserve">industries.  On the coasts of Europe marine algae detached</w:t></w:r>
</w:p>
<w:p>
<w:pPr><w:pStyle w:val="Normal"/></w:pPr>
<w:r><w:t xml:space="preserve">by the autumnal gales are commonly carted on to the land as</w:t></w:r>
</w:p>
<w:p>
<w:pPr><w:pStyle w:val="Normal"/></w:pPr>
<w:r><w:t xml:space="preserve">a convenient manure. Porphyra laciniata and Rhodymenia</w:t></w:r>
</w:p>
<w:p>
<w:pPr><w:pStyle w:val="Normal"/></w:pPr>
<w:r><w:t xml:space="preserve">palmata are locally used as food, the latter being known as</w:t></w:r>
</w:p>
<w:p>
<w:pPr><w:pStyle w:val="Normal"/></w:pPr>
<w:r><w:t xml:space="preserve">dulse.  Agar-agar is a gelatinous substance derived from an</w:t></w:r>
</w:p>
<w:p>
<w:pPr><w:pStyle w:val="Normal"/></w:pPr>
<w:r><w:t xml:space="preserve">eastern species of Gracilaria. The ash of seaweeds, known in</w:t></w:r>
</w:p>
<w:p>
<w:pPr><w:pStyle w:val="Normal"/></w:pPr>
<w:r><w:t xml:space="preserve">Scotland as kelp, and in Brittany as varec, was formerly used as a</w:t></w:r>
</w:p>
<w:p>
<w:pPr><w:pStyle w:val="Normal"/></w:pPr>
<w:r><w:t xml:space="preserve">source of iodine to a greater extent than is at present the case.</w:t></w:r>
</w:p>
<w:p>
<w:pPr><w:pStyle w:val="Normal"/></w:pPr>
<w:r><w:t xml:space="preserve">Occurence in the rocks.</w:t></w:r>
</w:p>
<w:p>
<w:pPr><w:pStyle w:val="Normal"/></w:pPr>
<w:r><w:t xml:space="preserve">Excepting where the thallus is impregnated with silica, as</w:t></w:r>
</w:p>
<w:p>
<w:pPr><w:pStyle w:val="Normal"/></w:pPr>
<w:r><w:t xml:space="preserve">in Diatomaceae, or carbonate of lime, as in Corallinaceae,</w:t></w:r>
</w:p>
<w:p>
<w:pPr><w:pStyle w:val="Normal"/></w:pPr>
<w:r><w:t xml:space="preserve">Characeae and some Siphonales, it is perhaps not surprising that</w:t></w:r>
</w:p>
<w:p>
<w:pPr><w:pStyle w:val="Normal"/></w:pPr>
<w:r><w:t xml:space="preserve">algae should not have been extensively preserved in the fossil</w:t></w:r>
</w:p>
<w:p>
<w:pPr><w:pStyle w:val="Normal"/></w:pPr>
<w:r><w:t xml:space="preserve">form.  Considering, however, that it is generally believed</w:t></w:r>
</w:p>
<w:p>
<w:pPr><w:pStyle w:val="Normal"/></w:pPr>
<w:r><w:t xml:space="preserve">that Bryophyta and vascular plants are descended from an</w:t></w:r>
</w:p>
<w:p>
<w:pPr><w:pStyle w:val="Normal"/></w:pPr>
<w:r><w:t xml:space="preserve">algal ancestry, it is natural to suppose that, prior to the</w:t></w:r>
</w:p>
<w:p>
<w:pPr><w:pStyle w:val="Normal"/></w:pPr>
<w:r><w:t xml:space="preserve">luxuriant vegetable growths of the Carboniferous period,</w:t></w:r>
</w:p>
<w:p>
<w:pPr><w:pStyle w:val="Normal"/></w:pPr>
<w:r><w:t xml:space="preserve">there must have existed an age of algae.  It was doubtless</w:t></w:r>
</w:p>
<w:p>
<w:pPr><w:pStyle w:val="Normal"/></w:pPr>
<w:r><w:t xml:space="preserve">this expectation that has led to the description of a number</w:t></w:r>
</w:p>
<w:p>
<w:pPr><w:pStyle w:val="Normal"/></w:pPr>
<w:r><w:t xml:space="preserve">of Silurian and Devonian remains as algae upon what is now</w:t></w:r>
</w:p>
<w:p>
<w:pPr><w:pStyle w:val="Normal"/></w:pPr>
<w:r><w:t xml:space="preserve">regarded as inadequate evidence.  The geologic record is,</w:t></w:r>
</w:p>
<w:p>
<w:pPr><w:pStyle w:val="Normal"/></w:pPr>
<w:r><w:t xml:space="preserve">as perhaps is to be expected, exceedingly poor, except as</w:t></w:r>
</w:p>
<w:p>
<w:pPr><w:pStyle w:val="Normal"/></w:pPr>
<w:r><w:t xml:space="preserve">regards the calcareous Siphonales, which are well represented</w:t></w:r>
</w:p>
<w:p>
<w:pPr><w:pStyle w:val="Normal"/></w:pPr>
<w:r><w:t xml:space="preserve">at various horizons, from the Silurian to the Tertiary;</w:t></w:r>
</w:p>
<w:p>
<w:pPr><w:pStyle w:val="Normal"/></w:pPr>
<w:r><w:t xml:space="preserve">even the Diatomaceae, which are found in great quantities in</w:t></w:r>
</w:p>
<w:p>
<w:pPr><w:pStyle w:val="Normal"/></w:pPr>
<w:r><w:t xml:space="preserve">the Tertiary deposits, do not occur at all earlier than the</w:t></w:r>
</w:p>
<w:p>
<w:pPr><w:pStyle w:val="Normal"/></w:pPr>
<w:r><w:t xml:space="preserve">chalk.  It is believed, however, that the Devonian fossil,</w:t></w:r>
</w:p>
<w:p>
<w:pPr><w:pStyle w:val="Normal"/></w:pPr>
<w:r><w:t xml:space="preserve">Nematophycus, is a Laminarian alga, but it is not until</w:t></w:r>
</w:p>
<w:p>
<w:pPr><w:pStyle w:val="Normal"/></w:pPr>
<w:r><w:t xml:space="preserve">the late Secondary and the Tertiary formations that fossil</w:t></w:r>
</w:p>
<w:p>
<w:pPr><w:pStyle w:val="Normal"/></w:pPr>
<w:r><w:t xml:space="preserve">remains of algae become frequent. (See PALAEOBOTANY.)</w:t></w:r>
</w:p>
<w:p>
<w:pPr><w:pStyle w:val="Normal"/></w:pPr>
<w:r><w:t xml:space="preserve">The subjoined list includes the larger standard works on</w:t></w:r>
</w:p>
<w:p>
<w:pPr><w:pStyle w:val="Normal"/></w:pPr>
<w:r><w:t xml:space="preserve">algae, together with a number of papers to which reference is</w:t></w:r>
</w:p>
<w:p>
<w:pPr><w:pStyle w:val="Normal"/></w:pPr>
<w:r><w:t xml:space="preserve">made in this article.  For a detailed catalogue of Algological</w:t></w:r>
</w:p>
<w:p>
<w:pPr><w:pStyle w:val="Normal"/></w:pPr>
<w:r><w:t xml:space="preserve">literature, see the ``Bibliotheca Phycologica&apos;&apos; in de Tonii&apos;s</w:t></w:r>
</w:p>
<w:p>
<w:pPr><w:pStyle w:val="Normal"/></w:pPr>
<w:r><w:t xml:space="preserve">Syllope Algarum, vo1. i. (1889), with the addendum thereto</w:t></w:r>
</w:p>
<w:p>
<w:pPr><w:pStyle w:val="Normal"/></w:pPr>
<w:r><w:t xml:space="preserve">in vol. iv. (1897) of the same work. GENERAL.--J.  G. Agardh,</w:t></w:r>
</w:p>
<w:p>
<w:pPr><w:pStyle w:val="Normal"/></w:pPr>
<w:r><w:t xml:space="preserve">Species, genera et ordines Algarum (vols. i-iii., Algernes</w:t></w:r>
</w:p>
<w:p>
<w:pPr><w:pStyle w:val="Normal"/></w:pPr>
<w:r><w:t xml:space="preserve">Systematik (Lund, 1872-1899); J. E. Areschoug, ``Observationes</w:t></w:r>
</w:p>
<w:p>
<w:pPr><w:pStyle w:val="Normal"/></w:pPr>
<w:r><w:t xml:space="preserve">Phycologicae,&apos;&apos; Nova Acta reg. soc. sci.  Upsaliensis</w:t></w:r>
</w:p>
<w:p>
<w:pPr><w:pStyle w:val="Normal"/></w:pPr>
<w:r><w:t xml:space="preserve">(Upsala, 1866-1875); F. F. Blackman, ``The Primitive Algae</w:t></w:r>
</w:p>
<w:p>
<w:pPr><w:pStyle w:val="Normal"/></w:pPr>
<w:r><w:t xml:space="preserve">and the Flagellata,&apos;&apos; Ann. of Botany (vol. xiv., Oxford,</w:t></w:r>
</w:p>
<w:p>
<w:pPr><w:pStyle w:val="Normal"/></w:pPr>
<w:r><w:t xml:space="preserve">1900); E. Bornet and G. Thuret, Notes agologiques (fasc.</w:t></w:r>
</w:p>
<w:p>
<w:pPr><w:pStyle w:val="Normal"/></w:pPr>
<w:r><w:t xml:space="preserve">i.-ii., Paris, 1876-1880); P. A. Dangeard, ``Recherches sur</w:t></w:r>
</w:p>
<w:p>
<w:pPr><w:pStyle w:val="Normal"/></w:pPr>
<w:r><w:t xml:space="preserve">les algues inferieures,&apos;&apos; Ann. des sci. naturelles, Bot.</w:t></w:r>
</w:p>
<w:p>
<w:pPr><w:pStyle w:val="Normal"/></w:pPr>
<w:r><w:t xml:space="preserve">(vol. vii., Paris, 1888); A. Derbes and A. J. J. Solier,</w:t></w:r>
</w:p>
<w:p>
<w:pPr><w:pStyle w:val="Normal"/></w:pPr>
<w:r><w:t xml:space="preserve">Momoire de la physiologie des algues (Paris, 1856); J.</w:t></w:r>
</w:p>
<w:p>
<w:pPr><w:pStyle w:val="Normal"/></w:pPr>
<w:r><w:t xml:space="preserve">B. de Toni, Sylloge Algarum---vol. i. Chlorophyceae,</w:t></w:r>
</w:p>
<w:p>
<w:pPr><w:pStyle w:val="Normal"/></w:pPr>
<w:r><w:t xml:space="preserve">vol. ii. Bacillariaceae, vol. iii. Fucoideae, vol. iv.</w:t></w:r>
</w:p>
<w:p>
<w:pPr><w:pStyle w:val="Normal"/></w:pPr>
<w:r><w:t xml:space="preserve">Florideae (Padua, 1889-1900); P. Falkenberg, ``Die Algen</w:t></w:r>
</w:p>
<w:p>
<w:pPr><w:pStyle w:val="Normal"/></w:pPr>
<w:r><w:t xml:space="preserve">im weitesten Sinne,&apos;&apos; Schenk&apos;s Handbuch der Botanik (vol.</w:t></w:r>
</w:p>
<w:p>
<w:pPr><w:pStyle w:val="Normal"/></w:pPr>
<w:r><w:t xml:space="preserve">ii., 1882); W. G. Farlow, Morine Algae of New England</w:t></w:r>
</w:p>
<w:p>
<w:pPr><w:pStyle w:val="Normal"/></w:pPr>
<w:r><w:t xml:space="preserve">(Washington, 1881); W. H. Harvey, Phycologia Britannica (4</w:t></w:r>
</w:p>
<w:p>
<w:pPr><w:pStyle w:val="Normal"/></w:pPr>
<w:r><w:t xml:space="preserve">vols., London, 1846-1855); Nereis Boreali-Americana (3</w:t></w:r>
</w:p>
<w:p>
<w:pPr><w:pStyle w:val="Normal"/></w:pPr>
<w:r><w:t xml:space="preserve">pts., Washington, 1851-1858); Phycologia Australica (5</w:t></w:r>
</w:p>
<w:p>
<w:pPr><w:pStyle w:val="Normal"/></w:pPr>
<w:r><w:t xml:space="preserve">vols., London, 1858-1863); F. Hauck, ``Die Meeresalgen</w:t></w:r>
</w:p>
<w:p>
<w:pPr><w:pStyle w:val="Normal"/></w:pPr>
<w:r><w:t xml:space="preserve">Deutschlands und Osterrichs,&apos;&apos; Rabenhort&apos;s Kryptogamen-Flora</w:t></w:r>
</w:p>
<w:p>
<w:pPr><w:pStyle w:val="Normal"/></w:pPr>
<w:r><w:t xml:space="preserve">(Leipzig, 1885); F. R. Kjellman, The Algae of the Arctic Sea</w:t></w:r>
</w:p>
<w:p>
<w:pPr><w:pStyle w:val="Normal"/></w:pPr>
<w:r><w:t xml:space="preserve">(Stockholm, 1883); F. T. Kutzing, Tabulae Phycologicae (19</w:t></w:r>
</w:p>
<w:p>
<w:pPr><w:pStyle w:val="Normal"/></w:pPr>
<w:r><w:t xml:space="preserve">vols., Nordhausen, 1845-1869); P. Kuckuck, Beitrage zur</w:t></w:r>
</w:p>
<w:p>
<w:pPr><w:pStyle w:val="Normal"/></w:pPr>
<w:r><w:t xml:space="preserve">Kenntniss der Meercsalgen (Kiel and Leipzig, 1897-1899); G.</w:t></w:r>
</w:p>
<w:p>
<w:pPr><w:pStyle w:val="Normal"/></w:pPr>
<w:r><w:t xml:space="preserve">Murray, Phycological Memoirs (London, 1892-1895) Naegeli,</w:t></w:r>
</w:p>
<w:p>
<w:pPr><w:pStyle w:val="Normal"/></w:pPr>
<w:r><w:t xml:space="preserve">Die neueren Algensysteme (Zurich, 1847); F. Oltmanns,</w:t></w:r>
</w:p>
<w:p>
<w:pPr><w:pStyle w:val="Normal"/></w:pPr>
<w:r><w:t xml:space="preserve">Morphologie und Biologie der Algen (Jena, Band i. 1904,</w:t></w:r>
</w:p>
<w:p>
<w:pPr><w:pStyle w:val="Normal"/></w:pPr>
<w:r><w:t xml:space="preserve">Band ii. 1905); N. Pringsheim, ``Beitrage zur Morphologie</w:t></w:r>
</w:p>
<w:p>
<w:pPr><w:pStyle w:val="Normal"/></w:pPr>
<w:r><w:t xml:space="preserve">der Meeresalgen,&apos;&apos; Abhand.  Konigl.  Akad. der Wissensch.</w:t></w:r>
</w:p>
<w:p>
<w:pPr><w:pStyle w:val="Normal"/></w:pPr>
<w:r><w:t xml:space="preserve">(Berlin, 1862); J. Reinke, Atlas deutscher Meeresalgen</w:t></w:r>
</w:p>
<w:p>
<w:pPr><w:pStyle w:val="Normal"/></w:pPr>
<w:r><w:t xml:space="preserve">(Berlin, 1889-1892); F. Schutt, Das Pflanzenleben der</w:t></w:r>
</w:p>
<w:p>
<w:pPr><w:pStyle w:val="Normal"/></w:pPr>
<w:r><w:t xml:space="preserve">Hochsee (Leipzig, 1893); J. Stackhouse, Nereis britannica</w:t></w:r>
</w:p>
<w:p>
<w:pPr><w:pStyle w:val="Normal"/></w:pPr>
<w:r><w:t xml:space="preserve">(ed. i., Bath, 1801; ed. ii., Oxford, 1816); G. Thuret and E.</w:t></w:r>
</w:p>
<w:p>
<w:pPr><w:pStyle w:val="Normal"/></w:pPr>
<w:r><w:t xml:space="preserve">Bornet, Etudes phycologiques (Paris, 1878); D. Turner,</w:t></w:r>
</w:p>
<w:p>
<w:pPr><w:pStyle w:val="Normal"/></w:pPr>
<w:r><w:t xml:space="preserve">Historia Fucorum (4 vols., London, 1808-1819); G. Zanardini,</w:t></w:r>
</w:p>
<w:p>
<w:pPr><w:pStyle w:val="Normal"/></w:pPr>
<w:r><w:t xml:space="preserve">Iconographia Phycologia Adriatica (Venice, 1860-1876).</w:t></w:r>
</w:p>
<w:p>
<w:pPr><w:pStyle w:val="Normal"/></w:pPr>
<w:r><w:t xml:space="preserve">1. CYANOPHYCEAE.--E.  Bornet and Ch. Flahault, ``Revision</w:t></w:r>
</w:p>
<w:p>
<w:pPr><w:pStyle w:val="Normal"/></w:pPr>
<w:r><w:t xml:space="preserve">des Nostocacees heterocystees,&apos;&apos; Ann. des sc.</w:t></w:r>
</w:p>
<w:p>
<w:pPr><w:pStyle w:val="Normal"/></w:pPr>
<w:r><w:t xml:space="preserve">naturelles, Bot.(vols. iii.-vii., Paris, 1887-1888); M.</w:t></w:r>
</w:p>
<w:p>
<w:pPr><w:pStyle w:val="Normal"/></w:pPr>
<w:r><w:t xml:space="preserve">Gomont, ``Monographic des Oscillariees,&apos;&apos; Ann. des sc.</w:t></w:r>
</w:p>
<w:p>
<w:pPr><w:pStyle w:val="Normal"/></w:pPr>
<w:r><w:t xml:space="preserve">naturelles, Bot. (vols. xv.-xvi., Paris, 1893); Hegler,</w:t></w:r>
</w:p>
<w:p>
<w:pPr><w:pStyle w:val="Normal"/></w:pPr>
<w:r><w:t xml:space="preserve">``Uber Kerntheilungserscheinungen,&apos;&apos; Ref. Botan.  Centralbl.</w:t></w:r>
</w:p>
<w:p>
<w:pPr><w:pStyle w:val="Normal"/></w:pPr>
<w:r><w:t xml:space="preserve">(vol. lxiv., Cassel, 1895); O. Kirchner, ``Schizophyceae&apos;&apos;,</w:t></w:r>
</w:p>
<w:p>
<w:pPr><w:pStyle w:val="Normal"/></w:pPr>
<w:r><w:t xml:space="preserve">in Engler and Prantl&apos;s Pflanzenfamilien (Leipzig, 1900).</w:t></w:r>
</w:p>
<w:p>
<w:pPr><w:pStyle w:val="Normal"/></w:pPr>
<w:r><w:t xml:space="preserve">2. CHLOROPHYCEAE.--A.  Borzi, ``Studi anamorfici di alcune</w:t></w:r>
</w:p>
<w:p>
<w:pPr><w:pStyle w:val="Normal"/></w:pPr>
<w:r><w:t xml:space="preserve">alghe verdi,&apos;&apos; Bull.  Soc. Bot. Ital. in N. Giorn.  Bot.</w:t></w:r>
</w:p>
<w:p>
<w:pPr><w:pStyle w:val="Normal"/></w:pPr>
<w:r><w:t xml:space="preserve">Ital. (vol. xxii., Pisa, 1890); F. F. Blackman and A. G.</w:t></w:r>
</w:p>
<w:p>
<w:pPr><w:pStyle w:val="Normal"/></w:pPr>
<w:r><w:t xml:space="preserve">Tansley, A Revision of the Classification of the Green</w:t></w:r>
</w:p>
<w:p>
<w:pPr><w:pStyle w:val="Normal"/></w:pPr>
<w:r><w:t xml:space="preserve">Algae, reprinted from the New Phytologist (vol. i., London,</w:t></w:r>
</w:p>
<w:p>
<w:pPr><w:pStyle w:val="Normal"/></w:pPr>
<w:r><w:t xml:space="preserve">1903); K. Bohlin, ``Studier ofver nagra slagten af alggruppen</w:t></w:r>
</w:p>
<w:p>
<w:pPr><w:pStyle w:val="Normal"/></w:pPr>
<w:r><w:t xml:space="preserve">confervales Borzi,&apos;&apos; Bihang till K. Svenska vel. akad.</w:t></w:r>
</w:p>
<w:p>
<w:pPr><w:pStyle w:val="Normal"/></w:pPr>
<w:r><w:t xml:space="preserve">Handlinger (Bd. xxiii. afd. 3, 1897);--Ufkasttill, De grona</w:t></w:r>
</w:p>
<w:p>
<w:pPr><w:pStyle w:val="Normal"/></w:pPr>
<w:r><w:t xml:space="preserve">algernas och arkegomiaternas bylogeni (Upsala, 1901); R.</w:t></w:r>
</w:p>
<w:p>
<w:pPr><w:pStyle w:val="Normal"/></w:pPr>
<w:r><w:t xml:space="preserve">Chodat, ``On the Polymorphism of the Green Algae,&apos;&apos; Ann.</w:t></w:r>
</w:p>
<w:p>
<w:pPr><w:pStyle w:val="Normal"/></w:pPr>
<w:r><w:t xml:space="preserve">of Botany (vol. xi., Oxford, 1897); M. C. Cooke, British</w:t></w:r>
</w:p>
<w:p>
<w:pPr><w:pStyle w:val="Normal"/></w:pPr>
<w:r><w:t xml:space="preserve">Freshwater Algae (2 vols., London, 1884), British Desmids</w:t></w:r>
</w:p>
<w:p>
<w:pPr><w:pStyle w:val="Normal"/></w:pPr>
<w:r><w:t xml:space="preserve">(London, 1887); G. Klebs, Die Bedingungen der Fortpflanzung</w:t></w:r>
</w:p>
<w:p>
<w:pPr><w:pStyle w:val="Normal"/></w:pPr>
<w:r><w:t xml:space="preserve">bei einigen Algen und Pilzen (Jena, 1896); A. Luther, ``Uber</w:t></w:r>
</w:p>
<w:p>
<w:pPr><w:pStyle w:val="Normal"/></w:pPr>
<w:r><w:t xml:space="preserve">Chlorosaccus, n.g.&apos;&apos; Bihang till K. Svenska vel. akad.</w:t></w:r>
</w:p>
<w:p>
<w:pPr><w:pStyle w:val="Normal"/></w:pPr>
<w:r><w:t xml:space="preserve">Handlinger (Bd. xxiv. afd. 3, 1899); H. Grat zu Solms-Laubach,</w:t></w:r>
</w:p>
<w:p>
<w:pPr><w:pStyle w:val="Normal"/></w:pPr>
<w:r><w:t xml:space="preserve">``Monograph of the Acetabulariaceae,&apos;&apos; Trans.  Linn.  Soc.</w:t></w:r>
</w:p>
<w:p>
<w:pPr><w:pStyle w:val="Normal"/></w:pPr>
<w:r><w:t xml:space="preserve">(Lond.) Bot. (London, 1895); N. Wille, ``Chlorophyceae&apos;&apos;,</w:t></w:r>
</w:p>
<w:p>
<w:pPr><w:pStyle w:val="Normal"/></w:pPr>
<w:r><w:t xml:space="preserve">in Engler and Prantl&apos;s Pflanzenfamilien (Leipzig, 1897).</w:t></w:r>
</w:p>
<w:p>
<w:pPr><w:pStyle w:val="Normal"/></w:pPr>
<w:r><w:t xml:space="preserve">3. PHAEOPHYCEAE.--E.  A. L. Batters, ``On Ectocarpus secundus,&apos;&apos;</w:t></w:r>
</w:p>
<w:p>
<w:pPr><w:pStyle w:val="Normal"/></w:pPr>
<w:r><w:t xml:space="preserve">Grevillea (vol. xxi., London, 1893); G. Berthold, ``Die</w:t></w:r>
</w:p>
<w:p>
<w:pPr><w:pStyle w:val="Normal"/></w:pPr>
<w:r><w:t xml:space="preserve">geschlechliche Fortpflanzung der eigentlichen Phaeosooreen,&apos;&apos;</w:t></w:r>
</w:p>
<w:p>
<w:pPr><w:pStyle w:val="Normal"/></w:pPr>
<w:r><w:t xml:space="preserve">Mitth.  Zool. Stat.  Neapel (vol. ii., Leipzig, 1881); G.</w:t></w:r>
</w:p>
<w:p>
<w:pPr><w:pStyle w:val="Normal"/></w:pPr>
<w:r><w:t xml:space="preserve">Brebner, ``On the Classification of the Tilopteridaceae,&apos;&apos;</w:t></w:r>
</w:p>
<w:p>
<w:pPr><w:pStyle w:val="Normal"/></w:pPr>
<w:r><w:t xml:space="preserve">Proc.  Bristol Nat. Soc. (vol. viii., Bristol, 1896-1897);</w:t></w:r>
</w:p>
<w:p>
<w:pPr><w:pStyle w:val="Normal"/></w:pPr>
<w:r><w:t xml:space="preserve">A. H. Church, ``On the Polymorphy of Cutleria multiflda,&apos;&apos;</w:t></w:r>
</w:p>
<w:p>
<w:pPr><w:pStyle w:val="Normal"/></w:pPr>
<w:r><w:t xml:space="preserve">Ann. of Botany (vol. xii., Oxford, 1898); J. B. Farmer</w:t></w:r>
</w:p>
<w:p>
<w:pPr><w:pStyle w:val="Normal"/></w:pPr>
<w:r><w:t xml:space="preserve">esnd J. Ll. Williams, ``Contributions to our Knowledge</w:t></w:r>
</w:p>
<w:p>
<w:pPr><w:pStyle w:val="Normal"/></w:pPr>
<w:r><w:t xml:space="preserve">of the Life- history and Cytology of Fucaceae,&apos;&apos; Phil.</w:t></w:r>
</w:p>
<w:p>
<w:pPr><w:pStyle w:val="Normal"/></w:pPr>
<w:r><w:t xml:space="preserve">Trans.  Roy. Soc. (vol. cxc., London, 1898); E. Janczewski,</w:t></w:r>
</w:p>
<w:p>
<w:pPr><w:pStyle w:val="Normal"/></w:pPr>
<w:r><w:t xml:space="preserve">``Observations sur l&apos;accroissement du thalle des Phaeosporees,&apos;&apos;</w:t></w:r>
</w:p>
<w:p>
<w:pPr><w:pStyle w:val="Normal"/></w:pPr>
<w:r><w:t xml:space="preserve">Mem. soc. nat. de sc. (Cherbourg, 1895); F. R. Kjellmann,</w:t></w:r>
</w:p>
<w:p>
<w:pPr><w:pStyle w:val="Normal"/></w:pPr>
<w:r><w:t xml:space="preserve">``Phaeophyceae,&apos;&apos; in Engler and Prantl&apos;s Pflanzenfamilian</w:t></w:r>
</w:p>
<w:p>
<w:pPr><w:pStyle w:val="Normal"/></w:pPr>
<w:r><w:t xml:space="preserve">(Leipzig, 1897); F. Oltmanns, ``Beitrage zur Kenntniss der</w:t></w:r>
</w:p>
<w:p>
<w:pPr><w:pStyle w:val="Normal"/></w:pPr>
<w:r><w:t xml:space="preserve">Fucaceen,&apos;&apos; Bibliotheca botanica, xiv. (Cassel, 1889); C.</w:t></w:r>
</w:p>
<w:p>
<w:pPr><w:pStyle w:val="Normal"/></w:pPr>
<w:r><w:t xml:space="preserve">Sauvageau, ``Observations relatives a la sexualite des</w:t></w:r>
</w:p>
<w:p>
<w:pPr><w:pStyle w:val="Normal"/></w:pPr>
<w:r><w:t xml:space="preserve">Phaeosporees,&apos;&apos; Journal de botanique (vol. x., Paris,</w:t></w:r>
</w:p>
<w:p>
<w:pPr><w:pStyle w:val="Normal"/></w:pPr>
<w:r><w:t xml:space="preserve">1896); E. Strasburger, ``Kerntheilung und Befruchtung bei</w:t></w:r>
</w:p>
<w:p>
<w:pPr><w:pStyle w:val="Normal"/></w:pPr>
<w:r><w:t xml:space="preserve">Fucus,&apos;&apos; Cytologische Studien (Berlin, 1897); F. Schutt,</w:t></w:r>
</w:p>
<w:p>
<w:pPr><w:pStyle w:val="Normal"/></w:pPr>
<w:r><w:t xml:space="preserve">Die Peridinien der Plankton-Expedition (Kiel and Leipzig,</w:t></w:r>
</w:p>
<w:p>
<w:pPr><w:pStyle w:val="Normal"/></w:pPr>
<w:r><w:t xml:space="preserve">1895); R. Valiante, Le Cystoseirae del Golfo di Napoli</w:t></w:r>
</w:p>
<w:p>
<w:pPr><w:pStyle w:val="Normal"/></w:pPr>
<w:r><w:t xml:space="preserve">(Leipzig, 1883); J. Ll. Williams, ``On the Antherozoids of</w:t></w:r>
</w:p>
<w:p>
<w:pPr><w:pStyle w:val="Normal"/></w:pPr>
<w:r><w:t xml:space="preserve">Dictyota and Taonia,&apos;&apos; Ann. of Botany (vol. xi., Oxford, 1897).</w:t></w:r>
</w:p>
<w:p>
<w:pPr><w:pStyle w:val="Normal"/></w:pPr>
<w:r><w:t xml:space="preserve">4. RHODOPHYCEAE.--G.  Berthold, ``Die Bangiacen des Golfes</w:t></w:r>
</w:p>
<w:p>
<w:pPr><w:pStyle w:val="Normal"/></w:pPr>
<w:r><w:t xml:space="preserve">von Neapel,&apos;&apos; Mitth.  Zool.  Stat.  Neapel (Naples, 1882);</w:t></w:r>
</w:p>
<w:p>
<w:pPr><w:pStyle w:val="Normal"/></w:pPr>
<w:r><w:t xml:space="preserve">F. Oltmanns, ``Zur Entwickelungsgeschichte der Florideen,&apos;&apos;</w:t></w:r>
</w:p>
<w:p>
<w:pPr><w:pStyle w:val="Normal"/></w:pPr>
<w:r><w:t xml:space="preserve">Botanische Zeitung (1898); R. W. Philligs, ``The Development</w:t></w:r>
</w:p>
<w:p>
<w:pPr><w:pStyle w:val="Normal"/></w:pPr>
<w:r><w:t xml:space="preserve">of the Cystocarp in Rhodymeniales,&apos;&apos; i. and ii., Annals</w:t></w:r>
</w:p>
<w:p>
<w:pPr><w:pStyle w:val="Normal"/></w:pPr>
<w:r><w:t xml:space="preserve">of Botany (vols. xi. xii., Oxford. 1897-1898); F. Schmitz,</w:t></w:r>
</w:p>
<w:p>
<w:pPr><w:pStyle w:val="Normal"/></w:pPr>
<w:r><w:t xml:space="preserve">``Untersuchungen uber die Befruchtung der Florideen,&apos;&apos;</w:t></w:r>
</w:p>
<w:p>
<w:pPr><w:pStyle w:val="Normal"/></w:pPr>
<w:r><w:t xml:space="preserve">Sitzungsber. der konigl.  Akad.der Wissensch. (Berlin,</w:t></w:r>
</w:p>
<w:p>
<w:pPr><w:pStyle w:val="Normal"/></w:pPr>
<w:r><w:t xml:space="preserve">1883); ``Kleinere Beitrage zur Kenntniss der Florideen,&apos;&apos;</w:t></w:r>
</w:p>
<w:p>
<w:pPr><w:pStyle w:val="Normal"/></w:pPr>
<w:r><w:t xml:space="preserve">La Nuova Notarisia, 1892-1894; F. Schmitz, P. Falkenberg,</w:t></w:r>
</w:p>
<w:p>
<w:pPr><w:pStyle w:val="Normal"/></w:pPr>
<w:r><w:t xml:space="preserve">P. Hauptfleisch, ``Rhodophyceae,&apos;&apos; in Engler and Prantl&apos;s</w:t></w:r>
</w:p>
<w:p>
<w:pPr><w:pStyle w:val="Normal"/></w:pPr>
<w:r><w:t xml:space="preserve">Pflanzenfamilien (1897); W. Schmidle, ``Die Befruchtung,</w:t></w:r>
</w:p>
<w:p>
<w:pPr><w:pStyle w:val="Normal"/></w:pPr>
<w:r><w:t xml:space="preserve">Keimung und Haarinsertion von Batrachospermum,&apos;&apos; Bot.</w:t></w:r>
</w:p>
<w:p>
<w:pPr><w:pStyle w:val="Normal"/></w:pPr>
<w:r><w:t xml:space="preserve">Zeitung.. (1899); Sirodot, Les Batrachospermes (Paris,</w:t></w:r>
</w:p>
<w:p>
<w:pPr><w:pStyle w:val="Normal"/></w:pPr>
<w:r><w:t xml:space="preserve">1884); N. Wille, ``Uber die Befruchtung bei Nemalion</w:t></w:r>
</w:p>
<w:p>
<w:pPr><w:pStyle w:val="Normal"/></w:pPr>
<w:r><w:t xml:space="preserve">multifidum,&apos;&apos; Ber. d. deutschen bot.  Gesellsc. Band</w:t></w:r>
</w:p>
<w:p>
<w:pPr><w:pStyle w:val="Normal"/></w:pPr>
<w:r><w:t xml:space="preserve">xii. (Berlin, 1894); J. J. Wolfe, ``Cytological Studies on</w:t></w:r>
</w:p>
<w:p>
<w:pPr><w:pStyle w:val="Normal"/></w:pPr>
<w:r><w:t xml:space="preserve">Nemalion,&apos;&apos; Annals of Botany (vol. xviii., Oxford, 1904);</w:t></w:r>
</w:p>
<w:p>
<w:pPr><w:pStyle w:val="Normal"/></w:pPr>
<w:r><w:t xml:space="preserve">S. Yamanouchi, ``The Life- History of Polysiphonia violacea,&apos;&apos;</w:t></w:r>
</w:p>
<w:p>
<w:pPr><w:pStyle w:val="Normal"/></w:pPr>
<w:r><w:t xml:space="preserve">Botanical Gazette (vol. xli., Chicago, 1906). (R. W. P.)</w:t></w:r>
</w:p>
<w:p>
<w:pPr><w:pStyle w:val="Normal"/></w:pPr>
<w:r><w:t xml:space="preserve">ALGARDI, ALESSANDRO (1602-1654), Italian sculptor, was born</w:t></w:r>
</w:p>
<w:p>
<w:pPr><w:pStyle w:val="Normal"/></w:pPr>
<w:r><w:t xml:space="preserve">at Bologna in 1602.  While he was attending the school of the</w:t></w:r>
</w:p>
<w:p>
<w:pPr><w:pStyle w:val="Normal"/></w:pPr>
<w:r><w:t xml:space="preserve">Caracci his preference for the plastic art became evident,</w:t></w:r>
</w:p>
<w:p>
<w:pPr><w:pStyle w:val="Normal"/></w:pPr>
<w:r><w:t xml:space="preserve">and he placed himself under the instruction of the sculptor</w:t></w:r>
</w:p>
<w:p>
<w:pPr><w:pStyle w:val="Normal"/></w:pPr>
<w:r><w:t xml:space="preserve">Conventi.  At the age of twenty he was brought under the</w:t></w:r>
</w:p>
<w:p>
<w:pPr><w:pStyle w:val="Normal"/></w:pPr>
<w:r><w:t xml:space="preserve">notice of Duke Ferdinand of Mantua, who gave him several</w:t></w:r>
</w:p>
<w:p>
<w:pPr><w:pStyle w:val="Normal"/></w:pPr>
<w:r><w:t xml:space="preserve">commissions.  He was also much employed about the same period</w:t></w:r>
</w:p>
<w:p>
<w:pPr><w:pStyle w:val="Normal"/></w:pPr>
<w:r><w:t xml:space="preserve">by jewellers and others in modelling in gold, silver and</w:t></w:r>
</w:p>
<w:p>
<w:pPr><w:pStyle w:val="Normal"/></w:pPr>
<w:r><w:t xml:space="preserve">ivory.  After a short residence in Venice he went to Rome in</w:t></w:r>
</w:p>
<w:p>
<w:pPr><w:pStyle w:val="Normal"/></w:pPr>
<w:r><w:t xml:space="preserve">1625 with an introduction from the duke of Mantua to the pope&apos;s</w:t></w:r>
</w:p>
<w:p>
<w:pPr><w:pStyle w:val="Normal"/></w:pPr>
<w:r><w:t xml:space="preserve">nephew, Cardinal Ludovisi, who employed him for a time in</w:t></w:r>
</w:p>
<w:p>
<w:pPr><w:pStyle w:val="Normal"/></w:pPr>
<w:r><w:t xml:space="preserve">the restoration of ancient statues.  The death of the duke of</w:t></w:r>
</w:p>
<w:p>
<w:pPr><w:pStyle w:val="Normal"/></w:pPr>
<w:r><w:t xml:space="preserve">Mantua left him to his own resources, and for several years</w:t></w:r>
</w:p>
<w:p>
<w:pPr><w:pStyle w:val="Normal"/></w:pPr>
<w:r><w:t xml:space="preserve">he earned a precarious maintenance from these restorations</w:t></w:r>
</w:p>
<w:p>
<w:pPr><w:pStyle w:val="Normal"/></w:pPr>
<w:r><w:t xml:space="preserve">and the commissions of goldsmiths and jewellers.  In 1640 he</w:t></w:r>
</w:p>
<w:p>
<w:pPr><w:pStyle w:val="Normal"/></w:pPr>
<w:r><w:t xml:space="preserve">executed for Pietro Buoncompagni his first work in marble, a</w:t></w:r>
</w:p>
<w:p>
<w:pPr><w:pStyle w:val="Normal"/></w:pPr>
<w:r><w:t xml:space="preserve">colossal statue of San Filippo Neri, with kneeling angels.</w:t></w:r>
</w:p>
<w:p>
<w:pPr><w:pStyle w:val="Normal"/></w:pPr>
<w:r><w:t xml:space="preserve">Immediately after, he produced a similar group, representing</w:t></w:r>
</w:p>
<w:p>
<w:pPr><w:pStyle w:val="Normal"/></w:pPr>
<w:r><w:t xml:space="preserve">the execution of St Paul, for the church of the Barnabite</w:t></w:r>
</w:p>
<w:p>
<w:pPr><w:pStyle w:val="Normal"/></w:pPr>
<w:r><w:t xml:space="preserve">Fathers in Bologna.  These works, displaying great technical</w:t></w:r>
</w:p>
<w:p>
<w:pPr><w:pStyle w:val="Normal"/></w:pPr>
<w:r><w:t xml:space="preserve">skill, though with considerable exaggeration of expression</w:t></w:r>
</w:p>
<w:p>
<w:pPr><w:pStyle w:val="Normal"/></w:pPr>
<w:r><w:t xml:space="preserve">and attitude, at once established Algardi&apos;s reputation, and</w:t></w:r>
</w:p>
<w:p>
<w:pPr><w:pStyle w:val="Normal"/></w:pPr>
<w:r><w:t xml:space="preserve">other commissions followed in rapid succession.  The turning</w:t></w:r>
</w:p>
<w:p>
<w:pPr><w:pStyle w:val="Normal"/></w:pPr>
<w:r><w:t xml:space="preserve">point in Algardi&apos;s fortune was the accession of Innocent</w:t></w:r>
</w:p>
<w:p>
<w:pPr><w:pStyle w:val="Normal"/></w:pPr>
<w:r><w:t xml:space="preserve">X., of the Bolognese house of Panfili, to the papal throne in</w:t></w:r>
</w:p>
<w:p>
<w:pPr><w:pStyle w:val="Normal"/></w:pPr>
<w:r><w:t xml:space="preserve">1644.  He was employed by Camino Panfili, nephew of the pontiff,</w:t></w:r>
</w:p>
<w:p>
<w:pPr><w:pStyle w:val="Normal"/></w:pPr>
<w:r><w:t xml:space="preserve">to design the Villa Doria Panfili outside the San Pancrazio</w:t></w:r>
</w:p>
<w:p>
<w:pPr><w:pStyle w:val="Normal"/></w:pPr>
<w:r><w:t xml:space="preserve">gate.  The most important of Algardi&apos;s other works were the</w:t></w:r>
</w:p>
<w:p>
<w:pPr><w:pStyle w:val="Normal"/></w:pPr>
<w:r><w:t xml:space="preserve">monument of Leo XI., a bronze statue of Innocent X. for the</w:t></w:r>
</w:p>
<w:p>
<w:pPr><w:pStyle w:val="Normal"/></w:pPr>
<w:r><w:t xml:space="preserve">capitol, and, above all, La Fuega d&apos;Attila, the largest</w:t></w:r>
</w:p>
<w:p>
<w:pPr><w:pStyle w:val="Normal"/></w:pPr>
<w:r><w:t xml:space="preserve">alto-relievo in the world, the two principal figures being</w:t></w:r>
</w:p>
<w:p>
<w:pPr><w:pStyle w:val="Normal"/></w:pPr>
<w:r><w:t xml:space="preserve">about 10 ft. high.  In 1650 Algardi met Velasquez, who</w:t></w:r>
</w:p>
<w:p>
<w:pPr><w:pStyle w:val="Normal"/></w:pPr>
<w:r><w:t xml:space="preserve">obtained some interesting orders for his Italian companion in</w:t></w:r>
</w:p>
<w:p>
<w:pPr><w:pStyle w:val="Normal"/></w:pPr>
<w:r><w:t xml:space="preserve">Spain.  Thus there are four chimneys by Algardi in the palace</w:t></w:r>
</w:p>
<w:p>
<w:pPr><w:pStyle w:val="Normal"/></w:pPr>
<w:r><w:t xml:space="preserve">of Aranjuez, where also the figures on the fountain of Neptune</w:t></w:r>
</w:p>
<w:p>
<w:pPr><w:pStyle w:val="Normal"/></w:pPr>
<w:r><w:t xml:space="preserve">were executed by him.  The Augustine monastery at Salamanca</w:t></w:r>
</w:p>
<w:p>
<w:pPr><w:pStyle w:val="Normal"/></w:pPr>
<w:r><w:t xml:space="preserve">contains the tomb of the count and countess de Monterey, which</w:t></w:r>
</w:p>
<w:p>
<w:pPr><w:pStyle w:val="Normal"/></w:pPr>
<w:r><w:t xml:space="preserve">was also the work of Algardi.  From an artistic point of view,</w:t></w:r>
</w:p>
<w:p>
<w:pPr><w:pStyle w:val="Normal"/></w:pPr>
<w:r><w:t xml:space="preserve">he was most successful in his portrait-statues and groups of</w:t></w:r>
</w:p>
<w:p>
<w:pPr><w:pStyle w:val="Normal"/></w:pPr>
<w:r><w:t xml:space="preserve">children, where he was obliged to follow nature most closely.</w:t></w:r>
</w:p>
<w:p>
<w:pPr><w:pStyle w:val="Normal"/></w:pPr>
<w:r><w:t xml:space="preserve">In his later years he became very avaricious and amassed a</w:t></w:r>
</w:p>
<w:p>
<w:pPr><w:pStyle w:val="Normal"/></w:pPr>
<w:r><w:t xml:space="preserve">great fortune.  He died in Rome on the 10th of June 1654.</w:t></w:r>
</w:p>
<w:p>
<w:pPr><w:pStyle w:val="Normal"/></w:pPr>
<w:r><w:t xml:space="preserve">See Le arti di Bologna disegnate da A. Caracci ed intagliati da</w:t></w:r>
</w:p>
<w:p>
<w:pPr><w:pStyle w:val="Normal"/></w:pPr>
<w:r><w:t xml:space="preserve">S. Giulini, con&apos; assistenza d&apos; Alessandro A. Algardi (1740).</w:t></w:r>
</w:p>
<w:p>
<w:pPr><w:pStyle w:val="Normal"/></w:pPr>
<w:r><w:t xml:space="preserve">ALGAROTH, POWDER OF, a basic chloride of antimony.  It was</w:t></w:r>
</w:p>
<w:p>
<w:pPr><w:pStyle w:val="Normal"/></w:pPr>
<w:r><w:t xml:space="preserve">known to Basil Valentine, and was used medicinally by the</w:t></w:r>
</w:p>
<w:p>
<w:pPr><w:pStyle w:val="Normal"/></w:pPr>
<w:r><w:t xml:space="preserve">Veronese physician Victor Algarotus about the end of the 16th</w:t></w:r>
</w:p>
<w:p>
<w:pPr><w:pStyle w:val="Normal"/></w:pPr>
<w:r><w:t xml:space="preserve">century.  Its composition is probably Sb4O5Cl2, and it may be</w:t></w:r>
</w:p>
<w:p>
<w:pPr><w:pStyle w:val="Normal"/></w:pPr>
<w:r><w:t xml:space="preserve">prepared by the addition of much water to a solution of antimony</w:t></w:r>
</w:p>
<w:p>
<w:pPr><w:pStyle w:val="Normal"/></w:pPr>
<w:r><w:t xml:space="preserve">chloride; a bulky amorphous precipitate being formed, which,</w:t></w:r>
</w:p>
<w:p>
<w:pPr><w:pStyle w:val="Normal"/></w:pPr>
<w:r><w:t xml:space="preserve">on standing, gradually becomes crystalline.  It is soluble in</w:t></w:r>
</w:p>
<w:p>
<w:pPr><w:pStyle w:val="Normal"/></w:pPr>
<w:r><w:t xml:space="preserve">hydrochloric acid and tartaric acid, but insoluble in alcohol.</w:t></w:r>
</w:p>
<w:p>
<w:pPr><w:pStyle w:val="Normal"/></w:pPr>
<w:r><w:t xml:space="preserve">On its composition and preparation see E. Peligot, Annalen,</w:t></w:r>
</w:p>
<w:p>
<w:pPr><w:pStyle w:val="Normal"/></w:pPr>
<w:r><w:t xml:space="preserve">1847, lxiv. 280; L. Schaffer, Annalen, 1869, clii. 314;</w:t></w:r>
</w:p>
<w:p>
<w:pPr><w:pStyle w:val="Normal"/></w:pPr>
<w:r><w:t xml:space="preserve">and R. W. E. MacIvor, Chem.  News, 1875, xxxii. 229.</w:t></w:r>
</w:p>
<w:p>
<w:pPr><w:pStyle w:val="Normal"/></w:pPr>
<w:r><w:t xml:space="preserve">ALGAROTTI, FRANCESCO, COUNT (1712-1764), Italian philosopher</w:t></w:r>
</w:p>
<w:p>
<w:pPr><w:pStyle w:val="Normal"/></w:pPr>
<w:r><w:t xml:space="preserve">and writer on art, was born on the 11th of December 1712 at</w:t></w:r>
</w:p>
<w:p>
<w:pPr><w:pStyle w:val="Normal"/></w:pPr>
<w:r><w:t xml:space="preserve">Venice, and died at Pisa in 1764.  He studied at Rome and</w:t></w:r>
</w:p>
<w:p>
<w:pPr><w:pStyle w:val="Normal"/></w:pPr>
<w:r><w:t xml:space="preserve">Bologna, and at the age of twenty went to Paris, where</w:t></w:r>
</w:p>
<w:p>
<w:pPr><w:pStyle w:val="Normal"/></w:pPr>
<w:r><w:t xml:space="preserve">he enjoyed the friendship of Voltaire and produced his</w:t></w:r>
</w:p>
<w:p>
<w:pPr><w:pStyle w:val="Normal"/></w:pPr>
<w:r><w:t xml:space="preserve">great work Neutonianismo per le dame, a work on optics.</w:t></w:r>
</w:p>
<w:p>
<w:pPr><w:pStyle w:val="Normal"/></w:pPr>
<w:r><w:t xml:space="preserve">Voltaire called him his cher cygne de Padoue. Returning</w:t></w:r>
</w:p>
<w:p>
<w:pPr><w:pStyle w:val="Normal"/></w:pPr>
<w:r><w:t xml:space="preserve">from a journey to Russia, he met Frederick the Great who</w:t></w:r>
</w:p>
<w:p>
<w:pPr><w:pStyle w:val="Normal"/></w:pPr>
<w:r><w:t xml:space="preserve">made him a count of Prussia (1740) and court chamberlain</w:t></w:r>
</w:p>
<w:p>
<w:pPr><w:pStyle w:val="Normal"/></w:pPr>
<w:r><w:t xml:space="preserve">(1747).  Augustus III. of Poland honoured him with the title of</w:t></w:r>
</w:p>
<w:p>
<w:pPr><w:pStyle w:val="Normal"/></w:pPr>
<w:r><w:t xml:space="preserve">councillor.  In 1754, after seven years&apos; residence partly in</w:t></w:r>
</w:p>
<w:p>
<w:pPr><w:pStyle w:val="Normal"/></w:pPr>
<w:r><w:t xml:space="preserve">Berlin and partly in Dresden, he returned to Italy, living</w:t></w:r>
</w:p>
<w:p>
<w:pPr><w:pStyle w:val="Normal"/></w:pPr>
<w:r><w:t xml:space="preserve">at Venice and then at Pisa, where he died on the 3rd of May</w:t></w:r>
</w:p>
<w:p>
<w:pPr><w:pStyle w:val="Normal"/></w:pPr>
<w:r><w:t xml:space="preserve">1764.  Frederick the Great erected to his memory a monument</w:t></w:r>
</w:p>
<w:p>
<w:pPr><w:pStyle w:val="Normal"/></w:pPr>
<w:r><w:t xml:space="preserve">on the Campo Santo at Pisa.  He was a man of wide knowledge,</w:t></w:r>
</w:p>
<w:p>
<w:pPr><w:pStyle w:val="Normal"/></w:pPr>
<w:r><w:t xml:space="preserve">a connoisseur in art and music, and the friend of most of</w:t></w:r>
</w:p>
<w:p>
<w:pPr><w:pStyle w:val="Normal"/></w:pPr>
<w:r><w:t xml:space="preserve">the leading authors of his time.  His chief work on art</w:t></w:r>
</w:p>
<w:p>
<w:pPr><w:pStyle w:val="Normal"/></w:pPr>
<w:r><w:t xml:space="preserve">is the Saggi sopra le belle arti (``Essays on the Fine</w:t></w:r>
</w:p>
<w:p>
<w:pPr><w:pStyle w:val="Normal"/></w:pPr>
<w:r><w:t xml:space="preserve">Arts&apos;&apos;).  Among his other works may be mentioned Poems,</w:t></w:r>
</w:p>
<w:p>
<w:pPr><w:pStyle w:val="Normal"/></w:pPr>
<w:r><w:t xml:space="preserve">Travels in Russia, Essay on Painting, Correspondence.</w:t></w:r>
</w:p>
<w:p>
<w:pPr><w:pStyle w:val="Normal"/></w:pPr>
<w:r><w:t xml:space="preserve">The best complete edition with biography</w:t></w:r>
</w:p>
<w:p>
<w:pPr><w:pStyle w:val="Normal"/></w:pPr>
<w:r><w:t xml:space="preserve">was published by D. Michelessi (1791-1794).</w:t></w:r>
</w:p>
<w:p>
<w:pPr><w:pStyle w:val="Normal"/></w:pPr>
<w:r><w:t xml:space="preserve">ALGARVE, or ALGARVES, an ancient kingdom and province</w:t></w:r>
</w:p>
<w:p>
<w:pPr><w:pStyle w:val="Normal"/></w:pPr>
<w:r><w:t xml:space="preserve">in the extreme S. of Portugal, corresponding with the modern</w:t></w:r>
</w:p>
<w:p>
<w:pPr><w:pStyle w:val="Normal"/></w:pPr>
<w:r><w:t xml:space="preserve">administrative district of Faro, and bounded on the N. by</w:t></w:r>
</w:p>
<w:p>
<w:pPr><w:pStyle w:val="Normal"/></w:pPr>
<w:r><w:t xml:space="preserve">Alemtejo, E. by the Spanish province of Huelva, and S. and W.</w:t></w:r>
</w:p>
<w:p>
<w:pPr><w:pStyle w:val="Normal"/></w:pPr>
<w:r><w:t xml:space="preserve">by the Atlantic Ocean.  Pop. (1900) 255,191; area, 1937 sq.</w:t></w:r>
</w:p>
<w:p>
<w:pPr><w:pStyle w:val="Normal"/></w:pPr>
<w:r><w:t xml:space="preserve">m.  The greatest length of the province is about 85 m. from</w:t></w:r>
</w:p>
<w:p>
<w:pPr><w:pStyle w:val="Normal"/></w:pPr>
<w:r><w:t xml:space="preserve">E. to W.; its average breadth is about 22 m. from N. to S.</w:t></w:r>
</w:p>
<w:p>
<w:pPr><w:pStyle w:val="Normal"/></w:pPr>
<w:r><w:t xml:space="preserve">The Serra de Malhao and the Serra de Monchique extend in the</w:t></w:r>
</w:p>
<w:p>
<w:pPr><w:pStyle w:val="Normal"/></w:pPr>
<w:r><w:t xml:space="preserve">form of a crescent across the northern part of the province,</w:t></w:r>
</w:p>
<w:p>
<w:pPr><w:pStyle w:val="Normal"/></w:pPr>
<w:r><w:t xml:space="preserve">and, sweeping to the south-west, terminate in the lofty</w:t></w:r>
</w:p>
<w:p>
<w:pPr><w:pStyle w:val="Normal"/></w:pPr>
<w:r><w:t xml:space="preserve">promontory of Cape St Vincent, the south-west extremity of</w:t></w:r>
</w:p>
<w:p>
<w:pPr><w:pStyle w:val="Normal"/></w:pPr>
<w:r><w:t xml:space="preserve">Europe.  This headland is famous as the scene of many</w:t></w:r>
</w:p>
<w:p>
<w:pPr><w:pStyle w:val="Normal"/></w:pPr>
<w:r><w:t xml:space="preserve">sea-fights, notably the defeat inflicted on the Spanish</w:t></w:r>
</w:p>
<w:p>
<w:pPr><w:pStyle w:val="Normal"/></w:pPr>
<w:r><w:t xml:space="preserve">fleet in February 1797 by the British under Admiral Jervis,</w:t></w:r>
</w:p>
<w:p>
<w:pPr><w:pStyle w:val="Normal"/></w:pPr>
<w:r><w:t xml:space="preserve">afterwards Earl St Vincent.  Between the mountainous tracts</w:t></w:r>
</w:p>
<w:p>
<w:pPr><w:pStyle w:val="Normal"/></w:pPr>
<w:r><w:t xml:space="preserve">in the north and the southern coast stretches a narrow</w:t></w:r>
</w:p>
<w:p>
<w:pPr><w:pStyle w:val="Normal"/></w:pPr>
<w:r><w:t xml:space="preserve">plain, watered by numerous rivers flowing southward from the</w:t></w:r>
</w:p>
<w:p>
<w:pPr><w:pStyle w:val="Normal"/></w:pPr>
<w:r><w:t xml:space="preserve">hills.  The coast is fringed for 30 m. from Quarteira to</w:t></w:r>
</w:p>
<w:p>
<w:pPr><w:pStyle w:val="Normal"/></w:pPr>
<w:r><w:t xml:space="preserve">Tavira, with long sandy islands, through which there are six</w:t></w:r>
</w:p>
<w:p>
<w:pPr><w:pStyle w:val="Normal"/></w:pPr>
<w:r><w:t xml:space="preserve">passages, the most important being the Barra Nova, between Faro</w:t></w:r>
</w:p>
<w:p>
<w:pPr><w:pStyle w:val="Normal"/></w:pPr>
<w:r><w:t xml:space="preserve">and Olinao.  The navigable estuary of the Guadiana divides</w:t></w:r>
</w:p>
<w:p>
<w:pPr><w:pStyle w:val="Normal"/></w:pPr>
<w:r><w:t xml:space="preserve">Algarve from Huelva, and its tributaries water the western</w:t></w:r>
</w:p>
<w:p>
<w:pPr><w:pStyle w:val="Normal"/></w:pPr>
<w:r><w:t xml:space="preserve">districts.  From the Serra de Malhao flow two streams, the</w:t></w:r>
</w:p>
<w:p>
<w:pPr><w:pStyle w:val="Normal"/></w:pPr>
<w:r><w:t xml:space="preserve">Silves and Odelouca, which unite and enter the Atlantic below</w:t></w:r>
</w:p>
<w:p>
<w:pPr><w:pStyle w:val="Normal"/></w:pPr>
<w:r><w:t xml:space="preserve">the town of Silves.  In the hilly districts the roads are</w:t></w:r>
</w:p>
<w:p>
<w:pPr><w:pStyle w:val="Normal"/></w:pPr>
<w:r><w:t xml:space="preserve">bad, the soil unsuited for cultivation, and the inhabitants</w:t></w:r>
</w:p>
<w:p>
<w:pPr><w:pStyle w:val="Normal"/></w:pPr>
<w:r><w:t xml:space="preserve">few.  Flocks of goats are reared on the mountain-sides.  The</w:t></w:r>
</w:p>
<w:p>
<w:pPr><w:pStyle w:val="Normal"/></w:pPr>
<w:r><w:t xml:space="preserve">level country along the southern coast is more fertile, and</w:t></w:r>
</w:p>
<w:p>
<w:pPr><w:pStyle w:val="Normal"/></w:pPr>
<w:r><w:t xml:space="preserve">produces in abundance grapes, figs, oranges, lemons, olives,</w:t></w:r>
</w:p>
<w:p>
<w:pPr><w:pStyle w:val="Normal"/></w:pPr>
<w:r><w:t xml:space="preserve">almonds, aloes, and even plantains and dates.  The land is,</w:t></w:r>
</w:p>
<w:p>
<w:pPr><w:pStyle w:val="Normal"/></w:pPr>
<w:r><w:t xml:space="preserve">however, not well suited for the production of cereals, which</w:t></w:r>
</w:p>
<w:p>
<w:pPr><w:pStyle w:val="Normal"/></w:pPr>
<w:r><w:t xml:space="preserve">are mostly imported from Spain.  On the coast the people</w:t></w:r>
</w:p>
<w:p>
<w:pPr><w:pStyle w:val="Normal"/></w:pPr>
<w:r><w:t xml:space="preserve">gain their living in great measure from the fisheries, tunny</w:t></w:r>
</w:p>
<w:p>
<w:pPr><w:pStyle w:val="Normal"/></w:pPr>
<w:r><w:t xml:space="preserve">and sardines being caught in considerable quantities.  Salt</w:t></w:r>
</w:p>
<w:p>
<w:pPr><w:pStyle w:val="Normal"/></w:pPr>
<w:r><w:t xml:space="preserve">is also made from sea-water.  There is no manufacturing or</w:t></w:r>
</w:p>
<w:p>
<w:pPr><w:pStyle w:val="Normal"/></w:pPr>
<w:r><w:t xml:space="preserve">mining industry of any importance.  The harbours are bad, and</w:t></w:r>
</w:p>
<w:p>
<w:pPr><w:pStyle w:val="Normal"/></w:pPr>
<w:r><w:t xml:space="preserve">almost the whole foreign trade is carried on by ships of other</w:t></w:r>
</w:p>
<w:p>
<w:pPr><w:pStyle w:val="Normal"/></w:pPr>
<w:r><w:t xml:space="preserve">nations, although the inhabitants of Algarve are reputed to be</w:t></w:r>
</w:p>
<w:p>
<w:pPr><w:pStyle w:val="Normal"/></w:pPr>
<w:r><w:t xml:space="preserve">the best seamen and fishermen of Portugal.  The chief exports</w:t></w:r>
</w:p>
<w:p>
<w:pPr><w:pStyle w:val="Normal"/></w:pPr>
<w:r><w:t xml:space="preserve">are dried fruit, wine, salt, tunny, sardines and anchovies.</w:t></w:r>
</w:p>
<w:p>
<w:pPr><w:pStyle w:val="Normal"/></w:pPr>
<w:r><w:t xml:space="preserve">The only railway is the Lisbon-Faro main line, which passes</w:t></w:r>
</w:p>
<w:p>
<w:pPr><w:pStyle w:val="Normal"/></w:pPr>
<w:r><w:t xml:space="preserve">north-eastward from Faro, between the Monchique and Malhao</w:t></w:r>
</w:p>
<w:p>
<w:pPr><w:pStyle w:val="Normal"/></w:pPr>
<w:r><w:t xml:space="preserve">ranges.  Faro (11,789), Lagos (8291), Loule (22,478),</w:t></w:r>
</w:p>
<w:p>
<w:pPr><w:pStyle w:val="Normal"/></w:pPr>
<w:r><w:t xml:space="preserve">Monchique (7345), Olhao (10,009), Silves (9687) and Tavira</w:t></w:r>
</w:p>
<w:p>
<w:pPr><w:pStyle w:val="Normal"/></w:pPr>
<w:r><w:t xml:space="preserve">(12,175), the chief towns, are described in separate articles.</w:t></w:r>
</w:p>
<w:p>
<w:pPr><w:pStyle w:val="Normal"/></w:pPr>
<w:r><w:t xml:space="preserve">The name of Algarve is derived from the Arabic, and signifies</w:t></w:r>
</w:p>
<w:p>
<w:pPr><w:pStyle w:val="Normal"/></w:pPr>
<w:r><w:t xml:space="preserve">a land lying to the west.  The title ``king of Algarve,&apos;&apos;</w:t></w:r>
</w:p>
<w:p>
<w:pPr><w:pStyle w:val="Normal"/></w:pPr>
<w:r><w:t xml:space="preserve">held by the kings of Portugal, was first assumed by</w:t></w:r>
</w:p>
<w:p>
<w:pPr><w:pStyle w:val="Normal"/></w:pPr>
<w:r><w:t xml:space="preserve">Alphonso III., who captured Algarve from the Moors in 1253.</w:t></w:r>
</w:p>
<w:p>
<w:pPr><w:pStyle w:val="Normal"/></w:pPr>
<w:r><w:t xml:space="preserve">ALGAU, or ALLGAU, the name now given to a comparatively</w:t></w:r>
</w:p>
<w:p>
<w:pPr><w:pStyle w:val="Normal"/></w:pPr>
<w:r><w:t xml:space="preserve">small district forming the south-western corner of Bavaria,</w:t></w:r>
</w:p>
<w:p>
<w:pPr><w:pStyle w:val="Normal"/></w:pPr>
<w:r><w:t xml:space="preserve">and belonging to the province of Swabia and Neuburg, but</w:t></w:r>
</w:p>
<w:p>
<w:pPr><w:pStyle w:val="Normal"/></w:pPr>
<w:r><w:t xml:space="preserve">formerly applied to a much larger territory, which extended</w:t></w:r>
</w:p>
<w:p>
<w:pPr><w:pStyle w:val="Normal"/></w:pPr>
<w:r><w:t xml:space="preserve">as far as the Danube on the N., the Inn on the S. and the Lech</w:t></w:r>
</w:p>
<w:p>
<w:pPr><w:pStyle w:val="Normal"/></w:pPr>
<w:r><w:t xml:space="preserve">on the W. The Algau Alps contain several lofty peaks, the</w:t></w:r>
</w:p>
<w:p>
<w:pPr><w:pStyle w:val="Normal"/></w:pPr>
<w:r><w:t xml:space="preserve">highest of which is Madelegabel (8681 ft.).  The district</w:t></w:r>
</w:p>
<w:p>
<w:pPr><w:pStyle w:val="Normal"/></w:pPr>
<w:r><w:t xml:space="preserve">is celebrated for its cattle, milk, butter and cheese.</w:t></w:r>
</w:p>
<w:p>
<w:pPr><w:pStyle w:val="Normal"/></w:pPr>
<w:r><w:t xml:space="preserve">ALGEBRA (from the Arab. af-jebr wa&apos;l-muqabala, transposition</w:t></w:r>
</w:p>
<w:p>
<w:pPr><w:pStyle w:val="Normal"/></w:pPr>
<w:r><w:t xml:space="preserve">and removal [of terms of an equation], the name of a treatise by</w:t></w:r>
</w:p>
<w:p>
<w:pPr><w:pStyle w:val="Normal"/></w:pPr>
<w:r><w:t xml:space="preserve">Mahommed ben Musa al-Khwarizmi), a branch of mathematics which</w:t></w:r>
</w:p>
<w:p>
<w:pPr><w:pStyle w:val="Normal"/></w:pPr>
<w:r><w:t xml:space="preserve">may be defined as the generalization and extension of arithmetic.</w:t></w:r>
</w:p>
<w:p>
<w:pPr><w:pStyle w:val="Normal"/></w:pPr>
<w:r><w:t xml:space="preserve">The subject-matter of algebra will be treated in the following</w:t></w:r>
</w:p>
<w:p>
<w:pPr><w:pStyle w:val="Normal"/></w:pPr>
<w:r><w:t xml:space="preserve">article under three divisions:---A.  Principles of ordinary</w:t></w:r>
</w:p>
<w:p>
<w:pPr><w:pStyle w:val="Normal"/></w:pPr>
<w:r><w:t xml:space="preserve">algebra; B. Special kinds of algebra; C. History.  Special</w:t></w:r>
</w:p>
<w:p>
<w:pPr><w:pStyle w:val="Normal"/></w:pPr>
<w:r><w:t xml:space="preserve">phases of the subject are treated under their own headings,</w:t></w:r>
</w:p>
<w:p>
<w:pPr><w:pStyle w:val="Normal"/></w:pPr>
<w:r><w:t xml:space="preserve">e.g. ALGEBRAIC FORMS; BINOMIAL; COMBINATORIAL ANALYSIS;</w:t></w:r>
</w:p>
<w:p>
<w:pPr><w:pStyle w:val="Normal"/></w:pPr>
<w:r><w:t xml:space="preserve">DETERMINANTS; EQUATION; CONTINUED FRACTION; FUNCTION;</w:t></w:r>
</w:p>
<w:p>
<w:pPr><w:pStyle w:val="Normal"/></w:pPr>
<w:r><w:t xml:space="preserve">GROUPS, THEORY OF; LOGARITHM; NUMBER; PROBABILITY; SERIES.</w:t></w:r>
</w:p>
<w:p>
<w:pPr><w:pStyle w:val="Normal"/></w:pPr>
<w:r><w:t xml:space="preserve">A. PRINCIPLES OF ORDINARY ALGEBRA</w:t></w:r>
</w:p>
<w:p>
<w:pPr><w:pStyle w:val="Normal"/></w:pPr>
<w:r><w:t xml:space="preserve">1. The above definition gives only a partial view of the scope of</w:t></w:r>
</w:p>
<w:p>
<w:pPr><w:pStyle w:val="Normal"/></w:pPr>
<w:r><w:t xml:space="preserve">algebra.  It may be regarded as based on arithmetic, or as</w:t></w:r>
</w:p>
<w:p>
<w:pPr><w:pStyle w:val="Normal"/></w:pPr>
<w:r><w:t xml:space="preserve">dealing in the first instance with formal results of the laws</w:t></w:r>
</w:p>
<w:p>
<w:pPr><w:pStyle w:val="Normal"/></w:pPr>
<w:r><w:t xml:space="preserve">of arithmetical number; and in this sense Sir Isaac Newton</w:t></w:r>
</w:p>
<w:p>
<w:pPr><w:pStyle w:val="Normal"/></w:pPr>
<w:r><w:t xml:space="preserve">gave the title Universal Arithmetic to a work on algebra.</w:t></w:r>
</w:p>
<w:p>
<w:pPr><w:pStyle w:val="Normal"/></w:pPr>
<w:r><w:t xml:space="preserve">Any definition, however, must have reference to the state of</w:t></w:r>
</w:p>
<w:p>
<w:pPr><w:pStyle w:val="Normal"/></w:pPr>
<w:r><w:t xml:space="preserve">development of the subject at the time when the definition is given.</w:t></w:r>
</w:p>
<w:p>
<w:pPr><w:pStyle w:val="Normal"/></w:pPr>
<w:r><w:t xml:space="preserve">2. The earliest algebra consists in the solution of equations.</w:t></w:r>
</w:p>
<w:p>
<w:pPr><w:pStyle w:val="Normal"/></w:pPr>
<w:r><w:t xml:space="preserve">The distinction between algebraical and arithmetical reasoning</w:t></w:r>
</w:p>
<w:p>
<w:pPr><w:pStyle w:val="Normal"/></w:pPr>
<w:r><w:t xml:space="preserve">then lies mainly in the fact that the former is in a more</w:t></w:r>
</w:p>
<w:p>
<w:pPr><w:pStyle w:val="Normal"/></w:pPr>
<w:r><w:t xml:space="preserve">condensed form than the latter; an unknown quantity being</w:t></w:r>
</w:p>
<w:p>
<w:pPr><w:pStyle w:val="Normal"/></w:pPr>
<w:r><w:t xml:space="preserve">represented by a special symbol, and other symbols being</w:t></w:r>
</w:p>
<w:p>
<w:pPr><w:pStyle w:val="Normal"/></w:pPr>
<w:r><w:t xml:space="preserve">used as a kind of shorthand for verbal expressions.  This</w:t></w:r>
</w:p>
<w:p>
<w:pPr><w:pStyle w:val="Normal"/></w:pPr>
<w:r><w:t xml:space="preserve">form of algebra was extensively studied in ancient Egypt;</w:t></w:r>
</w:p>
<w:p>
<w:pPr><w:pStyle w:val="Normal"/></w:pPr>
<w:r><w:t xml:space="preserve">but, in accordance with the practical tendency of the</w:t></w:r>
</w:p>
<w:p>
<w:pPr><w:pStyle w:val="Normal"/></w:pPr>
<w:r><w:t xml:space="preserve">Egyptian mind, the study consisted largely in the treatment</w:t></w:r>
</w:p>
<w:p>
<w:pPr><w:pStyle w:val="Normal"/></w:pPr>
<w:r><w:t xml:space="preserve">of particular cases, very few general rules being obtained.</w:t></w:r>
</w:p>
<w:p>
<w:pPr><w:pStyle w:val="Normal"/></w:pPr>
<w:r><w:t xml:space="preserve">3. For many centuries algebra was confined almost entirely</w:t></w:r>
</w:p>
<w:p>
<w:pPr><w:pStyle w:val="Normal"/></w:pPr>
<w:r><w:t xml:space="preserve">to the solution of equations; one of the most important</w:t></w:r>
</w:p>
<w:p>
<w:pPr><w:pStyle w:val="Normal"/></w:pPr>
<w:r><w:t xml:space="preserve">steps being the enunciation by Diophantus of Alexandria of</w:t></w:r>
</w:p>
<w:p>
<w:pPr><w:pStyle w:val="Normal"/></w:pPr>
<w:r><w:t xml:space="preserve">the laws governing the use of the minus sign.  The knowledge</w:t></w:r>
</w:p>
<w:p>
<w:pPr><w:pStyle w:val="Normal"/></w:pPr>
<w:r><w:t xml:space="preserve">of these laws, however, does not imply the existence of a</w:t></w:r>
</w:p>
<w:p>
<w:pPr><w:pStyle w:val="Normal"/></w:pPr>
<w:r><w:t xml:space="preserve">conception of negative quantities.  The development of symbolic</w:t></w:r>
</w:p>
<w:p>
<w:pPr><w:pStyle w:val="Normal"/></w:pPr>
<w:r><w:t xml:space="preserve">algebra by the use of general symbols to denote numbers is</w:t></w:r>
</w:p>
<w:p>
<w:pPr><w:pStyle w:val="Normal"/></w:pPr>
<w:r><w:t xml:space="preserve">due to Franciscus Vieta (Francois Viete, 1540-1603).This</w:t></w:r>
</w:p>
<w:p>
<w:pPr><w:pStyle w:val="Normal"/></w:pPr>
<w:r><w:t xml:space="preserve">led to the idea of algebra as generalized arithmetic.</w:t></w:r>
</w:p>
<w:p>
<w:pPr><w:pStyle w:val="Normal"/></w:pPr>
<w:r><w:t xml:space="preserve">4. The principal step in the modern development of algebra was</w:t></w:r>
</w:p>
<w:p>
<w:pPr><w:pStyle w:val="Normal"/></w:pPr>
<w:r><w:t xml:space="preserve">the recognition of the meaning of negative quantities.  This</w:t></w:r>
</w:p>
<w:p>
<w:pPr><w:pStyle w:val="Normal"/></w:pPr>
<w:r><w:t xml:space="preserve">appears to have been due in the first instance to Albert Girard</w:t></w:r>
</w:p>
<w:p>
<w:pPr><w:pStyle w:val="Normal"/></w:pPr>
<w:r><w:t xml:space="preserve">(1595-1632), who extended Vieta&apos;s results in various branches of</w:t></w:r>
</w:p>
<w:p>
<w:pPr><w:pStyle w:val="Normal"/></w:pPr>
<w:r><w:t xml:space="preserve">mathematics.  His work, however, was little known at the time, and</w:t></w:r>
</w:p>
<w:p>
<w:pPr><w:pStyle w:val="Normal"/></w:pPr>
<w:r><w:t xml:space="preserve">later was overshadowed by the greater work of Descartes (1596-1650).</w:t></w:r>
</w:p>
<w:p>
<w:pPr><w:pStyle w:val="Normal"/></w:pPr>
<w:r><w:t xml:space="preserve">5. The main work of Descartes, so far as algebra was concerned,</w:t></w:r>
</w:p>
<w:p>
<w:pPr><w:pStyle w:val="Normal"/></w:pPr>
<w:r><w:t xml:space="preserve">was the establishment of a relation between arithmetical</w:t></w:r>
</w:p>
<w:p>
<w:pPr><w:pStyle w:val="Normal"/></w:pPr>
<w:r><w:t xml:space="preserve">and geometrical measurement.  This involved not only the</w:t></w:r>
</w:p>
<w:p>
<w:pPr><w:pStyle w:val="Normal"/></w:pPr>
<w:r><w:t xml:space="preserve">geometrical interpretation of negative quantities, but also the</w:t></w:r>
</w:p>
<w:p>
<w:pPr><w:pStyle w:val="Normal"/></w:pPr>
<w:r><w:t xml:space="preserve">idea of continuity; this latter, which is the basis of modern</w:t></w:r>
</w:p>
<w:p>
<w:pPr><w:pStyle w:val="Normal"/></w:pPr>
<w:r><w:t xml:space="preserve">analysis, leading to two separate but allied developments,</w:t></w:r>
</w:p>
<w:p>
<w:pPr><w:pStyle w:val="Normal"/></w:pPr>
<w:r><w:t xml:space="preserve">viz. the theory of the function and the theory of limits.</w:t></w:r>
</w:p>
<w:p>
<w:pPr><w:pStyle w:val="Normal"/></w:pPr>
<w:r><w:t xml:space="preserve">6. The great development of all branches of mathematics in</w:t></w:r>
</w:p>
<w:p>
<w:pPr><w:pStyle w:val="Normal"/></w:pPr>
<w:r><w:t xml:space="preserve">the two centuries following Descartes has led to the term</w:t></w:r>
</w:p>
<w:p>
<w:pPr><w:pStyle w:val="Normal"/></w:pPr>
<w:r><w:t xml:space="preserve">algebra being used to cover a great variety of subjects, many</w:t></w:r>
</w:p>
<w:p>
<w:pPr><w:pStyle w:val="Normal"/></w:pPr>
<w:r><w:t xml:space="preserve">of which are really only ramifications of arithmetic, dealt</w:t></w:r>
</w:p>
<w:p>
<w:pPr><w:pStyle w:val="Normal"/></w:pPr>
<w:r><w:t xml:space="preserve">with by algebraical methods, while others, such as the theory</w:t></w:r>
</w:p>
<w:p>
<w:pPr><w:pStyle w:val="Normal"/></w:pPr>
<w:r><w:t xml:space="preserve">of numbers and the general theory of series, are outgrowths</w:t></w:r>
</w:p>
<w:p>
<w:pPr><w:pStyle w:val="Normal"/></w:pPr>
<w:r><w:t xml:space="preserve">of the application of algebra to arithmetic, which involve</w:t></w:r>
</w:p>
<w:p>
<w:pPr><w:pStyle w:val="Normal"/></w:pPr>
<w:r><w:t xml:space="preserve">such special ideas that they must properly be regarded as</w:t></w:r>
</w:p>
<w:p>
<w:pPr><w:pStyle w:val="Normal"/></w:pPr>
<w:r><w:t xml:space="preserve">distinct subjects.  Some writers have attempted unification</w:t></w:r>
</w:p>
<w:p>
<w:pPr><w:pStyle w:val="Normal"/></w:pPr>
<w:r><w:t xml:space="preserve">by treating algebra as concerned with functions, and Comte</w:t></w:r>
</w:p>
<w:p>
<w:pPr><w:pStyle w:val="Normal"/></w:pPr>
<w:r><w:t xml:space="preserve">accordingly defined algebra as the calculus of functions,</w:t></w:r>
</w:p>
<w:p>
<w:pPr><w:pStyle w:val="Normal"/></w:pPr>
<w:r><w:t xml:space="preserve">arithmetic being regarded as the calculus of values.</w:t></w:r>
</w:p>
<w:p>
<w:pPr><w:pStyle w:val="Normal"/></w:pPr>
<w:r><w:t xml:space="preserve">7. These attempts at the unification of algebra, and its</w:t></w:r>
</w:p>
<w:p>
<w:pPr><w:pStyle w:val="Normal"/></w:pPr>
<w:r><w:t xml:space="preserve">separation from other branches of mathematics, have usually</w:t></w:r>
</w:p>
<w:p>
<w:pPr><w:pStyle w:val="Normal"/></w:pPr>
<w:r><w:t xml:space="preserve">been accompanied by an attempt to base it, as a deductive</w:t></w:r>
</w:p>
<w:p>
<w:pPr><w:pStyle w:val="Normal"/></w:pPr>
<w:r><w:t xml:space="preserve">science, on certain fundamental laws or general rules; and</w:t></w:r>
</w:p>
<w:p>
<w:pPr><w:pStyle w:val="Normal"/></w:pPr>
<w:r><w:t xml:space="preserve">this has tended to increase its difficulty.  In reality, the</w:t></w:r>
</w:p>
<w:p>
<w:pPr><w:pStyle w:val="Normal"/></w:pPr>
<w:r><w:t xml:space="preserve">variety of algebra corresponds to the variety of phenomena.</w:t></w:r>
</w:p>
<w:p>
<w:pPr><w:pStyle w:val="Normal"/></w:pPr>
<w:r><w:t xml:space="preserve">Neither mathematics itself, nor any branch or set of branches of</w:t></w:r>
</w:p>
<w:p>
<w:pPr><w:pStyle w:val="Normal"/></w:pPr>
<w:r><w:t xml:space="preserve">mathematics, can be regarded as an isolated science.  While,</w:t></w:r>
</w:p>
<w:p>
<w:pPr><w:pStyle w:val="Normal"/></w:pPr>
<w:r><w:t xml:space="preserve">therefore, the logical development of algebraic reasoning must</w:t></w:r>
</w:p>
<w:p>
<w:pPr><w:pStyle w:val="Normal"/></w:pPr>
<w:r><w:t xml:space="preserve">depend on certain fundamental relations, it is important that</w:t></w:r>
</w:p>
<w:p>
<w:pPr><w:pStyle w:val="Normal"/></w:pPr>
<w:r><w:t xml:space="preserve">in the early study of the subject these relations should be</w:t></w:r>
</w:p>
<w:p>
<w:pPr><w:pStyle w:val="Normal"/></w:pPr>
<w:r><w:t xml:space="preserve">introduced gradually, and not until there is some empirical</w:t></w:r>
</w:p>
<w:p>
<w:pPr><w:pStyle w:val="Normal"/></w:pPr>
<w:r><w:t xml:space="preserve">acquaintance with the phenomena with which they are concerned.</w:t></w:r>
</w:p>
<w:p>
<w:pPr><w:pStyle w:val="Normal"/></w:pPr>
<w:r><w:t xml:space="preserve">8. The extension of the range of subjects to which mathematical</w:t></w:r>
</w:p>
<w:p>
<w:pPr><w:pStyle w:val="Normal"/></w:pPr>
<w:r><w:t xml:space="preserve">methods can be applied, accompanied as it is by an extension</w:t></w:r>
</w:p>
<w:p>
<w:pPr><w:pStyle w:val="Normal"/></w:pPr>
<w:r><w:t xml:space="preserve">of the range of study which is useful to the ordinary</w:t></w:r>
</w:p>
<w:p>
<w:pPr><w:pStyle w:val="Normal"/></w:pPr>
<w:r><w:t xml:space="preserve">worker, has led in the latter part of the 19th century to an</w:t></w:r>
</w:p>
<w:p>
<w:pPr><w:pStyle w:val="Normal"/></w:pPr>
<w:r><w:t xml:space="preserve">important reaction against the specialization mentioned in</w:t></w:r>
</w:p>
<w:p>
<w:pPr><w:pStyle w:val="Normal"/></w:pPr>
<w:r><w:t xml:space="preserve">the preceding paragraph.  This reaction has taken the form</w:t></w:r>
</w:p>
<w:p>
<w:pPr><w:pStyle w:val="Normal"/></w:pPr>
<w:r><w:t xml:space="preserve">of a return to the alliance between algebra and geometry</w:t></w:r>
</w:p>
<w:p>
<w:pPr><w:pStyle w:val="Normal"/></w:pPr>
<w:r><w:t xml:space="preserve">(\S 5), on which modern analytical geometry is based; the</w:t></w:r>
</w:p>
<w:p>
<w:pPr><w:pStyle w:val="Normal"/></w:pPr>
<w:r><w:t xml:space="preserve">alliance, however, being concerned with the application of</w:t></w:r>
</w:p>
<w:p>
<w:pPr><w:pStyle w:val="Normal"/></w:pPr>
<w:r><w:t xml:space="preserve">graphical methods to particular cases rather than to general</w:t></w:r>
</w:p>
<w:p>
<w:pPr><w:pStyle w:val="Normal"/></w:pPr>
<w:r><w:t xml:space="preserve">expressions.  These applications are sometimes treated under</w:t></w:r>
</w:p>
<w:p>
<w:pPr><w:pStyle w:val="Normal"/></w:pPr>
<w:r><w:t xml:space="preserve">arithmetic, sometimes under algebra; but it is more convenient</w:t></w:r>
</w:p>
<w:p>
<w:pPr><w:pStyle w:val="Normal"/></w:pPr>
<w:r><w:t xml:space="preserve">to regard graphics as a separate subject, closely allied to</w:t></w:r>
</w:p>
<w:p>
<w:pPr><w:pStyle w:val="Normal"/></w:pPr>
<w:r><w:t xml:space="preserve">arithmetic, algebra, mensuration and analytical geometry.</w:t></w:r>
</w:p>
<w:p>
<w:pPr><w:pStyle w:val="Normal"/></w:pPr>
<w:r><w:t xml:space="preserve">9. The association of algebra with arithmetic on the one</w:t></w:r>
</w:p>
<w:p>
<w:pPr><w:pStyle w:val="Normal"/></w:pPr>
<w:r><w:t xml:space="preserve">hand, and with geometry on the other, presents difficulties,</w:t></w:r>
</w:p>
<w:p>
<w:pPr><w:pStyle w:val="Normal"/></w:pPr>
<w:r><w:t xml:space="preserve">in that geometrical measurement is based essentially on the</w:t></w:r>
</w:p>
<w:p>
<w:pPr><w:pStyle w:val="Normal"/></w:pPr>
<w:r><w:t xml:space="preserve">idea of continuity, while arithmetical measurement is based</w:t></w:r>
</w:p>
<w:p>
<w:pPr><w:pStyle w:val="Normal"/></w:pPr>
<w:r><w:t xml:space="preserve">essentially on the idea of discontinuity; both ideas being</w:t></w:r>
</w:p>
<w:p>
<w:pPr><w:pStyle w:val="Normal"/></w:pPr>
<w:r><w:t xml:space="preserve">equally matters of intuition.  The difficulty first arises in</w:t></w:r>
</w:p>
<w:p>
<w:pPr><w:pStyle w:val="Normal"/></w:pPr>
<w:r><w:t xml:space="preserve">elementary mensuration, where it is partly met by associating</w:t></w:r>
</w:p>
<w:p>
<w:pPr><w:pStyle w:val="Normal"/></w:pPr>
<w:r><w:t xml:space="preserve">arithmetical and geometrical measurement with the cardinal and</w:t></w:r>
</w:p>
<w:p>
<w:pPr><w:pStyle w:val="Normal"/></w:pPr>
<w:r><w:t xml:space="preserve">the ordinal aspects of number respectively (see ARITHMETIC.)</w:t></w:r>
</w:p>
<w:p>
<w:pPr><w:pStyle w:val="Normal"/></w:pPr>
<w:r><w:t xml:space="preserve">Later, the difficulty recurs in an acute form in reference</w:t></w:r>
</w:p>
<w:p>
<w:pPr><w:pStyle w:val="Normal"/></w:pPr>
<w:r><w:t xml:space="preserve">to the continuous variation of a function.  Reference to a</w:t></w:r>
</w:p>
<w:p>
<w:pPr><w:pStyle w:val="Normal"/></w:pPr>
<w:r><w:t xml:space="preserve">geometrical interpretation seems at first sight to throw light</w:t></w:r>
</w:p>
<w:p>
<w:pPr><w:pStyle w:val="Normal"/></w:pPr>
<w:r><w:t xml:space="preserve">on the meaning of a differential coefficient; but closer analysis</w:t></w:r>
</w:p>
<w:p>
<w:pPr><w:pStyle w:val="Normal"/></w:pPr>
<w:r><w:t xml:space="preserve">reveals new difficulties, due to the geometrical interpretation</w:t></w:r>
</w:p>
<w:p>
<w:pPr><w:pStyle w:val="Normal"/></w:pPr>
<w:r><w:t xml:space="preserve">itself.  One of the most recent developments of algebra is</w:t></w:r>
</w:p>
<w:p>
<w:pPr><w:pStyle w:val="Normal"/></w:pPr>
<w:r><w:t xml:space="preserve">the algebraic theory at number, which is devised with the</w:t></w:r>
</w:p>
<w:p>
<w:pPr><w:pStyle w:val="Normal"/></w:pPr>
<w:r><w:t xml:space="preserve">view of removing these difficulties.  The harmony between</w:t></w:r>
</w:p>
<w:p>
<w:pPr><w:pStyle w:val="Normal"/></w:pPr>
<w:r><w:t xml:space="preserve">arithmetical and geometrical measurement, which was disturbed</w:t></w:r>
</w:p>
<w:p>
<w:pPr><w:pStyle w:val="Normal"/></w:pPr>
<w:r><w:t xml:space="preserve">by the Greek geometers on the discovery of irrational numbers,</w:t></w:r>
</w:p>
<w:p>
<w:pPr><w:pStyle w:val="Normal"/></w:pPr>
<w:r><w:t xml:space="preserve">is restored by an unlimited supply of the causes of disturbance.</w:t></w:r>
</w:p>
<w:p>
<w:pPr><w:pStyle w:val="Normal"/></w:pPr>
<w:r><w:t xml:space="preserve">10. Two other developments of algebra are of special</w:t></w:r>
</w:p>
<w:p>
<w:pPr><w:pStyle w:val="Normal"/></w:pPr>
<w:r><w:t xml:space="preserve">importance.  The theory of sequences and series is sometimes</w:t></w:r>
</w:p>
<w:p>
<w:pPr><w:pStyle w:val="Normal"/></w:pPr>
<w:r><w:t xml:space="preserve">treated as a part of elementary algebra; but it is more</w:t></w:r>
</w:p>
<w:p>
<w:pPr><w:pStyle w:val="Normal"/></w:pPr>
<w:r><w:t xml:space="preserve">convenient to regard the simpler cases as isolated examples,</w:t></w:r>
</w:p>
<w:p>
<w:pPr><w:pStyle w:val="Normal"/></w:pPr>
<w:r><w:t xml:space="preserve">leading up to the general theory.  The treatment of equations</w:t></w:r>
</w:p>
<w:p>
<w:pPr><w:pStyle w:val="Normal"/></w:pPr>
<w:r><w:t xml:space="preserve">of the second and higher degrees introduces imaginary and</w:t></w:r>
</w:p>
<w:p>
<w:pPr><w:pStyle w:val="Normal"/></w:pPr>
<w:r><w:t xml:space="preserve">complex numbers, the theory of which is a special subject.</w:t></w:r>
</w:p>
<w:p>
<w:pPr><w:pStyle w:val="Normal"/></w:pPr>
<w:r><w:t xml:space="preserve">11. One of the most difficult questions for the teacher of</w:t></w:r>
</w:p>
<w:p>
<w:pPr><w:pStyle w:val="Normal"/></w:pPr>
<w:r><w:t xml:space="preserve">algebra is the stage at which, and the extent to which, the</w:t></w:r>
</w:p>
<w:p>
<w:pPr><w:pStyle w:val="Normal"/></w:pPr>
<w:r><w:t xml:space="preserve">ideas of a negative number and of continuity may be introduced.</w:t></w:r>
</w:p>
<w:p>
<w:pPr><w:pStyle w:val="Normal"/></w:pPr>
<w:r><w:t xml:space="preserve">On the one hand, the modern developments of algebra began</w:t></w:r>
</w:p>
<w:p>
<w:pPr><w:pStyle w:val="Normal"/></w:pPr>
<w:r><w:t xml:space="preserve">with these ideas, and particularly with the idea of a negative</w:t></w:r>
</w:p>
<w:p>
<w:pPr><w:pStyle w:val="Normal"/></w:pPr>
<w:r><w:t xml:space="preserve">number.  On the other hand, the lateness of occurrence of any</w:t></w:r>
</w:p>
<w:p>
<w:pPr><w:pStyle w:val="Normal"/></w:pPr>
<w:r><w:t xml:space="preserve">particular mathematical idea is usually closely correlated</w:t></w:r>
</w:p>
<w:p>
<w:pPr><w:pStyle w:val="Normal"/></w:pPr>
<w:r><w:t xml:space="preserve">with its intrinsic difficulty.  Moreover, the ideas which</w:t></w:r>
</w:p>
<w:p>
<w:pPr><w:pStyle w:val="Normal"/></w:pPr>
<w:r><w:t xml:space="preserve">are usually formed on these points at an early stage are</w:t></w:r>
</w:p>
<w:p>
<w:pPr><w:pStyle w:val="Normal"/></w:pPr>
<w:r><w:t xml:space="preserve">incomplete; and, if the incompleteness of an idea is not</w:t></w:r>
</w:p>
<w:p>
<w:pPr><w:pStyle w:val="Normal"/></w:pPr>
<w:r><w:t xml:space="preserve">realized, operations in which it is implied are apt to be purely</w:t></w:r>
</w:p>
<w:p>
<w:pPr><w:pStyle w:val="Normal"/></w:pPr>
<w:r><w:t xml:space="preserve">formal and mechanical.  What are called negative numbers in</w:t></w:r>
</w:p>
<w:p>
<w:pPr><w:pStyle w:val="Normal"/></w:pPr>
<w:r><w:t xml:space="preserve">arithmetic, for instance, are not really negative numbers but</w:t></w:r>
</w:p>
<w:p>
<w:pPr><w:pStyle w:val="Normal"/></w:pPr>
<w:r><w:t xml:space="preserve">negative quantities (\S 27 (i.)); and the difficulties incident</w:t></w:r>
</w:p>
<w:p>
<w:pPr><w:pStyle w:val="Normal"/></w:pPr>
<w:r><w:t xml:space="preserve">to the ideas of continuity have already been pointed out.</w:t></w:r>
</w:p>
<w:p>
<w:pPr><w:pStyle w:val="Normal"/></w:pPr>
<w:r><w:t xml:space="preserve">12. In the present article, therefore, the main portions of</w:t></w:r>
</w:p>
<w:p>
<w:pPr><w:pStyle w:val="Normal"/></w:pPr>
<w:r><w:t xml:space="preserve">elementary algebra are treated in one section, without reference</w:t></w:r>
</w:p>
<w:p>
<w:pPr><w:pStyle w:val="Normal"/></w:pPr>
<w:r><w:t xml:space="preserve">to these ideas, which are considered generally in two separate</w:t></w:r>
</w:p>
<w:p>
<w:pPr><w:pStyle w:val="Normal"/></w:pPr>
<w:r><w:t xml:space="preserve">sections.  These three sections may therefore be regarded as to</w:t></w:r>
</w:p>
<w:p>
<w:pPr><w:pStyle w:val="Normal"/></w:pPr>
<w:r><w:t xml:space="preserve">a certain extent concurrent.  They are preceded by two sections</w:t></w:r>
</w:p>
<w:p>
<w:pPr><w:pStyle w:val="Normal"/></w:pPr>
<w:r><w:t xml:space="preserve">dealing with the introduction to algebra from the arithmetical</w:t></w:r>
</w:p>
<w:p>
<w:pPr><w:pStyle w:val="Normal"/></w:pPr>
<w:r><w:t xml:space="preserve">and the graphical sides, and are followed by a section dealing</w:t></w:r>
</w:p>
<w:p>
<w:pPr><w:pStyle w:val="Normal"/></w:pPr>
<w:r><w:t xml:space="preserve">briefly with the developments mentioned in \S \S 9 and 10 above.</w:t></w:r>
</w:p>
<w:p>
<w:pPr><w:pStyle w:val="Normal"/></w:pPr>
<w:r><w:t xml:space="preserve">[The intermediate portion of this article is typeset in TeX and</w:t></w:r>
</w:p>
<w:p>
<w:pPr><w:pStyle w:val="Normal"/></w:pPr>
<w:r><w:t xml:space="preserve">is available elsewhere.]</w:t></w:r>
</w:p>
<w:p>
<w:pPr><w:pStyle w:val="Heading1"/></w:pPr>
<w:r><w:t>C. HISTORY Various derivations of the word ``algebra,&apos;&apos;</w:t></w:r>
</w:p>
<w:p>
<w:pPr><w:pStyle w:val="Normal"/></w:pPr>
<w:r><w:t xml:space="preserve">which is of Arabian origin, have been given by different</w:t></w:r>
</w:p>
<w:p>
<w:pPr><w:pStyle w:val="Normal"/></w:pPr>
<w:r><w:t xml:space="preserve">writers.  The first mention of the word is to be found in the</w:t></w:r>
</w:p>
<w:p>
<w:pPr><w:pStyle w:val="Normal"/></w:pPr>
<w:r><w:t xml:space="preserve">title of a work by Mahommed ben Musa al-Khwarizmi (Hovarezmi),</w:t></w:r>
</w:p>
<w:p>
<w:pPr><w:pStyle w:val="Normal"/></w:pPr>
<w:r><w:t xml:space="preserve">who flourished about the beginning of the 9th century.  The</w:t></w:r>
</w:p>
<w:p>
<w:pPr><w:pStyle w:val="Normal"/></w:pPr>
<w:r><w:t xml:space="preserve">full title is ilm al-jebr wa&apos;l-muqabala, which contains</w:t></w:r>
</w:p>
<w:p>
<w:pPr><w:pStyle w:val="Normal"/></w:pPr>
<w:r><w:t xml:space="preserve">the ideas of restitution and comparison, or opposition and</w:t></w:r>
</w:p>
<w:p>
<w:pPr><w:pStyle w:val="Normal"/></w:pPr>
<w:r><w:t xml:space="preserve">comparison, or resolution and equation, jebr being derived</w:t></w:r>
</w:p>
<w:p>
<w:pPr><w:pStyle w:val="Normal"/></w:pPr>
<w:r><w:t xml:space="preserve">from the verb jabara, to reunite, and muqabala, from</w:t></w:r>
</w:p>
<w:p>
<w:pPr><w:pStyle w:val="Normal"/></w:pPr>
<w:r><w:t xml:space="preserve">gabala, to make equal. (The root jabara is also met with</w:t></w:r>
</w:p>
<w:p>
<w:pPr><w:pStyle w:val="Normal"/></w:pPr>
<w:r><w:t xml:space="preserve">in the word algebrista, which means a ``bone-setter,&apos;&apos;</w:t></w:r>
</w:p>
<w:p>
<w:pPr><w:pStyle w:val="Normal"/></w:pPr>
<w:r><w:t xml:space="preserve">and is still in common use in Spain.) The same derivation is</w:t></w:r>
</w:p>
<w:p>
<w:pPr><w:pStyle w:val="Normal"/></w:pPr>
<w:r><w:t xml:space="preserve">given by Lucas Paciolus (Luca Pacioli), who reproduces the</w:t></w:r>
</w:p>
<w:p>
<w:pPr><w:pStyle w:val="Normal"/></w:pPr>
<w:r><w:t xml:space="preserve">phrase in the transliterated form alghebra e almucabala,</w:t></w:r>
</w:p>
<w:p>
<w:pPr><w:pStyle w:val="Normal"/></w:pPr>
<w:r><w:t xml:space="preserve">and ascribes the invention of the art to the Arabians.</w:t></w:r>
</w:p>
<w:p>
<w:pPr><w:pStyle w:val="Normal"/></w:pPr>
<w:r><w:t xml:space="preserve">Other writers have derived the word from the Arabic</w:t></w:r>
</w:p>
<w:p>
<w:pPr><w:pStyle w:val="Normal"/></w:pPr>
<w:r><w:t xml:space="preserve">particle al (the definite article), and gerber, meaning</w:t></w:r>
</w:p>
<w:p>
<w:pPr><w:pStyle w:val="Normal"/></w:pPr>
<w:r><w:t xml:space="preserve">``man.&apos;&apos; Since, however, Geber happened to be the name of</w:t></w:r>
</w:p>
<w:p>
<w:pPr><w:pStyle w:val="Normal"/></w:pPr>
<w:r><w:t xml:space="preserve">a celebrated Moorish philosopher who flourished in about</w:t></w:r>
</w:p>
<w:p>
<w:pPr><w:pStyle w:val="Normal"/></w:pPr>
<w:r><w:t xml:space="preserve">the 11th or 12th century, it has been supposed that he was</w:t></w:r>
</w:p>
<w:p>
<w:pPr><w:pStyle w:val="Normal"/></w:pPr>
<w:r><w:t xml:space="preserve">the founder of algebra, which has since perpetuated his</w:t></w:r>
</w:p>
<w:p>
<w:pPr><w:pStyle w:val="Normal"/></w:pPr>
<w:r><w:t xml:space="preserve">name.  The evidence of Peter Ramus (1515-1572) on this point</w:t></w:r>
</w:p>
<w:p>
<w:pPr><w:pStyle w:val="Normal"/></w:pPr>
<w:r><w:t xml:space="preserve">is interesting, but he gives no authority for his singular</w:t></w:r>
</w:p>
<w:p>
<w:pPr><w:pStyle w:val="Normal"/></w:pPr>
<w:r><w:t xml:space="preserve">statements.  In the preface to his Arithmeticae libri duo</w:t></w:r>
</w:p>
<w:p>
<w:pPr><w:pStyle w:val="Normal"/></w:pPr>
<w:r><w:t xml:space="preserve">et totidem Algebrae (1560) he says: ``The name Algebra</w:t></w:r>
</w:p>
<w:p>
<w:pPr><w:pStyle w:val="Normal"/></w:pPr>
<w:r><w:t xml:space="preserve">is Syriac, signifying the art or doctrine of an excellent</w:t></w:r>
</w:p>
<w:p>
<w:pPr><w:pStyle w:val="Normal"/></w:pPr>
<w:r><w:t xml:space="preserve">man.  For Geber, in Syriac, is a name applied to men, and</w:t></w:r>
</w:p>
<w:p>
<w:pPr><w:pStyle w:val="Normal"/></w:pPr>
<w:r><w:t xml:space="preserve">is sometimes a term of honour, as master or doctor among</w:t></w:r>
</w:p>
<w:p>
<w:pPr><w:pStyle w:val="Normal"/></w:pPr>
<w:r><w:t xml:space="preserve">us.  There was a certain learned mathematician who sent his</w:t></w:r>
</w:p>
<w:p>
<w:pPr><w:pStyle w:val="Normal"/></w:pPr>
<w:r><w:t xml:space="preserve">algebra, written in the Syriac language, to Alexander the</w:t></w:r>
</w:p>
<w:p>
<w:pPr><w:pStyle w:val="Normal"/></w:pPr>
<w:r><w:t xml:space="preserve">Great, and he named it almucabala, that is, the book of</w:t></w:r>
</w:p>
<w:p>
<w:pPr><w:pStyle w:val="Normal"/></w:pPr>
<w:r><w:t xml:space="preserve">dark or mysterious things, which others would rather call</w:t></w:r>
</w:p>
<w:p>
<w:pPr><w:pStyle w:val="Normal"/></w:pPr>
<w:r><w:t xml:space="preserve">the doctrine of algebra.  To this day the same book is in</w:t></w:r>
</w:p>
<w:p>
<w:pPr><w:pStyle w:val="Normal"/></w:pPr>
<w:r><w:t xml:space="preserve">great estimation among the learned in the oriental nations,</w:t></w:r>
</w:p>
<w:p>
<w:pPr><w:pStyle w:val="Normal"/></w:pPr>
<w:r><w:t xml:space="preserve">and by the Indians, who cultivate this art, it is called</w:t></w:r>
</w:p>
<w:p>
<w:pPr><w:pStyle w:val="Normal"/></w:pPr>
<w:r><w:t xml:space="preserve">aljabra and alboret; though the name of the author</w:t></w:r>
</w:p>
<w:p>
<w:pPr><w:pStyle w:val="Normal"/></w:pPr>
<w:r><w:t xml:space="preserve">himself is not known.,&apos; The uncertain authority of these</w:t></w:r>
</w:p>
<w:p>
<w:pPr><w:pStyle w:val="Normal"/></w:pPr>
<w:r><w:t xml:space="preserve">statements, and the plausibility of the preceding explanation,</w:t></w:r>
</w:p>
<w:p>
<w:pPr><w:pStyle w:val="Normal"/></w:pPr>
<w:r><w:t xml:space="preserve">have caused philologists to accept the derivation from al</w:t></w:r>
</w:p>
<w:p>
<w:pPr><w:pStyle w:val="Normal"/></w:pPr>
<w:r><w:t xml:space="preserve">and jabara. Robert Recorde in his Whetstone of Witte</w:t></w:r>
</w:p>
<w:p>
<w:pPr><w:pStyle w:val="Normal"/></w:pPr>
<w:r><w:t xml:space="preserve">(1557) uses the variant algeber, while John Dee (1527-1608)</w:t></w:r>
</w:p>
<w:p>
<w:pPr><w:pStyle w:val="Normal"/></w:pPr>
<w:r><w:t xml:space="preserve">affirms that algiebar, and not algebra, is the correct</w:t></w:r>
</w:p>
<w:p>
<w:pPr><w:pStyle w:val="Normal"/></w:pPr>
<w:r><w:t xml:space="preserve">form, and appeals to the authority of the Arabian Avicenna.</w:t></w:r>
</w:p>
<w:p>
<w:pPr><w:pStyle w:val="Normal"/></w:pPr>
<w:r><w:t xml:space="preserve">Although the term ``algebra&apos;&apos; is now in universal use, various</w:t></w:r>
</w:p>
<w:p>
<w:pPr><w:pStyle w:val="Normal"/></w:pPr>
<w:r><w:t xml:space="preserve">other appellations were used by the Italian mathematicians</w:t></w:r>
</w:p>
<w:p>
<w:pPr><w:pStyle w:val="Normal"/></w:pPr>
<w:r><w:t xml:space="preserve">during the Renaissance.  Thus we find Paciolus calling it</w:t></w:r>
</w:p>
<w:p>
<w:pPr><w:pStyle w:val="Normal"/></w:pPr>
<w:r><w:t xml:space="preserve">l&apos;Arte Magiore; ditta dal vulgo la Regula de la Cosa</w:t></w:r>
</w:p>
<w:p>
<w:pPr><w:pStyle w:val="Normal"/></w:pPr>
<w:r><w:t xml:space="preserve">over Alghebra e Almucabala. The name l&apos;arte magiore,</w:t></w:r>
</w:p>
<w:p>
<w:pPr><w:pStyle w:val="Normal"/></w:pPr>
<w:r><w:t xml:space="preserve">the greater art, is designed to distinguish it from l&apos;arte</w:t></w:r>
</w:p>
<w:p>
<w:pPr><w:pStyle w:val="Normal"/></w:pPr>
<w:r><w:t xml:space="preserve">minore, the lesser art, a term which he applied to the</w:t></w:r>
</w:p>
<w:p>
<w:pPr><w:pStyle w:val="Normal"/></w:pPr>
<w:r><w:t xml:space="preserve">modern arithmetic.  His second variant, la regula de la</w:t></w:r>
</w:p>
<w:p>
<w:pPr><w:pStyle w:val="Normal"/></w:pPr>
<w:r><w:t xml:space="preserve">cosa, the rule of the thing or unknown quantity, appears</w:t></w:r>
</w:p>
<w:p>
<w:pPr><w:pStyle w:val="Normal"/></w:pPr>
<w:r><w:t xml:space="preserve">to have been in common use in Italy, and the word cosa</w:t></w:r>
</w:p>
<w:p>
<w:pPr><w:pStyle w:val="Normal"/></w:pPr>
<w:r><w:t xml:space="preserve">was preserved for several centuries in the forms coss or</w:t></w:r>
</w:p>
<w:p>
<w:pPr><w:pStyle w:val="Normal"/></w:pPr>
<w:r><w:t xml:space="preserve">algebra, cossic or algebraic, cossist or algebraist, &amp;c.</w:t></w:r>
</w:p>
<w:p>
<w:pPr><w:pStyle w:val="Normal"/></w:pPr>
<w:r><w:t xml:space="preserve">Other Italian writers termed it the Regula rei et census,</w:t></w:r>
</w:p>
<w:p>
<w:pPr><w:pStyle w:val="Normal"/></w:pPr>
<w:r><w:t xml:space="preserve">the rule of the thing and the product, or the root and the</w:t></w:r>
</w:p>
<w:p>
<w:pPr><w:pStyle w:val="Normal"/></w:pPr>
<w:r><w:t xml:space="preserve">square.  The principle underlying this expression is probably</w:t></w:r>
</w:p>
<w:p>
<w:pPr><w:pStyle w:val="Normal"/></w:pPr>
<w:r><w:t xml:space="preserve">to be found in the fact that it measured the limits of</w:t></w:r>
</w:p>
<w:p>
<w:pPr><w:pStyle w:val="Normal"/></w:pPr>
<w:r><w:t xml:space="preserve">their attainments in algebra, for they were unable to solve</w:t></w:r>
</w:p>
<w:p>
<w:pPr><w:pStyle w:val="Normal"/></w:pPr>
<w:r><w:t xml:space="preserve">equations of a higher degree than the quadratic or square.</w:t></w:r>
</w:p>
<w:p>
<w:pPr><w:pStyle w:val="Normal"/></w:pPr>
<w:r><w:t xml:space="preserve">Franciscus Vieta (Francois Viete) named it Specious</w:t></w:r>
</w:p>
<w:p>
<w:pPr><w:pStyle w:val="Normal"/></w:pPr>
<w:r><w:t xml:space="preserve">Arithmetic, on account of the species of the quantities</w:t></w:r>
</w:p>
<w:p>
<w:pPr><w:pStyle w:val="Normal"/></w:pPr>
<w:r><w:t xml:space="preserve">involved, which he represented symbolically by the various</w:t></w:r>
</w:p>
<w:p>
<w:pPr><w:pStyle w:val="Normal"/></w:pPr>
<w:r><w:t xml:space="preserve">letters of the alphabet.  Sir Isaac Newton introduced the term</w:t></w:r>
</w:p>
<w:p>
<w:pPr><w:pStyle w:val="Normal"/></w:pPr>
<w:r><w:t xml:space="preserve">Universal Arithmetic, since it is concerned with the doctrine</w:t></w:r>
</w:p>
<w:p>
<w:pPr><w:pStyle w:val="Normal"/></w:pPr>
<w:r><w:t xml:space="preserve">of operations, not affected on numbers, but on general symbols.</w:t></w:r>
</w:p>
<w:p>
<w:pPr><w:pStyle w:val="Normal"/></w:pPr>
<w:r><w:t xml:space="preserve">Notwithstanding these and other idiosyncratic appellations,</w:t></w:r>
</w:p>
<w:p>
<w:pPr><w:pStyle w:val="Normal"/></w:pPr>
<w:r><w:t xml:space="preserve">European mathematicians have adhered to the older</w:t></w:r>
</w:p>
<w:p>
<w:pPr><w:pStyle w:val="Normal"/></w:pPr>
<w:r><w:t xml:space="preserve">name, by which the subject is now universally known.</w:t></w:r>
</w:p>
<w:p>
<w:pPr><w:pStyle w:val="Normal"/></w:pPr>
<w:r><w:t xml:space="preserve">It is difficult to assign the invention of any art or science</w:t></w:r>
</w:p>
<w:p>
<w:pPr><w:pStyle w:val="Normal"/></w:pPr>
<w:r><w:t xml:space="preserve">definitely to any particular age or race.  The few fragmentary</w:t></w:r>
</w:p>
<w:p>
<w:pPr><w:pStyle w:val="Normal"/></w:pPr>
<w:r><w:t xml:space="preserve">records, which have come down to us from past civilizations,</w:t></w:r>
</w:p>
<w:p>
<w:pPr><w:pStyle w:val="Normal"/></w:pPr>
<w:r><w:t xml:space="preserve">must not be regarded as representing the totality of their</w:t></w:r>
</w:p>
<w:p>
<w:pPr><w:pStyle w:val="Normal"/></w:pPr>
<w:r><w:t xml:space="preserve">knowledge, and the omission of a science or art does not</w:t></w:r>
</w:p>
<w:p>
<w:pPr><w:pStyle w:val="Normal"/></w:pPr>
<w:r><w:t xml:space="preserve">necessarily imply that the science or art was unknown.  It was</w:t></w:r>
</w:p>
<w:p>
<w:pPr><w:pStyle w:val="Normal"/></w:pPr>
<w:r><w:t xml:space="preserve">formerly the custom to assign the invention of algebra to the</w:t></w:r>
</w:p>
<w:p>
<w:pPr><w:pStyle w:val="Normal"/></w:pPr>
<w:r><w:t xml:space="preserve">Greeks, but since the decipherment of the Rhind papyrus</w:t></w:r>
</w:p>
<w:p>
<w:pPr><w:pStyle w:val="Normal"/></w:pPr>
<w:r><w:t xml:space="preserve">by Eisenlohr this view has changed, for in this work there</w:t></w:r>
</w:p>
<w:p>
<w:pPr><w:pStyle w:val="Normal"/></w:pPr>
<w:r><w:t xml:space="preserve">are distinct signs of an algebraic analysis.  The particular</w:t></w:r>
</w:p>
<w:p>
<w:pPr><w:pStyle w:val="Normal"/></w:pPr>
<w:r><w:t xml:space="preserve">problem---a heap (hau) and its seventh makes 19---is solved</w:t></w:r>
</w:p>
<w:p>
<w:pPr><w:pStyle w:val="Normal"/></w:pPr>
<w:r><w:t xml:space="preserve">as we should now solve a simple equation; but Ahmes varies his</w:t></w:r>
</w:p>
<w:p>
<w:pPr><w:pStyle w:val="Normal"/></w:pPr>
<w:r><w:t xml:space="preserve">methods in other similar problems.  This discovery carries the</w:t></w:r>
</w:p>
<w:p>
<w:pPr><w:pStyle w:val="Normal"/></w:pPr>
<w:r><w:t xml:space="preserve">invention of algebra back to about 1700 B.C., if not earlier.</w:t></w:r>
</w:p>
<w:p>
<w:pPr><w:pStyle w:val="Normal"/></w:pPr>
<w:r><w:t xml:space="preserve">It is probable that the algebra of the Egyptians was of</w:t></w:r>
</w:p>
<w:p>
<w:pPr><w:pStyle w:val="Normal"/></w:pPr>
<w:r><w:t xml:space="preserve">a most rudimentary nature, for otherwise we should expect</w:t></w:r>
</w:p>
<w:p>
<w:pPr><w:pStyle w:val="Normal"/></w:pPr>
<w:r><w:t xml:space="preserve">to find traces of it in the works of the Greek aeometers.</w:t></w:r>
</w:p>
<w:p>
<w:pPr><w:pStyle w:val="Normal"/></w:pPr>
<w:r><w:t xml:space="preserve">of whom Thales of Miletus (640-546 B.C.) was the first.</w:t></w:r>
</w:p>
<w:p>
<w:pPr><w:pStyle w:val="Normal"/></w:pPr>
<w:r><w:t xml:space="preserve">Notwithstanding the prolixity of writers and the number of the</w:t></w:r>
</w:p>
<w:p>
<w:pPr><w:pStyle w:val="Normal"/></w:pPr>
<w:r><w:t xml:space="preserve">writings, all attempts at extracting an algebraic analysis</w:t></w:r>
</w:p>
<w:p>
<w:pPr><w:pStyle w:val="Normal"/></w:pPr>
<w:r><w:t xml:space="preserve">from their geometrical theorems and problems have been</w:t></w:r>
</w:p>
<w:p>
<w:pPr><w:pStyle w:val="Normal"/></w:pPr>
<w:r><w:t xml:space="preserve">fruitless, and it is generally conceded that their analysis</w:t></w:r>
</w:p>
<w:p>
<w:pPr><w:pStyle w:val="Normal"/></w:pPr>
<w:r><w:t xml:space="preserve">was geometrical and had little or no affinity to algebra.  The</w:t></w:r>
</w:p>
<w:p>
<w:pPr><w:pStyle w:val="Normal"/></w:pPr>
<w:r><w:t xml:space="preserve">first extant work which approaches to a treatise on algebra</w:t></w:r>
</w:p>
<w:p>
<w:pPr><w:pStyle w:val="Normal"/></w:pPr>
<w:r><w:t xml:space="preserve">is by Diophantus (q.v.), an Alexandrian mathematician, who</w:t></w:r>
</w:p>
<w:p>
<w:pPr><w:pStyle w:val="Normal"/></w:pPr>
<w:r><w:t xml:space="preserve">flourished about A.D. 350. The original, which consisted</w:t></w:r>
</w:p>
<w:p>
<w:pPr><w:pStyle w:val="Normal"/></w:pPr>
<w:r><w:t xml:space="preserve">of a preface and thirteen books, is now lost, but we have a</w:t></w:r>
</w:p>
<w:p>
<w:pPr><w:pStyle w:val="Normal"/></w:pPr>
<w:r><w:t xml:space="preserve">Latin translation of the first six books and a fragment of</w:t></w:r>
</w:p>
<w:p>
<w:pPr><w:pStyle w:val="Normal"/></w:pPr>
<w:r><w:t xml:space="preserve">another on polygonal numbers by Xylander of Augsburg (1575),</w:t></w:r>
</w:p>
<w:p>
<w:pPr><w:pStyle w:val="Normal"/></w:pPr>
<w:r><w:t xml:space="preserve">and Latin and Greek translations by Gaspar Bachet de Merizac</w:t></w:r>
</w:p>
<w:p>
<w:pPr><w:pStyle w:val="Normal"/></w:pPr>
<w:r><w:t xml:space="preserve">(1621-1670).  Other editions have been published, of which</w:t></w:r>
</w:p>
<w:p>
<w:pPr><w:pStyle w:val="Normal"/></w:pPr>
<w:r><w:t xml:space="preserve">we may mention Pierre Fermat&apos;s (1670), T. L. Heath&apos;s (1885)</w:t></w:r>
</w:p>
<w:p>
<w:pPr><w:pStyle w:val="Normal"/></w:pPr>
<w:r><w:t xml:space="preserve">and P. Tannery&apos;s (1893-1895).  In the preface to this work,</w:t></w:r>
</w:p>
<w:p>
<w:pPr><w:pStyle w:val="Normal"/></w:pPr>
<w:r><w:t xml:space="preserve">which is dedicated to one Dionysius, Diophantus explains his</w:t></w:r>
</w:p>
<w:p>
<w:pPr><w:pStyle w:val="Normal"/></w:pPr>
<w:r><w:t xml:space="preserve">notation, naming the square, cube and fourth powers, dynamis,</w:t></w:r>
</w:p>
<w:p>
<w:pPr><w:pStyle w:val="Normal"/></w:pPr>
<w:r><w:t xml:space="preserve">cubus, dynamodinimus, and so on, according to the sum in</w:t></w:r>
</w:p>
<w:p>
<w:pPr><w:pStyle w:val="Normal"/></w:pPr>
<w:r><w:t xml:space="preserve">the indices.  The unknown he terms arithmos, the number,</w:t></w:r>
</w:p>
<w:p>
<w:pPr><w:pStyle w:val="Normal"/></w:pPr>
<w:r><w:t xml:space="preserve">and in solutions he marks it by the final s; he explains</w:t></w:r>
</w:p>
<w:p>
<w:pPr><w:pStyle w:val="Normal"/></w:pPr>
<w:r><w:t xml:space="preserve">the generation of powers, the rules for multiplication and</w:t></w:r>
</w:p>
<w:p>
<w:pPr><w:pStyle w:val="Normal"/></w:pPr>
<w:r><w:t xml:space="preserve">division of simple quantities, but he does not treat of the</w:t></w:r>
</w:p>
<w:p>
<w:pPr><w:pStyle w:val="Normal"/></w:pPr>
<w:r><w:t xml:space="preserve">addition, subtraction, multiplication and division of compound</w:t></w:r>
</w:p>
<w:p>
<w:pPr><w:pStyle w:val="Normal"/></w:pPr>
<w:r><w:t xml:space="preserve">quantities.  He then proceeds to discuss various artifices</w:t></w:r>
</w:p>
<w:p>
<w:pPr><w:pStyle w:val="Normal"/></w:pPr>
<w:r><w:t xml:space="preserve">for the simplification of equations, giving methods which</w:t></w:r>
</w:p>
<w:p>
<w:pPr><w:pStyle w:val="Normal"/></w:pPr>
<w:r><w:t xml:space="preserve">are still in common use.  In the body of the work he displays</w:t></w:r>
</w:p>
<w:p>
<w:pPr><w:pStyle w:val="Normal"/></w:pPr>
<w:r><w:t xml:space="preserve">considerable ingenuity in reducing his problems to simple</w:t></w:r>
</w:p>
<w:p>
<w:pPr><w:pStyle w:val="Normal"/></w:pPr>
<w:r><w:t xml:space="preserve">equations, which admit either of direct solution, or fall</w:t></w:r>
</w:p>
<w:p>
<w:pPr><w:pStyle w:val="Normal"/></w:pPr>
<w:r><w:t xml:space="preserve">into the class known as indeterminate equations.  This latter</w:t></w:r>
</w:p>
<w:p>
<w:pPr><w:pStyle w:val="Normal"/></w:pPr>
<w:r><w:t xml:space="preserve">class he discussed so assiduously that they are often known as</w:t></w:r>
</w:p>
<w:p>
<w:pPr><w:pStyle w:val="Normal"/></w:pPr>
<w:r><w:t xml:space="preserve">Diophantine problems, and the methods of resolving them as</w:t></w:r>
</w:p>
<w:p>
<w:pPr><w:pStyle w:val="Normal"/></w:pPr>
<w:r><w:t xml:space="preserve">the Diophantine analysis (see EQUATION, Indeterminate.)</w:t></w:r>
</w:p>
<w:p>
<w:pPr><w:pStyle w:val="Normal"/></w:pPr>
<w:r><w:t xml:space="preserve">It is difficult to believe that this work of Diophantus</w:t></w:r>
</w:p>
<w:p>
<w:pPr><w:pStyle w:val="Normal"/></w:pPr>
<w:r><w:t xml:space="preserve">arose spontaneously in a period of general stagnation.  It</w:t></w:r>
</w:p>
<w:p>
<w:pPr><w:pStyle w:val="Normal"/></w:pPr>
<w:r><w:t xml:space="preserve">is more than likely that he was indebted to earlier writers,</w:t></w:r>
</w:p>
<w:p>
<w:pPr><w:pStyle w:val="Normal"/></w:pPr>
<w:r><w:t xml:space="preserve">whom he omits to mention, and whose works are now lost;</w:t></w:r>
</w:p>
<w:p>
<w:pPr><w:pStyle w:val="Normal"/></w:pPr>
<w:r><w:t xml:space="preserve">nevertheless, but for this work, we should be led to assume</w:t></w:r>
</w:p>
<w:p>
<w:pPr><w:pStyle w:val="Normal"/></w:pPr>
<w:r><w:t xml:space="preserve">that algebra was almost, if not entirely, unknown to the Greeks.</w:t></w:r>
</w:p>
<w:p>
<w:pPr><w:pStyle w:val="Normal"/></w:pPr>
<w:r><w:t xml:space="preserve">The Romans, who succeeded the Greeks as the chief</w:t></w:r>
</w:p>
<w:p>
<w:pPr><w:pStyle w:val="Normal"/></w:pPr>
<w:r><w:t xml:space="preserve">civilized power in Europe, failed to set store on their</w:t></w:r>
</w:p>
<w:p>
<w:pPr><w:pStyle w:val="Normal"/></w:pPr>
<w:r><w:t xml:space="preserve">literary and scientific treasures; mathematics was all but</w:t></w:r>
</w:p>
<w:p>
<w:pPr><w:pStyle w:val="Normal"/></w:pPr>
<w:r><w:t xml:space="preserve">neglected; and beyond a few improvements in arithmetical</w:t></w:r>
</w:p>
<w:p>
<w:pPr><w:pStyle w:val="Normal"/></w:pPr>
<w:r><w:t xml:space="preserve">computations, there are no material advances to be recorded.</w:t></w:r>
</w:p>
<w:p>
<w:pPr><w:pStyle w:val="Normal"/></w:pPr>
<w:r><w:t xml:space="preserve">In the chronological development of our subject we have now to</w:t></w:r>
</w:p>
<w:p>
<w:pPr><w:pStyle w:val="Normal"/></w:pPr>
<w:r><w:t xml:space="preserve">turn to the Orient.  Investigation of the writings of Indian</w:t></w:r>
</w:p>
<w:p>
<w:pPr><w:pStyle w:val="Normal"/></w:pPr>
<w:r><w:t xml:space="preserve">mathematicians has exhibited a fundamental distinction between</w:t></w:r>
</w:p>
<w:p>
<w:pPr><w:pStyle w:val="Normal"/></w:pPr>
<w:r><w:t xml:space="preserve">the Greek and Indian mind, the former being pre-eminently</w:t></w:r>
</w:p>
<w:p>
<w:pPr><w:pStyle w:val="Normal"/></w:pPr>
<w:r><w:t xml:space="preserve">geometrical and speculative, the latter arithmetical and mainly</w:t></w:r>
</w:p>
<w:p>
<w:pPr><w:pStyle w:val="Normal"/></w:pPr>
<w:r><w:t xml:space="preserve">practical.  We find that geometry was neglected except in so far</w:t></w:r>
</w:p>
<w:p>
<w:pPr><w:pStyle w:val="Normal"/></w:pPr>
<w:r><w:t xml:space="preserve">as it was of service to astronomy; trigonometry was advanced,</w:t></w:r>
</w:p>
<w:p>
<w:pPr><w:pStyle w:val="Normal"/></w:pPr>
<w:r><w:t xml:space="preserve">and algebra improved far beyond the attainments of Diophantus.</w:t></w:r>
</w:p>
<w:p>
<w:pPr><w:pStyle w:val="Normal"/></w:pPr>
<w:r><w:t xml:space="preserve">The earliest Indian mathematician of whom we have certain</w:t></w:r>
</w:p>
<w:p>
<w:pPr><w:pStyle w:val="Normal"/></w:pPr>
<w:r><w:t xml:space="preserve">knowledge is Aryabhatta, who flourished about the beginning</w:t></w:r>
</w:p>
<w:p>
<w:pPr><w:pStyle w:val="Normal"/></w:pPr>
<w:r><w:t xml:space="preserve">of the 6th century of our era.  The fame of this astronomer</w:t></w:r>
</w:p>
<w:p>
<w:pPr><w:pStyle w:val="Normal"/></w:pPr>
<w:r><w:t xml:space="preserve">and mathematician rests on his work, the Aryabhattiyam, the</w:t></w:r>
</w:p>
<w:p>
<w:pPr><w:pStyle w:val="Normal"/></w:pPr>
<w:r><w:t xml:space="preserve">third chapter of which is devoted to mathematics.  Ganessa, an</w:t></w:r>
</w:p>
<w:p>
<w:pPr><w:pStyle w:val="Normal"/></w:pPr>
<w:r><w:t xml:space="preserve">eminent astronomer, mathematician and scholiast of Bhaskara,</w:t></w:r>
</w:p>
<w:p>
<w:pPr><w:pStyle w:val="Normal"/></w:pPr>
<w:r><w:t xml:space="preserve">quotes this work and makes separate mention of the cuttaca</w:t></w:r>
</w:p>
<w:p>
<w:pPr><w:pStyle w:val="Normal"/></w:pPr>
<w:r><w:t xml:space="preserve">(``pulveriser&apos;&apos;), a device for effecting the solution of</w:t></w:r>
</w:p>
<w:p>
<w:pPr><w:pStyle w:val="Normal"/></w:pPr>
<w:r><w:t xml:space="preserve">indeterminate equations.  Henry Thomas Colebrooke, one of the</w:t></w:r>
</w:p>
<w:p>
<w:pPr><w:pStyle w:val="Normal"/></w:pPr>
<w:r><w:t xml:space="preserve">earliest modern investigators of Hindu science, presumes that</w:t></w:r>
</w:p>
<w:p>
<w:pPr><w:pStyle w:val="Normal"/></w:pPr>
<w:r><w:t xml:space="preserve">the treatise of Aryabhatta extended to determinate quadratic</w:t></w:r>
</w:p>
<w:p>
<w:pPr><w:pStyle w:val="Normal"/></w:pPr>
<w:r><w:t xml:space="preserve">equations, indeterminate equations of the first degree, and</w:t></w:r>
</w:p>
<w:p>
<w:pPr><w:pStyle w:val="Normal"/></w:pPr>
<w:r><w:t xml:space="preserve">probably of the second.  An astronomical work, called the</w:t></w:r>
</w:p>
<w:p>
<w:pPr><w:pStyle w:val="Normal"/></w:pPr>
<w:r><w:t xml:space="preserve">Surya-siddhanta (``knowledge of the Sun&apos;&apos;), of uncertain</w:t></w:r>
</w:p>
<w:p>
<w:pPr><w:pStyle w:val="Normal"/></w:pPr>
<w:r><w:t xml:space="preserve">authorship and probably belonging to the 4th or 5th century,</w:t></w:r>
</w:p>
<w:p>
<w:pPr><w:pStyle w:val="Normal"/></w:pPr>
<w:r><w:t xml:space="preserve">was considered of great merit by the Hindus, who ranked it</w:t></w:r>
</w:p>
<w:p>
<w:pPr><w:pStyle w:val="Normal"/></w:pPr>
<w:r><w:t xml:space="preserve">only second to the work of Brahmagupta, who flourished about</w:t></w:r>
</w:p>
<w:p>
<w:pPr><w:pStyle w:val="Normal"/></w:pPr>
<w:r><w:t xml:space="preserve">a century later.  It is of great interest to the historical</w:t></w:r>
</w:p>
<w:p>
<w:pPr><w:pStyle w:val="Normal"/></w:pPr>
<w:r><w:t xml:space="preserve">student, for it exhibits the influence of Greek science upon</w:t></w:r>
</w:p>
<w:p>
<w:pPr><w:pStyle w:val="Normal"/></w:pPr>
<w:r><w:t xml:space="preserve">Indian mathematics at a period prior to Aryabhatta.  After an</w:t></w:r>
</w:p>
<w:p>
<w:pPr><w:pStyle w:val="Normal"/></w:pPr>
<w:r><w:t xml:space="preserve">interval of about a century, during which mathematics attained</w:t></w:r>
</w:p>
<w:p>
<w:pPr><w:pStyle w:val="Normal"/></w:pPr>
<w:r><w:t xml:space="preserve">its highest level, there flourished Brahmagupta (b. A.D. 598),</w:t></w:r>
</w:p>
<w:p>
<w:pPr><w:pStyle w:val="Normal"/></w:pPr>
<w:r><w:t xml:space="preserve">whose work entitled Brahma-sphuta-siddhanta (``The revised</w:t></w:r>
</w:p>
<w:p>
<w:pPr><w:pStyle w:val="Normal"/></w:pPr>
<w:r><w:t xml:space="preserve">system of Brahma&apos;&apos;) contains several chapters devoted to</w:t></w:r>
</w:p>
<w:p>
<w:pPr><w:pStyle w:val="Normal"/></w:pPr>
<w:r><w:t xml:space="preserve">mathematics.  Of other Indian writers mention may be made of</w:t></w:r>
</w:p>
<w:p>
<w:pPr><w:pStyle w:val="Normal"/></w:pPr>
<w:r><w:t xml:space="preserve">Cridhara, the author of a Ganita-sara (``Quintessence of</w:t></w:r>
</w:p>
<w:p>
<w:pPr><w:pStyle w:val="Normal"/></w:pPr>
<w:r><w:t xml:space="preserve">Calculation&apos;&apos;), and Padmanabha, the author of an algebra.</w:t></w:r>
</w:p>
<w:p>
<w:pPr><w:pStyle w:val="Normal"/></w:pPr>
<w:r><w:t xml:space="preserve">A period of mathematical stagnation then appears to have</w:t></w:r>
</w:p>
<w:p>
<w:pPr><w:pStyle w:val="Normal"/></w:pPr>
<w:r><w:t xml:space="preserve">possessed the Indian mind for an interval of several centuries,</w:t></w:r>
</w:p>
<w:p>
<w:pPr><w:pStyle w:val="Normal"/></w:pPr>
<w:r><w:t xml:space="preserve">for the works of the next author of any moment stand but little</w:t></w:r>
</w:p>
<w:p>
<w:pPr><w:pStyle w:val="Normal"/></w:pPr>
<w:r><w:t xml:space="preserve">in advance of Brahmagupta.  We refer to Bhaskara Acarya, whose</w:t></w:r>
</w:p>
<w:p>
<w:pPr><w:pStyle w:val="Normal"/></w:pPr>
<w:r><w:t xml:space="preserve">work the Siddhanta-ciromani (``Diadem of anastronomical</w:t></w:r>
</w:p>
<w:p>
<w:pPr><w:pStyle w:val="Normal"/></w:pPr>
<w:r><w:t xml:space="preserve">System&apos;&apos;), written in 1150, contains two important chapters, the</w:t></w:r>
</w:p>
<w:p>
<w:pPr><w:pStyle w:val="Normal"/></w:pPr>
<w:r><w:t xml:space="preserve">Lilavati (``the beautiful [science or art]&apos;&apos;) and Viga-ganita</w:t></w:r>
</w:p>
<w:p>
<w:pPr><w:pStyle w:val="Normal"/></w:pPr>
<w:r><w:t xml:space="preserve">(``root-extraction&apos;&apos;), which are given up to arithmetic and algebra.</w:t></w:r>
</w:p>
<w:p>
<w:pPr><w:pStyle w:val="Normal"/></w:pPr>
<w:r><w:t xml:space="preserve">English translations of the mathematical chapters of the</w:t></w:r>
</w:p>
<w:p>
<w:pPr><w:pStyle w:val="Normal"/></w:pPr>
<w:r><w:t xml:space="preserve">Brahma-siddhanta and Siddhanta-ciromani by H. T. Colebrooke</w:t></w:r>
</w:p>
<w:p>
<w:pPr><w:pStyle w:val="Normal"/></w:pPr>
<w:r><w:t xml:space="preserve">(1817), and of the Surya-siddhanta by E. Burgess, with</w:t></w:r>
</w:p>
<w:p>
<w:pPr><w:pStyle w:val="Normal"/></w:pPr>
<w:r><w:t xml:space="preserve">annotations by W. D. Whitney (1860), may be consulted for details.</w:t></w:r>
</w:p>
<w:p>
<w:pPr><w:pStyle w:val="Normal"/></w:pPr>
<w:r><w:t xml:space="preserve">The question as to whether the Greeks borrowed their algebra</w:t></w:r>
</w:p>
<w:p>
<w:pPr><w:pStyle w:val="Normal"/></w:pPr>
<w:r><w:t xml:space="preserve">from the Hindus or vice versa has been the subject of much</w:t></w:r>
</w:p>
<w:p>
<w:pPr><w:pStyle w:val="Normal"/></w:pPr>
<w:r><w:t xml:space="preserve">discussion.  There is no doubt that there was a constant traffic</w:t></w:r>
</w:p>
<w:p>
<w:pPr><w:pStyle w:val="Normal"/></w:pPr>
<w:r><w:t xml:space="preserve">between Greece and India, and it is more than probable that an</w:t></w:r>
</w:p>
<w:p>
<w:pPr><w:pStyle w:val="Normal"/></w:pPr>
<w:r><w:t xml:space="preserve">exchange of produce would be accompanied by a transference of</w:t></w:r>
</w:p>
<w:p>
<w:pPr><w:pStyle w:val="Normal"/></w:pPr>
<w:r><w:t xml:space="preserve">ideas.  Moritz Cantor suspects the influence of Diophantine</w:t></w:r>
</w:p>
<w:p>
<w:pPr><w:pStyle w:val="Normal"/></w:pPr>
<w:r><w:t xml:space="preserve">methods, more particularly in the Hindu solutions of indeterminate</w:t></w:r>
</w:p>
<w:p>
<w:pPr><w:pStyle w:val="Normal"/></w:pPr>
<w:r><w:t xml:space="preserve">equations, where certain technical terms are, in all probability,</w:t></w:r>
</w:p>
<w:p>
<w:pPr><w:pStyle w:val="Normal"/></w:pPr>
<w:r><w:t xml:space="preserve">of Greek origin.  However this may be, it is certain that</w:t></w:r>
</w:p>
<w:p>
<w:pPr><w:pStyle w:val="Normal"/></w:pPr>
<w:r><w:t xml:space="preserve">the Hindu algebraists were far in advance of Diophantus.  The</w:t></w:r>
</w:p>
<w:p>
<w:pPr><w:pStyle w:val="Normal"/></w:pPr>
<w:r><w:t xml:space="preserve">deficiencies of the Greek symbolism were partially remedied;</w:t></w:r>
</w:p>
<w:p>
<w:pPr><w:pStyle w:val="Normal"/></w:pPr>
<w:r><w:t xml:space="preserve">subtraction was denoted by placing a dot over the subtrahend;</w:t></w:r>
</w:p>
<w:p>
<w:pPr><w:pStyle w:val="Normal"/></w:pPr>
<w:r><w:t xml:space="preserve">multiplication, by placing bha (an abbreviation of bhavita,</w:t></w:r>
</w:p>
<w:p>
<w:pPr><w:pStyle w:val="Normal"/></w:pPr>
<w:r><w:t xml:space="preserve">the ``product&apos;&apos;) after the factom; division, by placing the</w:t></w:r>
</w:p>
<w:p>
<w:pPr><w:pStyle w:val="Normal"/></w:pPr>
<w:r><w:t xml:space="preserve">divisor under the dividend; and square root, by inserting</w:t></w:r>
</w:p>
<w:p>
<w:pPr><w:pStyle w:val="Normal"/></w:pPr>
<w:r><w:t xml:space="preserve">ka (an abbreviation of karana, irrational) before the</w:t></w:r>
</w:p>
<w:p>
<w:pPr><w:pStyle w:val="Normal"/></w:pPr>
<w:r><w:t xml:space="preserve">quantity.  The unknown was called yavattavat, and if there</w:t></w:r>
</w:p>
<w:p>
<w:pPr><w:pStyle w:val="Normal"/></w:pPr>
<w:r><w:t xml:space="preserve">were several, the first took this appellation, and the others</w:t></w:r>
</w:p>
<w:p>
<w:pPr><w:pStyle w:val="Normal"/></w:pPr>
<w:r><w:t xml:space="preserve">were designated by the names of colours; for instance, x</w:t></w:r>
</w:p>
<w:p>
<w:pPr><w:pStyle w:val="Normal"/></w:pPr>
<w:r><w:t xml:space="preserve">was denoted by ya and y by ka (from kalaka, black).</w:t></w:r>
</w:p>
<w:p>
<w:pPr><w:pStyle w:val="Normal"/></w:pPr>
<w:r><w:t xml:space="preserve">A notable improvement on the ideas of Diophantus is to be found</w:t></w:r>
</w:p>
<w:p>
<w:pPr><w:pStyle w:val="Normal"/></w:pPr>
<w:r><w:t xml:space="preserve">in the fact that the Hindus recognized the existence of two roots</w:t></w:r>
</w:p>
<w:p>
<w:pPr><w:pStyle w:val="Normal"/></w:pPr>
<w:r><w:t xml:space="preserve">of a quadratic equation, but the negative roots were considered</w:t></w:r>
</w:p>
<w:p>
<w:pPr><w:pStyle w:val="Normal"/></w:pPr>
<w:r><w:t xml:space="preserve">to be inadequate, since no interpretation could be found for</w:t></w:r>
</w:p>
<w:p>
<w:pPr><w:pStyle w:val="Normal"/></w:pPr>
<w:r><w:t xml:space="preserve">them.  It is also supposed that they anticipated discoveries</w:t></w:r>
</w:p>
<w:p>
<w:pPr><w:pStyle w:val="Normal"/></w:pPr>
<w:r><w:t xml:space="preserve">of the solutions of higher equations.  Great advances were</w:t></w:r>
</w:p>
<w:p>
<w:pPr><w:pStyle w:val="Normal"/></w:pPr>
<w:r><w:t xml:space="preserve">made in the study of indeterminate equations, a branch of</w:t></w:r>
</w:p>
<w:p>
<w:pPr><w:pStyle w:val="Normal"/></w:pPr>
<w:r><w:t xml:space="preserve">analysis in which Diophantus excelled.  But whereas Diophantus</w:t></w:r>
</w:p>
<w:p>
<w:pPr><w:pStyle w:val="Normal"/></w:pPr>
<w:r><w:t xml:space="preserve">aimed at obtaining a single solution, the Hindus strove for</w:t></w:r>
</w:p>
<w:p>
<w:pPr><w:pStyle w:val="Normal"/></w:pPr>
<w:r><w:t xml:space="preserve">a general method by which any indeterminate problem could be</w:t></w:r>
</w:p>
<w:p>
<w:pPr><w:pStyle w:val="Normal"/></w:pPr>
<w:r><w:t xml:space="preserve">resolved.  In this they were completely successful, for</w:t></w:r>
</w:p>
<w:p>
<w:pPr><w:pStyle w:val="Normal"/></w:pPr>
<w:r><w:t xml:space="preserve">they obtained general solutions for the equations ax(+ or -)by=c,</w:t></w:r>
</w:p>
<w:p>
<w:pPr><w:pStyle w:val="Normal"/></w:pPr>
<w:r><w:t xml:space="preserve">xy=ax+by+c (since rediscovered by Leonhard Euler) and</w:t></w:r>
</w:p>
<w:p>
<w:pPr><w:pStyle w:val="Normal"/></w:pPr>
<w:r><w:t xml:space="preserve">cy2=ax2+b. A particular case of the last equation,</w:t></w:r>
</w:p>
<w:p>
<w:pPr><w:pStyle w:val="Normal"/></w:pPr>
<w:r><w:t xml:space="preserve">namely, y2=ax2+1, sorely taxed the resources of modern</w:t></w:r>
</w:p>
<w:p>
<w:pPr><w:pStyle w:val="Normal"/></w:pPr>
<w:r><w:t xml:space="preserve">algebraists.  It was proposed by Pierre de Fermat to Bernhard</w:t></w:r>
</w:p>
<w:p>
<w:pPr><w:pStyle w:val="Normal"/></w:pPr>
<w:r><w:t xml:space="preserve">Frenicle de Bessy, and in 1657 to all mathematicians.  John</w:t></w:r>
</w:p>
<w:p>
<w:pPr><w:pStyle w:val="Normal"/></w:pPr>
<w:r><w:t xml:space="preserve">Wallis and Lord Brounker jointly obtained a tedious solution</w:t></w:r>
</w:p>
<w:p>
<w:pPr><w:pStyle w:val="Normal"/></w:pPr>
<w:r><w:t xml:space="preserve">which was published in 1658, and afterwards in 1668 by John</w:t></w:r>
</w:p>
<w:p>
<w:pPr><w:pStyle w:val="Normal"/></w:pPr>
<w:r><w:t xml:space="preserve">Pell in his Algebra. A solution was also given by Fermat</w:t></w:r>
</w:p>
<w:p>
<w:pPr><w:pStyle w:val="Normal"/></w:pPr>
<w:r><w:t xml:space="preserve">in his Relation. Although Pell had nothing to do with the</w:t></w:r>
</w:p>
<w:p>
<w:pPr><w:pStyle w:val="Normal"/></w:pPr>
<w:r><w:t xml:space="preserve">solution, posterity has termed the equation Pell&apos;s Equation, or</w:t></w:r>
</w:p>
<w:p>
<w:pPr><w:pStyle w:val="Normal"/></w:pPr>
<w:r><w:t xml:space="preserve">Problem, when more rightly it should be the Hindu Problem,</w:t></w:r>
</w:p>
<w:p>
<w:pPr><w:pStyle w:val="Normal"/></w:pPr>
<w:r><w:t xml:space="preserve">in recognition of the mathematical attainments of the Brahmans.</w:t></w:r>
</w:p>
<w:p>
<w:pPr><w:pStyle w:val="Normal"/></w:pPr>
<w:r><w:t xml:space="preserve">Hermann Hankel has pointed out the readiness with which the</w:t></w:r>
</w:p>
<w:p>
<w:pPr><w:pStyle w:val="Normal"/></w:pPr>
<w:r><w:t xml:space="preserve">Hindus passed from number to magnitude and vice versa.</w:t></w:r>
</w:p>
<w:p>
<w:pPr><w:pStyle w:val="Normal"/></w:pPr>
<w:r><w:t xml:space="preserve">Although this transition from the discontinuous to continuous</w:t></w:r>
</w:p>
<w:p>
<w:pPr><w:pStyle w:val="Normal"/></w:pPr>
<w:r><w:t xml:space="preserve">is not truly scientific, yet it materially augmented the</w:t></w:r>
</w:p>
<w:p>
<w:pPr><w:pStyle w:val="Normal"/></w:pPr>
<w:r><w:t xml:space="preserve">development of algebra, and Hankel affirms that if we</w:t></w:r>
</w:p>
<w:p>
<w:pPr><w:pStyle w:val="Normal"/></w:pPr>
<w:r><w:t xml:space="preserve">define algebra as the application of arithmetical operations</w:t></w:r>
</w:p>
<w:p>
<w:pPr><w:pStyle w:val="Normal"/></w:pPr>
<w:r><w:t xml:space="preserve">to both rational and irrational numbers or magnitudes,</w:t></w:r>
</w:p>
<w:p>
<w:pPr><w:pStyle w:val="Normal"/></w:pPr>
<w:r><w:t xml:space="preserve">then the Brahmans are the real inventors of algebra.</w:t></w:r>
</w:p>
<w:p>
<w:pPr><w:pStyle w:val="Normal"/></w:pPr>
<w:r><w:t xml:space="preserve">The integration of the scattered tribes of Arabia in the 7th</w:t></w:r>
</w:p>
<w:p>
<w:pPr><w:pStyle w:val="Normal"/></w:pPr>
<w:r><w:t xml:space="preserve">century by the stirring religious propaganda of Mahomet was</w:t></w:r>
</w:p>
<w:p>
<w:pPr><w:pStyle w:val="Normal"/></w:pPr>
<w:r><w:t xml:space="preserve">accompanied by a meteoric rise in the intellectual powers of</w:t></w:r>
</w:p>
<w:p>
<w:pPr><w:pStyle w:val="Normal"/></w:pPr>
<w:r><w:t xml:space="preserve">a hitherto obscure race.  The Arabs became the custodians of</w:t></w:r>
</w:p>
<w:p>
<w:pPr><w:pStyle w:val="Normal"/></w:pPr>
<w:r><w:t xml:space="preserve">Indian and Greek science, whilst Europe was rent by internal</w:t></w:r>
</w:p>
<w:p>
<w:pPr><w:pStyle w:val="Normal"/></w:pPr>
<w:r><w:t xml:space="preserve">dissensions.  Under the rule of the Abbasids, Bagdad became</w:t></w:r>
</w:p>
<w:p>
<w:pPr><w:pStyle w:val="Normal"/></w:pPr>
<w:r><w:t xml:space="preserve">the centre of scientific thought; physicians and astronomers</w:t></w:r>
</w:p>
<w:p>
<w:pPr><w:pStyle w:val="Normal"/></w:pPr>
<w:r><w:t xml:space="preserve">from India and Syria flocked to their court; Greek and Indian</w:t></w:r>
</w:p>
<w:p>
<w:pPr><w:pStyle w:val="Normal"/></w:pPr>
<w:r><w:t xml:space="preserve">manuscripts were translated (a work commenced by the Caliph</w:t></w:r>
</w:p>
<w:p>
<w:pPr><w:pStyle w:val="Normal"/></w:pPr>
<w:r><w:t xml:space="preserve">Mamun (813-833) and ably continued by his successors); and</w:t></w:r>
</w:p>
<w:p>
<w:pPr><w:pStyle w:val="Normal"/></w:pPr>
<w:r><w:t xml:space="preserve">in about a century the Arabs were placed in possession of</w:t></w:r>
</w:p>
<w:p>
<w:pPr><w:pStyle w:val="Normal"/></w:pPr>
<w:r><w:t xml:space="preserve">the vast stores of Greek and Indian learning.  Euclid&apos;s</w:t></w:r>
</w:p>
<w:p>
<w:pPr><w:pStyle w:val="Normal"/></w:pPr>
<w:r><w:t xml:space="preserve">Elements were first translated in the reign of Harun-al-Rashid</w:t></w:r>
</w:p>
<w:p>
<w:pPr><w:pStyle w:val="Normal"/></w:pPr>
<w:r><w:t xml:space="preserve">(786-809), and revised by the order of Mamun.  But these</w:t></w:r>
</w:p>
<w:p>
<w:pPr><w:pStyle w:val="Normal"/></w:pPr>
<w:r><w:t xml:space="preserve">translations Were regarded as imperfect, and it remained for</w:t></w:r>
</w:p>
<w:p>
<w:pPr><w:pStyle w:val="Normal"/></w:pPr>
<w:r><w:t xml:space="preserve">Tobit ben Korra (836-901) to produce a satisfactory edition.</w:t></w:r>
</w:p>
<w:p>
<w:pPr><w:pStyle w:val="Normal"/></w:pPr>
<w:r><w:t xml:space="preserve">Ptolemy&apos;s Almagest, the works of Apollonius, Archimedes,</w:t></w:r>
</w:p>
<w:p>
<w:pPr><w:pStyle w:val="Normal"/></w:pPr>
<w:r><w:t xml:space="preserve">Diophantus and portions of the Brahmasiddhanta, were also</w:t></w:r>
</w:p>
<w:p>
<w:pPr><w:pStyle w:val="Normal"/></w:pPr>
<w:r><w:t xml:space="preserve">translated.  The first notable Arabian mathematician was</w:t></w:r>
</w:p>
<w:p>
<w:pPr><w:pStyle w:val="Normal"/></w:pPr>
<w:r><w:t xml:space="preserve">Mahommed ben Musa al-Khwarizmi, who flourished in the reign of</w:t></w:r>
</w:p>
<w:p>
<w:pPr><w:pStyle w:val="Normal"/></w:pPr>
<w:r><w:t xml:space="preserve">Mamun.  His treatise on algebra and arithmetic (the latter part</w:t></w:r>
</w:p>
<w:p>
<w:pPr><w:pStyle w:val="Normal"/></w:pPr>
<w:r><w:t xml:space="preserve">of which is only extant in the form of a Latin translation,</w:t></w:r>
</w:p>
<w:p>
<w:pPr><w:pStyle w:val="Normal"/></w:pPr>
<w:r><w:t xml:space="preserve">discovered in 1857) contains nothing that was unknown to the</w:t></w:r>
</w:p>
<w:p>
<w:pPr><w:pStyle w:val="Normal"/></w:pPr>
<w:r><w:t xml:space="preserve">Greeks and Hindus; it exhibits methods allied to those of both</w:t></w:r>
</w:p>
<w:p>
<w:pPr><w:pStyle w:val="Normal"/></w:pPr>
<w:r><w:t xml:space="preserve">races, with the Greek element predominating.  The part devoted</w:t></w:r>
</w:p>
<w:p>
<w:pPr><w:pStyle w:val="Normal"/></w:pPr>
<w:r><w:t xml:space="preserve">to algebra has the title al-jeur wa&apos;lmuqabala, and the</w:t></w:r>
</w:p>
<w:p>
<w:pPr><w:pStyle w:val="Normal"/></w:pPr>
<w:r><w:t xml:space="preserve">arithmetic begins with ``Spoken has Algoritmi,&apos;&apos; the name</w:t></w:r>
</w:p>
<w:p>
<w:pPr><w:pStyle w:val="Normal"/></w:pPr>
<w:r><w:t xml:space="preserve">Khwarizmi or Hovarezmi having passed into the word Algoritmi,</w:t></w:r>
</w:p>
<w:p>
<w:pPr><w:pStyle w:val="Normal"/></w:pPr>
<w:r><w:t xml:space="preserve">which has been further transformed into the more modern words</w:t></w:r>
</w:p>
<w:p>
<w:pPr><w:pStyle w:val="Normal"/></w:pPr>
<w:r><w:t xml:space="preserve">algorism and algorithm, signifying a method of computing.</w:t></w:r>
</w:p>
<w:p>
<w:pPr><w:pStyle w:val="Normal"/></w:pPr>
<w:r><w:t xml:space="preserve">Tobit ben Korra (836-901), born at Harran in Mesopotamia, an</w:t></w:r>
</w:p>
<w:p>
<w:pPr><w:pStyle w:val="Normal"/></w:pPr>
<w:r><w:t xml:space="preserve">accomplished linguist, mathematician and astronomer, rendered</w:t></w:r>
</w:p>
<w:p>
<w:pPr><w:pStyle w:val="Normal"/></w:pPr>
<w:r><w:t xml:space="preserve">conspicuous Service by his translations of various Greek</w:t></w:r>
</w:p>
<w:p>
<w:pPr><w:pStyle w:val="Normal"/></w:pPr>
<w:r><w:t xml:space="preserve">authors.  His investigation of the properties of amicable</w:t></w:r>
</w:p>
<w:p>
<w:pPr><w:pStyle w:val="Normal"/></w:pPr>
<w:r><w:t xml:space="preserve">numbers (q.v.) and of the problem of trisecting an angle,</w:t></w:r>
</w:p>
<w:p>
<w:pPr><w:pStyle w:val="Normal"/></w:pPr>
<w:r><w:t xml:space="preserve">are of importance.  The Arabians more closely resembled</w:t></w:r>
</w:p>
<w:p>
<w:pPr><w:pStyle w:val="Normal"/></w:pPr>
<w:r><w:t xml:space="preserve">the Hindus than the Greeks in the choice of studies; their</w:t></w:r>
</w:p>
<w:p>
<w:pPr><w:pStyle w:val="Normal"/></w:pPr>
<w:r><w:t xml:space="preserve">philosophers blended speculative dissertations with the</w:t></w:r>
</w:p>
<w:p>
<w:pPr><w:pStyle w:val="Normal"/></w:pPr>
<w:r><w:t xml:space="preserve">more progressive study of medicine; their mathematicians</w:t></w:r>
</w:p>
<w:p>
<w:pPr><w:pStyle w:val="Normal"/></w:pPr>
<w:r><w:t xml:space="preserve">neglected the subtleties of the conic sections and Diophantine</w:t></w:r>
</w:p>
<w:p>
<w:pPr><w:pStyle w:val="Normal"/></w:pPr>
<w:r><w:t xml:space="preserve">analysis, and applied themselves more particularly to</w:t></w:r>
</w:p>
<w:p>
<w:pPr><w:pStyle w:val="Normal"/></w:pPr>
<w:r><w:t xml:space="preserve">perfect the system of numerals (see NUMERAL), arithmetic</w:t></w:r>
</w:p>
<w:p>
<w:pPr><w:pStyle w:val="Normal"/></w:pPr>
<w:r><w:t xml:space="preserve">and astronomy (q.v..) It thus came about that while some</w:t></w:r>
</w:p>
<w:p>
<w:pPr><w:pStyle w:val="Normal"/></w:pPr>
<w:r><w:t xml:space="preserve">progress was made in algebra, the talents of the race were</w:t></w:r>
</w:p>
<w:p>
<w:pPr><w:pStyle w:val="Normal"/></w:pPr>
<w:r><w:t xml:space="preserve">bestowed on astronomy and trigonometry (q.v..) Fahri des</w:t></w:r>
</w:p>
<w:p>
<w:pPr><w:pStyle w:val="Normal"/></w:pPr>
<w:r><w:t xml:space="preserve">al Karbi, who flourished about the beginning of the 11th</w:t></w:r>
</w:p>
<w:p>
<w:pPr><w:pStyle w:val="Normal"/></w:pPr>
<w:r><w:t xml:space="preserve">century, is the author of the most important Arabian work on</w:t></w:r>
</w:p>
<w:p>
<w:pPr><w:pStyle w:val="Normal"/></w:pPr>
<w:r><w:t xml:space="preserve">algebra.  He follows the methods of Diophantus; his work</w:t></w:r>
</w:p>
<w:p>
<w:pPr><w:pStyle w:val="Normal"/></w:pPr>
<w:r><w:t xml:space="preserve">on indeterminate equations has no resemblance to the Indian</w:t></w:r>
</w:p>
<w:p>
<w:pPr><w:pStyle w:val="Normal"/></w:pPr>
<w:r><w:t xml:space="preserve">methods, and contains nothing that cannot be gathered from</w:t></w:r>
</w:p>
<w:p>
<w:pPr><w:pStyle w:val="Normal"/></w:pPr>
<w:r><w:t xml:space="preserve">Diophantus.  He solved quadratic equations both geometrically and</w:t></w:r>
</w:p>
<w:p>
<w:pPr><w:pStyle w:val="Normal"/></w:pPr>
<w:r><w:t xml:space="preserve">algebraically, and also equations of the form x2n+axn+b=0;</w:t></w:r>
</w:p>
<w:p>
<w:pPr><w:pStyle w:val="Normal"/></w:pPr>
<w:r><w:t xml:space="preserve">he also proved certain relations between the sum of the first</w:t></w:r>
</w:p>
<w:p>
<w:pPr><w:pStyle w:val="Normal"/></w:pPr>
<w:r><w:t xml:space="preserve">n natural numbers, and the sums of their squares and cubes.</w:t></w:r>
</w:p>
<w:p>
<w:pPr><w:pStyle w:val="Normal"/></w:pPr>
<w:r><w:t xml:space="preserve">Cubic equations were solved geometrically by determining</w:t></w:r>
</w:p>
<w:p>
<w:pPr><w:pStyle w:val="Normal"/></w:pPr>
<w:r><w:t xml:space="preserve">the intersections of conic sections.  Archimedes&apos; problem</w:t></w:r>
</w:p>
<w:p>
<w:pPr><w:pStyle w:val="Normal"/></w:pPr>
<w:r><w:t xml:space="preserve">of dividing a sphere by a plane into two segments having a</w:t></w:r>
</w:p>
<w:p>
<w:pPr><w:pStyle w:val="Normal"/></w:pPr>
<w:r><w:t xml:space="preserve">prescribed ratio, was first expressed as a cubic equation by</w:t></w:r>
</w:p>
<w:p>
<w:pPr><w:pStyle w:val="Normal"/></w:pPr>
<w:r><w:t xml:space="preserve">Al Mahani, and the first solution was given by Abu Gafar al</w:t></w:r>
</w:p>
<w:p>
<w:pPr><w:pStyle w:val="Normal"/></w:pPr>
<w:r><w:t xml:space="preserve">Hazin.  The determination of the side of a regular heptagon</w:t></w:r>
</w:p>
<w:p>
<w:pPr><w:pStyle w:val="Normal"/></w:pPr>
<w:r><w:t xml:space="preserve">which can be inscribed or circumscribed to a given circle</w:t></w:r>
</w:p>
<w:p>
<w:pPr><w:pStyle w:val="Normal"/></w:pPr>
<w:r><w:t xml:space="preserve">was reduced to a more complicated equation which was first</w:t></w:r>
</w:p>
<w:p>
<w:pPr><w:pStyle w:val="Normal"/></w:pPr>
<w:r><w:t xml:space="preserve">successfully resolved by Abul Gud. The method of solving</w:t></w:r>
</w:p>
<w:p>
<w:pPr><w:pStyle w:val="Normal"/></w:pPr>
<w:r><w:t xml:space="preserve">equations geometrically was considerably developed by</w:t></w:r>
</w:p>
<w:p>
<w:pPr><w:pStyle w:val="Normal"/></w:pPr>
<w:r><w:t xml:space="preserve">Omar Khayyam of Khorassan, who flourished in the 11th</w:t></w:r>
</w:p>
<w:p>
<w:pPr><w:pStyle w:val="Normal"/></w:pPr>
<w:r><w:t xml:space="preserve">century.  This author questioned the possibility of solving</w:t></w:r>
</w:p>
<w:p>
<w:pPr><w:pStyle w:val="Normal"/></w:pPr>
<w:r><w:t xml:space="preserve">cubics by pure algebra, and biquadratics by geometry.  His</w:t></w:r>
</w:p>
<w:p>
<w:pPr><w:pStyle w:val="Normal"/></w:pPr>
<w:r><w:t xml:space="preserve">first contention was not disproved until the 15th century,</w:t></w:r>
</w:p>
<w:p>
<w:pPr><w:pStyle w:val="Normal"/></w:pPr>
<w:r><w:t xml:space="preserve">but his second was disposed of by Abul Weta (940-908), who</w:t></w:r>
</w:p>
<w:p>
<w:pPr><w:pStyle w:val="Normal"/></w:pPr>
<w:r><w:t xml:space="preserve">succeeded in solving the forms x4=a and x4+ax3=b.</w:t></w:r>
</w:p>
<w:p>
<w:pPr><w:pStyle w:val="Normal"/></w:pPr>
<w:r><w:t xml:space="preserve">Although the foundations of the geometrical resolution of cubic</w:t></w:r>
</w:p>
<w:p>
<w:pPr><w:pStyle w:val="Normal"/></w:pPr>
<w:r><w:t xml:space="preserve">equations are to be ascribed to the Greeks (for Eutocius assigns</w:t></w:r>
</w:p>
<w:p>
<w:pPr><w:pStyle w:val="Normal"/></w:pPr>
<w:r><w:t xml:space="preserve">to Menaechmus two methods of solving the equation x3=a</w:t></w:r>
</w:p>
<w:p>
<w:pPr><w:pStyle w:val="Normal"/></w:pPr>
<w:r><w:t xml:space="preserve">and x3=2a3), yet the subsequent development by the Arabs</w:t></w:r>
</w:p>
<w:p>
<w:pPr><w:pStyle w:val="Normal"/></w:pPr>
<w:r><w:t xml:space="preserve">must be regarded as one of their most important achievements.</w:t></w:r>
</w:p>
<w:p>
<w:pPr><w:pStyle w:val="Normal"/></w:pPr>
<w:r><w:t xml:space="preserve">The Greeks had succeeded in solving an isolated example; the</w:t></w:r>
</w:p>
<w:p>
<w:pPr><w:pStyle w:val="Normal"/></w:pPr>
<w:r><w:t xml:space="preserve">Arabs accomplished the general solution of numerical equations.</w:t></w:r>
</w:p>
<w:p>
<w:pPr><w:pStyle w:val="Normal"/></w:pPr>
<w:r><w:t xml:space="preserve">Considerable attention has been directed to the different</w:t></w:r>
</w:p>
<w:p>
<w:pPr><w:pStyle w:val="Normal"/></w:pPr>
<w:r><w:t xml:space="preserve">styles in which the Arabian authors have treated their</w:t></w:r>
</w:p>
<w:p>
<w:pPr><w:pStyle w:val="Normal"/></w:pPr>
<w:r><w:t xml:space="preserve">subject.  Moritz Cantor has suggested that at one time there</w:t></w:r>
</w:p>
<w:p>
<w:pPr><w:pStyle w:val="Normal"/></w:pPr>
<w:r><w:t xml:space="preserve">existed two schools, one in sympathy With the Greeks, the</w:t></w:r>
</w:p>
<w:p>
<w:pPr><w:pStyle w:val="Normal"/></w:pPr>
<w:r><w:t xml:space="preserve">other with the Hindus; and that, although the writings of the</w:t></w:r>
</w:p>
<w:p>
<w:pPr><w:pStyle w:val="Normal"/></w:pPr>
<w:r><w:t xml:space="preserve">latter were first studied, they were rapidly discarded for</w:t></w:r>
</w:p>
<w:p>
<w:pPr><w:pStyle w:val="Normal"/></w:pPr>
<w:r><w:t xml:space="preserve">the more perspicuous Grecian methods, so that, among the later</w:t></w:r>
</w:p>
<w:p>
<w:pPr><w:pStyle w:val="Normal"/></w:pPr>
<w:r><w:t xml:space="preserve">Arabian writers, the Indian methods were practically forgotten</w:t></w:r>
</w:p>
<w:p>
<w:pPr><w:pStyle w:val="Normal"/></w:pPr>
<w:r><w:t xml:space="preserve">and their mathematics became essentially Greek in character.</w:t></w:r>
</w:p>
<w:p>
<w:pPr><w:pStyle w:val="Normal"/></w:pPr>
<w:r><w:t xml:space="preserve">Turning to the Arabs in the West we find the same enlightened</w:t></w:r>
</w:p>
<w:p>
<w:pPr><w:pStyle w:val="Normal"/></w:pPr>
<w:r><w:t xml:space="preserve">spirit; Cordova, the capital of the Moorish empire in</w:t></w:r>
</w:p>
<w:p>
<w:pPr><w:pStyle w:val="Normal"/></w:pPr>
<w:r><w:t xml:space="preserve">Spain, was as much a centre of learning as Bagdad.  The</w:t></w:r>
</w:p>
<w:p>
<w:pPr><w:pStyle w:val="Normal"/></w:pPr>
<w:r><w:t xml:space="preserve">earliest known Spanish mathematician is Al Madshritti (d.</w:t></w:r>
</w:p>
<w:p>
<w:pPr><w:pStyle w:val="Normal"/></w:pPr>
<w:r><w:t xml:space="preserve">1007), whose fame rests on a dissertation on amicable</w:t></w:r>
</w:p>
<w:p>
<w:pPr><w:pStyle w:val="Normal"/></w:pPr>
<w:r><w:t xml:space="preserve">numbers, and on the schools which were founded by his</w:t></w:r>
</w:p>
<w:p>
<w:pPr><w:pStyle w:val="Normal"/></w:pPr>
<w:r><w:t xml:space="preserve">pupils at Cordoya, Dama and Granada.  Gabir ben Allah of</w:t></w:r>
</w:p>
<w:p>
<w:pPr><w:pStyle w:val="Normal"/></w:pPr>
<w:r><w:t xml:space="preserve">Sevilla, commonly called Geber, was a celebrated astronomer</w:t></w:r>
</w:p>
<w:p>
<w:pPr><w:pStyle w:val="Normal"/></w:pPr>
<w:r><w:t xml:space="preserve">and apparently skilled in algebra, for it has been supposed</w:t></w:r>
</w:p>
<w:p>
<w:pPr><w:pStyle w:val="Normal"/></w:pPr>
<w:r><w:t xml:space="preserve">that the word ``algebra&apos;, is compounded from his name.</w:t></w:r>
</w:p>
<w:p>
<w:pPr><w:pStyle w:val="Normal"/></w:pPr>
<w:r><w:t xml:space="preserve">When the Moorish empire began to wane the brilliant</w:t></w:r>
</w:p>
<w:p>
<w:pPr><w:pStyle w:val="Normal"/></w:pPr>
<w:r><w:t xml:space="preserve">intellectual gifts which they had so abundantly nourished</w:t></w:r>
</w:p>
<w:p>
<w:pPr><w:pStyle w:val="Normal"/></w:pPr>
<w:r><w:t xml:space="preserve">during three or four centuries became enfeebled, and</w:t></w:r>
</w:p>
<w:p>
<w:pPr><w:pStyle w:val="Normal"/></w:pPr>
<w:r><w:t xml:space="preserve">after that period they failed to produce an author</w:t></w:r>
</w:p>
<w:p>
<w:pPr><w:pStyle w:val="Normal"/></w:pPr>
<w:r><w:t xml:space="preserve">comparable with those of the 7th to the 11th centuries.</w:t></w:r>
</w:p>
<w:p>
<w:pPr><w:pStyle w:val="Normal"/></w:pPr>
<w:r><w:t xml:space="preserve">In Europe the decline of Rome was succeeded by a period, lasting</w:t></w:r>
</w:p>
<w:p>
<w:pPr><w:pStyle w:val="Normal"/></w:pPr>
<w:r><w:t xml:space="preserve">several centuries, during which the sciences and arts were</w:t></w:r>
</w:p>
<w:p>
<w:pPr><w:pStyle w:val="Normal"/></w:pPr>
<w:r><w:t xml:space="preserve">all but neglected.  Political and ecclesiastical dissensions</w:t></w:r>
</w:p>
<w:p>
<w:pPr><w:pStyle w:val="Normal"/></w:pPr>
<w:r><w:t xml:space="preserve">occupied the greatest intellects, and the only progress to</w:t></w:r>
</w:p>
<w:p>
<w:pPr><w:pStyle w:val="Normal"/></w:pPr>
<w:r><w:t xml:space="preserve">be mcorded is in the art of computing or arithmetic, and</w:t></w:r>
</w:p>
<w:p>
<w:pPr><w:pStyle w:val="Normal"/></w:pPr>
<w:r><w:t xml:space="preserve">the translation of Arabic manuscripts.  The first successful</w:t></w:r>
</w:p>
<w:p>
<w:pPr><w:pStyle w:val="Normal"/></w:pPr>
<w:r><w:t xml:space="preserve">attempt to revive the study of algebra in Christendom was</w:t></w:r>
</w:p>
<w:p>
<w:pPr><w:pStyle w:val="Normal"/></w:pPr>
<w:r><w:t xml:space="preserve">due to Leonardo of Pisa. an Italian merchant trading in the</w:t></w:r>
</w:p>
<w:p>
<w:pPr><w:pStyle w:val="Normal"/></w:pPr>
<w:r><w:t xml:space="preserve">Mediterranean.  His travels and mercantile experience had</w:t></w:r>
</w:p>
<w:p>
<w:pPr><w:pStyle w:val="Normal"/></w:pPr>
<w:r><w:t xml:space="preserve">led him to conclude that the Hindu methods of computing,</w:t></w:r>
</w:p>
<w:p>
<w:pPr><w:pStyle w:val="Normal"/></w:pPr>
<w:r><w:t xml:space="preserve">were in advance of those then in general use, and in 1202 he</w:t></w:r>
</w:p>
<w:p>
<w:pPr><w:pStyle w:val="Normal"/></w:pPr>
<w:r><w:t xml:space="preserve">published his Liber Abaci, which treats of both algebra and</w:t></w:r>
</w:p>
<w:p>
<w:pPr><w:pStyle w:val="Normal"/></w:pPr>
<w:r><w:t xml:space="preserve">arithmetic.  In this work, which is of great historical</w:t></w:r>
</w:p>
<w:p>
<w:pPr><w:pStyle w:val="Normal"/></w:pPr>
<w:r><w:t xml:space="preserve">interest, since it was published about two centuries before the</w:t></w:r>
</w:p>
<w:p>
<w:pPr><w:pStyle w:val="Normal"/></w:pPr>
<w:r><w:t xml:space="preserve">art of printing was discovered, he adopts the Arabic notation</w:t></w:r>
</w:p>
<w:p>
<w:pPr><w:pStyle w:val="Normal"/></w:pPr>
<w:r><w:t xml:space="preserve">for nulnbers, and solves many problems, both arithmetical and</w:t></w:r>
</w:p>
<w:p>
<w:pPr><w:pStyle w:val="Normal"/></w:pPr>
<w:r><w:t xml:space="preserve">algebraical.  But it contains little that is original, and</w:t></w:r>
</w:p>
<w:p>
<w:pPr><w:pStyle w:val="Normal"/></w:pPr>
<w:r><w:t xml:space="preserve">although the work created a great sensation when it was first</w:t></w:r>
</w:p>
<w:p>
<w:pPr><w:pStyle w:val="Normal"/></w:pPr>
<w:r><w:t xml:space="preserve">published, the effect soon passed away, and the book was</w:t></w:r>
</w:p>
<w:p>
<w:pPr><w:pStyle w:val="Normal"/></w:pPr>
<w:r><w:t xml:space="preserve">practically forgotten.  Mathematics was more or less ousted</w:t></w:r>
</w:p>
<w:p>
<w:pPr><w:pStyle w:val="Normal"/></w:pPr>
<w:r><w:t xml:space="preserve">from the academic curricula by the philosophical inquiries</w:t></w:r>
</w:p>
<w:p>
<w:pPr><w:pStyle w:val="Normal"/></w:pPr>
<w:r><w:t xml:space="preserve">of the schoolmen, and it was only after an interval of</w:t></w:r>
</w:p>
<w:p>
<w:pPr><w:pStyle w:val="Normal"/></w:pPr>
<w:r><w:t xml:space="preserve">nearly three centuries that a worthy successor to Leonardo</w:t></w:r>
</w:p>
<w:p>
<w:pPr><w:pStyle w:val="Normal"/></w:pPr>
<w:r><w:t xml:space="preserve">appeared.  This was Lucas Paciolus (Lucas de Burgo), a Minorite</w:t></w:r>
</w:p>
<w:p>
<w:pPr><w:pStyle w:val="Normal"/></w:pPr>
<w:r><w:t xml:space="preserve">friar, who, having previously written works on algebra,</w:t></w:r>
</w:p>
<w:p>
<w:pPr><w:pStyle w:val="Normal"/></w:pPr>
<w:r><w:t xml:space="preserve">arithmetic and geometry, published, in 1494, his principal</w:t></w:r>
</w:p>
<w:p>
<w:pPr><w:pStyle w:val="Normal"/></w:pPr>
<w:r><w:t xml:space="preserve">work, entitled Summa de Arithmetica, Giometria, Proportioni</w:t></w:r>
</w:p>
<w:p>
<w:pPr><w:pStyle w:val="Normal"/></w:pPr>
<w:r><w:t xml:space="preserve">et Proportionalita. In it he mentions many earlier writers</w:t></w:r>
</w:p>
<w:p>
<w:pPr><w:pStyle w:val="Normal"/></w:pPr>
<w:r><w:t xml:space="preserve">from whom he had learnt the science, and although it contains</w:t></w:r>
</w:p>
<w:p>
<w:pPr><w:pStyle w:val="Normal"/></w:pPr>
<w:r><w:t xml:space="preserve">very little that cannot be found in Leonardo&apos;s work, yet it</w:t></w:r>
</w:p>
<w:p>
<w:pPr><w:pStyle w:val="Normal"/></w:pPr>
<w:r><w:t xml:space="preserve">is especially noteworthy for the systematic employment of</w:t></w:r>
</w:p>
<w:p>
<w:pPr><w:pStyle w:val="Normal"/></w:pPr>
<w:r><w:t xml:space="preserve">symbols, and the manner in which it reflects the state of</w:t></w:r>
</w:p>
<w:p>
<w:pPr><w:pStyle w:val="Normal"/></w:pPr>
<w:r><w:t xml:space="preserve">mathematics in Europe during this period.  These works are</w:t></w:r>
</w:p>
<w:p>
<w:pPr><w:pStyle w:val="Normal"/></w:pPr>
<w:r><w:t xml:space="preserve">the earliest printed books on mathematics.  The renaissance of</w:t></w:r>
</w:p>
<w:p>
<w:pPr><w:pStyle w:val="Normal"/></w:pPr>
<w:r><w:t xml:space="preserve">mathematics was thus effected in Italy, and it is to that country</w:t></w:r>
</w:p>
<w:p>
<w:pPr><w:pStyle w:val="Normal"/></w:pPr>
<w:r><w:t xml:space="preserve">that the leading developments of the following century were</w:t></w:r>
</w:p>
<w:p>
<w:pPr><w:pStyle w:val="Normal"/></w:pPr>
<w:r><w:t xml:space="preserve">due.  The first difficulty to be overcome was the algebraical</w:t></w:r>
</w:p>
<w:p>
<w:pPr><w:pStyle w:val="Normal"/></w:pPr>
<w:r><w:t xml:space="preserve">solution of cubic equations, the pons asinorum of the earlier</w:t></w:r>
</w:p>
<w:p>
<w:pPr><w:pStyle w:val="Normal"/></w:pPr>
<w:r><w:t xml:space="preserve">mathematicians.  The first step in this direction was made by</w:t></w:r>
</w:p>
<w:p>
<w:pPr><w:pStyle w:val="Normal"/></w:pPr>
<w:r><w:t xml:space="preserve">Scipio Ferro (d. 1526), who solved the equation x3+ax=b.</w:t></w:r>
</w:p>
<w:p>
<w:pPr><w:pStyle w:val="Normal"/></w:pPr>
<w:r><w:t xml:space="preserve">Of his discovery we know nothing except that he declared it</w:t></w:r>
</w:p>
<w:p>
<w:pPr><w:pStyle w:val="Normal"/></w:pPr>
<w:r><w:t xml:space="preserve">to his pupil Antonio Marie Floridas.  An imperfect solution of</w:t></w:r>
</w:p>
<w:p>
<w:pPr><w:pStyle w:val="Normal"/></w:pPr>
<w:r><w:t xml:space="preserve">the equation x3+px2=q was discovered by Nicholas Tartalea</w:t></w:r>
</w:p>
<w:p>
<w:pPr><w:pStyle w:val="Normal"/></w:pPr>
<w:r><w:t xml:space="preserve">(Tartaglia) in 1530, and his pride in this achievement led him</w:t></w:r>
</w:p>
<w:p>
<w:pPr><w:pStyle w:val="Normal"/></w:pPr>
<w:r><w:t xml:space="preserve">into conflict with Floridas, who proclaimed his own knowledge</w:t></w:r>
</w:p>
<w:p>
<w:pPr><w:pStyle w:val="Normal"/></w:pPr>
<w:r><w:t xml:space="preserve">of the form resolved by Ferro.  Mutual recriminations led</w:t></w:r>
</w:p>
<w:p>
<w:pPr><w:pStyle w:val="Normal"/></w:pPr>
<w:r><w:t xml:space="preserve">to a public discussion in 1535, when Tartalea completely</w:t></w:r>
</w:p>
<w:p>
<w:pPr><w:pStyle w:val="Normal"/></w:pPr>
<w:r><w:t xml:space="preserve">vindicated the general applicability of his methods and</w:t></w:r>
</w:p>
<w:p>
<w:pPr><w:pStyle w:val="Normal"/></w:pPr>
<w:r><w:t xml:space="preserve">exhibited the inefficiencies of that of Floridas.  This contest</w:t></w:r>
</w:p>
<w:p>
<w:pPr><w:pStyle w:val="Normal"/></w:pPr>
<w:r><w:t xml:space="preserve">over, Tartalea redoubled his attempts to generalize his</w:t></w:r>
</w:p>
<w:p>
<w:pPr><w:pStyle w:val="Normal"/></w:pPr>
<w:r><w:t xml:space="preserve">methods, and by 1541 he possessed the means for solving any</w:t></w:r>
</w:p>
<w:p>
<w:pPr><w:pStyle w:val="Normal"/></w:pPr>
<w:r><w:t xml:space="preserve">form of cubic equation.  His discoveries had made him famous</w:t></w:r>
</w:p>
<w:p>
<w:pPr><w:pStyle w:val="Normal"/></w:pPr>
<w:r><w:t xml:space="preserve">all over Italy, and he was earnestly solicited to publish</w:t></w:r>
</w:p>
<w:p>
<w:pPr><w:pStyle w:val="Normal"/></w:pPr>
<w:r><w:t xml:space="preserve">his methods; but he abstained from doing so, saying that he</w:t></w:r>
</w:p>
<w:p>
<w:pPr><w:pStyle w:val="Normal"/></w:pPr>
<w:r><w:t xml:space="preserve">intended to embody them in a treatise on algebra which he was</w:t></w:r>
</w:p>
<w:p>
<w:pPr><w:pStyle w:val="Normal"/></w:pPr>
<w:r><w:t xml:space="preserve">preparing.  At last he succumbed to the repeated requests of</w:t></w:r>
</w:p>
<w:p>
<w:pPr><w:pStyle w:val="Normal"/></w:pPr>
<w:r><w:t xml:space="preserve">Girolamo or Geronimo Cardano, who swore that he would regard</w:t></w:r>
</w:p>
<w:p>
<w:pPr><w:pStyle w:val="Normal"/></w:pPr>
<w:r><w:t xml:space="preserve">them as an inviolable secret.  Cardan or Cardano, who was</w:t></w:r>
</w:p>
<w:p>
<w:pPr><w:pStyle w:val="Normal"/></w:pPr>
<w:r><w:t xml:space="preserve">at that time writing his great work, the Ars Magna, could</w:t></w:r>
</w:p>
<w:p>
<w:pPr><w:pStyle w:val="Normal"/></w:pPr>
<w:r><w:t xml:space="preserve">not restrain the temptation of crowning his treatise with</w:t></w:r>
</w:p>
<w:p>
<w:pPr><w:pStyle w:val="Normal"/></w:pPr>
<w:r><w:t xml:space="preserve">such important discoveries, and in 1545 he broke his oath</w:t></w:r>
</w:p>
<w:p>
<w:pPr><w:pStyle w:val="Normal"/></w:pPr>
<w:r><w:t xml:space="preserve">and gave to the world Tartalea&apos;s rules for solving cubic</w:t></w:r>
</w:p>
<w:p>
<w:pPr><w:pStyle w:val="Normal"/></w:pPr>
<w:r><w:t xml:space="preserve">equations.  Tartalea, thus robbed of his most cherished</w:t></w:r>
</w:p>
<w:p>
<w:pPr><w:pStyle w:val="Normal"/></w:pPr>
<w:r><w:t xml:space="preserve">possession, was in despair.  Recriminations ensued until</w:t></w:r>
</w:p>
<w:p>
<w:pPr><w:pStyle w:val="Normal"/></w:pPr>
<w:r><w:t xml:space="preserve">his death in 1557, and although he sustained his claim for</w:t></w:r>
</w:p>
<w:p>
<w:pPr><w:pStyle w:val="Normal"/></w:pPr>
<w:r><w:t xml:space="preserve">priority, posterity has not conceded to him the honour of his</w:t></w:r>
</w:p>
<w:p>
<w:pPr><w:pStyle w:val="Normal"/></w:pPr>
<w:r><w:t xml:space="preserve">discovery, for his solution is now known as Cardan&apos;s Rule.</w:t></w:r>
</w:p>
<w:p>
<w:pPr><w:pStyle w:val="Normal"/></w:pPr>
<w:r><w:t xml:space="preserve">Cubic equations having been solved, biquadratics soon followed</w:t></w:r>
</w:p>
<w:p>
<w:pPr><w:pStyle w:val="Normal"/></w:pPr>
<w:r><w:t xml:space="preserve">suit.  As early as 1539 Cardan had solved certain particular</w:t></w:r>
</w:p>
<w:p>
<w:pPr><w:pStyle w:val="Normal"/></w:pPr>
<w:r><w:t xml:space="preserve">cases, but it remained for his pupil, Lewis (Ludovici) Ferrari,</w:t></w:r>
</w:p>
<w:p>
<w:pPr><w:pStyle w:val="Normal"/></w:pPr>
<w:r><w:t xml:space="preserve">to devise a general method.  His solution, which is sometimes</w:t></w:r>
</w:p>
<w:p>
<w:pPr><w:pStyle w:val="Normal"/></w:pPr>
<w:r><w:t xml:space="preserve">erroneously ascribed to Rafael Bombelh, was published in the</w:t></w:r>
</w:p>
<w:p>
<w:pPr><w:pStyle w:val="Normal"/></w:pPr>
<w:r><w:t xml:space="preserve">Ars Magna. In this work, which is one of the most valuable</w:t></w:r>
</w:p>
<w:p>
<w:pPr><w:pStyle w:val="Normal"/></w:pPr>
<w:r><w:t xml:space="preserve">contributions to the literature of algebra, Cardan shows</w:t></w:r>
</w:p>
<w:p>
<w:pPr><w:pStyle w:val="Normal"/></w:pPr>
<w:r><w:t xml:space="preserve">that he was familiar with both real positive and negative</w:t></w:r>
</w:p>
<w:p>
<w:pPr><w:pStyle w:val="Normal"/></w:pPr>
<w:r><w:t xml:space="preserve">roots of equations whelher rational or irrational, but of</w:t></w:r>
</w:p>
<w:p>
<w:pPr><w:pStyle w:val="Normal"/></w:pPr>
<w:r><w:t xml:space="preserve">imaginary roots he was quite ignorant, and he admits his</w:t></w:r>
</w:p>
<w:p>
<w:pPr><w:pStyle w:val="Normal"/></w:pPr>
<w:r><w:t xml:space="preserve">inability to resolve the so-called ``irreducible case&apos;&apos; (see</w:t></w:r>
</w:p>
<w:p>
<w:pPr><w:pStyle w:val="Normal"/></w:pPr>
<w:r><w:t xml:space="preserve">EQUATION.) Fundamental theorems in the theory of equations</w:t></w:r>
</w:p>
<w:p>
<w:pPr><w:pStyle w:val="Normal"/></w:pPr>
<w:r><w:t xml:space="preserve">are to be found in the same work.  Clearer ideas of imaginary</w:t></w:r>
</w:p>
<w:p>
<w:pPr><w:pStyle w:val="Normal"/></w:pPr>
<w:r><w:t xml:space="preserve">quantities and the ``irreducible case&apos;&apos; were subsequently</w:t></w:r>
</w:p>
<w:p>
<w:pPr><w:pStyle w:val="Normal"/></w:pPr>
<w:r><w:t xml:space="preserve">published by Bombelli, in a work of which the dedication is</w:t></w:r>
</w:p>
<w:p>
<w:pPr><w:pStyle w:val="Normal"/></w:pPr>
<w:r><w:t xml:space="preserve">dated 1572, though the book was not published until 1579.</w:t></w:r>
</w:p>
<w:p>
<w:pPr><w:pStyle w:val="Normal"/></w:pPr>
<w:r><w:t xml:space="preserve">Contemporaneously with the remarkable discoveries of the</w:t></w:r>
</w:p>
<w:p>
<w:pPr><w:pStyle w:val="Normal"/></w:pPr>
<w:r><w:t xml:space="preserve">Italian mathematicians, algebra was increasing in popularity</w:t></w:r>
</w:p>
<w:p>
<w:pPr><w:pStyle w:val="Normal"/></w:pPr>
<w:r><w:t xml:space="preserve">in Germany, France and England.  Michael Stifel and Johann</w:t></w:r>
</w:p>
<w:p>
<w:pPr><w:pStyle w:val="Normal"/></w:pPr>
<w:r><w:t xml:space="preserve">Scheubelius (Scheybl) (1494-1570) flourished in Germany, and</w:t></w:r>
</w:p>
<w:p>
<w:pPr><w:pStyle w:val="Normal"/></w:pPr>
<w:r><w:t xml:space="preserve">although unacquainted with the work of Cardan and Tartalea,</w:t></w:r>
</w:p>
<w:p>
<w:pPr><w:pStyle w:val="Normal"/></w:pPr>
<w:r><w:t xml:space="preserve">their writings are noteworthy for their perspicuity and the</w:t></w:r>
</w:p>
<w:p>
<w:pPr><w:pStyle w:val="Normal"/></w:pPr>
<w:r><w:t xml:space="preserve">introduction of a more complete symbolism for quantities and</w:t></w:r>
</w:p>
<w:p>
<w:pPr><w:pStyle w:val="Normal"/></w:pPr>
<w:r><w:t xml:space="preserve">operations.  Stifel introduced the sign (+) for addition or</w:t></w:r>
</w:p>
<w:p>
<w:pPr><w:pStyle w:val="Normal"/></w:pPr>
<w:r><w:t xml:space="preserve">a positive quantity, which was previously denoted by plus,</w:t></w:r>
</w:p>
<w:p>
<w:pPr><w:pStyle w:val="Normal"/></w:pPr>
<w:r><w:t xml:space="preserve">piu, or the letter p. Subtraction, previously written as</w:t></w:r>
</w:p>
<w:p>
<w:pPr><w:pStyle w:val="Normal"/></w:pPr>
<w:r><w:t xml:space="preserve">minus, mone or the letter m, was symbolized by the sign</w:t></w:r>
</w:p>
<w:p>
<w:pPr><w:pStyle w:val="Normal"/></w:pPr>
<w:r><w:t xml:space="preserve">(-) which is still in use.  The square root he denoted by</w:t></w:r>
</w:p>
<w:p>
<w:pPr><w:pStyle w:val="Normal"/></w:pPr>
<w:r><w:t xml:space="preserve">(sqrt. ), whereas Paciolus, Cardan and others used the letter R.</w:t></w:r>
</w:p>
<w:p>
<w:pPr><w:pStyle w:val="Normal"/></w:pPr>
<w:r><w:t xml:space="preserve">The first treatise on algebra written in English was by</w:t></w:r>
</w:p>
<w:p>
<w:pPr><w:pStyle w:val="Normal"/></w:pPr>
<w:r><w:t xml:space="preserve">Robert Recorde, who published his arithmetic in 1552, and</w:t></w:r>
</w:p>
<w:p>
<w:pPr><w:pStyle w:val="Normal"/></w:pPr>
<w:r><w:t xml:space="preserve">his algebra entitled The Whetstone of Witte, which is the</w:t></w:r>
</w:p>
<w:p>
<w:pPr><w:pStyle w:val="Normal"/></w:pPr>
<w:r><w:t xml:space="preserve">second part of Arithmetik, in 1557.  This work, which is</w:t></w:r>
</w:p>
<w:p>
<w:pPr><w:pStyle w:val="Normal"/></w:pPr>
<w:r><w:t xml:space="preserve">written in the form of a dialogue, closely resembles the</w:t></w:r>
</w:p>
<w:p>
<w:pPr><w:pStyle w:val="Normal"/></w:pPr>
<w:r><w:t xml:space="preserve">works of Stifel and Scheubelius, the latter of whom he often</w:t></w:r>
</w:p>
<w:p>
<w:pPr><w:pStyle w:val="Normal"/></w:pPr>
<w:r><w:t xml:space="preserve">quotes.  It includes the properties of numbers; extraction of</w:t></w:r>
</w:p>
<w:p>
<w:pPr><w:pStyle w:val="Normal"/></w:pPr>
<w:r><w:t xml:space="preserve">roots of arithmetical and algebraical quantities, solutions of</w:t></w:r>
</w:p>
<w:p>
<w:pPr><w:pStyle w:val="Normal"/></w:pPr>
<w:r><w:t xml:space="preserve">simple and quadratic equations, and a fairly complete account of</w:t></w:r>
</w:p>
<w:p>
<w:pPr><w:pStyle w:val="Normal"/></w:pPr>
<w:r><w:t xml:space="preserve">surds.  He introduced the sign (=) for equality, and the terms</w:t></w:r>
</w:p>
<w:p>
<w:pPr><w:pStyle w:val="Normal"/></w:pPr>
<w:r><w:t xml:space="preserve">binomial and residual. Of other writers who published</w:t></w:r>
</w:p>
<w:p>
<w:pPr><w:pStyle w:val="Normal"/></w:pPr>
<w:r><w:t xml:space="preserve">works about the end of the 16th century, we may mention Jacques</w:t></w:r>
</w:p>
<w:p>
<w:pPr><w:pStyle w:val="Normal"/></w:pPr>
<w:r><w:t xml:space="preserve">Peletier, or Jacobus Peletarius (De occulta parto Numerorum,</w:t></w:r>
</w:p>
<w:p>
<w:pPr><w:pStyle w:val="Normal"/></w:pPr>
<w:r><w:t xml:space="preserve">quare Algebram vocant, 1558); Petrus Ramus (Arithmeticae</w:t></w:r>
</w:p>
<w:p>
<w:pPr><w:pStyle w:val="Normal"/></w:pPr>
<w:r><w:t xml:space="preserve">Libri duo et totidem Algebrae, 1560), and Christoph Clavius,</w:t></w:r>
</w:p>
<w:p>
<w:pPr><w:pStyle w:val="Normal"/></w:pPr>
<w:r><w:t xml:space="preserve">who wrote on algebra in 1580, though it was not published until</w:t></w:r>
</w:p>
<w:p>
<w:pPr><w:pStyle w:val="Normal"/></w:pPr>
<w:r><w:t xml:space="preserve">1608.  At this time also flourished Simon Stevinus (Stevin) of</w:t></w:r>
</w:p>
<w:p>
<w:pPr><w:pStyle w:val="Normal"/></w:pPr>
<w:r><w:t xml:space="preserve">Bruges, who published an arithmetic in 1585 and an algebra</w:t></w:r>
</w:p>
<w:p>
<w:pPr><w:pStyle w:val="Normal"/></w:pPr>
<w:r><w:t xml:space="preserve">shortly afterwards.  These works possess considerable</w:t></w:r>
</w:p>
<w:p>
<w:pPr><w:pStyle w:val="Normal"/></w:pPr>
<w:r><w:t xml:space="preserve">originality, and contain many new improvements in algebraic</w:t></w:r>
</w:p>
<w:p>
<w:pPr><w:pStyle w:val="Normal"/></w:pPr>
<w:r><w:t xml:space="preserve">notation; the unknown (res) is denoted by a small circle,</w:t></w:r>
</w:p>
<w:p>
<w:pPr><w:pStyle w:val="Normal"/></w:pPr>
<w:r><w:t xml:space="preserve">in which he places an integer corresponding to the power.  He</w:t></w:r>
</w:p>
<w:p>
<w:pPr><w:pStyle w:val="Normal"/></w:pPr>
<w:r><w:t xml:space="preserve">introduced the terms multinomial, trinomial, quadrinomial,</w:t></w:r>
</w:p>
<w:p>
<w:pPr><w:pStyle w:val="Normal"/></w:pPr>
<w:r><w:t xml:space="preserve">&amp;c., and considerably simplified the notation for decimals.</w:t></w:r>
</w:p>
<w:p>
<w:pPr><w:pStyle w:val="Normal"/></w:pPr>
<w:r><w:t xml:space="preserve">About the beginning of the 17th century various mathematical</w:t></w:r>
</w:p>
<w:p>
<w:pPr><w:pStyle w:val="Normal"/></w:pPr>
<w:r><w:t xml:space="preserve">works by Franciscus Vieta were published, which were afterwards</w:t></w:r>
</w:p>
<w:p>
<w:pPr><w:pStyle w:val="Normal"/></w:pPr>
<w:r><w:t xml:space="preserve">collected by Franz van Schooten and republished in 1646 at</w:t></w:r>
</w:p>
<w:p>
<w:pPr><w:pStyle w:val="Normal"/></w:pPr>
<w:r><w:t xml:space="preserve">Leiden.  These works exhibit great originality and mark an</w:t></w:r>
</w:p>
<w:p>
<w:pPr><w:pStyle w:val="Normal"/></w:pPr>
<w:r><w:t xml:space="preserve">important epoch in the history of algebra.  Vieta, who does</w:t></w:r>
</w:p>
<w:p>
<w:pPr><w:pStyle w:val="Normal"/></w:pPr>
<w:r><w:t xml:space="preserve">not avail himself of the discoveries of his predecessors--the</w:t></w:r>
</w:p>
<w:p>
<w:pPr><w:pStyle w:val="Normal"/></w:pPr>
<w:r><w:t xml:space="preserve">negative roots of Cardan, the revised notation of Stifel</w:t></w:r>
</w:p>
<w:p>
<w:pPr><w:pStyle w:val="Normal"/></w:pPr>
<w:r><w:t xml:space="preserve">and Stevin, &amp;c.--introduced or popularized many new terms</w:t></w:r>
</w:p>
<w:p>
<w:pPr><w:pStyle w:val="Normal"/></w:pPr>
<w:r><w:t xml:space="preserve">and symbols, some of which are still in use.  He denotes</w:t></w:r>
</w:p>
<w:p>
<w:pPr><w:pStyle w:val="Normal"/></w:pPr>
<w:r><w:t xml:space="preserve">quantities by the letters of the alphabet, retaining the</w:t></w:r>
</w:p>
<w:p>
<w:pPr><w:pStyle w:val="Normal"/></w:pPr>
<w:r><w:t xml:space="preserve">vowels for the unknown and the consonants for the knowns;</w:t></w:r>
</w:p>
<w:p>
<w:pPr><w:pStyle w:val="Normal"/></w:pPr>
<w:r><w:t xml:space="preserve">he introduced the vinculum and among others the terms</w:t></w:r>
</w:p>
<w:p>
<w:pPr><w:pStyle w:val="Normal"/></w:pPr>
<w:r><w:t xml:space="preserve">coefficient, affirmative, negative, pure and adjected</w:t></w:r>
</w:p>
<w:p>
<w:pPr><w:pStyle w:val="Normal"/></w:pPr>
<w:r><w:t xml:space="preserve">equations.  He improved the methods for solving equations, and</w:t></w:r>
</w:p>
<w:p>
<w:pPr><w:pStyle w:val="Normal"/></w:pPr>
<w:r><w:t xml:space="preserve">devised geometrical constructions with the aid of the conic</w:t></w:r>
</w:p>
<w:p>
<w:pPr><w:pStyle w:val="Normal"/></w:pPr>
<w:r><w:t xml:space="preserve">sections.  His method for determining approximate values</w:t></w:r>
</w:p>
<w:p>
<w:pPr><w:pStyle w:val="Normal"/></w:pPr>
<w:r><w:t xml:space="preserve">of the roots of equations is far in advance of the Hindu</w:t></w:r>
</w:p>
<w:p>
<w:pPr><w:pStyle w:val="Normal"/></w:pPr>
<w:r><w:t xml:space="preserve">method as applied by Cardan, and is identical in principle</w:t></w:r>
</w:p>
<w:p>
<w:pPr><w:pStyle w:val="Normal"/></w:pPr>
<w:r><w:t xml:space="preserve">with the methods of Sir Isaac Newton and W. G. Horner.</w:t></w:r>
</w:p>
<w:p>
<w:pPr><w:pStyle w:val="Normal"/></w:pPr>
<w:r><w:t xml:space="preserve">We have next to consider the works of Albert Girard, a Flemish</w:t></w:r>
</w:p>
<w:p>
<w:pPr><w:pStyle w:val="Normal"/></w:pPr>
<w:r><w:t xml:space="preserve">mathematician.  This writer, after having published an edition</w:t></w:r>
</w:p>
<w:p>
<w:pPr><w:pStyle w:val="Normal"/></w:pPr>
<w:r><w:t xml:space="preserve">of Stevin&apos;s works in 1625, published in 1629 at Amsterdam a</w:t></w:r>
</w:p>
<w:p>
<w:pPr><w:pStyle w:val="Normal"/></w:pPr>
<w:r><w:t xml:space="preserve">small tract on algebra which shows a considerable advance on</w:t></w:r>
</w:p>
<w:p>
<w:pPr><w:pStyle w:val="Normal"/></w:pPr>
<w:r><w:t xml:space="preserve">the work of Vieta.  Girard is inconsistent in his notation,</w:t></w:r>
</w:p>
<w:p>
<w:pPr><w:pStyle w:val="Normal"/></w:pPr>
<w:r><w:t xml:space="preserve">sometimes following Vieta, sometimes Stevin; he introduced the</w:t></w:r>
</w:p>
<w:p>
<w:pPr><w:pStyle w:val="Normal"/></w:pPr>
<w:r><w:t xml:space="preserve">new symbols ff. for greater than and sec.  for less than; he</w:t></w:r>
</w:p>
<w:p>
<w:pPr><w:pStyle w:val="Normal"/></w:pPr>
<w:r><w:t xml:space="preserve">follows Vieta in using the plus (+) for addition, he denotes</w:t></w:r>
</w:p>
<w:p>
<w:pPr><w:pStyle w:val="Normal"/></w:pPr>
<w:r><w:t xml:space="preserve">subtraction by Recorde&apos;s symbol for equality (=), and he had</w:t></w:r>
</w:p>
<w:p>
<w:pPr><w:pStyle w:val="Normal"/></w:pPr>
<w:r><w:t xml:space="preserve">no sign for equality but wrote the word out.  He possessed</w:t></w:r>
</w:p>
<w:p>
<w:pPr><w:pStyle w:val="Normal"/></w:pPr>
<w:r><w:t xml:space="preserve">clear ideas of indices and the generation of powers, of the</w:t></w:r>
</w:p>
<w:p>
<w:pPr><w:pStyle w:val="Normal"/></w:pPr>
<w:r><w:t xml:space="preserve">negative roots of equations and their geometrical interpretation,</w:t></w:r>
</w:p>
<w:p>
<w:pPr><w:pStyle w:val="Normal"/></w:pPr>
<w:r><w:t xml:space="preserve">and was the first to use the term imaginary roots. He also</w:t></w:r>
</w:p>
<w:p>
<w:pPr><w:pStyle w:val="Normal"/></w:pPr>
<w:r><w:t xml:space="preserve">discovered how to sum the powers of the roots of an equation.</w:t></w:r>
</w:p>
<w:p>
<w:pPr><w:pStyle w:val="Normal"/></w:pPr>
<w:r><w:t xml:space="preserve">Passing over the invention of logarithms (q.v.) by John</w:t></w:r>
</w:p>
<w:p>
<w:pPr><w:pStyle w:val="Normal"/></w:pPr>
<w:r><w:t xml:space="preserve">Napier, and their development by Henry Briggs and others, the</w:t></w:r>
</w:p>
<w:p>
<w:pPr><w:pStyle w:val="Normal"/></w:pPr>
<w:r><w:t xml:space="preserve">next author of moment was an Englishman, Thomas Harriot, whose</w:t></w:r>
</w:p>
<w:p>
<w:pPr><w:pStyle w:val="Normal"/></w:pPr>
<w:r><w:t xml:space="preserve">algebra (Artis analyticae praxis) was published posthumously</w:t></w:r>
</w:p>
<w:p>
<w:pPr><w:pStyle w:val="Normal"/></w:pPr>
<w:r><w:t xml:space="preserve">by Walter Warner in 1631.  Its great merit consists in the</w:t></w:r>
</w:p>
<w:p>
<w:pPr><w:pStyle w:val="Normal"/></w:pPr>
<w:r><w:t xml:space="preserve">complete notation and symbolism, which avoided the cumbersome</w:t></w:r>
</w:p>
<w:p>
<w:pPr><w:pStyle w:val="Normal"/></w:pPr>
<w:r><w:t xml:space="preserve">expressions of the earlier algebraists, and reduced the art</w:t></w:r>
</w:p>
<w:p>
<w:pPr><w:pStyle w:val="Normal"/></w:pPr>
<w:r><w:t xml:space="preserve">to a form closely resembling that of to-day.  He follows</w:t></w:r>
</w:p>
<w:p>
<w:pPr><w:pStyle w:val="Normal"/></w:pPr>
<w:r><w:t xml:space="preserve">Vieta in assigning the vowels to the unknown quantities and</w:t></w:r>
</w:p>
<w:p>
<w:pPr><w:pStyle w:val="Normal"/></w:pPr>
<w:r><w:t xml:space="preserve">the consonants to the knowns, but instead of using capitals,</w:t></w:r>
</w:p>
<w:p>
<w:pPr><w:pStyle w:val="Normal"/></w:pPr>
<w:r><w:t xml:space="preserve">as with Vieta, he employed the small letters; equality he</w:t></w:r>
</w:p>
<w:p>
<w:pPr><w:pStyle w:val="Normal"/></w:pPr>
<w:r><w:t xml:space="preserve">denoted by Recorde&apos;s symbol, and he introduced the signs</w:t></w:r>
</w:p>
<w:p>
<w:pPr><w:pStyle w:val="Normal"/></w:pPr>
<w:r><w:t xml:space="preserve">&gt; and &lt; for greater than and less than. His principal</w:t></w:r>
</w:p>
<w:p>
<w:pPr><w:pStyle w:val="Normal"/></w:pPr>
<w:r><w:t xml:space="preserve">discovery is concerned with equations, which he showed to be</w:t></w:r>
</w:p>
<w:p>
<w:pPr><w:pStyle w:val="Normal"/></w:pPr>
<w:r><w:t xml:space="preserve">derived from the continued multiplication of as many simple</w:t></w:r>
</w:p>
<w:p>
<w:pPr><w:pStyle w:val="Normal"/></w:pPr>
<w:r><w:t xml:space="preserve">factors as the highest power of the unknown, and he was thus</w:t></w:r>
</w:p>
<w:p>
<w:pPr><w:pStyle w:val="Normal"/></w:pPr>
<w:r><w:t xml:space="preserve">enabled to deduce relations between the coefficients and</w:t></w:r>
</w:p>
<w:p>
<w:pPr><w:pStyle w:val="Normal"/></w:pPr>
<w:r><w:t xml:space="preserve">various functions of the roots.  Mention may also be made</w:t></w:r>
</w:p>
<w:p>
<w:pPr><w:pStyle w:val="Normal"/></w:pPr>
<w:r><w:t xml:space="preserve">of his chapter on inequalities, in which he proves that the</w:t></w:r>
</w:p>
<w:p>
<w:pPr><w:pStyle w:val="Normal"/></w:pPr>
<w:r><w:t xml:space="preserve">arithmetic mean is always greater than the geometric mean.</w:t></w:r>
</w:p>
<w:p>
<w:pPr><w:pStyle w:val="Normal"/></w:pPr>
<w:r><w:t xml:space="preserve">William Oughtred, a contemporary of Harriot, published an</w:t></w:r>
</w:p>
<w:p>
<w:pPr><w:pStyle w:val="Normal"/></w:pPr>
<w:r><w:t xml:space="preserve">algebra, Clavis mathematicae, simultaneously with Harriot&apos;s</w:t></w:r>
</w:p>
<w:p>
<w:pPr><w:pStyle w:val="Normal"/></w:pPr>
<w:r><w:t xml:space="preserve">treatise.  His notation is based on that of Vieta, but he</w:t></w:r>
</w:p>
<w:p>
<w:pPr><w:pStyle w:val="Normal"/></w:pPr>
<w:r><w:t xml:space="preserve">introduced the sign X for multiplication, @ for continued</w:t></w:r>
</w:p>
<w:p>
<w:pPr><w:pStyle w:val="Normal"/></w:pPr>
<w:r><w:t xml:space="preserve">proportion, :: for proportion, and denoted ratio by one</w:t></w:r>
</w:p>
<w:p>
<w:pPr><w:pStyle w:val="Normal"/></w:pPr>
<w:r><w:t xml:space="preserve">dot.  This last character has since been entirely restricted</w:t></w:r>
</w:p>
<w:p>
<w:pPr><w:pStyle w:val="Normal"/></w:pPr>
<w:r><w:t xml:space="preserve">to multiplication, and ratio is now denoted by two dots</w:t></w:r>
</w:p>
<w:p>
<w:pPr><w:pStyle w:val="Normal"/></w:pPr>
<w:r><w:t xml:space="preserve">(:). His symbols for greater than and less than (@ and</w:t></w:r>
</w:p>
<w:p>
<w:pPr><w:pStyle w:val="Normal"/></w:pPr>
<w:r><w:t xml:space="preserve">@) have been completely superseded by Harriot&apos;s signs`</w:t></w:r>
</w:p>
<w:p>
<w:pPr><w:pStyle w:val="Normal"/></w:pPr>
<w:r><w:t xml:space="preserve">So far the development of algebra and geometry had been</w:t></w:r>
</w:p>
<w:p>
<w:pPr><w:pStyle w:val="Normal"/></w:pPr>
<w:r><w:t xml:space="preserve">mutually independent, except for a few isolated applications</w:t></w:r>
</w:p>
<w:p>
<w:pPr><w:pStyle w:val="Normal"/></w:pPr>
<w:r><w:t xml:space="preserve">of geometrical constructions to the solution of algebraical</w:t></w:r>
</w:p>
<w:p>
<w:pPr><w:pStyle w:val="Normal"/></w:pPr>
<w:r><w:t xml:space="preserve">problems.  Certain minds had long suspected the advairages which</w:t></w:r>
</w:p>
<w:p>
<w:pPr><w:pStyle w:val="Normal"/></w:pPr>
<w:r><w:t xml:space="preserve">would accrue from the unrestricted application of algebra to</w:t></w:r>
</w:p>
<w:p>
<w:pPr><w:pStyle w:val="Normal"/></w:pPr>
<w:r><w:t xml:space="preserve">geometry, but it was not until the advent of the philosopher</w:t></w:r>
</w:p>
<w:p>
<w:pPr><w:pStyle w:val="Normal"/></w:pPr>
<w:r><w:t xml:space="preserve">Rene Descartes that the co-ordination was effected.  In his</w:t></w:r>
</w:p>
<w:p>
<w:pPr><w:pStyle w:val="Normal"/></w:pPr>
<w:r><w:t xml:space="preserve">famous Geometria (1637), which is really a treatise on the</w:t></w:r>
</w:p>
<w:p>
<w:pPr><w:pStyle w:val="Normal"/></w:pPr>
<w:r><w:t xml:space="preserve">algebraic representation of geometric theorems, he founded</w:t></w:r>
</w:p>
<w:p>
<w:pPr><w:pStyle w:val="Normal"/></w:pPr>
<w:r><w:t xml:space="preserve">the modern theory of analytical geometry (see GEOMETRY),</w:t></w:r>
</w:p>
<w:p>
<w:pPr><w:pStyle w:val="Normal"/></w:pPr>
<w:r><w:t xml:space="preserve">and at the same time he rendered signal service to algebra,</w:t></w:r>
</w:p>
<w:p>
<w:pPr><w:pStyle w:val="Normal"/></w:pPr>
<w:r><w:t xml:space="preserve">more especially in the theory of equations.  His notation is</w:t></w:r>
</w:p>
<w:p>
<w:pPr><w:pStyle w:val="Normal"/></w:pPr>
<w:r><w:t xml:space="preserve">based primarily on that of Harriot; but he differs from that</w:t></w:r>
</w:p>
<w:p>
<w:pPr><w:pStyle w:val="Normal"/></w:pPr>
<w:r><w:t xml:space="preserve">writer in retaining the first letters of the alphabet for</w:t></w:r>
</w:p>
<w:p>
<w:pPr><w:pStyle w:val="Normal"/></w:pPr>
<w:r><w:t xml:space="preserve">the known quantities and the final letters for the unknowns.</w:t></w:r>
</w:p>
<w:p>
<w:pPr><w:pStyle w:val="Normal"/></w:pPr>
<w:r><w:t xml:space="preserve">The 17th century is a famous epoch in the progress of science,</w:t></w:r>
</w:p>
<w:p>
<w:pPr><w:pStyle w:val="Normal"/></w:pPr>
<w:r><w:t xml:space="preserve">and the mathematics in no way lagged behind.  The discoveries</w:t></w:r>
</w:p>
<w:p>
<w:pPr><w:pStyle w:val="Normal"/></w:pPr>
<w:r><w:t xml:space="preserve">of Johann Kepler and Bonaventura Cavalieri were the foundation</w:t></w:r>
</w:p>
<w:p>
<w:pPr><w:pStyle w:val="Normal"/></w:pPr>
<w:r><w:t xml:space="preserve">upon which Sir Isaac Newton and Gottfried Wilhelm Leibnitz</w:t></w:r>
</w:p>
<w:p>
<w:pPr><w:pStyle w:val="Normal"/></w:pPr>
<w:r><w:t xml:space="preserve">erected that wonderful edifice, the Infinitesimal Calculus</w:t></w:r>
</w:p>
<w:p>
<w:pPr><w:pStyle w:val="Normal"/></w:pPr>
<w:r><w:t xml:space="preserve">(q.v..) Many new fields were opened up, but there was still</w:t></w:r>
</w:p>
<w:p>
<w:pPr><w:pStyle w:val="Normal"/></w:pPr>
<w:r><w:t xml:space="preserve">continual progress in pure algebra.  Continued fractions, one</w:t></w:r>
</w:p>
<w:p>
<w:pPr><w:pStyle w:val="Normal"/></w:pPr>
<w:r><w:t xml:space="preserve">of the earliest examples of which is Lord Brouncker&apos;s expression</w:t></w:r>
</w:p>
<w:p>
<w:pPr><w:pStyle w:val="Normal"/></w:pPr>
<w:r><w:t xml:space="preserve">for the ratio of the circumference to the diameter of a circle</w:t></w:r>
</w:p>
<w:p>
<w:pPr><w:pStyle w:val="Normal"/></w:pPr>
<w:r><w:t xml:space="preserve">(see CIRCLE), were elaborately discussed by John Wallis and</w:t></w:r>
</w:p>
<w:p>
<w:pPr><w:pStyle w:val="Normal"/></w:pPr>
<w:r><w:t xml:space="preserve">Leonhard Euler; the convergency of series treated by Newton,</w:t></w:r>
</w:p>
<w:p>
<w:pPr><w:pStyle w:val="Normal"/></w:pPr>
<w:r><w:t xml:space="preserve">Euler and the Bernoullis; the binomial theorem, due originally</w:t></w:r>
</w:p>
<w:p>
<w:pPr><w:pStyle w:val="Normal"/></w:pPr>
<w:r><w:t xml:space="preserve">to Newton and subsequently expanded by Euler and others, was</w:t></w:r>
</w:p>
<w:p>
<w:pPr><w:pStyle w:val="Normal"/></w:pPr>
<w:r><w:t xml:space="preserve">used by Joseph Louis Lagrange as the basis of his Calcul</w:t></w:r>
</w:p>
<w:p>
<w:pPr><w:pStyle w:val="Normal"/></w:pPr>
<w:r><w:t xml:space="preserve">des Fonctions. Diophantine problems were revived by Gaspar</w:t></w:r>
</w:p>
<w:p>
<w:pPr><w:pStyle w:val="Normal"/></w:pPr>
<w:r><w:t xml:space="preserve">Bachet, Pierre Fermat and Euler; the modern theory of numbers</w:t></w:r>
</w:p>
<w:p>
<w:pPr><w:pStyle w:val="Normal"/></w:pPr>
<w:r><w:t xml:space="preserve">was founded by Fermat and developed by Euler, Lagrange and</w:t></w:r>
</w:p>
<w:p>
<w:pPr><w:pStyle w:val="Normal"/></w:pPr>
<w:r><w:t xml:space="preserve">others; and the theory of probability was attacked by Blaise</w:t></w:r>
</w:p>
<w:p>
<w:pPr><w:pStyle w:val="Normal"/></w:pPr>
<w:r><w:t xml:space="preserve">Pascal and Fermat, their work being subsequently expanded by</w:t></w:r>
</w:p>
<w:p>
<w:pPr><w:pStyle w:val="Normal"/></w:pPr>
<w:r><w:t xml:space="preserve">James Bernoulli, Abraham de Moivre, Pierre Simon Laplace and</w:t></w:r>
</w:p>
<w:p>
<w:pPr><w:pStyle w:val="Normal"/></w:pPr>
<w:r><w:t xml:space="preserve">others.  The germs of the theory of determinants are to be</w:t></w:r>
</w:p>
<w:p>
<w:pPr><w:pStyle w:val="Normal"/></w:pPr>
<w:r><w:t xml:space="preserve">found in the works of Leibnitz; Etienne Bezout utilized them</w:t></w:r>
</w:p>
<w:p>
<w:pPr><w:pStyle w:val="Normal"/></w:pPr>
<w:r><w:t xml:space="preserve">in 1764 for expressing the result obtained by the process of</w:t></w:r>
</w:p>
<w:p>
<w:pPr><w:pStyle w:val="Normal"/></w:pPr>
<w:r><w:t xml:space="preserve">elimination known by his name, and since restated by Arthur Cayley.</w:t></w:r>
</w:p>
<w:p>
<w:pPr><w:pStyle w:val="Normal"/></w:pPr>
<w:r><w:t xml:space="preserve">In recent times many mathematicians have formulated other</w:t></w:r>
</w:p>
<w:p>
<w:pPr><w:pStyle w:val="Normal"/></w:pPr>
<w:r><w:t xml:space="preserve">kinds of algebras, in which the operators do not obey the laws</w:t></w:r>
</w:p>
<w:p>
<w:pPr><w:pStyle w:val="Normal"/></w:pPr>
<w:r><w:t xml:space="preserve">of ordinary algebra.  This study was inaugurated by George</w:t></w:r>
</w:p>
<w:p>
<w:pPr><w:pStyle w:val="Normal"/></w:pPr>
<w:r><w:t xml:space="preserve">Peacock, who was one of the earliest mathematicians to recognize</w:t></w:r>
</w:p>
<w:p>
<w:pPr><w:pStyle w:val="Normal"/></w:pPr>
<w:r><w:t xml:space="preserve">the symbolic character of the fundamental principles of</w:t></w:r>
</w:p>
<w:p>
<w:pPr><w:pStyle w:val="Normal"/></w:pPr>
<w:r><w:t xml:space="preserve">algebra.  About the same time, D. F. Gregory published a paper</w:t></w:r>
</w:p>
<w:p>
<w:pPr><w:pStyle w:val="Normal"/></w:pPr>
<w:r><w:t xml:space="preserve">``on the real nature of symbolical algebra.&apos;&apos; In Germany the</w:t></w:r>
</w:p>
<w:p>
<w:pPr><w:pStyle w:val="Normal"/></w:pPr>
<w:r><w:t xml:space="preserve">work of Martin Ohm (System der Mathematik, 1822) marks a step</w:t></w:r>
</w:p>
<w:p>
<w:pPr><w:pStyle w:val="Normal"/></w:pPr>
<w:r><w:t xml:space="preserve">forward.  Notable service was also rendered by Augustus de</w:t></w:r>
</w:p>
<w:p>
<w:pPr><w:pStyle w:val="Normal"/></w:pPr>
<w:r><w:t xml:space="preserve">Morgan, who applied logical analysis to the laws of mathematics.</w:t></w:r>
</w:p>
<w:p>
<w:pPr><w:pStyle w:val="Normal"/></w:pPr>
<w:r><w:t xml:space="preserve">The geometrical interpretation of imaginary quantities had a</w:t></w:r>
</w:p>
<w:p>
<w:pPr><w:pStyle w:val="Normal"/></w:pPr>
<w:r><w:t xml:space="preserve">far-reaching influence on the development of symbolic algebras.</w:t></w:r>
</w:p>
<w:p>
<w:pPr><w:pStyle w:val="Normal"/></w:pPr>
<w:r><w:t xml:space="preserve">The attempts to elucidate this question by H. Kuhn (1750-1751)</w:t></w:r>
</w:p>
<w:p>
<w:pPr><w:pStyle w:val="Normal"/></w:pPr>
<w:r><w:t xml:space="preserve">and Jean Robert Argand (1806) were completed by Karl Friedrich</w:t></w:r>
</w:p>
<w:p>
<w:pPr><w:pStyle w:val="Normal"/></w:pPr>
<w:r><w:t xml:space="preserve">Gauss, and the formulation of various systems of vector analysis</w:t></w:r>
</w:p>
<w:p>
<w:pPr><w:pStyle w:val="Normal"/></w:pPr>
<w:r><w:t xml:space="preserve">by Sir William Rowan Hamilton, Hermann Grassmann and others,</w:t></w:r>
</w:p>
<w:p>
<w:pPr><w:pStyle w:val="Normal"/></w:pPr>
<w:r><w:t xml:space="preserve">followed.  These algebras were essentially geometrical, and it</w:t></w:r>
</w:p>
<w:p>
<w:pPr><w:pStyle w:val="Normal"/></w:pPr>
<w:r><w:t xml:space="preserve">remained, more or less, for the American mathematician Benjamin</w:t></w:r>
</w:p>
<w:p>
<w:pPr><w:pStyle w:val="Normal"/></w:pPr>
<w:r><w:t xml:space="preserve">Peirce to devise systems of pure symbolic algebras; in this</w:t></w:r>
</w:p>
<w:p>
<w:pPr><w:pStyle w:val="Normal"/></w:pPr>
<w:r><w:t xml:space="preserve">work he was ably seconded by his son Charles S. Peirce.  In</w:t></w:r>
</w:p>
<w:p>
<w:pPr><w:pStyle w:val="Normal"/></w:pPr>
<w:r><w:t xml:space="preserve">England, multiple algebra was developed by James Joseph</w:t></w:r>
</w:p>
<w:p>
<w:pPr><w:pStyle w:val="Normal"/></w:pPr>
<w:r><w:t xml:space="preserve">Sylvester, who, in company with Arthur Cayley, expanded the</w:t></w:r>
</w:p>
<w:p>
<w:pPr><w:pStyle w:val="Normal"/></w:pPr>
<w:r><w:t xml:space="preserve">theory of matrices, the germs of which are to be found in the</w:t></w:r>
</w:p>
<w:p>
<w:pPr><w:pStyle w:val="Normal"/></w:pPr>
<w:r><w:t xml:space="preserve">writings of Hamilton (see above, under (B); and QUATERNIONS.)</w:t></w:r>
</w:p>
<w:p>
<w:pPr><w:pStyle w:val="Normal"/></w:pPr>
<w:r><w:t xml:space="preserve">The preceding summary shows the specialized nature which algebra</w:t></w:r>
</w:p>
<w:p>
<w:pPr><w:pStyle w:val="Normal"/></w:pPr>
<w:r><w:t xml:space="preserve">has assumed since the 17th century.  To attempt a history</w:t></w:r>
</w:p>
<w:p>
<w:pPr><w:pStyle w:val="Normal"/></w:pPr>
<w:r><w:t xml:space="preserve">of the development of the various topics in this article is</w:t></w:r>
</w:p>
<w:p>
<w:pPr><w:pStyle w:val="Normal"/></w:pPr>
<w:r><w:t xml:space="preserve">inappropriate, and we refer the reader to the separate articles.</w:t></w:r>
</w:p>
<w:p>
<w:pPr><w:pStyle w:val="Normal"/></w:pPr>
<w:r><w:t xml:space="preserve">REFERENCES.---The history of algebra is treated in all</w:t></w:r>
</w:p>
<w:p>
<w:pPr><w:pStyle w:val="Normal"/></w:pPr>
<w:r><w:t xml:space="preserve">historical works on mathematics in general (see MATHEMATICS:</w:t></w:r>
</w:p>
<w:p>
<w:pPr><w:pStyle w:val="Normal"/></w:pPr>
<w:r><w:t xml:space="preserve">References.) Greek algebra can be specially studied in</w:t></w:r>
</w:p>
<w:p>
<w:pPr><w:pStyle w:val="Normal"/></w:pPr>
<w:r><w:t xml:space="preserve">T. L. Heath&apos;s Diophantus. See also John Wallis, Opera</w:t></w:r>
</w:p>
<w:p>
<w:pPr><w:pStyle w:val="Normal"/></w:pPr>
<w:r><w:t xml:space="preserve">Mathematica (1693-1699), and Charles Sutton, Mathematical and</w:t></w:r>
</w:p>
<w:p>
<w:pPr><w:pStyle w:val="Normal"/></w:pPr>
<w:r><w:t xml:space="preserve">Philosophical Dictionary (1815), article ``Algebra.&apos;&apos; (C. E.*)</w:t></w:r>
</w:p>
<w:p>
<w:pPr><w:pStyle w:val="Normal"/></w:pPr>
<w:r><w:t xml:space="preserve">[The article on Algebraic Forms is typeset in TeX and is available</w:t></w:r>
</w:p>
<w:p>
<w:pPr><w:pStyle w:val="Normal"/></w:pPr>
<w:r><w:t xml:space="preserve">elsewhere.]</w:t></w:r>
</w:p>
<w:p>
<w:pPr><w:pStyle w:val="Normal"/></w:pPr>
<w:r><w:t xml:space="preserve">ALGECIRAS, or ALGEZIRAS, a seaport of southern Spain in the</w:t></w:r>
</w:p>
<w:p>
<w:pPr><w:pStyle w:val="Normal"/></w:pPr>
<w:r><w:t xml:space="preserve">province of Cadiz, 6 m.  W. of Gibraltar, on the opposite side of</w:t></w:r>
</w:p>
<w:p>
<w:pPr><w:pStyle w:val="Normal"/></w:pPr>
<w:r><w:t xml:space="preserve">the Bay of Algeciras.  Pop. (1900) 13,302.  Algeciras stands at</w:t></w:r>
</w:p>
<w:p>
<w:pPr><w:pStyle w:val="Normal"/></w:pPr>
<w:r><w:t xml:space="preserve">the head of a railway from Granada, but its only means of access</w:t></w:r>
</w:p>
<w:p>
<w:pPr><w:pStyle w:val="Normal"/></w:pPr>
<w:r><w:t xml:space="preserve">to Gibraltar is by water.  Its name, which signifies in Arabic</w:t></w:r>
</w:p>
<w:p>
<w:pPr><w:pStyle w:val="Normal"/></w:pPr>
<w:r><w:t xml:space="preserve">the island, is derived from a small islet on one side of the</w:t></w:r>
</w:p>
<w:p>
<w:pPr><w:pStyle w:val="Normal"/></w:pPr>
<w:r><w:t xml:space="preserve">harbour.  It is supplied with water by means of a beautiful</w:t></w:r>
</w:p>
<w:p>
<w:pPr><w:pStyle w:val="Normal"/></w:pPr>
<w:r><w:t xml:space="preserve">aqueduct.  The fine winter climate of Algeciras attracts many</w:t></w:r>
</w:p>
<w:p>
<w:pPr><w:pStyle w:val="Normal"/></w:pPr>
<w:r><w:t xml:space="preserve">invalid visitors, on whom the town largely depends for its</w:t></w:r>
</w:p>
<w:p>
<w:pPr><w:pStyle w:val="Normal"/></w:pPr>
<w:r><w:t xml:space="preserve">prosperity.  The harbour is bad, but at the beginning of</w:t></w:r>
</w:p>
<w:p>
<w:pPr><w:pStyle w:val="Normal"/></w:pPr>
<w:r><w:t xml:space="preserve">the 20th century it became important as a fishing-station.</w:t></w:r>
</w:p>
<w:p>
<w:pPr><w:pStyle w:val="Normal"/></w:pPr>
<w:r><w:t xml:space="preserve">Whiting, soles, bream, bass and other fish are caught in</w:t></w:r>
</w:p>
<w:p>
<w:pPr><w:pStyle w:val="Normal"/></w:pPr>
<w:r><w:t xml:space="preserve">great quantities by the Algeciras steam-trawlers, which</w:t></w:r>
</w:p>
<w:p>
<w:pPr><w:pStyle w:val="Normal"/></w:pPr>
<w:r><w:t xml:space="preserve">visit the Moroccan coast, as well as Spanish and neutral</w:t></w:r>
</w:p>
<w:p>
<w:pPr><w:pStyle w:val="Normal"/></w:pPr>
<w:r><w:t xml:space="preserve">waters.  There is also some trade in farm produce and building</w:t></w:r>
</w:p>
<w:p>
<w:pPr><w:pStyle w:val="Normal"/></w:pPr>
<w:r><w:t xml:space="preserve">materials which supplies a fleet of small coasters with cargo.</w:t></w:r>
</w:p>
<w:p>
<w:pPr><w:pStyle w:val="Normal"/></w:pPr>
<w:r><w:t xml:space="preserve">Algeciras was perhaps the Portus Albus of the Romans, but</w:t></w:r>
</w:p>
<w:p>
<w:pPr><w:pStyle w:val="Normal"/></w:pPr>
<w:r><w:t xml:space="preserve">it was probably refounded in 713 by the Moors, who retained</w:t></w:r>
</w:p>
<w:p>
<w:pPr><w:pStyle w:val="Normal"/></w:pPr>
<w:r><w:t xml:space="preserve">possession of it until 1344.  It was then taken by Alphonso</w:t></w:r>
</w:p>
<w:p>
<w:pPr><w:pStyle w:val="Heading1"/></w:pPr>
<w:r><w:t>XI. of Castile after a celebrated siege of twenty months,</w:t></w:r>
</w:p>
<w:p>
<w:pPr><w:pStyle w:val="Normal"/></w:pPr>
<w:r><w:t xml:space="preserve">which attracted Crusaders from all parts of Europe; among them</w:t></w:r>
</w:p>
<w:p>
<w:pPr><w:pStyle w:val="Normal"/></w:pPr>
<w:r><w:t xml:space="preserve">being the English earl of Derby, grandson of Edward III. It</w:t></w:r>
</w:p>
<w:p>
<w:pPr><w:pStyle w:val="Normal"/></w:pPr>
<w:r><w:t xml:space="preserve">is said that during this siege gunpowder was first used by the</w:t></w:r>
</w:p>
<w:p>
<w:pPr><w:pStyle w:val="Normal"/></w:pPr>
<w:r><w:t xml:space="preserve">Moors in the wars of Europe.  The Moorish city was destroyed</w:t></w:r>
</w:p>
<w:p>
<w:pPr><w:pStyle w:val="Normal"/></w:pPr>
<w:r><w:t xml:space="preserve">by Alphonso; it was first reoccupied by Spanish colonists from</w:t></w:r>
</w:p>
<w:p>
<w:pPr><w:pStyle w:val="Normal"/></w:pPr>
<w:r><w:t xml:space="preserve">Gibraltar in 1704; and the modern town was erected in 1760 by</w:t></w:r>
</w:p>
<w:p>
<w:pPr><w:pStyle w:val="Normal"/></w:pPr>
<w:r><w:t xml:space="preserve">King Charles III. During the siege of Gibraltar in 1780- 1782,</w:t></w:r>
</w:p>
<w:p>
<w:pPr><w:pStyle w:val="Normal"/></w:pPr>
<w:r><w:t xml:space="preserve">Algeciras was the station of the Spanish fleet and floating</w:t></w:r>
</w:p>
<w:p>
<w:pPr><w:pStyle w:val="Normal"/></w:pPr>
<w:r><w:t xml:space="preserve">batteries.  On the 6th of July 1801 the English admiral Sir</w:t></w:r>
</w:p>
<w:p>
<w:pPr><w:pStyle w:val="Normal"/></w:pPr>
<w:r><w:t xml:space="preserve">James Saumarez attacked a Franco-Spanish fleet off Algeciras,</w:t></w:r>
</w:p>
<w:p>
<w:pPr><w:pStyle w:val="Normal"/></w:pPr>
<w:r><w:t xml:space="preserve">and sustained a reverse; but on the 12th he again attacked the</w:t></w:r>
</w:p>
<w:p>
<w:pPr><w:pStyle w:val="Normal"/></w:pPr>
<w:r><w:t xml:space="preserve">enemy, whose fleet was double his own strength, and inflicted</w:t></w:r>
</w:p>
<w:p>
<w:pPr><w:pStyle w:val="Normal"/></w:pPr>
<w:r><w:t xml:space="preserve">on them a complete defeat.  The important international</w:t></w:r>
</w:p>
<w:p>
<w:pPr><w:pStyle w:val="Normal"/></w:pPr>
<w:r><w:t xml:space="preserve">conference on Moroccan affairs, which resulted in an agreement</w:t></w:r>
</w:p>
<w:p>
<w:pPr><w:pStyle w:val="Normal"/></w:pPr>
<w:r><w:t xml:space="preserve">between France and Germany, was held at Algeciras from the</w:t></w:r>
</w:p>
<w:p>
<w:pPr><w:pStyle w:val="Normal"/></w:pPr>
<w:r><w:t xml:space="preserve">16th of January to the 7th of April 1906. (See MOROCCO.)</w:t></w:r>
</w:p>
<w:p>
<w:pPr><w:pStyle w:val="Normal"/></w:pPr>
<w:r><w:t xml:space="preserve">ALGER OF LIEGE (d c. 1131), known also as ALGER OF</w:t></w:r>
</w:p>
<w:p>
<w:pPr><w:pStyle w:val="Normal"/></w:pPr>
<w:r><w:t xml:space="preserve">CLUNY and ALGERUS MAGISTER, a learned French priest who</w:t></w:r>
</w:p>
<w:p>
<w:pPr><w:pStyle w:val="Normal"/></w:pPr>
<w:r><w:t xml:space="preserve">lived in the first half of the 12th century.  He was first a</w:t></w:r>
</w:p>
<w:p>
<w:pPr><w:pStyle w:val="Normal"/></w:pPr>
<w:r><w:t xml:space="preserve">deacon of the church of St Bartholomew at Liege, his native</w:t></w:r>
</w:p>
<w:p>
<w:pPr><w:pStyle w:val="Normal"/></w:pPr>
<w:r><w:t xml:space="preserve">town, and was then appointed (c. 1100) to the cathedral</w:t></w:r>
</w:p>
<w:p>
<w:pPr><w:pStyle w:val="Normal"/></w:pPr>
<w:r><w:t xml:space="preserve">church of St Lambert.  He declined many offers from German</w:t></w:r>
</w:p>
<w:p>
<w:pPr><w:pStyle w:val="Normal"/></w:pPr>
<w:r><w:t xml:space="preserve">bishops and finally retired to the monastery of Cluny, where</w:t></w:r>
</w:p>
<w:p>
<w:pPr><w:pStyle w:val="Normal"/></w:pPr>
<w:r><w:t xml:space="preserve">he died about 1131 at a great age and leaving a good reputation</w:t></w:r>
</w:p>
<w:p>
<w:pPr><w:pStyle w:val="Normal"/></w:pPr>
<w:r><w:t xml:space="preserve">for piety and intelligence.  His History of the Church of</w:t></w:r>
</w:p>
<w:p>
<w:pPr><w:pStyle w:val="Normal"/></w:pPr>
<w:r><w:t xml:space="preserve">Liege, and many of his other works, are lost.  The most</w:t></w:r>
</w:p>
<w:p>
<w:pPr><w:pStyle w:val="Normal"/></w:pPr>
<w:r><w:t xml:space="preserve">important of those still extant are: 1. De Misericordia et</w:t></w:r>
</w:p>
<w:p>
<w:pPr><w:pStyle w:val="Normal"/></w:pPr>
<w:r><w:t xml:space="preserve">Justitia, a collection of biblical and patristic extracts</w:t></w:r>
</w:p>
<w:p>
<w:pPr><w:pStyle w:val="Normal"/></w:pPr>
<w:r><w:t xml:space="preserve">with a commentary (an important work for the history of</w:t></w:r>
</w:p>
<w:p>
<w:pPr><w:pStyle w:val="Normal"/></w:pPr>
<w:r><w:t xml:space="preserve">church law and discipline), which is to be found in the</w:t></w:r>
</w:p>
<w:p>
<w:pPr><w:pStyle w:val="Normal"/></w:pPr>
<w:r><w:t xml:space="preserve">Anecdota of Martene, vol. v. 2. De Sacramentis Corporis</w:t></w:r>
</w:p>
<w:p>
<w:pPr><w:pStyle w:val="Normal"/></w:pPr>
<w:r><w:t xml:space="preserve">et Sanguinis Domini; a treatise, in three books, against</w:t></w:r>
</w:p>
<w:p>
<w:pPr><w:pStyle w:val="Normal"/></w:pPr>
<w:r><w:t xml:space="preserve">the Berengarian heresy, highly commended by Peter of Cluny and</w:t></w:r>
</w:p>
<w:p>
<w:pPr><w:pStyle w:val="Normal"/></w:pPr>
<w:r><w:t xml:space="preserve">Erasmus. 3. De Gratia et Libero Arbitrio; given in B. Pez&apos;s</w:t></w:r>
</w:p>
<w:p>
<w:pPr><w:pStyle w:val="Normal"/></w:pPr>
<w:r><w:t xml:space="preserve">Anecdota, vol. iv. 4. De Sacrificio Missae; given in the</w:t></w:r>
</w:p>
<w:p>
<w:pPr><w:pStyle w:val="Normal"/></w:pPr>
<w:r><w:t xml:space="preserve">Collectio Scriptor. Vet. of Angelo Mai, vol. ix. p. 371.</w:t></w:r>
</w:p>
<w:p>
<w:pPr><w:pStyle w:val="Normal"/></w:pPr>
<w:r><w:t xml:space="preserve">See Migne, Patrol Ser. Lat. vol. clxxx. pp. 739-.972; Herzog-</w:t></w:r>
</w:p>
<w:p>
<w:pPr><w:pStyle w:val="Normal"/></w:pPr>
<w:r><w:t xml:space="preserve">Hauck, Realencyk.fur prot.  Theol., art. by S. M. Deutsch.</w:t></w:r>
</w:p>
<w:p>
<w:pPr><w:pStyle w:val="Normal"/></w:pPr>
<w:r><w:t xml:space="preserve">ALGER, RUSSELL ALEXANDER (1836--1907), American soldier and</w:t></w:r>
</w:p>
<w:p>
<w:pPr><w:pStyle w:val="Normal"/></w:pPr>
<w:r><w:t xml:space="preserve">politician, was born in Lafayette township, Medina county,</w:t></w:r>
</w:p>
<w:p>
<w:pPr><w:pStyle w:val="Normal"/></w:pPr>
<w:r><w:t xml:space="preserve">Ohio, on the 27th of February 1836.  Left an orphan at an early</w:t></w:r>
</w:p>
<w:p>
<w:pPr><w:pStyle w:val="Normal"/></w:pPr>
<w:r><w:t xml:space="preserve">age, he worked on a farm to pay his expenses at Richfield</w:t></w:r>
</w:p>
<w:p>
<w:pPr><w:pStyle w:val="Normal"/></w:pPr>
<w:r><w:t xml:space="preserve">(Ohio) Academy, was a schoolmaster for two winters, and,</w:t></w:r>
</w:p>
<w:p>
<w:pPr><w:pStyle w:val="Normal"/></w:pPr>
<w:r><w:t xml:space="preserve">having studied law in the meantime, was admitted to the bar in</w:t></w:r>
</w:p>
<w:p>
<w:pPr><w:pStyle w:val="Normal"/></w:pPr>
<w:r><w:t xml:space="preserve">1859.  He began practice at Cleveland, Ohio, but early in</w:t></w:r>
</w:p>
<w:p>
<w:pPr><w:pStyle w:val="Normal"/></w:pPr>
<w:r><w:t xml:space="preserve">1860 he removed to Michigan, where he abandoned his profession</w:t></w:r>
</w:p>
<w:p>
<w:pPr><w:pStyle w:val="Normal"/></w:pPr>
<w:r><w:t xml:space="preserve">and engaged in the lumber business.  Enlisting in a Michigan</w:t></w:r>
</w:p>
<w:p>
<w:pPr><w:pStyle w:val="Normal"/></w:pPr>
<w:r><w:t xml:space="preserve">cavalry regiment in September 1861, he rose from captain to</w:t></w:r>
</w:p>
<w:p>
<w:pPr><w:pStyle w:val="Normal"/></w:pPr>
<w:r><w:t xml:space="preserve">colonel, distinguished himself in the Gettysburg campaign</w:t></w:r>
</w:p>
<w:p>
<w:pPr><w:pStyle w:val="Normal"/></w:pPr>
<w:r><w:t xml:space="preserve">and under Sheridan in the Shenandoah Valley, and in 1864 and</w:t></w:r>
</w:p>
<w:p>
<w:pPr><w:pStyle w:val="Normal"/></w:pPr>
<w:r><w:t xml:space="preserve">1865 respectively received the brevets of brigadier-general</w:t></w:r>
</w:p>
<w:p>
<w:pPr><w:pStyle w:val="Normal"/></w:pPr>
<w:r><w:t xml:space="preserve">and major-general of volunteers.  After the war he invested</w:t></w:r>
</w:p>
<w:p>
<w:pPr><w:pStyle w:val="Normal"/></w:pPr>
<w:r><w:t xml:space="preserve">extensively in pine lands in Michigan, and accumulated a large</w:t></w:r>
</w:p>
<w:p>
<w:pPr><w:pStyle w:val="Normal"/></w:pPr>
<w:r><w:t xml:space="preserve">fortune in the lumber business.  In 1884 he was elected governor</w:t></w:r>
</w:p>
<w:p>
<w:pPr><w:pStyle w:val="Normal"/></w:pPr>
<w:r><w:t xml:space="preserve">of Michigan on the Republican ticket, serving from 1885 to</w:t></w:r>
</w:p>
<w:p>
<w:pPr><w:pStyle w:val="Normal"/></w:pPr>
<w:r><w:t xml:space="preserve">1887.  In 1889--1890 he was commander-in-chief of the Grand</w:t></w:r>
</w:p>
<w:p>
<w:pPr><w:pStyle w:val="Normal"/></w:pPr>
<w:r><w:t xml:space="preserve">Army of the Republic.  From 1897 to 1899 he was secretary</w:t></w:r>
</w:p>
<w:p>
<w:pPr><w:pStyle w:val="Normal"/></w:pPr>
<w:r><w:t xml:space="preserve">of war in President McKinley&apos;s cabinet.  His administration</w:t></w:r>
</w:p>
<w:p>
<w:pPr><w:pStyle w:val="Normal"/></w:pPr>
<w:r><w:t xml:space="preserve">of the war department during the Spanish-American War was</w:t></w:r>
</w:p>
<w:p>
<w:pPr><w:pStyle w:val="Normal"/></w:pPr>
<w:r><w:t xml:space="preserve">severely criticized for extravagance in army contracts, for</w:t></w:r>
</w:p>
<w:p>
<w:pPr><w:pStyle w:val="Normal"/></w:pPr>
<w:r><w:t xml:space="preserve">unpreparedness, and for genetal inefficiency, charges which he</w:t></w:r>
</w:p>
<w:p>
<w:pPr><w:pStyle w:val="Normal"/></w:pPr>
<w:r><w:t xml:space="preserve">answered in his The Spanish-American War (1901).  The extent</w:t></w:r>
</w:p>
<w:p>
<w:pPr><w:pStyle w:val="Normal"/></w:pPr>
<w:r><w:t xml:space="preserve">of his personal responsibility is at least uncertain.  In 1902</w:t></w:r>
</w:p>
<w:p>
<w:pPr><w:pStyle w:val="Normal"/></w:pPr>
<w:r><w:t xml:space="preserve">he was appointed by the governor of Michigan, and in 1903 was</w:t></w:r>
</w:p>
<w:p>
<w:pPr><w:pStyle w:val="Normal"/></w:pPr>
<w:r><w:t xml:space="preserve">elected by the state legislature, as United States senator to</w:t></w:r>
</w:p>
<w:p>
<w:pPr><w:pStyle w:val="Normal"/></w:pPr>
<w:r><w:t xml:space="preserve">complete the unexpired term of James Mcmillan (1838-1902).</w:t></w:r>
</w:p>
<w:p>
<w:pPr><w:pStyle w:val="Normal"/></w:pPr>
<w:r><w:t xml:space="preserve">He died at Washington, D.C., on the 24th of January 1907.</w:t></w:r>
</w:p>
<w:p>
<w:pPr><w:pStyle w:val="Normal"/></w:pPr>
<w:r><w:t xml:space="preserve">ALGERIA (Algerie), a country of North Africa belonging</w:t></w:r>
</w:p>
<w:p>
<w:pPr><w:pStyle w:val="Normal"/></w:pPr>
<w:r><w:t xml:space="preserve">to France, bounded N. by the Mediterranean, W. by Morocco,</w:t></w:r>
</w:p>
<w:p>
<w:pPr><w:pStyle w:val="Normal"/></w:pPr>
<w:r><w:t xml:space="preserve">S. by the Sahara and E. by Tunisia.  The boundaries,</w:t></w:r>
</w:p>
<w:p>
<w:pPr><w:pStyle w:val="Normal"/></w:pPr>
<w:r><w:t xml:space="preserve">however, are in part not accurately determined.  Algeria</w:t></w:r>
</w:p>
<w:p>
<w:pPr><w:pStyle w:val="Normal"/></w:pPr>
<w:r><w:t xml:space="preserve">extends for about 650 m. along the coast, and stretches</w:t></w:r>
</w:p>
<w:p>
<w:pPr><w:pStyle w:val="Normal"/></w:pPr>
<w:r><w:t xml:space="preserve">inland from 320 to 380 m., lying between 2 deg.  10&apos; W. and 8 deg.</w:t></w:r>
</w:p>
<w:p>
<w:pPr><w:pStyle w:val="Normal"/></w:pPr>
<w:r><w:t xml:space="preserve">50, E., and 32 deg.  and 37 deg.  N. It is divided, politically,</w:t></w:r>
</w:p>
<w:p>
<w:pPr><w:pStyle w:val="Normal"/></w:pPr>
<w:r><w:t xml:space="preserve">into three departments-- Oran in the west, Algiers in the</w:t></w:r>
</w:p>
<w:p>
<w:pPr><w:pStyle w:val="Normal"/></w:pPr>
<w:r><w:t xml:space="preserve">centre and Constantine in the east.  Its area is 184,474 sq.</w:t></w:r>
</w:p>
<w:p>
<w:pPr><w:pStyle w:val="Normal"/></w:pPr>
<w:r><w:t xml:space="preserve">m., exclusive of the dependent Saharan regions, which have</w:t></w:r>
</w:p>
<w:p>
<w:pPr><w:pStyle w:val="Normal"/></w:pPr>
<w:r><w:t xml:space="preserve">an area of some 750,000 sq. m. (see SAHARA, TUAT, &amp;c.).</w:t></w:r>
</w:p>
<w:p>
<w:pPr><w:pStyle w:val="Normal"/></w:pPr>
<w:r><w:t xml:space="preserve">Physical Features.--The character of the Algerian coast</w:t></w:r>
</w:p>
<w:p>
<w:pPr><w:pStyle w:val="Normal"/></w:pPr>
<w:r><w:t xml:space="preserve">is severe and inhospitable.  The western half is bordered</w:t></w:r>
</w:p>
<w:p>
<w:pPr><w:pStyle w:val="Normal"/></w:pPr>
<w:r><w:t xml:space="preserve">by a hilly rampart, broken only here and there, in the bays</w:t></w:r>
</w:p>
<w:p>
<w:pPr><w:pStyle w:val="Normal"/></w:pPr>
<w:r><w:t xml:space="preserve">where the larger streams find their outlet, by flat and sandy</w:t></w:r>
</w:p>
<w:p>
<w:pPr><w:pStyle w:val="Normal"/></w:pPr>
<w:r><w:t xml:space="preserve">plains.  Between Dellys and Philippeville high mountains rise</w:t></w:r>
</w:p>
<w:p>
<w:pPr><w:pStyle w:val="Normal"/></w:pPr>
<w:r><w:t xml:space="preserve">almost sheer from the sea, leaving only a narrow strip of</w:t></w:r>
</w:p>
<w:p>
<w:pPr><w:pStyle w:val="Normal"/></w:pPr>
<w:r><w:t xml:space="preserve">beach.  East of Philippeville the mountains recede from the</w:t></w:r>
</w:p>
<w:p>
<w:pPr><w:pStyle w:val="Normal"/></w:pPr>
<w:r><w:t xml:space="preserve">coast, and the rampart of hills reappears.  Only between Bona</w:t></w:r>
</w:p>
<w:p>
<w:pPr><w:pStyle w:val="Normal"/></w:pPr>
<w:r><w:t xml:space="preserve">and La Calle is the general character of the sea-board low and</w:t></w:r>
</w:p>
<w:p>
<w:pPr><w:pStyle w:val="Normal"/></w:pPr>
<w:r><w:t xml:space="preserve">sandy.  Save near the towns and in the cultivated district of</w:t></w:r>
</w:p>
<w:p>
<w:pPr><w:pStyle w:val="Normal"/></w:pPr>
<w:r><w:t xml:space="preserve">Kabylia, the coast is bare and uninhabited; and in spite of</w:t></w:r>
</w:p>
<w:p>
<w:pPr><w:pStyle w:val="Normal"/></w:pPr>
<w:r><w:t xml:space="preserve">numerous indentations, of which the most important going from</w:t></w:r>
</w:p>
<w:p>
<w:pPr><w:pStyle w:val="Normal"/></w:pPr>
<w:r><w:t xml:space="preserve">west to east are the Gulf of Oran, the Gulf of Arzeu, the Bay</w:t></w:r>
</w:p>
<w:p>
<w:pPr><w:pStyle w:val="Normal"/></w:pPr>
<w:r><w:t xml:space="preserve">of Algiers, and the gulfs of Bougie, Stora and Bona, there</w:t></w:r>
</w:p>
<w:p>
<w:pPr><w:pStyle w:val="Normal"/></w:pPr>
<w:r><w:t xml:space="preserve">are few good harbours.  From time immemorial, indeed, this</w:t></w:r>
</w:p>
<w:p>
<w:pPr><w:pStyle w:val="Normal"/></w:pPr>
<w:r><w:t xml:space="preserve">coast has had an evil reputation among mariners, quite apart</w:t></w:r>
</w:p>
<w:p>
<w:pPr><w:pStyle w:val="Normal"/></w:pPr>
<w:r><w:t xml:space="preserve">from the pirates who for centuries made it the base of their</w:t></w:r>
</w:p>
<w:p>
<w:pPr><w:pStyle w:val="Normal"/></w:pPr>
<w:r><w:t xml:space="preserve">depredations.  A violent current, starting from the Straits</w:t></w:r>
</w:p>
<w:p>
<w:pPr><w:pStyle w:val="Normal"/></w:pPr>
<w:r><w:t xml:space="preserve">of Gibraltar, rushes eastward along the shore, and, hurled</w:t></w:r>
</w:p>
<w:p>
<w:pPr><w:pStyle w:val="Normal"/></w:pPr>
<w:r><w:t xml:space="preserve">back from the headlands, is deflected to the West.  In summer</w:t></w:r>
</w:p>
<w:p>
<w:pPr><w:pStyle w:val="Normal"/></w:pPr>
<w:r><w:t xml:space="preserve">the east wind brings dense and sudden fogs; while in winter</w:t></w:r>
</w:p>
<w:p>
<w:pPr><w:pStyle w:val="Normal"/></w:pPr>
<w:r><w:t xml:space="preserve">the northerly gales blow straight into the mouths of the</w:t></w:r>
</w:p>
<w:p>
<w:pPr><w:pStyle w:val="Normal"/></w:pPr>
<w:r><w:t xml:space="preserve">harbours.  In these circumstances navigation is especially</w:t></w:r>
</w:p>
<w:p>
<w:pPr><w:pStyle w:val="Normal"/></w:pPr>
<w:r><w:t xml:space="preserve">perilous for sailing craft.  The terrors of this ``savage sea</w:t></w:r>
</w:p>
<w:p>
<w:pPr><w:pStyle w:val="Normal"/></w:pPr>
<w:r><w:t xml:space="preserve">and inhospitable shore,&apos;&apos; once described by Sallust, have,</w:t></w:r>
</w:p>
<w:p>
<w:pPr><w:pStyle w:val="Normal"/></w:pPr>
<w:r><w:t xml:space="preserve">however, been greatly mitigated by the introduction of steam,</w:t></w:r>
</w:p>
<w:p>
<w:pPr><w:pStyle w:val="Normal"/></w:pPr>
<w:r><w:t xml:space="preserve">the improvement of the harbours, and the establishment by</w:t></w:r>
</w:p>
<w:p>
<w:pPr><w:pStyle w:val="Normal"/></w:pPr>
<w:r><w:t xml:space="preserve">the French government of an excellent system of lighthouses.</w:t></w:r>
</w:p>
<w:p>
<w:pPr><w:pStyle w:val="Normal"/></w:pPr>
<w:r><w:t xml:space="preserve">Southward from the sea the country falls naturally into three</w:t></w:r>
</w:p>
<w:p>
<w:pPr><w:pStyle w:val="Normal"/></w:pPr>
<w:r><w:t xml:space="preserve">divisions, clearly distinguished by their broad physical</w:t></w:r>
</w:p>
<w:p>
<w:pPr><w:pStyle w:val="Normal"/></w:pPr>
<w:r><w:t xml:space="preserve">characteristics.  The healthy, and on the whole fertile coast</w:t></w:r>
</w:p>
<w:p>
<w:pPr><w:pStyle w:val="Normal"/></w:pPr>
<w:r><w:t xml:space="preserve">region, from 50 to 100 m. in width, is known, as in Morocco and</w:t></w:r>
</w:p>
<w:p>
<w:pPr><w:pStyle w:val="Normal"/></w:pPr>
<w:r><w:t xml:space="preserve">Tunisia. as the Tell (Arabic for ``hill&apos;&apos;).  It is a mountainous</w:t></w:r>
</w:p>
<w:p>
<w:pPr><w:pStyle w:val="Normal"/></w:pPr>
<w:r><w:t xml:space="preserve">country intersected with rocky canons and fertile valleys,</w:t></w:r>
</w:p>
<w:p>
<w:pPr><w:pStyle w:val="Normal"/></w:pPr>
<w:r><w:t xml:space="preserve">which occasionally broaden out into alluvial plains like that</w:t></w:r>
</w:p>
<w:p>
<w:pPr><w:pStyle w:val="Normal"/></w:pPr>
<w:r><w:t xml:space="preserve">of the Shelif, or the Metija near Algiers, or those in the</w:t></w:r>
</w:p>
<w:p>
<w:pPr><w:pStyle w:val="Normal"/></w:pPr>
<w:r><w:t xml:space="preserve">neighbourhood of Oran and Bona.  Behind the Tell is a lofty</w:t></w:r>
</w:p>
<w:p>
<w:pPr><w:pStyle w:val="Normal"/></w:pPr>
<w:r><w:t xml:space="preserve">table-land with an average elevation of 3000 ft., consisting</w:t></w:r>
</w:p>
<w:p>
<w:pPr><w:pStyle w:val="Normal"/></w:pPr>
<w:r><w:t xml:space="preserve">of vast plains, for the most part arid or covered with esparto</w:t></w:r>
</w:p>
<w:p>
<w:pPr><w:pStyle w:val="Normal"/></w:pPr>
<w:r><w:t xml:space="preserve">grass, in the depressions of which are great salt lakes and</w:t></w:r>
</w:p>
<w:p>
<w:pPr><w:pStyle w:val="Normal"/></w:pPr>
<w:r><w:t xml:space="preserve">swamps (Arabic, shats) fed by streams which can find no outlet</w:t></w:r>
</w:p>
<w:p>
<w:pPr><w:pStyle w:val="Normal"/></w:pPr>
<w:r><w:t xml:space="preserve">to the sea through the encircling hills.  To the south this</w:t></w:r>
</w:p>
<w:p>
<w:pPr><w:pStyle w:val="Normal"/></w:pPr>
<w:r><w:t xml:space="preserve">region is divided by the Great Atlas from the deserts of the</w:t></w:r>
</w:p>
<w:p>
<w:pPr><w:pStyle w:val="Normal"/></w:pPr>
<w:r><w:t xml:space="preserve">Sahara, with its oases, in which the boundary of Algeria is lost.</w:t></w:r>
</w:p>
<w:p>
<w:pPr><w:pStyle w:val="Normal"/></w:pPr>
<w:r><w:t xml:space="preserve">The country is traversed by lofty ranges of the Atlas system,</w:t></w:r>
</w:p>
<w:p>
<w:pPr><w:pStyle w:val="Normal"/></w:pPr>
<w:r><w:t xml:space="preserve">which run nearly parallel to the coast, and rise in places over</w:t></w:r>
</w:p>
<w:p>
<w:pPr><w:pStyle w:val="Normal"/></w:pPr>
<w:r><w:t xml:space="preserve">7000 ft.  These are commonly divided into two leading chains,</w:t></w:r>
</w:p>
<w:p>
<w:pPr><w:pStyle w:val="Normal"/></w:pPr>
<w:r><w:t xml:space="preserve">distinguished as the Great1 and Little Atlas.  The Great,</w:t></w:r>
</w:p>
<w:p>
<w:pPr><w:pStyle w:val="Normal"/></w:pPr>
<w:r><w:t xml:space="preserve">or Saharan Atlas contains some of the highest points in the</w:t></w:r>
</w:p>
<w:p>
<w:pPr><w:pStyle w:val="Normal"/></w:pPr>
<w:r><w:t xml:space="preserve">country.  The chief ranges are Ksur and Amur in the west</w:t></w:r>
</w:p>
<w:p>
<w:pPr><w:pStyle w:val="Normal"/></w:pPr>
<w:r><w:t xml:space="preserve">and the Aures in the east.  The peak of Shellia, the highest</w:t></w:r>
</w:p>
<w:p>
<w:pPr><w:pStyle w:val="Normal"/></w:pPr>
<w:r><w:t xml:space="preserve">point in Algeria, in the Aures range, has a height of 7611</w:t></w:r>
</w:p>
<w:p>
<w:pPr><w:pStyle w:val="Normal"/></w:pPr>
<w:r><w:t xml:space="preserve">ft.  In the Amur are Jebel Ksel (6594 ft.) and Tuila Makna (6561</w:t></w:r>
</w:p>
<w:p>
<w:pPr><w:pStyle w:val="Normal"/></w:pPr>
<w:r><w:t xml:space="preserve">ft.).  The Little Atlas, otherwise the Tell or Maritime Atlas,</w:t></w:r>
</w:p>
<w:p>
<w:pPr><w:pStyle w:val="Normal"/></w:pPr>
<w:r><w:t xml:space="preserve">lies between the sea and the Saharan Atlas, and is composed</w:t></w:r>
</w:p>
<w:p>
<w:pPr><w:pStyle w:val="Normal"/></w:pPr>
<w:r><w:t xml:space="preserve">of many distinct ranges, generally of no great elevation and</w:t></w:r>
</w:p>
<w:p>
<w:pPr><w:pStyle w:val="Normal"/></w:pPr>
<w:r><w:t xml:space="preserve">connected by numerous transverse chains forming extensive</w:t></w:r>
</w:p>
<w:p>
<w:pPr><w:pStyle w:val="Normal"/></w:pPr>
<w:r><w:t xml:space="preserve">table-lands and elevated valleys.  The principal ranges of</w:t></w:r>
</w:p>
<w:p>
<w:pPr><w:pStyle w:val="Normal"/></w:pPr>
<w:r><w:t xml:space="preserve">the Little Atlas--from west to east--are the Tlemcen (5500</w:t></w:r>
</w:p>
<w:p>
<w:pPr><w:pStyle w:val="Normal"/></w:pPr>
<w:r><w:t xml:space="preserve">ft.); the Warsenis (with Kef Sidi Omar, 6500 ft.); the Titeri</w:t></w:r>
</w:p>
<w:p>
<w:pPr><w:pStyle w:val="Normal"/></w:pPr>
<w:r><w:t xml:space="preserve">(4900 ft.); the Jurjura, with the peak of Lalla Kedija (7542</w:t></w:r>
</w:p>
<w:p>
<w:pPr><w:pStyle w:val="Normal"/></w:pPr>
<w:r><w:t xml:space="preserve">ft.) and Mount Babor (6447 ft.); and the Mejerda (3700 ft.),</w:t></w:r>
</w:p>
<w:p>
<w:pPr><w:pStyle w:val="Normal"/></w:pPr>
<w:r><w:t xml:space="preserve">which extends into Tunisia.  The Jurjura range, forming the</w:t></w:r>
</w:p>
<w:p>
<w:pPr><w:pStyle w:val="Normal"/></w:pPr>
<w:r><w:t xml:space="preserve">background of the plains between Algiers and Bougie, extends</w:t></w:r>
</w:p>
<w:p>
<w:pPr><w:pStyle w:val="Normal"/></w:pPr>
<w:r><w:t xml:space="preserve">through the district of Kabylia, with which for grandeur of</w:t></w:r>
</w:p>
<w:p>
<w:pPr><w:pStyle w:val="Normal"/></w:pPr>
<w:r><w:t xml:space="preserve">scenery no other part of Algeria can compare.  South of the</w:t></w:r>
</w:p>
<w:p>
<w:pPr><w:pStyle w:val="Normal"/></w:pPr>
<w:r><w:t xml:space="preserve">Jurjura and separated from it by the valley of the Sahel,</w:t></w:r>
</w:p>
<w:p>
<w:pPr><w:pStyle w:val="Normal"/></w:pPr>
<w:r><w:t xml:space="preserve">is the Biban range with a famous double pass of the same</w:t></w:r>
</w:p>
<w:p>
<w:pPr><w:pStyle w:val="Normal"/></w:pPr>
<w:r><w:t xml:space="preserve">name, through which alone access is gained to the highlands</w:t></w:r>
</w:p>
<w:p>
<w:pPr><w:pStyle w:val="Normal"/></w:pPr>
<w:r><w:t xml:space="preserve">beyond.  The Bibans or Portes de fer (Iron Gates) consist of</w:t></w:r>
</w:p>
<w:p>
<w:pPr><w:pStyle w:val="Normal"/></w:pPr>
<w:r><w:t xml:space="preserve">two defiles with stupendous walls of rock, which by erosion have</w:t></w:r>
</w:p>
<w:p>
<w:pPr><w:pStyle w:val="Normal"/></w:pPr>
<w:r><w:t xml:space="preserve">assumed the most fantastic shapes.  In the case of the Petite</w:t></w:r>
</w:p>
<w:p>
<w:pPr><w:pStyle w:val="Normal"/></w:pPr>
<w:r><w:t xml:space="preserve">porte the walls in some places are not more than twelve feet</w:t></w:r>
</w:p>
<w:p>
<w:pPr><w:pStyle w:val="Normal"/></w:pPr>
<w:r><w:t xml:space="preserve">apart.  The Dahra range (see MOSTAGANEM) overlooks the</w:t></w:r>
</w:p>
<w:p>
<w:pPr><w:pStyle w:val="Normal"/></w:pPr>
<w:r><w:t xml:space="preserve">sea, and is separated from the Warsenis by the valley of</w:t></w:r>
</w:p>
<w:p>
<w:pPr><w:pStyle w:val="Normal"/></w:pPr>
<w:r><w:t xml:space="preserve">the Shelif (see ATLAS MOUNTAINS, SAHARA and TUAT.)</w:t></w:r>
</w:p>
<w:p>
<w:pPr><w:pStyle w:val="Normal"/></w:pPr>
<w:r><w:t xml:space="preserve">The rivers are numerous but the majority are short.  Most of</w:t></w:r>
</w:p>
<w:p>
<w:pPr><w:pStyle w:val="Normal"/></w:pPr>
<w:r><w:t xml:space="preserve">them rise in the mountains near the coast, and rush down through</w:t></w:r>
</w:p>
<w:p>
<w:pPr><w:pStyle w:val="Normal"/></w:pPr>
<w:r><w:t xml:space="preserve">deep and rocky channels.  During the rainy season they render</w:t></w:r>
</w:p>
<w:p>
<w:pPr><w:pStyle w:val="Normal"/></w:pPr>
<w:r><w:t xml:space="preserve">communication between different parts of the country extremely</w:t></w:r>
</w:p>
<w:p>
<w:pPr><w:pStyle w:val="Normal"/></w:pPr>
<w:r><w:t xml:space="preserve">difficult.  The most important river, both from its length and</w:t></w:r>
</w:p>
<w:p>
<w:pPr><w:pStyle w:val="Normal"/></w:pPr>
<w:r><w:t xml:space="preserve">volume, is the Shelif.  It rises on the northern slopes of</w:t></w:r>
</w:p>
<w:p>
<w:pPr><w:pStyle w:val="Normal"/></w:pPr>
<w:r><w:t xml:space="preserve">the Amur mountains and flows N.E. across the high plateau,</w:t></w:r>
</w:p>
<w:p>
<w:pPr><w:pStyle w:val="Normal"/></w:pPr>
<w:r><w:t xml:space="preserve">piercing the little Atlas between the Warsenis and Titeri</w:t></w:r>
</w:p>
<w:p>
<w:pPr><w:pStyle w:val="Normal"/></w:pPr>
<w:r><w:t xml:space="preserve">ranges.  It then turns W. and reaches the Mediterranean at the</w:t></w:r>
</w:p>
<w:p>
<w:pPr><w:pStyle w:val="Normal"/></w:pPr>
<w:r><w:t xml:space="preserve">eastern end of the Gulf of Arzeu.  The Shelif, which has many</w:t></w:r>
</w:p>
<w:p>
<w:pPr><w:pStyle w:val="Normal"/></w:pPr>
<w:r><w:t xml:space="preserve">tributaries, is about 430 m. long.  The Seybuse (about 150 m.</w:t></w:r>
</w:p>
<w:p>
<w:pPr><w:pStyle w:val="Normal"/></w:pPr>
<w:r><w:t xml:space="preserve">long), formed by the union of several small streams in the</w:t></w:r>
</w:p>
<w:p>
<w:pPr><w:pStyle w:val="Normal"/></w:pPr>
<w:r><w:t xml:space="preserve">department of Constantine, runs through a fertile valley and</w:t></w:r>
</w:p>
<w:p>
<w:pPr><w:pStyle w:val="Normal"/></w:pPr>
<w:r><w:t xml:space="preserve">reaches the Mediterranean near Bona.  The Sahel (about 100 m.</w:t></w:r>
</w:p>
<w:p>
<w:pPr><w:pStyle w:val="Normal"/></w:pPr>
<w:r><w:t xml:space="preserve">long), which contains the greatest body of water after the</w:t></w:r>
</w:p>
<w:p>
<w:pPr><w:pStyle w:val="Normal"/></w:pPr>
<w:r><w:t xml:space="preserve">Shelif, rises in the department of Algiers near Aumale, and</w:t></w:r>
</w:p>
<w:p>
<w:pPr><w:pStyle w:val="Normal"/></w:pPr>
<w:r><w:t xml:space="preserve">flows for the most part N.E. to its mouth near Bougie.  The</w:t></w:r>
</w:p>
<w:p>
<w:pPr><w:pStyle w:val="Normal"/></w:pPr>
<w:r><w:t xml:space="preserve">Kebir or Rummel--the river is known by both names--is formed</w:t></w:r>
</w:p>
<w:p>
<w:pPr><w:pStyle w:val="Normal"/></w:pPr>
<w:r><w:t xml:space="preserve">by the union of several small streams south of Constantine, and</w:t></w:r>
</w:p>
<w:p>
<w:pPr><w:pStyle w:val="Normal"/></w:pPr>
<w:r><w:t xml:space="preserve">flows past that town N.W. 140 m. to the sea.  Among the less</w:t></w:r>
</w:p>
<w:p>
<w:pPr><w:pStyle w:val="Normal"/></w:pPr>
<w:r><w:t xml:space="preserve">important rivers which empty into the Mediterranean are the</w:t></w:r>
</w:p>
<w:p>
<w:pPr><w:pStyle w:val="Normal"/></w:pPr>
<w:r><w:t xml:space="preserve">Macta, the Tafna, the Harrach and the Mazafran.  The Macta,</w:t></w:r>
</w:p>
<w:p>
<w:pPr><w:pStyle w:val="Normal"/></w:pPr>
<w:r><w:t xml:space="preserve">but 3 m. long, enters the sea in the Gulf of Arzeu, some 25</w:t></w:r>
</w:p>
<w:p>
<w:pPr><w:pStyle w:val="Normal"/></w:pPr>
<w:r><w:t xml:space="preserve">m.  W. of the mouth of the Shelif.  It is formed by the</w:t></w:r>
</w:p>
<w:p>
<w:pPr><w:pStyle w:val="Normal"/></w:pPr>
<w:r><w:t xml:space="preserve">Habra (140 m.) and the Sig (130 m.), which rise in the Amur</w:t></w:r>
</w:p>
<w:p>
<w:pPr><w:pStyle w:val="Normal"/></w:pPr>
<w:r><w:t xml:space="preserve">mountains and flowing north unite in a marshy plain, whence</w:t></w:r>
</w:p>
<w:p>
<w:pPr><w:pStyle w:val="Normal"/></w:pPr>
<w:r><w:t xml:space="preserve">issues the Macta.  On the lower courses of the Habra and the</w:t></w:r>
</w:p>
<w:p>
<w:pPr><w:pStyle w:val="Normal"/></w:pPr>
<w:r><w:t xml:space="preserve">Sig, barrages have been built for irrigation purposes.  The</w:t></w:r>
</w:p>
<w:p>
<w:pPr><w:pStyle w:val="Normal"/></w:pPr>
<w:r><w:t xml:space="preserve">Habra barrage holds 38,000,000 cubic metres; that on the Sig</w:t></w:r>
</w:p>
<w:p>
<w:pPr><w:pStyle w:val="Normal"/></w:pPr>
<w:r><w:t xml:space="preserve">18,000,000.  The Tafna (about 100 m.) rises in a large cavern</w:t></w:r>
</w:p>
<w:p>
<w:pPr><w:pStyle w:val="Normal"/></w:pPr>
<w:r><w:t xml:space="preserve">in the mountains south of Tlemcen and flows N.E. to the sea at</w:t></w:r>
</w:p>
<w:p>
<w:pPr><w:pStyle w:val="Normal"/></w:pPr>
<w:r><w:t xml:space="preserve">Rachgun.  It has many affluents; the largest, the Isser</w:t></w:r>
</w:p>
<w:p>
<w:pPr><w:pStyle w:val="Normal"/></w:pPr>
<w:r><w:t xml:space="preserve">(70 m.), joins it on the east bank about 30 m. above its</w:t></w:r>
</w:p>
<w:p>
<w:pPr><w:pStyle w:val="Normal"/></w:pPr>
<w:r><w:t xml:space="preserve">mouth.  The Harrach (40 m.), a picturesque stream, enters</w:t></w:r>
</w:p>
<w:p>
<w:pPr><w:pStyle w:val="Normal"/></w:pPr>
<w:r><w:t xml:space="preserve">the Mediterranean in the Bay of Algiers.  The Mazafran (50</w:t></w:r>
</w:p>
<w:p>
<w:pPr><w:pStyle w:val="Normal"/></w:pPr>
<w:r><w:t xml:space="preserve">m.) crosses the plains S.W of Algiers, reaching the sea N. of</w:t></w:r>
</w:p>
<w:p>
<w:pPr><w:pStyle w:val="Normal"/></w:pPr>
<w:r><w:t xml:space="preserve">Kolea.  The Mejerda and its affluent the Mellegue, rivers</w:t></w:r>
</w:p>
<w:p>
<w:pPr><w:pStyle w:val="Normal"/></w:pPr>
<w:r><w:t xml:space="preserve">of Tunisia (q.v.), have their rise in Algeria, in the</w:t></w:r>
</w:p>
<w:p>
<w:pPr><w:pStyle w:val="Normal"/></w:pPr>
<w:r><w:t xml:space="preserve">mountainous country east of Constantine.  None of these rivers is</w:t></w:r>
</w:p>
<w:p>
<w:pPr><w:pStyle w:val="Normal"/></w:pPr>
<w:r><w:t xml:space="preserve">navigable.  Besides these there are a number of streams in the</w:t></w:r>
</w:p>
<w:p>
<w:pPr><w:pStyle w:val="Normal"/></w:pPr>
<w:r><w:t xml:space="preserve">interior, but they are usually dry except in the rainy season.</w:t></w:r>
</w:p>
<w:p>
<w:pPr><w:pStyle w:val="Normal"/></w:pPr>
<w:r><w:t xml:space="preserve">Algeria abounds in extensive salt lakes and marshes.  Of</w:t></w:r>
</w:p>
<w:p>
<w:pPr><w:pStyle w:val="Normal"/></w:pPr>
<w:r><w:t xml:space="preserve">the lakes in the northern part of the country near the coast</w:t></w:r>
</w:p>
<w:p>
<w:pPr><w:pStyle w:val="Normal"/></w:pPr>
<w:r><w:t xml:space="preserve">the principal are,--the Fezara, 14 m.  S.W. of Bona; Sebkha</w:t></w:r>
</w:p>
<w:p>
<w:pPr><w:pStyle w:val="Normal"/></w:pPr>
<w:r><w:t xml:space="preserve">and El Melah, south of Oran; and three small lakes in the</w:t></w:r>
</w:p>
<w:p>
<w:pPr><w:pStyle w:val="Normal"/></w:pPr>
<w:r><w:t xml:space="preserve">immediate vicinity of La Calle.  In the high plateaus are</w:t></w:r>
</w:p>
<w:p>
<w:pPr><w:pStyle w:val="Normal"/></w:pPr>
<w:r><w:t xml:space="preserve">the Shat-el-Gharbi or Western Shat, the Shat-el-Shergui or</w:t></w:r>
</w:p>
<w:p>
<w:pPr><w:pStyle w:val="Normal"/></w:pPr>
<w:r><w:t xml:space="preserve">Eastern Shat, the Zarhez- Gharbi and the Zarhez-Shergui, the</w:t></w:r>
</w:p>
<w:p>
<w:pPr><w:pStyle w:val="Normal"/></w:pPr>
<w:r><w:t xml:space="preserve">Shat-el-Hodna and a number of others.  South of the Jebel</w:t></w:r>
</w:p>
<w:p>
<w:pPr><w:pStyle w:val="Normal"/></w:pPr>
<w:r><w:t xml:space="preserve">Aures is another series of salt lakes closely connected with</w:t></w:r>
</w:p>
<w:p>
<w:pPr><w:pStyle w:val="Normal"/></w:pPr>
<w:r><w:t xml:space="preserve">the Shat-el-Jerid (of Tunisia).  The chief of these is the</w:t></w:r>
</w:p>
<w:p>
<w:pPr><w:pStyle w:val="Normal"/></w:pPr>
<w:r><w:t xml:space="preserve">Shat Melrir.  There are a number of warm mineral springs,</w:t></w:r>
</w:p>
<w:p>
<w:pPr><w:pStyle w:val="Normal"/></w:pPr>
<w:r><w:t xml:space="preserve">containing principally salts of lime, used with success</w:t></w:r>
</w:p>
<w:p>
<w:pPr><w:pStyle w:val="Normal"/></w:pPr>
<w:r><w:t xml:space="preserve">by both Arabs and Europeans in several kinds of disease.</w:t></w:r>
</w:p>
<w:p>
<w:pPr><w:pStyle w:val="Normal"/></w:pPr>
<w:r><w:t xml:space="preserve">One of the most remarkable groups of springs is near Guelma,</w:t></w:r>
</w:p>
<w:p>
<w:pPr><w:pStyle w:val="Normal"/></w:pPr>
<w:r><w:t xml:space="preserve">in the department of Constantine.  There are two principal</w:t></w:r>
</w:p>
<w:p>
<w:pPr><w:pStyle w:val="Normal"/></w:pPr>
<w:r><w:t xml:space="preserve">sources.  Their waters unite in one stream whose course is</w:t></w:r>
</w:p>
<w:p>
<w:pPr><w:pStyle w:val="Normal"/></w:pPr>
<w:r><w:t xml:space="preserve">marked by gigantic limestone cones, some of which are 36 ft.</w:t></w:r>
</w:p>
<w:p>
<w:pPr><w:pStyle w:val="Normal"/></w:pPr>
<w:r><w:t xml:space="preserve">high.  The water, which is at boiling point, falls into</w:t></w:r>
</w:p>
<w:p>
<w:pPr><w:pStyle w:val="Normal"/></w:pPr>
<w:r><w:t xml:space="preserve">natural basins of a creamy white colour, formed by the deposit</w:t></w:r>
</w:p>
<w:p>
<w:pPr><w:pStyle w:val="Normal"/></w:pPr>
<w:r><w:t xml:space="preserve">of carbonate of lime.  The springs are known to the Arabs</w:t></w:r>
</w:p>
<w:p>
<w:pPr><w:pStyle w:val="Normal"/></w:pPr>
<w:r><w:t xml:space="preserve">as Hammam Meskutin (the ``accursed baths&apos;&apos;).  The name and</w:t></w:r>
</w:p>
<w:p>
<w:pPr><w:pStyle w:val="Normal"/></w:pPr>
<w:r><w:t xml:space="preserve">the cones are accounted for by a legend which represents</w:t></w:r>
</w:p>
<w:p>
<w:pPr><w:pStyle w:val="Normal"/></w:pPr>
<w:r><w:t xml:space="preserve">that at this spot lived a sheikh who, finding his sister too</w:t></w:r>
</w:p>
<w:p>
<w:pPr><w:pStyle w:val="Normal"/></w:pPr>
<w:r><w:t xml:space="preserve">beautiful to be married to anyone else, determined to espouse</w:t></w:r>
</w:p>
<w:p>
<w:pPr><w:pStyle w:val="Normal"/></w:pPr>
<w:r><w:t xml:space="preserve">her himself.  Whilst the marriage festivities were being</w:t></w:r>
</w:p>
<w:p>
<w:pPr><w:pStyle w:val="Normal"/></w:pPr>
<w:r><w:t xml:space="preserve">celebrated the judgment of Heaven descended on the guilty</w:t></w:r>
</w:p>
<w:p>
<w:pPr><w:pStyle w:val="Normal"/></w:pPr>
<w:r><w:t xml:space="preserve">pair; fire came from below; the water became hot and the</w:t></w:r>
</w:p>
<w:p>
<w:pPr><w:pStyle w:val="Normal"/></w:pPr>
<w:r><w:t xml:space="preserve">sheikh and his sister were turned into stone.  Within a mile</w:t></w:r>
</w:p>
<w:p>
<w:pPr><w:pStyle w:val="Normal"/></w:pPr>
<w:r><w:t xml:space="preserve">of Hammam Meskutin are ferruginous and sulphureous springs.</w:t></w:r>
</w:p>
<w:p>
<w:pPr><w:pStyle w:val="Normal"/></w:pPr>
<w:r><w:t xml:space="preserve">[Geology.--The geology of Algeria has been worked out in</w:t></w:r>
</w:p>
<w:p>
<w:pPr><w:pStyle w:val="Normal"/></w:pPr>
<w:r><w:t xml:space="preserve">considerable detail by French geologists.  Rocks of Archean</w:t></w:r>
</w:p>
<w:p>
<w:pPr><w:pStyle w:val="Normal"/></w:pPr>
<w:r><w:t xml:space="preserve">and Palaeozoic ages contribute only a small share, but there</w:t></w:r>
</w:p>
<w:p>
<w:pPr><w:pStyle w:val="Normal"/></w:pPr>
<w:r><w:t xml:space="preserve">is a very complete sequence of formations from the Lias to</w:t></w:r>
</w:p>
<w:p>
<w:pPr><w:pStyle w:val="Normal"/></w:pPr>
<w:r><w:t xml:space="preserve">those of recent date.  An interesting and orderly petrological</w:t></w:r>
</w:p>
<w:p>
<w:pPr><w:pStyle w:val="Normal"/></w:pPr>
<w:r><w:t xml:space="preserve">sequence of Tertiary igneous rocks has been determined.</w:t></w:r>
</w:p>
<w:p>
<w:pPr><w:pStyle w:val="Normal"/></w:pPr>
<w:r><w:t xml:space="preserve">Archean rocks form the cores of the ancient crystalline masses</w:t></w:r>
</w:p>
<w:p>
<w:pPr><w:pStyle w:val="Normal"/></w:pPr>
<w:r><w:t xml:space="preserve">within the littoral zone from Algiers to Bona.  They consist of</w:t></w:r>
</w:p>
<w:p>
<w:pPr><w:pStyle w:val="Normal"/></w:pPr>
<w:r><w:t xml:space="preserve">gneiss, mica-schist, quartzites, crystalline limestones and</w:t></w:r>
</w:p>
<w:p>
<w:pPr><w:pStyle w:val="Normal"/></w:pPr>
<w:r><w:t xml:space="preserve">conglomerates.  Primary deposits are doubtfully represented</w:t></w:r>
</w:p>
<w:p>
<w:pPr><w:pStyle w:val="Normal"/></w:pPr>
<w:r><w:t xml:space="preserve">by the detached fragments of unfossiliferous strata of</w:t></w:r>
</w:p>
<w:p>
<w:pPr><w:pStyle w:val="Normal"/></w:pPr>
<w:r><w:t xml:space="preserve">Traras, Blida and east of Orleansville.  Carboniferous and</w:t></w:r>
</w:p>
<w:p>
<w:pPr><w:pStyle w:val="Normal"/></w:pPr>
<w:r><w:t xml:space="preserve">Permian strata are possibly represented by some black and</w:t></w:r>
</w:p>
<w:p>
<w:pPr><w:pStyle w:val="Normal"/></w:pPr>
<w:r><w:t xml:space="preserve">grey micaceous shales with beds of coal in the Jurjura.</w:t></w:r>
</w:p>
<w:p>
<w:pPr><w:pStyle w:val="Normal"/></w:pPr>
<w:r><w:t xml:space="preserve">At Jebel-kahar and west of Traras, Pomel attributes certain</w:t></w:r>
</w:p>
<w:p>
<w:pPr><w:pStyle w:val="Normal"/></w:pPr>
<w:r><w:t xml:space="preserve">conglomerates, red sandstones and purple and green shales to</w:t></w:r>
</w:p>
<w:p>
<w:pPr><w:pStyle w:val="Normal"/></w:pPr>
<w:r><w:t xml:space="preserve">the Permian.  The rocks of Secondary and Tertiary ages have</w:t></w:r>
</w:p>
<w:p>
<w:pPr><w:pStyle w:val="Normal"/></w:pPr>
<w:r><w:t xml:space="preserve">been profoundly affected by the Alpine movements, and are</w:t></w:r>
</w:p>
<w:p>
<w:pPr><w:pStyle w:val="Normal"/></w:pPr>
<w:r><w:t xml:space="preserve">thrown into a series of complex folds, so that in numerous</w:t></w:r>
</w:p>
<w:p>
<w:pPr><w:pStyle w:val="Normal"/></w:pPr>
<w:r><w:t xml:space="preserve">instances their stratigraphy is imperfectly understood.</w:t></w:r>
</w:p>
<w:p>
<w:pPr><w:pStyle w:val="Normal"/></w:pPr>
<w:r><w:t xml:space="preserve">The gypsiferous and saliferous marls of Shellata, Suk Ahras</w:t></w:r>
</w:p>
<w:p>
<w:pPr><w:pStyle w:val="Normal"/></w:pPr>
<w:r><w:t xml:space="preserve">and Ain Nussi have yielded Triassic fossils.  Triassic</w:t></w:r>
</w:p>
<w:p>
<w:pPr><w:pStyle w:val="Normal"/></w:pPr>
<w:r><w:t xml:space="preserve">rocks are considered to be present in Constantine and in the</w:t></w:r>
</w:p>
<w:p>
<w:pPr><w:pStyle w:val="Normal"/></w:pPr>
<w:r><w:t xml:space="preserve">Jurjura.  Rhaetic beds (Infra Lias), consisting of dolomites</w:t></w:r>
</w:p>
<w:p>
<w:pPr><w:pStyle w:val="Normal"/></w:pPr>
<w:r><w:t xml:space="preserve">and siliceous limestones, have been recognized at Saida.</w:t></w:r>
</w:p>
<w:p>
<w:pPr><w:pStyle w:val="Normal"/></w:pPr>
<w:r><w:t xml:space="preserve">The lower and middle divisions of the Jurassic, composed of</w:t></w:r>
</w:p>
<w:p>
<w:pPr><w:pStyle w:val="Normal"/></w:pPr>
<w:r><w:t xml:space="preserve">massive limestones more or less siliceous and overlain by</w:t></w:r>
</w:p>
<w:p>
<w:pPr><w:pStyle w:val="Normal"/></w:pPr>
<w:r><w:t xml:space="preserve">the marls and highly fossiliferous limestones of the Upper</w:t></w:r>
</w:p>
<w:p>
<w:pPr><w:pStyle w:val="Normal"/></w:pPr>
<w:r><w:t xml:space="preserve">Lias, play an important part in the constitution of the chief</w:t></w:r>
</w:p>
<w:p>
<w:pPr><w:pStyle w:val="Normal"/></w:pPr>
<w:r><w:t xml:space="preserve">mountains of the Tell.  In south Oran they determine the</w:t></w:r>
</w:p>
<w:p>
<w:pPr><w:pStyle w:val="Normal"/></w:pPr>
<w:r><w:t xml:space="preserve">principal axes of the mountain ranges.  The Inferior Cretaceous</w:t></w:r>
</w:p>
<w:p>
<w:pPr><w:pStyle w:val="Normal"/></w:pPr>
<w:r><w:t xml:space="preserve">rocks include the Neocomian and Gault (Albian and Aptian)</w:t></w:r>
</w:p>
<w:p>
<w:pPr><w:pStyle w:val="Normal"/></w:pPr>
<w:r><w:t xml:space="preserve">subdivisions, and form the flanks of the mountains in the</w:t></w:r>
</w:p>
<w:p>
<w:pPr><w:pStyle w:val="Normal"/></w:pPr>
<w:r><w:t xml:space="preserve">Tell.  In the south the Albian subdivision of the Gault is alone</w:t></w:r>
</w:p>
<w:p>
<w:pPr><w:pStyle w:val="Normal"/></w:pPr>
<w:r><w:t xml:space="preserve">represented.  Rocks of Upper Cretaceous age are represented</w:t></w:r>
</w:p>
<w:p>
<w:pPr><w:pStyle w:val="Normal"/></w:pPr>
<w:r><w:t xml:space="preserve">in all their stages.  The Cenomanian presents two distinct</w:t></w:r>
</w:p>
<w:p>
<w:pPr><w:pStyle w:val="Normal"/></w:pPr>
<w:r><w:t xml:space="preserve">facies.  North of the Atlas it belongs to the European type,</w:t></w:r>
</w:p>
<w:p>
<w:pPr><w:pStyle w:val="Normal"/></w:pPr>
<w:r><w:t xml:space="preserve">in the south it contains a fauna of oysters and sea-urchins</w:t></w:r>
</w:p>
<w:p>
<w:pPr><w:pStyle w:val="Normal"/></w:pPr>
<w:r><w:t xml:space="preserve">belonging to the facies ``africano-syrian&apos;&apos; of Zittel.  There</w:t></w:r>
</w:p>
<w:p>
<w:pPr><w:pStyle w:val="Normal"/></w:pPr>
<w:r><w:t xml:space="preserve">is a continuous transition between the Senonian and Danian,</w:t></w:r>
</w:p>
<w:p>
<w:pPr><w:pStyle w:val="Normal"/></w:pPr>
<w:r><w:t xml:space="preserve">proving that the Algerian region did not participate in the</w:t></w:r>
</w:p>
<w:p>
<w:pPr><w:pStyle w:val="Normal"/></w:pPr>
<w:r><w:t xml:space="preserve">immersion which occurred in Provence and in the Corbieres</w:t></w:r>
</w:p>
<w:p>
<w:pPr><w:pStyle w:val="Normal"/></w:pPr>
<w:r><w:t xml:space="preserve">of southern France during the Danian epoch.  The Lower Eocene</w:t></w:r>
</w:p>
<w:p>
<w:pPr><w:pStyle w:val="Normal"/></w:pPr>
<w:r><w:t xml:space="preserve">rocks contain the chief phosphatic deposits of Algeria, those</w:t></w:r>
</w:p>
<w:p>
<w:pPr><w:pStyle w:val="Normal"/></w:pPr>
<w:r><w:t xml:space="preserve">of the Tebessa region being the best known.  Certain species</w:t></w:r>
</w:p>
<w:p>
<w:pPr><w:pStyle w:val="Normal"/></w:pPr>
<w:r><w:t xml:space="preserve">of nummulites, which are very common, distinguish the various</w:t></w:r>
</w:p>
<w:p>
<w:pPr><w:pStyle w:val="Normal"/></w:pPr>
<w:r><w:t xml:space="preserve">subdivisions of the Eocene.  The highest beds, consisting of</w:t></w:r>
</w:p>
<w:p>
<w:pPr><w:pStyle w:val="Normal"/></w:pPr>
<w:r><w:t xml:space="preserve">quartzites, shales, marls and sandstones with the remains of</w:t></w:r>
</w:p>
<w:p>
<w:pPr><w:pStyle w:val="Normal"/></w:pPr>
<w:r><w:t xml:space="preserve">fucoids, are found in the Jurjura and Shellata.  The Oligocene</w:t></w:r>
</w:p>
<w:p>
<w:pPr><w:pStyle w:val="Normal"/></w:pPr>
<w:r><w:t xml:space="preserve">period consists of a marine phase confined to the littoral</w:t></w:r>
</w:p>
<w:p>
<w:pPr><w:pStyle w:val="Normal"/></w:pPr>
<w:r><w:t xml:space="preserve">zone of Kahylia, and of a continental phase occupying vast</w:t></w:r>
</w:p>
<w:p>
<w:pPr><w:pStyle w:val="Normal"/></w:pPr>
<w:r><w:t xml:space="preserve">areas composed of lacustrine, alluvial, gypsiferous marls,</w:t></w:r>
</w:p>
<w:p>
<w:pPr><w:pStyle w:val="Normal"/></w:pPr>
<w:r><w:t xml:space="preserve">sandstones and conglomerates.  The Miocene formation obtains</w:t></w:r>
</w:p>
<w:p>
<w:pPr><w:pStyle w:val="Normal"/></w:pPr>
<w:r><w:t xml:space="preserve">its greatest development in Oran and is much expanded in the</w:t></w:r>
</w:p>
<w:p>
<w:pPr><w:pStyle w:val="Normal"/></w:pPr>
<w:r><w:t xml:space="preserve">Tell.  At the close of the Lower Miocene period (beds with</w:t></w:r>
</w:p>
<w:p>
<w:pPr><w:pStyle w:val="Normal"/></w:pPr>
<w:r><w:t xml:space="preserve">Ostrea crassissima) great modifications in the relief and</w:t></w:r>
</w:p>
<w:p>
<w:pPr><w:pStyle w:val="Normal"/></w:pPr>
<w:r><w:t xml:space="preserve">limits of the Algerian formations took place.  Hitherto marine</w:t></w:r>
</w:p>
<w:p>
<w:pPr><w:pStyle w:val="Normal"/></w:pPr>
<w:r><w:t xml:space="preserve">conditions were confined to the littoral; in Middle Miocene</w:t></w:r>
</w:p>
<w:p>
<w:pPr><w:pStyle w:val="Normal"/></w:pPr>
<w:r><w:t xml:space="preserve">times (Helvetian) the sea broke in and spread in a south-east</w:t></w:r>
</w:p>
<w:p>
<w:pPr><w:pStyle w:val="Normal"/></w:pPr>
<w:r><w:t xml:space="preserve">direction in the form of long ramified fjords but did not</w:t></w:r>
</w:p>
<w:p>
<w:pPr><w:pStyle w:val="Normal"/></w:pPr>
<w:r><w:t xml:space="preserve">extend as far as the Sahara.  To the Pliocene period the marine</w:t></w:r>
</w:p>
<w:p>
<w:pPr><w:pStyle w:val="Normal"/></w:pPr>
<w:r><w:t xml:space="preserve">deposits of the Sahel of Algiers and of the Sahel Jijelli</w:t></w:r>
</w:p>
<w:p>
<w:pPr><w:pStyle w:val="Normal"/></w:pPr>
<w:r><w:t xml:space="preserve">must be attributed; also the lacustrine marls and limestone</w:t></w:r>
</w:p>
<w:p>
<w:pPr><w:pStyle w:val="Normal"/></w:pPr>
<w:r><w:t xml:space="preserve">of the basin of Constantine, and the ancient alluviums of the</w:t></w:r>
</w:p>
<w:p>
<w:pPr><w:pStyle w:val="Normal"/></w:pPr>
<w:r><w:t xml:space="preserve">basins and depressions which bear no relation to the existing</w:t></w:r>
</w:p>
<w:p>
<w:pPr><w:pStyle w:val="Normal"/></w:pPr>
<w:r><w:t xml:space="preserve">valleys.  Among the Tertiary volcanic rocks those of acid</w:t></w:r>
</w:p>
<w:p>
<w:pPr><w:pStyle w:val="Normal"/></w:pPr>
<w:r><w:t xml:space="preserve">types (granites, granulites) were the first to appear and</w:t></w:r>
</w:p>
<w:p>
<w:pPr><w:pStyle w:val="Normal"/></w:pPr>
<w:r><w:t xml:space="preserve">are developed latitudinally; rocks of intermediate type</w:t></w:r>
</w:p>
<w:p>
<w:pPr><w:pStyle w:val="Normal"/></w:pPr>
<w:r><w:t xml:space="preserve">(dacites, andesites) characterize the Miocene and early</w:t></w:r>
</w:p>
<w:p>
<w:pPr><w:pStyle w:val="Normal"/></w:pPr>
<w:r><w:t xml:space="preserve">Pliocene periods; while the basic rocks (ophites, elaeolite</w:t></w:r>
</w:p>
<w:p>
<w:pPr><w:pStyle w:val="Normal"/></w:pPr>
<w:r><w:t xml:space="preserve">syenites and basalts) attained their maximum in later Pliocene</w:t></w:r>
</w:p>
<w:p>
<w:pPr><w:pStyle w:val="Normal"/></w:pPr>
<w:r><w:t xml:space="preserve">and Quaternary times.  Their development, feeble as compared</w:t></w:r>
</w:p>
<w:p>
<w:pPr><w:pStyle w:val="Normal"/></w:pPr>
<w:r><w:t xml:space="preserve">with the acid rocks, is meridional.  The Quaternary period</w:t></w:r>
</w:p>
<w:p>
<w:pPr><w:pStyle w:val="Normal"/></w:pPr>
<w:r><w:t xml:space="preserve">includes an older stage containing fragments of fossils from</w:t></w:r>
</w:p>
<w:p>
<w:pPr><w:pStyle w:val="Normal"/></w:pPr>
<w:r><w:t xml:space="preserve">the underlying formations; a later stage containing the bones</w:t></w:r>
</w:p>
<w:p>
<w:pPr><w:pStyle w:val="Normal"/></w:pPr>
<w:r><w:t xml:space="preserve">of Hippopotamus, Elephas, Rhinoceros, Camelus, Equus;</w:t></w:r>
</w:p>
<w:p>
<w:pPr><w:pStyle w:val="Normal"/></w:pPr>
<w:r><w:t xml:space="preserve">and finally the vast accumulations of sand which began to</w:t></w:r>
</w:p>
<w:p>
<w:pPr><w:pStyle w:val="Normal"/></w:pPr>
<w:r><w:t xml:space="preserve">be formed in prehistoric times.  The broad platforms of</w:t></w:r>
</w:p>
<w:p>
<w:pPr><w:pStyle w:val="Normal"/></w:pPr>
<w:r><w:t xml:space="preserve">the hamada are covered with Quaternary deposits. (W. G.*)]</w:t></w:r>
</w:p>
<w:p>
<w:pPr><w:pStyle w:val="Normal"/></w:pPr>
<w:r><w:t xml:space="preserve">CIimate.--Although Algeria enjoys a warm climate, the</w:t></w:r>
</w:p>
<w:p>
<w:pPr><w:pStyle w:val="Normal"/></w:pPr>
<w:r><w:t xml:space="preserve">temperature varies considerably in different parts, according</w:t></w:r>
</w:p>
<w:p>
<w:pPr><w:pStyle w:val="Normal"/></w:pPr>
<w:r><w:t xml:space="preserve">to the elevation and configuration of the country.  Along</w:t></w:r>
</w:p>
<w:p>
<w:pPr><w:pStyle w:val="Normal"/></w:pPr>
<w:r><w:t xml:space="preserve">the coast the weather is very mild, the thermometer rarely</w:t></w:r>
</w:p>
<w:p>
<w:pPr><w:pStyle w:val="Normal"/></w:pPr>
<w:r><w:t xml:space="preserve">falling to freezing-point even in winter.  The coldest month</w:t></w:r>
</w:p>
<w:p>
<w:pPr><w:pStyle w:val="Normal"/></w:pPr>
<w:r><w:t xml:space="preserve">is January, the hottest August.  The mean annual temperature</w:t></w:r>
</w:p>
<w:p>
<w:pPr><w:pStyle w:val="Normal"/></w:pPr>
<w:r><w:t xml:space="preserve">in the coast plains is 66 deg.  F. Heavy rains prevail from</w:t></w:r>
</w:p>
<w:p>
<w:pPr><w:pStyle w:val="Normal"/></w:pPr>
<w:r><w:t xml:space="preserve">December to March, and rain is not uncommon during other</w:t></w:r>
</w:p>
<w:p>
<w:pPr><w:pStyle w:val="Normal"/></w:pPr>
<w:r><w:t xml:space="preserve">months also, excepting June, July, August and September, which</w:t></w:r>
</w:p>
<w:p>
<w:pPr><w:pStyle w:val="Normal"/></w:pPr>
<w:r><w:t xml:space="preserve">are very hot and rainless.  The average annual fall is 29</w:t></w:r>
</w:p>
<w:p>
<w:pPr><w:pStyle w:val="Normal"/></w:pPr>
<w:r><w:t xml:space="preserve">in.  On the mountains and the high plateaus the winter is often</w:t></w:r>
</w:p>
<w:p>
<w:pPr><w:pStyle w:val="Normal"/></w:pPr>
<w:r><w:t xml:space="preserve">very severe; snow lies for six months on the higher peaks of</w:t></w:r>
</w:p>
<w:p>
<w:pPr><w:pStyle w:val="Normal"/></w:pPr>
<w:r><w:t xml:space="preserve">the Kabyle mountains.  On the plateaus the temperature passes</w:t></w:r>
</w:p>
<w:p>
<w:pPr><w:pStyle w:val="Normal"/></w:pPr>
<w:r><w:t xml:space="preserve">from one extreme to the other, and rain seldom falls. (For</w:t></w:r>
</w:p>
<w:p>
<w:pPr><w:pStyle w:val="Normal"/></w:pPr>
<w:r><w:t xml:space="preserve">the climate of the Saharan region see SAHARA.) Throughout</w:t></w:r>
</w:p>
<w:p>
<w:pPr><w:pStyle w:val="Normal"/></w:pPr>
<w:r><w:t xml:space="preserve">Algeria, especially in the summer, there is a great difference</w:t></w:r>
</w:p>
<w:p>
<w:pPr><w:pStyle w:val="Normal"/></w:pPr>
<w:r><w:t xml:space="preserve">between day and night temperature, notably in the inland</w:t></w:r>
</w:p>
<w:p>
<w:pPr><w:pStyle w:val="Normal"/></w:pPr>
<w:r><w:t xml:space="preserve">districts.  Between May and September the sirocco, or hot</w:t></w:r>
</w:p>
<w:p>
<w:pPr><w:pStyle w:val="Normal"/></w:pPr>
<w:r><w:t xml:space="preserve">wind of the desert, sweeps at intervals over the country,</w:t></w:r>
</w:p>
<w:p>
<w:pPr><w:pStyle w:val="Normal"/></w:pPr>
<w:r><w:t xml:space="preserve">impregnating the air with fine sand; but in general, with</w:t></w:r>
</w:p>
<w:p>
<w:pPr><w:pStyle w:val="Normal"/></w:pPr>
<w:r><w:t xml:space="preserve">the exception of the vicinity of the marshes, the climate is</w:t></w:r>
</w:p>
<w:p>
<w:pPr><w:pStyle w:val="Normal"/></w:pPr>
<w:r><w:t xml:space="preserve">healthy.  Its salubrity has been increased by the draining</w:t></w:r>
</w:p>
<w:p>
<w:pPr><w:pStyle w:val="Normal"/></w:pPr>
<w:r><w:t xml:space="preserve">of many marshes in the neighbourhood of the larger towns.</w:t></w:r>
</w:p>
<w:p>
<w:pPr><w:pStyle w:val="Normal"/></w:pPr>
<w:r><w:t xml:space="preserve">Fauna and Flora.--The fauna of Algeria resembles that of</w:t></w:r>
</w:p>
<w:p>
<w:pPr><w:pStyle w:val="Normal"/></w:pPr>
<w:r><w:t xml:space="preserve">the Mediterranean system generally, though many animals once</w:t></w:r>
</w:p>
<w:p>
<w:pPr><w:pStyle w:val="Normal"/></w:pPr>
<w:r><w:t xml:space="preserve">common to South Europe and North Africa--such as the lion,</w:t></w:r>
</w:p>
<w:p>
<w:pPr><w:pStyle w:val="Normal"/></w:pPr>
<w:r><w:t xml:space="preserve">panther, hyena and jackal--are now extinct in Europe.  Lions,</w:t></w:r>
</w:p>
<w:p>
<w:pPr><w:pStyle w:val="Normal"/></w:pPr>
<w:r><w:t xml:space="preserve">formerly plentiful, have disappeared, and leopards and panthers</w:t></w:r>
</w:p>
<w:p>
<w:pPr><w:pStyle w:val="Normal"/></w:pPr>
<w:r><w:t xml:space="preserve">are rare; but jackals, hyenas and Algerian apes are not</w:t></w:r>
</w:p>
<w:p>
<w:pPr><w:pStyle w:val="Normal"/></w:pPr>
<w:r><w:t xml:space="preserve">uncommon.  Wild boars are found in the oak forests, and brown</w:t></w:r>
</w:p>
<w:p>
<w:pPr><w:pStyle w:val="Normal"/></w:pPr>
<w:r><w:t xml:space="preserve">bears in the uplands.  In the south are various species of</w:t></w:r>
</w:p>
<w:p>
<w:pPr><w:pStyle w:val="Normal"/></w:pPr>
<w:r><w:t xml:space="preserve">antelope and wild goat.  Red deer (Cervus elaphus barbarus),</w:t></w:r>
</w:p>
<w:p>
<w:pPr><w:pStyle w:val="Normal"/></w:pPr>
<w:r><w:t xml:space="preserve">which differ from the typical European species only in the</w:t></w:r>
</w:p>
<w:p>
<w:pPr><w:pStyle w:val="Normal"/></w:pPr>
<w:r><w:t xml:space="preserve">fact that the second tine is absent from their antlers, a</w:t></w:r>
</w:p>
<w:p>
<w:pPr><w:pStyle w:val="Normal"/></w:pPr>
<w:r><w:t xml:space="preserve">peculiarity which they share with the red deer of Spain and</w:t></w:r>
</w:p>
<w:p>
<w:pPr><w:pStyle w:val="Normal"/></w:pPr>
<w:r><w:t xml:space="preserve">Corsica, are still found in the forest of Beni Saleh in the</w:t></w:r>
</w:p>
<w:p>
<w:pPr><w:pStyle w:val="Normal"/></w:pPr>
<w:r><w:t xml:space="preserve">department of Constantine, but are being exterminated by forest</w:t></w:r>
</w:p>
<w:p>
<w:pPr><w:pStyle w:val="Normal"/></w:pPr>
<w:r><w:t xml:space="preserve">fires and poaching Arabs.  Of domestic animals the camel and</w:t></w:r>
</w:p>
<w:p>
<w:pPr><w:pStyle w:val="Normal"/></w:pPr>
<w:r><w:t xml:space="preserve">sheep are the most important.  The chief wealth of the Arab</w:t></w:r>
</w:p>
<w:p>
<w:pPr><w:pStyle w:val="Normal"/></w:pPr>
<w:r><w:t xml:space="preserve">tribes of the plateaus consists in their immense flocks of</w:t></w:r>
</w:p>
<w:p>
<w:pPr><w:pStyle w:val="Normal"/></w:pPr>
<w:r><w:t xml:space="preserve">sheep.  The horses and mules of Algeria are noted; and the</w:t></w:r>
</w:p>
<w:p>
<w:pPr><w:pStyle w:val="Normal"/></w:pPr>
<w:r><w:t xml:space="preserve">native cattle are an excellent stock on which to graft the</w:t></w:r>
</w:p>
<w:p>
<w:pPr><w:pStyle w:val="Normal"/></w:pPr>
<w:r><w:t xml:space="preserve">better European varieties.  Of birds, eagles, vultures, hawks,</w:t></w:r>
</w:p>
<w:p>
<w:pPr><w:pStyle w:val="Normal"/></w:pPr>
<w:r><w:t xml:space="preserve">owls and quails are common; snipe, curlews, plovers, storks</w:t></w:r>
</w:p>
<w:p>
<w:pPr><w:pStyle w:val="Normal"/></w:pPr>
<w:r><w:t xml:space="preserve">and herons frequent the marshy parts; and the ostrich the</w:t></w:r>
</w:p>
<w:p>
<w:pPr><w:pStyle w:val="Normal"/></w:pPr>
<w:r><w:t xml:space="preserve">desert.  Partridges and woodcocks are fairly common.  Among</w:t></w:r>
</w:p>
<w:p>
<w:pPr><w:pStyle w:val="Normal"/></w:pPr>
<w:r><w:t xml:space="preserve">the reptiles are various species of serpents, tortoises,</w:t></w:r>
</w:p>
<w:p>
<w:pPr><w:pStyle w:val="Normal"/></w:pPr>
<w:r><w:t xml:space="preserve">turtles, lizards, &amp;c. Locusts are common and sometimes do great</w:t></w:r>
</w:p>
<w:p>
<w:pPr><w:pStyle w:val="Normal"/></w:pPr>
<w:r><w:t xml:space="preserve">damage.  Scorpions are numerous in the acid regions.  Algerian</w:t></w:r>
</w:p>
<w:p>
<w:pPr><w:pStyle w:val="Normal"/></w:pPr>
<w:r><w:t xml:space="preserve">prawns, especially those of Bona, are large and of a delicate</w:t></w:r>
</w:p>
<w:p>
<w:pPr><w:pStyle w:val="Normal"/></w:pPr>
<w:r><w:t xml:space="preserve">flavour.  Of the twenty-one species of freshwater fish, five</w:t></w:r>
</w:p>
<w:p>
<w:pPr><w:pStyle w:val="Normal"/></w:pPr>
<w:r><w:t xml:space="preserve">are peculiar to the country, but none is of much economic</w:t></w:r>
</w:p>
<w:p>
<w:pPr><w:pStyle w:val="Normal"/></w:pPr>
<w:r><w:t xml:space="preserve">value save the barbel and eel.  A species of trout is found</w:t></w:r>
</w:p>
<w:p>
<w:pPr><w:pStyle w:val="Normal"/></w:pPr>
<w:r><w:t xml:space="preserve">in the streams near Collo, but in none of the other rivers.</w:t></w:r>
</w:p>
<w:p>
<w:pPr><w:pStyle w:val="Normal"/></w:pPr>
<w:r><w:t xml:space="preserve">The flora of Algeria consists of about 3000 species, of which</w:t></w:r>
</w:p>
<w:p>
<w:pPr><w:pStyle w:val="Normal"/></w:pPr>
<w:r><w:t xml:space="preserve">some 450 are indigenous to the country, 100 being peculiar</w:t></w:r>
</w:p>
<w:p>
<w:pPr><w:pStyle w:val="Normal"/></w:pPr>
<w:r><w:t xml:space="preserve">to the Sahara.  The flora of the Tell is South European in</w:t></w:r>
</w:p>
<w:p>
<w:pPr><w:pStyle w:val="Normal"/></w:pPr>
<w:r><w:t xml:space="preserve">character.  The agave and prickly pear, the myrtle, the</w:t></w:r>
</w:p>
<w:p>
<w:pPr><w:pStyle w:val="Normal"/></w:pPr>
<w:r><w:t xml:space="preserve">olive and the dwarf palm grow luxuriantly; and the fields</w:t></w:r>
</w:p>
<w:p>
<w:pPr><w:pStyle w:val="Normal"/></w:pPr>
<w:r><w:t xml:space="preserve">are covered with narcissus, iris and other flowers of every</w:t></w:r>
</w:p>
<w:p>
<w:pPr><w:pStyle w:val="Normal"/></w:pPr>
<w:r><w:t xml:space="preserve">hue.  Roses, geraniums, and the like, bloom throughout the</w:t></w:r>
</w:p>
<w:p>
<w:pPr><w:pStyle w:val="Normal"/></w:pPr>
<w:r><w:t xml:space="preserve">winter.  The flora of the high plateaus consists chiefly of</w:t></w:r>
</w:p>
<w:p>
<w:pPr><w:pStyle w:val="Normal"/></w:pPr>
<w:r><w:t xml:space="preserve">grasses, notably various kinds of alfa or esparto, and aromatic</w:t></w:r>
</w:p>
<w:p>
<w:pPr><w:pStyle w:val="Normal"/></w:pPr>
<w:r><w:t xml:space="preserve">herbs.  In the Saharan oases the characteristic tree is the</w:t></w:r>
</w:p>
<w:p>
<w:pPr><w:pStyle w:val="Normal"/></w:pPr>
<w:r><w:t xml:space="preserve">date palm--``the king of the desert.&apos;&apos; Over 11,000 sq. m. of</w:t></w:r>
</w:p>
<w:p>
<w:pPr><w:pStyle w:val="Normal"/></w:pPr>
<w:r><w:t xml:space="preserve">the mountainous country near the coast are covered with forests</w:t></w:r>
</w:p>
<w:p>
<w:pPr><w:pStyle w:val="Normal"/></w:pPr>
<w:r><w:t xml:space="preserve">of various species of oak, pine, fir, cedar, elm, ash, maple,</w:t></w:r>
</w:p>
<w:p>
<w:pPr><w:pStyle w:val="Normal"/></w:pPr>
<w:r><w:t xml:space="preserve">olive, many of them of gigantic size, and other trees; and on</w:t></w:r>
</w:p>
<w:p>
<w:pPr><w:pStyle w:val="Normal"/></w:pPr>
<w:r><w:t xml:space="preserve">the slopes of the mountains up to 3800 ft. above the sea the</w:t></w:r>
</w:p>
<w:p>
<w:pPr><w:pStyle w:val="Normal"/></w:pPr>
<w:r><w:t xml:space="preserve">fig is common.  Its fruit forms one of the staple articles of</w:t></w:r>
</w:p>
<w:p>
<w:pPr><w:pStyle w:val="Normal"/></w:pPr>
<w:r><w:t xml:space="preserve">food among the Kabyles.  Cork and carob trees are also very</w:t></w:r>
</w:p>
<w:p>
<w:pPr><w:pStyle w:val="Normal"/></w:pPr>
<w:r><w:t xml:space="preserve">common.  A magnificent conifer, the Atlantic pinsapo (Abies</w:t></w:r>
</w:p>
<w:p>
<w:pPr><w:pStyle w:val="Normal"/></w:pPr>
<w:r><w:t xml:space="preserve">Pinsapo), is found on the heights round Bougie.  The forests</w:t></w:r>
</w:p>
<w:p>
<w:pPr><w:pStyle w:val="Normal"/></w:pPr>
<w:r><w:t xml:space="preserve">suffer great damage from fires, occasioned in part by the</w:t></w:r>
</w:p>
<w:p>
<w:pPr><w:pStyle w:val="Normal"/></w:pPr>
<w:r><w:t xml:space="preserve">custom of burning up the grass every autumn, and in part by</w:t></w:r>
</w:p>
<w:p>
<w:pPr><w:pStyle w:val="Normal"/></w:pPr>
<w:r><w:t xml:space="preserve">incendiarism.  In 1902 alone, according to the British consular</w:t></w:r>
</w:p>
<w:p>
<w:pPr><w:pStyle w:val="Normal"/></w:pPr>
<w:r><w:t xml:space="preserve">report, ``at a moderate estimate the number of trees damaged</w:t></w:r>
</w:p>
<w:p>
<w:pPr><w:pStyle w:val="Normal"/></w:pPr>
<w:r><w:t xml:space="preserve">or destroyed might be put down at 6,000,000.&apos;&apos; Forestry is a</w:t></w:r>
</w:p>
<w:p>
<w:pPr><w:pStyle w:val="Normal"/></w:pPr>
<w:r><w:t xml:space="preserve">state-protected industry, the government owning over 500,000</w:t></w:r>
</w:p>
<w:p>
<w:pPr><w:pStyle w:val="Normal"/></w:pPr>
<w:r><w:t xml:space="preserve">acres of forest.  The chief tree which has commercial value</w:t></w:r>
</w:p>
<w:p>
<w:pPr><w:pStyle w:val="Normal"/></w:pPr>
<w:r><w:t xml:space="preserve">is the cork, and the stripping of the bark is under official</w:t></w:r>
</w:p>
<w:p>
<w:pPr><w:pStyle w:val="Normal"/></w:pPr>
<w:r><w:t xml:space="preserve">supervision.  The first cork harvest was gathered in 1890, when</w:t></w:r>
</w:p>
<w:p>
<w:pPr><w:pStyle w:val="Normal"/></w:pPr>
<w:r><w:t xml:space="preserve">1474 cwt. were sold for L. 1361.  Since that date the yield has</w:t></w:r>
</w:p>
<w:p>
<w:pPr><w:pStyle w:val="Normal"/></w:pPr>
<w:r><w:t xml:space="preserve">been very great.  Another tree of great commercial value is the</w:t></w:r>
</w:p>
<w:p>
<w:pPr><w:pStyle w:val="Normal"/></w:pPr>
<w:r><w:t xml:space="preserve">soap tree (Sapindus utilis), introduced into the country in</w:t></w:r>
</w:p>
<w:p>
<w:pPr><w:pStyle w:val="Normal"/></w:pPr>
<w:r><w:t xml:space="preserve">1845 and grown extensively in low-lying lands near the coast.</w:t></w:r>
</w:p>
<w:p>
<w:pPr><w:pStyle w:val="Normal"/></w:pPr>
<w:r><w:t xml:space="preserve">Inhabitants.--Algeria had in 1906 a population of 5,231,850,</w:t></w:r>
</w:p>
<w:p>
<w:pPr><w:pStyle w:val="Normal"/></w:pPr>
<w:r><w:t xml:space="preserve">consisting of a medley of European, Eastern and African</w:t></w:r>
</w:p>
<w:p>
<w:pPr><w:pStyle w:val="Normal"/></w:pPr>
<w:r><w:t xml:space="preserve">races.  The census showed that in addition to French settlers</w:t></w:r>
</w:p>
<w:p>
<w:pPr><w:pStyle w:val="Normal"/></w:pPr>
<w:r><w:t xml:space="preserve">and their descendants (278,976) there were 117,475 Spaniards</w:t></w:r>
</w:p>
<w:p>
<w:pPr><w:pStyle w:val="Normal"/></w:pPr>
<w:r><w:t xml:space="preserve">(most of whom are found in the department of Oran), 33,153</w:t></w:r>
</w:p>
<w:p>
<w:pPr><w:pStyle w:val="Normal"/></w:pPr>
<w:r><w:t xml:space="preserve">Italians (chiefly in the department of Constantine), 64,645</w:t></w:r>
</w:p>
<w:p>
<w:pPr><w:pStyle w:val="Normal"/></w:pPr>
<w:r><w:t xml:space="preserve">Jews, 6217 Maltese, and smaller communities of British,</w:t></w:r>
</w:p>
<w:p>
<w:pPr><w:pStyle w:val="Normal"/></w:pPr>
<w:r><w:t xml:space="preserve">Germans, Levantines and Greeks.  There were, moreover, 170,444</w:t></w:r>
</w:p>
<w:p>
<w:pPr><w:pStyle w:val="Normal"/></w:pPr>
<w:r><w:t xml:space="preserve">naturalized French citizens, mainly of Spanish and Italian</w:t></w:r>
</w:p>
<w:p>
<w:pPr><w:pStyle w:val="Normal"/></w:pPr>
<w:r><w:t xml:space="preserve">origin. (These figures are exclusive of 73,790 persons counted</w:t></w:r>
</w:p>
<w:p>
<w:pPr><w:pStyle w:val="Normal"/></w:pPr>
<w:r><w:t xml:space="preserve">apart, as not enjoying municipal rights.  In the 73,799 the</w:t></w:r>
</w:p>
<w:p>
<w:pPr><w:pStyle w:val="Normal"/></w:pPr>
<w:r><w:t xml:space="preserve">troops, French and native, are included).  The total European</w:t></w:r>
</w:p>
<w:p>
<w:pPr><w:pStyle w:val="Normal"/></w:pPr>
<w:r><w:t xml:space="preserve">population, in which category are reckoned the Jews, other</w:t></w:r>
</w:p>
<w:p>
<w:pPr><w:pStyle w:val="Normal"/></w:pPr>
<w:r><w:t xml:space="preserve">than those of Mzab, was 680,263.  Compared with the census</w:t></w:r>
</w:p>
<w:p>
<w:pPr><w:pStyle w:val="Normal"/></w:pPr>
<w:r><w:t xml:space="preserve">of 1901 the figures of 1906 showed a decrease of 14,000</w:t></w:r>
</w:p>
<w:p>
<w:pPr><w:pStyle w:val="Normal"/></w:pPr>
<w:r><w:t xml:space="preserve">French, 36,000 Spaniards and 5000 Italians, but an increase</w:t></w:r>
</w:p>
<w:p>
<w:pPr><w:pStyle w:val="Normal"/></w:pPr>
<w:r><w:t xml:space="preserve">of nearly 100,000 in the foreigners naturalized.  Of other</w:t></w:r>
</w:p>
<w:p>
<w:pPr><w:pStyle w:val="Normal"/></w:pPr>
<w:r><w:t xml:space="preserve">races: (1) The Berbers (q.v.) constitute 75% of the entire</w:t></w:r>
</w:p>
<w:p>
<w:pPr><w:pStyle w:val="Normal"/></w:pPr>
<w:r><w:t xml:space="preserve">population.  The Kabyles (q.v.), a division of the Berbers,</w:t></w:r>
</w:p>
<w:p>
<w:pPr><w:pStyle w:val="Normal"/></w:pPr>
<w:r><w:t xml:space="preserve">occupy chiefly the more mountainous parts of the Tell, but</w:t></w:r>
</w:p>
<w:p>
<w:pPr><w:pStyle w:val="Normal"/></w:pPr>
<w:r><w:t xml:space="preserve">some live in the plains and valleys. (2) Arabs, a numerous</w:t></w:r>
</w:p>
<w:p>
<w:pPr><w:pStyle w:val="Normal"/></w:pPr>
<w:r><w:t xml:space="preserve">class, are found principally in the south. (3) The so-called</w:t></w:r>
</w:p>
<w:p>
<w:pPr><w:pStyle w:val="Normal"/></w:pPr>
<w:r><w:t xml:space="preserve">``Moors,&apos;&apos; generally of mixed blood, inhabit the towns and</w:t></w:r>
</w:p>
<w:p>
<w:pPr><w:pStyle w:val="Normal"/></w:pPr>
<w:r><w:t xml:space="preserve">villages near the sea-coast. (4) Negroes, originally brought</w:t></w:r>
</w:p>
<w:p>
<w:pPr><w:pStyle w:val="Normal"/></w:pPr>
<w:r><w:t xml:space="preserve">from the interior and sold as slaves, are now found chiefly</w:t></w:r>
</w:p>
<w:p>
<w:pPr><w:pStyle w:val="Normal"/></w:pPr>
<w:r><w:t xml:space="preserve">in the towns, where they serve as labourers and domestic</w:t></w:r>
</w:p>
<w:p>
<w:pPr><w:pStyle w:val="Normal"/></w:pPr>
<w:r><w:t xml:space="preserve">servants. (5) Mzabites (q.v.) or Beni-Mzab, a distinct</w:t></w:r>
</w:p>
<w:p>
<w:pPr><w:pStyle w:val="Normal"/></w:pPr>
<w:r><w:t xml:space="preserve">branch of the Berber race, are for the most part engaged in</w:t></w:r>
</w:p>
<w:p>
<w:pPr><w:pStyle w:val="Normal"/></w:pPr>
<w:r><w:t xml:space="preserve">petty trade, and are distinguished by their sleeveless coats</w:t></w:r>
</w:p>
<w:p>
<w:pPr><w:pStyle w:val="Normal"/></w:pPr>
<w:r><w:t xml:space="preserve">of many colours. (6) A few Tuareg (q.v.), another division</w:t></w:r>
</w:p>
<w:p>
<w:pPr><w:pStyle w:val="Normal"/></w:pPr>
<w:r><w:t xml:space="preserve">of the Berbers, are among the nomads found in the Algerian</w:t></w:r>
</w:p>
<w:p>
<w:pPr><w:pStyle w:val="Normal"/></w:pPr>
<w:r><w:t xml:space="preserve">Sahara.  The Kabyles, Mzabites, Tuareg, Arabs and Moors all</w:t></w:r>
</w:p>
<w:p>
<w:pPr><w:pStyle w:val="Normal"/></w:pPr>
<w:r><w:t xml:space="preserve">profess Mahommedanism, though it is only among the Arabs</w:t></w:r>
</w:p>
<w:p>
<w:pPr><w:pStyle w:val="Normal"/></w:pPr>
<w:r><w:t xml:space="preserve">that its tenets are held in any purity.  The census of 1906</w:t></w:r>
</w:p>
<w:p>
<w:pPr><w:pStyle w:val="Normal"/></w:pPr>
<w:r><w:t xml:space="preserve">gave the number of the native population at 4,447,149.  There</w:t></w:r>
</w:p>
<w:p>
<w:pPr><w:pStyle w:val="Normal"/></w:pPr>
<w:r><w:t xml:space="preserve">were also 28,639 non-European foreigners in the country.</w:t></w:r>
</w:p>
<w:p>
<w:pPr><w:pStyle w:val="Normal"/></w:pPr>
<w:r><w:t xml:space="preserve">The Turks, though for a considerable period the dominant race,</w:t></w:r>
</w:p>
<w:p>
<w:pPr><w:pStyle w:val="Normal"/></w:pPr>
<w:r><w:t xml:space="preserve">were never very numerous in Algeria.  The majority of them</w:t></w:r>
</w:p>
<w:p>
<w:pPr><w:pStyle w:val="Normal"/></w:pPr>
<w:r><w:t xml:space="preserve">were repatriated by the French.  The Kuluglis, descendants of</w:t></w:r>
</w:p>
<w:p>
<w:pPr><w:pStyle w:val="Normal"/></w:pPr>
<w:r><w:t xml:space="preserve">Turks by native women--once a distinct race noted for their</w:t></w:r>
</w:p>
<w:p>
<w:pPr><w:pStyle w:val="Normal"/></w:pPr>
<w:r><w:t xml:space="preserve">energy, bravery and pride--have almost ceased to exist as a</w:t></w:r>
</w:p>
<w:p>
<w:pPr><w:pStyle w:val="Normal"/></w:pPr>
<w:r><w:t xml:space="preserve">separate people, being merged in the Moors.  Jews have long</w:t></w:r>
</w:p>
<w:p>
<w:pPr><w:pStyle w:val="Normal"/></w:pPr>
<w:r><w:t xml:space="preserve">been settled in Algeria.  Some are supposed to have fled</w:t></w:r>
</w:p>
<w:p>
<w:pPr><w:pStyle w:val="Normal"/></w:pPr>
<w:r><w:t xml:space="preserve">thither when expelled from Cyrenaica in the reign of the</w:t></w:r>
</w:p>
<w:p>
<w:pPr><w:pStyle w:val="Normal"/></w:pPr>
<w:r><w:t xml:space="preserve">emperor Hadrian, and others on their banishment from Italy in</w:t></w:r>
</w:p>
<w:p>
<w:pPr><w:pStyle w:val="Normal"/></w:pPr>
<w:r><w:t xml:space="preserve">1342.  The purely ``African&apos;&apos; Jew is now found only in the</w:t></w:r>
</w:p>
<w:p>
<w:pPr><w:pStyle w:val="Normal"/></w:pPr>
<w:r><w:t xml:space="preserve">oases in the extreme south of the country.  In the towns the</w:t></w:r>
</w:p>
<w:p>
<w:pPr><w:pStyle w:val="Normal"/></w:pPr>
<w:r><w:t xml:space="preserve">``native&apos;&apos; Jews have intermarried with later arrivals from</w:t></w:r>
</w:p>
<w:p>
<w:pPr><w:pStyle w:val="Normal"/></w:pPr>
<w:r><w:t xml:space="preserve">Europe.  A remarkable feast is kept annually by the Algerian Jews</w:t></w:r>
</w:p>
<w:p>
<w:pPr><w:pStyle w:val="Normal"/></w:pPr>
<w:r><w:t xml:space="preserve">to commemorate the defeat by the Turks of the emperor Charles</w:t></w:r>
</w:p>
<w:p>
<w:pPr><w:pStyle w:val="Normal"/></w:pPr>
<w:r><w:t xml:space="preserve">V.&apos;s attempt to capture Algiers (1541).  The Jews, who enjoyed</w:t></w:r>
</w:p>
<w:p>
<w:pPr><w:pStyle w:val="Normal"/></w:pPr>
<w:r><w:t xml:space="preserve">religious freedom under the Mahommedans, believed that the</w:t></w:r>
</w:p>
<w:p>
<w:pPr><w:pStyle w:val="Normal"/></w:pPr>
<w:r><w:t xml:space="preserve">success of the Spaniards would but lead to their own persecution.</w:t></w:r>
</w:p>
<w:p>
<w:pPr><w:pStyle w:val="Normal"/></w:pPr>
<w:r><w:t xml:space="preserve">Chief Towns.--The chief towns are Algiers, the capital</w:t></w:r>
</w:p>
<w:p>
<w:pPr><w:pStyle w:val="Normal"/></w:pPr>
<w:r><w:t xml:space="preserve">and principal seaport, with a population (1906), including</w:t></w:r>
</w:p>
<w:p>
<w:pPr><w:pStyle w:val="Normal"/></w:pPr>
<w:r><w:t xml:space="preserve">Mustapha and other suburbs, of 154,049; Oran (100,499),2</w:t></w:r>
</w:p>
<w:p>
<w:pPr><w:pStyle w:val="Normal"/></w:pPr>
<w:r><w:t xml:space="preserve">a western seaport and capital of the department of the same</w:t></w:r>
</w:p>
<w:p>
<w:pPr><w:pStyle w:val="Normal"/></w:pPr>
<w:r><w:t xml:space="preserve">name, and Constantine (46,806), an inland town, capital of</w:t></w:r>
</w:p>
<w:p>
<w:pPr><w:pStyle w:val="Normal"/></w:pPr>
<w:r><w:t xml:space="preserve">the department of Constantine.  Besides Algiers and Oran the</w:t></w:r>
</w:p>
<w:p>
<w:pPr><w:pStyle w:val="Normal"/></w:pPr>
<w:r><w:t xml:space="preserve">principal seaports are Bona (36,004), Mostaganem (19,528),</w:t></w:r>
</w:p>
<w:p>
<w:pPr><w:pStyle w:val="Normal"/></w:pPr>
<w:r><w:t xml:space="preserve">Philippeville (16,539), Bougie (10,419), Cherchel (4733)</w:t></w:r>
</w:p>
<w:p>
<w:pPr><w:pStyle w:val="Normal"/></w:pPr>
<w:r><w:t xml:space="preserve">and La Calle (2774).  Inland, besides Constantine, are</w:t></w:r>
</w:p>
<w:p>
<w:pPr><w:pStyle w:val="Normal"/></w:pPr>
<w:r><w:t xml:space="preserve">the important towns of Tlemcen ( 24,060), Sidi-bel-Abbes</w:t></w:r>
</w:p>
<w:p>
<w:pPr><w:pStyle w:val="Normal"/></w:pPr>
<w:r><w:t xml:space="preserve">(24,494), Mascara (18,989) and Blida (16,866).  In the</w:t></w:r>
</w:p>
<w:p>
<w:pPr><w:pStyle w:val="Normal"/></w:pPr>
<w:r><w:t xml:space="preserve">Sahara are Biskra (4218), El Wad (7586), Tuggurt (2073) and</w:t></w:r>
</w:p>
<w:p>
<w:pPr><w:pStyle w:val="Normal"/></w:pPr>
<w:r><w:t xml:space="preserve">Wargla (3579).  All these places are separately noticed.</w:t></w:r>
</w:p>
<w:p>
<w:pPr><w:pStyle w:val="Normal"/></w:pPr>
<w:r><w:t xml:space="preserve">Nemours (1229) is a seaport near the Moroccan frontier,</w:t></w:r>
</w:p>
<w:p>
<w:pPr><w:pStyle w:val="Normal"/></w:pPr>
<w:r><w:t xml:space="preserve">which formerly bore an Arabic name pregnant with its history</w:t></w:r>
</w:p>
<w:p>
<w:pPr><w:pStyle w:val="Normal"/></w:pPr>
<w:r><w:t xml:space="preserve">--Jamaa-el-Ghazuat (``rendezvous of the pirates&apos;&apos;).  The</w:t></w:r>
</w:p>
<w:p>
<w:pPr><w:pStyle w:val="Normal"/></w:pPr>
<w:r><w:t xml:space="preserve">surrounding country is rich in mineral wealth.  Arzeu (3085)</w:t></w:r>
</w:p>
<w:p>
<w:pPr><w:pStyle w:val="Normal"/></w:pPr>
<w:r><w:t xml:space="preserve">occupies a site on the western side of the gulf of the same</w:t></w:r>
</w:p>
<w:p>
<w:pPr><w:pStyle w:val="Normal"/></w:pPr>
<w:r><w:t xml:space="preserve">name.  It has a good harbour, is the outlet for the produce</w:t></w:r>
</w:p>
<w:p>
<w:pPr><w:pStyle w:val="Normal"/></w:pPr>
<w:r><w:t xml:space="preserve">of several fertile valleys, and the starting-point of a</w:t></w:r>
</w:p>
<w:p>
<w:pPr><w:pStyle w:val="Normal"/></w:pPr>
<w:r><w:t xml:space="preserve">railway which penetrates into the Sahara.  This railway passes</w:t></w:r>
</w:p>
<w:p>
<w:pPr><w:pStyle w:val="Normal"/></w:pPr>
<w:r><w:t xml:space="preserve">Saida (6256), 106 m. south of Arzeu, one of the capitals of</w:t></w:r>
</w:p>
<w:p>
<w:pPr><w:pStyle w:val="Normal"/></w:pPr>
<w:r><w:t xml:space="preserve">Abd-el-Kader, and serves to bring down from the high plateaus</w:t></w:r>
</w:p>
<w:p>
<w:pPr><w:pStyle w:val="Normal"/></w:pPr>
<w:r><w:t xml:space="preserve">their rich crops of esparto grass.  Four miles S.E. of Arzeu</w:t></w:r>
</w:p>
<w:p>
<w:pPr><w:pStyle w:val="Normal"/></w:pPr>
<w:r><w:t xml:space="preserve">is a Berber village, where are interesting ruins of a Roman</w:t></w:r>
</w:p>
<w:p>
<w:pPr><w:pStyle w:val="Normal"/></w:pPr>
<w:r><w:t xml:space="preserve">settlement, identified by some authorities as the Portus</w:t></w:r>
</w:p>
<w:p>
<w:pPr><w:pStyle w:val="Normal"/></w:pPr>
<w:r><w:t xml:space="preserve">Magnus of Pliny; other authorities claim Oran as occupying</w:t></w:r>
</w:p>
<w:p>
<w:pPr><w:pStyle w:val="Normal"/></w:pPr>
<w:r><w:t xml:space="preserve">the site of Portus Magnus.  In the vicinity are the famous</w:t></w:r>
</w:p>
<w:p>
<w:pPr><w:pStyle w:val="Normal"/></w:pPr>
<w:r><w:t xml:space="preserve">quarries of Numidian marbles.  Tenes (3176) is a seaport</w:t></w:r>
</w:p>
<w:p>
<w:pPr><w:pStyle w:val="Normal"/></w:pPr>
<w:r><w:t xml:space="preserve">situated about 100 m. east of Arzeu on the site of the</w:t></w:r>
</w:p>
<w:p>
<w:pPr><w:pStyle w:val="Normal"/></w:pPr>
<w:r><w:t xml:space="preserve">Phoenician town, afterwards the Roman colony, of Cartenna.</w:t></w:r>
</w:p>
<w:p>
<w:pPr><w:pStyle w:val="Normal"/></w:pPr>
<w:r><w:t xml:space="preserve">Outside the town to the west is a public garden in which are</w:t></w:r>
</w:p>
<w:p>
<w:pPr><w:pStyle w:val="Normal"/></w:pPr>
<w:r><w:t xml:space="preserve">several Roman tombs with inscriptions.  Between Tenes and</w:t></w:r>
</w:p>
<w:p>
<w:pPr><w:pStyle w:val="Normal"/></w:pPr>
<w:r><w:t xml:space="preserve">Algiers are Tipasa (q.v.) and Castiglione (1634), formerly</w:t></w:r>
</w:p>
<w:p>
<w:pPr><w:pStyle w:val="Normal"/></w:pPr>
<w:r><w:t xml:space="preserve">called Bu-Ismail, both pleasant watering-places.  Five miles</w:t></w:r>
</w:p>
<w:p>
<w:pPr><w:pStyle w:val="Normal"/></w:pPr>
<w:r><w:t xml:space="preserve">inland west of Castiglione is Kolea (2932), a town dating</w:t></w:r>
</w:p>
<w:p>
<w:pPr><w:pStyle w:val="Normal"/></w:pPr>
<w:r><w:t xml:space="preserve">from 1550 and originally peopled by Moslem refugees from</w:t></w:r>
</w:p>
<w:p>
<w:pPr><w:pStyle w:val="Normal"/></w:pPr>
<w:r><w:t xml:space="preserve">Spain.  It was destroyed by earthquake in 1825 and has been</w:t></w:r>
</w:p>
<w:p>
<w:pPr><w:pStyle w:val="Normal"/></w:pPr>
<w:r><w:t xml:space="preserve">rebuilt largely in European style.  It contains the kubba</w:t></w:r>
</w:p>
<w:p>
<w:pPr><w:pStyle w:val="Normal"/></w:pPr>
<w:r><w:t xml:space="preserve">of a celebrated marabout, Sidi Embarek, who lived in the 17th</w:t></w:r>
</w:p>
<w:p>
<w:pPr><w:pStyle w:val="Normal"/></w:pPr>
<w:r><w:t xml:space="preserve">century.  Dellys (3275), 50 m. by sea E. of Algiers, has a</w:t></w:r>
</w:p>
<w:p>
<w:pPr><w:pStyle w:val="Normal"/></w:pPr>
<w:r><w:t xml:space="preserve">small harbour sheltered from the W. and N.W. winds only.  It</w:t></w:r>
</w:p>
<w:p>
<w:pPr><w:pStyle w:val="Normal"/></w:pPr>
<w:r><w:t xml:space="preserve">is a walled town regularly laid out, built by the French on</w:t></w:r>
</w:p>
<w:p>
<w:pPr><w:pStyle w:val="Normal"/></w:pPr>
<w:r><w:t xml:space="preserve">the site of the Roman Ruscurium, the western ramparts of which</w:t></w:r>
</w:p>
<w:p>
<w:pPr><w:pStyle w:val="Normal"/></w:pPr>
<w:r><w:t xml:space="preserve">may still be seen.  Jijelli (4878), on the eastern side of</w:t></w:r>
</w:p>
<w:p>
<w:pPr><w:pStyle w:val="Normal"/></w:pPr>
<w:r><w:t xml:space="preserve">the Gulf of Bougie, occupies the site of the Roman colony of</w:t></w:r>
</w:p>
<w:p>
<w:pPr><w:pStyle w:val="Normal"/></w:pPr>
<w:r><w:t xml:space="preserve">Igilgilis.  The old town, built on a rocky peninsula, was</w:t></w:r>
</w:p>
<w:p>
<w:pPr><w:pStyle w:val="Normal"/></w:pPr>
<w:r><w:t xml:space="preserve">completely destroyed by earthquake in 1856.  A new town</w:t></w:r>
</w:p>
<w:p>
<w:pPr><w:pStyle w:val="Normal"/></w:pPr>
<w:r><w:t xml:space="preserve">arose eastward of the former site, which is now restored as a</w:t></w:r>
</w:p>
<w:p>
<w:pPr><w:pStyle w:val="Normal"/></w:pPr>
<w:r><w:t xml:space="preserve">citadel.  Twenty miles by sea west of Philippeville is Collo</w:t></w:r>
</w:p>
<w:p>
<w:pPr><w:pStyle w:val="Normal"/></w:pPr>
<w:r><w:t xml:space="preserve">(2258), a city of considerable importance during the Roman</w:t></w:r>
</w:p>
<w:p>
<w:pPr><w:pStyle w:val="Normal"/></w:pPr>
<w:r><w:t xml:space="preserve">occupation.  It was the Kollops Magnus of Ptolemy.</w:t></w:r>
</w:p>
<w:p>
<w:pPr><w:pStyle w:val="Normal"/></w:pPr>
<w:r><w:t xml:space="preserve">Twenty-three miles S.W. by rail from Algiers is Bufarik (the</w:t></w:r>
</w:p>
<w:p>
<w:pPr><w:pStyle w:val="Normal"/></w:pPr>
<w:r><w:t xml:space="preserve">``hanging well&apos;&apos;); pop. 5980.  A thoroughly French town, it</w:t></w:r>
</w:p>
<w:p>
<w:pPr><w:pStyle w:val="Normal"/></w:pPr>
<w:r><w:t xml:space="preserve">dates from 1835, when General Drouet d&apos;Erlon established there</w:t></w:r>
</w:p>
<w:p>
<w:pPr><w:pStyle w:val="Normal"/></w:pPr>
<w:r><w:t xml:space="preserve">an entrenched camp on a hillock in the midst of a pestilential</w:t></w:r>
</w:p>
<w:p>
<w:pPr><w:pStyle w:val="Normal"/></w:pPr>
<w:r><w:t xml:space="preserve">swamp.  Soon afterwards Marshal Clausel began to build a</w:t></w:r>
</w:p>
<w:p>
<w:pPr><w:pStyle w:val="Normal"/></w:pPr>
<w:r><w:t xml:space="preserve">regular city, which was at first called Medina Clausel in his</w:t></w:r>
</w:p>
<w:p>
<w:pPr><w:pStyle w:val="Normal"/></w:pPr>
<w:r><w:t xml:space="preserve">honour.  The draining of the site and neighbourhood was a costly</w:t></w:r>
</w:p>
<w:p>
<w:pPr><w:pStyle w:val="Normal"/></w:pPr>
<w:r><w:t xml:space="preserve">undertaking, and was only accomplished by the sacrifice of many</w:t></w:r>
</w:p>
<w:p>
<w:pPr><w:pStyle w:val="Normal"/></w:pPr>
<w:r><w:t xml:space="preserve">lives.  The town, surrounded by vast orchards and farms, is</w:t></w:r>
</w:p>
<w:p>
<w:pPr><w:pStyle w:val="Normal"/></w:pPr>
<w:r><w:t xml:space="preserve">now one of the most flourishing in the country; and the most</w:t></w:r>
</w:p>
<w:p>
<w:pPr><w:pStyle w:val="Normal"/></w:pPr>
<w:r><w:t xml:space="preserve">important market in the colony for the sale of cattle and</w:t></w:r>
</w:p>
<w:p>
<w:pPr><w:pStyle w:val="Normal"/></w:pPr>
<w:r><w:t xml:space="preserve">agricultural produce is held there.  Sixty-three miles S.W.</w:t></w:r>
</w:p>
<w:p>
<w:pPr><w:pStyle w:val="Normal"/></w:pPr>
<w:r><w:t xml:space="preserve">of Algiers is Medea (4030)--supposed to stand on the site of</w:t></w:r>
</w:p>
<w:p>
<w:pPr><w:pStyle w:val="Normal"/></w:pPr>
<w:r><w:t xml:space="preserve">a Roman town--finely situated on a plateau 3000 ft. above the</w:t></w:r>
</w:p>
<w:p>
<w:pPr><w:pStyle w:val="Normal"/></w:pPr>
<w:r><w:t xml:space="preserve">sea.  It is surrounded by a wall pierced by five gates.</w:t></w:r>
</w:p>
<w:p>
<w:pPr><w:pStyle w:val="Normal"/></w:pPr>
<w:r><w:t xml:space="preserve">An ancient aqueduct is built into the eastern side of the</w:t></w:r>
</w:p>
<w:p>
<w:pPr><w:pStyle w:val="Normal"/></w:pPr>
<w:r><w:t xml:space="preserve">wall.  The town, which was chosen by the Turks as capital of</w:t></w:r>
</w:p>
<w:p>
<w:pPr><w:pStyle w:val="Normal"/></w:pPr>
<w:r><w:t xml:space="preserve">the beylik of Titeri, is now French in character.  Miliana</w:t></w:r>
</w:p>
<w:p>
<w:pPr><w:pStyle w:val="Normal"/></w:pPr>
<w:r><w:t xml:space="preserve">(3991), which occupies the site of the Roman Milliana,</w:t></w:r>
</w:p>
<w:p>
<w:pPr><w:pStyle w:val="Normal"/></w:pPr>
<w:r><w:t xml:space="preserve">lies about midway between Blida and Orleansville, is 2400</w:t></w:r>
</w:p>
<w:p>
<w:pPr><w:pStyle w:val="Normal"/></w:pPr>
<w:r><w:t xml:space="preserve">ft. above the sea, and is built on a plateau of the Zakkar</w:t></w:r>
</w:p>
<w:p>
<w:pPr><w:pStyle w:val="Normal"/></w:pPr>
<w:r><w:t xml:space="preserve">mountains, commanding magnificent views of the valley of the</w:t></w:r>
</w:p>
<w:p>
<w:pPr><w:pStyle w:val="Normal"/></w:pPr>
<w:r><w:t xml:space="preserve">Shelif.  It possesses few remains of antiquity.  An old</w:t></w:r>
</w:p>
<w:p>
<w:pPr><w:pStyle w:val="Normal"/></w:pPr>
<w:r><w:t xml:space="preserve">Moorish minaret has been turned into a clock tower.  The</w:t></w:r>
</w:p>
<w:p>
<w:pPr><w:pStyle w:val="Normal"/></w:pPr>
<w:r><w:t xml:space="preserve">town, which is walled, has been rebuilt by the French.</w:t></w:r>
</w:p>
<w:p>
<w:pPr><w:pStyle w:val="Normal"/></w:pPr>
<w:r><w:t xml:space="preserve">The chief streets are bordered by trees and have streams of</w:t></w:r>
</w:p>
<w:p>
<w:pPr><w:pStyle w:val="Normal"/></w:pPr>
<w:r><w:t xml:space="preserve">water running down either side.  Hammam R&apos;Irha to the N.E. of</w:t></w:r>
</w:p>
<w:p>
<w:pPr><w:pStyle w:val="Normal"/></w:pPr>
<w:r><w:t xml:space="preserve">Miliana, noted from the time of the Romans for its thermal</w:t></w:r>
</w:p>
<w:p>
<w:pPr><w:pStyle w:val="Normal"/></w:pPr>
<w:r><w:t xml:space="preserve">springs, occupies a picturesque position 1800 ft. above the</w:t></w:r>
</w:p>
<w:p>
<w:pPr><w:pStyle w:val="Normal"/></w:pPr>
<w:r><w:t xml:space="preserve">sea.  Being the only place within easy distance of western</w:t></w:r>
</w:p>
<w:p>
<w:pPr><w:pStyle w:val="Normal"/></w:pPr>
<w:r><w:t xml:space="preserve">Europe where patients can take with safety a course of baths</w:t></w:r>
</w:p>
<w:p>
<w:pPr><w:pStyle w:val="Normal"/></w:pPr>
<w:r><w:t xml:space="preserve">during the winter months, it has become a resort of invalids.</w:t></w:r>
</w:p>
<w:p>
<w:pPr><w:pStyle w:val="Normal"/></w:pPr>
<w:r><w:t xml:space="preserve">Orleansville (3510), on the extensive plain of the Shelif, 130</w:t></w:r>
</w:p>
<w:p>
<w:pPr><w:pStyle w:val="Normal"/></w:pPr>
<w:r><w:t xml:space="preserve">m.  S.W. by rail from Algiers. and 132 m.  N.E. from Oran, is</w:t></w:r>
</w:p>
<w:p>
<w:pPr><w:pStyle w:val="Normal"/></w:pPr>
<w:r><w:t xml:space="preserve">an important military station.  The basilica of St Reparatus,</w:t></w:r>
</w:p>
<w:p>
<w:pPr><w:pStyle w:val="Normal"/></w:pPr>
<w:r><w:t xml:space="preserve">discovered in 1843, was allowed to be used as a public stable</w:t></w:r>
</w:p>
<w:p>
<w:pPr><w:pStyle w:val="Normal"/></w:pPr>
<w:r><w:t xml:space="preserve">and has been completely destroyed.  There was in it a beautiful</w:t></w:r>
</w:p>
<w:p>
<w:pPr><w:pStyle w:val="Normal"/></w:pPr>
<w:r><w:t xml:space="preserve">mosaic of which, fortunately, drawings exist.  From this it</w:t></w:r>
</w:p>
<w:p>
<w:pPr><w:pStyle w:val="Normal"/></w:pPr>
<w:r><w:t xml:space="preserve">appears that the church was built in A.D. 324, and that St</w:t></w:r>
</w:p>
<w:p>
<w:pPr><w:pStyle w:val="Normal"/></w:pPr>
<w:r><w:t xml:space="preserve">Reparatus, bishop of the diocese, was buried in it in 475.</w:t></w:r>
</w:p>
<w:p>
<w:pPr><w:pStyle w:val="Normal"/></w:pPr>
<w:r><w:t xml:space="preserve">Orleansville occupies the site of the Roman Castellum Tingitanum.</w:t></w:r>
</w:p>
<w:p>
<w:pPr><w:pStyle w:val="Normal"/></w:pPr>
<w:r><w:t xml:space="preserve">Ninety miles S.W. of Bougie is Aumale (2350), a town and military</w:t></w:r>
</w:p>
<w:p>
<w:pPr><w:pStyle w:val="Normal"/></w:pPr>
<w:r><w:t xml:space="preserve">post established by the French in 1846 on the site of the ancient</w:t></w:r>
</w:p>
<w:p>
<w:pPr><w:pStyle w:val="Normal"/></w:pPr>
<w:r><w:t xml:space="preserve">Auzia.  The Roman town was founded in the reign of Augustus,</w:t></w:r>
</w:p>
<w:p>
<w:pPr><w:pStyle w:val="Normal"/></w:pPr>
<w:r><w:t xml:space="preserve">and it flourished for two centuries before it disappeared from</w:t></w:r>
</w:p>
<w:p>
<w:pPr><w:pStyle w:val="Normal"/></w:pPr>
<w:r><w:t xml:space="preserve">history.  Out of the materials of the ancient city the Turks</w:t></w:r>
</w:p>
<w:p>
<w:pPr><w:pStyle w:val="Normal"/></w:pPr>
<w:r><w:t xml:space="preserve">built a fort, which at the time of the French occupation was</w:t></w:r>
</w:p>
<w:p>
<w:pPr><w:pStyle w:val="Normal"/></w:pPr>
<w:r><w:t xml:space="preserve">itself a heap of ruins.  Setif (12,261), the Sitifis Colonia</w:t></w:r>
</w:p>
<w:p>
<w:pPr><w:pStyle w:val="Normal"/></w:pPr>
<w:r><w:t xml:space="preserve">of the Romans, is 50 m.  S.E. of Bougie and 97 m. by rail W. of</w:t></w:r>
</w:p>
<w:p>
<w:pPr><w:pStyle w:val="Normal"/></w:pPr>
<w:r><w:t xml:space="preserve">Constantine.  It stands 3573 ft. above the sea, and is the</w:t></w:r>
</w:p>
<w:p>
<w:pPr><w:pStyle w:val="Normal"/></w:pPr>
<w:r><w:t xml:space="preserve">junction of several great lines of communication.  Its market is</w:t></w:r>
</w:p>
<w:p>
<w:pPr><w:pStyle w:val="Normal"/></w:pPr>
<w:r><w:t xml:space="preserve">attended by Kabyles, Arabs of the plateaus and people from the</w:t></w:r>
</w:p>
<w:p>
<w:pPr><w:pStyle w:val="Normal"/></w:pPr>
<w:r><w:t xml:space="preserve">Sahara.  The town has been entirely rebuilt in the French</w:t></w:r>
</w:p>
<w:p>
<w:pPr><w:pStyle w:val="Normal"/></w:pPr>
<w:r><w:t xml:space="preserve">style.  Most of the Roman ruins, even those existing at the time</w:t></w:r>
</w:p>
<w:p>
<w:pPr><w:pStyle w:val="Normal"/></w:pPr>
<w:r><w:t xml:space="preserve">of the French occupation (1839), have disappeared.  The walls</w:t></w:r>
</w:p>
<w:p>
<w:pPr><w:pStyle w:val="Normal"/></w:pPr>
<w:r><w:t xml:space="preserve">of the Roman city, restored probably by the Byzantines, have</w:t></w:r>
</w:p>
<w:p>
<w:pPr><w:pStyle w:val="Normal"/></w:pPr>
<w:r><w:t xml:space="preserve">been incorporated in the French walls, which are pierced by four</w:t></w:r>
</w:p>
<w:p>
<w:pPr><w:pStyle w:val="Normal"/></w:pPr>
<w:r><w:t xml:space="preserve">gates.  Batna (5279), a walled town 3350 ft. above the sea, 50</w:t></w:r>
</w:p>
<w:p>
<w:pPr><w:pStyle w:val="Normal"/></w:pPr>
<w:r><w:t xml:space="preserve">m.  S. of Constantine by the railway to Biskra, commands the</w:t></w:r>
</w:p>
<w:p>
<w:pPr><w:pStyle w:val="Normal"/></w:pPr>
<w:r><w:t xml:space="preserve">passage of the Aures mountains by which the nomads of the</w:t></w:r>
</w:p>
<w:p>
<w:pPr><w:pStyle w:val="Normal"/></w:pPr>
<w:r><w:t xml:space="preserve">Sahara were wont to enter the Tell.  Its importance rests on</w:t></w:r>
</w:p>
<w:p>
<w:pPr><w:pStyle w:val="Normal"/></w:pPr>
<w:r><w:t xml:space="preserve">its strategic position.  On the railway between Constantine</w:t></w:r>
</w:p>
<w:p>
<w:pPr><w:pStyle w:val="Normal"/></w:pPr>
<w:r><w:t xml:space="preserve">and Bona and 76 m. from the latter, is Guelma (6584), the Roman</w:t></w:r>
</w:p>
<w:p>
<w:pPr><w:pStyle w:val="Normal"/></w:pPr>
<w:r><w:t xml:space="preserve">Kalama, finely situated on the right bank of the Seybuse.</w:t></w:r>
</w:p>
<w:p>
<w:pPr><w:pStyle w:val="Normal"/></w:pPr>
<w:r><w:t xml:space="preserve">The French occupied the place in 1836 and built their town</w:t></w:r>
</w:p>
<w:p>
<w:pPr><w:pStyle w:val="Normal"/></w:pPr>
<w:r><w:t xml:space="preserve">out of the Roman ruins.  Thirty miles S.E. of Guelma is Suk</w:t></w:r>
</w:p>
<w:p>
<w:pPr><w:pStyle w:val="Normal"/></w:pPr>
<w:r><w:t xml:space="preserve">Ahras (7602), a station on the railway to Tunis, identified</w:t></w:r>
</w:p>
<w:p>
<w:pPr><w:pStyle w:val="Normal"/></w:pPr>
<w:r><w:t xml:space="preserve">with the Roman city Tagaste, the birthplace of St Augustine.</w:t></w:r>
</w:p>
<w:p>
<w:pPr><w:pStyle w:val="Normal"/></w:pPr>
<w:r><w:t xml:space="preserve">Towns in the Sahara.--On the southern slopes of the Great</w:t></w:r>
</w:p>
<w:p>
<w:pPr><w:pStyle w:val="Normal"/></w:pPr>
<w:r><w:t xml:space="preserve">Atlas, 2437 ft. above the sea, looking out on the Saharan</w:t></w:r>
</w:p>
<w:p>
<w:pPr><w:pStyle w:val="Normal"/></w:pPr>
<w:r><w:t xml:space="preserve">desert, and 200 m. in a straight line S.W. of Algiers, is the</w:t></w:r>
</w:p>
<w:p>
<w:pPr><w:pStyle w:val="Normal"/></w:pPr>
<w:r><w:t xml:space="preserve">ancient town of El Aghuat (erroneously written Laghouat); pop.</w:t></w:r>
</w:p>
<w:p>
<w:pPr><w:pStyle w:val="Normal"/></w:pPr>
<w:r><w:t xml:space="preserve">5660.  It formerly belonged to Morocco, by whom it was ceded</w:t></w:r>
</w:p>
<w:p>
<w:pPr><w:pStyle w:val="Normal"/></w:pPr>
<w:r><w:t xml:space="preserve">to the Turks towards the close of the 17th century.  It</w:t></w:r>
</w:p>
<w:p>
<w:pPr><w:pStyle w:val="Normal"/></w:pPr>
<w:r><w:t xml:space="preserve">was stormed on the 4th of December 1852 by the French, who</w:t></w:r>
</w:p>
<w:p>
<w:pPr><w:pStyle w:val="Normal"/></w:pPr>
<w:r><w:t xml:space="preserve">almost entirely destroyed the Arab town.  The modern town</w:t></w:r>
</w:p>
<w:p>
<w:pPr><w:pStyle w:val="Normal"/></w:pPr>
<w:r><w:t xml:space="preserve">contains little of interest, but is an important military</w:t></w:r>
</w:p>
<w:p>
<w:pPr><w:pStyle w:val="Normal"/></w:pPr>
<w:r><w:t xml:space="preserve">station.  One hundred and twelve miles S. of El Aghuat, and 36</w:t></w:r>
</w:p>
<w:p>
<w:pPr><w:pStyle w:val="Normal"/></w:pPr>
<w:r><w:t xml:space="preserve">m.  W.N.W. of Wargla, is Ghardaia (pop. 7868), the capital</w:t></w:r>
</w:p>
<w:p>
<w:pPr><w:pStyle w:val="Normal"/></w:pPr>
<w:r><w:t xml:space="preserve">of the Mzab country, annexed by France in 1882.  This country</w:t></w:r>
</w:p>
<w:p>
<w:pPr><w:pStyle w:val="Normal"/></w:pPr>
<w:r><w:t xml:space="preserve">consists of seven oases, five in close proximity and two</w:t></w:r>
</w:p>
<w:p>
<w:pPr><w:pStyle w:val="Normal"/></w:pPr>
<w:r><w:t xml:space="preserve">isolated.  The town of Ghardaia (in the local documents</w:t></w:r>
</w:p>
<w:p>
<w:pPr><w:pStyle w:val="Normal"/></w:pPr>
<w:r><w:t xml:space="preserve">Taghardeit) is situated on a mosque-crowned hill in the middle</w:t></w:r>
</w:p>
<w:p>
<w:pPr><w:pStyle w:val="Normal"/></w:pPr>
<w:r><w:t xml:space="preserve">of the Wadi Mzab, 1755 ft. above the sea.  Ghardaia, which is</w:t></w:r>
</w:p>
<w:p>
<w:pPr><w:pStyle w:val="Normal"/></w:pPr>
<w:r><w:t xml:space="preserve">divided by walls into three quarters, is built of limestone and</w:t></w:r>
</w:p>
<w:p>
<w:pPr><w:pStyle w:val="Normal"/></w:pPr>
<w:r><w:t xml:space="preserve">the houses are in terraces one above the other.  The central</w:t></w:r>
</w:p>
<w:p>
<w:pPr><w:pStyle w:val="Normal"/></w:pPr>
<w:r><w:t xml:space="preserve">quarter is the home of the ruling tribe, the Beni-Mzab.  The</w:t></w:r>
</w:p>
<w:p>
<w:pPr><w:pStyle w:val="Normal"/></w:pPr>
<w:r><w:t xml:space="preserve">eastern quarter belongs to the Jews, of whom there are about</w:t></w:r>
</w:p>
<w:p>
<w:pPr><w:pStyle w:val="Normal"/></w:pPr>
<w:r><w:t xml:space="preserve">300 families; the western is occupied by the Medabia, Arabs</w:t></w:r>
</w:p>
<w:p>
<w:pPr><w:pStyle w:val="Normal"/></w:pPr>
<w:r><w:t xml:space="preserve">from the Jebel Amur.  The gardens belong exclusively to the</w:t></w:r>
</w:p>
<w:p>
<w:pPr><w:pStyle w:val="Normal"/></w:pPr>
<w:r><w:t xml:space="preserve">Beni-Mzab.  According to native accounts the town was founded</w:t></w:r>
</w:p>
<w:p>
<w:pPr><w:pStyle w:val="Normal"/></w:pPr>
<w:r><w:t xml:space="preserve">about the middle of the 16th century.  Aghrem Baba Saad, a</w:t></w:r>
</w:p>
<w:p>
<w:pPr><w:pStyle w:val="Normal"/></w:pPr>
<w:r><w:t xml:space="preserve">small ruined town to the west of Ghardaia, is the fortified</w:t></w:r>
</w:p>
<w:p>
<w:pPr><w:pStyle w:val="Normal"/></w:pPr>
<w:r><w:t xml:space="preserve">post in which the Beni-Mzab took refuge when the Turks</w:t></w:r>
</w:p>
<w:p>
<w:pPr><w:pStyle w:val="Normal"/></w:pPr>
<w:r><w:t xml:space="preserve">under Salah Rais (about 1555) attempted unsuccessfully to</w:t></w:r>
</w:p>
<w:p>
<w:pPr><w:pStyle w:val="Normal"/></w:pPr>
<w:r><w:t xml:space="preserve">subjugate the country.  Next to Ghardaia the most important</w:t></w:r>
</w:p>
<w:p>
<w:pPr><w:pStyle w:val="Normal"/></w:pPr>
<w:r><w:t xml:space="preserve">Mzabite town is Beni-Isguen (pop. 4916), an active trading</w:t></w:r>
</w:p>
<w:p>
<w:pPr><w:pStyle w:val="Normal"/></w:pPr>
<w:r><w:t xml:space="preserve">centre.  Guerrara, one of the two isolated oases, 37 m.  N.E.</w:t></w:r>
</w:p>
<w:p>
<w:pPr><w:pStyle w:val="Normal"/></w:pPr>
<w:r><w:t xml:space="preserve">of Ghardaia, contains a flourishing commercial town with 1912</w:t></w:r>
</w:p>
<w:p>
<w:pPr><w:pStyle w:val="Normal"/></w:pPr>
<w:r><w:t xml:space="preserve">inhabitants.  The caravan route south from Ghardaia brings the</w:t></w:r>
</w:p>
<w:p>
<w:pPr><w:pStyle w:val="Normal"/></w:pPr>
<w:r><w:t xml:space="preserve">traveller, after a journey of 130 m., to the oasis and town</w:t></w:r>
</w:p>
<w:p>
<w:pPr><w:pStyle w:val="Normal"/></w:pPr>
<w:r><w:t xml:space="preserve">of El Golea (pop. about 2500).  The town consists of three</w:t></w:r>
</w:p>
<w:p>
<w:pPr><w:pStyle w:val="Normal"/></w:pPr>
<w:r><w:t xml:space="preserve">portions--the citadel on a limestone hill, the upper and</w:t></w:r>
</w:p>
<w:p>
<w:pPr><w:pStyle w:val="Normal"/></w:pPr>
<w:r><w:t xml:space="preserve">the lower town--separated by irregular plantations of date</w:t></w:r>
</w:p>
<w:p>
<w:pPr><w:pStyle w:val="Normal"/></w:pPr>
<w:r><w:t xml:space="preserve">trees.  The place is an important station for the caravan</w:t></w:r>
</w:p>
<w:p>
<w:pPr><w:pStyle w:val="Normal"/></w:pPr>
<w:r><w:t xml:space="preserve">trade between Algeria and the countries to the south.  It was</w:t></w:r>
</w:p>
<w:p>
<w:pPr><w:pStyle w:val="Normal"/></w:pPr>
<w:r><w:t xml:space="preserve">occupied by the French under General Gallifet in 1873.  El</w:t></w:r>
</w:p>
<w:p>
<w:pPr><w:pStyle w:val="Normal"/></w:pPr>
<w:r><w:t xml:space="preserve">Golea was originally a settlement of the Zenata Berbers, by</w:t></w:r>
</w:p>
<w:p>
<w:pPr><w:pStyle w:val="Normal"/></w:pPr>
<w:r><w:t xml:space="preserve">whom it was known as Taorert, and there is still a considerable</w:t></w:r>
</w:p>
<w:p>
<w:pPr><w:pStyle w:val="Normal"/></w:pPr>
<w:r><w:t xml:space="preserve">Berber element in its population.  The full Arab name is El</w:t></w:r>
</w:p>
<w:p>
<w:pPr><w:pStyle w:val="Normal"/></w:pPr>
<w:r><w:t xml:space="preserve">Golea&apos;a el Menia&apos;a, or the ``little fortress well defended.&apos;&apos;</w:t></w:r>
</w:p>
<w:p>
<w:pPr><w:pStyle w:val="Normal"/></w:pPr>
<w:r><w:t xml:space="preserve">Archaeology.--Algeria is rich in prehistoric memorials of</w:t></w:r>
</w:p>
<w:p>
<w:pPr><w:pStyle w:val="Normal"/></w:pPr>
<w:r><w:t xml:space="preserve">man, especially in megalithic remains, of which nearly every</w:t></w:r>
</w:p>
<w:p>
<w:pPr><w:pStyle w:val="Normal"/></w:pPr>
<w:r><w:t xml:space="preserve">known kind has been found in the country.  Numerous flints of</w:t></w:r>
</w:p>
<w:p>
<w:pPr><w:pStyle w:val="Normal"/></w:pPr>
<w:r><w:t xml:space="preserve">palaeolithic type have been discovered, notably at Tlemcen and</w:t></w:r>
</w:p>
<w:p>
<w:pPr><w:pStyle w:val="Normal"/></w:pPr>
<w:r><w:t xml:space="preserve">Kolea.  Near Jelfa, in the Great Atlas, and at Mechera-Sfa</w:t></w:r>
</w:p>
<w:p>
<w:pPr><w:pStyle w:val="Normal"/></w:pPr>
<w:r><w:t xml:space="preserve">(``ford of the flat stones&apos;&apos;), a peninsula in the valley</w:t></w:r>
</w:p>
<w:p>
<w:pPr><w:pStyle w:val="Normal"/></w:pPr>
<w:r><w:t xml:space="preserve">of the river Mina not far from Tiaret in the department of</w:t></w:r>
</w:p>
<w:p>
<w:pPr><w:pStyle w:val="Normal"/></w:pPr>
<w:r><w:t xml:space="preserve">Oran, are vast numbers of megalithic monuments.  In the</w:t></w:r>
</w:p>
<w:p>
<w:pPr><w:pStyle w:val="Normal"/></w:pPr>
<w:r><w:t xml:space="preserve">Kubr-er-Rumia--``grave of the Roman lady&apos;&apos; (Roman being used</w:t></w:r>
</w:p>
<w:p>
<w:pPr><w:pStyle w:val="Normal"/></w:pPr>
<w:r><w:t xml:space="preserve">by the Arabs to designate strangers of Christian origin)--the</w:t></w:r>
</w:p>
<w:p>
<w:pPr><w:pStyle w:val="Normal"/></w:pPr>
<w:r><w:t xml:space="preserve">Medrassen and the Jedars, Algeria possesses a remarkable series</w:t></w:r>
</w:p>
<w:p>
<w:pPr><w:pStyle w:val="Normal"/></w:pPr>
<w:r><w:t xml:space="preserve">of sepulchral monuments.  The Kubr-er-Rumia--best known by its</w:t></w:r>
</w:p>
<w:p>
<w:pPr><w:pStyle w:val="Normal"/></w:pPr>
<w:r><w:t xml:space="preserve">French name, Tombeau de la Chretienne, tradition making</w:t></w:r>
</w:p>
<w:p>
<w:pPr><w:pStyle w:val="Normal"/></w:pPr>
<w:r><w:t xml:space="preserve">it the burial-place of the beautiful and unfortunate daughter</w:t></w:r>
</w:p>
<w:p>
<w:pPr><w:pStyle w:val="Normal"/></w:pPr>
<w:r><w:t xml:space="preserve">of Count Julian--is near Kolea, and is known to be the tomb</w:t></w:r>
</w:p>
<w:p>
<w:pPr><w:pStyle w:val="Normal"/></w:pPr>
<w:r><w:t xml:space="preserve">of the Mauretanian king Juba II. and of his wife Cleopatra</w:t></w:r>
</w:p>
<w:p>
<w:pPr><w:pStyle w:val="Normal"/></w:pPr>
<w:r><w:t xml:space="preserve">Selene, daughter of Cleopatra, queen of Egypt, and Mark</w:t></w:r>
</w:p>
<w:p>
<w:pPr><w:pStyle w:val="Normal"/></w:pPr>
<w:r><w:t xml:space="preserve">Antony.  It is built on a hill 756 ft. above the sea.  Resting</w:t></w:r>
</w:p>
<w:p>
<w:pPr><w:pStyle w:val="Normal"/></w:pPr>
<w:r><w:t xml:space="preserve">on a lower platform, 209 ft. square, is a circular stone</w:t></w:r>
</w:p>
<w:p>
<w:pPr><w:pStyle w:val="Normal"/></w:pPr>
<w:r><w:t xml:space="preserve">building surmounted by a pyramid.  Originally the monument was</w:t></w:r>
</w:p>
<w:p>
<w:pPr><w:pStyle w:val="Normal"/></w:pPr>
<w:r><w:t xml:space="preserve">about 130 ft. in height, but it has been wantonly damaged.</w:t></w:r>
</w:p>
<w:p>
<w:pPr><w:pStyle w:val="Normal"/></w:pPr>
<w:r><w:t xml:space="preserve">Its height is now 100 ft. 8 in.: the cylindrical portion 36</w:t></w:r>
</w:p>
<w:p>
<w:pPr><w:pStyle w:val="Normal"/></w:pPr>
<w:r><w:t xml:space="preserve">ft. 6 in., the pyramid 64 ft. 2 in.  The base, 198 ft. in</w:t></w:r>
</w:p>
<w:p>
<w:pPr><w:pStyle w:val="Normal"/></w:pPr>
<w:r><w:t xml:space="preserve">diameter, is ornamented with 60 engaged Ionic columns.  The</w:t></w:r>
</w:p>
<w:p>
<w:pPr><w:pStyle w:val="Normal"/></w:pPr>
<w:r><w:t xml:space="preserve">capitals of the columns have disappeared, but their design</w:t></w:r>
</w:p>
<w:p>
<w:pPr><w:pStyle w:val="Normal"/></w:pPr>
<w:r><w:t xml:space="preserve">is preserved among the drawings of James Bruce, the African</w:t></w:r>
</w:p>
<w:p>
<w:pPr><w:pStyle w:val="Normal"/></w:pPr>
<w:r><w:t xml:space="preserve">traveller.  In the centre of the tomb are two vaulted chambers,</w:t></w:r>
</w:p>
<w:p>
<w:pPr><w:pStyle w:val="Normal"/></w:pPr>
<w:r><w:t xml:space="preserve">reached by a spiral passage or gallery 6 1/2 ft. broad, about</w:t></w:r>
</w:p>
<w:p>
<w:pPr><w:pStyle w:val="Normal"/></w:pPr>
<w:r><w:t xml:space="preserve">the same height and 489 ft. long.  The sepulchral chambers</w:t></w:r>
</w:p>
<w:p>
<w:pPr><w:pStyle w:val="Normal"/></w:pPr>
<w:r><w:t xml:space="preserve">are separated by a short passage, and are cut off from the</w:t></w:r>
</w:p>
<w:p>
<w:pPr><w:pStyle w:val="Normal"/></w:pPr>
<w:r><w:t xml:space="preserve">gallery by stone doors made of a single slab which can be</w:t></w:r>
</w:p>
<w:p>
<w:pPr><w:pStyle w:val="Normal"/></w:pPr>
<w:r><w:t xml:space="preserve">moved up and down by levers, like a portcullis.  The larger</w:t></w:r>
</w:p>
<w:p>
<w:pPr><w:pStyle w:val="Normal"/></w:pPr>
<w:r><w:t xml:space="preserve">of the two chambers is 142 ft. long by 11 ft. broad and 11 ft.</w:t></w:r>
</w:p>
<w:p>
<w:pPr><w:pStyle w:val="Normal"/></w:pPr>
<w:r><w:t xml:space="preserve">high.  The other chamber is somewhat smaller.  The tomb was</w:t></w:r>
</w:p>
<w:p>
<w:pPr><w:pStyle w:val="Normal"/></w:pPr>
<w:r><w:t xml:space="preserve">early violated, probably in search of treasure.  In 1555 Salah</w:t></w:r>
</w:p>
<w:p>
<w:pPr><w:pStyle w:val="Normal"/></w:pPr>
<w:r><w:t xml:space="preserve">Rais, pasha of Algiers, set men to work to pull it down,</w:t></w:r>
</w:p>
<w:p>
<w:pPr><w:pStyle w:val="Normal"/></w:pPr>
<w:r><w:t xml:space="preserve">but the records say that the attempt was given up because</w:t></w:r>
</w:p>
<w:p>
<w:pPr><w:pStyle w:val="Normal"/></w:pPr>
<w:r><w:t xml:space="preserve">big black wasps came from under the stones and stung them to</w:t></w:r>
</w:p>
<w:p>
<w:pPr><w:pStyle w:val="Normal"/></w:pPr>
<w:r><w:t xml:space="preserve">death.  At the end of the 18th century Baba Mahommed tried</w:t></w:r>
</w:p>
<w:p>
<w:pPr><w:pStyle w:val="Normal"/></w:pPr>
<w:r><w:t xml:space="preserve">in vain to batter down the tomb with artillery.  In 1866 it</w:t></w:r>
</w:p>
<w:p>
<w:pPr><w:pStyle w:val="Normal"/></w:pPr>
<w:r><w:t xml:space="preserve">was explored by order of the emperor Napoleon III., the work</w:t></w:r>
</w:p>
<w:p>
<w:pPr><w:pStyle w:val="Normal"/></w:pPr>
<w:r><w:t xml:space="preserve">being carried out by Adrian Berbrugger and Oscar Maccarthy.</w:t></w:r>
</w:p>
<w:p>
<w:pPr><w:pStyle w:val="Normal"/></w:pPr>
<w:r><w:t xml:space="preserve">The Medrassen is a monument similar to the Kubr-er-Rumia, but</w:t></w:r>
</w:p>
<w:p>
<w:pPr><w:pStyle w:val="Normal"/></w:pPr>
<w:r><w:t xml:space="preserve">older.  It was built about 150 B.C. as the burial-place</w:t></w:r>
</w:p>
<w:p>
<w:pPr><w:pStyle w:val="Normal"/></w:pPr>
<w:r><w:t xml:space="preserve">of the Numidian kings, and is situated 35 m.  S.W. of</w:t></w:r>
</w:p>
<w:p>
<w:pPr><w:pStyle w:val="Normal"/></w:pPr>
<w:r><w:t xml:space="preserve">Constantine.  The form is that of a truncated cone, placed</w:t></w:r>
</w:p>
<w:p>
<w:pPr><w:pStyle w:val="Normal"/></w:pPr>
<w:r><w:t xml:space="preserve">on a cylindrical base, 196 ft. in diameter.  It is 60 ft.</w:t></w:r>
</w:p>
<w:p>
<w:pPr><w:pStyle w:val="Normal"/></w:pPr>
<w:r><w:t xml:space="preserve">high.  The columns encircling the cylindrical portion are</w:t></w:r>
</w:p>
<w:p>
<w:pPr><w:pStyle w:val="Normal"/></w:pPr>
<w:r><w:t xml:space="preserve">stunted and much broader at the base than the top; the</w:t></w:r>
</w:p>
<w:p>
<w:pPr><w:pStyle w:val="Normal"/></w:pPr>
<w:r><w:t xml:space="preserve">capitals are Doric.  Many of the columns, 60 in number,</w:t></w:r>
</w:p>
<w:p>
<w:pPr><w:pStyle w:val="Normal"/></w:pPr>
<w:r><w:t xml:space="preserve">have been much damaged.  When the sepulchral chamber was</w:t></w:r>
</w:p>
<w:p>
<w:pPr><w:pStyle w:val="Normal"/></w:pPr>
<w:r><w:t xml:space="preserve">opened in 1873 by Bauchetet, a French engineer officer,</w:t></w:r>
</w:p>
<w:p>
<w:pPr><w:pStyle w:val="Normal"/></w:pPr>
<w:r><w:t xml:space="preserve">clear evidence was found that at some remote period the tomb</w:t></w:r>
</w:p>
<w:p>
<w:pPr><w:pStyle w:val="Normal"/></w:pPr>
<w:r><w:t xml:space="preserve">had been rifled and an attempt made to destroy it by fire.</w:t></w:r>
</w:p>
<w:p>
<w:pPr><w:pStyle w:val="Normal"/></w:pPr>
<w:r><w:t xml:space="preserve">The Jedars (Arab. ``walls&apos;&apos; or ``buildings&apos;&apos;) are in the</w:t></w:r>
</w:p>
<w:p>
<w:pPr><w:pStyle w:val="Normal"/></w:pPr>
<w:r><w:t xml:space="preserve">department of Oran.  The name is given to a number of sepulchral</w:t></w:r>
</w:p>
<w:p>
<w:pPr><w:pStyle w:val="Normal"/></w:pPr>
<w:r><w:t xml:space="preserve">monuments placed on hill-tops.  A rectangular or square podium</w:t></w:r>
</w:p>
<w:p>
<w:pPr><w:pStyle w:val="Normal"/></w:pPr>
<w:r><w:t xml:space="preserve">is in each case surmounted by a pyramid.  The tombs date from</w:t></w:r>
</w:p>
<w:p>
<w:pPr><w:pStyle w:val="Normal"/></w:pPr>
<w:r><w:t xml:space="preserve">the 5th to the 7th century of the Christian era, and lie in</w:t></w:r>
</w:p>
<w:p>
<w:pPr><w:pStyle w:val="Normal"/></w:pPr>
<w:r><w:t xml:space="preserve">two distinct groups between Tiaret and Frenda, a distance of 35</w:t></w:r>
</w:p>
<w:p>
<w:pPr><w:pStyle w:val="Normal"/></w:pPr>
<w:r><w:t xml:space="preserve">m.  Tiaret (pop. 5778), an ancient town modernized by the</w:t></w:r>
</w:p>
<w:p>
<w:pPr><w:pStyle w:val="Normal"/></w:pPr>
<w:r><w:t xml:space="preserve">French, can be reached by railway from Mostaganem.  Near</w:t></w:r>
</w:p>
<w:p>
<w:pPr><w:pStyle w:val="Normal"/></w:pPr>
<w:r><w:t xml:space="preserve">Frenda (2063), which has largely preserved its old Berber</w:t></w:r>
</w:p>
<w:p>
<w:pPr><w:pStyle w:val="Normal"/></w:pPr>
<w:r><w:t xml:space="preserve">character, are numerous dolmens and prehistoric rock sculptures.</w:t></w:r>
</w:p>
<w:p>
<w:pPr><w:pStyle w:val="Normal"/></w:pPr>
<w:r><w:t xml:space="preserve">Algeria contains many Roman remains besides those mentioned and</w:t></w:r>
</w:p>
<w:p>
<w:pPr><w:pStyle w:val="Normal"/></w:pPr>
<w:r><w:t xml:space="preserve">is also rich in monuments of Saracenic art.  For a description of</w:t></w:r>
</w:p>
<w:p>
<w:pPr><w:pStyle w:val="Normal"/></w:pPr>
<w:r><w:t xml:space="preserve">the chief antiquities see the separate town articles, including,</w:t></w:r>
</w:p>
<w:p>
<w:pPr><w:pStyle w:val="Normal"/></w:pPr>
<w:r><w:t xml:space="preserve">besides those already cited, Lambessa, Tebessa, Tipasa and Timgad.</w:t></w:r>
</w:p>
<w:p>
<w:pPr><w:pStyle w:val="Normal"/></w:pPr>
<w:r><w:t xml:space="preserve">Agriculture.--Ever since the time of the Romans Algeria has</w:t></w:r>
</w:p>
<w:p>
<w:pPr><w:pStyle w:val="Normal"/></w:pPr>
<w:r><w:t xml:space="preserve">been noted for the fertility of its soil.  Over two-thirds</w:t></w:r>
</w:p>
<w:p>
<w:pPr><w:pStyle w:val="Normal"/></w:pPr>
<w:r><w:t xml:space="preserve">of the inhabitants are engaged in agricultural pursuits.</w:t></w:r>
</w:p>
<w:p>
<w:pPr><w:pStyle w:val="Normal"/></w:pPr>
<w:r><w:t xml:space="preserve">More than 7,500,000 acres are devoted to the cultivation of</w:t></w:r>
</w:p>
<w:p>
<w:pPr><w:pStyle w:val="Normal"/></w:pPr>
<w:r><w:t xml:space="preserve">cereals.  The Tell is the grain-growing land.  Under French</w:t></w:r>
</w:p>
<w:p>
<w:pPr><w:pStyle w:val="Normal"/></w:pPr>
<w:r><w:t xml:space="preserve">rule its productiveness has been largely increased by the</w:t></w:r>
</w:p>
<w:p>
<w:pPr><w:pStyle w:val="Normal"/></w:pPr>
<w:r><w:t xml:space="preserve">sinking of artesian wells in districts which only required</w:t></w:r>
</w:p>
<w:p>
<w:pPr><w:pStyle w:val="Normal"/></w:pPr>
<w:r><w:t xml:space="preserve">water to make them fertile.  Of the crops raised, wheat,</w:t></w:r>
</w:p>
<w:p>
<w:pPr><w:pStyle w:val="Normal"/></w:pPr>
<w:r><w:t xml:space="preserve">barley and oats are the principal cereals.  A great variety</w:t></w:r>
</w:p>
<w:p>
<w:pPr><w:pStyle w:val="Normal"/></w:pPr>
<w:r><w:t xml:space="preserve">of vegetables and of fruits, especially the orange, is</w:t></w:r>
</w:p>
<w:p>
<w:pPr><w:pStyle w:val="Normal"/></w:pPr>
<w:r><w:t xml:space="preserve">exported.  A considerable amount of cotton was grown during</w:t></w:r>
</w:p>
<w:p>
<w:pPr><w:pStyle w:val="Normal"/></w:pPr>
<w:r><w:t xml:space="preserve">the American Civil War, but the industry afterwards declined.</w:t></w:r>
</w:p>
<w:p>
<w:pPr><w:pStyle w:val="Normal"/></w:pPr>
<w:r><w:t xml:space="preserve">In the early years of the 20th century efforts to extend the</w:t></w:r>
</w:p>
<w:p>
<w:pPr><w:pStyle w:val="Normal"/></w:pPr>
<w:r><w:t xml:space="preserve">cultivation of the plant were renewed.  A small amount of</w:t></w:r>
</w:p>
<w:p>
<w:pPr><w:pStyle w:val="Normal"/></w:pPr>
<w:r><w:t xml:space="preserve">cotton is also grown in the southern oases.  Large quantities</w:t></w:r>
</w:p>
<w:p>
<w:pPr><w:pStyle w:val="Normal"/></w:pPr>
<w:r><w:t xml:space="preserve">of crin vegetal (vegetable horse-hair) an excellent fibre,</w:t></w:r>
</w:p>
<w:p>
<w:pPr><w:pStyle w:val="Normal"/></w:pPr>
<w:r><w:t xml:space="preserve">are made from the leaves of the dwarf palm.  The olive (both</w:t></w:r>
</w:p>
<w:p>
<w:pPr><w:pStyle w:val="Normal"/></w:pPr>
<w:r><w:t xml:space="preserve">for its fruit and oil) and tobacco are cultivated with great</w:t></w:r>
</w:p>
<w:p>
<w:pPr><w:pStyle w:val="Normal"/></w:pPr>
<w:r><w:t xml:space="preserve">success.  The soil of Algeria everywhere favours the growth</w:t></w:r>
</w:p>
<w:p>
<w:pPr><w:pStyle w:val="Normal"/></w:pPr>
<w:r><w:t xml:space="preserve">of the vine.  The country, in the words of an expert sent to</w:t></w:r>
</w:p>
<w:p>
<w:pPr><w:pStyle w:val="Normal"/></w:pPr>
<w:r><w:t xml:space="preserve">report on the subject by the French government, ``can produce</w:t></w:r>
</w:p>
<w:p>
<w:pPr><w:pStyle w:val="Normal"/></w:pPr>
<w:r><w:t xml:space="preserve">an infinite variety of wines suitable to every constitution</w:t></w:r>
</w:p>
<w:p>
<w:pPr><w:pStyle w:val="Normal"/></w:pPr>
<w:r><w:t xml:space="preserve">and to every caprice of taste.&apos;&apos; The culture of the vine</w:t></w:r>
</w:p>
<w:p>
<w:pPr><w:pStyle w:val="Normal"/></w:pPr>
<w:r><w:t xml:space="preserve">was early undertaken by the colonists, but it was not until</w:t></w:r>
</w:p>
<w:p>
<w:pPr><w:pStyle w:val="Normal"/></w:pPr>
<w:r><w:t xml:space="preserve">vineyards in France were attacked by phylloxera that the</w:t></w:r>
</w:p>
<w:p>
<w:pPr><w:pStyle w:val="Normal"/></w:pPr>
<w:r><w:t xml:space="preserve">export of wine from Algeria became considerable.  Algerian</w:t></w:r>
</w:p>
<w:p>
<w:pPr><w:pStyle w:val="Normal"/></w:pPr>
<w:r><w:t xml:space="preserve">vineyards were also attacked (1883) despite precautionary</w:t></w:r>
</w:p>
<w:p>
<w:pPr><w:pStyle w:val="Normal"/></w:pPr>
<w:r><w:t xml:space="preserve">measures, but in the meantime the worth of their wines had been</w:t></w:r>
</w:p>
<w:p>
<w:pPr><w:pStyle w:val="Normal"/></w:pPr>
<w:r><w:t xml:space="preserve">proved.  In 1850 less than 2000 acres were devoted to the</w:t></w:r>
</w:p>
<w:p>
<w:pPr><w:pStyle w:val="Normal"/></w:pPr>
<w:r><w:t xml:space="preserve">grape, but in 1878 this had increased to over 42,000 acres,</w:t></w:r>
</w:p>
<w:p>
<w:pPr><w:pStyle w:val="Normal"/></w:pPr>
<w:r><w:t xml:space="preserve">which yielded 7,436,000 gallons of wine.  Despite bad seasons</w:t></w:r>
</w:p>
<w:p>
<w:pPr><w:pStyle w:val="Normal"/></w:pPr>
<w:r><w:t xml:space="preserve">and ravages of insects, cultivation extended, and in 1895 the</w:t></w:r>
</w:p>
<w:p>
<w:pPr><w:pStyle w:val="Normal"/></w:pPr>
<w:r><w:t xml:space="preserve">vineyards covered 300,000 acres, the produce being 88,000,000</w:t></w:r>
</w:p>
<w:p>
<w:pPr><w:pStyle w:val="Normal"/></w:pPr>
<w:r><w:t xml:space="preserve">gallons.  The area of cultivation in 1905 exceeded 400,000</w:t></w:r>
</w:p>
<w:p>
<w:pPr><w:pStyle w:val="Normal"/></w:pPr>
<w:r><w:t xml:space="preserve">acres, and in that year the amount of wine produced was</w:t></w:r>
</w:p>
<w:p>
<w:pPr><w:pStyle w:val="Normal"/></w:pPr>
<w:r><w:t xml:space="preserve">157,000,000 gallons.  By that time the limits of profitable</w:t></w:r>
</w:p>
<w:p>
<w:pPr><w:pStyle w:val="Normal"/></w:pPr>
<w:r><w:t xml:space="preserve">production had been reached in many parts of the country.</w:t></w:r>
</w:p>
<w:p>
<w:pPr><w:pStyle w:val="Normal"/></w:pPr>
<w:r><w:t xml:space="preserve">Practically the only foreign market for Algerian wine is</w:t></w:r>
</w:p>
<w:p>
<w:pPr><w:pStyle w:val="Normal"/></w:pPr>
<w:r><w:t xml:space="preserve">France, which in 1905 imported about 110,000,000 gallons.</w:t></w:r>
</w:p>
<w:p>
<w:pPr><w:pStyle w:val="Normal"/></w:pPr>
<w:r><w:t xml:space="preserve">Fishery is a flourishing but not a large industry.  The fish caught</w:t></w:r>
</w:p>
<w:p>
<w:pPr><w:pStyle w:val="Normal"/></w:pPr>
<w:r><w:t xml:space="preserve">are principally sardines, bonito, smelts and sprats.  Fresh fish</w:t></w:r>
</w:p>
<w:p>
<w:pPr><w:pStyle w:val="Normal"/></w:pPr>
<w:r><w:t xml:space="preserve">are exported to France, dried and preserved fish to Spain and</w:t></w:r>
</w:p>
<w:p>
<w:pPr><w:pStyle w:val="Normal"/></w:pPr>
<w:r><w:t xml:space="preserve">Italy.  Coral fisheries exist along the coast from Bona to Tunis.</w:t></w:r>
</w:p>
<w:p>
<w:pPr><w:pStyle w:val="Normal"/></w:pPr>
<w:r><w:t xml:space="preserve">Minerals.--Algeria is rich in minerals, found chiefly in</w:t></w:r>
</w:p>
<w:p>
<w:pPr><w:pStyle w:val="Normal"/></w:pPr>
<w:r><w:t xml:space="preserve">the department of Constantine, where iron, lead and zinc,</w:t></w:r>
</w:p>
<w:p>
<w:pPr><w:pStyle w:val="Normal"/></w:pPr>
<w:r><w:t xml:space="preserve">copper, calamine, antimony and mercury mines are worked.</w:t></w:r>
</w:p>
<w:p>
<w:pPr><w:pStyle w:val="Normal"/></w:pPr>
<w:r><w:t xml:space="preserve">The most productive are those of iron and zinc.  Lignite is</w:t></w:r>
</w:p>
<w:p>
<w:pPr><w:pStyle w:val="Normal"/></w:pPr>
<w:r><w:t xml:space="preserve">found in the department of Algiers and petroleum in that of</w:t></w:r>
</w:p>
<w:p>
<w:pPr><w:pStyle w:val="Normal"/></w:pPr>
<w:r><w:t xml:space="preserve">Oran.  Immense phosphate beds were discovered near Tebessa in</w:t></w:r>
</w:p>
<w:p>
<w:pPr><w:pStyle w:val="Normal"/></w:pPr>
<w:r><w:t xml:space="preserve">1891.  They yielded 313,500 tons in 1905.  Phosphate beds are</w:t></w:r>
</w:p>
<w:p>
<w:pPr><w:pStyle w:val="Normal"/></w:pPr>
<w:r><w:t xml:space="preserve">also worked near Setif, Guelma and Ain Beida.  There are more</w:t></w:r>
</w:p>
<w:p>
<w:pPr><w:pStyle w:val="Normal"/></w:pPr>
<w:r><w:t xml:space="preserve">than 300 quarries which produce, amongst other stones, onyx</w:t></w:r>
</w:p>
<w:p>
<w:pPr><w:pStyle w:val="Normal"/></w:pPr>
<w:r><w:t xml:space="preserve">and beautiful white and red marbles.  Algerian onyx from Ain</w:t></w:r>
</w:p>
<w:p>
<w:pPr><w:pStyle w:val="Normal"/></w:pPr>
<w:r><w:t xml:space="preserve">Tekbalet was used by the Romans, and many ancient quarries have</w:t></w:r>
</w:p>
<w:p>
<w:pPr><w:pStyle w:val="Normal"/></w:pPr>
<w:r><w:t xml:space="preserve">been found near Kleber in the department of Oran, some being</w:t></w:r>
</w:p>
<w:p>
<w:pPr><w:pStyle w:val="Normal"/></w:pPr>
<w:r><w:t xml:space="preserve">certainly those from which the long-lost Numidian marbles were</w:t></w:r>
</w:p>
<w:p>
<w:pPr><w:pStyle w:val="Normal"/></w:pPr>
<w:r><w:t xml:space="preserve">taken.  Salt is collected on the margins of the shats.</w:t></w:r>
</w:p>
<w:p>
<w:pPr><w:pStyle w:val="Normal"/></w:pPr>
<w:r><w:t xml:space="preserve">Shipping and Commerce.--The carrying trade between Algeria</w:t></w:r>
</w:p>
<w:p>
<w:pPr><w:pStyle w:val="Normal"/></w:pPr>
<w:r><w:t xml:space="preserve">and France is confined, by a law passed in 1889, to French</w:t></w:r>
</w:p>
<w:p>
<w:pPr><w:pStyle w:val="Normal"/></w:pPr>
<w:r><w:t xml:space="preserve">bottoms.  The largest port is Algiers, after which follow</w:t></w:r>
</w:p>
<w:p>
<w:pPr><w:pStyle w:val="Normal"/></w:pPr>
<w:r><w:t xml:space="preserve">Oran, Philippeville and Bona.  There is a considerable</w:t></w:r>
</w:p>
<w:p>
<w:pPr><w:pStyle w:val="Normal"/></w:pPr>
<w:r><w:t xml:space="preserve">coasting trade.  The average number of vessels entering</w:t></w:r>
</w:p>
<w:p>
<w:pPr><w:pStyle w:val="Normal"/></w:pPr>
<w:r><w:t xml:space="preserve">and clearing Algerian ports each year has been, since 1900,</w:t></w:r>
</w:p>
<w:p>
<w:pPr><w:pStyle w:val="Normal"/></w:pPr>
<w:r><w:t xml:space="preserve">about 4000, with a total tonnage of some 6,500,000.  In</w:t></w:r>
</w:p>
<w:p>
<w:pPr><w:pStyle w:val="Normal"/></w:pPr>
<w:r><w:t xml:space="preserve">the coasting trade some 12,000 small vessels are engaged.</w:t></w:r>
</w:p>
<w:p>
<w:pPr><w:pStyle w:val="Normal"/></w:pPr>
<w:r><w:t xml:space="preserve">Under French administration the commerce of Algeria has greatly</w:t></w:r>
</w:p>
<w:p>
<w:pPr><w:pStyle w:val="Normal"/></w:pPr>
<w:r><w:t xml:space="preserve">developed: The total imports and exports at the time of the</w:t></w:r>
</w:p>
<w:p>
<w:pPr><w:pStyle w:val="Normal"/></w:pPr>
<w:r><w:t xml:space="preserve">French occupation (1830) did not exceed L. 175,000.  In 1850</w:t></w:r>
</w:p>
<w:p>
<w:pPr><w:pStyle w:val="Normal"/></w:pPr>
<w:r><w:t xml:space="preserve">the figures had reached L. 5,000,000; in 1868, L. 12,000,000; in</w:t></w:r>
</w:p>
<w:p>
<w:pPr><w:pStyle w:val="Normal"/></w:pPr>
<w:r><w:t xml:space="preserve">1880, L. 17,000,000; and in 1890, L. 20,000,000.  From this point</w:t></w:r>
</w:p>
<w:p>
<w:pPr><w:pStyle w:val="Normal"/></w:pPr>
<w:r><w:t xml:space="preserve">progress was slower and the figures varied considerably year by</w:t></w:r>
</w:p>
<w:p>
<w:pPr><w:pStyle w:val="Normal"/></w:pPr>
<w:r><w:t xml:space="preserve">year.  In 1905 the total value of the foreign trade was</w:t></w:r>
</w:p>
<w:p>
<w:pPr><w:pStyle w:val="Heading1"/></w:pPr>
<w:r><w:t>L. 24,500,000.  About five-sixths of the trade is with</w:t></w:r>
</w:p>
<w:p>
<w:pPr><w:pStyle w:val="Normal"/></w:pPr>
<w:r><w:t xml:space="preserve">or via France, into which country several Algerian goods</w:t></w:r>
</w:p>
<w:p>
<w:pPr><w:pStyle w:val="Normal"/></w:pPr>
<w:r><w:t xml:space="preserve">have been admitted duty-free since 1851, and all since</w:t></w:r>
</w:p>
<w:p>
<w:pPr><w:pStyle w:val="Normal"/></w:pPr>
<w:r><w:t xml:space="preserve">1867.  French goods, except sugar, have been admitted into</w:t></w:r>
</w:p>
<w:p>
<w:pPr><w:pStyle w:val="Normal"/></w:pPr>
<w:r><w:t xml:space="preserve">Algeria without payment of duty since 1835.  After the</w:t></w:r>
</w:p>
<w:p>
<w:pPr><w:pStyle w:val="Normal"/></w:pPr>
<w:r><w:t xml:space="preserve">increase, in 1892, of the French minimum tariff, which</w:t></w:r>
</w:p>
<w:p>
<w:pPr><w:pStyle w:val="Normal"/></w:pPr>
<w:r><w:t xml:space="preserve">applied to Algeria also, foreign trade greatly diminished.</w:t></w:r>
</w:p>
<w:p>
<w:pPr><w:pStyle w:val="Normal"/></w:pPr>
<w:r><w:t xml:space="preserve">The chief exports are sheep and oxen, most of which are</w:t></w:r>
</w:p>
<w:p>
<w:pPr><w:pStyle w:val="Normal"/></w:pPr>
<w:r><w:t xml:space="preserve">raised in Morocco and Tunisia, and horses; animal products,</w:t></w:r>
</w:p>
<w:p>
<w:pPr><w:pStyle w:val="Normal"/></w:pPr>
<w:r><w:t xml:space="preserve">such as wool and skins; wine, cereals (rye, barley, oats),</w:t></w:r>
</w:p>
<w:p>
<w:pPr><w:pStyle w:val="Normal"/></w:pPr>
<w:r><w:t xml:space="preserve">vegetables, fruits (chiefly figs and grapes for the table) and</w:t></w:r>
</w:p>
<w:p>
<w:pPr><w:pStyle w:val="Normal"/></w:pPr>
<w:r><w:t xml:space="preserve">seeds, esparto grass, oils and vegetable extracts (chiefly</w:t></w:r>
</w:p>
<w:p>
<w:pPr><w:pStyle w:val="Normal"/></w:pPr>
<w:r><w:t xml:space="preserve">olive oil), iron ore, zinc, natural phosphates, timber,</w:t></w:r>
</w:p>
<w:p>
<w:pPr><w:pStyle w:val="Normal"/></w:pPr>
<w:r><w:t xml:space="preserve">cork, crin vegetal and tobacco.  Of these France takes</w:t></w:r>
</w:p>
<w:p>
<w:pPr><w:pStyle w:val="Normal"/></w:pPr>
<w:r><w:t xml:space="preserve">fully three-quarters.  The import of wool, exceeds the</w:t></w:r>
</w:p>
<w:p>
<w:pPr><w:pStyle w:val="Normal"/></w:pPr>
<w:r><w:t xml:space="preserve">export.  Sugar, coffee, machinery, metal work of all kinds,</w:t></w:r>
</w:p>
<w:p>
<w:pPr><w:pStyle w:val="Normal"/></w:pPr>
<w:r><w:t xml:space="preserve">clothing and pottery are largely imported.  Of these by far</w:t></w:r>
</w:p>
<w:p>
<w:pPr><w:pStyle w:val="Normal"/></w:pPr>
<w:r><w:t xml:space="preserve">the greater part comes from France.  The British imports</w:t></w:r>
</w:p>
<w:p>
<w:pPr><w:pStyle w:val="Normal"/></w:pPr>
<w:r><w:t xml:space="preserve">consist chiefly of coal, cotton fabrics and machinery.</w:t></w:r>
</w:p>
<w:p>
<w:pPr><w:pStyle w:val="Normal"/></w:pPr>
<w:r><w:t xml:space="preserve">Communications.--Algeria possesses a railway system covering</w:t></w:r>
</w:p>
<w:p>
<w:pPr><w:pStyle w:val="Normal"/></w:pPr>
<w:r><w:t xml:space="preserve">over 2000 m.  A decree of 1857 granted to the Paris-Lyons</w:t></w:r>
</w:p>
<w:p>
<w:pPr><w:pStyle w:val="Normal"/></w:pPr>
<w:r><w:t xml:space="preserve">Company the right to construct a line linking Algiers with</w:t></w:r>
</w:p>
<w:p>
<w:pPr><w:pStyle w:val="Normal"/></w:pPr>
<w:r><w:t xml:space="preserve">Oran (266 m.) and Constantine (290 m.) and shorter lines</w:t></w:r>
</w:p>
<w:p>
<w:pPr><w:pStyle w:val="Normal"/></w:pPr>
<w:r><w:t xml:space="preserve">joining the seaports to the trunk line, notably Philippeville</w:t></w:r>
</w:p>
<w:p>
<w:pPr><w:pStyle w:val="Normal"/></w:pPr>
<w:r><w:t xml:space="preserve">to Constantine (54 m.).  These lines were opened between</w:t></w:r>
</w:p>
<w:p>
<w:pPr><w:pStyle w:val="Normal"/></w:pPr>
<w:r><w:t xml:space="preserve">1862 and 1871, but it was not until 1879 that a general</w:t></w:r>
</w:p>
<w:p>
<w:pPr><w:pStyle w:val="Normal"/></w:pPr>
<w:r><w:t xml:space="preserve">scheme for railway construction was adopted.  A trunk line</w:t></w:r>
</w:p>
<w:p>
<w:pPr><w:pStyle w:val="Normal"/></w:pPr>
<w:r><w:t xml:space="preserve">runs from the frontier of Morocco at Lalla Maghnia, 44</w:t></w:r>
</w:p>
<w:p>
<w:pPr><w:pStyle w:val="Normal"/></w:pPr>
<w:r><w:t xml:space="preserve">m.  W. of Tlemcen, across the Tell to the Tunisian frontier,</w:t></w:r>
</w:p>
<w:p>
<w:pPr><w:pStyle w:val="Normal"/></w:pPr>
<w:r><w:t xml:space="preserve">whence it is continued to the city of Tunis; while traverse</w:t></w:r>
</w:p>
<w:p>
<w:pPr><w:pStyle w:val="Normal"/></w:pPr>
<w:r><w:t xml:space="preserve">railways connect the seaports with the trunk line and with</w:t></w:r>
</w:p>
<w:p>
<w:pPr><w:pStyle w:val="Normal"/></w:pPr>
<w:r><w:t xml:space="preserve">towns to the south, the Philippeville line being continued to</w:t></w:r>
</w:p>
<w:p>
<w:pPr><w:pStyle w:val="Normal"/></w:pPr>
<w:r><w:t xml:space="preserve">Biskra.  From Arzeu a line goes south across the plateaus and</w:t></w:r>
</w:p>
<w:p>
<w:pPr><w:pStyle w:val="Normal"/></w:pPr>
<w:r><w:t xml:space="preserve">crossing the Ksur range at a height of 4211 ft. enters the</w:t></w:r>
</w:p>
<w:p>
<w:pPr><w:pStyle w:val="Normal"/></w:pPr>
<w:r><w:t xml:space="preserve">Sahara.  Passing Ain Sefra and Figig (372 m. from Arzeu)</w:t></w:r>
</w:p>
<w:p>
<w:pPr><w:pStyle w:val="Normal"/></w:pPr>
<w:r><w:t xml:space="preserve">the line is continued towards Tuat.  The normal gauge of the</w:t></w:r>
</w:p>
<w:p>
<w:pPr><w:pStyle w:val="Normal"/></w:pPr>
<w:r><w:t xml:space="preserve">railways is 4 ft. 8 1/2 in.; a few ``light lines&apos;&apos; have a gauge</w:t></w:r>
</w:p>
<w:p>
<w:pPr><w:pStyle w:val="Normal"/></w:pPr>
<w:r><w:t xml:space="preserve">of 3 ft. 3 in.  Algeria is also traversed by a network of roads</w:t></w:r>
</w:p>
<w:p>
<w:pPr><w:pStyle w:val="Normal"/></w:pPr>
<w:r><w:t xml:space="preserve">constructed by the French, of which the routes nationales</w:t></w:r>
</w:p>
<w:p>
<w:pPr><w:pStyle w:val="Normal"/></w:pPr>
<w:r><w:t xml:space="preserve">alone are 2000 m. in length.  There are complete postal and</w:t></w:r>
</w:p>
<w:p>
<w:pPr><w:pStyle w:val="Normal"/></w:pPr>
<w:r><w:t xml:space="preserve">telegraphic facilities in all parts of the colony save the</w:t></w:r>
</w:p>
<w:p>
<w:pPr><w:pStyle w:val="Normal"/></w:pPr>
<w:r><w:t xml:space="preserve">Saharan Territories, and cable communication with France.</w:t></w:r>
</w:p>
<w:p>
<w:pPr><w:pStyle w:val="Normal"/></w:pPr>
<w:r><w:t xml:space="preserve">Central Government.--By the Turks the country was divided</w:t></w:r>
</w:p>
<w:p>
<w:pPr><w:pStyle w:val="Normal"/></w:pPr>
<w:r><w:t xml:space="preserve">into four provinces--Algiers and Titeri in the centre and</w:t></w:r>
</w:p>
<w:p>
<w:pPr><w:pStyle w:val="Normal"/></w:pPr>
<w:r><w:t xml:space="preserve">south, Constantine in the east and Mascara or Oran in the</w:t></w:r>
</w:p>
<w:p>
<w:pPr><w:pStyle w:val="Normal"/></w:pPr>
<w:r><w:t xml:space="preserve">west.3 The last three were governed by beys dependent upon</w:t></w:r>
</w:p>
<w:p>
<w:pPr><w:pStyle w:val="Normal"/></w:pPr>
<w:r><w:t xml:space="preserve">the representative of the Porte resident at Algiers.  The</w:t></w:r>
</w:p>
<w:p>
<w:pPr><w:pStyle w:val="Normal"/></w:pPr>
<w:r><w:t xml:space="preserve">Turkish governors were in the 17th century replaced by deys</w:t></w:r>
</w:p>
<w:p>
<w:pPr><w:pStyle w:val="Normal"/></w:pPr>
<w:r><w:t xml:space="preserve">(see below, History.) The French rule was at first (1830)</w:t></w:r>
</w:p>
<w:p>
<w:pPr><w:pStyle w:val="Normal"/></w:pPr>
<w:r><w:t xml:space="preserve">purely military.  In 1834 the post of governor-general was</w:t></w:r>
</w:p>
<w:p>
<w:pPr><w:pStyle w:val="Normal"/></w:pPr>
<w:r><w:t xml:space="preserve">created.  Under the direction of the ministry of war that</w:t></w:r>
</w:p>
<w:p>
<w:pPr><w:pStyle w:val="Normal"/></w:pPr>
<w:r><w:t xml:space="preserve">official exercised nearly all the executive power.  At the</w:t></w:r>
</w:p>
<w:p>
<w:pPr><w:pStyle w:val="Normal"/></w:pPr>
<w:r><w:t xml:space="preserve">same time a civil administration and consultative council were</w:t></w:r>
</w:p>
<w:p>
<w:pPr><w:pStyle w:val="Normal"/></w:pPr>
<w:r><w:t xml:space="preserve">formed.  The principle of unity of authority was set aside</w:t></w:r>
</w:p>
<w:p>
<w:pPr><w:pStyle w:val="Normal"/></w:pPr>
<w:r><w:t xml:space="preserve">by the second republic in 1848, when many of the public</w:t></w:r>
</w:p>
<w:p>
<w:pPr><w:pStyle w:val="Normal"/></w:pPr>
<w:r><w:t xml:space="preserve">services were attached to the corresponding ministries in</w:t></w:r>
</w:p>
<w:p>
<w:pPr><w:pStyle w:val="Normal"/></w:pPr>
<w:r><w:t xml:space="preserve">Paris, and the departments organized on the metropolitan</w:t></w:r>
</w:p>
<w:p>
<w:pPr><w:pStyle w:val="Normal"/></w:pPr>
<w:r><w:t xml:space="preserve">model by division into arrondissements and communes and by</w:t></w:r>
</w:p>
<w:p>
<w:pPr><w:pStyle w:val="Normal"/></w:pPr>
<w:r><w:t xml:space="preserve">placing a prefect at their head.  Under Napoleon III. the</w:t></w:r>
</w:p>
<w:p>
<w:pPr><w:pStyle w:val="Normal"/></w:pPr>
<w:r><w:t xml:space="preserve">governor- generalship was abolished, a minister of Algeria</w:t></w:r>
</w:p>
<w:p>
<w:pPr><w:pStyle w:val="Normal"/></w:pPr>
<w:r><w:t xml:space="preserve">and the colonies created (24th of June 1858), and the whole</w:t></w:r>
</w:p>
<w:p>
<w:pPr><w:pStyle w:val="Normal"/></w:pPr>
<w:r><w:t xml:space="preserve">administration conducted from Paris.  At the same time the</w:t></w:r>
</w:p>
<w:p>
<w:pPr><w:pStyle w:val="Normal"/></w:pPr>
<w:r><w:t xml:space="preserve">powers of the prefects were augmented and each department</w:t></w:r>
</w:p>
<w:p>
<w:pPr><w:pStyle w:val="Normal"/></w:pPr>
<w:r><w:t xml:space="preserve">given a general council.  This arrangement was not of long</w:t></w:r>
</w:p>
<w:p>
<w:pPr><w:pStyle w:val="Normal"/></w:pPr>
<w:r><w:t xml:space="preserve">duration.  By decree of the 24th of November 1860, the</w:t></w:r>
</w:p>
<w:p>
<w:pPr><w:pStyle w:val="Normal"/></w:pPr>
<w:r><w:t xml:space="preserve">ministry of Algeria and the colonies was abolished and the</w:t></w:r>
</w:p>
<w:p>
<w:pPr><w:pStyle w:val="Normal"/></w:pPr>
<w:r><w:t xml:space="preserve">office of governor-general re-established with increased</w:t></w:r>
</w:p>
<w:p>
<w:pPr><w:pStyle w:val="Normal"/></w:pPr>
<w:r><w:t xml:space="preserve">powers.  This regime, strongly military in its type, ended</w:t></w:r>
</w:p>
<w:p>
<w:pPr><w:pStyle w:val="Normal"/></w:pPr>
<w:r><w:t xml:space="preserve">with the fall of the second empire.  After a brief transitional</w:t></w:r>
</w:p>
<w:p>
<w:pPr><w:pStyle w:val="Normal"/></w:pPr>
<w:r><w:t xml:space="preserve">period, a decree of the 29th of March 1871 placed at the</w:t></w:r>
</w:p>
<w:p>
<w:pPr><w:pStyle w:val="Normal"/></w:pPr>
<w:r><w:t xml:space="preserve">head of Algeria a civil governor-general and gave the control</w:t></w:r>
</w:p>
<w:p>
<w:pPr><w:pStyle w:val="Normal"/></w:pPr>
<w:r><w:t xml:space="preserve">in Paris to the ministry of the interior.  In 1876, on the</w:t></w:r>
</w:p>
<w:p>
<w:pPr><w:pStyle w:val="Normal"/></w:pPr>
<w:r><w:t xml:space="preserve">initiative of General Chanzy, then governor-general, that</w:t></w:r>
</w:p>
<w:p>
<w:pPr><w:pStyle w:val="Normal"/></w:pPr>
<w:r><w:t xml:space="preserve">official was accorded the right to correspond direct with</w:t></w:r>
</w:p>
<w:p>
<w:pPr><w:pStyle w:val="Normal"/></w:pPr>
<w:r><w:t xml:space="preserve">all the ministers in Paris.  This concession led, however,</w:t></w:r>
</w:p>
<w:p>
<w:pPr><w:pStyle w:val="Normal"/></w:pPr>
<w:r><w:t xml:space="preserve">to the diminution of the authority of the governor-general,</w:t></w:r>
</w:p>
<w:p>
<w:pPr><w:pStyle w:val="Normal"/></w:pPr>
<w:r><w:t xml:space="preserve">whose powers were, step by step, absorbed by the various</w:t></w:r>
</w:p>
<w:p>
<w:pPr><w:pStyle w:val="Normal"/></w:pPr>
<w:r><w:t xml:space="preserve">ministries in France.  It had its logical end in the system</w:t></w:r>
</w:p>
<w:p>
<w:pPr><w:pStyle w:val="Normal"/></w:pPr>
<w:r><w:t xml:space="preserve">adopted in 1881 and known as the rattachement. Under this</w:t></w:r>
</w:p>
<w:p>
<w:pPr><w:pStyle w:val="Normal"/></w:pPr>
<w:r><w:t xml:space="preserve">system the plan of 1848 was carried out more completely,</w:t></w:r>
</w:p>
<w:p>
<w:pPr><w:pStyle w:val="Normal"/></w:pPr>
<w:r><w:t xml:space="preserve">every department of state being placed under one or other of</w:t></w:r>
</w:p>
<w:p>
<w:pPr><w:pStyle w:val="Normal"/></w:pPr>
<w:r><w:t xml:space="preserve">the ministries in Paris, whilst the governor- general became</w:t></w:r>
</w:p>
<w:p>
<w:pPr><w:pStyle w:val="Normal"/></w:pPr>
<w:r><w:t xml:space="preserve">little more than an ornamental personage.  After lasting</w:t></w:r>
</w:p>
<w:p>
<w:pPr><w:pStyle w:val="Normal"/></w:pPr>
<w:r><w:t xml:space="preserve">fifteen years the rattachement was, with the approval of the</w:t></w:r>
</w:p>
<w:p>
<w:pPr><w:pStyle w:val="Normal"/></w:pPr>
<w:r><w:t xml:space="preserve">legislature, abrogated by decree dated the 31st of December</w:t></w:r>
</w:p>
<w:p>
<w:pPr><w:pStyle w:val="Normal"/></w:pPr>
<w:r><w:t xml:space="preserve">1896.  The opposing principle, that of concentrating power</w:t></w:r>
</w:p>
<w:p>
<w:pPr><w:pStyle w:val="Normal"/></w:pPr>
<w:r><w:t xml:space="preserve">in the hands of the governor-general, was re-affirmed, but</w:t></w:r>
</w:p>
<w:p>
<w:pPr><w:pStyle w:val="Normal"/></w:pPr>
<w:r><w:t xml:space="preserve">in practice was modified by the retention of the direction</w:t></w:r>
</w:p>
<w:p>
<w:pPr><w:pStyle w:val="Normal"/></w:pPr>
<w:r><w:t xml:space="preserve">from Paris of a few of the public services.  The decree of</w:t></w:r>
</w:p>
<w:p>
<w:pPr><w:pStyle w:val="Normal"/></w:pPr>
<w:r><w:t xml:space="preserve">1896, which was of a provisional character, was replaced by</w:t></w:r>
</w:p>
<w:p>
<w:pPr><w:pStyle w:val="Normal"/></w:pPr>
<w:r><w:t xml:space="preserve">another, dated the 23rd of August 1898, defining the powers</w:t></w:r>
</w:p>
<w:p>
<w:pPr><w:pStyle w:val="Normal"/></w:pPr>
<w:r><w:t xml:space="preserve">of the governor-general under the new scheme.  By a law of</w:t></w:r>
</w:p>
<w:p>
<w:pPr><w:pStyle w:val="Normal"/></w:pPr>
<w:r><w:t xml:space="preserve">the 19th of December 1900, Algeria was constituted a legal</w:t></w:r>
</w:p>
<w:p>
<w:pPr><w:pStyle w:val="Normal"/></w:pPr>
<w:r><w:t xml:space="preserve">personality, with power to own goods, contract loans, &amp;c.,</w:t></w:r>
</w:p>
<w:p>
<w:pPr><w:pStyle w:val="Normal"/></w:pPr>
<w:r><w:t xml:space="preserve">and a decree of 1901 placed the customs department, until then</w:t></w:r>
</w:p>
<w:p>
<w:pPr><w:pStyle w:val="Normal"/></w:pPr>
<w:r><w:t xml:space="preserve">directed from Paris, under the control of the governor-general,</w:t></w:r>
</w:p>
<w:p>
<w:pPr><w:pStyle w:val="Normal"/></w:pPr>
<w:r><w:t xml:space="preserve">whose hands were also strengthened in various minor matters.</w:t></w:r>
</w:p>
<w:p>
<w:pPr><w:pStyle w:val="Normal"/></w:pPr>
<w:r><w:t xml:space="preserve">It will be seen that the form of government is entirely</w:t></w:r>
</w:p>
<w:p>
<w:pPr><w:pStyle w:val="Normal"/></w:pPr>
<w:r><w:t xml:space="preserve">dependent on the will of France.  The French chambers alone</w:t></w:r>
</w:p>
<w:p>
<w:pPr><w:pStyle w:val="Normal"/></w:pPr>
<w:r><w:t xml:space="preserve">possess the legislative power, though in the absence of express</w:t></w:r>
</w:p>
<w:p>
<w:pPr><w:pStyle w:val="Normal"/></w:pPr>
<w:r><w:t xml:space="preserve">legislation decrees of the head of the state have the force of</w:t></w:r>
</w:p>
<w:p>
<w:pPr><w:pStyle w:val="Normal"/></w:pPr>
<w:r><w:t xml:space="preserve">law.  To the legislature in Paris Algeria elects three senators</w:t></w:r>
</w:p>
<w:p>
<w:pPr><w:pStyle w:val="Normal"/></w:pPr>
<w:r><w:t xml:space="preserve">and six deputies (one senator and two deputies for each</w:t></w:r>
</w:p>
<w:p>
<w:pPr><w:pStyle w:val="Normal"/></w:pPr>
<w:r><w:t xml:space="preserve">department).  The franchise is confined to ``citizens,&apos;&apos; in</w:t></w:r>
</w:p>
<w:p>
<w:pPr><w:pStyle w:val="Normal"/></w:pPr>
<w:r><w:t xml:space="preserve">which category the native Jews are included by decree of the</w:t></w:r>
</w:p>
<w:p>
<w:pPr><w:pStyle w:val="Normal"/></w:pPr>
<w:r><w:t xml:space="preserve">24th of October 1870.  The Mahommedans, who number nearly</w:t></w:r>
</w:p>
<w:p>
<w:pPr><w:pStyle w:val="Normal"/></w:pPr>
<w:r><w:t xml:space="preserve">eight-ninths of the population, are not, however, ``citizens&apos;&apos;</w:t></w:r>
</w:p>
<w:p>
<w:pPr><w:pStyle w:val="Normal"/></w:pPr>
<w:r><w:t xml:space="preserve">but ``subjects,&apos;&apos; and consequently have not the vote.  They</w:t></w:r>
</w:p>
<w:p>
<w:pPr><w:pStyle w:val="Normal"/></w:pPr>
<w:r><w:t xml:space="preserve">can, however, acquire ``citizenship&apos;&apos; at their own request, by</w:t></w:r>
</w:p>
<w:p>
<w:pPr><w:pStyle w:val="Normal"/></w:pPr>
<w:r><w:t xml:space="preserve">placing themselves absolutely under the civil and political laws</w:t></w:r>
</w:p>
<w:p>
<w:pPr><w:pStyle w:val="Normal"/></w:pPr>
<w:r><w:t xml:space="preserve">of France (decree of 1865, confirmed in 1870).  The number of</w:t></w:r>
</w:p>
<w:p>
<w:pPr><w:pStyle w:val="Normal"/></w:pPr>
<w:r><w:t xml:space="preserve">Mahommedans who avail themselves of this rule is very small;</w:t></w:r>
</w:p>
<w:p>
<w:pPr><w:pStyle w:val="Normal"/></w:pPr>
<w:r><w:t xml:space="preserve">naturalizations do not exceed an average of thirty persons a</w:t></w:r>
</w:p>
<w:p>
<w:pPr><w:pStyle w:val="Normal"/></w:pPr>
<w:r><w:t xml:space="preserve">year.  For certain specified objects, financial and municipal,</w:t></w:r>
</w:p>
<w:p>
<w:pPr><w:pStyle w:val="Normal"/></w:pPr>
<w:r><w:t xml:space="preserve">Mahommedans are, however, permitted to exercise the franchise.</w:t></w:r>
</w:p>
<w:p>
<w:pPr><w:pStyle w:val="Normal"/></w:pPr>
<w:r><w:t xml:space="preserve">The actual form of government may be summarized thus:-- At the</w:t></w:r>
</w:p>
<w:p>
<w:pPr><w:pStyle w:val="Normal"/></w:pPr>
<w:r><w:t xml:space="preserve">head of the administration in Algeria is a governor- general,</w:t></w:r>
</w:p>
<w:p>
<w:pPr><w:pStyle w:val="Normal"/></w:pPr>
<w:r><w:t xml:space="preserve">who exercises control over all branches, civil and military,</w:t></w:r>
</w:p>
<w:p>
<w:pPr><w:pStyle w:val="Normal"/></w:pPr>
<w:r><w:t xml:space="preserve">of the administration, except the services of justice, public</w:t></w:r>
</w:p>
<w:p>
<w:pPr><w:pStyle w:val="Normal"/></w:pPr>
<w:r><w:t xml:space="preserve">instruction and worship (as far as concerns Europeans) and the</w:t></w:r>
</w:p>
<w:p>
<w:pPr><w:pStyle w:val="Normal"/></w:pPr>
<w:r><w:t xml:space="preserve">treasury.  He corresponds directly with thn other Barbary</w:t></w:r>
</w:p>
<w:p>
<w:pPr><w:pStyle w:val="Normal"/></w:pPr>
<w:r><w:t xml:space="preserve">states; draws up the budget, and contracts loans on behalf</w:t></w:r>
</w:p>
<w:p>
<w:pPr><w:pStyle w:val="Normal"/></w:pPr>
<w:r><w:t xml:space="preserve">of the colony.  The governor-general is assisted by:--</w:t></w:r>
</w:p>
<w:p>
<w:pPr><w:pStyle w:val="Normal"/></w:pPr>
<w:r><w:t xml:space="preserve">(1) The Council of Government, a purely advisory body,</w:t></w:r>
</w:p>
<w:p>
<w:pPr><w:pStyle w:val="Normal"/></w:pPr>
<w:r><w:t xml:space="preserve">composed entirely of high officials;</w:t></w:r>
</w:p>
<w:p>
<w:pPr><w:pStyle w:val="Normal"/></w:pPr>
<w:r><w:t xml:space="preserve">(2) A Superior Council, composed partly of elected and partly</w:t></w:r>
</w:p>
<w:p>
<w:pPr><w:pStyle w:val="Normal"/></w:pPr>
<w:r><w:t xml:space="preserve">of nominated members, including representatives of the</w:t></w:r>
</w:p>
<w:p>
<w:pPr><w:pStyle w:val="Normal"/></w:pPr>
<w:r><w:t xml:space="preserve">Mahommedans. Its duty is to deliberate upon all</w:t></w:r>
</w:p>
<w:p>
<w:pPr><w:pStyle w:val="Normal"/></w:pPr>
<w:r><w:t xml:space="preserve">administrative matters, including the budget, and it possesses</w:t></w:r>
</w:p>
<w:p>
<w:pPr><w:pStyle w:val="Normal"/></w:pPr>
<w:r><w:t xml:space="preserve">certain powers over the finances;</w:t></w:r>
</w:p>
<w:p>
<w:pPr><w:pStyle w:val="Normal"/></w:pPr>
<w:r><w:t xml:space="preserve">(3) The Financial Delegations (created by decree in 1898), an</w:t></w:r>
</w:p>
<w:p>
<w:pPr><w:pStyle w:val="Normal"/></w:pPr>
<w:r><w:t xml:space="preserve">elective body whose duty is to investigate all matters</w:t></w:r>
</w:p>
<w:p>
<w:pPr><w:pStyle w:val="Normal"/></w:pPr>
<w:r><w:t xml:space="preserve">affecting taxation and to vote the budget. The</w:t></w:r>
</w:p>
<w:p>
<w:pPr><w:pStyle w:val="Normal"/></w:pPr>
<w:r><w:t xml:space="preserve">delegations consist of representatives of (a) ``colonists,&apos;&apos; i.e. the</w:t></w:r>
</w:p>
<w:p>
<w:pPr><w:pStyle w:val="Normal"/></w:pPr>
<w:r><w:t xml:space="preserve">rural community; (b) taxpayers, being citizens other than</w:t></w:r>
</w:p>
<w:p>
<w:pPr><w:pStyle w:val="Normal"/></w:pPr>
<w:r><w:t xml:space="preserve">``colonists,&apos;&apos; i.e. the urban community; (c) the</w:t></w:r>
</w:p>
<w:p>
<w:pPr><w:pStyle w:val="Normal"/></w:pPr>
<w:r><w:t xml:space="preserve">Mahommedan population. The last section is partly elective and</w:t></w:r>
</w:p>
<w:p>
<w:pPr><w:pStyle w:val="Normal"/></w:pPr>
<w:r><w:t xml:space="preserve">partly nominated. A proportion of the members of the</w:t></w:r>
</w:p>
<w:p>
<w:pPr><w:pStyle w:val="Normal"/></w:pPr>
<w:r><w:t xml:space="preserve">delegations are elected to the superior council.</w:t></w:r>
</w:p>
<w:p>
<w:pPr><w:pStyle w:val="Normal"/></w:pPr>
<w:r><w:t xml:space="preserve">Local Government.--The departments, presided over by</w:t></w:r>
</w:p>
<w:p>
<w:pPr><w:pStyle w:val="Normal"/></w:pPr>
<w:r><w:t xml:space="preserve">prefects, are divided into territoires civils and</w:t></w:r>
</w:p>
<w:p>
<w:pPr><w:pStyle w:val="Normal"/></w:pPr>
<w:r><w:t xml:space="preserve">territoires du commandant. In the regions under civil</w:t></w:r>
</w:p>
<w:p>
<w:pPr><w:pStyle w:val="Normal"/></w:pPr>
<w:r><w:t xml:space="preserve">administration the local organization closely resembles that of</w:t></w:r>
</w:p>
<w:p>
<w:pPr><w:pStyle w:val="Normal"/></w:pPr>
<w:r><w:t xml:space="preserve">France.  The country is divided into arrondissements and</w:t></w:r>
</w:p>
<w:p>
<w:pPr><w:pStyle w:val="Normal"/></w:pPr>
<w:r><w:t xml:space="preserve">communes, with most of the apparatus of self-government</w:t></w:r>
</w:p>
<w:p>
<w:pPr><w:pStyle w:val="Normal"/></w:pPr>
<w:r><w:t xml:space="preserve">enjoyed by the corresponding units in France.  The canton</w:t></w:r>
</w:p>
<w:p>
<w:pPr><w:pStyle w:val="Normal"/></w:pPr>
<w:r><w:t xml:space="preserve">(in France a judicial area) has, however, no existence in</w:t></w:r>
</w:p>
<w:p>
<w:pPr><w:pStyle w:val="Normal"/></w:pPr>
<w:r><w:t xml:space="preserve">Algeria.  In the territoires du commandant, which are the</w:t></w:r>
</w:p>
<w:p>
<w:pPr><w:pStyle w:val="Normal"/></w:pPr>
<w:r><w:t xml:space="preserve">districts farthest from the coast, and in which the European</w:t></w:r>
</w:p>
<w:p>
<w:pPr><w:pStyle w:val="Normal"/></w:pPr>
<w:r><w:t xml:space="preserve">population is small, the prefect is replaced by a high military</w:t></w:r>
</w:p>
<w:p>
<w:pPr><w:pStyle w:val="Normal"/></w:pPr>
<w:r><w:t xml:space="preserve">officer, who exercises all the functions of a prefect.</w:t></w:r>
</w:p>
<w:p>
<w:pPr><w:pStyle w:val="Normal"/></w:pPr>
<w:r><w:t xml:space="preserve">The prefect of each department is assisted by a general</w:t></w:r>
</w:p>
<w:p>
<w:pPr><w:pStyle w:val="Normal"/></w:pPr>
<w:r><w:t xml:space="preserve">council, consisting of members elected by the citizens and of</w:t></w:r>
</w:p>
<w:p>
<w:pPr><w:pStyle w:val="Normal"/></w:pPr>
<w:r><w:t xml:space="preserve">nominated representatives of the Mahommedan population.  The</w:t></w:r>
</w:p>
<w:p>
<w:pPr><w:pStyle w:val="Normal"/></w:pPr>
<w:r><w:t xml:space="preserve">powers of the council correspond to those of the councils in</w:t></w:r>
</w:p>
<w:p>
<w:pPr><w:pStyle w:val="Normal"/></w:pPr>
<w:r><w:t xml:space="preserve">France.  Communes are of three kinds: (1) those with full</w:t></w:r>
</w:p>
<w:p>
<w:pPr><w:pStyle w:val="Normal"/></w:pPr>
<w:r><w:t xml:space="preserve">powers, (2) mixed, (3) native.  In those of the first kind,</w:t></w:r>
</w:p>
<w:p>
<w:pPr><w:pStyle w:val="Normal"/></w:pPr>
<w:r><w:t xml:space="preserve">modelled on the French communes, the Mahommedans possess</w:t></w:r>
</w:p>
<w:p>
<w:pPr><w:pStyle w:val="Normal"/></w:pPr>
<w:r><w:t xml:space="preserve">the municipal franchise.  The ``mixed&apos;&apos; communes are under</w:t></w:r>
</w:p>
<w:p>
<w:pPr><w:pStyle w:val="Normal"/></w:pPr>
<w:r><w:t xml:space="preserve">an administrator nominated by the governor-general and</w:t></w:r>
</w:p>
<w:p>
<w:pPr><w:pStyle w:val="Normal"/></w:pPr>
<w:r><w:t xml:space="preserve">assisted by a municipal council composed of Europeans and</w:t></w:r>
</w:p>
<w:p>
<w:pPr><w:pStyle w:val="Normal"/></w:pPr>
<w:r><w:t xml:space="preserve">natives.  These communes are large areas, each containing</w:t></w:r>
</w:p>
<w:p>
<w:pPr><w:pStyle w:val="Normal"/></w:pPr>
<w:r><w:t xml:space="preserve">several towns or villages.  In the territoires du commandant</w:t></w:r>
</w:p>
<w:p>
<w:pPr><w:pStyle w:val="Normal"/></w:pPr>
<w:r><w:t xml:space="preserve">the mixed commune is presided over by a military officer who</w:t></w:r>
</w:p>
<w:p>
<w:pPr><w:pStyle w:val="Normal"/></w:pPr>
<w:r><w:t xml:space="preserve">fulfils the duties of mayor.  Native communes are organized</w:t></w:r>
</w:p>
<w:p>
<w:pPr><w:pStyle w:val="Normal"/></w:pPr>
<w:r><w:t xml:space="preserve">on the same plan as those last mentioned.  It will be seen</w:t></w:r>
</w:p>
<w:p>
<w:pPr><w:pStyle w:val="Normal"/></w:pPr>
<w:r><w:t xml:space="preserve">that communes do not correspond with any natural unit.  The</w:t></w:r>
</w:p>
<w:p>
<w:pPr><w:pStyle w:val="Normal"/></w:pPr>
<w:r><w:t xml:space="preserve">unit among the Mahommedans is the douar, a tribal division</w:t></w:r>
</w:p>
<w:p>
<w:pPr><w:pStyle w:val="Normal"/></w:pPr>
<w:r><w:t xml:space="preserve">administered by a cadi.  The communes with full powers have</w:t></w:r>
</w:p>
<w:p>
<w:pPr><w:pStyle w:val="Normal"/></w:pPr>
<w:r><w:t xml:space="preserve">each for centre a town with a considerable European population.</w:t></w:r>
</w:p>
<w:p>
<w:pPr><w:pStyle w:val="Normal"/></w:pPr>
<w:r><w:t xml:space="preserve">By decree of the 14th of August 1905, the frontier between</w:t></w:r>
</w:p>
<w:p>
<w:pPr><w:pStyle w:val="Normal"/></w:pPr>
<w:r><w:t xml:space="preserve">Saharan territory dependent on Algeria and that attached to</w:t></w:r>
</w:p>
<w:p>
<w:pPr><w:pStyle w:val="Normal"/></w:pPr>
<w:r><w:t xml:space="preserve">French West Africa was laid down.  The Algerian Sahara was</w:t></w:r>
</w:p>
<w:p>
<w:pPr><w:pStyle w:val="Normal"/></w:pPr>
<w:r><w:t xml:space="preserve">divided into four territories, officially named Tuggurt,</w:t></w:r>
</w:p>
<w:p>
<w:pPr><w:pStyle w:val="Normal"/></w:pPr>
<w:r><w:t xml:space="preserve">Ghardaia, Ain Sefra and the Saharan Oases (Tuat, Gurara and</w:t></w:r>
</w:p>
<w:p>
<w:pPr><w:pStyle w:val="Normal"/></w:pPr>
<w:r><w:t xml:space="preserve">Tidikelt).  The governor-general represents the territories</w:t></w:r>
</w:p>
<w:p>
<w:pPr><w:pStyle w:val="Normal"/></w:pPr>
<w:r><w:t xml:space="preserve">in civil affairs; the budget is distinct from that of</w:t></w:r>
</w:p>
<w:p>
<w:pPr><w:pStyle w:val="Normal"/></w:pPr>
<w:r><w:t xml:space="preserve">Algeria and an annual subvention is provided by France.</w:t></w:r>
</w:p>
<w:p>
<w:pPr><w:pStyle w:val="Normal"/></w:pPr>
<w:r><w:t xml:space="preserve">Finance.--Revenue is derived chiefly from direct taxation,</w:t></w:r>
</w:p>
<w:p>
<w:pPr><w:pStyle w:val="Normal"/></w:pPr>
<w:r><w:t xml:space="preserve">customs and monopolies.  The heaviest item of expenditure</w:t></w:r>
</w:p>
<w:p>
<w:pPr><w:pStyle w:val="Normal"/></w:pPr>
<w:r><w:t xml:space="preserve">chargeable on the Algerian budget is on public works, posts and</w:t></w:r>
</w:p>
<w:p>
<w:pPr><w:pStyle w:val="Normal"/></w:pPr>
<w:r><w:t xml:space="preserve">telegraphs and agriculture.  Algeria has had a budget distinct</w:t></w:r>
</w:p>
<w:p>
<w:pPr><w:pStyle w:val="Normal"/></w:pPr>
<w:r><w:t xml:space="preserve">from that of France since 1901.  This budget includes all</w:t></w:r>
</w:p>
<w:p>
<w:pPr><w:pStyle w:val="Normal"/></w:pPr>
<w:r><w:t xml:space="preserve">the expenses of Algeria save the cost of the army (estimated</w:t></w:r>
</w:p>
<w:p>
<w:pPr><w:pStyle w:val="Normal"/></w:pPr>
<w:r><w:t xml:space="preserve">at L. 2,000,000 yearly) and the guarantee of interest on the</w:t></w:r>
</w:p>
<w:p>
<w:pPr><w:pStyle w:val="Normal"/></w:pPr>
<w:r><w:t xml:space="preserve">railways open before 1901.  Both these items are borne by</w:t></w:r>
</w:p>
<w:p>
<w:pPr><w:pStyle w:val="Normal"/></w:pPr>
<w:r><w:t xml:space="preserve">France.  The Algerian budget for 1906 showed revenue and</w:t></w:r>
</w:p>
<w:p>
<w:pPr><w:pStyle w:val="Normal"/></w:pPr>
<w:r><w:t xml:space="preserve">expenditure balancing at L. 3,820,000.  The country has a debt</w:t></w:r>
</w:p>
<w:p>
<w:pPr><w:pStyle w:val="Normal"/></w:pPr>
<w:r><w:t xml:space="preserve">(1905), including capital, annuities and interest, of some</w:t></w:r>
</w:p>
<w:p>
<w:pPr><w:pStyle w:val="Normal"/></w:pPr>
<w:r><w:t xml:space="preserve">Defence.--The military force constitutes the XIX. army corps of</w:t></w:r>
</w:p>
<w:p>
<w:pPr><w:pStyle w:val="Normal"/></w:pPr>
<w:r><w:t xml:space="preserve">the French army.  There are in addition a territorial army reserve</w:t></w:r>
</w:p>
<w:p>
<w:pPr><w:pStyle w:val="Normal"/></w:pPr>
<w:r><w:t xml:space="preserve">and a special body of troops, largely Arab, for the defence of</w:t></w:r>
</w:p>
<w:p>
<w:pPr><w:pStyle w:val="Normal"/></w:pPr>
<w:r><w:t xml:space="preserve">the Saharan territory.  The troops quartered in Algeria exceed</w:t></w:r>
</w:p>
<w:p>
<w:pPr><w:pStyle w:val="Normal"/></w:pPr>
<w:r><w:t xml:space="preserve">50,000.  The defence of the coast is provided by the French navy.</w:t></w:r>
</w:p>
<w:p>
<w:pPr><w:pStyle w:val="Normal"/></w:pPr>
<w:r><w:t xml:space="preserve">Land Tenure.--The colonization of Algeria by the French has</w:t></w:r>
</w:p>
<w:p>
<w:pPr><w:pStyle w:val="Normal"/></w:pPr>
<w:r><w:t xml:space="preserve">been greatly hampered by the system of land tenure which they</w:t></w:r>
</w:p>
<w:p>
<w:pPr><w:pStyle w:val="Normal"/></w:pPr>
<w:r><w:t xml:space="preserve">found in force.  Except among the Kabyles, private property</w:t></w:r>
</w:p>
<w:p>
<w:pPr><w:pStyle w:val="Normal"/></w:pPr>
<w:r><w:t xml:space="preserve">in land was unknown.  Amongst the Arabs, lands were either</w:t></w:r>
</w:p>
<w:p>
<w:pPr><w:pStyle w:val="Normal"/></w:pPr>
<w:r><w:t xml:space="preserve">held in common by a whole tribe, under a tenure known as</w:t></w:r>
</w:p>
<w:p>
<w:pPr><w:pStyle w:val="Normal"/></w:pPr>
<w:r><w:t xml:space="preserve">the arch or sabegha, or sometimes, especially in the,</w:t></w:r>
</w:p>
<w:p>
<w:pPr><w:pStyle w:val="Normal"/></w:pPr>
<w:r><w:t xml:space="preserve">towns, under a modified form of freehold (melk) by the</w:t></w:r>
</w:p>
<w:p>
<w:pPr><w:pStyle w:val="Normal"/></w:pPr>
<w:r><w:t xml:space="preserve">family.  At the same time the boundaries of property were</w:t></w:r>
</w:p>
<w:p>
<w:pPr><w:pStyle w:val="Normal"/></w:pPr>
<w:r><w:t xml:space="preserve">ill defined and difficult to determine.  This system made</w:t></w:r>
</w:p>
<w:p>
<w:pPr><w:pStyle w:val="Normal"/></w:pPr>
<w:r><w:t xml:space="preserve">it impossible for French immigrants to obtain land by lawful</w:t></w:r>
</w:p>
<w:p>
<w:pPr><w:pStyle w:val="Normal"/></w:pPr>
<w:r><w:t xml:space="preserve">transfer.  The only lands at the outset available for</w:t></w:r>
</w:p>
<w:p>
<w:pPr><w:pStyle w:val="Normal"/></w:pPr>
<w:r><w:t xml:space="preserve">settlement were, in fact, the confiscated domains of the</w:t></w:r>
</w:p>
<w:p>
<w:pPr><w:pStyle w:val="Normal"/></w:pPr>
<w:r><w:t xml:space="preserve">dey.  The obvious solution of the difficulty was to encourage</w:t></w:r>
</w:p>
<w:p>
<w:pPr><w:pStyle w:val="Normal"/></w:pPr>
<w:r><w:t xml:space="preserve">the free movement of real estate by substituting private</w:t></w:r>
</w:p>
<w:p>
<w:pPr><w:pStyle w:val="Normal"/></w:pPr>
<w:r><w:t xml:space="preserve">ownership for the traditional system.  Before doing this,</w:t></w:r>
</w:p>
<w:p>
<w:pPr><w:pStyle w:val="Normal"/></w:pPr>
<w:r><w:t xml:space="preserve">however, it was necessary to define the limits of tribal</w:t></w:r>
</w:p>
<w:p>
<w:pPr><w:pStyle w:val="Normal"/></w:pPr>
<w:r><w:t xml:space="preserve">properties already existing--a work of great difficulty--with</w:t></w:r>
</w:p>
<w:p>
<w:pPr><w:pStyle w:val="Normal"/></w:pPr>
<w:r><w:t xml:space="preserve">a view to their ultimate division, and at the same time to</w:t></w:r>
</w:p>
<w:p>
<w:pPr><w:pStyle w:val="Normal"/></w:pPr>
<w:r><w:t xml:space="preserve">guard against any premature traffic in the rights of Arabs</w:t></w:r>
</w:p>
<w:p>
<w:pPr><w:pStyle w:val="Normal"/></w:pPr>
<w:r><w:t xml:space="preserve">in the lands about to be divided.  A senatus-consulte</w:t></w:r>
</w:p>
<w:p>
<w:pPr><w:pStyle w:val="Normal"/></w:pPr>
<w:r><w:t xml:space="preserve">of 1863 laid the basis for the change in the land system</w:t></w:r>
</w:p>
<w:p>
<w:pPr><w:pStyle w:val="Normal"/></w:pPr>
<w:r><w:t xml:space="preserve">by providing (1) for the delimitation of the territory of</w:t></w:r>
</w:p>
<w:p>
<w:pPr><w:pStyle w:val="Normal"/></w:pPr>
<w:r><w:t xml:space="preserve">each tribe, (2) for the repartition of the territory thus</w:t></w:r>
</w:p>
<w:p>
<w:pPr><w:pStyle w:val="Normal"/></w:pPr>
<w:r><w:t xml:space="preserve">delimited among newly formed tribal divisions (douars or</w:t></w:r>
</w:p>
<w:p>
<w:pPr><w:pStyle w:val="Normal"/></w:pPr>
<w:r><w:t xml:space="preserve">communes), and (3) for the recognition of private ownership</w:t></w:r>
</w:p>
<w:p>
<w:pPr><w:pStyle w:val="Normal"/></w:pPr>
<w:r><w:t xml:space="preserve">by the issue of title deeds for such individual or family</w:t></w:r>
</w:p>
<w:p>
<w:pPr><w:pStyle w:val="Normal"/></w:pPr>
<w:r><w:t xml:space="preserve">property (melk) as already existed.  The purpose of this</w:t></w:r>
</w:p>
<w:p>
<w:pPr><w:pStyle w:val="Normal"/></w:pPr>
<w:r><w:t xml:space="preserve">excellent law, which would have laid firmly the basis for</w:t></w:r>
</w:p>
<w:p>
<w:pPr><w:pStyle w:val="Normal"/></w:pPr>
<w:r><w:t xml:space="preserve">gradual change, was defeated by the impatience of the French</w:t></w:r>
</w:p>
<w:p>
<w:pPr><w:pStyle w:val="Normal"/></w:pPr>
<w:r><w:t xml:space="preserve">colonists.  At the instance of their representatives in the</w:t></w:r>
</w:p>
<w:p>
<w:pPr><w:pStyle w:val="Normal"/></w:pPr>
<w:r><w:t xml:space="preserve">chambers it was abandoned in 1870, and was not revived till</w:t></w:r>
</w:p>
<w:p>
<w:pPr><w:pStyle w:val="Normal"/></w:pPr>
<w:r><w:t xml:space="preserve">seventeen years later.  A law was passed in 1873, and amended</w:t></w:r>
</w:p>
<w:p>
<w:pPr><w:pStyle w:val="Normal"/></w:pPr>
<w:r><w:t xml:space="preserve">in 1887, legalizing the immediate conversion of tribal and</w:t></w:r>
</w:p>
<w:p>
<w:pPr><w:pStyle w:val="Normal"/></w:pPr>
<w:r><w:t xml:space="preserve">family property into private freehold.  The result has been</w:t></w:r>
</w:p>
<w:p>
<w:pPr><w:pStyle w:val="Normal"/></w:pPr>
<w:r><w:t xml:space="preserve">disappointing.  For the most part, the Arab tribes have been</w:t></w:r>
</w:p>
<w:p>
<w:pPr><w:pStyle w:val="Normal"/></w:pPr>
<w:r><w:t xml:space="preserve">reluctant to avail themselves of their new powers, and where</w:t></w:r>
</w:p>
<w:p>
<w:pPr><w:pStyle w:val="Normal"/></w:pPr>
<w:r><w:t xml:space="preserve">they have done so the hasty reversal of the traditions of</w:t></w:r>
</w:p>
<w:p>
<w:pPr><w:pStyle w:val="Normal"/></w:pPr>
<w:r><w:t xml:space="preserve">centuries has proved demoralizing to the natives, without</w:t></w:r>
</w:p>
<w:p>
<w:pPr><w:pStyle w:val="Normal"/></w:pPr>
<w:r><w:t xml:space="preserve">any sufficient equivalent in the way of healthy French</w:t></w:r>
</w:p>
<w:p>
<w:pPr><w:pStyle w:val="Normal"/></w:pPr>
<w:r><w:t xml:space="preserve">colonization.  The main profit has been reaped by Jewish usurers.</w:t></w:r>
</w:p>
<w:p>
<w:pPr><w:pStyle w:val="Normal"/></w:pPr>
<w:r><w:t xml:space="preserve">The state domains were exhausted by 1870, but were again</w:t></w:r>
</w:p>
<w:p>
<w:pPr><w:pStyle w:val="Normal"/></w:pPr>
<w:r><w:t xml:space="preserve">replenished by the large confiscations which followed the</w:t></w:r>
</w:p>
<w:p>
<w:pPr><w:pStyle w:val="Normal"/></w:pPr>
<w:r><w:t xml:space="preserve">Arab revolt of 1871.  Government lands were originally given</w:t></w:r>
</w:p>
<w:p>
<w:pPr><w:pStyle w:val="Normal"/></w:pPr>
<w:r><w:t xml:space="preserve">free to applicants, but with a provisional and insecure</w:t></w:r>
</w:p>
<w:p>
<w:pPr><w:pStyle w:val="Normal"/></w:pPr>
<w:r><w:t xml:space="preserve">title, which made it impossible for poor colonists to</w:t></w:r>
</w:p>
<w:p>
<w:pPr><w:pStyle w:val="Normal"/></w:pPr>
<w:r><w:t xml:space="preserve">borrow money on their land.  This was modified by a law of</w:t></w:r>
</w:p>
<w:p>
<w:pPr><w:pStyle w:val="Normal"/></w:pPr>
<w:r><w:t xml:space="preserve">1851.  But ultimately, the results not being satisfactory,</w:t></w:r>
</w:p>
<w:p>
<w:pPr><w:pStyle w:val="Normal"/></w:pPr>
<w:r><w:t xml:space="preserve">the precedent of Australia was followed, and by a law of</w:t></w:r>
</w:p>
<w:p>
<w:pPr><w:pStyle w:val="Normal"/></w:pPr>
<w:r><w:t xml:space="preserve">1860 domain lands were sold publicly at a fixed price.</w:t></w:r>
</w:p>
<w:p>
<w:pPr><w:pStyle w:val="Normal"/></w:pPr>
<w:r><w:t xml:space="preserve">This had the effect of attracting more and a better class</w:t></w:r>
</w:p>
<w:p>
<w:pPr><w:pStyle w:val="Normal"/></w:pPr>
<w:r><w:t xml:space="preserve">of immigrants, but was none the less reversed in 1881.</w:t></w:r>
</w:p>
<w:p>
<w:pPr><w:pStyle w:val="Normal"/></w:pPr>
<w:r><w:t xml:space="preserve">In September 1904, a new scheme, intended to attract more</w:t></w:r>
</w:p>
<w:p>
<w:pPr><w:pStyle w:val="Normal"/></w:pPr>
<w:r><w:t xml:space="preserve">European settlers, was adopted.  The lands of the state--other</w:t></w:r>
</w:p>
<w:p>
<w:pPr><w:pStyle w:val="Normal"/></w:pPr>
<w:r><w:t xml:space="preserve">than woods and forests--but especially the barren lands</w:t></w:r>
</w:p>
<w:p>
<w:pPr><w:pStyle w:val="Normal"/></w:pPr>
<w:r><w:t xml:space="preserve">and brushwoods situated in the plains, were offered for</w:t></w:r>
</w:p>
<w:p>
<w:pPr><w:pStyle w:val="Normal"/></w:pPr>
<w:r><w:t xml:space="preserve">colonization, to be disposed of (1) by sale at a fixed price,</w:t></w:r>
</w:p>
<w:p>
<w:pPr><w:pStyle w:val="Normal"/></w:pPr>
<w:r><w:t xml:space="preserve">(2) by auction, and (3), in certain cases, by agreement.</w:t></w:r>
</w:p>
<w:p>
<w:pPr><w:pStyle w:val="Normal"/></w:pPr>
<w:r><w:t xml:space="preserve">Purchasers were to be Frenchmen, or Europeans naturalized as</w:t></w:r>
</w:p>
<w:p>
<w:pPr><w:pStyle w:val="Normal"/></w:pPr>
<w:r><w:t xml:space="preserve">French citizens, who had never held ``colonization lands&apos;&apos;;</w:t></w:r>
</w:p>
<w:p>
<w:pPr><w:pStyle w:val="Normal"/></w:pPr>
<w:r><w:t xml:space="preserve">and they were obliged, under pain of forfeiture, either to</w:t></w:r>
</w:p>
<w:p>
<w:pPr><w:pStyle w:val="Normal"/></w:pPr>
<w:r><w:t xml:space="preserve">take up residence themselves on their property within six</w:t></w:r>
</w:p>
<w:p>
<w:pPr><w:pStyle w:val="Normal"/></w:pPr>
<w:r><w:t xml:space="preserve">months and to live on it and exploit it for a period of ten</w:t></w:r>
</w:p>
<w:p>
<w:pPr><w:pStyle w:val="Normal"/></w:pPr>
<w:r><w:t xml:space="preserve">years, or else to place on the land another family fulfilling</w:t></w:r>
</w:p>
<w:p>
<w:pPr><w:pStyle w:val="Normal"/></w:pPr>
<w:r><w:t xml:space="preserve">the same conditions.  If the purchaser farmed the land himself</w:t></w:r>
</w:p>
<w:p>
<w:pPr><w:pStyle w:val="Normal"/></w:pPr>
<w:r><w:t xml:space="preserve">and made satisfactory progress, the period of obligatory</w:t></w:r>
</w:p>
<w:p>
<w:pPr><w:pStyle w:val="Normal"/></w:pPr>
<w:r><w:t xml:space="preserve">residence was reduced to five years.  When the interests</w:t></w:r>
</w:p>
<w:p>
<w:pPr><w:pStyle w:val="Normal"/></w:pPr>
<w:r><w:t xml:space="preserve">of colonization required it, free gifts of land might be</w:t></w:r>
</w:p>
<w:p>
<w:pPr><w:pStyle w:val="Normal"/></w:pPr>
<w:r><w:t xml:space="preserve">made; in which case the grantee must himself exploit his</w:t></w:r>
</w:p>
<w:p>
<w:pPr><w:pStyle w:val="Normal"/></w:pPr>
<w:r><w:t xml:space="preserve">concession.  In no case might land acquired under this scheme</w:t></w:r>
</w:p>
<w:p>
<w:pPr><w:pStyle w:val="Normal"/></w:pPr>
<w:r><w:t xml:space="preserve">be let to natives until after the expiration of ten years.</w:t></w:r>
</w:p>
<w:p>
<w:pPr><w:pStyle w:val="Normal"/></w:pPr>
<w:r><w:t xml:space="preserve">For the purpose of creating villages, land was put at the</w:t></w:r>
</w:p>
<w:p>
<w:pPr><w:pStyle w:val="Normal"/></w:pPr>
<w:r><w:t xml:space="preserve">disposition of societies or individuals, who undertook to people</w:t></w:r>
</w:p>
<w:p>
<w:pPr><w:pStyle w:val="Normal"/></w:pPr>
<w:r><w:t xml:space="preserve">them with immigrants fulfilling the same conditions as independent</w:t></w:r>
</w:p>
<w:p>
<w:pPr><w:pStyle w:val="Normal"/></w:pPr>
<w:r><w:t xml:space="preserve">settlers.  Two-thirds of the villagers were to be French</w:t></w:r>
</w:p>
<w:p>
<w:pPr><w:pStyle w:val="Normal"/></w:pPr>
<w:r><w:t xml:space="preserve">immigrants, the other third Frenchmen or naturalized Frenchmen</w:t></w:r>
</w:p>
<w:p>
<w:pPr><w:pStyle w:val="Normal"/></w:pPr>
<w:r><w:t xml:space="preserve">already settled in Algeria.  To favour the establishment</w:t></w:r>
</w:p>
<w:p>
<w:pPr><w:pStyle w:val="Normal"/></w:pPr>
<w:r><w:t xml:space="preserve">of special industries, the governor-general was given power</w:t></w:r>
</w:p>
<w:p>
<w:pPr><w:pStyle w:val="Normal"/></w:pPr>
<w:r><w:t xml:space="preserve">to authorize the introduction of foreign instead of French</w:t></w:r>
</w:p>
<w:p>
<w:pPr><w:pStyle w:val="Normal"/></w:pPr>
<w:r><w:t xml:space="preserve">immigrants.  The societies or individuals undertaking village</w:t></w:r>
</w:p>
<w:p>
<w:pPr><w:pStyle w:val="Normal"/></w:pPr>
<w:r><w:t xml:space="preserve">settlements must do so from philanthropic motives, inasmuch</w:t></w:r>
</w:p>
<w:p>
<w:pPr><w:pStyle w:val="Normal"/></w:pPr>
<w:r><w:t xml:space="preserve">as within two years of the founding of a village, the land,</w:t></w:r>
</w:p>
<w:p>
<w:pPr><w:pStyle w:val="Normal"/></w:pPr>
<w:r><w:t xml:space="preserve">under pain of forfeiture to the state, must be transferred</w:t></w:r>
</w:p>
<w:p>
<w:pPr><w:pStyle w:val="Normal"/></w:pPr>
<w:r><w:t xml:space="preserve">gratuitously to the villagers.  As will be seen, settlement</w:t></w:r>
</w:p>
<w:p>
<w:pPr><w:pStyle w:val="Normal"/></w:pPr>
<w:r><w:t xml:space="preserve">on the land by Europeans is hampered by official restrictions,</w:t></w:r>
</w:p>
<w:p>
<w:pPr><w:pStyle w:val="Normal"/></w:pPr>
<w:r><w:t xml:space="preserve">especially by the stringent regulations as to residence.</w:t></w:r>
</w:p>
<w:p>
<w:pPr><w:pStyle w:val="Normal"/></w:pPr>
<w:r><w:t xml:space="preserve">Justice.--Two judicial systems exist in Algeria--native and</w:t></w:r>
</w:p>
<w:p>
<w:pPr><w:pStyle w:val="Normal"/></w:pPr>
<w:r><w:t xml:space="preserve">French.  Native courts decide suits between Mahommedans.</w:t></w:r>
</w:p>
<w:p>
<w:pPr><w:pStyle w:val="Normal"/></w:pPr>
<w:r><w:t xml:space="preserve">From the decision of the cadis appeal lies to the French</w:t></w:r>
</w:p>
<w:p>
<w:pPr><w:pStyle w:val="Normal"/></w:pPr>
<w:r><w:t xml:space="preserve">courts.  The French system provides, for civil cases, a court</w:t></w:r>
</w:p>
<w:p>
<w:pPr><w:pStyle w:val="Normal"/></w:pPr>
<w:r><w:t xml:space="preserve">of first instance in each of the sixteen arrondissements</w:t></w:r>
</w:p>
<w:p>
<w:pPr><w:pStyle w:val="Normal"/></w:pPr>
<w:r><w:t xml:space="preserve">into which the country is divided.  A court of appeal sits at</w:t></w:r>
</w:p>
<w:p>
<w:pPr><w:pStyle w:val="Normal"/></w:pPr>
<w:r><w:t xml:space="preserve">Algiers.  There are also tribunals of commerce and justices of</w:t></w:r>
</w:p>
<w:p>
<w:pPr><w:pStyle w:val="Normal"/></w:pPr>
<w:r><w:t xml:space="preserve">the peace with extensive jurisdiction.  The criminal courts are</w:t></w:r>
</w:p>
<w:p>
<w:pPr><w:pStyle w:val="Normal"/></w:pPr>
<w:r><w:t xml:space="preserve">organized as in France.  Trial by jury has been introduced; but</w:t></w:r>
</w:p>
<w:p>
<w:pPr><w:pStyle w:val="Normal"/></w:pPr>
<w:r><w:t xml:space="preserve">as natives are not allowed to act as jurymen this has often led</w:t></w:r>
</w:p>
<w:p>
<w:pPr><w:pStyle w:val="Normal"/></w:pPr>
<w:r><w:t xml:space="preserve">to serious miscarriages of justice and to excessive severities.</w:t></w:r>
</w:p>
<w:p>
<w:pPr><w:pStyle w:val="Normal"/></w:pPr>
<w:r><w:t xml:space="preserve">Whilst modifications of the law require special legislation or</w:t></w:r>
</w:p>
<w:p>
<w:pPr><w:pStyle w:val="Normal"/></w:pPr>
<w:r><w:t xml:space="preserve">decree, it has been legally decided that all laws in force in</w:t></w:r>
</w:p>
<w:p>
<w:pPr><w:pStyle w:val="Normal"/></w:pPr>
<w:r><w:t xml:space="preserve">France before the conquest of the country (i.e. those anterior</w:t></w:r>
</w:p>
<w:p>
<w:pPr><w:pStyle w:val="Normal"/></w:pPr>
<w:r><w:t xml:space="preserve">to the 22nd of July 1834) are in force in Algeria.  In practice the</w:t></w:r>
</w:p>
<w:p>
<w:pPr><w:pStyle w:val="Normal"/></w:pPr>
<w:r><w:t xml:space="preserve">courts allow themselves wide latitude in applying this principle.</w:t></w:r>
</w:p>
<w:p>
<w:pPr><w:pStyle w:val="Normal"/></w:pPr>
<w:r><w:t xml:space="preserve">Education.--The system of education is complicated by the</w:t></w:r>
</w:p>
<w:p>
<w:pPr><w:pStyle w:val="Normal"/></w:pPr>
<w:r><w:t xml:space="preserve">co-existence of Mahommedan and Christian communities.  Before</w:t></w:r>
</w:p>
<w:p>
<w:pPr><w:pStyle w:val="Normal"/></w:pPr>
<w:r><w:t xml:space="preserve">the arrival of the French two kinds of instruction were given,</w:t></w:r>
</w:p>
<w:p>
<w:pPr><w:pStyle w:val="Normal"/></w:pPr>
<w:r><w:t xml:space="preserve">reading and writing being taught in the ordinary schools and</w:t></w:r>
</w:p>
<w:p>
<w:pPr><w:pStyle w:val="Normal"/></w:pPr>
<w:r><w:t xml:space="preserve">higher education--largely theological--in medressas (colleges),</w:t></w:r>
</w:p>
<w:p>
<w:pPr><w:pStyle w:val="Normal"/></w:pPr>
<w:r><w:t xml:space="preserve">usually attached to the chief mosques.  Attempts by the French</w:t></w:r>
</w:p>
<w:p>
<w:pPr><w:pStyle w:val="Normal"/></w:pPr>
<w:r><w:t xml:space="preserve">to improve the education of the natives were at first marked</w:t></w:r>
</w:p>
<w:p>
<w:pPr><w:pStyle w:val="Normal"/></w:pPr>
<w:r><w:t xml:space="preserve">by hesitation and long periods in which little or nothing was</w:t></w:r>
</w:p>
<w:p>
<w:pPr><w:pStyle w:val="Normal"/></w:pPr>
<w:r><w:t xml:space="preserve">done.  The provision for the instruction of the European and</w:t></w:r>
</w:p>
<w:p>
<w:pPr><w:pStyle w:val="Normal"/></w:pPr>
<w:r><w:t xml:space="preserve">Jewish population was also inadequate.  In 1883 a law was</w:t></w:r>
</w:p>
<w:p>
<w:pPr><w:pStyle w:val="Normal"/></w:pPr>
<w:r><w:t xml:space="preserve">passed for the reorganization of the systems in force, and</w:t></w:r>
</w:p>
<w:p>
<w:pPr><w:pStyle w:val="Normal"/></w:pPr>
<w:r><w:t xml:space="preserve">primary instruction was made compulsory for Europeans and</w:t></w:r>
</w:p>
<w:p>
<w:pPr><w:pStyle w:val="Normal"/></w:pPr>
<w:r><w:t xml:space="preserve">Jews, whilst in the case of Mahommedans discretion in the</w:t></w:r>
</w:p>
<w:p>
<w:pPr><w:pStyle w:val="Normal"/></w:pPr>
<w:r><w:t xml:space="preserve">establishment of schools was vested in the governor- general.</w:t></w:r>
</w:p>
<w:p>
<w:pPr><w:pStyle w:val="Normal"/></w:pPr>
<w:r><w:t xml:space="preserve">Attempts are made to assimilate the Mahommedan population by means</w:t></w:r>
</w:p>
<w:p>
<w:pPr><w:pStyle w:val="Normal"/></w:pPr>
<w:r><w:t xml:space="preserve">of Franco-Arab primary and secondary schools, which supplement</w:t></w:r>
</w:p>
<w:p>
<w:pPr><w:pStyle w:val="Normal"/></w:pPr>
<w:r><w:t xml:space="preserve">the purely French and purely Arab establishments of the same</w:t></w:r>
</w:p>
<w:p>
<w:pPr><w:pStyle w:val="Normal"/></w:pPr>
<w:r><w:t xml:space="preserve">character.  These attempts meet with little success, owing in</w:t></w:r>
</w:p>
<w:p>
<w:pPr><w:pStyle w:val="Heading1"/></w:pPr>
<w:r><w:t>part to racial prejudice and in part to the indifference of the</w:t></w:r>
</w:p>
<w:p>
<w:pPr><w:pStyle w:val="Normal"/></w:pPr>
<w:r><w:t xml:space="preserve">Arabs to education.  Few Moslems attend the secondary schools.</w:t></w:r>
</w:p>
<w:p>
<w:pPr><w:pStyle w:val="Normal"/></w:pPr>
<w:r><w:t xml:space="preserve">Purely Mahommedan higher schools exist at Algiers, Tlemcen and</w:t></w:r>
</w:p>
<w:p>
<w:pPr><w:pStyle w:val="Normal"/></w:pPr>
<w:r><w:t xml:space="preserve">Constantine.  From these establishments the ranks of native</w:t></w:r>
</w:p>
<w:p>
<w:pPr><w:pStyle w:val="Normal"/></w:pPr>
<w:r><w:t xml:space="preserve">officials are recruited.  There is one secondary school for</w:t></w:r>
</w:p>
<w:p>
<w:pPr><w:pStyle w:val="Normal"/></w:pPr>
<w:r><w:t xml:space="preserve">Moslem girls.  The education provided for Europeans resembles</w:t></w:r>
</w:p>
<w:p>
<w:pPr><w:pStyle w:val="Normal"/></w:pPr>
<w:r><w:t xml:space="preserve">in most respects that given in France. (The lycees at</w:t></w:r>
</w:p>
<w:p>
<w:pPr><w:pStyle w:val="Normal"/></w:pPr>
<w:r><w:t xml:space="preserve">Algiers, Oran and Constantine are open to Mahommedans, but few</w:t></w:r>
</w:p>
<w:p>
<w:pPr><w:pStyle w:val="Normal"/></w:pPr>
<w:r><w:t xml:space="preserve">take advantage of them.) Besides the government schools there</w:t></w:r>
</w:p>
<w:p>
<w:pPr><w:pStyle w:val="Normal"/></w:pPr>
<w:r><w:t xml:space="preserve">are establishments conducted by clerics and laymen.  The best</w:t></w:r>
</w:p>
<w:p>
<w:pPr><w:pStyle w:val="Normal"/></w:pPr>
<w:r><w:t xml:space="preserve">girls&apos; schools are generally those kept by nuns.  At Algiers</w:t></w:r>
</w:p>
<w:p>
<w:pPr><w:pStyle w:val="Normal"/></w:pPr>
<w:r><w:t xml:space="preserve">there is an establishment with faculties of law, medicine and</w:t></w:r>
</w:p>
<w:p>
<w:pPr><w:pStyle w:val="Normal"/></w:pPr>
<w:r><w:t xml:space="preserve">pharmacy, science and letters.  At Oran is a college for</w:t></w:r>
</w:p>
<w:p>
<w:pPr><w:pStyle w:val="Normal"/></w:pPr>
<w:r><w:t xml:space="preserve">European girls.  The scholars attending primary schools number</w:t></w:r>
</w:p>
<w:p>
<w:pPr><w:pStyle w:val="Normal"/></w:pPr>
<w:r><w:t xml:space="preserve">about 150,000 (over 100,000 being Europeans and some 15,000</w:t></w:r>
</w:p>
<w:p>
<w:pPr><w:pStyle w:val="Normal"/></w:pPr>
<w:r><w:t xml:space="preserve">Jewish) and those at secondary schools about 6000. (F. R. C.)</w:t></w:r>
</w:p>
<w:p>
<w:pPr><w:pStyle w:val="Normal"/></w:pPr>
<w:r><w:t xml:space="preserve">HISTORY</w:t></w:r>
</w:p>
<w:p>
<w:pPr><w:pStyle w:val="Normal"/></w:pPr>
<w:r><w:t xml:space="preserve">Africa Minor.</w:t></w:r>
</w:p>
<w:p>
<w:pPr><w:pStyle w:val="Normal"/></w:pPr>
<w:r><w:t xml:space="preserve">From a geographical point of view Algeria, together with Morocco</w:t></w:r>
</w:p>
<w:p>
<w:pPr><w:pStyle w:val="Normal"/></w:pPr>
<w:r><w:t xml:space="preserve">and Tunisia, from which it is separated only by artificial and</w:t></w:r>
</w:p>
<w:p>
<w:pPr><w:pStyle w:val="Normal"/></w:pPr>
<w:r><w:t xml:space="preserve">purely political frontiers, forms a distinct country. which</w:t></w:r>
</w:p>
<w:p>
<w:pPr><w:pStyle w:val="Normal"/></w:pPr>
<w:r><w:t xml:space="preserve">it is convenient to designate by the name of Africa Minor.</w:t></w:r>
</w:p>
<w:p>
<w:pPr><w:pStyle w:val="Normal"/></w:pPr>
<w:r><w:t xml:space="preserve">Both historically and geographically, Africa Minor belongs much</w:t></w:r>
</w:p>
<w:p>
<w:pPr><w:pStyle w:val="Normal"/></w:pPr>
<w:r><w:t xml:space="preserve">more to the Mediterranean world than to the African.  All the</w:t></w:r>
</w:p>
<w:p>
<w:pPr><w:pStyle w:val="Normal"/></w:pPr>
<w:r><w:t xml:space="preserve">foreign invaders who successively established their dominion</w:t></w:r>
</w:p>
<w:p>
<w:pPr><w:pStyle w:val="Normal"/></w:pPr>
<w:r><w:t xml:space="preserve">over this country either crossed the Mediterranean or followed</w:t></w:r>
</w:p>
<w:p>
<w:pPr><w:pStyle w:val="Normal"/></w:pPr>
<w:r><w:t xml:space="preserve">its shores.  The Phoenicians, the Romans, the Vandals, the</w:t></w:r>
</w:p>
<w:p>
<w:pPr><w:pStyle w:val="Normal"/></w:pPr>
<w:r><w:t xml:space="preserve">Byzantines, the Arabs, the Turks and the French, all came</w:t></w:r>
</w:p>
<w:p>
<w:pPr><w:pStyle w:val="Normal"/></w:pPr>
<w:r><w:t xml:space="preserve">from the east or from the north.  The history of Africa Minor</w:t></w:r>
</w:p>
<w:p>
<w:pPr><w:pStyle w:val="Normal"/></w:pPr>
<w:r><w:t xml:space="preserve">is the history of all those foreigners who have successively</w:t></w:r>
</w:p>
<w:p>
<w:pPr><w:pStyle w:val="Normal"/></w:pPr>
<w:r><w:t xml:space="preserve">endeavoured to exploit this land, the history of their divers</w:t></w:r>
</w:p>
<w:p>
<w:pPr><w:pStyle w:val="Normal"/></w:pPr>
<w:r><w:t xml:space="preserve">civilizations struggling against an ever-renascent barbarism.</w:t></w:r>
</w:p>
<w:p>
<w:pPr><w:pStyle w:val="Normal"/></w:pPr>
<w:r><w:t xml:space="preserve">The political divisions of Africa Minor have changed many</w:t></w:r>
</w:p>
<w:p>
<w:pPr><w:pStyle w:val="Normal"/></w:pPr>
<w:r><w:t xml:space="preserve">times, for, as the country has no natural centre, many towns</w:t></w:r>
</w:p>
<w:p>
<w:pPr><w:pStyle w:val="Normal"/></w:pPr>
<w:r><w:t xml:space="preserve">have aspired to play the role of capital.  The rivalry of</w:t></w:r>
</w:p>
<w:p>
<w:pPr><w:pStyle w:val="Normal"/></w:pPr>
<w:r><w:t xml:space="preserve">these towns is intimately connected with the struggles and</w:t></w:r>
</w:p>
<w:p>
<w:pPr><w:pStyle w:val="Normal"/></w:pPr>
<w:r><w:t xml:space="preserve">insurrections which have stained the land with blood.  The</w:t></w:r>
</w:p>
<w:p>
<w:pPr><w:pStyle w:val="Normal"/></w:pPr>
<w:r><w:t xml:space="preserve">existing division--viz.  Morocco, Algeria and Tunisia--dates</w:t></w:r>
</w:p>
<w:p>
<w:pPr><w:pStyle w:val="Normal"/></w:pPr>
<w:r><w:t xml:space="preserve">back to the time of the Turkish dominion.  It is since</w:t></w:r>
</w:p>
<w:p>
<w:pPr><w:pStyle w:val="Normal"/></w:pPr>
<w:r><w:t xml:space="preserve">that time only that the expression Algeria has been in use.</w:t></w:r>
</w:p>
<w:p>
<w:pPr><w:pStyle w:val="Normal"/></w:pPr>
<w:r><w:t xml:space="preserve">Struggle with Spain.</w:t></w:r>
</w:p>
<w:p>
<w:pPr><w:pStyle w:val="Normal"/></w:pPr>
<w:r><w:t xml:space="preserve">At the beginning of the 16th century the native dynasties</w:t></w:r>
</w:p>
<w:p>
<w:pPr><w:pStyle w:val="Normal"/></w:pPr>
<w:r><w:t xml:space="preserve">which divided Africa Minor between them--the Marinides at</w:t></w:r>
</w:p>
<w:p>
<w:pPr><w:pStyle w:val="Normal"/></w:pPr>
<w:r><w:t xml:space="preserve">Fez, the Abd-el-Wahid at Tlemcen, and the Hafsides at</w:t></w:r>
</w:p>
<w:p>
<w:pPr><w:pStyle w:val="Normal"/></w:pPr>
<w:r><w:t xml:space="preserve">Tunis--were without strength and without authority.  Two</w:t></w:r>
</w:p>
<w:p>
<w:pPr><w:pStyle w:val="Normal"/></w:pPr>
<w:r><w:t xml:space="preserve">nations, then at the height of their power, Spain and</w:t></w:r>
</w:p>
<w:p>
<w:pPr><w:pStyle w:val="Normal"/></w:pPr>
<w:r><w:t xml:space="preserve">Turkey, disputed the empire of the Mediterranean.  The</w:t></w:r>
</w:p>
<w:p>
<w:pPr><w:pStyle w:val="Normal"/></w:pPr>
<w:r><w:t xml:space="preserve">Spaniards took Mers-el-Kebir (1505), Oran (1509), and Bougie</w:t></w:r>
</w:p>
<w:p>
<w:pPr><w:pStyle w:val="Normal"/></w:pPr>
<w:r><w:t xml:space="preserve">and Tripoli (1510).  Two Turkish corsairs, Arouj and his</w:t></w:r>
</w:p>
<w:p>
<w:pPr><w:pStyle w:val="Normal"/></w:pPr>
<w:r><w:t xml:space="preserve">brother, Khair-ed-Din (otherwise known as Barbarossa), at</w:t></w:r>
</w:p>
<w:p>
<w:pPr><w:pStyle w:val="Normal"/></w:pPr>
<w:r><w:t xml:space="preserve">first established in the island of Jerba and afterwards at</w:t></w:r>
</w:p>
<w:p>
<w:pPr><w:pStyle w:val="Normal"/></w:pPr>
<w:r><w:t xml:space="preserve">Jijelli, disputed with the Spaniards the dominion of the</w:t></w:r>
</w:p>
<w:p>
<w:pPr><w:pStyle w:val="Normal"/></w:pPr>
<w:r><w:t xml:space="preserve">country.  Arouj seized Algiers (1516); Khair-ed-Din, succeeding</w:t></w:r>
</w:p>
<w:p>
<w:pPr><w:pStyle w:val="Normal"/></w:pPr>
<w:r><w:t xml:space="preserve">him in 1518, did homage for his conquest to the sultan at</w:t></w:r>
</w:p>
<w:p>
<w:pPr><w:pStyle w:val="Normal"/></w:pPr>
<w:r><w:t xml:space="preserve">Constantinople, who named him beylerbey and sent him soldiers</w:t></w:r>
</w:p>
<w:p>
<w:pPr><w:pStyle w:val="Normal"/></w:pPr>
<w:r><w:t xml:space="preserve">(1519).  Then began the struggle of the Turks with Spain.  In</w:t></w:r>
</w:p>
<w:p>
<w:pPr><w:pStyle w:val="Normal"/></w:pPr>
<w:r><w:t xml:space="preserve">1541 the emperor Charles V. undertook a great expedition against</w:t></w:r>
</w:p>
<w:p>
<w:pPr><w:pStyle w:val="Normal"/></w:pPr>
<w:r><w:t xml:space="preserve">Algiers.  He succeeded in landing, and proceeded to attack the</w:t></w:r>
</w:p>
<w:p>
<w:pPr><w:pStyle w:val="Normal"/></w:pPr>
<w:r><w:t xml:space="preserve">town.  But during the night of the 26th of October a violent</w:t></w:r>
</w:p>
<w:p>
<w:pPr><w:pStyle w:val="Normal"/></w:pPr>
<w:r><w:t xml:space="preserve">storm destroyed a great part of his fleet.  His provisions and</w:t></w:r>
</w:p>
<w:p>
<w:pPr><w:pStyle w:val="Normal"/></w:pPr>
<w:r><w:t xml:space="preserve">his ammunition were lost, his army was compelled to retreat</w:t></w:r>
</w:p>
<w:p>
<w:pPr><w:pStyle w:val="Normal"/></w:pPr>
<w:r><w:t xml:space="preserve">with considerable loss, and the emperor had to re-embark with</w:t></w:r>
</w:p>
<w:p>
<w:pPr><w:pStyle w:val="Normal"/></w:pPr>
<w:r><w:t xml:space="preserve">the remnant of his troops.  This check completely discouraged</w:t></w:r>
</w:p>
<w:p>
<w:pPr><w:pStyle w:val="Normal"/></w:pPr>
<w:r><w:t xml:space="preserve">the Spaniards and assured success to the Turks.  The Spanish</w:t></w:r>
</w:p>
<w:p>
<w:pPr><w:pStyle w:val="Normal"/></w:pPr>
<w:r><w:t xml:space="preserve">garrisons established in the coast towns, badly paid and</w:t></w:r>
</w:p>
<w:p>
<w:pPr><w:pStyle w:val="Normal"/></w:pPr>
<w:r><w:t xml:space="preserve">left without reinforcements, had difficulty in defending</w:t></w:r>
</w:p>
<w:p>
<w:pPr><w:pStyle w:val="Normal"/></w:pPr>
<w:r><w:t xml:space="preserve">themselves.  In the end, the only towns the Spaniards</w:t></w:r>
</w:p>
<w:p>
<w:pPr><w:pStyle w:val="Normal"/></w:pPr>
<w:r><w:t xml:space="preserve">retained on the Algerian coast were Oran and Mers-el-Kebir.</w:t></w:r>
</w:p>
<w:p>
<w:pPr><w:pStyle w:val="Normal"/></w:pPr>
<w:r><w:t xml:space="preserve">These two towns, taken by the Turks in 1708 and retaken</w:t></w:r>
</w:p>
<w:p>
<w:pPr><w:pStyle w:val="Normal"/></w:pPr>
<w:r><w:t xml:space="preserve">by the Spaniards in 1732, were finally abandoned in 1791.</w:t></w:r>
</w:p>
<w:p>
<w:pPr><w:pStyle w:val="Normal"/></w:pPr>
<w:r><w:t xml:space="preserve">Barbary corsairs.</w:t></w:r>
</w:p>
<w:p>
<w:pPr><w:pStyle w:val="Normal"/></w:pPr>
<w:r><w:t xml:space="preserve">Under the Turkish dominion Algeria had originally at its head a</w:t></w:r>
</w:p>
<w:p>
<w:pPr><w:pStyle w:val="Normal"/></w:pPr>
<w:r><w:t xml:space="preserve">beylerbey resident at Algiers.  He controlled three beys:--the</w:t></w:r>
</w:p>
<w:p>
<w:pPr><w:pStyle w:val="Normal"/></w:pPr>
<w:r><w:t xml:space="preserve">bey of Titeri in the south, the bey of the east at Constantine,</w:t></w:r>
</w:p>
<w:p>
<w:pPr><w:pStyle w:val="Normal"/></w:pPr>
<w:r><w:t xml:space="preserve">and the bey of the west who resided at Mascara and afterwards at</w:t></w:r>
</w:p>
<w:p>
<w:pPr><w:pStyle w:val="Normal"/></w:pPr>
<w:r><w:t xml:space="preserve">Oran.  These three beys existed till 1830.  The beylerbeys</w:t></w:r>
</w:p>
<w:p>
<w:pPr><w:pStyle w:val="Normal"/></w:pPr>
<w:r><w:t xml:space="preserve">were replaced in 1587 by pashas sent triennially by the</w:t></w:r>
</w:p>
<w:p>
<w:pPr><w:pStyle w:val="Normal"/></w:pPr>
<w:r><w:t xml:space="preserve">Porte.  But the authority of these pashas, strangers to the</w:t></w:r>
</w:p>
<w:p>
<w:pPr><w:pStyle w:val="Normal"/></w:pPr>
<w:r><w:t xml:space="preserve">country, was always precarious.  They found themselves, in fact,</w:t></w:r>
</w:p>
<w:p>
<w:pPr><w:pStyle w:val="Normal"/></w:pPr>
<w:r><w:t xml:space="preserve">in conflict with two forces, which in principle were in their</w:t></w:r>
</w:p>
<w:p>
<w:pPr><w:pStyle w:val="Normal"/></w:pPr>
<w:r><w:t xml:space="preserve">service, but which in reality held the power--the taiffe des</w:t></w:r>
</w:p>
<w:p>
<w:pPr><w:pStyle w:val="Normal"/></w:pPr>
<w:r><w:t xml:space="preserve">reis, otherwise called the corporation of the corsairs (see</w:t></w:r>
</w:p>
<w:p>
<w:pPr><w:pStyle w:val="Normal"/></w:pPr>
<w:r><w:t xml:space="preserve">BARBARY PIRATES), and the janissaries, a kind of military</w:t></w:r>
</w:p>
<w:p>
<w:pPr><w:pStyle w:val="Normal"/></w:pPr>
<w:r><w:t xml:space="preserve">democracy in which each member was promoted according to</w:t></w:r>
</w:p>
<w:p>
<w:pPr><w:pStyle w:val="Normal"/></w:pPr>
<w:r><w:t xml:space="preserve">seniority.  In 1669 the corsairs drove out the pasha, and put</w:t></w:r>
</w:p>
<w:p>
<w:pPr><w:pStyle w:val="Normal"/></w:pPr>
<w:r><w:t xml:space="preserve">into his place a dey elected by themselves.  After some fruitless</w:t></w:r>
</w:p>
<w:p>
<w:pPr><w:pStyle w:val="Normal"/></w:pPr>
<w:r><w:t xml:space="preserve">attempts Turkey ceased to send pashas to Algiers--where they</w:t></w:r>
</w:p>
<w:p>
<w:pPr><w:pStyle w:val="Normal"/></w:pPr>
<w:r><w:t xml:space="preserve">were not allowed even to land--and thus recognized the de</w:t></w:r>
</w:p>
<w:p>
<w:pPr><w:pStyle w:val="Normal"/></w:pPr>
<w:r><w:t xml:space="preserve">facto independence of this singular republic.  The authority</w:t></w:r>
</w:p>
<w:p>
<w:pPr><w:pStyle w:val="Normal"/></w:pPr>
<w:r><w:t xml:space="preserve">of the deys, moreover, was scarcely more solid than that of the</w:t></w:r>
</w:p>
<w:p>
<w:pPr><w:pStyle w:val="Normal"/></w:pPr>
<w:r><w:t xml:space="preserve">pashas.  They trembled before the janissaries, who from the</w:t></w:r>
</w:p>
<w:p>
<w:pPr><w:pStyle w:val="Normal"/></w:pPr>
<w:r><w:t xml:space="preserve">18th century elected and deposed them at their pleasure.</w:t></w:r>
</w:p>
<w:p>
<w:pPr><w:pStyle w:val="Normal"/></w:pPr>
<w:r><w:t xml:space="preserve">The relations which the European powers were able to</w:t></w:r>
</w:p>
<w:p>
<w:pPr><w:pStyle w:val="Normal"/></w:pPr>
<w:r><w:t xml:space="preserve">maintain with northern Africa were at that time difficult and</w:t></w:r>
</w:p>
<w:p>
<w:pPr><w:pStyle w:val="Normal"/></w:pPr>
<w:r><w:t xml:space="preserve">uncertain.  Ships trading in the Mediterranean were seized</w:t></w:r>
</w:p>
<w:p>
<w:pPr><w:pStyle w:val="Normal"/></w:pPr>
<w:r><w:t xml:space="preserve">by the corsairs, who pillaged the coasts of Europe, carried</w:t></w:r>
</w:p>
<w:p>
<w:pPr><w:pStyle w:val="Normal"/></w:pPr>
<w:r><w:t xml:space="preserve">off their captives to Algiers, and destroyed the fishing and</w:t></w:r>
</w:p>
<w:p>
<w:pPr><w:pStyle w:val="Normal"/></w:pPr>
<w:r><w:t xml:space="preserve">commercial settlements founded by the Marseillais on the shores of</w:t></w:r>
</w:p>
<w:p>
<w:pPr><w:pStyle w:val="Normal"/></w:pPr>
<w:r><w:t xml:space="preserve">Africa.  The Christian governments either uttered useless</w:t></w:r>
</w:p>
<w:p>
<w:pPr><w:pStyle w:val="Normal"/></w:pPr>
<w:r><w:t xml:space="preserve">and impotent complaints at Constantinople, or endeavoured</w:t></w:r>
</w:p>
<w:p>
<w:pPr><w:pStyle w:val="Normal"/></w:pPr>
<w:r><w:t xml:space="preserve">to negotiate directly with Algiers, as in the case of the</w:t></w:r>
</w:p>
<w:p>
<w:pPr><w:pStyle w:val="Normal"/></w:pPr>
<w:r><w:t xml:space="preserve">negotiations of Sanson Napollon during the ministry of</w:t></w:r>
</w:p>
<w:p>
<w:pPr><w:pStyle w:val="Normal"/></w:pPr>
<w:r><w:t xml:space="preserve">Richelieu.  More rarely their patience became exhausted,</w:t></w:r>
</w:p>
<w:p>
<w:pPr><w:pStyle w:val="Normal"/></w:pPr>
<w:r><w:t xml:space="preserve">and ships were sent to bombard this nest of pirates.  Two</w:t></w:r>
</w:p>
<w:p>
<w:pPr><w:pStyle w:val="Normal"/></w:pPr>
<w:r><w:t xml:space="preserve">naval demonstrations were made by France during the reign of</w:t></w:r>
</w:p>
<w:p>
<w:pPr><w:pStyle w:val="Normal"/></w:pPr>
<w:r><w:t xml:space="preserve">Louis XIV., one by Abraham Duquesne in 1682, and the other</w:t></w:r>
</w:p>
<w:p>
<w:pPr><w:pStyle w:val="Normal"/></w:pPr>
<w:r><w:t xml:space="preserve">by Marshal Jean d&apos;Estrees in 1688, but these repressive</w:t></w:r>
</w:p>
<w:p>
<w:pPr><w:pStyle w:val="Normal"/></w:pPr>
<w:r><w:t xml:space="preserve">measures were too intermittent to produce a durable effect.</w:t></w:r>
</w:p>
<w:p>
<w:pPr><w:pStyle w:val="Normal"/></w:pPr>
<w:r><w:t xml:space="preserve">In 1815 at the congress of Vienna, and in 1818 at the</w:t></w:r>
</w:p>
<w:p>
<w:pPr><w:pStyle w:val="Normal"/></w:pPr>
<w:r><w:t xml:space="preserve">congress of Aix-la-Chapelle, the powers endeavoured to</w:t></w:r>
</w:p>
<w:p>
<w:pPr><w:pStyle w:val="Normal"/></w:pPr>
<w:r><w:t xml:space="preserve">concert measures to put an end to the Barbary piracy.</w:t></w:r>
</w:p>
<w:p>
<w:pPr><w:pStyle w:val="Normal"/></w:pPr>
<w:r><w:t xml:space="preserve">Nevertheless the naval demonstrations made by Lord Exmouth</w:t></w:r>
</w:p>
<w:p>
<w:pPr><w:pStyle w:val="Normal"/></w:pPr>
<w:r><w:t xml:space="preserve">in 1816, and by a combined English and French squadron in</w:t></w:r>
</w:p>
<w:p>
<w:pPr><w:pStyle w:val="Normal"/></w:pPr>
<w:r><w:t xml:space="preserve">1819, remained equally fruitless.  But the result which</w:t></w:r>
</w:p>
<w:p>
<w:pPr><w:pStyle w:val="Normal"/></w:pPr>
<w:r><w:t xml:space="preserve">the European powers in concert had been unable to achieve,</w:t></w:r>
</w:p>
<w:p>
<w:pPr><w:pStyle w:val="Normal"/></w:pPr>
<w:r><w:t xml:space="preserve">was brought about by the accidental circumstances which led</w:t></w:r>
</w:p>
<w:p>
<w:pPr><w:pStyle w:val="Normal"/></w:pPr>
<w:r><w:t xml:space="preserve">France to undertake alone an expedition against Algiers.</w:t></w:r>
</w:p>
<w:p>
<w:pPr><w:pStyle w:val="Normal"/></w:pPr>
<w:r><w:t xml:space="preserve">French intervention.</w:t></w:r>
</w:p>
<w:p>
<w:pPr><w:pStyle w:val="Normal"/></w:pPr>
<w:r><w:t xml:space="preserve">Some difficulties had arisen between France and the dey of</w:t></w:r>
</w:p>
<w:p>
<w:pPr><w:pStyle w:val="Normal"/></w:pPr>
<w:r><w:t xml:space="preserve">Algiers with reference to the debts contracted to Bacri and</w:t></w:r>
</w:p>
<w:p>
<w:pPr><w:pStyle w:val="Normal"/></w:pPr>
<w:r><w:t xml:space="preserve">Busnach, two Algerine Jews who had supplied corn to the</w:t></w:r>
</w:p>
<w:p>
<w:pPr><w:pStyle w:val="Normal"/></w:pPr>
<w:r><w:t xml:space="preserve">French government under the Directory.  This question of</w:t></w:r>
</w:p>
<w:p>
<w:pPr><w:pStyle w:val="Normal"/></w:pPr>
<w:r><w:t xml:space="preserve">interest would not have been sufficient in itself to bring</w:t></w:r>
</w:p>
<w:p>
<w:pPr><w:pStyle w:val="Normal"/></w:pPr>
<w:r><w:t xml:space="preserve">about a rupture, but the situation became acute when the dey,</w:t></w:r>
</w:p>
<w:p>
<w:pPr><w:pStyle w:val="Normal"/></w:pPr>
<w:r><w:t xml:space="preserve">Hussein, struck the French consul, Deval, on the face with his</w:t></w:r>
</w:p>
<w:p>
<w:pPr><w:pStyle w:val="Normal"/></w:pPr>
<w:r><w:t xml:space="preserve">fly-flap (April 30, 1827).  Thereupon the port of Algiers was</w:t></w:r>
</w:p>
<w:p>
<w:pPr><w:pStyle w:val="Normal"/></w:pPr>
<w:r><w:t xml:space="preserve">blockaded.  The minister of war, the duc de Clermont-Tonnerre,</w:t></w:r>
</w:p>
<w:p>
<w:pPr><w:pStyle w:val="Normal"/></w:pPr>
<w:r><w:t xml:space="preserve">would have gone further, but the president of the council,</w:t></w:r>
</w:p>
<w:p>
<w:pPr><w:pStyle w:val="Normal"/></w:pPr>
<w:r><w:t xml:space="preserve">the comte de Villele, opposed the sending of an expedition,</w:t></w:r>
</w:p>
<w:p>
<w:pPr><w:pStyle w:val="Normal"/></w:pPr>
<w:r><w:t xml:space="preserve">while in the Martignac ministry M. de la Ferronays, minister of</w:t></w:r>
</w:p>
<w:p>
<w:pPr><w:pStyle w:val="Normal"/></w:pPr>
<w:r><w:t xml:space="preserve">foreign affairs, was bent upon negotiating.  It needed a second</w:t></w:r>
</w:p>
<w:p>
<w:pPr><w:pStyle w:val="Normal"/></w:pPr>
<w:r><w:t xml:space="preserve">insult--the firing on ``La Provence,&apos;&apos; a vessel carrying a flag</w:t></w:r>
</w:p>
<w:p>
<w:pPr><w:pStyle w:val="Normal"/></w:pPr>
<w:r><w:t xml:space="preserve">of truce, in the harbour of Algiers (August 3, 1829)--to spur</w:t></w:r>
</w:p>
<w:p>
<w:pPr><w:pStyle w:val="Normal"/></w:pPr>
<w:r><w:t xml:space="preserve">the French government to further action than an ineffectual</w:t></w:r>
</w:p>
<w:p>
<w:pPr><w:pStyle w:val="Normal"/></w:pPr>
<w:r><w:t xml:space="preserve">blockade.  An expedition against Algiers was then decided upon,</w:t></w:r>
</w:p>
<w:p>
<w:pPr><w:pStyle w:val="Normal"/></w:pPr>
<w:r><w:t xml:space="preserve">and Marshal de Bourmont, the minister of war, himself took the</w:t></w:r>
</w:p>
<w:p>
<w:pPr><w:pStyle w:val="Normal"/></w:pPr>
<w:r><w:t xml:space="preserve">command.  On the 14th of June 1830 the French troops landed at</w:t></w:r>
</w:p>
<w:p>
<w:pPr><w:pStyle w:val="Normal"/></w:pPr>
<w:r><w:t xml:space="preserve">Sidi-Ferruch.  On the 19th of June they beat the enemy at</w:t></w:r>
</w:p>
<w:p>
<w:pPr><w:pStyle w:val="Normal"/></w:pPr>
<w:r><w:t xml:space="preserve">Staoueli.  On the 4th of July the fort de l&apos;Empereur was blown</w:t></w:r>
</w:p>
<w:p>
<w:pPr><w:pStyle w:val="Normal"/></w:pPr>
<w:r><w:t xml:space="preserve">up.  On the 5th of July Algiers capitulated.  Some days later</w:t></w:r>
</w:p>
<w:p>
<w:pPr><w:pStyle w:val="Normal"/></w:pPr>
<w:r><w:t xml:space="preserve">the dey was deported, as well as the greater part of the</w:t></w:r>
</w:p>
<w:p>
<w:pPr><w:pStyle w:val="Normal"/></w:pPr>
<w:r><w:t xml:space="preserve">janissaries.  Those who were not married were conveyed</w:t></w:r>
</w:p>
<w:p>
<w:pPr><w:pStyle w:val="Normal"/></w:pPr>
<w:r><w:t xml:space="preserve">immediately to Asia Minor; the rest had permission to</w:t></w:r>
</w:p>
<w:p>
<w:pPr><w:pStyle w:val="Normal"/></w:pPr>
<w:r><w:t xml:space="preserve">remain, but in fact they left the country soon afterwards.</w:t></w:r>
</w:p>
<w:p>
<w:pPr><w:pStyle w:val="Normal"/></w:pPr>
<w:r><w:t xml:space="preserve">Meanwhile the revolution of July 1830 had broken out in</w:t></w:r>
</w:p>
<w:p>
<w:pPr><w:pStyle w:val="Normal"/></w:pPr>
<w:r><w:t xml:space="preserve">France.  The new government found itself very much embarrassed</w:t></w:r>
</w:p>
<w:p>
<w:pPr><w:pStyle w:val="Normal"/></w:pPr>
<w:r><w:t xml:space="preserve">by the situation bequeathed by the Restoration.  The more</w:t></w:r>
</w:p>
<w:p>
<w:pPr><w:pStyle w:val="Normal"/></w:pPr>
<w:r><w:t xml:space="preserve">serious section in parliament were frankly opposed to the</w:t></w:r>
</w:p>
<w:p>
<w:pPr><w:pStyle w:val="Normal"/></w:pPr>
<w:r><w:t xml:space="preserve">idea of conquering or of colonizing Algeria; on the other</w:t></w:r>
</w:p>
<w:p>
<w:pPr><w:pStyle w:val="Normal"/></w:pPr>
<w:r><w:t xml:space="preserve">hand, popular sentiment was hostile to evacuation.  The</w:t></w:r>
</w:p>
<w:p>
<w:pPr><w:pStyle w:val="Normal"/></w:pPr>
<w:r><w:t xml:space="preserve">French government--fearing to displease the other powers</w:t></w:r>
</w:p>
<w:p>
<w:pPr><w:pStyle w:val="Normal"/></w:pPr>
<w:r><w:t xml:space="preserve">by following up its conquest, and hampered in particular</w:t></w:r>
</w:p>
<w:p>
<w:pPr><w:pStyle w:val="Normal"/></w:pPr>
<w:r><w:t xml:space="preserve">by its engagements towards England, yet conscious that</w:t></w:r>
</w:p>
<w:p>
<w:pPr><w:pStyle w:val="Normal"/></w:pPr>
<w:r><w:t xml:space="preserve">the only means of putting an end to the piracy was to</w:t></w:r>
</w:p>
<w:p>
<w:pPr><w:pStyle w:val="Normal"/></w:pPr>
<w:r><w:t xml:space="preserve">remain--decided provisionally in favour of that intermediate</w:t></w:r>
</w:p>
<w:p>
<w:pPr><w:pStyle w:val="Normal"/></w:pPr>
<w:r><w:t xml:space="preserve">system, called restricted occupation, which consisted</w:t></w:r>
</w:p>
<w:p>
<w:pPr><w:pStyle w:val="Normal"/></w:pPr>
<w:r><w:t xml:space="preserve">in occupying merely the principal seaports and awaiting</w:t></w:r>
</w:p>
<w:p>
<w:pPr><w:pStyle w:val="Normal"/></w:pPr>
<w:r><w:t xml:space="preserve">events.  The Algerians extricated the government from its</w:t></w:r>
</w:p>
<w:p>
<w:pPr><w:pStyle w:val="Normal"/></w:pPr>
<w:r><w:t xml:space="preserve">difficulty by attacking the French troops, who were obliged</w:t></w:r>
</w:p>
<w:p>
<w:pPr><w:pStyle w:val="Normal"/></w:pPr>
<w:r><w:t xml:space="preserve">to defend themselves.  The natives gained some successes,</w:t></w:r>
</w:p>
<w:p>
<w:pPr><w:pStyle w:val="Normal"/></w:pPr>
<w:r><w:t xml:space="preserve">and it became necessary to avenge the honour of the flag.  In</w:t></w:r>
</w:p>
<w:p>
<w:pPr><w:pStyle w:val="Normal"/></w:pPr>
<w:r><w:t xml:space="preserve">this gradual manner were the French led to conquer Algeria.</w:t></w:r>
</w:p>
<w:p>
<w:pPr><w:pStyle w:val="Normal"/></w:pPr>
<w:r><w:t xml:space="preserve">General Bertrand Clausel, who succeeded Marshal de Bourmont,</w:t></w:r>
</w:p>
<w:p>
<w:pPr><w:pStyle w:val="Normal"/></w:pPr>
<w:r><w:t xml:space="preserve">was one of the few men who at that period dreamed of conquering</w:t></w:r>
</w:p>
<w:p>
<w:pPr><w:pStyle w:val="Normal"/></w:pPr>
<w:r><w:t xml:space="preserve">and colonizing Algeria.  His enthusiastic confidence knew no</w:t></w:r>
</w:p>
<w:p>
<w:pPr><w:pStyle w:val="Normal"/></w:pPr>
<w:r><w:t xml:space="preserve">obstacles.  If the dey had left, the three beys remained.</w:t></w:r>
</w:p>
<w:p>
<w:pPr><w:pStyle w:val="Normal"/></w:pPr>
<w:r><w:t xml:space="preserve">With the feeble resources at his disposal Clausel undertook an</w:t></w:r>
</w:p>
<w:p>
<w:pPr><w:pStyle w:val="Normal"/></w:pPr>
<w:r><w:t xml:space="preserve">expedition against Bu-Meyrag, the bey of Titeri, took from him</w:t></w:r>
</w:p>
<w:p>
<w:pPr><w:pStyle w:val="Normal"/></w:pPr>
<w:r><w:t xml:space="preserve">Blida and Medea, dismissed him, replaced him by a successor</w:t></w:r>
</w:p>
<w:p>
<w:pPr><w:pStyle w:val="Normal"/></w:pPr>
<w:r><w:t xml:space="preserve">devoted to France, and returned to Algiers after having left</w:t></w:r>
</w:p>
<w:p>
<w:pPr><w:pStyle w:val="Normal"/></w:pPr>
<w:r><w:t xml:space="preserve">a garrison in Medea.  Then, not having the means of directly</w:t></w:r>
</w:p>
<w:p>
<w:pPr><w:pStyle w:val="Normal"/></w:pPr>
<w:r><w:t xml:space="preserve">extending the rule of France to the east or west, Clausel</w:t></w:r>
</w:p>
<w:p>
<w:pPr><w:pStyle w:val="Normal"/></w:pPr>
<w:r><w:t xml:space="preserve">devised a system of protectorates.  He negotiated directly with</w:t></w:r>
</w:p>
<w:p>
<w:pPr><w:pStyle w:val="Normal"/></w:pPr>
<w:r><w:t xml:space="preserve">the bey of Tunis with a view to installing as beys at Oran and</w:t></w:r>
</w:p>
<w:p>
<w:pPr><w:pStyle w:val="Normal"/></w:pPr>
<w:r><w:t xml:space="preserve">Constantine Tunisian princes who recognized the authority of</w:t></w:r>
</w:p>
<w:p>
<w:pPr><w:pStyle w:val="Normal"/></w:pPr>
<w:r><w:t xml:space="preserve">France.  But the events which were taking place in Europe made</w:t></w:r>
</w:p>
<w:p>
<w:pPr><w:pStyle w:val="Normal"/></w:pPr>
<w:r><w:t xml:space="preserve">it imperative to send home a part of the army of Africa, and</w:t></w:r>
</w:p>
<w:p>
<w:pPr><w:pStyle w:val="Normal"/></w:pPr>
<w:r><w:t xml:space="preserve">Medea had to be evacuated.  At the same time the negotiations</w:t></w:r>
</w:p>
<w:p>
<w:pPr><w:pStyle w:val="Normal"/></w:pPr>
<w:r><w:t xml:space="preserve">set on foot with the bey of Tunis were censured by the</w:t></w:r>
</w:p>
<w:p>
<w:pPr><w:pStyle w:val="Normal"/></w:pPr>
<w:r><w:t xml:space="preserve">government, and General Clausel was recalled (February 1831).</w:t></w:r>
</w:p>
<w:p>
<w:pPr><w:pStyle w:val="Normal"/></w:pPr>
<w:r><w:t xml:space="preserve">The period of uncertainty was prolonged under his successors,</w:t></w:r>
</w:p>
<w:p>
<w:pPr><w:pStyle w:val="Normal"/></w:pPr>
<w:r><w:t xml:space="preserve">General Pierre Berthezene (February to December 1831); A.</w:t></w:r>
</w:p>
<w:p>
<w:pPr><w:pStyle w:val="Normal"/></w:pPr>
<w:r><w:t xml:space="preserve">J. M. R. Savary, duc de Rovigo (December 1831 to March 1833),</w:t></w:r>
</w:p>
<w:p>
<w:pPr><w:pStyle w:val="Normal"/></w:pPr>
<w:r><w:t xml:space="preserve">General Avizard (March to April 1833), and General Voirol</w:t></w:r>
</w:p>
<w:p>
<w:pPr><w:pStyle w:val="Normal"/></w:pPr>
<w:r><w:t xml:space="preserve">(April 1833 to September 1834).  The French, not yet certain</w:t></w:r>
</w:p>
<w:p>
<w:pPr><w:pStyle w:val="Normal"/></w:pPr>
<w:r><w:t xml:space="preserve">whether or not they would retain Algeria, remained on the</w:t></w:r>
</w:p>
<w:p>
<w:pPr><w:pStyle w:val="Normal"/></w:pPr>
<w:r><w:t xml:space="preserve">defensive.  At the time they occupied only the three towns</w:t></w:r>
</w:p>
<w:p>
<w:pPr><w:pStyle w:val="Normal"/></w:pPr>
<w:r><w:t xml:space="preserve">of Algiers, Bona and Oran, with their suburbs, where their</w:t></w:r>
</w:p>
<w:p>
<w:pPr><w:pStyle w:val="Normal"/></w:pPr>
<w:r><w:t xml:space="preserve">situation was moreover singularly precarious.  The Arabs</w:t></w:r>
</w:p>
<w:p>
<w:pPr><w:pStyle w:val="Normal"/></w:pPr>
<w:r><w:t xml:space="preserve">would pillage the suburbs and run away.  Sometimes they cut</w:t></w:r>
</w:p>
<w:p>
<w:pPr><w:pStyle w:val="Normal"/></w:pPr>
<w:r><w:t xml:space="preserve">off supplies by ceasing to bring provisions to the market,</w:t></w:r>
</w:p>
<w:p>
<w:pPr><w:pStyle w:val="Normal"/></w:pPr>
<w:r><w:t xml:space="preserve">but the French were not to be turned aside by such tactics.</w:t></w:r>
</w:p>
<w:p>
<w:pPr><w:pStyle w:val="Normal"/></w:pPr>
<w:r><w:t xml:space="preserve">At Algiers the energies of the French were devoted to</w:t></w:r>
</w:p>
<w:p>
<w:pPr><w:pStyle w:val="Normal"/></w:pPr>
<w:r><w:t xml:space="preserve">protecting themselves against the incursions of the</w:t></w:r>
</w:p>
<w:p>
<w:pPr><w:pStyle w:val="Normal"/></w:pPr>
<w:r><w:t xml:space="preserve">Hajutas.  This was sufficient to absorb the attention of the</w:t></w:r>
</w:p>
<w:p>
<w:pPr><w:pStyle w:val="Normal"/></w:pPr>
<w:r><w:t xml:space="preserve">general-in-chief, who left the guardianship of the east and</w:t></w:r>
</w:p>
<w:p>
<w:pPr><w:pStyle w:val="Normal"/></w:pPr>
<w:r><w:t xml:space="preserve">west to the initiative of the generals established at Bona and</w:t></w:r>
</w:p>
<w:p>
<w:pPr><w:pStyle w:val="Normal"/></w:pPr>
<w:r><w:t xml:space="preserve">Oran.  At Bona, where General Monk d&apos;Uzer was in command</w:t></w:r>
</w:p>
<w:p>
<w:pPr><w:pStyle w:val="Normal"/></w:pPr>
<w:r><w:t xml:space="preserve">till 1836, things went fairly well.  At once firm and</w:t></w:r>
</w:p>
<w:p>
<w:pPr><w:pStyle w:val="Normal"/></w:pPr>
<w:r><w:t xml:space="preserve">conciliatory, he had been able to attach to the French cause</w:t></w:r>
</w:p>
<w:p>
<w:pPr><w:pStyle w:val="Normal"/></w:pPr>
<w:r><w:t xml:space="preserve">the natives whom the cruelty of Ahmed, bey of Constantine, had</w:t></w:r>
</w:p>
<w:p>
<w:pPr><w:pStyle w:val="Normal"/></w:pPr>
<w:r><w:t xml:space="preserve">alienated.  The occupation of Bougie by General Camille Alphonse</w:t></w:r>
</w:p>
<w:p>
<w:pPr><w:pStyle w:val="Normal"/></w:pPr>
<w:r><w:t xml:space="preserve">Trezel in October 1833 gave the French a footing at another</w:t></w:r>
</w:p>
<w:p>
<w:pPr><w:pStyle w:val="Normal"/></w:pPr>
<w:r><w:t xml:space="preserve">point of this eastern province.  But at Oran, where General</w:t></w:r>
</w:p>
<w:p>
<w:pPr><w:pStyle w:val="Normal"/></w:pPr>
<w:r><w:t xml:space="preserve">Desmichels had succeeded General P. F. X. Boyer in the spring</w:t></w:r>
</w:p>
<w:p>
<w:pPr><w:pStyle w:val="Normal"/></w:pPr>
<w:r><w:t xml:space="preserve">of 1833, their situation was much less favourable.  There</w:t></w:r>
</w:p>
<w:p>
<w:pPr><w:pStyle w:val="Normal"/></w:pPr>
<w:r><w:t xml:space="preserve">the French had found a redoubtable adversary in the young</w:t></w:r>
</w:p>
<w:p>
<w:pPr><w:pStyle w:val="Normal"/></w:pPr>
<w:r><w:t xml:space="preserve">Abd-el-Kader, who had been proclaimed amir at Mascara in 1832.</w:t></w:r>
</w:p>
<w:p>
<w:pPr><w:pStyle w:val="Normal"/></w:pPr>
<w:r><w:t xml:space="preserve">Abd-el-Kader.</w:t></w:r>
</w:p>
<w:p>
<w:pPr><w:pStyle w:val="Normal"/></w:pPr>
<w:r><w:t xml:space="preserve">A man of rare intelligence, a fearless horseman and an eloquent</w:t></w:r>
</w:p>
<w:p>
<w:pPr><w:pStyle w:val="Normal"/></w:pPr>
<w:r><w:t xml:space="preserve">orator, Abd-el-Kader had acquired a great reputation by his</w:t></w:r>
</w:p>
<w:p>
<w:pPr><w:pStyle w:val="Normal"/></w:pPr>
<w:r><w:t xml:space="preserve">piety.  He reunited under his sway the tribes that had</w:t></w:r>
</w:p>
<w:p>
<w:pPr><w:pStyle w:val="Normal"/></w:pPr>
<w:r><w:t xml:space="preserve">hitherto been divided, and infused a unique spirit into their</w:t></w:r>
</w:p>
<w:p>
<w:pPr><w:pStyle w:val="Normal"/></w:pPr>
<w:r><w:t xml:space="preserve">resistance.  For fifteen years he held the French in check,</w:t></w:r>
</w:p>
<w:p>
<w:pPr><w:pStyle w:val="Normal"/></w:pPr>
<w:r><w:t xml:space="preserve">treating on terms of equality with their government.  Moreover,</w:t></w:r>
</w:p>
<w:p>
<w:pPr><w:pStyle w:val="Normal"/></w:pPr>
<w:r><w:t xml:space="preserve">the treaty which General Desmichels had the weakness to sign</w:t></w:r>
</w:p>
<w:p>
<w:pPr><w:pStyle w:val="Normal"/></w:pPr>
<w:r><w:t xml:space="preserve">with him on the 24th of February 1834 greatly improved his</w:t></w:r>
</w:p>
<w:p>
<w:pPr><w:pStyle w:val="Normal"/></w:pPr>
<w:r><w:t xml:space="preserve">position.  In pursuance of this treaty, French officers were</w:t></w:r>
</w:p>
<w:p>
<w:pPr><w:pStyle w:val="Normal"/></w:pPr>
<w:r><w:t xml:space="preserve">to represent their country at the court of the amir; while</w:t></w:r>
</w:p>
<w:p>
<w:pPr><w:pStyle w:val="Normal"/></w:pPr>
<w:r><w:t xml:space="preserve">the amir on his part was represented in the three French coast</w:t></w:r>
</w:p>
<w:p>
<w:pPr><w:pStyle w:val="Normal"/></w:pPr>
<w:r><w:t xml:space="preserve">towns, Oran, Arzeu and Mostaganem, by vakils who immediately</w:t></w:r>
</w:p>
<w:p>
<w:pPr><w:pStyle w:val="Normal"/></w:pPr>
<w:r><w:t xml:space="preserve">began to act as masters of the natives.  Such was the situation</w:t></w:r>
</w:p>
<w:p>
<w:pPr><w:pStyle w:val="Normal"/></w:pPr>
<w:r><w:t xml:space="preserve">at the period when, the French having at last resolved to keep</w:t></w:r>
</w:p>
<w:p>
<w:pPr><w:pStyle w:val="Normal"/></w:pPr>
<w:r><w:t xml:space="preserve">Algeria, the ordinance of the 22nd of July 1834 laid down the</w:t></w:r>
</w:p>
<w:p>
<w:pPr><w:pStyle w:val="Normal"/></w:pPr>
<w:r><w:t xml:space="preserve">bases of the political and administrative organization of the</w:t></w:r>
</w:p>
<w:p>
<w:pPr><w:pStyle w:val="Normal"/></w:pPr>
<w:r><w:t xml:space="preserve">``French possessions in the north of Africa,&apos;&apos; at the head</w:t></w:r>
</w:p>
<w:p>
<w:pPr><w:pStyle w:val="Normal"/></w:pPr>
<w:r><w:t xml:space="preserve">of which was placed a governor-general.  But this date (July</w:t></w:r>
</w:p>
<w:p>
<w:pPr><w:pStyle w:val="Normal"/></w:pPr>
<w:r><w:t xml:space="preserve">22, 1834), very important from a judicial point of view, is</w:t></w:r>
</w:p>
<w:p>
<w:pPr><w:pStyle w:val="Normal"/></w:pPr>
<w:r><w:t xml:space="preserve">much less so from a historical point of view.  The position</w:t></w:r>
</w:p>
<w:p>
<w:pPr><w:pStyle w:val="Normal"/></w:pPr>
<w:r><w:t xml:space="preserve">of the first governor-general, Jean Baptiste Drouet d&apos;Erlon</w:t></w:r>
</w:p>
<w:p>
<w:pPr><w:pStyle w:val="Normal"/></w:pPr>
<w:r><w:t xml:space="preserve">(1765- 1844), remained fully as precarious as that of his</w:t></w:r>
</w:p>
<w:p>
<w:pPr><w:pStyle w:val="Normal"/></w:pPr>
<w:r><w:t xml:space="preserve">predecessor.  During this time the power of Abd-el-Kader</w:t></w:r>
</w:p>
<w:p>
<w:pPr><w:pStyle w:val="Normal"/></w:pPr>
<w:r><w:t xml:space="preserve">increased.  Master of the province of Oran, he crossed the</w:t></w:r>
</w:p>
<w:p>
<w:pPr><w:pStyle w:val="Normal"/></w:pPr>
<w:r><w:t xml:space="preserve">Shelif at the appeal of the natives, the people flocking</w:t></w:r>
</w:p>
<w:p>
<w:pPr><w:pStyle w:val="Normal"/></w:pPr>
<w:r><w:t xml:space="preserve">to witness his progress as that of an emperor.  He entered</w:t></w:r>
</w:p>
<w:p>
<w:pPr><w:pStyle w:val="Normal"/></w:pPr>
<w:r><w:t xml:space="preserve">Miliana and Medea, where he installed beys of his own choice.</w:t></w:r>
</w:p>
<w:p>
<w:pPr><w:pStyle w:val="Normal"/></w:pPr>
<w:r><w:t xml:space="preserve">All the western part of Algeria belonged to him.  General</w:t></w:r>
</w:p>
<w:p>
<w:pPr><w:pStyle w:val="Normal"/></w:pPr>
<w:r><w:t xml:space="preserve">Trezel, who had succeeded General Desmichels at Oran, resolved</w:t></w:r>
</w:p>
<w:p>
<w:pPr><w:pStyle w:val="Normal"/></w:pPr>
<w:r><w:t xml:space="preserve">to march against the amir, but was defeated on the banks of</w:t></w:r>
</w:p>
<w:p>
<w:pPr><w:pStyle w:val="Normal"/></w:pPr>
<w:r><w:t xml:space="preserve">the Macta (June 1835).  This defeat shook public opinion.</w:t></w:r>
</w:p>
<w:p>
<w:pPr><w:pStyle w:val="Normal"/></w:pPr>
<w:r><w:t xml:space="preserve">Drouet d&apos;Erlon was recalled and replaced by Marshal Clausel.</w:t></w:r>
</w:p>
<w:p>
<w:pPr><w:pStyle w:val="Normal"/></w:pPr>
<w:r><w:t xml:space="preserve">In short, five years after the capitulation of Algiers, the</w:t></w:r>
</w:p>
<w:p>
<w:pPr><w:pStyle w:val="Normal"/></w:pPr>
<w:r><w:t xml:space="preserve">French dominion extended as yet over only six coast towns.</w:t></w:r>
</w:p>
<w:p>
<w:pPr><w:pStyle w:val="Normal"/></w:pPr>
<w:r><w:t xml:space="preserve">Clausel, who returned with the same colonial ambitions as in</w:t></w:r>
</w:p>
<w:p>
<w:pPr><w:pStyle w:val="Normal"/></w:pPr>
<w:r><w:t xml:space="preserve">1830, resolved to conquer the interior of the country.  He</w:t></w:r>
</w:p>
<w:p>
<w:pPr><w:pStyle w:val="Normal"/></w:pPr>
<w:r><w:t xml:space="preserve">marched against the amir, defeated him and entered Mascara.</w:t></w:r>
</w:p>
<w:p>
<w:pPr><w:pStyle w:val="Normal"/></w:pPr>
<w:r><w:t xml:space="preserve">Then he proceeded to deliver the inhabitants of Tlemcen,</w:t></w:r>
</w:p>
<w:p>
<w:pPr><w:pStyle w:val="Normal"/></w:pPr>
<w:r><w:t xml:space="preserve">who had been attacked by Abd-el-Kader, and there he left a</w:t></w:r>
</w:p>
<w:p>
<w:pPr><w:pStyle w:val="Normal"/></w:pPr>
<w:r><w:t xml:space="preserve">garrison.  Turning towards the east, Clausel organized</w:t></w:r>
</w:p>
<w:p>
<w:pPr><w:pStyle w:val="Normal"/></w:pPr>
<w:r><w:t xml:space="preserve">at Bona the first expedition against Constantine.  This</w:t></w:r>
</w:p>
<w:p>
<w:pPr><w:pStyle w:val="Normal"/></w:pPr>
<w:r><w:t xml:space="preserve">failed, and the only result of it was the occupation of</w:t></w:r>
</w:p>
<w:p>
<w:pPr><w:pStyle w:val="Normal"/></w:pPr>
<w:r><w:t xml:space="preserve">Guelma.  Clausel was recalled and replaced by General C. M.</w:t></w:r>
</w:p>
<w:p>
<w:pPr><w:pStyle w:val="Normal"/></w:pPr>
<w:r><w:t xml:space="preserve">D. Damremont (February 1837).  The task of maintaining the</w:t></w:r>
</w:p>
<w:p>
<w:pPr><w:pStyle w:val="Normal"/></w:pPr>
<w:r><w:t xml:space="preserve">position of France was then divided between Thomas Robert</w:t></w:r>
</w:p>
<w:p>
<w:pPr><w:pStyle w:val="Normal"/></w:pPr>
<w:r><w:t xml:space="preserve">Bugeaud (1784-1849), acting independently in the west, and</w:t></w:r>
</w:p>
<w:p>
<w:pPr><w:pStyle w:val="Normal"/></w:pPr>
<w:r><w:t xml:space="preserve">Damremont, who directed all his efforts towards the east.</w:t></w:r>
</w:p>
<w:p>
<w:pPr><w:pStyle w:val="Normal"/></w:pPr>
<w:r><w:t xml:space="preserve">By the signature of the celebrated treaty of the Tafna (June</w:t></w:r>
</w:p>
<w:p>
<w:pPr><w:pStyle w:val="Normal"/></w:pPr>
<w:r><w:t xml:space="preserve">1, 1837), Bugeaud made peace with Abd-el-Kader.  In return for</w:t></w:r>
</w:p>
<w:p>
<w:pPr><w:pStyle w:val="Normal"/></w:pPr>
<w:r><w:t xml:space="preserve">a vague recognition of the sovereignty of France in Africa,</w:t></w:r>
</w:p>
<w:p>
<w:pPr><w:pStyle w:val="Normal"/></w:pPr>
<w:r><w:t xml:space="preserve">this treaty gave up to the amir the whole of western Algeria.</w:t></w:r>
</w:p>
<w:p>
<w:pPr><w:pStyle w:val="Normal"/></w:pPr>
<w:r><w:t xml:space="preserve">France reserved to herself only Oran and its environs, Mazagran,</w:t></w:r>
</w:p>
<w:p>
<w:pPr><w:pStyle w:val="Normal"/></w:pPr>
<w:r><w:t xml:space="preserve">Algiers and the Metija; she gave up Tlemcen and the Titeri</w:t></w:r>
</w:p>
<w:p>
<w:pPr><w:pStyle w:val="Normal"/></w:pPr>
<w:r><w:t xml:space="preserve">beylik.  This was a triumph for Abd-el-Kader, who rerarded</w:t></w:r>
</w:p>
<w:p>
<w:pPr><w:pStyle w:val="Normal"/></w:pPr>
<w:r><w:t xml:space="preserve">the peace as but a truce which would allow him time to gain</w:t></w:r>
</w:p>
<w:p>
<w:pPr><w:pStyle w:val="Normal"/></w:pPr>
<w:r><w:t xml:space="preserve">strength to resume the war under more favourable conditions.</w:t></w:r>
</w:p>
<w:p>
<w:pPr><w:pStyle w:val="Normal"/></w:pPr>
<w:r><w:t xml:space="preserve">Damremont, on his part, directed a second expedition on</w:t></w:r>
</w:p>
<w:p>
<w:pPr><w:pStyle w:val="Normal"/></w:pPr>
<w:r><w:t xml:space="preserve">Constantine.  The town was taken, but Damremont was killed</w:t></w:r>
</w:p>
<w:p>
<w:pPr><w:pStyle w:val="Normal"/></w:pPr>
<w:r><w:t xml:space="preserve">(October 1837).  Marshal Sylvain Charles Valee (1773-1846),</w:t></w:r>
</w:p>
<w:p>
<w:pPr><w:pStyle w:val="Normal"/></w:pPr>
<w:r><w:t xml:space="preserve">who replaced him, founded Philippeville to serve as a seaport</w:t></w:r>
</w:p>
<w:p>
<w:pPr><w:pStyle w:val="Normal"/></w:pPr>
<w:r><w:t xml:space="preserve">for the region of Constantine, occupied Jijelli, and at the</w:t></w:r>
</w:p>
<w:p>
<w:pPr><w:pStyle w:val="Normal"/></w:pPr>
<w:r><w:t xml:space="preserve">head of the expeditionary column returned from Constantine</w:t></w:r>
</w:p>
<w:p>
<w:pPr><w:pStyle w:val="Normal"/></w:pPr>
<w:r><w:t xml:space="preserve">to Algiers by the interior, passing through Setif and les</w:t></w:r>
</w:p>
<w:p>
<w:pPr><w:pStyle w:val="Normal"/></w:pPr>
<w:r><w:t xml:space="preserve">Portes de fer.  Abd-el-Kader maintained that the French had</w:t></w:r>
</w:p>
<w:p>
<w:pPr><w:pStyle w:val="Normal"/></w:pPr>
<w:r><w:t xml:space="preserve">thus violated the treaty of the Tafna, and began the war</w:t></w:r>
</w:p>
<w:p>
<w:pPr><w:pStyle w:val="Normal"/></w:pPr>
<w:r><w:t xml:space="preserve">again.  For two years his power had been increasing.  A whole</w:t></w:r>
</w:p>
<w:p>
<w:pPr><w:pStyle w:val="Normal"/></w:pPr>
<w:r><w:t xml:space="preserve">hierarchy of khalifas, aghas and caids obeyed him.  He had</w:t></w:r>
</w:p>
<w:p>
<w:pPr><w:pStyle w:val="Normal"/></w:pPr>
<w:r><w:t xml:space="preserve">a regular army of 8000 infantry and 2000 cavalry, without</w:t></w:r>
</w:p>
<w:p>
<w:pPr><w:pStyle w:val="Normal"/></w:pPr>
<w:r><w:t xml:space="preserve">counting 50,000 goums (bodies of Arab horsemen) brought by the</w:t></w:r>
</w:p>
<w:p>
<w:pPr><w:pStyle w:val="Normal"/></w:pPr>
<w:r><w:t xml:space="preserve">khalifas.  He was well furnished with war material, possessing</w:t></w:r>
</w:p>
<w:p>
<w:pPr><w:pStyle w:val="Normal"/></w:pPr>
<w:r><w:t xml:space="preserve">magazines and arsenals in the heart of the Tell.  He had</w:t></w:r>
</w:p>
<w:p>
<w:pPr><w:pStyle w:val="Normal"/></w:pPr>
<w:r><w:t xml:space="preserve">attacked and subjugated all who were not willing to recognize his</w:t></w:r>
</w:p>
<w:p>
<w:pPr><w:pStyle w:val="Normal"/></w:pPr>
<w:r><w:t xml:space="preserve">authority.  Under his influence old rivalries were effaced; at</w:t></w:r>
</w:p>
<w:p>
<w:pPr><w:pStyle w:val="Normal"/></w:pPr>
<w:r><w:t xml:space="preserve">his voice all the tribes joined in the holy war.  On the 18th</w:t></w:r>
</w:p>
<w:p>
<w:pPr><w:pStyle w:val="Normal"/></w:pPr>
<w:r><w:t xml:space="preserve">of November 1839 he sent his declaration of war to Marshal</w:t></w:r>
</w:p>
<w:p>
<w:pPr><w:pStyle w:val="Normal"/></w:pPr>
<w:r><w:t xml:space="preserve">Valee, but the impatient Hajutas had already devastated the</w:t></w:r>
</w:p>
<w:p>
<w:pPr><w:pStyle w:val="Normal"/></w:pPr>
<w:r><w:t xml:space="preserve">Metija.  Marshal Valee marched against Abd-el-Kader, and at</w:t></w:r>
</w:p>
<w:p>
<w:pPr><w:pStyle w:val="Normal"/></w:pPr>
<w:r><w:t xml:space="preserve">first gained some successes: the French occupied Cherchel,</w:t></w:r>
</w:p>
<w:p>
<w:pPr><w:pStyle w:val="Normal"/></w:pPr>
<w:r><w:t xml:space="preserve">Medea and Miliana.  But at the end of 1840 valee was recalled</w:t></w:r>
</w:p>
<w:p>
<w:pPr><w:pStyle w:val="Normal"/></w:pPr>
<w:r><w:t xml:space="preserve">and replaced by Bugeaud, who adopted totally different</w:t></w:r>
</w:p>
<w:p>
<w:pPr><w:pStyle w:val="Normal"/></w:pPr>
<w:r><w:t xml:space="preserve">tactics.  The system of Marshal Valee had been the defensive:</w:t></w:r>
</w:p>
<w:p>
<w:pPr><w:pStyle w:val="Normal"/></w:pPr>
<w:r><w:t xml:space="preserve">he multiplied the fortified posts in order to draw the enemy</w:t></w:r>
</w:p>
<w:p>
<w:pPr><w:pStyle w:val="Normal"/></w:pPr>
<w:r><w:t xml:space="preserve">to a spot chosen beforehand.  Bugeaud resolutely adopted the</w:t></w:r>
</w:p>
<w:p>
<w:pPr><w:pStyle w:val="Normal"/></w:pPr>
<w:r><w:t xml:space="preserve">offensive, reduced the weight carried by the soldiers in</w:t></w:r>
</w:p>
<w:p>
<w:pPr><w:pStyle w:val="Normal"/></w:pPr>
<w:r><w:t xml:space="preserve">order to increase the mobility of his troops, and carried</w:t></w:r>
</w:p>
<w:p>
<w:pPr><w:pStyle w:val="Normal"/></w:pPr>
<w:r><w:t xml:space="preserve">the war into the province of Oran, from which Abd-el-Kader</w:t></w:r>
</w:p>
<w:p>
<w:pPr><w:pStyle w:val="Normal"/></w:pPr>
<w:r><w:t xml:space="preserve">drew his principal resources.  One after the other, all the</w:t></w:r>
</w:p>
<w:p>
<w:pPr><w:pStyle w:val="Normal"/></w:pPr>
<w:r><w:t xml:space="preserve">magazines of the amir--those at Takdempt, Boghar, Taza, Saida</w:t></w:r>
</w:p>
<w:p>
<w:pPr><w:pStyle w:val="Normal"/></w:pPr>
<w:r><w:t xml:space="preserve">and Sebdu--were taken and destroyed.  In the spring of 1843</w:t></w:r>
</w:p>
<w:p>
<w:pPr><w:pStyle w:val="Normal"/></w:pPr>
<w:r><w:t xml:space="preserve">the duc d&apos;Aumale had an opportunity of surprising the smala</w:t></w:r>
</w:p>
<w:p>
<w:pPr><w:pStyle w:val="Normal"/></w:pPr>
<w:r><w:t xml:space="preserve">(camp) of Abd-el-Kader near Taguin.  This was a serious blow</w:t></w:r>
</w:p>
<w:p>
<w:pPr><w:pStyle w:val="Normal"/></w:pPr>
<w:r><w:t xml:space="preserve">for the amir, whose determination to continue the contest</w:t></w:r>
</w:p>
<w:p>
<w:pPr><w:pStyle w:val="Normal"/></w:pPr>
<w:r><w:t xml:space="preserve">was, however, as strong as ever.  He took refuge in Morocco,</w:t></w:r>
</w:p>
<w:p>
<w:pPr><w:pStyle w:val="Normal"/></w:pPr>
<w:r><w:t xml:space="preserve">and induced that power to declare war on the French on the</w:t></w:r>
</w:p>
<w:p>
<w:pPr><w:pStyle w:val="Normal"/></w:pPr>
<w:r><w:t xml:space="preserve">pretext that they would not give up the frontier post of</w:t></w:r>
</w:p>
<w:p>
<w:pPr><w:pStyle w:val="Normal"/></w:pPr>
<w:r><w:t xml:space="preserve">Lalla-Maghnia.  Morocco was soon vanquished.  While Francois,</w:t></w:r>
</w:p>
<w:p>
<w:pPr><w:pStyle w:val="Normal"/></w:pPr>
<w:r><w:t xml:space="preserve">prince de Joinville, was bombarding Tangier and Mogador, Bugeaud</w:t></w:r>
</w:p>
<w:p>
<w:pPr><w:pStyle w:val="Normal"/></w:pPr>
<w:r><w:t xml:space="preserve">gained the victory of the Isly (August 1844).  Morocco signed</w:t></w:r>
</w:p>
<w:p>
<w:pPr><w:pStyle w:val="Normal"/></w:pPr>
<w:r><w:t xml:space="preserve">a treaty of peace at Tangier on the 10th of September 1844.</w:t></w:r>
</w:p>
<w:p>
<w:pPr><w:pStyle w:val="Normal"/></w:pPr>
<w:r><w:t xml:space="preserve">The struggle, however, was not ended.  Islam made a supreme</w:t></w:r>
</w:p>
<w:p>
<w:pPr><w:pStyle w:val="Normal"/></w:pPr>
<w:r><w:t xml:space="preserve">effort in Algeria.  The Dahra and the Warsenis rose at the voice</w:t></w:r>
</w:p>
<w:p>
<w:pPr><w:pStyle w:val="Normal"/></w:pPr>
<w:r><w:t xml:space="preserve">of a fanatic called Bu-Maza (``the goat man&apos;&apos;), a Khuan of</w:t></w:r>
</w:p>
<w:p>
<w:pPr><w:pStyle w:val="Normal"/></w:pPr>
<w:r><w:t xml:space="preserve">the order of the Mouley-Taieb.  Elsewhere other ``masters of</w:t></w:r>
</w:p>
<w:p>
<w:pPr><w:pStyle w:val="Normal"/></w:pPr>
<w:r><w:t xml:space="preserve">the hour,&apos;&apos; false Bu-Mazas, rose.  Abd-el-Kader reappeared in</w:t></w:r>
</w:p>
<w:p>
<w:pPr><w:pStyle w:val="Normal"/></w:pPr>
<w:r><w:t xml:space="preserve">Algeria, which he overran with a rapidity which baffled all</w:t></w:r>
</w:p>
<w:p>
<w:pPr><w:pStyle w:val="Normal"/></w:pPr>
<w:r><w:t xml:space="preserve">pursuit.  He beat the French at Sidi Brahim, raided the tribes</w:t></w:r>
</w:p>
<w:p>
<w:pPr><w:pStyle w:val="Normal"/></w:pPr>
<w:r><w:t xml:space="preserve">of the Tell Oranais which had abandoned him, penetrated as far</w:t></w:r>
</w:p>
<w:p>
<w:pPr><w:pStyle w:val="Normal"/></w:pPr>
<w:r><w:t xml:space="preserve">as the borders of the Metija, and reached the Jurjura, where he</w:t></w:r>
</w:p>
<w:p>
<w:pPr><w:pStyle w:val="Normal"/></w:pPr>
<w:r><w:t xml:space="preserve">endeavoured to rouse the Kabyles.  But his eloquence offended</w:t></w:r>
</w:p>
<w:p>
<w:pPr><w:pStyle w:val="Normal"/></w:pPr>
<w:r><w:t xml:space="preserve">the narrow and cramped particularism of those little democratic</w:t></w:r>
</w:p>
<w:p>
<w:pPr><w:pStyle w:val="Normal"/></w:pPr>
<w:r><w:t xml:space="preserve">cities, deaf to the sentiment of the common interest.  From</w:t></w:r>
</w:p>
<w:p>
<w:pPr><w:pStyle w:val="Normal"/></w:pPr>
<w:r><w:t xml:space="preserve">that time he played a losing game.  He returned toward the</w:t></w:r>
</w:p>
<w:p>
<w:pPr><w:pStyle w:val="Normal"/></w:pPr>
<w:r><w:t xml:space="preserve">west, penetrating farther and farther to the south.  Badly</w:t></w:r>
</w:p>
<w:p>
<w:pPr><w:pStyle w:val="Normal"/></w:pPr>
<w:r><w:t xml:space="preserve">received by the great aristocratic family of the Walid-sidi-</w:t></w:r>
</w:p>
<w:p>
<w:pPr><w:pStyle w:val="Normal"/></w:pPr>
<w:r><w:t xml:space="preserve">Sheikh, he re-entered Morocco, but the emperor of that country,</w:t></w:r>
</w:p>
<w:p>
<w:pPr><w:pStyle w:val="Normal"/></w:pPr>
<w:r><w:t xml:space="preserve">dreading his influence and fearing difficulties with the French,</w:t></w:r>
</w:p>
<w:p>
<w:pPr><w:pStyle w:val="Normal"/></w:pPr>
<w:r><w:t xml:space="preserve">drove him out.  This was the end.  On the 23rd of December</w:t></w:r>
</w:p>
<w:p>
<w:pPr><w:pStyle w:val="Normal"/></w:pPr>
<w:r><w:t xml:space="preserve">1847 Abd-el-Kader surrendered to General Lamoriciere in the</w:t></w:r>
</w:p>
<w:p>
<w:pPr><w:pStyle w:val="Normal"/></w:pPr>
<w:r><w:t xml:space="preserve">plains of Sidi-Brahim.  His adversary, Bugeaud, was there no</w:t></w:r>
</w:p>
<w:p>
<w:pPr><w:pStyle w:val="Normal"/></w:pPr>
<w:r><w:t xml:space="preserve">longer.  Having failed to persuade the French government</w:t></w:r>
</w:p>
<w:p>
<w:pPr><w:pStyle w:val="Normal"/></w:pPr>
<w:r><w:t xml:space="preserve">to adopt his plans of military colonization, he had retired</w:t></w:r>
</w:p>
<w:p>
<w:pPr><w:pStyle w:val="Normal"/></w:pPr>
<w:r><w:t xml:space="preserve">in June 1847 and had been replaced by the duc d&apos;Aumale.</w:t></w:r>
</w:p>
<w:p>
<w:pPr><w:pStyle w:val="Normal"/></w:pPr>
<w:r><w:t xml:space="preserve">The surrender of Abd-el-Kader marks the end of the period</w:t></w:r>
</w:p>
<w:p>
<w:pPr><w:pStyle w:val="Normal"/></w:pPr>
<w:r><w:t xml:space="preserve">of the conquest.  It is true that Great Kabylia had to be</w:t></w:r>
</w:p>
<w:p>
<w:pPr><w:pStyle w:val="Normal"/></w:pPr>
<w:r><w:t xml:space="preserve">subdued only ten years later, and that terrible insurrections</w:t></w:r>
</w:p>
<w:p>
<w:pPr><w:pStyle w:val="Normal"/></w:pPr>
<w:r><w:t xml:space="preserve">still had to be quelled.  But at the end of the reign</w:t></w:r>
</w:p>
<w:p>
<w:pPr><w:pStyle w:val="Normal"/></w:pPr>
<w:r><w:t xml:space="preserve">of Louis Philippe the essential work was accomplished.</w:t></w:r>
</w:p>
<w:p>
<w:pPr><w:pStyle w:val="Normal"/></w:pPr>
<w:r><w:t xml:space="preserve">All that remained was to complete and to secure it.</w:t></w:r>
</w:p>
<w:p>
<w:pPr><w:pStyle w:val="Normal"/></w:pPr>
<w:r><w:t xml:space="preserve">French progress.</w:t></w:r>
</w:p>
<w:p>
<w:pPr><w:pStyle w:val="Normal"/></w:pPr>
<w:r><w:t xml:space="preserve">Under the second republic Algeria was governed successively</w:t></w:r>
</w:p>
<w:p>
<w:pPr><w:pStyle w:val="Normal"/></w:pPr>
<w:r><w:t xml:space="preserve">by Generals L. E. Cavaignac (February to April 1848), N. A.</w:t></w:r>
</w:p>
<w:p>
<w:pPr><w:pStyle w:val="Normal"/></w:pPr>
<w:r><w:t xml:space="preserve">T. Changarnier (April to September 1848), V. Charon (September</w:t></w:r>
</w:p>
<w:p>
<w:pPr><w:pStyle w:val="Normal"/></w:pPr>
<w:r><w:t xml:space="preserve">1848 to October 1850), and A. H. d&apos;Hautpoul (October 1850 to</w:t></w:r>
</w:p>
<w:p>
<w:pPr><w:pStyle w:val="Normal"/></w:pPr>
<w:r><w:t xml:space="preserve">December 1851).  The policy followed at this period consisted</w:t></w:r>
</w:p>
<w:p>
<w:pPr><w:pStyle w:val="Normal"/></w:pPr>
<w:r><w:t xml:space="preserve">in assimilating Algeria to France.  Important efforts were made</w:t></w:r>
</w:p>
<w:p>
<w:pPr><w:pStyle w:val="Normal"/></w:pPr>
<w:r><w:t xml:space="preserve">to attract French colonists to the country, the colonization</w:t></w:r>
</w:p>
<w:p>
<w:pPr><w:pStyle w:val="Normal"/></w:pPr>
<w:r><w:t xml:space="preserve">of Algeria appearing as a means towards the extinction of</w:t></w:r>
</w:p>
<w:p>
<w:pPr><w:pStyle w:val="Normal"/></w:pPr>
<w:r><w:t xml:space="preserve">pauperism in the mother-country.  This point of view suggested</w:t></w:r>
</w:p>
<w:p>
<w:pPr><w:pStyle w:val="Normal"/></w:pPr>
<w:r><w:t xml:space="preserve">numerous projects, as chimerical as they were generous; two</w:t></w:r>
</w:p>
<w:p>
<w:pPr><w:pStyle w:val="Normal"/></w:pPr>
<w:r><w:t xml:space="preserve">millions sterling (50 million francs) were expended with a view</w:t></w:r>
</w:p>
<w:p>
<w:pPr><w:pStyle w:val="Normal"/></w:pPr>
<w:r><w:t xml:space="preserve">to installing Parisian unemployed workmen as colonists, but</w:t></w:r>
</w:p>
<w:p>
<w:pPr><w:pStyle w:val="Normal"/></w:pPr>
<w:r><w:t xml:space="preserve">this attempt failed miserably.  The most remarkable military</w:t></w:r>
</w:p>
<w:p>
<w:pPr><w:pStyle w:val="Normal"/></w:pPr>
<w:r><w:t xml:space="preserve">events of this period were (1) the siege and destruction</w:t></w:r>
</w:p>
<w:p>
<w:pPr><w:pStyle w:val="Normal"/></w:pPr>
<w:r><w:t xml:space="preserve">of the oasis of Zaatcha, where the inhabitants, displeased</w:t></w:r>
</w:p>
<w:p>
<w:pPr><w:pStyle w:val="Normal"/></w:pPr>
<w:r><w:t xml:space="preserve">by an alteration in the tax on palms, rose at the voice of</w:t></w:r>
</w:p>
<w:p>
<w:pPr><w:pStyle w:val="Normal"/></w:pPr>
<w:r><w:t xml:space="preserve">a fanatic named Bu-Zian; (2) the ineffectual campaign of</w:t></w:r>
</w:p>
<w:p>
<w:pPr><w:pStyle w:val="Normal"/></w:pPr>
<w:r><w:t xml:space="preserve">Marshal Saint Arnaud in Little Kabylia, where the tribes rose</w:t></w:r>
</w:p>
<w:p>
<w:pPr><w:pStyle w:val="Normal"/></w:pPr>
<w:r><w:t xml:space="preserve">at the instigation of Bu-Magla (``the mule man&apos;&apos;) in 1851.</w:t></w:r>
</w:p>
<w:p>
<w:pPr><w:pStyle w:val="Normal"/></w:pPr>
<w:r><w:t xml:space="preserve">Marshal J. L. C. A. Randon (1795-1871), named governor-</w:t></w:r>
</w:p>
<w:p>
<w:pPr><w:pStyle w:val="Normal"/></w:pPr>
<w:r><w:t xml:space="preserve">general of Algeria after the coup d&apos;etat, had at first</w:t></w:r>
</w:p>
<w:p>
<w:pPr><w:pStyle w:val="Normal"/></w:pPr>
<w:r><w:t xml:space="preserve">to repress in the south a rising of a new ``master of the</w:t></w:r>
</w:p>
<w:p>
<w:pPr><w:pStyle w:val="Normal"/></w:pPr>
<w:r><w:t xml:space="preserve">hour,&apos;&apos; Mahomet ben Abdallah, the sherif of Wargla.  A column</w:t></w:r>
</w:p>
<w:p>
<w:pPr><w:pStyle w:val="Normal"/></w:pPr>
<w:r><w:t xml:space="preserve">seized Laghouat (El Aghuat) in December 1852.  Si-Hamza,</w:t></w:r>
</w:p>
<w:p>
<w:pPr><w:pStyle w:val="Normal"/></w:pPr>
<w:r><w:t xml:space="preserve">leader of the Walidsidi-Sheikh, an ally of France, indignant</w:t></w:r>
</w:p>
<w:p>
<w:pPr><w:pStyle w:val="Normal"/></w:pPr>
<w:r><w:t xml:space="preserve">at the growing influence of a base-born agitator, pursued him</w:t></w:r>
</w:p>
<w:p>
<w:pPr><w:pStyle w:val="Normal"/></w:pPr>
<w:r><w:t xml:space="preserve">and seized Wargla (1853).  In 1854 General Desvaux entered</w:t></w:r>
</w:p>
<w:p>
<w:pPr><w:pStyle w:val="Normal"/></w:pPr>
<w:r><w:t xml:space="preserve">Tuggurt.  Henceforth matters remained quiet in the region</w:t></w:r>
</w:p>
<w:p>
<w:pPr><w:pStyle w:val="Normal"/></w:pPr>
<w:r><w:t xml:space="preserve">of the Sahara, and Marshal Randon turned his efforts towards</w:t></w:r>
</w:p>
<w:p>
<w:pPr><w:pStyle w:val="Normal"/></w:pPr>
<w:r><w:t xml:space="preserve">Kabylia.  Neither the Romans nor the Turks had been able to</w:t></w:r>
</w:p>
<w:p>
<w:pPr><w:pStyle w:val="Normal"/></w:pPr>
<w:r><w:t xml:space="preserve">subdue this square mountainous tract, of which Bougie, Setif,</w:t></w:r>
</w:p>
<w:p>
<w:pPr><w:pStyle w:val="Normal"/></w:pPr>
<w:r><w:t xml:space="preserve">Aumale and Dellys form the four corners.  But in two months</w:t></w:r>
</w:p>
<w:p>
<w:pPr><w:pStyle w:val="Normal"/></w:pPr>
<w:r><w:t xml:space="preserve">(May to June 1857) Marshal Randon made himself master of</w:t></w:r>
</w:p>
<w:p>
<w:pPr><w:pStyle w:val="Normal"/></w:pPr>
<w:r><w:t xml:space="preserve">it, and built in the heart of this country Fort Napoleon (now</w:t></w:r>
</w:p>
<w:p>
<w:pPr><w:pStyle w:val="Normal"/></w:pPr>
<w:r><w:t xml:space="preserve">Fort National), ``the thorn in the side of Kabylia,&apos;&apos; whose</w:t></w:r>
</w:p>
<w:p>
<w:pPr><w:pStyle w:val="Normal"/></w:pPr>
<w:r><w:t xml:space="preserve">batteries commanded all the Kabyle villages of the region.</w:t></w:r>
</w:p>
<w:p>
<w:pPr><w:pStyle w:val="Normal"/></w:pPr>
<w:r><w:t xml:space="preserve">In 1858 the creation of a ``ministry of Algeria and of</w:t></w:r>
</w:p>
<w:p>
<w:pPr><w:pStyle w:val="Normal"/></w:pPr>
<w:r><w:t xml:space="preserve">the colonies&apos;&apos; brought about the resignation of Marshal</w:t></w:r>
</w:p>
<w:p>
<w:pPr><w:pStyle w:val="Normal"/></w:pPr>
<w:r><w:t xml:space="preserve">Randon.  The administrative headquarters of Algeria was then</w:t></w:r>
</w:p>
<w:p>
<w:pPr><w:pStyle w:val="Normal"/></w:pPr>
<w:r><w:t xml:space="preserve">transferred from Algiers to Paris.  The ministry of Algeria</w:t></w:r>
</w:p>
<w:p>
<w:pPr><w:pStyle w:val="Normal"/></w:pPr>
<w:r><w:t xml:space="preserve">was entrusted first to Prince Napoleon, and afterwards to</w:t></w:r>
</w:p>
<w:p>
<w:pPr><w:pStyle w:val="Normal"/></w:pPr>
<w:r><w:t xml:space="preserve">the marquis J. N. S. P. de Chasseloup-Laubat (1805-1873).</w:t></w:r>
</w:p>
<w:p>
<w:pPr><w:pStyle w:val="Normal"/></w:pPr>
<w:r><w:t xml:space="preserve">But this office, created at the least prematurely, soon</w:t></w:r>
</w:p>
<w:p>
<w:pPr><w:pStyle w:val="Normal"/></w:pPr>
<w:r><w:t xml:space="preserve">disappeared without causing any regrets.  This ephemeral regime</w:t></w:r>
</w:p>
<w:p>
<w:pPr><w:pStyle w:val="Normal"/></w:pPr>
<w:r><w:t xml:space="preserve">lasted from the 24th of June 1858 to the 24th of November</w:t></w:r>
</w:p>
<w:p>
<w:pPr><w:pStyle w:val="Normal"/></w:pPr>
<w:r><w:t xml:space="preserve">1860.  The decree of the 24th of November 1860 transferred</w:t></w:r>
</w:p>
<w:p>
<w:pPr><w:pStyle w:val="Normal"/></w:pPr>
<w:r><w:t xml:space="preserve">the services from Paris back to Algiers, and re-established</w:t></w:r>
</w:p>
<w:p>
<w:pPr><w:pStyle w:val="Normal"/></w:pPr>
<w:r><w:t xml:space="preserve">the functions of governor-general, which were exercised at</w:t></w:r>
</w:p>
<w:p>
<w:pPr><w:pStyle w:val="Normal"/></w:pPr>
<w:r><w:t xml:space="preserve">the end of the second empire first by Marshal Pelissier,</w:t></w:r>
</w:p>
<w:p>
<w:pPr><w:pStyle w:val="Normal"/></w:pPr>
<w:r><w:t xml:space="preserve">duc de Malakoff (December 1860 to September 1864) and then</w:t></w:r>
</w:p>
<w:p>
<w:pPr><w:pStyle w:val="Normal"/></w:pPr>
<w:r><w:t xml:space="preserve">by Marshal Macmahon, duc de Magenta (September 1864 to July</w:t></w:r>
</w:p>
<w:p>
<w:pPr><w:pStyle w:val="Normal"/></w:pPr>
<w:r><w:t xml:space="preserve">1870).  At this period the conception of the Arab kingdom</w:t></w:r>
</w:p>
<w:p>
<w:pPr><w:pStyle w:val="Normal"/></w:pPr>
<w:r><w:t xml:space="preserve">was prevalent.  The emperor Napoleon III., in a celebrated</w:t></w:r>
</w:p>
<w:p>
<w:pPr><w:pStyle w:val="Normal"/></w:pPr>
<w:r><w:t xml:space="preserve">letter, wrote that he was as much the emperor of the Arabs</w:t></w:r>
</w:p>
<w:p>
<w:pPr><w:pStyle w:val="Normal"/></w:pPr>
<w:r><w:t xml:space="preserve">as the emperor of the French.  Algeria was considered as a</w:t></w:r>
</w:p>
<w:p>
<w:pPr><w:pStyle w:val="Normal"/></w:pPr>
<w:r><w:t xml:space="preserve">kind of great military fief, and the officers who ruled there</w:t></w:r>
</w:p>
<w:p>
<w:pPr><w:pStyle w:val="Normal"/></w:pPr>
<w:r><w:t xml:space="preserve">commonly took the side of the native chieftains against the</w:t></w:r>
</w:p>
<w:p>
<w:pPr><w:pStyle w:val="Normal"/></w:pPr>
<w:r><w:t xml:space="preserve">civil population.  European colonization, hampered by the</w:t></w:r>
</w:p>
<w:p>
<w:pPr><w:pStyle w:val="Normal"/></w:pPr>
<w:r><w:t xml:space="preserve">ill-will of the Arab bureaux, then made little progress.</w:t></w:r>
</w:p>
<w:p>
<w:pPr><w:pStyle w:val="Normal"/></w:pPr>
<w:r><w:t xml:space="preserve">Revolt of 1864-1871.</w:t></w:r>
</w:p>
<w:p>
<w:pPr><w:pStyle w:val="Normal"/></w:pPr>
<w:r><w:t xml:space="preserve">It was at this period that the great insurrection of the</w:t></w:r>
</w:p>
<w:p>
<w:pPr><w:pStyle w:val="Normal"/></w:pPr>
<w:r><w:t xml:space="preserve">Walidsidi-Sheikh broke out in the Sud Oranais.  This powerful</w:t></w:r>
</w:p>
<w:p>
<w:pPr><w:pStyle w:val="Normal"/></w:pPr>
<w:r><w:t xml:space="preserve">family had lived up to that time on a good understanding with</w:t></w:r>
</w:p>
<w:p>
<w:pPr><w:pStyle w:val="Normal"/></w:pPr>
<w:r><w:t xml:space="preserve">France; Si-Hamza, chief of the elder branch, had remained</w:t></w:r>
</w:p>
<w:p>
<w:pPr><w:pStyle w:val="Normal"/></w:pPr>
<w:r><w:t xml:space="preserve">until his death (1861) a faithful ally of France.  Thanks to</w:t></w:r>
</w:p>
<w:p>
<w:pPr><w:pStyle w:val="Normal"/></w:pPr>
<w:r><w:t xml:space="preserve">him, the security of the southern frontier was assured.  But</w:t></w:r>
</w:p>
<w:p>
<w:pPr><w:pStyle w:val="Normal"/></w:pPr>
<w:r><w:t xml:space="preserve">after his death his son, Si-Sliman, imbued with anti-French</w:t></w:r>
</w:p>
<w:p>
<w:pPr><w:pStyle w:val="Normal"/></w:pPr>
<w:r><w:t xml:space="preserve">sentiments, revolted in 1864 and massacred the Beaupretre</w:t></w:r>
</w:p>
<w:p>
<w:pPr><w:pStyle w:val="Normal"/></w:pPr>
<w:r><w:t xml:space="preserve">column.  Several years were occupied in quelling the</w:t></w:r>
</w:p>
<w:p>
<w:pPr><w:pStyle w:val="Normal"/></w:pPr>
<w:r><w:t xml:space="preserve">insurrection.  Compelled to guard themselves on the south</w:t></w:r>
</w:p>
<w:p>
<w:pPr><w:pStyle w:val="Normal"/></w:pPr>
<w:r><w:t xml:space="preserve">against the Walid-sidi-Sheikh,the French realized how</w:t></w:r>
</w:p>
<w:p>
<w:pPr><w:pStyle w:val="Normal"/></w:pPr>
<w:r><w:t xml:space="preserve">much they lost by not having the support of these great</w:t></w:r>
</w:p>
<w:p>
<w:pPr><w:pStyle w:val="Normal"/></w:pPr>
<w:r><w:t xml:space="preserve">chieftains.  They then accepted the services offered to them</w:t></w:r>
</w:p>
<w:p>
<w:pPr><w:pStyle w:val="Normal"/></w:pPr>
<w:r><w:t xml:space="preserve">by Si-Sliman-ben- Kadour, chief of the younger branch of the</w:t></w:r>
</w:p>
<w:p>
<w:pPr><w:pStyle w:val="Normal"/></w:pPr>
<w:r><w:t xml:space="preserve">Walid-sidi-Sheikh, who maintained tranquillity in the Sud</w:t></w:r>
</w:p>
<w:p>
<w:pPr><w:pStyle w:val="Normal"/></w:pPr>
<w:r><w:t xml:space="preserve">Oranais during the great insurrection of Kabylia in 1871.</w:t></w:r>
</w:p>
<w:p>
<w:pPr><w:pStyle w:val="Normal"/></w:pPr>
<w:r><w:t xml:space="preserve">The causes of this insurrection were manifold, and, moreover,</w:t></w:r>
</w:p>
<w:p>
<w:pPr><w:pStyle w:val="Normal"/></w:pPr>
<w:r><w:t xml:space="preserve">interdependent: the injury done to the military prestige of</w:t></w:r>
</w:p>
<w:p>
<w:pPr><w:pStyle w:val="Normal"/></w:pPr>
<w:r><w:t xml:space="preserve">France by its defeats in Europe; the fall of the imperial</w:t></w:r>
</w:p>
<w:p>
<w:pPr><w:pStyle w:val="Normal"/></w:pPr>
<w:r><w:t xml:space="preserve">government, in which, in the eyes of the natives, the</w:t></w:r>
</w:p>
<w:p>
<w:pPr><w:pStyle w:val="Normal"/></w:pPr>
<w:r><w:t xml:space="preserve">authority of France was incarnate; and the insults offered</w:t></w:r>
</w:p>
<w:p>
<w:pPr><w:pStyle w:val="Normal"/></w:pPr>
<w:r><w:t xml:space="preserve">with impunity in the streets by the civil population to the</w:t></w:r>
</w:p>
<w:p>
<w:pPr><w:pStyle w:val="Normal"/></w:pPr>
<w:r><w:t xml:space="preserve">officers, who were loved and respected by the Arabs, at the</w:t></w:r>
</w:p>
<w:p>
<w:pPr><w:pStyle w:val="Normal"/></w:pPr>
<w:r><w:t xml:space="preserve">same time that the decree of Adolphe Cremieux accorded to</w:t></w:r>
</w:p>
<w:p>
<w:pPr><w:pStyle w:val="Normal"/></w:pPr>
<w:r><w:t xml:space="preserve">the Algerine Jews the rights of French citizens.  The great</w:t></w:r>
</w:p>
<w:p>
<w:pPr><w:pStyle w:val="Normal"/></w:pPr>
<w:r><w:t xml:space="preserve">native chiefs, bewildered and disquieted, thought themselves</w:t></w:r>
</w:p>
<w:p>
<w:pPr><w:pStyle w:val="Normal"/></w:pPr>
<w:r><w:t xml:space="preserve">menaced.  The insurrection was inevitable.  Mokrani, bach-agha</w:t></w:r>
</w:p>
<w:p>
<w:pPr><w:pStyle w:val="Normal"/></w:pPr>
<w:r><w:t xml:space="preserve">of the Mejana, whom the imperial government had loaded with</w:t></w:r>
</w:p>
<w:p>
<w:pPr><w:pStyle w:val="Normal"/></w:pPr>
<w:r><w:t xml:space="preserve">honours, gave the signal.  He had an interview with El Haddad,</w:t></w:r>
</w:p>
<w:p>
<w:pPr><w:pStyle w:val="Normal"/></w:pPr>
<w:r><w:t xml:space="preserve">the sheikh of the Khuans, the religious confraternity of</w:t></w:r>
</w:p>
<w:p>
<w:pPr><w:pStyle w:val="Normal"/></w:pPr>
<w:r><w:t xml:space="preserve">Sidi-Abd-er-Rahman, whose influence was great, and having</w:t></w:r>
</w:p>
<w:p>
<w:pPr><w:pStyle w:val="Normal"/></w:pPr>
<w:r><w:t xml:space="preserve">secured his support in April 1871, Mokrani proclaimed the holy</w:t></w:r>
</w:p>
<w:p>
<w:pPr><w:pStyle w:val="Normal"/></w:pPr>
<w:r><w:t xml:space="preserve">war.  At the bidding of El Haddad the whole of Kabylia rose,</w:t></w:r>
</w:p>
<w:p>
<w:pPr><w:pStyle w:val="Normal"/></w:pPr>
<w:r><w:t xml:space="preserve">and numbers of French colonists were massacred; the columns of</w:t></w:r>
</w:p>
<w:p>
<w:pPr><w:pStyle w:val="Normal"/></w:pPr>
<w:r><w:t xml:space="preserve">Colonel Cerez and General F. G. Saussier had to engage in numerous</w:t></w:r>
</w:p>
<w:p>
<w:pPr><w:pStyle w:val="Normal"/></w:pPr>
<w:r><w:t xml:space="preserve">fights.  The death of the bach-agha at the battle of Suflat,</w:t></w:r>
</w:p>
<w:p>
<w:pPr><w:pStyle w:val="Normal"/></w:pPr>
<w:r><w:t xml:space="preserve">the submission of the Sheikh El Haddad, and finally the arrest</w:t></w:r>
</w:p>
<w:p>
<w:pPr><w:pStyle w:val="Normal"/></w:pPr>
<w:r><w:t xml:space="preserve">of Bu-Meyrag, brother of Mokrani, mark the declining stages</w:t></w:r>
</w:p>
<w:p>
<w:pPr><w:pStyle w:val="Normal"/></w:pPr>
<w:r><w:t xml:space="preserve">of the insurrection, which was completely suppressed by August</w:t></w:r>
</w:p>
<w:p>
<w:pPr><w:pStyle w:val="Normal"/></w:pPr>
<w:r><w:t xml:space="preserve">1871.  A heavy war contribution was imposed upon the rebels</w:t></w:r>
</w:p>
<w:p>
<w:pPr><w:pStyle w:val="Normal"/></w:pPr>
<w:r><w:t xml:space="preserve">and their lands were sequestrated.  The Beni-Manassir, who</w:t></w:r>
</w:p>
<w:p>
<w:pPr><w:pStyle w:val="Normal"/></w:pPr>
<w:r><w:t xml:space="preserve">rose almost at the same time in the Dahra, were subdued soon</w:t></w:r>
</w:p>
<w:p>
<w:pPr><w:pStyle w:val="Normal"/></w:pPr>
<w:r><w:t xml:space="preserve">after.  Subsequently the native population of the Algerine Tell</w:t></w:r>
</w:p>
<w:p>
<w:pPr><w:pStyle w:val="Normal"/></w:pPr>
<w:r><w:t xml:space="preserve">remained quiet, the massacre of the colonists at Margueritte</w:t></w:r>
</w:p>
<w:p>
<w:pPr><w:pStyle w:val="Normal"/></w:pPr>
<w:r><w:t xml:space="preserve">many years later being a local and isolated movement.</w:t></w:r>
</w:p>
<w:p>
<w:pPr><w:pStyle w:val="Normal"/></w:pPr>
<w:r><w:t xml:space="preserve">Since 1870.</w:t></w:r>
</w:p>
<w:p>
<w:pPr><w:pStyle w:val="Normal"/></w:pPr>
<w:r><w:t xml:space="preserve">Under the third republic Algeria was governed successively</w:t></w:r>
</w:p>
<w:p>
<w:pPr><w:pStyle w:val="Normal"/></w:pPr>
<w:r><w:t xml:space="preserve">by Admiral L. H. de Gueydon (March 1871 to June 1873),</w:t></w:r>
</w:p>
<w:p>
<w:pPr><w:pStyle w:val="Normal"/></w:pPr>
<w:r><w:t xml:space="preserve">General A. E. A. Chanzy (June 1873 to February 1879), J.</w:t></w:r>
</w:p>
<w:p>
<w:pPr><w:pStyle w:val="Normal"/></w:pPr>
<w:r><w:t xml:space="preserve">P. L. Albert Grevy (March 1879 to November 1881), Tirman</w:t></w:r>
</w:p>
<w:p>
<w:pPr><w:pStyle w:val="Normal"/></w:pPr>
<w:r><w:t xml:space="preserve">(November 1881 to April 1891), Jules Cambon (April 1891 to</w:t></w:r>
</w:p>
<w:p>
<w:pPr><w:pStyle w:val="Normal"/></w:pPr>
<w:r><w:t xml:space="preserve">September 1897), Louis Lepine (September 1897 to August</w:t></w:r>
</w:p>
<w:p>
<w:pPr><w:pStyle w:val="Normal"/></w:pPr>
<w:r><w:t xml:space="preserve">1898), E. J. Laferriere (August 1898 to October 1900),</w:t></w:r>
</w:p>
<w:p>
<w:pPr><w:pStyle w:val="Normal"/></w:pPr>
<w:r><w:t xml:space="preserve">Charles Jonnart (October 1900 to June 1901), A. J. P. Revoil</w:t></w:r>
</w:p>
<w:p>
<w:pPr><w:pStyle w:val="Normal"/></w:pPr>
<w:r><w:t xml:space="preserve">(June 1901 to April 1903), and again Jonnart.  During the</w:t></w:r>
</w:p>
<w:p>
<w:pPr><w:pStyle w:val="Normal"/></w:pPr>
<w:r><w:t xml:space="preserve">first years of the new regime a keen reaction was produced</w:t></w:r>
</w:p>
<w:p>
<w:pPr><w:pStyle w:val="Normal"/></w:pPr>
<w:r><w:t xml:space="preserve">against the political system of the imperial government in</w:t></w:r>
</w:p>
<w:p>
<w:pPr><w:pStyle w:val="Normal"/></w:pPr>
<w:r><w:t xml:space="preserve">Africa.  The civil territory was considerably enlarged at</w:t></w:r>
</w:p>
<w:p>
<w:pPr><w:pStyle w:val="Normal"/></w:pPr>
<w:r><w:t xml:space="preserve">the expense of the military.  An effort was made to attract</w:t></w:r>
</w:p>
<w:p>
<w:pPr><w:pStyle w:val="Normal"/></w:pPr>
<w:r><w:t xml:space="preserve">French colonists to Algeria by gratuitous concessions of</w:t></w:r>
</w:p>
<w:p>
<w:pPr><w:pStyle w:val="Normal"/></w:pPr>
<w:r><w:t xml:space="preserve">land.  Some lands were granted in particular to natives of</w:t></w:r>
</w:p>
<w:p>
<w:pPr><w:pStyle w:val="Normal"/></w:pPr>
<w:r><w:t xml:space="preserve">Alsace-Lorraine, who preferred to retain French nationality</w:t></w:r>
</w:p>
<w:p>
<w:pPr><w:pStyle w:val="Normal"/></w:pPr>
<w:r><w:t xml:space="preserve">after the war.  Peasants from the south of France, whose vines</w:t></w:r>
</w:p>
<w:p>
<w:pPr><w:pStyle w:val="Normal"/></w:pPr>
<w:r><w:t xml:space="preserve">had been destroyed by the phylloxera, crossed the Mediterranean</w:t></w:r>
</w:p>
<w:p>
<w:pPr><w:pStyle w:val="Normal"/></w:pPr>
<w:r><w:t xml:space="preserve">and established in Algeria an important vineyard.  This</w:t></w:r>
</w:p>
<w:p>
<w:pPr><w:pStyle w:val="Normal"/></w:pPr>
<w:r><w:t xml:space="preserve">double current of immigration notably increased the French</w:t></w:r>
</w:p>
<w:p>
<w:pPr><w:pStyle w:val="Normal"/></w:pPr>
<w:r><w:t xml:space="preserve">population of North Africa.  The tendency then was to treat</w:t></w:r>
</w:p>
<w:p>
<w:pPr><w:pStyle w:val="Normal"/></w:pPr>
<w:r><w:t xml:space="preserve">Algeria as a piece of France.  This assimilative policy</w:t></w:r>
</w:p>
<w:p>
<w:pPr><w:pStyle w:val="Normal"/></w:pPr>
<w:r><w:t xml:space="preserve">attained its culminating point in the so-called decrees of</w:t></w:r>
</w:p>
<w:p>
<w:pPr><w:pStyle w:val="Normal"/></w:pPr>
<w:r><w:t xml:space="preserve">rattachement (1881), in pursuance of which each ministerial</w:t></w:r>
</w:p>
<w:p>
<w:pPr><w:pStyle w:val="Normal"/></w:pPr>
<w:r><w:t xml:space="preserve">department in France was made responsible for Algerine</w:t></w:r>
</w:p>
<w:p>
<w:pPr><w:pStyle w:val="Normal"/></w:pPr>
<w:r><w:t xml:space="preserve">affairs which came by their nature within its jurisdiction.</w:t></w:r>
</w:p>
<w:p>
<w:pPr><w:pStyle w:val="Normal"/></w:pPr>
<w:r><w:t xml:space="preserve">After a great inquiry held in 1892 by a senatorial committee</w:t></w:r>
</w:p>
<w:p>
<w:pPr><w:pStyle w:val="Normal"/></w:pPr>
<w:r><w:t xml:space="preserve">a reaction was produced in France against this excessive</w:t></w:r>
</w:p>
<w:p>
<w:pPr><w:pStyle w:val="Normal"/></w:pPr>
<w:r><w:t xml:space="preserve">assimilation.  The system of rattachement was in great part</w:t></w:r>
</w:p>
<w:p>
<w:pPr><w:pStyle w:val="Normal"/></w:pPr>
<w:r><w:t xml:space="preserve">abandoned, and decentralization was obtained by augmenting the</w:t></w:r>
</w:p>
<w:p>
<w:pPr><w:pStyle w:val="Normal"/></w:pPr>
<w:r><w:t xml:space="preserve">powers of the governor-general, and by granting to Algeria legal</w:t></w:r>
</w:p>
<w:p>
<w:pPr><w:pStyle w:val="Normal"/></w:pPr>
<w:r><w:t xml:space="preserve">personality and a special budget (see above, Central Government.)</w:t></w:r>
</w:p>
<w:p>
<w:pPr><w:pStyle w:val="Normal"/></w:pPr>
<w:r><w:t xml:space="preserve">These reforms appear to have given satisfaction to Algerian</w:t></w:r>
</w:p>
<w:p>
<w:pPr><w:pStyle w:val="Normal"/></w:pPr>
<w:r><w:t xml:space="preserve">opinion.  Profoundly troubled as Algeria was in the last</w:t></w:r>
</w:p>
<w:p>
<w:pPr><w:pStyle w:val="Normal"/></w:pPr>
<w:r><w:t xml:space="preserve">years of the 19th century by the anti-Semitic agitation, which</w:t></w:r>
</w:p>
<w:p>
<w:pPr><w:pStyle w:val="Normal"/></w:pPr>
<w:r><w:t xml:space="preserve">occasioned frequent changes of governors, it appears to-day to</w:t></w:r>
</w:p>
<w:p>
<w:pPr><w:pStyle w:val="Normal"/></w:pPr>
<w:r><w:t xml:space="preserve">have turned aside from sterile political struggles to interest</w:t></w:r>
</w:p>
<w:p>
<w:pPr><w:pStyle w:val="Normal"/></w:pPr>
<w:r><w:t xml:space="preserve">itself exclusively in the economic development of the country.</w:t></w:r>
</w:p>
<w:p>
<w:pPr><w:pStyle w:val="Normal"/></w:pPr>
<w:r><w:t xml:space="preserve">The movement of expansion towards the south was continued under</w:t></w:r>
</w:p>
<w:p>
<w:pPr><w:pStyle w:val="Normal"/></w:pPr>
<w:r><w:t xml:space="preserve">the third republic.  In 1873 General G. A. A. Gailifet entered El</w:t></w:r>
</w:p>
<w:p>
<w:pPr><w:pStyle w:val="Normal"/></w:pPr>
<w:r><w:t xml:space="preserve">Golea.  In 1882 the oasis of Mzab was annexed.  In the Sud</w:t></w:r>
</w:p>
<w:p>
<w:pPr><w:pStyle w:val="Normal"/></w:pPr>
<w:r><w:t xml:space="preserve">Oranais an insurrection, fomented by a marabout named Bu-Amama,</w:t></w:r>
</w:p>
<w:p>
<w:pPr><w:pStyle w:val="Normal"/></w:pPr>
<w:r><w:t xml:space="preserve">broke out in 1881, and the insurgents massacred the European</w:t></w:r>
</w:p>
<w:p>
<w:pPr><w:pStyle w:val="Normal"/></w:pPr>
<w:r><w:t xml:space="preserve">labourers engaged in the collection of alfa (or esparto)</w:t></w:r>
</w:p>
<w:p>
<w:pPr><w:pStyle w:val="Normal"/></w:pPr>
<w:r><w:t xml:space="preserve">grass.  But soon the French columns re-established peace, and</w:t></w:r>
</w:p>
<w:p>
<w:pPr><w:pStyle w:val="Normal"/></w:pPr>
<w:r><w:t xml:space="preserve">Bu-Amama had to take refuge in Morocco.  In 1883 Si-Hamza, chief</w:t></w:r>
</w:p>
<w:p>
<w:pPr><w:pStyle w:val="Normal"/></w:pPr>
<w:r><w:t xml:space="preserve">of the elder branch of the Wahd-sidi-Sheikh, made his submission,</w:t></w:r>
</w:p>
<w:p>
<w:pPr><w:pStyle w:val="Normal"/></w:pPr>
<w:r><w:t xml:space="preserve">and since then that family has remained devoted to France.</w:t></w:r>
</w:p>
<w:p>
<w:pPr><w:pStyle w:val="Normal"/></w:pPr>
<w:r><w:t xml:space="preserve">The attempts at penetration into the extreme south, abandoned after</w:t></w:r>
</w:p>
<w:p>
<w:pPr><w:pStyle w:val="Normal"/></w:pPr>
<w:r><w:t xml:space="preserve">the massacre by Tuareg of a mission sent in 1881, under Colonel</w:t></w:r>
</w:p>
<w:p>
<w:pPr><w:pStyle w:val="Normal"/></w:pPr>
<w:r><w:t xml:space="preserve">Paul Flatters, to study the question of railway communication</w:t></w:r>
</w:p>
<w:p>
<w:pPr><w:pStyle w:val="Normal"/></w:pPr>
<w:r><w:t xml:space="preserve">with Senegal, were begun again in 1890, in which year the British</w:t></w:r>
</w:p>
<w:p>
<w:pPr><w:pStyle w:val="Normal"/></w:pPr>
<w:r><w:t xml:space="preserve">government recognized the western Sahara as within the French</w:t></w:r>
</w:p>
<w:p>
<w:pPr><w:pStyle w:val="Normal"/></w:pPr>
<w:r><w:t xml:space="preserve">sphere.  Since then military stations and scientific and</w:t></w:r>
</w:p>
<w:p>
<w:pPr><w:pStyle w:val="Normal"/></w:pPr>
<w:r><w:t xml:space="preserve">commercial exploration have increased.  But the results of</w:t></w:r>
</w:p>
<w:p>
<w:pPr><w:pStyle w:val="Normal"/></w:pPr>
<w:r><w:t xml:space="preserve">these efforts remained inconsiderable until the spring of 1900,</w:t></w:r>
</w:p>
<w:p>
<w:pPr><w:pStyle w:val="Normal"/></w:pPr>
<w:r><w:t xml:space="preserve">when the French authorities decided to occupy the oases of</w:t></w:r>
</w:p>
<w:p>
<w:pPr><w:pStyle w:val="Normal"/></w:pPr>
<w:r><w:t xml:space="preserve">Gurara, Tuat and Tidikelt.  This being accomplished by March</w:t></w:r>
</w:p>
<w:p>
<w:pPr><w:pStyle w:val="Normal"/></w:pPr>
<w:r><w:t xml:space="preserve">1901, the conquest of the Algerine Sahara was from that time</w:t></w:r>
</w:p>
<w:p>
<w:pPr><w:pStyle w:val="Normal"/></w:pPr>
<w:r><w:t xml:space="preserve">completed, and nothing any longer hindered the attempts to</w:t></w:r>
</w:p>
<w:p>
<w:pPr><w:pStyle w:val="Normal"/></w:pPr>
<w:r><w:t xml:space="preserve">join Algeria and the Sudan across the Sahara. (A. GIR.)</w:t></w:r>
</w:p>
<w:p>
<w:pPr><w:pStyle w:val="Normal"/></w:pPr>
<w:r><w:t xml:space="preserve">BIBLIOORAPHY.--For a general account of Algeria, see Maurice</w:t></w:r>
</w:p>
<w:p>
<w:pPr><w:pStyle w:val="Normal"/></w:pPr>
<w:r><w:t xml:space="preserve">Wahl, L&apos;Algerie (5th ed., Paris, 1908); P. Leroy-Beaulieu,</w:t></w:r>
</w:p>
<w:p>
<w:pPr><w:pStyle w:val="Normal"/></w:pPr>
<w:r><w:t xml:space="preserve">Algerie et Tunisie (2nd ed., Paris, 1897); J. A. Battandier</w:t></w:r>
</w:p>
<w:p>
<w:pPr><w:pStyle w:val="Normal"/></w:pPr>
<w:r><w:t xml:space="preserve">and L. Trabut, L&apos;Algerie; le sol et les habitants (Paris,</w:t></w:r>
</w:p>
<w:p>
<w:pPr><w:pStyle w:val="Normal"/></w:pPr>
<w:r><w:t xml:space="preserve">1898), specially valuable for agriculture and fauna; Arthur</w:t></w:r>
</w:p>
<w:p>
<w:pPr><w:pStyle w:val="Normal"/></w:pPr>
<w:r><w:t xml:space="preserve">Girault, Principes de colonisation et de legislation</w:t></w:r>
</w:p>
<w:p>
<w:pPr><w:pStyle w:val="Normal"/></w:pPr>
<w:r><w:t xml:space="preserve">coloniale, Tome iii. ch. i.-viii. (3rd ed., Paris, 1908),</w:t></w:r>
</w:p>
<w:p>
<w:pPr><w:pStyle w:val="Normal"/></w:pPr>
<w:r><w:t xml:space="preserve">containing valuable bibliographies of works relating to</w:t></w:r>
</w:p>
<w:p>
<w:pPr><w:pStyle w:val="Normal"/></w:pPr>
<w:r><w:t xml:space="preserve">legislation, jurisprudence, &amp;c.; Jules Duval, L&apos;Algerie et</w:t></w:r>
</w:p>
<w:p>
<w:pPr><w:pStyle w:val="Normal"/></w:pPr>
<w:r><w:t xml:space="preserve">les colonies francaises (Paris, 1877).  The Statistiaue</w:t></w:r>
</w:p>
<w:p>
<w:pPr><w:pStyle w:val="Normal"/></w:pPr>
<w:r><w:t xml:space="preserve">generale de l&apos;Algerie is published periodically by the</w:t></w:r>
</w:p>
<w:p>
<w:pPr><w:pStyle w:val="Normal"/></w:pPr>
<w:r><w:t xml:space="preserve">Algerian government.  The British Foreign Office publishes</w:t></w:r>
</w:p>
<w:p>
<w:pPr><w:pStyle w:val="Normal"/></w:pPr>
<w:r><w:t xml:space="preserve">annual Reports on the Trade of Algeria; Sir R. Lambert</w:t></w:r>
</w:p>
<w:p>
<w:pPr><w:pStyle w:val="Normal"/></w:pPr>
<w:r><w:t xml:space="preserve">Playfair&apos;s Handbook for Travellers in Algeria (Murray&apos;s</w:t></w:r>
</w:p>
<w:p>
<w:pPr><w:pStyle w:val="Normal"/></w:pPr>
<w:r><w:t xml:space="preserve">Handbooks), corrected to 1902, is a capital guide to the</w:t></w:r>
</w:p>
<w:p>
<w:pPr><w:pStyle w:val="Normal"/></w:pPr>
<w:r><w:t xml:space="preserve">country, as is also Algerie et Tunisie (Paris, 1906), in the</w:t></w:r>
</w:p>
<w:p>
<w:pPr><w:pStyle w:val="Normal"/></w:pPr>
<w:r><w:t xml:space="preserve">Guides- Joanne Series; the Bibliography of Algeria (London,</w:t></w:r>
</w:p>
<w:p>
<w:pPr><w:pStyle w:val="Normal"/></w:pPr>
<w:r><w:t xml:space="preserve">1888), and the Supplement to the Bibliography of Algeria</w:t></w:r>
</w:p>
<w:p>
<w:pPr><w:pStyle w:val="Normal"/></w:pPr>
<w:r><w:t xml:space="preserve">(London, 1898), by Sir Lambert Playfair, contain thousands</w:t></w:r>
</w:p>
<w:p>
<w:pPr><w:pStyle w:val="Normal"/></w:pPr>
<w:r><w:t xml:space="preserve">of entries and many notes.  J. A. Battandier and L. Trabut,</w:t></w:r>
</w:p>
<w:p>
<w:pPr><w:pStyle w:val="Normal"/></w:pPr>
<w:r><w:t xml:space="preserve">Flore de l&apos;Algerie (Algiers and Paris, 1884 and onwards),</w:t></w:r>
</w:p>
<w:p>
<w:pPr><w:pStyle w:val="Normal"/></w:pPr>
<w:r><w:t xml:space="preserve">contains a scientific and descriptive catalogue, in several</w:t></w:r>
</w:p>
<w:p>
<w:pPr><w:pStyle w:val="Normal"/></w:pPr>
<w:r><w:t xml:space="preserve">volumes, of the indigenous flora.  For the geology of Algeria,</w:t></w:r>
</w:p>
<w:p>
<w:pPr><w:pStyle w:val="Normal"/></w:pPr>
<w:r><w:t xml:space="preserve">see M. A. Pomel, Description stratigraphique generale</w:t></w:r>
</w:p>
<w:p>
<w:pPr><w:pStyle w:val="Normal"/></w:pPr>
<w:r><w:t xml:space="preserve">de l&apos;Algerie (1889), and numerous papers by E. Ficheur, L.</w:t></w:r>
</w:p>
<w:p>
<w:pPr><w:pStyle w:val="Normal"/></w:pPr>
<w:r><w:t xml:space="preserve">Gentil, G. Rolland, P. Thomas, and J. Welsch will be found</w:t></w:r>
</w:p>
<w:p>
<w:pPr><w:pStyle w:val="Normal"/></w:pPr>
<w:r><w:t xml:space="preserve">in the Bull.  Soc. Geol.  France, and Compt.  Rend,</w:t></w:r>
</w:p>
<w:p>
<w:pPr><w:pStyle w:val="Normal"/></w:pPr>
<w:r><w:t xml:space="preserve">Acad.  Sci. The volumes of the International Geological</w:t></w:r>
</w:p>
<w:p>
<w:pPr><w:pStyle w:val="Normal"/></w:pPr>
<w:r><w:t xml:space="preserve">Congress review Algerian geology.  The French government</w:t></w:r>
</w:p>
<w:p>
<w:pPr><w:pStyle w:val="Normal"/></w:pPr>
<w:r><w:t xml:space="preserve">publication, Exploration scientifique de l&apos;Algerie (20</w:t></w:r>
</w:p>
<w:p>
<w:pPr><w:pStyle w:val="Normal"/></w:pPr>
<w:r><w:t xml:space="preserve">vols., 1844-1853), gives the results of investigations made in</w:t></w:r>
</w:p>
<w:p>
<w:pPr><w:pStyle w:val="Normal"/></w:pPr>
<w:r><w:t xml:space="preserve">1840-1842.  O. Depont and X. Conpolani, Les Confeeries</w:t></w:r>
</w:p>
<w:p>
<w:pPr><w:pStyle w:val="Normal"/></w:pPr>
<w:r><w:t xml:space="preserve">religiouses musulmanes (Algiers, 1897), and Carte de</w:t></w:r>
</w:p>
<w:p>
<w:pPr><w:pStyle w:val="Normal"/></w:pPr>
<w:r><w:t xml:space="preserve">l,Algerie . . . domaine geographique des confreries</w:t></w:r>
</w:p>
<w:p>
<w:pPr><w:pStyle w:val="Normal"/></w:pPr>
<w:r><w:t xml:space="preserve">(Algiers, 1898), have special reference to the Islamic sects in</w:t></w:r>
</w:p>
<w:p>
<w:pPr><w:pStyle w:val="Normal"/></w:pPr>
<w:r><w:t xml:space="preserve">Algeria.  Stephane Gsell&apos;s Les monuments antiques de l&apos;Algerie</w:t></w:r>
</w:p>
<w:p>
<w:pPr><w:pStyle w:val="Normal"/></w:pPr>
<w:r><w:t xml:space="preserve">(2 vols., Baris, 1901), one of the publications of the Service</w:t></w:r>
</w:p>
<w:p>
<w:pPr><w:pStyle w:val="Normal"/></w:pPr>
<w:r><w:t xml:space="preserve">des monuments historiques of the colony, is an authoritative</w:t></w:r>
</w:p>
<w:p>
<w:pPr><w:pStyle w:val="Normal"/></w:pPr>
<w:r><w:t xml:space="preserve">and finely illustrated work on the antiquities of Algeria.</w:t></w:r>
</w:p>
<w:p>
<w:pPr><w:pStyle w:val="Normal"/></w:pPr>
<w:r><w:t xml:space="preserve">For archaeology see also the bibliography in AFRICA, ROMAN.</w:t></w:r>
</w:p>
<w:p>
<w:pPr><w:pStyle w:val="Normal"/></w:pPr>
<w:r><w:t xml:space="preserve">The best best elementary work on the history of Algeria</w:t></w:r>
</w:p>
<w:p>
<w:pPr><w:pStyle w:val="Normal"/></w:pPr>
<w:r><w:t xml:space="preserve">is that of Cat, Petite histoire de l&apos;Algerie (Algiers,</w:t></w:r>
</w:p>
<w:p>
<w:pPr><w:pStyle w:val="Normal"/></w:pPr>
<w:r><w:t xml:space="preserve">1889).  For more profound researches consult: (a) for the</w:t></w:r>
</w:p>
<w:p>
<w:pPr><w:pStyle w:val="Normal"/></w:pPr>
<w:r><w:t xml:space="preserve">Turkish period: H. D. de Gramont, Histoire d&apos;Alger sous la</w:t></w:r>
</w:p>
<w:p>
<w:pPr><w:pStyle w:val="Normal"/></w:pPr>
<w:r><w:t xml:space="preserve">domination turque (1887); Mercier, Histoire de l&apos;Afrique</w:t></w:r>
</w:p>
<w:p>
<w:pPr><w:pStyle w:val="Normal"/></w:pPr>
<w:r><w:t xml:space="preserve">septenirionale (1888-1891); Eugene Plantet, Correspondance</w:t></w:r>
</w:p>
<w:p>
<w:pPr><w:pStyle w:val="Normal"/></w:pPr>
<w:r><w:t xml:space="preserve">des deys d&apos;Alger avec la cour de France (1889--1892); Paul</w:t></w:r>
</w:p>
<w:p>
<w:pPr><w:pStyle w:val="Normal"/></w:pPr>
<w:r><w:t xml:space="preserve">Masson, Histoire dec etablissements et du commerce francais</w:t></w:r>
</w:p>
<w:p>
<w:pPr><w:pStyle w:val="Normal"/></w:pPr>
<w:r><w:t xml:space="preserve">dans l&apos;Afrique barbaresque (1903); General Faure-Biguet,</w:t></w:r>
</w:p>
<w:p>
<w:pPr><w:pStyle w:val="Normal"/></w:pPr>
<w:r><w:t xml:space="preserve">Histoire de l&apos;A.irique septentrionale sous la domination</w:t></w:r>
</w:p>
<w:p>
<w:pPr><w:pStyle w:val="Normal"/></w:pPr>
<w:r><w:t xml:space="preserve">musulmane (1905); (b) for the French period: Camille Rousset,</w:t></w:r>
</w:p>
<w:p>
<w:pPr><w:pStyle w:val="Normal"/></w:pPr>
<w:r><w:t xml:space="preserve">La Conquete d&apos;Alger (8th ed., 1899), Les Commencements</w:t></w:r>
</w:p>
<w:p>
<w:pPr><w:pStyle w:val="Normal"/></w:pPr>
<w:r><w:t xml:space="preserve">d&apos;une conquete; l,Algerie de 1830 a 1840, with atlas</w:t></w:r>
</w:p>
<w:p>
<w:pPr><w:pStyle w:val="Normal"/></w:pPr>
<w:r><w:t xml:space="preserve">(1887), and La Conquete de l&apos;Algerie, 1841- 1857, with</w:t></w:r>
</w:p>
<w:p>
<w:pPr><w:pStyle w:val="Normal"/></w:pPr>
<w:r><w:t xml:space="preserve">atlas (1889); Pelissier, Annales algeriennes (1834); Leon</w:t></w:r>
</w:p>
<w:p>
<w:pPr><w:pStyle w:val="Normal"/></w:pPr>
<w:r><w:t xml:space="preserve">Roches, Trente-deux ans a travers l&apos;Islam (1884-1837); Colonel</w:t></w:r>
</w:p>
<w:p>
<w:pPr><w:pStyle w:val="Normal"/></w:pPr>
<w:r><w:t xml:space="preserve">Trumelet, Histoire de l&apos;insurrection des Guled-Sidi-Cheik</w:t></w:r>
</w:p>
<w:p>
<w:pPr><w:pStyle w:val="Normal"/></w:pPr>
<w:r><w:t xml:space="preserve">(1887); Rinn, Histoire de l&apos;insurrection de 1871 (1891).</w:t></w:r>
</w:p>
<w:p>
<w:pPr><w:pStyle w:val="Normal"/></w:pPr>
<w:r><w:t xml:space="preserve">The best general maps are those of the Carte de l&apos;Algerie,</w:t></w:r>
</w:p>
<w:p>
<w:pPr><w:pStyle w:val="Normal"/></w:pPr>
<w:r><w:t xml:space="preserve">in numerous sheets, on the scale of 1:50,000 (published by</w:t></w:r>
</w:p>
<w:p>
<w:pPr><w:pStyle w:val="Normal"/></w:pPr>
<w:r><w:t xml:space="preserve">the Service geographique de l&apos;Armee, Paris). (F. R. C.)</w:t></w:r>
</w:p>
<w:p>
<w:pPr><w:pStyle w:val="Normal"/></w:pPr>
<w:r><w:t xml:space="preserve">1 The name ``Great&apos;&apos; Atlas is more correctly</w:t></w:r>
</w:p>
<w:p>
<w:pPr><w:pStyle w:val="Normal"/></w:pPr>
<w:r><w:t xml:space="preserve">applied to the main range in Morocco.</w:t></w:r>
</w:p>
<w:p>
<w:pPr><w:pStyle w:val="Normal"/></w:pPr>
<w:r><w:t xml:space="preserve">2 The figures given are not those of the communes, but of the</w:t></w:r>
</w:p>
<w:p>
<w:pPr><w:pStyle w:val="Normal"/></w:pPr>
<w:r><w:t xml:space="preserve">towns proper, certain classes of persons (such as troops, lunatics,</w:t></w:r>
</w:p>
<w:p>
<w:pPr><w:pStyle w:val="Normal"/></w:pPr>
<w:r><w:t xml:space="preserve">convicts) excluded from the municipal franchise not being counted.</w:t></w:r>
</w:p>
<w:p>
<w:pPr><w:pStyle w:val="Normal"/></w:pPr>
<w:r><w:t xml:space="preserve">3 This western beylik corresponded roughly</w:t></w:r>
</w:p>
<w:p>
<w:pPr><w:pStyle w:val="Normal"/></w:pPr>
<w:r><w:t xml:space="preserve">with the former sultanate of Tlemcen (q.v..)</w:t></w:r>
</w:p>
<w:p>
<w:pPr><w:pStyle w:val="Normal"/></w:pPr>
<w:r><w:t xml:space="preserve">ALGHERO, a seaport and episcopal see on the W. coast of</w:t></w:r>
</w:p>
<w:p>
<w:pPr><w:pStyle w:val="Normal"/></w:pPr>
<w:r><w:t xml:space="preserve">Sardinia, in the province of Sassari, 21 m.  S.S.W. by rail</w:t></w:r>
</w:p>
<w:p>
<w:pPr><w:pStyle w:val="Normal"/></w:pPr>
<w:r><w:t xml:space="preserve">from the town of Sassari.  Pop. (1901) 10,779.  The see was</w:t></w:r>
</w:p>
<w:p>
<w:pPr><w:pStyle w:val="Normal"/></w:pPr>
<w:r><w:t xml:space="preserve">founded in 1503, but the cathedral itself dates from the 12th</w:t></w:r>
</w:p>
<w:p>
<w:pPr><w:pStyle w:val="Normal"/></w:pPr>
<w:r><w:t xml:space="preserve">century, though it has been reconstructed.  The town was strongly</w:t></w:r>
</w:p>
<w:p>
<w:pPr><w:pStyle w:val="Normal"/></w:pPr>
<w:r><w:t xml:space="preserve">fortified by medieval walls, which have to some extent been</w:t></w:r>
</w:p>
<w:p>
<w:pPr><w:pStyle w:val="Normal"/></w:pPr>
<w:r><w:t xml:space="preserve">demolished.  It was originally founded by the Doria family of</w:t></w:r>
</w:p>
<w:p>
<w:pPr><w:pStyle w:val="Normal"/></w:pPr>
<w:r><w:t xml:space="preserve">Genoa about 1102, but was occupied by the house of Aragon in</w:t></w:r>
</w:p>
<w:p>
<w:pPr><w:pStyle w:val="Normal"/></w:pPr>
<w:r><w:t xml:space="preserve">1354, who held it successfully against various attacks until</w:t></w:r>
</w:p>
<w:p>
<w:pPr><w:pStyle w:val="Normal"/></w:pPr>
<w:r><w:t xml:space="preserve">it fell to the house of Savoy with the rest of Sardinia in</w:t></w:r>
</w:p>
<w:p>
<w:pPr><w:pStyle w:val="Normal"/></w:pPr>
<w:r><w:t xml:space="preserve">1720.  Catalonian is still spoken here.  Charles V. visited</w:t></w:r>
</w:p>
<w:p>
<w:pPr><w:pStyle w:val="Normal"/></w:pPr>
<w:r><w:t xml:space="preserve">Alghero on his way to Africa in 1541.  The coral and fishing</w:t></w:r>
</w:p>
<w:p>
<w:pPr><w:pStyle w:val="Normal"/></w:pPr>
<w:r><w:t xml:space="preserve">industries are the most important in Alghero, but agriculture</w:t></w:r>
</w:p>
<w:p>
<w:pPr><w:pStyle w:val="Normal"/></w:pPr>
<w:r><w:t xml:space="preserve">has made some progress in the district, which produces good</w:t></w:r>
</w:p>
<w:p>
<w:pPr><w:pStyle w:val="Normal"/></w:pPr>
<w:r><w:t xml:space="preserve">wine.  There is a large penal establishment containing over 700</w:t></w:r>
</w:p>
<w:p>
<w:pPr><w:pStyle w:val="Normal"/></w:pPr>
<w:r><w:t xml:space="preserve">convicts.  Seven miles to the W.N.W. is the fine natural</w:t></w:r>
</w:p>
<w:p>
<w:pPr><w:pStyle w:val="Normal"/></w:pPr>
<w:r><w:t xml:space="preserve">harbour of Porto Conte, secure in all weather, and on the</w:t></w:r>
</w:p>
<w:p>
<w:pPr><w:pStyle w:val="Normal"/></w:pPr>
<w:r><w:t xml:space="preserve">W. of this harbour is the Capo Caccia, with two stalactite</w:t></w:r>
</w:p>
<w:p>
<w:pPr><w:pStyle w:val="Normal"/></w:pPr>
<w:r><w:t xml:space="preserve">grottos, the finest of which, the Grotta di Nettuno, is</w:t></w:r>
</w:p>
<w:p>
<w:pPr><w:pStyle w:val="Normal"/></w:pPr>
<w:r><w:t xml:space="preserve">accessible only from the sea.  The important prehistoric</w:t></w:r>
</w:p>
<w:p>
<w:pPr><w:pStyle w:val="Normal"/></w:pPr>
<w:r><w:t xml:space="preserve">necropolis of Anghelu Ruju was excavated in 1904 61</w:t></w:r>
</w:p>
<w:p>
<w:pPr><w:pStyle w:val="Normal"/></w:pPr>
<w:r><w:t xml:space="preserve">m.  N. of Alghero (Notizie degli Scavi, 1904, 301 seq.).</w:t></w:r>
</w:p>
<w:p>
<w:pPr><w:pStyle w:val="Normal"/></w:pPr>
<w:r><w:t xml:space="preserve">ALGIDUS MONS, a portion of the ridge forming the rim of the</w:t></w:r>
</w:p>
<w:p>
<w:pPr><w:pStyle w:val="Normal"/></w:pPr>
<w:r><w:t xml:space="preserve">larger crater of the Alban volcano (see ALBANUS MONS) and more</w:t></w:r>
</w:p>
<w:p>
<w:pPr><w:pStyle w:val="Normal"/></w:pPr>
<w:r><w:t xml:space="preserve">especially the eastern portion, traversed by a narrow opening</w:t></w:r>
</w:p>
<w:p>
<w:pPr><w:pStyle w:val="Normal"/></w:pPr>
<w:r><w:t xml:space="preserve">(now called the Cava d&apos;Aglio) of which the Via Latina took</w:t></w:r>
</w:p>
<w:p>
<w:pPr><w:pStyle w:val="Normal"/></w:pPr>
<w:r><w:t xml:space="preserve">advantage, and which frequently appears in the early military</w:t></w:r>
</w:p>
<w:p>
<w:pPr><w:pStyle w:val="Normal"/></w:pPr>
<w:r><w:t xml:space="preserve">history of Rome.  That a distinct town existed (Dion.  Halic. x.</w:t></w:r>
</w:p>
<w:p>
<w:pPr><w:pStyle w:val="Normal"/></w:pPr>
<w:r><w:t xml:space="preserve">21, xi. 3) on the mountain is improbable; there must have been</w:t></w:r>
</w:p>
<w:p>
<w:pPr><w:pStyle w:val="Normal"/></w:pPr>
<w:r><w:t xml:space="preserve">a fortified post, but the extensive castle on the hill (Maschio</w:t></w:r>
</w:p>
<w:p>
<w:pPr><w:pStyle w:val="Normal"/></w:pPr>
<w:r><w:t xml:space="preserve">d&apos;Ariano) to the south of the Via Latina is entirely medieval,</w:t></w:r>
</w:p>
<w:p>
<w:pPr><w:pStyle w:val="Normal"/></w:pPr>
<w:r><w:t xml:space="preserve">a fact which has not been recognized by some topographers.</w:t></w:r>
</w:p>
<w:p>
<w:pPr><w:pStyle w:val="Normal"/></w:pPr>
<w:r><w:t xml:space="preserve">ALGIERS (Fr. Alger, Arab. Jezair, i.e. The Islands),</w:t></w:r>
</w:p>
<w:p>
<w:pPr><w:pStyle w:val="Normal"/></w:pPr>
<w:r><w:t xml:space="preserve">capital and largest city of Algeria, North Africa, seat of the</w:t></w:r>
</w:p>
<w:p>
<w:pPr><w:pStyle w:val="Normal"/></w:pPr>
<w:r><w:t xml:space="preserve">governor- general, of a court of appeal, and of an archbishop,</w:t></w:r>
</w:p>
<w:p>
<w:pPr><w:pStyle w:val="Normal"/></w:pPr>
<w:r><w:t xml:space="preserve">and station of the French XIX. corps d&apos;armee. It is situated</w:t></w:r>
</w:p>
<w:p>
<w:pPr><w:pStyle w:val="Normal"/></w:pPr>
<w:r><w:t xml:space="preserve">on the west side of a bay of the Mediterranean, to which it</w:t></w:r>
</w:p>
<w:p>
<w:pPr><w:pStyle w:val="Normal"/></w:pPr>
<w:r><w:t xml:space="preserve">gives its name, in 36 deg.  47&apos; N., 3 deg.  4&apos; E., and is built on</w:t></w:r>
</w:p>
<w:p>
<w:pPr><w:pStyle w:val="Normal"/></w:pPr>
<w:r><w:t xml:space="preserve">the slopes of the Sahel, a chain of hills parallel to the</w:t></w:r>
</w:p>
<w:p>
<w:pPr><w:pStyle w:val="Normal"/></w:pPr>
<w:r><w:t xml:space="preserve">coast.  The view of the city from the sea is one of great</w:t></w:r>
</w:p>
<w:p>
<w:pPr><w:pStyle w:val="Normal"/></w:pPr>
<w:r><w:t xml:space="preserve">beauty.  Seen from a distance it appears like a succession</w:t></w:r>
</w:p>
<w:p>
<w:pPr><w:pStyle w:val="Normal"/></w:pPr>
<w:r><w:t xml:space="preserve">of dazzling white terraces rising from the water&apos;s edge.  The</w:t></w:r>
</w:p>
<w:p>
<w:pPr><w:pStyle w:val="Normal"/></w:pPr>
<w:r><w:t xml:space="preserve">houses being seemingly embowered in the luxuriant verdure of</w:t></w:r>
</w:p>
<w:p>
<w:pPr><w:pStyle w:val="Normal"/></w:pPr>
<w:r><w:t xml:space="preserve">the Sahel, the effect is imposing and picturesque, and has</w:t></w:r>
</w:p>
<w:p>
<w:pPr><w:pStyle w:val="Normal"/></w:pPr>
<w:r><w:t xml:space="preserve">given rise to the Arab comparison of the town to a diamond</w:t></w:r>
</w:p>
<w:p>
<w:pPr><w:pStyle w:val="Normal"/></w:pPr>
<w:r><w:t xml:space="preserve">set in an emerald frame.  The city consists of two parts;</w:t></w:r>
</w:p>
<w:p>
<w:pPr><w:pStyle w:val="Normal"/></w:pPr>
<w:r><w:t xml:space="preserve">the modern French town, built on the level ground by the</w:t></w:r>
</w:p>
<w:p>
<w:pPr><w:pStyle w:val="Normal"/></w:pPr>
<w:r><w:t xml:space="preserve">seashore, and the ancient city of the deys, which climbs</w:t></w:r>
</w:p>
<w:p>
<w:pPr><w:pStyle w:val="Normal"/></w:pPr>
<w:r><w:t xml:space="preserve">the steep hill behind the modern town and is crowned by the</w:t></w:r>
</w:p>
<w:p>
<w:pPr><w:pStyle w:val="Normal"/></w:pPr>
<w:r><w:t xml:space="preserve">kasbah or citadel, 400 ft. above the sea.  The kasbah forms</w:t></w:r>
</w:p>
<w:p>
<w:pPr><w:pStyle w:val="Normal"/></w:pPr>
<w:r><w:t xml:space="preserve">the apex of a triangle of which the quays form the base.</w:t></w:r>
</w:p>
<w:p>
<w:pPr><w:pStyle w:val="Normal"/></w:pPr>
<w:r><w:t xml:space="preserve">Extending along the front of the town is the boulevard de la</w:t></w:r>
</w:p>
<w:p>
<w:pPr><w:pStyle w:val="Normal"/></w:pPr>
<w:r><w:t xml:space="preserve">Republique, a fine road built by Sir Morton Peto on a series of</w:t></w:r>
</w:p>
<w:p>
<w:pPr><w:pStyle w:val="Normal"/></w:pPr>
<w:r><w:t xml:space="preserve">arches, with a frontage of 3700 ft., and bordered on one side</w:t></w:r>
</w:p>
<w:p>
<w:pPr><w:pStyle w:val="Normal"/></w:pPr>
<w:r><w:t xml:space="preserve">by handsome buildings, whilst a wide promenade overlooking the</w:t></w:r>
</w:p>
<w:p>
<w:pPr><w:pStyle w:val="Normal"/></w:pPr>
<w:r><w:t xml:space="preserve">harbour runs along the other.  Two inclined roads lead from</w:t></w:r>
</w:p>
<w:p>
<w:pPr><w:pStyle w:val="Normal"/></w:pPr>
<w:r><w:t xml:space="preserve">the centre of the boulevard to the quay 40 ft. below.  On the</w:t></w:r>
</w:p>
<w:p>
<w:pPr><w:pStyle w:val="Normal"/></w:pPr>
<w:r><w:t xml:space="preserve">quay are the landing-stages, the custom-house and the railway</w:t></w:r>
</w:p>
<w:p>
<w:pPr><w:pStyle w:val="Normal"/></w:pPr>
<w:r><w:t xml:space="preserve">station.  At the southern end of the boulevard de la Republique</w:t></w:r>
</w:p>
<w:p>
<w:pPr><w:pStyle w:val="Normal"/></w:pPr>
<w:r><w:t xml:space="preserve">is the square de la Republique, formerly the place Bresson,</w:t></w:r>
</w:p>
<w:p>
<w:pPr><w:pStyle w:val="Normal"/></w:pPr>
<w:r><w:t xml:space="preserve">in which is the municipal theatre; at the other extremity of</w:t></w:r>
</w:p>
<w:p>
<w:pPr><w:pStyle w:val="Normal"/></w:pPr>
<w:r><w:t xml:space="preserve">the boulevard is the place du Gouvernement, which is planted</w:t></w:r>
</w:p>
<w:p>
<w:pPr><w:pStyle w:val="Normal"/></w:pPr>
<w:r><w:t xml:space="preserve">on three sides with a double row of plane trees and is the</w:t></w:r>
</w:p>
<w:p>
<w:pPr><w:pStyle w:val="Normal"/></w:pPr>
<w:r><w:t xml:space="preserve">fashionable resort for evening promenade.  The principal streets</w:t></w:r>
</w:p>
<w:p>
<w:pPr><w:pStyle w:val="Normal"/></w:pPr>
<w:r><w:t xml:space="preserve">of the city meet in the place du Gouvernement: the rue Bab</w:t></w:r>
</w:p>
<w:p>
<w:pPr><w:pStyle w:val="Normal"/></w:pPr>
<w:r><w:t xml:space="preserve">Azoun (Gate of Grief) which runs parallel to the boulevard de</w:t></w:r>
</w:p>
<w:p>
<w:pPr><w:pStyle w:val="Normal"/></w:pPr>
<w:r><w:t xml:space="preserve">la Republique; the rue Bab-el-Oued (River Gate) which goes</w:t></w:r>
</w:p>
<w:p>
<w:pPr><w:pStyle w:val="Normal"/></w:pPr>
<w:r><w:t xml:space="preserve">north to the site of the old arsenal demolished in 1900; the</w:t></w:r>
</w:p>
<w:p>
<w:pPr><w:pStyle w:val="Normal"/></w:pPr>
<w:r><w:t xml:space="preserve">rue de la Marine which leads to the ancient harbour, and in</w:t></w:r>
</w:p>
<w:p>
<w:pPr><w:pStyle w:val="Normal"/></w:pPr>
<w:r><w:t xml:space="preserve">which are the two principal mosques.  A large part of the</w:t></w:r>
</w:p>
<w:p>
<w:pPr><w:pStyle w:val="Normal"/></w:pPr>
<w:r><w:t xml:space="preserve">modern town lies south of the square de la Republique; in</w:t></w:r>
</w:p>
<w:p>
<w:pPr><w:pStyle w:val="Normal"/></w:pPr>
<w:r><w:t xml:space="preserve">this quarter are the law courts, hotel de ville, post office</w:t></w:r>
</w:p>
<w:p>
<w:pPr><w:pStyle w:val="Normal"/></w:pPr>
<w:r><w:t xml:space="preserve">and other public buildings.  The streets in the modern town</w:t></w:r>
</w:p>
<w:p>
<w:pPr><w:pStyle w:val="Normal"/></w:pPr>
<w:r><w:t xml:space="preserve">are regularly laid out; several are arcaded on both sides.</w:t></w:r>
</w:p>
<w:p>
<w:pPr><w:pStyle w:val="Normal"/></w:pPr>
<w:r><w:t xml:space="preserve">The old town presents a strong contrast to the new town.  The</w:t></w:r>
</w:p>
<w:p>
<w:pPr><w:pStyle w:val="Normal"/></w:pPr>
<w:r><w:t xml:space="preserve">streets are narrow, tortuous and inaccessible to carriages.</w:t></w:r>
</w:p>
<w:p>
<w:pPr><w:pStyle w:val="Normal"/></w:pPr>
<w:r><w:t xml:space="preserve">They often end in a cul-de-sac. The principal street is</w:t></w:r>
</w:p>
<w:p>
<w:pPr><w:pStyle w:val="Normal"/></w:pPr>
<w:r><w:t xml:space="preserve">the rue de la Kasbah, which leads up to the citadel by 497</w:t></w:r>
</w:p>
<w:p>
<w:pPr><w:pStyle w:val="Normal"/></w:pPr>
<w:r><w:t xml:space="preserve">steps.  The streets are joined by alleys just wide enough to pass</w:t></w:r>
</w:p>
<w:p>
<w:pPr><w:pStyle w:val="Normal"/></w:pPr>
<w:r><w:t xml:space="preserve">through.  The houses, built of stone and whitewashed, are</w:t></w:r>
</w:p>
<w:p>
<w:pPr><w:pStyle w:val="Normal"/></w:pPr>
<w:r><w:t xml:space="preserve">square, substantial, flat-topped buildings, presenting to the</w:t></w:r>
</w:p>
<w:p>
<w:pPr><w:pStyle w:val="Normal"/></w:pPr>
<w:r><w:t xml:space="preserve">street bare walls, with a few slits protected by iron gratings</w:t></w:r>
</w:p>
<w:p>
<w:pPr><w:pStyle w:val="Normal"/></w:pPr>
<w:r><w:t xml:space="preserve">in place of windows.  Each house has a quadrangle in the centre,</w:t></w:r>
</w:p>
<w:p>
<w:pPr><w:pStyle w:val="Normal"/></w:pPr>
<w:r><w:t xml:space="preserve">into which it looks, and which is entered by a low, narrow</w:t></w:r>
</w:p>
<w:p>
<w:pPr><w:pStyle w:val="Normal"/></w:pPr>
<w:r><w:t xml:space="preserve">doorway.  Shops in the native quarter are simply chambers in</w:t></w:r>
</w:p>
<w:p>
<w:pPr><w:pStyle w:val="Normal"/></w:pPr>
<w:r><w:t xml:space="preserve">the walls of the houses, and open at the front.  In these shops</w:t></w:r>
</w:p>
<w:p>
<w:pPr><w:pStyle w:val="Normal"/></w:pPr>
<w:r><w:t xml:space="preserve">the few Moorish industries are carried on, such as embroidery</w:t></w:r>
</w:p>
<w:p>
<w:pPr><w:pStyle w:val="Normal"/></w:pPr>
<w:r><w:t xml:space="preserve">in gold and silver thread, the making of kid slippers of every</w:t></w:r>
</w:p>
<w:p>
<w:pPr><w:pStyle w:val="Normal"/></w:pPr>
<w:r><w:t xml:space="preserve">kind and colour, the manufacture of gold and silver ornaments.</w:t></w:r>
</w:p>
<w:p>
<w:pPr><w:pStyle w:val="Normal"/></w:pPr>
<w:r><w:t xml:space="preserve">To European eyes the native city, with its motley throng of</w:t></w:r>
</w:p>
<w:p>
<w:pPr><w:pStyle w:val="Normal"/></w:pPr>
<w:r><w:t xml:space="preserve">Moors, Arabs, Jews and negroes, is the most interesting sight in</w:t></w:r>
</w:p>
<w:p>
<w:pPr><w:pStyle w:val="Normal"/></w:pPr>
<w:r><w:t xml:space="preserve">Algiers.  Various squares are set apart for markets, and</w:t></w:r>
</w:p>
<w:p>
<w:pPr><w:pStyle w:val="Normal"/></w:pPr>
<w:r><w:t xml:space="preserve">here are to be witnessed scenes of the greatest animation.</w:t></w:r>
</w:p>
<w:p>
<w:pPr><w:pStyle w:val="Normal"/></w:pPr>
<w:r><w:t xml:space="preserve">The public buildings of chief interest are the kasbah, the</w:t></w:r>
</w:p>
<w:p>
<w:pPr><w:pStyle w:val="Normal"/></w:pPr>
<w:r><w:t xml:space="preserve">government offices (formerly the British consulate), the</w:t></w:r>
</w:p>
<w:p>
<w:pPr><w:pStyle w:val="Normal"/></w:pPr>
<w:r><w:t xml:space="preserve">palaces of the governor-general and the archbishop--all</w:t></w:r>
</w:p>
<w:p>
<w:pPr><w:pStyle w:val="Normal"/></w:pPr>
<w:r><w:t xml:space="preserve">these are fine Moorish houses; the ``Grand&apos;&apos; and the ``New&apos;,</w:t></w:r>
</w:p>
<w:p>
<w:pPr><w:pStyle w:val="Normal"/></w:pPr>
<w:r><w:t xml:space="preserve">Mosques, the Roman Catholic cathedral of St Philippe, the</w:t></w:r>
</w:p>
<w:p>
<w:pPr><w:pStyle w:val="Normal"/></w:pPr>
<w:r><w:t xml:space="preserve">church of the Holy Trinity (Church of England), and the</w:t></w:r>
</w:p>
<w:p>
<w:pPr><w:pStyle w:val="Normal"/></w:pPr>
<w:r><w:t xml:space="preserve">Bibliotheque Nationale d&apos;Alger--a Turkish palace built in</w:t></w:r>
</w:p>
<w:p>
<w:pPr><w:pStyle w:val="Normal"/></w:pPr>
<w:r><w:t xml:space="preserve">1799-1800.  The kasbah was begun in 1516 on the site of an older</w:t></w:r>
</w:p>
<w:p>
<w:pPr><w:pStyle w:val="Normal"/></w:pPr>
<w:r><w:t xml:space="preserve">building, and served as the palace of the deys until the French</w:t></w:r>
</w:p>
<w:p>
<w:pPr><w:pStyle w:val="Normal"/></w:pPr>
<w:r><w:t xml:space="preserve">conquest.  A road has been cut through the centre of the</w:t></w:r>
</w:p>
<w:p>
<w:pPr><w:pStyle w:val="Normal"/></w:pPr>
<w:r><w:t xml:space="preserve">building, the mosque turned into barracks, and the hall of</w:t></w:r>
</w:p>
<w:p>
<w:pPr><w:pStyle w:val="Normal"/></w:pPr>
<w:r><w:t xml:space="preserve">audience allowed to fall into ruin.  There still remain a</w:t></w:r>
</w:p>
<w:p>
<w:pPr><w:pStyle w:val="Normal"/></w:pPr>
<w:r><w:t xml:space="preserve">minaret and some marble arches and columns.  Traces exist</w:t></w:r>
</w:p>
<w:p>
<w:pPr><w:pStyle w:val="Normal"/></w:pPr>
<w:r><w:t xml:space="preserve">of the vaults in which were stored the treasures of the</w:t></w:r>
</w:p>
<w:p>
<w:pPr><w:pStyle w:val="Normal"/></w:pPr>
<w:r><w:t xml:space="preserve">dey.  The Grand Mosque (Jamaa-el-Kebir) is traditionally said</w:t></w:r>
</w:p>
<w:p>
<w:pPr><w:pStyle w:val="Normal"/></w:pPr>
<w:r><w:t xml:space="preserve">to be the oldest mosque in Algiers.  The pulpit (mimbar)</w:t></w:r>
</w:p>
<w:p>
<w:pPr><w:pStyle w:val="Normal"/></w:pPr>
<w:r><w:t xml:space="preserve">bears an inscription showing that the building existed in</w:t></w:r>
</w:p>
<w:p>
<w:pPr><w:pStyle w:val="Normal"/></w:pPr>
<w:r><w:t xml:space="preserve">1018.  The minaret was built by Abu Tachfin, sultan of</w:t></w:r>
</w:p>
<w:p>
<w:pPr><w:pStyle w:val="Normal"/></w:pPr>
<w:r><w:t xml:space="preserve">Tlemcen, in 1324.  The interior of the mosque is square and</w:t></w:r>
</w:p>
<w:p>
<w:pPr><w:pStyle w:val="Normal"/></w:pPr>
<w:r><w:t xml:space="preserve">is divided into aisles by columns joined by Moorish arches.</w:t></w:r>
</w:p>
<w:p>
<w:pPr><w:pStyle w:val="Normal"/></w:pPr>
<w:r><w:t xml:space="preserve">The principal facade, in the rue de la Marine, consists of</w:t></w:r>
</w:p>
<w:p>
<w:pPr><w:pStyle w:val="Normal"/></w:pPr>
<w:r><w:t xml:space="preserve">a row of white marble columns supporting an arcade.  The New</w:t></w:r>
</w:p>
<w:p>
<w:pPr><w:pStyle w:val="Normal"/></w:pPr>
<w:r><w:t xml:space="preserve">Mosque (Jamaa-el-Jedid), dating from the 17th century, is</w:t></w:r>
</w:p>
<w:p>
<w:pPr><w:pStyle w:val="Normal"/></w:pPr>
<w:r><w:t xml:space="preserve">in the form of a Greek cross, surmounted by a large white</w:t></w:r>
</w:p>
<w:p>
<w:pPr><w:pStyle w:val="Normal"/></w:pPr>
<w:r><w:t xml:space="preserve">cupola, with four small cupolas at the corners.  The minaret</w:t></w:r>
</w:p>
<w:p>
<w:pPr><w:pStyle w:val="Normal"/></w:pPr>
<w:r><w:t xml:space="preserve">is 90 ft. high.  The interior resembles that of the Grand</w:t></w:r>
</w:p>
<w:p>
<w:pPr><w:pStyle w:val="Normal"/></w:pPr>
<w:r><w:t xml:space="preserve">Mosque.  The church of the Holy Trinity (built in 1870) stands</w:t></w:r>
</w:p>
<w:p>
<w:pPr><w:pStyle w:val="Normal"/></w:pPr>
<w:r><w:t xml:space="preserve">at the southern end of the rue d&apos;Isly near the site of the</w:t></w:r>
</w:p>
<w:p>
<w:pPr><w:pStyle w:val="Normal"/></w:pPr>
<w:r><w:t xml:space="preserve">demolished Fort Bab Azoun.  The interior is richly decorated</w:t></w:r>
</w:p>
<w:p>
<w:pPr><w:pStyle w:val="Normal"/></w:pPr>
<w:r><w:t xml:space="preserve">with various coloured marbles.  Many of these marbles contain</w:t></w:r>
</w:p>
<w:p>
<w:pPr><w:pStyle w:val="Normal"/></w:pPr>
<w:r><w:t xml:space="preserve">memorial inscriptions relating to the English residents</w:t></w:r>
</w:p>
<w:p>
<w:pPr><w:pStyle w:val="Normal"/></w:pPr>
<w:r><w:t xml:space="preserve">(voluntary and involuntary) of Algiers from the time of John</w:t></w:r>
</w:p>
<w:p>
<w:pPr><w:pStyle w:val="Normal"/></w:pPr>
<w:r><w:t xml:space="preserve">Tipton, British consul in 1580.  One tablet records that in 1631</w:t></w:r>
</w:p>
<w:p>
<w:pPr><w:pStyle w:val="Normal"/></w:pPr>
<w:r><w:t xml:space="preserve">two Algerine pirate crews landed in Ireland, sacked Baltimore,</w:t></w:r>
</w:p>
<w:p>
<w:pPr><w:pStyle w:val="Normal"/></w:pPr>
<w:r><w:t xml:space="preserve">and carried off its inhabitants to slavery; another recalls</w:t></w:r>
</w:p>
<w:p>
<w:pPr><w:pStyle w:val="Normal"/></w:pPr>
<w:r><w:t xml:space="preserve">the romantic escape of Ida M`Donnell, daughter of Admiral</w:t></w:r>
</w:p>
<w:p>
<w:pPr><w:pStyle w:val="Normal"/></w:pPr>
<w:r><w:t xml:space="preserve">Ulric, consul- general of Denmark, and wife of the British</w:t></w:r>
</w:p>
<w:p>
<w:pPr><w:pStyle w:val="Normal"/></w:pPr>
<w:r><w:t xml:space="preserve">consul.  When Lord Exmouth was about to bombard the city in</w:t></w:r>
</w:p>
<w:p>
<w:pPr><w:pStyle w:val="Normal"/></w:pPr>
<w:r><w:t xml:space="preserve">1816, the British consul was thrown into prison and loaded with</w:t></w:r>
</w:p>
<w:p>
<w:pPr><w:pStyle w:val="Normal"/></w:pPr>
<w:r><w:t xml:space="preserve">chains.  Mrs. M`Donnell--who was but sixteen--escaped to the</w:t></w:r>
</w:p>
<w:p>
<w:pPr><w:pStyle w:val="Normal"/></w:pPr>
<w:r><w:t xml:space="preserve">British fleet disguised as a midshipman, carrying a basket</w:t></w:r>
</w:p>
<w:p>
<w:pPr><w:pStyle w:val="Normal"/></w:pPr>
<w:r><w:t xml:space="preserve">of vegetables in which her baby was hidden. (Mrs.  M`Donnell</w:t></w:r>
</w:p>
<w:p>
<w:pPr><w:pStyle w:val="Normal"/></w:pPr>
<w:r><w:t xml:space="preserve">subsequently married the duc de Talleyrand-Perigord and died</w:t></w:r>
</w:p>
<w:p>
<w:pPr><w:pStyle w:val="Normal"/></w:pPr>
<w:r><w:t xml:space="preserve">at Florence in 1880).  Among later residents commemorated is</w:t></w:r>
</w:p>
<w:p>
<w:pPr><w:pStyle w:val="Normal"/></w:pPr>
<w:r><w:t xml:space="preserve">Edward Lloyd, who was the first person to show the value of</w:t></w:r>
</w:p>
<w:p>
<w:pPr><w:pStyle w:val="Normal"/></w:pPr>
<w:r><w:t xml:space="preserve">esparto grass for the manufacture of paper, and thus started</w:t></w:r>
</w:p>
<w:p>
<w:pPr><w:pStyle w:val="Normal"/></w:pPr>
<w:r><w:t xml:space="preserve">an industry which is one of the most important in Algeria.</w:t></w:r>
</w:p>
<w:p>
<w:pPr><w:pStyle w:val="Normal"/></w:pPr>
<w:r><w:t xml:space="preserve">The cathedral of St Philippe, built on the site of a mosque,</w:t></w:r>
</w:p>
<w:p>
<w:pPr><w:pStyle w:val="Normal"/></w:pPr>
<w:r><w:t xml:space="preserve">is in the place Malakoff, next to the governor-general&apos;s</w:t></w:r>
</w:p>
<w:p>
<w:pPr><w:pStyle w:val="Normal"/></w:pPr>
<w:r><w:t xml:space="preserve">palace.  In its construction an attempt has been made to</w:t></w:r>
</w:p>
<w:p>
<w:pPr><w:pStyle w:val="Normal"/></w:pPr>
<w:r><w:t xml:space="preserve">produce a building suitable for Christian worship whilst the</w:t></w:r>
</w:p>
<w:p>
<w:pPr><w:pStyle w:val="Normal"/></w:pPr>
<w:r><w:t xml:space="preserve">architecture is Moorish in style.  The principal entrance,</w:t></w:r>
</w:p>
<w:p>
<w:pPr><w:pStyle w:val="Normal"/></w:pPr>
<w:r><w:t xml:space="preserve">reached by a flight of 23 steps, is ornamented with a portico</w:t></w:r>
</w:p>
<w:p>
<w:pPr><w:pStyle w:val="Normal"/></w:pPr>
<w:r><w:t xml:space="preserve">supported by four black-veined marble columns.  The roof of</w:t></w:r>
</w:p>
<w:p>
<w:pPr><w:pStyle w:val="Normal"/></w:pPr>
<w:r><w:t xml:space="preserve">the nave is of Moorish plaster work.  It rests on a series</w:t></w:r>
</w:p>
<w:p>
<w:pPr><w:pStyle w:val="Normal"/></w:pPr>
<w:r><w:t xml:space="preserve">of arcades supported by white marble columns.  Several of</w:t></w:r>
</w:p>
<w:p>
<w:pPr><w:pStyle w:val="Normal"/></w:pPr>
<w:r><w:t xml:space="preserve">these columns belonged to the former mosque.  In one of the</w:t></w:r>
</w:p>
<w:p>
<w:pPr><w:pStyle w:val="Normal"/></w:pPr>
<w:r><w:t xml:space="preserve">chapels is a tomb containing the bones of San Geronimo.  The</w:t></w:r>
</w:p>
<w:p>
<w:pPr><w:pStyle w:val="Normal"/></w:pPr>
<w:r><w:t xml:space="preserve">finding of the remains of the saint in 1853 afforded striking</w:t></w:r>
</w:p>
<w:p>
<w:pPr><w:pStyle w:val="Normal"/></w:pPr>
<w:r><w:t xml:space="preserve">confirmation of an incident recorded by a Spanish Benedictine</w:t></w:r>
</w:p>
<w:p>
<w:pPr><w:pStyle w:val="Normal"/></w:pPr>
<w:r><w:t xml:space="preserve">named Haedo, who published a topography of Algeria in</w:t></w:r>
</w:p>
<w:p>
<w:pPr><w:pStyle w:val="Normal"/></w:pPr>
<w:r><w:t xml:space="preserve">1612.  Haedo sets forth that a young Arab who had embraced</w:t></w:r>
</w:p>
<w:p>
<w:pPr><w:pStyle w:val="Normal"/></w:pPr>
<w:r><w:t xml:space="preserve">Christianity and had been baptized with the name of Geronimo</w:t></w:r>
</w:p>
<w:p>
<w:pPr><w:pStyle w:val="Normal"/></w:pPr>
<w:r><w:t xml:space="preserve">was captured by a Moorish corsair in 1569 and taken to</w:t></w:r>
</w:p>
<w:p>
<w:pPr><w:pStyle w:val="Normal"/></w:pPr>
<w:r><w:t xml:space="preserve">Algiers.  The Arabs endeavoured, to induce Geronimo to renounce</w:t></w:r>
</w:p>
<w:p>
<w:pPr><w:pStyle w:val="Normal"/></w:pPr>
<w:r><w:t xml:space="preserve">Christianity, but as he steadfastly refused to do so he was</w:t></w:r>
</w:p>
<w:p>
<w:pPr><w:pStyle w:val="Normal"/></w:pPr>
<w:r><w:t xml:space="preserve">condemned to death.  Bound hand and foot he was thrown alive</w:t></w:r>
</w:p>
<w:p>
<w:pPr><w:pStyle w:val="Normal"/></w:pPr>
<w:r><w:t xml:space="preserve">into a mould in which a block of concrete was about to be</w:t></w:r>
</w:p>
<w:p>
<w:pPr><w:pStyle w:val="Normal"/></w:pPr>
<w:r><w:t xml:space="preserve">made.  The block containing his body was built into an angle</w:t></w:r>
</w:p>
<w:p>
<w:pPr><w:pStyle w:val="Normal"/></w:pPr>
<w:r><w:t xml:space="preserve">of the Fort of the Twenty-four Hours, then under construction.</w:t></w:r>
</w:p>
<w:p>
<w:pPr><w:pStyle w:val="Normal"/></w:pPr>
<w:r><w:t xml:space="preserve">In 1853 the Fort of the Twenty-four Hours was demolished, and</w:t></w:r>
</w:p>
<w:p>
<w:pPr><w:pStyle w:val="Normal"/></w:pPr>
<w:r><w:t xml:space="preserve">in the angle specified by Haedo the skeleton of Geronimo was</w:t></w:r>
</w:p>
<w:p>
<w:pPr><w:pStyle w:val="Normal"/></w:pPr>
<w:r><w:t xml:space="preserve">found.  The bones were interred at St Phihppe.  Into the</w:t></w:r>
</w:p>
<w:p>
<w:pPr><w:pStyle w:val="Normal"/></w:pPr>
<w:r><w:t xml:space="preserve">mould left by the saint&apos;s body liquid plaster of Paris was</w:t></w:r>
</w:p>
<w:p>
<w:pPr><w:pStyle w:val="Normal"/></w:pPr>
<w:r><w:t xml:space="preserve">run, and a perfect model obtained, showing the features of the</w:t></w:r>
</w:p>
<w:p>
<w:pPr><w:pStyle w:val="Normal"/></w:pPr>
<w:r><w:t xml:space="preserve">youth, the cords which bound him, and even the texture of his</w:t></w:r>
</w:p>
<w:p>
<w:pPr><w:pStyle w:val="Normal"/></w:pPr>
<w:r><w:t xml:space="preserve">clothing.  This model is now in the museum at Mustapha (see below).</w:t></w:r>
</w:p>
<w:p>
<w:pPr><w:pStyle w:val="Normal"/></w:pPr>
<w:r><w:t xml:space="preserve">Algiers possesses a college with schools of law, medicine,</w:t></w:r>
</w:p>
<w:p>
<w:pPr><w:pStyle w:val="Normal"/></w:pPr>
<w:r><w:t xml:space="preserve">science and letters.  The college buildings are large and</w:t></w:r>
</w:p>
<w:p>
<w:pPr><w:pStyle w:val="Normal"/></w:pPr>
<w:r><w:t xml:space="preserve">handsome.  There is also a lycee in which the instruction</w:t></w:r>
</w:p>
<w:p>
<w:pPr><w:pStyle w:val="Normal"/></w:pPr>
<w:r><w:t xml:space="preserve">is similar to that given in France, and in which Christians,</w:t></w:r>
</w:p>
<w:p>
<w:pPr><w:pStyle w:val="Normal"/></w:pPr>
<w:r><w:t xml:space="preserve">Jews and Mahommedans are educated together.  The museum (a</w:t></w:r>
</w:p>
<w:p>
<w:pPr><w:pStyle w:val="Normal"/></w:pPr>
<w:r><w:t xml:space="preserve">state institution), formerly housed in the same building as</w:t></w:r>
</w:p>
<w:p>
<w:pPr><w:pStyle w:val="Normal"/></w:pPr>
<w:r><w:t xml:space="preserve">the library, was transferred in 1897 to a new building in</w:t></w:r>
</w:p>
<w:p>
<w:pPr><w:pStyle w:val="Normal"/></w:pPr>
<w:r><w:t xml:space="preserve">the suburb of Mustapha Superieur.  In the museum are some</w:t></w:r>
</w:p>
<w:p>
<w:pPr><w:pStyle w:val="Normal"/></w:pPr>
<w:r><w:t xml:space="preserve">of the ancient sculptures and mosaics discovered in Algeria,</w:t></w:r>
</w:p>
<w:p>
<w:pPr><w:pStyle w:val="Normal"/></w:pPr>
<w:r><w:t xml:space="preserve">together with medals and Algerian money.  New buildings,</w:t></w:r>
</w:p>
<w:p>
<w:pPr><w:pStyle w:val="Normal"/></w:pPr>
<w:r><w:t xml:space="preserve">to contain specimens of Moslem art, were added in 1903.</w:t></w:r>
</w:p>
<w:p>
<w:pPr><w:pStyle w:val="Normal"/></w:pPr>
<w:r><w:t xml:space="preserve">The port of Algiers is sheltered from all winds.  There are two</w:t></w:r>
</w:p>
<w:p>
<w:pPr><w:pStyle w:val="Normal"/></w:pPr>
<w:r><w:t xml:space="preserve">harbours, both artificial--the old or northern harbour and</w:t></w:r>
</w:p>
<w:p>
<w:pPr><w:pStyle w:val="Normal"/></w:pPr>
<w:r><w:t xml:space="preserve">the southern or Agha harbour.  The northern harbour covers</w:t></w:r>
</w:p>
<w:p>
<w:pPr><w:pStyle w:val="Normal"/></w:pPr>
<w:r><w:t xml:space="preserve">an area of 235 acres.  The depth at the entrance is 72 to</w:t></w:r>
</w:p>
<w:p>
<w:pPr><w:pStyle w:val="Normal"/></w:pPr>
<w:r><w:t xml:space="preserve">108 ft., and in port from 36 to 66 ft.  Two government dry</w:t></w:r>
</w:p>
<w:p>
<w:pPr><w:pStyle w:val="Normal"/></w:pPr>
<w:r><w:t xml:space="preserve">docks are available for merchant vessels.  The quays cover</w:t></w:r>
</w:p>
<w:p>
<w:pPr><w:pStyle w:val="Normal"/></w:pPr>
<w:r><w:t xml:space="preserve">18,000 sq. yds.  There are three jetties, north, east and</w:t></w:r>
</w:p>
<w:p>
<w:pPr><w:pStyle w:val="Normal"/></w:pPr>
<w:r><w:t xml:space="preserve">south.  Within this harbour is the small harbour of the deys,</w:t></w:r>
</w:p>
<w:p>
<w:pPr><w:pStyle w:val="Normal"/></w:pPr>
<w:r><w:t xml:space="preserve">now transformed into a wet dock.  An opening in the south jetty</w:t></w:r>
</w:p>
<w:p>
<w:pPr><w:pStyle w:val="Normal"/></w:pPr>
<w:r><w:t xml:space="preserve">affords an entrance into Agha harbour, constructed in Agha</w:t></w:r>
</w:p>
<w:p>
<w:pPr><w:pStyle w:val="Normal"/></w:pPr>
<w:r><w:t xml:space="preserve">Bay. This harbour is formed by the projection of a mole, 2500</w:t></w:r>
</w:p>
<w:p>
<w:pPr><w:pStyle w:val="Normal"/></w:pPr>
<w:r><w:t xml:space="preserve">ft. in length, from the eastern jetty of the old harbour.  It</w:t></w:r>
</w:p>
<w:p>
<w:pPr><w:pStyle w:val="Normal"/></w:pPr>
<w:r><w:t xml:space="preserve">provides extensive quayage with a minimum depth of water of 28</w:t></w:r>
</w:p>
<w:p>
<w:pPr><w:pStyle w:val="Normal"/></w:pPr>
<w:r><w:t xml:space="preserve">ft.  Agha harbour has also an independent entrance on its</w:t></w:r>
</w:p>
<w:p>
<w:pPr><w:pStyle w:val="Normal"/></w:pPr>
<w:r><w:t xml:space="preserve">southern side.  Algiers is the chief coaling station in the</w:t></w:r>
</w:p>
<w:p>
<w:pPr><w:pStyle w:val="Normal"/></w:pPr>
<w:r><w:t xml:space="preserve">Mediterranean, having become so largely at the expense of</w:t></w:r>
</w:p>
<w:p>
<w:pPr><w:pStyle w:val="Normal"/></w:pPr>
<w:r><w:t xml:space="preserve">Gibraltar.  In other respects the trade resembles that of other</w:t></w:r>
</w:p>
<w:p>
<w:pPr><w:pStyle w:val="Normal"/></w:pPr>
<w:r><w:t xml:space="preserve">Algerian ports. (For trade statistics see ALGERIA.) The inner</w:t></w:r>
</w:p>
<w:p>
<w:pPr><w:pStyle w:val="Normal"/></w:pPr>
<w:r><w:t xml:space="preserve">harbour was begun in 1518 by Khair-ed- Din (see History,</w:t></w:r>
</w:p>
<w:p>
<w:pPr><w:pStyle w:val="Normal"/></w:pPr>
<w:r><w:t xml:space="preserve">below), who, to accommodate his pirate vessels, caused the island</w:t></w:r>
</w:p>
<w:p>
<w:pPr><w:pStyle w:val="Normal"/></w:pPr>
<w:r><w:t xml:space="preserve">on which was Fort Penon to be connected with the mainland by a</w:t></w:r>
</w:p>
<w:p>
<w:pPr><w:pStyle w:val="Normal"/></w:pPr>
<w:r><w:t xml:space="preserve">mole.  The lighthouse which occupies the site of Fort Penon</w:t></w:r>
</w:p>
<w:p>
<w:pPr><w:pStyle w:val="Normal"/></w:pPr>
<w:r><w:t xml:space="preserve">was built in 1544.  Work on the northern harbour was begun in</w:t></w:r>
</w:p>
<w:p>
<w:pPr><w:pStyle w:val="Normal"/></w:pPr>
<w:r><w:t xml:space="preserve">1836, on the southern in 1904.  Algiers maintains communication</w:t></w:r>
</w:p>
<w:p>
<w:pPr><w:pStyle w:val="Normal"/></w:pPr>
<w:r><w:t xml:space="preserve">with Marseilles by a quick service of steamers, which run the</w:t></w:r>
</w:p>
<w:p>
<w:pPr><w:pStyle w:val="Normal"/></w:pPr>
<w:r><w:t xml:space="preserve">497 miles across the Mediterranean in twenty-eight to thirty</w:t></w:r>
</w:p>
<w:p>
<w:pPr><w:pStyle w:val="Normal"/></w:pPr>
<w:r><w:t xml:space="preserve">hours.  The journey between Algiers and Paris, from which it is</w:t></w:r>
</w:p>
<w:p>
<w:pPr><w:pStyle w:val="Normal"/></w:pPr>
<w:r><w:t xml:space="preserve">distant 1031 miles, is accomplished in about forty-five hours.</w:t></w:r>
</w:p>
<w:p>
<w:pPr><w:pStyle w:val="Normal"/></w:pPr>
<w:r><w:t xml:space="preserve">Algiers was a walled city from the time of the deys until</w:t></w:r>
</w:p>
<w:p>
<w:pPr><w:pStyle w:val="Normal"/></w:pPr>
<w:r><w:t xml:space="preserve">the close of the 19th century.  The French, after their</w:t></w:r>
</w:p>
<w:p>
<w:pPr><w:pStyle w:val="Normal"/></w:pPr>
<w:r><w:t xml:space="preserve">occupation of the city (1830), built a rampart, parapet and</w:t></w:r>
</w:p>
<w:p>
<w:pPr><w:pStyle w:val="Normal"/></w:pPr>
<w:r><w:t xml:space="preserve">ditch, with two terminal forts, Bab Azoun to the south and</w:t></w:r>
</w:p>
<w:p>
<w:pPr><w:pStyle w:val="Normal"/></w:pPr>
<w:r><w:t xml:space="preserve">Bab-el-Oued to the north.  The forts and part of the ramparts</w:t></w:r>
</w:p>
<w:p>
<w:pPr><w:pStyle w:val="Normal"/></w:pPr>
<w:r><w:t xml:space="preserve">were demolished at the beginning of the 20th century, when</w:t></w:r>
</w:p>
<w:p>
<w:pPr><w:pStyle w:val="Normal"/></w:pPr>
<w:r><w:t xml:space="preserve">a line of forts occupying the heights of Bu Zarea (at an</w:t></w:r>
</w:p>
<w:p>
<w:pPr><w:pStyle w:val="Normal"/></w:pPr>
<w:r><w:t xml:space="preserve">elevation of 1300 ft. above the sea) took their place.</w:t></w:r>
</w:p>
<w:p>
<w:pPr><w:pStyle w:val="Normal"/></w:pPr>
<w:r><w:t xml:space="preserve">Owing to the mildness of its climate Algiers has become a</w:t></w:r>
</w:p>
<w:p>
<w:pPr><w:pStyle w:val="Normal"/></w:pPr>
<w:r><w:t xml:space="preserve">favourite resort for those seeking to escape the rigours</w:t></w:r>
</w:p>
<w:p>
<w:pPr><w:pStyle w:val="Normal"/></w:pPr>
<w:r><w:t xml:space="preserve">of a European winter.  The city is well supplied with</w:t></w:r>
</w:p>
<w:p>
<w:pPr><w:pStyle w:val="Normal"/></w:pPr>
<w:r><w:t xml:space="preserve">water and its sanitary state is good.  The mistral of the</w:t></w:r>
</w:p>
<w:p>
<w:pPr><w:pStyle w:val="Normal"/></w:pPr>
<w:r><w:t xml:space="preserve">Riviera is entirely absent from Algiers, but in summer</w:t></w:r>
</w:p>
<w:p>
<w:pPr><w:pStyle w:val="Normal"/></w:pPr>
<w:r><w:t xml:space="preserve">the city occasionally suffers from the sirocco or desert</w:t></w:r>
</w:p>
<w:p>
<w:pPr><w:pStyle w:val="Normal"/></w:pPr>
<w:r><w:t xml:space="preserve">wind.  The environs of Algiers are noted for their beauty and</w:t></w:r>
</w:p>
<w:p>
<w:pPr><w:pStyle w:val="Normal"/></w:pPr>
<w:r><w:t xml:space="preserve">healthiness.  Of the suburbs the most picturesque is Mustapha</w:t></w:r>
</w:p>
<w:p>
<w:pPr><w:pStyle w:val="Normal"/></w:pPr>
<w:r><w:t xml:space="preserve">Superieur, about 2 m. from the centre of the city on the</w:t></w:r>
</w:p>
<w:p>
<w:pPr><w:pStyle w:val="Normal"/></w:pPr>
<w:r><w:t xml:space="preserve">slopes of the hills to the south.  Here are the summer palace</w:t></w:r>
</w:p>
<w:p>
<w:pPr><w:pStyle w:val="Normal"/></w:pPr>
<w:r><w:t xml:space="preserve">of the governor-general, many fine Moorish and French villas</w:t></w:r>
</w:p>
<w:p>
<w:pPr><w:pStyle w:val="Normal"/></w:pPr>
<w:r><w:t xml:space="preserve">and luxurious hotels, all surrounded by beautiful gardens.</w:t></w:r>
</w:p>
<w:p>
<w:pPr><w:pStyle w:val="Normal"/></w:pPr>
<w:r><w:t xml:space="preserve">A numerous British colony resides at Mustapha, where there is</w:t></w:r>
</w:p>
<w:p>
<w:pPr><w:pStyle w:val="Normal"/></w:pPr>
<w:r><w:t xml:space="preserve">an English club.  Mustapha Inferieur is built on the lower</w:t></w:r>
</w:p>
<w:p>
<w:pPr><w:pStyle w:val="Normal"/></w:pPr>
<w:r><w:t xml:space="preserve">slopes of the hills.  Farther to the south is the large Jardin</w:t></w:r>
</w:p>
<w:p>
<w:pPr><w:pStyle w:val="Normal"/></w:pPr>
<w:r><w:t xml:space="preserve">d&apos;Essai, containing five avenues of palms, planes, bamboos and</w:t></w:r>
</w:p>
<w:p>
<w:pPr><w:pStyle w:val="Normal"/></w:pPr>
<w:r><w:t xml:space="preserve">magnolias.  Notre-Dame d&apos;Afrique, a church built (1858-</w:t></w:r>
</w:p>
<w:p>
<w:pPr><w:pStyle w:val="Normal"/></w:pPr>
<w:r><w:t xml:space="preserve">1872) in a mixture of the Roman and Byzantine styles, is</w:t></w:r>
</w:p>
<w:p>
<w:pPr><w:pStyle w:val="Normal"/></w:pPr>
<w:r><w:t xml:space="preserve">conspicuously situated, overlooking the sea, on the shoulder</w:t></w:r>
</w:p>
<w:p>
<w:pPr><w:pStyle w:val="Normal"/></w:pPr>
<w:r><w:t xml:space="preserve">of the Bu Zarea hills, 2 m. to the north of the city.  Above</w:t></w:r>
</w:p>
<w:p>
<w:pPr><w:pStyle w:val="Normal"/></w:pPr>
<w:r><w:t xml:space="preserve">the altar is a statue of the Virgin depicted as a black</w:t></w:r>
</w:p>
<w:p>
<w:pPr><w:pStyle w:val="Normal"/></w:pPr>
<w:r><w:t xml:space="preserve">woman.  The church also contains a solid silver statue of the</w:t></w:r>
</w:p>
<w:p>
<w:pPr><w:pStyle w:val="Normal"/></w:pPr>
<w:r><w:t xml:space="preserve">archangel Michael, belonging to the confraternity of Neapolitan</w:t></w:r>
</w:p>
<w:p>
<w:pPr><w:pStyle w:val="Normal"/></w:pPr>
<w:r><w:t xml:space="preserve">fishermen.  Beyond Notre-Dame d&apos;Afrique is the beautiful Valley</w:t></w:r>
</w:p>
<w:p>
<w:pPr><w:pStyle w:val="Normal"/></w:pPr>
<w:r><w:t xml:space="preserve">of the Consuls, very little changed since the time of the</w:t></w:r>
</w:p>
<w:p>
<w:pPr><w:pStyle w:val="Normal"/></w:pPr>
<w:r><w:t xml:space="preserve">deys. (The valley was in those days the favourite residence</w:t></w:r>
</w:p>
<w:p>
<w:pPr><w:pStyle w:val="Normal"/></w:pPr>
<w:r><w:t xml:space="preserve">of the consuls.) At the Petit Seminaire, on the site of</w:t></w:r>
</w:p>
<w:p>
<w:pPr><w:pStyle w:val="Normal"/></w:pPr>
<w:r><w:t xml:space="preserve">the old French consulate, Cardinal Lavigerie died (1892).</w:t></w:r>
</w:p>
<w:p>
<w:pPr><w:pStyle w:val="Normal"/></w:pPr>
<w:r><w:t xml:space="preserve">In 1906 the population of the commune of Algiers was 154,049; the</w:t></w:r>
</w:p>
<w:p>
<w:pPr><w:pStyle w:val="Normal"/></w:pPr>
<w:r><w:t xml:space="preserve">population municipale, which excludes the garrison, prisoners,</w:t></w:r>
</w:p>
<w:p>
<w:pPr><w:pStyle w:val="Normal"/></w:pPr>
<w:r><w:t xml:space="preserve">&amp;c., was 145,280.  Of this total 138,240 were living in the</w:t></w:r>
</w:p>
<w:p>
<w:pPr><w:pStyle w:val="Normal"/></w:pPr>
<w:r><w:t xml:space="preserve">city proper or in Mustapha.  Of the inhabitants 105,908 were</w:t></w:r>
</w:p>
<w:p>
<w:pPr><w:pStyle w:val="Normal"/></w:pPr>
<w:r><w:t xml:space="preserve">Europeans.  French residents numbered 50,996, naturalized Frenchmen</w:t></w:r>
</w:p>
<w:p>
<w:pPr><w:pStyle w:val="Normal"/></w:pPr>
<w:r><w:t xml:space="preserve">23,305, Spaniards 12,354, Italians 7368, Maltese 865, and other</w:t></w:r>
</w:p>
<w:p>
<w:pPr><w:pStyle w:val="Normal"/></w:pPr>
<w:r><w:t xml:space="preserve">Europeans (chiefly British and Germans) 1652, besides 12,490</w:t></w:r>
</w:p>
<w:p>
<w:pPr><w:pStyle w:val="Normal"/></w:pPr>
<w:r><w:t xml:space="preserve">Jews.  The remainder of the population--all Mahommedans--are</w:t></w:r>
</w:p>
<w:p>
<w:pPr><w:pStyle w:val="Normal"/></w:pPr>
<w:r><w:t xml:space="preserve">Moors, Arabs, Berbers, Negroes, with a few Turks.  The vast</w:t></w:r>
</w:p>
<w:p>
<w:pPr><w:pStyle w:val="Normal"/></w:pPr>
<w:r><w:t xml:space="preserve">majority of the Europeans are Roman Catholics.  Most of the</w:t></w:r>
</w:p>
<w:p>
<w:pPr><w:pStyle w:val="Normal"/></w:pPr>
<w:r><w:t xml:space="preserve">naturalized French citizens are of Spanish or Italian origin.</w:t></w:r>
</w:p>
<w:p>
<w:pPr><w:pStyle w:val="Normal"/></w:pPr>
<w:r><w:t xml:space="preserve">History.--In Roman times a small town called Icosium existed</w:t></w:r>
</w:p>
<w:p>
<w:pPr><w:pStyle w:val="Normal"/></w:pPr>
<w:r><w:t xml:space="preserve">on what is now the marine quarter of the city.  The rue de la</w:t></w:r>
</w:p>
<w:p>
<w:pPr><w:pStyle w:val="Normal"/></w:pPr>
<w:r><w:t xml:space="preserve">Marine follows the lines of a Roman street.  Roman cemeteries</w:t></w:r>
</w:p>
<w:p>
<w:pPr><w:pStyle w:val="Normal"/></w:pPr>
<w:r><w:t xml:space="preserve">existed near the rues Bab-el-Oued and Bab Azoun.  Bishops of</w:t></w:r>
</w:p>
<w:p>
<w:pPr><w:pStyle w:val="Normal"/></w:pPr>
<w:r><w:t xml:space="preserve">Icosium--which was created a Latin city by Vespasian --are</w:t></w:r>
</w:p>
<w:p>
<w:pPr><w:pStyle w:val="Normal"/></w:pPr>
<w:r><w:t xml:space="preserve">mentioned as late as the 5th century.  The present city was</w:t></w:r>
</w:p>
<w:p>
<w:pPr><w:pStyle w:val="Normal"/></w:pPr>
<w:r><w:t xml:space="preserve">founded in 944 by Bulukkin b.  Zeiri, the founder of, the</w:t></w:r>
</w:p>
<w:p>
<w:pPr><w:pStyle w:val="Normal"/></w:pPr>
<w:r><w:t xml:space="preserve">Zeirid-Sanhaja dynasty, which was overthrown by Roger II. of</w:t></w:r>
</w:p>
<w:p>
<w:pPr><w:pStyle w:val="Normal"/></w:pPr>
<w:r><w:t xml:space="preserve">Sicily in 1148 (see FATIMITES.) The Zeirids had before that</w:t></w:r>
</w:p>
<w:p>
<w:pPr><w:pStyle w:val="Normal"/></w:pPr>
<w:r><w:t xml:space="preserve">date lost Algiers, which in 1159 was occupied by the Almohades,</w:t></w:r>
</w:p>
<w:p>
<w:pPr><w:pStyle w:val="Normal"/></w:pPr>
<w:r><w:t xml:space="preserve">and in the 13th century came under the dominion of the Abd-el-</w:t></w:r>
</w:p>
<w:p>
<w:pPr><w:pStyle w:val="Normal"/></w:pPr>
<w:r><w:t xml:space="preserve">Wahid, sultans of Tlemcen.  Numinally part of the sultanate of</w:t></w:r>
</w:p>
<w:p>
<w:pPr><w:pStyle w:val="Normal"/></w:pPr>
<w:r><w:t xml:space="preserve">Tlemcen, Algiers had a large measure of independence under</w:t></w:r>
</w:p>
<w:p>
<w:pPr><w:pStyle w:val="Normal"/></w:pPr>
<w:r><w:t xml:space="preserve">amirs of its own, Oran being the chief seaport of the Abd-el-</w:t></w:r>
</w:p>
<w:p>
<w:pPr><w:pStyle w:val="Normal"/></w:pPr>
<w:r><w:t xml:space="preserve">Nahid.  The islet in front of the harbour, subsequently</w:t></w:r>
</w:p>
<w:p>
<w:pPr><w:pStyle w:val="Normal"/></w:pPr>
<w:r><w:t xml:space="preserve">known as the Penon, had been occupied by the Spaniards as</w:t></w:r>
</w:p>
<w:p>
<w:pPr><w:pStyle w:val="Normal"/></w:pPr>
<w:r><w:t xml:space="preserve">early as 1302.  Thereafter a considerable trade grew up</w:t></w:r>
</w:p>
<w:p>
<w:pPr><w:pStyle w:val="Normal"/></w:pPr>
<w:r><w:t xml:space="preserve">between Algiers and Spain.  Algiers, however, continued of</w:t></w:r>
</w:p>
<w:p>
<w:pPr><w:pStyle w:val="Normal"/></w:pPr>
<w:r><w:t xml:space="preserve">comparatively little importance until after the expulsion</w:t></w:r>
</w:p>
<w:p>
<w:pPr><w:pStyle w:val="Normal"/></w:pPr>
<w:r><w:t xml:space="preserve">from Spain of the Moors, many of whom sought an asylum in the</w:t></w:r>
</w:p>
<w:p>
<w:pPr><w:pStyle w:val="Normal"/></w:pPr>
<w:r><w:t xml:space="preserve">city.  In 1510, following their occupation of Oran and other</w:t></w:r>
</w:p>
<w:p>
<w:pPr><w:pStyle w:val="Normal"/></w:pPr>
<w:r><w:t xml:space="preserve">towns on the coast of Africa, the Spaniards fortified the</w:t></w:r>
</w:p>
<w:p>
<w:pPr><w:pStyle w:val="Normal"/></w:pPr>
<w:r><w:t xml:space="preserve">Penon.  In 1516 the amir of Algiers, Selim b.  Teumi, invited</w:t></w:r>
</w:p>
<w:p>
<w:pPr><w:pStyle w:val="Normal"/></w:pPr>
<w:r><w:t xml:space="preserve">the brothers Arouj and Khair-ed-Din (Barbarossa) to expel the</w:t></w:r>
</w:p>
<w:p>
<w:pPr><w:pStyle w:val="Normal"/></w:pPr>
<w:r><w:t xml:space="preserve">Spaniards.  Arouj came to Algiers, caused Selim to be</w:t></w:r>
</w:p>
<w:p>
<w:pPr><w:pStyle w:val="Normal"/></w:pPr>
<w:r><w:t xml:space="preserve">assassinated, and seized the town.  Khair- ed-Din, succeeding</w:t></w:r>
</w:p>
<w:p>
<w:pPr><w:pStyle w:val="Normal"/></w:pPr>
<w:r><w:t xml:space="preserve">Arouj, drove the Spaniards from the Penon (1550) and was</w:t></w:r>
</w:p>
<w:p>
<w:pPr><w:pStyle w:val="Normal"/></w:pPr>
<w:r><w:t xml:space="preserve">the founder of the pashalik, afterwards deylik, of Algeria.</w:t></w:r>
</w:p>
<w:p>
<w:pPr><w:pStyle w:val="Normal"/></w:pPr>
<w:r><w:t xml:space="preserve">Algiers from this time became the chief seat of the Barbary</w:t></w:r>
</w:p>
<w:p>
<w:pPr><w:pStyle w:val="Normal"/></w:pPr>
<w:r><w:t xml:space="preserve">pirates.  In October 1541 the emperor Charles V. sought to</w:t></w:r>
</w:p>
<w:p>
<w:pPr><w:pStyle w:val="Normal"/></w:pPr>
<w:r><w:t xml:space="preserve">capture the city, but a storm destroyed a great number of his</w:t></w:r>
</w:p>
<w:p>
<w:pPr><w:pStyle w:val="Normal"/></w:pPr>
<w:r><w:t xml:space="preserve">ships, and his army of some 30,000, chiefly Spaniards, was</w:t></w:r>
</w:p>
<w:p>
<w:pPr><w:pStyle w:val="Normal"/></w:pPr>
<w:r><w:t xml:space="preserve">defeated by the Algerians under their pasha, Hassan.  Repeated</w:t></w:r>
</w:p>
<w:p>
<w:pPr><w:pStyle w:val="Normal"/></w:pPr>
<w:r><w:t xml:space="preserve">attempts were made by various European nations to subdue the</w:t></w:r>
</w:p>
<w:p>
<w:pPr><w:pStyle w:val="Normal"/></w:pPr>
<w:r><w:t xml:space="preserve">pirates, and in 1816 the city was bombarded by a British squadron</w:t></w:r>
</w:p>
<w:p>
<w:pPr><w:pStyle w:val="Normal"/></w:pPr>
<w:r><w:t xml:space="preserve">under Lord Exmouth, assisted by Dutch men-of-war, and the</w:t></w:r>
</w:p>
<w:p>
<w:pPr><w:pStyle w:val="Normal"/></w:pPr>
<w:r><w:t xml:space="preserve">corsair fleet burned.  The piracy of the Algerians was renewed</w:t></w:r>
</w:p>
<w:p>
<w:pPr><w:pStyle w:val="Normal"/></w:pPr>
<w:r><w:t xml:space="preserve">and continued until 1830.  On the 4th of July in that year a</w:t></w:r>
</w:p>
<w:p>
<w:pPr><w:pStyle w:val="Normal"/></w:pPr>
<w:r><w:t xml:space="preserve">French army under General de Bourmont attacked the city, which</w:t></w:r>
</w:p>
<w:p>
<w:pPr><w:pStyle w:val="Normal"/></w:pPr>
<w:r><w:t xml:space="preserve">capitulated on the following day (see ALGERIA, History.)</w:t></w:r>
</w:p>
<w:p>
<w:pPr><w:pStyle w:val="Normal"/></w:pPr>
<w:r><w:t xml:space="preserve">ALGOA BAY, a wide, shallow bay of South Africa, 436 m.  E.</w:t></w:r>
</w:p>
<w:p>
<w:pPr><w:pStyle w:val="Normal"/></w:pPr>
<w:r><w:t xml:space="preserve">from the Cape of Good Hope, bounded W. by Cape Recife, E. by Cape</w:t></w:r>
</w:p>
<w:p>
<w:pPr><w:pStyle w:val="Normal"/></w:pPr>
<w:r><w:t xml:space="preserve">Padrone.  St Croix Island in the bay is in 33 deg.  47&apos; S. 25 deg.</w:t></w:r>
</w:p>
<w:p>
<w:pPr><w:pStyle w:val="Normal"/></w:pPr>
<w:r><w:t xml:space="preserve">46&apos; E. On this island Bartholomew Diaz made his second landing</w:t></w:r>
</w:p>
<w:p>
<w:pPr><w:pStyle w:val="Normal"/></w:pPr>
<w:r><w:t xml:space="preserve">in South Africa some time after the 3rd of February 1488, and</w:t></w:r>
</w:p>
<w:p>
<w:pPr><w:pStyle w:val="Normal"/></w:pPr>
<w:r><w:t xml:space="preserve">from the cross which he is thought to have erected on it the</w:t></w:r>
</w:p>
<w:p>
<w:pPr><w:pStyle w:val="Normal"/></w:pPr>
<w:r><w:t xml:space="preserve">island gets its name.  Algoa Bay was the first landing-place</w:t></w:r>
</w:p>
<w:p>
<w:pPr><w:pStyle w:val="Normal"/></w:pPr>
<w:r><w:t xml:space="preserve">of the British emigrants to the eastern province of Cape</w:t></w:r>
</w:p>
<w:p>
<w:pPr><w:pStyle w:val="Normal"/></w:pPr>
<w:r><w:t xml:space="preserve">Colony in 1820.  At a spot 6 m.  N.E. of Cape Recife these</w:t></w:r>
</w:p>
<w:p>
<w:pPr><w:pStyle w:val="Normal"/></w:pPr>
<w:r><w:t xml:space="preserve">emigrants founded a town, Port Elizabeth (q.v.), its harbour</w:t></w:r>
</w:p>
<w:p>
<w:pPr><w:pStyle w:val="Normal"/></w:pPr>
<w:r><w:t xml:space="preserve">being sheltered from all winds save the S.E. By seafarers</w:t></w:r>
</w:p>
<w:p>
<w:pPr><w:pStyle w:val="Normal"/></w:pPr>
<w:r><w:t xml:space="preserve">``Algoa Bay&apos;&apos; is used as synonymous with Port Elizabeth.</w:t></w:r>
</w:p>
<w:p>
<w:pPr><w:pStyle w:val="Normal"/></w:pPr>
<w:r><w:t xml:space="preserve">ALGOL, the Arabic name (signifying ``the Demon&apos;&apos;) of b</w:t></w:r>
</w:p>
<w:p>
<w:pPr><w:pStyle w:val="Normal"/></w:pPr>
<w:r><w:t xml:space="preserve">Persei, a star of the second magnitude, noticed by G. Montanari</w:t></w:r>
</w:p>
<w:p>
<w:pPr><w:pStyle w:val="Normal"/></w:pPr>
<w:r><w:t xml:space="preserve">in 1669 to fluctuate in brightness.  John Goodricke established</w:t></w:r>
</w:p>
<w:p>
<w:pPr><w:pStyle w:val="Normal"/></w:pPr>
<w:r><w:t xml:space="preserve">in 1782 the periodicity of its change in about 2d 21h and</w:t></w:r>
</w:p>
<w:p>
<w:pPr><w:pStyle w:val="Normal"/></w:pPr>
<w:r><w:t xml:space="preserve">suggested their cause in recurring eclipses by a large dark</w:t></w:r>
</w:p>
<w:p>
<w:pPr><w:pStyle w:val="Normal"/></w:pPr>
<w:r><w:t xml:space="preserve">satellite.  Their intermittent character prompted the</w:t></w:r>
</w:p>
<w:p>
<w:pPr><w:pStyle w:val="Normal"/></w:pPr>
<w:r><w:t xml:space="preserve">supposition.  The light of Algol remains constant during close</w:t></w:r>
</w:p>
<w:p>
<w:pPr><w:pStyle w:val="Normal"/></w:pPr>
<w:r><w:t xml:space="preserve">upon 56 hours; then declines in 6 1/2 hours (approximately)</w:t></w:r>
</w:p>
<w:p>
<w:pPr><w:pStyle w:val="Normal"/></w:pPr>
<w:r><w:t xml:space="preserve">to nearly one-fourth its normal amount, and is restored by</w:t></w:r>
</w:p>
<w:p>
<w:pPr><w:pStyle w:val="Normal"/></w:pPr>
<w:r><w:t xml:space="preserve">sensibly the same gradations.  The amplitude of the phase</w:t></w:r>
</w:p>
<w:p>
<w:pPr><w:pStyle w:val="Normal"/></w:pPr>
<w:r><w:t xml:space="preserve">is 1.1 magnitude; and the absence of any stationary interval</w:t></w:r>
</w:p>
<w:p>
<w:pPr><w:pStyle w:val="Normal"/></w:pPr>
<w:r><w:t xml:space="preserve">at minimum proves the eclipse to be partial, not annular.</w:t></w:r>
</w:p>
<w:p>
<w:pPr><w:pStyle w:val="Normal"/></w:pPr>
<w:r><w:t xml:space="preserve">Its conditions were investigated from photometric data, by</w:t></w:r>
</w:p>
<w:p>
<w:pPr><w:pStyle w:val="Normal"/></w:pPr>
<w:r><w:t xml:space="preserve">Professor E. C. Pickering in 1880;1 and their realization</w:t></w:r>
</w:p>
<w:p>
<w:pPr><w:pStyle w:val="Normal"/></w:pPr>
<w:r><w:t xml:space="preserve">was finally demonstrated by Dr H. C. Vogel&apos;s spectroscopic</w:t></w:r>
</w:p>
<w:p>
<w:pPr><w:pStyle w:val="Normal"/></w:pPr>
<w:r><w:t xml:space="preserve">measures in 1889.2 Previously to each obscuration, the</w:t></w:r>
</w:p>
<w:p>
<w:pPr><w:pStyle w:val="Normal"/></w:pPr>
<w:r><w:t xml:space="preserve">star was found to be moving rapidly away from the earth; its</w:t></w:r>
</w:p>
<w:p>
<w:pPr><w:pStyle w:val="Normal"/></w:pPr>
<w:r><w:t xml:space="preserve">velocity then diminished to zero pari passu with the loss</w:t></w:r>
</w:p>
<w:p>
<w:pPr><w:pStyle w:val="Normal"/></w:pPr>
<w:r><w:t xml:space="preserve">of light, and reversed its direction during the process of</w:t></w:r>
</w:p>
<w:p>
<w:pPr><w:pStyle w:val="Normal"/></w:pPr>
<w:r><w:t xml:space="preserve">recovery.  Algol, in fact, travels at the rate of 26.3 miles</w:t></w:r>
</w:p>
<w:p>
<w:pPr><w:pStyle w:val="Normal"/></w:pPr>
<w:r><w:t xml:space="preserve">a second round the centre of gravity of the system which it</w:t></w:r>
</w:p>
<w:p>
<w:pPr><w:pStyle w:val="Normal"/></w:pPr>
<w:r><w:t xml:space="preserve">forms with an invisible companion, while the two together</w:t></w:r>
</w:p>
<w:p>
<w:pPr><w:pStyle w:val="Normal"/></w:pPr>
<w:r><w:t xml:space="preserve">approach the sun with an unvarying speed of 2.3 miles per</w:t></w:r>
</w:p>
<w:p>
<w:pPr><w:pStyle w:val="Normal"/></w:pPr>
<w:r><w:t xml:space="preserve">second.  The elements of this disparate pair, calculated by Dr</w:t></w:r>
</w:p>
<w:p>
<w:pPr><w:pStyle w:val="Normal"/></w:pPr>
<w:r><w:t xml:space="preserve">Vogel on the somewhat precarious assumption that its dark and</w:t></w:r>
</w:p>
<w:p>
<w:pPr><w:pStyle w:val="Normal"/></w:pPr>
<w:r><w:t xml:space="preserve">bright members are of equal mean density, are as follows:--</w:t></w:r>
</w:p>
<w:p>
<w:pPr><w:pStyle w:val="Normal"/></w:pPr>
<w:r><w:t xml:space="preserve">Diameter of Algol .   .   .   . 1,061,000 English miles.</w:t></w:r>
</w:p>
<w:p>
<w:pPr><w:pStyle w:val="Normal"/></w:pPr>
<w:r><w:t xml:space="preserve">&apos;&apos;       Satellite .   .   .   834,300    &apos;&apos;     &apos;&apos;</w:t></w:r>
</w:p>
<w:p>
<w:pPr><w:pStyle w:val="Normal"/></w:pPr>
<w:r><w:t xml:space="preserve">Distance from centre to centre. 3,230,000    &apos;&apos;     &apos;&apos;</w:t></w:r>
</w:p>
<w:p>
<w:pPr><w:pStyle w:val="Normal"/></w:pPr>
<w:r><w:t xml:space="preserve">Mass of Algol .   .   .   .   .  4/9 solar mass.</w:t></w:r>
</w:p>
<w:p>
<w:pPr><w:pStyle w:val="Normal"/></w:pPr>
<w:r><w:t xml:space="preserve">&apos;&apos;    Satellite .   .   .   .  2/9   &apos;&apos;   &apos;&apos;</w:t></w:r>
</w:p>
<w:p>
<w:pPr><w:pStyle w:val="Normal"/></w:pPr>
<w:r><w:t xml:space="preserve">Mean density  .   .   .   .   . about  1/4 solar.</w:t></w:r>
</w:p>
<w:p>
<w:pPr><w:pStyle w:val="Normal"/></w:pPr>
<w:r><w:t xml:space="preserve">The plane of the joint orbit, in which no deviation from</w:t></w:r>
</w:p>
<w:p>
<w:pPr><w:pStyle w:val="Normal"/></w:pPr>
<w:r><w:t xml:space="preserve">circularity has yet been detected, nearly coincides with</w:t></w:r>
</w:p>
<w:p>
<w:pPr><w:pStyle w:val="Normal"/></w:pPr>
<w:r><w:t xml:space="preserve">the line of sight.  The period of Algol, as measured by its</w:t></w:r>
</w:p>
<w:p>
<w:pPr><w:pStyle w:val="Normal"/></w:pPr>
<w:r><w:t xml:space="preserve">eclipses, is subject to complex irregularities.  It shortened</w:t></w:r>
</w:p>
<w:p>
<w:pPr><w:pStyle w:val="Normal"/></w:pPr>
<w:r><w:t xml:space="preserve">fitfully by eight seconds between 1790 and 1879; soon afterwards,</w:t></w:r>
</w:p>
<w:p>
<w:pPr><w:pStyle w:val="Normal"/></w:pPr>
<w:r><w:t xml:space="preserve">restoration set in, and its exact length in 1903 was 2d</w:t></w:r>
</w:p>
<w:p>
<w:pPr><w:pStyle w:val="Normal"/></w:pPr>
<w:r><w:t xml:space="preserve">20h 48m 56s, being only two seconds short of its original</w:t></w:r>
</w:p>
<w:p>
<w:pPr><w:pStyle w:val="Normal"/></w:pPr>
<w:r><w:t xml:space="preserve">value.  By an exhaustive discussion, Dr S. Chandler ascertained</w:t></w:r>
</w:p>
<w:p>
<w:pPr><w:pStyle w:val="Normal"/></w:pPr>
<w:r><w:t xml:space="preserve">in 1888 the compensatory nature of these disturbances;3 and</w:t></w:r>
</w:p>
<w:p>
<w:pPr><w:pStyle w:val="Normal"/></w:pPr>
<w:r><w:t xml:space="preserve">he afterwards found the most important among several which</w:t></w:r>
</w:p>
<w:p>
<w:pPr><w:pStyle w:val="Normal"/></w:pPr>
<w:r><w:t xml:space="preserve">probably conspire to produce the observed effects, to be</w:t></w:r>
</w:p>
<w:p>
<w:pPr><w:pStyle w:val="Normal"/></w:pPr>
<w:r><w:t xml:space="preserve">comprised in a period of 15,000 light-cycles, equivalent to</w:t></w:r>
</w:p>
<w:p>
<w:pPr><w:pStyle w:val="Normal"/></w:pPr>
<w:r><w:t xml:space="preserve">118 years.4 An explanatory hypothesis, propounded by him in</w:t></w:r>
</w:p>
<w:p>
<w:pPr><w:pStyle w:val="Normal"/></w:pPr>
<w:r><w:t xml:space="preserve">1892,5 is still on its trial.  The system of Algol, according</w:t></w:r>
</w:p>
<w:p>
<w:pPr><w:pStyle w:val="Normal"/></w:pPr>
<w:r><w:t xml:space="preserve">to this view, is triple; it includes a large, obscure primary,</w:t></w:r>
</w:p>
<w:p>
<w:pPr><w:pStyle w:val="Normal"/></w:pPr>
<w:r><w:t xml:space="preserve">round which the eclipsing pair revolves in an orbit somewhat</w:t></w:r>
</w:p>
<w:p>
<w:pPr><w:pStyle w:val="Normal"/></w:pPr>
<w:r><w:t xml:space="preserve">smaller than that of Uranus, very slightly elliptical, and</w:t></w:r>
</w:p>
<w:p>
<w:pPr><w:pStyle w:val="Normal"/></w:pPr>
<w:r><w:t xml:space="preserve">inclined 20 deg.  to the line of sight, the periodic time being 118</w:t></w:r>
</w:p>
<w:p>
<w:pPr><w:pStyle w:val="Normal"/></w:pPr>
<w:r><w:t xml:space="preserve">years.  The alternate delay and acceleration of the eclipses</w:t></w:r>
</w:p>
<w:p>
<w:pPr><w:pStyle w:val="Normal"/></w:pPr>
<w:r><w:t xml:space="preserve">are then merely apparent; they represent the changes in the</w:t></w:r>
</w:p>
<w:p>
<w:pPr><w:pStyle w:val="Normal"/></w:pPr>
<w:r><w:t xml:space="preserve">length of the light-journey as the stars perform their wide</w:t></w:r>
</w:p>
<w:p>
<w:pPr><w:pStyle w:val="Normal"/></w:pPr>
<w:r><w:t xml:space="preserve">circuit.  If these suppositions have a basis of reality, the</w:t></w:r>
</w:p>
<w:p>
<w:pPr><w:pStyle w:val="Normal"/></w:pPr>
<w:r><w:t xml:space="preserve">proper motion of Algol should be disturbed by a small, but</w:t></w:r>
</w:p>
<w:p>
<w:pPr><w:pStyle w:val="Normal"/></w:pPr>
<w:r><w:t xml:space="preserve">measurable undulation, corresponding to the projection of its</w:t></w:r>
</w:p>
<w:p>
<w:pPr><w:pStyle w:val="Normal"/></w:pPr>
<w:r><w:t xml:space="preserve">orbit upon the sky; and although certainty on the point cannot be</w:t></w:r>
</w:p>
<w:p>
<w:pPr><w:pStyle w:val="Normal"/></w:pPr>
<w:r><w:t xml:space="preserve">attained for some years to come, Lewis Boss regarded the evidence</w:t></w:r>
</w:p>
<w:p>
<w:pPr><w:pStyle w:val="Normal"/></w:pPr>
<w:r><w:t xml:space="preserve">available in 1895 as tending to confirm Dr Chandler&apos;s theory.6</w:t></w:r>
</w:p>
<w:p>
<w:pPr><w:pStyle w:val="Normal"/></w:pPr>
<w:r><w:t xml:space="preserve">A rival interpretation of the phenomena it dealt with</w:t></w:r>
</w:p>
<w:p>
<w:pPr><w:pStyle w:val="Normal"/></w:pPr>
<w:r><w:t xml:space="preserve">was put forward by F. Tisserand in 1895.7 It involved</w:t></w:r>
</w:p>
<w:p>
<w:pPr><w:pStyle w:val="Normal"/></w:pPr>
<w:r><w:t xml:space="preserve">the action of no third mass, but depended solely upon the</w:t></w:r>
</w:p>
<w:p>
<w:pPr><w:pStyle w:val="Normal"/></w:pPr>
<w:r><w:t xml:space="preserve">progression of the line of apsides in a moderately elliptical</w:t></w:r>
</w:p>
<w:p>
<w:pPr><w:pStyle w:val="Normal"/></w:pPr>
<w:r><w:t xml:space="preserve">orbit due to the spheroidal shape of the globes traversing</w:t></w:r>
</w:p>
<w:p>
<w:pPr><w:pStyle w:val="Normal"/></w:pPr>
<w:r><w:t xml:space="preserve">it.  Inequalities of the required sort in the returns of</w:t></w:r>
</w:p>
<w:p>
<w:pPr><w:pStyle w:val="Normal"/></w:pPr>
<w:r><w:t xml:space="preserve">the eclipses would ensue; moreover, their duration should</w:t></w:r>
</w:p>
<w:p>
<w:pPr><w:pStyle w:val="Normal"/></w:pPr>
<w:r><w:t xml:space="preserve">concomitantly vary with the varying distance from periastron at</w:t></w:r>
</w:p>
<w:p>
<w:pPr><w:pStyle w:val="Normal"/></w:pPr>
<w:r><w:t xml:space="preserve">the times of their occurrence.  It is a moot question whether</w:t></w:r>
</w:p>
<w:p>
<w:pPr><w:pStyle w:val="Normal"/></w:pPr>
<w:r><w:t xml:space="preserve">changes of the latter kind actually occur.  When they are</w:t></w:r>
</w:p>
<w:p>
<w:pPr><w:pStyle w:val="Normal"/></w:pPr>
<w:r><w:t xml:space="preserve">proved to do so, Tisserand&apos;s hypothesis will hold the field.</w:t></w:r>
</w:p>
<w:p>
<w:pPr><w:pStyle w:val="Normal"/></w:pPr>
<w:r><w:t xml:space="preserve">Algol gives a helium-spectrum which undergoes no alteration at</w:t></w:r>
</w:p>
<w:p>
<w:pPr><w:pStyle w:val="Normal"/></w:pPr>
<w:r><w:t xml:space="preserve">minimum.  Hence the light from the marginal and central portions</w:t></w:r>
</w:p>
<w:p>
<w:pPr><w:pStyle w:val="Normal"/></w:pPr>
<w:r><w:t xml:space="preserve">of the disc is identical in quality, and the limb can be</w:t></w:r>
</w:p>
<w:p>
<w:pPr><w:pStyle w:val="Normal"/></w:pPr>
<w:r><w:t xml:space="preserve">little, if at all, darkened by the ``smoke-veil&apos;&apos; absorption</w:t></w:r>
</w:p>
<w:p>
<w:pPr><w:pStyle w:val="Normal"/></w:pPr>
<w:r><w:t xml:space="preserve">conspicuous in the sun.  The rays of this star spend close</w:t></w:r>
</w:p>
<w:p>
<w:pPr><w:pStyle w:val="Normal"/></w:pPr>
<w:r><w:t xml:space="preserve">upon a century in travelling hither.  Dr Chase&apos;s measures with</w:t></w:r>
</w:p>
<w:p>
<w:pPr><w:pStyle w:val="Normal"/></w:pPr>
<w:r><w:t xml:space="preserve">the Yale heliometer indicated for it, in 1894, a parallax of</w:t></w:r>
</w:p>
<w:p>
<w:pPr><w:pStyle w:val="Normal"/></w:pPr>
<w:r><w:t xml:space="preserve">about 0&apos;&apos; .035;8 and it must, accordingly, be of nearly four</w:t></w:r>
</w:p>
<w:p>
<w:pPr><w:pStyle w:val="Normal"/></w:pPr>
<w:r><w:t xml:space="preserve">times the total brightness of Sirius, while its aerial lustre</w:t></w:r>
</w:p>
<w:p>
<w:pPr><w:pStyle w:val="Normal"/></w:pPr>
<w:r><w:t xml:space="preserve">exceeds seventy- fold that of the solar photosphere.  Variables</w:t></w:r>
</w:p>
<w:p>
<w:pPr><w:pStyle w:val="Normal"/></w:pPr>
<w:r><w:t xml:space="preserve">of the Algol class are rendered difficult to discover by the</w:t></w:r>
</w:p>
<w:p>
<w:pPr><w:pStyle w:val="Normal"/></w:pPr>
<w:r><w:t xml:space="preserve">incidental character of their fluctuations.  At the end of</w:t></w:r>
</w:p>
<w:p>
<w:pPr><w:pStyle w:val="Normal"/></w:pPr>
<w:r><w:t xml:space="preserve">1905, however, about 37 had been certainly recognized, besides</w:t></w:r>
</w:p>
<w:p>
<w:pPr><w:pStyle w:val="Normal"/></w:pPr>
<w:r><w:t xml:space="preserve">some outlying cases of indeterminate type, in which continuous</w:t></w:r>
</w:p>
<w:p>
<w:pPr><w:pStyle w:val="Normal"/></w:pPr>
<w:r><w:t xml:space="preserve">occultations by two bright stars, revolving in virtual</w:t></w:r>
</w:p>
<w:p>
<w:pPr><w:pStyle w:val="Normal"/></w:pPr>
<w:r><w:t xml:space="preserve">contact, are doubtfully supposed to be in progress. (A. M. C.)</w:t></w:r>
</w:p>
<w:p>
<w:pPr><w:pStyle w:val="Normal"/></w:pPr>
<w:r><w:t xml:space="preserve">1 Proceedings Amer.  Acad. vol. xvi. p. 27.</w:t></w:r>
</w:p>
<w:p>
<w:pPr><w:pStyle w:val="Normal"/></w:pPr>
<w:r><w:t xml:space="preserve">2 Astr. Nach. No. 2947.        3 Astr. Journal, No. 165.</w:t></w:r>
</w:p>
<w:p>
<w:pPr><w:pStyle w:val="Normal"/></w:pPr>
<w:r><w:t xml:space="preserve">4 Ibid. No. 509.  5 Ibid. Nos. 255-256.  6 Ibid. No. 343.</w:t></w:r>
</w:p>
<w:p>
<w:pPr><w:pStyle w:val="Normal"/></w:pPr>
<w:r><w:t xml:space="preserve">7 Comptes Rendus, t. cxx. p 125.  8 Astr. Jour. No. 318.</w:t></w:r>
</w:p>
<w:p>
<w:pPr><w:pStyle w:val="Normal"/></w:pPr>
<w:r><w:t xml:space="preserve">ALGONQUIN, or ALGONKIN (a word formerly regarded as a</w:t></w:r>
</w:p>
<w:p>
<w:pPr><w:pStyle w:val="Normal"/></w:pPr>
<w:r><w:t xml:space="preserve">French contraction of Algomequin, ``those on the other</w:t></w:r>
</w:p>
<w:p>
<w:pPr><w:pStyle w:val="Normal"/></w:pPr>
<w:r><w:t xml:space="preserve">side&apos;&apos; of the river, viz. the St Lawrence, hut now believed to</w:t></w:r>
</w:p>
<w:p>
<w:pPr><w:pStyle w:val="Normal"/></w:pPr>
<w:r><w:t xml:space="preserve">be from the Micmac algoomaking--``at the place of spearing</w:t></w:r>
</w:p>
<w:p>
<w:pPr><w:pStyle w:val="Normal"/></w:pPr>
<w:r><w:t xml:space="preserve">fish&apos;&apos;), a collective term for a number of tribes of North</w:t></w:r>
</w:p>
<w:p>
<w:pPr><w:pStyle w:val="Normal"/></w:pPr>
<w:r><w:t xml:space="preserve">American Indians dwelling in the valley of the Ottawa river</w:t></w:r>
</w:p>
<w:p>
<w:pPr><w:pStyle w:val="Normal"/></w:pPr>
<w:r><w:t xml:space="preserve">and around the northern tributaries of the St Lawrence.</w:t></w:r>
</w:p>
<w:p>
<w:pPr><w:pStyle w:val="Normal"/></w:pPr>
<w:r><w:t xml:space="preserve">The Algonquins allied themselves with the French against the</w:t></w:r>
</w:p>
<w:p>
<w:pPr><w:pStyle w:val="Normal"/></w:pPr>
<w:r><w:t xml:space="preserve">Iroquois.  Many were driven west by the latter and later became</w:t></w:r>
</w:p>
<w:p>
<w:pPr><w:pStyle w:val="Normal"/></w:pPr>
<w:r><w:t xml:space="preserve">known as Ottawa.  The French missionaries at work among the</w:t></w:r>
</w:p>
<w:p>
<w:pPr><w:pStyle w:val="Normal"/></w:pPr>
<w:r><w:t xml:space="preserve">Algonquins early in the 17th century found their language</w:t></w:r>
</w:p>
<w:p>
<w:pPr><w:pStyle w:val="Normal"/></w:pPr>
<w:r><w:t xml:space="preserve">to be the key to the many Indian dialects now included by</w:t></w:r>
</w:p>
<w:p>
<w:pPr><w:pStyle w:val="Normal"/></w:pPr>
<w:r><w:t xml:space="preserve">philologists under the general term ``Algonquian stock.&apos;&apos;</w:t></w:r>
</w:p>
<w:p>
<w:pPr><w:pStyle w:val="Normal"/></w:pPr>
<w:r><w:t xml:space="preserve">The chief tribes included in this stock were the Algonquin,</w:t></w:r>
</w:p>
<w:p>
<w:pPr><w:pStyle w:val="Normal"/></w:pPr>
<w:r><w:t xml:space="preserve">Malecite, Micmac, Nascapi, Pennacook, Fox, Kickapoo, Delaware,</w:t></w:r>
</w:p>
<w:p>
<w:pPr><w:pStyle w:val="Normal"/></w:pPr>
<w:r><w:t xml:space="preserve">Cheyenne, Conoy, Cree, Mohican, Massachuset, Menominee, Miami,</w:t></w:r>
</w:p>
<w:p>
<w:pPr><w:pStyle w:val="Normal"/></w:pPr>
<w:r><w:t xml:space="preserve">Misisaga, Mohegan, Nanticoke, Narraganset, Nipmuc, Ojibway,</w:t></w:r>
</w:p>
<w:p>
<w:pPr><w:pStyle w:val="Normal"/></w:pPr>
<w:r><w:t xml:space="preserve">Ottawa, Pequot, Potawatami, Sac, Shawnee and Wampanoag.  The</w:t></w:r>
</w:p>
<w:p>
<w:pPr><w:pStyle w:val="Normal"/></w:pPr>
<w:r><w:t xml:space="preserve">Indians of Algonquian stock number between 80,000 and 90,000,</w:t></w:r>
</w:p>
<w:p>
<w:pPr><w:pStyle w:val="Normal"/></w:pPr>
<w:r><w:t xml:space="preserve">of whom rather more than half are in the United States, the</w:t></w:r>
</w:p>
<w:p>
<w:pPr><w:pStyle w:val="Normal"/></w:pPr>
<w:r><w:t xml:space="preserve">rest being in Canada.  Of the Algonquins proper there remain</w:t></w:r>
</w:p>
<w:p>
<w:pPr><w:pStyle w:val="Normal"/></w:pPr>
<w:r><w:t xml:space="preserve">about 1500 settled in the provinces of Quebec and Ontario.</w:t></w:r>
</w:p>
<w:p>
<w:pPr><w:pStyle w:val="Normal"/></w:pPr>
<w:r><w:t xml:space="preserve">For details see Handbook of American</w:t></w:r>
</w:p>
<w:p>
<w:pPr><w:pStyle w:val="Normal"/></w:pPr>
<w:r><w:t xml:space="preserve">Indians, ed.  F. W. Hodge, Washington, 1907.</w:t></w:r>
</w:p>
<w:p>
<w:pPr><w:pStyle w:val="Normal"/></w:pPr>
<w:r><w:t xml:space="preserve">ALGUAZIL, a Spanish title often to be met in stories and</w:t></w:r>
</w:p>
<w:p>
<w:pPr><w:pStyle w:val="Normal"/></w:pPr>
<w:r><w:t xml:space="preserve">plays, derived from the Arabic ``visir&apos;&apos; and the article, ``</w:t></w:r>
</w:p>
<w:p>
<w:pPr><w:pStyle w:val="Normal"/></w:pPr>
<w:r><w:t xml:space="preserve">al.&apos;&apos; The alguazil among the early Spaniards was a judge, and</w:t></w:r>
</w:p>
<w:p>
<w:pPr><w:pStyle w:val="Normal"/></w:pPr>
<w:r><w:t xml:space="preserve">sometimes the governor of a town or fortress.  In later times he</w:t></w:r>
</w:p>
<w:p>
<w:pPr><w:pStyle w:val="Normal"/></w:pPr>
<w:r><w:t xml:space="preserve">has gradually sunk down to the rank of an officer of the court,</w:t></w:r>
</w:p>
<w:p>
<w:pPr><w:pStyle w:val="Normal"/></w:pPr>
<w:r><w:t xml:space="preserve">who is trusted with the service of writs and certain police</w:t></w:r>
</w:p>
<w:p>
<w:pPr><w:pStyle w:val="Normal"/></w:pPr>
<w:r><w:t xml:space="preserve">duties, but he is still of higher rank than the mere corchete or</w:t></w:r>
</w:p>
<w:p>
<w:pPr><w:pStyle w:val="Normal"/></w:pPr>
<w:r><w:t xml:space="preserve">catch-poll.  The title has also been given to inspectors of</w:t></w:r>
</w:p>
<w:p>
<w:pPr><w:pStyle w:val="Normal"/></w:pPr>
<w:r><w:t xml:space="preserve">weights and measures in market-places, and similar officials.</w:t></w:r>
</w:p>
<w:p>
<w:pPr><w:pStyle w:val="Normal"/></w:pPr>
<w:r><w:t xml:space="preserve">ALGUM, or ALMUG TREE. The Hebrew words Algummim or</w:t></w:r>
</w:p>
<w:p>
<w:pPr><w:pStyle w:val="Normal"/></w:pPr>
<w:r><w:t xml:space="preserve">Almuggim are translated Algum or Almug trees in the authorized</w:t></w:r>
</w:p>
<w:p>
<w:pPr><w:pStyle w:val="Normal"/></w:pPr>
<w:r><w:t xml:space="preserve">version of the Bible (see 1 Kings x. 11, 12; 2 Chron. ii. 8,</w:t></w:r>
</w:p>
<w:p>
<w:pPr><w:pStyle w:val="Normal"/></w:pPr>
<w:r><w:t xml:space="preserve">and ix. 10, 11); almug is an erroneous form (see Max Muller,</w:t></w:r>
</w:p>
<w:p>
<w:pPr><w:pStyle w:val="Normal"/></w:pPr>
<w:r><w:t xml:space="preserve">Science of Language, vol. i.).  The wood of the tree was</w:t></w:r>
</w:p>
<w:p>
<w:pPr><w:pStyle w:val="Normal"/></w:pPr>
<w:r><w:t xml:space="preserve">very precious, and was brought from Ophir (probably some part of</w:t></w:r>
</w:p>
<w:p>
<w:pPr><w:pStyle w:val="Normal"/></w:pPr>
<w:r><w:t xml:space="preserve">India), along with gold and precious stones, by Hiram, and was</w:t></w:r>
</w:p>
<w:p>
<w:pPr><w:pStyle w:val="Normal"/></w:pPr>
<w:r><w:t xml:space="preserve">used in the formation of pillars for the temple at Jerusalem,</w:t></w:r>
</w:p>
<w:p>
<w:pPr><w:pStyle w:val="Normal"/></w:pPr>
<w:r><w:t xml:space="preserve">and for the king&apos;s house; also for the inlaying of stairs,</w:t></w:r>
</w:p>
<w:p>
<w:pPr><w:pStyle w:val="Normal"/></w:pPr>
<w:r><w:t xml:space="preserve">as well as for harps and psalteries.  It is probably the red</w:t></w:r>
</w:p>
<w:p>
<w:pPr><w:pStyle w:val="Normal"/></w:pPr>
<w:r><w:t xml:space="preserve">sanders or red sandal-wood of India ( Pterocarpus santalinus.)</w:t></w:r>
</w:p>
<w:p>
<w:pPr><w:pStyle w:val="Normal"/></w:pPr>
<w:r><w:t xml:space="preserve">This tree belongs to the natural order Leguminosae, sub-order</w:t></w:r>
</w:p>
<w:p>
<w:pPr><w:pStyle w:val="Normal"/></w:pPr>
<w:r><w:t xml:space="preserve">Papilionaceae.  The wood is hard, heavy, close-grained and of</w:t></w:r>
</w:p>
<w:p>
<w:pPr><w:pStyle w:val="Normal"/></w:pPr>
<w:r><w:t xml:space="preserve">a fine red colour.  It is different from the white fragrant</w:t></w:r>
</w:p>
<w:p>
<w:pPr><w:pStyle w:val="Normal"/></w:pPr>
<w:r><w:t xml:space="preserve">sandal-wood, which is the produce of Santalum album, a</w:t></w:r>
</w:p>
<w:p>
<w:pPr><w:pStyle w:val="Normal"/></w:pPr>
<w:r><w:t xml:space="preserve">tree belonging to a distinct natural order Santalaceae.</w:t></w:r>
</w:p>
<w:p>
<w:pPr><w:pStyle w:val="Normal"/></w:pPr>
<w:r><w:t xml:space="preserve">ALHAMA DE GRANADA, a town of southern Spain, in the province</w:t></w:r>
</w:p>
<w:p>
<w:pPr><w:pStyle w:val="Normal"/></w:pPr>
<w:r><w:t xml:space="preserve">of Granada, 24 m.  S.W. of Granada.  Pop. (1900) 7679.  Alhama</w:t></w:r>
</w:p>
<w:p>
<w:pPr><w:pStyle w:val="Normal"/></w:pPr>
<w:r><w:t xml:space="preserve">is finely situated on a ledge of rock which overlooks a deep</w:t></w:r>
</w:p>
<w:p>
<w:pPr><w:pStyle w:val="Normal"/></w:pPr>
<w:r><w:t xml:space="preserve">gorge traversed by the river Marchan or Alhama; while the rugged</w:t></w:r>
</w:p>
<w:p>
<w:pPr><w:pStyle w:val="Normal"/></w:pPr>
<w:r><w:t xml:space="preserve">peaks of the Sierra de Alhamarise behind it to a height of 6800</w:t></w:r>
</w:p>
<w:p>
<w:pPr><w:pStyle w:val="Normal"/></w:pPr>
<w:r><w:t xml:space="preserve">ft.  The town is largely modern; for over one thousand of</w:t></w:r>
</w:p>
<w:p>
<w:pPr><w:pStyle w:val="Normal"/></w:pPr>
<w:r><w:t xml:space="preserve">its picturesque old Moorish houses, which formerly rose in</w:t></w:r>
</w:p>
<w:p>
<w:pPr><w:pStyle w:val="Normal"/></w:pPr>
<w:r><w:t xml:space="preserve">terraces up the mountain side, were destroyed, together with</w:t></w:r>
</w:p>
<w:p>
<w:pPr><w:pStyle w:val="Normal"/></w:pPr>
<w:r><w:t xml:space="preserve">five churches, the hospital, the theatre, the prison, and</w:t></w:r>
</w:p>
<w:p>
<w:pPr><w:pStyle w:val="Normal"/></w:pPr>
<w:r><w:t xml:space="preserve">800 of the inhabitants, in an earthquake which took place in</w:t></w:r>
</w:p>
<w:p>
<w:pPr><w:pStyle w:val="Normal"/></w:pPr>
<w:r><w:t xml:space="preserve">1884.  Subscriptions were received from all parts of Spain,</w:t></w:r>
</w:p>
<w:p>
<w:pPr><w:pStyle w:val="Normal"/></w:pPr>
<w:r><w:t xml:space="preserve">and the present town was built at a little distance from its</w:t></w:r>
</w:p>
<w:p>
<w:pPr><w:pStyle w:val="Normal"/></w:pPr>
<w:r><w:t xml:space="preserve">predecessor.  Few vestiges of antiquity survived, except the</w:t></w:r>
</w:p>
<w:p>
<w:pPr><w:pStyle w:val="Normal"/></w:pPr>
<w:r><w:t xml:space="preserve">baths from which Alhama (in Arabic ``the Bath&apos;&apos;) derives its</w:t></w:r>
</w:p>
<w:p>
<w:pPr><w:pStyle w:val="Normal"/></w:pPr>
<w:r><w:t xml:space="preserve">name.  These are situated near the river, and appear to have</w:t></w:r>
</w:p>
<w:p>
<w:pPr><w:pStyle w:val="Normal"/></w:pPr>
<w:r><w:t xml:space="preserve">been used continuously since Roman times (c. 19 B.C.-</w:t></w:r>
</w:p>
<w:p>
<w:pPr><w:pStyle w:val="Normal"/></w:pPr>
<w:r><w:t xml:space="preserve">A.D. 409) . The temperature of the hot sulphurous springs is</w:t></w:r>
</w:p>
<w:p>
<w:pPr><w:pStyle w:val="Normal"/></w:pPr>
<w:r><w:t xml:space="preserve">about 112 deg.  F.; and, as the waters are considered beneficial</w:t></w:r>
</w:p>
<w:p>
<w:pPr><w:pStyle w:val="Normal"/></w:pPr>
<w:r><w:t xml:space="preserve">in cases of rheumatism and dyspepsia, many visitors come</w:t></w:r>
</w:p>
<w:p>
<w:pPr><w:pStyle w:val="Normal"/></w:pPr>
<w:r><w:t xml:space="preserve">to Alhama in spring and autumn, attracted also by the fine</w:t></w:r>
</w:p>
<w:p>
<w:pPr><w:pStyle w:val="Normal"/></w:pPr>
<w:r><w:t xml:space="preserve">scenery of the district.  In the 15th century Alhama, and</w:t></w:r>
</w:p>
<w:p>
<w:pPr><w:pStyle w:val="Normal"/></w:pPr>
<w:r><w:t xml:space="preserve">the neighbouring fortress of Loja (q.v.), were generally</w:t></w:r>
</w:p>
<w:p>
<w:pPr><w:pStyle w:val="Normal"/></w:pPr>
<w:r><w:t xml:space="preserve">regarded as the keys of the kingdom of Granada, and their</w:t></w:r>
</w:p>
<w:p>
<w:pPr><w:pStyle w:val="Normal"/></w:pPr>
<w:r><w:t xml:space="preserve">capture went far to insure the overthrow of the Moorish</w:t></w:r>
</w:p>
<w:p>
<w:pPr><w:pStyle w:val="Normal"/></w:pPr>
<w:r><w:t xml:space="preserve">power.  Alhama was taken by the Spanish marquis of Cadiz</w:t></w:r>
</w:p>
<w:p>
<w:pPr><w:pStyle w:val="Normal"/></w:pPr>
<w:r><w:t xml:space="preserve">in 1482; and its fall is celebrated in an ancient ballad,</w:t></w:r>
</w:p>
<w:p>
<w:pPr><w:pStyle w:val="Normal"/></w:pPr>
<w:r><w:t xml:space="preserve">Ay de mi, Alhama, which Byron translated into English.</w:t></w:r>
</w:p>
<w:p>
<w:pPr><w:pStyle w:val="Normal"/></w:pPr>
<w:r><w:t xml:space="preserve">ALHAMBRA, THE, an ancient palace and fortress of the Moorish</w:t></w:r>
</w:p>
<w:p>
<w:pPr><w:pStyle w:val="Normal"/></w:pPr>
<w:r><w:t xml:space="preserve">monarchs of Granada, in southern Spain, occupying a hilly</w:t></w:r>
</w:p>
<w:p>
<w:pPr><w:pStyle w:val="Normal"/></w:pPr>
<w:r><w:t xml:space="preserve">terrace on the south-eastern border of the city of Granada.</w:t></w:r>
</w:p>
<w:p>
<w:pPr><w:pStyle w:val="Normal"/></w:pPr>
<w:r><w:t xml:space="preserve">This terrace or plateau, which measures about 2430 ft. in</w:t></w:r>
</w:p>
<w:p>
<w:pPr><w:pStyle w:val="Normal"/></w:pPr>
<w:r><w:t xml:space="preserve">length by 674 ft. at its greatest width, extends from W.N.W. to</w:t></w:r>
</w:p>
<w:p>
<w:pPr><w:pStyle w:val="Normal"/></w:pPr>
<w:r><w:t xml:space="preserve">E.S.E., and covers an area of about 35 acres.  It is enclosed</w:t></w:r>
</w:p>
<w:p>
<w:pPr><w:pStyle w:val="Normal"/></w:pPr>
<w:r><w:t xml:space="preserve">by a strongly fortified wall, which is flanked by thirteen</w:t></w:r>
</w:p>
<w:p>
<w:pPr><w:pStyle w:val="Normal"/></w:pPr>
<w:r><w:t xml:space="preserve">towers.  The river Darro, which foams through a deep ravine on</w:t></w:r>
</w:p>
<w:p>
<w:pPr><w:pStyle w:val="Normal"/></w:pPr>
<w:r><w:t xml:space="preserve">the north, divides the plateau from the Albaicin district of</w:t></w:r>
</w:p>
<w:p>
<w:pPr><w:pStyle w:val="Normal"/></w:pPr>
<w:r><w:t xml:space="preserve">Granada; the Assabica valley, containing the Alhambra Park, on</w:t></w:r>
</w:p>
<w:p>
<w:pPr><w:pStyle w:val="Normal"/></w:pPr>
<w:r><w:t xml:space="preserve">the west and south, and beyond this valley the almost parallel</w:t></w:r>
</w:p>
<w:p>
<w:pPr><w:pStyle w:val="Normal"/></w:pPr>
<w:r><w:t xml:space="preserve">ridge of Monte Mauror, separate it from the Antequeruela district.</w:t></w:r>
</w:p>
<w:p>
<w:pPr><w:pStyle w:val="Normal"/></w:pPr>
<w:r><w:t xml:space="preserve">The name Alhambra, signifying in Arabic ``the red,&apos;&apos; is</w:t></w:r>
</w:p>
<w:p>
<w:pPr><w:pStyle w:val="Normal"/></w:pPr>
<w:r><w:t xml:space="preserve">probably derived from the colour of the sun-dried tapia,</w:t></w:r>
</w:p>
<w:p>
<w:pPr><w:pStyle w:val="Normal"/></w:pPr>
<w:r><w:t xml:space="preserve">or bricks made of fine gravel and clay, of which the outer</w:t></w:r>
</w:p>
<w:p>
<w:pPr><w:pStyle w:val="Normal"/></w:pPr>
<w:r><w:t xml:space="preserve">walls are built.  Some authorities, however, hold that it</w:t></w:r>
</w:p>
<w:p>
<w:pPr><w:pStyle w:val="Normal"/></w:pPr>
<w:r><w:t xml:space="preserve">commemorates the red flare of the torches by whose light the</w:t></w:r>
</w:p>
<w:p>
<w:pPr><w:pStyle w:val="Normal"/></w:pPr>
<w:r><w:t xml:space="preserve">work of construction was carried on nightly for many years;</w:t></w:r>
</w:p>
<w:p>
<w:pPr><w:pStyle w:val="Normal"/></w:pPr>
<w:r><w:t xml:space="preserve">others associate it with the name of the founder, Mahomet</w:t></w:r>
</w:p>
<w:p>
<w:pPr><w:pStyle w:val="Normal"/></w:pPr>
<w:r><w:t xml:space="preserve">Ibn Al Ahmar; and others derive it from the Arabic Dar al</w:t></w:r>
</w:p>
<w:p>
<w:pPr><w:pStyle w:val="Normal"/></w:pPr>
<w:r><w:t xml:space="preserve">Amra, ``House of the Master.&apos;&apos; (For an account of the period</w:t></w:r>
</w:p>
<w:p>
<w:pPr><w:pStyle w:val="Normal"/></w:pPr>
<w:r><w:t xml:space="preserve">to which the Alhambra belongs, see GRANADA (city) .) The</w:t></w:r>
</w:p>
<w:p>
<w:pPr><w:pStyle w:val="Normal"/></w:pPr>
<w:r><w:t xml:space="preserve">palace was built chiefly between 1248 and 1354, in the reigns</w:t></w:r>
</w:p>
<w:p>
<w:pPr><w:pStyle w:val="Normal"/></w:pPr>
<w:r><w:t xml:space="preserve">of Al Ahmar and his successors; but even the names of the</w:t></w:r>
</w:p>
<w:p>
<w:pPr><w:pStyle w:val="Normal"/></w:pPr>
<w:r><w:t xml:space="preserve">principal artists employed are either unknown or doubtful.</w:t></w:r>
</w:p>
<w:p>
<w:pPr><w:pStyle w:val="Normal"/></w:pPr>
<w:r><w:t xml:space="preserve">The splendid decorations of the interior are ascribed to</w:t></w:r>
</w:p>
<w:p>
<w:pPr><w:pStyle w:val="Normal"/></w:pPr>
<w:r><w:t xml:space="preserve">Yusef I., who died in 1354.  Immediately after the expulsion</w:t></w:r>
</w:p>
<w:p>
<w:pPr><w:pStyle w:val="Normal"/></w:pPr>
<w:r><w:t xml:space="preserve">of the Moors in 1492, their conquerors began, by successive</w:t></w:r>
</w:p>
<w:p>
<w:pPr><w:pStyle w:val="Normal"/></w:pPr>
<w:r><w:t xml:space="preserve">acts of vandalism, to spoil the marvellous beauty of the</w:t></w:r>
</w:p>
<w:p>
<w:pPr><w:pStyle w:val="Normal"/></w:pPr>
<w:r><w:t xml:space="preserve">Alhambra.  The open work was filled up with whitewash, the</w:t></w:r>
</w:p>
<w:p>
<w:pPr><w:pStyle w:val="Normal"/></w:pPr>
<w:r><w:t xml:space="preserve">painting and gilding effaced, the furniture soiled, torn or</w:t></w:r>
</w:p>
<w:p>
<w:pPr><w:pStyle w:val="Normal"/></w:pPr>
<w:r><w:t xml:space="preserve">removed.  Charles V. (1516-1556) rebuilt portions in the modern</w:t></w:r>
</w:p>
<w:p>
<w:pPr><w:pStyle w:val="Normal"/></w:pPr>
<w:r><w:t xml:space="preserve">style of the period, and destroyed the greater part of the</w:t></w:r>
</w:p>
<w:p>
<w:pPr><w:pStyle w:val="Normal"/></w:pPr>
<w:r><w:t xml:space="preserve">winter palace to make room for a modern structure which has</w:t></w:r>
</w:p>
<w:p>
<w:pPr><w:pStyle w:val="Normal"/></w:pPr>
<w:r><w:t xml:space="preserve">never been completed.  Philip V. (1700-1746) Italianised the</w:t></w:r>
</w:p>
<w:p>
<w:pPr><w:pStyle w:val="Normal"/></w:pPr>
<w:r><w:t xml:space="preserve">rooms, and completed the degradation by running up partitions</w:t></w:r>
</w:p>
<w:p>
<w:pPr><w:pStyle w:val="Normal"/></w:pPr>
<w:r><w:t xml:space="preserve">which blocked up whole apartments, gems of taste and patient</w:t></w:r>
</w:p>
<w:p>
<w:pPr><w:pStyle w:val="Normal"/></w:pPr>
<w:r><w:t xml:space="preserve">ingenuity.  In subsequent Centuries the carelessness of the</w:t></w:r>
</w:p>
<w:p>
<w:pPr><w:pStyle w:val="Normal"/></w:pPr>
<w:r><w:t xml:space="preserve">Spanish authorities permitted this masterpiece of Moorish</w:t></w:r>
</w:p>
<w:p>
<w:pPr><w:pStyle w:val="Normal"/></w:pPr>
<w:r><w:t xml:space="preserve">art to be still further defaced; and in 1812 some of the</w:t></w:r>
</w:p>
<w:p>
<w:pPr><w:pStyle w:val="Normal"/></w:pPr>
<w:r><w:t xml:space="preserve">towers were blown up by the French under Count Sebastiani,</w:t></w:r>
</w:p>
<w:p>
<w:pPr><w:pStyle w:val="Normal"/></w:pPr>
<w:r><w:t xml:space="preserve">while the whole buildings narrowly escaped the same fate.  In</w:t></w:r>
</w:p>
<w:p>
<w:pPr><w:pStyle w:val="Normal"/></w:pPr>
<w:r><w:t xml:space="preserve">Plan of the Alhambra</w:t></w:r>
</w:p>
<w:p>
<w:pPr><w:pStyle w:val="Normal"/></w:pPr>
<w:r><w:t xml:space="preserve">Scale of Yards</w:t></w:r>
</w:p>
<w:p>
<w:pPr><w:pStyle w:val="Normal"/></w:pPr>
<w:r><w:t xml:space="preserve">1. Court of Myrtles</w:t></w:r>
</w:p>
<w:p>
<w:pPr><w:pStyle w:val="Normal"/></w:pPr>
<w:r><w:t xml:space="preserve">2. Hall of Ambassadors</w:t></w:r>
</w:p>
<w:p>
<w:pPr><w:pStyle w:val="Normal"/></w:pPr>
<w:r><w:t xml:space="preserve">3. Court of Lions</w:t></w:r>
</w:p>
<w:p>
<w:pPr><w:pStyle w:val="Normal"/></w:pPr>
<w:r><w:t xml:space="preserve">4. Hall of the Abencerrages</w:t></w:r>
</w:p>
<w:p>
<w:pPr><w:pStyle w:val="Normal"/></w:pPr>
<w:r><w:t xml:space="preserve">5. Room of the Two Sisters</w:t></w:r>
</w:p>
<w:p>
<w:pPr><w:pStyle w:val="Normal"/></w:pPr>
<w:r><w:t xml:space="preserve">6. Modern Entrance</w:t></w:r>
</w:p>
<w:p>
<w:pPr><w:pStyle w:val="Normal"/></w:pPr>
<w:r><w:t xml:space="preserve">7. Court of the Vestibule</w:t></w:r>
</w:p>
<w:p>
<w:pPr><w:pStyle w:val="Normal"/></w:pPr>
<w:r><w:t xml:space="preserve">8. Baths</w:t></w:r>
</w:p>
<w:p>
<w:pPr><w:pStyle w:val="Normal"/></w:pPr>
<w:r><w:t xml:space="preserve">9. Court of the Council Chamber</w:t></w:r>
</w:p>
<w:p>
<w:pPr><w:pStyle w:val="Normal"/></w:pPr>
<w:r><w:t xml:space="preserve">10. Queens Robing Room</w:t></w:r>
</w:p>
<w:p>
<w:pPr><w:pStyle w:val="Normal"/></w:pPr>
<w:r><w:t xml:space="preserve">from Baedeker&apos;s Spain &amp; Portugal, by</w:t></w:r>
</w:p>
<w:p>
<w:pPr><w:pStyle w:val="Normal"/></w:pPr>
<w:r><w:t xml:space="preserve">permission of Karl Baedeker Emery Walker SC.</w:t></w:r>
</w:p>
<w:p>
<w:pPr><w:pStyle w:val="Normal"/></w:pPr>
<w:r><w:t xml:space="preserve">1821 an earthquake caused further damage.  The work of</w:t></w:r>
</w:p>
<w:p>
<w:pPr><w:pStyle w:val="Normal"/></w:pPr>
<w:r><w:t xml:space="preserve">restoration undertaken in 1828 by the architect Jose</w:t></w:r>
</w:p>
<w:p>
<w:pPr><w:pStyle w:val="Normal"/></w:pPr>
<w:r><w:t xml:space="preserve">Contreras was endowed in 1830 by Ferdinand VII.; and after</w:t></w:r>
</w:p>
<w:p>
<w:pPr><w:pStyle w:val="Normal"/></w:pPr>
<w:r><w:t xml:space="preserve">the death of Contreras in 1847, it was continued with fair</w:t></w:r>
</w:p>
<w:p>
<w:pPr><w:pStyle w:val="Normal"/></w:pPr>
<w:r><w:t xml:space="preserve">success by his son Rafael (d. 1890), and his grandson Mariano.</w:t></w:r>
</w:p>
<w:p>
<w:pPr><w:pStyle w:val="Normal"/></w:pPr>
<w:r><w:t xml:space="preserve">The situation of the Alhambra is one of rare natural beauty;</w:t></w:r>
</w:p>
<w:p>
<w:pPr><w:pStyle w:val="Normal"/></w:pPr>
<w:r><w:t xml:space="preserve">the plateau commands a wide view of the city and plain of</w:t></w:r>
</w:p>
<w:p>
<w:pPr><w:pStyle w:val="Normal"/></w:pPr>
<w:r><w:t xml:space="preserve">Granada, towards the west and north, and of the heights of</w:t></w:r>
</w:p>
<w:p>
<w:pPr><w:pStyle w:val="Normal"/></w:pPr>
<w:r><w:t xml:space="preserve">the Sierra Nevada, towards the east and south.  Moorish poets</w:t></w:r>
</w:p>
<w:p>
<w:pPr><w:pStyle w:val="Normal"/></w:pPr>
<w:r><w:t xml:space="preserve">describe it as ``a pearl set in emeralds,&apos;&apos; in allusion to</w:t></w:r>
</w:p>
<w:p>
<w:pPr><w:pStyle w:val="Normal"/></w:pPr>
<w:r><w:t xml:space="preserve">the brilliant colour of its buildings, and the luxuriant</w:t></w:r>
</w:p>
<w:p>
<w:pPr><w:pStyle w:val="Normal"/></w:pPr>
<w:r><w:t xml:space="preserve">woods round them.  The park (Alameda de la Alhambra),</w:t></w:r>
</w:p>
<w:p>
<w:pPr><w:pStyle w:val="Normal"/></w:pPr>
<w:r><w:t xml:space="preserve">which in spring is overgrown with wild-flowers and grass,</w:t></w:r>
</w:p>
<w:p>
<w:pPr><w:pStyle w:val="Normal"/></w:pPr>
<w:r><w:t xml:space="preserve">was planted by the Moors with roses, oranges and myrtles;</w:t></w:r>
</w:p>
<w:p>
<w:pPr><w:pStyle w:val="Normal"/></w:pPr>
<w:r><w:t xml:space="preserve">its most characteristic feature, however, is the dense</w:t></w:r>
</w:p>
<w:p>
<w:pPr><w:pStyle w:val="Normal"/></w:pPr>
<w:r><w:t xml:space="preserve">wood of English elms brought hither in 1812 by the duke of</w:t></w:r>
</w:p>
<w:p>
<w:pPr><w:pStyle w:val="Normal"/></w:pPr>
<w:r><w:t xml:space="preserve">Wellington.  The park is celebrated for the multitude of its</w:t></w:r>
</w:p>
<w:p>
<w:pPr><w:pStyle w:val="Normal"/></w:pPr>
<w:r><w:t xml:space="preserve">nightingales, and is usually filled with the sound of running</w:t></w:r>
</w:p>
<w:p>
<w:pPr><w:pStyle w:val="Normal"/></w:pPr>
<w:r><w:t xml:space="preserve">water from several fountains and cascades.  These are supplied</w:t></w:r>
</w:p>
<w:p>
<w:pPr><w:pStyle w:val="Normal"/></w:pPr>
<w:r><w:t xml:space="preserve">through a conduit 5 m. long, which is connected with the</w:t></w:r>
</w:p>
<w:p>
<w:pPr><w:pStyle w:val="Normal"/></w:pPr>
<w:r><w:t xml:space="preserve">Darro at the monastery of Jesus del Valle, above Granada.</w:t></w:r>
</w:p>
<w:p>
<w:pPr><w:pStyle w:val="Normal"/></w:pPr>
<w:r><w:t xml:space="preserve">The Moorish portion of the Alhambra resembles many medieval</w:t></w:r>
</w:p>
<w:p>
<w:pPr><w:pStyle w:val="Normal"/></w:pPr>
<w:r><w:t xml:space="preserve">Christian strongholds in its threefold arrangement as a</w:t></w:r>
</w:p>
<w:p>
<w:pPr><w:pStyle w:val="Normal"/></w:pPr>
<w:r><w:t xml:space="preserve">castle, a palace and a residential annexe for subordinates.</w:t></w:r>
</w:p>
<w:p>
<w:pPr><w:pStyle w:val="Normal"/></w:pPr>
<w:r><w:t xml:space="preserve">The Alcazaba or citadel, its oldest part, is built on the</w:t></w:r>
</w:p>
<w:p>
<w:pPr><w:pStyle w:val="Normal"/></w:pPr>
<w:r><w:t xml:space="preserve">isolated and precipitous foreland which terminates the plateau</w:t></w:r>
</w:p>
<w:p>
<w:pPr><w:pStyle w:val="Normal"/></w:pPr>
<w:r><w:t xml:space="preserve">on the north-west.  Only its massive outer walls, towers</w:t></w:r>
</w:p>
<w:p>
<w:pPr><w:pStyle w:val="Normal"/></w:pPr>
<w:r><w:t xml:space="preserve">and ramparts are left.  On its watch-tower, the Torre de la</w:t></w:r>
</w:p>
<w:p>
<w:pPr><w:pStyle w:val="Normal"/></w:pPr>
<w:r><w:t xml:space="preserve">Vela, 85 ft. high, the flag of Ferdinand and Isabella was</w:t></w:r>
</w:p>
<w:p>
<w:pPr><w:pStyle w:val="Normal"/></w:pPr>
<w:r><w:t xml:space="preserve">first raised, in token of the Spanish conquest of Granada,</w:t></w:r>
</w:p>
<w:p>
<w:pPr><w:pStyle w:val="Normal"/></w:pPr>
<w:r><w:t xml:space="preserve">on the 2nd of January 1492.  A turret containing a huge</w:t></w:r>
</w:p>
<w:p>
<w:pPr><w:pStyle w:val="Normal"/></w:pPr>
<w:r><w:t xml:space="preserve">bell was added in the 18th century, and restored after</w:t></w:r>
</w:p>
<w:p>
<w:pPr><w:pStyle w:val="Normal"/></w:pPr>
<w:r><w:t xml:space="preserve">being injured by lightning in 1881.  Beyond the Alcazaba</w:t></w:r>
</w:p>
<w:p>
<w:pPr><w:pStyle w:val="Normal"/></w:pPr>
<w:r><w:t xml:space="preserve">is the palace of the Moorish kings, or Alhambra properly</w:t></w:r>
</w:p>
<w:p>
<w:pPr><w:pStyle w:val="Normal"/></w:pPr>
<w:r><w:t xml:space="preserve">so-called; and beyond this, again, is the Alhambra Alta (Upper</w:t></w:r>
</w:p>
<w:p>
<w:pPr><w:pStyle w:val="Normal"/></w:pPr>
<w:r><w:t xml:space="preserve">Alhambra), originally tenanted by officials and courtiers.</w:t></w:r>
</w:p>
<w:p>
<w:pPr><w:pStyle w:val="Normal"/></w:pPr>
<w:r><w:t xml:space="preserve">In spite of the long neglect, wilful vandalism and ill-judged</w:t></w:r>
</w:p>
<w:p>
<w:pPr><w:pStyle w:val="Normal"/></w:pPr>
<w:r><w:t xml:space="preserve">restoration which the Alhambra has endured, it remains the</w:t></w:r>
</w:p>
<w:p>
<w:pPr><w:pStyle w:val="Normal"/></w:pPr>
<w:r><w:t xml:space="preserve">most perfect example of Moorish art in its final European</w:t></w:r>
</w:p>
<w:p>
<w:pPr><w:pStyle w:val="Normal"/></w:pPr>
<w:r><w:t xml:space="preserve">development, --freed from the direct Byzantine influences</w:t></w:r>
</w:p>
<w:p>
<w:pPr><w:pStyle w:val="Normal"/></w:pPr>
<w:r><w:t xml:space="preserve">which can be traced in the cathedral of Cordova, more elaborate</w:t></w:r>
</w:p>
<w:p>
<w:pPr><w:pStyle w:val="Normal"/></w:pPr>
<w:r><w:t xml:space="preserve">and fantastic than the Giralda at Seville.  The majority of</w:t></w:r>
</w:p>
<w:p>
<w:pPr><w:pStyle w:val="Normal"/></w:pPr>
<w:r><w:t xml:space="preserve">the palace buildings are, in ground-plan, quadrangular, with</w:t></w:r>
</w:p>
<w:p>
<w:pPr><w:pStyle w:val="Normal"/></w:pPr>
<w:r><w:t xml:space="preserve">all the rooms opening on to a central court; and the whole</w:t></w:r>
</w:p>
<w:p>
<w:pPr><w:pStyle w:val="Normal"/></w:pPr>
<w:r><w:t xml:space="preserve">reached its present size simply by the gradual addition of new</w:t></w:r>
</w:p>
<w:p>
<w:pPr><w:pStyle w:val="Normal"/></w:pPr>
<w:r><w:t xml:space="preserve">quadrangles, designed on the same principle, though varying in</w:t></w:r>
</w:p>
<w:p>
<w:pPr><w:pStyle w:val="Normal"/></w:pPr>
<w:r><w:t xml:space="preserve">dimensions, and connected with each other by smaller rooms and</w:t></w:r>
</w:p>
<w:p>
<w:pPr><w:pStyle w:val="Normal"/></w:pPr>
<w:r><w:t xml:space="preserve">passages.  In every case the exterior is left plain and austere,</w:t></w:r>
</w:p>
<w:p>
<w:pPr><w:pStyle w:val="Normal"/></w:pPr>
<w:r><w:t xml:space="preserve">as if the architect intended thus to heighten by contrast the</w:t></w:r>
</w:p>
<w:p>
<w:pPr><w:pStyle w:val="Normal"/></w:pPr>
<w:r><w:t xml:space="preserve">splendour of the interior.  Within, the palace is unsurpassed</w:t></w:r>
</w:p>
<w:p>
<w:pPr><w:pStyle w:val="Normal"/></w:pPr>
<w:r><w:t xml:space="preserve">for the exquisite detail of its marble pillars and arches,</w:t></w:r>
</w:p>
<w:p>
<w:pPr><w:pStyle w:val="Normal"/></w:pPr>
<w:r><w:t xml:space="preserve">its fretted ceilings and the veil-like transparency of its</w:t></w:r>
</w:p>
<w:p>
<w:pPr><w:pStyle w:val="Normal"/></w:pPr>
<w:r><w:t xml:space="preserve">filigree work in stucco.  Sun and wind are freely admitted,</w:t></w:r>
</w:p>
<w:p>
<w:pPr><w:pStyle w:val="Normal"/></w:pPr>
<w:r><w:t xml:space="preserve">and the whole effect is one of the most airy lightness and</w:t></w:r>
</w:p>
<w:p>
<w:pPr><w:pStyle w:val="Normal"/></w:pPr>
<w:r><w:t xml:space="preserve">grace.  Blue, red, and a golden yellow, all somewhat faded through</w:t></w:r>
</w:p>
<w:p>
<w:pPr><w:pStyle w:val="Normal"/></w:pPr>
<w:r><w:t xml:space="preserve">lapse of time and exposure, are the colours chiefly employed.</w:t></w:r>
</w:p>
<w:p>
<w:pPr><w:pStyle w:val="Normal"/></w:pPr>
<w:r><w:t xml:space="preserve">The decoration consists, as a rule, of stiff, conventional</w:t></w:r>
</w:p>
<w:p>
<w:pPr><w:pStyle w:val="Normal"/></w:pPr>
<w:r><w:t xml:space="preserve">foliage, Arabic inscriptions, and geometrical patterns wrought</w:t></w:r>
</w:p>
<w:p>
<w:pPr><w:pStyle w:val="Normal"/></w:pPr>
<w:r><w:t xml:space="preserve">into arabesques of almost incredible intricacy and ingenuity.</w:t></w:r>
</w:p>
<w:p>
<w:pPr><w:pStyle w:val="Normal"/></w:pPr>
<w:r><w:t xml:space="preserve">Painted tiles are largely used as panelling for the walls.</w:t></w:r>
</w:p>
<w:p>
<w:pPr><w:pStyle w:val="Normal"/></w:pPr>
<w:r><w:t xml:space="preserve">Access from the city to the Alhambra Park is afforded by</w:t></w:r>
</w:p>
<w:p>
<w:pPr><w:pStyle w:val="Normal"/></w:pPr>
<w:r><w:t xml:space="preserve">the Puerta de las Granadas (Gate of Pomegranates), a massive</w:t></w:r>
</w:p>
<w:p>
<w:pPr><w:pStyle w:val="Normal"/></w:pPr>
<w:r><w:t xml:space="preserve">triumphal arch dating from the 15th century.  A steep ascent</w:t></w:r>
</w:p>
<w:p>
<w:pPr><w:pStyle w:val="Normal"/></w:pPr>
<w:r><w:t xml:space="preserve">leads past the Pillar of Charles V., a fountain erected in</w:t></w:r>
</w:p>
<w:p>
<w:pPr><w:pStyle w:val="Normal"/></w:pPr>
<w:r><w:t xml:space="preserve">1554, to the main entrance of the Alhambra.  This is the Puerta</w:t></w:r>
</w:p>
<w:p>
<w:pPr><w:pStyle w:val="Normal"/></w:pPr>
<w:r><w:t xml:space="preserve">Judiciaria (Gate of Judgment), a massive horseshoe archway,</w:t></w:r>
</w:p>
<w:p>
<w:pPr><w:pStyle w:val="Normal"/></w:pPr>
<w:r><w:t xml:space="preserve">surmounted by a square tower, and used by the Moors as an</w:t></w:r>
</w:p>
<w:p>
<w:pPr><w:pStyle w:val="Normal"/></w:pPr>
<w:r><w:t xml:space="preserve">informal court of justice.  A hand, with fingers outstretched</w:t></w:r>
</w:p>
<w:p>
<w:pPr><w:pStyle w:val="Normal"/></w:pPr>
<w:r><w:t xml:space="preserve">as a talisman against the evil eye, is carved above this gate</w:t></w:r>
</w:p>
<w:p>
<w:pPr><w:pStyle w:val="Normal"/></w:pPr>
<w:r><w:t xml:space="preserve">on the exterior; a key, the symbol of authority, occupies the</w:t></w:r>
</w:p>
<w:p>
<w:pPr><w:pStyle w:val="Normal"/></w:pPr>
<w:r><w:t xml:space="preserve">corresponding place on the interior.  A narrow passage leads</w:t></w:r>
</w:p>
<w:p>
<w:pPr><w:pStyle w:val="Normal"/></w:pPr>
<w:r><w:t xml:space="preserve">inward to the Plaza de los Aljibes (Place of the Cisterns), a</w:t></w:r>
</w:p>
<w:p>
<w:pPr><w:pStyle w:val="Normal"/></w:pPr>
<w:r><w:t xml:space="preserve">broad open space which divides the Alcazaba from the Moorish</w:t></w:r>
</w:p>
<w:p>
<w:pPr><w:pStyle w:val="Normal"/></w:pPr>
<w:r><w:t xml:space="preserve">palace.  To the left of the passage rises the Torre del Vino</w:t></w:r>
</w:p>
<w:p>
<w:pPr><w:pStyle w:val="Normal"/></w:pPr>
<w:r><w:t xml:space="preserve">(Wine Tower), built in 1345, and used in the 16th century as a</w:t></w:r>
</w:p>
<w:p>
<w:pPr><w:pStyle w:val="Normal"/></w:pPr>
<w:r><w:t xml:space="preserve">cellar.  On the right is the palace of Charles V., a cold-looking</w:t></w:r>
</w:p>
<w:p>
<w:pPr><w:pStyle w:val="Normal"/></w:pPr>
<w:r><w:t xml:space="preserve">but majestic Renaissance building, out of harmony with its</w:t></w:r>
</w:p>
<w:p>
<w:pPr><w:pStyle w:val="Normal"/></w:pPr>
<w:r><w:t xml:space="preserve">surroundings, which it tends somewhat to dwarf by its superior</w:t></w:r>
</w:p>
<w:p>
<w:pPr><w:pStyle w:val="Normal"/></w:pPr>
<w:r><w:t xml:space="preserve">size.  Its construction, begun in 1526, was abandoned about 1650.</w:t></w:r>
</w:p>
<w:p>
<w:pPr><w:pStyle w:val="Normal"/></w:pPr>
<w:r><w:t xml:space="preserve">The present entrance to the Palacio Arabe, or Casa Real (Moorish</w:t></w:r>
</w:p>
<w:p>
<w:pPr><w:pStyle w:val="Normal"/></w:pPr>
<w:r><w:t xml:space="preserve">palace), is by a small door from which a corridor conducts</w:t></w:r>
</w:p>
<w:p>
<w:pPr><w:pStyle w:val="Normal"/></w:pPr>
<w:r><w:t xml:space="preserve">to the Patio de los Arrayanes (Court of the Myrtles), also</w:t></w:r>
</w:p>
<w:p>
<w:pPr><w:pStyle w:val="Normal"/></w:pPr>
<w:r><w:t xml:space="preserve">called the Patio de la Alberca (Court of the Blessing or Court</w:t></w:r>
</w:p>
<w:p>
<w:pPr><w:pStyle w:val="Normal"/></w:pPr>
<w:r><w:t xml:space="preserve">of the Pond), from the Moorish birka, ``pond,&apos;&apos; or berka,</w:t></w:r>
</w:p>
<w:p>
<w:pPr><w:pStyle w:val="Normal"/></w:pPr>
<w:r><w:t xml:space="preserve">``blessing.&apos;&apos; This court is 140 ft. long by 74 ft. broad;</w:t></w:r>
</w:p>
<w:p>
<w:pPr><w:pStyle w:val="Normal"/></w:pPr>
<w:r><w:t xml:space="preserve">and in the centre there is a large pond set in the marble</w:t></w:r>
</w:p>
<w:p>
<w:pPr><w:pStyle w:val="Normal"/></w:pPr>
<w:r><w:t xml:space="preserve">pavement, full of goldfish, and with myrtles growing along its</w:t></w:r>
</w:p>
<w:p>
<w:pPr><w:pStyle w:val="Normal"/></w:pPr>
<w:r><w:t xml:space="preserve">sides.  There are galleries on the north and south sides; that</w:t></w:r>
</w:p>
<w:p>
<w:pPr><w:pStyle w:val="Normal"/></w:pPr>
<w:r><w:t xml:space="preserve">on the south 27 ft. high, and supported by a marble colonnade.</w:t></w:r>
</w:p>
<w:p>
<w:pPr><w:pStyle w:val="Normal"/></w:pPr>
<w:r><w:t xml:space="preserve">Underneath it, to the right, was the principal entrance, and</w:t></w:r>
</w:p>
<w:p>
<w:pPr><w:pStyle w:val="Normal"/></w:pPr>
<w:r><w:t xml:space="preserve">over it are three elegant windows with arches and miniature</w:t></w:r>
</w:p>
<w:p>
<w:pPr><w:pStyle w:val="Normal"/></w:pPr>
<w:r><w:t xml:space="preserve">pillars.  From this court the walls of the Torre de Comares are</w:t></w:r>
</w:p>
<w:p>
<w:pPr><w:pStyle w:val="Normal"/></w:pPr>
<w:r><w:t xml:space="preserve">seen rising over the roof to the north, and reflected in the pond.</w:t></w:r>
</w:p>
<w:p>
<w:pPr><w:pStyle w:val="Normal"/></w:pPr>
<w:r><w:t xml:space="preserve">The Sala de los Ambajadores (Hall of the Ambassadors) is</w:t></w:r>
</w:p>
<w:p>
<w:pPr><w:pStyle w:val="Normal"/></w:pPr>
<w:r><w:t xml:space="preserve">the largest in the Alhambra, and occupies all the Torre de</w:t></w:r>
</w:p>
<w:p>
<w:pPr><w:pStyle w:val="Normal"/></w:pPr>
<w:r><w:t xml:space="preserve">Comares.  It is a square room, the sides being 37 ft. in</w:t></w:r>
</w:p>
<w:p>
<w:pPr><w:pStyle w:val="Normal"/></w:pPr>
<w:r><w:t xml:space="preserve">length, while the centre of the dome is 75 ft. high.  This</w:t></w:r>
</w:p>
<w:p>
<w:pPr><w:pStyle w:val="Normal"/></w:pPr>
<w:r><w:t xml:space="preserve">was the grand reception room, and the throne of the sultan</w:t></w:r>
</w:p>
<w:p>
<w:pPr><w:pStyle w:val="Normal"/></w:pPr>
<w:r><w:t xml:space="preserve">was placed opposite the entrance.  The tiles are nearly 4 ft.</w:t></w:r>
</w:p>
<w:p>
<w:pPr><w:pStyle w:val="Normal"/></w:pPr>
<w:r><w:t xml:space="preserve">high all round, and the colours vary at intervals.  Over them</w:t></w:r>
</w:p>
<w:p>
<w:pPr><w:pStyle w:val="Normal"/></w:pPr>
<w:r><w:t xml:space="preserve">is a series of oval medallions with inscriptions, interwoven</w:t></w:r>
</w:p>
<w:p>
<w:pPr><w:pStyle w:val="Normal"/></w:pPr>
<w:r><w:t xml:space="preserve">with flowers and leaves.  There are nine windows, three</w:t></w:r>
</w:p>
<w:p>
<w:pPr><w:pStyle w:val="Normal"/></w:pPr>
<w:r><w:t xml:space="preserve">on each facade, and the ceiling is admirably diversified</w:t></w:r>
</w:p>
<w:p>
<w:pPr><w:pStyle w:val="Normal"/></w:pPr>
<w:r><w:t xml:space="preserve">with inlaid-work of white, blue and gold, in the shape of</w:t></w:r>
</w:p>
<w:p>
<w:pPr><w:pStyle w:val="Normal"/></w:pPr>
<w:r><w:t xml:space="preserve">circles, crowns and stars--a kind of imitation of the vault of</w:t></w:r>
</w:p>
<w:p>
<w:pPr><w:pStyle w:val="Normal"/></w:pPr>
<w:r><w:t xml:space="preserve">heaven.  The walls are covered with varied stucco-work of</w:t></w:r>
</w:p>
<w:p>
<w:pPr><w:pStyle w:val="Normal"/></w:pPr>
<w:r><w:t xml:space="preserve">most delicate pattern, surrounding many ancient escutcheons.</w:t></w:r>
</w:p>
<w:p>
<w:pPr><w:pStyle w:val="Normal"/></w:pPr>
<w:r><w:t xml:space="preserve">The celebrated Patio de los Leones (Court of the Lions) is</w:t></w:r>
</w:p>
<w:p>
<w:pPr><w:pStyle w:val="Normal"/></w:pPr>
<w:r><w:t xml:space="preserve">an oblong court, 116 ft. in length by 66 ft. in breadth,</w:t></w:r>
</w:p>
<w:p>
<w:pPr><w:pStyle w:val="Normal"/></w:pPr>
<w:r><w:t xml:space="preserve">surrounded by a low gallery supported on 124 white marble</w:t></w:r>
</w:p>
<w:p>
<w:pPr><w:pStyle w:val="Normal"/></w:pPr>
<w:r><w:t xml:space="preserve">columns.  A pavilion projects into the court at each</w:t></w:r>
</w:p>
<w:p>
<w:pPr><w:pStyle w:val="Normal"/></w:pPr>
<w:r><w:t xml:space="preserve">extremity, with filigree walls and light domed roof,</w:t></w:r>
</w:p>
<w:p>
<w:pPr><w:pStyle w:val="Normal"/></w:pPr>
<w:r><w:t xml:space="preserve">elaborately ornamented.  The square is paved with coloured</w:t></w:r>
</w:p>
<w:p>
<w:pPr><w:pStyle w:val="Normal"/></w:pPr>
<w:r><w:t xml:space="preserve">tiles, and the colonnade with white marble; while the walls</w:t></w:r>
</w:p>
<w:p>
<w:pPr><w:pStyle w:val="Normal"/></w:pPr>
<w:r><w:t xml:space="preserve">are covered 5 ft. up from the ground with blue and yellow</w:t></w:r>
</w:p>
<w:p>
<w:pPr><w:pStyle w:val="Normal"/></w:pPr>
<w:r><w:t xml:space="preserve">tiles, with a border above and below enamelled blue and</w:t></w:r>
</w:p>
<w:p>
<w:pPr><w:pStyle w:val="Normal"/></w:pPr>
<w:r><w:t xml:space="preserve">gold.  The columns supporting the roof and gallery are</w:t></w:r>
</w:p>
<w:p>
<w:pPr><w:pStyle w:val="Normal"/></w:pPr>
<w:r><w:t xml:space="preserve">irregularly placed, with a view to artistic effect; and</w:t></w:r>
</w:p>
<w:p>
<w:pPr><w:pStyle w:val="Normal"/></w:pPr>
<w:r><w:t xml:space="preserve">the general form of the piers, arches and pillars is most</w:t></w:r>
</w:p>
<w:p>
<w:pPr><w:pStyle w:val="Normal"/></w:pPr>
<w:r><w:t xml:space="preserve">graceful.  They are adorned by varieties of foliage, &amp;c.;</w:t></w:r>
</w:p>
<w:p>
<w:pPr><w:pStyle w:val="Normal"/></w:pPr>
<w:r><w:t xml:space="preserve">about each arch there is a large square of arabesques; and</w:t></w:r>
</w:p>
<w:p>
<w:pPr><w:pStyle w:val="Normal"/></w:pPr>
<w:r><w:t xml:space="preserve">over the pillars is another square of exquisite filigree</w:t></w:r>
</w:p>
<w:p>
<w:pPr><w:pStyle w:val="Normal"/></w:pPr>
<w:r><w:t xml:space="preserve">work.  In the centre of the court is the celebrated Fountain</w:t></w:r>
</w:p>
<w:p>
<w:pPr><w:pStyle w:val="Normal"/></w:pPr>
<w:r><w:t xml:space="preserve">of Lions, a magnificent alabaster basin supported by the</w:t></w:r>
</w:p>
<w:p>
<w:pPr><w:pStyle w:val="Normal"/></w:pPr>
<w:r><w:t xml:space="preserve">figures of twelve lions in white marble, not designed with</w:t></w:r>
</w:p>
<w:p>
<w:pPr><w:pStyle w:val="Normal"/></w:pPr>
<w:r><w:t xml:space="preserve">sculptural accuracy, but as emblems of strength and courage.</w:t></w:r>
</w:p>
<w:p>
<w:pPr><w:pStyle w:val="Normal"/></w:pPr>
<w:r><w:t xml:space="preserve">The Sala de los Abencerrajes (Hall of the Abencerrages) derives</w:t></w:r>
</w:p>
<w:p>
<w:pPr><w:pStyle w:val="Normal"/></w:pPr>
<w:r><w:t xml:space="preserve">its name from a legend according to which Boabdil, the last</w:t></w:r>
</w:p>
<w:p>
<w:pPr><w:pStyle w:val="Normal"/></w:pPr>
<w:r><w:t xml:space="preserve">king of Granada, having invited the chiefs of that illustrious</w:t></w:r>
</w:p>
<w:p>
<w:pPr><w:pStyle w:val="Normal"/></w:pPr>
<w:r><w:t xml:space="preserve">line to a banquet, massacred them here.  This room is a perfect</w:t></w:r>
</w:p>
<w:p>
<w:pPr><w:pStyle w:val="Normal"/></w:pPr>
<w:r><w:t xml:space="preserve">square, with a lofty dome and trellised windows at its base.</w:t></w:r>
</w:p>
<w:p>
<w:pPr><w:pStyle w:val="Normal"/></w:pPr>
<w:r><w:t xml:space="preserve">The roof is exquisitely decorated in blue, brown, red and gold,</w:t></w:r>
</w:p>
<w:p>
<w:pPr><w:pStyle w:val="Normal"/></w:pPr>
<w:r><w:t xml:space="preserve">and the columns supporting it spring out into the arch form in</w:t></w:r>
</w:p>
<w:p>
<w:pPr><w:pStyle w:val="Normal"/></w:pPr>
<w:r><w:t xml:space="preserve">a remarkably beautiful manner.  Opposite to this hall is the</w:t></w:r>
</w:p>
<w:p>
<w:pPr><w:pStyle w:val="Normal"/></w:pPr>
<w:r><w:t xml:space="preserve">Sala de las dos Hermanas (Hall of the two Sisters), so-called</w:t></w:r>
</w:p>
<w:p>
<w:pPr><w:pStyle w:val="Normal"/></w:pPr>
<w:r><w:t xml:space="preserve">from two very beautiful white marble slabs laid as part of the</w:t></w:r>
</w:p>
<w:p>
<w:pPr><w:pStyle w:val="Normal"/></w:pPr>
<w:r><w:t xml:space="preserve">pavement.  These slabs measure 15 ft. by 7 1/2 ft., and are</w:t></w:r>
</w:p>
<w:p>
<w:pPr><w:pStyle w:val="Normal"/></w:pPr>
<w:r><w:t xml:space="preserve">without flaw or stain.  There is a fountain in the middle of</w:t></w:r>
</w:p>
<w:p>
<w:pPr><w:pStyle w:val="Normal"/></w:pPr>
<w:r><w:t xml:space="preserve">this hall, and the roof--a dome honeycombed with tiny cells,</w:t></w:r>
</w:p>
<w:p>
<w:pPr><w:pStyle w:val="Normal"/></w:pPr>
<w:r><w:t xml:space="preserve">all different, and said to number 5000--is a magnificent</w:t></w:r>
</w:p>
<w:p>
<w:pPr><w:pStyle w:val="Normal"/></w:pPr>
<w:r><w:t xml:space="preserve">example of the so-called ``stalactite vaulting&apos;&apos; of the Moors.</w:t></w:r>
</w:p>
<w:p>
<w:pPr><w:pStyle w:val="Normal"/></w:pPr>
<w:r><w:t xml:space="preserve">Among the other wonders of the Alhambra are the Sala de la</w:t></w:r>
</w:p>
<w:p>
<w:pPr><w:pStyle w:val="Normal"/></w:pPr>
<w:r><w:t xml:space="preserve">Justicia (Hall of Justice), the Patio del Mexuar (Court of the</w:t></w:r>
</w:p>
<w:p>
<w:pPr><w:pStyle w:val="Normal"/></w:pPr>
<w:r><w:t xml:space="preserve">Council Chamber), the Patio de Daraxa (Court of the Vestibule),</w:t></w:r>
</w:p>
<w:p>
<w:pPr><w:pStyle w:val="Normal"/></w:pPr>
<w:r><w:t xml:space="preserve">and the Peinador de la Reina (Queen&apos;s Robing Room), in which</w:t></w:r>
</w:p>
<w:p>
<w:pPr><w:pStyle w:val="Normal"/></w:pPr>
<w:r><w:t xml:space="preserve">are to be seen the same delicate and beautiful architecture, the</w:t></w:r>
</w:p>
<w:p>
<w:pPr><w:pStyle w:val="Normal"/></w:pPr>
<w:r><w:t xml:space="preserve">same costly and elegant decorations.  The palace and the Upper</w:t></w:r>
</w:p>
<w:p>
<w:pPr><w:pStyle w:val="Normal"/></w:pPr>
<w:r><w:t xml:space="preserve">Alhambra also contain baths, ranges of bedrooms and summer-</w:t></w:r>
</w:p>
<w:p>
<w:pPr><w:pStyle w:val="Normal"/></w:pPr>
<w:r><w:t xml:space="preserve">rooms, a whispering gallery and labyrinth, and vaulted sepulchres.</w:t></w:r>
</w:p>
<w:p>
<w:pPr><w:pStyle w:val="Normal"/></w:pPr>
<w:r><w:t xml:space="preserve">The original furniture of the palace is represented by the</w:t></w:r>
</w:p>
<w:p>
<w:pPr><w:pStyle w:val="Normal"/></w:pPr>
<w:r><w:t xml:space="preserve">celebrated vase of the Alhambra, a splendid specimen of Moorish</w:t></w:r>
</w:p>
<w:p>
<w:pPr><w:pStyle w:val="Normal"/></w:pPr>
<w:r><w:t xml:space="preserve">ceramic art, dating from 1320, and belonging to the first</w:t></w:r>
</w:p>
<w:p>
<w:pPr><w:pStyle w:val="Normal"/></w:pPr>
<w:r><w:t xml:space="preserve">period of Moorish porcelain.  It is 4 ft. 3 in. high; the</w:t></w:r>
</w:p>
<w:p>
<w:pPr><w:pStyle w:val="Normal"/></w:pPr>
<w:r><w:t xml:space="preserve">ground is white, and the enamelling is blue, white and gold.</w:t></w:r>
</w:p>
<w:p>
<w:pPr><w:pStyle w:val="Normal"/></w:pPr>
<w:r><w:t xml:space="preserve">Of the outlying buildings in connexion with the Alhambra. the</w:t></w:r>
</w:p>
<w:p>
<w:pPr><w:pStyle w:val="Normal"/></w:pPr>
<w:r><w:t xml:space="preserve">foremost in interest is the Palacio de Generalife or Gineralife</w:t></w:r>
</w:p>
<w:p>
<w:pPr><w:pStyle w:val="Normal"/></w:pPr>
<w:r><w:t xml:space="preserve">(the Moorish Jennat al Arif, ``Garden of Arif,&apos;&apos; or ``Garden</w:t></w:r>
</w:p>
<w:p>
<w:pPr><w:pStyle w:val="Normal"/></w:pPr>
<w:r><w:t xml:space="preserve">of the Architect&apos;&apos;).  This villa probably dates from the end</w:t></w:r>
</w:p>
<w:p>
<w:pPr><w:pStyle w:val="Normal"/></w:pPr>
<w:r><w:t xml:space="preserve">of the 13th century, but has been several times restored.  Its</w:t></w:r>
</w:p>
<w:p>
<w:pPr><w:pStyle w:val="Normal"/></w:pPr>
<w:r><w:t xml:space="preserve">gardens, however, with their clipped hedges, grottos, fountains,</w:t></w:r>
</w:p>
<w:p>
<w:pPr><w:pStyle w:val="Normal"/></w:pPr>
<w:r><w:t xml:space="preserve">and cypress avenues, are said to retain their original Moorish</w:t></w:r>
</w:p>
<w:p>
<w:pPr><w:pStyle w:val="Normal"/></w:pPr>
<w:r><w:t xml:space="preserve">character.  The Villa de los Martires (Martyrs&apos; Villa), on the</w:t></w:r>
</w:p>
<w:p>
<w:pPr><w:pStyle w:val="Normal"/></w:pPr>
<w:r><w:t xml:space="preserve">summit of Monte Mauror, commemorates by its name the Christian</w:t></w:r>
</w:p>
<w:p>
<w:pPr><w:pStyle w:val="Normal"/></w:pPr>
<w:r><w:t xml:space="preserve">slaves who were employed to build the Alhambra, and confined</w:t></w:r>
</w:p>
<w:p>
<w:pPr><w:pStyle w:val="Normal"/></w:pPr>
<w:r><w:t xml:space="preserve">here in subterranean cells.  The Torres Bermejas (Vermilion</w:t></w:r>
</w:p>
<w:p>
<w:pPr><w:pStyle w:val="Normal"/></w:pPr>
<w:r><w:t xml:space="preserve">Towers), also on Monte Mauror, are a well-preserved Moorish</w:t></w:r>
</w:p>
<w:p>
<w:pPr><w:pStyle w:val="Normal"/></w:pPr>
<w:r><w:t xml:space="preserve">fortification, with underground cisterns, stables, and</w:t></w:r>
</w:p>
<w:p>
<w:pPr><w:pStyle w:val="Normal"/></w:pPr>
<w:r><w:t xml:space="preserve">accommodation for a garrison of 200 men.  Several Roman tombs</w:t></w:r>
</w:p>
<w:p>
<w:pPr><w:pStyle w:val="Normal"/></w:pPr>
<w:r><w:t xml:space="preserve">were discovered in 1829 and 1857 at the base of Monte Mauror.</w:t></w:r>
</w:p>
<w:p>
<w:pPr><w:pStyle w:val="Normal"/></w:pPr>
<w:r><w:t xml:space="preserve">See Plans, Elevations, Sections and Details of the Alhambra;</w:t></w:r>
</w:p>
<w:p>
<w:pPr><w:pStyle w:val="Normal"/></w:pPr>
<w:r><w:t xml:space="preserve">from drawings taken on the spot by J. Goury and Owen Jones;</w:t></w:r>
</w:p>
<w:p>
<w:pPr><w:pStyle w:val="Normal"/></w:pPr>
<w:r><w:t xml:space="preserve">with a complete translation of the Arabic inscriptions and a</w:t></w:r>
</w:p>
<w:p>
<w:pPr><w:pStyle w:val="Normal"/></w:pPr>
<w:r><w:t xml:space="preserve">historical notice of the Kings of Granada, by P. de Gayangos.</w:t></w:r>
</w:p>
<w:p>
<w:pPr><w:pStyle w:val="Normal"/></w:pPr>
<w:r><w:t xml:space="preserve">These two magnificent folios, though first published in London</w:t></w:r>
</w:p>
<w:p>
<w:pPr><w:pStyle w:val="Normal"/></w:pPr>
<w:r><w:t xml:space="preserve">between 1842 and 1845, give the best pictorial representation</w:t></w:r>
</w:p>
<w:p>
<w:pPr><w:pStyle w:val="Normal"/></w:pPr>
<w:r><w:t xml:space="preserve">of the Alhambra.  See also Rafael Contreras, La Alhanabra,</w:t></w:r>
</w:p>
<w:p>
<w:pPr><w:pStyle w:val="Normal"/></w:pPr>
<w:r><w:t xml:space="preserve">El Alcazar, y la gran Mezquita de Occidente Madrid, 1885);</w:t></w:r>
</w:p>
<w:p>
<w:pPr><w:pStyle w:val="Normal"/></w:pPr>
<w:r><w:t xml:space="preserve">The Alhambra, by Washington Irving, was written in 1832,</w:t></w:r>
</w:p>
<w:p>
<w:pPr><w:pStyle w:val="Normal"/></w:pPr>
<w:r><w:t xml:space="preserve">and rewritten in 1857, when it had already become widely</w:t></w:r>
</w:p>
<w:p>
<w:pPr><w:pStyle w:val="Normal"/></w:pPr>
<w:r><w:t xml:space="preserve">celebrated for its picturesque and humorous descriptions.</w:t></w:r>
</w:p>
<w:p>
<w:pPr><w:pStyle w:val="Normal"/></w:pPr>
<w:r><w:t xml:space="preserve">A well-Illustrated edition was published in London in 1896.</w:t></w:r>
</w:p>
<w:p>
<w:pPr><w:pStyle w:val="Normal"/></w:pPr>
<w:r><w:t xml:space="preserve">ALHAZEN (ABU ALI AL-HASAN IBN ALHASAN), Arabian mathematician</w:t></w:r>
</w:p>
<w:p>
<w:pPr><w:pStyle w:val="Normal"/></w:pPr>
<w:r><w:t xml:space="preserve">of the 11th century, was born at Basra and died at Cairo in</w:t></w:r>
</w:p>
<w:p>
<w:pPr><w:pStyle w:val="Normal"/></w:pPr>
<w:r><w:t xml:space="preserve">1038.  He is to be distinguished from another Alhazen who</w:t></w:r>
</w:p>
<w:p>
<w:pPr><w:pStyle w:val="Normal"/></w:pPr>
<w:r><w:t xml:space="preserve">translated Ptolemy&apos;s Almagest in the 10th century.  Having</w:t></w:r>
</w:p>
<w:p>
<w:pPr><w:pStyle w:val="Normal"/></w:pPr>
<w:r><w:t xml:space="preserve">boasted that he could construct a machine for regulating</w:t></w:r>
</w:p>
<w:p>
<w:pPr><w:pStyle w:val="Normal"/></w:pPr>
<w:r><w:t xml:space="preserve">the inundations of the Nile, he was summoned to Egypt by</w:t></w:r>
</w:p>
<w:p>
<w:pPr><w:pStyle w:val="Normal"/></w:pPr>
<w:r><w:t xml:space="preserve">the caliph Hakim; but, aware of the impracticability of his</w:t></w:r>
</w:p>
<w:p>
<w:pPr><w:pStyle w:val="Normal"/></w:pPr>
<w:r><w:t xml:space="preserve">scheme, and fearing the caliph&apos;s anger, he feigned madness</w:t></w:r>
</w:p>
<w:p>
<w:pPr><w:pStyle w:val="Normal"/></w:pPr>
<w:r><w:t xml:space="preserve">until Hakim&apos;s death in 1021.  Alhazen was, nevertheless,</w:t></w:r>
</w:p>
<w:p>
<w:pPr><w:pStyle w:val="Normal"/></w:pPr>
<w:r><w:t xml:space="preserve">a diligent and successful student, being the first great</w:t></w:r>
</w:p>
<w:p>
<w:pPr><w:pStyle w:val="Normal"/></w:pPr>
<w:r><w:t xml:space="preserve">discoverer in optics after the time of Ptolemy.  According to</w:t></w:r>
</w:p>
<w:p>
<w:pPr><w:pStyle w:val="Normal"/></w:pPr>
<w:r><w:t xml:space="preserve">Giovanni Battista della Porta, he first explained the apparent</w:t></w:r>
</w:p>
<w:p>
<w:pPr><w:pStyle w:val="Normal"/></w:pPr>
<w:r><w:t xml:space="preserve">increase of heavenly bodies near the horizon, although Bacon</w:t></w:r>
</w:p>
<w:p>
<w:pPr><w:pStyle w:val="Normal"/></w:pPr>
<w:r><w:t xml:space="preserve">gives the credit of this discovery to Ptolemy.  He taught,</w:t></w:r>
</w:p>
<w:p>
<w:pPr><w:pStyle w:val="Normal"/></w:pPr>
<w:r><w:t xml:space="preserve">previous to the Polish physicist Witelo, that vision does</w:t></w:r>
</w:p>
<w:p>
<w:pPr><w:pStyle w:val="Normal"/></w:pPr>
<w:r><w:t xml:space="preserve">not result from the emission of rays from the eye, and wrote</w:t></w:r>
</w:p>
<w:p>
<w:pPr><w:pStyle w:val="Normal"/></w:pPr>
<w:r><w:t xml:space="preserve">also on the refraction of light, especially on atmospheric</w:t></w:r>
</w:p>
<w:p>
<w:pPr><w:pStyle w:val="Normal"/></w:pPr>
<w:r><w:t xml:space="preserve">refraction, showing, e.g. the cause of morning and evening</w:t></w:r>
</w:p>
<w:p>
<w:pPr><w:pStyle w:val="Normal"/></w:pPr>
<w:r><w:t xml:space="preserve">twilight.  He solved the problem of finding the point in a</w:t></w:r>
</w:p>
<w:p>
<w:pPr><w:pStyle w:val="Normal"/></w:pPr>
<w:r><w:t xml:space="preserve">convex mirror at which a ray coming from one given point shall</w:t></w:r>
</w:p>
<w:p>
<w:pPr><w:pStyle w:val="Normal"/></w:pPr>
<w:r><w:t xml:space="preserve">be reflected to another given point.  His treatise on optics</w:t></w:r>
</w:p>
<w:p>
<w:pPr><w:pStyle w:val="Normal"/></w:pPr>
<w:r><w:t xml:space="preserve">was translated into Latin by Witelo (1270), and afterwards</w:t></w:r>
</w:p>
<w:p>
<w:pPr><w:pStyle w:val="Normal"/></w:pPr>
<w:r><w:t xml:space="preserve">published by F. Risner in 1572, with the title Oticae thesaurus</w:t></w:r>
</w:p>
<w:p>
<w:pPr><w:pStyle w:val="Normal"/></w:pPr>
<w:r><w:t xml:space="preserve">Alhazeni libri VII., cum ejusdem libro de crepusculis et</w:t></w:r>
</w:p>
<w:p>
<w:pPr><w:pStyle w:val="Normal"/></w:pPr>
<w:r><w:t xml:space="preserve">nubium ascensionibus. This work enjoyed a great reputation</w:t></w:r>
</w:p>
<w:p>
<w:pPr><w:pStyle w:val="Normal"/></w:pPr>
<w:r><w:t xml:space="preserve">during the middle ages.  Works on geometrical subjects were</w:t></w:r>
</w:p>
<w:p>
<w:pPr><w:pStyle w:val="Normal"/></w:pPr>
<w:r><w:t xml:space="preserve">found in the Bibliotheque nationale de Paris in 1834</w:t></w:r>
</w:p>
<w:p>
<w:pPr><w:pStyle w:val="Normal"/></w:pPr>
<w:r><w:t xml:space="preserve">by E. A. Sedillot; other manuscripts are preserved in the</w:t></w:r>
</w:p>
<w:p>
<w:pPr><w:pStyle w:val="Normal"/></w:pPr>
<w:r><w:t xml:space="preserve">Bodleian library at Oxford and in the library of Leiden.</w:t></w:r>
</w:p>
<w:p>
<w:pPr><w:pStyle w:val="Normal"/></w:pPr>
<w:r><w:t xml:space="preserve">See Casiri, Bibl.  Arab.  Hisp.  Escur.; J. E. Montucla,</w:t></w:r>
</w:p>
<w:p>
<w:pPr><w:pStyle w:val="Normal"/></w:pPr>
<w:r><w:t xml:space="preserve">Histoire des mathemaltiques (1758); and E. A. Sedillot,</w:t></w:r>
</w:p>
<w:p>
<w:pPr><w:pStyle w:val="Normal"/></w:pPr>
<w:r><w:t xml:space="preserve">Materiaux pour l&apos;histoire des sciences mathematiques.</w:t></w:r>
</w:p>
<w:p>
<w:pPr><w:pStyle w:val="Normal"/></w:pPr>
<w:r><w:t xml:space="preserve">ALI, in full, &apos;ALI BEN ABU TALIB (c. 600-661), the</w:t></w:r>
</w:p>
<w:p>
<w:pPr><w:pStyle w:val="Normal"/></w:pPr>
<w:r><w:t xml:space="preserve">fourth of the caliphs or successors of Mahomet, was born at</w:t></w:r>
</w:p>
<w:p>
<w:pPr><w:pStyle w:val="Normal"/></w:pPr>
<w:r><w:t xml:space="preserve">Mecca about the year A.D. 600. His father, Abu Talib, was</w:t></w:r>
</w:p>
<w:p>
<w:pPr><w:pStyle w:val="Normal"/></w:pPr>
<w:r><w:t xml:space="preserve">an uncle of the prophet, and Ali himself was adopted by Mahomet</w:t></w:r>
</w:p>
<w:p>
<w:pPr><w:pStyle w:val="Normal"/></w:pPr>
<w:r><w:t xml:space="preserve">and educated under his care.  As a mere boy he distinguished</w:t></w:r>
</w:p>
<w:p>
<w:pPr><w:pStyle w:val="Normal"/></w:pPr>
<w:r><w:t xml:space="preserve">himself by being one of the first to declare his adhesion</w:t></w:r>
</w:p>
<w:p>
<w:pPr><w:pStyle w:val="Normal"/></w:pPr>
<w:r><w:t xml:space="preserve">to the cause of Mahomet, who some years afterwards gave him</w:t></w:r>
</w:p>
<w:p>
<w:pPr><w:pStyle w:val="Normal"/></w:pPr>
<w:r><w:t xml:space="preserve">his daughter Fatima in marriage.  Ali proved himself to be</w:t></w:r>
</w:p>
<w:p>
<w:pPr><w:pStyle w:val="Normal"/></w:pPr>
<w:r><w:t xml:space="preserve">a brave and faithful soldier, and when Mahomet died without</w:t></w:r>
</w:p>
<w:p>
<w:pPr><w:pStyle w:val="Normal"/></w:pPr>
<w:r><w:t xml:space="preserve">male issue, a few emigrants thought him to have the best</w:t></w:r>
</w:p>
<w:p>
<w:pPr><w:pStyle w:val="Normal"/></w:pPr>
<w:r><w:t xml:space="preserve">claim to succeed him.  Abu Bekr, Omar and Othman, however,</w:t></w:r>
</w:p>
<w:p>
<w:pPr><w:pStyle w:val="Normal"/></w:pPr>
<w:r><w:t xml:space="preserve">occupied this position before him, and it was not until</w:t></w:r>
</w:p>
<w:p>
<w:pPr><w:pStyle w:val="Normal"/></w:pPr>
<w:r><w:t xml:space="preserve">656, after the murder of Othman, that he assumed the title of</w:t></w:r>
</w:p>
<w:p>
<w:pPr><w:pStyle w:val="Normal"/></w:pPr>
<w:r><w:t xml:space="preserve">caliph.  The fact that he took no steps to prevent this murder</w:t></w:r>
</w:p>
<w:p>
<w:pPr><w:pStyle w:val="Normal"/></w:pPr>
<w:r><w:t xml:space="preserve">is, perhaps, the only real blot upon his character.  Almost</w:t></w:r>
</w:p>
<w:p>
<w:pPr><w:pStyle w:val="Normal"/></w:pPr>
<w:r><w:t xml:space="preserve">the first act of his reign was the suppression of a rebellion</w:t></w:r>
</w:p>
<w:p>
<w:pPr><w:pStyle w:val="Normal"/></w:pPr>
<w:r><w:t xml:space="preserve">under Talha and Zobair, who were instigated by Ayesha,</w:t></w:r>
</w:p>
<w:p>
<w:pPr><w:pStyle w:val="Normal"/></w:pPr>
<w:r><w:t xml:space="preserve">Mahomet&apos;s widow, a bitter enemy of Ali, and one of the chief</w:t></w:r>
</w:p>
<w:p>
<w:pPr><w:pStyle w:val="Normal"/></w:pPr>
<w:r><w:t xml:space="preserve">hindrances to his advancement to the caliphate.  The rebel</w:t></w:r>
</w:p>
<w:p>
<w:pPr><w:pStyle w:val="Normal"/></w:pPr>
<w:r><w:t xml:space="preserve">army was defeated at the ``Battle of the Camel,&apos;&apos; near Bassorah</w:t></w:r>
</w:p>
<w:p>
<w:pPr><w:pStyle w:val="Normal"/></w:pPr>
<w:r><w:t xml:space="preserve">(Basra), the two generals being killed, and Ayesha taken</w:t></w:r>
</w:p>
<w:p>
<w:pPr><w:pStyle w:val="Normal"/></w:pPr>
<w:r><w:t xml:space="preserve">prisoner.  Ali soon afterwards made Kufa his capital.  His</w:t></w:r>
</w:p>
<w:p>
<w:pPr><w:pStyle w:val="Normal"/></w:pPr>
<w:r><w:t xml:space="preserve">next care was to get rid of the opposition of Moawiya, who</w:t></w:r>
</w:p>
<w:p>
<w:pPr><w:pStyle w:val="Normal"/></w:pPr>
<w:r><w:t xml:space="preserve">had established himself in Syria at the head of a numerous</w:t></w:r>
</w:p>
<w:p>
<w:pPr><w:pStyle w:val="Normal"/></w:pPr>
<w:r><w:t xml:space="preserve">army.  A prolonged battle took place in July 657 in the</w:t></w:r>
</w:p>
<w:p>
<w:pPr><w:pStyle w:val="Normal"/></w:pPr>
<w:r><w:t xml:space="preserve">plain of Siffin (Suffein), near the Euphrates; the fighting</w:t></w:r>
</w:p>
<w:p>
<w:pPr><w:pStyle w:val="Normal"/></w:pPr>
<w:r><w:t xml:space="preserve">was at first, it is said, in favour of Ali, when suddenly</w:t></w:r>
</w:p>
<w:p>
<w:pPr><w:pStyle w:val="Normal"/></w:pPr>
<w:r><w:t xml:space="preserve">a number of the enemy, fixing copies of the Koran to the</w:t></w:r>
</w:p>
<w:p>
<w:pPr><w:pStyle w:val="Normal"/></w:pPr>
<w:r><w:t xml:space="preserve">points of their spears, exclaimed that ``the matter ought to</w:t></w:r>
</w:p>
<w:p>
<w:pPr><w:pStyle w:val="Normal"/></w:pPr>
<w:r><w:t xml:space="preserve">be settled by reference to this book, which forbids Moslems</w:t></w:r>
</w:p>
<w:p>
<w:pPr><w:pStyle w:val="Normal"/></w:pPr>
<w:r><w:t xml:space="preserve">to shed each other&apos;s blood.&apos;&apos; The superstitious soldiers of</w:t></w:r>
</w:p>
<w:p>
<w:pPr><w:pStyle w:val="Normal"/></w:pPr>
<w:r><w:t xml:space="preserve">Ali refused to fight any longer, and demanded that the issue</w:t></w:r>
</w:p>
<w:p>
<w:pPr><w:pStyle w:val="Normal"/></w:pPr>
<w:r><w:t xml:space="preserve">be referred to arbitration (see further CALIPHATE, section</w:t></w:r>
</w:p>
<w:p>
<w:pPr><w:pStyle w:val="Normal"/></w:pPr>
<w:r><w:t xml:space="preserve">B. 1). Abu Musa was appointed umpire on the part of Ali,</w:t></w:r>
</w:p>
<w:p>
<w:pPr><w:pStyle w:val="Normal"/></w:pPr>
<w:r><w:t xml:space="preserve">and `Amr-ibn-el-Ass, a veteran diplomatist, on the part of</w:t></w:r>
</w:p>
<w:p>
<w:pPr><w:pStyle w:val="Normal"/></w:pPr>
<w:r><w:t xml:space="preserve">Moawiya.  It is said that `Amr persuaded Abu Musa that it would</w:t></w:r>
</w:p>
<w:p>
<w:pPr><w:pStyle w:val="Normal"/></w:pPr>
<w:r><w:t xml:space="preserve">be for the advantage of Islam that neither candidate should</w:t></w:r>
</w:p>
<w:p>
<w:pPr><w:pStyle w:val="Normal"/></w:pPr>
<w:r><w:t xml:space="preserve">reign, and asked him to give his decision first.  Abu Musa</w:t></w:r>
</w:p>
<w:p>
<w:pPr><w:pStyle w:val="Normal"/></w:pPr>
<w:r><w:t xml:space="preserve">having proclaimed that he deposed both Ali and Moawiya, `Amr</w:t></w:r>
</w:p>
<w:p>
<w:pPr><w:pStyle w:val="Normal"/></w:pPr>
<w:r><w:t xml:space="preserve">declared that he also deposed Ali, and announced further that</w:t></w:r>
</w:p>
<w:p>
<w:pPr><w:pStyle w:val="Normal"/></w:pPr>
<w:r><w:t xml:space="preserve">he invested Moawiya with the caliphate.  This treacherous</w:t></w:r>
</w:p>
<w:p>
<w:pPr><w:pStyle w:val="Normal"/></w:pPr>
<w:r><w:t xml:space="preserve">decision (but see CALIPHATE, ib.) greatly injured the</w:t></w:r>
</w:p>
<w:p>
<w:pPr><w:pStyle w:val="Normal"/></w:pPr>
<w:r><w:t xml:space="preserve">cause of Ali, which was still further weakened by the loss of</w:t></w:r>
</w:p>
<w:p>
<w:pPr><w:pStyle w:val="Normal"/></w:pPr>
<w:r><w:t xml:space="preserve">Egypt.  After much indecisive fighting, Ali found his position</w:t></w:r>
</w:p>
<w:p>
<w:pPr><w:pStyle w:val="Normal"/></w:pPr>
<w:r><w:t xml:space="preserve">so unsatisfactory that according to some historians he made an</w:t></w:r>
</w:p>
<w:p>
<w:pPr><w:pStyle w:val="Normal"/></w:pPr>
<w:r><w:t xml:space="preserve">agreement with Moawiya by which each retained his own dominions</w:t></w:r>
</w:p>
<w:p>
<w:pPr><w:pStyle w:val="Normal"/></w:pPr>
<w:r><w:t xml:space="preserve">unmolested.  It chanced, however--according to a legend, the</w:t></w:r>
</w:p>
<w:p>
<w:pPr><w:pStyle w:val="Normal"/></w:pPr>
<w:r><w:t xml:space="preserve">details of which are quite uncertain--that three of the fanatic</w:t></w:r>
</w:p>
<w:p>
<w:pPr><w:pStyle w:val="Normal"/></w:pPr>
<w:r><w:t xml:space="preserve">sect of the Kharijites had made an agreement to assassinate</w:t></w:r>
</w:p>
<w:p>
<w:pPr><w:pStyle w:val="Normal"/></w:pPr>
<w:r><w:t xml:space="preserve">Ali, Moawiya and `Amr, as the authors of disastrous feuds</w:t></w:r>
</w:p>
<w:p>
<w:pPr><w:pStyle w:val="Normal"/></w:pPr>
<w:r><w:t xml:space="preserve">among the faithful.  The only victim of this plot was Ali,</w:t></w:r>
</w:p>
<w:p>
<w:pPr><w:pStyle w:val="Normal"/></w:pPr>
<w:r><w:t xml:space="preserve">who died at Kufa in 661, of the wound inflicted by a poisoned</w:t></w:r>
</w:p>
<w:p>
<w:pPr><w:pStyle w:val="Normal"/></w:pPr>
<w:r><w:t xml:space="preserve">weapon.  A splendid mosque called Meshed Ali was afterwards</w:t></w:r>
</w:p>
<w:p>
<w:pPr><w:pStyle w:val="Normal"/></w:pPr>
<w:r><w:t xml:space="preserve">erected near the city, but the place of his burial is unknown.</w:t></w:r>
</w:p>
<w:p>
<w:pPr><w:pStyle w:val="Normal"/></w:pPr>
<w:r><w:t xml:space="preserve">He had eight wives after Fatima&apos;s death, and in all, it is</w:t></w:r>
</w:p>
<w:p>
<w:pPr><w:pStyle w:val="Normal"/></w:pPr>
<w:r><w:t xml:space="preserve">said, thirty-three children, one of whom, Hassan, a son of</w:t></w:r>
</w:p>
<w:p>
<w:pPr><w:pStyle w:val="Normal"/></w:pPr>
<w:r><w:t xml:space="preserve">Fatima, succeeded him in the caliphate.  His descendants by</w:t></w:r>
</w:p>
<w:p>
<w:pPr><w:pStyle w:val="Normal"/></w:pPr>
<w:r><w:t xml:space="preserve">Fatima are known as the Fatimites (q.v.; see also EGYPT:</w:t></w:r>
</w:p>
<w:p>
<w:pPr><w:pStyle w:val="Normal"/></w:pPr>
<w:r><w:t xml:space="preserve">History, Mahommedan period).  The question of Ali&apos;s right to</w:t></w:r>
</w:p>
<w:p>
<w:pPr><w:pStyle w:val="Normal"/></w:pPr>
<w:r><w:t xml:space="preserve">succeed to the caliphate is an article of faith which divided</w:t></w:r>
</w:p>
<w:p>
<w:pPr><w:pStyle w:val="Normal"/></w:pPr>
<w:r><w:t xml:space="preserve">the Mahommedan world into two great sects, the Sunnites and the</w:t></w:r>
</w:p>
<w:p>
<w:pPr><w:pStyle w:val="Normal"/></w:pPr>
<w:r><w:t xml:space="preserve">Shiites, the former denying, and the latter affirming, his</w:t></w:r>
</w:p>
<w:p>
<w:pPr><w:pStyle w:val="Normal"/></w:pPr>
<w:r><w:t xml:space="preserve">right.  The Turks, consequently, hold his memory in abhorrence;</w:t></w:r>
</w:p>
<w:p>
<w:pPr><w:pStyle w:val="Normal"/></w:pPr>
<w:r><w:t xml:space="preserve">whereas the Persians, who are generally Shi`as, venerate</w:t></w:r>
</w:p>
<w:p>
<w:pPr><w:pStyle w:val="Normal"/></w:pPr>
<w:r><w:t xml:space="preserve">him as second only to the prophet, call him the ``Lion of</w:t></w:r>
</w:p>
<w:p>
<w:pPr><w:pStyle w:val="Normal"/></w:pPr>
<w:r><w:t xml:space="preserve">God&apos;&apos; (Sher-i-Khuda), and celebrate the anniversary of his</w:t></w:r>
</w:p>
<w:p>
<w:pPr><w:pStyle w:val="Normal"/></w:pPr>
<w:r><w:t xml:space="preserve">martyrdom.  Ali is described as a bold, noble and generous</w:t></w:r>
</w:p>
<w:p>
<w:pPr><w:pStyle w:val="Normal"/></w:pPr>
<w:r><w:t xml:space="preserve">man, ``the last and worthiest of the primitive Moslems, who</w:t></w:r>
</w:p>
<w:p>
<w:pPr><w:pStyle w:val="Normal"/></w:pPr>
<w:r><w:t xml:space="preserve">imbibed his religious enthusiasm from companionship with the</w:t></w:r>
</w:p>
<w:p>
<w:pPr><w:pStyle w:val="Normal"/></w:pPr>
<w:r><w:t xml:space="preserve">prophet himself, and who followed to the last the simplicity</w:t></w:r>
</w:p>
<w:p>
<w:pPr><w:pStyle w:val="Normal"/></w:pPr>
<w:r><w:t xml:space="preserve">of his example.&apos;&apos; It is maintained, on the other hand, that his</w:t></w:r>
</w:p>
<w:p>
<w:pPr><w:pStyle w:val="Normal"/></w:pPr>
<w:r><w:t xml:space="preserve">motives were throughout those of ambition rather than piety, and</w:t></w:r>
</w:p>
<w:p>
<w:pPr><w:pStyle w:val="Normal"/></w:pPr>
<w:r><w:t xml:space="preserve">that, apart from the tragedy of his death, he would have been</w:t></w:r>
</w:p>
<w:p>
<w:pPr><w:pStyle w:val="Normal"/></w:pPr>
<w:r><w:t xml:space="preserve">an insignificant figure in history. (See further CALIPHATE.)</w:t></w:r>
</w:p>
<w:p>
<w:pPr><w:pStyle w:val="Normal"/></w:pPr>
<w:r><w:t xml:space="preserve">In the eyes of the later Moslems he was remarkable for learning</w:t></w:r>
</w:p>
<w:p>
<w:pPr><w:pStyle w:val="Normal"/></w:pPr>
<w:r><w:t xml:space="preserve">and wisdom, and there are extant collections (almost all</w:t></w:r>
</w:p>
<w:p>
<w:pPr><w:pStyle w:val="Normal"/></w:pPr>
<w:r><w:t xml:space="preserve">certainly spurious) of proverbs and verses which bear his name:</w:t></w:r>
</w:p>
<w:p>
<w:pPr><w:pStyle w:val="Normal"/></w:pPr>
<w:r><w:t xml:space="preserve">the Sentences of Ali (Eng. trans., William Yule, Edinburgh,</w:t></w:r>
</w:p>
<w:p>
<w:pPr><w:pStyle w:val="Normal"/></w:pPr>
<w:r><w:t xml:space="preserve">1832); H. L. Fleischer, Alis hundert Spruche (Leipz. 1837);</w:t></w:r>
</w:p>
<w:p>
<w:pPr><w:pStyle w:val="Normal"/></w:pPr>
<w:r><w:t xml:space="preserve">the Divan, by G. Kuypert (Leiden, 1745, and at Bulak, 1835); C.</w:t></w:r>
</w:p>
<w:p>
<w:pPr><w:pStyle w:val="Normal"/></w:pPr>
<w:r><w:t xml:space="preserve">Brockelmann, Gesch. d. arabisch.  Lit. (vol. i., Weimar, 1899).</w:t></w:r>
</w:p>
<w:p>
<w:pPr><w:pStyle w:val="Normal"/></w:pPr>
<w:r><w:t xml:space="preserve">ALI, known as ALI BEY (1766-1818), the assumed name</w:t></w:r>
</w:p>
<w:p>
<w:pPr><w:pStyle w:val="Normal"/></w:pPr>
<w:r><w:t xml:space="preserve">of DOMINGO BADIA Y LEBLICH, a Spanish traveller, born in</w:t></w:r>
</w:p>
<w:p>
<w:pPr><w:pStyle w:val="Normal"/></w:pPr>
<w:r><w:t xml:space="preserve">1766.  After receiving a liberal education he devoted particular</w:t></w:r>
</w:p>
<w:p>
<w:pPr><w:pStyle w:val="Normal"/></w:pPr>
<w:r><w:t xml:space="preserve">attention to the Arabic language, and made a special study</w:t></w:r>
</w:p>
<w:p>
<w:pPr><w:pStyle w:val="Normal"/></w:pPr>
<w:r><w:t xml:space="preserve">of the manners and customs of the East.  Pretending to be</w:t></w:r>
</w:p>
<w:p>
<w:pPr><w:pStyle w:val="Normal"/></w:pPr>
<w:r><w:t xml:space="preserve">a descendant of the Abbasids, Badia in 1803 set out on his</w:t></w:r>
</w:p>
<w:p>
<w:pPr><w:pStyle w:val="Normal"/></w:pPr>
<w:r><w:t xml:space="preserve">travels.  Under the name of Ali Bey el Abbassi, and in Mussulman</w:t></w:r>
</w:p>
<w:p>
<w:pPr><w:pStyle w:val="Normal"/></w:pPr>
<w:r><w:t xml:space="preserve">costume, he visited Morocco, Tripoli, Egypt, Arabia and</w:t></w:r>
</w:p>
<w:p>
<w:pPr><w:pStyle w:val="Normal"/></w:pPr>
<w:r><w:t xml:space="preserve">Syria, and was received as a person of high rank wherever he</w:t></w:r>
</w:p>
<w:p>
<w:pPr><w:pStyle w:val="Normal"/></w:pPr>
<w:r><w:t xml:space="preserve">appeared.  He made the pilgrimage to Mecca, at that time</w:t></w:r>
</w:p>
<w:p>
<w:pPr><w:pStyle w:val="Normal"/></w:pPr>
<w:r><w:t xml:space="preserve">in the possession of the Wahabites.  On his return to Spain</w:t></w:r>
</w:p>
<w:p>
<w:pPr><w:pStyle w:val="Normal"/></w:pPr>
<w:r><w:t xml:space="preserve">in 1807 he declared himself a Bonapartist, and was made</w:t></w:r>
</w:p>
<w:p>
<w:pPr><w:pStyle w:val="Normal"/></w:pPr>
<w:r><w:t xml:space="preserve">intendant first of Segovia and afterwards of Cordova.</w:t></w:r>
</w:p>
<w:p>
<w:pPr><w:pStyle w:val="Normal"/></w:pPr>
<w:r><w:t xml:space="preserve">When the French were driven from Spain, Badia was compelled</w:t></w:r>
</w:p>
<w:p>
<w:pPr><w:pStyle w:val="Normal"/></w:pPr>
<w:r><w:t xml:space="preserve">to take refuge in France, and there in 1814, published an</w:t></w:r>
</w:p>
<w:p>
<w:pPr><w:pStyle w:val="Normal"/></w:pPr>
<w:r><w:t xml:space="preserve">account of his travels under the title of Voyage d&apos;Aii Bey</w:t></w:r>
</w:p>
<w:p>
<w:pPr><w:pStyle w:val="Normal"/></w:pPr>
<w:r><w:t xml:space="preserve">en Asie et en Afrique, &amp;c. A few years later he set out</w:t></w:r>
</w:p>
<w:p>
<w:pPr><w:pStyle w:val="Normal"/></w:pPr>
<w:r><w:t xml:space="preserve">again for Syria, under the assumed name of Ali Othman, and,</w:t></w:r>
</w:p>
<w:p>
<w:pPr><w:pStyle w:val="Normal"/></w:pPr>
<w:r><w:t xml:space="preserve">it is said, accredited as a political agent by the French</w:t></w:r>
</w:p>
<w:p>
<w:pPr><w:pStyle w:val="Normal"/></w:pPr>
<w:r><w:t xml:space="preserve">government.  He reached Aleppo, and there died on the 30th of</w:t></w:r>
</w:p>
<w:p>
<w:pPr><w:pStyle w:val="Normal"/></w:pPr>
<w:r><w:t xml:space="preserve">August 1818, not without suspicion of having been poisoned.</w:t></w:r>
</w:p>
<w:p>
<w:pPr><w:pStyle w:val="Normal"/></w:pPr>
<w:r><w:t xml:space="preserve">An account of his Eastern adventures was published in London in</w:t></w:r>
</w:p>
<w:p>
<w:pPr><w:pStyle w:val="Normal"/></w:pPr>
<w:r><w:t xml:space="preserve">1816, in two volumes, entitled Travels in Morocco, Tripoli, Cyprus,</w:t></w:r>
</w:p>
<w:p>
<w:pPr><w:pStyle w:val="Normal"/></w:pPr>
<w:r><w:t xml:space="preserve">Egypt, Arabia, Syria and Turkey, between the years 1803 and 1807.</w:t></w:r>
</w:p>
<w:p>
<w:pPr><w:pStyle w:val="Normal"/></w:pPr>
<w:r><w:t xml:space="preserve">ALI, known as ALI PASHA (1741-1822),Turkish pasha of</w:t></w:r>
</w:p>
<w:p>
<w:pPr><w:pStyle w:val="Normal"/></w:pPr>
<w:r><w:t xml:space="preserve">Iannina, surnamed Arslan, ``the Lion,&apos;&apos; was born at Tepeleni,</w:t></w:r>
</w:p>
<w:p>
<w:pPr><w:pStyle w:val="Normal"/></w:pPr>
<w:r><w:t xml:space="preserve">a village in Albania at the foot of the Klissura mountains.</w:t></w:r>
</w:p>
<w:p>
<w:pPr><w:pStyle w:val="Normal"/></w:pPr>
<w:r><w:t xml:space="preserve">He was one of the Toske tribe, and his ancestors had for some</w:t></w:r>
</w:p>
<w:p>
<w:pPr><w:pStyle w:val="Normal"/></w:pPr>
<w:r><w:t xml:space="preserve">time held the hereditary office of bey of Tepeleni.  His father,</w:t></w:r>
</w:p>
<w:p>
<w:pPr><w:pStyle w:val="Normal"/></w:pPr>
<w:r><w:t xml:space="preserve">a man of mild and peaceful disposition, was killed when Ali</w:t></w:r>
</w:p>
<w:p>
<w:pPr><w:pStyle w:val="Normal"/></w:pPr>
<w:r><w:t xml:space="preserve">was fourteen years old by neighbouring chiefs who seized his</w:t></w:r>
</w:p>
<w:p>
<w:pPr><w:pStyle w:val="Normal"/></w:pPr>
<w:r><w:t xml:space="preserve">territories.  His mother Khamko, a woman of extraordinary</w:t></w:r>
</w:p>
<w:p>
<w:pPr><w:pStyle w:val="Normal"/></w:pPr>
<w:r><w:t xml:space="preserve">character, thereupon herself formed and led a brigand band,</w:t></w:r>
</w:p>
<w:p>
<w:pPr><w:pStyle w:val="Normal"/></w:pPr>
<w:r><w:t xml:space="preserve">and studied to inspire the boy with her own fierce and</w:t></w:r>
</w:p>
<w:p>
<w:pPr><w:pStyle w:val="Normal"/></w:pPr>
<w:r><w:t xml:space="preserve">indomitable temper, with a view to revenge and the recovery</w:t></w:r>
</w:p>
<w:p>
<w:pPr><w:pStyle w:val="Normal"/></w:pPr>
<w:r><w:t xml:space="preserve">of the lost property.  In this wild school Ali proved an apt</w:t></w:r>
</w:p>
<w:p>
<w:pPr><w:pStyle w:val="Normal"/></w:pPr>
<w:r><w:t xml:space="preserve">pupil.  A hundred tales, for the most part probably mythical,</w:t></w:r>
</w:p>
<w:p>
<w:pPr><w:pStyle w:val="Normal"/></w:pPr>
<w:r><w:t xml:space="preserve">are told of his powers and cunning during the years he spent</w:t></w:r>
</w:p>
<w:p>
<w:pPr><w:pStyle w:val="Normal"/></w:pPr>
<w:r><w:t xml:space="preserve">among the mountains as a brigand leader.  At last, by a</w:t></w:r>
</w:p>
<w:p>
<w:pPr><w:pStyle w:val="Normal"/></w:pPr>
<w:r><w:t xml:space="preserve">picturesque stratagem, he gained possession of Tepeleni and</w:t></w:r>
</w:p>
<w:p>
<w:pPr><w:pStyle w:val="Normal"/></w:pPr>
<w:r><w:t xml:space="preserve">took vengeance on his enemies.  To secure himself from rivals</w:t></w:r>
</w:p>
<w:p>
<w:pPr><w:pStyle w:val="Normal"/></w:pPr>
<w:r><w:t xml:space="preserve">in his own family, he is said to have murdered his brother</w:t></w:r>
</w:p>
<w:p>
<w:pPr><w:pStyle w:val="Normal"/></w:pPr>
<w:r><w:t xml:space="preserve">and imprisoned his mother on a charge of attempting to poison</w:t></w:r>
</w:p>
<w:p>
<w:pPr><w:pStyle w:val="Normal"/></w:pPr>
<w:r><w:t xml:space="preserve">him.  With a view to establishing his authority he now made</w:t></w:r>
</w:p>
<w:p>
<w:pPr><w:pStyle w:val="Normal"/></w:pPr>
<w:r><w:t xml:space="preserve">overtures to the Porte and was commissioned to chastise the</w:t></w:r>
</w:p>
<w:p>
<w:pPr><w:pStyle w:val="Normal"/></w:pPr>
<w:r><w:t xml:space="preserve">rebellious pasha of Scutari, whom he defeated and killed.  He</w:t></w:r>
</w:p>
<w:p>
<w:pPr><w:pStyle w:val="Normal"/></w:pPr>
<w:r><w:t xml:space="preserve">also, on pretext of his disloyalty, put to death Selim, pasha of</w:t></w:r>
</w:p>
<w:p>
<w:pPr><w:pStyle w:val="Normal"/></w:pPr>
<w:r><w:t xml:space="preserve">Delvinon.  Ali was now confirmed in the possession of all</w:t></w:r>
</w:p>
<w:p>
<w:pPr><w:pStyle w:val="Normal"/></w:pPr>
<w:r><w:t xml:space="preserve">his father&apos;s territory and was also appointed lieutenant to</w:t></w:r>
</w:p>
<w:p>
<w:pPr><w:pStyle w:val="Normal"/></w:pPr>
<w:r><w:t xml:space="preserve">the derwend-pasha of Rumelia, whose duty it was to suppress</w:t></w:r>
</w:p>
<w:p>
<w:pPr><w:pStyle w:val="Normal"/></w:pPr>
<w:r><w:t xml:space="preserve">brigandage and highway robbery.  This gave him an opportunity</w:t></w:r>
</w:p>
<w:p>
<w:pPr><w:pStyle w:val="Normal"/></w:pPr>
<w:r><w:t xml:space="preserve">for amassing wealth by sharing the booty of the robbers in</w:t></w:r>
</w:p>
<w:p>
<w:pPr><w:pStyle w:val="Normal"/></w:pPr>
<w:r><w:t xml:space="preserve">return for leaving them alone.  The disgrace that fell in</w:t></w:r>
</w:p>
<w:p>
<w:pPr><w:pStyle w:val="Normal"/></w:pPr>
<w:r><w:t xml:space="preserve">consequence on his superior, Ali escaped by the use of lavish</w:t></w:r>
</w:p>
<w:p>
<w:pPr><w:pStyle w:val="Normal"/></w:pPr>
<w:r><w:t xml:space="preserve">bribes at Constantinople.  In 1787 he took part in the war</w:t></w:r>
</w:p>
<w:p>
<w:pPr><w:pStyle w:val="Normal"/></w:pPr>
<w:r><w:t xml:space="preserve">with Russia, and was rewarded by being made pasha of Trikala</w:t></w:r>
</w:p>
<w:p>
<w:pPr><w:pStyle w:val="Normal"/></w:pPr>
<w:r><w:t xml:space="preserve">in Thessaly and derwend-pasha of Rumelia.  It now suited his</w:t></w:r>
</w:p>
<w:p>
<w:pPr><w:pStyle w:val="Normal"/></w:pPr>
<w:r><w:t xml:space="preserve">policy to suppress the brigands, which he did by enlisting</w:t></w:r>
</w:p>
<w:p>
<w:pPr><w:pStyle w:val="Normal"/></w:pPr>
<w:r><w:t xml:space="preserve">most of them under his own banner.  His power was now already</w:t></w:r>
</w:p>
<w:p>
<w:pPr><w:pStyle w:val="Normal"/></w:pPr>
<w:r><w:t xml:space="preserve">considerable; and in 1788 he added to it by securing his</w:t></w:r>
</w:p>
<w:p>
<w:pPr><w:pStyle w:val="Normal"/></w:pPr>
<w:r><w:t xml:space="preserve">nomination to the pashalik of Iannina by a characteristic trick.</w:t></w:r>
</w:p>
<w:p>
<w:pPr><w:pStyle w:val="Normal"/></w:pPr>
<w:r><w:t xml:space="preserve">The illiterate brigand, whose boyish ambition had not</w:t></w:r>
</w:p>
<w:p>
<w:pPr><w:pStyle w:val="Normal"/></w:pPr>
<w:r><w:t xml:space="preserve">looked beyond the recovery of his father&apos;s beylick, was now</w:t></w:r>
</w:p>
<w:p>
<w:pPr><w:pStyle w:val="Normal"/></w:pPr>
<w:r><w:t xml:space="preserve">established as one of the most powerful viziers under the</w:t></w:r>
</w:p>
<w:p>
<w:pPr><w:pStyle w:val="Normal"/></w:pPr>
<w:r><w:t xml:space="preserve">Ottoman government.  Success only stimulated his insatiable</w:t></w:r>
</w:p>
<w:p>
<w:pPr><w:pStyle w:val="Normal"/></w:pPr>
<w:r><w:t xml:space="preserve">ambition.  He earned the confidence of the Porte by the cruel</w:t></w:r>
</w:p>
<w:p>
<w:pPr><w:pStyle w:val="Normal"/></w:pPr>
<w:r><w:t xml:space="preserve">discipline he maintained in his own sanjak, and the regular</w:t></w:r>
</w:p>
<w:p>
<w:pPr><w:pStyle w:val="Normal"/></w:pPr>
<w:r><w:t xml:space="preserve">flow of tribute and bribes which he directed to Constantinople;</w:t></w:r>
</w:p>
<w:p>
<w:pPr><w:pStyle w:val="Normal"/></w:pPr>
<w:r><w:t xml:space="preserve">while he bent all his energies to extending his territories</w:t></w:r>
</w:p>
<w:p>
<w:pPr><w:pStyle w:val="Normal"/></w:pPr>
<w:r><w:t xml:space="preserve">at the expense of his neighbours.  The methods he adopted</w:t></w:r>
</w:p>
<w:p>
<w:pPr><w:pStyle w:val="Normal"/></w:pPr>
<w:r><w:t xml:space="preserve">would have done credit to Cesare Borgia; they may be studied</w:t></w:r>
</w:p>
<w:p>
<w:pPr><w:pStyle w:val="Normal"/></w:pPr>
<w:r><w:t xml:space="preserve">in detail in the lurid pages of Pouqueville.  Soon, by</w:t></w:r>
</w:p>
<w:p>
<w:pPr><w:pStyle w:val="Normal"/></w:pPr>
<w:r><w:t xml:space="preserve">one means or another, his power was supreme in all central</w:t></w:r>
</w:p>
<w:p>
<w:pPr><w:pStyle w:val="Normal"/></w:pPr>
<w:r><w:t xml:space="preserve">Albania.  Two main barriers still obstructed the realization</w:t></w:r>
</w:p>
<w:p>
<w:pPr><w:pStyle w:val="Normal"/></w:pPr>
<w:r><w:t xml:space="preserve">of his ambition, which now embraced Greece and Thessaly, as</w:t></w:r>
</w:p>
<w:p>
<w:pPr><w:pStyle w:val="Normal"/></w:pPr>
<w:r><w:t xml:space="preserve">well as Albania, and the establishment in the Mediterranean</w:t></w:r>
</w:p>
<w:p>
<w:pPr><w:pStyle w:val="Normal"/></w:pPr>
<w:r><w:t xml:space="preserve">of a sea-power which should rival that of the dey of Algiers.</w:t></w:r>
</w:p>
<w:p>
<w:pPr><w:pStyle w:val="Normal"/></w:pPr>
<w:r><w:t xml:space="preserve">The first of these was the resistance of the little Christian</w:t></w:r>
</w:p>
<w:p>
<w:pPr><w:pStyle w:val="Normal"/></w:pPr>
<w:r><w:t xml:space="preserve">hill community of Suli; the second the Venetian occupation</w:t></w:r>
</w:p>
<w:p>
<w:pPr><w:pStyle w:val="Normal"/></w:pPr>
<w:r><w:t xml:space="preserve">of the coast, within a mile of which--by convention with the</w:t></w:r>
</w:p>
<w:p>
<w:pPr><w:pStyle w:val="Normal"/></w:pPr>
<w:r><w:t xml:space="preserve">Porte--no Ottoman soldier might penetrate.  It needed three</w:t></w:r>
</w:p>
<w:p>
<w:pPr><w:pStyle w:val="Normal"/></w:pPr>
<w:r><w:t xml:space="preserve">several attacks before, in 1803, Ali conquered the Suliot</w:t></w:r>
</w:p>
<w:p>
<w:pPr><w:pStyle w:val="Normal"/></w:pPr>
<w:r><w:t xml:space="preserve">stronghold.  Events in western Europe gave him an earlier</w:t></w:r>
</w:p>
<w:p>
<w:pPr><w:pStyle w:val="Normal"/></w:pPr>
<w:r><w:t xml:space="preserve">opportunity of becoming master of most of the coast towns.  Ali</w:t></w:r>
</w:p>
<w:p>
<w:pPr><w:pStyle w:val="Normal"/></w:pPr>
<w:r><w:t xml:space="preserve">had watched with interest the career of Bonaparte in Italy, and</w:t></w:r>
</w:p>
<w:p>
<w:pPr><w:pStyle w:val="Normal"/></w:pPr>
<w:r><w:t xml:space="preserve">the treaty of Campo Formio (1797), which blotted the Venetian</w:t></w:r>
</w:p>
<w:p>
<w:pPr><w:pStyle w:val="Normal"/></w:pPr>
<w:r><w:t xml:space="preserve">republic from the map of Europe, gave him the opportunity he</w:t></w:r>
</w:p>
<w:p>
<w:pPr><w:pStyle w:val="Normal"/></w:pPr>
<w:r><w:t xml:space="preserve">desired.  In response to his advances commissaries of the</w:t></w:r>
</w:p>
<w:p>
<w:pPr><w:pStyle w:val="Normal"/></w:pPr>
<w:r><w:t xml:space="preserve">French republic visited him at Iannina and, affecting a</w:t></w:r>
</w:p>
<w:p>
<w:pPr><w:pStyle w:val="Normal"/></w:pPr>
<w:r><w:t xml:space="preserve">sudden zeal for republican principles, he easily obtained</w:t></w:r>
</w:p>
<w:p>
<w:pPr><w:pStyle w:val="Normal"/></w:pPr>
<w:r><w:t xml:space="preserve">permission to suppress the ``aristocratic&apos;&apos; tribes on the</w:t></w:r>
</w:p>
<w:p>
<w:pPr><w:pStyle w:val="Normal"/></w:pPr>
<w:r><w:t xml:space="preserve">coast.  His plans in Albania were interrupted by the war against</w:t></w:r>
</w:p>
<w:p>
<w:pPr><w:pStyle w:val="Normal"/></w:pPr>
<w:r><w:t xml:space="preserve">Pasvan Oglu, the rebellious pasha of Widdin, in which Ali</w:t></w:r>
</w:p>
<w:p>
<w:pPr><w:pStyle w:val="Normal"/></w:pPr>
<w:r><w:t xml:space="preserve">once more did good service.  Meanwhile international politics</w:t></w:r>
</w:p>
<w:p>
<w:pPr><w:pStyle w:val="Normal"/></w:pPr>
<w:r><w:t xml:space="preserve">had developed in a way that necessitated a change in Ali&apos;s</w:t></w:r>
</w:p>
<w:p>
<w:pPr><w:pStyle w:val="Normal"/></w:pPr>
<w:r><w:t xml:space="preserve">attitude.  Napoleon&apos;s occupation of the Ionian Islands and</w:t></w:r>
</w:p>
<w:p>
<w:pPr><w:pStyle w:val="Normal"/></w:pPr>
<w:r><w:t xml:space="preserve">his relations with Ali had alarmed Russia, which feared that</w:t></w:r>
</w:p>
<w:p>
<w:pPr><w:pStyle w:val="Normal"/></w:pPr>
<w:r><w:t xml:space="preserve">French influence would be substituted for her own in the</w:t></w:r>
</w:p>
<w:p>
<w:pPr><w:pStyle w:val="Normal"/></w:pPr>
<w:r><w:t xml:space="preserve">Balkan peninsula; and on the 5th of September 1798 a formal</w:t></w:r>
</w:p>
<w:p>
<w:pPr><w:pStyle w:val="Normal"/></w:pPr>
<w:r><w:t xml:space="preserve">alliance, to which Great Britain soon after acceded, was signed</w:t></w:r>
</w:p>
<w:p>
<w:pPr><w:pStyle w:val="Normal"/></w:pPr>
<w:r><w:t xml:space="preserve">on behalf of the emperor Paul and the sultan.  Once more Ali</w:t></w:r>
</w:p>
<w:p>
<w:pPr><w:pStyle w:val="Normal"/></w:pPr>
<w:r><w:t xml:space="preserve">turned Turk and fought against his recent friends with such</w:t></w:r>
</w:p>
<w:p>
<w:pPr><w:pStyle w:val="Normal"/></w:pPr>
<w:r><w:t xml:space="preserve">success that in the end he remained in possession of Butrinto,</w:t></w:r>
</w:p>
<w:p>
<w:pPr><w:pStyle w:val="Normal"/></w:pPr>
<w:r><w:t xml:space="preserve">Prevesa and Vonitza on the coast, was created pasha ``of three</w:t></w:r>
</w:p>
<w:p>
<w:pPr><w:pStyle w:val="Normal"/></w:pPr>
<w:r><w:t xml:space="preserve">tails&apos;&apos; by the sultan, and received the congratulations of</w:t></w:r>
</w:p>
<w:p>
<w:pPr><w:pStyle w:val="Normal"/></w:pPr>
<w:r><w:t xml:space="preserve">Nelson.  But the campaign of Austerlitz followed, then the</w:t></w:r>
</w:p>
<w:p>
<w:pPr><w:pStyle w:val="Normal"/></w:pPr>
<w:r><w:t xml:space="preserve">peace of Pressburg which guaranteed to Napoleon the former</w:t></w:r>
</w:p>
<w:p>
<w:pPr><w:pStyle w:val="Normal"/></w:pPr>
<w:r><w:t xml:space="preserve">dominions of Venice, and finally the treaty of Tilsit,</w:t></w:r>
</w:p>
<w:p>
<w:pPr><w:pStyle w:val="Normal"/></w:pPr>
<w:r><w:t xml:space="preserve">which involved, among other things, the withdrawal of the</w:t></w:r>
</w:p>
<w:p>
<w:pPr><w:pStyle w:val="Normal"/></w:pPr>
<w:r><w:t xml:space="preserve">Russians from the Ionian Islands and the Albanian coast.</w:t></w:r>
</w:p>
<w:p>
<w:pPr><w:pStyle w:val="Normal"/></w:pPr>
<w:r><w:t xml:space="preserve">Amid all the momentous changes the part of Ali was a difficult</w:t></w:r>
</w:p>
<w:p>
<w:pPr><w:pStyle w:val="Normal"/></w:pPr>
<w:r><w:t xml:space="preserve">one.  He had, moreover, to contend with domestic enemies,</w:t></w:r>
</w:p>
<w:p>
<w:pPr><w:pStyle w:val="Normal"/></w:pPr>
<w:r><w:t xml:space="preserve">and with difficulty defeated a league formed against</w:t></w:r>
</w:p>
<w:p>
<w:pPr><w:pStyle w:val="Normal"/></w:pPr>
<w:r><w:t xml:space="preserve">him by some Mussulman tribes, under Ibrahim of Berat and</w:t></w:r>
</w:p>
<w:p>
<w:pPr><w:pStyle w:val="Normal"/></w:pPr>
<w:r><w:t xml:space="preserve">Mustapha of Delvinon, and the Suliots.  He knew, however,</w:t></w:r>
</w:p>
<w:p>
<w:pPr><w:pStyle w:val="Normal"/></w:pPr>
<w:r><w:t xml:space="preserve">how to retain the confidence of the sultan, who not only</w:t></w:r>
</w:p>
<w:p>
<w:pPr><w:pStyle w:val="Normal"/></w:pPr>
<w:r><w:t xml:space="preserve">confirmed him in the possession of the whole of Albania</w:t></w:r>
</w:p>
<w:p>
<w:pPr><w:pStyle w:val="Normal"/></w:pPr>
<w:r><w:t xml:space="preserve">from Epirus to Montenegro, but even in 1799 appointed him</w:t></w:r>
</w:p>
<w:p>
<w:pPr><w:pStyle w:val="Normal"/></w:pPr>
<w:r><w:t xml:space="preserve">vali of Rumelia, an office which he held just long enough</w:t></w:r>
</w:p>
<w:p>
<w:pPr><w:pStyle w:val="Normal"/></w:pPr>
<w:r><w:t xml:space="preserve">to enable him to return to Iannina laden with the spoils of</w:t></w:r>
</w:p>
<w:p>
<w:pPr><w:pStyle w:val="Normal"/></w:pPr>
<w:r><w:t xml:space="preserve">Thessaly.  He was now at the height of his power.  In 1803</w:t></w:r>
</w:p>
<w:p>
<w:pPr><w:pStyle w:val="Normal"/></w:pPr>
<w:r><w:t xml:space="preserve">the Suliot stronghold fell; and he was undisputed master of</w:t></w:r>
</w:p>
<w:p>
<w:pPr><w:pStyle w:val="Normal"/></w:pPr>
<w:r><w:t xml:space="preserve">Epirus, Albania and Thessaly, while the pashalik of the Morea</w:t></w:r>
</w:p>
<w:p>
<w:pPr><w:pStyle w:val="Normal"/></w:pPr>
<w:r><w:t xml:space="preserve">was held by his son Veli, and that of Lepanto by his son</w:t></w:r>
</w:p>
<w:p>
<w:pPr><w:pStyle w:val="Normal"/></w:pPr>
<w:r><w:t xml:space="preserve">Mukhtar.  Only the little town of Parga held out against him</w:t></w:r>
</w:p>
<w:p>
<w:pPr><w:pStyle w:val="Normal"/></w:pPr>
<w:r><w:t xml:space="preserve">on the coast; and in order to obtain this he once more in 1807</w:t></w:r>
</w:p>
<w:p>
<w:pPr><w:pStyle w:val="Normal"/></w:pPr>
<w:r><w:t xml:space="preserve">entered into an alliance with Napoleon.  The French emperor,</w:t></w:r>
</w:p>
<w:p>
<w:pPr><w:pStyle w:val="Normal"/></w:pPr>
<w:r><w:t xml:space="preserve">however, preferred to keep Parga, as a convenient gate into</w:t></w:r>
</w:p>
<w:p>
<w:pPr><w:pStyle w:val="Normal"/></w:pPr>
<w:r><w:t xml:space="preserve">the Balkan peninsula, and it remained in French occupation</w:t></w:r>
</w:p>
<w:p>
<w:pPr><w:pStyle w:val="Normal"/></w:pPr>
<w:r><w:t xml:space="preserve">until March 1814, when the Pargiots rose against the garrison</w:t></w:r>
</w:p>
<w:p>
<w:pPr><w:pStyle w:val="Normal"/></w:pPr>
<w:r><w:t xml:space="preserve">and handed the fortress over to the British to save it from</w:t></w:r>
</w:p>
<w:p>
<w:pPr><w:pStyle w:val="Normal"/></w:pPr>
<w:r><w:t xml:space="preserve">falling into the hands of Ali, who had bought the town from</w:t></w:r>
</w:p>
<w:p>
<w:pPr><w:pStyle w:val="Normal"/></w:pPr>
<w:r><w:t xml:space="preserve">the French commander, Cozi Nikolo, and was closely investing</w:t></w:r>
</w:p>
<w:p>
<w:pPr><w:pStyle w:val="Normal"/></w:pPr>
<w:r><w:t xml:space="preserve">it.  The cordial relations between Napoleon and the pasha</w:t></w:r>
</w:p>
<w:p>
<w:pPr><w:pStyle w:val="Normal"/></w:pPr>
<w:r><w:t xml:space="preserve">of Iannina had not long continued.  Ali was angered by the</w:t></w:r>
</w:p>
<w:p>
<w:pPr><w:pStyle w:val="Normal"/></w:pPr>
<w:r><w:t xml:space="preserve">refusal to surrender Parga and justly suspicious of the</w:t></w:r>
</w:p>
<w:p>
<w:pPr><w:pStyle w:val="Normal"/></w:pPr>
<w:r><w:t xml:space="preserve">ambitions which this refusal implied; he could not feel</w:t></w:r>
</w:p>
<w:p>
<w:pPr><w:pStyle w:val="Normal"/></w:pPr>
<w:r><w:t xml:space="preserve">himself secure with the Ionian Islands and the Dalmatian</w:t></w:r>
</w:p>
<w:p>
<w:pPr><w:pStyle w:val="Normal"/></w:pPr>
<w:r><w:t xml:space="preserve">coast in the hands of a power whose plans in the East were</w:t></w:r>
</w:p>
<w:p>
<w:pPr><w:pStyle w:val="Normal"/></w:pPr>
<w:r><w:t xml:space="preserve">notorious, and he was glad enough to avail himself of Napoleon&apos;s</w:t></w:r>
</w:p>
<w:p>
<w:pPr><w:pStyle w:val="Normal"/></w:pPr>
<w:r><w:t xml:space="preserve">reverses in 1812 to help to rid himself of so dangerous a</w:t></w:r>
</w:p>
<w:p>
<w:pPr><w:pStyle w:val="Normal"/></w:pPr>
<w:r><w:t xml:space="preserve">neighbor.  His services to the allies received their reward.</w:t></w:r>
</w:p>
<w:p>
<w:pPr><w:pStyle w:val="Normal"/></w:pPr>
<w:r><w:t xml:space="preserve">Still bent on obtaining Parga, he sent a special mission to</w:t></w:r>
</w:p>
<w:p>
<w:pPr><w:pStyle w:val="Normal"/></w:pPr>
<w:r><w:t xml:space="preserve">London, backed by a letter from Sir Robert Liston, the British</w:t></w:r>
</w:p>
<w:p>
<w:pPr><w:pStyle w:val="Normal"/></w:pPr>
<w:r><w:t xml:space="preserve">ambassador at Constantinople, calling the attention of the</w:t></w:r>
</w:p>
<w:p>
<w:pPr><w:pStyle w:val="Normal"/></w:pPr>
<w:r><w:t xml:space="preserve">government to the pasha&apos;s supereminent qualities&apos;&apos; and his</w:t></w:r>
</w:p>
<w:p>
<w:pPr><w:pStyle w:val="Normal"/></w:pPr>
<w:r><w:t xml:space="preserve">services against the French.  After some hesitation it was</w:t></w:r>
</w:p>
<w:p>
<w:pPr><w:pStyle w:val="Normal"/></w:pPr>
<w:r><w:t xml:space="preserve">decided to evacuate Parga and hand it over to the Ottoman</w:t></w:r>
</w:p>
<w:p>
<w:pPr><w:pStyle w:val="Normal"/></w:pPr>
<w:r><w:t xml:space="preserve">government, i.e. Ali Pasha.  The convention by which this</w:t></w:r>
</w:p>
<w:p>
<w:pPr><w:pStyle w:val="Normal"/></w:pPr>
<w:r><w:t xml:space="preserve">was effected was ultimately signed on the 17th of May 1817,</w:t></w:r>
</w:p>
<w:p>
<w:pPr><w:pStyle w:val="Normal"/></w:pPr>
<w:r><w:t xml:space="preserve">being ratified by the sultan on the 24th of April 1819.</w:t></w:r>
</w:p>
<w:p>
<w:pPr><w:pStyle w:val="Normal"/></w:pPr>
<w:r><w:t xml:space="preserve">By its terms the Pargiots were to receive an asylum in the</w:t></w:r>
</w:p>
<w:p>
<w:pPr><w:pStyle w:val="Normal"/></w:pPr>
<w:r><w:t xml:space="preserve">islands, the Ottoman government undertaking to pay compensation</w:t></w:r>
</w:p>
<w:p>
<w:pPr><w:pStyle w:val="Normal"/></w:pPr>
<w:r><w:t xml:space="preserve">for their property.  Ali had no difficulty in finding the</w:t></w:r>
</w:p>
<w:p>
<w:pPr><w:pStyle w:val="Normal"/></w:pPr>
<w:r><w:t xml:space="preserve">money; the garrison, as soon as it was received, marched</w:t></w:r>
</w:p>
<w:p>
<w:pPr><w:pStyle w:val="Normal"/></w:pPr>
<w:r><w:t xml:space="preserve">out with the bulk of the inhabitants; and the last citadel</w:t></w:r>
</w:p>
<w:p>
<w:pPr><w:pStyle w:val="Normal"/></w:pPr>
<w:r><w:t xml:space="preserve">of freedom in the Balkans fell to the tyrant of Iannina.1</w:t></w:r>
</w:p>
<w:p>
<w:pPr><w:pStyle w:val="Normal"/></w:pPr>
<w:r><w:t xml:space="preserve">Ali&apos;s authority in the great part of the peninsula subject to</w:t></w:r>
</w:p>
<w:p>
<w:pPr><w:pStyle w:val="Normal"/></w:pPr>
<w:r><w:t xml:space="preserve">him now overshadowed that of the sultan; and Mahmud II., whose</w:t></w:r>
</w:p>
<w:p>
<w:pPr><w:pStyle w:val="Normal"/></w:pPr>
<w:r><w:t xml:space="preserve">whole policy had been directed to destroying the overgrown</w:t></w:r>
</w:p>
<w:p>
<w:pPr><w:pStyle w:val="Normal"/></w:pPr>
<w:r><w:t xml:space="preserve">power of the provincial pashas, began to seek a pretext for</w:t></w:r>
</w:p>
<w:p>
<w:pPr><w:pStyle w:val="Normal"/></w:pPr>
<w:r><w:t xml:space="preserve">overthrowing the Lion of Iannina, whose all-devouring ambition</w:t></w:r>
</w:p>
<w:p>
<w:pPr><w:pStyle w:val="Normal"/></w:pPr>
<w:r><w:t xml:space="preserve">seemed to threaten his own throne.  The occasion came in 1820</w:t></w:r>
</w:p>
<w:p>
<w:pPr><w:pStyle w:val="Normal"/></w:pPr>
<w:r><w:t xml:space="preserve">when Ali, emboldened by impunity, violated the sanctity of</w:t></w:r>
</w:p>
<w:p>
<w:pPr><w:pStyle w:val="Normal"/></w:pPr>
<w:r><w:t xml:space="preserve">Stamboul itself by attempting to procure the murder of his</w:t></w:r>
</w:p>
<w:p>
<w:pPr><w:pStyle w:val="Normal"/></w:pPr>
<w:r><w:t xml:space="preserve">enemy Pacho Bey in the very precincts of the palace.  A decree</w:t></w:r>
</w:p>
<w:p>
<w:pPr><w:pStyle w:val="Normal"/></w:pPr>
<w:r><w:t xml:space="preserve">of disposition was now issued against the sacrilegious vali,</w:t></w:r>
</w:p>
<w:p>
<w:pPr><w:pStyle w:val="Normal"/></w:pPr>
<w:r><w:t xml:space="preserve">who had dared ``to fire shots in Constantinople, the residence</w:t></w:r>
</w:p>
<w:p>
<w:pPr><w:pStyle w:val="Normal"/></w:pPr>
<w:r><w:t xml:space="preserve">of the caliph, and the centre of security.&apos;&apos; Its execution was</w:t></w:r>
</w:p>
<w:p>
<w:pPr><w:pStyle w:val="Normal"/></w:pPr>
<w:r><w:t xml:space="preserve">entrusted to Khurshid Pasha, with the bulk of the Ottoman forces.</w:t></w:r>
</w:p>
<w:p>
<w:pPr><w:pStyle w:val="Normal"/></w:pPr>
<w:r><w:t xml:space="preserve">For two years Ali, now over eighty years of age, held his</w:t></w:r>
</w:p>
<w:p>
<w:pPr><w:pStyle w:val="Normal"/></w:pPr>
<w:r><w:t xml:space="preserve">own, in spite of the defection of his vassals and even of his</w:t></w:r>
</w:p>
<w:p>
<w:pPr><w:pStyle w:val="Normal"/></w:pPr>
<w:r><w:t xml:space="preserve">sons.  At last, in the spring of 1822, after a prolonged siege</w:t></w:r>
</w:p>
<w:p>
<w:pPr><w:pStyle w:val="Normal"/></w:pPr>
<w:r><w:t xml:space="preserve">in his island fortress at Iannina, which even the outbreak</w:t></w:r>
</w:p>
<w:p>
<w:pPr><w:pStyle w:val="Normal"/></w:pPr>
<w:r><w:t xml:space="preserve">of the Greek revolt had not served to raise, the intrepid old</w:t></w:r>
</w:p>
<w:p>
<w:pPr><w:pStyle w:val="Normal"/></w:pPr>
<w:r><w:t xml:space="preserve">man was forced to sue for terms.  He asked and received an</w:t></w:r>
</w:p>
<w:p>
<w:pPr><w:pStyle w:val="Normal"/></w:pPr>
<w:r><w:t xml:space="preserve">interview with Khurshid, was received courteously and dismissed</w:t></w:r>
</w:p>
<w:p>
<w:pPr><w:pStyle w:val="Normal"/></w:pPr>
<w:r><w:t xml:space="preserve">with the most friendly assurances.  As he turned to leave the</w:t></w:r>
</w:p>
<w:p>
<w:pPr><w:pStyle w:val="Normal"/></w:pPr>
<w:r><w:t xml:space="preserve">grand vizier&apos;s tent he was stabbed in the back; his head was</w:t></w:r>
</w:p>
<w:p>
<w:pPr><w:pStyle w:val="Normal"/></w:pPr>
<w:r><w:t xml:space="preserve">cut off and sent to Constantinople.  Notwithstanding their</w:t></w:r>
</w:p>
<w:p>
<w:pPr><w:pStyle w:val="Normal"/></w:pPr>
<w:r><w:t xml:space="preserve">treason to their father, his sons met with the same fate.</w:t></w:r>
</w:p>
<w:p>
<w:pPr><w:pStyle w:val="Normal"/></w:pPr>
<w:r><w:t xml:space="preserve">In spite of the ferocious characteristics which have been</w:t></w:r>
</w:p>
<w:p>
<w:pPr><w:pStyle w:val="Normal"/></w:pPr>
<w:r><w:t xml:space="preserve">suggested in the above sketch, Ali Pasha is undoubtedly one</w:t></w:r>
</w:p>
<w:p>
<w:pPr><w:pStyle w:val="Normal"/></w:pPr>
<w:r><w:t xml:space="preserve">of the most remarkable, as he is one of the most picturesque,</w:t></w:r>
</w:p>
<w:p>
<w:pPr><w:pStyle w:val="Normal"/></w:pPr>
<w:r><w:t xml:space="preserve">figures in modern history; and as such he was recognized</w:t></w:r>
</w:p>
<w:p>
<w:pPr><w:pStyle w:val="Normal"/></w:pPr>
<w:r><w:t xml:space="preserve">in his own day.  His court at Iannina was the centre of a</w:t></w:r>
</w:p>
<w:p>
<w:pPr><w:pStyle w:val="Normal"/></w:pPr>
<w:r><w:t xml:space="preserve">sort of barbarous culture, in which astrologers, alchemists</w:t></w:r>
</w:p>
<w:p>
<w:pPr><w:pStyle w:val="Normal"/></w:pPr>
<w:r><w:t xml:space="preserve">and Greek poets played their part, and was often visited by</w:t></w:r>
</w:p>
<w:p>
<w:pPr><w:pStyle w:val="Normal"/></w:pPr>
<w:r><w:t xml:space="preserve">travellers.  Amongst others, Byron came, and has left a record</w:t></w:r>
</w:p>
<w:p>
<w:pPr><w:pStyle w:val="Normal"/></w:pPr>
<w:r><w:t xml:space="preserve">of his impressions in ``Childe Harold&apos;s Pilgrimage,&apos;&apos; less</w:t></w:r>
</w:p>
<w:p>
<w:pPr><w:pStyle w:val="Normal"/></w:pPr>
<w:r><w:t xml:space="preserve">interesting and vivid than the prose accounts of Pouqueville,</w:t></w:r>
</w:p>
<w:p>
<w:pPr><w:pStyle w:val="Normal"/></w:pPr>
<w:r><w:t xml:space="preserve">T. S. Hughes and William M. Leake.  Leake (iii. 259) reports</w:t></w:r>
</w:p>
<w:p>
<w:pPr><w:pStyle w:val="Normal"/></w:pPr>
<w:r><w:t xml:space="preserve">a reproof addressed by Ali to the French renegade Ibrahim</w:t></w:r>
</w:p>
<w:p>
<w:pPr><w:pStyle w:val="Normal"/></w:pPr>
<w:r><w:t xml:space="preserve">Effendi, who had ventured to remonstrate against some</w:t></w:r>
</w:p>
<w:p>
<w:pPr><w:pStyle w:val="Normal"/></w:pPr>
<w:r><w:t xml:space="preserve">particular act of ferocity: ``At present you are too young at</w:t></w:r>
</w:p>
<w:p>
<w:pPr><w:pStyle w:val="Normal"/></w:pPr>
<w:r><w:t xml:space="preserve">my court to know how to comport yourself. . . . You are not</w:t></w:r>
</w:p>
<w:p>
<w:pPr><w:pStyle w:val="Normal"/></w:pPr>
<w:r><w:t xml:space="preserve">yet acquainted with the Greeks and Albanians: when I hang up</w:t></w:r>
</w:p>
<w:p>
<w:pPr><w:pStyle w:val="Normal"/></w:pPr>
<w:r><w:t xml:space="preserve">one of these wretches on the plane-tree, brother robs brother</w:t></w:r>
</w:p>
<w:p>
<w:pPr><w:pStyle w:val="Normal"/></w:pPr>
<w:r><w:t xml:space="preserve">under the very branches: if I burn one of them alive, the</w:t></w:r>
</w:p>
<w:p>
<w:pPr><w:pStyle w:val="Normal"/></w:pPr>
<w:r><w:t xml:space="preserve">son is ready to steal his father&apos;s ashes to sell them for</w:t></w:r>
</w:p>
<w:p>
<w:pPr><w:pStyle w:val="Normal"/></w:pPr>
<w:r><w:t xml:space="preserve">money.  They are destined to be ruled by me; and no one but Ali</w:t></w:r>
</w:p>
<w:p>
<w:pPr><w:pStyle w:val="Normal"/></w:pPr>
<w:r><w:t xml:space="preserve">is able to restrain their evil propensities.&apos;&apos; This is perhaps</w:t></w:r>
</w:p>
<w:p>
<w:pPr><w:pStyle w:val="Normal"/></w:pPr>
<w:r><w:t xml:space="preserve">as good an apology as could be made for his character and</w:t></w:r>
</w:p>
<w:p>
<w:pPr><w:pStyle w:val="Normal"/></w:pPr>
<w:r><w:t xml:space="preserve">methods.  To the wild people over whom he ruled none was</w:t></w:r>
</w:p>
<w:p>
<w:pPr><w:pStyle w:val="Normal"/></w:pPr>
<w:r><w:t xml:space="preserve">needed.  He had their respect, if not their love; he is the hero</w:t></w:r>
</w:p>
<w:p>
<w:pPr><w:pStyle w:val="Normal"/></w:pPr>
<w:r><w:t xml:space="preserve">of a thousand ballads; and his portrait still hangs among the</w:t></w:r>
</w:p>
<w:p>
<w:pPr><w:pStyle w:val="Normal"/></w:pPr>
<w:r><w:t xml:space="preserve">ikons in the cottages of the Greek mountaineers.  All accounts</w:t></w:r>
</w:p>
<w:p>
<w:pPr><w:pStyle w:val="Normal"/></w:pPr>
<w:r><w:t xml:space="preserve">agree in describing him in later life as a man of handsome</w:t></w:r>
</w:p>
<w:p>
<w:pPr><w:pStyle w:val="Normal"/></w:pPr>
<w:r><w:t xml:space="preserve">presence, with a venerable white beard, piercing black eyes</w:t></w:r>
</w:p>
<w:p>
<w:pPr><w:pStyle w:val="Normal"/></w:pPr>
<w:r><w:t xml:space="preserve">and a benevolent cast of countenance, the effect of which was</w:t></w:r>
</w:p>
<w:p>
<w:pPr><w:pStyle w:val="Normal"/></w:pPr>
<w:r><w:t xml:space="preserve">heightened in conversation by a voice of singular sweetness.</w:t></w:r>
</w:p>
<w:p>
<w:pPr><w:pStyle w:val="Normal"/></w:pPr>
<w:r><w:t xml:space="preserve">AUTHORITIES.--Apart from the scattered references in the</w:t></w:r>
</w:p>
<w:p>
<w:pPr><w:pStyle w:val="Normal"/></w:pPr>
<w:r><w:t xml:space="preserve">published and unpublished diplomatic correspondence of the</w:t></w:r>
</w:p>
<w:p>
<w:pPr><w:pStyle w:val="Normal"/></w:pPr>
<w:r><w:t xml:space="preserve">period, contemporary journals and books of travel contain</w:t></w:r>
</w:p>
<w:p>
<w:pPr><w:pStyle w:val="Normal"/></w:pPr>
<w:r><w:t xml:space="preserve">much interesting material for the life of Ali. Of these may</w:t></w:r>
</w:p>
<w:p>
<w:pPr><w:pStyle w:val="Normal"/></w:pPr>
<w:r><w:t xml:space="preserve">especially be mentioned Francois C. H. L. Pouqueville, Voyage en</w:t></w:r>
</w:p>
<w:p>
<w:pPr><w:pStyle w:val="Normal"/></w:pPr>
<w:r><w:t xml:space="preserve">Moree, a Constantinople, en Albanie, &amp;c. (3 vols., Paris,</w:t></w:r>
</w:p>
<w:p>
<w:pPr><w:pStyle w:val="Normal"/></w:pPr>
<w:r><w:t xml:space="preserve">1805), of which an English version by A. Plumptre was published</w:t></w:r>
</w:p>
<w:p>
<w:pPr><w:pStyle w:val="Normal"/></w:pPr>
<w:r><w:t xml:space="preserve">in 1815; ib. Voyage dans la Grece (5 vols., Paris, 1820,</w:t></w:r>
</w:p>
<w:p>
<w:pPr><w:pStyle w:val="Normal"/></w:pPr>
<w:r><w:t xml:space="preserve">1821).  Pouqueville, who spent some time as French resident</w:t></w:r>
</w:p>
<w:p>
<w:pPr><w:pStyle w:val="Normal"/></w:pPr>
<w:r><w:t xml:space="preserve">at Iannina, had special facilities for obtaining firsthand</w:t></w:r>
</w:p>
<w:p>
<w:pPr><w:pStyle w:val="Normal"/></w:pPr>
<w:r><w:t xml:space="preserve">information, though his emotionalism makes his observations</w:t></w:r>
</w:p>
<w:p>
<w:pPr><w:pStyle w:val="Normal"/></w:pPr>
<w:r><w:t xml:space="preserve">and deductions at times somewhat suspect.  Very interesting</w:t></w:r>
</w:p>
<w:p>
<w:pPr><w:pStyle w:val="Normal"/></w:pPr>
<w:r><w:t xml:space="preserve">also are Thomas Smart Hughes, Travels in Greece and Albania</w:t></w:r>
</w:p>
<w:p>
<w:pPr><w:pStyle w:val="Normal"/></w:pPr>
<w:r><w:t xml:space="preserve">(2 vols., 2nd ed., Lond. 1830); John Cam Hobhouse (Lord</w:t></w:r>
</w:p>
<w:p>
<w:pPr><w:pStyle w:val="Normal"/></w:pPr>
<w:r><w:t xml:space="preserve">Broughton), A Journey through Albania, &amp;c. . . . during</w:t></w:r>
</w:p>
<w:p>
<w:pPr><w:pStyle w:val="Normal"/></w:pPr>
<w:r><w:t xml:space="preserve">the years 1809 and 1810 (Lond., 4to, 1813, a new ed., 2</w:t></w:r>
</w:p>
<w:p>
<w:pPr><w:pStyle w:val="Normal"/></w:pPr>
<w:r><w:t xml:space="preserve">vols., 1855); William Martin Leake, Travels in Northern</w:t></w:r>
</w:p>
<w:p>
<w:pPr><w:pStyle w:val="Normal"/></w:pPr>
<w:r><w:t xml:space="preserve">Greece (4 vols., Lond. 1845).  See also Pouqueville&apos;s Hist.</w:t></w:r>
</w:p>
<w:p>
<w:pPr><w:pStyle w:val="Normal"/></w:pPr>
<w:r><w:t xml:space="preserve">de la regeneration de la Grece, 1740-1824 (4 vols.,</w:t></w:r>
</w:p>
<w:p>
<w:pPr><w:pStyle w:val="Normal"/></w:pPr>
<w:r><w:t xml:space="preserve">Paris, 1824, 3rd ed., Brussels, 1825); R. A. Davenport,</w:t></w:r>
</w:p>
<w:p>
<w:pPr><w:pStyle w:val="Normal"/></w:pPr>
<w:r><w:t xml:space="preserve">Life of Ali Pasha, vizier of Epirus (1861). (W. A. P.)</w:t></w:r>
</w:p>
<w:p>
<w:pPr><w:pStyle w:val="Normal"/></w:pPr>
<w:r><w:t xml:space="preserve">1 In his report on the Ionian Treaty presented to Lord</w:t></w:r>
</w:p>
<w:p>
<w:pPr><w:pStyle w:val="Normal"/></w:pPr>
<w:r><w:t xml:space="preserve">Castlereagh at the congress of Vienna in December 1814, Sir</w:t></w:r>
</w:p>
<w:p>
<w:pPr><w:pStyle w:val="Normal"/></w:pPr>
<w:r><w:t xml:space="preserve">Richard Church strongly advocated, not only the retention of</w:t></w:r>
</w:p>
<w:p>
<w:pPr><w:pStyle w:val="Normal"/></w:pPr>
<w:r><w:t xml:space="preserve">Parga, but that Vonitza, Prevesa and Butrinto also should be</w:t></w:r>
</w:p>
<w:p>
<w:pPr><w:pStyle w:val="Normal"/></w:pPr>
<w:r><w:t xml:space="preserve">taken from Ali Pasha and placed under British protection, a</w:t></w:r>
</w:p>
<w:p>
<w:pPr><w:pStyle w:val="Normal"/></w:pPr>
<w:r><w:t xml:space="preserve">measure he considered necessary. for the safety of the Ionian</w:t></w:r>
</w:p>
<w:p>
<w:pPr><w:pStyle w:val="Normal"/></w:pPr>
<w:r><w:t xml:space="preserve">Islands. ``Ali Pasha,&apos;&apos; he wrote, ``is now busy building</w:t></w:r>
</w:p>
<w:p>
<w:pPr><w:pStyle w:val="Normal"/></w:pPr>
<w:r><w:t xml:space="preserve">forts along his coast and strengthening his castles in the</w:t></w:r>
</w:p>
<w:p>
<w:pPr><w:pStyle w:val="Normal"/></w:pPr>
<w:r><w:t xml:space="preserve">interior.  In January 1814 he had 14,000 peasants at work on</w:t></w:r>
</w:p>
<w:p>
<w:pPr><w:pStyle w:val="Normal"/></w:pPr>
<w:r><w:t xml:space="preserve">the castle of Argiro Castro, and about 1500 erecting a fort at</w:t></w:r>
</w:p>
<w:p>
<w:pPr><w:pStyle w:val="Normal"/></w:pPr>
<w:r><w:t xml:space="preserve">Porto Palermo, nearly opposite Corfu.&apos;&apos; In 1810 he had erected</w:t></w:r>
</w:p>
<w:p>
<w:pPr><w:pStyle w:val="Normal"/></w:pPr>
<w:r><w:t xml:space="preserve">a fort directly opposite Santa Maura commanding the harbour.</w:t></w:r>
</w:p>
<w:p>
<w:pPr><w:pStyle w:val="Normal"/></w:pPr>
<w:r><w:t xml:space="preserve">The fate of Parga created intense feeling at the time in</w:t></w:r>
</w:p>
<w:p>
<w:pPr><w:pStyle w:val="Normal"/></w:pPr>
<w:r><w:t xml:space="preserve">England, and was cited by Liberals as a crowning instance of</w:t></w:r>
</w:p>
<w:p>
<w:pPr><w:pStyle w:val="Normal"/></w:pPr>
<w:r><w:t xml:space="preserve">the perfidy of the government and of Castlereagh&apos;s subservience</w:t></w:r>
</w:p>
<w:p>
<w:pPr><w:pStyle w:val="Normal"/></w:pPr>
<w:r><w:t xml:space="preserve">to reactionary tendencies abroad.  The step, however,</w:t></w:r>
</w:p>
<w:p>
<w:pPr><w:pStyle w:val="Normal"/></w:pPr>
<w:r><w:t xml:space="preserve">was not lightly taken.  In occupying the town the British</w:t></w:r>
</w:p>
<w:p>
<w:pPr><w:pStyle w:val="Normal"/></w:pPr>
<w:r><w:t xml:space="preserve">general had expressly refrained from pledging Great Britain</w:t></w:r>
</w:p>
<w:p>
<w:pPr><w:pStyle w:val="Normal"/></w:pPr>
<w:r><w:t xml:space="preserve">to remain there; and the government held that any permanent</w:t></w:r>
</w:p>
<w:p>
<w:pPr><w:pStyle w:val="Normal"/></w:pPr>
<w:r><w:t xml:space="preserve">occupation of a post on the mainland carried with it risks of</w:t></w:r>
</w:p>
<w:p>
<w:pPr><w:pStyle w:val="Normal"/></w:pPr>
<w:r><w:t xml:space="preserve">complications out of all proportion to any possible benefit.</w:t></w:r>
</w:p>
<w:p>
<w:pPr><w:pStyle w:val="Normal"/></w:pPr>
<w:r><w:t xml:space="preserve">ALIAGA, a town of the province of Nueva Ecija, Luzon,</w:t></w:r>
</w:p>
<w:p>
<w:pPr><w:pStyle w:val="Normal"/></w:pPr>
<w:r><w:t xml:space="preserve">Philippine Islands, about 70 m.  N. by W. of Manila.  Pop.</w:t></w:r>
</w:p>
<w:p>
<w:pPr><w:pStyle w:val="Normal"/></w:pPr>
<w:r><w:t xml:space="preserve">(1903) 11,950.  It has a comparatively cool and healthful</w:t></w:r>
</w:p>
<w:p>
<w:pPr><w:pStyle w:val="Normal"/></w:pPr>
<w:r><w:t xml:space="preserve">climate, and is pleasantly situated about midway between the</w:t></w:r>
</w:p>
<w:p>
<w:pPr><w:pStyle w:val="Normal"/></w:pPr>
<w:r><w:t xml:space="preserve">Pampanga Grande and the Pampanga Chico rivers, and in a large</w:t></w:r>
</w:p>
<w:p>
<w:pPr><w:pStyle w:val="Normal"/></w:pPr>
<w:r><w:t xml:space="preserve">and fertile valley of which the principal products are Indian</w:t></w:r>
</w:p>
<w:p>
<w:pPr><w:pStyle w:val="Normal"/></w:pPr>
<w:r><w:t xml:space="preserve">corn, rice, sugar and tobacco.  Tagalog is the most important</w:t></w:r>
</w:p>
<w:p>
<w:pPr><w:pStyle w:val="Normal"/></w:pPr>
<w:r><w:t xml:space="preserve">language; Ilocano, Pampango and Pangasinan are also used.</w:t></w:r>
</w:p>
<w:p>
<w:pPr><w:pStyle w:val="Normal"/></w:pPr>
<w:r><w:t xml:space="preserve">ALIAS (Lat. for ``at another time&apos;&apos;), a term used to</w:t></w:r>
</w:p>
<w:p>
<w:pPr><w:pStyle w:val="Normal"/></w:pPr>
<w:r><w:t xml:space="preserve">connect the different names of a person who has passed under</w:t></w:r>
</w:p>
<w:p>
<w:pPr><w:pStyle w:val="Normal"/></w:pPr>
<w:r><w:t xml:space="preserve">more than one, in order to conceal his identity, or for</w:t></w:r>
</w:p>
<w:p>
<w:pPr><w:pStyle w:val="Normal"/></w:pPr>
<w:r><w:t xml:space="preserve">other reasons; or, compendiously, to describe the adopted</w:t></w:r>
</w:p>
<w:p>
<w:pPr><w:pStyle w:val="Normal"/></w:pPr>
<w:r><w:t xml:space="preserve">name.  The expression alias dictus was formerly used in</w:t></w:r>
</w:p>
<w:p>
<w:pPr><w:pStyle w:val="Normal"/></w:pPr>
<w:r><w:t xml:space="preserve">legal indictments, and pleadings where absolute precision was</w:t></w:r>
</w:p>
<w:p>
<w:pPr><w:pStyle w:val="Normal"/></w:pPr>
<w:r><w:t xml:space="preserve">necessary in identifying the person to be charged, as ``John</w:t></w:r>
</w:p>
<w:p>
<w:pPr><w:pStyle w:val="Normal"/></w:pPr>
<w:r><w:t xml:space="preserve">Jones, alias dictus James Smith.&apos;&apos; The adoption of a name</w:t></w:r>
</w:p>
<w:p>
<w:pPr><w:pStyle w:val="Normal"/></w:pPr>
<w:r><w:t xml:space="preserve">other than a man&apos;s baptismal or surname need not necessarily</w:t></w:r>
</w:p>
<w:p>
<w:pPr><w:pStyle w:val="Normal"/></w:pPr>
<w:r><w:t xml:space="preserve">be for the purpose of deception or fraud; pseudonyms or</w:t></w:r>
</w:p>
<w:p>
<w:pPr><w:pStyle w:val="Normal"/></w:pPr>
<w:r><w:t xml:space="preserve">nicknames fall thus under the description of an alias.</w:t></w:r>
</w:p>
<w:p>
<w:pPr><w:pStyle w:val="Normal"/></w:pPr>
<w:r><w:t xml:space="preserve">Where a person is married under an alias, the marriage is</w:t></w:r>
</w:p>
<w:p>
<w:pPr><w:pStyle w:val="Normal"/></w:pPr>
<w:r><w:t xml:space="preserve">void when both parties have knowingly and wilfully connived</w:t></w:r>
</w:p>
<w:p>
<w:pPr><w:pStyle w:val="Normal"/></w:pPr>
<w:r><w:t xml:space="preserve">at the adoption of the alias, with a fraudulent intention.</w:t></w:r>
</w:p>
<w:p>
<w:pPr><w:pStyle w:val="Normal"/></w:pPr>
<w:r><w:t xml:space="preserve">But if one of the parties to a marriage has acquired a new</w:t></w:r>
</w:p>
<w:p>
<w:pPr><w:pStyle w:val="Normal"/></w:pPr>
<w:r><w:t xml:space="preserve">name by use and reputation, or if the true name of any one of</w:t></w:r>
</w:p>
<w:p>
<w:pPr><w:pStyle w:val="Normal"/></w:pPr>
<w:r><w:t xml:space="preserve">the parties is not known to the other, the use of an alias</w:t></w:r>
</w:p>
<w:p>
<w:pPr><w:pStyle w:val="Normal"/></w:pPr>
<w:r><w:t xml:space="preserve">in these cases will not affect the validity of the marriage.</w:t></w:r>
</w:p>
<w:p>
<w:pPr><w:pStyle w:val="Normal"/></w:pPr>
<w:r><w:t xml:space="preserve">ALIBI (Lat. for ``elsewhere&apos;&apos;), in law, the defence resorted</w:t></w:r>
</w:p>
<w:p>
<w:pPr><w:pStyle w:val="Normal"/></w:pPr>
<w:r><w:t xml:space="preserve">to in criminal prosecutions, where the person charged alleges</w:t></w:r>
</w:p>
<w:p>
<w:pPr><w:pStyle w:val="Normal"/></w:pPr>
<w:r><w:t xml:space="preserve">that he was so far distant at the time from the place where the</w:t></w:r>
</w:p>
<w:p>
<w:pPr><w:pStyle w:val="Normal"/></w:pPr>
<w:r><w:t xml:space="preserve">crime was committed that he could not have been guilty.  An alibi,</w:t></w:r>
</w:p>
<w:p>
<w:pPr><w:pStyle w:val="Normal"/></w:pPr>
<w:r><w:t xml:space="preserve">if substantiated, is the most conclusive proof of innocence.</w:t></w:r>
</w:p>
<w:p>
<w:pPr><w:pStyle w:val="Normal"/></w:pPr>
<w:r><w:t xml:space="preserve">ALICANTE, a province of south-eastern Spain; bounded</w:t></w:r>
</w:p>
<w:p>
<w:pPr><w:pStyle w:val="Normal"/></w:pPr>
<w:r><w:t xml:space="preserve">on the N. by Valencia, W. by Albacete and Murcia, S. by</w:t></w:r>
</w:p>
<w:p>
<w:pPr><w:pStyle w:val="Normal"/></w:pPr>
<w:r><w:t xml:space="preserve">Murcia, and S.E. and E. by the Mediterranean Sea. Pop. (1900)</w:t></w:r>
</w:p>
<w:p>
<w:pPr><w:pStyle w:val="Normal"/></w:pPr>
<w:r><w:t xml:space="preserve">470,149; area, 2096 sq. m.  Alicante was formed in 1833 of</w:t></w:r>
</w:p>
<w:p>
<w:pPr><w:pStyle w:val="Normal"/></w:pPr>
<w:r><w:t xml:space="preserve">districts taken from the ancient provinces of Valencia and</w:t></w:r>
</w:p>
<w:p>
<w:pPr><w:pStyle w:val="Normal"/></w:pPr>
<w:r><w:t xml:space="preserve">Murcia, Valencia contributing by far the larger portion.</w:t></w:r>
</w:p>
<w:p>
<w:pPr><w:pStyle w:val="Normal"/></w:pPr>
<w:r><w:t xml:space="preserve">The surface of the province is extremely diversified.  In</w:t></w:r>
</w:p>
<w:p>
<w:pPr><w:pStyle w:val="Normal"/></w:pPr>
<w:r><w:t xml:space="preserve">the north and west there are extensive mountain ranges of</w:t></w:r>
</w:p>
<w:p>
<w:pPr><w:pStyle w:val="Normal"/></w:pPr>
<w:r><w:t xml:space="preserve">calcareous formation, intersected by deep ravines; while</w:t></w:r>
</w:p>
<w:p>
<w:pPr><w:pStyle w:val="Normal"/></w:pPr>
<w:r><w:t xml:space="preserve">farther south the land is more level, and there are many</w:t></w:r>
</w:p>
<w:p>
<w:pPr><w:pStyle w:val="Normal"/></w:pPr>
<w:r><w:t xml:space="preserve">fertile valleys.  On the Mediterranean coast, unhealthy</w:t></w:r>
</w:p>
<w:p>
<w:pPr><w:pStyle w:val="Normal"/></w:pPr>
<w:r><w:t xml:space="preserve">salt marshes alternate with rich plains of pleasant and</w:t></w:r>
</w:p>
<w:p>
<w:pPr><w:pStyle w:val="Normal"/></w:pPr>
<w:r><w:t xml:space="preserve">productive huertas or gardens, such as those of Alicante and</w:t></w:r>
</w:p>
<w:p>
<w:pPr><w:pStyle w:val="Normal"/></w:pPr>
<w:r><w:t xml:space="preserve">Denia.  Apart from Segura, which flows from the highlands</w:t></w:r>
</w:p>
<w:p>
<w:pPr><w:pStyle w:val="Normal"/></w:pPr>
<w:r><w:t xml:space="preserve">of Albacete through Murcia and Orihuela to the sea, there is</w:t></w:r>
</w:p>
<w:p>
<w:pPr><w:pStyle w:val="Normal"/></w:pPr>
<w:r><w:t xml:space="preserve">no considerable river, but a few rivulets flow east into the</w:t></w:r>
</w:p>
<w:p>
<w:pPr><w:pStyle w:val="Normal"/></w:pPr>
<w:r><w:t xml:space="preserve">Mediterranean.  The climate is temperate, and the rainfall very</w:t></w:r>
</w:p>
<w:p>
<w:pPr><w:pStyle w:val="Normal"/></w:pPr>
<w:r><w:t xml:space="preserve">slight.  Despite the want of rivers and of rain, agriculture is</w:t></w:r>
</w:p>
<w:p>
<w:pPr><w:pStyle w:val="Normal"/></w:pPr>
<w:r><w:t xml:space="preserve">in a flourishing condition.  Many tracts, originally rocky and</w:t></w:r>
</w:p>
<w:p>
<w:pPr><w:pStyle w:val="Normal"/></w:pPr>
<w:r><w:t xml:space="preserve">sterile, have been irrigated and converted into vineyards and</w:t></w:r>
</w:p>
<w:p>
<w:pPr><w:pStyle w:val="Normal"/></w:pPr>
<w:r><w:t xml:space="preserve">plantations.  Cereals are grown, but the inhabitants prefer</w:t></w:r>
</w:p>
<w:p>
<w:pPr><w:pStyle w:val="Normal"/></w:pPr>
<w:r><w:t xml:space="preserve">to raise such articles of produce as are in demand for</w:t></w:r>
</w:p>
<w:p>
<w:pPr><w:pStyle w:val="Normal"/></w:pPr>
<w:r><w:t xml:space="preserve">export, and consequently part of the grain supply has to be</w:t></w:r>
</w:p>
<w:p>
<w:pPr><w:pStyle w:val="Normal"/></w:pPr>
<w:r><w:t xml:space="preserve">imported.  Esparto grass, rice, olives, the sugar-cane, and</w:t></w:r>
</w:p>
<w:p>
<w:pPr><w:pStyle w:val="Normal"/></w:pPr>
<w:r><w:t xml:space="preserve">tropical fruits and vegetables are largely produced.  Great</w:t></w:r>
</w:p>
<w:p>
<w:pPr><w:pStyle w:val="Normal"/></w:pPr>
<w:r><w:t xml:space="preserve">attention is given to the rearing of bees and silk-worms; and</w:t></w:r>
</w:p>
<w:p>
<w:pPr><w:pStyle w:val="Normal"/></w:pPr>
<w:r><w:t xml:space="preserve">the wine of the province is held in high repute throughout Spain,</w:t></w:r>
</w:p>
<w:p>
<w:pPr><w:pStyle w:val="Normal"/></w:pPr>
<w:r><w:t xml:space="preserve">while some inferior kinds are sent to France to be mixed with</w:t></w:r>
</w:p>
<w:p>
<w:pPr><w:pStyle w:val="Normal"/></w:pPr>
<w:r><w:t xml:space="preserve">claret.  There are iron and lignite mines, but the output is</w:t></w:r>
</w:p>
<w:p>
<w:pPr><w:pStyle w:val="Normal"/></w:pPr>
<w:r><w:t xml:space="preserve">small.  Mineral springs are found at various places.  The</w:t></w:r>
</w:p>
<w:p>
<w:pPr><w:pStyle w:val="Normal"/></w:pPr>
<w:r><w:t xml:space="preserve">manufactures consist of fine cloths, silk, cotton, woollen</w:t></w:r>
</w:p>
<w:p>
<w:pPr><w:pStyle w:val="Normal"/></w:pPr>
<w:r><w:t xml:space="preserve">and linen fabrics, girdles and lace, paper, hats, leather,</w:t></w:r>
</w:p>
<w:p>
<w:pPr><w:pStyle w:val="Normal"/></w:pPr>
<w:r><w:t xml:space="preserve">earthenware and soap.  There are numerous oil mills and brandy</w:t></w:r>
</w:p>
<w:p>
<w:pPr><w:pStyle w:val="Normal"/></w:pPr>
<w:r><w:t xml:space="preserve">distilleries.  Many of the inhabitants are engaged in the</w:t></w:r>
</w:p>
<w:p>
<w:pPr><w:pStyle w:val="Normal"/></w:pPr>
<w:r><w:t xml:space="preserve">carrying trade, while the fisheries on the coast are also</w:t></w:r>
</w:p>
<w:p>
<w:pPr><w:pStyle w:val="Normal"/></w:pPr>
<w:r><w:t xml:space="preserve">actively prosecuted, tunny and anchovies being caught in great</w:t></w:r>
</w:p>
<w:p>
<w:pPr><w:pStyle w:val="Normal"/></w:pPr>
<w:r><w:t xml:space="preserve">numbers.  Barilla is obtained from the sea-weed on the shores,</w:t></w:r>
</w:p>
<w:p>
<w:pPr><w:pStyle w:val="Normal"/></w:pPr>
<w:r><w:t xml:space="preserve">and some of the saline marshes, notably those near Torrevieja,</w:t></w:r>
</w:p>
<w:p>
<w:pPr><w:pStyle w:val="Normal"/></w:pPr>
<w:r><w:t xml:space="preserve">yield large supplies of salt.  The principal towns, which are</w:t></w:r>
</w:p>
<w:p>
<w:pPr><w:pStyle w:val="Normal"/></w:pPr>
<w:r><w:t xml:space="preserve">separately described, include Alicante, the capital (pop. 1900,</w:t></w:r>
</w:p>
<w:p>
<w:pPr><w:pStyle w:val="Normal"/></w:pPr>
<w:r><w:t xml:space="preserve">50,142), Crevillente (10,726), Denia (12,431), Elche (27,308),</w:t></w:r>
</w:p>
<w:p>
<w:pPr><w:pStyle w:val="Normal"/></w:pPr>
<w:r><w:t xml:space="preserve">Novelda (11,388), Orihuela (28,530), and Villena (14,099).</w:t></w:r>
</w:p>
<w:p>
<w:pPr><w:pStyle w:val="Normal"/></w:pPr>
<w:r><w:t xml:space="preserve">Other towns, of less importance, are Aspe (7927), Cocentaina</w:t></w:r>
</w:p>
<w:p>
<w:pPr><w:pStyle w:val="Normal"/></w:pPr>
<w:r><w:t xml:space="preserve">(7093), Monovar (10,601), Pinoso (7946), and Villajoyosa (8902).</w:t></w:r>
</w:p>
<w:p>
<w:pPr><w:pStyle w:val="Normal"/></w:pPr>
<w:r><w:t xml:space="preserve">ALICANTE, the capital of the Spanish province described above,</w:t></w:r>
</w:p>
<w:p>
<w:pPr><w:pStyle w:val="Normal"/></w:pPr>
<w:r><w:t xml:space="preserve">and one of the principal seaports of the country.  Pop. (1900)</w:t></w:r>
</w:p>
<w:p>
<w:pPr><w:pStyle w:val="Normal"/></w:pPr>
<w:r><w:t xml:space="preserve">50,142.  It is situated in 38 deg.  21&apos; N. and 0 deg.  26&apos; W., on</w:t></w:r>
</w:p>
<w:p>
<w:pPr><w:pStyle w:val="Normal"/></w:pPr>
<w:r><w:t xml:space="preserve">the Bay of Alicante, an inlet of the Mediterranean Sea. It</w:t></w:r>
</w:p>
<w:p>
<w:pPr><w:pStyle w:val="Normal"/></w:pPr>
<w:r><w:t xml:space="preserve">is the termini of railways from Madrid and Murcia.  From its</w:t></w:r>
</w:p>
<w:p>
<w:pPr><w:pStyle w:val="Normal"/></w:pPr>
<w:r><w:t xml:space="preserve">harbour, the town presents a striking picture.  Along the</w:t></w:r>
</w:p>
<w:p>
<w:pPr><w:pStyle w:val="Normal"/></w:pPr>
<w:r><w:t xml:space="preserve">shore extends the Paseo de los Martires, a double avenue of</w:t></w:r>
</w:p>
<w:p>
<w:pPr><w:pStyle w:val="Normal"/></w:pPr>
<w:r><w:t xml:space="preserve">palms; behind this, the white flat-roofed houses rise in the</w:t></w:r>
</w:p>
<w:p>
<w:pPr><w:pStyle w:val="Normal"/></w:pPr>
<w:r><w:t xml:space="preserve">form of a crescent towards the low hills which surround the</w:t></w:r>
</w:p>
<w:p>
<w:pPr><w:pStyle w:val="Normal"/></w:pPr>
<w:r><w:t xml:space="preserve">city, and terminate, on the right, in a bare rock, 400 ft.</w:t></w:r>
</w:p>
<w:p>
<w:pPr><w:pStyle w:val="Normal"/></w:pPr>
<w:r><w:t xml:space="preserve">high, surmounted by an ancient citadel.  Its dry and equable</w:t></w:r>
</w:p>
<w:p>
<w:pPr><w:pStyle w:val="Normal"/></w:pPr>
<w:r><w:t xml:space="preserve">climate renders Alicante a popular health-resort.  The</w:t></w:r>
</w:p>
<w:p>
<w:pPr><w:pStyle w:val="Normal"/></w:pPr>
<w:r><w:t xml:space="preserve">city is an episcopal see, and contains a modern cathedral.</w:t></w:r>
</w:p>
<w:p>
<w:pPr><w:pStyle w:val="Normal"/></w:pPr>
<w:r><w:t xml:space="preserve">The bay affords good anchorage, but only small vessels can come</w:t></w:r>
</w:p>
<w:p>
<w:pPr><w:pStyle w:val="Normal"/></w:pPr>
<w:r><w:t xml:space="preserve">up to the two moles.  The harbour is fortified, and there is</w:t></w:r>
</w:p>
<w:p>
<w:pPr><w:pStyle w:val="Normal"/></w:pPr>
<w:r><w:t xml:space="preserve">a small lighthouse on the eastern mole; important engineering</w:t></w:r>
</w:p>
<w:p>
<w:pPr><w:pStyle w:val="Normal"/></w:pPr>
<w:r><w:t xml:space="preserve">works, subsidized by the state, were undertaken in 1902 to</w:t></w:r>
</w:p>
<w:p>
<w:pPr><w:pStyle w:val="Normal"/></w:pPr>
<w:r><w:t xml:space="preserve">provide better accomodation.  In the same year 1737 vessels</w:t></w:r>
</w:p>
<w:p>
<w:pPr><w:pStyle w:val="Normal"/></w:pPr>
<w:r><w:t xml:space="preserve">of 939,789 tons entered the port.  The trade of Alicante</w:t></w:r>
</w:p>
<w:p>
<w:pPr><w:pStyle w:val="Normal"/></w:pPr>
<w:r><w:t xml:space="preserve">consists chiefly in the manufacture of cotton, linen and woollen</w:t></w:r>
</w:p>
<w:p>
<w:pPr><w:pStyle w:val="Normal"/></w:pPr>
<w:r><w:t xml:space="preserve">goods, cigars and confectionery; the importation of coal,</w:t></w:r>
</w:p>
<w:p>
<w:pPr><w:pStyle w:val="Normal"/></w:pPr>
<w:r><w:t xml:space="preserve">iron, machinery, manures, timber, oak staves and fish; and</w:t></w:r>
</w:p>
<w:p>
<w:pPr><w:pStyle w:val="Normal"/></w:pPr>
<w:r><w:t xml:space="preserve">the exportation of lead, fruit, farm produce and red wines,</w:t></w:r>
</w:p>
<w:p>
<w:pPr><w:pStyle w:val="Normal"/></w:pPr>
<w:r><w:t xml:space="preserve">which are sent to France for blending with better vintages.</w:t></w:r>
</w:p>
<w:p>
<w:pPr><w:pStyle w:val="Normal"/></w:pPr>
<w:r><w:t xml:space="preserve">Fine marble is procured in the island of Plana near the coast.</w:t></w:r>
</w:p>
<w:p>
<w:pPr><w:pStyle w:val="Normal"/></w:pPr>
<w:r><w:t xml:space="preserve">Alicante was the Roman Lucentum; but, despite its</w:t></w:r>
</w:p>
<w:p>
<w:pPr><w:pStyle w:val="Normal"/></w:pPr>
<w:r><w:t xml:space="preserve">antiquity, it has few Roman or Moorish remains.  In 718, it</w:t></w:r>
</w:p>
<w:p>
<w:pPr><w:pStyle w:val="Normal"/></w:pPr>
<w:r><w:t xml:space="preserve">was occupied by the Moors, who were only expelled in 1304,</w:t></w:r>
</w:p>
<w:p>
<w:pPr><w:pStyle w:val="Normal"/></w:pPr>
<w:r><w:t xml:space="preserve">and made an unsuccessful attempt to recapture the city in</w:t></w:r>
</w:p>
<w:p>
<w:pPr><w:pStyle w:val="Normal"/></w:pPr>
<w:r><w:t xml:space="preserve">1331.  Alicante was besieged by the French in 1709, and by</w:t></w:r>
</w:p>
<w:p>
<w:pPr><w:pStyle w:val="Normal"/></w:pPr>
<w:r><w:t xml:space="preserve">the Federalists of Cartagena in 1873.  For an account of</w:t></w:r>
</w:p>
<w:p>
<w:pPr><w:pStyle w:val="Normal"/></w:pPr>
<w:r><w:t xml:space="preserve">the events which led up to these two sieges, see SPAIN.,</w:t></w:r>
</w:p>
<w:p>
<w:pPr><w:pStyle w:val="Normal"/></w:pPr>
<w:r><w:t xml:space="preserve">For further details of the local history, see J. Pastor</w:t></w:r>
</w:p>
<w:p>
<w:pPr><w:pStyle w:val="Normal"/></w:pPr>
<w:r><w:t xml:space="preserve">de la Roca, Historia general de la ciudad y castillo de</w:t></w:r>
</w:p>
<w:p>
<w:pPr><w:pStyle w:val="Normal"/></w:pPr>
<w:r><w:t xml:space="preserve">Alicante, &amp;c. (Alicante, 1854); and the Ensayo biografico</w:t></w:r>
</w:p>
<w:p>
<w:pPr><w:pStyle w:val="Normal"/></w:pPr>
<w:r><w:t xml:space="preserve">bibliografico de escritores de Alicante y de su provincia,</w:t></w:r>
</w:p>
<w:p>
<w:pPr><w:pStyle w:val="Normal"/></w:pPr>
<w:r><w:t xml:space="preserve">by M. R. Garcia and A. Montero y Perez (Alicante, 1890).</w:t></w:r>
</w:p>
<w:p>
<w:pPr><w:pStyle w:val="Normal"/></w:pPr>
<w:r><w:t xml:space="preserve">ALICE MAUD MARY, GRAND-DUCHESS OF HESSE-DARMSTADT</w:t></w:r>
</w:p>
<w:p>
<w:pPr><w:pStyle w:val="Normal"/></w:pPr>
<w:r><w:t xml:space="preserve">(1843-1878), second daughter and third child of Queen</w:t></w:r>
</w:p>
<w:p>
<w:pPr><w:pStyle w:val="Normal"/></w:pPr>
<w:r><w:t xml:space="preserve">Victoria, was born at Buckingham Palace, on the 25th of April</w:t></w:r>
</w:p>
<w:p>
<w:pPr><w:pStyle w:val="Normal"/></w:pPr>
<w:r><w:t xml:space="preserve">1843.  A pretty, delicate-featured child--``cheerful, merry,</w:t></w:r>
</w:p>
<w:p>
<w:pPr><w:pStyle w:val="Normal"/></w:pPr>
<w:r><w:t xml:space="preserve">full of fun and mischief,&apos;&apos; as her elder sister described</w:t></w:r>
</w:p>
<w:p>
<w:pPr><w:pStyle w:val="Normal"/></w:pPr>
<w:r><w:t xml:space="preserve">her--fond of gymnastics, a good skater and an excellent</w:t></w:r>
</w:p>
<w:p>
<w:pPr><w:pStyle w:val="Normal"/></w:pPr>
<w:r><w:t xml:space="preserve">horsewoman, she was a general favourite from her earliest</w:t></w:r>
</w:p>
<w:p>
<w:pPr><w:pStyle w:val="Normal"/></w:pPr>
<w:r><w:t xml:space="preserve">days.  Her first years were passed without particular incident</w:t></w:r>
</w:p>
<w:p>
<w:pPr><w:pStyle w:val="Normal"/></w:pPr>
<w:r><w:t xml:space="preserve">in the home circle, where the training of their children was</w:t></w:r>
</w:p>
<w:p>
<w:pPr><w:pStyle w:val="Normal"/></w:pPr>
<w:r><w:t xml:space="preserve">a matter of the greatest concern to the queen and the prince</w:t></w:r>
</w:p>
<w:p>
<w:pPr><w:pStyle w:val="Normal"/></w:pPr>
<w:r><w:t xml:space="preserve">consort.  Among other things, the royal children were encouraged</w:t></w:r>
</w:p>
<w:p>
<w:pPr><w:pStyle w:val="Normal"/></w:pPr>
<w:r><w:t xml:space="preserve">to visit the poor, and the effect of this training was very</w:t></w:r>
</w:p>
<w:p>
<w:pPr><w:pStyle w:val="Normal"/></w:pPr>
<w:r><w:t xml:space="preserve">noticeable in the later life of Princess Alice.  After the</w:t></w:r>
</w:p>
<w:p>
<w:pPr><w:pStyle w:val="Normal"/></w:pPr>
<w:r><w:t xml:space="preserve">marriage of the Princess Royal in 1858, the new responsibilities</w:t></w:r>
</w:p>
<w:p>
<w:pPr><w:pStyle w:val="Normal"/></w:pPr>
<w:r><w:t xml:space="preserve">devolving upon Princess Alice, as the eldest daughter at</w:t></w:r>
</w:p>
<w:p>
<w:pPr><w:pStyle w:val="Normal"/></w:pPr>
<w:r><w:t xml:space="preserve">home, called forth the higher traits of her character, and</w:t></w:r>
</w:p>
<w:p>
<w:pPr><w:pStyle w:val="Normal"/></w:pPr>
<w:r><w:t xml:space="preserve">brought her into still closer relationship with her parents,</w:t></w:r>
</w:p>
<w:p>
<w:pPr><w:pStyle w:val="Normal"/></w:pPr>
<w:r><w:t xml:space="preserve">and especially with her father.  In the summer of 1860, at</w:t></w:r>
</w:p>
<w:p>
<w:pPr><w:pStyle w:val="Normal"/></w:pPr>
<w:r><w:t xml:space="preserve">Windsor Castle, Princess Alice first met her future husband,</w:t></w:r>
</w:p>
<w:p>
<w:pPr><w:pStyle w:val="Normal"/></w:pPr>
<w:r><w:t xml:space="preserve">Prince Louis of Hesse.  An attachment quickly sprang up, and</w:t></w:r>
</w:p>
<w:p>
<w:pPr><w:pStyle w:val="Normal"/></w:pPr>
<w:r><w:t xml:space="preserve">on the prince&apos;s second visit in November they were formally</w:t></w:r>
</w:p>
<w:p>
<w:pPr><w:pStyle w:val="Normal"/></w:pPr>
<w:r><w:t xml:space="preserve">engaged.  In the following year, on the announcement of the</w:t></w:r>
</w:p>
<w:p>
<w:pPr><w:pStyle w:val="Normal"/></w:pPr>
<w:r><w:t xml:space="preserve">contemplated marriage, the House of Commons unanimously voted</w:t></w:r>
</w:p>
<w:p>
<w:pPr><w:pStyle w:val="Normal"/></w:pPr>
<w:r><w:t xml:space="preserve">a dowry of L. 30,000 and an annuity of L. 6000 to the princess.</w:t></w:r>
</w:p>
<w:p>
<w:pPr><w:pStyle w:val="Normal"/></w:pPr>
<w:r><w:t xml:space="preserve">In December 1861, while preparations were being made for the</w:t></w:r>
</w:p>
<w:p>
<w:pPr><w:pStyle w:val="Normal"/></w:pPr>
<w:r><w:t xml:space="preserve">marriage, the prince consort was struck down with typhoid fever,</w:t></w:r>
</w:p>
<w:p>
<w:pPr><w:pStyle w:val="Normal"/></w:pPr>
<w:r><w:t xml:space="preserve">and died on the 14th.  Princess Alice nursed her father during</w:t></w:r>
</w:p>
<w:p>
<w:pPr><w:pStyle w:val="Normal"/></w:pPr>
<w:r><w:t xml:space="preserve">his short illness with the utmost care, and after his death</w:t></w:r>
</w:p>
<w:p>
<w:pPr><w:pStyle w:val="Normal"/></w:pPr>
<w:r><w:t xml:space="preserve">devoted herself to comforting her mother under this terrible</w:t></w:r>
</w:p>
<w:p>
<w:pPr><w:pStyle w:val="Normal"/></w:pPr>
<w:r><w:t xml:space="preserve">blow.  Her marriage took place at Osborne, on the 1st of July</w:t></w:r>
</w:p>
<w:p>
<w:pPr><w:pStyle w:val="Normal"/></w:pPr>
<w:r><w:t xml:space="preserve">1862.  The princess unconsciously wrote her own biography</w:t></w:r>
</w:p>
<w:p>
<w:pPr><w:pStyle w:val="Normal"/></w:pPr>
<w:r><w:t xml:space="preserve">from this period in her constant letters to Queen Victoria,</w:t></w:r>
</w:p>
<w:p>
<w:pPr><w:pStyle w:val="Normal"/></w:pPr>
<w:r><w:t xml:space="preserve">a selection of which, edited by Dr. Carl Sell, were allowed</w:t></w:r>
</w:p>
<w:p>
<w:pPr><w:pStyle w:val="Normal"/></w:pPr>
<w:r><w:t xml:space="preserve">to be printed in 1883.  These letters give a complete picture</w:t></w:r>
</w:p>
<w:p>
<w:pPr><w:pStyle w:val="Normal"/></w:pPr>
<w:r><w:t xml:space="preserve">of the daily life of the duke and duchess, and they also</w:t></w:r>
</w:p>
<w:p>
<w:pPr><w:pStyle w:val="Normal"/></w:pPr>
<w:r><w:t xml:space="preserve">show the intense love of the latter for her husband, her</w:t></w:r>
</w:p>
<w:p>
<w:pPr><w:pStyle w:val="Normal"/></w:pPr>
<w:r><w:t xml:space="preserve">mother and her native land.  She managed to visit England</w:t></w:r>
</w:p>
<w:p>
<w:pPr><w:pStyle w:val="Normal"/></w:pPr>
<w:r><w:t xml:space="preserve">every year, and it was at her special request that when</w:t></w:r>
</w:p>
<w:p>
<w:pPr><w:pStyle w:val="Normal"/></w:pPr>
<w:r><w:t xml:space="preserve">she died her husband laid an English flag upon her coffin.</w:t></w:r>
</w:p>
<w:p>
<w:pPr><w:pStyle w:val="Normal"/></w:pPr>
<w:r><w:t xml:space="preserve">In the war between Austria and Prussia in 1866, Hesse-</w:t></w:r>
</w:p>
<w:p>
<w:pPr><w:pStyle w:val="Normal"/></w:pPr>
<w:r><w:t xml:space="preserve">Darmstadt was upon the side of the Austrians; Prince Louis</w:t></w:r>
</w:p>
<w:p>
<w:pPr><w:pStyle w:val="Normal"/></w:pPr>
<w:r><w:t xml:space="preserve">accompanied his troops to the front, and was duly appointed</w:t></w:r>
</w:p>
<w:p>
<w:pPr><w:pStyle w:val="Normal"/></w:pPr>
<w:r><w:t xml:space="preserve">by the grand-duke to the command of the Hessian division.</w:t></w:r>
</w:p>
<w:p>
<w:pPr><w:pStyle w:val="Normal"/></w:pPr>
<w:r><w:t xml:space="preserve">This was a time of intense trial to the princess, whose</w:t></w:r>
</w:p>
<w:p>
<w:pPr><w:pStyle w:val="Normal"/></w:pPr>
<w:r><w:t xml:space="preserve">husband and brother-in-law, the crown prince of Prussia, were</w:t></w:r>
</w:p>
<w:p>
<w:pPr><w:pStyle w:val="Normal"/></w:pPr>
<w:r><w:t xml:space="preserve">necessarily fighting upon opposite sides.  The duke of Hesse</w:t></w:r>
</w:p>
<w:p>
<w:pPr><w:pStyle w:val="Normal"/></w:pPr>
<w:r><w:t xml:space="preserve">also took part in the principal battles of the Franco-Prussian</w:t></w:r>
</w:p>
<w:p>
<w:pPr><w:pStyle w:val="Normal"/></w:pPr>
<w:r><w:t xml:space="preserve">war, while the duchess was actively engaged in organizing</w:t></w:r>
</w:p>
<w:p>
<w:pPr><w:pStyle w:val="Normal"/></w:pPr>
<w:r><w:t xml:space="preserve">hospitals for the relief of the sick and wounded.  The death</w:t></w:r>
</w:p>
<w:p>
<w:pPr><w:pStyle w:val="Normal"/></w:pPr>
<w:r><w:t xml:space="preserve">of the duke&apos;s father, Prince Charles of Hesse, on the 20th</w:t></w:r>
</w:p>
<w:p>
<w:pPr><w:pStyle w:val="Normal"/></w:pPr>
<w:r><w:t xml:space="preserve">of March 1877, was followed by that of the grand-duke on the</w:t></w:r>
</w:p>
<w:p>
<w:pPr><w:pStyle w:val="Normal"/></w:pPr>
<w:r><w:t xml:space="preserve">13th of June, and Prince Louis succeeded to the throne as</w:t></w:r>
</w:p>
<w:p>
<w:pPr><w:pStyle w:val="Normal"/></w:pPr>
<w:r><w:t xml:space="preserve">Grand Duke Louis IV. In the summer of 1878 the grand-duke and</w:t></w:r>
</w:p>
<w:p>
<w:pPr><w:pStyle w:val="Normal"/></w:pPr>
<w:r><w:t xml:space="preserve">duchess, with their family, came again to England, and went</w:t></w:r>
</w:p>
<w:p>
<w:pPr><w:pStyle w:val="Normal"/></w:pPr>
<w:r><w:t xml:space="preserve">to Eastbourne, where the duchess remained for some time.</w:t></w:r>
</w:p>
<w:p>
<w:pPr><w:pStyle w:val="Normal"/></w:pPr>
<w:r><w:t xml:space="preserve">She returned to Darmstadt in the autumn, and on the 8th of</w:t></w:r>
</w:p>
<w:p>
<w:pPr><w:pStyle w:val="Normal"/></w:pPr>
<w:r><w:t xml:space="preserve">November 1878 her daughter, Princess Victoria, was attacked by</w:t></w:r>
</w:p>
<w:p>
<w:pPr><w:pStyle w:val="Normal"/></w:pPr>
<w:r><w:t xml:space="preserve">diphtheria.  Three more of her children, as well as her</w:t></w:r>
</w:p>
<w:p>
<w:pPr><w:pStyle w:val="Normal"/></w:pPr>
<w:r><w:t xml:space="preserve">husband, quickly caught the disease, and the youngest, ``May,&apos;&apos;</w:t></w:r>
</w:p>
<w:p>
<w:pPr><w:pStyle w:val="Normal"/></w:pPr>
<w:r><w:t xml:space="preserve">succumbed on the 16th.  On the 7th of December the princess</w:t></w:r>
</w:p>
<w:p>
<w:pPr><w:pStyle w:val="Normal"/></w:pPr>
<w:r><w:t xml:space="preserve">was herself attacked, and, being weakened by nursing and</w:t></w:r>
</w:p>
<w:p>
<w:pPr><w:pStyle w:val="Normal"/></w:pPr>
<w:r><w:t xml:space="preserve">anxiety, had not strength to resist the disease, which proved</w:t></w:r>
</w:p>
<w:p>
<w:pPr><w:pStyle w:val="Normal"/></w:pPr>
<w:r><w:t xml:space="preserve">fatal on the 14th of December, the seventeenth anniversary of</w:t></w:r>
</w:p>
<w:p>
<w:pPr><w:pStyle w:val="Normal"/></w:pPr>
<w:r><w:t xml:space="preserve">her father&apos;s death.  She left one son and four daughters. .</w:t></w:r>
</w:p>
<w:p>
<w:pPr><w:pStyle w:val="Normal"/></w:pPr>
<w:r><w:t xml:space="preserve">See Carl Sell, Alice: Mittheilungen aus ihrem Leben und Briefen,</w:t></w:r>
</w:p>
<w:p>
<w:pPr><w:pStyle w:val="Normal"/></w:pPr>
<w:r><w:t xml:space="preserve">&amp;c. (Darmstadt, 1883), with English translation by the Princess</w:t></w:r>
</w:p>
<w:p>
<w:pPr><w:pStyle w:val="Normal"/></w:pPr>
<w:r><w:t xml:space="preserve">Christian, Alice: biographical sketch and letters (1884). (G. F. B.)</w:t></w:r>
</w:p>
<w:p>
<w:pPr><w:pStyle w:val="Normal"/></w:pPr>
<w:r><w:t xml:space="preserve">ALIDADE (from the Arab.), the movable index of a graduated</w:t></w:r>
</w:p>
<w:p>
<w:pPr><w:pStyle w:val="Normal"/></w:pPr>
<w:r><w:t xml:space="preserve">arc, used in the measurement of angles.  The word is used</w:t></w:r>
</w:p>
<w:p>
<w:pPr><w:pStyle w:val="Normal"/></w:pPr>
<w:r><w:t xml:space="preserve">also to designate the supporting frame or arms carrying</w:t></w:r>
</w:p>
<w:p>
<w:pPr><w:pStyle w:val="Normal"/></w:pPr>
<w:r><w:t xml:space="preserve">the microscopes or verniers of a graduated circle.</w:t></w:r>
</w:p>
<w:p>
<w:pPr><w:pStyle w:val="Normal"/></w:pPr>
<w:r><w:t xml:space="preserve">ALIEN (Lat. alienus), the technical term applied by</w:t></w:r>
</w:p>
<w:p>
<w:pPr><w:pStyle w:val="Normal"/></w:pPr>
<w:r><w:t xml:space="preserve">British constitutional law to anyone who does not enjoy the</w:t></w:r>
</w:p>
<w:p>
<w:pPr><w:pStyle w:val="Normal"/></w:pPr>
<w:r><w:t xml:space="preserve">character of a British subject; in general, a foreigner who</w:t></w:r>
</w:p>
<w:p>
<w:pPr><w:pStyle w:val="Normal"/></w:pPr>
<w:r><w:t xml:space="preserve">for the purposes of any state comes into certain domestic</w:t></w:r>
</w:p>
<w:p>
<w:pPr><w:pStyle w:val="Normal"/></w:pPr>
<w:r><w:t xml:space="preserve">relations with it, other than those applying to native-born or</w:t></w:r>
</w:p>
<w:p>
<w:pPr><w:pStyle w:val="Normal"/></w:pPr>
<w:r><w:t xml:space="preserve">naturalized citizens, but owns allegiance to a foreign sovereign.</w:t></w:r>
</w:p>
<w:p>
<w:pPr><w:pStyle w:val="Normal"/></w:pPr>
<w:r><w:t xml:space="preserve">English law, save with the special exceptions mentioned, admits</w:t></w:r>
</w:p>
<w:p>
<w:pPr><w:pStyle w:val="Normal"/></w:pPr>
<w:r><w:t xml:space="preserve">to the character of subjects all who are born within the king&apos;s</w:t></w:r>
</w:p>
<w:p>
<w:pPr><w:pStyle w:val="Normal"/></w:pPr>
<w:r><w:t xml:space="preserve">allegiance, that is, speaking generally, within the British</w:t></w:r>
</w:p>
<w:p>
<w:pPr><w:pStyle w:val="Normal"/></w:pPr>
<w:r><w:t xml:space="preserve">dominions.  In the celebrated question of the post-nati in</w:t></w:r>
</w:p>
<w:p>
<w:pPr><w:pStyle w:val="Normal"/></w:pPr>
<w:r><w:t xml:space="preserve">the reign of James I. of England, it was found, after solemn</w:t></w:r>
</w:p>
<w:p>
<w:pPr><w:pStyle w:val="Normal"/></w:pPr>
<w:r><w:t xml:space="preserve">trial, that natives of Scotland born before the union of the</w:t></w:r>
</w:p>
<w:p>
<w:pPr><w:pStyle w:val="Normal"/></w:pPr>
<w:r><w:t xml:space="preserve">crowns were aliens in England, but that, since allegiance</w:t></w:r>
</w:p>
<w:p>
<w:pPr><w:pStyle w:val="Normal"/></w:pPr>
<w:r><w:t xml:space="preserve">is to the person of the king, those born subsequently were</w:t></w:r>
</w:p>
<w:p>
<w:pPr><w:pStyle w:val="Normal"/></w:pPr>
<w:r><w:t xml:space="preserve">English subjects.  A child born abroad, whose father or whose</w:t></w:r>
</w:p>
<w:p>
<w:pPr><w:pStyle w:val="Normal"/></w:pPr>
<w:r><w:t xml:space="preserve">grandfather on the father&apos;s side was a British subject, may</w:t></w:r>
</w:p>
<w:p>
<w:pPr><w:pStyle w:val="Normal"/></w:pPr>
<w:r><w:t xml:space="preserve">claim the same character unless at the time of his birth</w:t></w:r>
</w:p>
<w:p>
<w:pPr><w:pStyle w:val="Normal"/></w:pPr>
<w:r><w:t xml:space="preserve">his father was an attainted traitor, or in the service of</w:t></w:r>
</w:p>
<w:p>
<w:pPr><w:pStyle w:val="Normal"/></w:pPr>
<w:r><w:t xml:space="preserve">a state engaged in war against the British empire (4th Geo.</w:t></w:r>
</w:p>
<w:p>
<w:pPr><w:pStyle w:val="Heading1"/></w:pPr>
<w:r><w:t>II. c. 21). Owing to this exceptional provision some sons of</w:t></w:r>
</w:p>
<w:p>
<w:pPr><w:pStyle w:val="Normal"/></w:pPr>
<w:r><w:t xml:space="preserve">Jacobite refugees born abroad, who joined in the rebellion of</w:t></w:r>
</w:p>
<w:p>
<w:pPr><w:pStyle w:val="Normal"/></w:pPr>
<w:r><w:t xml:space="preserve">1745, were admitted to the privilege of prisoners of war.</w:t></w:r>
</w:p>
<w:p>
<w:pPr><w:pStyle w:val="Normal"/></w:pPr>
<w:r><w:t xml:space="preserve">It has been enacted in the United Kingdom with regard to the</w:t></w:r>
</w:p>
<w:p>
<w:pPr><w:pStyle w:val="Normal"/></w:pPr>
<w:r><w:t xml:space="preserve">national status of women and children that a married woman</w:t></w:r>
</w:p>
<w:p>
<w:pPr><w:pStyle w:val="Normal"/></w:pPr>
<w:r><w:t xml:space="preserve">is to be deemed a subject of the state of which her husband</w:t></w:r>
</w:p>
<w:p>
<w:pPr><w:pStyle w:val="Normal"/></w:pPr>
<w:r><w:t xml:space="preserve">is for the time being a subject; that a natural-born British</w:t></w:r>
</w:p>
<w:p>
<w:pPr><w:pStyle w:val="Normal"/></w:pPr>
<w:r><w:t xml:space="preserve">woman, having become an alien by marriage, and thereafter</w:t></w:r>
</w:p>
<w:p>
<w:pPr><w:pStyle w:val="Normal"/></w:pPr>
<w:r><w:t xml:space="preserve">being a widow, may be rehabilitated under conditions slightly</w:t></w:r>
</w:p>
<w:p>
<w:pPr><w:pStyle w:val="Normal"/></w:pPr>
<w:r><w:t xml:space="preserve">more favourable than are required for naturalization; that</w:t></w:r>
</w:p>
<w:p>
<w:pPr><w:pStyle w:val="Normal"/></w:pPr>
<w:r><w:t xml:space="preserve">where a father or a widow becomes an alien, the children in</w:t></w:r>
</w:p>
<w:p>
<w:pPr><w:pStyle w:val="Normal"/></w:pPr>
<w:r><w:t xml:space="preserve">infancy becoming resident in the country where the parent</w:t></w:r>
</w:p>
<w:p>
<w:pPr><w:pStyle w:val="Normal"/></w:pPr>
<w:r><w:t xml:space="preserve">is naturalized, and being naturalized by the local law,</w:t></w:r>
</w:p>
<w:p>
<w:pPr><w:pStyle w:val="Normal"/></w:pPr>
<w:r><w:t xml:space="preserve">are held to be subjects of that country; that those of a</w:t></w:r>
</w:p>
<w:p>
<w:pPr><w:pStyle w:val="Normal"/></w:pPr>
<w:r><w:t xml:space="preserve">father or of a widow readmitted to British nationality or</w:t></w:r>
</w:p>
<w:p>
<w:pPr><w:pStyle w:val="Normal"/></w:pPr>
<w:r><w:t xml:space="preserve">who obtains a certificate of naturalization, becoming during</w:t></w:r>
</w:p>
<w:p>
<w:pPr><w:pStyle w:val="Normal"/></w:pPr>
<w:r><w:t xml:space="preserve">infancy resident with such parent in the British dominions</w:t></w:r>
</w:p>
<w:p>
<w:pPr><w:pStyle w:val="Normal"/></w:pPr>
<w:r><w:t xml:space="preserve">in the former case or in the United Kingdom in the latter,</w:t></w:r>
</w:p>
<w:p>
<w:pPr><w:pStyle w:val="Normal"/></w:pPr>
<w:r><w:t xml:space="preserve">become readmitted or naturalized (Naturalization Act 1870,</w:t></w:r>
</w:p>
<w:p>
<w:pPr><w:pStyle w:val="Normal"/></w:pPr>
<w:r><w:t xml:space="preserve">s. 10). The nationality of children not covered by these</w:t></w:r>
</w:p>
<w:p>
<w:pPr><w:pStyle w:val="Normal"/></w:pPr>
<w:r><w:t xml:space="preserve">enactments is not affected by the change of their parents&apos;</w:t></w:r>
</w:p>
<w:p>
<w:pPr><w:pStyle w:val="Normal"/></w:pPr>
<w:r><w:t xml:space="preserve">nationality.  The same statute provides that a declaration of</w:t></w:r>
</w:p>
<w:p>
<w:pPr><w:pStyle w:val="Normal"/></w:pPr>
<w:r><w:t xml:space="preserve">alienage before a justice of peace or other competent judge,</w:t></w:r>
</w:p>
<w:p>
<w:pPr><w:pStyle w:val="Normal"/></w:pPr>
<w:r><w:t xml:space="preserve">having the effect of divesting the declarant of the character</w:t></w:r>
</w:p>
<w:p>
<w:pPr><w:pStyle w:val="Normal"/></w:pPr>
<w:r><w:t xml:space="preserve">of a British subject, may be made by a naturalized British</w:t></w:r>
</w:p>
<w:p>
<w:pPr><w:pStyle w:val="Normal"/></w:pPr>
<w:r><w:t xml:space="preserve">subject desiring to resume the nationality of the country</w:t></w:r>
</w:p>
<w:p>
<w:pPr><w:pStyle w:val="Normal"/></w:pPr>
<w:r><w:t xml:space="preserve">to which he originally belonged, if there be a convention</w:t></w:r>
</w:p>
<w:p>
<w:pPr><w:pStyle w:val="Normal"/></w:pPr>
<w:r><w:t xml:space="preserve">to that effect with that country; by natural-born subjects</w:t></w:r>
</w:p>
<w:p>
<w:pPr><w:pStyle w:val="Normal"/></w:pPr>
<w:r><w:t xml:space="preserve">who were also born subjects of another state according to</w:t></w:r>
</w:p>
<w:p>
<w:pPr><w:pStyle w:val="Normal"/></w:pPr>
<w:r><w:t xml:space="preserve">its law; or by persons born abroad having British fathers.</w:t></w:r>
</w:p>
<w:p>
<w:pPr><w:pStyle w:val="Normal"/></w:pPr>
<w:r><w:t xml:space="preserve">Naturalization, which means conferring the character of a subject,</w:t></w:r>
</w:p>
<w:p>
<w:pPr><w:pStyle w:val="Normal"/></w:pPr>
<w:r><w:t xml:space="preserve">may now, under the act of 1870, be obtained by applying to the</w:t></w:r>
</w:p>
<w:p>
<w:pPr><w:pStyle w:val="Normal"/></w:pPr>
<w:r><w:t xml:space="preserve">home secretary and producing evidence of having resided for not</w:t></w:r>
</w:p>
<w:p>
<w:pPr><w:pStyle w:val="Normal"/></w:pPr>
<w:r><w:t xml:space="preserve">less than five years in the United Kingdom, or of having been</w:t></w:r>
</w:p>
<w:p>
<w:pPr><w:pStyle w:val="Normal"/></w:pPr>
<w:r><w:t xml:space="preserve">in the service of the crown for not less than five years, and</w:t></w:r>
</w:p>
<w:p>
<w:pPr><w:pStyle w:val="Normal"/></w:pPr>
<w:r><w:t xml:space="preserve">of intention to reside in the United Kingdom or serve under the</w:t></w:r>
</w:p>
<w:p>
<w:pPr><w:pStyle w:val="Normal"/></w:pPr>
<w:r><w:t xml:space="preserve">crown.  Such a certificate may be granted by the secretary</w:t></w:r>
</w:p>
<w:p>
<w:pPr><w:pStyle w:val="Normal"/></w:pPr>
<w:r><w:t xml:space="preserve">of state to one naturalized previously to the passing of the</w:t></w:r>
</w:p>
<w:p>
<w:pPr><w:pStyle w:val="Normal"/></w:pPr>
<w:r><w:t xml:space="preserve">act, or to a British subject as to whose nationality a doubt</w:t></w:r>
</w:p>
<w:p>
<w:pPr><w:pStyle w:val="Normal"/></w:pPr>
<w:r><w:t xml:space="preserve">exists, or to a statutory alien, i.e. one who has become</w:t></w:r>
</w:p>
<w:p>
<w:pPr><w:pStyle w:val="Normal"/></w:pPr>
<w:r><w:t xml:space="preserve">an alien by declaration in pursuance of the act of 1870.</w:t></w:r>
</w:p>
<w:p>
<w:pPr><w:pStyle w:val="Normal"/></w:pPr>
<w:r><w:t xml:space="preserve">In the United States the separate state laws largely determine</w:t></w:r>
</w:p>
<w:p>
<w:pPr><w:pStyle w:val="Normal"/></w:pPr>
<w:r><w:t xml:space="preserve">the status of an alien, but subject to Federal treaties. (For</w:t></w:r>
</w:p>
<w:p>
<w:pPr><w:pStyle w:val="Normal"/></w:pPr>
<w:r><w:t xml:space="preserve">further particulars see ALLEGIANCE and NATURALIZATION.)</w:t></w:r>
</w:p>
<w:p>
<w:pPr><w:pStyle w:val="Normal"/></w:pPr>
<w:r><w:t xml:space="preserve">Many of the disabilities to which aliens were subject in the</w:t></w:r>
</w:p>
<w:p>
<w:pPr><w:pStyle w:val="Normal"/></w:pPr>
<w:r><w:t xml:space="preserve">United Kingdom, either by the common law or under various acts</w:t></w:r>
</w:p>
<w:p>
<w:pPr><w:pStyle w:val="Normal"/></w:pPr>
<w:r><w:t xml:space="preserve">of parliament, have been repealed by the Naturalization Act</w:t></w:r>
</w:p>
<w:p>
<w:pPr><w:pStyle w:val="Normal"/></w:pPr>
<w:r><w:t xml:space="preserve">1870.  It enables aliens to take, acquire, hold and dispose</w:t></w:r>
</w:p>
<w:p>
<w:pPr><w:pStyle w:val="Normal"/></w:pPr>
<w:r><w:t xml:space="preserve">of real and personal property of every description, and to</w:t></w:r>
</w:p>
<w:p>
<w:pPr><w:pStyle w:val="Normal"/></w:pPr>
<w:r><w:t xml:space="preserve">transmit a title to it, in all respects as natural-born British</w:t></w:r>
</w:p>
<w:p>
<w:pPr><w:pStyle w:val="Normal"/></w:pPr>
<w:r><w:t xml:space="preserve">subjects.  But the act expressly declares that this relaxation of</w:t></w:r>
</w:p>
<w:p>
<w:pPr><w:pStyle w:val="Normal"/></w:pPr>
<w:r><w:t xml:space="preserve">the law does not qualify aliens for any office or any municipal,</w:t></w:r>
</w:p>
<w:p>
<w:pPr><w:pStyle w:val="Normal"/></w:pPr>
<w:r><w:t xml:space="preserve">parliamentary or other franchise, or confer any right of a</w:t></w:r>
</w:p>
<w:p>
<w:pPr><w:pStyle w:val="Normal"/></w:pPr>
<w:r><w:t xml:space="preserve">British subject other than those above expressed in regard to</w:t></w:r>
</w:p>
<w:p>
<w:pPr><w:pStyle w:val="Normal"/></w:pPr>
<w:r><w:t xml:space="preserve">property, nor does it affect interests vested in possession</w:t></w:r>
</w:p>
<w:p>
<w:pPr><w:pStyle w:val="Normal"/></w:pPr>
<w:r><w:t xml:space="preserve">or expectancy under dispositions made before the act, or by</w:t></w:r>
</w:p>
<w:p>
<w:pPr><w:pStyle w:val="Normal"/></w:pPr>
<w:r><w:t xml:space="preserve">devolution of law on the death of any one dying before the</w:t></w:r>
</w:p>
<w:p>
<w:pPr><w:pStyle w:val="Normal"/></w:pPr>
<w:r><w:t xml:space="preserve">act.  A ship, any share in which is owned by an alien, shall</w:t></w:r>
</w:p>
<w:p>
<w:pPr><w:pStyle w:val="Normal"/></w:pPr>
<w:r><w:t xml:space="preserve">not be deemed a British ship (Merchant Shipping Act 1894, s.</w:t></w:r>
</w:p>
<w:p>
<w:pPr><w:pStyle w:val="Normal"/></w:pPr>
<w:r><w:t xml:space="preserve">i.) By the Juries Act 1870, s. 8, aliens who have been domiciled</w:t></w:r>
</w:p>
<w:p>
<w:pPr><w:pStyle w:val="Normal"/></w:pPr>
<w:r><w:t xml:space="preserve">for ten years in England or Wales, if in other respects duly</w:t></w:r>
</w:p>
<w:p>
<w:pPr><w:pStyle w:val="Normal"/></w:pPr>
<w:r><w:t xml:space="preserve">qualified, are liable to serve on juries or inquests in England</w:t></w:r>
</w:p>
<w:p>
<w:pPr><w:pStyle w:val="Normal"/></w:pPr>
<w:r><w:t xml:space="preserve">or Wales; and by the Naturalization Act 1870, s. 5, the ahens&apos;</w:t></w:r>
</w:p>
<w:p>
<w:pPr><w:pStyle w:val="Normal"/></w:pPr>
<w:r><w:t xml:space="preserve">old privilege of being tried by a jury de medietate linguae</w:t></w:r>
</w:p>
<w:p>
<w:pPr><w:pStyle w:val="Normal"/></w:pPr>
<w:r><w:t xml:space="preserve">(that is, of which half were foreigners), was abolished.</w:t></w:r>
</w:p>
<w:p>
<w:pPr><w:pStyle w:val="Normal"/></w:pPr>
<w:r><w:t xml:space="preserve">It seems to be a rule of general public law that an alien</w:t></w:r>
</w:p>
<w:p>
<w:pPr><w:pStyle w:val="Normal"/></w:pPr>
<w:r><w:t xml:space="preserve">can be sent out of the realm by exercise of the crown&apos;s</w:t></w:r>
</w:p>
<w:p>
<w:pPr><w:pStyle w:val="Normal"/></w:pPr>
<w:r><w:t xml:space="preserve">prerogative; but in modern English practice, whenever it seems</w:t></w:r>
</w:p>
<w:p>
<w:pPr><w:pStyle w:val="Normal"/></w:pPr>
<w:r><w:t xml:space="preserve">necessary to expel foreigners (see EXPULSION), a special</w:t></w:r>
</w:p>
<w:p>
<w:pPr><w:pStyle w:val="Normal"/></w:pPr>
<w:r><w:t xml:space="preserve">act of parliament has to be obtained for the purpose, unless</w:t></w:r>
</w:p>
<w:p>
<w:pPr><w:pStyle w:val="Normal"/></w:pPr>
<w:r><w:t xml:space="preserve">the case falls within the extradition acts or the Aliens Act</w:t></w:r>
</w:p>
<w:p>
<w:pPr><w:pStyle w:val="Normal"/></w:pPr>
<w:r><w:t xml:space="preserve">1905.  The latter prohibits the landing in the United Kingdom</w:t></w:r>
</w:p>
<w:p>
<w:pPr><w:pStyle w:val="Normal"/></w:pPr>
<w:r><w:t xml:space="preserve">of undesirable alien steerage passengers, called in the act</w:t></w:r>
</w:p>
<w:p>
<w:pPr><w:pStyle w:val="Normal"/></w:pPr>
<w:r><w:t xml:space="preserve">``immigrants,&apos;&apos; from ships carrying more than twenty alien</w:t></w:r>
</w:p>
<w:p>
<w:pPr><w:pStyle w:val="Normal"/></w:pPr>
<w:r><w:t xml:space="preserve">steerage passengers, called in the act ``immigrant ships&apos;&apos;;</w:t></w:r>
</w:p>
<w:p>
<w:pPr><w:pStyle w:val="Normal"/></w:pPr>
<w:r><w:t xml:space="preserve">nor can alien immigrants be landed except at certain ports</w:t></w:r>
</w:p>
<w:p>
<w:pPr><w:pStyle w:val="Normal"/></w:pPr>
<w:r><w:t xml:space="preserve">at which there is an ``immigrant officer,&apos;&apos; to whom power of</w:t></w:r>
</w:p>
<w:p>
<w:pPr><w:pStyle w:val="Normal"/></w:pPr>
<w:r><w:t xml:space="preserve">prohibiting the landing is given, subject to a right of appeal</w:t></w:r>
</w:p>
<w:p>
<w:pPr><w:pStyle w:val="Normal"/></w:pPr>
<w:r><w:t xml:space="preserve">to the immigration board of the port.  The act contains a number</w:t></w:r>
</w:p>
<w:p>
<w:pPr><w:pStyle w:val="Normal"/></w:pPr>
<w:r><w:t xml:space="preserve">of qualifications, and among these empowers the secretary of</w:t></w:r>
</w:p>
<w:p>
<w:pPr><w:pStyle w:val="Normal"/></w:pPr>
<w:r><w:t xml:space="preserve">state to exempt any immigrant ship from its provisions if he</w:t></w:r>
</w:p>
<w:p>
<w:pPr><w:pStyle w:val="Normal"/></w:pPr>
<w:r><w:t xml:space="preserve">is satisfied that a proper system is maintained to prevent</w:t></w:r>
</w:p>
<w:p>
<w:pPr><w:pStyle w:val="Normal"/></w:pPr>
<w:r><w:t xml:space="preserve">the immigration of undesirable persons.  The principal test of</w:t></w:r>
</w:p>
<w:p>
<w:pPr><w:pStyle w:val="Normal"/></w:pPr>
<w:r><w:t xml:space="preserve">undesirableness is not having or being in a position to obtain</w:t></w:r>
</w:p>
<w:p>
<w:pPr><w:pStyle w:val="Normal"/></w:pPr>
<w:r><w:t xml:space="preserve">the means of supporting one&apos;s self and one&apos;s dependents, or</w:t></w:r>
</w:p>
<w:p>
<w:pPr><w:pStyle w:val="Normal"/></w:pPr>
<w:r><w:t xml:space="preserve">appearing likely from disease or infirmity to become a charge</w:t></w:r>
</w:p>
<w:p>
<w:pPr><w:pStyle w:val="Normal"/></w:pPr>
<w:r><w:t xml:space="preserve">on the rates, provided that the immigrant is not seeking to</w:t></w:r>
</w:p>
<w:p>
<w:pPr><w:pStyle w:val="Normal"/></w:pPr>
<w:r><w:t xml:space="preserve">avoid prosecution or punishment on religious or political</w:t></w:r>
</w:p>
<w:p>
<w:pPr><w:pStyle w:val="Normal"/></w:pPr>
<w:r><w:t xml:space="preserve">grounds, or persecution, involving danger of imprisonment</w:t></w:r>
</w:p>
<w:p>
<w:pPr><w:pStyle w:val="Normal"/></w:pPr>
<w:r><w:t xml:space="preserve">or danger to life or limb, on account of religious belief.</w:t></w:r>
</w:p>
<w:p>
<w:pPr><w:pStyle w:val="Normal"/></w:pPr>
<w:r><w:t xml:space="preserve">Lunatics, idiots, persons who from disease or infirmity</w:t></w:r>
</w:p>
<w:p>
<w:pPr><w:pStyle w:val="Normal"/></w:pPr>
<w:r><w:t xml:space="preserve">appear likely to become a detriment to the public otherwise</w:t></w:r>
</w:p>
<w:p>
<w:pPr><w:pStyle w:val="Normal"/></w:pPr>
<w:r><w:t xml:space="preserve">than through the rates, and persons sentenced in a foreign</w:t></w:r>
</w:p>
<w:p>
<w:pPr><w:pStyle w:val="Normal"/></w:pPr>
<w:r><w:t xml:space="preserve">country for crimes for which they could be surrendered to that</w:t></w:r>
</w:p>
<w:p>
<w:pPr><w:pStyle w:val="Normal"/></w:pPr>
<w:r><w:t xml:space="preserve">country, are also enumerated as undesirable.  Power is also</w:t></w:r>
</w:p>
<w:p>
<w:pPr><w:pStyle w:val="Normal"/></w:pPr>
<w:r><w:t xml:space="preserve">given to the secretary of state to expel persons sentenced</w:t></w:r>
</w:p>
<w:p>
<w:pPr><w:pStyle w:val="Normal"/></w:pPr>
<w:r><w:t xml:space="preserve">as just mentioned, or, if recommended by the court in which</w:t></w:r>
</w:p>
<w:p>
<w:pPr><w:pStyle w:val="Normal"/></w:pPr>
<w:r><w:t xml:space="preserve">they have been convicted, persons convicted of felony or some</w:t></w:r>
</w:p>
<w:p>
<w:pPr><w:pStyle w:val="Normal"/></w:pPr>
<w:r><w:t xml:space="preserve">offence for which the court has power to impose imprisonment</w:t></w:r>
</w:p>
<w:p>
<w:pPr><w:pStyle w:val="Normal"/></w:pPr>
<w:r><w:t xml:space="preserve">without the option of a fine, or of certain offences against</w:t></w:r>
</w:p>
<w:p>
<w:pPr><w:pStyle w:val="Normal"/></w:pPr>
<w:r><w:t xml:space="preserve">the police laws; and persons in receipt of any such parochial</w:t></w:r>
</w:p>
<w:p>
<w:pPr><w:pStyle w:val="Normal"/></w:pPr>
<w:r><w:t xml:space="preserve">relief as disqualifies for the parliamentary franchise, or</w:t></w:r>
</w:p>
<w:p>
<w:pPr><w:pStyle w:val="Normal"/></w:pPr>
<w:r><w:t xml:space="preserve">wandering without ostensible mean of subsistence, or living</w:t></w:r>
</w:p>
<w:p>
<w:pPr><w:pStyle w:val="Normal"/></w:pPr>
<w:r><w:t xml:space="preserve">under insanitary conditions due to overcrowding. (JNO. W.)</w:t></w:r>
</w:p>
<w:p>
<w:pPr><w:pStyle w:val="Normal"/></w:pPr>
<w:r><w:t xml:space="preserve">ALIENATION (from Lat. alienus, belonging to another), the</w:t></w:r>
</w:p>
<w:p>
<w:pPr><w:pStyle w:val="Normal"/></w:pPr>
<w:r><w:t xml:space="preserve">act or fact of being estranged, set apart or separated.  In</w:t></w:r>
</w:p>
<w:p>
<w:pPr><w:pStyle w:val="Normal"/></w:pPr>
<w:r><w:t xml:space="preserve">law the word is used for the act of transfer of property by</w:t></w:r>
</w:p>
<w:p>
<w:pPr><w:pStyle w:val="Normal"/></w:pPr>
<w:r><w:t xml:space="preserve">voluntary deed and not by inheritance.  In regard to church</w:t></w:r>
</w:p>
<w:p>
<w:pPr><w:pStyle w:val="Normal"/></w:pPr>
<w:r><w:t xml:space="preserve">property the word has come to mean, since the Reformation, a</w:t></w:r>
</w:p>
<w:p>
<w:pPr><w:pStyle w:val="Normal"/></w:pPr>
<w:r><w:t xml:space="preserve">transfer from religious to secular ownership. ``Alienation&apos;&apos;</w:t></w:r>
</w:p>
<w:p>
<w:pPr><w:pStyle w:val="Normal"/></w:pPr>
<w:r><w:t xml:space="preserve">is also used to denote a state of insanity (q.v..)</w:t></w:r>
</w:p>
<w:p>
<w:pPr><w:pStyle w:val="Normal"/></w:pPr>
<w:r><w:t xml:space="preserve">ALIEN-HOUSES, religious houses in England belonging to</w:t></w:r>
</w:p>
<w:p>
<w:pPr><w:pStyle w:val="Normal"/></w:pPr>
<w:r><w:t xml:space="preserve">foreign ecclesiastics, or under their control.  They generally</w:t></w:r>
</w:p>
<w:p>
<w:pPr><w:pStyle w:val="Normal"/></w:pPr>
<w:r><w:t xml:space="preserve">were built where property had been left by the donors to</w:t></w:r>
</w:p>
<w:p>
<w:pPr><w:pStyle w:val="Normal"/></w:pPr>
<w:r><w:t xml:space="preserve">foreign orders to pray for their souls.  They were frequently</w:t></w:r>
</w:p>
<w:p>
<w:pPr><w:pStyle w:val="Normal"/></w:pPr>
<w:r><w:t xml:space="preserve">regular ``priories,&apos;&apos; but sometimes only ``cells,&apos;&apos; and even</w:t></w:r>
</w:p>
<w:p>
<w:pPr><w:pStyle w:val="Normal"/></w:pPr>
<w:r><w:t xml:space="preserve">``granges,&apos;, with small chapels attached.  Some, particularly</w:t></w:r>
</w:p>
<w:p>
<w:pPr><w:pStyle w:val="Normal"/></w:pPr>
<w:r><w:t xml:space="preserve">in cities, seem to have been a sort of mission-houses.</w:t></w:r>
</w:p>
<w:p>
<w:pPr><w:pStyle w:val="Normal"/></w:pPr>
<w:r><w:t xml:space="preserve">There were more than 100 in England.  Many alien-houses</w:t></w:r>
</w:p>
<w:p>
<w:pPr><w:pStyle w:val="Normal"/></w:pPr>
<w:r><w:t xml:space="preserve">were suppressed by Henry V. and the rest by Henry VIII.</w:t></w:r>
</w:p>
<w:p>
<w:pPr><w:pStyle w:val="Normal"/></w:pPr>
<w:r><w:t xml:space="preserve">ALIENIST (Lat. alienus, that which belongs to another,</w:t></w:r>
</w:p>
<w:p>
<w:pPr><w:pStyle w:val="Normal"/></w:pPr>
<w:r><w:t xml:space="preserve">i.e. is external to one&apos;s self), one who specializes</w:t></w:r>
</w:p>
<w:p>
<w:pPr><w:pStyle w:val="Normal"/></w:pPr>
<w:r><w:t xml:space="preserve">in the study of mental diseases, which are often included</w:t></w:r>
</w:p>
<w:p>
<w:pPr><w:pStyle w:val="Normal"/></w:pPr>
<w:r><w:t xml:space="preserve">in the generic name ``Alienation.&apos;&apos; (See INSANITY.)</w:t></w:r>
</w:p>
<w:p>
<w:pPr><w:pStyle w:val="Normal"/></w:pPr>
<w:r><w:t xml:space="preserve">ALIGARH, a city and district of British India in the Meerut</w:t></w:r>
</w:p>
<w:p>
<w:pPr><w:pStyle w:val="Normal"/></w:pPr>
<w:r><w:t xml:space="preserve">division of the United Provinces.  The city, also known as</w:t></w:r>
</w:p>
<w:p>
<w:pPr><w:pStyle w:val="Normal"/></w:pPr>
<w:r><w:t xml:space="preserve">Koil, was a station on the East Indian railway, 876 m. from</w:t></w:r>
</w:p>
<w:p>
<w:pPr><w:pStyle w:val="Normal"/></w:pPr>
<w:r><w:t xml:space="preserve">Calcutta.  Sir Sayad Ahmad Khan, K.C.S.I., who died in 1898,</w:t></w:r>
</w:p>
<w:p>
<w:pPr><w:pStyle w:val="Normal"/></w:pPr>
<w:r><w:t xml:space="preserve">founded in 1864 the Aligarh Institute and Scientific Society</w:t></w:r>
</w:p>
<w:p>
<w:pPr><w:pStyle w:val="Normal"/></w:pPr>
<w:r><w:t xml:space="preserve">for the translation into the vernacular of western literature;</w:t></w:r>
</w:p>
<w:p>
<w:pPr><w:pStyle w:val="Normal"/></w:pPr>
<w:r><w:t xml:space="preserve">and afterwards the Mahommedan Anglo-Oriental College, under</w:t></w:r>
</w:p>
<w:p>
<w:pPr><w:pStyle w:val="Normal"/></w:pPr>
<w:r><w:t xml:space="preserve">English professors, with an English school attached.  The</w:t></w:r>
</w:p>
<w:p>
<w:pPr><w:pStyle w:val="Normal"/></w:pPr>
<w:r><w:t xml:space="preserve">college meets with strong support from the enlightened portion</w:t></w:r>
</w:p>
<w:p>
<w:pPr><w:pStyle w:val="Normal"/></w:pPr>
<w:r><w:t xml:space="preserve">of the Mussulman community, whose aim is to raise it to the</w:t></w:r>
</w:p>
<w:p>
<w:pPr><w:pStyle w:val="Normal"/></w:pPr>
<w:r><w:t xml:space="preserve">status of a university, with the power of conferring degrees.</w:t></w:r>
</w:p>
<w:p>
<w:pPr><w:pStyle w:val="Normal"/></w:pPr>
<w:r><w:t xml:space="preserve">The population (1901) 70,434, showed an increase of 14% in the</w:t></w:r>
</w:p>
<w:p>
<w:pPr><w:pStyle w:val="Normal"/></w:pPr>
<w:r><w:t xml:space="preserve">decade.  There are several flour-mills, cotton-presses and a dairy</w:t></w:r>
</w:p>
<w:p>
<w:pPr><w:pStyle w:val="Normal"/></w:pPr>
<w:r><w:t xml:space="preserve">farm.  Aligarh Fort, situated on the Grand Trunk road, consists</w:t></w:r>
</w:p>
<w:p>
<w:pPr><w:pStyle w:val="Normal"/></w:pPr>
<w:r><w:t xml:space="preserve">of a regular polygon, surrounded by a very broad and deep</w:t></w:r>
</w:p>
<w:p>
<w:pPr><w:pStyle w:val="Normal"/></w:pPr>
<w:r><w:t xml:space="preserve">ditch.  It became a fortress of great importance under Sindhia</w:t></w:r>
</w:p>
<w:p>
<w:pPr><w:pStyle w:val="Normal"/></w:pPr>
<w:r><w:t xml:space="preserve">in 1759, and was the depot where he drilled and organized</w:t></w:r>
</w:p>
<w:p>
<w:pPr><w:pStyle w:val="Normal"/></w:pPr>
<w:r><w:t xml:space="preserve">his battalions in the European fashion with the aid of De</w:t></w:r>
</w:p>
<w:p>
<w:pPr><w:pStyle w:val="Normal"/></w:pPr>
<w:r><w:t xml:space="preserve">Boigne.  It was captured from the Mahrtatas under the</w:t></w:r>
</w:p>
<w:p>
<w:pPr><w:pStyle w:val="Normal"/></w:pPr>
<w:r><w:t xml:space="preserve">leadership of Perron, another French officer, by Lord Lake&apos;s</w:t></w:r>
</w:p>
<w:p>
<w:pPr><w:pStyle w:val="Normal"/></w:pPr>
<w:r><w:t xml:space="preserve">army, in September 1803, since which time it has been much</w:t></w:r>
</w:p>
<w:p>
<w:pPr><w:pStyle w:val="Normal"/></w:pPr>
<w:r><w:t xml:space="preserve">strengthened and improved.  In the rebellion of 1857 the</w:t></w:r>
</w:p>
<w:p>
<w:pPr><w:pStyle w:val="Normal"/></w:pPr>
<w:r><w:t xml:space="preserve">troops stationed at Aligarh mutinied, but abstained from</w:t></w:r>
</w:p>
<w:p>
<w:pPr><w:pStyle w:val="Normal"/></w:pPr>
<w:r><w:t xml:space="preserve">murdering their officers, who, with the other residents</w:t></w:r>
</w:p>
<w:p>
<w:pPr><w:pStyle w:val="Normal"/></w:pPr>
<w:r><w:t xml:space="preserve">and ladies and children, succeeded in reaching Hathras.</w:t></w:r>
</w:p>
<w:p>
<w:pPr><w:pStyle w:val="Normal"/></w:pPr>
<w:r><w:t xml:space="preserve">The district of Aligarh has an area of 1857 sq. m.  It is</w:t></w:r>
</w:p>
<w:p>
<w:pPr><w:pStyle w:val="Normal"/></w:pPr>
<w:r><w:t xml:space="preserve">nearly a level plain, but with a slight elevation in the centre,</w:t></w:r>
</w:p>
<w:p>
<w:pPr><w:pStyle w:val="Normal"/></w:pPr>
<w:r><w:t xml:space="preserve">between the two great rivers the Ganges and Jumna.  The only</w:t></w:r>
</w:p>
<w:p>
<w:pPr><w:pStyle w:val="Normal"/></w:pPr>
<w:r><w:t xml:space="preserve">other important river is the Kali Nadi, which traverses the</w:t></w:r>
</w:p>
<w:p>
<w:pPr><w:pStyle w:val="Normal"/></w:pPr>
<w:r><w:t xml:space="preserve">entire length of the district from north-east to south-west.</w:t></w:r>
</w:p>
<w:p>
<w:pPr><w:pStyle w:val="Normal"/></w:pPr>
<w:r><w:t xml:space="preserve">The district is traversed by several railways and also by the</w:t></w:r>
</w:p>
<w:p>
<w:pPr><w:pStyle w:val="Normal"/></w:pPr>
<w:r><w:t xml:space="preserve">Ganges canal, which is navigable.  The chief trading centre is</w:t></w:r>
</w:p>
<w:p>
<w:pPr><w:pStyle w:val="Normal"/></w:pPr>
<w:r><w:t xml:space="preserve">Hathras.  In 1901 the population was 1,200,822, showing an</w:t></w:r>
</w:p>
<w:p>
<w:pPr><w:pStyle w:val="Normal"/></w:pPr>
<w:r><w:t xml:space="preserve">increase of 15% in the decade, due to the extension of irrigation.</w:t></w:r>
</w:p>
<w:p>
<w:pPr><w:pStyle w:val="Normal"/></w:pPr>
<w:r><w:t xml:space="preserve">There are several factories for ginning and pressing cotton.</w:t></w:r>
</w:p>
<w:p>
<w:pPr><w:pStyle w:val="Normal"/></w:pPr>
<w:r><w:t xml:space="preserve">ALIGNMENT (from Fr. a and ligne, the Lat. linea, a</w:t></w:r>
</w:p>
<w:p>
<w:pPr><w:pStyle w:val="Normal"/></w:pPr>
<w:r><w:t xml:space="preserve">line), a setting in line, generally straight, or the way</w:t></w:r>
</w:p>
<w:p>
<w:pPr><w:pStyle w:val="Normal"/></w:pPr>
<w:r><w:t xml:space="preserve">in which the line runs; an expression used in surveying,</w:t></w:r>
</w:p>
<w:p>
<w:pPr><w:pStyle w:val="Normal"/></w:pPr>
<w:r><w:t xml:space="preserve">drawing, and in military arrangements, the alignment of</w:t></w:r>
</w:p>
<w:p>
<w:pPr><w:pStyle w:val="Normal"/></w:pPr>
<w:r><w:t xml:space="preserve">a regiment or a camp meaning the situation when drawn</w:t></w:r>
</w:p>
<w:p>
<w:pPr><w:pStyle w:val="Normal"/></w:pPr>
<w:r><w:t xml:space="preserve">up in line or the relative position of the tents.  The</w:t></w:r>
</w:p>
<w:p>
<w:pPr><w:pStyle w:val="Normal"/></w:pPr>
<w:r><w:t xml:space="preserve">alignment of a rifle has reference to the way of getting the</w:t></w:r>
</w:p>
<w:p>
<w:pPr><w:pStyle w:val="Normal"/></w:pPr>
<w:r><w:t xml:space="preserve">sights into line with the object, so as to aim correctly.</w:t></w:r>
</w:p>
<w:p>
<w:pPr><w:pStyle w:val="Normal"/></w:pPr>
<w:r><w:t xml:space="preserve">ALIMENT (from Lat. aliment-um, from alere to nourish),</w:t></w:r>
</w:p>
<w:p>
<w:pPr><w:pStyle w:val="Normal"/></w:pPr>
<w:r><w:t xml:space="preserve">a synonym for ``food,&apos;&apos; literally or metaphorically.</w:t></w:r>
</w:p>
<w:p>
<w:pPr><w:pStyle w:val="Normal"/></w:pPr>
<w:r><w:t xml:space="preserve">The word has also been used in the same legal sense as</w:t></w:r>
</w:p>
<w:p>
<w:pPr><w:pStyle w:val="Normal"/></w:pPr>
<w:r><w:t xml:space="preserve">ALIMONY (q.v..) Aliment, in Scots law, is the sum paid</w:t></w:r>
</w:p>
<w:p>
<w:pPr><w:pStyle w:val="Normal"/></w:pPr>
<w:r><w:t xml:space="preserve">or allowance given in respect of the reciprocal obligation</w:t></w:r>
</w:p>
<w:p>
<w:pPr><w:pStyle w:val="Normal"/></w:pPr>
<w:r><w:t xml:space="preserve">of parents and children, husband and wife, grandparents and</w:t></w:r>
</w:p>
<w:p>
<w:pPr><w:pStyle w:val="Normal"/></w:pPr>
<w:r><w:t xml:space="preserve">grandchildren, to contribute to each other&apos;s maintenance.</w:t></w:r>
</w:p>
<w:p>
<w:pPr><w:pStyle w:val="Normal"/></w:pPr>
<w:r><w:t xml:space="preserve">The term is also used in regard to a similar obligation</w:t></w:r>
</w:p>
<w:p>
<w:pPr><w:pStyle w:val="Normal"/></w:pPr>
<w:r><w:t xml:space="preserve">of other parties, as of creditors to imprisoned debtors,</w:t></w:r>
</w:p>
<w:p>
<w:pPr><w:pStyle w:val="Normal"/></w:pPr>
<w:r><w:t xml:space="preserve">the payments by parishes to paupers, &amp;c. Alimentary funds,</w:t></w:r>
</w:p>
<w:p>
<w:pPr><w:pStyle w:val="Normal"/></w:pPr>
<w:r><w:t xml:space="preserve">whether of the kind above mentioned, or set apart as such</w:t></w:r>
</w:p>
<w:p>
<w:pPr><w:pStyle w:val="Normal"/></w:pPr>
<w:r><w:t xml:space="preserve">by the deed of a testator, are intended for the mere support</w:t></w:r>
</w:p>
<w:p>
<w:pPr><w:pStyle w:val="Normal"/></w:pPr>
<w:r><w:t xml:space="preserve">of the recipient, and are not attachable by creditors.</w:t></w:r>
</w:p>
<w:p>
<w:pPr><w:pStyle w:val="Normal"/></w:pPr>
<w:r><w:t xml:space="preserve">ALIMENTARY CANAL, in anatomy.  The alimentary canal, strictly</w:t></w:r>
</w:p>
<w:p>
<w:pPr><w:pStyle w:val="Normal"/></w:pPr>
<w:r><w:t xml:space="preserve">speaking, is the whole digestive tract from the mouth to the</w:t></w:r>
</w:p>
<w:p>
<w:pPr><w:pStyle w:val="Normal"/></w:pPr>
<w:r><w:t xml:space="preserve">anus.  From the one orifice to the other the tube is some</w:t></w:r>
</w:p>
<w:p>
<w:pPr><w:pStyle w:val="Normal"/></w:pPr>
<w:r><w:t xml:space="preserve">25 to 30 ft. long, and the food, in its passage, passes</w:t></w:r>
</w:p>
<w:p>
<w:pPr><w:pStyle w:val="Normal"/></w:pPr>
<w:r><w:t xml:space="preserve">through the following parts one after the other:--mouth,</w:t></w:r>
</w:p>
<w:p>
<w:pPr><w:pStyle w:val="Normal"/></w:pPr>
<w:r><w:t xml:space="preserve">pharynx, oesophagus, stomach, small intestines, caecum, large</w:t></w:r>
</w:p>
<w:p>
<w:pPr><w:pStyle w:val="Normal"/></w:pPr>
<w:r><w:t xml:space="preserve">intestines, rectum and anus.  Into this tube at various</w:t></w:r>
</w:p>
<w:p>
<w:pPr><w:pStyle w:val="Normal"/></w:pPr>
<w:r><w:t xml:space="preserve">points the salivary glands, liver and pancreas pour their</w:t></w:r>
</w:p>
<w:p>
<w:pPr><w:pStyle w:val="Normal"/></w:pPr>
<w:r><w:t xml:space="preserve">secretions by special ducts.  As the mouth (q.v.) and</w:t></w:r>
</w:p>
<w:p>
<w:pPr><w:pStyle w:val="Normal"/></w:pPr>
<w:r><w:t xml:space="preserve">pharynx (q.v.) are separately described, the detailed</w:t></w:r>
</w:p>
<w:p>
<w:pPr><w:pStyle w:val="Normal"/></w:pPr>
<w:r><w:t xml:space="preserve">description will here begin with the oesophagus or gullet.</w:t></w:r>
</w:p>
<w:p>
<w:pPr><w:pStyle w:val="Normal"/></w:pPr>
<w:r><w:t xml:space="preserve">The oesophagus (Gr. oiso, I will carry, and fagein, to</w:t></w:r>
</w:p>
<w:p>
<w:pPr><w:pStyle w:val="Normal"/></w:pPr>
<w:r><w:t xml:space="preserve">eat), a muscular tube lined with mucous membrane, stretches</w:t></w:r>
</w:p>
<w:p>
<w:pPr><w:pStyle w:val="Normal"/></w:pPr>
<w:r><w:t xml:space="preserve">from the lower limit of the pharynx, at the level of the</w:t></w:r>
</w:p>
<w:p>
<w:pPr><w:pStyle w:val="Normal"/></w:pPr>
<w:r><w:t xml:space="preserve">cricoid cartilage, to the cardiac orifice of the stomach.</w:t></w:r>
</w:p>
<w:p>
<w:pPr><w:pStyle w:val="Normal"/></w:pPr>
<w:r><w:t xml:space="preserve">It is about 10 in. long (25 cm.) and half to one inch in</w:t></w:r>
</w:p>
<w:p>
<w:pPr><w:pStyle w:val="Normal"/></w:pPr>
<w:r><w:t xml:space="preserve">diameter.  At first it lies in the lower part of the neck,</w:t></w:r>
</w:p>
<w:p>
<w:pPr><w:pStyle w:val="Normal"/></w:pPr>
<w:r><w:t xml:space="preserve">then in the thorax, and lastly, for about an inch, in the</w:t></w:r>
</w:p>
<w:p>
<w:pPr><w:pStyle w:val="Normal"/></w:pPr>
<w:r><w:t xml:space="preserve">abdomen.  As far as the level of the fourth or fifth thoracic</w:t></w:r>
</w:p>
<w:p>
<w:pPr><w:pStyle w:val="Normal"/></w:pPr>
<w:r><w:t xml:space="preserve">vertebra it lies behind the trachea, but when that tube ends,</w:t></w:r>
</w:p>
<w:p>
<w:pPr><w:pStyle w:val="Normal"/></w:pPr>
<w:r><w:t xml:space="preserve">it is in close contact with the pericardium, and, at the level</w:t></w:r>
</w:p>
<w:p>
<w:pPr><w:pStyle w:val="Normal"/></w:pPr>
<w:r><w:t xml:space="preserve">of the tenth thoracic vertebra, passes through the oesophageal</w:t></w:r>
</w:p>
<w:p>
<w:pPr><w:pStyle w:val="Normal"/></w:pPr>
<w:r><w:t xml:space="preserve">opening of the diaphragm (q.v.), accompanied by the two</w:t></w:r>
</w:p>
<w:p>
<w:pPr><w:pStyle w:val="Normal"/></w:pPr>
<w:r><w:t xml:space="preserve">vagi nerves, the left being in front of it and the right</w:t></w:r>
</w:p>
<w:p>
<w:pPr><w:pStyle w:val="Normal"/></w:pPr>
<w:r><w:t xml:space="preserve">behind.  In the abdomen it lies just behind the left lobe of the</w:t></w:r>
</w:p>
<w:p>
<w:pPr><w:pStyle w:val="Normal"/></w:pPr>
<w:r><w:t xml:space="preserve">liver.  Both in the upper and lower parts of its course it lies</w:t></w:r>
</w:p>
<w:p>
<w:pPr><w:pStyle w:val="Normal"/></w:pPr>
<w:r><w:t xml:space="preserve">a little to the left of the mid line.  Its mucous membrane is</w:t></w:r>
</w:p>
<w:p>
<w:pPr><w:pStyle w:val="Normal"/></w:pPr>
<w:r><w:t xml:space="preserve">thrown into a number of longitudinal pleats to allow stretching.</w:t></w:r>
</w:p>
<w:p>
<w:pPr><w:pStyle w:val="Normal"/></w:pPr>
<w:r><w:t xml:space="preserve">The stomach (Gr. stomachos) is an irregularly pear-shaped</w:t></w:r>
</w:p>
<w:p>
<w:pPr><w:pStyle w:val="Normal"/></w:pPr>
<w:r><w:t xml:space="preserve">bag, situated in the upper and left part of the abdomen.</w:t></w:r>
</w:p>
<w:p>
<w:pPr><w:pStyle w:val="Normal"/></w:pPr>
<w:r><w:t xml:space="preserve">It is somewhat flattened from before backward and so has</w:t></w:r>
</w:p>
<w:p>
<w:pPr><w:pStyle w:val="Normal"/></w:pPr>
<w:r><w:t xml:space="preserve">an anterior and posterior surface and an upper and lower</w:t></w:r>
</w:p>
<w:p>
<w:pPr><w:pStyle w:val="Normal"/></w:pPr>
<w:r><w:t xml:space="preserve">border.  When moderately distended the thick end of the</w:t></w:r>
</w:p>
<w:p>
<w:pPr><w:pStyle w:val="Normal"/></w:pPr>
<w:r><w:t xml:space="preserve">pear or fundus bulges upward and to the left, while</w:t></w:r>
</w:p>
<w:p>
<w:pPr><w:pStyle w:val="Normal"/></w:pPr>
<w:r><w:t xml:space="preserve">the narrow end is constricted to form the pylorus, by</w:t></w:r>
</w:p>
<w:p>
<w:pPr><w:pStyle w:val="Normal"/></w:pPr>
<w:r><w:t xml:space="preserve">means of which the stomach communicates with the small</w:t></w:r>
</w:p>
<w:p>
<w:pPr><w:pStyle w:val="Normal"/></w:pPr>
<w:r><w:t xml:space="preserve">intestine.  The cardiac orifice, where the oesophagus</w:t></w:r>
</w:p>
<w:p>
<w:pPr><w:pStyle w:val="Normal"/></w:pPr>
<w:r><w:t xml:space="preserve">enters, is placed about a third of the way along the upper</w:t></w:r>
</w:p>
<w:p>
<w:pPr><w:pStyle w:val="Normal"/></w:pPr>
<w:r><w:t xml:space="preserve">border from the left end of the fundus, and, between it and</w:t></w:r>
</w:p>
<w:p>
<w:pPr><w:pStyle w:val="Normal"/></w:pPr>
<w:r><w:t xml:space="preserve">the pylorus, the upper border is concave and is known as</w:t></w:r>
</w:p>
<w:p>
<w:pPr><w:pStyle w:val="Normal"/></w:pPr>
<w:r><w:t xml:space="preserve">the lesser curvature.  From the cardiac to the pyloric</w:t></w:r>
</w:p>
<w:p>
<w:pPr><w:pStyle w:val="Normal"/></w:pPr>
<w:r><w:t xml:space="preserve">orifice, round the lower border, is the greater curvature.</w:t></w:r>
</w:p>
<w:p>
<w:pPr><w:pStyle w:val="Normal"/></w:pPr>
<w:r><w:t xml:space="preserve">The stomach has in front of it the liver (see fig. 1), the</w:t></w:r>
</w:p>
<w:p>
<w:pPr><w:pStyle w:val="Normal"/></w:pPr>
<w:r><w:t xml:space="preserve">diaphragm and the anterior abdominal wall, while behind it</w:t></w:r>
</w:p>
<w:p>
<w:pPr><w:pStyle w:val="Normal"/></w:pPr>
<w:r><w:t xml:space="preserve">are the pancreas, left kidney, left adrenal, spleen, colon and</w:t></w:r>
</w:p>
<w:p>
<w:pPr><w:pStyle w:val="Normal"/></w:pPr>
<w:r><w:t xml:space="preserve">mesocolon.  These structures form what is known as the stomach</w:t></w:r>
</w:p>
<w:p>
<w:pPr><w:pStyle w:val="Normal"/></w:pPr>
<w:r><w:t xml:space="preserve">chamber.  When the stomach is empty it contracts into a tubular</w:t></w:r>
</w:p>
<w:p>
<w:pPr><w:pStyle w:val="Normal"/></w:pPr>
<w:r><w:t xml:space="preserve">organ which is frequently sharply bent, and the transverse</w:t></w:r>
</w:p>
<w:p>
<w:pPr><w:pStyle w:val="Normal"/></w:pPr>
<w:r><w:t xml:space="preserve">colon ascends to occupy the vacant part of the stomach chamber.</w:t></w:r>
</w:p>
<w:p>
<w:pPr><w:pStyle w:val="Normal"/></w:pPr>
<w:r><w:t xml:space="preserve">The last inch of the stomach before reaching the pylorus is</w:t></w:r>
</w:p>
<w:p>
<w:pPr><w:pStyle w:val="Normal"/></w:pPr>
<w:r><w:t xml:space="preserve">From A. Birmingham; Cunningham&apos;s Text-Book of Anatomy.</w:t></w:r>
</w:p>
<w:p>
<w:pPr><w:pStyle w:val="Normal"/></w:pPr>
<w:r><w:t xml:space="preserve">FIG. 1.--The Abdominal Viscera in situ, as seen when the abdomen</w:t></w:r>
</w:p>
<w:p>
<w:pPr><w:pStyle w:val="Normal"/></w:pPr>
<w:r><w:t xml:space="preserve">is laid open and the great omentum removed (drawn to scale from a</w:t></w:r>
</w:p>
<w:p>
<w:pPr><w:pStyle w:val="Normal"/></w:pPr>
<w:r><w:t xml:space="preserve">photograph of a male body aged 56, hardened by formalin injections).</w:t></w:r>
</w:p>
<w:p>
<w:pPr><w:pStyle w:val="Normal"/></w:pPr>
<w:r><w:t xml:space="preserve">The ribs on the right side are indicated by Roman numerals;</w:t></w:r>
</w:p>
<w:p>
<w:pPr><w:pStyle w:val="Normal"/></w:pPr>
<w:r><w:t xml:space="preserve">it will be observed that the eighth costal cartilage</w:t></w:r>
</w:p>
<w:p>
<w:pPr><w:pStyle w:val="Normal"/></w:pPr>
<w:r><w:t xml:space="preserve">articulated with the sternum on both sides.  The subcostal,</w:t></w:r>
</w:p>
<w:p>
<w:pPr><w:pStyle w:val="Normal"/></w:pPr>
<w:r><w:t xml:space="preserve">intertubercular, and right and left Poupart lines are drawn</w:t></w:r>
</w:p>
<w:p>
<w:pPr><w:pStyle w:val="Normal"/></w:pPr>
<w:r><w:t xml:space="preserve">in black, and the mesial plane is indicated by a dotted</w:t></w:r>
</w:p>
<w:p>
<w:pPr><w:pStyle w:val="Normal"/></w:pPr>
<w:r><w:t xml:space="preserve">line.  The intercostal muscles and part of the diaphragm</w:t></w:r>
</w:p>
<w:p>
<w:pPr><w:pStyle w:val="Normal"/></w:pPr>
<w:r><w:t xml:space="preserve">have been removed, to show the liver and stomach extending up</w:t></w:r>
</w:p>
<w:p>
<w:pPr><w:pStyle w:val="Normal"/></w:pPr>
<w:r><w:t xml:space="preserve">beneath the ribs.  The stomach is moderately distended, and</w:t></w:r>
</w:p>
<w:p>
<w:pPr><w:pStyle w:val="Normal"/></w:pPr>
<w:r><w:t xml:space="preserve">the intestines are particularly regular in their arrangement.</w:t></w:r>
</w:p>
<w:p>
<w:pPr><w:pStyle w:val="Normal"/></w:pPr>
<w:r><w:t xml:space="preserve">usually tubular and is known as the pyloric canal. Before</w:t></w:r>
</w:p>
<w:p>
<w:pPr><w:pStyle w:val="Normal"/></w:pPr>
<w:r><w:t xml:space="preserve">reaching this there is a bulging known as the pyloric vestibule</w:t></w:r>
</w:p>
<w:p>
<w:pPr><w:pStyle w:val="Normal"/></w:pPr>
<w:r><w:t xml:space="preserve">(see D. J. Cunningham, Tr. R. Soc. of Edinib. vol. xlv.</w:t></w:r>
</w:p>
<w:p>
<w:pPr><w:pStyle w:val="Normal"/></w:pPr>
<w:r><w:t xml:space="preserve">pt. 1, No. 2). The pylorus is an oval opening, averaging</w:t></w:r>
</w:p>
<w:p>
<w:pPr><w:pStyle w:val="Normal"/></w:pPr>
<w:r><w:t xml:space="preserve">half an inch in its long axis but capable of considerable</w:t></w:r>
</w:p>
<w:p>
<w:pPr><w:pStyle w:val="Normal"/></w:pPr>
<w:r><w:t xml:space="preserve">distension; it is formed by a special development of the</w:t></w:r>
</w:p>
<w:p>
<w:pPr><w:pStyle w:val="Normal"/></w:pPr>
<w:r><w:t xml:space="preserve">circular muscle layer of the stomach, and during life is</w:t></w:r>
</w:p>
<w:p>
<w:pPr><w:pStyle w:val="Normal"/></w:pPr>
<w:r><w:t xml:space="preserve">probably tightly closed.  The mucous membrane of the stomach</w:t></w:r>
</w:p>
<w:p>
<w:pPr><w:pStyle w:val="Normal"/></w:pPr>
<w:r><w:t xml:space="preserve">is thrown into pleats or rugae when the organ is not fully</w:t></w:r>
</w:p>
<w:p>
<w:pPr><w:pStyle w:val="Normal"/></w:pPr>
<w:r><w:t xml:space="preserve">distended, while between these it has a mammillated appearance.</w:t></w:r>
</w:p>
<w:p>
<w:pPr><w:pStyle w:val="Normal"/></w:pPr>
<w:r><w:t xml:space="preserve">Superficial to the mucous coat is a sub-mucous, consisting</w:t></w:r>
</w:p>
<w:p>
<w:pPr><w:pStyle w:val="Normal"/></w:pPr>
<w:r><w:t xml:space="preserve">of loose connective tissue, while superficial to this are</w:t></w:r>
</w:p>
<w:p>
<w:pPr><w:pStyle w:val="Normal"/></w:pPr>
<w:r><w:t xml:space="preserve">three coats of unstriped muscle, the inner oblique, the middle</w:t></w:r>
</w:p>
<w:p>
<w:pPr><w:pStyle w:val="Normal"/></w:pPr>
<w:r><w:t xml:space="preserve">circular and the outer longitudinal.  The peritoneal coat is</w:t></w:r>
</w:p>
<w:p>
<w:pPr><w:pStyle w:val="Normal"/></w:pPr>
<w:r><w:t xml:space="preserve">described in the article on the coelom and serous membranes.</w:t></w:r>
</w:p>
<w:p>
<w:pPr><w:pStyle w:val="Normal"/></w:pPr>
<w:r><w:t xml:space="preserve">The small intestine is a tube, from 22 to 25 ft. long,</w:t></w:r>
</w:p>
<w:p>
<w:pPr><w:pStyle w:val="Normal"/></w:pPr>
<w:r><w:t xml:space="preserve">beginning at the pylorus and ending at the ileo-caecal</w:t></w:r>
</w:p>
<w:p>
<w:pPr><w:pStyle w:val="Normal"/></w:pPr>
<w:r><w:t xml:space="preserve">valve; it is divided into duodenum, jejunum and ileum.</w:t></w:r>
</w:p>
<w:p>
<w:pPr><w:pStyle w:val="Normal"/></w:pPr>
<w:r><w:t xml:space="preserve">The duodenum is from 9 to 11 in. long and forms a horseshoe</w:t></w:r>
</w:p>
<w:p>
<w:pPr><w:pStyle w:val="Normal"/></w:pPr>
<w:r><w:t xml:space="preserve">or C-shaped curve, encircling the head of the pancreas.  It</w:t></w:r>
</w:p>
<w:p>
<w:pPr><w:pStyle w:val="Normal"/></w:pPr>
<w:r><w:t xml:space="preserve">differs from the rest of the gut in being retroperitoneal.</w:t></w:r>
</w:p>
<w:p>
<w:pPr><w:pStyle w:val="Normal"/></w:pPr>
<w:r><w:t xml:space="preserve">Its first part is horizontal and lies behind the fundus of</w:t></w:r>
</w:p>
<w:p>
<w:pPr><w:pStyle w:val="Normal"/></w:pPr>
<w:r><w:t xml:space="preserve">the gall-bladder, passing backward and to the right from the</w:t></w:r>
</w:p>
<w:p>
<w:pPr><w:pStyle w:val="Normal"/></w:pPr>
<w:r><w:t xml:space="preserve">pylorus.  The second part runs vertically downward in</w:t></w:r>
</w:p>
<w:p>
<w:pPr><w:pStyle w:val="Normal"/></w:pPr>
<w:r><w:t xml:space="preserve">front of the hilum of the right kidney, and into this part</w:t></w:r>
</w:p>
<w:p>
<w:pPr><w:pStyle w:val="Normal"/></w:pPr>
<w:r><w:t xml:space="preserve">the pancreatic and bile ducts open.  The third part runs</w:t></w:r>
</w:p>
<w:p>
<w:pPr><w:pStyle w:val="Normal"/></w:pPr>
<w:r><w:t xml:space="preserve">horizontally to the left in front of the aorta and vena</w:t></w:r>
</w:p>
<w:p>
<w:pPr><w:pStyle w:val="Normal"/></w:pPr>
<w:r><w:t xml:space="preserve">cava, while the fourth part ascends to the left side of</w:t></w:r>
</w:p>
<w:p>
<w:pPr><w:pStyle w:val="Normal"/></w:pPr>
<w:r><w:t xml:space="preserve">the second lumbar vertebra, after which it bends sharply</w:t></w:r>
</w:p>
<w:p>
<w:pPr><w:pStyle w:val="Normal"/></w:pPr>
<w:r><w:t xml:space="preserve">downward and forward to form the duodeno-jejunal flexure.</w:t></w:r>
</w:p>
<w:p>
<w:pPr><w:pStyle w:val="Normal"/></w:pPr>
<w:r><w:t xml:space="preserve">The jejunum forms the upper two-fifths of the rest of</w:t></w:r>
</w:p>
<w:p>
<w:pPr><w:pStyle w:val="Normal"/></w:pPr>
<w:r><w:t xml:space="preserve">the small intestine; it, like the ileum, is thrown into</w:t></w:r>
</w:p>
<w:p>
<w:pPr><w:pStyle w:val="Normal"/></w:pPr>
<w:r><w:t xml:space="preserve">numerous convolutions and is attached by the mesentery to the</w:t></w:r>
</w:p>
<w:p>
<w:pPr><w:pStyle w:val="Normal"/></w:pPr>
<w:r><w:t xml:space="preserve">posterior abdominal wall. (See COELOM AND SEROUS MEMBRANES.)</w:t></w:r>
</w:p>
<w:p>
<w:pPr><w:pStyle w:val="Normal"/></w:pPr>
<w:r><w:t xml:space="preserve">The ileum is the remaining three-fifths of the small</w:t></w:r>
</w:p>
<w:p>
<w:pPr><w:pStyle w:val="Normal"/></w:pPr>
<w:r><w:t xml:space="preserve">intestine, though there is no absolute point at which the</w:t></w:r>
</w:p>
<w:p>
<w:pPr><w:pStyle w:val="Normal"/></w:pPr>
<w:r><w:t xml:space="preserve">one ends and the other begins.  Speaking broadly, the jejunum</w:t></w:r>
</w:p>
<w:p>
<w:pPr><w:pStyle w:val="Normal"/></w:pPr>
<w:r><w:t xml:space="preserve">occupies the upper and left part of the abdomen below the</w:t></w:r>
</w:p>
<w:p>
<w:pPr><w:pStyle w:val="Normal"/></w:pPr>
<w:r><w:t xml:space="preserve">subcostal plane (see ANATOMY: Superficial and Artistic),</w:t></w:r>
</w:p>
<w:p>
<w:pPr><w:pStyle w:val="Normal"/></w:pPr>
<w:r><w:t xml:space="preserve">the ileum the lower and right part.  About 3 ft. from its</w:t></w:r>
</w:p>
<w:p>
<w:pPr><w:pStyle w:val="Normal"/></w:pPr>
<w:r><w:t xml:space="preserve">termination a small pouch, known as Meckel&apos;s diverticulum,</w:t></w:r>
</w:p>
<w:p>
<w:pPr><w:pStyle w:val="Normal"/></w:pPr>
<w:r><w:t xml:space="preserve">is very occasionally found.  At its termination the ileum</w:t></w:r>
</w:p>
<w:p>
<w:pPr><w:pStyle w:val="Normal"/></w:pPr>
<w:r><w:t xml:space="preserve">opens into the large intestine at the ileo-caecal valve.</w:t></w:r>
</w:p>
<w:p>
<w:pPr><w:pStyle w:val="Normal"/></w:pPr>
<w:r><w:t xml:space="preserve">The caecum is a blind sac occupying the right iliac fossa and</w:t></w:r>
</w:p>
<w:p>
<w:pPr><w:pStyle w:val="Normal"/></w:pPr>
<w:r><w:t xml:space="preserve">extending down some two or three inches below the ileo- caecal</w:t></w:r>
</w:p>
<w:p>
<w:pPr><w:pStyle w:val="Normal"/></w:pPr>
<w:r><w:t xml:space="preserve">junction.  From its posterior and left surface the vermiform</w:t></w:r>
</w:p>
<w:p>
<w:pPr><w:pStyle w:val="Normal"/></w:pPr>
<w:r><w:t xml:space="preserve">appendix protrudes, and usually is directed upward and to the</w:t></w:r>
</w:p>
<w:p>
<w:pPr><w:pStyle w:val="Normal"/></w:pPr>
<w:r><w:t xml:space="preserve">left, though it not infrequently hangs down into the true</w:t></w:r>
</w:p>
<w:p>
<w:pPr><w:pStyle w:val="Normal"/></w:pPr>
<w:r><w:t xml:space="preserve">pelvis.  This worm-like tube is blind at its end and is</w:t></w:r>
</w:p>
<w:p>
<w:pPr><w:pStyle w:val="Normal"/></w:pPr>
<w:r><w:t xml:space="preserve">usually 3 or 4 in. long, though it has been seen as long as 10.</w:t></w:r>
</w:p>
<w:p>
<w:pPr><w:pStyle w:val="Normal"/></w:pPr>
<w:r><w:t xml:space="preserve">in.  Its internal opening into the caecum is about 1 in. below</w:t></w:r>
</w:p>
<w:p>
<w:pPr><w:pStyle w:val="Normal"/></w:pPr>
<w:r><w:t xml:space="preserve">that of the ileum.  On transverse section it is seen to be</w:t></w:r>
</w:p>
<w:p>
<w:pPr><w:pStyle w:val="Normal"/></w:pPr>
<w:r><w:t xml:space="preserve">composed of (1) an external muscular coat, (2) a submucous</w:t></w:r>
</w:p>
<w:p>
<w:pPr><w:pStyle w:val="Normal"/></w:pPr>
<w:r><w:t xml:space="preserve">coat, (3) a mass of lymphoid tissue, which appears after</w:t></w:r>
</w:p>
<w:p>
<w:pPr><w:pStyle w:val="Normal"/></w:pPr>
<w:r><w:t xml:space="preserve">birth, and (4) mucous membrane.  In many cases its lumen is</w:t></w:r>
</w:p>
<w:p>
<w:pPr><w:pStyle w:val="Normal"/></w:pPr>
<w:r><w:t xml:space="preserve">wholly or partly obliterated, though this is probably due to</w:t></w:r>
</w:p>
<w:p>
<w:pPr><w:pStyle w:val="Normal"/></w:pPr>
<w:r><w:t xml:space="preserve">disease (see R. Berry and L. Lack, Journ.  Anat. &amp; Phys.</w:t></w:r>
</w:p>
<w:p>
<w:pPr><w:pStyle w:val="Normal"/></w:pPr>
<w:r><w:t xml:space="preserve">vol.  H. p. 247).  Guarding the opening of the ileum into</w:t></w:r>
</w:p>
<w:p>
<w:pPr><w:pStyle w:val="Normal"/></w:pPr>
<w:r><w:t xml:space="preserve">the caecum is the ileo-caecal valve, which consists of two</w:t></w:r>
</w:p>
<w:p>
<w:pPr><w:pStyle w:val="Normal"/></w:pPr>
<w:r><w:t xml:space="preserve">cusps projecting into the caecum; of these the upper forms a</w:t></w:r>
</w:p>
<w:p>
<w:pPr><w:pStyle w:val="Normal"/></w:pPr>
<w:r><w:t xml:space="preserve">horizontal shelf, while the lower slopes up to it obliquely.</w:t></w:r>
</w:p>
<w:p>
<w:pPr><w:pStyle w:val="Normal"/></w:pPr>
<w:r><w:t xml:space="preserve">Complete absence of the valve has been noticed, and in one</w:t></w:r>
</w:p>
<w:p>
<w:pPr><w:pStyle w:val="Normal"/></w:pPr>
<w:r><w:t xml:space="preserve">such case the writer found that no abdominal inconvenience had</w:t></w:r>
</w:p>
<w:p>
<w:pPr><w:pStyle w:val="Normal"/></w:pPr>
<w:r><w:t xml:space="preserve">been recorded during life.  The caecum is usually completely</w:t></w:r>
</w:p>
<w:p>
<w:pPr><w:pStyle w:val="Normal"/></w:pPr>
<w:r><w:t xml:space="preserve">covered by peritoneum, three special pouches of which are</w:t></w:r>
</w:p>
<w:p>
<w:pPr><w:pStyle w:val="Normal"/></w:pPr>
<w:r><w:t xml:space="preserve">often found in its neighbourhood; of these the ileo-colic is</w:t></w:r>
</w:p>
<w:p>
<w:pPr><w:pStyle w:val="Normal"/></w:pPr>
<w:r><w:t xml:space="preserve">just above the point of junction of the ileum and caecum, the</w:t></w:r>
</w:p>
<w:p>
<w:pPr><w:pStyle w:val="Normal"/></w:pPr>
<w:r><w:t xml:space="preserve">ileocaecal just below that point, while the retro-caecal is</w:t></w:r>
</w:p>
<w:p>
<w:pPr><w:pStyle w:val="Normal"/></w:pPr>
<w:r><w:t xml:space="preserve">behind the caecum.  At birth the caecum is a cone, the apex</w:t></w:r>
</w:p>
<w:p>
<w:pPr><w:pStyle w:val="Normal"/></w:pPr>
<w:r><w:t xml:space="preserve">of which is the appendix; it is bent upon itself to form a</w:t></w:r>
</w:p>
<w:p>
<w:pPr><w:pStyle w:val="Normal"/></w:pPr>
<w:r><w:t xml:space="preserve">U, and sometimes this arrangement persists throughout life</w:t></w:r>
</w:p>
<w:p>
<w:pPr><w:pStyle w:val="Normal"/></w:pPr>
<w:r><w:t xml:space="preserve">(see C. Toldt, ``Die Formbildung d. menschl.  Blinddarmes,&apos;&apos;</w:t></w:r>
</w:p>
<w:p>
<w:pPr><w:pStyle w:val="Normal"/></w:pPr>
<w:r><w:t xml:space="preserve">Sitz. der Wiener Akad. Bd. ciii.  Abteil. 3, p. 41).</w:t></w:r>
</w:p>
<w:p>
<w:pPr><w:pStyle w:val="Normal"/></w:pPr>
<w:r><w:t xml:space="preserve">The ascending colon runs up from the caecum at the level of the</w:t></w:r>
</w:p>
<w:p>
<w:pPr><w:pStyle w:val="Normal"/></w:pPr>
<w:r><w:t xml:space="preserve">ileo-caecal valve to the hepatic flexure beneath and behind the</w:t></w:r>
</w:p>
<w:p>
<w:pPr><w:pStyle w:val="Normal"/></w:pPr>
<w:r><w:t xml:space="preserve">right lobe of the liver; it is about 8 in. long and posteriorly</w:t></w:r>
</w:p>
<w:p>
<w:pPr><w:pStyle w:val="Normal"/></w:pPr>
<w:r><w:t xml:space="preserve">is in contact with the abdominal wall and right kidney.  It is</w:t></w:r>
</w:p>
<w:p>
<w:pPr><w:pStyle w:val="Normal"/></w:pPr>
<w:r><w:t xml:space="preserve">covered by peritoneum except on its posterior surface (see fig. 1).</w:t></w:r>
</w:p>
<w:p>
<w:pPr><w:pStyle w:val="Normal"/></w:pPr>
<w:r><w:t xml:space="preserve">The transverse colon is variable in position, depending largely</w:t></w:r>
</w:p>
<w:p>
<w:pPr><w:pStyle w:val="Normal"/></w:pPr>
<w:r><w:t xml:space="preserve">on the distension of the stomach, but usually corresponding</w:t></w:r>
</w:p>
<w:p>
<w:pPr><w:pStyle w:val="Normal"/></w:pPr>
<w:r><w:t xml:space="preserve">to the subcostal plane (see ANATOMY: Superficial and</w:t></w:r>
</w:p>
<w:p>
<w:pPr><w:pStyle w:val="Normal"/></w:pPr>
<w:r><w:t xml:space="preserve">Artistic).  On the left side of the abdomen it ascends to the</w:t></w:r>
</w:p>
<w:p>
<w:pPr><w:pStyle w:val="Normal"/></w:pPr>
<w:r><w:t xml:space="preserve">splenic flexure, which may make an impression on the spleen (see</w:t></w:r>
</w:p>
<w:p>
<w:pPr><w:pStyle w:val="Normal"/></w:pPr>
<w:r><w:t xml:space="preserve">DUCTLESS GLANDS), and is bound to the diaphragm opposite the</w:t></w:r>
</w:p>
<w:p>
<w:pPr><w:pStyle w:val="Normal"/></w:pPr>
<w:r><w:t xml:space="preserve">eleventh rib by a fold of peritoneum called the phrenico-colic</w:t></w:r>
</w:p>
<w:p>
<w:pPr><w:pStyle w:val="Normal"/></w:pPr>
<w:r><w:t xml:space="preserve">ligament.  The peritoneal relations of this part are</w:t></w:r>
</w:p>
<w:p>
<w:pPr><w:pStyle w:val="Normal"/></w:pPr>
<w:r><w:t xml:space="preserve">discussed in the article on the coelom and serous membranes.</w:t></w:r>
</w:p>
<w:p>
<w:pPr><w:pStyle w:val="Normal"/></w:pPr>
<w:r><w:t xml:space="preserve">The descending colon passes down in front of the left kidney</w:t></w:r>
</w:p>
<w:p>
<w:pPr><w:pStyle w:val="Normal"/></w:pPr>
<w:r><w:t xml:space="preserve">and left side of the posterior abdominal wall to the crest</w:t></w:r>
</w:p>
<w:p>
<w:pPr><w:pStyle w:val="Normal"/></w:pPr>
<w:r><w:t xml:space="preserve">of the ilium; it is about 6 in. long and is usually empty and</w:t></w:r>
</w:p>
<w:p>
<w:pPr><w:pStyle w:val="Normal"/></w:pPr>
<w:r><w:t xml:space="preserve">contracted while the rest of the colon is distended with gas;</w:t></w:r>
</w:p>
<w:p>
<w:pPr><w:pStyle w:val="Normal"/></w:pPr>
<w:r><w:t xml:space="preserve">its peritoneal relations are the same as those of the ascending</w:t></w:r>
</w:p>
<w:p>
<w:pPr><w:pStyle w:val="Normal"/></w:pPr>
<w:r><w:t xml:space="preserve">colon, but it is more likely to be completely surrounded.</w:t></w:r>
</w:p>
<w:p>
<w:pPr><w:pStyle w:val="Normal"/></w:pPr>
<w:r><w:t xml:space="preserve">The iliac colon stretches from the crest of the ilium</w:t></w:r>
</w:p>
<w:p>
<w:pPr><w:pStyle w:val="Normal"/></w:pPr>
<w:r><w:t xml:space="preserve">to the inner border of the psoas muscle, lying in the left</w:t></w:r>
</w:p>
<w:p>
<w:pPr><w:pStyle w:val="Normal"/></w:pPr>
<w:r><w:t xml:space="preserve">iliac fossa, just above and parallel to Poupart&apos;s ligament.</w:t></w:r>
</w:p>
<w:p>
<w:pPr><w:pStyle w:val="Normal"/></w:pPr>
<w:r><w:t xml:space="preserve">Like the descending, it is usually uncovered by peritoneum</w:t></w:r>
</w:p>
<w:p>
<w:pPr><w:pStyle w:val="Normal"/></w:pPr>
<w:r><w:t xml:space="preserve">on its posterior surface.  It is about 6 in. in length.</w:t></w:r>
</w:p>
<w:p>
<w:pPr><w:pStyle w:val="Normal"/></w:pPr>
<w:r><w:t xml:space="preserve">The pelvic colon lies in the true pelvis and forms a</w:t></w:r>
</w:p>
<w:p>
<w:pPr><w:pStyle w:val="Normal"/></w:pPr>
<w:r><w:t xml:space="preserve">loop, the two limbs of which are superior and inferior</w:t></w:r>
</w:p>
<w:p>
<w:pPr><w:pStyle w:val="Normal"/></w:pPr>
<w:r><w:t xml:space="preserve">while the convexity reaches across to the right side of the</w:t></w:r>
</w:p>
<w:p>
<w:pPr><w:pStyle w:val="Normal"/></w:pPr>
<w:r><w:t xml:space="preserve">pelvis.  In the foetus this loop occupies the right</w:t></w:r>
</w:p>
<w:p>
<w:pPr><w:pStyle w:val="Normal"/></w:pPr>
<w:r><w:t xml:space="preserve">iliac fossa, but, as the caecum descends and enlarges</w:t></w:r>
</w:p>
<w:p>
<w:pPr><w:pStyle w:val="Normal"/></w:pPr>
<w:r><w:t xml:space="preserve">and the pelvis widens, it is usually driven out of this</w:t></w:r>
</w:p>
<w:p>
<w:pPr><w:pStyle w:val="Normal"/></w:pPr>
<w:r><w:t xml:space="preserve">region.  The distal end of the loop turns sharply downward</w:t></w:r>
</w:p>
<w:p>
<w:pPr><w:pStyle w:val="Normal"/></w:pPr>
<w:r><w:t xml:space="preserve">to reach the third piece of the sacrum where it becomes the</w:t></w:r>
</w:p>
<w:p>
<w:pPr><w:pStyle w:val="Normal"/></w:pPr>
<w:r><w:t xml:space="preserve">rectum.  To this pelvic colon Sir F. Treves (Anatomy of</w:t></w:r>
</w:p>
<w:p>
<w:pPr><w:pStyle w:val="Normal"/></w:pPr>
<w:r><w:t xml:space="preserve">the Intestinal Canal, London, 1885) has given the name</w:t></w:r>
</w:p>
<w:p>
<w:pPr><w:pStyle w:val="Normal"/></w:pPr>
<w:r><w:t xml:space="preserve">of the omega loop.  Formerly the iliac and pelvic colons</w:t></w:r>
</w:p>
<w:p>
<w:pPr><w:pStyle w:val="Normal"/></w:pPr>
<w:r><w:t xml:space="preserve">were spoken of as the sigmoid flexure, but Treves and T.</w:t></w:r>
</w:p>
<w:p>
<w:pPr><w:pStyle w:val="Normal"/></w:pPr>
<w:r><w:t xml:space="preserve">Jonnesco (Le Colon pelvien pendant la vie intra-uterine,</w:t></w:r>
</w:p>
<w:p>
<w:pPr><w:pStyle w:val="Normal"/></w:pPr>
<w:r><w:t xml:space="preserve">Paris, 1892) have pointed out the inapplicability of the</w:t></w:r>
</w:p>
<w:p>
<w:pPr><w:pStyle w:val="Normal"/></w:pPr>
<w:r><w:t xml:space="preserve">term, and to the latter author the modern description is due.</w:t></w:r>
</w:p>
<w:p>
<w:pPr><w:pStyle w:val="Normal"/></w:pPr>
<w:r><w:t xml:space="preserve">The rectum, according to modern ideas, begins in front of</w:t></w:r>
</w:p>
<w:p>
<w:pPr><w:pStyle w:val="Normal"/></w:pPr>
<w:r><w:t xml:space="preserve">the third piece of the sacrum; formerly the last part of the</w:t></w:r>
</w:p>
<w:p>
<w:pPr><w:pStyle w:val="Normal"/></w:pPr>
<w:r><w:t xml:space="preserve">O (or omega) loop was described as its first part.  It ends</w:t></w:r>
</w:p>
<w:p>
<w:pPr><w:pStyle w:val="Normal"/></w:pPr>
<w:r><w:t xml:space="preserve">in a dilatation or rectal ampulla, which is in contact with</w:t></w:r>
</w:p>
<w:p>
<w:pPr><w:pStyle w:val="Normal"/></w:pPr>
<w:r><w:t xml:space="preserve">the back of the prostate in the male and of the vagina in the</w:t></w:r>
</w:p>
<w:p>
<w:pPr><w:pStyle w:val="Normal"/></w:pPr>
<w:r><w:t xml:space="preserve">female and is in front of the tip of the coccyx.  The rectum</w:t></w:r>
</w:p>
<w:p>
<w:pPr><w:pStyle w:val="Normal"/></w:pPr>
<w:r><w:t xml:space="preserve">is not straight, as its name would imply, but has a concavity</w:t></w:r>
</w:p>
<w:p>
<w:pPr><w:pStyle w:val="Normal"/></w:pPr>
<w:r><w:t xml:space="preserve">forward corresponding to that of the sacrum and coccyx.</w:t></w:r>
</w:p>
<w:p>
<w:pPr><w:pStyle w:val="Normal"/></w:pPr>
<w:r><w:t xml:space="preserve">When viewed from in front three bends are usually seen, the</w:t></w:r>
</w:p>
<w:p>
<w:pPr><w:pStyle w:val="Normal"/></w:pPr>
<w:r><w:t xml:space="preserve">upper and lower of which are sharply concave to the left,</w:t></w:r>
</w:p>
<w:p>
<w:pPr><w:pStyle w:val="Normal"/></w:pPr>
<w:r><w:t xml:space="preserve">the middle one to the right.  At the end of the pelvic colon</w:t></w:r>
</w:p>
<w:p>
<w:pPr><w:pStyle w:val="Normal"/></w:pPr>
<w:r><w:t xml:space="preserve">the mesocolon ceases, and the rectum is then only covered</w:t></w:r>
</w:p>
<w:p>
<w:pPr><w:pStyle w:val="Normal"/></w:pPr>
<w:r><w:t xml:space="preserve">by peritoneum at its sides and in front; lower down the</w:t></w:r>
</w:p>
<w:p>
<w:pPr><w:pStyle w:val="Normal"/></w:pPr>
<w:r><w:t xml:space="preserve">lateral covering is gradually reflected off and then only</w:t></w:r>
</w:p>
<w:p>
<w:pPr><w:pStyle w:val="Normal"/></w:pPr>
<w:r><w:t xml:space="preserve">the front is covered.  About the junction of the middle and</w:t></w:r>
</w:p>
<w:p>
<w:pPr><w:pStyle w:val="Normal"/></w:pPr>
<w:r><w:t xml:space="preserve">lower thirds of the tube the anterior peritoneal covering</w:t></w:r>
</w:p>
<w:p>
<w:pPr><w:pStyle w:val="Normal"/></w:pPr>
<w:r><w:t xml:space="preserve">is also reflected off on to the bladder or vagina, forming</w:t></w:r>
</w:p>
<w:p>
<w:pPr><w:pStyle w:val="Normal"/></w:pPr>
<w:r><w:t xml:space="preserve">the recto-vesical pouch in the male and the pouch of</w:t></w:r>
</w:p>
<w:p>
<w:pPr><w:pStyle w:val="Normal"/></w:pPr>
<w:r><w:t xml:space="preserve">Douglas in the female.  This reflexion is usually about 3</w:t></w:r>
</w:p>
<w:p>
<w:pPr><w:pStyle w:val="Normal"/></w:pPr>
<w:r><w:t xml:space="preserve">in. above the anal aperture, but may be a good deal lower.</w:t></w:r>
</w:p>
<w:p>
<w:pPr><w:pStyle w:val="Normal"/></w:pPr>
<w:r><w:t xml:space="preserve">The anal canal is the termination of the alimentary tract,</w:t></w:r>
</w:p>
<w:p>
<w:pPr><w:pStyle w:val="Normal"/></w:pPr>
<w:r><w:t xml:space="preserve">and runs downward and backward from the lower surface of</w:t></w:r>
</w:p>
<w:p>
<w:pPr><w:pStyle w:val="Normal"/></w:pPr>
<w:r><w:t xml:space="preserve">the rectal ampulla between the levatores ani muscles.  It</w:t></w:r>
</w:p>
<w:p>
<w:pPr><w:pStyle w:val="Normal"/></w:pPr>
<w:r><w:t xml:space="preserve">is about an inch long and its lateral walls are in contact,</w:t></w:r>
</w:p>
<w:p>
<w:pPr><w:pStyle w:val="Normal"/></w:pPr>
<w:r><w:t xml:space="preserve">so that in section it appears as an antero-posterior slit</w:t></w:r>
</w:p>
<w:p>
<w:pPr><w:pStyle w:val="Normal"/></w:pPr>
<w:r><w:t xml:space="preserve">(see J. Symington, Journ.  Anat. and Phys. vol. 23, 1888).</w:t></w:r>
</w:p>
<w:p>
<w:pPr><w:pStyle w:val="Normal"/></w:pPr>
<w:r><w:t xml:space="preserve">Structure of the Intestine.--The intestine has four coats:</w:t></w:r>
</w:p>
<w:p>
<w:pPr><w:pStyle w:val="Normal"/></w:pPr>
<w:r><w:t xml:space="preserve">serous, muscular, submucous and mucous.  The serous or</w:t></w:r>
</w:p>
<w:p>
<w:pPr><w:pStyle w:val="Normal"/></w:pPr>
<w:r><w:t xml:space="preserve">peritoneal coat has already been described wherever it is</w:t></w:r>
</w:p>
<w:p>
<w:pPr><w:pStyle w:val="Normal"/></w:pPr>
<w:r><w:t xml:space="preserve">present.  The muscular coat consists of unstriped fibres</w:t></w:r>
</w:p>
<w:p>
<w:pPr><w:pStyle w:val="Normal"/></w:pPr>
<w:r><w:t xml:space="preserve">arranged in two layers, the outer longitudinal and the inner</w:t></w:r>
</w:p>
<w:p>
<w:pPr><w:pStyle w:val="Normal"/></w:pPr>
<w:r><w:t xml:space="preserve">circular (see fig. 2). In the large intestine the longitudinal</w:t></w:r>
</w:p>
<w:p>
<w:pPr><w:pStyle w:val="Normal"/></w:pPr>
<w:r><w:t xml:space="preserve">fibres, instead of being arranged evenly round the tube as</w:t></w:r>
</w:p>
<w:p>
<w:pPr><w:pStyle w:val="Normal"/></w:pPr>
<w:r><w:t xml:space="preserve">they are in the small, are gathered into three longitudinal</w:t></w:r>
</w:p>
<w:p>
<w:pPr><w:pStyle w:val="Normal"/></w:pPr>
<w:r><w:t xml:space="preserve">bands called taeniae (see fig. 1); by the contraction of</w:t></w:r>
</w:p>
<w:p>
<w:pPr><w:pStyle w:val="Normal"/></w:pPr>
<w:r><w:t xml:space="preserve">these the large intestine is thrown into a series of sacculi</w:t></w:r>
</w:p>
<w:p>
<w:pPr><w:pStyle w:val="Normal"/></w:pPr>
<w:r><w:t xml:space="preserve">or slight pouches.  The taeniae in the caecum all lead to</w:t></w:r>
</w:p>
<w:p>
<w:pPr><w:pStyle w:val="Normal"/></w:pPr>
<w:r><w:t xml:space="preserve">the vermiform appendix, and form a useful guide to this</w:t></w:r>
</w:p>
<w:p>
<w:pPr><w:pStyle w:val="Normal"/></w:pPr>
<w:r><w:t xml:space="preserve">structure.  In the rectum the three taeniae once more become</w:t></w:r>
</w:p>
<w:p>
<w:pPr><w:pStyle w:val="Normal"/></w:pPr>
<w:r><w:t xml:space="preserve">evenly arranged over the whole surface of the bowel, but</w:t></w:r>
</w:p>
<w:p>
<w:pPr><w:pStyle w:val="Normal"/></w:pPr>
<w:r><w:t xml:space="preserve">more thickly on the anterior and posterior parts.  The</w:t></w:r>
</w:p>
<w:p>
<w:pPr><w:pStyle w:val="Normal"/></w:pPr>
<w:r><w:t xml:space="preserve">circular layer is always thicker than the longitudinal;</w:t></w:r>
</w:p>
<w:p>
<w:pPr><w:pStyle w:val="Normal"/></w:pPr>
<w:r><w:t xml:space="preserve">in the small intestine it decreases in thickness from the</w:t></w:r>
</w:p>
<w:p>
<w:pPr><w:pStyle w:val="Normal"/></w:pPr>
<w:r><w:t xml:space="preserve">duodenum to the ileum, but in the large it gradually increases</w:t></w:r>
</w:p>
<w:p>
<w:pPr><w:pStyle w:val="Normal"/></w:pPr>
<w:r><w:t xml:space="preserve">again, so that it is thickest in the duodenum and rectum.</w:t></w:r>
</w:p>
<w:p>
<w:pPr><w:pStyle w:val="Normal"/></w:pPr>
<w:r><w:t xml:space="preserve">The submucous coat is very strong and consists of</w:t></w:r>
</w:p>
<w:p>
<w:pPr><w:pStyle w:val="Normal"/></w:pPr>
<w:r><w:t xml:space="preserve">loose areolar tissue in which the vessels break up.</w:t></w:r>
</w:p>
<w:p>
<w:pPr><w:pStyle w:val="Normal"/></w:pPr>
<w:r><w:t xml:space="preserve">The mucous coat is thick and vascular (see fig. 2); it</w:t></w:r>
</w:p>
<w:p>
<w:pPr><w:pStyle w:val="Normal"/></w:pPr>
<w:r><w:t xml:space="preserve">consists of an epithelial layer most internally which</w:t></w:r>
</w:p>
<w:p>
<w:pPr><w:pStyle w:val="Normal"/></w:pPr>
<w:r><w:t xml:space="preserve">forms the intestinal glands (see EPITHELIAL, ENDOTHELIAL</w:t></w:r>
</w:p>
<w:p>
<w:pPr><w:pStyle w:val="Normal"/></w:pPr>
<w:r><w:t xml:space="preserve">AND GLANDULAR TISSUES.) External to this is the basement</w:t></w:r>
</w:p>
<w:p>
<w:pPr><w:pStyle w:val="Normal"/></w:pPr>
<w:r><w:t xml:space="preserve">membrane, outside which is a layer of retiform tissue, and</w:t></w:r>
</w:p>
<w:p>
<w:pPr><w:pStyle w:val="Normal"/></w:pPr>
<w:r><w:t xml:space="preserve">this is separated from the submucous coat by a very thin</w:t></w:r>
</w:p>
<w:p>
<w:pPr><w:pStyle w:val="Normal"/></w:pPr>
<w:r><w:t xml:space="preserve">layer of unstriped muscle called the muscularis mucosae. In</w:t></w:r>
</w:p>
<w:p>
<w:pPr><w:pStyle w:val="Normal"/></w:pPr>
<w:r><w:t xml:space="preserve">the duodenum and jejunum the mucous membrane is thrown into</w:t></w:r>
</w:p>
<w:p>
<w:pPr><w:pStyle w:val="Normal"/></w:pPr>
<w:r><w:t xml:space="preserve">a series of transverse pleats called valvulae conniventes</w:t></w:r>
</w:p>
<w:p>
<w:pPr><w:pStyle w:val="Normal"/></w:pPr>
<w:r><w:t xml:space="preserve">(see fig. 3); these begin about an inch from the pylorus and</w:t></w:r>
</w:p>
<w:p>
<w:pPr><w:pStyle w:val="Normal"/></w:pPr>
<w:r><w:t xml:space="preserve">gradually fade away as the ileum is reached.  About 4 in.</w:t></w:r>
</w:p>
<w:p>
<w:pPr><w:pStyle w:val="Normal"/></w:pPr>
<w:r><w:t xml:space="preserve">from the pylorus the common bile and pancreatic ducts form a</w:t></w:r>
</w:p>
<w:p>
<w:pPr><w:pStyle w:val="Normal"/></w:pPr>
<w:r><w:t xml:space="preserve">papilla, above which one of the valvulae conniventes makes</w:t></w:r>
</w:p>
<w:p>
<w:pPr><w:pStyle w:val="Normal"/></w:pPr>
<w:r><w:t xml:space="preserve">a hood and below which a vertical fold, the frenulum, runs</w:t></w:r>
</w:p>
<w:p>
<w:pPr><w:pStyle w:val="Normal"/></w:pPr>
<w:r><w:t xml:space="preserve">downward.  The surface of the mucous membrane of the whole</w:t></w:r>
</w:p>
<w:p>
<w:pPr><w:pStyle w:val="Normal"/></w:pPr>
<w:r><w:t xml:space="preserve">of the small intestine has a velvety appearance, due to</w:t></w:r>
</w:p>
<w:p>
<w:pPr><w:pStyle w:val="Normal"/></w:pPr>
<w:r><w:t xml:space="preserve">the presence of closely-set, minute, thread-like elevations</w:t></w:r>
</w:p>
<w:p>
<w:pPr><w:pStyle w:val="Normal"/></w:pPr>
<w:r><w:t xml:space="preserve">called vilii (see ffg. 2). Throughout the whole length of</w:t></w:r>
</w:p>
<w:p>
<w:pPr><w:pStyle w:val="Normal"/></w:pPr>
<w:r><w:t xml:space="preserve">the intestinal tract are minute masses of lymphoid tissue</w:t></w:r>
</w:p>
<w:p>
<w:pPr><w:pStyle w:val="Normal"/></w:pPr>
<w:r><w:t xml:space="preserve">called solitary glands (see fig. 2); these are especially</w:t></w:r>
</w:p>
<w:p>
<w:pPr><w:pStyle w:val="Normal"/></w:pPr>
<w:r><w:t xml:space="preserve">numerous in the Caecum and appendix, while in the ileum they</w:t></w:r>
</w:p>
<w:p>
<w:pPr><w:pStyle w:val="Normal"/></w:pPr>
<w:r><w:t xml:space="preserve">are collected into large oval patches, known as agminated</w:t></w:r>
</w:p>
<w:p>
<w:pPr><w:pStyle w:val="Normal"/></w:pPr>
<w:r><w:t xml:space="preserve">glands or Peyer&apos;s patches, the long axes of which,</w:t></w:r>
</w:p>
<w:p>
<w:pPr><w:pStyle w:val="Normal"/></w:pPr>
<w:r><w:t xml:space="preserve">from half an inch to 4 in. long, lie in the long axis of the</w:t></w:r>
</w:p>
<w:p>
<w:pPr><w:pStyle w:val="Normal"/></w:pPr>
<w:r><w:t xml:space="preserve">bowel.  They are always found in that part of the intestine</w:t></w:r>
</w:p>
<w:p>
<w:pPr><w:pStyle w:val="Normal"/></w:pPr>
<w:r><w:t xml:space="preserve">which is furthest from the mesenteric attachment.  In the</w:t></w:r>
</w:p>
<w:p>
<w:pPr><w:pStyle w:val="Normal"/></w:pPr>
<w:r><w:t xml:space="preserve">interior of the rectum three shelf-like folds, one above</w:t></w:r>
</w:p>
<w:p>
<w:pPr><w:pStyle w:val="Normal"/></w:pPr>
<w:r><w:t xml:space="preserve">the other, project into the cavity and correspond to the</w:t></w:r>
</w:p>
<w:p>
<w:pPr><w:pStyle w:val="Normal"/></w:pPr>
<w:r><w:t xml:space="preserve">lateral concavities or kinks of the tube.  They are not</w:t></w:r>
</w:p>
<w:p>
<w:pPr><w:pStyle w:val="Normal"/></w:pPr>
<w:r><w:t xml:space="preserve">in the same line and the largest is usually on the right</w:t></w:r>
</w:p>
<w:p>
<w:pPr><w:pStyle w:val="Normal"/></w:pPr>
<w:r><w:t xml:space="preserve">side.  They are known as the plicae recti or valves of</w:t></w:r>
</w:p>
<w:p>
<w:pPr><w:pStyle w:val="Normal"/></w:pPr>
<w:r><w:t xml:space="preserve">Houston. In the anal canal are four or five longitudinal</w:t></w:r>
</w:p>
<w:p>
<w:pPr><w:pStyle w:val="Normal"/></w:pPr>
<w:r><w:t xml:space="preserve">folds called the columns of Morgagni. (For further</w:t></w:r>
</w:p>
<w:p>
<w:pPr><w:pStyle w:val="Normal"/></w:pPr>
<w:r><w:t xml:space="preserve">details, see Quain&apos;s Anatomy, London, 1896; Gray&apos;s Anatomy,</w:t></w:r>
</w:p>
<w:p>
<w:pPr><w:pStyle w:val="Normal"/></w:pPr>
<w:r><w:t xml:space="preserve">London, 1905; Cunningham&apos;s Anatomy, Edinburgh, 1906.)</w:t></w:r>
</w:p>
<w:p>
<w:pPr><w:pStyle w:val="Normal"/></w:pPr>
<w:r><w:t xml:space="preserve">Embryology.--The greater part of the alimentary canal is</w:t></w:r>
</w:p>
<w:p>
<w:pPr><w:pStyle w:val="Normal"/></w:pPr>
<w:r><w:t xml:space="preserve">formed by the closing-in of the entoderm to make a longitudinal</w:t></w:r>
</w:p>
<w:p>
<w:pPr><w:pStyle w:val="Normal"/></w:pPr>
<w:r><w:t xml:space="preserve">tube, ventral and parallel to the notochord.  This tube</w:t></w:r>
</w:p>
<w:p>
<w:pPr><w:pStyle w:val="Normal"/></w:pPr>
<w:r><w:t xml:space="preserve">is blind in front and behind (cephalad and caudad), but</w:t></w:r>
</w:p>
<w:p>
<w:pPr><w:pStyle w:val="Normal"/></w:pPr>
<w:r><w:t xml:space="preserve">the middle part of its ventral wall is for some distance</w:t></w:r>
</w:p>
<w:p>
<w:pPr><w:pStyle w:val="Normal"/></w:pPr>
<w:r><w:t xml:space="preserve">continuous with the wall of the yolk-sac, and this part of the</w:t></w:r>
</w:p>
<w:p>
<w:pPr><w:pStyle w:val="Normal"/></w:pPr>
<w:r><w:t xml:space="preserve">canal, which at first opens into the yolk-sac by a very wide</w:t></w:r>
</w:p>
<w:p>
<w:pPr><w:pStyle w:val="Normal"/></w:pPr>
<w:r><w:t xml:space="preserve">aperture, is called the mid gut. The part in front of it,</w:t></w:r>
</w:p>
<w:p>
<w:pPr><w:pStyle w:val="Normal"/></w:pPr>
<w:r><w:t xml:space="preserve">which lies dorsal to the heart, is the fore gut, while the</w:t></w:r>
</w:p>
<w:p>
<w:pPr><w:pStyle w:val="Heading1"/></w:pPr>
<w:r><w:t>part behind the aperture of the yolk-sac is the hind gut.</w:t></w:r>
</w:p>
<w:p>
<w:pPr><w:pStyle w:val="Normal"/></w:pPr>
<w:r><w:t xml:space="preserve">The pharynx, oesophagus, stomach and part of the duodenum are</w:t></w:r>
</w:p>
<w:p>
<w:pPr><w:pStyle w:val="Normal"/></w:pPr>
<w:r><w:t xml:space="preserve">developed from the fore gut, a good deal of the colon and the</w:t></w:r>
</w:p>
<w:p>
<w:pPr><w:pStyle w:val="Normal"/></w:pPr>
<w:r><w:t xml:space="preserve">From A. Birmingham; Cunningham&apos;s Text-Book of Anatomy.</w:t></w:r>
</w:p>
<w:p>
<w:pPr><w:pStyle w:val="Normal"/></w:pPr>
<w:r><w:t xml:space="preserve">Fig. 3.--Valvulae Conniventes (natural size).</w:t></w:r>
</w:p>
<w:p>
<w:pPr><w:pStyle w:val="Normal"/></w:pPr>
<w:r><w:t xml:space="preserve">A, As seen in a bit of jejunum which</w:t></w:r>
</w:p>
<w:p>
<w:pPr><w:pStyle w:val="Normal"/></w:pPr>
<w:r><w:t xml:space="preserve">has been filled with alcohol and hardened.</w:t></w:r>
</w:p>
<w:p>
<w:pPr><w:pStyle w:val="Normal"/></w:pPr>
<w:r><w:t xml:space="preserve">B, A portion of fresh intestine spread out under water.</w:t></w:r>
</w:p>
<w:p>
<w:pPr><w:pStyle w:val="Normal"/></w:pPr>
<w:r><w:t xml:space="preserve">rectum from the hind gut, while the mid gut is responsible</w:t></w:r>
</w:p>
<w:p>
<w:pPr><w:pStyle w:val="Normal"/></w:pPr>
<w:r><w:t xml:space="preserve">for the rest.  The cephalic part of the fore gut forms the</w:t></w:r>
</w:p>
<w:p>
<w:pPr><w:pStyle w:val="Normal"/></w:pPr>
<w:r><w:t xml:space="preserve">pharynx (q.v.), and about the fourth week the stomach</w:t></w:r>
</w:p>
<w:p>
<w:pPr><w:pStyle w:val="Normal"/></w:pPr>
<w:r><w:t xml:space="preserve">appears as a fusiform dilatation in the straight tube.</w:t></w:r>
</w:p>
<w:p>
<w:pPr><w:pStyle w:val="Normal"/></w:pPr>
<w:r><w:t xml:space="preserve">Between the two the oesophagus gradually forms as the embryo</w:t></w:r>
</w:p>
<w:p>
<w:pPr><w:pStyle w:val="Normal"/></w:pPr>
<w:r><w:t xml:space="preserve">elongates.  The opening into the yolk-sac, which at first</w:t></w:r>
</w:p>
<w:p>
<w:pPr><w:pStyle w:val="Normal"/></w:pPr>
<w:r><w:t xml:space="preserve">is very wide, gradually narrows, as the ventral abdominal</w:t></w:r>
</w:p>
<w:p>
<w:pPr><w:pStyle w:val="Normal"/></w:pPr>
<w:r><w:t xml:space="preserve">walls close in, until in the adult the only indication of the</w:t></w:r>
</w:p>
<w:p>
<w:pPr><w:pStyle w:val="Normal"/></w:pPr>
<w:r><w:t xml:space="preserve">connexion between the gut and the yolk-sac is the very rare</w:t></w:r>
</w:p>
<w:p>
<w:pPr><w:pStyle w:val="Normal"/></w:pPr>
<w:r><w:t xml:space="preserve">presence (about 2%) of Meckel&apos;s diverticulum already referred</w:t></w:r>
</w:p>
<w:p>
<w:pPr><w:pStyle w:val="Normal"/></w:pPr>
<w:r><w:t xml:space="preserve">to.  The stomach soon shows signs of the greater and lesser</w:t></w:r>
</w:p>
<w:p>
<w:pPr><w:pStyle w:val="Normal"/></w:pPr>
<w:r><w:t xml:space="preserve">curvatures, the latter being ventral, but maintains its straight</w:t></w:r>
</w:p>
<w:p>
<w:pPr><w:pStyle w:val="Normal"/></w:pPr>
<w:r><w:t xml:space="preserve">position.  About the sixth week the caecum appears as a lateral</w:t></w:r>
</w:p>
<w:p>
<w:pPr><w:pStyle w:val="Normal"/></w:pPr>
<w:r><w:t xml:space="preserve">diverticulum, and, until the third month, is of uniform calibre;</w:t></w:r>
</w:p>
<w:p>
<w:pPr><w:pStyle w:val="Normal"/></w:pPr>
<w:r><w:t xml:space="preserve">after this period the terminal part ceases to grow at the</w:t></w:r>
</w:p>
<w:p>
<w:pPr><w:pStyle w:val="Normal"/></w:pPr>
<w:r><w:t xml:space="preserve">same rate as the proximal, and so the vermiform appendix is</w:t></w:r>
</w:p>
<w:p>
<w:pPr><w:pStyle w:val="Normal"/></w:pPr>
<w:r><w:t xml:space="preserve">formed.  The mid gut forms a loop with its convexity toward</w:t></w:r>
</w:p>
<w:p>
<w:pPr><w:pStyle w:val="Normal"/></w:pPr>
<w:r><w:t xml:space="preserve">the diminishing vitelline duct, or remains of the yolk-sac,</w:t></w:r>
</w:p>
<w:p>
<w:pPr><w:pStyle w:val="Normal"/></w:pPr>
<w:r><w:t xml:space="preserve">and until the third month it protrudes into the umbilical</w:t></w:r>
</w:p>
<w:p>
<w:pPr><w:pStyle w:val="Normal"/></w:pPr>
<w:r><w:t xml:space="preserve">cord.  The greater curvature of the stomach grows more</w:t></w:r>
</w:p>
<w:p>
<w:pPr><w:pStyle w:val="Normal"/></w:pPr>
<w:r><w:t xml:space="preserve">rapidly than the lesser, and the whole stomach turns over</w:t></w:r>
</w:p>
<w:p>
<w:pPr><w:pStyle w:val="Normal"/></w:pPr>
<w:r><w:t xml:space="preserve">and becomes bent at right angles, so that what was its left</w:t></w:r>
</w:p>
<w:p>
<w:pPr><w:pStyle w:val="Normal"/></w:pPr>
<w:r><w:t xml:space="preserve">surface becomes ventral.  This turning over of the stomach</w:t></w:r>
</w:p>
<w:p>
<w:pPr><w:pStyle w:val="Normal"/></w:pPr>
<w:r><w:t xml:space="preserve">throws the succeeding part of the intestine into a duodenal</w:t></w:r>
</w:p>
<w:p>
<w:pPr><w:pStyle w:val="Normal"/></w:pPr>
<w:r><w:t xml:space="preserve">loop, which at first has a dorsal and ventral mesentery (see</w:t></w:r>
</w:p>
<w:p>
<w:pPr><w:pStyle w:val="Normal"/></w:pPr>
<w:r><w:t xml:space="preserve">COELOM AND SEROUS MEMBRANES.) The intestine now grows</w:t></w:r>
</w:p>
<w:p>
<w:pPr><w:pStyle w:val="Normal"/></w:pPr>
<w:r><w:t xml:space="preserve">very rapidly and is thrown into a series of coils; the caecum</w:t></w:r>
</w:p>
<w:p>
<w:pPr><w:pStyle w:val="Normal"/></w:pPr>
<w:r><w:t xml:space="preserve">ascends and passes to the right ventral to the duodenum, and</w:t></w:r>
</w:p>
<w:p>
<w:pPr><w:pStyle w:val="Normal"/></w:pPr>
<w:r><w:t xml:space="preserve">presses it against the dorsal wall of the abdomen; then it</w:t></w:r>
</w:p>
<w:p>
<w:pPr><w:pStyle w:val="Normal"/></w:pPr>
<w:r><w:t xml:space="preserve">descends toward its permanent position in the right iliac fossa.</w:t></w:r>
</w:p>
<w:p>
<w:pPr><w:pStyle w:val="Normal"/></w:pPr>
<w:r><w:t xml:space="preserve">From the ventral surface on the hinder (caudal) closed end</w:t></w:r>
</w:p>
<w:p>
<w:pPr><w:pStyle w:val="Normal"/></w:pPr>
<w:r><w:t xml:space="preserve">of the intestinal tube the allantois grows to form the</w:t></w:r>
</w:p>
<w:p>
<w:pPr><w:pStyle w:val="Normal"/></w:pPr>
<w:r><w:t xml:space="preserve">placenta and bladder (see URINARY SYSTEM, REPRODUCTIVE SYSTEM</w:t></w:r>
</w:p>
<w:p>
<w:pPr><w:pStyle w:val="Normal"/></w:pPr>
<w:r><w:t xml:space="preserve">and PLACENTA), and this region is the cloaca into which</w:t></w:r>
</w:p>
<w:p>
<w:pPr><w:pStyle w:val="Normal"/></w:pPr>
<w:r><w:t xml:space="preserve">the alimentary, urinary and generative canals or ducts all</w:t></w:r>
</w:p>
<w:p>
<w:pPr><w:pStyle w:val="Normal"/></w:pPr>
<w:r><w:t xml:space="preserve">open, but later two lateral folds appear which, by their</w:t></w:r>
</w:p>
<w:p>
<w:pPr><w:pStyle w:val="Normal"/></w:pPr>
<w:r><w:t xml:space="preserve">union, divide the cloaca into a ventral and a dorsal part,</w:t></w:r>
</w:p>
<w:p>
<w:pPr><w:pStyle w:val="Normal"/></w:pPr>
<w:r><w:t xml:space="preserve">the former being genito-urinary and the latter alimentary or</w:t></w:r>
</w:p>
<w:p>
<w:pPr><w:pStyle w:val="Normal"/></w:pPr>
<w:r><w:t xml:space="preserve">intestinal.  In this way the rectum or dorsal compartment</w:t></w:r>
</w:p>
<w:p>
<w:pPr><w:pStyle w:val="Normal"/></w:pPr>
<w:r><w:t xml:space="preserve">is shut off from the genito-urinary.  Later an ectodermal</w:t></w:r>
</w:p>
<w:p>
<w:pPr><w:pStyle w:val="Normal"/></w:pPr>
<w:r><w:t xml:space="preserve">invagination at the hind end of the embryo develops and</w:t></w:r>
</w:p>
<w:p>
<w:pPr><w:pStyle w:val="Normal"/></w:pPr>
<w:r><w:t xml:space="preserve">forms the anal canal; this is the proctodaeum, and for</w:t></w:r>
</w:p>
<w:p>
<w:pPr><w:pStyle w:val="Normal"/></w:pPr>
<w:r><w:t xml:space="preserve">some time it is separated from the hind (caudal) end of the</w:t></w:r>
</w:p>
<w:p>
<w:pPr><w:pStyle w:val="Normal"/></w:pPr>
<w:r><w:t xml:space="preserve">rectal part of the mesodaeum (or part of the intestinal</w:t></w:r>
</w:p>
<w:p>
<w:pPr><w:pStyle w:val="Normal"/></w:pPr>
<w:r><w:t xml:space="preserve">canal formed from the mesoderm) by a membrane called the</w:t></w:r>
</w:p>
<w:p>
<w:pPr><w:pStyle w:val="Normal"/></w:pPr>
<w:r><w:t xml:space="preserve">anal membrane. This is eventually absorbed and the</w:t></w:r>
</w:p>
<w:p>
<w:pPr><w:pStyle w:val="Normal"/></w:pPr>
<w:r><w:t xml:space="preserve">digestive tract now communicates with the surface by the anus.</w:t></w:r>
</w:p>
<w:p>
<w:pPr><w:pStyle w:val="Normal"/></w:pPr>
<w:r><w:t xml:space="preserve">F. Wood Jones (British Medical Journal, 17th of December</w:t></w:r>
</w:p>
<w:p>
<w:pPr><w:pStyle w:val="Normal"/></w:pPr>
<w:r><w:t xml:space="preserve">1904) has given a somewhat different description of the</w:t></w:r>
</w:p>
<w:p>
<w:pPr><w:pStyle w:val="Normal"/></w:pPr>
<w:r><w:t xml:space="preserve">development of the cloaca and anus, which better explains the</w:t></w:r>
</w:p>
<w:p>
<w:pPr><w:pStyle w:val="Normal"/></w:pPr>
<w:r><w:t xml:space="preserve">various abnormalities met with in this region but requires</w:t></w:r>
</w:p>
<w:p>
<w:pPr><w:pStyle w:val="Normal"/></w:pPr>
<w:r><w:t xml:space="preserve">further confirmation before it is generally accepted.  For the</w:t></w:r>
</w:p>
<w:p>
<w:pPr><w:pStyle w:val="Normal"/></w:pPr>
<w:r><w:t xml:space="preserve">development of the mouth, pharynx, lungs, liver and pancreas from</w:t></w:r>
</w:p>
<w:p>
<w:pPr><w:pStyle w:val="Normal"/></w:pPr>
<w:r><w:t xml:space="preserve">the primitive alimentary canal, the reader is referred to the</w:t></w:r>
</w:p>
<w:p>
<w:pPr><w:pStyle w:val="Normal"/></w:pPr>
<w:r><w:t xml:space="preserve">special articles on those structures. (For further details, see W.</w:t></w:r>
</w:p>
<w:p>
<w:pPr><w:pStyle w:val="Normal"/></w:pPr>
<w:r><w:t xml:space="preserve">His, Anatomie menschlicher Embryonen (Leipzig, 1880-1885); C.</w:t></w:r>
</w:p>
<w:p>
<w:pPr><w:pStyle w:val="Normal"/></w:pPr>
<w:r><w:t xml:space="preserve">S. Minot&apos;s Embryology (New York, 1897); and J. P. M`Murrich,</w:t></w:r>
</w:p>
<w:p>
<w:pPr><w:pStyle w:val="Normal"/></w:pPr>
<w:r><w:t xml:space="preserve">Development of the Human Body (London, 1906). (F. G. P.)</w:t></w:r>
</w:p>
<w:p>
<w:pPr><w:pStyle w:val="Normal"/></w:pPr>
<w:r><w:t xml:space="preserve">Comparative Anatomy.--The primitive condition of the vertebrate</w:t></w:r>
</w:p>
<w:p>
<w:pPr><w:pStyle w:val="Normal"/></w:pPr>
<w:r><w:t xml:space="preserve">alimentary canal may be described as a straight, simple</w:t></w:r>
</w:p>
<w:p>
<w:pPr><w:pStyle w:val="Normal"/></w:pPr>
<w:r><w:t xml:space="preserve">tube, consisting of an anterior portion, the stomodaeum,</w:t></w:r>
</w:p>
<w:p>
<w:pPr><w:pStyle w:val="Normal"/></w:pPr>
<w:r><w:t xml:space="preserve">formed by an ectodermal invagination, the mesenteron,</w:t></w:r>
</w:p>
<w:p>
<w:pPr><w:pStyle w:val="Normal"/></w:pPr>
<w:r><w:t xml:space="preserve">a long median portion lined by endoderm, and a short</w:t></w:r>
</w:p>
<w:p>
<w:pPr><w:pStyle w:val="Normal"/></w:pPr>
<w:r><w:t xml:space="preserve">posterior portion, the proctodaeum, formed by ectodermal</w:t></w:r>
</w:p>
<w:p>
<w:pPr><w:pStyle w:val="Normal"/></w:pPr>
<w:r><w:t xml:space="preserve">invagination.  In the lower vertebrates the primitive tube</w:t></w:r>
</w:p>
<w:p>
<w:pPr><w:pStyle w:val="Normal"/></w:pPr>
<w:r><w:t xml:space="preserve">subserved also the purpose of respiration, and traces of the</w:t></w:r>
</w:p>
<w:p>
<w:pPr><w:pStyle w:val="Normal"/></w:pPr>
<w:r><w:t xml:space="preserve">double function remain in the adult structure of all vertebrates</w:t></w:r>
</w:p>
<w:p>
<w:pPr><w:pStyle w:val="Normal"/></w:pPr>
<w:r><w:t xml:space="preserve">(see MOUTH, PHARYNX.) In fish, the pharynx, or branchial</w:t></w:r>
</w:p>
<w:p>
<w:pPr><w:pStyle w:val="Normal"/></w:pPr>
<w:r><w:t xml:space="preserve">region, suddenly becomes narrower, posterior to the gill-slits,</w:t></w:r>
</w:p>
<w:p>
<w:pPr><w:pStyle w:val="Normal"/></w:pPr>
<w:r><w:t xml:space="preserve">to form the oesophagus; in higher animals the oesophagus,</w:t></w:r>
</w:p>
<w:p>
<w:pPr><w:pStyle w:val="Normal"/></w:pPr>
<w:r><w:t xml:space="preserve">in the adult, is separated from the primitive pharyngeal</w:t></w:r>
</w:p>
<w:p>
<w:pPr><w:pStyle w:val="Normal"/></w:pPr>
<w:r><w:t xml:space="preserve">region and lies dorsal to it.  Probably, in the primitive</w:t></w:r>
</w:p>
<w:p>
<w:pPr><w:pStyle w:val="Normal"/></w:pPr>
<w:r><w:t xml:space="preserve">vertebrata, the entire alimentary canal was lined with ciliated</w:t></w:r>
</w:p>
<w:p>
<w:pPr><w:pStyle w:val="Normal"/></w:pPr>
<w:r><w:t xml:space="preserve">cells.  Traces of this ciliation persist in many living</w:t></w:r>
</w:p>
<w:p>
<w:pPr><w:pStyle w:val="Normal"/></w:pPr>
<w:r><w:t xml:space="preserve">forms.  In the Ammocoete, the larval form of Petromyzon</w:t></w:r>
</w:p>
<w:p>
<w:pPr><w:pStyle w:val="Normal"/></w:pPr>
<w:r><w:t xml:space="preserve">(see CYCLOSTOMATA), the whole canal is ciliated except the</w:t></w:r>
</w:p>
<w:p>
<w:pPr><w:pStyle w:val="Normal"/></w:pPr>
<w:r><w:t xml:space="preserve">pharynx and the rectum; in the Dipnoi the epithelium of the</w:t></w:r>
</w:p>
<w:p>
<w:pPr><w:pStyle w:val="Normal"/></w:pPr>
<w:r><w:t xml:space="preserve">stomach and the intestines is ciliated; in Selachii that</w:t></w:r>
</w:p>
<w:p>
<w:pPr><w:pStyle w:val="Normal"/></w:pPr>
<w:r><w:t xml:space="preserve">of the posterior part of the gullet, and the spiral valve, is</w:t></w:r>
</w:p>
<w:p>
<w:pPr><w:pStyle w:val="Normal"/></w:pPr>
<w:r><w:t xml:space="preserve">ciliated; extensive ciliation may occur in almost any region</w:t></w:r>
</w:p>
<w:p>
<w:pPr><w:pStyle w:val="Normal"/></w:pPr>
<w:r><w:t xml:space="preserve">of the gut of the lower teleos. tomes, but in the higher</w:t></w:r>
</w:p>
<w:p>
<w:pPr><w:pStyle w:val="Normal"/></w:pPr>
<w:r><w:t xml:space="preserve">forms (Teleostei) it is generally absent.  In the latter,</w:t></w:r>
</w:p>
<w:p>
<w:pPr><w:pStyle w:val="Normal"/></w:pPr>
<w:r><w:t xml:space="preserve">however, and in higher groups of vertebrates, a peculiar</w:t></w:r>
</w:p>
<w:p>
<w:pPr><w:pStyle w:val="Normal"/></w:pPr>
<w:r><w:t xml:space="preserve">striated border on the columnar cells lining the intestinal</w:t></w:r>
</w:p>
<w:p>
<w:pPr><w:pStyle w:val="Normal"/></w:pPr>
<w:r><w:t xml:space="preserve">tract has been held to be a final trace of ancestral ciliation.</w:t></w:r>
</w:p>
<w:p>
<w:pPr><w:pStyle w:val="Normal"/></w:pPr>
<w:r><w:t xml:space="preserve">The alimentary canal may be conveniently described in three</w:t></w:r>
</w:p>
<w:p>
<w:pPr><w:pStyle w:val="Normal"/></w:pPr>
<w:r><w:t xml:space="preserve">divisions, the oesophagus or gullet, the passage by which</w:t></w:r>
</w:p>
<w:p>
<w:pPr><w:pStyle w:val="Normal"/></w:pPr>
<w:r><w:t xml:space="preserve">food reaches the stomach, the stomach, typically an expanded</w:t></w:r>
</w:p>
<w:p>
<w:pPr><w:pStyle w:val="Normal"/></w:pPr>
<w:r><w:t xml:space="preserve">region in which the food remains for a considerable time</w:t></w:r>
</w:p>
<w:p>
<w:pPr><w:pStyle w:val="Normal"/></w:pPr>
<w:r><w:t xml:space="preserve">and is mechanically pulped, mixed with mucus and certain</w:t></w:r>
</w:p>
<w:p>
<w:pPr><w:pStyle w:val="Normal"/></w:pPr>
<w:r><w:t xml:space="preserve">digestive juices (see NUTRITION) and partly macerated,</w:t></w:r>
</w:p>
<w:p>
<w:pPr><w:pStyle w:val="Normal"/></w:pPr>
<w:r><w:t xml:space="preserve">the intestinal tract or gut, extending from the distal end</w:t></w:r>
</w:p>
<w:p>
<w:pPr><w:pStyle w:val="Normal"/></w:pPr>
<w:r><w:t xml:space="preserve">of the stomach to the cloaca or anus, in which the food is</w:t></w:r>
</w:p>
<w:p>
<w:pPr><w:pStyle w:val="Normal"/></w:pPr>
<w:r><w:t xml:space="preserve">subjected to further digestive action, but which is above all</w:t></w:r>
</w:p>
<w:p>
<w:pPr><w:pStyle w:val="Normal"/></w:pPr>
<w:r><w:t xml:space="preserve">the region in which absorption of the products of digestion</w:t></w:r>
</w:p>
<w:p>
<w:pPr><w:pStyle w:val="Normal"/></w:pPr>
<w:r><w:t xml:space="preserve">takes place, the refuse material together with quantities of</w:t></w:r>
</w:p>
<w:p>
<w:pPr><w:pStyle w:val="Normal"/></w:pPr>
<w:r><w:t xml:space="preserve">waste matter entering the gut from the blood and liver being</w:t></w:r>
</w:p>
<w:p>
<w:pPr><w:pStyle w:val="Normal"/></w:pPr>
<w:r><w:t xml:space="preserve">gradually passed towards the anus for discharge from the body.</w:t></w:r>
</w:p>
<w:p>
<w:pPr><w:pStyle w:val="Normal"/></w:pPr>
<w:r><w:t xml:space="preserve">The oesophagus is essentially merely a passage, as straight</w:t></w:r>
</w:p>
<w:p>
<w:pPr><w:pStyle w:val="Normal"/></w:pPr>
<w:r><w:t xml:space="preserve">as may be, from the pharynx to the stomach, varying in</w:t></w:r>
</w:p>
<w:p>
<w:pPr><w:pStyle w:val="Normal"/></w:pPr>
<w:r><w:t xml:space="preserve">length with the length of the neck and thoracic regions in</w:t></w:r>
</w:p>
<w:p>
<w:pPr><w:pStyle w:val="Normal"/></w:pPr>
<w:r><w:t xml:space="preserve">different animals, and in calibre with the nature of the</w:t></w:r>
</w:p>
<w:p>
<w:pPr><w:pStyle w:val="Normal"/></w:pPr>
<w:r><w:t xml:space="preserve">food.  It is almost invariably lined with a many-layered</w:t></w:r>
</w:p>
<w:p>
<w:pPr><w:pStyle w:val="Normal"/></w:pPr>
<w:r><w:t xml:space="preserve">epithelium, forming a tough coating, readily repaired and</w:t></w:r>
</w:p>
<w:p>
<w:pPr><w:pStyle w:val="Normal"/></w:pPr>
<w:r><w:t xml:space="preserve">not easily damaged by hard food masses.  It is occasionally</w:t></w:r>
</w:p>
<w:p>
<w:pPr><w:pStyle w:val="Normal"/></w:pPr>
<w:r><w:t xml:space="preserve">separated from the stomach by a slight constriction which may</w:t></w:r>
</w:p>
<w:p>
<w:pPr><w:pStyle w:val="Normal"/></w:pPr>
<w:r><w:t xml:space="preserve">be capable of contraction so as to prevent regurgitation.</w:t></w:r>
</w:p>
<w:p>
<w:pPr><w:pStyle w:val="Normal"/></w:pPr>
<w:r><w:t xml:space="preserve">There are few exceptions to this structural and functional</w:t></w:r>
</w:p>
<w:p>
<w:pPr><w:pStyle w:val="Normal"/></w:pPr>
<w:r><w:t xml:space="preserve">simplicity.  In fishes (see ICHTHYOLOGY, Anatomy) the</w:t></w:r>
</w:p>
<w:p>
<w:pPr><w:pStyle w:val="Normal"/></w:pPr>
<w:r><w:t xml:space="preserve">swim-bladder is developed as a dorsal outgrowth of the oesophagus</w:t></w:r>
</w:p>
<w:p>
<w:pPr><w:pStyle w:val="Normal"/></w:pPr>
<w:r><w:t xml:space="preserve">and may remain in open connexion with it.  In certain Teleosteis</w:t></w:r>
</w:p>
<w:p>
<w:pPr><w:pStyle w:val="Normal"/></w:pPr>
<w:r><w:t xml:space="preserve">(e.g.  Liitodeira) it is longer than the length it has to</w:t></w:r>
</w:p>
<w:p>
<w:pPr><w:pStyle w:val="Normal"/></w:pPr>
<w:r><w:t xml:space="preserve">traverse and is thrown into convolutions.  In many other</w:t></w:r>
</w:p>
<w:p>
<w:pPr><w:pStyle w:val="Normal"/></w:pPr>
<w:r><w:t xml:space="preserve">fish, particularly Selachiis, a set of processes of the</w:t></w:r>
</w:p>
<w:p>
<w:pPr><w:pStyle w:val="Normal"/></w:pPr>
<w:r><w:t xml:space="preserve">lining wall project into the cavity near the stomach and have</w:t></w:r>
</w:p>
<w:p>
<w:pPr><w:pStyle w:val="Normal"/></w:pPr>
<w:r><w:t xml:space="preserve">been supposed to aid in preventing food particles, or living</w:t></w:r>
</w:p>
<w:p>
<w:pPr><w:pStyle w:val="Normal"/></w:pPr>
<w:r><w:t xml:space="preserve">creatures swallowed without injury, escaping backwards into the</w:t></w:r>
</w:p>
<w:p>
<w:pPr><w:pStyle w:val="Normal"/></w:pPr>
<w:r><w:t xml:space="preserve">mouth.  In some egg-eating snakes the sharp tips of the</w:t></w:r>
</w:p>
<w:p>
<w:pPr><w:pStyle w:val="Normal"/></w:pPr>
<w:r><w:t xml:space="preserve">ventral spines (hypapophyses) of the posterior cervical</w:t></w:r>
</w:p>
<w:p>
<w:pPr><w:pStyle w:val="Normal"/></w:pPr>
<w:r><w:t xml:space="preserve">vertebrae penetrate the wall of the oesophagus and are used</w:t></w:r>
</w:p>
<w:p>
<w:pPr><w:pStyle w:val="Normal"/></w:pPr>
<w:r><w:t xml:space="preserve">for breaking the shells of the eggs taken as food.  In some</w:t></w:r>
</w:p>
<w:p>
<w:pPr><w:pStyle w:val="Normal"/></w:pPr>
<w:r><w:t xml:space="preserve">aquatic Chelonians, the food of which consists chiefly of</w:t></w:r>
</w:p>
<w:p>
<w:pPr><w:pStyle w:val="Normal"/></w:pPr>
<w:r><w:t xml:space="preserve">seaweeds, the lining membrane is produced into pointed processes</w:t></w:r>
</w:p>
<w:p>
<w:pPr><w:pStyle w:val="Normal"/></w:pPr>
<w:r><w:t xml:space="preserve">backwardly directed.  In birds this region frequently presents</w:t></w:r>
</w:p>
<w:p>
<w:pPr><w:pStyle w:val="Normal"/></w:pPr>
<w:r><w:t xml:space="preserve">peculiarities.  In Opisthocomus it forms an enormously</w:t></w:r>
</w:p>
<w:p>
<w:pPr><w:pStyle w:val="Normal"/></w:pPr>
<w:r><w:t xml:space="preserve">wide double loop, hanging down over the breast-bone, which</w:t></w:r>
</w:p>
<w:p>
<w:pPr><w:pStyle w:val="Normal"/></w:pPr>
<w:r><w:t xml:space="preserve">is peculiarly flattened and devoid of a keel in the anterior</w:t></w:r>
</w:p>
<w:p>
<w:pPr><w:pStyle w:val="Normal"/></w:pPr>
<w:r><w:t xml:space="preserve">portion.  In many birds part of the oesophagus may be</w:t></w:r>
</w:p>
<w:p>
<w:pPr><w:pStyle w:val="Normal"/></w:pPr>
<w:r><w:t xml:space="preserve">temporarily dilated, forming a ``crop,&apos;&apos; as for instance in</w:t></w:r>
</w:p>
<w:p>
<w:pPr><w:pStyle w:val="Normal"/></w:pPr>
<w:r><w:t xml:space="preserve">birds of prey and humming birds.  In the flamingo, many ducks,</w:t></w:r>
</w:p>
<w:p>
<w:pPr><w:pStyle w:val="Normal"/></w:pPr>
<w:r><w:t xml:space="preserve">storks, and the cormorant the crop is a permanent although</w:t></w:r>
</w:p>
<w:p>
<w:pPr><w:pStyle w:val="Normal"/></w:pPr>
<w:r><w:t xml:space="preserve">not a highly specialized enlargement.  Finally, in the vast</w:t></w:r>
</w:p>
<w:p>
<w:pPr><w:pStyle w:val="Normal"/></w:pPr>
<w:r><w:t xml:space="preserve">majority of seed- eating birds, in gallinaceous birds, pigeons,</w:t></w:r>
</w:p>
<w:p>
<w:pPr><w:pStyle w:val="Normal"/></w:pPr>
<w:r><w:t xml:space="preserve">sandgrouse, parrots and many Passeres, particularly the</w:t></w:r>
</w:p>
<w:p>
<w:pPr><w:pStyle w:val="Normal"/></w:pPr>
<w:r><w:t xml:space="preserve">finches, the crop is a permanent globular dilatation, in which</w:t></w:r>
</w:p>
<w:p>
<w:pPr><w:pStyle w:val="Normal"/></w:pPr>
<w:r><w:t xml:space="preserve">the food is retained for a considerable time, mixed with a</w:t></w:r>
</w:p>
<w:p>
<w:pPr><w:pStyle w:val="Normal"/></w:pPr>
<w:r><w:t xml:space="preserve">slight mucous secretion, and softened and partly macerated by</w:t></w:r>
</w:p>
<w:p>
<w:pPr><w:pStyle w:val="Normal"/></w:pPr>
<w:r><w:t xml:space="preserve">the heat of the body.  Many birds feed their young from the</w:t></w:r>
</w:p>
<w:p>
<w:pPr><w:pStyle w:val="Normal"/></w:pPr>
<w:r><w:t xml:space="preserve">soft contents of the crop, and in pigeons, at the breeding</w:t></w:r>
</w:p>
<w:p>
<w:pPr><w:pStyle w:val="Normal"/></w:pPr>
<w:r><w:t xml:space="preserve">season, the cells lining the crop proliferate rapidly and</w:t></w:r>
</w:p>
<w:p>
<w:pPr><w:pStyle w:val="Normal"/></w:pPr>
<w:r><w:t xml:space="preserve">are discharged as a soft cheesy mass into the cavity, forming</w:t></w:r>
</w:p>
<w:p>
<w:pPr><w:pStyle w:val="Normal"/></w:pPr>
<w:r><w:t xml:space="preserve">the substance known as pigeon&apos;s milk.  Amongst Mammalia, in</w:t></w:r>
</w:p>
<w:p>
<w:pPr><w:pStyle w:val="Normal"/></w:pPr>
<w:r><w:t xml:space="preserve">Rodentia, Carnivora, elephants and ruminants, the wall of</w:t></w:r>
</w:p>
<w:p>
<w:pPr><w:pStyle w:val="Normal"/></w:pPr>
<w:r><w:t xml:space="preserve">the oesophagus contains a layer of voluntary muscle, by the</w:t></w:r>
</w:p>
<w:p>
<w:pPr><w:pStyle w:val="Normal"/></w:pPr>
<w:r><w:t xml:space="preserve">contraction of which these animals induce anti- peristaltic</w:t></w:r>
</w:p>
<w:p>
<w:pPr><w:pStyle w:val="Normal"/></w:pPr>
<w:r><w:t xml:space="preserve">movements and can so regurgitate food into the mouth.</w:t></w:r>
</w:p>
<w:p>
<w:pPr><w:pStyle w:val="Normal"/></w:pPr>
<w:r><w:t xml:space="preserve">Stomach.--Where the oesophagus passes into the stomach, the</w:t></w:r>
</w:p>
<w:p>
<w:pPr><w:pStyle w:val="Normal"/></w:pPr>
<w:r><w:t xml:space="preserve">lining wall of the alimentary tract changes from a many-layered</w:t></w:r>
</w:p>
<w:p>
<w:pPr><w:pStyle w:val="Normal"/></w:pPr>
<w:r><w:t xml:space="preserve">epithelium to a mucous epithelium, consisting of a single layer</w:t></w:r>
</w:p>
<w:p>
<w:pPr><w:pStyle w:val="Normal"/></w:pPr>
<w:r><w:t xml:space="preserve">of endodermal cells, frequently thrown into pits or projecting</w:t></w:r>
</w:p>
<w:p>
<w:pPr><w:pStyle w:val="Normal"/></w:pPr>
<w:r><w:t xml:space="preserve">as processes; from being chiefly protective, it has become</w:t></w:r>
</w:p>
<w:p>
<w:pPr><w:pStyle w:val="Normal"/></w:pPr>
<w:r><w:t xml:space="preserve">secretory and absorbing, and maintains this character to the</w:t></w:r>
</w:p>
<w:p>
<w:pPr><w:pStyle w:val="Normal"/></w:pPr>
<w:r><w:t xml:space="preserve">distal extremity where it passes into the epiblast of the</w:t></w:r>
</w:p>
<w:p>
<w:pPr><w:pStyle w:val="Normal"/></w:pPr>
<w:r><w:t xml:space="preserve">proctodaeum.  In most cases the course of the alimentary</w:t></w:r>
</w:p>
<w:p>
<w:pPr><w:pStyle w:val="Normal"/></w:pPr>
<w:r><w:t xml:space="preserve">canal from the distal end of the oesophagus to the cloaca or</w:t></w:r>
</w:p>
<w:p>
<w:pPr><w:pStyle w:val="Normal"/></w:pPr>
<w:r><w:t xml:space="preserve">anus is longer than the corresponding region of the body, and</w:t></w:r>
</w:p>
<w:p>
<w:pPr><w:pStyle w:val="Normal"/></w:pPr>
<w:r><w:t xml:space="preserve">the canal is therefore thrown into folds.  The fundamental</w:t></w:r>
</w:p>
<w:p>
<w:pPr><w:pStyle w:val="Normal"/></w:pPr>
<w:r><w:t xml:space="preserve">form of the stomach is a sac-like enlargement of the canal,</w:t></w:r>
</w:p>
<w:p>
<w:pPr><w:pStyle w:val="Normal"/></w:pPr>
<w:r><w:t xml:space="preserve">the proximal portion of which is continuous with the line</w:t></w:r>
</w:p>
<w:p>
<w:pPr><w:pStyle w:val="Normal"/></w:pPr>
<w:r><w:t xml:space="preserve">of the oesophagus, but the distal portion of which is bent</w:t></w:r>
</w:p>
<w:p>
<w:pPr><w:pStyle w:val="Normal"/></w:pPr>
<w:r><w:t xml:space="preserve">in the proximal portion, the whole forming an enlarged bent</w:t></w:r>
</w:p>
<w:p>
<w:pPr><w:pStyle w:val="Normal"/></w:pPr>
<w:r><w:t xml:space="preserve">tube.  At the distal end of the tube the intestinal tract</w:t></w:r>
</w:p>
<w:p>
<w:pPr><w:pStyle w:val="Normal"/></w:pPr>
<w:r><w:t xml:space="preserve">proper begins, and the two regions are separated by a muscular</w:t></w:r>
</w:p>
<w:p>
<w:pPr><w:pStyle w:val="Normal"/></w:pPr>
<w:r><w:t xml:space="preserve">constriction.  In fishes the stomach is generally in one of two</w:t></w:r>
</w:p>
<w:p>
<w:pPr><w:pStyle w:val="Normal"/></w:pPr>
<w:r><w:t xml:space="preserve">forms; it may be a simple bent tube, the proximal limb of which</w:t></w:r>
</w:p>
<w:p>
<w:pPr><w:pStyle w:val="Normal"/></w:pPr>
<w:r><w:t xml:space="preserve">is almost invariably much wider than the distal, anteriorly</w:t></w:r>
</w:p>
<w:p>
<w:pPr><w:pStyle w:val="Normal"/></w:pPr>
<w:r><w:t xml:space="preserve">directed limb; or the oesophagus may pass directly into an</w:t></w:r>
</w:p>
<w:p>
<w:pPr><w:pStyle w:val="Normal"/></w:pPr>
<w:r><w:t xml:space="preserve">expanded, globular or elongated sac, from the anterior lateral</w:t></w:r>
</w:p>
<w:p>
<w:pPr><w:pStyle w:val="Normal"/></w:pPr>
<w:r><w:t xml:space="preserve">wall of which, not far from the oesophageal opening, the duodenum</w:t></w:r>
</w:p>
<w:p>
<w:pPr><w:pStyle w:val="Normal"/></w:pPr>
<w:r><w:t xml:space="preserve">arises.  In Batrachia and Reptilia the stomach is in most</w:t></w:r>
</w:p>
<w:p>
<w:pPr><w:pStyle w:val="Normal"/></w:pPr>
<w:r><w:t xml:space="preserve">cases a simple sac, marked off from the oesophagus only by</w:t></w:r>
</w:p>
<w:p>
<w:pPr><w:pStyle w:val="Normal"/></w:pPr>
<w:r><w:t xml:space="preserve">increased calibre.  In the Crocodilia, however, the anterior</w:t></w:r>
</w:p>
<w:p>
<w:pPr><w:pStyle w:val="Normal"/></w:pPr>
<w:r><w:t xml:space="preserve">portion of the stomach is much enlarged and very highly</w:t></w:r>
</w:p>
<w:p>
<w:pPr><w:pStyle w:val="Normal"/></w:pPr>
<w:r><w:t xml:space="preserve">muscular, the muscles radiating from a central tendinous</w:t></w:r>
</w:p>
<w:p>
<w:pPr><w:pStyle w:val="Normal"/></w:pPr>
<w:r><w:t xml:space="preserve">area on each of the flattened sides.  The cavity is lined by</w:t></w:r>
</w:p>
<w:p>
<w:pPr><w:pStyle w:val="Normal"/></w:pPr>
<w:r><w:t xml:space="preserve">a hardened secretion and contains a quantity of pebbles and</w:t></w:r>
</w:p>
<w:p>
<w:pPr><w:pStyle w:val="Normal"/></w:pPr>
<w:r><w:t xml:space="preserve">gravel which are used in the mechanical trituration of the</w:t></w:r>
</w:p>
<w:p>
<w:pPr><w:pStyle w:val="Normal"/></w:pPr>
<w:r><w:t xml:space="preserve">food, so that the resemblance to the gizzard of birds is well</w:t></w:r>
</w:p>
<w:p>
<w:pPr><w:pStyle w:val="Normal"/></w:pPr>
<w:r><w:t xml:space="preserve">marked.  This muscular chamber leads by a small aperture into</w:t></w:r>
</w:p>
<w:p>
<w:pPr><w:pStyle w:val="Normal"/></w:pPr>
<w:r><w:t xml:space="preserve">a distal, smaller and more glandular chamber.  In birds the</w:t></w:r>
</w:p>
<w:p>
<w:pPr><w:pStyle w:val="Normal"/></w:pPr>
<w:r><w:t xml:space="preserve">stomach exhibits two regions, an anterior glandular region, the</w:t></w:r>
</w:p>
<w:p>
<w:pPr><w:pStyle w:val="Normal"/></w:pPr>
<w:r><w:t xml:space="preserve">proventriculus, the walls of which are relatively soft and</w:t></w:r>
</w:p>
<w:p>
<w:pPr><w:pStyle w:val="Normal"/></w:pPr>
<w:r><w:t xml:space="preserve">contain enlarged digestive glands aggregated in patches (e.g.</w:t></w:r>
</w:p>
<w:p>
<w:pPr><w:pStyle w:val="Normal"/></w:pPr>
<w:r><w:t xml:space="preserve">some Steganopodes), in rows (e.g. most birds of prey) or</w:t></w:r>
</w:p>
<w:p>
<w:pPr><w:pStyle w:val="Normal"/></w:pPr>
<w:r><w:t xml:space="preserve">in a more or less regular band.  The distal region is larger</w:t></w:r>
</w:p>
<w:p>
<w:pPr><w:pStyle w:val="Normal"/></w:pPr>
<w:r><w:t xml:space="preserve">and is lined in most cases by a more or less permanent lining</w:t></w:r>
</w:p>
<w:p>
<w:pPr><w:pStyle w:val="Normal"/></w:pPr>
<w:r><w:t xml:space="preserve">which is thick and tough in birds with a muscular gizzard,</w:t></w:r>
</w:p>
<w:p>
<w:pPr><w:pStyle w:val="Normal"/></w:pPr>
<w:r><w:t xml:space="preserve">very slight in the others.  In many birds, specially those</w:t></w:r>
</w:p>
<w:p>
<w:pPr><w:pStyle w:val="Normal"/></w:pPr>
<w:r><w:t xml:space="preserve">feeding on fish, the two regions of the stomach are of equal</w:t></w:r>
</w:p>
<w:p>
<w:pPr><w:pStyle w:val="Normal"/></w:pPr>
<w:r><w:t xml:space="preserve">width, and are indistinguishable until, on opening the cavity,</w:t></w:r>
</w:p>
<w:p>
<w:pPr><w:pStyle w:val="Normal"/></w:pPr>
<w:r><w:t xml:space="preserve">the difference in the character of the lining membrane becomes</w:t></w:r>
</w:p>
<w:p>
<w:pPr><w:pStyle w:val="Normal"/></w:pPr>
<w:r><w:t xml:space="preserve">visible.  In other birds the proventriculus is separated</w:t></w:r>
</w:p>
<w:p>
<w:pPr><w:pStyle w:val="Normal"/></w:pPr>
<w:r><w:t xml:space="preserve">by a well marked constriction from the posterior and larger</w:t></w:r>
</w:p>
<w:p>
<w:pPr><w:pStyle w:val="Normal"/></w:pPr>
<w:r><w:t xml:space="preserve">region.  In graminiferous forms the latter becomes a</w:t></w:r>
</w:p>
<w:p>
<w:pPr><w:pStyle w:val="Normal"/></w:pPr>
<w:r><w:t xml:space="preserve">thick-walled muscular gizzard, the muscles radiating from</w:t></w:r>
</w:p>
<w:p>
<w:pPr><w:pStyle w:val="Normal"/></w:pPr>
<w:r><w:t xml:space="preserve">tendinous areas and the cavity containing pebbles or gravel.</w:t></w:r>
</w:p>
<w:p>
<w:pPr><w:pStyle w:val="Normal"/></w:pPr>
<w:r><w:t xml:space="preserve">In mammals, the primitive form of the stomach consists of a</w:t></w:r>
</w:p>
<w:p>
<w:pPr><w:pStyle w:val="Normal"/></w:pPr>
<w:r><w:t xml:space="preserve">more or less globular or elongated expansion of the oesophageal</w:t></w:r>
</w:p>
<w:p>
<w:pPr><w:pStyle w:val="Normal"/></w:pPr>
<w:r><w:t xml:space="preserve">region, forming the cardiac portion, and a forwardly curved,</w:t></w:r>
</w:p>
<w:p>
<w:pPr><w:pStyle w:val="Normal"/></w:pPr>
<w:r><w:t xml:space="preserve">narrower pyloric portion, from which the duodenum arises.</w:t></w:r>
</w:p>
<w:p>
<w:pPr><w:pStyle w:val="Normal"/></w:pPr>
<w:r><w:t xml:space="preserve">The whole wall is muscular, and the lining membrane is richly</w:t></w:r>
</w:p>
<w:p>
<w:pPr><w:pStyle w:val="Normal"/></w:pPr>
<w:r><w:t xml:space="preserve">glandular.  In the Insectivora, Carnivora, Perissodactyla, and</w:t></w:r>
</w:p>
<w:p>
<w:pPr><w:pStyle w:val="Normal"/></w:pPr>
<w:r><w:t xml:space="preserve">in most Edentata, Chiroptera, Rodentia and Primates, this</w:t></w:r>
</w:p>
<w:p>
<w:pPr><w:pStyle w:val="Normal"/></w:pPr>
<w:r><w:t xml:space="preserve">primitive disposition is retained, the difference consisting</w:t></w:r>
</w:p>
<w:p>
<w:pPr><w:pStyle w:val="Normal"/></w:pPr>
<w:r><w:t xml:space="preserve">chiefly in the degrees of elongation of the stomach and the</w:t></w:r>
</w:p>
<w:p>
<w:pPr><w:pStyle w:val="Normal"/></w:pPr>
<w:r><w:t xml:space="preserve">sharpness of the distal curvature.  In other cases the cardiac</w:t></w:r>
</w:p>
<w:p>
<w:pPr><w:pStyle w:val="Normal"/></w:pPr>
<w:r><w:t xml:space="preserve">portion may be prolonged into a caecal sac, a condition most</w:t></w:r>
</w:p>
<w:p>
<w:pPr><w:pStyle w:val="Normal"/></w:pPr>
<w:r><w:t xml:space="preserve">highly differentiated in the blood-sucking bat, Desmodeus,</w:t></w:r>
</w:p>
<w:p>
<w:pPr><w:pStyle w:val="Normal"/></w:pPr>
<w:r><w:t xml:space="preserve">where it is longer than the entire length of the body.  There</w:t></w:r>
</w:p>
<w:p>
<w:pPr><w:pStyle w:val="Normal"/></w:pPr>
<w:r><w:t xml:space="preserve">are two cardiac extensions in the hippopotamus and in the</w:t></w:r>
</w:p>
<w:p>
<w:pPr><w:pStyle w:val="Normal"/></w:pPr>
<w:r><w:t xml:space="preserve">peccary.  In many other mammals one, two or three protrusions</w:t></w:r>
</w:p>
<w:p>
<w:pPr><w:pStyle w:val="Normal"/></w:pPr>
<w:r><w:t xml:space="preserve">of the cardiac region occur, whilst in the manatee and in</w:t></w:r>
</w:p>
<w:p>
<w:pPr><w:pStyle w:val="Normal"/></w:pPr>
<w:r><w:t xml:space="preserve">some rodents the cardiac region is constricted off from the</w:t></w:r>
</w:p>
<w:p>
<w:pPr><w:pStyle w:val="Normal"/></w:pPr>
<w:r><w:t xml:space="preserve">pyloric portion.  In the Artiodactyla the stomach is always</w:t></w:r>
</w:p>
<w:p>
<w:pPr><w:pStyle w:val="Normal"/></w:pPr>
<w:r><w:t xml:space="preserve">complex, the complexity reaching a maximum in ruminating</w:t></w:r>
</w:p>
<w:p>
<w:pPr><w:pStyle w:val="Normal"/></w:pPr>
<w:r><w:t xml:space="preserve">forms.  In the Suidae a cardiac diverticulum is partly</w:t></w:r>
</w:p>
<w:p>
<w:pPr><w:pStyle w:val="Normal"/></w:pPr>
<w:r><w:t xml:space="preserve">constricted from the general cavity, forming an incipient</w:t></w:r>
</w:p>
<w:p>
<w:pPr><w:pStyle w:val="Normal"/></w:pPr>
<w:r><w:t xml:space="preserve">condition of the rumen of true ruminants; the general cavity</w:t></w:r>
</w:p>
<w:p>
<w:pPr><w:pStyle w:val="Normal"/></w:pPr>
<w:r><w:t xml:space="preserve">of the stomach shows an approach to the ruminant condition</w:t></w:r>
</w:p>
<w:p>
<w:pPr><w:pStyle w:val="Normal"/></w:pPr>
<w:r><w:t xml:space="preserve">by the different characters of the lining wall in different</w:t></w:r>
</w:p>
<w:p>
<w:pPr><w:pStyle w:val="Normal"/></w:pPr>
<w:r><w:t xml:space="preserve">areas.  In the chevrotains, which in many other respects show</w:t></w:r>
</w:p>
<w:p>
<w:pPr><w:pStyle w:val="Normal"/></w:pPr>
<w:r><w:t xml:space="preserve">conditions intermediate between nonruminant artiodactyles</w:t></w:r>
</w:p>
<w:p>
<w:pPr><w:pStyle w:val="Normal"/></w:pPr>
<w:r><w:t xml:space="preserve">and true ruminants, the oesophagus opens into a wide cardiac</w:t></w:r>
</w:p>
<w:p>
<w:pPr><w:pStyle w:val="Normal"/></w:pPr>
<w:r><w:t xml:space="preserve">portion, incompletely divided into four chambers.  Three of</w:t></w:r>
</w:p>
<w:p>
<w:pPr><w:pStyle w:val="Normal"/></w:pPr>
<w:r><w:t xml:space="preserve">these, towards the cardiac extremity, are lined with villi</w:t></w:r>
</w:p>
<w:p>
<w:pPr><w:pStyle w:val="Normal"/></w:pPr>
<w:r><w:t xml:space="preserve">and correspond to the rumen or paunch; the fourth, which</w:t></w:r>
</w:p>
<w:p>
<w:pPr><w:pStyle w:val="Normal"/></w:pPr>
<w:r><w:t xml:space="preserve">lies between the opening of the oesophagus and the pyloric</w:t></w:r>
</w:p>
<w:p>
<w:pPr><w:pStyle w:val="Normal"/></w:pPr>
<w:r><w:t xml:space="preserve">portion of the stomach, is the ruminant reticulum and its</w:t></w:r>
</w:p>
<w:p>
<w:pPr><w:pStyle w:val="Normal"/></w:pPr>
<w:r><w:t xml:space="preserve">wall is lined with very shallow ``cells.&apos;&apos; A groove runs</w:t></w:r>
</w:p>
<w:p>
<w:pPr><w:pStyle w:val="Normal"/></w:pPr>
<w:r><w:t xml:space="preserve">along its dorsal wall from the oesophageal aperture to a</w:t></w:r>
</w:p>
<w:p>
<w:pPr><w:pStyle w:val="Normal"/></w:pPr>
<w:r><w:t xml:space="preserve">very small cavity lined with low, longitudinally disposed</w:t></w:r>
</w:p>
<w:p>
<w:pPr><w:pStyle w:val="Normal"/></w:pPr>
<w:r><w:t xml:space="preserve">folds, and forming a narrow passage between the cardiac and</w:t></w:r>
</w:p>
<w:p>
<w:pPr><w:pStyle w:val="Normal"/></w:pPr>
<w:r><w:t xml:space="preserve">pyloric divisions; this is an early stage in the development</w:t></w:r>
</w:p>
<w:p>
<w:pPr><w:pStyle w:val="Normal"/></w:pPr>
<w:r><w:t xml:space="preserve">of the omasum, psalterium or manyplies of the ruminant</w:t></w:r>
</w:p>
<w:p>
<w:pPr><w:pStyle w:val="Normal"/></w:pPr>
<w:r><w:t xml:space="preserve">stomach.  The fourth or true pyloric chamber is an elongated</w:t></w:r>
</w:p>
<w:p>
<w:pPr><w:pStyle w:val="Normal"/></w:pPr>
<w:r><w:t xml:space="preserve">sac with smooth glandular walls and is the abomasum, or rennet</w:t></w:r>
</w:p>
<w:p>
<w:pPr><w:pStyle w:val="Normal"/></w:pPr>
<w:r><w:t xml:space="preserve">sack.  In the camel the rumen forms an enormous globular</w:t></w:r>
</w:p>
<w:p>
<w:pPr><w:pStyle w:val="Normal"/></w:pPr>
<w:r><w:t xml:space="preserve">paunch with villous walls and internally showing a trace of</w:t></w:r>
</w:p>
<w:p>
<w:pPr><w:pStyle w:val="Normal"/></w:pPr>
<w:r><w:t xml:space="preserve">division into two regions.  It is well marked off from the</w:t></w:r>
</w:p>
<w:p>
<w:pPr><w:pStyle w:val="Normal"/></w:pPr>
<w:r><w:t xml:space="preserve">reticulum, the ``cells&apos;&apos; of which are extremely deep, forming</w:t></w:r>
</w:p>
<w:p>
<w:pPr><w:pStyle w:val="Normal"/></w:pPr>
<w:r><w:t xml:space="preserve">the well-known water-chambers.  The psalterium is sharply</w:t></w:r>
</w:p>
<w:p>
<w:pPr><w:pStyle w:val="Normal"/></w:pPr>
<w:r><w:t xml:space="preserve">constricted off from the reticulum and is an elongated chamber</w:t></w:r>
</w:p>
<w:p>
<w:pPr><w:pStyle w:val="Normal"/></w:pPr>
<w:r><w:t xml:space="preserve">showing little trace of the longitudinal ridges characteristic</w:t></w:r>
</w:p>
<w:p>
<w:pPr><w:pStyle w:val="Normal"/></w:pPr>
<w:r><w:t xml:space="preserve">of this region; it opens directly into the relatively small</w:t></w:r>
</w:p>
<w:p>
<w:pPr><w:pStyle w:val="Normal"/></w:pPr>
<w:r><w:t xml:space="preserve">abomasum.  In the true ruminants, the rumen forms a capacious,</w:t></w:r>
</w:p>
<w:p>
<w:pPr><w:pStyle w:val="Normal"/></w:pPr>
<w:r><w:t xml:space="preserve">villous reservoir, nearly always partly sacculated, into which</w:t></w:r>
</w:p>
<w:p>
<w:pPr><w:pStyle w:val="Normal"/></w:pPr>
<w:r><w:t xml:space="preserve">the food is passed rapidly as the animal grazes.  The food</w:t></w:r>
</w:p>
<w:p>
<w:pPr><w:pStyle w:val="Normal"/></w:pPr>
<w:r><w:t xml:space="preserve">is subjected to a rotary movement in the paunch, and is thus</w:t></w:r>
</w:p>
<w:p>
<w:pPr><w:pStyle w:val="Normal"/></w:pPr>
<w:r><w:t xml:space="preserve">repeatedly subjected to moistening with the fluids secreted</w:t></w:r>
</w:p>
<w:p>
<w:pPr><w:pStyle w:val="Normal"/></w:pPr>
<w:r><w:t xml:space="preserve">by the reticulum, as it is passed over the aperture of that</w:t></w:r>
</w:p>
<w:p>
<w:pPr><w:pStyle w:val="Normal"/></w:pPr>
<w:r><w:t xml:space="preserve">cavity, and is formed into a rounded bolus.  Most ruminants</w:t></w:r>
</w:p>
<w:p>
<w:pPr><w:pStyle w:val="Normal"/></w:pPr>
<w:r><w:t xml:space="preserve">swallow masses of hairs, and these, by the rotary action of the</w:t></w:r>
</w:p>
<w:p>
<w:pPr><w:pStyle w:val="Normal"/></w:pPr>
<w:r><w:t xml:space="preserve">paunch, are aggregated into peculiar dense, rounded balls which</w:t></w:r>
</w:p>
<w:p>
<w:pPr><w:pStyle w:val="Normal"/></w:pPr>
<w:r><w:t xml:space="preserve">are occasionally discharged from the mouth and are known as</w:t></w:r>
</w:p>
<w:p>
<w:pPr><w:pStyle w:val="Normal"/></w:pPr>
<w:r><w:t xml:space="preserve">``hair-balls&apos;&apos; or ``bezoars.&apos;&apos; The food bolus, when the animal</w:t></w:r>
</w:p>
<w:p>
<w:pPr><w:pStyle w:val="Normal"/></w:pPr>
<w:r><w:t xml:space="preserve">is lying down after grazing, is passed into the oesophagus</w:t></w:r>
</w:p>
<w:p>
<w:pPr><w:pStyle w:val="Normal"/></w:pPr>
<w:r><w:t xml:space="preserve">and reaches the mouth by antiperistaltic contractions of the</w:t></w:r>
</w:p>
<w:p>
<w:pPr><w:pStyle w:val="Normal"/></w:pPr>
<w:r><w:t xml:space="preserve">oesophagus.  After prolonged mastication and mixing with</w:t></w:r>
</w:p>
<w:p>
<w:pPr><w:pStyle w:val="Normal"/></w:pPr>
<w:r><w:t xml:space="preserve">saliva, it is again swallowed, but is now passed into the</w:t></w:r>
</w:p>
<w:p>
<w:pPr><w:pStyle w:val="Normal"/></w:pPr>
<w:r><w:t xml:space="preserve">psalterium, which, in true ruminants, is a small chamber with</w:t></w:r>
</w:p>
<w:p>
<w:pPr><w:pStyle w:val="Normal"/></w:pPr>
<w:r><w:t xml:space="preserve">conspicuous longitudinal folds.  Finally it reaches the large</w:t></w:r>
</w:p>
<w:p>
<w:pPr><w:pStyle w:val="Normal"/></w:pPr>
<w:r><w:t xml:space="preserve">abomasum where the last stages of gastric digestion occur.</w:t></w:r>
</w:p>
<w:p>
<w:pPr><w:pStyle w:val="Normal"/></w:pPr>
<w:r><w:t xml:space="preserve">In the Cetacea the stomach is different from that found in</w:t></w:r>
</w:p>
<w:p>
<w:pPr><w:pStyle w:val="Normal"/></w:pPr>
<w:r><w:t xml:space="preserve">any other group of mammals.  The oesophagus opens directly</w:t></w:r>
</w:p>
<w:p>
<w:pPr><w:pStyle w:val="Normal"/></w:pPr>
<w:r><w:t xml:space="preserve">into a very large cardiac sac the distal extremity of which</w:t></w:r>
</w:p>
<w:p>
<w:pPr><w:pStyle w:val="Normal"/></w:pPr>
<w:r><w:t xml:space="preserve">forms a long caecal pouch.  At nearly the first third of</w:t></w:r>
</w:p>
<w:p>
<w:pPr><w:pStyle w:val="Normal"/></w:pPr>
<w:r><w:t xml:space="preserve">its length this communicates by a narrow aperture into the</w:t></w:r>
</w:p>
<w:p>
<w:pPr><w:pStyle w:val="Normal"/></w:pPr>
<w:r><w:t xml:space="preserve">elongated, relatively narrow pyloric portion.  The latter</w:t></w:r>
</w:p>
<w:p>
<w:pPr><w:pStyle w:val="Normal"/></w:pPr>
<w:r><w:t xml:space="preserve">is convoluted and constricted into a series of chambers that</w:t></w:r>
</w:p>
<w:p>
<w:pPr><w:pStyle w:val="Normal"/></w:pPr>
<w:r><w:t xml:space="preserve">differ in different groups of Cetacea. In the Sirenia</w:t></w:r>
</w:p>
<w:p>
<w:pPr><w:pStyle w:val="Normal"/></w:pPr>
<w:r><w:t xml:space="preserve">the stomach is divided by a constriction into a cardiac and</w:t></w:r>
</w:p>
<w:p>
<w:pPr><w:pStyle w:val="Normal"/></w:pPr>
<w:r><w:t xml:space="preserve">a pyloric portion, and the latter has a pair of caeca.  In</w:t></w:r>
</w:p>
<w:p>
<w:pPr><w:pStyle w:val="Normal"/></w:pPr>
<w:r><w:t xml:space="preserve">most of the Marsupialia the stomach is relatively simple,</w:t></w:r>
</w:p>
<w:p>
<w:pPr><w:pStyle w:val="Normal"/></w:pPr>
<w:r><w:t xml:space="preserve">forming a globular sac with the oesophageal and pyloric</w:t></w:r>
</w:p>
<w:p>
<w:pPr><w:pStyle w:val="Normal"/></w:pPr>
<w:r><w:t xml:space="preserve">apertures closely approximated; in the kangaroos, on the</w:t></w:r>
</w:p>
<w:p>
<w:pPr><w:pStyle w:val="Normal"/></w:pPr>
<w:r><w:t xml:space="preserve">other hand, the stomach is divided into a relatively small,</w:t></w:r>
</w:p>
<w:p>
<w:pPr><w:pStyle w:val="Normal"/></w:pPr>
<w:r><w:t xml:space="preserve">caecal cardiac portion and an enormously long sacculated</w:t></w:r>
</w:p>
<w:p>
<w:pPr><w:pStyle w:val="Normal"/></w:pPr>
<w:r><w:t xml:space="preserve">and convoluted pyloric region, the general arrangement of</w:t></w:r>
</w:p>
<w:p>
<w:pPr><w:pStyle w:val="Normal"/></w:pPr>
<w:r><w:t xml:space="preserve">which closely recalls the large caecum of many mammals.</w:t></w:r>
</w:p>
<w:p>
<w:pPr><w:pStyle w:val="Normal"/></w:pPr>
<w:r><w:t xml:space="preserve">Intestinal Tract.--It is not yet possible to discuss the</w:t></w:r>
</w:p>
<w:p>
<w:pPr><w:pStyle w:val="Normal"/></w:pPr>
<w:r><w:t xml:space="preserve">general morphology of this region in vertebrates as a group,</w:t></w:r>
</w:p>
<w:p>
<w:pPr><w:pStyle w:val="Normal"/></w:pPr>
<w:r><w:t xml:space="preserve">as, whilst the modifications displayed in birds and mammals</w:t></w:r>
</w:p>
<w:p>
<w:pPr><w:pStyle w:val="Normal"/></w:pPr>
<w:r><w:t xml:space="preserve">have been compared and studied in detail, those in the</w:t></w:r>
</w:p>
<w:p>
<w:pPr><w:pStyle w:val="Normal"/></w:pPr>
<w:r><w:t xml:space="preserve">lower groups have not yet been systematically co-ordinated.</w:t></w:r>
</w:p>
<w:p>
<w:pPr><w:pStyle w:val="Normal"/></w:pPr>
<w:r><w:t xml:space="preserve">Fishes.--In the Cyclostomata, Holocephali and a few</w:t></w:r>
</w:p>
<w:p>
<w:pPr><w:pStyle w:val="Normal"/></w:pPr>
<w:r><w:t xml:space="preserve">Teleostei the course of the gut is practically straight from</w:t></w:r>
</w:p>
<w:p>
<w:pPr><w:pStyle w:val="Normal"/></w:pPr>
<w:r><w:t xml:space="preserve">the pyloric end of the stomach to the exterior, and there is</w:t></w:r>
</w:p>
<w:p>
<w:pPr><w:pStyle w:val="Normal"/></w:pPr>
<w:r><w:t xml:space="preserve">no marked differentiation into regions.  In the Dipnoi, a</w:t></w:r>
</w:p>
<w:p>
<w:pPr><w:pStyle w:val="Normal"/></w:pPr>
<w:r><w:t xml:space="preserve">contracted sigmoid curve between the stomach and the dilated</w:t></w:r>
</w:p>
<w:p>
<w:pPr><w:pStyle w:val="Normal"/></w:pPr>
<w:r><w:t xml:space="preserve">intestine is a simple beginning of the complexity found in other</w:t></w:r>
</w:p>
<w:p>
<w:pPr><w:pStyle w:val="Normal"/></w:pPr>
<w:r><w:t xml:space="preserve">groups.  In very many of the more specialized teleosteans, the</w:t></w:r>
</w:p>
<w:p>
<w:pPr><w:pStyle w:val="Normal"/></w:pPr>
<w:r><w:t xml:space="preserve">gut is much convoluted, exhibiting a series of watchspring-like</w:t></w:r>
</w:p>
<w:p>
<w:pPr><w:pStyle w:val="Normal"/></w:pPr>
<w:r><w:t xml:space="preserve">coils.  In a number of different groups, increased surface for</w:t></w:r>
</w:p>
<w:p>
<w:pPr><w:pStyle w:val="Normal"/></w:pPr>
<w:r><w:t xml:space="preserve">absorption is given, not by increase in length of the whole gut,</w:t></w:r>
</w:p>
<w:p>
<w:pPr><w:pStyle w:val="Normal"/></w:pPr>
<w:r><w:t xml:space="preserve">but by the development of an internal fold known as the spiral</w:t></w:r>
</w:p>
<w:p>
<w:pPr><w:pStyle w:val="Normal"/></w:pPr>
<w:r><w:t xml:space="preserve">valve.  This was probably originally a longitudinal fold</w:t></w:r>
</w:p>
<w:p>
<w:pPr><w:pStyle w:val="Normal"/></w:pPr>
<w:r><w:t xml:space="preserve">similar to the typhlosole of chaetopods.  It forms a simple</w:t></w:r>
</w:p>
<w:p>
<w:pPr><w:pStyle w:val="Normal"/></w:pPr>
<w:r><w:t xml:space="preserve">fold in the larval Ammocoete, and in its anterior region</w:t></w:r>
</w:p>
<w:p>
<w:pPr><w:pStyle w:val="Normal"/></w:pPr>
<w:r><w:t xml:space="preserve">remains straight in some adult fish, e.g.  Polypterus, but</w:t></w:r>
</w:p>
<w:p>
<w:pPr><w:pStyle w:val="Normal"/></w:pPr>
<w:r><w:t xml:space="preserve">in the majority of cases it forms a complex spiral, wound</w:t></w:r>
</w:p>
<w:p>
<w:pPr><w:pStyle w:val="Normal"/></w:pPr>
<w:r><w:t xml:space="preserve">round the inner wall of the expanded large intestine, the</w:t></w:r>
</w:p>
<w:p>
<w:pPr><w:pStyle w:val="Normal"/></w:pPr>
<w:r><w:t xml:space="preserve">internal edge of the fold sometimes meeting to form a central</w:t></w:r>
</w:p>
<w:p>
<w:pPr><w:pStyle w:val="Normal"/></w:pPr>
<w:r><w:t xml:space="preserve">column.  It occurs in Cyclostomata, Selachii, Holocephali,</w:t></w:r>
</w:p>
<w:p>
<w:pPr><w:pStyle w:val="Normal"/></w:pPr>
<w:r><w:t xml:space="preserve">Chondrostei, Crossopterygii, Amiidae, Lepidosteidae and</w:t></w:r>
</w:p>
<w:p>
<w:pPr><w:pStyle w:val="Normal"/></w:pPr>
<w:r><w:t xml:space="preserve">Dipnoi. A set of organs peculiar to fish and known as the</w:t></w:r>
</w:p>
<w:p>
<w:pPr><w:pStyle w:val="Normal"/></w:pPr>
<w:r><w:t xml:space="preserve">pyloric caeca are absent in Cyclostomata and Dipnoi,</w:t></w:r>
</w:p>
<w:p>
<w:pPr><w:pStyle w:val="Normal"/></w:pPr>
<w:r><w:t xml:space="preserve">in most Selachii and in Amia, but present, in numbers</w:t></w:r>
</w:p>
<w:p>
<w:pPr><w:pStyle w:val="Normal"/></w:pPr>
<w:r><w:t xml:space="preserve">ranging from one to nearly two hundred, in the vast majority of</w:t></w:r>
</w:p>
<w:p>
<w:pPr><w:pStyle w:val="Normal"/></w:pPr>
<w:r><w:t xml:space="preserve">fish.  These are outgrowths of the intestinal tract near</w:t></w:r>
</w:p>
<w:p>
<w:pPr><w:pStyle w:val="Normal"/></w:pPr>
<w:r><w:t xml:space="preserve">the pyloric extremity of the stomach, and their function is</w:t></w:r>
</w:p>
<w:p>
<w:pPr><w:pStyle w:val="Normal"/></w:pPr>
<w:r><w:t xml:space="preserve">partly glandular, partly absorbing.  In a few Teleostei</w:t></w:r>
</w:p>
<w:p>
<w:pPr><w:pStyle w:val="Normal"/></w:pPr>
<w:r><w:t xml:space="preserve">there is a single caecal diverticulum at the beginning of</w:t></w:r>
</w:p>
<w:p>
<w:pPr><w:pStyle w:val="Normal"/></w:pPr>
<w:r><w:t xml:space="preserve">the ``rectum,&apos;&apos; and in the same region a solid rectal gland</w:t></w:r>
</w:p>
<w:p>
<w:pPr><w:pStyle w:val="Normal"/></w:pPr>
<w:r><w:t xml:space="preserve">occurs in most elasmobranchs, whilst, again, in the Dipnoi</w:t></w:r>
</w:p>
<w:p>
<w:pPr><w:pStyle w:val="Normal"/></w:pPr>
<w:r><w:t xml:space="preserve">a similar structure opens into the cloaca.  These caeca have</w:t></w:r>
</w:p>
<w:p>
<w:pPr><w:pStyle w:val="Normal"/></w:pPr>
<w:r><w:t xml:space="preserve">been compared with the colic caeca of higher vertebrates,</w:t></w:r>
</w:p>
<w:p>
<w:pPr><w:pStyle w:val="Normal"/></w:pPr>
<w:r><w:t xml:space="preserve">but there is yet no exact evidence for the homology.</w:t></w:r>
</w:p>
<w:p>
<w:pPr><w:pStyle w:val="Normal"/></w:pPr>
<w:r><w:t xml:space="preserve">In the Batrachia the course of the intestinal tract is</w:t></w:r>
</w:p>
<w:p>
<w:pPr><w:pStyle w:val="Normal"/></w:pPr>
<w:r><w:t xml:space="preserve">nearly straight from the pyloric end of the stomach to the</w:t></w:r>
</w:p>
<w:p>
<w:pPr><w:pStyle w:val="Normal"/></w:pPr>
<w:r><w:t xml:space="preserve">cloaca, in the case of the perennibranchiates there being no</w:t></w:r>
</w:p>
<w:p>
<w:pPr><w:pStyle w:val="Normal"/></w:pPr>
<w:r><w:t xml:space="preserve">more than a few simple loops between the expanded ``rectum&apos;&apos;</w:t></w:r>
</w:p>
<w:p>
<w:pPr><w:pStyle w:val="Normal"/></w:pPr>
<w:r><w:t xml:space="preserve">and the straight portion that leaves the stomach.  In the</w:t></w:r>
</w:p>
<w:p>
<w:pPr><w:pStyle w:val="Normal"/></w:pPr>
<w:r><w:t xml:space="preserve">Caducibranchiata the anterior end of the enlarged rectum</w:t></w:r>
</w:p>
<w:p>
<w:pPr><w:pStyle w:val="Normal"/></w:pPr>
<w:r><w:t xml:space="preserve">lies very close to the distal extremity of the stomach, and</w:t></w:r>
</w:p>
<w:p>
<w:pPr><w:pStyle w:val="Normal"/></w:pPr>
<w:r><w:t xml:space="preserve">the gut, between these two regions, is greatly lengthened,</w:t></w:r>
</w:p>
<w:p>
<w:pPr><w:pStyle w:val="Normal"/></w:pPr>
<w:r><w:t xml:space="preserve">forming a loop with many minor loops borne at the periphery</w:t></w:r>
</w:p>
<w:p>
<w:pPr><w:pStyle w:val="Normal"/></w:pPr>
<w:r><w:t xml:space="preserve">of an expanse of mesentery, recalling the Meckelian tract of</w:t></w:r>
</w:p>
<w:p>
<w:pPr><w:pStyle w:val="Normal"/></w:pPr>
<w:r><w:t xml:space="preserve">birds and mammals.  In the tadpole this region is spirally</w:t></w:r>
</w:p>
<w:p>
<w:pPr><w:pStyle w:val="Normal"/></w:pPr>
<w:r><w:t xml:space="preserve">coiled and is still longer relatively to the length of the</w:t></w:r>
</w:p>
<w:p>
<w:pPr><w:pStyle w:val="Normal"/></w:pPr>
<w:r><w:t xml:space="preserve">whole tract.  In Hyla and Pipa there is a small caecum</w:t></w:r>
</w:p>
<w:p>
<w:pPr><w:pStyle w:val="Normal"/></w:pPr>
<w:r><w:t xml:space="preserve">comparable with the colic caecum of birds and mammals.</w:t></w:r>
</w:p>
<w:p>
<w:pPr><w:pStyle w:val="Normal"/></w:pPr>
<w:r><w:t xml:space="preserve">In Reptilia the configuration of the intestinal tract does</w:t></w:r>
</w:p>
<w:p>
<w:pPr><w:pStyle w:val="Normal"/></w:pPr>
<w:r><w:t xml:space="preserve">not differ much from that in Batrachia, the length and</w:t></w:r>
</w:p>
<w:p>
<w:pPr><w:pStyle w:val="Normal"/></w:pPr>
<w:r><w:t xml:space="preserve">complexity of the minor coils apparently varying with the general</w:t></w:r>
</w:p>
<w:p>
<w:pPr><w:pStyle w:val="Normal"/></w:pPr>
<w:r><w:t xml:space="preserve">configuration of the body, that is to say, in reptiles with a</w:t></w:r>
</w:p>
<w:p>
<w:pPr><w:pStyle w:val="Normal"/></w:pPr>
<w:r><w:t xml:space="preserve">long, narrow, and snake-like body the minor loops of the gut</w:t></w:r>
</w:p>
<w:p>
<w:pPr><w:pStyle w:val="Normal"/></w:pPr>
<w:r><w:t xml:space="preserve">are relatively short and unimportant, whilst in those with</w:t></w:r>
</w:p>
<w:p>
<w:pPr><w:pStyle w:val="Normal"/></w:pPr>
<w:r><w:t xml:space="preserve">a more spacious cavity, such as chelonians, many lizards and</w:t></w:r>
</w:p>
<w:p>
<w:pPr><w:pStyle w:val="Normal"/></w:pPr>
<w:r><w:t xml:space="preserve">crocodiles, the gut may be relatively long and disposed in many</w:t></w:r>
</w:p>
<w:p>
<w:pPr><w:pStyle w:val="Normal"/></w:pPr>
<w:r><w:t xml:space="preserve">minor coils.  There is comparatively little differentiation</w:t></w:r>
</w:p>
<w:p>
<w:pPr><w:pStyle w:val="Normal"/></w:pPr>
<w:r><w:t xml:space="preserve">between the mid-gut and the gut in cases where the whole</w:t></w:r>
</w:p>
<w:p>
<w:pPr><w:pStyle w:val="Normal"/></w:pPr>
<w:r><w:t xml:space="preserve">gut is long; in the others the hind-gut is generally marked</w:t></w:r>
</w:p>
<w:p>
<w:pPr><w:pStyle w:val="Normal"/></w:pPr>
<w:r><w:t xml:space="preserve">by an increase of calibre.  A short caecal diverticulum,</w:t></w:r>
</w:p>
<w:p>
<w:pPr><w:pStyle w:val="Normal"/></w:pPr>
<w:r><w:t xml:space="preserve">comparable with the colic caecum of birds and mammals, is</w:t></w:r>
</w:p>
<w:p>
<w:pPr><w:pStyle w:val="Normal"/></w:pPr>
<w:r><w:t xml:space="preserve">present in many snakes and lizards and in some chelonians.</w:t></w:r>
</w:p>
<w:p>
<w:pPr><w:pStyle w:val="Normal"/></w:pPr>
<w:r><w:t xml:space="preserve">In fishes, batrachians and reptiles the intestinal tract</w:t></w:r>
</w:p>
<w:p>
<w:pPr><w:pStyle w:val="Normal"/></w:pPr>
<w:r><w:t xml:space="preserve">is swung from the dorsal wall of the abdominal cavity by a</w:t></w:r>
</w:p>
<w:p>
<w:pPr><w:pStyle w:val="Normal"/></w:pPr>
<w:r><w:t xml:space="preserve">mesentery which is incomplete on account of secondary absorption</w:t></w:r>
</w:p>
<w:p>
<w:pPr><w:pStyle w:val="Normal"/></w:pPr>
<w:r><w:t xml:space="preserve">in places, and which grows out with the minor loops of the</w:t></w:r>
</w:p>
<w:p>
<w:pPr><w:pStyle w:val="Normal"/></w:pPr>
<w:r><w:t xml:space="preserve">gut.  There are also traces, more abundant in the lower</w:t></w:r>
</w:p>
<w:p>
<w:pPr><w:pStyle w:val="Normal"/></w:pPr>
<w:r><w:t xml:space="preserve">forms, of the still more primitive ventral mesentery.</w:t></w:r>
</w:p>
<w:p>
<w:pPr><w:pStyle w:val="Normal"/></w:pPr>
<w:r><w:t xml:space="preserve">Intestinal Tract in Birds and Mammals.--There is no doubt but</w:t></w:r>
</w:p>
<w:p>
<w:pPr><w:pStyle w:val="Normal"/></w:pPr>
<w:r><w:t xml:space="preserve">that the similarity of the modes of disposition of the alimentary</w:t></w:r>
</w:p>
<w:p>
<w:pPr><w:pStyle w:val="Normal"/></w:pPr>
<w:r><w:t xml:space="preserve">tract in birds and mammals points to the probability of the</w:t></w:r>
</w:p>
<w:p>
<w:pPr><w:pStyle w:val="Normal"/></w:pPr>
<w:r><w:t xml:space="preserve">chief morphological features of this region in these animals</w:t></w:r>
</w:p>
<w:p>
<w:pPr><w:pStyle w:val="Normal"/></w:pPr>
<w:r><w:t xml:space="preserve">having been laid down in some common ancestor, although we</w:t></w:r>
</w:p>
<w:p>
<w:pPr><w:pStyle w:val="Normal"/></w:pPr>
<w:r><w:t xml:space="preserve">FIG. 4.--Intestinal Tract of Chauna chavaria.</w:t></w:r>
</w:p>
<w:p>
<w:pPr><w:pStyle w:val="Normal"/></w:pPr>
<w:r><w:t xml:space="preserve">c.c. Colic caeca.         p.v. Cut root of portal vein.</w:t></w:r>
</w:p>
<w:p>
<w:pPr><w:pStyle w:val="Normal"/></w:pPr>
<w:r><w:t xml:space="preserve">d. Duodenum.              r.v. Rectal vein.</w:t></w:r>
</w:p>
<w:p>
<w:pPr><w:pStyle w:val="Normal"/></w:pPr>
<w:r><w:t xml:space="preserve">g. Glandular patch.       s. Proventriculus.</w:t></w:r>
</w:p>
<w:p>
<w:pPr><w:pStyle w:val="Normal"/></w:pPr>
<w:r><w:t xml:space="preserve">l.l. Meckel&apos;s tract.      y. Meckel&apos;s diverticulum, or</w:t></w:r>
</w:p>
<w:p>
<w:pPr><w:pStyle w:val="Normal"/></w:pPr>
<w:r><w:t xml:space="preserve">l.i. Hind-gut.                   Yolk-sac vestige.</w:t></w:r>
</w:p>
<w:p>
<w:pPr><w:pStyle w:val="Normal"/></w:pPr>
<w:r><w:t xml:space="preserve">have not yet sufficient exact knowledge of the gut in Pisces,</w:t></w:r>
</w:p>
<w:p>
<w:pPr><w:pStyle w:val="Normal"/></w:pPr>
<w:r><w:t xml:space="preserve">Batrachia and Reptilia to find amongst these with any</w:t></w:r>
</w:p>
<w:p>
<w:pPr><w:pStyle w:val="Normal"/></w:pPr>
<w:r><w:t xml:space="preserve">certainty the most probable survival from the ancestral</w:t></w:r>
</w:p>
<w:p>
<w:pPr><w:pStyle w:val="Normal"/></w:pPr>
<w:r><w:t xml:space="preserve">condition.  The primitive gut must be supposed to have run</w:t></w:r>
</w:p>
<w:p>
<w:pPr><w:pStyle w:val="Normal"/></w:pPr>
<w:r><w:t xml:space="preserve">backwards from the stomach to the cloaca suspended from the</w:t></w:r>
</w:p>
<w:p>
<w:pPr><w:pStyle w:val="Normal"/></w:pPr>
<w:r><w:t xml:space="preserve">dorsal wall of the body-cavity by a dorsal mesentery.  This</w:t></w:r>
</w:p>
<w:p>
<w:pPr><w:pStyle w:val="Normal"/></w:pPr>
<w:r><w:t xml:space="preserve">tract, in the course of phylogeny of the common ancestors</w:t></w:r>
</w:p>
<w:p>
<w:pPr><w:pStyle w:val="Normal"/></w:pPr>
<w:r><w:t xml:space="preserve">of birds and mammals, became longer than the straight length</w:t></w:r>
</w:p>
<w:p>
<w:pPr><w:pStyle w:val="Normal"/></w:pPr>
<w:r><w:t xml:space="preserve">between its extreme points and, consequendy, was thrown into</w:t></w:r>
</w:p>
<w:p>
<w:pPr><w:pStyle w:val="Normal"/></w:pPr>
<w:r><w:t xml:space="preserve">a series of folds.  The mesentery grew out with these folds,</w:t></w:r>
</w:p>
<w:p>
<w:pPr><w:pStyle w:val="Normal"/></w:pPr>
<w:r><w:t xml:space="preserve">but the presence of adjacent organs, the disturbance due to</w:t></w:r>
</w:p>
<w:p>
<w:pPr><w:pStyle w:val="Normal"/></w:pPr>
<w:r><w:t xml:space="preserve">the outgrowth of the liver, and the secondary relations brought</w:t></w:r>
</w:p>
<w:p>
<w:pPr><w:pStyle w:val="Normal"/></w:pPr>
<w:r><w:t xml:space="preserve">about between different portions of the gut, as the out-growing</w:t></w:r>
</w:p>
<w:p>
<w:pPr><w:pStyle w:val="Normal"/></w:pPr>
<w:r><w:t xml:space="preserve">loops invaded each other&apos;s localities, disturbed the primitive</w:t></w:r>
</w:p>
<w:p>
<w:pPr><w:pStyle w:val="Normal"/></w:pPr>
<w:r><w:t xml:space="preserve">simplicity.  Three definite regions of outgrowth, however,</w:t></w:r>
</w:p>
<w:p>
<w:pPr><w:pStyle w:val="Normal"/></w:pPr>
<w:r><w:t xml:space="preserve">became conspicuous and are to be recognized in the actual</w:t></w:r>
</w:p>
<w:p>
<w:pPr><w:pStyle w:val="Normal"/></w:pPr>
<w:r><w:t xml:space="preserve">disposition of the gut in existing birds and mammals.  The</w:t></w:r>
</w:p>
<w:p>
<w:pPr><w:pStyle w:val="Normal"/></w:pPr>
<w:r><w:t xml:space="preserve">first of these is the duodenum. In the vast majority of</w:t></w:r>
</w:p>
<w:p>
<w:pPr><w:pStyle w:val="Normal"/></w:pPr>
<w:r><w:t xml:space="preserve">birds, and in some of the simpler mammals, the portion of</w:t></w:r>
</w:p>
<w:p>
<w:pPr><w:pStyle w:val="Normal"/></w:pPr>
<w:r><w:t xml:space="preserve">the gut immediately distal of the stomach grows out into a</w:t></w:r>
</w:p>
<w:p>
<w:pPr><w:pStyle w:val="Normal"/></w:pPr>
<w:r><w:t xml:space="preserve">long and narrow loop (fig. 4, d), the proximal and distal</w:t></w:r>
</w:p>
<w:p>
<w:pPr><w:pStyle w:val="Normal"/></w:pPr>
<w:r><w:t xml:space="preserve">ends of which are close together, whilst the loop itself may</w:t></w:r>
</w:p>
<w:p>
<w:pPr><w:pStyle w:val="Normal"/></w:pPr>
<w:r><w:t xml:space="preserve">remain long and narrow, or may develop minor loops on its</w:t></w:r>
</w:p>
<w:p>
<w:pPr><w:pStyle w:val="Normal"/></w:pPr>
<w:r><w:t xml:space="preserve">course.  In mammals generally, however, the duodenum is complex</w:t></w:r>
</w:p>
<w:p>
<w:pPr><w:pStyle w:val="Normal"/></w:pPr>
<w:r><w:t xml:space="preserve">and is not so sharply marked off from the distal portion</w:t></w:r>
</w:p>
<w:p>
<w:pPr><w:pStyle w:val="Normal"/></w:pPr>
<w:r><w:t xml:space="preserve">of the gut as in birds.  The second portion is Meckel&apos;s</w:t></w:r>
</w:p>
<w:p>
<w:pPr><w:pStyle w:val="Normal"/></w:pPr>
<w:r><w:t xml:space="preserve">tract. It consists of the part generally known as the small</w:t></w:r>
</w:p>
<w:p>
<w:pPr><w:pStyle w:val="Normal"/></w:pPr>
<w:r><w:t xml:space="preserve">intestines, the jejunum and ileum of human anatomy, and</w:t></w:r>
</w:p>
<w:p>
<w:pPr><w:pStyle w:val="Normal"/></w:pPr>
<w:r><w:t xml:space="preserve">Fig. 5,--Intestinal Tract of Canis vulpes.  S, cut</w:t></w:r>
</w:p>
<w:p>
<w:pPr><w:pStyle w:val="Normal"/></w:pPr>
<w:r><w:t xml:space="preserve">end of duodenum; C, caecum; R, cut end of rectum.</w:t></w:r>
</w:p>
<w:p>
<w:pPr><w:pStyle w:val="Normal"/></w:pPr>
<w:r><w:t xml:space="preserve">stretches from the distal end of the duodenum to the caecum or</w:t></w:r>
</w:p>
<w:p>
<w:pPr><w:pStyle w:val="Normal"/></w:pPr>
<w:r><w:t xml:space="preserve">caeca.  It is the chief absorbing portion of the gut, and in nearly</w:t></w:r>
</w:p>
<w:p>
<w:pPr><w:pStyle w:val="Normal"/></w:pPr>
<w:r><w:t xml:space="preserve">all birds and mammals is the longest portion.  It represents,</w:t></w:r>
</w:p>
<w:p>
<w:pPr><w:pStyle w:val="Normal"/></w:pPr>
<w:r><w:t xml:space="preserve">however, only a very small part of the primitive straight</w:t></w:r>
</w:p>
<w:p>
<w:pPr><w:pStyle w:val="Normal"/></w:pPr>
<w:r><w:t xml:space="preserve">gut, corresponding to not more than two or three somites of the</w:t></w:r>
</w:p>
<w:p>
<w:pPr><w:pStyle w:val="Normal"/></w:pPr>
<w:r><w:t xml:space="preserve">embryo.  This narrow portion grows out to form the greater part</w:t></w:r>
</w:p>
<w:p>
<w:pPr><w:pStyle w:val="Normal"/></w:pPr>
<w:r><w:t xml:space="preserve">of what is called the pendent loop in mammalian embryology.</w:t></w:r>
</w:p>
<w:p>
<w:pPr><w:pStyle w:val="Normal"/></w:pPr>
<w:r><w:t xml:space="preserve">Its anterior or proximal end lies close to the approximated</w:t></w:r>
</w:p>
<w:p>
<w:pPr><w:pStyle w:val="Normal"/></w:pPr>
<w:r><w:t xml:space="preserve">Fig. 6.--Intestinal Tract of Macropus bennetti. S,</w:t></w:r>
</w:p>
<w:p>
<w:pPr><w:pStyle w:val="Normal"/></w:pPr>
<w:r><w:t xml:space="preserve">cut end of duodenum; R, cut end of rectum; C, caecum;</w:t></w:r>
</w:p>
<w:p>
<w:pPr><w:pStyle w:val="Normal"/></w:pPr>
<w:r><w:t xml:space="preserve">C2, accessory caecum; C.L, colic loop of hind-gut.</w:t></w:r>
</w:p>
<w:p>
<w:pPr><w:pStyle w:val="Normal"/></w:pPr>
<w:r><w:t xml:space="preserve">proximal and distal ends of the duodenal loop, whilst its</w:t></w:r>
</w:p>
<w:p>
<w:pPr><w:pStyle w:val="Normal"/></w:pPr>
<w:r><w:t xml:space="preserve">distal end passes into the hind-gut at the colic caecum or</w:t></w:r>
</w:p>
<w:p>
<w:pPr><w:pStyle w:val="Normal"/></w:pPr>
<w:r><w:t xml:space="preserve">caeca.  In the embryos of all birds and mammals, the median</w:t></w:r>
</w:p>
<w:p>
<w:pPr><w:pStyle w:val="Normal"/></w:pPr>
<w:r><w:t xml:space="preserve">point of Meckel&apos;s tract, the part of the loop which has</w:t></w:r>
</w:p>
<w:p>
<w:pPr><w:pStyle w:val="Normal"/></w:pPr>
<w:r><w:t xml:space="preserve">grown out farthest from the dorsal edge of the mesentery, is</w:t></w:r>
</w:p>
<w:p>
<w:pPr><w:pStyle w:val="Normal"/></w:pPr>
<w:r><w:t xml:space="preserve">marked by the diverticulum caecum vitelli, the primitive</w:t></w:r>
</w:p>
<w:p>
<w:pPr><w:pStyle w:val="Normal"/></w:pPr>
<w:r><w:t xml:space="preserve">connexion of the cavity of the gut with the narrowing stalk</w:t></w:r>
</w:p>
<w:p>
<w:pPr><w:pStyle w:val="Normal"/></w:pPr>
<w:r><w:t xml:space="preserve">of the yolk-sac (fig. 4, y.) Naturally, in birds where the</w:t></w:r>
</w:p>
<w:p>
<w:pPr><w:pStyle w:val="Normal"/></w:pPr>
<w:r><w:t xml:space="preserve">yolk-sac is of great functional importance this diverticulum</w:t></w:r>
</w:p>
<w:p>
<w:pPr><w:pStyle w:val="Normal"/></w:pPr>
<w:r><w:t xml:space="preserve">is large, and in a majority of the families of birds persists</w:t></w:r>
</w:p>
<w:p>
<w:pPr><w:pStyle w:val="Normal"/></w:pPr>
<w:r><w:t xml:space="preserve">throughout life, forming a convenient point of orientation.  In</w:t></w:r>
</w:p>
<w:p>
<w:pPr><w:pStyle w:val="Normal"/></w:pPr>
<w:r><w:t xml:space="preserve">mammals, no doubt in association with the functional reduction</w:t></w:r>
</w:p>
<w:p>
<w:pPr><w:pStyle w:val="Normal"/></w:pPr>
<w:r><w:t xml:space="preserve">of the yolk-sac, this diverticulum, which is known as Meckel&apos;s</w:t></w:r>
</w:p>
<w:p>
<w:pPr><w:pStyle w:val="Normal"/></w:pPr>
<w:r><w:t xml:space="preserve">diverticulum, has less importance, and whilst it has been</w:t></w:r>
</w:p>
<w:p>
<w:pPr><w:pStyle w:val="Normal"/></w:pPr>
<w:r><w:t xml:space="preserve">observed in a small percentage of adult human subjects has not</w:t></w:r>
</w:p>
<w:p>
<w:pPr><w:pStyle w:val="Normal"/></w:pPr>
<w:r><w:t xml:space="preserve">been recognized in the adult condition of any lower Mammalia.</w:t></w:r>
</w:p>
<w:p>
<w:pPr><w:pStyle w:val="Normal"/></w:pPr>
<w:r><w:t xml:space="preserve">In birds, Meckel&apos;s tract falls into minor folds or loops,</w:t></w:r>
</w:p>
<w:p>
<w:pPr><w:pStyle w:val="Normal"/></w:pPr>
<w:r><w:t xml:space="preserve">the disposition of which forms a series of patterns</w:t></w:r>
</w:p>
<w:p>
<w:pPr><w:pStyle w:val="Normal"/></w:pPr>
<w:r><w:t xml:space="preserve">remarkably different in appearance and characteristic of</w:t></w:r>
</w:p>
<w:p>
<w:pPr><w:pStyle w:val="Normal"/></w:pPr>
<w:r><w:t xml:space="preserve">different groups.  In fig. 4 an extremely primitive type is</w:t></w:r>
</w:p>
<w:p>
<w:pPr><w:pStyle w:val="Normal"/></w:pPr>
<w:r><w:t xml:space="preserve">represented.  In mammals Meckel&apos;s tract remains much more</w:t></w:r>
</w:p>
<w:p>
<w:pPr><w:pStyle w:val="Normal"/></w:pPr>
<w:r><w:t xml:space="preserve">uniform; it may be short, or increase enormously in length,</w:t></w:r>
</w:p>
<w:p>
<w:pPr><w:pStyle w:val="Normal"/></w:pPr>
<w:r><w:t xml:space="preserve">but in either case it falls into a fairly symmetrical shape,</w:t></w:r>
</w:p>
<w:p>
<w:pPr><w:pStyle w:val="Normal"/></w:pPr>
<w:r><w:t xml:space="preserve">suspended at the circumference of a nearly circular expanse</w:t></w:r>
</w:p>
<w:p>
<w:pPr><w:pStyle w:val="Normal"/></w:pPr>
<w:r><w:t xml:space="preserve">of mesentery.  Where it is short it is thrown into very</w:t></w:r>
</w:p>
<w:p>
<w:pPr><w:pStyle w:val="Normal"/></w:pPr>
<w:r><w:t xml:space="preserve">simple minor loops (figs. 5, 6 and 7); where it is long,</w:t></w:r>
</w:p>
<w:p>
<w:pPr><w:pStyle w:val="Normal"/></w:pPr>
<w:r><w:t xml:space="preserve">these minor loops form a convoluted mass (figs. 8 abd 9).</w:t></w:r>
</w:p>
<w:p>
<w:pPr><w:pStyle w:val="Normal"/></w:pPr>
<w:r><w:t xml:space="preserve">FIG. 7.--Intestinal Tract of Tapir. S, cut end of</w:t></w:r>
</w:p>
<w:p>
<w:pPr><w:pStyle w:val="Normal"/></w:pPr>
<w:r><w:t xml:space="preserve">duodenum; R, cut end of rectum; C, caecum; CL, colon.</w:t></w:r>
</w:p>
<w:p>
<w:pPr><w:pStyle w:val="Normal"/></w:pPr>
<w:r><w:t xml:space="preserve">The third portion of the gut should be termed the hind-gut and</w:t></w:r>
</w:p>
<w:p>
<w:pPr><w:pStyle w:val="Normal"/></w:pPr>
<w:r><w:t xml:space="preserve">lies between the caecum or caeca and the anus, corresponding to</w:t></w:r>
</w:p>
<w:p>
<w:pPr><w:pStyle w:val="Normal"/></w:pPr>
<w:r><w:t xml:space="preserve">the large intestines, colon and rectum of human anatomy.  It is</w:t></w:r>
</w:p>
<w:p>
<w:pPr><w:pStyle w:val="Normal"/></w:pPr>
<w:r><w:t xml:space="preserve">formed from a much larger portion of the primitive straight gut</w:t></w:r>
</w:p>
<w:p>
<w:pPr><w:pStyle w:val="Normal"/></w:pPr>
<w:r><w:t xml:space="preserve">than the duodenum and Meckel&apos;s tract together, and its proximal</w:t></w:r>
</w:p>
<w:p>
<w:pPr><w:pStyle w:val="Normal"/></w:pPr>
<w:r><w:t xml:space="preserve">portion, in consequence, lies very close to the origin of the</w:t></w:r>
</w:p>
<w:p>
<w:pPr><w:pStyle w:val="Normal"/></w:pPr>
<w:r><w:t xml:space="preserve">duodenum.  In the vast majority of birds, the hind-gut in the</w:t></w:r>
</w:p>
<w:p>
<w:pPr><w:pStyle w:val="Normal"/></w:pPr>
<w:r><w:t xml:space="preserve">adult is relatively extremely short, often being only from</w:t></w:r>
</w:p>
<w:p>
<w:pPr><w:pStyle w:val="Normal"/></w:pPr>
<w:r><w:t xml:space="preserve">Fig. 8.--Intestinal Tract of Giraffe. S, cut end of duodenum;</w:t></w:r>
</w:p>
<w:p>
<w:pPr><w:pStyle w:val="Normal"/></w:pPr>
<w:r><w:t xml:space="preserve">R, cut end of rectum; C, caecum; P.C.L, post-caecal</w:t></w:r>
</w:p>
<w:p>
<w:pPr><w:pStyle w:val="Normal"/></w:pPr>
<w:r><w:t xml:space="preserve">loop; S.P, spiral loop; SF, third loop of hind-gut.</w:t></w:r>
</w:p>
<w:p>
<w:pPr><w:pStyle w:val="Normal"/></w:pPr>
<w:r><w:t xml:space="preserve">one-eighth to one-thirtieth of the whole length of the</w:t></w:r>
</w:p>
<w:p>
<w:pPr><w:pStyle w:val="Normal"/></w:pPr>
<w:r><w:t xml:space="preserve">gut.  A certain number of primitive birds, however, have</w:t></w:r>
</w:p>
<w:p>
<w:pPr><w:pStyle w:val="Normal"/></w:pPr>
<w:r><w:t xml:space="preserve">retained a relatively long condition of the hind-gut (fig.</w:t></w:r>
</w:p>
<w:p>
<w:pPr><w:pStyle w:val="Normal"/></w:pPr>
<w:r><w:t xml:space="preserve">4), the greatest relative length occurring in struthious</w:t></w:r>
</w:p>
<w:p>
<w:pPr><w:pStyle w:val="Normal"/></w:pPr>
<w:r><w:t xml:space="preserve">birds, and particularly in the ostrich, where the hind-gut</w:t></w:r>
</w:p>
<w:p>
<w:pPr><w:pStyle w:val="Normal"/></w:pPr>
<w:r><w:t xml:space="preserve">exceeds in length the duodenum and Meckel&apos;s tract together.</w:t></w:r>
</w:p>
<w:p>
<w:pPr><w:pStyle w:val="Normal"/></w:pPr>
<w:r><w:t xml:space="preserve">Mammals may be contrasted with birds as a group in which</w:t></w:r>
</w:p>
<w:p>
<w:pPr><w:pStyle w:val="Normal"/></w:pPr>
<w:r><w:t xml:space="preserve">the hind-gut is always relatively long, sometimes extremely</w:t></w:r>
</w:p>
<w:p>
<w:pPr><w:pStyle w:val="Normal"/></w:pPr>
<w:r><w:t xml:space="preserve">long, and in which, moreover, there is a strong tendency to</w:t></w:r>
</w:p>
<w:p>
<w:pPr><w:pStyle w:val="Normal"/></w:pPr>
<w:r><w:t xml:space="preserve">differentiation of the hind-gut into regions the characters</w:t></w:r>
</w:p>
<w:p>
<w:pPr><w:pStyle w:val="Normal"/></w:pPr>
<w:r><w:t xml:space="preserve">of which are of systematic importance.  The first region is</w:t></w:r>
</w:p>
<w:p>
<w:pPr><w:pStyle w:val="Normal"/></w:pPr>
<w:r><w:t xml:space="preserve">the colon, which forms a very simple expansion in mammals</w:t></w:r>
</w:p>
<w:p>
<w:pPr><w:pStyle w:val="Normal"/></w:pPr>
<w:r><w:t xml:space="preserve">such as Carnivora (fig. 5), where the whole hind-gut is</w:t></w:r>
</w:p>
<w:p>
<w:pPr><w:pStyle w:val="Normal"/></w:pPr>
<w:r><w:t xml:space="preserve">relatively short, or a series of simple loops in mammals</w:t></w:r>
</w:p>
<w:p>
<w:pPr><w:pStyle w:val="Normal"/></w:pPr>
<w:r><w:t xml:space="preserve">in which the whole gut has a primitive disposition (e.g.</w:t></w:r>
</w:p>
<w:p>
<w:pPr><w:pStyle w:val="Normal"/></w:pPr>
<w:r><w:t xml:space="preserve">Marsupialia, fig. 6). In the odd-toed Ungulata, the colon</w:t></w:r>
</w:p>
<w:p>
<w:pPr><w:pStyle w:val="Normal"/></w:pPr>
<w:r><w:t xml:space="preserve">(fig. 7) forms an enormously long loop, the two limbs of which</w:t></w:r>
</w:p>
<w:p>
<w:pPr><w:pStyle w:val="Normal"/></w:pPr>
<w:r><w:t xml:space="preserve">are closely approximated and the calibre of which is very</w:t></w:r>
</w:p>
<w:p>
<w:pPr><w:pStyle w:val="Normal"/></w:pPr>
<w:r><w:t xml:space="preserve">large.  In Ruminantia (fig. 8) the colon is still more</w:t></w:r>
</w:p>
<w:p>
<w:pPr><w:pStyle w:val="Normal"/></w:pPr>
<w:r><w:t xml:space="preserve">highly differentiated, displaying first a simple wide loop,</w:t></w:r>
</w:p>
<w:p>
<w:pPr><w:pStyle w:val="Normal"/></w:pPr>
<w:r><w:t xml:space="preserve">then a complicated watchspring-like coil, and finally a very</w:t></w:r>
</w:p>
<w:p>
<w:pPr><w:pStyle w:val="Normal"/></w:pPr>
<w:r><w:t xml:space="preserve">long, irregular portion.  In the higher Primates (fig. 9)</w:t></w:r>
</w:p>
<w:p>
<w:pPr><w:pStyle w:val="Normal"/></w:pPr>
<w:r><w:t xml:space="preserve">it forms one enormous very wide loop, corresponding to the</w:t></w:r>
</w:p>
<w:p>
<w:pPr><w:pStyle w:val="Normal"/></w:pPr>
<w:r><w:t xml:space="preserve">ascending, transverse and descending colons of human anatomy,</w:t></w:r>
</w:p>
<w:p>
<w:pPr><w:pStyle w:val="Normal"/></w:pPr>
<w:r><w:t xml:space="preserve">and a shorter distal loop, the omega loop of human anatomy.</w:t></w:r>
</w:p>
<w:p>
<w:pPr><w:pStyle w:val="Normal"/></w:pPr>
<w:r><w:t xml:space="preserve">Other striking patterns are displayed in other mammalian groups.</w:t></w:r>
</w:p>
<w:p>
<w:pPr><w:pStyle w:val="Normal"/></w:pPr>
<w:r><w:t xml:space="preserve">The second region of the hind-gut is usually known as the rectum.</w:t></w:r>
</w:p>
<w:p>
<w:pPr><w:pStyle w:val="Normal"/></w:pPr>
<w:r><w:t xml:space="preserve">and although it is sometimes lengthened it is typically little longer</w:t></w:r>
</w:p>
<w:p>
<w:pPr><w:pStyle w:val="Normal"/></w:pPr>
<w:r><w:t xml:space="preserve">than the portion of the primitive straight gut that it represents.</w:t></w:r>
</w:p>
<w:p>
<w:pPr><w:pStyle w:val="Normal"/></w:pPr>
<w:r><w:t xml:space="preserve">FIG. 9.--Intestinal Tract of Gorilla. S, cut end of</w:t></w:r>
</w:p>
<w:p>
<w:pPr><w:pStyle w:val="Normal"/></w:pPr>
<w:r><w:t xml:space="preserve">duodenum; R, cut end of rectum; C, vermiform appendix of</w:t></w:r>
</w:p>
<w:p>
<w:pPr><w:pStyle w:val="Normal"/></w:pPr>
<w:r><w:t xml:space="preserve">caecum; X, X2, X3, cut ends of factors of the portal vein.</w:t></w:r>
</w:p>
<w:p>
<w:pPr><w:pStyle w:val="Normal"/></w:pPr>
<w:r><w:t xml:space="preserve">Adaptations of the Intestinal Tract to Function.--The chief</w:t></w:r>
</w:p>
<w:p>
<w:pPr><w:pStyle w:val="Normal"/></w:pPr>
<w:r><w:t xml:space="preserve">business of the gut is to provide a vascular surface to which</w:t></w:r>
</w:p>
<w:p>
<w:pPr><w:pStyle w:val="Normal"/></w:pPr>
<w:r><w:t xml:space="preserve">the prepared food is applied so that the nutritive material</w:t></w:r>
</w:p>
<w:p>
<w:pPr><w:pStyle w:val="Normal"/></w:pPr>
<w:r><w:t xml:space="preserve">may be absorbed into the system.  Overlying and sometimes</w:t></w:r>
</w:p>
<w:p>
<w:pPr><w:pStyle w:val="Normal"/></w:pPr>
<w:r><w:t xml:space="preserve">obscuring the morphological patterns of the gut, are many</w:t></w:r>
</w:p>
<w:p>
<w:pPr><w:pStyle w:val="Normal"/></w:pPr>
<w:r><w:t xml:space="preserve">modifications correlated with the nature of the food and</w:t></w:r>
</w:p>
<w:p>
<w:pPr><w:pStyle w:val="Normal"/></w:pPr>
<w:r><w:t xml:space="preserve">producing homoplastic resemblances independent of genetic</w:t></w:r>
</w:p>
<w:p>
<w:pPr><w:pStyle w:val="Normal"/></w:pPr>
<w:r><w:t xml:space="preserve">affinity.  Thus in birds and mammals alike there is a direct</w:t></w:r>
</w:p>
<w:p>
<w:pPr><w:pStyle w:val="Normal"/></w:pPr>
<w:r><w:t xml:space="preserve">association of herbivorous habit with great relative length of</w:t></w:r>
</w:p>
<w:p>
<w:pPr><w:pStyle w:val="Normal"/></w:pPr>
<w:r><w:t xml:space="preserve">gut.  The explanation of this, no doubt, is simply that</w:t></w:r>
</w:p>
<w:p>
<w:pPr><w:pStyle w:val="Normal"/></w:pPr>
<w:r><w:t xml:space="preserve">the vegetable matter which such creatures devour is in a</w:t></w:r>
</w:p>
<w:p>
<w:pPr><w:pStyle w:val="Normal"/></w:pPr>
<w:r><w:t xml:space="preserve">form which requires not only prolonged digestive action,</w:t></w:r>
</w:p>
<w:p>
<w:pPr><w:pStyle w:val="Normal"/></w:pPr>
<w:r><w:t xml:space="preserve">but, from the intimate admixture of indigestible material,</w:t></w:r>
</w:p>
<w:p>
<w:pPr><w:pStyle w:val="Normal"/></w:pPr>
<w:r><w:t xml:space="preserve">a very large absorbing surface.  In piscivorous birds and</w:t></w:r>
</w:p>
<w:p>
<w:pPr><w:pStyle w:val="Normal"/></w:pPr>
<w:r><w:t xml:space="preserve">mammals, the gut is very long, with a thick wall and a</w:t></w:r>
</w:p>
<w:p>
<w:pPr><w:pStyle w:val="Normal"/></w:pPr>
<w:r><w:t xml:space="preserve">relatively small calibre, whilst there is a general tendency</w:t></w:r>
</w:p>
<w:p>
<w:pPr><w:pStyle w:val="Normal"/></w:pPr>
<w:r><w:t xml:space="preserve">for the regions of the gut to be slightly or not at all</w:t></w:r>
</w:p>
<w:p>
<w:pPr><w:pStyle w:val="Normal"/></w:pPr>
<w:r><w:t xml:space="preserve">defined.  Fish, as it is eaten by wild animals, contains a</w:t></w:r>
</w:p>
<w:p>
<w:pPr><w:pStyle w:val="Normal"/></w:pPr>
<w:r><w:t xml:space="preserve">large bulk of indigestible matter, and so requires an extended</w:t></w:r>
</w:p>
<w:p>
<w:pPr><w:pStyle w:val="Normal"/></w:pPr>
<w:r><w:t xml:space="preserve">absorbing surface; the thick wall and relatively small</w:t></w:r>
</w:p>
<w:p>
<w:pPr><w:pStyle w:val="Normal"/></w:pPr>
<w:r><w:t xml:space="preserve">calibre are protections against wounding by fish bones.  In</w:t></w:r>
</w:p>
<w:p>
<w:pPr><w:pStyle w:val="Normal"/></w:pPr>
<w:r><w:t xml:space="preserve">frugivorous birds the gut is strikingly short, wide and simple,</w:t></w:r>
</w:p>
<w:p>
<w:pPr><w:pStyle w:val="Normal"/></w:pPr>
<w:r><w:t xml:space="preserve">whilst a similar change has not taken place in frugivorous</w:t></w:r>
</w:p>
<w:p>
<w:pPr><w:pStyle w:val="Normal"/></w:pPr>
<w:r><w:t xml:space="preserve">mammals.  Carnivorous birds and mammals have a relatively short</w:t></w:r>
</w:p>
<w:p>
<w:pPr><w:pStyle w:val="Normal"/></w:pPr>
<w:r><w:t xml:space="preserve">gut.  In birds, generally, the relation of the length and</w:t></w:r>
</w:p>
<w:p>
<w:pPr><w:pStyle w:val="Normal"/></w:pPr>
<w:r><w:t xml:space="preserve">calibre of the gut to the size of the whole creature is</w:t></w:r>
</w:p>
<w:p>
<w:pPr><w:pStyle w:val="Normal"/></w:pPr>
<w:r><w:t xml:space="preserve">striking.  If two birds of similar habit and of the same</w:t></w:r>
</w:p>
<w:p>
<w:pPr><w:pStyle w:val="Normal"/></w:pPr>
<w:r><w:t xml:space="preserve">group be compared, it will be found that the gut of the larger</w:t></w:r>
</w:p>
<w:p>
<w:pPr><w:pStyle w:val="Normal"/></w:pPr>
<w:r><w:t xml:space="preserve">bird is relatively longer rather than relatively wider.</w:t></w:r>
</w:p>
<w:p>
<w:pPr><w:pStyle w:val="Normal"/></w:pPr>
<w:r><w:t xml:space="preserve">The same general rule applies to Meckel&apos;s tract in mammals,</w:t></w:r>
</w:p>
<w:p>
<w:pPr><w:pStyle w:val="Normal"/></w:pPr>
<w:r><w:t xml:space="preserve">whereas in the case of the hind-gut increase of capacity is</w:t></w:r>
</w:p>
<w:p>
<w:pPr><w:pStyle w:val="Normal"/></w:pPr>
<w:r><w:t xml:space="preserve">given by increase of calibre rather than by increased length.</w:t></w:r>
</w:p>
<w:p>
<w:pPr><w:pStyle w:val="Normal"/></w:pPr>
<w:r><w:t xml:space="preserve">The Colic Caeca.--These organs lie at the junction of</w:t></w:r>
</w:p>
<w:p>
<w:pPr><w:pStyle w:val="Normal"/></w:pPr>
<w:r><w:t xml:space="preserve">the hind-gut with Meckel&apos;s tract and are homologous in</w:t></w:r>
</w:p>
<w:p>
<w:pPr><w:pStyle w:val="Normal"/></w:pPr>
<w:r><w:t xml:space="preserve">birds and mammals although it happens that their apparent</w:t></w:r>
</w:p>
<w:p>
<w:pPr><w:pStyle w:val="Normal"/></w:pPr>
<w:r><w:t xml:space="preserve">position differs in the majority of cases in the two</w:t></w:r>
</w:p>
<w:p>
<w:pPr><w:pStyle w:val="Normal"/></w:pPr>
<w:r><w:t xml:space="preserve">groups.  In most birds, the hind-gut is relatively very</w:t></w:r>
</w:p>
<w:p>
<w:pPr><w:pStyle w:val="Normal"/></w:pPr>
<w:r><w:t xml:space="preserve">short, and the caecal position, accordingly, is at a very</w:t></w:r>
</w:p>
<w:p>
<w:pPr><w:pStyle w:val="Normal"/></w:pPr>
<w:r><w:t xml:space="preserve">short distance from the posterior end of the body. whereas</w:t></w:r>
</w:p>
<w:p>
<w:pPr><w:pStyle w:val="Normal"/></w:pPr>
<w:r><w:t xml:space="preserve">in most mammals the hind-gut is very long and the position of</w:t></w:r>
</w:p>
<w:p>
<w:pPr><w:pStyle w:val="Normal"/></w:pPr>
<w:r><w:t xml:space="preserve">the caecum or caeca is relatively very much farther from the</w:t></w:r>
</w:p>
<w:p>
<w:pPr><w:pStyle w:val="Normal"/></w:pPr>
<w:r><w:t xml:space="preserve">anus.  Next, in most birds, the caeca when present are</w:t></w:r>
</w:p>
<w:p>
<w:pPr><w:pStyle w:val="Normal"/></w:pPr>
<w:r><w:t xml:space="preserve">paired, whereas in most mammals there is only a single</w:t></w:r>
</w:p>
<w:p>
<w:pPr><w:pStyle w:val="Normal"/></w:pPr>
<w:r><w:t xml:space="preserve">caecum.  On the other hand, in certain birds (herons) as a</w:t></w:r>
</w:p>
<w:p>
<w:pPr><w:pStyle w:val="Normal"/></w:pPr>
<w:r><w:t xml:space="preserve">normal occurrence, and in many birds as an individual variation,</w:t></w:r>
</w:p>
<w:p>
<w:pPr><w:pStyle w:val="Normal"/></w:pPr>
<w:r><w:t xml:space="preserve">only a single caecum occurs.  In some mammals, e.g. many</w:t></w:r>
</w:p>
<w:p>
<w:pPr><w:pStyle w:val="Normal"/></w:pPr>
<w:r><w:t xml:space="preserve">armadillos, in Hyrax and the manatee, the caeca are normally</w:t></w:r>
</w:p>
<w:p>
<w:pPr><w:pStyle w:val="Normal"/></w:pPr>
<w:r><w:t xml:space="preserve">paired; in many other (e.g. some rodents and marsupials)</w:t></w:r>
</w:p>
<w:p>
<w:pPr><w:pStyle w:val="Normal"/></w:pPr>
<w:r><w:t xml:space="preserve">in addition to the normal caecum there is a reduced second</w:t></w:r>
</w:p>
<w:p>
<w:pPr><w:pStyle w:val="Normal"/></w:pPr>
<w:r><w:t xml:space="preserve">caecum, whilst in quite a number of forms the relation of</w:t></w:r>
</w:p>
<w:p>
<w:pPr><w:pStyle w:val="Normal"/></w:pPr>
<w:r><w:t xml:space="preserve">the caecum, ileum and colon at their junction is readily</w:t></w:r>
</w:p>
<w:p>
<w:pPr><w:pStyle w:val="Normal"/></w:pPr>
<w:r><w:t xml:space="preserve">intelligible on the assumption that the caeca were originally</w:t></w:r>
</w:p>
<w:p>
<w:pPr><w:pStyle w:val="Normal"/></w:pPr>
<w:r><w:t xml:space="preserve">paired.  The origin and many of the peculiarities of the</w:t></w:r>
</w:p>
<w:p>
<w:pPr><w:pStyle w:val="Normal"/></w:pPr>
<w:r><w:t xml:space="preserve">ileo-caecal valve find their best explanation on this hypothesis.</w:t></w:r>
</w:p>
<w:p>
<w:pPr><w:pStyle w:val="Normal"/></w:pPr>
<w:r><w:t xml:space="preserve">The caeca are hollow outgrowths of the wall of the gut, the</w:t></w:r>
</w:p>
<w:p>
<w:pPr><w:pStyle w:val="Normal"/></w:pPr>
<w:r><w:t xml:space="preserve">blind ends being directed forwards.  The caecal wall is in</w:t></w:r>
</w:p>
<w:p>
<w:pPr><w:pStyle w:val="Normal"/></w:pPr>
<w:r><w:t xml:space="preserve">most cases highly glandular and contains masses of lymphoid</w:t></w:r>
</w:p>
<w:p>
<w:pPr><w:pStyle w:val="Normal"/></w:pPr>
<w:r><w:t xml:space="preserve">tissue.  In birds and in mammals this tissue may be so</w:t></w:r>
</w:p>
<w:p>
<w:pPr><w:pStyle w:val="Normal"/></w:pPr>
<w:r><w:t xml:space="preserve">greatly increased as to transform the caecum into a solid</w:t></w:r>
</w:p>
<w:p>
<w:pPr><w:pStyle w:val="Normal"/></w:pPr>
<w:r><w:t xml:space="preserve">or nearly solid sac, the calibre of which is for the most</w:t></w:r>
</w:p>
<w:p>
<w:pPr><w:pStyle w:val="Heading1"/></w:pPr>
<w:r><w:t>part smaller than that of the unmodified caecum.  In some</w:t></w:r>
</w:p>
<w:p>
<w:pPr><w:pStyle w:val="Normal"/></w:pPr>
<w:r><w:t xml:space="preserve">birds, the whole area of the caecum may be modified in</w:t></w:r>
</w:p>
<w:p>
<w:pPr><w:pStyle w:val="Normal"/></w:pPr>
<w:r><w:t xml:space="preserve">this way; in mammals, it is generally the terminal portion,</w:t></w:r>
</w:p>
<w:p>
<w:pPr><w:pStyle w:val="Normal"/></w:pPr>
<w:r><w:t xml:space="preserve">which then becomes the vermiform appendix, familiar in</w:t></w:r>
</w:p>
<w:p>
<w:pPr><w:pStyle w:val="Normal"/></w:pPr>
<w:r><w:t xml:space="preserve">the anthropoid apes, in man and in some rodents.  It is</w:t></w:r>
</w:p>
<w:p>
<w:pPr><w:pStyle w:val="Normal"/></w:pPr>
<w:r><w:t xml:space="preserve">difficult to see in this modification merely a degeneration;</w:t></w:r>
</w:p>
<w:p>
<w:pPr><w:pStyle w:val="Normal"/></w:pPr>
<w:r><w:t xml:space="preserve">not improbably it is the formation of a new glandular organ.</w:t></w:r>
</w:p>
<w:p>
<w:pPr><w:pStyle w:val="Normal"/></w:pPr>
<w:r><w:t xml:space="preserve">The caeca exhibit almost every gradation of development,</w:t></w:r>
</w:p>
<w:p>
<w:pPr><w:pStyle w:val="Normal"/></w:pPr>
<w:r><w:t xml:space="preserve">from relatively enormous size to complete absence, and there</w:t></w:r>
</w:p>
<w:p>
<w:pPr><w:pStyle w:val="Normal"/></w:pPr>
<w:r><w:t xml:space="preserve">is no definite, invariable connexion between the nature of</w:t></w:r>
</w:p>
<w:p>
<w:pPr><w:pStyle w:val="Normal"/></w:pPr>
<w:r><w:t xml:space="preserve">the food and the degree of their development.  In the case</w:t></w:r>
</w:p>
<w:p>
<w:pPr><w:pStyle w:val="Normal"/></w:pPr>
<w:r><w:t xml:space="preserve">of birds, it may be said that on the whole the caeca are</w:t></w:r>
</w:p>
<w:p>
<w:pPr><w:pStyle w:val="Normal"/></w:pPr>
<w:r><w:t xml:space="preserve">generally large in herbivorous forms and generally small in</w:t></w:r>
</w:p>
<w:p>
<w:pPr><w:pStyle w:val="Normal"/></w:pPr>
<w:r><w:t xml:space="preserve">insectivorous, frugivorous, carnivorous and piscivorous</w:t></w:r>
</w:p>
<w:p>
<w:pPr><w:pStyle w:val="Normal"/></w:pPr>
<w:r><w:t xml:space="preserve">forms, but there are many exceptions.  Thus, owls and falcons</w:t></w:r>
</w:p>
<w:p>
<w:pPr><w:pStyle w:val="Normal"/></w:pPr>
<w:r><w:t xml:space="preserve">have a diet that is closely similar, and yet owls have a</w:t></w:r>
</w:p>
<w:p>
<w:pPr><w:pStyle w:val="Normal"/></w:pPr>
<w:r><w:t xml:space="preserve">pair of very long caeca, whilst in the Falconidae these</w:t></w:r>
</w:p>
<w:p>
<w:pPr><w:pStyle w:val="Normal"/></w:pPr>
<w:r><w:t xml:space="preserve">organs are much reduced and apparently functionless.  The</w:t></w:r>
</w:p>
<w:p>
<w:pPr><w:pStyle w:val="Normal"/></w:pPr>
<w:r><w:t xml:space="preserve">insectivorous and omnivorous rollers, motmots and bee-eaters</w:t></w:r>
</w:p>
<w:p>
<w:pPr><w:pStyle w:val="Normal"/></w:pPr>
<w:r><w:t xml:space="preserve">have a pair of large caeca, whilst in passerine birds of</w:t></w:r>
</w:p>
<w:p>
<w:pPr><w:pStyle w:val="Normal"/></w:pPr>
<w:r><w:t xml:space="preserve">similar habit the caeca are vestigial glandular nipples.  It</w:t></w:r>
</w:p>
<w:p>
<w:pPr><w:pStyle w:val="Normal"/></w:pPr>
<w:r><w:t xml:space="preserve">is impossible to doubt that family history dominates in this</w:t></w:r>
</w:p>
<w:p>
<w:pPr><w:pStyle w:val="Normal"/></w:pPr>
<w:r><w:t xml:space="preserve">matter.  Certain families tend to retain the caeca, others</w:t></w:r>
</w:p>
<w:p>
<w:pPr><w:pStyle w:val="Normal"/></w:pPr>
<w:r><w:t xml:space="preserve">to lose them, and direct adaptation to diet appears only to</w:t></w:r>
</w:p>
<w:p>
<w:pPr><w:pStyle w:val="Normal"/></w:pPr>
<w:r><w:t xml:space="preserve">accelerate or retard these inherited tendencies.  So also</w:t></w:r>
</w:p>
<w:p>
<w:pPr><w:pStyle w:val="Normal"/></w:pPr>
<w:r><w:t xml:space="preserve">in mammals, no more than a general relation between diet</w:t></w:r>
</w:p>
<w:p>
<w:pPr><w:pStyle w:val="Normal"/></w:pPr>
<w:r><w:t xml:space="preserve">and caecal development can be shown to exist, although the</w:t></w:r>
</w:p>
<w:p>
<w:pPr><w:pStyle w:val="Normal"/></w:pPr>
<w:r><w:t xml:space="preserve">large size of the single caecum of mammals is more closely</w:t></w:r>
</w:p>
<w:p>
<w:pPr><w:pStyle w:val="Normal"/></w:pPr>
<w:r><w:t xml:space="preserve">associated with a herbivorous as opposed to a carnivorous,</w:t></w:r>
</w:p>
<w:p>
<w:pPr><w:pStyle w:val="Normal"/></w:pPr>
<w:r><w:t xml:space="preserve">frugivorous, piscivorous or omnivorous diet than is the case in</w:t></w:r>
</w:p>
<w:p>
<w:pPr><w:pStyle w:val="Normal"/></w:pPr>
<w:r><w:t xml:space="preserve">birds.  There is no relationship between diet and the complete</w:t></w:r>
</w:p>
<w:p>
<w:pPr><w:pStyle w:val="Normal"/></w:pPr>
<w:r><w:t xml:space="preserve">or partial presence of both members of the primi-pair of caeca in</w:t></w:r>
</w:p>
<w:p>
<w:pPr><w:pStyle w:val="Normal"/></w:pPr>
<w:r><w:t xml:space="preserve">mammals, the occurrence of the pair being rather an ``accident&apos;&apos;</w:t></w:r>
</w:p>
<w:p>
<w:pPr><w:pStyle w:val="Normal"/></w:pPr>
<w:r><w:t xml:space="preserve">of inheritance than in any direct relation to function.</w:t></w:r>
</w:p>
<w:p>
<w:pPr><w:pStyle w:val="Normal"/></w:pPr>
<w:r><w:t xml:space="preserve">LITERATURE.--T.  W. Bridge, in The Cambridge Natural History</w:t></w:r>
</w:p>
<w:p>
<w:pPr><w:pStyle w:val="Normal"/></w:pPr>
<w:r><w:t xml:space="preserve">(vol. vii).; D. S. Jordan, A Guide to the Study of Fishes; R.</w:t></w:r>
</w:p>
<w:p>
<w:pPr><w:pStyle w:val="Normal"/></w:pPr>
<w:r><w:t xml:space="preserve">Owen, Anatomy of Vertebrates; M. Weber, Die Saugethiere;</w:t></w:r>
</w:p>
<w:p>
<w:pPr><w:pStyle w:val="Normal"/></w:pPr>
<w:r><w:t xml:space="preserve">W. H. Flower, The Organs of Digestien in Mammalia; R.</w:t></w:r>
</w:p>
<w:p>
<w:pPr><w:pStyle w:val="Normal"/></w:pPr>
<w:r><w:t xml:space="preserve">Wiedersheim, Lehrbuch der vergleichenden Anatomie der</w:t></w:r>
</w:p>
<w:p>
<w:pPr><w:pStyle w:val="Normal"/></w:pPr>
<w:r><w:t xml:space="preserve">Wirbelthiere; A. Oppel, Lehrbuch der vergleichenden</w:t></w:r>
</w:p>
<w:p>
<w:pPr><w:pStyle w:val="Normal"/></w:pPr>
<w:r><w:t xml:space="preserve">mikroskopischen Anatomie der Wirbelthiere; Chalmers Mitchell,</w:t></w:r>
</w:p>
<w:p>
<w:pPr><w:pStyle w:val="Normal"/></w:pPr>
<w:r><w:t xml:space="preserve">``The Intestinal Tract of Birds,&apos;&apos; Transactions of the</w:t></w:r>
</w:p>
<w:p>
<w:pPr><w:pStyle w:val="Normal"/></w:pPr>
<w:r><w:t xml:space="preserve">Linn.  Soc. of London (vol. viii., 1901); and ``On the</w:t></w:r>
</w:p>
<w:p>
<w:pPr><w:pStyle w:val="Normal"/></w:pPr>
<w:r><w:t xml:space="preserve">Intestinal Tract of Mammals,&apos;&apos; Transactions of the Zool.</w:t></w:r>
</w:p>
<w:p>
<w:pPr><w:pStyle w:val="Normal"/></w:pPr>
<w:r><w:t xml:space="preserve">Soc. of London (vol. xvii., 1905). (In the two latter</w:t></w:r>
</w:p>
<w:p>
<w:pPr><w:pStyle w:val="Normal"/></w:pPr>
<w:r><w:t xml:space="preserve">memoirs a fuller list of literature is given.) (P. C. M.)</w:t></w:r>
</w:p>
<w:p>
<w:pPr><w:pStyle w:val="Normal"/></w:pPr>
<w:r><w:t xml:space="preserve">ALIMONY (from Lat. afere, to nourish), in law the</w:t></w:r>
</w:p>
<w:p>
<w:pPr><w:pStyle w:val="Normal"/></w:pPr>
<w:r><w:t xml:space="preserve">allowance for maintenance to which a wife is entitled out of</w:t></w:r>
</w:p>
<w:p>
<w:pPr><w:pStyle w:val="Normal"/></w:pPr>
<w:r><w:t xml:space="preserve">her husband&apos;s estate for her support on a decree for judicial</w:t></w:r>
</w:p>
<w:p>
<w:pPr><w:pStyle w:val="Normal"/></w:pPr>
<w:r><w:t xml:space="preserve">separation or for the dissolution of the marriage.  Though,</w:t></w:r>
</w:p>
<w:p>
<w:pPr><w:pStyle w:val="Normal"/></w:pPr>
<w:r><w:t xml:space="preserve">as a rule, payable to a wife, it may, if the circumstances</w:t></w:r>
</w:p>
<w:p>
<w:pPr><w:pStyle w:val="Normal"/></w:pPr>
<w:r><w:t xml:space="preserve">of the case warrant it, be payable by the wife to the</w:t></w:r>
</w:p>
<w:p>
<w:pPr><w:pStyle w:val="Normal"/></w:pPr>
<w:r><w:t xml:space="preserve">husband.  Alimony is of two kinds, (a) temporary (pendente</w:t></w:r>
</w:p>
<w:p>
<w:pPr><w:pStyle w:val="Normal"/></w:pPr>
<w:r><w:t xml:space="preserve">lite), and (b) permanent. Temporary alimony, or alimony</w:t></w:r>
</w:p>
<w:p>
<w:pPr><w:pStyle w:val="Normal"/></w:pPr>
<w:r><w:t xml:space="preserve">pending suit, is the provision made by the husband for the</w:t></w:r>
</w:p>
<w:p>
<w:pPr><w:pStyle w:val="Normal"/></w:pPr>
<w:r><w:t xml:space="preserve">wife in causes between them to enable her to live during the</w:t></w:r>
</w:p>
<w:p>
<w:pPr><w:pStyle w:val="Normal"/></w:pPr>
<w:r><w:t xml:space="preserve">progress of the suit, and is allowed whether the suit is by</w:t></w:r>
</w:p>
<w:p>
<w:pPr><w:pStyle w:val="Normal"/></w:pPr>
<w:r><w:t xml:space="preserve">or against the husband and whatever the nature of the suit may</w:t></w:r>
</w:p>
<w:p>
<w:pPr><w:pStyle w:val="Normal"/></w:pPr>
<w:r><w:t xml:space="preserve">be.  The usual English practice is to allot as temporary</w:t></w:r>
</w:p>
<w:p>
<w:pPr><w:pStyle w:val="Normal"/></w:pPr>
<w:r><w:t xml:space="preserve">alimony about one-fifth of the husband&apos;s net income; where</w:t></w:r>
</w:p>
<w:p>
<w:pPr><w:pStyle w:val="Normal"/></w:pPr>
<w:r><w:t xml:space="preserve">it appears that the husband has no means or is in insolvent</w:t></w:r>
</w:p>
<w:p>
<w:pPr><w:pStyle w:val="Normal"/></w:pPr>
<w:r><w:t xml:space="preserve">circumstances, the court will refuse to allot temporary</w:t></w:r>
</w:p>
<w:p>
<w:pPr><w:pStyle w:val="Normal"/></w:pPr>
<w:r><w:t xml:space="preserve">alimony.  So where the wife is supporting herself by her own</w:t></w:r>
</w:p>
<w:p>
<w:pPr><w:pStyle w:val="Normal"/></w:pPr>
<w:r><w:t xml:space="preserve">earnings, this fact will be taken into consideration.  And</w:t></w:r>
</w:p>
<w:p>
<w:pPr><w:pStyle w:val="Normal"/></w:pPr>
<w:r><w:t xml:space="preserve">where the wife and husband have lived apart for many years</w:t></w:r>
</w:p>
<w:p>
<w:pPr><w:pStyle w:val="Normal"/></w:pPr>
<w:r><w:t xml:space="preserve">before the institution of the suit, and she has supported</w:t></w:r>
</w:p>
<w:p>
<w:pPr><w:pStyle w:val="Normal"/></w:pPr>
<w:r><w:t xml:space="preserve">herself during the separation, no alimony will be allotted.  Nor</w:t></w:r>
</w:p>
<w:p>
<w:pPr><w:pStyle w:val="Normal"/></w:pPr>
<w:r><w:t xml:space="preserve">will the wife be entitled to alimony where she has sufficient</w:t></w:r>
</w:p>
<w:p>
<w:pPr><w:pStyle w:val="Normal"/></w:pPr>
<w:r><w:t xml:space="preserve">means of support independent of her husband. Permanent</w:t></w:r>
</w:p>
<w:p>
<w:pPr><w:pStyle w:val="Normal"/></w:pPr>
<w:r><w:t xml:space="preserve">alimony is that which is allotted to the wife after final</w:t></w:r>
</w:p>
<w:p>
<w:pPr><w:pStyle w:val="Normal"/></w:pPr>
<w:r><w:t xml:space="preserve">decree.  By the Matrimonial Causes Act 1907, the court may,</w:t></w:r>
</w:p>
<w:p>
<w:pPr><w:pStyle w:val="Normal"/></w:pPr>
<w:r><w:t xml:space="preserve">if it think fit, on any decree for dissolution or nullity of</w:t></w:r>
</w:p>
<w:p>
<w:pPr><w:pStyle w:val="Normal"/></w:pPr>
<w:r><w:t xml:space="preserve">marriage, order that the husband shall, to the satisfaction</w:t></w:r>
</w:p>
<w:p>
<w:pPr><w:pStyle w:val="Normal"/></w:pPr>
<w:r><w:t xml:space="preserve">of the court, secure to the wife such a gross sum of money or</w:t></w:r>
</w:p>
<w:p>
<w:pPr><w:pStyle w:val="Normal"/></w:pPr>
<w:r><w:t xml:space="preserve">such annual sum of money for any term not exceeding her life,</w:t></w:r>
</w:p>
<w:p>
<w:pPr><w:pStyle w:val="Normal"/></w:pPr>
<w:r><w:t xml:space="preserve">as having regard to her fortune (if any), to the ability of</w:t></w:r>
</w:p>
<w:p>
<w:pPr><w:pStyle w:val="Normal"/></w:pPr>
<w:r><w:t xml:space="preserve">her husband, and to the conduct of the parties, it may deem</w:t></w:r>
</w:p>
<w:p>
<w:pPr><w:pStyle w:val="Normal"/></w:pPr>
<w:r><w:t xml:space="preserve">reasonable.  The court may suspend the pronouncing of its</w:t></w:r>
</w:p>
<w:p>
<w:pPr><w:pStyle w:val="Normal"/></w:pPr>
<w:r><w:t xml:space="preserve">decree until a proper deed or instrument has been executed by</w:t></w:r>
</w:p>
<w:p>
<w:pPr><w:pStyle w:val="Normal"/></w:pPr>
<w:r><w:t xml:space="preserve">all necessary parties.  The court may also make an order on the</w:t></w:r>
</w:p>
<w:p>
<w:pPr><w:pStyle w:val="Normal"/></w:pPr>
<w:r><w:t xml:space="preserve">husband for payment to the wife during their joint lives of a</w:t></w:r>
</w:p>
<w:p>
<w:pPr><w:pStyle w:val="Normal"/></w:pPr>
<w:r><w:t xml:space="preserve">reasonable monthly or weekly sum for her maintenance; the court</w:t></w:r>
</w:p>
<w:p>
<w:pPr><w:pStyle w:val="Normal"/></w:pPr>
<w:r><w:t xml:space="preserve">may also at any time discharge, modify, suspend or increase</w:t></w:r>
</w:p>
<w:p>
<w:pPr><w:pStyle w:val="Normal"/></w:pPr>
<w:r><w:t xml:space="preserve">the order according to the altered means of the husband; the</w:t></w:r>
</w:p>
<w:p>
<w:pPr><w:pStyle w:val="Normal"/></w:pPr>
<w:r><w:t xml:space="preserve">court has also power to make provision for children.  Alimony</w:t></w:r>
</w:p>
<w:p>
<w:pPr><w:pStyle w:val="Normal"/></w:pPr>
<w:r><w:t xml:space="preserve">is paid direct to the wife or to a trustee or trustees on her</w:t></w:r>
</w:p>
<w:p>
<w:pPr><w:pStyle w:val="Normal"/></w:pPr>
<w:r><w:t xml:space="preserve">behalf, but the court may impose any restrictions which seem</w:t></w:r>
</w:p>
<w:p>
<w:pPr><w:pStyle w:val="Normal"/></w:pPr>
<w:r><w:t xml:space="preserve">expedient.  We may also describe as a kind of alimony the</w:t></w:r>
</w:p>
<w:p>
<w:pPr><w:pStyle w:val="Normal"/></w:pPr>
<w:r><w:t xml:space="preserve">allowance of a reasonable weekly sum not exceeding L. 2 which</w:t></w:r>
</w:p>
<w:p>
<w:pPr><w:pStyle w:val="Normal"/></w:pPr>
<w:r><w:t xml:space="preserve">in England, under the Summary Jurisdiction (Married Women)</w:t></w:r>
</w:p>
<w:p>
<w:pPr><w:pStyle w:val="Normal"/></w:pPr>
<w:r><w:t xml:space="preserve">Act 1895, may be given to a married woman on applying to</w:t></w:r>
</w:p>
<w:p>
<w:pPr><w:pStyle w:val="Normal"/></w:pPr>
<w:r><w:t xml:space="preserve">a court of summary jurisdiction if she has been forced by</w:t></w:r>
</w:p>
<w:p>
<w:pPr><w:pStyle w:val="Normal"/></w:pPr>
<w:r><w:t xml:space="preserve">cruelty to leave her husband or has been deserted by him.</w:t></w:r>
</w:p>
<w:p>
<w:pPr><w:pStyle w:val="Normal"/></w:pPr>
<w:r><w:t xml:space="preserve">United States.--Alimony is granted by the courts of the</w:t></w:r>
</w:p>
<w:p>
<w:pPr><w:pStyle w:val="Normal"/></w:pPr>
<w:r><w:t xml:space="preserve">several states on much the same principle as in England, though</w:t></w:r>
</w:p>
<w:p>
<w:pPr><w:pStyle w:val="Normal"/></w:pPr>
<w:r><w:t xml:space="preserve">in many states the courts of equity as such may grant alimony</w:t></w:r>
</w:p>
<w:p>
<w:pPr><w:pStyle w:val="Normal"/></w:pPr>
<w:r><w:t xml:space="preserve">without divorce or separation proceedings independently of</w:t></w:r>
</w:p>
<w:p>
<w:pPr><w:pStyle w:val="Normal"/></w:pPr>
<w:r><w:t xml:space="preserve">any statute, on the ground that it is just that the husband</w:t></w:r>
</w:p>
<w:p>
<w:pPr><w:pStyle w:val="Normal"/></w:pPr>
<w:r><w:t xml:space="preserve">should support his wife when she lives apart from him for his</w:t></w:r>
</w:p>
<w:p>
<w:pPr><w:pStyle w:val="Normal"/></w:pPr>
<w:r><w:t xml:space="preserve">fault, and since the courts of common law provide no remedy</w:t></w:r>
</w:p>
<w:p>
<w:pPr><w:pStyle w:val="Normal"/></w:pPr>
<w:r><w:t xml:space="preserve">the courts of equity will.  This is so in Alabama (Brady v.</w:t></w:r>
</w:p>
<w:p>
<w:pPr><w:pStyle w:val="Normal"/></w:pPr>
<w:r><w:t xml:space="preserve">Brady, 1905, 39 So. Rep. 237), Kentucky, North Carolina, Iowa,</w:t></w:r>
</w:p>
<w:p>
<w:pPr><w:pStyle w:val="Normal"/></w:pPr>
<w:r><w:t xml:space="preserve">California, Ohio, Virginia, South Dakota and the District of</w:t></w:r>
</w:p>
<w:p>
<w:pPr><w:pStyle w:val="Normal"/></w:pPr>
<w:r><w:t xml:space="preserve">Columbia.  In other states alimony without such proceedings</w:t></w:r>
</w:p>
<w:p>
<w:pPr><w:pStyle w:val="Normal"/></w:pPr>
<w:r><w:t xml:space="preserve">is allowed by statute, and such alimony is now very general</w:t></w:r>
</w:p>
<w:p>
<w:pPr><w:pStyle w:val="Normal"/></w:pPr>
<w:r><w:t xml:space="preserve">throughout the United States.  The usual grounds for the</w:t></w:r>
</w:p>
<w:p>
<w:pPr><w:pStyle w:val="Normal"/></w:pPr>
<w:r><w:t xml:space="preserve">allowance of it are desertion and such conduct as would amount</w:t></w:r>
</w:p>
<w:p>
<w:pPr><w:pStyle w:val="Normal"/></w:pPr>
<w:r><w:t xml:space="preserve">to legal cruelty.  After divorce a vinculo, alimony or</w:t></w:r>
</w:p>
<w:p>
<w:pPr><w:pStyle w:val="Normal"/></w:pPr>
<w:r><w:t xml:space="preserve">separate maintenance is sometimes granted on good reason.</w:t></w:r>
</w:p>
<w:p>
<w:pPr><w:pStyle w:val="Normal"/></w:pPr>
<w:r><w:t xml:space="preserve">The marriage must be proven as a fact, but a ``common law&apos;&apos;</w:t></w:r>
</w:p>
<w:p>
<w:pPr><w:pStyle w:val="Normal"/></w:pPr>
<w:r><w:t xml:space="preserve">marriage, i.e. one established by cohabitation and repute, is</w:t></w:r>
</w:p>
<w:p>
<w:pPr><w:pStyle w:val="Normal"/></w:pPr>
<w:r><w:t xml:space="preserve">sufficient.  In several states alimony or maintenance is by</w:t></w:r>
</w:p>
<w:p>
<w:pPr><w:pStyle w:val="Normal"/></w:pPr>
<w:r><w:t xml:space="preserve">statute allowed to the husband in certain cases out of the wife&apos;s</w:t></w:r>
</w:p>
<w:p>
<w:pPr><w:pStyle w:val="Normal"/></w:pPr>
<w:r><w:t xml:space="preserve">property.  This is so in Massachusetts, Virginia, Rhode Island and</w:t></w:r>
</w:p>
<w:p>
<w:pPr><w:pStyle w:val="Normal"/></w:pPr>
<w:r><w:t xml:space="preserve">Iowa.  In Oregon he is entitled to one-third of his wife&apos;s</w:t></w:r>
</w:p>
<w:p>
<w:pPr><w:pStyle w:val="Normal"/></w:pPr>
<w:r><w:t xml:space="preserve">real estate in addition to maintenance on divorce for her</w:t></w:r>
</w:p>
<w:p>
<w:pPr><w:pStyle w:val="Normal"/></w:pPr>
<w:r><w:t xml:space="preserve">fault.  The amount of alimony depends upon the circumstances of</w:t></w:r>
</w:p>
<w:p>
<w:pPr><w:pStyle w:val="Normal"/></w:pPr>
<w:r><w:t xml:space="preserve">each case as in England.  Permanent alimony is generally more</w:t></w:r>
</w:p>
<w:p>
<w:pPr><w:pStyle w:val="Normal"/></w:pPr>
<w:r><w:t xml:space="preserve">than when pendenite lite, and usually one-third the husband&apos;s</w:t></w:r>
</w:p>
<w:p>
<w:pPr><w:pStyle w:val="Normal"/></w:pPr>
<w:r><w:t xml:space="preserve">income.  It may generally be changed from time to time as the</w:t></w:r>
</w:p>
<w:p>
<w:pPr><w:pStyle w:val="Normal"/></w:pPr>
<w:r><w:t xml:space="preserve">circumstances of the parties change.  Judgment for alimony is</w:t></w:r>
</w:p>
<w:p>
<w:pPr><w:pStyle w:val="Normal"/></w:pPr>
<w:r><w:t xml:space="preserve">considered a judgment in personam and not in rem, and can</w:t></w:r>
</w:p>
<w:p>
<w:pPr><w:pStyle w:val="Normal"/></w:pPr>
<w:r><w:t xml:space="preserve">only be enforced outside the state where rendered in case the</w:t></w:r>
</w:p>
<w:p>
<w:pPr><w:pStyle w:val="Normal"/></w:pPr>
<w:r><w:t xml:space="preserve">husband has been personally served with process within that</w:t></w:r>
</w:p>
<w:p>
<w:pPr><w:pStyle w:val="Normal"/></w:pPr>
<w:r><w:t xml:space="preserve">state.  The remarriage of the man is not sufficient ground for</w:t></w:r>
</w:p>
<w:p>
<w:pPr><w:pStyle w:val="Normal"/></w:pPr>
<w:r><w:t xml:space="preserve">reducing the alimony (Smith v. Smith, 1905, 102 N.W. Rep.</w:t></w:r>
</w:p>
<w:p>
<w:pPr><w:pStyle w:val="Normal"/></w:pPr>
<w:r><w:t xml:space="preserve">631), but on remarriage of a woman to one able to support</w:t></w:r>
</w:p>
<w:p>
<w:pPr><w:pStyle w:val="Normal"/></w:pPr>
<w:r><w:t xml:space="preserve">her, her former husband being in poor circumstances, it will</w:t></w:r>
</w:p>
<w:p>
<w:pPr><w:pStyle w:val="Normal"/></w:pPr>
<w:r><w:t xml:space="preserve">be reduced (Kiralfy v. Kiralfy, 1901, 36 Wisc.  N.S. 407).</w:t></w:r>
</w:p>
<w:p>
<w:pPr><w:pStyle w:val="Normal"/></w:pPr>
<w:r><w:t xml:space="preserve">ALIN, OSCAR JOSEF (1846--1900), Swedish historian and</w:t></w:r>
</w:p>
<w:p>
<w:pPr><w:pStyle w:val="Normal"/></w:pPr>
<w:r><w:t xml:space="preserve">politician, was born at Falun on the 22nd of December 1846.</w:t></w:r>
</w:p>
<w:p>
<w:pPr><w:pStyle w:val="Normal"/></w:pPr>
<w:r><w:t xml:space="preserve">In 1872 he became docent, and in 1882 professor of political</w:t></w:r>
</w:p>
<w:p>
<w:pPr><w:pStyle w:val="Normal"/></w:pPr>
<w:r><w:t xml:space="preserve">economy at Upsala, of which university he was afterwards</w:t></w:r>
</w:p>
<w:p>
<w:pPr><w:pStyle w:val="Normal"/></w:pPr>
<w:r><w:t xml:space="preserve">rector.  In September 1888 he was elected a member of the</w:t></w:r>
</w:p>
<w:p>
<w:pPr><w:pStyle w:val="Normal"/></w:pPr>
<w:r><w:t xml:space="preserve">first chamber of the Riksdag, where he attached himself to</w:t></w:r>
</w:p>
<w:p>
<w:pPr><w:pStyle w:val="Normal"/></w:pPr>
<w:r><w:t xml:space="preserve">the conservative protectionist party, over which, from the</w:t></w:r>
</w:p>
<w:p>
<w:pPr><w:pStyle w:val="Normal"/></w:pPr>
<w:r><w:t xml:space="preserve">first, he exercised great authority.  But it is as a historian</w:t></w:r>
</w:p>
<w:p>
<w:pPr><w:pStyle w:val="Normal"/></w:pPr>
<w:r><w:t xml:space="preserve">that Alin is most remarkable.  Among his numerous works</w:t></w:r>
</w:p>
<w:p>
<w:pPr><w:pStyle w:val="Normal"/></w:pPr>
<w:r><w:t xml:space="preserve">the following are especially worthy of note: Bidrag till</w:t></w:r>
</w:p>
<w:p>
<w:pPr><w:pStyle w:val="Normal"/></w:pPr>
<w:r><w:t xml:space="preserve">svenska radets historia under. medeltiden (Upsala, 1872);</w:t></w:r>
</w:p>
<w:p>
<w:pPr><w:pStyle w:val="Normal"/></w:pPr>
<w:r><w:t xml:space="preserve">Sveriges Historia, 1511-1611 (Stockholm, 1878); Bidrag</w:t></w:r>
</w:p>
<w:p>
<w:pPr><w:pStyle w:val="Normal"/></w:pPr>
<w:r><w:t xml:space="preserve">till svenska statsrickets historia (Stockholm, 1884-1887);</w:t></w:r>
</w:p>
<w:p>
<w:pPr><w:pStyle w:val="Normal"/></w:pPr>
<w:r><w:t xml:space="preserve">Den svensk-norsk Unionen (Stockholm, 1889-1891), the best</w:t></w:r>
</w:p>
<w:p>
<w:pPr><w:pStyle w:val="Normal"/></w:pPr>
<w:r><w:t xml:space="preserve">book on the Norwego-Swedish Union question from the Swedish</w:t></w:r>
</w:p>
<w:p>
<w:pPr><w:pStyle w:val="Normal"/></w:pPr>
<w:r><w:t xml:space="preserve">point of view; Fjerde Artiklen af Fredstraktaten i Kiel</w:t></w:r>
</w:p>
<w:p>
<w:pPr><w:pStyle w:val="Normal"/></w:pPr>
<w:r><w:t xml:space="preserve">(Stockholm, 1899); Carl Johan och Sveriges yttre politik,</w:t></w:r>
</w:p>
<w:p>
<w:pPr><w:pStyle w:val="Normal"/></w:pPr>
<w:r><w:t xml:space="preserve">1810-1815 (Stockholm, 1899); Carl XIV. och Rikets Stander,</w:t></w:r>
</w:p>
<w:p>
<w:pPr><w:pStyle w:val="Normal"/></w:pPr>
<w:r><w:t xml:space="preserve">1840-1841 (Stockholm, 1893).  He also edited Sveniska</w:t></w:r>
</w:p>
<w:p>
<w:pPr><w:pStyle w:val="Normal"/></w:pPr>
<w:r><w:t xml:space="preserve">Riksdagsakter, 1521-1554 (Stockholm, 1887), in conjunction</w:t></w:r>
</w:p>
<w:p>
<w:pPr><w:pStyle w:val="Normal"/></w:pPr>
<w:r><w:t xml:space="preserve">with E. Hildebrand, and Sveriges Grundlagar (Stockholm,</w:t></w:r>
</w:p>
<w:p>
<w:pPr><w:pStyle w:val="Normal"/></w:pPr>
<w:r><w:t xml:space="preserve">1892).  He died at Upsala on the 31st of December 1900.</w:t></w:r>
</w:p>
<w:p>
<w:pPr><w:pStyle w:val="Normal"/></w:pPr>
<w:r><w:t xml:space="preserve">Obituary notice in Sv. Hist.  Tidssk. (1901). (R. N. B.)</w:t></w:r>
</w:p>
<w:p>
<w:pPr><w:pStyle w:val="Normal"/></w:pPr>
<w:r><w:t xml:space="preserve">ALIPUR, a suburb of Calcutta, containing Belvedere</w:t></w:r>
</w:p>
<w:p>
<w:pPr><w:pStyle w:val="Normal"/></w:pPr>
<w:r><w:t xml:space="preserve">House, the official residence of the lieutenant-governor of</w:t></w:r>
</w:p>
<w:p>
<w:pPr><w:pStyle w:val="Normal"/></w:pPr>
<w:r><w:t xml:space="preserve">Bengal, and a number of handsome mansions.  It lies within</w:t></w:r>
</w:p>
<w:p>
<w:pPr><w:pStyle w:val="Normal"/></w:pPr>
<w:r><w:t xml:space="preserve">the limits of the south suburban municipality, and is a</w:t></w:r>
</w:p>
<w:p>
<w:pPr><w:pStyle w:val="Normal"/></w:pPr>
<w:r><w:t xml:space="preserve">cantonment of native troops.  On the Calcutta maidan,</w:t></w:r>
</w:p>
<w:p>
<w:pPr><w:pStyle w:val="Normal"/></w:pPr>
<w:r><w:t xml:space="preserve">opposite Alipur Bridge, stood two trees under which</w:t></w:r>
</w:p>
<w:p>
<w:pPr><w:pStyle w:val="Normal"/></w:pPr>
<w:r><w:t xml:space="preserve">duels were fought.  It was here that the meeting in 1780</w:t></w:r>
</w:p>
<w:p>
<w:pPr><w:pStyle w:val="Normal"/></w:pPr>
<w:r><w:t xml:space="preserve">between Warren Hastings and Sir Philip Francis took place.</w:t></w:r>
</w:p>
<w:p>
<w:pPr><w:pStyle w:val="Normal"/></w:pPr>
<w:r><w:t xml:space="preserve">ALIQUOT (a Lat. word meaning ``some,&apos;&apos; ``so many&apos;&apos;),</w:t></w:r>
</w:p>
<w:p>
<w:pPr><w:pStyle w:val="Normal"/></w:pPr>
<w:r><w:t xml:space="preserve">a term generally occurring in the phrase ``aliquot</w:t></w:r>
</w:p>
<w:p>
<w:pPr><w:pStyle w:val="Normal"/></w:pPr>
<w:r><w:t xml:space="preserve">part,&apos;&apos; and meaning that one quantity is exactly</w:t></w:r>
</w:p>
<w:p>
<w:pPr><w:pStyle w:val="Normal"/></w:pPr>
<w:r><w:t xml:space="preserve">divisible into another; thus 3 is an aliquot part of 6.</w:t></w:r>
</w:p>
<w:p>
<w:pPr><w:pStyle w:val="Normal"/></w:pPr>
<w:r><w:t xml:space="preserve">ALIRAJPUR, a native state of India, under the Bhopawar agency</w:t></w:r>
</w:p>
<w:p>
<w:pPr><w:pStyle w:val="Normal"/></w:pPr>
<w:r><w:t xml:space="preserve">in Central India.  It lies in Malwa, near the frontier of</w:t></w:r>
</w:p>
<w:p>
<w:pPr><w:pStyle w:val="Normal"/></w:pPr>
<w:r><w:t xml:space="preserve">Bombay.  It has an area of 836 sq. m.; and a population (1901) of</w:t></w:r>
</w:p>
<w:p>
<w:pPr><w:pStyle w:val="Normal"/></w:pPr>
<w:r><w:t xml:space="preserve">50,185.  The country is hilly, and many of the inhabitants are</w:t></w:r>
</w:p>
<w:p>
<w:pPr><w:pStyle w:val="Normal"/></w:pPr>
<w:r><w:t xml:space="preserve">aboriginal Bhils.  It has from time to time been under British</w:t></w:r>
</w:p>
<w:p>
<w:pPr><w:pStyle w:val="Normal"/></w:pPr>
<w:r><w:t xml:space="preserve">administration.  The chief, whose title is Rana, is a Rahtor</w:t></w:r>
</w:p>
<w:p>
<w:pPr><w:pStyle w:val="Normal"/></w:pPr>
<w:r><w:t xml:space="preserve">Rajput.  He has an estimated revenue of L. 8700, and pays</w:t></w:r>
</w:p>
<w:p>
<w:pPr><w:pStyle w:val="Normal"/></w:pPr>
<w:r><w:t xml:space="preserve">a tribute of L. 700.  The Victoria bridge at Alirajpur</w:t></w:r>
</w:p>
<w:p>
<w:pPr><w:pStyle w:val="Normal"/></w:pPr>
<w:r><w:t xml:space="preserve">was built to commemorate the Diamond Jubilee of 1897.</w:t></w:r>
</w:p>
<w:p>
<w:pPr><w:pStyle w:val="Normal"/></w:pPr>
<w:r><w:t xml:space="preserve">ALISMACEAE (from the Gr. alisma, a water-plant mentioned by</w:t></w:r>
</w:p>
<w:p>
<w:pPr><w:pStyle w:val="Normal"/></w:pPr>
<w:r><w:t xml:space="preserve">Dioscorides), in botany, a natural order of monocotyledons belonging</w:t></w:r>
</w:p>
<w:p>
<w:pPr><w:pStyle w:val="Normal"/></w:pPr>
<w:r><w:t xml:space="preserve">to the series Helobieae, and represented in Britain by the water</w:t></w:r>
</w:p>
<w:p>
<w:pPr><w:pStyle w:val="Normal"/></w:pPr>
<w:r><w:t xml:space="preserve">plantain, Alisma Plantago, the arrow-head, Sagittaria,</w:t></w:r>
</w:p>
<w:p>
<w:pPr><w:pStyle w:val="Normal"/></w:pPr>
<w:r><w:t xml:space="preserve">the star-fruit, Damasonium, and flowering rush, Butomus</w:t></w:r>
</w:p>
<w:p>
<w:pPr><w:pStyle w:val="Normal"/></w:pPr>
<w:r><w:t xml:space="preserve">(from the Gr. bous, ox, temnein, to cut, in allusion to</w:t></w:r>
</w:p>
<w:p>
<w:pPr><w:pStyle w:val="Normal"/></w:pPr>
<w:r><w:t xml:space="preserve">leaves cutting the tongues of oxen feeding on them).  They are</w:t></w:r>
</w:p>
<w:p>
<w:pPr><w:pStyle w:val="Normal"/></w:pPr>
<w:r><w:t xml:space="preserve">marsh- or water-plants with generally a stout stem (rhizome)</w:t></w:r>
</w:p>
<w:p>
<w:pPr><w:pStyle w:val="Normal"/></w:pPr>
<w:r><w:t xml:space="preserve">creeping in the mud, radical leaves and a large, much branched</w:t></w:r>
</w:p>
<w:p>
<w:pPr><w:pStyle w:val="Normal"/></w:pPr>
<w:r><w:t xml:space="preserve">inflorescence.  The leaves show a great variety in shape, often</w:t></w:r>
</w:p>
<w:p>
<w:pPr><w:pStyle w:val="Normal"/></w:pPr>
<w:r><w:t xml:space="preserve">FIG. 1.--Flowering Rush (Butomus umbellatus.) 1, Flower in</w:t></w:r>
</w:p>
<w:p>
<w:pPr><w:pStyle w:val="Normal"/></w:pPr>
<w:r><w:t xml:space="preserve">vertical section; 2, horizontal plan of arrangement of flower.</w:t></w:r>
</w:p>
<w:p>
<w:pPr><w:pStyle w:val="Normal"/></w:pPr>
<w:r><w:t xml:space="preserve">the same plant, according to their position in, on or above the</w:t></w:r>
</w:p>
<w:p>
<w:pPr><w:pStyle w:val="Normal"/></w:pPr>
<w:r><w:t xml:space="preserve">water.  The submerged leaves are long and grass- like, the</w:t></w:r>
</w:p>
<w:p>
<w:pPr><w:pStyle w:val="Normal"/></w:pPr>
<w:r><w:t xml:space="preserve">floating leaves oblong or rounded, while the aerial leaves</w:t></w:r>
</w:p>
<w:p>
<w:pPr><w:pStyle w:val="Normal"/></w:pPr>
<w:r><w:t xml:space="preserve">are borne on long, thin stalks above the water, and are often</w:t></w:r>
</w:p>
<w:p>
<w:pPr><w:pStyle w:val="Normal"/></w:pPr>
<w:r><w:t xml:space="preserve">heart- or arrow-shaped at the base.  The flower-bearing stem</w:t></w:r>
</w:p>
<w:p>
<w:pPr><w:pStyle w:val="Normal"/></w:pPr>
<w:r><w:t xml:space="preserve">is tall; the flowers are borne in whorls on the axis as in</w:t></w:r>
</w:p>
<w:p>
<w:pPr><w:pStyle w:val="Normal"/></w:pPr>
<w:r><w:t xml:space="preserve">arrow-head, on whorled branchlets as in water plantain or in</w:t></w:r>
</w:p>
<w:p>
<w:pPr><w:pStyle w:val="Normal"/></w:pPr>
<w:r><w:t xml:space="preserve">an umbel as in Butomus (fig. 1). The flowers are regular</w:t></w:r>
</w:p>
<w:p>
<w:pPr><w:pStyle w:val="Normal"/></w:pPr>
<w:r><w:t xml:space="preserve">and rather showy, generally with three greenish sepals,</w:t></w:r>
</w:p>
<w:p>
<w:pPr><w:pStyle w:val="Normal"/></w:pPr>
<w:r><w:t xml:space="preserve">followed in regular succession by three white or purplish</w:t></w:r>
</w:p>
<w:p>
<w:pPr><w:pStyle w:val="Normal"/></w:pPr>
<w:r><w:t xml:space="preserve">petals, six to indefinite stamens and six to indefinite free</w:t></w:r>
</w:p>
<w:p>
<w:pPr><w:pStyle w:val="Normal"/></w:pPr>
<w:r><w:t xml:space="preserve">carpels.  The floral arrangement thus recalls that of a</w:t></w:r>
</w:p>
<w:p>
<w:pPr><w:pStyle w:val="Normal"/></w:pPr>
<w:r><w:t xml:space="preserve">buttercup, a resemblance which extends to the fruit, which is</w:t></w:r>
</w:p>
<w:p>
<w:pPr><w:pStyle w:val="Normal"/></w:pPr>
<w:r><w:t xml:space="preserve">a head of achenes or follicles.  The flowers contain honey,</w:t></w:r>
</w:p>
<w:p>
<w:pPr><w:pStyle w:val="Normal"/></w:pPr>
<w:r><w:t xml:space="preserve">and attract flies, short-lipped bees or other small insects</w:t></w:r>
</w:p>
<w:p>
<w:pPr><w:pStyle w:val="Normal"/></w:pPr>
<w:r><w:t xml:space="preserve">by the agency of which pollination is effected.  The fruit</w:t></w:r>
</w:p>
<w:p>
<w:pPr><w:pStyle w:val="Normal"/></w:pPr>
<w:r><w:t xml:space="preserve">of Butomus is of interest in having the seeds borne over</w:t></w:r>
</w:p>
<w:p>
<w:pPr><w:pStyle w:val="Normal"/></w:pPr>
<w:r><w:t xml:space="preserve">the inner face of the wall of the leathery pod (follicle).</w:t></w:r>
</w:p>
<w:p>
<w:pPr><w:pStyle w:val="Normal"/></w:pPr>
<w:r><w:t xml:space="preserve">Damasonium derives its popular name, star-fruit, from the</w:t></w:r>
</w:p>
<w:p>
<w:pPr><w:pStyle w:val="Normal"/></w:pPr>
<w:r><w:t xml:space="preserve">fruits spreading when ripe in the form of a star.  It is a western</w:t></w:r>
</w:p>
<w:p>
<w:pPr><w:pStyle w:val="Normal"/></w:pPr>
<w:r><w:t xml:space="preserve">FIG. 2.--Water Plantain (Alisma Plantago.) Plant</w:t></w:r>
</w:p>
<w:p>
<w:pPr><w:pStyle w:val="Normal"/></w:pPr>
<w:r><w:t xml:space="preserve">about 3 ft. high. 1, Flower; 2, same in vertical</w:t></w:r>
</w:p>
<w:p>
<w:pPr><w:pStyle w:val="Normal"/></w:pPr>
<w:r><w:t xml:space="preserve">section; 3, horizontal plan of flower; 4, mature fruit.</w:t></w:r>
</w:p>
<w:p>
<w:pPr><w:pStyle w:val="Normal"/></w:pPr>
<w:r><w:t xml:space="preserve">Mediterranean plant which spreads to the south of England,</w:t></w:r>
</w:p>
<w:p>
<w:pPr><w:pStyle w:val="Normal"/></w:pPr>
<w:r><w:t xml:space="preserve">where it is sometimes found in gravelly ditches and pools.</w:t></w:r>
</w:p>
<w:p>
<w:pPr><w:pStyle w:val="Normal"/></w:pPr>
<w:r><w:t xml:space="preserve">The order contains about fifty species in fourteen genera, and</w:t></w:r>
</w:p>
<w:p>
<w:pPr><w:pStyle w:val="Normal"/></w:pPr>
<w:r><w:t xml:space="preserve">is widely distributed in temperate and warm zones. Alisma</w:t></w:r>
</w:p>
<w:p>
<w:pPr><w:pStyle w:val="Normal"/></w:pPr>
<w:r><w:t xml:space="preserve">Plantago (fig. 2), a common plant in Britain (except in the</w:t></w:r>
</w:p>
<w:p>
<w:pPr><w:pStyle w:val="Normal"/></w:pPr>
<w:r><w:t xml:space="preserve">north) in ditches and edges of streams, is widely distributed</w:t></w:r>
</w:p>
<w:p>
<w:pPr><w:pStyle w:val="Normal"/></w:pPr>
<w:r><w:t xml:space="preserve">in the north temperate zone, and is found in the Himalayas,</w:t></w:r>
</w:p>
<w:p>
<w:pPr><w:pStyle w:val="Normal"/></w:pPr>
<w:r><w:t xml:space="preserve">on the mountains of tropical Africa and in Australia.</w:t></w:r>
</w:p>
<w:p>
<w:pPr><w:pStyle w:val="Normal"/></w:pPr>
<w:r><w:t xml:space="preserve">ALISON, ARCHIBALD (1757-1839), Scottish author, son of</w:t></w:r>
</w:p>
<w:p>
<w:pPr><w:pStyle w:val="Normal"/></w:pPr>
<w:r><w:t xml:space="preserve">Patrick Alison, provost of Edinburgh, was born on the 13th of</w:t></w:r>
</w:p>
<w:p>
<w:pPr><w:pStyle w:val="Normal"/></w:pPr>
<w:r><w:t xml:space="preserve">November 1757 at Edinburgh.  After studying at the university</w:t></w:r>
</w:p>
<w:p>
<w:pPr><w:pStyle w:val="Normal"/></w:pPr>
<w:r><w:t xml:space="preserve">of Glasgow and at Balliol College, Oxford, he took orders in</w:t></w:r>
</w:p>
<w:p>
<w:pPr><w:pStyle w:val="Normal"/></w:pPr>
<w:r><w:t xml:space="preserve">the Church of England, and was appointed in 1778 to the curacy</w:t></w:r>
</w:p>
<w:p>
<w:pPr><w:pStyle w:val="Normal"/></w:pPr>
<w:r><w:t xml:space="preserve">of Brancepeth, near Durham.  In 1784 he married Dorothea,</w:t></w:r>
</w:p>
<w:p>
<w:pPr><w:pStyle w:val="Normal"/></w:pPr>
<w:r><w:t xml:space="preserve">youngest daughter of Professor Gregory of Edinburgh.  The next</w:t></w:r>
</w:p>
<w:p>
<w:pPr><w:pStyle w:val="Normal"/></w:pPr>
<w:r><w:t xml:space="preserve">twenty years of his life were spent in Shropshire, where he</w:t></w:r>
</w:p>
<w:p>
<w:pPr><w:pStyle w:val="Normal"/></w:pPr>
<w:r><w:t xml:space="preserve">held in succession the livings of High Ercall, Roddington and</w:t></w:r>
</w:p>
<w:p>
<w:pPr><w:pStyle w:val="Normal"/></w:pPr>
<w:r><w:t xml:space="preserve">Kenley.  In 1800 he removed to Edinburgh, having been appointed</w:t></w:r>
</w:p>
<w:p>
<w:pPr><w:pStyle w:val="Normal"/></w:pPr>
<w:r><w:t xml:space="preserve">senior incumbent of St Paul&apos;s Chapel in the Cowgate.  For</w:t></w:r>
</w:p>
<w:p>
<w:pPr><w:pStyle w:val="Normal"/></w:pPr>
<w:r><w:t xml:space="preserve">thirty-four years he filled this position with much ability,</w:t></w:r>
</w:p>
<w:p>
<w:pPr><w:pStyle w:val="Normal"/></w:pPr>
<w:r><w:t xml:space="preserve">his preaching attracting so many hearers that a new and</w:t></w:r>
</w:p>
<w:p>
<w:pPr><w:pStyle w:val="Normal"/></w:pPr>
<w:r><w:t xml:space="preserve">larger church was built for him.  His last years were spent at</w:t></w:r>
</w:p>
<w:p>
<w:pPr><w:pStyle w:val="Normal"/></w:pPr>
<w:r><w:t xml:space="preserve">Colinton, near Edinburgh, where he died on the 17th of May</w:t></w:r>
</w:p>
<w:p>
<w:pPr><w:pStyle w:val="Normal"/></w:pPr>
<w:r><w:t xml:space="preserve">1839.  Alison published, besides a Life of Lord Woodhouselee,</w:t></w:r>
</w:p>
<w:p>
<w:pPr><w:pStyle w:val="Normal"/></w:pPr>
<w:r><w:t xml:space="preserve">a volume of sermons, which passed through several editions,</w:t></w:r>
</w:p>
<w:p>
<w:pPr><w:pStyle w:val="Normal"/></w:pPr>
<w:r><w:t xml:space="preserve">and a work entitled Essays on the Nature and Principles of</w:t></w:r>
</w:p>
<w:p>
<w:pPr><w:pStyle w:val="Normal"/></w:pPr>
<w:r><w:t xml:space="preserve">Taste (1790), based on the principle of association (see under</w:t></w:r>
</w:p>
<w:p>
<w:pPr><w:pStyle w:val="Normal"/></w:pPr>
<w:r><w:t xml:space="preserve">AESTHETICS, p. 288).  His elder son, Dr Wilham Pulteney Alison</w:t></w:r>
</w:p>
<w:p>
<w:pPr><w:pStyle w:val="Normal"/></w:pPr>
<w:r><w:t xml:space="preserve">(1790-1859), was a distinguished Edinburgh medical professor.</w:t></w:r>
</w:p>
<w:p>
<w:pPr><w:pStyle w:val="Normal"/></w:pPr>
<w:r><w:t xml:space="preserve">SIR ARCHIBALD ALISON, Bart. (1792-1867), the historian,</w:t></w:r>
</w:p>
<w:p>
<w:pPr><w:pStyle w:val="Normal"/></w:pPr>
<w:r><w:t xml:space="preserve">was the younger son, and was born at Kenley, Shropshire, on</w:t></w:r>
</w:p>
<w:p>
<w:pPr><w:pStyle w:val="Normal"/></w:pPr>
<w:r><w:t xml:space="preserve">the 29th of December 1792.  He studied at the university of</w:t></w:r>
</w:p>
<w:p>
<w:pPr><w:pStyle w:val="Normal"/></w:pPr>
<w:r><w:t xml:space="preserve">Edinburgh, distinguishing himself especially in Greek and</w:t></w:r>
</w:p>
<w:p>
<w:pPr><w:pStyle w:val="Normal"/></w:pPr>
<w:r><w:t xml:space="preserve">mathematics.  In 1814 he passed at the Scottish bar, but he</w:t></w:r>
</w:p>
<w:p>
<w:pPr><w:pStyle w:val="Normal"/></w:pPr>
<w:r><w:t xml:space="preserve">did not at once practise.  The close of the war had opened</w:t></w:r>
</w:p>
<w:p>
<w:pPr><w:pStyle w:val="Normal"/></w:pPr>
<w:r><w:t xml:space="preserve">up the continent, and Alison set out in the autumn of 1814</w:t></w:r>
</w:p>
<w:p>
<w:pPr><w:pStyle w:val="Normal"/></w:pPr>
<w:r><w:t xml:space="preserve">for a lengthened tour in France.  It was during this period</w:t></w:r>
</w:p>
<w:p>
<w:pPr><w:pStyle w:val="Normal"/></w:pPr>
<w:r><w:t xml:space="preserve">that the idea of writing his history first occurred to him.</w:t></w:r>
</w:p>
<w:p>
<w:pPr><w:pStyle w:val="Normal"/></w:pPr>
<w:r><w:t xml:space="preserve">A more immediate result of the tour was his first literary</w:t></w:r>
</w:p>
<w:p>
<w:pPr><w:pStyle w:val="Normal"/></w:pPr>
<w:r><w:t xml:space="preserve">work of any importance, Travels in France during the Years</w:t></w:r>
</w:p>
<w:p>
<w:pPr><w:pStyle w:val="Normal"/></w:pPr>
<w:r><w:t xml:space="preserve">1814-1815, written in collaboration with his brother and A. F.</w:t></w:r>
</w:p>
<w:p>
<w:pPr><w:pStyle w:val="Normal"/></w:pPr>
<w:r><w:t xml:space="preserve">Tytler, which appeared in the latter year.  On his return to</w:t></w:r>
</w:p>
<w:p>
<w:pPr><w:pStyle w:val="Normal"/></w:pPr>
<w:r><w:t xml:space="preserve">Edinburgh he practised at the bar for some years with very fair</w:t></w:r>
</w:p>
<w:p>
<w:pPr><w:pStyle w:val="Normal"/></w:pPr>
<w:r><w:t xml:space="preserve">success.  In 1822 he became one of the four advocates-depute</w:t></w:r>
</w:p>
<w:p>
<w:pPr><w:pStyle w:val="Normal"/></w:pPr>
<w:r><w:t xml:space="preserve">for Scotland.  As a result of the experience gained in this</w:t></w:r>
</w:p>
<w:p>
<w:pPr><w:pStyle w:val="Normal"/></w:pPr>
<w:r><w:t xml:space="preserve">office, which he held until 1830, he wrote his Principles of</w:t></w:r>
</w:p>
<w:p>
<w:pPr><w:pStyle w:val="Normal"/></w:pPr>
<w:r><w:t xml:space="preserve">the Criminal Law of Scotland (1832) and Practice of the</w:t></w:r>
</w:p>
<w:p>
<w:pPr><w:pStyle w:val="Normal"/></w:pPr>
<w:r><w:t xml:space="preserve">Criminal Law of Scotland (1833), which in 1834 led to his</w:t></w:r>
</w:p>
<w:p>
<w:pPr><w:pStyle w:val="Normal"/></w:pPr>
<w:r><w:t xml:space="preserve">appointment by Sir Robert Peel to the office of sheriff of</w:t></w:r>
</w:p>
<w:p>
<w:pPr><w:pStyle w:val="Normal"/></w:pPr>
<w:r><w:t xml:space="preserve">Lanarkshire, which ranks next to a judgeship in the supreme</w:t></w:r>
</w:p>
<w:p>
<w:pPr><w:pStyle w:val="Normal"/></w:pPr>
<w:r><w:t xml:space="preserve">court.  The office, though by no means a sinecure, gave him</w:t></w:r>
</w:p>
<w:p>
<w:pPr><w:pStyle w:val="Normal"/></w:pPr>
<w:r><w:t xml:space="preserve">time not only to make frequent contributions to periodical</w:t></w:r>
</w:p>
<w:p>
<w:pPr><w:pStyle w:val="Normal"/></w:pPr>
<w:r><w:t xml:space="preserve">literature, but also to write the long-projected History</w:t></w:r>
</w:p>
<w:p>
<w:pPr><w:pStyle w:val="Normal"/></w:pPr>
<w:r><w:t xml:space="preserve">of Europe, for which he had been collecting materials for</w:t></w:r>
</w:p>
<w:p>
<w:pPr><w:pStyle w:val="Normal"/></w:pPr>
<w:r><w:t xml:space="preserve">more than fifteen years.  The history of the period from the</w:t></w:r>
</w:p>
<w:p>
<w:pPr><w:pStyle w:val="Normal"/></w:pPr>
<w:r><w:t xml:space="preserve">beginning of the French Revolution till the restoration of</w:t></w:r>
</w:p>
<w:p>
<w:pPr><w:pStyle w:val="Normal"/></w:pPr>
<w:r><w:t xml:space="preserve">the Bourbons in 1815 was completed in ten volumes in 1842,</w:t></w:r>
</w:p>
<w:p>
<w:pPr><w:pStyle w:val="Normal"/></w:pPr>
<w:r><w:t xml:space="preserve">and met with a success almost unexampled in works of its</w:t></w:r>
</w:p>
<w:p>
<w:pPr><w:pStyle w:val="Normal"/></w:pPr>
<w:r><w:t xml:space="preserve">class.  Within a few years it ran through ten editions, and</w:t></w:r>
</w:p>
<w:p>
<w:pPr><w:pStyle w:val="Normal"/></w:pPr>
<w:r><w:t xml:space="preserve">was translated into many of the languages of Europe, as well</w:t></w:r>
</w:p>
<w:p>
<w:pPr><w:pStyle w:val="Normal"/></w:pPr>
<w:r><w:t xml:space="preserve">as into Arabic and Hindustani.  At the time of the author&apos;s</w:t></w:r>
</w:p>
<w:p>
<w:pPr><w:pStyle w:val="Normal"/></w:pPr>
<w:r><w:t xml:space="preserve">death it was stated that 108,000 volumes of the library</w:t></w:r>
</w:p>
<w:p>
<w:pPr><w:pStyle w:val="Normal"/></w:pPr>
<w:r><w:t xml:space="preserve">edition and 439,000 volumes of the popular edition had been</w:t></w:r>
</w:p>
<w:p>
<w:pPr><w:pStyle w:val="Normal"/></w:pPr>
<w:r><w:t xml:space="preserve">sold.  A popularity so widespread must have had some basis of</w:t></w:r>
</w:p>
<w:p>
<w:pPr><w:pStyle w:val="Normal"/></w:pPr>
<w:r><w:t xml:space="preserve">merit, and the good qualities of Alison&apos;s work lie upon the</w:t></w:r>
</w:p>
<w:p>
<w:pPr><w:pStyle w:val="Normal"/></w:pPr>
<w:r><w:t xml:space="preserve">surface.  It brought together, though not always in a</w:t></w:r>
</w:p>
<w:p>
<w:pPr><w:pStyle w:val="Normal"/></w:pPr>
<w:r><w:t xml:space="preserve">well-arranged form, an immense amount of information that</w:t></w:r>
</w:p>
<w:p>
<w:pPr><w:pStyle w:val="Normal"/></w:pPr>
<w:r><w:t xml:space="preserve">had before been practically inaccessible to the general</w:t></w:r>
</w:p>
<w:p>
<w:pPr><w:pStyle w:val="Normal"/></w:pPr>
<w:r><w:t xml:space="preserve">public.  It at least made an attempt to show the organic</w:t></w:r>
</w:p>
<w:p>
<w:pPr><w:pStyle w:val="Normal"/></w:pPr>
<w:r><w:t xml:space="preserve">connexion in the policy and progress of the different nations</w:t></w:r>
</w:p>
<w:p>
<w:pPr><w:pStyle w:val="Normal"/></w:pPr>
<w:r><w:t xml:space="preserve">of Europe; and its descriptions of what may be called external</w:t></w:r>
</w:p>
<w:p>
<w:pPr><w:pStyle w:val="Normal"/></w:pPr>
<w:r><w:t xml:space="preserve">history--of battles, sieges and state pageants--are spirited and</w:t></w:r>
</w:p>
<w:p>
<w:pPr><w:pStyle w:val="Normal"/></w:pPr>
<w:r><w:t xml:space="preserve">interesting.  On the other hand the faults of the work are</w:t></w:r>
</w:p>
<w:p>
<w:pPr><w:pStyle w:val="Normal"/></w:pPr>
<w:r><w:t xml:space="preserve">numerous and glaring.  The general style is prolix, involved</w:t></w:r>
</w:p>
<w:p>
<w:pPr><w:pStyle w:val="Normal"/></w:pPr>
<w:r><w:t xml:space="preserve">and vicious; mistakes of fact and false deductions are to be</w:t></w:r>
</w:p>
<w:p>
<w:pPr><w:pStyle w:val="Normal"/></w:pPr>
<w:r><w:t xml:space="preserve">found in almost every page; and the constant repetition of</w:t></w:r>
</w:p>
<w:p>
<w:pPr><w:pStyle w:val="Normal"/></w:pPr>
<w:r><w:t xml:space="preserve">trite moral reflections and egotistical references seriously</w:t></w:r>
</w:p>
<w:p>
<w:pPr><w:pStyle w:val="Normal"/></w:pPr>
<w:r><w:t xml:space="preserve">detracts from its dignity.  A more grave defect resulted from</w:t></w:r>
</w:p>
<w:p>
<w:pPr><w:pStyle w:val="Normal"/></w:pPr>
<w:r><w:t xml:space="preserve">the author&apos;s strong political partisanship, which entirely</w:t></w:r>
</w:p>
<w:p>
<w:pPr><w:pStyle w:val="Normal"/></w:pPr>
<w:r><w:t xml:space="preserve">unfitted him for dealing with the problems of history in</w:t></w:r>
</w:p>
<w:p>
<w:pPr><w:pStyle w:val="Normal"/></w:pPr>
<w:r><w:t xml:space="preserve">a philosophical spirit.  His unbending Toryism made it</w:t></w:r>
</w:p>
<w:p>
<w:pPr><w:pStyle w:val="Normal"/></w:pPr>
<w:r><w:t xml:space="preserve">impossible for him to give any satisfactory explanation of</w:t></w:r>
</w:p>
<w:p>
<w:pPr><w:pStyle w:val="Normal"/></w:pPr>
<w:r><w:t xml:space="preserve">so complex a fact as the French Revolution, or accurately to</w:t></w:r>
</w:p>
<w:p>
<w:pPr><w:pStyle w:val="Normal"/></w:pPr>
<w:r><w:t xml:space="preserve">estimate the forces that were to shape the Europe of the 19th</w:t></w:r>
</w:p>
<w:p>
<w:pPr><w:pStyle w:val="Normal"/></w:pPr>
<w:r><w:t xml:space="preserve">century.  A continuation of the History, embracing the period</w:t></w:r>
</w:p>
<w:p>
<w:pPr><w:pStyle w:val="Normal"/></w:pPr>
<w:r><w:t xml:space="preserve">from 1815 to 1852, which was completed in four volumes in</w:t></w:r>
</w:p>
<w:p>
<w:pPr><w:pStyle w:val="Normal"/></w:pPr>
<w:r><w:t xml:space="preserve">1856, did not meet with the same success as the earlier</w:t></w:r>
</w:p>
<w:p>
<w:pPr><w:pStyle w:val="Normal"/></w:pPr>
<w:r><w:t xml:space="preserve">work.  The period being so near as to be almost contemporary,</w:t></w:r>
</w:p>
<w:p>
<w:pPr><w:pStyle w:val="Normal"/></w:pPr>
<w:r><w:t xml:space="preserve">there was a stronger temptation, which he seems to have found</w:t></w:r>
</w:p>
<w:p>
<w:pPr><w:pStyle w:val="Normal"/></w:pPr>
<w:r><w:t xml:space="preserve">it impossible to resist, to yield to political prejudice, while</w:t></w:r>
</w:p>
<w:p>
<w:pPr><w:pStyle w:val="Normal"/></w:pPr>
<w:r><w:t xml:space="preserve">the materials necessary for a clear knowledge of the influences</w:t></w:r>
</w:p>
<w:p>
<w:pPr><w:pStyle w:val="Normal"/></w:pPr>
<w:r><w:t xml:space="preserve">shaping European affairs were not as yet accessible.  The book</w:t></w:r>
</w:p>
<w:p>
<w:pPr><w:pStyle w:val="Normal"/></w:pPr>
<w:r><w:t xml:space="preserve">is now almost wholly out of date.  In 1845 Alison was chosen</w:t></w:r>
</w:p>
<w:p>
<w:pPr><w:pStyle w:val="Normal"/></w:pPr>
<w:r><w:t xml:space="preserve">rector of Marischal College, Aberdeen, and in 1851 of Glasgow</w:t></w:r>
</w:p>
<w:p>
<w:pPr><w:pStyle w:val="Normal"/></w:pPr>
<w:r><w:t xml:space="preserve">University.  In 1852 a baronetcy was conferred upon him, and</w:t></w:r>
</w:p>
<w:p>
<w:pPr><w:pStyle w:val="Normal"/></w:pPr>
<w:r><w:t xml:space="preserve">in the following year he was made a D.C.L. of Oxford.  His</w:t></w:r>
</w:p>
<w:p>
<w:pPr><w:pStyle w:val="Normal"/></w:pPr>
<w:r><w:t xml:space="preserve">literary activity continued till within a short time of his</w:t></w:r>
</w:p>
<w:p>
<w:pPr><w:pStyle w:val="Normal"/></w:pPr>
<w:r><w:t xml:space="preserve">death, the chief works he published in addition to his History</w:t></w:r>
</w:p>
<w:p>
<w:pPr><w:pStyle w:val="Normal"/></w:pPr>
<w:r><w:t xml:space="preserve">being the Principles of Population (1840), in answer to</w:t></w:r>
</w:p>
<w:p>
<w:pPr><w:pStyle w:val="Normal"/></w:pPr>
<w:r><w:t xml:space="preserve">Malthus; a Life of Marlborough (1847, 2nd edition greatly</w:t></w:r>
</w:p>
<w:p>
<w:pPr><w:pStyle w:val="Normal"/></w:pPr>
<w:r><w:t xml:space="preserve">enlarged, 1852); and the Lives of Lord Castlereagh and Sir C.</w:t></w:r>
</w:p>
<w:p>
<w:pPr><w:pStyle w:val="Normal"/></w:pPr>
<w:r><w:t xml:space="preserve">Stewart (1861.) This latter, based on MS. material preserved at</w:t></w:r>
</w:p>
<w:p>
<w:pPr><w:pStyle w:val="Normal"/></w:pPr>
<w:r><w:t xml:space="preserve">Wynyard Park, is still of value, not only as the only available</w:t></w:r>
</w:p>
<w:p>
<w:pPr><w:pStyle w:val="Normal"/></w:pPr>
<w:r><w:t xml:space="preserve">biography, but more especially because Alison&apos;s Tory sympathies</w:t></w:r>
</w:p>
<w:p>
<w:pPr><w:pStyle w:val="Normal"/></w:pPr>
<w:r><w:t xml:space="preserve">enabled him to give a juster appreciation of the character</w:t></w:r>
</w:p>
<w:p>
<w:pPr><w:pStyle w:val="Normal"/></w:pPr>
<w:r><w:t xml:space="preserve">and work of Castlereagh than the Liberal writers by whom for</w:t></w:r>
</w:p>
<w:p>
<w:pPr><w:pStyle w:val="Normal"/></w:pPr>
<w:r><w:t xml:space="preserve">many years he was misjudged and condemned (see LONDONDERRY,</w:t></w:r>
</w:p>
<w:p>
<w:pPr><w:pStyle w:val="Normal"/></w:pPr>
<w:r><w:t xml:space="preserve">Robert Stewart, 2nd marquess of).  Three volumes of Alison&apos;s</w:t></w:r>
</w:p>
<w:p>
<w:pPr><w:pStyle w:val="Normal"/></w:pPr>
<w:r><w:t xml:space="preserve">political, historical and miscellaneous essays were reprinted in</w:t></w:r>
</w:p>
<w:p>
<w:pPr><w:pStyle w:val="Normal"/></w:pPr>
<w:r><w:t xml:space="preserve">1850.  He died at Possil House, Glaagow, on the 23rd of May</w:t></w:r>
</w:p>
<w:p>
<w:pPr><w:pStyle w:val="Normal"/></w:pPr>
<w:r><w:t xml:space="preserve">1867.  His autobiography, Some Account of my Li/e and</w:t></w:r>
</w:p>
<w:p>
<w:pPr><w:pStyle w:val="Normal"/></w:pPr>
<w:r><w:t xml:space="preserve">Writings, edited by his daughter-in-law, Lady Alison, was</w:t></w:r>
</w:p>
<w:p>
<w:pPr><w:pStyle w:val="Normal"/></w:pPr>
<w:r><w:t xml:space="preserve">published in 1883 at Edinburgh.  Sir Archibald Alison married</w:t></w:r>
</w:p>
<w:p>
<w:pPr><w:pStyle w:val="Normal"/></w:pPr>
<w:r><w:t xml:space="preserve">in 1825 Elizabeth Glencairn, daughter of Colonel Tytler, by</w:t></w:r>
</w:p>
<w:p>
<w:pPr><w:pStyle w:val="Normal"/></w:pPr>
<w:r><w:t xml:space="preserve">whom he had three children, Archibald, Frederick and Eliza</w:t></w:r>
</w:p>
<w:p>
<w:pPr><w:pStyle w:val="Normal"/></w:pPr>
<w:r><w:t xml:space="preserve">Frances Catherine.  Both sons became distinguished officers.</w:t></w:r>
</w:p>
<w:p>
<w:pPr><w:pStyle w:val="Normal"/></w:pPr>
<w:r><w:t xml:space="preserve">SIR ARCHIBALD ALISON, Bart. (1826-1907), the elder of the</w:t></w:r>
</w:p>
<w:p>
<w:pPr><w:pStyle w:val="Normal"/></w:pPr>
<w:r><w:t xml:space="preserve">sons, entered the 72nd Highlanders in 1846.  He served</w:t></w:r>
</w:p>
<w:p>
<w:pPr><w:pStyle w:val="Normal"/></w:pPr>
<w:r><w:t xml:space="preserve">at the siege of Sevastopol; and during the Indian Mutiny</w:t></w:r>
</w:p>
<w:p>
<w:pPr><w:pStyle w:val="Normal"/></w:pPr>
<w:r><w:t xml:space="preserve">he was military secretary to Sir Colin Campbell and was</w:t></w:r>
</w:p>
<w:p>
<w:pPr><w:pStyle w:val="Normal"/></w:pPr>
<w:r><w:t xml:space="preserve">severely wounded at the relief of Lucknow, losing an</w:t></w:r>
</w:p>
<w:p>
<w:pPr><w:pStyle w:val="Normal"/></w:pPr>
<w:r><w:t xml:space="preserve">arm.  From 1862 to 1873 he was assistant adjutant-general at</w:t></w:r>
</w:p>
<w:p>
<w:pPr><w:pStyle w:val="Normal"/></w:pPr>
<w:r><w:t xml:space="preserve">headquarters, Portsmouth and Aldershot.  He was second in</w:t></w:r>
</w:p>
<w:p>
<w:pPr><w:pStyle w:val="Normal"/></w:pPr>
<w:r><w:t xml:space="preserve">command of the Ashanti expedition 1873-1874, and was made a</w:t></w:r>
</w:p>
<w:p>
<w:pPr><w:pStyle w:val="Normal"/></w:pPr>
<w:r><w:t xml:space="preserve">K.C.B.  For three years Alison was deputy adjutant-general in</w:t></w:r>
</w:p>
<w:p>
<w:pPr><w:pStyle w:val="Normal"/></w:pPr>
<w:r><w:t xml:space="preserve">Ireland, and then, for a few months, commandant of the Staff</w:t></w:r>
</w:p>
<w:p>
<w:pPr><w:pStyle w:val="Normal"/></w:pPr>
<w:r><w:t xml:space="preserve">College.  He was promoted to be major-general in 1877,</w:t></w:r>
</w:p>
<w:p>
<w:pPr><w:pStyle w:val="Normal"/></w:pPr>
<w:r><w:t xml:space="preserve">and was head of the intelligence branch of the war office</w:t></w:r>
</w:p>
<w:p>
<w:pPr><w:pStyle w:val="Normal"/></w:pPr>
<w:r><w:t xml:space="preserve">(1878-1882).  He commanded the troops at Alexandria in 1882</w:t></w:r>
</w:p>
<w:p>
<w:pPr><w:pStyle w:val="Normal"/></w:pPr>
<w:r><w:t xml:space="preserve">until the arrival of Sir Garnet Wolseley, led the Highland</w:t></w:r>
</w:p>
<w:p>
<w:pPr><w:pStyle w:val="Normal"/></w:pPr>
<w:r><w:t xml:space="preserve">brigade at the battle of Tel-el-Kebir, and remained in command</w:t></w:r>
</w:p>
<w:p>
<w:pPr><w:pStyle w:val="Normal"/></w:pPr>
<w:r><w:t xml:space="preserve">of the army of occupation until 1883.  He commanded at Aldershot</w:t></w:r>
</w:p>
<w:p>
<w:pPr><w:pStyle w:val="Normal"/></w:pPr>
<w:r><w:t xml:space="preserve">1883-1888, was for some months adjutant-general to the forces</w:t></w:r>
</w:p>
<w:p>
<w:pPr><w:pStyle w:val="Normal"/></w:pPr>
<w:r><w:t xml:space="preserve">during Lord Wolseley&apos;s absence in Egypt, was made G.C.B. in</w:t></w:r>
</w:p>
<w:p>
<w:pPr><w:pStyle w:val="Normal"/></w:pPr>
<w:r><w:t xml:space="preserve">1887, was promoted general, and became a military member of the</w:t></w:r>
</w:p>
<w:p>
<w:pPr><w:pStyle w:val="Normal"/></w:pPr>
<w:r><w:t xml:space="preserve">Council of India in 1889.  He retired in 1893 and died in 1907.</w:t></w:r>
</w:p>
<w:p>
<w:pPr><w:pStyle w:val="Normal"/></w:pPr>
<w:r><w:t xml:space="preserve">ALIWAL, a village of British India, in the Ludhiana district</w:t></w:r>
</w:p>
<w:p>
<w:pPr><w:pStyle w:val="Normal"/></w:pPr>
<w:r><w:t xml:space="preserve">of the Punjab, situated on the left bank of the Sutlej, and</w:t></w:r>
</w:p>
<w:p>
<w:pPr><w:pStyle w:val="Normal"/></w:pPr>
<w:r><w:t xml:space="preserve">famous as the scene of one of the great battles of the 1st Sikh</w:t></w:r>
</w:p>
<w:p>
<w:pPr><w:pStyle w:val="Normal"/></w:pPr>
<w:r><w:t xml:space="preserve">War. Late in January 1846 it was held by Ranjur Singh, who had</w:t></w:r>
</w:p>
<w:p>
<w:pPr><w:pStyle w:val="Normal"/></w:pPr>
<w:r><w:t xml:space="preserve">crossed the river in force and threatened Ludhiana.  On the 28th</w:t></w:r>
</w:p>
<w:p>
<w:pPr><w:pStyle w:val="Normal"/></w:pPr>
<w:r><w:t xml:space="preserve">Sir Harry Smith, with a view to clearing the left or British</w:t></w:r>
</w:p>
<w:p>
<w:pPr><w:pStyle w:val="Normal"/></w:pPr>
<w:r><w:t xml:space="preserve">bank, attacked him, and after a desperate struggle thrice pierced</w:t></w:r>
</w:p>
<w:p>
<w:pPr><w:pStyle w:val="Normal"/></w:pPr>
<w:r><w:t xml:space="preserve">the Sikh troops with his cavalry, and pushed them into the</w:t></w:r>
</w:p>
<w:p>
<w:pPr><w:pStyle w:val="Normal"/></w:pPr>
<w:r><w:t xml:space="preserve">river, where large numbers perished, leaving 67 guns to the</w:t></w:r>
</w:p>
<w:p>
<w:pPr><w:pStyle w:val="Normal"/></w:pPr>
<w:r><w:t xml:space="preserve">victors.  The consequence of the victory was the submission</w:t></w:r>
</w:p>
<w:p>
<w:pPr><w:pStyle w:val="Normal"/></w:pPr>
<w:r><w:t xml:space="preserve">of the whole territory east of the Sutlej to the British.</w:t></w:r>
</w:p>
<w:p>
<w:pPr><w:pStyle w:val="Normal"/></w:pPr>
<w:r><w:t xml:space="preserve">ALIWAL NORTH, a town of South Africa, on the south bank</w:t></w:r>
</w:p>
<w:p>
<w:pPr><w:pStyle w:val="Normal"/></w:pPr>
<w:r><w:t xml:space="preserve">of the Orange River, 4300 ft. above the sea, and 282 m. by</w:t></w:r>
</w:p>
<w:p>
<w:pPr><w:pStyle w:val="Normal"/></w:pPr>
<w:r><w:t xml:space="preserve">rail N.W. by N. of the port of East London.  Pop. (1904)</w:t></w:r>
</w:p>
<w:p>
<w:pPr><w:pStyle w:val="Normal"/></w:pPr>
<w:r><w:t xml:space="preserve">5566, of whom 1758 were whites.  The town, a trading and</w:t></w:r>
</w:p>
<w:p>
<w:pPr><w:pStyle w:val="Normal"/></w:pPr>
<w:r><w:t xml:space="preserve">agricultural centre for the N.E. part of the Cape and the</w:t></w:r>
</w:p>
<w:p>
<w:pPr><w:pStyle w:val="Normal"/></w:pPr>
<w:r><w:t xml:space="preserve">neighbouring regions of Basutoland and Orange Free State,</w:t></w:r>
</w:p>
<w:p>
<w:pPr><w:pStyle w:val="Normal"/></w:pPr>
<w:r><w:t xml:space="preserve">presents a pleasing appearance.  It contains many fine stone</w:t></w:r>
</w:p>
<w:p>
<w:pPr><w:pStyle w:val="Normal"/></w:pPr>
<w:r><w:t xml:space="preserve">buildings.  The streets are lined with trees, and water from</w:t></w:r>
</w:p>
<w:p>
<w:pPr><w:pStyle w:val="Normal"/></w:pPr>
<w:r><w:t xml:space="preserve">the neighbouring sulphur springs flows along them in open</w:t></w:r>
</w:p>
<w:p>
<w:pPr><w:pStyle w:val="Normal"/></w:pPr>
<w:r><w:t xml:space="preserve">channels.  The river, here the boundary between the Cape province</w:t></w:r>
</w:p>
<w:p>
<w:pPr><w:pStyle w:val="Normal"/></w:pPr>
<w:r><w:t xml:space="preserve">and Orange Free State, is crossed by a stone bridge 860 ft.</w:t></w:r>
</w:p>
<w:p>
<w:pPr><w:pStyle w:val="Normal"/></w:pPr>
<w:r><w:t xml:space="preserve">long.  The sulphur springs, 1 m. from the town, which yield</w:t></w:r>
</w:p>
<w:p>
<w:pPr><w:pStyle w:val="Normal"/></w:pPr>
<w:r><w:t xml:space="preserve">over 500,000 gallons daily, are resorted to for the cure</w:t></w:r>
</w:p>
<w:p>
<w:pPr><w:pStyle w:val="Normal"/></w:pPr>
<w:r><w:t xml:space="preserve">of rheumatism and skin diseases.  By reason of its dry and</w:t></w:r>
</w:p>
<w:p>
<w:pPr><w:pStyle w:val="Normal"/></w:pPr>
<w:r><w:t xml:space="preserve">bracing climate, Aliwal North is also a favourite residence</w:t></w:r>
</w:p>
<w:p>
<w:pPr><w:pStyle w:val="Normal"/></w:pPr>
<w:r><w:t xml:space="preserve">of sufferers from chest complaints.  In the neighbourhood are</w:t></w:r>
</w:p>
<w:p>
<w:pPr><w:pStyle w:val="Normal"/></w:pPr>
<w:r><w:t xml:space="preserve">stone quarries.  Aliwal North is the capital of a division</w:t></w:r>
</w:p>
<w:p>
<w:pPr><w:pStyle w:val="Normal"/></w:pPr>
<w:r><w:t xml:space="preserve">of the province of the same name, with an area of 1330 sq.</w:t></w:r>
</w:p>
<w:p>
<w:pPr><w:pStyle w:val="Normal"/></w:pPr>
<w:r><w:t xml:space="preserve">m. and a pop. (1904) of 14,857, of whom 40% are whites.</w:t></w:r>
</w:p>
<w:p>
<w:pPr><w:pStyle w:val="Normal"/></w:pPr>
<w:r><w:t xml:space="preserve">Aliwal North was so called to distinguish it from Aliwal</w:t></w:r>
</w:p>
<w:p>
<w:pPr><w:pStyle w:val="Normal"/></w:pPr>
<w:r><w:t xml:space="preserve">South, now Mossel Bay, the seaport of the pastoral Grasveld</w:t></w:r>
</w:p>
<w:p>
<w:pPr><w:pStyle w:val="Normal"/></w:pPr>
<w:r><w:t xml:space="preserve">district, on the west side of Mossel Bay. Both places were</w:t></w:r>
</w:p>
<w:p>
<w:pPr><w:pStyle w:val="Normal"/></w:pPr>
<w:r><w:t xml:space="preserve">named in honour of Sir Harry Smith, governor of Cape Colony</w:t></w:r>
</w:p>
<w:p>
<w:pPr><w:pStyle w:val="Normal"/></w:pPr>
<w:r><w:t xml:space="preserve">1847-1852, Aliwal (see above) being the village in the Punjab</w:t></w:r>
</w:p>
<w:p>
<w:pPr><w:pStyle w:val="Normal"/></w:pPr>
<w:r><w:t xml:space="preserve">where in 1846 he gained a great Victory over the Sikhs.</w:t></w:r>
</w:p>
<w:p>
<w:pPr><w:pStyle w:val="Normal"/></w:pPr>
<w:r><w:t xml:space="preserve">Crossing the Orange River at this spot in September 1848, Sir</w:t></w:r>
</w:p>
<w:p>
<w:pPr><w:pStyle w:val="Normal"/></w:pPr>
<w:r><w:t xml:space="preserve">Harry noted that it was ``a beautiful site for a town,&apos;&apos; and</w:t></w:r>
</w:p>
<w:p>
<w:pPr><w:pStyle w:val="Normal"/></w:pPr>
<w:r><w:t xml:space="preserve">in the May following the town was founded.  In the early months</w:t></w:r>
</w:p>
<w:p>
<w:pPr><w:pStyle w:val="Normal"/></w:pPr>
<w:r><w:t xml:space="preserve">of the Boer War of 1899-1902 Aliwal North was held by the</w:t></w:r>
</w:p>
<w:p>
<w:pPr><w:pStyle w:val="Normal"/></w:pPr>
<w:r><w:t xml:space="preserve">Boers.  It was reoccupied by the British in March 1900.</w:t></w:r>
</w:p>
<w:p>
<w:pPr><w:pStyle w:val="Normal"/></w:pPr>
<w:r><w:t xml:space="preserve">ALIZARIN, or 1.2 DIOXYANTHRAQUINONE,</w:t></w:r>
</w:p>
<w:p>
<w:pPr><w:pStyle w:val="Normal"/></w:pPr>
<w:r><w:t xml:space="preserve">/CO\</w:t></w:r>
</w:p>
<w:p>
<w:pPr><w:pStyle w:val="Normal"/></w:pPr>
<w:r><w:t xml:space="preserve">C6H4    C6H2(OH)2[1.2],</w:t></w:r>
</w:p>
<w:p>
<w:pPr><w:pStyle w:val="Normal"/></w:pPr>
<w:r><w:t xml:space="preserve">\CO/</w:t></w:r>
</w:p>
<w:p>
<w:pPr><w:pStyle w:val="Normal"/></w:pPr>
<w:r><w:t xml:space="preserve">a vegetable dyestuff formerly prepared from madder root (Rubia</w:t></w:r>
</w:p>
<w:p>
<w:pPr><w:pStyle w:val="Normal"/></w:pPr>
<w:r><w:t xml:space="preserve">tinctorum) which contains a glucoside ruberythric acid</w:t></w:r>
</w:p>
<w:p>
<w:pPr><w:pStyle w:val="Normal"/></w:pPr>
<w:r><w:t xml:space="preserve">(C26H28O14).  This glucoside is readily hydrolysed by</w:t></w:r>
</w:p>
<w:p>
<w:pPr><w:pStyle w:val="Normal"/></w:pPr>
<w:r><w:t xml:space="preserve">acids or ferments, breaking up into alizarin and glucose:</w:t></w:r>
</w:p>
<w:p>
<w:pPr><w:pStyle w:val="Normal"/></w:pPr>
<w:r><w:t xml:space="preserve">C26H28O14 + 2H2O = 2C6H12O6 + C14H8O4</w:t></w:r>
</w:p>
<w:p>
<w:pPr><w:pStyle w:val="Normal"/></w:pPr>
<w:r><w:t xml:space="preserve">Ruberythric acid = Glucose + Alizarin.</w:t></w:r>
</w:p>
<w:p>
<w:pPr><w:pStyle w:val="Normal"/></w:pPr>
<w:r><w:t xml:space="preserve">Alizarin was known to the ancients, and until 1868 was obtained</w:t></w:r>
</w:p>
<w:p>
<w:pPr><w:pStyle w:val="Normal"/></w:pPr>
<w:r><w:t xml:space="preserve">entirely from madder root.  The first step in the synthetical</w:t></w:r>
</w:p>
<w:p>
<w:pPr><w:pStyle w:val="Normal"/></w:pPr>
<w:r><w:t xml:space="preserve">production of alizarin was the discovery in 1868 of C. Graebe</w:t></w:r>
</w:p>
<w:p>
<w:pPr><w:pStyle w:val="Normal"/></w:pPr>
<w:r><w:t xml:space="preserve">and C. Liebermann that on heating with zinc dust, alizarin</w:t></w:r>
</w:p>
<w:p>
<w:pPr><w:pStyle w:val="Normal"/></w:pPr>
<w:r><w:t xml:space="preserve">was converted into anthracene.  In order to synthesize</w:t></w:r>
</w:p>
<w:p>
<w:pPr><w:pStyle w:val="Normal"/></w:pPr>
<w:r><w:t xml:space="preserve">alizarin, they converted anthracene into anthraquinone and</w:t></w:r>
</w:p>
<w:p>
<w:pPr><w:pStyle w:val="Normal"/></w:pPr>
<w:r><w:t xml:space="preserve">then brominated the quinone.  The dibrominated product so</w:t></w:r>
</w:p>
<w:p>
<w:pPr><w:pStyle w:val="Normal"/></w:pPr>
<w:r><w:t xml:space="preserve">obtained was then fused with caustic potash, the melt dissolved</w:t></w:r>
</w:p>
<w:p>
<w:pPr><w:pStyle w:val="Normal"/></w:pPr>
<w:r><w:t xml:space="preserve">in water, and on the addition of hydrochloric acid to the</w:t></w:r>
</w:p>
<w:p>
<w:pPr><w:pStyle w:val="Normal"/></w:pPr>
<w:r><w:t xml:space="preserve">solution, alizarin was precipitated.  This process, owing</w:t></w:r>
</w:p>
<w:p>
<w:pPr><w:pStyle w:val="Normal"/></w:pPr>
<w:r><w:t xml:space="preserve">to its expensive nature, was not in use very long, being</w:t></w:r>
</w:p>
<w:p>
<w:pPr><w:pStyle w:val="Normal"/></w:pPr>
<w:r><w:t xml:space="preserve">superseded by another, discovered simultaneously by the</w:t></w:r>
</w:p>
<w:p>
<w:pPr><w:pStyle w:val="Normal"/></w:pPr>
<w:r><w:t xml:space="preserve">above-named chemists and by Sir W. H. Perkin; the method being</w:t></w:r>
</w:p>
<w:p>
<w:pPr><w:pStyle w:val="Normal"/></w:pPr>
<w:r><w:t xml:space="preserve">to sulphonate anthraquinone, and then to convert the sulphonic</w:t></w:r>
</w:p>
<w:p>
<w:pPr><w:pStyle w:val="Normal"/></w:pPr>
<w:r><w:t xml:space="preserve">acid into its sodium salt and fuse this with caustic soda.</w:t></w:r>
</w:p>
<w:p>
<w:pPr><w:pStyle w:val="Normal"/></w:pPr>
<w:r><w:t xml:space="preserve">In practice, the crude anthracene is purified by solution</w:t></w:r>
</w:p>
<w:p>
<w:pPr><w:pStyle w:val="Normal"/></w:pPr>
<w:r><w:t xml:space="preserve">in the higher pyridine bases, after which treatment it is</w:t></w:r>
</w:p>
<w:p>
<w:pPr><w:pStyle w:val="Normal"/></w:pPr>
<w:r><w:t xml:space="preserve">frequently sublimed.  It is then oxidized to anthraquinone</w:t></w:r>
</w:p>
<w:p>
<w:pPr><w:pStyle w:val="Normal"/></w:pPr>
<w:r><w:t xml:space="preserve">by means of sodium dichromate and sulphuric acid in leaden</w:t></w:r>
</w:p>
<w:p>
<w:pPr><w:pStyle w:val="Normal"/></w:pPr>
<w:r><w:t xml:space="preserve">vats, steam heated so that the mixture can be brought to the</w:t></w:r>
</w:p>
<w:p>
<w:pPr><w:pStyle w:val="Normal"/></w:pPr>
<w:r><w:t xml:space="preserve">boil.  When oxidation is complete the crude anthraquinone</w:t></w:r>
</w:p>
<w:p>
<w:pPr><w:pStyle w:val="Normal"/></w:pPr>
<w:r><w:t xml:space="preserve">is separated in filter presses and heated with an excess</w:t></w:r>
</w:p>
<w:p>
<w:pPr><w:pStyle w:val="Normal"/></w:pPr>
<w:r><w:t xml:space="preserve">of commercial oil of vitriol to 120 deg.  C., the various</w:t></w:r>
</w:p>
<w:p>
<w:pPr><w:pStyle w:val="Normal"/></w:pPr>
<w:r><w:t xml:space="preserve">impurities present in the crude material being sulphonated</w:t></w:r>
</w:p>
<w:p>
<w:pPr><w:pStyle w:val="Normal"/></w:pPr>
<w:r><w:t xml:space="preserve">and rendered soluble in water, whilst the anthraquinone is</w:t></w:r>
</w:p>
<w:p>
<w:pPr><w:pStyle w:val="Normal"/></w:pPr>
<w:r><w:t xml:space="preserve">unaffected; it is then washed, to remove impurities, and</w:t></w:r>
</w:p>
<w:p>
<w:pPr><w:pStyle w:val="Normal"/></w:pPr>
<w:r><w:t xml:space="preserve">dried.  The anthraquinone so obtained is then heated for</w:t></w:r>
</w:p>
<w:p>
<w:pPr><w:pStyle w:val="Normal"/></w:pPr>
<w:r><w:t xml:space="preserve">some hours at about 150-160 deg.  C. with fuming sulphuric acid</w:t></w:r>
</w:p>
<w:p>
<w:pPr><w:pStyle w:val="Normal"/></w:pPr>
<w:r><w:t xml:space="preserve">(containing about 40-50% SO3), and by this treatment is</w:t></w:r>
</w:p>
<w:p>
<w:pPr><w:pStyle w:val="Normal"/></w:pPr>
<w:r><w:t xml:space="preserve">converted into anthraquinone-b-monosulphonic acid.  The</w:t></w:r>
</w:p>
<w:p>
<w:pPr><w:pStyle w:val="Normal"/></w:pPr>
<w:r><w:t xml:space="preserve">solution is poured into water and sodium carbonate is added</w:t></w:r>
</w:p>
<w:p>
<w:pPr><w:pStyle w:val="Normal"/></w:pPr>
<w:r><w:t xml:space="preserve">to neutralize the excess of acid, when the sodium salt of</w:t></w:r>
</w:p>
<w:p>
<w:pPr><w:pStyle w:val="Normal"/></w:pPr>
<w:r><w:t xml:space="preserve">the monosulphonic acid (known as silver salt) separates out</w:t></w:r>
</w:p>
<w:p>
<w:pPr><w:pStyle w:val="Normal"/></w:pPr>
<w:r><w:t xml:space="preserve">This is filtered, washed, and then fused with caustic soda,</w:t></w:r>
</w:p>
<w:p>
<w:pPr><w:pStyle w:val="Normal"/></w:pPr>
<w:r><w:t xml:space="preserve">when the sulpho-group is replaced by a hydroxyl group, and a</w:t></w:r>
</w:p>
<w:p>
<w:pPr><w:pStyle w:val="Normal"/></w:pPr>
<w:r><w:t xml:space="preserve">second hydroxyl group is simultaneously formed; in order to</w:t></w:r>
</w:p>
<w:p>
<w:pPr><w:pStyle w:val="Normal"/></w:pPr>
<w:r><w:t xml:space="preserve">render the formation of this second group easier, a little</w:t></w:r>
</w:p>
<w:p>
<w:pPr><w:pStyle w:val="Normal"/></w:pPr>
<w:r><w:t xml:space="preserve">potassium chlorate or sodium nitrate is added to the reaction</w:t></w:r>
</w:p>
<w:p>
<w:pPr><w:pStyle w:val="Normal"/></w:pPr>
<w:r><w:t xml:space="preserve">mixture.  The melt is dissolved in water and the dyestuff is</w:t></w:r>
</w:p>
<w:p>
<w:pPr><w:pStyle w:val="Normal"/></w:pPr>
<w:r><w:t xml:space="preserve">liberated from the sodium salt by hydrochloric or sulphuric</w:t></w:r>
</w:p>
<w:p>
<w:pPr><w:pStyle w:val="Normal"/></w:pPr>
<w:r><w:t xml:space="preserve">acid, or is converted into the calcium salt by digestion with hot</w:t></w:r>
</w:p>
<w:p>
<w:pPr><w:pStyle w:val="Normal"/></w:pPr>
<w:r><w:t xml:space="preserve">milk of lime, then filtered and the calcium salt decomposed by</w:t></w:r>
</w:p>
<w:p>
<w:pPr><w:pStyle w:val="Normal"/></w:pPr>
<w:r><w:t xml:space="preserve">acid.  The precipitated alizarin is then well washed and made</w:t></w:r>
</w:p>
<w:p>
<w:pPr><w:pStyle w:val="Normal"/></w:pPr>
<w:r><w:t xml:space="preserve">into a paste with water, in which form it is put on to the market.</w:t></w:r>
</w:p>
<w:p>
<w:pPr><w:pStyle w:val="Normal"/></w:pPr>
<w:r><w:t xml:space="preserve">K. Lagodzinski (Berichte, 1895, 28, p. 1427) has synthesized</w:t></w:r>
</w:p>
<w:p>
<w:pPr><w:pStyle w:val="Normal"/></w:pPr>
<w:r><w:t xml:space="preserve">alizarin by condensing hemipinic acid [(CH3O)2C6H2(COOH)2]</w:t></w:r>
</w:p>
<w:p>
<w:pPr><w:pStyle w:val="Normal"/></w:pPr>
<w:r><w:t xml:space="preserve">with benzene in the presence of aluminium chloride.  The</w:t></w:r>
</w:p>
<w:p>
<w:pPr><w:pStyle w:val="Normal"/></w:pPr>
<w:r><w:t xml:space="preserve">product on acidification gives a compound C15H12O5.H2O</w:t></w:r>
</w:p>
<w:p>
<w:pPr><w:pStyle w:val="Normal"/></w:pPr>
<w:r><w:t xml:space="preserve">which is probably an oxy-methoxy-benzoyl benzoic acid.  This</w:t></w:r>
</w:p>
<w:p>
<w:pPr><w:pStyle w:val="Normal"/></w:pPr>
<w:r><w:t xml:space="preserve">is dissolved in cold concentrated sulphuric acid, in which</w:t></w:r>
</w:p>
<w:p>
<w:pPr><w:pStyle w:val="Normal"/></w:pPr>
<w:r><w:t xml:space="preserve">it forms a yellowish red solution, but on heating to 100 deg.</w:t></w:r>
</w:p>
<w:p>
<w:pPr><w:pStyle w:val="Heading1"/></w:pPr>
<w:r><w:t>C. the colour changes to red and violet, and on pouring out</w:t></w:r>
</w:p>
<w:p>
<w:pPr><w:pStyle w:val="Normal"/></w:pPr>
<w:r><w:t xml:space="preserve">upon ice, the monomethyl ether of alizarin is precipitated.</w:t></w:r>
</w:p>
<w:p>
<w:pPr><w:pStyle w:val="Normal"/></w:pPr>
<w:r><w:t xml:space="preserve">This compound is hydrolysed by hydriodic acid and alizarin is</w:t></w:r>
</w:p>
<w:p>
<w:pPr><w:pStyle w:val="Normal"/></w:pPr>
<w:r><w:t xml:space="preserve">obtained.  It can also be synthesized by heating catechol</w:t></w:r>
</w:p>
<w:p>
<w:pPr><w:pStyle w:val="Normal"/></w:pPr>
<w:r><w:t xml:space="preserve">with phthalic anhydride and sulphuric acid at 150 deg.  C.</w:t></w:r>
</w:p>
<w:p>
<w:pPr><w:pStyle w:val="Normal"/></w:pPr>
<w:r><w:t xml:space="preserve">/CO\                                                    /CO\</w:t></w:r>
</w:p>
<w:p>
<w:pPr><w:pStyle w:val="Normal"/></w:pPr>
<w:r><w:t xml:space="preserve">C6H4    O + C6H4(OH)2[1.2] = H2O + C6H4    C6H2(OH)2.</w:t></w:r>
</w:p>
<w:p>
<w:pPr><w:pStyle w:val="Normal"/></w:pPr>
<w:r><w:t xml:space="preserve">\CO/                                                    \CO/</w:t></w:r>
</w:p>
<w:p>
<w:pPr><w:pStyle w:val="Normal"/></w:pPr>
<w:r><w:t xml:space="preserve">Pure alizarin crystallizes in red prisms melting at 200 deg.</w:t></w:r>
</w:p>
<w:p>
<w:pPr><w:pStyle w:val="Heading1"/></w:pPr>
<w:r><w:t>C. It is insoluble in water, and not very soluble in</w:t></w:r>
</w:p>
<w:p>
<w:pPr><w:pStyle w:val="Normal"/></w:pPr>
<w:r><w:t xml:space="preserve">alcohol.  It dissolves readily in caustic alkalis on account</w:t></w:r>
</w:p>
<w:p>
<w:pPr><w:pStyle w:val="Normal"/></w:pPr>
<w:r><w:t xml:space="preserve">of its phenolic character, and it forms a yellow-coloured</w:t></w:r>
</w:p>
<w:p>
<w:pPr><w:pStyle w:val="Normal"/></w:pPr>
<w:r><w:t xml:space="preserve">di-acetate.  Its value as a dyestuff depends on its power of</w:t></w:r>
</w:p>
<w:p>
<w:pPr><w:pStyle w:val="Normal"/></w:pPr>
<w:r><w:t xml:space="preserve">forming insoluble compounds (lakes) with metallic oxides.  It</w:t></w:r>
</w:p>
<w:p>
<w:pPr><w:pStyle w:val="Normal"/></w:pPr>
<w:r><w:t xml:space="preserve">has no affinity for vegetable fibres, and consequently cotton</w:t></w:r>
</w:p>
<w:p>
<w:pPr><w:pStyle w:val="Normal"/></w:pPr>
<w:r><w:t xml:space="preserve">goods must be mordanted before dyeing with it (see DYEING.)</w:t></w:r>
</w:p>
<w:p>
<w:pPr><w:pStyle w:val="Normal"/></w:pPr>
<w:r><w:t xml:space="preserve">Numerous derivatives of alizarin are known.  On solution in</w:t></w:r>
</w:p>
<w:p>
<w:pPr><w:pStyle w:val="Normal"/></w:pPr>
<w:r><w:t xml:space="preserve">glacial acetic acid and addition of nitric acid, b-nitroalizarin</w:t></w:r>
</w:p>
<w:p>
<w:pPr><w:pStyle w:val="Normal"/></w:pPr>
<w:r><w:t xml:space="preserve">OH</w:t></w:r>
</w:p>
<w:p>
<w:pPr><w:pStyle w:val="Normal"/></w:pPr>
<w:r><w:t xml:space="preserve">|</w:t></w:r>
</w:p>
<w:p>
<w:pPr><w:pStyle w:val="Normal"/></w:pPr>
<w:r><w:t xml:space="preserve">(alizarin orange)  / \ /CO\ / \OH</w:t></w:r>
</w:p>
<w:p>
<w:pPr><w:pStyle w:val="Normal"/></w:pPr>
<w:r><w:t xml:space="preserve">|   |    |   |</w:t></w:r>
</w:p>
<w:p>
<w:pPr><w:pStyle w:val="Normal"/></w:pPr>
<w:r><w:t xml:space="preserve">\ / \CO/ \ /NO2</w:t></w:r>
</w:p>
<w:p>
<w:pPr><w:pStyle w:val="Normal"/></w:pPr>
<w:r><w:t xml:space="preserve">is produced, and this on heating with sulphuric</w:t></w:r>
</w:p>
<w:p>
<w:pPr><w:pStyle w:val="Normal"/></w:pPr>
<w:r><w:t xml:space="preserve">acid and glycerin is converted into alizarin blue.</w:t></w:r>
</w:p>
<w:p>
<w:pPr><w:pStyle w:val="Normal"/></w:pPr>
<w:r><w:t xml:space="preserve">The trioxyanthraquinones--purpurin, anthrapurpurin, anthragallol</w:t></w:r>
</w:p>
<w:p>
<w:pPr><w:pStyle w:val="Normal"/></w:pPr>
<w:r><w:t xml:space="preserve">and flavopurpurin---are also very valuable dyestuffs.  These</w:t></w:r>
</w:p>
<w:p>
<w:pPr><w:pStyle w:val="Normal"/></w:pPr>
<w:r><w:t xml:space="preserve">compounds may be represented by the following formulae:</w:t></w:r>
</w:p>
<w:p>
<w:pPr><w:pStyle w:val="Normal"/></w:pPr>
<w:r><w:t xml:space="preserve">OH                 OH                OH                OH</w:t></w:r>
</w:p>
<w:p>
<w:pPr><w:pStyle w:val="Normal"/></w:pPr>
<w:r><w:t xml:space="preserve">|                  |                 |                 |</w:t></w:r>
</w:p>
<w:p>
<w:pPr><w:pStyle w:val="Normal"/></w:pPr>
<w:r><w:t xml:space="preserve">/ \ /CO\ / \OH   HO/ \ /CO\ / \OH    / \ /CO\ / \OH    / \ /CO\ / \OH</w:t></w:r>
</w:p>
<w:p>
<w:pPr><w:pStyle w:val="Normal"/></w:pPr>
<w:r><w:t xml:space="preserve">|   |    |   |     |   |    |   |    |   |    |   |    |   |    |   |</w:t></w:r>
</w:p>
<w:p>
<w:pPr><w:pStyle w:val="Normal"/></w:pPr>
<w:r><w:t xml:space="preserve">\ / \CO/ \ /       \ / \CO/ \ /    HO\ / \CO/ \ /      \ / \CO/ \ /OH</w:t></w:r>
</w:p>
<w:p>
<w:pPr><w:pStyle w:val="Normal"/></w:pPr>
<w:r><w:t xml:space="preserve">|</w:t></w:r>
</w:p>
<w:p>
<w:pPr><w:pStyle w:val="Normal"/></w:pPr>
<w:r><w:t xml:space="preserve">OH</w:t></w:r>
</w:p>
<w:p>
<w:pPr><w:pStyle w:val="Normal"/></w:pPr>
<w:r><w:t xml:space="preserve">Purpurin.        Anthrapurpurin.    Flavopurpurin.      Anthragallol.</w:t></w:r>
</w:p>
<w:p>
<w:pPr><w:pStyle w:val="Normal"/></w:pPr>
<w:r><w:t xml:space="preserve">Purpurin (1.2.4 trioxyanthraquinone) is found with</w:t></w:r>
</w:p>
<w:p>
<w:pPr><w:pStyle w:val="Normal"/></w:pPr>
<w:r><w:t xml:space="preserve">alizarin in madder root; it is now prepared synthetically</w:t></w:r>
</w:p>
<w:p>
<w:pPr><w:pStyle w:val="Normal"/></w:pPr>
<w:r><w:t xml:space="preserve">by oxidizing alizarin with manganese dioxide and sulphuric</w:t></w:r>
</w:p>
<w:p>
<w:pPr><w:pStyle w:val="Normal"/></w:pPr>
<w:r><w:t xml:space="preserve">acid.  After the separation of the silver salt (see above)</w:t></w:r>
</w:p>
<w:p>
<w:pPr><w:pStyle w:val="Normal"/></w:pPr>
<w:r><w:t xml:space="preserve">obtained on sulphonating anthraquinone, the remaining acid</w:t></w:r>
</w:p>
<w:p>
<w:pPr><w:pStyle w:val="Normal"/></w:pPr>
<w:r><w:t xml:space="preserve">liquid gives on treatment with calcium carbonate the calcium</w:t></w:r>
</w:p>
<w:p>
<w:pPr><w:pStyle w:val="Normal"/></w:pPr>
<w:r><w:t xml:space="preserve">salt of anthraquinone 2.6 disulphonic acid (anthraquinone-</w:t></w:r>
</w:p>
<w:p>
<w:pPr><w:pStyle w:val="Normal"/></w:pPr>
<w:r><w:t xml:space="preserve">a-disulphonic acid).  This is converted into the sodium salt</w:t></w:r>
</w:p>
<w:p>
<w:pPr><w:pStyle w:val="Normal"/></w:pPr>
<w:r><w:t xml:space="preserve">by means of sodium carbonate, and on alkali fusion yields</w:t></w:r>
</w:p>
<w:p>
<w:pPr><w:pStyle w:val="Normal"/></w:pPr>
<w:r><w:t xml:space="preserve">fiavopurpurin. In a similar manner anthrapurpurin is</w:t></w:r>
</w:p>
<w:p>
<w:pPr><w:pStyle w:val="Normal"/></w:pPr>
<w:r><w:t xml:space="preserve">prepared by alkali fusion of anthraquinone 2.8 disulphonic</w:t></w:r>
</w:p>
<w:p>
<w:pPr><w:pStyle w:val="Normal"/></w:pPr>
<w:r><w:t xml:space="preserve">acid. Anthragallol is synthetically prepared by the</w:t></w:r>
</w:p>
<w:p>
<w:pPr><w:pStyle w:val="Normal"/></w:pPr>
<w:r><w:t xml:space="preserve">condensation of benzoic and gallic acids with sulphuric acid</w:t></w:r>
</w:p>
<w:p>
<w:pPr><w:pStyle w:val="Normal"/></w:pPr>
<w:r><w:t xml:space="preserve">OH                               OH</w:t></w:r>
</w:p>
<w:p>
<w:pPr><w:pStyle w:val="Normal"/></w:pPr>
<w:r><w:t xml:space="preserve">|                                |</w:t></w:r>
</w:p>
<w:p>
<w:pPr><w:pStyle w:val="Normal"/></w:pPr>
<w:r><w:t xml:space="preserve">/ \COOH        / \OH                   / \ /CO\ / \OH</w:t></w:r>
</w:p>
<w:p>
<w:pPr><w:pStyle w:val="Normal"/></w:pPr>
<w:r><w:t xml:space="preserve">|   |       +  |   |    = 2 H2O  +  |   |    |   |</w:t></w:r>
</w:p>
<w:p>
<w:pPr><w:pStyle w:val="Normal"/></w:pPr>
<w:r><w:t xml:space="preserve">\ /        HOOC\ /OH                   \ / \CO/ \ /OH</w:t></w:r>
</w:p>
<w:p>
<w:pPr><w:pStyle w:val="Normal"/></w:pPr>
<w:r><w:t xml:space="preserve">or from pyrogallol and phthalic anhydride in</w:t></w:r>
</w:p>
<w:p>
<w:pPr><w:pStyle w:val="Normal"/></w:pPr>
<w:r><w:t xml:space="preserve">the presence of sulphuric acid or zinc chloride.</w:t></w:r>
</w:p>
<w:p>
<w:pPr><w:pStyle w:val="Normal"/></w:pPr>
<w:r><w:t xml:space="preserve">A. Baeyer in 1890, by heating alizarin with fuming sulphuric</w:t></w:r>
</w:p>
<w:p>
<w:pPr><w:pStyle w:val="Normal"/></w:pPr>
<w:r><w:t xml:space="preserve">acid for 24-48 hours at 35-40 deg.  C., obtained a product, which</w:t></w:r>
</w:p>
<w:p>
<w:pPr><w:pStyle w:val="Normal"/></w:pPr>
<w:r><w:t xml:space="preserve">after treatment with caustic soda gave a sulphuric acid ester</w:t></w:r>
</w:p>
<w:p>
<w:pPr><w:pStyle w:val="Normal"/></w:pPr>
<w:r><w:t xml:space="preserve">of quinalizarin, and this after acidification and boiling was</w:t></w:r>
</w:p>
<w:p>
<w:pPr><w:pStyle w:val="Normal"/></w:pPr>
<w:r><w:t xml:space="preserve">converted into quinalizarin (Alizarin Bordeaux) or 1.2.6.9</w:t></w:r>
</w:p>
<w:p>
<w:pPr><w:pStyle w:val="Normal"/></w:pPr>
<w:r><w:t xml:space="preserve">tetra-oxyanthraquinone.  Penta-oxyanthraquinones have been</w:t></w:r>
</w:p>
<w:p>
<w:pPr><w:pStyle w:val="Normal"/></w:pPr>
<w:r><w:t xml:space="preserve">obtained from purpurin and anthrapurpurin, while a hexa-</w:t></w:r>
</w:p>
<w:p>
<w:pPr><w:pStyle w:val="Normal"/></w:pPr>
<w:r><w:t xml:space="preserve">oxyanthraquinone has been obtained from 1.5 dinitro- anthraquinone.</w:t></w:r>
</w:p>
<w:p>
<w:pPr><w:pStyle w:val="Normal"/></w:pPr>
<w:r><w:t xml:space="preserve">ALKAHEST (a pseudo-Arabic word believed to have been invented by</w:t></w:r>
</w:p>
<w:p>
<w:pPr><w:pStyle w:val="Normal"/></w:pPr>
<w:r><w:t xml:space="preserve">Paracelsus), a liquid, much sought after by the alchemists, having</w:t></w:r>
</w:p>
<w:p>
<w:pPr><w:pStyle w:val="Normal"/></w:pPr>
<w:r><w:t xml:space="preserve">the power of dissolving gold and every other substance, which</w:t></w:r>
</w:p>
<w:p>
<w:pPr><w:pStyle w:val="Normal"/></w:pPr>
<w:r><w:t xml:space="preserve">it was supposed would possess invaluable medicinal qualities.</w:t></w:r>
</w:p>
<w:p>
<w:pPr><w:pStyle w:val="Normal"/></w:pPr>
<w:r><w:t xml:space="preserve">ALKALI, an Arabic term originally applied to the ashes of</w:t></w:r>
</w:p>
<w:p>
<w:pPr><w:pStyle w:val="Normal"/></w:pPr>
<w:r><w:t xml:space="preserve">plants, from which by lixiviation carbonate of soda was obtained</w:t></w:r>
</w:p>
<w:p>
<w:pPr><w:pStyle w:val="Normal"/></w:pPr>
<w:r><w:t xml:space="preserve">in the case of sea-plants and carbonate of potash in that of</w:t></w:r>
</w:p>
<w:p>
<w:pPr><w:pStyle w:val="Normal"/></w:pPr>
<w:r><w:t xml:space="preserve">land-plants.  The method of making these ``mild&apos;&apos; alkalis into</w:t></w:r>
</w:p>
<w:p>
<w:pPr><w:pStyle w:val="Normal"/></w:pPr>
<w:r><w:t xml:space="preserve">``caustic&apos;&apos; alkalis by treatment with lime was practised in</w:t></w:r>
</w:p>
<w:p>
<w:pPr><w:pStyle w:val="Normal"/></w:pPr>
<w:r><w:t xml:space="preserve">the time of Pliny in connexion with the manufacture of soap,</w:t></w:r>
</w:p>
<w:p>
<w:pPr><w:pStyle w:val="Normal"/></w:pPr>
<w:r><w:t xml:space="preserve">and it was also known that the ashes of shore-plants yielded</w:t></w:r>
</w:p>
<w:p>
<w:pPr><w:pStyle w:val="Normal"/></w:pPr>
<w:r><w:t xml:space="preserve">a hard soap and those of land-plants a soft one.  But the</w:t></w:r>
</w:p>
<w:p>
<w:pPr><w:pStyle w:val="Normal"/></w:pPr>
<w:r><w:t xml:space="preserve">two substances were generally confounded as ``fixed alkali&apos;&apos;</w:t></w:r>
</w:p>
<w:p>
<w:pPr><w:pStyle w:val="Normal"/></w:pPr>
<w:r><w:t xml:space="preserve">(carbonate of ammonia being ``volatile alkali&apos;&apos;), till Duhamel</w:t></w:r>
</w:p>
<w:p>
<w:pPr><w:pStyle w:val="Normal"/></w:pPr>
<w:r><w:t xml:space="preserve">du Monceau in 1736 established the fact that common salt and</w:t></w:r>
</w:p>
<w:p>
<w:pPr><w:pStyle w:val="Normal"/></w:pPr>
<w:r><w:t xml:space="preserve">the ashes of sea-plants contain the same base as is found in</w:t></w:r>
</w:p>
<w:p>
<w:pPr><w:pStyle w:val="Normal"/></w:pPr>
<w:r><w:t xml:space="preserve">natural deposits of soda salts (``mineral alkali&apos;&apos;), and that</w:t></w:r>
</w:p>
<w:p>
<w:pPr><w:pStyle w:val="Normal"/></w:pPr>
<w:r><w:t xml:space="preserve">this body is different from the ``vegetable alkali&apos;&apos; obtained</w:t></w:r>
</w:p>
<w:p>
<w:pPr><w:pStyle w:val="Normal"/></w:pPr>
<w:r><w:t xml:space="preserve">by incinerating land- plants or wood (pot-ashes).  Later,</w:t></w:r>
</w:p>
<w:p>
<w:pPr><w:pStyle w:val="Normal"/></w:pPr>
<w:r><w:t xml:space="preserve">Martin Heinrich Klaproth, finding vegetable alkali in certain</w:t></w:r>
</w:p>
<w:p>
<w:pPr><w:pStyle w:val="Normal"/></w:pPr>
<w:r><w:t xml:space="preserve">minerals, such as leucite, proposed to distinguish it as</w:t></w:r>
</w:p>
<w:p>
<w:pPr><w:pStyle w:val="Normal"/></w:pPr>
<w:r><w:t xml:space="preserve">potash, and at the same time assigned to the mineral alkali the</w:t></w:r>
</w:p>
<w:p>
<w:pPr><w:pStyle w:val="Normal"/></w:pPr>
<w:r><w:t xml:space="preserve">name natron, which survives in the symbol, Na, now used for</w:t></w:r>
</w:p>
<w:p>
<w:pPr><w:pStyle w:val="Normal"/></w:pPr>
<w:r><w:t xml:space="preserve">sodium.  The word alkali supplied the symbol for potassium,</w:t></w:r>
</w:p>
<w:p>
<w:pPr><w:pStyle w:val="Normal"/></w:pPr>
<w:r><w:t xml:space="preserve">K (kalium.) In modern chemistry alkali is a general term</w:t></w:r>
</w:p>
<w:p>
<w:pPr><w:pStyle w:val="Normal"/></w:pPr>
<w:r><w:t xml:space="preserve">used for compounds which have the property of neutralizing</w:t></w:r>
</w:p>
<w:p>
<w:pPr><w:pStyle w:val="Normal"/></w:pPr>
<w:r><w:t xml:space="preserve">acids, and is applied more particularly to the highly soluble</w:t></w:r>
</w:p>
<w:p>
<w:pPr><w:pStyle w:val="Normal"/></w:pPr>
<w:r><w:t xml:space="preserve">hydrates of sodium and potassium and of the three rarer ``alkali</w:t></w:r>
</w:p>
<w:p>
<w:pPr><w:pStyle w:val="Normal"/></w:pPr>
<w:r><w:t xml:space="preserve">metals,&apos;&apos; caesium, rubidium and lithium, also to aqueous</w:t></w:r>
</w:p>
<w:p>
<w:pPr><w:pStyle w:val="Normal"/></w:pPr>
<w:r><w:t xml:space="preserve">ammonia.  In a smaller degree these alkaline properties are</w:t></w:r>
</w:p>
<w:p>
<w:pPr><w:pStyle w:val="Normal"/></w:pPr>
<w:r><w:t xml:space="preserve">shared by the less soluble hydrates of the ``metals of the</w:t></w:r>
</w:p>
<w:p>
<w:pPr><w:pStyle w:val="Normal"/></w:pPr>
<w:r><w:t xml:space="preserve">alkaline earths,&apos;&apos; calcium, barium and strontium, and by thallium</w:t></w:r>
</w:p>
<w:p>
<w:pPr><w:pStyle w:val="Normal"/></w:pPr>
<w:r><w:t xml:space="preserve">hydrate.  An alkali is distinguished from an acid or neutral</w:t></w:r>
</w:p>
<w:p>
<w:pPr><w:pStyle w:val="Normal"/></w:pPr>
<w:r><w:t xml:space="preserve">substance by its action on litmus, turmeric and other indicators.</w:t></w:r>
</w:p>
<w:p>
<w:pPr><w:pStyle w:val="Normal"/></w:pPr>
<w:r><w:t xml:space="preserve">ALKALI MANUFACTURE. The word ``alkali&apos;&apos; denotes both soda and</w:t></w:r>
</w:p>
<w:p>
<w:pPr><w:pStyle w:val="Normal"/></w:pPr>
<w:r><w:t xml:space="preserve">potash, but by ``alkali manufacture&apos;&apos; we understand merely</w:t></w:r>
</w:p>
<w:p>
<w:pPr><w:pStyle w:val="Normal"/></w:pPr>
<w:r><w:t xml:space="preserve">the manufacture of sodium sulphate, carbonate and hydrate.</w:t></w:r>
</w:p>
<w:p>
<w:pPr><w:pStyle w:val="Normal"/></w:pPr>
<w:r><w:t xml:space="preserve">The corresponding potash compounds are not manufactured in</w:t></w:r>
</w:p>
<w:p>
<w:pPr><w:pStyle w:val="Normal"/></w:pPr>
<w:r><w:t xml:space="preserve">the United Kingdom, but exclusively in Germany (from potassium</w:t></w:r>
</w:p>
<w:p>
<w:pPr><w:pStyle w:val="Normal"/></w:pPr>
<w:r><w:t xml:space="preserve">chloride and from the mother-liquor of the strontia process</w:t></w:r>
</w:p>
<w:p>
<w:pPr><w:pStyle w:val="Normal"/></w:pPr>
<w:r><w:t xml:space="preserve">in the manufacture of beetroot sugar) and in France (from</w:t></w:r>
</w:p>
<w:p>
<w:pPr><w:pStyle w:val="Normal"/></w:pPr>
<w:r><w:t xml:space="preserve">vinasse) . The term alkali is employed in a technical sense</w:t></w:r>
</w:p>
<w:p>
<w:pPr><w:pStyle w:val="Normal"/></w:pPr>
<w:r><w:t xml:space="preserve">for the carbonate and hydrate (of sodium), but since in the</w:t></w:r>
</w:p>
<w:p>
<w:pPr><w:pStyle w:val="Normal"/></w:pPr>
<w:r><w:t xml:space="preserve">Leblanc process the manufacture of sodium sulphate necessarily</w:t></w:r>
</w:p>
<w:p>
<w:pPr><w:pStyle w:val="Normal"/></w:pPr>
<w:r><w:t xml:space="preserve">precedes that of the carbonate, we include this as well as</w:t></w:r>
</w:p>
<w:p>
<w:pPr><w:pStyle w:val="Normal"/></w:pPr>
<w:r><w:t xml:space="preserve">the manufacture of hydrochloric acid which is inseparable from</w:t></w:r>
</w:p>
<w:p>
<w:pPr><w:pStyle w:val="Normal"/></w:pPr>
<w:r><w:t xml:space="preserve">it.  We also treat of the utilization of hydrochloric acid</w:t></w:r>
</w:p>
<w:p>
<w:pPr><w:pStyle w:val="Normal"/></w:pPr>
<w:r><w:t xml:space="preserve">for the manufacture of chlorine and its derivatives, which</w:t></w:r>
</w:p>
<w:p>
<w:pPr><w:pStyle w:val="Normal"/></w:pPr>
<w:r><w:t xml:space="preserve">are usually comprised within the meaning of the term ``alkali</w:t></w:r>
</w:p>
<w:p>
<w:pPr><w:pStyle w:val="Normal"/></w:pPr>
<w:r><w:t xml:space="preserve">manufacture.&apos;&apos; A great many processes have been proposed</w:t></w:r>
</w:p>
<w:p>
<w:pPr><w:pStyle w:val="Normal"/></w:pPr>
<w:r><w:t xml:space="preserve">for the manufacture of alkali from various materials, but</w:t></w:r>
</w:p>
<w:p>
<w:pPr><w:pStyle w:val="Normal"/></w:pPr>
<w:r><w:t xml:space="preserve">none of these has become of any practical importance except</w:t></w:r>
</w:p>
<w:p>
<w:pPr><w:pStyle w:val="Normal"/></w:pPr>
<w:r><w:t xml:space="preserve">those which start from sodium chloride (common salt); and</w:t></w:r>
</w:p>
<w:p>
<w:pPr><w:pStyle w:val="Normal"/></w:pPr>
<w:r><w:t xml:space="preserve">among the latter again only three classes of processes</w:t></w:r>
</w:p>
<w:p>
<w:pPr><w:pStyle w:val="Normal"/></w:pPr>
<w:r><w:t xml:space="preserve">are actually employed for manufacturing purposes, viz. the</w:t></w:r>
</w:p>
<w:p>
<w:pPr><w:pStyle w:val="Normal"/></w:pPr>
<w:r><w:t xml:space="preserve">Leblanc, the ammonia-soda, and the electrolytic processes.</w:t></w:r>
</w:p>
<w:p>
<w:pPr><w:pStyle w:val="Heading1"/></w:pPr>
<w:r><w:t>I. THE LEBLANC PROCESS</w:t></w:r>
</w:p>
<w:p>
<w:pPr><w:pStyle w:val="Normal"/></w:pPr>
<w:r><w:t xml:space="preserve">The Leblanc process, which was invented by Nicolas</w:t></w:r>
</w:p>
<w:p>
<w:pPr><w:pStyle w:val="Normal"/></w:pPr>
<w:r><w:t xml:space="preserve">Leblanc (q.v.) about 1790, begins with the decomposition</w:t></w:r>
</w:p>
<w:p>
<w:pPr><w:pStyle w:val="Normal"/></w:pPr>
<w:r><w:t xml:space="preserve">of sodium chloride by sulphuric acid, by which sodium</w:t></w:r>
</w:p>
<w:p>
<w:pPr><w:pStyle w:val="Normal"/></w:pPr>
<w:r><w:t xml:space="preserve">sulphate and hydrochloric acid are produced.  The sodium</w:t></w:r>
</w:p>
<w:p>
<w:pPr><w:pStyle w:val="Normal"/></w:pPr>
<w:r><w:t xml:space="preserve">sulphate is afterwards fluxed with calcium carbonate and</w:t></w:r>
</w:p>
<w:p>
<w:pPr><w:pStyle w:val="Normal"/></w:pPr>
<w:r><w:t xml:space="preserve">coal, and a mixture is thus obtained from which sodium</w:t></w:r>
</w:p>
<w:p>
<w:pPr><w:pStyle w:val="Normal"/></w:pPr>
<w:r><w:t xml:space="preserve">carbonate can be extracted by exhausting it with water.</w:t></w:r>
</w:p>
<w:p>
<w:pPr><w:pStyle w:val="Normal"/></w:pPr>
<w:r><w:t xml:space="preserve">Leblanc himself for a time carried out his process on a</w:t></w:r>
</w:p>
<w:p>
<w:pPr><w:pStyle w:val="Normal"/></w:pPr>
<w:r><w:t xml:space="preserve">manufacturing scale, but he was ruined in the political troubles</w:t></w:r>
</w:p>
<w:p>
<w:pPr><w:pStyle w:val="Normal"/></w:pPr>
<w:r><w:t xml:space="preserve">of the time and died by his own hand in 1806.  His invention</w:t></w:r>
</w:p>
<w:p>
<w:pPr><w:pStyle w:val="Normal"/></w:pPr>
<w:r><w:t xml:space="preserve">was, however, at once utilized by others in France; and in</w:t></w:r>
</w:p>
<w:p>
<w:pPr><w:pStyle w:val="Normal"/></w:pPr>
<w:r><w:t xml:space="preserve">Great Britain, after a few previous attempts on a small scale,</w:t></w:r>
</w:p>
<w:p>
<w:pPr><w:pStyle w:val="Normal"/></w:pPr>
<w:r><w:t xml:space="preserve">it was definitely introduced by James Muspratt (q.v.) in</w:t></w:r>
</w:p>
<w:p>
<w:pPr><w:pStyle w:val="Normal"/></w:pPr>
<w:r><w:t xml:space="preserve">1823.  From that time onward the Leblanc process spread more and</w:t></w:r>
</w:p>
<w:p>
<w:pPr><w:pStyle w:val="Normal"/></w:pPr>
<w:r><w:t xml:space="preserve">more, and for a considerable period nearly all the alkali of</w:t></w:r>
</w:p>
<w:p>
<w:pPr><w:pStyle w:val="Normal"/></w:pPr>
<w:r><w:t xml:space="preserve">commerce was made by it.  The rise of the ammonia-soda process</w:t></w:r>
</w:p>
<w:p>
<w:pPr><w:pStyle w:val="Normal"/></w:pPr>
<w:r><w:t xml:space="preserve">(since 1870) gradually told upon the Leblanc process, which</w:t></w:r>
</w:p>
<w:p>
<w:pPr><w:pStyle w:val="Normal"/></w:pPr>
<w:r><w:t xml:space="preserve">in consequence has been greatly restricted in Great Britain</w:t></w:r>
</w:p>
<w:p>
<w:pPr><w:pStyle w:val="Normal"/></w:pPr>
<w:r><w:t xml:space="preserve">and Germany, and has become practically extinct in all other</w:t></w:r>
</w:p>
<w:p>
<w:pPr><w:pStyle w:val="Normal"/></w:pPr>
<w:r><w:t xml:space="preserve">countries, except as far as its first part, the manufacture</w:t></w:r>
</w:p>
<w:p>
<w:pPr><w:pStyle w:val="Normal"/></w:pPr>
<w:r><w:t xml:space="preserve">of sodium sulphate and hydrochloric acid, is concerned.</w:t></w:r>
</w:p>
<w:p>
<w:pPr><w:pStyle w:val="Normal"/></w:pPr>
<w:r><w:t xml:space="preserve">The production of alkali in Great Britain, soon after the</w:t></w:r>
</w:p>
<w:p>
<w:pPr><w:pStyle w:val="Normal"/></w:pPr>
<w:r><w:t xml:space="preserve">introduction of the Leblanc process, became the most extensive</w:t></w:r>
</w:p>
<w:p>
<w:pPr><w:pStyle w:val="Normal"/></w:pPr>
<w:r><w:t xml:space="preserve">in the world, and outstripped that of all other countries put</w:t></w:r>
</w:p>
<w:p>
<w:pPr><w:pStyle w:val="Normal"/></w:pPr>
<w:r><w:t xml:space="preserve">together.  With the rise of the ammonia-soda process, for</w:t></w:r>
</w:p>
<w:p>
<w:pPr><w:pStyle w:val="Normal"/></w:pPr>
<w:r><w:t xml:space="preserve">which the economic conditions are nearly as favourable in other</w:t></w:r>
</w:p>
<w:p>
<w:pPr><w:pStyle w:val="Normal"/></w:pPr>
<w:r><w:t xml:space="preserve">countries, the predominance of Great Britain in that domain</w:t></w:r>
</w:p>
<w:p>
<w:pPr><w:pStyle w:val="Normal"/></w:pPr>
<w:r><w:t xml:space="preserve">has become less, but even now that country produces more alkali</w:t></w:r>
</w:p>
<w:p>
<w:pPr><w:pStyle w:val="Normal"/></w:pPr>
<w:r><w:t xml:space="preserve">than any other single country.  Most of the British alkali</w:t></w:r>
</w:p>
<w:p>
<w:pPr><w:pStyle w:val="Normal"/></w:pPr>
<w:r><w:t xml:space="preserve">works are situated in South Lancashire and the adjoining part of</w:t></w:r>
</w:p>
<w:p>
<w:pPr><w:pStyle w:val="Normal"/></w:pPr>
<w:r><w:t xml:space="preserve">Cheshire, near the mouth of the Tyne and in the West of Scotland.</w:t></w:r>
</w:p>
<w:p>
<w:pPr><w:pStyle w:val="Normal"/></w:pPr>
<w:r><w:t xml:space="preserve">Various industries are carried on in Leblanc alkali works, as follows:--</w:t></w:r>
</w:p>
<w:p>
<w:pPr><w:pStyle w:val="Normal"/></w:pPr>
<w:r><w:t xml:space="preserve">1. Manufacture of sodium sulphate.</w:t></w:r>
</w:p>
<w:p>
<w:pPr><w:pStyle w:val="Normal"/></w:pPr>
<w:r><w:t xml:space="preserve">2. Manufacture of hydrochloric acid.</w:t></w:r>
</w:p>
<w:p>
<w:pPr><w:pStyle w:val="Normal"/></w:pPr>
<w:r><w:t xml:space="preserve">3. Preparation of chlorine.</w:t></w:r>
</w:p>
<w:p>
<w:pPr><w:pStyle w:val="Normal"/></w:pPr>
<w:r><w:t xml:space="preserve">4. Employment of chlorine for the manufacture</w:t></w:r>
</w:p>
<w:p>
<w:pPr><w:pStyle w:val="Normal"/></w:pPr>
<w:r><w:t xml:space="preserve">of bleaching- powder and of chlorates.</w:t></w:r>
</w:p>
<w:p>
<w:pPr><w:pStyle w:val="Normal"/></w:pPr>
<w:r><w:t xml:space="preserve">5. Manufacture of ordinary alkali from sulphate of soda.</w:t></w:r>
</w:p>
<w:p>
<w:pPr><w:pStyle w:val="Normal"/></w:pPr>
<w:r><w:t xml:space="preserve">6. Manufacture of caustic soda.</w:t></w:r>
</w:p>
<w:p>
<w:pPr><w:pStyle w:val="Normal"/></w:pPr>
<w:r><w:t xml:space="preserve">7. Manufacture of soda crystals.</w:t></w:r>
</w:p>
<w:p>
<w:pPr><w:pStyle w:val="Normal"/></w:pPr>
<w:r><w:t xml:space="preserve">8. Recovery of sulphur from alkali waste.</w:t></w:r>
</w:p>
<w:p>
<w:pPr><w:pStyle w:val="Normal"/></w:pPr>
<w:r><w:t xml:space="preserve">1. Manufacture of Sodium Sulphate.--This is commercially</w:t></w:r>
</w:p>
<w:p>
<w:pPr><w:pStyle w:val="Normal"/></w:pPr>
<w:r><w:t xml:space="preserve">known as salt-cake, and is made by decomposing common</w:t></w:r>
</w:p>
<w:p>
<w:pPr><w:pStyle w:val="Normal"/></w:pPr>
<w:r><w:t xml:space="preserve">salt with sulphuric acid of about 80%, the reaction being</w:t></w:r>
</w:p>
<w:p>
<w:pPr><w:pStyle w:val="Normal"/></w:pPr>
<w:r><w:t xml:space="preserve">2NaCl + H2SO4 = Na2SO4 + 2HCl.  This reaction proceeds</w:t></w:r>
</w:p>
<w:p>
<w:pPr><w:pStyle w:val="Normal"/></w:pPr>
<w:r><w:t xml:space="preserve">in two stages.  At first principally acid sodium sulphate,</w:t></w:r>
</w:p>
<w:p>
<w:pPr><w:pStyle w:val="Normal"/></w:pPr>
<w:r><w:t xml:space="preserve">NaHSO4, is formed together with some normal sulphate;</w:t></w:r>
</w:p>
<w:p>
<w:pPr><w:pStyle w:val="Normal"/></w:pPr>
<w:r><w:t xml:space="preserve">later, when the temperature has risen, the NaHSO4 acts</w:t></w:r>
</w:p>
<w:p>
<w:pPr><w:pStyle w:val="Normal"/></w:pPr>
<w:r><w:t xml:space="preserve">with more NaCl so that nearly all of it is converted into</w:t></w:r>
</w:p>
<w:p>
<w:pPr><w:pStyle w:val="Normal"/></w:pPr>
<w:r><w:t xml:space="preserve">Na2SO4.  The gaseous hydrochloric acid evolved during</w:t></w:r>
</w:p>
<w:p>
<w:pPr><w:pStyle w:val="Normal"/></w:pPr>
<w:r><w:t xml:space="preserve">all this time must be absorbed in water, unless it is</w:t></w:r>
</w:p>
<w:p>
<w:pPr><w:pStyle w:val="Normal"/></w:pPr>
<w:r><w:t xml:space="preserve">directly converted into chlorine (see below, 2 and 3).</w:t></w:r>
</w:p>
<w:p>
<w:pPr><w:pStyle w:val="Normal"/></w:pPr>
<w:r><w:t xml:space="preserve">The process is carried out either in hand-wrought furnaces, or</w:t></w:r>
</w:p>
<w:p>
<w:pPr><w:pStyle w:val="Normal"/></w:pPr>
<w:r><w:t xml:space="preserve">mechanical furnaces, both called ``decomposing&apos;&apos; or ``salt-cake</w:t></w:r>
</w:p>
<w:p>
<w:pPr><w:pStyle w:val="Normal"/></w:pPr>
<w:r><w:t xml:space="preserve">furnaces.&apos;&apos; In the former case, the first reaction is produced</w:t></w:r>
</w:p>
<w:p>
<w:pPr><w:pStyle w:val="Normal"/></w:pPr>
<w:r><w:t xml:space="preserve">in cast- iron pans or ``pots,&apos;&apos; very heavy castings of circular</w:t></w:r>
</w:p>
<w:p>
<w:pPr><w:pStyle w:val="Normal"/></w:pPr>
<w:r><w:t xml:space="preserve">section, fired from below, either directly or by the waste</w:t></w:r>
</w:p>
<w:p>
<w:pPr><w:pStyle w:val="Normal"/></w:pPr>
<w:r><w:t xml:space="preserve">heat from the muffle- furnace.  The reaction is completed</w:t></w:r>
</w:p>
<w:p>
<w:pPr><w:pStyle w:val="Normal"/></w:pPr>
<w:r><w:t xml:space="preserve">in a ``roasting- furnace.&apos;&apos; The latter was formerly often</w:t></w:r>
</w:p>
<w:p>
<w:pPr><w:pStyle w:val="Normal"/></w:pPr>
<w:r><w:t xml:space="preserve">constructed as a revereratory funace, which is easy to build</w:t></w:r>
</w:p>
<w:p>
<w:pPr><w:pStyle w:val="Normal"/></w:pPr>
<w:r><w:t xml:space="preserve">and to work, but the hydrochloric acid given off here, being</w:t></w:r>
</w:p>
<w:p>
<w:pPr><w:pStyle w:val="Normal"/></w:pPr>
<w:r><w:t xml:space="preserve">mixed with the products of the combustion of fuel, cannot</w:t></w:r>
</w:p>
<w:p>
<w:pPr><w:pStyle w:val="Normal"/></w:pPr>
<w:r><w:t xml:space="preserve">be condensed to strong acid and is partly, if not entirely,</w:t></w:r>
</w:p>
<w:p>
<w:pPr><w:pStyle w:val="Normal"/></w:pPr>
<w:r><w:t xml:space="preserve">wasted.  It is, therefore, decidedly preferable to employ</w:t></w:r>
</w:p>
<w:p>
<w:pPr><w:pStyle w:val="Normal"/></w:pPr>
<w:r><w:t xml:space="preserve">``muffle-furnaces&apos;&apos; in which the heating is performed from</w:t></w:r>
</w:p>
<w:p>
<w:pPr><w:pStyle w:val="Normal"/></w:pPr>
<w:r><w:t xml:space="preserve">without, the fire-gases passing first over the arch and</w:t></w:r>
</w:p>
<w:p>
<w:pPr><w:pStyle w:val="Normal"/></w:pPr>
<w:r><w:t xml:space="preserve">then under the bottom of the muffle.  This requires more</w:t></w:r>
</w:p>
<w:p>
<w:pPr><w:pStyle w:val="Normal"/></w:pPr>
<w:r><w:t xml:space="preserve">time and fuel than the work in ``open&apos;&apos; furnaces, but in</w:t></w:r>
</w:p>
<w:p>
<w:pPr><w:pStyle w:val="Normal"/></w:pPr>
<w:r><w:t xml:space="preserve">the muffles the gaseous hydrochloric acid is separated</w:t></w:r>
</w:p>
<w:p>
<w:pPr><w:pStyle w:val="Normal"/></w:pPr>
<w:r><w:t xml:space="preserve">from the fire-gases, just like that evolved in the pot, and</w:t></w:r>
</w:p>
<w:p>
<w:pPr><w:pStyle w:val="Normal"/></w:pPr>
<w:r><w:t xml:space="preserve">can therefore be condensed into strong hydrochloric acid,</w:t></w:r>
</w:p>
<w:p>
<w:pPr><w:pStyle w:val="Normal"/></w:pPr>
<w:r><w:t xml:space="preserve">like the pot-acid.  This roaster-acid is, however, of less</w:t></w:r>
</w:p>
<w:p>
<w:pPr><w:pStyle w:val="Normal"/></w:pPr>
<w:r><w:t xml:space="preserve">value than the pot-acid, as it contains more impurities.</w:t></w:r>
</w:p>
<w:p>
<w:pPr><w:pStyle w:val="Normal"/></w:pPr>
<w:r><w:t xml:space="preserve">It is not easy to keep the muffles permanently tight, and as soon</w:t></w:r>
</w:p>
<w:p>
<w:pPr><w:pStyle w:val="Normal"/></w:pPr>
<w:r><w:t xml:space="preserve">as any leakages occur, either hydrochloric acid must escape into</w:t></w:r>
</w:p>
<w:p>
<w:pPr><w:pStyle w:val="Normal"/></w:pPr>
<w:r><w:t xml:space="preserve">the fire-flue, or some fire-gases must enter into the muffle.</w:t></w:r>
</w:p>
<w:p>
<w:pPr><w:pStyle w:val="Normal"/></w:pPr>
<w:r><w:t xml:space="preserve">The former is decidedly more objectionable than the latter, as</w:t></w:r>
</w:p>
<w:p>
<w:pPr><w:pStyle w:val="Normal"/></w:pPr>
<w:r><w:t xml:space="preserve">it means that uncondensed hydrochloric acid is sent into the</w:t></w:r>
</w:p>
<w:p>
<w:pPr><w:pStyle w:val="Normal"/></w:pPr>
<w:r><w:t xml:space="preserve">air.  This drawback has been overcome by the construction of</w:t></w:r>
</w:p>
<w:p>
<w:pPr><w:pStyle w:val="Normal"/></w:pPr>
<w:r><w:t xml:space="preserve">``plus-pressure&apos;&apos; furnaces (figs. 1 and 2), where the fire-grate</w:t></w:r>
</w:p>
<w:p>
<w:pPr><w:pStyle w:val="Normal"/></w:pPr>
<w:r><w:t xml:space="preserve">is placed 11 ft. below the top of the muffle.  In consequence</w:t></w:r>
</w:p>
<w:p>
<w:pPr><w:pStyle w:val="Normal"/></w:pPr>
<w:r><w:t xml:space="preserve">the fire-gases, when arriving there by the chimney shaft</w:t></w:r>
</w:p>
<w:p>
<w:pPr><w:pStyle w:val="Normal"/></w:pPr>
<w:r><w:t xml:space="preserve">(a), have already a good upward draught, and when circulatung</w:t></w:r>
</w:p>
<w:p>
<w:pPr><w:pStyle w:val="Normal"/></w:pPr>
<w:r><w:t xml:space="preserve">round the muffle are at a lower pressure than the gases within</w:t></w:r>
</w:p>
<w:p>
<w:pPr><w:pStyle w:val="Normal"/></w:pPr>
<w:r><w:t xml:space="preserve">the muffle, so that in case of any cracks being formed, no</w:t></w:r>
</w:p>
<w:p>
<w:pPr><w:pStyle w:val="Normal"/></w:pPr>
<w:r><w:t xml:space="preserve">hydrochloric acid escapes into the fire-flues, but vice versa.</w:t></w:r>
</w:p>
<w:p>
<w:pPr><w:pStyle w:val="Normal"/></w:pPr>
<w:r><w:t xml:space="preserve">Since the work with ordinary hand-wrought salt-cake furnaces</w:t></w:r>
</w:p>
<w:p>
<w:pPr><w:pStyle w:val="Normal"/></w:pPr>
<w:r><w:t xml:space="preserve">is disagreeable and costly, many attempts have been made</w:t></w:r>
</w:p>
<w:p>
<w:pPr><w:pStyle w:val="Normal"/></w:pPr>
<w:r><w:t xml:space="preserve">to construct mechanical salt-cake furnaces.  Of these J.</w:t></w:r>
</w:p>
<w:p>
<w:pPr><w:pStyle w:val="Normal"/></w:pPr>
<w:r><w:t xml:space="preserve">Mactear&apos;s furnaces (fig. 3) have met with the greatest</w:t></w:r>
</w:p>
<w:p>
<w:pPr><w:pStyle w:val="Normal"/></w:pPr>
<w:r><w:t xml:space="preserve">success.  They consist of a horizontal pan, 17 ft. wide,</w:t></w:r>
</w:p>
<w:p>
<w:pPr><w:pStyle w:val="Normal"/></w:pPr>
<w:r><w:t xml:space="preserve">which is made up of a central pan (e), and a series</w:t></w:r>
</w:p>
<w:p>
<w:pPr><w:pStyle w:val="Normal"/></w:pPr>
<w:r><w:t xml:space="preserve">of concentric compartments (C1), (C2), (C3), and</w:t></w:r>
</w:p>
<w:p>
<w:pPr><w:pStyle w:val="Normal"/></w:pPr>
<w:r><w:t xml:space="preserve">which is supported on a frame (d d), revolving round a</w:t></w:r>
</w:p>
<w:p>
<w:pPr><w:pStyle w:val="Normal"/></w:pPr>
<w:r><w:t xml:space="preserve">perpendicular axis on the wheels (n n).  It is with an</w:t></w:r>
</w:p>
<w:p>
<w:pPr><w:pStyle w:val="Normal"/></w:pPr>
<w:r><w:t xml:space="preserve">arch and heated on the top from one side (l), either by an</w:t></w:r>
</w:p>
<w:p>
<w:pPr><w:pStyle w:val="Normal"/></w:pPr>
<w:r><w:t xml:space="preserve">ordinary coal-grate or by a gas-producer.  A set of stirring</w:t></w:r>
</w:p>
<w:p>
<w:pPr><w:pStyle w:val="Normal"/></w:pPr>
<w:r><w:t xml:space="preserve">blades carried in the frame (b b), and driven by gearing,</w:t></w:r>
</w:p>
<w:p>
<w:pPr><w:pStyle w:val="Normal"/></w:pPr>
<w:r><w:t xml:space="preserve">FIGS. 1. and 2.--Salt-cake Furnace. (Sectional Elevation and Plan.) Scale</w:t></w:r>
</w:p>
<w:p>
<w:pPr><w:pStyle w:val="Normal"/></w:pPr>
<w:r><w:t xml:space="preserve">Figs. 1-9 from Lunge&apos;s Handbuch der Soda-Industrie,</w:t></w:r>
</w:p>
<w:p>
<w:pPr><w:pStyle w:val="Normal"/></w:pPr>
<w:r><w:t xml:space="preserve">by permission of Friedr.  Vieweg u.  Sohn.</w:t></w:r>
</w:p>
<w:p>
<w:pPr><w:pStyle w:val="Normal"/></w:pPr>
<w:r><w:t xml:space="preserve">passes through a gap in the arch in such a manner that the gases</w:t></w:r>
</w:p>
<w:p>
<w:pPr><w:pStyle w:val="Normal"/></w:pPr>
<w:r><w:t xml:space="preserve">cannot escape outwards.  The salt is conveyed to the furnace</w:t></w:r>
</w:p>
<w:p>
<w:pPr><w:pStyle w:val="Normal"/></w:pPr>
<w:r><w:t xml:space="preserve">by a chain of buckets running on the pulley (g), and passing</w:t></w:r>
</w:p>
<w:p>
<w:pPr><w:pStyle w:val="Normal"/></w:pPr>
<w:r><w:t xml:space="preserve">into the hopper (h), and through the pipe (i) is mixed</w:t></w:r>
</w:p>
<w:p>
<w:pPr><w:pStyle w:val="Normal"/></w:pPr>
<w:r><w:t xml:space="preserve">with the proper amount of acid supplied by the pipe ( f.)</w:t></w:r>
</w:p>
<w:p>
<w:pPr><w:pStyle w:val="Normal"/></w:pPr>
<w:r><w:t xml:space="preserve">The mixture is fed in continuously to the central pan (e.)</w:t></w:r>
</w:p>
<w:p>
<w:pPr><w:pStyle w:val="Normal"/></w:pPr>
<w:r><w:t xml:space="preserve">whence it overflows into the compartments (c1), (c2), (c3)</w:t></w:r>
</w:p>
<w:p>
<w:pPr><w:pStyle w:val="Normal"/></w:pPr>
<w:r><w:t xml:space="preserve">successively until it reaches the circumference, where it is</w:t></w:r>
</w:p>
<w:p>
<w:pPr><w:pStyle w:val="Normal"/></w:pPr>
<w:r><w:t xml:space="preserve">discharged continously by o and p into the collecting-box</w:t></w:r>
</w:p>
<w:p>
<w:pPr><w:pStyle w:val="Normal"/></w:pPr>
<w:r><w:t xml:space="preserve">(q), being now converted into salt-cake.  This furnace acts</w:t></w:r>
</w:p>
<w:p>
<w:pPr><w:pStyle w:val="Normal"/></w:pPr>
<w:r><w:t xml:space="preserve">very well, and has been widely introduced both in Great Britain</w:t></w:r>
</w:p>
<w:p>
<w:pPr><w:pStyle w:val="Normal"/></w:pPr>
<w:r><w:t xml:space="preserve">and in other countries, but it has one great drawback, apart</w:t></w:r>
</w:p>
<w:p>
<w:pPr><w:pStyle w:val="Normal"/></w:pPr>
<w:r><w:t xml:space="preserve">from its high cost, viz. that all the hydrochloric acid gas</w:t></w:r>
</w:p>
<w:p>
<w:pPr><w:pStyle w:val="Normal"/></w:pPr>
<w:r><w:t xml:space="preserve">gets mixed with fire-gases, and consequently is condensed</w:t></w:r>
</w:p>
<w:p>
<w:pPr><w:pStyle w:val="Normal"/></w:pPr>
<w:r><w:t xml:space="preserve">in a weaker and less pure form than from ordinary pots and</w:t></w:r>
</w:p>
<w:p>
<w:pPr><w:pStyle w:val="Normal"/></w:pPr>
<w:r><w:t xml:space="preserve">muffles.  This has led some factories which had introduced</w:t></w:r>
</w:p>
<w:p>
<w:pPr><w:pStyle w:val="Normal"/></w:pPr>
<w:r><w:t xml:space="preserve">such furnaces to revert to hand-wrought muffle-furnaces.</w:t></w:r>
</w:p>
<w:p>
<w:pPr><w:pStyle w:val="Normal"/></w:pPr>
<w:r><w:t xml:space="preserve">Much was expected at one time from the.``direct salt-cake</w:t></w:r>
</w:p>
<w:p>
<w:pPr><w:pStyle w:val="Normal"/></w:pPr>
<w:r><w:t xml:space="preserve">process&apos;&apos; of Hargreaves and Robinson, in which common salt</w:t></w:r>
</w:p>
<w:p>
<w:pPr><w:pStyle w:val="Normal"/></w:pPr>
<w:r><w:t xml:space="preserve">is subjected in a series of large cast-iron cylinders to</w:t></w:r>
</w:p>
<w:p>
<w:pPr><w:pStyle w:val="Normal"/></w:pPr>
<w:r><w:t xml:space="preserve">the action of pyrites-burner gases and steam at a low red</w:t></w:r>
</w:p>
<w:p>
<w:pPr><w:pStyle w:val="Normal"/></w:pPr>
<w:r><w:t xml:space="preserve">heat.  The reaction going on here is: 2NaCl + SO2 + O</w:t></w:r>
</w:p>
<w:p>
<w:pPr><w:pStyle w:val="Normal"/></w:pPr>
<w:r><w:t xml:space="preserve">+ H2O = Na2SO4 + 2HCl.  This means that the previous</w:t></w:r>
</w:p>
<w:p>
<w:pPr><w:pStyle w:val="Normal"/></w:pPr>
<w:r><w:t xml:space="preserve">manufacture of sulphuric acid in the vitriol-chambers is</w:t></w:r>
</w:p>
<w:p>
<w:pPr><w:pStyle w:val="Normal"/></w:pPr>
<w:r><w:t xml:space="preserve">done away with, but this apparently great simplification is</w:t></w:r>
</w:p>
<w:p>
<w:pPr><w:pStyle w:val="Normal"/></w:pPr>
<w:r><w:t xml:space="preserve">balanced by the great cost of the Hargreaves plant, and by</w:t></w:r>
</w:p>
<w:p>
<w:pPr><w:pStyle w:val="Normal"/></w:pPr>
<w:r><w:t xml:space="preserve">the fact that the whole of the hydrochloric acid is mixed</w:t></w:r>
</w:p>
<w:p>
<w:pPr><w:pStyle w:val="Normal"/></w:pPr>
<w:r><w:t xml:space="preserve">with nine or ten times its volume of inert gases.  Owing to</w:t></w:r>
</w:p>
<w:p>
<w:pPr><w:pStyle w:val="Normal"/></w:pPr>
<w:r><w:t xml:space="preserve">this, it is practically impossible to condense the gaseous</w:t></w:r>
</w:p>
<w:p>
<w:pPr><w:pStyle w:val="Normal"/></w:pPr>
<w:r><w:t xml:space="preserve">hydrochloric acid into the commercial acid, although this</w:t></w:r>
</w:p>
<w:p>
<w:pPr><w:pStyle w:val="Normal"/></w:pPr>
<w:r><w:t xml:space="preserve">acid may be obtained sufficiently strong to be worked up in</w:t></w:r>
</w:p>
<w:p>
<w:pPr><w:pStyle w:val="Normal"/></w:pPr>
<w:r><w:t xml:space="preserve">the Weldon chlorine process (see below, 3). Therefore the</w:t></w:r>
</w:p>
<w:p>
<w:pPr><w:pStyle w:val="Normal"/></w:pPr>
<w:r><w:t xml:space="preserve">Hargreaves process has been introduced only in a few places.</w:t></w:r>
</w:p>
<w:p>
<w:pPr><w:pStyle w:val="Normal"/></w:pPr>
<w:r><w:t xml:space="preserve">Although the consumption of salt-cake for the manufacture of</w:t></w:r>
</w:p>
<w:p>
<w:pPr><w:pStyle w:val="Normal"/></w:pPr>
<w:r><w:t xml:space="preserve">alkali is now much less than formerly, since the Leblanc alkali</w:t></w:r>
</w:p>
<w:p>
<w:pPr><w:pStyle w:val="Normal"/></w:pPr>
<w:r><w:t xml:space="preserve">process has been greatly restricted, yet it is largely made and</w:t></w:r>
</w:p>
<w:p>
<w:pPr><w:pStyle w:val="Normal"/></w:pPr>
<w:r><w:t xml:space="preserve">will continue to be made for the use of glassmakers, who use it</w:t></w:r>
</w:p>
<w:p>
<w:pPr><w:pStyle w:val="Normal"/></w:pPr>
<w:r><w:t xml:space="preserve">for the ordinary description of glass in the place of soda-ash.</w:t></w:r>
</w:p>
<w:p>
<w:pPr><w:pStyle w:val="Normal"/></w:pPr>
<w:r><w:t xml:space="preserve">Nor must it be overlooked that salt-cake must be made as long</w:t></w:r>
</w:p>
<w:p>
<w:pPr><w:pStyle w:val="Normal"/></w:pPr>
<w:r><w:t xml:space="preserve">FIG. 3.--Mechanical Salt-cake Furnace. (Sectional Elevation.) Scale</w:t></w:r>
</w:p>
<w:p>
<w:pPr><w:pStyle w:val="Normal"/></w:pPr>
<w:r><w:t xml:space="preserve">as there is a sale for hydrochloric acid, or a</w:t></w:r>
</w:p>
<w:p>
<w:pPr><w:pStyle w:val="Normal"/></w:pPr>
<w:r><w:t xml:space="preserve">consumption of the latter for the manufacture of chlorine.</w:t></w:r>
</w:p>
<w:p>
<w:pPr><w:pStyle w:val="Normal"/></w:pPr>
<w:r><w:t xml:space="preserve">2. Manufacture of Hydrochloric Acid (commercially also</w:t></w:r>
</w:p>
<w:p>
<w:pPr><w:pStyle w:val="Normal"/></w:pPr>
<w:r><w:t xml:space="preserve">known as ``muriatic acid&apos;&apos;).  This unavoidable gaseous</w:t></w:r>
</w:p>
<w:p>
<w:pPr><w:pStyle w:val="Normal"/></w:pPr>
<w:r><w:t xml:space="preserve">bye-product of the manufacture of salt-cake was, during</w:t></w:r>
</w:p>
<w:p>
<w:pPr><w:pStyle w:val="Normal"/></w:pPr>
<w:r><w:t xml:space="preserve">the first part of the 19th century, simply sent into the</w:t></w:r>
</w:p>
<w:p>
<w:pPr><w:pStyle w:val="Normal"/></w:pPr>
<w:r><w:t xml:space="preserve">air.  When its deleterious effects upon vegetation, building</w:t></w:r>
</w:p>
<w:p>
<w:pPr><w:pStyle w:val="Normal"/></w:pPr>
<w:r><w:t xml:space="preserve">materials, &amp;c., became better known, and when at the same</w:t></w:r>
</w:p>
<w:p>
<w:pPr><w:pStyle w:val="Normal"/></w:pPr>
<w:r><w:t xml:space="preserve">time an outlet had been found for moderate quantities of</w:t></w:r>
</w:p>
<w:p>
<w:pPr><w:pStyle w:val="Normal"/></w:pPr>
<w:r><w:t xml:space="preserve">hydrochloric acid, most factories made more or less successful</w:t></w:r>
</w:p>
<w:p>
<w:pPr><w:pStyle w:val="Normal"/></w:pPr>
<w:r><w:t xml:space="preserve">attempts to ``condense&apos;&apos; the gas by absorption in water.  But</w:t></w:r>
</w:p>
<w:p>
<w:pPr><w:pStyle w:val="Normal"/></w:pPr>
<w:r><w:t xml:space="preserve">this was hardly anywhere done to the fullest possible extent,</w:t></w:r>
</w:p>
<w:p>
<w:pPr><w:pStyle w:val="Normal"/></w:pPr>
<w:r><w:t xml:space="preserve">and in those districts where a number of alkali works were</w:t></w:r>
</w:p>
<w:p>
<w:pPr><w:pStyle w:val="Normal"/></w:pPr>
<w:r><w:t xml:space="preserve">located at no great distance from one another, their aggregate</w:t></w:r>
</w:p>
<w:p>
<w:pPr><w:pStyle w:val="Normal"/></w:pPr>
<w:r><w:t xml:space="preserve">escapes of hydrochloric and other acids created an intolerable</w:t></w:r>
</w:p>
<w:p>
<w:pPr><w:pStyle w:val="Normal"/></w:pPr>
<w:r><w:t xml:space="preserve">nuisance.  This was most notably the case in South Lancashire,</w:t></w:r>
</w:p>
<w:p>
<w:pPr><w:pStyle w:val="Normal"/></w:pPr>
<w:r><w:t xml:space="preserve">and it led to the passing of Lord Derby&apos;s ``Alkali Act,&apos;&apos; in</w:t></w:r>
</w:p>
<w:p>
<w:pPr><w:pStyle w:val="Normal"/></w:pPr>
<w:r><w:t xml:space="preserve">1863, supplemented by further legislation in 1874, 1881 and</w:t></w:r>
</w:p>
<w:p>
<w:pPr><w:pStyle w:val="Normal"/></w:pPr>
<w:r><w:t xml:space="preserve">later.  There is hardly another example in the annals of</w:t></w:r>
</w:p>
<w:p>
<w:pPr><w:pStyle w:val="Normal"/></w:pPr>
<w:r><w:t xml:space="preserve">legislative efforts equal to this, in respect of the real</w:t></w:r>
</w:p>
<w:p>
<w:pPr><w:pStyle w:val="Normal"/></w:pPr>
<w:r><w:t xml:space="preserve">benefit conferred by it both on the general public and</w:t></w:r>
</w:p>
<w:p>
<w:pPr><w:pStyle w:val="Normal"/></w:pPr>
<w:r><w:t xml:space="preserve">on the manufacturers themselves.  This is principally the</w:t></w:r>
</w:p>
<w:p>
<w:pPr><w:pStyle w:val="Normal"/></w:pPr>
<w:r><w:t xml:space="preserve">consequence of the exemplary way in which the duties of</w:t></w:r>
</w:p>
<w:p>
<w:pPr><w:pStyle w:val="Normal"/></w:pPr>
<w:r><w:t xml:space="preserve">inspector under these acts were carried out by Dr R. Angus</w:t></w:r>
</w:p>
<w:p>
<w:pPr><w:pStyle w:val="Normal"/></w:pPr>
<w:r><w:t xml:space="preserve">Smith (1817-1884) and his successors, who directed their</w:t></w:r>
</w:p>
<w:p>
<w:pPr><w:pStyle w:val="Normal"/></w:pPr>
<w:r><w:t xml:space="preserve">efforts not merely to their primary duty of preventing</w:t></w:r>
</w:p>
<w:p>
<w:pPr><w:pStyle w:val="Normal"/></w:pPr>
<w:r><w:t xml:space="preserve">nuisance, but quite as much to showing manufacturers how to</w:t></w:r>
</w:p>
<w:p>
<w:pPr><w:pStyle w:val="Normal"/></w:pPr>
<w:r><w:t xml:space="preserve">make the most of the acid formerly wasted in one shape or</w:t></w:r>
</w:p>
<w:p>
<w:pPr><w:pStyle w:val="Normal"/></w:pPr>
<w:r><w:t xml:space="preserve">another.  Not merely Great Britain but all mankind has been</w:t></w:r>
</w:p>
<w:p>
<w:pPr><w:pStyle w:val="Normal"/></w:pPr>
<w:r><w:t xml:space="preserve">immensely benefited by the labours of the British alkali</w:t></w:r>
</w:p>
<w:p>
<w:pPr><w:pStyle w:val="Normal"/></w:pPr>
<w:r><w:t xml:space="preserve">inspectors, which were, of course, supplemented by the work of</w:t></w:r>
</w:p>
<w:p>
<w:pPr><w:pStyle w:val="Normal"/></w:pPr>
<w:r><w:t xml:space="preserve">technical men in all the countries concerned.  The scientific</w:t></w:r>
</w:p>
<w:p>
<w:pPr><w:pStyle w:val="Normal"/></w:pPr>
<w:r><w:t xml:space="preserve">and technical principles of the condensation of hydrochloric</w:t></w:r>
</w:p>
<w:p>
<w:pPr><w:pStyle w:val="Normal"/></w:pPr>
<w:r><w:t xml:space="preserve">acid are now thoroughly well understood, and it is possible</w:t></w:r>
</w:p>
<w:p>
<w:pPr><w:pStyle w:val="Normal"/></w:pPr>
<w:r><w:t xml:space="preserve">to recover nearly the whole of it in the state of strong</w:t></w:r>
</w:p>
<w:p>
<w:pPr><w:pStyle w:val="Normal"/></w:pPr>
<w:r><w:t xml:space="preserve">commercial acid, containing from 32 to 36% of pure hydrochloric</w:t></w:r>
</w:p>
<w:p>
<w:pPr><w:pStyle w:val="Normal"/></w:pPr>
<w:r><w:t xml:space="preserve">acid, although probably the majority of the manufacturers are</w:t></w:r>
</w:p>
<w:p>
<w:pPr><w:pStyle w:val="Normal"/></w:pPr>
<w:r><w:t xml:space="preserve">still content to obtain part of the acid in a weaker state,</w:t></w:r>
</w:p>
<w:p>
<w:pPr><w:pStyle w:val="Normal"/></w:pPr>
<w:r><w:t xml:space="preserve">merely to satisfy the requirements of the law prescribing the</w:t></w:r>
</w:p>
<w:p>
<w:pPr><w:pStyle w:val="Normal"/></w:pPr>
<w:r><w:t xml:space="preserve">prevention of nuisance.  The principles of the condensation,</w:t></w:r>
</w:p>
<w:p>
<w:pPr><w:pStyle w:val="Normal"/></w:pPr>
<w:r><w:t xml:space="preserve">that is of converting the gaseous hydrochloric acid given</w:t></w:r>
</w:p>
<w:p>
<w:pPr><w:pStyle w:val="Normal"/></w:pPr>
<w:r><w:t xml:space="preserve">off during the decomposition of common salt into a strong</w:t></w:r>
</w:p>
<w:p>
<w:pPr><w:pStyle w:val="Normal"/></w:pPr>
<w:r><w:t xml:space="preserve">solution of this gas in water, can be summarized in a few</w:t></w:r>
</w:p>
<w:p>
<w:pPr><w:pStyle w:val="Normal"/></w:pPr>
<w:r><w:t xml:space="preserve">words.  The hydrochloric acid gas, which is always diluted</w:t></w:r>
</w:p>
<w:p>
<w:pPr><w:pStyle w:val="Normal"/></w:pPr>
<w:r><w:t xml:space="preserve">with air, sometimes to a very great extent, must be brought</w:t></w:r>
</w:p>
<w:p>
<w:pPr><w:pStyle w:val="Normal"/></w:pPr>
<w:r><w:t xml:space="preserve">into the most intimate contact possible with water, which</w:t></w:r>
</w:p>
<w:p>
<w:pPr><w:pStyle w:val="Normal"/></w:pPr>
<w:r><w:t xml:space="preserve">greedily absorbs it, forming ordinary hydrochloric acid,</w:t></w:r>
</w:p>
<w:p>
<w:pPr><w:pStyle w:val="Normal"/></w:pPr>
<w:r><w:t xml:space="preserve">and this process must be carried so far that scarcely any</w:t></w:r>
</w:p>
<w:p>
<w:pPr><w:pStyle w:val="Normal"/></w:pPr>
<w:r><w:t xml:space="preserve">hydrochloric acid remains in the escaping gases.  The maximum</w:t></w:r>
</w:p>
<w:p>
<w:pPr><w:pStyle w:val="Normal"/></w:pPr>
<w:r><w:t xml:space="preserve">escape allowed by thc Alkali Acts, viz. 5 % of the total</w:t></w:r>
</w:p>
<w:p>
<w:pPr><w:pStyle w:val="Normal"/></w:pPr>
<w:r><w:t xml:space="preserve">hydrochloric acid, is far above that which is now practically</w:t></w:r>
</w:p>
<w:p>
<w:pPr><w:pStyle w:val="Normal"/></w:pPr>
<w:r><w:t xml:space="preserve">attained.  For a proper utilization of the condensed acid it</w:t></w:r>
</w:p>
<w:p>
<w:pPr><w:pStyle w:val="Normal"/></w:pPr>
<w:r><w:t xml:space="preserve">is nearly always imperative that it should be as strong as</w:t></w:r>
</w:p>
<w:p>
<w:pPr><w:pStyle w:val="Normal"/></w:pPr>
<w:r><w:t xml:space="preserve">possible, and this forms a second important consideration</w:t></w:r>
</w:p>
<w:p>
<w:pPr><w:pStyle w:val="Normal"/></w:pPr>
<w:r><w:t xml:space="preserve">in the construction of the condensing apparatus.  Since the</w:t></w:r>
</w:p>
<w:p>
<w:pPr><w:pStyle w:val="Normal"/></w:pPr>
<w:r><w:t xml:space="preserve">solubility of hydrochloric acid in water decreases with the</w:t></w:r>
</w:p>
<w:p>
<w:pPr><w:pStyle w:val="Normal"/></w:pPr>
<w:r><w:t xml:space="preserve">increase of the temperature, it is necessary to keep the</w:t></w:r>
</w:p>
<w:p>
<w:pPr><w:pStyle w:val="Normal"/></w:pPr>
<w:r><w:t xml:space="preserve">latter down--a task which is rendered somewhat difficult</w:t></w:r>
</w:p>
<w:p>
<w:pPr><w:pStyle w:val="Normal"/></w:pPr>
<w:r><w:t xml:space="preserve">both by the original heat retained by the gases on their</w:t></w:r>
</w:p>
<w:p>
<w:pPr><w:pStyle w:val="Normal"/></w:pPr>
<w:r><w:t xml:space="preserve">escape from the decomposing apparatus, and by the heat given</w:t></w:r>
</w:p>
<w:p>
<w:pPr><w:pStyle w:val="Normal"/></w:pPr>
<w:r><w:t xml:space="preserve">off through the reaction of hydrochloric acid upon water.</w:t></w:r>
</w:p>
<w:p>
<w:pPr><w:pStyle w:val="Normal"/></w:pPr>
<w:r><w:t xml:space="preserve">Very different methods have been employed to effect all the</w:t></w:r>
</w:p>
<w:p>
<w:pPr><w:pStyle w:val="Normal"/></w:pPr>
<w:r><w:t xml:space="preserve">above purposes.  In Great Britain Gay-Lussac&apos;s coke-towers,</w:t></w:r>
</w:p>
<w:p>
<w:pPr><w:pStyle w:val="Normal"/></w:pPr>
<w:r><w:t xml:space="preserve">adapted by W. Gossage to the condensation of hydrochloric</w:t></w:r>
</w:p>
<w:p>
<w:pPr><w:pStyle w:val="Normal"/></w:pPr>
<w:r><w:t xml:space="preserve">acid, are still nearly everywhere in use, frequently combined</w:t></w:r>
</w:p>
<w:p>
<w:pPr><w:pStyle w:val="Normal"/></w:pPr>
<w:r><w:t xml:space="preserve">with a number of stone tanks through which the gas from</w:t></w:r>
</w:p>
<w:p>
<w:pPr><w:pStyle w:val="Normal"/></w:pPr>
<w:r><w:t xml:space="preserve">the furnaces travels before entering the towers, meeting</w:t></w:r>
</w:p>
<w:p>
<w:pPr><w:pStyle w:val="Normal"/></w:pPr>
<w:r><w:t xml:space="preserve">on its way the acid condensed in the tower.  This process</w:t></w:r>
</w:p>
<w:p>
<w:pPr><w:pStyle w:val="Normal"/></w:pPr>
<w:r><w:t xml:space="preserve">is excellent for effecting a complete condensation of the</w:t></w:r>
</w:p>
<w:p>
<w:pPr><w:pStyle w:val="Normal"/></w:pPr>
<w:r><w:t xml:space="preserve">hydrochloric acid as prescribed by the Alkali Acts, and for</w:t></w:r>
</w:p>
<w:p>
<w:pPr><w:pStyle w:val="Normal"/></w:pPr>
<w:r><w:t xml:space="preserve">recovering the bulk of the acid in a tolerably strong state,</w:t></w:r>
</w:p>
<w:p>
<w:pPr><w:pStyle w:val="Normal"/></w:pPr>
<w:r><w:t xml:space="preserve">but less so for recovering nearly the whole of it in the</w:t></w:r>
</w:p>
<w:p>
<w:pPr><w:pStyle w:val="Normal"/></w:pPr>
<w:r><w:t xml:space="preserve">most concentrated state, although even this is occasionally</w:t></w:r>
</w:p>
<w:p>
<w:pPr><w:pStyle w:val="Normal"/></w:pPr>
<w:r><w:t xml:space="preserve">attained.  On the continent of Europe, where the last-named</w:t></w:r>
</w:p>
<w:p>
<w:pPr><w:pStyle w:val="Normal"/></w:pPr>
<w:r><w:t xml:space="preserve">requirement has been for a long time more urgent than in Great</w:t></w:r>
</w:p>
<w:p>
<w:pPr><w:pStyle w:val="Normal"/></w:pPr>
<w:r><w:t xml:space="preserve">Britain, another system has been generally preferred, namely,</w:t></w:r>
</w:p>
<w:p>
<w:pPr><w:pStyle w:val="Normal"/></w:pPr>
<w:r><w:t xml:space="preserve">passing the gas through a long series of stoneware receivers,</w:t></w:r>
</w:p>
<w:p>
<w:pPr><w:pStyle w:val="Normal"/></w:pPr>
<w:r><w:t xml:space="preserve">and ultimately through a small tower packed with stoneware or</w:t></w:r>
</w:p>
<w:p>
<w:pPr><w:pStyle w:val="Normal"/></w:pPr>
<w:r><w:t xml:space="preserve">coke, making the acid flow in the opposite direction to the</w:t></w:r>
</w:p>
<w:p>
<w:pPr><w:pStyle w:val="Normal"/></w:pPr>
<w:r><w:t xml:space="preserve">gas.  Great success has also been obtained by ``plate-towers&apos;&apos;</w:t></w:r>
</w:p>
<w:p>
<w:pPr><w:pStyle w:val="Normal"/></w:pPr>
<w:r><w:t xml:space="preserve">made of stoneware, which allow both the coke-towers and</w:t></w:r>
</w:p>
<w:p>
<w:pPr><w:pStyle w:val="Normal"/></w:pPr>
<w:r><w:t xml:space="preserve">most of the stoneware receivers to be dispensed with.</w:t></w:r>
</w:p>
<w:p>
<w:pPr><w:pStyle w:val="Normal"/></w:pPr>
<w:r><w:t xml:space="preserve">3. Preparation of Chlorine.--In this place we speak only</w:t></w:r>
</w:p>
<w:p>
<w:pPr><w:pStyle w:val="Normal"/></w:pPr>
<w:r><w:t xml:space="preserve">of the preparation of chlorine from hydrochloric acid by</w:t></w:r>
</w:p>
<w:p>
<w:pPr><w:pStyle w:val="Normal"/></w:pPr>
<w:r><w:t xml:space="preserve">chemical processes; the electrolytic processes will be treated</w:t></w:r>
</w:p>
<w:p>
<w:pPr><w:pStyle w:val="Normal"/></w:pPr>
<w:r><w:t xml:space="preserve">hereafter.  It is clear that free chlorine must be prepared</w:t></w:r>
</w:p>
<w:p>
<w:pPr><w:pStyle w:val="Normal"/></w:pPr>
<w:r><w:t xml:space="preserve">from hydrochloric acid by oxidizing the hydrogen.  This can</w:t></w:r>
</w:p>
<w:p>
<w:pPr><w:pStyle w:val="Normal"/></w:pPr>
<w:r><w:t xml:space="preserve">be done most easily by ``active&apos;&apos; oxygen, such as is present</w:t></w:r>
</w:p>
<w:p>
<w:pPr><w:pStyle w:val="Normal"/></w:pPr>
<w:r><w:t xml:space="preserve">in the peroxides, in chromic or permanganic acid.  Practically</w:t></w:r>
</w:p>
<w:p>
<w:pPr><w:pStyle w:val="Normal"/></w:pPr>
<w:r><w:t xml:space="preserve">the only agent employed in this way, and that already by C. W.</w:t></w:r>
</w:p>
<w:p>
<w:pPr><w:pStyle w:val="Normal"/></w:pPr>
<w:r><w:t xml:space="preserve">Scheele, the discoverer of chlorine, in 1774, is the peroxide</w:t></w:r>
</w:p>
<w:p>
<w:pPr><w:pStyle w:val="Normal"/></w:pPr>
<w:r><w:t xml:space="preserve">of manganese (manganese dioxide), found in considerable</w:t></w:r>
</w:p>
<w:p>
<w:pPr><w:pStyle w:val="Normal"/></w:pPr>
<w:r><w:t xml:space="preserve">quantities in nature as ``manganese ore&apos;&apos; (the purest of which</w:t></w:r>
</w:p>
<w:p>
<w:pPr><w:pStyle w:val="Normal"/></w:pPr>
<w:r><w:t xml:space="preserve">is called pyrolusite), and also artificially regenerated from</w:t></w:r>
</w:p>
<w:p>
<w:pPr><w:pStyle w:val="Normal"/></w:pPr>
<w:r><w:t xml:space="preserve">the waste liquors of a former operation.  Even now, where</w:t></w:r>
</w:p>
<w:p>
<w:pPr><w:pStyle w:val="Normal"/></w:pPr>
<w:r><w:t xml:space="preserve">chlorine is required for immediate use in some other chemical</w:t></w:r>
</w:p>
<w:p>
<w:pPr><w:pStyle w:val="Normal"/></w:pPr>
<w:r><w:t xml:space="preserve">operations on a comparatively small scale, it is obtained by</w:t></w:r>
</w:p>
<w:p>
<w:pPr><w:pStyle w:val="Normal"/></w:pPr>
<w:r><w:t xml:space="preserve">the action of hydrochloric acid on native manganese dioxide,</w:t></w:r>
</w:p>
<w:p>
<w:pPr><w:pStyle w:val="Normal"/></w:pPr>
<w:r><w:t xml:space="preserve">according to the equation: Mno2 + 4HCl = MnCl2 + Cl2 +</w:t></w:r>
</w:p>
<w:p>
<w:pPr><w:pStyle w:val="Normal"/></w:pPr>
<w:r><w:t xml:space="preserve">2H2O.  This action must be promoted by heating the mixture,</w:t></w:r>
</w:p>
<w:p>
<w:pPr><w:pStyle w:val="Normal"/></w:pPr>
<w:r><w:t xml:space="preserve">but even then nothing like all of the hydrochloric acid</w:t></w:r>
</w:p>
<w:p>
<w:pPr><w:pStyle w:val="Normal"/></w:pPr>
<w:r><w:t xml:space="preserve">employed is made to act as above, because the attack on the</w:t></w:r>
</w:p>
<w:p>
<w:pPr><w:pStyle w:val="Normal"/></w:pPr>
<w:r><w:t xml:space="preserve">manganese ore requires a certain minimum concentration of the</w:t></w:r>
</w:p>
<w:p>
<w:pPr><w:pStyle w:val="Normal"/></w:pPr>
<w:r><w:t xml:space="preserve">acid.  Formerly, instead of free hydrochloric acid a mixture</w:t></w:r>
</w:p>
<w:p>
<w:pPr><w:pStyle w:val="Normal"/></w:pPr>
<w:r><w:t xml:space="preserve">of common salt and sulphuric acid was sometimes employed, but</w:t></w:r>
</w:p>
<w:p>
<w:pPr><w:pStyle w:val="Normal"/></w:pPr>
<w:r><w:t xml:space="preserve">this is never done on a manufacturing scale now.  Owing to</w:t></w:r>
</w:p>
<w:p>
<w:pPr><w:pStyle w:val="Normal"/></w:pPr>
<w:r><w:t xml:space="preserve">the impossibility of employing any metal in contact with the</w:t></w:r>
</w:p>
<w:p>
<w:pPr><w:pStyle w:val="Normal"/></w:pPr>
<w:r><w:t xml:space="preserve">acid, the ``chlorine stills,&apos;&apos; where the above reaction is</w:t></w:r>
</w:p>
<w:p>
<w:pPr><w:pStyle w:val="Normal"/></w:pPr>
<w:r><w:t xml:space="preserve">carried out, must be made of acid-proof stones or ``chemical&apos;&apos;</w:t></w:r>
</w:p>
<w:p>
<w:pPr><w:pStyle w:val="Normal"/></w:pPr>
<w:r><w:t xml:space="preserve">stoneware.  This process is very costly, as much of the</w:t></w:r>
</w:p>
<w:p>
<w:pPr><w:pStyle w:val="Normal"/></w:pPr>
<w:r><w:t xml:space="preserve">acid and all of the manganese is wasted.  Moreover it is</w:t></w:r>
</w:p>
<w:p>
<w:pPr><w:pStyle w:val="Normal"/></w:pPr>
<w:r><w:t xml:space="preserve">of a most disagreeable kind, as the waste ``still-liquor,&apos;&apos;</w:t></w:r>
</w:p>
<w:p>
<w:pPr><w:pStyle w:val="Normal"/></w:pPr>
<w:r><w:t xml:space="preserve">containing very much free hydrochloric acid and even some free</w:t></w:r>
</w:p>
<w:p>
<w:pPr><w:pStyle w:val="Normal"/></w:pPr>
<w:r><w:t xml:space="preserve">chlorine, forms a most deleterious impurity when finding its</w:t></w:r>
</w:p>
<w:p>
<w:pPr><w:pStyle w:val="Normal"/></w:pPr>
<w:r><w:t xml:space="preserve">way into drains or water- courses, apart from the intolerable</w:t></w:r>
</w:p>
<w:p>
<w:pPr><w:pStyle w:val="Normal"/></w:pPr>
<w:r><w:t xml:space="preserve">nuisance caused by the escapes of chlorine from the stills</w:t></w:r>
</w:p>
<w:p>
<w:pPr><w:pStyle w:val="Normal"/></w:pPr>
<w:r><w:t xml:space="preserve">and otherwise, which cannot be at all times avoided.</w:t></w:r>
</w:p>
<w:p>
<w:pPr><w:pStyle w:val="Normal"/></w:pPr>
<w:r><w:t xml:space="preserve">Many endeavours were made to avoid the loss of the</w:t></w:r>
</w:p>
<w:p>
<w:pPr><w:pStyle w:val="Normal"/></w:pPr>
<w:r><w:t xml:space="preserve">manganese in this operation, but with only partial or no</w:t></w:r>
</w:p>
<w:p>
<w:pPr><w:pStyle w:val="Normal"/></w:pPr>
<w:r><w:t xml:space="preserve">success.  The difficulty was only overcome by the Weldon</w:t></w:r>
</w:p>
<w:p>
<w:pPr><w:pStyle w:val="Normal"/></w:pPr>
<w:r><w:t xml:space="preserve">process, being the inventions of Walter Weldon from 1866</w:t></w:r>
</w:p>
<w:p>
<w:pPr><w:pStyle w:val="Normal"/></w:pPr>
<w:r><w:t xml:space="preserve">onwards, and his process up to this day furnishes the greater</w:t></w:r>
</w:p>
<w:p>
<w:pPr><w:pStyle w:val="Normal"/></w:pPr>
<w:r><w:t xml:space="preserve">proportion of chlorine manufactured in the world.  It begins</w:t></w:r>
</w:p>
<w:p>
<w:pPr><w:pStyle w:val="Normal"/></w:pPr>
<w:r><w:t xml:space="preserve">with ``still-liquor,&apos;&apos; obtained in the old way from native</w:t></w:r>
</w:p>
<w:p>
<w:pPr><w:pStyle w:val="Normal"/></w:pPr>
<w:r><w:t xml:space="preserve">manganese ore and hydrochloric acid.  This liquor is first</w:t></w:r>
</w:p>
<w:p>
<w:pPr><w:pStyle w:val="Normal"/></w:pPr>
<w:r><w:t xml:space="preserve">treated with carbonate of lime (ground chalk or limestone)</w:t></w:r>
</w:p>
<w:p>
<w:pPr><w:pStyle w:val="Normal"/></w:pPr>
<w:r><w:t xml:space="preserve">in a ``neutralizing-well,&apos;&apos; made of acid-proof material and</w:t></w:r>
</w:p>
<w:p>
<w:pPr><w:pStyle w:val="Normal"/></w:pPr>
<w:r><w:t xml:space="preserve">provided with wooden stirring-gear.  Here the free hydrochloric</w:t></w:r>
</w:p>
<w:p>
<w:pPr><w:pStyle w:val="Normal"/></w:pPr>
<w:r><w:t xml:space="preserve">acid is converted into calcium chloride, and at the same time</w:t></w:r>
</w:p>
<w:p>
<w:pPr><w:pStyle w:val="Normal"/></w:pPr>
<w:r><w:t xml:space="preserve">any ferric chloride present is converted into insoluble ferric</w:t></w:r>
</w:p>
<w:p>
<w:pPr><w:pStyle w:val="Normal"/></w:pPr>
<w:r><w:t xml:space="preserve">hydroxide: 2FeCl3 + 3CaCO3 + 3 H2O = 2Fe(OH)3 + 3CaCl2 +</w:t></w:r>
</w:p>
<w:p>
<w:pPr><w:pStyle w:val="Normal"/></w:pPr>
<w:r><w:t xml:space="preserve">3CO2.  The sulphuric acid present is mostly precipitated as</w:t></w:r>
</w:p>
<w:p>
<w:pPr><w:pStyle w:val="Normal"/></w:pPr>
<w:r><w:t xml:space="preserve">calcium sulphate.  The mud thus formed is settled out, and</w:t></w:r>
</w:p>
<w:p>
<w:pPr><w:pStyle w:val="Normal"/></w:pPr>
<w:r><w:t xml:space="preserve">the clear liquor, which is now quite neutral and contains</w:t></w:r>
</w:p>
<w:p>
<w:pPr><w:pStyle w:val="Normal"/></w:pPr>
<w:r><w:t xml:space="preserve">both manganese and calcium chlorides, is mixed with cream of</w:t></w:r>
</w:p>
<w:p>
<w:pPr><w:pStyle w:val="Normal"/></w:pPr>
<w:r><w:t xml:space="preserve">lime and treated by a strong current of air, produced by a</w:t></w:r>
</w:p>
<w:p>
<w:pPr><w:pStyle w:val="Normal"/></w:pPr>
<w:r><w:t xml:space="preserve">blowing-engine.  This is done in a tall iron cylinder, say</w:t></w:r>
</w:p>
<w:p>
<w:pPr><w:pStyle w:val="Normal"/></w:pPr>
<w:r><w:t xml:space="preserve">9 ft. wide and 30 ft. high, called the ``oxidizer.&apos;&apos; The</w:t></w:r>
</w:p>
<w:p>
<w:pPr><w:pStyle w:val="Normal"/></w:pPr>
<w:r><w:t xml:space="preserve">air-pipe goes right to the bottom of the cylinder and there</w:t></w:r>
</w:p>
<w:p>
<w:pPr><w:pStyle w:val="Normal"/></w:pPr>
<w:r><w:t xml:space="preserve">branches out into perforated side-pipes, so that the mass</w:t></w:r>
</w:p>
<w:p>
<w:pPr><w:pStyle w:val="Normal"/></w:pPr>
<w:r><w:t xml:space="preserve">is thoroughly stirred up all the time.  The first action of</w:t></w:r>
</w:p>
<w:p>
<w:pPr><w:pStyle w:val="Normal"/></w:pPr>
<w:r><w:t xml:space="preserve">the lime is to convert the manganese chloride into manganous</w:t></w:r>
</w:p>
<w:p>
<w:pPr><w:pStyle w:val="Normal"/></w:pPr>
<w:r><w:t xml:space="preserve">hydrate (Mn(OH)2) and calcium chloride; then more lime</w:t></w:r>
</w:p>
<w:p>
<w:pPr><w:pStyle w:val="Normal"/></w:pPr>
<w:r><w:t xml:space="preserve">is added which greatly promotes and hastens the oxidizing</w:t></w:r>
</w:p>
<w:p>
<w:pPr><w:pStyle w:val="Normal"/></w:pPr>
<w:r><w:t xml:space="preserve">process.  The object of the latter is to convert the</w:t></w:r>
</w:p>
<w:p>
<w:pPr><w:pStyle w:val="Normal"/></w:pPr>
<w:r><w:t xml:space="preserve">manganous hydroxide by the atmospheric oxygen into manganese</w:t></w:r>
</w:p>
<w:p>
<w:pPr><w:pStyle w:val="Normal"/></w:pPr>
<w:r><w:t xml:space="preserve">dioxide, but this would take place much too slowly if there</w:t></w:r>
</w:p>
<w:p>
<w:pPr><w:pStyle w:val="Normal"/></w:pPr>
<w:r><w:t xml:space="preserve">was not an excess of lime present ready to combine with the</w:t></w:r>
</w:p>
<w:p>
<w:pPr><w:pStyle w:val="Normal"/></w:pPr>
<w:r><w:t xml:space="preserve">manganese dioxide to form a calcium manganite.  Only so much</w:t></w:r>
</w:p>
<w:p>
<w:pPr><w:pStyle w:val="Normal"/></w:pPr>
<w:r><w:t xml:space="preserve">lime is used that an acid manganite is formed corresponding</w:t></w:r>
</w:p>
<w:p>
<w:pPr><w:pStyle w:val="Normal"/></w:pPr>
<w:r><w:t xml:space="preserve">to one molecule of calcium oxide to two of manganous</w:t></w:r>
</w:p>
<w:p>
<w:pPr><w:pStyle w:val="Normal"/></w:pPr>
<w:r><w:t xml:space="preserve">oxide.  This additional lime, which is called the ``basis,&apos;&apos;</w:t></w:r>
</w:p>
<w:p>
<w:pPr><w:pStyle w:val="Normal"/></w:pPr>
<w:r><w:t xml:space="preserve">certainly takes up hydrochloric acid in the next stage of</w:t></w:r>
</w:p>
<w:p>
<w:pPr><w:pStyle w:val="Normal"/></w:pPr>
<w:r><w:t xml:space="preserve">the process, but that causes no more waste of acid than</w:t></w:r>
</w:p>
<w:p>
<w:pPr><w:pStyle w:val="Normal"/></w:pPr>
<w:r><w:t xml:space="preserve">the incomplete action on native manganese ore, mentioned</w:t></w:r>
</w:p>
<w:p>
<w:pPr><w:pStyle w:val="Normal"/></w:pPr>
<w:r><w:t xml:space="preserve">before.  The product obtained, called ``Weldon mud,&apos;&apos; is of</w:t></w:r>
</w:p>
<w:p>
<w:pPr><w:pStyle w:val="Normal"/></w:pPr>
<w:r><w:t xml:space="preserve">such fine texture that it acts immediately with hydrochloric</w:t></w:r>
</w:p>
<w:p>
<w:pPr><w:pStyle w:val="Normal"/></w:pPr>
<w:r><w:t xml:space="preserve">acid when mixed with it in the ``Weldon stills&apos;&apos; (fig.</w:t></w:r>
</w:p>
<w:p>
<w:pPr><w:pStyle w:val="Normal"/></w:pPr>
<w:r><w:t xml:space="preserve">4), and that this acid can be almost entirely neutralized</w:t></w:r>
</w:p>
<w:p>
<w:pPr><w:pStyle w:val="Normal"/></w:pPr>
<w:r><w:t xml:space="preserve">thereby.  The new still liquor formed in this manner is treated</w:t></w:r>
</w:p>
<w:p>
<w:pPr><w:pStyle w:val="Normal"/></w:pPr>
<w:r><w:t xml:space="preserve">as above, so that the manganese does its work over and over</w:t></w:r>
</w:p>
<w:p>
<w:pPr><w:pStyle w:val="Normal"/></w:pPr>
<w:r><w:t xml:space="preserve">again.  There is only a slight mechanical loss, which</w:t></w:r>
</w:p>
<w:p>
<w:pPr><w:pStyle w:val="Normal"/></w:pPr>
<w:r><w:t xml:space="preserve">is reduced in the best managed works to about 2 parts of</w:t></w:r>
</w:p>
<w:p>
<w:pPr><w:pStyle w:val="Normal"/></w:pPr>
<w:r><w:t xml:space="preserve">manganese dioxide to 100 of bleaching- powder.  There are</w:t></w:r>
</w:p>
<w:p>
<w:pPr><w:pStyle w:val="Normal"/></w:pPr>
<w:r><w:t xml:space="preserve">also other advantages of this process which explain its wide</w:t></w:r>
</w:p>
<w:p>
<w:pPr><w:pStyle w:val="Normal"/></w:pPr>
<w:r><w:t xml:space="preserve">extension, in spite of the fact that only from 30 to 35</w:t></w:r>
</w:p>
<w:p>
<w:pPr><w:pStyle w:val="Normal"/></w:pPr>
<w:r><w:t xml:space="preserve">parts of the hydrochloric acid employed is converted into</w:t></w:r>
</w:p>
<w:p>
<w:pPr><w:pStyle w:val="Normal"/></w:pPr>
<w:r><w:t xml:space="preserve">chlorine, the remainder ultimately leaving the factory in the</w:t></w:r>
</w:p>
<w:p>
<w:pPr><w:pStyle w:val="Normal"/></w:pPr>
<w:r><w:t xml:space="preserve">shape of a harmless but useless solution of calcium chloride.</w:t></w:r>
</w:p>
<w:p>
<w:pPr><w:pStyle w:val="Normal"/></w:pPr>
<w:r><w:t xml:space="preserve">Weldon&apos;s later attempts at superseding his classical process</w:t></w:r>
</w:p>
<w:p>
<w:pPr><w:pStyle w:val="Normal"/></w:pPr>
<w:r><w:t xml:space="preserve">by other inventions which utilize a larger proportion</w:t></w:r>
</w:p>
<w:p>
<w:pPr><w:pStyle w:val="Normal"/></w:pPr>
<w:r><w:t xml:space="preserve">of the chlorine, introduced as hydrochloric acid, have</w:t></w:r>
</w:p>
<w:p>
<w:pPr><w:pStyle w:val="Normal"/></w:pPr>
<w:r><w:t xml:space="preserve">not been successful in the long run, although some of</w:t></w:r>
</w:p>
<w:p>
<w:pPr><w:pStyle w:val="Normal"/></w:pPr>
<w:r><w:t xml:space="preserve">them were aided by the great technical skill of A. R.</w:t></w:r>
</w:p>
<w:p>
<w:pPr><w:pStyle w:val="Normal"/></w:pPr>
<w:r><w:t xml:space="preserve">Pechiney.  But the Deacon process, the invention of Henry</w:t></w:r>
</w:p>
<w:p>
<w:pPr><w:pStyle w:val="Normal"/></w:pPr>
<w:r><w:t xml:space="preserve">Deacon (who was greatly aided by his chemist Dr Ferdinand</w:t></w:r>
</w:p>
<w:p>
<w:pPr><w:pStyle w:val="Normal"/></w:pPr>
<w:r><w:t xml:space="preserve">Hurter), carried out since 1868, has attained to better,</w:t></w:r>
</w:p>
<w:p>
<w:pPr><w:pStyle w:val="Normal"/></w:pPr>
<w:r><w:t xml:space="preserve">although nothing like complete, success in that direction.</w:t></w:r>
</w:p>
<w:p>
<w:pPr><w:pStyle w:val="Normal"/></w:pPr>
<w:r><w:t xml:space="preserve">The Deacon process, like the Weldon process, effects its object</w:t></w:r>
</w:p>
<w:p>
<w:pPr><w:pStyle w:val="Normal"/></w:pPr>
<w:r><w:t xml:space="preserve">by the oxidizing action of atmospheric air, but in a very</w:t></w:r>
</w:p>
<w:p>
<w:pPr><w:pStyle w:val="Normal"/></w:pPr>
<w:r><w:t xml:space="preserve">different manner.  Weldon retained the principle of the Scheele</w:t></w:r>
</w:p>
<w:p>
<w:pPr><w:pStyle w:val="Normal"/></w:pPr>
<w:r><w:t xml:space="preserve">FIG. 4.--Weldon Chlorine Still. (Sectional Elevation.) Scale</w:t></w:r>
</w:p>
<w:p>
<w:pPr><w:pStyle w:val="Normal"/></w:pPr>
<w:r><w:t xml:space="preserve">C, Stone steam column resting in stone socket K.</w:t></w:r>
</w:p>
<w:p>
<w:pPr><w:pStyle w:val="Normal"/></w:pPr>
<w:r><w:t xml:space="preserve">process by employing the active oxygen of manganese dioxide</w:t></w:r>
</w:p>
<w:p>
<w:pPr><w:pStyle w:val="Normal"/></w:pPr>
<w:r><w:t xml:space="preserve">to convert hydrochloric acid into free chlorine, and he</w:t></w:r>
</w:p>
<w:p>
<w:pPr><w:pStyle w:val="Normal"/></w:pPr>
<w:r><w:t xml:space="preserve">employed the atmospheric oxygen only indirectly, for the</w:t></w:r>
</w:p>
<w:p>
<w:pPr><w:pStyle w:val="Normal"/></w:pPr>
<w:r><w:t xml:space="preserve">recovery of manganese dioxide from the manganese chloride</w:t></w:r>
</w:p>
<w:p>
<w:pPr><w:pStyle w:val="Normal"/></w:pPr>
<w:r><w:t xml:space="preserve">formed.  But Deacon worked on the direct reaction: 2HCl +</w:t></w:r>
</w:p>
<w:p>
<w:pPr><w:pStyle w:val="Normal"/></w:pPr>
<w:r><w:t xml:space="preserve">O = H2O + Cl2.  This reaction in ordinary circumstances</w:t></w:r>
</w:p>
<w:p>
<w:pPr><w:pStyle w:val="Normal"/></w:pPr>
<w:r><w:t xml:space="preserve">is so slow as to be practically useless.  If, however, a</w:t></w:r>
</w:p>
<w:p>
<w:pPr><w:pStyle w:val="Normal"/></w:pPr>
<w:r><w:t xml:space="preserve">``contact-substance&apos;&apos; is employed and that at the proper</w:t></w:r>
</w:p>
<w:p>
<w:pPr><w:pStyle w:val="Normal"/></w:pPr>
<w:r><w:t xml:space="preserve">temperature, the process goes on at an immensely quickened</w:t></w:r>
</w:p>
<w:p>
<w:pPr><w:pStyle w:val="Normal"/></w:pPr>
<w:r><w:t xml:space="preserve">rate and can even be carried out as a continuous operation.</w:t></w:r>
</w:p>
<w:p>
<w:pPr><w:pStyle w:val="Normal"/></w:pPr>
<w:r><w:t xml:space="preserve">The only substance which possesses sufficiently strong</w:t></w:r>
</w:p>
<w:p>
<w:pPr><w:pStyle w:val="Normal"/></w:pPr>
<w:r><w:t xml:space="preserve">catalytic properties for the reaction is cupric chloride.</w:t></w:r>
</w:p>
<w:p>
<w:pPr><w:pStyle w:val="Normal"/></w:pPr>
<w:r><w:t xml:space="preserve">If pieces of porous clay are soaked in a solution of this</w:t></w:r>
</w:p>
<w:p>
<w:pPr><w:pStyle w:val="Normal"/></w:pPr>
<w:r><w:t xml:space="preserve">salt and dried and kept at a temperature of 450 deg.  C. (in</w:t></w:r>
</w:p>
<w:p>
<w:pPr><w:pStyle w:val="Normal"/></w:pPr>
<w:r><w:t xml:space="preserve">practice it is necessary to go to a rather higher temperature),</w:t></w:r>
</w:p>
<w:p>
<w:pPr><w:pStyle w:val="Normal"/></w:pPr>
<w:r><w:t xml:space="preserve">it is possible continuously to convert a united stream of</w:t></w:r>
</w:p>
<w:p>
<w:pPr><w:pStyle w:val="Normal"/></w:pPr>
<w:r><w:t xml:space="preserve">hydrochloric acid and atmospheric air, passed through the</w:t></w:r>
</w:p>
<w:p>
<w:pPr><w:pStyle w:val="Normal"/></w:pPr>
<w:r><w:t xml:space="preserve">contact- substance in a ``decomposer&apos;&apos; (fig. 5), to a larger</w:t></w:r>
</w:p>
<w:p>
<w:pPr><w:pStyle w:val="Normal"/></w:pPr>
<w:r><w:t xml:space="preserve">extent into chlorine and water, of course mixed with the excess</w:t></w:r>
</w:p>
<w:p>
<w:pPr><w:pStyle w:val="Normal"/></w:pPr>
<w:r><w:t xml:space="preserve">of oxygen and all the nitrogen of the air.  On a small scale</w:t></w:r>
</w:p>
<w:p>
<w:pPr><w:pStyle w:val="Normal"/></w:pPr>
<w:r><w:t xml:space="preserve">it is possible to push the decomposition as far as 90% of the</w:t></w:r>
</w:p>
<w:p>
<w:pPr><w:pStyle w:val="Normal"/></w:pPr>
<w:r><w:t xml:space="preserve">hydrochloric acid, but on the large scale only at most 60% is</w:t></w:r>
</w:p>
<w:p>
<w:pPr><w:pStyle w:val="Normal"/></w:pPr>
<w:r><w:t xml:space="preserve">reached.  The mixture of hydrochloric acid and air is taken</w:t></w:r>
</w:p>
<w:p>
<w:pPr><w:pStyle w:val="Normal"/></w:pPr>
<w:r><w:t xml:space="preserve">directly from the ``decomposing-pan&apos;&apos; of an ordinary salt-cake</w:t></w:r>
</w:p>
<w:p>
<w:pPr><w:pStyle w:val="Normal"/></w:pPr>
<w:r><w:t xml:space="preserve">furnace, is first cooled down in pipes sufficiently to</w:t></w:r>
</w:p>
<w:p>
<w:pPr><w:pStyle w:val="Normal"/></w:pPr>
<w:r><w:t xml:space="preserve">condense most of the moisture present (together with about</w:t></w:r>
</w:p>
<w:p>
<w:pPr><w:pStyle w:val="Normal"/></w:pPr>
<w:r><w:t xml:space="preserve">8% of the hydrochloric acid), and then passed through a</w:t></w:r>
</w:p>
<w:p>
<w:pPr><w:pStyle w:val="Normal"/></w:pPr>
<w:r><w:t xml:space="preserve">cast-iron superheater and from this into the ``decomposer.&apos;&apos;</w:t></w:r>
</w:p>
<w:p>
<w:pPr><w:pStyle w:val="Normal"/></w:pPr>
<w:r><w:t xml:space="preserve">The gaseous mixture, issuing from the latter, is washed with</w:t></w:r>
</w:p>
<w:p>
<w:pPr><w:pStyle w:val="Normal"/></w:pPr>
<w:r><w:t xml:space="preserve">water in the usual condensing apparatus, to remove the 40 or</w:t></w:r>
</w:p>
<w:p>
<w:pPr><w:pStyle w:val="Normal"/></w:pPr>
<w:r><w:t xml:space="preserve">50 parts of hydrochloric acid left unchanged, and can then be</w:t></w:r>
</w:p>
<w:p>
<w:pPr><w:pStyle w:val="Normal"/></w:pPr>
<w:r><w:t xml:space="preserve">immediately employed for the manufacture of chlorate of potash.</w:t></w:r>
</w:p>
<w:p>
<w:pPr><w:pStyle w:val="Normal"/></w:pPr>
<w:r><w:t xml:space="preserve">Where (as is the more usual case) the chlorine has to serve for</w:t></w:r>
</w:p>
<w:p>
<w:pPr><w:pStyle w:val="Normal"/></w:pPr>
<w:r><w:t xml:space="preserve">the manufacture of bleaching-powder, it must first be deprived</w:t></w:r>
</w:p>
<w:p>
<w:pPr><w:pStyle w:val="Normal"/></w:pPr>
<w:r><w:t xml:space="preserve">of the great amount of moisture which it contains, by means of</w:t></w:r>
</w:p>
<w:p>
<w:pPr><w:pStyle w:val="Normal"/></w:pPr>
<w:r><w:t xml:space="preserve">FIG. 5.--Deacon ``Decomposer.&apos;&apos; (Sectional Elevation.)</w:t></w:r>
</w:p>
<w:p>
<w:pPr><w:pStyle w:val="Normal"/></w:pPr>
<w:r><w:t xml:space="preserve">Scale  1/40. a,a, Upright cast-iron cylinders; b,b,</w:t></w:r>
</w:p>
<w:p>
<w:pPr><w:pStyle w:val="Normal"/></w:pPr>
<w:r><w:t xml:space="preserve">brick jacket; c,c, flues; d,e, iron plates arranged</w:t></w:r>
</w:p>
<w:p>
<w:pPr><w:pStyle w:val="Normal"/></w:pPr>
<w:r><w:t xml:space="preserve">like venetian blinds, between which the contact-substance</w:t></w:r>
</w:p>
<w:p>
<w:pPr><w:pStyle w:val="Normal"/></w:pPr>
<w:r><w:t xml:space="preserve">is contained; f, charging hole; g, discharging hole;</w:t></w:r>
</w:p>
<w:p>
<w:pPr><w:pStyle w:val="Normal"/></w:pPr>
<w:r><w:t xml:space="preserve">h, entrance pipe for gas; i, exit pipe for gas.</w:t></w:r>
</w:p>
<w:p>
<w:pPr><w:pStyle w:val="Normal"/></w:pPr>
<w:r><w:t xml:space="preserve">coke-towers fed with moderately strong sulphuric acid.  As</w:t></w:r>
</w:p>
<w:p>
<w:pPr><w:pStyle w:val="Normal"/></w:pPr>
<w:r><w:t xml:space="preserve">the gas issuing from these contains only about 5 volumes % of</w:t></w:r>
</w:p>
<w:p>
<w:pPr><w:pStyle w:val="Normal"/></w:pPr>
<w:r><w:t xml:space="preserve">hydrochloric acid, it cannot be made to act upon lime in the</w:t></w:r>
</w:p>
<w:p>
<w:pPr><w:pStyle w:val="Normal"/></w:pPr>
<w:r><w:t xml:space="preserve">ordinary bleaching-powder chambers, but specially constructed</w:t></w:r>
</w:p>
<w:p>
<w:pPr><w:pStyle w:val="Normal"/></w:pPr>
<w:r><w:t xml:space="preserve">chambers must be provided (see fig. 4). The movement of</w:t></w:r>
</w:p>
<w:p>
<w:pPr><w:pStyle w:val="Normal"/></w:pPr>
<w:r><w:t xml:space="preserve">the gases through all this complicated set of apparatus is</w:t></w:r>
</w:p>
<w:p>
<w:pPr><w:pStyle w:val="Normal"/></w:pPr>
<w:r><w:t xml:space="preserve">produced by a Root&apos;s blower placed at the end of it all.</w:t></w:r>
</w:p>
<w:p>
<w:pPr><w:pStyle w:val="Normal"/></w:pPr>
<w:r><w:t xml:space="preserve">The Deacon process makes cheaper chlorine than the Weldon</w:t></w:r>
</w:p>
<w:p>
<w:pPr><w:pStyle w:val="Normal"/></w:pPr>
<w:r><w:t xml:space="preserve">process, but the plant is complicated and costly and the</w:t></w:r>
</w:p>
<w:p>
<w:pPr><w:pStyle w:val="Normal"/></w:pPr>
<w:r><w:t xml:space="preserve">working requires a great deal of attention.  In skilled</w:t></w:r>
</w:p>
<w:p>
<w:pPr><w:pStyle w:val="Normal"/></w:pPr>
<w:r><w:t xml:space="preserve">hands it has been proved to yield excellent results.</w:t></w:r>
</w:p>
<w:p>
<w:pPr><w:pStyle w:val="Normal"/></w:pPr>
<w:r><w:t xml:space="preserve">The hydrochloric acid from the calcining-furnaces or</w:t></w:r>
</w:p>
<w:p>
<w:pPr><w:pStyle w:val="Normal"/></w:pPr>
<w:r><w:t xml:space="preserve">``roasters&apos;&apos; cannot be employed immediately for the Deacon</w:t></w:r>
</w:p>
<w:p>
<w:pPr><w:pStyle w:val="Normal"/></w:pPr>
<w:r><w:t xml:space="preserve">process, as the sulphuric acid always contained in the roaster</w:t></w:r>
</w:p>
<w:p>
<w:pPr><w:pStyle w:val="Normal"/></w:pPr>
<w:r><w:t xml:space="preserve">gases soon ``poisons&apos;&apos; the contact-substance and renders it</w:t></w:r>
</w:p>
<w:p>
<w:pPr><w:pStyle w:val="Normal"/></w:pPr>
<w:r><w:t xml:space="preserve">inoperative.  This acid must, therefore, be condensed in the</w:t></w:r>
</w:p>
<w:p>
<w:pPr><w:pStyle w:val="Normal"/></w:pPr>
<w:r><w:t xml:space="preserve">ordinary way into liquid hydrochloric acid and formerly could</w:t></w:r>
</w:p>
<w:p>
<w:pPr><w:pStyle w:val="Normal"/></w:pPr>
<w:r><w:t xml:space="preserve">be worked up only by the Weldon process.  R. Hasenclever</w:t></w:r>
</w:p>
<w:p>
<w:pPr><w:pStyle w:val="Normal"/></w:pPr>
<w:r><w:t xml:space="preserve">has overcome this drawback by running this impure acid into</w:t></w:r>
</w:p>
<w:p>
<w:pPr><w:pStyle w:val="Normal"/></w:pPr>
<w:r><w:t xml:space="preserve">moderately strong sulphuric acid (140 deg.  Twaddell), blowing in</w:t></w:r>
</w:p>
<w:p>
<w:pPr><w:pStyle w:val="Normal"/></w:pPr>
<w:r><w:t xml:space="preserve">air at the same time.  This produces a mixed current of pure</w:t></w:r>
</w:p>
<w:p>
<w:pPr><w:pStyle w:val="Normal"/></w:pPr>
<w:r><w:t xml:space="preserve">hydrochloric acid gas and air, which is carried into a Deacon</w:t></w:r>
</w:p>
<w:p>
<w:pPr><w:pStyle w:val="Normal"/></w:pPr>
<w:r><w:t xml:space="preserve">decomposer where it acts in the usual manner.  The sulphuric</w:t></w:r>
</w:p>
<w:p>
<w:pPr><w:pStyle w:val="Normal"/></w:pPr>
<w:r><w:t xml:space="preserve">acid, of which 6 or 7 parts are used to one of impure liquid</w:t></w:r>
</w:p>
<w:p>
<w:pPr><w:pStyle w:val="Normal"/></w:pPr>
<w:r><w:t xml:space="preserve">hydrochloric acid, is always reserved for use in the same</w:t></w:r>
</w:p>
<w:p>
<w:pPr><w:pStyle w:val="Normal"/></w:pPr>
<w:r><w:t xml:space="preserve">process, by driving off the excess of water in a lead pan,</w:t></w:r>
</w:p>
<w:p>
<w:pPr><w:pStyle w:val="Normal"/></w:pPr>
<w:r><w:t xml:space="preserve">fired from the top, so that the principal expense of the</w:t></w:r>
</w:p>
<w:p>
<w:pPr><w:pStyle w:val="Normal"/></w:pPr>
<w:r><w:t xml:space="preserve">process is that of the fuel required for the last operation.</w:t></w:r>
</w:p>
<w:p>
<w:pPr><w:pStyle w:val="Normal"/></w:pPr>
<w:r><w:t xml:space="preserve">4. Applications of Chlorine.--Some of the chlorine manufactured</w:t></w:r>
</w:p>
<w:p>
<w:pPr><w:pStyle w:val="Normal"/></w:pPr>
<w:r><w:t xml:space="preserve">(practically only such as is obtained by the electrolysis</w:t></w:r>
</w:p>
<w:p>
<w:pPr><w:pStyle w:val="Normal"/></w:pPr>
<w:r><w:t xml:space="preserve">of chlorides) is condensed by cold and pressure into liquid</w:t></w:r>
</w:p>
<w:p>
<w:pPr><w:pStyle w:val="Normal"/></w:pPr>
<w:r><w:t xml:space="preserve">chlorine. If this is anhydrous, as it must be in any case for</w:t></w:r>
</w:p>
<w:p>
<w:pPr><w:pStyle w:val="Normal"/></w:pPr>
<w:r><w:t xml:space="preserve">this purpose, it does not act upon the metal of the compressors,</w:t></w:r>
</w:p>
<w:p>
<w:pPr><w:pStyle w:val="Normal"/></w:pPr>
<w:r><w:t xml:space="preserve">nor upon the iron bottles in which it is sent out.  It may</w:t></w:r>
</w:p>
<w:p>
<w:pPr><w:pStyle w:val="Normal"/></w:pPr>
<w:r><w:t xml:space="preserve">even be sent out in tank wagons, similar to those which are</w:t></w:r>
</w:p>
<w:p>
<w:pPr><w:pStyle w:val="Normal"/></w:pPr>
<w:r><w:t xml:space="preserve">employed for carrying sulphuric acid, holding 10 tons each.</w:t></w:r>
</w:p>
<w:p>
<w:pPr><w:pStyle w:val="Normal"/></w:pPr>
<w:r><w:t xml:space="preserve">Sometimes the chlorine is employed directly for bleaching</w:t></w:r>
</w:p>
<w:p>
<w:pPr><w:pStyle w:val="Normal"/></w:pPr>
<w:r><w:t xml:space="preserve">purposes, especially for some kinds of paper.  A number of</w:t></w:r>
</w:p>
<w:p>
<w:pPr><w:pStyle w:val="Normal"/></w:pPr>
<w:r><w:t xml:space="preserve">organic chlorinated products are also produced on a large</w:t></w:r>
</w:p>
<w:p>
<w:pPr><w:pStyle w:val="Normal"/></w:pPr>
<w:r><w:t xml:space="preserve">scale.  But most of the chlorine is utilized for the production</w:t></w:r>
</w:p>
<w:p>
<w:pPr><w:pStyle w:val="Normal"/></w:pPr>
<w:r><w:t xml:space="preserve">of bleaching- powder, of bleach-liquor, and of chlorate of potash.</w:t></w:r>
</w:p>
<w:p>
<w:pPr><w:pStyle w:val="Normal"/></w:pPr>
<w:r><w:t xml:space="preserve">Bleaching-powder is a compound obtained by the action</w:t></w:r>
</w:p>
<w:p>
<w:pPr><w:pStyle w:val="Normal"/></w:pPr>
<w:r><w:t xml:space="preserve">of free chlorine on hydrated lime, containing a slight</w:t></w:r>
</w:p>
<w:p>
<w:pPr><w:pStyle w:val="Normal"/></w:pPr>
<w:r><w:t xml:space="preserve">excess of water at ordinary temperatures or slightly above</w:t></w:r>
</w:p>
<w:p>
<w:pPr><w:pStyle w:val="Normal"/></w:pPr>
<w:r><w:t xml:space="preserve">these.  Its composition approaches the formula CaOCl2,</w:t></w:r>
</w:p>
<w:p>
<w:pPr><w:pStyle w:val="Normal"/></w:pPr>
<w:r><w:t xml:space="preserve">and it is regarded as a double salt of calcium chloride and</w:t></w:r>
</w:p>
<w:p>
<w:pPr><w:pStyle w:val="Normal"/></w:pPr>
<w:r><w:t xml:space="preserve">hypochlorite, which by the action of water splits up into</w:t></w:r>
</w:p>
<w:p>
<w:pPr><w:pStyle w:val="Normal"/></w:pPr>
<w:r><w:t xml:space="preserve">a mixture of these salts.  It always contains a certain</w:t></w:r>
</w:p>
<w:p>
<w:pPr><w:pStyle w:val="Normal"/></w:pPr>
<w:r><w:t xml:space="preserve">quantity of chemically combined water and also an excess of</w:t></w:r>
</w:p>
<w:p>
<w:pPr><w:pStyle w:val="Normal"/></w:pPr>
<w:r><w:t xml:space="preserve">lime.  Usually this lime is regarded only as mechanically</w:t></w:r>
</w:p>
<w:p>
<w:pPr><w:pStyle w:val="Normal"/></w:pPr>
<w:r><w:t xml:space="preserve">mixed with the bleaching-compound, CaOCl2, but some chemists</w:t></w:r>
</w:p>
<w:p>
<w:pPr><w:pStyle w:val="Normal"/></w:pPr>
<w:r><w:t xml:space="preserve">adopt formulae in which this lime is equally represented.</w:t></w:r>
</w:p>
<w:p>
<w:pPr><w:pStyle w:val="Normal"/></w:pPr>
<w:r><w:t xml:space="preserve">For the manufacture of bleaching-powder, limestone of high</w:t></w:r>
</w:p>
<w:p>
<w:pPr><w:pStyle w:val="Normal"/></w:pPr>
<w:r><w:t xml:space="preserve">degree of purity (especially free from magnesia and iron) is</w:t></w:r>
</w:p>
<w:p>
<w:pPr><w:pStyle w:val="Normal"/></w:pPr>
<w:r><w:t xml:space="preserve">carefully burned so as to drive out nearly all the carbon dioxide</w:t></w:r>
</w:p>
<w:p>
<w:pPr><w:pStyle w:val="Normal"/></w:pPr>
<w:r><w:t xml:space="preserve">without overheating the lime.  The quick-lime is then slaked</w:t></w:r>
</w:p>
<w:p>
<w:pPr><w:pStyle w:val="Normal"/></w:pPr>
<w:r><w:t xml:space="preserve">with the requisite quantity of water; the product is passed</w:t></w:r>
</w:p>
<w:p>
<w:pPr><w:pStyle w:val="Normal"/></w:pPr>
<w:r><w:t xml:space="preserve">through a fine-meshed wire sieve and is spread in layers of 2</w:t></w:r>
</w:p>
<w:p>
<w:pPr><w:pStyle w:val="Normal"/></w:pPr>
<w:r><w:t xml:space="preserve">or 3 in. at the bottom of large boxes, the ``bleaching-powder</w:t></w:r>
</w:p>
<w:p>
<w:pPr><w:pStyle w:val="Normal"/></w:pPr>
<w:r><w:t xml:space="preserve">chambers,&apos;&apos; made of lead, or sometimes of cast-iron protected by</w:t></w:r>
</w:p>
<w:p>
<w:pPr><w:pStyle w:val="Normal"/></w:pPr>
<w:r><w:t xml:space="preserve">paint, of slate or even of tarred wood.  Chlorine, generated</w:t></w:r>
</w:p>
<w:p>
<w:pPr><w:pStyle w:val="Normal"/></w:pPr>
<w:r><w:t xml:space="preserve">in an ordinary or a Weldon still, is passed in and is rapidly</w:t></w:r>
</w:p>
<w:p>
<w:pPr><w:pStyle w:val="Normal"/></w:pPr>
<w:r><w:t xml:space="preserve">absorbed.  When the absorption becomes slow, the gas is cut</w:t></w:r>
</w:p>
<w:p>
<w:pPr><w:pStyle w:val="Normal"/></w:pPr>
<w:r><w:t xml:space="preserve">off and the chamber is left to itself for twelve hours or more,</w:t></w:r>
</w:p>
<w:p>
<w:pPr><w:pStyle w:val="Normal"/></w:pPr>
<w:r><w:t xml:space="preserve">when it will be found that all the chlorine has been taken</w:t></w:r>
</w:p>
<w:p>
<w:pPr><w:pStyle w:val="Normal"/></w:pPr>
<w:r><w:t xml:space="preserve">up.  Now the door of the chamber is opened, the powder lying</w:t></w:r>
</w:p>
<w:p>
<w:pPr><w:pStyle w:val="Normal"/></w:pPr>
<w:r><w:t xml:space="preserve">at the bottom is turned over and the treatment with gas is</w:t></w:r>
</w:p>
<w:p>
<w:pPr><w:pStyle w:val="Normal"/></w:pPr>
<w:r><w:t xml:space="preserve">repeated.  Sometimes a third treatment is necessary in order</w:t></w:r>
</w:p>
<w:p>
<w:pPr><w:pStyle w:val="Normal"/></w:pPr>
<w:r><w:t xml:space="preserve">to get the product up to the strength required in commerce,</w:t></w:r>
</w:p>
<w:p>
<w:pPr><w:pStyle w:val="Normal"/></w:pPr>
<w:r><w:t xml:space="preserve">viz. 35% of ``available&apos;&apos; chlorine.  The finished product is</w:t></w:r>
</w:p>
<w:p>
<w:pPr><w:pStyle w:val="Normal"/></w:pPr>
<w:r><w:t xml:space="preserve">packed into wooden casks lined with brown paper.  The work of</w:t></w:r>
</w:p>
<w:p>
<w:pPr><w:pStyle w:val="Normal"/></w:pPr>
<w:r><w:t xml:space="preserve">packing is a most disagreeable and unhealthy operation which</w:t></w:r>
</w:p>
<w:p>
<w:pPr><w:pStyle w:val="Normal"/></w:pPr>
<w:r><w:t xml:space="preserve">is best relieved by erecting the chambers at a higher level</w:t></w:r>
</w:p>
<w:p>
<w:pPr><w:pStyle w:val="Normal"/></w:pPr>
<w:r><w:t xml:space="preserve">and placing the casks underneath, communication being made by</w:t></w:r>
</w:p>
<w:p>
<w:pPr><w:pStyle w:val="Normal"/></w:pPr>
<w:r><w:t xml:space="preserve">means of traps in the chamber-bottom. so that the packers can</w:t></w:r>
</w:p>
<w:p>
<w:pPr><w:pStyle w:val="Normal"/></w:pPr>
<w:r><w:t xml:space="preserve">do their work outside the chambers.  The bleaching-powder casks</w:t></w:r>
</w:p>
<w:p>
<w:pPr><w:pStyle w:val="Normal"/></w:pPr>
<w:r><w:t xml:space="preserve">must be kept in a dry place, as cool as possible, and never</w:t></w:r>
</w:p>
<w:p>
<w:pPr><w:pStyle w:val="Normal"/></w:pPr>
<w:r><w:t xml:space="preserve">exposed to the direct rays of the sun, in order to prevent a</w:t></w:r>
</w:p>
<w:p>
<w:pPr><w:pStyle w:val="Normal"/></w:pPr>
<w:r><w:t xml:space="preserve">decomposition which now and then has even led to explosions.</w:t></w:r>
</w:p>
<w:p>
<w:pPr><w:pStyle w:val="Normal"/></w:pPr>
<w:r><w:t xml:space="preserve">The weak chlorine from the Deacon process cannot be treated in</w:t></w:r>
</w:p>
<w:p>
<w:pPr><w:pStyle w:val="Normal"/></w:pPr>
<w:r><w:t xml:space="preserve">this manner, as chambers of impossibly large dimensions would be</w:t></w:r>
</w:p>
<w:p>
<w:pPr><w:pStyle w:val="Normal"/></w:pPr>
<w:r><w:t xml:space="preserve">required.  Originally the absorption of the Deacon chlorine took</w:t></w:r>
</w:p>
<w:p>
<w:pPr><w:pStyle w:val="Normal"/></w:pPr>
<w:r><w:t xml:space="preserve">place in a set of chambers, constructed of large slabs of stone,</w:t></w:r>
</w:p>
<w:p>
<w:pPr><w:pStyle w:val="Normal"/></w:pPr>
<w:r><w:t xml:space="preserve">containing a great many horizontal shelves superposed over one</w:t></w:r>
</w:p>
<w:p>
<w:pPr><w:pStyle w:val="Normal"/></w:pPr>
<w:r><w:t xml:space="preserve">another.  About sixteen such chambers were combined in such</w:t></w:r>
</w:p>
<w:p>
<w:pPr><w:pStyle w:val="Normal"/></w:pPr>
<w:r><w:t xml:space="preserve">manner that the fresh gas passed into that chamber which had</w:t></w:r>
</w:p>
<w:p>
<w:pPr><w:pStyle w:val="Normal"/></w:pPr>
<w:r><w:t xml:space="preserve">been the longest time at work and in which the bleaching-powder</w:t></w:r>
</w:p>
<w:p>
<w:pPr><w:pStyle w:val="Normal"/></w:pPr>
<w:r><w:t xml:space="preserve">was nearly finished, and so forth until the gas, now all but</w:t></w:r>
</w:p>
<w:p>
<w:pPr><w:pStyle w:val="Normal"/></w:pPr>
<w:r><w:t xml:space="preserve">entirely exhausted, reached the last-filled chamber in which</w:t></w:r>
</w:p>
<w:p>
<w:pPr><w:pStyle w:val="Normal"/></w:pPr>
<w:r><w:t xml:space="preserve">it met with fresh lime and there gave up the last of the</w:t></w:r>
</w:p>
<w:p>
<w:pPr><w:pStyle w:val="Normal"/></w:pPr>
<w:r><w:t xml:space="preserve">chlorine.  These ``Deacon chambers&apos;&apos; occupied a large space,</w:t></w:r>
</w:p>
<w:p>
<w:pPr><w:pStyle w:val="Normal"/></w:pPr>
<w:r><w:t xml:space="preserve">besides being expensive to build and difficult to keep in repair.</w:t></w:r>
</w:p>
<w:p>
<w:pPr><w:pStyle w:val="Normal"/></w:pPr>
<w:r><w:t xml:space="preserve">They are now mostly replaced by an apparatus, the invention of R.</w:t></w:r>
</w:p>
<w:p>
<w:pPr><w:pStyle w:val="Normal"/></w:pPr>
<w:r><w:t xml:space="preserve">Hasenclever, consisting of four horizontal cast-iron cylinders</w:t></w:r>
</w:p>
<w:p>
<w:pPr><w:pStyle w:val="Normal"/></w:pPr>
<w:r><w:t xml:space="preserve">with internal stirring-gear.  The fresh lime is continually</w:t></w:r>
</w:p>
<w:p>
<w:pPr><w:pStyle w:val="Normal"/></w:pPr>
<w:r><w:t xml:space="preserve">charged into the top cylinder, is gradually moved towards the</w:t></w:r>
</w:p>
<w:p>
<w:pPr><w:pStyle w:val="Normal"/></w:pPr>
<w:r><w:t xml:space="preserve">other end, falls down into the next lower cylinder and thus</w:t></w:r>
</w:p>
<w:p>
<w:pPr><w:pStyle w:val="Normal"/></w:pPr>
<w:r><w:t xml:space="preserve">gradually makes its way to the lowest cylinder.  The weak chlorine</w:t></w:r>
</w:p>
<w:p>
<w:pPr><w:pStyle w:val="Normal"/></w:pPr>
<w:r><w:t xml:space="preserve">gas from the Deacon apparatus travels precisely the opposite</w:t></w:r>
</w:p>
<w:p>
<w:pPr><w:pStyle w:val="Normal"/></w:pPr>
<w:r><w:t xml:space="preserve">way, from the bottom upwards, the result being that finished</w:t></w:r>
</w:p>
<w:p>
<w:pPr><w:pStyle w:val="Normal"/></w:pPr>
<w:r><w:t xml:space="preserve">bleaching- powder is continually discharged at the bottom</w:t></w:r>
</w:p>
<w:p>
<w:pPr><w:pStyle w:val="Normal"/></w:pPr>
<w:r><w:t xml:space="preserve">and air free from chlorine leaves the apparatus at the top.</w:t></w:r>
</w:p>
<w:p>
<w:pPr><w:pStyle w:val="Normal"/></w:pPr>
<w:r><w:t xml:space="preserve">Bleaching-powder is manufactured to the extent of several</w:t></w:r>
</w:p>
<w:p>
<w:pPr><w:pStyle w:val="Normal"/></w:pPr>
<w:r><w:t xml:space="preserve">hundred thousands of tons annually, almost entirely for the</w:t></w:r>
</w:p>
<w:p>
<w:pPr><w:pStyle w:val="Normal"/></w:pPr>
<w:r><w:t xml:space="preserve">use of papermakers and cotton bleachers.  Smaller quantities</w:t></w:r>
</w:p>
<w:p>
<w:pPr><w:pStyle w:val="Normal"/></w:pPr>
<w:r><w:t xml:space="preserve">are used for disinfection and other purposes.  It is usually</w:t></w:r>
</w:p>
<w:p>
<w:pPr><w:pStyle w:val="Normal"/></w:pPr>
<w:r><w:t xml:space="preserve">sold in ``tierces,&apos;&apos; that is, casks containing about 10 cwt.</w:t></w:r>
</w:p>
<w:p>
<w:pPr><w:pStyle w:val="Normal"/></w:pPr>
<w:r><w:t xml:space="preserve">Bleach-liquors.--If the chlorine is made to act on cream of</w:t></w:r>
</w:p>
<w:p>
<w:pPr><w:pStyle w:val="Normal"/></w:pPr>
<w:r><w:t xml:space="preserve">lime, care being taken that the temperature does not rise</w:t></w:r>
</w:p>
<w:p>
<w:pPr><w:pStyle w:val="Normal"/></w:pPr>
<w:r><w:t xml:space="preserve">above 35 deg.  and that the chlorine is not in excess, a solution</w:t></w:r>
</w:p>
<w:p>
<w:pPr><w:pStyle w:val="Normal"/></w:pPr>
<w:r><w:t xml:space="preserve">is obtained containing a mixture of calcium chloride and</w:t></w:r>
</w:p>
<w:p>
<w:pPr><w:pStyle w:val="Normal"/></w:pPr>
<w:r><w:t xml:space="preserve">hypochlorite which is a very convenient agent for bleachers,</w:t></w:r>
</w:p>
<w:p>
<w:pPr><w:pStyle w:val="Normal"/></w:pPr>
<w:r><w:t xml:space="preserve">but which does not bear the expense of carriage over long</w:t></w:r>
</w:p>
<w:p>
<w:pPr><w:pStyle w:val="Normal"/></w:pPr>
<w:r><w:t xml:space="preserve">distances.  Similar liquids are obtained with a basis of sodium</w:t></w:r>
</w:p>
<w:p>
<w:pPr><w:pStyle w:val="Normal"/></w:pPr>
<w:r><w:t xml:space="preserve">(``eau de Javel&apos;&apos;), by passing chlorine into solutions of sodium</w:t></w:r>
</w:p>
<w:p>
<w:pPr><w:pStyle w:val="Normal"/></w:pPr>
<w:r><w:t xml:space="preserve">carbonate.  The former kind of bleach-liquor is mostly used</w:t></w:r>
</w:p>
<w:p>
<w:pPr><w:pStyle w:val="Normal"/></w:pPr>
<w:r><w:t xml:space="preserve">in the industry of cotton, the latter in that of linen.</w:t></w:r>
</w:p>
<w:p>
<w:pPr><w:pStyle w:val="Normal"/></w:pPr>
<w:r><w:t xml:space="preserve">Chlorate of Potash.--Formerly all chlorate of potash, as</w:t></w:r>
</w:p>
<w:p>
<w:pPr><w:pStyle w:val="Normal"/></w:pPr>
<w:r><w:t xml:space="preserve">some is still, was obtained by passing chlorine into milk</w:t></w:r>
</w:p>
<w:p>
<w:pPr><w:pStyle w:val="Normal"/></w:pPr>
<w:r><w:t xml:space="preserve">of lime, allowing the temperature to rise almost to the</w:t></w:r>
</w:p>
<w:p>
<w:pPr><w:pStyle w:val="Normal"/></w:pPr>
<w:r><w:t xml:space="preserve">boiling-point, and continuing until the bleaching-solution,</w:t></w:r>
</w:p>
<w:p>
<w:pPr><w:pStyle w:val="Normal"/></w:pPr>
<w:r><w:t xml:space="preserve">originally formed, is converted into a mixture of calcium</w:t></w:r>
</w:p>
<w:p>
<w:pPr><w:pStyle w:val="Normal"/></w:pPr>
<w:r><w:t xml:space="preserve">chlorate and chloride, the final reaction being 6Ca(OH)2</w:t></w:r>
</w:p>
<w:p>
<w:pPr><w:pStyle w:val="Normal"/></w:pPr>
<w:r><w:t xml:space="preserve">+ 6Cl2 = 5Cacl2 + Ca(ClO3)2 + 6H2O.  On adding to this</w:t></w:r>
</w:p>
<w:p>
<w:pPr><w:pStyle w:val="Normal"/></w:pPr>
<w:r><w:t xml:space="preserve">solution, after settling out the mud, a quantity of potassium</w:t></w:r>
</w:p>
<w:p>
<w:pPr><w:pStyle w:val="Normal"/></w:pPr>
<w:r><w:t xml:space="preserve">chloride equivalent to the calcium chlorate, the reaction</w:t></w:r>
</w:p>
<w:p>
<w:pPr><w:pStyle w:val="Normal"/></w:pPr>
<w:r><w:t xml:space="preserve">Ca(ClO3)2 + 2KCl = CaCl2 + 2KClO3 is produced, the ultimate</w:t></w:r>
</w:p>
<w:p>
<w:pPr><w:pStyle w:val="Normal"/></w:pPr>
<w:r><w:t xml:space="preserve">proportions thus being theoretically 2KClO3 to 6CaCl2, though</w:t></w:r>
</w:p>
<w:p>
<w:pPr><w:pStyle w:val="Normal"/></w:pPr>
<w:r><w:t xml:space="preserve">in reality there is rather more calcium chloride present.</w:t></w:r>
</w:p>
<w:p>
<w:pPr><w:pStyle w:val="Normal"/></w:pPr>
<w:r><w:t xml:space="preserve">When this solution is concentrated by evaporation and cooled</w:t></w:r>
</w:p>
<w:p>
<w:pPr><w:pStyle w:val="Normal"/></w:pPr>
<w:r><w:t xml:space="preserve">down, about five-sixths of the chlorate of potash crystallizes</w:t></w:r>
</w:p>
<w:p>
<w:pPr><w:pStyle w:val="Normal"/></w:pPr>
<w:r><w:t xml:space="preserve">out.  It is purified by redissolving and crystallization, and</w:t></w:r>
</w:p>
<w:p>
<w:pPr><w:pStyle w:val="Normal"/></w:pPr>
<w:r><w:t xml:space="preserve">is sold either in the state of crystals or finely ground.</w:t></w:r>
</w:p>
<w:p>
<w:pPr><w:pStyle w:val="Normal"/></w:pPr>
<w:r><w:t xml:space="preserve">During these operations care must be taken lest a spark should</w:t></w:r>
</w:p>
<w:p>
<w:pPr><w:pStyle w:val="Normal"/></w:pPr>
<w:r><w:t xml:space="preserve">produce the inflammation of the chlorate on contact with any</w:t></w:r>
</w:p>
<w:p>
<w:pPr><w:pStyle w:val="Normal"/></w:pPr>
<w:r><w:t xml:space="preserve">organic substance.  Large quantities of potassium chlorate</w:t></w:r>
</w:p>
<w:p>
<w:pPr><w:pStyle w:val="Normal"/></w:pPr>
<w:r><w:t xml:space="preserve">exposed to strong heat in contact with the wood of casks</w:t></w:r>
</w:p>
<w:p>
<w:pPr><w:pStyle w:val="Normal"/></w:pPr>
<w:r><w:t xml:space="preserve">or the timber of a roof have produced violent explosions.</w:t></w:r>
</w:p>
<w:p>
<w:pPr><w:pStyle w:val="Normal"/></w:pPr>
<w:r><w:t xml:space="preserve">Most of the chlorate of potash is now prepared by electrolysis</w:t></w:r>
</w:p>
<w:p>
<w:pPr><w:pStyle w:val="Normal"/></w:pPr>
<w:r><w:t xml:space="preserve">of potassium chloride (see below).  It is employed for</w:t></w:r>
</w:p>
<w:p>
<w:pPr><w:pStyle w:val="Normal"/></w:pPr>
<w:r><w:t xml:space="preserve">fire-works, for some descriptions of explosives, for safety</w:t></w:r>
</w:p>
<w:p>
<w:pPr><w:pStyle w:val="Normal"/></w:pPr>
<w:r><w:t xml:space="preserve">matches and as an oxidizer in some operations, especially</w:t></w:r>
</w:p>
<w:p>
<w:pPr><w:pStyle w:val="Normal"/></w:pPr>
<w:r><w:t xml:space="preserve">in dyeing and tissue printing.  For the last-named purpose</w:t></w:r>
</w:p>
<w:p>
<w:pPr><w:pStyle w:val="Normal"/></w:pPr>
<w:r><w:t xml:space="preserve">it is sometimes replaced by sodium chlorate.  The chlorates</w:t></w:r>
</w:p>
<w:p>
<w:pPr><w:pStyle w:val="Normal"/></w:pPr>
<w:r><w:t xml:space="preserve">are usually sold in wooden kegs containing 1 cwt. each.</w:t></w:r>
</w:p>
<w:p>
<w:pPr><w:pStyle w:val="Normal"/></w:pPr>
<w:r><w:t xml:space="preserve">5. The Manufacture of Soda-ash from Salt-cake by the Leblanc</w:t></w:r>
</w:p>
<w:p>
<w:pPr><w:pStyle w:val="Normal"/></w:pPr>
<w:r><w:t xml:space="preserve">process.--This process consists in heating a mixture of commercial</w:t></w:r>
</w:p>
<w:p>
<w:pPr><w:pStyle w:val="Normal"/></w:pPr>
<w:r><w:t xml:space="preserve">FIG. 6.--Black-ash Furnace and Boiling-down Pan. Scale</w:t></w:r>
</w:p>
<w:p>
<w:pPr><w:pStyle w:val="Normal"/></w:pPr>
<w:r><w:t xml:space="preserve">[14051]</w:t></w:r>
</w:p>
<w:p>
<w:pPr><w:pStyle w:val="Normal"/></w:pPr>
<w:r><w:t xml:space="preserve">sulphate of soda (salt-cake) with about the same weight of</w:t></w:r>
</w:p>
<w:p>
<w:pPr><w:pStyle w:val="Normal"/></w:pPr>
<w:r><w:t xml:space="preserve">crushed limestone and half its weight of coal, until the</w:t></w:r>
</w:p>
<w:p>
<w:pPr><w:pStyle w:val="Normal"/></w:pPr>
<w:r><w:t xml:space="preserve">materials are fluxed and a reaction has taken place, the</w:t></w:r>
</w:p>
<w:p>
<w:pPr><w:pStyle w:val="Normal"/></w:pPr>
<w:r><w:t xml:space="preserve">principal phase of which is expressed by the equation Na2SO4</w:t></w:r>
</w:p>
<w:p>
<w:pPr><w:pStyle w:val="Normal"/></w:pPr>
<w:r><w:t xml:space="preserve">+ CaC03 + 2C = 2CO2 + Na2CO3 + CaS. A number of secondary</w:t></w:r>
</w:p>
<w:p>
<w:pPr><w:pStyle w:val="Normal"/></w:pPr>
<w:r><w:t xml:space="preserve">reactions, however, occur, owing partly to the excess of</w:t></w:r>
</w:p>
<w:p>
<w:pPr><w:pStyle w:val="Normal"/></w:pPr>
<w:r><w:t xml:space="preserve">calcium carbonate and coal and partly to the impurities</w:t></w:r>
</w:p>
<w:p>
<w:pPr><w:pStyle w:val="Normal"/></w:pPr>
<w:r><w:t xml:space="preserve">present, so that the solid product of the process, which is</w:t></w:r>
</w:p>
<w:p>
<w:pPr><w:pStyle w:val="Normal"/></w:pPr>
<w:r><w:t xml:space="preserve">called ``black-ash,&apos;&apos; has a somewhat complicated composition.</w:t></w:r>
</w:p>
<w:p>
<w:pPr><w:pStyle w:val="Normal"/></w:pPr>
<w:r><w:t xml:space="preserve">Its principal constituents are always sodium carbonate</w:t></w:r>
</w:p>
<w:p>
<w:pPr><w:pStyle w:val="Normal"/></w:pPr>
<w:r><w:t xml:space="preserve">and calcium sulphide, which are separated by the action of</w:t></w:r>
</w:p>
<w:p>
<w:pPr><w:pStyle w:val="Normal"/></w:pPr>
<w:r><w:t xml:space="preserve">water, the former being soluble and the latter insoluble.</w:t></w:r>
</w:p>
<w:p>
<w:pPr><w:pStyle w:val="Normal"/></w:pPr>
<w:r><w:t xml:space="preserve">The furnace in which the reaction takes place is shown in</w:t></w:r>
</w:p>
<w:p>
<w:pPr><w:pStyle w:val="Normal"/></w:pPr>
<w:r><w:t xml:space="preserve">fig. 6 in a sectional plan.  It is called a ``black-ash&apos;&apos;</w:t></w:r>
</w:p>
<w:p>
<w:pPr><w:pStyle w:val="Normal"/></w:pPr>
<w:r><w:t xml:space="preserve">furnace, and belongs to the class of reverberatory furnaces.</w:t></w:r>
</w:p>
<w:p>
<w:pPr><w:pStyle w:val="Normal"/></w:pPr>
<w:r><w:t xml:space="preserve">A large fire-grate (ab), having a cave (c) to facilitate</w:t></w:r>
</w:p>
<w:p>
<w:pPr><w:pStyle w:val="Normal"/></w:pPr>
<w:r><w:t xml:space="preserve">stoking and stepped back at (d), is bounded on one side by a</w:t></w:r>
</w:p>
<w:p>
<w:pPr><w:pStyle w:val="Normal"/></w:pPr>
<w:r><w:t xml:space="preserve">fire-bridge (e); on the other side of this, separated by an</w:t></w:r>
</w:p>
<w:p>
<w:pPr><w:pStyle w:val="Normal"/></w:pPr>
<w:r><w:t xml:space="preserve">air-channel (g), there is first the proper fluxing bed (h),</w:t></w:r>
</w:p>
<w:p>
<w:pPr><w:pStyle w:val="Normal"/></w:pPr>
<w:r><w:t xml:space="preserve">and behind this the ``back-bed&apos;&apos; (i) for pre-heating the</w:t></w:r>
</w:p>
<w:p>
<w:pPr><w:pStyle w:val="Normal"/></w:pPr>
<w:r><w:t xml:space="preserve">charge.  The flame issuing from the furnace by (o) is always</w:t></w:r>
</w:p>
<w:p>
<w:pPr><w:pStyle w:val="Normal"/></w:pPr>
<w:r><w:t xml:space="preserve">further utilized for boiling down the liquors obtained in</w:t></w:r>
</w:p>
<w:p>
<w:pPr><w:pStyle w:val="Normal"/></w:pPr>
<w:r><w:t xml:space="preserve">a later stage, either in a pan (p) fired from the top and</w:t></w:r>
</w:p>
<w:p>
<w:pPr><w:pStyle w:val="Normal"/></w:pPr>
<w:r><w:t xml:space="preserve">supported on pillars (qq) as shown in the drawing, or in</w:t></w:r>
</w:p>
<w:p>
<w:pPr><w:pStyle w:val="Normal"/></w:pPr>
<w:r><w:t xml:space="preserve">pans heated from below.  The charge of salt-cake (generally</w:t></w:r>
</w:p>
<w:p>
<w:pPr><w:pStyle w:val="Normal"/></w:pPr>
<w:r><w:t xml:space="preserve">3 cwt.), limestone and coal is roughly mixed and put upon</w:t></w:r>
</w:p>
<w:p>
<w:pPr><w:pStyle w:val="Normal"/></w:pPr>
<w:r><w:t xml:space="preserve">the back-bed; when the front- bed has become empty it is</w:t></w:r>
</w:p>
<w:p>
<w:pPr><w:pStyle w:val="Normal"/></w:pPr>
<w:r><w:t xml:space="preserve">drawn forward and exposed to the full heat of the fire,</w:t></w:r>
</w:p>
<w:p>
<w:pPr><w:pStyle w:val="Normal"/></w:pPr>
<w:r><w:t xml:space="preserve">with frequent stirring.  After about three- quarters of an</w:t></w:r>
</w:p>
<w:p>
<w:pPr><w:pStyle w:val="Normal"/></w:pPr>
<w:r><w:t xml:space="preserve">hour the substances are so far fluxed or softened that the</w:t></w:r>
</w:p>
<w:p>
<w:pPr><w:pStyle w:val="Normal"/></w:pPr>
<w:r><w:t xml:space="preserve">reaction now sets in fully, as shown by the copious escape of</w:t></w:r>
</w:p>
<w:p>
<w:pPr><w:pStyle w:val="Normal"/></w:pPr>
<w:r><w:t xml:space="preserve">gas.  This is at first colourless carbon dioxide, but later</w:t></w:r>
</w:p>
<w:p>
<w:pPr><w:pStyle w:val="Normal"/></w:pPr>
<w:r><w:t xml:space="preserve">on inflammable gases come out of the mass, which at this stage</w:t></w:r>
</w:p>
<w:p>
<w:pPr><w:pStyle w:val="Normal"/></w:pPr>
<w:r><w:t xml:space="preserve">has turned into a thicker, pasty condition, showing that the</w:t></w:r>
</w:p>
<w:p>
<w:pPr><w:pStyle w:val="Normal"/></w:pPr>
<w:r><w:t xml:space="preserve">end of the reaction is near.  The inflammable gas is carbon</w:t></w:r>
</w:p>
<w:p>
<w:pPr><w:pStyle w:val="Normal"/></w:pPr>
<w:r><w:t xml:space="preserve">monoxide, which, however, does not burn with its proper purple</w:t></w:r>
</w:p>
<w:p>
<w:pPr><w:pStyle w:val="Normal"/></w:pPr>
<w:r><w:t xml:space="preserve">flame, but with a flame tinged bright yellow by the sodium</w:t></w:r>
</w:p>
<w:p>
<w:pPr><w:pStyle w:val="Normal"/></w:pPr>
<w:r><w:t xml:space="preserve">present.  This carbon monoxide is formed by the action of</w:t></w:r>
</w:p>
<w:p>
<w:pPr><w:pStyle w:val="Normal"/></w:pPr>
<w:r><w:t xml:space="preserve">coal on the lime formed at this stage from the original</w:t></w:r>
</w:p>
<w:p>
<w:pPr><w:pStyle w:val="Normal"/></w:pPr>
<w:r><w:t xml:space="preserve">limestone.  When the ``candles&apos;&apos; of carbon monoxide appear,</w:t></w:r>
</w:p>
<w:p>
<w:pPr><w:pStyle w:val="Normal"/></w:pPr>
<w:r><w:t xml:space="preserve">the pasty mass is quickly drawn out of the furnace into iron</w:t></w:r>
</w:p>
<w:p>
<w:pPr><w:pStyle w:val="Normal"/></w:pPr>
<w:r><w:t xml:space="preserve">``bogies,&apos;&apos; where it solidifies into a grey, porous mass, the</w:t></w:r>
</w:p>
<w:p>
<w:pPr><w:pStyle w:val="Normal"/></w:pPr>
<w:r><w:t xml:space="preserve">``black-ash.&apos;&apos; Care must be taken to heat it no longer than</w:t></w:r>
</w:p>
<w:p>
<w:pPr><w:pStyle w:val="Normal"/></w:pPr>
<w:r><w:t xml:space="preserve">necessary, as it otherwise turns red and yields bad soda.</w:t></w:r>
</w:p>
<w:p>
<w:pPr><w:pStyle w:val="Normal"/></w:pPr>
<w:r><w:t xml:space="preserve">The hand-wrought black-ash furnace has been mostly superseded</w:t></w:r>
</w:p>
<w:p>
<w:pPr><w:pStyle w:val="Normal"/></w:pPr>
<w:r><w:t xml:space="preserve">in the large factories by the revolving black-ash furnace,</w:t></w:r>
</w:p>
<w:p>
<w:pPr><w:pStyle w:val="Normal"/></w:pPr>
<w:r><w:t xml:space="preserve">shown in fig. 7. These furnaces possess a large cylindrical</w:t></w:r>
</w:p>
<w:p>
<w:pPr><w:pStyle w:val="Normal"/></w:pPr>
<w:r><w:t xml:space="preserve">shell (e), lined with fire-bricks, and made to revolve</w:t></w:r>
</w:p>
<w:p>
<w:pPr><w:pStyle w:val="Normal"/></w:pPr>
<w:r><w:t xml:space="preserve">round its horizontal axis by means of a toothed wheel fixed</w:t></w:r>
</w:p>
<w:p>
<w:pPr><w:pStyle w:val="Normal"/></w:pPr>
<w:r><w:t xml:space="preserve">on its exterior; (ff) are tire-seats holding tires (gg),</w:t></w:r>
</w:p>
<w:p>
<w:pPr><w:pStyle w:val="Normal"/></w:pPr>
<w:r><w:t xml:space="preserve">which work in friction rollers (h).  The flame of a fixed</w:t></w:r>
</w:p>
<w:p>
<w:pPr><w:pStyle w:val="Normal"/></w:pPr>
<w:r><w:t xml:space="preserve">fireplace (a) enters through an ``eye&apos;&apos; (b) in the centre</w:t></w:r>
</w:p>
<w:p>
<w:pPr><w:pStyle w:val="Normal"/></w:pPr>
<w:r><w:t xml:space="preserve">of the front end of the cylinder and issues in the centre of</w:t></w:r>
</w:p>
<w:p>
<w:pPr><w:pStyle w:val="Normal"/></w:pPr>
<w:r><w:t xml:space="preserve">FIG. 7.--Revolving Black-ash Furnace. (Elevation.) Scale</w:t></w:r>
</w:p>
<w:p>
<w:pPr><w:pStyle w:val="Normal"/></w:pPr>
<w:r><w:t xml:space="preserve">the back end, first into a large dust-chamber (m.) and</w:t></w:r>
</w:p>
<w:p>
<w:pPr><w:pStyle w:val="Normal"/></w:pPr>
<w:r><w:t xml:space="preserve">then over or under boiling-down pans (p.) These mechanical</w:t></w:r>
</w:p>
<w:p>
<w:pPr><w:pStyle w:val="Normal"/></w:pPr>
<w:r><w:t xml:space="preserve">furnaces do the work of from four to ten ordinary furnaces</w:t></w:r>
</w:p>
<w:p>
<w:pPr><w:pStyle w:val="Normal"/></w:pPr>
<w:r><w:t xml:space="preserve">according to their size. with comparatively very little</w:t></w:r>
</w:p>
<w:p>
<w:pPr><w:pStyle w:val="Normal"/></w:pPr>
<w:r><w:t xml:space="preserve">expense for labour, but they must be very carefully managed</w:t></w:r>
</w:p>
<w:p>
<w:pPr><w:pStyle w:val="Normal"/></w:pPr>
<w:r><w:t xml:space="preserve">and the black-ash from them is more difficult to lixiviate</w:t></w:r>
</w:p>
<w:p>
<w:pPr><w:pStyle w:val="Normal"/></w:pPr>
<w:r><w:t xml:space="preserve">than that from hand-wrought furnaces, because it is less</w:t></w:r>
</w:p>
<w:p>
<w:pPr><w:pStyle w:val="Normal"/></w:pPr>
<w:r><w:t xml:space="preserve">porous.  The lixiviation of the black- ash requires great</w:t></w:r>
</w:p>
<w:p>
<w:pPr><w:pStyle w:val="Normal"/></w:pPr>
<w:r><w:t xml:space="preserve">care, as the calcium sulphide is liable to be changed into</w:t></w:r>
</w:p>
<w:p>
<w:pPr><w:pStyle w:val="Normal"/></w:pPr>
<w:r><w:t xml:space="preserve">soluble calcium compounds, which immediately react with sodium</w:t></w:r>
</w:p>
<w:p>
<w:pPr><w:pStyle w:val="Normal"/></w:pPr>
<w:r><w:t xml:space="preserve">carbonate and destroy a corresponding quantity of the latter,</w:t></w:r>
</w:p>
<w:p>
<w:pPr><w:pStyle w:val="Normal"/></w:pPr>
<w:r><w:t xml:space="preserve">rendering the soda weaker and impure.  This change of the</w:t></w:r>
</w:p>
<w:p>
<w:pPr><w:pStyle w:val="Normal"/></w:pPr>
<w:r><w:t xml:space="preserve">calcium sulphide may be brought about either by the oxidizing</w:t></w:r>
</w:p>
<w:p>
<w:pPr><w:pStyle w:val="Normal"/></w:pPr>
<w:r><w:t xml:space="preserve">action of the air or by ``hydrolysis,&apos;&apos; produced by prolonged</w:t></w:r>
</w:p>
<w:p>
<w:pPr><w:pStyle w:val="Normal"/></w:pPr>
<w:r><w:t xml:space="preserve">contact with hot water, the use of which, on the other hand,</w:t></w:r>
</w:p>
<w:p>
<w:pPr><w:pStyle w:val="Normal"/></w:pPr>
<w:r><w:t xml:space="preserve">cannot be avoided in order to extract the sodium carbonate</w:t></w:r>
</w:p>
<w:p>
<w:pPr><w:pStyle w:val="Normal"/></w:pPr>
<w:r><w:t xml:space="preserve">itself.  The apparatus which has been found most suitable</w:t></w:r>
</w:p>
<w:p>
<w:pPr><w:pStyle w:val="Normal"/></w:pPr>
<w:r><w:t xml:space="preserve">for the purpose was devised by Professor H. Buff of Giessen,</w:t></w:r>
</w:p>
<w:p>
<w:pPr><w:pStyle w:val="Normal"/></w:pPr>
<w:r><w:t xml:space="preserve">and first practically carried out by Charles Dunlop at St</w:t></w:r>
</w:p>
<w:p>
<w:pPr><w:pStyle w:val="Normal"/></w:pPr>
<w:r><w:t xml:space="preserve">Rollox.  It consists of a number of tanks or ``vats,&apos;&apos; placed</w:t></w:r>
</w:p>
<w:p>
<w:pPr><w:pStyle w:val="Normal"/></w:pPr>
<w:r><w:t xml:space="preserve">at the same level and connected by pipes which reach nearly to</w:t></w:r>
</w:p>
<w:p>
<w:pPr><w:pStyle w:val="Normal"/></w:pPr>
<w:r><w:t xml:space="preserve">the bottom of one tank and open out at the top into the next</w:t></w:r>
</w:p>
<w:p>
<w:pPr><w:pStyle w:val="Normal"/></w:pPr>
<w:r><w:t xml:space="preserve">tank.  The vats are also provided with false bottoms, outlet</w:t></w:r>
</w:p>
<w:p>
<w:pPr><w:pStyle w:val="Normal"/></w:pPr>
<w:r><w:t xml:space="preserve">cocks, steam pipes and so forth.  Tepid water is run in at one</w:t></w:r>
</w:p>
<w:p>
<w:pPr><w:pStyle w:val="Normal"/></w:pPr>
<w:r><w:t xml:space="preserve">end of the series, where nearly exhausted black-ash is present;</w:t></w:r>
</w:p>
<w:p>
<w:pPr><w:pStyle w:val="Normal"/></w:pPr>
<w:r><w:t xml:space="preserve">the weak liquor takes up more soda from the intermediate tanks</w:t></w:r>
</w:p>
<w:p>
<w:pPr><w:pStyle w:val="Normal"/></w:pPr>
<w:r><w:t xml:space="preserve">and at last gets up to full strength in the last tank, charged</w:t></w:r>
</w:p>
<w:p>
<w:pPr><w:pStyle w:val="Normal"/></w:pPr>
<w:r><w:t xml:space="preserve">with fresh black-ash and kept at a higher temperature, viz.</w:t></w:r>
</w:p>
<w:p>
<w:pPr><w:pStyle w:val="Normal"/></w:pPr>
<w:r><w:t xml:space="preserve">60 deg.  C. When the first tank has been quite exhausted, the</w:t></w:r>
</w:p>
<w:p>
<w:pPr><w:pStyle w:val="Normal"/></w:pPr>
<w:r><w:t xml:space="preserve">water is turned on to the next, the first tank is emptied by</w:t></w:r>
</w:p>
<w:p>
<w:pPr><w:pStyle w:val="Normal"/></w:pPr>
<w:r><w:t xml:space="preserve">discharging the ``alkali- waste,&apos;&apos; and is filled with fresh</w:t></w:r>
</w:p>
<w:p>
<w:pPr><w:pStyle w:val="Normal"/></w:pPr>
<w:r><w:t xml:space="preserve">black-ash, whereupon it becomes the last of the series.  In</w:t></w:r>
</w:p>
<w:p>
<w:pPr><w:pStyle w:val="Normal"/></w:pPr>
<w:r><w:t xml:space="preserve">spite of all precautions a certain quantity of impurities is</w:t></w:r>
</w:p>
<w:p>
<w:pPr><w:pStyle w:val="Normal"/></w:pPr>
<w:r><w:t xml:space="preserve">always formed, but this should be kept down as much as possible</w:t></w:r>
</w:p>
<w:p>
<w:pPr><w:pStyle w:val="Normal"/></w:pPr>
<w:r><w:t xml:space="preserve">by strictly watching the temperature in the vats and by taking</w:t></w:r>
</w:p>
<w:p>
<w:pPr><w:pStyle w:val="Normal"/></w:pPr>
<w:r><w:t xml:space="preserve">care that the black-ash in the wet state is never exposed to the</w:t></w:r>
</w:p>
<w:p>
<w:pPr><w:pStyle w:val="Normal"/></w:pPr>
<w:r><w:t xml:space="preserve">air.  The unavoidable contamination with muddy particles</w:t></w:r>
</w:p>
<w:p>
<w:pPr><w:pStyle w:val="Normal"/></w:pPr>
<w:r><w:t xml:space="preserve">of vat-waste is removed by allowing the vat- liquor to rest</w:t></w:r>
</w:p>
<w:p>
<w:pPr><w:pStyle w:val="Normal"/></w:pPr>
<w:r><w:t xml:space="preserve">for some hours in a separate tank and settling out the mud.</w:t></w:r>
</w:p>
<w:p>
<w:pPr><w:pStyle w:val="Normal"/></w:pPr>
<w:r><w:t xml:space="preserve">The clear vat-liquor, if allowed to cool down to ordinary</w:t></w:r>
</w:p>
<w:p>
<w:pPr><w:pStyle w:val="Normal"/></w:pPr>
<w:r><w:t xml:space="preserve">temperature, would separate out part of the sodium carbonate</w:t></w:r>
</w:p>
<w:p>
<w:pPr><w:pStyle w:val="Normal"/></w:pPr>
<w:r><w:t xml:space="preserve">in the shape of decahydrated crystals.  As these do not</w:t></w:r>
</w:p>
<w:p>
<w:pPr><w:pStyle w:val="Normal"/></w:pPr>
<w:r><w:t xml:space="preserve">come out sufficiently pure, they would not be marketable and</w:t></w:r>
</w:p>
<w:p>
<w:pPr><w:pStyle w:val="Normal"/></w:pPr>
<w:r><w:t xml:space="preserve">therefore they are not allowed to be formed, but the liquid,</w:t></w:r>
</w:p>
<w:p>
<w:pPr><w:pStyle w:val="Normal"/></w:pPr>
<w:r><w:t xml:space="preserve">while still hot, is either run into the boiling-down pans, or</w:t></w:r>
</w:p>
<w:p>
<w:pPr><w:pStyle w:val="Normal"/></w:pPr>
<w:r><w:t xml:space="preserve">submitted to one of the purifying operations to be described</w:t></w:r>
</w:p>
<w:p>
<w:pPr><w:pStyle w:val="Normal"/></w:pPr>
<w:r><w:t xml:space="preserve">below.  If it is boiled down without further purification,</w:t></w:r>
</w:p>
<w:p>
<w:pPr><w:pStyle w:val="Normal"/></w:pPr>
<w:r><w:t xml:space="preserve">the resulting soda-ash is not of the first quality, but it is</w:t></w:r>
</w:p>
<w:p>
<w:pPr><w:pStyle w:val="Normal"/></w:pPr>
<w:r><w:t xml:space="preserve">sufficiently pure for many purposes.  The boiling down is most</w:t></w:r>
</w:p>
<w:p>
<w:pPr><w:pStyle w:val="Normal"/></w:pPr>
<w:r><w:t xml:space="preserve">economically performed by means of large iron pans covered</w:t></w:r>
</w:p>
<w:p>
<w:pPr><w:pStyle w:val="Normal"/></w:pPr>
<w:r><w:t xml:space="preserve">with a brick arch and heated from the top by the waste flame</w:t></w:r>
</w:p>
<w:p>
<w:pPr><w:pStyle w:val="Normal"/></w:pPr>
<w:r><w:t xml:space="preserve">issuing from the black-ash furnaces (see figs. 6 and 7). It</w:t></w:r>
</w:p>
<w:p>
<w:pPr><w:pStyle w:val="Normal"/></w:pPr>
<w:r><w:t xml:space="preserve">is continued until the contents of the pan have been converted</w:t></w:r>
</w:p>
<w:p>
<w:pPr><w:pStyle w:val="Normal"/></w:pPr>
<w:r><w:t xml:space="preserve">into a thick paste of small crystals of monohydrated sodium</w:t></w:r>
</w:p>
<w:p>
<w:pPr><w:pStyle w:val="Normal"/></w:pPr>
<w:r><w:t xml:space="preserve">carbonate, permeated by a mother-liquor which is removed by</w:t></w:r>
</w:p>
<w:p>
<w:pPr><w:pStyle w:val="Normal"/></w:pPr>
<w:r><w:t xml:space="preserve">draining on perforated plates or by a centrifugal machine,</w:t></w:r>
</w:p>
<w:p>
<w:pPr><w:pStyle w:val="Normal"/></w:pPr>
<w:r><w:t xml:space="preserve">and is always returned to the pans.  The drained crystals are</w:t></w:r>
</w:p>
<w:p>
<w:pPr><w:pStyle w:val="Normal"/></w:pPr>
<w:r><w:t xml:space="preserve">dried and heated to redness in a reverberatory furnace; when</w:t></w:r>
</w:p>
<w:p>
<w:pPr><w:pStyle w:val="Normal"/></w:pPr>
<w:r><w:t xml:space="preserve">``finished,&apos;&apos; the mass is of an impure white or light yellow</w:t></w:r>
</w:p>
<w:p>
<w:pPr><w:pStyle w:val="Normal"/></w:pPr>
<w:r><w:t xml:space="preserve">colour and is sold as ordinary ``soda-ash.&apos;&apos; It is not easy</w:t></w:r>
</w:p>
<w:p>
<w:pPr><w:pStyle w:val="Normal"/></w:pPr>
<w:r><w:t xml:space="preserve">to make it stronger than 92% of sodium carbonate, which is</w:t></w:r>
</w:p>
<w:p>
<w:pPr><w:pStyle w:val="Normal"/></w:pPr>
<w:r><w:t xml:space="preserve">technically expressed as ``52 degrees of available soda&apos;&apos; (see next</w:t></w:r>
</w:p>
<w:p>
<w:pPr><w:pStyle w:val="Normal"/></w:pPr>
<w:r><w:t xml:space="preserve">page).  If purer and stronger soda-ash is wanted, the boiling</w:t></w:r>
</w:p>
<w:p>
<w:pPr><w:pStyle w:val="Normal"/></w:pPr>
<w:r><w:t xml:space="preserve">down must be carried out in pans fired from below, and the</w:t></w:r>
</w:p>
<w:p>
<w:pPr><w:pStyle w:val="Normal"/></w:pPr>
<w:r><w:t xml:space="preserve">crystals of monohydrated sodium carbonate ``fished&apos;&apos; out as</w:t></w:r>
</w:p>
<w:p>
<w:pPr><w:pStyle w:val="Normal"/></w:pPr>
<w:r><w:t xml:space="preserve">they are formed, but this is mostly done after submitting the</w:t></w:r>
</w:p>
<w:p>
<w:pPr><w:pStyle w:val="Normal"/></w:pPr>
<w:r><w:t xml:space="preserve">liquor to the purifying operations which we shall now describe.</w:t></w:r>
</w:p>
<w:p>
<w:pPr><w:pStyle w:val="Normal"/></w:pPr>
<w:r><w:t xml:space="preserve">The dried or ``finished&apos;&apos; soda-ash is ground to a pretty fine</w:t></w:r>
</w:p>
<w:p>
<w:pPr><w:pStyle w:val="Normal"/></w:pPr>
<w:r><w:t xml:space="preserve">powder and is packed into wooden casks or ``tierces,&apos;&apos; holding from</w:t></w:r>
</w:p>
<w:p>
<w:pPr><w:pStyle w:val="Normal"/></w:pPr>
<w:r><w:t xml:space="preserve">10 to about 20 cwt. each, according to the way of filling them.</w:t></w:r>
</w:p>
<w:p>
<w:pPr><w:pStyle w:val="Normal"/></w:pPr>
<w:r><w:t xml:space="preserve">The principal impurities of crude vat-liquor are sodium</w:t></w:r>
</w:p>
<w:p>
<w:pPr><w:pStyle w:val="Normal"/></w:pPr>
<w:r><w:t xml:space="preserve">hydrate and sulphide, the latter of which always leads to</w:t></w:r>
</w:p>
<w:p>
<w:pPr><w:pStyle w:val="Normal"/></w:pPr>
<w:r><w:t xml:space="preserve">the formation of soluble double sulphur salts of sodium and</w:t></w:r>
</w:p>
<w:p>
<w:pPr><w:pStyle w:val="Normal"/></w:pPr>
<w:r><w:t xml:space="preserve">iron.  The other impurities are of minor importance.</w:t></w:r>
</w:p>
<w:p>
<w:pPr><w:pStyle w:val="Normal"/></w:pPr>
<w:r><w:t xml:space="preserve">The sulphides can be removed by ``oxidizing&apos;&apos; them into</w:t></w:r>
</w:p>
<w:p>
<w:pPr><w:pStyle w:val="Normal"/></w:pPr>
<w:r><w:t xml:space="preserve">thiosulphates by means of atmospheric air, with or without</w:t></w:r>
</w:p>
<w:p>
<w:pPr><w:pStyle w:val="Normal"/></w:pPr>
<w:r><w:t xml:space="preserve">the assistance of other agents, such as manganese peroxide;</w:t></w:r>
</w:p>
<w:p>
<w:pPr><w:pStyle w:val="Normal"/></w:pPr>
<w:r><w:t xml:space="preserve">or by ``carbonating&apos;&apos; them with lime-kiln or other gases</w:t></w:r>
</w:p>
<w:p>
<w:pPr><w:pStyle w:val="Normal"/></w:pPr>
<w:r><w:t xml:space="preserve">containing carbon dioxide; or by precipitating them with</w:t></w:r>
</w:p>
<w:p>
<w:pPr><w:pStyle w:val="Normal"/></w:pPr>
<w:r><w:t xml:space="preserve">lead or zinc oxide.  The last mentioned is the best but</w:t></w:r>
</w:p>
<w:p>
<w:pPr><w:pStyle w:val="Normal"/></w:pPr>
<w:r><w:t xml:space="preserve">costliest method, and is employed only in the manufacture</w:t></w:r>
</w:p>
<w:p>
<w:pPr><w:pStyle w:val="Normal"/></w:pPr>
<w:r><w:t xml:space="preserve">of the highest strengths of caustic soda.  The most usual</w:t></w:r>
</w:p>
<w:p>
<w:pPr><w:pStyle w:val="Normal"/></w:pPr>
<w:r><w:t xml:space="preserve">process, where soda-ash is to be made, is the ``carbonating.&apos;&apos;</w:t></w:r>
</w:p>
<w:p>
<w:pPr><w:pStyle w:val="Normal"/></w:pPr>
<w:r><w:t xml:space="preserve">This is usually effected either by forcing lime-kiln gas</w:t></w:r>
</w:p>
<w:p>
<w:pPr><w:pStyle w:val="Normal"/></w:pPr>
<w:r><w:t xml:space="preserve">through the liquor, contained in a closed iron vessel, or by</w:t></w:r>
</w:p>
<w:p>
<w:pPr><w:pStyle w:val="Normal"/></w:pPr>
<w:r><w:t xml:space="preserve">passing the gases through an iron tower filled with coke or</w:t></w:r>
</w:p>
<w:p>
<w:pPr><w:pStyle w:val="Normal"/></w:pPr>
<w:r><w:t xml:space="preserve">other materials, suitable for subdividing the stream of the</w:t></w:r>
</w:p>
<w:p>
<w:pPr><w:pStyle w:val="Normal"/></w:pPr>
<w:r><w:t xml:space="preserve">gases and that of the vat-liquor which trickles down in the</w:t></w:r>
</w:p>
<w:p>
<w:pPr><w:pStyle w:val="Normal"/></w:pPr>
<w:r><w:t xml:space="preserve">tower.  The same apparatus is used for ``oxidizing&apos;&apos; by means</w:t></w:r>
</w:p>
<w:p>
<w:pPr><w:pStyle w:val="Normal"/></w:pPr>
<w:r><w:t xml:space="preserve">of atmospheric air passed through by means of an injector;</w:t></w:r>
</w:p>
<w:p>
<w:pPr><w:pStyle w:val="Normal"/></w:pPr>
<w:r><w:t xml:space="preserve">sometimes both air and carbon dioxide are passed in at the same</w:t></w:r>
</w:p>
<w:p>
<w:pPr><w:pStyle w:val="Normal"/></w:pPr>
<w:r><w:t xml:space="preserve">time.  The operation is finished when all the sodium sulphide</w:t></w:r>
</w:p>
<w:p>
<w:pPr><w:pStyle w:val="Normal"/></w:pPr>
<w:r><w:t xml:space="preserve">has been converted into normal sodium carbonate, partly also</w:t></w:r>
</w:p>
<w:p>
<w:pPr><w:pStyle w:val="Normal"/></w:pPr>
<w:r><w:t xml:space="preserve">into acid sodium carbonate (bicarbonate) NaHCO3; at the</w:t></w:r>
</w:p>
<w:p>
<w:pPr><w:pStyle w:val="Normal"/></w:pPr>
<w:r><w:t xml:space="preserve">same time a precipitate is formed, consisting of ferrous</w:t></w:r>
</w:p>
<w:p>
<w:pPr><w:pStyle w:val="Normal"/></w:pPr>
<w:r><w:t xml:space="preserve">sulphide, alumina and silica, which is removed by another</w:t></w:r>
</w:p>
<w:p>
<w:pPr><w:pStyle w:val="Normal"/></w:pPr>
<w:r><w:t xml:space="preserve">settling tank, and the clear liquor is now ready either</w:t></w:r>
</w:p>
<w:p>
<w:pPr><w:pStyle w:val="Normal"/></w:pPr>
<w:r><w:t xml:space="preserve">for boiling down in a ``fishing-pan&apos;&apos; for the manufacture</w:t></w:r>
</w:p>
<w:p>
<w:pPr><w:pStyle w:val="Normal"/></w:pPr>
<w:r><w:t xml:space="preserve">of white soda-ash, or for the process of causticizing.</w:t></w:r>
</w:p>
<w:p>
<w:pPr><w:pStyle w:val="Normal"/></w:pPr>
<w:r><w:t xml:space="preserve">Soda-ash (as well as caustic soda) is sold by degrees of</w:t></w:r>
</w:p>
<w:p>
<w:pPr><w:pStyle w:val="Normal"/></w:pPr>
<w:r><w:t xml:space="preserve">``available soda.&apos;&apos; This means that portion which neutralizes the</w:t></w:r>
</w:p>
<w:p>
<w:pPr><w:pStyle w:val="Normal"/></w:pPr>
<w:r><w:t xml:space="preserve">acid employed for testing, and the degrees mean the percentage</w:t></w:r>
</w:p>
<w:p>
<w:pPr><w:pStyle w:val="Normal"/></w:pPr>
<w:r><w:t xml:space="preserve">of Na2O thus found, whether it be present as Na2CO3, NaOH,</w:t></w:r>
</w:p>
<w:p>
<w:pPr><w:pStyle w:val="Normal"/></w:pPr>
<w:r><w:t xml:space="preserve">or sodium aluminate or silicate.  The purest soda-ash, equal</w:t></w:r>
</w:p>
<w:p>
<w:pPr><w:pStyle w:val="Normal"/></w:pPr>
<w:r><w:t xml:space="preserve">to 100% Na2CO3, would be 58 1/2 degrees of available soda.  The</w:t></w:r>
</w:p>
<w:p>
<w:pPr><w:pStyle w:val="Normal"/></w:pPr>
<w:r><w:t xml:space="preserve">ordinary commercial strength of Leblanc soda-ash is from 52 to</w:t></w:r>
</w:p>
<w:p>
<w:pPr><w:pStyle w:val="Normal"/></w:pPr>
<w:r><w:t xml:space="preserve">54 degrees (in former times much was sold in the state of 48%).</w:t></w:r>
</w:p>
<w:p>
<w:pPr><w:pStyle w:val="Normal"/></w:pPr>
<w:r><w:t xml:space="preserve">6. Manufacture of Caustic Soda.--Most of the Leblanc liquor</w:t></w:r>
</w:p>
<w:p>
<w:pPr><w:pStyle w:val="Normal"/></w:pPr>
<w:r><w:t xml:space="preserve">is nowadays converted into caustic soda, as white soda-ash</w:t></w:r>
</w:p>
<w:p>
<w:pPr><w:pStyle w:val="Normal"/></w:pPr>
<w:r><w:t xml:space="preserve">is more easily and cheaply made by the ammonia-soda process.</w:t></w:r>
</w:p>
<w:p>
<w:pPr><w:pStyle w:val="Normal"/></w:pPr>
<w:r><w:t xml:space="preserve">We shall therefore in this place describe the manufacture</w:t></w:r>
</w:p>
<w:p>
<w:pPr><w:pStyle w:val="Normal"/></w:pPr>
<w:r><w:t xml:space="preserve">of caustic soda.  This is always made from the carbonate by</w:t></w:r>
</w:p>
<w:p>
<w:pPr><w:pStyle w:val="Normal"/></w:pPr>
<w:r><w:t xml:space="preserve">the action of slaked lime: Na2CO3 + Ca(OH)2 = CaCO3 +</w:t></w:r>
</w:p>
<w:p>
<w:pPr><w:pStyle w:val="Normal"/></w:pPr>
<w:r><w:t xml:space="preserve">2NaOH.  The calcium carbonate, being insoluble, is easily</w:t></w:r>
</w:p>
<w:p>
<w:pPr><w:pStyle w:val="Normal"/></w:pPr>
<w:r><w:t xml:space="preserve">separated from the caustic liquor by filtration.  But as</w:t></w:r>
</w:p>
<w:p>
<w:pPr><w:pStyle w:val="Normal"/></w:pPr>
<w:r><w:t xml:space="preserve">this reaction is reversible, we must observe the conditions</w:t></w:r>
</w:p>
<w:p>
<w:pPr><w:pStyle w:val="Normal"/></w:pPr>
<w:r><w:t xml:space="preserve">necessary for directing it in the right sense.  These are:</w:t></w:r>
</w:p>
<w:p>
<w:pPr><w:pStyle w:val="Normal"/></w:pPr>
<w:r><w:t xml:space="preserve">diluting with water so as not to exceed 10% of sodium carbonate</w:t></w:r>
</w:p>
<w:p>
<w:pPr><w:pStyle w:val="Normal"/></w:pPr>
<w:r><w:t xml:space="preserve">to 90% of water; boiling this mixture; and keeping it well</w:t></w:r>
</w:p>
<w:p>
<w:pPr><w:pStyle w:val="Normal"/></w:pPr>
<w:r><w:t xml:space="preserve">agitated.  At the best about 92% of the sodium carbonate</w:t></w:r>
</w:p>
<w:p>
<w:pPr><w:pStyle w:val="Normal"/></w:pPr>
<w:r><w:t xml:space="preserve">can be converted into caustic soda, 8% remaining unchanged.</w:t></w:r>
</w:p>
<w:p>
<w:pPr><w:pStyle w:val="Normal"/></w:pPr>
<w:r><w:t xml:space="preserve">The operation is performed in iron cylinders, provided</w:t></w:r>
</w:p>
<w:p>
<w:pPr><w:pStyle w:val="Normal"/></w:pPr>
<w:r><w:t xml:space="preserve">with an agitating arrangement.  This may consist of a steam</w:t></w:r>
</w:p>
<w:p>
<w:pPr><w:pStyle w:val="Normal"/></w:pPr>
<w:r><w:t xml:space="preserve">injector by means of which air is made to bubble through the</w:t></w:r>
</w:p>
<w:p>
<w:pPr><w:pStyle w:val="Normal"/></w:pPr>
<w:r><w:t xml:space="preserve">liquid, which produces both the required agitation and the</w:t></w:r>
</w:p>
<w:p>
<w:pPr><w:pStyle w:val="Normal"/></w:pPr>
<w:r><w:t xml:space="preserve">heating, and at the same time oxidizes at least part of the</w:t></w:r>
</w:p>
<w:p>
<w:pPr><w:pStyle w:val="Normal"/></w:pPr>
<w:r><w:t xml:space="preserve">sulphides; but this method of agitation causes a great waste</w:t></w:r>
</w:p>
<w:p>
<w:pPr><w:pStyle w:val="Normal"/></w:pPr>
<w:r><w:t xml:space="preserve">of steam and at the same time a further dilution of the</w:t></w:r>
</w:p>
<w:p>
<w:pPr><w:pStyle w:val="Normal"/></w:pPr>
<w:r><w:t xml:space="preserve">liquor.  Many, therefore, prefer mechanical stirring by means</w:t></w:r>
</w:p>
<w:p>
<w:pPr><w:pStyle w:val="Normal"/></w:pPr>
<w:r><w:t xml:space="preserve">of paddles, fixed either to a vertical or to a horizontal</w:t></w:r>
</w:p>
<w:p>
<w:pPr><w:pStyle w:val="Normal"/></w:pPr>
<w:r><w:t xml:space="preserve">shaft, and inject only sufficient steam to keep the mass</w:t></w:r>
</w:p>
<w:p>
<w:pPr><w:pStyle w:val="Normal"/></w:pPr>
<w:r><w:t xml:space="preserve">at the proper temperature.  Some heat is also gained by</w:t></w:r>
</w:p>
<w:p>
<w:pPr><w:pStyle w:val="Normal"/></w:pPr>
<w:r><w:t xml:space="preserve">the slaking of the caustic lime within the liquor.  After</w:t></w:r>
</w:p>
<w:p>
<w:pPr><w:pStyle w:val="Normal"/></w:pPr>
<w:r><w:t xml:space="preserve">from half an hour to a whole hour the conversion of sodium</w:t></w:r>
</w:p>
<w:p>
<w:pPr><w:pStyle w:val="Normal"/></w:pPr>
<w:r><w:t xml:space="preserve">carbonate into sodium hydrate is brought about as far as is</w:t></w:r>
</w:p>
<w:p>
<w:pPr><w:pStyle w:val="Normal"/></w:pPr>
<w:r><w:t xml:space="preserve">practicable.  The whole mass is now run into the filters,</w:t></w:r>
</w:p>
<w:p>
<w:pPr><w:pStyle w:val="Normal"/></w:pPr>
<w:r><w:t xml:space="preserve">which are always constructed on the vacuum principle.  They</w:t></w:r>
</w:p>
<w:p>
<w:pPr><w:pStyle w:val="Normal"/></w:pPr>
<w:r><w:t xml:space="preserve">are iron boxes, in which a bed is made of bricks, above</w:t></w:r>
</w:p>
<w:p>
<w:pPr><w:pStyle w:val="Normal"/></w:pPr>
<w:r><w:t xml:space="preserve">them gravel, and over this sand, covered on the top by iron</w:t></w:r>
</w:p>
<w:p>
<w:pPr><w:pStyle w:val="Normal"/></w:pPr>
<w:r><w:t xml:space="preserve">grids.  The space below the sieve thus formed is connected</w:t></w:r>
</w:p>
<w:p>
<w:pPr><w:pStyle w:val="Normal"/></w:pPr>
<w:r><w:t xml:space="preserve">by means of an outlet tap with a closed tank, and this again</w:t></w:r>
</w:p>
<w:p>
<w:pPr><w:pStyle w:val="Normal"/></w:pPr>
<w:r><w:t xml:space="preserve">communicates with a vacuum pump.  By this means the filtration</w:t></w:r>
</w:p>
<w:p>
<w:pPr><w:pStyle w:val="Normal"/></w:pPr>
<w:r><w:t xml:space="preserve">is quickened by the atmospheric pressure, and goes on very</w:t></w:r>
</w:p>
<w:p>
<w:pPr><w:pStyle w:val="Normal"/></w:pPr>
<w:r><w:t xml:space="preserve">rapidly, as also does the subsequent washing.  The filtered</w:t></w:r>
</w:p>
<w:p>
<w:pPr><w:pStyle w:val="Normal"/></w:pPr>
<w:r><w:t xml:space="preserve">caustic liquor passes to the concentration plants; the</w:t></w:r>
</w:p>
<w:p>
<w:pPr><w:pStyle w:val="Normal"/></w:pPr>
<w:r><w:t xml:space="preserve">washings are employed for diluting fresh vat-liquor for the</w:t></w:r>
</w:p>
<w:p>
<w:pPr><w:pStyle w:val="Normal"/></w:pPr>
<w:r><w:t xml:space="preserve">next operation, or for dissolving solid soda-ash for the same</w:t></w:r>
</w:p>
<w:p>
<w:pPr><w:pStyle w:val="Normal"/></w:pPr>
<w:r><w:t xml:space="preserve">purpose.  The washed-out calcium carbonate, which always contains</w:t></w:r>
</w:p>
<w:p>
<w:pPr><w:pStyle w:val="Normal"/></w:pPr>
<w:r><w:t xml:space="preserve">much calcium hydrate and 2 or 3% of soda in various forms,</w:t></w:r>
</w:p>
<w:p>
<w:pPr><w:pStyle w:val="Normal"/></w:pPr>
<w:r><w:t xml:space="preserve">usually goes back to the black-ash furnaces, but it cannot be</w:t></w:r>
</w:p>
<w:p>
<w:pPr><w:pStyle w:val="Normal"/></w:pPr>
<w:r><w:t xml:space="preserve">always used up in this way, and what remains is thrown upon a</w:t></w:r>
</w:p>
<w:p>
<w:pPr><w:pStyle w:val="Normal"/></w:pPr>
<w:r><w:t xml:space="preserve">heap outside the works.  Attempts have been made to use it in</w:t></w:r>
</w:p>
<w:p>
<w:pPr><w:pStyle w:val="Normal"/></w:pPr>
<w:r><w:t xml:space="preserve">the manufacture of Portland cement, but without much success.</w:t></w:r>
</w:p>
<w:p>
<w:pPr><w:pStyle w:val="Normal"/></w:pPr>
<w:r><w:t xml:space="preserve">The clear caustic soda liquor must be concentrated in such</w:t></w:r>
</w:p>
<w:p>
<w:pPr><w:pStyle w:val="Normal"/></w:pPr>
<w:r><w:t xml:space="preserve">a way that the caustic soda cannot to any great extent be</w:t></w:r>
</w:p>
<w:p>
<w:pPr><w:pStyle w:val="Normal"/></w:pPr>
<w:r><w:t xml:space="preserve">reconverted into sodium carbonate, and that the ``salts&apos;&apos;</w:t></w:r>
</w:p>
<w:p>
<w:pPr><w:pStyle w:val="Normal"/></w:pPr>
<w:r><w:t xml:space="preserve">which it contains, sodium carbonate, sulphate, chloride, &amp;c.,</w:t></w:r>
</w:p>
<w:p>
<w:pPr><w:pStyle w:val="Normal"/></w:pPr>
<w:r><w:t xml:space="preserve">can be. separated during the process.  Formerly the most usual</w:t></w:r>
</w:p>
<w:p>
<w:pPr><w:pStyle w:val="Normal"/></w:pPr>
<w:r><w:t xml:space="preserve">concentrating apparatus was the ``boat-pan&apos;&apos; (fig. 8). This is an</w:t></w:r>
</w:p>
<w:p>
<w:pPr><w:pStyle w:val="Normal"/></w:pPr>
<w:r><w:t xml:space="preserve">FIG. 8.--Caustic Soda Concentration Boat-pan. (Sectional Elevation.) Scale</w:t></w:r>
</w:p>
<w:p>
<w:pPr><w:pStyle w:val="Normal"/></w:pPr>
<w:r><w:t xml:space="preserve">oblong iron pan, the bottom of which slopes from both sides</w:t></w:r>
</w:p>
<w:p>
<w:pPr><w:pStyle w:val="Normal"/></w:pPr>
<w:r><w:t xml:space="preserve">to a narrow channel.  The latter rests on a brick pillar;</w:t></w:r>
</w:p>
<w:p>
<w:pPr><w:pStyle w:val="Normal"/></w:pPr>
<w:r><w:t xml:space="preserve">the remaining part of the sloping bottom is heated, either</w:t></w:r>
</w:p>
<w:p>
<w:pPr><w:pStyle w:val="Normal"/></w:pPr>
<w:r><w:t xml:space="preserve">by the waste fire from a black-ash furnace or by a special</w:t></w:r>
</w:p>
<w:p>
<w:pPr><w:pStyle w:val="Normal"/></w:pPr>
<w:r><w:t xml:space="preserve">fireplace.  This arrangement has the effect that the salts, as</w:t></w:r>
</w:p>
<w:p>
<w:pPr><w:pStyle w:val="Normal"/></w:pPr>
<w:r><w:t xml:space="preserve">they separate out, slide down the sloping part and arrive in</w:t></w:r>
</w:p>
<w:p>
<w:pPr><w:pStyle w:val="Normal"/></w:pPr>
<w:r><w:t xml:space="preserve">the central channel, which is not exposed to the fire-gases,</w:t></w:r>
</w:p>
<w:p>
<w:pPr><w:pStyle w:val="Normal"/></w:pPr>
<w:r><w:t xml:space="preserve">so that they quietly settle there, without caking to the pan,</w:t></w:r>
</w:p>
<w:p>
<w:pPr><w:pStyle w:val="Normal"/></w:pPr>
<w:r><w:t xml:space="preserve">until they are fished out by means of perforated ladles.  These</w:t></w:r>
</w:p>
<w:p>
<w:pPr><w:pStyle w:val="Normal"/></w:pPr>
<w:r><w:t xml:space="preserve">boat-pans were for many years almost everywhere employed, and</w:t></w:r>
</w:p>
<w:p>
<w:pPr><w:pStyle w:val="Normal"/></w:pPr>
<w:r><w:t xml:space="preserve">did their work quite well, but rather expensively.  At many works</w:t></w:r>
</w:p>
<w:p>
<w:pPr><w:pStyle w:val="Normal"/></w:pPr>
<w:r><w:t xml:space="preserve">they have been replaced by either Thelen pans or vacuum pans.</w:t></w:r>
</w:p>
<w:p>
<w:pPr><w:pStyle w:val="Normal"/></w:pPr>
<w:r><w:t xml:space="preserve">The ``Thelen pan&apos;&apos; (thus named from its inventor, a foreman</w:t></w:r>
</w:p>
<w:p>
<w:pPr><w:pStyle w:val="Normal"/></w:pPr>
<w:r><w:t xml:space="preserve">at the Rhenania works near Aachen) is a mechanically worked</w:t></w:r>
</w:p>
<w:p>
<w:pPr><w:pStyle w:val="Normal"/></w:pPr>
<w:r><w:t xml:space="preserve">fishing-pan, which requires considerably less labour and</w:t></w:r>
</w:p>
<w:p>
<w:pPr><w:pStyle w:val="Normal"/></w:pPr>
<w:r><w:t xml:space="preserve">coal than ordinary boat-pans.  It is a long trough, of nearly</w:t></w:r>
</w:p>
<w:p>
<w:pPr><w:pStyle w:val="Normal"/></w:pPr>
<w:r><w:t xml:space="preserve">semicircular section, the whole bottom being exposed to the</w:t></w:r>
</w:p>
<w:p>
<w:pPr><w:pStyle w:val="Normal"/></w:pPr>
<w:r><w:t xml:space="preserve">fire- gases.  A horizontal shaft runs length-ways through the</w:t></w:r>
</w:p>
<w:p>
<w:pPr><w:pStyle w:val="Normal"/></w:pPr>
<w:r><w:t xml:space="preserve">trough, and is provided with stirring blades, arranged in</w:t></w:r>
</w:p>
<w:p>
<w:pPr><w:pStyle w:val="Normal"/></w:pPr>
<w:r><w:t xml:space="preserve">such a manner that they constantly scrape the bottom, so that</w:t></w:r>
</w:p>
<w:p>
<w:pPr><w:pStyle w:val="Normal"/></w:pPr>
<w:r><w:t xml:space="preserve">the salts cannot burn fast upon it, and are at the same time</w:t></w:r>
</w:p>
<w:p>
<w:pPr><w:pStyle w:val="Normal"/></w:pPr>
<w:r><w:t xml:space="preserve">moved forward towards one of the ends of the trough where</w:t></w:r>
</w:p>
<w:p>
<w:pPr><w:pStyle w:val="Normal"/></w:pPr>
<w:r><w:t xml:space="preserve">they are automatically removed by means of a chain of buckets.</w:t></w:r>
</w:p>
<w:p>
<w:pPr><w:pStyle w:val="Normal"/></w:pPr>
<w:r><w:t xml:space="preserve">The most efficient evaporating apparatus, as far as economy</w:t></w:r>
</w:p>
<w:p>
<w:pPr><w:pStyle w:val="Normal"/></w:pPr>
<w:r><w:t xml:space="preserve">of fuel is concerned, is the vacuum-pan, of which from two to</w:t></w:r>
</w:p>
<w:p>
<w:pPr><w:pStyle w:val="Normal"/></w:pPr>
<w:r><w:t xml:space="preserve">five are combined to form a set, but it has the drawback that</w:t></w:r>
</w:p>
<w:p>
<w:pPr><w:pStyle w:val="Normal"/></w:pPr>
<w:r><w:t xml:space="preserve">the removal of the salts is much more difficult than with the</w:t></w:r>
</w:p>
<w:p>
<w:pPr><w:pStyle w:val="Normal"/></w:pPr>
<w:r><w:t xml:space="preserve">older pans, described above.  In this apparatus only the first</w:t></w:r>
</w:p>
<w:p>
<w:pPr><w:pStyle w:val="Normal"/></w:pPr>
<w:r><w:t xml:space="preserve">of the pans is heated directly, usually by means of ordinary</w:t></w:r>
</w:p>
<w:p>
<w:pPr><w:pStyle w:val="Normal"/></w:pPr>
<w:r><w:t xml:space="preserve">boiler- steam circulating round a number of pipes, containing</w:t></w:r>
</w:p>
<w:p>
<w:pPr><w:pStyle w:val="Normal"/></w:pPr>
<w:r><w:t xml:space="preserve">the liquid to be concentrated.  The steam rising from the latter</w:t></w:r>
</w:p>
<w:p>
<w:pPr><w:pStyle w:val="Normal"/></w:pPr>
<w:r><w:t xml:space="preserve">is passed into a similar pan, in which it circulates round</w:t></w:r>
</w:p>
<w:p>
<w:pPr><w:pStyle w:val="Normal"/></w:pPr>
<w:r><w:t xml:space="preserve">another set of pipes, but as it could not bring the liquid in</w:t></w:r>
</w:p>
<w:p>
<w:pPr><w:pStyle w:val="Normal"/></w:pPr>
<w:r><w:t xml:space="preserve">the latter to boil under ordinary conditions, the second pan</w:t></w:r>
</w:p>
<w:p>
<w:pPr><w:pStyle w:val="Normal"/></w:pPr>
<w:r><w:t xml:space="preserve">is connected with a vacuum-pump so that the boiling-point of</w:t></w:r>
</w:p>
<w:p>
<w:pPr><w:pStyle w:val="Normal"/></w:pPr>
<w:r><w:t xml:space="preserve">the liquid in this pan is lowered.  This pan may be followed by</w:t></w:r>
</w:p>
<w:p>
<w:pPr><w:pStyle w:val="Normal"/></w:pPr>
<w:r><w:t xml:space="preserve">a third pan, in which a stronger vacuum is maintained, and so</w:t></w:r>
</w:p>
<w:p>
<w:pPr><w:pStyle w:val="Normal"/></w:pPr>
<w:r><w:t xml:space="preserve">forth.  By this means the latent heat of the steam, issuing</w:t></w:r>
</w:p>
<w:p>
<w:pPr><w:pStyle w:val="Normal"/></w:pPr>
<w:r><w:t xml:space="preserve">from all pans but the last, is utilized for evaporating</w:t></w:r>
</w:p>
<w:p>
<w:pPr><w:pStyle w:val="Normal"/></w:pPr>
<w:r><w:t xml:space="preserve">purposes, and from half to three-fourths of the fuel is saved.</w:t></w:r>
</w:p>
<w:p>
<w:pPr><w:pStyle w:val="Normal"/></w:pPr>
<w:r><w:t xml:space="preserve">After being concentrated up to a certain point, and after</w:t></w:r>
</w:p>
<w:p>
<w:pPr><w:pStyle w:val="Normal"/></w:pPr>
<w:r><w:t xml:space="preserve">the separation of nearly all the salts, the caustic liquor</w:t></w:r>
</w:p>
<w:p>
<w:pPr><w:pStyle w:val="Normal"/></w:pPr>
<w:r><w:t xml:space="preserve">is transferred to cast-iron ``finishing-pots&apos;&apos; (fig. 9),</w:t></w:r>
</w:p>
<w:p>
<w:pPr><w:pStyle w:val="Normal"/></w:pPr>
<w:r><w:t xml:space="preserve">holding from ten to twenty tons.  Here it is further boiled</w:t></w:r>
</w:p>
<w:p>
<w:pPr><w:pStyle w:val="Normal"/></w:pPr>
<w:r><w:t xml:space="preserve">down until the greater part or nearly all of the water</w:t></w:r>
</w:p>
<w:p>
<w:pPr><w:pStyle w:val="Normal"/></w:pPr>
<w:r><w:t xml:space="preserve">has been removed, and until the salts on cooling would</w:t></w:r>
</w:p>
<w:p>
<w:pPr><w:pStyle w:val="Normal"/></w:pPr>
<w:r><w:t xml:space="preserve">set to a solid mass.  This requires ultimately a good red</w:t></w:r>
</w:p>
<w:p>
<w:pPr><w:pStyle w:val="Normal"/></w:pPr>
<w:r><w:t xml:space="preserve">heat.  Before the mass has reached that point the sulphides</w:t></w:r>
</w:p>
<w:p>
<w:pPr><w:pStyle w:val="Normal"/></w:pPr>
<w:r><w:t xml:space="preserve">still present have been destroyed, either by the addition of</w:t></w:r>
</w:p>
<w:p>
<w:pPr><w:pStyle w:val="Normal"/></w:pPr>
<w:r><w:t xml:space="preserve">solid nitrate of soda or by blowing air through the red-hot</w:t></w:r>
</w:p>
<w:p>
<w:pPr><w:pStyle w:val="Normal"/></w:pPr>
<w:r><w:t xml:space="preserve">melt.  Before finishing, the molten mass must be kept at a quiet</w:t></w:r>
</w:p>
<w:p>
<w:pPr><w:pStyle w:val="Normal"/></w:pPr>
<w:r><w:t xml:space="preserve">FIG. 9.--Caustic Soda ``Finishing-pot.&apos;&apos; (Sectional Elevation.) Scale</w:t></w:r>
</w:p>
<w:p>
<w:pPr><w:pStyle w:val="Normal"/></w:pPr>
<w:r><w:t xml:space="preserve">heat for some hours in order to settle out the ferric oxide which</w:t></w:r>
</w:p>
<w:p>
<w:pPr><w:pStyle w:val="Normal"/></w:pPr>
<w:r><w:t xml:space="preserve">it always contains, and which becomes insoluble (through the</w:t></w:r>
</w:p>
<w:p>
<w:pPr><w:pStyle w:val="Normal"/></w:pPr>
<w:r><w:t xml:space="preserve">destruction of the sodium ferrite) only at high temperatures.</w:t></w:r>
</w:p>
<w:p>
<w:pPr><w:pStyle w:val="Normal"/></w:pPr>
<w:r><w:t xml:space="preserve">When it has completely cleared, the liquid caustic is ladled</w:t></w:r>
</w:p>
<w:p>
<w:pPr><w:pStyle w:val="Normal"/></w:pPr>
<w:r><w:t xml:space="preserve">or pumped out into sheet-iron drums, holding about 6 cwt. each,</w:t></w:r>
</w:p>
<w:p>
<w:pPr><w:pStyle w:val="Normal"/></w:pPr>
<w:r><w:t xml:space="preserve">where it solidifies and forms the caustic soda known to commerce.</w:t></w:r>
</w:p>
<w:p>
<w:pPr><w:pStyle w:val="Normal"/></w:pPr>
<w:r><w:t xml:space="preserve">The best caustic soda tests from 75 to 76 degrees of</w:t></w:r>
</w:p>
<w:p>
<w:pPr><w:pStyle w:val="Normal"/></w:pPr>
<w:r><w:t xml:space="preserve">``available soda&apos;&apos;; this is only a few per cent removed</w:t></w:r>
</w:p>
<w:p>
<w:pPr><w:pStyle w:val="Normal"/></w:pPr>
<w:r><w:t xml:space="preserve">from the composition of pure NaOH, which would be = 77.5</w:t></w:r>
</w:p>
<w:p>
<w:pPr><w:pStyle w:val="Normal"/></w:pPr>
<w:r><w:t xml:space="preserve">degrees Na2O.  Most of the caustic soda is sold at a</w:t></w:r>
</w:p>
<w:p>
<w:pPr><w:pStyle w:val="Normal"/></w:pPr>
<w:r><w:t xml:space="preserve">strength of 70 degrees, sometimes as low as 60 degrees.</w:t></w:r>
</w:p>
<w:p>
<w:pPr><w:pStyle w:val="Normal"/></w:pPr>
<w:r><w:t xml:space="preserve">Caustic soda is used in very large quantities in the</w:t></w:r>
</w:p>
<w:p>
<w:pPr><w:pStyle w:val="Normal"/></w:pPr>
<w:r><w:t xml:space="preserve">manufacture of soap, paper, textile fabrics, alizarin</w:t></w:r>
</w:p>
<w:p>
<w:pPr><w:pStyle w:val="Normal"/></w:pPr>
<w:r><w:t xml:space="preserve">and other colouring matters, and for many other purposes.</w:t></w:r>
</w:p>
<w:p>
<w:pPr><w:pStyle w:val="Normal"/></w:pPr>
<w:r><w:t xml:space="preserve">7. Soda-Crystals.--Another product made in alkali works is</w:t></w:r>
</w:p>
<w:p>
<w:pPr><w:pStyle w:val="Normal"/></w:pPr>
<w:r><w:t xml:space="preserve">soda-crystals.  Their formula in Na2CO3, 10H2O, corresponding</w:t></w:r>
</w:p>
<w:p>
<w:pPr><w:pStyle w:val="Normal"/></w:pPr>
<w:r><w:t xml:space="preserve">to 37% of dry sodium carbonate.  They are made by dissolving</w:t></w:r>
</w:p>
<w:p>
<w:pPr><w:pStyle w:val="Normal"/></w:pPr>
<w:r><w:t xml:space="preserve">ordinary soda-ash in hot water, adding a small quantity of</w:t></w:r>
</w:p>
<w:p>
<w:pPr><w:pStyle w:val="Normal"/></w:pPr>
<w:r><w:t xml:space="preserve">chloride of lime for the destruction of colouring matter and the</w:t></w:r>
</w:p>
<w:p>
<w:pPr><w:pStyle w:val="Normal"/></w:pPr>
<w:r><w:t xml:space="preserve">oxidation of any ferrous salts present, carefully settling the</w:t></w:r>
</w:p>
<w:p>
<w:pPr><w:pStyle w:val="Normal"/></w:pPr>
<w:r><w:t xml:space="preserve">solution, without allowing its temperature to fall below the</w:t></w:r>
</w:p>
<w:p>
<w:pPr><w:pStyle w:val="Normal"/></w:pPr>
<w:r><w:t xml:space="preserve">point of maximum solubility (34 deg.  C.), and running the clarified</w:t></w:r>
</w:p>
<w:p>
<w:pPr><w:pStyle w:val="Normal"/></w:pPr>
<w:r><w:t xml:space="preserve">liquid into cast-iron crystallizers or ``cones,&apos;&apos; where, on</w:t></w:r>
</w:p>
<w:p>
<w:pPr><w:pStyle w:val="Normal"/></w:pPr>
<w:r><w:t xml:space="preserve">cooling down, most of the sodium carbonate is separated in</w:t></w:r>
</w:p>
<w:p>
<w:pPr><w:pStyle w:val="Normal"/></w:pPr>
<w:r><w:t xml:space="preserve">large crystals of the decahydrated form.  This process lasts</w:t></w:r>
</w:p>
<w:p>
<w:pPr><w:pStyle w:val="Normal"/></w:pPr>
<w:r><w:t xml:space="preserve">about a week in winter, and up to a fortnight in summer.  In</w:t></w:r>
</w:p>
<w:p>
<w:pPr><w:pStyle w:val="Normal"/></w:pPr>
<w:r><w:t xml:space="preserve">France the crystallization of soda is performed not in large</w:t></w:r>
</w:p>
<w:p>
<w:pPr><w:pStyle w:val="Normal"/></w:pPr>
<w:r><w:t xml:space="preserve">tanks but in sheet-iron dishes holding only about  1/4 cwt.,</w:t></w:r>
</w:p>
<w:p>
<w:pPr><w:pStyle w:val="Normal"/></w:pPr>
<w:r><w:t xml:space="preserve">and requires only from 27 to 48 hours in the cool season; it</w:t></w:r>
</w:p>
<w:p>
<w:pPr><w:pStyle w:val="Normal"/></w:pPr>
<w:r><w:t xml:space="preserve">is not carried on at all in warmer climates during the summer</w:t></w:r>
</w:p>
<w:p>
<w:pPr><w:pStyle w:val="Normal"/></w:pPr>
<w:r><w:t xml:space="preserve">months.  The mother-liquor, drained from the soda-crystals, on</w:t></w:r>
</w:p>
<w:p>
<w:pPr><w:pStyle w:val="Normal"/></w:pPr>
<w:r><w:t xml:space="preserve">boiling down to dryness yields a very white, but low-strength</w:t></w:r>
</w:p>
<w:p>
<w:pPr><w:pStyle w:val="Normal"/></w:pPr>
<w:r><w:t xml:space="preserve">soda-ash, as the soluble impurities of the original soda-ash</w:t></w:r>
</w:p>
<w:p>
<w:pPr><w:pStyle w:val="Normal"/></w:pPr>
<w:r><w:t xml:space="preserve">are nearly all collected here; it is called ``mother-alkali.&apos;&apos;</w:t></w:r>
</w:p>
<w:p>
<w:pPr><w:pStyle w:val="Normal"/></w:pPr>
<w:r><w:t xml:space="preserve">Although the soda-crystals contain the alkali combined</w:t></w:r>
</w:p>
<w:p>
<w:pPr><w:pStyle w:val="Normal"/></w:pPr>
<w:r><w:t xml:space="preserve">with such a large quantity of water, they are made in large</w:t></w:r>
</w:p>
<w:p>
<w:pPr><w:pStyle w:val="Normal"/></w:pPr>
<w:r><w:t xml:space="preserve">quantities, because their form, together with their complete</w:t></w:r>
</w:p>
<w:p>
<w:pPr><w:pStyle w:val="Normal"/></w:pPr>
<w:r><w:t xml:space="preserve">freedom from caustic soda, makes them very suitable for domestic</w:t></w:r>
</w:p>
<w:p>
<w:pPr><w:pStyle w:val="Normal"/></w:pPr>
<w:r><w:t xml:space="preserve">purposes.  Hence they are best known as ``washing-soda.&apos;&apos;</w:t></w:r>
</w:p>
<w:p>
<w:pPr><w:pStyle w:val="Normal"/></w:pPr>
<w:r><w:t xml:space="preserve">Sometimes they are made, not from soda-ash, but from Leblanc</w:t></w:r>
</w:p>
<w:p>
<w:pPr><w:pStyle w:val="Normal"/></w:pPr>
<w:r><w:t xml:space="preserve">soda-liquor before ``finishing&apos;&apos; the ash, or from the crude</w:t></w:r>
</w:p>
<w:p>
<w:pPr><w:pStyle w:val="Normal"/></w:pPr>
<w:r><w:t xml:space="preserve">bicarbonate of the ammonia-soda process by prolonged boiling,</w:t></w:r>
</w:p>
<w:p>
<w:pPr><w:pStyle w:val="Normal"/></w:pPr>
<w:r><w:t xml:space="preserve">until nearly half of the carbonic acid has been expelled.</w:t></w:r>
</w:p>
<w:p>
<w:pPr><w:pStyle w:val="Normal"/></w:pPr>
<w:r><w:t xml:space="preserve">Formerly bicarbonate of soda was made from Leblanc soda-</w:t></w:r>
</w:p>
<w:p>
<w:pPr><w:pStyle w:val="Normal"/></w:pPr>
<w:r><w:t xml:space="preserve">crystals by the action of carbonic acid, but this article</w:t></w:r>
</w:p>
<w:p>
<w:pPr><w:pStyle w:val="Normal"/></w:pPr>
<w:r><w:t xml:space="preserve">is now almost exclusively made in the ammonia-soda process.</w:t></w:r>
</w:p>
<w:p>
<w:pPr><w:pStyle w:val="Normal"/></w:pPr>
<w:r><w:t xml:space="preserve">8. The Recovery of Sulphur from Alkali-waste.--For many</w:t></w:r>
</w:p>
<w:p>
<w:pPr><w:pStyle w:val="Normal"/></w:pPr>
<w:r><w:t xml:space="preserve">years all the sulphur used in the Leblanc process in the</w:t></w:r>
</w:p>
<w:p>
<w:pPr><w:pStyle w:val="Normal"/></w:pPr>
<w:r><w:t xml:space="preserve">shape of sodium sulphate, and originally imported into the</w:t></w:r>
</w:p>
<w:p>
<w:pPr><w:pStyle w:val="Normal"/></w:pPr>
<w:r><w:t xml:space="preserve">manufacture in the shape of brimstone or pyrites, was wasted</w:t></w:r>
</w:p>
<w:p>
<w:pPr><w:pStyle w:val="Normal"/></w:pPr>
<w:r><w:t xml:space="preserve">in the crude calcium sulphide remaining from the lixiviation of</w:t></w:r>
</w:p>
<w:p>
<w:pPr><w:pStyle w:val="Normal"/></w:pPr>
<w:r><w:t xml:space="preserve">black-ash.  This ``alkali-waste,&apos;&apos; also called tank-waste or</w:t></w:r>
</w:p>
<w:p>
<w:pPr><w:pStyle w:val="Normal"/></w:pPr>
<w:r><w:t xml:space="preserve">vat- waste, was thrown into heaps where the calcium sulphide</w:t></w:r>
</w:p>
<w:p>
<w:pPr><w:pStyle w:val="Normal"/></w:pPr>
<w:r><w:t xml:space="preserve">was gradually acted upon by the moisture and the oxygen of the</w:t></w:r>
</w:p>
<w:p>
<w:pPr><w:pStyle w:val="Normal"/></w:pPr>
<w:r><w:t xml:space="preserve">air.  The sulphur was by these converted partly into gaseous</w:t></w:r>
</w:p>
<w:p>
<w:pPr><w:pStyle w:val="Normal"/></w:pPr>
<w:r><w:t xml:space="preserve">sulphuretted hydrogen, partly into soluble polysulphides,</w:t></w:r>
</w:p>
<w:p>
<w:pPr><w:pStyle w:val="Normal"/></w:pPr>
<w:r><w:t xml:space="preserve">thiosulphates and other soluble compounds, and in all shapes</w:t></w:r>
</w:p>
<w:p>
<w:pPr><w:pStyle w:val="Normal"/></w:pPr>
<w:r><w:t xml:space="preserve">caused a nuisance which became more and more intolerable as</w:t></w:r>
</w:p>
<w:p>
<w:pPr><w:pStyle w:val="Normal"/></w:pPr>
<w:r><w:t xml:space="preserve">the number and size of alkali works increased.  Both the air</w:t></w:r>
</w:p>
<w:p>
<w:pPr><w:pStyle w:val="Normal"/></w:pPr>
<w:r><w:t xml:space="preserve">and the water in their neighbourhood were contaminated thereby.</w:t></w:r>
</w:p>
<w:p>
<w:pPr><w:pStyle w:val="Normal"/></w:pPr>
<w:r><w:t xml:space="preserve">Both this nuisance and the loss of the sulphur (whose cost</w:t></w:r>
</w:p>
<w:p>
<w:pPr><w:pStyle w:val="Normal"/></w:pPr>
<w:r><w:t xml:space="preserve">sometimes amounted to more than half of the total cost of the</w:t></w:r>
</w:p>
<w:p>
<w:pPr><w:pStyle w:val="Normal"/></w:pPr>
<w:r><w:t xml:space="preserve">soda-ash) led to many attempts at extracting the sulphur from the</w:t></w:r>
</w:p>
<w:p>
<w:pPr><w:pStyle w:val="Normal"/></w:pPr>
<w:r><w:t xml:space="preserve">alkali-waste.  This was first done with a certain amount of</w:t></w:r>
</w:p>
<w:p>
<w:pPr><w:pStyle w:val="Normal"/></w:pPr>
<w:r><w:t xml:space="preserve">success by the processes of M. Schaffner (1861) and L. Mond</w:t></w:r>
</w:p>
<w:p>
<w:pPr><w:pStyle w:val="Normal"/></w:pPr>
<w:r><w:t xml:space="preserve">(1862), but as these required the use of hydrochloric acid,</w:t></w:r>
</w:p>
<w:p>
<w:pPr><w:pStyle w:val="Normal"/></w:pPr>
<w:r><w:t xml:space="preserve">and as they only recovered about half of the sulphur, they</w:t></w:r>
</w:p>
<w:p>
<w:pPr><w:pStyle w:val="Normal"/></w:pPr>
<w:r><w:t xml:space="preserve">were superseded by another--a process which had been originally</w:t></w:r>
</w:p>
<w:p>
<w:pPr><w:pStyle w:val="Normal"/></w:pPr>
<w:r><w:t xml:space="preserve">proposed by W. Gossage in 1837, but has been made practicable</w:t></w:r>
</w:p>
<w:p>
<w:pPr><w:pStyle w:val="Normal"/></w:pPr>
<w:r><w:t xml:space="preserve">only by the inventions of C. F. Claus, in 1883, and from 1887</w:t></w:r>
</w:p>
<w:p>
<w:pPr><w:pStyle w:val="Normal"/></w:pPr>
<w:r><w:t xml:space="preserve">onward by the technical skill of Messrs Chance Brothers, of</w:t></w:r>
</w:p>
<w:p>
<w:pPr><w:pStyle w:val="Normal"/></w:pPr>
<w:r><w:t xml:space="preserve">Oldbury.  The Claus-Chance process, as it is called, comprises</w:t></w:r>
</w:p>
<w:p>
<w:pPr><w:pStyle w:val="Normal"/></w:pPr>
<w:r><w:t xml:space="preserve">the following operations.  The wet alkali-waste as it comes</w:t></w:r>
</w:p>
<w:p>
<w:pPr><w:pStyle w:val="Normal"/></w:pPr>
<w:r><w:t xml:space="preserve">from the lixiviating vats, is transferred into upright</w:t></w:r>
</w:p>
<w:p>
<w:pPr><w:pStyle w:val="Normal"/></w:pPr>
<w:r><w:t xml:space="preserve">iron cylinders in which it is systematically treated with</w:t></w:r>
</w:p>
<w:p>
<w:pPr><w:pStyle w:val="Normal"/></w:pPr>
<w:r><w:t xml:space="preserve">lime-kiln gases until the whole of the calcium sulphide has</w:t></w:r>
</w:p>
<w:p>
<w:pPr><w:pStyle w:val="Normal"/></w:pPr>
<w:r><w:t xml:space="preserve">been converted into calcium carbonate, the carbon dioxide of</w:t></w:r>
</w:p>
<w:p>
<w:pPr><w:pStyle w:val="Normal"/></w:pPr>
<w:r><w:t xml:space="preserve">the lime-kiln gases being entirely exhausted.  The sulphur</w:t></w:r>
</w:p>
<w:p>
<w:pPr><w:pStyle w:val="Normal"/></w:pPr>
<w:r><w:t xml:space="preserve">issues as sulphuretted hydrogen, mixed with the nitrogen of the</w:t></w:r>
</w:p>
<w:p>
<w:pPr><w:pStyle w:val="Normal"/></w:pPr>
<w:r><w:t xml:space="preserve">air.  It is mixed with fresh air containing sufficient oxygen</w:t></w:r>
</w:p>
<w:p>
<w:pPr><w:pStyle w:val="Normal"/></w:pPr>
<w:r><w:t xml:space="preserve">for the combustion of the hydrogen, and the mixture is passed</w:t></w:r>
</w:p>
<w:p>
<w:pPr><w:pStyle w:val="Normal"/></w:pPr>
<w:r><w:t xml:space="preserve">through red-hot iron oxide (burnt pyrites) which by its</w:t></w:r>
</w:p>
<w:p>
<w:pPr><w:pStyle w:val="Normal"/></w:pPr>
<w:r><w:t xml:space="preserve">catalytic action causes the reaction H2S + O = H2O + S to take</w:t></w:r>
</w:p>
<w:p>
<w:pPr><w:pStyle w:val="Normal"/></w:pPr>
<w:r><w:t xml:space="preserve">place.  By cooling the vapours the sulphur is condensed in a</w:t></w:r>
</w:p>
<w:p>
<w:pPr><w:pStyle w:val="Normal"/></w:pPr>
<w:r><w:t xml:space="preserve">very pure form, and about 85% of the whole of it is recovered,</w:t></w:r>
</w:p>
<w:p>
<w:pPr><w:pStyle w:val="Normal"/></w:pPr>
<w:r><w:t xml:space="preserve">the remaining 15% escaping in the shape of sulphur dioxide</w:t></w:r>
</w:p>
<w:p>
<w:pPr><w:pStyle w:val="Normal"/></w:pPr>
<w:r><w:t xml:space="preserve">(SO2) and H2S.  Unfortunately it has been hitherto found</w:t></w:r>
</w:p>
<w:p>
<w:pPr><w:pStyle w:val="Normal"/></w:pPr>
<w:r><w:t xml:space="preserve">impossible to deal with these gases in any profitable way.</w:t></w:r>
</w:p>
<w:p>
<w:pPr><w:pStyle w:val="Normal"/></w:pPr>
<w:r><w:t xml:space="preserve">It should be noted that this ``recovered sulphur,&apos;&apos; which is equal</w:t></w:r>
</w:p>
<w:p>
<w:pPr><w:pStyle w:val="Normal"/></w:pPr>
<w:r><w:t xml:space="preserve">in purity to the ``refined brimstone&apos;&apos; of commerce, has a far</w:t></w:r>
</w:p>
<w:p>
<w:pPr><w:pStyle w:val="Normal"/></w:pPr>
<w:r><w:t xml:space="preserve">higher value than the sulphur contained in the originally employed</w:t></w:r>
</w:p>
<w:p>
<w:pPr><w:pStyle w:val="Normal"/></w:pPr>
<w:r><w:t xml:space="preserve">pyrites, so that the recovery is a paying process, in spite of</w:t></w:r>
</w:p>
<w:p>
<w:pPr><w:pStyle w:val="Normal"/></w:pPr>
<w:r><w:t xml:space="preserve">the somewhat considerable cost of the plant and of the working</w:t></w:r>
</w:p>
<w:p>
<w:pPr><w:pStyle w:val="Normal"/></w:pPr>
<w:r><w:t xml:space="preserve">operations.  It has been introduced at most large Leblanc alkali</w:t></w:r>
</w:p>
<w:p>
<w:pPr><w:pStyle w:val="Normal"/></w:pPr>
<w:r><w:t xml:space="preserve">works, and has, so to say, given them a new lease of life.</w:t></w:r>
</w:p>
<w:p>
<w:pPr><w:pStyle w:val="Heading1"/></w:pPr>
<w:r><w:t>II. THE AMMONIA-SODA PROCESS</w:t></w:r>
</w:p>
<w:p>
<w:pPr><w:pStyle w:val="Normal"/></w:pPr>
<w:r><w:t xml:space="preserve">In spite of the great improvements effected during recent</w:t></w:r>
</w:p>
<w:p>
<w:pPr><w:pStyle w:val="Normal"/></w:pPr>
<w:r><w:t xml:space="preserve">times the Leblanc process cannot economically compete with</w:t></w:r>
</w:p>
<w:p>
<w:pPr><w:pStyle w:val="Normal"/></w:pPr>
<w:r><w:t xml:space="preserve">the ammonia-soda process, principally for two reasons.  The</w:t></w:r>
</w:p>
<w:p>
<w:pPr><w:pStyle w:val="Normal"/></w:pPr>
<w:r><w:t xml:space="preserve">sodium in the latter costs next to nothing, being obtained</w:t></w:r>
</w:p>
<w:p>
<w:pPr><w:pStyle w:val="Normal"/></w:pPr>
<w:r><w:t xml:space="preserve">from natural or artificial brine in which the sodium chloride</w:t></w:r>
</w:p>
<w:p>
<w:pPr><w:pStyle w:val="Normal"/></w:pPr>
<w:r><w:t xml:space="preserve">possesses an extremely slight value.  The fuel required is less</w:t></w:r>
</w:p>
<w:p>
<w:pPr><w:pStyle w:val="Normal"/></w:pPr>
<w:r><w:t xml:space="preserve">than half the amount used in the Leblanc process.  Moreover,</w:t></w:r>
</w:p>
<w:p>
<w:pPr><w:pStyle w:val="Normal"/></w:pPr>
<w:r><w:t xml:space="preserve">the ammonia process has been gradually elaborated into a very</w:t></w:r>
</w:p>
<w:p>
<w:pPr><w:pStyle w:val="Normal"/></w:pPr>
<w:r><w:t xml:space="preserve">complicated but perfectly regularly working scheme, in which</w:t></w:r>
</w:p>
<w:p>
<w:pPr><w:pStyle w:val="Normal"/></w:pPr>
<w:r><w:t xml:space="preserve">the cost of labour and the loss of ammonia are reduced to a</w:t></w:r>
</w:p>
<w:p>
<w:pPr><w:pStyle w:val="Normal"/></w:pPr>
<w:r><w:t xml:space="preserve">minimum.  The only way in which the Leblanc process could still</w:t></w:r>
</w:p>
<w:p>
<w:pPr><w:pStyle w:val="Normal"/></w:pPr>
<w:r><w:t xml:space="preserve">hold its own was by being turned in the direction of making</w:t></w:r>
</w:p>
<w:p>
<w:pPr><w:pStyle w:val="Normal"/></w:pPr>
<w:r><w:t xml:space="preserve">caustic soda, to which it lends itself more easily than the</w:t></w:r>
</w:p>
<w:p>
<w:pPr><w:pStyle w:val="Normal"/></w:pPr>
<w:r><w:t xml:space="preserve">ammonia-soda process; but the latter has invaded even this</w:t></w:r>
</w:p>
<w:p>
<w:pPr><w:pStyle w:val="Normal"/></w:pPr>
<w:r><w:t xml:space="preserve">field.  One advantage, however, still remained to the Leblanc</w:t></w:r>
</w:p>
<w:p>
<w:pPr><w:pStyle w:val="Normal"/></w:pPr>
<w:r><w:t xml:space="preserve">process.  All endeavours to obtain either hydrochloric acid</w:t></w:r>
</w:p>
<w:p>
<w:pPr><w:pStyle w:val="Normal"/></w:pPr>
<w:r><w:t xml:space="preserve">or free chlorine in the ammonia- soda process have proved</w:t></w:r>
</w:p>
<w:p>
<w:pPr><w:pStyle w:val="Normal"/></w:pPr>
<w:r><w:t xml:space="preserve">commercial failures, all the chlorine of the sodium chloride</w:t></w:r>
</w:p>
<w:p>
<w:pPr><w:pStyle w:val="Normal"/></w:pPr>
<w:r><w:t xml:space="preserve">being ultimately lost in the shape of worthless calcium</w:t></w:r>
</w:p>
<w:p>
<w:pPr><w:pStyle w:val="Normal"/></w:pPr>
<w:r><w:t xml:space="preserve">chloride.  The Leblanc process thus remained the sole</w:t></w:r>
</w:p>
<w:p>
<w:pPr><w:pStyle w:val="Normal"/></w:pPr>
<w:r><w:t xml:space="preserve">purveyor of chlorine in its active forms, and in this way</w:t></w:r>
</w:p>
<w:p>
<w:pPr><w:pStyle w:val="Normal"/></w:pPr>
<w:r><w:t xml:space="preserve">the fact is accounted for that, at least in Great Britain,</w:t></w:r>
</w:p>
<w:p>
<w:pPr><w:pStyle w:val="Normal"/></w:pPr>
<w:r><w:t xml:space="preserve">the Leblanc process still furnishes nearly half of all the</w:t></w:r>
</w:p>
<w:p>
<w:pPr><w:pStyle w:val="Normal"/></w:pPr>
<w:r><w:t xml:space="preserve">alkali made, though in other countries its proportional</w:t></w:r>
</w:p>
<w:p>
<w:pPr><w:pStyle w:val="Normal"/></w:pPr>
<w:r><w:t xml:space="preserve">share is very much less.  The profit made upon the chlorine</w:t></w:r>
</w:p>
<w:p>
<w:pPr><w:pStyle w:val="Normal"/></w:pPr>
<w:r><w:t xml:space="preserve">produced has to make up for the loss on the alkali.</w:t></w:r>
</w:p>
<w:p>
<w:pPr><w:pStyle w:val="Normal"/></w:pPr>
<w:r><w:t xml:space="preserve">The ammonia-soda process was first patented in 1838 by H. G.</w:t></w:r>
</w:p>
<w:p>
<w:pPr><w:pStyle w:val="Normal"/></w:pPr>
<w:r><w:t xml:space="preserve">Dyar and J. Hemming, who carried it out on an experimental</w:t></w:r>
</w:p>
<w:p>
<w:pPr><w:pStyle w:val="Normal"/></w:pPr>
<w:r><w:t xml:space="preserve">scale in Whitechapel.  Many attempts were soon after made</w:t></w:r>
</w:p>
<w:p>
<w:pPr><w:pStyle w:val="Normal"/></w:pPr>
<w:r><w:t xml:space="preserve">in the same direction, both in England and on the continent</w:t></w:r>
</w:p>
<w:p>
<w:pPr><w:pStyle w:val="Normal"/></w:pPr>
<w:r><w:t xml:space="preserve">of Europe, the most remarkable of which was the ingenious</w:t></w:r>
</w:p>
<w:p>
<w:pPr><w:pStyle w:val="Normal"/></w:pPr>
<w:r><w:t xml:space="preserve">combination of apparatus devised by J. J. T. Schloesing and E.</w:t></w:r>
</w:p>
<w:p>
<w:pPr><w:pStyle w:val="Normal"/></w:pPr>
<w:r><w:t xml:space="preserve">Rolland.  But a really economical solution of the problem</w:t></w:r>
</w:p>
<w:p>
<w:pPr><w:pStyle w:val="Normal"/></w:pPr>
<w:r><w:t xml:space="preserve">was first definitely found in 1872 by Ernest Solvay,</w:t></w:r>
</w:p>
<w:p>
<w:pPr><w:pStyle w:val="Normal"/></w:pPr>
<w:r><w:t xml:space="preserve">as the result of investigations begun about ten years</w:t></w:r>
</w:p>
<w:p>
<w:pPr><w:pStyle w:val="Normal"/></w:pPr>
<w:r><w:t xml:space="preserve">previously.  The greater portion of all the soda-ash of</w:t></w:r>
</w:p>
<w:p>
<w:pPr><w:pStyle w:val="Normal"/></w:pPr>
<w:r><w:t xml:space="preserve">commerce is now made by Solvay&apos;s apparatus, which alone we</w:t></w:r>
</w:p>
<w:p>
<w:pPr><w:pStyle w:val="Normal"/></w:pPr>
<w:r><w:t xml:space="preserve">shall describe in this place, although it should be borne</w:t></w:r>
</w:p>
<w:p>
<w:pPr><w:pStyle w:val="Normal"/></w:pPr>
<w:r><w:t xml:space="preserve">in mind that the principles laid down by Dyar and Hemming</w:t></w:r>
</w:p>
<w:p>
<w:pPr><w:pStyle w:val="Normal"/></w:pPr>
<w:r><w:t xml:space="preserve">have been and are still successfully carried out in a number</w:t></w:r>
</w:p>
<w:p>
<w:pPr><w:pStyle w:val="Normal"/></w:pPr>
<w:r><w:t xml:space="preserve">of factories by an entirely different kind of apparatus.</w:t></w:r>
</w:p>
<w:p>
<w:pPr><w:pStyle w:val="Normal"/></w:pPr>
<w:r><w:t xml:space="preserve">The leading reaction of this process is the mutual decomposition</w:t></w:r>
</w:p>
<w:p>
<w:pPr><w:pStyle w:val="Normal"/></w:pPr>
<w:r><w:t xml:space="preserve">of ammonium bicarbonate and sodium chloride: NaCl + NH4HCO3</w:t></w:r>
</w:p>
<w:p>
<w:pPr><w:pStyle w:val="Normal"/></w:pPr>
<w:r><w:t xml:space="preserve">= NaHCO3 + NH4Cl.  It begins, however, not with ready-made</w:t></w:r>
</w:p>
<w:p>
<w:pPr><w:pStyle w:val="Normal"/></w:pPr>
<w:r><w:t xml:space="preserve">ammonium bicarbonate, but with the substances from which</w:t></w:r>
</w:p>
<w:p>
<w:pPr><w:pStyle w:val="Normal"/></w:pPr>
<w:r><w:t xml:space="preserve">it is formed--ammonia, water and carbon dioxide--which are</w:t></w:r>
</w:p>
<w:p>
<w:pPr><w:pStyle w:val="Normal"/></w:pPr>
<w:r><w:t xml:space="preserve">made to act on sodium chloride.  In practice the process</w:t></w:r>
</w:p>
<w:p>
<w:pPr><w:pStyle w:val="Normal"/></w:pPr>
<w:r><w:t xml:space="preserve">is carried out as follows.  A nearly saturated solution of</w:t></w:r>
</w:p>
<w:p>
<w:pPr><w:pStyle w:val="Normal"/></w:pPr>
<w:r><w:t xml:space="preserve">sodium chloride is obtained by purifying natural or artificial</w:t></w:r>
</w:p>
<w:p>
<w:pPr><w:pStyle w:val="Normal"/></w:pPr>
<w:r><w:t xml:space="preserve">brine, i.e. an impure solution of common salt, especially</w:t></w:r>
</w:p>
<w:p>
<w:pPr><w:pStyle w:val="Normal"/></w:pPr>
<w:r><w:t xml:space="preserve">removing the alkaline earths and so forth by addition of</w:t></w:r>
</w:p>
<w:p>
<w:pPr><w:pStyle w:val="Normal"/></w:pPr>
<w:r><w:t xml:space="preserve">sodium or ammonium carbonate and settling out the precipitate</w:t></w:r>
</w:p>
<w:p>
<w:pPr><w:pStyle w:val="Normal"/></w:pPr>
<w:r><w:t xml:space="preserve">formed.  This solution is saturated with ammonia, produced</w:t></w:r>
</w:p>
<w:p>
<w:pPr><w:pStyle w:val="Normal"/></w:pPr>
<w:r><w:t xml:space="preserve">in the recovery plant (see below), in vessels provided with</w:t></w:r>
</w:p>
<w:p>
<w:pPr><w:pStyle w:val="Normal"/></w:pPr>
<w:r><w:t xml:space="preserve">mechanical agitators and strongly cooled by coils of pipes through</w:t></w:r>
</w:p>
<w:p>
<w:pPr><w:pStyle w:val="Normal"/></w:pPr>
<w:r><w:t xml:space="preserve">which cold water is made to flow.  These vessels, as well as</w:t></w:r>
</w:p>
<w:p>
<w:pPr><w:pStyle w:val="Normal"/></w:pPr>
<w:r><w:t xml:space="preserve">all others which are used in the process, are not open to the</w:t></w:r>
</w:p>
<w:p>
<w:pPr><w:pStyle w:val="Normal"/></w:pPr>
<w:r><w:t xml:space="preserve">air, but communicate with it through washers in which fresh</w:t></w:r>
</w:p>
<w:p>
<w:pPr><w:pStyle w:val="Normal"/></w:pPr>
<w:r><w:t xml:space="preserve">salt solution is employed for retaining any escaping vapours of</w:t></w:r>
</w:p>
<w:p>
<w:pPr><w:pStyle w:val="Normal"/></w:pPr>
<w:r><w:t xml:space="preserve">ammonia.  The ammoniacal salt solution is now saturated with</w:t></w:r>
</w:p>
<w:p>
<w:pPr><w:pStyle w:val="Normal"/></w:pPr>
<w:r><w:t xml:space="preserve">carbon dioxide.  This is employed in the shape of lime-kiln</w:t></w:r>
</w:p>
<w:p>
<w:pPr><w:pStyle w:val="Normal"/></w:pPr>
<w:r><w:t xml:space="preserve">gases, obtained in a comparatively pure and strong form (up</w:t></w:r>
</w:p>
<w:p>
<w:pPr><w:pStyle w:val="Normal"/></w:pPr>
<w:r><w:t xml:space="preserve">to 33% CO2), in very large kilns, charged with limestone and</w:t></w:r>
</w:p>
<w:p>
<w:pPr><w:pStyle w:val="Normal"/></w:pPr>
<w:r><w:t xml:space="preserve">coke.  The kilns are closed at the top, and the gases are drawn</w:t></w:r>
</w:p>
<w:p>
<w:pPr><w:pStyle w:val="Normal"/></w:pPr>
<w:r><w:t xml:space="preserve">out by powerful air-pumps, washers being interposed between the</w:t></w:r>
</w:p>
<w:p>
<w:pPr><w:pStyle w:val="Normal"/></w:pPr>
<w:r><w:t xml:space="preserve">kilns and the pumps for the purpose of purifying and cooling the</w:t></w:r>
</w:p>
<w:p>
<w:pPr><w:pStyle w:val="Normal"/></w:pPr>
<w:r><w:t xml:space="preserve">gas.  The heat evolved by the compression in the air-pumps</w:t></w:r>
</w:p>
<w:p>
<w:pPr><w:pStyle w:val="Normal"/></w:pPr>
<w:r><w:t xml:space="preserve">(which rises to four atmospheres or upwards) is again removed</w:t></w:r>
</w:p>
<w:p>
<w:pPr><w:pStyle w:val="Normal"/></w:pPr>
<w:r><w:t xml:space="preserve">by cooling, and the gas is now passed upwards in the ``Solvay</w:t></w:r>
</w:p>
<w:p>
<w:pPr><w:pStyle w:val="Normal"/></w:pPr>
<w:r><w:t xml:space="preserve">tower&apos;&apos; (fig. 10). This is a tall iron erection, built up from</w:t></w:r>
</w:p>
<w:p>
<w:pPr><w:pStyle w:val="Normal"/></w:pPr>
<w:r><w:t xml:space="preserve">superposed cylinders, which are separated from one another by</w:t></w:r>
</w:p>
<w:p>
<w:pPr><w:pStyle w:val="Normal"/></w:pPr>
<w:r><w:t xml:space="preserve">perforated horizontal diaphragms, constructed in such a way</w:t></w:r>
</w:p>
<w:p>
<w:pPr><w:pStyle w:val="Normal"/></w:pPr>
<w:r><w:t xml:space="preserve">that the gases are over and over again subdivided into many</w:t></w:r>
</w:p>
<w:p>
<w:pPr><w:pStyle w:val="Normal"/></w:pPr>
<w:r><w:t xml:space="preserve">smaller streams and are thus thoroughly brought into contact</w:t></w:r>
</w:p>
<w:p>
<w:pPr><w:pStyle w:val="Normal"/></w:pPr>
<w:r><w:t xml:space="preserve">with the ammoniacal salt solution with which the tower is about</w:t></w:r>
</w:p>
<w:p>
<w:pPr><w:pStyle w:val="Normal"/></w:pPr>
<w:r><w:t xml:space="preserve">two-thirds filled.  There the reaction mentioned above takes</w:t></w:r>
</w:p>
<w:p>
<w:pPr><w:pStyle w:val="Normal"/></w:pPr>
<w:r><w:t xml:space="preserve">place, and owing to the concentration of the liquid the sodium</w:t></w:r>
</w:p>
<w:p>
<w:pPr><w:pStyle w:val="Normal"/></w:pPr>
<w:r><w:t xml:space="preserve">bicarbonate formed is to a great extent precipitated in the</w:t></w:r>
</w:p>
<w:p>
<w:pPr><w:pStyle w:val="Normal"/></w:pPr>
<w:r><w:t xml:space="preserve">shape of small crystals, forming with the mother-liquor a thin</w:t></w:r>
</w:p>
<w:p>
<w:pPr><w:pStyle w:val="Normal"/></w:pPr>
<w:r><w:t xml:space="preserve">magma.  This takes place with considerable evolution of heat</w:t></w:r>
</w:p>
<w:p>
<w:pPr><w:pStyle w:val="Normal"/></w:pPr>
<w:r><w:t xml:space="preserve">which is removed by internal and external cooling with water.</w:t></w:r>
</w:p>
<w:p>
<w:pPr><w:pStyle w:val="Normal"/></w:pPr>
<w:r><w:t xml:space="preserve">The temperature must not be allowed to rise beyond a certain</w:t></w:r>
</w:p>
<w:p>
<w:pPr><w:pStyle w:val="Normal"/></w:pPr>
<w:r><w:t xml:space="preserve">point, for the reaction NaCl + NH4HCO3 = NaHCO3 + NH4Cl is</w:t></w:r>
</w:p>
<w:p>
<w:pPr><w:pStyle w:val="Normal"/></w:pPr>
<w:r><w:t xml:space="preserve">reversible, and at a temperature of about 60 deg.  or 70 deg.  C. it</w:t></w:r>
</w:p>
<w:p>
<w:pPr><w:pStyle w:val="Normal"/></w:pPr>
<w:r><w:t xml:space="preserve">is in fact practically going the wrong way, viz. from right to</w:t></w:r>
</w:p>
<w:p>
<w:pPr><w:pStyle w:val="Normal"/></w:pPr>
<w:r><w:t xml:space="preserve">left.  On the other hand the cooling must not be carried too</w:t></w:r>
</w:p>
<w:p>
<w:pPr><w:pStyle w:val="Normal"/></w:pPr>
<w:r><w:t xml:space="preserve">far, for in this case the crystals of sodium bicarbonate</w:t></w:r>
</w:p>
<w:p>
<w:pPr><w:pStyle w:val="Normal"/></w:pPr>
<w:r><w:t xml:space="preserve">become so fine that the muddy mass is very difficult to</w:t></w:r>
</w:p>
<w:p>
<w:pPr><w:pStyle w:val="Normal"/></w:pPr>
<w:r><w:t xml:space="preserve">filter.  The best temperature seems to be about 30 deg.  C.</w:t></w:r>
</w:p>
<w:p>
<w:pPr><w:pStyle w:val="Normal"/></w:pPr>
<w:r><w:t xml:space="preserve">Either at certain intervals, or continuously, a portion of</w:t></w:r>
</w:p>
<w:p>
<w:pPr><w:pStyle w:val="Normal"/></w:pPr>
<w:r><w:t xml:space="preserve">the contents of the tower is withdrawn and fresh ammoniacal</w:t></w:r>
</w:p>
<w:p>
<w:pPr><w:pStyle w:val="Normal"/></w:pPr>
<w:r><w:t xml:space="preserve">salt solution is introduced higher up.  The muddy liquid</w:t></w:r>
</w:p>
<w:p>
<w:pPr><w:pStyle w:val="Normal"/></w:pPr>
<w:r><w:t xml:space="preserve">running out is passed on to the vacuum filters (Z, fig.</w:t></w:r>
</w:p>
<w:p>
<w:pPr><w:pStyle w:val="Normal"/></w:pPr>
<w:r><w:t xml:space="preserve">10). Here a separation takes place between the crystals</w:t></w:r>
</w:p>
<w:p>
<w:pPr><w:pStyle w:val="Normal"/></w:pPr>
<w:r><w:t xml:space="preserve">of sodium bicarbonate and the mother-liquor.  The former</w:t></w:r>
</w:p>
<w:p>
<w:pPr><w:pStyle w:val="Normal"/></w:pPr>
<w:r><w:t xml:space="preserve">are washed with water until the chlorides are nearly</w:t></w:r>
</w:p>
<w:p>
<w:pPr><w:pStyle w:val="Normal"/></w:pPr>
<w:r><w:t xml:space="preserve">removed, and are then carried into the drying apparatus.</w:t></w:r>
</w:p>
<w:p>
<w:pPr><w:pStyle w:val="Normal"/></w:pPr>
<w:r><w:t xml:space="preserve">From Thorpe&apos;s Dictionary of Applied Chemistry,</w:t></w:r>
</w:p>
<w:p>
<w:pPr><w:pStyle w:val="Normal"/></w:pPr>
<w:r><w:t xml:space="preserve">by permission of Longmans, Green &amp; Co.</w:t></w:r>
</w:p>
<w:p>
<w:pPr><w:pStyle w:val="Normal"/></w:pPr>
<w:r><w:t xml:space="preserve">FIG. 10.--Ammonia - soda Carbonating Towers and Filters.</w:t></w:r>
</w:p>
<w:p>
<w:pPr><w:pStyle w:val="Normal"/></w:pPr>
<w:r><w:t xml:space="preserve">(Sectional Elevation.) Scale  1/100. AA, Tower; B, ammoniacal brine</w:t></w:r>
</w:p>
<w:p>
<w:pPr><w:pStyle w:val="Normal"/></w:pPr>
<w:r><w:t xml:space="preserve">main; E, gas-inlet; Z, vacuum filter; V, pipe to air-pump.</w:t></w:r>
</w:p>
<w:p>
<w:pPr><w:pStyle w:val="Normal"/></w:pPr>
<w:r><w:t xml:space="preserve">This must be constructed in such a manner that the bicarbonate,</w:t></w:r>
</w:p>
<w:p>
<w:pPr><w:pStyle w:val="Normal"/></w:pPr>
<w:r><w:t xml:space="preserve">which always contains some ammonium salts, is first freed</w:t></w:r>
</w:p>
<w:p>
<w:pPr><w:pStyle w:val="Normal"/></w:pPr>
<w:r><w:t xml:space="preserve">from these by moderate heating (of course taking care that the</w:t></w:r>
</w:p>
<w:p>
<w:pPr><w:pStyle w:val="Normal"/></w:pPr>
<w:r><w:t xml:space="preserve">ammonia is completely recovered), and later on, by raising the</w:t></w:r>
</w:p>
<w:p>
<w:pPr><w:pStyle w:val="Normal"/></w:pPr>
<w:r><w:t xml:space="preserve">temperature, it is decomposed into solid sodium carbonate and</w:t></w:r>
</w:p>
<w:p>
<w:pPr><w:pStyle w:val="Normal"/></w:pPr>
<w:r><w:t xml:space="preserve">gaseous carbon dioxide.  The former needs only grinding to</w:t></w:r>
</w:p>
<w:p>
<w:pPr><w:pStyle w:val="Normal"/></w:pPr>
<w:r><w:t xml:space="preserve">constitute the final product, ammonia- soda ash; the latter is</w:t></w:r>
</w:p>
<w:p>
<w:pPr><w:pStyle w:val="Normal"/></w:pPr>
<w:r><w:t xml:space="preserve">again employed in the process of treating the ammoniacal salt</w:t></w:r>
</w:p>
<w:p>
<w:pPr><w:pStyle w:val="Normal"/></w:pPr>
<w:r><w:t xml:space="preserve">solution with carbon dioxide.  Various forms of apparatus are</w:t></w:r>
</w:p>
<w:p>
<w:pPr><w:pStyle w:val="Normal"/></w:pPr>
<w:r><w:t xml:space="preserve">employed for this treatment of the crude bicarbonate--sometimes</w:t></w:r>
</w:p>
<w:p>
<w:pPr><w:pStyle w:val="Normal"/></w:pPr>
<w:r><w:t xml:space="preserve">semi-circular troughs with mechanical agitators on the</w:t></w:r>
</w:p>
<w:p>
<w:pPr><w:pStyle w:val="Normal"/></w:pPr>
<w:r><w:t xml:space="preserve">principle of the Thelen pan (see above)--all acting on the</w:t></w:r>
</w:p>
<w:p>
<w:pPr><w:pStyle w:val="Normal"/></w:pPr>
<w:r><w:t xml:space="preserve">principle that the escaping ammonia and carbon dioxide must</w:t></w:r>
</w:p>
<w:p>
<w:pPr><w:pStyle w:val="Normal"/></w:pPr>
<w:r><w:t xml:space="preserve">be fully utilized over again.  The soda-ash obtained in the</w:t></w:r>
</w:p>
<w:p>
<w:pPr><w:pStyle w:val="Normal"/></w:pPr>
<w:r><w:t xml:space="preserve">end is of a high degree of purity, testing from 98 to 99%</w:t></w:r>
</w:p>
<w:p>
<w:pPr><w:pStyle w:val="Normal"/></w:pPr>
<w:r><w:t xml:space="preserve">Na2CO3, the remaining 1 or 2% consisting principally of NaCl.</w:t></w:r>
</w:p>
<w:p>
<w:pPr><w:pStyle w:val="Normal"/></w:pPr>
<w:r><w:t xml:space="preserve">A very important part of the process has still to be described,</w:t></w:r>
</w:p>
<w:p>
<w:pPr><w:pStyle w:val="Normal"/></w:pPr>
<w:r><w:t xml:space="preserve">viz. the recovery of the ammonia from the mother-liquor</w:t></w:r>
</w:p>
<w:p>
<w:pPr><w:pStyle w:val="Normal"/></w:pPr>
<w:r><w:t xml:space="preserve">coming from the vacuum filters and various washing liquors.</w:t></w:r>
</w:p>
<w:p>
<w:pPr><w:pStyle w:val="Normal"/></w:pPr>
<w:r><w:t xml:space="preserve">Unless this recovery is carried out in the most efficient</w:t></w:r>
</w:p>
<w:p>
<w:pPr><w:pStyle w:val="Normal"/></w:pPr>
<w:r><w:t xml:space="preserve">manner, the process cannot possibly pay; but so much progress</w:t></w:r>
</w:p>
<w:p>
<w:pPr><w:pStyle w:val="Normal"/></w:pPr>
<w:r><w:t xml:space="preserve">has been made in this direction that the loss of ammonia</w:t></w:r>
</w:p>
<w:p>
<w:pPr><w:pStyle w:val="Normal"/></w:pPr>
<w:r><w:t xml:space="preserve">is very slight indeed, merely a fraction per cent.  The</w:t></w:r>
</w:p>
<w:p>
<w:pPr><w:pStyle w:val="Normal"/></w:pPr>
<w:r><w:t xml:space="preserve">ammonia is for the major part found in the mother-liquor as</w:t></w:r>
</w:p>
<w:p>
<w:pPr><w:pStyle w:val="Normal"/></w:pPr>
<w:r><w:t xml:space="preserve">ammonium chloride.  A smaller but still considerable portion</w:t></w:r>
</w:p>
<w:p>
<w:pPr><w:pStyle w:val="Normal"/></w:pPr>
<w:r><w:t xml:space="preserve">exists here and in the washings in the shape of ammonium</w:t></w:r>
</w:p>
<w:p>
<w:pPr><w:pStyle w:val="Normal"/></w:pPr>
<w:r><w:t xml:space="preserve">carbonates.  These compounds differ in their behaviour to</w:t></w:r>
</w:p>
<w:p>
<w:pPr><w:pStyle w:val="Normal"/></w:pPr>
<w:r><w:t xml:space="preserve">heat.  The ammonium carbonates are driven out from their</w:t></w:r>
</w:p>
<w:p>
<w:pPr><w:pStyle w:val="Normal"/></w:pPr>
<w:r><w:t xml:space="preserve">solutions by mere prolonged boiling, being thereby decomposed</w:t></w:r>
</w:p>
<w:p>
<w:pPr><w:pStyle w:val="Normal"/></w:pPr>
<w:r><w:t xml:space="preserve">into ammonia, carbon dioxide and water, but the ammonium</w:t></w:r>
</w:p>
<w:p>
<w:pPr><w:pStyle w:val="Normal"/></w:pPr>
<w:r><w:t xml:space="preserve">chloride is not volatile under these conditions, and must</w:t></w:r>
</w:p>
<w:p>
<w:pPr><w:pStyle w:val="Normal"/></w:pPr>
<w:r><w:t xml:space="preserve">be decomposed by milk of lime: 2NH4Cl + Ca(OH)2 = 2NH3</w:t></w:r>
</w:p>
<w:p>
<w:pPr><w:pStyle w:val="Normal"/></w:pPr>
<w:r><w:t xml:space="preserve">+ CaCl2 + 2H2O.  The solution of calcium chloride is run</w:t></w:r>
</w:p>
<w:p>
<w:pPr><w:pStyle w:val="Normal"/></w:pPr>
<w:r><w:t xml:space="preserve">to waste, the ammonia is re-introduced into the process.</w:t></w:r>
</w:p>
<w:p>
<w:pPr><w:pStyle w:val="Normal"/></w:pPr>
<w:r><w:t xml:space="preserve">Both these reactions are carried out in tall cylindrical columns</w:t></w:r>
</w:p>
<w:p>
<w:pPr><w:pStyle w:val="Normal"/></w:pPr>
<w:r><w:t xml:space="preserve">or ``stills,&apos;&apos; Consisting of a number of superposed cylinders,</w:t></w:r>
</w:p>
<w:p>
<w:pPr><w:pStyle w:val="Normal"/></w:pPr>
<w:r><w:t xml:space="preserve">having perforated horizontal partitions, and provided with</w:t></w:r>
</w:p>
<w:p>
<w:pPr><w:pStyle w:val="Normal"/></w:pPr>
<w:r><w:t xml:space="preserve">a steam-heating arrangement in the enlarged bottom portion.</w:t></w:r>
</w:p>
<w:p>
<w:pPr><w:pStyle w:val="Normal"/></w:pPr>
<w:r><w:t xml:space="preserve">The milk of lime is introduced at a certain distance from the</w:t></w:r>
</w:p>
<w:p>
<w:pPr><w:pStyle w:val="Normal"/></w:pPr>
<w:r><w:t xml:space="preserve">bottom.  The steam causes the action of the lime on the</w:t></w:r>
</w:p>
<w:p>
<w:pPr><w:pStyle w:val="Normal"/></w:pPr>
<w:r><w:t xml:space="preserve">ammonium chloride to take place in this lower portion of the</w:t></w:r>
</w:p>
<w:p>
<w:pPr><w:pStyle w:val="Normal"/></w:pPr>
<w:r><w:t xml:space="preserve">still, from which the steam, mixed with all the liberated</w:t></w:r>
</w:p>
<w:p>
<w:pPr><w:pStyle w:val="Normal"/></w:pPr>
<w:r><w:t xml:space="preserve">ammonia, rises into the upper portion of the column where its</w:t></w:r>
</w:p>
<w:p>
<w:pPr><w:pStyle w:val="Normal"/></w:pPr>
<w:r><w:t xml:space="preserve">heat serves to drive out the volatile ammonium carbonate.  Just</w:t></w:r>
</w:p>
<w:p>
<w:pPr><w:pStyle w:val="Normal"/></w:pPr>
<w:r><w:t xml:space="preserve">below the top there is a cooling arrangement, so that nearly</w:t></w:r>
</w:p>
<w:p>
<w:pPr><w:pStyle w:val="Normal"/></w:pPr>
<w:r><w:t xml:space="preserve">all the water is condensed and runs back into the column, while</w:t></w:r>
</w:p>
<w:p>
<w:pPr><w:pStyle w:val="Normal"/></w:pPr>
<w:r><w:t xml:space="preserve">the ammonia, with the carbon dioxide formerly combined with</w:t></w:r>
</w:p>
<w:p>
<w:pPr><w:pStyle w:val="Heading1"/></w:pPr>
<w:r><w:t>part of it, passes on first through an outside cooler where</w:t></w:r>
</w:p>
<w:p>
<w:pPr><w:pStyle w:val="Normal"/></w:pPr>
<w:r><w:t xml:space="preserve">the remaining water is condensed, and afterwards into the</w:t></w:r>
</w:p>
<w:p>
<w:pPr><w:pStyle w:val="Normal"/></w:pPr>
<w:r><w:t xml:space="preserve">vessels, already described, where the ammonia is absorbed by</w:t></w:r>
</w:p>
<w:p>
<w:pPr><w:pStyle w:val="Normal"/></w:pPr>
<w:r><w:t xml:space="preserve">a solution of salt and thus again introduced into the process.</w:t></w:r>
</w:p>
<w:p>
<w:pPr><w:pStyle w:val="Normal"/></w:pPr>
<w:r><w:t xml:space="preserve">The reversible character of the principal reaction has</w:t></w:r>
</w:p>
<w:p>
<w:pPr><w:pStyle w:val="Normal"/></w:pPr>
<w:r><w:t xml:space="preserve">the consequence that a considerable portion of the sodium</w:t></w:r>
</w:p>
<w:p>
<w:pPr><w:pStyle w:val="Normal"/></w:pPr>
<w:r><w:t xml:space="preserve">chloride (up to 33%) is lost, being contained in the waste</w:t></w:r>
</w:p>
<w:p>
<w:pPr><w:pStyle w:val="Normal"/></w:pPr>
<w:r><w:t xml:space="preserve">calcium chloride solution which issues from the ammonia</w:t></w:r>
</w:p>
<w:p>
<w:pPr><w:pStyle w:val="Normal"/></w:pPr>
<w:r><w:t xml:space="preserve">stills.  This is, however, not of much importance, as it</w:t></w:r>
</w:p>
<w:p>
<w:pPr><w:pStyle w:val="Normal"/></w:pPr>
<w:r><w:t xml:space="preserve">had been introduced in the shape of a brine where its value</w:t></w:r>
</w:p>
<w:p>
<w:pPr><w:pStyle w:val="Normal"/></w:pPr>
<w:r><w:t xml:space="preserve">is very slight (6d. per ton of NaCl).  It is true that all</w:t></w:r>
</w:p>
<w:p>
<w:pPr><w:pStyle w:val="Normal"/></w:pPr>
<w:r><w:t xml:space="preserve">the chlorine combined with the sodium is lost partly as NaCl</w:t></w:r>
</w:p>
<w:p>
<w:pPr><w:pStyle w:val="Normal"/></w:pPr>
<w:r><w:t xml:space="preserve">and partly as CaCl2; none of the innumerable attempts at</w:t></w:r>
</w:p>
<w:p>
<w:pPr><w:pStyle w:val="Normal"/></w:pPr>
<w:r><w:t xml:space="preserve">recovering the chlorine from the waste liquor has been made to</w:t></w:r>
</w:p>
<w:p>
<w:pPr><w:pStyle w:val="Normal"/></w:pPr>
<w:r><w:t xml:space="preserve">pay, and success is less likely than ever since the perfection</w:t></w:r>
</w:p>
<w:p>
<w:pPr><w:pStyle w:val="Normal"/></w:pPr>
<w:r><w:t xml:space="preserve">of the electrolytic processes. (See CHLORINE.) For all</w:t></w:r>
</w:p>
<w:p>
<w:pPr><w:pStyle w:val="Normal"/></w:pPr>
<w:r><w:t xml:space="preserve">that, especially in consequence of the small amount of fuel</w:t></w:r>
</w:p>
<w:p>
<w:pPr><w:pStyle w:val="Normal"/></w:pPr>
<w:r><w:t xml:space="preserve">required, and the total absence of the necessity of employing</w:t></w:r>
</w:p>
<w:p>
<w:pPr><w:pStyle w:val="Normal"/></w:pPr>
<w:r><w:t xml:space="preserve">sulphur compounds as an intermediary, the ammonia-soda process</w:t></w:r>
</w:p>
<w:p>
<w:pPr><w:pStyle w:val="Normal"/></w:pPr>
<w:r><w:t xml:space="preserve">has supplanted the Leblanc process almost entirely on the</w:t></w:r>
</w:p>
<w:p>
<w:pPr><w:pStyle w:val="Normal"/></w:pPr>
<w:r><w:t xml:space="preserve">continent of Europe and to a great extent in Great Britain.</w:t></w:r>
</w:p>
<w:p>
<w:pPr><w:pStyle w:val="Heading1"/></w:pPr>
<w:r><w:t>III. ELECTROLITIC ALKALI MANUFACTURE</w:t></w:r>
</w:p>
<w:p>
<w:pPr><w:pStyle w:val="Normal"/></w:pPr>
<w:r><w:t xml:space="preserve">In theory by far the simplest process for making alkalis together</w:t></w:r>
</w:p>
<w:p>
<w:pPr><w:pStyle w:val="Normal"/></w:pPr>
<w:r><w:t xml:space="preserve">with free chlorine is the electrolysis of sodium (or potassium)</w:t></w:r>
</w:p>
<w:p>
<w:pPr><w:pStyle w:val="Normal"/></w:pPr>
<w:r><w:t xml:space="preserve">chloride.  When this takes place in an aqueous solution, the</w:t></w:r>
</w:p>
<w:p>
<w:pPr><w:pStyle w:val="Normal"/></w:pPr>
<w:r><w:t xml:space="preserve">alkaline metal at once reacts with the water, so that a solution</w:t></w:r>
</w:p>
<w:p>
<w:pPr><w:pStyle w:val="Normal"/></w:pPr>
<w:r><w:t xml:space="preserve">of an alkaline hydrate is formed while hydrogen escapes.  The</w:t></w:r>
</w:p>
<w:p>
<w:pPr><w:pStyle w:val="Normal"/></w:pPr>
<w:r><w:t xml:space="preserve">reactions are therefore (we shall in this case speak only of the</w:t></w:r>
</w:p>
<w:p>
<w:pPr><w:pStyle w:val="Normal"/></w:pPr>
<w:r><w:t xml:space="preserve">sodium compounds): (1) NaCl = Na + Cl, (2) Na + H2O = NaOH + H.</w:t></w:r>
</w:p>
<w:p>
<w:pPr><w:pStyle w:val="Normal"/></w:pPr>
<w:r><w:t xml:space="preserve">The chlorine escapes at the anode, the hydrogen at the</w:t></w:r>
</w:p>
<w:p>
<w:pPr><w:pStyle w:val="Normal"/></w:pPr>
<w:r><w:t xml:space="preserve">cathode.  If the chlorine and the sodiun hydrate can act upon</w:t></w:r>
</w:p>
<w:p>
<w:pPr><w:pStyle w:val="Normal"/></w:pPr>
<w:r><w:t xml:space="preserve">each other within the liquid, bleach-liquors are formed: 2NaOH</w:t></w:r>
</w:p>
<w:p>
<w:pPr><w:pStyle w:val="Normal"/></w:pPr>
<w:r><w:t xml:space="preserve">+ Cl2 = NaOCl + NaOH + H2O.  The production of these for the</w:t></w:r>
</w:p>
<w:p>
<w:pPr><w:pStyle w:val="Normal"/></w:pPr>
<w:r><w:t xml:space="preserve">use of papermakers and bleachers of textile fabrics has become</w:t></w:r>
</w:p>
<w:p>
<w:pPr><w:pStyle w:val="Normal"/></w:pPr>
<w:r><w:t xml:space="preserve">an important industry, but does not enter into our province.</w:t></w:r>
</w:p>
<w:p>
<w:pPr><w:pStyle w:val="Normal"/></w:pPr>
<w:r><w:t xml:space="preserve">If, however, the action of the chlorine on the sodium hydrate is</w:t></w:r>
</w:p>
<w:p>
<w:pPr><w:pStyle w:val="Normal"/></w:pPr>
<w:r><w:t xml:space="preserve">prevented, which can be done in various ways, they can both be</w:t></w:r>
</w:p>
<w:p>
<w:pPr><w:pStyle w:val="Normal"/></w:pPr>
<w:r><w:t xml:space="preserve">collected in the isolated state and utilized as has been previously</w:t></w:r>
</w:p>
<w:p>
<w:pPr><w:pStyle w:val="Normal"/></w:pPr>
<w:r><w:t xml:space="preserve">described, viz. the chlorine can be used for the manufacture of</w:t></w:r>
</w:p>
<w:p>
<w:pPr><w:pStyle w:val="Normal"/></w:pPr>
<w:r><w:t xml:space="preserve">liquid chlorine, bleaching-powder or other bleaching compounds,</w:t></w:r>
</w:p>
<w:p>
<w:pPr><w:pStyle w:val="Normal"/></w:pPr>
<w:r><w:t xml:space="preserve">or chlorates, and the solution of sodium hydrate can be sold</w:t></w:r>
</w:p>
<w:p>
<w:pPr><w:pStyle w:val="Normal"/></w:pPr>
<w:r><w:t xml:space="preserve">as such, or converted into solid caustic soda.  Precisely the</w:t></w:r>
</w:p>
<w:p>
<w:pPr><w:pStyle w:val="Normal"/></w:pPr>
<w:r><w:t xml:space="preserve">same can be done in the electrolysis of potassium chloride.</w:t></w:r>
</w:p>
<w:p>
<w:pPr><w:pStyle w:val="Normal"/></w:pPr>
<w:r><w:t xml:space="preserve">There is a third way of conducting the action, viz. so that</w:t></w:r>
</w:p>
<w:p>
<w:pPr><w:pStyle w:val="Normal"/></w:pPr>
<w:r><w:t xml:space="preserve">the chlorine can act upon the caustic soda or potash at a</w:t></w:r>
</w:p>
<w:p>
<w:pPr><w:pStyle w:val="Normal"/></w:pPr>
<w:r><w:t xml:space="preserve">higher concentration and temperature, in which case chlorates</w:t></w:r>
</w:p>
<w:p>
<w:pPr><w:pStyle w:val="Normal"/></w:pPr>
<w:r><w:t xml:space="preserve">are directly formed in the liquid: KCl + 8H2O = KClO3 +</w:t></w:r>
</w:p>
<w:p>
<w:pPr><w:pStyle w:val="Normal"/></w:pPr>
<w:r><w:t xml:space="preserve">8H2.  This has indeed become the principal, because it is the</w:t></w:r>
</w:p>
<w:p>
<w:pPr><w:pStyle w:val="Normal"/></w:pPr>
<w:r><w:t xml:space="preserve">cheapest, process for the manufacture of potassium and sodium</w:t></w:r>
</w:p>
<w:p>
<w:pPr><w:pStyle w:val="Normal"/></w:pPr>
<w:r><w:t xml:space="preserve">chlorate.  Perchlorates can also be made in this way.</w:t></w:r>
</w:p>
<w:p>
<w:pPr><w:pStyle w:val="Normal"/></w:pPr>
<w:r><w:t xml:space="preserve">In all these cases the chlorine, or the products made from</w:t></w:r>
</w:p>
<w:p>
<w:pPr><w:pStyle w:val="Normal"/></w:pPr>
<w:r><w:t xml:space="preserve">it, really play a greater part than the alkali.  From 58.5</w:t></w:r>
</w:p>
<w:p>
<w:pPr><w:pStyle w:val="Normal"/></w:pPr>
<w:r><w:t xml:space="preserve">parts by weight of NaCl we obtain theoretically 23Na = 40NaOH =</w:t></w:r>
</w:p>
<w:p>
<w:pPr><w:pStyle w:val="Normal"/></w:pPr>
<w:r><w:t xml:space="preserve">53Na2CO3, together with 35.5 Cl, or 100 bleaching-powder.</w:t></w:r>
</w:p>
<w:p>
<w:pPr><w:pStyle w:val="Normal"/></w:pPr>
<w:r><w:t xml:space="preserve">As the weight of bleaching-powder consumed in the world is at</w:t></w:r>
</w:p>
<w:p>
<w:pPr><w:pStyle w:val="Normal"/></w:pPr>
<w:r><w:t xml:space="preserve">most one-fifth of that of alkali, calculated as Na2CO3, it</w:t></w:r>
</w:p>
<w:p>
<w:pPr><w:pStyle w:val="Normal"/></w:pPr>
<w:r><w:t xml:space="preserve">follows that only about one-tenth of all the alkali required</w:t></w:r>
</w:p>
<w:p>
<w:pPr><w:pStyle w:val="Normal"/></w:pPr>
<w:r><w:t xml:space="preserve">could be made by electrolysis, even supposing the Leblanc process</w:t></w:r>
</w:p>
<w:p>
<w:pPr><w:pStyle w:val="Normal"/></w:pPr>
<w:r><w:t xml:space="preserve">to be entirely abolished.  The remaining nine-tenths of alkali</w:t></w:r>
</w:p>
<w:p>
<w:pPr><w:pStyle w:val="Normal"/></w:pPr>
<w:r><w:t xml:space="preserve">must be supplied from other sources, chiefly the ammonia-soda</w:t></w:r>
</w:p>
<w:p>
<w:pPr><w:pStyle w:val="Normal"/></w:pPr>
<w:r><w:t xml:space="preserve">process.  As long as the operation of the Leblanc process is</w:t></w:r>
</w:p>
<w:p>
<w:pPr><w:pStyle w:val="Normal"/></w:pPr>
<w:r><w:t xml:space="preserve">continued, it will supply a certain share of both kinds of</w:t></w:r>
</w:p>
<w:p>
<w:pPr><w:pStyle w:val="Normal"/></w:pPr>
<w:r><w:t xml:space="preserve">products.  Trustworthy statistics on this point cannot be</w:t></w:r>
</w:p>
<w:p>
<w:pPr><w:pStyle w:val="Normal"/></w:pPr>
<w:r><w:t xml:space="preserve">obtained, because most firms withhold any information</w:t></w:r>
</w:p>
<w:p>
<w:pPr><w:pStyle w:val="Normal"/></w:pPr>
<w:r><w:t xml:space="preserve">as to the extent of their production from the public.</w:t></w:r>
</w:p>
<w:p>
<w:pPr><w:pStyle w:val="Normal"/></w:pPr>
<w:r><w:t xml:space="preserve">The first patents for the electrolysis of alkaline chlorides</w:t></w:r>
</w:p>
<w:p>
<w:pPr><w:pStyle w:val="Normal"/></w:pPr>
<w:r><w:t xml:space="preserve">were taken out in 1851 and several others later on; but</w:t></w:r>
</w:p>
<w:p>
<w:pPr><w:pStyle w:val="Normal"/></w:pPr>
<w:r><w:t xml:space="preserve">commercial success was utterly impossible until the invention</w:t></w:r>
</w:p>
<w:p>
<w:pPr><w:pStyle w:val="Normal"/></w:pPr>
<w:r><w:t xml:space="preserve">of the dynamo machine allowed the production of the electric</w:t></w:r>
</w:p>
<w:p>
<w:pPr><w:pStyle w:val="Normal"/></w:pPr>
<w:r><w:t xml:space="preserve">current at a sufficiently cheap rate.  The first application</w:t></w:r>
</w:p>
<w:p>
<w:pPr><w:pStyle w:val="Normal"/></w:pPr>
<w:r><w:t xml:space="preserve">of this machine for the present purpose seems to have been</w:t></w:r>
</w:p>
<w:p>
<w:pPr><w:pStyle w:val="Normal"/></w:pPr>
<w:r><w:t xml:space="preserve">made in 1875 and the number of patents soon rapidly increased;</w:t></w:r>
</w:p>
<w:p>
<w:pPr><w:pStyle w:val="Normal"/></w:pPr>
<w:r><w:t xml:space="preserve">but although a large amount of capital was invested and</w:t></w:r>
</w:p>
<w:p>
<w:pPr><w:pStyle w:val="Normal"/></w:pPr>
<w:r><w:t xml:space="preserve">many very ingenious inventions made their appearance, it</w:t></w:r>
</w:p>
<w:p>
<w:pPr><w:pStyle w:val="Normal"/></w:pPr>
<w:r><w:t xml:space="preserve">took nearly another twenty years before the manufacture of</w:t></w:r>
</w:p>
<w:p>
<w:pPr><w:pStyle w:val="Normal"/></w:pPr>
<w:r><w:t xml:space="preserve">alkali in this way was carried out in a continuous way on a</w:t></w:r>
</w:p>
<w:p>
<w:pPr><w:pStyle w:val="Normal"/></w:pPr>
<w:r><w:t xml:space="preserve">large scale and with profitable results.  A little earlier</w:t></w:r>
</w:p>
<w:p>
<w:pPr><w:pStyle w:val="Normal"/></w:pPr>
<w:r><w:t xml:space="preserve">the manufacture of potassium chlorate (on the large scale</w:t></w:r>
</w:p>
<w:p>
<w:pPr><w:pStyle w:val="Normal"/></w:pPr>
<w:r><w:t xml:space="preserve">since 1890) had been brought to a definite success by H.</w:t></w:r>
</w:p>
<w:p>
<w:pPr><w:pStyle w:val="Normal"/></w:pPr>
<w:r><w:t xml:space="preserve">Gall and the Vicomte A. de Montlaur; a few years later the</w:t></w:r>
</w:p>
<w:p>
<w:pPr><w:pStyle w:val="Normal"/></w:pPr>
<w:r><w:t xml:space="preserve">processes worked out at the Griesheim alkali works (near</w:t></w:r>
</w:p>
<w:p>
<w:pPr><w:pStyle w:val="Normal"/></w:pPr>
<w:r><w:t xml:space="preserve">Frankfort) for the manufacture of caustic potash and chlorine</w:t></w:r>
</w:p>
<w:p>
<w:pPr><w:pStyle w:val="Normal"/></w:pPr>
<w:r><w:t xml:space="preserve">established definitely the success of electrolysis in the</w:t></w:r>
</w:p>
<w:p>
<w:pPr><w:pStyle w:val="Normal"/></w:pPr>
<w:r><w:t xml:space="preserve">field of potash, but even then none of the various processes</w:t></w:r>
</w:p>
<w:p>
<w:pPr><w:pStyle w:val="Normal"/></w:pPr>
<w:r><w:t xml:space="preserve">working with sodium chloride had emerged from the experimental</w:t></w:r>
</w:p>
<w:p>
<w:pPr><w:pStyle w:val="Normal"/></w:pPr>
<w:r><w:t xml:space="preserve">stage.  Only more recently the manufacture of caustic soda</w:t></w:r>
</w:p>
<w:p>
<w:pPr><w:pStyle w:val="Normal"/></w:pPr>
<w:r><w:t xml:space="preserve">by electrolysis has also been established as a permanent and</w:t></w:r>
</w:p>
<w:p>
<w:pPr><w:pStyle w:val="Normal"/></w:pPr>
<w:r><w:t xml:space="preserve">paying industry, but as the greatest secrecy is maintained</w:t></w:r>
</w:p>
<w:p>
<w:pPr><w:pStyle w:val="Normal"/></w:pPr>
<w:r><w:t xml:space="preserve">in everything belonging to this domain, and as neither patent</w:t></w:r>
</w:p>
<w:p>
<w:pPr><w:pStyle w:val="Normal"/></w:pPr>
<w:r><w:t xml:space="preserve">specifications nor the sanguine assertions and anticipations</w:t></w:r>
</w:p>
<w:p>
<w:pPr><w:pStyle w:val="Normal"/></w:pPr>
<w:r><w:t xml:space="preserve">of interested persons throw much real light on the actual</w:t></w:r>
</w:p>
<w:p>
<w:pPr><w:pStyle w:val="Normal"/></w:pPr>
<w:r><w:t xml:space="preserve">facts of the case, nothing certain can be said either in</w:t></w:r>
</w:p>
<w:p>
<w:pPr><w:pStyle w:val="Normal"/></w:pPr>
<w:r><w:t xml:space="preserve">regard to the date at which the profitable manufacture</w:t></w:r>
</w:p>
<w:p>
<w:pPr><w:pStyle w:val="Normal"/></w:pPr>
<w:r><w:t xml:space="preserve">of caustic soda was first carried out by electrolysis, or</w:t></w:r>
</w:p>
<w:p>
<w:pPr><w:pStyle w:val="Normal"/></w:pPr>
<w:r><w:t xml:space="preserve">as to what extent this is the case at the present moment.</w:t></w:r>
</w:p>
<w:p>
<w:pPr><w:pStyle w:val="Normal"/></w:pPr>
<w:r><w:t xml:space="preserve">We shall here give merely an outline of those more important processes</w:t></w:r>
</w:p>
<w:p>
<w:pPr><w:pStyle w:val="Normal"/></w:pPr>
<w:r><w:t xml:space="preserve">which are known to be at present working profitably on a large scale.</w:t></w:r>
</w:p>
<w:p>
<w:pPr><w:pStyle w:val="Normal"/></w:pPr>
<w:r><w:t xml:space="preserve">(1) The Diaphragm process is probably the only one employed</w:t></w:r>
</w:p>
<w:p>
<w:pPr><w:pStyle w:val="Normal"/></w:pPr>
<w:r><w:t xml:space="preserve">at present for the decomposition of potassium chloride, and</w:t></w:r>
</w:p>
<w:p>
<w:pPr><w:pStyle w:val="Normal"/></w:pPr>
<w:r><w:t xml:space="preserve">it is also used for sodium chloride.  A hot, concentrated</w:t></w:r>
</w:p>
<w:p>
<w:pPr><w:pStyle w:val="Normal"/></w:pPr>
<w:r><w:t xml:space="preserve">solution of the alkaline chloride is treated by the electric</w:t></w:r>
</w:p>
<w:p>
<w:pPr><w:pStyle w:val="Normal"/></w:pPr>
<w:r><w:t xml:space="preserve">current in large iron tanks which at the same time serve as</w:t></w:r>
</w:p>
<w:p>
<w:pPr><w:pStyle w:val="Normal"/></w:pPr>
<w:r><w:t xml:space="preserve">cathodes.  The anodes are made of retort-carbon or other</w:t></w:r>
</w:p>
<w:p>
<w:pPr><w:pStyle w:val="Normal"/></w:pPr>
<w:r><w:t xml:space="preserve">chlorine-resisting material, and they are mounted in cells</w:t></w:r>
</w:p>
<w:p>
<w:pPr><w:pStyle w:val="Normal"/></w:pPr>
<w:r><w:t xml:space="preserve">which serve as diaphragms.  The material of these cells</w:t></w:r>
</w:p>
<w:p>
<w:pPr><w:pStyle w:val="Normal"/></w:pPr>
<w:r><w:t xml:space="preserve">is usually cement, mixed with certain soluble salts which</w:t></w:r>
</w:p>
<w:p>
<w:pPr><w:pStyle w:val="Normal"/></w:pPr>
<w:r><w:t xml:space="preserve">impart sufficient porosity to the material.  The electrolysis</w:t></w:r>
</w:p>
<w:p>
<w:pPr><w:pStyle w:val="Normal"/></w:pPr>
<w:r><w:t xml:space="preserve">is carried on until about a quarter of the chloride has</w:t></w:r>
</w:p>
<w:p>
<w:pPr><w:pStyle w:val="Normal"/></w:pPr>
<w:r><w:t xml:space="preserve">been transformed; it must be stopped at this stage lest</w:t></w:r>
</w:p>
<w:p>
<w:pPr><w:pStyle w:val="Normal"/></w:pPr>
<w:r><w:t xml:space="preserve">the formation of hypochlorite and chlorate should set</w:t></w:r>
</w:p>
<w:p>
<w:pPr><w:pStyle w:val="Normal"/></w:pPr>
<w:r><w:t xml:space="preserve">in.  The alkaline liquid is now transferred to vacuum pans,</w:t></w:r>
</w:p>
<w:p>
<w:pPr><w:pStyle w:val="Normal"/></w:pPr>
<w:r><w:t xml:space="preserve">constructed in such a manner that the unchanged chloride,</w:t></w:r>
</w:p>
<w:p>
<w:pPr><w:pStyle w:val="Normal"/></w:pPr>
<w:r><w:t xml:space="preserve">which ``salts out&apos;&apos; during the concentration, can be removed</w:t></w:r>
</w:p>
<w:p>
<w:pPr><w:pStyle w:val="Normal"/></w:pPr>
<w:r><w:t xml:space="preserve">without disturbing the vacuum, and here at last a concentrated</w:t></w:r>
</w:p>
<w:p>
<w:pPr><w:pStyle w:val="Normal"/></w:pPr>
<w:r><w:t xml:space="preserve">pure solution of KOH or NaOH is obtained which is sold in</w:t></w:r>
</w:p>
<w:p>
<w:pPr><w:pStyle w:val="Normal"/></w:pPr>
<w:r><w:t xml:space="preserve">this state, or ``finished&apos;&apos; as solid caustic in the manner</w:t></w:r>
</w:p>
<w:p>
<w:pPr><w:pStyle w:val="Normal"/></w:pPr>
<w:r><w:t xml:space="preserve">described in the section treating of the Leblanc soda.</w:t></w:r>
</w:p>
<w:p>
<w:pPr><w:pStyle w:val="Normal"/></w:pPr>
<w:r><w:t xml:space="preserve">(2) The Castner-Kellner process employs no diaphragm, but a</w:t></w:r>
</w:p>
<w:p>
<w:pPr><w:pStyle w:val="Normal"/></w:pPr>
<w:r><w:t xml:space="preserve">mercurial cathode.  The electrolysis takes place in the central</w:t></w:r>
</w:p>
<w:p>
<w:pPr><w:pStyle w:val="Normal"/></w:pPr>
<w:r><w:t xml:space="preserve">compartment of a tripartite trough which can be made to rock</w:t></w:r>
</w:p>
<w:p>
<w:pPr><w:pStyle w:val="Normal"/></w:pPr>
<w:r><w:t xml:space="preserve">slightly either to one side or the other.  The bottom of the</w:t></w:r>
</w:p>
<w:p>
<w:pPr><w:pStyle w:val="Normal"/></w:pPr>
<w:r><w:t xml:space="preserve">trough is covered with mercury.  The sodium as it is formed</w:t></w:r>
</w:p>
<w:p>
<w:pPr><w:pStyle w:val="Normal"/></w:pPr>
<w:r><w:t xml:space="preserve">at the cathode at once dissolves in the mercury which protects</w:t></w:r>
</w:p>
<w:p>
<w:pPr><w:pStyle w:val="Normal"/></w:pPr>
<w:r><w:t xml:space="preserve">it against the action of the water as long as the percentage</w:t></w:r>
</w:p>
<w:p>
<w:pPr><w:pStyle w:val="Normal"/></w:pPr>
<w:r><w:t xml:space="preserve">of sodium in the mercury does not exceed, say, 0.02%.  When</w:t></w:r>
</w:p>
<w:p>
<w:pPr><w:pStyle w:val="Normal"/></w:pPr>
<w:r><w:t xml:space="preserve">this percentage has been reached, the cell is rocked to the</w:t></w:r>
</w:p>
<w:p>
<w:pPr><w:pStyle w:val="Normal"/></w:pPr>
<w:r><w:t xml:space="preserve">other side, so that the amalgam flows into one of the outer</w:t></w:r>
</w:p>
<w:p>
<w:pPr><w:pStyle w:val="Normal"/></w:pPr>
<w:r><w:t xml:space="preserve">compartments where the sodium is converted by water into sodium</w:t></w:r>
</w:p>
<w:p>
<w:pPr><w:pStyle w:val="Normal"/></w:pPr>
<w:r><w:t xml:space="preserve">hydrate.  At the same time fresh mercury, from which the</w:t></w:r>
</w:p>
<w:p>
<w:pPr><w:pStyle w:val="Normal"/></w:pPr>
<w:r><w:t xml:space="preserve">sodium had been previously extracted, flows from the other</w:t></w:r>
</w:p>
<w:p>
<w:pPr><w:pStyle w:val="Normal"/></w:pPr>
<w:r><w:t xml:space="preserve">outside compartment into the central one.  After a certain time</w:t></w:r>
</w:p>
<w:p>
<w:pPr><w:pStyle w:val="Normal"/></w:pPr>
<w:r><w:t xml:space="preserve">the whole is rocked towards the other side, and the process</w:t></w:r>
</w:p>
<w:p>
<w:pPr><w:pStyle w:val="Normal"/></w:pPr>
<w:r><w:t xml:space="preserve">is continued until the outer compartments contain a strong</w:t></w:r>
</w:p>
<w:p>
<w:pPr><w:pStyle w:val="Normal"/></w:pPr>
<w:r><w:t xml:space="preserve">solution of caustic soda, free from chloride and hypochlorite.</w:t></w:r>
</w:p>
<w:p>
<w:pPr><w:pStyle w:val="Normal"/></w:pPr>
<w:r><w:t xml:space="preserve">(3) Aussig process.--Here the anode is fixed in a bell,</w:t></w:r>
</w:p>
<w:p>
<w:pPr><w:pStyle w:val="Normal"/></w:pPr>
<w:r><w:t xml:space="preserve">mounted in a larger iron tank where the cathodes are</w:t></w:r>
</w:p>
<w:p>
<w:pPr><w:pStyle w:val="Normal"/></w:pPr>
<w:r><w:t xml:space="preserve">placed.  The whole is filled with a solution of common</w:t></w:r>
</w:p>
<w:p>
<w:pPr><w:pStyle w:val="Normal"/></w:pPr>
<w:r><w:t xml:space="preserve">salt.  As the electrolysis goes on, NaOH is formed at the</w:t></w:r>
</w:p>
<w:p>
<w:pPr><w:pStyle w:val="Normal"/></w:pPr>
<w:r><w:t xml:space="preserve">cathodes and remains at the bottom.  The intermediate layer</w:t></w:r>
</w:p>
<w:p>
<w:pPr><w:pStyle w:val="Normal"/></w:pPr>
<w:r><w:t xml:space="preserve">of the salt solution, floating over the caustic soda solution,</w:t></w:r>
</w:p>
<w:p>
<w:pPr><w:pStyle w:val="Normal"/></w:pPr>
<w:r><w:t xml:space="preserve">plays the part of a diaphragm, by preventing the chlorine</w:t></w:r>
</w:p>
<w:p>
<w:pPr><w:pStyle w:val="Normal"/></w:pPr>
<w:r><w:t xml:space="preserve">evolved in the bell from acting on the sodium hydrate formed</w:t></w:r>
</w:p>
<w:p>
<w:pPr><w:pStyle w:val="Normal"/></w:pPr>
<w:r><w:t xml:space="preserve">outside, and this solution offers much less resistance to</w:t></w:r>
</w:p>
<w:p>
<w:pPr><w:pStyle w:val="Normal"/></w:pPr>
<w:r><w:t xml:space="preserve">the electric current than the ordinary diaphragms.  This</w:t></w:r>
</w:p>
<w:p>
<w:pPr><w:pStyle w:val="Normal"/></w:pPr>
<w:r><w:t xml:space="preserve">process therefore consumes less power than most others.</w:t></w:r>
</w:p>
<w:p>
<w:pPr><w:pStyle w:val="Normal"/></w:pPr>
<w:r><w:t xml:space="preserve">(4) The Acker-Douglas process electrolyses sodium chloride</w:t></w:r>
</w:p>
<w:p>
<w:pPr><w:pStyle w:val="Normal"/></w:pPr>
<w:r><w:t xml:space="preserve">in the molten state, employing a cathode consisting of molten</w:t></w:r>
</w:p>
<w:p>
<w:pPr><w:pStyle w:val="Normal"/></w:pPr>
<w:r><w:t xml:space="preserve">lead.  The latter dissolves the sodium as it is formed and</w:t></w:r>
</w:p>
<w:p>
<w:pPr><w:pStyle w:val="Normal"/></w:pPr>
<w:r><w:t xml:space="preserve">carries it to an outer compartment where by the action of</w:t></w:r>
</w:p>
<w:p>
<w:pPr><w:pStyle w:val="Normal"/></w:pPr>
<w:r><w:t xml:space="preserve">water the sodium is converted into caustic soda, while the</w:t></w:r>
</w:p>
<w:p>
<w:pPr><w:pStyle w:val="Normal"/></w:pPr>
<w:r><w:t xml:space="preserve">lead returns to the inner compartment.  This process is carried</w:t></w:r>
</w:p>
<w:p>
<w:pPr><w:pStyle w:val="Normal"/></w:pPr>
<w:r><w:t xml:space="preserve">on at Niagara Falls, but it is uncertain to what extent.</w:t></w:r>
</w:p>
<w:p>
<w:pPr><w:pStyle w:val="Normal"/></w:pPr>
<w:r><w:t xml:space="preserve">(5) The Hargreaves-Bird process avoids certain drawbacks</w:t></w:r>
</w:p>
<w:p>
<w:pPr><w:pStyle w:val="Normal"/></w:pPr>
<w:r><w:t xml:space="preserve">attached to other processes, by employing a wire diaphragm</w:t></w:r>
</w:p>
<w:p>
<w:pPr><w:pStyle w:val="Normal"/></w:pPr>
<w:r><w:t xml:space="preserve">and converting the caustic soda as it issues on the other</w:t></w:r>
</w:p>
<w:p>
<w:pPr><w:pStyle w:val="Normal"/></w:pPr>
<w:r><w:t xml:space="preserve">side of this, by means of carbon dioxide, into a mixture</w:t></w:r>
</w:p>
<w:p>
<w:pPr><w:pStyle w:val="Normal"/></w:pPr>
<w:r><w:t xml:space="preserve">of sodium carbonate and bicarbonate, which separates out</w:t></w:r>
</w:p>
<w:p>
<w:pPr><w:pStyle w:val="Normal"/></w:pPr>
<w:r><w:t xml:space="preserve">in the solid state.  This process is but little used.</w:t></w:r>
</w:p>
<w:p>
<w:pPr><w:pStyle w:val="Normal"/></w:pPr>
<w:r><w:t xml:space="preserve">It stands to reason that the electrolytic processes have</w:t></w:r>
</w:p>
<w:p>
<w:pPr><w:pStyle w:val="Normal"/></w:pPr>
<w:r><w:t xml:space="preserve">been principally developed in localities where the electric</w:t></w:r>
</w:p>
<w:p>
<w:pPr><w:pStyle w:val="Normal"/></w:pPr>
<w:r><w:t xml:space="preserve">current can be produced in the cheapest possible manner by</w:t></w:r>
</w:p>
<w:p>
<w:pPr><w:pStyle w:val="Normal"/></w:pPr>
<w:r><w:t xml:space="preserve">means of water power, but this is not the only condition</w:t></w:r>
</w:p>
<w:p>
<w:pPr><w:pStyle w:val="Normal"/></w:pPr>
<w:r><w:t xml:space="preserve">to be considered, as the question of freight to a centre of</w:t></w:r>
</w:p>
<w:p>
<w:pPr><w:pStyle w:val="Normal"/></w:pPr>
<w:r><w:t xml:space="preserve">consumption and other circumstances may also play an important</w:t></w:r>
</w:p>
<w:p>
<w:pPr><w:pStyle w:val="Normal"/></w:pPr>
<w:r><w:t xml:space="preserve">part.  Where coal is very cheap indeed and the other</w:t></w:r>
</w:p>
<w:p>
<w:pPr><w:pStyle w:val="Normal"/></w:pPr>
<w:r><w:t xml:space="preserve">conditions are favourable, it is possible to establish such</w:t></w:r>
</w:p>
<w:p>
<w:pPr><w:pStyle w:val="Normal"/></w:pPr>
<w:r><w:t xml:space="preserve">an industry with a prospect of commercial success, even when</w:t></w:r>
</w:p>
<w:p>
<w:pPr><w:pStyle w:val="Normal"/></w:pPr>
<w:r><w:t xml:space="preserve">the electric current is produced by means of steam-engines.</w:t></w:r>
</w:p>
<w:p>
<w:pPr><w:pStyle w:val="Normal"/></w:pPr>
<w:r><w:t xml:space="preserve">Natural Soda.--This is the term applied to certain</w:t></w:r>
</w:p>
<w:p>
<w:pPr><w:pStyle w:val="Normal"/></w:pPr>
<w:r><w:t xml:space="preserve">deposits of alkaline salts, or their solutions, which occur,</w:t></w:r>
</w:p>
<w:p>
<w:pPr><w:pStyle w:val="Normal"/></w:pPr>
<w:r><w:t xml:space="preserve">sometimes in very large quantities, in various parts of the</w:t></w:r>
</w:p>
<w:p>
<w:pPr><w:pStyle w:val="Normal"/></w:pPr>
<w:r><w:t xml:space="preserve">world.  The oldest and best known of these are the Natron</w:t></w:r>
</w:p>
<w:p>
<w:pPr><w:pStyle w:val="Normal"/></w:pPr>
<w:r><w:t xml:space="preserve">lakes in Lower Egypt.  The largest occurrence of natural soda</w:t></w:r>
</w:p>
<w:p>
<w:pPr><w:pStyle w:val="Normal"/></w:pPr>
<w:r><w:t xml:space="preserve">hitherto known is that in Owen&apos;s Lake and other salt lakes</w:t></w:r>
</w:p>
<w:p>
<w:pPr><w:pStyle w:val="Normal"/></w:pPr>
<w:r><w:t xml:space="preserve">situated in eastern California.  The soda in all of these</w:t></w:r>
</w:p>
<w:p>
<w:pPr><w:pStyle w:val="Normal"/></w:pPr>
<w:r><w:t xml:space="preserve">is present as ``sesquicarbonate,&apos;&apos; in reality  4/3 carbonate:</w:t></w:r>
</w:p>
<w:p>
<w:pPr><w:pStyle w:val="Normal"/></w:pPr>
<w:r><w:t xml:space="preserve">NaHCO3.Na2CO3.2H2O, and is always mixed with large</w:t></w:r>
</w:p>
<w:p>
<w:pPr><w:pStyle w:val="Normal"/></w:pPr>
<w:r><w:t xml:space="preserve">quantities of chloride and sulphate, which makes its extraction</w:t></w:r>
</w:p>
<w:p>
<w:pPr><w:pStyle w:val="Normal"/></w:pPr>
<w:r><w:t xml:space="preserve">more difficult than would appear from the outset.  Hence,</w:t></w:r>
</w:p>
<w:p>
<w:pPr><w:pStyle w:val="Normal"/></w:pPr>
<w:r><w:t xml:space="preserve">although for many centuries (up to Leblanc&apos;s invention)</w:t></w:r>
</w:p>
<w:p>
<w:pPr><w:pStyle w:val="Normal"/></w:pPr>
<w:r><w:t xml:space="preserve">hardly any soda was available except from this source, and</w:t></w:r>
</w:p>
<w:p>
<w:pPr><w:pStyle w:val="Normal"/></w:pPr>
<w:r><w:t xml:space="preserve">although we now know that millions of tons of it exist,</w:t></w:r>
</w:p>
<w:p>
<w:pPr><w:pStyle w:val="Normal"/></w:pPr>
<w:r><w:t xml:space="preserve">especially in the west of the United States, there is as yet</w:t></w:r>
</w:p>
<w:p>
<w:pPr><w:pStyle w:val="Normal"/></w:pPr>
<w:r><w:t xml:space="preserve">very little of it practically employed, and that only locally.</w:t></w:r>
</w:p>
<w:p>
<w:pPr><w:pStyle w:val="Normal"/></w:pPr>
<w:r><w:t xml:space="preserve">REFERENCES.--The principal work on the manufacture of alkali</w:t></w:r>
</w:p>
<w:p>
<w:pPr><w:pStyle w:val="Normal"/></w:pPr>
<w:r><w:t xml:space="preserve">is G. Lunge&apos;s Sulphuric Acid anid Alkali (2nd ed., vols. ii.</w:t></w:r>
</w:p>
<w:p>
<w:pPr><w:pStyle w:val="Normal"/></w:pPr>
<w:r><w:t xml:space="preserve">and iii., 1895-1896).  This work has also appeared in a German</w:t></w:r>
</w:p>
<w:p>
<w:pPr><w:pStyle w:val="Normal"/></w:pPr>
<w:r><w:t xml:space="preserve">and a French edition.  The same author wrote the articles</w:t></w:r>
</w:p>
<w:p>
<w:pPr><w:pStyle w:val="Normal"/></w:pPr>
<w:r><w:t xml:space="preserve">on the manufacture of sodium and potassium compounds and on</w:t></w:r>
</w:p>
<w:p>
<w:pPr><w:pStyle w:val="Normal"/></w:pPr>
<w:r><w:t xml:space="preserve">chlorine in Thorpe&apos;s Dictionary of applied Chemistry (3</w:t></w:r>
</w:p>
<w:p>
<w:pPr><w:pStyle w:val="Normal"/></w:pPr>
<w:r><w:t xml:space="preserve">vols., 1890-1893).  The subject is also treated, very much</w:t></w:r>
</w:p>
<w:p>
<w:pPr><w:pStyle w:val="Normal"/></w:pPr>
<w:r><w:t xml:space="preserve">more briefly, in Sorel&apos;s Industrie chimique minerale</w:t></w:r>
</w:p>
<w:p>
<w:pPr><w:pStyle w:val="Normal"/></w:pPr>
<w:r><w:t xml:space="preserve">(1902), and of course in every other general treatise on</w:t></w:r>
</w:p>
<w:p>
<w:pPr><w:pStyle w:val="Normal"/></w:pPr>
<w:r><w:t xml:space="preserve">chemical technology.  A special treatise on the manufaciure</w:t></w:r>
</w:p>
<w:p>
<w:pPr><w:pStyle w:val="Normal"/></w:pPr>
<w:r><w:t xml:space="preserve">of ammonia soda ash has been published in German by H.</w:t></w:r>
</w:p>
<w:p>
<w:pPr><w:pStyle w:val="Normal"/></w:pPr>
<w:r><w:t xml:space="preserve">Schreib.  Consult also the official Annual reports on Alkali,</w:t></w:r>
</w:p>
<w:p>
<w:pPr><w:pStyle w:val="Normal"/></w:pPr>
<w:r><w:t xml:space="preserve">&amp;c., and, from 1864 onwards, Journal of the Society of</w:t></w:r>
</w:p>
<w:p>
<w:pPr><w:pStyle w:val="Normal"/></w:pPr>
<w:r><w:t xml:space="preserve">Chemical Industry, Fischers Jahresberichte der chemischen</w:t></w:r>
</w:p>
<w:p>
<w:pPr><w:pStyle w:val="Normal"/></w:pPr>
<w:r><w:t xml:space="preserve">Technologie, and Zeitschrift fur angewandte Chemie. (G. L.)</w:t></w:r>
</w:p>
<w:p>
<w:pPr><w:pStyle w:val="Normal"/></w:pPr>
<w:r><w:t xml:space="preserve">ALKALINE EARTHS. The so-called alkaline earth-metals are</w:t></w:r>
</w:p>
<w:p>
<w:pPr><w:pStyle w:val="Normal"/></w:pPr>
<w:r><w:t xml:space="preserve">the elements beryllium, magnesium, calcium, strontium and</w:t></w:r>
</w:p>
<w:p>
<w:pPr><w:pStyle w:val="Normal"/></w:pPr>
<w:r><w:t xml:space="preserve">barium.  By the early chemists, the term earth was used to</w:t></w:r>
</w:p>
<w:p>
<w:pPr><w:pStyle w:val="Normal"/></w:pPr>
<w:r><w:t xml:space="preserve">denote those non-metallic substances which were insoluble in</w:t></w:r>
</w:p>
<w:p>
<w:pPr><w:pStyle w:val="Normal"/></w:pPr>
<w:r><w:t xml:space="preserve">water and were unaffected by strong heating; and as some of</w:t></w:r>
</w:p>
<w:p>
<w:pPr><w:pStyle w:val="Normal"/></w:pPr>
<w:r><w:t xml:space="preserve">these substances (e.g. lime) were found to be very similar in</w:t></w:r>
</w:p>
<w:p>
<w:pPr><w:pStyle w:val="Normal"/></w:pPr>
<w:r><w:t xml:space="preserve">properties to those of the alkalis, they were called alkaline</w:t></w:r>
</w:p>
<w:p>
<w:pPr><w:pStyle w:val="Normal"/></w:pPr>
<w:r><w:t xml:space="preserve">earths.  The alkaline earths were assumed to be elements until</w:t></w:r>
</w:p>
<w:p>
<w:pPr><w:pStyle w:val="Normal"/></w:pPr>
<w:r><w:t xml:space="preserve">1807, when Sir H. Davy showed that they were oxides of various</w:t></w:r>
</w:p>
<w:p>
<w:pPr><w:pStyle w:val="Normal"/></w:pPr>
<w:r><w:t xml:space="preserve">metals.  The metals comprising this group are never found in</w:t></w:r>
</w:p>
<w:p>
<w:pPr><w:pStyle w:val="Normal"/></w:pPr>
<w:r><w:t xml:space="preserve">the uncombined condition, but occur most often in the form</w:t></w:r>
</w:p>
<w:p>
<w:pPr><w:pStyle w:val="Normal"/></w:pPr>
<w:r><w:t xml:space="preserve">of carbonates and sulphates; they form oxides of the type RO,</w:t></w:r>
</w:p>
<w:p>
<w:pPr><w:pStyle w:val="Normal"/></w:pPr>
<w:r><w:t xml:space="preserve">and in the case of calcium, strontium and barium, of the type</w:t></w:r>
</w:p>
<w:p>
<w:pPr><w:pStyle w:val="Normal"/></w:pPr>
<w:r><w:t xml:space="preserve">RO2.  The oxides of type RO are soluble in water, the solution</w:t></w:r>
</w:p>
<w:p>
<w:pPr><w:pStyle w:val="Normal"/></w:pPr>
<w:r><w:t xml:space="preserve">possessing a strongly alkaline reaction and rapidly absorbing</w:t></w:r>
</w:p>
<w:p>
<w:pPr><w:pStyle w:val="Normal"/></w:pPr>
<w:r><w:t xml:space="preserve">carbon dioxide on exposure; they are basic in character and</w:t></w:r>
</w:p>
<w:p>
<w:pPr><w:pStyle w:val="Normal"/></w:pPr>
<w:r><w:t xml:space="preserve">dissolve readily in acids with the formation of the corresponding</w:t></w:r>
</w:p>
<w:p>
<w:pPr><w:pStyle w:val="Normal"/></w:pPr>
<w:r><w:t xml:space="preserve">salts.  As the atomic weight of the element increases, it is</w:t></w:r>
</w:p>
<w:p>
<w:pPr><w:pStyle w:val="Normal"/></w:pPr>
<w:r><w:t xml:space="preserve">found that the solubility of the sulphates in water decreases.</w:t></w:r>
</w:p>
<w:p>
<w:pPr><w:pStyle w:val="Normal"/></w:pPr>
<w:r><w:t xml:space="preserve">Beryllium to a certain extent stands alone in many of its</w:t></w:r>
</w:p>
<w:p>
<w:pPr><w:pStyle w:val="Normal"/></w:pPr>
<w:r><w:t xml:space="preserve">chemical properties, resembling to some extent the metal</w:t></w:r>
</w:p>
<w:p>
<w:pPr><w:pStyle w:val="Normal"/></w:pPr>
<w:r><w:t xml:space="preserve">aluminium.  Beryllium and magnesium are permanent in dry air;</w:t></w:r>
</w:p>
<w:p>
<w:pPr><w:pStyle w:val="Normal"/></w:pPr>
<w:r><w:t xml:space="preserve">calcium, strontium and barium, however, oxidize rapidly on</w:t></w:r>
</w:p>
<w:p>
<w:pPr><w:pStyle w:val="Normal"/></w:pPr>
<w:r><w:t xml:space="preserve">exposure.  The salts of all the metals of this group usually</w:t></w:r>
</w:p>
<w:p>
<w:pPr><w:pStyle w:val="Normal"/></w:pPr>
<w:r><w:t xml:space="preserve">crystallize well, the chlorides and nitrates dissolve readily</w:t></w:r>
</w:p>
<w:p>
<w:pPr><w:pStyle w:val="Normal"/></w:pPr>
<w:r><w:t xml:space="preserve">in water, whilst the carbonates, phosphates and sulphates</w:t></w:r>
</w:p>
<w:p>
<w:pPr><w:pStyle w:val="Normal"/></w:pPr>
<w:r><w:t xml:space="preserve">are either very sparingly soluble or are insoluble in water.</w:t></w:r>
</w:p>
<w:p>
<w:pPr><w:pStyle w:val="Normal"/></w:pPr>
<w:r><w:t xml:space="preserve">ALKALOID, in chemistry, a term originally applied to any</w:t></w:r>
</w:p>
<w:p>
<w:pPr><w:pStyle w:val="Normal"/></w:pPr>
<w:r><w:t xml:space="preserve">organic base, i.e. a nitrogenous substance which forms</w:t></w:r>
</w:p>
<w:p>
<w:pPr><w:pStyle w:val="Normal"/></w:pPr>
<w:r><w:t xml:space="preserve">salts with acids; now, however, it is usual to restrict</w:t></w:r>
</w:p>
<w:p>
<w:pPr><w:pStyle w:val="Normal"/></w:pPr>
<w:r><w:t xml:space="preserve">the term to bases of vegetable origin and characterized by</w:t></w:r>
</w:p>
<w:p>
<w:pPr><w:pStyle w:val="Normal"/></w:pPr>
<w:r><w:t xml:space="preserve">remarkable toxicological effects.  Such bases occur almost</w:t></w:r>
</w:p>
<w:p>
<w:pPr><w:pStyle w:val="Normal"/></w:pPr>
<w:r><w:t xml:space="preserve">exclusively in the dicotyledons, generally in combination with</w:t></w:r>
</w:p>
<w:p>
<w:pPr><w:pStyle w:val="Normal"/></w:pPr>
<w:r><w:t xml:space="preserve">malic, citric, tartaric or similar plant-acids.  They may</w:t></w:r>
</w:p>
<w:p>
<w:pPr><w:pStyle w:val="Normal"/></w:pPr>
<w:r><w:t xml:space="preserve">be extracted by exhausting the plant-tissues with a dilute</w:t></w:r>
</w:p>
<w:p>
<w:pPr><w:pStyle w:val="Normal"/></w:pPr>
<w:r><w:t xml:space="preserve">acid, and precipitating the bases with potash, soda, lime or</w:t></w:r>
</w:p>
<w:p>
<w:pPr><w:pStyle w:val="Normal"/></w:pPr>
<w:r><w:t xml:space="preserve">magnesia.  The separation of the mixed bases so obtained</w:t></w:r>
</w:p>
<w:p>
<w:pPr><w:pStyle w:val="Normal"/></w:pPr>
<w:r><w:t xml:space="preserve">is effected by repeated fractional crystallization, or by</w:t></w:r>
</w:p>
<w:p>
<w:pPr><w:pStyle w:val="Normal"/></w:pPr>
<w:r><w:t xml:space="preserve">taking advantage of certain properties of the constituents.</w:t></w:r>
</w:p>
<w:p>
<w:pPr><w:pStyle w:val="Normal"/></w:pPr>
<w:r><w:t xml:space="preserve">A chemical classification of alkaloids is difficult on</w:t></w:r>
</w:p>
<w:p>
<w:pPr><w:pStyle w:val="Normal"/></w:pPr>
<w:r><w:t xml:space="preserve">account of their complex constitution.  I. A. Wyschnegradsky,</w:t></w:r>
</w:p>
<w:p>
<w:pPr><w:pStyle w:val="Normal"/></w:pPr>
<w:r><w:t xml:space="preserve">and afterwards W. Konigs, expressed the opinion that the</w:t></w:r>
</w:p>
<w:p>
<w:pPr><w:pStyle w:val="Normal"/></w:pPr>
<w:r><w:t xml:space="preserve">alkaloids were derivatives of pyridine or quinoline.  This</w:t></w:r>
</w:p>
<w:p>
<w:pPr><w:pStyle w:val="Normal"/></w:pPr>
<w:r><w:t xml:space="preserve">view has been fairly well supported by later discoveries;</w:t></w:r>
</w:p>
<w:p>
<w:pPr><w:pStyle w:val="Normal"/></w:pPr>
<w:r><w:t xml:space="preserve">but, in addition to pyridine and quinoline nuclei, alkaloids</w:t></w:r>
</w:p>
<w:p>
<w:pPr><w:pStyle w:val="Normal"/></w:pPr>
<w:r><w:t xml:space="preserve">derived from isoquinoline are known.  The purely chemical</w:t></w:r>
</w:p>
<w:p>
<w:pPr><w:pStyle w:val="Normal"/></w:pPr>
<w:r><w:t xml:space="preserve">literature on the alkaloids is especially voluminous;</w:t></w:r>
</w:p>
<w:p>
<w:pPr><w:pStyle w:val="Normal"/></w:pPr>
<w:r><w:t xml:space="preserve">and from the assiduity with which the constitutions of</w:t></w:r>
</w:p>
<w:p>
<w:pPr><w:pStyle w:val="Normal"/></w:pPr>
<w:r><w:t xml:space="preserve">these substances have been and are still being attacked,</w:t></w:r>
</w:p>
<w:p>
<w:pPr><w:pStyle w:val="Normal"/></w:pPr>
<w:r><w:t xml:space="preserve">we may conclude that their synthesis is but a question of</w:t></w:r>
</w:p>
<w:p>
<w:pPr><w:pStyle w:val="Normal"/></w:pPr>
<w:r><w:t xml:space="preserve">time.  Piperine, conine, atropine, belladonine, cocaine,</w:t></w:r>
</w:p>
<w:p>
<w:pPr><w:pStyle w:val="Normal"/></w:pPr>
<w:r><w:t xml:space="preserve">hyoscyamine and nicotine have been already synthesized; the</w:t></w:r>
</w:p>
<w:p>
<w:pPr><w:pStyle w:val="Normal"/></w:pPr>
<w:r><w:t xml:space="preserve">constitution of several others requires confirmation, while</w:t></w:r>
</w:p>
<w:p>
<w:pPr><w:pStyle w:val="Normal"/></w:pPr>
<w:r><w:t xml:space="preserve">there remain many important alkaloids--quinine, morphine,</w:t></w:r>
</w:p>
<w:p>
<w:pPr><w:pStyle w:val="Normal"/></w:pPr>
<w:r><w:t xml:space="preserve">strychnine, &amp;c.--whose constitution remains unknown.</w:t></w:r>
</w:p>
<w:p>
<w:pPr><w:pStyle w:val="Normal"/></w:pPr>
<w:r><w:t xml:space="preserve">The following classification is simple and convenient; the</w:t></w:r>
</w:p>
<w:p>
<w:pPr><w:pStyle w:val="Normal"/></w:pPr>
<w:r><w:t xml:space="preserve">list of alkaloids makes no pretence at being exhaustive.</w:t></w:r>
</w:p>
<w:p>
<w:pPr><w:pStyle w:val="Normal"/></w:pPr>
<w:r><w:t xml:space="preserve">(1) Pyridine group.  Piperine; conine; trigonelline;</w:t></w:r>
</w:p>
<w:p>
<w:pPr><w:pStyle w:val="Normal"/></w:pPr>
<w:r><w:t xml:space="preserve">arecaidine; guvacine; pilocarpine; cytisine; nicotine;</w:t></w:r>
</w:p>
<w:p>
<w:pPr><w:pStyle w:val="Normal"/></w:pPr>
<w:r><w:t xml:space="preserve">sparteine.</w:t></w:r>
</w:p>
<w:p>
<w:pPr><w:pStyle w:val="Normal"/></w:pPr>
<w:r><w:t xml:space="preserve">(2) Tropine group.  Alkaloids characterized by containing</w:t></w:r>
</w:p>
<w:p>
<w:pPr><w:pStyle w:val="Normal"/></w:pPr>
<w:r><w:t xml:space="preserve">the tropine (q.v.) nucleus. Atropine; cocaine; hygrine;</w:t></w:r>
</w:p>
<w:p>
<w:pPr><w:pStyle w:val="Normal"/></w:pPr>
<w:r><w:t xml:space="preserve">ecgonine; pelletierine.</w:t></w:r>
</w:p>
<w:p>
<w:pPr><w:pStyle w:val="Normal"/></w:pPr>
<w:r><w:t xml:space="preserve">(3) Quinoline group.  The alkaloids of the quina-barks:</w:t></w:r>
</w:p>
<w:p>
<w:pPr><w:pStyle w:val="Normal"/></w:pPr>
<w:r><w:t xml:space="preserve">quinine, &amp;c.; the strychnos bases: strychnine, brucine;</w:t></w:r>
</w:p>
<w:p>
<w:pPr><w:pStyle w:val="Normal"/></w:pPr>
<w:r><w:t xml:space="preserve">and the veratrum alkaloids: veratrine, cevadine, &amp;c.</w:t></w:r>
</w:p>
<w:p>
<w:pPr><w:pStyle w:val="Normal"/></w:pPr>
<w:r><w:t xml:space="preserve">(4) Isoquinoline group.  The opium alkaloids: morphine,</w:t></w:r>
</w:p>
<w:p>
<w:pPr><w:pStyle w:val="Normal"/></w:pPr>
<w:r><w:t xml:space="preserve">codeine, thebaine, papaverine, narcotine, narceine, &amp;c.;</w:t></w:r>
</w:p>
<w:p>
<w:pPr><w:pStyle w:val="Normal"/></w:pPr>
<w:r><w:t xml:space="preserve">and the complicated substances hydrastine and berberine.</w:t></w:r>
</w:p>
<w:p>
<w:pPr><w:pStyle w:val="Normal"/></w:pPr>
<w:r><w:t xml:space="preserve">In addition to the above series there are a considerable number</w:t></w:r>
</w:p>
<w:p>
<w:pPr><w:pStyle w:val="Normal"/></w:pPr>
<w:r><w:t xml:space="preserve">of compounds derived from purin which are by some writers</w:t></w:r>
</w:p>
<w:p>
<w:pPr><w:pStyle w:val="Normal"/></w:pPr>
<w:r><w:t xml:space="preserve">classed with the alkaloids.  These are treated in the article</w:t></w:r>
</w:p>
<w:p>
<w:pPr><w:pStyle w:val="Normal"/></w:pPr>
<w:r><w:t xml:space="preserve">PURIN. There are also reasons for including such compounds</w:t></w:r>
</w:p>
<w:p>
<w:pPr><w:pStyle w:val="Normal"/></w:pPr>
<w:r><w:t xml:space="preserve">as muscarine, choline, neurine and betaine in this group.</w:t></w:r>
</w:p>
<w:p>
<w:pPr><w:pStyle w:val="Normal"/></w:pPr>
<w:r><w:t xml:space="preserve">The greater number of these substances are of considerable</w:t></w:r>
</w:p>
<w:p>
<w:pPr><w:pStyle w:val="Normal"/></w:pPr>
<w:r><w:t xml:space="preserve">medicinal value; this aspect is treated generally in the</w:t></w:r>
</w:p>
<w:p>
<w:pPr><w:pStyle w:val="Normal"/></w:pPr>
<w:r><w:t xml:space="preserve">article PHARMACOLOGY. Reference should also be made</w:t></w:r>
</w:p>
<w:p>
<w:pPr><w:pStyle w:val="Normal"/></w:pPr>
<w:r><w:t xml:space="preserve">to the articles on the individual alkaloids for further</w:t></w:r>
</w:p>
<w:p>
<w:pPr><w:pStyle w:val="Normal"/></w:pPr>
<w:r><w:t xml:space="preserve">details as to their medicinal and chemical properties.</w:t></w:r>
</w:p>
<w:p>
<w:pPr><w:pStyle w:val="Normal"/></w:pPr>
<w:r><w:t xml:space="preserve">The chemistry of the alkaloids is treated in detail by Ame</w:t></w:r>
</w:p>
<w:p>
<w:pPr><w:pStyle w:val="Normal"/></w:pPr>
<w:r><w:t xml:space="preserve">Pictet in his La Constitution chimique des alcatoides vegetaux</w:t></w:r>
</w:p>
<w:p>
<w:pPr><w:pStyle w:val="Normal"/></w:pPr>
<w:r><w:t xml:space="preserve">(Paris, 1897); enlarged and translated by H. C. Biddle wiih</w:t></w:r>
</w:p>
<w:p>
<w:pPr><w:pStyle w:val="Normal"/></w:pPr>
<w:r><w:t xml:space="preserve">the title The Vegetable Alkaloids (New Vork, 1904); and by</w:t></w:r>
</w:p>
<w:p>
<w:pPr><w:pStyle w:val="Normal"/></w:pPr>
<w:r><w:t xml:space="preserve">J. W. Bruhl, F. HJelt, and O. Aschan: Die Pflanzen-Alkaloide</w:t></w:r>
</w:p>
<w:p>
<w:pPr><w:pStyle w:val="Normal"/></w:pPr>
<w:r><w:t xml:space="preserve">(1900).  A pamphlet, Die Alkaloidchemie in den Jahren</w:t></w:r>
</w:p>
<w:p>
<w:pPr><w:pStyle w:val="Normal"/></w:pPr>
<w:r><w:t xml:space="preserve">1900-1904, by Julius Schmidt, may also be consulted.</w:t></w:r>
</w:p>
<w:p>
<w:pPr><w:pStyle w:val="Normal"/></w:pPr>
<w:r><w:t xml:space="preserve">ALKAN, CHARLES HENRI VALENTIN MORHANGE (1813-1888), French</w:t></w:r>
</w:p>
<w:p>
<w:pPr><w:pStyle w:val="Normal"/></w:pPr>
<w:r><w:t xml:space="preserve">musical composer, was born and died in Paris.  Alkan was his</w:t></w:r>
</w:p>
<w:p>
<w:pPr><w:pStyle w:val="Normal"/></w:pPr>
<w:r><w:t xml:space="preserve">nom de guerre. Admitted to the Conservatoire of Paris in his</w:t></w:r>
</w:p>
<w:p>
<w:pPr><w:pStyle w:val="Normal"/></w:pPr>
<w:r><w:t xml:space="preserve">sixth year, he had a distinguished career there until 1830.</w:t></w:r>
</w:p>
<w:p>
<w:pPr><w:pStyle w:val="Normal"/></w:pPr>
<w:r><w:t xml:space="preserve">He visited London in 1833, after which he settled in Paris as</w:t></w:r>
</w:p>
<w:p>
<w:pPr><w:pStyle w:val="Normal"/></w:pPr>
<w:r><w:t xml:space="preserve">a pianoforte teacher till his death.  He is important as the</w:t></w:r>
</w:p>
<w:p>
<w:pPr><w:pStyle w:val="Normal"/></w:pPr>
<w:r><w:t xml:space="preserve">composer of a large number of pianoforte etudes, embodying</w:t></w:r>
</w:p>
<w:p>
<w:pPr><w:pStyle w:val="Normal"/></w:pPr>
<w:r><w:t xml:space="preserve">the most extravagant technical difficulties.  His invention</w:t></w:r>
</w:p>
<w:p>
<w:pPr><w:pStyle w:val="Normal"/></w:pPr>
<w:r><w:t xml:space="preserve">was not modern enough to secure for these works that attention</w:t></w:r>
</w:p>
<w:p>
<w:pPr><w:pStyle w:val="Normal"/></w:pPr>
<w:r><w:t xml:space="preserve">which they deserve as representing a pianoforte technique</w:t></w:r>
</w:p>
<w:p>
<w:pPr><w:pStyle w:val="Normal"/></w:pPr>
<w:r><w:t xml:space="preserve">and sense of effect in some respects more advanced even</w:t></w:r>
</w:p>
<w:p>
<w:pPr><w:pStyle w:val="Normal"/></w:pPr>
<w:r><w:t xml:space="preserve">than that of Liszt, though lacking Liszt&apos;s economy and tact.</w:t></w:r>
</w:p>
<w:p>
<w:pPr><w:pStyle w:val="Normal"/></w:pPr>
<w:r><w:t xml:space="preserve">ALKANET (dim. from Span. alcana, Arab. al-hena = henna,</w:t></w:r>
</w:p>
<w:p>
<w:pPr><w:pStyle w:val="Normal"/></w:pPr>
<w:r><w:t xml:space="preserve">Egyptian privet, or Lawsonia inermis), a plant, Alkanna or</w:t></w:r>
</w:p>
<w:p>
<w:pPr><w:pStyle w:val="Normal"/></w:pPr>
<w:r><w:t xml:space="preserve">Anchusa tinctoria, of the order Boraginaceae, also known as</w:t></w:r>
</w:p>
<w:p>
<w:pPr><w:pStyle w:val="Normal"/></w:pPr>
<w:r><w:t xml:space="preserve">orchanet, dyer&apos;s bugloss, Spanish bugloss or bugloss of Languedoc,</w:t></w:r>
</w:p>
<w:p>
<w:pPr><w:pStyle w:val="Normal"/></w:pPr>
<w:r><w:t xml:space="preserve">which is grown in the south of France and on the shores of the</w:t></w:r>
</w:p>
<w:p>
<w:pPr><w:pStyle w:val="Normal"/></w:pPr>
<w:r><w:t xml:space="preserve">Levant.  Its root yields a fine red colouring matter which</w:t></w:r>
</w:p>
<w:p>
<w:pPr><w:pStyle w:val="Normal"/></w:pPr>
<w:r><w:t xml:space="preserve">has been used to tint tinctures, oils, wines, varnishes, &amp;c.</w:t></w:r>
</w:p>
<w:p>
<w:pPr><w:pStyle w:val="Normal"/></w:pPr>
<w:r><w:t xml:space="preserve">AL KASR AL KEBIR (``the great castle,&apos;&apos; in Span. ALCAZAR</w:t></w:r>
</w:p>
<w:p>
<w:pPr><w:pStyle w:val="Normal"/></w:pPr>
<w:r><w:t xml:space="preserve">KEBIR, in Port. ALCACER QUBIR), a town of Morocco, on the</w:t></w:r>
</w:p>
<w:p>
<w:pPr><w:pStyle w:val="Normal"/></w:pPr>
<w:r><w:t xml:space="preserve">river Lekkus, 80 m.  N.W. of Fez. Pop. about 10,000.  Its mud</w:t></w:r>
</w:p>
<w:p>
<w:pPr><w:pStyle w:val="Normal"/></w:pPr>
<w:r><w:t xml:space="preserve">and pantile dwellings are here and there relieved by a mosque</w:t></w:r>
</w:p>
<w:p>
<w:pPr><w:pStyle w:val="Normal"/></w:pPr>
<w:r><w:t xml:space="preserve">tower, but the aspect of the town is far from inviting.  It</w:t></w:r>
</w:p>
<w:p>
<w:pPr><w:pStyle w:val="Normal"/></w:pPr>
<w:r><w:t xml:space="preserve">is frequently flooded in winter and in consequence fever is</w:t></w:r>
</w:p>
<w:p>
<w:pPr><w:pStyle w:val="Normal"/></w:pPr>
<w:r><w:t xml:space="preserve">prevalent.  The weekly market, held on Sundays in the centre</w:t></w:r>
</w:p>
<w:p>
<w:pPr><w:pStyle w:val="Normal"/></w:pPr>
<w:r><w:t xml:space="preserve">of the town, gives to the place an appearance of bustle.</w:t></w:r>
</w:p>
<w:p>
<w:pPr><w:pStyle w:val="Normal"/></w:pPr>
<w:r><w:t xml:space="preserve">A vice-governor is appointed for the town by the basha of</w:t></w:r>
</w:p>
<w:p>
<w:pPr><w:pStyle w:val="Normal"/></w:pPr>
<w:r><w:t xml:space="preserve">Laraiche, one for the country round by the sultan of Morocco,</w:t></w:r>
</w:p>
<w:p>
<w:pPr><w:pStyle w:val="Normal"/></w:pPr>
<w:r><w:t xml:space="preserve">a condition which causes much confusion on market-days.  Al</w:t></w:r>
</w:p>
<w:p>
<w:pPr><w:pStyle w:val="Normal"/></w:pPr>
<w:r><w:t xml:space="preserve">Kasr al Rebir was built, according to Leo Africanus, by Yakub</w:t></w:r>
</w:p>
<w:p>
<w:pPr><w:pStyle w:val="Normal"/></w:pPr>
<w:r><w:t xml:space="preserve">el Mansur (1186-1199).  Not far from the town, by the banks</w:t></w:r>
</w:p>
<w:p>
<w:pPr><w:pStyle w:val="Normal"/></w:pPr>
<w:r><w:t xml:space="preserve">of the river Makhazan, is the site of the battle fought in</w:t></w:r>
</w:p>
<w:p>
<w:pPr><w:pStyle w:val="Normal"/></w:pPr>
<w:r><w:t xml:space="preserve">1578 between Dom Sebastian, king of Portugal, and the Moors</w:t></w:r>
</w:p>
<w:p>
<w:pPr><w:pStyle w:val="Normal"/></w:pPr>
<w:r><w:t xml:space="preserve">under Abd el Malek, in which the Moors were victorious, though</w:t></w:r>
</w:p>
<w:p>
<w:pPr><w:pStyle w:val="Normal"/></w:pPr>
<w:r><w:t xml:space="preserve">both kings perished, as well as the deposed Mahommed XI., who</w:t></w:r>
</w:p>
<w:p>
<w:pPr><w:pStyle w:val="Normal"/></w:pPr>
<w:r><w:t xml:space="preserve">had called in the Portuguese to his aid against Abd el Malek.</w:t></w:r>
</w:p>
<w:p>
<w:pPr><w:pStyle w:val="Normal"/></w:pPr>
<w:r><w:t xml:space="preserve">ALKMAAR, a town in the province of North Holland, kingdom of</w:t></w:r>
</w:p>
<w:p>
<w:pPr><w:pStyle w:val="Normal"/></w:pPr>
<w:r><w:t xml:space="preserve">Holland, 24 1/2 m. by rail N.N.W. of Amsterdam, connected by</w:t></w:r>
</w:p>
<w:p>
<w:pPr><w:pStyle w:val="Normal"/></w:pPr>
<w:r><w:t xml:space="preserve">steam-tramway with Haarlem and Amsterdam, and on the North Holland</w:t></w:r>
</w:p>
<w:p>
<w:pPr><w:pStyle w:val="Normal"/></w:pPr>
<w:r><w:t xml:space="preserve">canal.  Pop. (1900) 18,373.  Alkmaar is a typical North Holland</w:t></w:r>
</w:p>
<w:p>
<w:pPr><w:pStyle w:val="Normal"/></w:pPr>
<w:r><w:t xml:space="preserve">town, with tree-lined canals and brightly coloured 17th-century</w:t></w:r>
</w:p>
<w:p>
<w:pPr><w:pStyle w:val="Normal"/></w:pPr>
<w:r><w:t xml:space="preserve">houses.  The old city walls have been replaced by pleasant</w:t></w:r>
</w:p>
<w:p>
<w:pPr><w:pStyle w:val="Normal"/></w:pPr>
<w:r><w:t xml:space="preserve">gardens and walks, and there is a park in which stands a fine</w:t></w:r>
</w:p>
<w:p>
<w:pPr><w:pStyle w:val="Normal"/></w:pPr>
<w:r><w:t xml:space="preserve">monument (1876) by J. T. Stracke (1817- 1891), symbolizing</w:t></w:r>
</w:p>
<w:p>
<w:pPr><w:pStyle w:val="Normal"/></w:pPr>
<w:r><w:t xml:space="preserve">Alcmaria victrix, to commemorate the siege by the Spaniards in</w:t></w:r>
</w:p>
<w:p>
<w:pPr><w:pStyle w:val="Normal"/></w:pPr>
<w:r><w:t xml:space="preserve">1573.  The Groote Kerk (1470-1498), dedicated to St Lawrence,</w:t></w:r>
</w:p>
<w:p>
<w:pPr><w:pStyle w:val="Normal"/></w:pPr>
<w:r><w:t xml:space="preserve">is a handsome building and contains the tomb of Floris</w:t></w:r>
</w:p>
<w:p>
<w:pPr><w:pStyle w:val="Normal"/></w:pPr>
<w:r><w:t xml:space="preserve">V., count of Holland (d. 1296), a brass of 1546, and some</w:t></w:r>
</w:p>
<w:p>
<w:pPr><w:pStyle w:val="Normal"/></w:pPr>
<w:r><w:t xml:space="preserve">paintings (1507).  In the town hall (1507) are the library</w:t></w:r>
</w:p>
<w:p>
<w:pPr><w:pStyle w:val="Normal"/></w:pPr>
<w:r><w:t xml:space="preserve">and a small museum with two pictures by the 17th century</w:t></w:r>
</w:p>
<w:p>
<w:pPr><w:pStyle w:val="Normal"/></w:pPr>
<w:r><w:t xml:space="preserve">artist Caesar van Everdingen, who with his more celebrated</w:t></w:r>
</w:p>
<w:p>
<w:pPr><w:pStyle w:val="Normal"/></w:pPr>
<w:r><w:t xml:space="preserve">brother Allart van Everdingen (q.v.) was a native of the</w:t></w:r>
</w:p>
<w:p>
<w:pPr><w:pStyle w:val="Normal"/></w:pPr>
<w:r><w:t xml:space="preserve">town.  The weigh-house (1582) is a picturesque building</w:t></w:r>
</w:p>
<w:p>
<w:pPr><w:pStyle w:val="Normal"/></w:pPr>
<w:r><w:t xml:space="preserve">with quaint gable and tower.  Just outside the town lies the</w:t></w:r>
</w:p>
<w:p>
<w:pPr><w:pStyle w:val="Normal"/></w:pPr>
<w:r><w:t xml:space="preserve">Alkmaar wood, at the entrance to which stands the military</w:t></w:r>
</w:p>
<w:p>
<w:pPr><w:pStyle w:val="Normal"/></w:pPr>
<w:r><w:t xml:space="preserve">cadet school which serves as a preparatory school for the</w:t></w:r>
</w:p>
<w:p>
<w:pPr><w:pStyle w:val="Normal"/></w:pPr>
<w:r><w:t xml:space="preserve">royal military academy at Breda.  Alkmaar derives its chief</w:t></w:r>
</w:p>
<w:p>
<w:pPr><w:pStyle w:val="Normal"/></w:pPr>
<w:r><w:t xml:space="preserve">importance from being the centre of the flourishing butter</w:t></w:r>
</w:p>
<w:p>
<w:pPr><w:pStyle w:val="Normal"/></w:pPr>
<w:r><w:t xml:space="preserve">and cheese trade of this region of Holland.  It is also a</w:t></w:r>
</w:p>
<w:p>
<w:pPr><w:pStyle w:val="Normal"/></w:pPr>
<w:r><w:t xml:space="preserve">considerable market for horses, cattle and grain, and there is</w:t></w:r>
</w:p>
<w:p>
<w:pPr><w:pStyle w:val="Normal"/></w:pPr>
<w:r><w:t xml:space="preserve">a little boat-building and salt and sail-cloth manufacture.</w:t></w:r>
</w:p>
<w:p>
<w:pPr><w:pStyle w:val="Normal"/></w:pPr>
<w:r><w:t xml:space="preserve">Tramways connect Alkmaar with Egmond and with the pretty summer</w:t></w:r>
</w:p>
<w:p>
<w:pPr><w:pStyle w:val="Normal"/></w:pPr>
<w:r><w:t xml:space="preserve">resort of Bergen, which lies sheltered by woods and dunes.</w:t></w:r>
</w:p>
<w:p>
<w:pPr><w:pStyle w:val="Normal"/></w:pPr>
<w:r><w:t xml:space="preserve">The name of Alkmaar, which means ``all sea,&apos;&apos; first occurs</w:t></w:r>
</w:p>
<w:p>
<w:pPr><w:pStyle w:val="Normal"/></w:pPr>
<w:r><w:t xml:space="preserve">in the 10th century, and recalls its former situation in the</w:t></w:r>
</w:p>
<w:p>
<w:pPr><w:pStyle w:val="Normal"/></w:pPr>
<w:r><w:t xml:space="preserve">midst of marshlands and lakes.  It was probably originally a</w:t></w:r>
</w:p>
<w:p>
<w:pPr><w:pStyle w:val="Normal"/></w:pPr>
<w:r><w:t xml:space="preserve">fishing-village, but with the reclamation of the surrounding</w:t></w:r>
</w:p>
<w:p>
<w:pPr><w:pStyle w:val="Normal"/></w:pPr>
<w:r><w:t xml:space="preserve">morasses, e.g. that of the Schermer in 1685, and their</w:t></w:r>
</w:p>
<w:p>
<w:pPr><w:pStyle w:val="Normal"/></w:pPr>
<w:r><w:t xml:space="preserve">conversion into rich meadow land, Alkmaar gradually acquired</w:t></w:r>
</w:p>
<w:p>
<w:pPr><w:pStyle w:val="Normal"/></w:pPr>
<w:r><w:t xml:space="preserve">an imporiant trade.  In 1254 it received a charter from</w:t></w:r>
</w:p>
<w:p>
<w:pPr><w:pStyle w:val="Normal"/></w:pPr>
<w:r><w:t xml:space="preserve">William II., count of Holland, similar to that of Haarlem,</w:t></w:r>
</w:p>
<w:p>
<w:pPr><w:pStyle w:val="Normal"/></w:pPr>
<w:r><w:t xml:space="preserve">but in the 15in century duke Philip the Good of Burgundy</w:t></w:r>
</w:p>
<w:p>
<w:pPr><w:pStyle w:val="Normal"/></w:pPr>
<w:r><w:t xml:space="preserve">made the impoverishment of the town, due to ill-government,</w:t></w:r>
</w:p>
<w:p>
<w:pPr><w:pStyle w:val="Normal"/></w:pPr>
<w:r><w:t xml:space="preserve">the excuse for establishing an oligarchical regime, by</w:t></w:r>
</w:p>
<w:p>
<w:pPr><w:pStyle w:val="Normal"/></w:pPr>
<w:r><w:t xml:space="preserve">charters of 1436 and 1437.  As the capital of the ancient</w:t></w:r>
</w:p>
<w:p>
<w:pPr><w:pStyle w:val="Normal"/></w:pPr>
<w:r><w:t xml:space="preserve">district of Kennemerland between den Helder and Haarlem,</w:t></w:r>
</w:p>
<w:p>
<w:pPr><w:pStyle w:val="Normal"/></w:pPr>
<w:r><w:t xml:space="preserve">Alkmaar frequently suffered in the early wars between the</w:t></w:r>
</w:p>
<w:p>
<w:pPr><w:pStyle w:val="Normal"/></w:pPr>
<w:r><w:t xml:space="preserve">Hollanders and the Frisians, and in 1517 was captured by the</w:t></w:r>
</w:p>
<w:p>
<w:pPr><w:pStyle w:val="Normal"/></w:pPr>
<w:r><w:t xml:space="preserve">united Gelderlaiiders and Frisians.  In 1573 it successfully</w:t></w:r>
</w:p>
<w:p>
<w:pPr><w:pStyle w:val="Normal"/></w:pPr>
<w:r><w:t xml:space="preserve">sustained a seven-weeks&apos; siege by 16,000 Spaniards under the</w:t></w:r>
</w:p>
<w:p>
<w:pPr><w:pStyle w:val="Normal"/></w:pPr>
<w:r><w:t xml:space="preserve">duke of Alva.  In 1799 Alkmaar gave its name to a conxention</w:t></w:r>
</w:p>
<w:p>
<w:pPr><w:pStyle w:val="Normal"/></w:pPr>
<w:r><w:t xml:space="preserve">signed by the duke of York and the French general Brune, in</w:t></w:r>
</w:p>
<w:p>
<w:pPr><w:pStyle w:val="Normal"/></w:pPr>
<w:r><w:t xml:space="preserve">accordance with which the Russo-British army of 23,000 men,</w:t></w:r>
</w:p>
<w:p>
<w:pPr><w:pStyle w:val="Normal"/></w:pPr>
<w:r><w:t xml:space="preserve">which was defeated at Bergen, evacuated Holland.  A monument</w:t></w:r>
</w:p>
<w:p>
<w:pPr><w:pStyle w:val="Normal"/></w:pPr>
<w:r><w:t xml:space="preserve">was erected in 1901 to commemorate the Russians who fell.</w:t></w:r>
</w:p>
<w:p>
<w:pPr><w:pStyle w:val="Normal"/></w:pPr>
<w:r><w:t xml:space="preserve">ALLACCI, LEONE [LEO ALLATIUS] (1586-1669), Greek scholar</w:t></w:r>
</w:p>
<w:p>
<w:pPr><w:pStyle w:val="Normal"/></w:pPr>
<w:r><w:t xml:space="preserve">and theologian, was born in the island or Chios.  His early</w:t></w:r>
</w:p>
<w:p>
<w:pPr><w:pStyle w:val="Normal"/></w:pPr>
<w:r><w:t xml:space="preserve">years were passed in Calabria and at Rome, where he finally</w:t></w:r>
</w:p>
<w:p>
<w:pPr><w:pStyle w:val="Normal"/></w:pPr>
<w:r><w:t xml:space="preserve">settled as teacher of Greek at the Greek college, at the</w:t></w:r>
</w:p>
<w:p>
<w:pPr><w:pStyle w:val="Normal"/></w:pPr>
<w:r><w:t xml:space="preserve">same time devoting himself to the study of classics and</w:t></w:r>
</w:p>
<w:p>
<w:pPr><w:pStyle w:val="Normal"/></w:pPr>
<w:r><w:t xml:space="preserve">theology.  In 1622, after the capture of Heidelberg by Tilly,</w:t></w:r>
</w:p>
<w:p>
<w:pPr><w:pStyle w:val="Normal"/></w:pPr>
<w:r><w:t xml:space="preserve">the elector Maximilian of Bavaria presented its splendid</w:t></w:r>
</w:p>
<w:p>
<w:pPr><w:pStyle w:val="Normal"/></w:pPr>
<w:r><w:t xml:space="preserve">library composed of 196 cases of MSS. (bibliotheca Palatina)</w:t></w:r>
</w:p>
<w:p>
<w:pPr><w:pStyle w:val="Normal"/></w:pPr>
<w:r><w:t xml:space="preserve">to Pope Gregory XV. Allacci was sent to superintend its</w:t></w:r>
</w:p>
<w:p>
<w:pPr><w:pStyle w:val="Normal"/></w:pPr>
<w:r><w:t xml:space="preserve">removal to Rome, where it was incorporated with the Vatican</w:t></w:r>
</w:p>
<w:p>
<w:pPr><w:pStyle w:val="Normal"/></w:pPr>
<w:r><w:t xml:space="preserve">library.  On the death of Gregory, Allacci became librarian to</w:t></w:r>
</w:p>
<w:p>
<w:pPr><w:pStyle w:val="Normal"/></w:pPr>
<w:r><w:t xml:space="preserve">Cardinal Berberini, and subsequently (1661) librarian of the</w:t></w:r>
</w:p>
<w:p>
<w:pPr><w:pStyle w:val="Normal"/></w:pPr>
<w:r><w:t xml:space="preserve">Vatican, which post he held till his death on the 18th (or</w:t></w:r>
</w:p>
<w:p>
<w:pPr><w:pStyle w:val="Normal"/></w:pPr>
<w:r><w:t xml:space="preserve">19th) of January 1669.  It is noteworthy that, although a Greek</w:t></w:r>
</w:p>
<w:p>
<w:pPr><w:pStyle w:val="Normal"/></w:pPr>
<w:r><w:t xml:space="preserve">by birth, he became an ardent Roman Catholic and the bitter</w:t></w:r>
</w:p>
<w:p>
<w:pPr><w:pStyle w:val="Normal"/></w:pPr>
<w:r><w:t xml:space="preserve">enemy of all heretics, including his own countrymen.  Allacci</w:t></w:r>
</w:p>
<w:p>
<w:pPr><w:pStyle w:val="Normal"/></w:pPr>
<w:r><w:t xml:space="preserve">was a very industrious and voluminous writer, but his works,</w:t></w:r>
</w:p>
<w:p>
<w:pPr><w:pStyle w:val="Normal"/></w:pPr>
<w:r><w:t xml:space="preserve">although they bear ample testimony to his immense learning,</w:t></w:r>
</w:p>
<w:p>
<w:pPr><w:pStyle w:val="Normal"/></w:pPr>
<w:r><w:t xml:space="preserve">show an absence of the true critical faculty, and are full of</w:t></w:r>
</w:p>
<w:p>
<w:pPr><w:pStyle w:val="Normal"/></w:pPr>
<w:r><w:t xml:space="preserve">intolerance, especially on religious subjects.  For a list</w:t></w:r>
</w:p>
<w:p>
<w:pPr><w:pStyle w:val="Normal"/></w:pPr>
<w:r><w:t xml:space="preserve">of these, J. A. Fabricius&apos;s Bibliotheca Graeca (xi. 437)</w:t></w:r>
</w:p>
<w:p>
<w:pPr><w:pStyle w:val="Normal"/></w:pPr>
<w:r><w:t xml:space="preserve">should be consulted, where they are divided into four classes:</w:t></w:r>
</w:p>
<w:p>
<w:pPr><w:pStyle w:val="Normal"/></w:pPr>
<w:r><w:t xml:space="preserve">editions, translations and commentaries on ancient authors; works</w:t></w:r>
</w:p>
<w:p>
<w:pPr><w:pStyle w:val="Normal"/></w:pPr>
<w:r><w:t xml:space="preserve">relating to the dogmas and institutions of the Greek and Roman</w:t></w:r>
</w:p>
<w:p>
<w:pPr><w:pStyle w:val="Normal"/></w:pPr>
<w:r><w:t xml:space="preserve">Churches; historical works; miscellaneous works.  The number</w:t></w:r>
</w:p>
<w:p>
<w:pPr><w:pStyle w:val="Normal"/></w:pPr>
<w:r><w:t xml:space="preserve">of his unpublished writings is also very large; the majority</w:t></w:r>
</w:p>
<w:p>
<w:pPr><w:pStyle w:val="Normal"/></w:pPr>
<w:r><w:t xml:space="preserve">of them are included in the MSS. of the Vallicellian library.</w:t></w:r>
</w:p>
<w:p>
<w:pPr><w:pStyle w:val="Normal"/></w:pPr>
<w:r><w:t xml:space="preserve">The main source of our knowledge of Allatius is the incomplete</w:t></w:r>
</w:p>
<w:p>
<w:pPr><w:pStyle w:val="Normal"/></w:pPr>
<w:r><w:t xml:space="preserve">life by Stephanus Gradi, Leonis Allatii vita, published by</w:t></w:r>
</w:p>
<w:p>
<w:pPr><w:pStyle w:val="Normal"/></w:pPr>
<w:r><w:t xml:space="preserve">Cardinal Mai, in Nova Bibliotheca Patrum. A complete enumeration</w:t></w:r>
</w:p>
<w:p>
<w:pPr><w:pStyle w:val="Normal"/></w:pPr>
<w:r><w:t xml:space="preserve">of his works is contained in E. Legrand, Bibliographie</w:t></w:r>
</w:p>
<w:p>
<w:pPr><w:pStyle w:val="Normal"/></w:pPr>
<w:r><w:t xml:space="preserve">hellenique du XVIIeme siecle (Paris, 1895, iii.</w:t></w:r>
</w:p>
<w:p>
<w:pPr><w:pStyle w:val="Normal"/></w:pPr>
<w:r><w:t xml:space="preserve">435-471).  The accounts of C. N. Sathas in Neoellenvike</w:t></w:r>
</w:p>
<w:p>
<w:pPr><w:pStyle w:val="Normal"/></w:pPr>
<w:r><w:t xml:space="preserve">filologia (Athens, 1868), and of the pseudo-prince Demetrius</w:t></w:r>
</w:p>
<w:p>
<w:pPr><w:pStyle w:val="Normal"/></w:pPr>
<w:r><w:t xml:space="preserve">Rhodokanakis, Leonis Allatii Hellas (Athens, 1872, are</w:t></w:r>
</w:p>
<w:p>
<w:pPr><w:pStyle w:val="Normal"/></w:pPr>
<w:r><w:t xml:space="preserve">inaccurate and untrustworthy.  For a special account of his</w:t></w:r>
</w:p>
<w:p>
<w:pPr><w:pStyle w:val="Normal"/></w:pPr>
<w:r><w:t xml:space="preserve">share in the foundation of the Vatican Library, see Curzio</w:t></w:r>
</w:p>
<w:p>
<w:pPr><w:pStyle w:val="Normal"/></w:pPr>
<w:r><w:t xml:space="preserve">Mazzi, Leone Allacci e la Palatina di Heidelberg (Bologna,</w:t></w:r>
</w:p>
<w:p>
<w:pPr><w:pStyle w:val="Normal"/></w:pPr>
<w:r><w:t xml:space="preserve">1893).  The theological aspect of his works is best</w:t></w:r>
</w:p>
<w:p>
<w:pPr><w:pStyle w:val="Normal"/></w:pPr>
<w:r><w:t xml:space="preserve">treated by the Assumptionist Father L. Petit in A. Vacant&apos;s</w:t></w:r>
</w:p>
<w:p>
<w:pPr><w:pStyle w:val="Normal"/></w:pPr>
<w:r><w:t xml:space="preserve">Dictionnaire de theologie (Paris, 1900, cols. 830-833).</w:t></w:r>
</w:p>
<w:p>
<w:pPr><w:pStyle w:val="Normal"/></w:pPr>
<w:r><w:t xml:space="preserve">ALLAH, the Arabic name used by Moslems of all nationalities</w:t></w:r>
</w:p>
<w:p>
<w:pPr><w:pStyle w:val="Normal"/></w:pPr>
<w:r><w:t xml:space="preserve">for the one true God. It is compounded of al, the definite</w:t></w:r>
</w:p>
<w:p>
<w:pPr><w:pStyle w:val="Normal"/></w:pPr>
<w:r><w:t xml:space="preserve">article, and ilah, meaning a god.  The same word is</w:t></w:r>
</w:p>
<w:p>
<w:pPr><w:pStyle w:val="Normal"/></w:pPr>
<w:r><w:t xml:space="preserve">found in Hebrew and Aramaic as well as in ancient Arabic</w:t></w:r>
</w:p>
<w:p>
<w:pPr><w:pStyle w:val="Normal"/></w:pPr>
<w:r><w:t xml:space="preserve">(Sabaean).  The meaning of the root from which it is derived</w:t></w:r>
</w:p>
<w:p>
<w:pPr><w:pStyle w:val="Normal"/></w:pPr>
<w:r><w:t xml:space="preserve">is very doubtful; cf.  Lane&apos;s Arabic-English Lexicon, p.</w:t></w:r>
</w:p>
<w:p>
<w:pPr><w:pStyle w:val="Normal"/></w:pPr>
<w:r><w:t xml:space="preserve">82, and the Oxford Hebrew and English Lexicon, pp. 61 ff.</w:t></w:r>
</w:p>
<w:p>
<w:pPr><w:pStyle w:val="Normal"/></w:pPr>
<w:r><w:t xml:space="preserve">ALLAHABAD, a city of British India, the capital of the United</w:t></w:r>
</w:p>
<w:p>
<w:pPr><w:pStyle w:val="Normal"/></w:pPr>
<w:r><w:t xml:space="preserve">Provinces of Agra and Oudh, giving its name to a district and a</w:t></w:r>
</w:p>
<w:p>
<w:pPr><w:pStyle w:val="Normal"/></w:pPr>
<w:r><w:t xml:space="preserve">division.  The city is situated at the confluence of the</w:t></w:r>
</w:p>
<w:p>
<w:pPr><w:pStyle w:val="Normal"/></w:pPr>
<w:r><w:t xml:space="preserve">Ganges and the Jumna in 25 deg.  26&apos; N. lat. and 81 deg.  50&apos; E.</w:t></w:r>
</w:p>
<w:p>
<w:pPr><w:pStyle w:val="Normal"/></w:pPr>
<w:r><w:t xml:space="preserve">long., 564 m. from Calcutta by rail.  Its most conspicuous</w:t></w:r>
</w:p>
<w:p>
<w:pPr><w:pStyle w:val="Normal"/></w:pPr>
<w:r><w:t xml:space="preserve">feature is the fort, which rises directly from the banks of the</w:t></w:r>
</w:p>
<w:p>
<w:pPr><w:pStyle w:val="Normal"/></w:pPr>
<w:r><w:t xml:space="preserve">confluent rivers and completely commands the navigation of both</w:t></w:r>
</w:p>
<w:p>
<w:pPr><w:pStyle w:val="Normal"/></w:pPr>
<w:r><w:t xml:space="preserve">streams.  Within the fort are the remains of a splendid palace,</w:t></w:r>
</w:p>
<w:p>
<w:pPr><w:pStyle w:val="Normal"/></w:pPr>
<w:r><w:t xml:space="preserve">erected by the Emperor Akbar, and once a favourite residence of</w:t></w:r>
</w:p>
<w:p>
<w:pPr><w:pStyle w:val="Normal"/></w:pPr>
<w:r><w:t xml:space="preserve">his.  A great portion of it has been destroyed, and its hall</w:t></w:r>
</w:p>
<w:p>
<w:pPr><w:pStyle w:val="Normal"/></w:pPr>
<w:r><w:t xml:space="preserve">is converted into an arsenal.  Outside the fort the places</w:t></w:r>
</w:p>
<w:p>
<w:pPr><w:pStyle w:val="Normal"/></w:pPr>
<w:r><w:t xml:space="preserve">of most importance are the sarai and gardens of Khasru, the</w:t></w:r>
</w:p>
<w:p>
<w:pPr><w:pStyle w:val="Normal"/></w:pPr>
<w:r><w:t xml:space="preserve">son of the Emperor Jehangir, and the Jama Masjid or Great</w:t></w:r>
</w:p>
<w:p>
<w:pPr><w:pStyle w:val="Normal"/></w:pPr>
<w:r><w:t xml:space="preserve">Mosque.  When the town first came into the hands of the</w:t></w:r>
</w:p>
<w:p>
<w:pPr><w:pStyle w:val="Normal"/></w:pPr>
<w:r><w:t xml:space="preserve">English this mosque was used as a residence by the military</w:t></w:r>
</w:p>
<w:p>
<w:pPr><w:pStyle w:val="Normal"/></w:pPr>
<w:r><w:t xml:space="preserve">officer commanding the station, and afterwards as an assembly</w:t></w:r>
</w:p>
<w:p>
<w:pPr><w:pStyle w:val="Normal"/></w:pPr>
<w:r><w:t xml:space="preserve">room.  Ultimately it was returned to its former owners, but</w:t></w:r>
</w:p>
<w:p>
<w:pPr><w:pStyle w:val="Normal"/></w:pPr>
<w:r><w:t xml:space="preserve">the Mahommedans considered it desecrated, and it has never</w:t></w:r>
</w:p>
<w:p>
<w:pPr><w:pStyle w:val="Normal"/></w:pPr>
<w:r><w:t xml:space="preserve">since been used as a place of worship.  Allahabad (Illahabad)</w:t></w:r>
</w:p>
<w:p>
<w:pPr><w:pStyle w:val="Normal"/></w:pPr>
<w:r><w:t xml:space="preserve">was the name given to the city when Akbar built the great</w:t></w:r>
</w:p>
<w:p>
<w:pPr><w:pStyle w:val="Normal"/></w:pPr>
<w:r><w:t xml:space="preserve">fort.  To the Hindus it is still known by its ancient name</w:t></w:r>
</w:p>
<w:p>
<w:pPr><w:pStyle w:val="Normal"/></w:pPr>
<w:r><w:t xml:space="preserve">of Prag or Prayag (``place of sacrifice&apos;&apos;), and it remains</w:t></w:r>
</w:p>
<w:p>
<w:pPr><w:pStyle w:val="Normal"/></w:pPr>
<w:r><w:t xml:space="preserve">one of the most noted resorts of Hindu pilgrimage.  It owes</w:t></w:r>
</w:p>
<w:p>
<w:pPr><w:pStyle w:val="Normal"/></w:pPr>
<w:r><w:t xml:space="preserve">its sanctity to its being the reputed confluence of three</w:t></w:r>
</w:p>
<w:p>
<w:pPr><w:pStyle w:val="Normal"/></w:pPr>
<w:r><w:t xml:space="preserve">sacred streams--the Ganges, the Jumna and the Saraswati.  This</w:t></w:r>
</w:p>
<w:p>
<w:pPr><w:pStyle w:val="Normal"/></w:pPr>
<w:r><w:t xml:space="preserve">last stream, however, actually loses itself in the sands of</w:t></w:r>
</w:p>
<w:p>
<w:pPr><w:pStyle w:val="Normal"/></w:pPr>
<w:r><w:t xml:space="preserve">Sirhind, 400 m. north-west of Allahabad.  The Hindus assert</w:t></w:r>
</w:p>
<w:p>
<w:pPr><w:pStyle w:val="Normal"/></w:pPr>
<w:r><w:t xml:space="preserve">that the stream joins the other two rivers underground, and</w:t></w:r>
</w:p>
<w:p>
<w:pPr><w:pStyle w:val="Normal"/></w:pPr>
<w:r><w:t xml:space="preserve">in a subterraneous temple below the fort a little moisture</w:t></w:r>
</w:p>
<w:p>
<w:pPr><w:pStyle w:val="Normal"/></w:pPr>
<w:r><w:t xml:space="preserve">trickling from the rocky walls is pointed out as the waters</w:t></w:r>
</w:p>
<w:p>
<w:pPr><w:pStyle w:val="Normal"/></w:pPr>
<w:r><w:t xml:space="preserve">of the Saraswati.  An annual fair is held at Allahabad at</w:t></w:r>
</w:p>
<w:p>
<w:pPr><w:pStyle w:val="Normal"/></w:pPr>
<w:r><w:t xml:space="preserve">the confluence of the streams on the occasion of the great</w:t></w:r>
</w:p>
<w:p>
<w:pPr><w:pStyle w:val="Normal"/></w:pPr>
<w:r><w:t xml:space="preserve">bathing festival at the full moon of the Hindu month of</w:t></w:r>
</w:p>
<w:p>
<w:pPr><w:pStyle w:val="Normal"/></w:pPr>
<w:r><w:t xml:space="preserve">Magh.  It is known as the Magh-mela, lasts for a whole</w:t></w:r>
</w:p>
<w:p>
<w:pPr><w:pStyle w:val="Normal"/></w:pPr>
<w:r><w:t xml:space="preserve">month, and is attended by as many as 250,000 persons in</w:t></w:r>
</w:p>
<w:p>
<w:pPr><w:pStyle w:val="Normal"/></w:pPr>
<w:r><w:t xml:space="preserve">ordinary years, either for religious or commercial purposes.</w:t></w:r>
</w:p>
<w:p>
<w:pPr><w:pStyle w:val="Normal"/></w:pPr>
<w:r><w:t xml:space="preserve">Every twelfth year there is a special occasion called the</w:t></w:r>
</w:p>
<w:p>
<w:pPr><w:pStyle w:val="Normal"/></w:pPr>
<w:r><w:t xml:space="preserve">Kumbh-mela, which is attended by a million of devotees at one</w:t></w:r>
</w:p>
<w:p>
<w:pPr><w:pStyle w:val="Normal"/></w:pPr>
<w:r><w:t xml:space="preserve">time.  Allahabad was taken by the British in 1765 from the</w:t></w:r>
</w:p>
<w:p>
<w:pPr><w:pStyle w:val="Normal"/></w:pPr>
<w:r><w:t xml:space="preserve">wazir of Oudh, and assigned as a residence to Shah Alam,</w:t></w:r>
</w:p>
<w:p>
<w:pPr><w:pStyle w:val="Normal"/></w:pPr>
<w:r><w:t xml:space="preserve">the titular emperor of Delhi.  Upon that prince throwing</w:t></w:r>
</w:p>
<w:p>
<w:pPr><w:pStyle w:val="Normal"/></w:pPr>
<w:r><w:t xml:space="preserve">himself into the hands of the Mahrattas, the place was</w:t></w:r>
</w:p>
<w:p>
<w:pPr><w:pStyle w:val="Normal"/></w:pPr>
<w:r><w:t xml:space="preserve">resumed by the British in 1771 and again transferred to</w:t></w:r>
</w:p>
<w:p>
<w:pPr><w:pStyle w:val="Normal"/></w:pPr>
<w:r><w:t xml:space="preserve">the nawab of Oudh, by whom it was finally ceded together</w:t></w:r>
</w:p>
<w:p>
<w:pPr><w:pStyle w:val="Normal"/></w:pPr>
<w:r><w:t xml:space="preserve">with the district to the British in 1801, in commutation of</w:t></w:r>
</w:p>
<w:p>
<w:pPr><w:pStyle w:val="Normal"/></w:pPr>
<w:r><w:t xml:space="preserve">the subsidy which the wazir had agreed to pay for British</w:t></w:r>
</w:p>
<w:p>
<w:pPr><w:pStyle w:val="Normal"/></w:pPr>
<w:r><w:t xml:space="preserve">protection.  During the Mutiny of 1857, Allahabad became</w:t></w:r>
</w:p>
<w:p>
<w:pPr><w:pStyle w:val="Normal"/></w:pPr>
<w:r><w:t xml:space="preserve">the scene of one of the most serious outbreaks and massacres</w:t></w:r>
</w:p>
<w:p>
<w:pPr><w:pStyle w:val="Normal"/></w:pPr>
<w:r><w:t xml:space="preserve">which occurred in the North-Western Provinces.  The fort was</w:t></w:r>
</w:p>
<w:p>
<w:pPr><w:pStyle w:val="Normal"/></w:pPr>
<w:r><w:t xml:space="preserve">held by a little garrison of Europeans and loyal Sikhs, until</w:t></w:r>
</w:p>
<w:p>
<w:pPr><w:pStyle w:val="Normal"/></w:pPr>
<w:r><w:t xml:space="preserve">it was relieved by General Neill on June 11th of that year.</w:t></w:r>
</w:p>
<w:p>
<w:pPr><w:pStyle w:val="Normal"/></w:pPr>
<w:r><w:t xml:space="preserve">The modern buildings of Allahabad include Government House, the</w:t></w:r>
</w:p>
<w:p>
<w:pPr><w:pStyle w:val="Normal"/></w:pPr>
<w:r><w:t xml:space="preserve">High Court, the Mayo memorial and town hall, the Muir central</w:t></w:r>
</w:p>
<w:p>
<w:pPr><w:pStyle w:val="Normal"/></w:pPr>
<w:r><w:t xml:space="preserve">college, the Thornhill and Mayne memorial library and museum,</w:t></w:r>
</w:p>
<w:p>
<w:pPr><w:pStyle w:val="Normal"/></w:pPr>
<w:r><w:t xml:space="preserve">the Naini central jail, and the Anglican and Roman Catholic</w:t></w:r>
</w:p>
<w:p>
<w:pPr><w:pStyle w:val="Normal"/></w:pPr>
<w:r><w:t xml:space="preserve">cathedrals.  The Jumna is crossed by a railway bridge and</w:t></w:r>
</w:p>
<w:p>
<w:pPr><w:pStyle w:val="Normal"/></w:pPr>
<w:r><w:t xml:space="preserve">there are two bridges of boats over the Ganges.  The military</w:t></w:r>
</w:p>
<w:p>
<w:pPr><w:pStyle w:val="Normal"/></w:pPr>
<w:r><w:t xml:space="preserve">cantonments contain accommodation for all three arms and</w:t></w:r>
</w:p>
<w:p>
<w:pPr><w:pStyle w:val="Normal"/></w:pPr>
<w:r><w:t xml:space="preserve">are the headquarters of a brigade in the 8th division of</w:t></w:r>
</w:p>
<w:p>
<w:pPr><w:pStyle w:val="Normal"/></w:pPr>
<w:r><w:t xml:space="preserve">the eastern army corps.  At Allahabad is published the</w:t></w:r>
</w:p>
<w:p>
<w:pPr><w:pStyle w:val="Normal"/></w:pPr>
<w:r><w:t xml:space="preserve">Pioneer, perhaps the best known English paper in India.</w:t></w:r>
</w:p>
<w:p>
<w:pPr><w:pStyle w:val="Normal"/></w:pPr>
<w:r><w:t xml:space="preserve">There is an American mission college.  Here is the junction</w:t></w:r>
</w:p>
<w:p>
<w:pPr><w:pStyle w:val="Normal"/></w:pPr>
<w:r><w:t xml:space="preserve">of the great railway system which unites Bengal with Central</w:t></w:r>
</w:p>
<w:p>
<w:pPr><w:pStyle w:val="Normal"/></w:pPr>
<w:r><w:t xml:space="preserve">India and Bombay, and is developing into a great centre of</w:t></w:r>
</w:p>
<w:p>
<w:pPr><w:pStyle w:val="Normal"/></w:pPr>
<w:r><w:t xml:space="preserve">1nland and export trade.  The population in 1901 was 172,032.</w:t></w:r>
</w:p>
<w:p>
<w:pPr><w:pStyle w:val="Normal"/></w:pPr>
<w:r><w:t xml:space="preserve">The DISTRICT OF ALLAHABAD has an area of 2811 sq. m.  In</w:t></w:r>
</w:p>
<w:p>
<w:pPr><w:pStyle w:val="Normal"/></w:pPr>
<w:r><w:t xml:space="preserve">shape it is an irregular oblong, and it is very difficult to</w:t></w:r>
</w:p>
<w:p>
<w:pPr><w:pStyle w:val="Normal"/></w:pPr>
<w:r><w:t xml:space="preserve">define its boundaries, as at one extremity it wanders into</w:t></w:r>
</w:p>
<w:p>
<w:pPr><w:pStyle w:val="Normal"/></w:pPr>
<w:r><w:t xml:space="preserve">Oudh, while on the south the villages of the state of Rewa</w:t></w:r>
</w:p>
<w:p>
<w:pPr><w:pStyle w:val="Normal"/></w:pPr>
<w:r><w:t xml:space="preserve">and those of this district are hopelessly intermingled.  The</w:t></w:r>
</w:p>
<w:p>
<w:pPr><w:pStyle w:val="Normal"/></w:pPr>
<w:r><w:t xml:space="preserve">Jumna and the Ganges enclose within their angle a fertile</w:t></w:r>
</w:p>
<w:p>
<w:pPr><w:pStyle w:val="Normal"/></w:pPr>
<w:r><w:t xml:space="preserve">tract well irrigated with tanks and wells.  The East Indian</w:t></w:r>
</w:p>
<w:p>
<w:pPr><w:pStyle w:val="Normal"/></w:pPr>
<w:r><w:t xml:space="preserve">railway and the Grand Trunk road afford the principal means</w:t></w:r>
</w:p>
<w:p>
<w:pPr><w:pStyle w:val="Normal"/></w:pPr>
<w:r><w:t xml:space="preserve">of land communication.  In 1901 the population was 1,489,358,</w:t></w:r>
</w:p>
<w:p>
<w:pPr><w:pStyle w:val="Normal"/></w:pPr>
<w:r><w:t xml:space="preserve">showing a decrease of 4% in the decade due to famine.</w:t></w:r>
</w:p>
<w:p>
<w:pPr><w:pStyle w:val="Normal"/></w:pPr>
<w:r><w:t xml:space="preserve">The division of Allahabad has an area of 17,270 sq. m.  The</w:t></w:r>
</w:p>
<w:p>
<w:pPr><w:pStyle w:val="Normal"/></w:pPr>
<w:r><w:t xml:space="preserve">population in 1901 was 5,540,702, showing a decrease of 4% in the</w:t></w:r>
</w:p>
<w:p>
<w:pPr><w:pStyle w:val="Normal"/></w:pPr>
<w:r><w:t xml:space="preserve">decade due to the famine of 1896-1897, which was severely felt</w:t></w:r>
</w:p>
<w:p>
<w:pPr><w:pStyle w:val="Normal"/></w:pPr>
<w:r><w:t xml:space="preserve">throughout the division.  It comprises the seven districts of</w:t></w:r>
</w:p>
<w:p>
<w:pPr><w:pStyle w:val="Normal"/></w:pPr>
<w:r><w:t xml:space="preserve">Cawnpore, Fatehpur, Banda, Hamirpur, Allahabad, Jhansi and Jalaun.</w:t></w:r>
</w:p>
<w:p>
<w:pPr><w:pStyle w:val="Normal"/></w:pPr>
<w:r><w:t xml:space="preserve">ALLAMANDA, named after J. N. S. Allamand (1713-1787), of</w:t></w:r>
</w:p>
<w:p>
<w:pPr><w:pStyle w:val="Normal"/></w:pPr>
<w:r><w:t xml:space="preserve">Leiden, a genus of shrubby, evergreen climbers, belonging</w:t></w:r>
</w:p>
<w:p>
<w:pPr><w:pStyle w:val="Normal"/></w:pPr>
<w:r><w:t xml:space="preserve">to the natural order Apocynaceae, and a native of tropical</w:t></w:r>
</w:p>
<w:p>
<w:pPr><w:pStyle w:val="Normal"/></w:pPr>
<w:r><w:t xml:space="preserve">America.  Several species are grown in hot-houses for the</w:t></w:r>
</w:p>
<w:p>
<w:pPr><w:pStyle w:val="Normal"/></w:pPr>
<w:r><w:t xml:space="preserve">beauty of their folliage and flowers; the latter, borne in</w:t></w:r>
</w:p>
<w:p>
<w:pPr><w:pStyle w:val="Normal"/></w:pPr>
<w:r><w:t xml:space="preserve">many-flowered panicles, have a funnel-shaped corolla with</w:t></w:r>
</w:p>
<w:p>
<w:pPr><w:pStyle w:val="Normal"/></w:pPr>
<w:r><w:t xml:space="preserve">a narrow tube, and often yellow in colour.  The plants</w:t></w:r>
</w:p>
<w:p>
<w:pPr><w:pStyle w:val="Normal"/></w:pPr>
<w:r><w:t xml:space="preserve">are of comparatively easy culture, and very effective</w:t></w:r>
</w:p>
<w:p>
<w:pPr><w:pStyle w:val="Normal"/></w:pPr>
<w:r><w:t xml:space="preserve">when trained to wires beneath the roof of the house.</w:t></w:r>
</w:p>
<w:p>
<w:pPr><w:pStyle w:val="Normal"/></w:pPr>
<w:r><w:t xml:space="preserve">ALLAN, DAVID (1744-1796), Scottish historical painter,</w:t></w:r>
</w:p>
<w:p>
<w:pPr><w:pStyle w:val="Normal"/></w:pPr>
<w:r><w:t xml:space="preserve">was born at Alloa.  On leaving Foulis&apos;s academy of painting</w:t></w:r>
</w:p>
<w:p>
<w:pPr><w:pStyle w:val="Normal"/></w:pPr>
<w:r><w:t xml:space="preserve">at Glasgow (1762), after seven years&apos; successful study, he</w:t></w:r>
</w:p>
<w:p>
<w:pPr><w:pStyle w:val="Normal"/></w:pPr>
<w:r><w:t xml:space="preserve">obtained the patronage of Lord Cathcart and of Erskine of Mar,</w:t></w:r>
</w:p>
<w:p>
<w:pPr><w:pStyle w:val="Normal"/></w:pPr>
<w:r><w:t xml:space="preserve">on whose estate he had been born.  The latter furnished him</w:t></w:r>
</w:p>
<w:p>
<w:pPr><w:pStyle w:val="Normal"/></w:pPr>
<w:r><w:t xml:space="preserve">with the means of proceeding to Rome (1764), where he remained</w:t></w:r>
</w:p>
<w:p>
<w:pPr><w:pStyle w:val="Normal"/></w:pPr>
<w:r><w:t xml:space="preserve">for a number of years engaged principally in copying the old</w:t></w:r>
</w:p>
<w:p>
<w:pPr><w:pStyle w:val="Normal"/></w:pPr>
<w:r><w:t xml:space="preserve">masters.  Among the original works which he then painted</w:t></w:r>
</w:p>
<w:p>
<w:pPr><w:pStyle w:val="Normal"/></w:pPr>
<w:r><w:t xml:space="preserve">was the ``Origin of Portraiture&apos;&apos;--representing a Corinthian</w:t></w:r>
</w:p>
<w:p>
<w:pPr><w:pStyle w:val="Normal"/></w:pPr>
<w:r><w:t xml:space="preserve">maid drawing her lover&apos;s shadow--well known through Domenico</w:t></w:r>
</w:p>
<w:p>
<w:pPr><w:pStyle w:val="Normal"/></w:pPr>
<w:r><w:t xml:space="preserve">Cunego&apos;s excellent engraving.  This gained for him the gold</w:t></w:r>
</w:p>
<w:p>
<w:pPr><w:pStyle w:val="Normal"/></w:pPr>
<w:r><w:t xml:space="preserve">medal given by the Academy of St Luke in the year 1773 for</w:t></w:r>
</w:p>
<w:p>
<w:pPr><w:pStyle w:val="Normal"/></w:pPr>
<w:r><w:t xml:space="preserve">the best specimen of historical composition.  Returning</w:t></w:r>
</w:p>
<w:p>
<w:pPr><w:pStyle w:val="Normal"/></w:pPr>
<w:r><w:t xml:space="preserve">from Rome in 1777, he resided for a time in London, and</w:t></w:r>
</w:p>
<w:p>
<w:pPr><w:pStyle w:val="Normal"/></w:pPr>
<w:r><w:t xml:space="preserve">occupied himself in portrait-painting.  In 1780 he removed</w:t></w:r>
</w:p>
<w:p>
<w:pPr><w:pStyle w:val="Normal"/></w:pPr>
<w:r><w:t xml:space="preserve">to Edinburgh, where, on the death of Alexander Runciman in</w:t></w:r>
</w:p>
<w:p>
<w:pPr><w:pStyle w:val="Normal"/></w:pPr>
<w:r><w:t xml:space="preserve">1786, he was appointed director and master of the Academy of</w:t></w:r>
</w:p>
<w:p>
<w:pPr><w:pStyle w:val="Normal"/></w:pPr>
<w:r><w:t xml:space="preserve">Arts.  There he painted and etched in aquatint a variety of</w:t></w:r>
</w:p>
<w:p>
<w:pPr><w:pStyle w:val="Normal"/></w:pPr>
<w:r><w:t xml:space="preserve">works, those by which he is best known--as the ``Scotch</w:t></w:r>
</w:p>
<w:p>
<w:pPr><w:pStyle w:val="Normal"/></w:pPr>
<w:r><w:t xml:space="preserve">Wedding,&apos;&apos; the ``Highland Dance,&apos;&apos; the ``Repentance Stool,&apos;&apos;</w:t></w:r>
</w:p>
<w:p>
<w:pPr><w:pStyle w:val="Normal"/></w:pPr>
<w:r><w:t xml:space="preserve">and his ``Illustrations of the Gentle Shepherd&apos;&apos;--being</w:t></w:r>
</w:p>
<w:p>
<w:pPr><w:pStyle w:val="Normal"/></w:pPr>
<w:r><w:t xml:space="preserve">remarkable for their comic humour.  He was called the ``Scottish</w:t></w:r>
</w:p>
<w:p>
<w:pPr><w:pStyle w:val="Normal"/></w:pPr>
<w:r><w:t xml:space="preserve">Hogarth&apos;&apos;; but his drolleries hardly entitle him to this</w:t></w:r>
</w:p>
<w:p>
<w:pPr><w:pStyle w:val="Normal"/></w:pPr>
<w:r><w:t xml:space="preserve">comparison.  Allan died at Edinburgh on the 6th of August 1796.</w:t></w:r>
</w:p>
<w:p>
<w:pPr><w:pStyle w:val="Normal"/></w:pPr>
<w:r><w:t xml:space="preserve">ALLAN, SIR HUGH (1810-1882), Canadian financier, was</w:t></w:r>
</w:p>
<w:p>
<w:pPr><w:pStyle w:val="Normal"/></w:pPr>
<w:r><w:t xml:space="preserve">born on the 29th of September 1810, at Saltcoats, Ayrshire,</w:t></w:r>
</w:p>
<w:p>
<w:pPr><w:pStyle w:val="Normal"/></w:pPr>
<w:r><w:t xml:space="preserve">Scotland, the son of Captain Alexander Allan, a shipmaster.</w:t></w:r>
</w:p>
<w:p>
<w:pPr><w:pStyle w:val="Normal"/></w:pPr>
<w:r><w:t xml:space="preserve">He emigrated to Canada in 1826, and in 1831 entered the</w:t></w:r>
</w:p>
<w:p>
<w:pPr><w:pStyle w:val="Normal"/></w:pPr>
<w:r><w:t xml:space="preserve">employ of the chief shipbuilding and grain-shipping firm of</w:t></w:r>
</w:p>
<w:p>
<w:pPr><w:pStyle w:val="Normal"/></w:pPr>
<w:r><w:t xml:space="preserve">Montreal, of which he became a junior partner in 1835.  In</w:t></w:r>
</w:p>
<w:p>
<w:pPr><w:pStyle w:val="Normal"/></w:pPr>
<w:r><w:t xml:space="preserve">1853 he organized the Allan Line of steamships, plying between</w:t></w:r>
</w:p>
<w:p>
<w:pPr><w:pStyle w:val="Normal"/></w:pPr>
<w:r><w:t xml:space="preserve">Montreal.  Liverpool and Glasgow; till his death he was</w:t></w:r>
</w:p>
<w:p>
<w:pPr><w:pStyle w:val="Normal"/></w:pPr>
<w:r><w:t xml:space="preserve">closely associated with the commercial growth and prosperity</w:t></w:r>
</w:p>
<w:p>
<w:pPr><w:pStyle w:val="Normal"/></w:pPr>
<w:r><w:t xml:space="preserve">of Canada, and in 1871 was knighted in recognition of his</w:t></w:r>
</w:p>
<w:p>
<w:pPr><w:pStyle w:val="Normal"/></w:pPr>
<w:r><w:t xml:space="preserve">services.  In 1872- 1873 he obtained from the Canadian government</w:t></w:r>
</w:p>
<w:p>
<w:pPr><w:pStyle w:val="Normal"/></w:pPr>
<w:r><w:t xml:space="preserve">a charter for building the Canadian Pacific railway, but the</w:t></w:r>
</w:p>
<w:p>
<w:pPr><w:pStyle w:val="Normal"/></w:pPr>
<w:r><w:t xml:space="preserve">disclosures made with reference to his contributions to the</w:t></w:r>
</w:p>
<w:p>
<w:pPr><w:pStyle w:val="Normal"/></w:pPr>
<w:r><w:t xml:space="preserve">funds of the Conservative party led to the Pacific scandal</w:t></w:r>
</w:p>
<w:p>
<w:pPr><w:pStyle w:val="Normal"/></w:pPr>
<w:r><w:t xml:space="preserve">(see CANADA, History), and that company was soon afterwards</w:t></w:r>
</w:p>
<w:p>
<w:pPr><w:pStyle w:val="Normal"/></w:pPr>
<w:r><w:t xml:space="preserve">dissolved.  He died in Edinburgh on the 9th of December 1882.</w:t></w:r>
</w:p>
<w:p>
<w:pPr><w:pStyle w:val="Normal"/></w:pPr>
<w:r><w:t xml:space="preserve">See J. C. Dent, Canadian Portrait Gallery (1881).</w:t></w:r>
</w:p>
<w:p>
<w:pPr><w:pStyle w:val="Normal"/></w:pPr>
<w:r><w:t xml:space="preserve">ALLAN, SIR WILLIAM (1782-1850), Scottish painter, was born at</w:t></w:r>
</w:p>
<w:p>
<w:pPr><w:pStyle w:val="Normal"/></w:pPr>
<w:r><w:t xml:space="preserve">Edinburgh, and at an early age entered as a pupil in the School</w:t></w:r>
</w:p>
<w:p>
<w:pPr><w:pStyle w:val="Normal"/></w:pPr>
<w:r><w:t xml:space="preserve">of Design established in Edinburgh by the Board of Trustees</w:t></w:r>
</w:p>
<w:p>
<w:pPr><w:pStyle w:val="Normal"/></w:pPr>
<w:r><w:t xml:space="preserve">for Arts and Manufactures, where he had as companions, John</w:t></w:r>
</w:p>
<w:p>
<w:pPr><w:pStyle w:val="Normal"/></w:pPr>
<w:r><w:t xml:space="preserve">Wilkie, John Burnet the engraver, and others who afterward</w:t></w:r>
</w:p>
<w:p>
<w:pPr><w:pStyle w:val="Normal"/></w:pPr>
<w:r><w:t xml:space="preserve">distinguished themselves as artists.  Here Allan and Wilkie</w:t></w:r>
</w:p>
<w:p>
<w:pPr><w:pStyle w:val="Normal"/></w:pPr>
<w:r><w:t xml:space="preserve">were placed at the same table, studied the same designs, and</w:t></w:r>
</w:p>
<w:p>
<w:pPr><w:pStyle w:val="Normal"/></w:pPr>
<w:r><w:t xml:space="preserve">contracted a lifelong friendship.  Allan continued his studies</w:t></w:r>
</w:p>
<w:p>
<w:pPr><w:pStyle w:val="Normal"/></w:pPr>
<w:r><w:t xml:space="preserve">for some time in London; but his attempt to establish himself</w:t></w:r>
</w:p>
<w:p>
<w:pPr><w:pStyle w:val="Normal"/></w:pPr>
<w:r><w:t xml:space="preserve">there was unsuccessful, and after exhibiting at the Royal</w:t></w:r>
</w:p>
<w:p>
<w:pPr><w:pStyle w:val="Normal"/></w:pPr>
<w:r><w:t xml:space="preserve">Academy (1805) his first picture, ``A Gipsy Boy and Ass,&apos;&apos;</w:t></w:r>
</w:p>
<w:p>
<w:pPr><w:pStyle w:val="Normal"/></w:pPr>
<w:r><w:t xml:space="preserve">an imitation in style of Opie, he determined, in spite of his</w:t></w:r>
</w:p>
<w:p>
<w:pPr><w:pStyle w:val="Normal"/></w:pPr>
<w:r><w:t xml:space="preserve">scanty resources, to seek his fortune abroad.  He accordingly</w:t></w:r>
</w:p>
<w:p>
<w:pPr><w:pStyle w:val="Normal"/></w:pPr>
<w:r><w:t xml:space="preserve">set out the same year for Russia, but was carried by stress of</w:t></w:r>
</w:p>
<w:p>
<w:pPr><w:pStyle w:val="Normal"/></w:pPr>
<w:r><w:t xml:space="preserve">weather to Memel, where he remained for some time, supporting</w:t></w:r>
</w:p>
<w:p>
<w:pPr><w:pStyle w:val="Normal"/></w:pPr>
<w:r><w:t xml:space="preserve">himself by his pencil.  At last, however, he reached St</w:t></w:r>
</w:p>
<w:p>
<w:pPr><w:pStyle w:val="Normal"/></w:pPr>
<w:r><w:t xml:space="preserve">Petersburg, where the kindness of Sir Alexander Crichton,</w:t></w:r>
</w:p>
<w:p>
<w:pPr><w:pStyle w:val="Normal"/></w:pPr>
<w:r><w:t xml:space="preserve">the court physician, and other friends procured him abundant</w:t></w:r>
</w:p>
<w:p>
<w:pPr><w:pStyle w:val="Normal"/></w:pPr>
<w:r><w:t xml:space="preserve">employment.  By excursions into southern Russia, Turkey,</w:t></w:r>
</w:p>
<w:p>
<w:pPr><w:pStyle w:val="Normal"/></w:pPr>
<w:r><w:t xml:space="preserve">the Crimea and Circassia, he filled his portfolio with vivid</w:t></w:r>
</w:p>
<w:p>
<w:pPr><w:pStyle w:val="Normal"/></w:pPr>
<w:r><w:t xml:space="preserve">sketches, of which he made admirable use in his subsequent</w:t></w:r>
</w:p>
<w:p>
<w:pPr><w:pStyle w:val="Normal"/></w:pPr>
<w:r><w:t xml:space="preserve">pictures.  In 1814 he returned to Edinburgh, and in the two</w:t></w:r>
</w:p>
<w:p>
<w:pPr><w:pStyle w:val="Normal"/></w:pPr>
<w:r><w:t xml:space="preserve">following years exhibited at the Royal Academy ``The Circassian</w:t></w:r>
</w:p>
<w:p>
<w:pPr><w:pStyle w:val="Normal"/></w:pPr>
<w:r><w:t xml:space="preserve">Captives&apos;&apos; and ``Bashkirs tonducting Convicts to Siberia.&apos;&apos;</w:t></w:r>
</w:p>
<w:p>
<w:pPr><w:pStyle w:val="Normal"/></w:pPr>
<w:r><w:t xml:space="preserve">The former picture remained so long unsold, that, thoroughly</w:t></w:r>
</w:p>
<w:p>
<w:pPr><w:pStyle w:val="Normal"/></w:pPr>
<w:r><w:t xml:space="preserve">disheartened, he threatened to retire to Circassia when,</w:t></w:r>
</w:p>
<w:p>
<w:pPr><w:pStyle w:val="Normal"/></w:pPr>
<w:r><w:t xml:space="preserve">through the kindness of Sir Walter Scott, a subscription of</w:t></w:r>
</w:p>
<w:p>
<w:pPr><w:pStyle w:val="Normal"/></w:pPr>
<w:r><w:t xml:space="preserve">1000 guineas was obtained for the picture, which fell by lot</w:t></w:r>
</w:p>
<w:p>
<w:pPr><w:pStyle w:val="Normal"/></w:pPr>
<w:r><w:t xml:space="preserve">into the possession of the earl of Wemyss.  About the same time</w:t></w:r>
</w:p>
<w:p>
<w:pPr><w:pStyle w:val="Normal"/></w:pPr>
<w:r><w:t xml:space="preserve">the Grand Duke Nicholas, afterwards tsar of Russia, visited</w:t></w:r>
</w:p>
<w:p>
<w:pPr><w:pStyle w:val="Normal"/></w:pPr>
<w:r><w:t xml:space="preserve">Edinburgh, and purchased his ``Siberian Exiles&apos;&apos; and ``Haslan</w:t></w:r>
</w:p>
<w:p>
<w:pPr><w:pStyle w:val="Normal"/></w:pPr>
<w:r><w:t xml:space="preserve">Gheray crossing the River Kuban,&apos;&apos; giving a very favourable</w:t></w:r>
</w:p>
<w:p>
<w:pPr><w:pStyle w:val="Normal"/></w:pPr>
<w:r><w:t xml:space="preserve">turn to the fortunes of the painter, whose pictures were now</w:t></w:r>
</w:p>
<w:p>
<w:pPr><w:pStyle w:val="Normal"/></w:pPr>
<w:r><w:t xml:space="preserve">sought for by collectors.  From this time to 1834 he achieved</w:t></w:r>
</w:p>
<w:p>
<w:pPr><w:pStyle w:val="Normal"/></w:pPr>
<w:r><w:t xml:space="preserve">his greatest success and firmly established his fame by the</w:t></w:r>
</w:p>
<w:p>
<w:pPr><w:pStyle w:val="Normal"/></w:pPr>
<w:r><w:t xml:space="preserve">illustration of Scottish history.  His most important works</w:t></w:r>
</w:p>
<w:p>
<w:pPr><w:pStyle w:val="Normal"/></w:pPr>
<w:r><w:t xml:space="preserve">of this class were ``Archbishop Sharpe on Magus Moor&apos;&apos;; ``John</w:t></w:r>
</w:p>
<w:p>
<w:pPr><w:pStyle w:val="Normal"/></w:pPr>
<w:r><w:t xml:space="preserve">Knox admonishing Mary Queen of Scots&apos;&apos; (1823), engraved by</w:t></w:r>
</w:p>
<w:p>
<w:pPr><w:pStyle w:val="Normal"/></w:pPr>
<w:r><w:t xml:space="preserve">Burnet; ``Mary Queen of Scots signing her Abdication&apos;&apos; (1824);</w:t></w:r>
</w:p>
<w:p>
<w:pPr><w:pStyle w:val="Normal"/></w:pPr>
<w:r><w:t xml:space="preserve">and ``Regent Murray shot by Hamilton of Bothwellhaugh.&apos;&apos;</w:t></w:r>
</w:p>
<w:p>
<w:pPr><w:pStyle w:val="Normal"/></w:pPr>
<w:r><w:t xml:space="preserve">The last procured his election as an associate of the Royal</w:t></w:r>
</w:p>
<w:p>
<w:pPr><w:pStyle w:val="Normal"/></w:pPr>
<w:r><w:t xml:space="preserve">Academy (1825).  Later Scottish subjects were ``Lord Byron&apos;&apos;</w:t></w:r>
</w:p>
<w:p>
<w:pPr><w:pStyle w:val="Normal"/></w:pPr>
<w:r><w:t xml:space="preserve">(1831), portraits of Scott and ``The Orphan&apos;&apos; (1834), which</w:t></w:r>
</w:p>
<w:p>
<w:pPr><w:pStyle w:val="Normal"/></w:pPr>
<w:r><w:t xml:space="preserve">represented Anne Scott seated near the chair of her deceased</w:t></w:r>
</w:p>
<w:p>
<w:pPr><w:pStyle w:val="Normal"/></w:pPr>
<w:r><w:t xml:space="preserve">father.  In 1830 he was compelled, on account of an attack of</w:t></w:r>
</w:p>
<w:p>
<w:pPr><w:pStyle w:val="Normal"/></w:pPr>
<w:r><w:t xml:space="preserve">ophthalmia, to seek a milder climate, and visited Rome, Naples and</w:t></w:r>
</w:p>
<w:p>
<w:pPr><w:pStyle w:val="Normal"/></w:pPr>
<w:r><w:t xml:space="preserve">Constantinople.  He returned with a rich store of materials,</w:t></w:r>
</w:p>
<w:p>
<w:pPr><w:pStyle w:val="Normal"/></w:pPr>
<w:r><w:t xml:space="preserve">of which he made excellent use in his ``Constantinople Slave</w:t></w:r>
</w:p>
<w:p>
<w:pPr><w:pStyle w:val="Normal"/></w:pPr>
<w:r><w:t xml:space="preserve">Market&apos;&apos; and other productions.  In 1834 he visited Spain and</w:t></w:r>
</w:p>
<w:p>
<w:pPr><w:pStyle w:val="Normal"/></w:pPr>
<w:r><w:t xml:space="preserve">Morocco, and in 1841 went again to St Petersburg, when he</w:t></w:r>
</w:p>
<w:p>
<w:pPr><w:pStyle w:val="Normal"/></w:pPr>
<w:r><w:t xml:space="preserve">undertook, at the request of the tsar, his ``Peter the Great</w:t></w:r>
</w:p>
<w:p>
<w:pPr><w:pStyle w:val="Normal"/></w:pPr>
<w:r><w:t xml:space="preserve">teaching his Subjects the Art of Shipbuilding,&apos;&apos; exhibited</w:t></w:r>
</w:p>
<w:p>
<w:pPr><w:pStyle w:val="Normal"/></w:pPr>
<w:r><w:t xml:space="preserve">in London in 1845, and now in the Winter Palace of St</w:t></w:r>
</w:p>
<w:p>
<w:pPr><w:pStyle w:val="Normal"/></w:pPr>
<w:r><w:t xml:space="preserve">Petersburg.  His ``Polish Exiles&apos;&apos; and ``Moorish Love-letter,&apos;&apos;</w:t></w:r>
</w:p>
<w:p>
<w:pPr><w:pStyle w:val="Normal"/></w:pPr>
<w:r><w:t xml:space="preserve">&amp;c., had secured his election as a Royal Academician in 1835;</w:t></w:r>
</w:p>
<w:p>
<w:pPr><w:pStyle w:val="Normal"/></w:pPr>
<w:r><w:t xml:space="preserve">he was appointed president of the Royal Scottish Academy</w:t></w:r>
</w:p>
<w:p>
<w:pPr><w:pStyle w:val="Normal"/></w:pPr>
<w:r><w:t xml:space="preserve">(1838), and royal limner for Scotland, after Wilkie&apos;s death</w:t></w:r>
</w:p>
<w:p>
<w:pPr><w:pStyle w:val="Normal"/></w:pPr>
<w:r><w:t xml:space="preserve">(1841); and in 1842 received the honour of knighthood.  His</w:t></w:r>
</w:p>
<w:p>
<w:pPr><w:pStyle w:val="Normal"/></w:pPr>
<w:r><w:t xml:space="preserve">later years were occupied with battle-pieces, the last he</w:t></w:r>
</w:p>
<w:p>
<w:pPr><w:pStyle w:val="Normal"/></w:pPr>
<w:r><w:t xml:space="preserve">finished being the second of his two companion pictures of the</w:t></w:r>
</w:p>
<w:p>
<w:pPr><w:pStyle w:val="Normal"/></w:pPr>
<w:r><w:t xml:space="preserve">``Battle of Waterloo.&apos;&apos; He died on the 22nd of February 1850,</w:t></w:r>
</w:p>
<w:p>
<w:pPr><w:pStyle w:val="Normal"/></w:pPr>
<w:r><w:t xml:space="preserve">leaving a large unfinished picture--``Bruce at Bannockburn.&apos;&apos;</w:t></w:r>
</w:p>
<w:p>
<w:pPr><w:pStyle w:val="Normal"/></w:pPr>
<w:r><w:t xml:space="preserve">ALHAN-DESPREAUX, LOUISE ROSALIE (1810-1856), French</w:t></w:r>
</w:p>
<w:p>
<w:pPr><w:pStyle w:val="Normal"/></w:pPr>
<w:r><w:t xml:space="preserve">actress, was ``discovered&apos;&apos; by Talma at Brussels in 1820, when</w:t></w:r>
</w:p>
<w:p>
<w:pPr><w:pStyle w:val="Normal"/></w:pPr>
<w:r><w:t xml:space="preserve">she played Joas with him in Athalie. At his suggestion she</w:t></w:r>
</w:p>
<w:p>
<w:pPr><w:pStyle w:val="Normal"/></w:pPr>
<w:r><w:t xml:space="preserve">changed her surname, Ross, for her mother&apos;s maiden name, and, as</w:t></w:r>
</w:p>
<w:p>
<w:pPr><w:pStyle w:val="Normal"/></w:pPr>
<w:r><w:t xml:space="preserve">Mlle.  Despreaux, was engaged for children&apos;s parts at the</w:t></w:r>
</w:p>
<w:p>
<w:pPr><w:pStyle w:val="Normal"/></w:pPr>
<w:r><w:t xml:space="preserve">Comedie Francaise.  At the same time she studied at the</w:t></w:r>
</w:p>
<w:p>
<w:pPr><w:pStyle w:val="Normal"/></w:pPr>
<w:r><w:t xml:space="preserve">Conservatoire.  By 1825 she had taken the second prize for</w:t></w:r>
</w:p>
<w:p>
<w:pPr><w:pStyle w:val="Normal"/></w:pPr>
<w:r><w:t xml:space="preserve">comedy, and was engaged to play inigenue parts at the Comeedie</w:t></w:r>
</w:p>
<w:p>
<w:pPr><w:pStyle w:val="Normal"/></w:pPr>
<w:r><w:t xml:space="preserve">Francaise, where her first appearance in this capacity was as</w:t></w:r>
</w:p>
<w:p>
<w:pPr><w:pStyle w:val="Normal"/></w:pPr>
<w:r><w:t xml:space="preserve">Jenny in L&apos;Argent on the 8th of December 1826.  In 1831 the</w:t></w:r>
</w:p>
<w:p>
<w:pPr><w:pStyle w:val="Normal"/></w:pPr>
<w:r><w:t xml:space="preserve">director of the Gymnase succeeded in persuading her to join his</w:t></w:r>
</w:p>
<w:p>
<w:pPr><w:pStyle w:val="Normal"/></w:pPr>
<w:r><w:t xml:space="preserve">company.  Her six years at this theatre, during which she</w:t></w:r>
</w:p>
<w:p>
<w:pPr><w:pStyle w:val="Normal"/></w:pPr>
<w:r><w:t xml:space="preserve">married Allan, an actor in the company, were a succession of</w:t></w:r>
</w:p>
<w:p>
<w:pPr><w:pStyle w:val="Normal"/></w:pPr>
<w:r><w:t xml:space="preserve">triumphs.  She was then engaged at the French theatre at St</w:t></w:r>
</w:p>
<w:p>
<w:pPr><w:pStyle w:val="Normal"/></w:pPr>
<w:r><w:t xml:space="preserve">Petersburg.  Returning to Paris, she brought with her, as</w:t></w:r>
</w:p>
<w:p>
<w:pPr><w:pStyle w:val="Normal"/></w:pPr>
<w:r><w:t xml:space="preserve">Legouve says, a thing she had unearthed, through a Russian</w:t></w:r>
</w:p>
<w:p>
<w:pPr><w:pStyle w:val="Normal"/></w:pPr>
<w:r><w:t xml:space="preserve">translation, a little comedy never acted till she took it up,</w:t></w:r>
</w:p>
<w:p>
<w:pPr><w:pStyle w:val="Normal"/></w:pPr>
<w:r><w:t xml:space="preserve">a production half-forgotten, and esteemed by those who knew it</w:t></w:r>
</w:p>
<w:p>
<w:pPr><w:pStyle w:val="Normal"/></w:pPr>
<w:r><w:t xml:space="preserve">as a pleasing piece of work in the Marivaux style--Un Caprice</w:t></w:r>
</w:p>
<w:p>
<w:pPr><w:pStyle w:val="Normal"/></w:pPr>
<w:r><w:t xml:space="preserve">by Alfred de Musset, which she had played with success in St</w:t></w:r>
</w:p>
<w:p>
<w:pPr><w:pStyle w:val="Normal"/></w:pPr>
<w:r><w:t xml:space="preserve">Petersburg.  Her selection of this piece for her reappearance</w:t></w:r>
</w:p>
<w:p>
<w:pPr><w:pStyle w:val="Normal"/></w:pPr>
<w:r><w:t xml:space="preserve">at the Theatre Francaise (1847) laid the corner-stone</w:t></w:r>
</w:p>
<w:p>
<w:pPr><w:pStyle w:val="Normal"/></w:pPr>
<w:r><w:t xml:space="preserve">of Musset&apos;s lasting fame as a dramatist.  In the following</w:t></w:r>
</w:p>
<w:p>
<w:pPr><w:pStyle w:val="Normal"/></w:pPr>
<w:r><w:t xml:space="preserve">year his comedy Il ne faut jurer de rien was acted at the</w:t></w:r>
</w:p>
<w:p>
<w:pPr><w:pStyle w:val="Normal"/></w:pPr>
<w:r><w:t xml:space="preserve">same theatre, and thus led to the production of his finer</w:t></w:r>
</w:p>
<w:p>
<w:pPr><w:pStyle w:val="Normal"/></w:pPr>
<w:r><w:t xml:space="preserve">plays.  Among plays by other authors in which Mme. Allan won</w:t></w:r>
</w:p>
<w:p>
<w:pPr><w:pStyle w:val="Normal"/></w:pPr>
<w:r><w:t xml:space="preserve">special laurels at the Theatre Francaise. were Par droit</w:t></w:r>
</w:p>
<w:p>
<w:pPr><w:pStyle w:val="Normal"/></w:pPr>
<w:r><w:t xml:space="preserve">de conquete, Peril en la demeure, La joie fait peur,</w:t></w:r>
</w:p>
<w:p>
<w:pPr><w:pStyle w:val="Normal"/></w:pPr>
<w:r><w:t xml:space="preserve">and Lady Tartuffe. In the last, with a part of only fifty</w:t></w:r>
</w:p>
<w:p>
<w:pPr><w:pStyle w:val="Normal"/></w:pPr>
<w:r><w:t xml:space="preserve">lines, and playing by the very side of the great Rachel, she</w:t></w:r>
</w:p>
<w:p>
<w:pPr><w:pStyle w:val="Normal"/></w:pPr>
<w:r><w:t xml:space="preserve">yet held her own as an actress of the first rank.  Mme. Allan</w:t></w:r>
</w:p>
<w:p>
<w:pPr><w:pStyle w:val="Normal"/></w:pPr>
<w:r><w:t xml:space="preserve">died in Paris, in the height of her popularity, in March 1856.</w:t></w:r>
</w:p>
<w:p>
<w:pPr><w:pStyle w:val="Normal"/></w:pPr>
<w:r><w:t xml:space="preserve">/NH-CH-NH-CO-NH2 ALLANTOIN, C4H6N4O3 or CO |</w:t></w:r>
</w:p>
<w:p>
<w:pPr><w:pStyle w:val="Normal"/></w:pPr>
<w:r><w:t xml:space="preserve">\NH-CO</w:t></w:r>
</w:p>
<w:p>
<w:pPr><w:pStyle w:val="Normal"/></w:pPr>
<w:r><w:t xml:space="preserve">the diureide of glyoxylic acid.  It is found in the allantoic</w:t></w:r>
</w:p>
<w:p>
<w:pPr><w:pStyle w:val="Normal"/></w:pPr>
<w:r><w:t xml:space="preserve">liquid of the cow, and in the urine of sucking calves.  It</w:t></w:r>
</w:p>
<w:p>
<w:pPr><w:pStyle w:val="Normal"/></w:pPr>
<w:r><w:t xml:space="preserve">can be obtained by the oxidation of uric acid by means of lead</w:t></w:r>
</w:p>
<w:p>
<w:pPr><w:pStyle w:val="Normal"/></w:pPr>
<w:r><w:t xml:space="preserve">dioxide, manganese dioxide, ozone or potassium permanganate:</w:t></w:r>
</w:p>
<w:p>
<w:pPr><w:pStyle w:val="Normal"/></w:pPr>
<w:r><w:t xml:space="preserve">C5H4N4O3 + H2O + O = C4H6N4O3 + CO2.</w:t></w:r>
</w:p>
<w:p>
<w:pPr><w:pStyle w:val="Normal"/></w:pPr>
<w:r><w:t xml:space="preserve">It has been synthesized by E. Grimaux by heating one part of</w:t></w:r>
</w:p>
<w:p>
<w:pPr><w:pStyle w:val="Normal"/></w:pPr>
<w:r><w:t xml:space="preserve">glyoxylic acid with two parts of urea for ten hours at 100 deg.</w:t></w:r>
</w:p>
<w:p>
<w:pPr><w:pStyle w:val="Normal"/></w:pPr>
<w:r><w:t xml:space="preserve">C.: 2CO(NH2)2 + CH(OH)2COOH = 3H2O + C4H6N4O3.  It</w:t></w:r>
</w:p>
<w:p>
<w:pPr><w:pStyle w:val="Normal"/></w:pPr>
<w:r><w:t xml:space="preserve">forms glancing prisms of neutral reaction slightly soluble in</w:t></w:r>
</w:p>
<w:p>
<w:pPr><w:pStyle w:val="Normal"/></w:pPr>
<w:r><w:t xml:space="preserve">water.  On standing with concentrated potassium hydroxide solution</w:t></w:r>
</w:p>
<w:p>
<w:pPr><w:pStyle w:val="Normal"/></w:pPr>
<w:r><w:t xml:space="preserve">it gives potassium allantoate C4H7N4O4K.  On heating with</w:t></w:r>
</w:p>
<w:p>
<w:pPr><w:pStyle w:val="Normal"/></w:pPr>
<w:r><w:t xml:space="preserve">water it undergoes hydrolysis into urea and allanturic acid</w:t></w:r>
</w:p>
<w:p>
<w:pPr><w:pStyle w:val="Normal"/></w:pPr>
<w:r><w:t xml:space="preserve">C3H4O3N2.  It is reduced by sodium amalgam to glycouril</w:t></w:r>
</w:p>
<w:p>
<w:pPr><w:pStyle w:val="Normal"/></w:pPr>
<w:r><w:t xml:space="preserve">C4H6N4O2, whilst with hydriodic acid it yields urea and hydantoin</w:t></w:r>
</w:p>
<w:p>
<w:pPr><w:pStyle w:val="Normal"/></w:pPr>
<w:r><w:t xml:space="preserve">C3H4N2O2.  Hot concentrated sulphuric acid also decomposes</w:t></w:r>
</w:p>
<w:p>
<w:pPr><w:pStyle w:val="Normal"/></w:pPr>
<w:r><w:t xml:space="preserve">allantoin, with production of ammonia, and carbon monoxide and</w:t></w:r>
</w:p>
<w:p>
<w:pPr><w:pStyle w:val="Normal"/></w:pPr>
<w:r><w:t xml:space="preserve">dioxide.  By dry distillation it gives ammonium cyanide.</w:t></w:r>
</w:p>
<w:p>
<w:pPr><w:pStyle w:val="Normal"/></w:pPr>
<w:r><w:t xml:space="preserve">ALLEGHANY, or THE ALLEGHANIES (a spelling now more common</w:t></w:r>
</w:p>
<w:p>
<w:pPr><w:pStyle w:val="Normal"/></w:pPr>
<w:r><w:t xml:space="preserve">than Allegheny), a name formerly used of all the Appalachian</w:t></w:r>
</w:p>
<w:p>
<w:pPr><w:pStyle w:val="Normal"/></w:pPr>
<w:r><w:t xml:space="preserve">Mountains (q.v.), U.S.A., and now sometimes of all that</w:t></w:r>
</w:p>
<w:p>
<w:pPr><w:pStyle w:val="Normal"/></w:pPr>
<w:r><w:t xml:space="preserve">system lying W. and S. of the Hudson river, being steep</w:t></w:r>
</w:p>
<w:p>
<w:pPr><w:pStyle w:val="Normal"/></w:pPr>
<w:r><w:t xml:space="preserve">and narrow-crested in Pennsylvania (1500-1800 ft.), and in</w:t></w:r>
</w:p>
<w:p>
<w:pPr><w:pStyle w:val="Normal"/></w:pPr>
<w:r><w:t xml:space="preserve">Maryland, Virginia and West Virginia higher (3000 ft.-4473</w:t></w:r>
</w:p>
<w:p>
<w:pPr><w:pStyle w:val="Normal"/></w:pPr>
<w:r><w:t xml:space="preserve">ft). and with broader crests.  Another usage applies to</w:t></w:r>
</w:p>
<w:p>
<w:pPr><w:pStyle w:val="Normal"/></w:pPr>
<w:r><w:t xml:space="preserve">the ridges ( ``the Alleghany Ridges&apos;&apos;) parallel to the Blue</w:t></w:r>
</w:p>
<w:p>
<w:pPr><w:pStyle w:val="Normal"/></w:pPr>
<w:r><w:t xml:space="preserve">Ridge; the north-western part of this region is sometimes</w:t></w:r>
</w:p>
<w:p>
<w:pPr><w:pStyle w:val="Normal"/></w:pPr>
<w:r><w:t xml:space="preserve">called the Alleghany Front or the Front of the Alleghany</w:t></w:r>
</w:p>
<w:p>
<w:pPr><w:pStyle w:val="Normal"/></w:pPr>
<w:r><w:t xml:space="preserve">Plateau.  The Alleghany Plateau is the north-westernmost</w:t></w:r>
</w:p>
<w:p>
<w:pPr><w:pStyle w:val="Normal"/></w:pPr>
<w:r><w:t xml:space="preserve">division of the Appalachian system; it is an eroded mass of</w:t></w:r>
</w:p>
<w:p>
<w:pPr><w:pStyle w:val="Normal"/></w:pPr>
<w:r><w:t xml:space="preserve">sedimentary rock sloping north-westward to the Prairie and</w:t></w:r>
</w:p>
<w:p>
<w:pPr><w:pStyle w:val="Normal"/></w:pPr>
<w:r><w:t xml:space="preserve">Lake Plains and reaching south-west from the south-western</w:t></w:r>
</w:p>
<w:p>
<w:pPr><w:pStyle w:val="Heading1"/></w:pPr>
<w:r><w:t>part of New York state through Tennessee and into Alabama.</w:t></w:r>
</w:p>
<w:p>
<w:pPr><w:pStyle w:val="Normal"/></w:pPr>
<w:r><w:t xml:space="preserve">ALLEGHENY, formerly a city of Allegheny county, Pennsylvania,</w:t></w:r>
</w:p>
<w:p>
<w:pPr><w:pStyle w:val="Normal"/></w:pPr>
<w:r><w:t xml:space="preserve">U.S.A., on the N. bank of the Allegheny and Ohio rivers.</w:t></w:r>
</w:p>
<w:p>
<w:pPr><w:pStyle w:val="Normal"/></w:pPr>
<w:r><w:t xml:space="preserve">opposite Pittsburg; since 1907 a part of Pittsburg.</w:t></w:r>
</w:p>
<w:p>
<w:pPr><w:pStyle w:val="Normal"/></w:pPr>
<w:r><w:t xml:space="preserve">Pop. (1890) 105,287; (1900) 129,896, of whom 30,216 were</w:t></w:r>
</w:p>
<w:p>
<w:pPr><w:pStyle w:val="Normal"/></w:pPr>
<w:r><w:t xml:space="preserve">foreign-born and 3315 were negroes; of the foreign-born 12,022</w:t></w:r>
</w:p>
<w:p>
<w:pPr><w:pStyle w:val="Normal"/></w:pPr>
<w:r><w:t xml:space="preserve">were from Germany, 5070 from Ireland, 3929 from Austria, and</w:t></w:r>
</w:p>
<w:p>
<w:pPr><w:pStyle w:val="Normal"/></w:pPr>
<w:r><w:t xml:space="preserve">2177 from England; (1906, estimate) 145,240.  Allegheny is</w:t></w:r>
</w:p>
<w:p>
<w:pPr><w:pStyle w:val="Normal"/></w:pPr>
<w:r><w:t xml:space="preserve">served by the Baltimore &amp; Ohio and the Pittsburg &amp; Western</w:t></w:r>
</w:p>
<w:p>
<w:pPr><w:pStyle w:val="Normal"/></w:pPr>
<w:r><w:t xml:space="preserve">railways, by the Pittsburg, Ft. Wayne &amp; Chicago, the Western</w:t></w:r>
</w:p>
<w:p>
<w:pPr><w:pStyle w:val="Normal"/></w:pPr>
<w:r><w:t xml:space="preserve">Pennsylvania, the Buffalo &amp; Allegheny Valley, the Cleveland &amp;</w:t></w:r>
</w:p>
<w:p>
<w:pPr><w:pStyle w:val="Normal"/></w:pPr>
<w:r><w:t xml:space="preserve">Pittsburg, the Erie &amp; Pittsburg, the Pittsburg, Youngstown &amp;</w:t></w:r>
</w:p>
<w:p>
<w:pPr><w:pStyle w:val="Normal"/></w:pPr>
<w:r><w:t xml:space="preserve">Ashtabula, and the Chautauqua divisions of the Pennsylvania</w:t></w:r>
</w:p>
<w:p>
<w:pPr><w:pStyle w:val="Normal"/></w:pPr>
<w:r><w:t xml:space="preserve">railway system, and by Ohio river freight and passenger</w:t></w:r>
</w:p>
<w:p>
<w:pPr><w:pStyle w:val="Normal"/></w:pPr>
<w:r><w:t xml:space="preserve">boats.  Extending along the river fronts for about 6 1/2 m.</w:t></w:r>
</w:p>
<w:p>
<w:pPr><w:pStyle w:val="Normal"/></w:pPr>
<w:r><w:t xml:space="preserve">are numerous large manufactories and the headquarters of</w:t></w:r>
</w:p>
<w:p>
<w:pPr><w:pStyle w:val="Normal"/></w:pPr>
<w:r><w:t xml:space="preserve">the shipping interests; farther back are the mercantile</w:t></w:r>
</w:p>
<w:p>
<w:pPr><w:pStyle w:val="Normal"/></w:pPr>
<w:r><w:t xml:space="preserve">quarters and public buildings; and on the hills beyond are</w:t></w:r>
</w:p>
<w:p>
<w:pPr><w:pStyle w:val="Normal"/></w:pPr>
<w:r><w:t xml:space="preserve">the residence districts, commanding extensive views of the</w:t></w:r>
</w:p>
<w:p>
<w:pPr><w:pStyle w:val="Normal"/></w:pPr>
<w:r><w:t xml:space="preserve">valley.  Two of the principal thoroughfares, Federal and Ohio</w:t></w:r>
</w:p>
<w:p>
<w:pPr><w:pStyle w:val="Normal"/></w:pPr>
<w:r><w:t xml:space="preserve">streets, intersect at a central square, in which are the city</w:t></w:r>
</w:p>
<w:p>
<w:pPr><w:pStyle w:val="Normal"/></w:pPr>
<w:r><w:t xml:space="preserve">hall, public library, post office and the marketplace; and</w:t></w:r>
</w:p>
<w:p>
<w:pPr><w:pStyle w:val="Normal"/></w:pPr>
<w:r><w:t xml:space="preserve">surrounding the main business section on the E., N. and W.</w:t></w:r>
</w:p>
<w:p>
<w:pPr><w:pStyle w:val="Normal"/></w:pPr>
<w:r><w:t xml:space="preserve">is City Park of 100 acres, with lakes and fountains, and</w:t></w:r>
</w:p>
<w:p>
<w:pPr><w:pStyle w:val="Normal"/></w:pPr>
<w:r><w:t xml:space="preserve">monuments to the memory of Alexander von Humboldt, George</w:t></w:r>
</w:p>
<w:p>
<w:pPr><w:pStyle w:val="Normal"/></w:pPr>
<w:r><w:t xml:space="preserve">Washington and T. A. Armstrong.  Farther out is Riverview</w:t></w:r>
</w:p>
<w:p>
<w:pPr><w:pStyle w:val="Normal"/></w:pPr>
<w:r><w:t xml:space="preserve">Park (219 acres), in which is the Allegheny Astronomical</w:t></w:r>
</w:p>
<w:p>
<w:pPr><w:pStyle w:val="Normal"/></w:pPr>
<w:r><w:t xml:space="preserve">Observatory, and elsewhere are a soldiers&apos; monument and a</w:t></w:r>
</w:p>
<w:p>
<w:pPr><w:pStyle w:val="Normal"/></w:pPr>
<w:r><w:t xml:space="preserve">monument (erected by Andrew Carnegie) in memory of Colonel Johnes</w:t></w:r>
</w:p>
<w:p>
<w:pPr><w:pStyle w:val="Normal"/></w:pPr>
<w:r><w:t xml:space="preserve">Anderson.  In Allegheny are the following institutions of</w:t></w:r>
</w:p>
<w:p>
<w:pPr><w:pStyle w:val="Normal"/></w:pPr>
<w:r><w:t xml:space="preserve">higher learning:--the Allegheny Theological Seminary (United</w:t></w:r>
</w:p>
<w:p>
<w:pPr><w:pStyle w:val="Normal"/></w:pPr>
<w:r><w:t xml:space="preserve">Presbyterian), opened in 1825; the Western Theological</w:t></w:r>
</w:p>
<w:p>
<w:pPr><w:pStyle w:val="Normal"/></w:pPr>
<w:r><w:t xml:space="preserve">Seminary of the Presbyterian Church, opened in 1827; and</w:t></w:r>
</w:p>
<w:p>
<w:pPr><w:pStyle w:val="Normal"/></w:pPr>
<w:r><w:t xml:space="preserve">the Theological Seminary of the Reformed Presbyterians,</w:t></w:r>
</w:p>
<w:p>
<w:pPr><w:pStyle w:val="Normal"/></w:pPr>
<w:r><w:t xml:space="preserve">opened in 1856.  There is a fine Carnegie library with a</w:t></w:r>
</w:p>
<w:p>
<w:pPr><w:pStyle w:val="Normal"/></w:pPr>
<w:r><w:t xml:space="preserve">music-hall.  Among penal and charitable institutions are the</w:t></w:r>
</w:p>
<w:p>
<w:pPr><w:pStyle w:val="Normal"/></w:pPr>
<w:r><w:t xml:space="preserve">Riverside State Penitentiary, three hospitals, three homes</w:t></w:r>
</w:p>
<w:p>
<w:pPr><w:pStyle w:val="Normal"/></w:pPr>
<w:r><w:t xml:space="preserve">for orphans, a home for the friendless and an industrial</w:t></w:r>
</w:p>
<w:p>
<w:pPr><w:pStyle w:val="Normal"/></w:pPr>
<w:r><w:t xml:space="preserve">school.  Six bridges spanning the river and electric lines</w:t></w:r>
</w:p>
<w:p>
<w:pPr><w:pStyle w:val="Normal"/></w:pPr>
<w:r><w:t xml:space="preserve">crossing them have brought Allegheny into close industrial and</w:t></w:r>
</w:p>
<w:p>
<w:pPr><w:pStyle w:val="Normal"/></w:pPr>
<w:r><w:t xml:space="preserve">social relations with the main part of Pittsburg, and on the</w:t></w:r>
</w:p>
<w:p>
<w:pPr><w:pStyle w:val="Normal"/></w:pPr>
<w:r><w:t xml:space="preserve">hills of Allegheny are beautiful homes of wealthy men.  As a</w:t></w:r>
</w:p>
<w:p>
<w:pPr><w:pStyle w:val="Normal"/></w:pPr>
<w:r><w:t xml:space="preserve">manufacturing centre Allegheny was outranked in 1905 by only</w:t></w:r>
</w:p>
<w:p>
<w:pPr><w:pStyle w:val="Normal"/></w:pPr>
<w:r><w:t xml:space="preserve">two cities in the state--Philadelphia and Pittsburg; among</w:t></w:r>
</w:p>
<w:p>
<w:pPr><w:pStyle w:val="Normal"/></w:pPr>
<w:r><w:t xml:space="preserve">the more important of its large variety of manufactures are</w:t></w:r>
</w:p>
<w:p>
<w:pPr><w:pStyle w:val="Normal"/></w:pPr>
<w:r><w:t xml:space="preserve">the products of slaughtering and meat-packing establishments,</w:t></w:r>
</w:p>
<w:p>
<w:pPr><w:pStyle w:val="Normal"/></w:pPr>
<w:r><w:t xml:space="preserve">iron and steel rolling mills, the products of foundries and</w:t></w:r>
</w:p>
<w:p>
<w:pPr><w:pStyle w:val="Normal"/></w:pPr>
<w:r><w:t xml:space="preserve">machine- shops, pickles, preserves and sauces, the products of</w:t></w:r>
</w:p>
<w:p>
<w:pPr><w:pStyle w:val="Normal"/></w:pPr>
<w:r><w:t xml:space="preserve">railway- construction and repair shops, locomotives, structural</w:t></w:r>
</w:p>
<w:p>
<w:pPr><w:pStyle w:val="Normal"/></w:pPr>
<w:r><w:t xml:space="preserve">iron and plumbers&apos; supplies.  In 1905 the total value of</w:t></w:r>
</w:p>
<w:p>
<w:pPr><w:pStyle w:val="Normal"/></w:pPr>
<w:r><w:t xml:space="preserve">Allegheny&apos;s factory products was $45,830,272; this showed an</w:t></w:r>
</w:p>
<w:p>
<w:pPr><w:pStyle w:val="Normal"/></w:pPr>
<w:r><w:t xml:space="preserve">apparent decrease (exceeded by one city only) of $7,365,106,</w:t></w:r>
</w:p>
<w:p>
<w:pPr><w:pStyle w:val="Normal"/></w:pPr>
<w:r><w:t xml:space="preserve">from the product-value of 1900, but the decrease was partly</w:t></w:r>
</w:p>
<w:p>
<w:pPr><w:pStyle w:val="Normal"/></w:pPr>
<w:r><w:t xml:space="preserve">due to the more careful census of 1905, in which there were not</w:t></w:r>
</w:p>
<w:p>
<w:pPr><w:pStyle w:val="Normal"/></w:pPr>
<w:r><w:t xml:space="preserve">the duplications or certain items which occurred in the 1900</w:t></w:r>
</w:p>
<w:p>
<w:pPr><w:pStyle w:val="Normal"/></w:pPr>
<w:r><w:t xml:space="preserve">census.  But in the live years there was a decrease of 3865</w:t></w:r>
</w:p>
<w:p>
<w:pPr><w:pStyle w:val="Normal"/></w:pPr>
<w:r><w:t xml:space="preserve">in the average number of wage-earners, and the iron and</w:t></w:r>
</w:p>
<w:p>
<w:pPr><w:pStyle w:val="Normal"/></w:pPr>
<w:r><w:t xml:space="preserve">steel output was much less.  In 1905 Allegheny ranked first</w:t></w:r>
</w:p>
<w:p>
<w:pPr><w:pStyle w:val="Normal"/></w:pPr>
<w:r><w:t xml:space="preserve">among the cities of the United States in the manufacture of</w:t></w:r>
</w:p>
<w:p>
<w:pPr><w:pStyle w:val="Normal"/></w:pPr>
<w:r><w:t xml:space="preserve">pickles, preserves and sauces, the product ($6,216,778) being</w:t></w:r>
</w:p>
<w:p>
<w:pPr><w:pStyle w:val="Normal"/></w:pPr>
<w:r><w:t xml:space="preserve">20.9% of that for the whole country.  An important industry</w:t></w:r>
</w:p>
<w:p>
<w:pPr><w:pStyle w:val="Normal"/></w:pPr>
<w:r><w:t xml:space="preserve">is the shipment of coal, especially on barges down the Ohio.</w:t></w:r>
</w:p>
<w:p>
<w:pPr><w:pStyle w:val="Normal"/></w:pPr>
<w:r><w:t xml:space="preserve">Allegheny was laid out in 1788 on a portion of a tract which</w:t></w:r>
</w:p>
<w:p>
<w:pPr><w:pStyle w:val="Normal"/></w:pPr>
<w:r><w:t xml:space="preserve">the state had previously reserved opposite Pittsburg, with a</w:t></w:r>
</w:p>
<w:p>
<w:pPr><w:pStyle w:val="Normal"/></w:pPr>
<w:r><w:t xml:space="preserve">view to bringing some valuable land into the market for the</w:t></w:r>
</w:p>
<w:p>
<w:pPr><w:pStyle w:val="Normal"/></w:pPr>
<w:r><w:t xml:space="preserve">payment of its soldiers&apos; claims.  When ordered by the state to</w:t></w:r>
</w:p>
<w:p>
<w:pPr><w:pStyle w:val="Normal"/></w:pPr>
<w:r><w:t xml:space="preserve">be laid out, it was also named as the site of the county-seat</w:t></w:r>
</w:p>
<w:p>
<w:pPr><w:pStyle w:val="Normal"/></w:pPr>
<w:r><w:t xml:space="preserve">of the newly erected county of Allegheny, but the opposition</w:t></w:r>
</w:p>
<w:p>
<w:pPr><w:pStyle w:val="Normal"/></w:pPr>
<w:r><w:t xml:space="preserve">of Pittsburg was so strong that by a supplementary act in the</w:t></w:r>
</w:p>
<w:p>
<w:pPr><w:pStyle w:val="Normal"/></w:pPr>
<w:r><w:t xml:space="preserve">following year that town was made the county-seat.  In 1828</w:t></w:r>
</w:p>
<w:p>
<w:pPr><w:pStyle w:val="Normal"/></w:pPr>
<w:r><w:t xml:space="preserve">Allegheny was incorporated as a borough and in 1840 it was</w:t></w:r>
</w:p>
<w:p>
<w:pPr><w:pStyle w:val="Normal"/></w:pPr>
<w:r><w:t xml:space="preserve">chartered as a city.  The city suffered severely in 1874 from</w:t></w:r>
</w:p>
<w:p>
<w:pPr><w:pStyle w:val="Normal"/></w:pPr>
<w:r><w:t xml:space="preserve">a fire started by a fire-cracker on the 4th of July and from</w:t></w:r>
</w:p>
<w:p>
<w:pPr><w:pStyle w:val="Normal"/></w:pPr>
<w:r><w:t xml:space="preserve">a flood caused by a great rain-storm on the 26th of the same</w:t></w:r>
</w:p>
<w:p>
<w:pPr><w:pStyle w:val="Normal"/></w:pPr>
<w:r><w:t xml:space="preserve">month, but these calamities were followed by years of great</w:t></w:r>
</w:p>
<w:p>
<w:pPr><w:pStyle w:val="Normal"/></w:pPr>
<w:r><w:t xml:space="preserve">prosperity and rapid growth.  In 1906 the question of uniting</w:t></w:r>
</w:p>
<w:p>
<w:pPr><w:pStyle w:val="Normal"/></w:pPr>
<w:r><w:t xml:space="preserve">Allegheny with Pittsburg under one municipal government was</w:t></w:r>
</w:p>
<w:p>
<w:pPr><w:pStyle w:val="Normal"/></w:pPr>
<w:r><w:t xml:space="preserve">submitted to a joint vote of the electorate of the two cities,</w:t></w:r>
</w:p>
<w:p>
<w:pPr><w:pStyle w:val="Normal"/></w:pPr>
<w:r><w:t xml:space="preserve">in accordance with an act of the state legislature, which had</w:t></w:r>
</w:p>
<w:p>
<w:pPr><w:pStyle w:val="Normal"/></w:pPr>
<w:r><w:t xml:space="preserve">been passed in February of that year, and a large majority</w:t></w:r>
</w:p>
<w:p>
<w:pPr><w:pStyle w:val="Normal"/></w:pPr>
<w:r><w:t xml:space="preserve">voted for the union; but there was determined opposition in</w:t></w:r>
</w:p>
<w:p>
<w:pPr><w:pStyle w:val="Normal"/></w:pPr>
<w:r><w:t xml:space="preserve">Allegheny, every ward of the city voting in the negative;</w:t></w:r>
</w:p>
<w:p>
<w:pPr><w:pStyle w:val="Normal"/></w:pPr>
<w:r><w:t xml:space="preserve">the constitutionality of the act was challenged; the supreme</w:t></w:r>
</w:p>
<w:p>
<w:pPr><w:pStyle w:val="Normal"/></w:pPr>
<w:r><w:t xml:space="preserve">court of the state on the 11th of March 1907 declared the</w:t></w:r>
</w:p>
<w:p>
<w:pPr><w:pStyle w:val="Normal"/></w:pPr>
<w:r><w:t xml:space="preserve">act valid, and on the 18th of November 1907 this decision</w:t></w:r>
</w:p>
<w:p>
<w:pPr><w:pStyle w:val="Normal"/></w:pPr>
<w:r><w:t xml:space="preserve">was affirmed by the Supreme Court of the United States.</w:t></w:r>
</w:p>
<w:p>
<w:pPr><w:pStyle w:val="Normal"/></w:pPr>
<w:r><w:t xml:space="preserve">See J. E. Parke, Recollections of Seventy Years and Historical</w:t></w:r>
</w:p>
<w:p>
<w:pPr><w:pStyle w:val="Normal"/></w:pPr>
<w:r><w:t xml:space="preserve">Gleanings of Allegheny, Pennsylvania (Boston, 1886).</w:t></w:r>
</w:p>
<w:p>
<w:pPr><w:pStyle w:val="Normal"/></w:pPr>
<w:r><w:t xml:space="preserve">ALLEGIANCE (Mid.  Eng. ligeaunce; med.  Lat. ligeantia,</w:t></w:r>
</w:p>
<w:p>
<w:pPr><w:pStyle w:val="Normal"/></w:pPr>
<w:r><w:t xml:space="preserve">&amp;c.; the al- was probably added through confusion with</w:t></w:r>
</w:p>
<w:p>
<w:pPr><w:pStyle w:val="Normal"/></w:pPr>
<w:r><w:t xml:space="preserve">another legal term, allegeance, an allegation; the Fr.</w:t></w:r>
</w:p>
<w:p>
<w:pPr><w:pStyle w:val="Normal"/></w:pPr>
<w:r><w:t xml:space="preserve">allegeance comes from the English; the word is formed from</w:t></w:r>
</w:p>
<w:p>
<w:pPr><w:pStyle w:val="Normal"/></w:pPr>
<w:r><w:t xml:space="preserve">``liege,&apos;&apos; of which the derivation is given under that heading;</w:t></w:r>
</w:p>
<w:p>
<w:pPr><w:pStyle w:val="Normal"/></w:pPr>
<w:r><w:t xml:space="preserve">the connexion with Lat. ligare, to bind, is erroneous),</w:t></w:r>
</w:p>
<w:p>
<w:pPr><w:pStyle w:val="Normal"/></w:pPr>
<w:r><w:t xml:space="preserve">the duty which a subject or a citizen owes to the state or to</w:t></w:r>
</w:p>
<w:p>
<w:pPr><w:pStyle w:val="Normal"/></w:pPr>
<w:r><w:t xml:space="preserve">the sovereign of the state to which he belongs.  It is often</w:t></w:r>
</w:p>
<w:p>
<w:pPr><w:pStyle w:val="Normal"/></w:pPr>
<w:r><w:t xml:space="preserve">used by English legal commentators in a larger sense, divided</w:t></w:r>
</w:p>
<w:p>
<w:pPr><w:pStyle w:val="Normal"/></w:pPr>
<w:r><w:t xml:space="preserve">by them into natural and local, the latter applying to the</w:t></w:r>
</w:p>
<w:p>
<w:pPr><w:pStyle w:val="Normal"/></w:pPr>
<w:r><w:t xml:space="preserve">deference which even a foreigner must pay to the institutions</w:t></w:r>
</w:p>
<w:p>
<w:pPr><w:pStyle w:val="Normal"/></w:pPr>
<w:r><w:t xml:space="preserve">of the country in which he happens to live; but it is in</w:t></w:r>
</w:p>
<w:p>
<w:pPr><w:pStyle w:val="Normal"/></w:pPr>
<w:r><w:t xml:space="preserve">its proper sense, in which it indicates national character</w:t></w:r>
</w:p>
<w:p>
<w:pPr><w:pStyle w:val="Normal"/></w:pPr>
<w:r><w:t xml:space="preserve">and the subjection due to that character, that the word is</w:t></w:r>
</w:p>
<w:p>
<w:pPr><w:pStyle w:val="Normal"/></w:pPr>
<w:r><w:t xml:space="preserve">important.  In that sense it represents the feudal liege</w:t></w:r>
</w:p>
<w:p>
<w:pPr><w:pStyle w:val="Normal"/></w:pPr>
<w:r><w:t xml:space="preserve">homage, which could be due only to one lord, while simple</w:t></w:r>
</w:p>
<w:p>
<w:pPr><w:pStyle w:val="Normal"/></w:pPr>
<w:r><w:t xml:space="preserve">homage might be due to every lord under whom the person in</w:t></w:r>
</w:p>
<w:p>
<w:pPr><w:pStyle w:val="Normal"/></w:pPr>
<w:r><w:t xml:space="preserve">question held land.  The English doctrine, which was at one</w:t></w:r>
</w:p>
<w:p>
<w:pPr><w:pStyle w:val="Normal"/></w:pPr>
<w:r><w:t xml:space="preserve">time adopted in the United States, asserted that allegiance</w:t></w:r>
</w:p>
<w:p>
<w:pPr><w:pStyle w:val="Normal"/></w:pPr>
<w:r><w:t xml:space="preserve">was indelible:-- Nemo potest exuere patriam. Accordingly,</w:t></w:r>
</w:p>
<w:p>
<w:pPr><w:pStyle w:val="Normal"/></w:pPr>
<w:r><w:t xml:space="preserve">as the law stood before 1870, every person who by birth or</w:t></w:r>
</w:p>
<w:p>
<w:pPr><w:pStyle w:val="Normal"/></w:pPr>
<w:r><w:t xml:space="preserve">naturalization satisfied the conditions described in the article</w:t></w:r>
</w:p>
<w:p>
<w:pPr><w:pStyle w:val="Normal"/></w:pPr>
<w:r><w:t xml:space="preserve">ALIEN, though he should be removed in infancy to another</w:t></w:r>
</w:p>
<w:p>
<w:pPr><w:pStyle w:val="Normal"/></w:pPr>
<w:r><w:t xml:space="preserve">country where his family resided, owed an allegiance to the</w:t></w:r>
</w:p>
<w:p>
<w:pPr><w:pStyle w:val="Normal"/></w:pPr>
<w:r><w:t xml:space="preserve">British crown which he could never resign or lose, except by</w:t></w:r>
</w:p>
<w:p>
<w:pPr><w:pStyle w:val="Normal"/></w:pPr>
<w:r><w:t xml:space="preserve">act of parliament or by the recognition of the independence</w:t></w:r>
</w:p>
<w:p>
<w:pPr><w:pStyle w:val="Normal"/></w:pPr>
<w:r><w:t xml:space="preserve">or the cession of the portion of British territory in which he</w:t></w:r>
</w:p>
<w:p>
<w:pPr><w:pStyle w:val="Normal"/></w:pPr>
<w:r><w:t xml:space="preserve">resided.  By the Naturalization Act 1870, it was made possible</w:t></w:r>
</w:p>
<w:p>
<w:pPr><w:pStyle w:val="Normal"/></w:pPr>
<w:r><w:t xml:space="preserve">for British subjects to renounce their nationality and</w:t></w:r>
</w:p>
<w:p>
<w:pPr><w:pStyle w:val="Normal"/></w:pPr>
<w:r><w:t xml:space="preserve">allegiance, and the ways in which that nationality is lost are</w:t></w:r>
</w:p>
<w:p>
<w:pPr><w:pStyle w:val="Normal"/></w:pPr>
<w:r><w:t xml:space="preserve">defined.  So British subjects voluntarily naturalized in</w:t></w:r>
</w:p>
<w:p>
<w:pPr><w:pStyle w:val="Normal"/></w:pPr>
<w:r><w:t xml:space="preserve">a foreign state are deemed aliens from the time of such</w:t></w:r>
</w:p>
<w:p>
<w:pPr><w:pStyle w:val="Normal"/></w:pPr>
<w:r><w:t xml:space="preserve">naturalization, unless, in the case of persons naturalized</w:t></w:r>
</w:p>
<w:p>
<w:pPr><w:pStyle w:val="Normal"/></w:pPr>
<w:r><w:t xml:space="preserve">before the passing of the act, they have declared their desire</w:t></w:r>
</w:p>
<w:p>
<w:pPr><w:pStyle w:val="Normal"/></w:pPr>
<w:r><w:t xml:space="preserve">to remain British subjects within two years from the passing</w:t></w:r>
</w:p>
<w:p>
<w:pPr><w:pStyle w:val="Normal"/></w:pPr>
<w:r><w:t xml:space="preserve">of the act.  Persons who from having been born within British</w:t></w:r>
</w:p>
<w:p>
<w:pPr><w:pStyle w:val="Normal"/></w:pPr>
<w:r><w:t xml:space="preserve">territory are British subjects, but who at birth became under</w:t></w:r>
</w:p>
<w:p>
<w:pPr><w:pStyle w:val="Normal"/></w:pPr>
<w:r><w:t xml:space="preserve">the law of any foreign state subjects of such state, and also</w:t></w:r>
</w:p>
<w:p>
<w:pPr><w:pStyle w:val="Normal"/></w:pPr>
<w:r><w:t xml:space="preserve">persons who though born abroad are British subjects by reason of</w:t></w:r>
</w:p>
<w:p>
<w:pPr><w:pStyle w:val="Normal"/></w:pPr>
<w:r><w:t xml:space="preserve">parentage, may by declarations of alienage get rid of British</w:t></w:r>
</w:p>
<w:p>
<w:pPr><w:pStyle w:val="Normal"/></w:pPr>
<w:r><w:t xml:space="preserve">nationality.  Emigration to an uncivilized country leaves British</w:t></w:r>
</w:p>
<w:p>
<w:pPr><w:pStyle w:val="Normal"/></w:pPr>
<w:r><w:t xml:space="preserve">nationality unaffected: indeed the right claimed by all states</w:t></w:r>
</w:p>
<w:p>
<w:pPr><w:pStyle w:val="Normal"/></w:pPr>
<w:r><w:t xml:space="preserve">to follow with their authority their subjects so emigrating is</w:t></w:r>
</w:p>
<w:p>
<w:pPr><w:pStyle w:val="Normal"/></w:pPr>
<w:r><w:t xml:space="preserve">one of the usual and recognized means of colonial expansion.</w:t></w:r>
</w:p>
<w:p>
<w:pPr><w:pStyle w:val="Normal"/></w:pPr>
<w:r><w:t xml:space="preserve">The doctrine that no man can cast off his native allegiance</w:t></w:r>
</w:p>
<w:p>
<w:pPr><w:pStyle w:val="Normal"/></w:pPr>
<w:r><w:t xml:space="preserve">without the consent of his sovereign was early abandoned in</w:t></w:r>
</w:p>
<w:p>
<w:pPr><w:pStyle w:val="Normal"/></w:pPr>
<w:r><w:t xml:space="preserve">the United States, and in 1868 congress declared that ``the</w:t></w:r>
</w:p>
<w:p>
<w:pPr><w:pStyle w:val="Normal"/></w:pPr>
<w:r><w:t xml:space="preserve">right of expatriation is a natural and inherent right of all</w:t></w:r>
</w:p>
<w:p>
<w:pPr><w:pStyle w:val="Normal"/></w:pPr>
<w:r><w:t xml:space="preserve">people, indispensable to the enjoyment of the rights of</w:t></w:r>
</w:p>
<w:p>
<w:pPr><w:pStyle w:val="Normal"/></w:pPr>
<w:r><w:t xml:space="preserve">life, liberty and the pursuit of happiness,&apos;&apos; and one of</w:t></w:r>
</w:p>
<w:p>
<w:pPr><w:pStyle w:val="Normal"/></w:pPr>
<w:r><w:t xml:space="preserve">``the fundamental principles of the republic&apos;&apos; (United</w:t></w:r>
</w:p>
<w:p>
<w:pPr><w:pStyle w:val="Normal"/></w:pPr>
<w:r><w:t xml:space="preserve">States Revised Statutes, sec. 1999).  Every citizen of a</w:t></w:r>
</w:p>
<w:p>
<w:pPr><w:pStyle w:val="Normal"/></w:pPr>
<w:r><w:t xml:space="preserve">foreign state in America owes a double allegiance, one to it</w:t></w:r>
</w:p>
<w:p>
<w:pPr><w:pStyle w:val="Normal"/></w:pPr>
<w:r><w:t xml:space="preserve">and one to the United States.  He may be guilty of treason</w:t></w:r>
</w:p>
<w:p>
<w:pPr><w:pStyle w:val="Normal"/></w:pPr>
<w:r><w:t xml:space="preserve">against one or both.  If the demands of these two sovereigns</w:t></w:r>
</w:p>
<w:p>
<w:pPr><w:pStyle w:val="Normal"/></w:pPr>
<w:r><w:t xml:space="preserve">upon his duty of allegiance come into conflict, those of the</w:t></w:r>
</w:p>
<w:p>
<w:pPr><w:pStyle w:val="Normal"/></w:pPr>
<w:r><w:t xml:space="preserve">United States have the paramount authority in American law.</w:t></w:r>
</w:p>
<w:p>
<w:pPr><w:pStyle w:val="Normal"/></w:pPr>
<w:r><w:t xml:space="preserve">The oath of allegiance is an oath of fidelity to the sovereign</w:t></w:r>
</w:p>
<w:p>
<w:pPr><w:pStyle w:val="Normal"/></w:pPr>
<w:r><w:t xml:space="preserve">taken by all persons holding important public office and as a</w:t></w:r>
</w:p>
<w:p>
<w:pPr><w:pStyle w:val="Normal"/></w:pPr>
<w:r><w:t xml:space="preserve">condition of naturalization.  By ancient common law it might</w:t></w:r>
</w:p>
<w:p>
<w:pPr><w:pStyle w:val="Normal"/></w:pPr>
<w:r><w:t xml:space="preserve">be required of all persons above the age of twelve, and it was</w:t></w:r>
</w:p>
<w:p>
<w:pPr><w:pStyle w:val="Normal"/></w:pPr>
<w:r><w:t xml:space="preserve">repeatedly used as a test for the disaffected.  In England it</w:t></w:r>
</w:p>
<w:p>
<w:pPr><w:pStyle w:val="Normal"/></w:pPr>
<w:r><w:t xml:space="preserve">was first imposed by statute in the reign of Elizabeth (1558)</w:t></w:r>
</w:p>
<w:p>
<w:pPr><w:pStyle w:val="Normal"/></w:pPr>
<w:r><w:t xml:space="preserve">and its form has more than once been altered since.  Up to</w:t></w:r>
</w:p>
<w:p>
<w:pPr><w:pStyle w:val="Normal"/></w:pPr>
<w:r><w:t xml:space="preserve">the time of the revolution the promise was, ``to be true and</w:t></w:r>
</w:p>
<w:p>
<w:pPr><w:pStyle w:val="Normal"/></w:pPr>
<w:r><w:t xml:space="preserve">faithful to the king and his heirs, and truth and faith to</w:t></w:r>
</w:p>
<w:p>
<w:pPr><w:pStyle w:val="Normal"/></w:pPr>
<w:r><w:t xml:space="preserve">bear of life and limb and terrene honour, and not to know or</w:t></w:r>
</w:p>
<w:p>
<w:pPr><w:pStyle w:val="Normal"/></w:pPr>
<w:r><w:t xml:space="preserve">hear of any ill or damage intended him without defending him</w:t></w:r>
</w:p>
<w:p>
<w:pPr><w:pStyle w:val="Normal"/></w:pPr>
<w:r><w:t xml:space="preserve">therefrom.&apos;&apos; This was thought to favour the doctrine of absolute</w:t></w:r>
</w:p>
<w:p>
<w:pPr><w:pStyle w:val="Normal"/></w:pPr>
<w:r><w:t xml:space="preserve">non-resistance, and accordingly the convention parliament</w:t></w:r>
</w:p>
<w:p>
<w:pPr><w:pStyle w:val="Normal"/></w:pPr>
<w:r><w:t xml:space="preserve">enacted the form that has been in use since that time--``I</w:t></w:r>
</w:p>
<w:p>
<w:pPr><w:pStyle w:val="Normal"/></w:pPr>
<w:r><w:t xml:space="preserve">do sincerely promise and swear that I will be faithful and</w:t></w:r>
</w:p>
<w:p>
<w:pPr><w:pStyle w:val="Normal"/></w:pPr>
<w:r><w:t xml:space="preserve">bear true allegiance to His Majesty . . .&apos;&apos; (see OATH.)</w:t></w:r>
</w:p>
<w:p>
<w:pPr><w:pStyle w:val="Normal"/></w:pPr>
<w:r><w:t xml:space="preserve">See also the articles CITIZEN, NATURALIZATION: and</w:t></w:r>
</w:p>
<w:p>
<w:pPr><w:pStyle w:val="Normal"/></w:pPr>
<w:r><w:t xml:space="preserve">Salmond on ``Citizenship and Allegiance,&apos;&apos; in the Law</w:t></w:r>
</w:p>
<w:p>
<w:pPr><w:pStyle w:val="Normal"/></w:pPr>
<w:r><w:t xml:space="preserve">Quarterly Review (July 1901, January 1902). (JNO. W.)</w:t></w:r>
</w:p>
<w:p>
<w:pPr><w:pStyle w:val="Normal"/></w:pPr>
<w:r><w:t xml:space="preserve">ALLEGORY (allos, other, and agoreuein, to speak), a</w:t></w:r>
</w:p>
<w:p>
<w:pPr><w:pStyle w:val="Normal"/></w:pPr>
<w:r><w:t xml:space="preserve">figurative representation conveying a meaning other than and in</w:t></w:r>
</w:p>
<w:p>
<w:pPr><w:pStyle w:val="Normal"/></w:pPr>
<w:r><w:t xml:space="preserve">addition to the literal.  It is generally treated as a figure of</w:t></w:r>
</w:p>
<w:p>
<w:pPr><w:pStyle w:val="Normal"/></w:pPr>
<w:r><w:t xml:space="preserve">rhetoric, but the medium of representation is not necessarily</w:t></w:r>
</w:p>
<w:p>
<w:pPr><w:pStyle w:val="Normal"/></w:pPr>
<w:r><w:t xml:space="preserve">language.  An allegory may be addressed to the eye, and is</w:t></w:r>
</w:p>
<w:p>
<w:pPr><w:pStyle w:val="Normal"/></w:pPr>
<w:r><w:t xml:space="preserve">often embodied in painting, sculpture or some form of mimetic</w:t></w:r>
</w:p>
<w:p>
<w:pPr><w:pStyle w:val="Normal"/></w:pPr>
<w:r><w:t xml:space="preserve">art.  The etymological meaning of the word is wider than that</w:t></w:r>
</w:p>
<w:p>
<w:pPr><w:pStyle w:val="Normal"/></w:pPr>
<w:r><w:t xml:space="preserve">which it bears in actual use.  An allegory is distinguished</w:t></w:r>
</w:p>
<w:p>
<w:pPr><w:pStyle w:val="Normal"/></w:pPr>
<w:r><w:t xml:space="preserve">from a metaphor by being longer sustained and more fully</w:t></w:r>
</w:p>
<w:p>
<w:pPr><w:pStyle w:val="Normal"/></w:pPr>
<w:r><w:t xml:space="preserve">carried out in its details, and from an analogy by the fact</w:t></w:r>
</w:p>
<w:p>
<w:pPr><w:pStyle w:val="Normal"/></w:pPr>
<w:r><w:t xml:space="preserve">that the one appeals to the imagination and the other to the</w:t></w:r>
</w:p>
<w:p>
<w:pPr><w:pStyle w:val="Normal"/></w:pPr>
<w:r><w:t xml:space="preserve">reason.  The fable or parable is a short allegory with one</w:t></w:r>
</w:p>
<w:p>
<w:pPr><w:pStyle w:val="Normal"/></w:pPr>
<w:r><w:t xml:space="preserve">definite moral.  The allegory has been a favourite form in</w:t></w:r>
</w:p>
<w:p>
<w:pPr><w:pStyle w:val="Normal"/></w:pPr>
<w:r><w:t xml:space="preserve">the literature of nearly every nation.  The Hebrew scriptures</w:t></w:r>
</w:p>
<w:p>
<w:pPr><w:pStyle w:val="Normal"/></w:pPr>
<w:r><w:t xml:space="preserve">present frequent instances of it, one of the most beautiful</w:t></w:r>
</w:p>
<w:p>
<w:pPr><w:pStyle w:val="Normal"/></w:pPr>
<w:r><w:t xml:space="preserve">being the comparison of the history of Israel to the growth</w:t></w:r>
</w:p>
<w:p>
<w:pPr><w:pStyle w:val="Normal"/></w:pPr>
<w:r><w:t xml:space="preserve">of a vine in the 80th psalm.  In classical literature one</w:t></w:r>
</w:p>
<w:p>
<w:pPr><w:pStyle w:val="Normal"/></w:pPr>
<w:r><w:t xml:space="preserve">of the best known allegories is the story of the stomach and</w:t></w:r>
</w:p>
<w:p>
<w:pPr><w:pStyle w:val="Normal"/></w:pPr>
<w:r><w:t xml:space="preserve">its members in the speech of Menenius Agrippa (Livy ii. 32);</w:t></w:r>
</w:p>
<w:p>
<w:pPr><w:pStyle w:val="Normal"/></w:pPr>
<w:r><w:t xml:space="preserve">and several occur in Ovid&apos;s Metamorphoses. Perhaps the</w:t></w:r>
</w:p>
<w:p>
<w:pPr><w:pStyle w:val="Normal"/></w:pPr>
<w:r><w:t xml:space="preserve">most elaborate and the most successful specimens of allegory</w:t></w:r>
</w:p>
<w:p>
<w:pPr><w:pStyle w:val="Normal"/></w:pPr>
<w:r><w:t xml:space="preserve">are to be found in the works of English authors.  Spenser&apos;s</w:t></w:r>
</w:p>
<w:p>
<w:pPr><w:pStyle w:val="Normal"/></w:pPr>
<w:r><w:t xml:space="preserve">Faerie Queene, Swift&apos;s Tale of a Tub, Addison&apos;s Vision</w:t></w:r>
</w:p>
<w:p>
<w:pPr><w:pStyle w:val="Normal"/></w:pPr>
<w:r><w:t xml:space="preserve">of Mirza, and, above all, Bunyan&apos;s Pilgrim&apos;s Progress, are</w:t></w:r>
</w:p>
<w:p>
<w:pPr><w:pStyle w:val="Normal"/></w:pPr>
<w:r><w:t xml:space="preserve">examples that it would be impossible to match in elaboration,</w:t></w:r>
</w:p>
<w:p>
<w:pPr><w:pStyle w:val="Normal"/></w:pPr>
<w:r><w:t xml:space="preserve">beauty and fitness, from the literature of any other nation.</w:t></w:r>
</w:p>
<w:p>
<w:pPr><w:pStyle w:val="Normal"/></w:pPr>
<w:r><w:t xml:space="preserve">ALLEGRI, GREGORIO, Italian priest and musical composer,</w:t></w:r>
</w:p>
<w:p>
<w:pPr><w:pStyle w:val="Normal"/></w:pPr>
<w:r><w:t xml:space="preserve">probably of the Correggio family, was born at Rome either</w:t></w:r>
</w:p>
<w:p>
<w:pPr><w:pStyle w:val="Normal"/></w:pPr>
<w:r><w:t xml:space="preserve">in 1560 or in 1585.  He studied music under G. Maria</w:t></w:r>
</w:p>
<w:p>
<w:pPr><w:pStyle w:val="Normal"/></w:pPr>
<w:r><w:t xml:space="preserve">Nanini, the intimate friend of Palestrina.  Being intended</w:t></w:r>
</w:p>
<w:p>
<w:pPr><w:pStyle w:val="Normal"/></w:pPr>
<w:r><w:t xml:space="preserve">for the church, he obtained a benefice in the cathedral of</w:t></w:r>
</w:p>
<w:p>
<w:pPr><w:pStyle w:val="Normal"/></w:pPr>
<w:r><w:t xml:space="preserve">Fermo.  Here he composed a large number of motets and sacred</w:t></w:r>
</w:p>
<w:p>
<w:pPr><w:pStyle w:val="Normal"/></w:pPr>
<w:r><w:t xml:space="preserve">pieces, which, being brought under the notice of Pope Urban</w:t></w:r>
</w:p>
<w:p>
<w:pPr><w:pStyle w:val="Normal"/></w:pPr>
<w:r><w:t xml:space="preserve">VIII., obtained for him an appointment in the choir of the</w:t></w:r>
</w:p>
<w:p>
<w:pPr><w:pStyle w:val="Normal"/></w:pPr>
<w:r><w:t xml:space="preserve">Sistine Chapel at Rome.  He held this from December 1629</w:t></w:r>
</w:p>
<w:p>
<w:pPr><w:pStyle w:val="Normal"/></w:pPr>
<w:r><w:t xml:space="preserve">till his death on the 18th of February 1652.  His character</w:t></w:r>
</w:p>
<w:p>
<w:pPr><w:pStyle w:val="Normal"/></w:pPr>
<w:r><w:t xml:space="preserve">seems to have been singularly pure and benevolent.  Among</w:t></w:r>
</w:p>
<w:p>
<w:pPr><w:pStyle w:val="Normal"/></w:pPr>
<w:r><w:t xml:space="preserve">the musical compositions of Allegri were two volumes of</w:t></w:r>
</w:p>
<w:p>
<w:pPr><w:pStyle w:val="Normal"/></w:pPr>
<w:r><w:t xml:space="preserve">concerti, published in 1618 and 1619; two volumes of motets,</w:t></w:r>
</w:p>
<w:p>
<w:pPr><w:pStyle w:val="Normal"/></w:pPr>
<w:r><w:t xml:space="preserve">published in 1620 and 1621; besides a number of works still in</w:t></w:r>
</w:p>
<w:p>
<w:pPr><w:pStyle w:val="Normal"/></w:pPr>
<w:r><w:t xml:space="preserve">manuscript.  He was one of the earliest composers for</w:t></w:r>
</w:p>
<w:p>
<w:pPr><w:pStyle w:val="Normal"/></w:pPr>
<w:r><w:t xml:space="preserve">stringed instruments, and Kircher has given one specimen</w:t></w:r>
</w:p>
<w:p>
<w:pPr><w:pStyle w:val="Normal"/></w:pPr>
<w:r><w:t xml:space="preserve">of this class of his works in the Musurgia. But the most</w:t></w:r>
</w:p>
<w:p>
<w:pPr><w:pStyle w:val="Normal"/></w:pPr>
<w:r><w:t xml:space="preserve">celebrated composition of Allegri is the Miserere, still</w:t></w:r>
</w:p>
<w:p>
<w:pPr><w:pStyle w:val="Normal"/></w:pPr>
<w:r><w:t xml:space="preserve">annually performed in the Sistine Chapel at Rome.  It is</w:t></w:r>
</w:p>
<w:p>
<w:pPr><w:pStyle w:val="Normal"/></w:pPr>
<w:r><w:t xml:space="preserve">written for two choirs, the one of five and the other of four</w:t></w:r>
</w:p>
<w:p>
<w:pPr><w:pStyle w:val="Normal"/></w:pPr>
<w:r><w:t xml:space="preserve">voices, and has obtained a celebrity which, if not entirely</w:t></w:r>
</w:p>
<w:p>
<w:pPr><w:pStyle w:val="Normal"/></w:pPr>
<w:r><w:t xml:space="preserve">factitious, is certainly not due to its intrinsic merits</w:t></w:r>
</w:p>
<w:p>
<w:pPr><w:pStyle w:val="Normal"/></w:pPr>
<w:r><w:t xml:space="preserve">alone.  The mystery in which the composition was long</w:t></w:r>
</w:p>
<w:p>
<w:pPr><w:pStyle w:val="Normal"/></w:pPr>
<w:r><w:t xml:space="preserve">enshrouded, no single copy being allowed to reach the public,</w:t></w:r>
</w:p>
<w:p>
<w:pPr><w:pStyle w:val="Normal"/></w:pPr>
<w:r><w:t xml:space="preserve">the place and circumstances of the performance, and the added</w:t></w:r>
</w:p>
<w:p>
<w:pPr><w:pStyle w:val="Normal"/></w:pPr>
<w:r><w:t xml:space="preserve">embellishments of the singers, account to a great degree for</w:t></w:r>
</w:p>
<w:p>
<w:pPr><w:pStyle w:val="Normal"/></w:pPr>
<w:r><w:t xml:space="preserve">much of the impressive effect of which all who have heard</w:t></w:r>
</w:p>
<w:p>
<w:pPr><w:pStyle w:val="Normal"/></w:pPr>
<w:r><w:t xml:space="preserve">the music speak.  This view is confirmed by the fact that,</w:t></w:r>
</w:p>
<w:p>
<w:pPr><w:pStyle w:val="Normal"/></w:pPr>
<w:r><w:t xml:space="preserve">when the music was performed at Venice by permission of the</w:t></w:r>
</w:p>
<w:p>
<w:pPr><w:pStyle w:val="Normal"/></w:pPr>
<w:r><w:t xml:space="preserve">pope, it produced so little effect that the emperor Leopold</w:t></w:r>
</w:p>
<w:p>
<w:pPr><w:pStyle w:val="Normal"/></w:pPr>
<w:r><w:t xml:space="preserve">I., at whose request the manuscript had been sent, thought</w:t></w:r>
</w:p>
<w:p>
<w:pPr><w:pStyle w:val="Normal"/></w:pPr>
<w:r><w:t xml:space="preserve">that something else had been substituted.  In spite of the</w:t></w:r>
</w:p>
<w:p>
<w:pPr><w:pStyle w:val="Normal"/></w:pPr>
<w:r><w:t xml:space="preserve">precautions of the popes, the Miserere has long been public</w:t></w:r>
</w:p>
<w:p>
<w:pPr><w:pStyle w:val="Normal"/></w:pPr>
<w:r><w:t xml:space="preserve">property.  In 1769 Mozart (q.v.) heard it and wrote it down,</w:t></w:r>
</w:p>
<w:p>
<w:pPr><w:pStyle w:val="Normal"/></w:pPr>
<w:r><w:t xml:space="preserve">and in 1771 a copy was procured and published in England by Dr</w:t></w:r>
</w:p>
<w:p>
<w:pPr><w:pStyle w:val="Normal"/></w:pPr>
<w:r><w:t xml:space="preserve">Burney.  The entire music performed at Rome in Holy Week, Allegri&apos;s</w:t></w:r>
</w:p>
<w:p>
<w:pPr><w:pStyle w:val="Normal"/></w:pPr>
<w:r><w:t xml:space="preserve">Miserere included, has been issued at Leipzig by Breitkopf and</w:t></w:r>
</w:p>
<w:p>
<w:pPr><w:pStyle w:val="Normal"/></w:pPr>
<w:r><w:t xml:space="preserve">Hartel.  Interesting accounts of the impression produced by</w:t></w:r>
</w:p>
<w:p>
<w:pPr><w:pStyle w:val="Normal"/></w:pPr>
<w:r><w:t xml:space="preserve">the performance at Rome may be found in the first volume of</w:t></w:r>
</w:p>
<w:p>
<w:pPr><w:pStyle w:val="Normal"/></w:pPr>
<w:r><w:t xml:space="preserve">Mendelssohn&apos;s letters and in Miss Taylor&apos;s Letters from Italy.</w:t></w:r>
</w:p>
<w:p>
<w:pPr><w:pStyle w:val="Normal"/></w:pPr>
<w:r><w:t xml:space="preserve">ALLEGRO (an Italian word, meaning ``cheerful,&apos;&apos; as in Milton&apos;s</w:t></w:r>
</w:p>
<w:p>
<w:pPr><w:pStyle w:val="Normal"/></w:pPr>
<w:r><w:t xml:space="preserve">poem), a term in music to indicate quick or lively time, coming</w:t></w:r>
</w:p>
<w:p>
<w:pPr><w:pStyle w:val="Normal"/></w:pPr>
<w:r><w:t xml:space="preserve">between andante and presto; it is frequently modified by</w:t></w:r>
</w:p>
<w:p>
<w:pPr><w:pStyle w:val="Normal"/></w:pPr>
<w:r><w:t xml:space="preserve">the addition of qualifying words.  It is also used of a separate</w:t></w:r>
</w:p>
<w:p>
<w:pPr><w:pStyle w:val="Normal"/></w:pPr>
<w:r><w:t xml:space="preserve">piece of music, or of a movement in a sonata, symphony, &amp;c.</w:t></w:r>
</w:p>
<w:p>
<w:pPr><w:pStyle w:val="Normal"/></w:pPr>
<w:r><w:t xml:space="preserve">ALLEINE, JOSEPH (1634-1668), English Nonconformist divine,</w:t></w:r>
</w:p>
<w:p>
<w:pPr><w:pStyle w:val="Normal"/></w:pPr>
<w:r><w:t xml:space="preserve">belonged to a family originally settled in Suffolk.  As early</w:t></w:r>
</w:p>
<w:p>
<w:pPr><w:pStyle w:val="Normal"/></w:pPr>
<w:r><w:t xml:space="preserve">as 1430 some of them--sprung of Alan, lord of Buckenhall</w:t></w:r>
</w:p>
<w:p>
<w:pPr><w:pStyle w:val="Normal"/></w:pPr>
<w:r><w:t xml:space="preserve">--settled in the neighbourhood of Calne and Devizes, whence</w:t></w:r>
</w:p>
<w:p>
<w:pPr><w:pStyle w:val="Normal"/></w:pPr>
<w:r><w:t xml:space="preserve">descended the immediate ancestors of ``worthy Mr Tobie Alleine</w:t></w:r>
</w:p>
<w:p>
<w:pPr><w:pStyle w:val="Normal"/></w:pPr>
<w:r><w:t xml:space="preserve">of Devizes,&apos;&apos; father of Joseph, who, the fourth of a large</w:t></w:r>
</w:p>
<w:p>
<w:pPr><w:pStyle w:val="Normal"/></w:pPr>
<w:r><w:t xml:space="preserve">family, was born at Devizes early in 1634. 1645 is marked in</w:t></w:r>
</w:p>
<w:p>
<w:pPr><w:pStyle w:val="Normal"/></w:pPr>
<w:r><w:t xml:space="preserve">the title-page of a quaint old tractate, by an eye-witness,</w:t></w:r>
</w:p>
<w:p>
<w:pPr><w:pStyle w:val="Normal"/></w:pPr>
<w:r><w:t xml:space="preserve">as the year of his setting forth in the Christian race.</w:t></w:r>
</w:p>
<w:p>
<w:pPr><w:pStyle w:val="Normal"/></w:pPr>
<w:r><w:t xml:space="preserve">His elder brother Edward had been a clergyman, but in this</w:t></w:r>
</w:p>
<w:p>
<w:pPr><w:pStyle w:val="Normal"/></w:pPr>
<w:r><w:t xml:space="preserve">year died; and Joseph entreated his father that he might be</w:t></w:r>
</w:p>
<w:p>
<w:pPr><w:pStyle w:val="Normal"/></w:pPr>
<w:r><w:t xml:space="preserve">educated to succeed his brother in the ministry.  In April</w:t></w:r>
</w:p>
<w:p>
<w:pPr><w:pStyle w:val="Normal"/></w:pPr>
<w:r><w:t xml:space="preserve">1649 he entered Lincoln College, Oxford, and on the 3rd of</w:t></w:r>
</w:p>
<w:p>
<w:pPr><w:pStyle w:val="Normal"/></w:pPr>
<w:r><w:t xml:space="preserve">November 1651 he became scholar of Corpus Christi College.</w:t></w:r>
</w:p>
<w:p>
<w:pPr><w:pStyle w:val="Normal"/></w:pPr>
<w:r><w:t xml:space="preserve">On the 6th of July 1653 he took the degree of B.D., and became</w:t></w:r>
</w:p>
<w:p>
<w:pPr><w:pStyle w:val="Normal"/></w:pPr>
<w:r><w:t xml:space="preserve">a tutor and chaplain of Corpus Christi, preferring this to a</w:t></w:r>
</w:p>
<w:p>
<w:pPr><w:pStyle w:val="Normal"/></w:pPr>
<w:r><w:t xml:space="preserve">fellowship.  In 1654 he had offers of high preferment in the</w:t></w:r>
</w:p>
<w:p>
<w:pPr><w:pStyle w:val="Normal"/></w:pPr>
<w:r><w:t xml:space="preserve">state, which he declined; but in 1655 George Newton, of</w:t></w:r>
</w:p>
<w:p>
<w:pPr><w:pStyle w:val="Normal"/></w:pPr>
<w:r><w:t xml:space="preserve">the great church of St Mary Magdalene, Taunton, sought him</w:t></w:r>
</w:p>
<w:p>
<w:pPr><w:pStyle w:val="Normal"/></w:pPr>
<w:r><w:t xml:space="preserve">for assistant and Alleine accepted the invitation.  Almost</w:t></w:r>
</w:p>
<w:p>
<w:pPr><w:pStyle w:val="Normal"/></w:pPr>
<w:r><w:t xml:space="preserve">coincident with his ordination as associate pastor came</w:t></w:r>
</w:p>
<w:p>
<w:pPr><w:pStyle w:val="Normal"/></w:pPr>
<w:r><w:t xml:space="preserve">his marriage with Theodosia Alleine, daughter of Richard</w:t></w:r>
</w:p>
<w:p>
<w:pPr><w:pStyle w:val="Normal"/></w:pPr>
<w:r><w:t xml:space="preserve">Alleine.  Friendships among ``gentle and simple&apos;&apos;--of the</w:t></w:r>
</w:p>
<w:p>
<w:pPr><w:pStyle w:val="Normal"/></w:pPr>
<w:r><w:t xml:space="preserve">former, with Lady Farewell, grand-daughter of the protector</w:t></w:r>
</w:p>
<w:p>
<w:pPr><w:pStyle w:val="Normal"/></w:pPr>
<w:r><w:t xml:space="preserve">Somerset--bear witness to the attraction of Alleine&apos;s private</w:t></w:r>
</w:p>
<w:p>
<w:pPr><w:pStyle w:val="Normal"/></w:pPr>
<w:r><w:t xml:space="preserve">life.  His public life was a model of pastoral devotion.  This</w:t></w:r>
</w:p>
<w:p>
<w:pPr><w:pStyle w:val="Normal"/></w:pPr>
<w:r><w:t xml:space="preserve">is all the more remarkable as he found time to continue his</w:t></w:r>
</w:p>
<w:p>
<w:pPr><w:pStyle w:val="Normal"/></w:pPr>
<w:r><w:t xml:space="preserve">studies, one monument of which was his Theologia Philosophica</w:t></w:r>
</w:p>
<w:p>
<w:pPr><w:pStyle w:val="Normal"/></w:pPr>
<w:r><w:t xml:space="preserve">(a lost MS.), a learned attempt to harmonize revelation and</w:t></w:r>
</w:p>
<w:p>
<w:pPr><w:pStyle w:val="Normal"/></w:pPr>
<w:r><w:t xml:space="preserve">nature, which drew forth the wonder of Baxter.  Alleine was</w:t></w:r>
</w:p>
<w:p>
<w:pPr><w:pStyle w:val="Normal"/></w:pPr>
<w:r><w:t xml:space="preserve">no mere scholar or divine, but a man who associated on equal</w:t></w:r>
</w:p>
<w:p>
<w:pPr><w:pStyle w:val="Normal"/></w:pPr>
<w:r><w:t xml:space="preserve">terms with the founders of the Royal Society.  These scientific</w:t></w:r>
</w:p>
<w:p>
<w:pPr><w:pStyle w:val="Normal"/></w:pPr>
<w:r><w:t xml:space="preserve">studies were, however, kept in subordination to his proper</w:t></w:r>
</w:p>
<w:p>
<w:pPr><w:pStyle w:val="Normal"/></w:pPr>
<w:r><w:t xml:space="preserve">work.  The extent of his influence was, in so young a</w:t></w:r>
</w:p>
<w:p>
<w:pPr><w:pStyle w:val="Normal"/></w:pPr>
<w:r><w:t xml:space="preserve">man, unique, resting on the earnestness and force of his</w:t></w:r>
</w:p>
<w:p>
<w:pPr><w:pStyle w:val="Normal"/></w:pPr>
<w:r><w:t xml:space="preserve">nature.  The year 1662 found senior and junior pastors</w:t></w:r>
</w:p>
<w:p>
<w:pPr><w:pStyle w:val="Normal"/></w:pPr>
<w:r><w:t xml:space="preserve">like-minded, and both were among the two thousand ejected</w:t></w:r>
</w:p>
<w:p>
<w:pPr><w:pStyle w:val="Normal"/></w:pPr>
<w:r><w:t xml:space="preserve">ministers.  Alleine, with John Wesley (grandfather of the</w:t></w:r>
</w:p>
<w:p>
<w:pPr><w:pStyle w:val="Normal"/></w:pPr>
<w:r><w:t xml:space="preserve">celebrated John Wesley), also ejected, then travelled about,</w:t></w:r>
</w:p>
<w:p>
<w:pPr><w:pStyle w:val="Normal"/></w:pPr>
<w:r><w:t xml:space="preserve">preaching wherever opportunity was found.  For this he was</w:t></w:r>
</w:p>
<w:p>
<w:pPr><w:pStyle w:val="Normal"/></w:pPr>
<w:r><w:t xml:space="preserve">cast into prison, indicted at sessions, bullied and fined.  His</w:t></w:r>
</w:p>
<w:p>
<w:pPr><w:pStyle w:val="Normal"/></w:pPr>
<w:r><w:t xml:space="preserve">Letters from Prison were an earlier Cardiphonia than John</w:t></w:r>
</w:p>
<w:p>
<w:pPr><w:pStyle w:val="Normal"/></w:pPr>
<w:r><w:t xml:space="preserve">Newton&apos;s.  He was released on the 26th of May 1664; and in</w:t></w:r>
</w:p>
<w:p>
<w:pPr><w:pStyle w:val="Normal"/></w:pPr>
<w:r><w:t xml:space="preserve">spite of the Conventicle, or Five Mile Act, he resumed his</w:t></w:r>
</w:p>
<w:p>
<w:pPr><w:pStyle w:val="Normal"/></w:pPr>
<w:r><w:t xml:space="preserve">preaching.  He found himself again in prison, and again</w:t></w:r>
</w:p>
<w:p>
<w:pPr><w:pStyle w:val="Normal"/></w:pPr>
<w:r><w:t xml:space="preserve">and again a sufferer.  His remaining years were full of</w:t></w:r>
</w:p>
<w:p>
<w:pPr><w:pStyle w:val="Normal"/></w:pPr>
<w:r><w:t xml:space="preserve">troubles and persecutions nobly borne, till at last, worn</w:t></w:r>
</w:p>
<w:p>
<w:pPr><w:pStyle w:val="Normal"/></w:pPr>
<w:r><w:t xml:space="preserve">out by them, he died on the 17th of November 1668; and the</w:t></w:r>
</w:p>
<w:p>
<w:pPr><w:pStyle w:val="Normal"/></w:pPr>
<w:r><w:t xml:space="preserve">mourners, remembering their beloved minister&apos;s words while</w:t></w:r>
</w:p>
<w:p>
<w:pPr><w:pStyle w:val="Normal"/></w:pPr>
<w:r><w:t xml:space="preserve">yet with them, ``If I should die fifty miles away, let me</w:t></w:r>
</w:p>
<w:p>
<w:pPr><w:pStyle w:val="Normal"/></w:pPr>
<w:r><w:t xml:space="preserve">be buried at Taunton,&apos;&apos; found a grave for him in St Mary&apos;s</w:t></w:r>
</w:p>
<w:p>
<w:pPr><w:pStyle w:val="Normal"/></w:pPr>
<w:r><w:t xml:space="preserve">chancel.  No Puritan nonconformist name is so affectionately</w:t></w:r>
</w:p>
<w:p>
<w:pPr><w:pStyle w:val="Normal"/></w:pPr>
<w:r><w:t xml:space="preserve">cherished as is that of Joseph Alleine.  His chief</w:t></w:r>
</w:p>
<w:p>
<w:pPr><w:pStyle w:val="Normal"/></w:pPr>
<w:r><w:t xml:space="preserve">literary work was An Alarm to the Unconverted (1672),</w:t></w:r>
</w:p>
<w:p>
<w:pPr><w:pStyle w:val="Normal"/></w:pPr>
<w:r><w:t xml:space="preserve">otherwise known as The Sure Guide to Heaven, which had</w:t></w:r>
</w:p>
<w:p>
<w:pPr><w:pStyle w:val="Normal"/></w:pPr>
<w:r><w:t xml:space="preserve">an enormous circulation.  His Remains appeared in 1674.</w:t></w:r>
</w:p>
<w:p>
<w:pPr><w:pStyle w:val="Normal"/></w:pPr>
<w:r><w:t xml:space="preserve">See Life, edited by Baxter; Joseph Alleine: his</w:t></w:r>
</w:p>
<w:p>
<w:pPr><w:pStyle w:val="Normal"/></w:pPr>
<w:r><w:t xml:space="preserve">Companions and Times, by Charles Stanford (1861); Wood&apos;s</w:t></w:r>
</w:p>
<w:p>
<w:pPr><w:pStyle w:val="Normal"/></w:pPr>
<w:r><w:t xml:space="preserve">Athenae, iii. 819; Palmer&apos;s Nonc.  Mem. iii. 208.</w:t></w:r>
</w:p>
<w:p>
<w:pPr><w:pStyle w:val="Normal"/></w:pPr>
<w:r><w:t xml:space="preserve">ALLEINE, RICHARD (1611-1681), English Puritan divine, was</w:t></w:r>
</w:p>
<w:p>
<w:pPr><w:pStyle w:val="Normal"/></w:pPr>
<w:r><w:t xml:space="preserve">born at Ditcheat, Somerset, where his father was rector.  He</w:t></w:r>
</w:p>
<w:p>
<w:pPr><w:pStyle w:val="Normal"/></w:pPr>
<w:r><w:t xml:space="preserve">was a younger brother of William Alleine, the saintly vicar of</w:t></w:r>
</w:p>
<w:p>
<w:pPr><w:pStyle w:val="Normal"/></w:pPr>
<w:r><w:t xml:space="preserve">Blandford.  Richard was educated at St Alban&apos;s Hall, Oxford,</w:t></w:r>
</w:p>
<w:p>
<w:pPr><w:pStyle w:val="Normal"/></w:pPr>
<w:r><w:t xml:space="preserve">where he was entered commoner in 1627, and whence, having</w:t></w:r>
</w:p>
<w:p>
<w:pPr><w:pStyle w:val="Normal"/></w:pPr>
<w:r><w:t xml:space="preserve">taken the degree of B.A., he transferred himself to New Inn,</w:t></w:r>
</w:p>
<w:p>
<w:pPr><w:pStyle w:val="Normal"/></w:pPr>
<w:r><w:t xml:space="preserve">continuing there until he proceeded M.A. On being ordained</w:t></w:r>
</w:p>
<w:p>
<w:pPr><w:pStyle w:val="Normal"/></w:pPr>
<w:r><w:t xml:space="preserve">he became assistant to his father, and immediately stirred</w:t></w:r>
</w:p>
<w:p>
<w:pPr><w:pStyle w:val="Normal"/></w:pPr>
<w:r><w:t xml:space="preserve">the entire county by his burning eloquence.  In March 1641</w:t></w:r>
</w:p>
<w:p>
<w:pPr><w:pStyle w:val="Normal"/></w:pPr>
<w:r><w:t xml:space="preserve">he succeeded the many-sided Richard Bernard as rector of</w:t></w:r>
</w:p>
<w:p>
<w:pPr><w:pStyle w:val="Normal"/></w:pPr>
<w:r><w:t xml:space="preserve">Batcomb (Somerset).  He declared himself on the side of the</w:t></w:r>
</w:p>
<w:p>
<w:pPr><w:pStyle w:val="Normal"/></w:pPr>
<w:r><w:t xml:space="preserve">Puritans by subscribing ``The testimony of the ministers</w:t></w:r>
</w:p>
<w:p>
<w:pPr><w:pStyle w:val="Normal"/></w:pPr>
<w:r><w:t xml:space="preserve">in Somersetshire to the truth of Jesus Christ,&apos;&apos; and ``The</w:t></w:r>
</w:p>
<w:p>
<w:pPr><w:pStyle w:val="Normal"/></w:pPr>
<w:r><w:t xml:space="preserve">Solemn League and Covenant,&apos;&apos; and assisted the commissioners</w:t></w:r>
</w:p>
<w:p>
<w:pPr><w:pStyle w:val="Normal"/></w:pPr>
<w:r><w:t xml:space="preserve">of the parliament in their work of ejecting unsatisfactory</w:t></w:r>
</w:p>
<w:p>
<w:pPr><w:pStyle w:val="Normal"/></w:pPr>
<w:r><w:t xml:space="preserve">ministers.  Alleine continued for twenty years rector of</w:t></w:r>
</w:p>
<w:p>
<w:pPr><w:pStyle w:val="Normal"/></w:pPr>
<w:r><w:t xml:space="preserve">Batcomb and was one of the two thousand ministers ejected in</w:t></w:r>
</w:p>
<w:p>
<w:pPr><w:pStyle w:val="Normal"/></w:pPr>
<w:r><w:t xml:space="preserve">1662.  The Five Mile Act drove him to Frome Selwood, and in</w:t></w:r>
</w:p>
<w:p>
<w:pPr><w:pStyle w:val="Normal"/></w:pPr>
<w:r><w:t xml:space="preserve">that neighbourhood he preached until his death on the 22nd</w:t></w:r>
</w:p>
<w:p>
<w:pPr><w:pStyle w:val="Normal"/></w:pPr>
<w:r><w:t xml:space="preserve">of December 1681.  His works are all of a deeply spiritual</w:t></w:r>
</w:p>
<w:p>
<w:pPr><w:pStyle w:val="Normal"/></w:pPr>
<w:r><w:t xml:space="preserve">character.  His Vindiciae Pietatis (which first appeared</w:t></w:r>
</w:p>
<w:p>
<w:pPr><w:pStyle w:val="Normal"/></w:pPr>
<w:r><w:t xml:space="preserve">in 1660) was refused licence by Archbishop Sheldon, and was</w:t></w:r>
</w:p>
<w:p>
<w:pPr><w:pStyle w:val="Normal"/></w:pPr>
<w:r><w:t xml:space="preserve">published, in common with other nonconformist books, without</w:t></w:r>
</w:p>
<w:p>
<w:pPr><w:pStyle w:val="Normal"/></w:pPr>
<w:r><w:t xml:space="preserve">it.  It was rapidly bought up and ``did much to mend this</w:t></w:r>
</w:p>
<w:p>
<w:pPr><w:pStyle w:val="Normal"/></w:pPr>
<w:r><w:t xml:space="preserve">bad world.&apos;&apos; Roger Norton, the king&apos;s printer, caused a</w:t></w:r>
</w:p>
<w:p>
<w:pPr><w:pStyle w:val="Normal"/></w:pPr>
<w:r><w:t xml:space="preserve">large part of the first impression to be seized on the</w:t></w:r>
</w:p>
<w:p>
<w:pPr><w:pStyle w:val="Normal"/></w:pPr>
<w:r><w:t xml:space="preserve">ground of its not being licensed and to be sent to the royal</w:t></w:r>
</w:p>
<w:p>
<w:pPr><w:pStyle w:val="Normal"/></w:pPr>
<w:r><w:t xml:space="preserve">kitchen.  Glancing over its pages, however, it seemed to</w:t></w:r>
</w:p>
<w:p>
<w:pPr><w:pStyle w:val="Normal"/></w:pPr>
<w:r><w:t xml:space="preserve">him a sin that a book so holy--and so saleable--should be</w:t></w:r>
</w:p>
<w:p>
<w:pPr><w:pStyle w:val="Normal"/></w:pPr>
<w:r><w:t xml:space="preserve">destroyed.  He therefore bought back the sheets, says Calamy,</w:t></w:r>
</w:p>
<w:p>
<w:pPr><w:pStyle w:val="Normal"/></w:pPr>
<w:r><w:t xml:space="preserve">for an old song, bound them and sold them in his own shop.</w:t></w:r>
</w:p>
<w:p>
<w:pPr><w:pStyle w:val="Normal"/></w:pPr>
<w:r><w:t xml:space="preserve">This in turn was complained of, and he had to beg pardon on</w:t></w:r>
</w:p>
<w:p>
<w:pPr><w:pStyle w:val="Normal"/></w:pPr>
<w:r><w:t xml:space="preserve">his knees before the council-table; and the remaining copies</w:t></w:r>
</w:p>
<w:p>
<w:pPr><w:pStyle w:val="Normal"/></w:pPr>
<w:r><w:t xml:space="preserve">were sentenced to be ``bisked,&apos;&apos; or rubbed over with an inky</w:t></w:r>
</w:p>
<w:p>
<w:pPr><w:pStyle w:val="Normal"/></w:pPr>
<w:r><w:t xml:space="preserve">brush, and sent back to the kitchen for lighting fires.  Such</w:t></w:r>
</w:p>
<w:p>
<w:pPr><w:pStyle w:val="Normal"/></w:pPr>
<w:r><w:t xml:space="preserve">``bisked&apos;&apos; copies occasionally occur still.  The book was not</w:t></w:r>
</w:p>
<w:p>
<w:pPr><w:pStyle w:val="Normal"/></w:pPr>
<w:r><w:t xml:space="preserve">killed.  It was often reissued with additions, The Godly</w:t></w:r>
</w:p>
<w:p>
<w:pPr><w:pStyle w:val="Normal"/></w:pPr>
<w:r><w:t xml:space="preserve">Man&apos;s Portion in 1663, Heaven Opened in 1666, The World</w:t></w:r>
</w:p>
<w:p>
<w:pPr><w:pStyle w:val="Normal"/></w:pPr>
<w:r><w:t xml:space="preserve">Conquered in 1668.  He also published a book of sermons</w:t></w:r>
</w:p>
<w:p>
<w:pPr><w:pStyle w:val="Normal"/></w:pPr>
<w:r><w:t xml:space="preserve">Godly Fear, in 1664, and other less noticeable devotional compilations.</w:t></w:r>
</w:p>
<w:p>
<w:pPr><w:pStyle w:val="Normal"/></w:pPr>
<w:r><w:t xml:space="preserve">See Calamy, s.v.; Palmer&apos;s Nonconf: Mem. iii. 167-168;</w:t></w:r>
</w:p>
<w:p>
<w:pPr><w:pStyle w:val="Heading1"/></w:pPr>
<w:r><w:t>C. Stanford&apos;s Joseph Ailleine; Researches at Batcomb</w:t></w:r>
</w:p>
<w:p>
<w:pPr><w:pStyle w:val="Normal"/></w:pPr>
<w:r><w:t xml:space="preserve">and Frome Selwood; Wood&apos;s Athenae (Bliss), iv. 13.</w:t></w:r>
</w:p>
<w:p>
<w:pPr><w:pStyle w:val="Normal"/></w:pPr>
<w:r><w:t xml:space="preserve">ALLEMANDE (Fr. for danse allemande, or German dance),</w:t></w:r>
</w:p>
<w:p>
<w:pPr><w:pStyle w:val="Normal"/></w:pPr>
<w:r><w:t xml:space="preserve">a name for two kinds of dance, one a German national dance,</w:t></w:r>
</w:p>
<w:p>
<w:pPr><w:pStyle w:val="Normal"/></w:pPr>
<w:r><w:t xml:space="preserve">in 2-4 time, the other somewhat resembling a waltz.  The</w:t></w:r>
</w:p>
<w:p>
<w:pPr><w:pStyle w:val="Normal"/></w:pPr>
<w:r><w:t xml:space="preserve">movement in a suite following the prelude, and preceding</w:t></w:r>
</w:p>
<w:p>
<w:pPr><w:pStyle w:val="Normal"/></w:pPr>
<w:r><w:t xml:space="preserve">the courante (q.v.), with which it is contrasted in</w:t></w:r>
</w:p>
<w:p>
<w:pPr><w:pStyle w:val="Normal"/></w:pPr>
<w:r><w:t xml:space="preserve">rhythm, is also called an allemande, but has no connexion</w:t></w:r>
</w:p>
<w:p>
<w:pPr><w:pStyle w:val="Normal"/></w:pPr>
<w:r><w:t xml:space="preserve">with the dance.  The name, however, is given to pieces</w:t></w:r>
</w:p>
<w:p>
<w:pPr><w:pStyle w:val="Normal"/></w:pPr>
<w:r><w:t xml:space="preserve">of music based on the dance movement, examples of which</w:t></w:r>
</w:p>
<w:p>
<w:pPr><w:pStyle w:val="Normal"/></w:pPr>
<w:r><w:t xml:space="preserve">are found in Beethoven&apos;s German dances for the orchestra.</w:t></w:r>
</w:p>
<w:p>
<w:pPr><w:pStyle w:val="Normal"/></w:pPr>
<w:r><w:t xml:space="preserve">ALLEN, ETHAN (1739--1789), American soldier, was born at</w:t></w:r>
</w:p>
<w:p>
<w:pPr><w:pStyle w:val="Normal"/></w:pPr>
<w:r><w:t xml:space="preserve">Litchfield, Connecticut, on the 10th of January 1739.  He</w:t></w:r>
</w:p>
<w:p>
<w:pPr><w:pStyle w:val="Normal"/></w:pPr>
<w:r><w:t xml:space="preserve">removed, probably in 1769, to the ``New Hampshire Grants,&apos;&apos;</w:t></w:r>
</w:p>
<w:p>
<w:pPr><w:pStyle w:val="Normal"/></w:pPr>
<w:r><w:t xml:space="preserve">where he took up lands, and eventually became a leader of those</w:t></w:r>
</w:p>
<w:p>
<w:pPr><w:pStyle w:val="Normal"/></w:pPr>
<w:r><w:t xml:space="preserve">who refused to recognize the jurisdiction of New York, and</w:t></w:r>
</w:p>
<w:p>
<w:pPr><w:pStyle w:val="Normal"/></w:pPr>
<w:r><w:t xml:space="preserve">contended for the organization of the ``Grants&apos;&apos; into a separate</w:t></w:r>
</w:p>
<w:p>
<w:pPr><w:pStyle w:val="Normal"/></w:pPr>
<w:r><w:t xml:space="preserve">province.  About 1771 he was placed at the head of the ``Green</w:t></w:r>
</w:p>
<w:p>
<w:pPr><w:pStyle w:val="Normal"/></w:pPr>
<w:r><w:t xml:space="preserve">Mountain Boys,&apos;&apos; an irregular force organized for resistance</w:t></w:r>
</w:p>
<w:p>
<w:pPr><w:pStyle w:val="Normal"/></w:pPr>
<w:r><w:t xml:space="preserve">to the ``Yorkers.&apos;&apos; On the 10th of May 1775, soon after the</w:t></w:r>
</w:p>
<w:p>
<w:pPr><w:pStyle w:val="Normal"/></w:pPr>
<w:r><w:t xml:space="preserve">outbreak of the War of American Independence, in command of a</w:t></w:r>
</w:p>
<w:p>
<w:pPr><w:pStyle w:val="Normal"/></w:pPr>
<w:r><w:t xml:space="preserve">force, which he had assisted some members of the Connecticut</w:t></w:r>
</w:p>
<w:p>
<w:pPr><w:pStyle w:val="Normal"/></w:pPr>
<w:r><w:t xml:space="preserve">assembly to raise for the purpose, he captured Ticonderoga</w:t></w:r>
</w:p>
<w:p>
<w:pPr><w:pStyle w:val="Normal"/></w:pPr>
<w:r><w:t xml:space="preserve">from its British garrison, calling upon its commanding officer</w:t></w:r>
</w:p>
<w:p>
<w:pPr><w:pStyle w:val="Normal"/></w:pPr>
<w:r><w:t xml:space="preserve">--according to the unverified account of Allen himself-- to</w:t></w:r>
</w:p>
<w:p>
<w:pPr><w:pStyle w:val="Normal"/></w:pPr>
<w:r><w:t xml:space="preserve">surrender ``in the name of the great Jehovah and the Continental</w:t></w:r>
</w:p>
<w:p>
<w:pPr><w:pStyle w:val="Normal"/></w:pPr>
<w:r><w:t xml:space="preserve">Congress.&apos;&apos; Seth Warner being elected colonel of the ``Green</w:t></w:r>
</w:p>
<w:p>
<w:pPr><w:pStyle w:val="Normal"/></w:pPr>
<w:r><w:t xml:space="preserve">Mountain Boys&apos;&apos; in July 1775, Allen, piqued, joined General</w:t></w:r>
</w:p>
<w:p>
<w:pPr><w:pStyle w:val="Normal"/></w:pPr>
<w:r><w:t xml:space="preserve">Philip Schuyler, and later with a small command, but without</w:t></w:r>
</w:p>
<w:p>
<w:pPr><w:pStyle w:val="Normal"/></w:pPr>
<w:r><w:t xml:space="preserve">rank, accompanied General Richard Montgomery&apos;s expedition</w:t></w:r>
</w:p>
<w:p>
<w:pPr><w:pStyle w:val="Normal"/></w:pPr>
<w:r><w:t xml:space="preserve">against Canada.  On the 25th of September 1775 near Montreal</w:t></w:r>
</w:p>
<w:p>
<w:pPr><w:pStyle w:val="Normal"/></w:pPr>
<w:r><w:t xml:space="preserve">he was captured by the British, and until exchanged on the</w:t></w:r>
</w:p>
<w:p>
<w:pPr><w:pStyle w:val="Normal"/></w:pPr>
<w:r><w:t xml:space="preserve">6th of May 1778 remained a prisoner at Falmouth, England, at</w:t></w:r>
</w:p>
<w:p>
<w:pPr><w:pStyle w:val="Normal"/></w:pPr>
<w:r><w:t xml:space="preserve">Halifax, Nova Scotia, and in New York.  Upon his release</w:t></w:r>
</w:p>
<w:p>
<w:pPr><w:pStyle w:val="Normal"/></w:pPr>
<w:r><w:t xml:space="preserve">he was brevetted colonel by the Continental Congress.  He</w:t></w:r>
</w:p>
<w:p>
<w:pPr><w:pStyle w:val="Normal"/></w:pPr>
<w:r><w:t xml:space="preserve">then, as brigadier-general of the militia of Vermont, resumed</w:t></w:r>
</w:p>
<w:p>
<w:pPr><w:pStyle w:val="Normal"/></w:pPr>
<w:r><w:t xml:space="preserve">his opposition to New York, and from 1779 to 1783, acting</w:t></w:r>
</w:p>
<w:p>
<w:pPr><w:pStyle w:val="Normal"/></w:pPr>
<w:r><w:t xml:space="preserve">with his brother, Ira Allen, and several others, carried on</w:t></w:r>
</w:p>
<w:p>
<w:pPr><w:pStyle w:val="Normal"/></w:pPr>
<w:r><w:t xml:space="preserve">negotiations, indirectly, with Governor Frederick Haldimand of</w:t></w:r>
</w:p>
<w:p>
<w:pPr><w:pStyle w:val="Normal"/></w:pPr>
<w:r><w:t xml:space="preserve">Canada, who hoped to win the Vermonters over to the British</w:t></w:r>
</w:p>
<w:p>
<w:pPr><w:pStyle w:val="Normal"/></w:pPr>
<w:r><w:t xml:space="preserve">cause.  He seems to have assured Haldimand&apos;s agent that</w:t></w:r>
</w:p>
<w:p>
<w:pPr><w:pStyle w:val="Normal"/></w:pPr>
<w:r><w:t xml:space="preserve">``I shall do everything in my power to make this state a</w:t></w:r>
</w:p>
<w:p>
<w:pPr><w:pStyle w:val="Normal"/></w:pPr>
<w:r><w:t xml:space="preserve">British province.&apos;&apos; In March 1781 he wrote to Congress, with</w:t></w:r>
</w:p>
<w:p>
<w:pPr><w:pStyle w:val="Normal"/></w:pPr>
<w:r><w:t xml:space="preserve">characteristic bluster, ``I am as resolutely determined to</w:t></w:r>
</w:p>
<w:p>
<w:pPr><w:pStyle w:val="Normal"/></w:pPr>
<w:r><w:t xml:space="preserve">defend the independence of Vermont as congress that of the United</w:t></w:r>
</w:p>
<w:p>
<w:pPr><w:pStyle w:val="Normal"/></w:pPr>
<w:r><w:t xml:space="preserve">States, and rather than fail will retire with the hardy Green</w:t></w:r>
</w:p>
<w:p>
<w:pPr><w:pStyle w:val="Normal"/></w:pPr>
<w:r><w:t xml:space="preserve">Mountain Boys into the desolate caverns of the mountains and</w:t></w:r>
</w:p>
<w:p>
<w:pPr><w:pStyle w:val="Normal"/></w:pPr>
<w:r><w:t xml:space="preserve">wage war with human nature at large.&apos;&apos; He removed to Burlington,</w:t></w:r>
</w:p>
<w:p>
<w:pPr><w:pStyle w:val="Normal"/></w:pPr>
<w:r><w:t xml:space="preserve">Vermont, in 1787, and died there on the 11th of February</w:t></w:r>
</w:p>
<w:p>
<w:pPr><w:pStyle w:val="Normal"/></w:pPr>
<w:r><w:t xml:space="preserve">1789.  He was, says Tyler, ``a blustering frontier hero--an</w:t></w:r>
</w:p>
<w:p>
<w:pPr><w:pStyle w:val="Normal"/></w:pPr>
<w:r><w:t xml:space="preserve">able-minded ignoramus of rough and ready humour, of boundless</w:t></w:r>
</w:p>
<w:p>
<w:pPr><w:pStyle w:val="Normal"/></w:pPr>
<w:r><w:t xml:space="preserve">self-confidence, and of a shrewdness in thought and action</w:t></w:r>
</w:p>
<w:p>
<w:pPr><w:pStyle w:val="Normal"/></w:pPr>
<w:r><w:t xml:space="preserve">equal to almost any emergency.&apos;&apos; Allen wrote a Narrative of</w:t></w:r>
</w:p>
<w:p>
<w:pPr><w:pStyle w:val="Normal"/></w:pPr>
<w:r><w:t xml:space="preserve">Colonel Ethan Allen&apos;s Captivity (1779), the most celebrated</w:t></w:r>
</w:p>
<w:p>
<w:pPr><w:pStyle w:val="Normal"/></w:pPr>
<w:r><w:t xml:space="preserve">book in the ``prison literature&apos;&apos; of the American revolution; A</w:t></w:r>
</w:p>
<w:p>
<w:pPr><w:pStyle w:val="Normal"/></w:pPr>
<w:r><w:t xml:space="preserve">Vindication of the Inhabitants of Vermont to the Government of</w:t></w:r>
</w:p>
<w:p>
<w:pPr><w:pStyle w:val="Normal"/></w:pPr>
<w:r><w:t xml:space="preserve">New York and their Right to term an Independent Slate (1779);</w:t></w:r>
</w:p>
<w:p>
<w:pPr><w:pStyle w:val="Normal"/></w:pPr>
<w:r><w:t xml:space="preserve">and Reason, the Only Oracle of Man; or A Compendious System</w:t></w:r>
</w:p>
<w:p>
<w:pPr><w:pStyle w:val="Normal"/></w:pPr>
<w:r><w:t xml:space="preserve">of Natural Religion, Alternately adorned with Confutations</w:t></w:r>
</w:p>
<w:p>
<w:pPr><w:pStyle w:val="Normal"/></w:pPr>
<w:r><w:t xml:space="preserve">of a Variety of Doctrines incompatible with it (1784).</w:t></w:r>
</w:p>
<w:p>
<w:pPr><w:pStyle w:val="Normal"/></w:pPr>
<w:r><w:t xml:space="preserve">Ethan&apos;s youngest brother, IRA ALLEN (1751--1814), born</w:t></w:r>
</w:p>
<w:p>
<w:pPr><w:pStyle w:val="Normal"/></w:pPr>
<w:r><w:t xml:space="preserve">on the 21st of April 1751 at Cornwall, Connecticut, also</w:t></w:r>
</w:p>
<w:p>
<w:pPr><w:pStyle w:val="Normal"/></w:pPr>
<w:r><w:t xml:space="preserve">removed to the New Hampshire Grants, where he became one of</w:t></w:r>
</w:p>
<w:p>
<w:pPr><w:pStyle w:val="Normal"/></w:pPr>
<w:r><w:t xml:space="preserve">the most influential political leaders.  In 1775 he took part</w:t></w:r>
</w:p>
<w:p>
<w:pPr><w:pStyle w:val="Normal"/></w:pPr>
<w:r><w:t xml:space="preserve">in the capture of Ticonderoga and the invasion of Canada.</w:t></w:r>
</w:p>
<w:p>
<w:pPr><w:pStyle w:val="Normal"/></w:pPr>
<w:r><w:t xml:space="preserve">He was a member of the convention which met at Winchester,</w:t></w:r>
</w:p>
<w:p>
<w:pPr><w:pStyle w:val="Normal"/></w:pPr>
<w:r><w:t xml:space="preserve">Vermont, and in January 1777 declared the independence of the</w:t></w:r>
</w:p>
<w:p>
<w:pPr><w:pStyle w:val="Normal"/></w:pPr>
<w:r><w:t xml:space="preserve">New Hampshire Grants; served (1776-1786) as a member of the</w:t></w:r>
</w:p>
<w:p>
<w:pPr><w:pStyle w:val="Normal"/></w:pPr>
<w:r><w:t xml:space="preserve">Vermont council of safety; conducted negotiations, on behalf of</w:t></w:r>
</w:p>
<w:p>
<w:pPr><w:pStyle w:val="Normal"/></w:pPr>
<w:r><w:t xml:space="preserve">Vermont, for a truce with the British and for an exchange of</w:t></w:r>
</w:p>
<w:p>
<w:pPr><w:pStyle w:val="Normal"/></w:pPr>
<w:r><w:t xml:space="preserve">prisoners, in 1781; served for eight terms in the general</w:t></w:r>
</w:p>
<w:p>
<w:pPr><w:pStyle w:val="Normal"/></w:pPr>
<w:r><w:t xml:space="preserve">assembly, and was state treasurer from 1778 to 1786 and</w:t></w:r>
</w:p>
<w:p>
<w:pPr><w:pStyle w:val="Normal"/></w:pPr>
<w:r><w:t xml:space="preserve">surveyor-general from 1778 to 1787.  In 1789, by a gift of</w:t></w:r>
</w:p>
<w:p>
<w:pPr><w:pStyle w:val="Heading1"/></w:pPr>
<w:r><w:t>L. 4000, he made possible the establishment of the university of</w:t></w:r>
</w:p>
<w:p>
<w:pPr><w:pStyle w:val="Normal"/></w:pPr>
<w:r><w:t xml:space="preserve">Vermont, of which institution, chartered in 1791 and built at</w:t></w:r>
</w:p>
<w:p>
<w:pPr><w:pStyle w:val="Normal"/></w:pPr>
<w:r><w:t xml:space="preserve">Burlington in deference to his wishes, he was thus virtually the</w:t></w:r>
</w:p>
<w:p>
<w:pPr><w:pStyle w:val="Normal"/></w:pPr>
<w:r><w:t xml:space="preserve">founder.  In 1795, on behalf of the state, he purchased from</w:t></w:r>
</w:p>
<w:p>
<w:pPr><w:pStyle w:val="Normal"/></w:pPr>
<w:r><w:t xml:space="preserve">the French government arms for the Vermont militia, of which</w:t></w:r>
</w:p>
<w:p>
<w:pPr><w:pStyle w:val="Normal"/></w:pPr>
<w:r><w:t xml:space="preserve">he was then the ranking major-general, but he was captured by</w:t></w:r>
</w:p>
<w:p>
<w:pPr><w:pStyle w:val="Normal"/></w:pPr>
<w:r><w:t xml:space="preserve">a British cruiser west of Ireland on his return journey, was</w:t></w:r>
</w:p>
<w:p>
<w:pPr><w:pStyle w:val="Normal"/></w:pPr>
<w:r><w:t xml:space="preserve">charged with attempting to furnish insurrectionary Irish with</w:t></w:r>
</w:p>
<w:p>
<w:pPr><w:pStyle w:val="Normal"/></w:pPr>
<w:r><w:t xml:space="preserve">arms, and after prolonged litigation in the British courts,</w:t></w:r>
</w:p>
<w:p>
<w:pPr><w:pStyle w:val="Normal"/></w:pPr>
<w:r><w:t xml:space="preserve">the case not being finally decided until 1504, returned to</w:t></w:r>
</w:p>
<w:p>
<w:pPr><w:pStyle w:val="Normal"/></w:pPr>
<w:r><w:t xml:space="preserve">Vermont in 1801.  During his absence he had been dispossessed</w:t></w:r>
</w:p>
<w:p>
<w:pPr><w:pStyle w:val="Normal"/></w:pPr>
<w:r><w:t xml:space="preserve">of his large holdings of land through the operation of tax</w:t></w:r>
</w:p>
<w:p>
<w:pPr><w:pStyle w:val="Normal"/></w:pPr>
<w:r><w:t xml:space="preserve">laws, and to escape imprisonment for debt, he removed to</w:t></w:r>
</w:p>
<w:p>
<w:pPr><w:pStyle w:val="Normal"/></w:pPr>
<w:r><w:t xml:space="preserve">Philadelphia, where on the 4th of January 1814 he died.</w:t></w:r>
</w:p>
<w:p>
<w:pPr><w:pStyle w:val="Normal"/></w:pPr>
<w:r><w:t xml:space="preserve">He published a dull and biassed, but useful Natural and</w:t></w:r>
</w:p>
<w:p>
<w:pPr><w:pStyle w:val="Normal"/></w:pPr>
<w:r><w:t xml:space="preserve">Political History of Vermont (1798), reissued (1870) in vol.</w:t></w:r>
</w:p>
<w:p>
<w:pPr><w:pStyle w:val="Normal"/></w:pPr>
<w:r><w:t xml:space="preserve">i. of the Collections of the Vermont Historical Society.</w:t></w:r>
</w:p>
<w:p>
<w:pPr><w:pStyle w:val="Normal"/></w:pPr>
<w:r><w:t xml:space="preserve">There is no adequate biography of Ethan Allen, but Henry</w:t></w:r>
</w:p>
<w:p>
<w:pPr><w:pStyle w:val="Normal"/></w:pPr>
<w:r><w:t xml:space="preserve">Hall&apos;s Ethan Allen (New York, 1892) may be consulted.  The</w:t></w:r>
</w:p>
<w:p>
<w:pPr><w:pStyle w:val="Normal"/></w:pPr>
<w:r><w:t xml:space="preserve">best literary estimate may be found in M. C. Tyler&apos;s Literary</w:t></w:r>
</w:p>
<w:p>
<w:pPr><w:pStyle w:val="Normal"/></w:pPr>
<w:r><w:t xml:space="preserve">History of the American Revolution (2 vols., New York, 1897).</w:t></w:r>
</w:p>
<w:p>
<w:pPr><w:pStyle w:val="Normal"/></w:pPr>
<w:r><w:t xml:space="preserve">ALLEN, GRANT [CHARLES GRANT BLAIRFINDIE], (1848--1899),</w:t></w:r>
</w:p>
<w:p>
<w:pPr><w:pStyle w:val="Normal"/></w:pPr>
<w:r><w:t xml:space="preserve">English author, son of a clergyman of Irish descent, was born</w:t></w:r>
</w:p>
<w:p>
<w:pPr><w:pStyle w:val="Normal"/></w:pPr>
<w:r><w:t xml:space="preserve">at Kingston, Ontario, Canada, on the 24th of February 1848.</w:t></w:r>
</w:p>
<w:p>
<w:pPr><w:pStyle w:val="Normal"/></w:pPr>
<w:r><w:t xml:space="preserve">He was educated partly in America and France, and in England</w:t></w:r>
</w:p>
<w:p>
<w:pPr><w:pStyle w:val="Normal"/></w:pPr>
<w:r><w:t xml:space="preserve">at King Edward&apos;s School, Birmingham, and afterwards at Merton,</w:t></w:r>
</w:p>
<w:p>
<w:pPr><w:pStyle w:val="Normal"/></w:pPr>
<w:r><w:t xml:space="preserve">Oxford.  He was for a few years a schoolmaster in Jamaica, but</w:t></w:r>
</w:p>
<w:p>
<w:pPr><w:pStyle w:val="Normal"/></w:pPr>
<w:r><w:t xml:space="preserve">then made his home in England, where he became prominent as a</w:t></w:r>
</w:p>
<w:p>
<w:pPr><w:pStyle w:val="Normal"/></w:pPr>
<w:r><w:t xml:space="preserve">writer.  He died at his house on Hindhead, Haslemere, on</w:t></w:r>
</w:p>
<w:p>
<w:pPr><w:pStyle w:val="Normal"/></w:pPr>
<w:r><w:t xml:space="preserve">the 24th of October 1899.  Grant Allen was a voluminous</w:t></w:r>
</w:p>
<w:p>
<w:pPr><w:pStyle w:val="Normal"/></w:pPr>
<w:r><w:t xml:space="preserve">author.  He was full of interesting scientific knowledge and</w:t></w:r>
</w:p>
<w:p>
<w:pPr><w:pStyle w:val="Normal"/></w:pPr>
<w:r><w:t xml:space="preserve">had a gift for expression both in biological exposition and in</w:t></w:r>
</w:p>
<w:p>
<w:pPr><w:pStyle w:val="Normal"/></w:pPr>
<w:r><w:t xml:space="preserve">fiction.  His more purely scientific books (such as Physiological</w:t></w:r>
</w:p>
<w:p>
<w:pPr><w:pStyle w:val="Normal"/></w:pPr>
<w:r><w:t xml:space="preserve">Aesthetics, 1877; The Evolutionist at Large, 1881; The</w:t></w:r>
</w:p>
<w:p>
<w:pPr><w:pStyle w:val="Normal"/></w:pPr>
<w:r><w:t xml:space="preserve">Evolution of the Idea of God, 1897) contain much original</w:t></w:r>
</w:p>
<w:p>
<w:pPr><w:pStyle w:val="Normal"/></w:pPr>
<w:r><w:t xml:space="preserve">matter, popularly expressed, and he was a cultured exponent</w:t></w:r>
</w:p>
<w:p>
<w:pPr><w:pStyle w:val="Normal"/></w:pPr>
<w:r><w:t xml:space="preserve">of the evolutionary idea in various aspects of biology and</w:t></w:r>
</w:p>
<w:p>
<w:pPr><w:pStyle w:val="Normal"/></w:pPr>
<w:r><w:t xml:space="preserve">anthropology.  He first attracted attention as a novelist</w:t></w:r>
</w:p>
<w:p>
<w:pPr><w:pStyle w:val="Normal"/></w:pPr>
<w:r><w:t xml:space="preserve">with a sensational story, The Devil&apos;s Die (1888), though</w:t></w:r>
</w:p>
<w:p>
<w:pPr><w:pStyle w:val="Normal"/></w:pPr>
<w:r><w:t xml:space="preserve">this was by no means his first attempt at fiction; and The</w:t></w:r>
</w:p>
<w:p>
<w:pPr><w:pStyle w:val="Normal"/></w:pPr>
<w:r><w:t xml:space="preserve">Woman who Did (1895), which had a succes de scandale on</w:t></w:r>
</w:p>
<w:p>
<w:pPr><w:pStyle w:val="Normal"/></w:pPr>
<w:r><w:t xml:space="preserve">account of its treatment of the sexual problem, had for the</w:t></w:r>
</w:p>
<w:p>
<w:pPr><w:pStyle w:val="Normal"/></w:pPr>
<w:r><w:t xml:space="preserve">moment a number of cheap imitators.  Other volumes flowed</w:t></w:r>
</w:p>
<w:p>
<w:pPr><w:pStyle w:val="Normal"/></w:pPr>
<w:r><w:t xml:space="preserve">from his pen, and his name became well known in contemporary</w:t></w:r>
</w:p>
<w:p>
<w:pPr><w:pStyle w:val="Normal"/></w:pPr>
<w:r><w:t xml:space="preserve">literature.  But his reputation was essentially contemporary and</w:t></w:r>
</w:p>
<w:p>
<w:pPr><w:pStyle w:val="Normal"/></w:pPr>
<w:r><w:t xml:space="preserve">characteristic of the vogue peculiar to the journalistic type.</w:t></w:r>
</w:p>
<w:p>
<w:pPr><w:pStyle w:val="Normal"/></w:pPr>
<w:r><w:t xml:space="preserve">ALLEN, JAMES LANE (1850- ), American novelist, was born near</w:t></w:r>
</w:p>
<w:p>
<w:pPr><w:pStyle w:val="Normal"/></w:pPr>
<w:r><w:t xml:space="preserve">Lexington, Rentucky, on the 21st of December 1850.  He graduated</w:t></w:r>
</w:p>
<w:p>
<w:pPr><w:pStyle w:val="Normal"/></w:pPr>
<w:r><w:t xml:space="preserve">at Kentucky University, Lexington, in 1872, taught at Fort</w:t></w:r>
</w:p>
<w:p>
<w:pPr><w:pStyle w:val="Normal"/></w:pPr>
<w:r><w:t xml:space="preserve">Spring, Kentucky, at Richmond and at Lexington, Missouri, and</w:t></w:r>
</w:p>
<w:p>
<w:pPr><w:pStyle w:val="Normal"/></w:pPr>
<w:r><w:t xml:space="preserve">from 1877 to 1879 at the academy of Kentucky University, where</w:t></w:r>
</w:p>
<w:p>
<w:pPr><w:pStyle w:val="Normal"/></w:pPr>
<w:r><w:t xml:space="preserve">he was principal and taught modern languages; in 1880 he was</w:t></w:r>
</w:p>
<w:p>
<w:pPr><w:pStyle w:val="Normal"/></w:pPr>
<w:r><w:t xml:space="preserve">professor of Latin and English at Bethany College, Bethany,</w:t></w:r>
</w:p>
<w:p>
<w:pPr><w:pStyle w:val="Normal"/></w:pPr>
<w:r><w:t xml:space="preserve">West Virginia; and then became head of a private school at</w:t></w:r>
</w:p>
<w:p>
<w:pPr><w:pStyle w:val="Normal"/></w:pPr>
<w:r><w:t xml:space="preserve">Lexington, Kentucky.  Subsequently he gave up teaching, went</w:t></w:r>
</w:p>
<w:p>
<w:pPr><w:pStyle w:val="Normal"/></w:pPr>
<w:r><w:t xml:space="preserve">to New York City, where he secured commissions for sketches of</w:t></w:r>
</w:p>
<w:p>
<w:pPr><w:pStyle w:val="Normal"/></w:pPr>
<w:r><w:t xml:space="preserve">the ``Blue Grass&apos;&apos; region, and thereafter devoted himself to</w:t></w:r>
</w:p>
<w:p>
<w:pPr><w:pStyle w:val="Normal"/></w:pPr>
<w:r><w:t xml:space="preserve">literature.  His Choir Invisible, coming after other</w:t></w:r>
</w:p>
<w:p>
<w:pPr><w:pStyle w:val="Normal"/></w:pPr>
<w:r><w:t xml:space="preserve">successful stories, made his name well known in England as</w:t></w:r>
</w:p>
<w:p>
<w:pPr><w:pStyle w:val="Normal"/></w:pPr>
<w:r><w:t xml:space="preserve">well as America.  His published works include: With Flute</w:t></w:r>
</w:p>
<w:p>
<w:pPr><w:pStyle w:val="Normal"/></w:pPr>
<w:r><w:t xml:space="preserve">and Violin (1891), The Blue Grass Region (1892), John</w:t></w:r>
</w:p>
<w:p>
<w:pPr><w:pStyle w:val="Normal"/></w:pPr>
<w:r><w:t xml:space="preserve">Gray (1893), A Kentucky Cardinal (1894), Aftermath</w:t></w:r>
</w:p>
<w:p>
<w:pPr><w:pStyle w:val="Normal"/></w:pPr>
<w:r><w:t xml:space="preserve">(1895), A Summer in Arcady (1896), The Choir Invisible</w:t></w:r>
</w:p>
<w:p>
<w:pPr><w:pStyle w:val="Normal"/></w:pPr>
<w:r><w:t xml:space="preserve">(1897), The Reign of Law&apos; (1900), The Mettle of the</w:t></w:r>
</w:p>
<w:p>
<w:pPr><w:pStyle w:val="Normal"/></w:pPr>
<w:r><w:t xml:space="preserve">Pasture (1903), and The Bride of the Mistleloe (1909.)</w:t></w:r>
</w:p>
<w:p>
<w:pPr><w:pStyle w:val="Normal"/></w:pPr>
<w:r><w:t xml:space="preserve">ALLEN, JOHN (1476--1534), English divine, after studying</w:t></w:r>
</w:p>
<w:p>
<w:pPr><w:pStyle w:val="Normal"/></w:pPr>
<w:r><w:t xml:space="preserve">at both Oxford and Cambridge, was sent by Archbishop Warham</w:t></w:r>
</w:p>
<w:p>
<w:pPr><w:pStyle w:val="Normal"/></w:pPr>
<w:r><w:t xml:space="preserve">on an ecclesiastical mission to Rome.  On his return he held</w:t></w:r>
</w:p>
<w:p>
<w:pPr><w:pStyle w:val="Normal"/></w:pPr>
<w:r><w:t xml:space="preserve">a number of livings in succession, and in 1516 was rector of</w:t></w:r>
</w:p>
<w:p>
<w:pPr><w:pStyle w:val="Normal"/></w:pPr>
<w:r><w:t xml:space="preserve">South Ockendon, Essex, and prebendary of Lincoln Cathedral.</w:t></w:r>
</w:p>
<w:p>
<w:pPr><w:pStyle w:val="Normal"/></w:pPr>
<w:r><w:t xml:space="preserve">In the suppression of the minor monasteries in 1524--1525</w:t></w:r>
</w:p>
<w:p>
<w:pPr><w:pStyle w:val="Normal"/></w:pPr>
<w:r><w:t xml:space="preserve">he gave Wolsey much assistance, and became prebendary of</w:t></w:r>
</w:p>
<w:p>
<w:pPr><w:pStyle w:val="Normal"/></w:pPr>
<w:r><w:t xml:space="preserve">Nottingham in 1526 and of St Paul&apos;s, London, in 1527.  These</w:t></w:r>
</w:p>
<w:p>
<w:pPr><w:pStyle w:val="Normal"/></w:pPr>
<w:r><w:t xml:space="preserve">prebends he resigned in 1528 on his election as archbishop of</w:t></w:r>
</w:p>
<w:p>
<w:pPr><w:pStyle w:val="Normal"/></w:pPr>
<w:r><w:t xml:space="preserve">Dublin.  For four years he was chancellor of Ireland but his</w:t></w:r>
</w:p>
<w:p>
<w:pPr><w:pStyle w:val="Normal"/></w:pPr>
<w:r><w:t xml:space="preserve">career was full of trouble.  In 1531 he was fined under the</w:t></w:r>
</w:p>
<w:p>
<w:pPr><w:pStyle w:val="Normal"/></w:pPr>
<w:r><w:t xml:space="preserve">Statutes of Provisors and Praemunire, and in 1534 met a violent</w:t></w:r>
</w:p>
<w:p>
<w:pPr><w:pStyle w:val="Normal"/></w:pPr>
<w:r><w:t xml:space="preserve">death at the hands of Lord Thomas Fitzgerald&apos;s followers.</w:t></w:r>
</w:p>
<w:p>
<w:pPr><w:pStyle w:val="Normal"/></w:pPr>
<w:r><w:t xml:space="preserve">ALLEN, or ALLEYN, THOMAS (1542-1632), English mathematician,</w:t></w:r>
</w:p>
<w:p>
<w:pPr><w:pStyle w:val="Normal"/></w:pPr>
<w:r><w:t xml:space="preserve">was born at Uttoxeter in Staffordshire on the 21st of December</w:t></w:r>
</w:p>
<w:p>
<w:pPr><w:pStyle w:val="Normal"/></w:pPr>
<w:r><w:t xml:space="preserve">1542.  He was admitted scholar of Trinity College, Oxford,</w:t></w:r>
</w:p>
<w:p>
<w:pPr><w:pStyle w:val="Normal"/></w:pPr>
<w:r><w:t xml:space="preserve">in 1561; and graduated as M.A. in 1567.  In 1580 he quitted</w:t></w:r>
</w:p>
<w:p>
<w:pPr><w:pStyle w:val="Normal"/></w:pPr>
<w:r><w:t xml:space="preserve">his college and fellowship, retired to Gloucester Hall, and</w:t></w:r>
</w:p>
<w:p>
<w:pPr><w:pStyle w:val="Normal"/></w:pPr>
<w:r><w:t xml:space="preserve">became famous for his knowledge of antiquity, philosophy and</w:t></w:r>
</w:p>
<w:p>
<w:pPr><w:pStyle w:val="Normal"/></w:pPr>
<w:r><w:t xml:space="preserve">mathematics.  Having received an invitation from Henry Percy,</w:t></w:r>
</w:p>
<w:p>
<w:pPr><w:pStyle w:val="Normal"/></w:pPr>
<w:r><w:t xml:space="preserve">earl of Northumberland, a great friend and patron of men of</w:t></w:r>
</w:p>
<w:p>
<w:pPr><w:pStyle w:val="Normal"/></w:pPr>
<w:r><w:t xml:space="preserve">science, he spent some time at the earl&apos;s house, where he</w:t></w:r>
</w:p>
<w:p>
<w:pPr><w:pStyle w:val="Normal"/></w:pPr>
<w:r><w:t xml:space="preserve">became acquainted with Thomas Harriot, John Dee and other famous</w:t></w:r>
</w:p>
<w:p>
<w:pPr><w:pStyle w:val="Normal"/></w:pPr>
<w:r><w:t xml:space="preserve">mathematicians.  He was also intimate with Sir Robert Cotton,</w:t></w:r>
</w:p>
<w:p>
<w:pPr><w:pStyle w:val="Normal"/></w:pPr>
<w:r><w:t xml:space="preserve">William Camden, and their antiquarian associates.  Robert</w:t></w:r>
</w:p>
<w:p>
<w:pPr><w:pStyle w:val="Normal"/></w:pPr>
<w:r><w:t xml:space="preserve">Dudley, earl of Leicester, had a particular esteem for Allen,</w:t></w:r>
</w:p>
<w:p>
<w:pPr><w:pStyle w:val="Normal"/></w:pPr>
<w:r><w:t xml:space="preserve">and would have conferred a bishopric upon him, but his love</w:t></w:r>
</w:p>
<w:p>
<w:pPr><w:pStyle w:val="Normal"/></w:pPr>
<w:r><w:t xml:space="preserve">of solitude made him decline the offer.  His great skill in</w:t></w:r>
</w:p>
<w:p>
<w:pPr><w:pStyle w:val="Normal"/></w:pPr>
<w:r><w:t xml:space="preserve">mathematics and astrology earned him the credit of being a</w:t></w:r>
</w:p>
<w:p>
<w:pPr><w:pStyle w:val="Normal"/></w:pPr>
<w:r><w:t xml:space="preserve">magician; and the author of Leicester&apos;s Commonwealth accuses</w:t></w:r>
</w:p>
<w:p>
<w:pPr><w:pStyle w:val="Normal"/></w:pPr>
<w:r><w:t xml:space="preserve">him of employing the art of ``figuring&apos;&apos; to further the earl</w:t></w:r>
</w:p>
<w:p>
<w:pPr><w:pStyle w:val="Normal"/></w:pPr>
<w:r><w:t xml:space="preserve">of Leicester&apos;s unlawful designs, and of endeavouring by the</w:t></w:r>
</w:p>
<w:p>
<w:pPr><w:pStyle w:val="Normal"/></w:pPr>
<w:r><w:t xml:space="preserve">black art to bring about a match between his patron and Queen</w:t></w:r>
</w:p>
<w:p>
<w:pPr><w:pStyle w:val="Normal"/></w:pPr>
<w:r><w:t xml:space="preserve">Elizabeth.  Allen was indefatigable in collecting scattered</w:t></w:r>
</w:p>
<w:p>
<w:pPr><w:pStyle w:val="Normal"/></w:pPr>
<w:r><w:t xml:space="preserve">manuscripts relating to history, antiquity, astronomy,</w:t></w:r>
</w:p>
<w:p>
<w:pPr><w:pStyle w:val="Normal"/></w:pPr>
<w:r><w:t xml:space="preserve">philosophy and mathematics.  A considerable part of his</w:t></w:r>
</w:p>
<w:p>
<w:pPr><w:pStyle w:val="Normal"/></w:pPr>
<w:r><w:t xml:space="preserve">collection was presented to the Bodleian library by Sir Kenelm</w:t></w:r>
</w:p>
<w:p>
<w:pPr><w:pStyle w:val="Normal"/></w:pPr>
<w:r><w:t xml:space="preserve">Digby.  He died on the 30th of September 1632 at Gloucester</w:t></w:r>
</w:p>
<w:p>
<w:pPr><w:pStyle w:val="Normal"/></w:pPr>
<w:r><w:t xml:space="preserve">Hall.  He published in Latin the second and third books</w:t></w:r>
</w:p>
<w:p>
<w:pPr><w:pStyle w:val="Normal"/></w:pPr>
<w:r><w:t xml:space="preserve">of Claudius Ptolemy of Pelusium, Concerning the Judgment</w:t></w:r>
</w:p>
<w:p>
<w:pPr><w:pStyle w:val="Normal"/></w:pPr>
<w:r><w:t xml:space="preserve">of the Stars, or, as it is commonly called, of the</w:t></w:r>
</w:p>
<w:p>
<w:pPr><w:pStyle w:val="Normal"/></w:pPr>
<w:r><w:t xml:space="preserve">Quadripartite Construction, with an Exposition. He also</w:t></w:r>
</w:p>
<w:p>
<w:pPr><w:pStyle w:val="Normal"/></w:pPr>
<w:r><w:t xml:space="preserve">wrote notes on John Bale&apos;s De Scriptoribus M. Britanniae.</w:t></w:r>
</w:p>
<w:p>
<w:pPr><w:pStyle w:val="Normal"/></w:pPr>
<w:r><w:t xml:space="preserve">ALLEN, WILLIAM (1532-1594), English cardinal, born at</w:t></w:r>
</w:p>
<w:p>
<w:pPr><w:pStyle w:val="Normal"/></w:pPr>
<w:r><w:t xml:space="preserve">Rossall, Lancashire, went in 1547 to Oriel College,</w:t></w:r>
</w:p>
<w:p>
<w:pPr><w:pStyle w:val="Normal"/></w:pPr>
<w:r><w:t xml:space="preserve">Oxford, and in 1556 became principal of St Mary Hall and</w:t></w:r>
</w:p>
<w:p>
<w:pPr><w:pStyle w:val="Normal"/></w:pPr>
<w:r><w:t xml:space="preserve">proctor.  According to Anthony Wood, he was appointed to a</w:t></w:r>
</w:p>
<w:p>
<w:pPr><w:pStyle w:val="Normal"/></w:pPr>
<w:r><w:t xml:space="preserve">canonry at York in or about 1558; he therefore had already</w:t></w:r>
</w:p>
<w:p>
<w:pPr><w:pStyle w:val="Normal"/></w:pPr>
<w:r><w:t xml:space="preserve">entered the clerical state by receiving the tonsure.  On</w:t></w:r>
</w:p>
<w:p>
<w:pPr><w:pStyle w:val="Normal"/></w:pPr>
<w:r><w:t xml:space="preserve">the accession of Elizabeth, he was deprived upon refusing</w:t></w:r>
</w:p>
<w:p>
<w:pPr><w:pStyle w:val="Normal"/></w:pPr>
<w:r><w:t xml:space="preserve">the oath of supremacy, but remained in Ihe university until</w:t></w:r>
</w:p>
<w:p>
<w:pPr><w:pStyle w:val="Normal"/></w:pPr>
<w:r><w:t xml:space="preserve">1561.  His known opposition to the new learning in religion</w:t></w:r>
</w:p>
<w:p>
<w:pPr><w:pStyle w:val="Normal"/></w:pPr>
<w:r><w:t xml:space="preserve">giving much offence, he escaped from England and went to</w:t></w:r>
</w:p>
<w:p>
<w:pPr><w:pStyle w:val="Normal"/></w:pPr>
<w:r><w:t xml:space="preserve">Louvain, where were gathered many students who had left the</w:t></w:r>
</w:p>
<w:p>
<w:pPr><w:pStyle w:val="Normal"/></w:pPr>
<w:r><w:t xml:space="preserve">English universities for conscience&apos; sake.  Here he continued</w:t></w:r>
</w:p>
<w:p>
<w:pPr><w:pStyle w:val="Normal"/></w:pPr>
<w:r><w:t xml:space="preserve">his theological studies and began to write controversial</w:t></w:r>
</w:p>
<w:p>
<w:pPr><w:pStyle w:val="Normal"/></w:pPr>
<w:r><w:t xml:space="preserve">treatises.  In 1562, on account of health, he returned</w:t></w:r>
</w:p>
<w:p>
<w:pPr><w:pStyle w:val="Normal"/></w:pPr>
<w:r><w:t xml:space="preserve">secretly to Lancashire and did much, by exhortation and</w:t></w:r>
</w:p>
<w:p>
<w:pPr><w:pStyle w:val="Normal"/></w:pPr>
<w:r><w:t xml:space="preserve">private meetings, to restrain those Catholics who attended</w:t></w:r>
</w:p>
<w:p>
<w:pPr><w:pStyle w:val="Normal"/></w:pPr>
<w:r><w:t xml:space="preserve">the new services in order to save their property from</w:t></w:r>
</w:p>
<w:p>
<w:pPr><w:pStyle w:val="Normal"/></w:pPr>
<w:r><w:t xml:space="preserve">confiscation.  His presence being known to the government,</w:t></w:r>
</w:p>
<w:p>
<w:pPr><w:pStyle w:val="Normal"/></w:pPr>
<w:r><w:t xml:space="preserve">he left Lancashire and retired to the neighbourhood of</w:t></w:r>
</w:p>
<w:p>
<w:pPr><w:pStyle w:val="Normal"/></w:pPr>
<w:r><w:t xml:space="preserve">Oxford, which he frequently visited, and where he influenced</w:t></w:r>
</w:p>
<w:p>
<w:pPr><w:pStyle w:val="Normal"/></w:pPr>
<w:r><w:t xml:space="preserve">many of the students.  After writing a treatise in defence</w:t></w:r>
</w:p>
<w:p>
<w:pPr><w:pStyle w:val="Normal"/></w:pPr>
<w:r><w:t xml:space="preserve">of the priestly power to remit sins, he was obliged to</w:t></w:r>
</w:p>
<w:p>
<w:pPr><w:pStyle w:val="Normal"/></w:pPr>
<w:r><w:t xml:space="preserve">leave and retired to Norfolk, leaving England soon after in</w:t></w:r>
</w:p>
<w:p>
<w:pPr><w:pStyle w:val="Normal"/></w:pPr>
<w:r><w:t xml:space="preserve">1565.  He returned to Flanders, was ordained at Malines, and</w:t></w:r>
</w:p>
<w:p>
<w:pPr><w:pStyle w:val="Normal"/></w:pPr>
<w:r><w:t xml:space="preserve">began to lecture in theology at the Benedictine college in that</w:t></w:r>
</w:p>
<w:p>
<w:pPr><w:pStyle w:val="Normal"/></w:pPr>
<w:r><w:t xml:space="preserve">city.  In 1567 he went to Rome for the first time, and there</w:t></w:r>
</w:p>
<w:p>
<w:pPr><w:pStyle w:val="Normal"/></w:pPr>
<w:r><w:t xml:space="preserve">began his plan for establishing a college where English</w:t></w:r>
</w:p>
<w:p>
<w:pPr><w:pStyle w:val="Normal"/></w:pPr>
<w:r><w:t xml:space="preserve">students could live together and finish their theological</w:t></w:r>
</w:p>
<w:p>
<w:pPr><w:pStyle w:val="Normal"/></w:pPr>
<w:r><w:t xml:space="preserve">course.  The idea subsequently developed into the establishing</w:t></w:r>
</w:p>
<w:p>
<w:pPr><w:pStyle w:val="Normal"/></w:pPr>
<w:r><w:t xml:space="preserve">of a missionary college, or seminary, to keep up a supply</w:t></w:r>
</w:p>
<w:p>
<w:pPr><w:pStyle w:val="Normal"/></w:pPr>
<w:r><w:t xml:space="preserve">of priests for England as long as the country remained</w:t></w:r>
</w:p>
<w:p>
<w:pPr><w:pStyle w:val="Normal"/></w:pPr>
<w:r><w:t xml:space="preserve">separated from the Holy See. With the help of friends,</w:t></w:r>
</w:p>
<w:p>
<w:pPr><w:pStyle w:val="Normal"/></w:pPr>
<w:r><w:t xml:space="preserve">and notably of the Benedictine abbots of the neighbouring</w:t></w:r>
</w:p>
<w:p>
<w:pPr><w:pStyle w:val="Normal"/></w:pPr>
<w:r><w:t xml:space="preserve">monasteries, a college was established at Douai (September</w:t></w:r>
</w:p>
<w:p>
<w:pPr><w:pStyle w:val="Normal"/></w:pPr>
<w:r><w:t xml:space="preserve">29, 1568); and here Allen was joined by many of the English</w:t></w:r>
</w:p>
<w:p>
<w:pPr><w:pStyle w:val="Normal"/></w:pPr>
<w:r><w:t xml:space="preserve">exiles.  This college, the first of the seminaries ordered</w:t></w:r>
</w:p>
<w:p>
<w:pPr><w:pStyle w:val="Normal"/></w:pPr>
<w:r><w:t xml:space="preserve">by the council of Trent, received the papal approval shortly</w:t></w:r>
</w:p>
<w:p>
<w:pPr><w:pStyle w:val="Normal"/></w:pPr>
<w:r><w:t xml:space="preserve">after its establishment; the king of Spain took it under his</w:t></w:r>
</w:p>
<w:p>
<w:pPr><w:pStyle w:val="Normal"/></w:pPr>
<w:r><w:t xml:space="preserve">protection and assigned it an annual grant.  Allen continued</w:t></w:r>
</w:p>
<w:p>
<w:pPr><w:pStyle w:val="Normal"/></w:pPr>
<w:r><w:t xml:space="preserve">his own theological studies and, after taking his doctorate,</w:t></w:r>
</w:p>
<w:p>
<w:pPr><w:pStyle w:val="Normal"/></w:pPr>
<w:r><w:t xml:space="preserve">became regius professor at the university.  Gregory XIII. in</w:t></w:r>
</w:p>
<w:p>
<w:pPr><w:pStyle w:val="Normal"/></w:pPr>
<w:r><w:t xml:space="preserve">1575 granted him a monthly pension of 100 golden crowns, and,</w:t></w:r>
</w:p>
<w:p>
<w:pPr><w:pStyle w:val="Normal"/></w:pPr>
<w:r><w:t xml:space="preserve">as the number of students had now risen to one hundred and</w:t></w:r>
</w:p>
<w:p>
<w:pPr><w:pStyle w:val="Normal"/></w:pPr>
<w:r><w:t xml:space="preserve">twenty, summoned him to Rome to undertake the establishing of</w:t></w:r>
</w:p>
<w:p>
<w:pPr><w:pStyle w:val="Normal"/></w:pPr>
<w:r><w:t xml:space="preserve">a similar college in the papal city.  By Allen&apos;s advice, the</w:t></w:r>
</w:p>
<w:p>
<w:pPr><w:pStyle w:val="Normal"/></w:pPr>
<w:r><w:t xml:space="preserve">old English hospice was turned into a seminary and Jesuits</w:t></w:r>
</w:p>
<w:p>
<w:pPr><w:pStyle w:val="Normal"/></w:pPr>
<w:r><w:t xml:space="preserve">were placed there to help Dr Maurice Clennock, the rector.</w:t></w:r>
</w:p>
<w:p>
<w:pPr><w:pStyle w:val="Normal"/></w:pPr>
<w:r><w:t xml:space="preserve">The pope appointed Allen to a canonry in Courtrai and sent</w:t></w:r>
</w:p>
<w:p>
<w:pPr><w:pStyle w:val="Normal"/></w:pPr>
<w:r><w:t xml:space="preserve">him back to Douai (July 1576); but here he had to face a new</w:t></w:r>
</w:p>
<w:p>
<w:pPr><w:pStyle w:val="Normal"/></w:pPr>
<w:r><w:t xml:space="preserve">difficulty.  Besides the reported plots to assassinate him</w:t></w:r>
</w:p>
<w:p>
<w:pPr><w:pStyle w:val="Normal"/></w:pPr>
<w:r><w:t xml:space="preserve">by agents of the English government, the insurgents against</w:t></w:r>
</w:p>
<w:p>
<w:pPr><w:pStyle w:val="Normal"/></w:pPr>
<w:r><w:t xml:space="preserve">Spain, urged on by Elizabeth&apos;s emissaries, expelled the</w:t></w:r>
</w:p>
<w:p>
<w:pPr><w:pStyle w:val="Normal"/></w:pPr>
<w:r><w:t xml:space="preserve">students from Douai as being partisans of the enemy (March</w:t></w:r>
</w:p>
<w:p>
<w:pPr><w:pStyle w:val="Normal"/></w:pPr>
<w:r><w:t xml:space="preserve">1578).  Allen moved his establishment to Reims under the</w:t></w:r>
</w:p>
<w:p>
<w:pPr><w:pStyle w:val="Normal"/></w:pPr>
<w:r><w:t xml:space="preserve">protection of the house of Guise; and it was here that the</w:t></w:r>
</w:p>
<w:p>
<w:pPr><w:pStyle w:val="Normal"/></w:pPr>
<w:r><w:t xml:space="preserve">English translation of the Scriptures, known as the Douai</w:t></w:r>
</w:p>
<w:p>
<w:pPr><w:pStyle w:val="Normal"/></w:pPr>
<w:r><w:t xml:space="preserve">Version, was begun under his direction (see BIBLE, ENGLISH.)</w:t></w:r>
</w:p>
<w:p>
<w:pPr><w:pStyle w:val="Normal"/></w:pPr>
<w:r><w:t xml:space="preserve">In 1577 he began a correspondence with Robert Parsons (q.v.),</w:t></w:r>
</w:p>
<w:p>
<w:pPr><w:pStyle w:val="Normal"/></w:pPr>
<w:r><w:t xml:space="preserve">the Jesuit, an intimacy that was fraught with disaster.  He was</w:t></w:r>
</w:p>
<w:p>
<w:pPr><w:pStyle w:val="Normal"/></w:pPr>
<w:r><w:t xml:space="preserve">summoned again to Rome in 1579 to quell the first of the many</w:t></w:r>
</w:p>
<w:p>
<w:pPr><w:pStyle w:val="Normal"/></w:pPr>
<w:r><w:t xml:space="preserve">disturbances that befell the English college under the Jesuit</w:t></w:r>
</w:p>
<w:p>
<w:pPr><w:pStyle w:val="Normal"/></w:pPr>
<w:r><w:t xml:space="preserve">influence.  Brought now into personal contact with Parsons,</w:t></w:r>
</w:p>
<w:p>
<w:pPr><w:pStyle w:val="Normal"/></w:pPr>
<w:r><w:t xml:space="preserve">Allen fell completely under the dominating personality of</w:t></w:r>
</w:p>
<w:p>
<w:pPr><w:pStyle w:val="Normal"/></w:pPr>
<w:r><w:t xml:space="preserve">the redoubtable Jesuit, and gave himself up entirely to his</w:t></w:r>
</w:p>
<w:p>
<w:pPr><w:pStyle w:val="Normal"/></w:pPr>
<w:r><w:t xml:space="preserve">influence.  He arranged that the Society should take over the</w:t></w:r>
</w:p>
<w:p>
<w:pPr><w:pStyle w:val="Normal"/></w:pPr>
<w:r><w:t xml:space="preserve">English college at Rome and should begin the Jesuit mission</w:t></w:r>
</w:p>
<w:p>
<w:pPr><w:pStyle w:val="Normal"/></w:pPr>
<w:r><w:t xml:space="preserve">to England (1580).  This short-sighted policy was the cause</w:t></w:r>
</w:p>
<w:p>
<w:pPr><w:pStyle w:val="Normal"/></w:pPr>
<w:r><w:t xml:space="preserve">of much grave trouble in the near future.  Returning to</w:t></w:r>
</w:p>
<w:p>
<w:pPr><w:pStyle w:val="Normal"/></w:pPr>
<w:r><w:t xml:space="preserve">Reims he began to take a part in all the political intrigues</w:t></w:r>
</w:p>
<w:p>
<w:pPr><w:pStyle w:val="Normal"/></w:pPr>
<w:r><w:t xml:space="preserve">which Parsons&apos; fertile brain had hatched for the promotion</w:t></w:r>
</w:p>
<w:p>
<w:pPr><w:pStyle w:val="Normal"/></w:pPr>
<w:r><w:t xml:space="preserve">of the Spanish interest in England.  Allen&apos;s political</w:t></w:r>
</w:p>
<w:p>
<w:pPr><w:pStyle w:val="Normal"/></w:pPr>
<w:r><w:t xml:space="preserve">career dates from this period.  Parsons had already intended</w:t></w:r>
</w:p>
<w:p>
<w:pPr><w:pStyle w:val="Normal"/></w:pPr>
<w:r><w:t xml:space="preserve">to remove Allen from the seminary at Reims, and for this</w:t></w:r>
</w:p>
<w:p>
<w:pPr><w:pStyle w:val="Normal"/></w:pPr>
<w:r><w:t xml:space="preserve">purpose, as far back as the 6th of April 1581, had recommended</w:t></w:r>
</w:p>
<w:p>
<w:pPr><w:pStyle w:val="Normal"/></w:pPr>
<w:r><w:t xml:space="preserve">him to Philip II. to be promoted to the cardinalate.  In</w:t></w:r>
</w:p>
<w:p>
<w:pPr><w:pStyle w:val="Normal"/></w:pPr>
<w:r><w:t xml:space="preserve">furtherance of the intrigues, Allen and Parsons went to Rome</w:t></w:r>
</w:p>
<w:p>
<w:pPr><w:pStyle w:val="Normal"/></w:pPr>
<w:r><w:t xml:space="preserve">again in 1585 and there Allen was kept for the rest of his</w:t></w:r>
</w:p>
<w:p>
<w:pPr><w:pStyle w:val="Normal"/></w:pPr>
<w:r><w:t xml:space="preserve">life.  In 1587, during the time that he was being skilfully</w:t></w:r>
</w:p>
<w:p>
<w:pPr><w:pStyle w:val="Normal"/></w:pPr>
<w:r><w:t xml:space="preserve">played with by Philip&apos;s agents, he wrote, helped by Parsons,</w:t></w:r>
</w:p>
<w:p>
<w:pPr><w:pStyle w:val="Normal"/></w:pPr>
<w:r><w:t xml:space="preserve">a shameless defence of a shameful deed.  Sir William Stanley,</w:t></w:r>
</w:p>
<w:p>
<w:pPr><w:pStyle w:val="Normal"/></w:pPr>
<w:r><w:t xml:space="preserve">an English olficer, had surrendered Deventer to the Spaniards;</w:t></w:r>
</w:p>
<w:p>
<w:pPr><w:pStyle w:val="Normal"/></w:pPr>
<w:r><w:t xml:space="preserve">and Allen wrote a book in defence of Stanley, saying that</w:t></w:r>
</w:p>
<w:p>
<w:pPr><w:pStyle w:val="Normal"/></w:pPr>
<w:r><w:t xml:space="preserve">all Englishmen were bound, under pain of damnation, to</w:t></w:r>
</w:p>
<w:p>
<w:pPr><w:pStyle w:val="Normal"/></w:pPr>
<w:r><w:t xml:space="preserve">follow the traitorous example, as Elizabeth was no lawful</w:t></w:r>
</w:p>
<w:p>
<w:pPr><w:pStyle w:val="Normal"/></w:pPr>
<w:r><w:t xml:space="preserve">queen.  He shared in all the projects for the invasion of</w:t></w:r>
</w:p>
<w:p>
<w:pPr><w:pStyle w:val="Normal"/></w:pPr>
<w:r><w:t xml:space="preserve">England, and was to have been archbishop of Canterbury and</w:t></w:r>
</w:p>
<w:p>
<w:pPr><w:pStyle w:val="Normal"/></w:pPr>
<w:r><w:t xml:space="preserve">lord chancellor had they succeeded.  Representing in reality</w:t></w:r>
</w:p>
<w:p>
<w:pPr><w:pStyle w:val="Normal"/></w:pPr>
<w:r><w:t xml:space="preserve">only his own party, Allen had on the continent the position</w:t></w:r>
</w:p>
<w:p>
<w:pPr><w:pStyle w:val="Normal"/></w:pPr>
<w:r><w:t xml:space="preserve">of the head of the Roman Catholics of England; and as such,</w:t></w:r>
</w:p>
<w:p>
<w:pPr><w:pStyle w:val="Normal"/></w:pPr>
<w:r><w:t xml:space="preserve">just after the death of Mary, queen of Scots, he wrote to</w:t></w:r>
</w:p>
<w:p>
<w:pPr><w:pStyle w:val="Normal"/></w:pPr>
<w:r><w:t xml:space="preserve">Philip II. (March 19, 1587) to exhort him to undertake the</w:t></w:r>
</w:p>
<w:p>
<w:pPr><w:pStyle w:val="Normal"/></w:pPr>
<w:r><w:t xml:space="preserve">enterprise against England, and declared that the Catholics</w:t></w:r>
</w:p>
<w:p>
<w:pPr><w:pStyle w:val="Normal"/></w:pPr>
<w:r><w:t xml:space="preserve">there were clamouring for the king to come and punish ``this</w:t></w:r>
</w:p>
<w:p>
<w:pPr><w:pStyle w:val="Normal"/></w:pPr>
<w:r><w:t xml:space="preserve">woman, hated by God and man.&apos;&apos; After much negotiation, he</w:t></w:r>
</w:p>
<w:p>
<w:pPr><w:pStyle w:val="Normal"/></w:pPr>
<w:r><w:t xml:space="preserve">was made cardinal by Sixtus V. on the 7th of August 1587,</w:t></w:r>
</w:p>
<w:p>
<w:pPr><w:pStyle w:val="Normal"/></w:pPr>
<w:r><w:t xml:space="preserve">nominally to supply the loss of the queen of Scotland, but in</w:t></w:r>
</w:p>
<w:p>
<w:pPr><w:pStyle w:val="Normal"/></w:pPr>
<w:r><w:t xml:space="preserve">reality to ensure the success of the Armada.  On his promotion</w:t></w:r>
</w:p>
<w:p>
<w:pPr><w:pStyle w:val="Normal"/></w:pPr>
<w:r><w:t xml:space="preserve">Allen wrote to Reims that he owed the hat, under God, to</w:t></w:r>
</w:p>
<w:p>
<w:pPr><w:pStyle w:val="Normal"/></w:pPr>
<w:r><w:t xml:space="preserve">Parsons.  One of his first acts was to issue, under his own</w:t></w:r>
</w:p>
<w:p>
<w:pPr><w:pStyle w:val="Normal"/></w:pPr>
<w:r><w:t xml:space="preserve">name, two violent works for the purpose of inciting the Catholics</w:t></w:r>
</w:p>
<w:p>
<w:pPr><w:pStyle w:val="Normal"/></w:pPr>
<w:r><w:t xml:space="preserve">of England to rise against Elizabeth: ``The Declaration of</w:t></w:r>
</w:p>
<w:p>
<w:pPr><w:pStyle w:val="Normal"/></w:pPr>
<w:r><w:t xml:space="preserve">the Sentence of Sixtus V.&apos;&apos; a broadside, and a book, All</w:t></w:r>
</w:p>
<w:p>
<w:pPr><w:pStyle w:val="Normal"/></w:pPr>
<w:r><w:t xml:space="preserve">Admonition to the nobility and people of England (Antwerp,</w:t></w:r>
</w:p>
<w:p>
<w:pPr><w:pStyle w:val="Normal"/></w:pPr>
<w:r><w:t xml:space="preserve">1588).  On the failure of the Armada, Philip, to get rid of</w:t></w:r>
</w:p>
<w:p>
<w:pPr><w:pStyle w:val="Normal"/></w:pPr>
<w:r><w:t xml:space="preserve">the burthen of supporting Allen as a cardinal, nominated him to</w:t></w:r>
</w:p>
<w:p>
<w:pPr><w:pStyle w:val="Normal"/></w:pPr>
<w:r><w:t xml:space="preserve">the archbishopric of Malines, but the canonical appointment was</w:t></w:r>
</w:p>
<w:p>
<w:pPr><w:pStyle w:val="Normal"/></w:pPr>
<w:r><w:t xml:space="preserve">never made.  Gregory XIV. made him librarian at the Vatican;</w:t></w:r>
</w:p>
<w:p>
<w:pPr><w:pStyle w:val="Normal"/></w:pPr>
<w:r><w:t xml:space="preserve">and he served on the commission for the revision of the</w:t></w:r>
</w:p>
<w:p>
<w:pPr><w:pStyle w:val="Normal"/></w:pPr>
<w:r><w:t xml:space="preserve">Vulgate.  He took part in four conclaves, but never had any</w:t></w:r>
</w:p>
<w:p>
<w:pPr><w:pStyle w:val="Normal"/></w:pPr>
<w:r><w:t xml:space="preserve">real influence after the failure of the Armada.  Before his</w:t></w:r>
</w:p>
<w:p>
<w:pPr><w:pStyle w:val="Normal"/></w:pPr>
<w:r><w:t xml:space="preserve">death, which took place in Rome on the 16th of October 1594,</w:t></w:r>
</w:p>
<w:p>
<w:pPr><w:pStyle w:val="Normal"/></w:pPr>
<w:r><w:t xml:space="preserve">he found reasons to change his mind concerning the wisdom</w:t></w:r>
</w:p>
<w:p>
<w:pPr><w:pStyle w:val="Normal"/></w:pPr>
<w:r><w:t xml:space="preserve">of the Jesuit politics in Rome and England, and would have</w:t></w:r>
</w:p>
<w:p>
<w:pPr><w:pStyle w:val="Normal"/></w:pPr>
<w:r><w:t xml:space="preserve">tried to curb their activities, had he been spared.  The rift</w:t></w:r>
</w:p>
<w:p>
<w:pPr><w:pStyle w:val="Normal"/></w:pPr>
<w:r><w:t xml:space="preserve">became so great that ten years after his death, Agazzari could</w:t></w:r>
</w:p>
<w:p>
<w:pPr><w:pStyle w:val="Normal"/></w:pPr>
<w:r><w:t xml:space="preserve">write to Parsons: ``So long as Allen walked in this matter</w:t></w:r>
</w:p>
<w:p>
<w:pPr><w:pStyle w:val="Normal"/></w:pPr>
<w:r><w:t xml:space="preserve">(the scheme for England) in union with and fidelity to the</w:t></w:r>
</w:p>
<w:p>
<w:pPr><w:pStyle w:val="Normal"/></w:pPr>
<w:r><w:t xml:space="preserve">Company, as he used to do, God preserved him, prospered and</w:t></w:r>
</w:p>
<w:p>
<w:pPr><w:pStyle w:val="Normal"/></w:pPr>
<w:r><w:t xml:space="preserve">exalted him; but when he began to leave this path, in a manner,</w:t></w:r>
</w:p>
<w:p>
<w:pPr><w:pStyle w:val="Normal"/></w:pPr>
<w:r><w:t xml:space="preserve">the threads of his plans and life were cut short together.&apos;&apos;</w:t></w:r>
</w:p>
<w:p>
<w:pPr><w:pStyle w:val="Normal"/></w:pPr>
<w:r><w:t xml:space="preserve">As a cardinal Allen had lived in poverty and he died in debt.</w:t></w:r>
</w:p>
<w:p>
<w:pPr><w:pStyle w:val="Normal"/></w:pPr>
<w:r><w:t xml:space="preserve">While we cannot withhold a tribute of respect from Allen for</w:t></w:r>
</w:p>
<w:p>
<w:pPr><w:pStyle w:val="Normal"/></w:pPr>
<w:r><w:t xml:space="preserve">his zeal and earnestness, and recognize that his foundation</w:t></w:r>
</w:p>
<w:p>
<w:pPr><w:pStyle w:val="Normal"/></w:pPr>
<w:r><w:t xml:space="preserve">at Douai survives to-day in the two Catholic colleges at</w:t></w:r>
</w:p>
<w:p>
<w:pPr><w:pStyle w:val="Normal"/></w:pPr>
<w:r><w:t xml:space="preserve">Ushaw and Ware, it is impossible to deny that he injured</w:t></w:r>
</w:p>
<w:p>
<w:pPr><w:pStyle w:val="Normal"/></w:pPr>
<w:r><w:t xml:space="preserve">the work with which his name will ever be associated, by</w:t></w:r>
</w:p>
<w:p>
<w:pPr><w:pStyle w:val="Normal"/></w:pPr>
<w:r><w:t xml:space="preserve">his disastrous intercourse with Father Parsons.  Known as a</w:t></w:r>
</w:p>
<w:p>
<w:pPr><w:pStyle w:val="Normal"/></w:pPr>
<w:r><w:t xml:space="preserve">sharer in that plotter&apos;s schemes, he gave a reasonable pretext</w:t></w:r>
</w:p>
<w:p>
<w:pPr><w:pStyle w:val="Normal"/></w:pPr>
<w:r><w:t xml:space="preserve">to Elizabeth&apos;s government for regarding the seminaries as</w:t></w:r>
</w:p>
<w:p>
<w:pPr><w:pStyle w:val="Normal"/></w:pPr>
<w:r><w:t xml:space="preserve">hotbeds of sedition.  That they were not so is abundantly</w:t></w:r>
</w:p>
<w:p>
<w:pPr><w:pStyle w:val="Normal"/></w:pPr>
<w:r><w:t xml:space="preserve">proved.  The superiors kept their political actions secret</w:t></w:r>
</w:p>
<w:p>
<w:pPr><w:pStyle w:val="Normal"/></w:pPr>
<w:r><w:t xml:space="preserve">from the students, and would not allow such matters even to</w:t></w:r>
</w:p>
<w:p>
<w:pPr><w:pStyle w:val="Normal"/></w:pPr>
<w:r><w:t xml:space="preserve">be talked about or treated as theoretical abstractions in the</w:t></w:r>
</w:p>
<w:p>
<w:pPr><w:pStyle w:val="Normal"/></w:pPr>
<w:r><w:t xml:space="preserve">schools.  Dr Barrett, writing (April 14, 1583) to Parsons,</w:t></w:r>
</w:p>
<w:p>
<w:pPr><w:pStyle w:val="Normal"/></w:pPr>
<w:r><w:t xml:space="preserve">makes open complaint of Allen&apos;s secrecy and refusal to</w:t></w:r>
</w:p>
<w:p>
<w:pPr><w:pStyle w:val="Normal"/></w:pPr>
<w:r><w:t xml:space="preserve">communicate.  How far Allen was really admitted to the full</w:t></w:r>
</w:p>
<w:p>
<w:pPr><w:pStyle w:val="Normal"/></w:pPr>
<w:r><w:t xml:space="preserve">confidence of Parsons is a question; and his later attitude to</w:t></w:r>
</w:p>
<w:p>
<w:pPr><w:pStyle w:val="Normal"/></w:pPr>
<w:r><w:t xml:space="preserve">the Society goes to prove that he at last realized that he had</w:t></w:r>
</w:p>
<w:p>
<w:pPr><w:pStyle w:val="Normal"/></w:pPr>
<w:r><w:t xml:space="preserve">been tricked.  Like James II. with Fr. Petre, Allen had been</w:t></w:r>
</w:p>
<w:p>
<w:pPr><w:pStyle w:val="Normal"/></w:pPr>
<w:r><w:t xml:space="preserve">``bewitched&apos;&apos; for a time and only recovered himself when too late.</w:t></w:r>
</w:p>
<w:p>
<w:pPr><w:pStyle w:val="Normal"/></w:pPr>
<w:r><w:t xml:space="preserve">AUTHORITIES. -- T. F. Knox, Letters and Memorials of Cardinal</w:t></w:r>
</w:p>
<w:p>
<w:pPr><w:pStyle w:val="Normal"/></w:pPr>
<w:r><w:t xml:space="preserve">Allen (London, 1882); A. Bellesheim, Wilhelm Cardinal Allen</w:t></w:r>
</w:p>
<w:p>
<w:pPr><w:pStyle w:val="Normal"/></w:pPr>
<w:r><w:t xml:space="preserve">und die englischen Seminare auf dem Festlande (Mainz, 1885);</w:t></w:r>
</w:p>
<w:p>
<w:pPr><w:pStyle w:val="Normal"/></w:pPr>
<w:r><w:t xml:space="preserve">First and Second Diaries of the English College, Douai</w:t></w:r>
</w:p>
<w:p>
<w:pPr><w:pStyle w:val="Normal"/></w:pPr>
<w:r><w:t xml:space="preserve">(London, 1878); Nicholas Fitzherbert, De Antiquitate et</w:t></w:r>
</w:p>
<w:p>
<w:pPr><w:pStyle w:val="Normal"/></w:pPr>
<w:r><w:t xml:space="preserve">continuatione religionis in Anglia et de Alani Cardinalis vita</w:t></w:r>
</w:p>
<w:p>
<w:pPr><w:pStyle w:val="Normal"/></w:pPr>
<w:r><w:t xml:space="preserve">libellus (Rome, 1608); E. Taunton, History of the Jesuits</w:t></w:r>
</w:p>
<w:p>
<w:pPr><w:pStyle w:val="Normal"/></w:pPr>
<w:r><w:t xml:space="preserve">in England (London, 1901); Teulet, vol. v.; the Spanish</w:t></w:r>
</w:p>
<w:p>
<w:pPr><w:pStyle w:val="Normal"/></w:pPr>
<w:r><w:t xml:space="preserve">State Papers (Simancas), vols. iii. and iv.; a list of</w:t></w:r>
</w:p>
<w:p>
<w:pPr><w:pStyle w:val="Normal"/></w:pPr>
<w:r><w:t xml:space="preserve">Allen&apos;s works is given in J. Gillow, Biographical Dictionary</w:t></w:r>
</w:p>
<w:p>
<w:pPr><w:pStyle w:val="Normal"/></w:pPr>
<w:r><w:t xml:space="preserve">of English Catholics, vol. i., under his name. (E. TN.)</w:t></w:r>
</w:p>
<w:p>
<w:pPr><w:pStyle w:val="Normal"/></w:pPr>
<w:r><w:t xml:space="preserve">ALLEN, WILLIAM FRANCIS (1830-1889), American classical</w:t></w:r>
</w:p>
<w:p>
<w:pPr><w:pStyle w:val="Normal"/></w:pPr>
<w:r><w:t xml:space="preserve">scholar, was born at Northborough, Massachusetts, on the 5th</w:t></w:r>
</w:p>
<w:p>
<w:pPr><w:pStyle w:val="Normal"/></w:pPr>
<w:r><w:t xml:space="preserve">of September 1830.  He graduated at Harvard College in 1851 and</w:t></w:r>
</w:p>
<w:p>
<w:pPr><w:pStyle w:val="Normal"/></w:pPr>
<w:r><w:t xml:space="preserve">subsequently devoted himself almost entirely to literary work and</w:t></w:r>
</w:p>
<w:p>
<w:pPr><w:pStyle w:val="Normal"/></w:pPr>
<w:r><w:t xml:space="preserve">teaching.  In 1867 he became professor of ancient languages</w:t></w:r>
</w:p>
<w:p>
<w:pPr><w:pStyle w:val="Normal"/></w:pPr>
<w:r><w:t xml:space="preserve">and history (afterwards Latin language and Roman history)</w:t></w:r>
</w:p>
<w:p>
<w:pPr><w:pStyle w:val="Normal"/></w:pPr>
<w:r><w:t xml:space="preserve">in the university of Wisconsin.  He died in December 1889.</w:t></w:r>
</w:p>
<w:p>
<w:pPr><w:pStyle w:val="Normal"/></w:pPr>
<w:r><w:t xml:space="preserve">His contributions to classical literature chiefly consist of</w:t></w:r>
</w:p>
<w:p>
<w:pPr><w:pStyle w:val="Normal"/></w:pPr>
<w:r><w:t xml:space="preserve">schoolbooks published in the Allen (his brother) and Greenough</w:t></w:r>
</w:p>
<w:p>
<w:pPr><w:pStyle w:val="Normal"/></w:pPr>
<w:r><w:t xml:space="preserve">series.  The Collection of Slave Songs (1867), of which he was</w:t></w:r>
</w:p>
<w:p>
<w:pPr><w:pStyle w:val="Normal"/></w:pPr>
<w:r><w:t xml:space="preserve">joint-editor, was the first work of the kind ever published.</w:t></w:r>
</w:p>
<w:p>
<w:pPr><w:pStyle w:val="Normal"/></w:pPr>
<w:r><w:t xml:space="preserve">ALLEN, BOG OF, the name given to a congeries of morasses</w:t></w:r>
</w:p>
<w:p>
<w:pPr><w:pStyle w:val="Normal"/></w:pPr>
<w:r><w:t xml:space="preserve">in Kildare, King&apos;s County, Queen&apos;s County and Westmeath,</w:t></w:r>
</w:p>
<w:p>
<w:pPr><w:pStyle w:val="Normal"/></w:pPr>
<w:r><w:t xml:space="preserve">Ireland.  Clane Bog, the eastern extremity, is within 17 m.</w:t></w:r>
</w:p>
<w:p>
<w:pPr><w:pStyle w:val="Normal"/></w:pPr>
<w:r><w:t xml:space="preserve">of Dublin, and the morasses extend westward almost to the</w:t></w:r>
</w:p>
<w:p>
<w:pPr><w:pStyle w:val="Normal"/></w:pPr>
<w:r><w:t xml:space="preserve">Shannon.  Their total area is about 238,500 acres.  They do</w:t></w:r>
</w:p>
<w:p>
<w:pPr><w:pStyle w:val="Normal"/></w:pPr>
<w:r><w:t xml:space="preserve">not form one continuous bog, the tract of the country to which</w:t></w:r>
</w:p>
<w:p>
<w:pPr><w:pStyle w:val="Normal"/></w:pPr>
<w:r><w:t xml:space="preserve">the name is given being intersected by strips of dry cultivated</w:t></w:r>
</w:p>
<w:p>
<w:pPr><w:pStyle w:val="Normal"/></w:pPr>
<w:r><w:t xml:space="preserve">land.  The rivers Brosna, Barrow and Boyne take their rise</w:t></w:r>
</w:p>
<w:p>
<w:pPr><w:pStyle w:val="Normal"/></w:pPr>
<w:r><w:t xml:space="preserve">in these morasses, and the Grand and Royal canals cross</w:t></w:r>
</w:p>
<w:p>
<w:pPr><w:pStyle w:val="Normal"/></w:pPr>
<w:r><w:t xml:space="preserve">them.  The Bog of Allen has a general elevation of 250 ft.</w:t></w:r>
</w:p>
<w:p>
<w:pPr><w:pStyle w:val="Normal"/></w:pPr>
<w:r><w:t xml:space="preserve">above sea level, and the average thickness of the peat of which</w:t></w:r>
</w:p>
<w:p>
<w:pPr><w:pStyle w:val="Normal"/></w:pPr>
<w:r><w:t xml:space="preserve">it consists is 25 ft.  It rests on a subsoil of clay and marl.</w:t></w:r>
</w:p>
<w:p>
<w:pPr><w:pStyle w:val="Normal"/></w:pPr>
<w:r><w:t xml:space="preserve">ALLENSTEIN, a garrison town of Germany, in the province</w:t></w:r>
</w:p>
<w:p>
<w:pPr><w:pStyle w:val="Normal"/></w:pPr>
<w:r><w:t xml:space="preserve">of East Prussia, on the river Alle, 100 m. by rail N.E. from</w:t></w:r>
</w:p>
<w:p>
<w:pPr><w:pStyle w:val="Normal"/></w:pPr>
<w:r><w:t xml:space="preserve">Thorn, and 30 m. from the Russian frontier.  Pop. (1900)</w:t></w:r>
</w:p>
<w:p>
<w:pPr><w:pStyle w:val="Normal"/></w:pPr>
<w:r><w:t xml:space="preserve">24,295.  It has a medieval castle, several churches, a synagogue</w:t></w:r>
</w:p>
<w:p>
<w:pPr><w:pStyle w:val="Normal"/></w:pPr>
<w:r><w:t xml:space="preserve">and various industries--iron-foundries, saw-mills, brick-works,</w:t></w:r>
</w:p>
<w:p>
<w:pPr><w:pStyle w:val="Normal"/></w:pPr>
<w:r><w:t xml:space="preserve">and breweries; also an extensive trade in cereals and timber.</w:t></w:r>
</w:p>
<w:p>
<w:pPr><w:pStyle w:val="Normal"/></w:pPr>
<w:r><w:t xml:space="preserve">ALLENTOWN, a city and the county-seat of Lehigh county,</w:t></w:r>
</w:p>
<w:p>
<w:pPr><w:pStyle w:val="Normal"/></w:pPr>
<w:r><w:t xml:space="preserve">Pennsylvania, U.S.A., on the Lehigh river, about 62 m.  N.N.W. of</w:t></w:r>
</w:p>
<w:p>
<w:pPr><w:pStyle w:val="Normal"/></w:pPr>
<w:r><w:t xml:space="preserve">Philadelphia.  Pop. (1890) 25,228; (1900) 35,416, of whom</w:t></w:r>
</w:p>
<w:p>
<w:pPr><w:pStyle w:val="Normal"/></w:pPr>
<w:r><w:t xml:space="preserve">2994 were foreign-born, 1065 being of German birth; (1910)</w:t></w:r>
</w:p>
<w:p>
<w:pPr><w:pStyle w:val="Normal"/></w:pPr>
<w:r><w:t xml:space="preserve">51,913.  It is served by the Central of New Jersey, the</w:t></w:r>
</w:p>
<w:p>
<w:pPr><w:pStyle w:val="Normal"/></w:pPr>
<w:r><w:t xml:space="preserve">Lehigh Valley, the Perkiomen (of the Reading system) and the</w:t></w:r>
</w:p>
<w:p>
<w:pPr><w:pStyle w:val="Normal"/></w:pPr>
<w:r><w:t xml:space="preserve">Philadelphia &amp; Reading railways.  The city is situated on</w:t></w:r>
</w:p>
<w:p>
<w:pPr><w:pStyle w:val="Normal"/></w:pPr>
<w:r><w:t xml:space="preserve">high ground sloping gently towards the river and commanding</w:t></w:r>
</w:p>
<w:p>
<w:pPr><w:pStyle w:val="Normal"/></w:pPr>
<w:r><w:t xml:space="preserve">diversified views of the surrounding country.  Hamilton</w:t></w:r>
</w:p>
<w:p>
<w:pPr><w:pStyle w:val="Normal"/></w:pPr>
<w:r><w:t xml:space="preserve">Street, the principal business thoroughfare, extends over</w:t></w:r>
</w:p>
<w:p>
<w:pPr><w:pStyle w:val="Normal"/></w:pPr>
<w:r><w:t xml:space="preserve">2 m. from E. to W., and in what was once the centre of the</w:t></w:r>
</w:p>
<w:p>
<w:pPr><w:pStyle w:val="Normal"/></w:pPr>
<w:r><w:t xml:space="preserve">city is Centre Square, in which there is a monument to the</w:t></w:r>
</w:p>
<w:p>
<w:pPr><w:pStyle w:val="Normal"/></w:pPr>
<w:r><w:t xml:space="preserve">memory of the soldiers and sailors who fell in the Civil War.</w:t></w:r>
</w:p>
<w:p>
<w:pPr><w:pStyle w:val="Normal"/></w:pPr>
<w:r><w:t xml:space="preserve">Allentown is the seat of a state homoeopathic hospital for the</w:t></w:r>
</w:p>
<w:p>
<w:pPr><w:pStyle w:val="Normal"/></w:pPr>
<w:r><w:t xml:space="preserve">insane, of the Allentown College for Women (Reformed Church,</w:t></w:r>
</w:p>
<w:p>
<w:pPr><w:pStyle w:val="Normal"/></w:pPr>
<w:r><w:t xml:space="preserve">1867), and of Muhlenberg College (1867), an Evangelical</w:t></w:r>
</w:p>
<w:p>
<w:pPr><w:pStyle w:val="Normal"/></w:pPr>
<w:r><w:t xml:space="preserve">Lutheran institution which grew out of the Allentown Seminary</w:t></w:r>
</w:p>
<w:p>
<w:pPr><w:pStyle w:val="Normal"/></w:pPr>
<w:r><w:t xml:space="preserve">(established in 1848 and incorporated as the ``Allentown</w:t></w:r>
</w:p>
<w:p>
<w:pPr><w:pStyle w:val="Normal"/></w:pPr>
<w:r><w:t xml:space="preserve">Collegiate Institute and Military Academy&apos;&apos; in 1864); in</w:t></w:r>
</w:p>
<w:p>
<w:pPr><w:pStyle w:val="Normal"/></w:pPr>
<w:r><w:t xml:space="preserve">1907 the college had 191 students, of whom 109 were in the</w:t></w:r>
</w:p>
<w:p>
<w:pPr><w:pStyle w:val="Normal"/></w:pPr>
<w:r><w:t xml:space="preserve">Allentown Preparatory School (1904), formerly the academic</w:t></w:r>
</w:p>
<w:p>
<w:pPr><w:pStyle w:val="Normal"/></w:pPr>
<w:r><w:t xml:space="preserve">department of the college and still closely afliliated with</w:t></w:r>
</w:p>
<w:p>
<w:pPr><w:pStyle w:val="Normal"/></w:pPr>
<w:r><w:t xml:space="preserve">it.  The surrounding country is well adapted to agriculture, and</w:t></w:r>
</w:p>
<w:p>
<w:pPr><w:pStyle w:val="Normal"/></w:pPr>
<w:r><w:t xml:space="preserve">slate, iron ore, cement rock and limestone are found in the</w:t></w:r>
</w:p>
<w:p>
<w:pPr><w:pStyle w:val="Normal"/></w:pPr>
<w:r><w:t xml:space="preserve">vicinity.  Allentown is an important manufacturing centre, and</w:t></w:r>
</w:p>
<w:p>
<w:pPr><w:pStyle w:val="Normal"/></w:pPr>
<w:r><w:t xml:space="preserve">the value of its manufactured products increased 90.9% from</w:t></w:r>
</w:p>
<w:p>
<w:pPr><w:pStyle w:val="Normal"/></w:pPr>
<w:r><w:t xml:space="preserve">1890 to 1900, and of its factory product 13.2% between 1900 and</w:t></w:r>
</w:p>
<w:p>
<w:pPr><w:pStyle w:val="Normal"/></w:pPr>
<w:r><w:t xml:space="preserve">1905.  In 1905 the city ranked sixth among the cities of the</w:t></w:r>
</w:p>
<w:p>
<w:pPr><w:pStyle w:val="Normal"/></w:pPr>
<w:r><w:t xml:space="preserve">country in the manufacture of silk and silk goods, its most</w:t></w:r>
</w:p>
<w:p>
<w:pPr><w:pStyle w:val="Normal"/></w:pPr>
<w:r><w:t xml:space="preserve">important industry.  Other important manufactures are iron and</w:t></w:r>
</w:p>
<w:p>
<w:pPr><w:pStyle w:val="Normal"/></w:pPr>
<w:r><w:t xml:space="preserve">steel, slaughtering and meat-packing products, boots and shoes,</w:t></w:r>
</w:p>
<w:p>
<w:pPr><w:pStyle w:val="Normal"/></w:pPr>
<w:r><w:t xml:space="preserve">cigars, furniture, men&apos;s clothing, hosiery and knit goods,</w:t></w:r>
</w:p>
<w:p>
<w:pPr><w:pStyle w:val="Normal"/></w:pPr>
<w:r><w:t xml:space="preserve">jute and jute goods, linen-thread, malt liquors, brick, cement,</w:t></w:r>
</w:p>
<w:p>
<w:pPr><w:pStyle w:val="Normal"/></w:pPr>
<w:r><w:t xml:space="preserve">barbed wire, wire nails and planing-mill products.  Allentown&apos;s</w:t></w:r>
</w:p>
<w:p>
<w:pPr><w:pStyle w:val="Normal"/></w:pPr>
<w:r><w:t xml:space="preserve">total factory product in 1905 was valued at $16,966,550,</w:t></w:r>
</w:p>
<w:p>
<w:pPr><w:pStyle w:val="Normal"/></w:pPr>
<w:r><w:t xml:space="preserve">of which $3,901,249, or 23%, was the value of silk and silk</w:t></w:r>
</w:p>
<w:p>
<w:pPr><w:pStyle w:val="Normal"/></w:pPr>
<w:r><w:t xml:space="preserve">goods.  The municipality owns and operates its water-works.</w:t></w:r>
</w:p>
<w:p>
<w:pPr><w:pStyle w:val="Normal"/></w:pPr>
<w:r><w:t xml:space="preserve">Allentown was first settled in 1751; in 1762 it was laid out</w:t></w:r>
</w:p>
<w:p>
<w:pPr><w:pStyle w:val="Normal"/></w:pPr>
<w:r><w:t xml:space="preserve">as a town by James Allen, the son of a chief-justice of the</w:t></w:r>
</w:p>
<w:p>
<w:pPr><w:pStyle w:val="Normal"/></w:pPr>
<w:r><w:t xml:space="preserve">province, in honour of whose family the city is named; in 1811</w:t></w:r>
</w:p>
<w:p>
<w:pPr><w:pStyle w:val="Normal"/></w:pPr>
<w:r><w:t xml:space="preserve">it was incorporated as a borough and its name was changed to</w:t></w:r>
</w:p>
<w:p>
<w:pPr><w:pStyle w:val="Normal"/></w:pPr>
<w:r><w:t xml:space="preserve">Northampton; in 1812 it was made the county-seat; in 1838 the</w:t></w:r>
</w:p>
<w:p>
<w:pPr><w:pStyle w:val="Normal"/></w:pPr>
<w:r><w:t xml:space="preserve">present name was again adopted; and in 1867 the first city</w:t></w:r>
</w:p>
<w:p>
<w:pPr><w:pStyle w:val="Normal"/></w:pPr>
<w:r><w:t xml:space="preserve">charter was secured.  The silk industry was introduced in 1881.</w:t></w:r>
</w:p>
<w:p>
<w:pPr><w:pStyle w:val="Normal"/></w:pPr>
<w:r><w:t xml:space="preserve">ALLEPPI, or AULAPALAY, a seaport of southern India, in the</w:t></w:r>
</w:p>
<w:p>
<w:pPr><w:pStyle w:val="Normal"/></w:pPr>
<w:r><w:t xml:space="preserve">state of Travancore, 33 m. south of Cochin, situated on a strip</w:t></w:r>
</w:p>
<w:p>
<w:pPr><w:pStyle w:val="Normal"/></w:pPr>
<w:r><w:t xml:space="preserve">of coast between the sea and one of those backwaters that here</w:t></w:r>
</w:p>
<w:p>
<w:pPr><w:pStyle w:val="Normal"/></w:pPr>
<w:r><w:t xml:space="preserve">form the chief means of inland communication.  Pop. (1901)</w:t></w:r>
</w:p>
<w:p>
<w:pPr><w:pStyle w:val="Normal"/></w:pPr>
<w:r><w:t xml:space="preserve">24,918.  There is a lighthouse, 85 ft. high, with a revolving</w:t></w:r>
</w:p>
<w:p>
<w:pPr><w:pStyle w:val="Normal"/></w:pPr>
<w:r><w:t xml:space="preserve">white light visible 18 m. out at sea.  Though the third town</w:t></w:r>
</w:p>
<w:p>
<w:pPr><w:pStyle w:val="Normal"/></w:pPr>
<w:r><w:t xml:space="preserve">in the state in point of population, Alleppi is the first in</w:t></w:r>
</w:p>
<w:p>
<w:pPr><w:pStyle w:val="Normal"/></w:pPr>
<w:r><w:t xml:space="preserve">commercial importance.  It commands a fine harbour, affording</w:t></w:r>
</w:p>
<w:p>
<w:pPr><w:pStyle w:val="Normal"/></w:pPr>
<w:r><w:t xml:space="preserve">safe anchorage for the greater part of the year.  It was</w:t></w:r>
</w:p>
<w:p>
<w:pPr><w:pStyle w:val="Normal"/></w:pPr>
<w:r><w:t xml:space="preserve">opened to foreign trade towards the latter end of the 18th</w:t></w:r>
</w:p>
<w:p>
<w:pPr><w:pStyle w:val="Normal"/></w:pPr>
<w:r><w:t xml:space="preserve">century.  The exports consist of coffee, pepper, cardamoms and</w:t></w:r>
</w:p>
<w:p>
<w:pPr><w:pStyle w:val="Normal"/></w:pPr>
<w:r><w:t xml:space="preserve">coco-nuts.  There are factories for coir-matting.  The raja</w:t></w:r>
</w:p>
<w:p>
<w:pPr><w:pStyle w:val="Normal"/></w:pPr>
<w:r><w:t xml:space="preserve">has a palace, and Protestant missionaries have a church.</w:t></w:r>
</w:p>
<w:p>
<w:pPr><w:pStyle w:val="Normal"/></w:pPr>
<w:r><w:t xml:space="preserve">ALLESTREE, or ALLESTRY, RICHARD (1619.-1681), royalist</w:t></w:r>
</w:p>
<w:p>
<w:pPr><w:pStyle w:val="Normal"/></w:pPr>
<w:r><w:t xml:space="preserve">divine and provost of Eton College, son of Robert Allestree,</w:t></w:r>
</w:p>
<w:p>
<w:pPr><w:pStyle w:val="Normal"/></w:pPr>
<w:r><w:t xml:space="preserve">and a descendant of an ancient Derbyshire family, was born</w:t></w:r>
</w:p>
<w:p>
<w:pPr><w:pStyle w:val="Normal"/></w:pPr>
<w:r><w:t xml:space="preserve">at Uppington in Shropshire.  He was educated at Coventry</w:t></w:r>
</w:p>
<w:p>
<w:pPr><w:pStyle w:val="Normal"/></w:pPr>
<w:r><w:t xml:space="preserve">and later at Christ Church, Oxford, under Richard Busby.</w:t></w:r>
</w:p>
<w:p>
<w:pPr><w:pStyle w:val="Normal"/></w:pPr>
<w:r><w:t xml:space="preserve">He entered as a commoner in 1636, was made student shortly</w:t></w:r>
</w:p>
<w:p>
<w:pPr><w:pStyle w:val="Normal"/></w:pPr>
<w:r><w:t xml:space="preserve">afterwards, and took the degree of B.A. in 1640 and of M.A. in</w:t></w:r>
</w:p>
<w:p>
<w:pPr><w:pStyle w:val="Normal"/></w:pPr>
<w:r><w:t xml:space="preserve">1643.  In 1642 he took up arms for the king under Sir John</w:t></w:r>
</w:p>
<w:p>
<w:pPr><w:pStyle w:val="Normal"/></w:pPr>
<w:r><w:t xml:space="preserve">Biron.  On the arrival of the parliamentary forces soon</w:t></w:r>
</w:p>
<w:p>
<w:pPr><w:pStyle w:val="Normal"/></w:pPr>
<w:r><w:t xml:space="preserve">afterwards in Oxford he secreted the Christ Church valuables,</w:t></w:r>
</w:p>
<w:p>
<w:pPr><w:pStyle w:val="Normal"/></w:pPr>
<w:r><w:t xml:space="preserve">and the soldiers found nothing in the treasury ``except</w:t></w:r>
</w:p>
<w:p>
<w:pPr><w:pStyle w:val="Normal"/></w:pPr>
<w:r><w:t xml:space="preserve">a single groat and a halter in the bottom of a large iron</w:t></w:r>
</w:p>
<w:p>
<w:pPr><w:pStyle w:val="Normal"/></w:pPr>
<w:r><w:t xml:space="preserve">chest.&apos;&apos; He escaped severe punishment only by the hasty</w:t></w:r>
</w:p>
<w:p>
<w:pPr><w:pStyle w:val="Normal"/></w:pPr>
<w:r><w:t xml:space="preserve">retirement of the army from the town.  He was present at</w:t></w:r>
</w:p>
<w:p>
<w:pPr><w:pStyle w:val="Normal"/></w:pPr>
<w:r><w:t xml:space="preserve">the battle of Edgehill in October 1642, after which, while</w:t></w:r>
</w:p>
<w:p>
<w:pPr><w:pStyle w:val="Normal"/></w:pPr>
<w:r><w:t xml:space="preserve">hastening to Oxford to prepare for the king&apos;s visit to Christ</w:t></w:r>
</w:p>
<w:p>
<w:pPr><w:pStyle w:val="Normal"/></w:pPr>
<w:r><w:t xml:space="preserve">Church, he was captured by a troop of Lord Say&apos;s soldiers</w:t></w:r>
</w:p>
<w:p>
<w:pPr><w:pStyle w:val="Normal"/></w:pPr>
<w:r><w:t xml:space="preserve">from Broughton House, being soon afterwards set free on the</w:t></w:r>
</w:p>
<w:p>
<w:pPr><w:pStyle w:val="Normal"/></w:pPr>
<w:r><w:t xml:space="preserve">surrender of the place to the king&apos;s forces.  In 1643 he</w:t></w:r>
</w:p>
<w:p>
<w:pPr><w:pStyle w:val="Normal"/></w:pPr>
<w:r><w:t xml:space="preserve">was again under arms, performing ``all duties of a common</w:t></w:r>
</w:p>
<w:p>
<w:pPr><w:pStyle w:val="Normal"/></w:pPr>
<w:r><w:t xml:space="preserve">soldier&apos;&apos; and ``frequently holding his musket in one hand and</w:t></w:r>
</w:p>
<w:p>
<w:pPr><w:pStyle w:val="Normal"/></w:pPr>
<w:r><w:t xml:space="preserve">his book in the other.&apos;&apos; At the close of the Civil War, he</w:t></w:r>
</w:p>
<w:p>
<w:pPr><w:pStyle w:val="Normal"/></w:pPr>
<w:r><w:t xml:space="preserve">returned to his studies, took holy orders, was made censor</w:t></w:r>
</w:p>
<w:p>
<w:pPr><w:pStyle w:val="Normal"/></w:pPr>
<w:r><w:t xml:space="preserve">and became a ``noted tutor.&apos;&apos; But he still remained an ardent</w:t></w:r>
</w:p>
<w:p>
<w:pPr><w:pStyle w:val="Normal"/></w:pPr>
<w:r><w:t xml:space="preserve">royalist.  He voted for the university decree against the</w:t></w:r>
</w:p>
<w:p>
<w:pPr><w:pStyle w:val="Normal"/></w:pPr>
<w:r><w:t xml:space="preserve">Covenant, and, refusing submission to the parliamentary</w:t></w:r>
</w:p>
<w:p>
<w:pPr><w:pStyle w:val="Normal"/></w:pPr>
<w:r><w:t xml:space="preserve">visitors in 1648, he was expelled.  He found a retreat as</w:t></w:r>
</w:p>
<w:p>
<w:pPr><w:pStyle w:val="Normal"/></w:pPr>
<w:r><w:t xml:space="preserve">chaplain in the house of the Hon. Francis Newport, afterwards</w:t></w:r>
</w:p>
<w:p>
<w:pPr><w:pStyle w:val="Normal"/></w:pPr>
<w:r><w:t xml:space="preserve">Viscount Newport, in whose interests he undertook a journey to</w:t></w:r>
</w:p>
<w:p>
<w:pPr><w:pStyle w:val="Normal"/></w:pPr>
<w:r><w:t xml:space="preserve">France.  On his return he joined two of his friends, Dolben</w:t></w:r>
</w:p>
<w:p>
<w:pPr><w:pStyle w:val="Normal"/></w:pPr>
<w:r><w:t xml:space="preserve">and Fell, afterwards respectively archbishop of York and</w:t></w:r>
</w:p>
<w:p>
<w:pPr><w:pStyle w:val="Normal"/></w:pPr>
<w:r><w:t xml:space="preserve">bishop of Oxford, then resident at Oxford, and later joined</w:t></w:r>
</w:p>
<w:p>
<w:pPr><w:pStyle w:val="Normal"/></w:pPr>
<w:r><w:t xml:space="preserve">the household of Sir Antony Cope of Hanwell, near Banbury.</w:t></w:r>
</w:p>
<w:p>
<w:pPr><w:pStyle w:val="Normal"/></w:pPr>
<w:r><w:t xml:space="preserve">He was now frequently employed in carrying despatches between</w:t></w:r>
</w:p>
<w:p>
<w:pPr><w:pStyle w:val="Normal"/></w:pPr>
<w:r><w:t xml:space="preserve">the king and the royalists in England.  In May 1659 he brought</w:t></w:r>
</w:p>
<w:p>
<w:pPr><w:pStyle w:val="Normal"/></w:pPr>
<w:r><w:t xml:space="preserve">a command from Charles in Brussels, directing the bishop</w:t></w:r>
</w:p>
<w:p>
<w:pPr><w:pStyle w:val="Normal"/></w:pPr>
<w:r><w:t xml:space="preserve">of Salisbury to summon all those bishops, who were then</w:t></w:r>
</w:p>
<w:p>
<w:pPr><w:pStyle w:val="Normal"/></w:pPr>
<w:r><w:t xml:space="preserve">alive, to consecrate clergymen to various sees ``to secure</w:t></w:r>
</w:p>
<w:p>
<w:pPr><w:pStyle w:val="Normal"/></w:pPr>
<w:r><w:t xml:space="preserve">a continuation of the order in the Church of England,&apos;&apos; then</w:t></w:r>
</w:p>
<w:p>
<w:pPr><w:pStyle w:val="Normal"/></w:pPr>
<w:r><w:t xml:space="preserve">in danger of becoming extinct.1 While returning from one</w:t></w:r>
</w:p>
<w:p>
<w:pPr><w:pStyle w:val="Normal"/></w:pPr>
<w:r><w:t xml:space="preserve">of these missions, in the winter before the Restoration, he</w:t></w:r>
</w:p>
<w:p>
<w:pPr><w:pStyle w:val="Normal"/></w:pPr>
<w:r><w:t xml:space="preserve">was arrested at Dover and committed a prisoner to Lambeth</w:t></w:r>
</w:p>
<w:p>
<w:pPr><w:pStyle w:val="Normal"/></w:pPr>
<w:r><w:t xml:space="preserve">Palace, then used as a gaol for apprehended royalists, but was</w:t></w:r>
</w:p>
<w:p>
<w:pPr><w:pStyle w:val="Normal"/></w:pPr>
<w:r><w:t xml:space="preserve">liberated after confinement of a few weeks at the instance,</w:t></w:r>
</w:p>
<w:p>
<w:pPr><w:pStyle w:val="Normal"/></w:pPr>
<w:r><w:t xml:space="preserve">among others, of Lord Shaftesbury.  At the Restoration he</w:t></w:r>
</w:p>
<w:p>
<w:pPr><w:pStyle w:val="Normal"/></w:pPr>
<w:r><w:t xml:space="preserve">became canon of Christ Church, D.D. and city lecturer at</w:t></w:r>
</w:p>
<w:p>
<w:pPr><w:pStyle w:val="Normal"/></w:pPr>
<w:r><w:t xml:space="preserve">Oxford.  In 1663 he was made chaplain to the king and regius</w:t></w:r>
</w:p>
<w:p>
<w:pPr><w:pStyle w:val="Normal"/></w:pPr>
<w:r><w:t xml:space="preserve">professor of divinity.  In 1665 he was appointed provost of</w:t></w:r>
</w:p>
<w:p>
<w:pPr><w:pStyle w:val="Normal"/></w:pPr>
<w:r><w:t xml:space="preserve">Eton College, and proved himself a capable administrator.</w:t></w:r>
</w:p>
<w:p>
<w:pPr><w:pStyle w:val="Normal"/></w:pPr>
<w:r><w:t xml:space="preserve">He introduced order into the disorganized finances of the</w:t></w:r>
</w:p>
<w:p>
<w:pPr><w:pStyle w:val="Normal"/></w:pPr>
<w:r><w:t xml:space="preserve">college and procured the confirmation of Laud&apos;s decree, which</w:t></w:r>
</w:p>
<w:p>
<w:pPr><w:pStyle w:val="Normal"/></w:pPr>
<w:r><w:t xml:space="preserve">reserved five of the Eton fellowships for members of King&apos;s</w:t></w:r>
</w:p>
<w:p>
<w:pPr><w:pStyle w:val="Normal"/></w:pPr>
<w:r><w:t xml:space="preserve">College.  His additions to the college buildings were less</w:t></w:r>
</w:p>
<w:p>
<w:pPr><w:pStyle w:val="Normal"/></w:pPr>
<w:r><w:t xml:space="preserve">successful; for the ``Upper School,&apos;&apos; constructed by him at</w:t></w:r>
</w:p>
<w:p>
<w:pPr><w:pStyle w:val="Normal"/></w:pPr>
<w:r><w:t xml:space="preserve">his own expense, was falling into ruin almost in his lifetime,</w:t></w:r>
</w:p>
<w:p>
<w:pPr><w:pStyle w:val="Normal"/></w:pPr>
<w:r><w:t xml:space="preserve">and was replaced by the present structure in 1689.  Allestree</w:t></w:r>
</w:p>
<w:p>
<w:pPr><w:pStyle w:val="Normal"/></w:pPr>
<w:r><w:t xml:space="preserve">died on the 28th of January 1681, and was buried in the chapel</w:t></w:r>
</w:p>
<w:p>
<w:pPr><w:pStyle w:val="Normal"/></w:pPr>
<w:r><w:t xml:space="preserve">at Eton College, where there is a Latin inscription to his</w:t></w:r>
</w:p>
<w:p>
<w:pPr><w:pStyle w:val="Normal"/></w:pPr>
<w:r><w:t xml:space="preserve">memory.  His writings are:--The Privileges of the Universily</w:t></w:r>
</w:p>
<w:p>
<w:pPr><w:pStyle w:val="Normal"/></w:pPr>
<w:r><w:t xml:space="preserve">of Oxford in point of Visitation (1647)--a tract answered</w:t></w:r>
</w:p>
<w:p>
<w:pPr><w:pStyle w:val="Normal"/></w:pPr>
<w:r><w:t xml:space="preserve">by Prynne in the University of Oxford&apos;s Plea Rejected; 18</w:t></w:r>
</w:p>
<w:p>
<w:pPr><w:pStyle w:val="Normal"/></w:pPr>
<w:r><w:t xml:space="preserve">sermons whereof 15 preached before the king . . . (1669);</w:t></w:r>
</w:p>
<w:p>
<w:pPr><w:pStyle w:val="Normal"/></w:pPr>
<w:r><w:t xml:space="preserve">40 sermons whereof 21 are now first published . . . (2</w:t></w:r>
</w:p>
<w:p>
<w:pPr><w:pStyle w:val="Normal"/></w:pPr>
<w:r><w:t xml:space="preserve">vols., 1684); sermons published separately including A</w:t></w:r>
</w:p>
<w:p>
<w:pPr><w:pStyle w:val="Normal"/></w:pPr>
<w:r><w:t xml:space="preserve">Sermon on Acts xiii. 2, (1660); A Paraphrase and Annotations</w:t></w:r>
</w:p>
<w:p>
<w:pPr><w:pStyle w:val="Normal"/></w:pPr>
<w:r><w:t xml:space="preserve">upon all the Epistles of St Paul (joint author with Abraham</w:t></w:r>
</w:p>
<w:p>
<w:pPr><w:pStyle w:val="Normal"/></w:pPr>
<w:r><w:t xml:space="preserve">Woodhead and Obadiah Walker, 1675, see edition of 1853 and</w:t></w:r>
</w:p>
<w:p>
<w:pPr><w:pStyle w:val="Normal"/></w:pPr>
<w:r><w:t xml:space="preserve">preface by W. Jacobson).  In the Cases of Conscience by</w:t></w:r>
</w:p>
<w:p>
<w:pPr><w:pStyle w:val="Normal"/></w:pPr>
<w:r><w:t xml:space="preserve">J. Barlow, Bishop of Lincoln (1692), Allestree&apos;s judgment</w:t></w:r>
</w:p>
<w:p>
<w:pPr><w:pStyle w:val="Normal"/></w:pPr>
<w:r><w:t xml:space="preserve">on Mr Cottington&apos;s Case of Divorce is included.  A share</w:t></w:r>
</w:p>
<w:p>
<w:pPr><w:pStyle w:val="Normal"/></w:pPr>
<w:r><w:t xml:space="preserve">in the composition, if not the sole authorship, of the</w:t></w:r>
</w:p>
<w:p>
<w:pPr><w:pStyle w:val="Normal"/></w:pPr>
<w:r><w:t xml:space="preserve">books published under the name of the author of the Whole</w:t></w:r>
</w:p>
<w:p>
<w:pPr><w:pStyle w:val="Normal"/></w:pPr>
<w:r><w:t xml:space="preserve">Duty of Man has been attributed to Allestree (Nichols&apos;s</w:t></w:r>
</w:p>
<w:p>
<w:pPr><w:pStyle w:val="Normal"/></w:pPr>
<w:r><w:t xml:space="preserve">Anecdotes, ii. 603), and the tendency of modern criticism</w:t></w:r>
</w:p>
<w:p>
<w:pPr><w:pStyle w:val="Normal"/></w:pPr>
<w:r><w:t xml:space="preserve">is to regard him as the author.  His lectures, with which he</w:t></w:r>
</w:p>
<w:p>
<w:pPr><w:pStyle w:val="Normal"/></w:pPr>
<w:r><w:t xml:space="preserve">was dissatisfied, were not published.  Allestree was a man of</w:t></w:r>
</w:p>
<w:p>
<w:pPr><w:pStyle w:val="Normal"/></w:pPr>
<w:r><w:t xml:space="preserve">extensive learning, of moderate views and a fine preacher.</w:t></w:r>
</w:p>
<w:p>
<w:pPr><w:pStyle w:val="Normal"/></w:pPr>
<w:r><w:t xml:space="preserve">He was generous and charitable, of ``a solid and masculine</w:t></w:r>
</w:p>
<w:p>
<w:pPr><w:pStyle w:val="Normal"/></w:pPr>
<w:r><w:t xml:space="preserve">kindness,&apos;&apos; and of a temper hot, but completely under control.</w:t></w:r>
</w:p>
<w:p>
<w:pPr><w:pStyle w:val="Normal"/></w:pPr>
<w:r><w:t xml:space="preserve">AUTHORITIES.---Wood&apos;s Athenae Oxonienses (edited by</w:t></w:r>
</w:p>
<w:p>
<w:pPr><w:pStyle w:val="Normal"/></w:pPr>
<w:r><w:t xml:space="preserve">Bliss), iii. 1269; W.ood&apos;s Fasti, i. 480, 514, ii. 57,</w:t></w:r>
</w:p>
<w:p>
<w:pPr><w:pStyle w:val="Normal"/></w:pPr>
<w:r><w:t xml:space="preserve">241, 370; Richard Allestree, 40 sermons, with biographical</w:t></w:r>
</w:p>
<w:p>
<w:pPr><w:pStyle w:val="Normal"/></w:pPr>
<w:r><w:t xml:space="preserve">preface by Dr John Fell (2 vols., 1684); Sufferings of the</w:t></w:r>
</w:p>
<w:p>
<w:pPr><w:pStyle w:val="Normal"/></w:pPr>
<w:r><w:t xml:space="preserve">Clergy, by John Walker; Architectural History of Eton and</w:t></w:r>
</w:p>
<w:p>
<w:pPr><w:pStyle w:val="Normal"/></w:pPr>
<w:r><w:t xml:space="preserve">Cambridge, by R. Willis, i. 420; Hist. of Eton College,</w:t></w:r>
</w:p>
<w:p>
<w:pPr><w:pStyle w:val="Normal"/></w:pPr>
<w:r><w:t xml:space="preserve">by Sir H. C. Maxwell-Lyte; Hist. of Eton College, by Lionel</w:t></w:r>
</w:p>
<w:p>
<w:pPr><w:pStyle w:val="Normal"/></w:pPr>
<w:r><w:t xml:space="preserve">Cust (1899); Egerton MSS., Brit.  Mus. 2807 f. 197 b.  For</w:t></w:r>
</w:p>
<w:p>
<w:pPr><w:pStyle w:val="Normal"/></w:pPr>
<w:r><w:t xml:space="preserve">Allestree&apos;s authorship of the Whole Duty of Man, see Rev. F.</w:t></w:r>
</w:p>
<w:p>
<w:pPr><w:pStyle w:val="Normal"/></w:pPr>
<w:r><w:t xml:space="preserve">Barham, Journal of Sacred Literature, July 1864, and C. E.</w:t></w:r>
</w:p>
<w:p>
<w:pPr><w:pStyle w:val="Normal"/></w:pPr>
<w:r><w:t xml:space="preserve">Doble&apos;s articles in the Academy, November 1884. (P. C. Y.)</w:t></w:r>
</w:p>
<w:p>
<w:pPr><w:pStyle w:val="Normal"/></w:pPr>
<w:r><w:t xml:space="preserve">1 Egerton MSS., Brit.  Mus. 2807 f. 197 b; Li/e of Dr John</w:t></w:r>
</w:p>
<w:p>
<w:pPr><w:pStyle w:val="Normal"/></w:pPr>
<w:r><w:t xml:space="preserve">Barwick, ed. by G. F. Barwick (1903), pp. 107, 129, 134.</w:t></w:r>
</w:p>
<w:p>
<w:pPr><w:pStyle w:val="Normal"/></w:pPr>
<w:r><w:t xml:space="preserve">ALLEY (from the Fr: allee, a walk), a narrow passageway</w:t></w:r>
</w:p>
<w:p>
<w:pPr><w:pStyle w:val="Normal"/></w:pPr>
<w:r><w:t xml:space="preserve">between two buildings available only for foot passengers or</w:t></w:r>
</w:p>
<w:p>
<w:pPr><w:pStyle w:val="Normal"/></w:pPr>
<w:r><w:t xml:space="preserve">hand-carts, sometimes entered only at one end and known as a</w:t></w:r>
</w:p>
<w:p>
<w:pPr><w:pStyle w:val="Normal"/></w:pPr>
<w:r><w:t xml:space="preserve">``blind alley,&apos;&apos; or cul-de-sac. The name is also given to</w:t></w:r>
</w:p>
<w:p>
<w:pPr><w:pStyle w:val="Normal"/></w:pPr>
<w:r><w:t xml:space="preserve">the long narrow enclosures where bowls or skittles are played.</w:t></w:r>
</w:p>
<w:p>
<w:pPr><w:pStyle w:val="Normal"/></w:pPr>
<w:r><w:t xml:space="preserve">ALLEYN, EDWARD (1566-1626), English actor and founder of</w:t></w:r>
</w:p>
<w:p>
<w:pPr><w:pStyle w:val="Normal"/></w:pPr>
<w:r><w:t xml:space="preserve">Dulwich College, was born in London on the 1st of September</w:t></w:r>
</w:p>
<w:p>
<w:pPr><w:pStyle w:val="Normal"/></w:pPr>
<w:r><w:t xml:space="preserve">1566, the son of an innkeeper.  It is not known at what date</w:t></w:r>
</w:p>
<w:p>
<w:pPr><w:pStyle w:val="Normal"/></w:pPr>
<w:r><w:t xml:space="preserve">he began to act, but he certainly gained distinction in his</w:t></w:r>
</w:p>
<w:p>
<w:pPr><w:pStyle w:val="Normal"/></w:pPr>
<w:r><w:t xml:space="preserve">calling while a young man, for in 1586 his name was on the</w:t></w:r>
</w:p>
<w:p>
<w:pPr><w:pStyle w:val="Normal"/></w:pPr>
<w:r><w:t xml:space="preserve">list of the earl of Worcester&apos;s players, and he was eventually</w:t></w:r>
</w:p>
<w:p>
<w:pPr><w:pStyle w:val="Normal"/></w:pPr>
<w:r><w:t xml:space="preserve">rated by common consent as the foremost actor of his time.</w:t></w:r>
</w:p>
<w:p>
<w:pPr><w:pStyle w:val="Normal"/></w:pPr>
<w:r><w:t xml:space="preserve">Ben Jonson, a critic little prone to exalt the merits of men</w:t></w:r>
</w:p>
<w:p>
<w:pPr><w:pStyle w:val="Normal"/></w:pPr>
<w:r><w:t xml:space="preserve">of mark among his contemporaries, bestowed unstinted praise</w:t></w:r>
</w:p>
<w:p>
<w:pPr><w:pStyle w:val="Normal"/></w:pPr>
<w:r><w:t xml:space="preserve">on Alleyn&apos;s acting (Epigrams, No. 89). Nash expresses in</w:t></w:r>
</w:p>
<w:p>
<w:pPr><w:pStyle w:val="Normal"/></w:pPr>
<w:r><w:t xml:space="preserve">prose, in Pierce Penniless, his admiration of him, while</w:t></w:r>
</w:p>
<w:p>
<w:pPr><w:pStyle w:val="Normal"/></w:pPr>
<w:r><w:t xml:space="preserve">Heywood calls him ``inimitable,&apos;&apos; ``the best of actors,&apos;&apos;</w:t></w:r>
</w:p>
<w:p>
<w:pPr><w:pStyle w:val="Normal"/></w:pPr>
<w:r><w:t xml:space="preserve">``Proteus for shapes and Roscius for a tongue.&apos;&apos; Alleyn</w:t></w:r>
</w:p>
<w:p>
<w:pPr><w:pStyle w:val="Normal"/></w:pPr>
<w:r><w:t xml:space="preserve">inherited house property in Bishopsgate from his father.</w:t></w:r>
</w:p>
<w:p>
<w:pPr><w:pStyle w:val="Normal"/></w:pPr>
<w:r><w:t xml:space="preserve">His marriage on the 22nd of October 1592 with Joan Woodward,</w:t></w:r>
</w:p>
<w:p>
<w:pPr><w:pStyle w:val="Normal"/></w:pPr>
<w:r><w:t xml:space="preserve">stepdaughter of Philip Henslowe, brought him eventually more</w:t></w:r>
</w:p>
<w:p>
<w:pPr><w:pStyle w:val="Normal"/></w:pPr>
<w:r><w:t xml:space="preserve">wealth.  He became part owner in Henslowe&apos;s ventures, and</w:t></w:r>
</w:p>
<w:p>
<w:pPr><w:pStyle w:val="Normal"/></w:pPr>
<w:r><w:t xml:space="preserve">in the end sole proprietor of several play-houses and other</w:t></w:r>
</w:p>
<w:p>
<w:pPr><w:pStyle w:val="Normal"/></w:pPr>
<w:r><w:t xml:space="preserve">profitable pleasure resorts.  Among these were the Rose Theatre</w:t></w:r>
</w:p>
<w:p>
<w:pPr><w:pStyle w:val="Normal"/></w:pPr>
<w:r><w:t xml:space="preserve">at Bankside, the Paris Garden and the Fortune Theatre in St</w:t></w:r>
</w:p>
<w:p>
<w:pPr><w:pStyle w:val="Normal"/></w:pPr>
<w:r><w:t xml:space="preserve">Luke&apos;s--the latter occupied by the earl of Nottingham&apos;s company,</w:t></w:r>
</w:p>
<w:p>
<w:pPr><w:pStyle w:val="Normal"/></w:pPr>
<w:r><w:t xml:space="preserve">of which Alleyn was the head.  He filled, too, in conjunction</w:t></w:r>
</w:p>
<w:p>
<w:pPr><w:pStyle w:val="Normal"/></w:pPr>
<w:r><w:t xml:space="preserve">with Henslowe, the post of ``master of the king&apos;s games of</w:t></w:r>
</w:p>
<w:p>
<w:pPr><w:pStyle w:val="Normal"/></w:pPr>
<w:r><w:t xml:space="preserve">bears, bulls and dogs.&apos;&apos; On some occasions he directed the</w:t></w:r>
</w:p>
<w:p>
<w:pPr><w:pStyle w:val="Normal"/></w:pPr>
<w:r><w:t xml:space="preserve">sport in person, and Stow in his Chronicles gives an account</w:t></w:r>
</w:p>
<w:p>
<w:pPr><w:pStyle w:val="Normal"/></w:pPr>
<w:r><w:t xml:space="preserve">of how Alleyn baited a lion before James I. at the Tower.</w:t></w:r>
</w:p>
<w:p>
<w:pPr><w:pStyle w:val="Normal"/></w:pPr>
<w:r><w:t xml:space="preserve">Alleyn&apos;s connexion with Dulwich began in 1605, when he bought</w:t></w:r>
</w:p>
<w:p>
<w:pPr><w:pStyle w:val="Normal"/></w:pPr>
<w:r><w:t xml:space="preserve">the manor of Dulwich from Sir Francis Cation.  The landed</w:t></w:r>
</w:p>
<w:p>
<w:pPr><w:pStyle w:val="Normal"/></w:pPr>
<w:r><w:t xml:space="preserve">property, of which the entire estate had not passed into Alleyn&apos;s</w:t></w:r>
</w:p>
<w:p>
<w:pPr><w:pStyle w:val="Normal"/></w:pPr>
<w:r><w:t xml:space="preserve">hands earlier than 1614, stretched from the crest of that</w:t></w:r>
</w:p>
<w:p>
<w:pPr><w:pStyle w:val="Normal"/></w:pPr>
<w:r><w:t xml:space="preserve">range of Surrey hills on whose summit now stands the Crystal</w:t></w:r>
</w:p>
<w:p>
<w:pPr><w:pStyle w:val="Normal"/></w:pPr>
<w:r><w:t xml:space="preserve">Palace, to the crest of the parallel ridge, three miles nearer</w:t></w:r>
</w:p>
<w:p>
<w:pPr><w:pStyle w:val="Normal"/></w:pPr>
<w:r><w:t xml:space="preserve">London, known in its several portions as Herne Hill, Denmark</w:t></w:r>
</w:p>
<w:p>
<w:pPr><w:pStyle w:val="Normal"/></w:pPr>
<w:r><w:t xml:space="preserve">Hill and Champion Hill.  Alleyn acquired this large property for</w:t></w:r>
</w:p>
<w:p>
<w:pPr><w:pStyle w:val="Normal"/></w:pPr>
<w:r><w:t xml:space="preserve">little more than L. 10,000.  He had barely got full possession,</w:t></w:r>
</w:p>
<w:p>
<w:pPr><w:pStyle w:val="Normal"/></w:pPr>
<w:r><w:t xml:space="preserve">however, before the question how to dispose of it began to occupy</w:t></w:r>
</w:p>
<w:p>
<w:pPr><w:pStyle w:val="Normal"/></w:pPr>
<w:r><w:t xml:space="preserve">him.  He was still childless, after twenty years of wedded</w:t></w:r>
</w:p>
<w:p>
<w:pPr><w:pStyle w:val="Normal"/></w:pPr>
<w:r><w:t xml:space="preserve">life.  Then it was that the prosperous player--the man ``so</w:t></w:r>
</w:p>
<w:p>
<w:pPr><w:pStyle w:val="Normal"/></w:pPr>
<w:r><w:t xml:space="preserve">acting to the life that he made any part to become him&apos;&apos; (Fuller,</w:t></w:r>
</w:p>
<w:p>
<w:pPr><w:pStyle w:val="Normal"/></w:pPr>
<w:r><w:t xml:space="preserve">Worthies)--began the task of building and endowing in his</w:t></w:r>
</w:p>
<w:p>
<w:pPr><w:pStyle w:val="Normal"/></w:pPr>
<w:r><w:t xml:space="preserve">own lifetime the College of God&apos;s Gift at Dulwich.  All was</w:t></w:r>
</w:p>
<w:p>
<w:pPr><w:pStyle w:val="Normal"/></w:pPr>
<w:r><w:t xml:space="preserve">completed in 1617 except the charter or deed of incorporation</w:t></w:r>
</w:p>
<w:p>
<w:pPr><w:pStyle w:val="Normal"/></w:pPr>
<w:r><w:t xml:space="preserve">for setting his lands in mortmain.  Tedious delays occurred</w:t></w:r>
</w:p>
<w:p>
<w:pPr><w:pStyle w:val="Normal"/></w:pPr>
<w:r><w:t xml:space="preserve">in the Star Chamber, where Lord Chancellor Bacon was scheming</w:t></w:r>
</w:p>
<w:p>
<w:pPr><w:pStyle w:val="Normal"/></w:pPr>
<w:r><w:t xml:space="preserve">to bring the pressure of kingly authority to bear on Alleyn</w:t></w:r>
</w:p>
<w:p>
<w:pPr><w:pStyle w:val="Normal"/></w:pPr>
<w:r><w:t xml:space="preserve">with the aim of securing a large portion of the proposed</w:t></w:r>
</w:p>
<w:p>
<w:pPr><w:pStyle w:val="Normal"/></w:pPr>
<w:r><w:t xml:space="preserve">endowment for the maintenance of lectureships at Oxford and</w:t></w:r>
</w:p>
<w:p>
<w:pPr><w:pStyle w:val="Normal"/></w:pPr>
<w:r><w:t xml:space="preserve">Cambridge.  Alleyn finally carried his point and the College</w:t></w:r>
</w:p>
<w:p>
<w:pPr><w:pStyle w:val="Normal"/></w:pPr>
<w:r><w:t xml:space="preserve">of God&apos;s Gift at Dulwich was founded, and endowed under letters</w:t></w:r>
</w:p>
<w:p>
<w:pPr><w:pStyle w:val="Normal"/></w:pPr>
<w:r><w:t xml:space="preserve">patent of James I., dated the 21st of June 1619.  The building</w:t></w:r>
</w:p>
<w:p>
<w:pPr><w:pStyle w:val="Normal"/></w:pPr>
<w:r><w:t xml:space="preserve">had been already begun in 1613 (see DULWICH.) Alleyn was</w:t></w:r>
</w:p>
<w:p>
<w:pPr><w:pStyle w:val="Normal"/></w:pPr>
<w:r><w:t xml:space="preserve">never a member of his own foundation, but he continued to</w:t></w:r>
</w:p>
<w:p>
<w:pPr><w:pStyle w:val="Normal"/></w:pPr>
<w:r><w:t xml:space="preserve">the close of his life to guide and control its affairs under</w:t></w:r>
</w:p>
<w:p>
<w:pPr><w:pStyle w:val="Normal"/></w:pPr>
<w:r><w:t xml:space="preserve">powers reserved to himself in the letters patent.  His diary</w:t></w:r>
</w:p>
<w:p>
<w:pPr><w:pStyle w:val="Normal"/></w:pPr>
<w:r><w:t xml:space="preserve">shows that he mixed much and intimately in the life of the</w:t></w:r>
</w:p>
<w:p>
<w:pPr><w:pStyle w:val="Normal"/></w:pPr>
<w:r><w:t xml:space="preserve">college.  Many of the jottings in that curious record of daily</w:t></w:r>
</w:p>
<w:p>
<w:pPr><w:pStyle w:val="Normal"/></w:pPr>
<w:r><w:t xml:space="preserve">doings and incidents favour the inference that he was a genial,</w:t></w:r>
</w:p>
<w:p>
<w:pPr><w:pStyle w:val="Normal"/></w:pPr>
<w:r><w:t xml:space="preserve">kind, amiable and religious man.  His fondness for his old</w:t></w:r>
</w:p>
<w:p>
<w:pPr><w:pStyle w:val="Normal"/></w:pPr>
<w:r><w:t xml:space="preserve">profession is indicated by the fact that he engaged the boys</w:t></w:r>
</w:p>
<w:p>
<w:pPr><w:pStyle w:val="Normal"/></w:pPr>
<w:r><w:t xml:space="preserve">in occasional theatrical performances.  At a festive gathering</w:t></w:r>
</w:p>
<w:p>
<w:pPr><w:pStyle w:val="Normal"/></w:pPr>
<w:r><w:t xml:space="preserve">on the 6th of January 1622 ``the boyes play&apos;d a playe.&apos;&apos;</w:t></w:r>
</w:p>
<w:p>
<w:pPr><w:pStyle w:val="Normal"/></w:pPr>
<w:r><w:t xml:space="preserve">Alleyn&apos;s first wife died in 1623.  The same year he married</w:t></w:r>
</w:p>
<w:p>
<w:pPr><w:pStyle w:val="Normal"/></w:pPr>
<w:r><w:t xml:space="preserve">Constance, daughter of John Donne, the poet and dean of St</w:t></w:r>
</w:p>
<w:p>
<w:pPr><w:pStyle w:val="Normal"/></w:pPr>
<w:r><w:t xml:space="preserve">Paul&apos;s.  Alleyn died in November 1626 and was buried in the</w:t></w:r>
</w:p>
<w:p>
<w:pPr><w:pStyle w:val="Normal"/></w:pPr>
<w:r><w:t xml:space="preserve">chapel of the college which he had founded.  His gravestone</w:t></w:r>
</w:p>
<w:p>
<w:pPr><w:pStyle w:val="Normal"/></w:pPr>
<w:r><w:t xml:space="preserve">fixes the day of his death as the 21st, but there are</w:t></w:r>
</w:p>
<w:p>
<w:pPr><w:pStyle w:val="Normal"/></w:pPr>
<w:r><w:t xml:space="preserve">grounds for the belief that it was the 25th.  A portrait of</w:t></w:r>
</w:p>
<w:p>
<w:pPr><w:pStyle w:val="Normal"/></w:pPr>
<w:r><w:t xml:space="preserve">the actor is preserved at Dulwich.  Alleyn was a member of</w:t></w:r>
</w:p>
<w:p>
<w:pPr><w:pStyle w:val="Normal"/></w:pPr>
<w:r><w:t xml:space="preserve">the corporation of wardens of St Saviour&apos;s, Southwark, in</w:t></w:r>
</w:p>
<w:p>
<w:pPr><w:pStyle w:val="Normal"/></w:pPr>
<w:r><w:t xml:space="preserve">1610, and there is a memorial window to him in the cathedral.</w:t></w:r>
</w:p>
<w:p>
<w:pPr><w:pStyle w:val="Normal"/></w:pPr>
<w:r><w:t xml:space="preserve">ALL FOURS, a card game (known also in America as Seven</w:t></w:r>
</w:p>
<w:p>
<w:pPr><w:pStyle w:val="Normal"/></w:pPr>
<w:r><w:t xml:space="preserve">Up, Old Sledge or High-Low-Jack) usually played by two</w:t></w:r>
</w:p>
<w:p>
<w:pPr><w:pStyle w:val="Normal"/></w:pPr>
<w:r><w:t xml:space="preserve">players, though four may play.  A full pack is used and</w:t></w:r>
</w:p>
<w:p>
<w:pPr><w:pStyle w:val="Normal"/></w:pPr>
<w:r><w:t xml:space="preserve">each player receives seven counters.  Four points can be</w:t></w:r>
</w:p>
<w:p>
<w:pPr><w:pStyle w:val="Normal"/></w:pPr>
<w:r><w:t xml:space="preserve">scored, one each for high, the highest trump out, for</w:t></w:r>
</w:p>
<w:p>
<w:pPr><w:pStyle w:val="Normal"/></w:pPr>
<w:r><w:t xml:space="preserve">low, the lowest trump dealt, for Jack, the knave of</w:t></w:r>
</w:p>
<w:p>
<w:pPr><w:pStyle w:val="Normal"/></w:pPr>
<w:r><w:t xml:space="preserve">trumps, and for game, the majority of pips in the cards</w:t></w:r>
</w:p>
<w:p>
<w:pPr><w:pStyle w:val="Normal"/></w:pPr>
<w:r><w:t xml:space="preserve">of the tricks that a player has won.  Ace counts 4, King 3,</w:t></w:r>
</w:p>
<w:p>
<w:pPr><w:pStyle w:val="Normal"/></w:pPr>
<w:r><w:t xml:space="preserve">Queen 2, Knave 1, and ten 10 points. Low is scored by the</w:t></w:r>
</w:p>
<w:p>
<w:pPr><w:pStyle w:val="Normal"/></w:pPr>
<w:r><w:t xml:space="preserve">person to whom it is dealt; High of course wins a trick;</w:t></w:r>
</w:p>
<w:p>
<w:pPr><w:pStyle w:val="Normal"/></w:pPr>
<w:r><w:t xml:space="preserve">Jack is scored by the player who finally has it among his</w:t></w:r>
</w:p>
<w:p>
<w:pPr><w:pStyle w:val="Normal"/></w:pPr>
<w:r><w:t xml:space="preserve">tricks.  If Jack is turned up the dealer scores the point.</w:t></w:r>
</w:p>
<w:p>
<w:pPr><w:pStyle w:val="Normal"/></w:pPr>
<w:r><w:t xml:space="preserve">A player who plays a high or low trump is entitled to ask if</w:t></w:r>
</w:p>
<w:p>
<w:pPr><w:pStyle w:val="Normal"/></w:pPr>
<w:r><w:t xml:space="preserve">they are High or Low. The game is 10 or 11 points.  Six</w:t></w:r>
</w:p>
<w:p>
<w:pPr><w:pStyle w:val="Normal"/></w:pPr>
<w:r><w:t xml:space="preserve">cards are dealt to each, the thirteenth being turned up for</w:t></w:r>
</w:p>
<w:p>
<w:pPr><w:pStyle w:val="Normal"/></w:pPr>
<w:r><w:t xml:space="preserve">trumps.  The non-dealer may propose or beg if he does not</w:t></w:r>
</w:p>
<w:p>
<w:pPr><w:pStyle w:val="Normal"/></w:pPr>
<w:r><w:t xml:space="preserve">like his hand.  If the dealer refuses the elder hand scores</w:t></w:r>
</w:p>
<w:p>
<w:pPr><w:pStyle w:val="Normal"/></w:pPr>
<w:r><w:t xml:space="preserve">a point; if he consents he gives and takes three more cards,</w:t></w:r>
</w:p>
<w:p>
<w:pPr><w:pStyle w:val="Normal"/></w:pPr>
<w:r><w:t xml:space="preserve">the seventh being turned up for trumps, which must be of a</w:t></w:r>
</w:p>
<w:p>
<w:pPr><w:pStyle w:val="Normal"/></w:pPr>
<w:r><w:t xml:space="preserve">different suit from the original trump card; otherwise six</w:t></w:r>
</w:p>
<w:p>
<w:pPr><w:pStyle w:val="Normal"/></w:pPr>
<w:r><w:t xml:space="preserve">more cards are dealt out, and so on till a fresh trump suit</w:t></w:r>
</w:p>
<w:p>
<w:pPr><w:pStyle w:val="Normal"/></w:pPr>
<w:r><w:t xml:space="preserve">appears.  The non-dealer then leads; the other must trump or</w:t></w:r>
</w:p>
<w:p>
<w:pPr><w:pStyle w:val="Normal"/></w:pPr>
<w:r><w:t xml:space="preserve">follow suit, or forfeit a point. Jack may be played to any</w:t></w:r>
</w:p>
<w:p>
<w:pPr><w:pStyle w:val="Normal"/></w:pPr>
<w:r><w:t xml:space="preserve">trick.  Each pair of cards is a trick, and is collected by the</w:t></w:r>
</w:p>
<w:p>
<w:pPr><w:pStyle w:val="Normal"/></w:pPr>
<w:r><w:t xml:space="preserve">winner.  A fresh deal may be claimed if the dealer exposes</w:t></w:r>
</w:p>
<w:p>
<w:pPr><w:pStyle w:val="Normal"/></w:pPr>
<w:r><w:t xml:space="preserve">one of his adversary&apos;s cards, or if he gives himself or his</w:t></w:r>
</w:p>
<w:p>
<w:pPr><w:pStyle w:val="Normal"/></w:pPr>
<w:r><w:t xml:space="preserve">adversary too few or too many.  In that case the error must be</w:t></w:r>
</w:p>
<w:p>
<w:pPr><w:pStyle w:val="Normal"/></w:pPr>
<w:r><w:t xml:space="preserve">discovered before a card is played (see also AUCTION PITCH.)</w:t></w:r>
</w:p>
<w:p>
<w:pPr><w:pStyle w:val="Normal"/></w:pPr>
<w:r><w:t xml:space="preserve">ALLIA (mod. Fosso Bettinia), a small tributary of the</w:t></w:r>
</w:p>
<w:p>
<w:pPr><w:pStyle w:val="Normal"/></w:pPr>
<w:r><w:t xml:space="preserve">river Tiber, joining it on the left (east) bank, about 11</w:t></w:r>
</w:p>
<w:p>
<w:pPr><w:pStyle w:val="Normal"/></w:pPr>
<w:r><w:t xml:space="preserve">m.  N. of Rome.  It gave its name to the terrible defeat which</w:t></w:r>
</w:p>
<w:p>
<w:pPr><w:pStyle w:val="Normal"/></w:pPr>
<w:r><w:t xml:space="preserve">the Romans suffered at the hands of the Gauls on the 18th of</w:t></w:r>
</w:p>
<w:p>
<w:pPr><w:pStyle w:val="Normal"/></w:pPr>
<w:r><w:t xml:space="preserve">July 390 B.C. Livy (v. 37) and Diodorus (v. 114) differ with</w:t></w:r>
</w:p>
<w:p>
<w:pPr><w:pStyle w:val="Normal"/></w:pPr>
<w:r><w:t xml:space="preserve">regard to the site of the battle, the former putting it on the</w:t></w:r>
</w:p>
<w:p>
<w:pPr><w:pStyle w:val="Normal"/></w:pPr>
<w:r><w:t xml:space="preserve">left, the latter on the right bank of the Tiber.  Mommsen and</w:t></w:r>
</w:p>
<w:p>
<w:pPr><w:pStyle w:val="Normal"/></w:pPr>
<w:r><w:t xml:space="preserve">others support Diodorus, but the question still remains open.</w:t></w:r>
</w:p>
<w:p>
<w:pPr><w:pStyle w:val="Normal"/></w:pPr>
<w:r><w:t xml:space="preserve">See T. Ashby in Papers of the British School at Rome, iii. 24.</w:t></w:r>
</w:p>
<w:p>
<w:pPr><w:pStyle w:val="Normal"/></w:pPr>
<w:r><w:t xml:space="preserve">ALLIANCE, a city of Stark county, Ohio, U. S. A., on the</w:t></w:r>
</w:p>
<w:p>
<w:pPr><w:pStyle w:val="Normal"/></w:pPr>
<w:r><w:t xml:space="preserve">Mahoning river, about 57 m.  S.E. of Cleveland, about 1080</w:t></w:r>
</w:p>
<w:p>
<w:pPr><w:pStyle w:val="Normal"/></w:pPr>
<w:r><w:t xml:space="preserve">ft. above the sea, and about 505 ft. above the level of Lake</w:t></w:r>
</w:p>
<w:p>
<w:pPr><w:pStyle w:val="Normal"/></w:pPr>
<w:r><w:t xml:space="preserve">Erie.  Pop. (1890) 7607; (1900) 8974, of whom 1029 were</w:t></w:r>
</w:p>
<w:p>
<w:pPr><w:pStyle w:val="Normal"/></w:pPr>
<w:r><w:t xml:space="preserve">foreign-born: (1906, estimate) 9796.  It is served by the</w:t></w:r>
</w:p>
<w:p>
<w:pPr><w:pStyle w:val="Normal"/></w:pPr>
<w:r><w:t xml:space="preserve">Pennsylvania and the Lake Erie, Alliance &amp; Wheeling railways,</w:t></w:r>
</w:p>
<w:p>
<w:pPr><w:pStyle w:val="Normal"/></w:pPr>
<w:r><w:t xml:space="preserve">and by an electric line connecting with Canton and Salem.  The</w:t></w:r>
</w:p>
<w:p>
<w:pPr><w:pStyle w:val="Normal"/></w:pPr>
<w:r><w:t xml:space="preserve">city is the seat of Mount Union College (Methodist Episcopal),</w:t></w:r>
</w:p>
<w:p>
<w:pPr><w:pStyle w:val="Normal"/></w:pPr>
<w:r><w:t xml:space="preserve">opened in 1846 as a preparatory school and having in 1907</w:t></w:r>
</w:p>
<w:p>
<w:pPr><w:pStyle w:val="Normal"/></w:pPr>
<w:r><w:t xml:space="preserve">a library of about 10,000 volumes, a collegiate department</w:t></w:r>
</w:p>
<w:p>
<w:pPr><w:pStyle w:val="Normal"/></w:pPr>
<w:r><w:t xml:space="preserve">(opened in 1858), a normal department (1858), a school of</w:t></w:r>
</w:p>
<w:p>
<w:pPr><w:pStyle w:val="Normal"/></w:pPr>
<w:r><w:t xml:space="preserve">music (1855), a commercial school (1868), a faculty of 29</w:t></w:r>
</w:p>
<w:p>
<w:pPr><w:pStyle w:val="Normal"/></w:pPr>
<w:r><w:t xml:space="preserve">teachers, and an enrolment of 524 students, of whom 274 were</w:t></w:r>
</w:p>
<w:p>
<w:pPr><w:pStyle w:val="Normal"/></w:pPr>
<w:r><w:t xml:space="preserve">women.  Among the manufactures of Alliance are structural</w:t></w:r>
</w:p>
<w:p>
<w:pPr><w:pStyle w:val="Normal"/></w:pPr>
<w:r><w:t xml:space="preserve">iron, steel castings, pressed sheet steel, gun carriages,</w:t></w:r>
</w:p>
<w:p>
<w:pPr><w:pStyle w:val="Normal"/></w:pPr>
<w:r><w:t xml:space="preserve">boilers, travelling cranes, pipe organs, street-car indicators,</w:t></w:r>
</w:p>
<w:p>
<w:pPr><w:pStyle w:val="Normal"/></w:pPr>
<w:r><w:t xml:space="preserve">sashes and doors, and account registers and other material</w:t></w:r>
</w:p>
<w:p>
<w:pPr><w:pStyle w:val="Normal"/></w:pPr>
<w:r><w:t xml:space="preserve">for file and cabinet-bookkeeping.  The municipality owns</w:t></w:r>
</w:p>
<w:p>
<w:pPr><w:pStyle w:val="Normal"/></w:pPr>
<w:r><w:t xml:space="preserve">and operates its water-works.  Alliance was first settled in</w:t></w:r>
</w:p>
<w:p>
<w:pPr><w:pStyle w:val="Normal"/></w:pPr>
<w:r><w:t xml:space="preserve">1838, when it was laid out as a town and was named Freedom;</w:t></w:r>
</w:p>
<w:p>
<w:pPr><w:pStyle w:val="Normal"/></w:pPr>
<w:r><w:t xml:space="preserve">it was named Alliance in 1851, was incorporated as a village</w:t></w:r>
</w:p>
<w:p>
<w:pPr><w:pStyle w:val="Normal"/></w:pPr>
<w:r><w:t xml:space="preserve">in 1854, and became a city of the second class in 1888.</w:t></w:r>
</w:p>
<w:p>
<w:pPr><w:pStyle w:val="Normal"/></w:pPr>
<w:r><w:t xml:space="preserve">ALLIANCE, in international law, a league between independent</w:t></w:r>
</w:p>
<w:p>
<w:pPr><w:pStyle w:val="Normal"/></w:pPr>
<w:r><w:t xml:space="preserve">states, defined by treaty, for the purpose of combined action,</w:t></w:r>
</w:p>
<w:p>
<w:pPr><w:pStyle w:val="Normal"/></w:pPr>
<w:r><w:t xml:space="preserve">defensive or offensive, or both.  Alliances have usually</w:t></w:r>
</w:p>
<w:p>
<w:pPr><w:pStyle w:val="Normal"/></w:pPr>
<w:r><w:t xml:space="preserve">been directed to specific objects carefully defined in the</w:t></w:r>
</w:p>
<w:p>
<w:pPr><w:pStyle w:val="Normal"/></w:pPr>
<w:r><w:t xml:space="preserve">treaties.  Thus the Triple Alliance of 1688 between Great</w:t></w:r>
</w:p>
<w:p>
<w:pPr><w:pStyle w:val="Normal"/></w:pPr>
<w:r><w:t xml:space="preserve">Britain, Sweden and the Netherlands, and the Grand Alliance</w:t></w:r>
</w:p>
<w:p>
<w:pPr><w:pStyle w:val="Normal"/></w:pPr>
<w:r><w:t xml:space="preserve">of 1689 between the emperor, Holland, England, Spain and</w:t></w:r>
</w:p>
<w:p>
<w:pPr><w:pStyle w:val="Normal"/></w:pPr>
<w:r><w:t xml:space="preserve">Saxony, were both directed against the power of Louis XIV.</w:t></w:r>
</w:p>
<w:p>
<w:pPr><w:pStyle w:val="Normal"/></w:pPr>
<w:r><w:t xml:space="preserve">The Quadruple or Grand Alliance of 1814, defined in the</w:t></w:r>
</w:p>
<w:p>
<w:pPr><w:pStyle w:val="Normal"/></w:pPr>
<w:r><w:t xml:space="preserve">treaty of Chaumont, between Great Britain, Austria, Russia and</w:t></w:r>
</w:p>
<w:p>
<w:pPr><w:pStyle w:val="Normal"/></w:pPr>
<w:r><w:t xml:space="preserve">Prussia, had for its object the overthrow of Napoleon and his</w:t></w:r>
</w:p>
<w:p>
<w:pPr><w:pStyle w:val="Normal"/></w:pPr>
<w:r><w:t xml:space="preserve">dynasty, and the confining of France within her traditional</w:t></w:r>
</w:p>
<w:p>
<w:pPr><w:pStyle w:val="Normal"/></w:pPr>
<w:r><w:t xml:space="preserve">boundaries.  The Triple Alliance of 1882 between Germany,</w:t></w:r>
</w:p>
<w:p>
<w:pPr><w:pStyle w:val="Normal"/></w:pPr>
<w:r><w:t xml:space="preserve">Austria and Italy was ostensibly directed to the preservation</w:t></w:r>
</w:p>
<w:p>
<w:pPr><w:pStyle w:val="Normal"/></w:pPr>
<w:r><w:t xml:space="preserve">of European peace against any possible aggressive action</w:t></w:r>
</w:p>
<w:p>
<w:pPr><w:pStyle w:val="Normal"/></w:pPr>
<w:r><w:t xml:space="preserve">of France or Russia; and this led in turn, some ten years</w:t></w:r>
</w:p>
<w:p>
<w:pPr><w:pStyle w:val="Normal"/></w:pPr>
<w:r><w:t xml:space="preserve">later, to the Dual Alliance between Russia and France, for</w:t></w:r>
</w:p>
<w:p>
<w:pPr><w:pStyle w:val="Normal"/></w:pPr>
<w:r><w:t xml:space="preserve">mutual support in case of any hostile action of the other</w:t></w:r>
</w:p>
<w:p>
<w:pPr><w:pStyle w:val="Normal"/></w:pPr>
<w:r><w:t xml:space="preserve">powers.  Occasionally, however, attempts have been made to</w:t></w:r>
</w:p>
<w:p>
<w:pPr><w:pStyle w:val="Normal"/></w:pPr>
<w:r><w:t xml:space="preserve">give alliances a more general character.  Thus the ``Holy</w:t></w:r>
</w:p>
<w:p>
<w:pPr><w:pStyle w:val="Normal"/></w:pPr>
<w:r><w:t xml:space="preserve">Alliance&apos;&apos; (q.v.) of the 26th of September 1815 was an</w:t></w:r>
</w:p>
<w:p>
<w:pPr><w:pStyle w:val="Normal"/></w:pPr>
<w:r><w:t xml:space="preserve">attempt, inspired by the religious idealism of the emperor</w:t></w:r>
</w:p>
<w:p>
<w:pPr><w:pStyle w:val="Normal"/></w:pPr>
<w:r><w:t xml:space="preserve">Alexander I. of Russia, to find in the ``sacred precepts of the</w:t></w:r>
</w:p>
<w:p>
<w:pPr><w:pStyle w:val="Normal"/></w:pPr>
<w:r><w:t xml:space="preserve">Gospel&apos;&apos; a common basis for a general league of the European</w:t></w:r>
</w:p>
<w:p>
<w:pPr><w:pStyle w:val="Normal"/></w:pPr>
<w:r><w:t xml:space="preserve">governments, its object being, primarily, the preservation of</w:t></w:r>
</w:p>
<w:p>
<w:pPr><w:pStyle w:val="Normal"/></w:pPr>
<w:r><w:t xml:space="preserve">peace.  So, too, by Article VI. of the Quadruple Treaty signed</w:t></w:r>
</w:p>
<w:p>
<w:pPr><w:pStyle w:val="Normal"/></w:pPr>
<w:r><w:t xml:space="preserve">at Paris on the 20th of November 1815--which renewed that of</w:t></w:r>
</w:p>
<w:p>
<w:pPr><w:pStyle w:val="Normal"/></w:pPr>
<w:r><w:t xml:space="preserve">Chaumont and was again renewed, in 1818, at Aix-la-Chapelle--the</w:t></w:r>
</w:p>
<w:p>
<w:pPr><w:pStyle w:val="Normal"/></w:pPr>
<w:r><w:t xml:space="preserve">scope of the Grand Alliance was extended to objects of common</w:t></w:r>
</w:p>
<w:p>
<w:pPr><w:pStyle w:val="Normal"/></w:pPr>
<w:r><w:t xml:space="preserve">interest not specifically defined in the treaties.  The article</w:t></w:r>
</w:p>
<w:p>
<w:pPr><w:pStyle w:val="Normal"/></w:pPr>
<w:r><w:t xml:space="preserve">runs:--``In order to consolidate the intimate tie which unites</w:t></w:r>
</w:p>
<w:p>
<w:pPr><w:pStyle w:val="Normal"/></w:pPr>
<w:r><w:t xml:space="preserve">the four sovereigns for the happiness of the world, the High</w:t></w:r>
</w:p>
<w:p>
<w:pPr><w:pStyle w:val="Normal"/></w:pPr>
<w:r><w:t xml:space="preserve">Contracting Powers have agreed to renew at fixed intervals,</w:t></w:r>
</w:p>
<w:p>
<w:pPr><w:pStyle w:val="Normal"/></w:pPr>
<w:r><w:t xml:space="preserve">either under their own auspices or by their respective</w:t></w:r>
</w:p>
<w:p>
<w:pPr><w:pStyle w:val="Normal"/></w:pPr>
<w:r><w:t xml:space="preserve">ministers, meetings consecrated to great common objects and to</w:t></w:r>
</w:p>
<w:p>
<w:pPr><w:pStyle w:val="Normal"/></w:pPr>
<w:r><w:t xml:space="preserve">the examination of such measures as at each one of these epochs</w:t></w:r>
</w:p>
<w:p>
<w:pPr><w:pStyle w:val="Normal"/></w:pPr>
<w:r><w:t xml:space="preserve">shall be judged most salutary for the peace and prosperity of</w:t></w:r>
</w:p>
<w:p>
<w:pPr><w:pStyle w:val="Normal"/></w:pPr>
<w:r><w:t xml:space="preserve">the nations and the maintenance of the tranquillity of Europe.&apos;&apos;</w:t></w:r>
</w:p>
<w:p>
<w:pPr><w:pStyle w:val="Normal"/></w:pPr>
<w:r><w:t xml:space="preserve">It was this article of the treaty of the 20th of November</w:t></w:r>
</w:p>
<w:p>
<w:pPr><w:pStyle w:val="Normal"/></w:pPr>
<w:r><w:t xml:space="preserve">1815, rather than the ``Holy Alliance,&apos;&apos; that formed the basis</w:t></w:r>
</w:p>
<w:p>
<w:pPr><w:pStyle w:val="Normal"/></w:pPr>
<w:r><w:t xml:space="preserve">of the serious effort made by the great powers, between 1815</w:t></w:r>
</w:p>
<w:p>
<w:pPr><w:pStyle w:val="Normal"/></w:pPr>
<w:r><w:t xml:space="preserve">and 1822, to govern Europe in concert, which will be found</w:t></w:r>
</w:p>
<w:p>
<w:pPr><w:pStyle w:val="Normal"/></w:pPr>
<w:r><w:t xml:space="preserve">outlined in the article on the history of Europe.  In general</w:t></w:r>
</w:p>
<w:p>
<w:pPr><w:pStyle w:val="Normal"/></w:pPr>
<w:r><w:t xml:space="preserve">it proved that an alliance, to be effective, must be clearly</w:t></w:r>
</w:p>
<w:p>
<w:pPr><w:pStyle w:val="Normal"/></w:pPr>
<w:r><w:t xml:space="preserve">defined as to its objects, and that in the long run the treaty</w:t></w:r>
</w:p>
<w:p>
<w:pPr><w:pStyle w:val="Normal"/></w:pPr>
<w:r><w:t xml:space="preserve">in which these objects are defined must---to quote Bismarck&apos;s</w:t></w:r>
</w:p>
<w:p>
<w:pPr><w:pStyle w:val="Normal"/></w:pPr>
<w:r><w:t xml:space="preserve">somewhat cynical dictum --``be reinforced by the interests&apos;&apos;</w:t></w:r>
</w:p>
<w:p>
<w:pPr><w:pStyle w:val="Normal"/></w:pPr>
<w:r><w:t xml:space="preserve">of the parties concerned.  Yet the ``moral alliance&apos;&apos; of</w:t></w:r>
</w:p>
<w:p>
<w:pPr><w:pStyle w:val="Normal"/></w:pPr>
<w:r><w:t xml:space="preserve">Europe, as Count Nesselrode called it, though it failed to</w:t></w:r>
</w:p>
<w:p>
<w:pPr><w:pStyle w:val="Normal"/></w:pPr>
<w:r><w:t xml:space="preserve">secure the permanent harmony of the powers, was an effective</w:t></w:r>
</w:p>
<w:p>
<w:pPr><w:pStyle w:val="Normal"/></w:pPr>
<w:r><w:t xml:space="preserve">instrument for peace during the years immediately following</w:t></w:r>
</w:p>
<w:p>
<w:pPr><w:pStyle w:val="Normal"/></w:pPr>
<w:r><w:t xml:space="preserve">the downfall of Napoleon; and it set the precedent for those</w:t></w:r>
</w:p>
<w:p>
<w:pPr><w:pStyle w:val="Normal"/></w:pPr>
<w:r><w:t xml:space="preserve">periodical meetings of the representatives of the powers, for</w:t></w:r>
</w:p>
<w:p>
<w:pPr><w:pStyle w:val="Normal"/></w:pPr>
<w:r><w:t xml:space="preserve">the discussion and settlement of questions of international</w:t></w:r>
</w:p>
<w:p>
<w:pPr><w:pStyle w:val="Normal"/></w:pPr>
<w:r><w:t xml:space="preserve">importance, which, though cumbrous and inefficient for</w:t></w:r>
</w:p>
<w:p>
<w:pPr><w:pStyle w:val="Normal"/></w:pPr>
<w:r><w:t xml:space="preserve">constructive work, have contributed much to the preservation</w:t></w:r>
</w:p>
<w:p>
<w:pPr><w:pStyle w:val="Normal"/></w:pPr>
<w:r><w:t xml:space="preserve">of the general peace (see EUROPE: History.) (W. A. P.)</w:t></w:r>
</w:p>
<w:p>
<w:pPr><w:pStyle w:val="Normal"/></w:pPr>
<w:r><w:t xml:space="preserve">ALLIARIA OFFICINALIS, also known botanically as Sisymbrium</w:t></w:r>
</w:p>
<w:p>
<w:pPr><w:pStyle w:val="Normal"/></w:pPr>
<w:r><w:t xml:space="preserve">Alliaria, and popularly as garlic-mustard, Jack-by-the-hedge, or</w:t></w:r>
</w:p>
<w:p>
<w:pPr><w:pStyle w:val="Normal"/></w:pPr>
<w:r><w:t xml:space="preserve">sauce-alone, a common hedge-bank plant belonging to the natural order</w:t></w:r>
</w:p>
<w:p>
<w:pPr><w:pStyle w:val="Normal"/></w:pPr>
<w:r><w:t xml:space="preserve">Cruciferae.  It is a rankly scented herb, 2 to 3 ft. high, with</w:t></w:r>
</w:p>
<w:p>
<w:pPr><w:pStyle w:val="Normal"/></w:pPr>
<w:r><w:t xml:space="preserve">long-stalked, coarsely-toothed leaves, and small white flowers</w:t></w:r>
</w:p>
<w:p>
<w:pPr><w:pStyle w:val="Normal"/></w:pPr>
<w:r><w:t xml:space="preserve">which are succeeded by stout long four-sided pods.  It is widely</w:t></w:r>
</w:p>
<w:p>
<w:pPr><w:pStyle w:val="Normal"/></w:pPr>
<w:r><w:t xml:space="preserve">spread through the north temperate region of the Old World.</w:t></w:r>
</w:p>
<w:p>
<w:pPr><w:pStyle w:val="Normal"/></w:pPr>
<w:r><w:t xml:space="preserve">ALLIBONE, SAMUEL AUSTIN (1816-1889), American author and</w:t></w:r>
</w:p>
<w:p>
<w:pPr><w:pStyle w:val="Normal"/></w:pPr>
<w:r><w:t xml:space="preserve">bibliographer, was born in Philadelphia, Pennsylvania, on the</w:t></w:r>
</w:p>
<w:p>
<w:pPr><w:pStyle w:val="Normal"/></w:pPr>
<w:r><w:t xml:space="preserve">17th of April 1816, of French Huguenot and Quaker ancestry.</w:t></w:r>
</w:p>
<w:p>
<w:pPr><w:pStyle w:val="Normal"/></w:pPr>
<w:r><w:t xml:space="preserve">He was privately educated and for many years was engaged in</w:t></w:r>
</w:p>
<w:p>
<w:pPr><w:pStyle w:val="Normal"/></w:pPr>
<w:r><w:t xml:space="preserve">mercantile business in his native city.  He, however, devoted</w:t></w:r>
</w:p>
<w:p>
<w:pPr><w:pStyle w:val="Normal"/></w:pPr>
<w:r><w:t xml:space="preserve">himself chiefly to reading and to bibliographical research;</w:t></w:r>
</w:p>
<w:p>
<w:pPr><w:pStyle w:val="Normal"/></w:pPr>
<w:r><w:t xml:space="preserve">acquired a very unusual knowledge of English and American</w:t></w:r>
</w:p>
<w:p>
<w:pPr><w:pStyle w:val="Normal"/></w:pPr>
<w:r><w:t xml:space="preserve">literature, and is remembered as the compiler of the well-known</w:t></w:r>
</w:p>
<w:p>
<w:pPr><w:pStyle w:val="Normal"/></w:pPr>
<w:r><w:t xml:space="preserve">Critical Dictionary of English Literature and British and</w:t></w:r>
</w:p>
<w:p>
<w:pPr><w:pStyle w:val="Normal"/></w:pPr>
<w:r><w:t xml:space="preserve">American Authors (3 vols.: vol. i. 1854, vols. ii. and iii.</w:t></w:r>
</w:p>
<w:p>
<w:pPr><w:pStyle w:val="Normal"/></w:pPr>
<w:r><w:t xml:space="preserve">1871).  To this, two supplementary volumes, edited by John</w:t></w:r>
</w:p>
<w:p>
<w:pPr><w:pStyle w:val="Normal"/></w:pPr>
<w:r><w:t xml:space="preserve">Foster Kirk, were added in 1891.  From 1867 to 1873, and</w:t></w:r>
</w:p>
<w:p>
<w:pPr><w:pStyle w:val="Normal"/></w:pPr>
<w:r><w:t xml:space="preserve">again in 1877-1879, Allibone was book editor and corresponding</w:t></w:r>
</w:p>
<w:p>
<w:pPr><w:pStyle w:val="Normal"/></w:pPr>
<w:r><w:t xml:space="preserve">secretary of the American Sunday School Union; and from</w:t></w:r>
</w:p>
<w:p>
<w:pPr><w:pStyle w:val="Normal"/></w:pPr>
<w:r><w:t xml:space="preserve">1879 to 1888 he was librarian of the Lenox Library, New York</w:t></w:r>
</w:p>
<w:p>
<w:pPr><w:pStyle w:val="Normal"/></w:pPr>
<w:r><w:t xml:space="preserve">City.  He died at Lucerne, Switzerland, on the 2nd of September</w:t></w:r>
</w:p>
<w:p>
<w:pPr><w:pStyle w:val="Normal"/></w:pPr>
<w:r><w:t xml:space="preserve">1889.  In addition to his Critical Dictionary he published</w:t></w:r>
</w:p>
<w:p>
<w:pPr><w:pStyle w:val="Normal"/></w:pPr>
<w:r><w:t xml:space="preserve">three large anthologies and several religious tracts.</w:t></w:r>
</w:p>
<w:p>
<w:pPr><w:pStyle w:val="Normal"/></w:pPr>
<w:r><w:t xml:space="preserve">See the ``Memoir&apos;&apos; by S. D. M`Connell, an address delivered before</w:t></w:r>
</w:p>
<w:p>
<w:pPr><w:pStyle w:val="Normal"/></w:pPr>
<w:r><w:t xml:space="preserve">the Historical Society of Philadelphia (Philadelphia, 1890).</w:t></w:r>
</w:p>
<w:p>
<w:pPr><w:pStyle w:val="Normal"/></w:pPr>
<w:r><w:t xml:space="preserve">ALLIER (anc. Elaver), a river of central France flowing</w:t></w:r>
</w:p>
<w:p>
<w:pPr><w:pStyle w:val="Normal"/></w:pPr>
<w:r><w:t xml:space="preserve">into the Loire.  It rises in the department of Lozere, among</w:t></w:r>
</w:p>
<w:p>
<w:pPr><w:pStyle w:val="Normal"/></w:pPr>
<w:r><w:t xml:space="preserve">the Margeride mountains, a few miles east of the town of</w:t></w:r>
</w:p>
<w:p>
<w:pPr><w:pStyle w:val="Normal"/></w:pPr>
<w:r><w:t xml:space="preserve">Mende.  The upper course of the Allier separates the mountains</w:t></w:r>
</w:p>
<w:p>
<w:pPr><w:pStyle w:val="Normal"/></w:pPr>
<w:r><w:t xml:space="preserve">of the Margeride from those of the Velay and lies for the most</w:t></w:r>
</w:p>
<w:p>
<w:pPr><w:pStyle w:val="Heading1"/></w:pPr>
<w:r><w:t>part through deep gorges.  The river then traverses the plains</w:t></w:r>
</w:p>
<w:p>
<w:pPr><w:pStyle w:val="Normal"/></w:pPr>
<w:r><w:t xml:space="preserve">of Langeac and Brioude, and receives the waters of the Alagnon</w:t></w:r>
</w:p>
<w:p>
<w:pPr><w:pStyle w:val="Normal"/></w:pPr>
<w:r><w:t xml:space="preserve">some miles above the town of Issoire.  Swelled by torrents</w:t></w:r>
</w:p>
<w:p>
<w:pPr><w:pStyle w:val="Normal"/></w:pPr>
<w:r><w:t xml:space="preserve">from the mountains of Dore and Dome, it unites with the river</w:t></w:r>
</w:p>
<w:p>
<w:pPr><w:pStyle w:val="Normal"/></w:pPr>
<w:r><w:t xml:space="preserve">Dore at its entrance to the department to which it gives its</w:t></w:r>
</w:p>
<w:p>
<w:pPr><w:pStyle w:val="Normal"/></w:pPr>
<w:r><w:t xml:space="preserve">name.  It then flows through a wide but shallow channel, joining</w:t></w:r>
</w:p>
<w:p>
<w:pPr><w:pStyle w:val="Normal"/></w:pPr>
<w:r><w:t xml:space="preserve">the Sioule some distance above Moulins, the chief town on its</w:t></w:r>
</w:p>
<w:p>
<w:pPr><w:pStyle w:val="Normal"/></w:pPr>
<w:r><w:t xml:space="preserve">banks.  It soon after becomes the boundary line between the</w:t></w:r>
</w:p>
<w:p>
<w:pPr><w:pStyle w:val="Normal"/></w:pPr>
<w:r><w:t xml:space="preserve">departments of Cher and Nievre, and reaches the Loire 4 m.</w:t></w:r>
</w:p>
<w:p>
<w:pPr><w:pStyle w:val="Normal"/></w:pPr>
<w:r><w:t xml:space="preserve">west of Nevers, after a course of 269 m.  Its basin has an</w:t></w:r>
</w:p>
<w:p>
<w:pPr><w:pStyle w:val="Normal"/></w:pPr>
<w:r><w:t xml:space="preserve">area of 6755 sq. m.  The Allier is classed as navigable for the</w:t></w:r>
</w:p>
<w:p>
<w:pPr><w:pStyle w:val="Normal"/></w:pPr>
<w:r><w:t xml:space="preserve">last 154 m. of its course, but there is little traffic on it.</w:t></w:r>
</w:p>
<w:p>
<w:pPr><w:pStyle w:val="Normal"/></w:pPr>
<w:r><w:t xml:space="preserve">ALLIER, a department of central France, formed in 1790</w:t></w:r>
</w:p>
<w:p>
<w:pPr><w:pStyle w:val="Normal"/></w:pPr>
<w:r><w:t xml:space="preserve">from the old province of Bourbonnais.  Pop. (1906) 417,961.</w:t></w:r>
</w:p>
<w:p>
<w:pPr><w:pStyle w:val="Normal"/></w:pPr>
<w:r><w:t xml:space="preserve">Area, 2849 sq. m.  It is bounded N. by the department of</w:t></w:r>
</w:p>
<w:p>
<w:pPr><w:pStyle w:val="Normal"/></w:pPr>
<w:r><w:t xml:space="preserve">Nievre, E. by Saone-et-Loire, from which it is divided by</w:t></w:r>
</w:p>
<w:p>
<w:pPr><w:pStyle w:val="Normal"/></w:pPr>
<w:r><w:t xml:space="preserve">the river Loire, S.E. by Loire, S. by Puy-de-Dome, S.W. by</w:t></w:r>
</w:p>
<w:p>
<w:pPr><w:pStyle w:val="Normal"/></w:pPr>
<w:r><w:t xml:space="preserve">Crouse and N.W. by Cher.  Situated on the northern border</w:t></w:r>
</w:p>
<w:p>
<w:pPr><w:pStyle w:val="Normal"/></w:pPr>
<w:r><w:t xml:space="preserve">of the Central Plateau, the department slopes from south to</w:t></w:r>
</w:p>
<w:p>
<w:pPr><w:pStyle w:val="Normal"/></w:pPr>
<w:r><w:t xml:space="preserve">north.  Its highest altitudes are found in the south-east,</w:t></w:r>
</w:p>
<w:p>
<w:pPr><w:pStyle w:val="Normal"/></w:pPr>
<w:r><w:t xml:space="preserve">in the Bois-Noirs, where one point reaches 4239 ft., and in</w:t></w:r>
</w:p>
<w:p>
<w:pPr><w:pStyle w:val="Normal"/></w:pPr>
<w:r><w:t xml:space="preserve">the Monts de la Madeleine.  Plains alternating with forests</w:t></w:r>
</w:p>
<w:p>
<w:pPr><w:pStyle w:val="Normal"/></w:pPr>
<w:r><w:t xml:space="preserve">occupy the northern zone of the department, while the central</w:t></w:r>
</w:p>
<w:p>
<w:pPr><w:pStyle w:val="Normal"/></w:pPr>
<w:r><w:t xml:space="preserve">and western regions form an undulating and well-watered</w:t></w:r>
</w:p>
<w:p>
<w:pPr><w:pStyle w:val="Normal"/></w:pPr>
<w:r><w:t xml:space="preserve">plateau.  Entering the department in the south, and, like the</w:t></w:r>
</w:p>
<w:p>
<w:pPr><w:pStyle w:val="Normal"/></w:pPr>
<w:r><w:t xml:space="preserve">other chief rivers, flowing almost due north, the Allier drains</w:t></w:r>
</w:p>
<w:p>
<w:pPr><w:pStyle w:val="Normal"/></w:pPr>
<w:r><w:t xml:space="preserve">the central district, receiving on its left the Sioule.  East</w:t></w:r>
</w:p>
<w:p>
<w:pPr><w:pStyle w:val="Normal"/></w:pPr>
<w:r><w:t xml:space="preserve">of the Allier is the Bebre, which joins the Loire within the</w:t></w:r>
</w:p>
<w:p>
<w:pPr><w:pStyle w:val="Normal"/></w:pPr>
<w:r><w:t xml:space="preserve">limits of the department; and on the west the Cher, with its</w:t></w:r>
</w:p>
<w:p>
<w:pPr><w:pStyle w:val="Normal"/></w:pPr>
<w:r><w:t xml:space="preserve">tributary the Aumance.  Rigorous and rainy in the south-east,</w:t></w:r>
</w:p>
<w:p>
<w:pPr><w:pStyle w:val="Normal"/></w:pPr>
<w:r><w:t xml:space="preserve">the climate elsewhere is milder though subject to sudden</w:t></w:r>
</w:p>
<w:p>
<w:pPr><w:pStyle w:val="Normal"/></w:pPr>
<w:r><w:t xml:space="preserve">variations.  Agriculturally the department is flourishing,</w:t></w:r>
</w:p>
<w:p>
<w:pPr><w:pStyle w:val="Normal"/></w:pPr>
<w:r><w:t xml:space="preserve">the valleys of the Allier and the Sioule known as the Limagne</w:t></w:r>
</w:p>
<w:p>
<w:pPr><w:pStyle w:val="Normal"/></w:pPr>
<w:r><w:t xml:space="preserve">Bourbonnaise comprising its most fertile portion.  Wheat, oats,</w:t></w:r>
</w:p>
<w:p>
<w:pPr><w:pStyle w:val="Normal"/></w:pPr>
<w:r><w:t xml:space="preserve">barley and other cereals are grown and exported, and owing to</w:t></w:r>
</w:p>
<w:p>
<w:pPr><w:pStyle w:val="Normal"/></w:pPr>
<w:r><w:t xml:space="preserve">the abundance of pasture and forage, sheep and cattle-rearing</w:t></w:r>
</w:p>
<w:p>
<w:pPr><w:pStyle w:val="Normal"/></w:pPr>
<w:r><w:t xml:space="preserve">are actively carried on.  Potatoes and mangels yield good</w:t></w:r>
</w:p>
<w:p>
<w:pPr><w:pStyle w:val="Normal"/></w:pPr>
<w:r><w:t xml:space="preserve">crops.  Wines of fair quality are grown in the valley of the</w:t></w:r>
</w:p>
<w:p>
<w:pPr><w:pStyle w:val="Normal"/></w:pPr>
<w:r><w:t xml:space="preserve">Sioule; walnuts, chestnuts, plums, apples and pears are principal</w:t></w:r>
</w:p>
<w:p>
<w:pPr><w:pStyle w:val="Normal"/></w:pPr>
<w:r><w:t xml:space="preserve">fruits.  Goats, from the milk of which choice cheese is</w:t></w:r>
</w:p>
<w:p>
<w:pPr><w:pStyle w:val="Normal"/></w:pPr>
<w:r><w:t xml:space="preserve">made, and pigs are plentiful.  A large area is under forests,</w:t></w:r>
</w:p>
<w:p>
<w:pPr><w:pStyle w:val="Normal"/></w:pPr>
<w:r><w:t xml:space="preserve">the oak, beech, fir, birch and hornbeam being the principal</w:t></w:r>
</w:p>
<w:p>
<w:pPr><w:pStyle w:val="Normal"/></w:pPr>
<w:r><w:t xml:space="preserve">trees.  The mineral waters at Vichy (q.v.), Neris,</w:t></w:r>
</w:p>
<w:p>
<w:pPr><w:pStyle w:val="Normal"/></w:pPr>
<w:r><w:t xml:space="preserve">Theneuille, Cusset and Bourbon l&apos;Archambault are in much</w:t></w:r>
</w:p>
<w:p>
<w:pPr><w:pStyle w:val="Normal"/></w:pPr>
<w:r><w:t xml:space="preserve">repute.  The mineral wealth of the department is considerable,</w:t></w:r>
</w:p>
<w:p>
<w:pPr><w:pStyle w:val="Normal"/></w:pPr>
<w:r><w:t xml:space="preserve">including coal as well as manganese and bituminous schist;</w:t></w:r>
</w:p>
<w:p>
<w:pPr><w:pStyle w:val="Normal"/></w:pPr>
<w:r><w:t xml:space="preserve">plaster, building stone and hydraulic lime are also</w:t></w:r>
</w:p>
<w:p>
<w:pPr><w:pStyle w:val="Normal"/></w:pPr>
<w:r><w:t xml:space="preserve">produced.  Manufactories of porcelain, glass and earthenware</w:t></w:r>
</w:p>
<w:p>
<w:pPr><w:pStyle w:val="Normal"/></w:pPr>
<w:r><w:t xml:space="preserve">are numerous.  Montlucon and Commentry are ironworking</w:t></w:r>
</w:p>
<w:p>
<w:pPr><w:pStyle w:val="Normal"/></w:pPr>
<w:r><w:t xml:space="preserve">centres.  There are flour mills, breweries and saw-mills; and</w:t></w:r>
</w:p>
<w:p>
<w:pPr><w:pStyle w:val="Normal"/></w:pPr>
<w:r><w:t xml:space="preserve">paper, chemicals, wooden shoes, wool and woollen goods are</w:t></w:r>
</w:p>
<w:p>
<w:pPr><w:pStyle w:val="Normal"/></w:pPr>
<w:r><w:t xml:space="preserve">produced.  Besides the products of the soil Allier exports</w:t></w:r>
</w:p>
<w:p>
<w:pPr><w:pStyle w:val="Normal"/></w:pPr>
<w:r><w:t xml:space="preserve">coal, mineral waters and cattle for the Paris market.  Building</w:t></w:r>
</w:p>
<w:p>
<w:pPr><w:pStyle w:val="Normal"/></w:pPr>
<w:r><w:t xml:space="preserve">materials, brandy and coal are among the imports.  The railways</w:t></w:r>
</w:p>
<w:p>
<w:pPr><w:pStyle w:val="Normal"/></w:pPr>
<w:r><w:t xml:space="preserve">belong chiefly to the Orleans and Paris-Lyons-Mediterranean</w:t></w:r>
</w:p>
<w:p>
<w:pPr><w:pStyle w:val="Normal"/></w:pPr>
<w:r><w:t xml:space="preserve">companies.  The lateral canal of the Loire, the Berry Canal and</w:t></w:r>
</w:p>
<w:p>
<w:pPr><w:pStyle w:val="Normal"/></w:pPr>
<w:r><w:t xml:space="preserve">the canal from Roanne to Digoin together traverse about 57 m.</w:t></w:r>
</w:p>
<w:p>
<w:pPr><w:pStyle w:val="Normal"/></w:pPr>
<w:r><w:t xml:space="preserve">in the department.  Allier is divided into the arrondissements</w:t></w:r>
</w:p>
<w:p>
<w:pPr><w:pStyle w:val="Normal"/></w:pPr>
<w:r><w:t xml:space="preserve">of Moulins, Gannat, Lapalisse and Montlucon (29 cantons, 321</w:t></w:r>
</w:p>
<w:p>
<w:pPr><w:pStyle w:val="Normal"/></w:pPr>
<w:r><w:t xml:space="preserve">communes).  It forms the diocese of Moulins and part of the</w:t></w:r>
</w:p>
<w:p>
<w:pPr><w:pStyle w:val="Normal"/></w:pPr>
<w:r><w:t xml:space="preserve">ecclesiastical province of Bourges, and falls within the</w:t></w:r>
</w:p>
<w:p>
<w:pPr><w:pStyle w:val="Normal"/></w:pPr>
<w:r><w:t xml:space="preserve">academie (educational division) of Clermont-Ferrand and the</w:t></w:r>
</w:p>
<w:p>
<w:pPr><w:pStyle w:val="Normal"/></w:pPr>
<w:r><w:t xml:space="preserve">region of the XIII. army-corps.  Its court of appeal is at</w:t></w:r>
</w:p>
<w:p>
<w:pPr><w:pStyle w:val="Normal"/></w:pPr>
<w:r><w:t xml:space="preserve">Riom.  Moulins, the capital, Montlucon and Vichy, are the</w:t></w:r>
</w:p>
<w:p>
<w:pPr><w:pStyle w:val="Normal"/></w:pPr>
<w:r><w:t xml:space="preserve">principal towns.  Souvigny possesses the church of a famous</w:t></w:r>
</w:p>
<w:p>
<w:pPr><w:pStyle w:val="Normal"/></w:pPr>
<w:r><w:t xml:space="preserve">Cluniac priory dating from the 1ith-12th and 15th centuries,</w:t></w:r>
</w:p>
<w:p>
<w:pPr><w:pStyle w:val="Normal"/></w:pPr>
<w:r><w:t xml:space="preserve">and containing the splendid tombs (15th century) of Louis</w:t></w:r>
</w:p>
<w:p>
<w:pPr><w:pStyle w:val="Heading1"/></w:pPr>
<w:r><w:t>II. and Charles I. of Bourbon.  At St Menoux, Ebreuil and</w:t></w:r>
</w:p>
<w:p>
<w:pPr><w:pStyle w:val="Normal"/></w:pPr>
<w:r><w:t xml:space="preserve">Gannat there are fine Romanesque churches.  Huriel has a</w:t></w:r>
</w:p>
<w:p>
<w:pPr><w:pStyle w:val="Normal"/></w:pPr>
<w:r><w:t xml:space="preserve">church of the 11th century and a well-preserved keep, the</w:t></w:r>
</w:p>
<w:p>
<w:pPr><w:pStyle w:val="Normal"/></w:pPr>
<w:r><w:t xml:space="preserve">chief survival of a medieval castle.  St Pourcain-sur-Sioule</w:t></w:r>
</w:p>
<w:p>
<w:pPr><w:pStyle w:val="Normal"/></w:pPr>
<w:r><w:t xml:space="preserve">has a large church, dating from the 11th to the 18th</w:t></w:r>
</w:p>
<w:p>
<w:pPr><w:pStyle w:val="Normal"/></w:pPr>
<w:r><w:t xml:space="preserve">centuries.  The castle of Bourbon l&apos;Archambault, which</w:t></w:r>
</w:p>
<w:p>
<w:pPr><w:pStyle w:val="Normal"/></w:pPr>
<w:r><w:t xml:space="preserve">belonged to the dukes of Bourbon, dates from the 13th and 15th</w:t></w:r>
</w:p>
<w:p>
<w:pPr><w:pStyle w:val="Normal"/></w:pPr>
<w:r><w:t xml:space="preserve">centuries.  The Romanesque churches of Veauce and Ygrande,</w:t></w:r>
</w:p>
<w:p>
<w:pPr><w:pStyle w:val="Normal"/></w:pPr>
<w:r><w:t xml:space="preserve">and the chateaus of Veauce and Lapalisse, are also of</w:t></w:r>
</w:p>
<w:p>
<w:pPr><w:pStyle w:val="Normal"/></w:pPr>
<w:r><w:t xml:space="preserve">interest, the latter belonging to the family of Chabannes.</w:t></w:r>
</w:p>
<w:p>
<w:pPr><w:pStyle w:val="Normal"/></w:pPr>
<w:r><w:t xml:space="preserve">ALLIES, THOMAS WILLIAM (1813-1903), English historical</w:t></w:r>
</w:p>
<w:p>
<w:pPr><w:pStyle w:val="Normal"/></w:pPr>
<w:r><w:t xml:space="preserve">writer, was born at Midsomer Norton, near Bristol, on the</w:t></w:r>
</w:p>
<w:p>
<w:pPr><w:pStyle w:val="Normal"/></w:pPr>
<w:r><w:t xml:space="preserve">12th of February 1813.  He was educated at Eton and at</w:t></w:r>
</w:p>
<w:p>
<w:pPr><w:pStyle w:val="Normal"/></w:pPr>
<w:r><w:t xml:space="preserve">Wadham College, Oxford, of which he became a fellow in</w:t></w:r>
</w:p>
<w:p>
<w:pPr><w:pStyle w:val="Normal"/></w:pPr>
<w:r><w:t xml:space="preserve">1833.  In 1840 Bishop Blomfield of London appointed him his</w:t></w:r>
</w:p>
<w:p>
<w:pPr><w:pStyle w:val="Normal"/></w:pPr>
<w:r><w:t xml:space="preserve">examining chaplain and presented him to the rectory of Launton,</w:t></w:r>
</w:p>
<w:p>
<w:pPr><w:pStyle w:val="Normal"/></w:pPr>
<w:r><w:t xml:space="preserve">Oxfordshire, which he resigned in 1850 on becoming a Roman</w:t></w:r>
</w:p>
<w:p>
<w:pPr><w:pStyle w:val="Normal"/></w:pPr>
<w:r><w:t xml:space="preserve">Catholic.  Allies was appointed secretary to the Catholic poor</w:t></w:r>
</w:p>
<w:p>
<w:pPr><w:pStyle w:val="Normal"/></w:pPr>
<w:r><w:t xml:space="preserve">school committee in 1853, a position which he occupied till</w:t></w:r>
</w:p>
<w:p>
<w:pPr><w:pStyle w:val="Normal"/></w:pPr>
<w:r><w:t xml:space="preserve">1890.  He died in London on the 17th of June 1903.  Allies</w:t></w:r>
</w:p>
<w:p>
<w:pPr><w:pStyle w:val="Normal"/></w:pPr>
<w:r><w:t xml:space="preserve">was one of the ablest of the English churchmen who joined the</w:t></w:r>
</w:p>
<w:p>
<w:pPr><w:pStyle w:val="Normal"/></w:pPr>
<w:r><w:t xml:space="preserve">Church of Rome in the early period of the Oxford movement, his</w:t></w:r>
</w:p>
<w:p>
<w:pPr><w:pStyle w:val="Normal"/></w:pPr>
<w:r><w:t xml:space="preserve">chief work, The Formation of Christendom (London, 8 vols.,</w:t></w:r>
</w:p>
<w:p>
<w:pPr><w:pStyle w:val="Normal"/></w:pPr>
<w:r><w:t xml:space="preserve">1865-1895) showing much originality of thought and historical</w:t></w:r>
</w:p>
<w:p>
<w:pPr><w:pStyle w:val="Normal"/></w:pPr>
<w:r><w:t xml:space="preserve">knowledge.  His other writings: St Peter, his Name and Office</w:t></w:r>
</w:p>
<w:p>
<w:pPr><w:pStyle w:val="Normal"/></w:pPr>
<w:r><w:t xml:space="preserve">(1852); The See of St Peter, the Rock of the Church (1850);</w:t></w:r>
</w:p>
<w:p>
<w:pPr><w:pStyle w:val="Normal"/></w:pPr>
<w:r><w:t xml:space="preserve">Per Crucem ad Lucem (2 vols., 1879), have gone through</w:t></w:r>
</w:p>
<w:p>
<w:pPr><w:pStyle w:val="Normal"/></w:pPr>
<w:r><w:t xml:space="preserve">many editions and been translated into several languages.</w:t></w:r>
</w:p>
<w:p>
<w:pPr><w:pStyle w:val="Normal"/></w:pPr>
<w:r><w:t xml:space="preserve">See his autobiography, A Life&apos;s Decision (1880); and the study of</w:t></w:r>
</w:p>
<w:p>
<w:pPr><w:pStyle w:val="Normal"/></w:pPr>
<w:r><w:t xml:space="preserve">his daughier, Mary H. Allies, Thomas Allies, the Story of a Mind</w:t></w:r>
</w:p>
<w:p>
<w:pPr><w:pStyle w:val="Normal"/></w:pPr>
<w:r><w:t xml:space="preserve">(London, 1906), which contains a full bibliography of his works.</w:t></w:r>
</w:p>
<w:p>
<w:pPr><w:pStyle w:val="Normal"/></w:pPr>
<w:r><w:t xml:space="preserve">ALLIFAE (mod. Alife), a town of the Samnites, 15</w:t></w:r>
</w:p>
<w:p>
<w:pPr><w:pStyle w:val="Normal"/></w:pPr>
<w:r><w:t xml:space="preserve">m.  N.W. of Telesia, and 17 m.  E.N.E. of Teanum.  The</w:t></w:r>
</w:p>
<w:p>
<w:pPr><w:pStyle w:val="Normal"/></w:pPr>
<w:r><w:t xml:space="preserve">site of the Samnite city, which in the 4th century B.C.</w:t></w:r>
</w:p>
<w:p>
<w:pPr><w:pStyle w:val="Normal"/></w:pPr>
<w:r><w:t xml:space="preserve">had a coinage of its own, is not known; the Roman town</w:t></w:r>
</w:p>
<w:p>
<w:pPr><w:pStyle w:val="Normal"/></w:pPr>
<w:r><w:t xml:space="preserve">lay in the valley of the Vulturnus, and its walls (4th</w:t></w:r>
</w:p>
<w:p>
<w:pPr><w:pStyle w:val="Normal"/></w:pPr>
<w:r><w:t xml:space="preserve">century) enclose a circuit of 1 1/2 m., in which are preserved</w:t></w:r>
</w:p>
<w:p>
<w:pPr><w:pStyle w:val="Normal"/></w:pPr>
<w:r><w:t xml:space="preserve">remains of large baths ( Thermae Herculis) and a theatre.</w:t></w:r>
</w:p>
<w:p>
<w:pPr><w:pStyle w:val="Normal"/></w:pPr>
<w:r><w:t xml:space="preserve">ALLIGATOR (Spanish el lagarto, ``the lizard&apos;&apos;), an animal</w:t></w:r>
</w:p>
<w:p>
<w:pPr><w:pStyle w:val="Normal"/></w:pPr>
<w:r><w:t xml:space="preserve">so closely allied to the crocodile that some naturalists</w:t></w:r>
</w:p>
<w:p>
<w:pPr><w:pStyle w:val="Normal"/></w:pPr>
<w:r><w:t xml:space="preserve">have classed them together as forming one genus.  It differs</w:t></w:r>
</w:p>
<w:p>
<w:pPr><w:pStyle w:val="Normal"/></w:pPr>
<w:r><w:t xml:space="preserve">from the true crocodile principally in having the head</w:t></w:r>
</w:p>
<w:p>
<w:pPr><w:pStyle w:val="Normal"/></w:pPr>
<w:r><w:t xml:space="preserve">broader and shorter, and the snout more obtuse; in having</w:t></w:r>
</w:p>
<w:p>
<w:pPr><w:pStyle w:val="Normal"/></w:pPr>
<w:r><w:t xml:space="preserve">the fourth, enlarged tooth of the under jaw received, not</w:t></w:r>
</w:p>
<w:p>
<w:pPr><w:pStyle w:val="Normal"/></w:pPr>
<w:r><w:t xml:space="preserve">into an external notch, but into a pit formed for it within</w:t></w:r>
</w:p>
<w:p>
<w:pPr><w:pStyle w:val="Normal"/></w:pPr>
<w:r><w:t xml:space="preserve">the upper one; in wanting a jagged fringe which appears on</w:t></w:r>
</w:p>
<w:p>
<w:pPr><w:pStyle w:val="Normal"/></w:pPr>
<w:r><w:t xml:space="preserve">the hind legs and feet of the crocodile; and in having the</w:t></w:r>
</w:p>
<w:p>
<w:pPr><w:pStyle w:val="Normal"/></w:pPr>
<w:r><w:t xml:space="preserve">toes of the hind feet webbed not more than half way to the</w:t></w:r>
</w:p>
<w:p>
<w:pPr><w:pStyle w:val="Normal"/></w:pPr>
<w:r><w:t xml:space="preserve">tips.  Alligators proper occur in the fluviatile deposits of</w:t></w:r>
</w:p>
<w:p>
<w:pPr><w:pStyle w:val="Normal"/></w:pPr>
<w:r><w:t xml:space="preserve">the age of the Upper Chalk in Europe, where they did not die</w:t></w:r>
</w:p>
<w:p>
<w:pPr><w:pStyle w:val="Normal"/></w:pPr>
<w:r><w:t xml:space="preserve">out until the Pliocene age; they are now restricted to two</w:t></w:r>
</w:p>
<w:p>
<w:pPr><w:pStyle w:val="Normal"/></w:pPr>
<w:r><w:t xml:space="preserve">species, A. mississippiensis or lucius in the southern</w:t></w:r>
</w:p>
<w:p>
<w:pPr><w:pStyle w:val="Normal"/></w:pPr>
<w:r><w:t xml:space="preserve">states of North America up to 12 ft. in length, and the small</w:t></w:r>
</w:p>
<w:p>
<w:pPr><w:pStyle w:val="Normal"/></w:pPr>
<w:r><w:t xml:space="preserve">A. sinensis in the Yang-tse-kiang.  In Central and South</w:t></w:r>
</w:p>
<w:p>
<w:pPr><w:pStyle w:val="Normal"/></w:pPr>
<w:r><w:t xml:space="preserve">America alligators are represented by five species of the genus</w:t></w:r>
</w:p>
<w:p>
<w:pPr><w:pStyle w:val="Normal"/></w:pPr>
<w:r><w:t xml:space="preserve">Caiman, which differs from Alligator by the absence of a</w:t></w:r>
</w:p>
<w:p>
<w:pPr><w:pStyle w:val="Normal"/></w:pPr>
<w:r><w:t xml:space="preserve">bony septum between the nostrils, and the ventral armour is</w:t></w:r>
</w:p>
<w:p>
<w:pPr><w:pStyle w:val="Normal"/></w:pPr>
<w:r><w:t xml:space="preserve">composed of overlapping bony scutes, each of which is formed</w:t></w:r>
</w:p>
<w:p>
<w:pPr><w:pStyle w:val="Normal"/></w:pPr>
<w:r><w:t xml:space="preserve">of two parts united by a suture. C. sclerops, the spectacled</w:t></w:r>
</w:p>
<w:p>
<w:pPr><w:pStyle w:val="Normal"/></w:pPr>
<w:r><w:t xml:space="preserve">alligator, has the widest distribution, from southern Mexico</w:t></w:r>
</w:p>
<w:p>
<w:pPr><w:pStyle w:val="Normal"/></w:pPr>
<w:r><w:t xml:space="preserve">to the northern half of Argentina, and grows to a bulky</w:t></w:r>
</w:p>
<w:p>
<w:pPr><w:pStyle w:val="Normal"/></w:pPr>
<w:r><w:t xml:space="preserve">size.  The largest, attaining an enormous bulk and a length of</w:t></w:r>
</w:p>
<w:p>
<w:pPr><w:pStyle w:val="Normal"/></w:pPr>
<w:r><w:t xml:space="preserve">20 ft., is the C. niger, the jacare-assu or large caiman</w:t></w:r>
</w:p>
<w:p>
<w:pPr><w:pStyle w:val="Normal"/></w:pPr>
<w:r><w:t xml:space="preserve">of the Amazons.  The names ``alligator&apos;&apos; and ``crocodile&apos;&apos;</w:t></w:r>
</w:p>
<w:p>
<w:pPr><w:pStyle w:val="Normal"/></w:pPr>
<w:r><w:t xml:space="preserve">are often confounded in popular speech; and the structure</w:t></w:r>
</w:p>
<w:p>
<w:pPr><w:pStyle w:val="Normal"/></w:pPr>
<w:r><w:t xml:space="preserve">and habits of the two animals are so similar that both are</w:t></w:r>
</w:p>
<w:p>
<w:pPr><w:pStyle w:val="Normal"/></w:pPr>
<w:r><w:t xml:space="preserve">most conveniently considered under the heading CROCODILE.</w:t></w:r>
</w:p>
<w:p>
<w:pPr><w:pStyle w:val="Normal"/></w:pPr>
<w:r><w:t xml:space="preserve">ALLINGHAM, WILLIAM (1824-1889), Irish man of letters and</w:t></w:r>
</w:p>
<w:p>
<w:pPr><w:pStyle w:val="Normal"/></w:pPr>
<w:r><w:t xml:space="preserve">poet, was born at Ballyshannon, Donegal, on the 19th of</w:t></w:r>
</w:p>
<w:p>
<w:pPr><w:pStyle w:val="Normal"/></w:pPr>
<w:r><w:t xml:space="preserve">March 1824 (or 1828, according to some authorities), and was</w:t></w:r>
</w:p>
<w:p>
<w:pPr><w:pStyle w:val="Normal"/></w:pPr>
<w:r><w:t xml:space="preserve">the son of the manager of a local bank.  He obtained a post</w:t></w:r>
</w:p>
<w:p>
<w:pPr><w:pStyle w:val="Normal"/></w:pPr>
<w:r><w:t xml:space="preserve">in the custom-house of his native town and filled several</w:t></w:r>
</w:p>
<w:p>
<w:pPr><w:pStyle w:val="Normal"/></w:pPr>
<w:r><w:t xml:space="preserve">similar situations in Ireland and England until 1870, when</w:t></w:r>
</w:p>
<w:p>
<w:pPr><w:pStyle w:val="Normal"/></w:pPr>
<w:r><w:t xml:space="preserve">he had retired from the service, and became sub-editor of</w:t></w:r>
</w:p>
<w:p>
<w:pPr><w:pStyle w:val="Normal"/></w:pPr>
<w:r><w:t xml:space="preserve">Fraser&apos;s Magazine, which he edited from 1874 to 1879.  He</w:t></w:r>
</w:p>
<w:p>
<w:pPr><w:pStyle w:val="Normal"/></w:pPr>
<w:r><w:t xml:space="preserve">had published a volume of Poems in 1850, followed by Day</w:t></w:r>
</w:p>
<w:p>
<w:pPr><w:pStyle w:val="Normal"/></w:pPr>
<w:r><w:t xml:space="preserve">and Night Songs, a volume containing many charming lyrics, in</w:t></w:r>
</w:p>
<w:p>
<w:pPr><w:pStyle w:val="Normal"/></w:pPr>
<w:r><w:t xml:space="preserve">1855.  Allingham was on terms of close friendship with D. G.</w:t></w:r>
</w:p>
<w:p>
<w:pPr><w:pStyle w:val="Normal"/></w:pPr>
<w:r><w:t xml:space="preserve">Rossetti, who contributed to the illustration of the Songs.</w:t></w:r>
</w:p>
<w:p>
<w:pPr><w:pStyle w:val="Normal"/></w:pPr>
<w:r><w:t xml:space="preserve">His Letters to Allingham (1854-1870) were edited by Dr</w:t></w:r>
</w:p>
<w:p>
<w:pPr><w:pStyle w:val="Normal"/></w:pPr>
<w:r><w:t xml:space="preserve">Birkbeck Hill in 1897. Lawrence Bloomfield, a narrative</w:t></w:r>
</w:p>
<w:p>
<w:pPr><w:pStyle w:val="Normal"/></w:pPr>
<w:r><w:t xml:space="preserve">poem illustrative of Irish social questions, appeared in</w:t></w:r>
</w:p>
<w:p>
<w:pPr><w:pStyle w:val="Normal"/></w:pPr>
<w:r><w:t xml:space="preserve">1864.  Allingham married in 1874 Helen Paterson, known under</w:t></w:r>
</w:p>
<w:p>
<w:pPr><w:pStyle w:val="Normal"/></w:pPr>
<w:r><w:t xml:space="preserve">her married name as a water-colour painter.  He died at</w:t></w:r>
</w:p>
<w:p>
<w:pPr><w:pStyle w:val="Normal"/></w:pPr>
<w:r><w:t xml:space="preserve">Hampstead on the 18th of November 1889.  Though working on</w:t></w:r>
</w:p>
<w:p>
<w:pPr><w:pStyle w:val="Normal"/></w:pPr>
<w:r><w:t xml:space="preserve">an unostentatious scale, Allingham produced much excellent</w:t></w:r>
</w:p>
<w:p>
<w:pPr><w:pStyle w:val="Normal"/></w:pPr>
<w:r><w:t xml:space="preserve">lyrical and descriptive poetry, and the best of his pieces</w:t></w:r>
</w:p>
<w:p>
<w:pPr><w:pStyle w:val="Normal"/></w:pPr>
<w:r><w:t xml:space="preserve">are thoroughly national in spirit and local colouring.</w:t></w:r>
</w:p>
<w:p>
<w:pPr><w:pStyle w:val="Normal"/></w:pPr>
<w:r><w:t xml:space="preserve">William Allingham: a Diary (1907), edited by Mrs Allingham</w:t></w:r>
</w:p>
<w:p>
<w:pPr><w:pStyle w:val="Normal"/></w:pPr>
<w:r><w:t xml:space="preserve">and D. Radford, contains many interesting reminiscences</w:t></w:r>
</w:p>
<w:p>
<w:pPr><w:pStyle w:val="Normal"/></w:pPr>
<w:r><w:t xml:space="preserve">of Tennyson, Carlyle and other famous contemporaries.</w:t></w:r>
</w:p>
<w:p>
<w:pPr><w:pStyle w:val="Normal"/></w:pPr>
<w:r><w:t xml:space="preserve">ALLISON, WILLIAM BOYD (1829-1908), American legislator, was</w:t></w:r>
</w:p>
<w:p>
<w:pPr><w:pStyle w:val="Normal"/></w:pPr>
<w:r><w:t xml:space="preserve">born at Perry, Ohio, on the 2nd of March 1829.  Educated at</w:t></w:r>
</w:p>
<w:p>
<w:pPr><w:pStyle w:val="Normal"/></w:pPr>
<w:r><w:t xml:space="preserve">Allegheny and Western Reserve Colleges, he studied law, and</w:t></w:r>
</w:p>
<w:p>
<w:pPr><w:pStyle w:val="Normal"/></w:pPr>
<w:r><w:t xml:space="preserve">practised in Ohio until 1857.  In that year he settled in</w:t></w:r>
</w:p>
<w:p>
<w:pPr><w:pStyle w:val="Normal"/></w:pPr>
<w:r><w:t xml:space="preserve">Dubuque, Iowa, where he took a prominent part in Republican</w:t></w:r>
</w:p>
<w:p>
<w:pPr><w:pStyle w:val="Normal"/></w:pPr>
<w:r><w:t xml:space="preserve">politics; and in 1860 he was a delegate to the national</w:t></w:r>
</w:p>
<w:p>
<w:pPr><w:pStyle w:val="Normal"/></w:pPr>
<w:r><w:t xml:space="preserve">convention at Chicago which nominated Abraham Lincoln for the</w:t></w:r>
</w:p>
<w:p>
<w:pPr><w:pStyle w:val="Normal"/></w:pPr>
<w:r><w:t xml:space="preserve">presidency.  In 1861 he was appointed a member of the staff</w:t></w:r>
</w:p>
<w:p>
<w:pPr><w:pStyle w:val="Normal"/></w:pPr>
<w:r><w:t xml:space="preserve">of Governor Samuel J. Kirkwood (1813-1894), and was of great</w:t></w:r>
</w:p>
<w:p>
<w:pPr><w:pStyle w:val="Normal"/></w:pPr>
<w:r><w:t xml:space="preserve">service in the work of equipping and organizing the Iowa</w:t></w:r>
</w:p>
<w:p>
<w:pPr><w:pStyle w:val="Normal"/></w:pPr>
<w:r><w:t xml:space="preserve">volunteers.  From 1863 until 1871 he served with distinction</w:t></w:r>
</w:p>
<w:p>
<w:pPr><w:pStyle w:val="Normal"/></w:pPr>
<w:r><w:t xml:space="preserve">in the House of Representatives; in 1873 he was elected to the</w:t></w:r>
</w:p>
<w:p>
<w:pPr><w:pStyle w:val="Normal"/></w:pPr>
<w:r><w:t xml:space="preserve">United States Senate, and re-elected in 1878, 1884, 1890, 1896 and</w:t></w:r>
</w:p>
<w:p>
<w:pPr><w:pStyle w:val="Normal"/></w:pPr>
<w:r><w:t xml:space="preserve">1902.  Here he became one of the highest authorities on questions</w:t></w:r>
</w:p>
<w:p>
<w:pPr><w:pStyle w:val="Normal"/></w:pPr>
<w:r><w:t xml:space="preserve">connected with finance, and from 1877 he was a member of the</w:t></w:r>
</w:p>
<w:p>
<w:pPr><w:pStyle w:val="Normal"/></w:pPr>
<w:r><w:t xml:space="preserve">Senate committee on finance.  In 1881-1893, and again from</w:t></w:r>
</w:p>
<w:p>
<w:pPr><w:pStyle w:val="Normal"/></w:pPr>
<w:r><w:t xml:space="preserve">1895, he was chairman of the committee on appropriations, in</w:t></w:r>
</w:p>
<w:p>
<w:pPr><w:pStyle w:val="Normal"/></w:pPr>
<w:r><w:t xml:space="preserve">which position he had great influence.  He declined offers of</w:t></w:r>
</w:p>
<w:p>
<w:pPr><w:pStyle w:val="Normal"/></w:pPr>
<w:r><w:t xml:space="preserve">the secretaryship of the treasury made to him by Presidents</w:t></w:r>
</w:p>
<w:p>
<w:pPr><w:pStyle w:val="Normal"/></w:pPr>
<w:r><w:t xml:space="preserve">Garfield and Harrison.  He was a prominent candidate for the</w:t></w:r>
</w:p>
<w:p>
<w:pPr><w:pStyle w:val="Normal"/></w:pPr>
<w:r><w:t xml:space="preserve">presidential nomination in the Republican national conventions</w:t></w:r>
</w:p>
<w:p>
<w:pPr><w:pStyle w:val="Normal"/></w:pPr>
<w:r><w:t xml:space="preserve">of 1888 and 1896.  In 1892 he was chairman of the American</w:t></w:r>
</w:p>
<w:p>
<w:pPr><w:pStyle w:val="Normal"/></w:pPr>
<w:r><w:t xml:space="preserve">delegation to the International Monetary Conference at</w:t></w:r>
</w:p>
<w:p>
<w:pPr><w:pStyle w:val="Normal"/></w:pPr>
<w:r><w:t xml:space="preserve">Brussels.  He died at Dubuque, Iowa, on the 4th of August 1908.</w:t></w:r>
</w:p>
<w:p>
<w:pPr><w:pStyle w:val="Normal"/></w:pPr>
<w:r><w:t xml:space="preserve">ALLITERATION (from Lat. ad, to, and littera, letter), the</w:t></w:r>
</w:p>
<w:p>
<w:pPr><w:pStyle w:val="Normal"/></w:pPr>
<w:r><w:t xml:space="preserve">commencing of two or more words, in close juxtaposition, with</w:t></w:r>
</w:p>
<w:p>
<w:pPr><w:pStyle w:val="Normal"/></w:pPr>
<w:r><w:t xml:space="preserve">the same sound.  As Milton defined rhyme to be ``the jingling</w:t></w:r>
</w:p>
<w:p>
<w:pPr><w:pStyle w:val="Normal"/></w:pPr>
<w:r><w:t xml:space="preserve">sound of like endings,&apos;&apos; so alliteration is the jingle of like</w:t></w:r>
</w:p>
<w:p>
<w:pPr><w:pStyle w:val="Normal"/></w:pPr>
<w:r><w:t xml:space="preserve">beginnings.  All language has a tendency to jingle in both</w:t></w:r>
</w:p>
<w:p>
<w:pPr><w:pStyle w:val="Normal"/></w:pPr>
<w:r><w:t xml:space="preserve">ways, even in prose.  Thus in prose we speak of ``near and</w:t></w:r>
</w:p>
<w:p>
<w:pPr><w:pStyle w:val="Normal"/></w:pPr>
<w:r><w:t xml:space="preserve">dear,&apos;&apos; ``high and dry,&apos;&apos; ``health and wealth.&apos;&apos; But the</w:t></w:r>
</w:p>
<w:p>
<w:pPr><w:pStyle w:val="Normal"/></w:pPr>
<w:r><w:t xml:space="preserve">initial form of jingle is much more common--``safe and sound,&apos;&apos;</w:t></w:r>
</w:p>
<w:p>
<w:pPr><w:pStyle w:val="Normal"/></w:pPr>
<w:r><w:t xml:space="preserve">``thick and thin,&apos;&apos; ``weal or woe,&apos;&apos; ``fair or foul,&apos;&apos; ``spick</w:t></w:r>
</w:p>
<w:p>
<w:pPr><w:pStyle w:val="Normal"/></w:pPr>
<w:r><w:t xml:space="preserve">and span,&apos;&apos; ``fish, flesh, or fowl,&apos;&apos; ``kith and kin.&apos;&apos; The</w:t></w:r>
</w:p>
<w:p>
<w:pPr><w:pStyle w:val="Normal"/></w:pPr>
<w:r><w:t xml:space="preserve">poets of nearly all times and tongues have not been slow</w:t></w:r>
</w:p>
<w:p>
<w:pPr><w:pStyle w:val="Normal"/></w:pPr>
<w:r><w:t xml:space="preserve">to seize upon the emphasis which could thus be produced.</w:t></w:r>
</w:p>
<w:p>
<w:pPr><w:pStyle w:val="Normal"/></w:pPr>
<w:r><w:t xml:space="preserve">Although mainly Germanic in its character, alliteration</w:t></w:r>
</w:p>
<w:p>
<w:pPr><w:pStyle w:val="Normal"/></w:pPr>
<w:r><w:t xml:space="preserve">was known to the Latins, especially in early times, and</w:t></w:r>
</w:p>
<w:p>
<w:pPr><w:pStyle w:val="Normal"/></w:pPr>
<w:r><w:t xml:space="preserve">Cicero blames Ennius for writing ``O Tite tute, Tati,</w:t></w:r>
</w:p>
<w:p>
<w:pPr><w:pStyle w:val="Normal"/></w:pPr>
<w:r><w:t xml:space="preserve">tibi tanta, tyranne, tulisti.&apos;&apos; Lucretius did not disdain</w:t></w:r>
</w:p>
<w:p>
<w:pPr><w:pStyle w:val="Normal"/></w:pPr>
<w:r><w:t xml:space="preserve">to employ it as an ornament.  We read in Shakespeare:--</w:t></w:r>
</w:p>
<w:p>
<w:pPr><w:pStyle w:val="Normal"/></w:pPr>
<w:r><w:t xml:space="preserve">``Full fathom five thy father lies:</w:t></w:r>
</w:p>
<w:p>
<w:pPr><w:pStyle w:val="Normal"/></w:pPr>
<w:r><w:t xml:space="preserve">Of his bones are corals made.&apos;&apos;</w:t></w:r>
</w:p>
<w:p>
<w:pPr><w:pStyle w:val="Normal"/></w:pPr>
<w:r><w:t xml:space="preserve">In Pope:--</w:t></w:r>
</w:p>
<w:p>
<w:pPr><w:pStyle w:val="Normal"/></w:pPr>
<w:r><w:t xml:space="preserve">``Here files of pins extend their shining rows,</w:t></w:r>
</w:p>
<w:p>
<w:pPr><w:pStyle w:val="Normal"/></w:pPr>
<w:r><w:t xml:space="preserve">Puffs, powders, patches, bibles, billet-doux.&apos;,</w:t></w:r>
</w:p>
<w:p>
<w:pPr><w:pStyle w:val="Normal"/></w:pPr>
<w:r><w:t xml:space="preserve">In Gray:--</w:t></w:r>
</w:p>
<w:p>
<w:pPr><w:pStyle w:val="Normal"/></w:pPr>
<w:r><w:t xml:space="preserve">``Weave the warp and weave the woof,</w:t></w:r>
</w:p>
<w:p>
<w:pPr><w:pStyle w:val="Normal"/></w:pPr>
<w:r><w:t xml:space="preserve">The winding-sheet of Edward&apos;s race.&apos;&apos;</w:t></w:r>
</w:p>
<w:p>
<w:pPr><w:pStyle w:val="Normal"/></w:pPr>
<w:r><w:t xml:space="preserve">In Coleridge:-</w:t></w:r>
</w:p>
<w:p>
<w:pPr><w:pStyle w:val="Normal"/></w:pPr>
<w:r><w:t xml:space="preserve">``The fair breeze blew, the white foam flew,</w:t></w:r>
</w:p>
<w:p>
<w:pPr><w:pStyle w:val="Normal"/></w:pPr>
<w:r><w:t xml:space="preserve">The furrow followed free:</w:t></w:r>
</w:p>
<w:p>
<w:pPr><w:pStyle w:val="Normal"/></w:pPr>
<w:r><w:t xml:space="preserve">We were the first that ever burst</w:t></w:r>
</w:p>
<w:p>
<w:pPr><w:pStyle w:val="Normal"/></w:pPr>
<w:r><w:t xml:space="preserve">Into that silent sea.&apos;&apos;</w:t></w:r>
</w:p>
<w:p>
<w:pPr><w:pStyle w:val="Normal"/></w:pPr>
<w:r><w:t xml:space="preserve">Churchill describes himself, in his Prophecy of Famine, as one</w:t></w:r>
</w:p>
<w:p>
<w:pPr><w:pStyle w:val="Normal"/></w:pPr>
<w:r><w:t xml:space="preserve">``Who often, but without success, had prayed</w:t></w:r>
</w:p>
<w:p>
<w:pPr><w:pStyle w:val="Normal"/></w:pPr>
<w:r><w:t xml:space="preserve">For apt alliteration&apos;s artful aid,&apos;&apos;--</w:t></w:r>
</w:p>
<w:p>
<w:pPr><w:pStyle w:val="Normal"/></w:pPr>
<w:r><w:t xml:space="preserve">an example which is itself a proof of his failure; for</w:t></w:r>
</w:p>
<w:p>
<w:pPr><w:pStyle w:val="Normal"/></w:pPr>
<w:r><w:t xml:space="preserve">alliteration is never effective unless it runs upon consonants.</w:t></w:r>
</w:p>
<w:p>
<w:pPr><w:pStyle w:val="Normal"/></w:pPr>
<w:r><w:t xml:space="preserve">As thus far considered, alliteration is a device wholly</w:t></w:r>
</w:p>
<w:p>
<w:pPr><w:pStyle w:val="Normal"/></w:pPr>
<w:r><w:t xml:space="preserve">dependent on the poet&apos;s fancy.  He may use it or not, or</w:t></w:r>
</w:p>
<w:p>
<w:pPr><w:pStyle w:val="Normal"/></w:pPr>
<w:r><w:t xml:space="preserve">use it much or little, at his pleasure.  But there is an</w:t></w:r>
</w:p>
<w:p>
<w:pPr><w:pStyle w:val="Normal"/></w:pPr>
<w:r><w:t xml:space="preserve">extensive range of Teutonic poetry whose metrical laws</w:t></w:r>
</w:p>
<w:p>
<w:pPr><w:pStyle w:val="Normal"/></w:pPr>
<w:r><w:t xml:space="preserve">are entirely based on alliteration.  This, for example, is</w:t></w:r>
</w:p>
<w:p>
<w:pPr><w:pStyle w:val="Normal"/></w:pPr>
<w:r><w:t xml:space="preserve">the principle on which Icelandic verse is founded; and we</w:t></w:r>
</w:p>
<w:p>
<w:pPr><w:pStyle w:val="Normal"/></w:pPr>
<w:r><w:t xml:space="preserve">have a yet nearer interest in it, because it furnishes the</w:t></w:r>
</w:p>
<w:p>
<w:pPr><w:pStyle w:val="Normal"/></w:pPr>
<w:r><w:t xml:space="preserve">key to Anglo-Saxon and a large portion of early English</w:t></w:r>
</w:p>
<w:p>
<w:pPr><w:pStyle w:val="Normal"/></w:pPr>
<w:r><w:t xml:space="preserve">verse.  For a specimen take the following lines, the spelling</w:t></w:r>
</w:p>
<w:p>
<w:pPr><w:pStyle w:val="Normal"/></w:pPr>
<w:r><w:t xml:space="preserve">modernized, from the beginning of Piers the Plowman:--</w:t></w:r>
</w:p>
<w:p>
<w:pPr><w:pStyle w:val="Normal"/></w:pPr>
<w:r><w:t xml:space="preserve">``But in a May morning | on Malvern hills,</w:t></w:r>
</w:p>
<w:p>
<w:pPr><w:pStyle w:val="Normal"/></w:pPr>
<w:r><w:t xml:space="preserve">Me befel a ferly | of fairy methought;</w:t></w:r>
</w:p>
<w:p>
<w:pPr><w:pStyle w:val="Heading1"/></w:pPr>
<w:r><w:t>I was weary of wandering | and went me to rest</w:t></w:r>
</w:p>
<w:p>
<w:pPr><w:pStyle w:val="Normal"/></w:pPr>
<w:r><w:t xml:space="preserve">Under a broad bank | by a burn-side;</w:t></w:r>
</w:p>
<w:p>
<w:pPr><w:pStyle w:val="Normal"/></w:pPr>
<w:r><w:t xml:space="preserve">And as I lay and leaned | and looked on the waters,</w:t></w:r>
</w:p>
<w:p>
<w:pPr><w:pStyle w:val="Heading1"/></w:pPr>
<w:r><w:t>I slumbered in a sleeping | it sounded so merry.&apos;&apos;</w:t></w:r>
</w:p>
<w:p>
<w:pPr><w:pStyle w:val="Normal"/></w:pPr>
<w:r><w:t xml:space="preserve">The rule of this verse is indifferent as to the number of</w:t></w:r>
</w:p>
<w:p>
<w:pPr><w:pStyle w:val="Normal"/></w:pPr>
<w:r><w:t xml:space="preserve">syllables it may contain, but imperative as to the number of</w:t></w:r>
</w:p>
<w:p>
<w:pPr><w:pStyle w:val="Normal"/></w:pPr>
<w:r><w:t xml:space="preserve">accented ones.  The line is divided in the middle by a pause,</w:t></w:r>
</w:p>
<w:p>
<w:pPr><w:pStyle w:val="Normal"/></w:pPr>
<w:r><w:t xml:space="preserve">and each half ought to contain two accented syllables.  Of</w:t></w:r>
</w:p>
<w:p>
<w:pPr><w:pStyle w:val="Normal"/></w:pPr>
<w:r><w:t xml:space="preserve">the four accented syllables, the first three should begin with</w:t></w:r>
</w:p>
<w:p>
<w:pPr><w:pStyle w:val="Normal"/></w:pPr>
<w:r><w:t xml:space="preserve">the same letter; the fourth is free and may start with any</w:t></w:r>
</w:p>
<w:p>
<w:pPr><w:pStyle w:val="Normal"/></w:pPr>
<w:r><w:t xml:space="preserve">letter.  Those who wish for a more minute analysis of the</w:t></w:r>
</w:p>
<w:p>
<w:pPr><w:pStyle w:val="Normal"/></w:pPr>
<w:r><w:t xml:space="preserve">laws of alliterative verse, as practised by the Anglo-Saxon</w:t></w:r>
</w:p>
<w:p>
<w:pPr><w:pStyle w:val="Normal"/></w:pPr>
<w:r><w:t xml:space="preserve">and early English poets, may consult an exhaustive essay</w:t></w:r>
</w:p>
<w:p>
<w:pPr><w:pStyle w:val="Normal"/></w:pPr>
<w:r><w:t xml:space="preserve">on the subject by Professor W. W. Skeat, prefixed to vol.</w:t></w:r>
</w:p>
<w:p>
<w:pPr><w:pStyle w:val="Normal"/></w:pPr>
<w:r><w:t xml:space="preserve">iii. of Bishop Percy&apos;s Folio Manuscript; only the reader</w:t></w:r>
</w:p>
<w:p>
<w:pPr><w:pStyle w:val="Normal"/></w:pPr>
<w:r><w:t xml:space="preserve">must be on his guard against an error which pervades it,</w:t></w:r>
</w:p>
<w:p>
<w:pPr><w:pStyle w:val="Normal"/></w:pPr>
<w:r><w:t xml:space="preserve">and which this able writer seems to have derived from Rask.</w:t></w:r>
</w:p>
<w:p>
<w:pPr><w:pStyle w:val="Normal"/></w:pPr>
<w:r><w:t xml:space="preserve">The question arises--What is the nature of the cadence in</w:t></w:r>
</w:p>
<w:p>
<w:pPr><w:pStyle w:val="Normal"/></w:pPr>
<w:r><w:t xml:space="preserve">alliterative verse? Now all metrical movement is of two kinds,</w:t></w:r>
</w:p>
<w:p>
<w:pPr><w:pStyle w:val="Normal"/></w:pPr>
<w:r><w:t xml:space="preserve">according as the beat or emphasis begins the movement or ends</w:t></w:r>
</w:p>
<w:p>
<w:pPr><w:pStyle w:val="Normal"/></w:pPr>
<w:r><w:t xml:space="preserve">it.  If the beat is initial, we say in classical language that</w:t></w:r>
</w:p>
<w:p>
<w:pPr><w:pStyle w:val="Normal"/></w:pPr>
<w:r><w:t xml:space="preserve">the movement is trochaic or dactylic, according to the number</w:t></w:r>
</w:p>
<w:p>
<w:pPr><w:pStyle w:val="Normal"/></w:pPr>
<w:r><w:t xml:space="preserve">of its syllables; and if the beat is final, we in like manner</w:t></w:r>
</w:p>
<w:p>
<w:pPr><w:pStyle w:val="Normal"/></w:pPr>
<w:r><w:t xml:space="preserve">say that the movement is iambic or anapaestic.  Skeat and many</w:t></w:r>
</w:p>
<w:p>
<w:pPr><w:pStyle w:val="Normal"/></w:pPr>
<w:r><w:t xml:space="preserve">others object with some reason to use the classical terms,</w:t></w:r>
</w:p>
<w:p>
<w:pPr><w:pStyle w:val="Normal"/></w:pPr>
<w:r><w:t xml:space="preserve">and therefore brushing them aside, let us put the question</w:t></w:r>
</w:p>
<w:p>
<w:pPr><w:pStyle w:val="Normal"/></w:pPr>
<w:r><w:t xml:space="preserve">in the simplest form--Has the movement of alliterative verse</w:t></w:r>
</w:p>
<w:p>
<w:pPr><w:pStyle w:val="Normal"/></w:pPr>
<w:r><w:t xml:space="preserve">got the initial or the final beat? In the middle of the 18th</w:t></w:r>
</w:p>
<w:p>
<w:pPr><w:pStyle w:val="Normal"/></w:pPr>
<w:r><w:t xml:space="preserve">century Bishop Percy decided this question with sufficient</w:t></w:r>
</w:p>
<w:p>
<w:pPr><w:pStyle w:val="Normal"/></w:pPr>
<w:r><w:t xml:space="preserve">accuracy, though he mixed up his statement with a blunder</w:t></w:r>
</w:p>
<w:p>
<w:pPr><w:pStyle w:val="Normal"/></w:pPr>
<w:r><w:t xml:space="preserve">which it is not easy to account for.  He points out how the</w:t></w:r>
</w:p>
<w:p>
<w:pPr><w:pStyle w:val="Normal"/></w:pPr>
<w:r><w:t xml:space="preserve">poets began to introduce rhyme into alliterative verse, until</w:t></w:r>
</w:p>
<w:p>
<w:pPr><w:pStyle w:val="Normal"/></w:pPr>
<w:r><w:t xml:space="preserve">at length rhyme came to predominate over alliteration, and</w:t></w:r>
</w:p>
<w:p>
<w:pPr><w:pStyle w:val="Normal"/></w:pPr>
<w:r><w:t xml:space="preserve">``thus was this kind of metre at length swallowed up and lost</w:t></w:r>
</w:p>
<w:p>
<w:pPr><w:pStyle w:val="Normal"/></w:pPr>
<w:r><w:t xml:space="preserve">in the common burlesque Alexandrine or anapaestic verse, as</w:t></w:r>
</w:p>
<w:p>
<w:pPr><w:pStyle w:val="Normal"/></w:pPr>
<w:r><w:t xml:space="preserve">``A cobbler there was, and he lived in a stall.&apos;&apos;</w:t></w:r>
</w:p>
<w:p>
<w:pPr><w:pStyle w:val="Normal"/></w:pPr>
<w:r><w:t xml:space="preserve">Percy made a serious mistake when he gave the name of Alexandrine</w:t></w:r>
</w:p>
<w:p>
<w:pPr><w:pStyle w:val="Normal"/></w:pPr>
<w:r><w:t xml:space="preserve">to anapaestic verse; but he is quite right in his general</w:t></w:r>
</w:p>
<w:p>
<w:pPr><w:pStyle w:val="Normal"/></w:pPr>
<w:r><w:t xml:space="preserve">statement that alliterative verse became lost in a measure</w:t></w:r>
</w:p>
<w:p>
<w:pPr><w:pStyle w:val="Normal"/></w:pPr>
<w:r><w:t xml:space="preserve">the movement of which had the final beat.  Conybeare has</w:t></w:r>
</w:p>
<w:p>
<w:pPr><w:pStyle w:val="Normal"/></w:pPr>
<w:r><w:t xml:space="preserve">stated the fact still more accurately. ``In the Saxon poetry</w:t></w:r>
</w:p>
<w:p>
<w:pPr><w:pStyle w:val="Normal"/></w:pPr>
<w:r><w:t xml:space="preserve">a trochaic character is predominant.  In Piers the Plowman</w:t></w:r>
</w:p>
<w:p>
<w:pPr><w:pStyle w:val="Normal"/></w:pPr>
<w:r><w:t xml:space="preserve">there is a prevailing tendency to an anapaestic cadence.&apos;&apos;</w:t></w:r>
</w:p>
<w:p>
<w:pPr><w:pStyle w:val="Normal"/></w:pPr>
<w:r><w:t xml:space="preserve">It is the result of a change in the language--the loss of</w:t></w:r>
</w:p>
<w:p>
<w:pPr><w:pStyle w:val="Normal"/></w:pPr>
<w:r><w:t xml:space="preserve">inflexion.  Take the word man. The genitive in Saxon would</w:t></w:r>
</w:p>
<w:p>
<w:pPr><w:pStyle w:val="Normal"/></w:pPr>
<w:r><w:t xml:space="preserve">be mannes, a trochee; in English, of man, an iambus.</w:t></w:r>
</w:p>
<w:p>
<w:pPr><w:pStyle w:val="Normal"/></w:pPr>
<w:r><w:t xml:space="preserve">The tendency of the language was thus to pass from a metrical</w:t></w:r>
</w:p>
<w:p>
<w:pPr><w:pStyle w:val="Normal"/></w:pPr>
<w:r><w:t xml:space="preserve">movement, in which the beat was initial, to one in which it was</w:t></w:r>
</w:p>
<w:p>
<w:pPr><w:pStyle w:val="Normal"/></w:pPr>
<w:r><w:t xml:space="preserve">final.  It may therefore be quite right to speak of Anglo-Saxon</w:t></w:r>
</w:p>
<w:p>
<w:pPr><w:pStyle w:val="Normal"/></w:pPr>
<w:r><w:t xml:space="preserve">alliterative poetry as trochaic or dactylic, and quite wrong to</w:t></w:r>
</w:p>
<w:p>
<w:pPr><w:pStyle w:val="Normal"/></w:pPr>
<w:r><w:t xml:space="preserve">apply the same terms to the cadence of our later alliterative</w:t></w:r>
</w:p>
<w:p>
<w:pPr><w:pStyle w:val="Normal"/></w:pPr>
<w:r><w:t xml:space="preserve">verse.  And this is precisely the error into which Skeat has</w:t></w:r>
</w:p>
<w:p>
<w:pPr><w:pStyle w:val="Normal"/></w:pPr>
<w:r><w:t xml:space="preserve">fallen.  He says--``Lines do not always begin with a loud</w:t></w:r>
</w:p>
<w:p>
<w:pPr><w:pStyle w:val="Normal"/></w:pPr>
<w:r><w:t xml:space="preserve">syllable, but often one or two and sometimes (in early English</w:t></w:r>
</w:p>
<w:p>
<w:pPr><w:pStyle w:val="Normal"/></w:pPr>
<w:r><w:t xml:space="preserve">especially) even three soft syllables precede it.  These</w:t></w:r>
</w:p>
<w:p>
<w:pPr><w:pStyle w:val="Normal"/></w:pPr>
<w:r><w:t xml:space="preserve">syllables are necessary to the sense, but not to the scanision</w:t></w:r>
</w:p>
<w:p>
<w:pPr><w:pStyle w:val="Normal"/></w:pPr>
<w:r><w:t xml:space="preserve">of the line.&apos;&apos; That is just the point at issue.  By leaving</w:t></w:r>
</w:p>
<w:p>
<w:pPr><w:pStyle w:val="Normal"/></w:pPr>
<w:r><w:t xml:space="preserve">out of account the light syllable or syllables at the beginning</w:t></w:r>
</w:p>
<w:p>
<w:pPr><w:pStyle w:val="Normal"/></w:pPr>
<w:r><w:t xml:space="preserve">of a line, and taking his start from the first syllable that</w:t></w:r>
</w:p>
<w:p>
<w:pPr><w:pStyle w:val="Normal"/></w:pPr>
<w:r><w:t xml:space="preserve">has the alliterative beat, Skeat may certainly prove that</w:t></w:r>
</w:p>
<w:p>
<w:pPr><w:pStyle w:val="Normal"/></w:pPr>
<w:r><w:t xml:space="preserve">all the later alliterative poetry has a movement of initial</w:t></w:r>
</w:p>
<w:p>
<w:pPr><w:pStyle w:val="Normal"/></w:pPr>
<w:r><w:t xml:space="preserve">beat.  But English ears will not submit to this rule.  It is</w:t></w:r>
</w:p>
<w:p>
<w:pPr><w:pStyle w:val="Normal"/></w:pPr>
<w:r><w:t xml:space="preserve">those light syllables of no account which have altered the rhythm</w:t></w:r>
</w:p>
<w:p>
<w:pPr><w:pStyle w:val="Normal"/></w:pPr>
<w:r><w:t xml:space="preserve">of English descant from one of initial to one of final beat.</w:t></w:r>
</w:p>
<w:p>
<w:pPr><w:pStyle w:val="Normal"/></w:pPr>
<w:r><w:t xml:space="preserve">ALLIUM (Lat. for ``garlic&apos;&apos;), a genus of plants, natural order</w:t></w:r>
</w:p>
<w:p>
<w:pPr><w:pStyle w:val="Normal"/></w:pPr>
<w:r><w:t xml:space="preserve">Liliaceae, with about 250 species (seven of which occur in</w:t></w:r>
</w:p>
<w:p>
<w:pPr><w:pStyle w:val="Normal"/></w:pPr>
<w:r><w:t xml:space="preserve">Britain), found in Central and South Europe, North Africa, the</w:t></w:r>
</w:p>
<w:p>
<w:pPr><w:pStyle w:val="Normal"/></w:pPr>
<w:r><w:t xml:space="preserve">dry country of West and Central Asia, and North and Central</w:t></w:r>
</w:p>
<w:p>
<w:pPr><w:pStyle w:val="Normal"/></w:pPr>
<w:r><w:t xml:space="preserve">America.  The plants are bulbous herbs, with flat or rounded</w:t></w:r>
</w:p>
<w:p>
<w:pPr><w:pStyle w:val="Normal"/></w:pPr>
<w:r><w:t xml:space="preserve">radical leaves, and a central naked or leafy stem, bearing a</w:t></w:r>
</w:p>
<w:p>
<w:pPr><w:pStyle w:val="Normal"/></w:pPr>
<w:r><w:t xml:space="preserve">head or umbel of small flowers, with a spreading or bell-shaped</w:t></w:r>
</w:p>
<w:p>
<w:pPr><w:pStyle w:val="Normal"/></w:pPr>
<w:r><w:t xml:space="preserve">white, pink, red, yellow or blue perianth.  Several species</w:t></w:r>
</w:p>
<w:p>
<w:pPr><w:pStyle w:val="Normal"/></w:pPr>
<w:r><w:t xml:space="preserve">afford useful foods, such as onion (Allium Cepa), leek (A.</w:t></w:r>
</w:p>
<w:p>
<w:pPr><w:pStyle w:val="Normal"/></w:pPr>
<w:r><w:t xml:space="preserve">Porrum), shallot or eschallot (A. ascalonicum), garlic (A.</w:t></w:r>
</w:p>
<w:p>
<w:pPr><w:pStyle w:val="Normal"/></w:pPr>
<w:r><w:t xml:space="preserve">sativum), and chives (A. schoenoprasum.) A few species are</w:t></w:r>
</w:p>
<w:p>
<w:pPr><w:pStyle w:val="Normal"/></w:pPr>
<w:r><w:t xml:space="preserve">cultivated as border plants; such are A. Moly, an old garden</w:t></w:r>
</w:p>
<w:p>
<w:pPr><w:pStyle w:val="Normal"/></w:pPr>
<w:r><w:t xml:space="preserve">plant with bright yellow flowers, and A. neapolitanum, the</w:t></w:r>
</w:p>
<w:p>
<w:pPr><w:pStyle w:val="Normal"/></w:pPr>
<w:r><w:t xml:space="preserve">well-known white-flowered species, both natives of southern Europe.</w:t></w:r>
</w:p>
<w:p>
<w:pPr><w:pStyle w:val="Normal"/></w:pPr>
<w:r><w:t xml:space="preserve">ALLIX, PIERRE (1641-1717), French Protestant divine, was born at</w:t></w:r>
</w:p>
<w:p>
<w:pPr><w:pStyle w:val="Normal"/></w:pPr>
<w:r><w:t xml:space="preserve">Alencon.  He was pastor first at St Agobile in Champagne, and</w:t></w:r>
</w:p>
<w:p>
<w:pPr><w:pStyle w:val="Normal"/></w:pPr>
<w:r><w:t xml:space="preserve">then at Charenton, near Paris.  The revocation of the edict of</w:t></w:r>
</w:p>
<w:p>
<w:pPr><w:pStyle w:val="Normal"/></w:pPr>
<w:r><w:t xml:space="preserve">Nantes in 1685 compelled him to take refuge in London, where,</w:t></w:r>
</w:p>
<w:p>
<w:pPr><w:pStyle w:val="Normal"/></w:pPr>
<w:r><w:t xml:space="preserve">under the sanction of James II., he opened a church for the French</w:t></w:r>
</w:p>
<w:p>
<w:pPr><w:pStyle w:val="Normal"/></w:pPr>
<w:r><w:t xml:space="preserve">exiles.  His reputation for learning was such as to obtain for</w:t></w:r>
</w:p>
<w:p>
<w:pPr><w:pStyle w:val="Normal"/></w:pPr>
<w:r><w:t xml:space="preserve">him, soon after his arrival, the degree of doctor of divinity</w:t></w:r>
</w:p>
<w:p>
<w:pPr><w:pStyle w:val="Normal"/></w:pPr>
<w:r><w:t xml:space="preserve">from both universities, and in 1690 he received from Bishop</w:t></w:r>
</w:p>
<w:p>
<w:pPr><w:pStyle w:val="Normal"/></w:pPr>
<w:r><w:t xml:space="preserve">Burnet the more substantial honour of the treasurership and</w:t></w:r>
</w:p>
<w:p>
<w:pPr><w:pStyle w:val="Normal"/></w:pPr>
<w:r><w:t xml:space="preserve">a canonry in Salisbury Cathedral.  He died at London in March</w:t></w:r>
</w:p>
<w:p>
<w:pPr><w:pStyle w:val="Normal"/></w:pPr>
<w:r><w:t xml:space="preserve">1717.  The works of Allix, which are numerous, are chiefly of</w:t></w:r>
</w:p>
<w:p>
<w:pPr><w:pStyle w:val="Normal"/></w:pPr>
<w:r><w:t xml:space="preserve">a controversial and apologetic character, and must be used with</w:t></w:r>
</w:p>
<w:p>
<w:pPr><w:pStyle w:val="Normal"/></w:pPr>
<w:r><w:t xml:space="preserve">caution.  In opposition to Bossuet he published Some Remarks</w:t></w:r>
</w:p>
<w:p>
<w:pPr><w:pStyle w:val="Normal"/></w:pPr>
<w:r><w:t xml:space="preserve">upon the Ecclesiastical History of the Ancient Churches</w:t></w:r>
</w:p>
<w:p>
<w:pPr><w:pStyle w:val="Normal"/></w:pPr>
<w:r><w:t xml:space="preserve">of Piedmont (1690), and Remarks upon the Ecclesiastical</w:t></w:r>
</w:p>
<w:p>
<w:pPr><w:pStyle w:val="Normal"/></w:pPr>
<w:r><w:t xml:space="preserve">History of the Ancient Churches of the Albigenses (1692),</w:t></w:r>
</w:p>
<w:p>
<w:pPr><w:pStyle w:val="Normal"/></w:pPr>
<w:r><w:t xml:space="preserve">with the idea of showing that the Albigenses were not</w:t></w:r>
</w:p>
<w:p>
<w:pPr><w:pStyle w:val="Normal"/></w:pPr>
<w:r><w:t xml:space="preserve">Manichaeans, but historically identical with the Waldenses.</w:t></w:r>
</w:p>
<w:p>
<w:pPr><w:pStyle w:val="Normal"/></w:pPr>
<w:r><w:t xml:space="preserve">ALLMAN, GEORGE JAMES (1812-!898), British biologist, was born</w:t></w:r>
</w:p>
<w:p>
<w:pPr><w:pStyle w:val="Normal"/></w:pPr>
<w:r><w:t xml:space="preserve">in Cork, Ireland, in 1812, and received his early education at</w:t></w:r>
</w:p>
<w:p>
<w:pPr><w:pStyle w:val="Normal"/></w:pPr>
<w:r><w:t xml:space="preserve">the Royal Academical Institution, Belfast.  For some time he</w:t></w:r>
</w:p>
<w:p>
<w:pPr><w:pStyle w:val="Normal"/></w:pPr>
<w:r><w:t xml:space="preserve">studied for the Irish bar, but ultimately gave up law in favour</w:t></w:r>
</w:p>
<w:p>
<w:pPr><w:pStyle w:val="Normal"/></w:pPr>
<w:r><w:t xml:space="preserve">of natural science.  In 1843 he graduated in medicine at Dublin,</w:t></w:r>
</w:p>
<w:p>
<w:pPr><w:pStyle w:val="Normal"/></w:pPr>
<w:r><w:t xml:space="preserve">and in the following year was appointed professor of botany</w:t></w:r>
</w:p>
<w:p>
<w:pPr><w:pStyle w:val="Normal"/></w:pPr>
<w:r><w:t xml:space="preserve">in that university, succeeding his namesake, William Allman</w:t></w:r>
</w:p>
<w:p>
<w:pPr><w:pStyle w:val="Normal"/></w:pPr>
<w:r><w:t xml:space="preserve">(1776-1846).  This position he held for about twelve years</w:t></w:r>
</w:p>
<w:p>
<w:pPr><w:pStyle w:val="Normal"/></w:pPr>
<w:r><w:t xml:space="preserve">until he removed to Edinburgh as regius professor of natural</w:t></w:r>
</w:p>
<w:p>
<w:pPr><w:pStyle w:val="Normal"/></w:pPr>
<w:r><w:t xml:space="preserve">history.  There he remained till 1870, when considerations of</w:t></w:r>
</w:p>
<w:p>
<w:pPr><w:pStyle w:val="Normal"/></w:pPr>
<w:r><w:t xml:space="preserve">health induced him to resign his professorship and retire to</w:t></w:r>
</w:p>
<w:p>
<w:pPr><w:pStyle w:val="Normal"/></w:pPr>
<w:r><w:t xml:space="preserve">Dorsetshire, where he devoted himself to his favourite pastime of</w:t></w:r>
</w:p>
<w:p>
<w:pPr><w:pStyle w:val="Normal"/></w:pPr>
<w:r><w:t xml:space="preserve">horticulture.  The scientific papers which came from his pen are</w:t></w:r>
</w:p>
<w:p>
<w:pPr><w:pStyle w:val="Normal"/></w:pPr>
<w:r><w:t xml:space="preserve">very numerous.  His most important work was upon the gymnoblastic</w:t></w:r>
</w:p>
<w:p>
<w:pPr><w:pStyle w:val="Normal"/></w:pPr>
<w:r><w:t xml:space="preserve">hydrozoa, on which he published in 1871-1872, through the Ray</w:t></w:r>
</w:p>
<w:p>
<w:pPr><w:pStyle w:val="Normal"/></w:pPr>
<w:r><w:t xml:space="preserve">Society, an exhaustive monograph, based largely on his own</w:t></w:r>
</w:p>
<w:p>
<w:pPr><w:pStyle w:val="Normal"/></w:pPr>
<w:r><w:t xml:space="preserve">researches and illustrated with drawings of remarkable excellence</w:t></w:r>
</w:p>
<w:p>
<w:pPr><w:pStyle w:val="Normal"/></w:pPr>
<w:r><w:t xml:space="preserve">from his own hand.  Biological science is also indebted to</w:t></w:r>
</w:p>
<w:p>
<w:pPr><w:pStyle w:val="Normal"/></w:pPr>
<w:r><w:t xml:space="preserve">him for several convenient terms which have come into daily</w:t></w:r>
</w:p>
<w:p>
<w:pPr><w:pStyle w:val="Normal"/></w:pPr>
<w:r><w:t xml:space="preserve">use, e.g. endoderm and ectoderm for the two cellular</w:t></w:r>
</w:p>
<w:p>
<w:pPr><w:pStyle w:val="Normal"/></w:pPr>
<w:r><w:t xml:space="preserve">layers of the body-wall in Coelenterata.  He became a fellow</w:t></w:r>
</w:p>
<w:p>
<w:pPr><w:pStyle w:val="Normal"/></w:pPr>
<w:r><w:t xml:space="preserve">of the Royal Society in 1854, and received a Royal medal in</w:t></w:r>
</w:p>
<w:p>
<w:pPr><w:pStyle w:val="Normal"/></w:pPr>
<w:r><w:t xml:space="preserve">1873.  For several years he occupied the presidential chair</w:t></w:r>
</w:p>
<w:p>
<w:pPr><w:pStyle w:val="Normal"/></w:pPr>
<w:r><w:t xml:space="preserve">of the Linnaean society, and in 1879 he presided over the</w:t></w:r>
</w:p>
<w:p>
<w:pPr><w:pStyle w:val="Normal"/></w:pPr>
<w:r><w:t xml:space="preserve">Sheffield meeting of the British Association.  He died</w:t></w:r>
</w:p>
<w:p>
<w:pPr><w:pStyle w:val="Normal"/></w:pPr>
<w:r><w:t xml:space="preserve">on the 24th of November 1898 at Parkstone, Dorsetshire.</w:t></w:r>
</w:p>
<w:p>
<w:pPr><w:pStyle w:val="Normal"/></w:pPr>
<w:r><w:t xml:space="preserve">ALLOA, a municipal and police burgh and seaport of</w:t></w:r>
</w:p>
<w:p>
<w:pPr><w:pStyle w:val="Normal"/></w:pPr>
<w:r><w:t xml:space="preserve">Clackmannanshire, Scotland.  It is situated on the north</w:t></w:r>
</w:p>
<w:p>
<w:pPr><w:pStyle w:val="Normal"/></w:pPr>
<w:r><w:t xml:space="preserve">bank of the Forth, 32 m. from Edinburgh by the North British</w:t></w:r>
</w:p>
<w:p>
<w:pPr><w:pStyle w:val="Normal"/></w:pPr>
<w:r><w:t xml:space="preserve">railway via the Forth Bridge, and 28 m. from Leith by</w:t></w:r>
</w:p>
<w:p>
<w:pPr><w:pStyle w:val="Normal"/></w:pPr>
<w:r><w:t xml:space="preserve">steamer.  Pop. (1891) 12,643; (1901) 14,458.  The Caledonian</w:t></w:r>
</w:p>
<w:p>
<w:pPr><w:pStyle w:val="Normal"/></w:pPr>
<w:r><w:t xml:space="preserve">railway enters the town from the south-west by a bridge</w:t></w:r>
</w:p>
<w:p>
<w:pPr><w:pStyle w:val="Normal"/></w:pPr>
<w:r><w:t xml:space="preserve">across the river, and also owns a ferry to South Alloa, on the</w:t></w:r>
</w:p>
<w:p>
<w:pPr><w:pStyle w:val="Normal"/></w:pPr>
<w:r><w:t xml:space="preserve">opposite shore, in Stirlingshire.  Between Alloa and Stirling</w:t></w:r>
</w:p>
<w:p>
<w:pPr><w:pStyle w:val="Normal"/></w:pPr>
<w:r><w:t xml:space="preserve">the stream forms the famous ``links,&apos;&apos; the course being so</w:t></w:r>
</w:p>
<w:p>
<w:pPr><w:pStyle w:val="Normal"/></w:pPr>
<w:r><w:t xml:space="preserve">sinuous that whereas by road the two towns are but 6 1/2 m.</w:t></w:r>
</w:p>
<w:p>
<w:pPr><w:pStyle w:val="Normal"/></w:pPr>
<w:r><w:t xml:space="preserve">apart, the distance between them by river is nearly 12 m.</w:t></w:r>
</w:p>
<w:p>
<w:pPr><w:pStyle w:val="Normal"/></w:pPr>
<w:r><w:t xml:space="preserve">For its size and population the town enjoys unusual prosperity,</w:t></w:r>
</w:p>
<w:p>
<w:pPr><w:pStyle w:val="Normal"/></w:pPr>
<w:r><w:t xml:space="preserve">in consequence of its several flourishing industries.  Its</w:t></w:r>
</w:p>
<w:p>
<w:pPr><w:pStyle w:val="Normal"/></w:pPr>
<w:r><w:t xml:space="preserve">manufactures of yarn are on the largest scale, the spinning</w:t></w:r>
</w:p>
<w:p>
<w:pPr><w:pStyle w:val="Normal"/></w:pPr>
<w:r><w:t xml:space="preserve">mills often working night and day for many months together.</w:t></w:r>
</w:p>
<w:p>
<w:pPr><w:pStyle w:val="Normal"/></w:pPr>
<w:r><w:t xml:space="preserve">There are also numerous breweries, and Alloa ale has always</w:t></w:r>
</w:p>
<w:p>
<w:pPr><w:pStyle w:val="Normal"/></w:pPr>
<w:r><w:t xml:space="preserve">been famous.  The great distillery at Carsebridge yields an</w:t></w:r>
</w:p>
<w:p>
<w:pPr><w:pStyle w:val="Normal"/></w:pPr>
<w:r><w:t xml:space="preserve">immense supply of yeast as well as whisky.  Other thriving</w:t></w:r>
</w:p>
<w:p>
<w:pPr><w:pStyle w:val="Normal"/></w:pPr>
<w:r><w:t xml:space="preserve">trades include the glass-works on the shore, pottery-works in</w:t></w:r>
</w:p>
<w:p>
<w:pPr><w:pStyle w:val="Normal"/></w:pPr>
<w:r><w:t xml:space="preserve">the ``auld toon,&apos;&apos; dye-works and a factory for the making of</w:t></w:r>
</w:p>
<w:p>
<w:pPr><w:pStyle w:val="Normal"/></w:pPr>
<w:r><w:t xml:space="preserve">electrical appliances.  There is a good deal of shipbuilding,</w:t></w:r>
</w:p>
<w:p>
<w:pPr><w:pStyle w:val="Normal"/></w:pPr>
<w:r><w:t xml:space="preserve">some ironfounding and a brass foundry.  The chief article of</w:t></w:r>
</w:p>
<w:p>
<w:pPr><w:pStyle w:val="Normal"/></w:pPr>
<w:r><w:t xml:space="preserve">export is coal from the neighbouring collieries, the other</w:t></w:r>
</w:p>
<w:p>
<w:pPr><w:pStyle w:val="Normal"/></w:pPr>
<w:r><w:t xml:space="preserve">leading exports being ale, whisky, glass and manufactured</w:t></w:r>
</w:p>
<w:p>
<w:pPr><w:pStyle w:val="Normal"/></w:pPr>
<w:r><w:t xml:space="preserve">goods.  The imports comprise timber, grain, iron, linseed and</w:t></w:r>
</w:p>
<w:p>
<w:pPr><w:pStyle w:val="Normal"/></w:pPr>
<w:r><w:t xml:space="preserve">flax.  The docks, accessible only at high water, include a</w:t></w:r>
</w:p>
<w:p>
<w:pPr><w:pStyle w:val="Normal"/></w:pPr>
<w:r><w:t xml:space="preserve">wet basin and a dry dock.  Amongst the principal buildings</w:t></w:r>
</w:p>
<w:p>
<w:pPr><w:pStyle w:val="Normal"/></w:pPr>
<w:r><w:t xml:space="preserve">are the fine Gothic parish church, with a spire 200 ft. high;</w:t></w:r>
</w:p>
<w:p>
<w:pPr><w:pStyle w:val="Normal"/></w:pPr>
<w:r><w:t xml:space="preserve">the town hall, including the free public library, from designs</w:t></w:r>
</w:p>
<w:p>
<w:pPr><w:pStyle w:val="Normal"/></w:pPr>
<w:r><w:t xml:space="preserve">by Alfred Waterhouse, R.A., the gift of Mr J. Thomson Paton;</w:t></w:r>
</w:p>
<w:p>
<w:pPr><w:pStyle w:val="Normal"/></w:pPr>
<w:r><w:t xml:space="preserve">the county and municipal buildings; handsome public baths and</w:t></w:r>
</w:p>
<w:p>
<w:pPr><w:pStyle w:val="Normal"/></w:pPr>
<w:r><w:t xml:space="preserve">gymnasium, presented to the town by Mr David Thomson; the</w:t></w:r>
</w:p>
<w:p>
<w:pPr><w:pStyle w:val="Normal"/></w:pPr>
<w:r><w:t xml:space="preserve">accident hospital; the fever hospital; the museum of the</w:t></w:r>
</w:p>
<w:p>
<w:pPr><w:pStyle w:val="Normal"/></w:pPr>
<w:r><w:t xml:space="preserve">Natural Science and Archaeological Society; the academy,</w:t></w:r>
</w:p>
<w:p>
<w:pPr><w:pStyle w:val="Normal"/></w:pPr>
<w:r><w:t xml:space="preserve">the burgh school and a secondary school with the finest</w:t></w:r>
</w:p>
<w:p>
<w:pPr><w:pStyle w:val="Normal"/></w:pPr>
<w:r><w:t xml:space="preserve">technical equipment in Scotland, given by Mr A. Forrester</w:t></w:r>
</w:p>
<w:p>
<w:pPr><w:pStyle w:val="Normal"/></w:pPr>
<w:r><w:t xml:space="preserve">Paton.  There is a public park, besides bowling-greens and</w:t></w:r>
</w:p>
<w:p>
<w:pPr><w:pStyle w:val="Normal"/></w:pPr>
<w:r><w:t xml:space="preserve">cricket and football fields.  The old burying-ground was the</w:t></w:r>
</w:p>
<w:p>
<w:pPr><w:pStyle w:val="Normal"/></w:pPr>
<w:r><w:t xml:space="preserve">kirkyard of the former parish church, the tower of which still</w:t></w:r>
</w:p>
<w:p>
<w:pPr><w:pStyle w:val="Normal"/></w:pPr>
<w:r><w:t xml:space="preserve">exists, but a modern cemetery has been formed in Sunnyside.</w:t></w:r>
</w:p>
<w:p>
<w:pPr><w:pStyle w:val="Normal"/></w:pPr>
<w:r><w:t xml:space="preserve">The town owns the water-supply, gas-works and electric-lighting.</w:t></w:r>
</w:p>
<w:p>
<w:pPr><w:pStyle w:val="Normal"/></w:pPr>
<w:r><w:t xml:space="preserve">Alloa Park, the seat of the earl of Mar and Kellie, is in the</w:t></w:r>
</w:p>
<w:p>
<w:pPr><w:pStyle w:val="Normal"/></w:pPr>
<w:r><w:t xml:space="preserve">immediate vicinity, and in its grounds stand the ruins of Alloa</w:t></w:r>
</w:p>
<w:p>
<w:pPr><w:pStyle w:val="Normal"/></w:pPr>
<w:r><w:t xml:space="preserve">Tower, an ancient structure 89 ft. high, with walls 11 ft.</w:t></w:r>
</w:p>
<w:p>
<w:pPr><w:pStyle w:val="Normal"/></w:pPr>
<w:r><w:t xml:space="preserve">thick, which was built about 1315, and was once the residence</w:t></w:r>
</w:p>
<w:p>
<w:pPr><w:pStyle w:val="Normal"/></w:pPr>
<w:r><w:t xml:space="preserve">of the powerful family of Erskine, descendants of the earl of</w:t></w:r>
</w:p>
<w:p>
<w:pPr><w:pStyle w:val="Normal"/></w:pPr>
<w:r><w:t xml:space="preserve">Mar. The earl who promoted the Jacobite rising in 1715 was born</w:t></w:r>
</w:p>
<w:p>
<w:pPr><w:pStyle w:val="Normal"/></w:pPr>
<w:r><w:t xml:space="preserve">here.  Many of the Scots princes received their education</w:t></w:r>
</w:p>
<w:p>
<w:pPr><w:pStyle w:val="Normal"/></w:pPr>
<w:r><w:t xml:space="preserve">as wards of the Lords Erskine and the earls of Mar, the last</w:t></w:r>
</w:p>
<w:p>
<w:pPr><w:pStyle w:val="Normal"/></w:pPr>
<w:r><w:t xml:space="preserve">to be thus educated being Henry, the eldest son of James VI.</w:t></w:r>
</w:p>
<w:p>
<w:pPr><w:pStyle w:val="Normal"/></w:pPr>
<w:r><w:t xml:space="preserve">ALLOBROGES (in Gr. usually &apos;Allobriges), a Celtic tribe</w:t></w:r>
</w:p>
<w:p>
<w:pPr><w:pStyle w:val="Normal"/></w:pPr>
<w:r><w:t xml:space="preserve">in the north of Gallia Narbonensis, inhabiting the low ground</w:t></w:r>
</w:p>
<w:p>
<w:pPr><w:pStyle w:val="Normal"/></w:pPr>
<w:r><w:t xml:space="preserve">called the ``island&apos;&apos; between the Rhodanus, the Isara and</w:t></w:r>
</w:p>
<w:p>
<w:pPr><w:pStyle w:val="Normal"/></w:pPr>
<w:r><w:t xml:space="preserve">the Graian Alps, corresponding to the modern Dauphine and</w:t></w:r>
</w:p>
<w:p>
<w:pPr><w:pStyle w:val="Normal"/></w:pPr>
<w:r><w:t xml:space="preserve">Savoy.  If the name is rightly interpreted as meaning</w:t></w:r>
</w:p>
<w:p>
<w:pPr><w:pStyle w:val="Normal"/></w:pPr>
<w:r><w:t xml:space="preserve">``aliens,&apos;&apos; they would seem to have driven out the original</w:t></w:r>
</w:p>
<w:p>
<w:pPr><w:pStyle w:val="Normal"/></w:pPr>
<w:r><w:t xml:space="preserve">inhabitants.  Their chief towns were Vienna (Vienne),</w:t></w:r>
</w:p>
<w:p>
<w:pPr><w:pStyle w:val="Normal"/></w:pPr>
<w:r><w:t xml:space="preserve">Genava (Geneva) and Cularo (afterwards Gratianopolis, whence</w:t></w:r>
</w:p>
<w:p>
<w:pPr><w:pStyle w:val="Normal"/></w:pPr>
<w:r><w:t xml:space="preserve">Grenoble).  The Allobroges first occur in history as taking</w:t></w:r>
</w:p>
<w:p>
<w:pPr><w:pStyle w:val="Heading1"/></w:pPr>
<w:r><w:t>part with Hannibal in the invasion of Italy.  After the</w:t></w:r>
</w:p>
<w:p>
<w:pPr><w:pStyle w:val="Normal"/></w:pPr>
<w:r><w:t xml:space="preserve">subjugation of the Salluvii (Salyes) by the Romans in 123</w:t></w:r>
</w:p>
<w:p>
<w:pPr><w:pStyle w:val="Normal"/></w:pPr>
<w:r><w:t xml:space="preserve">B.C., having given shelter to their king Tutomotulus and</w:t></w:r>
</w:p>
<w:p>
<w:pPr><w:pStyle w:val="Normal"/></w:pPr>
<w:r><w:t xml:space="preserve">refused to surrender him, the Allobroges were attacked and</w:t></w:r>
</w:p>
<w:p>
<w:pPr><w:pStyle w:val="Normal"/></w:pPr>
<w:r><w:t xml:space="preserve">finally defeated (August 8, 121) at the junction of the Rhodanus</w:t></w:r>
</w:p>
<w:p>
<w:pPr><w:pStyle w:val="Normal"/></w:pPr>
<w:r><w:t xml:space="preserve">and Isara by Q. Fabius Maximus (afterwards Allobrogicus).  But</w:t></w:r>
</w:p>
<w:p>
<w:pPr><w:pStyle w:val="Normal"/></w:pPr>
<w:r><w:t xml:space="preserve">they still remained hostile to Rome, as is shown by the conduct</w:t></w:r>
</w:p>
<w:p>
<w:pPr><w:pStyle w:val="Normal"/></w:pPr>
<w:r><w:t xml:space="preserve">of their ambassadors in the Catilinarian conspiracy (63; see</w:t></w:r>
</w:p>
<w:p>
<w:pPr><w:pStyle w:val="Normal"/></w:pPr>
<w:r><w:t xml:space="preserve">CATILINE); two years later a revolt under Catugnatus was</w:t></w:r>
</w:p>
<w:p>
<w:pPr><w:pStyle w:val="Normal"/></w:pPr>
<w:r><w:t xml:space="preserve">put down by Gaius Pomptinus at Solonium.  Under Augustus they</w:t></w:r>
</w:p>
<w:p>
<w:pPr><w:pStyle w:val="Normal"/></w:pPr>
<w:r><w:t xml:space="preserve">were included in Gallia Narbonensis; later, in the Viennensis.</w:t></w:r>
</w:p>
<w:p>
<w:pPr><w:pStyle w:val="Normal"/></w:pPr>
<w:r><w:t xml:space="preserve">See A. Desjardins, Geographie historique de la Gaule romaine,</w:t></w:r>
</w:p>
<w:p>
<w:pPr><w:pStyle w:val="Normal"/></w:pPr>
<w:r><w:t xml:space="preserve">ii. (1876-1893); . E. Herzog, Galliae Narbonensis Historia</w:t></w:r>
</w:p>
<w:p>
<w:pPr><w:pStyle w:val="Normal"/></w:pPr>
<w:r><w:t xml:space="preserve">(Leipzig, 1864); Mommsen, Hist. of Rome (Eng. trans.). bk.</w:t></w:r>
</w:p>
<w:p>
<w:pPr><w:pStyle w:val="Normal"/></w:pPr>
<w:r><w:t xml:space="preserve">iii. ch. 4, iv. ch. 5; T. R. Holmes, Caesar&apos;s Conquest of</w:t></w:r>
</w:p>
<w:p>
<w:pPr><w:pStyle w:val="Normal"/></w:pPr>
<w:r><w:t xml:space="preserve">Gaul (1899): G. Long in Smith&apos;s Dict. of Greek anid Roman</w:t></w:r>
</w:p>
<w:p>
<w:pPr><w:pStyle w:val="Normal"/></w:pPr>
<w:r><w:t xml:space="preserve">Geography: M. Ihm in Pauly-Wissowa&apos;s Realencyclopadie,</w:t></w:r>
</w:p>
<w:p>
<w:pPr><w:pStyle w:val="Normal"/></w:pPr>
<w:r><w:t xml:space="preserve">i. 2 (1894); A. Holder, Alt-celtischer Sprachschatz;</w:t></w:r>
</w:p>
<w:p>
<w:pPr><w:pStyle w:val="Normal"/></w:pPr>
<w:r><w:t xml:space="preserve">and bibliography in La grande encyclopedie (s.v.).</w:t></w:r>
</w:p>
<w:p>
<w:pPr><w:pStyle w:val="Normal"/></w:pPr>
<w:r><w:t xml:space="preserve">ALLOCATUR (from med.  Lat. allocatur, it is allowed),</w:t></w:r>
</w:p>
<w:p>
<w:pPr><w:pStyle w:val="Normal"/></w:pPr>
<w:r><w:t xml:space="preserve">in law, a certificate given by a taxing master, at the</w:t></w:r>
</w:p>
<w:p>
<w:pPr><w:pStyle w:val="Normal"/></w:pPr>
<w:r><w:t xml:space="preserve">termination of an action, for the allowance of costs.</w:t></w:r>
</w:p>
<w:p>
<w:pPr><w:pStyle w:val="Normal"/></w:pPr>
<w:r><w:t xml:space="preserve">ALLOCUTION (Lat. allocutio, an address), a name given to the</w:t></w:r>
</w:p>
<w:p>
<w:pPr><w:pStyle w:val="Normal"/></w:pPr>
<w:r><w:t xml:space="preserve">formal addresses made by the pope to the College of Cardinals</w:t></w:r>
</w:p>
<w:p>
<w:pPr><w:pStyle w:val="Normal"/></w:pPr>
<w:r><w:t xml:space="preserve">and through them to the church generally.  They are usually</w:t></w:r>
</w:p>
<w:p>
<w:pPr><w:pStyle w:val="Normal"/></w:pPr>
<w:r><w:t xml:space="preserve">called forth by ecclesiastical or political circumstances,</w:t></w:r>
</w:p>
<w:p>
<w:pPr><w:pStyle w:val="Normal"/></w:pPr>
<w:r><w:t xml:space="preserve">and aim at safeguarding papal principles and claims.  They are</w:t></w:r>
</w:p>
<w:p>
<w:pPr><w:pStyle w:val="Normal"/></w:pPr>
<w:r><w:t xml:space="preserve">published by being affixed to the door of St Peter&apos;s Church.</w:t></w:r>
</w:p>
<w:p>
<w:pPr><w:pStyle w:val="Normal"/></w:pPr>
<w:r><w:t xml:space="preserve">ALLODIUM, or ALODIUM, a legal term for lands which are</w:t></w:r>
</w:p>
<w:p>
<w:pPr><w:pStyle w:val="Normal"/></w:pPr>
<w:r><w:t xml:space="preserve">the absolute property of their owner, and not subject to</w:t></w:r>
</w:p>
<w:p>
<w:pPr><w:pStyle w:val="Normal"/></w:pPr>
<w:r><w:t xml:space="preserve">any service or acknowledgment to a superior.  It is thus</w:t></w:r>
</w:p>
<w:p>
<w:pPr><w:pStyle w:val="Normal"/></w:pPr>
<w:r><w:t xml:space="preserve">the opposite of fe-odum or fief.  The proper derivation</w:t></w:r>
</w:p>
<w:p>
<w:pPr><w:pStyle w:val="Normal"/></w:pPr>
<w:r><w:t xml:space="preserve">of the word has been much discussed and is still doubtful,</w:t></w:r>
</w:p>
<w:p>
<w:pPr><w:pStyle w:val="Normal"/></w:pPr>
<w:r><w:t xml:space="preserve">though it is probably compounded of all, whole or entire,</w:t></w:r>
</w:p>
<w:p>
<w:pPr><w:pStyle w:val="Normal"/></w:pPr>
<w:r><w:t xml:space="preserve">and odh, property.  Allodial tenure seems to have been</w:t></w:r>
</w:p>
<w:p>
<w:pPr><w:pStyle w:val="Normal"/></w:pPr>
<w:r><w:t xml:space="preserve">common throughout northern Europe.  It exists in Orkney and</w:t></w:r>
</w:p>
<w:p>
<w:pPr><w:pStyle w:val="Normal"/></w:pPr>
<w:r><w:t xml:space="preserve">Shetland, but is unknown in England, the feudal system</w:t></w:r>
</w:p>
<w:p>
<w:pPr><w:pStyle w:val="Normal"/></w:pPr>
<w:r><w:t xml:space="preserve">having been made universal by William the Conqueror.</w:t></w:r>
</w:p>
<w:p>
<w:pPr><w:pStyle w:val="Normal"/></w:pPr>
<w:r><w:t xml:space="preserve">ALLOMEROUS (Gr. allos, other meros, part), the quality</w:t></w:r>
</w:p>
<w:p>
<w:pPr><w:pStyle w:val="Normal"/></w:pPr>
<w:r><w:t xml:space="preserve">of bodies (e.g. mineral) by virtue of which they can change</w:t></w:r>
</w:p>
<w:p>
<w:pPr><w:pStyle w:val="Normal"/></w:pPr>
<w:r><w:t xml:space="preserve">their elements and proportions while preserving their form.</w:t></w:r>
</w:p>
<w:p>
<w:pPr><w:pStyle w:val="Normal"/></w:pPr>
<w:r><w:t xml:space="preserve">ALLON, HENRY (1818-1892), English Nonconformist divine,</w:t></w:r>
</w:p>
<w:p>
<w:pPr><w:pStyle w:val="Normal"/></w:pPr>
<w:r><w:t xml:space="preserve">was born on the 13th of October 1818 at Welton near Hull in</w:t></w:r>
</w:p>
<w:p>
<w:pPr><w:pStyle w:val="Normal"/></w:pPr>
<w:r><w:t xml:space="preserve">Yorkshire.  Under Methodist influence he decided to enter the</w:t></w:r>
</w:p>
<w:p>
<w:pPr><w:pStyle w:val="Normal"/></w:pPr>
<w:r><w:t xml:space="preserve">ministry, but, developing Congregational ideas, was trained</w:t></w:r>
</w:p>
<w:p>
<w:pPr><w:pStyle w:val="Normal"/></w:pPr>
<w:r><w:t xml:space="preserve">at Cheshunt College.  In 1844 he became co-pastor with the</w:t></w:r>
</w:p>
<w:p>
<w:pPr><w:pStyle w:val="Normal"/></w:pPr>
<w:r><w:t xml:space="preserve">Rev. Thomas Lewis of Union Chapel, Islington.  In 1852,</w:t></w:r>
</w:p>
<w:p>
<w:pPr><w:pStyle w:val="Normal"/></w:pPr>
<w:r><w:t xml:space="preserve">on the death of Lewis, Allon became sole pastor, and this</w:t></w:r>
</w:p>
<w:p>
<w:pPr><w:pStyle w:val="Normal"/></w:pPr>
<w:r><w:t xml:space="preserve">position he held with increasing influence till his death in</w:t></w:r>
</w:p>
<w:p>
<w:pPr><w:pStyle w:val="Normal"/></w:pPr>
<w:r><w:t xml:space="preserve">1892.  Union Chapel, originally founded by evangelical</w:t></w:r>
</w:p>
<w:p>
<w:pPr><w:pStyle w:val="Normal"/></w:pPr>
<w:r><w:t xml:space="preserve">members of the Church of England and Nonconformists acting</w:t></w:r>
</w:p>
<w:p>
<w:pPr><w:pStyle w:val="Normal"/></w:pPr>
<w:r><w:t xml:space="preserve">in harmony, became during Anon&apos;s co-pastorate definitely</w:t></w:r>
</w:p>
<w:p>
<w:pPr><w:pStyle w:val="Normal"/></w:pPr>
<w:r><w:t xml:space="preserve">Congregational in principle and fellowship, and exercised an</w:t></w:r>
</w:p>
<w:p>
<w:pPr><w:pStyle w:val="Normal"/></w:pPr>
<w:r><w:t xml:space="preserve">ever-expanding influence.  His chief service to Nonconformity</w:t></w:r>
</w:p>
<w:p>
<w:pPr><w:pStyle w:val="Normal"/></w:pPr>
<w:r><w:t xml:space="preserve">was in connexion with the improvement of congregational</w:t></w:r>
</w:p>
<w:p>
<w:pPr><w:pStyle w:val="Normal"/></w:pPr>
<w:r><w:t xml:space="preserve">worship, and especially the service of praise.  In 1852</w:t></w:r>
</w:p>
<w:p>
<w:pPr><w:pStyle w:val="Normal"/></w:pPr>
<w:r><w:t xml:space="preserve">Dr. H. J. Gauntlett became organist at Union of this class,</w:t></w:r>
</w:p>
<w:p>
<w:pPr><w:pStyle w:val="Normal"/></w:pPr>
<w:r><w:t xml:space="preserve">Allon published the original edition of his well-known</w:t></w:r>
</w:p>
<w:p>
<w:pPr><w:pStyle w:val="Normal"/></w:pPr>
<w:r><w:t xml:space="preserve">Congregational Psalmist. For many years his collection of</w:t></w:r>
</w:p>
<w:p>
<w:pPr><w:pStyle w:val="Normal"/></w:pPr>
<w:r><w:t xml:space="preserve">hymns, chants and anthems was used in hundreds of churches</w:t></w:r>
</w:p>
<w:p>
<w:pPr><w:pStyle w:val="Normal"/></w:pPr>
<w:r><w:t xml:space="preserve">throughout England.  In 1860 Allon began to write, at first</w:t></w:r>
</w:p>
<w:p>
<w:pPr><w:pStyle w:val="Normal"/></w:pPr>
<w:r><w:t xml:space="preserve">chiefly for the Patriot, then under the editorship of T. C.</w:t></w:r>
</w:p>
<w:p>
<w:pPr><w:pStyle w:val="Normal"/></w:pPr>
<w:r><w:t xml:space="preserve">Turbeville.  In 1864, at the age of forty-five, he was elected</w:t></w:r>
</w:p>
<w:p>
<w:pPr><w:pStyle w:val="Normal"/></w:pPr>
<w:r><w:t xml:space="preserve">chairman of the Congregational Union, and in 1866 he undertook</w:t></w:r>
</w:p>
<w:p>
<w:pPr><w:pStyle w:val="Normal"/></w:pPr>
<w:r><w:t xml:space="preserve">the editorship of the British Quarterly Review with H. R.</w:t></w:r>
</w:p>
<w:p>
<w:pPr><w:pStyle w:val="Normal"/></w:pPr>
<w:r><w:t xml:space="preserve">Reynolds, the principal of Cheshunt.  In 1877 he became sole</w:t></w:r>
</w:p>
<w:p>
<w:pPr><w:pStyle w:val="Normal"/></w:pPr>
<w:r><w:t xml:space="preserve">editor, and in that capacity came into touch with such men</w:t></w:r>
</w:p>
<w:p>
<w:pPr><w:pStyle w:val="Normal"/></w:pPr>
<w:r><w:t xml:space="preserve">as W. E. Gladstone, Matthew Arnold, F. D. Maurice and Dean</w:t></w:r>
</w:p>
<w:p>
<w:pPr><w:pStyle w:val="Normal"/></w:pPr>
<w:r><w:t xml:space="preserve">Stanley.  The magazine was discontinued in 1886.  In 1871</w:t></w:r>
</w:p>
<w:p>
<w:pPr><w:pStyle w:val="Normal"/></w:pPr>
<w:r><w:t xml:space="preserve">he received the degree of D.D. from the university of Yale,</w:t></w:r>
</w:p>
<w:p>
<w:pPr><w:pStyle w:val="Normal"/></w:pPr>
<w:r><w:t xml:space="preserve">U.S.A.  In 1874 the congregation at Islington decided to</w:t></w:r>
</w:p>
<w:p>
<w:pPr><w:pStyle w:val="Normal"/></w:pPr>
<w:r><w:t xml:space="preserve">erect new buildings.  The church, which was built at a cost of</w:t></w:r>
</w:p>
<w:p>
<w:pPr><w:pStyle w:val="Heading1"/></w:pPr>
<w:r><w:t>L. 50,000, was specially adapted for congregational worship</w:t></w:r>
</w:p>
<w:p>
<w:pPr><w:pStyle w:val="Normal"/></w:pPr>
<w:r><w:t xml:space="preserve">and was mentioned by an architectural journal as one of the</w:t></w:r>
</w:p>
<w:p>
<w:pPr><w:pStyle w:val="Normal"/></w:pPr>
<w:r><w:t xml:space="preserve">hundred remarkable buildings of the century.  The church had</w:t></w:r>
</w:p>
<w:p>
<w:pPr><w:pStyle w:val="Normal"/></w:pPr>
<w:r><w:t xml:space="preserve">in its Yarious departments about 300 teachers in charge of</w:t></w:r>
</w:p>
<w:p>
<w:pPr><w:pStyle w:val="Normal"/></w:pPr>
<w:r><w:t xml:space="preserve">more than 3000 children, and was in its organization one of</w:t></w:r>
</w:p>
<w:p>
<w:pPr><w:pStyle w:val="Normal"/></w:pPr>
<w:r><w:t xml:space="preserve">the earliest instances of the type known as the institutional</w:t></w:r>
</w:p>
<w:p>
<w:pPr><w:pStyle w:val="Normal"/></w:pPr>
<w:r><w:t xml:space="preserve">church.  In 1881. on the occasion of the jubilee of the</w:t></w:r>
</w:p>
<w:p>
<w:pPr><w:pStyle w:val="Normal"/></w:pPr>
<w:r><w:t xml:space="preserve">Congregational Union of England and Wales, Allon was again</w:t></w:r>
</w:p>
<w:p>
<w:pPr><w:pStyle w:val="Normal"/></w:pPr>
<w:r><w:t xml:space="preserve">elected chairman.  In were A Memoir of James Sherman (1863);</w:t></w:r>
</w:p>
<w:p>
<w:pPr><w:pStyle w:val="Normal"/></w:pPr>
<w:r><w:t xml:space="preserve">the Sermons of Thomas Binney, with a biographical and</w:t></w:r>
</w:p>
<w:p>
<w:pPr><w:pStyle w:val="Normal"/></w:pPr>
<w:r><w:t xml:space="preserve">critical sketch (1869); The Vision of God and other sermons</w:t></w:r>
</w:p>
<w:p>
<w:pPr><w:pStyle w:val="Normal"/></w:pPr>
<w:r><w:t xml:space="preserve">(1876); The Indwelling Christ (1892).  Allon was a man of</w:t></w:r>
</w:p>
<w:p>
<w:pPr><w:pStyle w:val="Normal"/></w:pPr>
<w:r><w:t xml:space="preserve">sound judgment, strong will, great moral courage and personal</w:t></w:r>
</w:p>
<w:p>
<w:pPr><w:pStyle w:val="Normal"/></w:pPr>
<w:r><w:t xml:space="preserve">kindness.  His acquaintance with literature was wide, his</w:t></w:r>
</w:p>
<w:p>
<w:pPr><w:pStyle w:val="Normal"/></w:pPr>
<w:r><w:t xml:space="preserve">own style lucid and decisive.  In social and political</w:t></w:r>
</w:p>
<w:p>
<w:pPr><w:pStyle w:val="Normal"/></w:pPr>
<w:r><w:t xml:space="preserve">affairs he was a convinced individualist.  Both as leader of</w:t></w:r>
</w:p>
<w:p>
<w:pPr><w:pStyle w:val="Normal"/></w:pPr>
<w:r><w:t xml:space="preserve">Union Chapel and in denominational affairs his courage and</w:t></w:r>
</w:p>
<w:p>
<w:pPr><w:pStyle w:val="Normal"/></w:pPr>
<w:r><w:t xml:space="preserve">discretion, his simple faith, combined with a broad-minded</w:t></w:r>
</w:p>
<w:p>
<w:pPr><w:pStyle w:val="Normal"/></w:pPr>
<w:r><w:t xml:space="preserve">symoathy with the intellectual movements of the time, made</w:t></w:r>
</w:p>
<w:p>
<w:pPr><w:pStyle w:val="Normal"/></w:pPr>
<w:r><w:t xml:space="preserve">his ministry a widespread influence for good. (D. MN.)</w:t></w:r>
</w:p>
<w:p>
<w:pPr><w:pStyle w:val="Normal"/></w:pPr>
<w:r><w:t xml:space="preserve">ALLONGE (from Fr. alloinger, to draw out), a slip of</w:t></w:r>
</w:p>
<w:p>
<w:pPr><w:pStyle w:val="Normal"/></w:pPr>
<w:r><w:t xml:space="preserve">paper affixed to a negotiable instrument, as a bill of</w:t></w:r>
</w:p>
<w:p>
<w:pPr><w:pStyle w:val="Normal"/></w:pPr>
<w:r><w:t xml:space="preserve">exchange, for the purpose of receiving additional indorsements</w:t></w:r>
</w:p>
<w:p>
<w:pPr><w:pStyle w:val="Normal"/></w:pPr>
<w:r><w:t xml:space="preserve">for which there may not be sufficient space on the bill</w:t></w:r>
</w:p>
<w:p>
<w:pPr><w:pStyle w:val="Normal"/></w:pPr>
<w:r><w:t xml:space="preserve">itself.  An indorsement written on the allonge is deemed to</w:t></w:r>
</w:p>
<w:p>
<w:pPr><w:pStyle w:val="Normal"/></w:pPr>
<w:r><w:t xml:space="preserve">be written on the bill itself.  An allonge is more usually</w:t></w:r>
</w:p>
<w:p>
<w:pPr><w:pStyle w:val="Normal"/></w:pPr>
<w:r><w:t xml:space="preserve">met with in those countries where the Code Napoleon is in</w:t></w:r>
</w:p>
<w:p>
<w:pPr><w:pStyle w:val="Normal"/></w:pPr>
<w:r><w:t xml:space="preserve">force, as the code requires every indorsement to express the</w:t></w:r>
</w:p>
<w:p>
<w:pPr><w:pStyle w:val="Normal"/></w:pPr>
<w:r><w:t xml:space="preserve">consideration.  Under English law, as the simple signature of</w:t></w:r>
</w:p>
<w:p>
<w:pPr><w:pStyle w:val="Normal"/></w:pPr>
<w:r><w:t xml:space="preserve">the indorser on the bill, without additional words, is sufficient</w:t></w:r>
</w:p>
<w:p>
<w:pPr><w:pStyle w:val="Normal"/></w:pPr>
<w:r><w:t xml:space="preserve">to operate as a negotiation, an allonge is seldom necessary.</w:t></w:r>
</w:p>
<w:p>
<w:pPr><w:pStyle w:val="Normal"/></w:pPr>
<w:r><w:t xml:space="preserve">ALLOPHANE, one of the few minerals known only in the amorphous</w:t></w:r>
</w:p>
<w:p>
<w:pPr><w:pStyle w:val="Normal"/></w:pPr>
<w:r><w:t xml:space="preserve">state.  It is a glassy substance, usually occurring as</w:t></w:r>
</w:p>
<w:p>
<w:pPr><w:pStyle w:val="Normal"/></w:pPr>
<w:r><w:t xml:space="preserve">thin encrustations with a mammillary surface; occasionally,</w:t></w:r>
</w:p>
<w:p>
<w:pPr><w:pStyle w:val="Normal"/></w:pPr>
<w:r><w:t xml:space="preserve">however, it is earthy and pulverulent.  The colour varies</w:t></w:r>
</w:p>
<w:p>
<w:pPr><w:pStyle w:val="Normal"/></w:pPr>
<w:r><w:t xml:space="preserve">considerably. from colourless to yellow, brown, blue or</w:t></w:r>
</w:p>
<w:p>
<w:pPr><w:pStyle w:val="Normal"/></w:pPr>
<w:r><w:t xml:space="preserve">green.  Specimens of a brilliant sky-blue colour, such as</w:t></w:r>
</w:p>
<w:p>
<w:pPr><w:pStyle w:val="Normal"/></w:pPr>
<w:r><w:t xml:space="preserve">those found formerly in Wheal Haniblyn, near Bridestowe in</w:t></w:r>
</w:p>
<w:p>
<w:pPr><w:pStyle w:val="Normal"/></w:pPr>
<w:r><w:t xml:space="preserve">Devonshire, and in Sardinia, are specially attractive in</w:t></w:r>
</w:p>
<w:p>
<w:pPr><w:pStyle w:val="Normal"/></w:pPr>
<w:r><w:t xml:space="preserve">appearance; the colour is here due to the presence of the</w:t></w:r>
</w:p>
<w:p>
<w:pPr><w:pStyle w:val="Normal"/></w:pPr>
<w:r><w:t xml:space="preserve">copper mineral chrysocolla.  The hardness is 3, and the</w:t></w:r>
</w:p>
<w:p>
<w:pPr><w:pStyle w:val="Normal"/></w:pPr>
<w:r><w:t xml:space="preserve">specific gravity 1.9. Chemically, it is a hydrous aluminium</w:t></w:r>
</w:p>
<w:p>
<w:pPr><w:pStyle w:val="Normal"/></w:pPr>
<w:r><w:t xml:space="preserve">silicate, Al2SiO5.5H2O.  Allophane is always of secondary</w:t></w:r>
</w:p>
<w:p>
<w:pPr><w:pStyle w:val="Normal"/></w:pPr>
<w:r><w:t xml:space="preserve">origin, resulting from the decomposition of various aluminous</w:t></w:r>
</w:p>
<w:p>
<w:pPr><w:pStyle w:val="Normal"/></w:pPr>
<w:r><w:t xml:space="preserve">silicates, such as felspar.  It is often found copper and</w:t></w:r>
</w:p>
<w:p>
<w:pPr><w:pStyle w:val="Normal"/></w:pPr>
<w:r><w:t xml:space="preserve">iron.  It was first observed in 1809 in marl at Grafenthal,</w:t></w:r>
</w:p>
<w:p>
<w:pPr><w:pStyle w:val="Normal"/></w:pPr>
<w:r><w:t xml:space="preserve">near Saalfield in Thuringia; and has been found in lines</w:t></w:r>
</w:p>
<w:p>
<w:pPr><w:pStyle w:val="Normal"/></w:pPr>
<w:r><w:t xml:space="preserve">fissures and funnel-shaped cavities.  The name allophane was</w:t></w:r>
</w:p>
<w:p>
<w:pPr><w:pStyle w:val="Normal"/></w:pPr>
<w:r><w:t xml:space="preserve">given by F. Stromeyer in 1816, from the Gr. allos, another,</w:t></w:r>
</w:p>
<w:p>
<w:pPr><w:pStyle w:val="Normal"/></w:pPr>
<w:r><w:t xml:space="preserve">and faino, to appear, in allusion to the fact that the</w:t></w:r>
</w:p>
<w:p>
<w:pPr><w:pStyle w:val="Normal"/></w:pPr>
<w:r><w:t xml:space="preserve">mineral crumbles and changes in appearance when heated</w:t></w:r>
</w:p>
<w:p>
<w:pPr><w:pStyle w:val="Normal"/></w:pPr>
<w:r><w:t xml:space="preserve">before the blowpipe.  Other names for the species are</w:t></w:r>
</w:p>
<w:p>
<w:pPr><w:pStyle w:val="Normal"/></w:pPr>
<w:r><w:t xml:space="preserve">riemannite and elhuyarite, whilst closely allied minerals are</w:t></w:r>
</w:p>
<w:p>
<w:pPr><w:pStyle w:val="Normal"/></w:pPr>
<w:r><w:t xml:space="preserve">carolathine, samoite and schrotterite (opal-allophane).</w:t></w:r>
</w:p>
<w:p>
<w:pPr><w:pStyle w:val="Normal"/></w:pPr>
<w:r><w:t xml:space="preserve">ALLORI, ALESSANDRO (1535--1607), Italian painter of the</w:t></w:r>
</w:p>
<w:p>
<w:pPr><w:pStyle w:val="Normal"/></w:pPr>
<w:r><w:t xml:space="preserve">Florentine school, was brought up and trained in art by his uncle,</w:t></w:r>
</w:p>
<w:p>
<w:pPr><w:pStyle w:val="Normal"/></w:pPr>
<w:r><w:t xml:space="preserve">Angelo Bronzino (q.v.) whose name he sometimes assumed in his</w:t></w:r>
</w:p>
<w:p>
<w:pPr><w:pStyle w:val="Normal"/></w:pPr>
<w:r><w:t xml:space="preserve">pictures.  Visiting Rome in his nineteenth year, he carefully</w:t></w:r>
</w:p>
<w:p>
<w:pPr><w:pStyle w:val="Normal"/></w:pPr>
<w:r><w:t xml:space="preserve">studied the works of Michelangelo; but the influence of that</w:t></w:r>
</w:p>
<w:p>
<w:pPr><w:pStyle w:val="Normal"/></w:pPr>
<w:r><w:t xml:space="preserve">great master can only be traced in the anatomical correctness</w:t></w:r>
</w:p>
<w:p>
<w:pPr><w:pStyle w:val="Normal"/></w:pPr>
<w:r><w:t xml:space="preserve">of his drawing of nude figures.  He was successful as a portrait</w:t></w:r>
</w:p>
<w:p>
<w:pPr><w:pStyle w:val="Normal"/></w:pPr>
<w:r><w:t xml:space="preserve">painter.  His son CRISTOFANO ALLORI (1577-1621), born at</w:t></w:r>
</w:p>
<w:p>
<w:pPr><w:pStyle w:val="Normal"/></w:pPr>
<w:r><w:t xml:space="preserve">Florence, received his first lessons in painting from his father,</w:t></w:r>
</w:p>
<w:p>
<w:pPr><w:pStyle w:val="Normal"/></w:pPr>
<w:r><w:t xml:space="preserve">but becoming dissatisfied with the hard anatomical drawing and</w:t></w:r>
</w:p>
<w:p>
<w:pPr><w:pStyle w:val="Normal"/></w:pPr>
<w:r><w:t xml:space="preserve">cold colouring of the latter, he entered the studio of Gregorio</w:t></w:r>
</w:p>
<w:p>
<w:pPr><w:pStyle w:val="Normal"/></w:pPr>
<w:r><w:t xml:space="preserve">Pagani (1558-1605) who was one of the leaders of that later</w:t></w:r>
</w:p>
<w:p>
<w:pPr><w:pStyle w:val="Normal"/></w:pPr>
<w:r><w:t xml:space="preserve">Florentine school which endeavoured to unite the rich colouring</w:t></w:r>
</w:p>
<w:p>
<w:pPr><w:pStyle w:val="Normal"/></w:pPr>
<w:r><w:t xml:space="preserve">of the Venetians with the correct drawing of Michelangelo&apos;s</w:t></w:r>
</w:p>
<w:p>
<w:pPr><w:pStyle w:val="Normal"/></w:pPr>
<w:r><w:t xml:space="preserve">disciples.  Allori became one of the foremost of this school.</w:t></w:r>
</w:p>
<w:p>
<w:pPr><w:pStyle w:val="Normal"/></w:pPr>
<w:r><w:t xml:space="preserve">His pictures are distinguished by their close adherence to</w:t></w:r>
</w:p>
<w:p>
<w:pPr><w:pStyle w:val="Normal"/></w:pPr>
<w:r><w:t xml:space="preserve">nature and the delicacy and technical perfection of their</w:t></w:r>
</w:p>
<w:p>
<w:pPr><w:pStyle w:val="Normal"/></w:pPr>
<w:r><w:t xml:space="preserve">execution.  His technical skill is proved by the fact that</w:t></w:r>
</w:p>
<w:p>
<w:pPr><w:pStyle w:val="Normal"/></w:pPr>
<w:r><w:t xml:space="preserve">several copies he made after Correggio have been taken to be</w:t></w:r>
</w:p>
<w:p>
<w:pPr><w:pStyle w:val="Normal"/></w:pPr>
<w:r><w:t xml:space="preserve">duplicates by Correggio himself.  His extreme fastidiousness</w:t></w:r>
</w:p>
<w:p>
<w:pPr><w:pStyle w:val="Normal"/></w:pPr>
<w:r><w:t xml:space="preserve">limited his power of production, though the number of his works</w:t></w:r>
</w:p>
<w:p>
<w:pPr><w:pStyle w:val="Normal"/></w:pPr>
<w:r><w:t xml:space="preserve">is not so small as is sometimes asserted.  Several specimens</w:t></w:r>
</w:p>
<w:p>
<w:pPr><w:pStyle w:val="Normal"/></w:pPr>
<w:r><w:t xml:space="preserve">are to be seen at Florence and elsewhere.  The finest of</w:t></w:r>
</w:p>
<w:p>
<w:pPr><w:pStyle w:val="Normal"/></w:pPr>
<w:r><w:t xml:space="preserve">all his works is his ``Judith and Holofernes,&apos;&apos; in the Pitti</w:t></w:r>
</w:p>
<w:p>
<w:pPr><w:pStyle w:val="Normal"/></w:pPr>
<w:r><w:t xml:space="preserve">Palace.  The model for the Judith was his mistress, the beautiful</w:t></w:r>
</w:p>
<w:p>
<w:pPr><w:pStyle w:val="Normal"/></w:pPr>
<w:r><w:t xml:space="preserve">Mazzafirra, who is also represented in his Magdalene; and the</w:t></w:r>
</w:p>
<w:p>
<w:pPr><w:pStyle w:val="Normal"/></w:pPr>
<w:r><w:t xml:space="preserve">head of Holofernes is generally supposed to represent himself.</w:t></w:r>
</w:p>
<w:p>
<w:pPr><w:pStyle w:val="Normal"/></w:pPr>
<w:r><w:t xml:space="preserve">ALLOTMENT from O. Fr. a and loter, to divide by</w:t></w:r>
</w:p>
<w:p>
<w:pPr><w:pStyle w:val="Normal"/></w:pPr>
<w:r><w:t xml:space="preserve">lot), the act of allotting; a share or portion assigned.</w:t></w:r>
</w:p>
<w:p>
<w:pPr><w:pStyle w:val="Normal"/></w:pPr>
<w:r><w:t xml:space="preserve">In England, the term denotes a portion of land assigned</w:t></w:r>
</w:p>
<w:p>
<w:pPr><w:pStyle w:val="Normal"/></w:pPr>
<w:r><w:t xml:space="preserve">on partition or under an inclosure award (see COMMONS);</w:t></w:r>
</w:p>
<w:p>
<w:pPr><w:pStyle w:val="Normal"/></w:pPr>
<w:r><w:t xml:space="preserve">also a division of land into small portions for cultivation</w:t></w:r>
</w:p>
<w:p>
<w:pPr><w:pStyle w:val="Normal"/></w:pPr>
<w:r><w:t xml:space="preserve">by a labourer or artisan at a small rent (see ALLOTMENTS</w:t></w:r>
</w:p>
<w:p>
<w:pPr><w:pStyle w:val="Normal"/></w:pPr>
<w:r><w:t xml:space="preserve">AND SMALL HOLDINOS). In company law, ``allotment&apos;&apos; is</w:t></w:r>
</w:p>
<w:p>
<w:pPr><w:pStyle w:val="Normal"/></w:pPr>
<w:r><w:t xml:space="preserve">the appropriation to an applicant by a resolution of the</w:t></w:r>
</w:p>
<w:p>
<w:pPr><w:pStyle w:val="Normal"/></w:pPr>
<w:r><w:t xml:space="preserve">directors of a certain number of shares in response to an</w:t></w:r>
</w:p>
<w:p>
<w:pPr><w:pStyle w:val="Normal"/></w:pPr>
<w:r><w:t xml:space="preserve">application.  The document sent to such an applicant, which</w:t></w:r>
</w:p>
<w:p>
<w:pPr><w:pStyle w:val="Normal"/></w:pPr>
<w:r><w:t xml:space="preserve">announces the number of shares assigned and concludes the</w:t></w:r>
</w:p>
<w:p>
<w:pPr><w:pStyle w:val="Normal"/></w:pPr>
<w:r><w:t xml:space="preserve">contract, is called a letter of allotment or allotment</w:t></w:r>
</w:p>
<w:p>
<w:pPr><w:pStyle w:val="Normal"/></w:pPr>
<w:r><w:t xml:space="preserve">certificate. A letter of allotment in England requires a</w:t></w:r>
</w:p>
<w:p>
<w:pPr><w:pStyle w:val="Normal"/></w:pPr>
<w:r><w:t xml:space="preserve">sixpenny stamp if the value of the shares amounts to L. 5 or</w:t></w:r>
</w:p>
<w:p>
<w:pPr><w:pStyle w:val="Normal"/></w:pPr>
<w:r><w:t xml:space="preserve">over, and a penny stamp if less than L. 5. (See COMPANY.)</w:t></w:r>
</w:p>
<w:p>
<w:pPr><w:pStyle w:val="Normal"/></w:pPr>
<w:r><w:t xml:space="preserve">Allotment note is a writing by a seaman authorising his</w:t></w:r>
</w:p>
<w:p>
<w:pPr><w:pStyle w:val="Normal"/></w:pPr>
<w:r><w:t xml:space="preserve">employers to make an allotment of part of his wages, while he</w:t></w:r>
</w:p>
<w:p>
<w:pPr><w:pStyle w:val="Normal"/></w:pPr>
<w:r><w:t xml:space="preserve">is on a voyage, in favour either of a ``near&apos;&apos; relative (wife,</w:t></w:r>
</w:p>
<w:p>
<w:pPr><w:pStyle w:val="Normal"/></w:pPr>
<w:r><w:t xml:space="preserve">father, mother, grandfather, grandmother, child, grandchild,</w:t></w:r>
</w:p>
<w:p>
<w:pPr><w:pStyle w:val="Normal"/></w:pPr>
<w:r><w:t xml:space="preserve">brother or sister of the seaman), or of a savings bank.  Every</w:t></w:r>
</w:p>
<w:p>
<w:pPr><w:pStyle w:val="Normal"/></w:pPr>
<w:r><w:t xml:space="preserve">allotment note must be in a form sanctioned by the Board of Trade.</w:t></w:r>
</w:p>
<w:p>
<w:pPr><w:pStyle w:val="Normal"/></w:pPr>
<w:r><w:t xml:space="preserve">ALLOTMENTS AND SMALL HOLDINGS. As the meaning of these</w:t></w:r>
</w:p>
<w:p>
<w:pPr><w:pStyle w:val="Normal"/></w:pPr>
<w:r><w:t xml:space="preserve">terms in agricultural tenure varies in different localities,</w:t></w:r>
</w:p>
<w:p>
<w:pPr><w:pStyle w:val="Normal"/></w:pPr>
<w:r><w:t xml:space="preserve">it may be as well to say at once that for the present purpose</w:t></w:r>
</w:p>
<w:p>
<w:pPr><w:pStyle w:val="Normal"/></w:pPr>
<w:r><w:t xml:space="preserve">they are definable as pieces of land detached from cottages,</w:t></w:r>
</w:p>
<w:p>
<w:pPr><w:pStyle w:val="Normal"/></w:pPr>
<w:r><w:t xml:space="preserve">and hired or owned by labouring men to supplement their main</w:t></w:r>
</w:p>
<w:p>
<w:pPr><w:pStyle w:val="Normal"/></w:pPr>
<w:r><w:t xml:space="preserve">income.  We do not include any farm, however small, from</w:t></w:r>
</w:p>
<w:p>
<w:pPr><w:pStyle w:val="Normal"/></w:pPr>
<w:r><w:t xml:space="preserve">which the occupier derives his entire support by dairying,</w:t></w:r>
</w:p>
<w:p>
<w:pPr><w:pStyle w:val="Normal"/></w:pPr>
<w:r><w:t xml:space="preserve">market-gardening, or other form of la petite culture. So,</w:t></w:r>
</w:p>
<w:p>
<w:pPr><w:pStyle w:val="Normal"/></w:pPr>
<w:r><w:t xml:space="preserve">also, no account is taken of the tiny garden plot, used for</w:t></w:r>
</w:p>
<w:p>
<w:pPr><w:pStyle w:val="Normal"/></w:pPr>
<w:r><w:t xml:space="preserve">growing vegetables for the table and simple flowers, which</w:t></w:r>
</w:p>
<w:p>
<w:pPr><w:pStyle w:val="Normal"/></w:pPr>
<w:r><w:t xml:space="preserve">is properly an appurtenance of the cottage.  Clearing away</w:t></w:r>
</w:p>
<w:p>
<w:pPr><w:pStyle w:val="Normal"/></w:pPr>
<w:r><w:t xml:space="preserve">what is extraneous, the essential point round which much</w:t></w:r>
</w:p>
<w:p>
<w:pPr><w:pStyle w:val="Normal"/></w:pPr>
<w:r><w:t xml:space="preserve">controversy has raged is the labourer&apos;s share in the land.</w:t></w:r>
</w:p>
<w:p>
<w:pPr><w:pStyle w:val="Normal"/></w:pPr>
<w:r><w:t xml:space="preserve">The claim advanced depends upon tradition.  In agriculture,</w:t></w:r>
</w:p>
<w:p>
<w:pPr><w:pStyle w:val="Normal"/></w:pPr>
<w:r><w:t xml:space="preserve">the oldest of all industries, a cash payment is not even now</w:t></w:r>
</w:p>
<w:p>
<w:pPr><w:pStyle w:val="Normal"/></w:pPr>
<w:r><w:t xml:space="preserve">regarded as discharging the obligations between master and</w:t></w:r>
</w:p>
<w:p>
<w:pPr><w:pStyle w:val="Normal"/></w:pPr>
<w:r><w:t xml:space="preserve">servant.  Mr Wilson Fox, in reporting to the Board of Trade on</w:t></w:r>
</w:p>
<w:p>
<w:pPr><w:pStyle w:val="Normal"/></w:pPr>
<w:r><w:t xml:space="preserve">the earnings of agricultural labourers in Great Britain, gives,</w:t></w:r>
</w:p>
<w:p>
<w:pPr><w:pStyle w:val="Normal"/></w:pPr>
<w:r><w:t xml:space="preserve">as a typical survival of an old custom, the case of a shepherd</w:t></w:r>
</w:p>
<w:p>
<w:pPr><w:pStyle w:val="Normal"/></w:pPr>
<w:r><w:t xml:space="preserve">whose total income was calculated at L. 60 a year, but who got</w:t></w:r>
</w:p>
<w:p>
<w:pPr><w:pStyle w:val="Normal"/></w:pPr>
<w:r><w:t xml:space="preserve">only L. 16 in money, the rest being made up by rights of grazing</w:t></w:r>
</w:p>
<w:p>
<w:pPr><w:pStyle w:val="Normal"/></w:pPr>
<w:r><w:t xml:space="preserve">live-stock, growing crops on his master&apos;s land, and kindred</w:t></w:r>
</w:p>
<w:p>
<w:pPr><w:pStyle w:val="Normal"/></w:pPr>
<w:r><w:t xml:space="preserve">privileges.  That is exactly in the spirit that used to pervade</w:t></w:r>
</w:p>
<w:p>
<w:pPr><w:pStyle w:val="Normal"/></w:pPr>
<w:r><w:t xml:space="preserve">agriculture, and doubtless had its origin in the manorial</w:t></w:r>
</w:p>
<w:p>
<w:pPr><w:pStyle w:val="Normal"/></w:pPr>
<w:r><w:t xml:space="preserve">system.  If we turn back to the 13th century, from Walter of</w:t></w:r>
</w:p>
<w:p>
<w:pPr><w:pStyle w:val="Normal"/></w:pPr>
<w:r><w:t xml:space="preserve">Henley&apos;s Husbandry it will be seen that practically there</w:t></w:r>
</w:p>
<w:p>
<w:pPr><w:pStyle w:val="Normal"/></w:pPr>
<w:r><w:t xml:space="preserve">were only two classes engaged in agriculture, and corresponding</w:t></w:r>
</w:p>
<w:p>
<w:pPr><w:pStyle w:val="Normal"/></w:pPr>
<w:r><w:t xml:space="preserve">with them were two kinds of land.  There were, on the one</w:t></w:r>
</w:p>
<w:p>
<w:pPr><w:pStyle w:val="Normal"/></w:pPr>
<w:r><w:t xml:space="preserve">hand, the employer, the lord, and his demesne land; on the</w:t></w:r>
</w:p>
<w:p>
<w:pPr><w:pStyle w:val="Normal"/></w:pPr>
<w:r><w:t xml:space="preserve">other, the villeins and the land held in villenage.  Putting</w:t></w:r>
</w:p>
<w:p>
<w:pPr><w:pStyle w:val="Normal"/></w:pPr>
<w:r><w:t xml:space="preserve">aside for the moment any discussion of the exact degree of</w:t></w:r>
</w:p>
<w:p>
<w:pPr><w:pStyle w:val="Normal"/></w:pPr>
<w:r><w:t xml:space="preserve">servitude, it will be seen that the essence of the bargain was</w:t></w:r>
</w:p>
<w:p>
<w:pPr><w:pStyle w:val="Normal"/></w:pPr>
<w:r><w:t xml:space="preserve">that the villein should be permitted to cultivate a virgate of</w:t></w:r>
</w:p>
<w:p>
<w:pPr><w:pStyle w:val="Normal"/></w:pPr>
<w:r><w:t xml:space="preserve">land for his own use in return for service rendered on the home</w:t></w:r>
</w:p>
<w:p>
<w:pPr><w:pStyle w:val="Normal"/></w:pPr>
<w:r><w:t xml:space="preserve">farm.  This is not altered by the fact that the conditions</w:t></w:r>
</w:p>
<w:p>
<w:pPr><w:pStyle w:val="Normal"/></w:pPr>
<w:r><w:t xml:space="preserve">approached those of slavery, that the villeins were adscripti</w:t></w:r>
</w:p>
<w:p>
<w:pPr><w:pStyle w:val="Normal"/></w:pPr>
<w:r><w:t xml:space="preserve">glebae, that in some cases their wives and sons were bequeathed</w:t></w:r>
</w:p>
<w:p>
<w:pPr><w:pStyle w:val="Normal"/></w:pPr>
<w:r><w:t xml:space="preserve">by deed to the service of religious houses, and that in many</w:t></w:r>
</w:p>
<w:p>
<w:pPr><w:pStyle w:val="Normal"/></w:pPr>
<w:r><w:t xml:space="preserve">other respects their freedom was limited.  Out of this, in</w:t></w:r>
</w:p>
<w:p>
<w:pPr><w:pStyle w:val="Normal"/></w:pPr>
<w:r><w:t xml:space="preserve">the course of centuries, was developed the system prevailing</w:t></w:r>
</w:p>
<w:p>
<w:pPr><w:pStyle w:val="Normal"/></w:pPr>
<w:r><w:t xml:space="preserve">to-day.  Lammas lands are indeed a survival from it.  There</w:t></w:r>
</w:p>
<w:p>
<w:pPr><w:pStyle w:val="Normal"/></w:pPr>
<w:r><w:t xml:space="preserve">are in the valley of the Lea, and close to London, to take one</w:t></w:r>
</w:p>
<w:p>
<w:pPr><w:pStyle w:val="Normal"/></w:pPr>
<w:r><w:t xml:space="preserve">example, lands allotted annually in little strips till the</w:t></w:r>
</w:p>
<w:p>
<w:pPr><w:pStyle w:val="Normal"/></w:pPr>
<w:r><w:t xml:space="preserve">crops are carried, when, the day being fixed by a reeve, the</w:t></w:r>
</w:p>
<w:p>
<w:pPr><w:pStyle w:val="Normal"/></w:pPr>
<w:r><w:t xml:space="preserve">land becomes a common pasture till the spring closing takes</w:t></w:r>
</w:p>
<w:p>
<w:pPr><w:pStyle w:val="Normal"/></w:pPr>
<w:r><w:t xml:space="preserve">place once more.  Perhaps the feature of this old system</w:t></w:r>
</w:p>
<w:p>
<w:pPr><w:pStyle w:val="Normal"/></w:pPr>
<w:r><w:t xml:space="preserve">that bears most directly on the question of allotments was</w:t></w:r>
</w:p>
<w:p>
<w:pPr><w:pStyle w:val="Normal"/></w:pPr>
<w:r><w:t xml:space="preserve">the treatment of the waste of the manor.  The lord, like his</w:t></w:r>
</w:p>
<w:p>
<w:pPr><w:pStyle w:val="Normal"/></w:pPr>
<w:r><w:t xml:space="preserve">tenants, was limited by custom as regards the number of</w:t></w:r>
</w:p>
<w:p>
<w:pPr><w:pStyle w:val="Normal"/></w:pPr>
<w:r><w:t xml:space="preserve">beasts he could graze on it.  After the havoc of the Black</w:t></w:r>
</w:p>
<w:p>
<w:pPr><w:pStyle w:val="Normal"/></w:pPr>
<w:r><w:t xml:space="preserve">Death in 1349, many changes were necessitated by the scarcity</w:t></w:r>
</w:p>
<w:p>
<w:pPr><w:pStyle w:val="Normal"/></w:pPr>
<w:r><w:t xml:space="preserve">and dearness of labour.  It became less unusual for land</w:t></w:r>
</w:p>
<w:p>
<w:pPr><w:pStyle w:val="Normal"/></w:pPr>
<w:r><w:t xml:space="preserve">to be let and for money payment to be accepted instead of</w:t></w:r>
</w:p>
<w:p>
<w:pPr><w:pStyle w:val="Normal"/></w:pPr>
<w:r><w:t xml:space="preserve">services.  There was a great demand for wool, and to conduct</w:t></w:r>
</w:p>
<w:p>
<w:pPr><w:pStyle w:val="Normal"/></w:pPr>
<w:r><w:t xml:space="preserve">sheep-farming on a large scale necessitated a re-arrangement</w:t></w:r>
</w:p>
<w:p>
<w:pPr><w:pStyle w:val="Normal"/></w:pPr>
<w:r><w:t xml:space="preserve">of the manor and the enclosure of many common fields under</w:t></w:r>
</w:p>
<w:p>
<w:pPr><w:pStyle w:val="Normal"/></w:pPr>
<w:r><w:t xml:space="preserve">the statute of Merton and the statute of Westminster the</w:t></w:r>
</w:p>
<w:p>
<w:pPr><w:pStyle w:val="Normal"/></w:pPr>
<w:r><w:t xml:space="preserve">Second.  Nevertheless, up to the 18th century, a vast proportion</w:t></w:r>
</w:p>
<w:p>
<w:pPr><w:pStyle w:val="Normal"/></w:pPr>
<w:r><w:t xml:space="preserve">of agricultural land was technically waste, on which rights</w:t></w:r>
</w:p>
<w:p>
<w:pPr><w:pStyle w:val="Normal"/></w:pPr>
<w:r><w:t xml:space="preserve">of common were exercised by yeomen, some of whom had acquired</w:t></w:r>
</w:p>
<w:p>
<w:pPr><w:pStyle w:val="Normal"/></w:pPr>
<w:r><w:t xml:space="preserve">holdings by the ordinary methods of purchase or inheritance,</w:t></w:r>
</w:p>
<w:p>
<w:pPr><w:pStyle w:val="Normal"/></w:pPr>
<w:r><w:t xml:space="preserve">while others had merely squatted and built a house on the</w:t></w:r>
</w:p>
<w:p>
<w:pPr><w:pStyle w:val="Normal"/></w:pPr>
<w:r><w:t xml:space="preserve">waste.  It is to this period that belongs a certain injustice</w:t></w:r>
</w:p>
<w:p>
<w:pPr><w:pStyle w:val="Normal"/></w:pPr>
<w:r><w:t xml:space="preserve">to which the peasantry were subject.  No reasonable doubt</w:t></w:r>
</w:p>
<w:p>
<w:pPr><w:pStyle w:val="Normal"/></w:pPr>
<w:r><w:t xml:space="preserve">can be entertained of the necessity of enclosure.  Husbandry,</w:t></w:r>
</w:p>
<w:p>
<w:pPr><w:pStyle w:val="Normal"/></w:pPr>
<w:r><w:t xml:space="preserve">after long stagnation, was making great advance; and among</w:t></w:r>
</w:p>
<w:p>
<w:pPr><w:pStyle w:val="Normal"/></w:pPr>
<w:r><w:t xml:space="preserve">others, Arthur Young raised his voice against the clumsy</w:t></w:r>
</w:p>
<w:p>
<w:pPr><w:pStyle w:val="Normal"/></w:pPr>
<w:r><w:t xml:space="preserve">inconvenient common fields that were the first to be enclosed.</w:t></w:r>
</w:p>
<w:p>
<w:pPr><w:pStyle w:val="Normal"/></w:pPr>
<w:r><w:t xml:space="preserve">Between 1709 and 1797 no fewer than 3110 acts, affecting, as</w:t></w:r>
</w:p>
<w:p>
<w:pPr><w:pStyle w:val="Normal"/></w:pPr>
<w:r><w:t xml:space="preserve">far as can be calculated, about 3,000,000 acres, were put into</w:t></w:r>
</w:p>
<w:p>
<w:pPr><w:pStyle w:val="Normal"/></w:pPr>
<w:r><w:t xml:space="preserve">operation.  They seem mostly to have been directed to the common</w:t></w:r>
</w:p>
<w:p>
<w:pPr><w:pStyle w:val="Normal"/></w:pPr>
<w:r><w:t xml:space="preserve">fields.  In the first half of the 19th century the movement</w:t></w:r>
</w:p>
<w:p>
<w:pPr><w:pStyle w:val="Normal"/></w:pPr>
<w:r><w:t xml:space="preserve">went on apace.  In a single year, 1801, no fewer than 119</w:t></w:r>
</w:p>
<w:p>
<w:pPr><w:pStyle w:val="Normal"/></w:pPr>
<w:r><w:t xml:space="preserve">acts were passed; and between 1801 and 1842 close on 2000</w:t></w:r>
</w:p>
<w:p>
<w:pPr><w:pStyle w:val="Normal"/></w:pPr>
<w:r><w:t xml:space="preserve">acts were passed---many of them expressly directed to the</w:t></w:r>
</w:p>
<w:p>
<w:pPr><w:pStyle w:val="Normal"/></w:pPr>
<w:r><w:t xml:space="preserve">enclosure of wastes and commons.  The same thing continued till</w:t></w:r>
</w:p>
<w:p>
<w:pPr><w:pStyle w:val="Normal"/></w:pPr>
<w:r><w:t xml:space="preserve">1860.  It touched the peasant directly and indirectly.  The</w:t></w:r>
</w:p>
<w:p>
<w:pPr><w:pStyle w:val="Normal"/></w:pPr>
<w:r><w:t xml:space="preserve">enclosure of the common fields proved most hurtful to the</w:t></w:r>
</w:p>
<w:p>
<w:pPr><w:pStyle w:val="Normal"/></w:pPr>
<w:r><w:t xml:space="preserve">small farmer; the enclosure of the waste injured the labourer</w:t></w:r>
</w:p>
<w:p>
<w:pPr><w:pStyle w:val="Normal"/></w:pPr>
<w:r><w:t xml:space="preserve">by depriving him, without adequate compensation, of such</w:t></w:r>
</w:p>
<w:p>
<w:pPr><w:pStyle w:val="Normal"/></w:pPr>
<w:r><w:t xml:space="preserve">useful privileges as the right to graze a cow, a pig, geese</w:t></w:r>
</w:p>
<w:p>
<w:pPr><w:pStyle w:val="Normal"/></w:pPr>
<w:r><w:t xml:space="preserve">or other small animals.  It also discouraged him by tending</w:t></w:r>
</w:p>
<w:p>
<w:pPr><w:pStyle w:val="Normal"/></w:pPr>
<w:r><w:t xml:space="preserve">to the extinction of small tenancies and freeholds that were</w:t></w:r>
</w:p>
<w:p>
<w:pPr><w:pStyle w:val="Normal"/></w:pPr>
<w:r><w:t xml:space="preserve">no longer workable at a profit when common rights ceased</w:t></w:r>
</w:p>
<w:p>
<w:pPr><w:pStyle w:val="Normal"/></w:pPr>
<w:r><w:t xml:space="preserve">to go with them.  The industrious labourer could previously</w:t></w:r>
</w:p>
<w:p>
<w:pPr><w:pStyle w:val="Normal"/></w:pPr>
<w:r><w:t xml:space="preserve">nourish a hope of bettering his condition by obtaining a small</w:t></w:r>
</w:p>
<w:p>
<w:pPr><w:pStyle w:val="Normal"/></w:pPr>
<w:r><w:t xml:space="preserve">holding.  Yet though the labourer suffered, impartial study</w:t></w:r>
</w:p>
<w:p>
<w:pPr><w:pStyle w:val="Normal"/></w:pPr>
<w:r><w:t xml:space="preserve">does not show any intentional injustice.  He held a very</w:t></w:r>
</w:p>
<w:p>
<w:pPr><w:pStyle w:val="Normal"/></w:pPr>
<w:r><w:t xml:space="preserve">weak position when those interested in a common affixed to</w:t></w:r>
</w:p>
<w:p>
<w:pPr><w:pStyle w:val="Normal"/></w:pPr>
<w:r><w:t xml:space="preserve">the church door a notice that they intended to petition.</w:t></w:r>
</w:p>
<w:p>
<w:pPr><w:pStyle w:val="Normal"/></w:pPr>
<w:r><w:t xml:space="preserve">As Mr Cowper (afterwards Lord Mount Temple) said in the</w:t></w:r>
</w:p>
<w:p>
<w:pPr><w:pStyle w:val="Normal"/></w:pPr>
<w:r><w:t xml:space="preserve">House of Commons on the 13th of March 1844, ``the course</w:t></w:r>
</w:p>
<w:p>
<w:pPr><w:pStyle w:val="Normal"/></w:pPr>
<w:r><w:t xml:space="preserve">adopted had been to compensate the owner of the cottage to</w:t></w:r>
</w:p>
<w:p>
<w:pPr><w:pStyle w:val="Normal"/></w:pPr>
<w:r><w:t xml:space="preserve">whom the common right belonged, forgetting the claims of</w:t></w:r>
</w:p>
<w:p>
<w:pPr><w:pStyle w:val="Normal"/></w:pPr>
<w:r><w:t xml:space="preserve">the occupier by whom they were enjoyed&apos;&apos;; and in the same</w:t></w:r>
</w:p>
<w:p>
<w:pPr><w:pStyle w:val="Normal"/></w:pPr>
<w:r><w:t xml:space="preserve">debate Sir Robert Peel pointed out that not only the rights</w:t></w:r>
</w:p>
<w:p>
<w:pPr><w:pStyle w:val="Normal"/></w:pPr>
<w:r><w:t xml:space="preserve">of the tenant, but those of his successors ought to have been</w:t></w:r>
</w:p>
<w:p>
<w:pPr><w:pStyle w:val="Normal"/></w:pPr>
<w:r><w:t xml:space="preserve">studied.  The course adopted divorced the labourer from the soil.</w:t></w:r>
</w:p>
<w:p>
<w:pPr><w:pStyle w:val="Normal"/></w:pPr>
<w:r><w:t xml:space="preserve">Parliament, as a matter of fact, had from a very early</w:t></w:r>
</w:p>
<w:p>
<w:pPr><w:pStyle w:val="Normal"/></w:pPr>
<w:r><w:t xml:space="preserve">period recognized the wisdom of contenting the peasant.</w:t></w:r>
</w:p>
<w:p>
<w:pPr><w:pStyle w:val="Normal"/></w:pPr>
<w:r><w:t xml:space="preserve">In the 14th century the labourer lived in rude abundance.</w:t></w:r>
</w:p>
<w:p>
<w:pPr><w:pStyle w:val="Normal"/></w:pPr>
<w:r><w:t xml:space="preserve">Next century a rural exodus began, owing to the practice of</w:t></w:r>
</w:p>
<w:p>
<w:pPr><w:pStyle w:val="Normal"/></w:pPr>
<w:r><w:t xml:space="preserve">enclosing the holdings and turning them into sheep walks.</w:t></w:r>
</w:p>
<w:p>
<w:pPr><w:pStyle w:val="Normal"/></w:pPr>
<w:r><w:t xml:space="preserve">In 1487 an act was passed enjoining landlords to ``keep up</w:t></w:r>
</w:p>
<w:p>
<w:pPr><w:pStyle w:val="Normal"/></w:pPr>
<w:r><w:t xml:space="preserve">houses of husbandry,&apos;&apos; and attach convenient land to them.</w:t></w:r>
</w:p>
<w:p>
<w:pPr><w:pStyle w:val="Normal"/></w:pPr>
<w:r><w:t xml:space="preserve">Within the next hundred years a number of similar attempts</w:t></w:r>
</w:p>
<w:p>
<w:pPr><w:pStyle w:val="Normal"/></w:pPr>
<w:r><w:t xml:space="preserve">were made to control what we may call the sheep fever of the</w:t></w:r>
</w:p>
<w:p>
<w:pPr><w:pStyle w:val="Normal"/></w:pPr>
<w:r><w:t xml:space="preserve">time.  Then we arrive at the reign of Elizabeth and the famous</w:t></w:r>
</w:p>
<w:p>
<w:pPr><w:pStyle w:val="Normal"/></w:pPr>
<w:r><w:t xml:space="preserve">Small Holdings Act passed in 1597--an anticipation of the</w:t></w:r>
</w:p>
<w:p>
<w:pPr><w:pStyle w:val="Normal"/></w:pPr>
<w:r><w:t xml:space="preserve">three-acres-and-a-cow policy advocated towards the end of</w:t></w:r>
</w:p>
<w:p>
<w:pPr><w:pStyle w:val="Normal"/></w:pPr>
<w:r><w:t xml:space="preserve">the 19th century.  It required that no person shall ``build,</w:t></w:r>
</w:p>
<w:p>
<w:pPr><w:pStyle w:val="Normal"/></w:pPr>
<w:r><w:t xml:space="preserve">convert or ordain any cottage for habitation or dwelling</w:t></w:r>
</w:p>
<w:p>
<w:pPr><w:pStyle w:val="Normal"/></w:pPr>
<w:r><w:t xml:space="preserve">for persons engaged in husbandry&apos;&apos; unless the owner ``do</w:t></w:r>
</w:p>
<w:p>
<w:pPr><w:pStyle w:val="Normal"/></w:pPr>
<w:r><w:t xml:space="preserve">assign and lay to the same cottage or building four acres of</w:t></w:r>
</w:p>
<w:p>
<w:pPr><w:pStyle w:val="Normal"/></w:pPr>
<w:r><w:t xml:space="preserve">ground at the least.&apos;&apos; It also provided against any ``inmate</w:t></w:r>
</w:p>
<w:p>
<w:pPr><w:pStyle w:val="Normal"/></w:pPr>
<w:r><w:t xml:space="preserve">or under-sitter&apos;&apos; being admitted to what was sacred to one</w:t></w:r>
</w:p>
<w:p>
<w:pPr><w:pStyle w:val="Normal"/></w:pPr>
<w:r><w:t xml:space="preserve">family.  This measure was not conceived in the spirit of</w:t></w:r>
</w:p>
<w:p>
<w:pPr><w:pStyle w:val="Normal"/></w:pPr>
<w:r><w:t xml:space="preserve">modern political economy, but it had the effect of staying</w:t></w:r>
</w:p>
<w:p>
<w:pPr><w:pStyle w:val="Normal"/></w:pPr>
<w:r><w:t xml:space="preserve">the rural exodus.  It was repealed in 1775 on the ground</w:t></w:r>
</w:p>
<w:p>
<w:pPr><w:pStyle w:val="Normal"/></w:pPr>
<w:r><w:t xml:space="preserve">that it restricted the building of cottages.  By that time</w:t></w:r>
</w:p>
<w:p>
<w:pPr><w:pStyle w:val="Normal"/></w:pPr>
<w:r><w:t xml:space="preserve">the modern feeling in favour of allotments had begun to</w:t></w:r>
</w:p>
<w:p>
<w:pPr><w:pStyle w:val="Normal"/></w:pPr>
<w:r><w:t xml:space="preserve">ripen, and it was contended that some compensation should be</w:t></w:r>
</w:p>
<w:p>
<w:pPr><w:pStyle w:val="Normal"/></w:pPr>
<w:r><w:t xml:space="preserve">made to the labourers for depriving them of the advantages</w:t></w:r>
</w:p>
<w:p>
<w:pPr><w:pStyle w:val="Normal"/></w:pPr>
<w:r><w:t xml:space="preserve">of the waste.  Up to then the English labouring rustic had</w:t></w:r>
</w:p>
<w:p>
<w:pPr><w:pStyle w:val="Normal"/></w:pPr>
<w:r><w:t xml:space="preserve">been very well off.  Food was abundant and cheap, so were</w:t></w:r>
</w:p>
<w:p>
<w:pPr><w:pStyle w:val="Normal"/></w:pPr>
<w:r><w:t xml:space="preserve">clothes and boots; he could graze his cow or pig on the</w:t></w:r>
</w:p>
<w:p>
<w:pPr><w:pStyle w:val="Normal"/></w:pPr>
<w:r><w:t xml:space="preserve">common, and also obtain fuel from it.  Now he fell on evil</w:t></w:r>
</w:p>
<w:p>
<w:pPr><w:pStyle w:val="Normal"/></w:pPr>
<w:r><w:t xml:space="preserve">days.  Prices rose, wages fell, privileges were lost, and in</w:t></w:r>
</w:p>
<w:p>
<w:pPr><w:pStyle w:val="Normal"/></w:pPr>
<w:r><w:t xml:space="preserve">many cases he had to sell the patch of land whose possession</w:t></w:r>
</w:p>
<w:p>
<w:pPr><w:pStyle w:val="Normal"/></w:pPr>
<w:r><w:t xml:space="preserve">made all the difference between hardship and comfort.  All</w:t></w:r>
</w:p>
<w:p>
<w:pPr><w:pStyle w:val="Normal"/></w:pPr>
<w:r><w:t xml:space="preserve">this was seen plainly enough both by statesmen and private</w:t></w:r>
</w:p>
<w:p>
<w:pPr><w:pStyle w:val="Normal"/></w:pPr>
<w:r><w:t xml:space="preserve">philanthropists.  One of the first experiments was described</w:t></w:r>
</w:p>
<w:p>
<w:pPr><w:pStyle w:val="Normal"/></w:pPr>
<w:r><w:t xml:space="preserve">by Sir John Sinclair in a note to the report of a select</w:t></w:r>
</w:p>
<w:p>
<w:pPr><w:pStyle w:val="Normal"/></w:pPr>
<w:r><w:t xml:space="preserve">committee of the House of Commons on waste lands in 1795.</w:t></w:r>
</w:p>
<w:p>
<w:pPr><w:pStyle w:val="Normal"/></w:pPr>
<w:r><w:t xml:space="preserve">About 1772 the lord of the manor of some commonable lands</w:t></w:r>
</w:p>
<w:p>
<w:pPr><w:pStyle w:val="Normal"/></w:pPr>
<w:r><w:t xml:space="preserve">near Tewkesbury had with great success set out 25 acres in</w:t></w:r>
</w:p>
<w:p>
<w:pPr><w:pStyle w:val="Normal"/></w:pPr>
<w:r><w:t xml:space="preserve">allotments for the use of some of the poor.  Sir John was very</w:t></w:r>
</w:p>
<w:p>
<w:pPr><w:pStyle w:val="Normal"/></w:pPr>
<w:r><w:t xml:space="preserve">much struck with the result, and so heartily applauded the idea</w:t></w:r>
</w:p>
<w:p>
<w:pPr><w:pStyle w:val="Normal"/></w:pPr>
<w:r><w:t xml:space="preserve">that the committee recommended that any general enclosure bill</w:t></w:r>
</w:p>
<w:p>
<w:pPr><w:pStyle w:val="Normal"/></w:pPr>
<w:r><w:t xml:space="preserve">should have a clause in it providing for ``the accommodation</w:t></w:r>
</w:p>
<w:p>
<w:pPr><w:pStyle w:val="Normal"/></w:pPr>
<w:r><w:t xml:space="preserve">of land.&apos;&apos; Sir Thomas Bernard and W. Wilberforce took an</w:t></w:r>
</w:p>
<w:p>
<w:pPr><w:pStyle w:val="Normal"/></w:pPr>
<w:r><w:t xml:space="preserve">active part in advocating the principle of allotments, on the</w:t></w:r>
</w:p>
<w:p>
<w:pPr><w:pStyle w:val="Normal"/></w:pPr>
<w:r><w:t xml:space="preserve">ground, to summarize their argument in language employed</w:t></w:r>
</w:p>
<w:p>
<w:pPr><w:pStyle w:val="Normal"/></w:pPr>
<w:r><w:t xml:space="preserve">later by a witness before the House of Commons, that ``it</w:t></w:r>
</w:p>
<w:p>
<w:pPr><w:pStyle w:val="Normal"/></w:pPr>
<w:r><w:t xml:space="preserve">keeps the cottagers buoyant and makes them industrious.&apos;&apos; In</w:t></w:r>
</w:p>
<w:p>
<w:pPr><w:pStyle w:val="Normal"/></w:pPr>
<w:r><w:t xml:space="preserve">1806, at the suggestion of the rector, a clause assigning an</w:t></w:r>
</w:p>
<w:p>
<w:pPr><w:pStyle w:val="Normal"/></w:pPr>
<w:r><w:t xml:space="preserve">allotment of half an acre to every cottage was inserted in an</w:t></w:r>
</w:p>
<w:p>
<w:pPr><w:pStyle w:val="Normal"/></w:pPr>
<w:r><w:t xml:space="preserve">enclosure bill Wiltshire.  This was done, ``and the example</w:t></w:r>
</w:p>
<w:p>
<w:pPr><w:pStyle w:val="Normal"/></w:pPr>
<w:r><w:t xml:space="preserve">was followed by nearly every adjoining parish in that part of</w:t></w:r>
</w:p>
<w:p>
<w:pPr><w:pStyle w:val="Normal"/></w:pPr>
<w:r><w:t xml:space="preserve">Wiltshire.  Passing over several praiseworthy establishments</w:t></w:r>
</w:p>
<w:p>
<w:pPr><w:pStyle w:val="Normal"/></w:pPr>
<w:r><w:t xml:space="preserve">of allotments by private persons, we come to 1819, when</w:t></w:r>
</w:p>
<w:p>
<w:pPr><w:pStyle w:val="Normal"/></w:pPr>
<w:r><w:t xml:space="preserve">parliament passed an act akin in spirit to several that came</w:t></w:r>
</w:p>
<w:p>
<w:pPr><w:pStyle w:val="Normal"/></w:pPr>
<w:r><w:t xml:space="preserve">into existence during the later portion of the Victorian</w:t></w:r>
</w:p>
<w:p>
<w:pPr><w:pStyle w:val="Normal"/></w:pPr>
<w:r><w:t xml:space="preserve">era.  It empowered the churchwardens and overseers of any</w:t></w:r>
</w:p>
<w:p>
<w:pPr><w:pStyle w:val="Normal"/></w:pPr>
<w:r><w:t xml:space="preserve">parish, with the consent of the vestry, to purchase or hire</w:t></w:r>
</w:p>
<w:p>
<w:pPr><w:pStyle w:val="Normal"/></w:pPr>
<w:r><w:t xml:space="preserve">land not exceeding 25 acres, and to let it in portions to</w:t></w:r>
</w:p>
<w:p>
<w:pPr><w:pStyle w:val="Normal"/></w:pPr>
<w:r><w:t xml:space="preserve">``any poor and industrious inhabitant of the parish.&apos;&apos; This</w:t></w:r>
</w:p>
<w:p>
<w:pPr><w:pStyle w:val="Normal"/></w:pPr>
<w:r><w:t xml:space="preserve">was amended in 1831 by an act extending the quantity of land</w:t></w:r>
</w:p>
<w:p>
<w:pPr><w:pStyle w:val="Normal"/></w:pPr>
<w:r><w:t xml:space="preserve">enable the same authorities to enclose from any waste or</w:t></w:r>
</w:p>
<w:p>
<w:pPr><w:pStyle w:val="Normal"/></w:pPr>
<w:r><w:t xml:space="preserve">common, land not exceeding 50 acres to be devoted to the same</w:t></w:r>
</w:p>
<w:p>
<w:pPr><w:pStyle w:val="Normal"/></w:pPr>
<w:r><w:t xml:space="preserve">purpose.  This was followed next year by an act relating to</w:t></w:r>
</w:p>
<w:p>
<w:pPr><w:pStyle w:val="Normal"/></w:pPr>
<w:r><w:t xml:space="preserve">fuel, and in 1834 the Poor Law Commissioners reported favourably</w:t></w:r>
</w:p>
<w:p>
<w:pPr><w:pStyle w:val="Normal"/></w:pPr>
<w:r><w:t xml:space="preserve">on the principle of granting allotments.  In 1843 an important</w:t></w:r>
</w:p>
<w:p>
<w:pPr><w:pStyle w:val="Normal"/></w:pPr>
<w:r><w:t xml:space="preserve">inquiry into the subject was made by a committee of the House of</w:t></w:r>
</w:p>
<w:p>
<w:pPr><w:pStyle w:val="Normal"/></w:pPr>
<w:r><w:t xml:space="preserve">Commons, which produced a number of valuable suggestions.  One</w:t></w:r>
</w:p>
<w:p>
<w:pPr><w:pStyle w:val="Normal"/></w:pPr>
<w:r><w:t xml:space="preserve">consequence was the bill of 1845, brought into parliament by Mr</w:t></w:r>
</w:p>
<w:p>
<w:pPr><w:pStyle w:val="Normal"/></w:pPr>
<w:r><w:t xml:space="preserve">Cowper.  It passed the House of Commons; and there Mr Bright</w:t></w:r>
</w:p>
<w:p>
<w:pPr><w:pStyle w:val="Normal"/></w:pPr>
<w:r><w:t xml:space="preserve">made a remark that probably summarized a general opinion, since</w:t></w:r>
</w:p>
<w:p>
<w:pPr><w:pStyle w:val="Normal"/></w:pPr>
<w:r><w:t xml:space="preserve">it never came to a third reading in the House of Lords.  He</w:t></w:r>
</w:p>
<w:p>
<w:pPr><w:pStyle w:val="Normal"/></w:pPr>
<w:r><w:t xml:space="preserve">said that ``the voluntary system of arrangement would do all the</w:t></w:r>
</w:p>
<w:p>
<w:pPr><w:pStyle w:val="Normal"/></w:pPr>
<w:r><w:t xml:space="preserve">good that was expected to accrue from the allotment system.&apos;&apos;</w:t></w:r>
</w:p>
<w:p>
<w:pPr><w:pStyle w:val="Normal"/></w:pPr>
<w:r><w:t xml:space="preserve">At this point in the history of the movement it may be as</w:t></w:r>
</w:p>
<w:p>
<w:pPr><w:pStyle w:val="Normal"/></w:pPr>
<w:r><w:t xml:space="preserve">well to cause and ask what was the net result of so much</w:t></w:r>
</w:p>
<w:p>
<w:pPr><w:pStyle w:val="Normal"/></w:pPr>
<w:r><w:t xml:space="preserve">legislation and benevolent action.  Messrs Tremenheere and</w:t></w:r>
</w:p>
<w:p>
<w:pPr><w:pStyle w:val="Normal"/></w:pPr>
<w:r><w:t xml:space="preserve">Tufnall, who prefixed an admirable epitome of what had been</w:t></w:r>
</w:p>
<w:p>
<w:pPr><w:pStyle w:val="Normal"/></w:pPr>
<w:r><w:t xml:space="preserve">done to the report of the commission ``appointed to inquire</w:t></w:r>
</w:p>
<w:p>
<w:pPr><w:pStyle w:val="Normal"/></w:pPr>
<w:r><w:t xml:space="preserve">into the employment of women, young persons and children in</w:t></w:r>
</w:p>
<w:p>
<w:pPr><w:pStyle w:val="Normal"/></w:pPr>
<w:r><w:t xml:space="preserve">agriculture&apos;&apos; (1867), expressed considerable disappointment.</w:t></w:r>
</w:p>
<w:p>
<w:pPr><w:pStyle w:val="Normal"/></w:pPr>
<w:r><w:t xml:space="preserve">Between 1710 and 1867, 7,660,413 statute acres were added to</w:t></w:r>
</w:p>
<w:p>
<w:pPr><w:pStyle w:val="Normal"/></w:pPr>
<w:r><w:t xml:space="preserve">the cultivated area of England and Wales, or about one-third of</w:t></w:r>
</w:p>
<w:p>
<w:pPr><w:pStyle w:val="Normal"/></w:pPr>
<w:r><w:t xml:space="preserve">the area in cultivation at the latter date; and of this total,</w:t></w:r>
</w:p>
<w:p>
<w:pPr><w:pStyle w:val="Normal"/></w:pPr>
<w:r><w:t xml:space="preserve">484,893 acres were enclosed between 1845 and 1867.  Of the</w:t></w:r>
</w:p>
<w:p>
<w:pPr><w:pStyle w:val="Normal"/></w:pPr>
<w:r><w:t xml:space="preserve">latter, only 2119 acres were assigned as public allotments for</w:t></w:r>
</w:p>
<w:p>
<w:pPr><w:pStyle w:val="Normal"/></w:pPr>
<w:r><w:t xml:space="preserve">gardens to the labouring poor.  It was found to be the case,</w:t></w:r>
</w:p>
<w:p>
<w:pPr><w:pStyle w:val="Normal"/></w:pPr>
<w:r><w:t xml:space="preserve">as it is now, that land was taken up more readily when offered</w:t></w:r>
</w:p>
<w:p>
<w:pPr><w:pStyle w:val="Normal"/></w:pPr>
<w:r><w:t xml:space="preserve">privately and voluntarily than when it came through offcial</w:t></w:r>
</w:p>
<w:p>
<w:pPr><w:pStyle w:val="Normal"/></w:pPr>
<w:r><w:t xml:space="preserve">sources.  Meanwhile competent and thoughtful men saw well that</w:t></w:r>
</w:p>
<w:p>
<w:pPr><w:pStyle w:val="Normal"/></w:pPr>
<w:r><w:t xml:space="preserve">the sullen discontent of the peasantry continued, in Lord Bacon&apos;s</w:t></w:r>
</w:p>
<w:p>
<w:pPr><w:pStyle w:val="Normal"/></w:pPr>
<w:r><w:t xml:space="preserve">phrase, to threaten ``the might and manhood of the kingdom.&apos;&apos;</w:t></w:r>
</w:p>
<w:p>
<w:pPr><w:pStyle w:val="Normal"/></w:pPr>
<w:r><w:t xml:space="preserve">It had existed since the beginning of the Napoleonic wars,</w:t></w:r>
</w:p>
<w:p>
<w:pPr><w:pStyle w:val="Normal"/></w:pPr>
<w:r><w:t xml:space="preserve">and had become more articulate with the spread of education.</w:t></w:r>
</w:p>
<w:p>
<w:pPr><w:pStyle w:val="Normal"/></w:pPr>
<w:r><w:t xml:space="preserve">We shall see a consciousness of its presence rehected in the</w:t></w:r>
</w:p>
<w:p>
<w:pPr><w:pStyle w:val="Normal"/></w:pPr>
<w:r><w:t xml:space="preserve">minds of statesmen and politicians as we briefly examine the</w:t></w:r>
</w:p>
<w:p>
<w:pPr><w:pStyle w:val="Normal"/></w:pPr>
<w:r><w:t xml:space="preserve">later phase of the movement.  This found expression in the</w:t></w:r>
</w:p>
<w:p>
<w:pPr><w:pStyle w:val="Normal"/></w:pPr>
<w:r><w:t xml:space="preserve">clauses against enclosure introduced by Lord Beaconsheld in</w:t></w:r>
</w:p>
<w:p>
<w:pPr><w:pStyle w:val="Normal"/></w:pPr>
<w:r><w:t xml:space="preserve">1876, and gave force to the three-acres-and-a-cow agitation,</w:t></w:r>
</w:p>
<w:p>
<w:pPr><w:pStyle w:val="Normal"/></w:pPr>
<w:r><w:t xml:space="preserve">of which the more prominent leaders were Joseph Arch and Jesse</w:t></w:r>
</w:p>
<w:p>
<w:pPr><w:pStyle w:val="Normal"/></w:pPr>
<w:r><w:t xml:space="preserve">Collings.  In 1882 the Allotments Extension Act was passed,</w:t></w:r>
</w:p>
<w:p>
<w:pPr><w:pStyle w:val="Normal"/></w:pPr>
<w:r><w:t xml:space="preserve">the object of which was to let the parishioners have charity</w:t></w:r>
</w:p>
<w:p>
<w:pPr><w:pStyle w:val="Normal"/></w:pPr>
<w:r><w:t xml:space="preserve">land in allotments, provided it or the revenue from it was</w:t></w:r>
</w:p>
<w:p>
<w:pPr><w:pStyle w:val="Normal"/></w:pPr>
<w:r><w:t xml:space="preserve">not used for apprenticeshio, ecclesiastical or educational</w:t></w:r>
</w:p>
<w:p>
<w:pPr><w:pStyle w:val="Normal"/></w:pPr>
<w:r><w:t xml:space="preserve">purposes.  A committee of the House of Commons, appointed</w:t></w:r>
</w:p>
<w:p>
<w:pPr><w:pStyle w:val="Normal"/></w:pPr>
<w:r><w:t xml:space="preserve">in 1885 to inquire into the housing of the working classes,</w:t></w:r>
</w:p>
<w:p>
<w:pPr><w:pStyle w:val="Normal"/></w:pPr>
<w:r><w:t xml:space="preserve">reported strongly in favour of allotments, and this was followed</w:t></w:r>
</w:p>
<w:p>
<w:pPr><w:pStyle w:val="Normal"/></w:pPr>
<w:r><w:t xml:space="preserve">in 1887 by the Allotments Act---the first measure in which the</w:t></w:r>
</w:p>
<w:p>
<w:pPr><w:pStyle w:val="Normal"/></w:pPr>
<w:r><w:t xml:space="preserve">principle of compulsory acquisition was admitted in regard to</w:t></w:r>
</w:p>
<w:p>
<w:pPr><w:pStyle w:val="Normal"/></w:pPr>
<w:r><w:t xml:space="preserve">other than charity lands.  Its administration was first given</w:t></w:r>
</w:p>
<w:p>
<w:pPr><w:pStyle w:val="Normal"/></w:pPr>
<w:r><w:t xml:space="preserve">to the sanitary authority, but passed to the district councils</w:t></w:r>
</w:p>
<w:p>
<w:pPr><w:pStyle w:val="Normal"/></w:pPr>
<w:r><w:t xml:space="preserve">when these bodies were established in 1894. the local body</w:t></w:r>
</w:p>
<w:p>
<w:pPr><w:pStyle w:val="Normal"/></w:pPr>
<w:r><w:t xml:space="preserve">is empowered to hire or purchase suitable land, and if they</w:t></w:r>
</w:p>
<w:p>
<w:pPr><w:pStyle w:val="Normal"/></w:pPr>
<w:r><w:t xml:space="preserve">do not find any in the market they are to petition the county</w:t></w:r>
</w:p>
<w:p>
<w:pPr><w:pStyle w:val="Normal"/></w:pPr>
<w:r><w:t xml:space="preserve">council, which after due inquiry may issue a provisional</w:t></w:r>
</w:p>
<w:p>
<w:pPr><w:pStyle w:val="Normal"/></w:pPr>
<w:r><w:t xml:space="preserve">order compeihng owners to sell land, and the Local Government</w:t></w:r>
</w:p>
<w:p>
<w:pPr><w:pStyle w:val="Normal"/></w:pPr>
<w:r><w:t xml:space="preserve">Board may introduce a bill into parliament to confirm the</w:t></w:r>
</w:p>
<w:p>
<w:pPr><w:pStyle w:val="Normal"/></w:pPr>
<w:r><w:t xml:space="preserve">order.  It was found that the sanitary authority did not</w:t></w:r>
</w:p>
<w:p>
<w:pPr><w:pStyle w:val="Normal"/></w:pPr>
<w:r><w:t xml:space="preserve">carry out the scheme, and in 1890 another act was passed</w:t></w:r>
</w:p>
<w:p>
<w:pPr><w:pStyle w:val="Normal"/></w:pPr>
<w:r><w:t xml:space="preserve">for the purpose of allowing applicants for allotments, when</w:t></w:r>
</w:p>
<w:p>
<w:pPr><w:pStyle w:val="Normal"/></w:pPr>
<w:r><w:t xml:space="preserve">the sanitary authority failed to provide land, to appeal to</w:t></w:r>
</w:p>
<w:p>
<w:pPr><w:pStyle w:val="Normal"/></w:pPr>
<w:r><w:t xml:space="preserve">the county council.  Judging from the evidence laid before</w:t></w:r>
</w:p>
<w:p>
<w:pPr><w:pStyle w:val="Normal"/></w:pPr>
<w:r><w:t xml:space="preserve">the commission on agricultural depression (1894), the act of</w:t></w:r>
</w:p>
<w:p>
<w:pPr><w:pStyle w:val="Normal"/></w:pPr>
<w:r><w:t xml:space="preserve">1887 was not a conspicuous success.  Most of the witnesses</w:t></w:r>
</w:p>
<w:p>
<w:pPr><w:pStyle w:val="Normal"/></w:pPr>
<w:r><w:t xml:space="preserve">reported in such terms as these---``the Allotments Act has</w:t></w:r>
</w:p>
<w:p>
<w:pPr><w:pStyle w:val="Normal"/></w:pPr>
<w:r><w:t xml:space="preserve">been quite inoperative in Cornwall&apos;&apos;; ``the act has been a</w:t></w:r>
</w:p>
<w:p>
<w:pPr><w:pStyle w:val="Normal"/></w:pPr>
<w:r><w:t xml:space="preserve">dead letter in the district (Wigtownshire)&apos;&apos;; ``the Allotments</w:t></w:r>
</w:p>
<w:p>
<w:pPr><w:pStyle w:val="Normal"/></w:pPr>
<w:r><w:t xml:space="preserve">Act has not been in operation in Flintshire&apos;&apos;; ``nothing has</w:t></w:r>
</w:p>
<w:p>
<w:pPr><w:pStyle w:val="Normal"/></w:pPr>
<w:r><w:t xml:space="preserve">been done in the district of Pembrokeshire under the act.&apos;&apos;</w:t></w:r>
</w:p>
<w:p>
<w:pPr><w:pStyle w:val="Normal"/></w:pPr>
<w:r><w:t xml:space="preserve">No evidence whatever was adduced to show that in a single</w:t></w:r>
</w:p>
<w:p>
<w:pPr><w:pStyle w:val="Normal"/></w:pPr>
<w:r><w:t xml:space="preserve">district a different state of things had to be recorded.</w:t></w:r>
</w:p>
<w:p>
<w:pPr><w:pStyle w:val="Normal"/></w:pPr>
<w:r><w:t xml:space="preserve">From a return presented by the Local Government Board to</w:t></w:r>
</w:p>
<w:p>
<w:pPr><w:pStyle w:val="Normal"/></w:pPr>
<w:r><w:t xml:space="preserve">parliament in 1896 we learn that eighty-three rural sanitary</w:t></w:r>
</w:p>
<w:p>
<w:pPr><w:pStyle w:val="Normal"/></w:pPr>
<w:r><w:t xml:space="preserve">authorities had acquired land for allotment prior to the 28th</w:t></w:r>
</w:p>
<w:p>
<w:pPr><w:pStyle w:val="Normal"/></w:pPr>
<w:r><w:t xml:space="preserve">of December 1894, the date at which these authorities ceased</w:t></w:r>
</w:p>
<w:p>
<w:pPr><w:pStyle w:val="Normal"/></w:pPr>
<w:r><w:t xml:space="preserve">to exist under the provisions of the Local Government Act</w:t></w:r>
</w:p>
<w:p>
<w:pPr><w:pStyle w:val="Normal"/></w:pPr>
<w:r><w:t xml:space="preserve">1894.  Land was acquired by compulsory purchase in only one</w:t></w:r>
</w:p>
<w:p>
<w:pPr><w:pStyle w:val="Normal"/></w:pPr>
<w:r><w:t xml:space="preserve">parish; by purchase or agreement in eighteen parishes; by hire</w:t></w:r>
</w:p>
<w:p>
<w:pPr><w:pStyle w:val="Normal"/></w:pPr>
<w:r><w:t xml:space="preserve">by agreement in 132 parishes.  The total acreage dealt with</w:t></w:r>
</w:p>
<w:p>
<w:pPr><w:pStyle w:val="Normal"/></w:pPr>
<w:r><w:t xml:space="preserve">was 1836 acres 1 rood 34 poles, and the total number of tenants</w:t></w:r>
</w:p>
<w:p>
<w:pPr><w:pStyle w:val="Normal"/></w:pPr>
<w:r><w:t xml:space="preserve">4711.  The number of county councils that up to the same</w:t></w:r>
</w:p>
<w:p>
<w:pPr><w:pStyle w:val="Normal"/></w:pPr>
<w:r><w:t xml:space="preserve">date had acquired land was twelve, and they had done so by</w:t></w:r>
</w:p>
<w:p>
<w:pPr><w:pStyle w:val="Normal"/></w:pPr>
<w:r><w:t xml:space="preserve">compulsory purchase in one parish, by purchase or agreement</w:t></w:r>
</w:p>
<w:p>
<w:pPr><w:pStyle w:val="Normal"/></w:pPr>
<w:r><w:t xml:space="preserve">in five parishes, by hire by agreement in twenty-four</w:t></w:r>
</w:p>
<w:p>
<w:pPr><w:pStyle w:val="Normal"/></w:pPr>
<w:r><w:t xml:space="preserve">parishes.  The total area dealt with was only 413 acres 1 rood 5</w:t></w:r>
</w:p>
<w:p>
<w:pPr><w:pStyle w:val="Normal"/></w:pPr>
<w:r><w:t xml:space="preserve">poles, and the total number of tenants 825.The complete totals</w:t></w:r>
</w:p>
<w:p>
<w:pPr><w:pStyle w:val="Normal"/></w:pPr>
<w:r><w:t xml:space="preserve">affected at the date of the return (August 21, 1895) by the</w:t></w:r>
</w:p>
<w:p>
<w:pPr><w:pStyle w:val="Normal"/></w:pPr>
<w:r><w:t xml:space="preserve">acts, therefore, were 2249 acres 2 roods 29 poles, and 5536</w:t></w:r>
</w:p>
<w:p>
<w:pPr><w:pStyle w:val="Normal"/></w:pPr>
<w:r><w:t xml:space="preserve">tenants.  A considerable extension has taken place since.</w:t></w:r>
</w:p>
<w:p>
<w:pPr><w:pStyle w:val="Normal"/></w:pPr>
<w:r><w:t xml:space="preserve">The Small Holdings Act introduced by Mr Henry Chaplin, and</w:t></w:r>
</w:p>
<w:p>
<w:pPr><w:pStyle w:val="Normal"/></w:pPr>
<w:r><w:t xml:space="preserve">passed by parliament in 1892 was an attempt to appease the rural</w:t></w:r>
</w:p>
<w:p>
<w:pPr><w:pStyle w:val="Normal"/></w:pPr>
<w:r><w:t xml:space="preserve">discontent that had been seething for some time past and was</w:t></w:r>
</w:p>
<w:p>
<w:pPr><w:pStyle w:val="Normal"/></w:pPr>
<w:r><w:t xml:space="preserve">silently but most eloquently expressed in a steady migration</w:t></w:r>
</w:p>
<w:p>
<w:pPr><w:pStyle w:val="Normal"/></w:pPr>
<w:r><w:t xml:space="preserve">from the villages.  The object of this measure was to help the</w:t></w:r>
</w:p>
<w:p>
<w:pPr><w:pStyle w:val="Normal"/></w:pPr>
<w:r><w:t xml:space="preserve">deserving labouring man to acquire a small holding, that is to</w:t></w:r>
</w:p>
<w:p>
<w:pPr><w:pStyle w:val="Normal"/></w:pPr>
<w:r><w:t xml:space="preserve">say, a portion of land not less than one acre or more than</w:t></w:r>
</w:p>
<w:p>
<w:pPr><w:pStyle w:val="Normal"/></w:pPr>
<w:r><w:t xml:space="preserve">fifty acres in extent and of an annual value not exceeding</w:t></w:r>
</w:p>
<w:p>
<w:pPr><w:pStyle w:val="Heading1"/></w:pPr>
<w:r><w:t>L. 50.  It is not necessary here to describe the legal steps</w:t></w:r>
</w:p>
<w:p>
<w:pPr><w:pStyle w:val="Normal"/></w:pPr>
<w:r><w:t xml:space="preserve">by which this was to be accomplished.  The essence of the</w:t></w:r>
</w:p>
<w:p>
<w:pPr><w:pStyle w:val="Normal"/></w:pPr>
<w:r><w:t xml:space="preserve">bargain was that a fifth of the purchase money should be paid</w:t></w:r>
</w:p>
<w:p>
<w:pPr><w:pStyle w:val="Normal"/></w:pPr>
<w:r><w:t xml:space="preserve">down, and the remainder in half-yearly instalments spread</w:t></w:r>
</w:p>
<w:p>
<w:pPr><w:pStyle w:val="Normal"/></w:pPr>
<w:r><w:t xml:space="preserve">over a period not exceeding fifty years.  But if the local</w:t></w:r>
</w:p>
<w:p>
<w:pPr><w:pStyle w:val="Normal"/></w:pPr>
<w:r><w:t xml:space="preserve">authority thought fit a portion of the purchase money, not</w:t></w:r>
</w:p>
<w:p>
<w:pPr><w:pStyle w:val="Normal"/></w:pPr>
<w:r><w:t xml:space="preserve">exceeding one-fourth. might remain unpaid, and be secured by</w:t></w:r>
</w:p>
<w:p>
<w:pPr><w:pStyle w:val="Normal"/></w:pPr>
<w:r><w:t xml:space="preserve">a perpetual rent charge upon the holding.  It cannot be said</w:t></w:r>
</w:p>
<w:p>
<w:pPr><w:pStyle w:val="Normal"/></w:pPr>
<w:r><w:t xml:space="preserve">that this act has attained the object for which it was drawn</w:t></w:r>
</w:p>
<w:p>
<w:pPr><w:pStyle w:val="Normal"/></w:pPr>
<w:r><w:t xml:space="preserve">up.  From a return made to the House of Commons in 1895 it</w:t></w:r>
</w:p>
<w:p>
<w:pPr><w:pStyle w:val="Normal"/></w:pPr>
<w:r><w:t xml:space="preserve">was shown that eight county councils had acquired land under</w:t></w:r>
</w:p>
<w:p>
<w:pPr><w:pStyle w:val="Normal"/></w:pPr>
<w:r><w:t xml:space="preserve">the Small Holdings Act, which amounted in the aggregate to 483</w:t></w:r>
</w:p>
<w:p>
<w:pPr><w:pStyle w:val="Normal"/></w:pPr>
<w:r><w:t xml:space="preserve">acres.  A further return was made in 1903, which showed that</w:t></w:r>
</w:p>
<w:p>
<w:pPr><w:pStyle w:val="Normal"/></w:pPr>
<w:r><w:t xml:space="preserve">the total quantity of land acquired from the commencement</w:t></w:r>
</w:p>
<w:p>
<w:pPr><w:pStyle w:val="Normal"/></w:pPr>
<w:r><w:t xml:space="preserve">of the act up to the end of 1902 was only 652 acres.</w:t></w:r>
</w:p>
<w:p>
<w:pPr><w:pStyle w:val="Normal"/></w:pPr>
<w:r><w:t xml:space="preserve">It is, however, an English characteristic to prefer private</w:t></w:r>
</w:p>
<w:p>
<w:pPr><w:pStyle w:val="Normal"/></w:pPr>
<w:r><w:t xml:space="preserve">to public arrangements, and probably a very great majority</w:t></w:r>
</w:p>
<w:p>
<w:pPr><w:pStyle w:val="Normal"/></w:pPr>
<w:r><w:t xml:space="preserve">of the allotments and small holdings cultivated in 1907 were</w:t></w:r>
</w:p>
<w:p>
<w:pPr><w:pStyle w:val="Normal"/></w:pPr>
<w:r><w:t xml:space="preserve">due to individual initiative.  There are no means of arriving</w:t></w:r>
</w:p>
<w:p>
<w:pPr><w:pStyle w:val="Normal"/></w:pPr>
<w:r><w:t xml:space="preserve">at the exact figures, but data exist whereby it is at least</w:t></w:r>
</w:p>
<w:p>
<w:pPr><w:pStyle w:val="Normal"/></w:pPr>
<w:r><w:t xml:space="preserve">possible to form some rough idea of them.  It is not the custom</w:t></w:r>
</w:p>
<w:p>
<w:pPr><w:pStyle w:val="Normal"/></w:pPr>
<w:r><w:t xml:space="preserve">to give in the annual agricultural returns any statement of</w:t></w:r>
</w:p>
<w:p>
<w:pPr><w:pStyle w:val="Normal"/></w:pPr>
<w:r><w:t xml:space="preserve">the manner in which land is held, and the information is to</w:t></w:r>
</w:p>
<w:p>
<w:pPr><w:pStyle w:val="Normal"/></w:pPr>
<w:r><w:t xml:space="preserve">be found in the returns presented to parliament from time to</w:t></w:r>
</w:p>
<w:p>
<w:pPr><w:pStyle w:val="Normal"/></w:pPr>
<w:r><w:t xml:space="preserve">time.  From the following table, which includes both the</w:t></w:r>
</w:p>
<w:p>
<w:pPr><w:pStyle w:val="Normal"/></w:pPr>
<w:r><w:t xml:space="preserve">holdings owned and tenanted, it will be seen that between</w:t></w:r>
</w:p>
<w:p>
<w:pPr><w:pStyle w:val="Normal"/></w:pPr>
<w:r><w:t xml:space="preserve">1895 and 1904 the tendency was for the holdings to decrease</w:t></w:r>
</w:p>
<w:p>
<w:pPr><w:pStyle w:val="Normal"/></w:pPr>
<w:r><w:t xml:space="preserve">in number; while the holdings of from 50 to 300 acres slightly</w:t></w:r>
</w:p>
<w:p>
<w:pPr><w:pStyle w:val="Normal"/></w:pPr>
<w:r><w:t xml:space="preserve">increased, those from 5 to 50 acres were almost stationary,</w:t></w:r>
</w:p>
<w:p>
<w:pPr><w:pStyle w:val="Normal"/></w:pPr>
<w:r><w:t xml:space="preserve">and there was a decrease in those between 1 and 5 acres.</w:t></w:r>
</w:p>
<w:p>
<w:pPr><w:pStyle w:val="Normal"/></w:pPr>
<w:r><w:t xml:space="preserve">1895.                     1904.</w:t></w:r>
</w:p>
<w:p>
<w:pPr><w:pStyle w:val="Normal"/></w:pPr>
<w:r><w:t xml:space="preserve">Number.    Per cent.      Number.    Per cent.</w:t></w:r>
</w:p>
<w:p>
<w:pPr><w:pStyle w:val="Normal"/></w:pPr>
<w:r><w:t xml:space="preserve">1 to    5 acres     117,968       22.68        110,974      21.69</w:t></w:r>
</w:p>
<w:p>
<w:pPr><w:pStyle w:val="Normal"/></w:pPr>
<w:r><w:t xml:space="preserve">5 to   50 &apos;&apos;        235,481       45.28        232,470      45.44</w:t></w:r>
</w:p>
<w:p>
<w:pPr><w:pStyle w:val="Normal"/></w:pPr>
<w:r><w:t xml:space="preserve">50 to 300 &apos;&apos;        147,870       28.43        150,050      29.33</w:t></w:r>
</w:p>
<w:p>
<w:pPr><w:pStyle w:val="Normal"/></w:pPr>
<w:r><w:t xml:space="preserve">Above 300 &apos;&apos;         18,787        3.61         18,084       3.54</w:t></w:r>
</w:p>
<w:p>
<w:pPr><w:pStyle w:val="Normal"/></w:pPr>
<w:r><w:t xml:space="preserve">These figures become doubly instructive when considered in</w:t></w:r>
</w:p>
<w:p>
<w:pPr><w:pStyle w:val="Normal"/></w:pPr>
<w:r><w:t xml:space="preserve">connexion with the decline of the strictly rural population.</w:t></w:r>
</w:p>
<w:p>
<w:pPr><w:pStyle w:val="Normal"/></w:pPr>
<w:r><w:t xml:space="preserve">It will, therefore, be useful to place beside them a summary</w:t></w:r>
</w:p>
<w:p>
<w:pPr><w:pStyle w:val="Normal"/></w:pPr>
<w:r><w:t xml:space="preserve">published in a report on the decline of rural population in Great</w:t></w:r>
</w:p>
<w:p>
<w:pPr><w:pStyle w:val="Normal"/></w:pPr>
<w:r><w:t xml:space="preserve">Britain issued by the Board of Agriculture and Fisheries in 1906.</w:t></w:r>
</w:p>
<w:p>
<w:pPr><w:pStyle w:val="Normal"/></w:pPr>
<w:r><w:t xml:space="preserve">Class.          1881.     1891.     1901.     Increase (+) or Decrease (-)</w:t></w:r>
</w:p>
<w:p>
<w:pPr><w:pStyle w:val="Normal"/></w:pPr>
<w:r><w:t xml:space="preserve">1881-1891.      1891-1901.</w:t></w:r>
</w:p>
<w:p>
<w:pPr><w:pStyle w:val="Normal"/></w:pPr>
<w:r><w:t xml:space="preserve">No.       No.       No.          No.             No.</w:t></w:r>
</w:p>
<w:p>
<w:pPr><w:pStyle w:val="Normal"/></w:pPr>
<w:r><w:t xml:space="preserve">Farmers and</w:t></w:r>
</w:p>
<w:p>
<w:pPr><w:pStyle w:val="Normal"/></w:pPr>
<w:r><w:t xml:space="preserve">Graziers        279,126   277,943   277,694       -1,183           -249</w:t></w:r>
</w:p>
<w:p>
<w:pPr><w:pStyle w:val="Normal"/></w:pPr>
<w:r><w:t xml:space="preserve">Farm Bailiffs</w:t></w:r>
</w:p>
<w:p>
<w:pPr><w:pStyle w:val="Normal"/></w:pPr>
<w:r><w:t xml:space="preserve">and Foremen      22,895    21,453    27,317       -1,442         +5,864</w:t></w:r>
</w:p>
<w:p>
<w:pPr><w:pStyle w:val="Normal"/></w:pPr>
<w:r><w:t xml:space="preserve">Shepherds          33,125    31,686    35,022       -1,439         +3,336</w:t></w:r>
</w:p>
<w:p>
<w:pPr><w:pStyle w:val="Normal"/></w:pPr>
<w:r><w:t xml:space="preserve">Agricultural</w:t></w:r>
</w:p>
<w:p>
<w:pPr><w:pStyle w:val="Normal"/></w:pPr>
<w:r><w:t xml:space="preserve">Labourers       983,919   866,543   689,292     -117,376       -177,251</w:t></w:r>
</w:p>
<w:p>
<w:pPr><w:pStyle w:val="Normal"/></w:pPr>
<w:r><w:t xml:space="preserve">These figures must of course be approximate.  The effect of</w:t></w:r>
</w:p>
<w:p>
<w:pPr><w:pStyle w:val="Normal"/></w:pPr>
<w:r><w:t xml:space="preserve">recent development in methods of travelling and the growing custom</w:t></w:r>
</w:p>
<w:p>
<w:pPr><w:pStyle w:val="Normal"/></w:pPr>
<w:r><w:t xml:space="preserve">for townsmen either to live wholly in the country or to take</w:t></w:r>
</w:p>
<w:p>
<w:pPr><w:pStyle w:val="Normal"/></w:pPr>
<w:r><w:t xml:space="preserve">week-end cottages, has made it impossible to draw a strict line</w:t></w:r>
</w:p>
<w:p>
<w:pPr><w:pStyle w:val="Normal"/></w:pPr>
<w:r><w:t xml:space="preserve">of demarcation between rural and urban populations.  Still they</w:t></w:r>
</w:p>
<w:p>
<w:pPr><w:pStyle w:val="Normal"/></w:pPr>
<w:r><w:t xml:space="preserve">are near enough for practical purposes, and they amply justify</w:t></w:r>
</w:p>
<w:p>
<w:pPr><w:pStyle w:val="Normal"/></w:pPr>
<w:r><w:t xml:space="preserve">the efforts of those who are trying to stay the rural exodus.</w:t></w:r>
</w:p>
<w:p>
<w:pPr><w:pStyle w:val="Normal"/></w:pPr>
<w:r><w:t xml:space="preserve">While legislation had not, up to 1908, achieved any noteworthy</w:t></w:r>
</w:p>
<w:p>
<w:pPr><w:pStyle w:val="Normal"/></w:pPr>
<w:r><w:t xml:space="preserve">result in the creation of small holdings, and still left doubts</w:t></w:r>
</w:p>
<w:p>
<w:pPr><w:pStyle w:val="Normal"/></w:pPr>
<w:r><w:t xml:space="preserve">as to the practicability of re-creating the English yeoman by</w:t></w:r>
</w:p>
<w:p>
<w:pPr><w:pStyle w:val="Normal"/></w:pPr>
<w:r><w:t xml:space="preserve">act of parliament, many successful efforts have been made by</w:t></w:r>
</w:p>
<w:p>
<w:pPr><w:pStyle w:val="Normal"/></w:pPr>
<w:r><w:t xml:space="preserve">individuals.  One of the most interesting is that of the earl of</w:t></w:r>
</w:p>
<w:p>
<w:pPr><w:pStyle w:val="Normal"/></w:pPr>
<w:r><w:t xml:space="preserve">Carrington at Sleaford in Lincolnshire.  In this case the most</w:t></w:r>
</w:p>
<w:p>
<w:pPr><w:pStyle w:val="Normal"/></w:pPr>
<w:r><w:t xml:space="preserve">noteworthy feature is that between the landlord and the tenants</w:t></w:r>
</w:p>
<w:p>
<w:pPr><w:pStyle w:val="Normal"/></w:pPr>
<w:r><w:t xml:space="preserve">there is a body called the South Lincolnshire Small Holdings</w:t></w:r>
</w:p>
<w:p>
<w:pPr><w:pStyle w:val="Normal"/></w:pPr>
<w:r><w:t xml:space="preserve">Association, which took 650 acres from Lord Carrington on a</w:t></w:r>
</w:p>
<w:p>
<w:pPr><w:pStyle w:val="Normal"/></w:pPr>
<w:r><w:t xml:space="preserve">twenty years&apos; lease.  These acres used to be let to four or five</w:t></w:r>
</w:p>
<w:p>
<w:pPr><w:pStyle w:val="Normal"/></w:pPr>
<w:r><w:t xml:space="preserve">tenants.  They were in 1905 divided among one hundred and</w:t></w:r>
</w:p>
<w:p>
<w:pPr><w:pStyle w:val="Normal"/></w:pPr>
<w:r><w:t xml:space="preserve">seventy tenants.  The Small Holders&apos; Association guaranteed</w:t></w:r>
</w:p>
<w:p>
<w:pPr><w:pStyle w:val="Normal"/></w:pPr>
<w:r><w:t xml:space="preserve">the rent, which works out at about 33s. per acre, to Lord</w:t></w:r>
</w:p>
<w:p>
<w:pPr><w:pStyle w:val="Normal"/></w:pPr>
<w:r><w:t xml:space="preserve">Carrington.  They let the men on yearly tenancy have it at about</w:t></w:r>
</w:p>
<w:p>
<w:pPr><w:pStyle w:val="Normal"/></w:pPr>
<w:r><w:t xml:space="preserve">40s. an acre, the difference being used to meet the expenses</w:t></w:r>
</w:p>
<w:p>
<w:pPr><w:pStyle w:val="Normal"/></w:pPr>
<w:r><w:t xml:space="preserve">of dividing the lands into small holdings, maintaining drains,</w:t></w:r>
</w:p>
<w:p>
<w:pPr><w:pStyle w:val="Normal"/></w:pPr>
<w:r><w:t xml:space="preserve">fences and roads connected with them, and other unavoidable</w:t></w:r>
</w:p>
<w:p>
<w:pPr><w:pStyle w:val="Normal"/></w:pPr>
<w:r><w:t xml:space="preserve">outlays.  In this way the landlord is assured of his rent,</w:t></w:r>
</w:p>
<w:p>
<w:pPr><w:pStyle w:val="Normal"/></w:pPr>
<w:r><w:t xml:space="preserve">and the association has lost nothing, as the men were very</w:t></w:r>
</w:p>
<w:p>
<w:pPr><w:pStyle w:val="Normal"/></w:pPr>
<w:r><w:t xml:space="preserve">punctual in their payments.  But very great care was bestowed</w:t></w:r>
</w:p>
<w:p>
<w:pPr><w:pStyle w:val="Normal"/></w:pPr>
<w:r><w:t xml:space="preserve">in choosing the men for the holdings.  They were in a sense</w:t></w:r>
</w:p>
<w:p>
<w:pPr><w:pStyle w:val="Normal"/></w:pPr>
<w:r><w:t xml:space="preserve">picked men, but men must be picked to work the business</w:t></w:r>
</w:p>
<w:p>
<w:pPr><w:pStyle w:val="Normal"/></w:pPr>
<w:r><w:t xml:space="preserve">satisfactorily.  Lincolnshire is pre-eminently a county of</w:t></w:r>
</w:p>
<w:p>
<w:pPr><w:pStyle w:val="Normal"/></w:pPr>
<w:r><w:t xml:space="preserve">small holdings, and the labouring residents in it have been</w:t></w:r>
</w:p>
<w:p>
<w:pPr><w:pStyle w:val="Normal"/></w:pPr>
<w:r><w:t xml:space="preserve">accustomed to the management of them from their infancy</w:t></w:r>
</w:p>
<w:p>
<w:pPr><w:pStyle w:val="Normal"/></w:pPr>
<w:r><w:t xml:space="preserve">onwards.  Here as elsewhere the provision of suitable houses</w:t></w:r>
</w:p>
<w:p>
<w:pPr><w:pStyle w:val="Normal"/></w:pPr>
<w:r><w:t xml:space="preserve">formed a difficulty, some of the tenants having to walk several</w:t></w:r>
</w:p>
<w:p>
<w:pPr><w:pStyle w:val="Normal"/></w:pPr>
<w:r><w:t xml:space="preserve">miles to their holdings.  Lord Carrington availed himself as</w:t></w:r>
</w:p>
<w:p>
<w:pPr><w:pStyle w:val="Normal"/></w:pPr>
<w:r><w:t xml:space="preserve">much as possible of the buildings that existed, dividing the</w:t></w:r>
</w:p>
<w:p>
<w:pPr><w:pStyle w:val="Normal"/></w:pPr>
<w:r><w:t xml:space="preserve">old farm houses so as to make them suitable for the small</w:t></w:r>
</w:p>
<w:p>
<w:pPr><w:pStyle w:val="Normal"/></w:pPr>
<w:r><w:t xml:space="preserve">tenants.  At Cowbit farm, many of the ordinary labourers&apos;</w:t></w:r>
</w:p>
<w:p>
<w:pPr><w:pStyle w:val="Normal"/></w:pPr>
<w:r><w:t xml:space="preserve">cottages, which were put up at a cost of about L. 300 a pair,</w:t></w:r>
</w:p>
<w:p>
<w:pPr><w:pStyle w:val="Normal"/></w:pPr>
<w:r><w:t xml:space="preserve">have by the addition of little dairies and other alterations</w:t></w:r>
</w:p>
<w:p>
<w:pPr><w:pStyle w:val="Normal"/></w:pPr>
<w:r><w:t xml:space="preserve">been made suitable for the tenants.  From facts collected</w:t></w:r>
</w:p>
<w:p>
<w:pPr><w:pStyle w:val="Normal"/></w:pPr>
<w:r><w:t xml:space="preserve">on the spot we have come to the conclusion that on the small</w:t></w:r>
</w:p>
<w:p>
<w:pPr><w:pStyle w:val="Normal"/></w:pPr>
<w:r><w:t xml:space="preserve">holdings a good tenant makes an average profit of about L. 4 an</w:t></w:r>
</w:p>
<w:p>
<w:pPr><w:pStyle w:val="Normal"/></w:pPr>
<w:r><w:t xml:space="preserve">acre, but on an allotment cultivated by means of the spade</w:t></w:r>
</w:p>
<w:p>
<w:pPr><w:pStyle w:val="Normal"/></w:pPr>
<w:r><w:t xml:space="preserve">it would probably be at the rate of over L. 6 an acre.  Lord</w:t></w:r>
</w:p>
<w:p>
<w:pPr><w:pStyle w:val="Normal"/></w:pPr>
<w:r><w:t xml:space="preserve">Carrington was also successful in establishing small holdings</w:t></w:r>
</w:p>
<w:p>
<w:pPr><w:pStyle w:val="Normal"/></w:pPr>
<w:r><w:t xml:space="preserve">on the Humberston estate in North Lincolnshire and on his</w:t></w:r>
</w:p>
<w:p>
<w:pPr><w:pStyle w:val="Normal"/></w:pPr>
<w:r><w:t xml:space="preserve">Buckinghamshire estate, near Aylesbury.  At Newport Pagnell</w:t></w:r>
</w:p>
<w:p>
<w:pPr><w:pStyle w:val="Normal"/></w:pPr>
<w:r><w:t xml:space="preserve">the attempt failed because the demand was artificial, the</w:t></w:r>
</w:p>
<w:p>
<w:pPr><w:pStyle w:val="Normal"/></w:pPr>
<w:r><w:t xml:space="preserve">ground arable, and the men not capable of dealing with it.</w:t></w:r>
</w:p>
<w:p>
<w:pPr><w:pStyle w:val="Normal"/></w:pPr>
<w:r><w:t xml:space="preserve">Other examples of the establishment of small holdings can</w:t></w:r>
</w:p>
<w:p>
<w:pPr><w:pStyle w:val="Normal"/></w:pPr>
<w:r><w:t xml:space="preserve">only receive brief reference.  The Norfolk Small Holdings</w:t></w:r>
</w:p>
<w:p>
<w:pPr><w:pStyle w:val="Normal"/></w:pPr>
<w:r><w:t xml:space="preserve">Association acquired three farms at Whissonsett, Watton and</w:t></w:r>
</w:p>
<w:p>
<w:pPr><w:pStyle w:val="Normal"/></w:pPr>
<w:r><w:t xml:space="preserve">Swaffham, which are broken up into small lots and let mostly</w:t></w:r>
</w:p>
<w:p>
<w:pPr><w:pStyle w:val="Normal"/></w:pPr>
<w:r><w:t xml:space="preserve">to the village tradespeople.  Sir Pearce Edgecumbe established</w:t></w:r>
</w:p>
<w:p>
<w:pPr><w:pStyle w:val="Normal"/></w:pPr>
<w:r><w:t xml:space="preserve">small holdings at Rew, some of which have been purchased by the</w:t></w:r>
</w:p>
<w:p>
<w:pPr><w:pStyle w:val="Normal"/></w:pPr>
<w:r><w:t xml:space="preserve">occupiers, and Mr A. B. Markham created similar ownerships at</w:t></w:r>
</w:p>
<w:p>
<w:pPr><w:pStyle w:val="Normal"/></w:pPr>
<w:r><w:t xml:space="preserve">Twyford (Leicestershire) . At Cudworth in Surrey a group was</w:t></w:r>
</w:p>
<w:p>
<w:pPr><w:pStyle w:val="Normal"/></w:pPr>
<w:r><w:t xml:space="preserve">formed, but the owners were actuated more by the desire to lead</w:t></w:r>
</w:p>
<w:p>
<w:pPr><w:pStyle w:val="Normal"/></w:pPr>
<w:r><w:t xml:space="preserve">a simple life than to prove the remunerative value of small</w:t></w:r>
</w:p>
<w:p>
<w:pPr><w:pStyle w:val="Normal"/></w:pPr>
<w:r><w:t xml:space="preserve">holdings.  Mr W. J. Harris created small holdings in Devon,</w:t></w:r>
</w:p>
<w:p>
<w:pPr><w:pStyle w:val="Normal"/></w:pPr>
<w:r><w:t xml:space="preserve">each of which is let on a life tenancy.  There the rural exodus</w:t></w:r>
</w:p>
<w:p>
<w:pPr><w:pStyle w:val="Normal"/></w:pPr>
<w:r><w:t xml:space="preserve">has been more than arrested.  Mr James Tomkinson established</w:t></w:r>
</w:p>
<w:p>
<w:pPr><w:pStyle w:val="Normal"/></w:pPr>
<w:r><w:t xml:space="preserve">in Cheshire a number of graduated holdings, so contrived as</w:t></w:r>
</w:p>
<w:p>
<w:pPr><w:pStyle w:val="Normal"/></w:pPr>
<w:r><w:t xml:space="preserve">to offer the successful holders a chance of stepping upwards.</w:t></w:r>
</w:p>
<w:p>
<w:pPr><w:pStyle w:val="Normal"/></w:pPr>
<w:r><w:t xml:space="preserve">The earl of Harrowby made an interesting experiment on his</w:t></w:r>
</w:p>
<w:p>
<w:pPr><w:pStyle w:val="Normal"/></w:pPr>
<w:r><w:t xml:space="preserve">Sandon estate in Staffordshire in the midst of a pretty, broken</w:t></w:r>
</w:p>
<w:p>
<w:pPr><w:pStyle w:val="Normal"/></w:pPr>
<w:r><w:t xml:space="preserve">and undulating country.  The estate consists of about 6000</w:t></w:r>
</w:p>
<w:p>
<w:pPr><w:pStyle w:val="Normal"/></w:pPr>
<w:r><w:t xml:space="preserve">acres, one-third of which is laid out in small holdings.</w:t></w:r>
</w:p>
<w:p>
<w:pPr><w:pStyle w:val="Normal"/></w:pPr>
<w:r><w:t xml:space="preserve">These fall naturally into three divisions.  First, there are</w:t></w:r>
</w:p>
<w:p>
<w:pPr><w:pStyle w:val="Normal"/></w:pPr>
<w:r><w:t xml:space="preserve">those which belong to men who have regular employment, and</w:t></w:r>
</w:p>
<w:p>
<w:pPr><w:pStyle w:val="Normal"/></w:pPr>
<w:r><w:t xml:space="preserve">would therefore find it impossible to cultivate any great</w:t></w:r>
</w:p>
<w:p>
<w:pPr><w:pStyle w:val="Normal"/></w:pPr>
<w:r><w:t xml:space="preserve">quantity of land.  Many of that class are anxious to have</w:t></w:r>
</w:p>
<w:p>
<w:pPr><w:pStyle w:val="Normal"/></w:pPr>
<w:r><w:t xml:space="preserve">a holding of some sort, as it lends a certain elasticity</w:t></w:r>
</w:p>
<w:p>
<w:pPr><w:pStyle w:val="Normal"/></w:pPr>
<w:r><w:t xml:space="preserve">to their incomes and provides them with a never-failing</w:t></w:r>
</w:p>
<w:p>
<w:pPr><w:pStyle w:val="Normal"/></w:pPr>
<w:r><w:t xml:space="preserve">interest.  One who may be taken as typical hired six acres</w:t></w:r>
</w:p>
<w:p>
<w:pPr><w:pStyle w:val="Normal"/></w:pPr>
<w:r><w:t xml:space="preserve">with a good cottage and a large garden, paying a rent of L. 20 a</w:t></w:r>
</w:p>
<w:p>
<w:pPr><w:pStyle w:val="Normal"/></w:pPr>
<w:r><w:t xml:space="preserve">year.  When this holding was created it had already a suitable</w:t></w:r>
</w:p>
<w:p>
<w:pPr><w:pStyle w:val="Normal"/></w:pPr>
<w:r><w:t xml:space="preserve">cottage, but L. 100 was needed to provide outbuildings, and</w:t></w:r>
</w:p>
<w:p>
<w:pPr><w:pStyle w:val="Normal"/></w:pPr>
<w:r><w:t xml:space="preserve">Lord Harrowby&apos;s custom is to charge 5% on outlay of this</w:t></w:r>
</w:p>
<w:p>
<w:pPr><w:pStyle w:val="Normal"/></w:pPr>
<w:r><w:t xml:space="preserve">kind.  This L. 5, however, is included in the total rent of</w:t></w:r>
</w:p>
<w:p>
<w:pPr><w:pStyle w:val="Heading1"/></w:pPr>
<w:r><w:t>L. 20 paid for cottage, land and garden.  The man was not only</w:t></w:r>
</w:p>
<w:p>
<w:pPr><w:pStyle w:val="Normal"/></w:pPr>
<w:r><w:t xml:space="preserve">content, but wished to get some more land.  The next class</w:t></w:r>
</w:p>
<w:p>
<w:pPr><w:pStyle w:val="Normal"/></w:pPr>
<w:r><w:t xml:space="preserve">consists of those who have not enough land to live on but</w:t></w:r>
</w:p>
<w:p>
<w:pPr><w:pStyle w:val="Normal"/></w:pPr>
<w:r><w:t xml:space="preserve">eke out their livelihood by casual labour.  Usually a man</w:t></w:r>
</w:p>
<w:p>
<w:pPr><w:pStyle w:val="Normal"/></w:pPr>
<w:r><w:t xml:space="preserve">of this sort requires from 35 to 50 acres of land mostly</w:t></w:r>
</w:p>
<w:p>
<w:pPr><w:pStyle w:val="Normal"/></w:pPr>
<w:r><w:t xml:space="preserve">pasture.  He can attend to it and yet give a certain number</w:t></w:r>
</w:p>
<w:p>
<w:pPr><w:pStyle w:val="Normal"/></w:pPr>
<w:r><w:t xml:space="preserve">of days to estate work.  The third class is that of the small</w:t></w:r>
</w:p>
<w:p>
<w:pPr><w:pStyle w:val="Normal"/></w:pPr>
<w:r><w:t xml:space="preserve">farmer who gains his entire livelihood from the land.  The</w:t></w:r>
</w:p>
<w:p>
<w:pPr><w:pStyle w:val="Normal"/></w:pPr>
<w:r><w:t xml:space="preserve">obstacle to breaking up large farms into small lies of course</w:t></w:r>
</w:p>
<w:p>
<w:pPr><w:pStyle w:val="Normal"/></w:pPr>
<w:r><w:t xml:space="preserve">in the expense of providing the necessary equipment.  It has</w:t></w:r>
</w:p>
<w:p>
<w:pPr><w:pStyle w:val="Normal"/></w:pPr>
<w:r><w:t xml:space="preserve">been found here that a cottage suitable for a small farmer</w:t></w:r>
</w:p>
<w:p>
<w:pPr><w:pStyle w:val="Normal"/></w:pPr>
<w:r><w:t xml:space="preserve">costs about L. 400 to build in a substantial manner, and the</w:t></w:r>
</w:p>
<w:p>
<w:pPr><w:pStyle w:val="Normal"/></w:pPr>
<w:r><w:t xml:space="preserve">outbuildings about L. 200.  This makes an addition therefore of</w:t></w:r>
</w:p>
<w:p>
<w:pPr><w:pStyle w:val="Normal"/></w:pPr>
<w:r><w:t xml:space="preserve">about L. 30 to the rent of the land.  The ardour with which these</w:t></w:r>
</w:p>
<w:p>
<w:pPr><w:pStyle w:val="Normal"/></w:pPr>
<w:r><w:t xml:space="preserve">tenancies were sought when vacant formed the best testimony</w:t></w:r>
</w:p>
<w:p>
<w:pPr><w:pStyle w:val="Normal"/></w:pPr>
<w:r><w:t xml:space="preserve">to the soundness of the principle applied by Lord Harrowby.</w:t></w:r>
</w:p>
<w:p>
<w:pPr><w:pStyle w:val="Normal"/></w:pPr>
<w:r><w:t xml:space="preserve">A nest of small holdings was created at Winterslow, near</w:t></w:r>
</w:p>
<w:p>
<w:pPr><w:pStyle w:val="Normal"/></w:pPr>
<w:r><w:t xml:space="preserve">Salisbury, by Major R. M. Poore.  The holders completed the</w:t></w:r>
</w:p>
<w:p>
<w:pPr><w:pStyle w:val="Normal"/></w:pPr>
<w:r><w:t xml:space="preserve">purchase by 1906, and the work may be pronounced a complete</w:t></w:r>
</w:p>
<w:p>
<w:pPr><w:pStyle w:val="Normal"/></w:pPr>
<w:r><w:t xml:space="preserve">success.  Major Poore originally conceived the idea when land</w:t></w:r>
</w:p>
<w:p>
<w:pPr><w:pStyle w:val="Normal"/></w:pPr>
<w:r><w:t xml:space="preserve">was cheap in 1892, owing to the depression in agriculture.</w:t></w:r>
</w:p>
<w:p>
<w:pPr><w:pStyle w:val="Normal"/></w:pPr>
<w:r><w:t xml:space="preserve">He purchased an estate that came into the market at the</w:t></w:r>
</w:p>
<w:p>
<w:pPr><w:pStyle w:val="Normal"/></w:pPr>
<w:r><w:t xml:space="preserve">time.  The price came to an average of L. 10 an acre, and</w:t></w:r>
</w:p>
<w:p>
<w:pPr><w:pStyle w:val="Normal"/></w:pPr>
<w:r><w:t xml:space="preserve">the men themselves made the average for selling it out again</w:t></w:r>
</w:p>
<w:p>
<w:pPr><w:pStyle w:val="Heading1"/></w:pPr>
<w:r><w:t>L. 15 on a principle of instalments.  His object was not to</w:t></w:r>
</w:p>
<w:p>
<w:pPr><w:pStyle w:val="Normal"/></w:pPr>
<w:r><w:t xml:space="preserve">make any profit from the transaction, and he formed what is</w:t></w:r>
</w:p>
<w:p>
<w:pPr><w:pStyle w:val="Normal"/></w:pPr>
<w:r><w:t xml:space="preserve">termed a Landholders&apos; Court, formed of the men themselves,</w:t></w:r>
</w:p>
<w:p>
<w:pPr><w:pStyle w:val="Normal"/></w:pPr>
<w:r><w:t xml:space="preserve">every ten choosing one to represent them.  This court was</w:t></w:r>
</w:p>
<w:p>
<w:pPr><w:pStyle w:val="Normal"/></w:pPr>
<w:r><w:t xml:space="preserve">found to act well.  It collected the instalments, which are</w:t></w:r>
</w:p>
<w:p>
<w:pPr><w:pStyle w:val="Normal"/></w:pPr>
<w:r><w:t xml:space="preserve">paid in advance; and of course the members of it, down to</w:t></w:r>
</w:p>
<w:p>
<w:pPr><w:pStyle w:val="Normal"/></w:pPr>
<w:r><w:t xml:space="preserve">the minutest detail, knew not only the circumstances but the</w:t></w:r>
</w:p>
<w:p>
<w:pPr><w:pStyle w:val="Normal"/></w:pPr>
<w:r><w:t xml:space="preserve">character of every applicant for land.  The result speaks for</w:t></w:r>
</w:p>
<w:p>
<w:pPr><w:pStyle w:val="Normal"/></w:pPr>
<w:r><w:t xml:space="preserve">itself.  The owners are, in the true sense of the word,</w:t></w:r>
</w:p>
<w:p>
<w:pPr><w:pStyle w:val="Normal"/></w:pPr>
<w:r><w:t xml:space="preserve">peasants.  They do not depend on the land for a living, but</w:t></w:r>
</w:p>
<w:p>
<w:pPr><w:pStyle w:val="Normal"/></w:pPr>
<w:r><w:t xml:space="preserve">work in various callings---many being woodmen---for wages</w:t></w:r>
</w:p>
<w:p>
<w:pPr><w:pStyle w:val="Normal"/></w:pPr>
<w:r><w:t xml:space="preserve">that average about 15s. a week.  The holdings vary in size</w:t></w:r>
</w:p>
<w:p>
<w:pPr><w:pStyle w:val="Normal"/></w:pPr>
<w:r><w:t xml:space="preserve">from less than an acre to ten acres, and are technically</w:t></w:r>
</w:p>
<w:p>
<w:pPr><w:pStyle w:val="Normal"/></w:pPr>
<w:r><w:t xml:space="preserve">held on a lease of 1999 years, practically freehold, though</w:t></w:r>
</w:p>
<w:p>
<w:pPr><w:pStyle w:val="Normal"/></w:pPr>
<w:r><w:t xml:space="preserve">by the adoption of a leasehold form a saving was effected</w:t></w:r>
</w:p>
<w:p>
<w:pPr><w:pStyle w:val="Normal"/></w:pPr>
<w:r><w:t xml:space="preserve">in the cost of transfer.  On the holdings most of the men</w:t></w:r>
</w:p>
<w:p>
<w:pPr><w:pStyle w:val="Normal"/></w:pPr>
<w:r><w:t xml:space="preserve">have erected houses, using for the purpose chalk dug up</w:t></w:r>
</w:p>
<w:p>
<w:pPr><w:pStyle w:val="Normal"/></w:pPr>
<w:r><w:t xml:space="preserve">from their gardens, it lying only a few inches below the</w:t></w:r>
</w:p>
<w:p>
<w:pPr><w:pStyle w:val="Normal"/></w:pPr>
<w:r><w:t xml:space="preserve">surface.  It is not rock, but soft chalk, so that they</w:t></w:r>
</w:p>
<w:p>
<w:pPr><w:pStyle w:val="Normal"/></w:pPr>
<w:r><w:t xml:space="preserve">are practically mud walls; but being as a rule at least 18</w:t></w:r>
</w:p>
<w:p>
<w:pPr><w:pStyle w:val="Normal"/></w:pPr>
<w:r><w:t xml:space="preserve">inches thick, the houses are very cool in summer and warm in</w:t></w:r>
</w:p>
<w:p>
<w:pPr><w:pStyle w:val="Normal"/></w:pPr>
<w:r><w:t xml:space="preserve">winter.  Major Poore calculated that in seven years these</w:t></w:r>
</w:p>
<w:p>
<w:pPr><w:pStyle w:val="Normal"/></w:pPr>
<w:r><w:t xml:space="preserve">poor people--there are not thirty of them altogether--managed</w:t></w:r>
</w:p>
<w:p>
<w:pPr><w:pStyle w:val="Normal"/></w:pPr>
<w:r><w:t xml:space="preserve">to produce for their houses and land a gross sum of not</w:t></w:r>
</w:p>
<w:p>
<w:pPr><w:pStyle w:val="Normal"/></w:pPr>
<w:r><w:t xml:space="preserve">less than L. 5000.  This he attributed to the loyal manner</w:t></w:r>
</w:p>
<w:p>
<w:pPr><w:pStyle w:val="Normal"/></w:pPr>
<w:r><w:t xml:space="preserve">in which even distant members of the family have helped.</w:t></w:r>
</w:p>
<w:p>
<w:pPr><w:pStyle w:val="Normal"/></w:pPr>
<w:r><w:t xml:space="preserve">The class of holding which owes its existence to the act of</w:t></w:r>
</w:p>
<w:p>
<w:pPr><w:pStyle w:val="Normal"/></w:pPr>
<w:r><w:t xml:space="preserve">1802 may be illustrated by the history of the Worcestershire</w:t></w:r>
</w:p>
<w:p>
<w:pPr><w:pStyle w:val="Normal"/></w:pPr>
<w:r><w:t xml:space="preserve">small holdings.  The inception of the scheme was due to the</w:t></w:r>
</w:p>
<w:p>
<w:pPr><w:pStyle w:val="Normal"/></w:pPr>
<w:r><w:t xml:space="preserve">decline of the nail-making business, which caused a number</w:t></w:r>
</w:p>
<w:p>
<w:pPr><w:pStyle w:val="Normal"/></w:pPr>
<w:r><w:t xml:space="preserve">of the inhabitants to be without occupation.  Two candidates</w:t></w:r>
</w:p>
<w:p>
<w:pPr><w:pStyle w:val="Normal"/></w:pPr>
<w:r><w:t xml:space="preserve">for election to the county council looking out for a popular</w:t></w:r>
</w:p>
<w:p>
<w:pPr><w:pStyle w:val="Normal"/></w:pPr>
<w:r><w:t xml:space="preserve">cry found it in the demand for land.  They promised to do</w:t></w:r>
</w:p>
<w:p>
<w:pPr><w:pStyle w:val="Normal"/></w:pPr>
<w:r><w:t xml:space="preserve">their best in this direction, and thanks to the energetic</w:t></w:r>
</w:p>
<w:p>
<w:pPr><w:pStyle w:val="Normal"/></w:pPr>
<w:r><w:t xml:space="preserve">action of Mr Willis Bund, the chairman, the act was put in</w:t></w:r>
</w:p>
<w:p>
<w:pPr><w:pStyle w:val="Normal"/></w:pPr>
<w:r><w:t xml:space="preserve">force.  Woodrow Farm, adjoining the village of Catshill in</w:t></w:r>
</w:p>
<w:p>
<w:pPr><w:pStyle w:val="Normal"/></w:pPr>
<w:r><w:t xml:space="preserve">the neighbourhood of Birmingham, was purchased on terms that</w:t></w:r>
</w:p>
<w:p>
<w:pPr><w:pStyle w:val="Normal"/></w:pPr>
<w:r><w:t xml:space="preserve">enabled the land to be sold to the peasant cultivator at L. 40 an</w:t></w:r>
</w:p>
<w:p>
<w:pPr><w:pStyle w:val="Normal"/></w:pPr>
<w:r><w:t xml:space="preserve">acre.  They were paying this back at the rate of 4% on the</w:t></w:r>
</w:p>
<w:p>
<w:pPr><w:pStyle w:val="Normal"/></w:pPr>
<w:r><w:t xml:space="preserve">purchase money, a rate that included both interest and sinking</w:t></w:r>
</w:p>
<w:p>
<w:pPr><w:pStyle w:val="Normal"/></w:pPr>
<w:r><w:t xml:space="preserve">fund, so that at the end of forty years they would own the</w:t></w:r>
</w:p>
<w:p>
<w:pPr><w:pStyle w:val="Normal"/></w:pPr>
<w:r><w:t xml:space="preserve">small estates free from encumbrance.  The huge population of</w:t></w:r>
</w:p>
<w:p>
<w:pPr><w:pStyle w:val="Normal"/></w:pPr>
<w:r><w:t xml:space="preserve">Birmingham is close to the properties.  The men turned their</w:t></w:r>
</w:p>
<w:p>
<w:pPr><w:pStyle w:val="Normal"/></w:pPr>
<w:r><w:t xml:space="preserve">attention mostly to strawberries, to which many acres were</w:t></w:r>
</w:p>
<w:p>
<w:pPr><w:pStyle w:val="Normal"/></w:pPr>
<w:r><w:t xml:space="preserve">devoted.  Costermongers would come out from Birmingham and buy</w:t></w:r>
</w:p>
<w:p>
<w:pPr><w:pStyle w:val="Normal"/></w:pPr>
<w:r><w:t xml:space="preserve">fruit on the spot, selling part of it to the villas on the way</w:t></w:r>
</w:p>
<w:p>
<w:pPr><w:pStyle w:val="Normal"/></w:pPr>
<w:r><w:t xml:space="preserve">back, and part in the Birmingham market.  The experience gained</w:t></w:r>
</w:p>
<w:p>
<w:pPr><w:pStyle w:val="Normal"/></w:pPr>
<w:r><w:t xml:space="preserve">in working the act enabled the committee on small holdings to</w:t></w:r>
</w:p>
<w:p>
<w:pPr><w:pStyle w:val="Normal"/></w:pPr>
<w:r><w:t xml:space="preserve">make a number of practical suggestions for future legislation.</w:t></w:r>
</w:p>
<w:p>
<w:pPr><w:pStyle w:val="Normal"/></w:pPr>
<w:r><w:t xml:space="preserve">It remains to note the passing in 1907 of a new English</w:t></w:r>
</w:p>
<w:p>
<w:pPr><w:pStyle w:val="Normal"/></w:pPr>
<w:r><w:t xml:space="preserve">Small Holdings and Allotments Act, experience of which is</w:t></w:r>
</w:p>
<w:p>
<w:pPr><w:pStyle w:val="Normal"/></w:pPr>
<w:r><w:t xml:space="preserve">too recent for its provisions to be more than indicated</w:t></w:r>
</w:p>
<w:p>
<w:pPr><w:pStyle w:val="Normal"/></w:pPr>
<w:r><w:t xml:space="preserve">here.  The act transferred to the Board of Agriculture the</w:t></w:r>
</w:p>
<w:p>
<w:pPr><w:pStyle w:val="Normal"/></w:pPr>
<w:r><w:t xml:space="preserve">duties generally of the Local Government Board, and transferred</w:t></w:r>
</w:p>
<w:p>
<w:pPr><w:pStyle w:val="Normal"/></w:pPr>
<w:r><w:t xml:space="preserve">to parish councils or parish meetings the powers and duties</w:t></w:r>
</w:p>
<w:p>
<w:pPr><w:pStyle w:val="Normal"/></w:pPr>
<w:r><w:t xml:space="preserve">of rural district councils; it required county councils to</w:t></w:r>
</w:p>
<w:p>
<w:pPr><w:pStyle w:val="Normal"/></w:pPr>
<w:r><w:t xml:space="preserve">ascertain the demand for land without previous representation to</w:t></w:r>
</w:p>
<w:p>
<w:pPr><w:pStyle w:val="Normal"/></w:pPr>
<w:r><w:t xml:space="preserve">them, and gave power for its compulsary acquisition; and the</w:t></w:r>
</w:p>
<w:p>
<w:pPr><w:pStyle w:val="Normal"/></w:pPr>
<w:r><w:t xml:space="preserve">maximum holding of an allotment was raised from one acre to</w:t></w:r>
</w:p>
<w:p>
<w:pPr><w:pStyle w:val="Normal"/></w:pPr>
<w:r><w:t xml:space="preserve">five.  Both compulsary purchase and compulsary hiring (for not</w:t></w:r>
</w:p>
<w:p>
<w:pPr><w:pStyle w:val="Normal"/></w:pPr>
<w:r><w:t xml:space="preserve">less than 14 nor more than 35 years) were authorized, value</w:t></w:r>
</w:p>
<w:p>
<w:pPr><w:pStyle w:val="Normal"/></w:pPr>
<w:r><w:t xml:space="preserve">and compensation begin decided by a single arbitrator.  A</w:t></w:r>
</w:p>
<w:p>
<w:pPr><w:pStyle w:val="Normal"/></w:pPr>
<w:r><w:t xml:space="preserve">coercive authority was applied to the county councils in the</w:t></w:r>
</w:p>
<w:p>
<w:pPr><w:pStyle w:val="Normal"/></w:pPr>
<w:r><w:t xml:space="preserve">form of commissioners appointed by the Board of Agriculture,</w:t></w:r>
</w:p>
<w:p>
<w:pPr><w:pStyle w:val="Normal"/></w:pPr>
<w:r><w:t xml:space="preserve">who were to hold inquiries independently and to take action</w:t></w:r>
</w:p>
<w:p>
<w:pPr><w:pStyle w:val="Normal"/></w:pPr>
<w:r><w:t xml:space="preserve">themselves in the case of a defaulting county council.  They</w:t></w:r>
</w:p>
<w:p>
<w:pPr><w:pStyle w:val="Normal"/></w:pPr>
<w:r><w:t xml:space="preserve">were to ascertain the local demand for small holdings, and to</w:t></w:r>
</w:p>
<w:p>
<w:pPr><w:pStyle w:val="Normal"/></w:pPr>
<w:r><w:t xml:space="preserve">report to the Board, who might then require a county council</w:t></w:r>
</w:p>
<w:p>
<w:pPr><w:pStyle w:val="Normal"/></w:pPr>
<w:r><w:t xml:space="preserve">to prepare a scheme, whihc, when approved, it was to carry out,</w:t></w:r>
</w:p>
<w:p>
<w:pPr><w:pStyle w:val="Normal"/></w:pPr>
<w:r><w:t xml:space="preserve">the commissioners begin empowered to do so in the alternative.</w:t></w:r>
</w:p>
<w:p>
<w:pPr><w:pStyle w:val="Normal"/></w:pPr>
<w:r><w:t xml:space="preserve">Foreign Countries.--It remains to give a brief outline of what</w:t></w:r>
</w:p>
<w:p>
<w:pPr><w:pStyle w:val="Normal"/></w:pPr>
<w:r><w:t xml:space="preserve">small holdings are like outside Great Britain.  From the results</w:t></w:r>
</w:p>
<w:p>
<w:pPr><w:pStyle w:val="Normal"/></w:pPr>
<w:r><w:t xml:space="preserve">of the Belgian Agricultural Inquiry in 1895 the following table</w:t></w:r>
</w:p>
<w:p>
<w:pPr><w:pStyle w:val="Normal"/></w:pPr>
<w:r><w:t xml:space="preserve">has been compiled, assuming that one hectare = 2 1/2 acres:--</w:t></w:r>
</w:p>
<w:p>
<w:pPr><w:pStyle w:val="Normal"/></w:pPr>
<w:r><w:t xml:space="preserve">Occupied by Owner.     Occupied by Tenant.      Total.</w:t></w:r>
</w:p>
<w:p>
<w:pPr><w:pStyle w:val="Normal"/></w:pPr>
<w:r><w:t xml:space="preserve">Size of Holding        Whole. More than Half. More than half. Whole.</w:t></w:r>
</w:p>
<w:p>
<w:pPr><w:pStyle w:val="Normal"/></w:pPr>
<w:r><w:t xml:space="preserve">No.        No.             No.        No.      No.</w:t></w:r>
</w:p>
<w:p>
<w:pPr><w:pStyle w:val="Normal"/></w:pPr>
<w:r><w:t xml:space="preserve">1 1/4 acres and under  109,169     8,759          34,779     305,413  458,120</w:t></w:r>
</w:p>
<w:p>
<w:pPr><w:pStyle w:val="Normal"/></w:pPr>
<w:r><w:t xml:space="preserve">1 1/4 acres and under</w:t></w:r>
</w:p>
<w:p>
<w:pPr><w:pStyle w:val="Normal"/></w:pPr>
<w:r><w:t xml:space="preserve">5 acres               27,395    19,544          58,829      70,465  176,233</w:t></w:r>
</w:p>
<w:p>
<w:pPr><w:pStyle w:val="Normal"/></w:pPr>
<w:r><w:t xml:space="preserve">5 acres and under</w:t></w:r>
</w:p>
<w:p>
<w:pPr><w:pStyle w:val="Normal"/></w:pPr>
<w:r><w:t xml:space="preserve">10 acres              12,089    13,873          30,340      25,006   81,308</w:t></w:r>
</w:p>
<w:p>
<w:pPr><w:pStyle w:val="Normal"/></w:pPr>
<w:r><w:t xml:space="preserve">10 acres and under</w:t></w:r>
</w:p>
<w:p>
<w:pPr><w:pStyle w:val="Normal"/></w:pPr>
<w:r><w:t xml:space="preserve">50 acres              16,690    18,909          33,443      28,387   97,429</w:t></w:r>
</w:p>
<w:p>
<w:pPr><w:pStyle w:val="Normal"/></w:pPr>
<w:r><w:t xml:space="preserve">50 or 100 acres          2,021     1,497           3,315       4,517   11,350</w:t></w:r>
</w:p>
<w:p>
<w:pPr><w:pStyle w:val="Normal"/></w:pPr>
<w:r><w:t xml:space="preserve">Over 100 acres            903        470           1,417       2,395    5,185</w:t></w:r>
</w:p>
<w:p>
<w:pPr><w:pStyle w:val="Normal"/></w:pPr>
<w:r><w:t xml:space="preserve">Total             168,267     63,052         162,123     436,183  829,625</w:t></w:r>
</w:p>
<w:p>
<w:pPr><w:pStyle w:val="Normal"/></w:pPr>
<w:r><w:t xml:space="preserve">It will bbe seen from this table that Belgium is pre-eminently</w:t></w:r>
</w:p>
<w:p>
<w:pPr><w:pStyle w:val="Normal"/></w:pPr>
<w:r><w:t xml:space="preserve">a country of small holdings, more than half of the total</w:t></w:r>
</w:p>
<w:p>
<w:pPr><w:pStyle w:val="Normal"/></w:pPr>
<w:r><w:t xml:space="preserve">number being under 50 acres in extent.  Of course it is largely</w:t></w:r>
</w:p>
<w:p>
<w:pPr><w:pStyle w:val="Normal"/></w:pPr>
<w:r><w:t xml:space="preserve">a country of market gardens; but as the holdings are most</w:t></w:r>
</w:p>
<w:p>
<w:pPr><w:pStyle w:val="Normal"/></w:pPr>
<w:r><w:t xml:space="preserve">numerous in Brabant, East and West Flanders and Hainault,</w:t></w:r>
</w:p>
<w:p>
<w:pPr><w:pStyle w:val="Normal"/></w:pPr>
<w:r><w:t xml:space="preserve">the provinces showing the largest number of milch cows, it</w:t></w:r>
</w:p>
<w:p>
<w:pPr><w:pStyle w:val="Normal"/></w:pPr>
<w:r><w:t xml:space="preserve">would seem that dairying and la petite culture go together</w:t></w:r>
</w:p>
<w:p>
<w:pPr><w:pStyle w:val="Normal"/></w:pPr>
<w:r><w:t xml:space="preserve">There is a slight tendency for the holdings to decrease in</w:t></w:r>
</w:p>
<w:p>
<w:pPr><w:pStyle w:val="Normal"/></w:pPr>
<w:r><w:t xml:space="preserve">number.  In Germany the number of small holdings is proportionately</w:t></w:r>
</w:p>
<w:p>
<w:pPr><w:pStyle w:val="Normal"/></w:pPr>
<w:r><w:t xml:space="preserve">much larger than in Great Britain.  The returns collected</w:t></w:r>
</w:p>
<w:p>
<w:pPr><w:pStyle w:val="Normal"/></w:pPr>
<w:r><w:t xml:space="preserve">in 1895 showed that there were 3,235,169, or 58.22% of the</w:t></w:r>
</w:p>
<w:p>
<w:pPr><w:pStyle w:val="Normal"/></w:pPr>
<w:r><w:t xml:space="preserve">total number of holdings under 5 acres in area; and of these</w:t></w:r>
</w:p>
<w:p>
<w:pPr><w:pStyle w:val="Normal"/></w:pPr>
<w:r><w:t xml:space="preserve">no fewer than 11% are held by servants as part of their</w:t></w:r>
</w:p>
<w:p>
<w:pPr><w:pStyle w:val="Normal"/></w:pPr>
<w:r><w:t xml:space="preserve">wages.  The table below compiled for the Journal at</w:t></w:r>
</w:p>
<w:p>
<w:pPr><w:pStyle w:val="Normal"/></w:pPr>
<w:r><w:t xml:space="preserve">the Board of Agriculture enables us to compare the other</w:t></w:r>
</w:p>
<w:p>
<w:pPr><w:pStyle w:val="Normal"/></w:pPr>
<w:r><w:t xml:space="preserve">holdings with those of Great Britain.  Great Britain, it</w:t></w:r>
</w:p>
<w:p>
<w:pPr><w:pStyle w:val="Normal"/></w:pPr>
<w:r><w:t xml:space="preserve">will be seen, has over 40% of large farms of between 50 and</w:t></w:r>
</w:p>
<w:p>
<w:pPr><w:pStyle w:val="Normal"/></w:pPr>
<w:r><w:t xml:space="preserve">500 acres as compared with Germany&apos;s 12.6, while the latter</w:t></w:r>
</w:p>
<w:p>
<w:pPr><w:pStyle w:val="Normal"/></w:pPr>
<w:r><w:t xml:space="preserve">has 86.8 of small holdings, compared with England&apos;s 58.6.</w:t></w:r>
</w:p>
<w:p>
<w:pPr><w:pStyle w:val="Normal"/></w:pPr>
<w:r><w:t xml:space="preserve">France also has a far larger proportion of small holdings</w:t></w:r>
</w:p>
<w:p>
<w:pPr><w:pStyle w:val="Normal"/></w:pPr>
<w:r><w:t xml:space="preserve">than Great Britain; its cultivated area of 85,759,000 acres</w:t></w:r>
</w:p>
<w:p>
<w:pPr><w:pStyle w:val="Normal"/></w:pPr>
<w:r><w:t xml:space="preserve">being divided into 5,618,000 separate holdings, of which the</w:t></w:r>
</w:p>
<w:p>
<w:pPr><w:pStyle w:val="Normal"/></w:pPr>
<w:r><w:t xml:space="preserve">size averages a little over 15 acres as against 63 in Great</w:t></w:r>
</w:p>
<w:p>
<w:pPr><w:pStyle w:val="Normal"/></w:pPr>
<w:r><w:t xml:space="preserve">Britain.  Of the whole number, 4,190,795 are farmed by the</w:t></w:r>
</w:p>
<w:p>
<w:pPr><w:pStyle w:val="Normal"/></w:pPr>
<w:r><w:t xml:space="preserve">owners, 934,338 are in meteyage, and 1,078,184 by tenants.</w:t></w:r>
</w:p>
<w:p>
<w:pPr><w:pStyle w:val="Normal"/></w:pPr>
<w:r><w:t xml:space="preserve">The leading feature is the peasant proprietary.  Half of the</w:t></w:r>
</w:p>
<w:p>
<w:pPr><w:pStyle w:val="Normal"/></w:pPr>
<w:r><w:t xml:space="preserve">arable, more than half of the pasture, six-sevenths of the</w:t></w:r>
</w:p>
<w:p>
<w:pPr><w:pStyle w:val="Normal"/></w:pPr>
<w:r><w:t xml:space="preserve">vineyards and two-thirds of the garden lands are farmed by their</w:t></w:r>
</w:p>
<w:p>
<w:pPr><w:pStyle w:val="Normal"/></w:pPr>
<w:r><w:t xml:space="preserve">owners.  Comparison with Great Britain is difficult; but it would</w:t></w:r>
</w:p>
<w:p>
<w:pPr><w:pStyle w:val="Normal"/></w:pPr>
<w:r><w:t xml:space="preserve">appear that, whereas only 11% of British 520,000 agricultural</w:t></w:r>
</w:p>
<w:p>
<w:pPr><w:pStyle w:val="Normal"/></w:pPr>
<w:r><w:t xml:space="preserve">holdings are farmed by the owners, the proportion in France is</w:t></w:r>
</w:p>
<w:p>
<w:pPr><w:pStyle w:val="Normal"/></w:pPr>
<w:r><w:t xml:space="preserve">75%. A further point to be noted is that the average agricultural</w:t></w:r>
</w:p>
<w:p>
<w:pPr><w:pStyle w:val="Normal"/></w:pPr>
<w:r><w:t xml:space="preserve">tenancy in France is just one-fourth of what it is in Great</w:t></w:r>
</w:p>
<w:p>
<w:pPr><w:pStyle w:val="Normal"/></w:pPr>
<w:r><w:t xml:space="preserve">Britain, and the average owner-farmed estate only one-sixth.</w:t></w:r>
</w:p>
<w:p>
<w:pPr><w:pStyle w:val="Normal"/></w:pPr>
<w:r><w:t xml:space="preserve">Germany.             Great Britain.</w:t></w:r>
</w:p>
<w:p>
<w:pPr><w:pStyle w:val="Normal"/></w:pPr>
<w:r><w:t xml:space="preserve">Size of Holdings           Number.    Per cent.    Number.    Per cent.</w:t></w:r>
</w:p>
<w:p>
<w:pPr><w:pStyle w:val="Normal"/></w:pPr>
<w:r><w:t xml:space="preserve">5 to   50 acres           2,014,940       86.8     235,481        58.6</w:t></w:r>
</w:p>
<w:p>
<w:pPr><w:pStyle w:val="Normal"/></w:pPr>
<w:r><w:t xml:space="preserve">50 to 500  &apos;&apos;               292,982       12.6     161,438        40.1</w:t></w:r>
</w:p>
<w:p>
<w:pPr><w:pStyle w:val="Normal"/></w:pPr>
<w:r><w:t xml:space="preserve">Over  500  &apos;&apos;                13,809        0.6       5,219         1.3</w:t></w:r>
</w:p>
<w:p>
<w:pPr><w:pStyle w:val="Normal"/></w:pPr>
<w:r><w:t xml:space="preserve">Total                     2,321,731      100       402,138       100</w:t></w:r>
</w:p>
<w:p>
<w:pPr><w:pStyle w:val="Normal"/></w:pPr>
<w:r><w:t xml:space="preserve">In France the tendency is for the very small holdings to increase</w:t></w:r>
</w:p>
<w:p>
<w:pPr><w:pStyle w:val="Normal"/></w:pPr>
<w:r><w:t xml:space="preserve">in number owing to subdivision, with the consequent decrease</w:t></w:r>
</w:p>
<w:p>
<w:pPr><w:pStyle w:val="Normal"/></w:pPr>
<w:r><w:t xml:space="preserve">of the size of the average holding.  Between the years 1882</w:t></w:r>
</w:p>
<w:p>
<w:pPr><w:pStyle w:val="Normal"/></w:pPr>
<w:r><w:t xml:space="preserve">and 1892 there was a decrease of 138,237 in the total number of</w:t></w:r>
</w:p>
<w:p>
<w:pPr><w:pStyle w:val="Normal"/></w:pPr>
<w:r><w:t xml:space="preserve">proprietors, the larger properties moving towards consolidation</w:t></w:r>
</w:p>
<w:p>
<w:pPr><w:pStyle w:val="Normal"/></w:pPr>
<w:r><w:t xml:space="preserve">and those of the peasant proprietors towards subdivision.</w:t></w:r>
</w:p>
<w:p>
<w:pPr><w:pStyle w:val="Normal"/></w:pPr>
<w:r><w:t xml:space="preserve">Those interested in the formation of small holdings in Great</w:t></w:r>
</w:p>
<w:p>
<w:pPr><w:pStyle w:val="Normal"/></w:pPr>
<w:r><w:t xml:space="preserve">Britain will find much to interest them in the history of Danish</w:t></w:r>
</w:p>
<w:p>
<w:pPr><w:pStyle w:val="Normal"/></w:pPr>
<w:r><w:t xml:space="preserve">legislations.  British policy for many generations was to</w:t></w:r>
</w:p>
<w:p>
<w:pPr><w:pStyle w:val="Normal"/></w:pPr>
<w:r><w:t xml:space="preserve">preserve demesne land, and there are many devices for insuring</w:t></w:r>
</w:p>
<w:p>
<w:pPr><w:pStyle w:val="Normal"/></w:pPr>
<w:r><w:t xml:space="preserve">that a spendthrift life-owner shall not be able to scatter</w:t></w:r>
</w:p>
<w:p>
<w:pPr><w:pStyle w:val="Normal"/></w:pPr>
<w:r><w:t xml:space="preserve">the family inheritance; but as long ago as 1769 the Danish</w:t></w:r>
</w:p>
<w:p>
<w:pPr><w:pStyle w:val="Normal"/></w:pPr>
<w:r><w:t xml:space="preserve">legislators set an exactly opposite example.  They enacted that</w:t></w:r>
</w:p>
<w:p>
<w:pPr><w:pStyle w:val="Normal"/></w:pPr>
<w:r><w:t xml:space="preserve">peasant land should not be incorporated or worked with estate</w:t></w:r>
</w:p>
<w:p>
<w:pPr><w:pStyle w:val="Normal"/></w:pPr>
<w:r><w:t xml:space="preserve">land; it must always remain in the ownership and occupation of</w:t></w:r>
</w:p>
<w:p>
<w:pPr><w:pStyle w:val="Normal"/></w:pPr>
<w:r><w:t xml:space="preserve">peasants.  In this spirit all subsequent legislation was</w:t></w:r>
</w:p>
<w:p>
<w:pPr><w:pStyle w:val="Normal"/></w:pPr>
<w:r><w:t xml:space="preserve">conceived, and the allotment law that came into force in October</w:t></w:r>
</w:p>
<w:p>
<w:pPr><w:pStyle w:val="Normal"/></w:pPr>
<w:r><w:t xml:space="preserve">1899 bears some resemblance to the English Small Holdings Act of</w:t></w:r>
</w:p>
<w:p>
<w:pPr><w:pStyle w:val="Normal"/></w:pPr>
<w:r><w:t xml:space="preserve">1892.  It provides that labourers able to satisfy certain</w:t></w:r>
</w:p>
<w:p>
<w:pPr><w:pStyle w:val="Normal"/></w:pPr>
<w:r><w:t xml:space="preserve">conditions as to character may obtain from the state a loan equal</w:t></w:r>
</w:p>
<w:p>
<w:pPr><w:pStyle w:val="Normal"/></w:pPr>
<w:r><w:t xml:space="preserve">to nine-tenths of the purchase money of the land they wish to</w:t></w:r>
</w:p>
<w:p>
<w:pPr><w:pStyle w:val="Normal"/></w:pPr>
<w:r><w:t xml:space="preserve">acquire.  This land should be frm 5 to 7 acres in extent</w:t></w:r>
</w:p>
<w:p>
<w:pPr><w:pStyle w:val="Normal"/></w:pPr>
<w:r><w:t xml:space="preserve">and of medium quality, but the limits are from 2 3/4 to 10 3/4</w:t></w:r>
</w:p>
<w:p>
<w:pPr><w:pStyle w:val="Normal"/></w:pPr>
<w:r><w:t xml:space="preserve">acres in the case of better or poorer land.  The total value</w:t></w:r>
</w:p>
<w:p>
<w:pPr><w:pStyle w:val="Normal"/></w:pPr>
<w:r><w:t xml:space="preserve">should not exceed 4000 kr. (L. 222).  The interest payable on</w:t></w:r>
</w:p>
<w:p>
<w:pPr><w:pStyle w:val="Normal"/></w:pPr>
<w:r><w:t xml:space="preserve">the loan received from the state is 3%. The load itself is</w:t></w:r>
</w:p>
<w:p>
<w:pPr><w:pStyle w:val="Normal"/></w:pPr>
<w:r><w:t xml:space="preserve">repayable after the first five years by annual instalments</w:t></w:r>
</w:p>
<w:p>
<w:pPr><w:pStyle w:val="Normal"/></w:pPr>
<w:r><w:t xml:space="preserve">of 4% until half is paid off; the remainder by instalments of</w:t></w:r>
</w:p>
<w:p>
<w:pPr><w:pStyle w:val="Normal"/></w:pPr>
<w:r><w:t xml:space="preserve">3 1/2%, including interest.  Provision is, however, made for</w:t></w:r>
</w:p>
<w:p>
<w:pPr><w:pStyle w:val="Normal"/></w:pPr>
<w:r><w:t xml:space="preserve">cases where the borrower desired to pay off the loan in larger</w:t></w:r>
</w:p>
<w:p>
<w:pPr><w:pStyle w:val="Normal"/></w:pPr>
<w:r><w:t xml:space="preserve">sums.  Regulations are laid down regarding the transfer of</w:t></w:r>
</w:p>
<w:p>
<w:pPr><w:pStyle w:val="Normal"/></w:pPr>
<w:r><w:t xml:space="preserve">such properties and also their testamentary disposition.</w:t></w:r>
</w:p>
<w:p>
<w:pPr><w:pStyle w:val="Normal"/></w:pPr>
<w:r><w:t xml:space="preserve">The Treasury was empowered to devote a sum of 2,000,000 kr.</w:t></w:r>
</w:p>
<w:p>
<w:pPr><w:pStyle w:val="Normal"/></w:pPr>
<w:r><w:t xml:space="preserve">Number and Size of Holdings in Denmark in 1901.</w:t></w:r>
</w:p>
<w:p>
<w:pPr><w:pStyle w:val="Normal"/></w:pPr>
<w:r><w:t xml:space="preserve">Groups                Percentage           Percentage    Average size</w:t></w:r>
</w:p>
<w:p>
<w:pPr><w:pStyle w:val="Normal"/></w:pPr>
<w:r><w:t xml:space="preserve">Tondeland.  Acres.     Number.  of Number.  Acreage  of Area.      in Acres.</w:t></w:r>
</w:p>
<w:p>
<w:pPr><w:pStyle w:val="Normal"/></w:pPr>
<w:r><w:t xml:space="preserve">Under 1   Under 1.36    68,380      27.3     23,455     .3            .34</w:t></w:r>
</w:p>
<w:p>
<w:pPr><w:pStyle w:val="Normal"/></w:pPr>
<w:r><w:t xml:space="preserve">1-3        1.36-4       18,777       7.5     58,553     .7           3.12</w:t></w:r>
</w:p>
<w:p>
<w:pPr><w:pStyle w:val="Normal"/></w:pPr>
<w:r><w:t xml:space="preserve">3-27       4-36.7       93,060      37.2  1,408,549   15.8          15.14</w:t></w:r>
</w:p>
<w:p>
<w:pPr><w:pStyle w:val="Normal"/></w:pPr>
<w:r><w:t xml:space="preserve">27-108    36.7-147      60,872      24.4  4,459,077   50.1          73.25</w:t></w:r>
</w:p>
<w:p>
<w:pPr><w:pStyle w:val="Normal"/></w:pPr>
<w:r><w:t xml:space="preserve">108-216   147-294        6,502       2.6  1,272,398   14.3         195.69</w:t></w:r>
</w:p>
<w:p>
<w:pPr><w:pStyle w:val="Normal"/></w:pPr>
<w:r><w:t xml:space="preserve">Over 216  Over 294       2,392       1.0  1,674,730   18.8         700.14</w:t></w:r>
</w:p>
<w:p>
<w:pPr><w:pStyle w:val="Normal"/></w:pPr>
<w:r><w:t xml:space="preserve">Total       249,983     100.0  8,896,762  100.0          35.59</w:t></w:r>
</w:p>
<w:p>
<w:pPr><w:pStyle w:val="Normal"/></w:pPr>
<w:r><w:t xml:space="preserve">(L. 111,000) this purpose for five years;</w:t></w:r>
</w:p>
<w:p>
<w:pPr><w:pStyle w:val="Normal"/></w:pPr>
<w:r><w:t xml:space="preserve">after that the land is . subject to revision.</w:t></w:r>
</w:p>
<w:p>
<w:pPr><w:pStyle w:val="Normal"/></w:pPr>
<w:r><w:t xml:space="preserve">Even before this law was passed Denmark was a country of small</w:t></w:r>
</w:p>
<w:p>
<w:pPr><w:pStyle w:val="Normal"/></w:pPr>
<w:r><w:t xml:space="preserve">holdings, the peasant farms amounting to 66% of the whole,</w:t></w:r>
</w:p>
<w:p>
<w:pPr><w:pStyle w:val="Normal"/></w:pPr>
<w:r><w:t xml:space="preserve">and the number is bound to increase, since the incorporation</w:t></w:r>
</w:p>
<w:p>
<w:pPr><w:pStyle w:val="Normal"/></w:pPr>
<w:r><w:t xml:space="preserve">of farms is illegal, while there is no obstacle to their</w:t></w:r>
</w:p>
<w:p>
<w:pPr><w:pStyle w:val="Normal"/></w:pPr>
<w:r><w:t xml:space="preserve">division.  Between 1835 and 1885, the number of small holdings</w:t></w:r>
</w:p>
<w:p>
<w:pPr><w:pStyle w:val="Normal"/></w:pPr>
<w:r><w:t xml:space="preserve">of less than one tondekarthorn increased from 24,800 to</w:t></w:r>
</w:p>
<w:p>
<w:pPr><w:pStyle w:val="Normal"/></w:pPr>
<w:r><w:t xml:space="preserve">92,856.  What gives point to these remarks is, that Denmark seems</w:t></w:r>
</w:p>
<w:p>
<w:pPr><w:pStyle w:val="Normal"/></w:pPr>
<w:r><w:t xml:space="preserve">in the way to arrest its rural exodus, and was one of the first</w:t></w:r>
</w:p>
<w:p>
<w:pPr><w:pStyle w:val="Normal"/></w:pPr>
<w:r><w:t xml:space="preserve">countries to escape from the agricultural depression due to the</w:t></w:r>
</w:p>
<w:p>
<w:pPr><w:pStyle w:val="Normal"/></w:pPr>
<w:r><w:t xml:space="preserve">extraordinary fall in grain prices.  The distribution of land</w:t></w:r>
</w:p>
<w:p>
<w:pPr><w:pStyle w:val="Normal"/></w:pPr>
<w:r><w:t xml:space="preserve">in Denmark may be gathered from a glance at the preceding table</w:t></w:r>
</w:p>
<w:p>
<w:pPr><w:pStyle w:val="Normal"/></w:pPr>
<w:r><w:t xml:space="preserve">for the compilation of which we are indebted to Major Craigie.</w:t></w:r>
</w:p>
<w:p>
<w:pPr><w:pStyle w:val="Normal"/></w:pPr>
<w:r><w:t xml:space="preserve">AUTHORITIES.---Walter of Henley&apos;s Husbandry; The English</w:t></w:r>
</w:p>
<w:p>
<w:pPr><w:pStyle w:val="Normal"/></w:pPr>
<w:r><w:t xml:space="preserve">Village Community, by Frederick Seebohm; Annals of</w:t></w:r>
</w:p>
<w:p>
<w:pPr><w:pStyle w:val="Normal"/></w:pPr>
<w:r><w:t xml:space="preserve">Agriculture by Arthur Young; The Agricultural Labourer,</w:t></w:r>
</w:p>
<w:p>
<w:pPr><w:pStyle w:val="Normal"/></w:pPr>
<w:r><w:t xml:space="preserve">by T. E. Kebbel; Report on the Employment of Messrs</w:t></w:r>
</w:p>
<w:p>
<w:pPr><w:pStyle w:val="Normal"/></w:pPr>
<w:r><w:t xml:space="preserve">Tremenheere and Tufnall); A Study of Small Holdings,</w:t></w:r>
</w:p>
<w:p>
<w:pPr><w:pStyle w:val="Normal"/></w:pPr>
<w:r><w:t xml:space="preserve">by W. E. Bear; The Law and the Labourer, by C. W. Stubbs;</w:t></w:r>
</w:p>
<w:p>
<w:pPr><w:pStyle w:val="Normal"/></w:pPr>
<w:r><w:t xml:space="preserve">``Agricultural Holdings in England and Abroad,&apos;&apos; by Major</w:t></w:r>
</w:p>
<w:p>
<w:pPr><w:pStyle w:val="Normal"/></w:pPr>
<w:r><w:t xml:space="preserve">Craigie (Statistical Society&apos;s Journal, vol. i.); The</w:t></w:r>
</w:p>
<w:p>
<w:pPr><w:pStyle w:val="Normal"/></w:pPr>
<w:r><w:t xml:space="preserve">Return to the Land, by Senator Jules Meline; Land</w:t></w:r>
</w:p>
<w:p>
<w:pPr><w:pStyle w:val="Normal"/></w:pPr>
<w:r><w:t xml:space="preserve">Reform, by the Right Hon. Jesse Collings, M.P.; Report</w:t></w:r>
</w:p>
<w:p>
<w:pPr><w:pStyle w:val="Normal"/></w:pPr>
<w:r><w:t xml:space="preserve">on the Decline in the Agricultural Population of Great</w:t></w:r>
</w:p>
<w:p>
<w:pPr><w:pStyle w:val="Normal"/></w:pPr>
<w:r><w:t xml:space="preserve">Britain, issued by the Board of Agriculture and Fisheries;</w:t></w:r>
</w:p>
<w:p>
<w:pPr><w:pStyle w:val="Normal"/></w:pPr>
<w:r><w:t xml:space="preserve">Report of the Departmental Committee appointed by the Board</w:t></w:r>
</w:p>
<w:p>
<w:pPr><w:pStyle w:val="Normal"/></w:pPr>
<w:r><w:t xml:space="preserve">of Agriculture and Fisheries to enquire into and report upon</w:t></w:r>
</w:p>
<w:p>
<w:pPr><w:pStyle w:val="Normal"/></w:pPr>
<w:r><w:t xml:space="preserve">the subject of Small Holdings in Great Britain. (P. A. G.)</w:t></w:r>
</w:p>
<w:p>
<w:pPr><w:pStyle w:val="Normal"/></w:pPr>
<w:r><w:t xml:space="preserve">ALLOTROPY (Gr. allos, other, and tropos, manner), a name</w:t></w:r>
</w:p>
<w:p>
<w:pPr><w:pStyle w:val="Normal"/></w:pPr>
<w:r><w:t xml:space="preserve">applied by J. J. Berzelius to the property possessed by certain</w:t></w:r>
</w:p>
<w:p>
<w:pPr><w:pStyle w:val="Normal"/></w:pPr>
<w:r><w:t xml:space="preserve">substances of existing in different modifications.  Custom has</w:t></w:r>
</w:p>
<w:p>
<w:pPr><w:pStyle w:val="Normal"/></w:pPr>
<w:r><w:t xml:space="preserve">to some extent restricted its use to inorganic chemistry; the</w:t></w:r>
</w:p>
<w:p>
<w:pPr><w:pStyle w:val="Normal"/></w:pPr>
<w:r><w:t xml:space="preserve">corresponding property of organic compounds being generally termed</w:t></w:r>
</w:p>
<w:p>
<w:pPr><w:pStyle w:val="Normal"/></w:pPr>
<w:r><w:t xml:space="preserve">isomerism (q.v..) Conspicuous examples are afforded by oxygen,</w:t></w:r>
</w:p>
<w:p>
<w:pPr><w:pStyle w:val="Normal"/></w:pPr>
<w:r><w:t xml:space="preserve">carbon, boron, silicon, phosphorus, mercuric oxide and iodide.</w:t></w:r>
</w:p>
<w:p>
<w:pPr><w:pStyle w:val="Normal"/></w:pPr>
<w:r><w:t xml:space="preserve">ALLOWANCE (from ``allow,&apos;&apos; derived through O. Fr. alouer</w:t></w:r>
</w:p>
<w:p>
<w:pPr><w:pStyle w:val="Normal"/></w:pPr>
<w:r><w:t xml:space="preserve">from the two Lat. origins adlaudare, to praise, and allocare,</w:t></w:r>
</w:p>
<w:p>
<w:pPr><w:pStyle w:val="Normal"/></w:pPr>
<w:r><w:t xml:space="preserve">to assign a place; so that the English word combined the</w:t></w:r>
</w:p>
<w:p>
<w:pPr><w:pStyle w:val="Normal"/></w:pPr>
<w:r><w:t xml:space="preserve">general idea of ``assigning with approval&apos;&apos;), the action of</w:t></w:r>
</w:p>
<w:p>
<w:pPr><w:pStyle w:val="Normal"/></w:pPr>
<w:r><w:t xml:space="preserve">allowing, or the thing allowed; particularly, a certain limited</w:t></w:r>
</w:p>
<w:p>
<w:pPr><w:pStyle w:val="Normal"/></w:pPr>
<w:r><w:t xml:space="preserve">apportionment of money or food and diet (see DIETARY.)</w:t></w:r>
</w:p>
<w:p>
<w:pPr><w:pStyle w:val="Normal"/></w:pPr>
<w:r><w:t xml:space="preserve">In commercial usage ``allowance&apos;&apos; signifies the deduction made</w:t></w:r>
</w:p>
<w:p>
<w:pPr><w:pStyle w:val="Normal"/></w:pPr>
<w:r><w:t xml:space="preserve">from the gross weight of goods to make up for the weight of</w:t></w:r>
</w:p>
<w:p>
<w:pPr><w:pStyle w:val="Normal"/></w:pPr>
<w:r><w:t xml:space="preserve">the box or package, waste, breakages, &amp;c. Allowance, which is</w:t></w:r>
</w:p>
<w:p>
<w:pPr><w:pStyle w:val="Normal"/></w:pPr>
<w:r><w:t xml:space="preserve">customary in most industries, varies according to the trade,</w:t></w:r>
</w:p>
<w:p>
<w:pPr><w:pStyle w:val="Normal"/></w:pPr>
<w:r><w:t xml:space="preserve">district or country; e.g. in the coal trade it is customary</w:t></w:r>
</w:p>
<w:p>
<w:pPr><w:pStyle w:val="Normal"/></w:pPr>
<w:r><w:t xml:space="preserve">for the merchant to receive from the pit 21 cwts. of coal for</w:t></w:r>
</w:p>
<w:p>
<w:pPr><w:pStyle w:val="Normal"/></w:pPr>
<w:r><w:t xml:space="preserve">every ton purchased by him, the difference of 1 cwt. being the</w:t></w:r>
</w:p>
<w:p>
<w:pPr><w:pStyle w:val="Normal"/></w:pPr>
<w:r><w:t xml:space="preserve">allowance for the purpose of making good the waste caused through</w:t></w:r>
</w:p>
<w:p>
<w:pPr><w:pStyle w:val="Normal"/></w:pPr>
<w:r><w:t xml:space="preserve">transhipment, screening and cartage (see TARE AND TRET.)</w:t></w:r>
</w:p>
<w:p>
<w:pPr><w:pStyle w:val="Normal"/></w:pPr>
<w:r><w:t xml:space="preserve">ALLOXAN, or MESOXALYL UREA, C4H2N2O4</w:t></w:r>
</w:p>
<w:p>
<w:pPr><w:pStyle w:val="Normal"/></w:pPr>
<w:r><w:t xml:space="preserve">/NH-CO\</w:t></w:r>
</w:p>
<w:p>
<w:pPr><w:pStyle w:val="Normal"/></w:pPr>
<w:r><w:t xml:space="preserve">CO       CO</w:t></w:r>
</w:p>
<w:p>
<w:pPr><w:pStyle w:val="Normal"/></w:pPr>
<w:r><w:t xml:space="preserve">\NH-CO/</w:t></w:r>
</w:p>
<w:p>
<w:pPr><w:pStyle w:val="Normal"/></w:pPr>
<w:r><w:t xml:space="preserve">an oxidation product of uric acid, being obtained from it</w:t></w:r>
</w:p>
<w:p>
<w:pPr><w:pStyle w:val="Normal"/></w:pPr>
<w:r><w:t xml:space="preserve">by the action of cold nitric acid, C5H4N4O3 + H2O +</w:t></w:r>
</w:p>
<w:p>
<w:pPr><w:pStyle w:val="Normal"/></w:pPr>
<w:r><w:t xml:space="preserve">O = C4H2N3O4 + CO(NH2)2.  It crystallizes from water</w:t></w:r>
</w:p>
<w:p>
<w:pPr><w:pStyle w:val="Normal"/></w:pPr>
<w:r><w:t xml:space="preserve">in colourless rhombic prisms, containing four molecules</w:t></w:r>
</w:p>
<w:p>
<w:pPr><w:pStyle w:val="Normal"/></w:pPr>
<w:r><w:t xml:space="preserve">of water of crystallization, and possesses a very acid</w:t></w:r>
</w:p>
<w:p>
<w:pPr><w:pStyle w:val="Normal"/></w:pPr>
<w:r><w:t xml:space="preserve">reaction.  It serves as the starting-point for the preparation</w:t></w:r>
</w:p>
<w:p>
<w:pPr><w:pStyle w:val="Normal"/></w:pPr>
<w:r><w:t xml:space="preserve">of many related substances.  Zinc and hydrochloric acid in</w:t></w:r>
</w:p>
<w:p>
<w:pPr><w:pStyle w:val="Normal"/></w:pPr>
<w:r><w:t xml:space="preserve">the cold convert it into alloxantin (q.v.), hydroxylamine</w:t></w:r>
</w:p>
<w:p>
<w:pPr><w:pStyle w:val="Normal"/></w:pPr>
<w:r><w:t xml:space="preserve">gives nitroso-barbituric acid, C4H2N2O3: NOH, baryta</w:t></w:r>
</w:p>
<w:p>
<w:pPr><w:pStyle w:val="Normal"/></w:pPr>
<w:r><w:t xml:space="preserve">water gives alloxanic acid, C4H4N2O5, hot dilute nitric</w:t></w:r>
</w:p>
<w:p>
<w:pPr><w:pStyle w:val="Normal"/></w:pPr>
<w:r><w:t xml:space="preserve">acid oxidizes it to parabanic acid (q.v.), hot potassium</w:t></w:r>
</w:p>
<w:p>
<w:pPr><w:pStyle w:val="Normal"/></w:pPr>
<w:r><w:t xml:space="preserve">hydroxide solution hydrolyses it to urea and mesoxalic</w:t></w:r>
</w:p>
<w:p>
<w:pPr><w:pStyle w:val="Normal"/></w:pPr>
<w:r><w:t xml:space="preserve">acid (q.v.) and zinc and hot hydrochloric acid convert</w:t></w:r>
</w:p>
<w:p>
<w:pPr><w:pStyle w:val="Normal"/></w:pPr>
<w:r><w:t xml:space="preserve">it into dialuric acid, C4H4N2O4.  M. Nencki has shown</w:t></w:r>
</w:p>
<w:p>
<w:pPr><w:pStyle w:val="Normal"/></w:pPr>
<w:r><w:t xml:space="preserve">that alloxan combines with thiourea in alcoholic solution,</w:t></w:r>
</w:p>
<w:p>
<w:pPr><w:pStyle w:val="Normal"/></w:pPr>
<w:r><w:t xml:space="preserve">in the presence of sulphur dioxide to form pseudothiouric</w:t></w:r>
</w:p>
<w:p>
<w:pPr><w:pStyle w:val="Normal"/></w:pPr>
<w:r><w:t xml:space="preserve">acid, C5H6N4SO3.  Methyl and dimethylalloxans are also</w:t></w:r>
</w:p>
<w:p>
<w:pPr><w:pStyle w:val="Normal"/></w:pPr>
<w:r><w:t xml:space="preserve">known, the former being obtained on oxidation of methyl uric</w:t></w:r>
</w:p>
<w:p>
<w:pPr><w:pStyle w:val="Normal"/></w:pPr>
<w:r><w:t xml:space="preserve">acid, and the latter on oxidation of caffeine (q.v..)</w:t></w:r>
</w:p>
<w:p>
<w:pPr><w:pStyle w:val="Normal"/></w:pPr>
<w:r><w:t xml:space="preserve">ALLOXANTIN, C8H4N4O7.3H2O, a product obtained by the combination</w:t></w:r>
</w:p>
<w:p>
<w:pPr><w:pStyle w:val="Normal"/></w:pPr>
<w:r><w:t xml:space="preserve">of alloxan and dialuric acid, probably possessing the constitution</w:t></w:r>
</w:p>
<w:p>
<w:pPr><w:pStyle w:val="Normal"/></w:pPr>
<w:r><w:t xml:space="preserve">NH--CO        CO--NH</w:t></w:r>
</w:p>
<w:p>
<w:pPr><w:pStyle w:val="Normal"/></w:pPr>
<w:r><w:t xml:space="preserve">|   |         |   |</w:t></w:r>
</w:p>
<w:p>
<w:pPr><w:pStyle w:val="Normal"/></w:pPr>
<w:r><w:t xml:space="preserve">CO  C(OH)--O--CH  CO</w:t></w:r>
</w:p>
<w:p>
<w:pPr><w:pStyle w:val="Normal"/></w:pPr>
<w:r><w:t xml:space="preserve">|   |         |   |</w:t></w:r>
</w:p>
<w:p>
<w:pPr><w:pStyle w:val="Normal"/></w:pPr>
<w:r><w:t xml:space="preserve">NH--CO        CO--NH</w:t></w:r>
</w:p>
<w:p>
<w:pPr><w:pStyle w:val="Normal"/></w:pPr>
<w:r><w:t xml:space="preserve">one of the three molecules Of water bema possibly constitutional.</w:t></w:r>
</w:p>
<w:p>
<w:pPr><w:pStyle w:val="Normal"/></w:pPr>
<w:r><w:t xml:space="preserve">It forms small hard prisms which become red on exposure to air</w:t></w:r>
</w:p>
<w:p>
<w:pPr><w:pStyle w:val="Normal"/></w:pPr>
<w:r><w:t xml:space="preserve">containing ammonia, owing to the formation of murexide (ammonium</w:t></w:r>
</w:p>
<w:p>
<w:pPr><w:pStyle w:val="Normal"/></w:pPr>
<w:r><w:t xml:space="preserve">purpurate), C8H4(NH4)N5O6.  It may also be obtained by the</w:t></w:r>
</w:p>
<w:p>
<w:pPr><w:pStyle w:val="Normal"/></w:pPr>
<w:r><w:t xml:space="preserve">action of sulphuretted hydrogen on alloxan.  The tetramethyl</w:t></w:r>
</w:p>
<w:p>
<w:pPr><w:pStyle w:val="Normal"/></w:pPr>
<w:r><w:t xml:space="preserve">derivative, amalic acid, C8(CH3)4N4O7, has been prepared</w:t></w:r>
</w:p>
<w:p>
<w:pPr><w:pStyle w:val="Normal"/></w:pPr>
<w:r><w:t xml:space="preserve">by oxidizing caffeine (q.v.) with chlorine water, and forms</w:t></w:r>
</w:p>
<w:p>
<w:pPr><w:pStyle w:val="Normal"/></w:pPr>
<w:r><w:t xml:space="preserve">colourless crystals which are only slightly soluble in hot</w:t></w:r>
</w:p>
<w:p>
<w:pPr><w:pStyle w:val="Normal"/></w:pPr>
<w:r><w:t xml:space="preserve">water.  The formation of murexide is used as a test for the</w:t></w:r>
</w:p>
<w:p>
<w:pPr><w:pStyle w:val="Normal"/></w:pPr>
<w:r><w:t xml:space="preserve">presence of uric acid, which on evaporation with dilute nitric</w:t></w:r>
</w:p>
<w:p>
<w:pPr><w:pStyle w:val="Normal"/></w:pPr>
<w:r><w:t xml:space="preserve">acid gives alloxantin, and by the addition of ammonia to the</w:t></w:r>
</w:p>
<w:p>
<w:pPr><w:pStyle w:val="Normal"/></w:pPr>
<w:r><w:t xml:space="preserve">residue the purple red colour of murexide becomes apparent.</w:t></w:r>
</w:p>
<w:p>
<w:pPr><w:pStyle w:val="Normal"/></w:pPr>
<w:r><w:t xml:space="preserve">ALLOYS (through the Fr. aloyer, from Lat. alligare, to</w:t></w:r>
</w:p>
<w:p>
<w:pPr><w:pStyle w:val="Normal"/></w:pPr>
<w:r><w:t xml:space="preserve">combine), a term generally applied to the intimate mixtures</w:t></w:r>
</w:p>
<w:p>
<w:pPr><w:pStyle w:val="Normal"/></w:pPr>
<w:r><w:t xml:space="preserve">obtained by melting together two or more metals, and allowing</w:t></w:r>
</w:p>
<w:p>
<w:pPr><w:pStyle w:val="Normal"/></w:pPr>
<w:r><w:t xml:space="preserve">the mass to solidify.  It may conveniently be extended to similar</w:t></w:r>
</w:p>
<w:p>
<w:pPr><w:pStyle w:val="Normal"/></w:pPr>
<w:r><w:t xml:space="preserve">mixtures of sulphur and selenium or tellurium, of bismuth and</w:t></w:r>
</w:p>
<w:p>
<w:pPr><w:pStyle w:val="Normal"/></w:pPr>
<w:r><w:t xml:space="preserve">sulphur, of copper and cuprous oxide, and of iron and carbon,</w:t></w:r>
</w:p>
<w:p>
<w:pPr><w:pStyle w:val="Normal"/></w:pPr>
<w:r><w:t xml:space="preserve">in fact to all cases in which substances can be made to mix in</w:t></w:r>
</w:p>
<w:p>
<w:pPr><w:pStyle w:val="Normal"/></w:pPr>
<w:r><w:t xml:space="preserve">varying proportions without very marked indication of chemical</w:t></w:r>
</w:p>
<w:p>
<w:pPr><w:pStyle w:val="Normal"/></w:pPr>
<w:r><w:t xml:space="preserve">action.  The term ``alloy&apos;&apos; does not necessarily imply</w:t></w:r>
</w:p>
<w:p>
<w:pPr><w:pStyle w:val="Normal"/></w:pPr>
<w:r><w:t xml:space="preserve">obedience to the laws of definite and multiple proportion or</w:t></w:r>
</w:p>
<w:p>
<w:pPr><w:pStyle w:val="Normal"/></w:pPr>
<w:r><w:t xml:space="preserve">even uniformity throughout the material; but some alloys are</w:t></w:r>
</w:p>
<w:p>
<w:pPr><w:pStyle w:val="Normal"/></w:pPr>
<w:r><w:t xml:space="preserve">homogeneous and some are chemical compounds.  In what follows</w:t></w:r>
</w:p>
<w:p>
<w:pPr><w:pStyle w:val="Normal"/></w:pPr>
<w:r><w:t xml:space="preserve">we shall confine our attention principally to metallic alloys.</w:t></w:r>
</w:p>
<w:p>
<w:pPr><w:pStyle w:val="Normal"/></w:pPr>
<w:r><w:t xml:space="preserve">If we melt copper and add to it about 30% of zinc, or 20% of</w:t></w:r>
</w:p>
<w:p>
<w:pPr><w:pStyle w:val="Normal"/></w:pPr>
<w:r><w:t xml:space="preserve">tin, we obtain uniform liquids which when solidified are the</w:t></w:r>
</w:p>
<w:p>
<w:pPr><w:pStyle w:val="Normal"/></w:pPr>
<w:r><w:t xml:space="preserve">well-known substances brass and bell-metal.  These substances</w:t></w:r>
</w:p>
<w:p>
<w:pPr><w:pStyle w:val="Normal"/></w:pPr>
<w:r><w:t xml:space="preserve">are for all practical purposes new metals.  The difference in</w:t></w:r>
</w:p>
<w:p>
<w:pPr><w:pStyle w:val="Normal"/></w:pPr>
<w:r><w:t xml:space="preserve">the appearance of brass and copper is familiar to everyone;</w:t></w:r>
</w:p>
<w:p>
<w:pPr><w:pStyle w:val="Normal"/></w:pPr>
<w:r><w:t xml:space="preserve">brass is also much harder than copper and much more suitable</w:t></w:r>
</w:p>
<w:p>
<w:pPr><w:pStyle w:val="Normal"/></w:pPr>
<w:r><w:t xml:space="preserve">for being turned in a lathe.  Similarly, bell-metal is</w:t></w:r>
</w:p>
<w:p>
<w:pPr><w:pStyle w:val="Normal"/></w:pPr>
<w:r><w:t xml:space="preserve">harder, more sonorous and more brittle than either of its</w:t></w:r>
</w:p>
<w:p>
<w:pPr><w:pStyle w:val="Normal"/></w:pPr>
<w:r><w:t xml:space="preserve">components.  It is almost impossible by mechanical means</w:t></w:r>
</w:p>
<w:p>
<w:pPr><w:pStyle w:val="Normal"/></w:pPr>
<w:r><w:t xml:space="preserve">to detect the separate ingredients in such an alloy; we may</w:t></w:r>
</w:p>
<w:p>
<w:pPr><w:pStyle w:val="Normal"/></w:pPr>
<w:r><w:t xml:space="preserve">cut or file or polish it without discovering any lack of</w:t></w:r>
</w:p>
<w:p>
<w:pPr><w:pStyle w:val="Normal"/></w:pPr>
<w:r><w:t xml:space="preserve">homogeneousness.  But it is not permissible to call brass a</w:t></w:r>
</w:p>
<w:p>
<w:pPr><w:pStyle w:val="Normal"/></w:pPr>
<w:r><w:t xml:space="preserve">chemical compound, for we can largely alter its percentage</w:t></w:r>
</w:p>
<w:p>
<w:pPr><w:pStyle w:val="Normal"/></w:pPr>
<w:r><w:t xml:space="preserve">composition without the substance losing the properties</w:t></w:r>
</w:p>
<w:p>
<w:pPr><w:pStyle w:val="Normal"/></w:pPr>
<w:r><w:t xml:space="preserve">characteristic of brass; the properties change more or less</w:t></w:r>
</w:p>
<w:p>
<w:pPr><w:pStyle w:val="Normal"/></w:pPr>
<w:r><w:t xml:space="preserve">continuously, the colour, for example, becoming redder with</w:t></w:r>
</w:p>
<w:p>
<w:pPr><w:pStyle w:val="Normal"/></w:pPr>
<w:r><w:t xml:space="preserve">decrease in the percentage of zinc, and a paler yellow when</w:t></w:r>
</w:p>
<w:p>
<w:pPr><w:pStyle w:val="Normal"/></w:pPr>
<w:r><w:t xml:space="preserve">there is more zinc.  The possibility of continuously varying</w:t></w:r>
</w:p>
<w:p>
<w:pPr><w:pStyle w:val="Normal"/></w:pPr>
<w:r><w:t xml:space="preserve">the percentage composition suggests analogy between an alloy</w:t></w:r>
</w:p>
<w:p>
<w:pPr><w:pStyle w:val="Normal"/></w:pPr>
<w:r><w:t xml:space="preserve">and a solution, and A. Matthiessen (Phil.  Trans., 1860)</w:t></w:r>
</w:p>
<w:p>
<w:pPr><w:pStyle w:val="Normal"/></w:pPr>
<w:r><w:t xml:space="preserve">applied the term ``solidified solutions&apos;&apos; to alloys.  Regarded</w:t></w:r>
</w:p>
<w:p>
<w:pPr><w:pStyle w:val="Normal"/></w:pPr>
<w:r><w:t xml:space="preserve">as descriptive of the genesis of an alloy from a uniform liquid</w:t></w:r>
</w:p>
<w:p>
<w:pPr><w:pStyle w:val="Normal"/></w:pPr>
<w:r><w:t xml:space="preserve">containing two or more metals, the term is not incorrect, and</w:t></w:r>
</w:p>
<w:p>
<w:pPr><w:pStyle w:val="Normal"/></w:pPr>
<w:r><w:t xml:space="preserve">it may have acted as a signpost towards profitable methods of</w:t></w:r>
</w:p>
<w:p>
<w:pPr><w:pStyle w:val="Normal"/></w:pPr>
<w:r><w:t xml:space="preserve">research.  But modern work has shown that, although alloys</w:t></w:r>
</w:p>
<w:p>
<w:pPr><w:pStyle w:val="Normal"/></w:pPr>
<w:r><w:t xml:space="preserve">sometimes contain solid solutions, the solid alloy as a</w:t></w:r>
</w:p>
<w:p>
<w:pPr><w:pStyle w:val="Normal"/></w:pPr>
<w:r><w:t xml:space="preserve">whole is often far more like a conglomerate rock than a uniform</w:t></w:r>
</w:p>
<w:p>
<w:pPr><w:pStyle w:val="Normal"/></w:pPr>
<w:r><w:t xml:space="preserve">solution.  In fact the uniformity of brass and bell-metal is</w:t></w:r>
</w:p>
<w:p>
<w:pPr><w:pStyle w:val="Normal"/></w:pPr>
<w:r><w:t xml:space="preserve">only superficial; if we adopt the methods described in the</w:t></w:r>
</w:p>
<w:p>
<w:pPr><w:pStyle w:val="Normal"/></w:pPr>
<w:r><w:t xml:space="preserve">article METALLOGRAPHY, and if, after polishing a plane face</w:t></w:r>
</w:p>
<w:p>
<w:pPr><w:pStyle w:val="Normal"/></w:pPr>
<w:r><w:t xml:space="preserve">on a bit of gun-metal, we etch away the surface layer and</w:t></w:r>
</w:p>
<w:p>
<w:pPr><w:pStyle w:val="Normal"/></w:pPr>
<w:r><w:t xml:space="preserve">examine the new surface with a lens or a microscope, we find</w:t></w:r>
</w:p>
<w:p>
<w:pPr><w:pStyle w:val="Normal"/></w:pPr>
<w:r><w:t xml:space="preserve">a complex pattern of at least two materials.  Fig. 1 (Plate)</w:t></w:r>
</w:p>
<w:p>
<w:pPr><w:pStyle w:val="Normal"/></w:pPr>
<w:r><w:t xml:space="preserve">is from a photograph of a bronze containing 23.3% by weight of</w:t></w:r>
</w:p>
<w:p>
<w:pPr><w:pStyle w:val="Normal"/></w:pPr>
<w:r><w:t xml:space="preserve">tin.  The acid used to etch the surface has darkened the</w:t></w:r>
</w:p>
<w:p>
<w:pPr><w:pStyle w:val="Normal"/></w:pPr>
<w:r><w:t xml:space="preserve">parts richest in copper, while those richest in tin remained</w:t></w:r>
</w:p>
<w:p>
<w:pPr><w:pStyle w:val="Normal"/></w:pPr>
<w:r><w:t xml:space="preserve">white.  The two ingredients revealed by this process are not</w:t></w:r>
</w:p>
<w:p>
<w:pPr><w:pStyle w:val="Normal"/></w:pPr>
<w:r><w:t xml:space="preserve">pure copper and pure tin, but each material contains both</w:t></w:r>
</w:p>
<w:p>
<w:pPr><w:pStyle w:val="Normal"/></w:pPr>
<w:r><w:t xml:space="preserve">metals.  In this case the white tin-rich portions are themselves</w:t></w:r>
</w:p>
<w:p>
<w:pPr><w:pStyle w:val="Normal"/></w:pPr>
<w:r><w:t xml:space="preserve">a complex that can be resolved into two substances by a higher</w:t></w:r>
</w:p>
<w:p>
<w:pPr><w:pStyle w:val="Normal"/></w:pPr>
<w:r><w:t xml:space="preserve">magnification.  The majority of alloys, when examined thus,</w:t></w:r>
</w:p>
<w:p>
<w:pPr><w:pStyle w:val="Normal"/></w:pPr>
<w:r><w:t xml:space="preserve">prove to be complexes of two or more materials, and the patterns</w:t></w:r>
</w:p>
<w:p>
<w:pPr><w:pStyle w:val="Normal"/></w:pPr>
<w:r><w:t xml:space="preserve">showing the distribution of these materials throughout the</w:t></w:r>
</w:p>
<w:p>
<w:pPr><w:pStyle w:val="Normal"/></w:pPr>
<w:r><w:t xml:space="preserve">alloy are of a most varied character.  It is certain that the</w:t></w:r>
</w:p>
<w:p>
<w:pPr><w:pStyle w:val="Normal"/></w:pPr>
<w:r><w:t xml:space="preserve">structure existing in the alloy is closely connected with the</w:t></w:r>
</w:p>
<w:p>
<w:pPr><w:pStyle w:val="Normal"/></w:pPr>
<w:r><w:t xml:space="preserve">mechanical properties, such as hardness, toughness, rigidity,</w:t></w:r>
</w:p>
<w:p>
<w:pPr><w:pStyle w:val="Normal"/></w:pPr>
<w:r><w:t xml:space="preserve">and so on, that make particular alloys valuable in the arts,</w:t></w:r>
</w:p>
<w:p>
<w:pPr><w:pStyle w:val="Normal"/></w:pPr>
<w:r><w:t xml:space="preserve">and many efforts have been made to trace this connexion.  These</w:t></w:r>
</w:p>
<w:p>
<w:pPr><w:pStyle w:val="Normal"/></w:pPr>
<w:r><w:t xml:space="preserve">efforts have, in some cases, been very successful; for example,</w:t></w:r>
</w:p>
<w:p>
<w:pPr><w:pStyle w:val="Normal"/></w:pPr>
<w:r><w:t xml:space="preserve">in the case of steel, which is an alloy of iron and carbon, a</w:t></w:r>
</w:p>
<w:p>
<w:pPr><w:pStyle w:val="Normal"/></w:pPr>
<w:r><w:t xml:space="preserve">microscopical examination gives valuable information concerning</w:t></w:r>
</w:p>
<w:p>
<w:pPr><w:pStyle w:val="Normal"/></w:pPr>
<w:r><w:t xml:space="preserve">the suitability&apos; of a sample of steel for special purposes.</w:t></w:r>
</w:p>
<w:p>
<w:pPr><w:pStyle w:val="Normal"/></w:pPr>
<w:r><w:t xml:space="preserve">Mixture by fusion is the general method of producing an</w:t></w:r>
</w:p>
<w:p>
<w:pPr><w:pStyle w:val="Normal"/></w:pPr>
<w:r><w:t xml:space="preserve">alloy, but it is not the only method possible.  It would</w:t></w:r>
</w:p>
<w:p>
<w:pPr><w:pStyle w:val="Normal"/></w:pPr>
<w:r><w:t xml:space="preserve">seem, indeed, that any process by which the particles of</w:t></w:r>
</w:p>
<w:p>
<w:pPr><w:pStyle w:val="Normal"/></w:pPr>
<w:r><w:t xml:space="preserve">two metals are intimately mingled and brought into close</w:t></w:r>
</w:p>
<w:p>
<w:pPr><w:pStyle w:val="Normal"/></w:pPr>
<w:r><w:t xml:space="preserve">contact, so that diffusion of one metal into the other can</w:t></w:r>
</w:p>
<w:p>
<w:pPr><w:pStyle w:val="Normal"/></w:pPr>
<w:r><w:t xml:space="preserve">take place, is likely to result in the formation, of an</w:t></w:r>
</w:p>
<w:p>
<w:pPr><w:pStyle w:val="Normal"/></w:pPr>
<w:r><w:t xml:space="preserve">alloy.  For example, if vapours of the volatile metals</w:t></w:r>
</w:p>
<w:p>
<w:pPr><w:pStyle w:val="Normal"/></w:pPr>
<w:r><w:t xml:space="preserve">cadmium, zinc and magnesium are allowed to act on platinum or</w:t></w:r>
</w:p>
<w:p>
<w:pPr><w:pStyle w:val="Normal"/></w:pPr>
<w:r><w:t xml:space="preserve">palladium, alloys are produced.  The methods of manufacture</w:t></w:r>
</w:p>
<w:p>
<w:pPr><w:pStyle w:val="Normal"/></w:pPr>
<w:r><w:t xml:space="preserve">of steel by cementation, case-hardening and the Harvey</w:t></w:r>
</w:p>
<w:p>
<w:pPr><w:pStyle w:val="Normal"/></w:pPr>
<w:r><w:t xml:space="preserve">process are important operations which appear to depend on</w:t></w:r>
</w:p>
<w:p>
<w:pPr><w:pStyle w:val="Normal"/></w:pPr>
<w:r><w:t xml:space="preserve">the diffusion of the carburetting material into the solid</w:t></w:r>
</w:p>
<w:p>
<w:pPr><w:pStyle w:val="Normal"/></w:pPr>
<w:r><w:t xml:space="preserve">metal.  When a solution of silver nitrate is poured on to</w:t></w:r>
</w:p>
<w:p>
<w:pPr><w:pStyle w:val="Normal"/></w:pPr>
<w:r><w:t xml:space="preserve">metallic mercury, the mercury replaces the silver in the</w:t></w:r>
</w:p>
<w:p>
<w:pPr><w:pStyle w:val="Normal"/></w:pPr>
<w:r><w:t xml:space="preserve">solution, forming nitrate of mercury, and the silver is</w:t></w:r>
</w:p>
<w:p>
<w:pPr><w:pStyle w:val="Normal"/></w:pPr>
<w:r><w:t xml:space="preserve">precipitated; it does not, however, appear as pure metallic</w:t></w:r>
</w:p>
<w:p>
<w:pPr><w:pStyle w:val="Normal"/></w:pPr>
<w:r><w:t xml:space="preserve">silver, but in the form of crystalline needles of an alloy</w:t></w:r>
</w:p>
<w:p>
<w:pPr><w:pStyle w:val="Normal"/></w:pPr>
<w:r><w:t xml:space="preserve">of silver and mercury.  F. B. Mylius and O. Fromm have shown</w:t></w:r>
</w:p>
<w:p>
<w:pPr><w:pStyle w:val="Normal"/></w:pPr>
<w:r><w:t xml:space="preserve">that alloys may be precipitated from dilute solutions by zinc</w:t></w:r>
</w:p>
<w:p>
<w:pPr><w:pStyle w:val="Normal"/></w:pPr>
<w:r><w:t xml:space="preserve">cadmium, tin, lead and copper.  Thus a strip of zinc plunged</w:t></w:r>
</w:p>
<w:p>
<w:pPr><w:pStyle w:val="Normal"/></w:pPr>
<w:r><w:t xml:space="preserve">into a solution of silver sulphate, containing not more than</w:t></w:r>
</w:p>
<w:p>
<w:pPr><w:pStyle w:val="Normal"/></w:pPr>
<w:r><w:t xml:space="preserve">0.03 gramme of silver in the litre, becomes covered with a</w:t></w:r>
</w:p>
<w:p>
<w:pPr><w:pStyle w:val="Normal"/></w:pPr>
<w:r><w:t xml:space="preserve">flocculent precipitate which is a true alloy of silver and</w:t></w:r>
</w:p>
<w:p>
<w:pPr><w:pStyle w:val="Normal"/></w:pPr>
<w:r><w:t xml:space="preserve">zinc, and in the same way, when copper is precipitated</w:t></w:r>
</w:p>
<w:p>
<w:pPr><w:pStyle w:val="Normal"/></w:pPr>
<w:r><w:t xml:space="preserve">from its sulphate by zinc, the alloy formed is brass.  They</w:t></w:r>
</w:p>
<w:p>
<w:pPr><w:pStyle w:val="Normal"/></w:pPr>
<w:r><w:t xml:space="preserve">have also formed in this way certain alloys or definite</w:t></w:r>
</w:p>
<w:p>
<w:pPr><w:pStyle w:val="Normal"/></w:pPr>
<w:r><w:t xml:space="preserve">composition, such as AuCd3, Cu2Cd, and. more interesting</w:t></w:r>
</w:p>
<w:p>
<w:pPr><w:pStyle w:val="Normal"/></w:pPr>
<w:r><w:t xml:space="preserve">still, Cu2Sn.  A very similar fact, that brass may be formed</w:t></w:r>
</w:p>
<w:p>
<w:pPr><w:pStyle w:val="Normal"/></w:pPr>
<w:r><w:t xml:space="preserve">by electrodeposition from a solution containing zinc and</w:t></w:r>
</w:p>
<w:p>
<w:pPr><w:pStyle w:val="Normal"/></w:pPr>
<w:r><w:t xml:space="preserve">copper, has long been known.  W. V. Spring has shown that by</w:t></w:r>
</w:p>
<w:p>
<w:pPr><w:pStyle w:val="Normal"/></w:pPr>
<w:r><w:t xml:space="preserve">compressing a finely divided mixture of 15 parts of bismuth,</w:t></w:r>
</w:p>
<w:p>
<w:pPr><w:pStyle w:val="Normal"/></w:pPr>
<w:r><w:t xml:space="preserve">8 parts of lead, 4 parts of tin and 3 parts of cadmium, an</w:t></w:r>
</w:p>
<w:p>
<w:pPr><w:pStyle w:val="Normal"/></w:pPr>
<w:r><w:t xml:space="preserve">alloy is produced which melts at 100 deg.  C., that is. much</w:t></w:r>
</w:p>
<w:p>
<w:pPr><w:pStyle w:val="Normal"/></w:pPr>
<w:r><w:t xml:space="preserve">below the melting-point of any of the four metals.  But these</w:t></w:r>
</w:p>
<w:p>
<w:pPr><w:pStyle w:val="Normal"/></w:pPr>
<w:r><w:t xml:space="preserve">methods or forming alloys, although they suggest questions</w:t></w:r>
</w:p>
<w:p>
<w:pPr><w:pStyle w:val="Normal"/></w:pPr>
<w:r><w:t xml:space="preserve">of great interest, cannot receive further discussion bore.</w:t></w:r>
</w:p>
<w:p>
<w:pPr><w:pStyle w:val="Normal"/></w:pPr>
<w:r><w:t xml:space="preserve">Our knowledge of the nature of solid alloys has been much</w:t></w:r>
</w:p>
<w:p>
<w:pPr><w:pStyle w:val="Normal"/></w:pPr>
<w:r><w:t xml:space="preserve">enlarged by a careful study of the process of solidification.</w:t></w:r>
</w:p>
<w:p>
<w:pPr><w:pStyle w:val="Normal"/></w:pPr>
<w:r><w:t xml:space="preserve">Let us suppose that a molten mixture of two substances A and</w:t></w:r>
</w:p>
<w:p>
<w:pPr><w:pStyle w:val="Normal"/></w:pPr>
<w:r><w:t xml:space="preserve">B, which at a sufficiently high temperature form a uniform</w:t></w:r>
</w:p>
<w:p>
<w:pPr><w:pStyle w:val="Normal"/></w:pPr>
<w:r><w:t xml:space="preserve">liquid, and which do not combine to form definite compounds,</w:t></w:r>
</w:p>
<w:p>
<w:pPr><w:pStyle w:val="Normal"/></w:pPr>
<w:r><w:t xml:space="preserve">is slowly cooled until it becomes wholly solid.  The phenomena</w:t></w:r>
</w:p>
<w:p>
<w:pPr><w:pStyle w:val="Normal"/></w:pPr>
<w:r><w:t xml:space="preserve">which succeed each other are then very similar, whether A</w:t></w:r>
</w:p>
<w:p>
<w:pPr><w:pStyle w:val="Normal"/></w:pPr>
<w:r><w:t xml:space="preserve">and B are two metals, such as lead and tin or silver and</w:t></w:r>
</w:p>
<w:p>
<w:pPr><w:pStyle w:val="Normal"/></w:pPr>
<w:r><w:t xml:space="preserve">copper, or are a pair of fused salts, or are water and common</w:t></w:r>
</w:p>
<w:p>
<w:pPr><w:pStyle w:val="Normal"/></w:pPr>
<w:r><w:t xml:space="preserve">salt.  All these mixtures when solidified may fairly be termed</w:t></w:r>
</w:p>
<w:p>
<w:pPr><w:pStyle w:val="Normal"/></w:pPr>
<w:r><w:t xml:space="preserve">alloys.1 If a mixture of A and B be melted and then allowed</w:t></w:r>
</w:p>
<w:p>
<w:pPr><w:pStyle w:val="Normal"/></w:pPr>
<w:r><w:t xml:space="preserve">to cool, a thermometer immersed in the mixture will indicate</w:t></w:r>
</w:p>
<w:p>
<w:pPr><w:pStyle w:val="Normal"/></w:pPr>
<w:r><w:t xml:space="preserve">a gradually falling temperature.  But when solidification</w:t></w:r>
</w:p>
<w:p>
<w:pPr><w:pStyle w:val="Normal"/></w:pPr>
<w:r><w:t xml:space="preserve">commences. the thermometer will cease to fall, it may even</w:t></w:r>
</w:p>
<w:p>
<w:pPr><w:pStyle w:val="Normal"/></w:pPr>
<w:r><w:t xml:space="preserve">rise slightly, and the temperature will remain almost constant</w:t></w:r>
</w:p>
<w:p>
<w:pPr><w:pStyle w:val="Normal"/></w:pPr>
<w:r><w:t xml:space="preserve">for a short time.  This halt in the cooling, due to the heat</w:t></w:r>
</w:p>
<w:p>
<w:pPr><w:pStyle w:val="Normal"/></w:pPr>
<w:r><w:t xml:space="preserve">evolved in the solidification of the first crystals that form</w:t></w:r>
</w:p>
<w:p>
<w:pPr><w:pStyle w:val="Normal"/></w:pPr>
<w:r><w:t xml:space="preserve">in the liquid is called the freezing-point of the mixture;</w:t></w:r>
</w:p>
<w:p>
<w:pPr><w:pStyle w:val="Normal"/></w:pPr>
<w:r><w:t xml:space="preserve">the freezing-point can generally be observed with considerable</w:t></w:r>
</w:p>
<w:p>
<w:pPr><w:pStyle w:val="Normal"/></w:pPr>
<w:r><w:t xml:space="preserve">accuracy.  In the case of a pure substance, and of a certain</w:t></w:r>
</w:p>
<w:p>
<w:pPr><w:pStyle w:val="Normal"/></w:pPr>
<w:r><w:t xml:space="preserve">small class of mixtures, there is no further fall in temperature</w:t></w:r>
</w:p>
<w:p>
<w:pPr><w:pStyle w:val="Normal"/></w:pPr>
<w:r><w:t xml:space="preserve">until the substance has become completely solid, but, in</w:t></w:r>
</w:p>
<w:p>
<w:pPr><w:pStyle w:val="Normal"/></w:pPr>
<w:r><w:t xml:space="preserve">the case of most mixtures, after the freezing-point has been</w:t></w:r>
</w:p>
<w:p>
<w:pPr><w:pStyle w:val="Normal"/></w:pPr>
<w:r><w:t xml:space="preserve">reached the temperature soon begins to fall again, and as the</w:t></w:r>
</w:p>
<w:p>
<w:pPr><w:pStyle w:val="Normal"/></w:pPr>
<w:r><w:t xml:space="preserve">amount of solid increases the temperature becomes lower and</w:t></w:r>
</w:p>
<w:p>
<w:pPr><w:pStyle w:val="Normal"/></w:pPr>
<w:r><w:t xml:space="preserve">lower.  There may be other halts in the cooling, both before</w:t></w:r>
</w:p>
<w:p>
<w:pPr><w:pStyle w:val="Normal"/></w:pPr>
<w:r><w:t xml:space="preserve">and after complete solidification, due to evolution of</w:t></w:r>
</w:p>
<w:p>
<w:pPr><w:pStyle w:val="Normal"/></w:pPr>
<w:r><w:t xml:space="preserve">heat in the mixture.  These halts in temperature that occur</w:t></w:r>
</w:p>
<w:p>
<w:pPr><w:pStyle w:val="Normal"/></w:pPr>
<w:r><w:t xml:space="preserve">during the cooling of a mixture should be carefully noted,</w:t></w:r>
</w:p>
<w:p>
<w:pPr><w:pStyle w:val="Normal"/></w:pPr>
<w:r><w:t xml:space="preserve">as they give valuable information concerning the physical and</w:t></w:r>
</w:p>
<w:p>
<w:pPr><w:pStyle w:val="Normal"/></w:pPr>
<w:r><w:t xml:space="preserve">chemical changes that are taking place.  If we determine the</w:t></w:r>
</w:p>
<w:p>
<w:pPr><w:pStyle w:val="Normal"/></w:pPr>
<w:r><w:t xml:space="preserve">freezing-points of a number of mixtures varying in composition</w:t></w:r>
</w:p>
<w:p>
<w:pPr><w:pStyle w:val="Normal"/></w:pPr>
<w:r><w:t xml:space="preserve">from pure A to pure B, we can plot the freezing-point</w:t></w:r>
</w:p>
<w:p>
<w:pPr><w:pStyle w:val="Normal"/></w:pPr>
<w:r><w:t xml:space="preserve">curve.  In such a curve the percentage composition can be</w:t></w:r>
</w:p>
<w:p>
<w:pPr><w:pStyle w:val="Normal"/></w:pPr>
<w:r><w:t xml:space="preserve">plotted horizontally and the temperature of the freezing-point</w:t></w:r>
</w:p>
<w:p>
<w:pPr><w:pStyle w:val="Normal"/></w:pPr>
<w:r><w:t xml:space="preserve">vertically, as in fig. 5. In such a diagram, a point P defines</w:t></w:r>
</w:p>
<w:p>
<w:pPr><w:pStyle w:val="Normal"/></w:pPr>
<w:r><w:t xml:space="preserve">a particular mixture, both as to percentage, composition and</w:t></w:r>
</w:p>
<w:p>
<w:pPr><w:pStyle w:val="Normal"/></w:pPr>
<w:r><w:t xml:space="preserve">temperature; a vertical line through P corresponds to the</w:t></w:r>
</w:p>
<w:p>
<w:pPr><w:pStyle w:val="Normal"/></w:pPr>
<w:r><w:t xml:space="preserve">mixture at all possible temperatures, the point Q being its</w:t></w:r>
</w:p>
<w:p>
<w:pPr><w:pStyle w:val="Normal"/></w:pPr>
<w:r><w:t xml:space="preserve">freezing-point.  In the case of two substances which neither</w:t></w:r>
</w:p>
<w:p>
<w:pPr><w:pStyle w:val="Normal"/></w:pPr>
<w:r><w:t xml:space="preserve">form compounds nor dissolve each other in the solid state,</w:t></w:r>
</w:p>
<w:p>
<w:pPr><w:pStyle w:val="Normal"/></w:pPr>
<w:r><w:t xml:space="preserve">the complete freezing-point curve takes the form shown in</w:t></w:r>
</w:p>
<w:p>
<w:pPr><w:pStyle w:val="Normal"/></w:pPr>
<w:r><w:t xml:space="preserve">fig. 5. It consists of two branches AC and BC, which meet</w:t></w:r>
</w:p>
<w:p>
<w:pPr><w:pStyle w:val="Normal"/></w:pPr>
<w:r><w:t xml:space="preserve">in a lowest point C. It will be seen that as we increase</w:t></w:r>
</w:p>
<w:p>
<w:pPr><w:pStyle w:val="Normal"/></w:pPr>
<w:r><w:t xml:space="preserve">the percentage of B from nothing up to that of the mixture</w:t></w:r>
</w:p>
<w:p>
<w:pPr><w:pStyle w:val="Normal"/></w:pPr>
<w:r><w:t xml:space="preserve">C, the freezing-point becomes lower and lower, but that if</w:t></w:r>
</w:p>
<w:p>
<w:pPr><w:pStyle w:val="Normal"/></w:pPr>
<w:r><w:t xml:space="preserve">we further increase the percentage of B in the mixture, the</w:t></w:r>
</w:p>
<w:p>
<w:pPr><w:pStyle w:val="Normal"/></w:pPr>
<w:r><w:t xml:space="preserve">freezing-point rises.  This agrees with the well-known fact</w:t></w:r>
</w:p>
<w:p>
<w:pPr><w:pStyle w:val="Normal"/></w:pPr>
<w:r><w:t xml:space="preserve">that the presence of an impurity in a substance depresses its</w:t></w:r>
</w:p>
<w:p>
<w:pPr><w:pStyle w:val="Normal"/></w:pPr>
<w:r><w:t xml:space="preserve">melting-point.  The mixture C has a lower freezing or melting</w:t></w:r>
</w:p>
<w:p>
<w:pPr><w:pStyle w:val="Normal"/></w:pPr>
<w:r><w:t xml:space="preserve">point than that of any other mixture; it is called the eutectic</w:t></w:r>
</w:p>
<w:p>
<w:pPr><w:pStyle w:val="Normal"/></w:pPr>
<w:r><w:t xml:space="preserve">mixture.  All the mixtures whose composition lies between</w:t></w:r>
</w:p>
<w:p>
<w:pPr><w:pStyle w:val="Normal"/></w:pPr>
<w:r><w:t xml:space="preserve">that of A and C deposit crystals of pure A when they begin to</w:t></w:r>
</w:p>
<w:p>
<w:pPr><w:pStyle w:val="Normal"/></w:pPr>
<w:r><w:t xml:space="preserve">solidify, while mixtures between C and B in composition deposit</w:t></w:r>
</w:p>
<w:p>
<w:pPr><w:pStyle w:val="Normal"/></w:pPr>
<w:r><w:t xml:space="preserve">crystals of pure B. Let us consider a little more closely the</w:t></w:r>
</w:p>
<w:p>
<w:pPr><w:pStyle w:val="Normal"/></w:pPr>
<w:r><w:t xml:space="preserve">solidification of the mixture represented by the vertical line</w:t></w:r>
</w:p>
<w:p>
<w:pPr><w:pStyle w:val="Normal"/></w:pPr>
<w:r><w:t xml:space="preserve">PCRS.  As it cools from P to Q the mixture remains wholly</w:t></w:r>
</w:p>
<w:p>
<w:pPr><w:pStyle w:val="Normal"/></w:pPr>
<w:r><w:t xml:space="preserve">liquid, but when the temperature Q is reached there is a</w:t></w:r>
</w:p>
<w:p>
<w:pPr><w:pStyle w:val="Normal"/></w:pPr>
<w:r><w:t xml:space="preserve">halt in the cooling, due to the formation of crystals of A.</w:t></w:r>
</w:p>
<w:p>
<w:pPr><w:pStyle w:val="Normal"/></w:pPr>
<w:r><w:t xml:space="preserve">The cooling soon recommences and these crystals continue to</w:t></w:r>
</w:p>
<w:p>
<w:pPr><w:pStyle w:val="Normal"/></w:pPr>
<w:r><w:t xml:space="preserve">form, but at lower and lower temperatures because the still</w:t></w:r>
</w:p>
<w:p>
<w:pPr><w:pStyle w:val="Normal"/></w:pPr>
<w:r><w:t xml:space="preserve">liquid part is becoming richer in B. This process goes on</w:t></w:r>
</w:p>
<w:p>
<w:pPr><w:pStyle w:val="Normal"/></w:pPr>
<w:r><w:t xml:space="preserve">until the state of the remaining liquid is represented by</w:t></w:r>
</w:p>
<w:p>
<w:pPr><w:pStyle w:val="Normal"/></w:pPr>
<w:r><w:t xml:space="preserve">the point C. Now crystals of B begin to form, simultaneously</w:t></w:r>
</w:p>
<w:p>
<w:pPr><w:pStyle w:val="Normal"/></w:pPr>
<w:r><w:t xml:space="preserve">with the A crystals, and the composition of the remaining</w:t></w:r>
</w:p>
<w:p>
<w:pPr><w:pStyle w:val="Normal"/></w:pPr>
<w:r><w:t xml:space="preserve">liquid does not alter as the solidification progresses.</w:t></w:r>
</w:p>
<w:p>
<w:pPr><w:pStyle w:val="Normal"/></w:pPr>
<w:r><w:t xml:space="preserve">Consequently the temoerature does not change and there is</w:t></w:r>
</w:p>
<w:p>
<w:pPr><w:pStyle w:val="Normal"/></w:pPr>
<w:r><w:t xml:space="preserve">another well-marked halt in the cooling, and this halt lasts</w:t></w:r>
</w:p>
<w:p>
<w:pPr><w:pStyle w:val="Normal"/></w:pPr>
<w:r><w:t xml:space="preserve">until the mixture has become wholly solid.  The corresponding</w:t></w:r>
</w:p>
<w:p>
<w:pPr><w:pStyle w:val="Normal"/></w:pPr>
<w:r><w:t xml:space="preserve">changes in the case of the mixture TUVW are easily understood</w:t></w:r>
</w:p>
<w:p>
<w:pPr><w:pStyle w:val="Normal"/></w:pPr>
<w:r><w:t xml:space="preserve">--the first halt at U, due to the crystallization of pure</w:t></w:r>
</w:p>
<w:p>
<w:pPr><w:pStyle w:val="Normal"/></w:pPr>
<w:r><w:t xml:space="preserve">B, will probably occur at a different temperature, but the</w:t></w:r>
</w:p>
<w:p>
<w:pPr><w:pStyle w:val="Normal"/></w:pPr>
<w:r><w:t xml:space="preserve">second halt, due to the simultaneous crystallization of A and</w:t></w:r>
</w:p>
<w:p>
<w:pPr><w:pStyle w:val="Normal"/></w:pPr>
<w:r><w:t xml:space="preserve">B, will always occur at the same temperature whatever the</w:t></w:r>
</w:p>
<w:p>
<w:pPr><w:pStyle w:val="Normal"/></w:pPr>
<w:r><w:t xml:space="preserve">composition of the mixture.  It is evident that every mixture</w:t></w:r>
</w:p>
<w:p>
<w:pPr><w:pStyle w:val="Normal"/></w:pPr>
<w:r><w:t xml:space="preserve">except the eutectic mixture C will have two halts in its</w:t></w:r>
</w:p>
<w:p>
<w:pPr><w:pStyle w:val="Normal"/></w:pPr>
<w:r><w:t xml:space="preserve">cooling, and that its solidification will take place in two</w:t></w:r>
</w:p>
<w:p>
<w:pPr><w:pStyle w:val="Normal"/></w:pPr>
<w:r><w:t xml:space="preserve">stages.  Moreover, the three solids S, D and W will differ</w:t></w:r>
</w:p>
<w:p>
<w:pPr><w:pStyle w:val="Normal"/></w:pPr>
<w:r><w:t xml:space="preserve">in minute structure and therefore, probably, in mechanical</w:t></w:r>
</w:p>
<w:p>
<w:pPr><w:pStyle w:val="Normal"/></w:pPr>
<w:r><w:t xml:space="preserve">properties.  All mixtures whose temperature lies above the</w:t></w:r>
</w:p>
<w:p>
<w:pPr><w:pStyle w:val="Normal"/></w:pPr>
<w:r><w:t xml:space="preserve">line ACB are wholly liquid, hence this line is often called</w:t></w:r>
</w:p>
<w:p>
<w:pPr><w:pStyle w:val="Normal"/></w:pPr>
<w:r><w:t xml:space="preserve">the ``liquidus&apos;&apos;; all mixtures at temperatures below that</w:t></w:r>
</w:p>
<w:p>
<w:pPr><w:pStyle w:val="Normal"/></w:pPr>
<w:r><w:t xml:space="preserve">of the horizontal line through C are wholly solid, hence</w:t></w:r>
</w:p>
<w:p>
<w:pPr><w:pStyle w:val="Normal"/></w:pPr>
<w:r><w:t xml:space="preserve">this line is sometimes called the ``solidus,&apos;&apos; but in more</w:t></w:r>
</w:p>
<w:p>
<w:pPr><w:pStyle w:val="Normal"/></w:pPr>
<w:r><w:t xml:space="preserve">complex cases the solidus is often curved.  At temperatures</w:t></w:r>
</w:p>
<w:p>
<w:pPr><w:pStyle w:val="Normal"/></w:pPr>
<w:r><w:t xml:space="preserve">between the solidus and the liquidus a mixture is partly solid</w:t></w:r>
</w:p>
<w:p>
<w:pPr><w:pStyle w:val="Normal"/></w:pPr>
<w:r><w:t xml:space="preserve">and partly liquid.  This general case has been discussed at</w:t></w:r>
</w:p>
<w:p>
<w:pPr><w:pStyle w:val="Normal"/></w:pPr>
<w:r><w:t xml:space="preserve">length because a careful study of it will much facilitate the</w:t></w:r>
</w:p>
<w:p>
<w:pPr><w:pStyle w:val="Normal"/></w:pPr>
<w:r><w:t xml:space="preserve">comprehension or the similar but more complicated cases that</w:t></w:r>
</w:p>
<w:p>
<w:pPr><w:pStyle w:val="Normal"/></w:pPr>
<w:r><w:t xml:space="preserve">occur in the examination of alloys.  A great many mixtures</w:t></w:r>
</w:p>
<w:p>
<w:pPr><w:pStyle w:val="Normal"/></w:pPr>
<w:r><w:t xml:space="preserve">of metals have been examined in the above-mentioned way.</w:t></w:r>
</w:p>
<w:p>
<w:pPr><w:pStyle w:val="Normal"/></w:pPr>
<w:r><w:t xml:space="preserve">Fig. 6 gives the freezing-point diagram for alloys of lead and</w:t></w:r>
</w:p>
<w:p>
<w:pPr><w:pStyle w:val="Normal"/></w:pPr>
<w:r><w:t xml:space="preserve">tin.  We see in it exactly the features described above.</w:t></w:r>
</w:p>
<w:p>
<w:pPr><w:pStyle w:val="Normal"/></w:pPr>
<w:r><w:t xml:space="preserve">The two sloping lines cutting at the eutectic point are the</w:t></w:r>
</w:p>
<w:p>
<w:pPr><w:pStyle w:val="Normal"/></w:pPr>
<w:r><w:t xml:space="preserve">freezing-point curves of alloys that, when they begin to</w:t></w:r>
</w:p>
<w:p>
<w:pPr><w:pStyle w:val="Normal"/></w:pPr>
<w:r><w:t xml:space="preserve">solidify, deposit crystals of lead and tin respectively.  The</w:t></w:r>
</w:p>
<w:p>
<w:pPr><w:pStyle w:val="Normal"/></w:pPr>
<w:r><w:t xml:space="preserve">horizontal line through the eutectic point gives the second</w:t></w:r>
</w:p>
<w:p>
<w:pPr><w:pStyle w:val="Normal"/></w:pPr>
<w:r><w:t xml:space="preserve">halt in cooling, due to the simultaneous formation of lead</w:t></w:r>
</w:p>
<w:p>
<w:pPr><w:pStyle w:val="Normal"/></w:pPr>
<w:r><w:t xml:space="preserve">crystals and tin crystals.  In the case of this pair of metals,</w:t></w:r>
</w:p>
<w:p>
<w:pPr><w:pStyle w:val="Normal"/></w:pPr>
<w:r><w:t xml:space="preserve">or indeed of any metallic alloy, we cannot see the crystals</w:t></w:r>
</w:p>
<w:p>
<w:pPr><w:pStyle w:val="Normal"/></w:pPr>
<w:r><w:t xml:space="preserve">forming, nor can we easily filter them off and examine them</w:t></w:r>
</w:p>
<w:p>
<w:pPr><w:pStyle w:val="Normal"/></w:pPr>
<w:r><w:t xml:space="preserve">apart from the liquid, although this has been done in a few</w:t></w:r>
</w:p>
<w:p>
<w:pPr><w:pStyle w:val="Normal"/></w:pPr>
<w:r><w:t xml:space="preserve">cases.  But if we polish the solid alloys, etch them if</w:t></w:r>
</w:p>
<w:p>
<w:pPr><w:pStyle w:val="Normal"/></w:pPr>
<w:r><w:t xml:space="preserve">necessary, and examine them microscopically, we shall find</w:t></w:r>
</w:p>
<w:p>
<w:pPr><w:pStyle w:val="Normal"/></w:pPr>
<w:r><w:t xml:space="preserve">that alloys on the load side of the diagram consist of</w:t></w:r>
</w:p>
<w:p>
<w:pPr><w:pStyle w:val="Normal"/></w:pPr>
<w:r><w:t xml:space="preserve">comparatively large crystals of lead embedded in a minute</w:t></w:r>
</w:p>
<w:p>
<w:pPr><w:pStyle w:val="Normal"/></w:pPr>
<w:r><w:t xml:space="preserve">complex, which is due to the simultaneous crystallization</w:t></w:r>
</w:p>
<w:p>
<w:pPr><w:pStyle w:val="Normal"/></w:pPr>
<w:r><w:t xml:space="preserve">of the two metals during the solidification at the eutectic</w:t></w:r>
</w:p>
<w:p>
<w:pPr><w:pStyle w:val="Normal"/></w:pPr>
<w:r><w:t xml:space="preserve">temperature.  If we examine alloys on the tin side we shall</w:t></w:r>
</w:p>
<w:p>
<w:pPr><w:pStyle w:val="Normal"/></w:pPr>
<w:r><w:t xml:space="preserve">find large crystals of tin embedded in the same complex.  The</w:t></w:r>
</w:p>
<w:p>
<w:pPr><w:pStyle w:val="Normal"/></w:pPr>
<w:r><w:t xml:space="preserve">eutectic alloy itself, fig. 2 (Plate), shows the minute complex</w:t></w:r>
</w:p>
<w:p>
<w:pPr><w:pStyle w:val="Normal"/></w:pPr>
<w:r><w:t xml:space="preserve">of the tin-lead eutectic, photographed by J. A. Ewing and W.</w:t></w:r>
</w:p>
<w:p>
<w:pPr><w:pStyle w:val="Normal"/></w:pPr>
<w:r><w:t xml:space="preserve">Rosenhain, and fig. 3 (Plate), photographed by F. Osmond, shows</w:t></w:r>
</w:p>
<w:p>
<w:pPr><w:pStyle w:val="Normal"/></w:pPr>
<w:r><w:t xml:space="preserve">the structure of a silver-copper alloy containing considerably</w:t></w:r>
</w:p>
<w:p>
<w:pPr><w:pStyle w:val="Normal"/></w:pPr>
<w:r><w:t xml:space="preserve">more silver than the eutectic.  Here, the large dark masses</w:t></w:r>
</w:p>
<w:p>
<w:pPr><w:pStyle w:val="Normal"/></w:pPr>
<w:r><w:t xml:space="preserve">are the silver or silver-rich substance that crystallized</w:t></w:r>
</w:p>
<w:p>
<w:pPr><w:pStyle w:val="Normal"/></w:pPr>
<w:r><w:t xml:space="preserve">above the eutectic temperature, and the more minute black</w:t></w:r>
</w:p>
<w:p>
<w:pPr><w:pStyle w:val="Normal"/></w:pPr>
<w:r><w:t xml:space="preserve">and white complex represents the eutectic.  It is not safe</w:t></w:r>
</w:p>
<w:p>
<w:pPr><w:pStyle w:val="Normal"/></w:pPr>
<w:r><w:t xml:space="preserve">to assume that the two ingredients we see are pure silver</w:t></w:r>
</w:p>
<w:p>
<w:pPr><w:pStyle w:val="Normal"/></w:pPr>
<w:r><w:t xml:space="preserve">and pure copper; on the contrary, there is reason to think</w:t></w:r>
</w:p>
<w:p>
<w:pPr><w:pStyle w:val="Normal"/></w:pPr>
<w:r><w:t xml:space="preserve">that the crystals of silver contain some copper uniformly</w:t></w:r>
</w:p>
<w:p>
<w:pPr><w:pStyle w:val="Normal"/></w:pPr>
<w:r><w:t xml:space="preserve">diffused through them, and vice versa.  It is, however, not</w:t></w:r>
</w:p>
<w:p>
<w:pPr><w:pStyle w:val="Normal"/></w:pPr>
<w:r><w:t xml:space="preserve">possible to detect the copper in the silver by means of the</w:t></w:r>
</w:p>
<w:p>
<w:pPr><w:pStyle w:val="Normal"/></w:pPr>
<w:r><w:t xml:space="preserve">microscope.  This uniform distribution of a solid substance</w:t></w:r>
</w:p>
<w:p>
<w:pPr><w:pStyle w:val="Normal"/></w:pPr>
<w:r><w:t xml:space="preserve">throughout the mass of another, so as to form a homogeneous</w:t></w:r>
</w:p>
<w:p>
<w:pPr><w:pStyle w:val="Normal"/></w:pPr>
<w:r><w:t xml:space="preserve">material, is called ``solid solution,&apos;&apos; and we may say that</w:t></w:r>
</w:p>
<w:p>
<w:pPr><w:pStyle w:val="Normal"/></w:pPr>
<w:r><w:t xml:space="preserve">solid silver can dissolve copper.  Solid solutions are probably</w:t></w:r>
</w:p>
<w:p>
<w:pPr><w:pStyle w:val="Normal"/></w:pPr>
<w:r><w:t xml:space="preserve">very common in alloys, so that when an alloy of two metals</w:t></w:r>
</w:p>
<w:p>
<w:pPr><w:pStyle w:val="Normal"/></w:pPr>
<w:r><w:t xml:space="preserve">shows two constituents under the microscope it is never safe</w:t></w:r>
</w:p>
<w:p>
<w:pPr><w:pStyle w:val="Normal"/></w:pPr>
<w:r><w:t xml:space="preserve">to infer, without further evidence, that these are the two</w:t></w:r>
</w:p>
<w:p>
<w:pPr><w:pStyle w:val="Normal"/></w:pPr>
<w:r><w:t xml:space="preserve">pure metals.  Sometimes the whole alloy is a uniform solid</w:t></w:r>
</w:p>
<w:p>
<w:pPr><w:pStyle w:val="Normal"/></w:pPr>
<w:r><w:t xml:space="preserve">solution.  This is the case with the copper-tin alloys</w:t></w:r>
</w:p>
<w:p>
<w:pPr><w:pStyle w:val="Normal"/></w:pPr>
<w:r><w:t xml:space="preserve">containing less than 9% by weight of tin; a microscopic</w:t></w:r>
</w:p>
<w:p>
<w:pPr><w:pStyle w:val="Normal"/></w:pPr>
<w:r><w:t xml:space="preserve">examination reveals only one material, a copper-like substance,</w:t></w:r>
</w:p>
<w:p>
<w:pPr><w:pStyle w:val="Normal"/></w:pPr>
<w:r><w:t xml:space="preserve">the tin having disappeared, being in solution in the copper.</w:t></w:r>
</w:p>
<w:p>
<w:pPr><w:pStyle w:val="Normal"/></w:pPr>
<w:r><w:t xml:space="preserve">Much information as to the nature of an alloy can be obtained</w:t></w:r>
</w:p>
<w:p>
<w:pPr><w:pStyle w:val="Normal"/></w:pPr>
<w:r><w:t xml:space="preserve">by placing several small ingots of the same alloy in a furnace</w:t></w:r>
</w:p>
<w:p>
<w:pPr><w:pStyle w:val="Normal"/></w:pPr>
<w:r><w:t xml:space="preserve">which is above the melting-point of the alloy, and allowing</w:t></w:r>
</w:p>
<w:p>
<w:pPr><w:pStyle w:val="Normal"/></w:pPr>
<w:r><w:t xml:space="preserve">the temperature to fall slowly and uniformly.  We then extract</w:t></w:r>
</w:p>
<w:p>
<w:pPr><w:pStyle w:val="Normal"/></w:pPr>
<w:r><w:t xml:space="preserve">one ingot after another at successively lower temperatures</w:t></w:r>
</w:p>
<w:p>
<w:pPr><w:pStyle w:val="Normal"/></w:pPr>
<w:r><w:t xml:space="preserve">and chill each ingot by dropping it into water or by some</w:t></w:r>
</w:p>
<w:p>
<w:pPr><w:pStyle w:val="Normal"/></w:pPr>
<w:r><w:t xml:space="preserve">other method of very rapid cooling.  The chilling stereotypes</w:t></w:r>
</w:p>
<w:p>
<w:pPr><w:pStyle w:val="Normal"/></w:pPr>
<w:r><w:t xml:space="preserve">the structure existing in the ingot at the moment it was</w:t></w:r>
</w:p>
<w:p>
<w:pPr><w:pStyle w:val="Normal"/></w:pPr>
<w:r><w:t xml:space="preserve">withdrawn from the furnace, and we can afterwards study this</w:t></w:r>
</w:p>
<w:p>
<w:pPr><w:pStyle w:val="Normal"/></w:pPr>
<w:r><w:t xml:space="preserve">structure by means of the microscope.  We thus learn that</w:t></w:r>
</w:p>
<w:p>
<w:pPr><w:pStyle w:val="Normal"/></w:pPr>
<w:r><w:t xml:space="preserve">the bronzes referred to above, although chemically uniform</w:t></w:r>
</w:p>
<w:p>
<w:pPr><w:pStyle w:val="Normal"/></w:pPr>
<w:r><w:t xml:space="preserve">when solid, are not so when they begin to solidify, but that</w:t></w:r>
</w:p>
<w:p>
<w:pPr><w:pStyle w:val="Normal"/></w:pPr>
<w:r><w:t xml:space="preserve">the liquid deposits crystals richer in copper than itself,</w:t></w:r>
</w:p>
<w:p>
<w:pPr><w:pStyle w:val="Normal"/></w:pPr>
<w:r><w:t xml:space="preserve">and therefore that the residual liquid becomes richer in</w:t></w:r>
</w:p>
<w:p>
<w:pPr><w:pStyle w:val="Normal"/></w:pPr>
<w:r><w:t xml:space="preserve">tin.  Consequently, as the final solid is uniform, the</w:t></w:r>
</w:p>
<w:p>
<w:pPr><w:pStyle w:val="Normal"/></w:pPr>
<w:r><w:t xml:space="preserve">crystals formed at first must change in composition at a later</w:t></w:r>
</w:p>
<w:p>
<w:pPr><w:pStyle w:val="Normal"/></w:pPr>
<w:r><w:t xml:space="preserve">stage.  We learn also that solid solutions which exist at</w:t></w:r>
</w:p>
<w:p>
<w:pPr><w:pStyle w:val="Normal"/></w:pPr>
<w:r><w:t xml:space="preserve">high temperatures often break up into two materials as they</w:t></w:r>
</w:p>
<w:p>
<w:pPr><w:pStyle w:val="Normal"/></w:pPr>
<w:r><w:t xml:space="preserve">cool; for example, the bronze of fig. 1, which in that figure</w:t></w:r>
</w:p>
<w:p>
<w:pPr><w:pStyle w:val="Normal"/></w:pPr>
<w:r><w:t xml:space="preserve">shows two materials so plainly, if chilled at a somewhat</w:t></w:r>
</w:p>
<w:p>
<w:pPr><w:pStyle w:val="Normal"/></w:pPr>
<w:r><w:t xml:space="preserve">higher temperature but when it was already solid, is found</w:t></w:r>
</w:p>
<w:p>
<w:pPr><w:pStyle w:val="Normal"/></w:pPr>
<w:r><w:t xml:space="preserve">to consist of only one material; it is then a uniform solid</w:t></w:r>
</w:p>
<w:p>
<w:pPr><w:pStyle w:val="Normal"/></w:pPr>
<w:r><w:t xml:space="preserve">solution.  The difference between softness and hardness in</w:t></w:r>
</w:p>
<w:p>
<w:pPr><w:pStyle w:val="Normal"/></w:pPr>
<w:r><w:t xml:space="preserve">ordinary steel is due to the permanence of a solid solution of</w:t></w:r>
</w:p>
<w:p>
<w:pPr><w:pStyle w:val="Normal"/></w:pPr>
<w:r><w:t xml:space="preserve">carbon in iron if the steel has been chilled or very rapidly</w:t></w:r>
</w:p>
<w:p>
<w:pPr><w:pStyle w:val="Normal"/></w:pPr>
<w:r><w:t xml:space="preserve">cooled, while if the steel is slowly cooled this solid solution</w:t></w:r>
</w:p>
<w:p>
<w:pPr><w:pStyle w:val="Normal"/></w:pPr>
<w:r><w:t xml:space="preserve">breaks up into a minute complex of two substances which is called</w:t></w:r>
</w:p>
<w:p>
<w:pPr><w:pStyle w:val="Normal"/></w:pPr>
<w:r><w:t xml:space="preserve">pearlite.  The pearlite when highly magnified somewhat resembles</w:t></w:r>
</w:p>
<w:p>
<w:pPr><w:pStyle w:val="Normal"/></w:pPr>
<w:r><w:t xml:space="preserve">the lead-tin eutectic of fig. 2 (Plate).  In the case of steel</w:t></w:r>
</w:p>
<w:p>
<w:pPr><w:pStyle w:val="Normal"/></w:pPr>
<w:r><w:t xml:space="preserve">(see IRON AND STEEL) the solid solution is very hard, while</w:t></w:r>
</w:p>
<w:p>
<w:pPr><w:pStyle w:val="Normal"/></w:pPr>
<w:r><w:t xml:space="preserve">the pearlite complex is much softer.  In the case of some</w:t></w:r>
</w:p>
<w:p>
<w:pPr><w:pStyle w:val="Normal"/></w:pPr>
<w:r><w:t xml:space="preserve">bronzes, for example that with about 25% of tin, the solid</w:t></w:r>
</w:p>
<w:p>
<w:pPr><w:pStyle w:val="Normal"/></w:pPr>
<w:r><w:t xml:space="preserve">solution is soft, and the complex into which it breaks up by</w:t></w:r>
</w:p>
<w:p>
<w:pPr><w:pStyle w:val="Normal"/></w:pPr>
<w:r><w:t xml:space="preserve">slow cooling is much harder, so that the same process of heating</w:t></w:r>
</w:p>
<w:p>
<w:pPr><w:pStyle w:val="Normal"/></w:pPr>
<w:r><w:t xml:space="preserve">and chilling which hardens steel will soften this bronze.</w:t></w:r>
</w:p>
<w:p>
<w:pPr><w:pStyle w:val="Normal"/></w:pPr>
<w:r><w:t xml:space="preserve">If we melt an alloy and chill it before it has wholly</w:t></w:r>
</w:p>
<w:p>
<w:pPr><w:pStyle w:val="Normal"/></w:pPr>
<w:r><w:t xml:space="preserve">solidified, we often get evidence of the crystalline character</w:t></w:r>
</w:p>
<w:p>
<w:pPr><w:pStyle w:val="Normal"/></w:pPr>
<w:r><w:t xml:space="preserve">of the solid matter which first forms.  Fig. 4 (Plate) is</w:t></w:r>
</w:p>
<w:p>
<w:pPr><w:pStyle w:val="Normal"/></w:pPr>
<w:r><w:t xml:space="preserve">the pattern found in a bronze containing 27.7% of tin when so</w:t></w:r>
</w:p>
<w:p>
<w:pPr><w:pStyle w:val="Normal"/></w:pPr>
<w:r><w:t xml:space="preserve">treated.  The dark, regularly oriented crystal skeletons were</w:t></w:r>
</w:p>
<w:p>
<w:pPr><w:pStyle w:val="Normal"/></w:pPr>
<w:r><w:t xml:space="preserve">already solid at the moment of chilling; they are rich in</w:t></w:r>
</w:p>
<w:p>
<w:pPr><w:pStyle w:val="Normal"/></w:pPr>
<w:r><w:t xml:space="preserve">copper.  The lighter part surrounding them was liquid before</w:t></w:r>
</w:p>
<w:p>
<w:pPr><w:pStyle w:val="Normal"/></w:pPr>
<w:r><w:t xml:space="preserve">the chill; it is rich in tin.  This alloy, if allowed to</w:t></w:r>
</w:p>
<w:p>
<w:pPr><w:pStyle w:val="Normal"/></w:pPr>
<w:r><w:t xml:space="preserve">solidify completely before chilling, turns into a uniform solid</w:t></w:r>
</w:p>
<w:p>
<w:pPr><w:pStyle w:val="Normal"/></w:pPr>
<w:r><w:t xml:space="preserve">solution, and at still lower temperatures the solid solution</w:t></w:r>
</w:p>
<w:p>
<w:pPr><w:pStyle w:val="Normal"/></w:pPr>
<w:r><w:t xml:space="preserve">breaks up into a pearlite complex.  The analogy between the</w:t></w:r>
</w:p>
<w:p>
<w:pPr><w:pStyle w:val="Normal"/></w:pPr>
<w:r><w:t xml:space="preserve">breaking up of a solid solution on cooling and the formation</w:t></w:r>
</w:p>
<w:p>
<w:pPr><w:pStyle w:val="Normal"/></w:pPr>
<w:r><w:t xml:space="preserve">of a eutectic is obvious.  Iron and phosphorus unite to form</w:t></w:r>
</w:p>
<w:p>
<w:pPr><w:pStyle w:val="Normal"/></w:pPr>
<w:r><w:t xml:space="preserve">a solid solution which breaks up on cooling into a pearlite.</w:t></w:r>
</w:p>
<w:p>
<w:pPr><w:pStyle w:val="Normal"/></w:pPr>
<w:r><w:t xml:space="preserve">Other cases could be quoted, but enough has been said to</w:t></w:r>
</w:p>
<w:p>
<w:pPr><w:pStyle w:val="Normal"/></w:pPr>
<w:r><w:t xml:space="preserve">show the importance of solid solutions and their influence</w:t></w:r>
</w:p>
<w:p>
<w:pPr><w:pStyle w:val="Normal"/></w:pPr>
<w:r><w:t xml:space="preserve">on the mechanical properties of alloys.  These uniform solid</w:t></w:r>
</w:p>
<w:p>
<w:pPr><w:pStyle w:val="Normal"/></w:pPr>
<w:r><w:t xml:space="preserve">solutions must not be mistaken for chemical compounds; they</w:t></w:r>
</w:p>
<w:p>
<w:pPr><w:pStyle w:val="Normal"/></w:pPr>
<w:r><w:t xml:space="preserve">can, within limits, vary in composition like an ordinary liquid</w:t></w:r>
</w:p>
<w:p>
<w:pPr><w:pStyle w:val="Normal"/></w:pPr>
<w:r><w:t xml:space="preserve">solution.  But the occasional or indeed frequent existence of</w:t></w:r>
</w:p>
<w:p>
<w:pPr><w:pStyle w:val="Normal"/></w:pPr>
<w:r><w:t xml:space="preserve">chemical compounds in alloys has now been placed beyond doubt.</w:t></w:r>
</w:p>
<w:p>
<w:pPr><w:pStyle w:val="Normal"/></w:pPr>
<w:r><w:t xml:space="preserve">We can sometimes obtain definite compounds in a pure state</w:t></w:r>
</w:p>
<w:p>
<w:pPr><w:pStyle w:val="Normal"/></w:pPr>
<w:r><w:t xml:space="preserve">by the action of appropriate solvents which dissolve the</w:t></w:r>
</w:p>
<w:p>
<w:pPr><w:pStyle w:val="Normal"/></w:pPr>
<w:r><w:t xml:space="preserve">rest of the alloy and do not attack the crystals of the</w:t></w:r>
</w:p>
<w:p>
<w:pPr><w:pStyle w:val="Normal"/></w:pPr>
<w:r><w:t xml:space="preserve">compound.  Thus, a number of copper-tin alloys when digested</w:t></w:r>
</w:p>
<w:p>
<w:pPr><w:pStyle w:val="Normal"/></w:pPr>
<w:r><w:t xml:space="preserve">with hydrochloric acid leave the same crystalline residue,</w:t></w:r>
</w:p>
<w:p>
<w:pPr><w:pStyle w:val="Normal"/></w:pPr>
<w:r><w:t xml:space="preserve">which on analysis proves to be the compound Cu3Sn.  The bodies</w:t></w:r>
</w:p>
<w:p>
<w:pPr><w:pStyle w:val="Normal"/></w:pPr>
<w:r><w:t xml:space="preserve">SbNa3, BiNa3, SnNa4, compounds of iron and molybdenum</w:t></w:r>
</w:p>
<w:p>
<w:pPr><w:pStyle w:val="Normal"/></w:pPr>
<w:r><w:t xml:space="preserve">and many other substances, have also been isolated in this</w:t></w:r>
</w:p>
<w:p>
<w:pPr><w:pStyle w:val="Normal"/></w:pPr>
<w:r><w:t xml:space="preserve">way.  The freezing-point curve sometimes indicates the existence</w:t></w:r>
</w:p>
<w:p>
<w:pPr><w:pStyle w:val="Normal"/></w:pPr>
<w:r><w:t xml:space="preserve">of chemical compounds.  The simple type of curve, such as</w:t></w:r>
</w:p>
<w:p>
<w:pPr><w:pStyle w:val="Normal"/></w:pPr>
<w:r><w:t xml:space="preserve">that of lead and tin, fig. 6, consisting of two downward</w:t></w:r>
</w:p>
<w:p>
<w:pPr><w:pStyle w:val="Normal"/></w:pPr>
<w:r><w:t xml:space="preserve">sloping branches meeting in the eutectic point, and that of</w:t></w:r>
</w:p>
<w:p>
<w:pPr><w:pStyle w:val="Normal"/></w:pPr>
<w:r><w:t xml:space="preserve">thallium and tin, the upper curve of fig. 7, certainly give</w:t></w:r>
</w:p>
<w:p>
<w:pPr><w:pStyle w:val="Normal"/></w:pPr>
<w:r><w:t xml:space="preserve">no indication of chemical combination.  But the curves are</w:t></w:r>
</w:p>
<w:p>
<w:pPr><w:pStyle w:val="Normal"/></w:pPr>
<w:r><w:t xml:space="preserve">not always so simple as the above.  The lower curve of fig.</w:t></w:r>
</w:p>
<w:p>
<w:pPr><w:pStyle w:val="Normal"/></w:pPr>
<w:r><w:t xml:space="preserve">7 gives the freezing-point curve of mercury and thallium;</w:t></w:r>
</w:p>
<w:p>
<w:pPr><w:pStyle w:val="Normal"/></w:pPr>
<w:r><w:t xml:space="preserve">here A and E are the melting-points of pure mercury and pure</w:t></w:r>
</w:p>
<w:p>
<w:pPr><w:pStyle w:val="Normal"/></w:pPr>
<w:r><w:t xml:space="preserve">thallium, and the branches AB and ED do not cut each other,</w:t></w:r>
</w:p>
<w:p>
<w:pPr><w:pStyle w:val="Normal"/></w:pPr>
<w:r><w:t xml:space="preserve">but cut an intermediate rounded branch BCD. There are thus</w:t></w:r>
</w:p>
<w:p>
<w:pPr><w:pStyle w:val="Normal"/></w:pPr>
<w:r><w:t xml:space="preserve">two eutectic alloys B and D, and the alloys with compositions</w:t></w:r>
</w:p>
<w:p>
<w:pPr><w:pStyle w:val="Normal"/></w:pPr>
<w:r><w:t xml:space="preserve">between B and D have higher melting-points.  The summit C of</w:t></w:r>
</w:p>
<w:p>
<w:pPr><w:pStyle w:val="Normal"/></w:pPr>
<w:r><w:t xml:space="preserve">the branch BCD occurs at a percentage exactly corresponding</w:t></w:r>
</w:p>
<w:p>
<w:pPr><w:pStyle w:val="Normal"/></w:pPr>
<w:r><w:t xml:space="preserve">to the formula Hg2Tl.  It is probable that all the alloys</w:t></w:r>
</w:p>
<w:p>
<w:pPr><w:pStyle w:val="Normal"/></w:pPr>
<w:r><w:t xml:space="preserve">of compositions between B and D, when they begin to solidify,</w:t></w:r>
</w:p>
<w:p>
<w:pPr><w:pStyle w:val="Normal"/></w:pPr>
<w:r><w:t xml:space="preserve">deposit crystals of the compound; the lower eutectic B</w:t></w:r>
</w:p>
<w:p>
<w:pPr><w:pStyle w:val="Normal"/></w:pPr>
<w:r><w:t xml:space="preserve">probably corresponds to a solid complex of mercury and the</w:t></w:r>
</w:p>
<w:p>
<w:pPr><w:pStyle w:val="Normal"/></w:pPr>
<w:r><w:t xml:space="preserve">compound.  The point B is at -60 deg.  C., the lowest temperature</w:t></w:r>
</w:p>
<w:p>
<w:pPr><w:pStyle w:val="Normal"/></w:pPr>
<w:r><w:t xml:space="preserve">at which any metallic substance is known to exist in the liquid</w:t></w:r>
</w:p>
<w:p>
<w:pPr><w:pStyle w:val="Normal"/></w:pPr>
<w:r><w:t xml:space="preserve">state.  The higher eutectic D may correspond to a complex of</w:t></w:r>
</w:p>
<w:p>
<w:pPr><w:pStyle w:val="Normal"/></w:pPr>
<w:r><w:t xml:space="preserve">solid thallium and the compound; but the possible existence of</w:t></w:r>
</w:p>
<w:p>
<w:pPr><w:pStyle w:val="Normal"/></w:pPr>
<w:r><w:t xml:space="preserve">solid solutions makes further investigation necessary here.</w:t></w:r>
</w:p>
<w:p>
<w:pPr><w:pStyle w:val="Normal"/></w:pPr>
<w:r><w:t xml:space="preserve">The curves of fig. 7 were determined by N. S. Kurnakow and N. A.</w:t></w:r>
</w:p>
<w:p>
<w:pPr><w:pStyle w:val="Normal"/></w:pPr>
<w:r><w:t xml:space="preserve">Puschin.  Sometimes a freezing-point curve contains more than</w:t></w:r>
</w:p>
<w:p>
<w:pPr><w:pStyle w:val="Normal"/></w:pPr>
<w:r><w:t xml:space="preserve">one intermediate summit, so that more than one compound is</w:t></w:r>
</w:p>
<w:p>
<w:pPr><w:pStyle w:val="Normal"/></w:pPr>
<w:r><w:t xml:space="preserve">indicated.  For example, in the curve for gold-aluminium,</w:t></w:r>
</w:p>
<w:p>
<w:pPr><w:pStyle w:val="Normal"/></w:pPr>
<w:r><w:t xml:space="preserve">ignoring minor singularities, we find two intermediate summits,</w:t></w:r>
</w:p>
<w:p>
<w:pPr><w:pStyle w:val="Normal"/></w:pPr>
<w:r><w:t xml:space="preserve">one at the percentage Au2Al, and another at the percentage</w:t></w:r>
</w:p>
<w:p>
<w:pPr><w:pStyle w:val="Normal"/></w:pPr>
<w:r><w:t xml:space="preserve">AuAl2.  Microscopic examination fully confirms the existence</w:t></w:r>
</w:p>
<w:p>
<w:pPr><w:pStyle w:val="Normal"/></w:pPr>
<w:r><w:t xml:space="preserve">of these compounds.  The substance AuAl2 is the most remarkable</w:t></w:r>
</w:p>
<w:p>
<w:pPr><w:pStyle w:val="Normal"/></w:pPr>
<w:r><w:t xml:space="preserve">compound of two metals that has so far been discovered;</w:t></w:r>
</w:p>
<w:p>
<w:pPr><w:pStyle w:val="Normal"/></w:pPr>
<w:r><w:t xml:space="preserve">although it contains so much aluminium its melting-point is</w:t></w:r>
</w:p>
<w:p>
<w:pPr><w:pStyle w:val="Normal"/></w:pPr>
<w:r><w:t xml:space="preserve">as high as that of gold.  It also possesses a splendid purple</w:t></w:r>
</w:p>
<w:p>
<w:pPr><w:pStyle w:val="Normal"/></w:pPr>
<w:r><w:t xml:space="preserve">colour, more remarkable than that of any other metal or</w:t></w:r>
</w:p>
<w:p>
<w:pPr><w:pStyle w:val="Normal"/></w:pPr>
<w:r><w:t xml:space="preserve">alloy.  Many other inter-metallic compounds have been indicated</w:t></w:r>
</w:p>
<w:p>
<w:pPr><w:pStyle w:val="Normal"/></w:pPr>
<w:r><w:t xml:space="preserve">by summits in freezing-point curves.  For example, the system</w:t></w:r>
</w:p>
<w:p>
<w:pPr><w:pStyle w:val="Normal"/></w:pPr>
<w:r><w:t xml:space="preserve">sodium-mercury has a remarkable summit at the composition</w:t></w:r>
</w:p>
<w:p>
<w:pPr><w:pStyle w:val="Normal"/></w:pPr>
<w:r><w:t xml:space="preserve">NaHg2.  This compound melts at 350 deg.  C., a temperature far</w:t></w:r>
</w:p>
<w:p>
<w:pPr><w:pStyle w:val="Normal"/></w:pPr>
<w:r><w:t xml:space="preserve">above the melting-point of either sodium or mercury.  In the</w:t></w:r>
</w:p>
<w:p>
<w:pPr><w:pStyle w:val="Normal"/></w:pPr>
<w:r><w:t xml:space="preserve">system potassium-mercury, the compound KHg2 is similarly</w:t></w:r>
</w:p>
<w:p>
<w:pPr><w:pStyle w:val="Normal"/></w:pPr>
<w:r><w:t xml:space="preserve">indicated.  In the curve for sodium-cadmium, the compound</w:t></w:r>
</w:p>
<w:p>
<w:pPr><w:pStyle w:val="Normal"/></w:pPr>
<w:r><w:t xml:space="preserve">NaCd2 is plainly shown.  These three examples are taken</w:t></w:r>
</w:p>
<w:p>
<w:pPr><w:pStyle w:val="Normal"/></w:pPr>
<w:r><w:t xml:space="preserve">from the work of N. S. Kurnakow.  Various compounds of the</w:t></w:r>
</w:p>
<w:p>
<w:pPr><w:pStyle w:val="Normal"/></w:pPr>
<w:r><w:t xml:space="preserve">alkali metals with bismuth, antimony, tin and lead have been</w:t></w:r>
</w:p>
<w:p>
<w:pPr><w:pStyle w:val="Normal"/></w:pPr>
<w:r><w:t xml:space="preserve">prepared in a pure state.  Such are the compounds SbNa3,</w:t></w:r>
</w:p>
<w:p>
<w:pPr><w:pStyle w:val="Normal"/></w:pPr>
<w:r><w:t xml:space="preserve">BiNa3, PbNa2, SuNa4.  Of these, the first three are well</w:t></w:r>
</w:p>
<w:p>
<w:pPr><w:pStyle w:val="Normal"/></w:pPr>
<w:r><w:t xml:space="preserve">indicated on the freezing-point curves.  The intermediate</w:t></w:r>
</w:p>
<w:p>
<w:pPr><w:pStyle w:val="Normal"/></w:pPr>
<w:r><w:t xml:space="preserve">summits occurring in the freezing-point curves of alloys are</w:t></w:r>
</w:p>
<w:p>
<w:pPr><w:pStyle w:val="Normal"/></w:pPr>
<w:r><w:t xml:space="preserve">usually rounded; this feature is believed to be due to the</w:t></w:r>
</w:p>
<w:p>
<w:pPr><w:pStyle w:val="Normal"/></w:pPr>
<w:r><w:t xml:space="preserve">partial decomposition of the compound which takes place when it</w:t></w:r>
</w:p>
<w:p>
<w:pPr><w:pStyle w:val="Normal"/></w:pPr>
<w:r><w:t xml:space="preserve">melts.  The formulae of the group of substances last mentioned</w:t></w:r>
</w:p>
<w:p>
<w:pPr><w:pStyle w:val="Normal"/></w:pPr>
<w:r><w:t xml:space="preserve">are in harmony with the ordinary views of chemists as to</w:t></w:r>
</w:p>
<w:p>
<w:pPr><w:pStyle w:val="Normal"/></w:pPr>
<w:r><w:t xml:space="preserve">valency, but the formulae NaHg2, NaCd2, NaTl2, AuAl2 are</w:t></w:r>
</w:p>
<w:p>
<w:pPr><w:pStyle w:val="Normal"/></w:pPr>
<w:r><w:t xml:space="preserve">more surprising.  They indicate The great gaps in our present</w:t></w:r>
</w:p>
<w:p>
<w:pPr><w:pStyle w:val="Normal"/></w:pPr>
<w:r><w:t xml:space="preserve">knowledge of the subject of valency.  We must not take it for</w:t></w:r>
</w:p>
<w:p>
<w:pPr><w:pStyle w:val="Normal"/></w:pPr>
<w:r><w:t xml:space="preserve">granted, when the freezing-point curve gives no indication of</w:t></w:r>
</w:p>
<w:p>
<w:pPr><w:pStyle w:val="Normal"/></w:pPr>
<w:r><w:t xml:space="preserve">the compound, that the compound does not exist in the solid</w:t></w:r>
</w:p>
<w:p>
<w:pPr><w:pStyle w:val="Normal"/></w:pPr>
<w:r><w:t xml:space="preserve">alloy.  For example, the compound Cu3Sn is not indicated</w:t></w:r>
</w:p>
<w:p>
<w:pPr><w:pStyle w:val="Normal"/></w:pPr>
<w:r><w:t xml:space="preserve">in the freezing-point curve, and indeed a liquid alloy of</w:t></w:r>
</w:p>
<w:p>
<w:pPr><w:pStyle w:val="Normal"/></w:pPr>
<w:r><w:t xml:space="preserve">this percentage does not begin to solidify by the formation</w:t></w:r>
</w:p>
<w:p>
<w:pPr><w:pStyle w:val="Normal"/></w:pPr>
<w:r><w:t xml:space="preserve">of crystals of Cu3Sn; the liquid solidifies completely to a</w:t></w:r>
</w:p>
<w:p>
<w:pPr><w:pStyle w:val="Normal"/></w:pPr>
<w:r><w:t xml:space="preserve">uniform solid solution, and only at a lower temperature does</w:t></w:r>
</w:p>
<w:p>
<w:pPr><w:pStyle w:val="Normal"/></w:pPr>
<w:r><w:t xml:space="preserve">this change into crystals of the compound, the transformation</w:t></w:r>
</w:p>
<w:p>
<w:pPr><w:pStyle w:val="Normal"/></w:pPr>
<w:r><w:t xml:space="preserve">being accomoanied by a considerable evolution of heat.  Until</w:t></w:r>
</w:p>
<w:p>
<w:pPr><w:pStyle w:val="Normal"/></w:pPr>
<w:r><w:t xml:space="preserve">recently the vast subject of inter-metallic compounds has</w:t></w:r>
</w:p>
<w:p>
<w:pPr><w:pStyle w:val="Normal"/></w:pPr>
<w:r><w:t xml:space="preserve">been an unopened book to chemists.  But the subject is now</w:t></w:r>
</w:p>
<w:p>
<w:pPr><w:pStyle w:val="Normal"/></w:pPr>
<w:r><w:t xml:space="preserve">being vigorously studied, and, apart from its importance as</w:t></w:r>
</w:p>
<w:p>
<w:pPr><w:pStyle w:val="Normal"/></w:pPr>
<w:r><w:t xml:space="preserve">a branch of descriptive chemistry, it is throwing light, and</w:t></w:r>
</w:p>
<w:p>
<w:pPr><w:pStyle w:val="Normal"/></w:pPr>
<w:r><w:t xml:space="preserve">promises to throw more, on obscure parts of chemical theory.</w:t></w:r>
</w:p>
<w:p>
<w:pPr><w:pStyle w:val="Normal"/></w:pPr>
<w:r><w:t xml:space="preserve">The graphical representation of the properties of alloys</w:t></w:r>
</w:p>
<w:p>
<w:pPr><w:pStyle w:val="Normal"/></w:pPr>
<w:r><w:t xml:space="preserve">can be extended so as to record all the changes, thermal and</w:t></w:r>
</w:p>
<w:p>
<w:pPr><w:pStyle w:val="Normal"/></w:pPr>
<w:r><w:t xml:space="preserve">chemical, which the alloy undergoes after, as well as before,</w:t></w:r>
</w:p>
<w:p>
<w:pPr><w:pStyle w:val="Normal"/></w:pPr>
<w:r><w:t xml:space="preserve">solidification, For an example of such a diagram, see the</w:t></w:r>
</w:p>
<w:p>
<w:pPr><w:pStyle w:val="Normal"/></w:pPr>
<w:r><w:t xml:space="preserve">Bakerian Lecture, 1903, Phil.  Trans., A. 346. The Phase</w:t></w:r>
</w:p>
<w:p>
<w:pPr><w:pStyle w:val="Normal"/></w:pPr>
<w:r><w:t xml:space="preserve">Rule of Willard Gibbs, especially as developed by Bakhuis</w:t></w:r>
</w:p>
<w:p>
<w:pPr><w:pStyle w:val="Normal"/></w:pPr>
<w:r><w:t xml:space="preserve">Roozeboom, is a most useful guide in such investigations.</w:t></w:r>
</w:p>
<w:p>
<w:pPr><w:pStyle w:val="Normal"/></w:pPr>
<w:r><w:t xml:space="preserve">So far we have been considering alloys containing two metals;</w:t></w:r>
</w:p>
<w:p>
<w:pPr><w:pStyle w:val="Normal"/></w:pPr>
<w:r><w:t xml:space="preserve">the phenomena they present are by no means simple.  But when</w:t></w:r>
</w:p>
<w:p>
<w:pPr><w:pStyle w:val="Normal"/></w:pPr>
<w:r><w:t xml:space="preserve">three or more metals are present, as is often the case in useful</w:t></w:r>
</w:p>
<w:p>
<w:pPr><w:pStyle w:val="Normal"/></w:pPr>
<w:r><w:t xml:space="preserve">alloys, the phenomena are much more complicated.  With three</w:t></w:r>
</w:p>
<w:p>
<w:pPr><w:pStyle w:val="Normal"/></w:pPr>
<w:r><w:t xml:space="preserve">component metals the complete diagram giving the variations in</w:t></w:r>
</w:p>
<w:p>
<w:pPr><w:pStyle w:val="Normal"/></w:pPr>
<w:r><w:t xml:space="preserve">any property must be in three dimensions, although by the use of</w:t></w:r>
</w:p>
<w:p>
<w:pPr><w:pStyle w:val="Normal"/></w:pPr>
<w:r><w:t xml:space="preserve">contour lines the essential facts can be represented in a plane</w:t></w:r>
</w:p>
<w:p>
<w:pPr><w:pStyle w:val="Normal"/></w:pPr>
<w:r><w:t xml:space="preserve">diagram.  The following method, depending on the constancy</w:t></w:r>
</w:p>
<w:p>
<w:pPr><w:pStyle w:val="Normal"/></w:pPr>
<w:r><w:t xml:space="preserve">of the sum of the three perpendiculars from any point on to</w:t></w:r>
</w:p>
<w:p>
<w:pPr><w:pStyle w:val="Normal"/></w:pPr>
<w:r><w:t xml:space="preserve">the sides of an equilateral triangle, can be adopted:--Let</w:t></w:r>
</w:p>
<w:p>
<w:pPr><w:pStyle w:val="Normal"/></w:pPr>
<w:r><w:t xml:space="preserve">ABC (fig. 8) be an equilateral triangle, the angular points</w:t></w:r>
</w:p>
<w:p>
<w:pPr><w:pStyle w:val="Normal"/></w:pPr>
<w:r><w:t xml:space="preserve">corresponding to the three pure metals A, B, C. Then the</w:t></w:r>
</w:p>
<w:p>
<w:pPr><w:pStyle w:val="Normal"/></w:pPr>
<w:r><w:t xml:space="preserve">composition of any alloy can be represented by a point P,</w:t></w:r>
</w:p>
<w:p>
<w:pPr><w:pStyle w:val="Normal"/></w:pPr>
<w:r><w:t xml:space="preserve">so chosen that the perpendicular Pa on to the side BC gives</w:t></w:r>
</w:p>
<w:p>
<w:pPr><w:pStyle w:val="Normal"/></w:pPr>
<w:r><w:t xml:space="preserve">the percentage of A in the alloy, and the perpendiculars Pb</w:t></w:r>
</w:p>
<w:p>
<w:pPr><w:pStyle w:val="Normal"/></w:pPr>
<w:r><w:t xml:space="preserve">and Pc give the percentages of B and C respectively.  Points</w:t></w:r>
</w:p>
<w:p>
<w:pPr><w:pStyle w:val="Normal"/></w:pPr>
<w:r><w:t xml:space="preserve">on the side AB will correspond to binary alloys containing</w:t></w:r>
</w:p>
<w:p>
<w:pPr><w:pStyle w:val="Normal"/></w:pPr>
<w:r><w:t xml:space="preserve">only A and B, and so on.  If now we wish to represent the</w:t></w:r>
</w:p>
<w:p>
<w:pPr><w:pStyle w:val="Normal"/></w:pPr>
<w:r><w:t xml:space="preserve">variations in some property, such as fusibility, we determine</w:t></w:r>
</w:p>
<w:p>
<w:pPr><w:pStyle w:val="Normal"/></w:pPr>
<w:r><w:t xml:space="preserve">the freezing-points of a number of alloys distributed fairly</w:t></w:r>
</w:p>
<w:p>
<w:pPr><w:pStyle w:val="Normal"/></w:pPr>
<w:r><w:t xml:space="preserve">uniformly over the area of the triangle, and, at each point</w:t></w:r>
</w:p>
<w:p>
<w:pPr><w:pStyle w:val="Normal"/></w:pPr>
<w:r><w:t xml:space="preserve">corresponding to an alloy, we erect an ordinate at right</w:t></w:r>
</w:p>
<w:p>
<w:pPr><w:pStyle w:val="Normal"/></w:pPr>
<w:r><w:t xml:space="preserve">angles to the plane of the paper and proportional in length</w:t></w:r>
</w:p>
<w:p>
<w:pPr><w:pStyle w:val="Normal"/></w:pPr>
<w:r><w:t xml:space="preserve">to the freezing temperature of that alloy.  We can then</w:t></w:r>
</w:p>
<w:p>
<w:pPr><w:pStyle w:val="Normal"/></w:pPr>
<w:r><w:t xml:space="preserve">draw a continuous surface through the summits of all these</w:t></w:r>
</w:p>
<w:p>
<w:pPr><w:pStyle w:val="Normal"/></w:pPr>
<w:r><w:t xml:space="preserve">ordinates, and so obtain a freezing-point surface, or liquidus;</w:t></w:r>
</w:p>
<w:p>
<w:pPr><w:pStyle w:val="Normal"/></w:pPr>
<w:r><w:t xml:space="preserve">points above this surface will correspond to wholly liquid</w:t></w:r>
</w:p>
<w:p>
<w:pPr><w:pStyle w:val="Normal"/></w:pPr>
<w:r><w:t xml:space="preserve">alloys.  The ternary alloys containing bismuth, tin and</w:t></w:r>
</w:p>
<w:p>
<w:pPr><w:pStyle w:val="Normal"/></w:pPr>
<w:r><w:t xml:space="preserve">lead have been studied in this way by F. Charpy and by E. S.</w:t></w:r>
</w:p>
<w:p>
<w:pPr><w:pStyle w:val="Normal"/></w:pPr>
<w:r><w:t xml:space="preserve">Shepherd.  We have here a comparatively simple case, as</w:t></w:r>
</w:p>
<w:p>
<w:pPr><w:pStyle w:val="Normal"/></w:pPr>
<w:r><w:t xml:space="preserve">the metals do not form compounds.  The solid alloy consists</w:t></w:r>
</w:p>
<w:p>
<w:pPr><w:pStyle w:val="Normal"/></w:pPr>
<w:r><w:t xml:space="preserve">of crystals of pure tin in juxtaposition with crystals of</w:t></w:r>
</w:p>
<w:p>
<w:pPr><w:pStyle w:val="Normal"/></w:pPr>
<w:r><w:t xml:space="preserve">almost pure lead and bismuth. these two metals dissolving</w:t></w:r>
</w:p>
<w:p>
<w:pPr><w:pStyle w:val="Normal"/></w:pPr>
<w:r><w:t xml:space="preserve">each other in solid solution to the extent of a few per cent</w:t></w:r>
</w:p>
<w:p>
<w:pPr><w:pStyle w:val="Normal"/></w:pPr>
<w:r><w:t xml:space="preserve">only.  If now we cut the freezing-point surface by planes</w:t></w:r>
</w:p>
<w:p>
<w:pPr><w:pStyle w:val="Normal"/></w:pPr>
<w:r><w:t xml:space="preserve">parallel to the base ABC we get curves giving us all the alloys</w:t></w:r>
</w:p>
<w:p>
<w:pPr><w:pStyle w:val="Normal"/></w:pPr>
<w:r><w:t xml:space="preserve">whose freezing-point is the same; theee isothermals can be</w:t></w:r>
</w:p>
<w:p>
<w:pPr><w:pStyle w:val="Normal"/></w:pPr>
<w:r><w:t xml:space="preserve">projected on to the plane of the triangle and are seen as dotted</w:t></w:r>
</w:p>
<w:p>
<w:pPr><w:pStyle w:val="Normal"/></w:pPr>
<w:r><w:t xml:space="preserve">lines in fig. 9. The freezing surface, in this case, consists</w:t></w:r>
</w:p>
<w:p>
<w:pPr><w:pStyle w:val="Normal"/></w:pPr>
<w:r><w:t xml:space="preserve">of three sheets each starting from an angular point of the</w:t></w:r>
</w:p>
<w:p>
<w:pPr><w:pStyle w:val="Normal"/></w:pPr>
<w:r><w:t xml:space="preserve">surface, that is, from the freezing-point of a pure metal.</w:t></w:r>
</w:p>
<w:p>
<w:pPr><w:pStyle w:val="Normal"/></w:pPr>
<w:r><w:t xml:space="preserve">The sheets meet in pairs along three lines which themselves</w:t></w:r>
</w:p>
<w:p>
<w:pPr><w:pStyle w:val="Normal"/></w:pPr>
<w:r><w:t xml:space="preserve">meet in a point.  In fig. 9, due to F. Charpy, these lines</w:t></w:r>
</w:p>
<w:p>
<w:pPr><w:pStyle w:val="Normal"/></w:pPr>
<w:r><w:t xml:space="preserve">are projected on to the plane of the triangle as Ee, E&apos;e and</w:t></w:r>
</w:p>
<w:p>
<w:pPr><w:pStyle w:val="Normal"/></w:pPr>
<w:r><w:t xml:space="preserve">E&apos;&apos;e.  The area of the triangle is thus divided into three</w:t></w:r>
</w:p>
<w:p>
<w:pPr><w:pStyle w:val="Normal"/></w:pPr>
<w:r><w:t xml:space="preserve">regions.  The region PbEeE&apos; contains all the alloys that</w:t></w:r>
</w:p>
<w:p>
<w:pPr><w:pStyle w:val="Normal"/></w:pPr>
<w:r><w:t xml:space="preserve">commence their solidification by the crystallization of lead;</w:t></w:r>
</w:p>
<w:p>
<w:pPr><w:pStyle w:val="Normal"/></w:pPr>
<w:r><w:t xml:space="preserve">similarly, the other two regions correspond to the initial</w:t></w:r>
</w:p>
<w:p>
<w:pPr><w:pStyle w:val="Normal"/></w:pPr>
<w:r><w:t xml:space="preserve">crystallization of bismuth and tin respectively; these areas</w:t></w:r>
</w:p>
<w:p>
<w:pPr><w:pStyle w:val="Normal"/></w:pPr>
<w:r><w:t xml:space="preserve">are the projections of the three sheets of the freezing-point</w:t></w:r>
</w:p>
<w:p>
<w:pPr><w:pStyle w:val="Normal"/></w:pPr>
<w:r><w:t xml:space="preserve">surface.  The points E, E&apos;, E&apos;&apos; are the eutectics of binary</w:t></w:r>
</w:p>
<w:p>
<w:pPr><w:pStyle w:val="Normal"/></w:pPr>
<w:r><w:t xml:space="preserve">alloys.  Alloys represented by points on Ee, when they begin to</w:t></w:r>
</w:p>
<w:p>
<w:pPr><w:pStyle w:val="Normal"/></w:pPr>
<w:r><w:t xml:space="preserve">solidify, deposit crystals of lead and bismuth simultaneously;</w:t></w:r>
</w:p>
<w:p>
<w:pPr><w:pStyle w:val="Normal"/></w:pPr>
<w:r><w:t xml:space="preserve">Ee is a eutectic line, as also are E&apos;e and E&apos;&apos;e.  The alloy</w:t></w:r>
</w:p>
<w:p>
<w:pPr><w:pStyle w:val="Normal"/></w:pPr>
<w:r><w:t xml:space="preserve">of the point e is the ternary eutectic; it deposits the</w:t></w:r>
</w:p>
<w:p>
<w:pPr><w:pStyle w:val="Normal"/></w:pPr>
<w:r><w:t xml:space="preserve">three metals simultaneously during the whole period of its</w:t></w:r>
</w:p>
<w:p>
<w:pPr><w:pStyle w:val="Normal"/></w:pPr>
<w:r><w:t xml:space="preserve">solidfication and solidifies at a constant temperature.  As</w:t></w:r>
</w:p>
<w:p>
<w:pPr><w:pStyle w:val="Normal"/></w:pPr>
<w:r><w:t xml:space="preserve">the lines of the surface which correspond to Ee, &amp;c., slope</w:t></w:r>
</w:p>
<w:p>
<w:pPr><w:pStyle w:val="Normal"/></w:pPr>
<w:r><w:t xml:space="preserve">downwards to their common intersection it follows that the</w:t></w:r>
</w:p>
<w:p>
<w:pPr><w:pStyle w:val="Normal"/></w:pPr>
<w:r><w:t xml:space="preserve">alloy e has the lowest freezing-point of any mixture of the</w:t></w:r>
</w:p>
<w:p>
<w:pPr><w:pStyle w:val="Normal"/></w:pPr>
<w:r><w:t xml:space="preserve">three metals; this freezing-point is 96 deg.  C., and the alloy e</w:t></w:r>
</w:p>
<w:p>
<w:pPr><w:pStyle w:val="Normal"/></w:pPr>
<w:r><w:t xml:space="preserve">contains about 32% of lead, 15.5% of tin and 52.5% of bismuth.</w:t></w:r>
</w:p>
<w:p>
<w:pPr><w:pStyle w:val="Normal"/></w:pPr>
<w:r><w:t xml:space="preserve">It is evident that any other property can be represented by</w:t></w:r>
</w:p>
<w:p>
<w:pPr><w:pStyle w:val="Normal"/></w:pPr>
<w:r><w:t xml:space="preserve">similar diagrams.  For example, we can construct the curve of</w:t></w:r>
</w:p>
<w:p>
<w:pPr><w:pStyle w:val="Normal"/></w:pPr>
<w:r><w:t xml:space="preserve">conductivity of alloys of two metals or the surface of conductivity</w:t></w:r>
</w:p>
<w:p>
<w:pPr><w:pStyle w:val="Normal"/></w:pPr>
<w:r><w:t xml:space="preserve">of ternary alloys, and so on for any measurable property.</w:t></w:r>
</w:p>
<w:p>
<w:pPr><w:pStyle w:val="Normal"/></w:pPr>
<w:r><w:t xml:space="preserve">The electrical conductivity of a metal is often very much</w:t></w:r>
</w:p>
<w:p>
<w:pPr><w:pStyle w:val="Normal"/></w:pPr>
<w:r><w:t xml:space="preserve">decreased by alloying with it even small quantities of another</w:t></w:r>
</w:p>
<w:p>
<w:pPr><w:pStyle w:val="Normal"/></w:pPr>
<w:r><w:t xml:space="preserve">metal.  This is so when gold and silver are alloyed with</w:t></w:r>
</w:p>
<w:p>
<w:pPr><w:pStyle w:val="Normal"/></w:pPr>
<w:r><w:t xml:space="preserve">each other, and is true in the case of alloys of copper.</w:t></w:r>
</w:p>
<w:p>
<w:pPr><w:pStyle w:val="Normal"/></w:pPr>
<w:r><w:t xml:space="preserve">When a pure metal is cooled to a very low temperature its</w:t></w:r>
</w:p>
<w:p>
<w:pPr><w:pStyle w:val="Normal"/></w:pPr>
<w:r><w:t xml:space="preserve">electrical conductivity is greatly increased, but this is not</w:t></w:r>
</w:p>
<w:p>
<w:pPr><w:pStyle w:val="Normal"/></w:pPr>
<w:r><w:t xml:space="preserve">the case with an alloy.  Lord Rayleigh has pointed out that</w:t></w:r>
</w:p>
<w:p>
<w:pPr><w:pStyle w:val="Normal"/></w:pPr>
<w:r><w:t xml:space="preserve">the difference may arise from the heterogeneity of alloys.</w:t></w:r>
</w:p>
<w:p>
<w:pPr><w:pStyle w:val="Normal"/></w:pPr>
<w:r><w:t xml:space="preserve">When a current is passed through a solid alloy, a series</w:t></w:r>
</w:p>
<w:p>
<w:pPr><w:pStyle w:val="Normal"/></w:pPr>
<w:r><w:t xml:space="preserve">of Peltier effects, proportional to the current, are set up</w:t></w:r>
</w:p>
<w:p>
<w:pPr><w:pStyle w:val="Normal"/></w:pPr>
<w:r><w:t xml:space="preserve">between the particles of the different metals, and these create</w:t></w:r>
</w:p>
<w:p>
<w:pPr><w:pStyle w:val="Normal"/></w:pPr>
<w:r><w:t xml:space="preserve">an opposing electromotive force which is indistinguishable</w:t></w:r>
</w:p>
<w:p>
<w:pPr><w:pStyle w:val="Normal"/></w:pPr>
<w:r><w:t xml:space="preserve">experimentally from a resistance.  If the alloy were a true</w:t></w:r>
</w:p>
<w:p>
<w:pPr><w:pStyle w:val="Normal"/></w:pPr>
<w:r><w:t xml:space="preserve">chemical compound the counteracting electromotive force should</w:t></w:r>
</w:p>
<w:p>
<w:pPr><w:pStyle w:val="Normal"/></w:pPr>
<w:r><w:t xml:space="preserve">not occur; experiments in this direction are much needed.</w:t></w:r>
</w:p>
<w:p>
<w:pPr><w:pStyle w:val="Normal"/></w:pPr>
<w:r><w:t xml:space="preserve">Sir William Chandler Roberts-Austen has shown that in the case</w:t></w:r>
</w:p>
<w:p>
<w:pPr><w:pStyle w:val="Normal"/></w:pPr>
<w:r><w:t xml:space="preserve">of molten alloys the conduction of electricity is apparently</w:t></w:r>
</w:p>
<w:p>
<w:pPr><w:pStyle w:val="Normal"/></w:pPr>
<w:r><w:t xml:space="preserve">metallic, no transfer of matter attending the passage of the</w:t></w:r>
</w:p>
<w:p>
<w:pPr><w:pStyle w:val="Normal"/></w:pPr>
<w:r><w:t xml:space="preserve">current.  A group of bodies may, however, be yet discovered</w:t></w:r>
</w:p>
<w:p>
<w:pPr><w:pStyle w:val="Normal"/></w:pPr>
<w:r><w:t xml:space="preserve">between alloys and electrolytes in which evidence may be found</w:t></w:r>
</w:p>
<w:p>
<w:pPr><w:pStyle w:val="Normal"/></w:pPr>
<w:r><w:t xml:space="preserve">of some gradual change from wholly metallic to electrolytic</w:t></w:r>
</w:p>
<w:p>
<w:pPr><w:pStyle w:val="Normal"/></w:pPr>
<w:r><w:t xml:space="preserve">conduction.  A. P. Laurie has determined the electromotive</w:t></w:r>
</w:p>
<w:p>
<w:pPr><w:pStyle w:val="Normal"/></w:pPr>
<w:r><w:t xml:space="preserve">force of a series of copper-zinc, copper-tin and gold-tin</w:t></w:r>
</w:p>
<w:p>
<w:pPr><w:pStyle w:val="Normal"/></w:pPr>
<w:r><w:t xml:space="preserve">alloys, and as the result of his experiments he points to the</w:t></w:r>
</w:p>
<w:p>
<w:pPr><w:pStyle w:val="Normal"/></w:pPr>
<w:r><w:t xml:space="preserve">existence of definite compounds.  Explosive alloys have been</w:t></w:r>
</w:p>
<w:p>
<w:pPr><w:pStyle w:val="Normal"/></w:pPr>
<w:r><w:t xml:space="preserve">formed by H. St Claire Deville and H. J. Debray in the case of</w:t></w:r>
</w:p>
<w:p>
<w:pPr><w:pStyle w:val="Normal"/></w:pPr>
<w:r><w:t xml:space="preserve">rhodium, iridium and ruthenium, which evolve heat when they</w:t></w:r>
</w:p>
<w:p>
<w:pPr><w:pStyle w:val="Normal"/></w:pPr>
<w:r><w:t xml:space="preserve">are dissolved in zinc.  When the solution of the rhodium-zinc</w:t></w:r>
</w:p>
<w:p>
<w:pPr><w:pStyle w:val="Normal"/></w:pPr>
<w:r><w:t xml:space="preserve">alloy is treated with hydrochloric acid, a residue is left</w:t></w:r>
</w:p>
<w:p>
<w:pPr><w:pStyle w:val="Normal"/></w:pPr>
<w:r><w:t xml:space="preserve">which undergoes a change with explosive violence if it be heated</w:t></w:r>
</w:p>
<w:p>
<w:pPr><w:pStyle w:val="Normal"/></w:pPr>
<w:r><w:t xml:space="preserve">in vacuo to 400 deg. .  The alloy is then insoluble in ``aqua</w:t></w:r>
</w:p>
<w:p>
<w:pPr><w:pStyle w:val="Normal"/></w:pPr>
<w:r><w:t xml:space="preserve">regia.&apos;&apos; The metals have therefore passed into an insoluble</w:t></w:r>
</w:p>
<w:p>
<w:pPr><w:pStyle w:val="Normal"/></w:pPr>
<w:r><w:t xml:space="preserve">form by a comparatively slight elevation of temperature.</w:t></w:r>
</w:p>
<w:p>
<w:pPr><w:pStyle w:val="Normal"/></w:pPr>
<w:r><w:t xml:space="preserve">Surfusion</w:t></w:r>
</w:p>
<w:p>
<w:pPr><w:pStyle w:val="Normal"/></w:pPr>
<w:r><w:t xml:space="preserve">Metals do not appear to have been studied from the point</w:t></w:r>
</w:p>
<w:p>
<w:pPr><w:pStyle w:val="Normal"/></w:pPr>
<w:r><w:t xml:space="preserve">of view of surfusion until 1880, when A. D. van Pieinsdijk</w:t></w:r>
</w:p>
<w:p>
<w:pPr><w:pStyle w:val="Normal"/></w:pPr>
<w:r><w:t xml:space="preserve">showed that gold and silver would both pass below their</w:t></w:r>
</w:p>
<w:p>
<w:pPr><w:pStyle w:val="Normal"/></w:pPr>
<w:r><w:t xml:space="preserve">actual freezing-points without becoming solid.  Roberts-Austen</w:t></w:r>
</w:p>
<w:p>
<w:pPr><w:pStyle w:val="Normal"/></w:pPr>
<w:r><w:t xml:space="preserve">pointed out that surfusion might be easily measured in</w:t></w:r>
</w:p>
<w:p>
<w:pPr><w:pStyle w:val="Normal"/></w:pPr>
<w:r><w:t xml:space="preserve">metals and in alloys by the sensitive method of recording</w:t></w:r>
</w:p>
<w:p>
<w:pPr><w:pStyle w:val="Normal"/></w:pPr>
<w:r><w:t xml:space="preserve">pyrometry perfected by him.  He also showed that the crossing</w:t></w:r>
</w:p>
<w:p>
<w:pPr><w:pStyle w:val="Normal"/></w:pPr>
<w:r><w:t xml:space="preserve">of curves of solubility, which had already been observed by</w:t></w:r>
</w:p>
<w:p>
<w:pPr><w:pStyle w:val="Normal"/></w:pPr>
<w:r><w:t xml:space="preserve">H. le Chatelier and by A. C. A. Dahms in the case of salts,</w:t></w:r>
</w:p>
<w:p>
<w:pPr><w:pStyle w:val="Normal"/></w:pPr>
<w:r><w:t xml:space="preserve">could be measured in the lead-tin alloys.  The investigation</w:t></w:r>
</w:p>
<w:p>
<w:pPr><w:pStyle w:val="Normal"/></w:pPr>
<w:r><w:t xml:space="preserve">of the mutual relations of partially miscible liquids, due</w:t></w:r>
</w:p>
<w:p>
<w:pPr><w:pStyle w:val="Normal"/></w:pPr>
<w:r><w:t xml:space="preserve">to P. Alexejew, D. P. Konovalow, snd to P. E. Duclaux, was</w:t></w:r>
</w:p>
<w:p>
<w:pPr><w:pStyle w:val="Normal"/></w:pPr>
<w:r><w:t xml:space="preserve">extended to alloys by Alder Wright.  The addition of a third</w:t></w:r>
</w:p>
<w:p>
<w:pPr><w:pStyle w:val="Normal"/></w:pPr>
<w:r><w:t xml:space="preserve">metal will sometimes render the mixture of two other metals</w:t></w:r>
</w:p>
<w:p>
<w:pPr><w:pStyle w:val="Normal"/></w:pPr>
<w:r><w:t xml:space="preserve">homogeneous.  C. T. Heyccck and F. H. Neville proved that</w:t></w:r>
</w:p>
<w:p>
<w:pPr><w:pStyle w:val="Normal"/></w:pPr>
<w:r><w:t xml:space="preserve">when one metal is alloyed with a small quantity of some other</w:t></w:r>
</w:p>
<w:p>
<w:pPr><w:pStyle w:val="Normal"/></w:pPr>
<w:r><w:t xml:space="preserve">metal, the solidification obeys the law of F. M. Raoult.  Their</w:t></w:r>
</w:p>
<w:p>
<w:pPr><w:pStyle w:val="Normal"/></w:pPr>
<w:r><w:t xml:space="preserve">experiments, although not conclusive, appear to indicate that</w:t></w:r>
</w:p>
<w:p>
<w:pPr><w:pStyle w:val="Normal"/></w:pPr>
<w:r><w:t xml:space="preserve">the molecule of a metal when in dilute solution often consists</w:t></w:r>
</w:p>
<w:p>
<w:pPr><w:pStyle w:val="Normal"/></w:pPr>
<w:r><w:t xml:space="preserve">of one atom.  There are, however, numerous exceptions to this</w:t></w:r>
</w:p>
<w:p>
<w:pPr><w:pStyle w:val="Normal"/></w:pPr>
<w:r><w:t xml:space="preserve">rule.  In the cases of aluminium dissolved in tin and of</w:t></w:r>
</w:p>
<w:p>
<w:pPr><w:pStyle w:val="Normal"/></w:pPr>
<w:r><w:t xml:space="preserve">mercury or bismuth in lead, it is at least probable that the</w:t></w:r>
</w:p>
<w:p>
<w:pPr><w:pStyle w:val="Normal"/></w:pPr>
<w:r><w:t xml:space="preserve">molecules in solution are Al2, Hg2 and Bi2 respectively,</w:t></w:r>
</w:p>
<w:p>
<w:pPr><w:pStyle w:val="Normal"/></w:pPr>
<w:r><w:t xml:space="preserve">while tin in lead appears to form a molecule of the type Sn4.</w:t></w:r>
</w:p>
<w:p>
<w:pPr><w:pStyle w:val="Normal"/></w:pPr>
<w:r><w:t xml:space="preserve">Industrial applications</w:t></w:r>
</w:p>
<w:p>
<w:pPr><w:pStyle w:val="Normal"/></w:pPr>
<w:r><w:t xml:space="preserve">Since 1875 increased attention has been devoted to the</w:t></w:r>
</w:p>
<w:p>
<w:pPr><w:pStyle w:val="Normal"/></w:pPr>
<w:r><w:t xml:space="preserve">applications of the rarer metals.  Thus nickel, which was</w:t></w:r>
</w:p>
<w:p>
<w:pPr><w:pStyle w:val="Normal"/></w:pPr>
<w:r><w:t xml:space="preserve">formerly used in the manufacture of ``German silver&apos;&apos; as</w:t></w:r>
</w:p>
<w:p>
<w:pPr><w:pStyle w:val="Normal"/></w:pPr>
<w:r><w:t xml:space="preserve">a substitute for silver, is now widely employed in naval</w:t></w:r>
</w:p>
<w:p>
<w:pPr><w:pStyle w:val="Normal"/></w:pPr>
<w:r><w:t xml:space="preserve">construction and in the manufacture of steel armour-plate and</w:t></w:r>
</w:p>
<w:p>
<w:pPr><w:pStyle w:val="Normal"/></w:pPr>
<w:r><w:t xml:space="preserve">projectiles.  Alloyed with copper, it is used for the envelopes of</w:t></w:r>
</w:p>
<w:p>
<w:pPr><w:pStyle w:val="Normal"/></w:pPr>
<w:r><w:t xml:space="preserve">bullets.  A nickel steel containing 36% of nickel has the</w:t></w:r>
</w:p>
<w:p>
<w:pPr><w:pStyle w:val="Normal"/></w:pPr>
<w:r><w:t xml:space="preserve">property of retaining an almost constant volume when heated</w:t></w:r>
</w:p>
<w:p>
<w:pPr><w:pStyle w:val="Normal"/></w:pPr>
<w:r><w:t xml:space="preserve">or cooled through a considerable range of temperature; it is</w:t></w:r>
</w:p>
<w:p>
<w:pPr><w:pStyle w:val="Normal"/></w:pPr>
<w:r><w:t xml:space="preserve">therefore useful for the construction of pendulums and for</w:t></w:r>
</w:p>
<w:p>
<w:pPr><w:pStyle w:val="Normal"/></w:pPr>
<w:r><w:t xml:space="preserve">measures of length.  Another steel containing 45% of nickel</w:t></w:r>
</w:p>
<w:p>
<w:pPr><w:pStyle w:val="Normal"/></w:pPr>
<w:r><w:t xml:space="preserve">has, like platinum, the same coefficient of expansion as</w:t></w:r>
</w:p>
<w:p>
<w:pPr><w:pStyle w:val="Normal"/></w:pPr>
<w:r><w:t xml:space="preserve">glass.  It can therefore be employed, instead of that costly</w:t></w:r>
</w:p>
<w:p>
<w:pPr><w:pStyle w:val="Normal"/></w:pPr>
<w:r><w:t xml:space="preserve">metal, in the construction of incandescent lamps where a</w:t></w:r>
</w:p>
<w:p>
<w:pPr><w:pStyle w:val="Normal"/></w:pPr>
<w:r><w:t xml:space="preserve">wire has to be fused into the glass to establish electric</w:t></w:r>
</w:p>
<w:p>
<w:pPr><w:pStyle w:val="Normal"/></w:pPr>
<w:r><w:t xml:space="preserve">connexion between the inside and the outside of the bulb.</w:t></w:r>
</w:p>
<w:p>
<w:pPr><w:pStyle w:val="Normal"/></w:pPr>
<w:r><w:t xml:space="preserve">Manganese not only forms with iron several alloys of great</w:t></w:r>
</w:p>
<w:p>
<w:pPr><w:pStyle w:val="Normal"/></w:pPr>
<w:r><w:t xml:space="preserve">interest, but alloyed with copper it is used for electrical</w:t></w:r>
</w:p>
<w:p>
<w:pPr><w:pStyle w:val="Normal"/></w:pPr>
<w:r><w:t xml:space="preserve">purposes, as an alloy can thus be obtained with an electrical</w:t></w:r>
</w:p>
<w:p>
<w:pPr><w:pStyle w:val="Normal"/></w:pPr>
<w:r><w:t xml:space="preserve">resistance that does not alter with change of temperature;</w:t></w:r>
</w:p>
<w:p>
<w:pPr><w:pStyle w:val="Normal"/></w:pPr>
<w:r><w:t xml:space="preserve">this alloy, called manganin, is used in the construction of</w:t></w:r>
</w:p>
<w:p>
<w:pPr><w:pStyle w:val="Normal"/></w:pPr>
<w:r><w:t xml:space="preserve">resistance-boxes.  Chromium also, in comparatively small</w:t></w:r>
</w:p>
<w:p>
<w:pPr><w:pStyle w:val="Normal"/></w:pPr>
<w:r><w:t xml:space="preserve">quantities, is taking its place as a constituent of steel</w:t></w:r>
</w:p>
<w:p>
<w:pPr><w:pStyle w:val="Normal"/></w:pPr>
<w:r><w:t xml:space="preserve">axles and tires, and in the manufacture of tool-steel.</w:t></w:r>
</w:p>
<w:p>
<w:pPr><w:pStyle w:val="Normal"/></w:pPr>
<w:r><w:t xml:space="preserve">Steels containing as much as 12% of tungsten are now used</w:t></w:r>
</w:p>
<w:p>
<w:pPr><w:pStyle w:val="Normal"/></w:pPr>
<w:r><w:t xml:space="preserve">as a material for tools intended for turning and planing</w:t></w:r>
</w:p>
<w:p>
<w:pPr><w:pStyle w:val="Normal"/></w:pPr>
<w:r><w:t xml:space="preserve">iron and steel.  The peculiarity of these steels is that no</w:t></w:r>
</w:p>
<w:p>
<w:pPr><w:pStyle w:val="Normal"/></w:pPr>
<w:r><w:t xml:space="preserve">quenching or tempering is required.  They are normally hard</w:t></w:r>
</w:p>
<w:p>
<w:pPr><w:pStyle w:val="Normal"/></w:pPr>
<w:r><w:t xml:space="preserve">and remain so, even at a faint red heat; much deeper cuts</w:t></w:r>
</w:p>
<w:p>
<w:pPr><w:pStyle w:val="Normal"/></w:pPr>
<w:r><w:t xml:space="preserve">can therefore be taken at a high speed without blunting the</w:t></w:r>
</w:p>
<w:p>
<w:pPr><w:pStyle w:val="Normal"/></w:pPr>
<w:r><w:t xml:space="preserve">tool.  Vanadium, molybdenum and titanium may be expected</w:t></w:r>
</w:p>
<w:p>
<w:pPr><w:pStyle w:val="Normal"/></w:pPr>
<w:r><w:t xml:space="preserve">soon to play an important part in the constitution of</w:t></w:r>
</w:p>
<w:p>
<w:pPr><w:pStyle w:val="Normal"/></w:pPr>
<w:r><w:t xml:space="preserve">steel.  Titanium is alloyed in small quantities with aluminium</w:t></w:r>
</w:p>
<w:p>
<w:pPr><w:pStyle w:val="Normal"/></w:pPr>
<w:r><w:t xml:space="preserve">for use in naval architecture.  Aluminium, when alloyed</w:t></w:r>
</w:p>
<w:p>
<w:pPr><w:pStyle w:val="Normal"/></w:pPr>
<w:r><w:t xml:space="preserve">with a few per cent of magnesium, gains greatly in rigidity</w:t></w:r>
</w:p>
<w:p>
<w:pPr><w:pStyle w:val="Normal"/></w:pPr>
<w:r><w:t xml:space="preserve">while remaining very light; this alloy, under the name of</w:t></w:r>
</w:p>
<w:p>
<w:pPr><w:pStyle w:val="Normal"/></w:pPr>
<w:r><w:t xml:space="preserve">magnalium, is coming into use for small articles in which</w:t></w:r>
</w:p>
<w:p>
<w:pPr><w:pStyle w:val="Normal"/></w:pPr>
<w:r><w:t xml:space="preserve">lightness and rigidity have to be combined.  One of the most</w:t></w:r>
</w:p>
<w:p>
<w:pPr><w:pStyle w:val="Normal"/></w:pPr>
<w:r><w:t xml:space="preserve">interesting amongst recent alloys is Conrad Heusler&apos;s alloy</w:t></w:r>
</w:p>
<w:p>
<w:pPr><w:pStyle w:val="Normal"/></w:pPr>
<w:r><w:t xml:space="preserve">of copper, aluminium and manganese, which possesses magnetic</w:t></w:r>
</w:p>
<w:p>
<w:pPr><w:pStyle w:val="Normal"/></w:pPr>
<w:r><w:t xml:space="preserve">properties far in excess of those of the constituent metals.</w:t></w:r>
</w:p>
<w:p>
<w:pPr><w:pStyle w:val="Normal"/></w:pPr>
<w:r><w:t xml:space="preserve">The importance is now widely recognized of considering</w:t></w:r>
</w:p>
<w:p>
<w:pPr><w:pStyle w:val="Normal"/></w:pPr>
<w:r><w:t xml:space="preserve">the mechanical properties of alloys in connexion with the</w:t></w:r>
</w:p>
<w:p>
<w:pPr><w:pStyle w:val="Normal"/></w:pPr>
<w:r><w:t xml:space="preserve">freezing-point curves to which reference has already been</w:t></w:r>
</w:p>
<w:p>
<w:pPr><w:pStyle w:val="Normal"/></w:pPr>
<w:r><w:t xml:space="preserve">made. but the subject is a very complicated one, and all</w:t></w:r>
</w:p>
<w:p>
<w:pPr><w:pStyle w:val="Normal"/></w:pPr>
<w:r><w:t xml:space="preserve">that need be said here, is that when considered in relation</w:t></w:r>
</w:p>
<w:p>
<w:pPr><w:pStyle w:val="Normal"/></w:pPr>
<w:r><w:t xml:space="preserve">to their melting-points the pure metals are consistently</w:t></w:r>
</w:p>
<w:p>
<w:pPr><w:pStyle w:val="Normal"/></w:pPr>
<w:r><w:t xml:space="preserve">weaker than alloys.  The presence in an alloy of a eutectic</w:t></w:r>
</w:p>
<w:p>
<w:pPr><w:pStyle w:val="Normal"/></w:pPr>
<w:r><w:t xml:space="preserve">which solidifies at a much lower temperature than the main</w:t></w:r>
</w:p>
<w:p>
<w:pPr><w:pStyle w:val="Normal"/></w:pPr>
<w:r><w:t xml:space="preserve">mass, implies a great reduction in tenacity, especially if</w:t></w:r>
</w:p>
<w:p>
<w:pPr><w:pStyle w:val="Normal"/></w:pPr>
<w:r><w:t xml:space="preserve">it is to be used above the ordinary temperature as in the</w:t></w:r>
</w:p>
<w:p>
<w:pPr><w:pStyle w:val="Normal"/></w:pPr>
<w:r><w:t xml:space="preserve">case of pipes conveying super-heated steam.  It has also</w:t></w:r>
</w:p>
<w:p>
<w:pPr><w:pStyle w:val="Normal"/></w:pPr>
<w:r><w:t xml:space="preserve">been stated that alloys of metals with similar melting-points</w:t></w:r>
</w:p>
<w:p>
<w:pPr><w:pStyle w:val="Normal"/></w:pPr>
<w:r><w:t xml:space="preserve">have higher tenacity when the atomic volumes of the</w:t></w:r>
</w:p>
<w:p>
<w:pPr><w:pStyle w:val="Normal"/></w:pPr>
<w:r><w:t xml:space="preserve">constituent metals differ than when they are nearly the same.</w:t></w:r>
</w:p>
<w:p>
<w:pPr><w:pStyle w:val="Normal"/></w:pPr>
<w:r><w:t xml:space="preserve">RERERENCES.---Alloys have formed a subject of reoorts to</w:t></w:r>
</w:p>
<w:p>
<w:pPr><w:pStyle w:val="Normal"/></w:pPr>
<w:r><w:t xml:space="preserve">several scientific societies.  Sir W. C. Roberts-Austen&apos;s</w:t></w:r>
</w:p>
<w:p>
<w:pPr><w:pStyle w:val="Normal"/></w:pPr>
<w:r><w:t xml:space="preserve">six Reports (1891 to 1904) to the Alloys Research Committee</w:t></w:r>
</w:p>
<w:p>
<w:pPr><w:pStyle w:val="Normal"/></w:pPr>
<w:r><w:t xml:space="preserve">of the Institution of Mechanical Engineers, London, the</w:t></w:r>
</w:p>
<w:p>
<w:pPr><w:pStyle w:val="Normal"/></w:pPr>
<w:r><w:t xml:space="preserve">last report being concluded by William Gowland; the Cantor</w:t></w:r>
</w:p>
<w:p>
<w:pPr><w:pStyle w:val="Normal"/></w:pPr>
<w:r><w:t xml:space="preserve">Lectures on Alloys delivered at the Society of Arts</w:t></w:r>
</w:p>
<w:p>
<w:pPr><w:pStyle w:val="Normal"/></w:pPr>
<w:r><w:t xml:space="preserve">and the Contribution a l&apos;etude des alliages (1901),</w:t></w:r>
</w:p>
<w:p>
<w:pPr><w:pStyle w:val="Normal"/></w:pPr>
<w:r><w:t xml:space="preserve">published by the Societe d&apos;encouracement pour l&apos;industrie</w:t></w:r>
</w:p>
<w:p>
<w:pPr><w:pStyle w:val="Normal"/></w:pPr>
<w:r><w:t xml:space="preserve">nationale under the direction of the Commission des alliages</w:t></w:r>
</w:p>
<w:p>
<w:pPr><w:pStyle w:val="Normal"/></w:pPr>
<w:r><w:t xml:space="preserve">(1896-1900), should be consulted.  The theoretical aspect is</w:t></w:r>
</w:p>
<w:p>
<w:pPr><w:pStyle w:val="Normal"/></w:pPr>
<w:r><w:t xml:space="preserve">discussed in Leon Guillet&apos;s Etude theorique des alliages</w:t></w:r>
</w:p>
<w:p>
<w:pPr><w:pStyle w:val="Normal"/></w:pPr>
<w:r><w:t xml:space="preserve">metalliques (1904).  W. T. Brannt&apos;s The Metallic Alloys</w:t></w:r>
</w:p>
<w:p>
<w:pPr><w:pStyle w:val="Normal"/></w:pPr>
<w:r><w:t xml:space="preserve">(1896); Roberis-Austen&apos;s Introduction to the Study of</w:t></w:r>
</w:p>
<w:p>
<w:pPr><w:pStyle w:val="Normal"/></w:pPr>
<w:r><w:t xml:space="preserve">Metallurgy (1902); and R. G. Thurston&apos;s Materials of</w:t></w:r>
</w:p>
<w:p>
<w:pPr><w:pStyle w:val="Normal"/></w:pPr>
<w:r><w:t xml:space="preserve">Engineering, should be consulted for the more practical</w:t></w:r>
</w:p>
<w:p>
<w:pPr><w:pStyle w:val="Normal"/></w:pPr>
<w:r><w:t xml:space="preserve">details. in The Iron and Steel Metallurgist, formerly</w:t></w:r>
</w:p>
<w:p>
<w:pPr><w:pStyle w:val="Normal"/></w:pPr>
<w:r><w:t xml:space="preserve">The Metallographist (Boston, Mass.), and Metallurgie</w:t></w:r>
</w:p>
<w:p>
<w:pPr><w:pStyle w:val="Normal"/></w:pPr>
<w:r><w:t xml:space="preserve">(Halle).  Important memoirs by Ewing and Rosenhain, and by C. T.</w:t></w:r>
</w:p>
<w:p>
<w:pPr><w:pStyle w:val="Normal"/></w:pPr>
<w:r><w:t xml:space="preserve">Hevcock and F. H. Neville in the Philosophical Transactions,</w:t></w:r>
</w:p>
<w:p>
<w:pPr><w:pStyle w:val="Normal"/></w:pPr>
<w:r><w:t xml:space="preserve">by N. S. Kunrnakow in the Zeitschrift fur anorganische</w:t></w:r>
</w:p>
<w:p>
<w:pPr><w:pStyle w:val="Normal"/></w:pPr>
<w:r><w:t xml:space="preserve">Chemie, and by E. S. Shepherd in the Journal of Physical</w:t></w:r>
</w:p>
<w:p>
<w:pPr><w:pStyle w:val="Normal"/></w:pPr>
<w:r><w:t xml:space="preserve">Chemistry, may also be consulted. (W. C. R.-A.; F. lj. NE.)</w:t></w:r>
</w:p>
<w:p>
<w:pPr><w:pStyle w:val="Normal"/></w:pPr>
<w:r><w:t xml:space="preserve">1 The instructive case of the solidification of a solution</w:t></w:r>
</w:p>
<w:p>
<w:pPr><w:pStyle w:val="Normal"/></w:pPr>
<w:r><w:t xml:space="preserve">of common salt in water is discussed in the article FUSION.</w:t></w:r>
</w:p>
<w:p>
<w:pPr><w:pStyle w:val="Normal"/></w:pPr>
<w:r><w:t xml:space="preserve">ALLPORT, SIR JAMES JOSEPH (1811-1892), English railway</w:t></w:r>
</w:p>
<w:p>
<w:pPr><w:pStyle w:val="Normal"/></w:pPr>
<w:r><w:t xml:space="preserve">manager, born on the 27th of February 1811, was a son of William</w:t></w:r>
</w:p>
<w:p>
<w:pPr><w:pStyle w:val="Normal"/></w:pPr>
<w:r><w:t xml:space="preserve">Allport, of Birmingham, and was associated with railways from</w:t></w:r>
</w:p>
<w:p>
<w:pPr><w:pStyle w:val="Normal"/></w:pPr>
<w:r><w:t xml:space="preserve">an early period of his life.  In 1843 he became general manager</w:t></w:r>
</w:p>
<w:p>
<w:pPr><w:pStyle w:val="Normal"/></w:pPr>
<w:r><w:t xml:space="preserve">of the Birmingham and Derby railway, and in the following year,</w:t></w:r>
</w:p>
<w:p>
<w:pPr><w:pStyle w:val="Normal"/></w:pPr>
<w:r><w:t xml:space="preserve">succeeded to the same position on the Newcastle and Darlington</w:t></w:r>
</w:p>
<w:p>
<w:pPr><w:pStyle w:val="Normal"/></w:pPr>
<w:r><w:t xml:space="preserve">line.  Six years later he assumed the charge of the Manchester,</w:t></w:r>
</w:p>
<w:p>
<w:pPr><w:pStyle w:val="Normal"/></w:pPr>
<w:r><w:t xml:space="preserve">Sheffield and Lincolnshire (now the Great Central) railway, and</w:t></w:r>
</w:p>
<w:p>
<w:pPr><w:pStyle w:val="Normal"/></w:pPr>
<w:r><w:t xml:space="preserve">finally, in 1853, was appointed to the general managership</w:t></w:r>
</w:p>
<w:p>
<w:pPr><w:pStyle w:val="Normal"/></w:pPr>
<w:r><w:t xml:space="preserve">of the Midland railway--an office which he held continuously,</w:t></w:r>
</w:p>
<w:p>
<w:pPr><w:pStyle w:val="Normal"/></w:pPr>
<w:r><w:t xml:space="preserve">with the exception of a few years between 1857 and 1860, when</w:t></w:r>
</w:p>
<w:p>
<w:pPr><w:pStyle w:val="Normal"/></w:pPr>
<w:r><w:t xml:space="preserve">he was managing director to Palmer&apos;s Shipbuilding Company</w:t></w:r>
</w:p>
<w:p>
<w:pPr><w:pStyle w:val="Normal"/></w:pPr>
<w:r><w:t xml:space="preserve">at Jarrow, until his retirement in 1880, when he became a</w:t></w:r>
</w:p>
<w:p>
<w:pPr><w:pStyle w:val="Normal"/></w:pPr>
<w:r><w:t xml:space="preserve">director.  During these twenty-seven years the Midland grew</w:t></w:r>
</w:p>
<w:p>
<w:pPr><w:pStyle w:val="Normal"/></w:pPr>
<w:r><w:t xml:space="preserve">to be one of the most important railway systems in England,</w:t></w:r>
</w:p>
<w:p>
<w:pPr><w:pStyle w:val="Normal"/></w:pPr>
<w:r><w:t xml:space="preserve">partly by the absorption of smaller lines and partly by the</w:t></w:r>
</w:p>
<w:p>
<w:pPr><w:pStyle w:val="Normal"/></w:pPr>
<w:r><w:t xml:space="preserve">construction of two main extensions--on the south to London and</w:t></w:r>
</w:p>
<w:p>
<w:pPr><w:pStyle w:val="Normal"/></w:pPr>
<w:r><w:t xml:space="preserve">on the north to Carlisle --whereby it obtained an independent</w:t></w:r>
</w:p>
<w:p>
<w:pPr><w:pStyle w:val="Normal"/></w:pPr>
<w:r><w:t xml:space="preserve">through-route between the metropolis and the north.  In the</w:t></w:r>
</w:p>
<w:p>
<w:pPr><w:pStyle w:val="Normal"/></w:pPr>
<w:r><w:t xml:space="preserve">railvay world Sir James Allport was known as a keen tactician</w:t></w:r>
</w:p>
<w:p>
<w:pPr><w:pStyle w:val="Normal"/></w:pPr>
<w:r><w:t xml:space="preserve">and a vigorous fighter, and he should be remembered as the</w:t></w:r>
</w:p>
<w:p>
<w:pPr><w:pStyle w:val="Normal"/></w:pPr>
<w:r><w:t xml:space="preserve">pioneer of cheap and comfortable railway travelling.  He was</w:t></w:r>
</w:p>
<w:p>
<w:pPr><w:pStyle w:val="Normal"/></w:pPr>
<w:r><w:t xml:space="preserve">the first to appreciate the importance of the third-class</w:t></w:r>
</w:p>
<w:p>
<w:pPr><w:pStyle w:val="Normal"/></w:pPr>
<w:r><w:t xml:space="preserve">passenger as a source of revenue, and accordingly, in 1872,</w:t></w:r>
</w:p>
<w:p>
<w:pPr><w:pStyle w:val="Normal"/></w:pPr>
<w:r><w:t xml:space="preserve">he inaugurated the policy--subsequently adopted more or less</w:t></w:r>
</w:p>
<w:p>
<w:pPr><w:pStyle w:val="Normal"/></w:pPr>
<w:r><w:t xml:space="preserve">completely by all the railways of Great Britain of carrying</w:t></w:r>
</w:p>
<w:p>
<w:pPr><w:pStyle w:val="Normal"/></w:pPr>
<w:r><w:t xml:space="preserve">third-class passengers in well-fitted carriages at the uniform</w:t></w:r>
</w:p>
<w:p>
<w:pPr><w:pStyle w:val="Normal"/></w:pPr>
<w:r><w:t xml:space="preserve">rate of one penny a mile on all trains.  The diminution in the</w:t></w:r>
</w:p>
<w:p>
<w:pPr><w:pStyle w:val="Normal"/></w:pPr>
<w:r><w:t xml:space="preserve">receipts from second-class passengers, which was one of the</w:t></w:r>
</w:p>
<w:p>
<w:pPr><w:pStyle w:val="Normal"/></w:pPr>
<w:r><w:t xml:space="preserve">results, was regarded by some authorities as a sign of the</w:t></w:r>
</w:p>
<w:p>
<w:pPr><w:pStyle w:val="Normal"/></w:pPr>
<w:r><w:t xml:space="preserve">unwisdom of his action, but to him it appeared a sufficient</w:t></w:r>
</w:p>
<w:p>
<w:pPr><w:pStyle w:val="Normal"/></w:pPr>
<w:r><w:t xml:space="preserve">reason for the abolition of second-class carriages, which</w:t></w:r>
</w:p>
<w:p>
<w:pPr><w:pStyle w:val="Normal"/></w:pPr>
<w:r><w:t xml:space="preserve">therefore disappeared from the Midland system in 1875, the</w:t></w:r>
</w:p>
<w:p>
<w:pPr><w:pStyle w:val="Normal"/></w:pPr>
<w:r><w:t xml:space="preserve">first-class fares being at the same time substantially reduced.</w:t></w:r>
</w:p>
<w:p>
<w:pPr><w:pStyle w:val="Normal"/></w:pPr>
<w:r><w:t xml:space="preserve">He was also the first to introduce the Pullman car on British</w:t></w:r>
</w:p>
<w:p>
<w:pPr><w:pStyle w:val="Normal"/></w:pPr>
<w:r><w:t xml:space="preserve">railways.  Allport received the honour of knighthood in</w:t></w:r>
</w:p>
<w:p>
<w:pPr><w:pStyle w:val="Normal"/></w:pPr>
<w:r><w:t xml:space="preserve">1884.  He died in London on the 25th of April 1892.</w:t></w:r>
</w:p>
<w:p>
<w:pPr><w:pStyle w:val="Normal"/></w:pPr>
<w:r><w:t xml:space="preserve">ALLPORT, SAMUEL (1816-1897), English petrologist, brother</w:t></w:r>
</w:p>
<w:p>
<w:pPr><w:pStyle w:val="Normal"/></w:pPr>
<w:r><w:t xml:space="preserve">of the above, was born in Birmingham on the 23rd of January</w:t></w:r>
</w:p>
<w:p>
<w:pPr><w:pStyle w:val="Normal"/></w:pPr>
<w:r><w:t xml:space="preserve">1816, and educated in that city.  Although occupied in</w:t></w:r>
</w:p>
<w:p>
<w:pPr><w:pStyle w:val="Normal"/></w:pPr>
<w:r><w:t xml:space="preserve">business during the greater portion of his life, his leisure</w:t></w:r>
</w:p>
<w:p>
<w:pPr><w:pStyle w:val="Normal"/></w:pPr>
<w:r><w:t xml:space="preserve">was given to geological studies, and when residing for a</w:t></w:r>
</w:p>
<w:p>
<w:pPr><w:pStyle w:val="Normal"/></w:pPr>
<w:r><w:t xml:space="preserve">short period in Bahia, S. America, he made observations</w:t></w:r>
</w:p>
<w:p>
<w:pPr><w:pStyle w:val="Normal"/></w:pPr>
<w:r><w:t xml:space="preserve">on the geology, published by the Geological Society in</w:t></w:r>
</w:p>
<w:p>
<w:pPr><w:pStyle w:val="Normal"/></w:pPr>
<w:r><w:t xml:space="preserve">1860.  His chief work was in microscopic petrology, to the</w:t></w:r>
</w:p>
<w:p>
<w:pPr><w:pStyle w:val="Normal"/></w:pPr>
<w:r><w:t xml:space="preserve">studyol which he was attracted by the investigations of Dr</w:t></w:r>
</w:p>
<w:p>
<w:pPr><w:pStyle w:val="Normal"/></w:pPr>
<w:r><w:t xml:space="preserve">H. C. Sorby; and he became one of the pioneers of this branch</w:t></w:r>
</w:p>
<w:p>
<w:pPr><w:pStyle w:val="Normal"/></w:pPr>
<w:r><w:t xml:space="preserve">of geology, preparing his own rock-sections with remarkable</w:t></w:r>
</w:p>
<w:p>
<w:pPr><w:pStyle w:val="Normal"/></w:pPr>
<w:r><w:t xml:space="preserve">skill.  The basalts of S. Staffordshire, the diorites of</w:t></w:r>
</w:p>
<w:p>
<w:pPr><w:pStyle w:val="Normal"/></w:pPr>
<w:r><w:t xml:space="preserve">Warwickshire, the phonolite of the Wolf Rock (to which he</w:t></w:r>
</w:p>
<w:p>
<w:pPr><w:pStyle w:val="Normal"/></w:pPr>
<w:r><w:t xml:space="preserve">first directed attention), the pitchstones of Arran and the</w:t></w:r>
</w:p>
<w:p>
<w:pPr><w:pStyle w:val="Normal"/></w:pPr>
<w:r><w:t xml:space="preserve">altered igneous rocks near the Land&apos;s End were investigated</w:t></w:r>
</w:p>
<w:p>
<w:pPr><w:pStyle w:val="Normal"/></w:pPr>
<w:r><w:t xml:space="preserve">and described by him during the years 1869--1879 in the</w:t></w:r>
</w:p>
<w:p>
<w:pPr><w:pStyle w:val="Normal"/></w:pPr>
<w:r><w:t xml:space="preserve">Quarterly Journal of the Geological Society and in the</w:t></w:r>
</w:p>
<w:p>
<w:pPr><w:pStyle w:val="Normal"/></w:pPr>
<w:r><w:t xml:space="preserve">Geological Magazine. In 1880 he was appointed librarian</w:t></w:r>
</w:p>
<w:p>
<w:pPr><w:pStyle w:val="Normal"/></w:pPr>
<w:r><w:t xml:space="preserve">in Mason College, a post which he relinquished on account of</w:t></w:r>
</w:p>
<w:p>
<w:pPr><w:pStyle w:val="Normal"/></w:pPr>
<w:r><w:t xml:space="preserve">ill-health in 1887.  In that year the Lyell medal was awarded</w:t></w:r>
</w:p>
<w:p>
<w:pPr><w:pStyle w:val="Normal"/></w:pPr>
<w:r><w:t xml:space="preserve">to him by the Geological Society.  A few years later he</w:t></w:r>
</w:p>
<w:p>
<w:pPr><w:pStyle w:val="Normal"/></w:pPr>
<w:r><w:t xml:space="preserve">retired to Cheltenham, where he died on the 7th of July 1897.</w:t></w:r>
</w:p>
<w:p>
<w:pPr><w:pStyle w:val="Normal"/></w:pPr>
<w:r><w:t xml:space="preserve">ALL-ROUND ATHLETICS. Specialization in athletic sports,</w:t></w:r>
</w:p>
<w:p>
<w:pPr><w:pStyle w:val="Normal"/></w:pPr>
<w:r><w:t xml:space="preserve">although always existent, is to a great extent a modern</w:t></w:r>
</w:p>
<w:p>
<w:pPr><w:pStyle w:val="Normal"/></w:pPr>
<w:r><w:t xml:space="preserve">product.  In ancient times athletes were encouraged to excel in</w:t></w:r>
</w:p>
<w:p>
<w:pPr><w:pStyle w:val="Normal"/></w:pPr>
<w:r><w:t xml:space="preserve">several branches of sport, often quite opposite in character.</w:t></w:r>
</w:p>
<w:p>
<w:pPr><w:pStyle w:val="Normal"/></w:pPr>
<w:r><w:t xml:space="preserve">Thus the athlete held in highest honour at the Olympic Games</w:t></w:r>
</w:p>
<w:p>
<w:pPr><w:pStyle w:val="Normal"/></w:pPr>
<w:r><w:t xml:space="preserve">(see GAMES, CLASSICAL) was the winner of the pentathlon,</w:t></w:r>
</w:p>
<w:p>
<w:pPr><w:pStyle w:val="Normal"/></w:pPr>
<w:r><w:t xml:space="preserve">which consisted of running, jumping, throwing the javelin</w:t></w:r>
</w:p>
<w:p>
<w:pPr><w:pStyle w:val="Normal"/></w:pPr>
<w:r><w:t xml:space="preserve">and the discus, and wrestling.  All-round championships have</w:t></w:r>
</w:p>
<w:p>
<w:pPr><w:pStyle w:val="Normal"/></w:pPr>
<w:r><w:t xml:space="preserve">existed for many years both in Scotland and Ireland, and in</w:t></w:r>
</w:p>
<w:p>
<w:pPr><w:pStyle w:val="Normal"/></w:pPr>
<w:r><w:t xml:space="preserve">America there are both national and sectional championships.</w:t></w:r>
</w:p>
<w:p>
<w:pPr><w:pStyle w:val="Normal"/></w:pPr>
<w:r><w:t xml:space="preserve">The American national championship was instituted in 1888,</w:t></w:r>
</w:p>
<w:p>
<w:pPr><w:pStyle w:val="Normal"/></w:pPr>
<w:r><w:t xml:space="preserve">the winner being the athlete who succeeds in obtaining the</w:t></w:r>
</w:p>
<w:p>
<w:pPr><w:pStyle w:val="Normal"/></w:pPr>
<w:r><w:t xml:space="preserve">highest marks in the following eleven events; 100 yards run;</w:t></w:r>
</w:p>
<w:p>
<w:pPr><w:pStyle w:val="Normal"/></w:pPr>
<w:r><w:t xml:space="preserve">putting 16 lb. shot; running high jump; half-mile walk; throwing</w:t></w:r>
</w:p>
<w:p>
<w:pPr><w:pStyle w:val="Normal"/></w:pPr>
<w:r><w:t xml:space="preserve">16 lb. hammer; 120 yards hurdle race; pole vault; throwing</w:t></w:r>
</w:p>
<w:p>
<w:pPr><w:pStyle w:val="Normal"/></w:pPr>
<w:r><w:t xml:space="preserve">56 lb. weight; one mile run; running broad jump; quarter-mile</w:t></w:r>
</w:p>
<w:p>
<w:pPr><w:pStyle w:val="Normal"/></w:pPr>
<w:r><w:t xml:space="preserve">run.  In each event 1000 points are allowed for equalling the</w:t></w:r>
</w:p>
<w:p>
<w:pPr><w:pStyle w:val="Normal"/></w:pPr>
<w:r><w:t xml:space="preserve">``record,&apos;&apos; and an increasing number of points is taken off for</w:t></w:r>
</w:p>
<w:p>
<w:pPr><w:pStyle w:val="Normal"/></w:pPr>
<w:r><w:t xml:space="preserve">performances below ``record,&apos;&apos; down to a certain ``standard,&apos;,</w:t></w:r>
</w:p>
<w:p>
<w:pPr><w:pStyle w:val="Normal"/></w:pPr>
<w:r><w:t xml:space="preserve">below which the competitor scores nothing.  For example, in</w:t></w:r>
</w:p>
<w:p>
<w:pPr><w:pStyle w:val="Normal"/></w:pPr>
<w:r><w:t xml:space="preserve">the 100 yards run the time of 9 4/5 seconds represents 1000</w:t></w:r>
</w:p>
<w:p>
<w:pPr><w:pStyle w:val="Normal"/></w:pPr>
<w:r><w:t xml:space="preserve">points; that of 10 seconds scores 958, or 42 points less; 10 1/5</w:t></w:r>
</w:p>
<w:p>
<w:pPr><w:pStyle w:val="Normal"/></w:pPr>
<w:r><w:t xml:space="preserve">seconds scores 916, &amp;c.; and below 14 1/5 seconds the competitor</w:t></w:r>
</w:p>
<w:p>
<w:pPr><w:pStyle w:val="Normal"/></w:pPr>
<w:r><w:t xml:space="preserve">scores nothing.  Should the record be broken 42 points are</w:t></w:r>
</w:p>
<w:p>
<w:pPr><w:pStyle w:val="Normal"/></w:pPr>
<w:r><w:t xml:space="preserve">added for each  1/5 second. (See also ATHLETIC SPORTS.)</w:t></w:r>
</w:p>
<w:p>
<w:pPr><w:pStyle w:val="Normal"/></w:pPr>
<w:r><w:t xml:space="preserve">ALL SAINTS, FESTIVAL OF (Festum omnium sanctorum), also</w:t></w:r>
</w:p>
<w:p>
<w:pPr><w:pStyle w:val="Normal"/></w:pPr>
<w:r><w:t xml:space="preserve">formerly known as ALL HALLOWS, or HALLOWMAS, a feast of</w:t></w:r>
</w:p>
<w:p>
<w:pPr><w:pStyle w:val="Normal"/></w:pPr>
<w:r><w:t xml:space="preserve">the Catholic Church celebrated on the 1st of November in honour</w:t></w:r>
</w:p>
<w:p>
<w:pPr><w:pStyle w:val="Normal"/></w:pPr>
<w:r><w:t xml:space="preserve">of all the saints, known or unknown.  In the Roman Catholic</w:t></w:r>
</w:p>
<w:p>
<w:pPr><w:pStyle w:val="Normal"/></w:pPr>
<w:r><w:t xml:space="preserve">Church it is a festival of the first rank, with a vigil and an</w:t></w:r>
</w:p>
<w:p>
<w:pPr><w:pStyle w:val="Normal"/></w:pPr>
<w:r><w:t xml:space="preserve">octave.  Common commemorations, by several churches, of</w:t></w:r>
</w:p>
<w:p>
<w:pPr><w:pStyle w:val="Normal"/></w:pPr>
<w:r><w:t xml:space="preserve">the deaths of martyrs began to be celebrated in the 4th</w:t></w:r>
</w:p>
<w:p>
<w:pPr><w:pStyle w:val="Normal"/></w:pPr>
<w:r><w:t xml:space="preserve">century.  The first trace of a general celebration is in</w:t></w:r>
</w:p>
<w:p>
<w:pPr><w:pStyle w:val="Normal"/></w:pPr>
<w:r><w:t xml:space="preserve">Antioch on the Sunday after Pentecost, and this custom is</w:t></w:r>
</w:p>
<w:p>
<w:pPr><w:pStyle w:val="Normal"/></w:pPr>
<w:r><w:t xml:space="preserve">also referred to in the 74th homily of St Chrysostom (407).</w:t></w:r>
</w:p>
<w:p>
<w:pPr><w:pStyle w:val="Normal"/></w:pPr>
<w:r><w:t xml:space="preserve">The origin of the festival of All Saints as celebrated in</w:t></w:r>
</w:p>
<w:p>
<w:pPr><w:pStyle w:val="Normal"/></w:pPr>
<w:r><w:t xml:space="preserve">the West is, however, somewhat doubtful.  In 609 or 610 Pope</w:t></w:r>
</w:p>
<w:p>
<w:pPr><w:pStyle w:val="Normal"/></w:pPr>
<w:r><w:t xml:space="preserve">Boniface IV. consecrated the Pantheon at Rome to the Blessed</w:t></w:r>
</w:p>
<w:p>
<w:pPr><w:pStyle w:val="Normal"/></w:pPr>
<w:r><w:t xml:space="preserve">Virgin and all the martyrs, and the feast of the dedicatio</w:t></w:r>
</w:p>
<w:p>
<w:pPr><w:pStyle w:val="Normal"/></w:pPr>
<w:r><w:t xml:space="preserve">Sanctae Mariae ad Martyres has been celebrated at Rome ever</w:t></w:r>
</w:p>
<w:p>
<w:pPr><w:pStyle w:val="Normal"/></w:pPr>
<w:r><w:t xml:space="preserve">since on the 13th of May. The idea, based on the medieval</w:t></w:r>
</w:p>
<w:p>
<w:pPr><w:pStyle w:val="Normal"/></w:pPr>
<w:r><w:t xml:space="preserve">liturgiologists, that this festival was the origin of that</w:t></w:r>
</w:p>
<w:p>
<w:pPr><w:pStyle w:val="Normal"/></w:pPr>
<w:r><w:t xml:space="preserve">of All Saints has now been abandoned.  The latter is possibly</w:t></w:r>
</w:p>
<w:p>
<w:pPr><w:pStyle w:val="Normal"/></w:pPr>
<w:r><w:t xml:space="preserve">traceable to the foundation by Gregory III. (731-741) of an</w:t></w:r>
</w:p>
<w:p>
<w:pPr><w:pStyle w:val="Normal"/></w:pPr>
<w:r><w:t xml:space="preserve">oratory in St Peter&apos;s for the relics ``of the holy apostles</w:t></w:r>
</w:p>
<w:p>
<w:pPr><w:pStyle w:val="Normal"/></w:pPr>
<w:r><w:t xml:space="preserve">and of all saints, martyrs and confessors, of all the just</w:t></w:r>
</w:p>
<w:p>
<w:pPr><w:pStyle w:val="Normal"/></w:pPr>
<w:r><w:t xml:space="preserve">made perfect who are at rest throughout the world.&apos;&apos; So</w:t></w:r>
</w:p>
<w:p>
<w:pPr><w:pStyle w:val="Normal"/></w:pPr>
<w:r><w:t xml:space="preserve">far as the Western Church generally is concerned, though</w:t></w:r>
</w:p>
<w:p>
<w:pPr><w:pStyle w:val="Normal"/></w:pPr>
<w:r><w:t xml:space="preserve">the festival was already widely celebrated in the days of</w:t></w:r>
</w:p>
<w:p>
<w:pPr><w:pStyle w:val="Normal"/></w:pPr>
<w:r><w:t xml:space="preserve">Charlemagne, it was only made of obligation throughout the</w:t></w:r>
</w:p>
<w:p>
<w:pPr><w:pStyle w:val="Normal"/></w:pPr>
<w:r><w:t xml:space="preserve">Frankish empire in 835 by a decree of Louis the Pious issued</w:t></w:r>
</w:p>
<w:p>
<w:pPr><w:pStyle w:val="Normal"/></w:pPr>
<w:r><w:t xml:space="preserve">``at the instance of Pope Gregory IV. and with the assent of</w:t></w:r>
</w:p>
<w:p>
<w:pPr><w:pStyle w:val="Normal"/></w:pPr>
<w:r><w:t xml:space="preserve">all the bishops,&apos;&apos; which fixed its celebration on the 1st of</w:t></w:r>
</w:p>
<w:p>
<w:pPr><w:pStyle w:val="Normal"/></w:pPr>
<w:r><w:t xml:space="preserve">November.  The festival was retained at the Reformation in</w:t></w:r>
</w:p>
<w:p>
<w:pPr><w:pStyle w:val="Normal"/></w:pPr>
<w:r><w:t xml:space="preserve">the calendar of the Church of England, and also in that of</w:t></w:r>
</w:p>
<w:p>
<w:pPr><w:pStyle w:val="Normal"/></w:pPr>
<w:r><w:t xml:space="preserve">many of the Lutheran churches.  In the latter, in spite of</w:t></w:r>
</w:p>
<w:p>
<w:pPr><w:pStyle w:val="Normal"/></w:pPr>
<w:r><w:t xml:space="preserve">attempts at revival, it has fallen into complete disuse.</w:t></w:r>
</w:p>
<w:p>
<w:pPr><w:pStyle w:val="Normal"/></w:pPr>
<w:r><w:t xml:space="preserve">ALL SOULS, DAY (Commemoratio omnium fidelimm defunctorum), the</w:t></w:r>
</w:p>
<w:p>
<w:pPr><w:pStyle w:val="Normal"/></w:pPr>
<w:r><w:t xml:space="preserve">day set apart in the Roman Catholic Church for the commemoration</w:t></w:r>
</w:p>
<w:p>
<w:pPr><w:pStyle w:val="Normal"/></w:pPr>
<w:r><w:t xml:space="preserve">of the faithful departed.  The celebration is based on the</w:t></w:r>
</w:p>
<w:p>
<w:pPr><w:pStyle w:val="Normal"/></w:pPr>
<w:r><w:t xml:space="preserve">doctrine that the souls of the faithful which at death have</w:t></w:r>
</w:p>
<w:p>
<w:pPr><w:pStyle w:val="Normal"/></w:pPr>
<w:r><w:t xml:space="preserve">not been cleansed from venial sins, or have not atoned for past</w:t></w:r>
</w:p>
<w:p>
<w:pPr><w:pStyle w:val="Normal"/></w:pPr>
<w:r><w:t xml:space="preserve">transgressions, cannot attain the Beatific Vision, and that they</w:t></w:r>
</w:p>
<w:p>
<w:pPr><w:pStyle w:val="Normal"/></w:pPr>
<w:r><w:t xml:space="preserve">may be helped to do so by prayer and by the sacrifice of the</w:t></w:r>
</w:p>
<w:p>
<w:pPr><w:pStyle w:val="Normal"/></w:pPr>
<w:r><w:t xml:space="preserve">mass.  The feast falls on the 2nd of November; or on the 3rd</w:t></w:r>
</w:p>
<w:p>
<w:pPr><w:pStyle w:val="Normal"/></w:pPr>
<w:r><w:t xml:space="preserve">if the 2nd is a Sunday or a festival of the first class.</w:t></w:r>
</w:p>
<w:p>
<w:pPr><w:pStyle w:val="Normal"/></w:pPr>
<w:r><w:t xml:space="preserve">The practice of setting apart a special day for intercession</w:t></w:r>
</w:p>
<w:p>
<w:pPr><w:pStyle w:val="Normal"/></w:pPr>
<w:r><w:t xml:space="preserve">for certain of the faithful departed is of great antiquity;</w:t></w:r>
</w:p>
<w:p>
<w:pPr><w:pStyle w:val="Normal"/></w:pPr>
<w:r><w:t xml:space="preserve">but the establishment of a feast of general intercession</w:t></w:r>
</w:p>
<w:p>
<w:pPr><w:pStyle w:val="Normal"/></w:pPr>
<w:r><w:t xml:space="preserve">was in the lirst instance due to Odilo, abbot of Cluny (d.</w:t></w:r>
</w:p>
<w:p>
<w:pPr><w:pStyle w:val="Normal"/></w:pPr>
<w:r><w:t xml:space="preserve">1048).  The legend connected with its foundation is given</w:t></w:r>
</w:p>
<w:p>
<w:pPr><w:pStyle w:val="Normal"/></w:pPr>
<w:r><w:t xml:space="preserve">by Peter Damiani in his Life of St Odilo. According to</w:t></w:r>
</w:p>
<w:p>
<w:pPr><w:pStyle w:val="Normal"/></w:pPr>
<w:r><w:t xml:space="preserve">this, a pilgrim returning from the Holy Land was cast by a</w:t></w:r>
</w:p>
<w:p>
<w:pPr><w:pStyle w:val="Normal"/></w:pPr>
<w:r><w:t xml:space="preserve">storm on a desolate island where dwelt a hermit.  From him</w:t></w:r>
</w:p>
<w:p>
<w:pPr><w:pStyle w:val="Normal"/></w:pPr>
<w:r><w:t xml:space="preserve">he learned that amid the rocks was a chasm communicating with</w:t></w:r>
</w:p>
<w:p>
<w:pPr><w:pStyle w:val="Normal"/></w:pPr>
<w:r><w:t xml:space="preserve">purgatory, from which rose perpetually the groans of tortured</w:t></w:r>
</w:p>
<w:p>
<w:pPr><w:pStyle w:val="Normal"/></w:pPr>
<w:r><w:t xml:space="preserve">souls, the hermit asserting that he had also heard the demons</w:t></w:r>
</w:p>
<w:p>
<w:pPr><w:pStyle w:val="Normal"/></w:pPr>
<w:r><w:t xml:space="preserve">complaining of the efficacy of the prayers of the faithful, and</w:t></w:r>
</w:p>
<w:p>
<w:pPr><w:pStyle w:val="Normal"/></w:pPr>
<w:r><w:t xml:space="preserve">especially of the monks of Cluny, in rescuing their victims.</w:t></w:r>
</w:p>
<w:p>
<w:pPr><w:pStyle w:val="Normal"/></w:pPr>
<w:r><w:t xml:space="preserve">On returning home the pilgrim hastened to inform the abbot of</w:t></w:r>
</w:p>
<w:p>
<w:pPr><w:pStyle w:val="Normal"/></w:pPr>
<w:r><w:t xml:space="preserve">Cluny, who forthwith set apart the 2nd of November as a day of</w:t></w:r>
</w:p>
<w:p>
<w:pPr><w:pStyle w:val="Normal"/></w:pPr>
<w:r><w:t xml:space="preserve">intercession on the part of his community for all the souls in</w:t></w:r>
</w:p>
<w:p>
<w:pPr><w:pStyle w:val="Normal"/></w:pPr>
<w:r><w:t xml:space="preserve">purgatory.  The decree ordaining the celebration is printed</w:t></w:r>
</w:p>
<w:p>
<w:pPr><w:pStyle w:val="Normal"/></w:pPr>
<w:r><w:t xml:space="preserve">in the Bollandist Acta Sanctorum ( Saec.  VI, pt. i. p.</w:t></w:r>
</w:p>
<w:p>
<w:pPr><w:pStyle w:val="Normal"/></w:pPr>
<w:r><w:t xml:space="preserve">585).  From Cluny the custom spread to the other houses of</w:t></w:r>
</w:p>
<w:p>
<w:pPr><w:pStyle w:val="Normal"/></w:pPr>
<w:r><w:t xml:space="preserve">the Cluniac order, was soon adopted in several dioceses in</w:t></w:r>
</w:p>
<w:p>
<w:pPr><w:pStyle w:val="Normal"/></w:pPr>
<w:r><w:t xml:space="preserve">France, and spread thence throughout the Western Church.  At</w:t></w:r>
</w:p>
<w:p>
<w:pPr><w:pStyle w:val="Normal"/></w:pPr>
<w:r><w:t xml:space="preserve">the Reformation the celebration of All Souls&apos; Day was abolished</w:t></w:r>
</w:p>
<w:p>
<w:pPr><w:pStyle w:val="Normal"/></w:pPr>
<w:r><w:t xml:space="preserve">in the Church of England, though it has been renewed in certain</w:t></w:r>
</w:p>
<w:p>
<w:pPr><w:pStyle w:val="Normal"/></w:pPr>
<w:r><w:t xml:space="preserve">churches in connexion with the ``Catholic revival.&apos;&apos; Among</w:t></w:r>
</w:p>
<w:p>
<w:pPr><w:pStyle w:val="Normal"/></w:pPr>
<w:r><w:t xml:space="preserve">continental Protestants its tradition lias been more tenaciously</w:t></w:r>
</w:p>
<w:p>
<w:pPr><w:pStyle w:val="Normal"/></w:pPr>
<w:r><w:t xml:space="preserve">maintained.  Even Luther&apos;s influence was not sufficient to</w:t></w:r>
</w:p>
<w:p>
<w:pPr><w:pStyle w:val="Normal"/></w:pPr>
<w:r><w:t xml:space="preserve">abolish its celebration in Saxony during his lifetime; and,</w:t></w:r>
</w:p>
<w:p>
<w:pPr><w:pStyle w:val="Normal"/></w:pPr>
<w:r><w:t xml:space="preserve">though its ecclesiastical sanction lapsed before long even in</w:t></w:r>
</w:p>
<w:p>
<w:pPr><w:pStyle w:val="Normal"/></w:pPr>
<w:r><w:t xml:space="preserve">the Lutheran Church, its memory survives strongly in popular</w:t></w:r>
</w:p>
<w:p>
<w:pPr><w:pStyle w:val="Normal"/></w:pPr>
<w:r><w:t xml:space="preserve">custom.  Just as it is the custom of French people, of</w:t></w:r>
</w:p>
<w:p>
<w:pPr><w:pStyle w:val="Normal"/></w:pPr>
<w:r><w:t xml:space="preserve">all ranks and creeds, to decorate the graves of their dead</w:t></w:r>
</w:p>
<w:p>
<w:pPr><w:pStyle w:val="Normal"/></w:pPr>
<w:r><w:t xml:space="preserve">on the jour des morts, so in Germany the people stream</w:t></w:r>
</w:p>
<w:p>
<w:pPr><w:pStyle w:val="Normal"/></w:pPr>
<w:r><w:t xml:space="preserve">to the grave-yards once a year with offerings of flowers.</w:t></w:r>
</w:p>
<w:p>
<w:pPr><w:pStyle w:val="Normal"/></w:pPr>
<w:r><w:t xml:space="preserve">Certain popular beliefs connected with All Souls&apos; Day are</w:t></w:r>
</w:p>
<w:p>
<w:pPr><w:pStyle w:val="Normal"/></w:pPr>
<w:r><w:t xml:space="preserve">of pagan origin and immemorial antiquity.  Thus the dead</w:t></w:r>
</w:p>
<w:p>
<w:pPr><w:pStyle w:val="Normal"/></w:pPr>
<w:r><w:t xml:space="preserve">are believed by the peasantry of many Catholic countries</w:t></w:r>
</w:p>
<w:p>
<w:pPr><w:pStyle w:val="Normal"/></w:pPr>
<w:r><w:t xml:space="preserve">to return to their former homes on All Souls&apos; Night and</w:t></w:r>
</w:p>
<w:p>
<w:pPr><w:pStyle w:val="Normal"/></w:pPr>
<w:r><w:t xml:space="preserve">partake of the food of the living.  In Tirol cakes are</w:t></w:r>
</w:p>
<w:p>
<w:pPr><w:pStyle w:val="Normal"/></w:pPr>
<w:r><w:t xml:space="preserve">left for them on the table and the room kept warm for their</w:t></w:r>
</w:p>
<w:p>
<w:pPr><w:pStyle w:val="Normal"/></w:pPr>
<w:r><w:t xml:space="preserve">comfort.  In Brittany the people flock into the cemeteries at</w:t></w:r>
</w:p>
<w:p>
<w:pPr><w:pStyle w:val="Normal"/></w:pPr>
<w:r><w:t xml:space="preserve">nightfall to kneel bare-headed at the graves of their loved</w:t></w:r>
</w:p>
<w:p>
<w:pPr><w:pStyle w:val="Normal"/></w:pPr>
<w:r><w:t xml:space="preserve">ones, and to toll the hollow of the tombstone with holy</w:t></w:r>
</w:p>
<w:p>
<w:pPr><w:pStyle w:val="Normal"/></w:pPr>
<w:r><w:t xml:space="preserve">water or to pour libations of milk upon it, and at bedtime</w:t></w:r>
</w:p>
<w:p>
<w:pPr><w:pStyle w:val="Normal"/></w:pPr>
<w:r><w:t xml:space="preserve">the supper is left on the table for the soul&apos;s refreshment.</w:t></w:r>
</w:p>
<w:p>
<w:pPr><w:pStyle w:val="Normal"/></w:pPr>
<w:r><w:t xml:space="preserve">ALLSTON, WASHINGTON (1770-1843), American historical painter</w:t></w:r>
</w:p>
<w:p>
<w:pPr><w:pStyle w:val="Normal"/></w:pPr>
<w:r><w:t xml:space="preserve">and poet, was born on the 5th of November 1779 at Waccamaw,</w:t></w:r>
</w:p>
<w:p>
<w:pPr><w:pStyle w:val="Normal"/></w:pPr>
<w:r><w:t xml:space="preserve">South Carolina, where his father was a planter.  He graduated</w:t></w:r>
</w:p>
<w:p>
<w:pPr><w:pStyle w:val="Normal"/></w:pPr>
<w:r><w:t xml:space="preserve">at Harvard in 1800, and for a short time pursued his artistic</w:t></w:r>
</w:p>
<w:p>
<w:pPr><w:pStyle w:val="Normal"/></w:pPr>
<w:r><w:t xml:space="preserve">studies at Charleston with Edward Greene Maibone (1777-1807)</w:t></w:r>
</w:p>
<w:p>
<w:pPr><w:pStyle w:val="Normal"/></w:pPr>
<w:r><w:t xml:space="preserve">the miniature painter, and Charles Fraser (1782-1860).</w:t></w:r>
</w:p>
<w:p>
<w:pPr><w:pStyle w:val="Normal"/></w:pPr>
<w:r><w:t xml:space="preserve">With the former, in 1801, he went to London, and entered</w:t></w:r>
</w:p>
<w:p>
<w:pPr><w:pStyle w:val="Normal"/></w:pPr>
<w:r><w:t xml:space="preserve">the Royal Academy as a student of Benjamin West. with whom</w:t></w:r>
</w:p>
<w:p>
<w:pPr><w:pStyle w:val="Normal"/></w:pPr>
<w:r><w:t xml:space="preserve">he formed a lifelong friendship.  In 1804 he went to Paris,</w:t></w:r>
</w:p>
<w:p>
<w:pPr><w:pStyle w:val="Normal"/></w:pPr>
<w:r><w:t xml:space="preserve">and, after a few months&apos; residence there, to Rome, where he</w:t></w:r>
</w:p>
<w:p>
<w:pPr><w:pStyle w:val="Normal"/></w:pPr>
<w:r><w:t xml:space="preserve">spent the greater part of the next four years.  During this</w:t></w:r>
</w:p>
<w:p>
<w:pPr><w:pStyle w:val="Normal"/></w:pPr>
<w:r><w:t xml:space="preserve">period he became intimate with Coleridge and Thorwaldsen.</w:t></w:r>
</w:p>
<w:p>
<w:pPr><w:pStyle w:val="Normal"/></w:pPr>
<w:r><w:t xml:space="preserve">From 1809 to 1811 he resided in his native country, and from</w:t></w:r>
</w:p>
<w:p>
<w:pPr><w:pStyle w:val="Normal"/></w:pPr>
<w:r><w:t xml:space="preserve">1811 to 1817 he painted in England.  After visiting Paris a</w:t></w:r>
</w:p>
<w:p>
<w:pPr><w:pStyle w:val="Normal"/></w:pPr>
<w:r><w:t xml:space="preserve">second time, he returned to the United States, and practised</w:t></w:r>
</w:p>
<w:p>
<w:pPr><w:pStyle w:val="Normal"/></w:pPr>
<w:r><w:t xml:space="preserve">his profession at Boston (1818--1850), and afterwards at</w:t></w:r>
</w:p>
<w:p>
<w:pPr><w:pStyle w:val="Normal"/></w:pPr>
<w:r><w:t xml:space="preserve">Cambridge, Massachusetts, where he died on the 9th of July</w:t></w:r>
</w:p>
<w:p>
<w:pPr><w:pStyle w:val="Normal"/></w:pPr>
<w:r><w:t xml:space="preserve">1843.  He was elected an associate of the Royal Academy in</w:t></w:r>
</w:p>
<w:p>
<w:pPr><w:pStyle w:val="Normal"/></w:pPr>
<w:r><w:t xml:space="preserve">1819.  In colour and the management of light and shade Allston</w:t></w:r>
</w:p>
<w:p>
<w:pPr><w:pStyle w:val="Normal"/></w:pPr>
<w:r><w:t xml:space="preserve">closely imitated the Venetian school, and he has hence been</w:t></w:r>
</w:p>
<w:p>
<w:pPr><w:pStyle w:val="Normal"/></w:pPr>
<w:r><w:t xml:space="preserve">styled the ``American Titian.&apos;&apos; Many of his pictures have</w:t></w:r>
</w:p>
<w:p>
<w:pPr><w:pStyle w:val="Normal"/></w:pPr>
<w:r><w:t xml:space="preserve">Biblical subjects, and Allston himself had a profoundly</w:t></w:r>
</w:p>
<w:p>
<w:pPr><w:pStyle w:val="Normal"/></w:pPr>
<w:r><w:t xml:space="preserve">religious nature.  His first considerable painting, ``The</w:t></w:r>
</w:p>
<w:p>
<w:pPr><w:pStyle w:val="Normal"/></w:pPr>
<w:r><w:t xml:space="preserve">Dead Man Revived,&apos;&apos; executed shortly after his second visit to</w:t></w:r>
</w:p>
<w:p>
<w:pPr><w:pStyle w:val="Normal"/></w:pPr>
<w:r><w:t xml:space="preserve">England, and now at the Pennsylvania Academy of Fine Arts in</w:t></w:r>
</w:p>
<w:p>
<w:pPr><w:pStyle w:val="Normal"/></w:pPr>
<w:r><w:t xml:space="preserve">Philadelphia, gained a prize of 200 guineas.  In England</w:t></w:r>
</w:p>
<w:p>
<w:pPr><w:pStyle w:val="Normal"/></w:pPr>
<w:r><w:t xml:space="preserve">he also painted his ``St Peter Liberated by the Angel,&apos;&apos;</w:t></w:r>
</w:p>
<w:p>
<w:pPr><w:pStyle w:val="Normal"/></w:pPr>
<w:r><w:t xml:space="preserve">``Uriel in the Sun&apos;&apos; (at Stafford House), ``Jacob&apos;s Dream&apos;&apos;</w:t></w:r>
</w:p>
<w:p>
<w:pPr><w:pStyle w:val="Normal"/></w:pPr>
<w:r><w:t xml:space="preserve">(at Petworth) and ``Elijah in the Wilderness.&apos;&apos; To the period</w:t></w:r>
</w:p>
<w:p>
<w:pPr><w:pStyle w:val="Normal"/></w:pPr>
<w:r><w:t xml:space="preserve">of his residence in America belong ``The Prophet Jeremiah&apos;&apos;</w:t></w:r>
</w:p>
<w:p>
<w:pPr><w:pStyle w:val="Normal"/></w:pPr>
<w:r><w:t xml:space="preserve">(at Yale), ``Saul and the Witch of Endor,&apos;&apos; ``Miriam,&apos;&apos;</w:t></w:r>
</w:p>
<w:p>
<w:pPr><w:pStyle w:val="Normal"/></w:pPr>
<w:r><w:t xml:space="preserve">``Beatrice,&apos;&apos; ``Rosalie,&apos;&apos; ``Spalatro&apos;s Vision of the Bloody</w:t></w:r>
</w:p>
<w:p>
<w:pPr><w:pStyle w:val="Normal"/></w:pPr>
<w:r><w:t xml:space="preserve">Hand,&apos;&apos; and the vast but unfinished ``Belshazzar&apos;s Feast&apos;&apos;</w:t></w:r>
</w:p>
<w:p>
<w:pPr><w:pStyle w:val="Normal"/></w:pPr>
<w:r><w:t xml:space="preserve">(in the Boston Athenaeum), at which he was working at the</w:t></w:r>
</w:p>
<w:p>
<w:pPr><w:pStyle w:val="Normal"/></w:pPr>
<w:r><w:t xml:space="preserve">time of his death.  As a writer, Allston shows great facility</w:t></w:r>
</w:p>
<w:p>
<w:pPr><w:pStyle w:val="Normal"/></w:pPr>
<w:r><w:t xml:space="preserve">of expression and imaginative power.  His friend Coleridge</w:t></w:r>
</w:p>
<w:p>
<w:pPr><w:pStyle w:val="Normal"/></w:pPr>
<w:r><w:t xml:space="preserve">(a portrait of whom by Allston is in the National Gallery)</w:t></w:r>
</w:p>
<w:p>
<w:pPr><w:pStyle w:val="Normal"/></w:pPr>
<w:r><w:t xml:space="preserve">said of him that he was surpassed by no man of his age in</w:t></w:r>
</w:p>
<w:p>
<w:pPr><w:pStyle w:val="Normal"/></w:pPr>
<w:r><w:t xml:space="preserve">artistic and poetic genius.  His literary works are--The</w:t></w:r>
</w:p>
<w:p>
<w:pPr><w:pStyle w:val="Normal"/></w:pPr>
<w:r><w:t xml:space="preserve">Sylphs of the Seasons and other Poems (1813). where he</w:t></w:r>
</w:p>
<w:p>
<w:pPr><w:pStyle w:val="Normal"/></w:pPr>
<w:r><w:t xml:space="preserve">displays true sympathy with nature and deep knowledge of</w:t></w:r>
</w:p>
<w:p>
<w:pPr><w:pStyle w:val="Normal"/></w:pPr>
<w:r><w:t xml:space="preserve">the human heart; Monaldi (1841), a tragical romance, the</w:t></w:r>
</w:p>
<w:p>
<w:pPr><w:pStyle w:val="Normal"/></w:pPr>
<w:r><w:t xml:space="preserve">scene of which is laid in Italy; and Lectures on Art,</w:t></w:r>
</w:p>
<w:p>
<w:pPr><w:pStyle w:val="Normal"/></w:pPr>
<w:r><w:t xml:space="preserve">edited by his brother-in-law, R. H. Dana the novelist (1850).</w:t></w:r>
</w:p>
<w:p>
<w:pPr><w:pStyle w:val="Normal"/></w:pPr>
<w:r><w:t xml:space="preserve">See J. B. Flagg&apos;s Life and Letters of Washington Allston (New York, 1892).</w:t></w:r>
</w:p>
<w:p>
<w:pPr><w:pStyle w:val="Normal"/></w:pPr>
<w:r><w:t xml:space="preserve">ALLUVION (Lat. alluvio, washing against), a word taken</w:t></w:r>
</w:p>
<w:p>
<w:pPr><w:pStyle w:val="Normal"/></w:pPr>
<w:r><w:t xml:space="preserve">from Roman law, in which it was one of the examples of</w:t></w:r>
</w:p>
<w:p>
<w:pPr><w:pStyle w:val="Normal"/></w:pPr>
<w:r><w:t xml:space="preserve">accessio, that is, acquisition of property without any</w:t></w:r>
</w:p>
<w:p>
<w:pPr><w:pStyle w:val="Normal"/></w:pPr>
<w:r><w:t xml:space="preserve">act being done by the acquirer.  It signifies the gradual</w:t></w:r>
</w:p>
<w:p>
<w:pPr><w:pStyle w:val="Normal"/></w:pPr>
<w:r><w:t xml:space="preserve">accretion of land or formation of an island by imperceptible</w:t></w:r>
</w:p>
<w:p>
<w:pPr><w:pStyle w:val="Normal"/></w:pPr>
<w:r><w:t xml:space="preserve">degrees.  If the accretion or formation be by a torrent or flood,</w:t></w:r>
</w:p>
<w:p>
<w:pPr><w:pStyle w:val="Normal"/></w:pPr>
<w:r><w:t xml:space="preserve">the property in the severed portion or new island continues</w:t></w:r>
</w:p>
<w:p>
<w:pPr><w:pStyle w:val="Normal"/></w:pPr>
<w:r><w:t xml:space="preserve">with the original owner until the trees, if any, swept away</w:t></w:r>
</w:p>
<w:p>
<w:pPr><w:pStyle w:val="Normal"/></w:pPr>
<w:r><w:t xml:space="preserve">with it take root in the ground.  Alluvion never attached at</w:t></w:r>
</w:p>
<w:p>
<w:pPr><w:pStyle w:val="Normal"/></w:pPr>
<w:r><w:t xml:space="preserve">all in the case of agri limitati, that is, lands belonging</w:t></w:r>
</w:p>
<w:p>
<w:pPr><w:pStyle w:val="Normal"/></w:pPr>
<w:r><w:t xml:space="preserve">to the state and leased or sold in plots.  Dig. xli. 1, 7,</w:t></w:r>
</w:p>
<w:p>
<w:pPr><w:pStyle w:val="Normal"/></w:pPr>
<w:r><w:t xml:space="preserve">is the main authority.  English law is in general agreement</w:t></w:r>
</w:p>
<w:p>
<w:pPr><w:pStyle w:val="Normal"/></w:pPr>
<w:r><w:t xml:space="preserve">(except as to agri limitati) with Roman, as appears from</w:t></w:r>
</w:p>
<w:p>
<w:pPr><w:pStyle w:val="Normal"/></w:pPr>
<w:r><w:t xml:space="preserve">the judgment in Foster v. Wright, 1878, 4 C.P.D. 438. The</w:t></w:r>
</w:p>
<w:p>
<w:pPr><w:pStyle w:val="Normal"/></w:pPr>
<w:r><w:t xml:space="preserve">Scottish law, as laid down by the House of Lords in Earl of</w:t></w:r>
</w:p>
<w:p>
<w:pPr><w:pStyle w:val="Normal"/></w:pPr>
<w:r><w:t xml:space="preserve">Zetland v. Glover Incorporation, 1872, L.R. 2 H.L., Sc.,</w:t></w:r>
</w:p>
<w:p>
<w:pPr><w:pStyle w:val="Normal"/></w:pPr>
<w:r><w:t xml:space="preserve">70, is in accordance with the English. (See WATER RIGHTS.)</w:t></w:r>
</w:p>
<w:p>
<w:pPr><w:pStyle w:val="Normal"/></w:pPr>
<w:r><w:t xml:space="preserve">ALLUVIUM, soil or land deposited by running water.  All</w:t></w:r>
</w:p>
<w:p>
<w:pPr><w:pStyle w:val="Normal"/></w:pPr>
<w:r><w:t xml:space="preserve">streams, from the tiniest rill to the greatest river, are</w:t></w:r>
</w:p>
<w:p>
<w:pPr><w:pStyle w:val="Normal"/></w:pPr>
<w:r><w:t xml:space="preserve">continually engaged in transporting downstream solid particles of</w:t></w:r>
</w:p>
<w:p>
<w:pPr><w:pStyle w:val="Normal"/></w:pPr>
<w:r><w:t xml:space="preserve">rock, the product of weathering agencies in the area which they</w:t></w:r>
</w:p>
<w:p>
<w:pPr><w:pStyle w:val="Normal"/></w:pPr>
<w:r><w:t xml:space="preserve">drain.  Since the capacity of a stream to carry matter in</w:t></w:r>
</w:p>
<w:p>
<w:pPr><w:pStyle w:val="Normal"/></w:pPr>
<w:r><w:t xml:space="preserve">suspension is proportional to its velocity, it follows that</w:t></w:r>
</w:p>
<w:p>
<w:pPr><w:pStyle w:val="Normal"/></w:pPr>
<w:r><w:t xml:space="preserve">any circumstance tending to retard the rate of flow will induce</w:t></w:r>
</w:p>
<w:p>
<w:pPr><w:pStyle w:val="Normal"/></w:pPr>
<w:r><w:t xml:space="preserve">deposition.  Thus a fall in the gradient at any point in the</w:t></w:r>
</w:p>
<w:p>
<w:pPr><w:pStyle w:val="Normal"/></w:pPr>
<w:r><w:t xml:space="preserve">course of a stream; any snag, projection or dam, impeding the</w:t></w:r>
</w:p>
<w:p>
<w:pPr><w:pStyle w:val="Normal"/></w:pPr>
<w:r><w:t xml:space="preserve">current; the reduced velocity caused by the overflowing of</w:t></w:r>
</w:p>
<w:p>
<w:pPr><w:pStyle w:val="Normal"/></w:pPr>
<w:r><w:t xml:space="preserve">streams in flood and the dissipation of their energy where</w:t></w:r>
</w:p>
<w:p>
<w:pPr><w:pStyle w:val="Normal"/></w:pPr>
<w:r><w:t xml:space="preserve">they enter a lake or the sea, are all contributing causes to</w:t></w:r>
</w:p>
<w:p>
<w:pPr><w:pStyle w:val="Normal"/></w:pPr>
<w:r><w:t xml:space="preserve">alluviation, or the deposition of streamborne sediment.  It</w:t></w:r>
</w:p>
<w:p>
<w:pPr><w:pStyle w:val="Normal"/></w:pPr>
<w:r><w:t xml:space="preserve">is evident from the foregoing remarks, that while even the</w:t></w:r>
</w:p>
<w:p>
<w:pPr><w:pStyle w:val="Normal"/></w:pPr>
<w:r><w:t xml:space="preserve">smallest stream may make deposits of alluvial character it</w:t></w:r>
</w:p>
<w:p>
<w:pPr><w:pStyle w:val="Normal"/></w:pPr>
<w:r><w:t xml:space="preserve">is in the flood-plains and deltas of large rivers that the</w:t></w:r>
</w:p>
<w:p>
<w:pPr><w:pStyle w:val="Normal"/></w:pPr>
<w:r><w:t xml:space="preserve">great alluvial deposits are to be found.  The finer material</w:t></w:r>
</w:p>
<w:p>
<w:pPr><w:pStyle w:val="Normal"/></w:pPr>
<w:r><w:t xml:space="preserve">constituting alluvium, often described as ``silt,&apos;&apos; is sand and</w:t></w:r>
</w:p>
<w:p>
<w:pPr><w:pStyle w:val="Normal"/></w:pPr>
<w:r><w:t xml:space="preserve">mud.  Although it may be exceedingly fine-grained, there is</w:t></w:r>
</w:p>
<w:p>
<w:pPr><w:pStyle w:val="Normal"/></w:pPr>
<w:r><w:t xml:space="preserve">usually very little clay in alluvium.  The larger materials</w:t></w:r>
</w:p>
<w:p>
<w:pPr><w:pStyle w:val="Normal"/></w:pPr>
<w:r><w:t xml:space="preserve">include gravel of all degrees of coarseness; carbonaceous</w:t></w:r>
</w:p>
<w:p>
<w:pPr><w:pStyle w:val="Normal"/></w:pPr>
<w:r><w:t xml:space="preserve">matter is often an important element.  The amount of solid</w:t></w:r>
</w:p>
<w:p>
<w:pPr><w:pStyle w:val="Normal"/></w:pPr>
<w:r><w:t xml:space="preserve">matter borne by large streams is enormous; many rivers derive</w:t></w:r>
</w:p>
<w:p>
<w:pPr><w:pStyle w:val="Normal"/></w:pPr>
<w:r><w:t xml:space="preserve">their names from the colour thereby imparted to the water,</w:t></w:r>
</w:p>
<w:p>
<w:pPr><w:pStyle w:val="Normal"/></w:pPr>
<w:r><w:t xml:space="preserve">e.g. Hwang Ho = Yellow river, Missouri = Big Muddy, the Red</w:t></w:r>
</w:p>
<w:p>
<w:pPr><w:pStyle w:val="Normal"/></w:pPr>
<w:r><w:t xml:space="preserve">river, &amp;c. It has been estimated that the Mississippi annually</w:t></w:r>
</w:p>
<w:p>
<w:pPr><w:pStyle w:val="Normal"/></w:pPr>
<w:r><w:t xml:space="preserve">carries 406 1/4 million tons of sediment to the sea; the Hwang Ho</w:t></w:r>
</w:p>
<w:p>
<w:pPr><w:pStyle w:val="Normal"/></w:pPr>
<w:r><w:t xml:space="preserve">796 million tons; the Po 62 million tons.  Many shallow lakes</w:t></w:r>
</w:p>
<w:p>
<w:pPr><w:pStyle w:val="Normal"/></w:pPr>
<w:r><w:t xml:space="preserve">have been completely filled with alluvium and their sites are</w:t></w:r>
</w:p>
<w:p>
<w:pPr><w:pStyle w:val="Normal"/></w:pPr>
<w:r><w:t xml:space="preserve">now occupied by fertile plains; this process may be seen in</w:t></w:r>
</w:p>
<w:p>
<w:pPr><w:pStyle w:val="Normal"/></w:pPr>
<w:r><w:t xml:space="preserve">operation almost anywhere; a good illustration is the delta of</w:t></w:r>
</w:p>
<w:p>
<w:pPr><w:pStyle w:val="Normal"/></w:pPr>
<w:r><w:t xml:space="preserve">the Rhone in Lake Geneva.  Alluvial deposits may be of great</w:t></w:r>
</w:p>
<w:p>
<w:pPr><w:pStyle w:val="Normal"/></w:pPr>
<w:r><w:t xml:space="preserve">size.  The flood-plain of the Mississippi has an area of 50,000</w:t></w:r>
</w:p>
<w:p>
<w:pPr><w:pStyle w:val="Normal"/></w:pPr>
<w:r><w:t xml:space="preserve">sq. m.; the great delta of the Ganges and Brahmaputra has</w:t></w:r>
</w:p>
<w:p>
<w:pPr><w:pStyle w:val="Normal"/></w:pPr>
<w:r><w:t xml:space="preserve">an area of about 60,000 sq. m.; that of the Hwang Ho reaches</w:t></w:r>
</w:p>
<w:p>
<w:pPr><w:pStyle w:val="Normal"/></w:pPr>
<w:r><w:t xml:space="preserve">out 300 m. into the sea and has a coastal border of about 400</w:t></w:r>
</w:p>
<w:p>
<w:pPr><w:pStyle w:val="Normal"/></w:pPr>
<w:r><w:t xml:space="preserve">m.  Old alluvial deposits are left high above the existing</w:t></w:r>
</w:p>
<w:p>
<w:pPr><w:pStyle w:val="Normal"/></w:pPr>
<w:r><w:t xml:space="preserve">level of many rivers, in the form of ``terraces&apos;&apos; of gravel and</w:t></w:r>
</w:p>
<w:p>
<w:pPr><w:pStyle w:val="Normal"/></w:pPr>
<w:r><w:t xml:space="preserve">loam, the streams to which these owe their existence having</w:t></w:r>
</w:p>
<w:p>
<w:pPr><w:pStyle w:val="Normal"/></w:pPr>
<w:r><w:t xml:space="preserve">modified their courses and cut deeper channels; such are the</w:t></w:r>
</w:p>
<w:p>
<w:pPr><w:pStyle w:val="Normal"/></w:pPr>
<w:r><w:t xml:space="preserve">alluvial gravels and brick-earths upon which much of ``greater</w:t></w:r>
</w:p>
<w:p>
<w:pPr><w:pStyle w:val="Normal"/></w:pPr>
<w:r><w:t xml:space="preserve">London&apos;&apos; is built.  In some regions alluvial deposits are the</w:t></w:r>
</w:p>
<w:p>
<w:pPr><w:pStyle w:val="Normal"/></w:pPr>
<w:r><w:t xml:space="preserve">resting places of gemstones and gold, platinum, &amp;c.; it is</w:t></w:r>
</w:p>
<w:p>
<w:pPr><w:pStyle w:val="Normal"/></w:pPr>
<w:r><w:t xml:space="preserve">from these deposits that the largest nuggets of gold have been</w:t></w:r>
</w:p>
<w:p>
<w:pPr><w:pStyle w:val="Normal"/></w:pPr>
<w:r><w:t xml:space="preserve">obtained.  Alluvial soils are almost invariably of great</w:t></w:r>
</w:p>
<w:p>
<w:pPr><w:pStyle w:val="Normal"/></w:pPr>
<w:r><w:t xml:space="preserve">fertility; it is due to the alluvial mud annually deposited by</w:t></w:r>
</w:p>
<w:p>
<w:pPr><w:pStyle w:val="Normal"/></w:pPr>
<w:r><w:t xml:space="preserve">the Nile that the dwellers in Egypt have been able to grow their</w:t></w:r>
</w:p>
<w:p>
<w:pPr><w:pStyle w:val="Normal"/></w:pPr>
<w:r><w:t xml:space="preserve">crops for over 4000 years without artificial fertilization.</w:t></w:r>
</w:p>
<w:p>
<w:pPr><w:pStyle w:val="Normal"/></w:pPr>
<w:r><w:t xml:space="preserve">ALLYL ALCOHOL, C3H5OH or CH2:CH.CH2OH, a compound which</w:t></w:r>
</w:p>
<w:p>
<w:pPr><w:pStyle w:val="Normal"/></w:pPr>
<w:r><w:t xml:space="preserve">occurs in very small quantities in wood spirit.  It may be</w:t></w:r>
</w:p>
<w:p>
<w:pPr><w:pStyle w:val="Normal"/></w:pPr>
<w:r><w:t xml:space="preserve">prepared from allyl iodide by the action of moist silver oxide</w:t></w:r>
</w:p>
<w:p>
<w:pPr><w:pStyle w:val="Normal"/></w:pPr>
<w:r><w:t xml:space="preserve">by the reduction of acrolein; or by heating glycerin with oxalic</w:t></w:r>
</w:p>
<w:p>
<w:pPr><w:pStyle w:val="Normal"/></w:pPr>
<w:r><w:t xml:space="preserve">acid and a little ammonium chloride to 260 deg.  C. In this last</w:t></w:r>
</w:p>
<w:p>
<w:pPr><w:pStyle w:val="Normal"/></w:pPr>
<w:r><w:t xml:space="preserve">reaction glycerol monoformin is produced as an intermediate</w:t></w:r>
</w:p>
<w:p>
<w:pPr><w:pStyle w:val="Normal"/></w:pPr>
<w:r><w:t xml:space="preserve">product, but is decomposed as the temperature rises:--</w:t></w:r>
</w:p>
<w:p>
<w:pPr><w:pStyle w:val="Normal"/></w:pPr>
<w:r><w:t xml:space="preserve">C3H5(OH)3+H2C2O4 = C3H5(OH)2.O.CHO+CO2+H2O</w:t></w:r>
</w:p>
<w:p>
<w:pPr><w:pStyle w:val="Normal"/></w:pPr>
<w:r><w:t xml:space="preserve">glycerol monoformin</w:t></w:r>
</w:p>
<w:p>
<w:pPr><w:pStyle w:val="Normal"/></w:pPr>
<w:r><w:t xml:space="preserve">C3H5(OH)2.O.CHO = C3H5OH+CO2+H2O</w:t></w:r>
</w:p>
<w:p>
<w:pPr><w:pStyle w:val="Normal"/></w:pPr>
<w:r><w:t xml:space="preserve">It is a colourless mobile liquid of pungent smell, boiling</w:t></w:r>
</w:p>
<w:p>
<w:pPr><w:pStyle w:val="Normal"/></w:pPr>
<w:r><w:t xml:space="preserve">at 97 deg.  C. Being an unsaturated compound it combines</w:t></w:r>
</w:p>
<w:p>
<w:pPr><w:pStyle w:val="Normal"/></w:pPr>
<w:r><w:t xml:space="preserve">readily with the halogens.  Oxidation by strong oxidizing</w:t></w:r>
</w:p>
<w:p>
<w:pPr><w:pStyle w:val="Normal"/></w:pPr>
<w:r><w:t xml:space="preserve">agents converts it successively into its aldehyde,</w:t></w:r>
</w:p>
<w:p>
<w:pPr><w:pStyle w:val="Normal"/></w:pPr>
<w:r><w:t xml:space="preserve">acrolein, and into acrylic acid.  By gentle oxidation with</w:t></w:r>
</w:p>
<w:p>
<w:pPr><w:pStyle w:val="Normal"/></w:pPr>
<w:r><w:t xml:space="preserve">potassium permanganate it may be converted into glycerin.</w:t></w:r>
</w:p>
<w:p>
<w:pPr><w:pStyle w:val="Normal"/></w:pPr>
<w:r><w:t xml:space="preserve">ALMA, a river of Russia, in the S.W. of the Crimea, entering</w:t></w:r>
</w:p>
<w:p>
<w:pPr><w:pStyle w:val="Normal"/></w:pPr>
<w:r><w:t xml:space="preserve">the Black Sea 17 m.  N. of Sevastopol.  It gives its name</w:t></w:r>
</w:p>
<w:p>
<w:pPr><w:pStyle w:val="Normal"/></w:pPr>
<w:r><w:t xml:space="preserve">to a famous victory gained over the Russians, on the 20th</w:t></w:r>
</w:p>
<w:p>
<w:pPr><w:pStyle w:val="Normal"/></w:pPr>
<w:r><w:t xml:space="preserve">of September 1854, by the allied armies in the Crimean War</w:t></w:r>
</w:p>
<w:p>
<w:pPr><w:pStyle w:val="Normal"/></w:pPr>
<w:r><w:t xml:space="preserve">(q.v..) The south bank of the river is bordered by a long</w:t></w:r>
</w:p>
<w:p>
<w:pPr><w:pStyle w:val="Normal"/></w:pPr>
<w:r><w:t xml:space="preserve">ridge, which becomes steeper as it approaches the sea, and</w:t></w:r>
</w:p>
<w:p>
<w:pPr><w:pStyle w:val="Normal"/></w:pPr>
<w:r><w:t xml:space="preserve">upon this the Russians, under Prince Menshikov, were drawn</w:t></w:r>
</w:p>
<w:p>
<w:pPr><w:pStyle w:val="Normal"/></w:pPr>
<w:r><w:t xml:space="preserve">up, to bar the Sevastopol road to the allies, who under</w:t></w:r>
</w:p>
<w:p>
<w:pPr><w:pStyle w:val="Normal"/></w:pPr>
<w:r><w:t xml:space="preserve">General Lord Raglan and Marshal St Arnaud approached from</w:t></w:r>
</w:p>
<w:p>
<w:pPr><w:pStyle w:val="Normal"/></w:pPr>
<w:r><w:t xml:space="preserve">the north over an open plain.  The Russian commander massed</w:t></w:r>
</w:p>
<w:p>
<w:pPr><w:pStyle w:val="Normal"/></w:pPr>
<w:r><w:t xml:space="preserve">his troops in heavy columns after the fashion of 1813, and</w:t></w:r>
</w:p>
<w:p>
<w:pPr><w:pStyle w:val="Normal"/></w:pPr>
<w:r><w:t xml:space="preserve">drew in his left wing so that it should as far as possible</w:t></w:r>
</w:p>
<w:p>
<w:pPr><w:pStyle w:val="Normal"/></w:pPr>
<w:r><w:t xml:space="preserve">be out of range of the allied men-of-war, which were sailing</w:t></w:r>
</w:p>
<w:p>
<w:pPr><w:pStyle w:val="Normal"/></w:pPr>
<w:r><w:t xml:space="preserve">down the coast in line with their land forces.  The allied</w:t></w:r>
</w:p>
<w:p>
<w:pPr><w:pStyle w:val="Normal"/></w:pPr>
<w:r><w:t xml:space="preserve">generals decided that the French (right wing) and the Turks</w:t></w:r>
</w:p>
<w:p>
<w:pPr><w:pStyle w:val="Normal"/></w:pPr>
<w:r><w:t xml:space="preserve">should attack Menshikov&apos;s left, while the British, further</w:t></w:r>
</w:p>
<w:p>
<w:pPr><w:pStyle w:val="Normal"/></w:pPr>
<w:r><w:t xml:space="preserve">inland, were to assault the front of the Russian position.</w:t></w:r>
</w:p>
<w:p>
<w:pPr><w:pStyle w:val="Normal"/></w:pPr>
<w:r><w:t xml:space="preserve">The forces engaged are stated by Hamley (War in the Crimea)</w:t></w:r>
</w:p>
<w:p>
<w:pPr><w:pStyle w:val="Normal"/></w:pPr>
<w:r><w:t xml:space="preserve">as, French and Turks, 35,000 infantry, with 68 guns; British,</w:t></w:r>
</w:p>
<w:p>
<w:pPr><w:pStyle w:val="Normal"/></w:pPr>
<w:r><w:t xml:space="preserve">23,000 infantry, 1000 cavalry and 60 guns; Russians, 33,000</w:t></w:r>
</w:p>
<w:p>
<w:pPr><w:pStyle w:val="Normal"/></w:pPr>
<w:r><w:t xml:space="preserve">infantry, 3800 cavalry and 120 guns; by the Austrian writer</w:t></w:r>
</w:p>
<w:p>
<w:pPr><w:pStyle w:val="Normal"/></w:pPr>
<w:r><w:t xml:space="preserve">Berndt (Zahl im Kriege) the allied forces are reckoned</w:t></w:r>
</w:p>
<w:p>
<w:pPr><w:pStyle w:val="Normal"/></w:pPr>
<w:r><w:t xml:space="preserve">at 57,000 men with 108 guns, and the Russians at 33,600 men</w:t></w:r>
</w:p>
<w:p>
<w:pPr><w:pStyle w:val="Normal"/></w:pPr>
<w:r><w:t xml:space="preserve">with 96 guns The French advance met at first with little</w:t></w:r>
</w:p>
<w:p>
<w:pPr><w:pStyle w:val="Normal"/></w:pPr>
<w:r><w:t xml:space="preserve">opposition, and several divisions scaled the cliffs of the</w:t></w:r>
</w:p>
<w:p>
<w:pPr><w:pStyle w:val="Normal"/></w:pPr>
<w:r><w:t xml:space="preserve">lower Alma without difficulty.  Menshikov relied apparently</w:t></w:r>
</w:p>
<w:p>
<w:pPr><w:pStyle w:val="Normal"/></w:pPr>
<w:r><w:t xml:space="preserve">on being able to detach his reserves to cope with them, but</w:t></w:r>
</w:p>
<w:p>
<w:pPr><w:pStyle w:val="Normal"/></w:pPr>
<w:r><w:t xml:space="preserve">the assailants moved with a rapidity which he had not counted</w:t></w:r>
</w:p>
<w:p>
<w:pPr><w:pStyle w:val="Normal"/></w:pPr>
<w:r><w:t xml:space="preserve">upon, and the Russians only came into action piecemeal in this</w:t></w:r>
</w:p>
<w:p>
<w:pPr><w:pStyle w:val="Normal"/></w:pPr>
<w:r><w:t xml:space="preserve">quarter.  Opposite the British, who as usual deployed at a</w:t></w:r>
</w:p>
<w:p>
<w:pPr><w:pStyle w:val="Normal"/></w:pPr>
<w:r><w:t xml:space="preserve">distance and then advanced in long continuous lines, the Russians</w:t></w:r>
</w:p>
<w:p>
<w:pPr><w:pStyle w:val="Normal"/></w:pPr>
<w:r><w:t xml:space="preserve">were posted on the crest of a long glacis-like slope, which</w:t></w:r>
</w:p>
<w:p>
<w:pPr><w:pStyle w:val="Normal"/></w:pPr>
<w:r><w:t xml:space="preserve">offered but little dead ground to an assailant.  The village</w:t></w:r>
</w:p>
<w:p>
<w:pPr><w:pStyle w:val="Normal"/></w:pPr>
<w:r><w:t xml:space="preserve">of Burliuk, and the vineyards which bordered the river, were</w:t></w:r>
</w:p>
<w:p>
<w:pPr><w:pStyle w:val="Normal"/></w:pPr>
<w:r><w:t xml:space="preserve">quickly cleared by the British skirmishers, and the line of</w:t></w:r>
</w:p>
<w:p>
<w:pPr><w:pStyle w:val="Normal"/></w:pPr>
<w:r><w:t xml:space="preserve">battle behind them crossed, though with some difficulty.  On</w:t></w:r>
</w:p>
<w:p>
<w:pPr><w:pStyle w:val="Normal"/></w:pPr>
<w:r><w:t xml:space="preserve">emerging from the cover afforded by the river-bed the British</w:t></w:r>
</w:p>
<w:p>
<w:pPr><w:pStyle w:val="Normal"/></w:pPr>
<w:r><w:t xml:space="preserve">divisions, now crowded together, but still preserving their</w:t></w:r>
</w:p>
<w:p>
<w:pPr><w:pStyle w:val="Normal"/></w:pPr>
<w:r><w:t xml:space="preserve">general line, came under a terrible fire from heavy guns and</w:t></w:r>
</w:p>
<w:p>
<w:pPr><w:pStyle w:val="Normal"/></w:pPr>
<w:r><w:t xml:space="preserve">musketry.  The enemy&apos;s artillery was three hundred yards</w:t></w:r>
</w:p>
<w:p>
<w:pPr><w:pStyle w:val="Normal"/></w:pPr>
<w:r><w:t xml:space="preserve">away, yet the British pressed on in spite of their losses,</w:t></w:r>
</w:p>
<w:p>
<w:pPr><w:pStyle w:val="Normal"/></w:pPr>
<w:r><w:t xml:space="preserve">and as some of the Light Division troops reached the ``Great</w:t></w:r>
</w:p>
<w:p>
<w:pPr><w:pStyle w:val="Normal"/></w:pPr>
<w:r><w:t xml:space="preserve">Battery&apos;&apos; the Russians hurried their guns away to safety.  In</w:t></w:r>
</w:p>
<w:p>
<w:pPr><w:pStyle w:val="Normal"/></w:pPr>
<w:r><w:t xml:space="preserve">the meantime. on both sides of this battery, the assailants</w:t></w:r>
</w:p>
<w:p>
<w:pPr><w:pStyle w:val="Normal"/></w:pPr>
<w:r><w:t xml:space="preserve">had come to close quarters with the Russian columns, which</w:t></w:r>
</w:p>
<w:p>
<w:pPr><w:pStyle w:val="Normal"/></w:pPr>
<w:r><w:t xml:space="preserve">were aided by their field guns.  A brave counter-attack was</w:t></w:r>
</w:p>
<w:p>
<w:pPr><w:pStyle w:val="Normal"/></w:pPr>
<w:r><w:t xml:space="preserve">made by the Russian Vladimir regiment, 3000 strong, against</w:t></w:r>
</w:p>
<w:p>
<w:pPr><w:pStyle w:val="Normal"/></w:pPr>
<w:r><w:t xml:space="preserve">the troops which had stormed the great battery, and for want</w:t></w:r>
</w:p>
<w:p>
<w:pPr><w:pStyle w:val="Normal"/></w:pPr>
<w:r><w:t xml:space="preserve">of support the British were driven out again.  But they soon</w:t></w:r>
</w:p>
<w:p>
<w:pPr><w:pStyle w:val="Normal"/></w:pPr>
<w:r><w:t xml:space="preserve">rallied, and now the second line had crossed and formed for</w:t></w:r>
</w:p>
<w:p>
<w:pPr><w:pStyle w:val="Normal"/></w:pPr>
<w:r><w:t xml:space="preserve">attack.  The Guards brigade attacked the Vladimir regiment, and</w:t></w:r>
</w:p>
<w:p>
<w:pPr><w:pStyle w:val="Normal"/></w:pPr>
<w:r><w:t xml:space="preserve">on the left the Highland brigade and the cavalry moved forward</w:t></w:r>
</w:p>
<w:p>
<w:pPr><w:pStyle w:val="Normal"/></w:pPr>
<w:r><w:t xml:space="preserve">also.  Some of the field artillery, which had now crossed the</w:t></w:r>
</w:p>
<w:p>
<w:pPr><w:pStyle w:val="Normal"/></w:pPr>
<w:r><w:t xml:space="preserve">Alma, fired steadily into the closed masses of the Russian</w:t></w:r>
</w:p>
<w:p>
<w:pPr><w:pStyle w:val="Normal"/></w:pPr>
<w:r><w:t xml:space="preserve">reserve, and the Vladimir regiment lost half of its numbers</w:t></w:r>
</w:p>
<w:p>
<w:pPr><w:pStyle w:val="Normal"/></w:pPr>
<w:r><w:t xml:space="preserve">under the volleys of the Guards.  The French were now severely</w:t></w:r>
</w:p>
<w:p>
<w:pPr><w:pStyle w:val="Normal"/></w:pPr>
<w:r><w:t xml:space="preserve">pressing the Russian left, and one-third of Menshikov&apos;s forces</w:t></w:r>
</w:p>
<w:p>
<w:pPr><w:pStyle w:val="Normal"/></w:pPr>
<w:r><w:t xml:space="preserve">was drawn into the fight in that quarter.  The success of the</w:t></w:r>
</w:p>
<w:p>
<w:pPr><w:pStyle w:val="Normal"/></w:pPr>
<w:r><w:t xml:space="preserve">frontal assault had dispirited the remainder of the defenders,</w:t></w:r>
</w:p>
<w:p>
<w:pPr><w:pStyle w:val="Normal"/></w:pPr>
<w:r><w:t xml:space="preserve">and Menshikov drew off his forces southwards.  He had lost</w:t></w:r>
</w:p>
<w:p>
<w:pPr><w:pStyle w:val="Normal"/></w:pPr>
<w:r><w:t xml:space="preserve">5700 men (Berodt and Hamley).  The British had about 2000</w:t></w:r>
</w:p>
<w:p>
<w:pPr><w:pStyle w:val="Normal"/></w:pPr>
<w:r><w:t xml:space="preserve">killed and wounded; the French stated their losses at 1340 men.</w:t></w:r>
</w:p>
<w:p>
<w:pPr><w:pStyle w:val="Normal"/></w:pPr>
<w:r><w:t xml:space="preserve">ALMACANTAR (from the Arabic for a sun-dial), an astronomical</w:t></w:r>
</w:p>
<w:p>
<w:pPr><w:pStyle w:val="Normal"/></w:pPr>
<w:r><w:t xml:space="preserve">term for a small circle of the sphere parallel to the horizon;</w:t></w:r>
</w:p>
<w:p>
<w:pPr><w:pStyle w:val="Normal"/></w:pPr>
<w:r><w:t xml:space="preserve">when two stars are in the same almacantar they have the same</w:t></w:r>
</w:p>
<w:p>
<w:pPr><w:pStyle w:val="Normal"/></w:pPr>
<w:r><w:t xml:space="preserve">altitude.  The term was also given (1880) to an instrument invented</w:t></w:r>
</w:p>
<w:p>
<w:pPr><w:pStyle w:val="Normal"/></w:pPr>
<w:r><w:t xml:space="preserve">by S. C. Chandler to determine the latitude or correct the timepiece,</w:t></w:r>
</w:p>
<w:p>
<w:pPr><w:pStyle w:val="Normal"/></w:pPr>
<w:r><w:t xml:space="preserve">of great value because of its freedom from instrumental errors.</w:t></w:r>
</w:p>
<w:p>
<w:pPr><w:pStyle w:val="Normal"/></w:pPr>
<w:r><w:t xml:space="preserve">ALMACK&apos;S, formerly the name of a famous London club and</w:t></w:r>
</w:p>
<w:p>
<w:pPr><w:pStyle w:val="Normal"/></w:pPr>
<w:r><w:t xml:space="preserve">assembly rooms.  The founder, known as William Almack, is</w:t></w:r>
</w:p>
<w:p>
<w:pPr><w:pStyle w:val="Normal"/></w:pPr>
<w:r><w:t xml:space="preserve">usually said to have been one Macall, or McCaul, of which</w:t></w:r>
</w:p>
<w:p>
<w:pPr><w:pStyle w:val="Normal"/></w:pPr>
<w:r><w:t xml:space="preserve">name Almack is an anagram.  In 1764 he founded a gentlemen&apos;s</w:t></w:r>
</w:p>
<w:p>
<w:pPr><w:pStyle w:val="Normal"/></w:pPr>
<w:r><w:t xml:space="preserve">club in Pall Mall, where the present Marlborough Club</w:t></w:r>
</w:p>
<w:p>
<w:pPr><w:pStyle w:val="Normal"/></w:pPr>
<w:r><w:t xml:space="preserve">stands.  It was famous for its high play.  In 1778 it</w:t></w:r>
</w:p>
<w:p>
<w:pPr><w:pStyle w:val="Normal"/></w:pPr>
<w:r><w:t xml:space="preserve">was taken over by one Brooks, and established as Brooks&apos;s</w:t></w:r>
</w:p>
<w:p>
<w:pPr><w:pStyle w:val="Normal"/></w:pPr>
<w:r><w:t xml:space="preserve">Club in St James&apos;s Street, where it still exists.  In 1765</w:t></w:r>
</w:p>
<w:p>
<w:pPr><w:pStyle w:val="Normal"/></w:pPr>
<w:r><w:t xml:space="preserve">Almack built a suite of assembly rooms in King&apos;s Street, St</w:t></w:r>
</w:p>
<w:p>
<w:pPr><w:pStyle w:val="Normal"/></w:pPr>
<w:r><w:t xml:space="preserve">James&apos;s.  Here for a ten-guinea subscription a series of</w:t></w:r>
</w:p>
<w:p>
<w:pPr><w:pStyle w:val="Normal"/></w:pPr>
<w:r><w:t xml:space="preserve">weekly balls was given for twelve weeks.  They were managed by</w:t></w:r>
</w:p>
<w:p>
<w:pPr><w:pStyle w:val="Normal"/></w:pPr>
<w:r><w:t xml:space="preserve">a committee of ladies of rank, and admission was exceedingly</w:t></w:r>
</w:p>
<w:p>
<w:pPr><w:pStyle w:val="Normal"/></w:pPr>
<w:r><w:t xml:space="preserve">difficult.  At Almack&apos;s death in 1781 they were left to his</w:t></w:r>
</w:p>
<w:p>
<w:pPr><w:pStyle w:val="Normal"/></w:pPr>
<w:r><w:t xml:space="preserve">niece Mrs Willis.  As ``Willis&apos;s Rooms&apos;&apos; they lasted till</w:t></w:r>
</w:p>
<w:p>
<w:pPr><w:pStyle w:val="Normal"/></w:pPr>
<w:r><w:t xml:space="preserve">1890, when they became a restaurant, but as ``Almack&apos;s&apos;&apos;</w:t></w:r>
</w:p>
<w:p>
<w:pPr><w:pStyle w:val="Normal"/></w:pPr>
<w:r><w:t xml:space="preserve">they ceased in 1863.  Several clubs, including a mixed club</w:t></w:r>
</w:p>
<w:p>
<w:pPr><w:pStyle w:val="Normal"/></w:pPr>
<w:r><w:t xml:space="preserve">for ladies and gentlemen, held meetings at Almack&apos;s during</w:t></w:r>
</w:p>
<w:p>
<w:pPr><w:pStyle w:val="Normal"/></w:pPr>
<w:r><w:t xml:space="preserve">the 18th and beginning of the 19th centuries.  A new London</w:t></w:r>
</w:p>
<w:p>
<w:pPr><w:pStyle w:val="Normal"/></w:pPr>
<w:r><w:t xml:space="preserve">social club (1904) has also adopted the name of Almack&apos;s.</w:t></w:r>
</w:p>
<w:p>
<w:pPr><w:pStyle w:val="Normal"/></w:pPr>
<w:r><w:t xml:space="preserve">ALMADEN, or ALMADEN DEL AZOGUE, a town of Spain, in the</w:t></w:r>
</w:p>
<w:p>
<w:pPr><w:pStyle w:val="Normal"/></w:pPr>
<w:r><w:t xml:space="preserve">province of Ciudad Real; situated in mountainous country 55</w:t></w:r>
</w:p>
<w:p>
<w:pPr><w:pStyle w:val="Normal"/></w:pPr>
<w:r><w:t xml:space="preserve">m.  W.S.W. of the city of Ciudad Real.  Pop. (1900) 7375.</w:t></w:r>
</w:p>
<w:p>
<w:pPr><w:pStyle w:val="Normal"/></w:pPr>
<w:r><w:t xml:space="preserve">Almaden, the Sisapon of the Romans, is celebrated for its</w:t></w:r>
</w:p>
<w:p>
<w:pPr><w:pStyle w:val="Normal"/></w:pPr>
<w:r><w:t xml:space="preserve">mercury mines, which were extensively wrought by the Romans</w:t></w:r>
</w:p>
<w:p>
<w:pPr><w:pStyle w:val="Normal"/></w:pPr>
<w:r><w:t xml:space="preserve">and Moors, and are still productive, the ore increasing in</w:t></w:r>
</w:p>
<w:p>
<w:pPr><w:pStyle w:val="Normal"/></w:pPr>
<w:r><w:t xml:space="preserve">richness with the depth of the descent.  The mines ranked with</w:t></w:r>
</w:p>
<w:p>
<w:pPr><w:pStyle w:val="Normal"/></w:pPr>
<w:r><w:t xml:space="preserve">those of Adria, in South Austria, as the most valuable in the</w:t></w:r>
</w:p>
<w:p>
<w:pPr><w:pStyle w:val="Normal"/></w:pPr>
<w:r><w:t xml:space="preserve">world, until the great development of the mercury deposits</w:t></w:r>
</w:p>
<w:p>
<w:pPr><w:pStyle w:val="Normal"/></w:pPr>
<w:r><w:t xml:space="preserve">at New Almaden, in California, U.S.A., between 1853 and</w:t></w:r>
</w:p>
<w:p>
<w:pPr><w:pStyle w:val="Normal"/></w:pPr>
<w:r><w:t xml:space="preserve">1857.  They were long worked by convict labour, owing to their</w:t></w:r>
</w:p>
<w:p>
<w:pPr><w:pStyle w:val="Normal"/></w:pPr>
<w:r><w:t xml:space="preserve">unhealthy atmosphere; and exemption from military service is</w:t></w:r>
</w:p>
<w:p>
<w:pPr><w:pStyle w:val="Normal"/></w:pPr>
<w:r><w:t xml:space="preserve">granted to miners who have worked at Almaden for two years.</w:t></w:r>
</w:p>
<w:p>
<w:pPr><w:pStyle w:val="Normal"/></w:pPr>
<w:r><w:t xml:space="preserve">The annual yield is about 1,400,000 lb.  Lead and sulphur are</w:t></w:r>
</w:p>
<w:p>
<w:pPr><w:pStyle w:val="Normal"/></w:pPr>
<w:r><w:t xml:space="preserve">obtained in the neighbourhood.  The nearest railway station is</w:t></w:r>
</w:p>
<w:p>
<w:pPr><w:pStyle w:val="Normal"/></w:pPr>
<w:r><w:t xml:space="preserve">that of Chillon, 3 m.  S. on the Madrid-Badajoz-Lisbon line.</w:t></w:r>
</w:p>
<w:p>
<w:pPr><w:pStyle w:val="Normal"/></w:pPr>
<w:r><w:t xml:space="preserve">ALMAGRO, DIEGO DE (1475--1538), Spanish commander,</w:t></w:r>
</w:p>
<w:p>
<w:pPr><w:pStyle w:val="Normal"/></w:pPr>
<w:r><w:t xml:space="preserve">the companion and rival of Pizarro (q.v.), was born at</w:t></w:r>
</w:p>
<w:p>
<w:pPr><w:pStyle w:val="Normal"/></w:pPr>
<w:r><w:t xml:space="preserve">Aldea del Rey in 1475.  According to another account he</w:t></w:r>
</w:p>
<w:p>
<w:pPr><w:pStyle w:val="Normal"/></w:pPr>
<w:r><w:t xml:space="preserve">was a foundling in the village from which he derived his</w:t></w:r>
</w:p>
<w:p>
<w:pPr><w:pStyle w:val="Normal"/></w:pPr>
<w:r><w:t xml:space="preserve">name.  In 1525 he joined Pizarro and Hernando de Luque at</w:t></w:r>
</w:p>
<w:p>
<w:pPr><w:pStyle w:val="Normal"/></w:pPr>
<w:r><w:t xml:space="preserve">Panama in a scheme for the conquest of Peru (see PERU:</w:t></w:r>
</w:p>
<w:p>
<w:pPr><w:pStyle w:val="Normal"/></w:pPr>
<w:r><w:t xml:space="preserve">History.) He was executed by order of Pizarro in 1538 in</w:t></w:r>
</w:p>
<w:p>
<w:pPr><w:pStyle w:val="Normal"/></w:pPr>
<w:r><w:t xml:space="preserve">consequence of a dispute as to their respective territories.</w:t></w:r>
</w:p>
<w:p>
<w:pPr><w:pStyle w:val="Normal"/></w:pPr>
<w:r><w:t xml:space="preserve">ALMANAC, a book or table containing a calendar of the days,</w:t></w:r>
</w:p>
<w:p>
<w:pPr><w:pStyle w:val="Normal"/></w:pPr>
<w:r><w:t xml:space="preserve">weeks and months of the year, a register of ecclesiastical</w:t></w:r>
</w:p>
<w:p>
<w:pPr><w:pStyle w:val="Normal"/></w:pPr>
<w:r><w:t xml:space="preserve">festivals and saints&apos; days, and a record of various</w:t></w:r>
</w:p>
<w:p>
<w:pPr><w:pStyle w:val="Normal"/></w:pPr>
<w:r><w:t xml:space="preserve">astronomical phenomena &amp;c. The derivation of the word is</w:t></w:r>
</w:p>
<w:p>
<w:pPr><w:pStyle w:val="Normal"/></w:pPr>
<w:r><w:t xml:space="preserve">doubtful.  The word almanac was used by Roger Bacon (Opus</w:t></w:r>
</w:p>
<w:p>
<w:pPr><w:pStyle w:val="Normal"/></w:pPr>
<w:r><w:t xml:space="preserve">Majus, 1267) for tables of the apparent motions of the</w:t></w:r>
</w:p>
<w:p>
<w:pPr><w:pStyle w:val="Normal"/></w:pPr>
<w:r><w:t xml:space="preserve">heavenly bodies.  The Italian form is almanacco, French</w:t></w:r>
</w:p>
<w:p>
<w:pPr><w:pStyle w:val="Normal"/></w:pPr>
<w:r><w:t xml:space="preserve">almanach, and the Spanish is almanaque; all of which,</w:t></w:r>
</w:p>
<w:p>
<w:pPr><w:pStyle w:val="Normal"/></w:pPr>
<w:r><w:t xml:space="preserve">according to the New English Dictionary, are probably</w:t></w:r>
</w:p>
<w:p>
<w:pPr><w:pStyle w:val="Normal"/></w:pPr>
<w:r><w:t xml:space="preserve">connected with the Arabic al-manakh, a combination of the</w:t></w:r>
</w:p>
<w:p>
<w:pPr><w:pStyle w:val="Normal"/></w:pPr>
<w:r><w:t xml:space="preserve">definite article al, and maliakh, a word of uncertain</w:t></w:r>
</w:p>
<w:p>
<w:pPr><w:pStyle w:val="Normal"/></w:pPr>
<w:r><w:t xml:space="preserve">origin.  An Arabic-Castilian vocabulary (1505) gives</w:t></w:r>
</w:p>
<w:p>
<w:pPr><w:pStyle w:val="Normal"/></w:pPr>
<w:r><w:t xml:space="preserve">manakh, a calendar, and manah, a sun-dial; manakh</w:t></w:r>
</w:p>
<w:p>
<w:pPr><w:pStyle w:val="Normal"/></w:pPr>
<w:r><w:t xml:space="preserve">has also been connected with the Latin manacus, a sun-dial.</w:t></w:r>
</w:p>
<w:p>
<w:pPr><w:pStyle w:val="Normal"/></w:pPr>
<w:r><w:t xml:space="preserve">The attention given to astronomy by Eastern nations probably</w:t></w:r>
</w:p>
<w:p>
<w:pPr><w:pStyle w:val="Normal"/></w:pPr>
<w:r><w:t xml:space="preserve">led to the early construction of such tables as are comprised</w:t></w:r>
</w:p>
<w:p>
<w:pPr><w:pStyle w:val="Normal"/></w:pPr>
<w:r><w:t xml:space="preserve">in our almanacs; of these we know little or nothing.  The</w:t></w:r>
</w:p>
<w:p>
<w:pPr><w:pStyle w:val="Normal"/></w:pPr>
<w:r><w:t xml:space="preserve">fasti (q.v.) of the Romans are far better known and were</w:t></w:r>
</w:p>
<w:p>
<w:pPr><w:pStyle w:val="Normal"/></w:pPr>
<w:r><w:t xml:space="preserve">similar to modern almanacs.  Almanacs of a rude kind, known</w:t></w:r>
</w:p>
<w:p>
<w:pPr><w:pStyle w:val="Normal"/></w:pPr>
<w:r><w:t xml:space="preserve">as clogg almanacs, consisting of square blocks of hard</w:t></w:r>
</w:p>
<w:p>
<w:pPr><w:pStyle w:val="Normal"/></w:pPr>
<w:r><w:t xml:space="preserve">wood, about 8 in. in length, with notches along the four</w:t></w:r>
</w:p>
<w:p>
<w:pPr><w:pStyle w:val="Normal"/></w:pPr>
<w:r><w:t xml:space="preserve">angles corresponding to the days of the year, were in use</w:t></w:r>
</w:p>
<w:p>
<w:pPr><w:pStyle w:val="Normal"/></w:pPr>
<w:r><w:t xml:space="preserve">in some parts of England as late as the end of the 17th</w:t></w:r>
</w:p>
<w:p>
<w:pPr><w:pStyle w:val="Normal"/></w:pPr>
<w:r><w:t xml:space="preserve">century.  Dr Robert Plot (1640-1696), keeper of the Ashmolean</w:t></w:r>
</w:p>
<w:p>
<w:pPr><w:pStyle w:val="Normal"/></w:pPr>
<w:r><w:t xml:space="preserve">Museum and professor of chemistry at Oxford, describes</w:t></w:r>
</w:p>
<w:p>
<w:pPr><w:pStyle w:val="Normal"/></w:pPr>
<w:r><w:t xml:space="preserve">one of these in his Natural History of Staffordshire</w:t></w:r>
</w:p>
<w:p>
<w:pPr><w:pStyle w:val="Normal"/></w:pPr>
<w:r><w:t xml:space="preserve">(Oxford, 1686); and another is represented in Gough&apos;s</w:t></w:r>
</w:p>
<w:p>
<w:pPr><w:pStyle w:val="Normal"/></w:pPr>
<w:r><w:t xml:space="preserve">edition of Camden&apos;s Britannia (1806, vol. ii. p. 499).</w:t></w:r>
</w:p>
<w:p>
<w:pPr><w:pStyle w:val="Normal"/></w:pPr>
<w:r><w:t xml:space="preserve">The earliest almanac regarding which J. J. L. de Lalande</w:t></w:r>
</w:p>
<w:p>
<w:pPr><w:pStyle w:val="Normal"/></w:pPr>
<w:r><w:t xml:space="preserve">(Bibliographic astronomique, Paris, 1803) could obtain</w:t></w:r>
</w:p>
<w:p>
<w:pPr><w:pStyle w:val="Normal"/></w:pPr>
<w:r><w:t xml:space="preserve">any definite information belongs to the 12th century.</w:t></w:r>
</w:p>
<w:p>
<w:pPr><w:pStyle w:val="Normal"/></w:pPr>
<w:r><w:t xml:space="preserve">Manuscript almanacs of considerable antiquity are preserved</w:t></w:r>
</w:p>
<w:p>
<w:pPr><w:pStyle w:val="Normal"/></w:pPr>
<w:r><w:t xml:space="preserve">in the British Museum and in the libraries of Oxford and</w:t></w:r>
</w:p>
<w:p>
<w:pPr><w:pStyle w:val="Normal"/></w:pPr>
<w:r><w:t xml:space="preserve">Cambridge.  Of these the most remarkable are a calendar</w:t></w:r>
</w:p>
<w:p>
<w:pPr><w:pStyle w:val="Normal"/></w:pPr>
<w:r><w:t xml:space="preserve">ascribed to Roger Bacon (1292), and those of Peter de Dacia</w:t></w:r>
</w:p>
<w:p>
<w:pPr><w:pStyle w:val="Normal"/></w:pPr>
<w:r><w:t xml:space="preserve">(about 1300), Walter de Elvendene (1327) and John Somers</w:t></w:r>
</w:p>
<w:p>
<w:pPr><w:pStyle w:val="Normal"/></w:pPr>
<w:r><w:t xml:space="preserve">(1380).  It is to be remembered that early calendars (such as</w:t></w:r>
</w:p>
<w:p>
<w:pPr><w:pStyle w:val="Normal"/></w:pPr>
<w:r><w:t xml:space="preserve">the Kalendarium Lincolniense of Bishop Robert Grosseteste)</w:t></w:r>
</w:p>
<w:p>
<w:pPr><w:pStyle w:val="Normal"/></w:pPr>
<w:r><w:t xml:space="preserve">frequently bear the names, not of their compilers, but of</w:t></w:r>
</w:p>
<w:p>
<w:pPr><w:pStyle w:val="Normal"/></w:pPr>
<w:r><w:t xml:space="preserve">the writers of the treatises on ecclesiastical computation on</w:t></w:r>
</w:p>
<w:p>
<w:pPr><w:pStyle w:val="Normal"/></w:pPr>
<w:r><w:t xml:space="preserve">which the calendars are based.  The earliest English calendar</w:t></w:r>
</w:p>
<w:p>
<w:pPr><w:pStyle w:val="Normal"/></w:pPr>
<w:r><w:t xml:space="preserve">in the British Museum is one for the year 1431.  The first</w:t></w:r>
</w:p>
<w:p>
<w:pPr><w:pStyle w:val="Normal"/></w:pPr>
<w:r><w:t xml:space="preserve">printed almanac known was compiled by Purbach, and appeared</w:t></w:r>
</w:p>
<w:p>
<w:pPr><w:pStyle w:val="Normal"/></w:pPr>
<w:r><w:t xml:space="preserve">between the years 1450 and 1461; the first of importance is</w:t></w:r>
</w:p>
<w:p>
<w:pPr><w:pStyle w:val="Normal"/></w:pPr>
<w:r><w:t xml:space="preserve">that of Regiomontanus, which appears to have been printed</w:t></w:r>
</w:p>
<w:p>
<w:pPr><w:pStyle w:val="Normal"/></w:pPr>
<w:r><w:t xml:space="preserve">at Nuremberg in 1472.  In this work the almanacs for the</w:t></w:r>
</w:p>
<w:p>
<w:pPr><w:pStyle w:val="Normal"/></w:pPr>
<w:r><w:t xml:space="preserve">different months embrace three Metonic cycles, or the 57 years</w:t></w:r>
</w:p>
<w:p>
<w:pPr><w:pStyle w:val="Normal"/></w:pPr>
<w:r><w:t xml:space="preserve">from 1475 to 1531 inclusive.  The earliest almanac printed</w:t></w:r>
</w:p>
<w:p>
<w:pPr><w:pStyle w:val="Normal"/></w:pPr>
<w:r><w:t xml:space="preserve">in England was The Kalendar of Shepardes, a translation</w:t></w:r>
</w:p>
<w:p>
<w:pPr><w:pStyle w:val="Normal"/></w:pPr>
<w:r><w:t xml:space="preserve">from the French, printed by Richard Pynson about 1407.</w:t></w:r>
</w:p>
<w:p>
<w:pPr><w:pStyle w:val="Normal"/></w:pPr>
<w:r><w:t xml:space="preserve">Early almanacs had commonly the name of ``prognostications&apos;&apos;</w:t></w:r>
</w:p>
<w:p>
<w:pPr><w:pStyle w:val="Normal"/></w:pPr>
<w:r><w:t xml:space="preserve">in addition, and what they professed to show may be gathered</w:t></w:r>
</w:p>
<w:p>
<w:pPr><w:pStyle w:val="Normal"/></w:pPr>
<w:r><w:t xml:space="preserve">from titles like the following, which is quoted by J.</w:t></w:r>
</w:p>
<w:p>
<w:pPr><w:pStyle w:val="Normal"/></w:pPr>
<w:r><w:t xml:space="preserve">O. Halliwell: ``Pronostycacyon of Mayster John Thybault,</w:t></w:r>
</w:p>
<w:p>
<w:pPr><w:pStyle w:val="Normal"/></w:pPr>
<w:r><w:t xml:space="preserve">medycyner and astronomer of the Emperyall Majestic, of the</w:t></w:r>
</w:p>
<w:p>
<w:pPr><w:pStyle w:val="Normal"/></w:pPr>
<w:r><w:t xml:space="preserve">year of our Lorde God MCCCCCXXXIJ., comprehending the iiij.</w:t></w:r>
</w:p>
<w:p>
<w:pPr><w:pStyle w:val="Normal"/></w:pPr>
<w:r><w:t xml:space="preserve">partes of this yere, and of the influence of the mone, of</w:t></w:r>
</w:p>
<w:p>
<w:pPr><w:pStyle w:val="Normal"/></w:pPr>
<w:r><w:t xml:space="preserve">peas and warre, and of the sykenesses of this yere, with the</w:t></w:r>
</w:p>
<w:p>
<w:pPr><w:pStyle w:val="Normal"/></w:pPr>
<w:r><w:t xml:space="preserve">constellacions of them that be under the vij. pianettes, and</w:t></w:r>
</w:p>
<w:p>
<w:pPr><w:pStyle w:val="Normal"/></w:pPr>
<w:r><w:t xml:space="preserve">the revolucions of kynges and princes, and of the eclipses</w:t></w:r>
</w:p>
<w:p>
<w:pPr><w:pStyle w:val="Normal"/></w:pPr>
<w:r><w:t xml:space="preserve">and comets.&apos;&apos; Among almanacs of this class published in</w:t></w:r>
</w:p>
<w:p>
<w:pPr><w:pStyle w:val="Normal"/></w:pPr>
<w:r><w:t xml:space="preserve">England, and principally by the Stationers&apos; Company, are</w:t></w:r>
</w:p>
<w:p>
<w:pPr><w:pStyle w:val="Normal"/></w:pPr>
<w:r><w:t xml:space="preserve">Leonard Digges&apos;s Prognostication Everlasting of Right Good</w:t></w:r>
</w:p>
<w:p>
<w:pPr><w:pStyle w:val="Normal"/></w:pPr>
<w:r><w:t xml:space="preserve">Effect, for 1553, 1555, &amp;c.; William Lilly&apos;s Merlinius</w:t></w:r>
</w:p>
<w:p>
<w:pPr><w:pStyle w:val="Normal"/></w:pPr>
<w:r><w:t xml:space="preserve">Anglicus Junior for 1644, &amp;c., and other almanacs and ``</w:t></w:r>
</w:p>
<w:p>
<w:pPr><w:pStyle w:val="Normal"/></w:pPr>
<w:r><w:t xml:space="preserve">prognostications&apos;&apos;; John Booker&apos;s Bloody Almanac and</w:t></w:r>
</w:p>
<w:p>
<w:pPr><w:pStyle w:val="Normal"/></w:pPr>
<w:r><w:t xml:space="preserve">Bloody Irish Almanac for 1643, 1647, &amp;c.--the last attributed</w:t></w:r>
</w:p>
<w:p>
<w:pPr><w:pStyle w:val="Normal"/></w:pPr>
<w:r><w:t xml:space="preserve">erroneously to Richard Napier; John Partridge&apos;s Mercurius</w:t></w:r>
</w:p>
<w:p>
<w:pPr><w:pStyle w:val="Normal"/></w:pPr>
<w:r><w:t xml:space="preserve">Coelestis for 1681, Merlinus Redivivus, &amp;c. The name of</w:t></w:r>
</w:p>
<w:p>
<w:pPr><w:pStyle w:val="Normal"/></w:pPr>
<w:r><w:t xml:space="preserve">Partridge has been immortalized in Pope&apos;s Rape of the Lock;</w:t></w:r>
</w:p>
<w:p>
<w:pPr><w:pStyle w:val="Normal"/></w:pPr>
<w:r><w:t xml:space="preserve">and his almanacs were very cleverly burlesqued by Swift, who</w:t></w:r>
</w:p>
<w:p>
<w:pPr><w:pStyle w:val="Normal"/></w:pPr>
<w:r><w:t xml:space="preserve">predicted Partridge&apos;s own death, in genuine prognosticator&apos;s</w:t></w:r>
</w:p>
<w:p>
<w:pPr><w:pStyle w:val="Normal"/></w:pPr>
<w:r><w:t xml:space="preserve">style.  The most famous of all the Stationers&apos; Company&apos;s</w:t></w:r>
</w:p>
<w:p>
<w:pPr><w:pStyle w:val="Normal"/></w:pPr>
<w:r><w:t xml:space="preserve">predicting almanacs was the Vox Stellarum of Francis Moore</w:t></w:r>
</w:p>
<w:p>
<w:pPr><w:pStyle w:val="Normal"/></w:pPr>
<w:r><w:t xml:space="preserve">(1657--1715?), the first number of which was completed in July</w:t></w:r>
</w:p>
<w:p>
<w:pPr><w:pStyle w:val="Normal"/></w:pPr>
<w:r><w:t xml:space="preserve">1700, and contained predictions for 1701.  Its publication</w:t></w:r>
</w:p>
<w:p>
<w:pPr><w:pStyle w:val="Normal"/></w:pPr>
<w:r><w:t xml:space="preserve">has been continued under the title of Old Moore&apos;s Almanac.</w:t></w:r>
</w:p>
<w:p>
<w:pPr><w:pStyle w:val="Normal"/></w:pPr>
<w:r><w:t xml:space="preserve">Of a different but not a better sort was Poor Robin, dating</w:t></w:r>
</w:p>
<w:p>
<w:pPr><w:pStyle w:val="Normal"/></w:pPr>
<w:r><w:t xml:space="preserve">from 1663, and published by the company down to 1828, which</w:t></w:r>
</w:p>
<w:p>
<w:pPr><w:pStyle w:val="Normal"/></w:pPr>
<w:r><w:t xml:space="preserve">abounded in coarse, sometimes extremely coarse, humour.</w:t></w:r>
</w:p>
<w:p>
<w:pPr><w:pStyle w:val="Normal"/></w:pPr>
<w:r><w:t xml:space="preserve">The exclusive right to sell ``almanacs and prognostications&apos;&apos;</w:t></w:r>
</w:p>
<w:p>
<w:pPr><w:pStyle w:val="Normal"/></w:pPr>
<w:r><w:t xml:space="preserve">in England, enjoyed in the time of Elizabeth by two members</w:t></w:r>
</w:p>
<w:p>
<w:pPr><w:pStyle w:val="Normal"/></w:pPr>
<w:r><w:t xml:space="preserve">of the Company of Stationers, was extended by James I. to the</w:t></w:r>
</w:p>
<w:p>
<w:pPr><w:pStyle w:val="Normal"/></w:pPr>
<w:r><w:t xml:space="preserve">two universities and the Stationers&apos; Company jointly; but the</w:t></w:r>
</w:p>
<w:p>
<w:pPr><w:pStyle w:val="Normal"/></w:pPr>
<w:r><w:t xml:space="preserve">universities commuted their privilege for an annuity from the</w:t></w:r>
</w:p>
<w:p>
<w:pPr><w:pStyle w:val="Normal"/></w:pPr>
<w:r><w:t xml:space="preserve">company.  This monopoly was challenged by Thomas Carnan, a</w:t></w:r>
</w:p>
<w:p>
<w:pPr><w:pStyle w:val="Normal"/></w:pPr>
<w:r><w:t xml:space="preserve">bookseller, who published an almanac for three successive</w:t></w:r>
</w:p>
<w:p>
<w:pPr><w:pStyle w:val="Normal"/></w:pPr>
<w:r><w:t xml:space="preserve">years, after having been thrice imprisoned on that account</w:t></w:r>
</w:p>
<w:p>
<w:pPr><w:pStyle w:val="Normal"/></w:pPr>
<w:r><w:t xml:space="preserve">by the company.  The case came, in 1775, before the court</w:t></w:r>
</w:p>
<w:p>
<w:pPr><w:pStyle w:val="Normal"/></w:pPr>
<w:r><w:t xml:space="preserve">of common pleas, and was decided in Carnan&apos;s favour, the</w:t></w:r>
</w:p>
<w:p>
<w:pPr><w:pStyle w:val="Normal"/></w:pPr>
<w:r><w:t xml:space="preserve">question argued being, ``Whether almanacs were such public</w:t></w:r>
</w:p>
<w:p>
<w:pPr><w:pStyle w:val="Normal"/></w:pPr>
<w:r><w:t xml:space="preserve">ordinances, such matters of state, as belonged to the king</w:t></w:r>
</w:p>
<w:p>
<w:pPr><w:pStyle w:val="Normal"/></w:pPr>
<w:r><w:t xml:space="preserve">by his prerogative, so as to enable him to communicate an</w:t></w:r>
</w:p>
<w:p>
<w:pPr><w:pStyle w:val="Normal"/></w:pPr>
<w:r><w:t xml:space="preserve">exclusive right of printing them to a grantee of the crown?&apos;&apos;</w:t></w:r>
</w:p>
<w:p>
<w:pPr><w:pStyle w:val="Normal"/></w:pPr>
<w:r><w:t xml:space="preserve">In 1779 Lord North attempted to reverse this decision by a</w:t></w:r>
</w:p>
<w:p>
<w:pPr><w:pStyle w:val="Normal"/></w:pPr>
<w:r><w:t xml:space="preserve">parliamentary enactment, but the bill was thrown out.  In</w:t></w:r>
</w:p>
<w:p>
<w:pPr><w:pStyle w:val="Normal"/></w:pPr>
<w:r><w:t xml:space="preserve">consequence of this the universities lost their title to their</w:t></w:r>
</w:p>
<w:p>
<w:pPr><w:pStyle w:val="Normal"/></w:pPr>
<w:r><w:t xml:space="preserve">annuity, and in lieu of it they received a parliamentary</w:t></w:r>
</w:p>
<w:p>
<w:pPr><w:pStyle w:val="Normal"/></w:pPr>
<w:r><w:t xml:space="preserve">grant.  The company, however, virtually retained its</w:t></w:r>
</w:p>
<w:p>
<w:pPr><w:pStyle w:val="Normal"/></w:pPr>
<w:r><w:t xml:space="preserve">monopoly for many years, by buying up as much as possible</w:t></w:r>
</w:p>
<w:p>
<w:pPr><w:pStyle w:val="Normal"/></w:pPr>
<w:r><w:t xml:space="preserve">all the almanacs issued by other publishers, but in more</w:t></w:r>
</w:p>
<w:p>
<w:pPr><w:pStyle w:val="Normal"/></w:pPr>
<w:r><w:t xml:space="preserve">recent times this power has altogether ceased, although a</w:t></w:r>
</w:p>
<w:p>
<w:pPr><w:pStyle w:val="Normal"/></w:pPr>
<w:r><w:t xml:space="preserve">considerable proportion of the almanacs published in England</w:t></w:r>
</w:p>
<w:p>
<w:pPr><w:pStyle w:val="Normal"/></w:pPr>
<w:r><w:t xml:space="preserve">still issue from the hall of the Stationers&apos; Company.  A</w:t></w:r>
</w:p>
<w:p>
<w:pPr><w:pStyle w:val="Normal"/></w:pPr>
<w:r><w:t xml:space="preserve">description of ``Almanac Day&apos;&apos; at Stationers&apos; Hall will be</w:t></w:r>
</w:p>
<w:p>
<w:pPr><w:pStyle w:val="Normal"/></w:pPr>
<w:r><w:t xml:space="preserve">found in Knight&apos;s Cyclopaedia of London (1851), p. 588.</w:t></w:r>
</w:p>
<w:p>
<w:pPr><w:pStyle w:val="Normal"/></w:pPr>
<w:r><w:t xml:space="preserve">On the 1st of January 1828 the Society for the Diffusion of</w:t></w:r>
</w:p>
<w:p>
<w:pPr><w:pStyle w:val="Normal"/></w:pPr>
<w:r><w:t xml:space="preserve">Useful Knowledge issued the British Almanac for that year--a</w:t></w:r>
</w:p>
<w:p>
<w:pPr><w:pStyle w:val="Normal"/></w:pPr>
<w:r><w:t xml:space="preserve">publication greatly superior in every way to the almanacs of the</w:t></w:r>
</w:p>
<w:p>
<w:pPr><w:pStyle w:val="Normal"/></w:pPr>
<w:r><w:t xml:space="preserve">time.  The success of the British Almanac, with its valuable</w:t></w:r>
</w:p>
<w:p>
<w:pPr><w:pStyle w:val="Normal"/></w:pPr>
<w:r><w:t xml:space="preserve">supplement, the Companion to the Almanac, led to a great</w:t></w:r>
</w:p>
<w:p>
<w:pPr><w:pStyle w:val="Normal"/></w:pPr>
<w:r><w:t xml:space="preserve">improvement in this class of publications.  The Stationers&apos;</w:t></w:r>
</w:p>
<w:p>
<w:pPr><w:pStyle w:val="Normal"/></w:pPr>
<w:r><w:t xml:space="preserve">Company issued the Englishman&apos;s Almanac, a work of a similar</w:t></w:r>
</w:p>
<w:p>
<w:pPr><w:pStyle w:val="Normal"/></w:pPr>
<w:r><w:t xml:space="preserve">kind.  The entire repeal in 1834, by the 3rd and 4th Will.</w:t></w:r>
</w:p>
<w:p>
<w:pPr><w:pStyle w:val="Heading1"/></w:pPr>
<w:r><w:t>IV. c. 57, of the heavy stamp duty, first imposed in 1710,</w:t></w:r>
</w:p>
<w:p>
<w:pPr><w:pStyle w:val="Normal"/></w:pPr>
<w:r><w:t xml:space="preserve">on all almanacs of fifteenpence per copy, gave an additional</w:t></w:r>
</w:p>
<w:p>
<w:pPr><w:pStyle w:val="Normal"/></w:pPr>
<w:r><w:t xml:space="preserve">stimulus to the publication of almanacs of a better class,</w:t></w:r>
</w:p>
<w:p>
<w:pPr><w:pStyle w:val="Normal"/></w:pPr>
<w:r><w:t xml:space="preserve">and from that time the number has greatly increased.  Since</w:t></w:r>
</w:p>
<w:p>
<w:pPr><w:pStyle w:val="Normal"/></w:pPr>
<w:r><w:t xml:space="preserve">1870, the British Almanac and Companion have been the</w:t></w:r>
</w:p>
<w:p>
<w:pPr><w:pStyle w:val="Normal"/></w:pPr>
<w:r><w:t xml:space="preserve">principal almanacs published by the Stationers&apos; Company.</w:t></w:r>
</w:p>
<w:p>
<w:pPr><w:pStyle w:val="Normal"/></w:pPr>
<w:r><w:t xml:space="preserve">Whitaker&apos;s Almanac, commenced in 1868 by Joseph Whitaker</w:t></w:r>
</w:p>
<w:p>
<w:pPr><w:pStyle w:val="Normal"/></w:pPr>
<w:r><w:t xml:space="preserve">(1820-1895), is perhaps the best known of modern almanacs.</w:t></w:r>
</w:p>
<w:p>
<w:pPr><w:pStyle w:val="Normal"/></w:pPr>
<w:r><w:t xml:space="preserve">In Scotland, almanacs containing much astrological matter</w:t></w:r>
</w:p>
<w:p>
<w:pPr><w:pStyle w:val="Normal"/></w:pPr>
<w:r><w:t xml:space="preserve">appcared to have been published at about the beginning of</w:t></w:r>
</w:p>
<w:p>
<w:pPr><w:pStyle w:val="Normal"/></w:pPr>
<w:r><w:t xml:space="preserve">the 16th century; and about a century later those published</w:t></w:r>
</w:p>
<w:p>
<w:pPr><w:pStyle w:val="Normal"/></w:pPr>
<w:r><w:t xml:space="preserve">at Aberdeen enjoyed considerable reputation.  In 1683, the</w:t></w:r>
</w:p>
<w:p>
<w:pPr><w:pStyle w:val="Normal"/></w:pPr>
<w:r><w:t xml:space="preserve">Edinburgh&apos;s True Alnnanack, or a New Prognostication,</w:t></w:r>
</w:p>
<w:p>
<w:pPr><w:pStyle w:val="Normal"/></w:pPr>
<w:r><w:t xml:space="preserve">appeared; a publication which improved with years and was</w:t></w:r>
</w:p>
<w:p>
<w:pPr><w:pStyle w:val="Normal"/></w:pPr>
<w:r><w:t xml:space="preserve">issued after 1837 as Oliver and Boyd&apos;s New Ediniburgh</w:t></w:r>
</w:p>
<w:p>
<w:pPr><w:pStyle w:val="Normal"/></w:pPr>
<w:r><w:t xml:space="preserve">Almanac, a standard book of reference for Scottish affairs.</w:t></w:r>
</w:p>
<w:p>
<w:pPr><w:pStyle w:val="Normal"/></w:pPr>
<w:r><w:t xml:space="preserve">Thom&apos;s Irish Almanac (since 1843) deals mainly with Ireland.</w:t></w:r>
</w:p>
<w:p>
<w:pPr><w:pStyle w:val="Normal"/></w:pPr>
<w:r><w:t xml:space="preserve">The earliest almanac published in the United States is probably</w:t></w:r>
</w:p>
<w:p>
<w:pPr><w:pStyle w:val="Normal"/></w:pPr>
<w:r><w:t xml:space="preserve">to be ascribed to Bradford&apos;s press in Philadelphia, for the</w:t></w:r>
</w:p>
<w:p>
<w:pPr><w:pStyle w:val="Normal"/></w:pPr>
<w:r><w:t xml:space="preserve">year 1587. Poor Richard&apos;s Almanac, commenced in 1732 by</w:t></w:r>
</w:p>
<w:p>
<w:pPr><w:pStyle w:val="Normal"/></w:pPr>
<w:r><w:t xml:space="preserve">Benjamin Franklin under the pseudonym of ``Richard Saunders,&apos;&apos;</w:t></w:r>
</w:p>
<w:p>
<w:pPr><w:pStyle w:val="Normal"/></w:pPr>
<w:r><w:t xml:space="preserve">and continued by him for twenty-five years, gained a high</w:t></w:r>
</w:p>
<w:p>
<w:pPr><w:pStyle w:val="Normal"/></w:pPr>
<w:r><w:t xml:space="preserve">reputation for its wise and witty sayings; it may have been</w:t></w:r>
</w:p>
<w:p>
<w:pPr><w:pStyle w:val="Normal"/></w:pPr>
<w:r><w:t xml:space="preserve">suggested by a somewhat similar publication by Thomas, of</w:t></w:r>
</w:p>
<w:p>
<w:pPr><w:pStyle w:val="Normal"/></w:pPr>
<w:r><w:t xml:space="preserve">Dedham, Massachusetts. The American Almanac and Repository</w:t></w:r>
</w:p>
<w:p>
<w:pPr><w:pStyle w:val="Normal"/></w:pPr>
<w:r><w:t xml:space="preserve">of Useful Knowledge was published at Boston from 1828 to</w:t></w:r>
</w:p>
<w:p>
<w:pPr><w:pStyle w:val="Normal"/></w:pPr>
<w:r><w:t xml:space="preserve">1861; a continuation, The National Almanac, was published</w:t></w:r>
</w:p>
<w:p>
<w:pPr><w:pStyle w:val="Normal"/></w:pPr>
<w:r><w:t xml:space="preserve">only twice, for 1863 and 1864. The Old Farmer&apos;s Almanac</w:t></w:r>
</w:p>
<w:p>
<w:pPr><w:pStyle w:val="Normal"/></w:pPr>
<w:r><w:t xml:space="preserve">enjoys considerable popularity and has been published for</w:t></w:r>
</w:p>
<w:p>
<w:pPr><w:pStyle w:val="Normal"/></w:pPr>
<w:r><w:t xml:space="preserve">many years.  At the present time nearly every religious</w:t></w:r>
</w:p>
<w:p>
<w:pPr><w:pStyle w:val="Normal"/></w:pPr>
<w:r><w:t xml:space="preserve">denomination, trade and newspaper have almanacs or year-books.</w:t></w:r>
</w:p>
<w:p>
<w:pPr><w:pStyle w:val="Normal"/></w:pPr>
<w:r><w:t xml:space="preserve">In France prophetic almanacs circulated very freely among</w:t></w:r>
</w:p>
<w:p>
<w:pPr><w:pStyle w:val="Normal"/></w:pPr>
<w:r><w:t xml:space="preserve">the poorer and rural classes, although an ordonnance of</w:t></w:r>
</w:p>
<w:p>
<w:pPr><w:pStyle w:val="Normal"/></w:pPr>
<w:r><w:t xml:space="preserve">Charles IX. required the seal of a diocesan bishop on all</w:t></w:r>
</w:p>
<w:p>
<w:pPr><w:pStyle w:val="Normal"/></w:pPr>
<w:r><w:t xml:space="preserve">almanacs.  In 1579 Henry III. prohibited the publication</w:t></w:r>
</w:p>
<w:p>
<w:pPr><w:pStyle w:val="Normal"/></w:pPr>
<w:r><w:t xml:space="preserve">of predictions relating to political events, a prohibition</w:t></w:r>
</w:p>
<w:p>
<w:pPr><w:pStyle w:val="Normal"/></w:pPr>
<w:r><w:t xml:space="preserve">renewed by Louis XIII.  Of such almanacs, the most famous</w:t></w:r>
</w:p>
<w:p>
<w:pPr><w:pStyle w:val="Normal"/></w:pPr>
<w:r><w:t xml:space="preserve">was the Almanach Liegeois first published in 1625 at</w:t></w:r>
</w:p>
<w:p>
<w:pPr><w:pStyle w:val="Normal"/></w:pPr>
<w:r><w:t xml:space="preserve">Liege by Matthieu Laensbergh, a person of very problematic</w:t></w:r>
</w:p>
<w:p>
<w:pPr><w:pStyle w:val="Normal"/></w:pPr>
<w:r><w:t xml:space="preserve">existence.  Publications of this class subsequently</w:t></w:r>
</w:p>
<w:p>
<w:pPr><w:pStyle w:val="Normal"/></w:pPr>
<w:r><w:t xml:space="preserve">increased in number to such an extent that, in 1852, their</w:t></w:r>
</w:p>
<w:p>
<w:pPr><w:pStyle w:val="Normal"/></w:pPr>
<w:r><w:t xml:space="preserve">circulation was forcibly checked by the government.  The most</w:t></w:r>
</w:p>
<w:p>
<w:pPr><w:pStyle w:val="Normal"/></w:pPr>
<w:r><w:t xml:space="preserve">important French almanac is the Almanach Royal, afterwards</w:t></w:r>
</w:p>
<w:p>
<w:pPr><w:pStyle w:val="Normal"/></w:pPr>
<w:r><w:t xml:space="preserve">Imperial, and now National, first published in 1679.</w:t></w:r>
</w:p>
<w:p>
<w:pPr><w:pStyle w:val="Normal"/></w:pPr>
<w:r><w:t xml:space="preserve">A number of publications, issued in Germany, from the middle</w:t></w:r>
</w:p>
<w:p>
<w:pPr><w:pStyle w:val="Normal"/></w:pPr>
<w:r><w:t xml:space="preserve">of the 18th to the middle of the 19th century, under such</w:t></w:r>
</w:p>
<w:p>
<w:pPr><w:pStyle w:val="Normal"/></w:pPr>
<w:r><w:t xml:space="preserve">titles as Musenalmanach, modelled on the Almanach des</w:t></w:r>
</w:p>
<w:p>
<w:pPr><w:pStyle w:val="Normal"/></w:pPr>
<w:r><w:t xml:space="preserve">Muses, a contemporary almanac published at Paris, contain</w:t></w:r>
</w:p>
<w:p>
<w:pPr><w:pStyle w:val="Normal"/></w:pPr>
<w:r><w:t xml:space="preserve">some of the best works of some of the most celebrated German</w:t></w:r>
</w:p>
<w:p>
<w:pPr><w:pStyle w:val="Normal"/></w:pPr>
<w:r><w:t xml:space="preserve">poets.  The Almaniach de Gotha, which has existed since</w:t></w:r>
</w:p>
<w:p>
<w:pPr><w:pStyle w:val="Normal"/></w:pPr>
<w:r><w:t xml:space="preserve">1763, published since 1871 both in French and German, gives</w:t></w:r>
</w:p>
<w:p>
<w:pPr><w:pStyle w:val="Normal"/></w:pPr>
<w:r><w:t xml:space="preserve">a particular account of all the royal and princely families</w:t></w:r>
</w:p>
<w:p>
<w:pPr><w:pStyle w:val="Normal"/></w:pPr>
<w:r><w:t xml:space="preserve">of Europe, and ample details concerning the administration</w:t></w:r>
</w:p>
<w:p>
<w:pPr><w:pStyle w:val="Normal"/></w:pPr>
<w:r><w:t xml:space="preserve">and the statistics of the different states of the world.</w:t></w:r>
</w:p>
<w:p>
<w:pPr><w:pStyle w:val="Normal"/></w:pPr>
<w:r><w:t xml:space="preserve">For the Nautical Almanac and similar publications, see EPHEMERIS.</w:t></w:r>
</w:p>
<w:p>
<w:pPr><w:pStyle w:val="Normal"/></w:pPr>
<w:r><w:t xml:space="preserve">ALMANDINE, or ALMANDITE, a name applied to certain kinds of</w:t></w:r>
</w:p>
<w:p>
<w:pPr><w:pStyle w:val="Normal"/></w:pPr>
<w:r><w:t xml:space="preserve">precious garnet, being apparently a corruption of alabandicus,</w:t></w:r>
</w:p>
<w:p>
<w:pPr><w:pStyle w:val="Normal"/></w:pPr>
<w:r><w:t xml:space="preserve">which is the name applied by Pliny to a stone found or worked</w:t></w:r>
</w:p>
<w:p>
<w:pPr><w:pStyle w:val="Normal"/></w:pPr>
<w:r><w:t xml:space="preserve">at Alabanda, a town in Carla in Asia Minor.  Almandine is an</w:t></w:r>
</w:p>
<w:p>
<w:pPr><w:pStyle w:val="Normal"/></w:pPr>
<w:r><w:t xml:space="preserve">iron alumina garnet, of deep red colour inclining to purple.</w:t></w:r>
</w:p>
<w:p>
<w:pPr><w:pStyle w:val="Normal"/></w:pPr>
<w:r><w:t xml:space="preserve">It is frequently cut with a convex face, or en cabochon, and</w:t></w:r>
</w:p>
<w:p>
<w:pPr><w:pStyle w:val="Normal"/></w:pPr>
<w:r><w:t xml:space="preserve">is then known as carbuncle.  Viewed through the spectroscope</w:t></w:r>
</w:p>
<w:p>
<w:pPr><w:pStyle w:val="Normal"/></w:pPr>
<w:r><w:t xml:space="preserve">in a strong light, it generally shows three characteristic</w:t></w:r>
</w:p>
<w:p>
<w:pPr><w:pStyle w:val="Normal"/></w:pPr>
<w:r><w:t xml:space="preserve">absorption bands, as first pointed out by Prof.  A. H. Church.</w:t></w:r>
</w:p>
<w:p>
<w:pPr><w:pStyle w:val="Normal"/></w:pPr>
<w:r><w:t xml:space="preserve">Almandine occurs rather abundantly in the gem-gravels of</w:t></w:r>
</w:p>
<w:p>
<w:pPr><w:pStyle w:val="Normal"/></w:pPr>
<w:r><w:t xml:space="preserve">Ceylon, whence it has sometimes been called Ceylon-ruby.  When</w:t></w:r>
</w:p>
<w:p>
<w:pPr><w:pStyle w:val="Normal"/></w:pPr>
<w:r><w:t xml:space="preserve">the colour inclines to a violet tint, the stone is often called</w:t></w:r>
</w:p>
<w:p>
<w:pPr><w:pStyle w:val="Normal"/></w:pPr>
<w:r><w:t xml:space="preserve">Syrian garnet, a name said to be taken from Syriam, an ancient</w:t></w:r>
</w:p>
<w:p>
<w:pPr><w:pStyle w:val="Normal"/></w:pPr>
<w:r><w:t xml:space="preserve">town of Pegu.  Large deposits of fine almandine-garnets were</w:t></w:r>
</w:p>
<w:p>
<w:pPr><w:pStyle w:val="Normal"/></w:pPr>
<w:r><w:t xml:space="preserve">found, some years ago, in the Northern Territory of South</w:t></w:r>
</w:p>
<w:p>
<w:pPr><w:pStyle w:val="Normal"/></w:pPr>
<w:r><w:t xml:space="preserve">Australia, and were at first taken for rubies, whence they were</w:t></w:r>
</w:p>
<w:p>
<w:pPr><w:pStyle w:val="Normal"/></w:pPr>
<w:r><w:t xml:space="preserve">known in trade for some time afterwards as Australian rubies.</w:t></w:r>
</w:p>
<w:p>
<w:pPr><w:pStyle w:val="Normal"/></w:pPr>
<w:r><w:t xml:space="preserve">Almandine is widely distributed.  Fine rhombic dodecahedra occur</w:t></w:r>
</w:p>
<w:p>
<w:pPr><w:pStyle w:val="Normal"/></w:pPr>
<w:r><w:t xml:space="preserve">in the schistose rocks of the Zillerthal, in Tyrol, and are</w:t></w:r>
</w:p>
<w:p>
<w:pPr><w:pStyle w:val="Normal"/></w:pPr>
<w:r><w:t xml:space="preserve">sometimes cut and polished.  An almandine in which the ferrous</w:t></w:r>
</w:p>
<w:p>
<w:pPr><w:pStyle w:val="Normal"/></w:pPr>
<w:r><w:t xml:space="preserve">oxide is replaced partly by magnesia is found at Luisenfeld</w:t></w:r>
</w:p>
<w:p>
<w:pPr><w:pStyle w:val="Normal"/></w:pPr>
<w:r><w:t xml:space="preserve">in German East Africa.  In the United States there are many</w:t></w:r>
</w:p>
<w:p>
<w:pPr><w:pStyle w:val="Normal"/></w:pPr>
<w:r><w:t xml:space="preserve">localities which yield almandine.  Dr G. F. Kunz has figured</w:t></w:r>
</w:p>
<w:p>
<w:pPr><w:pStyle w:val="Normal"/></w:pPr>
<w:r><w:t xml:space="preserve">a crystal of coarse almandine weighing 91 lb. from New York</w:t></w:r>
</w:p>
<w:p>
<w:pPr><w:pStyle w:val="Normal"/></w:pPr>
<w:r><w:t xml:space="preserve">city.  Fine crystals of almandine embedded in mica-schist occur</w:t></w:r>
</w:p>
<w:p>
<w:pPr><w:pStyle w:val="Normal"/></w:pPr>
<w:r><w:t xml:space="preserve">near Fort Wrangell in Alaska.  The coarse varieties of almandine</w:t></w:r>
</w:p>
<w:p>
<w:pPr><w:pStyle w:val="Normal"/></w:pPr>
<w:r><w:t xml:space="preserve">are often crushed for use as an abrasive agent. (See GARNET.)</w:t></w:r>
</w:p>
<w:p>
<w:pPr><w:pStyle w:val="Normal"/></w:pPr>
<w:r><w:t xml:space="preserve">ALMANSA, or ALMANZA, a town of eastern Spain, in the province</w:t></w:r>
</w:p>
<w:p>
<w:pPr><w:pStyle w:val="Normal"/></w:pPr>
<w:r><w:t xml:space="preserve">of Albacete; 35 m.  E.S.E. of Albacete, on the Madrid-Alicante</w:t></w:r>
</w:p>
<w:p>
<w:pPr><w:pStyle w:val="Normal"/></w:pPr>
<w:r><w:t xml:space="preserve">railway.  Pop. (1900) 11,180.  Almansa is built at the foot of</w:t></w:r>
</w:p>
<w:p>
<w:pPr><w:pStyle w:val="Normal"/></w:pPr>
<w:r><w:t xml:space="preserve">a white limestone crag, which is surmounted by a Moorish castle,</w:t></w:r>
</w:p>
<w:p>
<w:pPr><w:pStyle w:val="Normal"/></w:pPr>
<w:r><w:t xml:space="preserve">and rises abruptly in the midst of a fertile and irrigated</w:t></w:r>
</w:p>
<w:p>
<w:pPr><w:pStyle w:val="Normal"/></w:pPr>
<w:r><w:t xml:space="preserve">plain.  About 1 m.  S. stands an obelisk commemorating the</w:t></w:r>
</w:p>
<w:p>
<w:pPr><w:pStyle w:val="Normal"/></w:pPr>
<w:r><w:t xml:space="preserve">battle fought here on the 25th of April 1707, in which the</w:t></w:r>
</w:p>
<w:p>
<w:pPr><w:pStyle w:val="Normal"/></w:pPr>
<w:r><w:t xml:space="preserve">French under the duke of Berwick, a natural son of James</w:t></w:r>
</w:p>
<w:p>
<w:pPr><w:pStyle w:val="Heading1"/></w:pPr>
<w:r><w:t>II. of Great Britain, routed the allied British, Portuguese</w:t></w:r>
</w:p>
<w:p>
<w:pPr><w:pStyle w:val="Normal"/></w:pPr>
<w:r><w:t xml:space="preserve">and Spanish troops. (See SPANISH SUCCESSION, WAR OF THE.)</w:t></w:r>
</w:p>
<w:p>
<w:pPr><w:pStyle w:val="Normal"/></w:pPr>
<w:r><w:t xml:space="preserve">ALMA-TADEMA, SIR LAURENCE (LAURENS) (1836- ). British</w:t></w:r>
</w:p>
<w:p>
<w:pPr><w:pStyle w:val="Normal"/></w:pPr>
<w:r><w:t xml:space="preserve">artist, was born on the 8th of .fanuary 1836, at Dronrijp, a</w:t></w:r>
</w:p>
<w:p>
<w:pPr><w:pStyle w:val="Normal"/></w:pPr>
<w:r><w:t xml:space="preserve">Frisian village near Leeuwarden, the son of Pieter Tadema, a</w:t></w:r>
</w:p>
<w:p>
<w:pPr><w:pStyle w:val="Normal"/></w:pPr>
<w:r><w:t xml:space="preserve">notary, who died when he was four years old.  Alma was the</w:t></w:r>
</w:p>
<w:p>
<w:pPr><w:pStyle w:val="Normal"/></w:pPr>
<w:r><w:t xml:space="preserve">name of his godfather.  His mother (d. 1863) was his father&apos;s</w:t></w:r>
</w:p>
<w:p>
<w:pPr><w:pStyle w:val="Normal"/></w:pPr>
<w:r><w:t xml:space="preserve">second wife, and was left with a large family.  It was designed</w:t></w:r>
</w:p>
<w:p>
<w:pPr><w:pStyle w:val="Normal"/></w:pPr>
<w:r><w:t xml:space="preserve">that the boy should follow his father&apos;s profession; but he</w:t></w:r>
</w:p>
<w:p>
<w:pPr><w:pStyle w:val="Normal"/></w:pPr>
<w:r><w:t xml:space="preserve">had so great a leaning towards art that he was eventually</w:t></w:r>
</w:p>
<w:p>
<w:pPr><w:pStyle w:val="Normal"/></w:pPr>
<w:r><w:t xml:space="preserve">sent to Antwerp, where in 1852 he entered the academy under</w:t></w:r>
</w:p>
<w:p>
<w:pPr><w:pStyle w:val="Normal"/></w:pPr>
<w:r><w:t xml:space="preserve">Gustav Wappers.  Thence he passed to the atelier of Henri</w:t></w:r>
</w:p>
<w:p>
<w:pPr><w:pStyle w:val="Normal"/></w:pPr>
<w:r><w:t xml:space="preserve">(afterwards Baron) Leys.  In 1859 he assisted Leys in the</w:t></w:r>
</w:p>
<w:p>
<w:pPr><w:pStyle w:val="Normal"/></w:pPr>
<w:r><w:t xml:space="preserve">latter&apos;s frescoes in the hall of the hotel de ville at</w:t></w:r>
</w:p>
<w:p>
<w:pPr><w:pStyle w:val="Normal"/></w:pPr>
<w:r><w:t xml:space="preserve">Antwerp.  In the exhibition of Alma-Tadema&apos;s collected works</w:t></w:r>
</w:p>
<w:p>
<w:pPr><w:pStyle w:val="Normal"/></w:pPr>
<w:r><w:t xml:space="preserve">at the Grosvenor Gallery in London in the winter of 1882-1883</w:t></w:r>
</w:p>
<w:p>
<w:pPr><w:pStyle w:val="Normal"/></w:pPr>
<w:r><w:t xml:space="preserve">were two pictures which may be said to mark the beginning</w:t></w:r>
</w:p>
<w:p>
<w:pPr><w:pStyle w:val="Normal"/></w:pPr>
<w:r><w:t xml:space="preserve">and end of his first period.  These were a portrait of</w:t></w:r>
</w:p>
<w:p>
<w:pPr><w:pStyle w:val="Normal"/></w:pPr>
<w:r><w:t xml:space="preserve">himself, dated 1852, and ``A Bargain,&apos;&apos; painted in 1860.  His</w:t></w:r>
</w:p>
<w:p>
<w:pPr><w:pStyle w:val="Normal"/></w:pPr>
<w:r><w:t xml:space="preserve">first great success was a picture of ``The Education of the</w:t></w:r>
</w:p>
<w:p>
<w:pPr><w:pStyle w:val="Normal"/></w:pPr>
<w:r><w:t xml:space="preserve">Children of Clovis&apos;&apos; (1861), which was exhibited at Antwerp.</w:t></w:r>
</w:p>
<w:p>
<w:pPr><w:pStyle w:val="Normal"/></w:pPr>
<w:r><w:t xml:space="preserve">In the following year he received his first gold medal at</w:t></w:r>
</w:p>
<w:p>
<w:pPr><w:pStyle w:val="Normal"/></w:pPr>
<w:r><w:t xml:space="preserve">Amsterdam.  The ``Education of the Children of Clovis&apos;&apos;</w:t></w:r>
</w:p>
<w:p>
<w:pPr><w:pStyle w:val="Normal"/></w:pPr>
<w:r><w:t xml:space="preserve">(three young children of Clovis and Clotilde practising</w:t></w:r>
</w:p>
<w:p>
<w:pPr><w:pStyle w:val="Normal"/></w:pPr>
<w:r><w:t xml:space="preserve">the art of hurling the axe in the presence of their widowed</w:t></w:r>
</w:p>
<w:p>
<w:pPr><w:pStyle w:val="Normal"/></w:pPr>
<w:r><w:t xml:space="preserve">mother, who is training them to avenge the murder of their</w:t></w:r>
</w:p>
<w:p>
<w:pPr><w:pStyle w:val="Normal"/></w:pPr>
<w:r><w:t xml:space="preserve">own parent) was one of a series of Merovingian pictures, of</w:t></w:r>
</w:p>
<w:p>
<w:pPr><w:pStyle w:val="Normal"/></w:pPr>
<w:r><w:t xml:space="preserve">which the finest was the ``Fredegonda&apos;&apos; of 1878 (exhibited in</w:t></w:r>
</w:p>
<w:p>
<w:pPr><w:pStyle w:val="Normal"/></w:pPr>
<w:r><w:t xml:space="preserve">1880), where the dejected wife or mistress is watching from</w:t></w:r>
</w:p>
<w:p>
<w:pPr><w:pStyle w:val="Normal"/></w:pPr>
<w:r><w:t xml:space="preserve">behind her curtain window the marriage of Chilperic I. with</w:t></w:r>
</w:p>
<w:p>
<w:pPr><w:pStyle w:val="Normal"/></w:pPr>
<w:r><w:t xml:space="preserve">Galeswintha.  It is perhaps in this series that we find the</w:t></w:r>
</w:p>
<w:p>
<w:pPr><w:pStyle w:val="Normal"/></w:pPr>
<w:r><w:t xml:space="preserve">painter moved by the deeoest feeling and the strongest spirit of</w:t></w:r>
</w:p>
<w:p>
<w:pPr><w:pStyle w:val="Normal"/></w:pPr>
<w:r><w:t xml:space="preserve">romance.  One of the most passionate of all is ``Fredegonda</w:t></w:r>
</w:p>
<w:p>
<w:pPr><w:pStyle w:val="Normal"/></w:pPr>
<w:r><w:t xml:space="preserve">at the Death-bed of Praetextatus,&apos;&apos; in which the bishop,</w:t></w:r>
</w:p>
<w:p>
<w:pPr><w:pStyle w:val="Normal"/></w:pPr>
<w:r><w:t xml:space="preserve">stabbed by order of the queen, is cursing her from his dying</w:t></w:r>
</w:p>
<w:p>
<w:pPr><w:pStyle w:val="Normal"/></w:pPr>
<w:r><w:t xml:space="preserve">bed.  Another distinct series is designed to reproduce the life</w:t></w:r>
</w:p>
<w:p>
<w:pPr><w:pStyle w:val="Normal"/></w:pPr>
<w:r><w:t xml:space="preserve">of ancient Egypt.  One of the first of this series, ``Egyptians</w:t></w:r>
</w:p>
<w:p>
<w:pPr><w:pStyle w:val="Normal"/></w:pPr>
<w:r><w:t xml:space="preserve">3000 Years Ago,&apos;&apos; was painted in 1863.  A profound depth of</w:t></w:r>
</w:p>
<w:p>
<w:pPr><w:pStyle w:val="Normal"/></w:pPr>
<w:r><w:t xml:space="preserve">pathos is sounded in ``The Death of the Firstborn,&apos;&apos; painted in</w:t></w:r>
</w:p>
<w:p>
<w:pPr><w:pStyle w:val="Normal"/></w:pPr>
<w:r><w:t xml:space="preserve">1873.  Among Alma-Tadema&apos;s other notable Egyptian pictures</w:t></w:r>
</w:p>
<w:p>
<w:pPr><w:pStyle w:val="Normal"/></w:pPr>
<w:r><w:t xml:space="preserve">are ``An Egyptian at his Doorway&apos;&apos; (1865), `The Mummy&apos;&apos;</w:t></w:r>
</w:p>
<w:p>
<w:pPr><w:pStyle w:val="Normal"/></w:pPr>
<w:r><w:t xml:space="preserve">(1867), `The Chamberlain of Sesostris&apos;&apos; (1869), ``A Widow&apos;&apos;</w:t></w:r>
</w:p>
<w:p>
<w:pPr><w:pStyle w:val="Normal"/></w:pPr>
<w:r><w:t xml:space="preserve">(1873), and ``Joseph, Overseer of Pharaoh&apos;s Granaries&apos;&apos;</w:t></w:r>
</w:p>
<w:p>
<w:pPr><w:pStyle w:val="Normal"/></w:pPr>
<w:r><w:t xml:space="preserve">(1874).  On these scenes from Frankish and Egyptian life</w:t></w:r>
</w:p>
<w:p>
<w:pPr><w:pStyle w:val="Normal"/></w:pPr>
<w:r><w:t xml:space="preserve">Alma-Tadema spent great energy and research; but his strongest</w:t></w:r>
</w:p>
<w:p>
<w:pPr><w:pStyle w:val="Normal"/></w:pPr>
<w:r><w:t xml:space="preserve">art-impulse was towards the presentation of the life of</w:t></w:r>
</w:p>
<w:p>
<w:pPr><w:pStyle w:val="Normal"/></w:pPr>
<w:r><w:t xml:space="preserve">ancient Greece and Rome, especially the latter.  Amongst the</w:t></w:r>
</w:p>
<w:p>
<w:pPr><w:pStyle w:val="Normal"/></w:pPr>
<w:r><w:t xml:space="preserve">best known of his earlier pictures of scenes from classical</w:t></w:r>
</w:p>
<w:p>
<w:pPr><w:pStyle w:val="Normal"/></w:pPr>
<w:r><w:t xml:space="preserve">times are ``Tarquinius Superbus&apos;&apos; (1867), ``Phidias and the</w:t></w:r>
</w:p>
<w:p>
<w:pPr><w:pStyle w:val="Normal"/></w:pPr>
<w:r><w:t xml:space="preserve">Elgin Marbles&apos;&apos; (1868), and ``The Pyrrhic Dance&apos;&apos; and ``The</w:t></w:r>
</w:p>
<w:p>
<w:pPr><w:pStyle w:val="Normal"/></w:pPr>
<w:r><w:t xml:space="preserve">Wine Shop&apos;&apos; (1869). ``The Pyrrhic Dance,&apos;&apos; though one of the</w:t></w:r>
</w:p>
<w:p>
<w:pPr><w:pStyle w:val="Normal"/></w:pPr>
<w:r><w:t xml:space="preserve">simplest of his compositions, stands out distinctly from them</w:t></w:r>
</w:p>
<w:p>
<w:pPr><w:pStyle w:val="Normal"/></w:pPr>
<w:r><w:t xml:space="preserve">all by reason of its striking movement. ``Phidias and the</w:t></w:r>
</w:p>
<w:p>
<w:pPr><w:pStyle w:val="Normal"/></w:pPr>
<w:r><w:t xml:space="preserve">Elgin Marbles&apos;&apos; is the first of those glimpses of the art-iife</w:t></w:r>
</w:p>
<w:p>
<w:pPr><w:pStyle w:val="Normal"/></w:pPr>
<w:r><w:t xml:space="preserve">of classical times, of which ``Hadrian in England,&apos;&apos; ``The</w:t></w:r>
</w:p>
<w:p>
<w:pPr><w:pStyle w:val="Normal"/></w:pPr>
<w:r><w:t xml:space="preserve">Sculpture Gallery,&apos;&apos; and ``The Picture Gallery&apos;&apos; are later</w:t></w:r>
</w:p>
<w:p>
<w:pPr><w:pStyle w:val="Normal"/></w:pPr>
<w:r><w:t xml:space="preserve">examples. ``The Wine Shop&apos;&apos; is one of his many pictures of</w:t></w:r>
</w:p>
<w:p>
<w:pPr><w:pStyle w:val="Normal"/></w:pPr>
<w:r><w:t xml:space="preserve">historical genre, but marked with a more robust humour than</w:t></w:r>
</w:p>
<w:p>
<w:pPr><w:pStyle w:val="Normal"/></w:pPr>
<w:r><w:t xml:space="preserve">usual.  In 1863 Alma-Tadema married a French lady, and lived</w:t></w:r>
</w:p>
<w:p>
<w:pPr><w:pStyle w:val="Normal"/></w:pPr>
<w:r><w:t xml:space="preserve">at Brussels till 1869, when she died, leaving him a widower</w:t></w:r>
</w:p>
<w:p>
<w:pPr><w:pStyle w:val="Normal"/></w:pPr>
<w:r><w:t xml:space="preserve">with two daughters, Laurence and Anna, both of whom afterwards</w:t></w:r>
</w:p>
<w:p>
<w:pPr><w:pStyle w:val="Normal"/></w:pPr>
<w:r><w:t xml:space="preserve">made reputations --the former in literature, the latter in</w:t></w:r>
</w:p>
<w:p>
<w:pPr><w:pStyle w:val="Normal"/></w:pPr>
<w:r><w:t xml:space="preserve">art.  In 1869 he sent from Brussels to the Royal Academy two</w:t></w:r>
</w:p>
<w:p>
<w:pPr><w:pStyle w:val="Normal"/></w:pPr>
<w:r><w:t xml:space="preserve">pictures, ``Un Amateur romain&apos;&apos; and ``Une Danse pyrrhique,&apos;&apos;</w:t></w:r>
</w:p>
<w:p>
<w:pPr><w:pStyle w:val="Normal"/></w:pPr>
<w:r><w:t xml:space="preserve">which were followed by three pictures, including ``Un Jongleur,&apos;&apos;</w:t></w:r>
</w:p>
<w:p>
<w:pPr><w:pStyle w:val="Normal"/></w:pPr>
<w:r><w:t xml:space="preserve">in 1870, when he came to London.  By this time, besides his</w:t></w:r>
</w:p>
<w:p>
<w:pPr><w:pStyle w:val="Normal"/></w:pPr>
<w:r><w:t xml:space="preserve">Dutch and Belgian distinctions, he had been awarded medals</w:t></w:r>
</w:p>
<w:p>
<w:pPr><w:pStyle w:val="Normal"/></w:pPr>
<w:r><w:t xml:space="preserve">at the Paris Salon of 1864 and the Exposition Universelle of</w:t></w:r>
</w:p>
<w:p>
<w:pPr><w:pStyle w:val="Normal"/></w:pPr>
<w:r><w:t xml:space="preserve">1867.  In 1871 he married Miss Laura Epos, an English lady</w:t></w:r>
</w:p>
<w:p>
<w:pPr><w:pStyle w:val="Normal"/></w:pPr>
<w:r><w:t xml:space="preserve">of a talented family, who, under her married name, also won</w:t></w:r>
</w:p>
<w:p>
<w:pPr><w:pStyle w:val="Normal"/></w:pPr>
<w:r><w:t xml:space="preserve">a high reputation as an artist.  After his arrival in England</w:t></w:r>
</w:p>
<w:p>
<w:pPr><w:pStyle w:val="Normal"/></w:pPr>
<w:r><w:t xml:space="preserve">Alma-Tadema&apos;s career was one of continued success.  Amongst</w:t></w:r>
</w:p>
<w:p>
<w:pPr><w:pStyle w:val="Normal"/></w:pPr>
<w:r><w:t xml:space="preserve">the most important of his pictures during this period were</w:t></w:r>
</w:p>
<w:p>
<w:pPr><w:pStyle w:val="Normal"/></w:pPr>
<w:r><w:t xml:space="preserve">``The Vintage Festival&apos;&apos; (1870), ``The Picture Gallery&apos;&apos; and</w:t></w:r>
</w:p>
<w:p>
<w:pPr><w:pStyle w:val="Normal"/></w:pPr>
<w:r><w:t xml:space="preserve">``The Sculpture Gallery&apos;&apos; (1875), ``An Audience at Agrippa&apos;s&apos;&apos;</w:t></w:r>
</w:p>
<w:p>
<w:pPr><w:pStyle w:val="Normal"/></w:pPr>
<w:r><w:t xml:space="preserve">(1876), ``The Seasons&apos;&apos; (1877), ``Sappho&apos;&apos; (1881), ``The</w:t></w:r>
</w:p>
<w:p>
<w:pPr><w:pStyle w:val="Normal"/></w:pPr>
<w:r><w:t xml:space="preserve">Way to the Temple&apos;&apos; (1883), his diploma work, ``Hadrian in</w:t></w:r>
</w:p>
<w:p>
<w:pPr><w:pStyle w:val="Normal"/></w:pPr>
<w:r><w:t xml:space="preserve">Britain&apos;&apos; (1884), ``The Apodyterium (1886), ``The Woman of</w:t></w:r>
</w:p>
<w:p>
<w:pPr><w:pStyle w:val="Normal"/></w:pPr>
<w:r><w:t xml:space="preserve">Amphissa&apos;&apos; (1887), ``The Roses of Heliogabalus&apos;&apos; (1888), ``An</w:t></w:r>
</w:p>
<w:p>
<w:pPr><w:pStyle w:val="Normal"/></w:pPr>
<w:r><w:t xml:space="preserve">Earthly Paradise&apos;&apos; (1891), and ``Spring&apos;&apos; (1895).  Most of</w:t></w:r>
</w:p>
<w:p>
<w:pPr><w:pStyle w:val="Normal"/></w:pPr>
<w:r><w:t xml:space="preserve">his other pictures have been small canvasses of exquisite</w:t></w:r>
</w:p>
<w:p>
<w:pPr><w:pStyle w:val="Normal"/></w:pPr>
<w:r><w:t xml:space="preserve">finish, like the ``Gold-fish&apos;&apos; of 1900.  These, as well as</w:t></w:r>
</w:p>
<w:p>
<w:pPr><w:pStyle w:val="Normal"/></w:pPr>
<w:r><w:t xml:space="preserve">all his works, are remarkable for the way in which flowers,</w:t></w:r>
</w:p>
<w:p>
<w:pPr><w:pStyle w:val="Normal"/></w:pPr>
<w:r><w:t xml:space="preserve">textures and hard reflecting substances, like metals, pottery,</w:t></w:r>
</w:p>
<w:p>
<w:pPr><w:pStyle w:val="Normal"/></w:pPr>
<w:r><w:t xml:space="preserve">and especially marble, are painted.  His work shows much</w:t></w:r>
</w:p>
<w:p>
<w:pPr><w:pStyle w:val="Normal"/></w:pPr>
<w:r><w:t xml:space="preserve">of the fine execution and brilliant colour of the old Dutch</w:t></w:r>
</w:p>
<w:p>
<w:pPr><w:pStyle w:val="Normal"/></w:pPr>
<w:r><w:t xml:space="preserve">masters.  By the human interest with which he imbues all his</w:t></w:r>
</w:p>
<w:p>
<w:pPr><w:pStyle w:val="Normal"/></w:pPr>
<w:r><w:t xml:space="preserve">scenes from ancient life he brings them within the scope of</w:t></w:r>
</w:p>
<w:p>
<w:pPr><w:pStyle w:val="Normal"/></w:pPr>
<w:r><w:t xml:space="preserve">modern feeling, and charms us with gentle sentiment and playful</w:t></w:r>
</w:p>
<w:p>
<w:pPr><w:pStyle w:val="Normal"/></w:pPr>
<w:r><w:t xml:space="preserve">humour.  He also painted some fine portraits.  Alma-Tadema</w:t></w:r>
</w:p>
<w:p>
<w:pPr><w:pStyle w:val="Normal"/></w:pPr>
<w:r><w:t xml:space="preserve">became a naturalized British subject in 1873, and was knighted</w:t></w:r>
</w:p>
<w:p>
<w:pPr><w:pStyle w:val="Normal"/></w:pPr>
<w:r><w:t xml:space="preserve">on the occasion of Queen Victoria&apos;s eighty-first birthday,</w:t></w:r>
</w:p>
<w:p>
<w:pPr><w:pStyle w:val="Normal"/></w:pPr>
<w:r><w:t xml:space="preserve">1899.  He was made an associate of the Royal Academy in</w:t></w:r>
</w:p>
<w:p>
<w:pPr><w:pStyle w:val="Normal"/></w:pPr>
<w:r><w:t xml:space="preserve">1876, and a Royal Academician in 1879.  In 1907 he was</w:t></w:r>
</w:p>
<w:p>
<w:pPr><w:pStyle w:val="Normal"/></w:pPr>
<w:r><w:t xml:space="preserve">included in the Order of Merit.  He became a knight of the</w:t></w:r>
</w:p>
<w:p>
<w:pPr><w:pStyle w:val="Normal"/></w:pPr>
<w:r><w:t xml:space="preserve">order Pour le Merite of Germany (Arts and Science Division);</w:t></w:r>
</w:p>
<w:p>
<w:pPr><w:pStyle w:val="Normal"/></w:pPr>
<w:r><w:t xml:space="preserve">of Leopold, Belgium; of the Dutch Lion; of St Michael of</w:t></w:r>
</w:p>
<w:p>
<w:pPr><w:pStyle w:val="Normal"/></w:pPr>
<w:r><w:t xml:space="preserve">Bavaria; of the Golden Lion of Nassau; and of the Crown</w:t></w:r>
</w:p>
<w:p>
<w:pPr><w:pStyle w:val="Normal"/></w:pPr>
<w:r><w:t xml:space="preserve">of Prussia; an officer of the Legion of Honour, France; a</w:t></w:r>
</w:p>
<w:p>
<w:pPr><w:pStyle w:val="Normal"/></w:pPr>
<w:r><w:t xml:space="preserve">member of the Royal Academies of Munich, Berlin, Madrid and</w:t></w:r>
</w:p>
<w:p>
<w:pPr><w:pStyle w:val="Normal"/></w:pPr>
<w:r><w:t xml:space="preserve">Vienna.  He received a gold medal at Berlin in 1872 and a</w:t></w:r>
</w:p>
<w:p>
<w:pPr><w:pStyle w:val="Normal"/></w:pPr>
<w:r><w:t xml:space="preserve">grand medal at Berlin in 1874; a first class medal at the</w:t></w:r>
</w:p>
<w:p>
<w:pPr><w:pStyle w:val="Normal"/></w:pPr>
<w:r><w:t xml:space="preserve">Paris International Exhibitions of 1889 and 1900.  He also</w:t></w:r>
</w:p>
<w:p>
<w:pPr><w:pStyle w:val="Normal"/></w:pPr>
<w:r><w:t xml:space="preserve">became a member of the Royal Society of Water-colours.</w:t></w:r>
</w:p>
<w:p>
<w:pPr><w:pStyle w:val="Normal"/></w:pPr>
<w:r><w:t xml:space="preserve">See also Geore Ebers, ``Lorenz Alma-Tadema,&apos;&apos;</w:t></w:r>
</w:p>
<w:p>
<w:pPr><w:pStyle w:val="Normal"/></w:pPr>
<w:r><w:t xml:space="preserve">Westermann&apos;s Monatshafte, November and December 1885,</w:t></w:r>
</w:p>
<w:p>
<w:pPr><w:pStyle w:val="Normal"/></w:pPr>
<w:r><w:t xml:space="preserve">since republished in volume form; Helen Zimmern, ``L.</w:t></w:r>
</w:p>
<w:p>
<w:pPr><w:pStyle w:val="Normal"/></w:pPr>
<w:r><w:t xml:space="preserve">Alma-Tadema, his Life and Work,&apos;&apos; Art Annual, 1886; C.</w:t></w:r>
</w:p>
<w:p>
<w:pPr><w:pStyle w:val="Normal"/></w:pPr>
<w:r><w:t xml:space="preserve">Monkhouse, British Contemporary Artists (London, 1899).</w:t></w:r>
</w:p>
<w:p>
<w:pPr><w:pStyle w:val="Normal"/></w:pPr>
<w:r><w:t xml:space="preserve">ALME or ALMAI (from alim, wise, learned), the name of a</w:t></w:r>
</w:p>
<w:p>
<w:pPr><w:pStyle w:val="Normal"/></w:pPr>
<w:r><w:t xml:space="preserve">class of singing girls in Egypt who are present at festivals and</w:t></w:r>
</w:p>
<w:p>
<w:pPr><w:pStyle w:val="Normal"/></w:pPr>
<w:r><w:t xml:space="preserve">entertainments, and act as hired mourners at funerals.  They</w:t></w:r>
</w:p>
<w:p>
<w:pPr><w:pStyle w:val="Normal"/></w:pPr>
<w:r><w:t xml:space="preserve">are to be distinguished from the ghawazee, or dancing girls,</w:t></w:r>
</w:p>
<w:p>
<w:pPr><w:pStyle w:val="Normal"/></w:pPr>
<w:r><w:t xml:space="preserve">who perform in the public streets and are of a lower order.</w:t></w:r>
</w:p>
<w:p>
<w:pPr><w:pStyle w:val="Normal"/></w:pPr>
<w:r><w:t xml:space="preserve">ALMEIDA, DOM FRANCISCO DE (c. 1450-1510), the first</w:t></w:r>
</w:p>
<w:p>
<w:pPr><w:pStyle w:val="Normal"/></w:pPr>
<w:r><w:t xml:space="preserve">viceroy of Portuguese India, was born at Lisbon about the</w:t></w:r>
</w:p>
<w:p>
<w:pPr><w:pStyle w:val="Normal"/></w:pPr>
<w:r><w:t xml:space="preserve">middle of the 15th century.  He was the seventh son of the</w:t></w:r>
</w:p>
<w:p>
<w:pPr><w:pStyle w:val="Normal"/></w:pPr>
<w:r><w:t xml:space="preserve">second count of Abrantes, and thus belonged to one of the</w:t></w:r>
</w:p>
<w:p>
<w:pPr><w:pStyle w:val="Normal"/></w:pPr>
<w:r><w:t xml:space="preserve">most distinguished families in Portugal.  In his youth he took</w:t></w:r>
</w:p>
<w:p>
<w:pPr><w:pStyle w:val="Heading1"/></w:pPr>
<w:r><w:t>part under Ferdinand of Aragon in the wars against the Moors</w:t></w:r>
</w:p>
<w:p>
<w:pPr><w:pStyle w:val="Normal"/></w:pPr>
<w:r><w:t xml:space="preserve">(1485-1492).  In March 1505, having received from Emmanuel I.</w:t></w:r>
</w:p>
<w:p>
<w:pPr><w:pStyle w:val="Normal"/></w:pPr>
<w:r><w:t xml:space="preserve">the appointment of viceroy of the newly conquered territory</w:t></w:r>
</w:p>
<w:p>
<w:pPr><w:pStyle w:val="Normal"/></w:pPr>
<w:r><w:t xml:space="preserve">in India, he set sail from Lisbon in command of a large and</w:t></w:r>
</w:p>
<w:p>
<w:pPr><w:pStyle w:val="Normal"/></w:pPr>
<w:r><w:t xml:space="preserve">powerful fleet, and arrived in July at Quiloa (Kilwa), which</w:t></w:r>
</w:p>
<w:p>
<w:pPr><w:pStyle w:val="Normal"/></w:pPr>
<w:r><w:t xml:space="preserve">yielded to him almost without a struggle.  A much more vigorous</w:t></w:r>
</w:p>
<w:p>
<w:pPr><w:pStyle w:val="Normal"/></w:pPr>
<w:r><w:t xml:space="preserve">resistance was offered by the Moors of Mombasa, but the town</w:t></w:r>
</w:p>
<w:p>
<w:pPr><w:pStyle w:val="Normal"/></w:pPr>
<w:r><w:t xml:space="preserve">was taken and destroyed, and its large treasures went to</w:t></w:r>
</w:p>
<w:p>
<w:pPr><w:pStyle w:val="Normal"/></w:pPr>
<w:r><w:t xml:space="preserve">strengthen the resources of Almeida.  At other places on his</w:t></w:r>
</w:p>
<w:p>
<w:pPr><w:pStyle w:val="Normal"/></w:pPr>
<w:r><w:t xml:space="preserve">way, such as the island of Angediva, near Goa, and Cannanore,</w:t></w:r>
</w:p>
<w:p>
<w:pPr><w:pStyle w:val="Normal"/></w:pPr>
<w:r><w:t xml:space="preserve">he built forts, and adopted measures to secure the Portuguese</w:t></w:r>
</w:p>
<w:p>
<w:pPr><w:pStyle w:val="Normal"/></w:pPr>
<w:r><w:t xml:space="preserve">supremacy.  On his arrival in India he took up his residence</w:t></w:r>
</w:p>
<w:p>
<w:pPr><w:pStyle w:val="Normal"/></w:pPr>
<w:r><w:t xml:space="preserve">at Cochin, where a Portuguese fort had been built by Alphonso</w:t></w:r>
</w:p>
<w:p>
<w:pPr><w:pStyle w:val="Normal"/></w:pPr>
<w:r><w:t xml:space="preserve">d&apos;Albuquerque in 1503.  The most important events of Almeida&apos;s</w:t></w:r>
</w:p>
<w:p>
<w:pPr><w:pStyle w:val="Normal"/></w:pPr>
<w:r><w:t xml:space="preserve">brief but vigorous administration were the conclusion of a</w:t></w:r>
</w:p>
<w:p>
<w:pPr><w:pStyle w:val="Normal"/></w:pPr>
<w:r><w:t xml:space="preserve">commercial treaty with Malacca, and the discoveries made by</w:t></w:r>
</w:p>
<w:p>
<w:pPr><w:pStyle w:val="Normal"/></w:pPr>
<w:r><w:t xml:space="preserve">his son Lorenzo, who acted as his lieutenant.  Lorenzo was</w:t></w:r>
</w:p>
<w:p>
<w:pPr><w:pStyle w:val="Normal"/></w:pPr>
<w:r><w:t xml:space="preserve">probably the first Portuguese who visited Ceylon, where he</w:t></w:r>
</w:p>
<w:p>
<w:pPr><w:pStyle w:val="Normal"/></w:pPr>
<w:r><w:t xml:space="preserve">established a settlement, and Fernando Soares, a captain</w:t></w:r>
</w:p>
<w:p>
<w:pPr><w:pStyle w:val="Normal"/></w:pPr>
<w:r><w:t xml:space="preserve">commanding a squadron of his fleet, appears to have been the</w:t></w:r>
</w:p>
<w:p>
<w:pPr><w:pStyle w:val="Normal"/></w:pPr>
<w:r><w:t xml:space="preserve">first European to sight Madagascar.  In 1508 he was killed</w:t></w:r>
</w:p>
<w:p>
<w:pPr><w:pStyle w:val="Normal"/></w:pPr>
<w:r><w:t xml:space="preserve">at Dabui in a naval engagement with the Egyptians, who at</w:t></w:r>
</w:p>
<w:p>
<w:pPr><w:pStyle w:val="Normal"/></w:pPr>
<w:r><w:t xml:space="preserve">this time endeavoured to dispute Portuguese supremacy in the</w:t></w:r>
</w:p>
<w:p>
<w:pPr><w:pStyle w:val="Normal"/></w:pPr>
<w:r><w:t xml:space="preserve">Indian Ocean.  His father was preparing to avenge his death</w:t></w:r>
</w:p>
<w:p>
<w:pPr><w:pStyle w:val="Normal"/></w:pPr>
<w:r><w:t xml:space="preserve">when Albuquerque (q.v.) arrived in Cochin, and presented</w:t></w:r>
</w:p>
<w:p>
<w:pPr><w:pStyle w:val="Normal"/></w:pPr>
<w:r><w:t xml:space="preserve">a commission empowering him to supersede Almeida in the</w:t></w:r>
</w:p>
<w:p>
<w:pPr><w:pStyle w:val="Normal"/></w:pPr>
<w:r><w:t xml:space="preserve">government.  It was probably Almeida&apos;s unwillingness to be</w:t></w:r>
</w:p>
<w:p>
<w:pPr><w:pStyle w:val="Normal"/></w:pPr>
<w:r><w:t xml:space="preserve">thwarted in his scheme of vengeance that chiefly induced him</w:t></w:r>
</w:p>
<w:p>
<w:pPr><w:pStyle w:val="Normal"/></w:pPr>
<w:r><w:t xml:space="preserve">to refuse to recognize Albuquerque&apos;s commission, and to cast</w:t></w:r>
</w:p>
<w:p>
<w:pPr><w:pStyle w:val="Normal"/></w:pPr>
<w:r><w:t xml:space="preserve">him into prison.  The punishment he inflicted on the Arabs</w:t></w:r>
</w:p>
<w:p>
<w:pPr><w:pStyle w:val="Normal"/></w:pPr>
<w:r><w:t xml:space="preserve">and their Egyptian allies was speedy and terrible.  Sailing</w:t></w:r>
</w:p>
<w:p>
<w:pPr><w:pStyle w:val="Normal"/></w:pPr>
<w:r><w:t xml:space="preserve">along the coast he pillaged and burned various ports, including</w:t></w:r>
</w:p>
<w:p>
<w:pPr><w:pStyle w:val="Normal"/></w:pPr>
<w:r><w:t xml:space="preserve">Goa and Dabul, and finally, encountering the enemy&apos;s combined</w:t></w:r>
</w:p>
<w:p>
<w:pPr><w:pStyle w:val="Normal"/></w:pPr>
<w:r><w:t xml:space="preserve">fleet off Diu in February 1509, he completely destroyed</w:t></w:r>
</w:p>
<w:p>
<w:pPr><w:pStyle w:val="Normal"/></w:pPr>
<w:r><w:t xml:space="preserve">it.  Returning immediately to Cochin, he held out for a few</w:t></w:r>
</w:p>
<w:p>
<w:pPr><w:pStyle w:val="Normal"/></w:pPr>
<w:r><w:t xml:space="preserve">months against the claims of Albuquerque, but in November</w:t></w:r>
</w:p>
<w:p>
<w:pPr><w:pStyle w:val="Normal"/></w:pPr>
<w:r><w:t xml:space="preserve">1509 he was compelled to yie!d.  On the 1st of December he</w:t></w:r>
</w:p>
<w:p>
<w:pPr><w:pStyle w:val="Normal"/></w:pPr>
<w:r><w:t xml:space="preserve">set sail for Europe with an escort of three vessels.  On the</w:t></w:r>
</w:p>
<w:p>
<w:pPr><w:pStyle w:val="Normal"/></w:pPr>
<w:r><w:t xml:space="preserve">voyage the fleet called at Table Bay, then known as Saldanha</w:t></w:r>
</w:p>
<w:p>
<w:pPr><w:pStyle w:val="Normal"/></w:pPr>
<w:r><w:t xml:space="preserve">Bay, to procure water, and here Almeida was killed (on the</w:t></w:r>
</w:p>
<w:p>
<w:pPr><w:pStyle w:val="Normal"/></w:pPr>
<w:r><w:t xml:space="preserve">1st of March 1510) in an attack upon the Hottentot natives,</w:t></w:r>
</w:p>
<w:p>
<w:pPr><w:pStyle w:val="Normal"/></w:pPr>
<w:r><w:t xml:space="preserve">during vhich he showed great personal courage.  In this fight,</w:t></w:r>
</w:p>
<w:p>
<w:pPr><w:pStyle w:val="Normal"/></w:pPr>
<w:r><w:t xml:space="preserve">vhich took place on the site of Cape Town. 65 Portuguese</w:t></w:r>
</w:p>
<w:p>
<w:pPr><w:pStyle w:val="Normal"/></w:pPr>
<w:r><w:t xml:space="preserve">perished, including 12 captains.  Almeida&apos;s body was recovered</w:t></w:r>
</w:p>
<w:p>
<w:pPr><w:pStyle w:val="Normal"/></w:pPr>
<w:r><w:t xml:space="preserve">on the following day and buried on the spot where he fell.</w:t></w:r>
</w:p>
<w:p>
<w:pPr><w:pStyle w:val="Normal"/></w:pPr>
<w:r><w:t xml:space="preserve">ALMEIDA, a town of north-eastern Portugal, in the district</w:t></w:r>
</w:p>
<w:p>
<w:pPr><w:pStyle w:val="Normal"/></w:pPr>
<w:r><w:t xml:space="preserve">of Guarda and formerly included in the province of Beira;</w:t></w:r>
</w:p>
<w:p>
<w:pPr><w:pStyle w:val="Normal"/></w:pPr>
<w:r><w:t xml:space="preserve">situated in hilly country between the river Coa, a tributary</w:t></w:r>
</w:p>
<w:p>
<w:pPr><w:pStyle w:val="Normal"/></w:pPr>
<w:r><w:t xml:space="preserve">of the Douro, and the river Turones, a branch of the</w:t></w:r>
</w:p>
<w:p>
<w:pPr><w:pStyle w:val="Normal"/></w:pPr>
<w:r><w:t xml:space="preserve">Agueda.  Pop. (1900) 2330.  Almeida was long one of the</w:t></w:r>
</w:p>
<w:p>
<w:pPr><w:pStyle w:val="Normal"/></w:pPr>
<w:r><w:t xml:space="preserve">principal frontier fortresses of Portugal.  It was captured</w:t></w:r>
</w:p>
<w:p>
<w:pPr><w:pStyle w:val="Normal"/></w:pPr>
<w:r><w:t xml:space="preserve">by the Spaniards in 1762.  During the Peninsular War (q.v.),</w:t></w:r>
</w:p>
<w:p>
<w:pPr><w:pStyle w:val="Normal"/></w:pPr>
<w:r><w:t xml:space="preserve">the country between the Coa and the Spanish fortress</w:t></w:r>
</w:p>
<w:p>
<w:pPr><w:pStyle w:val="Normal"/></w:pPr>
<w:r><w:t xml:space="preserve">of Ciudad Rodrigo, 25 m.  E.S.E., was the scene of hard</w:t></w:r>
</w:p>
<w:p>
<w:pPr><w:pStyle w:val="Normal"/></w:pPr>
<w:r><w:t xml:space="preserve">fighting.  Almeida was taken by the French in 1810 and its</w:t></w:r>
</w:p>
<w:p>
<w:pPr><w:pStyle w:val="Normal"/></w:pPr>
<w:r><w:t xml:space="preserve">recapture, by the allied British and Portuguese forces under</w:t></w:r>
</w:p>
<w:p>
<w:pPr><w:pStyle w:val="Normal"/></w:pPr>
<w:r><w:t xml:space="preserve">Lord Wellington, was only effected after a relieving force</w:t></w:r>
</w:p>
<w:p>
<w:pPr><w:pStyle w:val="Normal"/></w:pPr>
<w:r><w:t xml:space="preserve">under Marshal Massena had been defeated at Fuentes d&apos;Onor</w:t></w:r>
</w:p>
<w:p>
<w:pPr><w:pStyle w:val="Normal"/></w:pPr>
<w:r><w:t xml:space="preserve">(or Fuentes de Onoro), 13 m.  S.S.E.  The battle was fought</w:t></w:r>
</w:p>
<w:p>
<w:pPr><w:pStyle w:val="Normal"/></w:pPr>
<w:r><w:t xml:space="preserve">on the 5th of May 1811 and the fortress fell five days later.</w:t></w:r>
</w:p>
<w:p>
<w:pPr><w:pStyle w:val="Normal"/></w:pPr>
<w:r><w:t xml:space="preserve">ALMELO, a town in the province of Overysel, Holland, 12 m. by</w:t></w:r>
</w:p>
<w:p>
<w:pPr><w:pStyle w:val="Normal"/></w:pPr>
<w:r><w:t xml:space="preserve">rail N.W. of Hengelo, at the junction of the Overysel and Aluielo</w:t></w:r>
</w:p>
<w:p>
<w:pPr><w:pStyle w:val="Normal"/></w:pPr>
<w:r><w:t xml:space="preserve">canals.  Pop. (1900) 9957.  It is a place of considerable</w:t></w:r>
</w:p>
<w:p>
<w:pPr><w:pStyle w:val="Normal"/></w:pPr>
<w:r><w:t xml:space="preserve">antiquity, having been the seat of an independent lordship</w:t></w:r>
</w:p>
<w:p>
<w:pPr><w:pStyle w:val="Normal"/></w:pPr>
<w:r><w:t xml:space="preserve">before the 14th century.  But it first rose into importance in</w:t></w:r>
</w:p>
<w:p>
<w:pPr><w:pStyle w:val="Normal"/></w:pPr>
<w:r><w:t xml:space="preserve">the second half of the 19th century owing to its share in the</w:t></w:r>
</w:p>
<w:p>
<w:pPr><w:pStyle w:val="Normal"/></w:pPr>
<w:r><w:t xml:space="preserve">extraordinary industrial development of the Twente district, and</w:t></w:r>
</w:p>
<w:p>
<w:pPr><w:pStyle w:val="Normal"/></w:pPr>
<w:r><w:t xml:space="preserve">now possesses numerous cotton and damask factories.  Among the</w:t></w:r>
</w:p>
<w:p>
<w:pPr><w:pStyle w:val="Normal"/></w:pPr>
<w:r><w:t xml:space="preserve">public buildings are a town hall, court house, corn exchange,</w:t></w:r>
</w:p>
<w:p>
<w:pPr><w:pStyle w:val="Normal"/></w:pPr>
<w:r><w:t xml:space="preserve">and churches of various denominations, as well as a synagogue.</w:t></w:r>
</w:p>
<w:p>
<w:pPr><w:pStyle w:val="Normal"/></w:pPr>
<w:r><w:t xml:space="preserve">The lordship of Almelo belonged to the lords of Heeckeren, who</w:t></w:r>
</w:p>
<w:p>
<w:pPr><w:pStyle w:val="Normal"/></w:pPr>
<w:r><w:t xml:space="preserve">acquired the barony of Rechteren by marriage in 1350 and the</w:t></w:r>
</w:p>
<w:p>
<w:pPr><w:pStyle w:val="Normal"/></w:pPr>
<w:r><w:t xml:space="preserve">countship of Limpourg in 1711.  The elder branch of the mediatized</w:t></w:r>
</w:p>
<w:p>
<w:pPr><w:pStyle w:val="Normal"/></w:pPr>
<w:r><w:t xml:space="preserve">house of Rechteren-Limpourg is still established at Almelo;</w:t></w:r>
</w:p>
<w:p>
<w:pPr><w:pStyle w:val="Normal"/></w:pPr>
<w:r><w:t xml:space="preserve">the younger, German branch, at Markt Einersheim in Bavaria.</w:t></w:r>
</w:p>
<w:p>
<w:pPr><w:pStyle w:val="Normal"/></w:pPr>
<w:r><w:t xml:space="preserve">ALMENDRALEJO, a town of western Spain, in the province</w:t></w:r>
</w:p>
<w:p>
<w:pPr><w:pStyle w:val="Normal"/></w:pPr>
<w:r><w:t xml:space="preserve">of Badajoz; situated 27 m.  E.S.E. of Badajoz, on the</w:t></w:r>
</w:p>
<w:p>
<w:pPr><w:pStyle w:val="Normal"/></w:pPr>
<w:r><w:t xml:space="preserve">Merida-Seville railway.  Pop. (1900) 12,587.  Almendralejo is</w:t></w:r>
</w:p>
<w:p>
<w:pPr><w:pStyle w:val="Normal"/></w:pPr>
<w:r><w:t xml:space="preserve">a thriving town, with broad streets and good modern houses;</w:t></w:r>
</w:p>
<w:p>
<w:pPr><w:pStyle w:val="Normal"/></w:pPr>
<w:r><w:t xml:space="preserve">including the palace of the marquesses of Monsalfid, which</w:t></w:r>
</w:p>
<w:p>
<w:pPr><w:pStyle w:val="Normal"/></w:pPr>
<w:r><w:t xml:space="preserve">contains a museum of Roman antiquities discovered in the</w:t></w:r>
</w:p>
<w:p>
<w:pPr><w:pStyle w:val="Normal"/></w:pPr>
<w:r><w:t xml:space="preserve">neighbourhood.  Local prosperity was greatly enhanced during</w:t></w:r>
</w:p>
<w:p>
<w:pPr><w:pStyle w:val="Normal"/></w:pPr>
<w:r><w:t xml:space="preserve">the period 1875-1905 by the improvement of communications,</w:t></w:r>
</w:p>
<w:p>
<w:pPr><w:pStyle w:val="Normal"/></w:pPr>
<w:r><w:t xml:space="preserve">which enabled the grain, fruit and wine of the Guadiana</w:t></w:r>
</w:p>
<w:p>
<w:pPr><w:pStyle w:val="Normal"/></w:pPr>
<w:r><w:t xml:space="preserve">valley, on the north, and of the upland known as the Tierra</w:t></w:r>
</w:p>
<w:p>
<w:pPr><w:pStyle w:val="Normal"/></w:pPr>
<w:r><w:t xml:space="preserve">de Barros, on the south, to be readily exported by the</w:t></w:r>
</w:p>
<w:p>
<w:pPr><w:pStyle w:val="Normal"/></w:pPr>
<w:r><w:t xml:space="preserve">Merida-Seville railway.  Brandy is produced in large quantities.</w:t></w:r>
</w:p>
<w:p>
<w:pPr><w:pStyle w:val="Normal"/></w:pPr>
<w:r><w:t xml:space="preserve">ALMERIA, a maritime province of southern Spain, formed in</w:t></w:r>
</w:p>
<w:p>
<w:pPr><w:pStyle w:val="Normal"/></w:pPr>
<w:r><w:t xml:space="preserve">1833, and comprehending the eastern territories of the ancient</w:t></w:r>
</w:p>
<w:p>
<w:pPr><w:pStyle w:val="Normal"/></w:pPr>
<w:r><w:t xml:space="preserve">kingdom of Granada.  Pop. (1900) 359,013; area, 3360 sq.</w:t></w:r>
</w:p>
<w:p>
<w:pPr><w:pStyle w:val="Normal"/></w:pPr>
<w:r><w:t xml:space="preserve">m.  Almeria is bounded on the N. by Granada and Murcia,</w:t></w:r>
</w:p>
<w:p>
<w:pPr><w:pStyle w:val="Normal"/></w:pPr>
<w:r><w:t xml:space="preserve">E. and S. by Murcia and the Mediterranean Sea, and W. by</w:t></w:r>
</w:p>
<w:p>
<w:pPr><w:pStyle w:val="Normal"/></w:pPr>
<w:r><w:t xml:space="preserve">Granada.  It is traversed by mountain ridges, with peaks of 6000</w:t></w:r>
</w:p>
<w:p>
<w:pPr><w:pStyle w:val="Normal"/></w:pPr>
<w:r><w:t xml:space="preserve">to 8000 ft. in altitude; and it is seamed with valleys or great</w:t></w:r>
</w:p>
<w:p>
<w:pPr><w:pStyle w:val="Normal"/></w:pPr>
<w:r><w:t xml:space="preserve">fertility.  The chief sierras, or ranges, are those of</w:t></w:r>
</w:p>
<w:p>
<w:pPr><w:pStyle w:val="Normal"/></w:pPr>
<w:r><w:t xml:space="preserve">Maria, in the north; Estancias and Oria, north of the Almanzora</w:t></w:r>
</w:p>
<w:p>
<w:pPr><w:pStyle w:val="Normal"/></w:pPr>
<w:r><w:t xml:space="preserve">river; Filabres, in the middle of the province; Cabrera and</w:t></w:r>
</w:p>
<w:p>
<w:pPr><w:pStyle w:val="Normal"/></w:pPr>
<w:r><w:t xml:space="preserve">Gata, along the south-east coast; Alhamilla, east of the city</w:t></w:r>
</w:p>
<w:p>
<w:pPr><w:pStyle w:val="Normal"/></w:pPr>
<w:r><w:t xml:space="preserve">of Almeria; Gador in the south-west; and, in the west, some</w:t></w:r>
</w:p>
<w:p>
<w:pPr><w:pStyle w:val="Normal"/></w:pPr>
<w:r><w:t xml:space="preserve">outlying ridges of the Sierra Nevada.  Three small rivers, the</w:t></w:r>
</w:p>
<w:p>
<w:pPr><w:pStyle w:val="Normal"/></w:pPr>
<w:r><w:t xml:space="preserve">Adra, or Rio Grande de Adra, in the west, the Almeria in the</w:t></w:r>
</w:p>
<w:p>
<w:pPr><w:pStyle w:val="Normal"/></w:pPr>
<w:r><w:t xml:space="preserve">centre, and the Almanzora in the north and east, flow down from</w:t></w:r>
</w:p>
<w:p>
<w:pPr><w:pStyle w:val="Normal"/></w:pPr>
<w:r><w:t xml:space="preserve">the mountains to the sea.  On the south coast is the Gulf of</w:t></w:r>
</w:p>
<w:p>
<w:pPr><w:pStyle w:val="Normal"/></w:pPr>
<w:r><w:t xml:space="preserve">Almeria, 25 m. wide at its entrance, and terminating, on the</w:t></w:r>
</w:p>
<w:p>
<w:pPr><w:pStyle w:val="Normal"/></w:pPr>
<w:r><w:t xml:space="preserve">cast, in the Cabo de Gata, the southernmost point of eastern</w:t></w:r>
</w:p>
<w:p>
<w:pPr><w:pStyle w:val="Normal"/></w:pPr>
<w:r><w:t xml:space="preserve">Spain.  The climate is mild, except among the higher mountains.</w:t></w:r>
</w:p>
<w:p>
<w:pPr><w:pStyle w:val="Normal"/></w:pPr>
<w:r><w:t xml:space="preserve">The valleys near the sea are well adapted for agriculture;</w:t></w:r>
</w:p>
<w:p>
<w:pPr><w:pStyle w:val="Normal"/></w:pPr>
<w:r><w:t xml:space="preserve">oranges, lemons, almonds and other fruit trees thrive;</w:t></w:r>
</w:p>
<w:p>
<w:pPr><w:pStyle w:val="Normal"/></w:pPr>
<w:r><w:t xml:space="preserve">silk is produced in the west; and the vine is extensively</w:t></w:r>
</w:p>
<w:p>
<w:pPr><w:pStyle w:val="Normal"/></w:pPr>
<w:r><w:t xml:space="preserve">cultivated, less for the production of wine than to meet the</w:t></w:r>
</w:p>
<w:p>
<w:pPr><w:pStyle w:val="Normal"/></w:pPr>
<w:r><w:t xml:space="preserve">foreign demand for white Almeria grapes.  Although the cost</w:t></w:r>
</w:p>
<w:p>
<w:pPr><w:pStyle w:val="Normal"/></w:pPr>
<w:r><w:t xml:space="preserve">of transport is very heavy, the exportation of grapes is a</w:t></w:r>
</w:p>
<w:p>
<w:pPr><w:pStyle w:val="Normal"/></w:pPr>
<w:r><w:t xml:space="preserve">flourishing industry, and more than 2,000,000 barrels are</w:t></w:r>
</w:p>
<w:p>
<w:pPr><w:pStyle w:val="Normal"/></w:pPr>
<w:r><w:t xml:space="preserve">annually sent abroad.  The cattle of the central districts</w:t></w:r>
</w:p>
<w:p>
<w:pPr><w:pStyle w:val="Normal"/></w:pPr>
<w:r><w:t xml:space="preserve">are celebrated for size and qualityt Almeria is rich in</w:t></w:r>
</w:p>
<w:p>
<w:pPr><w:pStyle w:val="Normal"/></w:pPr>
<w:r><w:t xml:space="preserve">minerals, especially iron and lead; silver, copper, mercury,</w:t></w:r>
</w:p>
<w:p>
<w:pPr><w:pStyle w:val="Normal"/></w:pPr>
<w:r><w:t xml:space="preserve">zinc and sulphur are also obtained.  At the beginning of the</w:t></w:r>
</w:p>
<w:p>
<w:pPr><w:pStyle w:val="Normal"/></w:pPr>
<w:r><w:t xml:space="preserve">20th century the mines at work numbered more than two hundred,</w:t></w:r>
</w:p>
<w:p>
<w:pPr><w:pStyle w:val="Normal"/></w:pPr>
<w:r><w:t xml:space="preserve">and proved very attractive to foreign as well as native</w:t></w:r>
</w:p>
<w:p>
<w:pPr><w:pStyle w:val="Normal"/></w:pPr>
<w:r><w:t xml:space="preserve">capitalists.  Garnets are found in the Sierra de Gata and in</w:t></w:r>
</w:p>
<w:p>
<w:pPr><w:pStyle w:val="Normal"/></w:pPr>
<w:r><w:t xml:space="preserve">the Sierra Nevada fine marble is quarried.  The development</w:t></w:r>
</w:p>
<w:p>
<w:pPr><w:pStyle w:val="Normal"/></w:pPr>
<w:r><w:t xml:space="preserve">of mining was facilitated by the extension of the railway system</w:t></w:r>
</w:p>
<w:p>
<w:pPr><w:pStyle w:val="Normal"/></w:pPr>
<w:r><w:t xml:space="preserve">between 1895 and 1905.  The main line from Madrid toalmeria</w:t></w:r>
</w:p>
<w:p>
<w:pPr><w:pStyle w:val="Normal"/></w:pPr>
<w:r><w:t xml:space="preserve">convoys much ore from Granada and Jaen to the sea; while</w:t></w:r>
</w:p>
<w:p>
<w:pPr><w:pStyle w:val="Normal"/></w:pPr>
<w:r><w:t xml:space="preserve">the railway from Baza to Lorca skirts the Almanzora valley</w:t></w:r>
</w:p>
<w:p>
<w:pPr><w:pStyle w:val="Normal"/></w:pPr>
<w:r><w:t xml:space="preserve">and transports the mineral products of eastern Almeria by</w:t></w:r>
</w:p>
<w:p>
<w:pPr><w:pStyle w:val="Normal"/></w:pPr>
<w:r><w:t xml:space="preserve">a branch line from Huercal-Overa to the Murcian port of</w:t></w:r>
</w:p>
<w:p>
<w:pPr><w:pStyle w:val="Normal"/></w:pPr>
<w:r><w:t xml:space="preserve">Aguilas.  Light railways and aerial cables among the mountains</w:t></w:r>
</w:p>
<w:p>
<w:pPr><w:pStyle w:val="Normal"/></w:pPr>
<w:r><w:t xml:space="preserve">supplement these lines.  The chief imports compase coal,</w:t></w:r>
</w:p>
<w:p>
<w:pPr><w:pStyle w:val="Normal"/></w:pPr>
<w:r><w:t xml:space="preserve">timber, especially oak staves, and various manufactured</w:t></w:r>
</w:p>
<w:p>
<w:pPr><w:pStyle w:val="Normal"/></w:pPr>
<w:r><w:t xml:space="preserve">goods.  The exports are minerals, esparto, oil, grain, grapes</w:t></w:r>
</w:p>
<w:p>
<w:pPr><w:pStyle w:val="Normal"/></w:pPr>
<w:r><w:t xml:space="preserve">and farm produce generally.  The principal seaports are</w:t></w:r>
</w:p>
<w:p>
<w:pPr><w:pStyle w:val="Normal"/></w:pPr>
<w:r><w:t xml:space="preserve">Almeria, the capital, pop.(1900) 47,326, Adra (11,188), and</w:t></w:r>
</w:p>
<w:p>
<w:pPr><w:pStyle w:val="Normal"/></w:pPr>
<w:r><w:t xml:space="preserve">Garrucha (4661), which, with Berja (13,224), Cuevas de Vera</w:t></w:r>
</w:p>
<w:p>
<w:pPr><w:pStyle w:val="Normal"/></w:pPr>
<w:r><w:t xml:space="preserve">(20,562), Huercal-Overa (15,763) and Nijar (12,497), are</w:t></w:r>
</w:p>
<w:p>
<w:pPr><w:pStyle w:val="Normal"/></w:pPr>
<w:r><w:t xml:space="preserve">described in separate articles.  Other towns, important as</w:t></w:r>
</w:p>
<w:p>
<w:pPr><w:pStyle w:val="Normal"/></w:pPr>
<w:r><w:t xml:space="preserve">mining or agricultural centres, are Albox (10,049), Dalias</w:t></w:r>
</w:p>
<w:p>
<w:pPr><w:pStyle w:val="Normal"/></w:pPr>
<w:r><w:t xml:space="preserve">(7136), Lubrin (6593), Sorbas (7306), Tabernas (7629),</w:t></w:r>
</w:p>
<w:p>
<w:pPr><w:pStyle w:val="Normal"/></w:pPr>
<w:r><w:t xml:space="preserve">Velez Blanco (6825), Velez Rubio (10,109) and Vera</w:t></w:r>
</w:p>
<w:p>
<w:pPr><w:pStyle w:val="Normal"/></w:pPr>
<w:r><w:t xml:space="preserve">(8446).  Education is backward and the standard of comfort</w:t></w:r>
</w:p>
<w:p>
<w:pPr><w:pStyle w:val="Normal"/></w:pPr>
<w:r><w:t xml:space="preserve">low.  A constant annual loss of 2000 or 3000 emigrants</w:t></w:r>
</w:p>
<w:p>
<w:pPr><w:pStyle w:val="Normal"/></w:pPr>
<w:r><w:t xml:space="preserve">to Algeria and elsewhere prevents any rapid increase of</w:t></w:r>
</w:p>
<w:p>
<w:pPr><w:pStyle w:val="Normal"/></w:pPr>
<w:r><w:t xml:space="preserve">population, despite the high birth-rate and low mortality.</w:t></w:r>
</w:p>
<w:p>
<w:pPr><w:pStyle w:val="Normal"/></w:pPr>
<w:r><w:t xml:space="preserve">ALMERIA, the capital of the province of Almeria, and one of</w:t></w:r>
</w:p>
<w:p>
<w:pPr><w:pStyle w:val="Normal"/></w:pPr>
<w:r><w:t xml:space="preserve">the principal seaports on the Mediterranean coast of southern</w:t></w:r>
</w:p>
<w:p>
<w:pPr><w:pStyle w:val="Normal"/></w:pPr>
<w:r><w:t xml:space="preserve">Spain; in 36 deg.  5&apos; N. and 2 deg.  32&apos; W., on the river Almeria, at</w:t></w:r>
</w:p>
<w:p>
<w:pPr><w:pStyle w:val="Normal"/></w:pPr>
<w:r><w:t xml:space="preserve">its outflow into the Gulf of Almeria, and at the terminus of</w:t></w:r>
</w:p>
<w:p>
<w:pPr><w:pStyle w:val="Normal"/></w:pPr>
<w:r><w:t xml:space="preserve">a railway from Madrid.  Pop. (1900) 47,326.  The city occupies</w:t></w:r>
</w:p>
<w:p>
<w:pPr><w:pStyle w:val="Heading1"/></w:pPr>
<w:r><w:t>part of a rich alluvial valley enclosed by hills.  It is an</w:t></w:r>
</w:p>
<w:p>
<w:pPr><w:pStyle w:val="Normal"/></w:pPr>
<w:r><w:t xml:space="preserve">episcopal see, and possesses a Gothic cathedral, dating from</w:t></w:r>
</w:p>
<w:p>
<w:pPr><w:pStyle w:val="Normal"/></w:pPr>
<w:r><w:t xml:space="preserve">1524, and constructed with massive embattled walls and belfry</w:t></w:r>
</w:p>
<w:p>
<w:pPr><w:pStyle w:val="Normal"/></w:pPr>
<w:r><w:t xml:space="preserve">so as to resemble a fortress.  A dismantled castle, the</w:t></w:r>
</w:p>
<w:p>
<w:pPr><w:pStyle w:val="Normal"/></w:pPr>
<w:r><w:t xml:space="preserve">Castillo de San Cristobal, overlooks the city, which contains</w:t></w:r>
</w:p>
<w:p>
<w:pPr><w:pStyle w:val="Normal"/></w:pPr>
<w:r><w:t xml:space="preserve">four Moorish towers rising conspicuously above its modern</w:t></w:r>
</w:p>
<w:p>
<w:pPr><w:pStyle w:val="Normal"/></w:pPr>
<w:r><w:t xml:space="preserve">streets.  Two long piers shelter the harbour, and vessels</w:t></w:r>
</w:p>
<w:p>
<w:pPr><w:pStyle w:val="Normal"/></w:pPr>
<w:r><w:t xml:space="preserve">drawing 25 ft. can lie against the quays.  About 1400 ships,</w:t></w:r>
</w:p>
<w:p>
<w:pPr><w:pStyle w:val="Normal"/></w:pPr>
<w:r><w:t xml:space="preserve">of nearly 1,000,000 tons, enter the port every year, bringing</w:t></w:r>
</w:p>
<w:p>
<w:pPr><w:pStyle w:val="Normal"/></w:pPr>
<w:r><w:t xml:space="preserve">fuel and timber, and taking cargoes of iron, lead, esparto and</w:t></w:r>
</w:p>
<w:p>
<w:pPr><w:pStyle w:val="Normal"/></w:pPr>
<w:r><w:t xml:space="preserve">fruit.  White grapes are exported in very large quantities.</w:t></w:r>
</w:p>
<w:p>
<w:pPr><w:pStyle w:val="Normal"/></w:pPr>
<w:r><w:t xml:space="preserve">Under its ancient name of Urci, Almeria was one of the</w:t></w:r>
</w:p>
<w:p>
<w:pPr><w:pStyle w:val="Normal"/></w:pPr>
<w:r><w:t xml:space="preserve">chief Spanish harbours after the final conquest of Spain</w:t></w:r>
</w:p>
<w:p>
<w:pPr><w:pStyle w:val="Normal"/></w:pPr>
<w:r><w:t xml:space="preserve">by the Romans in 19 B.C. It reached the summit of its</w:t></w:r>
</w:p>
<w:p>
<w:pPr><w:pStyle w:val="Normal"/></w:pPr>
<w:r><w:t xml:space="preserve">prosperity in the middle ages, as the foremost seaport of</w:t></w:r>
</w:p>
<w:p>
<w:pPr><w:pStyle w:val="Normal"/></w:pPr>
<w:r><w:t xml:space="preserve">the Moorish kingdom of Granada.  At this time its population</w:t></w:r>
</w:p>
<w:p>
<w:pPr><w:pStyle w:val="Normal"/></w:pPr>
<w:r><w:t xml:space="preserve">numbered 150,000; its cruisers preyed upon the fleets of the</w:t></w:r>
</w:p>
<w:p>
<w:pPr><w:pStyle w:val="Normal"/></w:pPr>
<w:r><w:t xml:space="preserve">neighbouring Christian states; and its merchant ships traded</w:t></w:r>
</w:p>
<w:p>
<w:pPr><w:pStyle w:val="Normal"/></w:pPr>
<w:r><w:t xml:space="preserve">with countries as distant as Egypt and Syria.  Almeria was</w:t></w:r>
</w:p>
<w:p>
<w:pPr><w:pStyle w:val="Normal"/></w:pPr>
<w:r><w:t xml:space="preserve">captured in 1147 by King Alphonso VII. of Castile and his</w:t></w:r>
</w:p>
<w:p>
<w:pPr><w:pStyle w:val="Normal"/></w:pPr>
<w:r><w:t xml:space="preserve">Genoese troops. but speedily retaken and held by the Moors</w:t></w:r>
</w:p>
<w:p>
<w:pPr><w:pStyle w:val="Normal"/></w:pPr>
<w:r><w:t xml:space="preserve">until 1489, when it was finally secured by the Spaniards.</w:t></w:r>
</w:p>
<w:p>
<w:pPr><w:pStyle w:val="Normal"/></w:pPr>
<w:r><w:t xml:space="preserve">See D. F. Margall, Almeria, (Barcelona, 1886).</w:t></w:r>
</w:p>
<w:p>
<w:pPr><w:pStyle w:val="Normal"/></w:pPr>
<w:r><w:t xml:space="preserve">ALMERY, AUMEBY, AUMBRIE, or AMBRY (from the medieval form</w:t></w:r>
</w:p>
<w:p>
<w:pPr><w:pStyle w:val="Normal"/></w:pPr>
<w:r><w:t xml:space="preserve">almarium, cf.  Lat. armarium, a place for keeping tools;</w:t></w:r>
</w:p>
<w:p>
<w:pPr><w:pStyle w:val="Normal"/></w:pPr>
<w:r><w:t xml:space="preserve">cf.  O. Fr. aumoire and mod. armoire), in architecture,</w:t></w:r>
</w:p>
<w:p>
<w:pPr><w:pStyle w:val="Normal"/></w:pPr>
<w:r><w:t xml:space="preserve">a recess in the wall of a church, sometimes square-headed,</w:t></w:r>
</w:p>
<w:p>
<w:pPr><w:pStyle w:val="Normal"/></w:pPr>
<w:r><w:t xml:space="preserve">and sometimes arched over, and closed with a door like a</w:t></w:r>
</w:p>
<w:p>
<w:pPr><w:pStyle w:val="Normal"/></w:pPr>
<w:r><w:t xml:space="preserve">cupboard--used to contain the chalices, basins, cruets,</w:t></w:r>
</w:p>
<w:p>
<w:pPr><w:pStyle w:val="Normal"/></w:pPr>
<w:r><w:t xml:space="preserve">&amp;c., for the use of the priest; many of them have stone</w:t></w:r>
</w:p>
<w:p>
<w:pPr><w:pStyle w:val="Normal"/></w:pPr>
<w:r><w:t xml:space="preserve">shelves.  They are sometimes near the piscina, but more often</w:t></w:r>
</w:p>
<w:p>
<w:pPr><w:pStyle w:val="Normal"/></w:pPr>
<w:r><w:t xml:space="preserve">on the opposite side.  The word also seems in medieval times</w:t></w:r>
</w:p>
<w:p>
<w:pPr><w:pStyle w:val="Normal"/></w:pPr>
<w:r><w:t xml:space="preserve">to be used commonly for any closed cuoboard and even bookcase.</w:t></w:r>
</w:p>
<w:p>
<w:pPr><w:pStyle w:val="Normal"/></w:pPr>
<w:r><w:t xml:space="preserve">ALMODOVAR DEL CAMPO, or ALMODOVAR, a town of Spain,</w:t></w:r>
</w:p>
<w:p>
<w:pPr><w:pStyle w:val="Normal"/></w:pPr>
<w:r><w:t xml:space="preserve">in the province of Ciudad Real, 18 m.  S.S.W. of Ciudad</w:t></w:r>
</w:p>
<w:p>
<w:pPr><w:pStyle w:val="Normal"/></w:pPr>
<w:r><w:t xml:space="preserve">Real, on the northern side of the Sierra de Alcudia.</w:t></w:r>
</w:p>
<w:p>
<w:pPr><w:pStyle w:val="Normal"/></w:pPr>
<w:r><w:t xml:space="preserve">Pop. (1900l 12,525.  Almodovar was a Moorish fortress</w:t></w:r>
</w:p>
<w:p>
<w:pPr><w:pStyle w:val="Normal"/></w:pPr>
<w:r><w:t xml:space="preserve">in the middle ages. but contains little of antiquarian</w:t></w:r>
</w:p>
<w:p>
<w:pPr><w:pStyle w:val="Normal"/></w:pPr>
<w:r><w:t xml:space="preserve">interest.  It owes its modern prosperity to the nearness of</w:t></w:r>
</w:p>
<w:p>
<w:pPr><w:pStyle w:val="Normal"/></w:pPr>
<w:r><w:t xml:space="preserve">the valuable Puertollano coal-field, 3 m.  S. by a branch of</w:t></w:r>
</w:p>
<w:p>
<w:pPr><w:pStyle w:val="Normal"/></w:pPr>
<w:r><w:t xml:space="preserve">the Madrid-Badajoz-Lisbon railway.  Its manufactures are lace</w:t></w:r>
</w:p>
<w:p>
<w:pPr><w:pStyle w:val="Normal"/></w:pPr>
<w:r><w:t xml:space="preserve">and linen and it has a brisk trade in live-stock, oil and</w:t></w:r>
</w:p>
<w:p>
<w:pPr><w:pStyle w:val="Normal"/></w:pPr>
<w:r><w:t xml:space="preserve">wine.  South of the Sierra lies the Alcudia valley, owned by</w:t></w:r>
</w:p>
<w:p>
<w:pPr><w:pStyle w:val="Normal"/></w:pPr>
<w:r><w:t xml:space="preserve">the crown, and used as pasture for immense flocks of sheep.</w:t></w:r>
</w:p>
<w:p>
<w:pPr><w:pStyle w:val="Normal"/></w:pPr>
<w:r><w:t xml:space="preserve">ALMOGAVARES (from the Arab. Al-Mugavari, a scout),</w:t></w:r>
</w:p>
<w:p>
<w:pPr><w:pStyle w:val="Normal"/></w:pPr>
<w:r><w:t xml:space="preserve">the name of a class of Spanish soldiers, well known during</w:t></w:r>
</w:p>
<w:p>
<w:pPr><w:pStyle w:val="Normal"/></w:pPr>
<w:r><w:t xml:space="preserve">the Christian reconquest of Spain, and much employed as</w:t></w:r>
</w:p>
<w:p>
<w:pPr><w:pStyle w:val="Normal"/></w:pPr>
<w:r><w:t xml:space="preserve">mercenaries in Italy and the Levant, during the 13th and 14th</w:t></w:r>
</w:p>
<w:p>
<w:pPr><w:pStyle w:val="Normal"/></w:pPr>
<w:r><w:t xml:space="preserve">centuries.  The Almogavares (the plural of Almogavar)</w:t></w:r>
</w:p>
<w:p>
<w:pPr><w:pStyle w:val="Normal"/></w:pPr>
<w:r><w:t xml:space="preserve">came originally from the Pyrenees, and were in later times</w:t></w:r>
</w:p>
<w:p>
<w:pPr><w:pStyle w:val="Normal"/></w:pPr>
<w:r><w:t xml:space="preserve">recruited mainly in Navarre, Aragon and Catalonia.  They were</w:t></w:r>
</w:p>
<w:p>
<w:pPr><w:pStyle w:val="Normal"/></w:pPr>
<w:r><w:t xml:space="preserve">frontiersmen and foot-soldiers who wore no armour, dressed in</w:t></w:r>
</w:p>
<w:p>
<w:pPr><w:pStyle w:val="Normal"/></w:pPr>
<w:r><w:t xml:space="preserve">skins, were shod with brogues (abarcas), and carried the same</w:t></w:r>
</w:p>
<w:p>
<w:pPr><w:pStyle w:val="Normal"/></w:pPr>
<w:r><w:t xml:space="preserve">arms as the Roman legionaries---two heavy javelins (Spanish</w:t></w:r>
</w:p>
<w:p>
<w:pPr><w:pStyle w:val="Normal"/></w:pPr>
<w:r><w:t xml:space="preserve">azagaya, the Roman pilum), a short stabbing sword and a</w:t></w:r>
</w:p>
<w:p>
<w:pPr><w:pStyle w:val="Normal"/></w:pPr>
<w:r><w:t xml:space="preserve">shield.  They served the king, the nobles, the church or the</w:t></w:r>
</w:p>
<w:p>
<w:pPr><w:pStyle w:val="Normal"/></w:pPr>
<w:r><w:t xml:space="preserve">towns for pay, and were professional soldiers.  When Peter</w:t></w:r>
</w:p>
<w:p>
<w:pPr><w:pStyle w:val="Heading1"/></w:pPr>
<w:r><w:t>III. of Aragon made war on Charles of Anjou after the Sicilian</w:t></w:r>
</w:p>
<w:p>
<w:pPr><w:pStyle w:val="Normal"/></w:pPr>
<w:r><w:t xml:space="preserve">Vespers---30th of March 1282-for the possession of Naples and</w:t></w:r>
</w:p>
<w:p>
<w:pPr><w:pStyle w:val="Normal"/></w:pPr>
<w:r><w:t xml:space="preserve">Sicily, the Almogavares formed the most effective element</w:t></w:r>
</w:p>
<w:p>
<w:pPr><w:pStyle w:val="Normal"/></w:pPr>
<w:r><w:t xml:space="preserve">of his army.  Their discipline and ferocity, the force with</w:t></w:r>
</w:p>
<w:p>
<w:pPr><w:pStyle w:val="Normal"/></w:pPr>
<w:r><w:t xml:space="preserve">which they hurled their javelins, and their activity, made</w:t></w:r>
</w:p>
<w:p>
<w:pPr><w:pStyle w:val="Normal"/></w:pPr>
<w:r><w:t xml:space="preserve">them very formidable to the heavy cavalry of the Angevin</w:t></w:r>
</w:p>
<w:p>
<w:pPr><w:pStyle w:val="Normal"/></w:pPr>
<w:r><w:t xml:space="preserve">armies.  When the peace of Calatabellota in 1302 ended the</w:t></w:r>
</w:p>
<w:p>
<w:pPr><w:pStyle w:val="Normal"/></w:pPr>
<w:r><w:t xml:space="preserve">war in southern Italy, the Almogavares followed Roger di</w:t></w:r>
</w:p>
<w:p>
<w:pPr><w:pStyle w:val="Normal"/></w:pPr>
<w:r><w:t xml:space="preserve">Flor (Roger Blum) the unfrocked Templar, who entered the</w:t></w:r>
</w:p>
<w:p>
<w:pPr><w:pStyle w:val="Normal"/></w:pPr>
<w:r><w:t xml:space="preserve">service of the emperor of the East, Andronicus, as condottieri</w:t></w:r>
</w:p>
<w:p>
<w:pPr><w:pStyle w:val="Normal"/></w:pPr>
<w:r><w:t xml:space="preserve">to fight against the Turks.  Their campaign in Asia Minor,</w:t></w:r>
</w:p>
<w:p>
<w:pPr><w:pStyle w:val="Normal"/></w:pPr>
<w:r><w:t xml:space="preserve">1303 and 1304, was a series of romantic victories, but their</w:t></w:r>
</w:p>
<w:p>
<w:pPr><w:pStyle w:val="Normal"/></w:pPr>
<w:r><w:t xml:space="preserve">greed and violence made them intolerable to the Christian</w:t></w:r>
</w:p>
<w:p>
<w:pPr><w:pStyle w:val="Normal"/></w:pPr>
<w:r><w:t xml:space="preserve">population.  When Roger di Flor was assassinated by his Greek</w:t></w:r>
</w:p>
<w:p>
<w:pPr><w:pStyle w:val="Normal"/></w:pPr>
<w:r><w:t xml:space="preserve">employerin 1305, they turned on the emperor, held Galhpoh and</w:t></w:r>
</w:p>
<w:p>
<w:pPr><w:pStyle w:val="Normal"/></w:pPr>
<w:r><w:t xml:space="preserve">ravaged the neighbourhood of Constantinople.  In 1310 they</w:t></w:r>
</w:p>
<w:p>
<w:pPr><w:pStyle w:val="Normal"/></w:pPr>
<w:r><w:t xml:space="preserve">marched against the duke of Athens, of the French house of</w:t></w:r>
</w:p>
<w:p>
<w:pPr><w:pStyle w:val="Normal"/></w:pPr>
<w:r><w:t xml:space="preserve">Brienne.  Walter of Brienne was defeated and slain by them with</w:t></w:r>
</w:p>
<w:p>
<w:pPr><w:pStyle w:val="Normal"/></w:pPr>
<w:r><w:t xml:space="preserve">all his knights at the battle of Cephissus, or Orchomenus, in</w:t></w:r>
</w:p>
<w:p>
<w:pPr><w:pStyle w:val="Normal"/></w:pPr>
<w:r><w:t xml:space="preserve">Boeotia in March.  They then divided the wives and possessions</w:t></w:r>
</w:p>
<w:p>
<w:pPr><w:pStyle w:val="Normal"/></w:pPr>
<w:r><w:t xml:space="preserve">of the Frenchmen by lot and summoned a prince of the house</w:t></w:r>
</w:p>
<w:p>
<w:pPr><w:pStyle w:val="Normal"/></w:pPr>
<w:r><w:t xml:space="preserve">of Aragon to rule over them.  The foundation of the Aragonese</w:t></w:r>
</w:p>
<w:p>
<w:pPr><w:pStyle w:val="Normal"/></w:pPr>
<w:r><w:t xml:space="preserve">duchy of Lthens was the culmination of the achievements</w:t></w:r>
</w:p>
<w:p>
<w:pPr><w:pStyle w:val="Normal"/></w:pPr>
<w:r><w:t xml:space="preserve">of the Almogavares.  In the 16th century the name died</w:t></w:r>
</w:p>
<w:p>
<w:pPr><w:pStyle w:val="Normal"/></w:pPr>
<w:r><w:t xml:space="preserve">out.  It was, however, revived for a short time as a party</w:t></w:r>
</w:p>
<w:p>
<w:pPr><w:pStyle w:val="Normal"/></w:pPr>
<w:r><w:t xml:space="preserve">nickname in the civil wars of the reign of Ferdinand VII.</w:t></w:r>
</w:p>
<w:p>
<w:pPr><w:pStyle w:val="Normal"/></w:pPr>
<w:r><w:t xml:space="preserve">AUTHORITIES.---The Almogavares are admirably described by</w:t></w:r>
</w:p>
<w:p>
<w:pPr><w:pStyle w:val="Normal"/></w:pPr>
<w:r><w:t xml:space="preserve">one who fought with them, Ramon de Muntaner, whose Chronicle</w:t></w:r>
</w:p>
<w:p>
<w:pPr><w:pStyle w:val="Normal"/></w:pPr>
<w:r><w:t xml:space="preserve">has been translated into French by J. A. Buchon, Chronioues</w:t></w:r>
</w:p>
<w:p>
<w:pPr><w:pStyle w:val="Normal"/></w:pPr>
<w:r><w:t xml:space="preserve">etrangeres (Paris, 1860).  The original test was reprinted and</w:t></w:r>
</w:p>
<w:p>
<w:pPr><w:pStyle w:val="Normal"/></w:pPr>
<w:r><w:t xml:space="preserve">edited by K. Lanz at Stuttgart, 1844.  See also the Expedition</w:t></w:r>
</w:p>
<w:p>
<w:pPr><w:pStyle w:val="Normal"/></w:pPr>
<w:r><w:t xml:space="preserve">des ``Almugavares&apos;&apos; ou routiers catalans en orient, de l&apos;an</w:t></w:r>
</w:p>
<w:p>
<w:pPr><w:pStyle w:val="Normal"/></w:pPr>
<w:r><w:t xml:space="preserve">1302 a l&apos;an 1311 by G. Schlumberger (Paris, 1902). (D. H.)</w:t></w:r>
</w:p>
<w:p>
<w:pPr><w:pStyle w:val="Normal"/></w:pPr>
<w:r><w:t xml:space="preserve">ALMOHADES (properly Muwahhadis, i.e. ``Unitarians,&apos;&apos;</w:t></w:r>
</w:p>
<w:p>
<w:pPr><w:pStyle w:val="Normal"/></w:pPr>
<w:r><w:t xml:space="preserve">the name being corrupted through the Spanish), a Mahommedan</w:t></w:r>
</w:p>
<w:p>
<w:pPr><w:pStyle w:val="Normal"/></w:pPr>
<w:r><w:t xml:space="preserve">religious power which founded the fifth Moorish dynasty in</w:t></w:r>
</w:p>
<w:p>
<w:pPr><w:pStyle w:val="Normal"/></w:pPr>
<w:r><w:t xml:space="preserve">the 12th century, and conquered all northern Africa as far as</w:t></w:r>
</w:p>
<w:p>
<w:pPr><w:pStyle w:val="Normal"/></w:pPr>
<w:r><w:t xml:space="preserve">Egypt, together with Moslem Spain.  It originated with Mahommed</w:t></w:r>
</w:p>
<w:p>
<w:pPr><w:pStyle w:val="Normal"/></w:pPr>
<w:r><w:t xml:space="preserve">ibn Tumart, a member of the Masmuda, a Berber tribe of the</w:t></w:r>
</w:p>
<w:p>
<w:pPr><w:pStyle w:val="Normal"/></w:pPr>
<w:r><w:t xml:space="preserve">Atlas.  Ibn Tumart was the son of a lamplighter in a mosque</w:t></w:r>
</w:p>
<w:p>
<w:pPr><w:pStyle w:val="Normal"/></w:pPr>
<w:r><w:t xml:space="preserve">and had been noted for his piety from his youth; he was small,</w:t></w:r>
</w:p>
<w:p>
<w:pPr><w:pStyle w:val="Normal"/></w:pPr>
<w:r><w:t xml:space="preserve">ugly, and misshapen and lived the life of a devotee-beggar.</w:t></w:r>
</w:p>
<w:p>
<w:pPr><w:pStyle w:val="Normal"/></w:pPr>
<w:r><w:t xml:space="preserve">As a youth he performed the pilgrimage to Mecca, whence</w:t></w:r>
</w:p>
<w:p>
<w:pPr><w:pStyle w:val="Normal"/></w:pPr>
<w:r><w:t xml:space="preserve">he was expelled on account of his severe strictures on the</w:t></w:r>
</w:p>
<w:p>
<w:pPr><w:pStyle w:val="Normal"/></w:pPr>
<w:r><w:t xml:space="preserve">laxity of others, and thence wandered to Bagdad, where he</w:t></w:r>
</w:p>
<w:p>
<w:pPr><w:pStyle w:val="Normal"/></w:pPr>
<w:r><w:t xml:space="preserve">attached himself to the school of the orthodox doctor al</w:t></w:r>
</w:p>
<w:p>
<w:pPr><w:pStyle w:val="Normal"/></w:pPr>
<w:r><w:t xml:space="preserve">Ashari.  But he made a system of his own by combining</w:t></w:r>
</w:p>
<w:p>
<w:pPr><w:pStyle w:val="Normal"/></w:pPr>
<w:r><w:t xml:space="preserve">the teaching of his master with parts of the doctrines of</w:t></w:r>
</w:p>
<w:p>
<w:pPr><w:pStyle w:val="Normal"/></w:pPr>
<w:r><w:t xml:space="preserve">others, and with mysticism imbibed from the great teacher</w:t></w:r>
</w:p>
<w:p>
<w:pPr><w:pStyle w:val="Normal"/></w:pPr>
<w:r><w:t xml:space="preserve">Ghazali.  His main principle was a rigid unitarianism</w:t></w:r>
</w:p>
<w:p>
<w:pPr><w:pStyle w:val="Normal"/></w:pPr>
<w:r><w:t xml:space="preserve">which denied the independent existence of the attributes of</w:t></w:r>
</w:p>
<w:p>
<w:pPr><w:pStyle w:val="Normal"/></w:pPr>
<w:r><w:t xml:space="preserve">God, as being incompatible with his unity, and therefore a</w:t></w:r>
</w:p>
<w:p>
<w:pPr><w:pStyle w:val="Normal"/></w:pPr>
<w:r><w:t xml:space="preserve">polytheistic idea.  Mahommed in fact represented a revolt</w:t></w:r>
</w:p>
<w:p>
<w:pPr><w:pStyle w:val="Normal"/></w:pPr>
<w:r><w:t xml:space="preserve">against the anthropomorphism of commonplace Mahommedan</w:t></w:r>
</w:p>
<w:p>
<w:pPr><w:pStyle w:val="Normal"/></w:pPr>
<w:r><w:t xml:space="preserve">orthodoxy, but he was a rigid predestinarian and a strict</w:t></w:r>
</w:p>
<w:p>
<w:pPr><w:pStyle w:val="Normal"/></w:pPr>
<w:r><w:t xml:space="preserve">observer of the law.  After his return to Morocco at the age</w:t></w:r>
</w:p>
<w:p>
<w:pPr><w:pStyle w:val="Normal"/></w:pPr>
<w:r><w:t xml:space="preserve">of twenty-eight, he began preaching and agitating, heading</w:t></w:r>
</w:p>
<w:p>
<w:pPr><w:pStyle w:val="Normal"/></w:pPr>
<w:r><w:t xml:space="preserve">riotous attacks on wine-shops and on other manifestations of</w:t></w:r>
</w:p>
<w:p>
<w:pPr><w:pStyle w:val="Normal"/></w:pPr>
<w:r><w:t xml:space="preserve">laxity.  He even went so far as to assault the sister of</w:t></w:r>
</w:p>
<w:p>
<w:pPr><w:pStyle w:val="Normal"/></w:pPr>
<w:r><w:t xml:space="preserve">the Murabti (Almoravide) amir`Ali III., in the streets</w:t></w:r>
</w:p>
<w:p>
<w:pPr><w:pStyle w:val="Normal"/></w:pPr>
<w:r><w:t xml:space="preserve">of Fez, because she was going about unveiled after the</w:t></w:r>
</w:p>
<w:p>
<w:pPr><w:pStyle w:val="Normal"/></w:pPr>
<w:r><w:t xml:space="preserve">manner of Berber women. `Ali, who was very deferential to</w:t></w:r>
</w:p>
<w:p>
<w:pPr><w:pStyle w:val="Normal"/></w:pPr>
<w:r><w:t xml:space="preserve">any exhibition of piety, allowed him to escape unpunished.</w:t></w:r>
</w:p>
<w:p>
<w:pPr><w:pStyle w:val="Normal"/></w:pPr>
<w:r><w:t xml:space="preserve">Ibn Tumart, who had been driven from several other towns for</w:t></w:r>
</w:p>
<w:p>
<w:pPr><w:pStyle w:val="Normal"/></w:pPr>
<w:r><w:t xml:space="preserve">exhibitions of reforming zeal, now took refuge among his own</w:t></w:r>
</w:p>
<w:p>
<w:pPr><w:pStyle w:val="Normal"/></w:pPr>
<w:r><w:t xml:space="preserve">people, the Masmuda, in the Atlas.  It is highly probable that</w:t></w:r>
</w:p>
<w:p>
<w:pPr><w:pStyle w:val="Normal"/></w:pPr>
<w:r><w:t xml:space="preserve">his influence would not have outlived him, if he had not found</w:t></w:r>
</w:p>
<w:p>
<w:pPr><w:pStyle w:val="Normal"/></w:pPr>
<w:r><w:t xml:space="preserve">a lieutenant in &apos;Abd-el-Mumin el Kumi, another Berber, from</w:t></w:r>
</w:p>
<w:p>
<w:pPr><w:pStyle w:val="Normal"/></w:pPr>
<w:r><w:t xml:space="preserve">Algeria, who was undoubtedly a soldier and statesman of a high</w:t></w:r>
</w:p>
<w:p>
<w:pPr><w:pStyle w:val="Normal"/></w:pPr>
<w:r><w:t xml:space="preserve">order.  When Ibn Tumart died in 1128 at the monastery or</w:t></w:r>
</w:p>
<w:p>
<w:pPr><w:pStyle w:val="Normal"/></w:pPr>
<w:r><w:t xml:space="preserve">ribat which he had founded in the Atlas at Tinmal, after</w:t></w:r>
</w:p>
<w:p>
<w:pPr><w:pStyle w:val="Normal"/></w:pPr>
<w:r><w:t xml:space="preserve">suffering a severe defeat by the Murabtis, &apos;Abd-el-Mumin</w:t></w:r>
</w:p>
<w:p>
<w:pPr><w:pStyle w:val="Normal"/></w:pPr>
<w:r><w:t xml:space="preserve">kept his death secret for two years, till his own influence</w:t></w:r>
</w:p>
<w:p>
<w:pPr><w:pStyle w:val="Normal"/></w:pPr>
<w:r><w:t xml:space="preserve">was established.  He then came forward as the lieutenant</w:t></w:r>
</w:p>
<w:p>
<w:pPr><w:pStyle w:val="Normal"/></w:pPr>
<w:r><w:t xml:space="preserve">of the Mahdi Ibn Tumart.  Between 1130 and his death in</w:t></w:r>
</w:p>
<w:p>
<w:pPr><w:pStyle w:val="Normal"/></w:pPr>
<w:r><w:t xml:space="preserve">1163, &apos;Abd-el-Mumin not only rooted out the Murabtis,</w:t></w:r>
</w:p>
<w:p>
<w:pPr><w:pStyle w:val="Normal"/></w:pPr>
<w:r><w:t xml:space="preserve">but extended his power over all northern Africa as far as</w:t></w:r>
</w:p>
<w:p>
<w:pPr><w:pStyle w:val="Normal"/></w:pPr>
<w:r><w:t xml:space="preserve">Egypt, becoming amir of Morocco in 1149.  Mahommedan Spain</w:t></w:r>
</w:p>
<w:p>
<w:pPr><w:pStyle w:val="Normal"/></w:pPr>
<w:r><w:t xml:space="preserve">followed the fate of Africa, and in 1170 the Muwahhadis</w:t></w:r>
</w:p>
<w:p>
<w:pPr><w:pStyle w:val="Normal"/></w:pPr>
<w:r><w:t xml:space="preserve">transferred their capital to Seville, a step followed by</w:t></w:r>
</w:p>
<w:p>
<w:pPr><w:pStyle w:val="Normal"/></w:pPr>
<w:r><w:t xml:space="preserve">the founding of the great mosque, now superseded by the</w:t></w:r>
</w:p>
<w:p>
<w:pPr><w:pStyle w:val="Normal"/></w:pPr>
<w:r><w:t xml:space="preserve">cathedral, the tower of which they erected in 1184 to mark the</w:t></w:r>
</w:p>
<w:p>
<w:pPr><w:pStyle w:val="Normal"/></w:pPr>
<w:r><w:t xml:space="preserve">accession of Ya`kub el Mansur.  From the time of Yusef</w:t></w:r>
</w:p>
<w:p>
<w:pPr><w:pStyle w:val="Normal"/></w:pPr>
<w:r><w:t xml:space="preserve">II., however, they governed their co-religionists in Spain</w:t></w:r>
</w:p>
<w:p>
<w:pPr><w:pStyle w:val="Normal"/></w:pPr>
<w:r><w:t xml:space="preserve">and Central North Africa through lieutenants, their dominions</w:t></w:r>
</w:p>
<w:p>
<w:pPr><w:pStyle w:val="Normal"/></w:pPr>
<w:r><w:t xml:space="preserve">outside Morocco being treated as provinces.  When their</w:t></w:r>
</w:p>
<w:p>
<w:pPr><w:pStyle w:val="Normal"/></w:pPr>
<w:r><w:t xml:space="preserve">amirs crossed the Straits it was to lead a jehad against</w:t></w:r>
</w:p>
<w:p>
<w:pPr><w:pStyle w:val="Normal"/></w:pPr>
<w:r><w:t xml:space="preserve">the Christians and to return fo their capital, Marrakesh.</w:t></w:r>
</w:p>
<w:p>
<w:pPr><w:pStyle w:val="Normal"/></w:pPr>
<w:r><w:t xml:space="preserve">The Muwahhadi princes had a longer and a more distinguished</w:t></w:r>
</w:p>
<w:p>
<w:pPr><w:pStyle w:val="Normal"/></w:pPr>
<w:r><w:t xml:space="preserve">career than the Murabtis or ``Almoravides&apos;&apos; (q.v..) Yusef</w:t></w:r>
</w:p>
<w:p>
<w:pPr><w:pStyle w:val="Heading1"/></w:pPr>
<w:r><w:t>II. or ``Abu Ya`kub&apos;&apos; (1163-1184), and Ya`kub I. or ``El</w:t></w:r>
</w:p>
<w:p>
<w:pPr><w:pStyle w:val="Normal"/></w:pPr>
<w:r><w:t xml:space="preserve">Mansur&apos;&apos; (1184-1199), the successors of Abd-el-Mumin, were</w:t></w:r>
</w:p>
<w:p>
<w:pPr><w:pStyle w:val="Normal"/></w:pPr>
<w:r><w:t xml:space="preserve">both able men.  They were fanatical, and their tyranny drove</w:t></w:r>
</w:p>
<w:p>
<w:pPr><w:pStyle w:val="Normal"/></w:pPr>
<w:r><w:t xml:space="preserve">numbers of their Jewish and Christian subjects to take refuge</w:t></w:r>
</w:p>
<w:p>
<w:pPr><w:pStyle w:val="Normal"/></w:pPr>
<w:r><w:t xml:space="preserve">in the growing Christian states of Portugal, Castile and</w:t></w:r>
</w:p>
<w:p>
<w:pPr><w:pStyle w:val="Normal"/></w:pPr>
<w:r><w:t xml:space="preserve">Aragon.  But in the end they became less fanatical than the</w:t></w:r>
</w:p>
<w:p>
<w:pPr><w:pStyle w:val="Normal"/></w:pPr>
<w:r><w:t xml:space="preserve">Murabtis, and Ya`kub el Mansur was a highly accomplished man,</w:t></w:r>
</w:p>
<w:p>
<w:pPr><w:pStyle w:val="Normal"/></w:pPr>
<w:r><w:t xml:space="preserve">who wrote a good Arabic style and who protected the philosopher</w:t></w:r>
</w:p>
<w:p>
<w:pPr><w:pStyle w:val="Normal"/></w:pPr>
<w:r><w:t xml:space="preserve">Averroes.  His title of El Mansur, ``The Victorious,&apos;&apos; was</w:t></w:r>
</w:p>
<w:p>
<w:pPr><w:pStyle w:val="Normal"/></w:pPr>
<w:r><w:t xml:space="preserve">earned by the defeat he inflicted on Alphonso VIII. of Castile</w:t></w:r>
</w:p>
<w:p>
<w:pPr><w:pStyle w:val="Normal"/></w:pPr>
<w:r><w:t xml:space="preserve">at Alarcos in 1195.  But the Christian states in Spain were</w:t></w:r>
</w:p>
<w:p>
<w:pPr><w:pStyle w:val="Normal"/></w:pPr>
<w:r><w:t xml:space="preserve">becoming too well organized to be overrun by the Mahommedans,</w:t></w:r>
</w:p>
<w:p>
<w:pPr><w:pStyle w:val="Normal"/></w:pPr>
<w:r><w:t xml:space="preserve">and the Muwahhadis made no permanent advance against</w:t></w:r>
</w:p>
<w:p>
<w:pPr><w:pStyle w:val="Normal"/></w:pPr>
<w:r><w:t xml:space="preserve">them.  In 1212 Mahommed III., ``En-Nasir&apos;&apos; (1199-1214), the</w:t></w:r>
</w:p>
<w:p>
<w:pPr><w:pStyle w:val="Normal"/></w:pPr>
<w:r><w:t xml:space="preserve">successor of El Mansur, was utterly defeated by the allied</w:t></w:r>
</w:p>
<w:p>
<w:pPr><w:pStyle w:val="Normal"/></w:pPr>
<w:r><w:t xml:space="preserve">five Christian princes of Spain, Navarre and Portugal, at</w:t></w:r>
</w:p>
<w:p>
<w:pPr><w:pStyle w:val="Normal"/></w:pPr>
<w:r><w:t xml:space="preserve">Las Navas de Tolosa in the Sierra Morena.  All the Moorish</w:t></w:r>
</w:p>
<w:p>
<w:pPr><w:pStyle w:val="Normal"/></w:pPr>
<w:r><w:t xml:space="preserve">dominions in Spain were lost in the next few years, partly by</w:t></w:r>
</w:p>
<w:p>
<w:pPr><w:pStyle w:val="Normal"/></w:pPr>
<w:r><w:t xml:space="preserve">the Christian conquest of Andalusia, and partly by the revolt</w:t></w:r>
</w:p>
<w:p>
<w:pPr><w:pStyle w:val="Normal"/></w:pPr>
<w:r><w:t xml:space="preserve">of the Mahommedans of Granada, who put themselves under the</w:t></w:r>
</w:p>
<w:p>
<w:pPr><w:pStyle w:val="Normal"/></w:pPr>
<w:r><w:t xml:space="preserve">protection of the Christian kings and became their vassals.</w:t></w:r>
</w:p>
<w:p>
<w:pPr><w:pStyle w:val="Normal"/></w:pPr>
<w:r><w:t xml:space="preserve">The fanaticism of the Muwahhadis did not prevent them from</w:t></w:r>
</w:p>
<w:p>
<w:pPr><w:pStyle w:val="Normal"/></w:pPr>
<w:r><w:t xml:space="preserve">encouraging the establishment of Christians even in Fez, and</w:t></w:r>
</w:p>
<w:p>
<w:pPr><w:pStyle w:val="Normal"/></w:pPr>
<w:r><w:t xml:space="preserve">after the battle of Las Navas de Tolosa they occasionally</w:t></w:r>
</w:p>
<w:p>
<w:pPr><w:pStyle w:val="Normal"/></w:pPr>
<w:r><w:t xml:space="preserve">entered into alliances with the kings of Castile.  In Africa</w:t></w:r>
</w:p>
<w:p>
<w:pPr><w:pStyle w:val="Normal"/></w:pPr>
<w:r><w:t xml:space="preserve">they were successful in expelling the garrisons placed in</w:t></w:r>
</w:p>
<w:p>
<w:pPr><w:pStyle w:val="Normal"/></w:pPr>
<w:r><w:t xml:space="preserve">some of the coast towns by the Norman kings of Sicily.  The</w:t></w:r>
</w:p>
<w:p>
<w:pPr><w:pStyle w:val="Normal"/></w:pPr>
<w:r><w:t xml:space="preserve">history of their decline differs from that of the Murabtis,</w:t></w:r>
</w:p>
<w:p>
<w:pPr><w:pStyle w:val="Normal"/></w:pPr>
<w:r><w:t xml:space="preserve">whom they had displaced.  They were not assailed by a great</w:t></w:r>
</w:p>
<w:p>
<w:pPr><w:pStyle w:val="Normal"/></w:pPr>
<w:r><w:t xml:space="preserve">religious movement, but destroyed piecemeal by the revolt of</w:t></w:r>
</w:p>
<w:p>
<w:pPr><w:pStyle w:val="Normal"/></w:pPr>
<w:r><w:t xml:space="preserve">tribes and districts.  Their most effective enemies were the</w:t></w:r>
</w:p>
<w:p>
<w:pPr><w:pStyle w:val="Normal"/></w:pPr>
<w:r><w:t xml:space="preserve">Beni Marin (``Merinides&apos;&apos;) who founded the next Moroccan</w:t></w:r>
</w:p>
<w:p>
<w:pPr><w:pStyle w:val="Normal"/></w:pPr>
<w:r><w:t xml:space="preserve">dynasty, the sixth.  The last representative of the line,</w:t></w:r>
</w:p>
<w:p>
<w:pPr><w:pStyle w:val="Normal"/></w:pPr>
<w:r><w:t xml:space="preserve">Idris IV., ``El Wathik&apos;&apos;&apos; was reduced to the possession</w:t></w:r>
</w:p>
<w:p>
<w:pPr><w:pStyle w:val="Normal"/></w:pPr>
<w:r><w:t xml:space="preserve">of Marrakesh, where he was murdered by a slave in 1269.</w:t></w:r>
</w:p>
<w:p>
<w:pPr><w:pStyle w:val="Normal"/></w:pPr>
<w:r><w:t xml:space="preserve">The amirs of the Muwahhadi Dynasty were as follows:--</w:t></w:r>
</w:p>
<w:p>
<w:pPr><w:pStyle w:val="Normal"/></w:pPr>
<w:r><w:t xml:space="preserve">&apos;Abd-el-Mumin (1145); Yusef II., ``Abu Ya`kub&apos;&apos; (1163);</w:t></w:r>
</w:p>
<w:p>
<w:pPr><w:pStyle w:val="Normal"/></w:pPr>
<w:r><w:t xml:space="preserve">Ya`kub I., ``Abu Yusef el Mansur&apos;&apos; (1184); Mahommed</w:t></w:r>
</w:p>
<w:p>
<w:pPr><w:pStyle w:val="Normal"/></w:pPr>
<w:r><w:t xml:space="preserve">III., ``En-Nasir&apos;&apos; (1190); Yusef III., ``Abu Ya&apos;kub</w:t></w:r>
</w:p>
<w:p>
<w:pPr><w:pStyle w:val="Normal"/></w:pPr>
<w:r><w:t xml:space="preserve">el Mustansir&apos;&apos; (1214); `Abd-el-Wahid, ``El Makhluwi&apos;&apos;</w:t></w:r>
</w:p>
<w:p>
<w:pPr><w:pStyle w:val="Normal"/></w:pPr>
<w:r><w:t xml:space="preserve">(1223); `Abd-Allah II., ``Abu Mahommed&apos;&apos; (1224); Yahya</w:t></w:r>
</w:p>
<w:p>
<w:pPr><w:pStyle w:val="Normal"/></w:pPr>
<w:r><w:t xml:space="preserve">V., ``El Mu`tasim&apos;&apos; (1226); Idris III., ``El Mamun&apos;&apos;</w:t></w:r>
</w:p>
<w:p>
<w:pPr><w:pStyle w:val="Normal"/></w:pPr>
<w:r><w:t xml:space="preserve">(1229); Rashid I., ```Abd-el-Wahid II.&apos;&apos; (1232); `Ali IV.,</w:t></w:r>
</w:p>
<w:p>
<w:pPr><w:pStyle w:val="Normal"/></w:pPr>
<w:r><w:t xml:space="preserve">``Es-Sa`id el Mu tadid&apos;&apos; (1242); Omar I., ``El Mortada&apos;&apos;</w:t></w:r>
</w:p>
<w:p>
<w:pPr><w:pStyle w:val="Normal"/></w:pPr>
<w:r><w:t xml:space="preserve">(1248); Idris IV., ``El Wathik&apos;&apos; (1266-1269). (B. M.*; D. H.)</w:t></w:r>
</w:p>
<w:p>
<w:pPr><w:pStyle w:val="Normal"/></w:pPr>
<w:r><w:t xml:space="preserve">ALMON, JOHN (1737-1805), English political pamphleteer and</w:t></w:r>
</w:p>
<w:p>
<w:pPr><w:pStyle w:val="Normal"/></w:pPr>
<w:r><w:t xml:space="preserve">publisher, was born at Liverpool on the 17th of December</w:t></w:r>
</w:p>
<w:p>
<w:pPr><w:pStyle w:val="Normal"/></w:pPr>
<w:r><w:t xml:space="preserve">1737.  In early life he was apprenticed to a printer in his</w:t></w:r>
</w:p>
<w:p>
<w:pPr><w:pStyle w:val="Normal"/></w:pPr>
<w:r><w:t xml:space="preserve">native town, and he also spent two years at sea.  He came</w:t></w:r>
</w:p>
<w:p>
<w:pPr><w:pStyle w:val="Normal"/></w:pPr>
<w:r><w:t xml:space="preserve">to London in 1758 and at once began a career which, if not</w:t></w:r>
</w:p>
<w:p>
<w:pPr><w:pStyle w:val="Normal"/></w:pPr>
<w:r><w:t xml:space="preserve">important in itself, had a very important influence on the</w:t></w:r>
</w:p>
<w:p>
<w:pPr><w:pStyle w:val="Normal"/></w:pPr>
<w:r><w:t xml:space="preserve">political history of the country.  The Whig opposition,</w:t></w:r>
</w:p>
<w:p>
<w:pPr><w:pStyle w:val="Normal"/></w:pPr>
<w:r><w:t xml:space="preserve">hampered and harassed by the Government to an extent that</w:t></w:r>
</w:p>
<w:p>
<w:pPr><w:pStyle w:val="Normal"/></w:pPr>
<w:r><w:t xml:space="preserve">threatened the total suppression of independent opinion,</w:t></w:r>
</w:p>
<w:p>
<w:pPr><w:pStyle w:val="Normal"/></w:pPr>
<w:r><w:t xml:space="preserve">were in great need of a channel of communication with the</w:t></w:r>
</w:p>
<w:p>
<w:pPr><w:pStyle w:val="Normal"/></w:pPr>
<w:r><w:t xml:space="preserve">public, and they found what they wauted in Almon.  He had</w:t></w:r>
</w:p>
<w:p>
<w:pPr><w:pStyle w:val="Normal"/></w:pPr>
<w:r><w:t xml:space="preserve">become personally known to the leaders through various</w:t></w:r>
</w:p>
<w:p>
<w:pPr><w:pStyle w:val="Normal"/></w:pPr>
<w:r><w:t xml:space="preserve">publications of his own which had a great though transient</w:t></w:r>
</w:p>
<w:p>
<w:pPr><w:pStyle w:val="Normal"/></w:pPr>
<w:r><w:t xml:space="preserve">popularity; the more important of these being The Conduct</w:t></w:r>
</w:p>
<w:p>
<w:pPr><w:pStyle w:val="Normal"/></w:pPr>
<w:r><w:t xml:space="preserve">of a late Noble Commander [Lord George Sackville Examined</w:t></w:r>
</w:p>
<w:p>
<w:pPr><w:pStyle w:val="Normal"/></w:pPr>
<w:r><w:t xml:space="preserve">(1759); a Review of his late Majesty&apos;s Reign (1760); a</w:t></w:r>
</w:p>
<w:p>
<w:pPr><w:pStyle w:val="Normal"/></w:pPr>
<w:r><w:t xml:space="preserve">Review of Mr Pitt&apos;s Administration (1761); and a number</w:t></w:r>
</w:p>
<w:p>
<w:pPr><w:pStyle w:val="Normal"/></w:pPr>
<w:r><w:t xml:space="preserve">of letters on political subjects.  The review of Pitt&apos;s</w:t></w:r>
</w:p>
<w:p>
<w:pPr><w:pStyle w:val="Normal"/></w:pPr>
<w:r><w:t xml:space="preserve">administration passed through four editions, and secured</w:t></w:r>
</w:p>
<w:p>
<w:pPr><w:pStyle w:val="Normal"/></w:pPr>
<w:r><w:t xml:space="preserve">for its author the friendship of Earl Temple, to whom it was</w:t></w:r>
</w:p>
<w:p>
<w:pPr><w:pStyle w:val="Normal"/></w:pPr>
<w:r><w:t xml:space="preserve">dedicated.  Brought thus into the counsels of the Whig party,</w:t></w:r>
</w:p>
<w:p>
<w:pPr><w:pStyle w:val="Normal"/></w:pPr>
<w:r><w:t xml:space="preserve">he was persuaded in 1763 to open a bookseller&apos;s shop in</w:t></w:r>
</w:p>
<w:p>
<w:pPr><w:pStyle w:val="Normal"/></w:pPr>
<w:r><w:t xml:space="preserve">Piccadilly, chiefly for the publication and sale of political</w:t></w:r>
</w:p>
<w:p>
<w:pPr><w:pStyle w:val="Normal"/></w:pPr>
<w:r><w:t xml:space="preserve">pamphlets.  This involved considerable personal risk, and though</w:t></w:r>
</w:p>
<w:p>
<w:pPr><w:pStyle w:val="Normal"/></w:pPr>
<w:r><w:t xml:space="preserve">he generally received with every pamphlet a sum sufficient to</w:t></w:r>
</w:p>
<w:p>
<w:pPr><w:pStyle w:val="Normal"/></w:pPr>
<w:r><w:t xml:space="preserve">secure him against all contingencies, he deserves the credit</w:t></w:r>
</w:p>
<w:p>
<w:pPr><w:pStyle w:val="Normal"/></w:pPr>
<w:r><w:t xml:space="preserve">of having done much to secure the freedom of the press.  The</w:t></w:r>
</w:p>
<w:p>
<w:pPr><w:pStyle w:val="Normal"/></w:pPr>
<w:r><w:t xml:space="preserve">government strengthened his influence by their repressive</w:t></w:r>
</w:p>
<w:p>
<w:pPr><w:pStyle w:val="Normal"/></w:pPr>
<w:r><w:t xml:space="preserve">measures.  In 1765 the attorney-general moved to have him</w:t></w:r>
</w:p>
<w:p>
<w:pPr><w:pStyle w:val="Normal"/></w:pPr>
<w:r><w:t xml:space="preserve">tried for the publication of the pamphlet entitled Juries and</w:t></w:r>
</w:p>
<w:p>
<w:pPr><w:pStyle w:val="Normal"/></w:pPr>
<w:r><w:t xml:space="preserve">Libels, but the prosecution failed; and in 1770, for merely</w:t></w:r>
</w:p>
<w:p>
<w:pPr><w:pStyle w:val="Normal"/></w:pPr>
<w:r><w:t xml:space="preserve">selling a copy of the London Museum containing Junius&apos;s</w:t></w:r>
</w:p>
<w:p>
<w:pPr><w:pStyle w:val="Normal"/></w:pPr>
<w:r><w:t xml:space="preserve">celebrated ``Letter to the King,&apos;&apos; he was sentenced by Lord</w:t></w:r>
</w:p>
<w:p>
<w:pPr><w:pStyle w:val="Normal"/></w:pPr>
<w:r><w:t xml:space="preserve">Mansfield to pay a fine of ten marks and give security for</w:t></w:r>
</w:p>
<w:p>
<w:pPr><w:pStyle w:val="Normal"/></w:pPr>
<w:r><w:t xml:space="preserve">his good behaviour.  It was this trial that called forth the</w:t></w:r>
</w:p>
<w:p>
<w:pPr><w:pStyle w:val="Normal"/></w:pPr>
<w:r><w:t xml:space="preserve">letter to Lord Mansfield, one of the bitterest of the Junius</w:t></w:r>
</w:p>
<w:p>
<w:pPr><w:pStyle w:val="Normal"/></w:pPr>
<w:r><w:t xml:space="preserve">series.  Almon himself published an account of the trial, and</w:t></w:r>
</w:p>
<w:p>
<w:pPr><w:pStyle w:val="Normal"/></w:pPr>
<w:r><w:t xml:space="preserve">of course did not let slip the opportunity of reprinting the</w:t></w:r>
</w:p>
<w:p>
<w:pPr><w:pStyle w:val="Normal"/></w:pPr>
<w:r><w:t xml:space="preserve">matter that had been the ground of indictment; but no further</w:t></w:r>
</w:p>
<w:p>
<w:pPr><w:pStyle w:val="Normal"/></w:pPr>
<w:r><w:t xml:space="preserve">proceedings were taken against him.  In 1774 Almon commenced</w:t></w:r>
</w:p>
<w:p>
<w:pPr><w:pStyle w:val="Normal"/></w:pPr>
<w:r><w:t xml:space="preserve">the publication of his Parliamentary Register, a monthly</w:t></w:r>
</w:p>
<w:p>
<w:pPr><w:pStyle w:val="Normal"/></w:pPr>
<w:r><w:t xml:space="preserve">report of the debates in parliament, and he also issued an</w:t></w:r>
</w:p>
<w:p>
<w:pPr><w:pStyle w:val="Normal"/></w:pPr>
<w:r><w:t xml:space="preserve">abstract of the debates from 1742, when Richard Chandler&apos;s</w:t></w:r>
</w:p>
<w:p>
<w:pPr><w:pStyle w:val="Normal"/></w:pPr>
<w:r><w:t xml:space="preserve">Reports ceased, to 1774.  About the same time, having earned a</w:t></w:r>
</w:p>
<w:p>
<w:pPr><w:pStyle w:val="Normal"/></w:pPr>
<w:r><w:t xml:space="preserve">competency, he retired to Boxmoor in Hertfordshire, though</w:t></w:r>
</w:p>
<w:p>
<w:pPr><w:pStyle w:val="Normal"/></w:pPr>
<w:r><w:t xml:space="preserve">he still continued to write on political subjects.  He</w:t></w:r>
</w:p>
<w:p>
<w:pPr><w:pStyle w:val="Normal"/></w:pPr>
<w:r><w:t xml:space="preserve">became proprietor in 1784 of the General Advertiser, in</w:t></w:r>
</w:p>
<w:p>
<w:pPr><w:pStyle w:val="Normal"/></w:pPr>
<w:r><w:t xml:space="preserve">the management of which he lost his fortune and was declared</w:t></w:r>
</w:p>
<w:p>
<w:pPr><w:pStyle w:val="Normal"/></w:pPr>
<w:r><w:t xml:space="preserve">insolvent.  To these calamities was added an imprisonment for</w:t></w:r>
</w:p>
<w:p>
<w:pPr><w:pStyle w:val="Normal"/></w:pPr>
<w:r><w:t xml:space="preserve">libel.  The claims of his creditors compelled him to leave the</w:t></w:r>
</w:p>
<w:p>
<w:pPr><w:pStyle w:val="Normal"/></w:pPr>
<w:r><w:t xml:space="preserve">country, but after some years in France he was enabled to</w:t></w:r>
</w:p>
<w:p>
<w:pPr><w:pStyle w:val="Normal"/></w:pPr>
<w:r><w:t xml:space="preserve">return to Boxmoor, where he continued a career of undiminished</w:t></w:r>
</w:p>
<w:p>
<w:pPr><w:pStyle w:val="Normal"/></w:pPr>
<w:r><w:t xml:space="preserve">literary activity, publishing among other works an edition of</w:t></w:r>
</w:p>
<w:p>
<w:pPr><w:pStyle w:val="Normal"/></w:pPr>
<w:r><w:t xml:space="preserve">Junius.  His last work was an edition of Wilkes&apos;s correspondence,</w:t></w:r>
</w:p>
<w:p>
<w:pPr><w:pStyle w:val="Normal"/></w:pPr>
<w:r><w:t xml:space="preserve">with a memoir (1805).  He died on the 12th of December</w:t></w:r>
</w:p>
<w:p>
<w:pPr><w:pStyle w:val="Normal"/></w:pPr>
<w:r><w:t xml:space="preserve">1805.  Almon&apos;s works, most of which appeared anonymously, have</w:t></w:r>
</w:p>
<w:p>
<w:pPr><w:pStyle w:val="Normal"/></w:pPr>
<w:r><w:t xml:space="preserve">no great literary merit, but they are of very considerable</w:t></w:r>
</w:p>
<w:p>
<w:pPr><w:pStyle w:val="Normal"/></w:pPr>
<w:r><w:t xml:space="preserve">value to the student of the political history of the period.</w:t></w:r>
</w:p>
<w:p>
<w:pPr><w:pStyle w:val="Normal"/></w:pPr>
<w:r><w:t xml:space="preserve">ALMOND (from the O. Fr. almaiide or alemande, late Lat.</w:t></w:r>
</w:p>
<w:p>
<w:pPr><w:pStyle w:val="Normal"/></w:pPr>
<w:r><w:t xml:space="preserve">amandola, derived through a form amingdola from the Gr.</w:t></w:r>
</w:p>
<w:p>
<w:pPr><w:pStyle w:val="Normal"/></w:pPr>
<w:r><w:t xml:space="preserve">amugdale, an almond; the al- for a- is probably due</w:t></w:r>
</w:p>
<w:p>
<w:pPr><w:pStyle w:val="Normal"/></w:pPr>
<w:r><w:t xml:space="preserve">to a confusion with the Arabic article al, the word having</w:t></w:r>
</w:p>
<w:p>
<w:pPr><w:pStyle w:val="Normal"/></w:pPr>
<w:r><w:t xml:space="preserve">first dropped the a- as in the Italian form mandola; the</w:t></w:r>
</w:p>
<w:p>
<w:pPr><w:pStyle w:val="Normal"/></w:pPr>
<w:r><w:t xml:space="preserve">English pronunciation a-mond and the modern French amande</w:t></w:r>
</w:p>
<w:p>
<w:pPr><w:pStyle w:val="Normal"/></w:pPr>
<w:r><w:t xml:space="preserve">show the true form of the word).  The almond is the fruit of</w:t></w:r>
</w:p>
<w:p>
<w:pPr><w:pStyle w:val="Normal"/></w:pPr>
<w:r><w:t xml:space="preserve">Amyydalus conimunis, a plant belonging to the tribe Pruneae</w:t></w:r>
</w:p>
<w:p>
<w:pPr><w:pStyle w:val="Normal"/></w:pPr>
<w:r><w:t xml:space="preserve">of the natural order Rosaceae.  The genus Amygdalus is</w:t></w:r>
</w:p>
<w:p>
<w:pPr><w:pStyle w:val="Normal"/></w:pPr>
<w:r><w:t xml:space="preserve">very closely allied to Prunius (Plum, Cherry), in which it</w:t></w:r>
</w:p>
<w:p>
<w:pPr><w:pStyle w:val="Normal"/></w:pPr>
<w:r><w:t xml:space="preserve">is sometimes merged; the distinction lies in the fruit, the</w:t></w:r>
</w:p>
<w:p>
<w:pPr><w:pStyle w:val="Normal"/></w:pPr>
<w:r><w:t xml:space="preserve">soft pulp attached to the stone in the plum being replaced</w:t></w:r>
</w:p>
<w:p>
<w:pPr><w:pStyle w:val="Normal"/></w:pPr>
<w:r><w:t xml:space="preserve">by a leathery separable coat in the almond.  The tree appears</w:t></w:r>
</w:p>
<w:p>
<w:pPr><w:pStyle w:val="Normal"/></w:pPr>
<w:r><w:t xml:space="preserve">to be a native of western Asia, Barbary and Morocco; but</w:t></w:r>
</w:p>
<w:p>
<w:pPr><w:pStyle w:val="Normal"/></w:pPr>
<w:r><w:t xml:space="preserve">it has been extensively distributed over the warmtemperate</w:t></w:r>
</w:p>
<w:p>
<w:pPr><w:pStyle w:val="Normal"/></w:pPr>
<w:r><w:t xml:space="preserve">region of the Old World.  It ripens its fruit in the south of</w:t></w:r>
</w:p>
<w:p>
<w:pPr><w:pStyle w:val="Normal"/></w:pPr>
<w:r><w:t xml:space="preserve">England.  It is a tree of moderate size; the leaves are</w:t></w:r>
</w:p>
<w:p>
<w:pPr><w:pStyle w:val="Normal"/></w:pPr>
<w:r><w:t xml:space="preserve">lanceolate, and serrated at the edges; and it flowers early in</w:t></w:r>
</w:p>
<w:p>
<w:pPr><w:pStyle w:val="Normal"/></w:pPr>
<w:r><w:t xml:space="preserve">spring.  The fruit is a drupe, having a downy outer coat, called</w:t></w:r>
</w:p>
<w:p>
<w:pPr><w:pStyle w:val="Normal"/></w:pPr>
<w:r><w:t xml:space="preserve">the epicarp, which encloses the reticulated hard stony shell or</w:t></w:r>
</w:p>
<w:p>
<w:pPr><w:pStyle w:val="Normal"/></w:pPr>
<w:r><w:t xml:space="preserve">endocarp.  The seed is the kernel which is contained within</w:t></w:r>
</w:p>
<w:p>
<w:pPr><w:pStyle w:val="Normal"/></w:pPr>
<w:r><w:t xml:space="preserve">these coverings.  The shell-almonds of trade consist of the</w:t></w:r>
</w:p>
<w:p>
<w:pPr><w:pStyle w:val="Normal"/></w:pPr>
<w:r><w:t xml:space="preserve">endocarps enclosing the seeds.  The tree grows in Syria and</w:t></w:r>
</w:p>
<w:p>
<w:pPr><w:pStyle w:val="Normal"/></w:pPr>
<w:r><w:t xml:space="preserve">Palestine; and is referred to in the Bible under the name</w:t></w:r>
</w:p>
<w:p>
<w:pPr><w:pStyle w:val="Normal"/></w:pPr>
<w:r><w:t xml:space="preserve">of Shaked, meaning ``hasten.&apos;&apos; The word Luz, which occurs</w:t></w:r>
</w:p>
<w:p>
<w:pPr><w:pStyle w:val="Normal"/></w:pPr>
<w:r><w:t xml:space="preserve">in Genesis xxx. 37, and which has been translated hazel, is</w:t></w:r>
</w:p>
<w:p>
<w:pPr><w:pStyle w:val="Normal"/></w:pPr>
<w:r><w:t xml:space="preserve">supposed to be another name for the almond.  In Palestine</w:t></w:r>
</w:p>
<w:p>
<w:pPr><w:pStyle w:val="Normal"/></w:pPr>
<w:r><w:t xml:space="preserve">the tree flowers in January, and this hastening of the period</w:t></w:r>
</w:p>
<w:p>
<w:pPr><w:pStyle w:val="Normal"/></w:pPr>
<w:r><w:t xml:space="preserve">of flowering seems to be alluded to in Jeremiah i. 11, 12,</w:t></w:r>
</w:p>
<w:p>
<w:pPr><w:pStyle w:val="Normal"/></w:pPr>
<w:r><w:t xml:space="preserve">where the Lord asks the prophet, ``What seest thou?&apos;&apos; and he</w:t></w:r>
</w:p>
<w:p>
<w:pPr><w:pStyle w:val="Normal"/></w:pPr>
<w:r><w:t xml:space="preserve">replies, ``The rod of an almond-tree&apos;&apos;; and the Lord says,</w:t></w:r>
</w:p>
<w:p>
<w:pPr><w:pStyle w:val="Normal"/></w:pPr>
<w:r><w:t xml:space="preserve">``Thou hast well seen, for I will hasten my word to perform</w:t></w:r>
</w:p>
<w:p>
<w:pPr><w:pStyle w:val="Normal"/></w:pPr>
<w:r><w:t xml:space="preserve">it.&apos;&apos; In Ecclesiastes xii. 5 it is saib the ``almond-tree</w:t></w:r>
</w:p>
<w:p>
<w:pPr><w:pStyle w:val="Normal"/></w:pPr>
<w:r><w:t xml:space="preserve">shall flourish.&apos;&apos; This has often been supposed to refer to the</w:t></w:r>
</w:p>
<w:p>
<w:pPr><w:pStyle w:val="Normal"/></w:pPr>
<w:r><w:t xml:space="preserve">resemblance of the hoary locks of age to the flowers of the</w:t></w:r>
</w:p>
<w:p>
<w:pPr><w:pStyle w:val="Normal"/></w:pPr>
<w:r><w:t xml:space="preserve">almond; but this exposition is not borne out by the facts of the</w:t></w:r>
</w:p>
<w:p>
<w:pPr><w:pStyle w:val="Normal"/></w:pPr>
<w:r><w:t xml:space="preserve">case, inasmuch as the flowers of the almond are not white but</w:t></w:r>
</w:p>
<w:p>
<w:pPr><w:pStyle w:val="Normal"/></w:pPr>
<w:r><w:t xml:space="preserve">pink.  The passage is more probably intended to allude to the</w:t></w:r>
</w:p>
<w:p>
<w:pPr><w:pStyle w:val="Normal"/></w:pPr>
<w:r><w:t xml:space="preserve">hastening or rapid approach of old age.  The application of</w:t></w:r>
</w:p>
<w:p>
<w:pPr><w:pStyle w:val="Normal"/></w:pPr>
<w:r><w:t xml:space="preserve">Shaked or hasten to the almond is similar to the use of the</w:t></w:r>
</w:p>
<w:p>
<w:pPr><w:pStyle w:val="Normal"/></w:pPr>
<w:r><w:t xml:space="preserve">name ``May&apos;&apos; for the hawthorn, which usually flowers in that</w:t></w:r>
</w:p>
<w:p>
<w:pPr><w:pStyle w:val="Normal"/></w:pPr>
<w:r><w:t xml:space="preserve">month in Britain.  The rod of Aaron, mentioned in Numbers</w:t></w:r>
</w:p>
<w:p>
<w:pPr><w:pStyle w:val="Normal"/></w:pPr>
<w:r><w:t xml:space="preserve">xvii., was taken from an almond-tree; and the Jews still carry</w:t></w:r>
</w:p>
<w:p>
<w:pPr><w:pStyle w:val="Normal"/></w:pPr>
<w:r><w:t xml:space="preserve">rods of almond-blossom to the synagogues on great festival</w:t></w:r>
</w:p>
<w:p>
<w:pPr><w:pStyle w:val="Normal"/></w:pPr>
<w:r><w:t xml:space="preserve">days.  The fruit of the almond supplied a model for certain kinds</w:t></w:r>
</w:p>
<w:p>
<w:pPr><w:pStyle w:val="Normal"/></w:pPr>
<w:r><w:t xml:space="preserve">of ornamental carved work (Exodus xxv. 33, 34; xxxvii. 19, 20).</w:t></w:r>
</w:p>
<w:p>
<w:pPr><w:pStyle w:val="Normal"/></w:pPr>
<w:r><w:t xml:space="preserve">There are two forms of the plant, the one (with pink flowers)</w:t></w:r>
</w:p>
<w:p>
<w:pPr><w:pStyle w:val="Normal"/></w:pPr>
<w:r><w:t xml:space="preserve">producing sweet, the other (with white flowers) bitter</w:t></w:r>
</w:p>
<w:p>
<w:pPr><w:pStyle w:val="Normal"/></w:pPr>
<w:r><w:t xml:space="preserve">almonds.  The kernel of the former contains a fixed oil and</w:t></w:r>
</w:p>
<w:p>
<w:pPr><w:pStyle w:val="Normal"/></w:pPr>
<w:r><w:t xml:space="preserve">emulsin.  It is used internally in medicine, and must not be</w:t></w:r>
</w:p>
<w:p>
<w:pPr><w:pStyle w:val="Normal"/></w:pPr>
<w:r><w:t xml:space="preserve">adulterated with the bitter almond.  The Pulvis Amygdalae</w:t></w:r>
</w:p>
<w:p>
<w:pPr><w:pStyle w:val="Normal"/></w:pPr>
<w:r><w:t xml:space="preserve">Compositus of the British Pharmacopoeia consists of sweet</w:t></w:r>
</w:p>
<w:p>
<w:pPr><w:pStyle w:val="Normal"/></w:pPr>
<w:r><w:t xml:space="preserve">almonds, sugar and gum acacia.  It may be given in any</w:t></w:r>
</w:p>
<w:p>
<w:pPr><w:pStyle w:val="Normal"/></w:pPr>
<w:r><w:t xml:space="preserve">dose.  The Mistura Amygdalae contains one part of</w:t></w:r>
</w:p>
<w:p>
<w:pPr><w:pStyle w:val="Normal"/></w:pPr>
<w:r><w:t xml:space="preserve">the above to eight of water; the dose is  1/2 to 1 oz.</w:t></w:r>
</w:p>
<w:p>
<w:pPr><w:pStyle w:val="Normal"/></w:pPr>
<w:r><w:t xml:space="preserve">The bitter almond is rather broader and shorter than the</w:t></w:r>
</w:p>
<w:p>
<w:pPr><w:pStyle w:val="Normal"/></w:pPr>
<w:r><w:t xml:space="preserve">sweet almond and has a bitter taste.  It contains about</w:t></w:r>
</w:p>
<w:p>
<w:pPr><w:pStyle w:val="Normal"/></w:pPr>
<w:r><w:t xml:space="preserve">50%, of the fixed oil which also occurs in sweet almonds.</w:t></w:r>
</w:p>
<w:p>
<w:pPr><w:pStyle w:val="Normal"/></w:pPr>
<w:r><w:t xml:space="preserve">It also contains a ferment emulsin which, in the presence</w:t></w:r>
</w:p>
<w:p>
<w:pPr><w:pStyle w:val="Normal"/></w:pPr>
<w:r><w:t xml:space="preserve">of water, acts on a soluble glucoside, amygdalin, yielding</w:t></w:r>
</w:p>
<w:p>
<w:pPr><w:pStyle w:val="Normal"/></w:pPr>
<w:r><w:t xml:space="preserve">glucose, prussic acid and the essential oil of bitter almonds</w:t></w:r>
</w:p>
<w:p>
<w:pPr><w:pStyle w:val="Normal"/></w:pPr>
<w:r><w:t xml:space="preserve">or benzaldehyde (q.v.), which is not used in medicine.</w:t></w:r>
</w:p>
<w:p>
<w:pPr><w:pStyle w:val="Normal"/></w:pPr>
<w:r><w:t xml:space="preserve">Bitter almonds may yield from 6 to 8% of prussic acid.</w:t></w:r>
</w:p>
<w:p>
<w:pPr><w:pStyle w:val="Normal"/></w:pPr>
<w:r><w:t xml:space="preserve">Oleum Amygdalae, the fixed oil, is prepared from either</w:t></w:r>
</w:p>
<w:p>
<w:pPr><w:pStyle w:val="Normal"/></w:pPr>
<w:r><w:t xml:space="preserve">variety of almond.  If intended for internal use, it must,</w:t></w:r>
</w:p>
<w:p>
<w:pPr><w:pStyle w:val="Normal"/></w:pPr>
<w:r><w:t xml:space="preserve">however, be prepared only from sweet almonds.  It is a glyceryl</w:t></w:r>
</w:p>
<w:p>
<w:pPr><w:pStyle w:val="Normal"/></w:pPr>
<w:r><w:t xml:space="preserve">oleate, with slight odour and a nutty taste.  It is almost</w:t></w:r>
</w:p>
<w:p>
<w:pPr><w:pStyle w:val="Normal"/></w:pPr>
<w:r><w:t xml:space="preserve">insoluble in alcohol but readily soluble in chloroform or</w:t></w:r>
</w:p>
<w:p>
<w:pPr><w:pStyle w:val="Normal"/></w:pPr>
<w:r><w:t xml:space="preserve">ether.  It may be used as a pleasant substitute for olive</w:t></w:r>
</w:p>
<w:p>
<w:pPr><w:pStyle w:val="Normal"/></w:pPr>
<w:r><w:t xml:space="preserve">oil.  The pharmacopoeial preparations of the sweet</w:t></w:r>
</w:p>
<w:p>
<w:pPr><w:pStyle w:val="Normal"/></w:pPr>
<w:r><w:t xml:space="preserve">almond are used only as vehicles for other drugs.  The</w:t></w:r>
</w:p>
<w:p>
<w:pPr><w:pStyle w:val="Normal"/></w:pPr>
<w:r><w:t xml:space="preserve">sweet almond itself, however, has a special dietetic</w:t></w:r>
</w:p>
<w:p>
<w:pPr><w:pStyle w:val="Normal"/></w:pPr>
<w:r><w:t xml:space="preserve">value.  It contains practically no starch and may therefore</w:t></w:r>
</w:p>
<w:p>
<w:pPr><w:pStyle w:val="Normal"/></w:pPr>
<w:r><w:t xml:space="preserve">be made into flour for cakes and biscuits for patients</w:t></w:r>
</w:p>
<w:p>
<w:pPr><w:pStyle w:val="Normal"/></w:pPr>
<w:r><w:t xml:space="preserve">suffering from diabetes mellitus or any other form of</w:t></w:r>
</w:p>
<w:p>
<w:pPr><w:pStyle w:val="Normal"/></w:pPr>
<w:r><w:t xml:space="preserve">glycosuria.  It is a nutritious and very pleasant food.</w:t></w:r>
</w:p>
<w:p>
<w:pPr><w:pStyle w:val="Normal"/></w:pPr>
<w:r><w:t xml:space="preserve">There are numerous commercial varieties of sweet almond, of</w:t></w:r>
</w:p>
<w:p>
<w:pPr><w:pStyle w:val="Normal"/></w:pPr>
<w:r><w:t xml:space="preserve">which the most esteemed is the Jordan almond, imported from</w:t></w:r>
</w:p>
<w:p>
<w:pPr><w:pStyle w:val="Normal"/></w:pPr>
<w:r><w:t xml:space="preserve">Malaga.  Valentia almonds are also valued.  Fresh sweet</w:t></w:r>
</w:p>
<w:p>
<w:pPr><w:pStyle w:val="Normal"/></w:pPr>
<w:r><w:t xml:space="preserve">almonds are nutritive and demulcent, but as the outer brown</w:t></w:r>
</w:p>
<w:p>
<w:pPr><w:pStyle w:val="Normal"/></w:pPr>
<w:r><w:t xml:space="preserve">skin sometimes causes irritation of the alimentary canal, they</w:t></w:r>
</w:p>
<w:p>
<w:pPr><w:pStyle w:val="Normal"/></w:pPr>
<w:r><w:t xml:space="preserve">are blanched by removal of this skin when used at dessert.</w:t></w:r>
</w:p>
<w:p>
<w:pPr><w:pStyle w:val="Normal"/></w:pPr>
<w:r><w:t xml:space="preserve">ALMONER (from Lat. eleemosynarius, through med.  Lat.</w:t></w:r>
</w:p>
<w:p>
<w:pPr><w:pStyle w:val="Normal"/></w:pPr>
<w:r><w:t xml:space="preserve">almosynarius, alnionarius, and Fr. almosnisr, almosnier, &amp;c.,</w:t></w:r>
</w:p>
<w:p>
<w:pPr><w:pStyle w:val="Normal"/></w:pPr>
<w:r><w:t xml:space="preserve">mod.  Fr. aumonier), in the primitive sense, an officer</w:t></w:r>
</w:p>
<w:p>
<w:pPr><w:pStyle w:val="Normal"/></w:pPr>
<w:r><w:t xml:space="preserve">in religious houses to whom belonged the management and</w:t></w:r>
</w:p>
<w:p>
<w:pPr><w:pStyle w:val="Normal"/></w:pPr>
<w:r><w:t xml:space="preserve">distribution of the alms of the house.  By the ancient canons</w:t></w:r>
</w:p>
<w:p>
<w:pPr><w:pStyle w:val="Normal"/></w:pPr>
<w:r><w:t xml:space="preserve">all monasteries were to spend at least a tenth part of their</w:t></w:r>
</w:p>
<w:p>
<w:pPr><w:pStyle w:val="Normal"/></w:pPr>
<w:r><w:t xml:space="preserve">income in alms to the poor, and all bishops were required to keep</w:t></w:r>
</w:p>
<w:p>
<w:pPr><w:pStyle w:val="Normal"/></w:pPr>
<w:r><w:t xml:space="preserve">almoners.  Almoners, as distinct from chaplains, appear early</w:t></w:r>
</w:p>
<w:p>
<w:pPr><w:pStyle w:val="Normal"/></w:pPr>
<w:r><w:t xml:space="preserve">as attached to the court of the kings of France; but the</w:t></w:r>
</w:p>
<w:p>
<w:pPr><w:pStyle w:val="Normal"/></w:pPr>
<w:r><w:t xml:space="preserve">title of grand almoner of France first appears in the reign</w:t></w:r>
</w:p>
<w:p>
<w:pPr><w:pStyle w:val="Normal"/></w:pPr>
<w:r><w:t xml:space="preserve">of Charles VIII.  He was an important court official whose</w:t></w:r>
</w:p>
<w:p>
<w:pPr><w:pStyle w:val="Normal"/></w:pPr>
<w:r><w:t xml:space="preserve">duties comprised the superintendence of the Chapel Royal and</w:t></w:r>
</w:p>
<w:p>
<w:pPr><w:pStyle w:val="Normal"/></w:pPr>
<w:r><w:t xml:space="preserve">all the religious ceremonies of the court.  He was a director</w:t></w:r>
</w:p>
<w:p>
<w:pPr><w:pStyle w:val="Normal"/></w:pPr>
<w:r><w:t xml:space="preserve">of the great hospital for the blind (Quinize-Vingts), and</w:t></w:r>
</w:p>
<w:p>
<w:pPr><w:pStyle w:val="Normal"/></w:pPr>
<w:r><w:t xml:space="preserve">nominated the regius professors and readers in the College de</w:t></w:r>
</w:p>
<w:p>
<w:pPr><w:pStyle w:val="Normal"/></w:pPr>
<w:r><w:t xml:space="preserve">France.  The office was revived by Napoleon I., was abolished</w:t></w:r>
</w:p>
<w:p>
<w:pPr><w:pStyle w:val="Normal"/></w:pPr>
<w:r><w:t xml:space="preserve">in 1830, and again created by Napoleon III.; it existed till</w:t></w:r>
</w:p>
<w:p>
<w:pPr><w:pStyle w:val="Normal"/></w:pPr>
<w:r><w:t xml:space="preserve">1870.  In England, the royal almonry still forms a part of</w:t></w:r>
</w:p>
<w:p>
<w:pPr><w:pStyle w:val="Normal"/></w:pPr>
<w:r><w:t xml:space="preserve">the sovereign&apos;s household, the officers being the hereditary</w:t></w:r>
</w:p>
<w:p>
<w:pPr><w:pStyle w:val="Normal"/></w:pPr>
<w:r><w:t xml:space="preserve">grand almoner (the marquess of Exeter), the lord high</w:t></w:r>
</w:p>
<w:p>
<w:pPr><w:pStyle w:val="Normal"/></w:pPr>
<w:r><w:t xml:space="preserve">almoner, the sub-almoner, and the secretary to the lord high</w:t></w:r>
</w:p>
<w:p>
<w:pPr><w:pStyle w:val="Normal"/></w:pPr>
<w:r><w:t xml:space="preserve">almoner.  The office of hereditary grand almoner is now merely</w:t></w:r>
</w:p>
<w:p>
<w:pPr><w:pStyle w:val="Normal"/></w:pPr>
<w:r><w:t xml:space="preserve">titular.  The lord high almoner is an ecclesiastical officer,</w:t></w:r>
</w:p>
<w:p>
<w:pPr><w:pStyle w:val="Normal"/></w:pPr>
<w:r><w:t xml:space="preserve">usually a bishop, who had the rights to the forfeiture of</w:t></w:r>
</w:p>
<w:p>
<w:pPr><w:pStyle w:val="Normal"/></w:pPr>
<w:r><w:t xml:space="preserve">all deodands (q.v.) and the goods of a felo de se, for</w:t></w:r>
</w:p>
<w:p>
<w:pPr><w:pStyle w:val="Normal"/></w:pPr>
<w:r><w:t xml:space="preserve">distribution among the poor.  He had also, by virtue of an</w:t></w:r>
</w:p>
<w:p>
<w:pPr><w:pStyle w:val="Normal"/></w:pPr>
<w:r><w:t xml:space="preserve">ancient custom, the power of giving the first dish from the</w:t></w:r>
</w:p>
<w:p>
<w:pPr><w:pStyle w:val="Normal"/></w:pPr>
<w:r><w:t xml:space="preserve">king&apos;s table to whatever poor person he pleased, or, instead of</w:t></w:r>
</w:p>
<w:p>
<w:pPr><w:pStyle w:val="Normal"/></w:pPr>
<w:r><w:t xml:space="preserve">it, alms in money, which custom is kept up by the lord high</w:t></w:r>
</w:p>
<w:p>
<w:pPr><w:pStyle w:val="Normal"/></w:pPr>
<w:r><w:t xml:space="preserve">almoner distributing as many silver pennies as the sovereign has</w:t></w:r>
</w:p>
<w:p>
<w:pPr><w:pStyle w:val="Normal"/></w:pPr>
<w:r><w:t xml:space="preserve">years of age to poor men and women on Maundy Thursday (q.v..)</w:t></w:r>
</w:p>
<w:p>
<w:pPr><w:pStyle w:val="Normal"/></w:pPr>
<w:r><w:t xml:space="preserve">ALMONRY (Lat. eleemosynarium, Fr. aumonorie, Ger.</w:t></w:r>
</w:p>
<w:p>
<w:pPr><w:pStyle w:val="Normal"/></w:pPr>
<w:r><w:t xml:space="preserve">Almosenhaus), the name for the place or chamber where</w:t></w:r>
</w:p>
<w:p>
<w:pPr><w:pStyle w:val="Normal"/></w:pPr>
<w:r><w:t xml:space="preserve">alms were distributed to the poor in churches or other</w:t></w:r>
</w:p>
<w:p>
<w:pPr><w:pStyle w:val="Normal"/></w:pPr>
<w:r><w:t xml:space="preserve">ecclesiastical buildings.  At Bishopstone church, Wiltshire,</w:t></w:r>
</w:p>
<w:p>
<w:pPr><w:pStyle w:val="Normal"/></w:pPr>
<w:r><w:t xml:space="preserve">it is a sort of covered porch attached to the south</w:t></w:r>
</w:p>
<w:p>
<w:pPr><w:pStyle w:val="Normal"/></w:pPr>
<w:r><w:t xml:space="preserve">transept, but not communicating with the interior of the</w:t></w:r>
</w:p>
<w:p>
<w:pPr><w:pStyle w:val="Normal"/></w:pPr>
<w:r><w:t xml:space="preserve">church.  At Worcester Cathedral the alms are said to have</w:t></w:r>
</w:p>
<w:p>
<w:pPr><w:pStyle w:val="Normal"/></w:pPr>
<w:r><w:t xml:space="preserve">been distributed on stone tables, on each side, within</w:t></w:r>
</w:p>
<w:p>
<w:pPr><w:pStyle w:val="Normal"/></w:pPr>
<w:r><w:t xml:space="preserve">the great porch.  In large monastic establishments, as at</w:t></w:r>
</w:p>
<w:p>
<w:pPr><w:pStyle w:val="Normal"/></w:pPr>
<w:r><w:t xml:space="preserve">Westminster, it seems to have been a separate building of some</w:t></w:r>
</w:p>
<w:p>
<w:pPr><w:pStyle w:val="Normal"/></w:pPr>
<w:r><w:t xml:space="preserve">importance, either joining the gatehouse or near it, that</w:t></w:r>
</w:p>
<w:p>
<w:pPr><w:pStyle w:val="Normal"/></w:pPr>
<w:r><w:t xml:space="preserve">the establishment might be disturbed as little as possible.</w:t></w:r>
</w:p>
<w:p>
<w:pPr><w:pStyle w:val="Normal"/></w:pPr>
<w:r><w:t xml:space="preserve">ALMORA, a town and district of British India, the chief</w:t></w:r>
</w:p>
<w:p>
<w:pPr><w:pStyle w:val="Normal"/></w:pPr>
<w:r><w:t xml:space="preserve">town and administrative headquarters of the Kumaon division</w:t></w:r>
</w:p>
<w:p>
<w:pPr><w:pStyle w:val="Normal"/></w:pPr>
<w:r><w:t xml:space="preserve">of the United Provinces, situated on a mountain-ridge of</w:t></w:r>
</w:p>
<w:p>
<w:pPr><w:pStyle w:val="Normal"/></w:pPr>
<w:r><w:t xml:space="preserve">the Himalayas 5494 ft. above the sea.  Pop. (1901) 8506.</w:t></w:r>
</w:p>
<w:p>
<w:pPr><w:pStyle w:val="Normal"/></w:pPr>
<w:r><w:t xml:space="preserve">The town has a college called after Sir Henry Ramsay; a</w:t></w:r>
</w:p>
<w:p>
<w:pPr><w:pStyle w:val="Normal"/></w:pPr>
<w:r><w:t xml:space="preserve">government high school; a Christian girls&apos; school; and a large</w:t></w:r>
</w:p>
<w:p>
<w:pPr><w:pStyle w:val="Normal"/></w:pPr>
<w:r><w:t xml:space="preserve">cantonment.  The town was captured by the Gurkhas in 1790,</w:t></w:r>
</w:p>
<w:p>
<w:pPr><w:pStyle w:val="Normal"/></w:pPr>
<w:r><w:t xml:space="preserve">who constructed a fort on the eastern extremity of the ridge.</w:t></w:r>
</w:p>
<w:p>
<w:pPr><w:pStyle w:val="Normal"/></w:pPr>
<w:r><w:t xml:space="preserve">Another citadel, Fort Moira, is situated on the other extremity</w:t></w:r>
</w:p>
<w:p>
<w:pPr><w:pStyle w:val="Normal"/></w:pPr>
<w:r><w:t xml:space="preserve">of the ridge.  Almora is also celebrated as the scene of the</w:t></w:r>
</w:p>
<w:p>
<w:pPr><w:pStyle w:val="Normal"/></w:pPr>
<w:r><w:t xml:space="preserve">British victory which terminated the war with Nepal in April</w:t></w:r>
</w:p>
<w:p>
<w:pPr><w:pStyle w:val="Normal"/></w:pPr>
<w:r><w:t xml:space="preserve">1815, and which resulted in the evacuation of Kumaon by the</w:t></w:r>
</w:p>
<w:p>
<w:pPr><w:pStyle w:val="Normal"/></w:pPr>
<w:r><w:t xml:space="preserve">Gurkhas and the annexation of the province by the British.</w:t></w:r>
</w:p>
<w:p>
<w:pPr><w:pStyle w:val="Normal"/></w:pPr>
<w:r><w:t xml:space="preserve">The DISTRICT OF ALMORA was constituted in 1891, together</w:t></w:r>
</w:p>
<w:p>
<w:pPr><w:pStyle w:val="Normal"/></w:pPr>
<w:r><w:t xml:space="preserve">with Naini Tal, by a redistribution of the two former districts</w:t></w:r>
</w:p>
<w:p>
<w:pPr><w:pStyle w:val="Normal"/></w:pPr>
<w:r><w:t xml:space="preserve">of Kumaon and the Tarai.  It lies among the mountains of</w:t></w:r>
</w:p>
<w:p>
<w:pPr><w:pStyle w:val="Normal"/></w:pPr>
<w:r><w:t xml:space="preserve">Kumaon, between the upper waters of the Ganges and the Gogra,</w:t></w:r>
</w:p>
<w:p>
<w:pPr><w:pStyle w:val="Normal"/></w:pPr>
<w:r><w:t xml:space="preserve">here called the Rali.  Area, 5419 sq. m.; pop. (1901) 465,893,</w:t></w:r>
</w:p>
<w:p>
<w:pPr><w:pStyle w:val="Normal"/></w:pPr>
<w:r><w:t xml:space="preserve">showing an increase of 13% during the decade.  Tea is grown</w:t></w:r>
</w:p>
<w:p>
<w:pPr><w:pStyle w:val="Normal"/></w:pPr>
<w:r><w:t xml:space="preserve">in the district, which includes the military sanatorium of</w:t></w:r>
</w:p>
<w:p>
<w:pPr><w:pStyle w:val="Normal"/></w:pPr>
<w:r><w:t xml:space="preserve">Ranikliet.  The nearest railway via Naini Tal is the extension</w:t></w:r>
</w:p>
<w:p>
<w:pPr><w:pStyle w:val="Normal"/></w:pPr>
<w:r><w:t xml:space="preserve">of the Oudh and Rohilkhand line from near Bareilly to Kathgodam.</w:t></w:r>
</w:p>
<w:p>
<w:pPr><w:pStyle w:val="Normal"/></w:pPr>
<w:r><w:t xml:space="preserve">ALMORAVIDES (properly Murabtis, the name being</w:t></w:r>
</w:p>
<w:p>
<w:pPr><w:pStyle w:val="Normal"/></w:pPr>
<w:r><w:t xml:space="preserve">corrupted through the Spanish), a Berber horde from the Sahara</w:t></w:r>
</w:p>
<w:p>
<w:pPr><w:pStyle w:val="Normal"/></w:pPr>
<w:r><w:t xml:space="preserve">which, in the 11th century, founded the fourth dynasty in</w:t></w:r>
</w:p>
<w:p>
<w:pPr><w:pStyle w:val="Normal"/></w:pPr>
<w:r><w:t xml:space="preserve">Morocco.  By this dynasty the Moorish empire was extended over</w:t></w:r>
</w:p>
<w:p>
<w:pPr><w:pStyle w:val="Normal"/></w:pPr>
<w:r><w:t xml:space="preserve">Tlemcen and a great part of Soam and Portugal.  The name is</w:t></w:r>
</w:p>
<w:p>
<w:pPr><w:pStyle w:val="Normal"/></w:pPr>
<w:r><w:t xml:space="preserve">derived from the Arab. Murabit, a religious ascetic (see</w:t></w:r>
</w:p>
<w:p>
<w:pPr><w:pStyle w:val="Normal"/></w:pPr>
<w:r><w:t xml:space="preserve">MARABOUT.) The most powerful of the invading tribes was</w:t></w:r>
</w:p>
<w:p>
<w:pPr><w:pStyle w:val="Normal"/></w:pPr>
<w:r><w:t xml:space="preserve">the Lamtuna (``veiled men&apos;&apos;) from the upper Niger, whose</w:t></w:r>
</w:p>
<w:p>
<w:pPr><w:pStyle w:val="Normal"/></w:pPr>
<w:r><w:t xml:space="preserve">best-known representatives now are the Tuareg.  They had been</w:t></w:r>
</w:p>
<w:p>
<w:pPr><w:pStyle w:val="Normal"/></w:pPr>
<w:r><w:t xml:space="preserve">converted to Mahommedanism in the early times of the Arab</w:t></w:r>
</w:p>
<w:p>
<w:pPr><w:pStyle w:val="Normal"/></w:pPr>
<w:r><w:t xml:space="preserve">conquest, but their knowledge of Islam did not go much beyond</w:t></w:r>
</w:p>
<w:p>
<w:pPr><w:pStyle w:val="Normal"/></w:pPr>
<w:r><w:t xml:space="preserve">the formula of the creed---``there is no god but God, and</w:t></w:r>
</w:p>
<w:p>
<w:pPr><w:pStyle w:val="Normal"/></w:pPr>
<w:r><w:t xml:space="preserve">Mahomet is the apostle of God,&apos;&apos;--and they were ignorant of the</w:t></w:r>
</w:p>
<w:p>
<w:pPr><w:pStyle w:val="Normal"/></w:pPr>
<w:r><w:t xml:space="preserve">law.  About the year 1040 or a little earlier, one of their</w:t></w:r>
</w:p>
<w:p>
<w:pPr><w:pStyle w:val="Normal"/></w:pPr>
<w:r><w:t xml:space="preserve">chiefs, Yahya ibn Ibrahim, made the pilgrimage to Mecca.</w:t></w:r>
</w:p>
<w:p>
<w:pPr><w:pStyle w:val="Normal"/></w:pPr>
<w:r><w:t xml:space="preserve">On his way home he attended the teachers of the mosque at</w:t></w:r>
</w:p>
<w:p>
<w:pPr><w:pStyle w:val="Normal"/></w:pPr>
<w:r><w:t xml:space="preserve">Kairawan, in Tunisia, who soon learnt from him that his</w:t></w:r>
</w:p>
<w:p>
<w:pPr><w:pStyle w:val="Normal"/></w:pPr>
<w:r><w:t xml:space="preserve">people knew little of the religion they were supposed to</w:t></w:r>
</w:p>
<w:p>
<w:pPr><w:pStyle w:val="Normal"/></w:pPr>
<w:r><w:t xml:space="preserve">profess, and that though his will was good, his own ignorance</w:t></w:r>
</w:p>
<w:p>
<w:pPr><w:pStyle w:val="Normal"/></w:pPr>
<w:r><w:t xml:space="preserve">was great.  By the good offices of the theologians of</w:t></w:r>
</w:p>
<w:p>
<w:pPr><w:pStyle w:val="Normal"/></w:pPr>
<w:r><w:t xml:space="preserve">Kairawan, one of whom was from Fez, Yahya was provided</w:t></w:r>
</w:p>
<w:p>
<w:pPr><w:pStyle w:val="Normal"/></w:pPr>
<w:r><w:t xml:space="preserve">with a missionary,&apos;Abd-Allah ibn Yazin, a zealous partisan</w:t></w:r>
</w:p>
<w:p>
<w:pPr><w:pStyle w:val="Normal"/></w:pPr>
<w:r><w:t xml:space="preserve">of the Malokis, one of the four orthodox sects of Islam.</w:t></w:r>
</w:p>
<w:p>
<w:pPr><w:pStyle w:val="Normal"/></w:pPr>
<w:r><w:t xml:space="preserve">His preaching was for long rejected by the Lamtunas, so</w:t></w:r>
</w:p>
<w:p>
<w:pPr><w:pStyle w:val="Normal"/></w:pPr>
<w:r><w:t xml:space="preserve">on the advice of his patron Yahya, who accompanied him, he</w:t></w:r>
</w:p>
<w:p>
<w:pPr><w:pStyle w:val="Normal"/></w:pPr>
<w:r><w:t xml:space="preserve">retired to an island in the Niger, where he founded a ribat</w:t></w:r>
</w:p>
<w:p>
<w:pPr><w:pStyle w:val="Normal"/></w:pPr>
<w:r><w:t xml:space="preserve">or Moslem monastery, from which as a centre his influence</w:t></w:r>
</w:p>
<w:p>
<w:pPr><w:pStyle w:val="Normal"/></w:pPr>
<w:r><w:t xml:space="preserve">spread.  There was no element of heresy in his creed, which</w:t></w:r>
</w:p>
<w:p>
<w:pPr><w:pStyle w:val="Normal"/></w:pPr>
<w:r><w:t xml:space="preserve">was mainly distinguished by a rigid formalism and strict</w:t></w:r>
</w:p>
<w:p>
<w:pPr><w:pStyle w:val="Normal"/></w:pPr>
<w:r><w:t xml:space="preserve">obedience to the letter of the Koran and the orthodox tradition</w:t></w:r>
</w:p>
<w:p>
<w:pPr><w:pStyle w:val="Normal"/></w:pPr>
<w:r><w:t xml:space="preserve">or Sunna. `Abd-Allah imposed a penitential scourging on all</w:t></w:r>
</w:p>
<w:p>
<w:pPr><w:pStyle w:val="Normal"/></w:pPr>
<w:r><w:t xml:space="preserve">converts as a purification, and enforced a regular system of</w:t></w:r>
</w:p>
<w:p>
<w:pPr><w:pStyle w:val="Normal"/></w:pPr>
<w:r><w:t xml:space="preserve">discipline for every breach of the law, even on the chiefs.</w:t></w:r>
</w:p>
<w:p>
<w:pPr><w:pStyle w:val="Normal"/></w:pPr>
<w:r><w:t xml:space="preserve">Under such directions the Murabtis were brought to excellent</w:t></w:r>
</w:p>
<w:p>
<w:pPr><w:pStyle w:val="Normal"/></w:pPr>
<w:r><w:t xml:space="preserve">order.  Their first military leader, Yahya ibn Omar, gave them</w:t></w:r>
</w:p>
<w:p>
<w:pPr><w:pStyle w:val="Normal"/></w:pPr>
<w:r><w:t xml:space="preserve">a good military organization.  Their main force was infantry,</w:t></w:r>
</w:p>
<w:p>
<w:pPr><w:pStyle w:val="Normal"/></w:pPr>
<w:r><w:t xml:space="preserve">armed with javelins in the front ranks and pikes behind, formed</w:t></w:r>
</w:p>
<w:p>
<w:pPr><w:pStyle w:val="Normal"/></w:pPr>
<w:r><w:t xml:space="preserve">into a phalanx and supported by camelmen and horsemen on the</w:t></w:r>
</w:p>
<w:p>
<w:pPr><w:pStyle w:val="Normal"/></w:pPr>
<w:r><w:t xml:space="preserve">flanks.  From the year 1053 the Murabtis began to impose</w:t></w:r>
</w:p>
<w:p>
<w:pPr><w:pStyle w:val="Normal"/></w:pPr>
<w:r><w:t xml:space="preserve">their orthodox and puritanical religion on the Berber tribes</w:t></w:r>
</w:p>
<w:p>
<w:pPr><w:pStyle w:val="Normal"/></w:pPr>
<w:r><w:t xml:space="preserve">of the desert, and on the pagan negroes.  Yahya was killed</w:t></w:r>
</w:p>
<w:p>
<w:pPr><w:pStyle w:val="Normal"/></w:pPr>
<w:r><w:t xml:space="preserve">in battle in 1056, but `Abd-Allah, whose influence as a</w:t></w:r>
</w:p>
<w:p>
<w:pPr><w:pStyle w:val="Normal"/></w:pPr>
<w:r><w:t xml:space="preserve">religious teacher was paramount, named his brother Abu Bakr as</w:t></w:r>
</w:p>
<w:p>
<w:pPr><w:pStyle w:val="Normal"/></w:pPr>
<w:r><w:t xml:space="preserve">chief.  Under him the Murabtis soon began to spread their</w:t></w:r>
</w:p>
<w:p>
<w:pPr><w:pStyle w:val="Normal"/></w:pPr>
<w:r><w:t xml:space="preserve">power beyond the desert, and subjected the tribes of the</w:t></w:r>
</w:p>
<w:p>
<w:pPr><w:pStyle w:val="Normal"/></w:pPr>
<w:r><w:t xml:space="preserve">Atlas.  They then came in contact with the Berghwata, a</w:t></w:r>
</w:p>
<w:p>
<w:pPr><w:pStyle w:val="Normal"/></w:pPr>
<w:r><w:t xml:space="preserve">Berber people of central Morocco, who followed a heresy</w:t></w:r>
</w:p>
<w:p>
<w:pPr><w:pStyle w:val="Normal"/></w:pPr>
<w:r><w:t xml:space="preserve">founded by Salah ibn Tarif 300 years previously.  The</w:t></w:r>
</w:p>
<w:p>
<w:pPr><w:pStyle w:val="Normal"/></w:pPr>
<w:r><w:t xml:space="preserve">Berghwata made a fierce resistance, and it was in battle</w:t></w:r>
</w:p>
<w:p>
<w:pPr><w:pStyle w:val="Normal"/></w:pPr>
<w:r><w:t xml:space="preserve">with them that `Abd-Allah ibn Yazin won the crown of</w:t></w:r>
</w:p>
<w:p>
<w:pPr><w:pStyle w:val="Normal"/></w:pPr>
<w:r><w:t xml:space="preserve">martyrdom.  They were, however, completely conquered by Abu</w:t></w:r>
</w:p>
<w:p>
<w:pPr><w:pStyle w:val="Normal"/></w:pPr>
<w:r><w:t xml:space="preserve">Bakr, who espoused the defeated chief&apos;s widow, Zainab.</w:t></w:r>
</w:p>
<w:p>
<w:pPr><w:pStyle w:val="Normal"/></w:pPr>
<w:r><w:t xml:space="preserve">In 1061 Abu Bakr made a division of the power he had</w:t></w:r>
</w:p>
<w:p>
<w:pPr><w:pStyle w:val="Normal"/></w:pPr>
<w:r><w:t xml:space="preserve">established, handing over the more settled parts to his</w:t></w:r>
</w:p>
<w:p>
<w:pPr><w:pStyle w:val="Normal"/></w:pPr>
<w:r><w:t xml:space="preserve">cousin Yusef ibn Tashfin, as viceroy, resigning to him</w:t></w:r>
</w:p>
<w:p>
<w:pPr><w:pStyle w:val="Normal"/></w:pPr>
<w:r><w:t xml:space="preserve">also his favourite wife Zainab, who had the reputation of a</w:t></w:r>
</w:p>
<w:p>
<w:pPr><w:pStyle w:val="Normal"/></w:pPr>
<w:r><w:t xml:space="preserve">sorceress.  For himself he reserved the task of suppressing</w:t></w:r>
</w:p>
<w:p>
<w:pPr><w:pStyle w:val="Normal"/></w:pPr>
<w:r><w:t xml:space="preserve">the revolts which had broken out in the desert, but when he</w:t></w:r>
</w:p>
<w:p>
<w:pPr><w:pStyle w:val="Normal"/></w:pPr>
<w:r><w:t xml:space="preserve">returned to resume control he found his cousin too powerful</w:t></w:r>
</w:p>
<w:p>
<w:pPr><w:pStyle w:val="Normal"/></w:pPr>
<w:r><w:t xml:space="preserve">to be superseded, so he had to go back to the Sahara, where</w:t></w:r>
</w:p>
<w:p>
<w:pPr><w:pStyle w:val="Normal"/></w:pPr>
<w:r><w:t xml:space="preserve">in 1087 he too attained martyrdom, having been wounded</w:t></w:r>
</w:p>
<w:p>
<w:pPr><w:pStyle w:val="Normal"/></w:pPr>
<w:r><w:t xml:space="preserve">with a poisoned arrow in battle with the pagan negroes.</w:t></w:r>
</w:p>
<w:p>
<w:pPr><w:pStyle w:val="Normal"/></w:pPr>
<w:r><w:t xml:space="preserve">Ibn Tashfin, who was largely guided by Zainab, had in the</w:t></w:r>
</w:p>
<w:p>
<w:pPr><w:pStyle w:val="Normal"/></w:pPr>
<w:r><w:t xml:space="preserve">meantime brought what is now known as Morocco to complete</w:t></w:r>
</w:p>
<w:p>
<w:pPr><w:pStyle w:val="Normal"/></w:pPr>
<w:r><w:t xml:space="preserve">subjection, and in 1062 had founded the city of Marrakesh</w:t></w:r>
</w:p>
<w:p>
<w:pPr><w:pStyle w:val="Normal"/></w:pPr>
<w:r><w:t xml:space="preserve">(``Morocco City&apos;&apos;).  He is distinguished as Yusef I. In</w:t></w:r>
</w:p>
<w:p>
<w:pPr><w:pStyle w:val="Normal"/></w:pPr>
<w:r><w:t xml:space="preserve">1080 he conquered the kingdom of Tlemcen and founded the</w:t></w:r>
</w:p>
<w:p>
<w:pPr><w:pStyle w:val="Normal"/></w:pPr>
<w:r><w:t xml:space="preserve">present city of that name, his rule extending as far east as</w:t></w:r>
</w:p>
<w:p>
<w:pPr><w:pStyle w:val="Normal"/></w:pPr>
<w:r><w:t xml:space="preserve">Oran.  In 1086 he was invited by the Mahommedan princes in</w:t></w:r>
</w:p>
<w:p>
<w:pPr><w:pStyle w:val="Normal"/></w:pPr>
<w:r><w:t xml:space="preserve">Spain to defend them against Alphonso VI., king of Castile and</w:t></w:r>
</w:p>
<w:p>
<w:pPr><w:pStyle w:val="Normal"/></w:pPr>
<w:r><w:t xml:space="preserve">Leon.  In that year Yusef passed the straits to Algeciras,</w:t></w:r>
</w:p>
<w:p>
<w:pPr><w:pStyle w:val="Normal"/></w:pPr>
<w:r><w:t xml:space="preserve">and on the 23rd of October inflicted a severe defeat on</w:t></w:r>
</w:p>
<w:p>
<w:pPr><w:pStyle w:val="Normal"/></w:pPr>
<w:r><w:t xml:space="preserve">the Christians at Sacrahas, or in Arabic, Zallaka, near</w:t></w:r>
</w:p>
<w:p>
<w:pPr><w:pStyle w:val="Normal"/></w:pPr>
<w:r><w:t xml:space="preserve">Badajoz.  He was debarred from following up his victory</w:t></w:r>
</w:p>
<w:p>
<w:pPr><w:pStyle w:val="Normal"/></w:pPr>
<w:r><w:t xml:space="preserve">by trouble in Africa which he had to settle in person.</w:t></w:r>
</w:p>
<w:p>
<w:pPr><w:pStyle w:val="Normal"/></w:pPr>
<w:r><w:t xml:space="preserve">When he returned to Spain in 1090 it was avowedly for the</w:t></w:r>
</w:p>
<w:p>
<w:pPr><w:pStyle w:val="Normal"/></w:pPr>
<w:r><w:t xml:space="preserve">purpose of deposing the Mahommedan princes and annexing their</w:t></w:r>
</w:p>
<w:p>
<w:pPr><w:pStyle w:val="Normal"/></w:pPr>
<w:r><w:t xml:space="preserve">states.  He had in his favour the mass of the inhabitants,</w:t></w:r>
</w:p>
<w:p>
<w:pPr><w:pStyle w:val="Normal"/></w:pPr>
<w:r><w:t xml:space="preserve">who were worn out by the oppressive taxation imposed by their</w:t></w:r>
</w:p>
<w:p>
<w:pPr><w:pStyle w:val="Normal"/></w:pPr>
<w:r><w:t xml:space="preserve">spendthrift rulers.  Their religious teachers detested the</w:t></w:r>
</w:p>
<w:p>
<w:pPr><w:pStyle w:val="Normal"/></w:pPr>
<w:r><w:t xml:space="preserve">native Mahommedan princes for their religious indifference,</w:t></w:r>
</w:p>
<w:p>
<w:pPr><w:pStyle w:val="Normal"/></w:pPr>
<w:r><w:t xml:space="preserve">and gave Yusef a fetwa---or legal opinion---to the effect</w:t></w:r>
</w:p>
<w:p>
<w:pPr><w:pStyle w:val="Normal"/></w:pPr>
<w:r><w:t xml:space="preserve">that he had good moral and religious right to dethrone the</w:t></w:r>
</w:p>
<w:p>
<w:pPr><w:pStyle w:val="Normal"/></w:pPr>
<w:r><w:t xml:space="preserve">heterodox rulers who did not scruple to seek help from the</w:t></w:r>
</w:p>
<w:p>
<w:pPr><w:pStyle w:val="Normal"/></w:pPr>
<w:r><w:t xml:space="preserve">Christians whose bad habits they had adopted.  By 1094 he</w:t></w:r>
</w:p>
<w:p>
<w:pPr><w:pStyle w:val="Normal"/></w:pPr>
<w:r><w:t xml:space="preserve">had removed them all, and though he regained little from the</w:t></w:r>
</w:p>
<w:p>
<w:pPr><w:pStyle w:val="Normal"/></w:pPr>
<w:r><w:t xml:space="preserve">Christians except Valencia, he reunited the Mahommedan power</w:t></w:r>
</w:p>
<w:p>
<w:pPr><w:pStyle w:val="Normal"/></w:pPr>
<w:r><w:t xml:space="preserve">and gave a check to the reconquest of the country by the</w:t></w:r>
</w:p>
<w:p>
<w:pPr><w:pStyle w:val="Normal"/></w:pPr>
<w:r><w:t xml:space="preserve">Christians.  After friendly correspondence with the caliph at</w:t></w:r>
</w:p>
<w:p>
<w:pPr><w:pStyle w:val="Normal"/></w:pPr>
<w:r><w:t xml:space="preserve">Bagdad, whom he acknowledged as Amir el Aluminin, ``Prince</w:t></w:r>
</w:p>
<w:p>
<w:pPr><w:pStyle w:val="Normal"/></w:pPr>
<w:r><w:t xml:space="preserve">of the Faithful,&apos;&apos; Yusef in 1097 assumed the title of</w:t></w:r>
</w:p>
<w:p>
<w:pPr><w:pStyle w:val="Normal"/></w:pPr>
<w:r><w:t xml:space="preserve">``Prince of the Resigned&apos;&apos;--- Amir el Muslimin.  He died in</w:t></w:r>
</w:p>
<w:p>
<w:pPr><w:pStyle w:val="Normal"/></w:pPr>
<w:r><w:t xml:space="preserve">1106, when he was reputed to have reached the age of 100.</w:t></w:r>
</w:p>
<w:p>
<w:pPr><w:pStyle w:val="Normal"/></w:pPr>
<w:r><w:t xml:space="preserve">The Murabti power was at its height at Yusef&apos;s death, and</w:t></w:r>
</w:p>
<w:p>
<w:pPr><w:pStyle w:val="Normal"/></w:pPr>
<w:r><w:t xml:space="preserve">the Moorish empire then included all North-West Africa as</w:t></w:r>
</w:p>
<w:p>
<w:pPr><w:pStyle w:val="Normal"/></w:pPr>
<w:r><w:t xml:space="preserve">far as Algiers, and all Spain south of the Tagus, with the</w:t></w:r>
</w:p>
<w:p>
<w:pPr><w:pStyle w:val="Normal"/></w:pPr>
<w:r><w:t xml:space="preserve">east coast as far as th mouth of the Ebro, and the Balearic</w:t></w:r>
</w:p>
<w:p>
<w:pPr><w:pStyle w:val="Normal"/></w:pPr>
<w:r><w:t xml:space="preserve">Islands.  Three years afterwards, under Yusef&apos;s son and</w:t></w:r>
</w:p>
<w:p>
<w:pPr><w:pStyle w:val="Normal"/></w:pPr>
<w:r><w:t xml:space="preserve">successor, `Ali III. of Morocco, Madrid, Lisbon and Oporto were</w:t></w:r>
</w:p>
<w:p>
<w:pPr><w:pStyle w:val="Normal"/></w:pPr>
<w:r><w:t xml:space="preserve">added, and Spain was again invaded in 1119 and 1121, but the</w:t></w:r>
</w:p>
<w:p>
<w:pPr><w:pStyle w:val="Normal"/></w:pPr>
<w:r><w:t xml:space="preserve">tide had turned, the French having assisted the Aragonese to</w:t></w:r>
</w:p>
<w:p>
<w:pPr><w:pStyle w:val="Normal"/></w:pPr>
<w:r><w:t xml:space="preserve">recover Saragossa.  In 1138 `Ali III. was defeated by Alphonso</w:t></w:r>
</w:p>
<w:p>
<w:pPr><w:pStyle w:val="Heading1"/></w:pPr>
<w:r><w:t>VII. of Castile and Leon, and in 1139 by Alphonso I. of</w:t></w:r>
</w:p>
<w:p>
<w:pPr><w:pStyle w:val="Normal"/></w:pPr>
<w:r><w:t xml:space="preserve">Portugal, who thereby won his crown, and Lisbon was recovered</w:t></w:r>
</w:p>
<w:p>
<w:pPr><w:pStyle w:val="Normal"/></w:pPr>
<w:r><w:t xml:space="preserve">by the Portuguese in 1147. `Ali III. was a pious nonentity,</w:t></w:r>
</w:p>
<w:p>
<w:pPr><w:pStyle w:val="Normal"/></w:pPr>
<w:r><w:t xml:space="preserve">who fasted and prayed while his empire fell to pieces under</w:t></w:r>
</w:p>
<w:p>
<w:pPr><w:pStyle w:val="Normal"/></w:pPr>
<w:r><w:t xml:space="preserve">the combined action of his Christian foes in Spain and the</w:t></w:r>
</w:p>
<w:p>
<w:pPr><w:pStyle w:val="Normal"/></w:pPr>
<w:r><w:t xml:space="preserve">agitation of the Muwahhadis or ``Almohades&apos;&apos; (q.v.) in</w:t></w:r>
</w:p>
<w:p>
<w:pPr><w:pStyle w:val="Normal"/></w:pPr>
<w:r><w:t xml:space="preserve">Morocco.  After `Ali&apos;s death in 1142, his son Tashfin lost</w:t></w:r>
</w:p>
<w:p>
<w:pPr><w:pStyle w:val="Normal"/></w:pPr>
<w:r><w:t xml:space="preserve">ground rapidly before the Muwahhadis, and in 1145 he</w:t></w:r>
</w:p>
<w:p>
<w:pPr><w:pStyle w:val="Normal"/></w:pPr>
<w:r><w:t xml:space="preserve">was killed by a fall from a precipice while endeavouring to</w:t></w:r>
</w:p>
<w:p>
<w:pPr><w:pStyle w:val="Normal"/></w:pPr>
<w:r><w:t xml:space="preserve">escape after a defeat near Oran.  His two successors Ibrahim</w:t></w:r>
</w:p>
<w:p>
<w:pPr><w:pStyle w:val="Normal"/></w:pPr>
<w:r><w:t xml:space="preserve">and Ishak are mere names.  The conquest of the city of</w:t></w:r>
</w:p>
<w:p>
<w:pPr><w:pStyle w:val="Normal"/></w:pPr>
<w:r><w:t xml:space="preserve">Marrakesh by the Muwahhadis in 1147 marked the fall of</w:t></w:r>
</w:p>
<w:p>
<w:pPr><w:pStyle w:val="Normal"/></w:pPr>
<w:r><w:t xml:space="preserve">the dynasty, though fragments of the Murabtis continued to</w:t></w:r>
</w:p>
<w:p>
<w:pPr><w:pStyle w:val="Normal"/></w:pPr>
<w:r><w:t xml:space="preserve">struggle in the Balearic Islands, and finally in Tunisia.</w:t></w:r>
</w:p>
<w:p>
<w:pPr><w:pStyle w:val="Normal"/></w:pPr>
<w:r><w:t xml:space="preserve">The amirs of the Murabti dynasty were as follows:---Yusef</w:t></w:r>
</w:p>
<w:p>
<w:pPr><w:pStyle w:val="Normal"/></w:pPr>
<w:r><w:t xml:space="preserve">I., bin Tashfin (1061); `Ali III. (1106); Tashfin</w:t></w:r>
</w:p>
<w:p>
<w:pPr><w:pStyle w:val="Heading1"/></w:pPr>
<w:r><w:t>I. (1143); Ibrahim II. (1145); Ishak (1146).</w:t></w:r>
</w:p>
<w:p>
<w:pPr><w:pStyle w:val="Normal"/></w:pPr>
<w:r><w:t xml:space="preserve">See Budgett Meakin, The Moorish Empire (London, 1899); the</w:t></w:r>
</w:p>
<w:p>
<w:pPr><w:pStyle w:val="Normal"/></w:pPr>
<w:r><w:t xml:space="preserve">anonymous Raodel el Kartas (Fez. 1326), translated by</w:t></w:r>
</w:p>
<w:p>
<w:pPr><w:pStyle w:val="Normal"/></w:pPr>
<w:r><w:t xml:space="preserve">Baymier as Roudh el-Kartas; (Paris, 1860); Ibn Khaldun,</w:t></w:r>
</w:p>
<w:p>
<w:pPr><w:pStyle w:val="Normal"/></w:pPr>
<w:r><w:t xml:space="preserve">Kitab el `Aibr...fi Aiyam el Maghrib, &amp;c. (cir.</w:t></w:r>
</w:p>
<w:p>
<w:pPr><w:pStyle w:val="Normal"/></w:pPr>
<w:r><w:t xml:space="preserve">1405), partly translated by de Slane as Histoire des</w:t></w:r>
</w:p>
<w:p>
<w:pPr><w:pStyle w:val="Normal"/></w:pPr>
<w:r><w:t xml:space="preserve">Berbers, vol. ii. (Algiers, 1852-1856); Makkari, History</w:t></w:r>
</w:p>
<w:p>
<w:pPr><w:pStyle w:val="Normal"/></w:pPr>
<w:r><w:t xml:space="preserve">of the Mahommedan Dynasties in Spain, translated by</w:t></w:r>
</w:p>
<w:p>
<w:pPr><w:pStyle w:val="Normal"/></w:pPr>
<w:r><w:t xml:space="preserve">Gayangos (London, 1840); Histoire des Mussulmans d&apos;Espagne,</w:t></w:r>
</w:p>
<w:p>
<w:pPr><w:pStyle w:val="Normal"/></w:pPr>
<w:r><w:t xml:space="preserve">by R. Dozy, vol. iv. (Leiden, 1861). (B. M.*; D. H.)</w:t></w:r>
</w:p>
<w:p>
<w:pPr><w:pStyle w:val="Normal"/></w:pPr>
<w:r><w:t xml:space="preserve">ALMQVIST, KARL JONAS LUDWIG (1793-1866), Swedish writer,</w:t></w:r>
</w:p>
<w:p>
<w:pPr><w:pStyle w:val="Normal"/></w:pPr>
<w:r><w:t xml:space="preserve">was born at Stockholm in 1793.  He became a student at Upsala,</w:t></w:r>
</w:p>
<w:p>
<w:pPr><w:pStyle w:val="Normal"/></w:pPr>
<w:r><w:t xml:space="preserve">where his father was professor of theology, in 1808, and took</w:t></w:r>
</w:p>
<w:p>
<w:pPr><w:pStyle w:val="Normal"/></w:pPr>
<w:r><w:t xml:space="preserve">his degree in 1815.  He began life under highly favourable</w:t></w:r>
</w:p>
<w:p>
<w:pPr><w:pStyle w:val="Normal"/></w:pPr>
<w:r><w:t xml:space="preserve">auspices; but becoming tired of a university career, in</w:t></w:r>
</w:p>
<w:p>
<w:pPr><w:pStyle w:val="Normal"/></w:pPr>
<w:r><w:t xml:space="preserve">1823 he threw up the position he held in the capital to lead</w:t></w:r>
</w:p>
<w:p>
<w:pPr><w:pStyle w:val="Normal"/></w:pPr>
<w:r><w:t xml:space="preserve">a colony of friends to the wilds of Wermland.  This ideal</w:t></w:r>
</w:p>
<w:p>
<w:pPr><w:pStyle w:val="Normal"/></w:pPr>
<w:r><w:t xml:space="preserve">Scandinavian life soon proved a failure; Almqvist found the</w:t></w:r>
</w:p>
<w:p>
<w:pPr><w:pStyle w:val="Normal"/></w:pPr>
<w:r><w:t xml:space="preserve">pen easier to wield than the plough, and in 1828 he returned</w:t></w:r>
</w:p>
<w:p>
<w:pPr><w:pStyle w:val="Normal"/></w:pPr>
<w:r><w:t xml:space="preserve">to Stockholm as a teacher in the new Elementary School there,</w:t></w:r>
</w:p>
<w:p>
<w:pPr><w:pStyle w:val="Normal"/></w:pPr>
<w:r><w:t xml:space="preserve">of which he became rector in 1829.  Now began his literary</w:t></w:r>
</w:p>
<w:p>
<w:pPr><w:pStyle w:val="Normal"/></w:pPr>
<w:r><w:t xml:space="preserve">life; and after bringing out several educational works,</w:t></w:r>
</w:p>
<w:p>
<w:pPr><w:pStyle w:val="Normal"/></w:pPr>
<w:r><w:t xml:space="preserve">he made himself suddenly famous by the publication of his</w:t></w:r>
</w:p>
<w:p>
<w:pPr><w:pStyle w:val="Normal"/></w:pPr>
<w:r><w:t xml:space="preserve">great series of novels, called The Book of the Thorn-Rose</w:t></w:r>
</w:p>
<w:p>
<w:pPr><w:pStyle w:val="Normal"/></w:pPr>
<w:r><w:t xml:space="preserve">(1832-1835).  The career so begun developed with extraordinary</w:t></w:r>
</w:p>
<w:p>
<w:pPr><w:pStyle w:val="Normal"/></w:pPr>
<w:r><w:t xml:space="preserve">rapidity; few writers have equalled Almqvist in productiveness</w:t></w:r>
</w:p>
<w:p>
<w:pPr><w:pStyle w:val="Normal"/></w:pPr>
<w:r><w:t xml:space="preserve">and versatility; lyrical, epic and dramatic poems; romances;</w:t></w:r>
</w:p>
<w:p>
<w:pPr><w:pStyle w:val="Normal"/></w:pPr>
<w:r><w:t xml:space="preserve">lectures; philosophical, aesthetical, moral, political and</w:t></w:r>
</w:p>
<w:p>
<w:pPr><w:pStyle w:val="Normal"/></w:pPr>
<w:r><w:t xml:space="preserve">educational treatises; works of religious edification, studies</w:t></w:r>
</w:p>
<w:p>
<w:pPr><w:pStyle w:val="Normal"/></w:pPr>
<w:r><w:t xml:space="preserve">in lexicography and history, in mathematics and philology,</w:t></w:r>
</w:p>
<w:p>
<w:pPr><w:pStyle w:val="Normal"/></w:pPr>
<w:r><w:t xml:space="preserve">form the most prominent of his countless contributions to</w:t></w:r>
</w:p>
<w:p>
<w:pPr><w:pStyle w:val="Normal"/></w:pPr>
<w:r><w:t xml:space="preserve">modern Swedish literature.  So excellent was his style, that</w:t></w:r>
</w:p>
<w:p>
<w:pPr><w:pStyle w:val="Normal"/></w:pPr>
<w:r><w:t xml:space="preserve">in this respect he has been considered the first of Swedish</w:t></w:r>
</w:p>
<w:p>
<w:pPr><w:pStyle w:val="Normal"/></w:pPr>
<w:r><w:t xml:space="preserve">writers.  His life was as varied as his work.  Unsettled,</w:t></w:r>
</w:p>
<w:p>
<w:pPr><w:pStyle w:val="Normal"/></w:pPr>
<w:r><w:t xml:space="preserve">unstable in all his doings, he passed from one lucrative post</w:t></w:r>
</w:p>
<w:p>
<w:pPr><w:pStyle w:val="Normal"/></w:pPr>
<w:r><w:t xml:space="preserve">to another, at last subsisting entirely on the proceeds of</w:t></w:r>
</w:p>
<w:p>
<w:pPr><w:pStyle w:val="Normal"/></w:pPr>
<w:r><w:t xml:space="preserve">literary and journalistic labour.  More and more vehemently</w:t></w:r>
</w:p>
<w:p>
<w:pPr><w:pStyle w:val="Normal"/></w:pPr>
<w:r><w:t xml:space="preserve">he espoused the cause of socialism in his brilliant novels and</w:t></w:r>
</w:p>
<w:p>
<w:pPr><w:pStyle w:val="Normal"/></w:pPr>
<w:r><w:t xml:space="preserve">pamphlets; friends were beginning to leave him, foes beginning</w:t></w:r>
</w:p>
<w:p>
<w:pPr><w:pStyle w:val="Normal"/></w:pPr>
<w:r><w:t xml:space="preserve">to triumph, when suddenly all minor criticism was silenced by</w:t></w:r>
</w:p>
<w:p>
<w:pPr><w:pStyle w:val="Normal"/></w:pPr>
<w:r><w:t xml:space="preserve">the astounding news that Almqvist, convicted of forgery and</w:t></w:r>
</w:p>
<w:p>
<w:pPr><w:pStyle w:val="Normal"/></w:pPr>
<w:r><w:t xml:space="preserve">charged with murder, had fled from Sweden.  This occurred in</w:t></w:r>
</w:p>
<w:p>
<w:pPr><w:pStyle w:val="Normal"/></w:pPr>
<w:r><w:t xml:space="preserve">1851.  For many years no more was heard of him; but it is</w:t></w:r>
</w:p>
<w:p>
<w:pPr><w:pStyle w:val="Normal"/></w:pPr>
<w:r><w:t xml:space="preserve">now known that he went over to America and settled in St</w:t></w:r>
</w:p>
<w:p>
<w:pPr><w:pStyle w:val="Normal"/></w:pPr>
<w:r><w:t xml:space="preserve">Louis.  During a journey through Texas he was robbed of</w:t></w:r>
</w:p>
<w:p>
<w:pPr><w:pStyle w:val="Normal"/></w:pPr>
<w:r><w:t xml:space="preserve">all his manuscripts, among which are believed to have been</w:t></w:r>
</w:p>
<w:p>
<w:pPr><w:pStyle w:val="Normal"/></w:pPr>
<w:r><w:t xml:space="preserve">several unprinted novels.  He is said to have appealed in</w:t></w:r>
</w:p>
<w:p>
<w:pPr><w:pStyle w:val="Normal"/></w:pPr>
<w:r><w:t xml:space="preserve">person to President Lincoln, but the robbers could not be</w:t></w:r>
</w:p>
<w:p>
<w:pPr><w:pStyle w:val="Normal"/></w:pPr>
<w:r><w:t xml:space="preserve">traced.  The American adventures of Almquist remain exceedingly</w:t></w:r>
</w:p>
<w:p>
<w:pPr><w:pStyle w:val="Normal"/></w:pPr>
<w:r><w:t xml:space="preserve">obscure, and some of the most remarkable have been proved to be</w:t></w:r>
</w:p>
<w:p>
<w:pPr><w:pStyle w:val="Normal"/></w:pPr>
<w:r><w:t xml:space="preserve">fabulous.  In 1865 he returned to Europe, and his strange and</w:t></w:r>
</w:p>
<w:p>
<w:pPr><w:pStyle w:val="Normal"/></w:pPr>
<w:r><w:t xml:space="preserve">sinister existence came to a close at Bremen on the 26th of</w:t></w:r>
</w:p>
<w:p>
<w:pPr><w:pStyle w:val="Normal"/></w:pPr>
<w:r><w:t xml:space="preserve">September 1866.  It is by his romances, undoubtedly the best in</w:t></w:r>
</w:p>
<w:p>
<w:pPr><w:pStyle w:val="Normal"/></w:pPr>
<w:r><w:t xml:space="preserve">Swedish, that his literary fame will mainly be supported; but</w:t></w:r>
</w:p>
<w:p>
<w:pPr><w:pStyle w:val="Normal"/></w:pPr>
<w:r><w:t xml:space="preserve">his singular history will always point him out as a remarkable</w:t></w:r>
</w:p>
<w:p>
<w:pPr><w:pStyle w:val="Normal"/></w:pPr>
<w:r><w:t xml:space="preserve">figure even when his works are no longer read.  He was another</w:t></w:r>
</w:p>
<w:p>
<w:pPr><w:pStyle w:val="Normal"/></w:pPr>
<w:r><w:t xml:space="preserve">Eugene Arara, but of greater genius, and so far more successful</w:t></w:r>
</w:p>
<w:p>
<w:pPr><w:pStyle w:val="Normal"/></w:pPr>
<w:r><w:t xml:space="preserve">that he escaped the judicial penalty of his crimes. (E. G.)</w:t></w:r>
</w:p>
<w:p>
<w:pPr><w:pStyle w:val="Normal"/></w:pPr>
<w:r><w:t xml:space="preserve">ALMS, the giving of relief, and the relief given, whether</w:t></w:r>
</w:p>
<w:p>
<w:pPr><w:pStyle w:val="Normal"/></w:pPr>
<w:r><w:t xml:space="preserve">in goods or money, to the poor, particularly applied to the</w:t></w:r>
</w:p>
<w:p>
<w:pPr><w:pStyle w:val="Normal"/></w:pPr>
<w:r><w:t xml:space="preserve">charity bestowed under a sense of religious obligation (see</w:t></w:r>
</w:p>
<w:p>
<w:pPr><w:pStyle w:val="Normal"/></w:pPr>
<w:r><w:t xml:space="preserve">CHARITY AND CHARITIES.) The word in O. Eng. was aelmysse,</w:t></w:r>
</w:p>
<w:p>
<w:pPr><w:pStyle w:val="Normal"/></w:pPr>
<w:r><w:t xml:space="preserve">and is derived through the Teutonic adaptation (cf. the modern</w:t></w:r>
</w:p>
<w:p>
<w:pPr><w:pStyle w:val="Normal"/></w:pPr>
<w:r><w:t xml:space="preserve">Ger. almosen ) of the Latinized form of the Gr. lleemosbne,</w:t></w:r>
</w:p>
<w:p>
<w:pPr><w:pStyle w:val="Normal"/></w:pPr>
<w:r><w:t xml:space="preserve">compassion or mercy, from ileos, pity.  The English word</w:t></w:r>
</w:p>
<w:p>
<w:pPr><w:pStyle w:val="Normal"/></w:pPr>
<w:r><w:t xml:space="preserve">``eleemosynary,&apos;&apos; that which is given in the way of alms,</w:t></w:r>
</w:p>
<w:p>
<w:pPr><w:pStyle w:val="Normal"/></w:pPr>
<w:r><w:t xml:space="preserve">charitable, gratuitous, derives direct from the Greek. ``Alms&apos;&apos;</w:t></w:r>
</w:p>
<w:p>
<w:pPr><w:pStyle w:val="Normal"/></w:pPr>
<w:r><w:t xml:space="preserve">is often, like ``riches,&apos;&apos; wrongly taken as a plural word.</w:t></w:r>
</w:p>
<w:p>
<w:pPr><w:pStyle w:val="Normal"/></w:pPr>
<w:r><w:t xml:space="preserve">ALMSHOUSE, a house built and endowed by private charity for</w:t></w:r>
</w:p>
<w:p>
<w:pPr><w:pStyle w:val="Normal"/></w:pPr>
<w:r><w:t xml:space="preserve">the residence of poor and usually aged people.  The greater</w:t></w:r>
</w:p>
<w:p>
<w:pPr><w:pStyle w:val="Normal"/></w:pPr>
<w:r><w:t xml:space="preserve">portion were built after the Reformation.  Two interesting</w:t></w:r>
</w:p>
<w:p>
<w:pPr><w:pStyle w:val="Normal"/></w:pPr>
<w:r><w:t xml:space="preserve">examples are the Hospital of St Cross, near Winchester, founded</w:t></w:r>
</w:p>
<w:p>
<w:pPr><w:pStyle w:val="Normal"/></w:pPr>
<w:r><w:t xml:space="preserve">in 1136, and Coningsby Hospital at Hereford, founded in 1614.</w:t></w:r>
</w:p>
<w:p>
<w:pPr><w:pStyle w:val="Normal"/></w:pPr>
<w:r><w:t xml:space="preserve">ALMUCE, or AMICE (O. Fr. aumuce, O. Eng. aumuce,</w:t></w:r>
</w:p>
<w:p>
<w:pPr><w:pStyle w:val="Normal"/></w:pPr>
<w:r><w:t xml:space="preserve">amys, amess, &amp;c., from late Lat. almucia, almucium,</w:t></w:r>
</w:p>
<w:p>
<w:pPr><w:pStyle w:val="Normal"/></w:pPr>
<w:r><w:t xml:space="preserve">armucia. &amp;c.), a hooded cape of fur, or fur-lined, worn</w:t></w:r>
</w:p>
<w:p>
<w:pPr><w:pStyle w:val="Normal"/></w:pPr>
<w:r><w:t xml:space="preserve">as a choir vestment by certain dignitaries of the Western</w:t></w:r>
</w:p>
<w:p>
<w:pPr><w:pStyle w:val="Normal"/></w:pPr>
<w:r><w:t xml:space="preserve">Church.  The origin of the word almucium is a philological</w:t></w:r>
</w:p>
<w:p>
<w:pPr><w:pStyle w:val="Normal"/></w:pPr>
<w:r><w:t xml:space="preserve">mystery.  The al- is probably the Arabic article, since</w:t></w:r>
</w:p>
<w:p>
<w:pPr><w:pStyle w:val="Normal"/></w:pPr>
<w:r><w:t xml:space="preserve">the word originated in the south (Sicilian almuziu, Prov.</w:t></w:r>
</w:p>
<w:p>
<w:pPr><w:pStyle w:val="Normal"/></w:pPr>
<w:r><w:t xml:space="preserve">almussa, Span. almucio, &amp;c.), but the derivation of the</w:t></w:r>
</w:p>
<w:p>
<w:pPr><w:pStyle w:val="Normal"/></w:pPr>
<w:r><w:t xml:space="preserve">second part of the word from a supposed old Teutonic term</w:t></w:r>
</w:p>
<w:p>
<w:pPr><w:pStyle w:val="Normal"/></w:pPr>
<w:r><w:t xml:space="preserve">for cap---Ger. Mutze, Dutch Mutsche, Scot. mutch</w:t></w:r>
</w:p>
<w:p>
<w:pPr><w:pStyle w:val="Normal"/></w:pPr>
<w:r><w:t xml:space="preserve">(New Eng. Dict. s. ``Amice&apos;&apos;; Diez, Worterbuch der</w:t></w:r>
</w:p>
<w:p>
<w:pPr><w:pStyle w:val="Normal"/></w:pPr>
<w:r><w:t xml:space="preserve">rom.  Sprachen) --is the exact reverse of the truth.  The</w:t></w:r>
</w:p>
<w:p>
<w:pPr><w:pStyle w:val="Normal"/></w:pPr>
<w:r><w:t xml:space="preserve">almuce was originally a head-covering only, worn by the</w:t></w:r>
</w:p>
<w:p>
<w:pPr><w:pStyle w:val="Normal"/></w:pPr>
<w:r><w:t xml:space="preserve">clergy, but adopted also by the laity, and the German word</w:t></w:r>
</w:p>
<w:p>
<w:pPr><w:pStyle w:val="Normal"/></w:pPr>
<w:r><w:t xml:space="preserve">Mutze, ``cap,&apos;&apos; is later than the introduction of the</w:t></w:r>
</w:p>
<w:p>
<w:pPr><w:pStyle w:val="Normal"/></w:pPr>
<w:r><w:t xml:space="preserve">almuce in church, and is derived from it (M. H. G., 13th</w:t></w:r>
</w:p>
<w:p>
<w:pPr><w:pStyle w:val="Normal"/></w:pPr>
<w:r><w:t xml:space="preserve">century, almutz; 14th century, armuz, aremuz, &amp;c.; 15th</w:t></w:r>
</w:p>
<w:p>
<w:pPr><w:pStyle w:val="Normal"/></w:pPr>
<w:r><w:t xml:space="preserve">century, mutz, mutze, &amp;c.).  The word mulzen, to dock,</w:t></w:r>
</w:p>
<w:p>
<w:pPr><w:pStyle w:val="Normal"/></w:pPr>
<w:r><w:t xml:space="preserve">cut off, which first appears in the 14th century, does not</w:t></w:r>
</w:p>
<w:p>
<w:pPr><w:pStyle w:val="Normal"/></w:pPr>
<w:r><w:t xml:space="preserve">help much, though the name of another vestment akin to the</w:t></w:r>
</w:p>
<w:p>
<w:pPr><w:pStyle w:val="Normal"/></w:pPr>
<w:r><w:t xml:space="preserve">almuce---the mozzetta---has been by some traced to it</w:t></w:r>
</w:p>
<w:p>
<w:pPr><w:pStyle w:val="Normal"/></w:pPr>
<w:r><w:t xml:space="preserve">through the Ital. mozzare and mozzo (but see below).</w:t></w:r>
</w:p>
<w:p>
<w:pPr><w:pStyle w:val="Normal"/></w:pPr>
<w:r><w:t xml:space="preserve">In numerous documents from the 12th to the 15th century the</w:t></w:r>
</w:p>
<w:p>
<w:pPr><w:pStyle w:val="Normal"/></w:pPr>
<w:r><w:t xml:space="preserve">almucium is mentioned, occasionally as identical with the</w:t></w:r>
</w:p>
<w:p>
<w:pPr><w:pStyle w:val="Normal"/></w:pPr>
<w:r><w:t xml:space="preserve">hood, but more often as a sort of cap distinct from it,</w:t></w:r>
</w:p>
<w:p>
<w:pPr><w:pStyle w:val="Normal"/></w:pPr>
<w:r><w:t xml:space="preserve">e.g. in the decrees of the council of Sens (1485)---non</w:t></w:r>
</w:p>
<w:p>
<w:pPr><w:pStyle w:val="Normal"/></w:pPr>
<w:r><w:t xml:space="preserve">caputia, sed almucia vel bireta tenentes in capito.  By</w:t></w:r>
</w:p>
<w:p>
<w:pPr><w:pStyle w:val="Normal"/></w:pPr>
<w:r><w:t xml:space="preserve">the 14th century two types of almucium were distinguished:</w:t></w:r>
</w:p>
<w:p>
<w:pPr><w:pStyle w:val="Normal"/></w:pPr>
<w:r><w:t xml:space="preserve">(1) a cap coming down just over the ears; (2) a hood-like cap</w:t></w:r>
</w:p>
<w:p>
<w:pPr><w:pStyle w:val="Normal"/></w:pPr>
<w:r><w:t xml:space="preserve">falling over the back and shoulders.  This latter was reserved</w:t></w:r>
</w:p>
<w:p>
<w:pPr><w:pStyle w:val="Normal"/></w:pPr>
<w:r><w:t xml:space="preserve">for the more important canons, and was worn over surplice or</w:t></w:r>
</w:p>
<w:p>
<w:pPr><w:pStyle w:val="Normal"/></w:pPr>
<w:r><w:t xml:space="preserve">rochet in choir.  The introduction. of the biretta (q.v.)</w:t></w:r>
</w:p>
<w:p>
<w:pPr><w:pStyle w:val="Normal"/></w:pPr>
<w:r><w:t xml:space="preserve">in the 15th century tended to replace the use of the almuce</w:t></w:r>
</w:p>
<w:p>
<w:pPr><w:pStyle w:val="Normal"/></w:pPr>
<w:r><w:t xml:space="preserve">as a head-covering, and the hood now became smaller, while</w:t></w:r>
</w:p>
<w:p>
<w:pPr><w:pStyle w:val="Normal"/></w:pPr>
<w:r><w:t xml:space="preserve">the cape was enlarged till in some cases it fell below the</w:t></w:r>
</w:p>
<w:p>
<w:pPr><w:pStyle w:val="Normal"/></w:pPr>
<w:r><w:t xml:space="preserve">elbows.  Another form of almuce at this period covered the</w:t></w:r>
</w:p>
<w:p>
<w:pPr><w:pStyle w:val="Normal"/></w:pPr>
<w:r><w:t xml:space="preserve">back. but was cut away at the shoulders so as to leave the</w:t></w:r>
</w:p>
<w:p>
<w:pPr><w:pStyle w:val="Normal"/></w:pPr>
<w:r><w:t xml:space="preserve">arms free, while in front it was elongated into two stole-like</w:t></w:r>
</w:p>
<w:p>
<w:pPr><w:pStyle w:val="Normal"/></w:pPr>
<w:r><w:t xml:space="preserve">ends.  Almuces were occasionally made of silk or wool, but</w:t></w:r>
</w:p>
<w:p>
<w:pPr><w:pStyle w:val="Normal"/></w:pPr>
<w:r><w:t xml:space="preserve">from the 13th century onward usually of fur, the hem being</w:t></w:r>
</w:p>
<w:p>
<w:pPr><w:pStyle w:val="Normal"/></w:pPr>
<w:r><w:t xml:space="preserve">sometimes fringed with tails.  Hence they were known in England</w:t></w:r>
</w:p>
<w:p>
<w:pPr><w:pStyle w:val="Normal"/></w:pPr>
<w:r><w:t xml:space="preserve">as ``grey amices&apos;&apos; (from the ordinary colour of the fur), to</w:t></w:r>
</w:p>
<w:p>
<w:pPr><w:pStyle w:val="Normal"/></w:pPr>
<w:r><w:t xml:space="preserve">distinguish them from the liturgical amice (q.v..) By the</w:t></w:r>
</w:p>
<w:p>
<w:pPr><w:pStyle w:val="Normal"/></w:pPr>
<w:r><w:t xml:space="preserve">16th century the almuce had become definitely established as</w:t></w:r>
</w:p>
<w:p>
<w:pPr><w:pStyle w:val="Normal"/></w:pPr>
<w:r><w:t xml:space="preserve">the distinctive choir vestment Of canons; but it had ceased</w:t></w:r>
</w:p>
<w:p>
<w:pPr><w:pStyle w:val="Normal"/></w:pPr>
<w:r><w:t xml:space="preserve">to have any practical use, and was often only carried over</w:t></w:r>
</w:p>
<w:p>
<w:pPr><w:pStyle w:val="Normal"/></w:pPr>
<w:r><w:t xml:space="preserve">the left arm as a symbol of office.  The almuce has now been</w:t></w:r>
</w:p>
<w:p>
<w:pPr><w:pStyle w:val="Normal"/></w:pPr>
<w:r><w:t xml:space="preserve">almost entirely superseded by the mozzetta, but it is still worn</w:t></w:r>
</w:p>
<w:p>
<w:pPr><w:pStyle w:val="Normal"/></w:pPr>
<w:r><w:t xml:space="preserve">at some cathedrals in France, e.g. Amiens and Chartres, at</w:t></w:r>
</w:p>
<w:p>
<w:pPr><w:pStyle w:val="Normal"/></w:pPr>
<w:r><w:t xml:space="preserve">three churches in Rome, and in certain cathedrals elsewhere in</w:t></w:r>
</w:p>
<w:p>
<w:pPr><w:pStyle w:val="Normal"/></w:pPr>
<w:r><w:t xml:space="preserve">Italy.  The ``grey amice&apos;&apos; of the canons of St Paul&apos;s at London</w:t></w:r>
</w:p>
<w:p>
<w:pPr><w:pStyle w:val="Normal"/></w:pPr>
<w:r><w:t xml:space="preserve">was put down in 1549, the academic hood being substituted.</w:t></w:r>
</w:p>
<w:p>
<w:pPr><w:pStyle w:val="Normal"/></w:pPr>
<w:r><w:t xml:space="preserve">It was again put down in 1559, and was finally forbidden to</w:t></w:r>
</w:p>
<w:p>
<w:pPr><w:pStyle w:val="Normal"/></w:pPr>
<w:r><w:t xml:space="preserve">the clergy of the English Church by the unratified canons of</w:t></w:r>
</w:p>
<w:p>
<w:pPr><w:pStyle w:val="Normal"/></w:pPr>
<w:r><w:t xml:space="preserve">1571 (Report of the sub-committee of Convocation, 1908).</w:t></w:r>
</w:p>
<w:p>
<w:pPr><w:pStyle w:val="Normal"/></w:pPr>
<w:r><w:t xml:space="preserve">See du Cauge, Glossarium, s. ``Almucia&apos;&apos;; Joseph Braun, Die</w:t></w:r>
</w:p>
<w:p>
<w:pPr><w:pStyle w:val="Normal"/></w:pPr>
<w:r><w:t xml:space="preserve">liturgische Gewandung, p. 359, &amp;c. (Freiburg im Breisgau,</w:t></w:r>
</w:p>
<w:p>
<w:pPr><w:pStyle w:val="Normal"/></w:pPr>
<w:r><w:t xml:space="preserve">1907); also the bibliography to the article VESTMENTS.</w:t></w:r>
</w:p>
<w:p>
<w:pPr><w:pStyle w:val="Normal"/></w:pPr>
<w:r><w:t xml:space="preserve">ALNACE, or AULNAGE (from Fr. aune, ell), the official</w:t></w:r>
</w:p>
<w:p>
<w:pPr><w:pStyle w:val="Normal"/></w:pPr>
<w:r><w:t xml:space="preserve">supervision of the shape and quality of manufactured woollen</w:t></w:r>
</w:p>
<w:p>
<w:pPr><w:pStyle w:val="Normal"/></w:pPr>
<w:r><w:t xml:space="preserve">cloth.  It was first ordered in the reign of Richard I. that</w:t></w:r>
</w:p>
<w:p>
<w:pPr><w:pStyle w:val="Normal"/></w:pPr>
<w:r><w:t xml:space="preserve">``woollen cloths, wherever they are made, shall be of the</w:t></w:r>
</w:p>
<w:p>
<w:pPr><w:pStyle w:val="Normal"/></w:pPr>
<w:r><w:t xml:space="preserve">same width, to wit, of two ells within the lists, and of</w:t></w:r>
</w:p>
<w:p>
<w:pPr><w:pStyle w:val="Normal"/></w:pPr>
<w:r><w:t xml:space="preserve">the same goodness in the middle and sides.&apos;&apos; This ordinance</w:t></w:r>
</w:p>
<w:p>
<w:pPr><w:pStyle w:val="Normal"/></w:pPr>
<w:r><w:t xml:space="preserve">is usually known as the Assize of Measures or the Assize of</w:t></w:r>
</w:p>
<w:p>
<w:pPr><w:pStyle w:val="Normal"/></w:pPr>
<w:r><w:t xml:space="preserve">Cloth.  Article 35 of Magna Carta re-enacted the Assize of</w:t></w:r>
</w:p>
<w:p>
<w:pPr><w:pStyle w:val="Normal"/></w:pPr>
<w:r><w:t xml:space="preserve">Cloth, and in the reign of Edward I. an oflicial called an</w:t></w:r>
</w:p>
<w:p>
<w:pPr><w:pStyle w:val="Normal"/></w:pPr>
<w:r><w:t xml:space="preserve">``alnager&apos;&apos; was appointed to enforce it.  His duty was to</w:t></w:r>
</w:p>
<w:p>
<w:pPr><w:pStyle w:val="Normal"/></w:pPr>
<w:r><w:t xml:space="preserve">measure each piece of cloth, and to affix a stamp to show that</w:t></w:r>
</w:p>
<w:p>
<w:pPr><w:pStyle w:val="Normal"/></w:pPr>
<w:r><w:t xml:space="preserve">it was of the necessary size and quality.  As, however, the</w:t></w:r>
</w:p>
<w:p>
<w:pPr><w:pStyle w:val="Normal"/></w:pPr>
<w:r><w:t xml:space="preserve">diversity of the wool and the importation of cloths of various</w:t></w:r>
</w:p>
<w:p>
<w:pPr><w:pStyle w:val="Normal"/></w:pPr>
<w:r><w:t xml:space="preserve">sizes from abroad made it impossible to maintain any specific</w:t></w:r>
</w:p>
<w:p>
<w:pPr><w:pStyle w:val="Normal"/></w:pPr>
<w:r><w:t xml:space="preserve">standard of width, the rules as to size were repealed in</w:t></w:r>
</w:p>
<w:p>
<w:pPr><w:pStyle w:val="Normal"/></w:pPr>
<w:r><w:t xml:space="preserve">1353.  The increased growth of the woollen trade, and the</w:t></w:r>
</w:p>
<w:p>
<w:pPr><w:pStyle w:val="Normal"/></w:pPr>
<w:r><w:t xml:space="preserve">introduction of new and lighter drapery in the reign of Queen</w:t></w:r>
</w:p>
<w:p>
<w:pPr><w:pStyle w:val="Normal"/></w:pPr>
<w:r><w:t xml:space="preserve">Elizabeth, compelled a revision of the old standards.  A statute</w:t></w:r>
</w:p>
<w:p>
<w:pPr><w:pStyle w:val="Normal"/></w:pPr>
<w:r><w:t xml:space="preserve">was passed in 1665 creating the office of alnager of the new</w:t></w:r>
</w:p>
<w:p>
<w:pPr><w:pStyle w:val="Normal"/></w:pPr>
<w:r><w:t xml:space="preserve">drapery, and defining the sizes to which cloth should be woven.</w:t></w:r>
</w:p>
<w:p>
<w:pPr><w:pStyle w:val="Normal"/></w:pPr>
<w:r><w:t xml:space="preserve">The object of the statute was to prevent people being deceived by</w:t></w:r>
</w:p>
<w:p>
<w:pPr><w:pStyle w:val="Normal"/></w:pPr>
<w:r><w:t xml:space="preserve">buying spurious woollen cloth, and to provide against fraud and</w:t></w:r>
</w:p>
<w:p>
<w:pPr><w:pStyle w:val="Normal"/></w:pPr>
<w:r><w:t xml:space="preserve">imposition.  Owing to the introduction of the alternative</w:t></w:r>
</w:p>
<w:p>
<w:pPr><w:pStyle w:val="Normal"/></w:pPr>
<w:r><w:t xml:space="preserve">standard, a distinction arose between ``broadcloth&apos;&apos; (cloth</w:t></w:r>
</w:p>
<w:p>
<w:pPr><w:pStyle w:val="Normal"/></w:pPr>
<w:r><w:t xml:space="preserve">of two yards) and ``streit&apos;&apos; or ``strait&apos;&apos; (narrowcloth of one</w:t></w:r>
</w:p>
<w:p>
<w:pPr><w:pStyle w:val="Normal"/></w:pPr>
<w:r><w:t xml:space="preserve">yard).  The meaning now attached to broadcloth, however,</w:t></w:r>
</w:p>
<w:p>
<w:pPr><w:pStyle w:val="Normal"/></w:pPr>
<w:r><w:t xml:space="preserve">is merely that of material of superior quality.  Alnage</w:t></w:r>
</w:p>
<w:p>
<w:pPr><w:pStyle w:val="Normal"/></w:pPr>
<w:r><w:t xml:space="preserve">duties and the office of alnager were abolished in 1699.</w:t></w:r>
</w:p>
<w:p>
<w:pPr><w:pStyle w:val="Normal"/></w:pPr>
<w:r><w:t xml:space="preserve">See W. J. Ashley, Economic History; and W.</w:t></w:r>
</w:p>
<w:p>
<w:pPr><w:pStyle w:val="Normal"/></w:pPr>
<w:r><w:t xml:space="preserve">Cunningham, Growth of English Industry and Commerce.</w:t></w:r>
</w:p>
<w:p>
<w:pPr><w:pStyle w:val="Normal"/></w:pPr>
<w:r><w:t xml:space="preserve">ALNWICK, a market-town and the county-town of Northumberland,</w:t></w:r>
</w:p>
<w:p>
<w:pPr><w:pStyle w:val="Normal"/></w:pPr>
<w:r><w:t xml:space="preserve">England, in the Berwick-upon-Tweed parliamentary division, 309</w:t></w:r>
</w:p>
<w:p>
<w:pPr><w:pStyle w:val="Normal"/></w:pPr>
<w:r><w:t xml:space="preserve">m.  N. by W. from London, on a branch of the North Eastern</w:t></w:r>
</w:p>
<w:p>
<w:pPr><w:pStyle w:val="Normal"/></w:pPr>
<w:r><w:t xml:space="preserve">railway.  Pop. of urban district (1901) 6716.  It is</w:t></w:r>
</w:p>
<w:p>
<w:pPr><w:pStyle w:val="Normal"/></w:pPr>
<w:r><w:t xml:space="preserve">beautifully situated on the small river Aln, in a hilly</w:t></w:r>
</w:p>
<w:p>
<w:pPr><w:pStyle w:val="Normal"/></w:pPr>
<w:r><w:t xml:space="preserve">district.  Its history has left many marks.  Dominating the</w:t></w:r>
</w:p>
<w:p>
<w:pPr><w:pStyle w:val="Normal"/></w:pPr>
<w:r><w:t xml:space="preserve">town from an eminence above the south bank of the river stands</w:t></w:r>
</w:p>
<w:p>
<w:pPr><w:pStyle w:val="Normal"/></w:pPr>
<w:r><w:t xml:space="preserve">the castle, held by the Percys since 1309, and long before</w:t></w:r>
</w:p>
<w:p>
<w:pPr><w:pStyle w:val="Normal"/></w:pPr>
<w:r><w:t xml:space="preserve">this an important border stronghold.  A gateway of c. 1350,</w:t></w:r>
</w:p>
<w:p>
<w:pPr><w:pStyle w:val="Normal"/></w:pPr>
<w:r><w:t xml:space="preserve">a fine Norman arch of the middle of the 12th century, and</w:t></w:r>
</w:p>
<w:p>
<w:pPr><w:pStyle w:val="Normal"/></w:pPr>
<w:r><w:t xml:space="preserve">the ancient well in the keep, are among noteworthy ancient</w:t></w:r>
</w:p>
<w:p>
<w:pPr><w:pStyle w:val="Normal"/></w:pPr>
<w:r><w:t xml:space="preserve">portions; but the castle was extensively renovated and altered</w:t></w:r>
</w:p>
<w:p>
<w:pPr><w:pStyle w:val="Normal"/></w:pPr>
<w:r><w:t xml:space="preserve">in the second half of the 18th century, while in 1854, when</w:t></w:r>
</w:p>
<w:p>
<w:pPr><w:pStyle w:val="Normal"/></w:pPr>
<w:r><w:t xml:space="preserve">the lofty Prudhoe tower was built, a scheme of decoration</w:t></w:r>
</w:p>
<w:p>
<w:pPr><w:pStyle w:val="Normal"/></w:pPr>
<w:r><w:t xml:space="preserve">in Italian style was adopted in the interior; so that the</w:t></w:r>
</w:p>
<w:p>
<w:pPr><w:pStyle w:val="Normal"/></w:pPr>
<w:r><w:t xml:space="preserve">castle, though magnificent, has largely lost its historic</w:t></w:r>
</w:p>
<w:p>
<w:pPr><w:pStyle w:val="Normal"/></w:pPr>
<w:r><w:t xml:space="preserve">character.  It contains numerous fine examples of the works</w:t></w:r>
</w:p>
<w:p>
<w:pPr><w:pStyle w:val="Normal"/></w:pPr>
<w:r><w:t xml:space="preserve">of Italian and other artists, and collections of British and</w:t></w:r>
</w:p>
<w:p>
<w:pPr><w:pStyle w:val="Normal"/></w:pPr>
<w:r><w:t xml:space="preserve">Roman and Egyptian antiquities.  In the beautiful park are</w:t></w:r>
</w:p>
<w:p>
<w:pPr><w:pStyle w:val="Normal"/></w:pPr>
<w:r><w:t xml:space="preserve">a monument commemorating the capture of William the Lion of</w:t></w:r>
</w:p>
<w:p>
<w:pPr><w:pStyle w:val="Normal"/></w:pPr>
<w:r><w:t xml:space="preserve">Scotland when besieging the town in 1174, two memorial towers,</w:t></w:r>
</w:p>
<w:p>
<w:pPr><w:pStyle w:val="Normal"/></w:pPr>
<w:r><w:t xml:space="preserve">and a British stone chamber.  Remains of the wall which formerly</w:t></w:r>
</w:p>
<w:p>
<w:pPr><w:pStyle w:val="Normal"/></w:pPr>
<w:r><w:t xml:space="preserve">surrounded Alnwick are visible, and one of the four gates,</w:t></w:r>
</w:p>
<w:p>
<w:pPr><w:pStyle w:val="Normal"/></w:pPr>
<w:r><w:t xml:space="preserve">the Bondgate, stands, dating from the early part of the 15th</w:t></w:r>
</w:p>
<w:p>
<w:pPr><w:pStyle w:val="Normal"/></w:pPr>
<w:r><w:t xml:space="preserve">century.  The church of St Michael has Norman remains, but</w:t></w:r>
</w:p>
<w:p>
<w:pPr><w:pStyle w:val="Normal"/></w:pPr>
<w:r><w:t xml:space="preserve">is principally perpendicular; it contains several ancient</w:t></w:r>
</w:p>
<w:p>
<w:pPr><w:pStyle w:val="Normal"/></w:pPr>
<w:r><w:t xml:space="preserve">monuments and incised slabs.  The modern church of St Paul</w:t></w:r>
</w:p>
<w:p>
<w:pPr><w:pStyle w:val="Normal"/></w:pPr>
<w:r><w:t xml:space="preserve">has a fine east window of German stained glass.  Within the</w:t></w:r>
</w:p>
<w:p>
<w:pPr><w:pStyle w:val="Normal"/></w:pPr>
<w:r><w:t xml:space="preserve">confines of the park are ruins of two abbeys.  Alnwick Abbey</w:t></w:r>
</w:p>
<w:p>
<w:pPr><w:pStyle w:val="Normal"/></w:pPr>
<w:r><w:t xml:space="preserve">was a Premonstratensian foundation of 1147; only a gateway</w:t></w:r>
</w:p>
<w:p>
<w:pPr><w:pStyle w:val="Normal"/></w:pPr>
<w:r><w:t xml:space="preserve">tower stands, but the ground-plan was excavated in 1884 and</w:t></w:r>
</w:p>
<w:p>
<w:pPr><w:pStyle w:val="Normal"/></w:pPr>
<w:r><w:t xml:space="preserve">is ourlined on the surface.  At 3 m. from the town are more</w:t></w:r>
</w:p>
<w:p>
<w:pPr><w:pStyle w:val="Normal"/></w:pPr>
<w:r><w:t xml:space="preserve">extensive remains of Hulne Abbey (1240), an early Carmelite</w:t></w:r>
</w:p>
<w:p>
<w:pPr><w:pStyle w:val="Normal"/></w:pPr>
<w:r><w:t xml:space="preserve">monastery.  The long narrow church remains unroofed; there</w:t></w:r>
</w:p>
<w:p>
<w:pPr><w:pStyle w:val="Normal"/></w:pPr>
<w:r><w:t xml:space="preserve">are also a gateway tower, and portions of the chapter-house</w:t></w:r>
</w:p>
<w:p>
<w:pPr><w:pStyle w:val="Normal"/></w:pPr>
<w:r><w:t xml:space="preserve">and cloisters.  The Norman chapel of the hospital of St</w:t></w:r>
</w:p>
<w:p>
<w:pPr><w:pStyle w:val="Normal"/></w:pPr>
<w:r><w:t xml:space="preserve">Leonard, which, as well as Alnwick Abbey, was founded by</w:t></w:r>
</w:p>
<w:p>
<w:pPr><w:pStyle w:val="Normal"/></w:pPr>
<w:r><w:t xml:space="preserve">Eustace Fitz John, completes the series of antiquities in</w:t></w:r>
</w:p>
<w:p>
<w:pPr><w:pStyle w:val="Normal"/></w:pPr>
<w:r><w:t xml:space="preserve">Alnwick.  In this interesting locality, however, there</w:t></w:r>
</w:p>
<w:p>
<w:pPr><w:pStyle w:val="Normal"/></w:pPr>
<w:r><w:t xml:space="preserve">must be mentioned the mansion of Howick, built in the 18th</w:t></w:r>
</w:p>
<w:p>
<w:pPr><w:pStyle w:val="Normal"/></w:pPr>
<w:r><w:t xml:space="preserve">century, in a fine situation near the coast to the N.E.</w:t></w:r>
</w:p>
<w:p>
<w:pPr><w:pStyle w:val="Normal"/></w:pPr>
<w:r><w:t xml:space="preserve">Not far from this, overlooking the sea from a rocky cliff</w:t></w:r>
</w:p>
<w:p>
<w:pPr><w:pStyle w:val="Normal"/></w:pPr>
<w:r><w:t xml:space="preserve">pierced by deep gullies, are the ruins of Dunstanborough</w:t></w:r>
</w:p>
<w:p>
<w:pPr><w:pStyle w:val="Normal"/></w:pPr>
<w:r><w:t xml:space="preserve">Castle; it dates from the 14th century, though the site</w:t></w:r>
</w:p>
<w:p>
<w:pPr><w:pStyle w:val="Normal"/></w:pPr>
<w:r><w:t xml:space="preserve">was probably occupied as a stronghold from earlier times.</w:t></w:r>
</w:p>
<w:p>
<w:pPr><w:pStyle w:val="Normal"/></w:pPr>
<w:r><w:t xml:space="preserve">The chief industries are brewing, tobacco, snuff and fishing-tackle</w:t></w:r>
</w:p>
<w:p>
<w:pPr><w:pStyle w:val="Normal"/></w:pPr>
<w:r><w:t xml:space="preserve">making, and corn milling.  Alnwick is under an urban district</w:t></w:r>
</w:p>
<w:p>
<w:pPr><w:pStyle w:val="Normal"/></w:pPr>
<w:r><w:t xml:space="preserve">council, but is a borough by prescription, and its freemen</w:t></w:r>
</w:p>
<w:p>
<w:pPr><w:pStyle w:val="Normal"/></w:pPr>
<w:r><w:t xml:space="preserve">form a body corporate without authority over the affairs of the</w:t></w:r>
</w:p>
<w:p>
<w:pPr><w:pStyle w:val="Normal"/></w:pPr>
<w:r><w:t xml:space="preserve">town.  It is, however, required to pay, under an act of</w:t></w:r>
</w:p>
<w:p>
<w:pPr><w:pStyle w:val="Normal"/></w:pPr>
<w:r><w:t xml:space="preserve">1882, a sum not less than L. 500 out of the corporate property</w:t></w:r>
</w:p>
<w:p>
<w:pPr><w:pStyle w:val="Normal"/></w:pPr>
<w:r><w:t xml:space="preserve">towards the upkeep of corporation schools.  An ancient peculiar</w:t></w:r>
</w:p>
<w:p>
<w:pPr><w:pStyle w:val="Normal"/></w:pPr>
<w:r><w:t xml:space="preserve">ceremony was attached until modern times to the making of</w:t></w:r>
</w:p>
<w:p>
<w:pPr><w:pStyle w:val="Normal"/></w:pPr>
<w:r><w:t xml:space="preserve">freemen; those elected were required to ride in procession to</w:t></w:r>
</w:p>
<w:p>
<w:pPr><w:pStyle w:val="Normal"/></w:pPr>
<w:r><w:t xml:space="preserve">a large pool called Freemen&apos;s Well and there rush through the</w:t></w:r>
</w:p>
<w:p>
<w:pPr><w:pStyle w:val="Normal"/></w:pPr>
<w:r><w:t xml:space="preserve">water.  According to tradition the observance of this custom</w:t></w:r>
</w:p>
<w:p>
<w:pPr><w:pStyle w:val="Normal"/></w:pPr>
<w:r><w:t xml:space="preserve">was enjoined by King John to punish the inhabitants, the</w:t></w:r>
</w:p>
<w:p>
<w:pPr><w:pStyle w:val="Normal"/></w:pPr>
<w:r><w:t xml:space="preserve">king having lost his way and fallen into a bog owing to</w:t></w:r>
</w:p>
<w:p>
<w:pPr><w:pStyle w:val="Normal"/></w:pPr>
<w:r><w:t xml:space="preserve">the neglected condition of the roads in the neighbourhood.</w:t></w:r>
</w:p>
<w:p>
<w:pPr><w:pStyle w:val="Normal"/></w:pPr>
<w:r><w:t xml:space="preserve">According to the Chronicle of Alnwick Abbey, the barony</w:t></w:r>
</w:p>
<w:p>
<w:pPr><w:pStyle w:val="Normal"/></w:pPr>
<w:r><w:t xml:space="preserve">of Alnwick belonged before the Conquest to Gilbert Tyson,</w:t></w:r>
</w:p>
<w:p>
<w:pPr><w:pStyle w:val="Normal"/></w:pPr>
<w:r><w:t xml:space="preserve">whose son and heir William was killed at Hastings, and whose</w:t></w:r>
</w:p>
<w:p>
<w:pPr><w:pStyle w:val="Normal"/></w:pPr>
<w:r><w:t xml:space="preserve">estates with his daughter were granted by the king to Ivo de</w:t></w:r>
</w:p>
<w:p>
<w:pPr><w:pStyle w:val="Normal"/></w:pPr>
<w:r><w:t xml:space="preserve">Vescy, although this theory does not seem probable since</w:t></w:r>
</w:p>
<w:p>
<w:pPr><w:pStyle w:val="Normal"/></w:pPr>
<w:r><w:t xml:space="preserve">Gilbert Tyson was certainly not a Saxon.  In 1297 William</w:t></w:r>
</w:p>
<w:p>
<w:pPr><w:pStyle w:val="Normal"/></w:pPr>
<w:r><w:t xml:space="preserve">de Vescy, a descendant of Ivo, dying without issue, left</w:t></w:r>
</w:p>
<w:p>
<w:pPr><w:pStyle w:val="Normal"/></w:pPr>
<w:r><w:t xml:space="preserve">the barony to the bishop of Durham, who in 1309 sold it to</w:t></w:r>
</w:p>
<w:p>
<w:pPr><w:pStyle w:val="Normal"/></w:pPr>
<w:r><w:t xml:space="preserve">Sir Henry Percy, in whose family it still continues.  The</w:t></w:r>
</w:p>
<w:p>
<w:pPr><w:pStyle w:val="Normal"/></w:pPr>
<w:r><w:t xml:space="preserve">town evidently grew up round the castle, which is said to</w:t></w:r>
</w:p>
<w:p>
<w:pPr><w:pStyle w:val="Normal"/></w:pPr>
<w:r><w:t xml:space="preserve">have been built by Eustace Fitzjohn about 1140.  Tradition</w:t></w:r>
</w:p>
<w:p>
<w:pPr><w:pStyle w:val="Normal"/></w:pPr>
<w:r><w:t xml:space="preserve">states that it received its borough charter from King John.</w:t></w:r>
</w:p>
<w:p>
<w:pPr><w:pStyle w:val="Normal"/></w:pPr>
<w:r><w:t xml:space="preserve">However, Alnwick is first definitely mentioned as a borough</w:t></w:r>
</w:p>
<w:p>
<w:pPr><w:pStyle w:val="Normal"/></w:pPr>
<w:r><w:t xml:space="preserve">in a charter given by William de Vescy in the reign of Henry</w:t></w:r>
</w:p>
<w:p>
<w:pPr><w:pStyle w:val="Normal"/></w:pPr>
<w:r><w:t xml:space="preserve">II., by which the burgesses were to have common of pasture on</w:t></w:r>
</w:p>
<w:p>
<w:pPr><w:pStyle w:val="Normal"/></w:pPr>
<w:r><w:t xml:space="preserve">Haydon Moor and to hold of him ``as freely and quietly as the</w:t></w:r>
</w:p>
<w:p>
<w:pPr><w:pStyle w:val="Normal"/></w:pPr>
<w:r><w:t xml:space="preserve">burgosses of Newcastle hold of the king.&apos;&apos; This charter was</w:t></w:r>
</w:p>
<w:p>
<w:pPr><w:pStyle w:val="Normal"/></w:pPr>
<w:r><w:t xml:space="preserve">confirmed by his grandson, William de wescy, in an undated</w:t></w:r>
</w:p>
<w:p>
<w:pPr><w:pStyle w:val="Normal"/></w:pPr>
<w:r><w:t xml:space="preserve">charter, and again by William, son of the latter William, in</w:t></w:r>
</w:p>
<w:p>
<w:pPr><w:pStyle w:val="Normal"/></w:pPr>
<w:r><w:t xml:space="preserve">1290.  According to an inquiry of 1291 a market and fair</w:t></w:r>
</w:p>
<w:p>
<w:pPr><w:pStyle w:val="Normal"/></w:pPr>
<w:r><w:t xml:space="preserve">were held in Alnwick from time immemorial.  In 1297 Edward</w:t></w:r>
</w:p>
<w:p>
<w:pPr><w:pStyle w:val="Normal"/></w:pPr>
<w:r><w:t xml:space="preserve">I., in addition, granted the bishop of Durham a market on</w:t></w:r>
</w:p>
<w:p>
<w:pPr><w:pStyle w:val="Normal"/></w:pPr>
<w:r><w:t xml:space="preserve">Saturday, and a fair on the 17th of March and six following</w:t></w:r>
</w:p>
<w:p>
<w:pPr><w:pStyle w:val="Normal"/></w:pPr>
<w:r><w:t xml:space="preserve">days.  By charters of Henry VI. the burgesses received</w:t></w:r>
</w:p>
<w:p>
<w:pPr><w:pStyle w:val="Normal"/></w:pPr>
<w:r><w:t xml:space="preserve">licence to enclose their town with a wall, to have a</w:t></w:r>
</w:p>
<w:p>
<w:pPr><w:pStyle w:val="Normal"/></w:pPr>
<w:r><w:t xml:space="preserve">free port at Alnmouth, a market on Wednesday as well as</w:t></w:r>
</w:p>
<w:p>
<w:pPr><w:pStyle w:val="Normal"/></w:pPr>
<w:r><w:t xml:space="preserve">Saturday, and two new fairs on the feasts of SS Philip and</w:t></w:r>
</w:p>
<w:p>
<w:pPr><w:pStyle w:val="Normal"/></w:pPr>
<w:r><w:t xml:space="preserve">James and St Lucy, and eight days following each.  Tanning</w:t></w:r>
</w:p>
<w:p>
<w:pPr><w:pStyle w:val="Normal"/></w:pPr>
<w:r><w:t xml:space="preserve">and weaving were formerly the principal industries carried</w:t></w:r>
</w:p>
<w:p>
<w:pPr><w:pStyle w:val="Normal"/></w:pPr>
<w:r><w:t xml:space="preserve">on in Alnwick, and in 1646 there were twenty-two tanneries</w:t></w:r>
</w:p>
<w:p>
<w:pPr><w:pStyle w:val="Normal"/></w:pPr>
<w:r><w:t xml:space="preserve">there.  Alnwick has never been represented in parliament.</w:t></w:r>
</w:p>
<w:p>
<w:pPr><w:pStyle w:val="Normal"/></w:pPr>
<w:r><w:t xml:space="preserve">See George Tate, The History of the Borough,</w:t></w:r>
</w:p>
<w:p>
<w:pPr><w:pStyle w:val="Normal"/></w:pPr>
<w:r><w:t xml:space="preserve">Castle, and Barony of Alnwick, 2 vols. (Alnwick,</w:t></w:r>
</w:p>
<w:p>
<w:pPr><w:pStyle w:val="Normal"/></w:pPr>
<w:r><w:t xml:space="preserve">1866-1869); Victoria County History, Northumberland.</w:t></w:r>
</w:p>
<w:p>
<w:pPr><w:pStyle w:val="Normal"/></w:pPr>
<w:r><w:t xml:space="preserve">ALOE, a genus of plants belonging to the natural order</w:t></w:r>
</w:p>
<w:p>
<w:pPr><w:pStyle w:val="Normal"/></w:pPr>
<w:r><w:t xml:space="preserve">Liliaceae, with about 90 species growing in the dry parts of</w:t></w:r>
</w:p>
<w:p>
<w:pPr><w:pStyle w:val="Normal"/></w:pPr>
<w:r><w:t xml:space="preserve">Africa, especially Cape Colony, and in the mountains of tropical</w:t></w:r>
</w:p>
<w:p>
<w:pPr><w:pStyle w:val="Normal"/></w:pPr>
<w:r><w:t xml:space="preserve">Africa.  Members of the closely allied genera Gasteria</w:t></w:r>
</w:p>
<w:p>
<w:pPr><w:pStyle w:val="Normal"/></w:pPr>
<w:r><w:t xml:space="preserve">and Haworthia, with a similar mode of growth, are also</w:t></w:r>
</w:p>
<w:p>
<w:pPr><w:pStyle w:val="Normal"/></w:pPr>
<w:r><w:t xml:space="preserve">cultivated and popularly known as aloes.  The plants are</w:t></w:r>
</w:p>
<w:p>
<w:pPr><w:pStyle w:val="Normal"/></w:pPr>
<w:r><w:t xml:space="preserve">apparently stemless, bearing a rosette of large, thick, fleshy</w:t></w:r>
</w:p>
<w:p>
<w:pPr><w:pStyle w:val="Normal"/></w:pPr>
<w:r><w:t xml:space="preserve">leaves, or have a shorter or longer (sometimes branched)</w:t></w:r>
</w:p>
<w:p>
<w:pPr><w:pStyle w:val="Normal"/></w:pPr>
<w:r><w:t xml:space="preserve">stem, along which, or towards the end of which and its</w:t></w:r>
</w:p>
<w:p>
<w:pPr><w:pStyle w:val="Normal"/></w:pPr>
<w:r><w:t xml:space="preserve">branches, the generally fleshy leaves are borne.  They are</w:t></w:r>
</w:p>
<w:p>
<w:pPr><w:pStyle w:val="Normal"/></w:pPr>
<w:r><w:t xml:space="preserve">much cultivated as ornamental plants, especially in public</w:t></w:r>
</w:p>
<w:p>
<w:pPr><w:pStyle w:val="Normal"/></w:pPr>
<w:r><w:t xml:space="preserve">buildings and gardens, for their stiff, rugged habit.  The</w:t></w:r>
</w:p>
<w:p>
<w:pPr><w:pStyle w:val="Normal"/></w:pPr>
<w:r><w:t xml:space="preserve">leaves are generally lance-shaped with a sharp apex and a</w:t></w:r>
</w:p>
<w:p>
<w:pPr><w:pStyle w:val="Normal"/></w:pPr>
<w:r><w:t xml:space="preserve">spiny margin; but vary in colour from grey to bright green,</w:t></w:r>
</w:p>
<w:p>
<w:pPr><w:pStyle w:val="Normal"/></w:pPr>
<w:r><w:t xml:space="preserve">and are sometimes striped or mottled.  The rather small</w:t></w:r>
</w:p>
<w:p>
<w:pPr><w:pStyle w:val="Normal"/></w:pPr>
<w:r><w:t xml:space="preserve">tubular yellow or red flowers are borne on simple or branched</w:t></w:r>
</w:p>
<w:p>
<w:pPr><w:pStyle w:val="Normal"/></w:pPr>
<w:r><w:t xml:space="preserve">leafless stems and are generally densely clustered.  The</w:t></w:r>
</w:p>
<w:p>
<w:pPr><w:pStyle w:val="Normal"/></w:pPr>
<w:r><w:t xml:space="preserve">juice of the leaves of certain species yields aloes (see</w:t></w:r>
</w:p>
<w:p>
<w:pPr><w:pStyle w:val="Normal"/></w:pPr>
<w:r><w:t xml:space="preserve">below).  In some cases, as in Aloe venenosa, the juice is</w:t></w:r>
</w:p>
<w:p>
<w:pPr><w:pStyle w:val="Normal"/></w:pPr>
<w:r><w:t xml:space="preserve">poisonous.  The plant called American aloe, Agave americana</w:t></w:r>
</w:p>
<w:p>
<w:pPr><w:pStyle w:val="Normal"/></w:pPr>
<w:r><w:t xml:space="preserve">(c.v.), belongs to a different order, viz.  Amaryllidaceae.</w:t></w:r>
</w:p>
<w:p>
<w:pPr><w:pStyle w:val="Normal"/></w:pPr>
<w:r><w:t xml:space="preserve">Aloes is a medicinal substance used as a purgative and</w:t></w:r>
</w:p>
<w:p>
<w:pPr><w:pStyle w:val="Normal"/></w:pPr>
<w:r><w:t xml:space="preserve">produced from various species of aloe, such as A. vera,</w:t></w:r>
</w:p>
<w:p>
<w:pPr><w:pStyle w:val="Normal"/></w:pPr>
<w:r><w:t xml:space="preserve">vulgaris, socotrina, chinensis, and Perryi. Several</w:t></w:r>
</w:p>
<w:p>
<w:pPr><w:pStyle w:val="Normal"/></w:pPr>
<w:r><w:t xml:space="preserve">kinds of aloes are distinguished in commerce--Barbadoes,</w:t></w:r>
</w:p>
<w:p>
<w:pPr><w:pStyle w:val="Normal"/></w:pPr>
<w:r><w:t xml:space="preserve">Socotrine, hepatic, Indian, and Cape aloes.  The first two</w:t></w:r>
</w:p>
<w:p>
<w:pPr><w:pStyle w:val="Normal"/></w:pPr>
<w:r><w:t xml:space="preserve">are those commonly used for medicinal purposes.  Aloes is</w:t></w:r>
</w:p>
<w:p>
<w:pPr><w:pStyle w:val="Normal"/></w:pPr>
<w:r><w:t xml:space="preserve">the expressed juice of the leaves of the plant.  When the</w:t></w:r>
</w:p>
<w:p>
<w:pPr><w:pStyle w:val="Normal"/></w:pPr>
<w:r><w:t xml:space="preserve">leaves are cut the juice flows out, and is collected and</w:t></w:r>
</w:p>
<w:p>
<w:pPr><w:pStyle w:val="Normal"/></w:pPr>
<w:r><w:t xml:space="preserve">evaporated.  After the juice has been obtained, the leaves are</w:t></w:r>
</w:p>
<w:p>
<w:pPr><w:pStyle w:val="Normal"/></w:pPr>
<w:r><w:t xml:space="preserve">sometimes boiled, so as to yield an inferior kind of aloes.</w:t></w:r>
</w:p>
<w:p>
<w:pPr><w:pStyle w:val="Normal"/></w:pPr>
<w:r><w:t xml:space="preserve">From these plants active principles termed aloins are</w:t></w:r>
</w:p>
<w:p>
<w:pPr><w:pStyle w:val="Normal"/></w:pPr>
<w:r><w:t xml:space="preserve">extracted by water.  According to W. A. Shenstone, two classes</w:t></w:r>
</w:p>
<w:p>
<w:pPr><w:pStyle w:val="Normal"/></w:pPr>
<w:r><w:t xml:space="preserve">are to be recognized: (1) Nataloins, which yield picric and</w:t></w:r>
</w:p>
<w:p>
<w:pPr><w:pStyle w:val="Normal"/></w:pPr>
<w:r><w:t xml:space="preserve">oxalic acids with nitric acid, and do not give a red coloration</w:t></w:r>
</w:p>
<w:p>
<w:pPr><w:pStyle w:val="Normal"/></w:pPr>
<w:r><w:t xml:space="preserve">with nitric acid; and (2) Barbaloins, which yield aloetic</w:t></w:r>
</w:p>
<w:p>
<w:pPr><w:pStyle w:val="Normal"/></w:pPr>
<w:r><w:t xml:space="preserve">acid, C7H2N3Q5, chrysammic acid, C7H2N2O6, picric</w:t></w:r>
</w:p>
<w:p>
<w:pPr><w:pStyle w:val="Normal"/></w:pPr>
<w:r><w:t xml:space="preserve">and oxalic acids with nitric acid, being reddened by this</w:t></w:r>
</w:p>
<w:p>
<w:pPr><w:pStyle w:val="Normal"/></w:pPr>
<w:r><w:t xml:space="preserve">reagent.  This second group may be divided into a-Barbaloins,</w:t></w:r>
</w:p>
<w:p>
<w:pPr><w:pStyle w:val="Normal"/></w:pPr>
<w:r><w:t xml:space="preserve">obtained from Barbadoes aloes, and reddened in the cold,</w:t></w:r>
</w:p>
<w:p>
<w:pPr><w:pStyle w:val="Normal"/></w:pPr>
<w:r><w:t xml:space="preserve">and b-Barbaloins, obtained from Socotrine and Zanzibar</w:t></w:r>
</w:p>
<w:p>
<w:pPr><w:pStyle w:val="Normal"/></w:pPr>
<w:r><w:t xml:space="preserve">aloes, reddened by ordinary nitric acid only when warmed, or</w:t></w:r>
</w:p>
<w:p>
<w:pPr><w:pStyle w:val="Normal"/></w:pPr>
<w:r><w:t xml:space="preserve">by fuming acid in the cold.  Nataloin, 2C17H13O7.H2O,</w:t></w:r>
</w:p>
<w:p>
<w:pPr><w:pStyle w:val="Normal"/></w:pPr>
<w:r><w:t xml:space="preserve">forms bright yellow scales, melting at 212 deg. -222 deg. ; barbaloin,</w:t></w:r>
</w:p>
<w:p>
<w:pPr><w:pStyle w:val="Normal"/></w:pPr>
<w:r><w:t xml:space="preserve">C17H18O7, forms yellow prismatic crystals.  Aloes also</w:t></w:r>
</w:p>
<w:p>
<w:pPr><w:pStyle w:val="Normal"/></w:pPr>
<w:r><w:t xml:space="preserve">contain a trace of volatile oil, to which its odour is due.</w:t></w:r>
</w:p>
<w:p>
<w:pPr><w:pStyle w:val="Normal"/></w:pPr>
<w:r><w:t xml:space="preserve">The dose is 2 to 5 grains, that of aloin being  1/2 to 2 grains.</w:t></w:r>
</w:p>
<w:p>
<w:pPr><w:pStyle w:val="Normal"/></w:pPr>
<w:r><w:t xml:space="preserve">Aloes can be absorbed from a broken surface and will then cause</w:t></w:r>
</w:p>
<w:p>
<w:pPr><w:pStyle w:val="Normal"/></w:pPr>
<w:r><w:t xml:space="preserve">purging.  When given internally it increases the actual amount</w:t></w:r>
</w:p>
<w:p>
<w:pPr><w:pStyle w:val="Normal"/></w:pPr>
<w:r><w:t xml:space="preserve">as well as the rate of flow of the bile.  It hardly affects</w:t></w:r>
</w:p>
<w:p>
<w:pPr><w:pStyle w:val="Normal"/></w:pPr>
<w:r><w:t xml:space="preserve">the small intestine, but markedly stimulates the muscular</w:t></w:r>
</w:p>
<w:p>
<w:pPr><w:pStyle w:val="Normal"/></w:pPr>
<w:r><w:t xml:space="preserve">coat of the large intestine, causing purging in about fifteen</w:t></w:r>
</w:p>
<w:p>
<w:pPr><w:pStyle w:val="Normal"/></w:pPr>
<w:r><w:t xml:space="preserve">hours.  There is hardly any increase in the intestinal</w:t></w:r>
</w:p>
<w:p>
<w:pPr><w:pStyle w:val="Normal"/></w:pPr>
<w:r><w:t xml:space="preserve">secretion, the drug being emphatically not a hydragogue</w:t></w:r>
</w:p>
<w:p>
<w:pPr><w:pStyle w:val="Normal"/></w:pPr>
<w:r><w:t xml:space="preserve">cathartic.  There is no doubt that its habitual use may be a</w:t></w:r>
</w:p>
<w:p>
<w:pPr><w:pStyle w:val="Normal"/></w:pPr>
<w:r><w:t xml:space="preserve">factor in the formation of haemorrhoids; as in the case of all</w:t></w:r>
</w:p>
<w:p>
<w:pPr><w:pStyle w:val="Normal"/></w:pPr>
<w:r><w:t xml:space="preserve">drugs that act powerfully on the lower part of the intestine,</w:t></w:r>
</w:p>
<w:p>
<w:pPr><w:pStyle w:val="Normal"/></w:pPr>
<w:r><w:t xml:space="preserve">without simultaneously lowering the venous pressure by causing</w:t></w:r>
</w:p>
<w:p>
<w:pPr><w:pStyle w:val="Normal"/></w:pPr>
<w:r><w:t xml:space="preserve">increase of secretion from the bowel.  Aloes also tends to</w:t></w:r>
</w:p>
<w:p>
<w:pPr><w:pStyle w:val="Normal"/></w:pPr>
<w:r><w:t xml:space="preserve">increase the menstrual flow and therefore belongs to the group of</w:t></w:r>
</w:p>
<w:p>
<w:pPr><w:pStyle w:val="Normal"/></w:pPr>
<w:r><w:t xml:space="preserve">emmenagogues.  Aloin is preferable to aloes for therapeutic</w:t></w:r>
</w:p>
<w:p>
<w:pPr><w:pStyle w:val="Normal"/></w:pPr>
<w:r><w:t xml:space="preserve">purposes, as it causes less, if any, pain.  It is a valuable</w:t></w:r>
</w:p>
<w:p>
<w:pPr><w:pStyle w:val="Normal"/></w:pPr>
<w:r><w:t xml:space="preserve">drug in many forms of constipation, as its continual use</w:t></w:r>
</w:p>
<w:p>
<w:pPr><w:pStyle w:val="Normal"/></w:pPr>
<w:r><w:t xml:space="preserve">does not, as a rule, lead to the necessity of enlarging the</w:t></w:r>
</w:p>
<w:p>
<w:pPr><w:pStyle w:val="Normal"/></w:pPr>
<w:r><w:t xml:space="preserve">dose.  Its combined action on the bowel and the uterus is of</w:t></w:r>
</w:p>
<w:p>
<w:pPr><w:pStyle w:val="Normal"/></w:pPr>
<w:r><w:t xml:space="preserve">especial value in chlorosis, of which amenorrhoea is an almost</w:t></w:r>
</w:p>
<w:p>
<w:pPr><w:pStyle w:val="Normal"/></w:pPr>
<w:r><w:t xml:space="preserve">constant symptom.  The drug is obviously contraindicated in</w:t></w:r>
</w:p>
<w:p>
<w:pPr><w:pStyle w:val="Normal"/></w:pPr>
<w:r><w:t xml:space="preserve">pregnancy and when haemorrhoids are already present.  Many</w:t></w:r>
</w:p>
<w:p>
<w:pPr><w:pStyle w:val="Normal"/></w:pPr>
<w:r><w:t xml:space="preserve">well-known patent medicines consist essentially of aloes.</w:t></w:r>
</w:p>
<w:p>
<w:pPr><w:pStyle w:val="Normal"/></w:pPr>
<w:r><w:t xml:space="preserve">The lign-aloes is quite different from the medicinal aloes.</w:t></w:r>
</w:p>
<w:p>
<w:pPr><w:pStyle w:val="Normal"/></w:pPr>
<w:r><w:t xml:space="preserve">The word is used in the Bible (Numb. xxiv. 6), but as the trees</w:t></w:r>
</w:p>
<w:p>
<w:pPr><w:pStyle w:val="Normal"/></w:pPr>
<w:r><w:t xml:space="preserve">usually supposed to be meant by this word are not native in</w:t></w:r>
</w:p>
<w:p>
<w:pPr><w:pStyle w:val="Normal"/></w:pPr>
<w:r><w:t xml:space="preserve">Syria, it has been suggested that the LXX. reading in which</w:t></w:r>
</w:p>
<w:p>
<w:pPr><w:pStyle w:val="Normal"/></w:pPr>
<w:r><w:t xml:space="preserve">the word does not occur is to be preferred.  Lign-aloe is a</w:t></w:r>
</w:p>
<w:p>
<w:pPr><w:pStyle w:val="Normal"/></w:pPr>
<w:r><w:t xml:space="preserve">corruption of the Lat. lignum-aloe, a wood, not a resin.</w:t></w:r>
</w:p>
<w:p>
<w:pPr><w:pStyle w:val="Normal"/></w:pPr>
<w:r><w:t xml:space="preserve">Dioscorides refers to it as agallochon, a wood brought from</w:t></w:r>
</w:p>
<w:p>
<w:pPr><w:pStyle w:val="Normal"/></w:pPr>
<w:r><w:t xml:space="preserve">Arabia or India, which was odoriferous but with an astringent</w:t></w:r>
</w:p>
<w:p>
<w:pPr><w:pStyle w:val="Normal"/></w:pPr>
<w:r><w:t xml:space="preserve">and bitter taste.  This may be Aquilaria agallochum, a</w:t></w:r>
</w:p>
<w:p>
<w:pPr><w:pStyle w:val="Normal"/></w:pPr>
<w:r><w:t xml:space="preserve">native of East India and China, which supplies the so-called</w:t></w:r>
</w:p>
<w:p>
<w:pPr><w:pStyle w:val="Normal"/></w:pPr>
<w:r><w:t xml:space="preserve">eagle-wood or aloes-wood, which contains much resin and oil.</w:t></w:r>
</w:p>
<w:p>
<w:pPr><w:pStyle w:val="Normal"/></w:pPr>
<w:r><w:t xml:space="preserve">ALOIDAE, or ALOADAE, i.e. Otus and Ephialtes, in ancient</w:t></w:r>
</w:p>
<w:p>
<w:pPr><w:pStyle w:val="Normal"/></w:pPr>
<w:r><w:t xml:space="preserve">Greek legend, the twin-sons of Poseidon by Iphimedeia, wife of</w:t></w:r>
</w:p>
<w:p>
<w:pPr><w:pStyle w:val="Normal"/></w:pPr>
<w:r><w:t xml:space="preserve">Aloeus.  They were celebrated for their extraordinary stature and</w:t></w:r>
</w:p>
<w:p>
<w:pPr><w:pStyle w:val="Normal"/></w:pPr>
<w:r><w:t xml:space="preserve">strength.  According to Homer (Od. xi. 305). they made war</w:t></w:r>
</w:p>
<w:p>
<w:pPr><w:pStyle w:val="Normal"/></w:pPr>
<w:r><w:t xml:space="preserve">upon the Olympian gods and endeavoured to pile Pelion upon Ossa</w:t></w:r>
</w:p>
<w:p>
<w:pPr><w:pStyle w:val="Normal"/></w:pPr>
<w:r><w:t xml:space="preserve">in order to storm heaven itself; had they reached the age of</w:t></w:r>
</w:p>
<w:p>
<w:pPr><w:pStyle w:val="Normal"/></w:pPr>
<w:r><w:t xml:space="preserve">manhood, their attempt would have been successful, but Apollo</w:t></w:r>
</w:p>
<w:p>
<w:pPr><w:pStyle w:val="Normal"/></w:pPr>
<w:r><w:t xml:space="preserve">destroyed them before their beards began to grow.  In the</w:t></w:r>
</w:p>
<w:p>
<w:pPr><w:pStyle w:val="Normal"/></w:pPr>
<w:r><w:t xml:space="preserve">Iliad (v. 365) Ares is imprisoned by them, but delivered by</w:t></w:r>
</w:p>
<w:p>
<w:pPr><w:pStyle w:val="Normal"/></w:pPr>
<w:r><w:t xml:space="preserve">Hermes.  Apollodorus says that they succeeded in piling Pelion</w:t></w:r>
</w:p>
<w:p>
<w:pPr><w:pStyle w:val="Normal"/></w:pPr>
<w:r><w:t xml:space="preserve">upon Ossa.  Another story is that they were presumptuous</w:t></w:r>
</w:p>
<w:p>
<w:pPr><w:pStyle w:val="Normal"/></w:pPr>
<w:r><w:t xml:space="preserve">enough to seek Artemis and Hera in marriage, and that Artemis</w:t></w:r>
</w:p>
<w:p>
<w:pPr><w:pStyle w:val="Normal"/></w:pPr>
<w:r><w:t xml:space="preserve">caused them to slay each other unintentionally on the island of</w:t></w:r>
</w:p>
<w:p>
<w:pPr><w:pStyle w:val="Normal"/></w:pPr>
<w:r><w:t xml:space="preserve">Naxos, where they were afterwards worshipped as heroes.  In</w:t></w:r>
</w:p>
<w:p>
<w:pPr><w:pStyle w:val="Normal"/></w:pPr>
<w:r><w:t xml:space="preserve">punishment for their offences they were bound back to back with</w:t></w:r>
</w:p>
<w:p>
<w:pPr><w:pStyle w:val="Normal"/></w:pPr>
<w:r><w:t xml:space="preserve">snakes to a pillar in the lower world (Hyginus, Fab. 28).</w:t></w:r>
</w:p>
<w:p>
<w:pPr><w:pStyle w:val="Normal"/></w:pPr>
<w:r><w:t xml:space="preserve">The Aloidae (here connected with aloe, threshing-floor)</w:t></w:r>
</w:p>
<w:p>
<w:pPr><w:pStyle w:val="Normal"/></w:pPr>
<w:r><w:t xml:space="preserve">represent the spirits of the fertile earth and agriculture,</w:t></w:r>
</w:p>
<w:p>
<w:pPr><w:pStyle w:val="Normal"/></w:pPr>
<w:r><w:t xml:space="preserve">conceived of by the Greeks as engaged in combat with the</w:t></w:r>
</w:p>
<w:p>
<w:pPr><w:pStyle w:val="Normal"/></w:pPr>
<w:r><w:t xml:space="preserve">Olympian gods.  In contrast to these legends, Pausanias tells</w:t></w:r>
</w:p>
<w:p>
<w:pPr><w:pStyle w:val="Normal"/></w:pPr>
<w:r><w:t xml:space="preserve">us that they were regarded as the first to worship the Muses</w:t></w:r>
</w:p>
<w:p>
<w:pPr><w:pStyle w:val="Normal"/></w:pPr>
<w:r><w:t xml:space="preserve">on Mt. Helicon, while Diodorus represents them as historical</w:t></w:r>
</w:p>
<w:p>
<w:pPr><w:pStyle w:val="Normal"/></w:pPr>
<w:r><w:t xml:space="preserve">personages, princes of Thessaly, who defeated the Thracians</w:t></w:r>
</w:p>
<w:p>
<w:pPr><w:pStyle w:val="Normal"/></w:pPr>
<w:r><w:t xml:space="preserve">in Strongyle, i.e. Naxos, where they made themselves</w:t></w:r>
</w:p>
<w:p>
<w:pPr><w:pStyle w:val="Normal"/></w:pPr>
<w:r><w:t xml:space="preserve">rulers, and subsequently slew one another in a quarrel.</w:t></w:r>
</w:p>
<w:p>
<w:pPr><w:pStyle w:val="Normal"/></w:pPr>
<w:r><w:t xml:space="preserve">ALOMPRA, ALOUNG P&apos;HOURA (1711--1760), founder of the last</w:t></w:r>
</w:p>
<w:p>
<w:pPr><w:pStyle w:val="Normal"/></w:pPr>
<w:r><w:t xml:space="preserve">Burmese dynasty, was born in 1711 at Motshobo, a small village</w:t></w:r>
</w:p>
<w:p>
<w:pPr><w:pStyle w:val="Normal"/></w:pPr>
<w:r><w:t xml:space="preserve">50 m. north-west of Ava. Of humble origin, he had risen to be</w:t></w:r>
</w:p>
<w:p>
<w:pPr><w:pStyle w:val="Normal"/></w:pPr>
<w:r><w:t xml:space="preserve">chief of his native village when the invasion of Burma by the</w:t></w:r>
</w:p>
<w:p>
<w:pPr><w:pStyle w:val="Normal"/></w:pPr>
<w:r><w:t xml:space="preserve">king of Pegu in 1752 gave him the opportunity of attaining to</w:t></w:r>
</w:p>
<w:p>
<w:pPr><w:pStyle w:val="Normal"/></w:pPr>
<w:r><w:t xml:space="preserve">the highest distinction.  The whole country had tamely submitted</w:t></w:r>
</w:p>
<w:p>
<w:pPr><w:pStyle w:val="Normal"/></w:pPr>
<w:r><w:t xml:space="preserve">to the invader, and the leading chiefs had taken the oaths of</w:t></w:r>
</w:p>
<w:p>
<w:pPr><w:pStyle w:val="Normal"/></w:pPr>
<w:r><w:t xml:space="preserve">allegiance.  Alompra, however, with a more independent spirit,</w:t></w:r>
</w:p>
<w:p>
<w:pPr><w:pStyle w:val="Normal"/></w:pPr>
<w:r><w:t xml:space="preserve">not only contrived to regain possession of his village, but</w:t></w:r>
</w:p>
<w:p>
<w:pPr><w:pStyle w:val="Normal"/></w:pPr>
<w:r><w:t xml:space="preserve">was able to defeat a body of Peguan troops that had been sent</w:t></w:r>
</w:p>
<w:p>
<w:pPr><w:pStyle w:val="Normal"/></w:pPr>
<w:r><w:t xml:space="preserve">to punish him.  Upon this the Burmese, to the number of a</w:t></w:r>
</w:p>
<w:p>
<w:pPr><w:pStyle w:val="Normal"/></w:pPr>
<w:r><w:t xml:space="preserve">thousand, rallied to his standard and marched with him upon</w:t></w:r>
</w:p>
<w:p>
<w:pPr><w:pStyle w:val="Normal"/></w:pPr>
<w:r><w:t xml:space="preserve">Ava, which was recovered from the invaders before the close of</w:t></w:r>
</w:p>
<w:p>
<w:pPr><w:pStyle w:val="Normal"/></w:pPr>
<w:r><w:t xml:space="preserve">1753.  For several years he prosecuted the war with uniform</w:t></w:r>
</w:p>
<w:p>
<w:pPr><w:pStyle w:val="Normal"/></w:pPr>
<w:r><w:t xml:space="preserve">success.  In 1754 the Peguans, to avenge themselves for</w:t></w:r>
</w:p>
<w:p>
<w:pPr><w:pStyle w:val="Normal"/></w:pPr>
<w:r><w:t xml:space="preserve">a severe defeat at Keoum-nuoum, slew the king of Burma,</w:t></w:r>
</w:p>
<w:p>
<w:pPr><w:pStyle w:val="Normal"/></w:pPr>
<w:r><w:t xml:space="preserve">who was their prisoner.  The son of the latter claimed</w:t></w:r>
</w:p>
<w:p>
<w:pPr><w:pStyle w:val="Normal"/></w:pPr>
<w:r><w:t xml:space="preserve">the throne, and was supported by the tribe of Quois; but</w:t></w:r>
</w:p>
<w:p>
<w:pPr><w:pStyle w:val="Normal"/></w:pPr>
<w:r><w:t xml:space="preserve">Alompra resisted, being determined to maintain his own</w:t></w:r>
</w:p>
<w:p>
<w:pPr><w:pStyle w:val="Normal"/></w:pPr>
<w:r><w:t xml:space="preserve">supremacy.  In 1755 Alompra founded the city of Rangoon.</w:t></w:r>
</w:p>
<w:p>
<w:pPr><w:pStyle w:val="Normal"/></w:pPr>
<w:r><w:t xml:space="preserve">In 1757 he had established his position as one of the most</w:t></w:r>
</w:p>
<w:p>
<w:pPr><w:pStyle w:val="Normal"/></w:pPr>
<w:r><w:t xml:space="preserve">powerful monarchs of the East by the invasion and conquest of</w:t></w:r>
</w:p>
<w:p>
<w:pPr><w:pStyle w:val="Normal"/></w:pPr>
<w:r><w:t xml:space="preserve">Pegu.  Before a year elapsed the Peguans revolted; but</w:t></w:r>
</w:p>
<w:p>
<w:pPr><w:pStyle w:val="Normal"/></w:pPr>
<w:r><w:t xml:space="preserve">Alompra, with his usual promptitude, at once quelled the</w:t></w:r>
</w:p>
<w:p>
<w:pPr><w:pStyle w:val="Normal"/></w:pPr>
<w:r><w:t xml:space="preserve">insurrection.  The Europeans were suspected of having instigated</w:t></w:r>
</w:p>
<w:p>
<w:pPr><w:pStyle w:val="Normal"/></w:pPr>
<w:r><w:t xml:space="preserve">the rising, and the massacre of the English at Negrais in</w:t></w:r>
</w:p>
<w:p>
<w:pPr><w:pStyle w:val="Normal"/></w:pPr>
<w:r><w:t xml:space="preserve">October 1759 is supposed to have been approved by Alompra</w:t></w:r>
</w:p>
<w:p>
<w:pPr><w:pStyle w:val="Normal"/></w:pPr>
<w:r><w:t xml:space="preserve">after the event, though there is no evidence that he ordered</w:t></w:r>
</w:p>
<w:p>
<w:pPr><w:pStyle w:val="Normal"/></w:pPr>
<w:r><w:t xml:space="preserve">it.  Against the Siamese, who were also suspected of having</w:t></w:r>
</w:p>
<w:p>
<w:pPr><w:pStyle w:val="Normal"/></w:pPr>
<w:r><w:t xml:space="preserve">abetted the Peguan rebels, he proceeded more openly and</w:t></w:r>
</w:p>
<w:p>
<w:pPr><w:pStyle w:val="Normal"/></w:pPr>
<w:r><w:t xml:space="preserve">severely.  Entering their territory, he was just about to</w:t></w:r>
</w:p>
<w:p>
<w:pPr><w:pStyle w:val="Normal"/></w:pPr>
<w:r><w:t xml:space="preserve">invest the capital when he was seized with an illness which</w:t></w:r>
</w:p>
<w:p>
<w:pPr><w:pStyle w:val="Normal"/></w:pPr>
<w:r><w:t xml:space="preserve">proved fatal on the 15th of May 1760.  Alompra is one of</w:t></w:r>
</w:p>
<w:p>
<w:pPr><w:pStyle w:val="Normal"/></w:pPr>
<w:r><w:t xml:space="preserve">the most remarkable figures in modern Oriental history.  To</w:t></w:r>
</w:p>
<w:p>
<w:pPr><w:pStyle w:val="Normal"/></w:pPr>
<w:r><w:t xml:space="preserve">undoubted military genius he added considerable political</w:t></w:r>
</w:p>
<w:p>
<w:pPr><w:pStyle w:val="Normal"/></w:pPr>
<w:r><w:t xml:space="preserve">sagacity, and he deserves particular credit for his efforts</w:t></w:r>
</w:p>
<w:p>
<w:pPr><w:pStyle w:val="Normal"/></w:pPr>
<w:r><w:t xml:space="preserve">to improve the administration of justice.  His cruelty and</w:t></w:r>
</w:p>
<w:p>
<w:pPr><w:pStyle w:val="Normal"/></w:pPr>
<w:r><w:t xml:space="preserve">deceitfulness were faults common to all Eastern despots.</w:t></w:r>
</w:p>
<w:p>
<w:pPr><w:pStyle w:val="Normal"/></w:pPr>
<w:r><w:t xml:space="preserve">ALONE. This adjective or adverb requires no definition for its</w:t></w:r>
</w:p>
<w:p>
<w:pPr><w:pStyle w:val="Normal"/></w:pPr>
<w:r><w:t xml:space="preserve">meaning of ``by oneself&apos;&apos; or ``solitary&apos;&apos;; but its etymological</w:t></w:r>
</w:p>
<w:p>
<w:pPr><w:pStyle w:val="Normal"/></w:pPr>
<w:r><w:t xml:space="preserve">history, as simply a combination of the words ``all&apos;&apos; and ``one&apos;&apos;</w:t></w:r>
</w:p>
<w:p>
<w:pPr><w:pStyle w:val="Normal"/></w:pPr>
<w:r><w:t xml:space="preserve">is rather curious (compare the Ger. allein.) ``Lone&apos;&apos; is merely</w:t></w:r>
</w:p>
<w:p>
<w:pPr><w:pStyle w:val="Normal"/></w:pPr>
<w:r><w:t xml:space="preserve">a clipped form of the word, and so ``lonely.&apos;&apos; The New English</w:t></w:r>
</w:p>
<w:p>
<w:pPr><w:pStyle w:val="Normal"/></w:pPr>
<w:r><w:t xml:space="preserve">Dictionary traces the English word back to the year 1300.</w:t></w:r>
</w:p>
<w:p>
<w:pPr><w:pStyle w:val="Normal"/></w:pPr>
<w:r><w:t xml:space="preserve">ALORA, a town of southern Spain in the province of Malaga;</w:t></w:r>
</w:p>
<w:p>
<w:pPr><w:pStyle w:val="Normal"/></w:pPr>
<w:r><w:t xml:space="preserve">17 m.  W.N.W. of Malaga, on the right bank of the river</w:t></w:r>
</w:p>
<w:p>
<w:pPr><w:pStyle w:val="Normal"/></w:pPr>
<w:r><w:t xml:space="preserve">Guadalhorce, and on the Cordova-Malaga railway.  Pop. (1900)</w:t></w:r>
</w:p>
<w:p>
<w:pPr><w:pStyle w:val="Normal"/></w:pPr>
<w:r><w:t xml:space="preserve">10,525. Alora, which is an ancient and picturesque town, with</w:t></w:r>
</w:p>
<w:p>
<w:pPr><w:pStyle w:val="Normal"/></w:pPr>
<w:r><w:t xml:space="preserve">several Moorish ruins, occupies an outlying hill of the Sierra de</w:t></w:r>
</w:p>
<w:p>
<w:pPr><w:pStyle w:val="Normal"/></w:pPr>
<w:r><w:t xml:space="preserve">Tolox, and overlooks a fertile valley where maize, sugar-cane</w:t></w:r>
</w:p>
<w:p>
<w:pPr><w:pStyle w:val="Normal"/></w:pPr>
<w:r><w:t xml:space="preserve">and datepalms are cultivated.  There are hot sulphurous springs</w:t></w:r>
</w:p>
<w:p>
<w:pPr><w:pStyle w:val="Normal"/></w:pPr>
<w:r><w:t xml:space="preserve">in the town, which has also a fine climate; and many of the</w:t></w:r>
</w:p>
<w:p>
<w:pPr><w:pStyle w:val="Normal"/></w:pPr>
<w:r><w:t xml:space="preserve">wealthy families from Malaga reside here in summer.  Brandy</w:t></w:r>
</w:p>
<w:p>
<w:pPr><w:pStyle w:val="Normal"/></w:pPr>
<w:r><w:t xml:space="preserve">distilling is, after agriculture, the chief local industry.</w:t></w:r>
</w:p>
<w:p>
<w:pPr><w:pStyle w:val="Normal"/></w:pPr>
<w:r><w:t xml:space="preserve">ALOST (Flem. Aalst), a town of Belgium, in the province</w:t></w:r>
</w:p>
<w:p>
<w:pPr><w:pStyle w:val="Normal"/></w:pPr>
<w:r><w:t xml:space="preserve">of East Flanders, situated on the left bank of the Dender;</w:t></w:r>
</w:p>
<w:p>
<w:pPr><w:pStyle w:val="Normal"/></w:pPr>
<w:r><w:t xml:space="preserve">the ancient capital of what was called Imperial Flanders.</w:t></w:r>
</w:p>
<w:p>
<w:pPr><w:pStyle w:val="Normal"/></w:pPr>
<w:r><w:t xml:space="preserve">Pop. (1897) 28,771; (1904) 31,655.  Flanders in the feudal</w:t></w:r>
</w:p>
<w:p>
<w:pPr><w:pStyle w:val="Normal"/></w:pPr>
<w:r><w:t xml:space="preserve">period was a fief of the king of France---the count of</w:t></w:r>
</w:p>
<w:p>
<w:pPr><w:pStyle w:val="Normal"/></w:pPr>
<w:r><w:t xml:space="preserve">Flanders being the first of the twelve peers of France; but</w:t></w:r>
</w:p>
<w:p>
<w:pPr><w:pStyle w:val="Normal"/></w:pPr>
<w:r><w:t xml:space="preserve">there was a small strip extending from Alost to the isles of</w:t></w:r>
</w:p>
<w:p>
<w:pPr><w:pStyle w:val="Normal"/></w:pPr>
<w:r><w:t xml:space="preserve">Zeeland, designated Imperial Flanders, of which the count</w:t></w:r>
</w:p>
<w:p>
<w:pPr><w:pStyle w:val="Normal"/></w:pPr>
<w:r><w:t xml:space="preserve">was the vassal of the Holy Roman emperor.  Attached to the</w:t></w:r>
</w:p>
<w:p>
<w:pPr><w:pStyle w:val="Normal"/></w:pPr>
<w:r><w:t xml:space="preserve">hotel de ville is a fine belfry of the 15th century, but</w:t></w:r>
</w:p>
<w:p>
<w:pPr><w:pStyle w:val="Normal"/></w:pPr>
<w:r><w:t xml:space="preserve">unfortunately it was seriously damaged by fire in 1879.  In</w:t></w:r>
</w:p>
<w:p>
<w:pPr><w:pStyle w:val="Normal"/></w:pPr>
<w:r><w:t xml:space="preserve">the church of St Martin, dating from 1498 but unfinished, is</w:t></w:r>
</w:p>
<w:p>
<w:pPr><w:pStyle w:val="Normal"/></w:pPr>
<w:r><w:t xml:space="preserve">a fine Rubens.  The subject is St Roch, the patron saint of</w:t></w:r>
</w:p>
<w:p>
<w:pPr><w:pStyle w:val="Normal"/></w:pPr>
<w:r><w:t xml:space="preserve">lepers, and the colouring of the scaly skin of the leper in</w:t></w:r>
</w:p>
<w:p>
<w:pPr><w:pStyle w:val="Normal"/></w:pPr>
<w:r><w:t xml:space="preserve">the forefront of the picture is generally regarded as one</w:t></w:r>
</w:p>
<w:p>
<w:pPr><w:pStyle w:val="Normal"/></w:pPr>
<w:r><w:t xml:space="preserve">of the master&apos;s most striking effects.  The work was pointed</w:t></w:r>
</w:p>
<w:p>
<w:pPr><w:pStyle w:val="Normal"/></w:pPr>
<w:r><w:t xml:space="preserve">to the order of the Brewers&apos; Gild in (it is said) eight</w:t></w:r>
</w:p>
<w:p>
<w:pPr><w:pStyle w:val="Normal"/></w:pPr>
<w:r><w:t xml:space="preserve">days.  It was outside Alost that William Clito, grandson of</w:t></w:r>
</w:p>
<w:p>
<w:pPr><w:pStyle w:val="Normal"/></w:pPr>
<w:r><w:t xml:space="preserve">William the Conqueror, who was then endeavouring to establish</w:t></w:r>
</w:p>
<w:p>
<w:pPr><w:pStyle w:val="Normal"/></w:pPr>
<w:r><w:t xml:space="preserve">his claims as count of Flanders, was mortally wounded in</w:t></w:r>
</w:p>
<w:p>
<w:pPr><w:pStyle w:val="Normal"/></w:pPr>
<w:r><w:t xml:space="preserve">1128.  Of all the claims Alost possesses to fame perhaps the</w:t></w:r>
</w:p>
<w:p>
<w:pPr><w:pStyle w:val="Normal"/></w:pPr>
<w:r><w:t xml:space="preserve">most remarkable is that Thierry Maartens (c. 1474) set up</w:t></w:r>
</w:p>
<w:p>
<w:pPr><w:pStyle w:val="Normal"/></w:pPr>
<w:r><w:t xml:space="preserve">there one of the first printing presses in Europe.  Alost</w:t></w:r>
</w:p>
<w:p>
<w:pPr><w:pStyle w:val="Normal"/></w:pPr>
<w:r><w:t xml:space="preserve">is famous to-day for its hop gardens and linen-bleaching</w:t></w:r>
</w:p>
<w:p>
<w:pPr><w:pStyle w:val="Normal"/></w:pPr>
<w:r><w:t xml:space="preserve">establishments.  The meadows south of Alost are often covered</w:t></w:r>
</w:p>
<w:p>
<w:pPr><w:pStyle w:val="Normal"/></w:pPr>
<w:r><w:t xml:space="preserve">with the linen undergoing the process of bleaching, which</w:t></w:r>
</w:p>
<w:p>
<w:pPr><w:pStyle w:val="Normal"/></w:pPr>
<w:r><w:t xml:space="preserve">makes them assume the aspect of a whitish-blue carpet.</w:t></w:r>
</w:p>
<w:p>
<w:pPr><w:pStyle w:val="Normal"/></w:pPr>
<w:r><w:t xml:space="preserve">ALP. To the Swiss dwellers in the plains the term ``the</w:t></w:r>
</w:p>
<w:p>
<w:pPr><w:pStyle w:val="Normal"/></w:pPr>
<w:r><w:t xml:space="preserve">Alps&apos;&apos; (q.v.) signifies the high snowy mountains which they</w:t></w:r>
</w:p>
<w:p>
<w:pPr><w:pStyle w:val="Normal"/></w:pPr>
<w:r><w:t xml:space="preserve">see on the horizon, but to the dwellers in the valleys which</w:t></w:r>
</w:p>
<w:p>
<w:pPr><w:pStyle w:val="Normal"/></w:pPr>
<w:r><w:t xml:space="preserve">nature has carved in the sides of those high mountains, the</w:t></w:r>
</w:p>
<w:p>
<w:pPr><w:pStyle w:val="Normal"/></w:pPr>
<w:r><w:t xml:space="preserve">word alp means exclasively the summer pastures situated on</w:t></w:r>
</w:p>
<w:p>
<w:pPr><w:pStyle w:val="Normal"/></w:pPr>
<w:r><w:t xml:space="preserve">the slopes above the valley, though below the snow-line.</w:t></w:r>
</w:p>
<w:p>
<w:pPr><w:pStyle w:val="Normal"/></w:pPr>
<w:r><w:t xml:space="preserve">In fact such pastures are essential to the inhabitants of</w:t></w:r>
</w:p>
<w:p>
<w:pPr><w:pStyle w:val="Normal"/></w:pPr>
<w:r><w:t xml:space="preserve">pastoral alpine districts, for the fodder to be obtained in</w:t></w:r>
</w:p>
<w:p>
<w:pPr><w:pStyle w:val="Normal"/></w:pPr>
<w:r><w:t xml:space="preserve">the valley itself would not suffice to support the number</w:t></w:r>
</w:p>
<w:p>
<w:pPr><w:pStyle w:val="Normal"/></w:pPr>
<w:r><w:t xml:space="preserve">of cattle which are required to afford sustenance to the</w:t></w:r>
</w:p>
<w:p>
<w:pPr><w:pStyle w:val="Normal"/></w:pPr>
<w:r><w:t xml:space="preserve">inhabitants.  Such mountain pastures, made use of only during</w:t></w:r>
</w:p>
<w:p>
<w:pPr><w:pStyle w:val="Normal"/></w:pPr>
<w:r><w:t xml:space="preserve">the summer months, are of almost immemorial antiquity, cases</w:t></w:r>
</w:p>
<w:p>
<w:pPr><w:pStyle w:val="Normal"/></w:pPr>
<w:r><w:t xml:space="preserve">occurring in 739, 868 and 999, while they are found in all parts</w:t></w:r>
</w:p>
<w:p>
<w:pPr><w:pStyle w:val="Normal"/></w:pPr>
<w:r><w:t xml:space="preserve">of the Alpine chain.  In France and Italy the system is badly</w:t></w:r>
</w:p>
<w:p>
<w:pPr><w:pStyle w:val="Normal"/></w:pPr>
<w:r><w:t xml:space="preserve">managed, as also in Tirol (where the local name is Almen),</w:t></w:r>
</w:p>
<w:p>
<w:pPr><w:pStyle w:val="Normal"/></w:pPr>
<w:r><w:t xml:space="preserve">where, too, these pastures have in the course of years been</w:t></w:r>
</w:p>
<w:p>
<w:pPr><w:pStyle w:val="Normal"/></w:pPr>
<w:r><w:t xml:space="preserve">largely alienated by the valley inhabitants, and belong to</w:t></w:r>
</w:p>
<w:p>
<w:pPr><w:pStyle w:val="Normal"/></w:pPr>
<w:r><w:t xml:space="preserve">large villages or small towns almost in the plains.  But in</w:t></w:r>
</w:p>
<w:p>
<w:pPr><w:pStyle w:val="Normal"/></w:pPr>
<w:r><w:t xml:space="preserve">Switzerland, and especially in the German-speaking mountain</w:t></w:r>
</w:p>
<w:p>
<w:pPr><w:pStyle w:val="Normal"/></w:pPr>
<w:r><w:t xml:space="preserve">districts, the alps are the centre round which the entire</w:t></w:r>
</w:p>
<w:p>
<w:pPr><w:pStyle w:val="Normal"/></w:pPr>
<w:r><w:t xml:space="preserve">pastoral life of the inhabitants turns.  It is reckoned that</w:t></w:r>
</w:p>
<w:p>
<w:pPr><w:pStyle w:val="Normal"/></w:pPr>
<w:r><w:t xml:space="preserve">in that country there are now about 4778 alps in ail, the</w:t></w:r>
</w:p>
<w:p>
<w:pPr><w:pStyle w:val="Normal"/></w:pPr>
<w:r><w:t xml:space="preserve">capital value of which is put at rather over L. 3,000,000.  Of</w:t></w:r>
</w:p>
<w:p>
<w:pPr><w:pStyle w:val="Normal"/></w:pPr>
<w:r><w:t xml:space="preserve">these alps about 45% are owned by the communes (exclusively</w:t></w:r>
</w:p>
<w:p>
<w:pPr><w:pStyle w:val="Normal"/></w:pPr>
<w:r><w:t xml:space="preserve">or jointly) and 54% by individuals, the remaining 1% being</w:t></w:r>
</w:p>
<w:p>
<w:pPr><w:pStyle w:val="Normal"/></w:pPr>
<w:r><w:t xml:space="preserve">the property of the state or a few great monasteries.  In the</w:t></w:r>
</w:p>
<w:p>
<w:pPr><w:pStyle w:val="Normal"/></w:pPr>
<w:r><w:t xml:space="preserve">case of the alps belonging to the Swiss communes, it must be</w:t></w:r>
</w:p>
<w:p>
<w:pPr><w:pStyle w:val="Normal"/></w:pPr>
<w:r><w:t xml:space="preserve">borne in mind that ``commune&apos;&apos; here does not signify either</w:t></w:r>
</w:p>
<w:p>
<w:pPr><w:pStyle w:val="Normal"/></w:pPr>
<w:r><w:t xml:space="preserve">Einwohnergemeinden or Burgergemeinden, but a special</w:t></w:r>
</w:p>
<w:p>
<w:pPr><w:pStyle w:val="Normal"/></w:pPr>
<w:r><w:t xml:space="preserve">class called Alpgemeinden (for instance in the well-known</w:t></w:r>
</w:p>
<w:p>
<w:pPr><w:pStyle w:val="Normal"/></w:pPr>
<w:r><w:t xml:space="preserve">valley of Grindelwald there is one Einwohnergemeinde, but</w:t></w:r>
</w:p>
<w:p>
<w:pPr><w:pStyle w:val="Normal"/></w:pPr>
<w:r><w:t xml:space="preserve">seven Alpgemeinden.) These Alpgemeinden are composed of the</w:t></w:r>
</w:p>
<w:p>
<w:pPr><w:pStyle w:val="Normal"/></w:pPr>
<w:r><w:t xml:space="preserve">persons who have a right to send cattle up to any particular</w:t></w:r>
</w:p>
<w:p>
<w:pPr><w:pStyle w:val="Normal"/></w:pPr>
<w:r><w:t xml:space="preserve">alp in summer, this right being attached (in different places)</w:t></w:r>
</w:p>
<w:p>
<w:pPr><w:pStyle w:val="Normal"/></w:pPr>
<w:r><w:t xml:space="preserve">either to certain plots of ground in the valley or certain</w:t></w:r>
</w:p>
<w:p>
<w:pPr><w:pStyle w:val="Normal"/></w:pPr>
<w:r><w:t xml:space="preserve">houses in the Village, or to certain persons.  In any case</w:t></w:r>
</w:p>
<w:p>
<w:pPr><w:pStyle w:val="Normal"/></w:pPr>
<w:r><w:t xml:space="preserve">the owners of an alp fix the greatest number of cows which</w:t></w:r>
</w:p>
<w:p>
<w:pPr><w:pStyle w:val="Normal"/></w:pPr>
<w:r><w:t xml:space="preserve">it can support during the summer without being permanently</w:t></w:r>
</w:p>
<w:p>
<w:pPr><w:pStyle w:val="Normal"/></w:pPr>
<w:r><w:t xml:space="preserve">damaged.  The plot of ground which can support a single cow</w:t></w:r>
</w:p>
<w:p>
<w:pPr><w:pStyle w:val="Normal"/></w:pPr>
<w:r><w:t xml:space="preserve">(or 2 heifers, 3 calves or sheep, 4 pigs or 8 goats) is called</w:t></w:r>
</w:p>
<w:p>
<w:pPr><w:pStyle w:val="Normal"/></w:pPr>
<w:r><w:t xml:space="preserve">a Kuhstoss (of which there are 270,389 in Switzerland), and</w:t></w:r>
</w:p>
<w:p>
<w:pPr><w:pStyle w:val="Normal"/></w:pPr>
<w:r><w:t xml:space="preserve">it is in these terms that the productiveness of the alp is</w:t></w:r>
</w:p>
<w:p>
<w:pPr><w:pStyle w:val="Normal"/></w:pPr>
<w:r><w:t xml:space="preserve">reckoned.  Sometimes a particular alp, or a portion of it,</w:t></w:r>
</w:p>
<w:p>
<w:pPr><w:pStyle w:val="Normal"/></w:pPr>
<w:r><w:t xml:space="preserve">is reserved exclusively to heifers and calves, or to goats</w:t></w:r>
</w:p>
<w:p>
<w:pPr><w:pStyle w:val="Normal"/></w:pPr>
<w:r><w:t xml:space="preserve">(in this case it is the loftier portion).  On each alp there</w:t></w:r>
</w:p>
<w:p>
<w:pPr><w:pStyle w:val="Normal"/></w:pPr>
<w:r><w:t xml:space="preserve">are several sets of huts wherein live the cow-herds and</w:t></w:r>
</w:p>
<w:p>
<w:pPr><w:pStyle w:val="Normal"/></w:pPr>
<w:r><w:t xml:space="preserve">cheese-makers (the latter are called Sennen or Fruitiers),</w:t></w:r>
</w:p>
<w:p>
<w:pPr><w:pStyle w:val="Normal"/></w:pPr>
<w:r><w:t xml:space="preserve">the cattle being generally left in the open.  The cattle, with</w:t></w:r>
</w:p>
<w:p>
<w:pPr><w:pStyle w:val="Normal"/></w:pPr>
<w:r><w:t xml:space="preserve">their attendants, shift from one to the other of these sets</w:t></w:r>
</w:p>
<w:p>
<w:pPr><w:pStyle w:val="Normal"/></w:pPr>
<w:r><w:t xml:space="preserve">of huts, between the end of June and the end of September,</w:t></w:r>
</w:p>
<w:p>
<w:pPr><w:pStyle w:val="Normal"/></w:pPr>
<w:r><w:t xml:space="preserve">making but one sojourn at the highest huts, but two at the</w:t></w:r>
</w:p>
<w:p>
<w:pPr><w:pStyle w:val="Normal"/></w:pPr>
<w:r><w:t xml:space="preserve">lower.  The proper name for these nuts is Sennhutten or</w:t></w:r>
</w:p>
<w:p>
<w:pPr><w:pStyle w:val="Normal"/></w:pPr>
<w:r><w:t xml:space="preserve">chalets, but the latter term is incorrectly applied also</w:t></w:r>
</w:p>
<w:p>
<w:pPr><w:pStyle w:val="Normal"/></w:pPr>
<w:r><w:t xml:space="preserve">to houses in the village below.  The milk given each day by</w:t></w:r>
</w:p>
<w:p>
<w:pPr><w:pStyle w:val="Normal"/></w:pPr>
<w:r><w:t xml:space="preserve">each cow is entered in a book, and then made into butter and</w:t></w:r>
</w:p>
<w:p>
<w:pPr><w:pStyle w:val="Normal"/></w:pPr>
<w:r><w:t xml:space="preserve">cheese. the cow-herds and cheese-makers having the right to</w:t></w:r>
</w:p>
<w:p>
<w:pPr><w:pStyle w:val="Normal"/></w:pPr>
<w:r><w:t xml:space="preserve">a certain proportion of milk, butter and cheese for their own</w:t></w:r>
</w:p>
<w:p>
<w:pPr><w:pStyle w:val="Normal"/></w:pPr>
<w:r><w:t xml:space="preserve">sustenance, and receiving a small sum per head of cattle for</w:t></w:r>
</w:p>
<w:p>
<w:pPr><w:pStyle w:val="Normal"/></w:pPr>
<w:r><w:t xml:space="preserve">looking after them.  At the end of the season the net amount</w:t></w:r>
</w:p>
<w:p>
<w:pPr><w:pStyle w:val="Normal"/></w:pPr>
<w:r><w:t xml:space="preserve">of cheese produced by milk from each cow is handed over to</w:t></w:r>
</w:p>
<w:p>
<w:pPr><w:pStyle w:val="Normal"/></w:pPr>
<w:r><w:t xml:space="preserve">the owner of that particular cow, and is carried down by him</w:t></w:r>
</w:p>
<w:p>
<w:pPr><w:pStyle w:val="Normal"/></w:pPr>
<w:r><w:t xml:space="preserve">to his home in the valley from the hut (a small building on</w:t></w:r>
</w:p>
<w:p>
<w:pPr><w:pStyle w:val="Normal"/></w:pPr>
<w:r><w:t xml:space="preserve">four stone legs to secure the contents from mice) wherein</w:t></w:r>
</w:p>
<w:p>
<w:pPr><w:pStyle w:val="Normal"/></w:pPr>
<w:r><w:t xml:space="preserve">the cheeses have been stored since they were made--this hut</w:t></w:r>
</w:p>
<w:p>
<w:pPr><w:pStyle w:val="Normal"/></w:pPr>
<w:r><w:t xml:space="preserve">is called a Speicher. As the owners of Kuhstossen may</w:t></w:r>
</w:p>
<w:p>
<w:pPr><w:pStyle w:val="Normal"/></w:pPr>
<w:r><w:t xml:space="preserve">exchange them provisionally for others on another alp, or</w:t></w:r>
</w:p>
<w:p>
<w:pPr><w:pStyle w:val="Normal"/></w:pPr>
<w:r><w:t xml:space="preserve">may hire them out (they can only sell them with the plot or</w:t></w:r>
</w:p>
<w:p>
<w:pPr><w:pStyle w:val="Normal"/></w:pPr>
<w:r><w:t xml:space="preserve">house to which they are attached), the persons who in any</w:t></w:r>
</w:p>
<w:p>
<w:pPr><w:pStyle w:val="Normal"/></w:pPr>
<w:r><w:t xml:space="preserve">given summer actually send cows up to an alp (these form the</w:t></w:r>
</w:p>
<w:p>
<w:pPr><w:pStyle w:val="Normal"/></w:pPr>
<w:r><w:t xml:space="preserve">Besetzerschaft) need not necessarily be absolutely identical</w:t></w:r>
</w:p>
<w:p>
<w:pPr><w:pStyle w:val="Normal"/></w:pPr>
<w:r><w:t xml:space="preserve">with the true owners of these rights or Besitzerschaft. Hay</w:t></w:r>
</w:p>
<w:p>
<w:pPr><w:pStyle w:val="Normal"/></w:pPr>
<w:r><w:t xml:space="preserve">is never mown on the true alps save in spots which are not</w:t></w:r>
</w:p>
<w:p>
<w:pPr><w:pStyle w:val="Normal"/></w:pPr>
<w:r><w:t xml:space="preserve">easily accessible to cattle (in very high spots it belongs</w:t></w:r>
</w:p>
<w:p>
<w:pPr><w:pStyle w:val="Normal"/></w:pPr>
<w:r><w:t xml:space="preserve">to the mower, and is then called Wildheu), but hay-crops</w:t></w:r>
</w:p>
<w:p>
<w:pPr><w:pStyle w:val="Normal"/></w:pPr>
<w:r><w:t xml:space="preserve">are made on the Mayens or Voralpen, the lowest pastures,</w:t></w:r>
</w:p>
<w:p>
<w:pPr><w:pStyle w:val="Normal"/></w:pPr>
<w:r><w:t xml:space="preserve">situated between the homesteads and the true alps; these</w:t></w:r>
</w:p>
<w:p>
<w:pPr><w:pStyle w:val="Normal"/></w:pPr>
<w:r><w:t xml:space="preserve">Voralpen are individual (not communal) property, though</w:t></w:r>
</w:p>
<w:p>
<w:pPr><w:pStyle w:val="Normal"/></w:pPr>
<w:r><w:t xml:space="preserve">probably in olden days cut out of the true Alpen. In the</w:t></w:r>
</w:p>
<w:p>
<w:pPr><w:pStyle w:val="Normal"/></w:pPr>
<w:r><w:t xml:space="preserve">winter the cattle consume the hay mown on these Voralpeii</w:t></w:r>
</w:p>
<w:p>
<w:pPr><w:pStyle w:val="Normal"/></w:pPr>
<w:r><w:t xml:space="preserve">(which, to a certain extent, are grazed in late spring and</w:t></w:r>
</w:p>
<w:p>
<w:pPr><w:pStyle w:val="Normal"/></w:pPr>
<w:r><w:t xml:space="preserve">early autumn, that is, before and after the summer sojourn</w:t></w:r>
</w:p>
<w:p>
<w:pPr><w:pStyle w:val="Normal"/></w:pPr>
<w:r><w:t xml:space="preserve">on the alps), either living in the huts on the Foralpen</w:t></w:r>
</w:p>
<w:p>
<w:pPr><w:pStyle w:val="Normal"/></w:pPr>
<w:r><w:t xml:space="preserve">while they consume it, or in the stable attached to the</w:t></w:r>
</w:p>
<w:p>
<w:pPr><w:pStyle w:val="Normal"/></w:pPr>
<w:r><w:t xml:space="preserve">dwelling-houses in the village; in the barn is stored the hay</w:t></w:r>
</w:p>
<w:p>
<w:pPr><w:pStyle w:val="Normal"/></w:pPr>
<w:r><w:t xml:space="preserve">mown on the homestead and on the meadows near the village,</w:t></w:r>
</w:p>
<w:p>
<w:pPr><w:pStyle w:val="Normal"/></w:pPr>
<w:r><w:t xml:space="preserve">which may belong to the owner of the cattle.  The whole system</w:t></w:r>
</w:p>
<w:p>
<w:pPr><w:pStyle w:val="Normal"/></w:pPr>
<w:r><w:t xml:space="preserve">is well organized and is well understood by the natives,</w:t></w:r>
</w:p>
<w:p>
<w:pPr><w:pStyle w:val="Normal"/></w:pPr>
<w:r><w:t xml:space="preserve">though not always by strangers who visit the Alps in summer.</w:t></w:r>
</w:p>
<w:p>
<w:pPr><w:pStyle w:val="Normal"/></w:pPr>
<w:r><w:t xml:space="preserve">See John Ball, Hints and Notes for Travellers in the Alps (article</w:t></w:r>
</w:p>
<w:p>
<w:pPr><w:pStyle w:val="Normal"/></w:pPr>
<w:r><w:t xml:space="preserve">x., especially pp: lvii.-lxv.); new edition, London, 1899; Felix</w:t></w:r>
</w:p>
<w:p>
<w:pPr><w:pStyle w:val="Normal"/></w:pPr>
<w:r><w:t xml:space="preserve">Anderegg, Illustriertes Lehrbuch fur die gesamte schweiz.</w:t></w:r>
</w:p>
<w:p>
<w:pPr><w:pStyle w:val="Normal"/></w:pPr>
<w:r><w:t xml:space="preserve">Alpwirtschaft (Bern, 1897--1898); the Schweiz-Alpstatistik</w:t></w:r>
</w:p>
<w:p>
<w:pPr><w:pStyle w:val="Normal"/></w:pPr>
<w:r><w:t xml:space="preserve">(each volume devoted to the alps of a single Swiss canton);</w:t></w:r>
</w:p>
<w:p>
<w:pPr><w:pStyle w:val="Normal"/></w:pPr>
<w:r><w:t xml:space="preserve">and A. v.  Miaskowski&apos;s two books, Die schweiz.  Allmend</w:t></w:r>
</w:p>
<w:p>
<w:pPr><w:pStyle w:val="Normal"/></w:pPr>
<w:r><w:t xml:space="preserve">(Leipzig, 1879), and Die Verfassung der Land-, Alpen- und</w:t></w:r>
</w:p>
<w:p>
<w:pPr><w:pStyle w:val="Normal"/></w:pPr>
<w:r><w:t xml:space="preserve">Forstwirtschaf der Schweiz (Basel, 1878). (W. A. B. C.)</w:t></w:r>
</w:p>
<w:p>
<w:pPr><w:pStyle w:val="Normal"/></w:pPr>
<w:r><w:t xml:space="preserve">ALPACA, one of two domesticated breeds of South American</w:t></w:r>
</w:p>
<w:p>
<w:pPr><w:pStyle w:val="Normal"/></w:pPr>
<w:r><w:t xml:space="preserve">camel-like ungulates, derived from the wild huanaco or</w:t></w:r>
</w:p>
<w:p>
<w:pPr><w:pStyle w:val="Normal"/></w:pPr>
<w:r><w:t xml:space="preserve">guanaco.  Alpacas are kept in large flocks which graze on</w:t></w:r>
</w:p>
<w:p>
<w:pPr><w:pStyle w:val="Normal"/></w:pPr>
<w:r><w:t xml:space="preserve">the level heights of the Andes of southern Peru and northern</w:t></w:r>
</w:p>
<w:p>
<w:pPr><w:pStyle w:val="Normal"/></w:pPr>
<w:r><w:t xml:space="preserve">Bolivia, at an elevation of from 14,000 to 16,000 ft. above</w:t></w:r>
</w:p>
<w:p>
<w:pPr><w:pStyle w:val="Normal"/></w:pPr>
<w:r><w:t xml:space="preserve">the sea-level, throughout the year.  They are not used</w:t></w:r>
</w:p>
<w:p>
<w:pPr><w:pStyle w:val="Normal"/></w:pPr>
<w:r><w:t xml:space="preserve">as beasts of burden like llamas, but are valued only for</w:t></w:r>
</w:p>
<w:p>
<w:pPr><w:pStyle w:val="Normal"/></w:pPr>
<w:r><w:t xml:space="preserve">their wool, of which the Indian blankets and ponchos are</w:t></w:r>
</w:p>
<w:p>
<w:pPr><w:pStyle w:val="Normal"/></w:pPr>
<w:r><w:t xml:space="preserve">made.  The colour is usually dark brown or black and the coat</w:t></w:r>
</w:p>
<w:p>
<w:pPr><w:pStyle w:val="Normal"/></w:pPr>
<w:r><w:t xml:space="preserve">of great length, reaching nearly to the ground.  In stature</w:t></w:r>
</w:p>
<w:p>
<w:pPr><w:pStyle w:val="Normal"/></w:pPr>
<w:r><w:t xml:space="preserve">the alpaca (Lama huanacos pacos) is considerably inferior</w:t></w:r>
</w:p>
<w:p>
<w:pPr><w:pStyle w:val="Normal"/></w:pPr>
<w:r><w:t xml:space="preserve">to the llama, but has the same unpleasant habit of spitting.</w:t></w:r>
</w:p>
<w:p>
<w:pPr><w:pStyle w:val="Normal"/></w:pPr>
<w:r><w:t xml:space="preserve">In the textile industries ``alpaca&apos;&apos; is a name given to two distinct</w:t></w:r>
</w:p>
<w:p>
<w:pPr><w:pStyle w:val="Normal"/></w:pPr>
<w:r><w:t xml:space="preserve">things.  It is primarily a term applied to the wool, or rather</w:t></w:r>
</w:p>
<w:p>
<w:pPr><w:pStyle w:val="Normal"/></w:pPr>
<w:r><w:t xml:space="preserve">hair, obtained from the Peruvian alpaca.  It is, however, more</w:t></w:r>
</w:p>
<w:p>
<w:pPr><w:pStyle w:val="Normal"/></w:pPr>
<w:r><w:t xml:space="preserve">broadly applied to a style of fabric originally made from the</w:t></w:r>
</w:p>
<w:p>
<w:pPr><w:pStyle w:val="Normal"/></w:pPr>
<w:r><w:t xml:space="preserve">alpaca wool but now frequently made from an allied type of</w:t></w:r>
</w:p>
<w:p>
<w:pPr><w:pStyle w:val="Normal"/></w:pPr>
<w:r><w:t xml:space="preserve">wool, viz. mohair, Iceland, or even from lustrous English</w:t></w:r>
</w:p>
<w:p>
<w:pPr><w:pStyle w:val="Normal"/></w:pPr>
<w:r><w:t xml:space="preserve">wool.  In the trade, distinctions are made between alpacas and</w:t></w:r>
</w:p>
<w:p>
<w:pPr><w:pStyle w:val="Normal"/></w:pPr>
<w:r><w:t xml:space="preserve">the several styles of mohairs and lustres, but so far as the</w:t></w:r>
</w:p>
<w:p>
<w:pPr><w:pStyle w:val="Normal"/></w:pPr>
<w:r><w:t xml:space="preserve">general purchaser is concerned little or no distinction is made.</w:t></w:r>
</w:p>
<w:p>
<w:pPr><w:pStyle w:val="Normal"/></w:pPr>
<w:r><w:t xml:space="preserve">The four species of indigenous South American wool-bearing</w:t></w:r>
</w:p>
<w:p>
<w:pPr><w:pStyle w:val="Normal"/></w:pPr>
<w:r><w:t xml:space="preserve">animals are the llama, the alpaca, the guanaco and the</w:t></w:r>
</w:p>
<w:p>
<w:pPr><w:pStyle w:val="Normal"/></w:pPr>
<w:r><w:t xml:space="preserve">vicuna.  The llama and the alpaca are domesticated; the</w:t></w:r>
</w:p>
<w:p>
<w:pPr><w:pStyle w:val="Normal"/></w:pPr>
<w:r><w:t xml:space="preserve">guanaco and the vicuna run wild.  Of the four the alpaca and</w:t></w:r>
</w:p>
<w:p>
<w:pPr><w:pStyle w:val="Normal"/></w:pPr>
<w:r><w:t xml:space="preserve">the vicuna are the most valuable wool-bearing animals: the</w:t></w:r>
</w:p>
<w:p>
<w:pPr><w:pStyle w:val="Normal"/></w:pPr>
<w:r><w:t xml:space="preserve">alpaca on account of the quality and quantity, the vicuna</w:t></w:r>
</w:p>
<w:p>
<w:pPr><w:pStyle w:val="Normal"/></w:pPr>
<w:r><w:t xml:space="preserve">on account of the softness, fineness and quality of its</w:t></w:r>
</w:p>
<w:p>
<w:pPr><w:pStyle w:val="Normal"/></w:pPr>
<w:r><w:t xml:space="preserve">wool.  In the early days of the 19th century, the usual</w:t></w:r>
</w:p>
<w:p>
<w:pPr><w:pStyle w:val="Normal"/></w:pPr>
<w:r><w:t xml:space="preserve">length of alpaca staples appears to have been about 12 in.,</w:t></w:r>
</w:p>
<w:p>
<w:pPr><w:pStyle w:val="Normal"/></w:pPr>
<w:r><w:t xml:space="preserve">this being a three years&apos; growth; but to-day the length is</w:t></w:r>
</w:p>
<w:p>
<w:pPr><w:pStyle w:val="Normal"/></w:pPr>
<w:r><w:t xml:space="preserve">little more than about half this, i.e. a one to two years&apos;</w:t></w:r>
</w:p>
<w:p>
<w:pPr><w:pStyle w:val="Normal"/></w:pPr>
<w:r><w:t xml:space="preserve">growth, although from time to time longer staples are to be</w:t></w:r>
</w:p>
<w:p>
<w:pPr><w:pStyle w:val="Normal"/></w:pPr>
<w:r><w:t xml:space="preserve">found.  The fleeces are sorted for colour and quality by</w:t></w:r>
</w:p>
<w:p>
<w:pPr><w:pStyle w:val="Normal"/></w:pPr>
<w:r><w:t xml:space="preserve">skilled native women.  The colour of the greater proportion</w:t></w:r>
</w:p>
<w:p>
<w:pPr><w:pStyle w:val="Normal"/></w:pPr>
<w:r><w:t xml:space="preserve">of alpaca imported into the United Kingdom is black and</w:t></w:r>
</w:p>
<w:p>
<w:pPr><w:pStyle w:val="Normal"/></w:pPr>
<w:r><w:t xml:space="preserve">brown, but there is also a fair proportion of white, grey and</w:t></w:r>
</w:p>
<w:p>
<w:pPr><w:pStyle w:val="Normal"/></w:pPr>
<w:r><w:t xml:space="preserve">fawn.  It is customary to mix these colours together, thus</w:t></w:r>
</w:p>
<w:p>
<w:pPr><w:pStyle w:val="Normal"/></w:pPr>
<w:r><w:t xml:space="preserve">producing a curious ginger-coloured yarn, which upon being</w:t></w:r>
</w:p>
<w:p>
<w:pPr><w:pStyle w:val="Normal"/></w:pPr>
<w:r><w:t xml:space="preserve">dyed black in the piece takes a fuller and deeper shade</w:t></w:r>
</w:p>
<w:p>
<w:pPr><w:pStyle w:val="Normal"/></w:pPr>
<w:r><w:t xml:space="preserve">than can be obtained by piece-dyeing a solid-coloured</w:t></w:r>
</w:p>
<w:p>
<w:pPr><w:pStyle w:val="Normal"/></w:pPr>
<w:r><w:t xml:space="preserve">wool.  In physical structure alpaca is somewhat akin to hair,</w:t></w:r>
</w:p>
<w:p>
<w:pPr><w:pStyle w:val="Normal"/></w:pPr>
<w:r><w:t xml:space="preserve">being very glossy, but its softness and fineness enable the</w:t></w:r>
</w:p>
<w:p>
<w:pPr><w:pStyle w:val="Normal"/></w:pPr>
<w:r><w:t xml:space="preserve">spinner to produce satisfactory yarns with comparative ease.</w:t></w:r>
</w:p>
<w:p>
<w:pPr><w:pStyle w:val="Normal"/></w:pPr>
<w:r><w:t xml:space="preserve">The history of the manufacture of this wool into cloth is one</w:t></w:r>
</w:p>
<w:p>
<w:pPr><w:pStyle w:val="Normal"/></w:pPr>
<w:r><w:t xml:space="preserve">of the romances of commerce.  Undoubtedly the Indians of Peru</w:t></w:r>
</w:p>
<w:p>
<w:pPr><w:pStyle w:val="Normal"/></w:pPr>
<w:r><w:t xml:space="preserve">employed this fibre in the manufacture of many styles of fabrics</w:t></w:r>
</w:p>
<w:p>
<w:pPr><w:pStyle w:val="Normal"/></w:pPr>
<w:r><w:t xml:space="preserve">for centuries before its introduction into Europe as a commercial</w:t></w:r>
</w:p>
<w:p>
<w:pPr><w:pStyle w:val="Normal"/></w:pPr>
<w:r><w:t xml:space="preserve">product.  The first European importations would naturally be into</w:t></w:r>
</w:p>
<w:p>
<w:pPr><w:pStyle w:val="Normal"/></w:pPr>
<w:r><w:t xml:space="preserve">Spain.  Spain, however, transferred the fibre to Germany and</w:t></w:r>
</w:p>
<w:p>
<w:pPr><w:pStyle w:val="Normal"/></w:pPr>
<w:r><w:t xml:space="preserve">France.  Apparently alpaca yarn was spun in England for the</w:t></w:r>
</w:p>
<w:p>
<w:pPr><w:pStyle w:val="Normal"/></w:pPr>
<w:r><w:t xml:space="preserve">first time about the year 1808.  It does not appear to have</w:t></w:r>
</w:p>
<w:p>
<w:pPr><w:pStyle w:val="Normal"/></w:pPr>
<w:r><w:t xml:space="preserve">made any headway, however, and alpaca wool was condemned as an</w:t></w:r>
</w:p>
<w:p>
<w:pPr><w:pStyle w:val="Normal"/></w:pPr>
<w:r><w:t xml:space="preserve">unworkable material.  In 1830 Benjamin Outram, of Greetland,</w:t></w:r>
</w:p>
<w:p>
<w:pPr><w:pStyle w:val="Normal"/></w:pPr>
<w:r><w:t xml:space="preserve">near Halifax, appears to have again attempted the spinning</w:t></w:r>
</w:p>
<w:p>
<w:pPr><w:pStyle w:val="Normal"/></w:pPr>
<w:r><w:t xml:space="preserve">of this fibre, and for the second time alpaca was condemned.</w:t></w:r>
</w:p>
<w:p>
<w:pPr><w:pStyle w:val="Normal"/></w:pPr>
<w:r><w:t xml:space="preserve">These two attempts to use alpaca were failures owing to the</w:t></w:r>
</w:p>
<w:p>
<w:pPr><w:pStyle w:val="Normal"/></w:pPr>
<w:r><w:t xml:space="preserve">style of fabric into which the yarn was woven---a species of</w:t></w:r>
</w:p>
<w:p>
<w:pPr><w:pStyle w:val="Normal"/></w:pPr>
<w:r><w:t xml:space="preserve">camlet.  It was not until the introduction of cotton warps</w:t></w:r>
</w:p>
<w:p>
<w:pPr><w:pStyle w:val="Normal"/></w:pPr>
<w:r><w:t xml:space="preserve">into the Bradford trade about 1836 that the true qualities</w:t></w:r>
</w:p>
<w:p>
<w:pPr><w:pStyle w:val="Normal"/></w:pPr>
<w:r><w:t xml:space="preserve">of alpaca could be developed in the fabric.  Where the cotton</w:t></w:r>
</w:p>
<w:p>
<w:pPr><w:pStyle w:val="Normal"/></w:pPr>
<w:r><w:t xml:space="preserve">warp and mohair or alpaca weft plain-cloth came from is not</w:t></w:r>
</w:p>
<w:p>
<w:pPr><w:pStyle w:val="Normal"/></w:pPr>
<w:r><w:t xml:space="preserve">known, but it was this simple yet ingenious structure which</w:t></w:r>
</w:p>
<w:p>
<w:pPr><w:pStyle w:val="Normal"/></w:pPr>
<w:r><w:t xml:space="preserve">enabled Titus Salt (q.v.), then a young Bradford manufacturer,</w:t></w:r>
</w:p>
<w:p>
<w:pPr><w:pStyle w:val="Normal"/></w:pPr>
<w:r><w:t xml:space="preserve">to utilize alpaca successfully.  Bradford is still the great</w:t></w:r>
</w:p>
<w:p>
<w:pPr><w:pStyle w:val="Normal"/></w:pPr>
<w:r><w:t xml:space="preserve">spinning and manufacturing centre for alpacas, large quantities</w:t></w:r>
</w:p>
<w:p>
<w:pPr><w:pStyle w:val="Normal"/></w:pPr>
<w:r><w:t xml:space="preserve">of yarns and cloths being exported annually to the continent</w:t></w:r>
</w:p>
<w:p>
<w:pPr><w:pStyle w:val="Normal"/></w:pPr>
<w:r><w:t xml:space="preserve">and to the United States, although the quantities naturally</w:t></w:r>
</w:p>
<w:p>
<w:pPr><w:pStyle w:val="Normal"/></w:pPr>
<w:r><w:t xml:space="preserve">vary in accordance with the fashions in vogue, the typical</w:t></w:r>
</w:p>
<w:p>
<w:pPr><w:pStyle w:val="Normal"/></w:pPr>
<w:r><w:t xml:space="preserve">``alpaca-fabric&apos;&apos; being a very characteristic ``dress-fabric.&apos;&apos;</w:t></w:r>
</w:p>
<w:p>
<w:pPr><w:pStyle w:val="Normal"/></w:pPr>
<w:r><w:t xml:space="preserve">The following statistics, taken from Hooper&apos;s Statistics of the</w:t></w:r>
</w:p>
<w:p>
<w:pPr><w:pStyle w:val="Normal"/></w:pPr>
<w:r><w:t xml:space="preserve">Woollen and Worsted Trades of the United Kingdom, give an idea</w:t></w:r>
</w:p>
<w:p>
<w:pPr><w:pStyle w:val="Normal"/></w:pPr>
<w:r><w:t xml:space="preserve">of the extent of the trade in yarns and fabrics of the alpaca</w:t></w:r>
</w:p>
<w:p>
<w:pPr><w:pStyle w:val="Normal"/></w:pPr>
<w:r><w:t xml:space="preserve">type; unfortunately statistics for alpaca alone are not published.</w:t></w:r>
</w:p>
<w:p>
<w:pPr><w:pStyle w:val="Normal"/></w:pPr>
<w:r><w:t xml:space="preserve">Alpaca, Vicuna, and Llama Wool imported into the United Kingdom.</w:t></w:r>
</w:p>
<w:p>
<w:pPr><w:pStyle w:val="Normal"/></w:pPr>
<w:r><w:t xml:space="preserve">Year Peru Chile1</w:t></w:r>
</w:p>
<w:p>
<w:pPr><w:pStyle w:val="Normal"/></w:pPr>
<w:r><w:t xml:space="preserve">lb             L.           lb           L.</w:t></w:r>
</w:p>
<w:p>
<w:pPr><w:pStyle w:val="Normal"/></w:pPr>
<w:r><w:t xml:space="preserve">1854 1,247,015 124,946 15,573 1,557 1860 2,334,048 263,635</w:t></w:r>
</w:p>
<w:p>
<w:pPr><w:pStyle w:val="Normal"/></w:pPr>
<w:r><w:t xml:space="preserve">520,402 58,443 1870 3,324,454 388,969 563,782 65,996 1880</w:t></w:r>
</w:p>
<w:p>
<w:pPr><w:pStyle w:val="Normal"/></w:pPr>
<w:r><w:t xml:space="preserve">1,412,365 98,644 890,627 64,621 1890 3,114,336 190,703 564,606</w:t></w:r>
</w:p>
<w:p>
<w:pPr><w:pStyle w:val="Normal"/></w:pPr>
<w:r><w:t xml:space="preserve">30,694 1900 4,236,566 205,839 1,148,694 51,116 1902 5,038,998</w:t></w:r>
</w:p>
<w:p>
<w:pPr><w:pStyle w:val="Normal"/></w:pPr>
<w:r><w:t xml:space="preserve">259,927 1,028,171 47,610 1905 2,301,522 119,321 2,302,650 112,367</w:t></w:r>
</w:p>
<w:p>
<w:pPr><w:pStyle w:val="Normal"/></w:pPr>
<w:r><w:t xml:space="preserve">Note.--in 1840 the imports into, exports from, and consumed in</w:t></w:r>
</w:p>
<w:p>
<w:pPr><w:pStyle w:val="Normal"/></w:pPr>
<w:r><w:t xml:space="preserve">the United Kingdom of mohair, alpaca, vicuna, &amp;c., amounted to</w:t></w:r>
</w:p>
<w:p>
<w:pPr><w:pStyle w:val="Normal"/></w:pPr>
<w:r><w:t xml:space="preserve">Exports of Mohair and Alpaca Yarns for 1905.</w:t></w:r>
</w:p>
<w:p>
<w:pPr><w:pStyle w:val="Normal"/></w:pPr>
<w:r><w:t xml:space="preserve">Russia . . . 1,288,800 lb. . . . L. 168,596</w:t></w:r>
</w:p>
<w:p>
<w:pPr><w:pStyle w:val="Normal"/></w:pPr>
<w:r><w:t xml:space="preserve">Germany. . . 9,851,200 &apos;&apos;  . . .  1,145,795</w:t></w:r>
</w:p>
<w:p>
<w:pPr><w:pStyle w:val="Normal"/></w:pPr>
<w:r><w:t xml:space="preserve">Belgium. . . . 316,400 &apos;&apos;  . . .     40,409</w:t></w:r>
</w:p>
<w:p>
<w:pPr><w:pStyle w:val="Normal"/></w:pPr>
<w:r><w:t xml:space="preserve">France . . . 2,006,700 &apos;&apos;  . . .    223,605</w:t></w:r>
</w:p>
<w:p>
<w:pPr><w:pStyle w:val="Normal"/></w:pPr>
<w:r><w:t xml:space="preserve">Exports of Alpaca from the United Kingdom to the United States.</w:t></w:r>
</w:p>
<w:p>
<w:pPr><w:pStyle w:val="Normal"/></w:pPr>
<w:r><w:t xml:space="preserve">1881 . L. 1,256      1900 . .L. 30,631</w:t></w:r>
</w:p>
<w:p>
<w:pPr><w:pStyle w:val="Normal"/></w:pPr>
<w:r><w:t xml:space="preserve">1890 . . . --        1905 . .    4,954</w:t></w:r>
</w:p>
<w:p>
<w:pPr><w:pStyle w:val="Normal"/></w:pPr>
<w:r><w:t xml:space="preserve">Owing to the success in the manufacture of the various styles</w:t></w:r>
</w:p>
<w:p>
<w:pPr><w:pStyle w:val="Normal"/></w:pPr>
<w:r><w:t xml:space="preserve">of alpaca cloths attained by Sir Titus Salt and other Bradlord</w:t></w:r>
</w:p>
<w:p>
<w:pPr><w:pStyle w:val="Normal"/></w:pPr>
<w:r><w:t xml:space="preserve">manufacturers, a great demand for alpaca wool arose, and</w:t></w:r>
</w:p>
<w:p>
<w:pPr><w:pStyle w:val="Normal"/></w:pPr>
<w:r><w:t xml:space="preserve">this demand could not be met by the native product, for</w:t></w:r>
</w:p>
<w:p>
<w:pPr><w:pStyle w:val="Normal"/></w:pPr>
<w:r><w:t xml:space="preserve">there never seems to have been any appreciable increase</w:t></w:r>
</w:p>
<w:p>
<w:pPr><w:pStyle w:val="Normal"/></w:pPr>
<w:r><w:t xml:space="preserve">in the number of alpacas available.  Unsuccessful attempts</w:t></w:r>
</w:p>
<w:p>
<w:pPr><w:pStyle w:val="Normal"/></w:pPr>
<w:r><w:t xml:space="preserve">were made to acclimatize the alpaca goat in England, on</w:t></w:r>
</w:p>
<w:p>
<w:pPr><w:pStyle w:val="Normal"/></w:pPr>
<w:r><w:t xml:space="preserve">the European continent and in Australia, and even to cross</w:t></w:r>
</w:p>
<w:p>
<w:pPr><w:pStyle w:val="Normal"/></w:pPr>
<w:r><w:t xml:space="preserve">certain English breeds of sheep with the alpaca.  There is,</w:t></w:r>
</w:p>
<w:p>
<w:pPr><w:pStyle w:val="Normal"/></w:pPr>
<w:r><w:t xml:space="preserve">however, a cross between the alpaca and the llama--a true</w:t></w:r>
</w:p>
<w:p>
<w:pPr><w:pStyle w:val="Normal"/></w:pPr>
<w:r><w:t xml:space="preserve">hybrid in every sense--producing a material placed upon</w:t></w:r>
</w:p>
<w:p>
<w:pPr><w:pStyle w:val="Normal"/></w:pPr>
<w:r><w:t xml:space="preserve">the Liverpool market under the name ``Huarizo.&apos;&apos; Crosses</w:t></w:r>
</w:p>
<w:p>
<w:pPr><w:pStyle w:val="Normal"/></w:pPr>
<w:r><w:t xml:space="preserve">between the alpaca and vicuna have not proved satisfactory.</w:t></w:r>
</w:p>
<w:p>
<w:pPr><w:pStyle w:val="Normal"/></w:pPr>
<w:r><w:t xml:space="preserve">The preparing, combing, spinning, weaving and finishing of</w:t></w:r>
</w:p>
<w:p>
<w:pPr><w:pStyle w:val="Normal"/></w:pPr>
<w:r><w:t xml:space="preserve">alpacas and mohairs are dealt with under WOOL. (A. F. B.)</w:t></w:r>
</w:p>
<w:p>
<w:pPr><w:pStyle w:val="Normal"/></w:pPr>
<w:r><w:t xml:space="preserve">1 Grown in Peru but shipped from Valparaiso.</w:t></w:r>
</w:p>
<w:p>
<w:pPr><w:pStyle w:val="Normal"/></w:pPr>
<w:r><w:t xml:space="preserve">ALP ARSLAN, or AXAN, MAHOMMED BEN DA&apos;UD (1029-1072),</w:t></w:r>
</w:p>
<w:p>
<w:pPr><w:pStyle w:val="Normal"/></w:pPr>
<w:r><w:t xml:space="preserve">the second sultan of the dynasty of Seljuk, in Persia, and</w:t></w:r>
</w:p>
<w:p>
<w:pPr><w:pStyle w:val="Normal"/></w:pPr>
<w:r><w:t xml:space="preserve">great-grandson of Seljuk, the founder of the dynasty, was born</w:t></w:r>
</w:p>
<w:p>
<w:pPr><w:pStyle w:val="Normal"/></w:pPr>
<w:r><w:t xml:space="preserve">in the year A.D. 1029 (421 of the Hegira).  He assumed the</w:t></w:r>
</w:p>
<w:p>
<w:pPr><w:pStyle w:val="Normal"/></w:pPr>
<w:r><w:t xml:space="preserve">name of Mahommed when he embraced the Mussulman faith; and on</w:t></w:r>
</w:p>
<w:p>
<w:pPr><w:pStyle w:val="Normal"/></w:pPr>
<w:r><w:t xml:space="preserve">account of his military prowess he obtained the surname Alp</w:t></w:r>
</w:p>
<w:p>
<w:pPr><w:pStyle w:val="Normal"/></w:pPr>
<w:r><w:t xml:space="preserve">Arslan, which signifies ``a valiant lion.&apos;&apos; He succeeded</w:t></w:r>
</w:p>
<w:p>
<w:pPr><w:pStyle w:val="Normal"/></w:pPr>
<w:r><w:t xml:space="preserve">his father Da&apos;ud as ruler of Khorasan in 1059, and his uncle</w:t></w:r>
</w:p>
<w:p>
<w:pPr><w:pStyle w:val="Normal"/></w:pPr>
<w:r><w:t xml:space="preserve">Togrul Bey as sultan of Oran in 1063, and thus became sole</w:t></w:r>
</w:p>
<w:p>
<w:pPr><w:pStyle w:val="Normal"/></w:pPr>
<w:r><w:t xml:space="preserve">monarch of Persia from the river Oxus to the Tigris.  In</w:t></w:r>
</w:p>
<w:p>
<w:pPr><w:pStyle w:val="Normal"/></w:pPr>
<w:r><w:t xml:space="preserve">consolidating his empire and subduing contending factions he</w:t></w:r>
</w:p>
<w:p>
<w:pPr><w:pStyle w:val="Normal"/></w:pPr>
<w:r><w:t xml:space="preserve">was ably assisted by Nizam ul-Mulk, his vizier, one of the</w:t></w:r>
</w:p>
<w:p>
<w:pPr><w:pStyle w:val="Normal"/></w:pPr>
<w:r><w:t xml:space="preserve">most eminent statesmen in early Mahommedan history.  Peace</w:t></w:r>
</w:p>
<w:p>
<w:pPr><w:pStyle w:val="Normal"/></w:pPr>
<w:r><w:t xml:space="preserve">and security being established in his dominions, he convoked</w:t></w:r>
</w:p>
<w:p>
<w:pPr><w:pStyle w:val="Normal"/></w:pPr>
<w:r><w:t xml:space="preserve">an assembly of the states and declared his son Malik Shah</w:t></w:r>
</w:p>
<w:p>
<w:pPr><w:pStyle w:val="Normal"/></w:pPr>
<w:r><w:t xml:space="preserve">his heir and successor.  With the hope of acquiring immense</w:t></w:r>
</w:p>
<w:p>
<w:pPr><w:pStyle w:val="Normal"/></w:pPr>
<w:r><w:t xml:space="preserve">booty in the rich church of St Basil in Caesarea, the capital</w:t></w:r>
</w:p>
<w:p>
<w:pPr><w:pStyle w:val="Normal"/></w:pPr>
<w:r><w:t xml:space="preserve">of Cappadocia, he placed himself at the head of the Turkish</w:t></w:r>
</w:p>
<w:p>
<w:pPr><w:pStyle w:val="Normal"/></w:pPr>
<w:r><w:t xml:space="preserve">cavalry, crossed the Euphrates and entered and plundered that</w:t></w:r>
</w:p>
<w:p>
<w:pPr><w:pStyle w:val="Normal"/></w:pPr>
<w:r><w:t xml:space="preserve">city.  He then marched into Armenia and Georgia, which, in</w:t></w:r>
</w:p>
<w:p>
<w:pPr><w:pStyle w:val="Normal"/></w:pPr>
<w:r><w:t xml:space="preserve">1064, he finally subdued.  In 1068 Alp Arslan invaded the Roman</w:t></w:r>
</w:p>
<w:p>
<w:pPr><w:pStyle w:val="Normal"/></w:pPr>
<w:r><w:t xml:space="preserve">empire.  The emperor Romanus Diogenes, assuming the command in</w:t></w:r>
</w:p>
<w:p>
<w:pPr><w:pStyle w:val="Normal"/></w:pPr>
<w:r><w:t xml:space="preserve">person, met the invaders in Cihcia.  In three arduous campaigns,</w:t></w:r>
</w:p>
<w:p>
<w:pPr><w:pStyle w:val="Normal"/></w:pPr>
<w:r><w:t xml:space="preserve">the two first of which were conducted by the emperor himself</w:t></w:r>
</w:p>
<w:p>
<w:pPr><w:pStyle w:val="Normal"/></w:pPr>
<w:r><w:t xml:space="preserve">while the third was directed by Manuel Comnenus, the Turks</w:t></w:r>
</w:p>
<w:p>
<w:pPr><w:pStyle w:val="Normal"/></w:pPr>
<w:r><w:t xml:space="preserve">were defeated in detail and finally (1070) driven across the</w:t></w:r>
</w:p>
<w:p>
<w:pPr><w:pStyle w:val="Normal"/></w:pPr>
<w:r><w:t xml:space="preserve">Euphrates.  In 1071 Romanus again took the field and advanced</w:t></w:r>
</w:p>
<w:p>
<w:pPr><w:pStyle w:val="Normal"/></w:pPr>
<w:r><w:t xml:space="preserve">with 100,000 men, including a contingent of the Turkish tribe</w:t></w:r>
</w:p>
<w:p>
<w:pPr><w:pStyle w:val="Normal"/></w:pPr>
<w:r><w:t xml:space="preserve">of the Uzes and of the French and Normans, under Ursel of</w:t></w:r>
</w:p>
<w:p>
<w:pPr><w:pStyle w:val="Normal"/></w:pPr>
<w:r><w:t xml:space="preserve">Bahol, into Armenia.  At Manzikert, on the Murad Tchai, north</w:t></w:r>
</w:p>
<w:p>
<w:pPr><w:pStyle w:val="Normal"/></w:pPr>
<w:r><w:t xml:space="preserve">of Lake Van, he was met by Alp Arslan; and the sultan having</w:t></w:r>
</w:p>
<w:p>
<w:pPr><w:pStyle w:val="Normal"/></w:pPr>
<w:r><w:t xml:space="preserve">proposed terms of peace, which were scornfully rejected by</w:t></w:r>
</w:p>
<w:p>
<w:pPr><w:pStyle w:val="Normal"/></w:pPr>
<w:r><w:t xml:space="preserve">the emperor, a battle took place in which the greeks, after</w:t></w:r>
</w:p>
<w:p>
<w:pPr><w:pStyle w:val="Normal"/></w:pPr>
<w:r><w:t xml:space="preserve">a terrible slaughter, were totally routed, a result due</w:t></w:r>
</w:p>
<w:p>
<w:pPr><w:pStyle w:val="Normal"/></w:pPr>
<w:r><w:t xml:space="preserve">mainly to the rapid tactics of the Turkish cavalry.  Romanus</w:t></w:r>
</w:p>
<w:p>
<w:pPr><w:pStyle w:val="Normal"/></w:pPr>
<w:r><w:t xml:space="preserve">was taken prisoner and conducted into the presence of Alp</w:t></w:r>
</w:p>
<w:p>
<w:pPr><w:pStyle w:val="Normal"/></w:pPr>
<w:r><w:t xml:space="preserve">Arslan, who treated him with generosity, and terms of peace</w:t></w:r>
</w:p>
<w:p>
<w:pPr><w:pStyle w:val="Normal"/></w:pPr>
<w:r><w:t xml:space="preserve">having been agreed to, dismissed him, loaded with presents</w:t></w:r>
</w:p>
<w:p>
<w:pPr><w:pStyle w:val="Normal"/></w:pPr>
<w:r><w:t xml:space="preserve">and respectfully attended by a military guard.  The dominion</w:t></w:r>
</w:p>
<w:p>
<w:pPr><w:pStyle w:val="Normal"/></w:pPr>
<w:r><w:t xml:space="preserve">of Alp Arslan now extended over the fairest part of Asia;</w:t></w:r>
</w:p>
<w:p>
<w:pPr><w:pStyle w:val="Normal"/></w:pPr>
<w:r><w:t xml:space="preserve">1200 princes or sons of princes surrounded his throne and</w:t></w:r>
</w:p>
<w:p>
<w:pPr><w:pStyle w:val="Normal"/></w:pPr>
<w:r><w:t xml:space="preserve">200,000 warriors were at his command.  He now prepared to</w:t></w:r>
</w:p>
<w:p>
<w:pPr><w:pStyle w:val="Normal"/></w:pPr>
<w:r><w:t xml:space="preserve">march to the conquest of Turkestan, the original seat of his</w:t></w:r>
</w:p>
<w:p>
<w:pPr><w:pStyle w:val="Normal"/></w:pPr>
<w:r><w:t xml:space="preserve">ancestors.  With a powerful army he advanced td the banks</w:t></w:r>
</w:p>
<w:p>
<w:pPr><w:pStyle w:val="Normal"/></w:pPr>
<w:r><w:t xml:space="preserve">of the Oxus.  Before he could pass the river with safety</w:t></w:r>
</w:p>
<w:p>
<w:pPr><w:pStyle w:val="Normal"/></w:pPr>
<w:r><w:t xml:space="preserve">it was necessary to subdue certain fortresses, one of which</w:t></w:r>
</w:p>
<w:p>
<w:pPr><w:pStyle w:val="Normal"/></w:pPr>
<w:r><w:t xml:space="preserve">was for several days vigorously defended by the governor,</w:t></w:r>
</w:p>
<w:p>
<w:pPr><w:pStyle w:val="Normal"/></w:pPr>
<w:r><w:t xml:space="preserve">Yussuf Kothual, a Kharizmian.  He was, however, obliged to</w:t></w:r>
</w:p>
<w:p>
<w:pPr><w:pStyle w:val="Normal"/></w:pPr>
<w:r><w:t xml:space="preserve">surrender and was carried a prisoner before the sultan, who</w:t></w:r>
</w:p>
<w:p>
<w:pPr><w:pStyle w:val="Normal"/></w:pPr>
<w:r><w:t xml:space="preserve">condemned him to a cruel death.  Yussuf, in desperation,</w:t></w:r>
</w:p>
<w:p>
<w:pPr><w:pStyle w:val="Normal"/></w:pPr>
<w:r><w:t xml:space="preserve">drew his dagger and rushed upon the sultan.  Alp Arslan, the</w:t></w:r>
</w:p>
<w:p>
<w:pPr><w:pStyle w:val="Normal"/></w:pPr>
<w:r><w:t xml:space="preserve">most skilful archer of his day, motioned to his guards not to</w:t></w:r>
</w:p>
<w:p>
<w:pPr><w:pStyle w:val="Normal"/></w:pPr>
<w:r><w:t xml:space="preserve">interfere and drew his bow, but his foot slipped, the arrow</w:t></w:r>
</w:p>
<w:p>
<w:pPr><w:pStyle w:val="Normal"/></w:pPr>
<w:r><w:t xml:space="preserve">glanced aside and he received the assassin&apos;s dagger in his</w:t></w:r>
</w:p>
<w:p>
<w:pPr><w:pStyle w:val="Normal"/></w:pPr>
<w:r><w:t xml:space="preserve">breast.  The wound proved mortal, and Alp Arslan expired a</w:t></w:r>
</w:p>
<w:p>
<w:pPr><w:pStyle w:val="Normal"/></w:pPr>
<w:r><w:t xml:space="preserve">few hours after he received it, on the 15th of December 1072</w:t></w:r>
</w:p>
<w:p>
<w:pPr><w:pStyle w:val="Normal"/></w:pPr>
<w:r><w:t xml:space="preserve">See Gibbon, Decline and Fall of the Roman Empire, edited by J.</w:t></w:r>
</w:p>
<w:p>
<w:pPr><w:pStyle w:val="Normal"/></w:pPr>
<w:r><w:t xml:space="preserve">B. Bury (1898), vi. pp. 235 et seq., and authoriries there cited.</w:t></w:r>
</w:p>
<w:p>
<w:pPr><w:pStyle w:val="Normal"/></w:pPr>
<w:r><w:t xml:space="preserve">ALPENA, a city and the county seat of Alpena county, Michigan,</w:t></w:r>
</w:p>
<w:p>
<w:pPr><w:pStyle w:val="Normal"/></w:pPr>
<w:r><w:t xml:space="preserve">U.S.A., on Thunder Bay, a small arm of Lake Huron, at the</w:t></w:r>
</w:p>
<w:p>
<w:pPr><w:pStyle w:val="Normal"/></w:pPr>
<w:r><w:t xml:space="preserve">mouth of Thunder Bay river, in the N.E. part of the lower</w:t></w:r>
</w:p>
<w:p>
<w:pPr><w:pStyle w:val="Normal"/></w:pPr>
<w:r><w:t xml:space="preserve">peninsula.  Pop. (1890) 11,283; (1900) 11,802, of whom 4193</w:t></w:r>
</w:p>
<w:p>
<w:pPr><w:pStyle w:val="Normal"/></w:pPr>
<w:r><w:t xml:space="preserve">were foreign-born; (1910 census) 12,706.  It is served.by</w:t></w:r>
</w:p>
<w:p>
<w:pPr><w:pStyle w:val="Normal"/></w:pPr>
<w:r><w:t xml:space="preserve">the Detroit &amp; Mackinac railway and by steamboat lines to</w:t></w:r>
</w:p>
<w:p>
<w:pPr><w:pStyle w:val="Normal"/></w:pPr>
<w:r><w:t xml:space="preserve">Detroit and other ports.  The city is built on sandy ground</w:t></w:r>
</w:p>
<w:p>
<w:pPr><w:pStyle w:val="Normal"/></w:pPr>
<w:r><w:t xml:space="preserve">on both sides of the river and has a good harbour, which</w:t></w:r>
</w:p>
<w:p>
<w:pPr><w:pStyle w:val="Normal"/></w:pPr>
<w:r><w:t xml:space="preserve">has been considerably improved by the Federal government;</w:t></w:r>
</w:p>
<w:p>
<w:pPr><w:pStyle w:val="Normal"/></w:pPr>
<w:r><w:t xml:space="preserve">in 1007 the maximum draft that could be carried over the</w:t></w:r>
</w:p>
<w:p>
<w:pPr><w:pStyle w:val="Normal"/></w:pPr>
<w:r><w:t xml:space="preserve">shallowest part of the channel was 14 ft.  There is good</w:t></w:r>
</w:p>
<w:p>
<w:pPr><w:pStyle w:val="Normal"/></w:pPr>
<w:r><w:t xml:space="preserve">farming land in the vicinity and Alpena has lumber and</w:t></w:r>
</w:p>
<w:p>
<w:pPr><w:pStyle w:val="Normal"/></w:pPr>
<w:r><w:t xml:space="preserve">shingle mills, pulp works, Portlald cement manufactories and</w:t></w:r>
</w:p>
<w:p>
<w:pPr><w:pStyle w:val="Normal"/></w:pPr>
<w:r><w:t xml:space="preserve">tanneries; in 1905 the city&apos;s factory products were valued at</w:t></w:r>
</w:p>
<w:p>
<w:pPr><w:pStyle w:val="Normal"/></w:pPr>
<w:r><w:t xml:space="preserve">$2,905,263.  In 1906 the commerce of the port, chiefly in</w:t></w:r>
</w:p>
<w:p>
<w:pPr><w:pStyle w:val="Normal"/></w:pPr>
<w:r><w:t xml:space="preserve">lumber, cement, coal, cedar posts and ties, fodder and general</w:t></w:r>
</w:p>
<w:p>
<w:pPr><w:pStyle w:val="Normal"/></w:pPr>
<w:r><w:t xml:space="preserve">merchandise, was valued at $3,018,894.  Alpena occupies</w:t></w:r>
</w:p>
<w:p>
<w:pPr><w:pStyle w:val="Normal"/></w:pPr>
<w:r><w:t xml:space="preserve">the site of an Indian burying-ground.  A tradingpost was</w:t></w:r>
</w:p>
<w:p>
<w:pPr><w:pStyle w:val="Normal"/></w:pPr>
<w:r><w:t xml:space="preserve">established here in 1835, but the permanent settlement</w:t></w:r>
</w:p>
<w:p>
<w:pPr><w:pStyle w:val="Normal"/></w:pPr>
<w:r><w:t xml:space="preserve">dates from 1858; in 1871 Alpena was chartered as a city.</w:t></w:r>
</w:p>
<w:p>
<w:pPr><w:pStyle w:val="Normal"/></w:pPr>
<w:r><w:t xml:space="preserve">ALPENHORN, ALPHORN, a musical instrument, consisting of</w:t></w:r>
</w:p>
<w:p>
<w:pPr><w:pStyle w:val="Normal"/></w:pPr>
<w:r><w:t xml:space="preserve">a natural wooden horn of conical bore, having a cup-shaped</w:t></w:r>
</w:p>
<w:p>
<w:pPr><w:pStyle w:val="Normal"/></w:pPr>
<w:r><w:t xml:space="preserve">mouthpiece, used by mountaineers in Switzerland and</w:t></w:r>
</w:p>
<w:p>
<w:pPr><w:pStyle w:val="Normal"/></w:pPr>
<w:r><w:t xml:space="preserve">elsewhere.  The tube is made of thin strips of birchwood</w:t></w:r>
</w:p>
<w:p>
<w:pPr><w:pStyle w:val="Normal"/></w:pPr>
<w:r><w:t xml:space="preserve">soaked in water until they have become quite pliable; they</w:t></w:r>
</w:p>
<w:p>
<w:pPr><w:pStyle w:val="Normal"/></w:pPr>
<w:r><w:t xml:space="preserve">are then wound into a tube of conical form from 4 to 8 ft.</w:t></w:r>
</w:p>
<w:p>
<w:pPr><w:pStyle w:val="Normal"/></w:pPr>
<w:r><w:t xml:space="preserve">long, and neatly covered with bark.  A cup-shaped mouthpiece</w:t></w:r>
</w:p>
<w:p>
<w:pPr><w:pStyle w:val="Normal"/></w:pPr>
<w:r><w:t xml:space="preserve">carved out of a block of hard wood is added and the instrument</w:t></w:r>
</w:p>
<w:p>
<w:pPr><w:pStyle w:val="Normal"/></w:pPr>
<w:r><w:t xml:space="preserve">is complete.  The alpenhorn has no lateral openings and</w:t></w:r>
</w:p>
<w:p>
<w:pPr><w:pStyle w:val="Normal"/></w:pPr>
<w:r><w:t xml:space="preserve">therefore gives the pure natural harmonic series of the open</w:t></w:r>
</w:p>
<w:p>
<w:pPr><w:pStyle w:val="Normal"/></w:pPr>
<w:r><w:t xml:space="preserve">pipe.  The harmonics are the more readily obtained by reason</w:t></w:r>
</w:p>
<w:p>
<w:pPr><w:pStyle w:val="Normal"/></w:pPr>
<w:r><w:t xml:space="preserve">of the small diameter of the bore in relation to the length.</w:t></w:r>
</w:p>
<w:p>
<w:pPr><w:pStyle w:val="Normal"/></w:pPr>
<w:r><w:t xml:space="preserve">An alpenhorn made at Rigi-Kulm, Schwytz, and now in the South</w:t></w:r>
</w:p>
<w:p>
<w:pPr><w:pStyle w:val="Normal"/></w:pPr>
<w:r><w:t xml:space="preserve">Kensington Museum, measures 8 ft. in length and has a straight</w:t></w:r>
</w:p>
<w:p>
<w:pPr><w:pStyle w:val="Normal"/></w:pPr>
<w:r><w:t xml:space="preserve">tube.  The well-known Ranz des Paches is the traditional</w:t></w:r>
</w:p>
<w:p>
<w:pPr><w:pStyle w:val="Normal"/></w:pPr>
<w:r><w:t xml:space="preserve">melody of the alpenhorn, which has been immortalized by</w:t></w:r>
</w:p>
<w:p>
<w:pPr><w:pStyle w:val="Normal"/></w:pPr>
<w:r><w:t xml:space="preserve">Beethoven in the finale of the Pastoral Symphony, where</w:t></w:r>
</w:p>
<w:p>
<w:pPr><w:pStyle w:val="Normal"/></w:pPr>
<w:r><w:t xml:space="preserve">the music is generally rendered by a cor aniglais (q.v..)</w:t></w:r>
</w:p>
<w:p>
<w:pPr><w:pStyle w:val="Normal"/></w:pPr>
<w:r><w:t xml:space="preserve">Rossini has introduced the melody into his opera William</w:t></w:r>
</w:p>
<w:p>
<w:pPr><w:pStyle w:val="Normal"/></w:pPr>
<w:r><w:t xml:space="preserve">Tell. Wagner, in the third act of Tristan and Isolde,</w:t></w:r>
</w:p>
<w:p>
<w:pPr><w:pStyle w:val="Normal"/></w:pPr>
<w:r><w:t xml:space="preserve">was not entirely satisfied with the tone quality of the cor</w:t></w:r>
</w:p>
<w:p>
<w:pPr><w:pStyle w:val="Normal"/></w:pPr>
<w:r><w:t xml:space="preserve">anglais for representing the natural pipe of the peasant.</w:t></w:r>
</w:p>
<w:p>
<w:pPr><w:pStyle w:val="Normal"/></w:pPr>
<w:r><w:t xml:space="preserve">Having in his mind the timbre of the alpenhorn, he had a wooden</w:t></w:r>
</w:p>
<w:p>
<w:pPr><w:pStyle w:val="Normal"/></w:pPr>
<w:r><w:t xml:space="preserve">horn made for him with one valve only and a small pear-shaped</w:t></w:r>
</w:p>
<w:p>
<w:pPr><w:pStyle w:val="Normal"/></w:pPr>
<w:r><w:t xml:space="preserve">bell, which is used at Bayreuth (see HONZTROMPETE.) The</w:t></w:r>
</w:p>
<w:p>
<w:pPr><w:pStyle w:val="Normal"/></w:pPr>
<w:r><w:t xml:space="preserve">Swiss alpenhorn varies in shape according to the locality,</w:t></w:r>
</w:p>
<w:p>
<w:pPr><w:pStyle w:val="Normal"/></w:pPr>
<w:r><w:t xml:space="preserve">being curved near the bell in the Bernese Oberland.  Michael</w:t></w:r>
</w:p>
<w:p>
<w:pPr><w:pStyle w:val="Normal"/></w:pPr>
<w:r><w:t xml:space="preserve">Praetorius mentions the alpenhorn under the name of holzerni</w:t></w:r>
</w:p>
<w:p>
<w:pPr><w:pStyle w:val="Normal"/></w:pPr>
<w:r><w:t xml:space="preserve">trummet in Syniagma Musicum (Wittenberg, 1615--1619). (K. S.)</w:t></w:r>
</w:p>
<w:p>
<w:pPr><w:pStyle w:val="Normal"/></w:pPr>
<w:r><w:t xml:space="preserve">ALPES MARITIMES, a department in the S.E. of France, formed</w:t></w:r>
</w:p>
<w:p>
<w:pPr><w:pStyle w:val="Normal"/></w:pPr>
<w:r><w:t xml:space="preserve">in 1860 out of the county of Nice, to which were added the</w:t></w:r>
</w:p>
<w:p>
<w:pPr><w:pStyle w:val="Normal"/></w:pPr>
<w:r><w:t xml:space="preserve">districts of Grasse (formerly in the department of the Var)</w:t></w:r>
</w:p>
<w:p>
<w:pPr><w:pStyle w:val="Normal"/></w:pPr>
<w:r><w:t xml:space="preserve">and of Mentone (purchased from the prince of Monaco).  Pop.</w:t></w:r>
</w:p>
<w:p>
<w:pPr><w:pStyle w:val="Normal"/></w:pPr>
<w:r><w:t xml:space="preserve">(1906) 334,007.  It is bounded N.E. and E. by Italy, S. by</w:t></w:r>
</w:p>
<w:p>
<w:pPr><w:pStyle w:val="Normal"/></w:pPr>
<w:r><w:t xml:space="preserve">the Mediterranean Sea, and W. by the departments of the Var</w:t></w:r>
</w:p>
<w:p>
<w:pPr><w:pStyle w:val="Normal"/></w:pPr>
<w:r><w:t xml:space="preserve">and the Basses Alpes, while its northern extremity forms a</w:t></w:r>
</w:p>
<w:p>
<w:pPr><w:pStyle w:val="Normal"/></w:pPr>
<w:r><w:t xml:space="preserve">sharp angle between France and Italy.  Its area is 1444 sq.</w:t></w:r>
</w:p>
<w:p>
<w:pPr><w:pStyle w:val="Normal"/></w:pPr>
<w:r><w:t xml:space="preserve">m., its greatest length is 59 m. and its greatest breadth 48 1/2</w:t></w:r>
</w:p>
<w:p>
<w:pPr><w:pStyle w:val="Normal"/></w:pPr>
<w:r><w:t xml:space="preserve">m.  It is composed of the valley of the Var river (which</w:t></w:r>
</w:p>
<w:p>
<w:pPr><w:pStyle w:val="Normal"/></w:pPr>
<w:r><w:t xml:space="preserve">is all but completely within this department), together</w:t></w:r>
</w:p>
<w:p>
<w:pPr><w:pStyle w:val="Normal"/></w:pPr>
<w:r><w:t xml:space="preserve">with those of its chief affluents, the Tinee and the</w:t></w:r>
</w:p>
<w:p>
<w:pPr><w:pStyle w:val="Normal"/></w:pPr>
<w:r><w:t xml:space="preserve">Vesubie.  The region of Grasse is hilly, but the rest of</w:t></w:r>
</w:p>
<w:p>
<w:pPr><w:pStyle w:val="Normal"/></w:pPr>
<w:r><w:t xml:space="preserve">the department is mountainous, its loftiest point being the</w:t></w:r>
</w:p>
<w:p>
<w:pPr><w:pStyle w:val="Normal"/></w:pPr>
<w:r><w:t xml:space="preserve">Mont Tinibras (9948 ft.) at the head of the Tinee valley.</w:t></w:r>
</w:p>
<w:p>
<w:pPr><w:pStyle w:val="Normal"/></w:pPr>
<w:r><w:t xml:space="preserve">Two singular features of the frontier of the department</w:t></w:r>
</w:p>
<w:p>
<w:pPr><w:pStyle w:val="Normal"/></w:pPr>
<w:r><w:t xml:space="preserve">towards the east are only to be explained by historical</w:t></w:r>
</w:p>
<w:p>
<w:pPr><w:pStyle w:val="Normal"/></w:pPr>
<w:r><w:t xml:space="preserve">reasons.  One is that the ce:itral bit of the Roja valley is</w:t></w:r>
</w:p>
<w:p>
<w:pPr><w:pStyle w:val="Normal"/></w:pPr>
<w:r><w:t xml:space="preserve">French, while the upper and lower bits of this valley are</w:t></w:r>
</w:p>
<w:p>
<w:pPr><w:pStyle w:val="Normal"/></w:pPr>
<w:r><w:t xml:space="preserve">Italian; the reason is that those bits which are now Italian</w:t></w:r>
</w:p>
<w:p>
<w:pPr><w:pStyle w:val="Normal"/></w:pPr>
<w:r><w:t xml:space="preserve">formed part of the county of Ventimiglia, and the central</w:t></w:r>
</w:p>
<w:p>
<w:pPr><w:pStyle w:val="Normal"/></w:pPr>
<w:r><w:t xml:space="preserve">bit part of the county of Nice, which alone became French in</w:t></w:r>
</w:p>
<w:p>
<w:pPr><w:pStyle w:val="Normal"/></w:pPr>
<w:r><w:t xml:space="preserve">1860.  The result is that the Italians are now unable to build</w:t></w:r>
</w:p>
<w:p>
<w:pPr><w:pStyle w:val="Normal"/></w:pPr>
<w:r><w:t xml:space="preserve">a railway from Culeo by the Col de Tenda and down the Roja</w:t></w:r>
</w:p>
<w:p>
<w:pPr><w:pStyle w:val="Normal"/></w:pPr>
<w:r><w:t xml:space="preserve">valley direct to Ventimiglia.  The other strange feature is</w:t></w:r>
</w:p>
<w:p>
<w:pPr><w:pStyle w:val="Normal"/></w:pPr>
<w:r><w:t xml:space="preserve">that from near Isola in the upper Tinee valley southwards</w:t></w:r>
</w:p>
<w:p>
<w:pPr><w:pStyle w:val="Normal"/></w:pPr>
<w:r><w:t xml:space="preserve">the political frontier does not coincide with the physical</w:t></w:r>
</w:p>
<w:p>
<w:pPr><w:pStyle w:val="Normal"/></w:pPr>
<w:r><w:t xml:space="preserve">frontier, or the main watershed of the Alpine chain; the reason</w:t></w:r>
</w:p>
<w:p>
<w:pPr><w:pStyle w:val="Normal"/></w:pPr>
<w:r><w:t xml:space="preserve">(it is said) is that in 1860 all the higher valleys of the</w:t></w:r>
</w:p>
<w:p>
<w:pPr><w:pStyle w:val="Normal"/></w:pPr>
<w:r><w:t xml:space="preserve">Maritime Alps (on both sides of the watershed) were expressly</w:t></w:r>
</w:p>
<w:p>
<w:pPr><w:pStyle w:val="Normal"/></w:pPr>
<w:r><w:t xml:space="preserve">excepted from the treaty of cession, in order that Victor</w:t></w:r>
</w:p>
<w:p>
<w:pPr><w:pStyle w:val="Normal"/></w:pPr>
<w:r><w:t xml:space="preserve">Emmanuel II. might retain his right of chamois hunting in these</w:t></w:r>
</w:p>
<w:p>
<w:pPr><w:pStyle w:val="Normal"/></w:pPr>
<w:r><w:t xml:space="preserve">parts.  The department is divided into three arrondissements</w:t></w:r>
</w:p>
<w:p>
<w:pPr><w:pStyle w:val="Normal"/></w:pPr>
<w:r><w:t xml:space="preserve">(Nice, Grasse and Puget Thenicrs), 27 cantons and 155</w:t></w:r>
</w:p>
<w:p>
<w:pPr><w:pStyle w:val="Normal"/></w:pPr>
<w:r><w:t xml:space="preserve">communes.  It forms the bishopric of Nice (the first bishop</w:t></w:r>
</w:p>
<w:p>
<w:pPr><w:pStyle w:val="Normal"/></w:pPr>
<w:r><w:t xml:space="preserve">certainly known is mentioned at the end of the 4th century),</w:t></w:r>
</w:p>
<w:p>
<w:pPr><w:pStyle w:val="Normal"/></w:pPr>
<w:r><w:t xml:space="preserve">which till 1792 was in the ecclesiastical province of Embrun,</w:t></w:r>
</w:p>
<w:p>
<w:pPr><w:pStyle w:val="Normal"/></w:pPr>
<w:r><w:t xml:space="preserve">then (1802) in that of Aix en Provence, next in that of Genoa</w:t></w:r>
</w:p>
<w:p>
<w:pPr><w:pStyle w:val="Normal"/></w:pPr>
<w:r><w:t xml:space="preserve">(1814),and lilally (1860) in that of Aix again.  Its chief town is</w:t></w:r>
</w:p>
<w:p>
<w:pPr><w:pStyle w:val="Normal"/></w:pPr>
<w:r><w:t xml:space="preserve">Nice.  The broad-gauge railways in the department cover 56</w:t></w:r>
</w:p>
<w:p>
<w:pPr><w:pStyle w:val="Normal"/></w:pPr>
<w:r><w:t xml:space="preserve">m., including the line along the coast, while there are also</w:t></w:r>
</w:p>
<w:p>
<w:pPr><w:pStyle w:val="Normal"/></w:pPr>
<w:r><w:t xml:space="preserve">82 m. of narrow-gauge railways.  The chief industries are</w:t></w:r>
</w:p>
<w:p>
<w:pPr><w:pStyle w:val="Normal"/></w:pPr>
<w:r><w:t xml:space="preserve">distilleries for perfumes and manufacture of olive oil, of</w:t></w:r>
</w:p>
<w:p>
<w:pPr><w:pStyle w:val="Normal"/></w:pPr>
<w:r><w:t xml:space="preserve">pottery and of tiles, besides a great commerce in cut flowers.</w:t></w:r>
</w:p>
<w:p>
<w:pPr><w:pStyle w:val="Normal"/></w:pPr>
<w:r><w:t xml:space="preserve">To foreigners the department is best known for its health</w:t></w:r>
</w:p>
<w:p>
<w:pPr><w:pStyle w:val="Normal"/></w:pPr>
<w:r><w:t xml:space="preserve">resorts, Nice, Cannes, Mentone, Antibes and Beaulieu, while other</w:t></w:r>
</w:p>
<w:p>
<w:pPr><w:pStyle w:val="Normal"/></w:pPr>
<w:r><w:t xml:space="preserve">important towns are Grasse and Puget Theniers. (W. A. B. C.)</w:t></w:r>
</w:p>
<w:p>
<w:pPr><w:pStyle w:val="Normal"/></w:pPr>
<w:r><w:t xml:space="preserve">ALPHA and OMEGA (A and O), the first and last letters of</w:t></w:r>
</w:p>
<w:p>
<w:pPr><w:pStyle w:val="Normal"/></w:pPr>
<w:r><w:t xml:space="preserve">the Greek alphabet, corresponding to the Aleph and Taw of the</w:t></w:r>
</w:p>
<w:p>
<w:pPr><w:pStyle w:val="Normal"/></w:pPr>
<w:r><w:t xml:space="preserve">Hebrew.  They are used as a designation of Himself by the speaker</w:t></w:r>
</w:p>
<w:p>
<w:pPr><w:pStyle w:val="Normal"/></w:pPr>
<w:r><w:t xml:space="preserve">in Rev.i.8; xxi. 6; xxii. 13. The first and last letters of</w:t></w:r>
</w:p>
<w:p>
<w:pPr><w:pStyle w:val="Normal"/></w:pPr>
<w:r><w:t xml:space="preserve">the Hebrew alphabet are used in Rabbinic writings in a similar</w:t></w:r>
</w:p>
<w:p>
<w:pPr><w:pStyle w:val="Normal"/></w:pPr>
<w:r><w:t xml:space="preserve">way.  We find also ``the seal of God is Emeth,&apos;&apos; Emeth (truth)</w:t></w:r>
</w:p>
<w:p>
<w:pPr><w:pStyle w:val="Normal"/></w:pPr>
<w:r><w:t xml:space="preserve">being composed of the first, middle and last letters of the Hebrew</w:t></w:r>
</w:p>
<w:p>
<w:pPr><w:pStyle w:val="Normal"/></w:pPr>
<w:r><w:t xml:space="preserve">alphabet.  God is thus represented as the beginning, middle</w:t></w:r>
</w:p>
<w:p>
<w:pPr><w:pStyle w:val="Normal"/></w:pPr>
<w:r><w:t xml:space="preserve">and end of all things (see the Jewish Encyclopaedia, s.v.).</w:t></w:r>
</w:p>
<w:p>
<w:pPr><w:pStyle w:val="Normal"/></w:pPr>
<w:r><w:t xml:space="preserve">ALPHABET (see also WRITING.) By the word alphabet, derived</w:t></w:r>
</w:p>
<w:p>
<w:pPr><w:pStyle w:val="Normal"/></w:pPr>
<w:r><w:t xml:space="preserve">from the Greek names for the first two letters--alpha and</w:t></w:r>
</w:p>
<w:p>
<w:pPr><w:pStyle w:val="Normal"/></w:pPr>
<w:r><w:t xml:space="preserve">beta--of the Greek alphabet, is meant a series of conventional</w:t></w:r>
</w:p>
<w:p>
<w:pPr><w:pStyle w:val="Normal"/></w:pPr>
<w:r><w:t xml:space="preserve">symbols each indicating a single sound or combination of</w:t></w:r>
</w:p>
<w:p>
<w:pPr><w:pStyle w:val="Normal"/></w:pPr>
<w:r><w:t xml:space="preserve">sounds.  The ideal alphabet would indicate one sound by one</w:t></w:r>
</w:p>
<w:p>
<w:pPr><w:pStyle w:val="Normal"/></w:pPr>
<w:r><w:t xml:space="preserve">symbol, and not more than one sound by the same symbol.  Symbols</w:t></w:r>
</w:p>
<w:p>
<w:pPr><w:pStyle w:val="Normal"/></w:pPr>
<w:r><w:t xml:space="preserve">for a combination of sounds are not necessary, though they</w:t></w:r>
</w:p>
<w:p>
<w:pPr><w:pStyle w:val="Normal"/></w:pPr>
<w:r><w:t xml:space="preserve">may be convenient as abbreviations.  In the writing of some</w:t></w:r>
</w:p>
<w:p>
<w:pPr><w:pStyle w:val="Normal"/></w:pPr>
<w:r><w:t xml:space="preserve">languages, e.g. Sanskrit, such abbreviations are carried to</w:t></w:r>
</w:p>
<w:p>
<w:pPr><w:pStyle w:val="Normal"/></w:pPr>
<w:r><w:t xml:space="preserve">an extreme; in most Greek MSS. also they are of very frequent</w:t></w:r>
</w:p>
<w:p>
<w:pPr><w:pStyle w:val="Normal"/></w:pPr>
<w:r><w:t xml:space="preserve">occurrence.  These contractions, however, may prove too great</w:t></w:r>
</w:p>
<w:p>
<w:pPr><w:pStyle w:val="Normal"/></w:pPr>
<w:r><w:t xml:space="preserve">a strain upon the eyesight or the memory, and thus become a</w:t></w:r>
</w:p>
<w:p>
<w:pPr><w:pStyle w:val="Normal"/></w:pPr>
<w:r><w:t xml:space="preserve">hindrance instead of a help.  This was apparently the case in</w:t></w:r>
</w:p>
<w:p>
<w:pPr><w:pStyle w:val="Normal"/></w:pPr>
<w:r><w:t xml:space="preserve">Greek, for though the early printers cast types for all the</w:t></w:r>
</w:p>
<w:p>
<w:pPr><w:pStyle w:val="Normal"/></w:pPr>
<w:r><w:t xml:space="preserve">contractions of the Greek MSS. these have now with one consent</w:t></w:r>
</w:p>
<w:p>
<w:pPr><w:pStyle w:val="Normal"/></w:pPr>
<w:r><w:t xml:space="preserve">been given up.  A consonant like x can only be regarded</w:t></w:r>
</w:p>
<w:p>
<w:pPr><w:pStyle w:val="Normal"/></w:pPr>
<w:r><w:t xml:space="preserve">as an abbreviation; it expresses nothing that cannot as well</w:t></w:r>
</w:p>
<w:p>
<w:pPr><w:pStyle w:val="Normal"/></w:pPr>
<w:r><w:t xml:space="preserve">be expressed by ks or gz, both of which combinations in</w:t></w:r>
</w:p>
<w:p>
<w:pPr><w:pStyle w:val="Normal"/></w:pPr>
<w:r><w:t xml:space="preserve">different situations it may represent (see X). No alphabet</w:t></w:r>
</w:p>
<w:p>
<w:pPr><w:pStyle w:val="Normal"/></w:pPr>
<w:r><w:t xml:space="preserve">corresponds exactly to the ideal which we have postulated,</w:t></w:r>
</w:p>
<w:p>
<w:pPr><w:pStyle w:val="Normal"/></w:pPr>
<w:r><w:t xml:space="preserve">nor if it did, would it continue long so to do, as the sounds</w:t></w:r>
</w:p>
<w:p>
<w:pPr><w:pStyle w:val="Normal"/></w:pPr>
<w:r><w:t xml:space="preserve">of most languages are continually changing.  Hence in the</w:t></w:r>
</w:p>
<w:p>
<w:pPr><w:pStyle w:val="Normal"/></w:pPr>
<w:r><w:t xml:space="preserve">case of dead languages or past forms of living languages,</w:t></w:r>
</w:p>
<w:p>
<w:pPr><w:pStyle w:val="Normal"/></w:pPr>
<w:r><w:t xml:space="preserve">it is often very difficult to define with precision what the</w:t></w:r>
</w:p>
<w:p>
<w:pPr><w:pStyle w:val="Normal"/></w:pPr>
<w:r><w:t xml:space="preserve">sounds of the past epoch were.  The study of the history of</w:t></w:r>
</w:p>
<w:p>
<w:pPr><w:pStyle w:val="Normal"/></w:pPr>
<w:r><w:t xml:space="preserve">English pronunciation occupied the late Dr A. J. Ellis for</w:t></w:r>
</w:p>
<w:p>
<w:pPr><w:pStyle w:val="Normal"/></w:pPr>
<w:r><w:t xml:space="preserve">a large part of his life, and the results fill five large</w:t></w:r>
</w:p>
<w:p>
<w:pPr><w:pStyle w:val="Normal"/></w:pPr>
<w:r><w:t xml:space="preserve">volumes.  The sounds which are most difficult to define exactly</w:t></w:r>
</w:p>
<w:p>
<w:pPr><w:pStyle w:val="Normal"/></w:pPr>
<w:r><w:t xml:space="preserve">are the vowels; a great variety may be indicated by the same</w:t></w:r>
</w:p>
<w:p>
<w:pPr><w:pStyle w:val="Normal"/></w:pPr>
<w:r><w:t xml:space="preserve">symbol.  In the New English Dictionary no fewer than thirteen</w:t></w:r>
</w:p>
<w:p>
<w:pPr><w:pStyle w:val="Normal"/></w:pPr>
<w:r><w:t xml:space="preserve">different nuances of vowel sound are distinguished under the</w:t></w:r>
</w:p>
<w:p>
<w:pPr><w:pStyle w:val="Normal"/></w:pPr>
<w:r><w:t xml:space="preserve">symbol A alone.  In English, moreover, the vowel sounds tend</w:t></w:r>
</w:p>
<w:p>
<w:pPr><w:pStyle w:val="Normal"/></w:pPr>
<w:r><w:t xml:space="preserve">to become diphthongs, so that the symbol for the simple sound</w:t></w:r>
</w:p>
<w:p>
<w:pPr><w:pStyle w:val="Normal"/></w:pPr>
<w:r><w:t xml:space="preserve">tends to become the symbol for that combination which we call a</w:t></w:r>
</w:p>
<w:p>
<w:pPr><w:pStyle w:val="Normal"/></w:pPr>
<w:r><w:t xml:space="preserve">diphthong.  Thus the long i in ride, wine, &amp;c., has become</w:t></w:r>
</w:p>
<w:p>
<w:pPr><w:pStyle w:val="Normal"/></w:pPr>
<w:r><w:t xml:space="preserve">the diphthong ai, and the name of the symbol I is itself so</w:t></w:r>
</w:p>
<w:p>
<w:pPr><w:pStyle w:val="Normal"/></w:pPr>
<w:r><w:t xml:space="preserve">pronounced.  In familiar, if vulgar, dialects, A tends in the</w:t></w:r>
</w:p>
<w:p>
<w:pPr><w:pStyle w:val="Normal"/></w:pPr>
<w:r><w:t xml:space="preserve">same direction.  In the ``cockney&apos;&apos; dialect, really the dialect</w:t></w:r>
</w:p>
<w:p>
<w:pPr><w:pStyle w:val="Normal"/></w:pPr>
<w:r><w:t xml:space="preserve">of Essex but now no less familiar in Cambridge and Middlesex,</w:t></w:r>
</w:p>
<w:p>
<w:pPr><w:pStyle w:val="Normal"/></w:pPr>
<w:r><w:t xml:space="preserve">the ai sound of i is represented by oi as in toime,</w:t></w:r>
</w:p>
<w:p>
<w:pPr><w:pStyle w:val="Normal"/></w:pPr>
<w:r><w:t xml:space="preserve">``time,&apos;&apos; while a has become ai in Kate, pane, &amp;c. In,</w:t></w:r>
</w:p>
<w:p>
<w:pPr><w:pStyle w:val="Normal"/></w:pPr>
<w:r><w:t xml:space="preserve">all southern English o becomes more rounded while it is being</w:t></w:r>
</w:p>
<w:p>
<w:pPr><w:pStyle w:val="Normal"/></w:pPr>
<w:r><w:t xml:space="preserve">pronounced, so that it ends with a slight u sound.  In the</w:t></w:r>
</w:p>
<w:p>
<w:pPr><w:pStyle w:val="Normal"/></w:pPr>
<w:r><w:t xml:space="preserve">vulgar dialect already mentioned, the sound begins as a more</w:t></w:r>
</w:p>
<w:p>
<w:pPr><w:pStyle w:val="Normal"/></w:pPr>
<w:r><w:t xml:space="preserve">open sound than in the cultivated pronunciation, so that no</w:t></w:r>
</w:p>
<w:p>
<w:pPr><w:pStyle w:val="Normal"/></w:pPr>
<w:r><w:t xml:space="preserve">is really pronounced as naou. It is clear, therefore, that</w:t></w:r>
</w:p>
<w:p>
<w:pPr><w:pStyle w:val="Normal"/></w:pPr>
<w:r><w:t xml:space="preserve">the best alphabet would not long indicate very precisely the</w:t></w:r>
</w:p>
<w:p>
<w:pPr><w:pStyle w:val="Normal"/></w:pPr>
<w:r><w:t xml:space="preserve">sounds which it was intended to represent.  See PHONETICS.</w:t></w:r>
</w:p>
<w:p>
<w:pPr><w:pStyle w:val="Normal"/></w:pPr>
<w:r><w:t xml:space="preserve">But the history of the alphabet shows that at no time has it</w:t></w:r>
</w:p>
<w:p>
<w:pPr><w:pStyle w:val="Normal"/></w:pPr>
<w:r><w:t xml:space="preserve">represented any European language with much precision, because</w:t></w:r>
</w:p>
<w:p>
<w:pPr><w:pStyle w:val="Normal"/></w:pPr>
<w:r><w:t xml:space="preserve">it was an importation adapted in a somewhat rough and ready</w:t></w:r>
</w:p>
<w:p>
<w:pPr><w:pStyle w:val="Normal"/></w:pPr>
<w:r><w:t xml:space="preserve">fashion to represent sounds different from those which it</w:t></w:r>
</w:p>
<w:p>
<w:pPr><w:pStyle w:val="Normal"/></w:pPr>
<w:r><w:t xml:space="preserve">represented outside Europe.  Wherever the alphabet may have</w:t></w:r>
</w:p>
<w:p>
<w:pPr><w:pStyle w:val="Normal"/></w:pPr>
<w:r><w:t xml:space="preserve">originated, there seems no doubt that its first importation</w:t></w:r>
</w:p>
<w:p>
<w:pPr><w:pStyle w:val="Normal"/></w:pPr>
<w:r><w:t xml:space="preserve">in a form closely resembling that with which we are familiar</w:t></w:r>
</w:p>
<w:p>
<w:pPr><w:pStyle w:val="Normal"/></w:pPr>
<w:r><w:t xml:space="preserve">in modern times was from the Phoenicians to the Greeks.  The</w:t></w:r>
</w:p>
<w:p>
<w:pPr><w:pStyle w:val="Normal"/></w:pPr>
<w:r><w:t xml:space="preserve">Phoenicians were certainly using it with freedom in the 9th</w:t></w:r>
</w:p>
<w:p>
<w:pPr><w:pStyle w:val="Normal"/></w:pPr>
<w:r><w:t xml:space="preserve">century B.C.; with so much freedom, indeed, that they must</w:t></w:r>
</w:p>
<w:p>
<w:pPr><w:pStyle w:val="Normal"/></w:pPr>
<w:r><w:t xml:space="preserve">have been in possession of it for a considerable time before</w:t></w:r>
</w:p>
<w:p>
<w:pPr><w:pStyle w:val="Normal"/></w:pPr>
<w:r><w:t xml:space="preserve">we can trace it.  With the materials available up to August</w:t></w:r>
</w:p>
<w:p>
<w:pPr><w:pStyle w:val="Normal"/></w:pPr>
<w:r><w:t xml:space="preserve">1910 it would be idle here to attempt to trace its earlier</w:t></w:r>
</w:p>
<w:p>
<w:pPr><w:pStyle w:val="Normal"/></w:pPr>
<w:r><w:t xml:space="preserve">history.  Great discoveries in Cappadocia, Assyria and</w:t></w:r>
</w:p>
<w:p>
<w:pPr><w:pStyle w:val="Normal"/></w:pPr>
<w:r><w:t xml:space="preserve">Egypt were then only at their beginning, and any statement</w:t></w:r>
</w:p>
<w:p>
<w:pPr><w:pStyle w:val="Normal"/></w:pPr>
<w:r><w:t xml:space="preserve">was liable to be quickly disproved by the appearance of new</w:t></w:r>
</w:p>
<w:p>
<w:pPr><w:pStyle w:val="Normal"/></w:pPr>
<w:r><w:t xml:space="preserve">evidence.  The prevalent theory, universally accepted till</w:t></w:r>
</w:p>
<w:p>
<w:pPr><w:pStyle w:val="Normal"/></w:pPr>
<w:r><w:t xml:space="preserve">a few years ago, was that of Vicomte Emmanuel de Ronge,</w:t></w:r>
</w:p>
<w:p>
<w:pPr><w:pStyle w:val="Normal"/></w:pPr>
<w:r><w:t xml:space="preserve">first propounded to the Academie des Inscriptions in 1859,</w:t></w:r>
</w:p>
<w:p>
<w:pPr><w:pStyle w:val="Normal"/></w:pPr>
<w:r><w:t xml:space="preserve">but unnoticed by the world at large till republished, after</w:t></w:r>
</w:p>
<w:p>
<w:pPr><w:pStyle w:val="Normal"/></w:pPr>
<w:r><w:t xml:space="preserve">derouge&apos;s death, by his son in 1874.  According to this</w:t></w:r>
</w:p>
<w:p>
<w:pPr><w:pStyle w:val="Normal"/></w:pPr>
<w:r><w:t xml:space="preserve">view the alphabet was borrowed by the Phoenicians from the</w:t></w:r>
</w:p>
<w:p>
<w:pPr><w:pStyle w:val="Normal"/></w:pPr>
<w:r><w:t xml:space="preserve">cursive (hieratic) form of Egyptian hieroglyphics.  The</w:t></w:r>
</w:p>
<w:p>
<w:pPr><w:pStyle w:val="Normal"/></w:pPr>
<w:r><w:t xml:space="preserve">resemblances between some Egyptian symbols and some symbols</w:t></w:r>
</w:p>
<w:p>
<w:pPr><w:pStyle w:val="Normal"/></w:pPr>
<w:r><w:t xml:space="preserve">of the Phoenician alphabet are striking; in other cases the</w:t></w:r>
</w:p>
<w:p>
<w:pPr><w:pStyle w:val="Normal"/></w:pPr>
<w:r><w:t xml:space="preserve">differences are no less remarkable.  As a matter of fact</w:t></w:r>
</w:p>
<w:p>
<w:pPr><w:pStyle w:val="Normal"/></w:pPr>
<w:r><w:t xml:space="preserve">the Egyptians might have passed about thirty-five centuries</w:t></w:r>
</w:p>
<w:p>
<w:pPr><w:pStyle w:val="Normal"/></w:pPr>
<w:r><w:t xml:space="preserve">B.C. from the picture writing of hieroglyphs to genuine</w:t></w:r>
</w:p>
<w:p>
<w:pPr><w:pStyle w:val="Normal"/></w:pPr>
<w:r><w:t xml:space="preserve">alphabetic signs.1 They did not, however, profit by their</w:t></w:r>
</w:p>
<w:p>
<w:pPr><w:pStyle w:val="Normal"/></w:pPr>
<w:r><w:t xml:space="preserve">discovery, because, amongst the Egyptians, writing was clearly</w:t></w:r>
</w:p>
<w:p>
<w:pPr><w:pStyle w:val="Normal"/></w:pPr>
<w:r><w:t xml:space="preserve">a mystery in both senses--only possible at that period for</w:t></w:r>
</w:p>
<w:p>
<w:pPr><w:pStyle w:val="Normal"/></w:pPr>
<w:r><w:t xml:space="preserve">masters in the craft, and also something, like the writing</w:t></w:r>
</w:p>
<w:p>
<w:pPr><w:pStyle w:val="Normal"/></w:pPr>
<w:r><w:t xml:space="preserve">of medical prescriptions at the present day in Latin, which</w:t></w:r>
</w:p>
<w:p>
<w:pPr><w:pStyle w:val="Normal"/></w:pPr>
<w:r><w:t xml:space="preserve">was not to be made too easily intelligible to the common</w:t></w:r>
</w:p>
<w:p>
<w:pPr><w:pStyle w:val="Normal"/></w:pPr>
<w:r><w:t xml:space="preserve">people.  At all periods, moreover, hieroglyphic writing was a</w:t></w:r>
</w:p>
<w:p>
<w:pPr><w:pStyle w:val="Normal"/></w:pPr>
<w:r><w:t xml:space="preserve">branch of decorative art, and it may have been that the ancient</w:t></w:r>
</w:p>
<w:p>
<w:pPr><w:pStyle w:val="Normal"/></w:pPr>
<w:r><w:t xml:space="preserve">Egyptian, like the modern Turk, resented too much lucidity,</w:t></w:r>
</w:p>
<w:p>
<w:pPr><w:pStyle w:val="Normal"/></w:pPr>
<w:r><w:t xml:space="preserve">and liked his literary compositions to be veiled in a certain</w:t></w:r>
</w:p>
<w:p>
<w:pPr><w:pStyle w:val="Normal"/></w:pPr>
<w:r><w:t xml:space="preserve">obscurity.  The alphabet devised by the Egyptians consisted</w:t></w:r>
</w:p>
<w:p>
<w:pPr><w:pStyle w:val="Normal"/></w:pPr>
<w:r><w:t xml:space="preserve">of twenty-four letters.  Egyptologists are at variance on the</w:t></w:r>
</w:p>
<w:p>
<w:pPr><w:pStyle w:val="Normal"/></w:pPr>
<w:r><w:t xml:space="preserve">question whether this alphabet was the original, or had any</w:t></w:r>
</w:p>
<w:p>
<w:pPr><w:pStyle w:val="Normal"/></w:pPr>
<w:r><w:t xml:space="preserve">influence upon the development of the Phoenician alphabet.</w:t></w:r>
</w:p>
<w:p>
<w:pPr><w:pStyle w:val="Normal"/></w:pPr>
<w:r><w:t xml:space="preserve">``With the papyrus paper,&apos;&apos; says Professor Breasted,2 ``the</w:t></w:r>
</w:p>
<w:p>
<w:pPr><w:pStyle w:val="Normal"/></w:pPr>
<w:r><w:t xml:space="preserve">hand customarily written upon it in Egypt now made its way into</w:t></w:r>
</w:p>
<w:p>
<w:pPr><w:pStyle w:val="Normal"/></w:pPr>
<w:r><w:t xml:space="preserve">Phoenicia, where before the 10th century B.C. it developed</w:t></w:r>
</w:p>
<w:p>
<w:pPr><w:pStyle w:val="Normal"/></w:pPr>
<w:r><w:t xml:space="preserve">into an alphabet of consonants, which was quickly transmitted</w:t></w:r>
</w:p>
<w:p>
<w:pPr><w:pStyle w:val="Normal"/></w:pPr>
<w:r><w:t xml:space="preserve">to the Ionian Greeks and thence to Europe.&apos;&apos; On the other</w:t></w:r>
</w:p>
<w:p>
<w:pPr><w:pStyle w:val="Normal"/></w:pPr>
<w:r><w:t xml:space="preserve">hand, Professor Spiegelberg,3 writing soon after Professor</w:t></w:r>
</w:p>
<w:p>
<w:pPr><w:pStyle w:val="Normal"/></w:pPr>
<w:r><w:t xml:space="preserve">Breasted, says that investigation has not as yet furnished</w:t></w:r>
</w:p>
<w:p>
<w:pPr><w:pStyle w:val="Normal"/></w:pPr>
<w:r><w:t xml:space="preserve">proof that the Phoenician alphabet is of Egyptian origin, though</w:t></w:r>
</w:p>
<w:p>
<w:pPr><w:pStyle w:val="Normal"/></w:pPr>
<w:r><w:t xml:space="preserve">he admits that in some respects the development of the two</w:t></w:r>
</w:p>
<w:p>
<w:pPr><w:pStyle w:val="Normal"/></w:pPr>
<w:r><w:t xml:space="preserve">alphabets, both without vowel signs, is curiously parallel.</w:t></w:r>
</w:p>
<w:p>
<w:pPr><w:pStyle w:val="Normal"/></w:pPr>
<w:r><w:t xml:space="preserve">The most recent view is that of Dr A. J. Evans, who argues</w:t></w:r>
</w:p>
<w:p>
<w:pPr><w:pStyle w:val="Normal"/></w:pPr>
<w:r><w:t xml:space="preserve">ingeniously that the alphabet was taken over from Crete by the</w:t></w:r>
</w:p>
<w:p>
<w:pPr><w:pStyle w:val="Normal"/></w:pPr>
<w:r><w:t xml:space="preserve">``Cherethites and Pelethites&apos;&apos; or Philistines, who established</w:t></w:r>
</w:p>
<w:p>
<w:pPr><w:pStyle w:val="Normal"/></w:pPr>
<w:r><w:t xml:space="preserve">for themselves settlements on the coast of Palestine.4</w:t></w:r>
</w:p>
<w:p>
<w:pPr><w:pStyle w:val="Normal"/></w:pPr>
<w:r><w:t xml:space="preserve">From them it passed to the Phoenicians, who were their near</w:t></w:r>
</w:p>
<w:p>
<w:pPr><w:pStyle w:val="Normal"/></w:pPr>
<w:r><w:t xml:space="preserve">neighbours, if not their kinsfolk.  Symbols like the letters</w:t></w:r>
</w:p>
<w:p>
<w:pPr><w:pStyle w:val="Normal"/></w:pPr>
<w:r><w:t xml:space="preserve">of the alphabet have been found in European soil painted</w:t></w:r>
</w:p>
<w:p>
<w:pPr><w:pStyle w:val="Normal"/></w:pPr>
<w:r><w:t xml:space="preserve">upon pebbles belonging to a stratum between the Palaeolithic</w:t></w:r>
</w:p>
<w:p>
<w:pPr><w:pStyle w:val="Normal"/></w:pPr>
<w:r><w:t xml:space="preserve">and Neolithic age.5 This was in France at Mas d&apos;Azil on the</w:t></w:r>
</w:p>
<w:p>
<w:pPr><w:pStyle w:val="Normal"/></w:pPr>
<w:r><w:t xml:space="preserve">left bank of the Arize.  Elsewhere several series of such</w:t></w:r>
</w:p>
<w:p>
<w:pPr><w:pStyle w:val="Normal"/></w:pPr>
<w:r><w:t xml:space="preserve">symbols resembling inscriptions have been found scratched on</w:t></w:r>
</w:p>
<w:p>
<w:pPr><w:pStyle w:val="Normal"/></w:pPr>
<w:r><w:t xml:space="preserve">bones of the same period.6 For the history of writing these</w:t></w:r>
</w:p>
<w:p>
<w:pPr><w:pStyle w:val="Normal"/></w:pPr>
<w:r><w:t xml:space="preserve">may be important, but for the history of the alphabet, as</w:t></w:r>
</w:p>
<w:p>
<w:pPr><w:pStyle w:val="Normal"/></w:pPr>
<w:r><w:t xml:space="preserve">we know it, they are not in question.  The alphabet may have</w:t></w:r>
</w:p>
<w:p>
<w:pPr><w:pStyle w:val="Normal"/></w:pPr>
<w:r><w:t xml:space="preserve">originated as Dr Evans thinks, but at present the proof is not</w:t></w:r>
</w:p>
<w:p>
<w:pPr><w:pStyle w:val="Normal"/></w:pPr>
<w:r><w:t xml:space="preserve">conclusive.  The Greek names of the letters, their forms,</w:t></w:r>
</w:p>
<w:p>
<w:pPr><w:pStyle w:val="Normal"/></w:pPr>
<w:r><w:t xml:space="preserve">and the order of the symbols show that the Greek alphabet</w:t></w:r>
</w:p>
<w:p>
<w:pPr><w:pStyle w:val="Normal"/></w:pPr>
<w:r><w:t xml:space="preserve">as we know it must have been imported by or from a Semitic</w:t></w:r>
</w:p>
<w:p>
<w:pPr><w:pStyle w:val="Normal"/></w:pPr>
<w:r><w:t xml:space="preserve">people, and there is no evidence to contradict ancient</w:t></w:r>
</w:p>
<w:p>
<w:pPr><w:pStyle w:val="Normal"/></w:pPr>
<w:r><w:t xml:space="preserve">tradition that this people was the Phoenicians.  The view</w:t></w:r>
</w:p>
<w:p>
<w:pPr><w:pStyle w:val="Normal"/></w:pPr>
<w:r><w:t xml:space="preserve">propounded by Deecke7 in 1877, that the Phoenician alphabet</w:t></w:r>
</w:p>
<w:p>
<w:pPr><w:pStyle w:val="Normal"/></w:pPr>
<w:r><w:t xml:space="preserve">had developed out of the late Assyrian cuneiform, never met</w:t></w:r>
</w:p>
<w:p>
<w:pPr><w:pStyle w:val="Normal"/></w:pPr>
<w:r><w:t xml:space="preserve">with much acceptance and has really no evidence in its favour.</w:t></w:r>
</w:p>
<w:p>
<w:pPr><w:pStyle w:val="Normal"/></w:pPr>
<w:r><w:t xml:space="preserve">The earliest alphabetic document which can be dated with</w:t></w:r>
</w:p>
<w:p>
<w:pPr><w:pStyle w:val="Normal"/></w:pPr>
<w:r><w:t xml:space="preserve">comparative certainty is the famous Moabite stone, which was</w:t></w:r>
</w:p>
<w:p>
<w:pPr><w:pStyle w:val="Normal"/></w:pPr>
<w:r><w:t xml:space="preserve">discovered in 1868, and after a controversy between rival</w:t></w:r>
</w:p>
<w:p>
<w:pPr><w:pStyle w:val="Normal"/></w:pPr>
<w:r><w:t xml:space="preserve">claimants which led to its being broken in pieces by the Arabs,</w:t></w:r>
</w:p>
<w:p>
<w:pPr><w:pStyle w:val="Normal"/></w:pPr>
<w:r><w:t xml:space="preserve">ultimately reached the Louvre, where in a restored form it</w:t></w:r>
</w:p>
<w:p>
<w:pPr><w:pStyle w:val="Normal"/></w:pPr>
<w:r><w:t xml:space="preserve">remains.  The long inscription upon it celebrates the achievements</w:t></w:r>
</w:p>
<w:p>
<w:pPr><w:pStyle w:val="Normal"/></w:pPr>
<w:r><w:t xml:space="preserve">of Mesha, king of Moab, who had been a tributary of Ahab, king</w:t></w:r>
</w:p>
<w:p>
<w:pPr><w:pStyle w:val="Normal"/></w:pPr>
<w:r><w:t xml:space="preserve">of Israel, and rebelled after his death (1 Kings iii. 4, 5).</w:t></w:r>
</w:p>
<w:p>
<w:pPr><w:pStyle w:val="Normal"/></w:pPr>
<w:r><w:t xml:space="preserve">Though the chronology of the period is somewhat uncertain, the</w:t></w:r>
</w:p>
<w:p>
<w:pPr><w:pStyle w:val="Normal"/></w:pPr>
<w:r><w:t xml:space="preserve">date must be in the first half of the 9th century B.C. It</w:t></w:r>
</w:p>
<w:p>
<w:pPr><w:pStyle w:val="Normal"/></w:pPr>
<w:r><w:t xml:space="preserve">is to be remembered, however, that important as this monument</w:t></w:r>
</w:p>
<w:p>
<w:pPr><w:pStyle w:val="Normal"/></w:pPr>
<w:r><w:t xml:space="preserve">is for the development of the alphabet, and because it can</w:t></w:r>
</w:p>
<w:p>
<w:pPr><w:pStyle w:val="Normal"/></w:pPr>
<w:r><w:t xml:space="preserve">be dated with tolerable accuracy, the dialect and alphabet</w:t></w:r>
</w:p>
<w:p>
<w:pPr><w:pStyle w:val="Normal"/></w:pPr>
<w:r><w:t xml:space="preserve">of Moab are not in themselves proof for the Phoenician forms</w:t></w:r>
</w:p>
<w:p>
<w:pPr><w:pStyle w:val="Normal"/></w:pPr>
<w:r><w:t xml:space="preserve">which influenced the peoples of the Aegean, and through them</w:t></w:r>
</w:p>
<w:p>
<w:pPr><w:pStyle w:val="Normal"/></w:pPr>
<w:r><w:t xml:space="preserve">Western Europe.  The fragment of a bronze bowl discovered</w:t></w:r>
</w:p>
<w:p>
<w:pPr><w:pStyle w:val="Normal"/></w:pPr>
<w:r><w:t xml:space="preserve">in Cyprus in 1876, which bears round its edge an inscription</w:t></w:r>
</w:p>
<w:p>
<w:pPr><w:pStyle w:val="Normal"/></w:pPr>
<w:r><w:t xml:space="preserve">dedicating it to Baal-Lebanon as a gift from a servant of</w:t></w:r>
</w:p>
<w:p>
<w:pPr><w:pStyle w:val="Normal"/></w:pPr>
<w:r><w:t xml:space="preserve">Hiram, king of the Sidonians, is probably the oldest Phoenician</w:t></w:r>
</w:p>
<w:p>
<w:pPr><w:pStyle w:val="Normal"/></w:pPr>
<w:r><w:t xml:space="preserve">document which we possess.  This bowl, though perhaps a</w:t></w:r>
</w:p>
<w:p>
<w:pPr><w:pStyle w:val="Normal"/></w:pPr>
<w:r><w:t xml:space="preserve">little earlier than the Moabite stone, in all probability</w:t></w:r>
</w:p>
<w:p>
<w:pPr><w:pStyle w:val="Normal"/></w:pPr>
<w:r><w:t xml:space="preserve">is not more than a century older, while some authorities</w:t></w:r>
</w:p>
<w:p>
<w:pPr><w:pStyle w:val="Normal"/></w:pPr>
<w:r><w:t xml:space="preserve">think it is even later.  The earliest alphabet consisted</w:t></w:r>
</w:p>
<w:p>
<w:pPr><w:pStyle w:val="Normal"/></w:pPr>
<w:r><w:t xml:space="preserve">of twenty-two letters, and bears a very close resemblance</w:t></w:r>
</w:p>
<w:p>
<w:pPr><w:pStyle w:val="Normal"/></w:pPr>
<w:r><w:t xml:space="preserve">to the earliest Green alphabet from A to T. The symbols</w:t></w:r>
</w:p>
<w:p>
<w:pPr><w:pStyle w:val="Normal"/></w:pPr>
<w:r><w:t xml:space="preserve">in the Greek alphabet from Y to O, or in the numerical</w:t></w:r>
</w:p>
<w:p>
<w:pPr><w:pStyle w:val="Normal"/></w:pPr>
<w:r><w:t xml:space="preserve">alphabet to @, are not found in the Phoenician alphabet.</w:t></w:r>
</w:p>
<w:p>
<w:pPr><w:pStyle w:val="Normal"/></w:pPr>
<w:r><w:t xml:space="preserve">As already mentioned, the twenty-two symbols of the Phoenician</w:t></w:r>
</w:p>
<w:p>
<w:pPr><w:pStyle w:val="Normal"/></w:pPr>
<w:r><w:t xml:space="preserve">alphabet indicate consonantal sounds only.  Greek did not possess</w:t></w:r>
</w:p>
<w:p>
<w:pPr><w:pStyle w:val="Normal"/></w:pPr>
<w:r><w:t xml:space="preserve">so many consonants.  The Phoenician alphabet possessed many</w:t></w:r>
</w:p>
<w:p>
<w:pPr><w:pStyle w:val="Normal"/></w:pPr>
<w:r><w:t xml:space="preserve">more aspirates than were required in Greek, which tended more</w:t></w:r>
</w:p>
<w:p>
<w:pPr><w:pStyle w:val="Normal"/></w:pPr>
<w:r><w:t xml:space="preserve">and more to drop all its aspirates.  Before history begins it</w:t></w:r>
</w:p>
<w:p>
<w:pPr><w:pStyle w:val="Normal"/></w:pPr>
<w:r><w:t xml:space="preserve">had also lost, except sporadically in out-of-the-way dialects,</w:t></w:r>
</w:p>
<w:p>
<w:pPr><w:pStyle w:val="Normal"/></w:pPr>
<w:r><w:t xml:space="preserve">the semi-vowel i (approximately English y.) It therefore</w:t></w:r>
</w:p>
<w:p>
<w:pPr><w:pStyle w:val="Normal"/></w:pPr>
<w:r><w:t xml:space="preserve">made the aspirates A, E, O and the semi-vowel into</w:t></w:r>
</w:p>
<w:p>
<w:pPr><w:pStyle w:val="Normal"/></w:pPr>
<w:r><w:t xml:space="preserve">vowels, and apparently converted the semi-vowel Y = w into</w:t></w:r>
</w:p>
<w:p>
<w:pPr><w:pStyle w:val="Normal"/></w:pPr>
<w:r><w:t xml:space="preserve">the vowel Y = u, which it placed at the end of the alphabet</w:t></w:r>
</w:p>
<w:p>
<w:pPr><w:pStyle w:val="Normal"/></w:pPr>
<w:r><w:t xml:space="preserve">and substituted for it as the sixth symbol of the alphabet</w:t></w:r>
</w:p>
<w:p>
<w:pPr><w:pStyle w:val="Normal"/></w:pPr>
<w:r><w:t xml:space="preserve">the letter F with the old value of w.  The superfluous</w:t></w:r>
</w:p>
<w:p>
<w:pPr><w:pStyle w:val="Normal"/></w:pPr>
<w:r><w:t xml:space="preserve">sibilants were also adapted in various ways (see below).</w:t></w:r>
</w:p>
<w:p>
<w:pPr><w:pStyle w:val="Normal"/></w:pPr>
<w:r><w:t xml:space="preserve">Relationship of Greek to Phoenician</w:t></w:r>
</w:p>
<w:p>
<w:pPr><w:pStyle w:val="Normal"/></w:pPr>
<w:r><w:t xml:space="preserve">The discovery of a large number of very archaic inscriptions</w:t></w:r>
</w:p>
<w:p>
<w:pPr><w:pStyle w:val="Normal"/></w:pPr>
<w:r><w:t xml:space="preserve">in the island of Thera, which was made by Freiherr Hiller von</w:t></w:r>
</w:p>
<w:p>
<w:pPr><w:pStyle w:val="Normal"/></w:pPr>
<w:r><w:t xml:space="preserve">Gartringen in 1896, has shown that the earliest Greek alphabet</w:t></w:r>
</w:p>
<w:p>
<w:pPr><w:pStyle w:val="Normal"/></w:pPr>
<w:r><w:t xml:space="preserve">was even more like the Phoenician than had been heretofore</w:t></w:r>
</w:p>
<w:p>
<w:pPr><w:pStyle w:val="Normal"/></w:pPr>
<w:r><w:t xml:space="preserve">believed.  The symbol for b in Thera (@) is nearer than</w:t></w:r>
</w:p>
<w:p>
<w:pPr><w:pStyle w:val="Normal"/></w:pPr>
<w:r><w:t xml:space="preserve">any previously known to the Semitic letter (@) though, as not</w:t></w:r>
</w:p>
<w:p>
<w:pPr><w:pStyle w:val="Normal"/></w:pPr>
<w:r><w:t xml:space="preserve">infrequently happens in the transference of a symbol from one</w:t></w:r>
</w:p>
<w:p>
<w:pPr><w:pStyle w:val="Normal"/></w:pPr>
<w:r><w:t xml:space="preserve">people to another, its position is inverted--a fate which in</w:t></w:r>
</w:p>
<w:p>
<w:pPr><w:pStyle w:val="Normal"/></w:pPr>
<w:r><w:t xml:space="preserve">this alphabet has befallen also l (Semitic @, Thera @), and</w:t></w:r>
</w:p>
<w:p>
<w:pPr><w:pStyle w:val="Normal"/></w:pPr>
<w:r><w:t xml:space="preserve">possibly s (Semitic @, Thera @).  The era of excavation</w:t></w:r>
</w:p>
<w:p>
<w:pPr><w:pStyle w:val="Normal"/></w:pPr>
<w:r><w:t xml:space="preserve">initiated by Dr Schliemann on the grand scale has increased</w:t></w:r>
</w:p>
<w:p>
<w:pPr><w:pStyle w:val="Normal"/></w:pPr>
<w:r><w:t xml:space="preserve">our knowledge of Greek inscriptions beyond anything that was</w:t></w:r>
</w:p>
<w:p>
<w:pPr><w:pStyle w:val="Normal"/></w:pPr>
<w:r><w:t xml:space="preserve">earlier dreamt of.  Besides the excavations of Athens, Delos,</w:t></w:r>
</w:p>
<w:p>
<w:pPr><w:pStyle w:val="Normal"/></w:pPr>
<w:r><w:t xml:space="preserve">Epidaurus and Delphi, the results of which are most important</w:t></w:r>
</w:p>
<w:p>
<w:pPr><w:pStyle w:val="Normal"/></w:pPr>
<w:r><w:t xml:space="preserve">for the 5th century B.C. and later. the exploration of the</w:t></w:r>
</w:p>
<w:p>
<w:pPr><w:pStyle w:val="Normal"/></w:pPr>
<w:r><w:t xml:space="preserve">sites of Olympia, of the Heraeum near Argos, of Naucratis in</w:t></w:r>
</w:p>
<w:p>
<w:pPr><w:pStyle w:val="Normal"/></w:pPr>
<w:r><w:t xml:space="preserve">Egypt, and of various Cretan towns (above all the ancient</w:t></w:r>
</w:p>
<w:p>
<w:pPr><w:pStyle w:val="Normal"/></w:pPr>
<w:r><w:t xml:space="preserve">Gortyn), has revolutionized our knowledge of the archaic</w:t></w:r>
</w:p>
<w:p>
<w:pPr><w:pStyle w:val="Normal"/></w:pPr>
<w:r><w:t xml:space="preserve">alphabets of Greece.  We can now see how long and laborious</w:t></w:r>
</w:p>
<w:p>
<w:pPr><w:pStyle w:val="Normal"/></w:pPr>
<w:r><w:t xml:space="preserve">was the process by which the Greeks attained to uniformity</w:t></w:r>
</w:p>
<w:p>
<w:pPr><w:pStyle w:val="Normal"/></w:pPr>
<w:r><w:t xml:space="preserve">in writing and in numeration.  In no field, perhaps, was the</w:t></w:r>
</w:p>
<w:p>
<w:pPr><w:pStyle w:val="Normal"/></w:pPr>
<w:r><w:t xml:space="preserve">centrifugal tendency of the Greeks more persistent than in such</w:t></w:r>
</w:p>
<w:p>
<w:pPr><w:pStyle w:val="Normal"/></w:pPr>
<w:r><w:t xml:space="preserve">matters.  In numeration, indeed, uniformity was not attained</w:t></w:r>
</w:p>
<w:p>
<w:pPr><w:pStyle w:val="Normal"/></w:pPr>
<w:r><w:t xml:space="preserve">till at least the 2nd century of the Christian era.  The</w:t></w:r>
</w:p>
<w:p>
<w:pPr><w:pStyle w:val="Normal"/></w:pPr>
<w:r><w:t xml:space="preserve">differentiation of the local alphabets is found from the very</w:t></w:r>
</w:p>
<w:p>
<w:pPr><w:pStyle w:val="Normal"/></w:pPr>
<w:r><w:t xml:space="preserve">beginning of our records: Unfortunately, as yet no record is</w:t></w:r>
</w:p>
<w:p>
<w:pPr><w:pStyle w:val="Normal"/></w:pPr>
<w:r><w:t xml:space="preserve">preserved which can with any probabilily be dated earlier than</w:t></w:r>
</w:p>
<w:p>
<w:pPr><w:pStyle w:val="Normal"/></w:pPr>
<w:r><w:t xml:space="preserve">the 7th century B.C., and the Phoenician influence had by</w:t></w:r>
</w:p>
<w:p>
<w:pPr><w:pStyle w:val="Normal"/></w:pPr>
<w:r><w:t xml:space="preserve">then nearly ceased.  How long this influence lasted we cannot</w:t></w:r>
</w:p>
<w:p>
<w:pPr><w:pStyle w:val="Normal"/></w:pPr>
<w:r><w:t xml:space="preserve">tell.  If in Crete a system of writing of an entirely different</w:t></w:r>
</w:p>
<w:p>
<w:pPr><w:pStyle w:val="Normal"/></w:pPr>
<w:r><w:t xml:space="preserve">nature had been developed seven or eight centuries before,</w:t></w:r>
</w:p>
<w:p>
<w:pPr><w:pStyle w:val="Normal"/></w:pPr>
<w:r><w:t xml:space="preserve">there must have been some very important reason for the</w:t></w:r>
</w:p>
<w:p>
<w:pPr><w:pStyle w:val="Normal"/></w:pPr>
<w:r><w:t xml:space="preserve">entire abandonment of the old method and the adoption of a</w:t></w:r>
</w:p>
<w:p>
<w:pPr><w:pStyle w:val="Normal"/></w:pPr>
<w:r><w:t xml:space="preserve">new.  In Crete, at least, the excavations show that the</w:t></w:r>
</w:p>
<w:p>
<w:pPr><w:pStyle w:val="Normal"/></w:pPr>
<w:r><w:t xml:space="preserve">old civilization must have ended in a social and political</w:t></w:r>
</w:p>
<w:p>
<w:pPr><w:pStyle w:val="Normal"/></w:pPr>
<w:r><w:t xml:space="preserve">cataclysm.  The magnificent palace of Minos--there seems no</w:t></w:r>
</w:p>
<w:p>
<w:pPr><w:pStyle w:val="Normal"/></w:pPr>
<w:r><w:t xml:space="preserve">reason to withhold from it the name of the great prince whom</w:t></w:r>
</w:p>
<w:p>
<w:pPr><w:pStyle w:val="Normal"/></w:pPr>
<w:r><w:t xml:space="preserve">Thucydides recognized as the first to hold the empire of the</w:t></w:r>
</w:p>
<w:p>
<w:pPr><w:pStyle w:val="Normal"/></w:pPr>
<w:r><w:t xml:space="preserve">sea--perished by the flames, and it evidently had been plundered</w:t></w:r>
</w:p>
<w:p>
<w:pPr><w:pStyle w:val="Normal"/></w:pPr>
<w:r><w:t xml:space="preserve">beforehand of everything that a conqueror would regard as</w:t></w:r>
</w:p>
<w:p>
<w:pPr><w:pStyle w:val="Normal"/></w:pPr>
<w:r><w:t xml:space="preserve">valuable.  The only force in Greek history which we know</w:t></w:r>
</w:p>
<w:p>
<w:pPr><w:pStyle w:val="Normal"/></w:pPr>
<w:r><w:t xml:space="preserve">that could have produced this change was that of the Dorian</w:t></w:r>
</w:p>
<w:p>
<w:pPr><w:pStyle w:val="Normal"/></w:pPr>
<w:r><w:t xml:space="preserve">conquest.  As everywhere in the Peloponnese, except at Argos,</w:t></w:r>
</w:p>
<w:p>
<w:pPr><w:pStyle w:val="Normal"/></w:pPr>
<w:r><w:t xml:space="preserve">there seems to have been a sudden break with the earlier</w:t></w:r>
</w:p>
<w:p>
<w:pPr><w:pStyle w:val="Normal"/></w:pPr>
<w:r><w:t xml:space="preserve">civilization, which can have been occasioned only by the</w:t></w:r>
</w:p>
<w:p>
<w:pPr><w:pStyle w:val="Normal"/></w:pPr>
<w:r><w:t xml:space="preserve">semi-barbarous Dorian tribes, so the same result seems to</w:t></w:r>
</w:p>
<w:p>
<w:pPr><w:pStyle w:val="Normal"/></w:pPr>
<w:r><w:t xml:space="preserve">have followed from the same cause in Thera.  The Dorians</w:t></w:r>
</w:p>
<w:p>
<w:pPr><w:pStyle w:val="Normal"/></w:pPr>
<w:r><w:t xml:space="preserve">apparently were without an alphabet, and consequently when</w:t></w:r>
</w:p>
<w:p>
<w:pPr><w:pStyle w:val="Normal"/></w:pPr>
<w:r><w:t xml:space="preserve">Phoenician traders and pirates occupied the place left</w:t></w:r>
</w:p>
<w:p>
<w:pPr><w:pStyle w:val="Normal"/></w:pPr>
<w:r><w:t xml:space="preserve">vacant by the downfall of Minos&apos;s empire, the people of the</w:t></w:r>
</w:p>
<w:p>
<w:pPr><w:pStyle w:val="Normal"/></w:pPr>
<w:r><w:t xml:space="preserve">island, and of the sea coasts generally, adopted from them</w:t></w:r>
</w:p>
<w:p>
<w:pPr><w:pStyle w:val="Normal"/></w:pPr>
<w:r><w:t xml:space="preserve">the Phoenician alphabet.8 The Greeks who migrated to Cyprus,</w:t></w:r>
</w:p>
<w:p>
<w:pPr><w:pStyle w:val="Normal"/></w:pPr>
<w:r><w:t xml:space="preserve">possibly as the result of the Dorian invasion, adopted a</w:t></w:r>
</w:p>
<w:p>
<w:pPr><w:pStyle w:val="Normal"/></w:pPr>
<w:r><w:t xml:space="preserve">syllabary, not an alphabet (see Plate; also WRITING.)</w:t></w:r>
</w:p>
<w:p>
<w:pPr><w:pStyle w:val="Normal"/></w:pPr>
<w:r><w:t xml:space="preserve">That the alphabet was borrowed and adapted independently by</w:t></w:r>
</w:p>
<w:p>
<w:pPr><w:pStyle w:val="Normal"/></w:pPr>
<w:r><w:t xml:space="preserve">different places not widely separated, and that the earliest</w:t></w:r>
</w:p>
<w:p>
<w:pPr><w:pStyle w:val="Normal"/></w:pPr>
<w:r><w:t xml:space="preserve">Greek alphabets did not spread from one or a few centres</w:t></w:r>
</w:p>
<w:p>
<w:pPr><w:pStyle w:val="Normal"/></w:pPr>
<w:r><w:t xml:space="preserve">in Greek lands, seem clear (a) from the different Greek</w:t></w:r>
</w:p>
<w:p>
<w:pPr><w:pStyle w:val="Normal"/></w:pPr>
<w:r><w:t xml:space="preserve">sounds for which the Phoenician symbols were utilized; (b)</w:t></w:r>
</w:p>
<w:p>
<w:pPr><w:pStyle w:val="Normal"/></w:pPr>
<w:r><w:t xml:space="preserve">from the different symbols which were employed to represent</w:t></w:r>
</w:p>
<w:p>
<w:pPr><w:pStyle w:val="Normal"/></w:pPr>
<w:r><w:t xml:space="preserve">sounds which the Phoenicians did not possess, and for which,</w:t></w:r>
</w:p>
<w:p>
<w:pPr><w:pStyle w:val="Normal"/></w:pPr>
<w:r><w:t xml:space="preserve">therefore, they had no symbols.  The Phoenician alphabet was</w:t></w:r>
</w:p>
<w:p>
<w:pPr><w:pStyle w:val="Normal"/></w:pPr>
<w:r><w:t xml:space="preserve">an alphabet of consonants only, but all Greek alphabets as</w:t></w:r>
</w:p>
<w:p>
<w:pPr><w:pStyle w:val="Normal"/></w:pPr>
<w:r><w:t xml:space="preserve">yet known agree in employing A, E, I, O, Y as vowels.  On</w:t></w:r>
</w:p>
<w:p>
<w:pPr><w:pStyle w:val="Normal"/></w:pPr>
<w:r><w:t xml:space="preserve">the other band, a table of Greek alphabets9 will show how</w:t></w:r>
</w:p>
<w:p>
<w:pPr><w:pStyle w:val="Normal"/></w:pPr>
<w:r><w:t xml:space="preserve">widely divergent the symbols for the same sound were.  Except</w:t></w:r>
</w:p>
<w:p>
<w:pPr><w:pStyle w:val="Normal"/></w:pPr>
<w:r><w:t xml:space="preserve">for a single Attic inscription (see Plate), the alphabets of</w:t></w:r>
</w:p>
<w:p>
<w:pPr><w:pStyle w:val="Normal"/></w:pPr>
<w:r><w:t xml:space="preserve">Thera and of Corinth are the oldest Greek alphabets which we</w:t></w:r>
</w:p>
<w:p>
<w:pPr><w:pStyle w:val="Normal"/></w:pPr>
<w:r><w:t xml:space="preserve">possess.  Yet at Corinth alongside @), which is found for</w:t></w:r>
</w:p>
<w:p>
<w:pPr><w:pStyle w:val="Normal"/></w:pPr>
<w:r><w:t xml:space="preserve">the so-called spurious diphthong ei (i.e. the Attic ei,</w:t></w:r>
</w:p>
<w:p>
<w:pPr><w:pStyle w:val="Normal"/></w:pPr>
<w:r><w:t xml:space="preserve">which does not represent an Indo-European ei, but arises by</w:t></w:r>
</w:p>
<w:p>
<w:pPr><w:pStyle w:val="Normal"/></w:pPr>
<w:r><w:t xml:space="preserve">contraction, as in fileite, or through the lengthening of</w:t></w:r>
</w:p>
<w:p>
<w:pPr><w:pStyle w:val="Normal"/></w:pPr>
<w:r><w:t xml:space="preserve">the vowel sound as the result of the loss of a consonant, as</w:t></w:r>
</w:p>
<w:p>
<w:pPr><w:pStyle w:val="Normal"/></w:pPr>
<w:r><w:t xml:space="preserve">in eiremenos for fefremenos) the short e sound is</w:t></w:r>
</w:p>
<w:p>
<w:pPr><w:pStyle w:val="Normal"/></w:pPr>
<w:r><w:t xml:space="preserve">represented by B; i is found at Corinth in its oldest form</w:t></w:r>
</w:p>
<w:p>
<w:pPr><w:pStyle w:val="Normal"/></w:pPr>
<w:r><w:t xml:space="preserve">@, and also as S, while in Thera it is @.  In Thera the w</w:t></w:r>
</w:p>
<w:p>
<w:pPr><w:pStyle w:val="Normal"/></w:pPr>
<w:r><w:t xml:space="preserve">sound of digamma (f) was entirely lost, and therefore is not</w:t></w:r>
</w:p>
<w:p>
<w:pPr><w:pStyle w:val="Normal"/></w:pPr>
<w:r><w:t xml:space="preserve">represented.  Both Thera and Corinth employ in the earliest</w:t></w:r>
</w:p>
<w:p>
<w:pPr><w:pStyle w:val="Normal"/></w:pPr>
<w:r><w:t xml:space="preserve">inscriptions @ for z, not x, though in both alphabets the</w:t></w:r>
</w:p>
<w:p>
<w:pPr><w:pStyle w:val="Normal"/></w:pPr>
<w:r><w:t xml:space="preserve">ordinary use as x is adopted, no doubt through the influence</w:t></w:r>
</w:p>
<w:p>
<w:pPr><w:pStyle w:val="Normal"/></w:pPr>
<w:r><w:t xml:space="preserve">of trade with other states.  On the other hand. at Cleonae.</w:t></w:r>
</w:p>
<w:p>
<w:pPr><w:pStyle w:val="Normal"/></w:pPr>
<w:r><w:t xml:space="preserve">which is distant not more than 8 or 9 m. from Corinth, an</w:t></w:r>
</w:p>
<w:p>
<w:pPr><w:pStyle w:val="Normal"/></w:pPr>
<w:r><w:t xml:space="preserve">ancient inscription written boustrofedon has recently been</w:t></w:r>
</w:p>
<w:p>
<w:pPr><w:pStyle w:val="Normal"/></w:pPr>
<w:r><w:t xml:space="preserve">discovered, which shows that. though Cleonae for B wrote</w:t></w:r>
</w:p>
<w:p>
<w:pPr><w:pStyle w:val="Normal"/></w:pPr>
<w:r><w:t xml:space="preserve">@, like the Corinthian @, and, as at Corinth, wrote @ for</w:t></w:r>
</w:p>
<w:p>
<w:pPr><w:pStyle w:val="Normal"/></w:pPr>
<w:r><w:t xml:space="preserve">a vowel sound, the vowel thus represented was not short and</w:t></w:r>
</w:p>
<w:p>
<w:pPr><w:pStyle w:val="Normal"/></w:pPr>
<w:r><w:t xml:space="preserve">long e (e and e) as at Corinth, but e only, as in</w:t></w:r>
</w:p>
<w:p>
<w:pPr><w:pStyle w:val="Normal"/></w:pPr>
<w:r><w:t xml:space="preserve">@ (chrema me.) Here @ represents e, and the spurious</w:t></w:r>
</w:p>
<w:p>
<w:pPr><w:pStyle w:val="Normal"/></w:pPr>
<w:r><w:t xml:space="preserve">diphthong is represented by ei, as in @ (eimen, Doric</w:t></w:r>
</w:p>
<w:p>
<w:pPr><w:pStyle w:val="Normal"/></w:pPr>
<w:r><w:t xml:space="preserve">infinitive = einai), a form which shows that i has at</w:t></w:r>
</w:p>
<w:p>
<w:pPr><w:pStyle w:val="Normal"/></w:pPr>
<w:r><w:t xml:space="preserve">Cleonae the more modern form as distinguished from the Corinthian</w:t></w:r>
</w:p>
<w:p>
<w:pPr><w:pStyle w:val="Normal"/></w:pPr>
<w:r><w:t xml:space="preserve">Regarding three other questions controversy still rages.</w:t></w:r>
</w:p>
<w:p>
<w:pPr><w:pStyle w:val="Normal"/></w:pPr>
<w:r><w:t xml:space="preserve">These are: (a) how Greek utilized the four sibilants (Shin,</w:t></w:r>
</w:p>
<w:p>
<w:pPr><w:pStyle w:val="Normal"/></w:pPr>
<w:r><w:t xml:space="preserve">Samech, Zain and Zade), which it rook over from the Phoenician;</w:t></w:r>
</w:p>
<w:p>
<w:pPr><w:pStyle w:val="Normal"/></w:pPr>
<w:r><w:t xml:space="preserve">(b) what was the history of development in the symbols</w:t></w:r>
</w:p>
<w:p>
<w:pPr><w:pStyle w:val="Normal"/></w:pPr>
<w:r><w:t xml:space="preserve">for f, ch, ps, o (the history of x belongs to both</w:t></w:r>
</w:p>
<w:p>
<w:pPr><w:pStyle w:val="Normal"/></w:pPr>
<w:r><w:t xml:space="preserve">heads); (c) the history of the symbol for the digamma f.</w:t></w:r>
</w:p>
<w:p>
<w:pPr><w:pStyle w:val="Normal"/></w:pPr>
<w:r><w:t xml:space="preserve">Greek use of Phoenician sibilants.</w:t></w:r>
</w:p>
<w:p>
<w:pPr><w:pStyle w:val="Normal"/></w:pPr>
<w:r><w:t xml:space="preserve">In the Phoenician alphabet Zain was the seventh letter, occupying</w:t></w:r>
</w:p>
<w:p>
<w:pPr><w:pStyle w:val="Normal"/></w:pPr>
<w:r><w:t xml:space="preserve">the same position and having the same form approximately</w:t></w:r>
</w:p>
<w:p>
<w:pPr><w:pStyle w:val="Normal"/></w:pPr>
<w:r><w:t xml:space="preserve">(@) as the early Greek Z, while in pronunciation it was</w:t></w:r>
</w:p>
<w:p>
<w:pPr><w:pStyle w:val="Normal"/></w:pPr>
<w:r><w:t xml:space="preserve">a, voiced s-sound; Samech (@) followed the symbol for n</w:t></w:r>
</w:p>
<w:p>
<w:pPr><w:pStyle w:val="Normal"/></w:pPr>
<w:r><w:t xml:space="preserve">and was the ordinary s-sound, though, as we have seen, it</w:t></w:r>
</w:p>
<w:p>
<w:pPr><w:pStyle w:val="Normal"/></w:pPr>
<w:r><w:t xml:space="preserve">is in different Greek slates at the earliest period z as</w:t></w:r>
</w:p>
<w:p>
<w:pPr><w:pStyle w:val="Normal"/></w:pPr>
<w:r><w:t xml:space="preserve">well as x; afier the symbol for p came Zade (@), which</w:t></w:r>
</w:p>
<w:p>
<w:pPr><w:pStyle w:val="Normal"/></w:pPr>
<w:r><w:t xml:space="preserve">was a strong palatal s, though in name it corresponds to</w:t></w:r>
</w:p>
<w:p>
<w:pPr><w:pStyle w:val="Normal"/></w:pPr>
<w:r><w:t xml:space="preserve">the Greek zera: while lastly Shin (@ follows rhe symbol</w:t></w:r>
</w:p>
<w:p>
<w:pPr><w:pStyle w:val="Normal"/></w:pPr>
<w:r><w:t xml:space="preserve">for r, and was an sh-sound.  The Greek name for the</w:t></w:r>
</w:p>
<w:p>
<w:pPr><w:pStyle w:val="Normal"/></w:pPr>
<w:r><w:t xml:space="preserve">sibilant (sigma) may simply mean the hissing letter and be</w:t></w:r>
</w:p>
<w:p>
<w:pPr><w:pStyle w:val="Normal"/></w:pPr>
<w:r><w:t xml:space="preserve">a derivative from sizo; many authorities, however, hold that</w:t></w:r>
</w:p>
<w:p>
<w:pPr><w:pStyle w:val="Normal"/></w:pPr>
<w:r><w:t xml:space="preserve">it is a corruption of the Phoenician Samech.  Unfortunately,</w:t></w:r>
</w:p>
<w:p>
<w:pPr><w:pStyle w:val="Normal"/></w:pPr>
<w:r><w:t xml:space="preserve">it is not clear how many sibilants ere distinguished in Greek</w:t></w:r>
</w:p>
<w:p>
<w:pPr><w:pStyle w:val="Normal"/></w:pPr>
<w:r><w:t xml:space="preserve">pronunciation, nor over what areas a particular pronunciation</w:t></w:r>
</w:p>
<w:p>
<w:pPr><w:pStyle w:val="Normal"/></w:pPr>
<w:r><w:t xml:space="preserve">extended.  There is, however, considerable evidence of the view</w:t></w:r>
</w:p>
<w:p>
<w:pPr><w:pStyle w:val="Normal"/></w:pPr>
<w:r><w:t xml:space="preserve">that Greek ss representing the sound arising from ky, ch</w:t></w:r>
</w:p>
<w:p>
<w:pPr><w:pStyle w:val="Normal"/></w:pPr>
<w:r><w:t xml:space="preserve">y, ty, thy was pronounced as sh (s), while z</w:t></w:r>
</w:p>
<w:p>
<w:pPr><w:pStyle w:val="Normal"/></w:pPr>
<w:r><w:t xml:space="preserve">representing gy, dy was pronounced in some districts zh</w:t></w:r>
</w:p>
<w:p>
<w:pPr><w:pStyle w:val="Normal"/></w:pPr>
<w:r><w:t xml:space="preserve">(</w:t></w:r>
</w:p>
<w:p>
<w:pPr><w:pStyle w:val="Normal"/></w:pPr>
<w:r><w:t xml:space="preserve">***Possible erro</w:t></w:r>
</w:p>
<w:p>
<w:pPr><w:pStyle w:val="Normal"/></w:pPr>
<w:r><w:t xml:space="preserve">On an inscriotion of Halicarnassus, a town which stood in</w:t></w:r>
</w:p>
<w:p>
<w:pPr><w:pStyle w:val="Normal"/></w:pPr>
<w:r><w:t xml:space="preserve">ancient Carian territory, the sound of ss in &apos;Alikarnasseon</w:t></w:r>
</w:p>
<w:p>
<w:pPr><w:pStyle w:val="Normal"/></w:pPr>
<w:r><w:t xml:space="preserve">is represented by @, as it is also in the Carian name</w:t></w:r>
</w:p>
<w:p>
<w:pPr><w:pStyle w:val="Normal"/></w:pPr>
<w:r><w:t xml:space="preserve">Panyassis (Panna Tios, genitive), though the ordinary</w:t></w:r>
</w:p>
<w:p>
<w:pPr><w:pStyle w:val="Normal"/></w:pPr>
<w:r><w:t xml:space="preserve">@@ is also found in the same inscription.  The same</w:t></w:r>
</w:p>
<w:p>
<w:pPr><w:pStyle w:val="Normal"/></w:pPr>
<w:r><w:t xml:space="preserve">variation occurs at the neighbouring Teos and at Ephesus,</w:t></w:r>
</w:p>
<w:p>
<w:pPr><w:pStyle w:val="Normal"/></w:pPr>
<w:r><w:t xml:space="preserve">while the coins of Mesembria in Thrace show regularly @ and</w:t></w:r>
</w:p>
<w:p>
<w:pPr><w:pStyle w:val="Normal"/></w:pPr>
<w:r><w:t xml:space="preserve">@, where @ represents the sound which resulted from the</w:t></w:r>
</w:p>
<w:p>
<w:pPr><w:pStyle w:val="Normal"/></w:pPr>
<w:r><w:t xml:space="preserve">fusion of thy, and which appears in Homer as ss in</w:t></w:r>
</w:p>
<w:p>
<w:pPr><w:pStyle w:val="Normal"/></w:pPr>
<w:r><w:t xml:space="preserve">messos, while in later Green it becomes mesos.12.</w:t></w:r>
</w:p>
<w:p>
<w:pPr><w:pStyle w:val="Normal"/></w:pPr>
<w:r><w:t xml:space="preserve">This symbol @ is in all probability the early form of the</w:t></w:r>
</w:p>
<w:p>
<w:pPr><w:pStyle w:val="Normal"/></w:pPr>
<w:r><w:t xml:space="preserve">letter which was known to the Greeks as San (san) and in</w:t></w:r>
</w:p>
<w:p>
<w:pPr><w:pStyle w:val="Normal"/></w:pPr>
<w:r><w:t xml:space="preserve">modern times as Sampi, and which is utilized as the numeral</w:t></w:r>
</w:p>
<w:p>
<w:pPr><w:pStyle w:val="Normal"/></w:pPr>
<w:r><w:t xml:space="preserve">for 900 in the shape @ According to Herodotus (i. 139), San</w:t></w:r>
</w:p>
<w:p>
<w:pPr><w:pStyle w:val="Normal"/></w:pPr>
<w:r><w:t xml:space="preserve">was only the Dorian name for the letter which the Ionians</w:t></w:r>
</w:p>
<w:p>
<w:pPr><w:pStyle w:val="Normal"/></w:pPr>
<w:r><w:t xml:space="preserve">called Sigma.  This would bring it into connexion with the</w:t></w:r>
</w:p>
<w:p>
<w:pPr><w:pStyle w:val="Normal"/></w:pPr>
<w:r><w:t xml:space="preserve">Phoenician @ (Shin), which, turned through a right angle,</w:t></w:r>
</w:p>
<w:p>
<w:pPr><w:pStyle w:val="Normal"/></w:pPr>
<w:r><w:t xml:space="preserve">is possibly the Greek S, though some forms of Zade on</w:t></w:r>
</w:p>
<w:p>
<w:pPr><w:pStyle w:val="Normal"/></w:pPr>
<w:r><w:t xml:space="preserve">old Hebrew coins and gems (@) equally resemble the Greek</w:t></w:r>
</w:p>
<w:p>
<w:pPr><w:pStyle w:val="Normal"/></w:pPr>
<w:r><w:t xml:space="preserve">letter.  From other forms of Sade, however, the other early</w:t></w:r>
</w:p>
<w:p>
<w:pPr><w:pStyle w:val="Normal"/></w:pPr>
<w:r><w:t xml:space="preserve">form of s, viz. @, is probably derived.  The confusion</w:t></w:r>
</w:p>
<w:p>
<w:pPr><w:pStyle w:val="Normal"/></w:pPr>
<w:r><w:t xml:space="preserve">is thus extreme: the name Zade assimilated in Greek to the</w:t></w:r>
</w:p>
<w:p>
<w:pPr><w:pStyle w:val="Normal"/></w:pPr>
<w:r><w:t xml:space="preserve">names eta and qhra becomes zeta, though the form is</w:t></w:r>
</w:p>
<w:p>
<w:pPr><w:pStyle w:val="Normal"/></w:pPr>
<w:r><w:t xml:space="preserve">that of Zain; the name of Samech is possibly the origin of</w:t></w:r>
</w:p>
<w:p>
<w:pPr><w:pStyle w:val="Normal"/></w:pPr>
<w:r><w:t xml:space="preserve">Sigma, while the form of Samech is that of X which has</w:t></w:r>
</w:p>
<w:p>
<w:pPr><w:pStyle w:val="Normal"/></w:pPr>
<w:r><w:t xml:space="preserve">not taken over a Phoenician name. lt is probable that the</w:t></w:r>
</w:p>
<w:p>
<w:pPr><w:pStyle w:val="Normal"/></w:pPr>
<w:r><w:t xml:space="preserve">form @ is an abbreviation in writing from right to left</w:t></w:r>
</w:p>
<w:p>
<w:pPr><w:pStyle w:val="Normal"/></w:pPr>
<w:r><w:t xml:space="preserve">of the earlier @, and @ of the four stroke @.  That the</w:t></w:r>
</w:p>
<w:p>
<w:pPr><w:pStyle w:val="Normal"/></w:pPr>
<w:r><w:t xml:space="preserve">confusion of the sibilants was not coufined to the Greeks</w:t></w:r>
</w:p>
<w:p>
<w:pPr><w:pStyle w:val="Normal"/></w:pPr>
<w:r><w:t xml:space="preserve">only, but that pronunciation varied within a small area even</w:t></w:r>
</w:p>
<w:p>
<w:pPr><w:pStyle w:val="Normal"/></w:pPr>
<w:r><w:t xml:space="preserve">among the Semitic stock, is shown by the difficulty which the</w:t></w:r>
</w:p>
<w:p>
<w:pPr><w:pStyle w:val="Normal"/></w:pPr>
<w:r><w:t xml:space="preserve">Ephraimites found in pronouncing ``shibboleth&apos;&apos; (Judges xii. 6).</w:t></w:r>
</w:p>
<w:p>
<w:pPr><w:pStyle w:val="Normal"/></w:pPr>
<w:r><w:t xml:space="preserve">History of the digamma.</w:t></w:r>
</w:p>
<w:p>
<w:pPr><w:pStyle w:val="Normal"/></w:pPr>
<w:r><w:t xml:space="preserve">For the history of the additional symbols which are not</w:t></w:r>
</w:p>
<w:p>
<w:pPr><w:pStyle w:val="Normal"/></w:pPr>
<w:r><w:t xml:space="preserve">Phoenician, we must begin with @ There is no Greek alphabet</w:t></w:r>
</w:p>
<w:p>
<w:pPr><w:pStyle w:val="Normal"/></w:pPr>
<w:r><w:t xml:space="preserve">in which the symbol is not represented.  But the Phoenician</w:t></w:r>
</w:p>
<w:p>
<w:pPr><w:pStyle w:val="Normal"/></w:pPr>
<w:r><w:t xml:space="preserve">form corresponding to it is the consonant w, and occupies</w:t></w:r>
</w:p>
<w:p>
<w:pPr><w:pStyle w:val="Normal"/></w:pPr>
<w:r><w:t xml:space="preserve">the position of the Greek digamma as sixth in the series.</w:t></w:r>
</w:p>
<w:p>
<w:pPr><w:pStyle w:val="Normal"/></w:pPr>
<w:r><w:t xml:space="preserve">Whence did the Greeks obtain the digamma? The point is not</w:t></w:r>
</w:p>
<w:p>
<w:pPr><w:pStyle w:val="Normal"/></w:pPr>
<w:r><w:t xml:space="preserve">clear, but probably the Greeks acted here as they did in the</w:t></w:r>
</w:p>
<w:p>
<w:pPr><w:pStyle w:val="Normal"/></w:pPr>
<w:r><w:t xml:space="preserve">case of the vowel i and the consonant y, adopting the</w:t></w:r>
</w:p>
<w:p>
<w:pPr><w:pStyle w:val="Normal"/></w:pPr>
<w:r><w:t xml:space="preserve">consonant symbol for the vowel sound.  As, however, except in</w:t></w:r>
</w:p>
<w:p>
<w:pPr><w:pStyle w:val="Normal"/></w:pPr>
<w:r><w:t xml:space="preserve">Cyprus, Pamphylia and Argos, the only y sound which survived</w:t></w:r>
</w:p>
<w:p>
<w:pPr><w:pStyle w:val="Normal"/></w:pPr>
<w:r><w:t xml:space="preserve">in Greek-- the glide between i and another vowel as in</w:t></w:r>
</w:p>
<w:p>
<w:pPr><w:pStyle w:val="Normal"/></w:pPr>
<w:r><w:t xml:space="preserve">diia=diya--is never represented, there was no occasion</w:t></w:r>
</w:p>
<w:p>
<w:pPr><w:pStyle w:val="Normal"/></w:pPr>
<w:r><w:t xml:space="preserve">to use the Phoenician Jod in a double function.  With Vau</w:t></w:r>
</w:p>
<w:p>
<w:pPr><w:pStyle w:val="Normal"/></w:pPr>
<w:r><w:t xml:space="preserve">it was different; the u-sound existed in some form in all</w:t></w:r>
</w:p>
<w:p>
<w:pPr><w:pStyle w:val="Normal"/></w:pPr>
<w:r><w:t xml:space="preserve">dialects, the w-souud survived in many far into historical</w:t></w:r>
</w:p>
<w:p>
<w:pPr><w:pStyle w:val="Normal"/></w:pPr>
<w:r><w:t xml:space="preserve">times.  The Phoenician symbol having been adopted for the vowel</w:t></w:r>
</w:p>
<w:p>
<w:pPr><w:pStyle w:val="Normal"/></w:pPr>
<w:r><w:t xml:space="preserve">sound, whence came the new symbol @ or @ for the digamma?</w:t></w:r>
</w:p>
<w:p>
<w:pPr><w:pStyle w:val="Normal"/></w:pPr>
<w:r><w:t xml:space="preserve">Hitherto there have been two views.  Most authorities have</w:t></w:r>
</w:p>
<w:p>
<w:pPr><w:pStyle w:val="Normal"/></w:pPr>
<w:r><w:t xml:space="preserve">held that the new form was derived from E by dropping the</w:t></w:r>
</w:p>
<w:p>
<w:pPr><w:pStyle w:val="Normal"/></w:pPr>
<w:r><w:t xml:space="preserve">lowermost crossbar; some have held that it developed out of</w:t></w:r>
</w:p>
<w:p>
<w:pPr><w:pStyle w:val="Normal"/></w:pPr>
<w:r><w:t xml:space="preserve">the old Vau, a view which is not impossible in itself and</w:t></w:r>
</w:p>
<w:p>
<w:pPr><w:pStyle w:val="Normal"/></w:pPr>
<w:r><w:t xml:space="preserve">has the similar development in Aramaic (Tema) in its favour.</w:t></w:r>
</w:p>
<w:p>
<w:pPr><w:pStyle w:val="Normal"/></w:pPr>
<w:r><w:t xml:space="preserve">But as Dr Evans has found a form like the digamma among his</w:t></w:r>
</w:p>
<w:p>
<w:pPr><w:pStyle w:val="Normal"/></w:pPr>
<w:r><w:t xml:space="preserve">most recent types of symbols, and as we have no intermediate</w:t></w:r>
</w:p>
<w:p>
<w:pPr><w:pStyle w:val="Normal"/></w:pPr>
<w:r><w:t xml:space="preserve">forms which will prove the development of @ from @ ,</w:t></w:r>
</w:p>
<w:p>
<w:pPr><w:pStyle w:val="Normal"/></w:pPr>
<w:r><w:t xml:space="preserve">though the form found at Oaxos in Crete, viz. @ shows a form</w:t></w:r>
</w:p>
<w:p>
<w:pPr><w:pStyle w:val="Normal"/></w:pPr>
<w:r><w:t xml:space="preserve">sufficiently unlike @, it is necessary to suspend judgment.</w:t></w:r>
</w:p>
<w:p>
<w:pPr><w:pStyle w:val="Normal"/></w:pPr>
<w:r><w:t xml:space="preserve">Greek aspirates, &amp;c.</w:t></w:r>
</w:p>
<w:p>
<w:pPr><w:pStyle w:val="Normal"/></w:pPr>
<w:r><w:t xml:space="preserve">The Greek aspirates were not the sounds which we represent</w:t></w:r>
</w:p>
<w:p>
<w:pPr><w:pStyle w:val="Normal"/></w:pPr>
<w:r><w:t xml:space="preserve">by ph, th, ch (Scotch), but corresponded rather to the</w:t></w:r>
</w:p>
<w:p>
<w:pPr><w:pStyle w:val="Normal"/></w:pPr>
<w:r><w:t xml:space="preserve">sound of the final consonants in such words as lip, bit,</w:t></w:r>
</w:p>
<w:p>
<w:pPr><w:pStyle w:val="Normal"/></w:pPr>
<w:r><w:t xml:space="preserve">lich, the breath being audible after the formation of the</w:t></w:r>
</w:p>
<w:p>
<w:pPr><w:pStyle w:val="Normal"/></w:pPr>
<w:r><w:t xml:space="preserve">consonant.  It is not clear that Greek took over @ with this</w:t></w:r>
</w:p>
<w:p>
<w:pPr><w:pStyle w:val="Normal"/></w:pPr>
<w:r><w:t xml:space="preserve">value, for in one Theran inscription @ are found combined as</w:t></w:r>
</w:p>
<w:p>
<w:pPr><w:pStyle w:val="Normal"/></w:pPr>
<w:r><w:t xml:space="preserve">equivalent to T--H, while the regular representation of f</w:t></w:r>
</w:p>
<w:p>
<w:pPr><w:pStyle w:val="Normal"/></w:pPr>
<w:r><w:t xml:space="preserve">and ch is @ and K @, or @ (koppa) @ respectively.  In</w:t></w:r>
</w:p>
<w:p>
<w:pPr><w:pStyle w:val="Normal"/></w:pPr>
<w:r><w:t xml:space="preserve">the great Gortyn inscription from Crete and occasionally in</w:t></w:r>
</w:p>
<w:p>
<w:pPr><w:pStyle w:val="Normal"/></w:pPr>
<w:r><w:t xml:space="preserve">Thera, @ (in Crete in the form C) and K are used alone</w:t></w:r>
</w:p>
<w:p>
<w:pPr><w:pStyle w:val="Normal"/></w:pPr>
<w:r><w:t xml:space="preserve">for f and ch, just as conversely even in the 5th century</w:t></w:r>
</w:p>
<w:p>
<w:pPr><w:pStyle w:val="Normal"/></w:pPr>
<w:r><w:t xml:space="preserve">the name of Themistocles has been found upon an ostrakon</w:t></w:r>
</w:p>
<w:p>
<w:pPr><w:pStyle w:val="Normal"/></w:pPr>
<w:r><w:t xml:space="preserve">spelt Themisthokles.  Such confusions show that even to Greek</w:t></w:r>
</w:p>
<w:p>
<w:pPr><w:pStyle w:val="Normal"/></w:pPr>
<w:r><w:t xml:space="preserve">ears the distinction between the sounds was very small.  To</w:t></w:r>
</w:p>
<w:p>
<w:pPr><w:pStyle w:val="Normal"/></w:pPr>
<w:r><w:t xml:space="preserve">have recorded it in writing at all shows considerable progress</w:t></w:r>
</w:p>
<w:p>
<w:pPr><w:pStyle w:val="Normal"/></w:pPr>
<w:r><w:t xml:space="preserve">in the observation of sounds.  Such progress is more easily</w:t></w:r>
</w:p>
<w:p>
<w:pPr><w:pStyle w:val="Normal"/></w:pPr>
<w:r><w:t xml:space="preserve">indicated by changes in the symbols among a people whose</w:t></w:r>
</w:p>
<w:p>
<w:pPr><w:pStyle w:val="Normal"/></w:pPr>
<w:r><w:t xml:space="preserve">acquaintance with the art is not of long standing nor vcry</w:t></w:r>
</w:p>
<w:p>
<w:pPr><w:pStyle w:val="Normal"/></w:pPr>
<w:r><w:t xml:space="preserve">familiar.  English, though possessing sounds comparable to</w:t></w:r>
</w:p>
<w:p>
<w:pPr><w:pStyle w:val="Normal"/></w:pPr>
<w:r><w:t xml:space="preserve">the Greek th, f, ch, has never made any attempt to represent</w:t></w:r>
</w:p>
<w:p>
<w:pPr><w:pStyle w:val="Normal"/></w:pPr>
<w:r><w:t xml:space="preserve">them in writing.  On the other hand, no doubt Athens in 403</w:t></w:r>
</w:p>
<w:p>
<w:pPr><w:pStyle w:val="Normal"/></w:pPr>
<w:r><w:t xml:space="preserve">B.C. officially adopted the Ionic alphabet and gave up</w:t></w:r>
</w:p>
<w:p>
<w:pPr><w:pStyle w:val="Normal"/></w:pPr>
<w:r><w:t xml:space="preserve">the old Attic alphabet.  The political situation in Athens,</w:t></w:r>
</w:p>
<w:p>
<w:pPr><w:pStyle w:val="Normal"/></w:pPr>
<w:r><w:t xml:space="preserve">however, at this time was as exceptional as the French</w:t></w:r>
</w:p>
<w:p>
<w:pPr><w:pStyle w:val="Normal"/></w:pPr>
<w:r><w:t xml:space="preserve">Revolurion, and offered an opportunity not likely to recur</w:t></w:r>
</w:p>
<w:p>
<w:pPr><w:pStyle w:val="Normal"/></w:pPr>
<w:r><w:t xml:space="preserve">for the adoption of a system in widely extended use which</w:t></w:r>
</w:p>
<w:p>
<w:pPr><w:pStyle w:val="Normal"/></w:pPr>
<w:r><w:t xml:space="preserve">private individuals had been employing for a long time.</w:t></w:r>
</w:p>
<w:p>
<w:pPr><w:pStyle w:val="Normal"/></w:pPr>
<w:r><w:t xml:space="preserve">The history of rhe symbols f and ch is altogether unknown.</w:t></w:r>
</w:p>
<w:p>
<w:pPr><w:pStyle w:val="Normal"/></w:pPr>
<w:r><w:t xml:space="preserve">The very numerous theories on the subject have generally been</w:t></w:r>
</w:p>
<w:p>
<w:pPr><w:pStyle w:val="Normal"/></w:pPr>
<w:r><w:t xml:space="preserve">founded on a principle which itself is in need of proof, viz.</w:t></w:r>
</w:p>
<w:p>
<w:pPr><w:pStyle w:val="Normal"/></w:pPr>
<w:r><w:t xml:space="preserve">that these symbols must have arisen by differentiation from</w:t></w:r>
</w:p>
<w:p>
<w:pPr><w:pStyle w:val="Normal"/></w:pPr>
<w:r><w:t xml:space="preserve">others already existing in the alphabet.  The explanation is</w:t></w:r>
</w:p>
<w:p>
<w:pPr><w:pStyle w:val="Normal"/></w:pPr>
<w:r><w:t xml:space="preserve">possible, but it is not easy to see why, for example, the</w:t></w:r>
</w:p>
<w:p>
<w:pPr><w:pStyle w:val="Normal"/></w:pPr>
<w:r><w:t xml:space="preserve">symbol @ or @ = Koppa, the Latin Q, should have been</w:t></w:r>
</w:p>
<w:p>
<w:pPr><w:pStyle w:val="Normal"/></w:pPr>
<w:r><w:t xml:space="preserve">utilized for a sound so different as p-h; nor, again, why</w:t></w:r>
</w:p>
<w:p>
<w:pPr><w:pStyle w:val="Normal"/></w:pPr>
<w:r><w:t xml:space="preserve">the symbol for th (@) by losing its cross stroke should</w:t></w:r>
</w:p>
<w:p>
<w:pPr><w:pStyle w:val="Normal"/></w:pPr>
<w:r><w:t xml:space="preserve">become f, seeing that the sounds of th and f outside</w:t></w:r>
</w:p>
<w:p>
<w:pPr><w:pStyle w:val="Normal"/></w:pPr>
<w:r><w:t xml:space="preserve">Aeolic (a dialect which is not here in question) are never</w:t></w:r>
</w:p>
<w:p>
<w:pPr><w:pStyle w:val="Normal"/></w:pPr>
<w:r><w:t xml:space="preserve">confused.  On the other hand, if we remember the large number</w:t></w:r>
</w:p>
<w:p>
<w:pPr><w:pStyle w:val="Normal"/></w:pPr>
<w:r><w:t xml:space="preserve">of symbols belonging to the prehistoric script, it will seem</w:t></w:r>
</w:p>
<w:p>
<w:pPr><w:pStyle w:val="Normal"/></w:pPr>
<w:r><w:t xml:space="preserve">at least as easy to believe that the persons who, by adding</w:t></w:r>
</w:p>
<w:p>
<w:pPr><w:pStyle w:val="Normal"/></w:pPr>
<w:r><w:t xml:space="preserve">new letters to the Phoenician alphabet, attempted to bring</w:t></w:r>
</w:p>
<w:p>
<w:pPr><w:pStyle w:val="Normal"/></w:pPr>
<w:r><w:t xml:space="preserve">the symbols more into accordance with the sounds of the Greek</w:t></w:r>
</w:p>
<w:p>
<w:pPr><w:pStyle w:val="Normal"/></w:pPr>
<w:r><w:t xml:space="preserve">language, may have borrowed from this older script.  It is</w:t></w:r>
</w:p>
<w:p>
<w:pPr><w:pStyle w:val="Normal"/></w:pPr>
<w:r><w:t xml:space="preserve">now generally admitted that the improvements of the alphabet</w:t></w:r>
</w:p>
<w:p>
<w:pPr><w:pStyle w:val="Normal"/></w:pPr>
<w:r><w:t xml:space="preserve">were made by traders in the interests of commerce, and that</w:t></w:r>
</w:p>
<w:p>
<w:pPr><w:pStyle w:val="Normal"/></w:pPr>
<w:r><w:t xml:space="preserve">these improvements began from the great Greek emporia of Asia</w:t></w:r>
</w:p>
<w:p>
<w:pPr><w:pStyle w:val="Normal"/></w:pPr>
<w:r><w:t xml:space="preserve">Minor, above all from Miletus.  Symbols exactly like f,</w:t></w:r>
</w:p>
<w:p>
<w:pPr><w:pStyle w:val="Normal"/></w:pPr>
<w:r><w:t xml:space="preserve">ch, and ps (@, @, @) are found in the Carian alphabet,</w:t></w:r>
</w:p>
<w:p>
<w:pPr><w:pStyle w:val="Normal"/></w:pPr>
<w:r><w:t xml:space="preserve">and transliterated by Professor Sayce 13 as v (and</w:t></w:r>
</w:p>
<w:p>
<w:pPr><w:pStyle w:val="Normal"/></w:pPr>
<w:r><w:t xml:space="preserve">u), h and kh respectively.  If the Carian alphabet goes</w:t></w:r>
</w:p>
<w:p>
<w:pPr><w:pStyle w:val="Normal"/></w:pPr>
<w:r><w:t xml:space="preserve">back to the prehistoric script, why should not Miletus have</w:t></w:r>
</w:p>
<w:p>
<w:pPr><w:pStyle w:val="Normal"/></w:pPr>
<w:r><w:t xml:space="preserve">borrowed them from it? We have already seen that, in the</w:t></w:r>
</w:p>
<w:p>
<w:pPr><w:pStyle w:val="Normal"/></w:pPr>
<w:r><w:t xml:space="preserve">earliest alphabets of Thera and Corinth, the ordinary symbol</w:t></w:r>
</w:p>
<w:p>
<w:pPr><w:pStyle w:val="Normal"/></w:pPr>
<w:r><w:t xml:space="preserve">for x in the Ionic alphabet was used for z.  This usage</w:t></w:r>
</w:p>
<w:p>
<w:pPr><w:pStyle w:val="Normal"/></w:pPr>
<w:r><w:t xml:space="preserve">brought in its train another--the use of @, not for ps as</w:t></w:r>
</w:p>
<w:p>
<w:pPr><w:pStyle w:val="Normal"/></w:pPr>
<w:r><w:t xml:space="preserve">in Ionic, but for x in the name @ = &apos;Alexagooa, and</w:t></w:r>
</w:p>
<w:p>
<w:pPr><w:pStyle w:val="Normal"/></w:pPr>
<w:r><w:t xml:space="preserve">similarly in Melos, @ = Praxikudeos.14 This experiment,</w:t></w:r>
</w:p>
<w:p>
<w:pPr><w:pStyle w:val="Normal"/></w:pPr>
<w:r><w:t xml:space="preserve">for it was no more, bclongs apparently to the latter part</w:t></w:r>
</w:p>
<w:p>
<w:pPr><w:pStyle w:val="Normal"/></w:pPr>
<w:r><w:t xml:space="preserve">of the 6th century, and was soon given up.  As the Ionians</w:t></w:r>
</w:p>
<w:p>
<w:pPr><w:pStyle w:val="Normal"/></w:pPr>
<w:r><w:t xml:space="preserve">kept the form @, which the people of Thera used for z,</w:t></w:r>
</w:p>
<w:p>
<w:pPr><w:pStyle w:val="Normal"/></w:pPr>
<w:r><w:t xml:space="preserve">in the same position in their alphabet as Samech occupied</w:t></w:r>
</w:p>
<w:p>
<w:pPr><w:pStyle w:val="Normal"/></w:pPr>
<w:r><w:t xml:space="preserve">in the Phoenician alphabet, there can be no doubt as to its</w:t></w:r>
</w:p>
<w:p>
<w:pPr><w:pStyle w:val="Normal"/></w:pPr>
<w:r><w:t xml:space="preserve">origin.  The symbol @ which the Chalcidian Greeks used in</w:t></w:r>
</w:p>
<w:p>
<w:pPr><w:pStyle w:val="Normal"/></w:pPr>
<w:r><w:t xml:space="preserve">the 6th century B.C. for x may be derived, according to</w:t></w:r>
</w:p>
<w:p>
<w:pPr><w:pStyle w:val="Normal"/></w:pPr>
<w:r><w:t xml:space="preserve">the most widely accepted theory, from a primitive form of</w:t></w:r>
</w:p>
<w:p>
<w:pPr><w:pStyle w:val="Normal"/></w:pPr>
<w:r><w:t xml:space="preserve">Samech @, which is recorded only in the abecedaria of the</w:t></w:r>
</w:p>
<w:p>
<w:pPr><w:pStyle w:val="Normal"/></w:pPr>
<w:r><w:t xml:space="preserve">Chalcidian colonies in Italy.  In this case the borrowing of</w:t></w:r>
</w:p>
<w:p>
<w:pPr><w:pStyle w:val="Normal"/></w:pPr>
<w:r><w:t xml:space="preserve">the Greek alphabet must long precede any Phoenician record we</w:t></w:r>
</w:p>
<w:p>
<w:pPr><w:pStyle w:val="Normal"/></w:pPr>
<w:r><w:t xml:space="preserve">possess.  But it is not probable that the Ionic and Phoenician</w:t></w:r>
</w:p>
<w:p>
<w:pPr><w:pStyle w:val="Normal"/></w:pPr>
<w:r><w:t xml:space="preserve">@ developed independently from the closed form.  Kretschmer,</w:t></w:r>
</w:p>
<w:p>
<w:pPr><w:pStyle w:val="Normal"/></w:pPr>
<w:r><w:t xml:space="preserve">however, in several publications15 takes a different view.</w:t></w:r>
</w:p>
<w:p>
<w:pPr><w:pStyle w:val="Normal"/></w:pPr>
<w:r><w:t xml:space="preserve">He thinks that the guttural element in x was a spirant, and</w:t></w:r>
</w:p>
<w:p>
<w:pPr><w:pStyle w:val="Normal"/></w:pPr>
<w:r><w:t xml:space="preserve">therefore different from ch, which is an aspirate.  He points</w:t></w:r>
</w:p>
<w:p>
<w:pPr><w:pStyle w:val="Normal"/></w:pPr>
<w:r><w:t xml:space="preserve">out that in Naxos, in a 6th-century inscription,16 x in</w:t></w:r>
</w:p>
<w:p>
<w:pPr><w:pStyle w:val="Normal"/></w:pPr>
<w:r><w:t xml:space="preserve">Naxiou, exochos and Fraxou is represented by @, the</w:t></w:r>
</w:p>
<w:p>
<w:pPr><w:pStyle w:val="Normal"/></w:pPr>
<w:r><w:t xml:space="preserve">first element in which he regards as a form of @ = h.  As</w:t></w:r>
</w:p>
<w:p>
<w:pPr><w:pStyle w:val="Normal"/></w:pPr>
<w:r><w:t xml:space="preserve">ch is found in the same inscription (in the form X), the</w:t></w:r>
</w:p>
<w:p>
<w:pPr><w:pStyle w:val="Normal"/></w:pPr>
<w:r><w:t xml:space="preserve">guttural element must have been different, else x would have</w:t></w:r>
</w:p>
<w:p>
<w:pPr><w:pStyle w:val="Normal"/></w:pPr>
<w:r><w:t xml:space="preserve">been spelt @.  Attica and most of the Cyclades kept X for</w:t></w:r>
</w:p>
<w:p>
<w:pPr><w:pStyle w:val="Normal"/></w:pPr>
<w:r><w:t xml:space="preserve">the guttural element in x (written @ or @) and for ch as</w:t></w:r>
</w:p>
<w:p>
<w:pPr><w:pStyle w:val="Normal"/></w:pPr>
<w:r><w:t xml:space="preserve">well.  On the west of the Aegean a new symbol @ was invented</w:t></w:r>
</w:p>
<w:p>
<w:pPr><w:pStyle w:val="Normal"/></w:pPr>
<w:r><w:t xml:space="preserve">for the aspirate value, and this spread over the mainland</w:t></w:r>
</w:p>
<w:p>
<w:pPr><w:pStyle w:val="Normal"/></w:pPr>
<w:r><w:t xml:space="preserve">and was carried by emigrants to Rhodes, Sicily and Italy.</w:t></w:r>
</w:p>
<w:p>
<w:pPr><w:pStyle w:val="Normal"/></w:pPr>
<w:r><w:t xml:space="preserve">The sign ch was kept in the western group for the guttural</w:t></w:r>
</w:p>
<w:p>
<w:pPr><w:pStyle w:val="Normal"/></w:pPr>
<w:r><w:t xml:space="preserve">spirant in x, which was written @; but, as this spirant</w:t></w:r>
</w:p>
<w:p>
<w:pPr><w:pStyle w:val="Normal"/></w:pPr>
<w:r><w:t xml:space="preserve">occurred nowhere else, the combination was often abbreviated,</w:t></w:r>
</w:p>
<w:p>
<w:pPr><w:pStyle w:val="Normal"/></w:pPr>
<w:r><w:t xml:space="preserve">and X was used for @ precisely as in the Italic alphabets we</w:t></w:r>
</w:p>
<w:p>
<w:pPr><w:pStyle w:val="Normal"/></w:pPr>
<w:r><w:t xml:space="preserve">shall flnd that F = f develops out of a combination FH.</w:t></w:r>
</w:p>
<w:p>
<w:pPr><w:pStyle w:val="Normal"/></w:pPr>
<w:r><w:t xml:space="preserve">The development of symbols for the long vowels e and o</w:t></w:r>
</w:p>
<w:p>
<w:pPr><w:pStyle w:val="Normal"/></w:pPr>
<w:r><w:t xml:space="preserve">was also the work of the Ionians.  The h-sound ceased at</w:t></w:r>
</w:p>
<w:p>
<w:pPr><w:pStyle w:val="Normal"/></w:pPr>
<w:r><w:t xml:space="preserve">a very early period to exist in Ionic, and by 800 B.C. was</w:t></w:r>
</w:p>
<w:p>
<w:pPr><w:pStyle w:val="Normal"/></w:pPr>
<w:r><w:t xml:space="preserve">ignored in writing.  The symbol @ or H was then employed</w:t></w:r>
</w:p>
<w:p>
<w:pPr><w:pStyle w:val="Normal"/></w:pPr>
<w:r><w:t xml:space="preserve">for the long open e-sound, a use suggested by the name of</w:t></w:r>
</w:p>
<w:p>
<w:pPr><w:pStyle w:val="Normal"/></w:pPr>
<w:r><w:t xml:space="preserve">the letter, which, by the loss of the aspirate, had passed</w:t></w:r>
</w:p>
<w:p>
<w:pPr><w:pStyle w:val="Normal"/></w:pPr>
<w:r><w:t xml:space="preserve">from Heta to Eta. About the same period, and probably as a</w:t></w:r>
</w:p>
<w:p>
<w:pPr><w:pStyle w:val="Normal"/></w:pPr>
<w:r><w:t xml:space="preserve">sequel to this change, the Greeks of Miletus developed @ for</w:t></w:r>
</w:p>
<w:p>
<w:pPr><w:pStyle w:val="Normal"/></w:pPr>
<w:r><w:t xml:space="preserve">the long open o-sound, a form which in all probability</w:t></w:r>
</w:p>
<w:p>
<w:pPr><w:pStyle w:val="Normal"/></w:pPr>
<w:r><w:t xml:space="preserve">is differentiated out of O. Centuries passed, however,</w:t></w:r>
</w:p>
<w:p>
<w:pPr><w:pStyle w:val="Normal"/></w:pPr>
<w:r><w:t xml:space="preserve">before this symbol was generally adopted, Athens using</w:t></w:r>
</w:p>
<w:p>
<w:pPr><w:pStyle w:val="Normal"/></w:pPr>
<w:r><w:t xml:space="preserve">only O for o, o and ou, the spurious diphthong, until</w:t></w:r>
</w:p>
<w:p>
<w:pPr><w:pStyle w:val="Normal"/></w:pPr>
<w:r><w:t xml:space="preserve">the adoption of the whole ionic alphabet in 403 B.C.17</w:t></w:r>
</w:p>
<w:p>
<w:pPr><w:pStyle w:val="Normal"/></w:pPr>
<w:r><w:t xml:space="preserve">Latin alphabet.</w:t></w:r>
</w:p>
<w:p>
<w:pPr><w:pStyle w:val="Normal"/></w:pPr>
<w:r><w:t xml:space="preserve">The discoveries of the last quarter of the 19th century</w:t></w:r>
</w:p>
<w:p>
<w:pPr><w:pStyle w:val="Normal"/></w:pPr>
<w:r><w:t xml:space="preserve">carried back our knowledge of the Latin alphabet by</w:t></w:r>
</w:p>
<w:p>
<w:pPr><w:pStyle w:val="Normal"/></w:pPr>
<w:r><w:t xml:space="preserve">at least two centuries, although the monuments of an</w:t></w:r>
</w:p>
<w:p>
<w:pPr><w:pStyle w:val="Normal"/></w:pPr>
<w:r><w:t xml:space="preserve">early age which have been discovered are only three.</w:t></w:r>
</w:p>
<w:p>
<w:pPr><w:pStyle w:val="Normal"/></w:pPr>
<w:r><w:t xml:space="preserve">The Dvenos inscription.</w:t></w:r>
</w:p>
<w:p>
<w:pPr><w:pStyle w:val="Normal"/></w:pPr>
<w:r><w:t xml:space="preserve">(a) In 1880 was discovered between the Quirinal and Viminal</w:t></w:r>
</w:p>
<w:p>
<w:pPr><w:pStyle w:val="Normal"/></w:pPr>
<w:r><w:t xml:space="preserve">hills a little earthenware pot of a curious shape, being as it</w:t></w:r>
</w:p>
<w:p>
<w:pPr><w:pStyle w:val="Normal"/></w:pPr>
<w:r><w:t xml:space="preserve">were, three vessels radiating from a centre, each with a separate</w:t></w:r>
</w:p>
<w:p>
<w:pPr><w:pStyle w:val="Normal"/></w:pPr>
<w:r><w:t xml:space="preserve">mouth at the top.18 Round the sides of the triangle formed by</w:t></w:r>
</w:p>
<w:p>
<w:pPr><w:pStyle w:val="Normal"/></w:pPr>
<w:r><w:t xml:space="preserve">the three vessels and under the mouths runs an inscription of</w:t></w:r>
</w:p>
<w:p>
<w:pPr><w:pStyle w:val="Normal"/></w:pPr>
<w:r><w:t xml:space="preserve">considerable length.  The use for which the pot was intended and</w:t></w:r>
</w:p>
<w:p>
<w:pPr><w:pStyle w:val="Normal"/></w:pPr>
<w:r><w:t xml:space="preserve">the purport of the inscription have been much disputed, there</w:t></w:r>
</w:p>
<w:p>
<w:pPr><w:pStyle w:val="Normal"/></w:pPr>
<w:r><w:t xml:space="preserve">being at least as many interpretations as there are words in the</w:t></w:r>
</w:p>
<w:p>
<w:pPr><w:pStyle w:val="Normal"/></w:pPr>
<w:r><w:t xml:space="preserve">inscription.  The date is probably the early part of the</w:t></w:r>
</w:p>
<w:p>
<w:pPr><w:pStyle w:val="Normal"/></w:pPr>
<w:r><w:t xml:space="preserve">4th century B.C. Though found in Rome, the vessel is small</w:t></w:r>
</w:p>
<w:p>
<w:pPr><w:pStyle w:val="Normal"/></w:pPr>
<w:r><w:t xml:space="preserve">enough to be easily portable, and might therefore have been</w:t></w:r>
</w:p>
<w:p>
<w:pPr><w:pStyle w:val="Normal"/></w:pPr>
<w:r><w:t xml:space="preserve">brought from elsewhere in Italy.  It is equally possible that</w:t></w:r>
</w:p>
<w:p>
<w:pPr><w:pStyle w:val="Normal"/></w:pPr>
<w:r><w:t xml:space="preserve">the potter who inscribed the words upon it was not a native of</w:t></w:r>
</w:p>
<w:p>
<w:pPr><w:pStyle w:val="Normal"/></w:pPr>
<w:r><w:t xml:space="preserve">Rome.  One or two points in theinscription make it doubtful</w:t></w:r>
</w:p>
<w:p>
<w:pPr><w:pStyle w:val="Normal"/></w:pPr>
<w:r><w:t xml:space="preserve">whether the Latin upon it is really the Latin of Rome.  It</w:t></w:r>
</w:p>
<w:p>
<w:pPr><w:pStyle w:val="Normal"/></w:pPr>
<w:r><w:t xml:space="preserve">is generally known as the Dvenos inscription, from the name</w:t></w:r>
</w:p>
<w:p>
<w:pPr><w:pStyle w:val="Normal"/></w:pPr>
<w:r><w:t xml:space="preserve">of the maker who wrote on the vessel from right to left the</w:t></w:r>
</w:p>
<w:p>
<w:pPr><w:pStyle w:val="Normal"/></w:pPr>
<w:r><w:t xml:space="preserve">inscription, part of which is DVENOS MED FECED ( = fecit).</w:t></w:r>
</w:p>
<w:p>
<w:pPr><w:pStyle w:val="Normal"/></w:pPr>
<w:r><w:t xml:space="preserve">The Praeneste fibula.</w:t></w:r>
</w:p>
<w:p>
<w:pPr><w:pStyle w:val="Normal"/></w:pPr>
<w:r><w:t xml:space="preserve">(b) The second of these early records is the inscription</w:t></w:r>
</w:p>
<w:p>
<w:pPr><w:pStyle w:val="Normal"/></w:pPr>
<w:r><w:t xml:space="preserve">on a gold fibula found at Praeneste and published in 1887.</w:t></w:r>
</w:p>
<w:p>
<w:pPr><w:pStyle w:val="Normal"/></w:pPr>
<w:r><w:t xml:space="preserve">The inscription runs from right to left, and is in letters</w:t></w:r>
</w:p>
<w:p>
<w:pPr><w:pStyle w:val="Normal"/></w:pPr>
<w:r><w:t xml:space="preserve">which show more clearly than ever that the Roman alphabet is</w:t></w:r>
</w:p>
<w:p>
<w:pPr><w:pStyle w:val="Normal"/></w:pPr>
<w:r><w:t xml:space="preserve">borrowed from the alphabets of the Chalcidian Greek colonies in</w:t></w:r>
</w:p>
<w:p>
<w:pPr><w:pStyle w:val="Normal"/></w:pPr>
<w:r><w:t xml:space="preserve">Italy.  Its date cannot be later than the 5th and is possibly</w:t></w:r>
</w:p>
<w:p>
<w:pPr><w:pStyle w:val="Normal"/></w:pPr>
<w:r><w:t xml:space="preserve">as early as the 6th century B.C. The words are MANIOS MED</w:t></w:r>
</w:p>
<w:p>
<w:pPr><w:pStyle w:val="Normal"/></w:pPr>
<w:r><w:t xml:space="preserve">FHEFHAKED NVMASIOI, ``Manius made me for Numasius.&apos;&apos; The</w:t></w:r>
</w:p>
<w:p>
<w:pPr><w:pStyle w:val="Normal"/></w:pPr>
<w:r><w:t xml:space="preserve">symbol for M has still five strokes, s has the angular</w:t></w:r>
</w:p>
<w:p>
<w:pPr><w:pStyle w:val="Normal"/></w:pPr>
<w:r><w:t xml:space="preserve">form @, @.  The inscription is earlier than the Latin change</w:t></w:r>
</w:p>
<w:p>
<w:pPr><w:pStyle w:val="Normal"/></w:pPr>
<w:r><w:t xml:space="preserve">of s between vowels into r, for Numasioi is the dative</w:t></w:r>
</w:p>
<w:p>
<w:pPr><w:pStyle w:val="Normal"/></w:pPr>
<w:r><w:t xml:space="preserve">of the older form which corresponds to the later Numerius.</w:t></w:r>
</w:p>
<w:p>
<w:pPr><w:pStyle w:val="Normal"/></w:pPr>
<w:r><w:t xml:space="preserve">The verb form is remarkable.  In the Dvenos inscription the</w:t></w:r>
</w:p>
<w:p>
<w:pPr><w:pStyle w:val="Normal"/></w:pPr>
<w:r><w:t xml:space="preserve">perfect of facio is feced; here it is a reduplicated form</w:t></w:r>
</w:p>
<w:p>
<w:pPr><w:pStyle w:val="Normal"/></w:pPr>
<w:r><w:t xml:space="preserve">with the same vowel as the present.  The spelling also is</w:t></w:r>
</w:p>
<w:p>
<w:pPr><w:pStyle w:val="Normal"/></w:pPr>
<w:r><w:t xml:space="preserve">interesting.  The symbol K is still in ordinary use,</w:t></w:r>
</w:p>
<w:p>
<w:pPr><w:pStyle w:val="Normal"/></w:pPr>
<w:r><w:t xml:space="preserve">and not merely used for abbreviations as in the classical</w:t></w:r>
</w:p>
<w:p>
<w:pPr><w:pStyle w:val="Normal"/></w:pPr>
<w:r><w:t xml:space="preserve">age.  But most remarkable is the representation of Latin F</w:t></w:r>
</w:p>
<w:p>
<w:pPr><w:pStyle w:val="Normal"/></w:pPr>
<w:r><w:t xml:space="preserve">by FH. The reason for this is clear.  The value of F in</w:t></w:r>
</w:p>
<w:p>
<w:pPr><w:pStyle w:val="Normal"/></w:pPr>
<w:r><w:t xml:space="preserve">the Greek alphabet is w and not f as in Latin.  Greek had</w:t></w:r>
</w:p>
<w:p>
<w:pPr><w:pStyle w:val="Normal"/></w:pPr>
<w:r><w:t xml:space="preserve">no sound corresponding to Latin F, consequently an attempt</w:t></w:r>
</w:p>
<w:p>
<w:pPr><w:pStyle w:val="Normal"/></w:pPr>
<w:r><w:t xml:space="preserve">is made by combining F and H to indicate the difference of</w:t></w:r>
</w:p>
<w:p>
<w:pPr><w:pStyle w:val="Normal"/></w:pPr>
<w:r><w:t xml:space="preserve">sound.  Etruscan uses FH in in the same way.  As Latin,</w:t></w:r>
</w:p>
<w:p>
<w:pPr><w:pStyle w:val="Normal"/></w:pPr>
<w:r><w:t xml:space="preserve">however, made the symbol V indicate not only the vowel sound</w:t></w:r>
</w:p>
<w:p>
<w:pPr><w:pStyle w:val="Normal"/></w:pPr>
<w:r><w:t xml:space="preserve">u, but also the consonant sound v (i.e. English w),</w:t></w:r>
</w:p>
<w:p>
<w:pPr><w:pStyle w:val="Normal"/></w:pPr>
<w:r><w:t xml:space="preserve">the sign for the digamma F was left unemployed, and as FH</w:t></w:r>
</w:p>
<w:p>
<w:pPr><w:pStyle w:val="Normal"/></w:pPr>
<w:r><w:t xml:space="preserve">was a cumbrous method of representing a sound which did not</w:t></w:r>
</w:p>
<w:p>
<w:pPr><w:pStyle w:val="Normal"/></w:pPr>
<w:r><w:t xml:space="preserve">exist in Greek, the second element came to be left out in</w:t></w:r>
</w:p>
<w:p>
<w:pPr><w:pStyle w:val="Normal"/></w:pPr>
<w:r><w:t xml:space="preserve">writing.  Thus F came to be the representative of the unvoiced</w:t></w:r>
</w:p>
<w:p>
<w:pPr><w:pStyle w:val="Normal"/></w:pPr>
<w:r><w:t xml:space="preserve">labiodental spirant instead of that for the bilabial voiced</w:t></w:r>
</w:p>
<w:p>
<w:pPr><w:pStyle w:val="Normal"/></w:pPr>
<w:r><w:t xml:space="preserve">spirant.  Whether the form fefaked was ever good Latin</w:t></w:r>
</w:p>
<w:p>
<w:pPr><w:pStyle w:val="Normal"/></w:pPr>
<w:r><w:t xml:space="preserve">in Rome may be doubted, for the Romans, in spite of the few</w:t></w:r>
</w:p>
<w:p>
<w:pPr><w:pStyle w:val="Normal"/></w:pPr>
<w:r><w:t xml:space="preserve">miles that separate Praeneste from Rome, were inclined to</w:t></w:r>
</w:p>
<w:p>
<w:pPr><w:pStyle w:val="Normal"/></w:pPr>
<w:r><w:t xml:space="preserve">sneer at the pronunciation and idiom of the praenestines</w:t></w:r>
</w:p>
<w:p>
<w:pPr><w:pStyle w:val="Normal"/></w:pPr>
<w:r><w:t xml:space="preserve">(cf. Plautus, Trin. 609, Truc. 691; Quintilian i. 5, 56)</w:t></w:r>
</w:p>
<w:p>
<w:pPr><w:pStyle w:val="Normal"/></w:pPr>
<w:r><w:t xml:space="preserve">Forum inscriptions.</w:t></w:r>
</w:p>
<w:p>
<w:pPr><w:pStyle w:val="Normal"/></w:pPr>
<w:r><w:t xml:space="preserve">(c) The last, and in some respects the most important, of</w:t></w:r>
</w:p>
<w:p>
<w:pPr><w:pStyle w:val="Normal"/></w:pPr>
<w:r><w:t xml:space="preserve">these records was found in 1899 under an ancient pavement in</w:t></w:r>
</w:p>
<w:p>
<w:pPr><w:pStyle w:val="Normal"/></w:pPr>
<w:r><w:t xml:space="preserve">the Comitium at the north-west corner of the Roman Forum.</w:t></w:r>
</w:p>
<w:p>
<w:pPr><w:pStyle w:val="Normal"/></w:pPr>
<w:r><w:t xml:space="preserve">It is engraved upon the four sides and one bevelled edge of a</w:t></w:r>
</w:p>
<w:p>
<w:pPr><w:pStyle w:val="Normal"/></w:pPr>
<w:r><w:t xml:space="preserve">pillar, the top of which has been broken off.  As the writing is</w:t></w:r>
</w:p>
<w:p>
<w:pPr><w:pStyle w:val="Normal"/></w:pPr>
<w:r><w:t xml:space="preserve">boustrofedon, beginning at the bottom of the pillar and running</w:t></w:r>
</w:p>
<w:p>
<w:pPr><w:pStyle w:val="Normal"/></w:pPr>
<w:r><w:t xml:space="preserve">upwards and down again, no single line of the inscription is</w:t></w:r>
</w:p>
<w:p>
<w:pPr><w:pStyle w:val="Normal"/></w:pPr>
<w:r><w:t xml:space="preserve">complete.  Probably more than half the pillar is lost, so that</w:t></w:r>
</w:p>
<w:p>
<w:pPr><w:pStyle w:val="Normal"/></w:pPr>
<w:r><w:t xml:space="preserve">it is not possible to make out the sense with certainty.  The</w:t></w:r>
</w:p>
<w:p>
<w:pPr><w:pStyle w:val="Normal"/></w:pPr>
<w:r><w:t xml:space="preserve">inscription is probably not older than that on the fibula from</w:t></w:r>
</w:p>
<w:p>
<w:pPr><w:pStyle w:val="Normal"/></w:pPr>
<w:r><w:t xml:space="preserve">Praeneste, but has the additional interest of being undoubtedly</w:t></w:r>
</w:p>
<w:p>
<w:pPr><w:pStyle w:val="Normal"/></w:pPr>
<w:r><w:t xml:space="preserve">couched in the Latin of Rome.  The surviving portion of the</w:t></w:r>
</w:p>
<w:p>
<w:pPr><w:pStyle w:val="Normal"/></w:pPr>
<w:r><w:t xml:space="preserve">inscription contains examples of all the letters of the early</w:t></w:r>
</w:p>
<w:p>
<w:pPr><w:pStyle w:val="Normal"/></w:pPr>
<w:r><w:t xml:space="preserve">alphabet, though the forms of F and B are fragmentary and</w:t></w:r>
</w:p>
<w:p>
<w:pPr><w:pStyle w:val="Normal"/></w:pPr>
<w:r><w:t xml:space="preserve">doubtful.  As in the Praenestine inscription, the alphabet</w:t></w:r>
</w:p>
<w:p>
<w:pPr><w:pStyle w:val="Normal"/></w:pPr>
<w:r><w:t xml:space="preserve">is still the western (Chalcidian) alphabet. K is still in</w:t></w:r>
</w:p>
<w:p>
<w:pPr><w:pStyle w:val="Normal"/></w:pPr>
<w:r><w:t xml:space="preserve">use as an ordinary consonant, and not limited to a symbol for</w:t></w:r>
</w:p>
<w:p>
<w:pPr><w:pStyle w:val="Normal"/></w:pPr>
<w:r><w:t xml:space="preserve">abbreviations as in the classical period.  The rounded form</w:t></w:r>
</w:p>
<w:p>
<w:pPr><w:pStyle w:val="Normal"/></w:pPr>
<w:r><w:t xml:space="preserve">of g is found with the value of G in RECEI, which is</w:t></w:r>
</w:p>
<w:p>
<w:pPr><w:pStyle w:val="Normal"/></w:pPr>
<w:r><w:t xml:space="preserve">probably the dative of rex. H has still the closed form</w:t></w:r>
</w:p>
<w:p>
<w:pPr><w:pStyle w:val="Normal"/></w:pPr>
<w:r><w:t xml:space="preserve">@, M has the five-stroke form, S is the three-stroke</w:t></w:r>
</w:p>
<w:p>
<w:pPr><w:pStyle w:val="Normal"/></w:pPr>
<w:r><w:t xml:space="preserve">@, tending to become rounded. R appears in the Greek form</w:t></w:r>
</w:p>
<w:p>
<w:pPr><w:pStyle w:val="Normal"/></w:pPr>
<w:r><w:t xml:space="preserve">without a tail,and V and Y are both found for the same</w:t></w:r>
</w:p>
<w:p>
<w:pPr><w:pStyle w:val="Normal"/></w:pPr>
<w:r><w:t xml:space="preserve">sound.  The manner of writing up and down instead of backwards</w:t></w:r>
</w:p>
<w:p>
<w:pPr><w:pStyle w:val="Normal"/></w:pPr>
<w:r><w:t xml:space="preserve">and forwards across the stone is obviously appropriate to a</w:t></w:r>
</w:p>
<w:p>
<w:pPr><w:pStyle w:val="Normal"/></w:pPr>
<w:r><w:t xml:space="preserve">surface which is of considerable length, but comparatively</w:t></w:r>
</w:p>
<w:p>
<w:pPr><w:pStyle w:val="Normal"/></w:pPr>
<w:r><w:t xml:space="preserve">narrow, a connected sense being thus much easier to observe</w:t></w:r>
</w:p>
<w:p>
<w:pPr><w:pStyle w:val="Normal"/></w:pPr>
<w:r><w:t xml:space="preserve">than in writing across a narrow surface where, as in the</w:t></w:r>
</w:p>
<w:p>
<w:pPr><w:pStyle w:val="Normal"/></w:pPr>
<w:r><w:t xml:space="preserve">gravestones of Melos, three lines are required for a single</w:t></w:r>
</w:p>
<w:p>
<w:pPr><w:pStyle w:val="Normal"/></w:pPr>
<w:r><w:t xml:space="preserve">word.  The form of the monument corresponds to that which</w:t></w:r>
</w:p>
<w:p>
<w:pPr><w:pStyle w:val="Normal"/></w:pPr>
<w:r><w:t xml:space="preserve">we are told was given to the revolving wooden pillars on</w:t></w:r>
</w:p>
<w:p>
<w:pPr><w:pStyle w:val="Normal"/></w:pPr>
<w:r><w:t xml:space="preserve">which the laws of Solon were painted.  That the writing of</w:t></w:r>
</w:p>
<w:p>
<w:pPr><w:pStyle w:val="Normal"/></w:pPr>
<w:r><w:t xml:space="preserve">Solon&apos;s laws, which was boustrofedon, was also vertical</w:t></w:r>
</w:p>
<w:p>
<w:pPr><w:pStyle w:val="Normal"/></w:pPr>
<w:r><w:t xml:space="preserve">is rendered probable by the phrase o katothen nomos in</w:t></w:r>
</w:p>
<w:p>
<w:pPr><w:pStyle w:val="Normal"/></w:pPr>
<w:r><w:t xml:space="preserve">Demosthenes&apos; speech Against Aristocrates, sec.  28, for which</w:t></w:r>
</w:p>
<w:p>
<w:pPr><w:pStyle w:val="Normal"/></w:pPr>
<w:r><w:t xml:space="preserve">Harpocration is unable to supply a satisfactory explanation.</w:t></w:r>
</w:p>
<w:p>
<w:pPr><w:pStyle w:val="Normal"/></w:pPr>
<w:r><w:t xml:space="preserve">Differentiation of Roman from Greek alphabet.</w:t></w:r>
</w:p>
<w:p>
<w:pPr><w:pStyle w:val="Normal"/></w:pPr>
<w:r><w:t xml:space="preserve">The differentiation of the Roman alphabet from the Greek is</w:t></w:r>
</w:p>
<w:p>
<w:pPr><w:pStyle w:val="Normal"/></w:pPr>
<w:r><w:t xml:space="preserve">brought about (a) by utilizing the digamma for the unvoiced</w:t></w:r>
</w:p>
<w:p>
<w:pPr><w:pStyle w:val="Normal"/></w:pPr>
<w:r><w:t xml:space="preserve">labiodental spirant F; (b) by dropping out the aspirates</w:t></w:r>
</w:p>
<w:p>
<w:pPr><w:pStyle w:val="Normal"/></w:pPr>
<w:r><w:t xml:space="preserve">th, f, ch (@ in the Chalcidian alrhabet, whence the Roman</w:t></w:r>
</w:p>
<w:p>
<w:pPr><w:pStyle w:val="Normal"/></w:pPr>
<w:r><w:t xml:space="preserve">is derived) from the alphabet proper and employing them only</w:t></w:r>
</w:p>
<w:p>
<w:pPr><w:pStyle w:val="Normal"/></w:pPr>
<w:r><w:t xml:space="preserve">as numerals, th (@) being gradually modified till it was</w:t></w:r>
</w:p>
<w:p>
<w:pPr><w:pStyle w:val="Normal"/></w:pPr>
<w:r><w:t xml:space="preserve">identified with C as though the initial of centum, 100.</w:t></w:r>
</w:p>
<w:p>
<w:pPr><w:pStyle w:val="Normal"/></w:pPr>
<w:r><w:t xml:space="preserve">Similarly @ became in time identified with M as though</w:t></w:r>
</w:p>
<w:p>
<w:pPr><w:pStyle w:val="Normal"/></w:pPr>
<w:r><w:t xml:space="preserve">the initial of mille, 1000, aud the side strokes of ch</w:t></w:r>
</w:p>
<w:p>
<w:pPr><w:pStyle w:val="Normal"/></w:pPr>
<w:r><w:t xml:space="preserve">in the above form were flattened out till it became @, and</w:t></w:r>
</w:p>
<w:p>
<w:pPr><w:pStyle w:val="Normal"/></w:pPr>
<w:r><w:t xml:space="preserve">ultimately L, 50. (c) After 350 B.C., at latest, there</w:t></w:r>
</w:p>
<w:p>
<w:pPr><w:pStyle w:val="Normal"/></w:pPr>
<w:r><w:t xml:space="preserve">was in Latin no sound corresponding to Z, which was therefore</w:t></w:r>
</w:p>
<w:p>
<w:pPr><w:pStyle w:val="Normal"/></w:pPr>
<w:r><w:t xml:space="preserve">dropped.  In the Chalcidian alphabet the symbol for x was</w:t></w:r>
</w:p>
<w:p>
<w:pPr><w:pStyle w:val="Normal"/></w:pPr>
<w:r><w:t xml:space="preserve">placed after the symbols common to all Greek alphabets, a</w:t></w:r>
</w:p>
<w:p>
<w:pPr><w:pStyle w:val="Normal"/></w:pPr>
<w:r><w:t xml:space="preserve">position which X retains in the Latin (and also in the</w:t></w:r>
</w:p>
<w:p>
<w:pPr><w:pStyle w:val="Normal"/></w:pPr>
<w:r><w:t xml:space="preserve">Faliscan) alphabet. K in time passed out of use except as an</w:t></w:r>
</w:p>
<w:p>
<w:pPr><w:pStyle w:val="Normal"/></w:pPr>
<w:r><w:t xml:space="preserve">abbreviation, its place being taken by C, which, as we have</w:t></w:r>
</w:p>
<w:p>
<w:pPr><w:pStyle w:val="Normal"/></w:pPr>
<w:r><w:t xml:space="preserve">seen, is in the earliest inscrio1ion still g.  Three points</w:t></w:r>
</w:p>
<w:p>
<w:pPr><w:pStyle w:val="Normal"/></w:pPr>
<w:r><w:t xml:space="preserve">here require explanation: (1) Why K fell into disuse: (2)</w:t></w:r>
</w:p>
<w:p>
<w:pPr><w:pStyle w:val="Normal"/></w:pPr>
<w:r><w:t xml:space="preserve">Why C took the place of K; (3) why the new symbol G was</w:t></w:r>
</w:p>
<w:p>
<w:pPr><w:pStyle w:val="Normal"/></w:pPr>
<w:r><w:t xml:space="preserve">put in the place of the lost Z. It is clear that C must</w:t></w:r>
</w:p>
<w:p>
<w:pPr><w:pStyle w:val="Normal"/></w:pPr>
<w:r><w:t xml:space="preserve">have become an equivalent of K before the latter fell out of</w:t></w:r>
</w:p>
<w:p>
<w:pPr><w:pStyle w:val="Normal"/></w:pPr>
<w:r><w:t xml:space="preserve">use.  There is some evidence which seems to point to a</w:t></w:r>
</w:p>
<w:p>
<w:pPr><w:pStyle w:val="Normal"/></w:pPr>
<w:r><w:t xml:space="preserve">prouunciation of the voiced mutes which, like the South German</w:t></w:r>
</w:p>
<w:p>
<w:pPr><w:pStyle w:val="Normal"/></w:pPr>
<w:r><w:t xml:space="preserve">pronunciation of g, d, b, but slightly differentiated them</w:t></w:r>
</w:p>
<w:p>
<w:pPr><w:pStyle w:val="Normal"/></w:pPr>
<w:r><w:t xml:space="preserve">from the unvoiced mutes, so that confusion migh easily arise.</w:t></w:r>
</w:p>
<w:p>
<w:pPr><w:pStyle w:val="Normal"/></w:pPr>
<w:r><w:t xml:space="preserve">The Etruscans, who were separated from the Romans only by the</w:t></w:r>
</w:p>
<w:p>
<w:pPr><w:pStyle w:val="Normal"/></w:pPr>
<w:r><w:t xml:space="preserve">Tiber, gradually lost the voiced mutes.  But another cause</w:t></w:r>
</w:p>
<w:p>
<w:pPr><w:pStyle w:val="Normal"/></w:pPr>
<w:r><w:t xml:space="preserve">was perhaps more potent. C and IC, as k was frequently</w:t></w:r>
</w:p>
<w:p>
<w:pPr><w:pStyle w:val="Normal"/></w:pPr>
<w:r><w:t xml:space="preserve">written, would easily be confused in writing, and Professor Hempl</w:t></w:r>
</w:p>
<w:p>
<w:pPr><w:pStyle w:val="Normal"/></w:pPr>
<w:r><w:t xml:space="preserve">(Transactions of the Chalcidian Philological Association</w:t></w:r>
</w:p>
<w:p>
<w:pPr><w:pStyle w:val="Normal"/></w:pPr>
<w:r><w:t xml:space="preserve">for 1899, pp. 24 ff.) shows that the Chalcidian form of z--</w:t></w:r>
</w:p>
<w:p>
<w:pPr><w:pStyle w:val="Heading1"/></w:pPr>
<w:r><w:t>I developed into shapes which might have partaken of the</w:t></w:r>
</w:p>
<w:p>
<w:pPr><w:pStyle w:val="Normal"/></w:pPr>
<w:r><w:t xml:space="preserve">confusion.  Owing to this confusion, the new symbol G,</w:t></w:r>
</w:p>
<w:p>
<w:pPr><w:pStyle w:val="Normal"/></w:pPr>
<w:r><w:t xml:space="preserve">differentiated from C, took the place of the useless I.</w:t></w:r>
</w:p>
<w:p>
<w:pPr><w:pStyle w:val="Normal"/></w:pPr>
<w:r><w:t xml:space="preserve">In abbreviations, however, C remained as before in the</w:t></w:r>
</w:p>
<w:p>
<w:pPr><w:pStyle w:val="Normal"/></w:pPr>
<w:r><w:t xml:space="preserve">value of G, as in the names Gaius and Gnaeus. Y and</w:t></w:r>
</w:p>
<w:p>
<w:pPr><w:pStyle w:val="Normal"/></w:pPr>
<w:r><w:t xml:space="preserve">Z were added in the last century of the republic for use</w:t></w:r>
</w:p>
<w:p>
<w:pPr><w:pStyle w:val="Normal"/></w:pPr>
<w:r><w:t xml:space="preserve">in transliterating Greek words containing u and z.19</w:t></w:r>
</w:p>
<w:p>
<w:pPr><w:pStyle w:val="Normal"/></w:pPr>
<w:r><w:t xml:space="preserve">The dialect which was mosr closely akin to Latin was</w:t></w:r>
</w:p>
<w:p>
<w:pPr><w:pStyle w:val="Normal"/></w:pPr>
<w:r><w:t xml:space="preserve">Faliscan.  The men of Falerii, however, regularly took the side</w:t></w:r>
</w:p>
<w:p>
<w:pPr><w:pStyle w:val="Normal"/></w:pPr>
<w:r><w:t xml:space="preserve">of the Etruscans in wars with Rome, and it is clear that the</w:t></w:r>
</w:p>
<w:p>
<w:pPr><w:pStyle w:val="Normal"/></w:pPr>
<w:r><w:t xml:space="preserve">civilization of the old Falerii, destroyed for its rebellion</w:t></w:r>
</w:p>
<w:p>
<w:pPr><w:pStyle w:val="Normal"/></w:pPr>
<w:r><w:t xml:space="preserve">in 241 B.C., was Etruscan and not Roman in character.</w:t></w:r>
</w:p>
<w:p>
<w:pPr><w:pStyle w:val="Normal"/></w:pPr>
<w:r><w:t xml:space="preserve">Peculiar to this alphabet is the form for f--@.  Much more</w:t></w:r>
</w:p>
<w:p>
<w:pPr><w:pStyle w:val="Normal"/></w:pPr>
<w:r><w:t xml:space="preserve">important than the scanty remains of Faliscan is the Oscan</w:t></w:r>
</w:p>
<w:p>
<w:pPr><w:pStyle w:val="Normal"/></w:pPr>
<w:r><w:t xml:space="preserve">alphabet.  The history of this alphabet is different from that of</w:t></w:r>
</w:p>
<w:p>
<w:pPr><w:pStyle w:val="Normal"/></w:pPr>
<w:r><w:t xml:space="preserve">Rome.  It is certain from the symbols which they develop or</w:t></w:r>
</w:p>
<w:p>
<w:pPr><w:pStyle w:val="Normal"/></w:pPr>
<w:r><w:t xml:space="preserve">drop that the people of Campania and Samnium borrowed their</w:t></w:r>
</w:p>
<w:p>
<w:pPr><w:pStyle w:val="Normal"/></w:pPr>
<w:r><w:t xml:space="preserve">alphabet from the Etruscans, who held dominion in Campania</w:t></w:r>
</w:p>
<w:p>
<w:pPr><w:pStyle w:val="Normal"/></w:pPr>
<w:r><w:t xml:space="preserve">from the 8th to the 5th century B.C. Previous to the Punic</w:t></w:r>
</w:p>
<w:p>
<w:pPr><w:pStyle w:val="Normal"/></w:pPr>
<w:r><w:t xml:space="preserve">wars Campania had reached a higher stage of civilization than</w:t></w:r>
</w:p>
<w:p>
<w:pPr><w:pStyle w:val="Normal"/></w:pPr>
<w:r><w:t xml:space="preserve">Rome.  Unfortunately, the remains of that civilization are very</w:t></w:r>
</w:p>
<w:p>
<w:pPr><w:pStyle w:val="Normal"/></w:pPr>
<w:r><w:t xml:space="preserve">scanty, and our knowledge of the official alphabet outside</w:t></w:r>
</w:p>
<w:p>
<w:pPr><w:pStyle w:val="Normal"/></w:pPr>
<w:r><w:t xml:space="preserve">Capua, and at a later period Pompeii, is practically confined</w:t></w:r>
</w:p>
<w:p>
<w:pPr><w:pStyle w:val="Normal"/></w:pPr>
<w:r><w:t xml:space="preserve">to two important inscriptions, the tabula Agnonensis, now in</w:t></w:r>
</w:p>
<w:p>
<w:pPr><w:pStyle w:val="Normal"/></w:pPr>
<w:r><w:t xml:space="preserve">the British Museum, and the Cippus Abellanus, which is now</w:t></w:r>
</w:p>
<w:p>
<w:pPr><w:pStyle w:val="Normal"/></w:pPr>
<w:r><w:t xml:space="preserve">kept in the Episcopal Seminary at Nola.  Of Etruscan origin</w:t></w:r>
</w:p>
<w:p>
<w:pPr><w:pStyle w:val="Normal"/></w:pPr>
<w:r><w:t xml:space="preserve">also is the Umbrian alphabet, represented first and foremost</w:t></w:r>
</w:p>
<w:p>
<w:pPr><w:pStyle w:val="Normal"/></w:pPr>
<w:r><w:t xml:space="preserve">in the bronze tablets from Gubbio (the ancient Iguvium).</w:t></w:r>
</w:p>
<w:p>
<w:pPr><w:pStyle w:val="Normal"/></w:pPr>
<w:r><w:t xml:space="preserve">The Etruscan alphabet, like the Latin, was of Chalcidian</w:t></w:r>
</w:p>
<w:p>
<w:pPr><w:pStyle w:val="Normal"/></w:pPr>
<w:r><w:t xml:space="preserve">origin.  That it was borrowed at an early date is shown by</w:t></w:r>
</w:p>
<w:p>
<w:pPr><w:pStyle w:val="Normal"/></w:pPr>
<w:r><w:t xml:space="preserve">the fact that most of its numerous inscriptions run from</w:t></w:r>
</w:p>
<w:p>
<w:pPr><w:pStyle w:val="Normal"/></w:pPr>
<w:r><w:t xml:space="preserve">right to left, though some are written boustrofedon.</w:t></w:r>
</w:p>
<w:p>
<w:pPr><w:pStyle w:val="Normal"/></w:pPr>
<w:r><w:t xml:space="preserve">That it took over the whole Chalcidian alphabet is rendered</w:t></w:r>
</w:p>
<w:p>
<w:pPr><w:pStyle w:val="Normal"/></w:pPr>
<w:r><w:t xml:space="preserve">probable by the survival in Umbrian and Oscan, its daughter</w:t></w:r>
</w:p>
<w:p>
<w:pPr><w:pStyle w:val="Normal"/></w:pPr>
<w:r><w:t xml:space="preserve">alphabets, of forms which are not found in Etruscan itself.</w:t></w:r>
</w:p>
<w:p>
<w:pPr><w:pStyle w:val="Normal"/></w:pPr>
<w:r><w:t xml:space="preserve">This mysterious language, despite the existence of more than</w:t></w:r>
</w:p>
<w:p>
<w:pPr><w:pStyle w:val="Normal"/></w:pPr>
<w:r><w:t xml:space="preserve">6000 inscriptions, and the publication in 1892 of a book</w:t></w:r>
</w:p>
<w:p>
<w:pPr><w:pStyle w:val="Normal"/></w:pPr>
<w:r><w:t xml:space="preserve">written in the language and handed down to us by the accident</w:t></w:r>
</w:p>
<w:p>
<w:pPr><w:pStyle w:val="Normal"/></w:pPr>
<w:r><w:t xml:space="preserve">of its use to pack an Egyptian mummy, remains as obscure as</w:t></w:r>
</w:p>
<w:p>
<w:pPr><w:pStyle w:val="Normal"/></w:pPr>
<w:r><w:t xml:space="preserve">ever, but apparently it underwent very great phonetic changes</w:t></w:r>
</w:p>
<w:p>
<w:pPr><w:pStyle w:val="Normal"/></w:pPr>
<w:r><w:t xml:space="preserve">at an early period, so that the voiced mutes B, D, G</w:t></w:r>
</w:p>
<w:p>
<w:pPr><w:pStyle w:val="Normal"/></w:pPr>
<w:r><w:t xml:space="preserve">disappeared.  Of the existence of the vowel O there is no</w:t></w:r>
</w:p>
<w:p>
<w:pPr><w:pStyle w:val="Normal"/></w:pPr>
<w:r><w:t xml:space="preserve">evidence.  If it ever existed in Etruscan, it had been lost</w:t></w:r>
</w:p>
<w:p>
<w:pPr><w:pStyle w:val="Normal"/></w:pPr>
<w:r><w:t xml:space="preserve">before the Oscans and Umbrians borrowed their alphabets.  On</w:t></w:r>
</w:p>
<w:p>
<w:pPr><w:pStyle w:val="Normal"/></w:pPr>
<w:r><w:t xml:space="preserve">the other hand, both of their alphabets preserve B and Umbrian</w:t></w:r>
</w:p>
<w:p>
<w:pPr><w:pStyle w:val="Normal"/></w:pPr>
<w:r><w:t xml:space="preserve">G in the form @.  Etruscan also retained this symbol in</w:t></w:r>
</w:p>
<w:p>
<w:pPr><w:pStyle w:val="Normal"/></w:pPr>
<w:r><w:t xml:space="preserve">the form @, and utilized it exactly as Latin did to replace</w:t></w:r>
</w:p>
<w:p>
<w:pPr><w:pStyle w:val="Normal"/></w:pPr>
<w:r><w:t xml:space="preserve">@.  Oscan, in order to represent D, introduced later a</w:t></w:r>
</w:p>
<w:p>
<w:pPr><w:pStyle w:val="Normal"/></w:pPr>
<w:r><w:t xml:space="preserve">form @, thus creating confusion between the symbols for d</w:t></w:r>
</w:p>
<w:p>
<w:pPr><w:pStyle w:val="Normal"/></w:pPr>
<w:r><w:t xml:space="preserve">and for r. This form was adopted for d because @ had</w:t></w:r>
</w:p>
<w:p>
<w:pPr><w:pStyle w:val="Normal"/></w:pPr>
<w:r><w:t xml:space="preserve">already been borrowed from Etruscan as the symbol for r,</w:t></w:r>
</w:p>
<w:p>
<w:pPr><w:pStyle w:val="Normal"/></w:pPr>
<w:r><w:t xml:space="preserve">although @ is also found on Etruscan inscriptions.  For the</w:t></w:r>
</w:p>
<w:p>
<w:pPr><w:pStyle w:val="Normal"/></w:pPr>
<w:r><w:t xml:space="preserve">Greek digamma Etruscan used both @ and @, but the former</w:t></w:r>
</w:p>
<w:p>
<w:pPr><w:pStyle w:val="Normal"/></w:pPr>
<w:r><w:t xml:space="preserve">only was borrowed by the other languages.  Etruscan, like</w:t></w:r>
</w:p>
<w:p>
<w:pPr><w:pStyle w:val="Normal"/></w:pPr>
<w:r><w:t xml:space="preserve">Latin, used @(from right to left) to represent the sound of</w:t></w:r>
</w:p>
<w:p>
<w:pPr><w:pStyle w:val="Normal"/></w:pPr>
<w:r><w:t xml:space="preserve">Latin F, but, unlike Latin, adopted @ not @ as the single</w:t></w:r>
</w:p>
<w:p>
<w:pPr><w:pStyle w:val="Normal"/></w:pPr>
<w:r><w:t xml:space="preserve">symbol.  This form it then wrote as two lozenges @, whence</w:t></w:r>
</w:p>
<w:p>
<w:pPr><w:pStyle w:val="Normal"/></w:pPr>
<w:r><w:t xml:space="preserve">developed a later sign, @, which is used also in Umbrian and</w:t></w:r>
</w:p>
<w:p>
<w:pPr><w:pStyle w:val="Normal"/></w:pPr>
<w:r><w:t xml:space="preserve">Oscan.  As the old digamma was kept, this new sign was placed</w:t></w:r>
</w:p>
<w:p>
<w:pPr><w:pStyle w:val="Normal"/></w:pPr>
<w:r><w:t xml:space="preserve">after those borrowed from the Chalcidian alphabet.  Similarly</w:t></w:r>
</w:p>
<w:p>
<w:pPr><w:pStyle w:val="Normal"/></w:pPr>
<w:r><w:t xml:space="preserve">it used @ and I for the Chalcidian z; Umbrian borrowed</w:t></w:r>
</w:p>
<w:p>
<w:pPr><w:pStyle w:val="Normal"/></w:pPr>
<w:r><w:t xml:space="preserve">the first, Oscan the second form.  The form for h was still</w:t></w:r>
</w:p>
<w:p>
<w:pPr><w:pStyle w:val="Normal"/></w:pPr>
<w:r><w:t xml:space="preserve">closed @, which Etruscan passed on to Oscan, while Umbrian</w:t></w:r>
</w:p>
<w:p>
<w:pPr><w:pStyle w:val="Normal"/></w:pPr>
<w:r><w:t xml:space="preserve">modified it to @.  The form for m has five strokes; from</w:t></w:r>
</w:p>
<w:p>
<w:pPr><w:pStyle w:val="Normal"/></w:pPr>
<w:r><w:t xml:space="preserve">a later form @ the Oscan form was borrowed.  Of the two</w:t></w:r>
</w:p>
<w:p>
<w:pPr><w:pStyle w:val="Normal"/></w:pPr>
<w:r><w:t xml:space="preserve">sibilants, M and @ or S, Oscan adopted only @, Umbrian</w:t></w:r>
</w:p>
<w:p>
<w:pPr><w:pStyle w:val="Normal"/></w:pPr>
<w:r><w:t xml:space="preserve">both M and the rounded form S. @ is found on Etruscan</w:t></w:r>
</w:p>
<w:p>
<w:pPr><w:pStyle w:val="Normal"/></w:pPr>
<w:r><w:t xml:space="preserve">inscriptions, but not in the alphabet series preserved;</w:t></w:r>
</w:p>
<w:p>
<w:pPr><w:pStyle w:val="Normal"/></w:pPr>
<w:r><w:t xml:space="preserve">neirher Umbrian nor Oscan has this form. T appears in</w:t></w:r>
</w:p>
<w:p>
<w:pPr><w:pStyle w:val="Normal"/></w:pPr>
<w:r><w:t xml:space="preserve">Etruscan as @, and X; of these Umbrian borrows the first</w:t></w:r>
</w:p>
<w:p>
<w:pPr><w:pStyle w:val="Normal"/></w:pPr>
<w:r><w:t xml:space="preserve">two, while Oscan has a form T like Latin.  Etruscan took</w:t></w:r>
</w:p>
<w:p>
<w:pPr><w:pStyle w:val="Normal"/></w:pPr>
<w:r><w:t xml:space="preserve">over the three Greek aspirates, th, f, ch, in their Chalcidian</w:t></w:r>
</w:p>
<w:p>
<w:pPr><w:pStyle w:val="Normal"/></w:pPr>
<w:r><w:t xml:space="preserve">forms; th survives in Umbrian as @ , the others naturally</w:t></w:r>
</w:p>
<w:p>
<w:pPr><w:pStyle w:val="Normal"/></w:pPr>
<w:r><w:t xml:space="preserve">disappear.  Both Umbrian and Oscan devised two new symbols.</w:t></w:r>
</w:p>
<w:p>
<w:pPr><w:pStyle w:val="Normal"/></w:pPr>
<w:r><w:t xml:space="preserve">Umbrian took over from Etruscan perhaps the sign @, but</w:t></w:r>
</w:p>
<w:p>
<w:pPr><w:pStyle w:val="Normal"/></w:pPr>
<w:r><w:t xml:space="preserve">gave it the new value of a spirant whirh developed out of an</w:t></w:r>
</w:p>
<w:p>
<w:pPr><w:pStyle w:val="Normal"/></w:pPr>
<w:r><w:t xml:space="preserve">earlier d-sound, but which is written in the Latin alphabet</w:t></w:r>
</w:p>
<w:p>
<w:pPr><w:pStyle w:val="Normal"/></w:pPr>
<w:r><w:t xml:space="preserve">with rs.  The second Umbrian symbol was @, which was the</w:t></w:r>
</w:p>
<w:p>
<w:pPr><w:pStyle w:val="Normal"/></w:pPr>
<w:r><w:t xml:space="preserve">representative of an s-sound developed by palatalizing an</w:t></w:r>
</w:p>
<w:p>
<w:pPr><w:pStyle w:val="Normal"/></w:pPr>
<w:r><w:t xml:space="preserve">earlier k.  In Oscan, which had an o-sound, but no symbol</w:t></w:r>
</w:p>
<w:p>
<w:pPr><w:pStyle w:val="Normal"/></w:pPr>
<w:r><w:t xml:space="preserve">for it, a new sign was invented by placing a dot between</w:t></w:r>
</w:p>
<w:p>
<w:pPr><w:pStyle w:val="Normal"/></w:pPr>
<w:r><w:t xml:space="preserve">the legs of the symbol for u-@.  This, however, is found</w:t></w:r>
</w:p>
<w:p>
<w:pPr><w:pStyle w:val="Normal"/></w:pPr>
<w:r><w:t xml:space="preserve">only in the best-written documents, and on some materials</w:t></w:r>
</w:p>
<w:p>
<w:pPr><w:pStyle w:val="Normal"/></w:pPr>
<w:r><w:t xml:space="preserve">the dot cannot be distinguished.  The symbol @ was invented</w:t></w:r>
</w:p>
<w:p>
<w:pPr><w:pStyle w:val="Normal"/></w:pPr>
<w:r><w:t xml:space="preserve">for the open i-sound and close e&apos;m-sound.20 At a</w:t></w:r>
</w:p>
<w:p>
<w:pPr><w:pStyle w:val="Normal"/></w:pPr>
<w:r><w:t xml:space="preserve">much later epoch it was introduced into the Latin alphabet</w:t></w:r>
</w:p>
<w:p>
<w:pPr><w:pStyle w:val="Normal"/></w:pPr>
<w:r><w:t xml:space="preserve">by the emperor Claudius to represent y, and the sound</w:t></w:r>
</w:p>
<w:p>
<w:pPr><w:pStyle w:val="Normal"/></w:pPr>
<w:r><w:t xml:space="preserve">which was wrirten as i or u in maximus, maxumus, &amp;c.</w:t></w:r>
</w:p>
<w:p>
<w:pPr><w:pStyle w:val="Normal"/></w:pPr>
<w:r><w:t xml:space="preserve">Besides the Italic alphabets already mentioned, which are all</w:t></w:r>
</w:p>
<w:p>
<w:pPr><w:pStyle w:val="Normal"/></w:pPr>
<w:r><w:t xml:space="preserve">derived from the alphabet of the Chalcidian Greek colonists</w:t></w:r>
</w:p>
<w:p>
<w:pPr><w:pStyle w:val="Normal"/></w:pPr>
<w:r><w:t xml:space="preserve">in Italy, there were at least four other alphabets in use in</w:t></w:r>
</w:p>
<w:p>
<w:pPr><w:pStyle w:val="Normal"/></w:pPr>
<w:r><w:t xml:space="preserve">different parts of Italy: (1) the Messapian of the south-east</w:t></w:r>
</w:p>
<w:p>
<w:pPr><w:pStyle w:val="Heading1"/></w:pPr>
<w:r><w:t>part of the peninsula, in which the inscriptions of the</w:t></w:r>
</w:p>
<w:p>
<w:pPr><w:pStyle w:val="Normal"/></w:pPr>
<w:r><w:t xml:space="preserve">Illyrian dialect in use there were written, an alphabet</w:t></w:r>
</w:p>
<w:p>
<w:pPr><w:pStyle w:val="Normal"/></w:pPr>
<w:r><w:t xml:space="preserve">which, according to Pauli (Alt-italische Forschungen,</w:t></w:r>
</w:p>
<w:p>
<w:pPr><w:pStyle w:val="Normal"/></w:pPr>
<w:r><w:t xml:space="preserve">iii. chap. ii.) was borrowed from the Locrian alphabet;</w:t></w:r>
</w:p>
<w:p>
<w:pPr><w:pStyle w:val="Normal"/></w:pPr>
<w:r><w:t xml:space="preserve">(2) the Sabellic alphabet, derived from that of Corinth and</w:t></w:r>
</w:p>
<w:p>
<w:pPr><w:pStyle w:val="Normal"/></w:pPr>
<w:r><w:t xml:space="preserve">Corcyra, and found in a few inscriptions of eastern-central</w:t></w:r>
</w:p>
<w:p>
<w:pPr><w:pStyle w:val="Normal"/></w:pPr>
<w:r><w:t xml:space="preserve">Italy; (3) the alphabet of the Veneti of north-east Italy</w:t></w:r>
</w:p>
<w:p>
<w:pPr><w:pStyle w:val="Normal"/></w:pPr>
<w:r><w:t xml:space="preserve">derived from the Elean: (4) the alphabet of Sondrio (between</w:t></w:r>
</w:p>
<w:p>
<w:pPr><w:pStyle w:val="Normal"/></w:pPr>
<w:r><w:t xml:space="preserve">Lakes Como and Garda), which Pauli, on the insufficient</w:t></w:r>
</w:p>
<w:p>
<w:pPr><w:pStyle w:val="Normal"/></w:pPr>
<w:r><w:t xml:space="preserve">ground that it possesses no symbols corresponding to</w:t></w:r>
</w:p>
<w:p>
<w:pPr><w:pStyle w:val="Normal"/></w:pPr>
<w:r><w:t xml:space="preserve">f and ch, derives from a source at the same stage of</w:t></w:r>
</w:p>
<w:p>
<w:pPr><w:pStyle w:val="Normal"/></w:pPr>
<w:r><w:t xml:space="preserve">development as the oldest alphabets of Thera, Melos and Crete.</w:t></w:r>
</w:p>
<w:p>
<w:pPr><w:pStyle w:val="Normal"/></w:pPr>
<w:r><w:t xml:space="preserve">From the fact that upon the Galassi vase (unearthed at Cervetri,</w:t></w:r>
</w:p>
<w:p>
<w:pPr><w:pStyle w:val="Normal"/></w:pPr>
<w:r><w:t xml:space="preserve">but probably a product of Caere), which is now in the Gregorian</w:t></w:r>
</w:p>
<w:p>
<w:pPr><w:pStyle w:val="Normal"/></w:pPr>
<w:r><w:t xml:space="preserve">Museum of the Vatican, a syllabary is found along with one of</w:t></w:r>
</w:p>
<w:p>
<w:pPr><w:pStyle w:val="Normal"/></w:pPr>
<w:r><w:t xml:space="preserve">the most archaic Greek alphabets, and that a similar combination</w:t></w:r>
</w:p>
<w:p>
<w:pPr><w:pStyle w:val="Normal"/></w:pPr>
<w:r><w:t xml:space="preserve">was found upon the wall of a tomb at Colle, near Siena, it</w:t></w:r>
</w:p>
<w:p>
<w:pPr><w:pStyle w:val="Normal"/></w:pPr>
<w:r><w:t xml:space="preserve">has been argued that syllabic preceded alphabetic writing in</w:t></w:r>
</w:p>
<w:p>
<w:pPr><w:pStyle w:val="Normal"/></w:pPr>
<w:r><w:t xml:space="preserve">Italy.  But a syllabary where each syllable is made by the</w:t></w:r>
</w:p>
<w:p>
<w:pPr><w:pStyle w:val="Normal"/></w:pPr>
<w:r><w:t xml:space="preserve">combinations of a symbol for a consonant with that for a vowel</w:t></w:r>
</w:p>
<w:p>
<w:pPr><w:pStyle w:val="Normal"/></w:pPr>
<w:r><w:t xml:space="preserve">can furnish no proof of the existence of a syllabary in the</w:t></w:r>
</w:p>
<w:p>
<w:pPr><w:pStyle w:val="Normal"/></w:pPr>
<w:r><w:t xml:space="preserve">strict sense, where each symbol represents a syllable; it is</w:t></w:r>
</w:p>
<w:p>
<w:pPr><w:pStyle w:val="Normal"/></w:pPr>
<w:r><w:t xml:space="preserve">rather evidence against the existence of such writing.  The</w:t></w:r>
</w:p>
<w:p>
<w:pPr><w:pStyle w:val="Normal"/></w:pPr>
<w:r><w:t xml:space="preserve">syllabary upon the Galassi vase indicates in all probability</w:t></w:r>
</w:p>
<w:p>
<w:pPr><w:pStyle w:val="Normal"/></w:pPr>
<w:r><w:t xml:space="preserve">that the vase, which resembles an ink-bottle, belonged to a</w:t></w:r>
</w:p>
<w:p>
<w:pPr><w:pStyle w:val="Normal"/></w:pPr>
<w:r><w:t xml:space="preserve">child, for whose edification the syllables pa, pi, pe, pu and</w:t></w:r>
</w:p>
<w:p>
<w:pPr><w:pStyle w:val="Normal"/></w:pPr>
<w:r><w:t xml:space="preserve">the rest were intended.  The evidence adduced from the Latin</w:t></w:r>
</w:p>
<w:p>
<w:pPr><w:pStyle w:val="Normal"/></w:pPr>
<w:r><w:t xml:space="preserve">grammarians, and from abbreviations on Latin inscriptions like</w:t></w:r>
</w:p>
<w:p>
<w:pPr><w:pStyle w:val="Normal"/></w:pPr>
<w:r><w:t xml:space="preserve">lubs for lubens, is not sufficient to establish the theory.</w:t></w:r>
</w:p>
<w:p>
<w:pPr><w:pStyle w:val="Normal"/></w:pPr>
<w:r><w:t xml:space="preserve">Teutonic runes.</w:t></w:r>
</w:p>
<w:p>
<w:pPr><w:pStyle w:val="Normal"/></w:pPr>
<w:r><w:t xml:space="preserve">It has been argued that the runes of the Teutonic peoples</w:t></w:r>
</w:p>
<w:p>
<w:pPr><w:pStyle w:val="Normal"/></w:pPr>
<w:r><w:t xml:space="preserve">have been derived from a form of the Etruscan alphabet,</w:t></w:r>
</w:p>
<w:p>
<w:pPr><w:pStyle w:val="Normal"/></w:pPr>
<w:r><w:t xml:space="preserve">inscriptions in which are spread over a great part of northern</w:t></w:r>
</w:p>
<w:p>
<w:pPr><w:pStyle w:val="Normal"/></w:pPr>
<w:r><w:t xml:space="preserve">Italy, but of which the most characteristic are found in the</w:t></w:r>
</w:p>
<w:p>
<w:pPr><w:pStyle w:val="Normal"/></w:pPr>
<w:r><w:t xml:space="preserve">neighbourhood of Lugano, and in Tirol near Innsbruch, Botzen and</w:t></w:r>
</w:p>
<w:p>
<w:pPr><w:pStyle w:val="Normal"/></w:pPr>
<w:r><w:t xml:space="preserve">Trent.  The Danish scholar L. F. A. Wimmer, in his great</w:t></w:r>
</w:p>
<w:p>
<w:pPr><w:pStyle w:val="Normal"/></w:pPr>
<w:r><w:t xml:space="preserve">work Die Runenschrift (Berlin, 1887), contends that the</w:t></w:r>
</w:p>
<w:p>
<w:pPr><w:pStyle w:val="Normal"/></w:pPr>
<w:r><w:t xml:space="preserve">resemblance, though striking, is superficial.  Wimmer&apos;s own</w:t></w:r>
</w:p>
<w:p>
<w:pPr><w:pStyle w:val="Normal"/></w:pPr>
<w:r><w:t xml:space="preserve">view is that the runes were developed from the Latin alphabet</w:t></w:r>
</w:p>
<w:p>
<w:pPr><w:pStyle w:val="Normal"/></w:pPr>
<w:r><w:t xml:space="preserve">in use at the end of the 2nd century A.D. Wimmer supports his</w:t></w:r>
</w:p>
<w:p>
<w:pPr><w:pStyle w:val="Normal"/></w:pPr>
<w:r><w:t xml:space="preserve">thesis with great learning and ingenuity, and when allowance</w:t></w:r>
</w:p>
<w:p>
<w:pPr><w:pStyle w:val="Normal"/></w:pPr>
<w:r><w:t xml:space="preserve">is made for the fact that a script to be written upon wood,</w:t></w:r>
</w:p>
<w:p>
<w:pPr><w:pStyle w:val="Normal"/></w:pPr>
<w:r><w:t xml:space="preserve">as the runes were, of necessity avoids horizontal lines which</w:t></w:r>
</w:p>
<w:p>
<w:pPr><w:pStyle w:val="Normal"/></w:pPr>
<w:r><w:t xml:space="preserve">run along the fibres of the wood, and would therefore be</w:t></w:r>
</w:p>
<w:p>
<w:pPr><w:pStyle w:val="Normal"/></w:pPr>
<w:r><w:t xml:space="preserve">indistinct, most of the runic signs thus receive a plausible</w:t></w:r>
</w:p>
<w:p>
<w:pPr><w:pStyle w:val="Normal"/></w:pPr>
<w:r><w:t xml:space="preserve">explanation.  The strongest argument for the derivation from</w:t></w:r>
</w:p>
<w:p>
<w:pPr><w:pStyle w:val="Normal"/></w:pPr>
<w:r><w:t xml:space="preserve">the Latin alphabet is undoubtedly the value of attaching to</w:t></w:r>
</w:p>
<w:p>
<w:pPr><w:pStyle w:val="Normal"/></w:pPr>
<w:r><w:t xml:space="preserve">@; for, as we have seen, the Greek value of this symbol is w,</w:t></w:r>
</w:p>
<w:p>
<w:pPr><w:pStyle w:val="Normal"/></w:pPr>
<w:r><w:t xml:space="preserve">and its value as f arises only by abbreviation from FH. On</w:t></w:r>
</w:p>
<w:p>
<w:pPr><w:pStyle w:val="Normal"/></w:pPr>
<w:r><w:t xml:space="preserve">the other hand, several of Wimmer&apos;s equations are undoubtedly</w:t></w:r>
</w:p>
<w:p>
<w:pPr><w:pStyle w:val="Normal"/></w:pPr>
<w:r><w:t xml:space="preserve">forced.  Even if we grant that the Latin symbols were inverted</w:t></w:r>
</w:p>
<w:p>
<w:pPr><w:pStyle w:val="Normal"/></w:pPr>
<w:r><w:t xml:space="preserve">or set at an angle (a proceeding which is paralleled by the</w:t></w:r>
</w:p>
<w:p>
<w:pPr><w:pStyle w:val="Normal"/></w:pPr>
<w:r><w:t xml:space="preserve">treatment of the Phoenician signs in Greek hands), so that</w:t></w:r>
</w:p>
<w:p>
<w:pPr><w:pStyle w:val="Normal"/></w:pPr>
<w:r><w:t xml:space="preserve">@ represents Latin V, M, Latin E, @ and @ Latin D;</w:t></w:r>
</w:p>
<w:p>
<w:pPr><w:pStyle w:val="Normal"/></w:pPr>
<w:r><w:t xml:space="preserve">while the symbol for the voiced spirant th is @ doubled,</w:t></w:r>
</w:p>
<w:p>
<w:pPr><w:pStyle w:val="Normal"/></w:pPr>
<w:r><w:t xml:space="preserve">@, @, it is difficult to believe that the symbol for the</w:t></w:r>
</w:p>
<w:p>
<w:pPr><w:pStyle w:val="Normal"/></w:pPr>
<w:r><w:t xml:space="preserve">spirant g, viz. @, represents a Latin K (which was of</w:t></w:r>
</w:p>
<w:p>
<w:pPr><w:pStyle w:val="Normal"/></w:pPr>
<w:r><w:t xml:space="preserve">rare occurrence), or again @, @ a Latin N, or that the</w:t></w:r>
</w:p>
<w:p>
<w:pPr><w:pStyle w:val="Normal"/></w:pPr>
<w:r><w:t xml:space="preserve">symbol for ng, do, represents @ = c doubled.  Moreover,</w:t></w:r>
</w:p>
<w:p>
<w:pPr><w:pStyle w:val="Normal"/></w:pPr>
<w:r><w:t xml:space="preserve">the date of the borrowing seems too late.  The runes are</w:t></w:r>
</w:p>
<w:p>
<w:pPr><w:pStyle w:val="Normal"/></w:pPr>
<w:r><w:t xml:space="preserve">found in all Teutonic countries,and the Romans were in close</w:t></w:r>
</w:p>
<w:p>
<w:pPr><w:pStyle w:val="Normal"/></w:pPr>
<w:r><w:t xml:space="preserve">contact with the Germans on the Rhine before the beginning</w:t></w:r>
</w:p>
<w:p>
<w:pPr><w:pStyle w:val="Normal"/></w:pPr>
<w:r><w:t xml:space="preserve">of the Christian era.  We hear of correspondence between</w:t></w:r>
</w:p>
<w:p>
<w:pPr><w:pStyle w:val="Normal"/></w:pPr>
<w:r><w:t xml:space="preserve">the Romans and German chieftains in the early day&apos;s of the</w:t></w:r>
</w:p>
<w:p>
<w:pPr><w:pStyle w:val="Normal"/></w:pPr>
<w:r><w:t xml:space="preserve">empire.  It is strange, therefore, if the Roman alphabet,</w:t></w:r>
</w:p>
<w:p>
<w:pPr><w:pStyle w:val="Normal"/></w:pPr>
<w:r><w:t xml:space="preserve">which formed the model for the runes, was that of two</w:t></w:r>
</w:p>
<w:p>
<w:pPr><w:pStyle w:val="Normal"/></w:pPr>
<w:r><w:t xml:space="preserve">whole centuries later, and even then the formal alphabet of</w:t></w:r>
</w:p>
<w:p>
<w:pPr><w:pStyle w:val="Normal"/></w:pPr>
<w:r><w:t xml:space="preserve">inscriptions.  By that time the Teutons were likely to have more</w:t></w:r>
</w:p>
<w:p>
<w:pPr><w:pStyle w:val="Normal"/></w:pPr>
<w:r><w:t xml:space="preserve">convenient materials than wood whereon to write, so that the</w:t></w:r>
</w:p>
<w:p>
<w:pPr><w:pStyle w:val="Normal"/></w:pPr>
<w:r><w:t xml:space="preserve">adaptation of the forms would not have been necessary.  That</w:t></w:r>
</w:p>
<w:p>
<w:pPr><w:pStyle w:val="Normal"/></w:pPr>
<w:r><w:t xml:space="preserve">the Germans were familiar with some sort of marks on wood at</w:t></w:r>
</w:p>
<w:p>
<w:pPr><w:pStyle w:val="Normal"/></w:pPr>
<w:r><w:t xml:space="preserve">a much earlier period is shown by Tacitus&apos;s Germania, chap.</w:t></w:r>
</w:p>
<w:p>
<w:pPr><w:pStyle w:val="Normal"/></w:pPr>
<w:r><w:t xml:space="preserve">x.  There we are told that for purposes of divination certain</w:t></w:r>
</w:p>
<w:p>
<w:pPr><w:pStyle w:val="Normal"/></w:pPr>
<w:r><w:t xml:space="preserve">signs were scratched on slips of wood from a fruit-bearing</w:t></w:r>
</w:p>
<w:p>
<w:pPr><w:pStyle w:val="Normal"/></w:pPr>
<w:r><w:t xml:space="preserve">tree (including, no doubt, tile beech; cp. book, German</w:t></w:r>
</w:p>
<w:p>
<w:pPr><w:pStyle w:val="Normal"/></w:pPr>
<w:r><w:t xml:space="preserve">Buch, and Buchstabe, a letter of the alphabet); the</w:t></w:r>
</w:p>
<w:p>
<w:pPr><w:pStyle w:val="Normal"/></w:pPr>
<w:r><w:t xml:space="preserve">slips were thrown down promiscuously on a white cloth. whence</w:t></w:r>
</w:p>
<w:p>
<w:pPr><w:pStyle w:val="Normal"/></w:pPr>
<w:r><w:t xml:space="preserve">the expert picked them up at random and by them interpreted</w:t></w:r>
</w:p>
<w:p>
<w:pPr><w:pStyle w:val="Normal"/></w:pPr>
<w:r><w:t xml:space="preserve">fate.  In these slips we have the origin of the Norse</w:t></w:r>
</w:p>
<w:p>
<w:pPr><w:pStyle w:val="Normal"/></w:pPr>
<w:r><w:t xml:space="preserve">kefli, the Scots kaivel, which were and are still used as</w:t></w:r>
</w:p>
<w:p>
<w:pPr><w:pStyle w:val="Normal"/></w:pPr>
<w:r><w:t xml:space="preserve">lots.  The fishermen of north-east Scotland, when they return</w:t></w:r>
</w:p>
<w:p>
<w:pPr><w:pStyle w:val="Normal"/></w:pPr>
<w:r><w:t xml:space="preserve">after a successful haul, divide the spoil into as many shares</w:t></w:r>
</w:p>
<w:p>
<w:pPr><w:pStyle w:val="Normal"/></w:pPr>
<w:r><w:t xml:space="preserve">as there are men in the boat, with one share more for the</w:t></w:r>
</w:p>
<w:p>
<w:pPr><w:pStyle w:val="Normal"/></w:pPr>
<w:r><w:t xml:space="preserve">boat.  Each man then procures a piece of wood or stone,</w:t></w:r>
</w:p>
<w:p>
<w:pPr><w:pStyle w:val="Normal"/></w:pPr>
<w:r><w:t xml:space="preserve">on which he puts a private mark.  These lots are put in a</w:t></w:r>
</w:p>
<w:p>
<w:pPr><w:pStyle w:val="Normal"/></w:pPr>
<w:r><w:t xml:space="preserve">heap, and an outsider is called in who throws one lot or</w:t></w:r>
</w:p>
<w:p>
<w:pPr><w:pStyle w:val="Normal"/></w:pPr>
<w:r><w:t xml:space="preserve">kaivel upon each heap of fish.  Each fisherman then finds his</w:t></w:r>
</w:p>
<w:p>
<w:pPr><w:pStyle w:val="Normal"/></w:pPr>
<w:r><w:t xml:space="preserve">kaivel, and the heap on which it lies is his.  This system of</w:t></w:r>
</w:p>
<w:p>
<w:pPr><w:pStyle w:val="Normal"/></w:pPr>
<w:r><w:t xml:space="preserve">``casting kaivels,&apos;&apos; as it is called, is certainly of great</w:t></w:r>
</w:p>
<w:p>
<w:pPr><w:pStyle w:val="Normal"/></w:pPr>
<w:r><w:t xml:space="preserve">antiquity.  But its existence will not help to prove an</w:t></w:r>
</w:p>
<w:p>
<w:pPr><w:pStyle w:val="Normal"/></w:pPr>
<w:r><w:t xml:space="preserve">early knowledge of reading or writing, for in order that</w:t></w:r>
</w:p>
<w:p>
<w:pPr><w:pStyle w:val="Normal"/></w:pPr>
<w:r><w:t xml:space="preserve">everything may be fair, it is clear that the umpire should</w:t></w:r>
</w:p>
<w:p>
<w:pPr><w:pStyle w:val="Normal"/></w:pPr>
<w:r><w:t xml:space="preserve">not be able to identify the lot as belonging to a particular</w:t></w:r>
</w:p>
<w:p>
<w:pPr><w:pStyle w:val="Normal"/></w:pPr>
<w:r><w:t xml:space="preserve">individual.  It has, however, been contended that a system</w:t></w:r>
</w:p>
<w:p>
<w:pPr><w:pStyle w:val="Normal"/></w:pPr>
<w:r><w:t xml:space="preserve">of primitive runes existed whence some at least of the later</w:t></w:r>
</w:p>
<w:p>
<w:pPr><w:pStyle w:val="Normal"/></w:pPr>
<w:r><w:t xml:space="preserve">runes were borrowed, and the ownership marks of the Lapps, who</w:t></w:r>
</w:p>
<w:p>
<w:pPr><w:pStyle w:val="Normal"/></w:pPr>
<w:r><w:t xml:space="preserve">have no knowledge of reading and writing, have been regarded</w:t></w:r>
</w:p>
<w:p>
<w:pPr><w:pStyle w:val="Normal"/></w:pPr>
<w:r><w:t xml:space="preserve">as borrowed from these early Teutonic runes.21 Be this as it</w:t></w:r>
</w:p>
<w:p>
<w:pPr><w:pStyle w:val="Normal"/></w:pPr>
<w:r><w:t xml:space="preserve">may, the resemblances between the runic and the Mediterranean</w:t></w:r>
</w:p>
<w:p>
<w:pPr><w:pStyle w:val="Normal"/></w:pPr>
<w:r><w:t xml:space="preserve">alphabets are too great to admit of denial that it is from</w:t></w:r>
</w:p>
<w:p>
<w:pPr><w:pStyle w:val="Normal"/></w:pPr>
<w:r><w:t xml:space="preserve">a Greek alphabet, whether directly or indirectly, that the</w:t></w:r>
</w:p>
<w:p>
<w:pPr><w:pStyle w:val="Normal"/></w:pPr>
<w:r><w:t xml:space="preserve">runes are derived.  That Wimmer postdates the introduction</w:t></w:r>
</w:p>
<w:p>
<w:pPr><w:pStyle w:val="Normal"/></w:pPr>
<w:r><w:t xml:space="preserve">of the runic alphabet seems clear from the archaic forms</w:t></w:r>
</w:p>
<w:p>
<w:pPr><w:pStyle w:val="Normal"/></w:pPr>
<w:r><w:t xml:space="preserve">and method of writing.  It is very unlikely that a people</w:t></w:r>
</w:p>
<w:p>
<w:pPr><w:pStyle w:val="Normal"/></w:pPr>
<w:r><w:t xml:space="preserve">borrowing an alphabet which was uniformly written from left</w:t></w:r>
</w:p>
<w:p>
<w:pPr><w:pStyle w:val="Normal"/></w:pPr>
<w:r><w:t xml:space="preserve">to right should have used it in order to write from right</w:t></w:r>
</w:p>
<w:p>
<w:pPr><w:pStyle w:val="Normal"/></w:pPr>
<w:r><w:t xml:space="preserve">to left, or boustrofedon. Hence Hempl contends22 that</w:t></w:r>
</w:p>
<w:p>
<w:pPr><w:pStyle w:val="Normal"/></w:pPr>
<w:r><w:t xml:space="preserve">Wimmer&apos;s view must be discarded, and that the runes were</w:t></w:r>
</w:p>
<w:p>
<w:pPr><w:pStyle w:val="Normal"/></w:pPr>
<w:r><w:t xml:space="preserve">derived about 600 B.C. from a western Greek alphabet which</w:t></w:r>
</w:p>
<w:p>
<w:pPr><w:pStyle w:val="Normal"/></w:pPr>
<w:r><w:t xml:space="preserve">closely resembled the Formello alphabet (one of the ancient</w:t></w:r>
</w:p>
<w:p>
<w:pPr><w:pStyle w:val="Normal"/></w:pPr>
<w:r><w:t xml:space="preserve">Chalcidian abecedaria) and the Sabellic and North Etruscan</w:t></w:r>
</w:p>
<w:p>
<w:pPr><w:pStyle w:val="Normal"/></w:pPr>
<w:r><w:t xml:space="preserve">alphabets.  He thus fixes the date at the same period as</w:t></w:r>
</w:p>
<w:p>
<w:pPr><w:pStyle w:val="Normal"/></w:pPr>
<w:r><w:t xml:space="preserve">Isaac Taylor had done in his Greeks and Goths and The</w:t></w:r>
</w:p>
<w:p>
<w:pPr><w:pStyle w:val="Normal"/></w:pPr>
<w:r><w:t xml:space="preserve">Alphabet.  Taylor, however, derived the runes from the alphabet</w:t></w:r>
</w:p>
<w:p>
<w:pPr><w:pStyle w:val="Normal"/></w:pPr>
<w:r><w:t xml:space="preserve">of a Greek colony on the Black Sea. Hempl&apos;s initiative was</w:t></w:r>
</w:p>
<w:p>
<w:pPr><w:pStyle w:val="Normal"/></w:pPr>
<w:r><w:t xml:space="preserve">followed by Professor Gundermann of Giessen, who announced</w:t></w:r>
</w:p>
<w:p>
<w:pPr><w:pStyle w:val="Normal"/></w:pPr>
<w:r><w:t xml:space="preserve">in November 180723 that he had discovered the source of</w:t></w:r>
</w:p>
<w:p>
<w:pPr><w:pStyle w:val="Normal"/></w:pPr>
<w:r><w:t xml:space="preserve">the runic alphabet, the introduction of which he declares</w:t></w:r>
</w:p>
<w:p>
<w:pPr><w:pStyle w:val="Normal"/></w:pPr>
<w:r><w:t xml:space="preserve">preceded the first of the phonetic changes known as the</w:t></w:r>
</w:p>
<w:p>
<w:pPr><w:pStyle w:val="Normal"/></w:pPr>
<w:r><w:t xml:space="preserve">``Teutonic sound-shifting,&apos;&apos; since @ = g is used for k,</w:t></w:r>
</w:p>
<w:p>
<w:pPr><w:pStyle w:val="Heading1"/></w:pPr>
<w:r><w:t>X = ch for g, a Theta-like symbol for d, while zd</w:t></w:r>
</w:p>
<w:p>
<w:pPr><w:pStyle w:val="Normal"/></w:pPr>
<w:r><w:t xml:space="preserve">is used for st.  If this view (which is identical with</w:t></w:r>
</w:p>
<w:p>
<w:pPr><w:pStyle w:val="Normal"/></w:pPr>
<w:r><w:t xml:space="preserve">Taylor&apos;s) be true, we have a parallel in the Armenian alphabet,</w:t></w:r>
</w:p>
<w:p>
<w:pPr><w:pStyle w:val="Normal"/></w:pPr>
<w:r><w:t xml:space="preserve">which is similarly used for a new value of the sounds.</w:t></w:r>
</w:p>
<w:p>
<w:pPr><w:pStyle w:val="Normal"/></w:pPr>
<w:r><w:t xml:space="preserve">Hempl, on the other hand, contends that the sound-shifting</w:t></w:r>
</w:p>
<w:p>
<w:pPr><w:pStyle w:val="Normal"/></w:pPr>
<w:r><w:t xml:space="preserve">had already taken place, and, arguing that several of the</w:t></w:r>
</w:p>
<w:p>
<w:pPr><w:pStyle w:val="Normal"/></w:pPr>
<w:r><w:t xml:space="preserve">symbols have changed places (e.g. @ f and @ a,</w:t></w:r>
</w:p>
<w:p>
<w:pPr><w:pStyle w:val="Normal"/></w:pPr>
<w:r><w:t xml:space="preserve">@ u and @ b, because at this time b was a bilabial</w:t></w:r>
</w:p>
<w:p>
<w:pPr><w:pStyle w:val="Normal"/></w:pPr>
<w:r><w:t xml:space="preserve">spirant and not a stop), ultimately obtains an order-- a b</w:t></w:r>
</w:p>
<w:p>
<w:pPr><w:pStyle w:val="Normal"/></w:pPr>
<w:r><w:t xml:space="preserve">d e f z kgw h i j @@ p r s t u l m n th o.  As neither</w:t></w:r>
</w:p>
<w:p>
<w:pPr><w:pStyle w:val="Normal"/></w:pPr>
<w:r><w:t xml:space="preserve">Gundermann nor Hempl has published the full evidence for his</w:t></w:r>
</w:p>
<w:p>
<w:pPr><w:pStyle w:val="Normal"/></w:pPr>
<w:r><w:t xml:space="preserve">view, no definite conclusion at the moment is possible.</w:t></w:r>
</w:p>
<w:p>
<w:pPr><w:pStyle w:val="Normal"/></w:pPr>
<w:r><w:t xml:space="preserve">Ogam writing.</w:t></w:r>
</w:p>
<w:p>
<w:pPr><w:pStyle w:val="Normal"/></w:pPr>
<w:r><w:t xml:space="preserve">In one of the earliest runic records which we possess, the</w:t></w:r>
</w:p>
<w:p>
<w:pPr><w:pStyle w:val="Normal"/></w:pPr>
<w:r><w:t xml:space="preserve">pendant found at Vadstena in Sweden in 1774, and dating</w:t></w:r>
</w:p>
<w:p>
<w:pPr><w:pStyle w:val="Normal"/></w:pPr>
<w:r><w:t xml:space="preserve">from about A.D. 600 (see Plate) the signs are divided up</w:t></w:r>
</w:p>
<w:p>
<w:pPr><w:pStyle w:val="Normal"/></w:pPr>
<w:r><w:t xml:space="preserve">into three series of eight (the twenty fourth, @, being</w:t></w:r>
</w:p>
<w:p>
<w:pPr><w:pStyle w:val="Normal"/></w:pPr>
<w:r><w:t xml:space="preserve">omitted for want of room).  Upon the basis of this division</w:t></w:r>
</w:p>
<w:p>
<w:pPr><w:pStyle w:val="Normal"/></w:pPr>
<w:r><w:t xml:space="preserve">a system of cryptography (in the sense that the symbols are</w:t></w:r>
</w:p>
<w:p>
<w:pPr><w:pStyle w:val="Normal"/></w:pPr>
<w:r><w:t xml:space="preserve">unintelligible without knowledge of the runic alphabet) was</w:t></w:r>
</w:p>
<w:p>
<w:pPr><w:pStyle w:val="Normal"/></w:pPr>
<w:r><w:t xml:space="preserve">developed, wherein the series and the position within the</w:t></w:r>
</w:p>
<w:p>
<w:pPr><w:pStyle w:val="Normal"/></w:pPr>
<w:r><w:t xml:space="preserve">series of the letter indicated, were each represented by</w:t></w:r>
</w:p>
<w:p>
<w:pPr><w:pStyle w:val="Normal"/></w:pPr>
<w:r><w:t xml:space="preserve">straight strokes, the strokes for the series being shorter</w:t></w:r>
</w:p>
<w:p>
<w:pPr><w:pStyle w:val="Normal"/></w:pPr>
<w:r><w:t xml:space="preserve">than those for the runes or the series being represented</w:t></w:r>
</w:p>
<w:p>
<w:pPr><w:pStyle w:val="Normal"/></w:pPr>
<w:r><w:t xml:space="preserve">by strokes to the left the runes by strokes to the right of</w:t></w:r>
</w:p>
<w:p>
<w:pPr><w:pStyle w:val="Normal"/></w:pPr>
<w:r><w:t xml:space="preserve">a medial line.24 From this system probably developed the</w:t></w:r>
</w:p>
<w:p>
<w:pPr><w:pStyle w:val="Normal"/></w:pPr>
<w:r><w:t xml:space="preserve">ogam writing employed among the Celtic peoples of Britain and</w:t></w:r>
</w:p>
<w:p>
<w:pPr><w:pStyle w:val="Normal"/></w:pPr>
<w:r><w:t xml:space="preserve">Ireland.  The ogam inscriptions in Wales are frequently</w:t></w:r>
</w:p>
<w:p>
<w:pPr><w:pStyle w:val="Normal"/></w:pPr>
<w:r><w:t xml:space="preserve">accompanied by Latin legend, and they date probably as</w:t></w:r>
</w:p>
<w:p>
<w:pPr><w:pStyle w:val="Normal"/></w:pPr>
<w:r><w:t xml:space="preserve">far back as the 5th and 6th centuries A D. Hence the</w:t></w:r>
</w:p>
<w:p>
<w:pPr><w:pStyle w:val="Normal"/></w:pPr>
<w:r><w:t xml:space="preserve">connexion between Celt and Teuton as regards writing must</w:t></w:r>
</w:p>
<w:p>
<w:pPr><w:pStyle w:val="Normal"/></w:pPr>
<w:r><w:t xml:space="preserve">go back to a period preceding the Viking inroads of the 8th</w:t></w:r>
</w:p>
<w:p>
<w:pPr><w:pStyle w:val="Normal"/></w:pPr>
<w:r><w:t xml:space="preserve">century.  Taylor, however, conjectures (The Alphabet ii.</w:t></w:r>
</w:p>
<w:p>
<w:pPr><w:pStyle w:val="Normal"/></w:pPr>
<w:r><w:t xml:space="preserve">p 227) that the ogams originated in Pembroke, ``where there</w:t></w:r>
</w:p>
<w:p>
<w:pPr><w:pStyle w:val="Normal"/></w:pPr>
<w:r><w:t xml:space="preserve">was a very ancieni Teutonic settlement, possibly of Jutes,</w:t></w:r>
</w:p>
<w:p>
<w:pPr><w:pStyle w:val="Normal"/></w:pPr>
<w:r><w:t xml:space="preserve">who as is indicated by the evidence of runic inscriptions</w:t></w:r>
</w:p>
<w:p>
<w:pPr><w:pStyle w:val="Normal"/></w:pPr>
<w:r><w:t xml:space="preserve">fonnd in Kent, seem to have been the only Teutonic people</w:t></w:r>
</w:p>
<w:p>
<w:pPr><w:pStyle w:val="Normal"/></w:pPr>
<w:r><w:t xml:space="preserve">of southern Britain who were acquainted with the Gothic</w:t></w:r>
</w:p>
<w:p>
<w:pPr><w:pStyle w:val="Normal"/></w:pPr>
<w:r><w:t xml:space="preserve">Futhoro.&apos;&apos; However this may be, the ogam alphabet shows</w:t></w:r>
</w:p>
<w:p>
<w:pPr><w:pStyle w:val="Normal"/></w:pPr>
<w:r><w:t xml:space="preserve">some knowledge of phonetics and some attempt to classifv</w:t></w:r>
</w:p>
<w:p>
<w:pPr><w:pStyle w:val="Normal"/></w:pPr>
<w:r><w:t xml:space="preserve">the sounds accordingly.  The symbols are as follows25:--</w:t></w:r>
</w:p>
<w:p>
<w:pPr><w:pStyle w:val="Normal"/></w:pPr>
<w:r><w:t xml:space="preserve">The form of the ogam alphabet made it easy to carve hastily;</w:t></w:r>
</w:p>
<w:p>
<w:pPr><w:pStyle w:val="Normal"/></w:pPr>
<w:r><w:t xml:space="preserve">hence in the old sagas, when a hero is killed we had the</w:t></w:r>
</w:p>
<w:p>
<w:pPr><w:pStyle w:val="Normal"/></w:pPr>
<w:r><w:t xml:space="preserve">common formula. ``His grave was dug and his stone was raised,</w:t></w:r>
</w:p>
<w:p>
<w:pPr><w:pStyle w:val="Normal"/></w:pPr>
<w:r><w:t xml:space="preserve">and his name was written in ogam.&apos;&apos; mccording to Sophus</w:t></w:r>
</w:p>
<w:p>
<w:pPr><w:pStyle w:val="Normal"/></w:pPr>
<w:r><w:t xml:space="preserve">Muller (Nordische Altertumskunde, ii. p. 264), it was</w:t></w:r>
</w:p>
<w:p>
<w:pPr><w:pStyle w:val="Normal"/></w:pPr>
<w:r><w:t xml:space="preserve">from Britain that the use of runes upon gravestones was</w:t></w:r>
</w:p>
<w:p>
<w:pPr><w:pStyle w:val="Normal"/></w:pPr>
<w:r><w:t xml:space="preserve">derived a use which, to judge from the number of bilingual</w:t></w:r>
</w:p>
<w:p>
<w:pPr><w:pStyle w:val="Normal"/></w:pPr>
<w:r><w:t xml:space="preserve">inscriptions in Britain, the Celts derived from the Romans.</w:t></w:r>
</w:p>
<w:p>
<w:pPr><w:pStyle w:val="Normal"/></w:pPr>
<w:r><w:t xml:space="preserve">The special forms of the alphabet--the Cyrillic and the Glagolitic</w:t></w:r>
</w:p>
<w:p>
<w:pPr><w:pStyle w:val="Normal"/></w:pPr>
<w:r><w:t xml:space="preserve">--which have been adopted by certain of the Slavonic peoples</w:t></w:r>
</w:p>
<w:p>
<w:pPr><w:pStyle w:val="Normal"/></w:pPr>
<w:r><w:t xml:space="preserve">are both sprung directly from the Greek alphabet of the ninth</w:t></w:r>
</w:p>
<w:p>
<w:pPr><w:pStyle w:val="Normal"/></w:pPr>
<w:r><w:t xml:space="preserve">century A.D , with the considerable additions rendered necessary</w:t></w:r>
</w:p>
<w:p>
<w:pPr><w:pStyle w:val="Normal"/></w:pPr>
<w:r><w:t xml:space="preserve">by the greater variety of sounds in Slavonic as compared with</w:t></w:r>
</w:p>
<w:p>
<w:pPr><w:pStyle w:val="Normal"/></w:pPr>
<w:r><w:t xml:space="preserve">Greek.  Apart from other evidence, the use of B with the</w:t></w:r>
</w:p>
<w:p>
<w:pPr><w:pStyle w:val="Normal"/></w:pPr>
<w:r><w:t xml:space="preserve">value of v, of H as well as I with the value of i, of</w:t></w:r>
</w:p>
<w:p>
<w:pPr><w:pStyle w:val="Normal"/></w:pPr>
<w:r><w:t xml:space="preserve">F with the value of f and X wiih that of the Scotch ch,</w:t></w:r>
</w:p>
<w:p>
<w:pPr><w:pStyle w:val="Normal"/></w:pPr>
<w:r><w:t xml:space="preserve">would be proof that the alphabet was not borrowed till long</w:t></w:r>
</w:p>
<w:p>
<w:pPr><w:pStyle w:val="Normal"/></w:pPr>
<w:r><w:t xml:space="preserve">after the Greek classical period, for not till later did b,</w:t></w:r>
</w:p>
<w:p>
<w:pPr><w:pStyle w:val="Normal"/></w:pPr>
<w:r><w:t xml:space="preserve">f, ch become spirants and e become identified with i.</w:t></w:r>
</w:p>
<w:p>
<w:pPr><w:pStyle w:val="Normal"/></w:pPr>
<w:r><w:t xml:space="preserve">The confusion of b wirh v necessitated the invention of</w:t></w:r>
</w:p>
<w:p>
<w:pPr><w:pStyle w:val="Normal"/></w:pPr>
<w:r><w:t xml:space="preserve">a new symbol b in the Cyrillic, @ in the Glagolithic for</w:t></w:r>
</w:p>
<w:p>
<w:pPr><w:pStyle w:val="Normal"/></w:pPr>
<w:r><w:t xml:space="preserve">b, while new symbols were also required for the sounds or</w:t></w:r>
</w:p>
<w:p>
<w:pPr><w:pStyle w:val="Normal"/></w:pPr>
<w:r><w:t xml:space="preserve">combinations of sounds z (zh), dz, st (sht), c (ts),</w:t></w:r>
</w:p>
<w:p>
<w:pPr><w:pStyle w:val="Normal"/></w:pPr>
<w:r><w:t xml:space="preserve">c (ch in church), s (sh), u, i, y (u without</w:t></w:r>
</w:p>
<w:p>
<w:pPr><w:pStyle w:val="Normal"/></w:pPr>
<w:r><w:t xml:space="preserve">protrusion of the lips), e (a close long e sound), for</w:t></w:r>
</w:p>
<w:p>
<w:pPr><w:pStyle w:val="Normal"/></w:pPr>
<w:r><w:t xml:space="preserve">the combination of o, a and e with consonantal I (English</w:t></w:r>
</w:p>
<w:p>
<w:pPr><w:pStyle w:val="Normal"/></w:pPr>
<w:r><w:t xml:space="preserve">y) and for the nasalized vowels e, a (nasalized o</w:t></w:r>
</w:p>
<w:p>
<w:pPr><w:pStyle w:val="Normal"/></w:pPr>
<w:r><w:t xml:space="preserve">in pronunciation) and the combinations je and ja (English</w:t></w:r>
</w:p>
<w:p>
<w:pPr><w:pStyle w:val="Normal"/></w:pPr>
<w:r><w:t xml:space="preserve">je and ja) In all these matters Glagolitic differs</w:t></w:r>
</w:p>
<w:p>
<w:pPr><w:pStyle w:val="Normal"/></w:pPr>
<w:r><w:t xml:space="preserve">very little from Cyrillic; it has only one symbol for ja</w:t></w:r>
</w:p>
<w:p>
<w:pPr><w:pStyle w:val="Normal"/></w:pPr>
<w:r><w:t xml:space="preserve">(ya) and e because both in this dialect were pronounced the</w:t></w:r>
</w:p>
<w:p>
<w:pPr><w:pStyle w:val="Normal"/></w:pPr>
<w:r><w:t xml:space="preserve">same.  It has also only one symbol for e and je (ye)</w:t></w:r>
</w:p>
<w:p>
<w:pPr><w:pStyle w:val="Normal"/></w:pPr>
<w:r><w:t xml:space="preserve">for the phonetic reason that je always appears in the</w:t></w:r>
</w:p>
<w:p>
<w:pPr><w:pStyle w:val="Normal"/></w:pPr>
<w:r><w:t xml:space="preserve">old ecclesiastical Slavonic, for which the alphabets were</w:t></w:r>
</w:p>
<w:p>
<w:pPr><w:pStyle w:val="Normal"/></w:pPr>
<w:r><w:t xml:space="preserve">fashioned, at the beginning of words and after vowels: cp. the</w:t></w:r>
</w:p>
<w:p>
<w:pPr><w:pStyle w:val="Normal"/></w:pPr>
<w:r><w:t xml:space="preserve">English use of the symbol u in unspoken and uniform.</w:t></w:r>
</w:p>
<w:p>
<w:pPr><w:pStyle w:val="Normal"/></w:pPr>
<w:r><w:t xml:space="preserve">Glagolitic has a symbol for the palatalized g (@), but it</w:t></w:r>
</w:p>
<w:p>
<w:pPr><w:pStyle w:val="Normal"/></w:pPr>
<w:r><w:t xml:space="preserve">is used only in the transcription of Greek words, g having</w:t></w:r>
</w:p>
<w:p>
<w:pPr><w:pStyle w:val="Normal"/></w:pPr>
<w:r><w:t xml:space="preserve">become y early between vowels in the popular dialects.</w:t></w:r>
</w:p>
<w:p>
<w:pPr><w:pStyle w:val="Normal"/></w:pPr>
<w:r><w:t xml:space="preserve">Such an elaborate alphabet could hardly have been invented</w:t></w:r>
</w:p>
<w:p>
<w:pPr><w:pStyle w:val="Normal"/></w:pPr>
<w:r><w:t xml:space="preserve">except by a scholar, and tradition, probably rightly, has</w:t></w:r>
</w:p>
<w:p>
<w:pPr><w:pStyle w:val="Normal"/></w:pPr>
<w:r><w:t xml:space="preserve">attached the credit for its invention to Cyril (originally</w:t></w:r>
</w:p>
<w:p>
<w:pPr><w:pStyle w:val="Normal"/></w:pPr>
<w:r><w:t xml:space="preserve">Constantine), who along wi1h his brother Methodius</w:t></w:r>
</w:p>
<w:p>
<w:pPr><w:pStyle w:val="Normal"/></w:pPr>
<w:r><w:t xml:space="preserve">proceeded in A.D. 863 to Moravia from Constantinople,</w:t></w:r>
</w:p>
<w:p>
<w:pPr><w:pStyle w:val="Normal"/></w:pPr>
<w:r><w:t xml:space="preserve">for the purpose of converting the Slavonic inhabitants to</w:t></w:r>
</w:p>
<w:p>
<w:pPr><w:pStyle w:val="Normal"/></w:pPr>
<w:r><w:t xml:space="preserve">Christianity.  The only question which concerns us here is</w:t></w:r>
</w:p>
<w:p>
<w:pPr><w:pStyle w:val="Normal"/></w:pPr>
<w:r><w:t xml:space="preserve">which of the two alphabets was the earlier in use, and after</w:t></w:r>
</w:p>
<w:p>
<w:pPr><w:pStyle w:val="Normal"/></w:pPr>
<w:r><w:t xml:space="preserve">much discussion authorities on Slavonic seem generally agreed</w:t></w:r>
</w:p>
<w:p>
<w:pPr><w:pStyle w:val="Normal"/></w:pPr>
<w:r><w:t xml:space="preserve">that it was the Glagolitic (the name is derived from the Old</w:t></w:r>
</w:p>
<w:p>
<w:pPr><w:pStyle w:val="Normal"/></w:pPr>
<w:r><w:t xml:space="preserve">Bulgarian, i.e old ecclesiastical Slavonic glagolu,</w:t></w:r>
</w:p>
<w:p>
<w:pPr><w:pStyle w:val="Normal"/></w:pPr>
<w:r><w:t xml:space="preserve">``word&apos;&apos;).  According to Professor Leskien (Grammatlk der</w:t></w:r>
</w:p>
<w:p>
<w:pPr><w:pStyle w:val="Normal"/></w:pPr>
<w:r><w:t xml:space="preserve">altbulgariechen (altkirchenslavischen) Sprache, Heidelberg,</w:t></w:r>
</w:p>
<w:p>
<w:pPr><w:pStyle w:val="Normal"/></w:pPr>
<w:r><w:t xml:space="preserve">1909, p. xxi.), Cyril had probably made a prolonged and</w:t></w:r>
</w:p>
<w:p>
<w:pPr><w:pStyle w:val="Normal"/></w:pPr>
<w:r><w:t xml:space="preserve">careful study of Slavonic before proceeding on his missionary</w:t></w:r>
</w:p>
<w:p>
<w:pPr><w:pStyle w:val="Normal"/></w:pPr>
<w:r><w:t xml:space="preserve">journey, and probably in the first instance with a view to</w:t></w:r>
</w:p>
<w:p>
<w:pPr><w:pStyle w:val="Normal"/></w:pPr>
<w:r><w:t xml:space="preserve">preaching the Gospel to the Slavs of Macedonia and Bulgaria,</w:t></w:r>
</w:p>
<w:p>
<w:pPr><w:pStyle w:val="Normal"/></w:pPr>
<w:r><w:t xml:space="preserve">who were much nearer his own home, Thessalonica, than were</w:t></w:r>
</w:p>
<w:p>
<w:pPr><w:pStyle w:val="Normal"/></w:pPr>
<w:r><w:t xml:space="preserve">those of Moravia.  The Glagolitic was founded upon the</w:t></w:r>
</w:p>
<w:p>
<w:pPr><w:pStyle w:val="Normal"/></w:pPr>
<w:r><w:t xml:space="preserve">ordinary Greek minuscule writing of the period, as was shown</w:t></w:r>
</w:p>
<w:p>
<w:pPr><w:pStyle w:val="Normal"/></w:pPr>
<w:r><w:t xml:space="preserve">by Dr Isaac Taylor,26 though the writing of the letters</w:t></w:r>
</w:p>
<w:p>
<w:pPr><w:pStyle w:val="Normal"/></w:pPr>
<w:r><w:t xml:space="preserve">separately without abbreviations and an obvious attempt at</w:t></w:r>
</w:p>
<w:p>
<w:pPr><w:pStyle w:val="Normal"/></w:pPr>
<w:r><w:t xml:space="preserve">artistic effect has gradually differentiated it from Greek</w:t></w:r>
</w:p>
<w:p>
<w:pPr><w:pStyle w:val="Normal"/></w:pPr>
<w:r><w:t xml:space="preserve">writing.  This alphabet, which is much more difficult to</w:t></w:r>
</w:p>
<w:p>
<w:pPr><w:pStyle w:val="Normal"/></w:pPr>
<w:r><w:t xml:space="preserve">read than the bolder Cyrillic founded on the Greek uncial,</w:t></w:r>
</w:p>
<w:p>
<w:pPr><w:pStyle w:val="Normal"/></w:pPr>
<w:r><w:t xml:space="preserve">survived for ordinary purposes in Croatia and in the islands</w:t></w:r>
</w:p>
<w:p>
<w:pPr><w:pStyle w:val="Normal"/></w:pPr>
<w:r><w:t xml:space="preserve">of the Quarnero till the 17th century.  The Servians and</w:t></w:r>
</w:p>
<w:p>
<w:pPr><w:pStyle w:val="Normal"/></w:pPr>
<w:r><w:t xml:space="preserve">Russians apparently always used the Cyrillic, and its</w:t></w:r>
</w:p>
<w:p>
<w:pPr><w:pStyle w:val="Normal"/></w:pPr>
<w:r><w:t xml:space="preserve">advantages gradually ousted the Glagolitic elsewhere, though</w:t></w:r>
</w:p>
<w:p>
<w:pPr><w:pStyle w:val="Normal"/></w:pPr>
<w:r><w:t xml:space="preserve">the service book in the old ecclesiastical language which</w:t></w:r>
</w:p>
<w:p>
<w:pPr><w:pStyle w:val="Normal"/></w:pPr>
<w:r><w:t xml:space="preserve">is used by the Roman Catholic Croats is in Glagolitic.27</w:t></w:r>
</w:p>
<w:p>
<w:pPr><w:pStyle w:val="Normal"/></w:pPr>
<w:r><w:t xml:space="preserve">Phrygian.</w:t></w:r>
</w:p>
<w:p>
<w:pPr><w:pStyle w:val="Normal"/></w:pPr>
<w:r><w:t xml:space="preserve">While the Carian and Lycian were probabIy independent of the</w:t></w:r>
</w:p>
<w:p>
<w:pPr><w:pStyle w:val="Normal"/></w:pPr>
<w:r><w:t xml:space="preserve">Greek in origin, so, too, at the opposite end of the Mediterranean</w:t></w:r>
</w:p>
<w:p>
<w:pPr><w:pStyle w:val="Normal"/></w:pPr>
<w:r><w:t xml:space="preserve">was the Iberian.  On the other hand, the Phrygian was very</w:t></w:r>
</w:p>
<w:p>
<w:pPr><w:pStyle w:val="Normal"/></w:pPr>
<w:r><w:t xml:space="preserve">closely akin to the Greek in alphabet as well as in linguistic</w:t></w:r>
</w:p>
<w:p>
<w:pPr><w:pStyle w:val="Normal"/></w:pPr>
<w:r><w:t xml:space="preserve">character.  The Greek alphabet, with which it was most closely</w:t></w:r>
</w:p>
<w:p>
<w:pPr><w:pStyle w:val="Normal"/></w:pPr>
<w:r><w:t xml:space="preserve">connected, was the Western, for 1he evidence is strongly in</w:t></w:r>
</w:p>
<w:p>
<w:pPr><w:pStyle w:val="Normal"/></w:pPr>
<w:r><w:t xml:space="preserve">favour of the form @ having the value of ch, not ps, in</w:t></w:r>
</w:p>
<w:p>
<w:pPr><w:pStyle w:val="Normal"/></w:pPr>
<w:r><w:t xml:space="preserve">Phrygian, as it certainly has in the Etruscan inscription found</w:t></w:r>
</w:p>
<w:p>
<w:pPr><w:pStyle w:val="Normal"/></w:pPr>
<w:r><w:t xml:space="preserve">on Lemnos in 1886, which is in an alphabet practically identical.</w:t></w:r>
</w:p>
<w:p>
<w:pPr><w:pStyle w:val="Normal"/></w:pPr>
<w:r><w:t xml:space="preserve">Armenian.</w:t></w:r>
</w:p>
<w:p>
<w:pPr><w:pStyle w:val="Normal"/></w:pPr>
<w:r><w:t xml:space="preserve">To a much later era belongs the Armenian alphabet, which,</w:t></w:r>
</w:p>
<w:p>
<w:pPr><w:pStyle w:val="Normal"/></w:pPr>
<w:r><w:t xml:space="preserve">according to tradition, was revealed to Bishop Mesrob in a</w:t></w:r>
</w:p>
<w:p>
<w:pPr><w:pStyle w:val="Normal"/></w:pPr>
<w:r><w:t xml:space="preserve">dream.  The land might have been Grecized had it not, about</w:t></w:r>
</w:p>
<w:p>
<w:pPr><w:pStyle w:val="Normal"/></w:pPr>
<w:r><w:t xml:space="preserve">A.D. 387, been divided between Persia and Byzantium, the</w:t></w:r>
</w:p>
<w:p>
<w:pPr><w:pStyle w:val="Normal"/></w:pPr>
<w:r><w:t xml:space="preserve">greater part falling to the former, who discouraged Greek</w:t></w:r>
</w:p>
<w:p>
<w:pPr><w:pStyle w:val="Normal"/></w:pPr>
<w:r><w:t xml:space="preserve">and favoured Syriac, which the Christian Armenians did not</w:t></w:r>
</w:p>
<w:p>
<w:pPr><w:pStyle w:val="Normal"/></w:pPr>
<w:r><w:t xml:space="preserve">understand.  As those within Persian terrirory were forbidden</w:t></w:r>
</w:p>
<w:p>
<w:pPr><w:pStyle w:val="Normal"/></w:pPr>
<w:r><w:t xml:space="preserve">to learn Greek, an Armenian Christian liierature became a</w:t></w:r>
</w:p>
<w:p>
<w:pPr><w:pStyle w:val="Normal"/></w:pPr>
<w:r><w:t xml:space="preserve">necessity.  Taylor contends that the alphabet is Iranian</w:t></w:r>
</w:p>
<w:p>
<w:pPr><w:pStyle w:val="Normal"/></w:pPr>
<w:r><w:t xml:space="preserve">in origin, but the circumstances justify Gardthausen and</w:t></w:r>
</w:p>
<w:p>
<w:pPr><w:pStyle w:val="Normal"/></w:pPr>
<w:r><w:t xml:space="preserve">Hubschmann in claiming it for Greek.  That some symbols</w:t></w:r>
</w:p>
<w:p>
<w:pPr><w:pStyle w:val="Normal"/></w:pPr>
<w:r><w:t xml:space="preserve">are like Persian only shows that Mesrob was not able</w:t></w:r>
</w:p>
<w:p>
<w:pPr><w:pStyle w:val="Normal"/></w:pPr>
<w:r><w:t xml:space="preserve">to rid himself of the influences under which he lived.</w:t></w:r>
</w:p>
<w:p>
<w:pPr><w:pStyle w:val="Normal"/></w:pPr>
<w:r><w:t xml:space="preserve">Of the later development of Phoenician amongst Phoenician people</w:t></w:r>
</w:p>
<w:p>
<w:pPr><w:pStyle w:val="Normal"/></w:pPr>
<w:r><w:t xml:space="preserve">little need be said here.  It can be traced in the graffiti</w:t></w:r>
</w:p>
<w:p>
<w:pPr><w:pStyle w:val="Normal"/></w:pPr>
<w:r><w:t xml:space="preserve">of the mercenaries of Psammetichus at Abu Simbel in Upper</w:t></w:r>
</w:p>
<w:p>
<w:pPr><w:pStyle w:val="Normal"/></w:pPr>
<w:r><w:t xml:space="preserve">Egyrt, where Greeks, Carians and Phoenicians all cut their</w:t></w:r>
</w:p>
<w:p>
<w:pPr><w:pStyle w:val="Normal"/></w:pPr>
<w:r><w:t xml:space="preserve">names upon the legs of the colossal statues.  Still later it</w:t></w:r>
</w:p>
<w:p>
<w:pPr><w:pStyle w:val="Normal"/></w:pPr>
<w:r><w:t xml:space="preserve">is found on the stele of Byblos, and on the sarcophagus of</w:t></w:r>
</w:p>
<w:p>
<w:pPr><w:pStyle w:val="Normal"/></w:pPr>
<w:r><w:t xml:space="preserve">Eshmunazar (about 300 B.C.).  The most numerous inscriptions</w:t></w:r>
</w:p>
<w:p>
<w:pPr><w:pStyle w:val="Normal"/></w:pPr>
<w:r><w:t xml:space="preserve">come from the excavations in Carthage, the ancient colony of</w:t></w:r>
</w:p>
<w:p>
<w:pPr><w:pStyle w:val="Normal"/></w:pPr>
<w:r><w:t xml:space="preserve">Sidon.  One general feature characterizes them all, though</w:t></w:r>
</w:p>
<w:p>
<w:pPr><w:pStyle w:val="Normal"/></w:pPr>
<w:r><w:t xml:space="preserve">they differ somewhat in detail.  The symbols become longer</w:t></w:r>
</w:p>
<w:p>
<w:pPr><w:pStyle w:val="Normal"/></w:pPr>
<w:r><w:t xml:space="preserve">and thinner; in fact, cease to be the script of monuments</w:t></w:r>
</w:p>
<w:p>
<w:pPr><w:pStyle w:val="Normal"/></w:pPr>
<w:r><w:t xml:space="preserve">and become the script of a busy trading people.  While the</w:t></w:r>
</w:p>
<w:p>
<w:pPr><w:pStyle w:val="Normal"/></w:pPr>
<w:r><w:t xml:space="preserve">Phoenician alphabet was thus fertile in developing daughter</w:t></w:r>
</w:p>
<w:p>
<w:pPr><w:pStyle w:val="Normal"/></w:pPr>
<w:r><w:t xml:space="preserve">alphabets in the West, the progress of writing was no less</w:t></w:r>
</w:p>
<w:p>
<w:pPr><w:pStyle w:val="Normal"/></w:pPr>
<w:r><w:t xml:space="preserve">great in the East, first among the Semitic peoples, and through</w:t></w:r>
</w:p>
<w:p>
<w:pPr><w:pStyle w:val="Normal"/></w:pPr>
<w:r><w:t xml:space="preserve">them among other peoples still more remote.  The carrying</w:t></w:r>
</w:p>
<w:p>
<w:pPr><w:pStyle w:val="Normal"/></w:pPr>
<w:r><w:t xml:space="preserve">of the alphabet to the Greeks by the Phoenicians at an early</w:t></w:r>
</w:p>
<w:p>
<w:pPr><w:pStyle w:val="Normal"/></w:pPr>
<w:r><w:t xml:space="preserve">period affords no clue to the period when Semitic ingenuity</w:t></w:r>
</w:p>
<w:p>
<w:pPr><w:pStyle w:val="Normal"/></w:pPr>
<w:r><w:t xml:space="preserve">constructed an alphabet out of a heterogeneous multitude of</w:t></w:r>
</w:p>
<w:p>
<w:pPr><w:pStyle w:val="Normal"/></w:pPr>
<w:r><w:t xml:space="preserve">signs.  If it be possible to assign to some of the monuments</w:t></w:r>
</w:p>
<w:p>
<w:pPr><w:pStyle w:val="Normal"/></w:pPr>
<w:r><w:t xml:space="preserve">discovered in Arabia by Glaser a date not later than 1500</w:t></w:r>
</w:p>
<w:p>
<w:pPr><w:pStyle w:val="Normal"/></w:pPr>
<w:r><w:t xml:space="preserve">B.C., the origin of the alphabet and its dissemination are</w:t></w:r>
</w:p>
<w:p>
<w:pPr><w:pStyle w:val="Normal"/></w:pPr>
<w:r><w:t xml:space="preserve">carried back to a much earlier period than had hitherto been</w:t></w:r>
</w:p>
<w:p>
<w:pPr><w:pStyle w:val="Normal"/></w:pPr>
<w:r><w:t xml:space="preserve">supposed.  Next in date amongst Semitic records of the</w:t></w:r>
</w:p>
<w:p>
<w:pPr><w:pStyle w:val="Normal"/></w:pPr>
<w:r><w:t xml:space="preserve">Phoenician type to the bowl of Baal-Lebanon and the Moabite</w:t></w:r>
</w:p>
<w:p>
<w:pPr><w:pStyle w:val="Normal"/></w:pPr>
<w:r><w:t xml:space="preserve">stone comes the Hebrew inscription found in the tunnel at</w:t></w:r>
</w:p>
<w:p>
<w:pPr><w:pStyle w:val="Normal"/></w:pPr>
<w:r><w:t xml:space="preserve">the Pool of Siloam in 1881, which possibly dates back to</w:t></w:r>
</w:p>
<w:p>
<w:pPr><w:pStyle w:val="Normal"/></w:pPr>
<w:r><w:t xml:space="preserve">the reign of Hezekiah (700 B.C.).  The only other early</w:t></w:r>
</w:p>
<w:p>
<w:pPr><w:pStyle w:val="Normal"/></w:pPr>
<w:r><w:t xml:space="preserve">records are seals with Hebrew inscriptions and potters&apos;</w:t></w:r>
</w:p>
<w:p>
<w:pPr><w:pStyle w:val="Normal"/></w:pPr>
<w:r><w:t xml:space="preserve">marks upon clay vessels found in Lachish and other towns.28</w:t></w:r>
</w:p>
<w:p>
<w:pPr><w:pStyle w:val="Normal"/></w:pPr>
<w:r><w:t xml:space="preserve">Like the Phoenician, these Hebrew signs are distinctly</w:t></w:r>
</w:p>
<w:p>
<w:pPr><w:pStyle w:val="Normal"/></w:pPr>
<w:r><w:t xml:space="preserve">cursive in character but, as the legend on the coins of</w:t></w:r>
</w:p>
<w:p>
<w:pPr><w:pStyle w:val="Normal"/></w:pPr>
<w:r><w:t xml:space="preserve">the Maccabees shows, became stereotyped for monumental use,</w:t></w:r>
</w:p>
<w:p>
<w:pPr><w:pStyle w:val="Normal"/></w:pPr>
<w:r><w:t xml:space="preserve">while the Jews after the exile gradually adopted the Aramaic</w:t></w:r>
</w:p>
<w:p>
<w:pPr><w:pStyle w:val="Normal"/></w:pPr>
<w:r><w:t xml:space="preserve">writing, whence the square Hebrew script is descended.  The</w:t></w:r>
</w:p>
<w:p>
<w:pPr><w:pStyle w:val="Normal"/></w:pPr>
<w:r><w:t xml:space="preserve">Samaritans alone stuck fast to the old Hebrew as part of their</w:t></w:r>
</w:p>
<w:p>
<w:pPr><w:pStyle w:val="Normal"/></w:pPr>
<w:r><w:t xml:space="preserve">contention that they, and not the Jews, were the true Hebrews.</w:t></w:r>
</w:p>
<w:p>
<w:pPr><w:pStyle w:val="Normal"/></w:pPr>
<w:r><w:t xml:space="preserve">Aramaic</w:t></w:r>
</w:p>
<w:p>
<w:pPr><w:pStyle w:val="Normal"/></w:pPr>
<w:r><w:t xml:space="preserve">The oldest records in Aramaic were found at Sindjirli, in the</w:t></w:r>
</w:p>
<w:p>
<w:pPr><w:pStyle w:val="Normal"/></w:pPr>
<w:r><w:t xml:space="preserve">north of Svria, in 1890, and date to about 800 B.C. At this</w:t></w:r>
</w:p>
<w:p>
<w:pPr><w:pStyle w:val="Normal"/></w:pPr>
<w:r><w:t xml:space="preserve">epoch the Aramaic alphabet, or at any rate the alphabet of these</w:t></w:r>
</w:p>
<w:p>
<w:pPr><w:pStyle w:val="Normal"/></w:pPr>
<w:r><w:t xml:space="preserve">records, is but little different from that shown upon the Moabite</w:t></w:r>
</w:p>
<w:p>
<w:pPr><w:pStyle w:val="Normal"/></w:pPr>
<w:r><w:t xml:space="preserve">stone.  Either two sounds are confused under one symbol,</w:t></w:r>
</w:p>
<w:p>
<w:pPr><w:pStyle w:val="Normal"/></w:pPr>
<w:r><w:t xml:space="preserve">or these records represent a dialect which, like Hebrew and</w:t></w:r>
</w:p>
<w:p>
<w:pPr><w:pStyle w:val="Normal"/></w:pPr>
<w:r><w:t xml:space="preserve">Assyrian, shows sh, z, and c, where the ordinary Aramaic</w:t></w:r>
</w:p>
<w:p>
<w:pPr><w:pStyle w:val="Normal"/></w:pPr>
<w:r><w:t xml:space="preserve">representation is t, d and t the Arabic th, dh, and</w:t></w:r>
</w:p>
<w:p>
<w:pPr><w:pStyle w:val="Normal"/></w:pPr>
<w:r><w:t xml:space="preserve">th.  The Aramaic became in time by far the most important</w:t></w:r>
</w:p>
<w:p>
<w:pPr><w:pStyle w:val="Normal"/></w:pPr>
<w:r><w:t xml:space="preserve">of the northern Semitic alphabets.  Even while long and</w:t></w:r>
</w:p>
<w:p>
<w:pPr><w:pStyle w:val="Normal"/></w:pPr>
<w:r><w:t xml:space="preserve">important documents in Assyria were still written on clay</w:t></w:r>
</w:p>
<w:p>
<w:pPr><w:pStyle w:val="Normal"/></w:pPr>
<w:r><w:t xml:space="preserve">tablets, in cuneiform, a docket or precis of the contents</w:t></w:r>
</w:p>
<w:p>
<w:pPr><w:pStyle w:val="Normal"/></w:pPr>
<w:r><w:t xml:space="preserve">was made upon the side in Aramaic, which thus became the</w:t></w:r>
</w:p>
<w:p>
<w:pPr><w:pStyle w:val="Normal"/></w:pPr>
<w:r><w:t xml:space="preserve">alphabet of cursive writing--a fact which explains its later</w:t></w:r>
</w:p>
<w:p>
<w:pPr><w:pStyle w:val="Normal"/></w:pPr>
<w:r><w:t xml:space="preserve">development.  Two changes, the inception of which is early, but</w:t></w:r>
</w:p>
<w:p>
<w:pPr><w:pStyle w:val="Normal"/></w:pPr>
<w:r><w:t xml:space="preserve">the completion of which belongs to the Persian period, gave the</w:t></w:r>
</w:p>
<w:p>
<w:pPr><w:pStyle w:val="Normal"/></w:pPr>
<w:r><w:t xml:space="preserve">impulse which Aramaic obeyed in all its later developments.</w:t></w:r>
</w:p>
<w:p>
<w:pPr><w:pStyle w:val="Normal"/></w:pPr>
<w:r><w:t xml:space="preserve">These were (a) the opening of the heads of letters, so that</w:t></w:r>
</w:p>
<w:p>
<w:pPr><w:pStyle w:val="Normal"/></w:pPr>
<w:r><w:t xml:space="preserve">beth @, daleth @, and resh @ become respectively</w:t></w:r>
</w:p>
<w:p>
<w:pPr><w:pStyle w:val="Normal"/></w:pPr>
<w:r><w:t xml:space="preserve">@, @, and @, while O becomes first U and ultimatelv</w:t></w:r>
</w:p>
<w:p>
<w:pPr><w:pStyle w:val="Heading1"/></w:pPr>
<w:r><w:t>V. In thc later development the heads tend to be reduced in</w:t></w:r>
</w:p>
<w:p>
<w:pPr><w:pStyle w:val="Normal"/></w:pPr>
<w:r><w:t xml:space="preserve">size, and finally to disappear. (b) As was natural in cursive</w:t></w:r>
</w:p>
<w:p>
<w:pPr><w:pStyle w:val="Normal"/></w:pPr>
<w:r><w:t xml:space="preserve">wriiing, angles tend to become rounded, and the tails of the</w:t></w:r>
</w:p>
<w:p>
<w:pPr><w:pStyle w:val="Normal"/></w:pPr>
<w:r><w:t xml:space="preserve">letters, which in, Phoenician are very long are curved round</w:t></w:r>
</w:p>
<w:p>
<w:pPr><w:pStyle w:val="Normal"/></w:pPr>
<w:r><w:t xml:space="preserve">in the middie of words so as to join on to the succeeding</w:t></w:r>
</w:p>
<w:p>
<w:pPr><w:pStyle w:val="Normal"/></w:pPr>
<w:r><w:t xml:space="preserve">letter.  These characteristics were naturally emphasized in the</w:t></w:r>
</w:p>
<w:p>
<w:pPr><w:pStyle w:val="Normal"/></w:pPr>
<w:r><w:t xml:space="preserve">Aramaic writing on papyrus which, beginning about 500 B.C.,</w:t></w:r>
</w:p>
<w:p>
<w:pPr><w:pStyle w:val="Normal"/></w:pPr>
<w:r><w:t xml:space="preserve">during the Persian sovereignty in Egypt, lasted on there till</w:t></w:r>
</w:p>
<w:p>
<w:pPr><w:pStyle w:val="Normal"/></w:pPr>
<w:r><w:t xml:space="preserve">about 200 B.C. The gradual development of this script into</w:t></w:r>
</w:p>
<w:p>
<w:pPr><w:pStyle w:val="Normal"/></w:pPr>
<w:r><w:t xml:space="preserve">the square Hebrew, and the more ornamental writing of Palmyra,</w:t></w:r>
</w:p>
<w:p>
<w:pPr><w:pStyle w:val="Normal"/></w:pPr>
<w:r><w:t xml:space="preserve">may be traced in the works of Berger and Lidzbarski.30</w:t></w:r>
</w:p>
<w:p>
<w:pPr><w:pStyle w:val="Normal"/></w:pPr>
<w:r><w:t xml:space="preserve">Arabic.</w:t></w:r>
</w:p>
<w:p>
<w:pPr><w:pStyle w:val="Normal"/></w:pPr>
<w:r><w:t xml:space="preserve">In the land of the Nabataeans, a people of Arabian origin,</w:t></w:r>
</w:p>
<w:p>
<w:pPr><w:pStyle w:val="Normal"/></w:pPr>
<w:r><w:t xml:space="preserve">the Aramaic alphabet was employed in a form which ultimately</w:t></w:r>
</w:p>
<w:p>
<w:pPr><w:pStyle w:val="Normal"/></w:pPr>
<w:r><w:t xml:space="preserve">developed into the modern Arabic alphabet.  Probably the</w:t></w:r>
</w:p>
<w:p>
<w:pPr><w:pStyle w:val="Normal"/></w:pPr>
<w:r><w:t xml:space="preserve">earliest example of the Aramaic script in Atrabia is the stele</w:t></w:r>
</w:p>
<w:p>
<w:pPr><w:pStyle w:val="Normal"/></w:pPr>
<w:r><w:t xml:space="preserve">of Tema, in north-western Arabia, whereon is commemorated</w:t></w:r>
</w:p>
<w:p>
<w:pPr><w:pStyle w:val="Normal"/></w:pPr>
<w:r><w:t xml:space="preserve">the establishment of a worship of an Aramaic diviniry.  This</w:t></w:r>
</w:p>
<w:p>
<w:pPr><w:pStyle w:val="Normal"/></w:pPr>
<w:r><w:t xml:space="preserve">monument, now in the Louvre, is not later than the 5th century</w:t></w:r>
</w:p>
<w:p>
<w:pPr><w:pStyle w:val="Normal"/></w:pPr>
<w:r><w:t xml:space="preserve">B.C. In it the writing preserves its ancient form, the heads</w:t></w:r>
</w:p>
<w:p>
<w:pPr><w:pStyle w:val="Normal"/></w:pPr>
<w:r><w:t xml:space="preserve">of the closed letters being only very slightly opened.  The</w:t></w:r>
</w:p>
<w:p>
<w:pPr><w:pStyle w:val="Normal"/></w:pPr>
<w:r><w:t xml:space="preserve">Nabataean inscriptions belong to a different epoch and a different</w:t></w:r>
</w:p>
<w:p>
<w:pPr><w:pStyle w:val="Normal"/></w:pPr>
<w:r><w:t xml:space="preserve">style.  They were first discovered by Charles Doughty in</w:t></w:r>
</w:p>
<w:p>
<w:pPr><w:pStyle w:val="Normal"/></w:pPr>
<w:r><w:t xml:space="preserve">1876-1877, who was followed between 1880 and 1884 by Huber</w:t></w:r>
</w:p>
<w:p>
<w:pPr><w:pStyle w:val="Normal"/></w:pPr>
<w:r><w:t xml:space="preserve">and Euting, to whom a complete collection of these records is</w:t></w:r>
</w:p>
<w:p>
<w:pPr><w:pStyle w:val="Normal"/></w:pPr>
<w:r><w:t xml:space="preserve">due.  The records are fortunately dated, and belong to the</w:t></w:r>
</w:p>
<w:p>
<w:pPr><w:pStyle w:val="Normal"/></w:pPr>
<w:r><w:t xml:space="preserve">period from 9 B.C. to A.D. 75. A further development can</w:t></w:r>
</w:p>
<w:p>
<w:pPr><w:pStyle w:val="Normal"/></w:pPr>
<w:r><w:t xml:space="preserve">be traced in the graffiti wirh which pilgrims adorned the</w:t></w:r>
</w:p>
<w:p>
<w:pPr><w:pStyle w:val="Normal"/></w:pPr>
<w:r><w:t xml:space="preserve">rocks of Mount Sinai down to the 2nd or 3rd century A.D.</w:t></w:r>
</w:p>
<w:p>
<w:pPr><w:pStyle w:val="Normal"/></w:pPr>
<w:r><w:t xml:space="preserve">By the help of these inscriptions it is possible to trace the</w:t></w:r>
</w:p>
<w:p>
<w:pPr><w:pStyle w:val="Normal"/></w:pPr>
<w:r><w:t xml:space="preserve">development of the modern Arabic where so many of the forms</w:t></w:r>
</w:p>
<w:p>
<w:pPr><w:pStyle w:val="Normal"/></w:pPr>
<w:r><w:t xml:space="preserve">of the letters have become similar that diacritic points</w:t></w:r>
</w:p>
<w:p>
<w:pPr><w:pStyle w:val="Normal"/></w:pPr>
<w:r><w:t xml:space="preserve">are essential to distinguish them, the original causes of</w:t></w:r>
</w:p>
<w:p>
<w:pPr><w:pStyle w:val="Normal"/></w:pPr>
<w:r><w:t xml:space="preserve">confusion being the continuous development of cursive writing</w:t></w:r>
</w:p>
<w:p>
<w:pPr><w:pStyle w:val="Normal"/></w:pPr>
<w:r><w:t xml:space="preserve">and the adoption of ligatures.  Arabic writing, as known to</w:t></w:r>
</w:p>
<w:p>
<w:pPr><w:pStyle w:val="Normal"/></w:pPr>
<w:r><w:t xml:space="preserve">us from documents of the early Mahommedan period, exhibits</w:t></w:r>
</w:p>
<w:p>
<w:pPr><w:pStyle w:val="Normal"/></w:pPr>
<w:r><w:t xml:space="preserve">two principal types which are known respectively as the</w:t></w:r>
</w:p>
<w:p>
<w:pPr><w:pStyle w:val="Normal"/></w:pPr>
<w:r><w:t xml:space="preserve">Cufic and the nashki. The former soon fell into disuse for</w:t></w:r>
</w:p>
<w:p>
<w:pPr><w:pStyle w:val="Normal"/></w:pPr>
<w:r><w:t xml:space="preserve">ordinary purposes and was retained only for inscriptions,</w:t></w:r>
</w:p>
<w:p>
<w:pPr><w:pStyle w:val="Normal"/></w:pPr>
<w:r><w:t xml:space="preserve">coins, &amp;c.; the latter, which is more cursive in character, is</w:t></w:r>
</w:p>
<w:p>
<w:pPr><w:pStyle w:val="Normal"/></w:pPr>
<w:r><w:t xml:space="preserve">the parent of the Arabic writing of the present day.  Another</w:t></w:r>
</w:p>
<w:p>
<w:pPr><w:pStyle w:val="Normal"/></w:pPr>
<w:r><w:t xml:space="preserve">form of the Aramaic alphabet, namely, the so-called Estrangela</w:t></w:r>
</w:p>
<w:p>
<w:pPr><w:pStyle w:val="Normal"/></w:pPr>
<w:r><w:t xml:space="preserve">writing which was in use amongst the Christians of northern</w:t></w:r>
</w:p>
<w:p>
<w:pPr><w:pStyle w:val="Normal"/></w:pPr>
<w:r><w:t xml:space="preserve">Syria, mas carried by Nestorian missionaries into Central</w:t></w:r>
</w:p>
<w:p>
<w:pPr><w:pStyle w:val="Normal"/></w:pPr>
<w:r><w:t xml:space="preserve">Asia and became the ancestor of a multitude of alphabets</w:t></w:r>
</w:p>
<w:p>
<w:pPr><w:pStyle w:val="Normal"/></w:pPr>
<w:r><w:t xml:space="preserve">spreading through the Turkomans as far east as Manchuria.</w:t></w:r>
</w:p>
<w:p>
<w:pPr><w:pStyle w:val="Normal"/></w:pPr>
<w:r><w:t xml:space="preserve">South Semitic.</w:t></w:r>
</w:p>
<w:p>
<w:pPr><w:pStyle w:val="Normal"/></w:pPr>
<w:r><w:t xml:space="preserve">There still remains a branch of the Semitic languages which,</w:t></w:r>
</w:p>
<w:p>
<w:pPr><w:pStyle w:val="Normal"/></w:pPr>
<w:r><w:t xml:space="preserve">except for one or two of the languages belonging to it, was</w:t></w:r>
</w:p>
<w:p>
<w:pPr><w:pStyle w:val="Normal"/></w:pPr>
<w:r><w:t xml:space="preserve">practically unknown till recent years.  This is the South</w:t></w:r>
</w:p>
<w:p>
<w:pPr><w:pStyle w:val="Normal"/></w:pPr>
<w:r><w:t xml:space="preserve">Semitic.  Till the 19th century the earliest form known of</w:t></w:r>
</w:p>
<w:p>
<w:pPr><w:pStyle w:val="Normal"/></w:pPr>
<w:r><w:t xml:space="preserve">this alphabet was the Ethiopian or Geez, in which Christian</w:t></w:r>
</w:p>
<w:p>
<w:pPr><w:pStyle w:val="Normal"/></w:pPr>
<w:r><w:t xml:space="preserve">documents have been preserved from the early centuries of our</w:t></w:r>
</w:p>
<w:p>
<w:pPr><w:pStyle w:val="Normal"/></w:pPr>
<w:r><w:t xml:space="preserve">era, and which is still used by the Abyssinians for liturgical</w:t></w:r>
</w:p>
<w:p>
<w:pPr><w:pStyle w:val="Normal"/></w:pPr>
<w:r><w:t xml:space="preserve">purposes.  The travels of two English naval officers,</w:t></w:r>
</w:p>
<w:p>
<w:pPr><w:pStyle w:val="Normal"/></w:pPr>
<w:r><w:t xml:space="preserve">Wellsted and Cruttenden, through Yemen in southern Arabia in</w:t></w:r>
</w:p>
<w:p>
<w:pPr><w:pStyle w:val="Normal"/></w:pPr>
<w:r><w:t xml:space="preserve">1835, first called attention to the earlier monuments of</w:t></w:r>
</w:p>
<w:p>
<w:pPr><w:pStyle w:val="Normal"/></w:pPr>
<w:r><w:t xml:space="preserve">Arabia.  Fulgence Fresnel first established the importance</w:t></w:r>
</w:p>
<w:p>
<w:pPr><w:pStyle w:val="Normal"/></w:pPr>
<w:r><w:t xml:space="preserve">of the inscriptions discovered by these Englishmen, and in</w:t></w:r>
</w:p>
<w:p>
<w:pPr><w:pStyle w:val="Normal"/></w:pPr>
<w:r><w:t xml:space="preserve">1843, when French consul at Jeddah, obtained through a</w:t></w:r>
</w:p>
<w:p>
<w:pPr><w:pStyle w:val="Normal"/></w:pPr>
<w:r><w:t xml:space="preserve">French traveller, Francois Arnaud, information about other</w:t></w:r>
</w:p>
<w:p>
<w:pPr><w:pStyle w:val="Normal"/></w:pPr>
<w:r><w:t xml:space="preserve">monuments of the same kind.  In 1869 Joseph Halevy brought</w:t></w:r>
</w:p>
<w:p>
<w:pPr><w:pStyle w:val="Normal"/></w:pPr>
<w:r><w:t xml:space="preserve">back nearly seven hundred inscriptions from Yemen, and this</w:t></w:r>
</w:p>
<w:p>
<w:pPr><w:pStyle w:val="Normal"/></w:pPr>
<w:r><w:t xml:space="preserve">number has been increased from other quarters by several</w:t></w:r>
</w:p>
<w:p>
<w:pPr><w:pStyle w:val="Normal"/></w:pPr>
<w:r><w:t xml:space="preserve">thousands, through the energy of several adventurous scholars,</w:t></w:r>
</w:p>
<w:p>
<w:pPr><w:pStyle w:val="Normal"/></w:pPr>
<w:r><w:t xml:space="preserve">but chiefly by Eduard Glaser&apos;s repeated journeys.  The south</w:t></w:r>
</w:p>
<w:p>
<w:pPr><w:pStyle w:val="Normal"/></w:pPr>
<w:r><w:t xml:space="preserve">Arabian inscrip1ions to which the terms Himyaritic aud Sabaean</w:t></w:r>
</w:p>
<w:p>
<w:pPr><w:pStyle w:val="Normal"/></w:pPr>
<w:r><w:t xml:space="preserve">are applied fall into two groups, the Sabaean proper and the</w:t></w:r>
</w:p>
<w:p>
<w:pPr><w:pStyle w:val="Normal"/></w:pPr>
<w:r><w:t xml:space="preserve">Minaean.  These are distinguished by differences in grammar and</w:t></w:r>
</w:p>
<w:p>
<w:pPr><w:pStyle w:val="Normal"/></w:pPr>
<w:r><w:t xml:space="preserve">phraseology rather than in alphabet.  The relative age of the</w:t></w:r>
</w:p>
<w:p>
<w:pPr><w:pStyle w:val="Normal"/></w:pPr>
<w:r><w:t xml:space="preserve">Minaean and Sabaean monuments is a matter of dispute amongst</w:t></w:r>
</w:p>
<w:p>
<w:pPr><w:pStyle w:val="Normal"/></w:pPr>
<w:r><w:t xml:space="preserve">Semitic scholars.  Inscriptions in a kindred dialect were</w:t></w:r>
</w:p>
<w:p>
<w:pPr><w:pStyle w:val="Normal"/></w:pPr>
<w:r><w:t xml:space="preserve">brought from El-Ola, in the north of the Hedjaz, by Professor</w:t></w:r>
</w:p>
<w:p>
<w:pPr><w:pStyle w:val="Normal"/></w:pPr>
<w:r><w:t xml:space="preserve">Euting.  To these D. H. Muller31 gave the title of</w:t></w:r>
</w:p>
<w:p>
<w:pPr><w:pStyle w:val="Normal"/></w:pPr>
<w:r><w:t xml:space="preserve">Lihyanite, from the name of the tribe (Lihjan) to which they</w:t></w:r>
</w:p>
<w:p>
<w:pPr><w:pStyle w:val="Normal"/></w:pPr>
<w:r><w:t xml:space="preserve">belong.  Their date is supposed to be earlier than that of</w:t></w:r>
</w:p>
<w:p>
<w:pPr><w:pStyle w:val="Normal"/></w:pPr>
<w:r><w:t xml:space="preserve">the Sabaean and Minaean.  Minaean inscriptions were found</w:t></w:r>
</w:p>
<w:p>
<w:pPr><w:pStyle w:val="Normal"/></w:pPr>
<w:r><w:t xml:space="preserve">at the same place, the Minaeans having had a trading station</w:t></w:r>
</w:p>
<w:p>
<w:pPr><w:pStyle w:val="Normal"/></w:pPr>
<w:r><w:t xml:space="preserve">there.  In 1893 J. Theodore Bent copied carefully at Yeha</w:t></w:r>
</w:p>
<w:p>
<w:pPr><w:pStyle w:val="Normal"/></w:pPr>
<w:r><w:t xml:space="preserve">in Abyssinia a few inscriptions, some of which had been</w:t></w:r>
</w:p>
<w:p>
<w:pPr><w:pStyle w:val="Normal"/></w:pPr>
<w:r><w:t xml:space="preserve">already copied in 1814 by the English traveller Salt.  These</w:t></w:r>
</w:p>
<w:p>
<w:pPr><w:pStyle w:val="Normal"/></w:pPr>
<w:r><w:t xml:space="preserve">inscriptions are of the greatest importance, because they</w:t></w:r>
</w:p>
<w:p>
<w:pPr><w:pStyle w:val="Normal"/></w:pPr>
<w:r><w:t xml:space="preserve">demonstrate, according to D. H. Muller,32 that the Sabaeans</w:t></w:r>
</w:p>
<w:p>
<w:pPr><w:pStyle w:val="Normal"/></w:pPr>
<w:r><w:t xml:space="preserve">had colonized Abyssinia as early as 1000 B.C. Other inscriptions</w:t></w:r>
</w:p>
<w:p>
<w:pPr><w:pStyle w:val="Normal"/></w:pPr>
<w:r><w:t xml:space="preserve">copied by Bent at Aksum belong to the 4th century A.D. and</w:t></w:r>
</w:p>
<w:p>
<w:pPr><w:pStyle w:val="Normal"/></w:pPr>
<w:r><w:t xml:space="preserve">later.  Two of the earliest are written in Sabaean characters,</w:t></w:r>
</w:p>
<w:p>
<w:pPr><w:pStyle w:val="Normal"/></w:pPr>
<w:r><w:t xml:space="preserve">but in the language which is known as Geez or Ethiopic.  From</w:t></w:r>
</w:p>
<w:p>
<w:pPr><w:pStyle w:val="Normal"/></w:pPr>
<w:r><w:t xml:space="preserve">about A.D 500 Ethiopic was written in an alphabet which</w:t></w:r>
</w:p>
<w:p>
<w:pPr><w:pStyle w:val="Normal"/></w:pPr>
<w:r><w:t xml:space="preserve">according to Muller was no gradual growth but an ingenious</w:t></w:r>
</w:p>
<w:p>
<w:pPr><w:pStyle w:val="Normal"/></w:pPr>
<w:r><w:t xml:space="preserve">device of a Greek scholar of this period at the court of</w:t></w:r>
</w:p>
<w:p>
<w:pPr><w:pStyle w:val="Normal"/></w:pPr>
<w:r><w:t xml:space="preserve">Abyssinia.  The Sabaean, like other Semitic, inscriptions</w:t></w:r>
</w:p>
<w:p>
<w:pPr><w:pStyle w:val="Normal"/></w:pPr>
<w:r><w:t xml:space="preserve">are generallv written from right to left, but a few are</w:t></w:r>
</w:p>
<w:p>
<w:pPr><w:pStyle w:val="Normal"/></w:pPr>
<w:r><w:t xml:space="preserve">boustrofedon; the Ethiopic is written from left to right,</w:t></w:r>
</w:p>
<w:p>
<w:pPr><w:pStyle w:val="Normal"/></w:pPr>
<w:r><w:t xml:space="preserve">and makes a marked advance upon the ordinary Semitic manner</w:t></w:r>
</w:p>
<w:p>
<w:pPr><w:pStyle w:val="Normal"/></w:pPr>
<w:r><w:t xml:space="preserve">of writing by indicating the vowels.  This is done by varying</w:t></w:r>
</w:p>
<w:p>
<w:pPr><w:pStyle w:val="Normal"/></w:pPr>
<w:r><w:t xml:space="preserve">the form of the consonant according to the vowel which follows</w:t></w:r>
</w:p>
<w:p>
<w:pPr><w:pStyle w:val="Normal"/></w:pPr>
<w:r><w:t xml:space="preserve">it.  The Ethiopic system is thus rather a syllabary than an</w:t></w:r>
</w:p>
<w:p>
<w:pPr><w:pStyle w:val="Normal"/></w:pPr>
<w:r><w:t xml:space="preserve">alphabet.  It is noticeable that the changes thus established</w:t></w:r>
</w:p>
<w:p>
<w:pPr><w:pStyle w:val="Normal"/></w:pPr>
<w:r><w:t xml:space="preserve">were made upon the basis of the old Sabaean script, which</w:t></w:r>
</w:p>
<w:p>
<w:pPr><w:pStyle w:val="Normal"/></w:pPr>
<w:r><w:t xml:space="preserve">in its oldest form is evidently closely related to the old</w:t></w:r>
</w:p>
<w:p>
<w:pPr><w:pStyle w:val="Normal"/></w:pPr>
<w:r><w:t xml:space="preserve">Phoenician, though it would be premature to say that the</w:t></w:r>
</w:p>
<w:p>
<w:pPr><w:pStyle w:val="Normal"/></w:pPr>
<w:r><w:t xml:space="preserve">Sabaean alphabet is derived from the Phoenician.  It is as</w:t></w:r>
</w:p>
<w:p>
<w:pPr><w:pStyle w:val="Normal"/></w:pPr>
<w:r><w:t xml:space="preserve">likely, considering the date of both, that they are equally</w:t></w:r>
</w:p>
<w:p>
<w:pPr><w:pStyle w:val="Normal"/></w:pPr>
<w:r><w:t xml:space="preserve">descendants from an older source.  The characteristics of the</w:t></w:r>
</w:p>
<w:p>
<w:pPr><w:pStyle w:val="Normal"/></w:pPr>
<w:r><w:t xml:space="preserve">Sabaean are great squareness aud boldness in outline.  It has</w:t></w:r>
</w:p>
<w:p>
<w:pPr><w:pStyle w:val="Normal"/></w:pPr>
<w:r><w:t xml:space="preserve">twenty-nine symbols, whereby it is enabled to differentiate</w:t></w:r>
</w:p>
<w:p>
<w:pPr><w:pStyle w:val="Normal"/></w:pPr>
<w:r><w:t xml:space="preserve">certain sounds which are not distinguished from one another in</w:t></w:r>
</w:p>
<w:p>
<w:pPr><w:pStyle w:val="Normal"/></w:pPr>
<w:r><w:t xml:space="preserve">the writing of the northern Semites.  As we have seen, it is a</w:t></w:r>
</w:p>
<w:p>
<w:pPr><w:pStyle w:val="Normal"/></w:pPr>
<w:r><w:t xml:space="preserve">tendency in northern Semitic to open the heads of letters, and</w:t></w:r>
</w:p>
<w:p>
<w:pPr><w:pStyle w:val="Normal"/></w:pPr>
<w:r><w:t xml:space="preserve">therefore it is possible that the Sabaean form for Jod @ may</w:t></w:r>
</w:p>
<w:p>
<w:pPr><w:pStyle w:val="Normal"/></w:pPr>
<w:r><w:t xml:space="preserve">be older32 than the Phoenician @.  Similarly if Pe means</w:t></w:r>
</w:p>
<w:p>
<w:pPr><w:pStyle w:val="Normal"/></w:pPr>
<w:r><w:t xml:space="preserve">mouth, Hommel is right in contending that the Sabaean @ is</w:t></w:r>
</w:p>
<w:p>
<w:pPr><w:pStyle w:val="Normal"/></w:pPr>
<w:r><w:t xml:space="preserve">more like the object than the Phoenician @, if we suppose the</w:t></w:r>
</w:p>
<w:p>
<w:pPr><w:pStyle w:val="Normal"/></w:pPr>
<w:r><w:t xml:space="preserve">form, like @ or the Phoenician @ and @ for the Phoenician</w:t></w:r>
</w:p>
<w:p>
<w:pPr><w:pStyle w:val="Normal"/></w:pPr>
<w:r><w:t xml:space="preserve">@ turned through an angle of 90 deg. .  So also if Kaf corresponds</w:t></w:r>
</w:p>
<w:p>
<w:pPr><w:pStyle w:val="Normal"/></w:pPr>
<w:r><w:t xml:space="preserve">to the Babylonian Kappu, ``hollow-hand,&apos;&apos; the Sabaean form</w:t></w:r>
</w:p>
<w:p>
<w:pPr><w:pStyle w:val="Normal"/></w:pPr>
<w:r><w:t xml:space="preserve">@ which Hommel33 interprets as the outline of the hand</w:t></w:r>
</w:p>
<w:p>
<w:pPr><w:pStyle w:val="Normal"/></w:pPr>
<w:r><w:t xml:space="preserve">with the fingers turned in and the thumb raised is a better</w:t></w:r>
</w:p>
<w:p>
<w:pPr><w:pStyle w:val="Normal"/></w:pPr>
<w:r><w:t xml:space="preserve">pictograoh than the various meaningless forms of k (@, &amp;c.).</w:t></w:r>
</w:p>
<w:p>
<w:pPr><w:pStyle w:val="Normal"/></w:pPr>
<w:r><w:t xml:space="preserve">The rock inscriptions in the wild district of Safah near Damascus</w:t></w:r>
</w:p>
<w:p>
<w:pPr><w:pStyle w:val="Normal"/></w:pPr>
<w:r><w:t xml:space="preserve">which have been collected by Halevv are also written in an Arabic</w:t></w:r>
</w:p>
<w:p>
<w:pPr><w:pStyle w:val="Normal"/></w:pPr>
<w:r><w:t xml:space="preserve">dialect, but, owing chiefly to their careless execution, they</w:t></w:r>
</w:p>
<w:p>
<w:pPr><w:pStyle w:val="Normal"/></w:pPr>
<w:r><w:t xml:space="preserve">are to a large extent unintelligible.  The character appears to</w:t></w:r>
</w:p>
<w:p>
<w:pPr><w:pStyle w:val="Normal"/></w:pPr>
<w:r><w:t xml:space="preserve">be akin to the Sabaean.  It has been suggesred that they were</w:t></w:r>
</w:p>
<w:p>
<w:pPr><w:pStyle w:val="Normal"/></w:pPr>
<w:r><w:t xml:space="preserve">the work of Arabs who had wandered thus far from the south.</w:t></w:r>
</w:p>
<w:p>
<w:pPr><w:pStyle w:val="Normal"/></w:pPr>
<w:r><w:t xml:space="preserve">Persia.</w:t></w:r>
</w:p>
<w:p>
<w:pPr><w:pStyle w:val="Normal"/></w:pPr>
<w:r><w:t xml:space="preserve">There still remain for discussion the alphabets of the</w:t></w:r>
</w:p>
<w:p>
<w:pPr><w:pStyle w:val="Normal"/></w:pPr>
<w:r><w:t xml:space="preserve">Indo-European peoples of Persia and India from which the other</w:t></w:r>
</w:p>
<w:p>
<w:pPr><w:pStyle w:val="Normal"/></w:pPr>
<w:r><w:t xml:space="preserve">alphabets of the Farther East are descended.  When Darius</w:t></w:r>
</w:p>
<w:p>
<w:pPr><w:pStyle w:val="Normal"/></w:pPr>
<w:r><w:t xml:space="preserve">in 516 B.C. caused the great Behistun inscription to be</w:t></w:r>
</w:p>
<w:p>
<w:pPr><w:pStyle w:val="Normal"/></w:pPr>
<w:r><w:t xml:space="preserve">engraved, it was the cuneiform writing, already long in use</w:t></w:r>
</w:p>
<w:p>
<w:pPr><w:pStyle w:val="Normal"/></w:pPr>
<w:r><w:t xml:space="preserve">for the languages of Mesopotamia, that was adopted for this</w:t></w:r>
</w:p>
<w:p>
<w:pPr><w:pStyle w:val="Normal"/></w:pPr>
<w:r><w:t xml:space="preserve">purpose.  We have seen that at Babylon itself the Aramaic</w:t></w:r>
</w:p>
<w:p>
<w:pPr><w:pStyle w:val="Normal"/></w:pPr>
<w:r><w:t xml:space="preserve">language and character were well known.  It is probable</w:t></w:r>
</w:p>
<w:p>
<w:pPr><w:pStyle w:val="Normal"/></w:pPr>
<w:r><w:t xml:space="preserve">therefore, a priori, that from the Aramaic alphabet the later</w:t></w:r>
</w:p>
<w:p>
<w:pPr><w:pStyle w:val="Normal"/></w:pPr>
<w:r><w:t xml:space="preserve">writing of Persia should be developed.  The conclusion is</w:t></w:r>
</w:p>
<w:p>
<w:pPr><w:pStyle w:val="Normal"/></w:pPr>
<w:r><w:t xml:space="preserve">confirmed by the coins, the only records with Iranian script</w:t></w:r>
</w:p>
<w:p>
<w:pPr><w:pStyle w:val="Normal"/></w:pPr>
<w:r><w:t xml:space="preserve">which go back so far; but the special form of Aramaic from</w:t></w:r>
</w:p>
<w:p>
<w:pPr><w:pStyle w:val="Normal"/></w:pPr>
<w:r><w:t xml:space="preserve">which the Iranian alphabet is derived must at present be left</w:t></w:r>
</w:p>
<w:p>
<w:pPr><w:pStyle w:val="Normal"/></w:pPr>
<w:r><w:t xml:space="preserve">undecided.  The later developments of the Iranian alphabet are</w:t></w:r>
</w:p>
<w:p>
<w:pPr><w:pStyle w:val="Normal"/></w:pPr>
<w:r><w:t xml:space="preserve">the Pahlavi and the Zend, in which the MSS. of the Avesta are</w:t></w:r>
</w:p>
<w:p>
<w:pPr><w:pStyle w:val="Normal"/></w:pPr>
<w:r><w:t xml:space="preserve">written.  Of Cese manuscripts none is older than the 15th</w:t></w:r>
</w:p>
<w:p>
<w:pPr><w:pStyle w:val="Normal"/></w:pPr>
<w:r><w:t xml:space="preserve">century A.D. The Pahlavi is properly the alphabet of the</w:t></w:r>
</w:p>
<w:p>
<w:pPr><w:pStyle w:val="Normal"/></w:pPr>
<w:r><w:t xml:space="preserve">Sassanid kings who ruled in Persia from A.D. 226 till the</w:t></w:r>
</w:p>
<w:p>
<w:pPr><w:pStyle w:val="Normal"/></w:pPr>
<w:r><w:t xml:space="preserve">Arab conquest in the 7th century A.D. Under the Sassanids</w:t></w:r>
</w:p>
<w:p>
<w:pPr><w:pStyle w:val="Normal"/></w:pPr>
<w:r><w:t xml:space="preserve">the old Persian worship, which had fallen with the Achaemenid</w:t></w:r>
</w:p>
<w:p>
<w:pPr><w:pStyle w:val="Normal"/></w:pPr>
<w:r><w:t xml:space="preserve">dynasty in Alexander&apos;s time, and had been neglected by the</w:t></w:r>
</w:p>
<w:p>
<w:pPr><w:pStyle w:val="Normal"/></w:pPr>
<w:r><w:t xml:space="preserve">subsequent Arsacid line, was revived and the remains of</w:t></w:r>
</w:p>
<w:p>
<w:pPr><w:pStyle w:val="Normal"/></w:pPr>
<w:r><w:t xml:space="preserve">its liturgical literature collected.  The name is, however,</w:t></w:r>
</w:p>
<w:p>
<w:pPr><w:pStyle w:val="Normal"/></w:pPr>
<w:r><w:t xml:space="preserve">also applied to the alphabet on the coins of the Parthian or</w:t></w:r>
</w:p>
<w:p>
<w:pPr><w:pStyle w:val="Normal"/></w:pPr>
<w:r><w:t xml:space="preserve">Arsacid dynasty, which in its beginnings was clearly under</w:t></w:r>
</w:p>
<w:p>
<w:pPr><w:pStyle w:val="Normal"/></w:pPr>
<w:r><w:t xml:space="preserve">Greek influence; while later, when a knowledge of Greek</w:t></w:r>
</w:p>
<w:p>
<w:pPr><w:pStyle w:val="Normal"/></w:pPr>
<w:r><w:t xml:space="preserve">had disappeared, the attempts to imitate the old legends</w:t></w:r>
</w:p>
<w:p>
<w:pPr><w:pStyle w:val="Normal"/></w:pPr>
<w:r><w:t xml:space="preserve">are as grotesque as those in western Europe to copy the</w:t></w:r>
</w:p>
<w:p>
<w:pPr><w:pStyle w:val="Normal"/></w:pPr>
<w:r><w:t xml:space="preserve">inscriptions on Roman coins.  The relationship between the</w:t></w:r>
</w:p>
<w:p>
<w:pPr><w:pStyle w:val="Normal"/></w:pPr>
<w:r><w:t xml:space="preserve">Pahlavi and the Aramaic is clearest in the records written</w:t></w:r>
</w:p>
<w:p>
<w:pPr><w:pStyle w:val="Normal"/></w:pPr>
<w:r><w:t xml:space="preserve">in the ``Chaldaeo-Pahlavi&apos;&apos; characters; the most important of</w:t></w:r>
</w:p>
<w:p>
<w:pPr><w:pStyle w:val="Normal"/></w:pPr>
<w:r><w:t xml:space="preserve">these documents is the liturgical inscription of Hadji-abad,</w:t></w:r>
</w:p>
<w:p>
<w:pPr><w:pStyle w:val="Normal"/></w:pPr>
<w:r><w:t xml:space="preserve">where the Arsacid and Sassanian alphabets are found side by</w:t></w:r>
</w:p>
<w:p>
<w:pPr><w:pStyle w:val="Normal"/></w:pPr>
<w:r><w:t xml:space="preserve">side.  Taylor (The Alphabet, ii. p. 248 f.) regards the former</w:t></w:r>
</w:p>
<w:p>
<w:pPr><w:pStyle w:val="Normal"/></w:pPr>
<w:r><w:t xml:space="preserve">as probably derived from the ``ancient alphabet of Eastern</w:t></w:r>
</w:p>
<w:p>
<w:pPr><w:pStyle w:val="Normal"/></w:pPr>
<w:r><w:t xml:space="preserve">Iran, a sister alphaber of the Aramaean of the satrapies,&apos;&apos;</w:t></w:r>
</w:p>
<w:p>
<w:pPr><w:pStyle w:val="Normal"/></w:pPr>
<w:r><w:t xml:space="preserve">while the Sassanian belongs to a later stage of Aramaic.</w:t></w:r>
</w:p>
<w:p>
<w:pPr><w:pStyle w:val="Normal"/></w:pPr>
<w:r><w:t xml:space="preserve">India.</w:t></w:r>
</w:p>
<w:p>
<w:pPr><w:pStyle w:val="Normal"/></w:pPr>
<w:r><w:t xml:space="preserve">The alphabets of India all spring from two sources: (a) the</w:t></w:r>
</w:p>
<w:p>
<w:pPr><w:pStyle w:val="Normal"/></w:pPr>
<w:r><w:t xml:space="preserve">Kharosthi, (b) the Brahmi alphabet.  The history of</w:t></w:r>
</w:p>
<w:p>
<w:pPr><w:pStyle w:val="Normal"/></w:pPr>
<w:r><w:t xml:space="preserve">the former is clear.  It was always a local alphabet, and</w:t></w:r>
</w:p>
<w:p>
<w:pPr><w:pStyle w:val="Normal"/></w:pPr>
<w:r><w:t xml:space="preserve">never attained the importance of its rival.  According to</w:t></w:r>
</w:p>
<w:p>
<w:pPr><w:pStyle w:val="Normal"/></w:pPr>
<w:r><w:t xml:space="preserve">Buhler,34 its range lay between 69 deg.  and 73 deg.  30&apos; E. and</w:t></w:r>
</w:p>
<w:p>
<w:pPr><w:pStyle w:val="Normal"/></w:pPr>
<w:r><w:t xml:space="preserve">33 deg.  to 35 deg.  N., a conclusion which is not invalidated by the</w:t></w:r>
</w:p>
<w:p>
<w:pPr><w:pStyle w:val="Normal"/></w:pPr>
<w:r><w:t xml:space="preserve">fact that some important modifications are found beyond this</w:t></w:r>
</w:p>
<w:p>
<w:pPr><w:pStyle w:val="Normal"/></w:pPr>
<w:r><w:t xml:space="preserve">area, nor by Dr Stein&apos;s discovery of a great mass of documents</w:t></w:r>
</w:p>
<w:p>
<w:pPr><w:pStyle w:val="Normal"/></w:pPr>
<w:r><w:t xml:space="preserve">in this alphabet at Khotan in Turkestan, for, according to</w:t></w:r>
</w:p>
<w:p>
<w:pPr><w:pStyle w:val="Normal"/></w:pPr>
<w:r><w:t xml:space="preserve">tradition, the ancient inhabitants of Khotan were emigrants</w:t></w:r>
</w:p>
<w:p>
<w:pPr><w:pStyle w:val="Normal"/></w:pPr>
<w:r><w:t xml:space="preserve">banished in the time of King Acoka from the area to which</w:t></w:r>
</w:p>
<w:p>
<w:pPr><w:pStyle w:val="Normal"/></w:pPr>
<w:r><w:t xml:space="preserve">Buhler assigns this alphabet (see Stins&apos;s Preliminary</w:t></w:r>
</w:p>
<w:p>
<w:pPr><w:pStyle w:val="Normal"/></w:pPr>
<w:r><w:t xml:space="preserve">Report, 1901, p. 51). Rapson35 has pointed out that both</w:t></w:r>
</w:p>
<w:p>
<w:pPr><w:pStyle w:val="Normal"/></w:pPr>
<w:r><w:t xml:space="preserve">Kharosthi and Brahmi letters are found upon Persian</w:t></w:r>
</w:p>
<w:p>
<w:pPr><w:pStyle w:val="Normal"/></w:pPr>
<w:r><w:t xml:space="preserve">silver sigloi, which were coined in the Punjab and belong</w:t></w:r>
</w:p>
<w:p>
<w:pPr><w:pStyle w:val="Normal"/></w:pPr>
<w:r><w:t xml:space="preserve">to the period of the Achaemenid kings of Persia.  As Buhler</w:t></w:r>
</w:p>
<w:p>
<w:pPr><w:pStyle w:val="Normal"/></w:pPr>
<w:r><w:t xml:space="preserve">shows in detail, the Kharosthi alphabet is derived from</w:t></w:r>
</w:p>
<w:p>
<w:pPr><w:pStyle w:val="Normal"/></w:pPr>
<w:r><w:t xml:space="preserve">the alphabet of the Aramaic inscriptions which date from the</w:t></w:r>
</w:p>
<w:p>
<w:pPr><w:pStyle w:val="Normal"/></w:pPr>
<w:r><w:t xml:space="preserve">earlier part of the Achaemenid period.  The Aramaic alphabet</w:t></w:r>
</w:p>
<w:p>
<w:pPr><w:pStyle w:val="Normal"/></w:pPr>
<w:r><w:t xml:space="preserve">passed into India with the staff of subordinate officials</w:t></w:r>
</w:p>
<w:p>
<w:pPr><w:pStyle w:val="Normal"/></w:pPr>
<w:r><w:t xml:space="preserve">by whom Darius organized his conquests there.  The people of</w:t></w:r>
</w:p>
<w:p>
<w:pPr><w:pStyle w:val="Normal"/></w:pPr>
<w:r><w:t xml:space="preserve">India already possessed their Brahmi alphabet, but had this</w:t></w:r>
</w:p>
<w:p>
<w:pPr><w:pStyle w:val="Normal"/></w:pPr>
<w:r><w:t xml:space="preserve">other alphabet forced upon them in their dealings with their</w:t></w:r>
</w:p>
<w:p>
<w:pPr><w:pStyle w:val="Normal"/></w:pPr>
<w:r><w:t xml:space="preserve">rulers.  The Kharosthi is then the gradual development under</w:t></w:r>
</w:p>
<w:p>
<w:pPr><w:pStyle w:val="Normal"/></w:pPr>
<w:r><w:t xml:space="preserve">local conditions of the Aramaic alphabet of the Persian</w:t></w:r>
</w:p>
<w:p>
<w:pPr><w:pStyle w:val="Normal"/></w:pPr>
<w:r><w:t xml:space="preserve">period.  As Stein&apos;s explorations show, both alphabets</w:t></w:r>
</w:p>
<w:p>
<w:pPr><w:pStyle w:val="Normal"/></w:pPr>
<w:r><w:t xml:space="preserve">may be found on ooposite sides of the same piece of wood.</w:t></w:r>
</w:p>
<w:p>
<w:pPr><w:pStyle w:val="Normal"/></w:pPr>
<w:r><w:t xml:space="preserve">The history of the Brami alphabet is more difficult.  In</w:t></w:r>
</w:p>
<w:p>
<w:pPr><w:pStyle w:val="Normal"/></w:pPr>
<w:r><w:t xml:space="preserve">its later forms it is so unlike other alphabets that many</w:t></w:r>
</w:p>
<w:p>
<w:pPr><w:pStyle w:val="Normal"/></w:pPr>
<w:r><w:t xml:space="preserve">scholars have regarded it as an invention within India</w:t></w:r>
</w:p>
<w:p>
<w:pPr><w:pStyle w:val="Normal"/></w:pPr>
<w:r><w:t xml:space="preserve">itself.  The discovery of earlier inscriptions than were</w:t></w:r>
</w:p>
<w:p>
<w:pPr><w:pStyle w:val="Normal"/></w:pPr>
<w:r><w:t xml:space="preserve">hitherto known has, however, caused this view to be discarded,</w:t></w:r>
</w:p>
<w:p>
<w:pPr><w:pStyle w:val="Normal"/></w:pPr>
<w:r><w:t xml:space="preserve">and the problem is to decide from which form of the Semitic</w:t></w:r>
</w:p>
<w:p>
<w:pPr><w:pStyle w:val="Normal"/></w:pPr>
<w:r><w:t xml:space="preserve">alphabet it is derived.  Taylor (The Alphabet, ii. p. 314</w:t></w:r>
</w:p>
<w:p>
<w:pPr><w:pStyle w:val="Normal"/></w:pPr>
<w:r><w:t xml:space="preserve">ff.), following Weber, argues that it comes from the Sabaeans</w:t></w:r>
</w:p>
<w:p>
<w:pPr><w:pStyle w:val="Normal"/></w:pPr>
<w:r><w:t xml:space="preserve">who were carrying on trade with India as early as 1000</w:t></w:r>
</w:p>
<w:p>
<w:pPr><w:pStyle w:val="Normal"/></w:pPr>
<w:r><w:t xml:space="preserve">B.C. Even if the alphabet had not reached India till the</w:t></w:r>
</w:p>
<w:p>
<w:pPr><w:pStyle w:val="Normal"/></w:pPr>
<w:r><w:t xml:space="preserve">6th century B.C., there would be time, he contends, for</w:t></w:r>
</w:p>
<w:p>
<w:pPr><w:pStyle w:val="Normal"/></w:pPr>
<w:r><w:t xml:space="preserve">the peculiarities of the Indian form of it to develop before</w:t></w:r>
</w:p>
<w:p>
<w:pPr><w:pStyle w:val="Normal"/></w:pPr>
<w:r><w:t xml:space="preserve">the period when records begin.  The alphabet, according to</w:t></w:r>
</w:p>
<w:p>
<w:pPr><w:pStyle w:val="Normal"/></w:pPr>
<w:r><w:t xml:space="preserve">Taylor, shows no resemblance to any northern Semitic script,</w:t></w:r>
</w:p>
<w:p>
<w:pPr><w:pStyle w:val="Normal"/></w:pPr>
<w:r><w:t xml:space="preserve">while its stiff, straight lines and its forms seem like the</w:t></w:r>
</w:p>
<w:p>
<w:pPr><w:pStyle w:val="Normal"/></w:pPr>
<w:r><w:t xml:space="preserve">Sabaean.  Buhler, on the other hand, shows from literary</w:t></w:r>
</w:p>
<w:p>
<w:pPr><w:pStyle w:val="Normal"/></w:pPr>
<w:r><w:t xml:space="preserve">evidence that writing was in common use in India in the</w:t></w:r>
</w:p>
<w:p>
<w:pPr><w:pStyle w:val="Normal"/></w:pPr>
<w:r><w:t xml:space="preserve">5th, possibly in the 6th, century B.C. The oldest alphabet</w:t></w:r>
</w:p>
<w:p>
<w:pPr><w:pStyle w:val="Normal"/></w:pPr>
<w:r><w:t xml:space="preserve">must have been the Brahmi lipi, which is found all over</w:t></w:r>
</w:p>
<w:p>
<w:pPr><w:pStyle w:val="Normal"/></w:pPr>
<w:r><w:t xml:space="preserve">India.  But he rejects Taylor&apos;s derivation of this alphabet</w:t></w:r>
</w:p>
<w:p>
<w:pPr><w:pStyle w:val="Normal"/></w:pPr>
<w:r><w:t xml:space="preserve">from the Sabaean script, and contends that it is borrowed from</w:t></w:r>
</w:p>
<w:p>
<w:pPr><w:pStyle w:val="Normal"/></w:pPr>
<w:r><w:t xml:space="preserve">the North Semitic.  To the pedantry of the Hindu he attributes</w:t></w:r>
</w:p>
<w:p>
<w:pPr><w:pStyle w:val="Normal"/></w:pPr>
<w:r><w:t xml:space="preserve">its main characteristics, viz. (a) letters made as upright</w:t></w:r>
</w:p>
<w:p>
<w:pPr><w:pStyle w:val="Normal"/></w:pPr>
<w:r><w:t xml:space="preserve">as possible, and with few exceptions equal in height; (b)</w:t></w:r>
</w:p>
<w:p>
<w:pPr><w:pStyle w:val="Normal"/></w:pPr>
<w:r><w:t xml:space="preserve">the majority of the letters constructed of vertical lines,</w:t></w:r>
</w:p>
<w:p>
<w:pPr><w:pStyle w:val="Normal"/></w:pPr>
<w:r><w:t xml:space="preserve">with appendages attached mostly at the foot, occasionally at</w:t></w:r>
</w:p>
<w:p>
<w:pPr><w:pStyle w:val="Normal"/></w:pPr>
<w:r><w:t xml:space="preserve">the foot and at the top, or (rarely) in the middle, but never</w:t></w:r>
</w:p>
<w:p>
<w:pPr><w:pStyle w:val="Normal"/></w:pPr>
<w:r><w:t xml:space="preserve">at the top alone: (c) at the tops of the characters the</w:t></w:r>
</w:p>
<w:p>
<w:pPr><w:pStyle w:val="Normal"/></w:pPr>
<w:r><w:t xml:space="preserve">ends of vertical lines, less frequently straight horizontal</w:t></w:r>
</w:p>
<w:p>
<w:pPr><w:pStyle w:val="Normal"/></w:pPr>
<w:r><w:t xml:space="preserve">lines, still more rarely curves or the points of angles opening</w:t></w:r>
</w:p>
<w:p>
<w:pPr><w:pStyle w:val="Normal"/></w:pPr>
<w:r><w:t xml:space="preserve">downwards, and quite exceptionally, in the symbol ma, two</w:t></w:r>
</w:p>
<w:p>
<w:pPr><w:pStyle w:val="Normal"/></w:pPr>
<w:r><w:t xml:space="preserve">lines rising upwards.  A remarkable feature of the alphabet is</w:t></w:r>
</w:p>
<w:p>
<w:pPr><w:pStyle w:val="Normal"/></w:pPr>
<w:r><w:t xml:space="preserve">that the letters are hung from and do not stand upon a line,</w:t></w:r>
</w:p>
<w:p>
<w:pPr><w:pStyle w:val="Normal"/></w:pPr>
<w:r><w:t xml:space="preserve">a characteristic which, as Buhler notes (Indian Studies,</w:t></w:r>
</w:p>
<w:p>
<w:pPr><w:pStyle w:val="Normal"/></w:pPr>
<w:r><w:t xml:space="preserve">iii. p. 57 n.), belongs even to the most ancient MSS.,</w:t></w:r>
</w:p>
<w:p>
<w:pPr><w:pStyle w:val="Normal"/></w:pPr>
<w:r><w:t xml:space="preserve">and to the Asoka inscriptions of the 3rd century B.C. When</w:t></w:r>
</w:p>
<w:p>
<w:pPr><w:pStyle w:val="Normal"/></w:pPr>
<w:r><w:t xml:space="preserve">these specially Indian features have been allowed for, Buhler</w:t></w:r>
</w:p>
<w:p>
<w:pPr><w:pStyle w:val="Normal"/></w:pPr>
<w:r><w:t xml:space="preserve">contends that the symbols borrowed from the Semitic alphabet</w:t></w:r>
</w:p>
<w:p>
<w:pPr><w:pStyle w:val="Normal"/></w:pPr>
<w:r><w:t xml:space="preserve">can be carried back to the forms of The Phoenician and Moabite</w:t></w:r>
</w:p>
<w:p>
<w:pPr><w:pStyle w:val="Normal"/></w:pPr>
<w:r><w:t xml:space="preserve">alphabets.  The proof deals with each symbol separarately;</w:t></w:r>
</w:p>
<w:p>
<w:pPr><w:pStyle w:val="Normal"/></w:pPr>
<w:r><w:t xml:space="preserve">as might be expected of its author, it is both scholarly and</w:t></w:r>
</w:p>
<w:p>
<w:pPr><w:pStyle w:val="Normal"/></w:pPr>
<w:r><w:t xml:space="preserve">ingenious, but, it must be admitted, not very convincing.</w:t></w:r>
</w:p>
<w:p>
<w:pPr><w:pStyle w:val="Normal"/></w:pPr>
<w:r><w:t xml:space="preserve">Further evidence as to the early history of this alphabet must</w:t></w:r>
</w:p>
<w:p>
<w:pPr><w:pStyle w:val="Normal"/></w:pPr>
<w:r><w:t xml:space="preserve">be discovered before we can definitely decide what its origin may</w:t></w:r>
</w:p>
<w:p>
<w:pPr><w:pStyle w:val="Normal"/></w:pPr>
<w:r><w:t xml:space="preserve">be.  That such evidence will be forthcoming there is little</w:t></w:r>
</w:p>
<w:p>
<w:pPr><w:pStyle w:val="Normal"/></w:pPr>
<w:r><w:t xml:space="preserve">doubt.  Even since Buhler wrote, the vase, the top of which</w:t></w:r>
</w:p>
<w:p>
<w:pPr><w:pStyle w:val="Normal"/></w:pPr>
<w:r><w:t xml:space="preserve">is reproduced (see Plate), has been discovered on the borders</w:t></w:r>
</w:p>
<w:p>
<w:pPr><w:pStyle w:val="Normal"/></w:pPr>
<w:r><w:t xml:space="preserve">of Nepal in a stupa where some of the relics of Buddha were</w:t></w:r>
</w:p>
<w:p>
<w:pPr><w:pStyle w:val="Normal"/></w:pPr>
<w:r><w:t xml:space="preserve">kept.  The inscription is of the same type as the Asoka</w:t></w:r>
</w:p>
<w:p>
<w:pPr><w:pStyle w:val="Normal"/></w:pPr>
<w:r><w:t xml:space="preserve">inscriptions, but, in Buhler&apos;s opinion (Journal of the Royal</w:t></w:r>
</w:p>
<w:p>
<w:pPr><w:pStyle w:val="Normal"/></w:pPr>
<w:r><w:t xml:space="preserve">Asiatic Society, xxx., 1898, p. 389), is older than Asoka&apos;s</w:t></w:r>
</w:p>
<w:p>
<w:pPr><w:pStyle w:val="Normal"/></w:pPr>
<w:r><w:t xml:space="preserve">time.  It reads as follows: iyam salilanidhane Budhasa</w:t></w:r>
</w:p>
<w:p>
<w:pPr><w:pStyle w:val="Normal"/></w:pPr>
<w:r><w:t xml:space="preserve">bhagavate sakiyanam sukitibhatinaim sabhaginikam</w:t></w:r>
</w:p>
<w:p>
<w:pPr><w:pStyle w:val="Normal"/></w:pPr>
<w:r><w:t xml:space="preserve">saputadalanam. ``This casket of relics of the blessed Buddha</w:t></w:r>
</w:p>
<w:p>
<w:pPr><w:pStyle w:val="Normal"/></w:pPr>
<w:r><w:t xml:space="preserve">is the pious foundation (so Pischel, no doubt rightly, Zeitsch.</w:t></w:r>
</w:p>
<w:p>
<w:pPr><w:pStyle w:val="Normal"/></w:pPr>
<w:r><w:t xml:space="preserve">d. deutsch. morg.  Gesell. lvi. 158) of the Sakyas, their</w:t></w:r>
</w:p>
<w:p>
<w:pPr><w:pStyle w:val="Normal"/></w:pPr>
<w:r><w:t xml:space="preserve">brothers and their sisters, together with children and wives.&apos;&apos;</w:t></w:r>
</w:p>
<w:p>
<w:pPr><w:pStyle w:val="Normal"/></w:pPr>
<w:r><w:t xml:space="preserve">How this alphabet was modified locally, and how it spread to</w:t></w:r>
</w:p>
<w:p>
<w:pPr><w:pStyle w:val="Normal"/></w:pPr>
<w:r><w:t xml:space="preserve">other Eastern lands, must be sought in the specialist works to</w:t></w:r>
</w:p>
<w:p>
<w:pPr><w:pStyle w:val="Normal"/></w:pPr>
<w:r><w:t xml:space="preserve">which reference has already been made.  Its extension to new and</w:t></w:r>
</w:p>
<w:p>
<w:pPr><w:pStyle w:val="Normal"/></w:pPr>
<w:r><w:t xml:space="preserve">hitherto unknown languages was in 1910 in process of being rapidly</w:t></w:r>
</w:p>
<w:p>
<w:pPr><w:pStyle w:val="Normal"/></w:pPr>
<w:r><w:t xml:space="preserve">demonstrated by English and German expeditions in Chinese Turkestan.</w:t></w:r>
</w:p>
<w:p>
<w:pPr><w:pStyle w:val="Normal"/></w:pPr>
<w:r><w:t xml:space="preserve">AUTHORITIES.---Owing to the rapid increase of materials,</w:t></w:r>
</w:p>
<w:p>
<w:pPr><w:pStyle w:val="Normal"/></w:pPr>
<w:r><w:t xml:space="preserve">all early works are out of date.  The best general accounts,</w:t></w:r>
</w:p>
<w:p>
<w:pPr><w:pStyle w:val="Normal"/></w:pPr>
<w:r><w:t xml:space="preserve">though already somewhat antiquated, are: (1) The Alphabet (2</w:t></w:r>
</w:p>
<w:p>
<w:pPr><w:pStyle w:val="Normal"/></w:pPr>
<w:r><w:t xml:space="preserve">vols., with references to earlier works), by Canon Isaac Taylor</w:t></w:r>
</w:p>
<w:p>
<w:pPr><w:pStyle w:val="Normal"/></w:pPr>
<w:r><w:t xml:space="preserve">(1883), reprinted from the stereotyped plates with small</w:t></w:r>
</w:p>
<w:p>
<w:pPr><w:pStyle w:val="Normal"/></w:pPr>
<w:r><w:t xml:space="preserve">necessary corrections (1899); and (2) Histoire de l&apos;ecriture</w:t></w:r>
</w:p>
<w:p>
<w:pPr><w:pStyle w:val="Normal"/></w:pPr>
<w:r><w:t xml:space="preserve">dans l&apos;antiquite, by M. Philippe Berger (Paris, 1891, 2nd ed.</w:t></w:r>
</w:p>
<w:p>
<w:pPr><w:pStyle w:val="Normal"/></w:pPr>
<w:r><w:t xml:space="preserve">1892).  An excellent popular account is The Story of the</w:t></w:r>
</w:p>
<w:p>
<w:pPr><w:pStyle w:val="Normal"/></w:pPr>
<w:r><w:t xml:space="preserve">Alphabet, by E. Clodd (no date, about 1900).  Faulmann&apos;s</w:t></w:r>
</w:p>
<w:p>
<w:pPr><w:pStyle w:val="Normal"/></w:pPr>
<w:r><w:t xml:space="preserve">Illustrierte Geschichte der Schrift (1880) is a popular</w:t></w:r>
</w:p>
<w:p>
<w:pPr><w:pStyle w:val="Normal"/></w:pPr>
<w:r><w:t xml:space="preserve">work with good illustrations.  For the beginnings of the</w:t></w:r>
</w:p>
<w:p>
<w:pPr><w:pStyle w:val="Normal"/></w:pPr>
<w:r><w:t xml:space="preserve">alphabet, Dr A. J. Evans&apos;s Scripta Minoa (vol. i., 1900)</w:t></w:r>
</w:p>
<w:p>
<w:pPr><w:pStyle w:val="Normal"/></w:pPr>
<w:r><w:t xml:space="preserve">is indispensable, whether his theories hold their ground or</w:t></w:r>
</w:p>
<w:p>
<w:pPr><w:pStyle w:val="Normal"/></w:pPr>
<w:r><w:t xml:space="preserve">not.  The Semitic alphabet is excellently treated by Lidzbarski</w:t></w:r>
</w:p>
<w:p>
<w:pPr><w:pStyle w:val="Normal"/></w:pPr>
<w:r><w:t xml:space="preserve">in the Jewish Encyclopaedia (1901); his Nordsemitlsche</w:t></w:r>
</w:p>
<w:p>
<w:pPr><w:pStyle w:val="Normal"/></w:pPr>
<w:r><w:t xml:space="preserve">Epigraphik (1898) has excellent facsimiles and tables of the</w:t></w:r>
</w:p>
<w:p>
<w:pPr><w:pStyle w:val="Normal"/></w:pPr>
<w:r><w:t xml:space="preserve">alphabets, and there are many contributions to the history of</w:t></w:r>
</w:p>
<w:p>
<w:pPr><w:pStyle w:val="Normal"/></w:pPr>
<w:r><w:t xml:space="preserve">the alphabet in the same writer&apos;s Ephemeris fur semitische</w:t></w:r>
</w:p>
<w:p>
<w:pPr><w:pStyle w:val="Normal"/></w:pPr>
<w:r><w:t xml:space="preserve">Epigraphik (Giessen, since 1900).  See also ``Writing&apos;&apos;</w:t></w:r>
</w:p>
<w:p>
<w:pPr><w:pStyle w:val="Normal"/></w:pPr>
<w:r><w:t xml:space="preserve">(by A. A. Bevan) in the Encyclopaedia Biblica, and</w:t></w:r>
</w:p>
<w:p>
<w:pPr><w:pStyle w:val="Normal"/></w:pPr>
<w:r><w:t xml:space="preserve">``Alphabet&apos;&apos;(by Isaac Taylor) in Hastings&apos; Dictionary of</w:t></w:r>
</w:p>
<w:p>
<w:pPr><w:pStyle w:val="Normal"/></w:pPr>
<w:r><w:t xml:space="preserve">the Bible. A very good article, now somewhat antiquated,</w:t></w:r>
</w:p>
<w:p>
<w:pPr><w:pStyle w:val="Normal"/></w:pPr>
<w:r><w:t xml:space="preserve">is Schlottmann&apos;s ``Schrift und Schriftzeichen&apos;&apos; in Riehm&apos;s</w:t></w:r>
</w:p>
<w:p>
<w:pPr><w:pStyle w:val="Normal"/></w:pPr>
<w:r><w:t xml:space="preserve">Handworterbuch des biblischen Altertums (1884, reprinted</w:t></w:r>
</w:p>
<w:p>
<w:pPr><w:pStyle w:val="Normal"/></w:pPr>
<w:r><w:t xml:space="preserve">1894).  For Greek epigraphy the fullest and also most recent</w:t></w:r>
</w:p>
<w:p>
<w:pPr><w:pStyle w:val="Normal"/></w:pPr>
<w:r><w:t xml:space="preserve">work is W. Larfeld&apos;s Handbuch der griechischen Epigraphik</w:t></w:r>
</w:p>
<w:p>
<w:pPr><w:pStyle w:val="Normal"/></w:pPr>
<w:r><w:t xml:space="preserve">(vol. ii., 1902; vol. i., 1907) (see especially Herkunft un</w:t></w:r>
</w:p>
<w:p>
<w:pPr><w:pStyle w:val="Normal"/></w:pPr>
<w:r><w:t xml:space="preserve">Alter des griechischen Alphabets, i. 330 ff.).  For the history</w:t></w:r>
</w:p>
<w:p>
<w:pPr><w:pStyle w:val="Normal"/></w:pPr>
<w:r><w:t xml:space="preserve">of the Greek alphabet the fundamental work was A. Kirchhoff&apos;s</w:t></w:r>
</w:p>
<w:p>
<w:pPr><w:pStyle w:val="Normal"/></w:pPr>
<w:r><w:t xml:space="preserve">Studien zur Geschichte des griechischen Alphabets (4th</w:t></w:r>
</w:p>
<w:p>
<w:pPr><w:pStyle w:val="Normal"/></w:pPr>
<w:r><w:t xml:space="preserve">ed., 1887).: His theories were adopted and worked out on a</w:t></w:r>
</w:p>
<w:p>
<w:pPr><w:pStyle w:val="Normal"/></w:pPr>
<w:r><w:t xml:space="preserve">much larger scale in E. S. Roberts&apos;s Introduction to Greek</w:t></w:r>
</w:p>
<w:p>
<w:pPr><w:pStyle w:val="Normal"/></w:pPr>
<w:r><w:t xml:space="preserve">Epigraphy, pt. i. ``The Archaic Inscriptions and the Greek</w:t></w:r>
</w:p>
<w:p>
<w:pPr><w:pStyle w:val="Normal"/></w:pPr>
<w:r><w:t xml:space="preserve">Alphabet&apos;&apos; (1887), pt. ii. (wirh E. A. Gardner) ``The Inscriptions</w:t></w:r>
</w:p>
<w:p>
<w:pPr><w:pStyle w:val="Normal"/></w:pPr>
<w:r><w:t xml:space="preserve">of Attica&apos;&apos; (1905); See also Salomon Reinach&apos;s Traite d&apos;</w:t></w:r>
</w:p>
<w:p>
<w:pPr><w:pStyle w:val="Normal"/></w:pPr>
<w:r><w:t xml:space="preserve">epigraphie grecque (1885). in Iwan von Muller&apos;s Handbuch</w:t></w:r>
</w:p>
<w:p>
<w:pPr><w:pStyle w:val="Normal"/></w:pPr>
<w:r><w:t xml:space="preserve">der klassischen Altertumswissenschaft important articles on</w:t></w:r>
</w:p>
<w:p>
<w:pPr><w:pStyle w:val="Normal"/></w:pPr>
<w:r><w:t xml:space="preserve">both Greek and Latin epigraphy and alphabets have appeared</w:t></w:r>
</w:p>
<w:p>
<w:pPr><w:pStyle w:val="Normal"/></w:pPr>
<w:r><w:t xml:space="preserve">(Greek in edition 1 by G. Heinrichs, 1886; in edition 2 by W.</w:t></w:r>
</w:p>
<w:p>
<w:pPr><w:pStyle w:val="Normal"/></w:pPr>
<w:r><w:t xml:space="preserve">Larfeld, 1892; Latin by Emil Hubner).  See also ``Alphabet,&apos;&apos;</w:t></w:r>
</w:p>
<w:p>
<w:pPr><w:pStyle w:val="Normal"/></w:pPr>
<w:r><w:t xml:space="preserve">by W. Deecke, in Baumeister&apos;s Denkmaler des klassischen</w:t></w:r>
</w:p>
<w:p>
<w:pPr><w:pStyle w:val="Normal"/></w:pPr>
<w:r><w:t xml:space="preserve">Altertums (1884), and by Szanto (Greek) and Joh. Schmidt</w:t></w:r>
</w:p>
<w:p>
<w:pPr><w:pStyle w:val="Normal"/></w:pPr>
<w:r><w:t xml:space="preserve">(italic) in Pauly&apos;s Realencyclopadie edited by Wissowa</w:t></w:r>
</w:p>
<w:p>
<w:pPr><w:pStyle w:val="Normal"/></w:pPr>
<w:r><w:t xml:space="preserve">(1894).  Mommsen&apos;s Die unteritalischen Dialekte (1850) is</w:t></w:r>
</w:p>
<w:p>
<w:pPr><w:pStyle w:val="Normal"/></w:pPr>
<w:r><w:t xml:space="preserve">not without value even now.  Other literature and references to</w:t></w:r>
</w:p>
<w:p>
<w:pPr><w:pStyle w:val="Normal"/></w:pPr>
<w:r><w:t xml:space="preserve">fuller bibliographies in separate departments have been given</w:t></w:r>
</w:p>
<w:p>
<w:pPr><w:pStyle w:val="Normal"/></w:pPr>
<w:r><w:t xml:space="preserve">in the notes.  Elsewhere in this edition of the Encyclopaedia</w:t></w:r>
</w:p>
<w:p>
<w:pPr><w:pStyle w:val="Normal"/></w:pPr>
<w:r><w:t xml:space="preserve">Britannica the articles on the various languages and under</w:t></w:r>
</w:p>
<w:p>
<w:pPr><w:pStyle w:val="Normal"/></w:pPr>
<w:r><w:t xml:space="preserve">the headings INSCRIPTIONS, PALAEOGRAPHY, WRITING, &amp;c.,</w:t></w:r>
</w:p>
<w:p>
<w:pPr><w:pStyle w:val="Normal"/></w:pPr>
<w:r><w:t xml:space="preserve">should be consulted, while separate articles are given on each</w:t></w:r>
</w:p>
<w:p>
<w:pPr><w:pStyle w:val="Normal"/></w:pPr>
<w:r><w:t xml:space="preserve">letter of the English alphabet.  The writer is indebted to</w:t></w:r>
</w:p>
<w:p>
<w:pPr><w:pStyle w:val="Normal"/></w:pPr>
<w:r><w:t xml:space="preserve">Dr A. J. Evans for a photograph of the Cretan linear script,</w:t></w:r>
</w:p>
<w:p>
<w:pPr><w:pStyle w:val="Normal"/></w:pPr>
<w:r><w:t xml:space="preserve">and to Professors A. A. Bevan and Rapson of Cambridge, and to</w:t></w:r>
</w:p>
<w:p>
<w:pPr><w:pStyle w:val="Normal"/></w:pPr>
<w:r><w:t xml:space="preserve">Mr F. W. Thomas, librarian of the India Office, for help in</w:t></w:r>
</w:p>
<w:p>
<w:pPr><w:pStyle w:val="Normal"/></w:pPr>
<w:r><w:t xml:space="preserve">their respective departments of Semitic and Indian languages.</w:t></w:r>
</w:p>
<w:p>
<w:pPr><w:pStyle w:val="Normal"/></w:pPr>
<w:r><w:t xml:space="preserve">(P. Gt.)</w:t></w:r>
</w:p>
<w:p>
<w:pPr><w:pStyle w:val="Normal"/></w:pPr>
<w:r><w:t xml:space="preserve">1 Breasted, History of Egypt (1906), p. 45.</w:t></w:r>
</w:p>
<w:p>
<w:pPr><w:pStyle w:val="Normal"/></w:pPr>
<w:r><w:t xml:space="preserve">2 Op. cit. p. 484.</w:t></w:r>
</w:p>
<w:p>
<w:pPr><w:pStyle w:val="Normal"/></w:pPr>
<w:r><w:t xml:space="preserve">3 Die Schrift und Sprache der alten Agypter (1907), p. 24.</w:t></w:r>
</w:p>
<w:p>
<w:pPr><w:pStyle w:val="Normal"/></w:pPr>
<w:r><w:t xml:space="preserve">4 Scripta Minoa, i. (1909), sec.  10, pp. 77 ff.</w:t></w:r>
</w:p>
<w:p>
<w:pPr><w:pStyle w:val="Normal"/></w:pPr>
<w:r><w:t xml:space="preserve">5 E. Piette, L&apos;Anthropologie, vii. (1896) pp. 384 ff.</w:t></w:r>
</w:p>
<w:p>
<w:pPr><w:pStyle w:val="Normal"/></w:pPr>
<w:r><w:t xml:space="preserve">6 E. Piette, L&apos;Anthropologie, xvi. (1905) pp. 8-9. The</w:t></w:r>
</w:p>
<w:p>
<w:pPr><w:pStyle w:val="Normal"/></w:pPr>
<w:r><w:t xml:space="preserve">apparent inscriptions of this period are conveniently collected</w:t></w:r>
</w:p>
<w:p>
<w:pPr><w:pStyle w:val="Normal"/></w:pPr>
<w:r><w:t xml:space="preserve">and figured together in Dechelette&apos;s Malnuel d&apos;archeologie</w:t></w:r>
</w:p>
<w:p>
<w:pPr><w:pStyle w:val="Normal"/></w:pPr>
<w:r><w:t xml:space="preserve">prehistorique celtique et gallo-romaine, i. (1908) p. 233.</w:t></w:r>
</w:p>
<w:p>
<w:pPr><w:pStyle w:val="Normal"/></w:pPr>
<w:r><w:t xml:space="preserve">7 Der Ursprung des alt-semitischen Alphabets aus der</w:t></w:r>
</w:p>
<w:p>
<w:pPr><w:pStyle w:val="Normal"/></w:pPr>
<w:r><w:t xml:space="preserve">neu-assyrischen Keilschrift (ZDMG. xxxi. pp. 102</w:t></w:r>
</w:p>
<w:p>
<w:pPr><w:pStyle w:val="Normal"/></w:pPr>
<w:r><w:t xml:space="preserve">ff.).  A still more sweeping theory of the same nature is</w:t></w:r>
</w:p>
<w:p>
<w:pPr><w:pStyle w:val="Normal"/></w:pPr>
<w:r><w:t xml:space="preserve">propounded by the Rev. C. J. Ball in the Proceedings of</w:t></w:r>
</w:p>
<w:p>
<w:pPr><w:pStyle w:val="Normal"/></w:pPr>
<w:r><w:t xml:space="preserve">the Society of Biblical Archaeology, xv. 1893) pp. 392 ff.</w:t></w:r>
</w:p>
<w:p>
<w:pPr><w:pStyle w:val="Normal"/></w:pPr>
<w:r><w:t xml:space="preserve">8 In an excellent summary of the different views held as to</w:t></w:r>
</w:p>
<w:p>
<w:pPr><w:pStyle w:val="Normal"/></w:pPr>
<w:r><w:t xml:space="preserve">the origin of the alphabet (Journal of the American Oriental</w:t></w:r>
</w:p>
<w:p>
<w:pPr><w:pStyle w:val="Normal"/></w:pPr>
<w:r><w:t xml:space="preserve">Society, vol. xxii, first half, 1901), Dr J. P. Peters</w:t></w:r>
</w:p>
<w:p>
<w:pPr><w:pStyle w:val="Normal"/></w:pPr>
<w:r><w:t xml:space="preserve">agrees (pp. 191 fl.) that the best test is ihe etymology</w:t></w:r>
</w:p>
<w:p>
<w:pPr><w:pStyle w:val="Normal"/></w:pPr>
<w:r><w:t xml:space="preserve">of the names of the letters.  He shows that twelve of the</w:t></w:r>
</w:p>
<w:p>
<w:pPr><w:pStyle w:val="Normal"/></w:pPr>
<w:r><w:t xml:space="preserve">letter-names are words wiih meanings [in the northern dialects</w:t></w:r>
</w:p>
<w:p>
<w:pPr><w:pStyle w:val="Normal"/></w:pPr>
<w:r><w:t xml:space="preserve">of Semitic], all of them indicating simple objects, six of</w:t></w:r>
</w:p>
<w:p>
<w:pPr><w:pStyle w:val="Normal"/></w:pPr>
<w:r><w:t xml:space="preserve">the twelve being parts of the body.  The objects denoted by</w:t></w:r>
</w:p>
<w:p>
<w:pPr><w:pStyle w:val="Normal"/></w:pPr>
<w:r><w:t xml:space="preserve">the other six names--ox, house, valve of a door, water, fish</w:t></w:r>
</w:p>
<w:p>
<w:pPr><w:pStyle w:val="Normal"/></w:pPr>
<w:r><w:t xml:space="preserve">and mark or cross--clearly do not belong to any people in</w:t></w:r>
</w:p>
<w:p>
<w:pPr><w:pStyle w:val="Normal"/></w:pPr>
<w:r><w:t xml:space="preserve">a nomadic state, but to a settled, town-abiding population.</w:t></w:r>
</w:p>
<w:p>
<w:pPr><w:pStyle w:val="Normal"/></w:pPr>
<w:r><w:t xml:space="preserve">. . . Six of the letter-names are not words in any known</w:t></w:r>
</w:p>
<w:p>
<w:pPr><w:pStyle w:val="Normal"/></w:pPr>
<w:r><w:t xml:space="preserve">tongue, and appear to be syllables only.  Four lerter-names</w:t></w:r>
</w:p>
<w:p>
<w:pPr><w:pStyle w:val="Normal"/></w:pPr>
<w:r><w:t xml:space="preserve">are triliterals, and resemble in their form Semitic words.&apos;&apos;</w:t></w:r>
</w:p>
<w:p>
<w:pPr><w:pStyle w:val="Normal"/></w:pPr>
<w:r><w:t xml:space="preserve">As 11 of the 12 which have meanings are to be found in the</w:t></w:r>
</w:p>
<w:p>
<w:pPr><w:pStyle w:val="Normal"/></w:pPr>
<w:r><w:t xml:space="preserve">Assyrian-Babylonian syllabaries, he suggests a possible Babylonian</w:t></w:r>
</w:p>
<w:p>
<w:pPr><w:pStyle w:val="Normal"/></w:pPr>
<w:r><w:t xml:space="preserve">origin.  Different views with regard to some of these symbols</w:t></w:r>
</w:p>
<w:p>
<w:pPr><w:pStyle w:val="Normal"/></w:pPr>
<w:r><w:t xml:space="preserve">are expressed by Lidzbarski, Ephemeris fur semitische</w:t></w:r>
</w:p>
<w:p>
<w:pPr><w:pStyle w:val="Normal"/></w:pPr>
<w:r><w:t xml:space="preserve">Epigraphik, ii. pp. 125 ff. (1906).  The earliest tradition</w:t></w:r>
</w:p>
<w:p>
<w:pPr><w:pStyle w:val="Normal"/></w:pPr>
<w:r><w:t xml:space="preserve">of the names is discussed by Noldeke in his Beitrage</w:t></w:r>
</w:p>
<w:p>
<w:pPr><w:pStyle w:val="Normal"/></w:pPr>
<w:r><w:t xml:space="preserve">zur semitischen Sprachwissenschait (1904), pp. 124 fl.</w:t></w:r>
</w:p>
<w:p>
<w:pPr><w:pStyle w:val="Normal"/></w:pPr>
<w:r><w:t xml:space="preserve">9 See, for example, the tables at the end of Roberts&apos;s</w:t></w:r>
</w:p>
<w:p>
<w:pPr><w:pStyle w:val="Normal"/></w:pPr>
<w:r><w:t xml:space="preserve">Introduction to Greek Epigraphy (1887); or Kirchhoff&apos;s Studien</w:t></w:r>
</w:p>
<w:p>
<w:pPr><w:pStyle w:val="Normal"/></w:pPr>
<w:r><w:t xml:space="preserve">zur Geschichte des grieschischen Alphabets (4th ed. 1887); or</w:t></w:r>
</w:p>
<w:p>
<w:pPr><w:pStyle w:val="Normal"/></w:pPr>
<w:r><w:t xml:space="preserve">Larfeld&apos;s Handbuch der grieschischen Epigraphik, vol. i. (1907).</w:t></w:r>
</w:p>
<w:p>
<w:pPr><w:pStyle w:val="Normal"/></w:pPr>
<w:r><w:t xml:space="preserve">10 Cp. Frankel, Corpus inscriptionum Graecarum Pelopennesi, i., No. 1607.</w:t></w:r>
</w:p>
<w:p>
<w:pPr><w:pStyle w:val="Normal"/></w:pPr>
<w:r><w:t xml:space="preserve">11 See Witton, in American Journal of Philology, xix. pp. 420</w:t></w:r>
</w:p>
<w:p>
<w:pPr><w:pStyle w:val="Normal"/></w:pPr>
<w:r><w:t xml:space="preserve">ff., and Lagercrantz, Zur griechischen Lautgeschichte (Upsala, 1898).</w:t></w:r>
</w:p>
<w:p>
<w:pPr><w:pStyle w:val="Normal"/></w:pPr>
<w:r><w:t xml:space="preserve">12.  See Foat, ``Tsade and Sampi&apos;&apos; (Journal of Hellenic Studies,</w:t></w:r>
</w:p>
<w:p>
<w:pPr><w:pStyle w:val="Normal"/></w:pPr>
<w:r><w:t xml:space="preserve">xxv. pp. 338 fl., xxvi. p. 286).  A number of ingenious points</w:t></w:r>
</w:p>
<w:p>
<w:pPr><w:pStyle w:val="Normal"/></w:pPr>
<w:r><w:t xml:space="preserve">often uncertain are raised by A. Gercke, ``Zur Geschichie des</w:t></w:r>
</w:p>
<w:p>
<w:pPr><w:pStyle w:val="Normal"/></w:pPr>
<w:r><w:t xml:space="preserve">altesten griechischen Alphabets&apos;&apos; (Hermes, xli., 1906, pp. 540 ff.).</w:t></w:r>
</w:p>
<w:p>
<w:pPr><w:pStyle w:val="Normal"/></w:pPr>
<w:r><w:t xml:space="preserve">13 See especially Proceedings of the Society of Biblical</w:t></w:r>
</w:p>
<w:p>
<w:pPr><w:pStyle w:val="Normal"/></w:pPr>
<w:r><w:t xml:space="preserve">Archaology for 1895, p. 40; cf. also Kalinka, Neue Jahrbucher</w:t></w:r>
</w:p>
<w:p>
<w:pPr><w:pStyle w:val="Normal"/></w:pPr>
<w:r><w:t xml:space="preserve">fur Philologie, iii. (1899), p. 683. Similar forms are also</w:t></w:r>
</w:p>
<w:p>
<w:pPr><w:pStyle w:val="Normal"/></w:pPr>
<w:r><w:t xml:space="preserve">found in the Safa inscriptions (South Semitic) with similar</w:t></w:r>
</w:p>
<w:p>
<w:pPr><w:pStyle w:val="Normal"/></w:pPr>
<w:r><w:t xml:space="preserve">values, and Praetorius argues (Z.D.M.G. lvi., 1902, pp.</w:t></w:r>
</w:p>
<w:p>
<w:pPr><w:pStyle w:val="Normal"/></w:pPr>
<w:r><w:t xml:space="preserve">677 ff., and again lviii., 1904, pp. 725 f.) that these</w:t></w:r>
</w:p>
<w:p>
<w:pPr><w:pStyle w:val="Normal"/></w:pPr>
<w:r><w:t xml:space="preserve">were somehow borrowed by Greek in the 8th century B.C.,</w:t></w:r>
</w:p>
<w:p>
<w:pPr><w:pStyle w:val="Normal"/></w:pPr>
<w:r><w:t xml:space="preserve">while in lxii. pp.283 ff. he argues that the reason why the</w:t></w:r>
</w:p>
<w:p>
<w:pPr><w:pStyle w:val="Normal"/></w:pPr>
<w:r><w:t xml:space="preserve">Greeks borrowed Th for the aspirated t was its form, the</w:t></w:r>
</w:p>
<w:p>
<w:pPr><w:pStyle w:val="Normal"/></w:pPr>
<w:r><w:t xml:space="preserve">cross in @ being regarded as T and the surrounding circle</w:t></w:r>
</w:p>
<w:p>
<w:pPr><w:pStyle w:val="Normal"/></w:pPr>
<w:r><w:t xml:space="preserve">as a variety of @ an occasional form of @ the aspirate.</w:t></w:r>
</w:p>
<w:p>
<w:pPr><w:pStyle w:val="Normal"/></w:pPr>
<w:r><w:t xml:space="preserve">Here also (p. 287) as in his Ursprung des kanaanaischen</w:t></w:r>
</w:p>
<w:p>
<w:pPr><w:pStyle w:val="Normal"/></w:pPr>
<w:r><w:t xml:space="preserve">Alphabets, pp. 13 f., he argues that the two forms of the</w:t></w:r>
</w:p>
<w:p>
<w:pPr><w:pStyle w:val="Normal"/></w:pPr>
<w:r><w:t xml:space="preserve">digamma f and @, and also the South Semitic @ = o, could</w:t></w:r>
</w:p>
<w:p>
<w:pPr><w:pStyle w:val="Normal"/></w:pPr>
<w:r><w:t xml:space="preserve">all have developed from the Cyprian I = we.  But proof</w:t></w:r>
</w:p>
<w:p>
<w:pPr><w:pStyle w:val="Normal"/></w:pPr>
<w:r><w:t xml:space="preserve">is impossible without evidence of the intermediate steps.</w:t></w:r>
</w:p>
<w:p>
<w:pPr><w:pStyle w:val="Normal"/></w:pPr>
<w:r><w:t xml:space="preserve">14 Inscriptiones Graecae, xii., fasc. iii.  Nos. 811, 1149.</w:t></w:r>
</w:p>
<w:p>
<w:pPr><w:pStyle w:val="Normal"/></w:pPr>
<w:r><w:t xml:space="preserve">15 See especially Athenische Mitteilungen, xxi. p. 426.</w:t></w:r>
</w:p>
<w:p>
<w:pPr><w:pStyle w:val="Normal"/></w:pPr>
<w:r><w:t xml:space="preserve">16 Figured in Roberts&apos;s Introduction to Greek Epigraphy, p. 65.</w:t></w:r>
</w:p>
<w:p>
<w:pPr><w:pStyle w:val="Normal"/></w:pPr>
<w:r><w:t xml:space="preserve">17 Details of the history of the individual</w:t></w:r>
</w:p>
<w:p>
<w:pPr><w:pStyle w:val="Normal"/></w:pPr>
<w:r><w:t xml:space="preserve">letters will be found in separate articles.</w:t></w:r>
</w:p>
<w:p>
<w:pPr><w:pStyle w:val="Normal"/></w:pPr>
<w:r><w:t xml:space="preserve">18 It is figured most accessibly in Egbert&apos;s</w:t></w:r>
</w:p>
<w:p>
<w:pPr><w:pStyle w:val="Normal"/></w:pPr>
<w:r><w:t xml:space="preserve">Introduction to the Study of Latin Inscriptions, p. 16.</w:t></w:r>
</w:p>
<w:p>
<w:pPr><w:pStyle w:val="Normal"/></w:pPr>
<w:r><w:t xml:space="preserve">19 Gardthausen ``Ursprung und Entwicklung der grieschen-lateinischen</w:t></w:r>
</w:p>
<w:p>
<w:pPr><w:pStyle w:val="Normal"/></w:pPr>
<w:r><w:t xml:space="preserve">Schrift &apos;&apos; (Germanisch-romanische Monatsschrift, i. (1909),</w:t></w:r>
</w:p>
<w:p>
<w:pPr><w:pStyle w:val="Normal"/></w:pPr>
<w:r><w:t xml:space="preserve">pp. 337 ff.) argues for a ``proto-Tyrrhenian &apos;&apos; alphabet from</w:t></w:r>
</w:p>
<w:p>
<w:pPr><w:pStyle w:val="Normal"/></w:pPr>
<w:r><w:t xml:space="preserve">which Etruscan, Umbrian and Oscan descended as one group,</w:t></w:r>
</w:p>
<w:p>
<w:pPr><w:pStyle w:val="Normal"/></w:pPr>
<w:r><w:t xml:space="preserve">and Faliscan and Latin as the other.  Evidence in favour of</w:t></w:r>
</w:p>
<w:p>
<w:pPr><w:pStyle w:val="Normal"/></w:pPr>
<w:r><w:t xml:space="preserve">such a position for the Latin alphabet is not forthcoming.</w:t></w:r>
</w:p>
<w:p>
<w:pPr><w:pStyle w:val="Normal"/></w:pPr>
<w:r><w:t xml:space="preserve">20 For further details of these alphabets, see Conway, The</w:t></w:r>
</w:p>
<w:p>
<w:pPr><w:pStyle w:val="Normal"/></w:pPr>
<w:r><w:t xml:space="preserve">Italic Dialects, ii. pp. 458 ff.  The recent discovery by</w:t></w:r>
</w:p>
<w:p>
<w:pPr><w:pStyle w:val="Normal"/></w:pPr>
<w:r><w:t xml:space="preserve">Keil and Premerstein (Denkschriften der Wiener Akademie,</w:t></w:r>
</w:p>
<w:p>
<w:pPr><w:pStyle w:val="Normal"/></w:pPr>
<w:r><w:t xml:space="preserve">liii., 1908) of Lydian inscriptions containing the symbol</w:t></w:r>
</w:p>
<w:p>
<w:pPr><w:pStyle w:val="Normal"/></w:pPr>
<w:r><w:t xml:space="preserve">@ suggests that the old derivation of the Etruscans from</w:t></w:r>
</w:p>
<w:p>
<w:pPr><w:pStyle w:val="Normal"/></w:pPr>
<w:r><w:t xml:space="preserve">Lydia may be true and that they brought this symbol with</w:t></w:r>
</w:p>
<w:p>
<w:pPr><w:pStyle w:val="Normal"/></w:pPr>
<w:r><w:t xml:space="preserve">them (see article on f.) But the inscriptions are not yet</w:t></w:r>
</w:p>
<w:p>
<w:pPr><w:pStyle w:val="Normal"/></w:pPr>
<w:r><w:t xml:space="preserve">deciphered, so that conclusive proof is still wanting.</w:t></w:r>
</w:p>
<w:p>
<w:pPr><w:pStyle w:val="Normal"/></w:pPr>
<w:r><w:t xml:space="preserve">21 R. M. Meyer, Paul Braune und Sievers&apos;</w:t></w:r>
</w:p>
<w:p>
<w:pPr><w:pStyle w:val="Normal"/></w:pPr>
<w:r><w:t xml:space="preserve">Beitrage, xxi. (1896), pp. 162 ff.</w:t></w:r>
</w:p>
<w:p>
<w:pPr><w:pStyle w:val="Normal"/></w:pPr>
<w:r><w:t xml:space="preserve">22 In a paper published in the volume of Philologische</w:t></w:r>
</w:p>
<w:p>
<w:pPr><w:pStyle w:val="Normal"/></w:pPr>
<w:r><w:t xml:space="preserve">Studien, presented as a ``Festgabe&apos;&apos; to Professor</w:t></w:r>
</w:p>
<w:p>
<w:pPr><w:pStyle w:val="Normal"/></w:pPr>
<w:r><w:t xml:space="preserve">Sievers in 1896, and in a second paper in the Journal</w:t></w:r>
</w:p>
<w:p>
<w:pPr><w:pStyle w:val="Normal"/></w:pPr>
<w:r><w:t xml:space="preserve">of Germanic Philology, ii. (1899), pp. 370 ff.</w:t></w:r>
</w:p>
<w:p>
<w:pPr><w:pStyle w:val="Normal"/></w:pPr>
<w:r><w:t xml:space="preserve">23 See Literaturblott fur germanische und</w:t></w:r>
</w:p>
<w:p>
<w:pPr><w:pStyle w:val="Normal"/></w:pPr>
<w:r><w:t xml:space="preserve">romanische Philologie for 1897, col. 429 f.</w:t></w:r>
</w:p>
<w:p>
<w:pPr><w:pStyle w:val="Normal"/></w:pPr>
<w:r><w:t xml:space="preserve">24 A species of cryptography exactly like this, based upon the</w:t></w:r>
</w:p>
<w:p>
<w:pPr><w:pStyle w:val="Normal"/></w:pPr>
<w:r><w:t xml:space="preserve">`abjad&apos; order of the Arabic letters, is still in use among the Eastern</w:t></w:r>
</w:p>
<w:p>
<w:pPr><w:pStyle w:val="Normal"/></w:pPr>
<w:r><w:t xml:space="preserve">Persia is (E G. Browne, A Year amongst the Persians, p. 391 f.).</w:t></w:r>
</w:p>
<w:p>
<w:pPr><w:pStyle w:val="Normal"/></w:pPr>
<w:r><w:t xml:space="preserve">25 Cf. Rhys, Outlines of Manx Phonology, p. 73 (publications</w:t></w:r>
</w:p>
<w:p>
<w:pPr><w:pStyle w:val="Normal"/></w:pPr>
<w:r><w:t xml:space="preserve">of the Manx Society, vol. xxxiii.) ; Rhys and Brynmor</w:t></w:r>
</w:p>
<w:p>
<w:pPr><w:pStyle w:val="Normal"/></w:pPr>
<w:r><w:t xml:space="preserve">Jones, The Welsh People, pp 3, 502. An interpretation</w:t></w:r>
</w:p>
<w:p>
<w:pPr><w:pStyle w:val="Normal"/></w:pPr>
<w:r><w:t xml:space="preserve">of the oldest ogam inscriptions is given by Whitley Stokes</w:t></w:r>
</w:p>
<w:p>
<w:pPr><w:pStyle w:val="Normal"/></w:pPr>
<w:r><w:t xml:space="preserve">in Bezzenberger&apos;s Beitrage, xi (1886), p 183 ff.  Besides</w:t></w:r>
</w:p>
<w:p>
<w:pPr><w:pStyle w:val="Normal"/></w:pPr>
<w:r><w:t xml:space="preserve">the collections of ogams by Brash (1879) and Fergeson (1887),</w:t></w:r>
</w:p>
<w:p>
<w:pPr><w:pStyle w:val="Normal"/></w:pPr>
<w:r><w:t xml:space="preserve">a new collection by Mr R. A. S. Macalister is in course of</w:t></w:r>
</w:p>
<w:p>
<w:pPr><w:pStyle w:val="Normal"/></w:pPr>
<w:r><w:t xml:space="preserve">publication (Studies in Irish Epigraphy, 1897, 1902, 1907).</w:t></w:r>
</w:p>
<w:p>
<w:pPr><w:pStyle w:val="Normal"/></w:pPr>
<w:r><w:t xml:space="preserve">Professor Rhys, who at one time considered runes and ogam</w:t></w:r>
</w:p>
<w:p>
<w:pPr><w:pStyle w:val="Normal"/></w:pPr>
<w:r><w:t xml:space="preserve">to be connected, now thinks that ogam was the invention of a</w:t></w:r>
</w:p>
<w:p>
<w:pPr><w:pStyle w:val="Normal"/></w:pPr>
<w:r><w:t xml:space="preserve">grammarian in South Wales who was familiar with Latin letters.</w:t></w:r>
</w:p>
<w:p>
<w:pPr><w:pStyle w:val="Normal"/></w:pPr>
<w:r><w:t xml:space="preserve">26 Archiv fur slavische Philologie, v. 191 ff.,</w:t></w:r>
</w:p>
<w:p>
<w:pPr><w:pStyle w:val="Normal"/></w:pPr>
<w:r><w:t xml:space="preserve">where the Glagolitic and the cursive Greek, the Cyrillic</w:t></w:r>
</w:p>
<w:p>
<w:pPr><w:pStyle w:val="Normal"/></w:pPr>
<w:r><w:t xml:space="preserve">and the Greek uncial are set side by side in facsimile.</w:t></w:r>
</w:p>
<w:p>
<w:pPr><w:pStyle w:val="Normal"/></w:pPr>
<w:r><w:t xml:space="preserve">27 For further details and references to literature see</w:t></w:r>
</w:p>
<w:p>
<w:pPr><w:pStyle w:val="Normal"/></w:pPr>
<w:r><w:t xml:space="preserve">the introduction to Leskien&apos;s Grammatik (not to be confused</w:t></w:r>
</w:p>
<w:p>
<w:pPr><w:pStyle w:val="Normal"/></w:pPr>
<w:r><w:t xml:space="preserve">with his Handbuch), from which this is abbreviated.</w:t></w:r>
</w:p>
<w:p>
<w:pPr><w:pStyle w:val="Normal"/></w:pPr>
<w:r><w:t xml:space="preserve">28 These are figured most accessibly in Lidzbarski&apos;s</w:t></w:r>
</w:p>
<w:p>
<w:pPr><w:pStyle w:val="Normal"/></w:pPr>
<w:r><w:t xml:space="preserve">article on the alphabet in the Jewish Encyclopaedia, vol.</w:t></w:r>
</w:p>
<w:p>
<w:pPr><w:pStyle w:val="Normal"/></w:pPr>
<w:r><w:t xml:space="preserve">i. (1901) ; see also his table of symbols added to the 27th</w:t></w:r>
</w:p>
<w:p>
<w:pPr><w:pStyle w:val="Normal"/></w:pPr>
<w:r><w:t xml:space="preserve">edition of Gesenius&apos; Hebraische, Grammatik (1902).</w:t></w:r>
</w:p>
<w:p>
<w:pPr><w:pStyle w:val="Normal"/></w:pPr>
<w:r><w:t xml:space="preserve">29 See Berger&apos;s Histoire de l&apos;ecriture dans l&apos;antiquite,</w:t></w:r>
</w:p>
<w:p>
<w:pPr><w:pStyle w:val="Normal"/></w:pPr>
<w:r><w:t xml:space="preserve">p. 252 ff.; Nordsemitische Epigraphik, p. 186 ff., from</w:t></w:r>
</w:p>
<w:p>
<w:pPr><w:pStyle w:val="Normal"/></w:pPr>
<w:r><w:t xml:space="preserve">whom this summary is taken.  Lidzbarski&apos;s second volume</w:t></w:r>
</w:p>
<w:p>
<w:pPr><w:pStyle w:val="Normal"/></w:pPr>
<w:r><w:t xml:space="preserve">and G. A. Cooke&apos;s Textbook of North-Semitic Inscriptions</w:t></w:r>
</w:p>
<w:p>
<w:pPr><w:pStyle w:val="Normal"/></w:pPr>
<w:r><w:t xml:space="preserve">(Oxford, 1903) contain the most convenient collections of</w:t></w:r>
</w:p>
<w:p>
<w:pPr><w:pStyle w:val="Normal"/></w:pPr>
<w:r><w:t xml:space="preserve">Northern Semitic inscriptions for the student&apos;s purposes.</w:t></w:r>
</w:p>
<w:p>
<w:pPr><w:pStyle w:val="Normal"/></w:pPr>
<w:r><w:t xml:space="preserve">30 Muller, Epigraphische Denkmaler aus Arabien (Vienna, 1889).</w:t></w:r>
</w:p>
<w:p>
<w:pPr><w:pStyle w:val="Normal"/></w:pPr>
<w:r><w:t xml:space="preserve">31 Epigraphische Denkmaler aus Abessinien (Vienna,</w:t></w:r>
</w:p>
<w:p>
<w:pPr><w:pStyle w:val="Normal"/></w:pPr>
<w:r><w:t xml:space="preserve">1894).  Praetorius (Z.D.M.G. lviii. p. 724) holds that</w:t></w:r>
</w:p>
<w:p>
<w:pPr><w:pStyle w:val="Normal"/></w:pPr>
<w:r><w:t xml:space="preserve">the oldest Sabaean inscriptions may date from about 700</w:t></w:r>
</w:p>
<w:p>
<w:pPr><w:pStyle w:val="Normal"/></w:pPr>
<w:r><w:t xml:space="preserve">B.C., that the Lihyan inscriptions are at earliest of the</w:t></w:r>
</w:p>
<w:p>
<w:pPr><w:pStyle w:val="Normal"/></w:pPr>
<w:r><w:t xml:space="preserve">Hellenistic period and the Safa inscriptions still later.</w:t></w:r>
</w:p>
<w:p>
<w:pPr><w:pStyle w:val="Normal"/></w:pPr>
<w:r><w:t xml:space="preserve">32 Praetorius (Z.D.M.G. lviii. p. 461 f.) attempts to</w:t></w:r>
</w:p>
<w:p>
<w:pPr><w:pStyle w:val="Normal"/></w:pPr>
<w:r><w:t xml:space="preserve">trace the development of the Sabaean form from the Phoenician.</w:t></w:r>
</w:p>
<w:p>
<w:pPr><w:pStyle w:val="Normal"/></w:pPr>
<w:r><w:t xml:space="preserve">33 Hommel, Sud-arabische Chrestomathie (Munich, 1893), p. 5.</w:t></w:r>
</w:p>
<w:p>
<w:pPr><w:pStyle w:val="Normal"/></w:pPr>
<w:r><w:t xml:space="preserve">34 Buhler, Indian Studies, iii. (2nd. ed., 1898), p. 93.</w:t></w:r>
</w:p>
<w:p>
<w:pPr><w:pStyle w:val="Normal"/></w:pPr>
<w:r><w:t xml:space="preserve">The account of these alphabets is drawn from this work and from</w:t></w:r>
</w:p>
<w:p>
<w:pPr><w:pStyle w:val="Normal"/></w:pPr>
<w:r><w:t xml:space="preserve">the same author&apos;s Indische Palaographie in the Grundriss der</w:t></w:r>
</w:p>
<w:p>
<w:pPr><w:pStyle w:val="Normal"/></w:pPr>
<w:r><w:t xml:space="preserve">indo-arischen Philologie, to which is attached an atlas of plates</w:t></w:r>
</w:p>
<w:p>
<w:pPr><w:pStyle w:val="Normal"/></w:pPr>
<w:r><w:t xml:space="preserve">(Strassburg, 1896), and in which a full bibliography is given.</w:t></w:r>
</w:p>
<w:p>
<w:pPr><w:pStyle w:val="Normal"/></w:pPr>
<w:r><w:t xml:space="preserve">35 For a coin and a gild token with inscriptions see Rapson&apos;s</w:t></w:r>
</w:p>
<w:p>
<w:pPr><w:pStyle w:val="Normal"/></w:pPr>
<w:r><w:t xml:space="preserve">Indian Coins (in Grundriss d. ind.-ar.  Phil.), Plate I.</w:t></w:r>
</w:p>
<w:p>
<w:pPr><w:pStyle w:val="Normal"/></w:pPr>
<w:r><w:t xml:space="preserve">AL-PHASI, ISAAC (1013--1103), Jewish rabbi and codifier, known</w:t></w:r>
</w:p>
<w:p>
<w:pPr><w:pStyle w:val="Normal"/></w:pPr>
<w:r><w:t xml:space="preserve">as Riph, was born near Fez in 1013 and died at Lucena in 1103.</w:t></w:r>
</w:p>
<w:p>
<w:pPr><w:pStyle w:val="Normal"/></w:pPr>
<w:r><w:t xml:space="preserve">&apos;Al-Pinasi means the ``man of Fez&apos;&apos; (medieval Jews were often</w:t></w:r>
</w:p>
<w:p>
<w:pPr><w:pStyle w:val="Normal"/></w:pPr>
<w:r><w:t xml:space="preserve">named after their birthplaces).  He was forced to leave Fez</w:t></w:r>
</w:p>
<w:p>
<w:pPr><w:pStyle w:val="Normal"/></w:pPr>
<w:r><w:t xml:space="preserve">when an old man of 75, being accused on some unknown political</w:t></w:r>
</w:p>
<w:p>
<w:pPr><w:pStyle w:val="Normal"/></w:pPr>
<w:r><w:t xml:space="preserve">charge.  He then settled in Spain where he was held in much</w:t></w:r>
</w:p>
<w:p>
<w:pPr><w:pStyle w:val="Normal"/></w:pPr>
<w:r><w:t xml:space="preserve">esteem.  His magnanimous character was illustrated by two</w:t></w:r>
</w:p>
<w:p>
<w:pPr><w:pStyle w:val="Normal"/></w:pPr>
<w:r><w:t xml:space="preserve">incidents.  When &apos;Al-phasi&apos;s opponent Isaac &apos;Albalia died,</w:t></w:r>
</w:p>
<w:p>
<w:pPr><w:pStyle w:val="Normal"/></w:pPr>
<w:r><w:t xml:space="preserve">&apos;Al-pinasi received &apos;Albalia&apos;s son with the greatest kindness</w:t></w:r>
</w:p>
<w:p>
<w:pPr><w:pStyle w:val="Normal"/></w:pPr>
<w:r><w:t xml:space="preserve">and adopted him as a son.  When, again, &apos;Al-phasi was himself</w:t></w:r>
</w:p>
<w:p>
<w:pPr><w:pStyle w:val="Normal"/></w:pPr>
<w:r><w:t xml:space="preserve">on the point of death, he recommended as his successor in the</w:t></w:r>
</w:p>
<w:p>
<w:pPr><w:pStyle w:val="Normal"/></w:pPr>
<w:r><w:t xml:space="preserve">Lucena rabbinate, not his own son, but his pupil Joseph ibn</w:t></w:r>
</w:p>
<w:p>
<w:pPr><w:pStyle w:val="Normal"/></w:pPr>
<w:r><w:t xml:space="preserve">Migash.  The latter became the teacher of Maimonides, and</w:t></w:r>
</w:p>
<w:p>
<w:pPr><w:pStyle w:val="Normal"/></w:pPr>
<w:r><w:t xml:space="preserve">thus &apos;Al-phasi&apos;s teaching as well as his work must have</w:t></w:r>
</w:p>
<w:p>
<w:pPr><w:pStyle w:val="Normal"/></w:pPr>
<w:r><w:t xml:space="preserve">directly influenced Maimonides. &apos;Al-phasi&apos;s fame rests on</w:t></w:r>
</w:p>
<w:p>
<w:pPr><w:pStyle w:val="Normal"/></w:pPr>
<w:r><w:t xml:space="preserve">his Talmudical Digest called Halakhoth or Decisions. The</w:t></w:r>
</w:p>
<w:p>
<w:pPr><w:pStyle w:val="Normal"/></w:pPr>
<w:r><w:t xml:space="preserve">Talmud was condensed by him with a special view to practical</w:t></w:r>
</w:p>
<w:p>
<w:pPr><w:pStyle w:val="Normal"/></w:pPr>
<w:r><w:t xml:space="preserve">law.  He omitted all the homiletical passages, and also</w:t></w:r>
</w:p>
<w:p>
<w:pPr><w:pStyle w:val="Normal"/></w:pPr>
<w:r><w:t xml:space="preserve">excluded those parts of the Talmud which deal with religious</w:t></w:r>
</w:p>
<w:p>
<w:pPr><w:pStyle w:val="Normal"/></w:pPr>
<w:r><w:t xml:space="preserve">duties practicable only in Palestine. &apos;Al-pinasi thus occupies</w:t></w:r>
</w:p>
<w:p>
<w:pPr><w:pStyle w:val="Normal"/></w:pPr>
<w:r><w:t xml:space="preserve">an important place in the development of the Spanish method</w:t></w:r>
</w:p>
<w:p>
<w:pPr><w:pStyle w:val="Normal"/></w:pPr>
<w:r><w:t xml:space="preserve">of studying the Talmud.  In contradistinction to the French</w:t></w:r>
</w:p>
<w:p>
<w:pPr><w:pStyle w:val="Normal"/></w:pPr>
<w:r><w:t xml:space="preserve">rabbis, the Spanish sought to simplify the Talmud and free it</w:t></w:r>
</w:p>
<w:p>
<w:pPr><w:pStyle w:val="Normal"/></w:pPr>
<w:r><w:t xml:space="preserve">from casuistical detail. &apos;Al-pinasi succeeded in producing a</w:t></w:r>
</w:p>
<w:p>
<w:pPr><w:pStyle w:val="Normal"/></w:pPr>
<w:r><w:t xml:space="preserve">Digest, which became the object of close study, and led in</w:t></w:r>
</w:p>
<w:p>
<w:pPr><w:pStyle w:val="Normal"/></w:pPr>
<w:r><w:t xml:space="preserve">its turn to the great Codes of Maimonides and of Joseph Qaro.</w:t></w:r>
</w:p>
<w:p>
<w:pPr><w:pStyle w:val="Normal"/></w:pPr>
<w:r><w:t xml:space="preserve">ALPHEGE [AELFHEAH], SAINT (954-1023), archbishop of</w:t></w:r>
</w:p>
<w:p>
<w:pPr><w:pStyle w:val="Normal"/></w:pPr>
<w:r><w:t xml:space="preserve">Canterbury, came of a noble family, but in early life gave up</w:t></w:r>
</w:p>
<w:p>
<w:pPr><w:pStyle w:val="Normal"/></w:pPr>
<w:r><w:t xml:space="preserve">everything for religion.  Having assumed the monastic habit</w:t></w:r>
</w:p>
<w:p>
<w:pPr><w:pStyle w:val="Normal"/></w:pPr>
<w:r><w:t xml:space="preserve">in the monastery of Deerhurst, he pased thence to Bath, where</w:t></w:r>
</w:p>
<w:p>
<w:pPr><w:pStyle w:val="Normal"/></w:pPr>
<w:r><w:t xml:space="preserve">he became an anchorite and ultimately abbot, distinguishing</w:t></w:r>
</w:p>
<w:p>
<w:pPr><w:pStyle w:val="Normal"/></w:pPr>
<w:r><w:t xml:space="preserve">himself by his piety and the austerity of his life.  In 984 he</w:t></w:r>
</w:p>
<w:p>
<w:pPr><w:pStyle w:val="Normal"/></w:pPr>
<w:r><w:t xml:space="preserve">was appointed through Dunstan&apos;s inlluence to the bishopric of</w:t></w:r>
</w:p>
<w:p>
<w:pPr><w:pStyle w:val="Normal"/></w:pPr>
<w:r><w:t xml:space="preserve">Winchester, and in 1006 he succeeded AElfric as archbishop of</w:t></w:r>
</w:p>
<w:p>
<w:pPr><w:pStyle w:val="Normal"/></w:pPr>
<w:r><w:t xml:space="preserve">Canterbury.  At the sack of Canterbury by the Danes in</w:t></w:r>
</w:p>
<w:p>
<w:pPr><w:pStyle w:val="Normal"/></w:pPr>
<w:r><w:t xml:space="preserve">1011 AElfheah was captured and kept in prison for seven</w:t></w:r>
</w:p>
<w:p>
<w:pPr><w:pStyle w:val="Normal"/></w:pPr>
<w:r><w:t xml:space="preserve">months.  Refusing to pay a ransom he was barbarously murdered</w:t></w:r>
</w:p>
<w:p>
<w:pPr><w:pStyle w:val="Normal"/></w:pPr>
<w:r><w:t xml:space="preserve">at Greenwich on the 19th of April 1012.  He was buried in St</w:t></w:r>
</w:p>
<w:p>
<w:pPr><w:pStyle w:val="Normal"/></w:pPr>
<w:r><w:t xml:space="preserve">Paul&apos;s, whence his body was removed by Canute to Canterbury</w:t></w:r>
</w:p>
<w:p>
<w:pPr><w:pStyle w:val="Normal"/></w:pPr>
<w:r><w:t xml:space="preserve">with all the ceremony of a great act of state in 1023.</w:t></w:r>
</w:p>
<w:p>
<w:pPr><w:pStyle w:val="Normal"/></w:pPr>
<w:r><w:t xml:space="preserve">Lives of St. Alphege in prose (which survives) and in</w:t></w:r>
</w:p>
<w:p>
<w:pPr><w:pStyle w:val="Normal"/></w:pPr>
<w:r><w:t xml:space="preserve">verse were written by command of Lanfranc by the Canterbury</w:t></w:r>
</w:p>
<w:p>
<w:pPr><w:pStyle w:val="Normal"/></w:pPr>
<w:r><w:t xml:space="preserve">monk Osborn (d. c. 1090), who says that his account of</w:t></w:r>
</w:p>
<w:p>
<w:pPr><w:pStyle w:val="Normal"/></w:pPr>
<w:r><w:t xml:space="preserve">the solemn translation to Canterbury in 1023 was received</w:t></w:r>
</w:p>
<w:p>
<w:pPr><w:pStyle w:val="Normal"/></w:pPr>
<w:r><w:t xml:space="preserve">from the dean, (Godric, one of Alphege&apos;s own scholars.</w:t></w:r>
</w:p>
<w:p>
<w:pPr><w:pStyle w:val="Normal"/></w:pPr>
<w:r><w:t xml:space="preserve">ALPHEUS (&apos;Alfeios; mod. Ruphia), the chief river of</w:t></w:r>
</w:p>
<w:p>
<w:pPr><w:pStyle w:val="Normal"/></w:pPr>
<w:r><w:t xml:space="preserve">Peloponnesus.  Strictly Ruphia is the modern name for the ancient</w:t></w:r>
</w:p>
<w:p>
<w:pPr><w:pStyle w:val="Normal"/></w:pPr>
<w:r><w:t xml:space="preserve">Ladon, a tributary which rises in N.E. Elis, but the name</w:t></w:r>
</w:p>
<w:p>
<w:pPr><w:pStyle w:val="Normal"/></w:pPr>
<w:r><w:t xml:space="preserve">has been given to the whole river.  The Alpheus proper rises</w:t></w:r>
</w:p>
<w:p>
<w:pPr><w:pStyle w:val="Normal"/></w:pPr>
<w:r><w:t xml:space="preserve">near Asea; but its passage thither by subterranean channels</w:t></w:r>
</w:p>
<w:p>
<w:pPr><w:pStyle w:val="Normal"/></w:pPr>
<w:r><w:t xml:space="preserve">from the Tegean plain and its union with the Eurotas are</w:t></w:r>
</w:p>
<w:p>
<w:pPr><w:pStyle w:val="Normal"/></w:pPr>
<w:r><w:t xml:space="preserve">probably mythical (see W. Loring, in Journ.  Hell.  Studies,</w:t></w:r>
</w:p>
<w:p>
<w:pPr><w:pStyle w:val="Normal"/></w:pPr>
<w:r><w:t xml:space="preserve">xv. p. 67). It consists for the most part of a shallow and</w:t></w:r>
</w:p>
<w:p>
<w:pPr><w:pStyle w:val="Normal"/></w:pPr>
<w:r><w:t xml:space="preserve">rapid stream, occupying but a small part of its broad, stony</w:t></w:r>
</w:p>
<w:p>
<w:pPr><w:pStyle w:val="Normal"/></w:pPr>
<w:r><w:t xml:space="preserve">bed.  It empties itself into the Ionian sea.  Pliny states that</w:t></w:r>
</w:p>
<w:p>
<w:pPr><w:pStyle w:val="Normal"/></w:pPr>
<w:r><w:t xml:space="preserve">in ancient times it was navigable for six Roman miles from its</w:t></w:r>
</w:p>
<w:p>
<w:pPr><w:pStyle w:val="Normal"/></w:pPr>
<w:r><w:t xml:space="preserve">mouth.  Alpheus was recognized in cult and myth as the chief</w:t></w:r>
</w:p>
<w:p>
<w:pPr><w:pStyle w:val="Normal"/></w:pPr>
<w:r><w:t xml:space="preserve">or typical river-god in the Peloponnesus, as was Acholous in</w:t></w:r>
</w:p>
<w:p>
<w:pPr><w:pStyle w:val="Normal"/></w:pPr>
<w:r><w:t xml:space="preserve">northern Greece.  His waters were said to pass beneath the sea</w:t></w:r>
</w:p>
<w:p>
<w:pPr><w:pStyle w:val="Normal"/></w:pPr>
<w:r><w:t xml:space="preserve">and rise again in the fountain Arethusa at Syracuse; such is</w:t></w:r>
</w:p>
<w:p>
<w:pPr><w:pStyle w:val="Normal"/></w:pPr>
<w:r><w:t xml:space="preserve">the earlier version from which later mythologists and poets</w:t></w:r>
</w:p>
<w:p>
<w:pPr><w:pStyle w:val="Normal"/></w:pPr>
<w:r><w:t xml:space="preserve">evolved the familiar myth of the loves of Alpheus and Arethusa.</w:t></w:r>
</w:p>
<w:p>
<w:pPr><w:pStyle w:val="Normal"/></w:pPr>
<w:r><w:t xml:space="preserve">ALPHONSE I., COUNT OF TOULOUSE (1103-1148), son of Count</w:t></w:r>
</w:p>
<w:p>
<w:pPr><w:pStyle w:val="Normal"/></w:pPr>
<w:r><w:t xml:space="preserve">Raymond IV. by his third wife, Elvira of Castile, was born</w:t></w:r>
</w:p>
<w:p>
<w:pPr><w:pStyle w:val="Normal"/></w:pPr>
<w:r><w:t xml:space="preserve">in 1103, in the castle of Mont-Pelerin, Tripoli.  He was</w:t></w:r>
</w:p>
<w:p>
<w:pPr><w:pStyle w:val="Normal"/></w:pPr>
<w:r><w:t xml:space="preserve">surnamed Jourdain on account of his being baptized in the river</w:t></w:r>
</w:p>
<w:p>
<w:pPr><w:pStyle w:val="Normal"/></w:pPr>
<w:r><w:t xml:space="preserve">Jordan.  His father died when he was two years old and he</w:t></w:r>
</w:p>
<w:p>
<w:pPr><w:pStyle w:val="Normal"/></w:pPr>
<w:r><w:t xml:space="preserve">remained under the guardianship of his cousin, Guillaume</w:t></w:r>
</w:p>
<w:p>
<w:pPr><w:pStyle w:val="Normal"/></w:pPr>
<w:r><w:t xml:space="preserve">Jourdain, count of Cerdagne (d. 1109), until he was five.</w:t></w:r>
</w:p>
<w:p>
<w:pPr><w:pStyle w:val="Normal"/></w:pPr>
<w:r><w:t xml:space="preserve">He was then taken to Europe and his brother Bertrand gave him</w:t></w:r>
</w:p>
<w:p>
<w:pPr><w:pStyle w:val="Normal"/></w:pPr>
<w:r><w:t xml:space="preserve">the countship of Rouergue; in his tenth year, upon Bertrand&apos;s</w:t></w:r>
</w:p>
<w:p>
<w:pPr><w:pStyle w:val="Normal"/></w:pPr>
<w:r><w:t xml:space="preserve">death (1112), he succeeded to the countship of Toulouse and</w:t></w:r>
</w:p>
<w:p>
<w:pPr><w:pStyle w:val="Normal"/></w:pPr>
<w:r><w:t xml:space="preserve">marquisate of Provence, but Toulouse was taken from him by</w:t></w:r>
</w:p>
<w:p>
<w:pPr><w:pStyle w:val="Normal"/></w:pPr>
<w:r><w:t xml:space="preserve">William IX., count of Poitiers, in 1114.  He recovered a part</w:t></w:r>
</w:p>
<w:p>
<w:pPr><w:pStyle w:val="Normal"/></w:pPr>
<w:r><w:t xml:space="preserve">in 1119, but continued to fight for his possessions until</w:t></w:r>
</w:p>
<w:p>
<w:pPr><w:pStyle w:val="Normal"/></w:pPr>
<w:r><w:t xml:space="preserve">about 1123.  When at last successful, he was excommunicated</w:t></w:r>
</w:p>
<w:p>
<w:pPr><w:pStyle w:val="Normal"/></w:pPr>
<w:r><w:t xml:space="preserve">by Pope Calixtus II. for having expelled the monks of</w:t></w:r>
</w:p>
<w:p>
<w:pPr><w:pStyle w:val="Normal"/></w:pPr>
<w:r><w:t xml:space="preserve">Saint-Gilles, who had aided his enemies.  He next fought</w:t></w:r>
</w:p>
<w:p>
<w:pPr><w:pStyle w:val="Normal"/></w:pPr>
<w:r><w:t xml:space="preserve">for the sovereignty of Provence against Raymond Berenger I.,</w:t></w:r>
</w:p>
<w:p>
<w:pPr><w:pStyle w:val="Normal"/></w:pPr>
<w:r><w:t xml:space="preserve">and not till September 1125 did the war end in an amicable</w:t></w:r>
</w:p>
<w:p>
<w:pPr><w:pStyle w:val="Normal"/></w:pPr>
<w:r><w:t xml:space="preserve">agreement.  Under it Jourdain became absolute master of the</w:t></w:r>
</w:p>
<w:p>
<w:pPr><w:pStyle w:val="Normal"/></w:pPr>
<w:r><w:t xml:space="preserve">regions lying between the Pyrenees and the Alps, Auvergne</w:t></w:r>
</w:p>
<w:p>
<w:pPr><w:pStyle w:val="Normal"/></w:pPr>
<w:r><w:t xml:space="preserve">and the sea.  His ascendancy was an unmixed good to the</w:t></w:r>
</w:p>
<w:p>
<w:pPr><w:pStyle w:val="Normal"/></w:pPr>
<w:r><w:t xml:space="preserve">country, for during a period of fourteen years art and industry</w:t></w:r>
</w:p>
<w:p>
<w:pPr><w:pStyle w:val="Normal"/></w:pPr>
<w:r><w:t xml:space="preserve">flourished.  About 1134 he seized the countship of Narbonne,</w:t></w:r>
</w:p>
<w:p>
<w:pPr><w:pStyle w:val="Normal"/></w:pPr>
<w:r><w:t xml:space="preserve">only restoring it to the Viscountess Ermengarde (d. 1197) in</w:t></w:r>
</w:p>
<w:p>
<w:pPr><w:pStyle w:val="Normal"/></w:pPr>
<w:r><w:t xml:space="preserve">1143.  Louis VII., for some reason which has not appeared,</w:t></w:r>
</w:p>
<w:p>
<w:pPr><w:pStyle w:val="Normal"/></w:pPr>
<w:r><w:t xml:space="preserve">besieged Toulouse in 1141, but without result.  Next year</w:t></w:r>
</w:p>
<w:p>
<w:pPr><w:pStyle w:val="Normal"/></w:pPr>
<w:r><w:t xml:space="preserve">Jourdain again incurred the displeasure of the church by</w:t></w:r>
</w:p>
<w:p>
<w:pPr><w:pStyle w:val="Normal"/></w:pPr>
<w:r><w:t xml:space="preserve">siding with the rebels of Montpellier against their lord.</w:t></w:r>
</w:p>
<w:p>
<w:pPr><w:pStyle w:val="Normal"/></w:pPr>
<w:r><w:t xml:space="preserve">A second time he was excommunicated; but in 1146 he took the</w:t></w:r>
</w:p>
<w:p>
<w:pPr><w:pStyle w:val="Normal"/></w:pPr>
<w:r><w:t xml:space="preserve">cross at the meeting of Vezelay called by Louis VII., and</w:t></w:r>
</w:p>
<w:p>
<w:pPr><w:pStyle w:val="Normal"/></w:pPr>
<w:r><w:t xml:space="preserve">in August 1147 embarked for the East.  He lingered on the way</w:t></w:r>
</w:p>
<w:p>
<w:pPr><w:pStyle w:val="Normal"/></w:pPr>
<w:r><w:t xml:space="preserve">in Italy and probably in Constantinople; but in 1148 he had</w:t></w:r>
</w:p>
<w:p>
<w:pPr><w:pStyle w:val="Normal"/></w:pPr>
<w:r><w:t xml:space="preserve">arrived at Acre.  Among his companions he had made enemies</w:t></w:r>
</w:p>
<w:p>
<w:pPr><w:pStyle w:val="Normal"/></w:pPr>
<w:r><w:t xml:space="preserve">and he was destined to take no share in the crusade he had</w:t></w:r>
</w:p>
<w:p>
<w:pPr><w:pStyle w:val="Normal"/></w:pPr>
<w:r><w:t xml:space="preserve">joined.  He was poisoned at Caesarea, either the wife of Louis</w:t></w:r>
</w:p>
<w:p>
<w:pPr><w:pStyle w:val="Normal"/></w:pPr>
<w:r><w:t xml:space="preserve">or the mother of the king of Jerusalem suggesting the draught.</w:t></w:r>
</w:p>
<w:p>
<w:pPr><w:pStyle w:val="Normal"/></w:pPr>
<w:r><w:t xml:space="preserve">See the documentary Histoire generale de Languedoc</w:t></w:r>
</w:p>
<w:p>
<w:pPr><w:pStyle w:val="Normal"/></w:pPr>
<w:r><w:t xml:space="preserve">by De Vie and Vaissette, vol. iii. (Toulouse, 1872).</w:t></w:r>
</w:p>
<w:p>
<w:pPr><w:pStyle w:val="Normal"/></w:pPr>
<w:r><w:t xml:space="preserve">ALPHONSE, COUNT OF TOULOUSE AND OF POITIERS (12201271),</w:t></w:r>
</w:p>
<w:p>
<w:pPr><w:pStyle w:val="Normal"/></w:pPr>
<w:r><w:t xml:space="preserve">the son of Louis VIII., king of France, and brother of St</w:t></w:r>
</w:p>
<w:p>
<w:pPr><w:pStyle w:val="Normal"/></w:pPr>
<w:r><w:t xml:space="preserve">Louis, was born on the 11th of November 1220.  He joined the</w:t></w:r>
</w:p>
<w:p>
<w:pPr><w:pStyle w:val="Normal"/></w:pPr>
<w:r><w:t xml:space="preserve">county of Toulouse to his appanage of Poitou and Auvergne,</w:t></w:r>
</w:p>
<w:p>
<w:pPr><w:pStyle w:val="Normal"/></w:pPr>
<w:r><w:t xml:space="preserve">on the death, in September 1249, of Raymond VII., whose</w:t></w:r>
</w:p>
<w:p>
<w:pPr><w:pStyle w:val="Normal"/></w:pPr>
<w:r><w:t xml:space="preserve">daughter Jeanne he had married in 1237.  He took the cross</w:t></w:r>
</w:p>
<w:p>
<w:pPr><w:pStyle w:val="Normal"/></w:pPr>
<w:r><w:t xml:space="preserve">with his brother, St Louis, in 1248 and in 1270.  In 1252,</w:t></w:r>
</w:p>
<w:p>
<w:pPr><w:pStyle w:val="Normal"/></w:pPr>
<w:r><w:t xml:space="preserve">on the death of his mother, Blanche of Castile, he was joint</w:t></w:r>
</w:p>
<w:p>
<w:pPr><w:pStyle w:val="Normal"/></w:pPr>
<w:r><w:t xml:space="preserve">regent with Charles of Anjou until the return of Louis IX.,</w:t></w:r>
</w:p>
<w:p>
<w:pPr><w:pStyle w:val="Normal"/></w:pPr>
<w:r><w:t xml:space="preserve">and took a great part in the negotiations which led to the</w:t></w:r>
</w:p>
<w:p>
<w:pPr><w:pStyle w:val="Normal"/></w:pPr>
<w:r><w:t xml:space="preserve">treaties of Abbeville and of Paris (1258--1259).  His main</w:t></w:r>
</w:p>
<w:p>
<w:pPr><w:pStyle w:val="Normal"/></w:pPr>
<w:r><w:t xml:space="preserve">work was on his own estates.  There he repaired the evils of</w:t></w:r>
</w:p>
<w:p>
<w:pPr><w:pStyle w:val="Normal"/></w:pPr>
<w:r><w:t xml:space="preserve">the Albigensian war and made a first attempt at administrative</w:t></w:r>
</w:p>
<w:p>
<w:pPr><w:pStyle w:val="Normal"/></w:pPr>
<w:r><w:t xml:space="preserve">centralization, thus preparing the way for union with the</w:t></w:r>
</w:p>
<w:p>
<w:pPr><w:pStyle w:val="Normal"/></w:pPr>
<w:r><w:t xml:space="preserve">crown.  The charter known as ``Alphonsine,&apos;&apos; granted</w:t></w:r>
</w:p>
<w:p>
<w:pPr><w:pStyle w:val="Normal"/></w:pPr>
<w:r><w:t xml:space="preserve">to the town of Riom, became the code of public law for</w:t></w:r>
</w:p>
<w:p>
<w:pPr><w:pStyle w:val="Normal"/></w:pPr>
<w:r><w:t xml:space="preserve">Auvergne.  Honest and moderate, protecting the middle</w:t></w:r>
</w:p>
<w:p>
<w:pPr><w:pStyle w:val="Normal"/></w:pPr>
<w:r><w:t xml:space="preserve">classes against exactions of the nobles, he exercised a happy</w:t></w:r>
</w:p>
<w:p>
<w:pPr><w:pStyle w:val="Normal"/></w:pPr>
<w:r><w:t xml:space="preserve">influence upon the south, in spite of his naturally despotic</w:t></w:r>
</w:p>
<w:p>
<w:pPr><w:pStyle w:val="Normal"/></w:pPr>
<w:r><w:t xml:space="preserve">character and his continual and pressing need of money.</w:t></w:r>
</w:p>
<w:p>
<w:pPr><w:pStyle w:val="Normal"/></w:pPr>
<w:r><w:t xml:space="preserve">He died without heirs on his return from the 8th crusade,</w:t></w:r>
</w:p>
<w:p>
<w:pPr><w:pStyle w:val="Normal"/></w:pPr>
<w:r><w:t xml:space="preserve">in Italy, probably at Savona, on the 21st of August 1271.</w:t></w:r>
</w:p>
<w:p>
<w:pPr><w:pStyle w:val="Normal"/></w:pPr>
<w:r><w:t xml:space="preserve">See B. Ledain, Histoire d&apos;Alphonse, frere de S. Louis et du</w:t></w:r>
</w:p>
<w:p>
<w:pPr><w:pStyle w:val="Normal"/></w:pPr>
<w:r><w:t xml:space="preserve">comte de Poltou sous son administration (1241-1271) (Poitou,</w:t></w:r>
</w:p>
<w:p>
<w:pPr><w:pStyle w:val="Normal"/></w:pPr>
<w:r><w:t xml:space="preserve">1869); E. Bourarie, Saint Louis et Alphonse de Poitiers</w:t></w:r>
</w:p>
<w:p>
<w:pPr><w:pStyle w:val="Normal"/></w:pPr>
<w:r><w:t xml:space="preserve">(Paris, 1870); A. Molinier, Etude sur l&apos;administration de S.</w:t></w:r>
</w:p>
<w:p>
<w:pPr><w:pStyle w:val="Normal"/></w:pPr>
<w:r><w:t xml:space="preserve">Louis et d&apos;Alphonse de Poitiers (Toulouse, 1880); and also</w:t></w:r>
</w:p>
<w:p>
<w:pPr><w:pStyle w:val="Normal"/></w:pPr>
<w:r><w:t xml:space="preserve">his edition of the Correspondance adminiistrative d&apos;Alphonse</w:t></w:r>
</w:p>
<w:p>
<w:pPr><w:pStyle w:val="Normal"/></w:pPr>
<w:r><w:t xml:space="preserve">de Poitiers in the Collection de documents inedits</w:t></w:r>
</w:p>
<w:p>
<w:pPr><w:pStyle w:val="Normal"/></w:pPr>
<w:r><w:t xml:space="preserve">pour servir a l&apos;histoire de France (Paris, 1894 and 1895).</w:t></w:r>
</w:p>
<w:p>
<w:pPr><w:pStyle w:val="Normal"/></w:pPr>
<w:r><w:t xml:space="preserve">ALPHONSO, the common English spelling of Alfonso, Alonso</w:t></w:r>
</w:p>
<w:p>
<w:pPr><w:pStyle w:val="Normal"/></w:pPr>
<w:r><w:t xml:space="preserve">and Alfonso, which are respectively the Galician, the</w:t></w:r>
</w:p>
<w:p>
<w:pPr><w:pStyle w:val="Normal"/></w:pPr>
<w:r><w:t xml:space="preserve">Leonese and the Castilian forms of Ildefonso (Ildefonsus),</w:t></w:r>
</w:p>
<w:p>
<w:pPr><w:pStyle w:val="Normal"/></w:pPr>
<w:r><w:t xml:space="preserve">the name of a saint and archbishop of Toledo in the 7th</w:t></w:r>
</w:p>
<w:p>
<w:pPr><w:pStyle w:val="Normal"/></w:pPr>
<w:r><w:t xml:space="preserve">century.  The name has been borne by a number of Portuguese</w:t></w:r>
</w:p>
<w:p>
<w:pPr><w:pStyle w:val="Normal"/></w:pPr>
<w:r><w:t xml:space="preserve">and Spanish kings, who are distinguished collectively below.</w:t></w:r>
</w:p>
<w:p>
<w:pPr><w:pStyle w:val="Normal"/></w:pPr>
<w:r><w:t xml:space="preserve">Kings of Portugal.</w:t></w:r>
</w:p>
<w:p>
<w:pPr><w:pStyle w:val="Normal"/></w:pPr>
<w:r><w:t xml:space="preserve">Portuguese Kings.--ALPHONSO I. (Affonso Henriques),</w:t></w:r>
</w:p>
<w:p>
<w:pPr><w:pStyle w:val="Normal"/></w:pPr>
<w:r><w:t xml:space="preserve">son of Henry of Burgundy, count of Portugal, and Teresa of</w:t></w:r>
</w:p>
<w:p>
<w:pPr><w:pStyle w:val="Normal"/></w:pPr>
<w:r><w:t xml:space="preserve">Castile, was born at Guimaraes in 1094.  He succeeded his</w:t></w:r>
</w:p>
<w:p>
<w:pPr><w:pStyle w:val="Normal"/></w:pPr>
<w:r><w:t xml:space="preserve">father in 1112, and was placed under the tutelage of his</w:t></w:r>
</w:p>
<w:p>
<w:pPr><w:pStyle w:val="Normal"/></w:pPr>
<w:r><w:t xml:space="preserve">mother.  When he came of age, he was obliged to wrest from</w:t></w:r>
</w:p>
<w:p>
<w:pPr><w:pStyle w:val="Normal"/></w:pPr>
<w:r><w:t xml:space="preserve">her by force that power which her vices and incapacity had</w:t></w:r>
</w:p>
<w:p>
<w:pPr><w:pStyle w:val="Normal"/></w:pPr>
<w:r><w:t xml:space="preserve">rendered disastrous to the state.  Being proclaimed sole</w:t></w:r>
</w:p>
<w:p>
<w:pPr><w:pStyle w:val="Normal"/></w:pPr>
<w:r><w:t xml:space="preserve">ruler of Portugal in 1123, he defeated his mother&apos;s troops</w:t></w:r>
</w:p>
<w:p>
<w:pPr><w:pStyle w:val="Normal"/></w:pPr>
<w:r><w:t xml:space="preserve">near Guimaraes, making her at the same time his prisoner.</w:t></w:r>
</w:p>
<w:p>
<w:pPr><w:pStyle w:val="Normal"/></w:pPr>
<w:r><w:t xml:space="preserve">He also vanquished Alphonso Raymond of Castile, his mother&apos;s</w:t></w:r>
</w:p>
<w:p>
<w:pPr><w:pStyle w:val="Normal"/></w:pPr>
<w:r><w:t xml:space="preserve">ally, and thus freed Portugal from dependence on the crown of</w:t></w:r>
</w:p>
<w:p>
<w:pPr><w:pStyle w:val="Normal"/></w:pPr>
<w:r><w:t xml:space="preserve">Leon.  Next turning his arms against the Moors, he obtained,</w:t></w:r>
</w:p>
<w:p>
<w:pPr><w:pStyle w:val="Normal"/></w:pPr>
<w:r><w:t xml:space="preserve">on the 26th July 1139, the famous victory of Ourique, and</w:t></w:r>
</w:p>
<w:p>
<w:pPr><w:pStyle w:val="Normal"/></w:pPr>
<w:r><w:t xml:space="preserve">immediately after was proclaimed king by his soldiers.</w:t></w:r>
</w:p>
<w:p>
<w:pPr><w:pStyle w:val="Normal"/></w:pPr>
<w:r><w:t xml:space="preserve">He assembled the Cortes of the kingdom at Lamego, where he</w:t></w:r>
</w:p>
<w:p>
<w:pPr><w:pStyle w:val="Normal"/></w:pPr>
<w:r><w:t xml:space="preserve">received the crown from the archbishop of Braganza; the assembly</w:t></w:r>
</w:p>
<w:p>
<w:pPr><w:pStyle w:val="Normal"/></w:pPr>
<w:r><w:t xml:space="preserve">also declaring that Portugal was no longer a dependency of</w:t></w:r>
</w:p>
<w:p>
<w:pPr><w:pStyle w:val="Normal"/></w:pPr>
<w:r><w:t xml:space="preserve">Leon.  Alphonso continued to distinguish himself by his</w:t></w:r>
</w:p>
<w:p>
<w:pPr><w:pStyle w:val="Normal"/></w:pPr>
<w:r><w:t xml:space="preserve">exploits against the Moors, from whom he wrested Santarem in</w:t></w:r>
</w:p>
<w:p>
<w:pPr><w:pStyle w:val="Normal"/></w:pPr>
<w:r><w:t xml:space="preserve">1146 and Lisbon in 1147.  Some years later he became involved</w:t></w:r>
</w:p>
<w:p>
<w:pPr><w:pStyle w:val="Normal"/></w:pPr>
<w:r><w:t xml:space="preserve">in a war that had broken out among the kings of Spain; and in</w:t></w:r>
</w:p>
<w:p>
<w:pPr><w:pStyle w:val="Normal"/></w:pPr>
<w:r><w:t xml:space="preserve">1167, being disabled during an engagement near Badajoz by a</w:t></w:r>
</w:p>
<w:p>
<w:pPr><w:pStyle w:val="Normal"/></w:pPr>
<w:r><w:t xml:space="preserve">fall from his horse, he was made prisoner by the soldiers of</w:t></w:r>
</w:p>
<w:p>
<w:pPr><w:pStyle w:val="Normal"/></w:pPr>
<w:r><w:t xml:space="preserve">the king of Leon, and was obliged to surrender as his r:asom</w:t></w:r>
</w:p>
<w:p>
<w:pPr><w:pStyle w:val="Normal"/></w:pPr>
<w:r><w:t xml:space="preserve">almost all the conquests he had made in Galicia.  In 1184,</w:t></w:r>
</w:p>
<w:p>
<w:pPr><w:pStyle w:val="Normal"/></w:pPr>
<w:r><w:t xml:space="preserve">in spite of his great age, he had still sufficient energy to</w:t></w:r>
</w:p>
<w:p>
<w:pPr><w:pStyle w:val="Normal"/></w:pPr>
<w:r><w:t xml:space="preserve">relieve his son Sancho, who was besieged in Santarem by the</w:t></w:r>
</w:p>
<w:p>
<w:pPr><w:pStyle w:val="Normal"/></w:pPr>
<w:r><w:t xml:space="preserve">Moors.  He died shortly after, in 1185.  Alphonso was a man of</w:t></w:r>
</w:p>
<w:p>
<w:pPr><w:pStyle w:val="Normal"/></w:pPr>
<w:r><w:t xml:space="preserve">gigantic stature, being 7 ft. high according to some authors.</w:t></w:r>
</w:p>
<w:p>
<w:pPr><w:pStyle w:val="Normal"/></w:pPr>
<w:r><w:t xml:space="preserve">He is revered as a saint by the Portuguese, both on account</w:t></w:r>
</w:p>
<w:p>
<w:pPr><w:pStyle w:val="Normal"/></w:pPr>
<w:r><w:t xml:space="preserve">of his personal character and as the founder of their kingdom.</w:t></w:r>
</w:p>
<w:p>
<w:pPr><w:pStyle w:val="Normal"/></w:pPr>
<w:r><w:t xml:space="preserve">ALPHONSO II., ``the Fat,&apos;&apos; was born in 1185, and succeeded</w:t></w:r>
</w:p>
<w:p>
<w:pPr><w:pStyle w:val="Normal"/></w:pPr>
<w:r><w:t xml:space="preserve">his father, Sancho I., in 1211.  He was engaged in war with</w:t></w:r>
</w:p>
<w:p>
<w:pPr><w:pStyle w:val="Normal"/></w:pPr>
<w:r><w:t xml:space="preserve">the Moors and gained a victory over them at Alcacer do Sal in</w:t></w:r>
</w:p>
<w:p>
<w:pPr><w:pStyle w:val="Normal"/></w:pPr>
<w:r><w:t xml:space="preserve">1217.  He also endeavoured to weaken the power of the clergy</w:t></w:r>
</w:p>
<w:p>
<w:pPr><w:pStyle w:val="Normal"/></w:pPr>
<w:r><w:t xml:space="preserve">and to apply a portion of their enormous revenues to purposes</w:t></w:r>
</w:p>
<w:p>
<w:pPr><w:pStyle w:val="Normal"/></w:pPr>
<w:r><w:t xml:space="preserve">of national utility.  Having been excommunicated for this</w:t></w:r>
</w:p>
<w:p>
<w:pPr><w:pStyle w:val="Normal"/></w:pPr>
<w:r><w:t xml:space="preserve">by the pope (Honorius III.), he promised to make amends to</w:t></w:r>
</w:p>
<w:p>
<w:pPr><w:pStyle w:val="Normal"/></w:pPr>
<w:r><w:t xml:space="preserve">the church; but he died in 1223 before doing anything to</w:t></w:r>
</w:p>
<w:p>
<w:pPr><w:pStyle w:val="Normal"/></w:pPr>
<w:r><w:t xml:space="preserve">fulfil his engagement.  He framed a code which introduced</w:t></w:r>
</w:p>
<w:p>
<w:pPr><w:pStyle w:val="Normal"/></w:pPr>
<w:r><w:t xml:space="preserve">several beneficial changes into the laws of his kingdom.</w:t></w:r>
</w:p>
<w:p>
<w:pPr><w:pStyle w:val="Normal"/></w:pPr>
<w:r><w:t xml:space="preserve">ALPHONSO III., son of Alphonso II., was born in</w:t></w:r>
</w:p>
<w:p>
<w:pPr><w:pStyle w:val="Normal"/></w:pPr>
<w:r><w:t xml:space="preserve">1210, and succeeded his brother, Sancho II., in 1248.</w:t></w:r>
</w:p>
<w:p>
<w:pPr><w:pStyle w:val="Normal"/></w:pPr>
<w:r><w:t xml:space="preserve">Besides making war upon the Moors, he was, like his</w:t></w:r>
</w:p>
<w:p>
<w:pPr><w:pStyle w:val="Normal"/></w:pPr>
<w:r><w:t xml:space="preserve">father, frequently embroiled with the church.  In his</w:t></w:r>
</w:p>
<w:p>
<w:pPr><w:pStyle w:val="Normal"/></w:pPr>
<w:r><w:t xml:space="preserve">reign Algarve became part of Portugal.  He died in 1279.</w:t></w:r>
</w:p>
<w:p>
<w:pPr><w:pStyle w:val="Normal"/></w:pPr>
<w:r><w:t xml:space="preserve">ALPHONSO IV. was born in 1290, and in 1325 succeeded his</w:t></w:r>
</w:p>
<w:p>
<w:pPr><w:pStyle w:val="Normal"/></w:pPr>
<w:r><w:t xml:space="preserve">father, Dionis, whose death he had hastened by his intrigues and</w:t></w:r>
</w:p>
<w:p>
<w:pPr><w:pStyle w:val="Normal"/></w:pPr>
<w:r><w:t xml:space="preserve">rebellions.  Hostilities with the Castilians and with the</w:t></w:r>
</w:p>
<w:p>
<w:pPr><w:pStyle w:val="Normal"/></w:pPr>
<w:r><w:t xml:space="preserve">Moors occupied many years of his reign, during which he gained</w:t></w:r>
</w:p>
<w:p>
<w:pPr><w:pStyle w:val="Normal"/></w:pPr>
<w:r><w:t xml:space="preserve">some successes; but by consenting to the barbarous murder of</w:t></w:r>
</w:p>
<w:p>
<w:pPr><w:pStyle w:val="Normal"/></w:pPr>
<w:r><w:t xml:space="preserve">Inez de Castro, who was secretly espoused to his son Peter,</w:t></w:r>
</w:p>
<w:p>
<w:pPr><w:pStyle w:val="Normal"/></w:pPr>
<w:r><w:t xml:space="preserve">he has fixed an indelible stain on his character.  Enraged</w:t></w:r>
</w:p>
<w:p>
<w:pPr><w:pStyle w:val="Normal"/></w:pPr>
<w:r><w:t xml:space="preserve">at this barbarous act, Peter put himself at the head of an</w:t></w:r>
</w:p>
<w:p>
<w:pPr><w:pStyle w:val="Normal"/></w:pPr>
<w:r><w:t xml:space="preserve">army and devastated the whole of the country between the</w:t></w:r>
</w:p>
<w:p>
<w:pPr><w:pStyle w:val="Normal"/></w:pPr>
<w:r><w:t xml:space="preserve">Douro and the Minho before he was reconciled to his father.</w:t></w:r>
</w:p>
<w:p>
<w:pPr><w:pStyle w:val="Normal"/></w:pPr>
<w:r><w:t xml:space="preserve">Alphonso died almostimmediately after, on the 12th of May 1357.</w:t></w:r>
</w:p>
<w:p>
<w:pPr><w:pStyle w:val="Normal"/></w:pPr>
<w:r><w:t xml:space="preserve">ALPHONSO w., ``Africano,&apos;&apos; was born in 1432, and succeeded his</w:t></w:r>
</w:p>
<w:p>
<w:pPr><w:pStyle w:val="Normal"/></w:pPr>
<w:r><w:t xml:space="preserve">father Edward in 1438.  During his minority he was placed under</w:t></w:r>
</w:p>
<w:p>
<w:pPr><w:pStyle w:val="Normal"/></w:pPr>
<w:r><w:t xml:space="preserve">the regency, first of his mother and latterly of his uncle, Dom</w:t></w:r>
</w:p>
<w:p>
<w:pPr><w:pStyle w:val="Normal"/></w:pPr>
<w:r><w:t xml:space="preserve">Pedro.  In 1448 he assumed the reins of government and at</w:t></w:r>
</w:p>
<w:p>
<w:pPr><w:pStyle w:val="Normal"/></w:pPr>
<w:r><w:t xml:space="preserve">the same time married Isabella, Dom Pedro&apos;s daughter.  In the</w:t></w:r>
</w:p>
<w:p>
<w:pPr><w:pStyle w:val="Normal"/></w:pPr>
<w:r><w:t xml:space="preserve">following year, being led by what he afterwards discovered</w:t></w:r>
</w:p>
<w:p>
<w:pPr><w:pStyle w:val="Normal"/></w:pPr>
<w:r><w:t xml:space="preserve">to be false representations, he declared Dom Pedro a rebel</w:t></w:r>
</w:p>
<w:p>
<w:pPr><w:pStyle w:val="Normal"/></w:pPr>
<w:r><w:t xml:space="preserve">and defeated his army in a battle at Alfarrobeira, in which</w:t></w:r>
</w:p>
<w:p>
<w:pPr><w:pStyle w:val="Normal"/></w:pPr>
<w:r><w:t xml:space="preserve">his uncle was slain.  In 1458, and with more numerous forces</w:t></w:r>
</w:p>
<w:p>
<w:pPr><w:pStyle w:val="Normal"/></w:pPr>
<w:r><w:t xml:space="preserve">in 1471, he invaded the territories of the Moors in Africa</w:t></w:r>
</w:p>
<w:p>
<w:pPr><w:pStyle w:val="Normal"/></w:pPr>
<w:r><w:t xml:space="preserve">and by his successes there acquired his surname of ``the</w:t></w:r>
</w:p>
<w:p>
<w:pPr><w:pStyle w:val="Normal"/></w:pPr>
<w:r><w:t xml:space="preserve">African.&apos;&apos; On his return to Portugal in 1475 his ambition</w:t></w:r>
</w:p>
<w:p>
<w:pPr><w:pStyle w:val="Normal"/></w:pPr>
<w:r><w:t xml:space="preserve">led him into Castile, where two princesses were disputing</w:t></w:r>
</w:p>
<w:p>
<w:pPr><w:pStyle w:val="Normal"/></w:pPr>
<w:r><w:t xml:space="preserve">his succession to the throne.  Having been affianced to the</w:t></w:r>
</w:p>
<w:p>
<w:pPr><w:pStyle w:val="Normal"/></w:pPr>
<w:r><w:t xml:space="preserve">Princess Juana, Alphonso caused himself to be proclaimed</w:t></w:r>
</w:p>
<w:p>
<w:pPr><w:pStyle w:val="Normal"/></w:pPr>
<w:r><w:t xml:space="preserve">king of Castile and Leon; but in the following year he was</w:t></w:r>
</w:p>
<w:p>
<w:pPr><w:pStyle w:val="Normal"/></w:pPr>
<w:r><w:t xml:space="preserve">defeated at Toro by Ferdinand, the husband of Isabella of</w:t></w:r>
</w:p>
<w:p>
<w:pPr><w:pStyle w:val="Normal"/></w:pPr>
<w:r><w:t xml:space="preserve">Castile.  He went to France to obtain the assistance of Louis</w:t></w:r>
</w:p>
<w:p>
<w:pPr><w:pStyle w:val="Normal"/></w:pPr>
<w:r><w:t xml:space="preserve">XI., but finding himself deceived by the French monarch, he</w:t></w:r>
</w:p>
<w:p>
<w:pPr><w:pStyle w:val="Normal"/></w:pPr>
<w:r><w:t xml:space="preserve">abdicated in favour of his son John.  When he returned to</w:t></w:r>
</w:p>
<w:p>
<w:pPr><w:pStyle w:val="Normal"/></w:pPr>
<w:r><w:t xml:space="preserve">Portugal, however, he was compelled by his son to resume</w:t></w:r>
</w:p>
<w:p>
<w:pPr><w:pStyle w:val="Normal"/></w:pPr>
<w:r><w:t xml:space="preserve">the sceptre, which he continued to wield for two years</w:t></w:r>
</w:p>
<w:p>
<w:pPr><w:pStyle w:val="Normal"/></w:pPr>
<w:r><w:t xml:space="preserve">longer.  After that he fell into a deep melancholy and</w:t></w:r>
</w:p>
<w:p>
<w:pPr><w:pStyle w:val="Normal"/></w:pPr>
<w:r><w:t xml:space="preserve">retired into a monastery at Cintra, where he died in 1481.</w:t></w:r>
</w:p>
<w:p>
<w:pPr><w:pStyle w:val="Normal"/></w:pPr>
<w:r><w:t xml:space="preserve">ALPHONSO VI., the second king of the house of Braganza,</w:t></w:r>
</w:p>
<w:p>
<w:pPr><w:pStyle w:val="Normal"/></w:pPr>
<w:r><w:t xml:space="preserve">was born in 1643 and succeeded his father in 1656.  In 1667</w:t></w:r>
</w:p>
<w:p>
<w:pPr><w:pStyle w:val="Normal"/></w:pPr>
<w:r><w:t xml:space="preserve">he was compelled by his wife and brother to abdicate the</w:t></w:r>
</w:p>
<w:p>
<w:pPr><w:pStyle w:val="Normal"/></w:pPr>
<w:r><w:t xml:space="preserve">throne and was banished to the island of Terceira.  These</w:t></w:r>
</w:p>
<w:p>
<w:pPr><w:pStyle w:val="Normal"/></w:pPr>
<w:r><w:t xml:space="preserve">acts, which the vices of Alphonso had rendered necessary, were</w:t></w:r>
</w:p>
<w:p>
<w:pPr><w:pStyle w:val="Normal"/></w:pPr>
<w:r><w:t xml:space="preserve">sanctioned by the Cortes in 1668.  He died at Cintra in 1675.</w:t></w:r>
</w:p>
<w:p>
<w:pPr><w:pStyle w:val="Normal"/></w:pPr>
<w:r><w:t xml:space="preserve">Kings of medieval and modern Spain.</w:t></w:r>
</w:p>
<w:p>
<w:pPr><w:pStyle w:val="Normal"/></w:pPr>
<w:r><w:t xml:space="preserve">Spanish Kings.--From Alphonso I. (739-757) to Alphonso</w:t></w:r>
</w:p>
<w:p>
<w:pPr><w:pStyle w:val="Heading1"/></w:pPr>
<w:r><w:t>V. (999-1028) the personal history of the Spanish kings</w:t></w:r>
</w:p>
<w:p>
<w:pPr><w:pStyle w:val="Normal"/></w:pPr>
<w:r><w:t xml:space="preserve">of this name is unknown and their very dates are disputed.</w:t></w:r>
</w:p>
<w:p>
<w:pPr><w:pStyle w:val="Normal"/></w:pPr>
<w:r><w:t xml:space="preserve">ALPHONSO I. is said to have married Ormesinda, daughter of</w:t></w:r>
</w:p>
<w:p>
<w:pPr><w:pStyle w:val="Normal"/></w:pPr>
<w:r><w:t xml:space="preserve">Pelavo, who was raised on the shield in Asturias as king</w:t></w:r>
</w:p>
<w:p>
<w:pPr><w:pStyle w:val="Normal"/></w:pPr>
<w:r><w:t xml:space="preserve">of the Goths after the Arab conquest.  He is also said to</w:t></w:r>
</w:p>
<w:p>
<w:pPr><w:pStyle w:val="Normal"/></w:pPr>
<w:r><w:t xml:space="preserve">have been the son of Peter. duke of Cantabria.  It is not</w:t></w:r>
</w:p>
<w:p>
<w:pPr><w:pStyle w:val="Normal"/></w:pPr>
<w:r><w:t xml:space="preserve">improbable that he was in fact an hereditary chief of the</w:t></w:r>
</w:p>
<w:p>
<w:pPr><w:pStyle w:val="Normal"/></w:pPr>
<w:r><w:t xml:space="preserve">Basques, but no contemporary records exist.  His title of``the</w:t></w:r>
</w:p>
<w:p>
<w:pPr><w:pStyle w:val="Normal"/></w:pPr>
<w:r><w:t xml:space="preserve">Catholic&apos;&apos; itself may very well have been the invention</w:t></w:r>
</w:p>
<w:p>
<w:pPr><w:pStyle w:val="Normal"/></w:pPr>
<w:r><w:t xml:space="preserve">of later chronicles. ALPHONSO II. (789-842), his reputed</w:t></w:r>
</w:p>
<w:p>
<w:pPr><w:pStyle w:val="Normal"/></w:pPr>
<w:r><w:t xml:space="preserve">grandson, bears the name of ``the Chaste.&apos;&apos; The Arab writers</w:t></w:r>
</w:p>
<w:p>
<w:pPr><w:pStyle w:val="Normal"/></w:pPr>
<w:r><w:t xml:space="preserve">who speak of the Spanish kings of the north-west as the</w:t></w:r>
</w:p>
<w:p>
<w:pPr><w:pStyle w:val="Normal"/></w:pPr>
<w:r><w:t xml:space="preserve">Beni-Altons, appear to recognize them as a royal stock derived</w:t></w:r>
</w:p>
<w:p>
<w:pPr><w:pStyle w:val="Normal"/></w:pPr>
<w:r><w:t xml:space="preserve">from Alphonso I. The events of his reign are in reality</w:t></w:r>
</w:p>
<w:p>
<w:pPr><w:pStyle w:val="Normal"/></w:pPr>
<w:r><w:t xml:space="preserve">unknown.  Poets of a later generation invented the story</w:t></w:r>
</w:p>
<w:p>
<w:pPr><w:pStyle w:val="Normal"/></w:pPr>
<w:r><w:t xml:space="preserve">of the secret marriage of his sister Ximena with Sancho,</w:t></w:r>
</w:p>
<w:p>
<w:pPr><w:pStyle w:val="Normal"/></w:pPr>
<w:r><w:t xml:space="preserve">count of Saldana, and the feats of their son Bernardo del</w:t></w:r>
</w:p>
<w:p>
<w:pPr><w:pStyle w:val="Normal"/></w:pPr>
<w:r><w:t xml:space="preserve">Carpio.  Bernardo is the hero of a cantar de gesta (chanson de</w:t></w:r>
</w:p>
<w:p>
<w:pPr><w:pStyle w:val="Normal"/></w:pPr>
<w:r><w:t xml:space="preserve">geste) written to please the anarchical spirit of the nobles.</w:t></w:r>
</w:p>
<w:p>
<w:pPr><w:pStyle w:val="Normal"/></w:pPr>
<w:r><w:t xml:space="preserve">The first faint glimmerings of medieval Spanish history begin</w:t></w:r>
</w:p>
<w:p>
<w:pPr><w:pStyle w:val="Normal"/></w:pPr>
<w:r><w:t xml:space="preserve">with ALPHONSO III. (866--914) surnamed ``the Great.&apos;&apos; Of him</w:t></w:r>
</w:p>
<w:p>
<w:pPr><w:pStyle w:val="Normal"/></w:pPr>
<w:r><w:t xml:space="preserve">also nothing is really known except the bare facts of his reign</w:t></w:r>
</w:p>
<w:p>
<w:pPr><w:pStyle w:val="Normal"/></w:pPr>
<w:r><w:t xml:space="preserve">and of his comparative success in consolidating the kingdom</w:t></w:r>
</w:p>
<w:p>
<w:pPr><w:pStyle w:val="Normal"/></w:pPr>
<w:r><w:t xml:space="preserve">known as ``of Galicia&apos;&apos; or ``of Oviedo&apos;&apos; during the weakness</w:t></w:r>
</w:p>
<w:p>
<w:pPr><w:pStyle w:val="Normal"/></w:pPr>
<w:r><w:t xml:space="preserve">of the Omayyad princes of Cordova. ALPHONSO IV. (924-931)</w:t></w:r>
</w:p>
<w:p>
<w:pPr><w:pStyle w:val="Normal"/></w:pPr>
<w:r><w:t xml:space="preserve">has a faint personality.  He resigned the crown to his brother</w:t></w:r>
</w:p>
<w:p>
<w:pPr><w:pStyle w:val="Normal"/></w:pPr>
<w:r><w:t xml:space="preserve">Ramiro and went into a religious house.  A certain instability</w:t></w:r>
</w:p>
<w:p>
<w:pPr><w:pStyle w:val="Normal"/></w:pPr>
<w:r><w:t xml:space="preserve">of character is revealed by the fact that he took up arms</w:t></w:r>
</w:p>
<w:p>
<w:pPr><w:pStyle w:val="Normal"/></w:pPr>
<w:r><w:t xml:space="preserve">against Ramiro, having repented of his renunciation of the</w:t></w:r>
</w:p>
<w:p>
<w:pPr><w:pStyle w:val="Normal"/></w:pPr>
<w:r><w:t xml:space="preserve">world.  He was defeated, blinded and sent back to die in the</w:t></w:r>
</w:p>
<w:p>
<w:pPr><w:pStyle w:val="Normal"/></w:pPr>
<w:r><w:t xml:space="preserve">cloister of Sahagun.  It fell to ALPHONSO V. (999-1028)</w:t></w:r>
</w:p>
<w:p>
<w:pPr><w:pStyle w:val="Normal"/></w:pPr>
<w:r><w:t xml:space="preserve">to begin the work of reorganizing the Christian kingdom of</w:t></w:r>
</w:p>
<w:p>
<w:pPr><w:pStyle w:val="Normal"/></w:pPr>
<w:r><w:t xml:space="preserve">the north-west after a most disastrous period of civil war</w:t></w:r>
</w:p>
<w:p>
<w:pPr><w:pStyle w:val="Normal"/></w:pPr>
<w:r><w:t xml:space="preserve">and Arab inroads.  Enough is known of him to justify the</w:t></w:r>
</w:p>
<w:p>
<w:pPr><w:pStyle w:val="Normal"/></w:pPr>
<w:r><w:t xml:space="preserve">belief that he had some of the qualities of a soldier and a</w:t></w:r>
</w:p>
<w:p>
<w:pPr><w:pStyle w:val="Normal"/></w:pPr>
<w:r><w:t xml:space="preserve">statesman.  His name, and that of his wife Geloria (Elvira),</w:t></w:r>
</w:p>
<w:p>
<w:pPr><w:pStyle w:val="Normal"/></w:pPr>
<w:r><w:t xml:space="preserve">are associated with the grant of the first franchises of</w:t></w:r>
</w:p>
<w:p>
<w:pPr><w:pStyle w:val="Normal"/></w:pPr>
<w:r><w:t xml:space="preserve">Leon.  He was killed by an arrow while besieging the town</w:t></w:r>
</w:p>
<w:p>
<w:pPr><w:pStyle w:val="Normal"/></w:pPr>
<w:r><w:t xml:space="preserve">of Viseu in northern Portugal, then held by the Mahommedans.</w:t></w:r>
</w:p>
<w:p>
<w:pPr><w:pStyle w:val="Normal"/></w:pPr>
<w:r><w:t xml:space="preserve">(For all these kings see the article SPAIN: History.)</w:t></w:r>
</w:p>
<w:p>
<w:pPr><w:pStyle w:val="Normal"/></w:pPr>
<w:r><w:t xml:space="preserve">With ALPHONSO VI. (1065-1109) we come to a sovereign of</w:t></w:r>
</w:p>
<w:p>
<w:pPr><w:pStyle w:val="Normal"/></w:pPr>
<w:r><w:t xml:space="preserve">strong personal character.  Much romance has gathered round his</w:t></w:r>
</w:p>
<w:p>
<w:pPr><w:pStyle w:val="Normal"/></w:pPr>
<w:r><w:t xml:space="preserve">name.  In the cantar de gesta of the Cid he plays the part</w:t></w:r>
</w:p>
<w:p>
<w:pPr><w:pStyle w:val="Normal"/></w:pPr>
<w:r><w:t xml:space="preserve">attributed by medieval poets to the greatest kings, to Charlemagne</w:t></w:r>
</w:p>
<w:p>
<w:pPr><w:pStyle w:val="Normal"/></w:pPr>
<w:r><w:t xml:space="preserve">himself.  He is alternately the oppressor and the victim of</w:t></w:r>
</w:p>
<w:p>
<w:pPr><w:pStyle w:val="Normal"/></w:pPr>
<w:r><w:t xml:space="preserve">heroic and self-willed nobles--the idealized types of the patrons</w:t></w:r>
</w:p>
<w:p>
<w:pPr><w:pStyle w:val="Normal"/></w:pPr>
<w:r><w:t xml:space="preserve">for whom the jongleurs and troubadours sang. (For the events of</w:t></w:r>
</w:p>
<w:p>
<w:pPr><w:pStyle w:val="Normal"/></w:pPr>
<w:r><w:t xml:space="preserve">his reign see the article SPAIN: History.) He is the hero</w:t></w:r>
</w:p>
<w:p>
<w:pPr><w:pStyle w:val="Normal"/></w:pPr>
<w:r><w:t xml:space="preserve">of a cantar de gesta which, like all but a very few of the</w:t></w:r>
</w:p>
<w:p>
<w:pPr><w:pStyle w:val="Normal"/></w:pPr>
<w:r><w:t xml:space="preserve">early Spanish songs, like the cantar of Bernardo del Carpio</w:t></w:r>
</w:p>
<w:p>
<w:pPr><w:pStyle w:val="Normal"/></w:pPr>
<w:r><w:t xml:space="preserve">and the Infantes of Lara, exists now only in the fragments</w:t></w:r>
</w:p>
<w:p>
<w:pPr><w:pStyle w:val="Normal"/></w:pPr>
<w:r><w:t xml:space="preserve">incorporated in the chronicle of Alphonso the Wise or in ballad</w:t></w:r>
</w:p>
<w:p>
<w:pPr><w:pStyle w:val="Normal"/></w:pPr>
<w:r><w:t xml:space="preserve">form.  His flight from the monastery of Sahagnn, where his</w:t></w:r>
</w:p>
<w:p>
<w:pPr><w:pStyle w:val="Normal"/></w:pPr>
<w:r><w:t xml:space="preserve">brother Sancho endeavoured to imprison him. his chivalrous</w:t></w:r>
</w:p>
<w:p>
<w:pPr><w:pStyle w:val="Normal"/></w:pPr>
<w:r><w:t xml:space="preserve">friendship for his host Almamun of Toledo, caballero aunique</w:t></w:r>
</w:p>
<w:p>
<w:pPr><w:pStyle w:val="Normal"/></w:pPr>
<w:r><w:t xml:space="preserve">moni, a gentleman although a Moor, the passionate loyalty of</w:t></w:r>
</w:p>
<w:p>
<w:pPr><w:pStyle w:val="Normal"/></w:pPr>
<w:r><w:t xml:space="preserve">his vassal Peranzules and his brotherly love for his sister</w:t></w:r>
</w:p>
<w:p>
<w:pPr><w:pStyle w:val="Normal"/></w:pPr>
<w:r><w:t xml:space="preserve">Urraca of Zamora, may owe something to the poet who took him for</w:t></w:r>
</w:p>
<w:p>
<w:pPr><w:pStyle w:val="Normal"/></w:pPr>
<w:r><w:t xml:space="preserve">hero.  They are the answer to the poet of the nobles who</w:t></w:r>
</w:p>
<w:p>
<w:pPr><w:pStyle w:val="Normal"/></w:pPr>
<w:r><w:t xml:space="preserve">represented the king as having submitted to take a degrading</w:t></w:r>
</w:p>
<w:p>
<w:pPr><w:pStyle w:val="Normal"/></w:pPr>
<w:r><w:t xml:space="preserve">oath at the hands of Ruy Diaz of Bivar (the Cid), in the church</w:t></w:r>
</w:p>
<w:p>
<w:pPr><w:pStyle w:val="Normal"/></w:pPr>
<w:r><w:t xml:space="preserve">of Santa Gadea at Burgos, and as having then persecuted the</w:t></w:r>
</w:p>
<w:p>
<w:pPr><w:pStyle w:val="Normal"/></w:pPr>
<w:r><w:t xml:space="preserve">brave nian who defied him.  When every allowance is made,</w:t></w:r>
</w:p>
<w:p>
<w:pPr><w:pStyle w:val="Normal"/></w:pPr>
<w:r><w:t xml:space="preserve">Alphonso Vl. stands out as a strong man fighting for his</w:t></w:r>
</w:p>
<w:p>
<w:pPr><w:pStyle w:val="Normal"/></w:pPr>
<w:r><w:t xml:space="preserve">own hand, which in his case was the hand of the king whose</w:t></w:r>
</w:p>
<w:p>
<w:pPr><w:pStyle w:val="Normal"/></w:pPr>
<w:r><w:t xml:space="preserve">interest was law and order and who was the leader of the</w:t></w:r>
</w:p>
<w:p>
<w:pPr><w:pStyle w:val="Normal"/></w:pPr>
<w:r><w:t xml:space="preserve">nation in the reconquest On the Arabs he impressed himself</w:t></w:r>
</w:p>
<w:p>
<w:pPr><w:pStyle w:val="Normal"/></w:pPr>
<w:r><w:t xml:space="preserve">as an enemy very fierce and astute, but as a keeper of his</w:t></w:r>
</w:p>
<w:p>
<w:pPr><w:pStyle w:val="Normal"/></w:pPr>
<w:r><w:t xml:space="preserve">word.  A story of Mahommedan origin, which is probably no</w:t></w:r>
</w:p>
<w:p>
<w:pPr><w:pStyle w:val="Normal"/></w:pPr>
<w:r><w:t xml:space="preserve">more historical than the oath of Santa Gadea, tells of how</w:t></w:r>
</w:p>
<w:p>
<w:pPr><w:pStyle w:val="Normal"/></w:pPr>
<w:r><w:t xml:space="preserve">he allowed himself to be tricked by Ibn Ammar, the favourite</w:t></w:r>
</w:p>
<w:p>
<w:pPr><w:pStyle w:val="Normal"/></w:pPr>
<w:r><w:t xml:space="preserve">of Al Motamid, the king of Seville.  They played chess for</w:t></w:r>
</w:p>
<w:p>
<w:pPr><w:pStyle w:val="Normal"/></w:pPr>
<w:r><w:t xml:space="preserve">an extremely beautiful table and set of men, belonging to Ibn</w:t></w:r>
</w:p>
<w:p>
<w:pPr><w:pStyle w:val="Normal"/></w:pPr>
<w:r><w:t xml:space="preserve">Ammar.  Table and men were to go to the king if he won.</w:t></w:r>
</w:p>
<w:p>
<w:pPr><w:pStyle w:val="Normal"/></w:pPr>
<w:r><w:t xml:space="preserve">If Ibn Ammar gained he was to name the stake.  The latter</w:t></w:r>
</w:p>
<w:p>
<w:pPr><w:pStyle w:val="Normal"/></w:pPr>
<w:r><w:t xml:space="preserve">did win and demanded that the Christian king should spare</w:t></w:r>
</w:p>
<w:p>
<w:pPr><w:pStyle w:val="Normal"/></w:pPr>
<w:r><w:t xml:space="preserve">Seville.  Alphonso kept his word.  Whatever truth may lie</w:t></w:r>
</w:p>
<w:p>
<w:pPr><w:pStyle w:val="Normal"/></w:pPr>
<w:r><w:t xml:space="preserve">behind the romantic tales of Christian and Mahommedan, we know</w:t></w:r>
</w:p>
<w:p>
<w:pPr><w:pStyle w:val="Normal"/></w:pPr>
<w:r><w:t xml:space="preserve">that Alphonso represented in a remarkable way the two great</w:t></w:r>
</w:p>
<w:p>
<w:pPr><w:pStyle w:val="Normal"/></w:pPr>
<w:r><w:t xml:space="preserve">influences then shaping the character and civilization of</w:t></w:r>
</w:p>
<w:p>
<w:pPr><w:pStyle w:val="Normal"/></w:pPr>
<w:r><w:t xml:space="preserve">Spain.  At the instigation, it is said, of his second</w:t></w:r>
</w:p>
<w:p>
<w:pPr><w:pStyle w:val="Normal"/></w:pPr>
<w:r><w:t xml:space="preserve">wife.  Constance of Burgundy, he brought the Cistercians</w:t></w:r>
</w:p>
<w:p>
<w:pPr><w:pStyle w:val="Normal"/></w:pPr>
<w:r><w:t xml:space="preserve">into Spain, established them in Sahagun, chose a French</w:t></w:r>
</w:p>
<w:p>
<w:pPr><w:pStyle w:val="Normal"/></w:pPr>
<w:r><w:t xml:space="preserve">Cistercian, Bernard, as the first archbishop of Toledo after</w:t></w:r>
</w:p>
<w:p>
<w:pPr><w:pStyle w:val="Normal"/></w:pPr>
<w:r><w:t xml:space="preserve">the reconquest in 1085, married his daughters, legitimate and</w:t></w:r>
</w:p>
<w:p>
<w:pPr><w:pStyle w:val="Normal"/></w:pPr>
<w:r><w:t xml:space="preserve">illegitimate, to French princes, and in every way forwarded</w:t></w:r>
</w:p>
<w:p>
<w:pPr><w:pStyle w:val="Normal"/></w:pPr>
<w:r><w:t xml:space="preserve">the spread of French influence--then the greatest civilizing</w:t></w:r>
</w:p>
<w:p>
<w:pPr><w:pStyle w:val="Normal"/></w:pPr>
<w:r><w:t xml:space="preserve">force in Europe.  He also drew Spain nearer to the papacy,</w:t></w:r>
</w:p>
<w:p>
<w:pPr><w:pStyle w:val="Normal"/></w:pPr>
<w:r><w:t xml:space="preserve">and it was his decision which established the Roman ritual</w:t></w:r>
</w:p>
<w:p>
<w:pPr><w:pStyle w:val="Normal"/></w:pPr>
<w:r><w:t xml:space="preserve">in place of the old missal of Saint Isidore--the so-called</w:t></w:r>
</w:p>
<w:p>
<w:pPr><w:pStyle w:val="Normal"/></w:pPr>
<w:r><w:t xml:space="preserve">Mozarabic.  On the other hand he was very open to Arabic</w:t></w:r>
</w:p>
<w:p>
<w:pPr><w:pStyle w:val="Normal"/></w:pPr>
<w:r><w:t xml:space="preserve">influence.  He protected the Mahommedans among his subjects and</w:t></w:r>
</w:p>
<w:p>
<w:pPr><w:pStyle w:val="Normal"/></w:pPr>
<w:r><w:t xml:space="preserve">struck coins with inscriptions in Arabic letters.  After the</w:t></w:r>
</w:p>
<w:p>
<w:pPr><w:pStyle w:val="Normal"/></w:pPr>
<w:r><w:t xml:space="preserve">death of Constance he perhaps married and he certainly lived</w:t></w:r>
</w:p>
<w:p>
<w:pPr><w:pStyle w:val="Normal"/></w:pPr>
<w:r><w:t xml:space="preserve">with Zaida, said to have been a daughter of ``Benabet&apos;&apos; (Al</w:t></w:r>
</w:p>
<w:p>
<w:pPr><w:pStyle w:val="Normal"/></w:pPr>
<w:r><w:t xml:space="preserve">Alotamid), Mahommedan king of Seville.  Zaida, who became a</w:t></w:r>
</w:p>
<w:p>
<w:pPr><w:pStyle w:val="Normal"/></w:pPr>
<w:r><w:t xml:space="preserve">Christian under the name of Maria or Isabel, bore him the only</w:t></w:r>
</w:p>
<w:p>
<w:pPr><w:pStyle w:val="Normal"/></w:pPr>
<w:r><w:t xml:space="preserve">son among his many children, Sancho, whom Alphonso designed</w:t></w:r>
</w:p>
<w:p>
<w:pPr><w:pStyle w:val="Normal"/></w:pPr>
<w:r><w:t xml:space="preserve">to be his successor, but who was slain at the battle of</w:t></w:r>
</w:p>
<w:p>
<w:pPr><w:pStyle w:val="Normal"/></w:pPr>
<w:r><w:t xml:space="preserve">Ucles in 1108.  Women play a great part in Alphonso&apos;s life.</w:t></w:r>
</w:p>
<w:p>
<w:pPr><w:pStyle w:val="Normal"/></w:pPr>
<w:r><w:t xml:space="preserve">[ALPHOASO I., king of Aragon, ``the Battler,&apos;&apos; who married</w:t></w:r>
</w:p>
<w:p>
<w:pPr><w:pStyle w:val="Normal"/></w:pPr>
<w:r><w:t xml:space="preserve">Urraca, daughter of Alphonso VI. (1104-1134), is sometimes</w:t></w:r>
</w:p>
<w:p>
<w:pPr><w:pStyle w:val="Normal"/></w:pPr>
<w:r><w:t xml:space="preserve">counted the VIIth in the line of the kings of Leon and</w:t></w:r>
</w:p>
<w:p>
<w:pPr><w:pStyle w:val="Normal"/></w:pPr>
<w:r><w:t xml:space="preserve">Castile.  A passionate fighting-man (he fought twenty-nine</w:t></w:r>
</w:p>
<w:p>
<w:pPr><w:pStyle w:val="Normal"/></w:pPr>
<w:r><w:t xml:space="preserve">battles against Christian or Moor), he was married to Urraca,</w:t></w:r>
</w:p>
<w:p>
<w:pPr><w:pStyle w:val="Normal"/></w:pPr>
<w:r><w:t xml:space="preserve">widow of Raymond of Burgundy, a very dissolute and passionate</w:t></w:r>
</w:p>
<w:p>
<w:pPr><w:pStyle w:val="Normal"/></w:pPr>
<w:r><w:t xml:space="preserve">woman.  The marriage had been arranged by Alphonso VI. in</w:t></w:r>
</w:p>
<w:p>
<w:pPr><w:pStyle w:val="Normal"/></w:pPr>
<w:r><w:t xml:space="preserve">1106 to unite the two chief Christian states against the</w:t></w:r>
</w:p>
<w:p>
<w:pPr><w:pStyle w:val="Normal"/></w:pPr>
<w:r><w:t xml:space="preserve">Almoravides, and to supply them with a capable military</w:t></w:r>
</w:p>
<w:p>
<w:pPr><w:pStyle w:val="Normal"/></w:pPr>
<w:r><w:t xml:space="preserve">leader.  But Urraca was tenacious of her right as proprietary</w:t></w:r>
</w:p>
<w:p>
<w:pPr><w:pStyle w:val="Normal"/></w:pPr>
<w:r><w:t xml:space="preserve">queen and had not learnt chastity in the polygamous household</w:t></w:r>
</w:p>
<w:p>
<w:pPr><w:pStyle w:val="Normal"/></w:pPr>
<w:r><w:t xml:space="preserve">of her father.  Husband and wife quarrelled with the brutality</w:t></w:r>
</w:p>
<w:p>
<w:pPr><w:pStyle w:val="Normal"/></w:pPr>
<w:r><w:t xml:space="preserve">of the age and came to open war.  Alphonso had the support</w:t></w:r>
</w:p>
<w:p>
<w:pPr><w:pStyle w:val="Normal"/></w:pPr>
<w:r><w:t xml:space="preserve">of one section of the nobles who found their account in the</w:t></w:r>
</w:p>
<w:p>
<w:pPr><w:pStyle w:val="Normal"/></w:pPr>
<w:r><w:t xml:space="preserve">confusion.  Being a much better soldier than any of his</w:t></w:r>
</w:p>
<w:p>
<w:pPr><w:pStyle w:val="Normal"/></w:pPr>
<w:r><w:t xml:space="preserve">opponents he gained victories at Sepalveda and Fuente de</w:t></w:r>
</w:p>
<w:p>
<w:pPr><w:pStyle w:val="Normal"/></w:pPr>
<w:r><w:t xml:space="preserve">la Culebra, but his only trustworthy supporters were his</w:t></w:r>
</w:p>
<w:p>
<w:pPr><w:pStyle w:val="Normal"/></w:pPr>
<w:r><w:t xml:space="preserve">Aragonese, who were not numerous enough to keep down Castile and</w:t></w:r>
</w:p>
<w:p>
<w:pPr><w:pStyle w:val="Normal"/></w:pPr>
<w:r><w:t xml:space="preserve">Leon.  The marriage of Alphonso and Urraca was declared null</w:t></w:r>
</w:p>
<w:p>
<w:pPr><w:pStyle w:val="Normal"/></w:pPr>
<w:r><w:t xml:space="preserve">by the pope, as they were third cousins.  The king quarrelled</w:t></w:r>
</w:p>
<w:p>
<w:pPr><w:pStyle w:val="Normal"/></w:pPr>
<w:r><w:t xml:space="preserve">with the church, and particularly the Cistercians, almost</w:t></w:r>
</w:p>
<w:p>
<w:pPr><w:pStyle w:val="Normal"/></w:pPr>
<w:r><w:t xml:space="preserve">as violently as with his wife.  As he beat her, so he drove</w:t></w:r>
</w:p>
<w:p>
<w:pPr><w:pStyle w:val="Normal"/></w:pPr>
<w:r><w:t xml:space="preserve">Archbishop Bernard into exile and expelled the monks of</w:t></w:r>
</w:p>
<w:p>
<w:pPr><w:pStyle w:val="Normal"/></w:pPr>
<w:r><w:t xml:space="preserve">Sahagun.  He was finally compelled to give way in Castile</w:t></w:r>
</w:p>
<w:p>
<w:pPr><w:pStyle w:val="Normal"/></w:pPr>
<w:r><w:t xml:space="preserve">and Leon to his stepson Alphonso, son of Urraca and her first</w:t></w:r>
</w:p>
<w:p>
<w:pPr><w:pStyle w:val="Normal"/></w:pPr>
<w:r><w:t xml:space="preserve">husband.  The intervention of Pope Calixtus II. brought</w:t></w:r>
</w:p>
<w:p>
<w:pPr><w:pStyle w:val="Normal"/></w:pPr>
<w:r><w:t xml:space="preserve">about an arrangement between the old man and the young.</w:t></w:r>
</w:p>
<w:p>
<w:pPr><w:pStyle w:val="Normal"/></w:pPr>
<w:r><w:t xml:space="preserve">Alphonso the Battler won his great successes in the middle</w:t></w:r>
</w:p>
<w:p>
<w:pPr><w:pStyle w:val="Normal"/></w:pPr>
<w:r><w:t xml:space="preserve">Ebro, where he expelled the Moors from Saragossa; in the</w:t></w:r>
</w:p>
<w:p>
<w:pPr><w:pStyle w:val="Normal"/></w:pPr>
<w:r><w:t xml:space="preserve">great raid of 1125, when he carried away a large part of the</w:t></w:r>
</w:p>
<w:p>
<w:pPr><w:pStyle w:val="Normal"/></w:pPr>
<w:r><w:t xml:space="preserve">subject Christians from Granada, and in the south-west of</w:t></w:r>
</w:p>
<w:p>
<w:pPr><w:pStyle w:val="Normal"/></w:pPr>
<w:r><w:t xml:space="preserve">France, where he had rights as king of Navarre.  Three years</w:t></w:r>
</w:p>
<w:p>
<w:pPr><w:pStyle w:val="Normal"/></w:pPr>
<w:r><w:t xml:space="preserve">before his death he made a will leaving his kingdom to the</w:t></w:r>
</w:p>
<w:p>
<w:pPr><w:pStyle w:val="Normal"/></w:pPr>
<w:r><w:t xml:space="preserve">Templars, the Hospitallers, and the Knights of the Sepulchre,</w:t></w:r>
</w:p>
<w:p>
<w:pPr><w:pStyle w:val="Normal"/></w:pPr>
<w:r><w:t xml:space="preserve">which his subjects refused to carry out.  He was a fierce,</w:t></w:r>
</w:p>
<w:p>
<w:pPr><w:pStyle w:val="Normal"/></w:pPr>
<w:r><w:t xml:space="preserve">violent man, a soldier and nothing else, whose piety was wholly</w:t></w:r>
</w:p>
<w:p>
<w:pPr><w:pStyle w:val="Normal"/></w:pPr>
<w:r><w:t xml:space="preserve">militant.  Though he died in 1134 after an unsuccessful battle</w:t></w:r>
</w:p>
<w:p>
<w:pPr><w:pStyle w:val="Normal"/></w:pPr>
<w:r><w:t xml:space="preserve">with the Moors at Braga, he has a great place in the reconquest.]</w:t></w:r>
</w:p>
<w:p>
<w:pPr><w:pStyle w:val="Normal"/></w:pPr>
<w:r><w:t xml:space="preserve">ALPHONSO VII., ``the Emperor&apos;&apos; (1126-1157), is a dignified</w:t></w:r>
</w:p>
<w:p>
<w:pPr><w:pStyle w:val="Normal"/></w:pPr>
<w:r><w:t xml:space="preserve">and somewhat enigmatical figure.  A vague tradition had</w:t></w:r>
</w:p>
<w:p>
<w:pPr><w:pStyle w:val="Normal"/></w:pPr>
<w:r><w:t xml:space="preserve">always assigned the title of emperor to the sovereign who</w:t></w:r>
</w:p>
<w:p>
<w:pPr><w:pStyle w:val="Normal"/></w:pPr>
<w:r><w:t xml:space="preserve">held Leon as the most direct representative of the Visigoth</w:t></w:r>
</w:p>
<w:p>
<w:pPr><w:pStyle w:val="Normal"/></w:pPr>
<w:r><w:t xml:space="preserve">kings, who were themselves the representatives of the Roman</w:t></w:r>
</w:p>
<w:p>
<w:pPr><w:pStyle w:val="Normal"/></w:pPr>
<w:r><w:t xml:space="preserve">empire.  But though given in charters, and claimed by Alphonso</w:t></w:r>
</w:p>
<w:p>
<w:pPr><w:pStyle w:val="Heading1"/></w:pPr>
<w:r><w:t>VI. and the Battler, the title had been little more than a</w:t></w:r>
</w:p>
<w:p>
<w:pPr><w:pStyle w:val="Normal"/></w:pPr>
<w:r><w:t xml:space="preserve">flourish of rhetoric.  Alphonso VII. was crowned emperor in</w:t></w:r>
</w:p>
<w:p>
<w:pPr><w:pStyle w:val="Normal"/></w:pPr>
<w:r><w:t xml:space="preserve">1155 after the death of the Battler.  The weakness of Aragon</w:t></w:r>
</w:p>
<w:p>
<w:pPr><w:pStyle w:val="Normal"/></w:pPr>
<w:r><w:t xml:space="preserve">enabled him to make his superiority effective.  He appears</w:t></w:r>
</w:p>
<w:p>
<w:pPr><w:pStyle w:val="Normal"/></w:pPr>
<w:r><w:t xml:space="preserve">to have striven for the formation of a national unity, which</w:t></w:r>
</w:p>
<w:p>
<w:pPr><w:pStyle w:val="Normal"/></w:pPr>
<w:r><w:t xml:space="preserve">Spain had never possessed since the fall of the V&apos;isigoth</w:t></w:r>
</w:p>
<w:p>
<w:pPr><w:pStyle w:val="Normal"/></w:pPr>
<w:r><w:t xml:space="preserve">kingdom.  The elements he had to deal with could not be welded</w:t></w:r>
</w:p>
<w:p>
<w:pPr><w:pStyle w:val="Normal"/></w:pPr>
<w:r><w:t xml:space="preserve">together.  Alphonso was at once a patron of the church,</w:t></w:r>
</w:p>
<w:p>
<w:pPr><w:pStyle w:val="Normal"/></w:pPr>
<w:r><w:t xml:space="preserve">and a protector if not a favourer of the Mahommedans, who</w:t></w:r>
</w:p>
<w:p>
<w:pPr><w:pStyle w:val="Normal"/></w:pPr>
<w:r><w:t xml:space="preserve">formed a large part of his subjects.  His reign ended in</w:t></w:r>
</w:p>
<w:p>
<w:pPr><w:pStyle w:val="Normal"/></w:pPr>
<w:r><w:t xml:space="preserve">an unsuccessful campaign against the rising power of the</w:t></w:r>
</w:p>
<w:p>
<w:pPr><w:pStyle w:val="Normal"/></w:pPr>
<w:r><w:t xml:space="preserve">Almohades.  Though he was not actually defeated, his death</w:t></w:r>
</w:p>
<w:p>
<w:pPr><w:pStyle w:val="Normal"/></w:pPr>
<w:r><w:t xml:space="preserve">in the pass of Muradel in the Sierra Morena, while on his</w:t></w:r>
</w:p>
<w:p>
<w:pPr><w:pStyle w:val="Normal"/></w:pPr>
<w:r><w:t xml:space="preserve">way back to Toledo, occurred in circumstances which showed</w:t></w:r>
</w:p>
<w:p>
<w:pPr><w:pStyle w:val="Normal"/></w:pPr>
<w:r><w:t xml:space="preserve">that no man could be what he claimed to be---``king of the</w:t></w:r>
</w:p>
<w:p>
<w:pPr><w:pStyle w:val="Normal"/></w:pPr>
<w:r><w:t xml:space="preserve">men of the two religions.&apos;&apos; His personal character does not</w:t></w:r>
</w:p>
<w:p>
<w:pPr><w:pStyle w:val="Normal"/></w:pPr>
<w:r><w:t xml:space="preserve">stand out with the emphasis of those of Alphonso VI. or the</w:t></w:r>
</w:p>
<w:p>
<w:pPr><w:pStyle w:val="Normal"/></w:pPr>
<w:r><w:t xml:space="preserve">Battler.  Yet he was a great king, the type and to some extent</w:t></w:r>
</w:p>
<w:p>
<w:pPr><w:pStyle w:val="Normal"/></w:pPr>
<w:r><w:t xml:space="preserve">the victim of the confusions of his age--Christian in creed</w:t></w:r>
</w:p>
<w:p>
<w:pPr><w:pStyle w:val="Normal"/></w:pPr>
<w:r><w:t xml:space="preserve">and ambition, but more than half oriental in his household.</w:t></w:r>
</w:p>
<w:p>
<w:pPr><w:pStyle w:val="Normal"/></w:pPr>
<w:r><w:t xml:space="preserve">ALPHONSO VIII. (1158-1214), king of Castile only, and grandson</w:t></w:r>
</w:p>
<w:p>
<w:pPr><w:pStyle w:val="Normal"/></w:pPr>
<w:r><w:t xml:space="preserve">of Alphonso VII., is a great name in Spanish history, for he</w:t></w:r>
</w:p>
<w:p>
<w:pPr><w:pStyle w:val="Normal"/></w:pPr>
<w:r><w:t xml:space="preserve">led the coalition of Christian princes and foreign crusaders</w:t></w:r>
</w:p>
<w:p>
<w:pPr><w:pStyle w:val="Normal"/></w:pPr>
<w:r><w:t xml:space="preserve">who broke the power of the Almohades at the battle of the Navas</w:t></w:r>
</w:p>
<w:p>
<w:pPr><w:pStyle w:val="Normal"/></w:pPr>
<w:r><w:t xml:space="preserve">de Tolosa in 1212.  The events of his reign are dealt with</w:t></w:r>
</w:p>
<w:p>
<w:pPr><w:pStyle w:val="Normal"/></w:pPr>
<w:r><w:t xml:space="preserve">under SPAIN.  His personal history is that of many medieval</w:t></w:r>
</w:p>
<w:p>
<w:pPr><w:pStyle w:val="Normal"/></w:pPr>
<w:r><w:t xml:space="preserve">kings.  He succeeded to the throne on the death of his father,</w:t></w:r>
</w:p>
<w:p>
<w:pPr><w:pStyle w:val="Normal"/></w:pPr>
<w:r><w:t xml:space="preserve">Sancho, at the age of a year and a half.  Though proclaimed</w:t></w:r>
</w:p>
<w:p>
<w:pPr><w:pStyle w:val="Normal"/></w:pPr>
<w:r><w:t xml:space="preserve">king, he was regarded as a mere name by the unruly nobles to</w:t></w:r>
</w:p>
<w:p>
<w:pPr><w:pStyle w:val="Normal"/></w:pPr>
<w:r><w:t xml:space="preserve">whom a minority was convenient.  The devotion of a squire of</w:t></w:r>
</w:p>
<w:p>
<w:pPr><w:pStyle w:val="Normal"/></w:pPr>
<w:r><w:t xml:space="preserve">his household, who carried him on the pommel of his saddle</w:t></w:r>
</w:p>
<w:p>
<w:pPr><w:pStyle w:val="Normal"/></w:pPr>
<w:r><w:t xml:space="preserve">to the stronghold of San Esteban de Gormaz, saved him from</w:t></w:r>
</w:p>
<w:p>
<w:pPr><w:pStyle w:val="Normal"/></w:pPr>
<w:r><w:t xml:space="preserve">falling into the hands of the contending factions of Castro</w:t></w:r>
</w:p>
<w:p>
<w:pPr><w:pStyle w:val="Normal"/></w:pPr>
<w:r><w:t xml:space="preserve">and Lara, or of his uncle Ferdinand of Leon, who claimed the</w:t></w:r>
</w:p>
<w:p>
<w:pPr><w:pStyle w:val="Normal"/></w:pPr>
<w:r><w:t xml:space="preserve">regency.  The loyalty of the town of Avila protected his</w:t></w:r>
</w:p>
<w:p>
<w:pPr><w:pStyle w:val="Normal"/></w:pPr>
<w:r><w:t xml:space="preserve">youth.  He was barely fifteen when he came forth to do a man&apos;s</w:t></w:r>
</w:p>
<w:p>
<w:pPr><w:pStyle w:val="Normal"/></w:pPr>
<w:r><w:t xml:space="preserve">work by restoring his kingdom to order.  It was only by a surprise</w:t></w:r>
</w:p>
<w:p>
<w:pPr><w:pStyle w:val="Normal"/></w:pPr>
<w:r><w:t xml:space="preserve">that he recovered his capital Toledo from the hands of the</w:t></w:r>
</w:p>
<w:p>
<w:pPr><w:pStyle w:val="Normal"/></w:pPr>
<w:r><w:t xml:space="preserve">Laras.  His marriage with Leonora of Aquitaine, daughter of</w:t></w:r>
</w:p>
<w:p>
<w:pPr><w:pStyle w:val="Normal"/></w:pPr>
<w:r><w:t xml:space="preserve">Henry II. of England, brought him under the influence of the</w:t></w:r>
</w:p>
<w:p>
<w:pPr><w:pStyle w:val="Normal"/></w:pPr>
<w:r><w:t xml:space="preserve">greatest governing intellect of his time.  Alphonso VIII.</w:t></w:r>
</w:p>
<w:p>
<w:pPr><w:pStyle w:val="Normal"/></w:pPr>
<w:r><w:t xml:space="preserve">was the founder of the first Spanish university, the studium</w:t></w:r>
</w:p>
<w:p>
<w:pPr><w:pStyle w:val="Normal"/></w:pPr>
<w:r><w:t xml:space="preserve">generale of Palencia, which, however, did not survive him.</w:t></w:r>
</w:p>
<w:p>
<w:pPr><w:pStyle w:val="Normal"/></w:pPr>
<w:r><w:t xml:space="preserve">ALPHONSO IX. (1188--1230) of Leon, first cousin of Alphonso</w:t></w:r>
</w:p>
<w:p>
<w:pPr><w:pStyle w:val="Heading1"/></w:pPr>
<w:r><w:t>VIII. of Castile, and numbered next to him as being a junior</w:t></w:r>
</w:p>
<w:p>
<w:pPr><w:pStyle w:val="Normal"/></w:pPr>
<w:r><w:t xml:space="preserve">member of the family (see the article SPAIN for the division</w:t></w:r>
</w:p>
<w:p>
<w:pPr><w:pStyle w:val="Normal"/></w:pPr>
<w:r><w:t xml:space="preserve">of the kingdom and the relationship), is said by Ibn Khaldun</w:t></w:r>
</w:p>
<w:p>
<w:pPr><w:pStyle w:val="Normal"/></w:pPr>
<w:r><w:t xml:space="preserve">to have been called the ``Baboso&apos;&apos; or Slobberer, because he</w:t></w:r>
</w:p>
<w:p>
<w:pPr><w:pStyle w:val="Normal"/></w:pPr>
<w:r><w:t xml:space="preserve">was subject to fits of rage during which he foamed at the</w:t></w:r>
</w:p>
<w:p>
<w:pPr><w:pStyle w:val="Normal"/></w:pPr>
<w:r><w:t xml:space="preserve">mouth.  Though he took a part in the work of the reconquest,</w:t></w:r>
</w:p>
<w:p>
<w:pPr><w:pStyle w:val="Normal"/></w:pPr>
<w:r><w:t xml:space="preserve">this king is chiefly remembered by the difficulties into which</w:t></w:r>
</w:p>
<w:p>
<w:pPr><w:pStyle w:val="Normal"/></w:pPr>
<w:r><w:t xml:space="preserve">his successive marriages led him with the pope.  He was first</w:t></w:r>
</w:p>
<w:p>
<w:pPr><w:pStyle w:val="Normal"/></w:pPr>
<w:r><w:t xml:space="preserve">married to his cousin Teresa of Portugal, who bore him two</w:t></w:r>
</w:p>
<w:p>
<w:pPr><w:pStyle w:val="Normal"/></w:pPr>
<w:r><w:t xml:space="preserve">daughters, and a son who died young.  The marriage was declared</w:t></w:r>
</w:p>
<w:p>
<w:pPr><w:pStyle w:val="Normal"/></w:pPr>
<w:r><w:t xml:space="preserve">null by the pope, to whom Alphonso paid no attention till he</w:t></w:r>
</w:p>
<w:p>
<w:pPr><w:pStyle w:val="Normal"/></w:pPr>
<w:r><w:t xml:space="preserve">was presumably tired of his wife.  It cannot have been his</w:t></w:r>
</w:p>
<w:p>
<w:pPr><w:pStyle w:val="Normal"/></w:pPr>
<w:r><w:t xml:space="preserve">conscience which constrained him to leave Teresa, for his next</w:t></w:r>
</w:p>
<w:p>
<w:pPr><w:pStyle w:val="Normal"/></w:pPr>
<w:r><w:t xml:space="preserve">step was to marry Berengaria of Castile, who was his second</w:t></w:r>
</w:p>
<w:p>
<w:pPr><w:pStyle w:val="Normal"/></w:pPr>
<w:r><w:t xml:space="preserve">cousin.  For this act of contumacy the king and kingdom were</w:t></w:r>
</w:p>
<w:p>
<w:pPr><w:pStyle w:val="Normal"/></w:pPr>
<w:r><w:t xml:space="preserve">placed under interdict.  The pope was, however, compelled to</w:t></w:r>
</w:p>
<w:p>
<w:pPr><w:pStyle w:val="Normal"/></w:pPr>
<w:r><w:t xml:space="preserve">modify his measures by the threat that if the people could</w:t></w:r>
</w:p>
<w:p>
<w:pPr><w:pStyle w:val="Normal"/></w:pPr>
<w:r><w:t xml:space="preserve">not obtain the services of religion they would not support the</w:t></w:r>
</w:p>
<w:p>
<w:pPr><w:pStyle w:val="Normal"/></w:pPr>
<w:r><w:t xml:space="preserve">clergy, and that heresy would spread.  The king was left under</w:t></w:r>
</w:p>
<w:p>
<w:pPr><w:pStyle w:val="Normal"/></w:pPr>
<w:r><w:t xml:space="preserve">interdict personally, but to that he showed himself indifferent,</w:t></w:r>
</w:p>
<w:p>
<w:pPr><w:pStyle w:val="Normal"/></w:pPr>
<w:r><w:t xml:space="preserve">and he had the support of his clergy.  Berengaria left him</w:t></w:r>
</w:p>
<w:p>
<w:pPr><w:pStyle w:val="Normal"/></w:pPr>
<w:r><w:t xml:space="preserve">after the birth of five children, and the king then returned</w:t></w:r>
</w:p>
<w:p>
<w:pPr><w:pStyle w:val="Normal"/></w:pPr>
<w:r><w:t xml:space="preserve">to Teresa, to whose daughters he left his kingdom by will.</w:t></w:r>
</w:p>
<w:p>
<w:pPr><w:pStyle w:val="Normal"/></w:pPr>
<w:r><w:t xml:space="preserve">ALPHONSO X., El Sabio, or the learned (1252-1284), is</w:t></w:r>
</w:p>
<w:p>
<w:pPr><w:pStyle w:val="Normal"/></w:pPr>
<w:r><w:t xml:space="preserve">perhaps the most interesting, though he was far from being</w:t></w:r>
</w:p>
<w:p>
<w:pPr><w:pStyle w:val="Normal"/></w:pPr>
<w:r><w:t xml:space="preserve">the most capable, of the Spanish kings of the middle ages.</w:t></w:r>
</w:p>
<w:p>
<w:pPr><w:pStyle w:val="Normal"/></w:pPr>
<w:r><w:t xml:space="preserve">(His merits as a writer are dealt with in the article SPAIN:</w:t></w:r>
</w:p>
<w:p>
<w:pPr><w:pStyle w:val="Normal"/></w:pPr>
<w:r><w:t xml:space="preserve">Literature).  His scientific fame is based mainly on his</w:t></w:r>
</w:p>
<w:p>
<w:pPr><w:pStyle w:val="Normal"/></w:pPr>
<w:r><w:t xml:space="preserve">encouragement of astronomy.  It may be pointed out, however,</w:t></w:r>
</w:p>
<w:p>
<w:pPr><w:pStyle w:val="Normal"/></w:pPr>
<w:r><w:t xml:space="preserve">that the story which represents him as boasting of his ability</w:t></w:r>
</w:p>
<w:p>
<w:pPr><w:pStyle w:val="Normal"/></w:pPr>
<w:r><w:t xml:space="preserve">to make a better world than this is of late authority.  If</w:t></w:r>
</w:p>
<w:p>
<w:pPr><w:pStyle w:val="Normal"/></w:pPr>
<w:r><w:t xml:space="preserve">he said so, he was speaking of the Ptolemaic cosmogony as</w:t></w:r>
</w:p>
<w:p>
<w:pPr><w:pStyle w:val="Normal"/></w:pPr>
<w:r><w:t xml:space="preserve">known to him through the Arabs, and his vaunt was a humorous</w:t></w:r>
</w:p>
<w:p>
<w:pPr><w:pStyle w:val="Normal"/></w:pPr>
<w:r><w:t xml:space="preserve">proof of his scientific instinct.  As a ruler he showed</w:t></w:r>
</w:p>
<w:p>
<w:pPr><w:pStyle w:val="Normal"/></w:pPr>
<w:r><w:t xml:space="preserve">legislative capacity, and a very commendable wish to provide</w:t></w:r>
</w:p>
<w:p>
<w:pPr><w:pStyle w:val="Normal"/></w:pPr>
<w:r><w:t xml:space="preserve">his kingdoms with a code of laws and a consistent judicial</w:t></w:r>
</w:p>
<w:p>
<w:pPr><w:pStyle w:val="Normal"/></w:pPr>
<w:r><w:t xml:space="preserve">system.  The Fuero Real was undoubtedly his work, and he</w:t></w:r>
</w:p>
<w:p>
<w:pPr><w:pStyle w:val="Normal"/></w:pPr>
<w:r><w:t xml:space="preserve">began the code called the Slete Partidas, which, however,</w:t></w:r>
</w:p>
<w:p>
<w:pPr><w:pStyle w:val="Normal"/></w:pPr>
<w:r><w:t xml:space="preserve">was only promulgated by his great-grandson.  Unhappily for</w:t></w:r>
</w:p>
<w:p>
<w:pPr><w:pStyle w:val="Normal"/></w:pPr>
<w:r><w:t xml:space="preserve">himself and for Spain, he wanted the singleness of purpose</w:t></w:r>
</w:p>
<w:p>
<w:pPr><w:pStyle w:val="Normal"/></w:pPr>
<w:r><w:t xml:space="preserve">required by a ruler who would devote himself to organization,</w:t></w:r>
</w:p>
<w:p>
<w:pPr><w:pStyle w:val="Normal"/></w:pPr>
<w:r><w:t xml:space="preserve">and also the combination of firmness with temper needed for</w:t></w:r>
</w:p>
<w:p>
<w:pPr><w:pStyle w:val="Normal"/></w:pPr>
<w:r><w:t xml:space="preserve">dealing with his nobles.  His descent from the Hohenstaufen</w:t></w:r>
</w:p>
<w:p>
<w:pPr><w:pStyle w:val="Normal"/></w:pPr>
<w:r><w:t xml:space="preserve">through his mother, a daughter of the emperor Philip, gave him</w:t></w:r>
</w:p>
<w:p>
<w:pPr><w:pStyle w:val="Normal"/></w:pPr>
<w:r><w:t xml:space="preserve">claims to represent the Swabian line.  The choice of the German</w:t></w:r>
</w:p>
<w:p>
<w:pPr><w:pStyle w:val="Normal"/></w:pPr>
<w:r><w:t xml:space="preserve">electors, after the death of Conrad IV. in 1254, misled him</w:t></w:r>
</w:p>
<w:p>
<w:pPr><w:pStyle w:val="Normal"/></w:pPr>
<w:r><w:t xml:space="preserve">into wildechemes which never took effect but caused immense</w:t></w:r>
</w:p>
<w:p>
<w:pPr><w:pStyle w:val="Normal"/></w:pPr>
<w:r><w:t xml:space="preserve">expense.  To obtain money he debased the coinage, and then</w:t></w:r>
</w:p>
<w:p>
<w:pPr><w:pStyle w:val="Normal"/></w:pPr>
<w:r><w:t xml:space="preserve">endeavoured to prevent a rise in prices by an arbitrary</w:t></w:r>
</w:p>
<w:p>
<w:pPr><w:pStyle w:val="Normal"/></w:pPr>
<w:r><w:t xml:space="preserve">tariff.  The little trade of his dominions was ruined, and the</w:t></w:r>
</w:p>
<w:p>
<w:pPr><w:pStyle w:val="Normal"/></w:pPr>
<w:r><w:t xml:space="preserve">burghers and peasants were deeply offended.  His nobles, whom</w:t></w:r>
</w:p>
<w:p>
<w:pPr><w:pStyle w:val="Normal"/></w:pPr>
<w:r><w:t xml:space="preserve">he tried to cow by sporadic acts of violence, rebelled against</w:t></w:r>
</w:p>
<w:p>
<w:pPr><w:pStyle w:val="Normal"/></w:pPr>
<w:r><w:t xml:space="preserve">him.  His second son, Sancho, enforced his claim to be heir,</w:t></w:r>
</w:p>
<w:p>
<w:pPr><w:pStyle w:val="Normal"/></w:pPr>
<w:r><w:t xml:space="preserve">in preference to the children of Ferdinand de la Cerda, the</w:t></w:r>
</w:p>
<w:p>
<w:pPr><w:pStyle w:val="Normal"/></w:pPr>
<w:r><w:t xml:space="preserve">elder brother who died in Alphonso&apos;s life.  Son and nobles</w:t></w:r>
</w:p>
<w:p>
<w:pPr><w:pStyle w:val="Normal"/></w:pPr>
<w:r><w:t xml:space="preserve">alike supported the Moors, when he tried to unite the nation</w:t></w:r>
</w:p>
<w:p>
<w:pPr><w:pStyle w:val="Normal"/></w:pPr>
<w:r><w:t xml:space="preserve">in a crusade; and when he allied himself with the rulers of</w:t></w:r>
</w:p>
<w:p>
<w:pPr><w:pStyle w:val="Normal"/></w:pPr>
<w:r><w:t xml:space="preserve">Morocco they denounced him as an enemy of the faith.  A reaction</w:t></w:r>
</w:p>
<w:p>
<w:pPr><w:pStyle w:val="Normal"/></w:pPr>
<w:r><w:t xml:space="preserve">in his favour was beginning in his later days, but he died</w:t></w:r>
</w:p>
<w:p>
<w:pPr><w:pStyle w:val="Normal"/></w:pPr>
<w:r><w:t xml:space="preserve">defeated and deserted at Seville, leaving a will by which he</w:t></w:r>
</w:p>
<w:p>
<w:pPr><w:pStyle w:val="Normal"/></w:pPr>
<w:r><w:t xml:space="preserve">endeavoured to exclude Sancho and a heritage of civil war.</w:t></w:r>
</w:p>
<w:p>
<w:pPr><w:pStyle w:val="Normal"/></w:pPr>
<w:r><w:t xml:space="preserve">ALPHONSO XI. (1312-1350) is variously known among Spanish</w:t></w:r>
</w:p>
<w:p>
<w:pPr><w:pStyle w:val="Normal"/></w:pPr>
<w:r><w:t xml:space="preserve">kings as the Avenger or the Implacable, and as ``he of the</w:t></w:r>
</w:p>
<w:p>
<w:pPr><w:pStyle w:val="Normal"/></w:pPr>
<w:r><w:t xml:space="preserve">Rio Salado.&apos;&apos; The first two names he earned by the ferocity</w:t></w:r>
</w:p>
<w:p>
<w:pPr><w:pStyle w:val="Normal"/></w:pPr>
<w:r><w:t xml:space="preserve">with which he repressed the disorder of the nobles after</w:t></w:r>
</w:p>
<w:p>
<w:pPr><w:pStyle w:val="Normal"/></w:pPr>
<w:r><w:t xml:space="preserve">a long minority; the third by his victory over the last</w:t></w:r>
</w:p>
<w:p>
<w:pPr><w:pStyle w:val="Normal"/></w:pPr>
<w:r><w:t xml:space="preserve">formidable African invasion of Spain in 1340.  The chronicler</w:t></w:r>
</w:p>
<w:p>
<w:pPr><w:pStyle w:val="Normal"/></w:pPr>
<w:r><w:t xml:space="preserve">who records his death prays that ``God may be merciful to</w:t></w:r>
</w:p>
<w:p>
<w:pPr><w:pStyle w:val="Normal"/></w:pPr>
<w:r><w:t xml:space="preserve">him, for he was a very great king.&apos;&apos; The mercy was needed.</w:t></w:r>
</w:p>
<w:p>
<w:pPr><w:pStyle w:val="Normal"/></w:pPr>
<w:r><w:t xml:space="preserve">Alphonso XI. never went to the insane lengths of his son</w:t></w:r>
</w:p>
<w:p>
<w:pPr><w:pStyle w:val="Normal"/></w:pPr>
<w:r><w:t xml:space="preserve">Peter the Cruel, but he could be abundantly sultanesque in his</w:t></w:r>
</w:p>
<w:p>
<w:pPr><w:pStyle w:val="Normal"/></w:pPr>
<w:r><w:t xml:space="preserve">methods.  He killed for reasons of state without form of trial,</w:t></w:r>
</w:p>
<w:p>
<w:pPr><w:pStyle w:val="Normal"/></w:pPr>
<w:r><w:t xml:space="preserve">while his open neglect of his wife, Maria of Portugal, and his</w:t></w:r>
</w:p>
<w:p>
<w:pPr><w:pStyle w:val="Normal"/></w:pPr>
<w:r><w:t xml:space="preserve">ostentatious passion for Leonora de Guzman, who bore him a large</w:t></w:r>
</w:p>
<w:p>
<w:pPr><w:pStyle w:val="Normal"/></w:pPr>
<w:r><w:t xml:space="preserve">family of sons, set Peter an example which he did not fail to</w:t></w:r>
</w:p>
<w:p>
<w:pPr><w:pStyle w:val="Normal"/></w:pPr>
<w:r><w:t xml:space="preserve">better.  It may be that his early death, during the great</w:t></w:r>
</w:p>
<w:p>
<w:pPr><w:pStyle w:val="Normal"/></w:pPr>
<w:r><w:t xml:space="preserve">plague of 1350, at the siege of Gibraltar, only averted a</w:t></w:r>
</w:p>
<w:p>
<w:pPr><w:pStyle w:val="Normal"/></w:pPr>
<w:r><w:t xml:space="preserve">desperate struggle with his legitimate son, though it was a</w:t></w:r>
</w:p>
<w:p>
<w:pPr><w:pStyle w:val="Normal"/></w:pPr>
<w:r><w:t xml:space="preserve">misfortune in that it removed a ruler of eminent capacity,</w:t></w:r>
</w:p>
<w:p>
<w:pPr><w:pStyle w:val="Normal"/></w:pPr>
<w:r><w:t xml:space="preserve">who understood his subjects well enough not to go too far.</w:t></w:r>
</w:p>
<w:p>
<w:pPr><w:pStyle w:val="Normal"/></w:pPr>
<w:r><w:t xml:space="preserve">[Four other kings of Aragon, besides the Battler, bore the</w:t></w:r>
</w:p>
<w:p>
<w:pPr><w:pStyle w:val="Normal"/></w:pPr>
<w:r><w:t xml:space="preserve">name of Alphonso.  All these princes held territory in the</w:t></w:r>
</w:p>
<w:p>
<w:pPr><w:pStyle w:val="Normal"/></w:pPr>
<w:r><w:t xml:space="preserve">south-east of France, and had a close connexion with Italy.</w:t></w:r>
</w:p>
<w:p>
<w:pPr><w:pStyle w:val="Normal"/></w:pPr>
<w:r><w:t xml:space="preserve">ALPHONSO II. of Aragon (i162--1106) was the son of Raymond</w:t></w:r>
</w:p>
<w:p>
<w:pPr><w:pStyle w:val="Normal"/></w:pPr>
<w:r><w:t xml:space="preserve">Berenger, Count of Barcelona, and of Petronilla, niece of</w:t></w:r>
</w:p>
<w:p>
<w:pPr><w:pStyle w:val="Normal"/></w:pPr>
<w:r><w:t xml:space="preserve">Alphonso the Battler, and daughter of Ramiro surnamed the</w:t></w:r>
</w:p>
<w:p>
<w:pPr><w:pStyle w:val="Normal"/></w:pPr>
<w:r><w:t xml:space="preserve">Monk.  He succeeded to the county of Barcelona in 1162 on</w:t></w:r>
</w:p>
<w:p>
<w:pPr><w:pStyle w:val="Normal"/></w:pPr>
<w:r><w:t xml:space="preserve">the death of his father, at the age of eleven, and in 1164</w:t></w:r>
</w:p>
<w:p>
<w:pPr><w:pStyle w:val="Normal"/></w:pPr>
<w:r><w:t xml:space="preserve">his mother renounced her rights in Aragon in his favour.</w:t></w:r>
</w:p>
<w:p>
<w:pPr><w:pStyle w:val="Normal"/></w:pPr>
<w:r><w:t xml:space="preserve">Though christened Ramon (Raymond), the favourite name of his</w:t></w:r>
</w:p>
<w:p>
<w:pPr><w:pStyle w:val="Normal"/></w:pPr>
<w:r><w:t xml:space="preserve">line, he reigned as Alphonso out of a wish to please his</w:t></w:r>
</w:p>
<w:p>
<w:pPr><w:pStyle w:val="Normal"/></w:pPr>
<w:r><w:t xml:space="preserve">Aragonese subjects, to whom the memory of the Battler was</w:t></w:r>
</w:p>
<w:p>
<w:pPr><w:pStyle w:val="Normal"/></w:pPr>
<w:r><w:t xml:space="preserve">dear.  As king of Aragon he took a share in the work of the</w:t></w:r>
</w:p>
<w:p>
<w:pPr><w:pStyle w:val="Normal"/></w:pPr>
<w:r><w:t xml:space="preserve">reconquest, by helping his cousin Alohonso VIII. of Castile</w:t></w:r>
</w:p>
<w:p>
<w:pPr><w:pStyle w:val="Normal"/></w:pPr>
<w:r><w:t xml:space="preserve">to conquer Cuenca, and to suppress one Pero Ruiz de Azagra,</w:t></w:r>
</w:p>
<w:p>
<w:pPr><w:pStyle w:val="Normal"/></w:pPr>
<w:r><w:t xml:space="preserve">who was endeavouring to carve out a kingdom for himself in</w:t></w:r>
</w:p>
<w:p>
<w:pPr><w:pStyle w:val="Normal"/></w:pPr>
<w:r><w:t xml:space="preserve">the debatable land between Christian and Mahommedan.  But his</w:t></w:r>
</w:p>
<w:p>
<w:pPr><w:pStyle w:val="Normal"/></w:pPr>
<w:r><w:t xml:space="preserve">double position as ruler both north and south of the eastern</w:t></w:r>
</w:p>
<w:p>
<w:pPr><w:pStyle w:val="Normal"/></w:pPr>
<w:r><w:t xml:space="preserve">Pyrenees distracted his policy.  In character and interests</w:t></w:r>
</w:p>
<w:p>
<w:pPr><w:pStyle w:val="Normal"/></w:pPr>
<w:r><w:t xml:space="preserve">he was rather Provencal than Spanish, a favourer of the</w:t></w:r>
</w:p>
<w:p>
<w:pPr><w:pStyle w:val="Normal"/></w:pPr>
<w:r><w:t xml:space="preserve">troubadours, no enemy of the Albigensian heretics, and himself</w:t></w:r>
</w:p>
<w:p>
<w:pPr><w:pStyle w:val="Normal"/></w:pPr>
<w:r><w:t xml:space="preserve">a poet in the southern French dialect. ALPHONSO III. of</w:t></w:r>
</w:p>
<w:p>
<w:pPr><w:pStyle w:val="Normal"/></w:pPr>
<w:r><w:t xml:space="preserve">Aragon (12851291), the insignificant son of the notable Peter</w:t></w:r>
</w:p>
<w:p>
<w:pPr><w:pStyle w:val="Normal"/></w:pPr>
<w:r><w:t xml:space="preserve">III., succeeded to the Spanish and Provencal possessions of</w:t></w:r>
</w:p>
<w:p>
<w:pPr><w:pStyle w:val="Normal"/></w:pPr>
<w:r><w:t xml:space="preserve">his father, but his short reign did not give him time even to</w:t></w:r>
</w:p>
<w:p>
<w:pPr><w:pStyle w:val="Normal"/></w:pPr>
<w:r><w:t xml:space="preserve">marry.  His inability to resist the demands of his nobles left</w:t></w:r>
</w:p>
<w:p>
<w:pPr><w:pStyle w:val="Normal"/></w:pPr>
<w:r><w:t xml:space="preserve">a heritage of trouble in Aragon.  By recognising their right</w:t></w:r>
</w:p>
<w:p>
<w:pPr><w:pStyle w:val="Normal"/></w:pPr>
<w:r><w:t xml:space="preserve">to rebel in the articles called the Union he helped to make</w:t></w:r>
</w:p>
<w:p>
<w:pPr><w:pStyle w:val="Normal"/></w:pPr>
<w:r><w:t xml:space="preserve">anarchy permanent. ALPHONSO IV. of Aragon (1327-1336) was a</w:t></w:r>
</w:p>
<w:p>
<w:pPr><w:pStyle w:val="Normal"/></w:pPr>
<w:r><w:t xml:space="preserve">weak man whose reign was insignificant. ALPHONSO V. of Aragon</w:t></w:r>
</w:p>
<w:p>
<w:pPr><w:pStyle w:val="Normal"/></w:pPr>
<w:r><w:t xml:space="preserve">(1416-1458), surnamed the Magnanimous, who represented the</w:t></w:r>
</w:p>
<w:p>
<w:pPr><w:pStyle w:val="Normal"/></w:pPr>
<w:r><w:t xml:space="preserve">old line of the counts of Barcelona only through women, and</w:t></w:r>
</w:p>
<w:p>
<w:pPr><w:pStyle w:val="Normal"/></w:pPr>
<w:r><w:t xml:space="preserve">was on his father&apos;s side descended from the Castilian house of</w:t></w:r>
</w:p>
<w:p>
<w:pPr><w:pStyle w:val="Normal"/></w:pPr>
<w:r><w:t xml:space="preserve">Trastamara, is one of the most conspicuous figures of the early</w:t></w:r>
</w:p>
<w:p>
<w:pPr><w:pStyle w:val="Normal"/></w:pPr>
<w:r><w:t xml:space="preserve">Renaissance.  No man of his time had a larger share of the</w:t></w:r>
</w:p>
<w:p>
<w:pPr><w:pStyle w:val="Normal"/></w:pPr>
<w:r><w:t xml:space="preserve">quality called by the Italians of the day ``virtue.&apos;&apos; By</w:t></w:r>
</w:p>
<w:p>
<w:pPr><w:pStyle w:val="Normal"/></w:pPr>
<w:r><w:t xml:space="preserve">hereditary right king of Sicily, by the will of Joanna II.</w:t></w:r>
</w:p>
<w:p>
<w:pPr><w:pStyle w:val="Normal"/></w:pPr>
<w:r><w:t xml:space="preserve">and his own sword king of Naples, he fought and triumphed amid</w:t></w:r>
</w:p>
<w:p>
<w:pPr><w:pStyle w:val="Normal"/></w:pPr>
<w:r><w:t xml:space="preserve">the exuberant development of individuality which accompanied</w:t></w:r>
</w:p>
<w:p>
<w:pPr><w:pStyle w:val="Normal"/></w:pPr>
<w:r><w:t xml:space="preserve">the revival of learning and the birth of the modern world.</w:t></w:r>
</w:p>
<w:p>
<w:pPr><w:pStyle w:val="Normal"/></w:pPr>
<w:r><w:t xml:space="preserve">When a prisoner in the hands of Filipo Maria Visconti, duke of</w:t></w:r>
</w:p>
<w:p>
<w:pPr><w:pStyle w:val="Normal"/></w:pPr>
<w:r><w:t xml:space="preserve">Milan, in 1435, Alphonso persuaded his ferocious and crafty</w:t></w:r>
</w:p>
<w:p>
<w:pPr><w:pStyle w:val="Normal"/></w:pPr>
<w:r><w:t xml:space="preserve">captor to let him go by making it plain that it was the interest</w:t></w:r>
</w:p>
<w:p>
<w:pPr><w:pStyle w:val="Normal"/></w:pPr>
<w:r><w:t xml:space="preserve">of Milan not to prevent the victory of the Aragonese party in</w:t></w:r>
</w:p>
<w:p>
<w:pPr><w:pStyle w:val="Normal"/></w:pPr>
<w:r><w:t xml:space="preserve">Naples.  Like a true prince of the Renaissance he favoured</w:t></w:r>
</w:p>
<w:p>
<w:pPr><w:pStyle w:val="Normal"/></w:pPr>
<w:r><w:t xml:space="preserve">men of letters whom he trusted to preserve his reputation to</w:t></w:r>
</w:p>
<w:p>
<w:pPr><w:pStyle w:val="Normal"/></w:pPr>
<w:r><w:t xml:space="preserve">posterity.  His devotion to the classics was exceptional even</w:t></w:r>
</w:p>
<w:p>
<w:pPr><w:pStyle w:val="Normal"/></w:pPr>
<w:r><w:t xml:space="preserve">in that time.  He halted his army in pious respect before</w:t></w:r>
</w:p>
<w:p>
<w:pPr><w:pStyle w:val="Normal"/></w:pPr>
<w:r><w:t xml:space="preserve">the birthplace of a Latin writer, carried Livy or Caesar on</w:t></w:r>
</w:p>
<w:p>
<w:pPr><w:pStyle w:val="Normal"/></w:pPr>
<w:r><w:t xml:space="preserve">his campaigns with him, and his panegyrist Panormita did not</w:t></w:r>
</w:p>
<w:p>
<w:pPr><w:pStyle w:val="Normal"/></w:pPr>
<w:r><w:t xml:space="preserve">think it an incredible lie to say that the king was cured of</w:t></w:r>
</w:p>
<w:p>
<w:pPr><w:pStyle w:val="Normal"/></w:pPr>
<w:r><w:t xml:space="preserve">an illness by having a few pages of Quintus Curtius read to</w:t></w:r>
</w:p>
<w:p>
<w:pPr><w:pStyle w:val="Normal"/></w:pPr>
<w:r><w:t xml:space="preserve">him.  The classics had not refined his taste, for he was</w:t></w:r>
</w:p>
<w:p>
<w:pPr><w:pStyle w:val="Normal"/></w:pPr>
<w:r><w:t xml:space="preserve">amused by setting the wandering scholars, who swarmed to his</w:t></w:r>
</w:p>
<w:p>
<w:pPr><w:pStyle w:val="Normal"/></w:pPr>
<w:r><w:t xml:space="preserve">court, to abuse one another in the indescribably filthy</w:t></w:r>
</w:p>
<w:p>
<w:pPr><w:pStyle w:val="Normal"/></w:pPr>
<w:r><w:t xml:space="preserve">Latin scolding matches which were then the fashion.  Alphonso</w:t></w:r>
</w:p>
<w:p>
<w:pPr><w:pStyle w:val="Normal"/></w:pPr>
<w:r><w:t xml:space="preserve">founded nothing, and after his conquest of Naples in 1442</w:t></w:r>
</w:p>
<w:p>
<w:pPr><w:pStyle w:val="Normal"/></w:pPr>
<w:r><w:t xml:space="preserve">ruled by his mercenary soldiers, and no less mercenary men of</w:t></w:r>
</w:p>
<w:p>
<w:pPr><w:pStyle w:val="Normal"/></w:pPr>
<w:r><w:t xml:space="preserve">letters.  His Spanish possessions were ruled for him by his</w:t></w:r>
</w:p>
<w:p>
<w:pPr><w:pStyle w:val="Normal"/></w:pPr>
<w:r><w:t xml:space="preserve">brotherjohn.  He left his conquest of Naples to his</w:t></w:r>
</w:p>
<w:p>
<w:pPr><w:pStyle w:val="Normal"/></w:pPr>
<w:r><w:t xml:space="preserve">bastard son Ferdinand; his inherited lands, Sicily and</w:t></w:r>
</w:p>
<w:p>
<w:pPr><w:pStyle w:val="Normal"/></w:pPr>
<w:r><w:t xml:space="preserve">Sardinia, going to his brother John who survived him.]</w:t></w:r>
</w:p>
<w:p>
<w:pPr><w:pStyle w:val="Normal"/></w:pPr>
<w:r><w:t xml:space="preserve">ALPHONSO XII. (1857-1885), king of modern Spain, son of</w:t></w:r>
</w:p>
<w:p>
<w:pPr><w:pStyle w:val="Normal"/></w:pPr>
<w:r><w:t xml:space="preserve">Isabella II. and Maria Fernando Francisco de Assisi, eldest</w:t></w:r>
</w:p>
<w:p>
<w:pPr><w:pStyle w:val="Normal"/></w:pPr>
<w:r><w:t xml:space="preserve">son of the duke of Cadiz, was born on the 28th of November</w:t></w:r>
</w:p>
<w:p>
<w:pPr><w:pStyle w:val="Normal"/></w:pPr>
<w:r><w:t xml:space="preserve">1857.  When Queen Isabella and her husband were forced to</w:t></w:r>
</w:p>
<w:p>
<w:pPr><w:pStyle w:val="Normal"/></w:pPr>
<w:r><w:t xml:space="preserve">leave Spain by the revolution of 1868 he accompanied them to</w:t></w:r>
</w:p>
<w:p>
<w:pPr><w:pStyle w:val="Normal"/></w:pPr>
<w:r><w:t xml:space="preserve">Paris, and from thence he was sent to the Theresianum at</w:t></w:r>
</w:p>
<w:p>
<w:pPr><w:pStyle w:val="Normal"/></w:pPr>
<w:r><w:t xml:space="preserve">Vienna to continue his studies.  On the 25th of June 1870</w:t></w:r>
</w:p>
<w:p>
<w:pPr><w:pStyle w:val="Normal"/></w:pPr>
<w:r><w:t xml:space="preserve">he was recalled to Paris, where his mother abdicated in his</w:t></w:r>
</w:p>
<w:p>
<w:pPr><w:pStyle w:val="Normal"/></w:pPr>
<w:r><w:t xml:space="preserve">favour, in the presence of a number of Spanish nobles who</w:t></w:r>
</w:p>
<w:p>
<w:pPr><w:pStyle w:val="Normal"/></w:pPr>
<w:r><w:t xml:space="preserve">had followed the fortunes of the exiled queen.  He assumed</w:t></w:r>
</w:p>
<w:p>
<w:pPr><w:pStyle w:val="Normal"/></w:pPr>
<w:r><w:t xml:space="preserve">the title of Alphonso XII.; for although no king of united</w:t></w:r>
</w:p>
<w:p>
<w:pPr><w:pStyle w:val="Normal"/></w:pPr>
<w:r><w:t xml:space="preserve">Spain had previously borne the name, the Spanish monarchy</w:t></w:r>
</w:p>
<w:p>
<w:pPr><w:pStyle w:val="Normal"/></w:pPr>
<w:r><w:t xml:space="preserve">was regarded as continuous with the more ancient monarchy,</w:t></w:r>
</w:p>
<w:p>
<w:pPr><w:pStyle w:val="Normal"/></w:pPr>
<w:r><w:t xml:space="preserve">represented by the eleven kings of Leon and Castile already</w:t></w:r>
</w:p>
<w:p>
<w:pPr><w:pStyle w:val="Normal"/></w:pPr>
<w:r><w:t xml:space="preserve">referred to.  Shortly afterwards he proceeded to Sandhurst</w:t></w:r>
</w:p>
<w:p>
<w:pPr><w:pStyle w:val="Normal"/></w:pPr>
<w:r><w:t xml:space="preserve">to continue his military studies, and while there he issued,</w:t></w:r>
</w:p>
<w:p>
<w:pPr><w:pStyle w:val="Normal"/></w:pPr>
<w:r><w:t xml:space="preserve">on the 1st of December 1874, in reply to a birthday greeting</w:t></w:r>
</w:p>
<w:p>
<w:pPr><w:pStyle w:val="Normal"/></w:pPr>
<w:r><w:t xml:space="preserve">from his followers, a manifesto proclaiming himself the sole</w:t></w:r>
</w:p>
<w:p>
<w:pPr><w:pStyle w:val="Normal"/></w:pPr>
<w:r><w:t xml:space="preserve">representative of the Spanish monarchy.  At the end of the</w:t></w:r>
</w:p>
<w:p>
<w:pPr><w:pStyle w:val="Normal"/></w:pPr>
<w:r><w:t xml:space="preserve">year, when Marshal Serrano left Madrid to take command of the</w:t></w:r>
</w:p>
<w:p>
<w:pPr><w:pStyle w:val="Normal"/></w:pPr>
<w:r><w:t xml:space="preserve">northern army, General Martinez Campos, who had long been working</w:t></w:r>
</w:p>
<w:p>
<w:pPr><w:pStyle w:val="Normal"/></w:pPr>
<w:r><w:t xml:space="preserve">more or less openly for the king, carried off some battalions</w:t></w:r>
</w:p>
<w:p>
<w:pPr><w:pStyle w:val="Normal"/></w:pPr>
<w:r><w:t xml:space="preserve">of the central army to Sagunto, rallied to his own flag the</w:t></w:r>
</w:p>
<w:p>
<w:pPr><w:pStyle w:val="Normal"/></w:pPr>
<w:r><w:t xml:space="preserve">troops sent against him, and entered Valencia in the king&apos;s</w:t></w:r>
</w:p>
<w:p>
<w:pPr><w:pStyle w:val="Normal"/></w:pPr>
<w:r><w:t xml:space="preserve">name.  Thereupon the president of the council resigned, and</w:t></w:r>
</w:p>
<w:p>
<w:pPr><w:pStyle w:val="Normal"/></w:pPr>
<w:r><w:t xml:space="preserve">the power was transferred to the king&apos;s plenipotentiary and</w:t></w:r>
</w:p>
<w:p>
<w:pPr><w:pStyle w:val="Normal"/></w:pPr>
<w:r><w:t xml:space="preserve">adviser, Canovas del Castillo.  In the course of a few days</w:t></w:r>
</w:p>
<w:p>
<w:pPr><w:pStyle w:val="Normal"/></w:pPr>
<w:r><w:t xml:space="preserve">the king arrived at Madrid, passing through Barcelona and</w:t></w:r>
</w:p>
<w:p>
<w:pPr><w:pStyle w:val="Normal"/></w:pPr>
<w:r><w:t xml:space="preserve">Valencia, and was received everywhere with acclamation</w:t></w:r>
</w:p>
<w:p>
<w:pPr><w:pStyle w:val="Normal"/></w:pPr>
<w:r><w:t xml:space="preserve">(1875).  In 1876 a vigorous campaign against the Carlists, in</w:t></w:r>
</w:p>
<w:p>
<w:pPr><w:pStyle w:val="Normal"/></w:pPr>
<w:r><w:t xml:space="preserve">which the young king took part, resulted in the defeat of Don</w:t></w:r>
</w:p>
<w:p>
<w:pPr><w:pStyle w:val="Normal"/></w:pPr>
<w:r><w:t xml:space="preserve">Carlos and his abandonment of the struggle.  Early in 1878</w:t></w:r>
</w:p>
<w:p>
<w:pPr><w:pStyle w:val="Normal"/></w:pPr>
<w:r><w:t xml:space="preserve">Alphonso married his cousin, Princess Maria de las Mercedes,</w:t></w:r>
</w:p>
<w:p>
<w:pPr><w:pStyle w:val="Normal"/></w:pPr>
<w:r><w:t xml:space="preserve">daughter of the duc de Montpensier, but she died within six</w:t></w:r>
</w:p>
<w:p>
<w:pPr><w:pStyle w:val="Normal"/></w:pPr>
<w:r><w:t xml:space="preserve">months of her marriage.  Towards the end of the same year a</w:t></w:r>
</w:p>
<w:p>
<w:pPr><w:pStyle w:val="Normal"/></w:pPr>
<w:r><w:t xml:space="preserve">young workman of Tarragona, Oliva Marcousi, fired at the king in</w:t></w:r>
</w:p>
<w:p>
<w:pPr><w:pStyle w:val="Normal"/></w:pPr>
<w:r><w:t xml:space="preserve">Madrid.  On the 29th of November 1879 he married a princess of</w:t></w:r>
</w:p>
<w:p>
<w:pPr><w:pStyle w:val="Normal"/></w:pPr>
<w:r><w:t xml:space="preserve">Austria, Maria Christina, daughter of the Archduke Charles</w:t></w:r>
</w:p>
<w:p>
<w:pPr><w:pStyle w:val="Normal"/></w:pPr>
<w:r><w:t xml:space="preserve">Ferdinand.  During the honeymoon a pastrycook named Otero</w:t></w:r>
</w:p>
<w:p>
<w:pPr><w:pStyle w:val="Normal"/></w:pPr>
<w:r><w:t xml:space="preserve">fired at the young sovereigns as they were driving in</w:t></w:r>
</w:p>
<w:p>
<w:pPr><w:pStyle w:val="Normal"/></w:pPr>
<w:r><w:t xml:space="preserve">Madrid.  The children of this marriage were Maria de las</w:t></w:r>
</w:p>
<w:p>
<w:pPr><w:pStyle w:val="Normal"/></w:pPr>
<w:r><w:t xml:space="preserve">Mercedes, titular queen from the death of her father until</w:t></w:r>
</w:p>
<w:p>
<w:pPr><w:pStyle w:val="Normal"/></w:pPr>
<w:r><w:t xml:space="preserve">the birth of her brother, born on the 11th of September 1880,</w:t></w:r>
</w:p>
<w:p>
<w:pPr><w:pStyle w:val="Normal"/></w:pPr>
<w:r><w:t xml:space="preserve">married on the 14th of February 1901 to Prince Carlos of</w:t></w:r>
</w:p>
<w:p>
<w:pPr><w:pStyle w:val="Normal"/></w:pPr>
<w:r><w:t xml:space="preserve">Bourbon, died on the 17th of October 1904; Maria Teresa, born</w:t></w:r>
</w:p>
<w:p>
<w:pPr><w:pStyle w:val="Normal"/></w:pPr>
<w:r><w:t xml:space="preserve">on the 12th of November 1882, married to Prince Ferdinand</w:t></w:r>
</w:p>
<w:p>
<w:pPr><w:pStyle w:val="Normal"/></w:pPr>
<w:r><w:t xml:space="preserve">of Bavaria on the 12th of January 1906; and Alphonso (see</w:t></w:r>
</w:p>
<w:p>
<w:pPr><w:pStyle w:val="Normal"/></w:pPr>
<w:r><w:t xml:space="preserve">below).  In 1881 the king refused to sanction the law by which the</w:t></w:r>
</w:p>
<w:p>
<w:pPr><w:pStyle w:val="Normal"/></w:pPr>
<w:r><w:t xml:space="preserve">ministers were to remain in office for a fixed term of eighteen</w:t></w:r>
</w:p>
<w:p>
<w:pPr><w:pStyle w:val="Normal"/></w:pPr>
<w:r><w:t xml:space="preserve">months, and upon the consequent resignation of Canovas del</w:t></w:r>
</w:p>
<w:p>
<w:pPr><w:pStyle w:val="Normal"/></w:pPr>
<w:r><w:t xml:space="preserve">Castillo, he summoned Sagasta, the Liberal leader, to form a</w:t></w:r>
</w:p>
<w:p>
<w:pPr><w:pStyle w:val="Normal"/></w:pPr>
<w:r><w:t xml:space="preserve">cabinet.  Alphonso died of phthisis on the 24th of November</w:t></w:r>
</w:p>
<w:p>
<w:pPr><w:pStyle w:val="Normal"/></w:pPr>
<w:r><w:t xml:space="preserve">1885.  Coming to the throne at such an early age, he had served</w:t></w:r>
</w:p>
<w:p>
<w:pPr><w:pStyle w:val="Normal"/></w:pPr>
<w:r><w:t xml:space="preserve">no apprenticeship in the art of ruling, but he possessed great</w:t></w:r>
</w:p>
<w:p>
<w:pPr><w:pStyle w:val="Normal"/></w:pPr>
<w:r><w:t xml:space="preserve">natural tact and a sound judgment ripened by the trials of</w:t></w:r>
</w:p>
<w:p>
<w:pPr><w:pStyle w:val="Normal"/></w:pPr>
<w:r><w:t xml:space="preserve">exile.  Benevolent and sympathetic in disposition, he won the</w:t></w:r>
</w:p>
<w:p>
<w:pPr><w:pStyle w:val="Normal"/></w:pPr>
<w:r><w:t xml:space="preserve">affection of his people by fearlessly visiting the districts</w:t></w:r>
</w:p>
<w:p>
<w:pPr><w:pStyle w:val="Normal"/></w:pPr>
<w:r><w:t xml:space="preserve">ravaged by cholera or devastated by earthquake in 1885.  His</w:t></w:r>
</w:p>
<w:p>
<w:pPr><w:pStyle w:val="Normal"/></w:pPr>
<w:r><w:t xml:space="preserve">capacity for dealing with men was considerable, and he never</w:t></w:r>
</w:p>
<w:p>
<w:pPr><w:pStyle w:val="Normal"/></w:pPr>
<w:r><w:t xml:space="preserve">allowed himself to become the instrument of any particular</w:t></w:r>
</w:p>
<w:p>
<w:pPr><w:pStyle w:val="Normal"/></w:pPr>
<w:r><w:t xml:space="preserve">party.  In his short reign, peace was established both at</w:t></w:r>
</w:p>
<w:p>
<w:pPr><w:pStyle w:val="Normal"/></w:pPr>
<w:r><w:t xml:space="preserve">home and abroad, the finances were well regulated, and the</w:t></w:r>
</w:p>
<w:p>
<w:pPr><w:pStyle w:val="Normal"/></w:pPr>
<w:r><w:t xml:space="preserve">various administrative services were placed on a basis that</w:t></w:r>
</w:p>
<w:p>
<w:pPr><w:pStyle w:val="Normal"/></w:pPr>
<w:r><w:t xml:space="preserve">afterwards enabled Spain to pass through the disastrous war</w:t></w:r>
</w:p>
<w:p>
<w:pPr><w:pStyle w:val="Normal"/></w:pPr>
<w:r><w:t xml:space="preserve">with the United States without even the threat of a revolution.</w:t></w:r>
</w:p>
<w:p>
<w:pPr><w:pStyle w:val="Normal"/></w:pPr>
<w:r><w:t xml:space="preserve">ALPHONSO XIII. (1886- ), king of Spain, son of Alphonso</w:t></w:r>
</w:p>
<w:p>
<w:pPr><w:pStyle w:val="Normal"/></w:pPr>
<w:r><w:t xml:space="preserve">XII., was born, after his father&apos;s death, on the 17th of May</w:t></w:r>
</w:p>
<w:p>
<w:pPr><w:pStyle w:val="Normal"/></w:pPr>
<w:r><w:t xml:space="preserve">1886.  His mother, Queen Maria Christina, was appointed</w:t></w:r>
</w:p>
<w:p>
<w:pPr><w:pStyle w:val="Normal"/></w:pPr>
<w:r><w:t xml:space="preserve">regent during his minority (see SPAIN: History.) In 1902,</w:t></w:r>
</w:p>
<w:p>
<w:pPr><w:pStyle w:val="Normal"/></w:pPr>
<w:r><w:t xml:space="preserve">on attaining his 16th year, the king assumed control of the</w:t></w:r>
</w:p>
<w:p>
<w:pPr><w:pStyle w:val="Normal"/></w:pPr>
<w:r><w:t xml:space="preserve">government.  On the 31st of May 1906 he married Princess</w:t></w:r>
</w:p>
<w:p>
<w:pPr><w:pStyle w:val="Normal"/></w:pPr>
<w:r><w:t xml:space="preserve">Victoria Eugenie Julia Ena Maria Christina of Battenberg,</w:t></w:r>
</w:p>
<w:p>
<w:pPr><w:pStyle w:val="Normal"/></w:pPr>
<w:r><w:t xml:space="preserve">niece of Edward VII. of England.  As the king and queen were</w:t></w:r>
</w:p>
<w:p>
<w:pPr><w:pStyle w:val="Normal"/></w:pPr>
<w:r><w:t xml:space="preserve">returning from the wedding they narrowly escaped assassination</w:t></w:r>
</w:p>
<w:p>
<w:pPr><w:pStyle w:val="Normal"/></w:pPr>
<w:r><w:t xml:space="preserve">in a bomb explosion, which killed and injured many bystanders</w:t></w:r>
</w:p>
<w:p>
<w:pPr><w:pStyle w:val="Normal"/></w:pPr>
<w:r><w:t xml:space="preserve">and members of the royal procession.  An heir to the throne was</w:t></w:r>
</w:p>
<w:p>
<w:pPr><w:pStyle w:val="Normal"/></w:pPr>
<w:r><w:t xml:space="preserve">born on the 10th of May 1907, and received the name of Alphonso.</w:t></w:r>
</w:p>
<w:p>
<w:pPr><w:pStyle w:val="Normal"/></w:pPr>
<w:r><w:t xml:space="preserve">AUTHORITIES--The lives of all the early kings of Spain</w:t></w:r>
</w:p>
<w:p>
<w:pPr><w:pStyle w:val="Normal"/></w:pPr>
<w:r><w:t xml:space="preserve">will be found in the general histories (see the article</w:t></w:r>
</w:p>
<w:p>
<w:pPr><w:pStyle w:val="Normal"/></w:pPr>
<w:r><w:t xml:space="preserve">SPAIN: Authorities), of which the most trustworthy is</w:t></w:r>
</w:p>
<w:p>
<w:pPr><w:pStyle w:val="Normal"/></w:pPr>
<w:r><w:t xml:space="preserve">the Anales de la Corona de Aragon, by Geronimo Zurita</w:t></w:r>
</w:p>
<w:p>
<w:pPr><w:pStyle w:val="Normal"/></w:pPr>
<w:r><w:t xml:space="preserve">(Saragossa, 1610).  See also the Chronicles of the Kings</w:t></w:r>
</w:p>
<w:p>
<w:pPr><w:pStyle w:val="Normal"/></w:pPr>
<w:r><w:t xml:space="preserve">of Castile in the Biblioteca de Autores Espanoles de</w:t></w:r>
</w:p>
<w:p>
<w:pPr><w:pStyle w:val="Normal"/></w:pPr>
<w:r><w:t xml:space="preserve">Riva deneyra Madrid, 1846-1880, vols. 66, 68, 70).</w:t></w:r>
</w:p>
<w:p>
<w:pPr><w:pStyle w:val="Normal"/></w:pPr>
<w:r><w:t xml:space="preserve">(D.H.)</w:t></w:r>
</w:p>
<w:p>
<w:pPr><w:pStyle w:val="Normal"/></w:pPr>
<w:r><w:t xml:space="preserve">ALPHONSUS A SANCTA MARIA, or ALPHONSO DE CARTAGENA</w:t></w:r>
</w:p>
<w:p>
<w:pPr><w:pStyle w:val="Normal"/></w:pPr>
<w:r><w:t xml:space="preserve">(1396-1456), Spanish historian, was born at Carthagena, and</w:t></w:r>
</w:p>
<w:p>
<w:pPr><w:pStyle w:val="Normal"/></w:pPr>
<w:r><w:t xml:space="preserve">succeeded his father, Paulus, as bishop of Burgos.  In 1431</w:t></w:r>
</w:p>
<w:p>
<w:pPr><w:pStyle w:val="Normal"/></w:pPr>
<w:r><w:t xml:space="preserve">he was deputed by John II., king of Castile, to attend the</w:t></w:r>
</w:p>
<w:p>
<w:pPr><w:pStyle w:val="Normal"/></w:pPr>
<w:r><w:t xml:space="preserve">council of Basel, in which he made himself conspicuous by his</w:t></w:r>
</w:p>
<w:p>
<w:pPr><w:pStyle w:val="Normal"/></w:pPr>
<w:r><w:t xml:space="preserve">learning.  He was the author of several works, the principal</w:t></w:r>
</w:p>
<w:p>
<w:pPr><w:pStyle w:val="Normal"/></w:pPr>
<w:r><w:t xml:space="preserve">of which is entitled Rerum Hispanorum Romanorum imperatorum,</w:t></w:r>
</w:p>
<w:p>
<w:pPr><w:pStyle w:val="Normal"/></w:pPr>
<w:r><w:t xml:space="preserve">summorum pontificum, nec non regum Francorum anacephaleosis.</w:t></w:r>
</w:p>
<w:p>
<w:pPr><w:pStyle w:val="Normal"/></w:pPr>
<w:r><w:t xml:space="preserve">This is a history of Spain from the earliest times down</w:t></w:r>
</w:p>
<w:p>
<w:pPr><w:pStyle w:val="Normal"/></w:pPr>
<w:r><w:t xml:space="preserve">to 1456, and was printed at Granada in 1545, and also in</w:t></w:r>
</w:p>
<w:p>
<w:pPr><w:pStyle w:val="Normal"/></w:pPr>
<w:r><w:t xml:space="preserve">the Rerum Hispanicarum Scriptores aliquot, by R. Bel</w:t></w:r>
</w:p>
<w:p>
<w:pPr><w:pStyle w:val="Normal"/></w:pPr>
<w:r><w:t xml:space="preserve">(Frankfort, 1579).  Alphonsus died on the 12th of July 1456.</w:t></w:r>
</w:p>
<w:p>
<w:pPr><w:pStyle w:val="Normal"/></w:pPr>
<w:r><w:t xml:space="preserve">ALPINI, PROSPERO (PROSPER ALPINUS), 1553-1617, Italian</w:t></w:r>
</w:p>
<w:p>
<w:pPr><w:pStyle w:val="Normal"/></w:pPr>
<w:r><w:t xml:space="preserve">physician and botanist, was born at Marostica, in the republic</w:t></w:r>
</w:p>
<w:p>
<w:pPr><w:pStyle w:val="Normal"/></w:pPr>
<w:r><w:t xml:space="preserve">of Venice, on the 23rd of November 1553.  In his youth he</w:t></w:r>
</w:p>
<w:p>
<w:pPr><w:pStyle w:val="Normal"/></w:pPr>
<w:r><w:t xml:space="preserve">served for a time in the Milanese army, but in 1574 he went to</w:t></w:r>
</w:p>
<w:p>
<w:pPr><w:pStyle w:val="Normal"/></w:pPr>
<w:r><w:t xml:space="preserve">study medicine at Padua.  After taking his doctor&apos;s degree in</w:t></w:r>
</w:p>
<w:p>
<w:pPr><w:pStyle w:val="Normal"/></w:pPr>
<w:r><w:t xml:space="preserve">1578, he settled as a physician in Campo San Pietro, a small</w:t></w:r>
</w:p>
<w:p>
<w:pPr><w:pStyle w:val="Normal"/></w:pPr>
<w:r><w:t xml:space="preserve">town in the Paduan territory.  But his tastes were botanical,</w:t></w:r>
</w:p>
<w:p>
<w:pPr><w:pStyle w:val="Normal"/></w:pPr>
<w:r><w:t xml:space="preserve">and to extend his knowledge of exotic plants he travelled to</w:t></w:r>
</w:p>
<w:p>
<w:pPr><w:pStyle w:val="Normal"/></w:pPr>
<w:r><w:t xml:space="preserve">Egypt in 1580 as physician to George Emo or Hemi, the Venetian</w:t></w:r>
</w:p>
<w:p>
<w:pPr><w:pStyle w:val="Normal"/></w:pPr>
<w:r><w:t xml:space="preserve">consul in Cairo.  In Egypt he spent three years, and from a</w:t></w:r>
</w:p>
<w:p>
<w:pPr><w:pStyle w:val="Normal"/></w:pPr>
<w:r><w:t xml:space="preserve">practice in the management of date-trees, which he observed</w:t></w:r>
</w:p>
<w:p>
<w:pPr><w:pStyle w:val="Normal"/></w:pPr>
<w:r><w:t xml:space="preserve">in that country, he seems to have deduced the doctrine of</w:t></w:r>
</w:p>
<w:p>
<w:pPr><w:pStyle w:val="Normal"/></w:pPr>
<w:r><w:t xml:space="preserve">the sexual difference of plants, which was adopted as the</w:t></w:r>
</w:p>
<w:p>
<w:pPr><w:pStyle w:val="Normal"/></w:pPr>
<w:r><w:t xml:space="preserve">foundation of the Linnaean system.  He says that ``the female</w:t></w:r>
</w:p>
<w:p>
<w:pPr><w:pStyle w:val="Normal"/></w:pPr>
<w:r><w:t xml:space="preserve">date-trees or palms do not bear fruit unless the branches</w:t></w:r>
</w:p>
<w:p>
<w:pPr><w:pStyle w:val="Normal"/></w:pPr>
<w:r><w:t xml:space="preserve">of the male and female plants are mixed together; or, as is</w:t></w:r>
</w:p>
<w:p>
<w:pPr><w:pStyle w:val="Normal"/></w:pPr>
<w:r><w:t xml:space="preserve">generally done, unless the dust found in the male sheath or</w:t></w:r>
</w:p>
<w:p>
<w:pPr><w:pStyle w:val="Normal"/></w:pPr>
<w:r><w:t xml:space="preserve">male flowers is sprinkled over the female flowers.&apos;&apos; On his</w:t></w:r>
</w:p>
<w:p>
<w:pPr><w:pStyle w:val="Normal"/></w:pPr>
<w:r><w:t xml:space="preserve">return, he resided for some time at Genoa as physician to Andrea</w:t></w:r>
</w:p>
<w:p>
<w:pPr><w:pStyle w:val="Normal"/></w:pPr>
<w:r><w:t xml:space="preserve">Doria, and in 1593 he was appointed professor of botany at</w:t></w:r>
</w:p>
<w:p>
<w:pPr><w:pStyle w:val="Normal"/></w:pPr>
<w:r><w:t xml:space="preserve">Padua, where he died on the 6th of February 1617.  He was</w:t></w:r>
</w:p>
<w:p>
<w:pPr><w:pStyle w:val="Normal"/></w:pPr>
<w:r><w:t xml:space="preserve">succeeded in the botanical chair by his son Alpino Alpini (d.</w:t></w:r>
</w:p>
<w:p>
<w:pPr><w:pStyle w:val="Normal"/></w:pPr>
<w:r><w:t xml:space="preserve">1637).  His best-known work is De Plantis Aegypti liber</w:t></w:r>
</w:p>
<w:p>
<w:pPr><w:pStyle w:val="Normal"/></w:pPr>
<w:r><w:t xml:space="preserve">(Venice, 1592).  His De Medicina Egyptiorum (Venice,</w:t></w:r>
</w:p>
<w:p>
<w:pPr><w:pStyle w:val="Normal"/></w:pPr>
<w:r><w:t xml:space="preserve">1591) is said to contain the first account of the coffee</w:t></w:r>
</w:p>
<w:p>
<w:pPr><w:pStyle w:val="Normal"/></w:pPr>
<w:r><w:t xml:space="preserve">plant published in Europe.  The genus Alpinia, belonging</w:t></w:r>
</w:p>
<w:p>
<w:pPr><w:pStyle w:val="Normal"/></w:pPr>
<w:r><w:t xml:space="preserve">to the order Zingiberaceae, was named after him by Linnaeus.</w:t></w:r>
</w:p>
<w:p>
<w:pPr><w:pStyle w:val="Normal"/></w:pPr>
<w:r><w:t xml:space="preserve">ALPS, the collective name for one of the great mountain systems of Europe.</w:t></w:r>
</w:p>
<w:p>
<w:pPr><w:pStyle w:val="Normal"/></w:pPr>
<w:r><w:t xml:space="preserve">1. Position and Name.---The continent of Europe is no more</w:t></w:r>
</w:p>
<w:p>
<w:pPr><w:pStyle w:val="Normal"/></w:pPr>
<w:r><w:t xml:space="preserve">than a great poninsula extending westwards from the much vaster</w:t></w:r>
</w:p>
<w:p>
<w:pPr><w:pStyle w:val="Normal"/></w:pPr>
<w:r><w:t xml:space="preserve">continent of Asia, while it is itself broken up by two inland</w:t></w:r>
</w:p>
<w:p>
<w:pPr><w:pStyle w:val="Normal"/></w:pPr>
<w:r><w:t xml:space="preserve">seas into several smaher peninsulas--the Mediterranean forming</w:t></w:r>
</w:p>
<w:p>
<w:pPr><w:pStyle w:val="Normal"/></w:pPr>
<w:r><w:t xml:space="preserve">the Iberian, the Italian and the Greek peninsulas, while the</w:t></w:r>
</w:p>
<w:p>
<w:pPr><w:pStyle w:val="Normal"/></w:pPr>
<w:r><w:t xml:space="preserve">Baltic forms that of Scandinavia and the much smaller one of</w:t></w:r>
</w:p>
<w:p>
<w:pPr><w:pStyle w:val="Normal"/></w:pPr>
<w:r><w:t xml:space="preserve">Denmark.  Save the last-named, all these peninsulas of Europe</w:t></w:r>
</w:p>
<w:p>
<w:pPr><w:pStyle w:val="Normal"/></w:pPr>
<w:r><w:t xml:space="preserve">are essentially mountain ranges.  But in height and importance</w:t></w:r>
</w:p>
<w:p>
<w:pPr><w:pStyle w:val="Normal"/></w:pPr>
<w:r><w:t xml:space="preserve">the ranges that rise therein are much surpassed by a great</w:t></w:r>
</w:p>
<w:p>
<w:pPr><w:pStyle w:val="Normal"/></w:pPr>
<w:r><w:t xml:space="preserve">mountain-chain, stretching from south-eastern France to the</w:t></w:r>
</w:p>
<w:p>
<w:pPr><w:pStyle w:val="Normal"/></w:pPr>
<w:r><w:t xml:space="preserve">borders of Hungary, as well as between the plains of northern</w:t></w:r>
</w:p>
<w:p>
<w:pPr><w:pStyle w:val="Normal"/></w:pPr>
<w:r><w:t xml:space="preserve">Italy and of southern Germany.  This chain is collectively</w:t></w:r>
</w:p>
<w:p>
<w:pPr><w:pStyle w:val="Normal"/></w:pPr>
<w:r><w:t xml:space="preserve">known as the Alps, and is the most important physical feature</w:t></w:r>
</w:p>
<w:p>
<w:pPr><w:pStyle w:val="Normal"/></w:pPr>
<w:r><w:t xml:space="preserve">of the European continent.  The Alps, however, do not present</w:t></w:r>
</w:p>
<w:p>
<w:pPr><w:pStyle w:val="Normal"/></w:pPr>
<w:r><w:t xml:space="preserve">so continuous a barrier as the Himalayas, the Andes or even the</w:t></w:r>
</w:p>
<w:p>
<w:pPr><w:pStyle w:val="Normal"/></w:pPr>
<w:r><w:t xml:space="preserve">Pyrenees.  They are formed of numerous ranges, divided by</w:t></w:r>
</w:p>
<w:p>
<w:pPr><w:pStyle w:val="Normal"/></w:pPr>
<w:r><w:t xml:space="preserve">comparatively deep valleys, which, with many local exceptions,</w:t></w:r>
</w:p>
<w:p>
<w:pPr><w:pStyle w:val="Normal"/></w:pPr>
<w:r><w:t xml:space="preserve">tend towards parallelism with the general direction of the</w:t></w:r>
</w:p>
<w:p>
<w:pPr><w:pStyle w:val="Normal"/></w:pPr>
<w:r><w:t xml:space="preserve">whole mass.  This, between the Dauphine and the borders of</w:t></w:r>
</w:p>
<w:p>
<w:pPr><w:pStyle w:val="Normal"/></w:pPr>
<w:r><w:t xml:space="preserve">Hungary, forms a broad band convex towards the north, while</w:t></w:r>
</w:p>
<w:p>
<w:pPr><w:pStyle w:val="Normal"/></w:pPr>
<w:r><w:t xml:space="preserve">most of the valleys lie between the directions west to east and</w:t></w:r>
</w:p>
<w:p>
<w:pPr><w:pStyle w:val="Normal"/></w:pPr>
<w:r><w:t xml:space="preserve">south-west to north-east.  But in many parts deep transverse</w:t></w:r>
</w:p>
<w:p>
<w:pPr><w:pStyle w:val="Normal"/></w:pPr>
<w:r><w:t xml:space="preserve">valleys intersect the prevailing direction of the ridges, and</w:t></w:r>
</w:p>
<w:p>
<w:pPr><w:pStyle w:val="Normal"/></w:pPr>
<w:r><w:t xml:space="preserve">facilitate the passage of man, plants and animals, as well</w:t></w:r>
</w:p>
<w:p>
<w:pPr><w:pStyle w:val="Normal"/></w:pPr>
<w:r><w:t xml:space="preserve">as of currents of air which mitigate the contrast that would</w:t></w:r>
</w:p>
<w:p>
<w:pPr><w:pStyle w:val="Normal"/></w:pPr>
<w:r><w:t xml:space="preserve">otherwise be found between the climates of the opposite slopes.</w:t></w:r>
</w:p>
<w:p>
<w:pPr><w:pStyle w:val="Normal"/></w:pPr>
<w:r><w:t xml:space="preserve">The derivation of the name Alps is still very uncertain, some</w:t></w:r>
</w:p>
<w:p>
<w:pPr><w:pStyle w:val="Normal"/></w:pPr>
<w:r><w:t xml:space="preserve">writers connecting it with a Celtic root alb, said to mean</w:t></w:r>
</w:p>
<w:p>
<w:pPr><w:pStyle w:val="Normal"/></w:pPr>
<w:r><w:t xml:space="preserve">height, while others suggest the Latin adjective albus (white),</w:t></w:r>
</w:p>
<w:p>
<w:pPr><w:pStyle w:val="Normal"/></w:pPr>
<w:r><w:t xml:space="preserve">referring to the colour of the snowy peaks.  But in all parts of</w:t></w:r>
</w:p>
<w:p>
<w:pPr><w:pStyle w:val="Normal"/></w:pPr>
<w:r><w:t xml:space="preserve">the great chain itself, the term Alp (or Alm in the Eastern</w:t></w:r>
</w:p>
<w:p>
<w:pPr><w:pStyle w:val="Normal"/></w:pPr>
<w:r><w:t xml:space="preserve">Alps) is exclusively applied to the high mountain pastures</w:t></w:r>
</w:p>
<w:p>
<w:pPr><w:pStyle w:val="Normal"/></w:pPr>
<w:r><w:t xml:space="preserve">(see ALP), and not to the peaks and ridges of the chain.</w:t></w:r>
</w:p>
<w:p>
<w:pPr><w:pStyle w:val="Normal"/></w:pPr>
<w:r><w:t xml:space="preserve">2. Limits.---These will depend on the meaning we attach to the</w:t></w:r>
</w:p>
<w:p>
<w:pPr><w:pStyle w:val="Normal"/></w:pPr>
<w:r><w:t xml:space="preserve">word Alps as referring to the great mountain-chain of central</w:t></w:r>
</w:p>
<w:p>
<w:pPr><w:pStyle w:val="Normal"/></w:pPr>
<w:r><w:t xml:space="preserve">Europe.  If we merely desire to distinguish it from certain</w:t></w:r>
</w:p>
<w:p>
<w:pPr><w:pStyle w:val="Normal"/></w:pPr>
<w:r><w:t xml:space="preserve">minor ranges (e.g. the Cevenues, the Jura, the hills of</w:t></w:r>
</w:p>
<w:p>
<w:pPr><w:pStyle w:val="Normal"/></w:pPr>
<w:r><w:t xml:space="preserve">central Germany, the Carpathians, the Apennines), which are</w:t></w:r>
</w:p>
<w:p>
<w:pPr><w:pStyle w:val="Normal"/></w:pPr>
<w:r><w:t xml:space="preserve">really independent ranges rather than offshoots of the main</w:t></w:r>
</w:p>
<w:p>
<w:pPr><w:pStyle w:val="Normal"/></w:pPr>
<w:r><w:t xml:space="preserve">chain, the best limits are on the west (strictly speaking</w:t></w:r>
</w:p>
<w:p>
<w:pPr><w:pStyle w:val="Normal"/></w:pPr>
<w:r><w:t xml:space="preserve">south), the Col d&apos;Altare or di Cadibona (1624 ft.), leading</w:t></w:r>
</w:p>
<w:p>
<w:pPr><w:pStyle w:val="Normal"/></w:pPr>
<w:r><w:t xml:space="preserve">from Turin to Savona and Genoa, and on the east the line</w:t></w:r>
</w:p>
<w:p>
<w:pPr><w:pStyle w:val="Normal"/></w:pPr>
<w:r><w:t xml:space="preserve">of the railway over the Semmering Pass (3215 ft.) from</w:t></w:r>
</w:p>
<w:p>
<w:pPr><w:pStyle w:val="Normal"/></w:pPr>
<w:r><w:t xml:space="preserve">Vienna to Marburg in the Mul valley, and on by Laibach to</w:t></w:r>
</w:p>
<w:p>
<w:pPr><w:pStyle w:val="Normal"/></w:pPr>
<w:r><w:t xml:space="preserve">Trieste.  But if we confine the meaning of the term Alps to</w:t></w:r>
</w:p>
<w:p>
<w:pPr><w:pStyle w:val="Normal"/></w:pPr>
<w:r><w:t xml:space="preserve">those parts of the chain that are what is commonly called</w:t></w:r>
</w:p>
<w:p>
<w:pPr><w:pStyle w:val="Normal"/></w:pPr>
<w:r><w:t xml:space="preserve">``Alpine,&apos;, where the height is sufficient to support a</w:t></w:r>
</w:p>
<w:p>
<w:pPr><w:pStyle w:val="Normal"/></w:pPr>
<w:r><w:t xml:space="preserve">considerable mass of perpetual snow, our boundaries to the</w:t></w:r>
</w:p>
<w:p>
<w:pPr><w:pStyle w:val="Normal"/></w:pPr>
<w:r><w:t xml:space="preserve">west and to the east must be placed at spots other than</w:t></w:r>
</w:p>
<w:p>
<w:pPr><w:pStyle w:val="Normal"/></w:pPr>
<w:r><w:t xml:space="preserve">those mentioned above.  To the west the limit will then be</w:t></w:r>
</w:p>
<w:p>
<w:pPr><w:pStyle w:val="Normal"/></w:pPr>
<w:r><w:t xml:space="preserve">the Col de Tenda (6145 ft.), leading from Cuneo (Coni) to</w:t></w:r>
</w:p>
<w:p>
<w:pPr><w:pStyle w:val="Normal"/></w:pPr>
<w:r><w:t xml:space="preserve">Ventimigha, while on the east our line will be the route over</w:t></w:r>
</w:p>
<w:p>
<w:pPr><w:pStyle w:val="Normal"/></w:pPr>
<w:r><w:t xml:space="preserve">the Radstadter Tauern (5702 ft.) and the Katschberg (5384</w:t></w:r>
</w:p>
<w:p>
<w:pPr><w:pStyle w:val="Normal"/></w:pPr>
<w:r><w:t xml:space="preserve">ft.) from Salzburg to Villach in Carinthia, and thence by</w:t></w:r>
</w:p>
<w:p>
<w:pPr><w:pStyle w:val="Normal"/></w:pPr>
<w:r><w:t xml:space="preserve">Klagenfurt to Marburg and so past Laibach in Carniola on to</w:t></w:r>
</w:p>
<w:p>
<w:pPr><w:pStyle w:val="Normal"/></w:pPr>
<w:r><w:t xml:space="preserve">Trieste; from Villach the direct route to Trieste would be</w:t></w:r>
</w:p>
<w:p>
<w:pPr><w:pStyle w:val="Normal"/></w:pPr>
<w:r><w:t xml:space="preserve">over the Predil Pass (3813 ft.) or the Pontebba or Saifnitz</w:t></w:r>
</w:p>
<w:p>
<w:pPr><w:pStyle w:val="Normal"/></w:pPr>
<w:r><w:t xml:space="preserve">Pass (2615 ft.), more to the west, but in either case this</w:t></w:r>
</w:p>
<w:p>
<w:pPr><w:pStyle w:val="Normal"/></w:pPr>
<w:r><w:t xml:space="preserve">would exclude the Terglou (9400 ft.), the highest summit of</w:t></w:r>
</w:p>
<w:p>
<w:pPr><w:pStyle w:val="Normal"/></w:pPr>
<w:r><w:t xml:space="preserve">the entire South-Eastern Alps, as well as its lower neighbours.</w:t></w:r>
</w:p>
<w:p>
<w:pPr><w:pStyle w:val="Normal"/></w:pPr>
<w:r><w:t xml:space="preserve">On the northern side the Alps (in whichever sense we take</w:t></w:r>
</w:p>
<w:p>
<w:pPr><w:pStyle w:val="Normal"/></w:pPr>
<w:r><w:t xml:space="preserve">this term) are definitely bounded by the course of the</w:t></w:r>
</w:p>
<w:p>
<w:pPr><w:pStyle w:val="Normal"/></w:pPr>
<w:r><w:t xml:space="preserve">Rhine from Basel to the Lake of Constance, the plain of</w:t></w:r>
</w:p>
<w:p>
<w:pPr><w:pStyle w:val="Normal"/></w:pPr>
<w:r><w:t xml:space="preserve">Bavaria, and the low region of foot-hills that extend from</w:t></w:r>
</w:p>
<w:p>
<w:pPr><w:pStyle w:val="Normal"/></w:pPr>
<w:r><w:t xml:space="preserve">Salzburg to the neighbourhood of Vienna.  One result of this</w:t></w:r>
</w:p>
<w:p>
<w:pPr><w:pStyle w:val="Normal"/></w:pPr>
<w:r><w:t xml:space="preserve">limit, marked out by Nature herself, is that the waters</w:t></w:r>
</w:p>
<w:p>
<w:pPr><w:pStyle w:val="Normal"/></w:pPr>
<w:r><w:t xml:space="preserve">which flow down the northern slope of the Alps find their</w:t></w:r>
</w:p>
<w:p>
<w:pPr><w:pStyle w:val="Normal"/></w:pPr>
<w:r><w:t xml:space="preserve">way either into the North Sea through the Rhine, or into the</w:t></w:r>
</w:p>
<w:p>
<w:pPr><w:pStyle w:val="Normal"/></w:pPr>
<w:r><w:t xml:space="preserve">Black Sea by means of the Danube, not a 1lrop reaching the</w:t></w:r>
</w:p>
<w:p>
<w:pPr><w:pStyle w:val="Normal"/></w:pPr>
<w:r><w:t xml:space="preserve">Baltic Sea. On the southern side the mountains extending from</w:t></w:r>
</w:p>
<w:p>
<w:pPr><w:pStyle w:val="Normal"/></w:pPr>
<w:r><w:t xml:space="preserve">near Turin to near Trieste subside into the great plain of</w:t></w:r>
</w:p>
<w:p>
<w:pPr><w:pStyle w:val="Normal"/></w:pPr>
<w:r><w:t xml:space="preserve">Piedmont, Lombardy and Venetia.  But what properly forms the</w:t></w:r>
</w:p>
<w:p>
<w:pPr><w:pStyle w:val="Normal"/></w:pPr>
<w:r><w:t xml:space="preserve">western bit of the Alps runs, from near Turin to the Col de</w:t></w:r>
</w:p>
<w:p>
<w:pPr><w:pStyle w:val="Normal"/></w:pPr>
<w:r><w:t xml:space="preserve">Tenda, in a southerly direction, then bending eastwards</w:t></w:r>
</w:p>
<w:p>
<w:pPr><w:pStyle w:val="Normal"/></w:pPr>
<w:r><w:t xml:space="preserve">to the Col d&apos;Altare that divides it from the Apennines.</w:t></w:r>
</w:p>
<w:p>
<w:pPr><w:pStyle w:val="Normal"/></w:pPr>
<w:r><w:t xml:space="preserve">It should be borne in mind that the limits adopted above refer</w:t></w:r>
</w:p>
<w:p>
<w:pPr><w:pStyle w:val="Normal"/></w:pPr>
<w:r><w:t xml:space="preserve">purely to the topographical aspect of the Alps as they exist</w:t></w:r>
</w:p>
<w:p>
<w:pPr><w:pStyle w:val="Normal"/></w:pPr>
<w:r><w:t xml:space="preserve">at the present day.  Naturalists will of course prefer other</w:t></w:r>
</w:p>
<w:p>
<w:pPr><w:pStyle w:val="Normal"/></w:pPr>
<w:r><w:t xml:space="preserve">limits according as they are geologists, botanists or zoologists.</w:t></w:r>
</w:p>
<w:p>
<w:pPr><w:pStyle w:val="Normal"/></w:pPr>
<w:r><w:t xml:space="preserve">3. Climate.---It is well known that as we rise from the</w:t></w:r>
</w:p>
<w:p>
<w:pPr><w:pStyle w:val="Normal"/></w:pPr>
<w:r><w:t xml:space="preserve">sea-level into the upper regions of the atmosphere the</w:t></w:r>
</w:p>
<w:p>
<w:pPr><w:pStyle w:val="Normal"/></w:pPr>
<w:r><w:t xml:space="preserve">temperature decreases.  The effect of mountain-chains on</w:t></w:r>
</w:p>
<w:p>
<w:pPr><w:pStyle w:val="Normal"/></w:pPr>
<w:r><w:t xml:space="preserve">prevailing winds is to carry warm air belonging to the lower</w:t></w:r>
</w:p>
<w:p>
<w:pPr><w:pStyle w:val="Normal"/></w:pPr>
<w:r><w:t xml:space="preserve">region into an upper zone, where it expands in volume at</w:t></w:r>
</w:p>
<w:p>
<w:pPr><w:pStyle w:val="Normal"/></w:pPr>
<w:r><w:t xml:space="preserve">the cost of a proportionate loss of heat, often accompanied</w:t></w:r>
</w:p>
<w:p>
<w:pPr><w:pStyle w:val="Normal"/></w:pPr>
<w:r><w:t xml:space="preserve">by the precipitation of moisture in the form of snow or</w:t></w:r>
</w:p>
<w:p>
<w:pPr><w:pStyle w:val="Normal"/></w:pPr>
<w:r><w:t xml:space="preserve">rain.  The position of the Alps about the centre of the</w:t></w:r>
</w:p>
<w:p>
<w:pPr><w:pStyle w:val="Normal"/></w:pPr>
<w:r><w:t xml:space="preserve">European continent has profoundly modified the climate of all</w:t></w:r>
</w:p>
<w:p>
<w:pPr><w:pStyle w:val="Normal"/></w:pPr>
<w:r><w:t xml:space="preserve">the surrounding regions.  The accumulation of vast masses of</w:t></w:r>
</w:p>
<w:p>
<w:pPr><w:pStyle w:val="Normal"/></w:pPr>
<w:r><w:t xml:space="preserve">snow, which have gradually been converted into permanent</w:t></w:r>
</w:p>
<w:p>
<w:pPr><w:pStyle w:val="Normal"/></w:pPr>
<w:r><w:t xml:space="preserve">glaciers, maintains a gradation of very different climates</w:t></w:r>
</w:p>
<w:p>
<w:pPr><w:pStyle w:val="Normal"/></w:pPr>
<w:r><w:t xml:space="preserve">within the narrow space that intervenes between the foot of</w:t></w:r>
</w:p>
<w:p>
<w:pPr><w:pStyle w:val="Normal"/></w:pPr>
<w:r><w:t xml:space="preserve">the mountains and their upper ridges; it cools the breezes</w:t></w:r>
</w:p>
<w:p>
<w:pPr><w:pStyle w:val="Normal"/></w:pPr>
<w:r><w:t xml:space="preserve">that are wafted to the plains on either side, but its</w:t></w:r>
</w:p>
<w:p>
<w:pPr><w:pStyle w:val="Normal"/></w:pPr>
<w:r><w:t xml:space="preserve">most important function is to regulate the water-supply of</w:t></w:r>
</w:p>
<w:p>
<w:pPr><w:pStyle w:val="Normal"/></w:pPr>
<w:r><w:t xml:space="preserve">thatlarge region which is traversed by the streams of the</w:t></w:r>
</w:p>
<w:p>
<w:pPr><w:pStyle w:val="Normal"/></w:pPr>
<w:r><w:t xml:space="preserve">Alps.  Nearly all the moisture that is precipitated during</w:t></w:r>
</w:p>
<w:p>
<w:pPr><w:pStyle w:val="Normal"/></w:pPr>
<w:r><w:t xml:space="preserve">six or seven months is stoled upin the form of snow, and is</w:t></w:r>
</w:p>
<w:p>
<w:pPr><w:pStyle w:val="Normal"/></w:pPr>
<w:r><w:t xml:space="preserve">gradually diffused in the course of the succeeding summer;</w:t></w:r>
</w:p>
<w:p>
<w:pPr><w:pStyle w:val="Normal"/></w:pPr>
<w:r><w:t xml:space="preserve">even in the hottest and driest seasons the reserves accumulated</w:t></w:r>
</w:p>
<w:p>
<w:pPr><w:pStyle w:val="Normal"/></w:pPr>
<w:r><w:t xml:space="preserve">during a long preceding period of years in the form of glaciers</w:t></w:r>
</w:p>
<w:p>
<w:pPr><w:pStyle w:val="Normal"/></w:pPr>
<w:r><w:t xml:space="preserve">are available to maintain the regular flow of the greater</w:t></w:r>
</w:p>
<w:p>
<w:pPr><w:pStyle w:val="Normal"/></w:pPr>
<w:r><w:t xml:space="preserve">streams.  Nor is this all; the lakes that fill several of the</w:t></w:r>
</w:p>
<w:p>
<w:pPr><w:pStyle w:val="Normal"/></w:pPr>
<w:r><w:t xml:space="preserve">main valleys on the southern side of the Alps are somewhat</w:t></w:r>
</w:p>
<w:p>
<w:pPr><w:pStyle w:val="Normal"/></w:pPr>
<w:r><w:t xml:space="preserve">above the level of the plains of Lombardy and Venetia, and</w:t></w:r>
</w:p>
<w:p>
<w:pPr><w:pStyle w:val="Normal"/></w:pPr>
<w:r><w:t xml:space="preserve">afford an inexhaustible supply of water, which, from a remote</w:t></w:r>
</w:p>
<w:p>
<w:pPr><w:pStyle w:val="Normal"/></w:pPr>
<w:r><w:t xml:space="preserve">period, has been used for that system of irrigation to</w:t></w:r>
</w:p>
<w:p>
<w:pPr><w:pStyle w:val="Normal"/></w:pPr>
<w:r><w:t xml:space="preserve">which they owe their proverbial fertility.  Six regions or</w:t></w:r>
</w:p>
<w:p>
<w:pPr><w:pStyle w:val="Normal"/></w:pPr>
<w:r><w:t xml:space="preserve">zones, which are best distinguished by their characteristic</w:t></w:r>
</w:p>
<w:p>
<w:pPr><w:pStyle w:val="Normal"/></w:pPr>
<w:r><w:t xml:space="preserve">vegetation, are found in the Alps.  It is an error to</w:t></w:r>
</w:p>
<w:p>
<w:pPr><w:pStyle w:val="Normal"/></w:pPr>
<w:r><w:t xml:space="preserve">suppose that these are indicated by absolute height above the</w:t></w:r>
</w:p>
<w:p>
<w:pPr><w:pStyle w:val="Normal"/></w:pPr>
<w:r><w:t xml:space="preserve">sea-level.  Local conditions of exposure to the sun, protection</w:t></w:r>
</w:p>
<w:p>
<w:pPr><w:pStyle w:val="Normal"/></w:pPr>
<w:r><w:t xml:space="preserve">from cold winds, or the reverse, are of primary importance</w:t></w:r>
</w:p>
<w:p>
<w:pPr><w:pStyle w:val="Normal"/></w:pPr>
<w:r><w:t xml:space="preserve">in determinin8 the climate and the corresponding vegetation.</w:t></w:r>
</w:p>
<w:p>
<w:pPr><w:pStyle w:val="Normal"/></w:pPr>
<w:r><w:t xml:space="preserve">Olive region.</w:t></w:r>
</w:p>
<w:p>
<w:pPr><w:pStyle w:val="Normal"/></w:pPr>
<w:r><w:t xml:space="preserve">The great plain of Upper Italy has a winter climate colder than</w:t></w:r>
</w:p>
<w:p>
<w:pPr><w:pStyle w:val="Normal"/></w:pPr>
<w:r><w:t xml:space="preserve">that of the British Islands.  The olive and the characteristic</w:t></w:r>
</w:p>
<w:p>
<w:pPr><w:pStyle w:val="Normal"/></w:pPr>
<w:r><w:t xml:space="preserve">shrubs of the northern coasts of the Mediterranean do not</w:t></w:r>
</w:p>
<w:p>
<w:pPr><w:pStyle w:val="Normal"/></w:pPr>
<w:r><w:t xml:space="preserve">thrive in the open air, but the former valuable tree ripens</w:t></w:r>
</w:p>
<w:p>
<w:pPr><w:pStyle w:val="Normal"/></w:pPr>
<w:r><w:t xml:space="preserve">its fruit in sheltered places at the foot of the mountains, and</w:t></w:r>
</w:p>
<w:p>
<w:pPr><w:pStyle w:val="Normal"/></w:pPr>
<w:r><w:t xml:space="preserve">penetrates along the deeper valleys and the shores of the Italian</w:t></w:r>
</w:p>
<w:p>
<w:pPr><w:pStyle w:val="Normal"/></w:pPr>
<w:r><w:t xml:space="preserve">lakes.  The evergreen oak is wild on the rocks about the Lake</w:t></w:r>
</w:p>
<w:p>
<w:pPr><w:pStyle w:val="Normal"/></w:pPr>
<w:r><w:t xml:space="preserve">of Garda, and lemons are cultivated on a large scale, with</w:t></w:r>
</w:p>
<w:p>
<w:pPr><w:pStyle w:val="Normal"/></w:pPr>
<w:r><w:t xml:space="preserve">partial protection in winter.  The olive has been known to</w:t></w:r>
</w:p>
<w:p>
<w:pPr><w:pStyle w:val="Normal"/></w:pPr>
<w:r><w:t xml:space="preserve">survive severe cold when of short duration, but it cannot be</w:t></w:r>
</w:p>
<w:p>
<w:pPr><w:pStyle w:val="Normal"/></w:pPr>
<w:r><w:t xml:space="preserve">cultivated with success where frosts are prolonged, or where</w:t></w:r>
</w:p>
<w:p>
<w:pPr><w:pStyle w:val="Normal"/></w:pPr>
<w:r><w:t xml:space="preserve">the mean winter temperature falls below 42 deg.  F.; and to produce</w:t></w:r>
</w:p>
<w:p>
<w:pPr><w:pStyle w:val="Normal"/></w:pPr>
<w:r><w:t xml:space="preserve">fruit it requires a heat of at least 75 deg.  F. during the day,</w:t></w:r>
</w:p>
<w:p>
<w:pPr><w:pStyle w:val="Normal"/></w:pPr>
<w:r><w:t xml:space="preserve">continued through four or five months of the summer and autumn.</w:t></w:r>
</w:p>
<w:p>
<w:pPr><w:pStyle w:val="Normal"/></w:pPr>
<w:r><w:t xml:space="preserve">Vine region.</w:t></w:r>
</w:p>
<w:p>
<w:pPr><w:pStyle w:val="Normal"/></w:pPr>
<w:r><w:t xml:space="preserve">The vine is far more tolerant of cold than the olive, but to</w:t></w:r>
</w:p>
<w:p>
<w:pPr><w:pStyle w:val="Normal"/></w:pPr>
<w:r><w:t xml:space="preserve">produce tolerable wine it demands, at the season of ripening, a</w:t></w:r>
</w:p>
<w:p>
<w:pPr><w:pStyle w:val="Normal"/></w:pPr>
<w:r><w:t xml:space="preserve">degree of heat not much less than that needed by the more delicate</w:t></w:r>
</w:p>
<w:p>
<w:pPr><w:pStyle w:val="Normal"/></w:pPr>
<w:r><w:t xml:space="preserve">tree.  These conditions are satisfied in the deeper valleys</w:t></w:r>
</w:p>
<w:p>
<w:pPr><w:pStyle w:val="Normal"/></w:pPr>
<w:r><w:t xml:space="preserve">of the Alps, even in the interior of the chain, and up to a</w:t></w:r>
</w:p>
<w:p>
<w:pPr><w:pStyle w:val="Normal"/></w:pPr>
<w:r><w:t xml:space="preserve">considerable height on slopes exposed to the sun.  The protection</w:t></w:r>
</w:p>
<w:p>
<w:pPr><w:pStyle w:val="Normal"/></w:pPr>
<w:r><w:t xml:space="preserve">afforded by winter snow enables the plant to resist severe</w:t></w:r>
</w:p>
<w:p>
<w:pPr><w:pStyle w:val="Normal"/></w:pPr>
<w:r><w:t xml:space="preserve">and prolonged frosts, such as would be fatal in more exposed</w:t></w:r>
</w:p>
<w:p>
<w:pPr><w:pStyle w:val="Normal"/></w:pPr>
<w:r><w:t xml:space="preserve">situations.  Many wild plants characteristic of the warmer</w:t></w:r>
</w:p>
<w:p>
<w:pPr><w:pStyle w:val="Normal"/></w:pPr>
<w:r><w:t xml:space="preserve">parts of middle Europe are seen to flourish along with the</w:t></w:r>
</w:p>
<w:p>
<w:pPr><w:pStyle w:val="Normal"/></w:pPr>
<w:r><w:t xml:space="preserve">vine.  A mean summer temperature of at least 68 deg.  F. is considered</w:t></w:r>
</w:p>
<w:p>
<w:pPr><w:pStyle w:val="Normal"/></w:pPr>
<w:r><w:t xml:space="preserve">necessary to produce tolerable wine, but in ordinary seasons</w:t></w:r>
</w:p>
<w:p>
<w:pPr><w:pStyle w:val="Normal"/></w:pPr>
<w:r><w:t xml:space="preserve">this is much exceeded in many of the great valleys of the Alps.</w:t></w:r>
</w:p>
<w:p>
<w:pPr><w:pStyle w:val="Normal"/></w:pPr>
<w:r><w:t xml:space="preserve">Mountain region, or region of deciduous trees.</w:t></w:r>
</w:p>
<w:p>
<w:pPr><w:pStyle w:val="Normal"/></w:pPr>
<w:r><w:t xml:space="preserve">Many writers take the growth of grain as the characteristic of</w:t></w:r>
</w:p>
<w:p>
<w:pPr><w:pStyle w:val="Normal"/></w:pPr>
<w:r><w:t xml:space="preserve">the mountain region; but so many varieties of all the common</w:t></w:r>
</w:p>
<w:p>
<w:pPr><w:pStyle w:val="Normal"/></w:pPr>
<w:r><w:t xml:space="preserve">species are in cultivation, and these have such different</w:t></w:r>
</w:p>
<w:p>
<w:pPr><w:pStyle w:val="Normal"/></w:pPr>
<w:r><w:t xml:space="preserve">climatal requirements, that they do not afford a factory</w:t></w:r>
</w:p>
<w:p>
<w:pPr><w:pStyle w:val="Normal"/></w:pPr>
<w:r><w:t xml:space="preserve">criterion.  A more natural limit is afforded by the presence</w:t></w:r>
</w:p>
<w:p>
<w:pPr><w:pStyle w:val="Normal"/></w:pPr>
<w:r><w:t xml:space="preserve">of the chief deciduous trees---oak, beech, ash and sycamore.</w:t></w:r>
</w:p>
<w:p>
<w:pPr><w:pStyle w:val="Normal"/></w:pPr>
<w:r><w:t xml:space="preserve">These do not reach exactly to the same elevation, nor are they</w:t></w:r>
</w:p>
<w:p>
<w:pPr><w:pStyle w:val="Normal"/></w:pPr>
<w:r><w:t xml:space="preserve">often found growing together; but their upper limit corresponds</w:t></w:r>
</w:p>
<w:p>
<w:pPr><w:pStyle w:val="Normal"/></w:pPr>
<w:r><w:t xml:space="preserve">accurately enough to the change from a temperate to a colder</w:t></w:r>
</w:p>
<w:p>
<w:pPr><w:pStyle w:val="Normal"/></w:pPr>
<w:r><w:t xml:space="preserve">climate that is further proved by a change in the wild herbaceous</w:t></w:r>
</w:p>
<w:p>
<w:pPr><w:pStyle w:val="Normal"/></w:pPr>
<w:r><w:t xml:space="preserve">vegetation.  This limit usually lies about 4000 ft. above</w:t></w:r>
</w:p>
<w:p>
<w:pPr><w:pStyle w:val="Normal"/></w:pPr>
<w:r><w:t xml:space="preserve">the sea on the north side of the Alps, but on the southern</w:t></w:r>
</w:p>
<w:p>
<w:pPr><w:pStyle w:val="Normal"/></w:pPr>
<w:r><w:t xml:space="preserve">slopes it often rises to 5000 ft., sometimes even to 5500</w:t></w:r>
</w:p>
<w:p>
<w:pPr><w:pStyle w:val="Normal"/></w:pPr>
<w:r><w:t xml:space="preserve">ft.  It must not be supposed that this region is always</w:t></w:r>
</w:p>
<w:p>
<w:pPr><w:pStyle w:val="Normal"/></w:pPr>
<w:r><w:t xml:space="preserve">marked by the presence of the characteristic trees.  The</w:t></w:r>
</w:p>
<w:p>
<w:pPr><w:pStyle w:val="Normal"/></w:pPr>
<w:r><w:t xml:space="preserve">interference of man has in many districts almost extirpated</w:t></w:r>
</w:p>
<w:p>
<w:pPr><w:pStyle w:val="Normal"/></w:pPr>
<w:r><w:t xml:space="preserve">them, and, excepting the beech forests of the Austrian Alps, a</w:t></w:r>
</w:p>
<w:p>
<w:pPr><w:pStyle w:val="Normal"/></w:pPr>
<w:r><w:t xml:space="preserve">considerable wood of deciduous trees is scarcely anywhere to be</w:t></w:r>
</w:p>
<w:p>
<w:pPr><w:pStyle w:val="Normal"/></w:pPr>
<w:r><w:t xml:space="preserve">found.  In many districts where such woods once existed, their</w:t></w:r>
</w:p>
<w:p>
<w:pPr><w:pStyle w:val="Normal"/></w:pPr>
<w:r><w:t xml:space="preserve">place has been occupied by the Scottish pine and spruce, which</w:t></w:r>
</w:p>
<w:p>
<w:pPr><w:pStyle w:val="Normal"/></w:pPr>
<w:r><w:t xml:space="preserve">suffer less from the ravages of goats, the worst enemies of tree</w:t></w:r>
</w:p>
<w:p>
<w:pPr><w:pStyle w:val="Normal"/></w:pPr>
<w:r><w:t xml:space="preserve">vegetation.  The mean annual temperature of this region differs</w:t></w:r>
</w:p>
<w:p>
<w:pPr><w:pStyle w:val="Normal"/></w:pPr>
<w:r><w:t xml:space="preserve">little from that of the British Islands; but the climatal</w:t></w:r>
</w:p>
<w:p>
<w:pPr><w:pStyle w:val="Normal"/></w:pPr>
<w:r><w:t xml:space="preserve">conditions are widely different.  Here snow usually lies for</w:t></w:r>
</w:p>
<w:p>
<w:pPr><w:pStyle w:val="Normal"/></w:pPr>
<w:r><w:t xml:space="preserve">several months, till it gives place to a spring and summer</w:t></w:r>
</w:p>
<w:p>
<w:pPr><w:pStyle w:val="Normal"/></w:pPr>
<w:r><w:t xml:space="preserve">considerably warmer than the average of British seasons.</w:t></w:r>
</w:p>
<w:p>
<w:pPr><w:pStyle w:val="Normal"/></w:pPr>
<w:r><w:t xml:space="preserve">Subalpine region, or region of coniferous trees.</w:t></w:r>
</w:p>
<w:p>
<w:pPr><w:pStyle w:val="Normal"/></w:pPr>
<w:r><w:t xml:space="preserve">The Subalpine is the region which mainly determines the manner</w:t></w:r>
</w:p>
<w:p>
<w:pPr><w:pStyle w:val="Normal"/></w:pPr>
<w:r><w:t xml:space="preserve">of life of the population of the Alps.  On a rough estimate</w:t></w:r>
</w:p>
<w:p>
<w:pPr><w:pStyle w:val="Normal"/></w:pPr>
<w:r><w:t xml:space="preserve">we may reckon that, of the space lying between the summits</w:t></w:r>
</w:p>
<w:p>
<w:pPr><w:pStyle w:val="Normal"/></w:pPr>
<w:r><w:t xml:space="preserve">of the Alps and the low country on either side, one-quarter</w:t></w:r>
</w:p>
<w:p>
<w:pPr><w:pStyle w:val="Normal"/></w:pPr>
<w:r><w:t xml:space="preserve">is available for cultivation, of which about one-half may</w:t></w:r>
</w:p>
<w:p>
<w:pPr><w:pStyle w:val="Normal"/></w:pPr>
<w:r><w:t xml:space="preserve">be vineyards and corn-fields, while the remainder produces</w:t></w:r>
</w:p>
<w:p>
<w:pPr><w:pStyle w:val="Normal"/></w:pPr>
<w:r><w:t xml:space="preserve">forage and grass.  About another quarter is utterly barren,</w:t></w:r>
</w:p>
<w:p>
<w:pPr><w:pStyle w:val="Normal"/></w:pPr>
<w:r><w:t xml:space="preserve">consisting of snow-fields, glaciers, bare rock, lakes and</w:t></w:r>
</w:p>
<w:p>
<w:pPr><w:pStyle w:val="Normal"/></w:pPr>
<w:r><w:t xml:space="preserve">the beds of streams.  There remains about one-half, which</w:t></w:r>
</w:p>
<w:p>
<w:pPr><w:pStyle w:val="Normal"/></w:pPr>
<w:r><w:t xml:space="preserve">is divided between forest and pasture, and it is the produce</w:t></w:r>
</w:p>
<w:p>
<w:pPr><w:pStyle w:val="Normal"/></w:pPr>
<w:r><w:t xml:space="preserve">of this half which mainly supports the relatively large</w:t></w:r>
</w:p>
<w:p>
<w:pPr><w:pStyle w:val="Normal"/></w:pPr>
<w:r><w:t xml:space="preserve">population.  For a quarter of the year the flocks and herds</w:t></w:r>
</w:p>
<w:p>
<w:pPr><w:pStyle w:val="Normal"/></w:pPr>
<w:r><w:t xml:space="preserve">are fed on the upper pastures; but the true limit of the</w:t></w:r>
</w:p>
<w:p>
<w:pPr><w:pStyle w:val="Normal"/></w:pPr>
<w:r><w:t xml:space="preserve">wealth of a district is the number of animals that can be</w:t></w:r>
</w:p>
<w:p>
<w:pPr><w:pStyle w:val="Normal"/></w:pPr>
<w:r><w:t xml:space="preserve">supported during the long winter, and while one part of the</w:t></w:r>
</w:p>
<w:p>
<w:pPr><w:pStyle w:val="Normal"/></w:pPr>
<w:r><w:t xml:space="preserve">population is engaged in tending the beasts and in making</w:t></w:r>
</w:p>
<w:p>
<w:pPr><w:pStyle w:val="Normal"/></w:pPr>
<w:r><w:t xml:space="preserve">cheese and butter, the remainder is busy cutting hay and</w:t></w:r>
</w:p>
<w:p>
<w:pPr><w:pStyle w:val="Normal"/></w:pPr>
<w:r><w:t xml:space="preserve">storing up winter food for the cattle.  The larger villages</w:t></w:r>
</w:p>
<w:p>
<w:pPr><w:pStyle w:val="Normal"/></w:pPr>
<w:r><w:t xml:space="preserve">are mostly in the mountain region, but in many parts of the</w:t></w:r>
</w:p>
<w:p>
<w:pPr><w:pStyle w:val="Normal"/></w:pPr>
<w:r><w:t xml:space="preserve">Alps the villages stand in the subalpine region at heights</w:t></w:r>
</w:p>
<w:p>
<w:pPr><w:pStyle w:val="Normal"/></w:pPr>
<w:r><w:t xml:space="preserve">varying from 4000 ft. to 5500 ft. above the sea, more rarely</w:t></w:r>
</w:p>
<w:p>
<w:pPr><w:pStyle w:val="Normal"/></w:pPr>
<w:r><w:t xml:space="preserve">extending to about 6000 ft.  The most characteristic feature</w:t></w:r>
</w:p>
<w:p>
<w:pPr><w:pStyle w:val="Normal"/></w:pPr>
<w:r><w:t xml:space="preserve">of this region is the prevalence of coniferous trees,</w:t></w:r>
</w:p>
<w:p>
<w:pPr><w:pStyle w:val="Normal"/></w:pPr>
<w:r><w:t xml:space="preserve">which, where they have not been artificially kept down, form</w:t></w:r>
</w:p>
<w:p>
<w:pPr><w:pStyle w:val="Normal"/></w:pPr>
<w:r><w:t xml:space="preserve">vast forests that cover a large part of the surface.  These</w:t></w:r>
</w:p>
<w:p>
<w:pPr><w:pStyle w:val="Normal"/></w:pPr>
<w:r><w:t xml:space="preserve">play a most important part in the natural economy of the</w:t></w:r>
</w:p>
<w:p>
<w:pPr><w:pStyle w:val="Normal"/></w:pPr>
<w:r><w:t xml:space="preserve">country.  They protect the valleys from destructive avalanches,</w:t></w:r>
</w:p>
<w:p>
<w:pPr><w:pStyle w:val="Normal"/></w:pPr>
<w:r><w:t xml:space="preserve">and, retaining the superficial soil by their roots, they</w:t></w:r>
</w:p>
<w:p>
<w:pPr><w:pStyle w:val="Normal"/></w:pPr>
<w:r><w:t xml:space="preserve">mitigate the destructive effects of heavy rains.  In valleys</w:t></w:r>
</w:p>
<w:p>
<w:pPr><w:pStyle w:val="Normal"/></w:pPr>
<w:r><w:t xml:space="preserve">where they have been rashly cut away, and the waters pour</w:t></w:r>
</w:p>
<w:p>
<w:pPr><w:pStyle w:val="Normal"/></w:pPr>
<w:r><w:t xml:space="preserve">down the slopes unchecked, every tiny rivulet becomes a raging</w:t></w:r>
</w:p>
<w:p>
<w:pPr><w:pStyle w:val="Normal"/></w:pPr>
<w:r><w:t xml:space="preserve">torrent, that carries off the grassy slopes and devastates</w:t></w:r>
</w:p>
<w:p>
<w:pPr><w:pStyle w:val="Normal"/></w:pPr>
<w:r><w:t xml:space="preserve">the floor of the valley, covering the soil with gravel and</w:t></w:r>
</w:p>
<w:p>
<w:pPr><w:pStyle w:val="Normal"/></w:pPr>
<w:r><w:t xml:space="preserve">debris.  In the pine forests of the Alps the prevailing</w:t></w:r>
</w:p>
<w:p>
<w:pPr><w:pStyle w:val="Normal"/></w:pPr>
<w:r><w:t xml:space="preserve">species are the common spruce and the silver fir; on siliceous</w:t></w:r>
</w:p>
<w:p>
<w:pPr><w:pStyle w:val="Normal"/></w:pPr>
<w:r><w:t xml:space="preserve">soil the larch flourishes, and surpasses every other European</w:t></w:r>
</w:p>
<w:p>
<w:pPr><w:pStyle w:val="Normal"/></w:pPr>
<w:r><w:t xml:space="preserve">species in height.  The Scottish pine is chiefly found at a</w:t></w:r>
</w:p>
<w:p>
<w:pPr><w:pStyle w:val="Normal"/></w:pPr>
<w:r><w:t xml:space="preserve">lower level and rarely forms forests.  The Siberian fir is</w:t></w:r>
</w:p>
<w:p>
<w:pPr><w:pStyle w:val="Normal"/></w:pPr>
<w:r><w:t xml:space="preserve">found scattered at intervals throughout the Alps but is not</w:t></w:r>
</w:p>
<w:p>
<w:pPr><w:pStyle w:val="Normal"/></w:pPr>
<w:r><w:t xml:space="preserve">common.  The mughus, creeping pine, or Krummholz of the</w:t></w:r>
</w:p>
<w:p>
<w:pPr><w:pStyle w:val="Normal"/></w:pPr>
<w:r><w:t xml:space="preserve">Germans, is common in the Eastern Alps, and sometimes forms</w:t></w:r>
</w:p>
<w:p>
<w:pPr><w:pStyle w:val="Normal"/></w:pPr>
<w:r><w:t xml:space="preserve">on the higher mountains a distinct zone above the level of its</w:t></w:r>
</w:p>
<w:p>
<w:pPr><w:pStyle w:val="Normal"/></w:pPr>
<w:r><w:t xml:space="preserve">congeners.  In the Northern Alps the pine forests rarely</w:t></w:r>
</w:p>
<w:p>
<w:pPr><w:pStyle w:val="Normal"/></w:pPr>
<w:r><w:t xml:space="preserve">surpass the limit of 6000 ft. above the sea, but on the</w:t></w:r>
</w:p>
<w:p>
<w:pPr><w:pStyle w:val="Normal"/></w:pPr>
<w:r><w:t xml:space="preserve">south side they commonly attain 7000 ft., while the larch,</w:t></w:r>
</w:p>
<w:p>
<w:pPr><w:pStyle w:val="Normal"/></w:pPr>
<w:r><w:t xml:space="preserve">Siberian fir and mughus often extend above that elevation.</w:t></w:r>
</w:p>
<w:p>
<w:pPr><w:pStyle w:val="Normal"/></w:pPr>
<w:r><w:t xml:space="preserve">Alpine region.</w:t></w:r>
</w:p>
<w:p>
<w:pPr><w:pStyle w:val="Normal"/></w:pPr>
<w:r><w:t xml:space="preserve">Throughout the Teutonic region of the Alps the word Alp</w:t></w:r>
</w:p>
<w:p>
<w:pPr><w:pStyle w:val="Normal"/></w:pPr>
<w:r><w:t xml:space="preserve">is used specifically for the upper pastures where cattle</w:t></w:r>
</w:p>
<w:p>
<w:pPr><w:pStyle w:val="Normal"/></w:pPr>
<w:r><w:t xml:space="preserve">are fed in summer, but this region is held to include</w:t></w:r>
</w:p>
<w:p>
<w:pPr><w:pStyle w:val="Normal"/></w:pPr>
<w:r><w:t xml:space="preserve">the whole space between the uppermost limit of trees and</w:t></w:r>
</w:p>
<w:p>
<w:pPr><w:pStyle w:val="Normal"/></w:pPr>
<w:r><w:t xml:space="preserve">the first appearance of permanent masses of snow.  It is</w:t></w:r>
</w:p>
<w:p>
<w:pPr><w:pStyle w:val="Normal"/></w:pPr>
<w:r><w:t xml:space="preserve">here that the characteristic vegetation of the Alps is</w:t></w:r>
</w:p>
<w:p>
<w:pPr><w:pStyle w:val="Normal"/></w:pPr>
<w:r><w:t xml:space="preserve">developed in its full beauty and variety.  Shrubs are not</w:t></w:r>
</w:p>
<w:p>
<w:pPr><w:pStyle w:val="Normal"/></w:pPr>
<w:r><w:t xml:space="preserve">wanting.  Three species of rhododendron vie with each other</w:t></w:r>
</w:p>
<w:p>
<w:pPr><w:pStyle w:val="Normal"/></w:pPr>
<w:r><w:t xml:space="preserve">in the brilliancy of their masses of red or pink flowers;</w:t></w:r>
</w:p>
<w:p>
<w:pPr><w:pStyle w:val="Normal"/></w:pPr>
<w:r><w:t xml:space="preserve">the common juniper rises higher still, along with three</w:t></w:r>
</w:p>
<w:p>
<w:pPr><w:pStyle w:val="Normal"/></w:pPr>
<w:r><w:t xml:space="preserve">species of bilberry; and several dwarf willows attain nearly</w:t></w:r>
</w:p>
<w:p>
<w:pPr><w:pStyle w:val="Normal"/></w:pPr>
<w:r><w:t xml:space="preserve">to the utmost limit of vegetation.  The upper limit of this</w:t></w:r>
</w:p>
<w:p>
<w:pPr><w:pStyle w:val="Normal"/></w:pPr>
<w:r><w:t xml:space="preserve">region coincides with the so-called limit of perpetual snow.</w:t></w:r>
</w:p>
<w:p>
<w:pPr><w:pStyle w:val="Normal"/></w:pPr>
<w:r><w:t xml:space="preserve">Glacial region.</w:t></w:r>
</w:p>
<w:p>
<w:pPr><w:pStyle w:val="Normal"/></w:pPr>
<w:r><w:t xml:space="preserve">On the higher parts of lofty mountains more snow falls in</w:t></w:r>
</w:p>
<w:p>
<w:pPr><w:pStyle w:val="Normal"/></w:pPr>
<w:r><w:t xml:space="preserve">each year than is melted on the spot.  A portion of this is</w:t></w:r>
</w:p>
<w:p>
<w:pPr><w:pStyle w:val="Normal"/></w:pPr>
<w:r><w:t xml:space="preserve">carried away by the wind before it is consolidated; a larger</w:t></w:r>
</w:p>
<w:p>
<w:pPr><w:pStyle w:val="Normal"/></w:pPr>
<w:r><w:t xml:space="preserve">portion accumulates in hollows and depressions of the surface,</w:t></w:r>
</w:p>
<w:p>
<w:pPr><w:pStyle w:val="Normal"/></w:pPr>
<w:r><w:t xml:space="preserve">and is gradually converted into glacier-ice, which descends</w:t></w:r>
</w:p>
<w:p>
<w:pPr><w:pStyle w:val="Normal"/></w:pPr>
<w:r><w:t xml:space="preserve">by a slow secular motion into the deeper valleys, where it</w:t></w:r>
</w:p>
<w:p>
<w:pPr><w:pStyle w:val="Normal"/></w:pPr>
<w:r><w:t xml:space="preserve">goes to swell perennial streams.  As on a mountain the snow</w:t></w:r>
</w:p>
<w:p>
<w:pPr><w:pStyle w:val="Normal"/></w:pPr>
<w:r><w:t xml:space="preserve">does not lie in beds of uniform thickness, and some parts</w:t></w:r>
</w:p>
<w:p>
<w:pPr><w:pStyle w:val="Normal"/></w:pPr>
<w:r><w:t xml:space="preserve">are more exposed to the sun and warm winds than others, we</w:t></w:r>
</w:p>
<w:p>
<w:pPr><w:pStyle w:val="Normal"/></w:pPr>
<w:r><w:t xml:space="preserve">commonly find beds of snow alternating with exposed slopes</w:t></w:r>
</w:p>
<w:p>
<w:pPr><w:pStyle w:val="Normal"/></w:pPr>
<w:r><w:t xml:space="preserve">covered with brilliant vegetation; and to the observer near</w:t></w:r>
</w:p>
<w:p>
<w:pPr><w:pStyle w:val="Normal"/></w:pPr>
<w:r><w:t xml:space="preserve">at hand there is no appearance in the least corresponding</w:t></w:r>
</w:p>
<w:p>
<w:pPr><w:pStyle w:val="Normal"/></w:pPr>
<w:r><w:t xml:space="preserve">to the term limit of perpetual snow, though the case</w:t></w:r>
</w:p>
<w:p>
<w:pPr><w:pStyle w:val="Normal"/></w:pPr>
<w:r><w:t xml:space="preserve">is otherwise when a high mountain-chain is viewed from a</w:t></w:r>
</w:p>
<w:p>
<w:pPr><w:pStyle w:val="Normal"/></w:pPr>
<w:r><w:t xml:space="preserve">distance.  Similar conditions are repeated at many different</w:t></w:r>
</w:p>
<w:p>
<w:pPr><w:pStyle w:val="Normal"/></w:pPr>
<w:r><w:t xml:space="preserve">points, so that the level at which large snow-beds show</w:t></w:r>
</w:p>
<w:p>
<w:pPr><w:pStyle w:val="Normal"/></w:pPr>
<w:r><w:t xml:space="preserve">themselves along its flanks is approximately horizontal.  But</w:t></w:r>
</w:p>
<w:p>
<w:pPr><w:pStyle w:val="Normal"/></w:pPr>
<w:r><w:t xml:space="preserve">this holds good only so far as the conditions are similar.  On</w:t></w:r>
</w:p>
<w:p>
<w:pPr><w:pStyle w:val="Normal"/></w:pPr>
<w:r><w:t xml:space="preserve">the opposite sides of the same chain the exposure to the sun</w:t></w:r>
</w:p>
<w:p>
<w:pPr><w:pStyle w:val="Normal"/></w:pPr>
<w:r><w:t xml:space="preserve">or to warm winds may cause a wide difference in the level of</w:t></w:r>
</w:p>
<w:p>
<w:pPr><w:pStyle w:val="Normal"/></w:pPr>
<w:r><w:t xml:space="preserve">permanent snow; but in some cases the increased fall of snow</w:t></w:r>
</w:p>
<w:p>
<w:pPr><w:pStyle w:val="Normal"/></w:pPr>
<w:r><w:t xml:space="preserve">on the side exposed to moist winds may more than compensate</w:t></w:r>
</w:p>
<w:p>
<w:pPr><w:pStyle w:val="Normal"/></w:pPr>
<w:r><w:t xml:space="preserve">the increased influence of the sun&apos;s rays.  Still, even with</w:t></w:r>
</w:p>
<w:p>
<w:pPr><w:pStyle w:val="Normal"/></w:pPr>
<w:r><w:t xml:space="preserve">these reservations, the so-called line of perpetual snow is not</w:t></w:r>
</w:p>
<w:p>
<w:pPr><w:pStyle w:val="Normal"/></w:pPr>
<w:r><w:t xml:space="preserve">fixed.  The occurrence of favourable meteorological conditions</w:t></w:r>
</w:p>
<w:p>
<w:pPr><w:pStyle w:val="Normal"/></w:pPr>
<w:r><w:t xml:space="preserve">during several successive seasons may and does increase the</w:t></w:r>
</w:p>
<w:p>
<w:pPr><w:pStyle w:val="Normal"/></w:pPr>
<w:r><w:t xml:space="preserve">extent of the snow-fields, and lower the limit of seemingly</w:t></w:r>
</w:p>
<w:p>
<w:pPr><w:pStyle w:val="Normal"/></w:pPr>
<w:r><w:t xml:space="preserve">permanent snow; while an opposite state of things may cause</w:t></w:r>
</w:p>
<w:p>
<w:pPr><w:pStyle w:val="Normal"/></w:pPr>
<w:r><w:t xml:space="preserve">the limit to rise higher on the flanks of the mountains.</w:t></w:r>
</w:p>
<w:p>
<w:pPr><w:pStyle w:val="Normal"/></w:pPr>
<w:r><w:t xml:space="preserve">Hence all attempts to fix accurately the level of pernetual</w:t></w:r>
</w:p>
<w:p>
<w:pPr><w:pStyle w:val="Normal"/></w:pPr>
<w:r><w:t xml:space="preserve">snow in the Alps are fallacious, and can at the best approach</w:t></w:r>
</w:p>
<w:p>
<w:pPr><w:pStyle w:val="Normal"/></w:pPr>
<w:r><w:t xml:space="preserve">only to local accuracy for a particular district.  In some</w:t></w:r>
</w:p>
<w:p>
<w:pPr><w:pStyle w:val="Normal"/></w:pPr>
<w:r><w:t xml:space="preserve">parts of the Alps the limit may be set at about 8000 ft. above</w:t></w:r>
</w:p>
<w:p>
<w:pPr><w:pStyle w:val="Normal"/></w:pPr>
<w:r><w:t xml:space="preserve">the sea, while in others it cannot be placed much below 9500</w:t></w:r>
</w:p>
<w:p>
<w:pPr><w:pStyle w:val="Normal"/></w:pPr>
<w:r><w:t xml:space="preserve">ft.  As very little snow can rest on rocks that lie at an</w:t></w:r>
</w:p>
<w:p>
<w:pPr><w:pStyle w:val="Normal"/></w:pPr>
<w:r><w:t xml:space="preserve">angle exceeding 60 deg. , and this is soon removed by the wind,</w:t></w:r>
</w:p>
<w:p>
<w:pPr><w:pStyle w:val="Normal"/></w:pPr>
<w:r><w:t xml:space="preserve">some steep masses of rock remain bare even near the summits</w:t></w:r>
</w:p>
<w:p>
<w:pPr><w:pStyle w:val="Normal"/></w:pPr>
<w:r><w:t xml:space="preserve">of the highest peaks, but as almost every spot offering the</w:t></w:r>
</w:p>
<w:p>
<w:pPr><w:pStyle w:val="Normal"/></w:pPr>
<w:r><w:t xml:space="preserve">least hold for vegetation is covered with snow, few flowering</w:t></w:r>
</w:p>
<w:p>
<w:pPr><w:pStyle w:val="Normal"/></w:pPr>
<w:r><w:t xml:space="preserve">plants are seen above 11,000 ft.  There is reason to think,</w:t></w:r>
</w:p>
<w:p>
<w:pPr><w:pStyle w:val="Normal"/></w:pPr>
<w:r><w:t xml:space="preserve">however, that it is the want of soil rather than climatal</w:t></w:r>
</w:p>
<w:p>
<w:pPr><w:pStyle w:val="Normal"/></w:pPr>
<w:r><w:t xml:space="preserve">conditions that checks the upward extension of the alpine</w:t></w:r>
</w:p>
<w:p>
<w:pPr><w:pStyle w:val="Normal"/></w:pPr>
<w:r><w:t xml:space="preserve">flora.  Increased direct effect of solar radiation compensates</w:t></w:r>
</w:p>
<w:p>
<w:pPr><w:pStyle w:val="Normal"/></w:pPr>
<w:r><w:t xml:space="preserve">for the cold of the nights, and in the few spots where</w:t></w:r>
</w:p>
<w:p>
<w:pPr><w:pStyle w:val="Normal"/></w:pPr>
<w:r><w:t xml:space="preserve">plants have been found in flower up to a height of 12,000</w:t></w:r>
</w:p>
<w:p>
<w:pPr><w:pStyle w:val="Normal"/></w:pPr>
<w:r><w:t xml:space="preserve">ft., nothing has indicated that the processes of vegetation</w:t></w:r>
</w:p>
<w:p>
<w:pPr><w:pStyle w:val="Normal"/></w:pPr>
<w:r><w:t xml:space="preserve">were arrested by the severe cold which they must sometimes</w:t></w:r>
</w:p>
<w:p>
<w:pPr><w:pStyle w:val="Normal"/></w:pPr>
<w:r><w:t xml:space="preserve">endure.  The climate of the glacial region has often been</w:t></w:r>
</w:p>
<w:p>
<w:pPr><w:pStyle w:val="Normal"/></w:pPr>
<w:r><w:t xml:space="preserve">compared to that of the polar regions, but they are widely</w:t></w:r>
</w:p>
<w:p>
<w:pPr><w:pStyle w:val="Normal"/></w:pPr>
<w:r><w:t xml:space="preserve">different.  Here, intense solar radiation by day, which</w:t></w:r>
</w:p>
<w:p>
<w:pPr><w:pStyle w:val="Normal"/></w:pPr>
<w:r><w:t xml:space="preserve">raises the surface when dry to a temperature approaching</w:t></w:r>
</w:p>
<w:p>
<w:pPr><w:pStyle w:val="Normal"/></w:pPr>
<w:r><w:t xml:space="preserve">80 deg.  F., alternates with severe frost by night.  There, a</w:t></w:r>
</w:p>
<w:p>
<w:pPr><w:pStyle w:val="Normal"/></w:pPr>
<w:r><w:t xml:space="preserve">sun which never sets sends feeble rays that maintain a low</w:t></w:r>
</w:p>
<w:p>
<w:pPr><w:pStyle w:val="Normal"/></w:pPr>
<w:r><w:t xml:space="preserve">equable temperature, rarely rising more than a few degrees</w:t></w:r>
</w:p>
<w:p>
<w:pPr><w:pStyle w:val="Normal"/></w:pPr>
<w:r><w:t xml:space="preserve">above the freezing-point.  Hence the upper region of the</w:t></w:r>
</w:p>
<w:p>
<w:pPr><w:pStyle w:val="Normal"/></w:pPr>
<w:r><w:t xml:space="preserve">Alps sustains a far more varied and brilliant vegetation.</w:t></w:r>
</w:p>
<w:p>
<w:pPr><w:pStyle w:val="Normal"/></w:pPr>
<w:r><w:t xml:space="preserve">4. Main Chain.---In the case of every mountain system</w:t></w:r>
</w:p>
<w:p>
<w:pPr><w:pStyle w:val="Normal"/></w:pPr>
<w:r><w:t xml:space="preserve">geographers are disposed to regard, as a general rule, the</w:t></w:r>
</w:p>
<w:p>
<w:pPr><w:pStyle w:val="Normal"/></w:pPr>
<w:r><w:t xml:space="preserve">watershed (or boundary dividing the waters flowing towards</w:t></w:r>
</w:p>
<w:p>
<w:pPr><w:pStyle w:val="Normal"/></w:pPr>
<w:r><w:t xml:space="preserve">opposite slopes of the range) as marking the main chain,</w:t></w:r>
</w:p>
<w:p>
<w:pPr><w:pStyle w:val="Normal"/></w:pPr>
<w:r><w:t xml:space="preserve">and this usage is justified in that the highest peaks often</w:t></w:r>
</w:p>
<w:p>
<w:pPr><w:pStyle w:val="Normal"/></w:pPr>
<w:r><w:t xml:space="preserve">rise on or very near the watershed.  Yet, as a matter of</w:t></w:r>
</w:p>
<w:p>
<w:pPr><w:pStyle w:val="Normal"/></w:pPr>
<w:r><w:t xml:space="preserve">fact, several important mountain groups are situated on one</w:t></w:r>
</w:p>
<w:p>
<w:pPr><w:pStyle w:val="Normal"/></w:pPr>
<w:r><w:t xml:space="preserve">or other side of the watershed of the Alps, and form almost</w:t></w:r>
</w:p>
<w:p>
<w:pPr><w:pStyle w:val="Normal"/></w:pPr>
<w:r><w:t xml:space="preserve">independent ranges, being only connected with the main chain</w:t></w:r>
</w:p>
<w:p>
<w:pPr><w:pStyle w:val="Normal"/></w:pPr>
<w:r><w:t xml:space="preserve">by a kind of peninsula: such are the Dauphine Alps, the</w:t></w:r>
</w:p>
<w:p>
<w:pPr><w:pStyle w:val="Normal"/></w:pPr>
<w:r><w:t xml:space="preserve">Eastern and Western Graians, the entire Bernese Oberland, the</w:t></w:r>
</w:p>
<w:p>
<w:pPr><w:pStyle w:val="Normal"/></w:pPr>
<w:r><w:t xml:space="preserve">Todi, Albula and Silvretta groups, the Ortler and Adamello</w:t></w:r>
</w:p>
<w:p>
<w:pPr><w:pStyle w:val="Normal"/></w:pPr>
<w:r><w:t xml:space="preserve">ranges, and the Dolomites of south Tirol, not to speak of the</w:t></w:r>
</w:p>
<w:p>
<w:pPr><w:pStyle w:val="Normal"/></w:pPr>
<w:r><w:t xml:space="preserve">lower Alps of the Vorarlberg, Bavaria and Salzburg.  Of course</w:t></w:r>
</w:p>
<w:p>
<w:pPr><w:pStyle w:val="Normal"/></w:pPr>
<w:r><w:t xml:space="preserve">each of these semi-detached ranges has a watershed of its</w:t></w:r>
</w:p>
<w:p>
<w:pPr><w:pStyle w:val="Normal"/></w:pPr>
<w:r><w:t xml:space="preserve">own, like the lateral ridges that branch off from the main</w:t></w:r>
</w:p>
<w:p>
<w:pPr><w:pStyle w:val="Normal"/></w:pPr>
<w:r><w:t xml:space="preserve">watershed.  Thus there are lofty ranges parallel to that which</w:t></w:r>
</w:p>
<w:p>
<w:pPr><w:pStyle w:val="Normal"/></w:pPr>
<w:r><w:t xml:space="preserve">forms the main watershed.  The Alps, therefore, are not composed</w:t></w:r>
</w:p>
<w:p>
<w:pPr><w:pStyle w:val="Normal"/></w:pPr>
<w:r><w:t xml:space="preserve">of a single range (as shown on the old maps) but of a great</w:t></w:r>
</w:p>
<w:p>
<w:pPr><w:pStyle w:val="Normal"/></w:pPr>
<w:r><w:t xml:space="preserve">``divide,&apos;&apos; flanked on either side by other important ranges,</w:t></w:r>
</w:p>
<w:p>
<w:pPr><w:pStyle w:val="Normal"/></w:pPr>
<w:r><w:t xml:space="preserve">which, however, do not comprise such lofty peaks as the main</w:t></w:r>
</w:p>
<w:p>
<w:pPr><w:pStyle w:val="Normal"/></w:pPr>
<w:r><w:t xml:space="preserve">watershed.  In the following remarks we propose to follow</w:t></w:r>
</w:p>
<w:p>
<w:pPr><w:pStyle w:val="Normal"/></w:pPr>
<w:r><w:t xml:space="preserve">the main watershed from one end of the Alps to the other.</w:t></w:r>
</w:p>
<w:p>
<w:pPr><w:pStyle w:val="Normal"/></w:pPr>
<w:r><w:t xml:space="preserve">Starting from the Col d&apos;Altare or di Cadibona (west of</w:t></w:r>
</w:p>
<w:p>
<w:pPr><w:pStyle w:val="Normal"/></w:pPr>
<w:r><w:t xml:space="preserve">Savona), the main chain extends first south-west, then</w:t></w:r>
</w:p>
<w:p>
<w:pPr><w:pStyle w:val="Normal"/></w:pPr>
<w:r><w:t xml:space="preserve">north-west to the Col de Tenda, though nowhere rising much</w:t></w:r>
</w:p>
<w:p>
<w:pPr><w:pStyle w:val="Normal"/></w:pPr>
<w:r><w:t xml:space="preserve">beyond the zone of coniferous trees.  Beyond the Col de Tenda</w:t></w:r>
</w:p>
<w:p>
<w:pPr><w:pStyle w:val="Normal"/></w:pPr>
<w:r><w:t xml:space="preserve">the direction is first roughly west, then north-west to the</w:t></w:r>
</w:p>
<w:p>
<w:pPr><w:pStyle w:val="Normal"/></w:pPr>
<w:r><w:t xml:space="preserve">Rocher des Trois Eveques (9390 ft.), just south of the</w:t></w:r>
</w:p>
<w:p>
<w:pPr><w:pStyle w:val="Normal"/></w:pPr>
<w:r><w:t xml:space="preserve">Mont Enchastraye (9695 ft.), several peaks of about 10,000</w:t></w:r>
</w:p>
<w:p>
<w:pPr><w:pStyle w:val="Normal"/></w:pPr>
<w:r><w:t xml:space="preserve">ft. rising on the watershed, though the highest of all, the</w:t></w:r>
</w:p>
<w:p>
<w:pPr><w:pStyle w:val="Normal"/></w:pPr>
<w:r><w:t xml:space="preserve">Punta dell&apos; Argentera(10,794 ft.) stands a little way to its</w:t></w:r>
</w:p>
<w:p>
<w:pPr><w:pStyle w:val="Normal"/></w:pPr>
<w:r><w:t xml:space="preserve">north.  From the Rocher des Trois Eveques the watershed</w:t></w:r>
</w:p>
<w:p>
<w:pPr><w:pStyle w:val="Normal"/></w:pPr>
<w:r><w:t xml:space="preserve">runs due north for a long distance, though of the two loftiest</w:t></w:r>
</w:p>
<w:p>
<w:pPr><w:pStyle w:val="Normal"/></w:pPr>
<w:r><w:t xml:space="preserve">peaks of this region One, the Aiguille de Chambeyron (11,155</w:t></w:r>
</w:p>
<w:p>
<w:pPr><w:pStyle w:val="Normal"/></w:pPr>
<w:r><w:t xml:space="preserve">ft.), is just to the west, and the other, the Monte Viso</w:t></w:r>
</w:p>
<w:p>
<w:pPr><w:pStyle w:val="Normal"/></w:pPr>
<w:r><w:t xml:space="preserve">(12,609 ft.), is just to the east of the watershed.  From the</w:t></w:r>
</w:p>
<w:p>
<w:pPr><w:pStyle w:val="Normal"/></w:pPr>
<w:r><w:t xml:space="preserve">head of the Val Pellice the main chain runs north-west, and</w:t></w:r>
</w:p>
<w:p>
<w:pPr><w:pStyle w:val="Normal"/></w:pPr>
<w:r><w:t xml:space="preserve">diminishes much in average height till it reaches the Mont</w:t></w:r>
</w:p>
<w:p>
<w:pPr><w:pStyle w:val="Normal"/></w:pPr>
<w:r><w:t xml:space="preserve">Thabor (10,440 ft.), which forms the apex of a salient angle</w:t></w:r>
</w:p>
<w:p>
<w:pPr><w:pStyle w:val="Normal"/></w:pPr>
<w:r><w:t xml:space="preserve">which the main chain here presents towards.the west.  Hence</w:t></w:r>
</w:p>
<w:p>
<w:pPr><w:pStyle w:val="Normal"/></w:pPr>
<w:r><w:t xml:space="preserve">the main watershed extends eastwards, culminating in the</w:t></w:r>
</w:p>
<w:p>
<w:pPr><w:pStyle w:val="Normal"/></w:pPr>
<w:r><w:t xml:space="preserve">Aiguille de Scolette (11,500 ft.), but makes a great curve</w:t></w:r>
</w:p>
<w:p>
<w:pPr><w:pStyle w:val="Normal"/></w:pPr>
<w:r><w:t xml:space="preserve">to the north-west and back to the south-east before rising</w:t></w:r>
</w:p>
<w:p>
<w:pPr><w:pStyle w:val="Normal"/></w:pPr>
<w:r><w:t xml:space="preserve">in the Rochemelon (11,605 ft.), which may be considered as</w:t></w:r>
</w:p>
<w:p>
<w:pPr><w:pStyle w:val="Normal"/></w:pPr>
<w:r><w:t xml:space="preserve">a re-entering angle in the great rampart by which Italy is</w:t></w:r>
</w:p>
<w:p>
<w:pPr><w:pStyle w:val="Normal"/></w:pPr>
<w:r><w:t xml:space="preserve">guarded from its neighbours.  Thence the direction taken is</w:t></w:r>
</w:p>
<w:p>
<w:pPr><w:pStyle w:val="Normal"/></w:pPr>
<w:r><w:t xml:space="preserve">north as far as the eastern summit (11,693 ft.) of the Levanna,</w:t></w:r>
</w:p>
<w:p>
<w:pPr><w:pStyle w:val="Normal"/></w:pPr>
<w:r><w:t xml:space="preserve">the watershed rising in a series of snowy peaks, though the</w:t></w:r>
</w:p>
<w:p>
<w:pPr><w:pStyle w:val="Normal"/></w:pPr>
<w:r><w:t xml:space="preserve">loftiest point of the region, the Pointe de Charbonel (12,336</w:t></w:r>
</w:p>
<w:p>
<w:pPr><w:pStyle w:val="Normal"/></w:pPr>
<w:r><w:t xml:space="preserve">ft.), stands a little to the west.  Gnce more the chain bends</w:t></w:r>
</w:p>
<w:p>
<w:pPr><w:pStyle w:val="Normal"/></w:pPr>
<w:r><w:t xml:space="preserve">to the north-west, rising in several lofty peaks (the highest</w:t></w:r>
</w:p>
<w:p>
<w:pPr><w:pStyle w:val="Normal"/></w:pPr>
<w:r><w:t xml:space="preserve">is the Aiguille de la Grande Sassiere, 12,323 ft.), before</w:t></w:r>
</w:p>
<w:p>
<w:pPr><w:pStyle w:val="Normal"/></w:pPr>
<w:r><w:t xml:space="preserve">attaining the considerable depression of the Little St Bernard</w:t></w:r>
</w:p>
<w:p>
<w:pPr><w:pStyle w:val="Normal"/></w:pPr>
<w:r><w:t xml:space="preserve">Pass.  Thence for a short way the direction is north to the</w:t></w:r>
</w:p>
<w:p>
<w:pPr><w:pStyle w:val="Normal"/></w:pPr>
<w:r><w:t xml:space="preserve">Col de la Soigne, and then north-east along the crest of the</w:t></w:r>
</w:p>
<w:p>
<w:pPr><w:pStyle w:val="Normal"/></w:pPr>
<w:r><w:t xml:space="preserve">Mont Blanc chain, which culminates in the peak of Mont Blanc</w:t></w:r>
</w:p>
<w:p>
<w:pPr><w:pStyle w:val="Normal"/></w:pPr>
<w:r><w:t xml:space="preserve">(15,782 ft.), the loftiest in the Alps.  A number of high peaks</w:t></w:r>
</w:p>
<w:p>
<w:pPr><w:pStyle w:val="Normal"/></w:pPr>
<w:r><w:t xml:space="preserve">crown our watershed before it attains the Mont Dolent (12,543</w:t></w:r>
</w:p>
<w:p>
<w:pPr><w:pStyle w:val="Normal"/></w:pPr>
<w:r><w:t xml:space="preserve">ft.).  Thence after a short dip to the south-east, our chain</w:t></w:r>
</w:p>
<w:p>
<w:pPr><w:pStyle w:val="Normal"/></w:pPr>
<w:r><w:t xml:space="preserve">takes near the Great St Bernard Pass the generally eastern</w:t></w:r>
</w:p>
<w:p>
<w:pPr><w:pStyle w:val="Normal"/></w:pPr>
<w:r><w:t xml:space="preserve">direction that it maintains till it reaches Monte Rosa,whence</w:t></w:r>
</w:p>
<w:p>
<w:pPr><w:pStyle w:val="Normal"/></w:pPr>
<w:r><w:t xml:space="preserve">it bends northwards, making one small dip to the east as far</w:t></w:r>
</w:p>
<w:p>
<w:pPr><w:pStyle w:val="Normal"/></w:pPr>
<w:r><w:t xml:space="preserve">as the Simplon Pass.  It is in the portion of the watershed</w:t></w:r>
</w:p>
<w:p>
<w:pPr><w:pStyle w:val="Normal"/></w:pPr>
<w:r><w:t xml:space="preserve">between the Great St Bernard and the Simplon that the main</w:t></w:r>
</w:p>
<w:p>
<w:pPr><w:pStyle w:val="Normal"/></w:pPr>
<w:r><w:t xml:space="preserve">chain maintains a greater average height than in any other</w:t></w:r>
</w:p>
<w:p>
<w:pPr><w:pStyle w:val="Normal"/></w:pPr>
<w:r><w:t xml:space="preserve">part.  But, though it rises in a number of lofty peaks, such</w:t></w:r>
</w:p>
<w:p>
<w:pPr><w:pStyle w:val="Normal"/></w:pPr>
<w:r><w:t xml:space="preserve">as the Mont Velan ( 12,353 ft. ), the Matterhorn (14,782 ft.),</w:t></w:r>
</w:p>
<w:p>
<w:pPr><w:pStyle w:val="Normal"/></w:pPr>
<w:r><w:t xml:space="preserve">the Lyskamm (14,889 ft.), the Nord End of Monte Rosa (15,132</w:t></w:r>
</w:p>
<w:p>
<w:pPr><w:pStyle w:val="Normal"/></w:pPr>
<w:r><w:t xml:space="preserve">ft.), and the Weissmies (13,226ft.), yet manyof the highest</w:t></w:r>
</w:p>
<w:p>
<w:pPr><w:pStyle w:val="Normal"/></w:pPr>
<w:r><w:t xml:space="preserve">points of the region, such as the Grand Combin (14,164 ft.),</w:t></w:r>
</w:p>
<w:p>
<w:pPr><w:pStyle w:val="Normal"/></w:pPr>
<w:r><w:t xml:space="preserve">the Dent Blanche (14,318 ft.), the Weisshorn (14,804 ft.), the</w:t></w:r>
</w:p>
<w:p>
<w:pPr><w:pStyle w:val="Normal"/></w:pPr>
<w:r><w:t xml:space="preserve">true summit or Dufourspitze (15,217 ft.) of Monte Rosa itself,</w:t></w:r>
</w:p>
<w:p>
<w:pPr><w:pStyle w:val="Normal"/></w:pPr>
<w:r><w:t xml:space="preserve">and the Dom (14,942 ft.), all rise on its northern slope and</w:t></w:r>
</w:p>
<w:p>
<w:pPr><w:pStyle w:val="Normal"/></w:pPr>
<w:r><w:t xml:space="preserve">not on the main watershed.  On the other hand the chain between</w:t></w:r>
</w:p>
<w:p>
<w:pPr><w:pStyle w:val="Normal"/></w:pPr>
<w:r><w:t xml:space="preserve">the Great St Bernard and the Simplon sinks at barely half a</w:t></w:r>
</w:p>
<w:p>
<w:pPr><w:pStyle w:val="Normal"/></w:pPr>
<w:r><w:t xml:space="preserve">dozen points below a level of 10,000 ft.  The Simplon Pass</w:t></w:r>
</w:p>
<w:p>
<w:pPr><w:pStyle w:val="Normal"/></w:pPr>
<w:r><w:t xml:space="preserve">corresponds to what may be called a dislocation of the main</w:t></w:r>
</w:p>
<w:p>
<w:pPr><w:pStyle w:val="Normal"/></w:pPr>
<w:r><w:t xml:space="preserve">chain.  Thence to the St Gotthard the divide runs north-east,</w:t></w:r>
</w:p>
<w:p>
<w:pPr><w:pStyle w:val="Normal"/></w:pPr>
<w:r><w:t xml:space="preserve">all the higher summits (including the Monte Leone, 11,684</w:t></w:r>
</w:p>
<w:p>
<w:pPr><w:pStyle w:val="Normal"/></w:pPr>
<w:r><w:t xml:space="preserve">ft., and the Pizzo Rotondo, 10,489 ft.) rising on it, a curious</w:t></w:r>
</w:p>
<w:p>
<w:pPr><w:pStyle w:val="Normal"/></w:pPr>
<w:r><w:t xml:space="preserve">contrast to the long stretch just described.  From the St</w:t></w:r>
</w:p>
<w:p>
<w:pPr><w:pStyle w:val="Normal"/></w:pPr>
<w:r><w:t xml:space="preserve">Gotthard to the Maloja the watershed between the basins of the</w:t></w:r>
</w:p>
<w:p>
<w:pPr><w:pStyle w:val="Normal"/></w:pPr>
<w:r><w:t xml:space="preserve">Rhine and Po runs in an easterly direction as a whole, though</w:t></w:r>
</w:p>
<w:p>
<w:pPr><w:pStyle w:val="Normal"/></w:pPr>
<w:r><w:t xml:space="preserve">making two great dips towards the south, first to near the</w:t></w:r>
</w:p>
<w:p>
<w:pPr><w:pStyle w:val="Normal"/></w:pPr>
<w:r><w:t xml:space="preserve">Vogelberg (10,565 ft.) and again to near the Pizzo Gailegione</w:t></w:r>
</w:p>
<w:p>
<w:pPr><w:pStyle w:val="Normal"/></w:pPr>
<w:r><w:t xml:space="preserve">(10,201 ft.), so that it presents a broken and irregular</w:t></w:r>
</w:p>
<w:p>
<w:pPr><w:pStyle w:val="Normal"/></w:pPr>
<w:r><w:t xml:space="preserve">appearance.  But all the loftiest peaks rise on it: Scopi</w:t></w:r>
</w:p>
<w:p>
<w:pPr><w:pStyle w:val="Normal"/></w:pPr>
<w:r><w:t xml:space="preserve">(10,499 ft.), Piz Medel (10,509 ft.), the Rheinwaldhorn (11,I49</w:t></w:r>
</w:p>
<w:p>
<w:pPr><w:pStyle w:val="Normal"/></w:pPr>
<w:r><w:t xml:space="preserve">ft.), the Tambohorn (10,749 ft.) and Piz Timun (10,502 ft.).</w:t></w:r>
</w:p>
<w:p>
<w:pPr><w:pStyle w:val="Normal"/></w:pPr>
<w:r><w:t xml:space="preserve">From the Maloja Pass the main watershed dips to the south-east</w:t></w:r>
</w:p>
<w:p>
<w:pPr><w:pStyle w:val="Normal"/></w:pPr>
<w:r><w:t xml:space="preserve">for a short distance, and then runs eastwards and nearly over</w:t></w:r>
</w:p>
<w:p>
<w:pPr><w:pStyle w:val="Normal"/></w:pPr>
<w:r><w:t xml:space="preserve">the highest summit of the Bernina group, the Piz Bernina (13,304</w:t></w:r>
</w:p>
<w:p>
<w:pPr><w:pStyle w:val="Normal"/></w:pPr>
<w:r><w:t xml:space="preserve">ft.), to the Bernina Pass.  Thence to the Reschen Scheideck</w:t></w:r>
</w:p>
<w:p>
<w:pPr><w:pStyle w:val="Normal"/></w:pPr>
<w:r><w:t xml:space="preserve">Pass the main chain is ill-defined, though on it rises the</w:t></w:r>
</w:p>
<w:p>
<w:pPr><w:pStyle w:val="Normal"/></w:pPr>
<w:r><w:t xml:space="preserve">Corno di Campo (10,844 ft.), beyond which it runs slightly</w:t></w:r>
</w:p>
<w:p>
<w:pPr><w:pStyle w:val="Normal"/></w:pPr>
<w:r><w:t xml:space="preserve">north-east past the sources of the Adda and the Fraele Pass,</w:t></w:r>
</w:p>
<w:p>
<w:pPr><w:pStyle w:val="Normal"/></w:pPr>
<w:r><w:t xml:space="preserve">sinks to form the depression of the Ofen Pass, soon hends</w:t></w:r>
</w:p>
<w:p>
<w:pPr><w:pStyle w:val="Normal"/></w:pPr>
<w:r><w:t xml:space="preserve">north and rises once more in the Piz Sesvenna (10,568 ft.).</w:t></w:r>
</w:p>
<w:p>
<w:pPr><w:pStyle w:val="Normal"/></w:pPr>
<w:r><w:t xml:space="preserve">The break in the continuity of the Alpine chain marked by the</w:t></w:r>
</w:p>
<w:p>
<w:pPr><w:pStyle w:val="Normal"/></w:pPr>
<w:r><w:t xml:space="preserve">deep valley, the Vintschgau, of the upper Adige (Etsch) is</w:t></w:r>
</w:p>
<w:p>
<w:pPr><w:pStyle w:val="Normal"/></w:pPr>
<w:r><w:t xml:space="preserve">one of the most remarkable features in the orography of the</w:t></w:r>
</w:p>
<w:p>
<w:pPr><w:pStyle w:val="Normal"/></w:pPr>
<w:r><w:t xml:space="preserve">Alps.  The little Reschen lake which forms the chief source</w:t></w:r>
</w:p>
<w:p>
<w:pPr><w:pStyle w:val="Normal"/></w:pPr>
<w:r><w:t xml:space="preserve">of the Adige is only 13 ft. below the Reschen Scheideck</w:t></w:r>
</w:p>
<w:p>
<w:pPr><w:pStyle w:val="Normal"/></w:pPr>
<w:r><w:t xml:space="preserve">Pass (4902 ft.), and by it is but 5 m. from the Inn valley.</w:t></w:r>
</w:p>
<w:p>
<w:pPr><w:pStyle w:val="Normal"/></w:pPr>
<w:r><w:t xml:space="preserve">Eastward of this pass, the main chain runs north-east to the</w:t></w:r>
</w:p>
<w:p>
<w:pPr><w:pStyle w:val="Normal"/></w:pPr>
<w:r><w:t xml:space="preserve">Brenner Pass along the snowy crest of the Oetzthal and Stubai</w:t></w:r>
</w:p>
<w:p>
<w:pPr><w:pStyle w:val="Normal"/></w:pPr>
<w:r><w:t xml:space="preserve">Alps, the loftiest point on it being the Weisskugel (12,291</w:t></w:r>
</w:p>
<w:p>
<w:pPr><w:pStyle w:val="Normal"/></w:pPr>
<w:r><w:t xml:space="preserve">ft., Oetzthal), for the highest summits both of the Oetzthal</w:t></w:r>
</w:p>
<w:p>
<w:pPr><w:pStyle w:val="Normal"/></w:pPr>
<w:r><w:t xml:space="preserve">and of the Stubai districts, the Wildspitze (12,382 ft.) and</w:t></w:r>
</w:p>
<w:p>
<w:pPr><w:pStyle w:val="Normal"/></w:pPr>
<w:r><w:t xml:space="preserve">the Zuckerhutl (11,520 ft.) stand a little to the north.</w:t></w:r>
</w:p>
<w:p>
<w:pPr><w:pStyle w:val="Normal"/></w:pPr>
<w:r><w:t xml:space="preserve">The Brenner (4495 ft.) is almost the lowest of all the great</w:t></w:r>
</w:p>
<w:p>
<w:pPr><w:pStyle w:val="Normal"/></w:pPr>
<w:r><w:t xml:space="preserve">Carriage-road passes across the main chain, and has always</w:t></w:r>
</w:p>
<w:p>
<w:pPr><w:pStyle w:val="Normal"/></w:pPr>
<w:r><w:t xml:space="preserve">been the chief means of communication between Germany and</w:t></w:r>
</w:p>
<w:p>
<w:pPr><w:pStyle w:val="Normal"/></w:pPr>
<w:r><w:t xml:space="preserve">Italy.  For some way beyond it the watershed runs eastwards</w:t></w:r>
</w:p>
<w:p>
<w:pPr><w:pStyle w:val="Normal"/></w:pPr>
<w:r><w:t xml:space="preserve">over the highest crest of the Zillerthal Alps, which attains</w:t></w:r>
</w:p>
<w:p>
<w:pPr><w:pStyle w:val="Normal"/></w:pPr>
<w:r><w:t xml:space="preserve">11,559 ft. in the Hochfeiler.  But, a little farther, at</w:t></w:r>
</w:p>
<w:p>
<w:pPr><w:pStyle w:val="Normal"/></w:pPr>
<w:r><w:t xml:space="preserve">the Dreiherrenspitze (11,500 ft.) we have to choose between</w:t></w:r>
</w:p>
<w:p>
<w:pPr><w:pStyle w:val="Normal"/></w:pPr>
<w:r><w:t xml:space="preserve">following the watershed southwards, or keeping due east along</w:t></w:r>
</w:p>
<w:p>
<w:pPr><w:pStyle w:val="Normal"/></w:pPr>
<w:r><w:t xml:space="preserve">the highest crest of the Greater Tauern Alps. (a) The latter</w:t></w:r>
</w:p>
<w:p>
<w:pPr><w:pStyle w:val="Normal"/></w:pPr>
<w:r><w:t xml:space="preserve">course is adopted by many geographers and has much in its</w:t></w:r>
</w:p>
<w:p>
<w:pPr><w:pStyle w:val="Normal"/></w:pPr>
<w:r><w:t xml:space="preserve">favour.  The eastward direction is maintained and the watershed</w:t></w:r>
</w:p>
<w:p>
<w:pPr><w:pStyle w:val="Normal"/></w:pPr>
<w:r><w:t xml:space="preserve">(though not the chief Alpine watershed) continues through</w:t></w:r>
</w:p>
<w:p>
<w:pPr><w:pStyle w:val="Normal"/></w:pPr>
<w:r><w:t xml:space="preserve">the Greater Tauern Alps, culminating in the Gross Venediger</w:t></w:r>
</w:p>
<w:p>
<w:pPr><w:pStyle w:val="Normal"/></w:pPr>
<w:r><w:t xml:space="preserve">(12,008 ft.), for the Gross Glockner (12,461 ft.) rises to the</w:t></w:r>
</w:p>
<w:p>
<w:pPr><w:pStyle w:val="Normal"/></w:pPr>
<w:r><w:t xml:space="preserve">south.  Our chain bends north-east near the Radstadter Tauern</w:t></w:r>
</w:p>
<w:p>
<w:pPr><w:pStyle w:val="Normal"/></w:pPr>
<w:r><w:t xml:space="preserve">Pass, and preserves that direction through the Lesser Tauern</w:t></w:r>
</w:p>
<w:p>
<w:pPr><w:pStyle w:val="Normal"/></w:pPr>
<w:r><w:t xml:space="preserve">Alps to the Semmering Pass. (b) On the other hand, if from</w:t></w:r>
</w:p>
<w:p>
<w:pPr><w:pStyle w:val="Normal"/></w:pPr>
<w:r><w:t xml:space="preserve">the Dreiherrenspitze we cleave to the true main watershed</w:t></w:r>
</w:p>
<w:p>
<w:pPr><w:pStyle w:val="Normal"/></w:pPr>
<w:r><w:t xml:space="preserve">of the Alpine chain, we find that it dips south, passes</w:t></w:r>
</w:p>
<w:p>
<w:pPr><w:pStyle w:val="Normal"/></w:pPr>
<w:r><w:t xml:space="preserve">over the Hochgall (11,287 ft.), the culminating point of the</w:t></w:r>
</w:p>
<w:p>
<w:pPr><w:pStyle w:val="Normal"/></w:pPr>
<w:r><w:t xml:space="preserve">Rieserferner group, and then sinks to the Toblach Pass, but at</w:t></w:r>
</w:p>
<w:p>
<w:pPr><w:pStyle w:val="Normal"/></w:pPr>
<w:r><w:t xml:space="preserve">a point a little east of the great Dolomite peak of the Drei</w:t></w:r>
</w:p>
<w:p>
<w:pPr><w:pStyle w:val="Normal"/></w:pPr>
<w:r><w:t xml:space="preserve">Zinnen it hends east again, and rises in the Monte Coghans</w:t></w:r>
</w:p>
<w:p>
<w:pPr><w:pStyle w:val="Normal"/></w:pPr>
<w:r><w:t xml:space="preserve">(9128 ft., the monarch of the Carnic Alps).  Soon after our</w:t></w:r>
</w:p>
<w:p>
<w:pPr><w:pStyle w:val="Normal"/></w:pPr>
<w:r><w:t xml:space="preserve">watershed makes a last bend to the south-east and culminates</w:t></w:r>
</w:p>
<w:p>
<w:pPr><w:pStyle w:val="Normal"/></w:pPr>
<w:r><w:t xml:space="preserve">in the Terglou (9400 ft.), the highest point of the Julio</w:t></w:r>
</w:p>
<w:p>
<w:pPr><w:pStyle w:val="Normal"/></w:pPr>
<w:r><w:t xml:space="preserve">Alps, though the Grintovc (8429 ft., the culminating point</w:t></w:r>
</w:p>
<w:p>
<w:pPr><w:pStyle w:val="Normal"/></w:pPr>
<w:r><w:t xml:space="preserve">of the Karawankas Alps) stands more to the east.  Finally</w:t></w:r>
</w:p>
<w:p>
<w:pPr><w:pStyle w:val="Normal"/></w:pPr>
<w:r><w:t xml:space="preserve">our watershed turns south and ends near the great limestone</w:t></w:r>
</w:p>
<w:p>
<w:pPr><w:pStyle w:val="Normal"/></w:pPr>
<w:r><w:t xml:space="preserve">plateau of the Birnbaumerwald, between Laibach and Gorz.</w:t></w:r>
</w:p>
<w:p>
<w:pPr><w:pStyle w:val="Normal"/></w:pPr>
<w:r><w:t xml:space="preserve">As might be expected, the main chain boasts of more glaciers</w:t></w:r>
</w:p>
<w:p>
<w:pPr><w:pStyle w:val="Normal"/></w:pPr>
<w:r><w:t xml:space="preserve">and eternal snow than the independent or external ranges.</w:t></w:r>
</w:p>
<w:p>
<w:pPr><w:pStyle w:val="Normal"/></w:pPr>
<w:r><w:t xml:space="preserve">Yet it is a curious fact that the three longest glaciers in</w:t></w:r>
</w:p>
<w:p>
<w:pPr><w:pStyle w:val="Normal"/></w:pPr>
<w:r><w:t xml:space="preserve">the Alps (the Great Aletsch, 16 1/2 m., and the Unteraar and the</w:t></w:r>
</w:p>
<w:p>
<w:pPr><w:pStyle w:val="Normal"/></w:pPr>
<w:r><w:t xml:space="preserve">Fiescher, each 10 m.) are all in the Bernese Oberland.  In</w:t></w:r>
</w:p>
<w:p>
<w:pPr><w:pStyle w:val="Normal"/></w:pPr>
<w:r><w:t xml:space="preserve">the main chain the two longest are both 9 1/4 m., the Mer de</w:t></w:r>
</w:p>
<w:p>
<w:pPr><w:pStyle w:val="Normal"/></w:pPr>
<w:r><w:t xml:space="preserve">Glace at Chamonix and the Gomer at Zermatt.  In the Eastern</w:t></w:r>
</w:p>
<w:p>
<w:pPr><w:pStyle w:val="Normal"/></w:pPr>
<w:r><w:t xml:space="preserve">Alps the longest glacier is the Pasterze (rather over 6 1/4</w:t></w:r>
</w:p>
<w:p>
<w:pPr><w:pStyle w:val="Normal"/></w:pPr>
<w:r><w:t xml:space="preserve">m.), which is not near the true main watershed, though it</w:t></w:r>
</w:p>
<w:p>
<w:pPr><w:pStyle w:val="Normal"/></w:pPr>
<w:r><w:t xml:space="preserve">clings to the slope of the Greater Tauern range, east of the</w:t></w:r>
</w:p>
<w:p>
<w:pPr><w:pStyle w:val="Normal"/></w:pPr>
<w:r><w:t xml:space="preserve">Dreiherrenspitze.  But the next two longest glaciers in the Eastern</w:t></w:r>
</w:p>
<w:p>
<w:pPr><w:pStyle w:val="Normal"/></w:pPr>
<w:r><w:t xml:space="preserve">Alps (the Hintereis, 6 1/2 m., and the Gepatsch, 6 m.) are both</w:t></w:r>
</w:p>
<w:p>
<w:pPr><w:pStyle w:val="Normal"/></w:pPr>
<w:r><w:t xml:space="preserve">in the Oetzthal Alps, and so close to the true main watershed.</w:t></w:r>
</w:p>
<w:p>
<w:pPr><w:pStyle w:val="Normal"/></w:pPr>
<w:r><w:t xml:space="preserve">The so-called alpine lakes are the sheets of water found at the</w:t></w:r>
</w:p>
<w:p>
<w:pPr><w:pStyle w:val="Normal"/></w:pPr>
<w:r><w:t xml:space="preserve">foot of the Alps, on either slope, just where the rivers that</w:t></w:r>
</w:p>
<w:p>
<w:pPr><w:pStyle w:val="Normal"/></w:pPr>
<w:r><w:t xml:space="preserve">form them issue into the plains.  There are, however, alpine</w:t></w:r>
</w:p>
<w:p>
<w:pPr><w:pStyle w:val="Normal"/></w:pPr>
<w:r><w:t xml:space="preserve">lakes higher up (e.g. the lake of Thun, and those in the</w:t></w:r>
</w:p>
<w:p>
<w:pPr><w:pStyle w:val="Normal"/></w:pPr>
<w:r><w:t xml:space="preserve">Upper Engadine, in the heart of the mountains, though these are</w:t></w:r>
</w:p>
<w:p>
<w:pPr><w:pStyle w:val="Normal"/></w:pPr>
<w:r><w:t xml:space="preserve">naturally smaller in extent, while the true lakes of the High</w:t></w:r>
</w:p>
<w:p>
<w:pPr><w:pStyle w:val="Normal"/></w:pPr>
<w:r><w:t xml:space="preserve">Alps are represented by the glacier lakes of the Marjelensee</w:t></w:r>
</w:p>
<w:p>
<w:pPr><w:pStyle w:val="Normal"/></w:pPr>
<w:r><w:t xml:space="preserve">(near the Great Aletsch glacier) and those on the northern</w:t></w:r>
</w:p>
<w:p>
<w:pPr><w:pStyle w:val="Normal"/></w:pPr>
<w:r><w:t xml:space="preserve">slope of the Col de Fenetre, between Aosta and the Val de</w:t></w:r>
</w:p>
<w:p>
<w:pPr><w:pStyle w:val="Normal"/></w:pPr>
<w:r><w:t xml:space="preserve">Bagnes.  The most singular, and probably the loftiest, lake</w:t></w:r>
</w:p>
<w:p>
<w:pPr><w:pStyle w:val="Normal"/></w:pPr>
<w:r><w:t xml:space="preserve">in the Alps is the ever-frozen tarn that forms the summit</w:t></w:r>
</w:p>
<w:p>
<w:pPr><w:pStyle w:val="Normal"/></w:pPr>
<w:r><w:t xml:space="preserve">of the Roccia Viva (11,976 ft.) in the Eastern Graians.</w:t></w:r>
</w:p>
<w:p>
<w:pPr><w:pStyle w:val="Normal"/></w:pPr>
<w:r><w:t xml:space="preserve">Among the great alpine rivers we may distinguish two</w:t></w:r>
</w:p>
<w:p>
<w:pPr><w:pStyle w:val="Normal"/></w:pPr>
<w:r><w:t xml:space="preserve">classes: those which spring directly from glaciers and those</w:t></w:r>
</w:p>
<w:p>
<w:pPr><w:pStyle w:val="Normal"/></w:pPr>
<w:r><w:t xml:space="preserve">which rise in lakes, these being fed by eternal snows or</w:t></w:r>
</w:p>
<w:p>
<w:pPr><w:pStyle w:val="Normal"/></w:pPr>
<w:r><w:t xml:space="preserve">glaciers.  In the former class are the Isere, the Rhone,</w:t></w:r>
</w:p>
<w:p>
<w:pPr><w:pStyle w:val="Normal"/></w:pPr>
<w:r><w:t xml:space="preserve">the Aar, the Ticino, the Tosa, the Hinter (or main)</w:t></w:r>
</w:p>
<w:p>
<w:pPr><w:pStyle w:val="Normal"/></w:pPr>
<w:r><w:t xml:space="preserve">Rhine and the Linth; while in the latter class we have the</w:t></w:r>
</w:p>
<w:p>
<w:pPr><w:pStyle w:val="Normal"/></w:pPr>
<w:r><w:t xml:space="preserve">Durance, the Po, the Reuss, the Vorder and middle branches</w:t></w:r>
</w:p>
<w:p>
<w:pPr><w:pStyle w:val="Normal"/></w:pPr>
<w:r><w:t xml:space="preserve">of the Rhine, the Inn, the Adda, the Ogho and the Adige.</w:t></w:r>
</w:p>
<w:p>
<w:pPr><w:pStyle w:val="Normal"/></w:pPr>
<w:r><w:t xml:space="preserve">The Piave and the Drave seem to be outside either class.</w:t></w:r>
</w:p>
<w:p>
<w:pPr><w:pStyle w:val="Normal"/></w:pPr>
<w:r><w:t xml:space="preserve">5. Principal Passes.--Though the Alps form a barrier they have</w:t></w:r>
</w:p>
<w:p>
<w:pPr><w:pStyle w:val="Normal"/></w:pPr>
<w:r><w:t xml:space="preserve">never formed an impassable barrier, since, from the earliest</w:t></w:r>
</w:p>
<w:p>
<w:pPr><w:pStyle w:val="Normal"/></w:pPr>
<w:r><w:t xml:space="preserve">days onwards, they have been traversed first, perhaps, for</w:t></w:r>
</w:p>
<w:p>
<w:pPr><w:pStyle w:val="Normal"/></w:pPr>
<w:r><w:t xml:space="preserve">purposes of war or commerce, and later by pilgrims, students and</w:t></w:r>
</w:p>
<w:p>
<w:pPr><w:pStyle w:val="Normal"/></w:pPr>
<w:r><w:t xml:space="preserve">tourists.  The spots at which they were crossed are called</w:t></w:r>
</w:p>
<w:p>
<w:pPr><w:pStyle w:val="Normal"/></w:pPr>
<w:r><w:t xml:space="preserve">passes (this word is sometimes though rarely applied to gorges</w:t></w:r>
</w:p>
<w:p>
<w:pPr><w:pStyle w:val="Normal"/></w:pPr>
<w:r><w:t xml:space="preserve">only), and are the points at which the great chain sinks to</w:t></w:r>
</w:p>
<w:p>
<w:pPr><w:pStyle w:val="Normal"/></w:pPr>
<w:r><w:t xml:space="preserve">form depressions, up to which deep-cut valleys lead from the</w:t></w:r>
</w:p>
<w:p>
<w:pPr><w:pStyle w:val="Normal"/></w:pPr>
<w:r><w:t xml:space="preserve">plains.  Hence the oldest name for such passes is Mont</w:t></w:r>
</w:p>
<w:p>
<w:pPr><w:pStyle w:val="Normal"/></w:pPr>
<w:r><w:t xml:space="preserve">(still retained in cases of the Mont Cenis and the Monte</w:t></w:r>
</w:p>
<w:p>
<w:pPr><w:pStyle w:val="Normal"/></w:pPr>
<w:r><w:t xml:space="preserve">Moro), for it was many ages before this term was especially</w:t></w:r>
</w:p>
<w:p>
<w:pPr><w:pStyle w:val="Normal"/></w:pPr>
<w:r><w:t xml:space="preserve">applied to the peaks of the Alps, which with a few very rare</w:t></w:r>
</w:p>
<w:p>
<w:pPr><w:pStyle w:val="Normal"/></w:pPr>
<w:r><w:t xml:space="preserve">exceptions (e.g. the Monte Viso was known to the Romans as</w:t></w:r>
</w:p>
<w:p>
<w:pPr><w:pStyle w:val="Normal"/></w:pPr>
<w:r><w:t xml:space="preserve">Vesulus) were long simply disregarded.  The native inhabitants</w:t></w:r>
</w:p>
<w:p>
<w:pPr><w:pStyle w:val="Normal"/></w:pPr>
<w:r><w:t xml:space="preserve">of the Alps were naturally the first to use the alpine</w:t></w:r>
</w:p>
<w:p>
<w:pPr><w:pStyle w:val="Normal"/></w:pPr>
<w:r><w:t xml:space="preserve">passes.  But to the outer world these passes first became known</w:t></w:r>
</w:p>
<w:p>
<w:pPr><w:pStyle w:val="Normal"/></w:pPr>
<w:r><w:t xml:space="preserve">when the Romans traversed them in order to conquer the world</w:t></w:r>
</w:p>
<w:p>
<w:pPr><w:pStyle w:val="Normal"/></w:pPr>
<w:r><w:t xml:space="preserve">beyond.  In the one case we have no direct knowledge (though</w:t></w:r>
</w:p>
<w:p>
<w:pPr><w:pStyle w:val="Normal"/></w:pPr>
<w:r><w:t xml:space="preserve">the Romans probably selected the passes pointed out to them</w:t></w:r>
</w:p>
<w:p>
<w:pPr><w:pStyle w:val="Normal"/></w:pPr>
<w:r><w:t xml:space="preserve">by the natives as the easiest), while in the other we hear</w:t></w:r>
</w:p>
<w:p>
<w:pPr><w:pStyle w:val="Normal"/></w:pPr>
<w:r><w:t xml:space="preserve">almost exclusively of the passes across the main chain or</w:t></w:r>
</w:p>
<w:p>
<w:pPr><w:pStyle w:val="Normal"/></w:pPr>
<w:r><w:t xml:space="preserve">the principal passes of the Alps.  For obvious reasons the</w:t></w:r>
</w:p>
<w:p>
<w:pPr><w:pStyle w:val="Normal"/></w:pPr>
<w:r><w:t xml:space="preserve">Romans, having once found an easy direct pass across the main</w:t></w:r>
</w:p>
<w:p>
<w:pPr><w:pStyle w:val="Normal"/></w:pPr>
<w:r><w:t xml:space="preserve">chain, did not trouble to seek for harder and more devious</w:t></w:r>
</w:p>
<w:p>
<w:pPr><w:pStyle w:val="Normal"/></w:pPr>
<w:r><w:t xml:space="preserve">routes.  Hence the passes that can be shown to have been</w:t></w:r>
</w:p>
<w:p>
<w:pPr><w:pStyle w:val="Normal"/></w:pPr>
<w:r><w:t xml:space="preserve">certainly known to them are comparatively few in number: they</w:t></w:r>
</w:p>
<w:p>
<w:pPr><w:pStyle w:val="Normal"/></w:pPr>
<w:r><w:t xml:space="preserve">are, in topographical order from west to east, the Col de</w:t></w:r>
</w:p>
<w:p>
<w:pPr><w:pStyle w:val="Normal"/></w:pPr>
<w:r><w:t xml:space="preserve">l&apos;Argentiere, the Mont Genevre, the two St Bernards, the</w:t></w:r>
</w:p>
<w:p>
<w:pPr><w:pStyle w:val="Normal"/></w:pPr>
<w:r><w:t xml:space="preserve">Splugen, the Septimer, the Brenner, the Radstadter Tauern, the</w:t></w:r>
</w:p>
<w:p>
<w:pPr><w:pStyle w:val="Normal"/></w:pPr>
<w:r><w:t xml:space="preserve">Solkscharte, the Plocken and the Pontebba (or Saifnitz).  Of</w:t></w:r>
</w:p>
<w:p>
<w:pPr><w:pStyle w:val="Normal"/></w:pPr>
<w:r><w:t xml:space="preserve">these the Mont Genevre and the Brenner were the most frequented,</w:t></w:r>
</w:p>
<w:p>
<w:pPr><w:pStyle w:val="Normal"/></w:pPr>
<w:r><w:t xml:space="preserve">while it will be noticed that in the Central Alps only two passes</w:t></w:r>
</w:p>
<w:p>
<w:pPr><w:pStyle w:val="Normal"/></w:pPr>
<w:r><w:t xml:space="preserve">(the Splugen and the Septimer) were certainly known to the</w:t></w:r>
</w:p>
<w:p>
<w:pPr><w:pStyle w:val="Normal"/></w:pPr>
<w:r><w:t xml:space="preserve">Romans.  In fact the central portion of the Alps was by far</w:t></w:r>
</w:p>
<w:p>
<w:pPr><w:pStyle w:val="Normal"/></w:pPr>
<w:r><w:t xml:space="preserve">the least Romanised and least known till the early middle</w:t></w:r>
</w:p>
<w:p>
<w:pPr><w:pStyle w:val="Normal"/></w:pPr>
<w:r><w:t xml:space="preserve">ages.  Thus the Simplon is first certainly mentioned in</w:t></w:r>
</w:p>
<w:p>
<w:pPr><w:pStyle w:val="Normal"/></w:pPr>
<w:r><w:t xml:space="preserve">1235, the St Gotthard (without name) in 1236, the Lukmanier</w:t></w:r>
</w:p>
<w:p>
<w:pPr><w:pStyle w:val="Normal"/></w:pPr>
<w:r><w:t xml:space="preserve">in 965, the San Bernardino in 941; of course they may have</w:t></w:r>
</w:p>
<w:p>
<w:pPr><w:pStyle w:val="Normal"/></w:pPr>
<w:r><w:t xml:space="preserve">been known before, but authentic history is silent as regards</w:t></w:r>
</w:p>
<w:p>
<w:pPr><w:pStyle w:val="Normal"/></w:pPr>
<w:r><w:t xml:space="preserve">them till the dates specified.  Even the Mont Cenis (from the</w:t></w:r>
</w:p>
<w:p>
<w:pPr><w:pStyle w:val="Normal"/></w:pPr>
<w:r><w:t xml:space="preserve">15th to the 19th century the favourite pass for travellers</w:t></w:r>
</w:p>
<w:p>
<w:pPr><w:pStyle w:val="Normal"/></w:pPr>
<w:r><w:t xml:space="preserve">going from France to Italy) is first heard of in 756 only.</w:t></w:r>
</w:p>
<w:p>
<w:pPr><w:pStyle w:val="Normal"/></w:pPr>
<w:r><w:t xml:space="preserve">In the 13th century many hitherto unknown passes came into</w:t></w:r>
</w:p>
<w:p>
<w:pPr><w:pStyle w:val="Normal"/></w:pPr>
<w:r><w:t xml:space="preserve">prominence, even some of the easy glacier passes.  It should</w:t></w:r>
</w:p>
<w:p>
<w:pPr><w:pStyle w:val="Normal"/></w:pPr>
<w:r><w:t xml:space="preserve">always be borne in mind that in the Western and Central Alps</w:t></w:r>
</w:p>
<w:p>
<w:pPr><w:pStyle w:val="Normal"/></w:pPr>
<w:r><w:t xml:space="preserve">there is but one ridge to cross, to which access is gained</w:t></w:r>
</w:p>
<w:p>
<w:pPr><w:pStyle w:val="Normal"/></w:pPr>
<w:r><w:t xml:space="preserve">by a deep-cut valley, though often it would be shorter to</w:t></w:r>
</w:p>
<w:p>
<w:pPr><w:pStyle w:val="Normal"/></w:pPr>
<w:r><w:t xml:space="preserve">cross a second pass in order to gain the plains, e.g. the</w:t></w:r>
</w:p>
<w:p>
<w:pPr><w:pStyle w:val="Normal"/></w:pPr>
<w:r><w:t xml:space="preserve">Mont Genevre, that is most directly reached by the Col du</w:t></w:r>
</w:p>
<w:p>
<w:pPr><w:pStyle w:val="Normal"/></w:pPr>
<w:r><w:t xml:space="preserve">Lautaret; and the Simplon, which is best gained by one of the</w:t></w:r>
</w:p>
<w:p>
<w:pPr><w:pStyle w:val="Normal"/></w:pPr>
<w:r><w:t xml:space="preserve">lower passes over the western portion of the Bernese Oberland</w:t></w:r>
</w:p>
<w:p>
<w:pPr><w:pStyle w:val="Normal"/></w:pPr>
<w:r><w:t xml:space="preserve">chain.  On the other hand, in the Eastern Alps, it is generally</w:t></w:r>
</w:p>
<w:p>
<w:pPr><w:pStyle w:val="Normal"/></w:pPr>
<w:r><w:t xml:space="preserve">necessary to cross three distinct ridges between the northern</w:t></w:r>
</w:p>
<w:p>
<w:pPr><w:pStyle w:val="Normal"/></w:pPr>
<w:r><w:t xml:space="preserve">and southern plains, the Central ridge being the highest</w:t></w:r>
</w:p>
<w:p>
<w:pPr><w:pStyle w:val="Normal"/></w:pPr>
<w:r><w:t xml:space="preserve">and most difficult.  Thus the passes which crossed a single</w:t></w:r>
</w:p>
<w:p>
<w:pPr><w:pStyle w:val="Normal"/></w:pPr>
<w:r><w:t xml:space="preserve">ridge, and did not involve too great a detour through a long</w:t></w:r>
</w:p>
<w:p>
<w:pPr><w:pStyle w:val="Normal"/></w:pPr>
<w:r><w:t xml:space="preserve">valley of approach, became the most important and the most</w:t></w:r>
</w:p>
<w:p>
<w:pPr><w:pStyle w:val="Normal"/></w:pPr>
<w:r><w:t xml:space="preserve">popular, e.g. the Mont Cenis, ihe Great St Bernard, the St</w:t></w:r>
</w:p>
<w:p>
<w:pPr><w:pStyle w:val="Normal"/></w:pPr>
<w:r><w:t xml:space="preserve">Gotthard, the Septimer and the Brenner.  As time went on the</w:t></w:r>
</w:p>
<w:p>
<w:pPr><w:pStyle w:val="Normal"/></w:pPr>
<w:r><w:t xml:space="preserve">travellers (with whatever object) who used the great alpine</w:t></w:r>
</w:p>
<w:p>
<w:pPr><w:pStyle w:val="Normal"/></w:pPr>
<w:r><w:t xml:space="preserve">passes could not put up any longer with the bad old mule</w:t></w:r>
</w:p>
<w:p>
<w:pPr><w:pStyle w:val="Normal"/></w:pPr>
<w:r><w:t xml:space="preserve">paths.  A few passes (e.g. the Semmering, the Brenner, the</w:t></w:r>
</w:p>
<w:p>
<w:pPr><w:pStyle w:val="Normal"/></w:pPr>
<w:r><w:t xml:space="preserve">Tenda and the Arlberg) can boast of carriage roads constructed</w:t></w:r>
</w:p>
<w:p>
<w:pPr><w:pStyle w:val="Normal"/></w:pPr>
<w:r><w:t xml:space="preserve">before 1800, while those over the Umbrail and the Great St</w:t></w:r>
</w:p>
<w:p>
<w:pPr><w:pStyle w:val="Normal"/></w:pPr>
<w:r><w:t xml:space="preserve">Bernard were not completed till the early years of the 20th</w:t></w:r>
</w:p>
<w:p>
<w:pPr><w:pStyle w:val="Normal"/></w:pPr>
<w:r><w:t xml:space="preserve">century.  Most of the carriage roads across the great alpine</w:t></w:r>
</w:p>
<w:p>
<w:pPr><w:pStyle w:val="Normal"/></w:pPr>
<w:r><w:t xml:space="preserve">passes were thus constructed in the 19th century (particularly</w:t></w:r>
</w:p>
<w:p>
<w:pPr><w:pStyle w:val="Normal"/></w:pPr>
<w:r><w:t xml:space="preserve">its first half), largely owing to the impetus given by</w:t></w:r>
</w:p>
<w:p>
<w:pPr><w:pStyle w:val="Normal"/></w:pPr>
<w:r><w:t xml:space="preserve">Napoleon.  As late as 1905, the highest pass over the main</w:t></w:r>
</w:p>
<w:p>
<w:pPr><w:pStyle w:val="Normal"/></w:pPr>
<w:r><w:t xml:space="preserve">chain that had a carriage road was the Great St Bernard (8111</w:t></w:r>
</w:p>
<w:p>
<w:pPr><w:pStyle w:val="Normal"/></w:pPr>
<w:r><w:t xml:space="preserve">ft.), but three still higher passes over side ridges have</w:t></w:r>
</w:p>
<w:p>
<w:pPr><w:pStyle w:val="Normal"/></w:pPr>
<w:r><w:t xml:space="preserve">roads---the Stelvio (9055 ft.), the Col du Galibier (8721</w:t></w:r>
</w:p>
<w:p>
<w:pPr><w:pStyle w:val="Normal"/></w:pPr>
<w:r><w:t xml:space="preserve">ft.), in the Dauphine Alps, and the Umbrail Pass (8242</w:t></w:r>
</w:p>
<w:p>
<w:pPr><w:pStyle w:val="Normal"/></w:pPr>
<w:r><w:t xml:space="preserve">ft.).  Still more recently the main alpine chain has been</w:t></w:r>
</w:p>
<w:p>
<w:pPr><w:pStyle w:val="Normal"/></w:pPr>
<w:r><w:t xml:space="preserve">subjected to the further indignity of having railway lines</w:t></w:r>
</w:p>
<w:p>
<w:pPr><w:pStyle w:val="Normal"/></w:pPr>
<w:r><w:t xml:space="preserve">carried over it or through it---the Brenner and the Pontebba</w:t></w:r>
</w:p>
<w:p>
<w:pPr><w:pStyle w:val="Normal"/></w:pPr>
<w:r><w:t xml:space="preserve">lines being cases of the former, and the Col de Tenda, the</w:t></w:r>
</w:p>
<w:p>
<w:pPr><w:pStyle w:val="Normal"/></w:pPr>
<w:r><w:t xml:space="preserve">Mont Cenis (though the tunnel is really 17 m. to the west), the</w:t></w:r>
</w:p>
<w:p>
<w:pPr><w:pStyle w:val="Normal"/></w:pPr>
<w:r><w:t xml:space="preserve">Simplon and the St Gotthard, not to speak of the side passes</w:t></w:r>
</w:p>
<w:p>
<w:pPr><w:pStyle w:val="Normal"/></w:pPr>
<w:r><w:t xml:space="preserve">of the Arlberg, Albula and Pyhrn of the latter.  There are</w:t></w:r>
</w:p>
<w:p>
<w:pPr><w:pStyle w:val="Normal"/></w:pPr>
<w:r><w:t xml:space="preserve">also schemes (more or less advanced) for piercing the Splugen</w:t></w:r>
</w:p>
<w:p>
<w:pPr><w:pStyle w:val="Normal"/></w:pPr>
<w:r><w:t xml:space="preserve">and the Hohe Tauern, both on the main ridge, and the Lotschen</w:t></w:r>
</w:p>
<w:p>
<w:pPr><w:pStyle w:val="Normal"/></w:pPr>
<w:r><w:t xml:space="preserve">Pass, on one of the external ranges.  The numerous mountain</w:t></w:r>
</w:p>
<w:p>
<w:pPr><w:pStyle w:val="Normal"/></w:pPr>
<w:r><w:t xml:space="preserve">railways, chiefly in Switzerland, up various peaks (e.g.</w:t></w:r>
</w:p>
<w:p>
<w:pPr><w:pStyle w:val="Normal"/></w:pPr>
<w:r><w:t xml:space="preserve">the Rigi and Pilatus) and over various side passes (e.g.</w:t></w:r>
</w:p>
<w:p>
<w:pPr><w:pStyle w:val="Normal"/></w:pPr>
<w:r><w:t xml:space="preserve">the Brunig and the Little Scheidegg) do not concern us here.</w:t></w:r>
</w:p>
<w:p>
<w:pPr><w:pStyle w:val="Normal"/></w:pPr>
<w:r><w:t xml:space="preserve">6. Divisions.---The Alps, within the limits indicated under</w:t></w:r>
</w:p>
<w:p>
<w:pPr><w:pStyle w:val="Normal"/></w:pPr>
<w:r><w:t xml:space="preserve">(2) above, form a great range, consisting of a main chain, with</w:t></w:r>
</w:p>
<w:p>
<w:pPr><w:pStyle w:val="Normal"/></w:pPr>
<w:r><w:t xml:space="preserve">ramifications, and of several parallel minor chains.  They thus</w:t></w:r>
</w:p>
<w:p>
<w:pPr><w:pStyle w:val="Normal"/></w:pPr>
<w:r><w:t xml:space="preserve">form a single connected whole as contrasted with the plains</w:t></w:r>
</w:p>
<w:p>
<w:pPr><w:pStyle w:val="Normal"/></w:pPr>
<w:r><w:t xml:space="preserve">at their base, and nature has made no breaks therein, save at</w:t></w:r>
</w:p>
<w:p>
<w:pPr><w:pStyle w:val="Normal"/></w:pPr>
<w:r><w:t xml:space="preserve">the spots where they sink to comparatively low depressions or</w:t></w:r>
</w:p>
<w:p>
<w:pPr><w:pStyle w:val="Normal"/></w:pPr>
<w:r><w:t xml:space="preserve">passes.  But for the sake of practical convenience it has</w:t></w:r>
</w:p>
<w:p>
<w:pPr><w:pStyle w:val="Normal"/></w:pPr>
<w:r><w:t xml:space="preserve">long been usual to select certain of the best marked of</w:t></w:r>
</w:p>
<w:p>
<w:pPr><w:pStyle w:val="Normal"/></w:pPr>
<w:r><w:t xml:space="preserve">these passes to serve as limits within the range, whether to</w:t></w:r>
</w:p>
<w:p>
<w:pPr><w:pStyle w:val="Normal"/></w:pPr>
<w:r><w:t xml:space="preserve">distinguish several great divisions from each other, or to</w:t></w:r>
</w:p>
<w:p>
<w:pPr><w:pStyle w:val="Normal"/></w:pPr>
<w:r><w:t xml:space="preserve">further break up each of these great divisions into smaller</w:t></w:r>
</w:p>
<w:p>
<w:pPr><w:pStyle w:val="Normal"/></w:pPr>
<w:r><w:t xml:space="preserve">groups.  As these divisions, great or small, are so to speak</w:t></w:r>
</w:p>
<w:p>
<w:pPr><w:pStyle w:val="Normal"/></w:pPr>
<w:r><w:t xml:space="preserve">artificial, several systems have been proposed according</w:t></w:r>
</w:p>
<w:p>
<w:pPr><w:pStyle w:val="Normal"/></w:pPr>
<w:r><w:t xml:space="preserve">to which the Alps may be divided.  We give below that which</w:t></w:r>
</w:p>
<w:p>
<w:pPr><w:pStyle w:val="Normal"/></w:pPr>
<w:r><w:t xml:space="preserve">seems to us to be the most satisfactory (based very largely</w:t></w:r>
</w:p>
<w:p>
<w:pPr><w:pStyle w:val="Normal"/></w:pPr>
<w:r><w:t xml:space="preserve">on personal acquaintance with most parts of the range),</w:t></w:r>
</w:p>
<w:p>
<w:pPr><w:pStyle w:val="Normal"/></w:pPr>
<w:r><w:t xml:space="preserve">considering, as in the case of the limits of the chain,</w:t></w:r>
</w:p>
<w:p>
<w:pPr><w:pStyle w:val="Normal"/></w:pPr>
<w:r><w:t xml:space="preserve">only its topographical aspect, as it exists at the present</w:t></w:r>
</w:p>
<w:p>
<w:pPr><w:pStyle w:val="Normal"/></w:pPr>
<w:r><w:t xml:space="preserve">day, while leaving it to geologists, botanists and zoologists</w:t></w:r>
</w:p>
<w:p>
<w:pPr><w:pStyle w:val="Normal"/></w:pPr>
<w:r><w:t xml:space="preserve">to elaborate special divisions as required by these various</w:t></w:r>
</w:p>
<w:p>
<w:pPr><w:pStyle w:val="Normal"/></w:pPr>
<w:r><w:t xml:space="preserve">sciences.  Our selected divisions relate only to the High Alps</w:t></w:r>
</w:p>
<w:p>
<w:pPr><w:pStyle w:val="Normal"/></w:pPr>
<w:r><w:t xml:space="preserve">between the Col de Tenda and the route over the Radstadter</w:t></w:r>
</w:p>
<w:p>
<w:pPr><w:pStyle w:val="Normal"/></w:pPr>
<w:r><w:t xml:space="preserve">Tauern. while in each of the 18 subdivisions the less</w:t></w:r>
</w:p>
<w:p>
<w:pPr><w:pStyle w:val="Normal"/></w:pPr>
<w:r><w:t xml:space="preserve">elevated outlying peaks are regarded as appendages of the</w:t></w:r>
</w:p>
<w:p>
<w:pPr><w:pStyle w:val="Normal"/></w:pPr>
<w:r><w:t xml:space="preserve">higher group within the topographical limits of which they</w:t></w:r>
</w:p>
<w:p>
<w:pPr><w:pStyle w:val="Normal"/></w:pPr>
<w:r><w:t xml:space="preserve">rise.  No attempt, of course, has been made to give a</w:t></w:r>
</w:p>
<w:p>
<w:pPr><w:pStyle w:val="Normal"/></w:pPr>
<w:r><w:t xml:space="preserve">complete catalogue of the peaks and passes of the Alps, while</w:t></w:r>
</w:p>
<w:p>
<w:pPr><w:pStyle w:val="Normal"/></w:pPr>
<w:r><w:t xml:space="preserve">in the case of the peaks the culminating point of a lower</w:t></w:r>
</w:p>
<w:p>
<w:pPr><w:pStyle w:val="Normal"/></w:pPr>
<w:r><w:t xml:space="preserve">halfdetached group has been included rather than the loftier</w:t></w:r>
</w:p>
<w:p>
<w:pPr><w:pStyle w:val="Normal"/></w:pPr>
<w:r><w:t xml:space="preserve">spurs of the higher and main group; in the case of the passes,</w:t></w:r>
</w:p>
<w:p>
<w:pPr><w:pStyle w:val="Normal"/></w:pPr>
<w:r><w:t xml:space="preserve">the villages or valleys they connect have been indicated,</w:t></w:r>
</w:p>
<w:p>
<w:pPr><w:pStyle w:val="Normal"/></w:pPr>
<w:r><w:t xml:space="preserve">and also the general character of the route over each pass.</w:t></w:r>
</w:p>
<w:p>
<w:pPr><w:pStyle w:val="Normal"/></w:pPr>
<w:r><w:t xml:space="preserve">As regards the main divisions, three are generally distinguished;</w:t></w:r>
</w:p>
<w:p>
<w:pPr><w:pStyle w:val="Normal"/></w:pPr>
<w:r><w:t xml:space="preserve">the Western Alps (chiefly French and Italian, with a small</w:t></w:r>
</w:p>
<w:p>
<w:pPr><w:pStyle w:val="Normal"/></w:pPr>
<w:r><w:t xml:space="preserve">bit of the Swiss Valais) being held to extend from the Col de</w:t></w:r>
</w:p>
<w:p>
<w:pPr><w:pStyle w:val="Normal"/></w:pPr>
<w:r><w:t xml:space="preserve">Tenda to the Simplon Pass, the Central Alps (all but wholly</w:t></w:r>
</w:p>
<w:p>
<w:pPr><w:pStyle w:val="Normal"/></w:pPr>
<w:r><w:t xml:space="preserve">Swiss and Italian) thence to the Reschen Scheideck Pass,</w:t></w:r>
</w:p>
<w:p>
<w:pPr><w:pStyle w:val="Normal"/></w:pPr>
<w:r><w:t xml:space="preserve">and the Eastern Alps (wholly Austrian and Italian, save the</w:t></w:r>
</w:p>
<w:p>
<w:pPr><w:pStyle w:val="Normal"/></w:pPr>
<w:r><w:t xml:space="preserve">small Bavarian bit at the northswest angle) thence to the</w:t></w:r>
</w:p>
<w:p>
<w:pPr><w:pStyle w:val="Normal"/></w:pPr>
<w:r><w:t xml:space="preserve">Radstadter Tauern ro:ite, with a bend outwards towards the</w:t></w:r>
</w:p>
<w:p>
<w:pPr><w:pStyle w:val="Normal"/></w:pPr>
<w:r><w:t xml:space="preserve">south-east, as explained under (2) in order to include the</w:t></w:r>
</w:p>
<w:p>
<w:pPr><w:pStyle w:val="Normal"/></w:pPr>
<w:r><w:t xml:space="preserve">higher summits of the SouthEastern Alps.  Strictly speaking,</w:t></w:r>
</w:p>
<w:p>
<w:pPr><w:pStyle w:val="Normal"/></w:pPr>
<w:r><w:t xml:space="preserve">we should follow the Reschen Scheideck route down the</w:t></w:r>
</w:p>
<w:p>
<w:pPr><w:pStyle w:val="Normal"/></w:pPr>
<w:r><w:t xml:space="preserve">Adigevalley, but as this would include in the Central Alps the</w:t></w:r>
</w:p>
<w:p>
<w:pPr><w:pStyle w:val="Normal"/></w:pPr>
<w:r><w:t xml:space="preserve">Ortler and some other of the highest Tirolese summits, it is</w:t></w:r>
</w:p>
<w:p>
<w:pPr><w:pStyle w:val="Normal"/></w:pPr>
<w:r><w:t xml:space="preserve">best (remembering the artificial character of the division)</w:t></w:r>
</w:p>
<w:p>
<w:pPr><w:pStyle w:val="Normal"/></w:pPr>
<w:r><w:t xml:space="preserve">to draw a line from Mals southwards either over the Umbrail</w:t></w:r>
</w:p>
<w:p>
<w:pPr><w:pStyle w:val="Normal"/></w:pPr>
<w:r><w:t xml:space="preserve">Pass (the old historical pass) or the Stelvio (wellknown</w:t></w:r>
</w:p>
<w:p>
<w:pPr><w:pStyle w:val="Normal"/></w:pPr>
<w:r><w:t xml:space="preserve">only since the carriage road was built over it in the first</w:t></w:r>
</w:p>
<w:p>
<w:pPr><w:pStyle w:val="Normal"/></w:pPr>
<w:r><w:t xml:space="preserve">quarter of the 19th century) to the head of the Valtellina,</w:t></w:r>
</w:p>
<w:p>
<w:pPr><w:pStyle w:val="Normal"/></w:pPr>
<w:r><w:t xml:space="preserve">and then over the Aprica Pass (as the Bergamasque Alps properly</w:t></w:r>
</w:p>
<w:p>
<w:pPr><w:pStyle w:val="Normal"/></w:pPr>
<w:r><w:t xml:space="preserve">belong to the Central Alps) to the Oglio valley or the Val</w:t></w:r>
</w:p>
<w:p>
<w:pPr><w:pStyle w:val="Normal"/></w:pPr>
<w:r><w:t xml:space="preserve">Camonica, and down that valley to the Lake of Iseo and Brescid.</w:t></w:r>
</w:p>
<w:p>
<w:pPr><w:pStyle w:val="Normal"/></w:pPr>
<w:r><w:t xml:space="preserve">Assuming these three main divisions, we must now consider in</w:t></w:r>
</w:p>
<w:p>
<w:pPr><w:pStyle w:val="Normal"/></w:pPr>
<w:r><w:t xml:space="preserve">detail the 18 sub-divisions which we distinguish; the first 5</w:t></w:r>
</w:p>
<w:p>
<w:pPr><w:pStyle w:val="Normal"/></w:pPr>
<w:r><w:t xml:space="preserve">forming the Western Alps, the next 7 the Central Alps, and the</w:t></w:r>
</w:p>
<w:p>
<w:pPr><w:pStyle w:val="Normal"/></w:pPr>
<w:r><w:t xml:space="preserve">rest the Eastern Alps, the heights throughout being, of course,</w:t></w:r>
</w:p>
<w:p>
<w:pPr><w:pStyle w:val="Normal"/></w:pPr>
<w:r><w:t xml:space="preserve">given in English feet and representing the latest measurements.</w:t></w:r>
</w:p>
<w:p>
<w:pPr><w:pStyle w:val="Heading1"/></w:pPr>
<w:r><w:t>I. WESTERN ALPS</w:t></w:r>
</w:p>
<w:p>
<w:pPr><w:pStyle w:val="Normal"/></w:pPr>
<w:r><w:t xml:space="preserve">1. Maritime Alps (from the Col de Tenda to the Col de</w:t></w:r>
</w:p>
<w:p>
<w:pPr><w:pStyle w:val="Normal"/></w:pPr>
<w:r><w:t xml:space="preserve">l&apos;Argentiere).</w:t></w:r>
</w:p>
<w:p>
<w:pPr><w:pStyle w:val="Normal"/></w:pPr>
<w:r><w:t xml:space="preserve">Punta dell&apos; Argentera . . . . . 10,794  Mont Tinibras. . . . . . . . . . .9,948</w:t></w:r>
</w:p>
<w:p>
<w:pPr><w:pStyle w:val="Normal"/></w:pPr>
<w:r><w:t xml:space="preserve">Cima dei Golas. . . . . . . . . 10,286  Mont Enchastraye . . . . . . . . .9,695</w:t></w:r>
</w:p>
<w:p>
<w:pPr><w:pStyle w:val="Normal"/></w:pPr>
<w:r><w:t xml:space="preserve">Monte Matto . . . . . . . . . . 10,128  Monte Bego . . . . . . . . . . . .9,426</w:t></w:r>
</w:p>
<w:p>
<w:pPr><w:pStyle w:val="Normal"/></w:pPr>
<w:r><w:t xml:space="preserve">Mont Pelat. . . . . . . . . . . 10,017  Mont Monnier . . . . . . . . . . .9,246</w:t></w:r>
</w:p>
<w:p>
<w:pPr><w:pStyle w:val="Normal"/></w:pPr>
<w:r><w:t xml:space="preserve">Mont Clapier. . . . . . . . . .  9,994  Rocca dell&apos; Abisso . . . . . . . .9,039</w:t></w:r>
</w:p>
<w:p>
<w:pPr><w:pStyle w:val="Normal"/></w:pPr>
<w:r><w:t xml:space="preserve">Chief passes of the Maritime Alps.</w:t></w:r>
</w:p>
<w:p>
<w:pPr><w:pStyle w:val="Normal"/></w:pPr>
<w:r><w:t xml:space="preserve">Passo del Pagarin (Vosubie Valley to Valdieri), snow . . . . . . . . . . .9,236</w:t></w:r>
</w:p>
<w:p>
<w:pPr><w:pStyle w:val="Normal"/></w:pPr>
<w:r><w:t xml:space="preserve">Col di Fremamorta (Tinee Valley to the Baths of Valdieri),</w:t></w:r>
</w:p>
<w:p>
<w:pPr><w:pStyle w:val="Normal"/></w:pPr>
<w:r><w:t xml:space="preserve">bridle path . . . . . . . . . . . . . . . . . . . . . . . . . . . . .8,688</w:t></w:r>
</w:p>
<w:p>
<w:pPr><w:pStyle w:val="Normal"/></w:pPr>
<w:r><w:t xml:space="preserve">Bassa di Druos (same to same), bridle path . . . . . . . . . . . . . . . .8,629</w:t></w:r>
</w:p>
<w:p>
<w:pPr><w:pStyle w:val="Normal"/></w:pPr>
<w:r><w:t xml:space="preserve">Passo di Collalunga (Tinee Valley to Vinadio), bridle path. . . . . . .8,531</w:t></w:r>
</w:p>
<w:p>
<w:pPr><w:pStyle w:val="Normal"/></w:pPr>
<w:r><w:t xml:space="preserve">Coll dell&apos; Agnel (Tenda to Yaldieri), foot path. . . . . . . . . . . . . .8,426</w:t></w:r>
</w:p>
<w:p>
<w:pPr><w:pStyle w:val="Normal"/></w:pPr>
<w:r><w:t xml:space="preserve">Col della Ciriegia (St Martin Vesubie to the Baths of Valdieri),</w:t></w:r>
</w:p>
<w:p>
<w:pPr><w:pStyle w:val="Normal"/></w:pPr>
<w:r><w:t xml:space="preserve">bridle path . . . . . . . . . . . . . . . . . . . . . . . . . . . . .8,370</w:t></w:r>
</w:p>
<w:p>
<w:pPr><w:pStyle w:val="Normal"/></w:pPr>
<w:r><w:t xml:space="preserve">Col des Granges Communes (St Etienne de Tinee to Barcelonnette),</w:t></w:r>
</w:p>
<w:p>
<w:pPr><w:pStyle w:val="Normal"/></w:pPr>
<w:r><w:t xml:space="preserve">bridle path . . . . . . . . . . . . . . . . . . . . . . . . . . . . .8,242</w:t></w:r>
</w:p>
<w:p>
<w:pPr><w:pStyle w:val="Normal"/></w:pPr>
<w:r><w:t xml:space="preserve">Col de Pourriac (Tinee Valley to Argentera), foot path. . . . . . . . .8,222</w:t></w:r>
</w:p>
<w:p>
<w:pPr><w:pStyle w:val="Normal"/></w:pPr>
<w:r><w:t xml:space="preserve">Col della Finestre (St Martin de Vesubie to Valdieri), bridle</w:t></w:r>
</w:p>
<w:p>
<w:pPr><w:pStyle w:val="Normal"/></w:pPr>
<w:r><w:t xml:space="preserve">path. . . . . . . . . . . . . . . . . . . . . . . . . . . . . . . . .8,107</w:t></w:r>
</w:p>
<w:p>
<w:pPr><w:pStyle w:val="Normal"/></w:pPr>
<w:r><w:t xml:space="preserve">Col di Guercia (Tinee Valley t0 Vinadio), foot path . . . . . . . . . .8,042</w:t></w:r>
</w:p>
<w:p>
<w:pPr><w:pStyle w:val="Normal"/></w:pPr>
<w:r><w:t xml:space="preserve">Col della Lombarda (same to same), bridle path . . . . . . . . . . . . . .7,858</w:t></w:r>
</w:p>
<w:p>
<w:pPr><w:pStyle w:val="Normal"/></w:pPr>
<w:r><w:t xml:space="preserve">Col de la Cayolle (Var Valley to Barcelonnette), carriage</w:t></w:r>
</w:p>
<w:p>
<w:pPr><w:pStyle w:val="Normal"/></w:pPr>
<w:r><w:t xml:space="preserve">road. . . . . . . . . . . . . . . . . . . . . . . . . . . . . . . . .7,717</w:t></w:r>
</w:p>
<w:p>
<w:pPr><w:pStyle w:val="Normal"/></w:pPr>
<w:r><w:t xml:space="preserve">Col di Santa Anna (Tinee Valley to Vinadio), bridle path. . . . . . . .7,605</w:t></w:r>
</w:p>
<w:p>
<w:pPr><w:pStyle w:val="Normal"/></w:pPr>
<w:r><w:t xml:space="preserve">Col del Sabbione (Tenda to Valdieri), bridle path. . . . . . . . . . . . .7,428</w:t></w:r>
</w:p>
<w:p>
<w:pPr><w:pStyle w:val="Normal"/></w:pPr>
<w:r><w:t xml:space="preserve">Col d&apos;Allos or de Valgelaye (Verdon Valley to Barcelonnette),</w:t></w:r>
</w:p>
<w:p>
<w:pPr><w:pStyle w:val="Normal"/></w:pPr>
<w:r><w:t xml:space="preserve">carriage road . . . . . . . . . . . . . . . . . . . . . . . . . . . .7,382</w:t></w:r>
</w:p>
<w:p>
<w:pPr><w:pStyle w:val="Normal"/></w:pPr>
<w:r><w:t xml:space="preserve">Col de l&apos;Argentiere (Barcelonnette to Cuneo), carriage road . . . . . .6,545</w:t></w:r>
</w:p>
<w:p>
<w:pPr><w:pStyle w:val="Normal"/></w:pPr>
<w:r><w:t xml:space="preserve">Col de Tenda (Tenda to Cuneo), carriage road, railway beneath. . . . . . .6,145</w:t></w:r>
</w:p>
<w:p>
<w:pPr><w:pStyle w:val="Normal"/></w:pPr>
<w:r><w:t xml:space="preserve">2. Cottian Alps (from the Col de l&apos;Argentiere to the Mont Cenis</w:t></w:r>
</w:p>
<w:p>
<w:pPr><w:pStyle w:val="Normal"/></w:pPr>
<w:r><w:t xml:space="preserve">and westwards to the Col du Galibier).</w:t></w:r>
</w:p>
<w:p>
<w:pPr><w:pStyle w:val="Normal"/></w:pPr>
<w:r><w:t xml:space="preserve">Chief Peaks of the Cottian Alps.</w:t></w:r>
</w:p>
<w:p>
<w:pPr><w:pStyle w:val="Normal"/></w:pPr>
<w:r><w:t xml:space="preserve">Monte Viso . . . . . . . . . . 12,609   Dents d&apos;Ambin. . . . . . . . . . 11,096</w:t></w:r>
</w:p>
<w:p>
<w:pPr><w:pStyle w:val="Normal"/></w:pPr>
<w:r><w:t xml:space="preserve">Viso di Vallante . . . . . . . 12,048   Mont d&apos;Ambin . . . . . . . . . . 11,080</w:t></w:r>
</w:p>
<w:p>
<w:pPr><w:pStyle w:val="Normal"/></w:pPr>
<w:r><w:t xml:space="preserve">Aiguille de Scolette . . . . . 11,500   Pointe de la Font Sancte . . . . 11,057</w:t></w:r>
</w:p>
<w:p>
<w:pPr><w:pStyle w:val="Normal"/></w:pPr>
<w:r><w:t xml:space="preserve">Aiguille de Chambeyron . . . . 11,155   Punta Ferrant. . . . . . . . . . 11,037</w:t></w:r>
</w:p>
<w:p>
<w:pPr><w:pStyle w:val="Normal"/></w:pPr>
<w:r><w:t xml:space="preserve">Grand Rubren . . . . . . . . . 11,142   Visolotto. . . . . . . . . . . . 11,001</w:t></w:r>
</w:p>
<w:p>
<w:pPr><w:pStyle w:val="Normal"/></w:pPr>
<w:r><w:t xml:space="preserve">Bree de Chambeyron . . . . . . 11,116   Rochebrune . . . . . . . . . . . 10,906</w:t></w:r>
</w:p>
<w:p>
<w:pPr><w:pStyle w:val="Normal"/></w:pPr>
<w:r><w:t xml:space="preserve">Rognosa d&apos;Etache . . . . . .  .11,106   Punta Sommeiller . . . . . . . . 10,896</w:t></w:r>
</w:p>
<w:p>
<w:pPr><w:pStyle w:val="Normal"/></w:pPr>
<w:r><w:t xml:space="preserve">Bric Froid . . . . . . . . . . 10,860   Tete des Toillies . . . . . . 10,430</w:t></w:r>
</w:p>
<w:p>
<w:pPr><w:pStyle w:val="Normal"/></w:pPr>
<w:r><w:t xml:space="preserve">Grand Glavza . . . . . . . . . 10,781   Monte Granero. . . . . . . . . . 10,401</w:t></w:r>
</w:p>
<w:p>
<w:pPr><w:pStyle w:val="Normal"/></w:pPr>
<w:r><w:t xml:space="preserve">Rognosa di Sestrieres . . . 10,758   Mont Chaberton . . . . . . . . . 10,286</w:t></w:r>
</w:p>
<w:p>
<w:pPr><w:pStyle w:val="Normal"/></w:pPr>
<w:r><w:t xml:space="preserve">Panestrel. . . . . . . . . . . 10,673   Tete de Moyse . . . . . . . . 10,204</w:t></w:r>
</w:p>
<w:p>
<w:pPr><w:pStyle w:val="Normal"/></w:pPr>
<w:r><w:t xml:space="preserve">Roche du Grand Galibier. . . . 10,637   Monte Meidassa . . . . . . . . . 10,187</w:t></w:r>
</w:p>
<w:p>
<w:pPr><w:pStyle w:val="Normal"/></w:pPr>
<w:r><w:t xml:space="preserve">Peou Roc. . . . . . . . . . 10,601   Pelvo d&apos;Elva . . . . . . . . . . 10,053</w:t></w:r>
</w:p>
<w:p>
<w:pPr><w:pStyle w:val="Normal"/></w:pPr>
<w:r><w:t xml:space="preserve">Pic du Pelvat. . . . . . . . . 10,558   Mont Politri . . . . . . . . . . 10,009</w:t></w:r>
</w:p>
<w:p>
<w:pPr><w:pStyle w:val="Normal"/></w:pPr>
<w:r><w:t xml:space="preserve">Pointe Haute de Mary . . . . . 10,539   Mont Nlbergian . . . . . . . . . .9,974</w:t></w:r>
</w:p>
<w:p>
<w:pPr><w:pStyle w:val="Normal"/></w:pPr>
<w:r><w:t xml:space="preserve">Pic du Thabor. . . . . . . . . 10,316   Brio Bouchet . . . . . . . . . . .9,853</w:t></w:r>
</w:p>
<w:p>
<w:pPr><w:pStyle w:val="Normal"/></w:pPr>
<w:r><w:t xml:space="preserve">Mont Thabor. . . . . . . . . . 10,440   Punta Cournour . . . . . . . . . .9,410</w:t></w:r>
</w:p>
<w:p>
<w:pPr><w:pStyle w:val="Normal"/></w:pPr>
<w:r><w:t xml:space="preserve">Pointe des Cerces. . . . . . . 10,434</w:t></w:r>
</w:p>
<w:p>
<w:pPr><w:pStyle w:val="Normal"/></w:pPr>
<w:r><w:t xml:space="preserve">Chief Passes in the Cottian Alps.</w:t></w:r>
</w:p>
<w:p>
<w:pPr><w:pStyle w:val="Normal"/></w:pPr>
<w:r><w:t xml:space="preserve">Col Sommeiller (Bardonneche to Bramans), snow . . . . . . . . . . . . .9,718</w:t></w:r>
</w:p>
<w:p>
<w:pPr><w:pStyle w:val="Normal"/></w:pPr>
<w:r><w:t xml:space="preserve">Col de la Traversette (Crissolo to Aliries), mainly bridle path</w:t></w:r>
</w:p>
<w:p>
<w:pPr><w:pStyle w:val="Normal"/></w:pPr>
<w:r><w:t xml:space="preserve">beneath pass tunnel made in 1478-1480 . . . . . . . . . . . . . . . .9,679</w:t></w:r>
</w:p>
<w:p>
<w:pPr><w:pStyle w:val="Normal"/></w:pPr>
<w:r><w:t xml:space="preserve">Col d&apos;Ambin (Exilles to Bramans), snow . . . . . . . . . . . . . . . . . .9,364</w:t></w:r>
</w:p>
<w:p>
<w:pPr><w:pStyle w:val="Normal"/></w:pPr>
<w:r><w:t xml:space="preserve">Col de St Veran (Val Varaita to the Queyras Valley), foot</w:t></w:r>
</w:p>
<w:p>
<w:pPr><w:pStyle w:val="Normal"/></w:pPr>
<w:r><w:t xml:space="preserve">path. . . . . . . . . . . . . . . . . . . . . . . . . . . . . . . . .9,331</w:t></w:r>
</w:p>
<w:p>
<w:pPr><w:pStyle w:val="Normal"/></w:pPr>
<w:r><w:t xml:space="preserve">Col n&apos;Etache (Bardonneche to Bramans), bridle path. . . . . . . . . . .9,144</w:t></w:r>
</w:p>
<w:p>
<w:pPr><w:pStyle w:val="Normal"/></w:pPr>
<w:r><w:t xml:space="preserve">Col dell&apos; Agnello (Val Varaita to the Queyras Valley), bridle</w:t></w:r>
</w:p>
<w:p>
<w:pPr><w:pStyle w:val="Normal"/></w:pPr>
<w:r><w:t xml:space="preserve">path. . . . . . . . . . . . . . . . . . . . . . . . . . . . . . . . .9,003</w:t></w:r>
</w:p>
<w:p>
<w:pPr><w:pStyle w:val="Normal"/></w:pPr>
<w:r><w:t xml:space="preserve">Col Girardin (Ubaye Valley to the Queyras Valley), bridle</w:t></w:r>
</w:p>
<w:p>
<w:pPr><w:pStyle w:val="Normal"/></w:pPr>
<w:r><w:t xml:space="preserve">path. . . . . . . . . . . . . . . . . . . . . . . . . . . . . . . . .8,855</w:t></w:r>
</w:p>
<w:p>
<w:pPr><w:pStyle w:val="Normal"/></w:pPr>
<w:r><w:t xml:space="preserve">Col de Sautron (Val Maira to Barcelonnette), bridle path . . . . . . . . .8,823</w:t></w:r>
</w:p>
<w:p>
<w:pPr><w:pStyle w:val="Normal"/></w:pPr>
<w:r><w:t xml:space="preserve">Col de Longet (Ubaye Valley to Val Varaita), bridle path . . . . . . . . .8,767</w:t></w:r>
</w:p>
<w:p>
<w:pPr><w:pStyle w:val="Normal"/></w:pPr>
<w:r><w:t xml:space="preserve">Col de Mary or de M iurin ( Ubaye Valley to Val Maira), bridle</w:t></w:r>
</w:p>
<w:p>
<w:pPr><w:pStyle w:val="Normal"/></w:pPr>
<w:r><w:t xml:space="preserve">path. . . . . . . . . . . . . . . . . . . . . . . . . . . . . . . . .8,708</w:t></w:r>
</w:p>
<w:p>
<w:pPr><w:pStyle w:val="Normal"/></w:pPr>
<w:r><w:t xml:space="preserve">Col d&apos;Abries or de Prali (Perosa to Abries), bridle path . . . . . .8,695</w:t></w:r>
</w:p>
<w:p>
<w:pPr><w:pStyle w:val="Normal"/></w:pPr>
<w:r><w:t xml:space="preserve">Col de la Roue (Bardonneche to Modane), bridle path . . . . . . . . . .8,419</w:t></w:r>
</w:p>
<w:p>
<w:pPr><w:pStyle w:val="Normal"/></w:pPr>
<w:r><w:t xml:space="preserve">Col de Freius (same to same), carriage road, beneath which</w:t></w:r>
</w:p>
<w:p>
<w:pPr><w:pStyle w:val="Normal"/></w:pPr>
<w:r><w:t xml:space="preserve">Col de Clapier (Bramans to Susa), bridle path. . . . . . . . . . . . . . .8,173</w:t></w:r>
</w:p>
<w:p>
<w:pPr><w:pStyle w:val="Normal"/></w:pPr>
<w:r><w:t xml:space="preserve">Col d&apos;Izouard (Briancon to the Queyras Valley), carriage</w:t></w:r>
</w:p>
<w:p>
<w:pPr><w:pStyle w:val="Normal"/></w:pPr>
<w:r><w:t xml:space="preserve">path. . . . . . . . . . . . . . . . . . . . . . . . . . . . . . . . .7,835</w:t></w:r>
</w:p>
<w:p>
<w:pPr><w:pStyle w:val="Normal"/></w:pPr>
<w:r><w:t xml:space="preserve">Col de la Croix (Torre Pellice to Abries); bridle path. . . . . . . . .7,576</w:t></w:r>
</w:p>
<w:p>
<w:pPr><w:pStyle w:val="Normal"/></w:pPr>
<w:r><w:t xml:space="preserve">Petit Mont Cenis (Bramans to the Mont Cenis Plateau), bridle</w:t></w:r>
</w:p>
<w:p>
<w:pPr><w:pStyle w:val="Normal"/></w:pPr>
<w:r><w:t xml:space="preserve">path. . . . . . . . . . . . . . . . . . . . . . . . . . . . . . . . .7,166</w:t></w:r>
</w:p>
<w:p>
<w:pPr><w:pStyle w:val="Normal"/></w:pPr>
<w:r><w:t xml:space="preserve">Col de Vars (Ubaye Valley to the Queyras Valley), carriage</w:t></w:r>
</w:p>
<w:p>
<w:pPr><w:pStyle w:val="Normal"/></w:pPr>
<w:r><w:t xml:space="preserve">path. . . . . . . . . . . . . . . . . . . . . . . . . . . . . . . . .6,939</w:t></w:r>
</w:p>
<w:p>
<w:pPr><w:pStyle w:val="Normal"/></w:pPr>
<w:r><w:t xml:space="preserve">Mont Cenis (Lanslebourg to Susa), carriage road. . . . . . . . . . . . . .6,893</w:t></w:r>
</w:p>
<w:p>
<w:pPr><w:pStyle w:val="Normal"/></w:pPr>
<w:r><w:t xml:space="preserve">Col de Sestrieres (Pignerol to Cesanne), carriage road . . . . . . .6,631</w:t></w:r>
</w:p>
<w:p>
<w:pPr><w:pStyle w:val="Normal"/></w:pPr>
<w:r><w:t xml:space="preserve">Mont Genevre (Briancon to Cesanne), carriage road . . . . . . . .6,083</w:t></w:r>
</w:p>
<w:p>
<w:pPr><w:pStyle w:val="Normal"/></w:pPr>
<w:r><w:t xml:space="preserve">Col des Echelles de Planpipinet (Briangon to Bardonneche),</w:t></w:r>
</w:p>
<w:p>
<w:pPr><w:pStyle w:val="Normal"/></w:pPr>
<w:r><w:t xml:space="preserve">partly carriage road. . . . . . . . . . . . . . . . . . . . . . . . .5,774</w:t></w:r>
</w:p>
<w:p>
<w:pPr><w:pStyle w:val="Normal"/></w:pPr>
<w:r><w:t xml:space="preserve">3. Dauphine Alps (from the Col du Galibier, westwards and southwards).</w:t></w:r>
</w:p>
<w:p>
<w:pPr><w:pStyle w:val="Normal"/></w:pPr>
<w:r><w:t xml:space="preserve">Chief Peaks of the Dauphine Alps.</w:t></w:r>
</w:p>
<w:p>
<w:pPr><w:pStyle w:val="Normal"/></w:pPr>
<w:r><w:t xml:space="preserve">Pointe des Ecrins . . . . . 13,462   Pic Felix Neff. . . . . . . . 10,571</w:t></w:r>
</w:p>
<w:p>
<w:pPr><w:pStyle w:val="Normal"/></w:pPr>
<w:r><w:t xml:space="preserve">Meije. . . . . . . . . . . . . 13,081   Vieux Chaillol . . . . . . . . . 10,378</w:t></w:r>
</w:p>
<w:p>
<w:pPr><w:pStyle w:val="Normal"/></w:pPr>
<w:r><w:t xml:space="preserve">Ailefroide . . . . . . . . . . 12,989   Tete de Vautisse. . . . . . . 10,375</w:t></w:r>
</w:p>
<w:p>
<w:pPr><w:pStyle w:val="Normal"/></w:pPr>
<w:r><w:t xml:space="preserve">Mont Pelvoux . . . . . . . . . 12,973   Grand Pinier . . . . . . . . . . 10,237</w:t></w:r>
</w:p>
<w:p>
<w:pPr><w:pStyle w:val="Normal"/></w:pPr>
<w:r><w:t xml:space="preserve">Pic Sans Nom . . . . . . . . . 12,845   Pic de Parieres . . . . . . . 10,007</w:t></w:r>
</w:p>
<w:p>
<w:pPr><w:pStyle w:val="Normal"/></w:pPr>
<w:r><w:t xml:space="preserve">Pic Gaspard. . . . . . . . . . 12,730   Mourre Froid . . . . . . . . . . .9,830</w:t></w:r>
</w:p>
<w:p>
<w:pPr><w:pStyle w:val="Normal"/></w:pPr>
<w:r><w:t xml:space="preserve">Pic Coolidge . . . . . . . . . 12,323   Belledonne (highest) . . . . . . .9,781</w:t></w:r>
</w:p>
<w:p>
<w:pPr><w:pStyle w:val="Normal"/></w:pPr>
<w:r><w:t xml:space="preserve">Grande Ruine . . . . . . . . . 12,317   Rocherblanc (Septlaux) . . . . . .9,617</w:t></w:r>
</w:p>
<w:p>
<w:pPr><w:pStyle w:val="Normal"/></w:pPr>
<w:r><w:t xml:space="preserve">Rateau. . . . . . . . . . . 12,317   Taillefer. . . . . . . . . . . . .9,387</w:t></w:r>
</w:p>
<w:p>
<w:pPr><w:pStyle w:val="Normal"/></w:pPr>
<w:r><w:t xml:space="preserve">Montagne des Agneaux . . . . . 12,oo8   Pic du Frene. . . . . . . . . .9,219</w:t></w:r>
</w:p>
<w:p>
<w:pPr><w:pStyle w:val="Normal"/></w:pPr>
<w:r><w:t xml:space="preserve">Les Bans . . . . . . . . . . . 11,979   Tete de l&apos;Obiou . . . . . . . .9,164</w:t></w:r>
</w:p>
<w:p>
<w:pPr><w:pStyle w:val="Normal"/></w:pPr>
<w:r><w:t xml:space="preserve">Sommet des Rouies. . . . . . . 11,923   Grand Ferrand. . . . . . . . . . .9,059</w:t></w:r>
</w:p>
<w:p>
<w:pPr><w:pStyle w:val="Normal"/></w:pPr>
<w:r><w:t xml:space="preserve">Aiguille du Plat . . . . . . . 11,818   Pic de Bure (Aurouse). . . . . . .8,898</w:t></w:r>
</w:p>
<w:p>
<w:pPr><w:pStyle w:val="Normal"/></w:pPr>
<w:r><w:t xml:space="preserve">Pic d&apos;Olan.  . . . . . . . . . 11,735   Grand Veymont. . . . . . . . . . .7,697</w:t></w:r>
</w:p>
<w:p>
<w:pPr><w:pStyle w:val="Normal"/></w:pPr>
<w:r><w:t xml:space="preserve">Pic Bonvoisin. . . . . . . . . 11,680   Mont Aiguille. . . . . . . . . . .6,880</w:t></w:r>
</w:p>
<w:p>
<w:pPr><w:pStyle w:val="Normal"/></w:pPr>
<w:r><w:t xml:space="preserve">Aiguilles d&apos;Arves (highest              Chamechaude. . . . . . . . . . . .6,847</w:t></w:r>
</w:p>
<w:p>
<w:pPr><w:pStyle w:val="Normal"/></w:pPr>
<w:r><w:t xml:space="preserve">point). . . . . . . . . . . 11,529   Dent de Crolles. . . . . . . . . .6,779</w:t></w:r>
</w:p>
<w:p>
<w:pPr><w:pStyle w:val="Normal"/></w:pPr>
<w:r><w:t xml:space="preserve">Grandes Rousses. . . . . . . . 11,395   Grand Sore . . . . . . . . . . . .6,670</w:t></w:r>
</w:p>
<w:p>
<w:pPr><w:pStyle w:val="Normal"/></w:pPr>
<w:r><w:t xml:space="preserve">Roche de la Muzelle. . . . . . 11,349   Mont Granier . . . . . . . . . . .6,358</w:t></w:r>
</w:p>
<w:p>
<w:pPr><w:pStyle w:val="Normal"/></w:pPr>
<w:r><w:t xml:space="preserve">Sirac. . . . . . . . . . . . . 11,280   Dent du Chat . . . . . . . . . . .4,593</w:t></w:r>
</w:p>
<w:p>
<w:pPr><w:pStyle w:val="Normal"/></w:pPr>
<w:r><w:t xml:space="preserve">Chief Passes of the Dauphine Alps.</w:t></w:r>
</w:p>
<w:p>
<w:pPr><w:pStyle w:val="Normal"/></w:pPr>
<w:r><w:t xml:space="preserve">Col de la Lauze (St Christophe to La Grave), snow. . . . . . . . . . . . 11,625</w:t></w:r>
</w:p>
<w:p>
<w:pPr><w:pStyle w:val="Normal"/></w:pPr>
<w:r><w:t xml:space="preserve">Col des Avalanches (La Berarde to Vallouise), snow. . . . . . . . . . 11,520</w:t></w:r>
</w:p>
<w:p>
<w:pPr><w:pStyle w:val="Normal"/></w:pPr>
<w:r><w:t xml:space="preserve">Col de la Casse Deserte (La Berarde to La Grave), snow . . . . . . 11,516</w:t></w:r>
</w:p>
<w:p>
<w:pPr><w:pStyle w:val="Normal"/></w:pPr>
<w:r><w:t xml:space="preserve">Col Emile Pic (La Grave to Vallouise), snow . . . . . . . . . . . . . 11,490</w:t></w:r>
</w:p>
<w:p>
<w:pPr><w:pStyle w:val="Normal"/></w:pPr>
<w:r><w:t xml:space="preserve">Col des Ecrins (La Berarde to Vallouise), snow . . . . . . . . . . 11,205</w:t></w:r>
</w:p>
<w:p>
<w:pPr><w:pStyle w:val="Normal"/></w:pPr>
<w:r><w:t xml:space="preserve">Col du Glacier Blanc (La Grave to Vallouise), snow . . . . . . . . . . . 10,854</w:t></w:r>
</w:p>
<w:p>
<w:pPr><w:pStyle w:val="Normal"/></w:pPr>
<w:r><w:t xml:space="preserve">Col du Sele (La Berarde to Vallouise), snow . . . . . . . . . . 10,834</w:t></w:r>
</w:p>
<w:p>
<w:pPr><w:pStyle w:val="Normal"/></w:pPr>
<w:r><w:t xml:space="preserve">Breche de la Meile (La Berarde to la Grave), snow. . . . . . . . . 10,827</w:t></w:r>
</w:p>
<w:p>
<w:pPr><w:pStyle w:val="Normal"/></w:pPr>
<w:r><w:t xml:space="preserve">Col de la Temple (La Berarde to Vallouise), snow. . . . . . . . . . . 10,772</w:t></w:r>
</w:p>
<w:p>
<w:pPr><w:pStyle w:val="Normal"/></w:pPr>
<w:r><w:t xml:space="preserve">Col des Aiguilles d&apos;Arves (Valloire to St Jean d&apos;Arvesl,snow . . . . . . 10,335</w:t></w:r>
</w:p>
<w:p>
<w:pPr><w:pStyle w:val="Normal"/></w:pPr>
<w:r><w:t xml:space="preserve">Col du Says (La Berarde to the Val Gaudemar), snow. . . . . . . . . . 10,289</w:t></w:r>
</w:p>
<w:p>
<w:pPr><w:pStyle w:val="Normal"/></w:pPr>
<w:r><w:t xml:space="preserve">Col du Clot des Cavales (La Berarde to La Grave), snow. . . . . . . . 10,263</w:t></w:r>
</w:p>
<w:p>
<w:pPr><w:pStyle w:val="Normal"/></w:pPr>
<w:r><w:t xml:space="preserve">Col du Loup du Valgaudemar (Vallouise to the Val</w:t></w:r>
</w:p>
<w:p>
<w:pPr><w:pStyle w:val="Normal"/></w:pPr>
<w:r><w:t xml:space="preserve">Gaudemar), snow. . . . . . . . . . . . . . . . . . . . . . . . . . 10,210</w:t></w:r>
</w:p>
<w:p>
<w:pPr><w:pStyle w:val="Normal"/></w:pPr>
<w:r><w:t xml:space="preserve">Col Lombard (La Grave to St Jean d&apos;Arves), snow. . . . . . . . . . . . . 10,171</w:t></w:r>
</w:p>
<w:p>
<w:pPr><w:pStyle w:val="Normal"/></w:pPr>
<w:r><w:t xml:space="preserve">Breche des Grandes Rousses (Allemont to Clavans), snow. . . . . . . . 10,171</w:t></w:r>
</w:p>
<w:p>
<w:pPr><w:pStyle w:val="Normal"/></w:pPr>
<w:r><w:t xml:space="preserve">Col du Sellar (Vallouise to the Val Gaudemar), snow. . . . . . . . . . . 10,063</w:t></w:r>
</w:p>
<w:p>
<w:pPr><w:pStyle w:val="Normal"/></w:pPr>
<w:r><w:t xml:space="preserve">Col de la Muande (St Christophe to the Val Gaudemar),</w:t></w:r>
</w:p>
<w:p>
<w:pPr><w:pStyle w:val="Normal"/></w:pPr>
<w:r><w:t xml:space="preserve">snow. . . . . . . . . . . . . . . . . . . . . . . . . . . . . . . . 10,037</w:t></w:r>
</w:p>
<w:p>
<w:pPr><w:pStyle w:val="Normal"/></w:pPr>
<w:r><w:t xml:space="preserve">Col des Quirlies (St Jean d&apos;Arves to Clavans), snow. . . . . . . . . . . .9,679</w:t></w:r>
</w:p>
<w:p>
<w:pPr><w:pStyle w:val="Normal"/></w:pPr>
<w:r><w:t xml:space="preserve">Col du Goleon (La Grave to Valloire), foot path . . . . . . . . . . . .9,449</w:t></w:r>
</w:p>
<w:p>
<w:pPr><w:pStyle w:val="Normal"/></w:pPr>
<w:r><w:t xml:space="preserve">Pas de la Cavale (Vallouise to Champoleon), carriage road . . . . . . .8,990</w:t></w:r>
</w:p>
<w:p>
<w:pPr><w:pStyle w:val="Normal"/></w:pPr>
<w:r><w:t xml:space="preserve">Col d&apos;Orcieres (Dormillouse to Orcieres), bridle path. . . . . . . .8,859</w:t></w:r>
</w:p>
<w:p>
<w:pPr><w:pStyle w:val="Normal"/></w:pPr>
<w:r><w:t xml:space="preserve">Col de l&apos;Infernet (La Grave to St lean d&apos;Arves), foot path . . . . . . . .8,826</w:t></w:r>
</w:p>
<w:p>
<w:pPr><w:pStyle w:val="Normal"/></w:pPr>
<w:r><w:t xml:space="preserve">Col du Galibier (Lautaret Hospice to St Michel de Maurienne),</w:t></w:r>
</w:p>
<w:p>
<w:pPr><w:pStyle w:val="Normal"/></w:pPr>
<w:r><w:t xml:space="preserve">carriage road . . . . . . . . . . . . . . . . . . . . . . . . . . . .8,721</w:t></w:r>
</w:p>
<w:p>
<w:pPr><w:pStyle w:val="Normal"/></w:pPr>
<w:r><w:t xml:space="preserve">Breche de Valsenestre (Bourg d&apos;Oisans to Valsenestre), foot</w:t></w:r>
</w:p>
<w:p>
<w:pPr><w:pStyle w:val="Normal"/></w:pPr>
<w:r><w:t xml:space="preserve">path. . . . . . . . . . . . . . . . . . . . . . . . . . . . . . . . .8,642</w:t></w:r>
</w:p>
<w:p>
<w:pPr><w:pStyle w:val="Normal"/></w:pPr>
<w:r><w:t xml:space="preserve">Col de Vallonpierre (Val Gaudemar to Champoleon), foot 8,596</w:t></w:r>
</w:p>
<w:p>
<w:pPr><w:pStyle w:val="Normal"/></w:pPr>
<w:r><w:t xml:space="preserve">path. . . . . . . . . . . . . . . . . . . . . . . . . . . . . . . . .8,596</w:t></w:r>
</w:p>
<w:p>
<w:pPr><w:pStyle w:val="Normal"/></w:pPr>
<w:r><w:t xml:space="preserve">Col de Val Estrete (same to same), foot path. . . . . . . . . . . . . .8,596</w:t></w:r>
</w:p>
<w:p>
<w:pPr><w:pStyle w:val="Normal"/></w:pPr>
<w:r><w:t xml:space="preserve">Col de Vaurze (Val Gaudemar to Val souflrey), foot path. . . . . . . . . .8,531</w:t></w:r>
</w:p>
<w:p>
<w:pPr><w:pStyle w:val="Normal"/></w:pPr>
<w:r><w:t xml:space="preserve">Col de Martignare (La Grave to St lean d&apos;Arves), foot path . . . . . . . .8,531</w:t></w:r>
</w:p>
<w:p>
<w:pPr><w:pStyle w:val="Normal"/></w:pPr>
<w:r><w:t xml:space="preserve">Col des Tourettes (Orcieres to Chateauroux), bridle path . . . . . .8,465</w:t></w:r>
</w:p>
<w:p>
<w:pPr><w:pStyle w:val="Normal"/></w:pPr>
<w:r><w:t xml:space="preserve">Col de la Muzelle (St Christophe to Valsenestre), foot path. . . . . . . .8,202</w:t></w:r>
</w:p>
<w:p>
<w:pPr><w:pStyle w:val="Normal"/></w:pPr>
<w:r><w:t xml:space="preserve">Col de l&apos;Eychauda (Vallouise to Monestier), bridle path. . . . . . . . . .7,970</w:t></w:r>
</w:p>
<w:p>
<w:pPr><w:pStyle w:val="Normal"/></w:pPr>
<w:r><w:t xml:space="preserve">Col d&apos;Arsine (La Grave to Monestier), bridle path. . . . . . . . . . . . .7,874</w:t></w:r>
</w:p>
<w:p>
<w:pPr><w:pStyle w:val="Normal"/></w:pPr>
<w:r><w:t xml:space="preserve">Col des Pres Nouveaux (Le Frenev to St Jean d&apos;Arves),</w:t></w:r>
</w:p>
<w:p>
<w:pPr><w:pStyle w:val="Normal"/></w:pPr>
<w:r><w:t xml:space="preserve">bridle path . . . . . . . . . . . . . . . . . . . . . . . . . . . . .7,523</w:t></w:r>
</w:p>
<w:p>
<w:pPr><w:pStyle w:val="Normal"/></w:pPr>
<w:r><w:t xml:space="preserve">Col dessept Lanx (Allevard to Bourg d&apos;Oisans), bridle path . . . . . . . .7,166</w:t></w:r>
</w:p>
<w:p>
<w:pPr><w:pStyle w:val="Normal"/></w:pPr>
<w:r><w:t xml:space="preserve">Col du Lautaret (Briancon to Bourg d&apos;Oisans), carriage</w:t></w:r>
</w:p>
<w:p>
<w:pPr><w:pStyle w:val="Normal"/></w:pPr>
<w:r><w:t xml:space="preserve">road. . . . . . . . . . . . . . . . . . . . . . . . . . . . . . . . .6,808</w:t></w:r>
</w:p>
<w:p>
<w:pPr><w:pStyle w:val="Normal"/></w:pPr>
<w:r><w:t xml:space="preserve">Col de la Croix de Fer (Bourg d&apos;Oisans to St Jean d&apos;Arves),</w:t></w:r>
</w:p>
<w:p>
<w:pPr><w:pStyle w:val="Normal"/></w:pPr>
<w:r><w:t xml:space="preserve">carriage road . . . . . . . . . . . . . . . . . . . . . . . . . . . .6,765</w:t></w:r>
</w:p>
<w:p>
<w:pPr><w:pStyle w:val="Normal"/></w:pPr>
<w:r><w:t xml:space="preserve">Col du Glandon (Bourg d&apos;Oisans to La Chambre), carriage</w:t></w:r>
</w:p>
<w:p>
<w:pPr><w:pStyle w:val="Normal"/></w:pPr>
<w:r><w:t xml:space="preserve">road. . . . . . . . . . . . . . . . . . . . . . . . . . . . . . . . .6,401</w:t></w:r>
</w:p>
<w:p>
<w:pPr><w:pStyle w:val="Normal"/></w:pPr>
<w:r><w:t xml:space="preserve">Col de l&apos;Alpe de Venose (Venose to Le Freney), bridle path . . . . .5,446</w:t></w:r>
</w:p>
<w:p>
<w:pPr><w:pStyle w:val="Normal"/></w:pPr>
<w:r><w:t xml:space="preserve">Col d&apos;Ornon (Bourg d&apos;Oisans to La Mure), carrigae road . . . . . . . . . .4,462</w:t></w:r>
</w:p>
<w:p>
<w:pPr><w:pStyle w:val="Normal"/></w:pPr>
<w:r><w:t xml:space="preserve">Col Bayard (La Mure to Gap), carriage road . . . . . . . . . . . . . . . .4,088</w:t></w:r>
</w:p>
<w:p>
<w:pPr><w:pStyle w:val="Normal"/></w:pPr>
<w:r><w:t xml:space="preserve">Col de la Croix Haute (Grenoble to Veynes and Gap),</w:t></w:r>
</w:p>
<w:p>
<w:pPr><w:pStyle w:val="Normal"/></w:pPr>
<w:r><w:t xml:space="preserve">railway line over . . . . . . . . . . . . . . . . . . . . . . . . . .3,829</w:t></w:r>
</w:p>
<w:p>
<w:pPr><w:pStyle w:val="Normal"/></w:pPr>
<w:r><w:t xml:space="preserve">4.  Graian Alps (from the Mont Cenis to the Little St Bernard</w:t></w:r>
</w:p>
<w:p>
<w:pPr><w:pStyle w:val="Normal"/></w:pPr>
<w:r><w:t xml:space="preserve">Pass).  These are usually divided into three groups, the Central</w:t></w:r>
</w:p>
<w:p>
<w:pPr><w:pStyle w:val="Normal"/></w:pPr>
<w:r><w:t xml:space="preserve">(the watershed between the two passes named), the Western or</w:t></w:r>
</w:p>
<w:p>
<w:pPr><w:pStyle w:val="Normal"/></w:pPr>
<w:r><w:t xml:space="preserve">French, and the Eastern or Italian; in the following lists the</w:t></w:r>
</w:p>
<w:p>
<w:pPr><w:pStyle w:val="Normal"/></w:pPr>
<w:r><w:t xml:space="preserve">initials ``C,&apos;&apos; ``W,&apos;&apos; and ``E&apos;&apos; show to which group each peak</w:t></w:r>
</w:p>
<w:p>
<w:pPr><w:pStyle w:val="Normal"/></w:pPr>
<w:r><w:t xml:space="preserve">and pass belongs.</w:t></w:r>
</w:p>
<w:p>
<w:pPr><w:pStyle w:val="Normal"/></w:pPr>
<w:r><w:t xml:space="preserve">Chief Peaks of the Graian Alps.</w:t></w:r>
</w:p>
<w:p>
<w:pPr><w:pStyle w:val="Normal"/></w:pPr>
<w:r><w:t xml:space="preserve">Grand Paradis (E). . . . . . . 13,324   Grande Aiguille Rousse</w:t></w:r>
</w:p>
<w:p>
<w:pPr><w:pStyle w:val="Normal"/></w:pPr>
<w:r><w:t xml:space="preserve">Grivola (E). . . . . . . . . . 13,022        (C) . . . . . . . . . . . . 11,424</w:t></w:r>
</w:p>
<w:p>
<w:pPr><w:pStyle w:val="Normal"/></w:pPr>
<w:r><w:t xml:space="preserve">Oirande Casse (W). . . . . . . 12,668   Granta Parey (C) . . . . . . . . 11,395</w:t></w:r>
</w:p>
<w:p>
<w:pPr><w:pStyle w:val="Normal"/></w:pPr>
<w:r><w:t xml:space="preserve">Mont Pourri (W). . . . . . . . 12,428   Roc du Mulinet (C) . . . . . . . 11,382</w:t></w:r>
</w:p>
<w:p>
<w:pPr><w:pStyle w:val="Normal"/></w:pPr>
<w:r><w:t xml:space="preserve">Mont Herbetet (E). . . . . . . 12,396   Aiguille Pers (C). . . . . . . . 11,323</w:t></w:r>
</w:p>
<w:p>
<w:pPr><w:pStyle w:val="Normal"/></w:pPr>
<w:r><w:t xml:space="preserve">Pointe de Charbonel (C). . . . 12,336   Pointe de la Sana (W). . . . . . 11,319</w:t></w:r>
</w:p>
<w:p>
<w:pPr><w:pStyle w:val="Normal"/></w:pPr>
<w:r><w:t xml:space="preserve">Aiguille de la Grande                   Cima dell&apos; Auille (C). . . . . . 11,306</w:t></w:r>
</w:p>
<w:p>
<w:pPr><w:pStyle w:val="Normal"/></w:pPr>
<w:r><w:t xml:space="preserve">Sassiere (C) . . . . . 12,325   Pointe de l.Lchelle (W). . . . . 11,260</w:t></w:r>
</w:p>
<w:p>
<w:pPr><w:pStyle w:val="Normal"/></w:pPr>
<w:r><w:t xml:space="preserve">Dent Parrachee (W). . . . . 12,179   Punta Foura (E) . . . . . . . 11,188</w:t></w:r>
</w:p>
<w:p>
<w:pPr><w:pStyle w:val="Normal"/></w:pPr>
<w:r><w:t xml:space="preserve">Tour du Grand St Pierre                 Pointe des Sengies (E) . . . . . 11,182</w:t></w:r>
</w:p>
<w:p>
<w:pPr><w:pStyle w:val="Normal"/></w:pPr>
<w:r><w:t xml:space="preserve">(C) . . . . . . . . . . . 11,424   Pointe de la Gliere (W) . . . 11,109</w:t></w:r>
</w:p>
<w:p>
<w:pPr><w:pStyle w:val="Normal"/></w:pPr>
<w:r><w:t xml:space="preserve">Uja di Ciamareila (C). . . . . 12,061   Pointe de la Galise (C). . . . . 10,975</w:t></w:r>
</w:p>
<w:p>
<w:pPr><w:pStyle w:val="Normal"/></w:pPr>
<w:r><w:t xml:space="preserve">Cima di Charforon (E). . . . . 12,025   Pointe de la Traversiere</w:t></w:r>
</w:p>
<w:p>
<w:pPr><w:pStyle w:val="Normal"/></w:pPr>
<w:r><w:t xml:space="preserve">Grande Motte (W) . . . . . . . 12,018        (C) . . . . . . . . . . . . 10,962</w:t></w:r>
</w:p>
<w:p>
<w:pPr><w:pStyle w:val="Normal"/></w:pPr>
<w:r><w:t xml:space="preserve">Albaron (C). . . . . . . . . . 12,915   Pointe de Mean Martin</w:t></w:r>
</w:p>
<w:p>
<w:pPr><w:pStyle w:val="Normal"/></w:pPr>
<w:r><w:t xml:space="preserve">Roccia Viva (E). . . . . . . . 11,976        (W) . . . . . . . . . . . . 10,949</w:t></w:r>
</w:p>
<w:p>
<w:pPr><w:pStyle w:val="Normal"/></w:pPr>
<w:r><w:t xml:space="preserve">Levanna (C). . . . . . . . . . 11,943   Punta Lavina (E) . . . . . . . . 10,854</w:t></w:r>
</w:p>
<w:p>
<w:pPr><w:pStyle w:val="Normal"/></w:pPr>
<w:r><w:t xml:space="preserve">Bessanese (C). . . . . . . . . 11,917   Ormelune (C) . . . . . . . . . . 10,77i</w:t></w:r>
</w:p>
<w:p>
<w:pPr><w:pStyle w:val="Normal"/></w:pPr>
<w:r><w:t xml:space="preserve">Punta di Gaij (E). . . . . . . 11,887   Roche Chevriere (W) . . . . . 10,768</w:t></w:r>
</w:p>
<w:p>
<w:pPr><w:pStyle w:val="Normal"/></w:pPr>
<w:r><w:t xml:space="preserve">Dome de l&apos;Arpont (W) . . . . . 11,874   Signaldu Montlseran (C). . . . . 10,634</w:t></w:r>
</w:p>
<w:p>
<w:pPr><w:pStyle w:val="Normal"/></w:pPr>
<w:r><w:t xml:space="preserve">Pointe de Ronco (C). . . . . . 11,871   Pointedela Rechasse (W) 10,575</w:t></w:r>
</w:p>
<w:p>
<w:pPr><w:pStyle w:val="Normal"/></w:pPr>
<w:r><w:t xml:space="preserve">Bec de l&apos;lnvergnan (C) . . . . 11,838   Crand Assaly (C) . . . . . . . . .10,44</w:t></w:r>
</w:p>
<w:p>
<w:pPr><w:pStyle w:val="Normal"/></w:pPr>
<w:r><w:t xml:space="preserve">Tsanteleina (C). . . . . . . . 11,831   Roisebanque (E). . . . . . . . . 10,381</w:t></w:r>
</w:p>
<w:p>
<w:pPr><w:pStyle w:val="Normal"/></w:pPr>
<w:r><w:t xml:space="preserve">Dome de Chasseforet (W). 11,802   Bocca di Nona (E). . . . . . . . 10,309</w:t></w:r>
</w:p>
<w:p>
<w:pPr><w:pStyle w:val="Normal"/></w:pPr>
<w:r><w:t xml:space="preserve">Croce Rossa (C). . . . . . . . 11,703   Torre d&apos;Ovarda (C) . . . . . . . 10,089</w:t></w:r>
</w:p>
<w:p>
<w:pPr><w:pStyle w:val="Normal"/></w:pPr>
<w:r><w:t xml:space="preserve">Aiguille de Peclot (W). . . 11,700   Pointe du Pousset (E). . . . . . .9,994</w:t></w:r>
</w:p>
<w:p>
<w:pPr><w:pStyle w:val="Normal"/></w:pPr>
<w:r><w:t xml:space="preserve">Mont Einilius (E). . . . . . . 11,677   Dome de Val d&apos;Isere (C) . . . .9,951</w:t></w:r>
</w:p>
<w:p>
<w:pPr><w:pStyle w:val="Normal"/></w:pPr>
<w:r><w:t xml:space="preserve">Punta d&apos;Arnas (C). . . . . . . 11,615   UJa di Mondrone (C). . . . . . . .9,725</w:t></w:r>
</w:p>
<w:p>
<w:pPr><w:pStyle w:val="Normal"/></w:pPr>
<w:r><w:t xml:space="preserve">Aiguille de Polset (W) . . . . 11,608   Bellagarda (C) . . . . . . . . . .9,643</w:t></w:r>
</w:p>
<w:p>
<w:pPr><w:pStyle w:val="Normal"/></w:pPr>
<w:r><w:t xml:space="preserve">Rochemelon (C) . . . . . . . . 11,605   Monte Marzo (E). . . . . . . . . .9,023</w:t></w:r>
</w:p>
<w:p>
<w:pPr><w:pStyle w:val="Normal"/></w:pPr>
<w:r><w:t xml:space="preserve">Mont Chalanson(C). . . . . . . 11,582   Petit Mont Blanc de</w:t></w:r>
</w:p>
<w:p>
<w:pPr><w:pStyle w:val="Normal"/></w:pPr>
<w:r><w:t xml:space="preserve">Tersiva (E). . . . . . . . . . 11,526        Pralognan (W).. . . . . . . .8,809</w:t></w:r>
</w:p>
<w:p>
<w:pPr><w:pStyle w:val="Normal"/></w:pPr>
<w:r><w:t xml:space="preserve">Grande Traversiere (C). . . 11,467   Mont Jouvet (W). . . . . . . . . .8,409</w:t></w:r>
</w:p>
<w:p>
<w:pPr><w:pStyle w:val="Normal"/></w:pPr>
<w:r><w:t xml:space="preserve">Tete du Rutor (C) . . . . . 11,438   Monte Civrari (C). . . . . . . . .7,553</w:t></w:r>
</w:p>
<w:p>
<w:pPr><w:pStyle w:val="Normal"/></w:pPr>
<w:r><w:t xml:space="preserve">Chief Passes of the Graian Alps.</w:t></w:r>
</w:p>
<w:p>
<w:pPr><w:pStyle w:val="Normal"/></w:pPr>
<w:r><w:t xml:space="preserve">Col de la Grande Rousse (Rhemes Valley to the Val</w:t></w:r>
</w:p>
<w:p>
<w:pPr><w:pStyle w:val="Normal"/></w:pPr>
<w:r><w:t xml:space="preserve">Grisanche), snow (C). . . . . . . . . . . . . . . . . . . . . . . . 11,483</w:t></w:r>
</w:p>
<w:p>
<w:pPr><w:pStyle w:val="Normal"/></w:pPr>
<w:r><w:t xml:space="preserve">Col de Gebroulaz (Arc Valley to Mofitiers Tarentaise), snow</w:t></w:r>
</w:p>
<w:p>
<w:pPr><w:pStyle w:val="Normal"/></w:pPr>
<w:r><w:t xml:space="preserve">(W) . . . . . . . . . . . . . . . . . . . . . . . . . . . . . . . . 11,385</w:t></w:r>
</w:p>
<w:p>
<w:pPr><w:pStyle w:val="Normal"/></w:pPr>
<w:r><w:t xml:space="preserve">Col de Monel (Cogne to Locana), snow (E) . . . . . . . . . . . . . . . . 11,247</w:t></w:r>
</w:p>
<w:p>
<w:pPr><w:pStyle w:val="Normal"/></w:pPr>
<w:r><w:t xml:space="preserve">Col du Grand Paradis (Ceresole to the Val Savaranche),</w:t></w:r>
</w:p>
<w:p>
<w:pPr><w:pStyle w:val="Normal"/></w:pPr>
<w:r><w:t xml:space="preserve">snow (E). . . . . . . . . . . . . . . . . . . . . . . . . . . . . . 10,988</w:t></w:r>
</w:p>
<w:p>
<w:pPr><w:pStyle w:val="Normal"/></w:pPr>
<w:r><w:t xml:space="preserve">Col du Charforon (same to same), snow (E). . . . . . . . . . . . . . . . 10,929</w:t></w:r>
</w:p>
<w:p>
<w:pPr><w:pStyle w:val="Normal"/></w:pPr>
<w:r><w:t xml:space="preserve">Col de Teleccio (Cogne to Locana), snow (E). . . . . . . . . . . . . . . 10,913</w:t></w:r>
</w:p>
<w:p>
<w:pPr><w:pStyle w:val="Normal"/></w:pPr>
<w:r><w:t xml:space="preserve">Col de Lauzon (Cogne to the Val Savaranche), bridle path (E) . . . . . . 10,831</w:t></w:r>
</w:p>
<w:p>
<w:pPr><w:pStyle w:val="Normal"/></w:pPr>
<w:r><w:t xml:space="preserve">Col du Bouquetin (Bonneval to Val d&apos;Isere), snow (C). . . . . . . . . 10,827</w:t></w:r>
</w:p>
<w:p>
<w:pPr><w:pStyle w:val="Normal"/></w:pPr>
<w:r><w:t xml:space="preserve">Col de St Grat (Val Grisanche to La Thuille), snow (C) . . . . . . . . . 10,827</w:t></w:r>
</w:p>
<w:p>
<w:pPr><w:pStyle w:val="Normal"/></w:pPr>
<w:r><w:t xml:space="preserve">Col de l&apos;Herbetet (Cogne to the Val Savaranche), snow (E). . . . . . . . 10,686</w:t></w:r>
</w:p>
<w:p>
<w:pPr><w:pStyle w:val="Normal"/></w:pPr>
<w:r><w:t xml:space="preserve">Col du Collerin (Bessans to Balme), snow (C) . . . . . . . . . . . . . . 10,506</w:t></w:r>
</w:p>
<w:p>
<w:pPr><w:pStyle w:val="Normal"/></w:pPr>
<w:r><w:t xml:space="preserve">Col du Grand Etret (Ceresole to the Val Savaranche), snow (E). . . . . . 10,361</w:t></w:r>
</w:p>
<w:p>
<w:pPr><w:pStyle w:val="Normal"/></w:pPr>
<w:r><w:t xml:space="preserve">Col de Bassac (Rhemes Valley to the Val Grisanche), snow (C). . . . . 10,345</w:t></w:r>
</w:p>
<w:p>
<w:pPr><w:pStyle w:val="Normal"/></w:pPr>
<w:r><w:t xml:space="preserve">Col du Carro (Bonneval to Ceresole), snow (C). . . . . . . . . . . . . . 10,302</w:t></w:r>
</w:p>
<w:p>
<w:pPr><w:pStyle w:val="Normal"/></w:pPr>
<w:r><w:t xml:space="preserve">Col d&apos;Arbole (Comboe to Brissogne), snow (E) . . . . . . . . . . . 10,292</w:t></w:r>
</w:p>
<w:p>
<w:pPr><w:pStyle w:val="Normal"/></w:pPr>
<w:r><w:t xml:space="preserve">Col de la Goletta (Va Id&apos;Isere to the Rhemes Valley), snow (C) . . 10,237</w:t></w:r>
</w:p>
<w:p>
<w:pPr><w:pStyle w:val="Normal"/></w:pPr>
<w:r><w:t xml:space="preserve">Col de Rhemes (same to same), snow (C). . . . . . . . . . . . . . . . 10,174</w:t></w:r>
</w:p>
<w:p>
<w:pPr><w:pStyle w:val="Normal"/></w:pPr>
<w:r><w:t xml:space="preserve">Col de la Grande Casse (Pralognan to the Premou Glen), snow (W) . . . 10,171</w:t></w:r>
</w:p>
<w:p>
<w:pPr><w:pStyle w:val="Normal"/></w:pPr>
<w:r><w:t xml:space="preserve">Col de Sea (Bonneval to Forno Alpi Graie), snow (C). . . . . . . . . . . 10,115</w:t></w:r>
</w:p>
<w:p>
<w:pPr><w:pStyle w:val="Normal"/></w:pPr>
<w:r><w:t xml:space="preserve">Col de l&apos;Autaret (Bessans to Usseglio), foot path (C). . . . . . . . . . 10,073</w:t></w:r>
</w:p>
<w:p>
<w:pPr><w:pStyle w:val="Normal"/></w:pPr>
<w:r><w:t xml:space="preserve">Col de Girard (Bonneval to Forno Alpi Graie), snow (C) . . . . . . . . . .9,987</w:t></w:r>
</w:p>
<w:p>
<w:pPr><w:pStyle w:val="Normal"/></w:pPr>
<w:r><w:t xml:space="preserve">Col Rosset (Val Savaranche to the Rhemes Valley), bridle path (C) . . .9,922</w:t></w:r>
</w:p>
<w:p>
<w:pPr><w:pStyle w:val="Normal"/></w:pPr>
<w:r><w:t xml:space="preserve">Col d&apos;Arnas (Bessans to Balme), snow (C) . . . . . . . . . . . . . . . . .9,889</w:t></w:r>
</w:p>
<w:p>
<w:pPr><w:pStyle w:val="Normal"/></w:pPr>
<w:r><w:t xml:space="preserve">Col de la Galise (Ceresole to Val d&apos;Isere), snow (C). . . . . . . . . .9,836</w:t></w:r>
</w:p>
<w:p>
<w:pPr><w:pStyle w:val="Normal"/></w:pPr>
<w:r><w:t xml:space="preserve">Col de Sort (Val Savaranche to the Rhemes Valley), partly bridle path .9,735</w:t></w:r>
</w:p>
<w:p>
<w:pPr><w:pStyle w:val="Normal"/></w:pPr>
<w:r><w:t xml:space="preserve">Quecees de Tignes (Val d&apos;Isere to Termignon), snow (W) . . . . . . .9,646</w:t></w:r>
</w:p>
<w:p>
<w:pPr><w:pStyle w:val="Normal"/></w:pPr>
<w:r><w:t xml:space="preserve">Col della Nouva (Cogne to Pont Canavese), partly bridle path (E) . . . . .9,623</w:t></w:r>
</w:p>
<w:p>
<w:pPr><w:pStyle w:val="Normal"/></w:pPr>
<w:r><w:t xml:space="preserve">Col de Garin (Aosta to Cogne), foot path (E) . . . . . . . . . . . . . . .9,411</w:t></w:r>
</w:p>
<w:p>
<w:pPr><w:pStyle w:val="Normal"/></w:pPr>
<w:r><w:t xml:space="preserve">Collarin d&apos;Arnas (Balme to Usseglio), snow (C) . . . . . . . . . . . . . .9,351</w:t></w:r>
</w:p>
<w:p>
<w:pPr><w:pStyle w:val="Normal"/></w:pPr>
<w:r><w:t xml:space="preserve">Finestra del Torrent (Rhemes Valley to the Val Grisanche), foot path. .9,341</w:t></w:r>
</w:p>
<w:p>
<w:pPr><w:pStyle w:val="Normal"/></w:pPr>
<w:r><w:t xml:space="preserve">Fenetre de Champorcher (Cogne to Champorcher), bridle path (E). . . . .9,311</w:t></w:r>
</w:p>
<w:p>
<w:pPr><w:pStyle w:val="Normal"/></w:pPr>
<w:r><w:t xml:space="preserve">Col de Vaudet (Isere Valley to the Val Grisanche), foot path (C). . . .9,305</w:t></w:r>
</w:p>
<w:p>
<w:pPr><w:pStyle w:val="Normal"/></w:pPr>
<w:r><w:t xml:space="preserve">Col de Bardoney (Cogne to Pont Canavese), snow (E) . . . . . . . . . . . .9,295</w:t></w:r>
</w:p>
<w:p>
<w:pPr><w:pStyle w:val="Normal"/></w:pPr>
<w:r><w:t xml:space="preserve">Col de Chaviere (Modane to Pralognan), foot path (W). . . . . . . . . .9,206</w:t></w:r>
</w:p>
<w:p>
<w:pPr><w:pStyle w:val="Normal"/></w:pPr>
<w:r><w:t xml:space="preserve">Col de la Leisse (Tignes to Termignon), snow (W) . . . . . . . . . . . . .9,121</w:t></w:r>
</w:p>
<w:p>
<w:pPr><w:pStyle w:val="Normal"/></w:pPr>
<w:r><w:t xml:space="preserve">Col du Mont Iseran (Bonneval to Val d&apos;Isere), bridle path (C) . . . . .9,085</w:t></w:r>
</w:p>
<w:p>
<w:pPr><w:pStyle w:val="Normal"/></w:pPr>
<w:r><w:t xml:space="preserve">Ghicet di Sea (Balme to Forno Alpi Graie), foot path (C) . . . . . . . . .8,973</w:t></w:r>
</w:p>
<w:p>
<w:pPr><w:pStyle w:val="Normal"/></w:pPr>
<w:r><w:t xml:space="preserve">Col de la Sachette (Tignes to Bourg St Maurice), foot path (W) . . . . . .8,954</w:t></w:r>
</w:p>
<w:p>
<w:pPr><w:pStyle w:val="Normal"/></w:pPr>
<w:r><w:t xml:space="preserve">Col du Palet (Tignes to Moutiers Tarentaise or Bourg St Maurice),</w:t></w:r>
</w:p>
<w:p>
<w:pPr><w:pStyle w:val="Normal"/></w:pPr>
<w:r><w:t xml:space="preserve">bridle path (W) . . . . . . . . . . . . . . . . . . . . . . . . . . .8,721</w:t></w:r>
</w:p>
<w:p>
<w:pPr><w:pStyle w:val="Normal"/></w:pPr>
<w:r><w:t xml:space="preserve">Col du Mont (Ste Foy to the Val Grisanche), bridle path (C). . . . . . . .8,681</w:t></w:r>
</w:p>
<w:p>
<w:pPr><w:pStyle w:val="Normal"/></w:pPr>
<w:r><w:t xml:space="preserve">Col de la Croix de Nivolet (Ceresole to the Val Savaranche), bridle</w:t></w:r>
</w:p>
<w:p>
<w:pPr><w:pStyle w:val="Normal"/></w:pPr>
<w:r><w:t xml:space="preserve">path (E). . . . . . . . . . . . . . . . . . . . . . . . . . . . . . .8,665</w:t></w:r>
</w:p>
<w:p>
<w:pPr><w:pStyle w:val="Normal"/></w:pPr>
<w:r><w:t xml:space="preserve">Col della Crocetta (Ceresole to Forno Alpi Graie), bridle path (C) . . . .8,649</w:t></w:r>
</w:p>
<w:p>
<w:pPr><w:pStyle w:val="Normal"/></w:pPr>
<w:r><w:t xml:space="preserve">Col de la Platiere (St Jean de Maurienne to Moutiers Tarentaise),</w:t></w:r>
</w:p>
<w:p>
<w:pPr><w:pStyle w:val="Normal"/></w:pPr>
<w:r><w:t xml:space="preserve">partly bridle path (W). . . . . . . . . . . . . . . . . . . . . . . .8,531</w:t></w:r>
</w:p>
<w:p>
<w:pPr><w:pStyle w:val="Normal"/></w:pPr>
<w:r><w:t xml:space="preserve">Col de la Vanoise (Pralognan to Termignon), bridle path (W). . . . . . . .8,291</w:t></w:r>
</w:p>
<w:p>
<w:pPr><w:pStyle w:val="Normal"/></w:pPr>
<w:r><w:t xml:space="preserve">Col des Encombres (St Michel de Maurienne to Moutiers Tarentaise),</w:t></w:r>
</w:p>
<w:p>
<w:pPr><w:pStyle w:val="Normal"/></w:pPr>
<w:r><w:t xml:space="preserve">bridle path (W) . . . . . . . . . . . . . . . . . . . . . . . . . . .7,668</w:t></w:r>
</w:p>
<w:p>
<w:pPr><w:pStyle w:val="Normal"/></w:pPr>
<w:r><w:t xml:space="preserve">Little St Bernard (Aosta to Moutiers Tarentaise), carriage road (C) . .7,179</w:t></w:r>
</w:p>
<w:p>
<w:pPr><w:pStyle w:val="Normal"/></w:pPr>
<w:r><w:t xml:space="preserve">Col de la Madeleine (La Chambre to Moutiers Tarentaise), bridle</w:t></w:r>
</w:p>
<w:p>
<w:pPr><w:pStyle w:val="Normal"/></w:pPr>
<w:r><w:t xml:space="preserve">path (W). . . . . . . . . . . . . . . . . . . . . . . . . . . . . . .6,509</w:t></w:r>
</w:p>
<w:p>
<w:pPr><w:pStyle w:val="Normal"/></w:pPr>
<w:r><w:t xml:space="preserve">5. Pennine Alps (from the Little St Bernard to the Simplon Pass).</w:t></w:r>
</w:p>
<w:p>
<w:pPr><w:pStyle w:val="Normal"/></w:pPr>
<w:r><w:t xml:space="preserve">This range contains all the highest peaks in the Alps, save the</w:t></w:r>
</w:p>
<w:p>
<w:pPr><w:pStyle w:val="Normal"/></w:pPr>
<w:r><w:t xml:space="preserve">Finsteraarhorn (14,026) in the Bernese Oberland.</w:t></w:r>
</w:p>
<w:p>
<w:pPr><w:pStyle w:val="Normal"/></w:pPr>
<w:r><w:t xml:space="preserve">Chief Peaks of the Pennine Alps.</w:t></w:r>
</w:p>
<w:p>
<w:pPr><w:pStyle w:val="Normal"/></w:pPr>
<w:r><w:t xml:space="preserve">Mont Blanc . . . . . . . . . . 15,782   Mont Blanc de Seilon . . . . . . 12,700</w:t></w:r>
</w:p>
<w:p>
<w:pPr><w:pStyle w:val="Normal"/></w:pPr>
<w:r><w:t xml:space="preserve">Monte Rosa (Dufourspitze). . . 15,217   Aiguille du Midi . . . . . . . . 12,609</w:t></w:r>
</w:p>
<w:p>
<w:pPr><w:pStyle w:val="Normal"/></w:pPr>
<w:r><w:t xml:space="preserve">Tour Noir. . . . . . . . . . . . 12,586</w:t></w:r>
</w:p>
<w:p>
<w:pPr><w:pStyle w:val="Normal"/></w:pPr>
<w:r><w:t xml:space="preserve">Nord End (Monte Rosa). . . . . 15,132   Aiguille des Glaciers. . . . . . 12,579</w:t></w:r>
</w:p>
<w:p>
<w:pPr><w:pStyle w:val="Normal"/></w:pPr>
<w:r><w:t xml:space="preserve">Dom (Mischabelhorner) . . . 14,942   Mont Dolent. . . . . . . . . . . 12,543</w:t></w:r>
</w:p>
<w:p>
<w:pPr><w:pStyle w:val="Normal"/></w:pPr>
<w:r><w:t xml:space="preserve">Lyskamm. . . . . . . . . . . . 14,889   Aiguille du Chardonnet . . . . . 12,540</w:t></w:r>
</w:p>
<w:p>
<w:pPr><w:pStyle w:val="Normal"/></w:pPr>
<w:r><w:t xml:space="preserve">Weisshorn. . . . . . . . . . . 14,804   Cima di Jazzi. . . . . . . . . . 12,527</w:t></w:r>
</w:p>
<w:p>
<w:pPr><w:pStyle w:val="Normal"/></w:pPr>
<w:r><w:t xml:space="preserve">Matterhorn . . . . . . . . . . 14,782   Balfrin. . . . . . . . . . . . . 12,474</w:t></w:r>
</w:p>
<w:p>
<w:pPr><w:pStyle w:val="Normal"/></w:pPr>
<w:r><w:t xml:space="preserve">Taschhorn . . . . . . . . . 14,758   Pigne d&apos;Arolla . . . . . . . . . 12,471</w:t></w:r>
</w:p>
<w:p>
<w:pPr><w:pStyle w:val="Normal"/></w:pPr>
<w:r><w:t xml:space="preserve">Mont Maudit. . . . . . . . . . 14,669   Mont Velan. . . . . . . . . . 12,353</w:t></w:r>
</w:p>
<w:p>
<w:pPr><w:pStyle w:val="Normal"/></w:pPr>
<w:r><w:t xml:space="preserve">Dent Blanche . . . . . . . . . 14,318   Aiguille du Dru. . . . . . . . . 12,320</w:t></w:r>
</w:p>
<w:p>
<w:pPr><w:pStyle w:val="Normal"/></w:pPr>
<w:r><w:t xml:space="preserve">Dome du Gouter . . . . . 14,210   Tete Blanche. . . . . . . . . 12,304</w:t></w:r>
</w:p>
<w:p>
<w:pPr><w:pStyle w:val="Normal"/></w:pPr>
<w:r><w:t xml:space="preserve">Grand Combin . . . . . . . . . 14,164   L&apos;Eveque. . . . . . . . . . . 12,264</w:t></w:r>
</w:p>
<w:p>
<w:pPr><w:pStyle w:val="Normal"/></w:pPr>
<w:r><w:t xml:space="preserve">Castor . . . . . . . . . . . . 13,879   Mont Pleureur. . . . . . . . . . 12,159</w:t></w:r>
</w:p>
<w:p>
<w:pPr><w:pStyle w:val="Normal"/></w:pPr>
<w:r><w:t xml:space="preserve">Zinal Rothhorn . . . . . . . . 13,856   Dome de Miage. . . . . . . . . . 12,100</w:t></w:r>
</w:p>
<w:p>
<w:pPr><w:pStyle w:val="Normal"/></w:pPr>
<w:r><w:t xml:space="preserve">Alphubel . . . . . . . . . . . 13,803   Lo Besso . . . . . . . . . . . . 12,058</w:t></w:r>
</w:p>
<w:p>
<w:pPr><w:pStyle w:val="Normal"/></w:pPr>
<w:r><w:t xml:space="preserve">Grandes Jorasses . . . . . . . 13,797   Aiguille de la Za. . . . . . . . 12,051</w:t></w:r>
</w:p>
<w:p>
<w:pPr><w:pStyle w:val="Normal"/></w:pPr>
<w:r><w:t xml:space="preserve">Rimpfischhorn. . . . . . . . . 13,790   Mont Collon. . . . . . . . . . . 11,956</w:t></w:r>
</w:p>
<w:p>
<w:pPr><w:pStyle w:val="Normal"/></w:pPr>
<w:r><w:t xml:space="preserve">Strahlhorn . . . . . . . . . . 13,751   Diablons . . . . . . . . . . . . 11,828</w:t></w:r>
</w:p>
<w:p>
<w:pPr><w:pStyle w:val="Normal"/></w:pPr>
<w:r><w:t xml:space="preserve">Dent d&apos;Herens . . . . . . . 13,715   Aiguille de Tour . . . . . . . . 11,615</w:t></w:r>
</w:p>
<w:p>
<w:pPr><w:pStyle w:val="Normal"/></w:pPr>
<w:r><w:t xml:space="preserve">Zermatt Breithorn. . . . . . . 13,685   Mont Gele . . . . . . . . . . 11,539</w:t></w:r>
</w:p>
<w:p>
<w:pPr><w:pStyle w:val="Normal"/></w:pPr>
<w:r><w:t xml:space="preserve">Aiguille Verte . . . . . . . . 13,541   Bec de Luseney . . . . . . . . . 11,503</w:t></w:r>
</w:p>
<w:p>
<w:pPr><w:pStyle w:val="Normal"/></w:pPr>
<w:r><w:t xml:space="preserve">Ober Gabelhorn . . . . . . . . 13,364   Aiguille de Grepon. . . . . . 11,489</w:t></w:r>
</w:p>
<w:p>
<w:pPr><w:pStyle w:val="Normal"/></w:pPr>
<w:r><w:t xml:space="preserve">Aiguille de Bionnassay . . . . 13,341   Chateau des Dames . . . . . . 11,447</w:t></w:r>
</w:p>
<w:p>
<w:pPr><w:pStyle w:val="Normal"/></w:pPr>
<w:r><w:t xml:space="preserve">Allalinhorn. . . . . . . . . . 13,236   Aiguille des Charmoz . . . . . . 11,293</w:t></w:r>
</w:p>
<w:p>
<w:pPr><w:pStyle w:val="Normal"/></w:pPr>
<w:r><w:t xml:space="preserve">Weissmies . . .  . . . . . . . 13,226   Aiguille du Tacul. . . . . . . . 11,280</w:t></w:r>
</w:p>
<w:p>
<w:pPr><w:pStyle w:val="Normal"/></w:pPr>
<w:r><w:t xml:space="preserve">Aiguille du Geant . . . . . 13,170   Grand Tournalin. . . . . . . . . 11,086</w:t></w:r>
</w:p>
<w:p>
<w:pPr><w:pStyle w:val="Normal"/></w:pPr>
<w:r><w:t xml:space="preserve">Laquinhorn . . . . . . . . . . 13,140   Pointe de Rosa Blanche . . . . . 10,985</w:t></w:r>
</w:p>
<w:p>
<w:pPr><w:pStyle w:val="Normal"/></w:pPr>
<w:r><w:t xml:space="preserve">Rossbodenhorn. . . . . . . . . 13,128   Mont Avril . . . . . . . . . . . 10,962</w:t></w:r>
</w:p>
<w:p>
<w:pPr><w:pStyle w:val="Normal"/></w:pPr>
<w:r><w:t xml:space="preserve">Grand Cornier. . . . . . . . . 13,022   Grande Rochere. . . . . . . . 10,913</w:t></w:r>
</w:p>
<w:p>
<w:pPr><w:pStyle w:val="Normal"/></w:pPr>
<w:r><w:t xml:space="preserve">Aiguille de Trelatete. . 12,832   Corno Bianco . . . . . . . . . . 10,893</w:t></w:r>
</w:p>
<w:p>
<w:pPr><w:pStyle w:val="Normal"/></w:pPr>
<w:r><w:t xml:space="preserve">Aiguille d&apos;Argentiere . . . 12,819   Grauhaupt. . . . . . . . . . . . 10,876</w:t></w:r>
</w:p>
<w:p>
<w:pPr><w:pStyle w:val="Normal"/></w:pPr>
<w:r><w:t xml:space="preserve">Ruinette . . . . . . . . . . . 12,727   Pointe d&apos;Orny. . . . . . . . . . 10,742</w:t></w:r>
</w:p>
<w:p>
<w:pPr><w:pStyle w:val="Normal"/></w:pPr>
<w:r><w:t xml:space="preserve">Aiguille de Triolet. . . . . . 12,717   Dent du Midi . . . . . . . . . . 10,696</w:t></w:r>
</w:p>
<w:p>
<w:pPr><w:pStyle w:val="Normal"/></w:pPr>
<w:r><w:t xml:space="preserve">Mont Favre . . . . . . . . . . 10,693   Tagliaferro. . . . . . . . . . . .9,725</w:t></w:r>
</w:p>
<w:p>
<w:pPr><w:pStyle w:val="Normal"/></w:pPr>
<w:r><w:t xml:space="preserve">Sasseneire . . . . . . . . . . 10,693   Riffelhorn . . . . . . . . . . . .9,617</w:t></w:r>
</w:p>
<w:p>
<w:pPr><w:pStyle w:val="Normal"/></w:pPr>
<w:r><w:t xml:space="preserve">Grand Golliaz. . . . . . . . . 10,630   Pointe Percee du Reposoir . . .9,029</w:t></w:r>
</w:p>
<w:p>
<w:pPr><w:pStyle w:val="Normal"/></w:pPr>
<w:r><w:t xml:space="preserve">Tour Sallieres. . . . . . . 10,588   Crammont . . . . . . . . . . . . .8,980</w:t></w:r>
</w:p>
<w:p>
<w:pPr><w:pStyle w:val="Normal"/></w:pPr>
<w:r><w:t xml:space="preserve">Pizzo Bianco . . . . . . . . . 10,552   Pointe des Fours . . . . . . . . .8,921</w:t></w:r>
</w:p>
<w:p>
<w:pPr><w:pStyle w:val="Normal"/></w:pPr>
<w:r><w:t xml:space="preserve">Latelhorn. . . . . . . . . . . 10,523   Pointe du Colloney . . . . . . . .8,832</w:t></w:r>
</w:p>
<w:p>
<w:pPr><w:pStyle w:val="Normal"/></w:pPr>
<w:r><w:t xml:space="preserve">Schwarzhorn (Augstbord). . . . 10,512   Catogne. . . . . . . . . . . . . .8,527</w:t></w:r>
</w:p>
<w:p>
<w:pPr><w:pStyle w:val="Normal"/></w:pPr>
<w:r><w:t xml:space="preserve">Gornergrat . . . . . . . . . . 10,289   Monte Bo. . . . . . . . . . . .8,386</w:t></w:r>
</w:p>
<w:p>
<w:pPr><w:pStyle w:val="Normal"/></w:pPr>
<w:r><w:t xml:space="preserve">Pointe de Lechaud . . . . . 10,260   Mont Joly. . . . . . . . . . . . .8,291</w:t></w:r>
</w:p>
<w:p>
<w:pPr><w:pStyle w:val="Normal"/></w:pPr>
<w:r><w:t xml:space="preserve">Buet . . . . . . . . . . . . . 10,201   Brevent . . . . . . . . . . . .8,284</w:t></w:r>
</w:p>
<w:p>
<w:pPr><w:pStyle w:val="Normal"/></w:pPr>
<w:r><w:t xml:space="preserve">Mont Ruan. . . . . . . . . . . 10,099   Pointe de Salles . . . . . . . . .8,183</w:t></w:r>
</w:p>
<w:p>
<w:pPr><w:pStyle w:val="Normal"/></w:pPr>
<w:r><w:t xml:space="preserve">Mont Neri . . . . . . . . . 10,073   Aiguille de Varens . . . . . . . .8,163</w:t></w:r>
</w:p>
<w:p>
<w:pPr><w:pStyle w:val="Normal"/></w:pPr>
<w:r><w:t xml:space="preserve">Bella Tola . . . . . . . . . .  9,935   Mont Chetif . . . . . . . . . .7,687</w:t></w:r>
</w:p>
<w:p>
<w:pPr><w:pStyle w:val="Normal"/></w:pPr>
<w:r><w:t xml:space="preserve">Pointe de Tanneverge . . . . .  9,784   Mole. . . . . . . . . . . . . .6,132</w:t></w:r>
</w:p>
<w:p>
<w:pPr><w:pStyle w:val="Normal"/></w:pPr>
<w:r><w:t xml:space="preserve">Belvedere (Aigs. Rouges)  9,731   Saleve (highest point). . . . .4,528</w:t></w:r>
</w:p>
<w:p>
<w:pPr><w:pStyle w:val="Normal"/></w:pPr>
<w:r><w:t xml:space="preserve">Chief Passes of the Pennine Alps.</w:t></w:r>
</w:p>
<w:p>
<w:pPr><w:pStyle w:val="Normal"/></w:pPr>
<w:r><w:t xml:space="preserve">Sesiajoch (Zermatt to Alagna), snow. . . . . . . . . . . . . . . . . . . 14,515</w:t></w:r>
</w:p>
<w:p>
<w:pPr><w:pStyle w:val="Normal"/></w:pPr>
<w:r><w:t xml:space="preserve">Col de la Brenva (Courmayeur to Chamonix), snow. . . . . . . . . . . . . 14,217</w:t></w:r>
</w:p>
<w:p>
<w:pPr><w:pStyle w:val="Normal"/></w:pPr>
<w:r><w:t xml:space="preserve">Domjoch (Randa to Saas), snow. . . . . . . . . . . . . . . . . . . . . . 14,062</w:t></w:r>
</w:p>
<w:p>
<w:pPr><w:pStyle w:val="Normal"/></w:pPr>
<w:r><w:t xml:space="preserve">Lysjoch (Zermatt to Gressoney), snow . . . . . . . . . . . . . . . . . . 14,033</w:t></w:r>
</w:p>
<w:p>
<w:pPr><w:pStyle w:val="Normal"/></w:pPr>
<w:r><w:t xml:space="preserve">Mischabeljoch (Zermatt to Saas), snow. . . . . . . . . . . . . . . . . . 12,651</w:t></w:r>
</w:p>
<w:p>
<w:pPr><w:pStyle w:val="Normal"/></w:pPr>
<w:r><w:t xml:space="preserve">Alphubel Pass (same to same), snow . . . . . . . . . . . . . . . . . . . 12,474</w:t></w:r>
</w:p>
<w:p>
<w:pPr><w:pStyle w:val="Normal"/></w:pPr>
<w:r><w:t xml:space="preserve">Adler Pass (same to same), snow. . . . . . . . . . . . . . . . . . . . . 12,461</w:t></w:r>
</w:p>
<w:p>
<w:pPr><w:pStyle w:val="Normal"/></w:pPr>
<w:r><w:t xml:space="preserve">Moming Pass (Zermatt to Zinal), snow . . . . . . . . . . . . . . . . . . 12,287</w:t></w:r>
</w:p>
<w:p>
<w:pPr><w:pStyle w:val="Normal"/></w:pPr>
<w:r><w:t xml:space="preserve">Schwarzthor (Zermatt to Ayas), snow. . . . . . . . . . . . . . . . . . . 12,274</w:t></w:r>
</w:p>
<w:p>
<w:pPr><w:pStyle w:val="Normal"/></w:pPr>
<w:r><w:t xml:space="preserve">Col de Triolet (Chamonix to Courmayeur), snow. . . . . . . . . . . . . . 12,110</w:t></w:r>
</w:p>
<w:p>
<w:pPr><w:pStyle w:val="Normal"/></w:pPr>
<w:r><w:t xml:space="preserve">Ried Pass (St Niklaus to Saas), snow . . . . . . . . . . . . . . . . . . 11,800</w:t></w:r>
</w:p>
<w:p>
<w:pPr><w:pStyle w:val="Normal"/></w:pPr>
<w:r><w:t xml:space="preserve">New Weissthor (Zermatt to Macugnaga), snow . . . . . . . . . . . . . . . 11,746</w:t></w:r>
</w:p>
<w:p>
<w:pPr><w:pStyle w:val="Normal"/></w:pPr>
<w:r><w:t xml:space="preserve">Allalin Pass (Zermatt to Saas), snow . . . . . . . . . . . . . . . . . . 11,713</w:t></w:r>
</w:p>
<w:p>
<w:pPr><w:pStyle w:val="Normal"/></w:pPr>
<w:r><w:t xml:space="preserve">Col de Valpelline (Zermatt to Aosta), snow . . . . . . . . . . . . . . . 11,687</w:t></w:r>
</w:p>
<w:p>
<w:pPr><w:pStyle w:val="Normal"/></w:pPr>
<w:r><w:t xml:space="preserve">Biesjoch (Randa to Turtmann), snow . . . . . . . . . . . . . . . . . . . 11,644</w:t></w:r>
</w:p>
<w:p>
<w:pPr><w:pStyle w:val="Normal"/></w:pPr>
<w:r><w:t xml:space="preserve">Triftjoch (Zermatt to Zinal), snow . . . . . . . . . . . . . . . . . . . 11,615</w:t></w:r>
</w:p>
<w:p>
<w:pPr><w:pStyle w:val="Normal"/></w:pPr>
<w:r><w:t xml:space="preserve">Col d&apos;Argentiere (Chamonix to Orsieres), snow. . . . . . . . . . . 11,536</w:t></w:r>
</w:p>
<w:p>
<w:pPr><w:pStyle w:val="Normal"/></w:pPr>
<w:r><w:t xml:space="preserve">Col du Sonadon (Bourg St Pierre to the Val de Bagnes), snow. . . . . . . 11,447</w:t></w:r>
</w:p>
<w:p>
<w:pPr><w:pStyle w:val="Normal"/></w:pPr>
<w:r><w:t xml:space="preserve">Col de Talefre (Chamonix to Courmayeur), snow . . . . . . . . . . . . 11,430</w:t></w:r>
</w:p>
<w:p>
<w:pPr><w:pStyle w:val="Normal"/></w:pPr>
<w:r><w:t xml:space="preserve">Col d&apos;Herens (Zermatt to Evolena), snow . . . . . . . . . . . . . . . 11,418</w:t></w:r>
</w:p>
<w:p>
<w:pPr><w:pStyle w:val="Normal"/></w:pPr>
<w:r><w:t xml:space="preserve">Col Durand (Zermatt to Zinal), snow. . . . . . . . . . . . . . . . . . . 11,398</w:t></w:r>
</w:p>
<w:p>
<w:pPr><w:pStyle w:val="Normal"/></w:pPr>
<w:r><w:t xml:space="preserve">Col des Maisons Blanches (Bourg St Pierre to the Val de Bagnes), snow. . 11,241</w:t></w:r>
</w:p>
<w:p>
<w:pPr><w:pStyle w:val="Normal"/></w:pPr>
<w:r><w:t xml:space="preserve">Col de Bertol (Arolla to the Col d&apos;Herens), snow. . . . . . . . . . . 11,200</w:t></w:r>
</w:p>
<w:p>
<w:pPr><w:pStyle w:val="Normal"/></w:pPr>
<w:r><w:t xml:space="preserve">Col de Miage (Contamines to Courmayeur), snow. . . . . . . . . . . . . . 11,077</w:t></w:r>
</w:p>
<w:p>
<w:pPr><w:pStyle w:val="Normal"/></w:pPr>
<w:r><w:t xml:space="preserve">Col du Geant (Chamonix to Courmayeur), snow . . . . . . . . . . . . . 11,060</w:t></w:r>
</w:p>
<w:p>
<w:pPr><w:pStyle w:val="Normal"/></w:pPr>
<w:r><w:t xml:space="preserve">Col du Mont Rouge (Val de Bagnes to the Val d&apos;Heremence), snow . . 10,962</w:t></w:r>
</w:p>
<w:p>
<w:pPr><w:pStyle w:val="Normal"/></w:pPr>
<w:r><w:t xml:space="preserve">Col du Chardonnet (Chamonix to Orsieres), snow. . . . . . . . . . . . 10,909</w:t></w:r>
</w:p>
<w:p>
<w:pPr><w:pStyle w:val="Normal"/></w:pPr>
<w:r><w:t xml:space="preserve">Col de St Theodule (Zermatt to Chatillon), snow. . . . . . . . . . 10,899</w:t></w:r>
</w:p>
<w:p>
<w:pPr><w:pStyle w:val="Normal"/></w:pPr>
<w:r><w:t xml:space="preserve">Col du Tour (Chamonix to Orsieres), snow. . . . . . . . . . . . . . . 10,762</w:t></w:r>
</w:p>
<w:p>
<w:pPr><w:pStyle w:val="Normal"/></w:pPr>
<w:r><w:t xml:space="preserve">Fenetre de Saleinaz (Saleinaz Glacier to Trient Glacier), snow. . . . 10,709</w:t></w:r>
</w:p>
<w:p>
<w:pPr><w:pStyle w:val="Normal"/></w:pPr>
<w:r><w:t xml:space="preserve">Col de Tracuit (Zinal to Turtmann), snow . . . . . . . . . . . . . . . . 10,670</w:t></w:r>
</w:p>
<w:p>
<w:pPr><w:pStyle w:val="Normal"/></w:pPr>
<w:r><w:t xml:space="preserve">Zwischbergen Pass (Saas to Gondo), snow. . . . . . . . . . . . . . . . . 10,657</w:t></w:r>
</w:p>
<w:p>
<w:pPr><w:pStyle w:val="Normal"/></w:pPr>
<w:r><w:t xml:space="preserve">Col d&apos;Oren (Val de Bagnes to the Valpelline), snow . . . . . . . . . . . 10,637</w:t></w:r>
</w:p>
<w:p>
<w:pPr><w:pStyle w:val="Normal"/></w:pPr>
<w:r><w:t xml:space="preserve">Col de Seilon (Val de Bagnes to the Val d&apos;Heremence), snow . . . . 10,499</w:t></w:r>
</w:p>
<w:p>
<w:pPr><w:pStyle w:val="Normal"/></w:pPr>
<w:r><w:t xml:space="preserve">Col du Cret (Val de Bagnes to the Val d&apos;Heremence), snow. . . . 10,329</w:t></w:r>
</w:p>
<w:p>
<w:pPr><w:pStyle w:val="Normal"/></w:pPr>
<w:r><w:t xml:space="preserve">Col de Valcournera (Val Tournanche to the Valpelline), snow . . . . . 10,325</w:t></w:r>
</w:p>
<w:p>
<w:pPr><w:pStyle w:val="Normal"/></w:pPr>
<w:r><w:t xml:space="preserve">Col de Collon (Arolla to Aosta), snow. . . . . . . . . . . . . . . . . . 10,270</w:t></w:r>
</w:p>
<w:p>
<w:pPr><w:pStyle w:val="Normal"/></w:pPr>
<w:r><w:t xml:space="preserve">Col de Valsorey (Bourg St Pierre to Aosta), snow . . . . . . . . . . . . 10,214</w:t></w:r>
</w:p>
<w:p>
<w:pPr><w:pStyle w:val="Normal"/></w:pPr>
<w:r><w:t xml:space="preserve">Col de Chermontane (Val de Bagnes to Arolla), snow . . . . . . . . . . . 10,119</w:t></w:r>
</w:p>
<w:p>
<w:pPr><w:pStyle w:val="Normal"/></w:pPr>
<w:r><w:t xml:space="preserve">Cimes Blanches (Val Tournanche to Ayas), bridle path . . . . . . . . . . .9,777</w:t></w:r>
</w:p>
<w:p>
<w:pPr><w:pStyle w:val="Normal"/></w:pPr>
<w:r><w:t xml:space="preserve">Col de Torrent (Evolena to the Val de Torrent), bridle path. . . . . . . .9,593</w:t></w:r>
</w:p>
<w:p>
<w:pPr><w:pStyle w:val="Normal"/></w:pPr>
<w:r><w:t xml:space="preserve">Augstbord Pass (St Niklaus to Turtmann), bridle path . . . . . . . . . . .9,492</w:t></w:r>
</w:p>
<w:p>
<w:pPr><w:pStyle w:val="Normal"/></w:pPr>
<w:r><w:t xml:space="preserve">Col de Crete Seche (Val de Bagnes to the Valpelline), snow . . . . .9,475</w:t></w:r>
</w:p>
<w:p>
<w:pPr><w:pStyle w:val="Normal"/></w:pPr>
<w:r><w:t xml:space="preserve">Col de Breuil (Bourg St Maurice to La Thuille), snow . . . . . . . . . . .9,446</w:t></w:r>
</w:p>
<w:p>
<w:pPr><w:pStyle w:val="Normal"/></w:pPr>
<w:r><w:t xml:space="preserve">Col d&apos;Olen (Alagna to Gressoney), bridle path. . . . . . . . . . . . . . .9,420</w:t></w:r>
</w:p>
<w:p>
<w:pPr><w:pStyle w:val="Normal"/></w:pPr>
<w:r><w:t xml:space="preserve">Monte Moro (Saas to Macugnaga), partly bridle path . . . . . . . . . . . .9,390</w:t></w:r>
</w:p>
<w:p>
<w:pPr><w:pStyle w:val="Normal"/></w:pPr>
<w:r><w:t xml:space="preserve">Pas de Chevres (Arolla to the Val d&apos;Heremence), foot path . . . .9,354</w:t></w:r>
</w:p>
<w:p>
<w:pPr><w:pStyle w:val="Normal"/></w:pPr>
<w:r><w:t xml:space="preserve">Antrona Pass (Saas to Antrona), partly bridle path . . . . . . . . . . . .9,331</w:t></w:r>
</w:p>
<w:p>
<w:pPr><w:pStyle w:val="Normal"/></w:pPr>
<w:r><w:t xml:space="preserve">Col de Sorebois (Zinal to the Val de Torrent), bridle path . . . . . . . .9,269</w:t></w:r>
</w:p>
<w:p>
<w:pPr><w:pStyle w:val="Normal"/></w:pPr>
<w:r><w:t xml:space="preserve">Col de Vessona (Valpelline to the St Barthelemy Glen), foot path. . . .9,167</w:t></w:r>
</w:p>
<w:p>
<w:pPr><w:pStyle w:val="Normal"/></w:pPr>
<w:r><w:t xml:space="preserve">Col de Fenetre (Val de Bagnes to Aosta), bridle path. . . . . . . . . .9,141</w:t></w:r>
</w:p>
<w:p>
<w:pPr><w:pStyle w:val="Normal"/></w:pPr>
<w:r><w:t xml:space="preserve">Z&apos;Meiden Pass (Zinal to Turtmann), bridle path . . . . . . . . . . . . . .9,095</w:t></w:r>
</w:p>
<w:p>
<w:pPr><w:pStyle w:val="Normal"/></w:pPr>
<w:r><w:t xml:space="preserve">Turlo Pass (Alagna to Macugnaga), foot path. . . . . . . . . . . . . . . .8,977</w:t></w:r>
</w:p>
<w:p>
<w:pPr><w:pStyle w:val="Normal"/></w:pPr>
<w:r><w:t xml:space="preserve">Col de Fenetre (Great St Bernard to the Swiss Val Ferret),</w:t></w:r>
</w:p>
<w:p>
<w:pPr><w:pStyle w:val="Normal"/></w:pPr>
<w:r><w:t xml:space="preserve">bridle path . . . . . . . . . . . . . . . . . . . . . . . . . . . . .8,855</w:t></w:r>
</w:p>
<w:p>
<w:pPr><w:pStyle w:val="Normal"/></w:pPr>
<w:r><w:t xml:space="preserve">Bettafurka (Ayas to Gressoney), bridle path. . . . . . . . . . . . . . . .8,780</w:t></w:r>
</w:p>
<w:p>
<w:pPr><w:pStyle w:val="Normal"/></w:pPr>
<w:r><w:t xml:space="preserve">Col du Mont Tondu (Contamines to Courmayeur), snow . . . . . . . . . . . .8,498</w:t></w:r>
</w:p>
<w:p>
<w:pPr><w:pStyle w:val="Normal"/></w:pPr>
<w:r><w:t xml:space="preserve">Col Serena (Great St Bernard to Courmayeur). foot path . . . . . . . . . .8,327</w:t></w:r>
</w:p>
<w:p>
<w:pPr><w:pStyle w:val="Normal"/></w:pPr>
<w:r><w:t xml:space="preserve">Col Ferret (Courmayeur to Orsieres), carriage road in progress. . . . .8,311</w:t></w:r>
</w:p>
<w:p>
<w:pPr><w:pStyle w:val="Normal"/></w:pPr>
<w:r><w:t xml:space="preserve">Col de la Seigne (Chapieux to Courmayeur) bridle path. . . . . . . . . . .8,242</w:t></w:r>
</w:p>
<w:p>
<w:pPr><w:pStyle w:val="Normal"/></w:pPr>
<w:r><w:t xml:space="preserve">Col de Susanfe (Champery to Salvan), foot path. . . . . . . . . . . . .8,202</w:t></w:r>
</w:p>
<w:p>
<w:pPr><w:pStyle w:val="Normal"/></w:pPr>
<w:r><w:t xml:space="preserve">Col du Bonhomme (Contamines to Chapieux), bridle path. . . . . . . . . . .8,147</w:t></w:r>
</w:p>
<w:p>
<w:pPr><w:pStyle w:val="Normal"/></w:pPr>
<w:r><w:t xml:space="preserve">Col de Valdobbia (Gressoney to the Val Sesia), bridle path . . . . . . . .8,134</w:t></w:r>
</w:p>
<w:p>
<w:pPr><w:pStyle w:val="Normal"/></w:pPr>
<w:r><w:t xml:space="preserve">Great St Bernard (Martigny to Aosta), carriage road. . . . . . . . . . . .8,111</w:t></w:r>
</w:p>
<w:p>
<w:pPr><w:pStyle w:val="Normal"/></w:pPr>
<w:r><w:t xml:space="preserve">Col de Sagerou (Sixt to Champery), foot path. . . . . . . . . . . . . .7,917</w:t></w:r>
</w:p>
<w:p>
<w:pPr><w:pStyle w:val="Normal"/></w:pPr>
<w:r><w:t xml:space="preserve">Col de Moud (Alagna to Rima and Varallo), bridle path. . . . . . . . . . .7,622</w:t></w:r>
</w:p>
<w:p>
<w:pPr><w:pStyle w:val="Normal"/></w:pPr>
<w:r><w:t xml:space="preserve">Col d&apos;Anterne (Sixt to Servos), bridle path. . . . . . . . . . . . . . . .7,425</w:t></w:r>
</w:p>
<w:p>
<w:pPr><w:pStyle w:val="Normal"/></w:pPr>
<w:r><w:t xml:space="preserve">Col d&apos;Egua (Rima to the Val Anzasca), bridle path. . . . . . . . . . . . .7,336</w:t></w:r>
</w:p>
<w:p>
<w:pPr><w:pStyle w:val="Normal"/></w:pPr>
<w:r><w:t xml:space="preserve">Col de Balme (Chamonix to the Trient Valley), bridle path. . . . . . . . .7,221</w:t></w:r>
</w:p>
<w:p>
<w:pPr><w:pStyle w:val="Normal"/></w:pPr>
<w:r><w:t xml:space="preserve">Simplon Pass (Brieg to Domo d&apos;Ossola), carriage road over,</w:t></w:r>
</w:p>
<w:p>
<w:pPr><w:pStyle w:val="Normal"/></w:pPr>
<w:r><w:t xml:space="preserve">railway tunnel beneath. . . . . . . . . . . . . . . . . . . . . . . .6,592</w:t></w:r>
</w:p>
<w:p>
<w:pPr><w:pStyle w:val="Normal"/></w:pPr>
<w:r><w:t xml:space="preserve">Col de Checouri (Courmayeur to the Lac de Combal),bridle path . . . . .6,431</w:t></w:r>
</w:p>
<w:p>
<w:pPr><w:pStyle w:val="Normal"/></w:pPr>
<w:r><w:t xml:space="preserve">Baranca Pass (Varallo to the Val Anzasca), bridle path . . . . . . . . . .5,971</w:t></w:r>
</w:p>
<w:p>
<w:pPr><w:pStyle w:val="Normal"/></w:pPr>
<w:r><w:t xml:space="preserve">Col de Voza (Chamonix to Contamines), bridle path. . . . . . . . . . . . .5,496</w:t></w:r>
</w:p>
<w:p>
<w:pPr><w:pStyle w:val="Normal"/></w:pPr>
<w:r><w:t xml:space="preserve">Col de la Forclaz (Chamonix to St Gervais), bridle path. . . . . . . . . .5,105</w:t></w:r>
</w:p>
<w:p>
<w:pPr><w:pStyle w:val="Normal"/></w:pPr>
<w:r><w:t xml:space="preserve">Col de la Forclaz (Trient Valley to Martigny), carriage road . . . . . . .4,987</w:t></w:r>
</w:p>
<w:p>
<w:pPr><w:pStyle w:val="Heading1"/></w:pPr>
<w:r><w:t>II. CENTRAL ALPS</w:t></w:r>
</w:p>
<w:p>
<w:pPr><w:pStyle w:val="Normal"/></w:pPr>
<w:r><w:t xml:space="preserve">6. Bernese Oberland (from the Lake of Geneva to the Furka, the</w:t></w:r>
</w:p>
<w:p>
<w:pPr><w:pStyle w:val="Normal"/></w:pPr>
<w:r><w:t xml:space="preserve">Reuss Valley and the Lake of Lucerne). This general name seems</w:t></w:r>
</w:p>
<w:p>
<w:pPr><w:pStyle w:val="Normal"/></w:pPr>
<w:r><w:t xml:space="preserve">best to describe the range in question, though, of course, portions of</w:t></w:r>
</w:p>
<w:p>
<w:pPr><w:pStyle w:val="Normal"/></w:pPr>
<w:r><w:t xml:space="preserve">it are in Cantons other than that of Berne, viz. Vaud, Fribourg, the</w:t></w:r>
</w:p>
<w:p>
<w:pPr><w:pStyle w:val="Normal"/></w:pPr>
<w:r><w:t xml:space="preserve">Valais, Lucerne, Uri and Unterwalden.</w:t></w:r>
</w:p>
<w:p>
<w:pPr><w:pStyle w:val="Normal"/></w:pPr>
<w:r><w:t xml:space="preserve">Chief Peaks of the Bernese Oberland.</w:t></w:r>
</w:p>
<w:p>
<w:pPr><w:pStyle w:val="Normal"/></w:pPr>
<w:r><w:t xml:space="preserve">Finsteraarhorn . . . . . . . . 14,026   Wellhorn . . . . . . . . . . . . 10,486</w:t></w:r>
</w:p>
<w:p>
<w:pPr><w:pStyle w:val="Normal"/></w:pPr>
<w:r><w:t xml:space="preserve">Aletschhorn. . . . . . . . . . 13,721   Mettenberg . . . . . . . . . . . 10,194</w:t></w:r>
</w:p>
<w:p>
<w:pPr><w:pStyle w:val="Normal"/></w:pPr>
<w:r><w:t xml:space="preserve">Jungfrau . . . . . . . . . . . 13,669   Loffelhorn. . . . . . . . . . 10,165</w:t></w:r>
</w:p>
<w:p>
<w:pPr><w:pStyle w:val="Normal"/></w:pPr>
<w:r><w:t xml:space="preserve">Monch . . . . . . . . . . . 13,468   Grand Muveran. . . . . . . . . . 10,043</w:t></w:r>
</w:p>
<w:p>
<w:pPr><w:pStyle w:val="Normal"/></w:pPr>
<w:r><w:t xml:space="preserve">Gross Schreckhorn. . . . . . . 13,386   Gross Wendenstock. . . . . . . . .9,987</w:t></w:r>
</w:p>
<w:p>
<w:pPr><w:pStyle w:val="Normal"/></w:pPr>
<w:r><w:t xml:space="preserve">Gross Fiescherhorn . . . . . . 13,285   Sparrhorn. . . . . . . . . . . . .9,928</w:t></w:r>
</w:p>
<w:p>
<w:pPr><w:pStyle w:val="Normal"/></w:pPr>
<w:r><w:t xml:space="preserve">Eiger. . . . . . . . . . . . . 13,042   Torrenthorn. . . . . . . . . . . .9,853</w:t></w:r>
</w:p>
<w:p>
<w:pPr><w:pStyle w:val="Normal"/></w:pPr>
<w:r><w:t xml:space="preserve">Bietschhorn. . . . . . . . . . 12,970   Grande Dent de Morcles . . . . . .9,777</w:t></w:r>
</w:p>
<w:p>
<w:pPr><w:pStyle w:val="Normal"/></w:pPr>
<w:r><w:t xml:space="preserve">Gross Wannehorn. . . . . . . . 12,812   Schilthorn . . . . . . . . . . . .9,754</w:t></w:r>
</w:p>
<w:p>
<w:pPr><w:pStyle w:val="Normal"/></w:pPr>
<w:r><w:t xml:space="preserve">Gross Nesthorn . . . . . . . . 12,533   Eggishorn. . . . . . . . . . . . .9,626</w:t></w:r>
</w:p>
<w:p>
<w:pPr><w:pStyle w:val="Normal"/></w:pPr>
<w:r><w:t xml:space="preserve">Lauterbrunnen Breithorn. . . . 12,399   Uri Rothstock. . . . . . . . . . .9,620</w:t></w:r>
</w:p>
<w:p>
<w:pPr><w:pStyle w:val="Normal"/></w:pPr>
<w:r><w:t xml:space="preserve">Balmhorn . . . . . . . . . . . 12,176   Schwarzhorn(Grindelwald) . . . . .9,613</w:t></w:r>
</w:p>
<w:p>
<w:pPr><w:pStyle w:val="Normal"/></w:pPr>
<w:r><w:t xml:space="preserve">Wetterhorn (Mittelhorn). . . . 12,166   Gross Siedelhorn . . . . . . . . .9,452</w:t></w:r>
</w:p>
<w:p>
<w:pPr><w:pStyle w:val="Normal"/></w:pPr>
<w:r><w:t xml:space="preserve">Wetterhorn (Hash Jungfrau) . . 12,149   Albristhorn. . . . . . . . . . . .9,069</w:t></w:r>
</w:p>
<w:p>
<w:pPr><w:pStyle w:val="Normal"/></w:pPr>
<w:r><w:t xml:space="preserve">Rothihorn.. . . . . . . . . . .9,052</w:t></w:r>
</w:p>
<w:p>
<w:pPr><w:pStyle w:val="Normal"/></w:pPr>
<w:r><w:t xml:space="preserve">Wetterhorn (Rosenhorn) . . . . 12,110   Faulhorn . . . . . . . . . . . . .8,803</w:t></w:r>
</w:p>
<w:p>
<w:pPr><w:pStyle w:val="Normal"/></w:pPr>
<w:r><w:t xml:space="preserve">Blumlisalphorn. . . . . . . 12,044   Gummfluh . . . . . . . . . . . . .8,074</w:t></w:r>
</w:p>
<w:p>
<w:pPr><w:pStyle w:val="Normal"/></w:pPr>
<w:r><w:t xml:space="preserve">Gross Doldenhorn . . . . . . . 11,966   Sulegg . . . . . . . . . . . . . .7,914</w:t></w:r>
</w:p>
<w:p>
<w:pPr><w:pStyle w:val="Normal"/></w:pPr>
<w:r><w:t xml:space="preserve">Atels. . . . . . . . . . . . . 11,930   Vanil Noir . . . . . . . . . . . .7,858</w:t></w:r>
</w:p>
<w:p>
<w:pPr><w:pStyle w:val="Normal"/></w:pPr>
<w:r><w:t xml:space="preserve">Dammastock . . . . . . . . . . 11,920   Niesen . . . . . . . . . . . . . .7,763</w:t></w:r>
</w:p>
<w:p>
<w:pPr><w:pStyle w:val="Normal"/></w:pPr>
<w:r><w:t xml:space="preserve">Galenstock . . . . . . . . . . 11,802   Brienzer Rothhorn. . . . . . . . .7,714</w:t></w:r>
</w:p>
<w:p>
<w:pPr><w:pStyle w:val="Normal"/></w:pPr>
<w:r><w:t xml:space="preserve">Sustenhorn . . . . . . . . . . 11,523   Tour d&apos;Ai. . . . . . . . . . . . .7,658</w:t></w:r>
</w:p>
<w:p>
<w:pPr><w:pStyle w:val="Normal"/></w:pPr>
<w:r><w:t xml:space="preserve">Gspaltenhorn . . . . . . . . . 11,293   Hohgant. . . . . . . . . . . . . .7,225</w:t></w:r>
</w:p>
<w:p>
<w:pPr><w:pStyle w:val="Normal"/></w:pPr>
<w:r><w:t xml:space="preserve">Fleckistock. . . . . . . . . . 11,214   Stockhorn. . . . . . . . . . . . .7,192</w:t></w:r>
</w:p>
<w:p>
<w:pPr><w:pStyle w:val="Normal"/></w:pPr>
<w:r><w:t xml:space="preserve">Gross Huhnerstock . . . . . 10,985   Kaiseregg. . . . . . . . . . . . .7,182</w:t></w:r>
</w:p>
<w:p>
<w:pPr><w:pStyle w:val="Normal"/></w:pPr>
<w:r><w:t xml:space="preserve">Ewigschneehorn . . . . . . . . 10,929   Pilatus (Tomlishorn) . . . . . . .6,995</w:t></w:r>
</w:p>
<w:p>
<w:pPr><w:pStyle w:val="Normal"/></w:pPr>
<w:r><w:t xml:space="preserve">Ritzlihorn . . . . . . . . . . 10,768   Chamossaire. . . . . . . . . . . .6,943</w:t></w:r>
</w:p>
<w:p>
<w:pPr><w:pStyle w:val="Normal"/></w:pPr>
<w:r><w:t xml:space="preserve">Wildhorn . . . . . . . . . . . 10,709   Gemmenalphorn. . . . . . . . . . .6,772</w:t></w:r>
</w:p>
<w:p>
<w:pPr><w:pStyle w:val="Normal"/></w:pPr>
<w:r><w:t xml:space="preserve">Wildstrubel. . . . . . . . . . 10,673   Rochers de Nave. . . . . . . . . .5,710</w:t></w:r>
</w:p>
<w:p>
<w:pPr><w:pStyle w:val="Normal"/></w:pPr>
<w:r><w:t xml:space="preserve">Diablerets . . . . . . . . . . 10,650   Moleson . . . . . . . . . . . .6,582</w:t></w:r>
</w:p>
<w:p>
<w:pPr><w:pStyle w:val="Normal"/></w:pPr>
<w:r><w:t xml:space="preserve">Titlis . . . . . . . . . . . . 10,627   Dent de Jaman. . . . . . . . . . .6,165</w:t></w:r>
</w:p>
<w:p>
<w:pPr><w:pStyle w:val="Normal"/></w:pPr>
<w:r><w:t xml:space="preserve">Gross Spannort . . . . . . . . 10,516   Napf . . . . . . . . . . . . . . .4,629</w:t></w:r>
</w:p>
<w:p>
<w:pPr><w:pStyle w:val="Normal"/></w:pPr>
<w:r><w:t xml:space="preserve">Chief Passes of the Bernese Oberland.</w:t></w:r>
</w:p>
<w:p>
<w:pPr><w:pStyle w:val="Normal"/></w:pPr>
<w:r><w:t xml:space="preserve">Lauithor (Lauterbrunnen to the Eggishorn), snow. . . . . . . . . . . . . 12,140</w:t></w:r>
</w:p>
<w:p>
<w:pPr><w:pStyle w:val="Normal"/></w:pPr>
<w:r><w:t xml:space="preserve">Monchjoch (Grindelwald to the Eggishorn), snow. . . . . . . . . . . . 11,680</w:t></w:r>
</w:p>
<w:p>
<w:pPr><w:pStyle w:val="Normal"/></w:pPr>
<w:r><w:t xml:space="preserve">Jungfraujoch (Wengern Alp to the Eggishorn), snow. . . . . . . . . . . . 11,385</w:t></w:r>
</w:p>
<w:p>
<w:pPr><w:pStyle w:val="Normal"/></w:pPr>
<w:r><w:t xml:space="preserve">Strahlegg Pass (Grindelwald to the Grimsel), snow. . . . . . . . . . . . 10,995</w:t></w:r>
</w:p>
<w:p>
<w:pPr><w:pStyle w:val="Normal"/></w:pPr>
<w:r><w:t xml:space="preserve">Grunhornlueke (Great Aletsch Glacier to the Fiescher</w:t></w:r>
</w:p>
<w:p>
<w:pPr><w:pStyle w:val="Normal"/></w:pPr>
<w:r><w:t xml:space="preserve">Glacier), snow. . . . . . . . . . . . . . . . . . . . . . . . . . . 10,844</w:t></w:r>
</w:p>
<w:p>
<w:pPr><w:pStyle w:val="Normal"/></w:pPr>
<w:r><w:t xml:space="preserve">Oberaarjoch (Grimsel to the Eggishorn), snow . . . . . . . . . . . . . . 10,607</w:t></w:r>
</w:p>
<w:p>
<w:pPr><w:pStyle w:val="Normal"/></w:pPr>
<w:r><w:t xml:space="preserve">Gauli Pass (Grimsel to Meiringen), snow. . . . . . . . . . . . . . . . . 10,519</w:t></w:r>
</w:p>
<w:p>
<w:pPr><w:pStyle w:val="Normal"/></w:pPr>
<w:r><w:t xml:space="preserve">Petersgrat (Lauterbrunnen to the Lotschenthal), snow. . . . . . . . . 10,516</w:t></w:r>
</w:p>
<w:p>
<w:pPr><w:pStyle w:val="Normal"/></w:pPr>
<w:r><w:t xml:space="preserve">Lotschenlucke (Lotschenthal to the Eggishorn), snow . . . . . . 10,512</w:t></w:r>
</w:p>
<w:p>
<w:pPr><w:pStyle w:val="Normal"/></w:pPr>
<w:r><w:t xml:space="preserve">Lauteraarsattel (Grindelwald to the Grimsel), snow . . . . . . . . . . . 10,355</w:t></w:r>
</w:p>
<w:p>
<w:pPr><w:pStyle w:val="Normal"/></w:pPr>
<w:r><w:t xml:space="preserve">Beichgrat (Lotschenthal to the Bel Alp), snow . . . . . . . . . . . . 10,289</w:t></w:r>
</w:p>
<w:p>
<w:pPr><w:pStyle w:val="Normal"/></w:pPr>
<w:r><w:t xml:space="preserve">Lammernjoch (Lenk to the Gemmi), snow . . . . . . . . . . . . . . . . 10,276</w:t></w:r>
</w:p>
<w:p>
<w:pPr><w:pStyle w:val="Normal"/></w:pPr>
<w:r><w:t xml:space="preserve">Triftlimmi (Rhone Glacier to the Gadmen Valley), snow. . . . . . . . . . 10,200</w:t></w:r>
</w:p>
<w:p>
<w:pPr><w:pStyle w:val="Normal"/></w:pPr>
<w:r><w:t xml:space="preserve">Sustenlimmi (Stein Alp to Goeschenen), snow. . . . . . . . . . . . . . . 10,181</w:t></w:r>
</w:p>
<w:p>
<w:pPr><w:pStyle w:val="Normal"/></w:pPr>
<w:r><w:t xml:space="preserve">Gamchilucke (Kien Valley to Lauterbrunnen), snow. . . . . . . . . . . .9,295</w:t></w:r>
</w:p>
<w:p>
<w:pPr><w:pStyle w:val="Normal"/></w:pPr>
<w:r><w:t xml:space="preserve">Tschiugel Pass (Lauterbrunnen to Kandersteg), snow . . . . . . . . . . . .9,265</w:t></w:r>
</w:p>
<w:p>
<w:pPr><w:pStyle w:val="Normal"/></w:pPr>
<w:r><w:t xml:space="preserve">Hohthurli Pass (Kandersteg to the Kien Valley), foot path . . . . . . .8,882</w:t></w:r>
</w:p>
<w:p>
<w:pPr><w:pStyle w:val="Normal"/></w:pPr>
<w:r><w:t xml:space="preserve">Lotschen Pass (Kandersteg to the Lotschenthal), snow . . . . . . . .8,842</w:t></w:r>
</w:p>
<w:p>
<w:pPr><w:pStyle w:val="Normal"/></w:pPr>
<w:r><w:t xml:space="preserve">Sefinenfurka (Lauierbrunnen to the Kien Valley), foot path . . . . . . . .8,583</w:t></w:r>
</w:p>
<w:p>
<w:pPr><w:pStyle w:val="Normal"/></w:pPr>
<w:r><w:t xml:space="preserve">Wendenjoch (Engelberg to the Gadmen Valley), snow. . . . . . . . . . . . .8,544</w:t></w:r>
</w:p>
<w:p>
<w:pPr><w:pStyle w:val="Normal"/></w:pPr>
<w:r><w:t xml:space="preserve">Furtwangsattel (Guttannen to the Gadmen Valley), foot path . . . . . . . .8,393</w:t></w:r>
</w:p>
<w:p>
<w:pPr><w:pStyle w:val="Normal"/></w:pPr>
<w:r><w:t xml:space="preserve">Furka Pass (Rhone Glacier to Andermatt), carriage road . . . . . . . . . .7,992</w:t></w:r>
</w:p>
<w:p>
<w:pPr><w:pStyle w:val="Normal"/></w:pPr>
<w:r><w:t xml:space="preserve">Rawil Pass (Sion to Lenk), bridle path . . . . . . . . . . . . . . . . . .7,924</w:t></w:r>
</w:p>
<w:p>
<w:pPr><w:pStyle w:val="Normal"/></w:pPr>
<w:r><w:t xml:space="preserve">Gemmi Pass (Randersteg to Leukerbad), bridle path. . . . . . . . . . . . .7,641</w:t></w:r>
</w:p>
<w:p>
<w:pPr><w:pStyle w:val="Normal"/></w:pPr>
<w:r><w:t xml:space="preserve">Surenen Pass (Engelberg to Altdorf), foot path . . . . . . . . . . . . . .7,563</w:t></w:r>
</w:p>
<w:p>
<w:pPr><w:pStyle w:val="Normal"/></w:pPr>
<w:r><w:t xml:space="preserve">Susten Pass (Meiringen to Wassen), partly carriage road. . . . . . . . . .7,422</w:t></w:r>
</w:p>
<w:p>
<w:pPr><w:pStyle w:val="Normal"/></w:pPr>
<w:r><w:t xml:space="preserve">Sanetsch Pass (Sion to Saanen), bridle path. . . . . . . . . . . . . . . .7,331</w:t></w:r>
</w:p>
<w:p>
<w:pPr><w:pStyle w:val="Normal"/></w:pPr>
<w:r><w:t xml:space="preserve">Joch Pass (Meiringen to Engelberg), bridle path. . . . . . . . . . . . . .7,267</w:t></w:r>
</w:p>
<w:p>
<w:pPr><w:pStyle w:val="Normal"/></w:pPr>
<w:r><w:t xml:space="preserve">Grimsel Pass (Meiringen to the Rhone Glacier), carriage road . . . . . . .7,100</w:t></w:r>
</w:p>
<w:p>
<w:pPr><w:pStyle w:val="Normal"/></w:pPr>
<w:r><w:t xml:space="preserve">Kleine Scheidegg (Grindelwald to Lauterbrunnen), railway over. . . . . . .6,772</w:t></w:r>
</w:p>
<w:p>
<w:pPr><w:pStyle w:val="Normal"/></w:pPr>
<w:r><w:t xml:space="preserve">Col de Cheville (Sion to Bex), bridle path . . . . . . . . . . . . . . . .6,723</w:t></w:r>
</w:p>
<w:p>
<w:pPr><w:pStyle w:val="Normal"/></w:pPr>
<w:r><w:t xml:space="preserve">Grosse Scheidegg (Grindelwald to Meiringen), bridle path . . . . . . . . .6,454</w:t></w:r>
</w:p>
<w:p>
<w:pPr><w:pStyle w:val="Normal"/></w:pPr>
<w:r><w:t xml:space="preserve">Col de Jaman (Montreux to Montbovon), mule path over, railway</w:t></w:r>
</w:p>
<w:p>
<w:pPr><w:pStyle w:val="Normal"/></w:pPr>
<w:r><w:t xml:space="preserve">tunnel beneath. . . . . . . . . . . . . . . . . . . . . . . . . . . .4,974</w:t></w:r>
</w:p>
<w:p>
<w:pPr><w:pStyle w:val="Normal"/></w:pPr>
<w:r><w:t xml:space="preserve">Brunig Pass (Meiringen to Lucerne), railway over. . . . . . . . . . . .3,396</w:t></w:r>
</w:p>
<w:p>
<w:pPr><w:pStyle w:val="Normal"/></w:pPr>
<w:r><w:t xml:space="preserve">7. Lepontine Alps (from the Simplon to the Splugen and south</w:t></w:r>
</w:p>
<w:p>
<w:pPr><w:pStyle w:val="Normal"/></w:pPr>
<w:r><w:t xml:space="preserve">of the Furka and Oberalp Passes). The eastern portion of this</w:t></w:r>
</w:p>
<w:p>
<w:pPr><w:pStyle w:val="Normal"/></w:pPr>
<w:r><w:t xml:space="preserve">range, from the St Gotthard Pass to the Splugen, is sometimes</w:t></w:r>
</w:p>
<w:p>
<w:pPr><w:pStyle w:val="Normal"/></w:pPr>
<w:r><w:t xml:space="preserve">named the Adula Alps.</w:t></w:r>
</w:p>
<w:p>
<w:pPr><w:pStyle w:val="Normal"/></w:pPr>
<w:r><w:t xml:space="preserve">Chief Peaks of the Lepontine Alps.</w:t></w:r>
</w:p>
<w:p>
<w:pPr><w:pStyle w:val="Normal"/></w:pPr>
<w:r><w:t xml:space="preserve">Monte Leone. . . . . . . . . . 11,684   Piz Blas . . . . . . . . . . . . .9,918</w:t></w:r>
</w:p>
<w:p>
<w:pPr><w:pStyle w:val="Normal"/></w:pPr>
<w:r><w:t xml:space="preserve">Rheinwaldhorn. . . . . . . . . 11,149   Monte Giove. . . . . . . . . . . .9,876</w:t></w:r>
</w:p>
<w:p>
<w:pPr><w:pStyle w:val="Normal"/></w:pPr>
<w:r><w:t xml:space="preserve">Guferhorn . . . . . . . . . 11,132   Pizzo Centrale . . . . . . . . . .9,853</w:t></w:r>
</w:p>
<w:p>
<w:pPr><w:pStyle w:val="Normal"/></w:pPr>
<w:r><w:t xml:space="preserve">Blindenhorn. . . . . . . . . . 11,103   Pizzas d&apos;Annarosa. . . . . . . . .9,850</w:t></w:r>
</w:p>
<w:p>
<w:pPr><w:pStyle w:val="Normal"/></w:pPr>
<w:r><w:t xml:space="preserve">Basodino . . . . . . . . . . . 10,749   Piz Beverin. . . . . . . . . . . .9,843</w:t></w:r>
</w:p>
<w:p>
<w:pPr><w:pStyle w:val="Normal"/></w:pPr>
<w:r><w:t xml:space="preserve">Tambohorn. . . . . . . . . . . 10,749   Weisshorn (Splugen) . . . . . .9,817</w:t></w:r>
</w:p>
<w:p>
<w:pPr><w:pStyle w:val="Normal"/></w:pPr>
<w:r><w:t xml:space="preserve">Helsenhorn . . . . . . . . . . 10,742   Pizzo Lucendro . . . . . . . . . .9,708</w:t></w:r>
</w:p>
<w:p>
<w:pPr><w:pStyle w:val="Normal"/></w:pPr>
<w:r><w:t xml:space="preserve">Wasenhorn. . . . . . . . . . . 10,680   Piz Tomul . . . . . . . . . . .9,676</w:t></w:r>
</w:p>
<w:p>
<w:pPr><w:pStyle w:val="Normal"/></w:pPr>
<w:r><w:t xml:space="preserve">Ofenhorn . . . . . . . . . . . 10,637   Piz Cavel. . . . . . . . . . . . .9,659</w:t></w:r>
</w:p>
<w:p>
<w:pPr><w:pStyle w:val="Normal"/></w:pPr>
<w:r><w:t xml:space="preserve">Cherbadung . . . . . . . . . . 10,542   Barenhorn . . . . . . . . . . .9,620</w:t></w:r>
</w:p>
<w:p>
<w:pPr><w:pStyle w:val="Normal"/></w:pPr>
<w:r><w:t xml:space="preserve">Piz Medel. . . . . . . . . . . 10,509   Six Madun (Badus). . . . . . . . .9,619</w:t></w:r>
</w:p>
<w:p>
<w:pPr><w:pStyle w:val="Normal"/></w:pPr>
<w:r><w:t xml:space="preserve">Scopi. . . . . . . . . . . . . 10,499   Piz Muraun . . . . . . . . . . . .9,512</w:t></w:r>
</w:p>
<w:p>
<w:pPr><w:pStyle w:val="Normal"/></w:pPr>
<w:r><w:t xml:space="preserve">Pizzo Rotondo. . . . . . . . . 10,489   Zervreilerhorn . . . . . . . . . .9,508</w:t></w:r>
</w:p>
<w:p>
<w:pPr><w:pStyle w:val="Normal"/></w:pPr>
<w:r><w:t xml:space="preserve">Pizzo dei Piani. . . . . . . . 10,361   Monte Cistella . . . . . . . . . .9,353</w:t></w:r>
</w:p>
<w:p>
<w:pPr><w:pStyle w:val="Normal"/></w:pPr>
<w:r><w:t xml:space="preserve">Piz Terri. . . . . . . . . . . 10,338   Piz Lukmanier. . . . . . . . . . .9,115</w:t></w:r>
</w:p>
<w:p>
<w:pPr><w:pStyle w:val="Normal"/></w:pPr>
<w:r><w:t xml:space="preserve">Piz Aul. . . . . . . . . . . . 10,250   Monte Prosa. . . . . . . . . . . .8,983</w:t></w:r>
</w:p>
<w:p>
<w:pPr><w:pStyle w:val="Normal"/></w:pPr>
<w:r><w:t xml:space="preserve">Pizzo di Pesciora. . . . . . . 10,247   Pizzo Columbe . . . . . . . . .8,363</w:t></w:r>
</w:p>
<w:p>
<w:pPr><w:pStyle w:val="Normal"/></w:pPr>
<w:r><w:t xml:space="preserve">Wyttenwasserstock. . . . . . . 10,119   Monte Camoghe . . . . . . . . .7,303</w:t></w:r>
</w:p>
<w:p>
<w:pPr><w:pStyle w:val="Normal"/></w:pPr>
<w:r><w:t xml:space="preserve">Campo Tencia . . . . . . . . . 10,089   Piz Mundaun. . . . . . . . . . . .6,775</w:t></w:r>
</w:p>
<w:p>
<w:pPr><w:pStyle w:val="Normal"/></w:pPr>
<w:r><w:t xml:space="preserve">Leckihorn. . . . . . . . . . . 10,069   Monte Generoso . . . . . . . . . .5,591</w:t></w:r>
</w:p>
<w:p>
<w:pPr><w:pStyle w:val="Normal"/></w:pPr>
<w:r><w:t xml:space="preserve">Bruschghorn. . . . . . . . . . 10,020   Monte San Salvatore. . . . . . . .3,004</w:t></w:r>
</w:p>
<w:p>
<w:pPr><w:pStyle w:val="Normal"/></w:pPr>
<w:r><w:t xml:space="preserve">Alperschellihorn . . . . . . . 9,991</w:t></w:r>
</w:p>
<w:p>
<w:pPr><w:pStyle w:val="Normal"/></w:pPr>
<w:r><w:t xml:space="preserve">Chief Passes of the Lepontine Alps.</w:t></w:r>
</w:p>
<w:p>
<w:pPr><w:pStyle w:val="Normal"/></w:pPr>
<w:r><w:t xml:space="preserve">Zapport Pass (Hinterrhein to Malvaglia and Biasca), snow . . . . . . . . 10,103</w:t></w:r>
</w:p>
<w:p>
<w:pPr><w:pStyle w:val="Normal"/></w:pPr>
<w:r><w:t xml:space="preserve">Guferlucke (Kanal Glen to the Lenta Glen), snow. . . . . . . . . . .9,777</w:t></w:r>
</w:p>
<w:p>
<w:pPr><w:pStyle w:val="Normal"/></w:pPr>
<w:r><w:t xml:space="preserve">Lentalucke (Hinterrhein to Vals Platz), snow. . . . . . . . . . . . . .9,692</w:t></w:r>
</w:p>
<w:p>
<w:pPr><w:pStyle w:val="Normal"/></w:pPr>
<w:r><w:t xml:space="preserve">Hohsand Pass (Binn to Tosa Falls), snow. . . . . . . . . . . . . . . . . .9,603</w:t></w:r>
</w:p>
<w:p>
<w:pPr><w:pStyle w:val="Normal"/></w:pPr>
<w:r><w:t xml:space="preserve">Lecki Pass (Wyttenwasser Glen to the Mutten Glen), snow. . . . . . . . . .9,554</w:t></w:r>
</w:p>
<w:p>
<w:pPr><w:pStyle w:val="Normal"/></w:pPr>
<w:r><w:t xml:space="preserve">Passo Rotondo (Airolo to Oberwald), snow . . . . . . . . . . . . . . . . .9,449</w:t></w:r>
</w:p>
<w:p>
<w:pPr><w:pStyle w:val="Normal"/></w:pPr>
<w:r><w:t xml:space="preserve">Kaltwasser Pass (Simplon Hospice to Veglia Alp), snow. . . . . . . . . . .9,331</w:t></w:r>
</w:p>
<w:p>
<w:pPr><w:pStyle w:val="Normal"/></w:pPr>
<w:r><w:t xml:space="preserve">Scaradra Pass (Vals Platz to Olivone), foot path . . . . . . . . . . . . .9,088</w:t></w:r>
</w:p>
<w:p>
<w:pPr><w:pStyle w:val="Normal"/></w:pPr>
<w:r><w:t xml:space="preserve">Satteltelucke (Vals Platz to Vrin), foot path . . . . . . . . . . . . .9,082</w:t></w:r>
</w:p>
<w:p>
<w:pPr><w:pStyle w:val="Normal"/></w:pPr>
<w:r><w:t xml:space="preserve">Ritter Pass (Binn to Veglia Alp), snow . . . . . . . . . . . . . . . . . .8,832</w:t></w:r>
</w:p>
<w:p>
<w:pPr><w:pStyle w:val="Normal"/></w:pPr>
<w:r><w:t xml:space="preserve">Cavanna Pass (Realp to the Val Bedretto), snow . . . . . . . . . . . . . .8,566</w:t></w:r>
</w:p>
<w:p>
<w:pPr><w:pStyle w:val="Normal"/></w:pPr>
<w:r><w:t xml:space="preserve">Scatta Minoja (Devero to the Val Formazza), bridle path. . . . . . . . . .8,521</w:t></w:r>
</w:p>
<w:p>
<w:pPr><w:pStyle w:val="Normal"/></w:pPr>
<w:r><w:t xml:space="preserve">Bocca di Cadlimo (Airolo to the Lukmanier Pass), foot path . . . . . . . .8,340</w:t></w:r>
</w:p>
<w:p>
<w:pPr><w:pStyle w:val="Normal"/></w:pPr>
<w:r><w:t xml:space="preserve">Valserberg (Hinterrhein to Vals Platz), bridle path. . . . . . . . . . . .8,225</w:t></w:r>
</w:p>
<w:p>
<w:pPr><w:pStyle w:val="Normal"/></w:pPr>
<w:r><w:t xml:space="preserve">Safierberg (Splugen to Safien Platz), bridle path . . . . . . . . . . .8,170</w:t></w:r>
</w:p>
<w:p>
<w:pPr><w:pStyle w:val="Normal"/></w:pPr>
<w:r><w:t xml:space="preserve">Geisspfad Pass (Binn to Devero), foot path . . . . . . . . . . . . . . . .8,120</w:t></w:r>
</w:p>
<w:p>
<w:pPr><w:pStyle w:val="Normal"/></w:pPr>
<w:r><w:t xml:space="preserve">Gries Pass (Ulrichen to Tosa Falls), bridle path . . . . . . . . . . . . .8,098</w:t></w:r>
</w:p>
<w:p>
<w:pPr><w:pStyle w:val="Normal"/></w:pPr>
<w:r><w:t xml:space="preserve">Passo di Naret (Fusio to Airolo), bridle path. . . . . . . . . . . . . . .8,015</w:t></w:r>
</w:p>
<w:p>
<w:pPr><w:pStyle w:val="Normal"/></w:pPr>
<w:r><w:t xml:space="preserve">Nufenen Pass (Ulrichen to Airolo), bridle path . . . . . . . . . . . . . .8,006</w:t></w:r>
</w:p>
<w:p>
<w:pPr><w:pStyle w:val="Normal"/></w:pPr>
<w:r><w:t xml:space="preserve">Diesrut Pass (Vrin fo the Somvix Oolen), bad bridle path . . . . . . . . .7,953</w:t></w:r>
</w:p>
<w:p>
<w:pPr><w:pStyle w:val="Normal"/></w:pPr>
<w:r><w:t xml:space="preserve">Albrun Pass (Binn to Devero and Baceno), bridle path . . . . . . . . . . .7,907</w:t></w:r>
</w:p>
<w:p>
<w:pPr><w:pStyle w:val="Normal"/></w:pPr>
<w:r><w:t xml:space="preserve">Greina Pass (Olivone to the Somvix Glen), bridle path. . . . . . . . . . .7,743</w:t></w:r>
</w:p>
<w:p>
<w:pPr><w:pStyle w:val="Normal"/></w:pPr>
<w:r><w:t xml:space="preserve">San Giacomo Pass (Airolo to Tosa Falls), bridle path . . . . . . . . . . .7,573</w:t></w:r>
</w:p>
<w:p>
<w:pPr><w:pStyle w:val="Normal"/></w:pPr>
<w:r><w:t xml:space="preserve">Passo di Buffalora (Val Mesocco to the Val Calanca), foot path . . . . . .7,431</w:t></w:r>
</w:p>
<w:p>
<w:pPr><w:pStyle w:val="Normal"/></w:pPr>
<w:r><w:t xml:space="preserve">Passo dell&apos; Uomo (Airolo to the Lukmanier Pass), bridle path . . . . . . .7,258</w:t></w:r>
</w:p>
<w:p>
<w:pPr><w:pStyle w:val="Normal"/></w:pPr>
<w:r><w:t xml:space="preserve">Splugen Pass (Thusis to Chiavenna), carriage road . . . . . . . . . . .6,946</w:t></w:r>
</w:p>
<w:p>
<w:pPr><w:pStyle w:val="Normal"/></w:pPr>
<w:r><w:t xml:space="preserve">St Gotthard Pass (Andermatt to Airolo), carriage road over,</w:t></w:r>
</w:p>
<w:p>
<w:pPr><w:pStyle w:val="Normal"/></w:pPr>
<w:r><w:t xml:space="preserve">railway tunnel beneath. . . . . . . . . . . . . . . . . . . . . . . .6,936</w:t></w:r>
</w:p>
<w:p>
<w:pPr><w:pStyle w:val="Normal"/></w:pPr>
<w:r><w:t xml:space="preserve">San Bernardino Pass (Thusis to Bellinzona), carriage road. . . . . . . . .6,769</w:t></w:r>
</w:p>
<w:p>
<w:pPr><w:pStyle w:val="Normal"/></w:pPr>
<w:r><w:t xml:space="preserve">Lukmanier Pass (Disentis to Olivone), carriage road. . . . . . . . . . . .6,289</w:t></w:r>
</w:p>
<w:p>
<w:pPr><w:pStyle w:val="Normal"/></w:pPr>
<w:r><w:t xml:space="preserve">8. The Range of the Todi (from the Oberalp Pass to the Klausen Pass).</w:t></w:r>
</w:p>
<w:p>
<w:pPr><w:pStyle w:val="Normal"/></w:pPr>
<w:r><w:t xml:space="preserve">Todi. . . . . . . . . . . . 11,887   Piz Segnes . . . . . . . . . . . 10,178</w:t></w:r>
</w:p>
<w:p>
<w:pPr><w:pStyle w:val="Normal"/></w:pPr>
<w:r><w:t xml:space="preserve">Bifertenstock. . . . . . . . . 11,241   Piz Giuf . . . . . . . . . . . . 10,165</w:t></w:r>
</w:p>
<w:p>
<w:pPr><w:pStyle w:val="Normal"/></w:pPr>
<w:r><w:t xml:space="preserve">Piz Urlaun . . . . . . . . . . 11,060   Crispalt . . . . . . . . . . . . 10,105</w:t></w:r>
</w:p>
<w:p>
<w:pPr><w:pStyle w:val="Normal"/></w:pPr>
<w:r><w:t xml:space="preserve">Oberalpstock . . . . . . . . . 10,926   Bristenstock . . . . . . . . . . 10,086</w:t></w:r>
</w:p>
<w:p>
<w:pPr><w:pStyle w:val="Normal"/></w:pPr>
<w:r><w:t xml:space="preserve">Gross Scheerhorn . . . . . . . 10,814   Selbsanft. . . . . . . . . . . . .9,938</w:t></w:r>
</w:p>
<w:p>
<w:pPr><w:pStyle w:val="Normal"/></w:pPr>
<w:r><w:t xml:space="preserve">Claridenstock. . . . . . . . . 10,729   Vorab. . . . . . . . . . . . . . .9,925</w:t></w:r>
</w:p>
<w:p>
<w:pPr><w:pStyle w:val="Normal"/></w:pPr>
<w:r><w:t xml:space="preserve">Dussistock. . . . . . . . . 10,703   Tschingelhorner (Elm) . . . . .9,351</w:t></w:r>
</w:p>
<w:p>
<w:pPr><w:pStyle w:val="Normal"/></w:pPr>
<w:r><w:t xml:space="preserve">Ringelspitz. . . . . . . . . . 10,667   Piz Sol (Grauehorner) . . . . .9,348</w:t></w:r>
</w:p>
<w:p>
<w:pPr><w:pStyle w:val="Normal"/></w:pPr>
<w:r><w:t xml:space="preserve">Brigelserhorner (highest) . 10,663   Calanda. . . . . . . . . . . . . .9,213</w:t></w:r>
</w:p>
<w:p>
<w:pPr><w:pStyle w:val="Normal"/></w:pPr>
<w:r><w:t xml:space="preserve">Grosse Windgalle. . . . . . 10,473   Karpfstock. . . . . . . . . . .9,177</w:t></w:r>
</w:p>
<w:p>
<w:pPr><w:pStyle w:val="Normal"/></w:pPr>
<w:r><w:t xml:space="preserve">Hausstock. . . . . . . . . . . 10,342   Mageren. . . . . . . . . . . . . .8,294</w:t></w:r>
</w:p>
<w:p>
<w:pPr><w:pStyle w:val="Normal"/></w:pPr>
<w:r><w:t xml:space="preserve">Gross Ruchen . . . . . . . . . 10,289   Murtschenstock. . . . . . . . .8,012</w:t></w:r>
</w:p>
<w:p>
<w:pPr><w:pStyle w:val="Normal"/></w:pPr>
<w:r><w:t xml:space="preserve">Chief Passes of the Range of the Todi.</w:t></w:r>
</w:p>
<w:p>
<w:pPr><w:pStyle w:val="Normal"/></w:pPr>
<w:r><w:t xml:space="preserve">Clariden Pass (Amsteg to Linththal), snow. . . . . . . . . . . . . . . . .9,741</w:t></w:r>
</w:p>
<w:p>
<w:pPr><w:pStyle w:val="Normal"/></w:pPr>
<w:r><w:t xml:space="preserve">Planura Pass (same to same), snow. . . . . . . . . . . . . . . . . . . . .9,646</w:t></w:r>
</w:p>
<w:p>
<w:pPr><w:pStyle w:val="Normal"/></w:pPr>
<w:r><w:t xml:space="preserve">Kammlilucke or Scheerjoch (Maderanerthal to Unterschachen), snow . .9,344</w:t></w:r>
</w:p>
<w:p>
<w:pPr><w:pStyle w:val="Normal"/></w:pPr>
<w:r><w:t xml:space="preserve">Sardona Pass (Flims to Ragaz), snow. . . . . . . . . . . . . . . . . . . .9,318</w:t></w:r>
</w:p>
<w:p>
<w:pPr><w:pStyle w:val="Normal"/></w:pPr>
<w:r><w:t xml:space="preserve">Sand Alp Pass (Disentis to Linththal), snow. . . . . . . . . . . . . . . .9,121</w:t></w:r>
</w:p>
<w:p>
<w:pPr><w:pStyle w:val="Normal"/></w:pPr>
<w:r><w:t xml:space="preserve">Brunni Pass (Disentis to Amsteg), snow . . . . . . . . . . . . . . . . . .8,977</w:t></w:r>
</w:p>
<w:p>
<w:pPr><w:pStyle w:val="Normal"/></w:pPr>
<w:r><w:t xml:space="preserve">Segnes Pass (Elm to Flims), foot path. . . . . . . . . . . . . . . . . . .8,613</w:t></w:r>
</w:p>
<w:p>
<w:pPr><w:pStyle w:val="Normal"/></w:pPr>
<w:r><w:t xml:space="preserve">Kisten Pass (Linththal to Ilanz), bad bridle path. . . . . . . . . . . . .8,203</w:t></w:r>
</w:p>
<w:p>
<w:pPr><w:pStyle w:val="Normal"/></w:pPr>
<w:r><w:t xml:space="preserve">Panixer Pass (Elm to Ilanz), bad bridle path . . . . . . . . . . . . . . .7,897</w:t></w:r>
</w:p>
<w:p>
<w:pPr><w:pStyle w:val="Normal"/></w:pPr>
<w:r><w:t xml:space="preserve">Kruzli Pass (Amsteg to Sedrun), foot path . . . . . . . . . . . . . . .7,710</w:t></w:r>
</w:p>
<w:p>
<w:pPr><w:pStyle w:val="Normal"/></w:pPr>
<w:r><w:t xml:space="preserve">Foo or Ramin Pass (Elm to Weisstannen), bridle path. . . . . . . . . . . .7,290</w:t></w:r>
</w:p>
<w:p>
<w:pPr><w:pStyle w:val="Normal"/></w:pPr>
<w:r><w:t xml:space="preserve">Oberalp Pass (Andermatt to Disentis), carriage road. . . . . . . . . . . .6,719</w:t></w:r>
</w:p>
<w:p>
<w:pPr><w:pStyle w:val="Normal"/></w:pPr>
<w:r><w:t xml:space="preserve">Klausen Pass (Altdorf to Linththal), carriage road . . . . . . . . . . . .6,404</w:t></w:r>
</w:p>
<w:p>
<w:pPr><w:pStyle w:val="Normal"/></w:pPr>
<w:r><w:t xml:space="preserve">9. The Alps of North-Eastern Switzerland (north of the Klausen Pass).</w:t></w:r>
</w:p>
<w:p>
<w:pPr><w:pStyle w:val="Normal"/></w:pPr>
<w:r><w:t xml:space="preserve">Chief Peaks of the North-Eastern Swiss Alps.</w:t></w:r>
</w:p>
<w:p>
<w:pPr><w:pStyle w:val="Normal"/></w:pPr>
<w:r><w:t xml:space="preserve">Glarnisch (highest) . . . . 9,580    Gross Mythen . . . . . . . . . . .6,240</w:t></w:r>
</w:p>
<w:p>
<w:pPr><w:pStyle w:val="Normal"/></w:pPr>
<w:r><w:t xml:space="preserve">Boser Faulen. . . . . . . . 9,200    Rigikulm . . . . . . . . . . . . .5,906</w:t></w:r>
</w:p>
<w:p>
<w:pPr><w:pStyle w:val="Normal"/></w:pPr>
<w:r><w:t xml:space="preserve">Santis. . . . . . . . . . . 8,216    Hoher Kasten . . . . . . . . . . .5,899</w:t></w:r>
</w:p>
<w:p>
<w:pPr><w:pStyle w:val="Normal"/></w:pPr>
<w:r><w:t xml:space="preserve">Altmann. . . . . . . . . . . . 7,999    Rossberg . . . . . . . . . . . . .5,194</w:t></w:r>
</w:p>
<w:p>
<w:pPr><w:pStyle w:val="Normal"/></w:pPr>
<w:r><w:t xml:space="preserve">Faulfirst. . . . . . . . . . . 7,925    Zugerberg (Hochwacht). . . . . . .3,255</w:t></w:r>
</w:p>
<w:p>
<w:pPr><w:pStyle w:val="Normal"/></w:pPr>
<w:r><w:t xml:space="preserve">Alvier . . . . . . . . . . . . 7,753    Albis Hochwacht. . . . . . . . . .2,887</w:t></w:r>
</w:p>
<w:p>
<w:pPr><w:pStyle w:val="Normal"/></w:pPr>
<w:r><w:t xml:space="preserve">Kurfursten (highest). . . . 7,576    Uetliberg. . . . . . . . . . . . .2,864</w:t></w:r>
</w:p>
<w:p>
<w:pPr><w:pStyle w:val="Normal"/></w:pPr>
<w:r><w:t xml:space="preserve">Speer. . . . . . . . . . . . . 6,411</w:t></w:r>
</w:p>
<w:p>
<w:pPr><w:pStyle w:val="Normal"/></w:pPr>
<w:r><w:t xml:space="preserve">Chief Passes of the North-Eastern Swiss Alps.</w:t></w:r>
</w:p>
<w:p>
<w:pPr><w:pStyle w:val="Normal"/></w:pPr>
<w:r><w:t xml:space="preserve">Ruosalperkulm (Schachen Valley to the Muota Valley), foot path. . . . .7,126</w:t></w:r>
</w:p>
<w:p>
<w:pPr><w:pStyle w:val="Normal"/></w:pPr>
<w:r><w:t xml:space="preserve">Karren Alp Pass (Muota Valley to Linththal), foot path . . . . . . . . . .6,877</w:t></w:r>
</w:p>
<w:p>
<w:pPr><w:pStyle w:val="Normal"/></w:pPr>
<w:r><w:t xml:space="preserve">Kinzigkulm Pass (Schachen Valley to the Muota Valley), foot path. . . .6,811</w:t></w:r>
</w:p>
<w:p>
<w:pPr><w:pStyle w:val="Normal"/></w:pPr>
<w:r><w:t xml:space="preserve">Saasberg Pass (Einsiedeln to Glarus), foot path. . . . . . . . . . . . . .6,227</w:t></w:r>
</w:p>
<w:p>
<w:pPr><w:pStyle w:val="Normal"/></w:pPr>
<w:r><w:t xml:space="preserve">Kamor Pass (Appcnzell to Ruti), bridle path . . . . . . . . . . . . . .5,512</w:t></w:r>
</w:p>
<w:p>
<w:pPr><w:pStyle w:val="Normal"/></w:pPr>
<w:r><w:t xml:space="preserve">Saxerlucke (Appenzell to Sax), foot path. . . . . . . . . . . . . . . .5,417</w:t></w:r>
</w:p>
<w:p>
<w:pPr><w:pStyle w:val="Normal"/></w:pPr>
<w:r><w:t xml:space="preserve">Schwein Alp Pass (Waggithal to the Klon Glen), bridle path . . . . .5,158</w:t></w:r>
</w:p>
<w:p>
<w:pPr><w:pStyle w:val="Normal"/></w:pPr>
<w:r><w:t xml:space="preserve">Pragel Pass (Muotathal to Glarus), carriage road in progress . . . . . . .5,099</w:t></w:r>
</w:p>
<w:p>
<w:pPr><w:pStyle w:val="Normal"/></w:pPr>
<w:r><w:t xml:space="preserve">Hacken Pass (Schwyz to Einsiedeln), foot path. . . . . . . . . . . . . . .4,649</w:t></w:r>
</w:p>
<w:p>
<w:pPr><w:pStyle w:val="Normal"/></w:pPr>
<w:r><w:t xml:space="preserve">Holzegg Pass (same to same), bridle path . . . . . . . . . . . . . . . . .4,616</w:t></w:r>
</w:p>
<w:p>
<w:pPr><w:pStyle w:val="Normal"/></w:pPr>
<w:r><w:t xml:space="preserve">Ibergeregg Pass (Schwyz to Iberg and Einsicdeln), carriage road. . . . . .4,613</w:t></w:r>
</w:p>
<w:p>
<w:pPr><w:pStyle w:val="Normal"/></w:pPr>
<w:r><w:t xml:space="preserve">Krazeren Pass (Nesslau to Urnasch), bridle path. . . . . . . . . . .3,993</w:t></w:r>
</w:p>
<w:p>
<w:pPr><w:pStyle w:val="Normal"/></w:pPr>
<w:r><w:t xml:space="preserve">10. Bernina Alps (from the Maloja to the Reschen Scheideck and</w:t></w:r>
</w:p>
<w:p>
<w:pPr><w:pStyle w:val="Normal"/></w:pPr>
<w:r><w:t xml:space="preserve">the Stelvio, south and east of the Val Bregaglia and of the Engadine</w:t></w:r>
</w:p>
<w:p>
<w:pPr><w:pStyle w:val="Normal"/></w:pPr>
<w:r><w:t xml:space="preserve">and north of the Vultellina).</w:t></w:r>
</w:p>
<w:p>
<w:pPr><w:pStyle w:val="Normal"/></w:pPr>
<w:r><w:t xml:space="preserve">Chief Peaks of the Bernina Alps.</w:t></w:r>
</w:p>
<w:p>
<w:pPr><w:pStyle w:val="Normal"/></w:pPr>
<w:r><w:t xml:space="preserve">Piz Bernina. . . . . . . . . . 13,304   Piz Languard . . . . . . . . . . 10,716</w:t></w:r>
</w:p>
<w:p>
<w:pPr><w:pStyle w:val="Normal"/></w:pPr>
<w:r><w:t xml:space="preserve">Piz Zupo . . . . . . . . . . . 13,131   Piz Sesvenna . . . . . . . . . . 10,568</w:t></w:r>
</w:p>
<w:p>
<w:pPr><w:pStyle w:val="Normal"/></w:pPr>
<w:r><w:t xml:space="preserve">Monte di Scerscen. . . . . . . 13,116   Piz Pisoc. . . . . . . . . . . . 10,427</w:t></w:r>
</w:p>
<w:p>
<w:pPr><w:pStyle w:val="Normal"/></w:pPr>
<w:r><w:t xml:space="preserve">Piz Roseg. . . . . . . . . . . 12,934   Piz Murtarol. . . . . . . . . 10,424</w:t></w:r>
</w:p>
<w:p>
<w:pPr><w:pStyle w:val="Normal"/></w:pPr>
<w:r><w:t xml:space="preserve">Piz Palu. . . . . . . . . . 12,835   Piz Quaiervals . . . . . . . . . 10,358</w:t></w:r>
</w:p>
<w:p>
<w:pPr><w:pStyle w:val="Normal"/></w:pPr>
<w:r><w:t xml:space="preserve">Crast&apos; Aguzza . . . . . . . 12,704   Pizzo della Margna . . . . . . . 10,355</w:t></w:r>
</w:p>
<w:p>
<w:pPr><w:pStyle w:val="Normal"/></w:pPr>
<w:r><w:t xml:space="preserve">Piz Morteratsch. . . . . . . . 12,317   Cima di Redasco. . . . . . . . . 10,299</w:t></w:r>
</w:p>
<w:p>
<w:pPr><w:pStyle w:val="Normal"/></w:pPr>
<w:r><w:t xml:space="preserve">Monte della Disgrazia. . . . . 12,067   Piz Lischanna. . . . . . . . . . 10,204</w:t></w:r>
</w:p>
<w:p>
<w:pPr><w:pStyle w:val="Normal"/></w:pPr>
<w:r><w:t xml:space="preserve">Pizzo di Verona. . . . . . . . 11,359   Pizzo di Sena. . . . . . . . . . 10,099</w:t></w:r>
</w:p>
<w:p>
<w:pPr><w:pStyle w:val="Normal"/></w:pPr>
<w:r><w:t xml:space="preserve">Cima di Piazzi . . . . . . . . 11,283   Piz Casana . . . . . . . . . . . 10,079</w:t></w:r>
</w:p>
<w:p>
<w:pPr><w:pStyle w:val="Normal"/></w:pPr>
<w:r><w:t xml:space="preserve">Cima di Castello . . . . . . . 11,155   Monte Foscagno . . . . . . . . . 10,010</w:t></w:r>
</w:p>
<w:p>
<w:pPr><w:pStyle w:val="Normal"/></w:pPr>
<w:r><w:t xml:space="preserve">Cima Viola . . . . . . . . . . 11,103   Pizzo del Teo. . . . . . . . . . 10,007</w:t></w:r>
</w:p>
<w:p>
<w:pPr><w:pStyle w:val="Normal"/></w:pPr>
<w:r><w:t xml:space="preserve">Pizzo Cengalo. . . . . . . . . 11,070   Pizzo del Ferro. . . . . . . . . 10,007</w:t></w:r>
</w:p>
<w:p>
<w:pPr><w:pStyle w:val="Normal"/></w:pPr>
<w:r><w:t xml:space="preserve">Cima di Rosso. . . . . . . . . 11,060   Piz Umbrail. . . . . . . . . . . .9,955</w:t></w:r>
</w:p>
<w:p>
<w:pPr><w:pStyle w:val="Normal"/></w:pPr>
<w:r><w:t xml:space="preserve">Pizzo Scalino. . . . . . . . . 10,903   Zwei Schwestern. . . . . . . . . .9,784</w:t></w:r>
</w:p>
<w:p>
<w:pPr><w:pStyle w:val="Normal"/></w:pPr>
<w:r><w:t xml:space="preserve">Pizzo Badile . . . . . . . . . 10,863   Monte Braulio. . . . . . . . . . .9,777</w:t></w:r>
</w:p>
<w:p>
<w:pPr><w:pStyle w:val="Normal"/></w:pPr>
<w:r><w:t xml:space="preserve">Corno di Campo . . . . . . . . 10,844   Monte Spluga . . . . . . . . . . .9,321</w:t></w:r>
</w:p>
<w:p>
<w:pPr><w:pStyle w:val="Normal"/></w:pPr>
<w:r><w:t xml:space="preserve">Pizzo di Dosde. . . . . . . 10,762   Monte Massuccio. . . . . . . . . .9,239</w:t></w:r>
</w:p>
<w:p>
<w:pPr><w:pStyle w:val="Normal"/></w:pPr>
<w:r><w:t xml:space="preserve">Cima di Saoseo . . . . . . . . 10,752   Mont la Schera . . . . . . . . . .8,494</w:t></w:r>
</w:p>
<w:p>
<w:pPr><w:pStyle w:val="Normal"/></w:pPr>
<w:r><w:t xml:space="preserve">Chief Passes of the Bernina Alps.</w:t></w:r>
</w:p>
<w:p>
<w:pPr><w:pStyle w:val="Normal"/></w:pPr>
<w:r><w:t xml:space="preserve">Fuorcla Bellavista (Ponrresina to Chiesa, in Val Malenco), snow. . . . . 12,087</w:t></w:r>
</w:p>
<w:p>
<w:pPr><w:pStyle w:val="Normal"/></w:pPr>
<w:r><w:t xml:space="preserve">Fuorcla Crast&apos; Aguzza (same to same), snow. . . . . . . . . . . . . . 11,805</w:t></w:r>
</w:p>
<w:p>
<w:pPr><w:pStyle w:val="Normal"/></w:pPr>
<w:r><w:t xml:space="preserve">Fuorcla Tschierva (same to same), snow . . . . . . . . . . . . . . . . . 11,572</w:t></w:r>
</w:p>
<w:p>
<w:pPr><w:pStyle w:val="Normal"/></w:pPr>
<w:r><w:t xml:space="preserve">Fuorela Sella (same to same), snow . . . . . . . . . . . . . . . . . . . 10,840</w:t></w:r>
</w:p>
<w:p>
<w:pPr><w:pStyle w:val="Normal"/></w:pPr>
<w:r><w:t xml:space="preserve">Passo di Bondo (Bondo to the Baths of Masino), snow. . . . . . . . . . . 10,227</w:t></w:r>
</w:p>
<w:p>
<w:pPr><w:pStyle w:val="Normal"/></w:pPr>
<w:r><w:t xml:space="preserve">Passo di Castello (Maloja to Morbegno), snow . . . . . . . . . . . . . . 10,171</w:t></w:r>
</w:p>
<w:p>
<w:pPr><w:pStyle w:val="Normal"/></w:pPr>
<w:r><w:t xml:space="preserve">Passo Tremoggia (Sils to Chiesa), snow . . . . . . . . . . . . . . . . . .9,912</w:t></w:r>
</w:p>
<w:p>
<w:pPr><w:pStyle w:val="Normal"/></w:pPr>
<w:r><w:t xml:space="preserve">Passo di Mello Chiareggio to Val Masino), snow . . . . . . . . . . . . . .9,813</w:t></w:r>
</w:p>
<w:p>
<w:pPr><w:pStyle w:val="Normal"/></w:pPr>
<w:r><w:t xml:space="preserve">Diavolezza Pass (Bernina road to the Morteratsch Glen), snow . . . . . . .9,767</w:t></w:r>
</w:p>
<w:p>
<w:pPr><w:pStyle w:val="Normal"/></w:pPr>
<w:r><w:t xml:space="preserve">Passo di Dosde (Val Grosina to Val Viola Bormina), foot path. . . . . .9,351</w:t></w:r>
</w:p>
<w:p>
<w:pPr><w:pStyle w:val="Normal"/></w:pPr>
<w:r><w:t xml:space="preserve">Passo di Sacco (Bernina road to Grosio), foot path . . . . . . . . . . . .9,026</w:t></w:r>
</w:p>
<w:p>
<w:pPr><w:pStyle w:val="Normal"/></w:pPr>
<w:r><w:t xml:space="preserve">Passo di Zocca (Vicosoprano to Val Masino), snow . . . . . . . . . . . . .9,000</w:t></w:r>
</w:p>
<w:p>
<w:pPr><w:pStyle w:val="Normal"/></w:pPr>
<w:r><w:t xml:space="preserve">Casana pass (Scants to Livigno), bridle path . . . . . . . . . . . . . . .8,832</w:t></w:r>
</w:p>
<w:p>
<w:pPr><w:pStyle w:val="Normal"/></w:pPr>
<w:r><w:t xml:space="preserve">Muretto pass (Maloja to Chiesa), partly snow . . . . . . . . . . . . . . .8,389</w:t></w:r>
</w:p>
<w:p>
<w:pPr><w:pStyle w:val="Normal"/></w:pPr>
<w:r><w:t xml:space="preserve">Umbrail Pass or Wormserjoch (Munster Valley to the</w:t></w:r>
</w:p>
<w:p>
<w:pPr><w:pStyle w:val="Normal"/></w:pPr>
<w:r><w:t xml:space="preserve">Stelvio road), carriage road. . . . . . . . . . . . . . . . . . . . .8,242</w:t></w:r>
</w:p>
<w:p>
<w:pPr><w:pStyle w:val="Normal"/></w:pPr>
<w:r><w:t xml:space="preserve">Passo di Val Viola (Bernina road to Bormio), bridle path . . . . . . . . .7,976</w:t></w:r>
</w:p>
<w:p>
<w:pPr><w:pStyle w:val="Normal"/></w:pPr>
<w:r><w:t xml:space="preserve">Giufplan Pass (Ofen road to Fraele), bridle path. . . . . . . . . . . .7,723</w:t></w:r>
</w:p>
<w:p>
<w:pPr><w:pStyle w:val="Normal"/></w:pPr>
<w:r><w:t xml:space="preserve">Bernina Pass (Pontresina to Tirano), carriage road . . . . . . . . . . . .7,645</w:t></w:r>
</w:p>
<w:p>
<w:pPr><w:pStyle w:val="Normal"/></w:pPr>
<w:r><w:t xml:space="preserve">Forcola di Livigno (Bernina Pass to Livigno), small carriage road. . . . .7,638</w:t></w:r>
</w:p>
<w:p>
<w:pPr><w:pStyle w:val="Normal"/></w:pPr>
<w:r><w:t xml:space="preserve">Cruschetta Pass (Schuls by Scarl to Taufers), bridle path. . . . . . . . .7,599</w:t></w:r>
</w:p>
<w:p>
<w:pPr><w:pStyle w:val="Normal"/></w:pPr>
<w:r><w:t xml:space="preserve">Passo di Verva (Bormio to Grosio), foot path . . . . . . . . . . . . . . .7,592</w:t></w:r>
</w:p>
<w:p>
<w:pPr><w:pStyle w:val="Normal"/></w:pPr>
<w:r><w:t xml:space="preserve">Sursass or Schlinig Pass (Remus to Mals) foot path. . . . . . . . . . .7,540</w:t></w:r>
</w:p>
<w:p>
<w:pPr><w:pStyle w:val="Normal"/></w:pPr>
<w:r><w:t xml:space="preserve">Foscagno Pass (Bormio to Trepalle), bridle path. . . . . . . . . . . . . .7,517</w:t></w:r>
</w:p>
<w:p>
<w:pPr><w:pStyle w:val="Normal"/></w:pPr>
<w:r><w:t xml:space="preserve">Alpisella Lass (Uivigno to Fraule), bridle path . . . . . . . . . . . .7,497</w:t></w:r>
</w:p>
<w:p>
<w:pPr><w:pStyle w:val="Normal"/></w:pPr>
<w:r><w:t xml:space="preserve">Scarl Pass (Scarl to Santa Maria Munster), carriage road. . . . . . . .7,386</w:t></w:r>
</w:p>
<w:p>
<w:pPr><w:pStyle w:val="Normal"/></w:pPr>
<w:r><w:t xml:space="preserve">Dossradond Pass (Santa Maria Munster to Fraele), bridle path. . .7,349</w:t></w:r>
</w:p>
<w:p>
<w:pPr><w:pStyle w:val="Normal"/></w:pPr>
<w:r><w:t xml:space="preserve">Passo Dheira (Livigno to Trepalle) bridle path . . . . . . . . . . . . . .7,248</w:t></w:r>
</w:p>
<w:p>
<w:pPr><w:pStyle w:val="Normal"/></w:pPr>
<w:r><w:t xml:space="preserve">Ofen Pass (Zernez to Mals), carriage road. . . . . . . . . . . . . . . . .7,071</w:t></w:r>
</w:p>
<w:p>
<w:pPr><w:pStyle w:val="Normal"/></w:pPr>
<w:r><w:t xml:space="preserve">Fraele Pass (Bormio to the Ofen road), partly bridle path . . . . . . .6,398</w:t></w:r>
</w:p>
<w:p>
<w:pPr><w:pStyle w:val="Normal"/></w:pPr>
<w:r><w:t xml:space="preserve">Scale di Fraele (Borniio to Fraele), bridle path . . . . . . . . . .6,372</w:t></w:r>
</w:p>
<w:p>
<w:pPr><w:pStyle w:val="Normal"/></w:pPr>
<w:r><w:t xml:space="preserve">Maloja Pass (St Moritz to Chiavenna), carriage road. . . . . . . . . . . .5,935</w:t></w:r>
</w:p>
<w:p>
<w:pPr><w:pStyle w:val="Normal"/></w:pPr>
<w:r><w:t xml:space="preserve">11. Albula Range (from the Splugen Pass to the Fluela Pass.</w:t></w:r>
</w:p>
<w:p>
<w:pPr><w:pStyle w:val="Normal"/></w:pPr>
<w:r><w:t xml:space="preserve">north and west of the Val Bregaglia and of the Engadine).</w:t></w:r>
</w:p>
<w:p>
<w:pPr><w:pStyle w:val="Normal"/></w:pPr>
<w:r><w:t xml:space="preserve">Chief Peaks of the Albula Range.</w:t></w:r>
</w:p>
<w:p>
<w:pPr><w:pStyle w:val="Normal"/></w:pPr>
<w:r><w:t xml:space="preserve">Piz Kesch. . . . . . . . . . . 11,228   Pizzo Stella . . . . . . . . . . 10,375</w:t></w:r>
</w:p>
<w:p>
<w:pPr><w:pStyle w:val="Normal"/></w:pPr>
<w:r><w:t xml:space="preserve">Piz dellas Calderas. . . . . . 11,132   Fluela Schwarzhorn. . . . . . 10,355</w:t></w:r>
</w:p>
<w:p>
<w:pPr><w:pStyle w:val="Normal"/></w:pPr>
<w:r><w:t xml:space="preserve">Piz Platta . . . . . . . . . . 11,109   Pizzo della Duana. . . . . . . . 10,279</w:t></w:r>
</w:p>
<w:p>
<w:pPr><w:pStyle w:val="Normal"/></w:pPr>
<w:r><w:t xml:space="preserve">Piz Julier . . . . . . . . . . 11,106   Pizzo Gallegione . . . . . . . . 10,201</w:t></w:r>
</w:p>
<w:p>
<w:pPr><w:pStyle w:val="Normal"/></w:pPr>
<w:r><w:t xml:space="preserve">Piz d&apos;Err. . . . . . . . . . . 11,093   Gletscherhorn. . . . . . . . . . 10,191</w:t></w:r>
</w:p>
<w:p>
<w:pPr><w:pStyle w:val="Normal"/></w:pPr>
<w:r><w:t xml:space="preserve">Piz d&apos;Aela . . . . . . . . . . 10,959   Cima di Lago . . . . . . . . . . 10,112</w:t></w:r>
</w:p>
<w:p>
<w:pPr><w:pStyle w:val="Normal"/></w:pPr>
<w:r><w:t xml:space="preserve">Cima da Flex . . . . . . . . . 10,785   Hoch Ducan . . . . . . . . . . . 10,060</w:t></w:r>
</w:p>
<w:p>
<w:pPr><w:pStyle w:val="Normal"/></w:pPr>
<w:r><w:t xml:space="preserve">Piz Uertsch. . . . . . . . . . 10,739   Piz Grisch . . . . . . . . . . . 10,000</w:t></w:r>
</w:p>
<w:p>
<w:pPr><w:pStyle w:val="Normal"/></w:pPr>
<w:r><w:t xml:space="preserve">Piz Forbisch . . . . . . . . . 10,689   Averser Weissberg. . . . . . . . .9,987</w:t></w:r>
</w:p>
<w:p>
<w:pPr><w:pStyle w:val="Normal"/></w:pPr>
<w:r><w:t xml:space="preserve">Piz Ot . . . . . . . . . . . . 10,667   Surettahorn. . . . . . . . . . . .9,971</w:t></w:r>
</w:p>
<w:p>
<w:pPr><w:pStyle w:val="Normal"/></w:pPr>
<w:r><w:t xml:space="preserve">Gross Piz Vadret . . . . . . . 10,584   Arosa Rothhorn . . . . . . . . . .9,794</w:t></w:r>
</w:p>
<w:p>
<w:pPr><w:pStyle w:val="Normal"/></w:pPr>
<w:r><w:t xml:space="preserve">Piz Timun or Emet. . . . . . . 10,502   Piz Curver . . . . . . . . . . . .9,761</w:t></w:r>
</w:p>
<w:p>
<w:pPr><w:pStyle w:val="Normal"/></w:pPr>
<w:r><w:t xml:space="preserve">Tinzenhorn . . . . . . . . . . 10,430   Pizzo Lunghino . . . . . . . . . .9,121</w:t></w:r>
</w:p>
<w:p>
<w:pPr><w:pStyle w:val="Normal"/></w:pPr>
<w:r><w:t xml:space="preserve">Piz Michel . . . . . . . . . . 10,378   Statzerhorn . . . . . . . . . .8,450</w:t></w:r>
</w:p>
<w:p>
<w:pPr><w:pStyle w:val="Normal"/></w:pPr>
<w:r><w:t xml:space="preserve">Chief Passes of the Albula Range.</w:t></w:r>
</w:p>
<w:p>
<w:pPr><w:pStyle w:val="Normal"/></w:pPr>
<w:r><w:t xml:space="preserve">Fuorcla Calderas (Molins to Bevers), snow. . . . . . . . . . . . . . . . 10,270</w:t></w:r>
</w:p>
<w:p>
<w:pPr><w:pStyle w:val="Normal"/></w:pPr>
<w:r><w:t xml:space="preserve">Fuorcla d&apos;Eschia (Madulein to Bergun), snow . . . . . . . . . . . . . .9,869</w:t></w:r>
</w:p>
<w:p>
<w:pPr><w:pStyle w:val="Normal"/></w:pPr>
<w:r><w:t xml:space="preserve">Passo della Duana (Avers Vnlley to the Val Bregaglia), snow. . . . . . . .9,187</w:t></w:r>
</w:p>
<w:p>
<w:pPr><w:pStyle w:val="Normal"/></w:pPr>
<w:r><w:t xml:space="preserve">Sertig Pass (Davos to Scanfs), foot path . . . . . . . . . . . . . . . . .9,062</w:t></w:r>
</w:p>
<w:p>
<w:pPr><w:pStyle w:val="Normal"/></w:pPr>
<w:r><w:t xml:space="preserve">Forcella di Prassignola (Avers Valley to Soglio), old paved</w:t></w:r>
</w:p>
<w:p>
<w:pPr><w:pStyle w:val="Normal"/></w:pPr>
<w:r><w:t xml:space="preserve">cattle path . . . . . . . . . . . . . . . . . . . . . . . . . . . . .8,924</w:t></w:r>
</w:p>
<w:p>
<w:pPr><w:pStyle w:val="Normal"/></w:pPr>
<w:r><w:t xml:space="preserve">Tinzenthor (Bergun to Savognino), foot path . . . . . . . . . . . . . .8,918</w:t></w:r>
</w:p>
<w:p>
<w:pPr><w:pStyle w:val="Normal"/></w:pPr>
<w:r><w:t xml:space="preserve">Forcella di Lago or Madris Pass (Avers Valley to Chiavenna), foot path . .8,793</w:t></w:r>
</w:p>
<w:p>
<w:pPr><w:pStyle w:val="Normal"/></w:pPr>
<w:r><w:t xml:space="preserve">Forcellina (Avers Valley to the Septimer Pass), foot path. . . . . . . . .8,770</w:t></w:r>
</w:p>
<w:p>
<w:pPr><w:pStyle w:val="Normal"/></w:pPr>
<w:r><w:t xml:space="preserve">Ducan Pass (Davos to Bergun), foot path . . . . . . . . . . . . . . . .8,763</w:t></w:r>
</w:p>
<w:p>
<w:pPr><w:pStyle w:val="Normal"/></w:pPr>
<w:r><w:t xml:space="preserve">Passo di Lei (Avers Valley to Chiavenna), foot path. . . . . . . . . . . .8,724</w:t></w:r>
</w:p>
<w:p>
<w:pPr><w:pStyle w:val="Normal"/></w:pPr>
<w:r><w:t xml:space="preserve">Forcella di Lunghino (Maloja to the Septimer Pass), foot path. . . . . . .8,645</w:t></w:r>
</w:p>
<w:p>
<w:pPr><w:pStyle w:val="Normal"/></w:pPr>
<w:r><w:t xml:space="preserve">Scaletta Pass (Davos to Scanfs), bridle path . . . . . . . . . . . . . . .8,593</w:t></w:r>
</w:p>
<w:p>
<w:pPr><w:pStyle w:val="Normal"/></w:pPr>
<w:r><w:t xml:space="preserve">Suvretta Pass (St Moritz to Bevers), bridle path . . . . . . . . . . . . .8,590</w:t></w:r>
</w:p>
<w:p>
<w:pPr><w:pStyle w:val="Normal"/></w:pPr>
<w:r><w:t xml:space="preserve">Fuorcla d&apos;Alp Fontauna (Bergun to Scanfs), foot path. . . . . . . . . .8,580</w:t></w:r>
</w:p>
<w:p>
<w:pPr><w:pStyle w:val="Normal"/></w:pPr>
<w:r><w:t xml:space="preserve">Stallerberg (Avers Valley to Bivio-Stalla), foot path. . . . . . . . . . .8,478</w:t></w:r>
</w:p>
<w:p>
<w:pPr><w:pStyle w:val="Normal"/></w:pPr>
<w:r><w:t xml:space="preserve">Grialetsch Pass (Davos to Sus), foot path . . . . . . . . . . . . . . .8,353</w:t></w:r>
</w:p>
<w:p>
<w:pPr><w:pStyle w:val="Normal"/></w:pPr>
<w:r><w:t xml:space="preserve">Fluela Pass (Davos to Sus), carriage road. . . . . . . . . . . . . .7,838</w:t></w:r>
</w:p>
<w:p>
<w:pPr><w:pStyle w:val="Normal"/></w:pPr>
<w:r><w:t xml:space="preserve">Strela Pass (Davos to Langwies), bridle path . . . . . . . . . . . . . . .7,799</w:t></w:r>
</w:p>
<w:p>
<w:pPr><w:pStyle w:val="Normal"/></w:pPr>
<w:r><w:t xml:space="preserve">Albula Pass (Bergun to Ponte), carriage road over,</w:t></w:r>
</w:p>
<w:p>
<w:pPr><w:pStyle w:val="Normal"/></w:pPr>
<w:r><w:t xml:space="preserve">railway tunnel beneath . . . . . . . . . . . . . . . . . . . . . . . . . .7,595</w:t></w:r>
</w:p>
<w:p>
<w:pPr><w:pStyle w:val="Normal"/></w:pPr>
<w:r><w:t xml:space="preserve">Septimer Pass (Bivio-Stalla to Casaccia), bridle path. . . . . . . . . . .7,582</w:t></w:r>
</w:p>
<w:p>
<w:pPr><w:pStyle w:val="Normal"/></w:pPr>
<w:r><w:t xml:space="preserve">Julier Pass (Thusis to Silvaplana), carriage road. . . . . . . . . . . . .7,504</w:t></w:r>
</w:p>
<w:p>
<w:pPr><w:pStyle w:val="Normal"/></w:pPr>
<w:r><w:t xml:space="preserve">Passo di Madesimo or d&apos;Emet (Avers Valley to Madesimo), foot path. . . . .7,481</w:t></w:r>
</w:p>
<w:p>
<w:pPr><w:pStyle w:val="Normal"/></w:pPr>
<w:r><w:t xml:space="preserve">12. Silvretta and Rhatikon Ranges (from the Fuela Pass to the</w:t></w:r>
</w:p>
<w:p>
<w:pPr><w:pStyle w:val="Normal"/></w:pPr>
<w:r><w:t xml:space="preserve">Reschen Scheideck and the Arlberg Pass).</w:t></w:r>
</w:p>
<w:p>
<w:pPr><w:pStyle w:val="Normal"/></w:pPr>
<w:r><w:t xml:space="preserve">Chief Peaks of the Silvretta and Rhatikon Ranpes.</w:t></w:r>
</w:p>
<w:p>
<w:pPr><w:pStyle w:val="Normal"/></w:pPr>
<w:r><w:t xml:space="preserve">Piz Linard . . . . . . . . . . 11,201   Vesulspitze. . . . . . . . . . . 10,145</w:t></w:r>
</w:p>
<w:p>
<w:pPr><w:pStyle w:val="Normal"/></w:pPr>
<w:r><w:t xml:space="preserve">Fluchthorn . . . . . . . . . . 11,165   Fluela Weisshorn. . . . . . . 10,132</w:t></w:r>
</w:p>
<w:p>
<w:pPr><w:pStyle w:val="Normal"/></w:pPr>
<w:r><w:t xml:space="preserve">Gross Piz Buin . . . . . . . . 10,880   Piz Minschun . . . . . . . . . . 10,079</w:t></w:r>
</w:p>
<w:p>
<w:pPr><w:pStyle w:val="Normal"/></w:pPr>
<w:r><w:t xml:space="preserve">Verstanklahorn . . . . . . . . 10,831   Patteriol. . . . . . . . . . . . 10,037</w:t></w:r>
</w:p>
<w:p>
<w:pPr><w:pStyle w:val="Normal"/></w:pPr>
<w:r><w:t xml:space="preserve">Muttler. . . . . . . . . . . . 10,821   Piz Faschalba. . . . . . . . . . 10,010</w:t></w:r>
</w:p>
<w:p>
<w:pPr><w:pStyle w:val="Normal"/></w:pPr>
<w:r><w:t xml:space="preserve">Piz Fliana . . . . . . . . . . 10,775   Hexenkopf. . . . . . . . . . . . .9,968</w:t></w:r>
</w:p>
<w:p>
<w:pPr><w:pStyle w:val="Normal"/></w:pPr>
<w:r><w:t xml:space="preserve">Stammerspitze. . . . . . . . . 10,689   Gemsbleiskopf. . . . . . . . . . .9,899</w:t></w:r>
</w:p>
<w:p>
<w:pPr><w:pStyle w:val="Normal"/></w:pPr>
<w:r><w:t xml:space="preserve">Silvrettahorn. . . . . . . . . 10,657   Pischahorn . . . . . . . . . . . .9,784</w:t></w:r>
</w:p>
<w:p>
<w:pPr><w:pStyle w:val="Normal"/></w:pPr>
<w:r><w:t xml:space="preserve">Augstenberg. . . . . . . . . . 10,611   Scesaplana . . . . . . . . . . . .9,741</w:t></w:r>
</w:p>
<w:p>
<w:pPr><w:pStyle w:val="Normal"/></w:pPr>
<w:r><w:t xml:space="preserve">Plattenhorn. . . . . . . . . . 10,568   Rothbleiskopf. . . . . . . . . . .9,640</w:t></w:r>
</w:p>
<w:p>
<w:pPr><w:pStyle w:val="Normal"/></w:pPr>
<w:r><w:t xml:space="preserve">Dreilanderspitze. . . . . . 10,539   Hohes Rad. . . . . . . . . . . . .9,554</w:t></w:r>
</w:p>
<w:p>
<w:pPr><w:pStyle w:val="Normal"/></w:pPr>
<w:r><w:t xml:space="preserve">Piz Tasna. . . . . . . . . . . 10,443   Schiltfluh . . . . . . . . . . . .9,482</w:t></w:r>
</w:p>
<w:p>
<w:pPr><w:pStyle w:val="Normal"/></w:pPr>
<w:r><w:t xml:space="preserve">Kuchenspitze . . . . . . . . . 10,401   Plattenpspitze . . . . . . . . . .9,449</w:t></w:r>
</w:p>
<w:p>
<w:pPr><w:pStyle w:val="Normal"/></w:pPr>
<w:r><w:t xml:space="preserve">Hoher Riffler. . . . . . . . . 10,368   Madrishorn . . . . . . . . . . . .9,285</w:t></w:r>
</w:p>
<w:p>
<w:pPr><w:pStyle w:val="Normal"/></w:pPr>
<w:r><w:t xml:space="preserve">Piz Mondin . . . . . . . . . . 10,325   Drusenfluh . . . . . . . . . . . .9,282</w:t></w:r>
</w:p>
<w:p>
<w:pPr><w:pStyle w:val="Normal"/></w:pPr>
<w:r><w:t xml:space="preserve">Kuchelspitze. . . . . . . . 10,315   Sulzfluh . . . . . . . . . . . . .9,252</w:t></w:r>
</w:p>
<w:p>
<w:pPr><w:pStyle w:val="Normal"/></w:pPr>
<w:r><w:t xml:space="preserve">Gross Seehorn. . . . . . . . . 10,247   Zimbaspitze. . . . . . . . . . . .8,678</w:t></w:r>
</w:p>
<w:p>
<w:pPr><w:pStyle w:val="Normal"/></w:pPr>
<w:r><w:t xml:space="preserve">Vesilspitze. . . . . . . . . . 10,220   Naafkopf . . . . . . . . . . . . .8,445</w:t></w:r>
</w:p>
<w:p>
<w:pPr><w:pStyle w:val="Normal"/></w:pPr>
<w:r><w:t xml:space="preserve">Gross Litzner. . . . . . . . . 10,207   Falknis. . . . . . . . . . . . . .8,419</w:t></w:r>
</w:p>
<w:p>
<w:pPr><w:pStyle w:val="Normal"/></w:pPr>
<w:r><w:t xml:space="preserve">Chief Passes of the Silvretta and Rhatikon Ranges.</w:t></w:r>
</w:p>
<w:p>
<w:pPr><w:pStyle w:val="Normal"/></w:pPr>
<w:r><w:t xml:space="preserve">Jamjoch (Guarda to Galtur), snow. . . . . . . . . . . . . . . . . . . 10 112</w:t></w:r>
</w:p>
<w:p>
<w:pPr><w:pStyle w:val="Normal"/></w:pPr>
<w:r><w:t xml:space="preserve">Fuorcla del Confin (Silvretta Pass to the Vermunt Glacier), snow . . . . 10,033</w:t></w:r>
</w:p>
<w:p>
<w:pPr><w:pStyle w:val="Normal"/></w:pPr>
<w:r><w:t xml:space="preserve">Buinlucke (Guarda to Patenen), snow . . . . . . . . . . . . . . . . . 10,020</w:t></w:r>
</w:p>
<w:p>
<w:pPr><w:pStyle w:val="Normal"/></w:pPr>
<w:r><w:t xml:space="preserve">Silvretta Pass (Klosters to Lavin), snow . . . . . . . . . . . . . . . . .9,886</w:t></w:r>
</w:p>
<w:p>
<w:pPr><w:pStyle w:val="Normal"/></w:pPr>
<w:r><w:t xml:space="preserve">Zahnlucke (Jam Glen to the Fimber Glen), snow . . . . . . . . . . . . .9,712</w:t></w:r>
</w:p>
<w:p>
<w:pPr><w:pStyle w:val="Normal"/></w:pPr>
<w:r><w:t xml:space="preserve">Verstanklathor (Klosters to Lavin), snow . . . . . . . . . . . . . . . . .9,682</w:t></w:r>
</w:p>
<w:p>
<w:pPr><w:pStyle w:val="Normal"/></w:pPr>
<w:r><w:t xml:space="preserve">Fuorcla d&apos;Urezzas (Ardez to Galtur), snow . . . . . . . . . . . . . . .9,564</w:t></w:r>
</w:p>
<w:p>
<w:pPr><w:pStyle w:val="Normal"/></w:pPr>
<w:r><w:t xml:space="preserve">Fuorcla Tasna (Ardez to Ischgl), snow. . . . . . . . . . . . . . . . . . .9,374</w:t></w:r>
</w:p>
<w:p>
<w:pPr><w:pStyle w:val="Normal"/></w:pPr>
<w:r><w:t xml:space="preserve">Fuorcla Maisas (Remus to the Samnaun Glen), snow. . . . . . . . . . . .9,357</w:t></w:r>
</w:p>
<w:p>
<w:pPr><w:pStyle w:val="Normal"/></w:pPr>
<w:r><w:t xml:space="preserve">Vermunt or Fermunt Pass (Guarda to Patenen), snow. . . . . . . . . . . . .9,193</w:t></w:r>
</w:p>
<w:p>
<w:pPr><w:pStyle w:val="Normal"/></w:pPr>
<w:r><w:t xml:space="preserve">Futschol Pass (Ardez to Galtur), foot path . . . . . . . . . . . . .9,098</w:t></w:r>
</w:p>
<w:p>
<w:pPr><w:pStyle w:val="Normal"/></w:pPr>
<w:r><w:t xml:space="preserve">Fuorcla Zadrell or Vernela Pass (Klosters to Lavin), snow. . . . . . . . .9,033</w:t></w:r>
</w:p>
<w:p>
<w:pPr><w:pStyle w:val="Normal"/></w:pPr>
<w:r><w:t xml:space="preserve">Cuolm d&apos;Alp bella or Vignitz Pass (Samnaun Glen to Kappl), foot path . . .8,852</w:t></w:r>
</w:p>
<w:p>
<w:pPr><w:pStyle w:val="Normal"/></w:pPr>
<w:r><w:t xml:space="preserve">Schafbucheljoch (Mathon to St Anton), foot path . . . . . . . . . . . .8,685</w:t></w:r>
</w:p>
<w:p>
<w:pPr><w:pStyle w:val="Normal"/></w:pPr>
<w:r><w:t xml:space="preserve">Fimber Pass (Remus to Ischgl), bridle path. . . . . . . . . . . . . . .8,570</w:t></w:r>
</w:p>
<w:p>
<w:pPr><w:pStyle w:val="Normal"/></w:pPr>
<w:r><w:t xml:space="preserve">Scheien Pass (Klosters to the See Glen), foot path . . . . . . . . . . . .8,557</w:t></w:r>
</w:p>
<w:p>
<w:pPr><w:pStyle w:val="Normal"/></w:pPr>
<w:r><w:t xml:space="preserve">Vereina Pass or Pass da Val Torta (Klosters to Lavin), foot path . . . . .8,540</w:t></w:r>
</w:p>
<w:p>
<w:pPr><w:pStyle w:val="Normal"/></w:pPr>
<w:r><w:t xml:space="preserve">Zebles Pass (Ischgl to the Samnaun Glen), bridle path. . . . . . . . . . .8,350</w:t></w:r>
</w:p>
<w:p>
<w:pPr><w:pStyle w:val="Normal"/></w:pPr>
<w:r><w:t xml:space="preserve">Garnerajoch (Klosters to Gaschurn), foot path. . . . . . . . . . . . . . .8,153</w:t></w:r>
</w:p>
<w:p>
<w:pPr><w:pStyle w:val="Normal"/></w:pPr>
<w:r><w:t xml:space="preserve">Fless Pass (Klosters to Sus), foot path . . . . . . . . . . . . . . . .8,045</w:t></w:r>
</w:p>
<w:p>
<w:pPr><w:pStyle w:val="Normal"/></w:pPr>
<w:r><w:t xml:space="preserve">St Antonien or Gargellenjoch (St Antonien to St Gallenkirch),</w:t></w:r>
</w:p>
<w:p>
<w:pPr><w:pStyle w:val="Normal"/></w:pPr>
<w:r><w:t xml:space="preserve">foot path . . . . . . . . . . . . . . . . . . . . . . . . . . . . . .7,792</w:t></w:r>
</w:p>
<w:p>
<w:pPr><w:pStyle w:val="Normal"/></w:pPr>
<w:r><w:t xml:space="preserve">Drusenthor (Schiers to Schruns), foot path . . . . . . . . . . . . . . . .7,710</w:t></w:r>
</w:p>
<w:p>
<w:pPr><w:pStyle w:val="Normal"/></w:pPr>
<w:r><w:t xml:space="preserve">Verrajochl (Lunersee to the Schweizerthor), foot path. . . . . . . .7,648</w:t></w:r>
</w:p>
<w:p>
<w:pPr><w:pStyle w:val="Normal"/></w:pPr>
<w:r><w:t xml:space="preserve">Ofen Pass (Schweizerthor to Schruns), foot path. . . . . . . . . . . . . .7,523</w:t></w:r>
</w:p>
<w:p>
<w:pPr><w:pStyle w:val="Normal"/></w:pPr>
<w:r><w:t xml:space="preserve">Cavelljoch (Bludenz and the Lunersee to Seewis), foot path. . . . . . .7,343</w:t></w:r>
</w:p>
<w:p>
<w:pPr><w:pStyle w:val="Normal"/></w:pPr>
<w:r><w:t xml:space="preserve">Gruben Pass (St Antonien to Schruns), foot path . . . . . . . . . . . .7,333</w:t></w:r>
</w:p>
<w:p>
<w:pPr><w:pStyle w:val="Normal"/></w:pPr>
<w:r><w:t xml:space="preserve">Schlappinerjoch (Klosters to St Gallenkirch), bridle path. . . . . . . . .7,218</w:t></w:r>
</w:p>
<w:p>
<w:pPr><w:pStyle w:val="Normal"/></w:pPr>
<w:r><w:t xml:space="preserve">Schweizerthor (Schiers to Schruns), foot path. . . . . . . . . . . . . . .7 057</w:t></w:r>
</w:p>
<w:p>
<w:pPr><w:pStyle w:val="Normal"/></w:pPr>
<w:r><w:t xml:space="preserve">Bielerhohe (Patenen to Galtur), bridle path. . . . . . . . . . . . .6,631</w:t></w:r>
</w:p>
<w:p>
<w:pPr><w:pStyle w:val="Normal"/></w:pPr>
<w:r><w:t xml:space="preserve">Zeinisjoch (Patenen to Galtur), bridle path . . . . . . . . . . . . . .6,076</w:t></w:r>
</w:p>
<w:p>
<w:pPr><w:pStyle w:val="Normal"/></w:pPr>
<w:r><w:t xml:space="preserve">Arlberg Pass (Landeck to Bludenz), carriage road over,</w:t></w:r>
</w:p>
<w:p>
<w:pPr><w:pStyle w:val="Normal"/></w:pPr>
<w:r><w:t xml:space="preserve">railway tunnel beneath. . . . . . . . . . . . . . . . . . . . . . . .5,912</w:t></w:r>
</w:p>
<w:p>
<w:pPr><w:pStyle w:val="Heading1"/></w:pPr>
<w:r><w:t>III. EASTERN ALPS</w:t></w:r>
</w:p>
<w:p>
<w:pPr><w:pStyle w:val="Normal"/></w:pPr>
<w:r><w:t xml:space="preserve">13. The Alps of Bavaria, the Vorarlberg and Salzburg (north of</w:t></w:r>
</w:p>
<w:p>
<w:pPr><w:pStyle w:val="Normal"/></w:pPr>
<w:r><w:t xml:space="preserve">the Arlberg Pass, Innsbruck, the Pinzgau, and the Enns valley).</w:t></w:r>
</w:p>
<w:p>
<w:pPr><w:pStyle w:val="Normal"/></w:pPr>
<w:r><w:t xml:space="preserve">Chief Peaks of the Alps of Bavaria, the Vorarlberg and Salzburg.</w:t></w:r>
</w:p>
<w:p>
<w:pPr><w:pStyle w:val="Normal"/></w:pPr>
<w:r><w:t xml:space="preserve">Parseierspitze . . . . . . . . 9,968    Watzmann . . . . . . . . . . . . .8,901</w:t></w:r>
</w:p>
<w:p>
<w:pPr><w:pStyle w:val="Normal"/></w:pPr>
<w:r><w:t xml:space="preserve">Dachstein. . . . . . . . . . . 9,830    Rothewandspitze. . . . . . . . . .8,878</w:t></w:r>
</w:p>
<w:p>
<w:pPr><w:pStyle w:val="Normal"/></w:pPr>
<w:r><w:t xml:space="preserve">Zugspitze. . . . . . . . . . . 9,738    Gross Krottenkopf(Allgau) . . .8,718</w:t></w:r>
</w:p>
<w:p>
<w:pPr><w:pStyle w:val="Normal"/></w:pPr>
<w:r><w:t xml:space="preserve">Hochkonig . . . . . . . . . 9,639    Selbhorn . . . . . . . . . . . . .8,711</w:t></w:r>
</w:p>
<w:p>
<w:pPr><w:pStyle w:val="Normal"/></w:pPr>
<w:r><w:t xml:space="preserve">Valluga. . . . . . . . . . . . 9,223    Hohes Licht. . . . . . . . . . . .8,701</w:t></w:r>
</w:p>
<w:p>
<w:pPr><w:pStyle w:val="Normal"/></w:pPr>
<w:r><w:t xml:space="preserve">Rockspitze . . . . . . . . . . 9,059    Madelegabel . . . . . . . . . .8,681</w:t></w:r>
</w:p>
<w:p>
<w:pPr><w:pStyle w:val="Normal"/></w:pPr>
<w:r><w:t xml:space="preserve">E. Hohe Griesspitze. . . . . . 9,052    Hochvogel. . . . . . . . . . . . .8,511</w:t></w:r>
</w:p>
<w:p>
<w:pPr><w:pStyle w:val="Normal"/></w:pPr>
<w:r><w:t xml:space="preserve">Stanskogel . . . . . . . . . . 9,052    Elmauer Haltsspitze</w:t></w:r>
</w:p>
<w:p>
<w:pPr><w:pStyle w:val="Normal"/></w:pPr>
<w:r><w:t xml:space="preserve">Birkkarspitze (Karwendel). . . 9,042         (Kaisergebirge) . . . . . . .7,691</w:t></w:r>
</w:p>
<w:p>
<w:pPr><w:pStyle w:val="Normal"/></w:pPr>
<w:r><w:t xml:space="preserve">Chief Passes of the Alps of Bavaria, the Vorarlberg and Salzburg.</w:t></w:r>
</w:p>
<w:p>
<w:pPr><w:pStyle w:val="Normal"/></w:pPr>
<w:r><w:t xml:space="preserve">Gentschel Pass (Oberstdorf to Schrocken), bridle path . . . . . . . . .6,480</w:t></w:r>
</w:p>
<w:p>
<w:pPr><w:pStyle w:val="Normal"/></w:pPr>
<w:r><w:t xml:space="preserve">Schrofen Pass (Oberstdorf to Warth), foot path . . . . . . . . . . . . . .5,538</w:t></w:r>
</w:p>
<w:p>
<w:pPr><w:pStyle w:val="Normal"/></w:pPr>
<w:r><w:t xml:space="preserve">Gerlos Pass (Zell to Mittersill), bridle path. . . . . . . . . . . . . . .4,876</w:t></w:r>
</w:p>
<w:p>
<w:pPr><w:pStyle w:val="Normal"/></w:pPr>
<w:r><w:t xml:space="preserve">Pass Thurn (Kirzbuhel to Mittersill), carriage road . . . . . . . . . .4,183</w:t></w:r>
</w:p>
<w:p>
<w:pPr><w:pStyle w:val="Normal"/></w:pPr>
<w:r><w:t xml:space="preserve">Fern Pass (Reutte to Nassereit), carriage road . . . . . . . . . . . . . .4,026</w:t></w:r>
</w:p>
<w:p>
<w:pPr><w:pStyle w:val="Normal"/></w:pPr>
<w:r><w:t xml:space="preserve">Scharnitz or Seefeld Pass (Partenkirchen to Zirl), carriage road . . . . .3,874</w:t></w:r>
</w:p>
<w:p>
<w:pPr><w:pStyle w:val="Normal"/></w:pPr>
<w:r><w:t xml:space="preserve">Hirschbuhel Pass (Berchtesgaden to Saalfelden), carriage road . . . . .3,858</w:t></w:r>
</w:p>
<w:p>
<w:pPr><w:pStyle w:val="Normal"/></w:pPr>
<w:r><w:t xml:space="preserve">Hochfilzen Pass (Saalfelden to Kitzbuhel), railway over . . . . . . . .3,173</w:t></w:r>
</w:p>
<w:p>
<w:pPr><w:pStyle w:val="Normal"/></w:pPr>
<w:r><w:t xml:space="preserve">Pyhrn Pass (Linz to Liezen), carriage road over, railway tunnel</w:t></w:r>
</w:p>
<w:p>
<w:pPr><w:pStyle w:val="Normal"/></w:pPr>
<w:r><w:t xml:space="preserve">beneath . . . . . . . . . . . . . . . . . . . . . . . . . . . . . . .3,100</w:t></w:r>
</w:p>
<w:p>
<w:pPr><w:pStyle w:val="Normal"/></w:pPr>
<w:r><w:t xml:space="preserve">Wagreinstattel (Radstadt to St Johann in Pongau), carriage road. . . . . .2,743</w:t></w:r>
</w:p>
<w:p>
<w:pPr><w:pStyle w:val="Normal"/></w:pPr>
<w:r><w:t xml:space="preserve">14. Central Tirol Alps (from the Brenner Pass to the Radstadter</w:t></w:r>
</w:p>
<w:p>
<w:pPr><w:pStyle w:val="Normal"/></w:pPr>
<w:r><w:t xml:space="preserve">Tauern Pass, north of the Drave Valley and south of the Pinzgau</w:t></w:r>
</w:p>
<w:p>
<w:pPr><w:pStyle w:val="Normal"/></w:pPr>
<w:r><w:t xml:space="preserve">and the Enns Valley). This division takes in the Zillerthal and</w:t></w:r>
</w:p>
<w:p>
<w:pPr><w:pStyle w:val="Normal"/></w:pPr>
<w:r><w:t xml:space="preserve">Tuern Ranges.</w:t></w:r>
</w:p>
<w:p>
<w:pPr><w:pStyle w:val="Normal"/></w:pPr>
<w:r><w:t xml:space="preserve">Chief Peaks of the Central Tirol Alps.</w:t></w:r>
</w:p>
<w:p>
<w:pPr><w:pStyle w:val="Normal"/></w:pPr>
<w:r><w:t xml:space="preserve">Gross Glockner . . . . . . . . 12,461   Ruthnerhorn(Rieserferner). . . . 11,024</w:t></w:r>
</w:p>
<w:p>
<w:pPr><w:pStyle w:val="Normal"/></w:pPr>
<w:r><w:t xml:space="preserve">Gross Venediger. . . . . . . . 12,008</w:t></w:r>
</w:p>
<w:p>
<w:pPr><w:pStyle w:val="Normal"/></w:pPr>
<w:r><w:t xml:space="preserve">Gross Wiesbachhorn . . . . . . 11,713   Hochalmspitze. . . . . . . . . . 11,008</w:t></w:r>
</w:p>
<w:p>
<w:pPr><w:pStyle w:val="Normal"/></w:pPr>
<w:r><w:t xml:space="preserve">Hochfeiler (Zillerthal). . . . 11,559   Reichenspitze (Z). . . . . . . . 10,844</w:t></w:r>
</w:p>
<w:p>
<w:pPr><w:pStyle w:val="Normal"/></w:pPr>
<w:r><w:t xml:space="preserve">Dreiherrenspitze . . . . . . . 11,500   Gross Rotherknopf (Schober). . . 10,814</w:t></w:r>
</w:p>
<w:p>
<w:pPr><w:pStyle w:val="Normal"/></w:pPr>
<w:r><w:t xml:space="preserve">Mosele (Z). . . . . . . . . 11,438</w:t></w:r>
</w:p>
<w:p>
<w:pPr><w:pStyle w:val="Normal"/></w:pPr>
<w:r><w:t xml:space="preserve">Olperer (Z). . . . . . . . . . 1i,418   Gross Morchner (Z). . . . . . 10,785</w:t></w:r>
</w:p>
<w:p>
<w:pPr><w:pStyle w:val="Normal"/></w:pPr>
<w:r><w:t xml:space="preserve">Johannisberg . . . . . . . . . 11,375   Hochnarr (Goldberg). . . . . . . 10,689</w:t></w:r>
</w:p>
<w:p>
<w:pPr><w:pStyle w:val="Normal"/></w:pPr>
<w:r><w:t xml:space="preserve">Hochgall (Rieserferner). . . . 11,287   Ankogel. . . . . . . . . . . . . 10,673</w:t></w:r>
</w:p>
<w:p>
<w:pPr><w:pStyle w:val="Normal"/></w:pPr>
<w:r><w:t xml:space="preserve">Thurnerkamp (Z). . . . . . . . 11,228   Hochschober. . . . . . . . . . . 10,663</w:t></w:r>
</w:p>
<w:p>
<w:pPr><w:pStyle w:val="Normal"/></w:pPr>
<w:r><w:t xml:space="preserve">Gross Loflier (Z) . . . . . 11,096   Kitzsteinhorn. . . . . . . . . . 10,512</w:t></w:r>
</w:p>
<w:p>
<w:pPr><w:pStyle w:val="Normal"/></w:pPr>
<w:r><w:t xml:space="preserve">Fusstein (Z) . . . . . . . . . 11,090   Sonnblick. . . . . . . . . . . . 10,196</w:t></w:r>
</w:p>
<w:p>
<w:pPr><w:pStyle w:val="Normal"/></w:pPr>
<w:r><w:t xml:space="preserve">Schwarzenstein (Z) . . . . . . 11,057   Zsigmondyspitze. . . . . . . . . 10,122</w:t></w:r>
</w:p>
<w:p>
<w:pPr><w:pStyle w:val="Normal"/></w:pPr>
<w:r><w:t xml:space="preserve">Gross Geiger . . . . . . . . . 11,041   Reckner (Tuxergebirge) . . . . . .9,485</w:t></w:r>
</w:p>
<w:p>
<w:pPr><w:pStyle w:val="Normal"/></w:pPr>
<w:r><w:t xml:space="preserve">Chief Passes of the Central Tirol Alps.</w:t></w:r>
</w:p>
<w:p>
<w:pPr><w:pStyle w:val="Normal"/></w:pPr>
<w:r><w:t xml:space="preserve">Mitterbachjoch (Breitlahner to Taufers), snow (Z). . . . . . . . . . . . 10,270</w:t></w:r>
</w:p>
<w:p>
<w:pPr><w:pStyle w:val="Normal"/></w:pPr>
<w:r><w:t xml:space="preserve">Trippachsattel (Floiten Valley to Taufers), snow (Z) . . . . . . . . . . 10,020</w:t></w:r>
</w:p>
<w:p>
<w:pPr><w:pStyle w:val="Normal"/></w:pPr>
<w:r><w:t xml:space="preserve">Riffelthor (Kaprun to Heiligenblut), snow. . . . . . . . . . . . . . . . 10,010</w:t></w:r>
</w:p>
<w:p>
<w:pPr><w:pStyle w:val="Normal"/></w:pPr>
<w:r><w:t xml:space="preserve">Bockkarscharte (Ferleiten to Heiligenblut), snow . . . . . . . . . . . . .9,994</w:t></w:r>
</w:p>
<w:p>
<w:pPr><w:pStyle w:val="Normal"/></w:pPr>
<w:r><w:t xml:space="preserve">Sonnblickscharte (Rauris to Heiligenblut), snow. . . . . . . . . . . . . .9,774</w:t></w:r>
</w:p>
<w:p>
<w:pPr><w:pStyle w:val="Normal"/></w:pPr>
<w:r><w:t xml:space="preserve">Alpeinerscharte (Breitlahner to St Jodok am Brenner), foot path (Z). . . .9,712</w:t></w:r>
</w:p>
<w:p>
<w:pPr><w:pStyle w:val="Normal"/></w:pPr>
<w:r><w:t xml:space="preserve">Vorder Umbalthorl (Pragraten to Kasern), snow. . . . . . . . . . . .9,607</w:t></w:r>
</w:p>
<w:p>
<w:pPr><w:pStyle w:val="Normal"/></w:pPr>
<w:r><w:t xml:space="preserve">Ober Sulzbachthorl (Pragraten to Wald), snow . . . . . . . . . . . .9,600</w:t></w:r>
</w:p>
<w:p>
<w:pPr><w:pStyle w:val="Normal"/></w:pPr>
<w:r><w:t xml:space="preserve">Keilbachjoch (Mayrhofen to Steinhaus), foot path (Z) . . . . . . . . . . .9,410</w:t></w:r>
</w:p>
<w:p>
<w:pPr><w:pStyle w:val="Normal"/></w:pPr>
<w:r><w:t xml:space="preserve">Unter Sulzbachthorl (Wald to Gschloss), snow . . . . . . . . . . . .9,400</w:t></w:r>
</w:p>
<w:p>
<w:pPr><w:pStyle w:val="Normal"/></w:pPr>
<w:r><w:t xml:space="preserve">Schwarzkopfscharte (Bramberg to Gschloss), snow . . . . . . . . . . . .9,351</w:t></w:r>
</w:p>
<w:p>
<w:pPr><w:pStyle w:val="Normal"/></w:pPr>
<w:r><w:t xml:space="preserve">Pragraterthorl (Pragraten to the Defereggen Glen),foot path . . .9,338</w:t></w:r>
</w:p>
<w:p>
<w:pPr><w:pStyle w:val="Normal"/></w:pPr>
<w:r><w:t xml:space="preserve">Glodisthorl (Lienz to Kals), snow. . . . . . . . . . . . . . . . . .9,292</w:t></w:r>
</w:p>
<w:p>
<w:pPr><w:pStyle w:val="Normal"/></w:pPr>
<w:r><w:t xml:space="preserve">Antholzerscharte (Rein Valley to the Antholz Valley), snow . . . . . . . .9,252</w:t></w:r>
</w:p>
<w:p>
<w:pPr><w:pStyle w:val="Normal"/></w:pPr>
<w:r><w:t xml:space="preserve">Krimmlerthorl (Krimml Glen to the Obersulzbach Glen) snow . . . . . . .9,233</w:t></w:r>
</w:p>
<w:p>
<w:pPr><w:pStyle w:val="Normal"/></w:pPr>
<w:r><w:t xml:space="preserve">Goldzechscharte (Heiligenblut to Rauris), snow . . . . . . . . . . . . . .9,220</w:t></w:r>
</w:p>
<w:p>
<w:pPr><w:pStyle w:val="Normal"/></w:pPr>
<w:r><w:t xml:space="preserve">Kalserthorl (Kals to Liens), snow . . . . . . . . . . . . . . . . . . .9,197</w:t></w:r>
</w:p>
<w:p>
<w:pPr><w:pStyle w:val="Normal"/></w:pPr>
<w:r><w:t xml:space="preserve">Ober Tramerscharte (Rauris to Dollach), snow. . . . . . . . . . . . . .9,193</w:t></w:r>
</w:p>
<w:p>
<w:pPr><w:pStyle w:val="Normal"/></w:pPr>
<w:r><w:t xml:space="preserve">Kleine Elendscharte (Gastein to Gmund), snow. . . . . . . . . . . . . .8,987</w:t></w:r>
</w:p>
<w:p>
<w:pPr><w:pStyle w:val="Normal"/></w:pPr>
<w:r><w:t xml:space="preserve">Kleine Zirknitzscharte (Dollach to Fragant or Rauris), snow . . . . . .8,921</w:t></w:r>
</w:p>
<w:p>
<w:pPr><w:pStyle w:val="Normal"/></w:pPr>
<w:r><w:t xml:space="preserve">Dossener or Maunitzerscharte (Mallnitz to Gmund), snow . . . . . . .8,783</w:t></w:r>
</w:p>
<w:p>
<w:pPr><w:pStyle w:val="Normal"/></w:pPr>
<w:r><w:t xml:space="preserve">Grosse Elendscharte (Mallnitz to the Upper Malta Glen), snow . . . . . . .8,770</w:t></w:r>
</w:p>
<w:p>
<w:pPr><w:pStyle w:val="Normal"/></w:pPr>
<w:r><w:t xml:space="preserve">Unter Pfandlscharte (Ferleiten to Heiligenblut), snow. . . . . . . . . . .8,744</w:t></w:r>
</w:p>
<w:p>
<w:pPr><w:pStyle w:val="Normal"/></w:pPr>
<w:r><w:t xml:space="preserve">Heiliggeistjochl (Mayrhofen to Kasern), foot path (Z) . . . . . . . . .8,721</w:t></w:r>
</w:p>
<w:p>
<w:pPr><w:pStyle w:val="Normal"/></w:pPr>
<w:r><w:t xml:space="preserve">Bergerthorl (Kals to Heiligenblut), foot path . . . . . . . . . . . . .8,695</w:t></w:r>
</w:p>
<w:p>
<w:pPr><w:pStyle w:val="Normal"/></w:pPr>
<w:r><w:t xml:space="preserve">Kaprunerthorl (upper Kaprun Glen to the upper Stubach Glen), snow . . .8,645</w:t></w:r>
</w:p>
<w:p>
<w:pPr><w:pStyle w:val="Normal"/></w:pPr>
<w:r><w:t xml:space="preserve">Krimmler Tauern (Krimml to Kasern), foot path. . . . . . . . . . . . . . .8,642</w:t></w:r>
</w:p>
<w:p>
<w:pPr><w:pStyle w:val="Normal"/></w:pPr>
<w:r><w:t xml:space="preserve">Virgner or Defereggerthorl (Defereggen Glen to Virgen and</w:t></w:r>
</w:p>
<w:p>
<w:pPr><w:pStyle w:val="Normal"/></w:pPr>
<w:r><w:t xml:space="preserve">Pragraten), foot path. . . . . . . . . . . . . . . . . . . . . . .8,586</w:t></w:r>
</w:p>
<w:p>
<w:pPr><w:pStyle w:val="Normal"/></w:pPr>
<w:r><w:t xml:space="preserve">Backlenke or Trojerjoch (Pragraten to the Defereggen Glen),</w:t></w:r>
</w:p>
<w:p>
<w:pPr><w:pStyle w:val="Normal"/></w:pPr>
<w:r><w:t xml:space="preserve">foot path . . . . . . . . . . . . . . . . . . . . . . . . . . . . . .8,573</w:t></w:r>
</w:p>
<w:p>
<w:pPr><w:pStyle w:val="Normal"/></w:pPr>
<w:r><w:t xml:space="preserve">Hochthor or Heiligenbluter Tauern (Heiligenblut to Rauris), foot path. . .8,442</w:t></w:r>
</w:p>
<w:p>
<w:pPr><w:pStyle w:val="Normal"/></w:pPr>
<w:r><w:t xml:space="preserve">Horndljochl (Mayrhofen to Steinhaus), foot path (Z). . . . . . . . .8,383</w:t></w:r>
</w:p>
<w:p>
<w:pPr><w:pStyle w:val="Normal"/></w:pPr>
<w:r><w:t xml:space="preserve">Velber Tauern (Windisch Matrei to Mittersill), bridle path . . . . . . . .8,334</w:t></w:r>
</w:p>
<w:p>
<w:pPr><w:pStyle w:val="Normal"/></w:pPr>
<w:r><w:t xml:space="preserve">Kalser Tauern (Kals to Uttendorf), foot path . . . . . . . . . . . . . . .8,242</w:t></w:r>
</w:p>
<w:p>
<w:pPr><w:pStyle w:val="Normal"/></w:pPr>
<w:r><w:t xml:space="preserve">Hohe or Korn Tauern (Mallnitz to Gastein), bridle path over,</w:t></w:r>
</w:p>
<w:p>
<w:pPr><w:pStyle w:val="Normal"/></w:pPr>
<w:r><w:t xml:space="preserve">railway tunnel beneath. . . . . . . . . . . . . . . . . . . . . . . .8,081</w:t></w:r>
</w:p>
<w:p>
<w:pPr><w:pStyle w:val="Normal"/></w:pPr>
<w:r><w:t xml:space="preserve">Niedere or Mallnitzer Tauern (Mallnitz to Gastein), bridle path. . . . . .7,920</w:t></w:r>
</w:p>
<w:p>
<w:pPr><w:pStyle w:val="Normal"/></w:pPr>
<w:r><w:t xml:space="preserve">Fuscherthorl (Ferleiten to the Seidlwinkel Glen), foot path . . . . . .7,891</w:t></w:r>
</w:p>
<w:p>
<w:pPr><w:pStyle w:val="Normal"/></w:pPr>
<w:r><w:t xml:space="preserve">Lappacherjoch (Lappach to theahrn Valley), foot path (Z) . . . . . . . . .7,763</w:t></w:r>
</w:p>
<w:p>
<w:pPr><w:pStyle w:val="Normal"/></w:pPr>
<w:r><w:t xml:space="preserve">Tuxerjoch or Schmirnjoch (Mayrhofen to St Jodok am Brenner),</w:t></w:r>
</w:p>
<w:p>
<w:pPr><w:pStyle w:val="Normal"/></w:pPr>
<w:r><w:t xml:space="preserve">foot path (Z) . . . . . . . . . . . . . . . . . . . . . . . . . . . .7,697</w:t></w:r>
</w:p>
<w:p>
<w:pPr><w:pStyle w:val="Normal"/></w:pPr>
<w:r><w:t xml:space="preserve">Klammljoch (Taufers to the Defereggen Valley), bridle path . . . . . . . .7,517</w:t></w:r>
</w:p>
<w:p>
<w:pPr><w:pStyle w:val="Normal"/></w:pPr>
<w:r><w:t xml:space="preserve">Arlscharte (St Johann in Pongau to Gmund), foot path. . . . . . . . . .7,386</w:t></w:r>
</w:p>
<w:p>
<w:pPr><w:pStyle w:val="Normal"/></w:pPr>
<w:r><w:t xml:space="preserve">Pfitscherjoch (Mayrhofen to Sterzing), foot path (Z) . . . . . . . . . . .7,376</w:t></w:r>
</w:p>
<w:p>
<w:pPr><w:pStyle w:val="Normal"/></w:pPr>
<w:r><w:t xml:space="preserve">Kals Matreierthorl (Kals to Windisch Matrei), bridle path . . . . . . .7,238</w:t></w:r>
</w:p>
<w:p>
<w:pPr><w:pStyle w:val="Normal"/></w:pPr>
<w:r><w:t xml:space="preserve">Die Stanz (Gastein to Rauris), foot path . . . . . . . . . . . . . . . . .6,900</w:t></w:r>
</w:p>
<w:p>
<w:pPr><w:pStyle w:val="Normal"/></w:pPr>
<w:r><w:t xml:space="preserve">Stallersattel (Defereggen Glen to the Antholz Glen), bridle path (R) . . .6,742</w:t></w:r>
</w:p>
<w:p>
<w:pPr><w:pStyle w:val="Normal"/></w:pPr>
<w:r><w:t xml:space="preserve">Radstadter Tauern (Radstadt to Mautendorf), carriage road . . . . . . .5,702</w:t></w:r>
</w:p>
<w:p>
<w:pPr><w:pStyle w:val="Normal"/></w:pPr>
<w:r><w:t xml:space="preserve">15. Ortler, Oetzthal and Stubai Banges (from the Reschen</w:t></w:r>
</w:p>
<w:p>
<w:pPr><w:pStyle w:val="Normal"/></w:pPr>
<w:r><w:t xml:space="preserve">Scheideck and the Stelvio to the Brenner Pass, south of the Inn</w:t></w:r>
</w:p>
<w:p>
<w:pPr><w:pStyle w:val="Normal"/></w:pPr>
<w:r><w:t xml:space="preserve">Valley, and north of the Tonale Pass).</w:t></w:r>
</w:p>
<w:p>
<w:pPr><w:pStyle w:val="Normal"/></w:pPr>
<w:r><w:t xml:space="preserve">Chief Peaks of the Ortler, Oetzthal and Stubai Ranges.</w:t></w:r>
</w:p>
<w:p>
<w:pPr><w:pStyle w:val="Normal"/></w:pPr>
<w:r><w:t xml:space="preserve">Ortler . . . . . . . . . . . . 12,802   Zuckerhutl (Stubai) . . . . . 11,520</w:t></w:r>
</w:p>
<w:p>
<w:pPr><w:pStyle w:val="Normal"/></w:pPr>
<w:r><w:t xml:space="preserve">Konigsspitze. . . . . . . . 12,655   Schalfkogel. . . . . . . . . . . 11,516</w:t></w:r>
</w:p>
<w:p>
<w:pPr><w:pStyle w:val="Normal"/></w:pPr>
<w:r><w:t xml:space="preserve">Monte Cevedale . . . . . . . . 12,382   Schrankogel. . . . . . . . . . . 11,483</w:t></w:r>
</w:p>
<w:p>
<w:pPr><w:pStyle w:val="Normal"/></w:pPr>
<w:r><w:t xml:space="preserve">Wildspitze (Oetzthal). . . . . 12,382   Hochwildspitze . . . . . . . . . 11,418</w:t></w:r>
</w:p>
<w:p>
<w:pPr><w:pStyle w:val="Normal"/></w:pPr>
<w:r><w:t xml:space="preserve">Weisskugel . . . . . . . . . . 12,291   Sonklarspiize. . . . . . . . . . 11,405</w:t></w:r>
</w:p>
<w:p>
<w:pPr><w:pStyle w:val="Normal"/></w:pPr>
<w:r><w:t xml:space="preserve">Monte Zebru. . . . . . . . . . 12,254   Tuckettspitze. . . . . . . . . . 11,346</w:t></w:r>
</w:p>
<w:p>
<w:pPr><w:pStyle w:val="Normal"/></w:pPr>
<w:r><w:t xml:space="preserve">Palon della Mare . . . . . . . 12,156   Wilder Freiger . . . . . . . . . 11,241</w:t></w:r>
</w:p>
<w:p>
<w:pPr><w:pStyle w:val="Normal"/></w:pPr>
<w:r><w:t xml:space="preserve">Funta San Matteo . . . . . . . 12,113   Veneziaspitze. . . . . . . . . . 11,103</w:t></w:r>
</w:p>
<w:p>
<w:pPr><w:pStyle w:val="Normal"/></w:pPr>
<w:r><w:t xml:space="preserve">Thurwieserspitze . . . . . . . 11,946   Tscheugelser Hochwand. . . . . . 11,083</w:t></w:r>
</w:p>
<w:p>
<w:pPr><w:pStyle w:val="Normal"/></w:pPr>
<w:r><w:t xml:space="preserve">Hintere Schwarze. . . . . . 11,920   Monte Confinale. . . . . . . . . 11,057</w:t></w:r>
</w:p>
<w:p>
<w:pPr><w:pStyle w:val="Normal"/></w:pPr>
<w:r><w:t xml:space="preserve">Similaun . . . . . . . . . . . 11,821   Glockthurm . . . . . . . . . . . 11,011</w:t></w:r>
</w:p>
<w:p>
<w:pPr><w:pStyle w:val="Normal"/></w:pPr>
<w:r><w:t xml:space="preserve">Pizzo Tresero. . . . . . . . . 11,818   Fernerkogel. . . . . . . . . . . 10,827</w:t></w:r>
</w:p>
<w:p>
<w:pPr><w:pStyle w:val="Normal"/></w:pPr>
<w:r><w:t xml:space="preserve">Gross Ramolkogel . . . . . . . 11,651   Monte Sobretta . . . . . . . . . 10,814</w:t></w:r>
</w:p>
<w:p>
<w:pPr><w:pStyle w:val="Normal"/></w:pPr>
<w:r><w:t xml:space="preserve">Vtertainspitze . . . . . . . . 11,618   Habicht. . . . . . . . . . . . . 10,758</w:t></w:r>
</w:p>
<w:p>
<w:pPr><w:pStyle w:val="Normal"/></w:pPr>
<w:r><w:t xml:space="preserve">Hochvernagtspitze. . . . . . . 11,585   Pflerscher Tribulaun . . . . . . 10,178</w:t></w:r>
</w:p>
<w:p>
<w:pPr><w:pStyle w:val="Normal"/></w:pPr>
<w:r><w:t xml:space="preserve">Chief Passes of the Ortler, Oetzthal and Stubai Ranges.</w:t></w:r>
</w:p>
<w:p>
<w:pPr><w:pStyle w:val="Normal"/></w:pPr>
<w:r><w:t xml:space="preserve">Hochjoch (Sulden to the Zebru Glen), snow. . . . . . . . . . . . . . . . 11,602</w:t></w:r>
</w:p>
<w:p>
<w:pPr><w:pStyle w:val="Normal"/></w:pPr>
<w:r><w:t xml:space="preserve">Vioz Pass (Santa Caterina to Pejo), snow . . . . . . . . . . . . . . . . 10,949</w:t></w:r>
</w:p>
<w:p>
<w:pPr><w:pStyle w:val="Normal"/></w:pPr>
<w:r><w:t xml:space="preserve">Sonklarscharte (Solden to Sterzing), snow . . . . . . . . . . . . . . 10,916</w:t></w:r>
</w:p>
<w:p>
<w:pPr><w:pStyle w:val="Normal"/></w:pPr>
<w:r><w:t xml:space="preserve">Konigsjoch (Sulden to Santa Caterina), snow . . . . . . . . . . . . . 10,811</w:t></w:r>
</w:p>
<w:p>
<w:pPr><w:pStyle w:val="Normal"/></w:pPr>
<w:r><w:t xml:space="preserve">Cevedale Pass (Santa Caterina to the Martell Glen), snow . . . . . . . . 10,732</w:t></w:r>
</w:p>
<w:p>
<w:pPr><w:pStyle w:val="Normal"/></w:pPr>
<w:r><w:t xml:space="preserve">Gepatschjoch (Vent to the Kauns Valley), snow. . . . . . . . . . . . . . 10,640</w:t></w:r>
</w:p>
<w:p>
<w:pPr><w:pStyle w:val="Normal"/></w:pPr>
<w:r><w:t xml:space="preserve">Ramoljoch (Vent to Gurgl), snow. . . . . . . . . . . . . . . . . . . . . 10.479</w:t></w:r>
</w:p>
<w:p>
<w:pPr><w:pStyle w:val="Normal"/></w:pPr>
<w:r><w:t xml:space="preserve">Langtaufererjoch (Vent to the Reschen Scheideck Pass), snow. . . . . . . 10,391</w:t></w:r>
</w:p>
<w:p>
<w:pPr><w:pStyle w:val="Normal"/></w:pPr>
<w:r><w:t xml:space="preserve">Bildstockljoch (Solden to Ranalt), snow. . . . . . . . . . . . . . 10,296</w:t></w:r>
</w:p>
<w:p>
<w:pPr><w:pStyle w:val="Normal"/></w:pPr>
<w:r><w:t xml:space="preserve">Gurgler Eisjoch (Gurgl to the Pfossen Glen), snow. . . . . . . . . . . . 10,292</w:t></w:r>
</w:p>
<w:p>
<w:pPr><w:pStyle w:val="Normal"/></w:pPr>
<w:r><w:t xml:space="preserve">Eissee Pass (Sulden to the Martell Glen), snow . . . . . . . . . . . . . 10,279</w:t></w:r>
</w:p>
<w:p>
<w:pPr><w:pStyle w:val="Normal"/></w:pPr>
<w:r><w:t xml:space="preserve">Langthalerjoch (Gurgl to Pfelders), snow . . . . . . . . . . . . . . . . 10,033</w:t></w:r>
</w:p>
<w:p>
<w:pPr><w:pStyle w:val="Normal"/></w:pPr>
<w:r><w:t xml:space="preserve">Passo del Zebru (Santa Caterina to the Zebru Glen), snow . . . . . . . . .9,925</w:t></w:r>
</w:p>
<w:p>
<w:pPr><w:pStyle w:val="Normal"/></w:pPr>
<w:r><w:t xml:space="preserve">Sallentjoch (Martell Glen to Rabbi), snow . . . . . . . . . . . . . . .9,913</w:t></w:r>
</w:p>
<w:p>
<w:pPr><w:pStyle w:val="Normal"/></w:pPr>
<w:r><w:t xml:space="preserve">Nederjoch (Vent to the Schnals Valley), snow . . . . . . . . . . . . . . .9,899</w:t></w:r>
</w:p>
<w:p>
<w:pPr><w:pStyle w:val="Normal"/></w:pPr>
<w:r><w:t xml:space="preserve">Sforzellina Pass (Santa Caterina to Pejo), snow. . . . . . . . . . . . . .9,859</w:t></w:r>
</w:p>
<w:p>
<w:pPr><w:pStyle w:val="Normal"/></w:pPr>
<w:r><w:t xml:space="preserve">Pitzthalerjochl (Mittelbera to Solden), snow . . . . . . . . . . . .9,826</w:t></w:r>
</w:p>
<w:p>
<w:pPr><w:pStyle w:val="Normal"/></w:pPr>
<w:r><w:t xml:space="preserve">Eisjochl am Bild (Pfelders to the Pfossen Glen), snow . . . . . . . . .9,541</w:t></w:r>
</w:p>
<w:p>
<w:pPr><w:pStyle w:val="Normal"/></w:pPr>
<w:r><w:t xml:space="preserve">Venter Hochjoch (Vent to the Schnals Valley), snow . . . . . . . . . . . .9,465</w:t></w:r>
</w:p>
<w:p>
<w:pPr><w:pStyle w:val="Normal"/></w:pPr>
<w:r><w:t xml:space="preserve">Tabarettascharte (Sulden to Trafoi), foot path . . . . . . . . . . . . . .9,459</w:t></w:r>
</w:p>
<w:p>
<w:pPr><w:pStyle w:val="Normal"/></w:pPr>
<w:r><w:t xml:space="preserve">Stelvio Pass (Trafoi to Bormio), carriage road . . . . . . . . . . . . . .9,055</w:t></w:r>
</w:p>
<w:p>
<w:pPr><w:pStyle w:val="Normal"/></w:pPr>
<w:r><w:t xml:space="preserve">Gavia Pass (Santa Caterina to Ponte di Legno), foot path . . . . . . . . .8,651</w:t></w:r>
</w:p>
<w:p>
<w:pPr><w:pStyle w:val="Normal"/></w:pPr>
<w:r><w:t xml:space="preserve">Timmeljoch or Timblerjoch (Solden to the Passeierthal and</w:t></w:r>
</w:p>
<w:p>
<w:pPr><w:pStyle w:val="Normal"/></w:pPr>
<w:r><w:t xml:space="preserve">Meran), bridle path . . . . . . . . . . . . . . . . . . . . . . . . .8,232</w:t></w:r>
</w:p>
<w:p>
<w:pPr><w:pStyle w:val="Normal"/></w:pPr>
<w:r><w:t xml:space="preserve">Jaufen Pass (Sterzing to Meran), bridle path . . . . . . . . . . . . . . .6,870</w:t></w:r>
</w:p>
<w:p>
<w:pPr><w:pStyle w:val="Normal"/></w:pPr>
<w:r><w:t xml:space="preserve">Reschen Scheideck Pass (Landeck to Meran), carriage road . . . . . . . . .4,902</w:t></w:r>
</w:p>
<w:p>
<w:pPr><w:pStyle w:val="Normal"/></w:pPr>
<w:r><w:t xml:space="preserve">Brenner Pass (Innsbruck to Verona), railway over . . . . . . . . . . . . .4,495</w:t></w:r>
</w:p>
<w:p>
<w:pPr><w:pStyle w:val="Normal"/></w:pPr>
<w:r><w:t xml:space="preserve">16. Lombard Alps flrom the Lake of Como to the Adige Valley,</w:t></w:r>
</w:p>
<w:p>
<w:pPr><w:pStyle w:val="Normal"/></w:pPr>
<w:r><w:t xml:space="preserve">south of the Valtellina and the Aprica and Tonale Passes. This</w:t></w:r>
</w:p>
<w:p>
<w:pPr><w:pStyle w:val="Normal"/></w:pPr>
<w:r><w:t xml:space="preserve">division includes the Adamello, Presanella, Brenta and Bergamasque</w:t></w:r>
</w:p>
<w:p>
<w:pPr><w:pStyle w:val="Normal"/></w:pPr>
<w:r><w:t xml:space="preserve">ranges.</w:t></w:r>
</w:p>
<w:p>
<w:pPr><w:pStyle w:val="Normal"/></w:pPr>
<w:r><w:t xml:space="preserve">Chief Peaks of the Lombard Alps.</w:t></w:r>
</w:p>
<w:p>
<w:pPr><w:pStyle w:val="Normal"/></w:pPr>
<w:r><w:t xml:space="preserve">Presanella. . . .  . . . . . . 11,694   Pizzo del Diavolo. . . . . . . . .9,564</w:t></w:r>
</w:p>
<w:p>
<w:pPr><w:pStyle w:val="Normal"/></w:pPr>
<w:r><w:t xml:space="preserve">Adamello . . . . . . . . . . . 11,661   Re di Castello. . . . . . . . .9,482</w:t></w:r>
</w:p>
<w:p>
<w:pPr><w:pStyle w:val="Normal"/></w:pPr>
<w:r><w:t xml:space="preserve">Care Alto . . . . . . . . . 11,369   Recastello . . . . . . . . . . . .9,475</w:t></w:r>
</w:p>
<w:p>
<w:pPr><w:pStyle w:val="Normal"/></w:pPr>
<w:r><w:t xml:space="preserve">Dosson di Genova . . . . . . . 11,254   Monte Gleno. . . . . . . . . . . .9,459</w:t></w:r>
</w:p>
<w:p>
<w:pPr><w:pStyle w:val="Normal"/></w:pPr>
<w:r><w:t xml:space="preserve">Crozzon di Lares . . . . . . . 11,004   Monte Tornello . . . . . . . . . .8,819</w:t></w:r>
</w:p>
<w:p>
<w:pPr><w:pStyle w:val="Normal"/></w:pPr>
<w:r><w:t xml:space="preserve">Corno di Baitone . . . . . . . 10,929   Corno Stella . . . . . . . . . . .8,596</w:t></w:r>
</w:p>
<w:p>
<w:pPr><w:pStyle w:val="Normal"/></w:pPr>
<w:r><w:t xml:space="preserve">Busazza. . . . . . . . . . . . 10,922   Monte Legnone. . . . . . . . . . .8,563</w:t></w:r>
</w:p>
<w:p>
<w:pPr><w:pStyle w:val="Normal"/></w:pPr>
<w:r><w:t xml:space="preserve">Lobliia Alta . . . . . . . . . 10,486   Pizzo dei Tre Signori. . . . . . .8,380</w:t></w:r>
</w:p>
<w:p>
<w:pPr><w:pStyle w:val="Normal"/></w:pPr>
<w:r><w:t xml:space="preserve">Cima Tosa (Brenta) . . . . . . 10,420   Pizzo di Presolana . . . . . . . .8,239</w:t></w:r>
</w:p>
<w:p>
<w:pPr><w:pStyle w:val="Normal"/></w:pPr>
<w:r><w:t xml:space="preserve">Cima di Brenta . . . . . . . . 10,352   Grigna . . . . . . . . . . . . . .7,907</w:t></w:r>
</w:p>
<w:p>
<w:pPr><w:pStyle w:val="Normal"/></w:pPr>
<w:r><w:t xml:space="preserve">Crozzon di Brenta. . . . . . . 10,247   Monte Baldo. . . . . . . . . . . .7,218</w:t></w:r>
</w:p>
<w:p>
<w:pPr><w:pStyle w:val="Normal"/></w:pPr>
<w:r><w:t xml:space="preserve">Pizzo di Coca (Bergamasque). . 10,014   Monte Spinale. . . . . . . . . . .7,094</w:t></w:r>
</w:p>
<w:p>
<w:pPr><w:pStyle w:val="Normal"/></w:pPr>
<w:r><w:t xml:space="preserve">Pizzo di Scais . . . . . . . . .9,974   Monte Gazza. . . . . . . . . . . .6,529</w:t></w:r>
</w:p>
<w:p>
<w:pPr><w:pStyle w:val="Normal"/></w:pPr>
<w:r><w:t xml:space="preserve">Pizzo di Redorta . . . . . . . .9,964   Monte Resegone . . . . . . . . . .6,155</w:t></w:r>
</w:p>
<w:p>
<w:pPr><w:pStyle w:val="Normal"/></w:pPr>
<w:r><w:t xml:space="preserve">Pietra Grande. . . . . . . . . .9,630</w:t></w:r>
</w:p>
<w:p>
<w:pPr><w:pStyle w:val="Normal"/></w:pPr>
<w:r><w:t xml:space="preserve">Chief Passes of the Lombard Alps.</w:t></w:r>
</w:p>
<w:p>
<w:pPr><w:pStyle w:val="Normal"/></w:pPr>
<w:r><w:t xml:space="preserve">Passo di Lares (Lares Glacier to the Lobbia Glacier), snow . . . . . . . 10,483</w:t></w:r>
</w:p>
<w:p>
<w:pPr><w:pStyle w:val="Normal"/></w:pPr>
<w:r><w:t xml:space="preserve">Passo di Cercen (gal di Genova to Fucine), snow. . . . . . . . . . . . . .9,984</w:t></w:r>
</w:p>
<w:p>
<w:pPr><w:pStyle w:val="Normal"/></w:pPr>
<w:r><w:t xml:space="preserve">Passo della Lobbia Alta (Lobbia Glacier to the Mandron</w:t></w:r>
</w:p>
<w:p>
<w:pPr><w:pStyle w:val="Normal"/></w:pPr>
<w:r><w:t xml:space="preserve">(Glacier), snow . . . . . . . . . . . . . . . . . . . . . . . . . . .9,961</w:t></w:r>
</w:p>
<w:p>
<w:pPr><w:pStyle w:val="Normal"/></w:pPr>
<w:r><w:t xml:space="preserve">Passo di Presena (Val di Genova to the Tonale Pass), snow. . . . . . . . .9,879</w:t></w:r>
</w:p>
<w:p>
<w:pPr><w:pStyle w:val="Normal"/></w:pPr>
<w:r><w:t xml:space="preserve">Pisgana f&apos;ass ()al di Genova to Ponte di Legno), snow . . . . . . . . .9,626</w:t></w:r>
</w:p>
<w:p>
<w:pPr><w:pStyle w:val="Normal"/></w:pPr>
<w:r><w:t xml:space="preserve">Bocca di Tuckett (Campiglio to Molveno), snow. . . . . . . . . . . . . . .8,714</w:t></w:r>
</w:p>
<w:p>
<w:pPr><w:pStyle w:val="Normal"/></w:pPr>
<w:r><w:t xml:space="preserve">Passo di Val Morta or del Diavolo (Val Seriana to Sondrio),</w:t></w:r>
</w:p>
<w:p>
<w:pPr><w:pStyle w:val="Normal"/></w:pPr>
<w:r><w:t xml:space="preserve">foot path . . . . . . . . . . . . . . . . . . . . . . . . . . . . . .8,534</w:t></w:r>
</w:p>
<w:p>
<w:pPr><w:pStyle w:val="Normal"/></w:pPr>
<w:r><w:t xml:space="preserve">Ulocca di Brenta (Pinzolo or Campiglio to Molveno), snow . . . . . . . . .8,376</w:t></w:r>
</w:p>
<w:p>
<w:pPr><w:pStyle w:val="Normal"/></w:pPr>
<w:r><w:t xml:space="preserve">Passo del Groste fcampiglio to Clesl, foot path . . . . . . . . . . . .8,006</w:t></w:r>
</w:p>
<w:p>
<w:pPr><w:pStyle w:val="Normal"/></w:pPr>
<w:r><w:t xml:space="preserve">Passo di Veniua (kal Brembana to Sondrio), foot path . . . . . . . . . . .7,983</w:t></w:r>
</w:p>
<w:p>
<w:pPr><w:pStyle w:val="Normal"/></w:pPr>
<w:r><w:t xml:space="preserve">Passo del Salro (Val Seriana to Sondrio), foot path. . . . . . . . . . . .7,937</w:t></w:r>
</w:p>
<w:p>
<w:pPr><w:pStyle w:val="Normal"/></w:pPr>
<w:r><w:t xml:space="preserve">Passo del Venerocolo (Val di Scalvc to the Aprica road),</w:t></w:r>
</w:p>
<w:p>
<w:pPr><w:pStyle w:val="Normal"/></w:pPr>
<w:r><w:t xml:space="preserve">bridle path.. . . . . . . . . . . . . . . . . . . . . . . . . . . . .7,595</w:t></w:r>
</w:p>
<w:p>
<w:pPr><w:pStyle w:val="Normal"/></w:pPr>
<w:r><w:t xml:space="preserve">Passo della Forcellina or di Campo (Cedegolo to the Val di</w:t></w:r>
</w:p>
<w:p>
<w:pPr><w:pStyle w:val="Normal"/></w:pPr>
<w:r><w:t xml:space="preserve">Fomo), foot path. . . . . . . . . . . . . . . . . . . . . . . . . . .7,507</w:t></w:r>
</w:p>
<w:p>
<w:pPr><w:pStyle w:val="Normal"/></w:pPr>
<w:r><w:t xml:space="preserve">V&apos;asso di Idordona (Val Brembana to Sondrio), foot path. . . . . . . . . .6,824</w:t></w:r>
</w:p>
<w:p>
<w:pPr><w:pStyle w:val="Normal"/></w:pPr>
<w:r><w:t xml:space="preserve">Passo di San Marco (Bergamo to Morbegno), bridle path. . . . . . . . . . .6,513</w:t></w:r>
</w:p>
<w:p>
<w:pPr><w:pStyle w:val="Normal"/></w:pPr>
<w:r><w:t xml:space="preserve">Croce Domini Pass (Breno to Bagolino in Val Caffaro), bridle</w:t></w:r>
</w:p>
<w:p>
<w:pPr><w:pStyle w:val="Normal"/></w:pPr>
<w:r><w:t xml:space="preserve">path. . . . . . . . . . . . . . . . . . . . . . . . . . . . . . . . .6,217</w:t></w:r>
</w:p>
<w:p>
<w:pPr><w:pStyle w:val="Normal"/></w:pPr>
<w:r><w:t xml:space="preserve">Tonale Tass (.Trent to Edolo), carriage road . . . . . . . . . . . . . . .6,181</w:t></w:r>
</w:p>
<w:p>
<w:pPr><w:pStyle w:val="Normal"/></w:pPr>
<w:r><w:t xml:space="preserve">Passo di Zovetto (Val di Scalve to Edolo), bridle path . . . . . . . . . .5,968</w:t></w:r>
</w:p>
<w:p>
<w:pPr><w:pStyle w:val="Normal"/></w:pPr>
<w:r><w:t xml:space="preserve">Colle Maniva (Val Trompia to Bagolino), bridle path. . . . . . . . . . . .5,476</w:t></w:r>
</w:p>
<w:p>
<w:pPr><w:pStyle w:val="Normal"/></w:pPr>
<w:r><w:t xml:space="preserve">Campo or Ginevrie Pass (Oimaro by Campiglio to Pinzolo),</w:t></w:r>
</w:p>
<w:p>
<w:pPr><w:pStyle w:val="Normal"/></w:pPr>
<w:r><w:t xml:space="preserve">carriage road. . . . . . . . . . . . . . . . . . . . . . . . . . . . .5,407</w:t></w:r>
</w:p>
<w:p>
<w:pPr><w:pStyle w:val="Normal"/></w:pPr>
<w:r><w:t xml:space="preserve">Ciampenjoch (Cles to Meran), foot path . . . . . . . . . . . . . . . . . .5,051</w:t></w:r>
</w:p>
<w:p>
<w:pPr><w:pStyle w:val="Normal"/></w:pPr>
<w:r><w:t xml:space="preserve">Mendel Pass (Botzen to Cles), railway on the E. slope. . . . . . . . . . .4,462</w:t></w:r>
</w:p>
<w:p>
<w:pPr><w:pStyle w:val="Normal"/></w:pPr>
<w:r><w:t xml:space="preserve">Passo di Castione or Presolana Pass (Clusone to the Val di</w:t></w:r>
</w:p>
<w:p>
<w:pPr><w:pStyle w:val="Normal"/></w:pPr>
<w:r><w:t xml:space="preserve">Scalve), carriage road . . . . . . . . . . . . . . . . . . . . . . . .4,219</w:t></w:r>
</w:p>
<w:p>
<w:pPr><w:pStyle w:val="Normal"/></w:pPr>
<w:r><w:t xml:space="preserve">Aprica Pass (Edolo to Tirano), carriage road . . . . . . . . . . . . . . .3,875</w:t></w:r>
</w:p>
<w:p>
<w:pPr><w:pStyle w:val="Normal"/></w:pPr>
<w:r><w:t xml:space="preserve">17. The Dolomites of South Tirol (from the Brenner Pass to the</w:t></w:r>
</w:p>
<w:p>
<w:pPr><w:pStyle w:val="Normal"/></w:pPr>
<w:r><w:t xml:space="preserve">Monte Croce Pass, and south of the Pusterthal).</w:t></w:r>
</w:p>
<w:p>
<w:pPr><w:pStyle w:val="Normal"/></w:pPr>
<w:r><w:t xml:space="preserve">Chief Peaks of the Dolomites of South Tirol.</w:t></w:r>
</w:p>
<w:p>
<w:pPr><w:pStyle w:val="Normal"/></w:pPr>
<w:r><w:t xml:space="preserve">Marmolata. . . . . . . . . . 10,972    Pala di San Martino. . . . . . . .9,831</w:t></w:r>
</w:p>
<w:p>
<w:pPr><w:pStyle w:val="Normal"/></w:pPr>
<w:r><w:t xml:space="preserve">Antelao. . . . . . . . . . . 10,706    Rosengartenspitze. . . . . . . . .9,781</w:t></w:r>
</w:p>
<w:p>
<w:pPr><w:pStyle w:val="Normal"/></w:pPr>
<w:r><w:t xml:space="preserve">Tofana di Mezzo. . . . . . . 10,633    Marmarole. . . . . . . . . . . . .9,715</w:t></w:r>
</w:p>
<w:p>
<w:pPr><w:pStyle w:val="Normal"/></w:pPr>
<w:r><w:t xml:space="preserve">Sorapiss . . . . . . . . . . 10,594    Cima di Fradusta . . . . . . . . .9,649</w:t></w:r>
</w:p>
<w:p>
<w:pPr><w:pStyle w:val="Normal"/></w:pPr>
<w:r><w:t xml:space="preserve">Monte Civetta .. . . . . . . 10,564    Fermedathurm . . . . . . . . . . .9,407</w:t></w:r>
</w:p>
<w:p>
<w:pPr><w:pStyle w:val="Normal"/></w:pPr>
<w:r><w:t xml:space="preserve">Vernel . . . . . . . . . . . 10,319    Cima d&apos;Asta. . . . . . . . . . . .9,344</w:t></w:r>
</w:p>
<w:p>
<w:pPr><w:pStyle w:val="Normal"/></w:pPr>
<w:r><w:t xml:space="preserve">Monte Cristallo. . . . . . . 10,496    Cima di Canali . . . . . . . . . .9,338</w:t></w:r>
</w:p>
<w:p>
<w:pPr><w:pStyle w:val="Normal"/></w:pPr>
<w:r><w:t xml:space="preserve">Cima di Vezzaoa. . . . . . . 10,470    Croda Grande . . . . . . . . . . .9,315</w:t></w:r>
</w:p>
<w:p>
<w:pPr><w:pStyle w:val="Normal"/></w:pPr>
<w:r><w:t xml:space="preserve">Cimon della Pala . . . . . . 10,453    Vajoletthurm (highest) . . . . . .9,256</w:t></w:r>
</w:p>
<w:p>
<w:pPr><w:pStyle w:val="Normal"/></w:pPr>
<w:r><w:t xml:space="preserve">Langkofel . . . . . .. . . . 10,427    Sass Maor. . . . . . . . . . . . .9,239</w:t></w:r>
</w:p>
<w:p>
<w:pPr><w:pStyle w:val="Normal"/></w:pPr>
<w:r><w:t xml:space="preserve">Pelmo . . . . . . . .. . . . 10,397    Cima di Ball . . . . . . . . . . .9,131</w:t></w:r>
</w:p>
<w:p>
<w:pPr><w:pStyle w:val="Normal"/></w:pPr>
<w:r><w:t xml:space="preserve">Dreischusterspitze . . . . . 10,375    Cima della Madonna</w:t></w:r>
</w:p>
<w:p>
<w:pPr><w:pStyle w:val="Normal"/></w:pPr>
<w:r><w:t xml:space="preserve">Boespitze . . . . . . . . 10,342       (Sass Maor) . . . . . . . . . .9,026</w:t></w:r>
</w:p>
<w:p>
<w:pPr><w:pStyle w:val="Normal"/></w:pPr>
<w:r><w:t xml:space="preserve">Croda Rossa (Hoher . . . . . 10,329    Rosetta. . . . . . . . . . . . . .8,993</w:t></w:r>
</w:p>
<w:p>
<w:pPr><w:pStyle w:val="Normal"/></w:pPr>
<w:r><w:t xml:space="preserve">Caisl)  . . . . . . . . 10,329    Croda da Lago. . . . . . . . . . .8,911</w:t></w:r>
</w:p>
<w:p>
<w:pPr><w:pStyle w:val="Normal"/></w:pPr>
<w:r><w:t xml:space="preserve">Piz Popena . . . . . . . . . 10,312    Central Grasleitenspitze . . . . .8,875</w:t></w:r>
</w:p>
<w:p>
<w:pPr><w:pStyle w:val="Normal"/></w:pPr>
<w:r><w:t xml:space="preserve">Elferkofel . . . . . . . . . 10,220    Schlern. . . . . . . . . . . . . .8,406</w:t></w:r>
</w:p>
<w:p>
<w:pPr><w:pStyle w:val="Normal"/></w:pPr>
<w:r><w:t xml:space="preserve">Grohmannspitze . . . . . . . 10,207    Sasso di Mur . . . . . . . . . . .8,380</w:t></w:r>
</w:p>
<w:p>
<w:pPr><w:pStyle w:val="Normal"/></w:pPr>
<w:r><w:t xml:space="preserve">Zwolferkofel. . . . . . . 10,142    Cima delle Dodici. . . . . . . . .7,671</w:t></w:r>
</w:p>
<w:p>
<w:pPr><w:pStyle w:val="Normal"/></w:pPr>
<w:r><w:t xml:space="preserve">Sass Rigais(Geislerspitzen). .9,932    Monte Pavione. . . . . . . . . . .7,664</w:t></w:r>
</w:p>
<w:p>
<w:pPr><w:pStyle w:val="Normal"/></w:pPr>
<w:r><w:t xml:space="preserve">Drei Zinnen  . . . . . . . . .9,853    Cima di Posta. . . . . . . . . . .7,333</w:t></w:r>
</w:p>
<w:p>
<w:pPr><w:pStyle w:val="Normal"/></w:pPr>
<w:r><w:t xml:space="preserve">Kesselkogel (Rosengarten). . .9,846    Monte Pasubio. . . . . . . . . . .7,323</w:t></w:r>
</w:p>
<w:p>
<w:pPr><w:pStyle w:val="Normal"/></w:pPr>
<w:r><w:t xml:space="preserve">Funffingerspitze. . . . . .9,833</w:t></w:r>
</w:p>
<w:p>
<w:pPr><w:pStyle w:val="Normal"/></w:pPr>
<w:r><w:t xml:space="preserve">Chief Passes of the Dolomites of South Tirol.</w:t></w:r>
</w:p>
<w:p>
<w:pPr><w:pStyle w:val="Normal"/></w:pPr>
<w:r><w:t xml:space="preserve">Passo d&apos; Ombretta (Campitello to Caprile), foot path . . . . . . . . . . .8,983</w:t></w:r>
</w:p>
<w:p>
<w:pPr><w:pStyle w:val="Normal"/></w:pPr>
<w:r><w:t xml:space="preserve">Langhofeljoch (Groden Valley to Campirello), foot path. . . . . . . . .8,803</w:t></w:r>
</w:p>
<w:p>
<w:pPr><w:pStyle w:val="Normal"/></w:pPr>
<w:r><w:t xml:space="preserve">Tschagerjoch (Karersee to the Vnjolet Glen), foot path . . . . . . . . . .8,675</w:t></w:r>
</w:p>
<w:p>
<w:pPr><w:pStyle w:val="Normal"/></w:pPr>
<w:r><w:t xml:space="preserve">Crasleiten Pass (Vniolet Glen to thegrasleiten Glen), foot path. . . . . .8,521</w:t></w:r>
</w:p>
<w:p>
<w:pPr><w:pStyle w:val="Normal"/></w:pPr>
<w:r><w:t xml:space="preserve">Passo di Pravitale (Rosetta Plateau to the Pravitale Glen),</w:t></w:r>
</w:p>
<w:p>
<w:pPr><w:pStyle w:val="Normal"/></w:pPr>
<w:r><w:t xml:space="preserve">foot path . . . . . . . . . . . . . . . . . . . . . . . . . . . . . .8,465</w:t></w:r>
</w:p>
<w:p>
<w:pPr><w:pStyle w:val="Normal"/></w:pPr>
<w:r><w:t xml:space="preserve">Passo delle Comelle (same to Cencenighe), foot path. . . . . . . . . . . .8,462</w:t></w:r>
</w:p>
<w:p>
<w:pPr><w:pStyle w:val="Normal"/></w:pPr>
<w:r><w:t xml:space="preserve">Passo della Rosetta (San Martino di Castrozza to the great</w:t></w:r>
</w:p>
<w:p>
<w:pPr><w:pStyle w:val="Normal"/></w:pPr>
<w:r><w:t xml:space="preserve">limestone Rosetta plateau), foot path.  . . . . . . . . . . . . . . .8,442</w:t></w:r>
</w:p>
<w:p>
<w:pPr><w:pStyle w:val="Normal"/></w:pPr>
<w:r><w:t xml:space="preserve">Vajolet Pass (Tiers to the Vajolet Glen), foot path. . . . . . . . . . . .8,363</w:t></w:r>
</w:p>
<w:p>
<w:pPr><w:pStyle w:val="Normal"/></w:pPr>
<w:r><w:t xml:space="preserve">Passo di Canali (Primiero to Agordo), foot path. . . . . . . . . . . . . .8,193</w:t></w:r>
</w:p>
<w:p>
<w:pPr><w:pStyle w:val="Normal"/></w:pPr>
<w:r><w:t xml:space="preserve">Tiersalpljochl (Campitello to&apos;I.iers), foot path. . . . . . . . . . . .8,055</w:t></w:r>
</w:p>
<w:p>
<w:pPr><w:pStyle w:val="Normal"/></w:pPr>
<w:r><w:t xml:space="preserve">Passo di Ball (San Martino di Castrozza to the Pravitale Glen),</w:t></w:r>
</w:p>
<w:p>
<w:pPr><w:pStyle w:val="Normal"/></w:pPr>
<w:r><w:t xml:space="preserve">foot path . . . . . . . . . . . . . . . . . . . . . . . . . . . . . .8,038</w:t></w:r>
</w:p>
<w:p>
<w:pPr><w:pStyle w:val="Normal"/></w:pPr>
<w:r><w:t xml:space="preserve">Forcella di Giralba (Sexte11 to Auronzo), foot path . . . . . . . . . .7,992</w:t></w:r>
</w:p>
<w:p>
<w:pPr><w:pStyle w:val="Normal"/></w:pPr>
<w:r><w:t xml:space="preserve">Col dei Bos (F.alzarego Glen to the Travernanzes GIen), foot</w:t></w:r>
</w:p>
<w:p>
<w:pPr><w:pStyle w:val="Normal"/></w:pPr>
<w:r><w:t xml:space="preserve">path. . . . . . . . . . . . . . . . . . . . . . . . . . . . . . . . .7,589</w:t></w:r>
</w:p>
<w:p>
<w:pPr><w:pStyle w:val="Normal"/></w:pPr>
<w:r><w:t xml:space="preserve">Forcella Grande (San Vito to Auronzo), foot path . . . . . . . . . . . . .7,422</w:t></w:r>
</w:p>
<w:p>
<w:pPr><w:pStyle w:val="Normal"/></w:pPr>
<w:r><w:t xml:space="preserve">Pordoi Pass (Caprile to Canipitello), carriage road. . . . . . . . . . . .7,382</w:t></w:r>
</w:p>
<w:p>
<w:pPr><w:pStyle w:val="Normal"/></w:pPr>
<w:r><w:t xml:space="preserve">Sellajoch (Groden Glen to Camphello), bridle path . . . . . . . . . . .7,277</w:t></w:r>
</w:p>
<w:p>
<w:pPr><w:pStyle w:val="Normal"/></w:pPr>
<w:r><w:t xml:space="preserve">Tre Sassi Pass (Cortina to St Cassian), foot path. . . . . . . . . . . . .7,215</w:t></w:r>
</w:p>
<w:p>
<w:pPr><w:pStyle w:val="Normal"/></w:pPr>
<w:r><w:t xml:space="preserve">Mahlknechtjoch (Upper Duron Glen to the Seiser Alp), foot path . . . . . .7,113</w:t></w:r>
</w:p>
<w:p>
<w:pPr><w:pStyle w:val="Normal"/></w:pPr>
<w:r><w:t xml:space="preserve">Grodenerjoch (Groden Glen to Colfuschg), bridle path . . . . . . . .7,011</w:t></w:r>
</w:p>
<w:p>
<w:pPr><w:pStyle w:val="Normal"/></w:pPr>
<w:r><w:t xml:space="preserve">Falzarego Pass (Caprile to Cortina), small carriage road . . . . . . . . .6,946</w:t></w:r>
</w:p>
<w:p>
<w:pPr><w:pStyle w:val="Normal"/></w:pPr>
<w:r><w:t xml:space="preserve">Fedaja Pass (Campitello to Caprile), bridle path . . . . . . . . . . . . .6,713</w:t></w:r>
</w:p>
<w:p>
<w:pPr><w:pStyle w:val="Normal"/></w:pPr>
<w:r><w:t xml:space="preserve">Passo di Valles (Paneveggio to Cencenighe), foot path. . . . . . . . . . .6,667</w:t></w:r>
</w:p>
<w:p>
<w:pPr><w:pStyle w:val="Normal"/></w:pPr>
<w:r><w:t xml:space="preserve">Rolle Pass (Predazzo to San Martino di Castrozza and</w:t></w:r>
</w:p>
<w:p>
<w:pPr><w:pStyle w:val="Normal"/></w:pPr>
<w:r><w:t xml:space="preserve">Primiero), carriage road . . . . . . . . . . . . . . . . . . . . . .6,509</w:t></w:r>
</w:p>
<w:p>
<w:pPr><w:pStyle w:val="Normal"/></w:pPr>
<w:r><w:t xml:space="preserve">Forcella Forada (Caprile to San Vito), bridle path . . . . . . . . . . . .6,480</w:t></w:r>
</w:p>
<w:p>
<w:pPr><w:pStyle w:val="Normal"/></w:pPr>
<w:r><w:t xml:space="preserve">Passo di San Pellegrino (Moena to Cencenighe), small carriage, path . .6,267</w:t></w:r>
</w:p>
<w:p>
<w:pPr><w:pStyle w:val="Normal"/></w:pPr>
<w:r><w:t xml:space="preserve">Forcella d&apos;Alleghe (Alleghe to the Zoldo Glen), foot path. . . . . . . . .5,971</w:t></w:r>
</w:p>
<w:p>
<w:pPr><w:pStyle w:val="Normal"/></w:pPr>
<w:r><w:t xml:space="preserve">Tre Croci Pass (Cortina to Auronzo), carriage road . . . . . . . . . . . .5,932</w:t></w:r>
</w:p>
<w:p>
<w:pPr><w:pStyle w:val="Normal"/></w:pPr>
<w:r><w:t xml:space="preserve">Karersee or Caressa Pass (WClschenofen to Vigo di Fassa),</w:t></w:r>
</w:p>
<w:p>
<w:pPr><w:pStyle w:val="Normal"/></w:pPr>
<w:r><w:t xml:space="preserve">Ndonte Croce Pass (Innichen and Sexten to the Piave Valley</w:t></w:r>
</w:p>
<w:p>
<w:pPr><w:pStyle w:val="Normal"/></w:pPr>
<w:r><w:t xml:space="preserve">and Belluno), carriage road . . . . . . . . . . . . . . . . . . . . .5,374</w:t></w:r>
</w:p>
<w:p>
<w:pPr><w:pStyle w:val="Normal"/></w:pPr>
<w:r><w:t xml:space="preserve">Ampezzo Pass (Toblach to Cortina and Belluno), carriage path . . . . . . .5,066</w:t></w:r>
</w:p>
<w:p>
<w:pPr><w:pStyle w:val="Normal"/></w:pPr>
<w:r><w:t xml:space="preserve">Cereda Pass (Primiero to Agordo), bridle path. . . . . . . . . . . . . . .4,501</w:t></w:r>
</w:p>
<w:p>
<w:pPr><w:pStyle w:val="Normal"/></w:pPr>
<w:r><w:t xml:space="preserve">Toblach Pass (Bruneck to Lienz), railway over. . . . . . . . . . . . . . .3,967</w:t></w:r>
</w:p>
<w:p>
<w:pPr><w:pStyle w:val="Normal"/></w:pPr>
<w:r><w:t xml:space="preserve">18. South-Eastern Alos (east of the Monte Croce Pass).  This</w:t></w:r>
</w:p>
<w:p>
<w:pPr><w:pStyle w:val="Normal"/></w:pPr>
<w:r><w:t xml:space="preserve">division includes three small groups, the J ulic, Carnic and Karawankas</w:t></w:r>
</w:p>
<w:p>
<w:pPr><w:pStyle w:val="Normal"/></w:pPr>
<w:r><w:t xml:space="preserve">Alps--each peak and pass being distinguished by one of the initial</w:t></w:r>
</w:p>
<w:p>
<w:pPr><w:pStyle w:val="Normal"/></w:pPr>
<w:r><w:t xml:space="preserve">letters ``J,&apos;&apos; ``C&apos;&apos; or ``K.&apos;&apos;</w:t></w:r>
</w:p>
<w:p>
<w:pPr><w:pStyle w:val="Normal"/></w:pPr>
<w:r><w:t xml:space="preserve">Chief Peaks of the South-Eastern Alps.</w:t></w:r>
</w:p>
<w:p>
<w:pPr><w:pStyle w:val="Normal"/></w:pPr>
<w:r><w:t xml:space="preserve">Terglou or Triglav (J) . . . . 9,400    Monte Cridola (C). . . . . . . . .8,468</w:t></w:r>
</w:p>
<w:p>
<w:pPr><w:pStyle w:val="Normal"/></w:pPr>
<w:r><w:t xml:space="preserve">Monte Coglians (C) . . . . . . 9,128    Grintovc (K) . . . . . . . . . . .8,429</w:t></w:r>
</w:p>
<w:p>
<w:pPr><w:pStyle w:val="Normal"/></w:pPr>
<w:r><w:t xml:space="preserve">Kellerwand (C) . . . . . . . . 9,105    Prestrelenik (J) . . . . . . . . .8,202</w:t></w:r>
</w:p>
<w:p>
<w:pPr><w:pStyle w:val="Normal"/></w:pPr>
<w:r><w:t xml:space="preserve">Jof del Montasio (J) . . . . . 9,039    Monte Cavallo (C). . . . . . . . .7,386</w:t></w:r>
</w:p>
<w:p>
<w:pPr><w:pStyle w:val="Normal"/></w:pPr>
<w:r><w:t xml:space="preserve">Cima dei Preti (C) . . . . . . 8,868    Krn (J). . . . . . . . . . . . . .7,369</w:t></w:r>
</w:p>
<w:p>
<w:pPr><w:pStyle w:val="Normal"/></w:pPr>
<w:r><w:t xml:space="preserve">Monte Paralba (C). . . . . . . 8,829    Stou (K) . . . . . . . . . . . . .7,346</w:t></w:r>
</w:p>
<w:p>
<w:pPr><w:pStyle w:val="Normal"/></w:pPr>
<w:r><w:t xml:space="preserve">Manhart (J). . . . . . . . . . 8,786    Dobratsch (C). . . . . . . . . . .7,120</w:t></w:r>
</w:p>
<w:p>
<w:pPr><w:pStyle w:val="Normal"/></w:pPr>
<w:r><w:t xml:space="preserve">Jalouc (J) . . . . . . . . . . 8,711    Velka Kappa (K). . . . . . . . . .5,059</w:t></w:r>
</w:p>
<w:p>
<w:pPr><w:pStyle w:val="Normal"/></w:pPr>
<w:r><w:t xml:space="preserve">Monte Canin (J). . . . . . . . 8,471</w:t></w:r>
</w:p>
<w:p>
<w:pPr><w:pStyle w:val="Normal"/></w:pPr>
<w:r><w:t xml:space="preserve">Chief Passes of the South-Eastern Alps.</w:t></w:r>
</w:p>
<w:p>
<w:pPr><w:pStyle w:val="Normal"/></w:pPr>
<w:r><w:t xml:space="preserve">Oefnerjoch (Forno Avoltri to St Lorenzen in the Gail Valley),</w:t></w:r>
</w:p>
<w:p>
<w:pPr><w:pStyle w:val="Normal"/></w:pPr>
<w:r><w:t xml:space="preserve">foot path (C). . . . . . . . . . . . . . . . . . . . . . . . . . . . .7,550</w:t></w:r>
</w:p>
<w:p>
<w:pPr><w:pStyle w:val="Normal"/></w:pPr>
<w:r><w:t xml:space="preserve">Wolayer Pass (same to Mauthen), foot path (C). . . . . . . . . . . . . . .6,306</w:t></w:r>
</w:p>
<w:p>
<w:pPr><w:pStyle w:val="Normal"/></w:pPr>
<w:r><w:t xml:space="preserve">Loibl Pass (Klagenfurt to Laibach), carriage road (K). . . . . . . . . . .4,495</w:t></w:r>
</w:p>
<w:p>
<w:pPr><w:pStyle w:val="Normal"/></w:pPr>
<w:r><w:t xml:space="preserve">Plocken Pass (.Tolmezzo to Mauthen), bridle path (C). . . . . . . . . .4,462</w:t></w:r>
</w:p>
<w:p>
<w:pPr><w:pStyle w:val="Normal"/></w:pPr>
<w:r><w:t xml:space="preserve">Predil Pass (Villach by d&apos;arvis and Flitsch to Gorz), carriage road (J)3,183</w:t></w:r>
</w:p>
<w:p>
<w:pPr><w:pStyle w:val="Normal"/></w:pPr>
<w:r><w:t xml:space="preserve">Birnbaumerwald (Laibach to Gorz), carriage road (J) . . . . . . . . . .2,897</w:t></w:r>
</w:p>
<w:p>
<w:pPr><w:pStyle w:val="Normal"/></w:pPr>
<w:r><w:t xml:space="preserve">Saifnitz or Pontebba Pass (Villach by Tarvis and Pontebba</w:t></w:r>
</w:p>
<w:p>
<w:pPr><w:pStyle w:val="Normal"/></w:pPr>
<w:r><w:t xml:space="preserve">to Udine), railway . . . . . . . . . . . . . . . . . . . . . . . . . .2,615</w:t></w:r>
</w:p>
<w:p>
<w:pPr><w:pStyle w:val="Normal"/></w:pPr>
<w:r><w:t xml:space="preserve">Political History and Modern State of the Inhabitants</w:t></w:r>
</w:p>
<w:p>
<w:pPr><w:pStyle w:val="Normal"/></w:pPr>
<w:r><w:t xml:space="preserve">of the Alps.--We know practically nothing of the early</w:t></w:r>
</w:p>
<w:p>
<w:pPr><w:pStyle w:val="Normal"/></w:pPr>
<w:r><w:t xml:space="preserve">dwellers in the Alps, save from the scanty acocunts preserved</w:t></w:r>
</w:p>
<w:p>
<w:pPr><w:pStyle w:val="Normal"/></w:pPr>
<w:r><w:t xml:space="preserve">to us by Roman and Greek historians and geographers.  A few</w:t></w:r>
</w:p>
<w:p>
<w:pPr><w:pStyle w:val="Normal"/></w:pPr>
<w:r><w:t xml:space="preserve">details have come down to us of the conquest of many of the</w:t></w:r>
</w:p>
<w:p>
<w:pPr><w:pStyle w:val="Normal"/></w:pPr>
<w:r><w:t xml:space="preserve">Alpine tribes by Augustus, though not much more than their</w:t></w:r>
</w:p>
<w:p>
<w:pPr><w:pStyle w:val="Normal"/></w:pPr>
<w:r><w:t xml:space="preserve">names.  The successive emigrations and occupation of the</w:t></w:r>
</w:p>
<w:p>
<w:pPr><w:pStyle w:val="Normal"/></w:pPr>
<w:r><w:t xml:space="preserve">Alpine region by divers Teutonic tribes from the 5th to the</w:t></w:r>
</w:p>
<w:p>
<w:pPr><w:pStyle w:val="Normal"/></w:pPr>
<w:r><w:t xml:space="preserve">6th centuries are, too, known to us only in outline, while to</w:t></w:r>
</w:p>
<w:p>
<w:pPr><w:pStyle w:val="Normal"/></w:pPr>
<w:r><w:t xml:space="preserve">them, as to the Frankish kings and emperors, the Alps offered</w:t></w:r>
</w:p>
<w:p>
<w:pPr><w:pStyle w:val="Normal"/></w:pPr>
<w:r><w:t xml:space="preserve">a route from one place to another rather than a permanent</w:t></w:r>
</w:p>
<w:p>
<w:pPr><w:pStyle w:val="Normal"/></w:pPr>
<w:r><w:t xml:space="preserve">residence.  It is not till the final break up of the Carolingian</w:t></w:r>
</w:p>
<w:p>
<w:pPr><w:pStyle w:val="Normal"/></w:pPr>
<w:r><w:t xml:space="preserve">empire in the 10th and 11th centuries that it becomes possible</w:t></w:r>
</w:p>
<w:p>
<w:pPr><w:pStyle w:val="Normal"/></w:pPr>
<w:r><w:t xml:space="preserve">to trace out the local history of different parts of the Alps.</w:t></w:r>
</w:p>
<w:p>
<w:pPr><w:pStyle w:val="Normal"/></w:pPr>
<w:r><w:t xml:space="preserve">In the case of the Western Alps (minus the bit from the chain</w:t></w:r>
</w:p>
<w:p>
<w:pPr><w:pStyle w:val="Normal"/></w:pPr>
<w:r><w:t xml:space="preserve">of Mont Blanc to the Simplon, which followed the fortunes of</w:t></w:r>
</w:p>
<w:p>
<w:pPr><w:pStyle w:val="Normal"/></w:pPr>
<w:r><w:t xml:space="preserve">the Valais), a prolonged struggle for the Alpine region took</w:t></w:r>
</w:p>
<w:p>
<w:pPr><w:pStyle w:val="Normal"/></w:pPr>
<w:r><w:t xml:space="preserve">place between the feudal lords of Savoy, the Dauphine and</w:t></w:r>
</w:p>
<w:p>
<w:pPr><w:pStyle w:val="Normal"/></w:pPr>
<w:r><w:t xml:space="preserve">Provence.  In 1349 the Dauphine fell to France, while in</w:t></w:r>
</w:p>
<w:p>
<w:pPr><w:pStyle w:val="Normal"/></w:pPr>
<w:r><w:t xml:space="preserve">1388 the country of Nice passed from Provence to the house</w:t></w:r>
</w:p>
<w:p>
<w:pPr><w:pStyle w:val="Normal"/></w:pPr>
<w:r><w:t xml:space="preserve">of Savoy, which too held Piedmont as well as other lands</w:t></w:r>
</w:p>
<w:p>
<w:pPr><w:pStyle w:val="Normal"/></w:pPr>
<w:r><w:t xml:space="preserve">on the Italian side of the Alps.  The struggle henceforth</w:t></w:r>
</w:p>
<w:p>
<w:pPr><w:pStyle w:val="Normal"/></w:pPr>
<w:r><w:t xml:space="preserve">was limited to France and the house of Savoy, but little by</w:t></w:r>
</w:p>
<w:p>
<w:pPr><w:pStyle w:val="Normal"/></w:pPr>
<w:r><w:t xml:space="preserve">France succeeded in pushing back the house of Savoy across the</w:t></w:r>
</w:p>
<w:p>
<w:pPr><w:pStyle w:val="Normal"/></w:pPr>
<w:r><w:t xml:space="preserve">Alps, thus forcing it to become a purely Italian power.  One</w:t></w:r>
</w:p>
<w:p>
<w:pPr><w:pStyle w:val="Normal"/></w:pPr>
<w:r><w:t xml:space="preserve">turning-point in the rivalry was the treaty of Utrecht (1713),</w:t></w:r>
</w:p>
<w:p>
<w:pPr><w:pStyle w:val="Normal"/></w:pPr>
<w:r><w:t xml:space="preserve">by which France gave up to Savoy the districts (all forming</w:t></w:r>
</w:p>
<w:p>
<w:pPr><w:pStyle w:val="Heading1"/></w:pPr>
<w:r><w:t>part of the Dauphine, and lying on the Italian slope of the</w:t></w:r>
</w:p>
<w:p>
<w:pPr><w:pStyle w:val="Normal"/></w:pPr>
<w:r><w:t xml:space="preserve">Alps) of Exilles, Bardonneche, Oulx, U.enestrelles, and</w:t></w:r>
</w:p>
<w:p>
<w:pPr><w:pStyle w:val="Normal"/></w:pPr>
<w:r><w:t xml:space="preserve">Chatean Dauphin, while Savoy handed over to France the valley</w:t></w:r>
</w:p>
<w:p>
<w:pPr><w:pStyle w:val="Normal"/></w:pPr>
<w:r><w:t xml:space="preserve">of Barcelonnette, situated on the western slope of the Alps</w:t></w:r>
</w:p>
<w:p>
<w:pPr><w:pStyle w:val="Normal"/></w:pPr>
<w:r><w:t xml:space="preserve">and forming part of the county of Nice.  The final act in the</w:t></w:r>
</w:p>
<w:p>
<w:pPr><w:pStyle w:val="Normal"/></w:pPr>
<w:r><w:t xml:space="preserve">long-continued struggle took place in 1860, when France obtained</w:t></w:r>
</w:p>
<w:p>
<w:pPr><w:pStyle w:val="Normal"/></w:pPr>
<w:r><w:t xml:space="preserve">by cession the rest of the county of Nice and also Savoy,</w:t></w:r>
</w:p>
<w:p>
<w:pPr><w:pStyle w:val="Normal"/></w:pPr>
<w:r><w:t xml:space="preserve">thus remaining sole mistress on the western slope of the Alps.</w:t></w:r>
</w:p>
<w:p>
<w:pPr><w:pStyle w:val="Normal"/></w:pPr>
<w:r><w:t xml:space="preserve">In the Central Alps the chief event, on the northern side of</w:t></w:r>
</w:p>
<w:p>
<w:pPr><w:pStyle w:val="Normal"/></w:pPr>
<w:r><w:t xml:space="preserve">the chain, is the gradual formation from 1291 to 1815 of the</w:t></w:r>
</w:p>
<w:p>
<w:pPr><w:pStyle w:val="Normal"/></w:pPr>
<w:r><w:t xml:space="preserve">Swiss Confederation, at least so far as regards the mountain</w:t></w:r>
</w:p>
<w:p>
<w:pPr><w:pStyle w:val="Normal"/></w:pPr>
<w:r><w:t xml:space="preserve">Cantons, and with especial reference to the independent</w:t></w:r>
</w:p>
<w:p>
<w:pPr><w:pStyle w:val="Normal"/></w:pPr>
<w:r><w:t xml:space="preserve">confederations of the Grisons and the Valais, which only</w:t></w:r>
</w:p>
<w:p>
<w:pPr><w:pStyle w:val="Normal"/></w:pPr>
<w:r><w:t xml:space="preserve">became full members of the Confederation in 1803 and 1815</w:t></w:r>
</w:p>
<w:p>
<w:pPr><w:pStyle w:val="Normal"/></w:pPr>
<w:r><w:t xml:space="preserve">respectively.  The attraction of the south was too strong</w:t></w:r>
</w:p>
<w:p>
<w:pPr><w:pStyle w:val="Normal"/></w:pPr>
<w:r><w:t xml:space="preserve">for both the Forest Cantons and the Grisons, so that both</w:t></w:r>
</w:p>
<w:p>
<w:pPr><w:pStyle w:val="Normal"/></w:pPr>
<w:r><w:t xml:space="preserve">tried to secure, and actually did secure, various bits of the</w:t></w:r>
</w:p>
<w:p>
<w:pPr><w:pStyle w:val="Normal"/></w:pPr>
<w:r><w:t xml:space="preserve">Milanese.  The former, in the 15th century, won the Val</w:t></w:r>
</w:p>
<w:p>
<w:pPr><w:pStyle w:val="Normal"/></w:pPr>
<w:r><w:t xml:space="preserve">Leventina (down which the St Gotthard train now thunders)</w:t></w:r>
</w:p>
<w:p>
<w:pPr><w:pStyle w:val="Normal"/></w:pPr>
<w:r><w:t xml:space="preserve">as well as Bellinzona and the Val Blenio (though the Ossola</w:t></w:r>
</w:p>
<w:p>
<w:pPr><w:pStyle w:val="Normal"/></w:pPr>
<w:r><w:t xml:space="preserve">Valley was held for a time only), while the latter added to</w:t></w:r>
</w:p>
<w:p>
<w:pPr><w:pStyle w:val="Normal"/></w:pPr>
<w:r><w:t xml:space="preserve">the Val Bregaglia (which had been given to the bishop of Coire</w:t></w:r>
</w:p>
<w:p>
<w:pPr><w:pStyle w:val="Normal"/></w:pPr>
<w:r><w:t xml:space="preserve">in 960 by the emperor Otto I.) the valleys of Mesocco and of</w:t></w:r>
</w:p>
<w:p>
<w:pPr><w:pStyle w:val="Normal"/></w:pPr>
<w:r><w:t xml:space="preserve">Poschiavo.  Further, in 1512, the Swiss Confederation as a</w:t></w:r>
</w:p>
<w:p>
<w:pPr><w:pStyle w:val="Normal"/></w:pPr>
<w:r><w:t xml:space="preserve">whole won the valleys of Locarno with Lugano, which, combined</w:t></w:r>
</w:p>
<w:p>
<w:pPr><w:pStyle w:val="Normal"/></w:pPr>
<w:r><w:t xml:space="preserve">with the 15th century conquests by the Forest Cantons, were</w:t></w:r>
</w:p>
<w:p>
<w:pPr><w:pStyle w:val="Normal"/></w:pPr>
<w:r><w:t xml:space="preserve">formed in 1803 into the new Canton of Ticino or Tessin.  On</w:t></w:r>
</w:p>
<w:p>
<w:pPr><w:pStyle w:val="Normal"/></w:pPr>
<w:r><w:t xml:space="preserve">the other hand, the Grisons won in 1512 the Valtellina, with</w:t></w:r>
</w:p>
<w:p>
<w:pPr><w:pStyle w:val="Normal"/></w:pPr>
<w:r><w:t xml:space="preserve">Bormio and Chiavenna, but in 1797 these regions were finally</w:t></w:r>
</w:p>
<w:p>
<w:pPr><w:pStyle w:val="Normal"/></w:pPr>
<w:r><w:t xml:space="preserve">lost to it as well as to the Swiss Confederation, though</w:t></w:r>
</w:p>
<w:p>
<w:pPr><w:pStyle w:val="Normal"/></w:pPr>
<w:r><w:t xml:space="preserve">the Grisons retained the valleys of Mesocco, Bregaglia and</w:t></w:r>
</w:p>
<w:p>
<w:pPr><w:pStyle w:val="Normal"/></w:pPr>
<w:r><w:t xml:space="preserve">Poschiavo, while in 1762 it had bought the upper bit of the</w:t></w:r>
</w:p>
<w:p>
<w:pPr><w:pStyle w:val="Normal"/></w:pPr>
<w:r><w:t xml:space="preserve">valley of Munster that lies on the southern slope of the Alps.</w:t></w:r>
</w:p>
<w:p>
<w:pPr><w:pStyle w:val="Normal"/></w:pPr>
<w:r><w:t xml:space="preserve">In the Eastern Alps the political history is almost</w:t></w:r>
</w:p>
<w:p>
<w:pPr><w:pStyle w:val="Normal"/></w:pPr>
<w:r><w:t xml:space="preserve">monotonous, for it relates simply to the advance or retreat</w:t></w:r>
</w:p>
<w:p>
<w:pPr><w:pStyle w:val="Normal"/></w:pPr>
<w:r><w:t xml:space="preserve">of the house of Habsburg, which still holds all but the</w:t></w:r>
</w:p>
<w:p>
<w:pPr><w:pStyle w:val="Normal"/></w:pPr>
<w:r><w:t xml:space="preserve">whole of the northern portion (the exception is the small</w:t></w:r>
</w:p>
<w:p>
<w:pPr><w:pStyle w:val="Normal"/></w:pPr>
<w:r><w:t xml:space="preserve">bit in the north-west that belongs to Bavaria) of that</w:t></w:r>
</w:p>
<w:p>
<w:pPr><w:pStyle w:val="Normal"/></w:pPr>
<w:r><w:t xml:space="preserve">region.  The Habsburgers, whose original home was in the</w:t></w:r>
</w:p>
<w:p>
<w:pPr><w:pStyle w:val="Normal"/></w:pPr>
<w:r><w:t xml:space="preserve">lower valley of the Aar, where still stand the ruins of their</w:t></w:r>
</w:p>
<w:p>
<w:pPr><w:pStyle w:val="Normal"/></w:pPr>
<w:r><w:t xml:space="preserve">ancestral castle, lost that district to the Swiss in 1415,</w:t></w:r>
</w:p>
<w:p>
<w:pPr><w:pStyle w:val="Normal"/></w:pPr>
<w:r><w:t xml:space="preserve">as they had previously lost various other bits of what is now</w:t></w:r>
</w:p>
<w:p>
<w:pPr><w:pStyle w:val="Normal"/></w:pPr>
<w:r><w:t xml:space="preserve">Switzerland.  But they received a rich compensation in the</w:t></w:r>
</w:p>
<w:p>
<w:pPr><w:pStyle w:val="Normal"/></w:pPr>
<w:r><w:t xml:space="preserve">Eastern Alps (not to speak of the imperial crown), for they</w:t></w:r>
</w:p>
<w:p>
<w:pPr><w:pStyle w:val="Normal"/></w:pPr>
<w:r><w:t xml:space="preserve">there gathered in the harvest that numerous minor dynasties</w:t></w:r>
</w:p>
<w:p>
<w:pPr><w:pStyle w:val="Normal"/></w:pPr>
<w:r><w:t xml:space="preserve">had prepared for them, albeit unconsciously.  Thus they won the</w:t></w:r>
</w:p>
<w:p>
<w:pPr><w:pStyle w:val="Normal"/></w:pPr>
<w:r><w:t xml:space="preserve">duchy of Austria with Styria in 1282, Carinthia and Carniola in</w:t></w:r>
</w:p>
<w:p>
<w:pPr><w:pStyle w:val="Normal"/></w:pPr>
<w:r><w:t xml:space="preserve">1335, Tirol in 1363, and the Vorarlberg in bits from 1375 to</w:t></w:r>
</w:p>
<w:p>
<w:pPr><w:pStyle w:val="Normal"/></w:pPr>
<w:r><w:t xml:space="preserve">1523, not to speak of minor ``rectifications&apos;&apos; of frontiers</w:t></w:r>
</w:p>
<w:p>
<w:pPr><w:pStyle w:val="Normal"/></w:pPr>
<w:r><w:t xml:space="preserve">on the northern slope of the Alps.  But on the other slope</w:t></w:r>
</w:p>
<w:p>
<w:pPr><w:pStyle w:val="Normal"/></w:pPr>
<w:r><w:t xml:space="preserve">their progress was slower, and finally less successful.</w:t></w:r>
</w:p>
<w:p>
<w:pPr><w:pStyle w:val="Normal"/></w:pPr>
<w:r><w:t xml:space="preserve">It is true that they early won Primiero (1373), as well as</w:t></w:r>
</w:p>
<w:p>
<w:pPr><w:pStyle w:val="Normal"/></w:pPr>
<w:r><w:t xml:space="preserve">(1517) the Ampezzo Valley and several towns to the south of</w:t></w:r>
</w:p>
<w:p>
<w:pPr><w:pStyle w:val="Normal"/></w:pPr>
<w:r><w:t xml:space="preserve">Trent.  In 1797 they obtained Venetia proper, in 1803 the</w:t></w:r>
</w:p>
<w:p>
<w:pPr><w:pStyle w:val="Normal"/></w:pPr>
<w:r><w:t xml:space="preserve">secularized bishoprics of Trent and Briken (as well as that of</w:t></w:r>
</w:p>
<w:p>
<w:pPr><w:pStyle w:val="Normal"/></w:pPr>
<w:r><w:t xml:space="preserve">Salzburg, more to the north), besides the Valtellina region,</w:t></w:r>
</w:p>
<w:p>
<w:pPr><w:pStyle w:val="Normal"/></w:pPr>
<w:r><w:t xml:space="preserve">and in 1815 the Bergamasque valleys, while the Milanese had</w:t></w:r>
</w:p>
<w:p>
<w:pPr><w:pStyle w:val="Normal"/></w:pPr>
<w:r><w:t xml:space="preserve">belonged to them since 1535.  But, as is well known, in 1859</w:t></w:r>
</w:p>
<w:p>
<w:pPr><w:pStyle w:val="Normal"/></w:pPr>
<w:r><w:t xml:space="preserve">they lost to the house of Savoy both the Milanese and the</w:t></w:r>
</w:p>
<w:p>
<w:pPr><w:pStyle w:val="Normal"/></w:pPr>
<w:r><w:t xml:space="preserve">Bergamasca, and in 1866 Venetia proper also, so that the Trentino</w:t></w:r>
</w:p>
<w:p>
<w:pPr><w:pStyle w:val="Normal"/></w:pPr>
<w:r><w:t xml:space="preserve">is now their chief possession on the southern slope of the</w:t></w:r>
</w:p>
<w:p>
<w:pPr><w:pStyle w:val="Normal"/></w:pPr>
<w:r><w:t xml:space="preserve">Alps.  The gain of the Milanese in 1859 by the future king of</w:t></w:r>
</w:p>
<w:p>
<w:pPr><w:pStyle w:val="Normal"/></w:pPr>
<w:r><w:t xml:space="preserve">Italy (1861) meant that Italy then won the valley of Livigno</w:t></w:r>
</w:p>
<w:p>
<w:pPr><w:pStyle w:val="Normal"/></w:pPr>
<w:r><w:t xml:space="preserve">(between the Upper Engadine and Bormio), which is the only</w:t></w:r>
</w:p>
<w:p>
<w:pPr><w:pStyle w:val="Normal"/></w:pPr>
<w:r><w:t xml:space="preserve">important bit it holds on the non-Italian slope of the Alps,</w:t></w:r>
</w:p>
<w:p>
<w:pPr><w:pStyle w:val="Normal"/></w:pPr>
<w:r><w:t xml:space="preserve">besides the county of Tenda (obtained in 1575, and not lost</w:t></w:r>
</w:p>
<w:p>
<w:pPr><w:pStyle w:val="Normal"/></w:pPr>
<w:r><w:t xml:space="preserve">in 1860), with the heads of certain glens in the Maritime</w:t></w:r>
</w:p>
<w:p>
<w:pPr><w:pStyle w:val="Normal"/></w:pPr>
<w:r><w:t xml:space="preserve">Alps, reserved in 1860 for reasons connected with hunting.</w:t></w:r>
</w:p>
<w:p>
<w:pPr><w:pStyle w:val="Normal"/></w:pPr>
<w:r><w:t xml:space="preserve">Thus the Alpine states (Italy, Switzerland and Austria), other</w:t></w:r>
</w:p>
<w:p>
<w:pPr><w:pStyle w:val="Normal"/></w:pPr>
<w:r><w:t xml:space="preserve">than France and Bavaria, hold bits of territory on the slope</w:t></w:r>
</w:p>
<w:p>
<w:pPr><w:pStyle w:val="Normal"/></w:pPr>
<w:r><w:t xml:space="preserve">of the Alps where one would not expect to find them Roughly</w:t></w:r>
</w:p>
<w:p>
<w:pPr><w:pStyle w:val="Normal"/></w:pPr>
<w:r><w:t xml:space="preserve">speaking, in each of these five lands the Alpine population</w:t></w:r>
</w:p>
<w:p>
<w:pPr><w:pStyle w:val="Normal"/></w:pPr>
<w:r><w:t xml:space="preserve">speaks the tongue of the country, though in Italy there are a</w:t></w:r>
</w:p>
<w:p>
<w:pPr><w:pStyle w:val="Normal"/></w:pPr>
<w:r><w:t xml:space="preserve">few French-speaking districts (the Waldensian valleys as well</w:t></w:r>
</w:p>
<w:p>
<w:pPr><w:pStyle w:val="Normal"/></w:pPr>
<w:r><w:t xml:space="preserve">as the Aosta and Oulx valleys) as well as some German-speaking</w:t></w:r>
</w:p>
<w:p>
<w:pPr><w:pStyle w:val="Normal"/></w:pPr>
<w:r><w:t xml:space="preserve">and Ladin-speaking settlements.  In Switzerland there are</w:t></w:r>
</w:p>
<w:p>
<w:pPr><w:pStyle w:val="Normal"/></w:pPr>
<w:r><w:t xml:space="preserve">Italian-speaking regions, as well as some spots (in the</w:t></w:r>
</w:p>
<w:p>
<w:pPr><w:pStyle w:val="Normal"/></w:pPr>
<w:r><w:t xml:space="preserve">Grisons) where the old Romance dialect of Romansch or Ladin</w:t></w:r>
</w:p>
<w:p>
<w:pPr><w:pStyle w:val="Normal"/></w:pPr>
<w:r><w:t xml:space="preserve">survives; while in Austria, besides German, Italian and Ladin,</w:t></w:r>
</w:p>
<w:p>
<w:pPr><w:pStyle w:val="Normal"/></w:pPr>
<w:r><w:t xml:space="preserve">we have a Slavonic-speaking population in the South-Eastern</w:t></w:r>
</w:p>
<w:p>
<w:pPr><w:pStyle w:val="Normal"/></w:pPr>
<w:r><w:t xml:space="preserve">Alps.  The highest permanently inhabited village in the</w:t></w:r>
</w:p>
<w:p>
<w:pPr><w:pStyle w:val="Normal"/></w:pPr>
<w:r><w:t xml:space="preserve">Alps is Juf, 6998 ft. (Grisons); while in the French Alps,</w:t></w:r>
</w:p>
<w:p>
<w:pPr><w:pStyle w:val="Normal"/></w:pPr>
<w:r><w:t xml:space="preserve">L&apos;Ecot, 6713 ft. (Savoy), and St Veran, 6726 ft. (Dauphine),</w:t></w:r>
</w:p>
<w:p>
<w:pPr><w:pStyle w:val="Normal"/></w:pPr>
<w:r><w:t xml:space="preserve">are rivals; the Italian Alps boast of Trepalle, 6788 ft.</w:t></w:r>
</w:p>
<w:p>
<w:pPr><w:pStyle w:val="Normal"/></w:pPr>
<w:r><w:t xml:space="preserve">(between Livigno and Bormio), and the Tirolese Alps of Ober</w:t></w:r>
</w:p>
<w:p>
<w:pPr><w:pStyle w:val="Normal"/></w:pPr>
<w:r><w:t xml:space="preserve">Gurgl, 6322 ft., and Fend, 6211 ft. (both in the Oetzthal).</w:t></w:r>
</w:p>
<w:p>
<w:pPr><w:pStyle w:val="Normal"/></w:pPr>
<w:r><w:t xml:space="preserve">8. Exploration of the High Alps.---The higher region of</w:t></w:r>
</w:p>
<w:p>
<w:pPr><w:pStyle w:val="Normal"/></w:pPr>
<w:r><w:t xml:space="preserve">the Alps were long left to the exclusive attention of the</w:t></w:r>
</w:p>
<w:p>
<w:pPr><w:pStyle w:val="Normal"/></w:pPr>
<w:r><w:t xml:space="preserve">men of the adjoining valleys, even when Alpine travellers</w:t></w:r>
</w:p>
<w:p>
<w:pPr><w:pStyle w:val="Normal"/></w:pPr>
<w:r><w:t xml:space="preserve">(as distinguished from Alpine climbers) began to visit these</w:t></w:r>
</w:p>
<w:p>
<w:pPr><w:pStyle w:val="Normal"/></w:pPr>
<w:r><w:t xml:space="preserve">valleys.  It is reckcned that about 20 glacier passes were</w:t></w:r>
</w:p>
<w:p>
<w:pPr><w:pStyle w:val="Normal"/></w:pPr>
<w:r><w:t xml:space="preserve">certainly known before 1600. about 25 more before 1700, and</w:t></w:r>
</w:p>
<w:p>
<w:pPr><w:pStyle w:val="Normal"/></w:pPr>
<w:r><w:t xml:space="preserve">yet another score before 1800; but though the attempt of</w:t></w:r>
</w:p>
<w:p>
<w:pPr><w:pStyle w:val="Normal"/></w:pPr>
<w:r><w:t xml:space="preserve">P. A. Arnod (an official of the duchy of Aosta) in 1689 to</w:t></w:r>
</w:p>
<w:p>
<w:pPr><w:pStyle w:val="Normal"/></w:pPr>
<w:r><w:t xml:space="preserve">``re-open&apos;&apos; the Col du Ceant may be counted as made by a</w:t></w:r>
</w:p>
<w:p>
<w:pPr><w:pStyle w:val="Normal"/></w:pPr>
<w:r><w:t xml:space="preserve">non-native, we do not come upon another case of the kind till</w:t></w:r>
</w:p>
<w:p>
<w:pPr><w:pStyle w:val="Normal"/></w:pPr>
<w:r><w:t xml:space="preserve">the last quarter of the 18th century.  Nor did it fare mach</w:t></w:r>
</w:p>
<w:p>
<w:pPr><w:pStyle w:val="Normal"/></w:pPr>
<w:r><w:t xml:space="preserve">better with the high peaks, though the two earliest recorded</w:t></w:r>
</w:p>
<w:p>
<w:pPr><w:pStyle w:val="Normal"/></w:pPr>
<w:r><w:t xml:space="preserve">ascents were due to non-natives, that of the Rochemelon</w:t></w:r>
</w:p>
<w:p>
<w:pPr><w:pStyle w:val="Normal"/></w:pPr>
<w:r><w:t xml:space="preserve">in 1358 having been undertaken in fulfilment of a vow, and</w:t></w:r>
</w:p>
<w:p>
<w:pPr><w:pStyle w:val="Normal"/></w:pPr>
<w:r><w:t xml:space="preserve">that of the Mont Aiguihe in 1492 by order of Charles VIII.</w:t></w:r>
</w:p>
<w:p>
<w:pPr><w:pStyle w:val="Normal"/></w:pPr>
<w:r><w:t xml:space="preserve">of France, in order to destroy its immense reputation for</w:t></w:r>
</w:p>
<w:p>
<w:pPr><w:pStyle w:val="Normal"/></w:pPr>
<w:r><w:t xml:space="preserve">inaccessibility-- in 1555 Conrad Gesner did not climb Pilatus</w:t></w:r>
</w:p>
<w:p>
<w:pPr><w:pStyle w:val="Normal"/></w:pPr>
<w:r><w:t xml:space="preserve">proper, but only the grassy mound of the Gnepfstein, the lowest</w:t></w:r>
</w:p>
<w:p>
<w:pPr><w:pStyle w:val="Normal"/></w:pPr>
<w:r><w:t xml:space="preserve">and the most westerly of the seven summits.  The two first</w:t></w:r>
</w:p>
<w:p>
<w:pPr><w:pStyle w:val="Normal"/></w:pPr>
<w:r><w:t xml:space="preserve">men who really systematically explored the regions of ice</w:t></w:r>
</w:p>
<w:p>
<w:pPr><w:pStyle w:val="Normal"/></w:pPr>
<w:r><w:t xml:space="preserve">and snow were H. B. de Saussure (1740-1799), as regards the</w:t></w:r>
</w:p>
<w:p>
<w:pPr><w:pStyle w:val="Normal"/></w:pPr>
<w:r><w:t xml:space="preserve">Pennine Alps, and the Benedictine monk of Disentis, Placidus</w:t></w:r>
</w:p>
<w:p>
<w:pPr><w:pStyle w:val="Normal"/></w:pPr>
<w:r><w:t xml:space="preserve">a Spescha (1752-1833, most of whose ascents were made before</w:t></w:r>
</w:p>
<w:p>
<w:pPr><w:pStyle w:val="Normal"/></w:pPr>
<w:r><w:t xml:space="preserve">1806), in the valleys at the sources of the Rhine.  In the</w:t></w:r>
</w:p>
<w:p>
<w:pPr><w:pStyle w:val="Normal"/></w:pPr>
<w:r><w:t xml:space="preserve">early 19th century the Meyer family of Aarau conquered in</w:t></w:r>
</w:p>
<w:p>
<w:pPr><w:pStyle w:val="Normal"/></w:pPr>
<w:r><w:t xml:space="preserve">person the Jungfrau (1811) and by deputy the Finsteraarhorn</w:t></w:r>
</w:p>
<w:p>
<w:pPr><w:pStyle w:val="Normal"/></w:pPr>
<w:r><w:t xml:space="preserve">(1812), besides opening several glacier passes, their energy</w:t></w:r>
</w:p>
<w:p>
<w:pPr><w:pStyle w:val="Normal"/></w:pPr>
<w:r><w:t xml:space="preserve">being entirely confined to the Bernese Oberland.  Their</w:t></w:r>
</w:p>
<w:p>
<w:pPr><w:pStyle w:val="Normal"/></w:pPr>
<w:r><w:t xml:space="preserve">pioneer work was continued in that district, as well as others,</w:t></w:r>
</w:p>
<w:p>
<w:pPr><w:pStyle w:val="Normal"/></w:pPr>
<w:r><w:t xml:space="preserve">by a number of Swiss, pre-eminent among whom were Gottlieb</w:t></w:r>
</w:p>
<w:p>
<w:pPr><w:pStyle w:val="Normal"/></w:pPr>
<w:r><w:t xml:space="preserve">Studer (1804-1890) of Bern, and Edouard Desor (1811-1882) of</w:t></w:r>
</w:p>
<w:p>
<w:pPr><w:pStyle w:val="Normal"/></w:pPr>
<w:r><w:t xml:space="preserve">Neuchatel.  The first-known English climber in the Alps</w:t></w:r>
</w:p>
<w:p>
<w:pPr><w:pStyle w:val="Normal"/></w:pPr>
<w:r><w:t xml:space="preserve">was Colonel Mark Beaufoy (1764-1827), who in 1787 made an</w:t></w:r>
</w:p>
<w:p>
<w:pPr><w:pStyle w:val="Normal"/></w:pPr>
<w:r><w:t xml:space="preserve">ascent (the fourth) of Mont Blanc, a mountain to which his</w:t></w:r>
</w:p>
<w:p>
<w:pPr><w:pStyle w:val="Normal"/></w:pPr>
<w:r><w:t xml:space="preserve">fellow-countrymen long exclusively devoted themselves, with</w:t></w:r>
</w:p>
<w:p>
<w:pPr><w:pStyle w:val="Normal"/></w:pPr>
<w:r><w:t xml:space="preserve">a few noteworthy exceptions, such as Principal J. D. Forbes</w:t></w:r>
</w:p>
<w:p>
<w:pPr><w:pStyle w:val="Normal"/></w:pPr>
<w:r><w:t xml:space="preserve">(1809-1868), A. T. Malkin (1803-1888), John Ball (1818-1889),</w:t></w:r>
</w:p>
<w:p>
<w:pPr><w:pStyle w:val="Normal"/></w:pPr>
<w:r><w:t xml:space="preserve">and Sir Alfred Wills (b. 1828).  Around Monte Rosa the Vincent</w:t></w:r>
</w:p>
<w:p>
<w:pPr><w:pStyle w:val="Normal"/></w:pPr>
<w:r><w:t xml:space="preserve">family, Josef Zumstein (1783-1861), and Giovanni Gnifetti</w:t></w:r>
</w:p>
<w:p>
<w:pPr><w:pStyle w:val="Normal"/></w:pPr>
<w:r><w:t xml:space="preserve">(1801--1867) did good work during the half century between</w:t></w:r>
</w:p>
<w:p>
<w:pPr><w:pStyle w:val="Normal"/></w:pPr>
<w:r><w:t xml:space="preserve">1778 and 1842, while in the Eastern Alps the Archduke John</w:t></w:r>
</w:p>
<w:p>
<w:pPr><w:pStyle w:val="Normal"/></w:pPr>
<w:r><w:t xml:space="preserve">(1782-1850), Prince F.J. C. von Schwarzenberg, archbishop</w:t></w:r>
</w:p>
<w:p>
<w:pPr><w:pStyle w:val="Normal"/></w:pPr>
<w:r><w:t xml:space="preserve">of Salzburg (1809-1885), Valentine Stanig (1774-1847), Adolf</w:t></w:r>
</w:p>
<w:p>
<w:pPr><w:pStyle w:val="Normal"/></w:pPr>
<w:r><w:t xml:space="preserve">Schaubach (1800-1850), above all, P. J. Thurwieser (1789-1865),</w:t></w:r>
</w:p>
<w:p>
<w:pPr><w:pStyle w:val="Normal"/></w:pPr>
<w:r><w:t xml:space="preserve">deserve to be recalled as pioneers in the first half of the 19th</w:t></w:r>
</w:p>
<w:p>
<w:pPr><w:pStyle w:val="Normal"/></w:pPr>
<w:r><w:t xml:space="preserve">century.  In the early fifties of the 19th century the taste</w:t></w:r>
</w:p>
<w:p>
<w:pPr><w:pStyle w:val="Normal"/></w:pPr>
<w:r><w:t xml:space="preserve">for mountaineering 1apidly developed for several very different</w:t></w:r>
</w:p>
<w:p>
<w:pPr><w:pStyle w:val="Normal"/></w:pPr>
<w:r><w:t xml:space="preserve">reasons.  A great stimulus was given to it by the foundation</w:t></w:r>
</w:p>
<w:p>
<w:pPr><w:pStyle w:val="Normal"/></w:pPr>
<w:r><w:t xml:space="preserve">of the various Alpine clubs, each of which drew together the</w:t></w:r>
</w:p>
<w:p>
<w:pPr><w:pStyle w:val="Normal"/></w:pPr>
<w:r><w:t xml:space="preserve">climbers who dwelt in the same country.  The first was the</w:t></w:r>
</w:p>
<w:p>
<w:pPr><w:pStyle w:val="Normal"/></w:pPr>
<w:r><w:t xml:space="preserve">English Alpine Club (founded in the winter of 1857--1858),</w:t></w:r>
</w:p>
<w:p>
<w:pPr><w:pStyle w:val="Normal"/></w:pPr>
<w:r><w:t xml:space="preserve">followed in 1862 by the Austrian Alpine Club (which in 1873</w:t></w:r>
</w:p>
<w:p>
<w:pPr><w:pStyle w:val="Normal"/></w:pPr>
<w:r><w:t xml:space="preserve">was fused, under the name of the German and Austrian Alpine</w:t></w:r>
</w:p>
<w:p>
<w:pPr><w:pStyle w:val="Normal"/></w:pPr>
<w:r><w:t xml:space="preserve">Club, with the German Alpine Club, founded in 1869), in 1863</w:t></w:r>
</w:p>
<w:p>
<w:pPr><w:pStyle w:val="Normal"/></w:pPr>
<w:r><w:t xml:space="preserve">by the Italian and Swiss Alpine Clubs, and in 1874 by the</w:t></w:r>
</w:p>
<w:p>
<w:pPr><w:pStyle w:val="Normal"/></w:pPr>
<w:r><w:t xml:space="preserve">French Alpine Club, not to mention numerous minor societies</w:t></w:r>
</w:p>
<w:p>
<w:pPr><w:pStyle w:val="Normal"/></w:pPr>
<w:r><w:t xml:space="preserve">of more local character.  It was by the members of these clubs</w:t></w:r>
</w:p>
<w:p>
<w:pPr><w:pStyle w:val="Normal"/></w:pPr>
<w:r><w:t xml:space="preserve">(and a few others) that the minute exploration (now all but</w:t></w:r>
</w:p>
<w:p>
<w:pPr><w:pStyle w:val="Normal"/></w:pPr>
<w:r><w:t xml:space="preserve">complete) of the High Alps was carried out, while much has</w:t></w:r>
</w:p>
<w:p>
<w:pPr><w:pStyle w:val="Normal"/></w:pPr>
<w:r><w:t xml:space="preserve">been done in the way of building club huts, organizing and</w:t></w:r>
</w:p>
<w:p>
<w:pPr><w:pStyle w:val="Normal"/></w:pPr>
<w:r><w:t xml:space="preserve">training guides, &amp;c., to smooth the way for later comers,</w:t></w:r>
</w:p>
<w:p>
<w:pPr><w:pStyle w:val="Normal"/></w:pPr>
<w:r><w:t xml:space="preserve">who benefit too by the detailed information published in the</w:t></w:r>
</w:p>
<w:p>
<w:pPr><w:pStyle w:val="Normal"/></w:pPr>
<w:r><w:t xml:space="preserve">periodicals (the first dates from 1863 only) issued by these</w:t></w:r>
</w:p>
<w:p>
<w:pPr><w:pStyle w:val="Normal"/></w:pPr>
<w:r><w:t xml:space="preserve">clubs.  Limits of space forbid us to trace out in detail</w:t></w:r>
</w:p>
<w:p>
<w:pPr><w:pStyle w:val="Normal"/></w:pPr>
<w:r><w:t xml:space="preserve">the history of the exploration of the High Alps, but the two</w:t></w:r>
</w:p>
<w:p>
<w:pPr><w:pStyle w:val="Normal"/></w:pPr>
<w:r><w:t xml:space="preserve">sub-joined lists give the dates of the conquest of about fifty</w:t></w:r>
</w:p>
<w:p>
<w:pPr><w:pStyle w:val="Normal"/></w:pPr>
<w:r><w:t xml:space="preserve">of the greater peaks (apart from the two climbed in 1358 and</w:t></w:r>
</w:p>
<w:p>
<w:pPr><w:pStyle w:val="Normal"/></w:pPr>
<w:r><w:t xml:space="preserve">in 1402, see above), achieved before and after 1st January</w:t></w:r>
</w:p>
<w:p>
<w:pPr><w:pStyle w:val="Normal"/></w:pPr>
<w:r><w:t xml:space="preserve">1858.  As a proof of the rapidly-growing activity of Englishmen,</w:t></w:r>
</w:p>
<w:p>
<w:pPr><w:pStyle w:val="Normal"/></w:pPr>
<w:r><w:t xml:space="preserve">it may be pointed out that while before 1858 only four summits</w:t></w:r>
</w:p>
<w:p>
<w:pPr><w:pStyle w:val="Normal"/></w:pPr>
<w:r><w:t xml:space="preserve">(the Mittelhorn, or central peak of the Wetterhorner, the</w:t></w:r>
</w:p>
<w:p>
<w:pPr><w:pStyle w:val="Normal"/></w:pPr>
<w:r><w:t xml:space="preserve">highest point of Monte Rosa, Laquinhorn and Pelmo) were</w:t></w:r>
</w:p>
<w:p>
<w:pPr><w:pStyle w:val="Normal"/></w:pPr>
<w:r><w:t xml:space="preserve">first ascended by Englishmen, in the case of the second list</w:t></w:r>
</w:p>
<w:p>
<w:pPr><w:pStyle w:val="Normal"/></w:pPr>
<w:r><w:t xml:space="preserve">only five (Grand Combin, Wildspitze, Marmolata, Langkofel</w:t></w:r>
</w:p>
<w:p>
<w:pPr><w:pStyle w:val="Normal"/></w:pPr>
<w:r><w:t xml:space="preserve">and Meije) were not so conquered (if the present writer, an</w:t></w:r>
</w:p>
<w:p>
<w:pPr><w:pStyle w:val="Normal"/></w:pPr>
<w:r><w:t xml:space="preserve">American, be included among the English pro hac vice.)</w:t></w:r>
</w:p>
<w:p>
<w:pPr><w:pStyle w:val="Normal"/></w:pPr>
<w:r><w:t xml:space="preserve">(1) Before 1st January 1858:---Titlis (1744), Ankogel</w:t></w:r>
</w:p>
<w:p>
<w:pPr><w:pStyle w:val="Normal"/></w:pPr>
<w:r><w:t xml:space="preserve">(1762), Mont Velan (1779), Mont Blanc (1786), Rheinwaldhorn</w:t></w:r>
</w:p>
<w:p>
<w:pPr><w:pStyle w:val="Normal"/></w:pPr>
<w:r><w:t xml:space="preserve">(1789), Gross Glockner (1800), Ortler (1804), Jungfrau (1811),</w:t></w:r>
</w:p>
<w:p>
<w:pPr><w:pStyle w:val="Normal"/></w:pPr>
<w:r><w:t xml:space="preserve">V.insteraarhorn (1812), Zumsteinspitze (1820),Todi (1824),</w:t></w:r>
</w:p>
<w:p>
<w:pPr><w:pStyle w:val="Normal"/></w:pPr>
<w:r><w:t xml:space="preserve">Altels (1834), Piz Linard (1835), Gross Venediger (1841),</w:t></w:r>
</w:p>
<w:p>
<w:pPr><w:pStyle w:val="Normal"/></w:pPr>
<w:r><w:t xml:space="preserve">Signalkuppe (1842), Wetterhorner (1844-1845), Mont Pelvoux</w:t></w:r>
</w:p>
<w:p>
<w:pPr><w:pStyle w:val="Normal"/></w:pPr>
<w:r><w:t xml:space="preserve">(1848), Ieiablerets and Piz Bernina (both in 1850), highest</w:t></w:r>
</w:p>
<w:p>
<w:pPr><w:pStyle w:val="Normal"/></w:pPr>
<w:r><w:t xml:space="preserve">point of Monte Rosa (1855), Laquinhorn (1856) and Pelmo (1857).</w:t></w:r>
</w:p>
<w:p>
<w:pPr><w:pStyle w:val="Normal"/></w:pPr>
<w:r><w:t xml:space="preserve">(2) After 1st January 1858:--Dom (1858), Aletschhorn,</w:t></w:r>
</w:p>
<w:p>
<w:pPr><w:pStyle w:val="Normal"/></w:pPr>
<w:r><w:t xml:space="preserve">Bietschhorn and Grand Combin (all in 1859), Grand Paradis</w:t></w:r>
</w:p>
<w:p>
<w:pPr><w:pStyle w:val="Normal"/></w:pPr>
<w:r><w:t xml:space="preserve">and Grande Casse (both in 1860), Wbisshorn, Monte Viso, Gross</w:t></w:r>
</w:p>
<w:p>
<w:pPr><w:pStyle w:val="Normal"/></w:pPr>
<w:r><w:t xml:space="preserve">Schreckhorn, Lyskamm and Wildspitze (all in 1861), Dent</w:t></w:r>
</w:p>
<w:p>
<w:pPr><w:pStyle w:val="Normal"/></w:pPr>
<w:r><w:t xml:space="preserve">Blanche, Monte della Disgrazia and Taschhorn (all in 1862),</w:t></w:r>
</w:p>
<w:p>
<w:pPr><w:pStyle w:val="Normal"/></w:pPr>
<w:r><w:t xml:space="preserve">Marmolata, Presanella, Pointe des Ecrins and Zinal Rothhorn</w:t></w:r>
</w:p>
<w:p>
<w:pPr><w:pStyle w:val="Normal"/></w:pPr>
<w:r><w:t xml:space="preserve">(all in 1864), Matterhorn, Ober Gabelhorn, Aiguille Verte and</w:t></w:r>
</w:p>
<w:p>
<w:pPr><w:pStyle w:val="Normal"/></w:pPr>
<w:r><w:t xml:space="preserve">Piz Roseg (all in 1865), Langkofel (1869), Cimon della Pala</w:t></w:r>
</w:p>
<w:p>
<w:pPr><w:pStyle w:val="Normal"/></w:pPr>
<w:r><w:t xml:space="preserve">(1870), Rosengarten (1872), Meije (1877), Aiguilledu Dru</w:t></w:r>
</w:p>
<w:p>
<w:pPr><w:pStyle w:val="Normal"/></w:pPr>
<w:r><w:t xml:space="preserve">(1878), Punta dell&apos; Argentera (1879), Aiguille des Charmoz</w:t></w:r>
</w:p>
<w:p>
<w:pPr><w:pStyle w:val="Normal"/></w:pPr>
<w:r><w:t xml:space="preserve">(1880), Aiguille de Grepon (1881) and Aiguille du Geant (1882).</w:t></w:r>
</w:p>
<w:p>
<w:pPr><w:pStyle w:val="Normal"/></w:pPr>
<w:r><w:t xml:space="preserve">9. GENERAL LIST OF BOOKS AND MAPS.--(1) Books.---For</w:t></w:r>
</w:p>
<w:p>
<w:pPr><w:pStyle w:val="Normal"/></w:pPr>
<w:r><w:t xml:space="preserve">a longer list than we can give see sohn Ball&apos;s Hints and</w:t></w:r>
</w:p>
<w:p>
<w:pPr><w:pStyle w:val="Normal"/></w:pPr>
<w:r><w:t xml:space="preserve">Notes for Travellers in the Alps (new ed., 1899) and also</w:t></w:r>
</w:p>
<w:p>
<w:pPr><w:pStyle w:val="Normal"/></w:pPr>
<w:r><w:t xml:space="preserve">A. Wuber&apos;s Landes- und Reisebeschreibungen der Schwelz</w:t></w:r>
</w:p>
<w:p>
<w:pPr><w:pStyle w:val="Normal"/></w:pPr>
<w:r><w:t xml:space="preserve">(1899, supplement in 1907). in general see s. Ball&apos;s The</w:t></w:r>
</w:p>
<w:p>
<w:pPr><w:pStyle w:val="Normal"/></w:pPr>
<w:r><w:t xml:space="preserve">Alpine Guide (3 vols., new ed. of vol. i., 1898 last ed. of</w:t></w:r>
</w:p>
<w:p>
<w:pPr><w:pStyle w:val="Normal"/></w:pPr>
<w:r><w:t xml:space="preserve">vol. ii., 1876, and of vol. iii., 1879); H. A. Berlepsch, Die</w:t></w:r>
</w:p>
<w:p>
<w:pPr><w:pStyle w:val="Normal"/></w:pPr>
<w:r><w:t xml:space="preserve">Alpen in Natur- und Lebensbildern (last ed., 1885, Eng.</w:t></w:r>
</w:p>
<w:p>
<w:pPr><w:pStyle w:val="Normal"/></w:pPr>
<w:r><w:t xml:space="preserve">trans., 1861); T. G. Bonney, The Alpine Regions of Switzerland</w:t></w:r>
</w:p>
<w:p>
<w:pPr><w:pStyle w:val="Normal"/></w:pPr>
<w:r><w:t xml:space="preserve">and the Neighbouring Countries (1868); A. Civiale, Les</w:t></w:r>
</w:p>
<w:p>
<w:pPr><w:pStyle w:val="Normal"/></w:pPr>
<w:r><w:t xml:space="preserve">Alpes au point de vue de ta geographie physique (1882);</w:t></w:r>
</w:p>
<w:p>
<w:pPr><w:pStyle w:val="Normal"/></w:pPr>
<w:r><w:t xml:space="preserve">Sir Martin Conway, The Alps (1904); W. A. B. Coolidge,</w:t></w:r>
</w:p>
<w:p>
<w:pPr><w:pStyle w:val="Normal"/></w:pPr>
<w:r><w:t xml:space="preserve">Swiss Travel and Swiss Guide-Books (1889) and The Alps</w:t></w:r>
</w:p>
<w:p>
<w:pPr><w:pStyle w:val="Normal"/></w:pPr>
<w:r><w:t xml:space="preserve">(1908); R. von Lendenfeld, Aus den Alpen (2 vols., 1896); C.</w:t></w:r>
</w:p>
<w:p>
<w:pPr><w:pStyle w:val="Normal"/></w:pPr>
<w:r><w:t xml:space="preserve">Lentheric, L&apos;Homme devant les Alpes (1896); F. Umlauft,</w:t></w:r>
</w:p>
<w:p>
<w:pPr><w:pStyle w:val="Normal"/></w:pPr>
<w:r><w:t xml:space="preserve">Die Alpen (1887, Eng. trans., 1889).  On some special</w:t></w:r>
</w:p>
<w:p>
<w:pPr><w:pStyle w:val="Normal"/></w:pPr>
<w:r><w:t xml:space="preserve">subjects see W. A. Baillie-Grohmann, Sport in the Alps</w:t></w:r>
</w:p>
<w:p>
<w:pPr><w:pStyle w:val="Normal"/></w:pPr>
<w:r><w:t xml:space="preserve">i1896); A. Mosso. Fisiologia dell&apos; Uomo sulle Alpi (1897,</w:t></w:r>
</w:p>
<w:p>
<w:pPr><w:pStyle w:val="Normal"/></w:pPr>
<w:r><w:t xml:space="preserve">English trans., 1898); N. Zuntz and others, Hohenklima und</w:t></w:r>
</w:p>
<w:p>
<w:pPr><w:pStyle w:val="Normal"/></w:pPr>
<w:r><w:t xml:space="preserve">Bergwanderungen in ihrer Wirkungen auf den Menschen (1906);</w:t></w:r>
</w:p>
<w:p>
<w:pPr><w:pStyle w:val="Normal"/></w:pPr>
<w:r><w:t xml:space="preserve">G. Perndt, Der Fohn (1896, the south wind, so important</w:t></w:r>
</w:p>
<w:p>
<w:pPr><w:pStyle w:val="Normal"/></w:pPr>
<w:r><w:t xml:space="preserve">in mountain districts); and the article on GLACIER..&apos;&apos;</w:t></w:r>
</w:p>
<w:p>
<w:pPr><w:pStyle w:val="Normal"/></w:pPr>
<w:r><w:t xml:space="preserve">As to Alpine legends, consult Maria Savi-Lopez, Leggende</w:t></w:r>
</w:p>
<w:p>
<w:pPr><w:pStyle w:val="Normal"/></w:pPr>
<w:r><w:t xml:space="preserve">delle Alpi (1889); M. Tscheinen, VLalliscr-Sagen (1872);</w:t></w:r>
</w:p>
<w:p>
<w:pPr><w:pStyle w:val="Normal"/></w:pPr>
<w:r><w:t xml:space="preserve">Th. Vernaleken, Alpensagen (1858); and I. V. Zingerle,</w:t></w:r>
</w:p>
<w:p>
<w:pPr><w:pStyle w:val="Normal"/></w:pPr>
<w:r><w:t xml:space="preserve">Sagen aus Tirol (1859); and as to Alpine poetry--J.  Adam,</w:t></w:r>
</w:p>
<w:p>
<w:pPr><w:pStyle w:val="Normal"/></w:pPr>
<w:r><w:t xml:space="preserve">Der Natursinn in der deutschen Dichtung (1906); E. A.</w:t></w:r>
</w:p>
<w:p>
<w:pPr><w:pStyle w:val="Normal"/></w:pPr>
<w:r><w:t xml:space="preserve">Baker and F. E. Ross, The Voice of The Mountalns (1905,</w:t></w:r>
</w:p>
<w:p>
<w:pPr><w:pStyle w:val="Normal"/></w:pPr>
<w:r><w:t xml:space="preserve">an anthology in verse and prose); A. von Haller, Die Alpen</w:t></w:r>
</w:p>
<w:p>
<w:pPr><w:pStyle w:val="Normal"/></w:pPr>
<w:r><w:t xml:space="preserve">(1732, first ed., 1882, illustrated ed., 1902); and H. E.</w:t></w:r>
</w:p>
<w:p>
<w:pPr><w:pStyle w:val="Normal"/></w:pPr>
<w:r><w:t xml:space="preserve">Jenny, Die Alpendichtung in der deutschen Schweiz (1905).</w:t></w:r>
</w:p>
<w:p>
<w:pPr><w:pStyle w:val="Normal"/></w:pPr>
<w:r><w:t xml:space="preserve">As to Alpine dialects, consult J. Alton, Die ladinischen</w:t></w:r>
</w:p>
<w:p>
<w:pPr><w:pStyle w:val="Normal"/></w:pPr>
<w:r><w:t xml:space="preserve">Idiome in Ladinien, Groden, Fassa, Buchenstein, Ampezzo</w:t></w:r>
</w:p>
<w:p>
<w:pPr><w:pStyle w:val="Normal"/></w:pPr>
<w:r><w:t xml:space="preserve">(1879); J. A. Chabrand and A. de Rochas d&apos;Aiglun, Patois des</w:t></w:r>
</w:p>
<w:p>
<w:pPr><w:pStyle w:val="Normal"/></w:pPr>
<w:r><w:t xml:space="preserve">Alpes cottiennes (1877).; Z. and E. Pallioppi, Dizionari dels</w:t></w:r>
</w:p>
<w:p>
<w:pPr><w:pStyle w:val="Normal"/></w:pPr>
<w:r><w:t xml:space="preserve">Idioms Romauntschs d&apos;Engiadina ota e bassa, &amp;c. (1895); A.</w:t></w:r>
</w:p>
<w:p>
<w:pPr><w:pStyle w:val="Normal"/></w:pPr>
<w:r><w:t xml:space="preserve">Socin, Schriftsprache und Dialekte im Deutschen (1888); F.</w:t></w:r>
</w:p>
<w:p>
<w:pPr><w:pStyle w:val="Normal"/></w:pPr>
<w:r><w:t xml:space="preserve">J. Stalder, Die Landessprachen der Schweiz (1819), and J.</w:t></w:r>
</w:p>
<w:p>
<w:pPr><w:pStyle w:val="Normal"/></w:pPr>
<w:r><w:t xml:space="preserve">Zimmerli, Die deutsch-franzosische Sprachgrenze in der Schweiz</w:t></w:r>
</w:p>
<w:p>
<w:pPr><w:pStyle w:val="Normal"/></w:pPr>
<w:r><w:t xml:space="preserve">(3 vols., 1891-1899); besides the great Swiss Dialect Dictionary</w:t></w:r>
</w:p>
<w:p>
<w:pPr><w:pStyle w:val="Normal"/></w:pPr>
<w:r><w:t xml:space="preserve">(Schweiz.  Idiotikon) in course of publication since 1881.</w:t></w:r>
</w:p>
<w:p>
<w:pPr><w:pStyle w:val="Normal"/></w:pPr>
<w:r><w:t xml:space="preserve">As to the history of the Alps, the following works touch on</w:t></w:r>
</w:p>
<w:p>
<w:pPr><w:pStyle w:val="Normal"/></w:pPr>
<w:r><w:t xml:space="preserve">various aspects of the subject:---G.  Allais, Le Alpi Occidentali</w:t></w:r>
</w:p>
<w:p>
<w:pPr><w:pStyle w:val="Normal"/></w:pPr>
<w:r><w:t xml:space="preserve">nell&apos; Antichita 1891); W. Brockedon, Illustrations of the</w:t></w:r>
</w:p>
<w:p>
<w:pPr><w:pStyle w:val="Normal"/></w:pPr>
<w:r><w:t xml:space="preserve">Passes of the Alps (2 vols., 1828-1829); J. Grand-Carteret,</w:t></w:r>
</w:p>
<w:p>
<w:pPr><w:pStyle w:val="Normal"/></w:pPr>
<w:r><w:t xml:space="preserve">La Montagne a travers les ages (2 vols., 1902-1904); G.</w:t></w:r>
</w:p>
<w:p>
<w:pPr><w:pStyle w:val="Normal"/></w:pPr>
<w:r><w:t xml:space="preserve">Oberziner, Le Guerre di Augusto contro i populi alpini</w:t></w:r>
</w:p>
<w:p>
<w:pPr><w:pStyle w:val="Normal"/></w:pPr>
<w:r><w:t xml:space="preserve">(1900); E. Oehlmann, Die Alpenpasse im Mittelalter (1878-1879);</w:t></w:r>
</w:p>
<w:p>
<w:pPr><w:pStyle w:val="Normal"/></w:pPr>
<w:r><w:t xml:space="preserve">R. Peinhard, Passe und Strassen in den Schweizer Alpen</w:t></w:r>
</w:p>
<w:p>
<w:pPr><w:pStyle w:val="Normal"/></w:pPr>
<w:r><w:t xml:space="preserve">(1903); and L. Vaccarone, Le Vie delle Alpi Occidentali</w:t></w:r>
</w:p>
<w:p>
<w:pPr><w:pStyle w:val="Normal"/></w:pPr>
<w:r><w:t xml:space="preserve">negli antichi tempi (1884); while W. A. B. Coolidge&apos;s</w:t></w:r>
</w:p>
<w:p>
<w:pPr><w:pStyle w:val="Normal"/></w:pPr>
<w:r><w:t xml:space="preserve">Joslas Simler et les originies de l&apos;alpinisme Jusqu&apos;en</w:t></w:r>
</w:p>
<w:p>
<w:pPr><w:pStyle w:val="Normal"/></w:pPr>
<w:r><w:t xml:space="preserve">1600 (1904) summarises our knowledge of the Alps up to 1600.</w:t></w:r>
</w:p>
<w:p>
<w:pPr><w:pStyle w:val="Normal"/></w:pPr>
<w:r><w:t xml:space="preserve">Among works of a more or less descriptive nature (based</w:t></w:r>
</w:p>
<w:p>
<w:pPr><w:pStyle w:val="Normal"/></w:pPr>
<w:r><w:t xml:space="preserve">on actual travels), the following list includes all the</w:t></w:r>
</w:p>
<w:p>
<w:pPr><w:pStyle w:val="Normal"/></w:pPr>
<w:r><w:t xml:space="preserve">standard works dated before 1855:--Le Alpi che cingono</w:t></w:r>
</w:p>
<w:p>
<w:pPr><w:pStyle w:val="Normal"/></w:pPr>
<w:r><w:t xml:space="preserve">l&apos;Italia (1845); J. G. Altmann, Versuch einer hist. u.</w:t></w:r>
</w:p>
<w:p>
<w:pPr><w:pStyle w:val="Normal"/></w:pPr>
<w:r><w:t xml:space="preserve">phys.  Beschreibung der helvetischen Eisbergen (1751); A. C.</w:t></w:r>
</w:p>
<w:p>
<w:pPr><w:pStyle w:val="Normal"/></w:pPr>
<w:r><w:t xml:space="preserve">Bordier, Voyage pittoresque aux glacieres de Savoye (173);</w:t></w:r>
</w:p>
<w:p>
<w:pPr><w:pStyle w:val="Normal"/></w:pPr>
<w:r><w:t xml:space="preserve">P. J. de Bourcet, Memoires militaires sur les Jrontieres</w:t></w:r>
</w:p>
<w:p>
<w:pPr><w:pStyle w:val="Normal"/></w:pPr>
<w:r><w:t xml:space="preserve">de la France, du Piemont, et de la Savoie (1801); M. T.</w:t></w:r>
</w:p>
<w:p>
<w:pPr><w:pStyle w:val="Normal"/></w:pPr>
<w:r><w:t xml:space="preserve">Bourrit, Descrip non des glacieres, glaciers, et amas de glace</w:t></w:r>
</w:p>
<w:p>
<w:pPr><w:pStyle w:val="Normal"/></w:pPr>
<w:r><w:t xml:space="preserve">du duche de Savoye (1773, Eng. trans., 1775), Description</w:t></w:r>
</w:p>
<w:p>
<w:pPr><w:pStyle w:val="Normal"/></w:pPr>
<w:r><w:t xml:space="preserve">des Alpes pennines et rhetiennes (2 vols., 178i, 3rd vol.,</w:t></w:r>
</w:p>
<w:p>
<w:pPr><w:pStyle w:val="Normal"/></w:pPr>
<w:r><w:t xml:space="preserve">1785), and Descriptioni des cols ou passages des Alpes (2</w:t></w:r>
</w:p>
<w:p>
<w:pPr><w:pStyle w:val="Normal"/></w:pPr>
<w:r><w:t xml:space="preserve">vols., 1803); W. Brockedon, Journals of Excursions in the</w:t></w:r>
</w:p>
<w:p>
<w:pPr><w:pStyle w:val="Normal"/></w:pPr>
<w:r><w:t xml:space="preserve">Alps (1833); U. Campell, Raetioe alpestris topographica</w:t></w:r>
</w:p>
<w:p>
<w:pPr><w:pStyle w:val="Normal"/></w:pPr>
<w:r><w:t xml:space="preserve">descriptio (finished in 1572, but publ. only in 1884, with a</w:t></w:r>
</w:p>
<w:p>
<w:pPr><w:pStyle w:val="Normal"/></w:pPr>
<w:r><w:t xml:space="preserve">supplement in 1900); J. A. Deluc and P. G. Dentan, Relation</w:t></w:r>
</w:p>
<w:p>
<w:pPr><w:pStyle w:val="Normal"/></w:pPr>
<w:r><w:t xml:space="preserve">de differents voyages dans les Alpes du Faucigny (1776);</w:t></w:r>
</w:p>
<w:p>
<w:pPr><w:pStyle w:val="Normal"/></w:pPr>
<w:r><w:t xml:space="preserve">E. Desor Excursions et sejours dans les glaciers (2 series,</w:t></w:r>
</w:p>
<w:p>
<w:pPr><w:pStyle w:val="Normal"/></w:pPr>
<w:r><w:t xml:space="preserve">1844-1845l; C. M. Engelhardt, Naturschilderungen aus den</w:t></w:r>
</w:p>
<w:p>
<w:pPr><w:pStyle w:val="Normal"/></w:pPr>
<w:r><w:t xml:space="preserve">hochsten Schweizer-Alpen (1840), and Das Monte-Rosa und</w:t></w:r>
</w:p>
<w:p>
<w:pPr><w:pStyle w:val="Normal"/></w:pPr>
<w:r><w:t xml:space="preserve">Matterhorn-Gebirg (1852); J. D. Forbes, Travels through</w:t></w:r>
</w:p>
<w:p>
<w:pPr><w:pStyle w:val="Normal"/></w:pPr>
<w:r><w:t xml:space="preserve">the Alps of Kivoy (1843: new ed., 1900): Sir John Forbes,</w:t></w:r>
</w:p>
<w:p>
<w:pPr><w:pStyle w:val="Normal"/></w:pPr>
<w:r><w:t xml:space="preserve">A Physician&apos;s Holiday (1849); J. Frobel, Reise in die</w:t></w:r>
</w:p>
<w:p>
<w:pPr><w:pStyle w:val="Normal"/></w:pPr>
<w:r><w:t xml:space="preserve">weniger bekannten Thaler auf der Nordseite der penninischen</w:t></w:r>
</w:p>
<w:p>
<w:pPr><w:pStyle w:val="Normal"/></w:pPr>
<w:r><w:t xml:space="preserve">Alpen (1840); G. Gnifetti, Nozioni topografiche del Monte</w:t></w:r>
</w:p>
<w:p>
<w:pPr><w:pStyle w:val="Normal"/></w:pPr>
<w:r><w:t xml:space="preserve">Rosa ed ascensioni su di esso (1845, 2nd ed., 1838); G.</w:t></w:r>
</w:p>
<w:p>
<w:pPr><w:pStyle w:val="Normal"/></w:pPr>
<w:r><w:t xml:space="preserve">S. Gruner, Die Eisgebirge des Schwelzerlandes (3 vols.,</w:t></w:r>
</w:p>
<w:p>
<w:pPr><w:pStyle w:val="Normal"/></w:pPr>
<w:r><w:t xml:space="preserve">1760); J. Hegetschweiler, Reisen in den Gebirgsstock</w:t></w:r>
</w:p>
<w:p>
<w:pPr><w:pStyle w:val="Normal"/></w:pPr>
<w:r><w:t xml:space="preserve">zwischen Glarus und Graubunden, 1819--1822 (1825); G.</w:t></w:r>
</w:p>
<w:p>
<w:pPr><w:pStyle w:val="Normal"/></w:pPr>
<w:r><w:t xml:space="preserve">Hoffmann, Wanderungen in der Gletscherwelt (1843); F. J.</w:t></w:r>
</w:p>
<w:p>
<w:pPr><w:pStyle w:val="Normal"/></w:pPr>
<w:r><w:t xml:space="preserve">Hugi, Naturhistorische Alpenreise (1830); C. J. Latrobe, The</w:t></w:r>
</w:p>
<w:p>
<w:pPr><w:pStyle w:val="Normal"/></w:pPr>
<w:r><w:t xml:space="preserve">Alpenstock (1829) and The Pedestrian (1832); J. R. and H.</w:t></w:r>
</w:p>
<w:p>
<w:pPr><w:pStyle w:val="Normal"/></w:pPr>
<w:r><w:t xml:space="preserve">Meyer, Reise auf den Jungjfrau-Gletscher und Ersteigung seines</w:t></w:r>
</w:p>
<w:p>
<w:pPr><w:pStyle w:val="Normal"/></w:pPr>
<w:r><w:t xml:space="preserve">Gipfels (1811): De Montannel, La Topographic militaire de</w:t></w:r>
</w:p>
<w:p>
<w:pPr><w:pStyle w:val="Normal"/></w:pPr>
<w:r><w:t xml:space="preserve">la frontiere des Alpes (written in 1777, but publ. in 1875</w:t></w:r>
</w:p>
<w:p>
<w:pPr><w:pStyle w:val="Normal"/></w:pPr>
<w:r><w:t xml:space="preserve">only); Operations geodesiques et astroniomiques pour</w:t></w:r>
</w:p>
<w:p>
<w:pPr><w:pStyle w:val="Normal"/></w:pPr>
<w:r><w:t xml:space="preserve">la mesure d&apos;un arc du parallele moyen (2 vols., 1825-1827);</w:t></w:r>
</w:p>
<w:p>
<w:pPr><w:pStyle w:val="Normal"/></w:pPr>
<w:r><w:t xml:space="preserve">H. R. Rebmann, Ein poetisch Gastmal und Gesprach zweyer</w:t></w:r>
</w:p>
<w:p>
<w:pPr><w:pStyle w:val="Normal"/></w:pPr>
<w:r><w:t xml:space="preserve">Bergen, nemlich des Niesens und Stockhorns (1606); C.</w:t></w:r>
</w:p>
<w:p>
<w:pPr><w:pStyle w:val="Normal"/></w:pPr>
<w:r><w:t xml:space="preserve">Rohrdorf, Reise uber die Grindelwald-Vescher-Gletscher und</w:t></w:r>
</w:p>
<w:p>
<w:pPr><w:pStyle w:val="Normal"/></w:pPr>
<w:r><w:t xml:space="preserve">Ersteigung des Gletschers des Jungfrau-Berges (1828); H.</w:t></w:r>
</w:p>
<w:p>
<w:pPr><w:pStyle w:val="Normal"/></w:pPr>
<w:r><w:t xml:space="preserve">B. de Saussure, Voyages dans les Alpes (4 vols., 1779-1796);</w:t></w:r>
</w:p>
<w:p>
<w:pPr><w:pStyle w:val="Normal"/></w:pPr>
<w:r><w:t xml:space="preserve">A. Schaubach, Deutsche Alpen (4 vols., 1845-1847); J. J.</w:t></w:r>
</w:p>
<w:p>
<w:pPr><w:pStyle w:val="Normal"/></w:pPr>
<w:r><w:t xml:space="preserve">Scheuchzer, Helvetiae Stoicheiographia, Orographia, et</w:t></w:r>
</w:p>
<w:p>
<w:pPr><w:pStyle w:val="Normal"/></w:pPr>
<w:r><w:t xml:space="preserve">Oreographia (1716), and Itinera per Helvetiae alpinas</w:t></w:r>
</w:p>
<w:p>
<w:pPr><w:pStyle w:val="Normal"/></w:pPr>
<w:r><w:t xml:space="preserve">regiones facta annis 1702-1711 (4 vols., 1725); J. Simler.</w:t></w:r>
</w:p>
<w:p>
<w:pPr><w:pStyle w:val="Normal"/></w:pPr>
<w:r><w:t xml:space="preserve">Vallesiae Descriptio et de Alpibus Commentarius (1574, new</w:t></w:r>
</w:p>
<w:p>
<w:pPr><w:pStyle w:val="Normal"/></w:pPr>
<w:r><w:t xml:space="preserve">ed. in 1904, see Coolidge above); Albert Smith, The Story of</w:t></w:r>
</w:p>
<w:p>
<w:pPr><w:pStyle w:val="Normal"/></w:pPr>
<w:r><w:t xml:space="preserve">Mont Blanc (1853); G. Studer, Topographische Mitteilungen</w:t></w:r>
</w:p>
<w:p>
<w:pPr><w:pStyle w:val="Normal"/></w:pPr>
<w:r><w:t xml:space="preserve">aus dem Alpengebirge (1843); R. Topffer, Voyages en</w:t></w:r>
</w:p>
<w:p>
<w:pPr><w:pStyle w:val="Normal"/></w:pPr>
<w:r><w:t xml:space="preserve">zigzag (2 series, 1844 and 1853); Aegid.  Tschudi, De</w:t></w:r>
</w:p>
<w:p>
<w:pPr><w:pStyle w:val="Normal"/></w:pPr>
<w:r><w:t xml:space="preserve">prisca ac vera alpina Rhaetia (1538, also in German,</w:t></w:r>
</w:p>
<w:p>
<w:pPr><w:pStyle w:val="Normal"/></w:pPr>
<w:r><w:t xml:space="preserve">same date); and L. von Weldon, Der Monte Rosa (1824).</w:t></w:r>
</w:p>
<w:p>
<w:pPr><w:pStyle w:val="Normal"/></w:pPr>
<w:r><w:t xml:space="preserve">As to works published after 1855 we can only give a short,</w:t></w:r>
</w:p>
<w:p>
<w:pPr><w:pStyle w:val="Normal"/></w:pPr>
<w:r><w:t xml:space="preserve">though carefully selected, list.  C. Aeby and others, Das</w:t></w:r>
</w:p>
<w:p>
<w:pPr><w:pStyle w:val="Normal"/></w:pPr>
<w:r><w:t xml:space="preserve">Hochgebirge von Grindelwald (1865); W. A. Baillie-Grohmann,</w:t></w:r>
</w:p>
<w:p>
<w:pPr><w:pStyle w:val="Normal"/></w:pPr>
<w:r><w:t xml:space="preserve">Tyrol and the Tyrolese (1876), and Gaddings with a</w:t></w:r>
</w:p>
<w:p>
<w:pPr><w:pStyle w:val="Normal"/></w:pPr>
<w:r><w:t xml:space="preserve">Primitive People (2 vols., 1878); H. von Barth, Aus den</w:t></w:r>
</w:p>
<w:p>
<w:pPr><w:pStyle w:val="Normal"/></w:pPr>
<w:r><w:t xml:space="preserve">nordlichen Kalkalpen (1874); L. Barth and L. Pfaundler,</w:t></w:r>
</w:p>
<w:p>
<w:pPr><w:pStyle w:val="Normal"/></w:pPr>
<w:r><w:t xml:space="preserve">Die Stubaiergebirgsgruppe (1863); G. F. Browne, Off the</w:t></w:r>
</w:p>
<w:p>
<w:pPr><w:pStyle w:val="Normal"/></w:pPr>
<w:r><w:t xml:space="preserve">Mill (1895); Mrs H. W. Cole, A Lady&apos;s Tour round Monte</w:t></w:r>
</w:p>
<w:p>
<w:pPr><w:pStyle w:val="Normal"/></w:pPr>
<w:r><w:t xml:space="preserve">Rosa (1859); E. T. Coleman, Scenes from the Snow Fields</w:t></w:r>
</w:p>
<w:p>
<w:pPr><w:pStyle w:val="Normal"/></w:pPr>
<w:r><w:t xml:space="preserve">(1859); Sir Marrin Conway, The Alps from End to End (1895);</w:t></w:r>
</w:p>
<w:p>
<w:pPr><w:pStyle w:val="Normal"/></w:pPr>
<w:r><w:t xml:space="preserve">A. Daudet, Tartarin sur les Alpes (1885, Eng. trans., same</w:t></w:r>
</w:p>
<w:p>
<w:pPr><w:pStyle w:val="Normal"/></w:pPr>
<w:r><w:t xml:space="preserve">date); C. T. Dent, Above the Snow Line (1883); Miss A. B.</w:t></w:r>
</w:p>
<w:p>
<w:pPr><w:pStyle w:val="Normal"/></w:pPr>
<w:r><w:t xml:space="preserve">Edwards, Untrodden Peaks and Unfrequented Valleys (1873,</w:t></w:r>
</w:p>
<w:p>
<w:pPr><w:pStyle w:val="Normal"/></w:pPr>
<w:r><w:t xml:space="preserve">Dolomites); Max Forderreuther, Die Allgauer Alpen (1906);</w:t></w:r>
</w:p>
<w:p>
<w:pPr><w:pStyle w:val="Normal"/></w:pPr>
<w:r><w:t xml:space="preserve">D. W. Freshfield, Across Country from Thonon to Trent</w:t></w:r>
</w:p>
<w:p>
<w:pPr><w:pStyle w:val="Normal"/></w:pPr>
<w:r><w:t xml:space="preserve">(1865), and Italian Alps (1875); Mrs Henry Freshfield, Alpine</w:t></w:r>
</w:p>
<w:p>
<w:pPr><w:pStyle w:val="Normal"/></w:pPr>
<w:r><w:t xml:space="preserve">Byways (1861), and A Summer Tour in the Grisons (1862); H.</w:t></w:r>
</w:p>
<w:p>
<w:pPr><w:pStyle w:val="Normal"/></w:pPr>
<w:r><w:t xml:space="preserve">B. George, The Oberland and its Glaciers (1866); J. Gilbert</w:t></w:r>
</w:p>
<w:p>
<w:pPr><w:pStyle w:val="Normal"/></w:pPr>
<w:r><w:t xml:space="preserve">and G. C. Churchill, The Dolomite Mountains (1854); A. G.</w:t></w:r>
</w:p>
<w:p>
<w:pPr><w:pStyle w:val="Normal"/></w:pPr>
<w:r><w:t xml:space="preserve">Girdlestone, The High Alps without Guides (1870); P. Grohmann,</w:t></w:r>
</w:p>
<w:p>
<w:pPr><w:pStyle w:val="Normal"/></w:pPr>
<w:r><w:t xml:space="preserve">Wanderungen in den Dolomiten (1877); P. Gussfeldt, In</w:t></w:r>
</w:p>
<w:p>
<w:pPr><w:pStyle w:val="Normal"/></w:pPr>
<w:r><w:t xml:space="preserve">den Hochalpen (1886), and Der Montblanc (1894); T. W.</w:t></w:r>
</w:p>
<w:p>
<w:pPr><w:pStyle w:val="Normal"/></w:pPr>
<w:r><w:t xml:space="preserve">Hinchliff, Summer Months among the Alps (1857); C. Hudson and</w:t></w:r>
</w:p>
<w:p>
<w:pPr><w:pStyle w:val="Normal"/></w:pPr>
<w:r><w:t xml:space="preserve">E. S. Kennedy, Where there&apos;s a Will there&apos;s a Way (1856); E.</w:t></w:r>
</w:p>
<w:p>
<w:pPr><w:pStyle w:val="Normal"/></w:pPr>
<w:r><w:t xml:space="preserve">Javelle, Souvenirs d&apos; un Alpiniste (1886, Eng. trans.,</w:t></w:r>
</w:p>
<w:p>
<w:pPr><w:pStyle w:val="Normal"/></w:pPr>
<w:r><w:t xml:space="preserve">1899); S. W. King, The Italian Valleys of the Pennine Alps</w:t></w:r>
</w:p>
<w:p>
<w:pPr><w:pStyle w:val="Normal"/></w:pPr>
<w:r><w:t xml:space="preserve">(1858); Le V&apos;alli di Lanzo (publ. by the Italian Alpine</w:t></w:r>
</w:p>
<w:p>
<w:pPr><w:pStyle w:val="Normal"/></w:pPr>
<w:r><w:t xml:space="preserve">Club in 1899); A. Lorria and E. A. Mariel, Le Mossif de</w:t></w:r>
</w:p>
<w:p>
<w:pPr><w:pStyle w:val="Normal"/></w:pPr>
<w:r><w:t xml:space="preserve">la Bernina (1894); J. Michelet, La Montagne (1868, Eng.</w:t></w:r>
</w:p>
<w:p>
<w:pPr><w:pStyle w:val="Normal"/></w:pPr>
<w:r><w:t xml:space="preserve">trans., 1872); A. W. Moore, The Alps in 1864 (1867, publ.</w:t></w:r>
</w:p>
<w:p>
<w:pPr><w:pStyle w:val="Normal"/></w:pPr>
<w:r><w:t xml:space="preserve">ed., 1902); A. F. Mummery, My Climbs in the Alps (1895);</w:t></w:r>
</w:p>
<w:p>
<w:pPr><w:pStyle w:val="Normal"/></w:pPr>
<w:r><w:t xml:space="preserve">Norman-Neruda, The Climbs of (1899); Peaks, Passes and</w:t></w:r>
</w:p>
<w:p>
<w:pPr><w:pStyle w:val="Normal"/></w:pPr>
<w:r><w:t xml:space="preserve">Glaciers (3 vols., 1859-1862); L. Purtscheller, Uber Fels</w:t></w:r>
</w:p>
<w:p>
<w:pPr><w:pStyle w:val="Normal"/></w:pPr>
<w:r><w:t xml:space="preserve">und Firn (1901); E. Rambert, Ascensions et flaneries (2</w:t></w:r>
</w:p>
<w:p>
<w:pPr><w:pStyle w:val="Normal"/></w:pPr>
<w:r><w:t xml:space="preserve">vols., 1888); G. Rey, Il Monte Cervino (1904); John Ruskin,</w:t></w:r>
</w:p>
<w:p>
<w:pPr><w:pStyle w:val="Normal"/></w:pPr>
<w:r><w:t xml:space="preserve">vol. iv. (On Mountain Beauty) of Modern Painters (1856); A.</w:t></w:r>
</w:p>
<w:p>
<w:pPr><w:pStyle w:val="Normal"/></w:pPr>
<w:r><w:t xml:space="preserve">von Ruthner, Aus den Tauern (1864) and Aus Tirol (1869);</w:t></w:r>
</w:p>
<w:p>
<w:pPr><w:pStyle w:val="Heading1"/></w:pPr>
<w:r><w:t>V. Sella and D. Vallino, Monte Rosa e Gressoney (1890); F.</w:t></w:r>
</w:p>
<w:p>
<w:pPr><w:pStyle w:val="Normal"/></w:pPr>
<w:r><w:t xml:space="preserve">Simony, Das Dachsteingebict (1889-1896); L. Sinigaglia,</w:t></w:r>
</w:p>
<w:p>
<w:pPr><w:pStyle w:val="Normal"/></w:pPr>
<w:r><w:t xml:space="preserve">Climbing Reminiscences of the Dolomites (1896); K. von</w:t></w:r>
</w:p>
<w:p>
<w:pPr><w:pStyle w:val="Normal"/></w:pPr>
<w:r><w:t xml:space="preserve">Sonklar, Die Oetzthaler Gebirgsgruppe (1860), and Die</w:t></w:r>
</w:p>
<w:p>
<w:pPr><w:pStyle w:val="Normal"/></w:pPr>
<w:r><w:t xml:space="preserve">Glebirgsgruppe der Hohen-Tauern (1866); Sir L. Stephen,</w:t></w:r>
</w:p>
<w:p>
<w:pPr><w:pStyle w:val="Normal"/></w:pPr>
<w:r><w:t xml:space="preserve">The Playground of Europe (1871); B. Studer, Geschichte</w:t></w:r>
</w:p>
<w:p>
<w:pPr><w:pStyle w:val="Normal"/></w:pPr>
<w:r><w:t xml:space="preserve">der physischen Geographie der Schweiz bis 1815 (1863); G.</w:t></w:r>
</w:p>
<w:p>
<w:pPr><w:pStyle w:val="Normal"/></w:pPr>
<w:r><w:t xml:space="preserve">Studer and others, Berg- und Gletscherfahrten (2 series,</w:t></w:r>
</w:p>
<w:p>
<w:pPr><w:pStyle w:val="Normal"/></w:pPr>
<w:r><w:t xml:space="preserve">1859 and 1863); G. Theobald, Naturbilder aus den rhatischen</w:t></w:r>
</w:p>
<w:p>
<w:pPr><w:pStyle w:val="Normal"/></w:pPr>
<w:r><w:t xml:space="preserve">Alpen (1860), and Das Bundner Oberland (1861); F. F.</w:t></w:r>
</w:p>
<w:p>
<w:pPr><w:pStyle w:val="Normal"/></w:pPr>
<w:r><w:t xml:space="preserve">Tuckett, Hochalpenstudien (2 vols., 1873-1874); Miss L.</w:t></w:r>
</w:p>
<w:p>
<w:pPr><w:pStyle w:val="Normal"/></w:pPr>
<w:r><w:t xml:space="preserve">Tuckett, How we Spent the Summer (1864), Pictures in Tyrol</w:t></w:r>
</w:p>
<w:p>
<w:pPr><w:pStyle w:val="Normal"/></w:pPr>
<w:r><w:t xml:space="preserve">(1867), and Zigzagging amongst Dolomites (1871); J. Tyndall,</w:t></w:r>
</w:p>
<w:p>
<w:pPr><w:pStyle w:val="Normal"/></w:pPr>
<w:r><w:t xml:space="preserve">The Glaciers of the Alps (1860), Mountaineering in 1861</w:t></w:r>
</w:p>
<w:p>
<w:pPr><w:pStyle w:val="Normal"/></w:pPr>
<w:r><w:t xml:space="preserve">(1862), and Hours of Exercise in the Alps (1871); J. J.</w:t></w:r>
</w:p>
<w:p>
<w:pPr><w:pStyle w:val="Normal"/></w:pPr>
<w:r><w:t xml:space="preserve">Weilenmann, Aus der Firnenwelt (3 vols., 1872-1877); E.</w:t></w:r>
</w:p>
<w:p>
<w:pPr><w:pStyle w:val="Normal"/></w:pPr>
<w:r><w:t xml:space="preserve">Whymper, Scrambles amongst the Alps (1871); Sir A. Wills,</w:t></w:r>
</w:p>
<w:p>
<w:pPr><w:pStyle w:val="Normal"/></w:pPr>
<w:r><w:t xml:space="preserve">Wanderings among the High Alps (1856), and The ``Eagle&apos;s</w:t></w:r>
</w:p>
<w:p>
<w:pPr><w:pStyle w:val="Normal"/></w:pPr>
<w:r><w:t xml:space="preserve">Nest&apos;&apos;in the Valley of Sixt (1860); G. Yeld, Scrambles in the</w:t></w:r>
</w:p>
<w:p>
<w:pPr><w:pStyle w:val="Normal"/></w:pPr>
<w:r><w:t xml:space="preserve">Eastern Graians (1900); H. Zschokke, Reise auf die Eisgebirge</w:t></w:r>
</w:p>
<w:p>
<w:pPr><w:pStyle w:val="Normal"/></w:pPr>
<w:r><w:t xml:space="preserve">des Kantons Bern und Ersteigung ihrer hochsten Gipfel</w:t></w:r>
</w:p>
<w:p>
<w:pPr><w:pStyle w:val="Normal"/></w:pPr>
<w:r><w:t xml:space="preserve">im Sommer von 1812 (1813); E. Zsigmondy, Im Hochgebirge</w:t></w:r>
</w:p>
<w:p>
<w:pPr><w:pStyle w:val="Normal"/></w:pPr>
<w:r><w:t xml:space="preserve">(1889); M. Zurbriggen, From the Alps to the Andes (1899).</w:t></w:r>
</w:p>
<w:p>
<w:pPr><w:pStyle w:val="Normal"/></w:pPr>
<w:r><w:t xml:space="preserve">Many useful practical hints as to climbing are to be found</w:t></w:r>
</w:p>
<w:p>
<w:pPr><w:pStyle w:val="Normal"/></w:pPr>
<w:r><w:t xml:space="preserve">in C. T. Dent and others, Mountaineering (1892, 3rd ed.,</w:t></w:r>
</w:p>
<w:p>
<w:pPr><w:pStyle w:val="Normal"/></w:pPr>
<w:r><w:t xml:space="preserve">1900, ``Badminton Library&apos;&apos;); the Manuel d&apos;Alpinisme</w:t></w:r>
</w:p>
<w:p>
<w:pPr><w:pStyle w:val="Normal"/></w:pPr>
<w:r><w:t xml:space="preserve">(1904, publ. by the French Alpine Club); J. Meurer, Handbuch</w:t></w:r>
</w:p>
<w:p>
<w:pPr><w:pStyle w:val="Normal"/></w:pPr>
<w:r><w:t xml:space="preserve">der alpinen Sport 1882), Katechismus fur Bergsteiger</w:t></w:r>
</w:p>
<w:p>
<w:pPr><w:pStyle w:val="Normal"/></w:pPr>
<w:r><w:t xml:space="preserve">(1892), and Der Bergsteiger im Hochgebirge (1893);</w:t></w:r>
</w:p>
<w:p>
<w:pPr><w:pStyle w:val="Normal"/></w:pPr>
<w:r><w:t xml:space="preserve">.and C. Wilson, Mountaineering (1893, ``All England&apos;&apos;</w:t></w:r>
</w:p>
<w:p>
<w:pPr><w:pStyle w:val="Normal"/></w:pPr>
<w:r><w:t xml:space="preserve">series).  As regards the dangers of Alpine climbing consult</w:t></w:r>
</w:p>
<w:p>
<w:pPr><w:pStyle w:val="Heading1"/></w:pPr>
<w:r><w:t>C. Fiorio and C. Ratti, I Pericoli dell&apos; Alpinismo (1889),</w:t></w:r>
</w:p>
<w:p>
<w:pPr><w:pStyle w:val="Normal"/></w:pPr>
<w:r><w:t xml:space="preserve">and E. Zsigmondy, Die Gefahren der Alpen (1885, Fr. trans.,</w:t></w:r>
</w:p>
<w:p>
<w:pPr><w:pStyle w:val="Normal"/></w:pPr>
<w:r><w:t xml:space="preserve">1889).  There are also special guide-books for the use of</w:t></w:r>
</w:p>
<w:p>
<w:pPr><w:pStyle w:val="Normal"/></w:pPr>
<w:r><w:t xml:space="preserve">climbers in the Alps---the ``Climbers&apos; Guides&apos;&apos; series,</w:t></w:r>
</w:p>
<w:p>
<w:pPr><w:pStyle w:val="Normal"/></w:pPr>
<w:r><w:t xml:space="preserve">edited by Sir Martin Conway and W. A. B. Coolidge (10 vols.,</w:t></w:r>
</w:p>
<w:p>
<w:pPr><w:pStyle w:val="Normal"/></w:pPr>
<w:r><w:t xml:space="preserve">1890--1894); W. A. B. Coolidge, H. Duhamel and F. Perrin,</w:t></w:r>
</w:p>
<w:p>
<w:pPr><w:pStyle w:val="Normal"/></w:pPr>
<w:r><w:t xml:space="preserve">Guide du Haut Dauphine (1887, with supplement in 1890, Eng.</w:t></w:r>
</w:p>
<w:p>
<w:pPr><w:pStyle w:val="Normal"/></w:pPr>
<w:r><w:t xml:space="preserve">trans., 1892 and 1905); L. Purtscheller and H. Hess, Der</w:t></w:r>
</w:p>
<w:p>
<w:pPr><w:pStyle w:val="Normal"/></w:pPr>
<w:r><w:t xml:space="preserve">Hochtourist in den Ostalpen (2 vols., 1894, 3 vols., 3rd</w:t></w:r>
</w:p>
<w:p>
<w:pPr><w:pStyle w:val="Normal"/></w:pPr>
<w:r><w:t xml:space="preserve">ed., 1903); the 3 vols. publ. (1902-1905) by the Swiss Alpine</w:t></w:r>
</w:p>
<w:p>
<w:pPr><w:pStyle w:val="Normal"/></w:pPr>
<w:r><w:t xml:space="preserve">Club under the name of Clubfuhrer to the Alps of Glarus and</w:t></w:r>
</w:p>
<w:p>
<w:pPr><w:pStyle w:val="Normal"/></w:pPr>
<w:r><w:t xml:space="preserve">Uri, and V. Wolf von Glanvell, Dolomitenfuhrer (1898).</w:t></w:r>
</w:p>
<w:p>
<w:pPr><w:pStyle w:val="Normal"/></w:pPr>
<w:r><w:t xml:space="preserve">As regards the early history of Alpine exploration consult W.</w:t></w:r>
</w:p>
<w:p>
<w:pPr><w:pStyle w:val="Normal"/></w:pPr>
<w:r><w:t xml:space="preserve">A. B. Coolidge, Josias Simler et les origines de l&apos;alpinisme</w:t></w:r>
</w:p>
<w:p>
<w:pPr><w:pStyle w:val="Normal"/></w:pPr>
<w:r><w:t xml:space="preserve">jusqu&apos;en 1600 (1904), and F. Gribble, The Early Mountaineers</w:t></w:r>
</w:p>
<w:p>
<w:pPr><w:pStyle w:val="Normal"/></w:pPr>
<w:r><w:t xml:space="preserve">(1899).  For the later period see, besides the more general</w:t></w:r>
</w:p>
<w:p>
<w:pPr><w:pStyle w:val="Normal"/></w:pPr>
<w:r><w:t xml:space="preserve">works of travel mentioned above, the publications (that date</w:t></w:r>
</w:p>
<w:p>
<w:pPr><w:pStyle w:val="Normal"/></w:pPr>
<w:r><w:t xml:space="preserve">from 1863) of the various Alpine Clubs--the Alpine Journal</w:t></w:r>
</w:p>
<w:p>
<w:pPr><w:pStyle w:val="Normal"/></w:pPr>
<w:r><w:t xml:space="preserve">(English A. C.), the Annuaire, Bulletin, La Montagne, and</w:t></w:r>
</w:p>
<w:p>
<w:pPr><w:pStyle w:val="Normal"/></w:pPr>
<w:r><w:t xml:space="preserve">Revue alpine (French A. C.), the Jahrbuch, Mitteilungen,</w:t></w:r>
</w:p>
<w:p>
<w:pPr><w:pStyle w:val="Normal"/></w:pPr>
<w:r><w:t xml:space="preserve">Verhandlungen, and Zeitschrift (German and Austrian A. C.),</w:t></w:r>
</w:p>
<w:p>
<w:pPr><w:pStyle w:val="Normal"/></w:pPr>
<w:r><w:t xml:space="preserve">the Alpinista, Bollettino, and Rivista Mensile (Italian A.</w:t></w:r>
</w:p>
<w:p>
<w:pPr><w:pStyle w:val="Normal"/></w:pPr>
<w:r><w:t xml:space="preserve">C.), and the Alpina, Echo des Alpes, Jahrbuch, Schweizer</w:t></w:r>
</w:p>
<w:p>
<w:pPr><w:pStyle w:val="Normal"/></w:pPr>
<w:r><w:t xml:space="preserve">Alpen-Zeitung (Swiss A. C.), besides those of the smaller</w:t></w:r>
</w:p>
<w:p>
<w:pPr><w:pStyle w:val="Normal"/></w:pPr>
<w:r><w:t xml:space="preserve">societies, such as the Osterreichische Alpen-Zeitung</w:t></w:r>
</w:p>
<w:p>
<w:pPr><w:pStyle w:val="Normal"/></w:pPr>
<w:r><w:t xml:space="preserve">(Austrian A. C.), the Annuaire (Societe des Touristes du</w:t></w:r>
</w:p>
<w:p>
<w:pPr><w:pStyle w:val="Normal"/></w:pPr>
<w:r><w:t xml:space="preserve">Dauphine), and the Anunuario (Societa degli Alpinisti</w:t></w:r>
</w:p>
<w:p>
<w:pPr><w:pStyle w:val="Normal"/></w:pPr>
<w:r><w:t xml:space="preserve">Tridentini).  Summaries of the Alpine history of the three</w:t></w:r>
</w:p>
<w:p>
<w:pPr><w:pStyle w:val="Normal"/></w:pPr>
<w:r><w:t xml:space="preserve">great divisons of the Alps are given in (W. Alps) L. Vaccarone,</w:t></w:r>
</w:p>
<w:p>
<w:pPr><w:pStyle w:val="Normal"/></w:pPr>
<w:r><w:t xml:space="preserve">Statistica delle Prime Ascensioni nelle Alpi Occidentali</w:t></w:r>
</w:p>
<w:p>
<w:pPr><w:pStyle w:val="Normal"/></w:pPr>
<w:r><w:t xml:space="preserve">(3rd. ed., 1890--this work omits the Dauphine Alps, as to</w:t></w:r>
</w:p>
<w:p>
<w:pPr><w:pStyle w:val="Normal"/></w:pPr>
<w:r><w:t xml:space="preserve">which see the 1887 work or its Eng. version 1905, mentioned</w:t></w:r>
</w:p>
<w:p>
<w:pPr><w:pStyle w:val="Normal"/></w:pPr>
<w:r><w:t xml:space="preserve">above); (Central and Swiss Alps) G. Studer, Uber Eis</w:t></w:r>
</w:p>
<w:p>
<w:pPr><w:pStyle w:val="Normal"/></w:pPr>
<w:r><w:t xml:space="preserve">und Schnee (2nd ed. 3 vols., 1896-1899); and (E. Alps) G.</w:t></w:r>
</w:p>
<w:p>
<w:pPr><w:pStyle w:val="Normal"/></w:pPr>
<w:r><w:t xml:space="preserve">Groger and J. Rabi, Die Entwickelung der Hochtouristik</w:t></w:r>
</w:p>
<w:p>
<w:pPr><w:pStyle w:val="Normal"/></w:pPr>
<w:r><w:t xml:space="preserve">in den osterreichischen Alpen (1890), and E. Pichter, Die</w:t></w:r>
</w:p>
<w:p>
<w:pPr><w:pStyle w:val="Normal"/></w:pPr>
<w:r><w:t xml:space="preserve">Erschliessung der Ostalpen (3 vols., 1894).  The detailed</w:t></w:r>
</w:p>
<w:p>
<w:pPr><w:pStyle w:val="Normal"/></w:pPr>
<w:r><w:t xml:space="preserve">history of Mont Blanc has been written by Ch. Durier, Le</w:t></w:r>
</w:p>
<w:p>
<w:pPr><w:pStyle w:val="Normal"/></w:pPr>
<w:r><w:t xml:space="preserve">Mont Blanc (1877, 4th ed., 1897), and C. E. Mathews, The</w:t></w:r>
</w:p>
<w:p>
<w:pPr><w:pStyle w:val="Normal"/></w:pPr>
<w:r><w:t xml:space="preserve">Annals of Mont Blanc (1898).  Lives of some of the most</w:t></w:r>
</w:p>
<w:p>
<w:pPr><w:pStyle w:val="Normal"/></w:pPr>
<w:r><w:t xml:space="preserve">celebrated mountain guides have been written in C. D. Cunningham</w:t></w:r>
</w:p>
<w:p>
<w:pPr><w:pStyle w:val="Normal"/></w:pPr>
<w:r><w:t xml:space="preserve">and W. de W. Abney, Pioneers of the Alps (2nd ed., 1888).</w:t></w:r>
</w:p>
<w:p>
<w:pPr><w:pStyle w:val="Normal"/></w:pPr>
<w:r><w:t xml:space="preserve">(2) Maps--There is no good modern and fairly large-scale</w:t></w:r>
</w:p>
<w:p>
<w:pPr><w:pStyle w:val="Normal"/></w:pPr>
<w:r><w:t xml:space="preserve">map of the entire chain of the Alps.  But L. Ravenstein&apos;s</w:t></w:r>
</w:p>
<w:p>
<w:pPr><w:pStyle w:val="Normal"/></w:pPr>
<w:r><w:t xml:space="preserve">maps (scale 1:250,000) of the Swiss Alps (2 sheets) and</w:t></w:r>
</w:p>
<w:p>
<w:pPr><w:pStyle w:val="Normal"/></w:pPr>
<w:r><w:t xml:space="preserve">of the Eastern Alps (8 sheets) include the whole chain,</w:t></w:r>
</w:p>
<w:p>
<w:pPr><w:pStyle w:val="Normal"/></w:pPr>
<w:r><w:t xml:space="preserve">save that portion south of the range of Mont Blanc.</w:t></w:r>
</w:p>
<w:p>
<w:pPr><w:pStyle w:val="Normal"/></w:pPr>
<w:r><w:t xml:space="preserve">All the countries which include Alpine districts have now</w:t></w:r>
</w:p>
<w:p>
<w:pPr><w:pStyle w:val="Normal"/></w:pPr>
<w:r><w:t xml:space="preserve">issued official Government maps.  The French map on a scale of</w:t></w:r>
</w:p>
<w:p>
<w:pPr><w:pStyle w:val="Normal"/></w:pPr>
<w:r><w:t xml:space="preserve">1:80,000 is clearer and more accurate than that on a scale of</w:t></w:r>
</w:p>
<w:p>
<w:pPr><w:pStyle w:val="Normal"/></w:pPr>
<w:r><w:t xml:space="preserve">1:100,000.  The Italian Government has published maps on</w:t></w:r>
</w:p>
<w:p>
<w:pPr><w:pStyle w:val="Normal"/></w:pPr>
<w:r><w:t xml:space="preserve">scales of 1:50,000 and 1:100,000. the Austrian on a scale</w:t></w:r>
</w:p>
<w:p>
<w:pPr><w:pStyle w:val="Normal"/></w:pPr>
<w:r><w:t xml:space="preserve">of 1:75,000, and the Bavarian on a scale of 1:50,000.</w:t></w:r>
</w:p>
<w:p>
<w:pPr><w:pStyle w:val="Normal"/></w:pPr>
<w:r><w:t xml:space="preserve">But the most splendid Government map of all is that put</w:t></w:r>
</w:p>
<w:p>
<w:pPr><w:pStyle w:val="Normal"/></w:pPr>
<w:r><w:t xml:space="preserve">forth by the Swiss Federal Topographical Bureau, under the</w:t></w:r>
</w:p>
<w:p>
<w:pPr><w:pStyle w:val="Normal"/></w:pPr>
<w:r><w:t xml:space="preserve">title of Siegfried Atlas (scale 1:50,000 for the Alpine</w:t></w:r>
</w:p>
<w:p>
<w:pPr><w:pStyle w:val="Normal"/></w:pPr>
<w:r><w:t xml:space="preserve">districts), which has quite superseded the Dufour Map (scale</w:t></w:r>
</w:p>
<w:p>
<w:pPr><w:pStyle w:val="Normal"/></w:pPr>
<w:r><w:t xml:space="preserve">1:100,000), the history of which was published in 1896.  For</w:t></w:r>
</w:p>
<w:p>
<w:pPr><w:pStyle w:val="Normal"/></w:pPr>
<w:r><w:t xml:space="preserve">maps of the Swiss Alps and their neighbours, see J. H. Graf,</w:t></w:r>
</w:p>
<w:p>
<w:pPr><w:pStyle w:val="Normal"/></w:pPr>
<w:r><w:t xml:space="preserve">Literatur der Lalndesvermessung (1896 with a supplement).</w:t></w:r>
</w:p>
<w:p>
<w:pPr><w:pStyle w:val="Normal"/></w:pPr>
<w:r><w:t xml:space="preserve">A few of the best special maps of certain districts may</w:t></w:r>
</w:p>
<w:p>
<w:pPr><w:pStyle w:val="Normal"/></w:pPr>
<w:r><w:t xml:space="preserve">be mentioned-- such as H. Duhamel&apos;s maps of the Dauphine</w:t></w:r>
</w:p>
<w:p>
<w:pPr><w:pStyle w:val="Normal"/></w:pPr>
<w:r><w:t xml:space="preserve">Alps (4 sheets on a scale of 1:i oo,ooo, 1889, 2nd ed.,</w:t></w:r>
</w:p>
<w:p>
<w:pPr><w:pStyle w:val="Normal"/></w:pPr>
<w:r><w:t xml:space="preserve">1892), and that of the range of Mont Blanc (scale 1:50,000,</w:t></w:r>
</w:p>
<w:p>
<w:pPr><w:pStyle w:val="Normal"/></w:pPr>
<w:r><w:t xml:space="preserve">1896, 2nd ed., 1905), by X. Imfeld and L. Kurz.  The German</w:t></w:r>
</w:p>
<w:p>
<w:pPr><w:pStyle w:val="Normal"/></w:pPr>
<w:r><w:t xml:space="preserve">and Austrian Alpine Club is publishing a very fine set of</w:t></w:r>
</w:p>
<w:p>
<w:pPr><w:pStyle w:val="Normal"/></w:pPr>
<w:r><w:t xml:space="preserve">maps (scale 1:50,000) of the Eastern Alps, which are clearer</w:t></w:r>
</w:p>
<w:p>
<w:pPr><w:pStyle w:val="Normal"/></w:pPr>
<w:r><w:t xml:space="preserve">and better than the Austrian Government&apos;s Topographische</w:t></w:r>
</w:p>
<w:p>
<w:pPr><w:pStyle w:val="Normal"/></w:pPr>
<w:r><w:t xml:space="preserve">Detailkarten (11 sheets, scale 1:50,000). (W.. A. B. C.)</w:t></w:r>
</w:p>
<w:p>
<w:pPr><w:pStyle w:val="Normal"/></w:pPr>
<w:r><w:t xml:space="preserve">10. Geology.---The Alps form but a small portion of a great</w:t></w:r>
</w:p>
<w:p>
<w:pPr><w:pStyle w:val="Normal"/></w:pPr>
<w:r><w:t xml:space="preserve">zone of crumpling which stretches, in a series of curves, from</w:t></w:r>
</w:p>
<w:p>
<w:pPr><w:pStyle w:val="Normal"/></w:pPr>
<w:r><w:t xml:space="preserve">the Atlas Mountains to the Himalayas.  Within this zone the</w:t></w:r>
</w:p>
<w:p>
<w:pPr><w:pStyle w:val="Normal"/></w:pPr>
<w:r><w:t xml:space="preserve">crust of the earth has been ridged up into a comolex system</w:t></w:r>
</w:p>
<w:p>
<w:pPr><w:pStyle w:val="Normal"/></w:pPr>
<w:r><w:t xml:space="preserve">of creases or folds, out of which the great mountain chains</w:t></w:r>
</w:p>
<w:p>
<w:pPr><w:pStyle w:val="Normal"/></w:pPr>
<w:r><w:t xml:space="preserve">of southern Europe and Asia have been carved by atmospheric</w:t></w:r>
</w:p>
<w:p>
<w:pPr><w:pStyle w:val="Normal"/></w:pPr>
<w:r><w:t xml:space="preserve">agencies.  Superficially, the continuity of the zone is broken</w:t></w:r>
</w:p>
<w:p>
<w:pPr><w:pStyle w:val="Normal"/></w:pPr>
<w:r><w:t xml:space="preserve">at intervals by gaps of greater or less extent; but these</w:t></w:r>
</w:p>
<w:p>
<w:pPr><w:pStyle w:val="Normal"/></w:pPr>
<w:r><w:t xml:space="preserve">are due, in part at least, to the subsidence of portions of</w:t></w:r>
</w:p>
<w:p>
<w:pPr><w:pStyle w:val="Normal"/></w:pPr>
<w:r><w:t xml:space="preserve">the folded belt and their subsequent burial by more recent</w:t></w:r>
</w:p>
<w:p>
<w:pPr><w:pStyle w:val="Normal"/></w:pPr>
<w:r><w:t xml:space="preserve">accumulations.  Such a gap is that between the Alps and the</w:t></w:r>
</w:p>
<w:p>
<w:pPr><w:pStyle w:val="Normal"/></w:pPr>
<w:r><w:t xml:space="preserve">Carpathians, but a glance at a geological map of the region</w:t></w:r>
</w:p>
<w:p>
<w:pPr><w:pStyle w:val="Normal"/></w:pPr>
<w:r><w:t xml:space="preserve">will show that the folding was probably at one time continuous.</w:t></w:r>
</w:p>
<w:p>
<w:pPr><w:pStyle w:val="Normal"/></w:pPr>
<w:r><w:t xml:space="preserve">Leaving, however, the larger question of the connexion</w:t></w:r>
</w:p>
<w:p>
<w:pPr><w:pStyle w:val="Normal"/></w:pPr>
<w:r><w:t xml:space="preserve">between the great mountain ranges of Europe and Asia, we find</w:t></w:r>
</w:p>
<w:p>
<w:pPr><w:pStyle w:val="Normal"/></w:pPr>
<w:r><w:t xml:space="preserve">that the Alps are formed cf a series of wrinkles or folds,</w:t></w:r>
</w:p>
<w:p>
<w:pPr><w:pStyle w:val="Normal"/></w:pPr>
<w:r><w:t xml:space="preserve">one behind another, frequently arranged en echelon.  The</w:t></w:r>
</w:p>
<w:p>
<w:pPr><w:pStyle w:val="Normal"/></w:pPr>
<w:r><w:t xml:space="preserve">folds run, in general, in the direction of the chain, and</w:t></w:r>
</w:p>
<w:p>
<w:pPr><w:pStyle w:val="Normal"/></w:pPr>
<w:r><w:t xml:space="preserve">together they form an arc around the plain of Lombardy and</w:t></w:r>
</w:p>
<w:p>
<w:pPr><w:pStyle w:val="Normal"/></w:pPr>
<w:r><w:t xml:space="preserve">Piedmont.  Outside this arc lies a depression along which</w:t></w:r>
</w:p>
<w:p>
<w:pPr><w:pStyle w:val="Normal"/></w:pPr>
<w:r><w:t xml:space="preserve">the waters of the upper Danube and the lower Rhone find their</w:t></w:r>
</w:p>
<w:p>
<w:pPr><w:pStyle w:val="Normal"/></w:pPr>
<w:r><w:t xml:space="preserve">way towards the sea; and beyond rise the ancient crystalline</w:t></w:r>
</w:p>
<w:p>
<w:pPr><w:pStyle w:val="Normal"/></w:pPr>
<w:r><w:t xml:space="preserve">masses of Bohemia, the Black Forest and the central plateau</w:t></w:r>
</w:p>
<w:p>
<w:pPr><w:pStyle w:val="Normal"/></w:pPr>
<w:r><w:t xml:space="preserve">of France, together with the intervening Mesozoic beds of</w:t></w:r>
</w:p>
<w:p>
<w:pPr><w:pStyle w:val="Normal"/></w:pPr>
<w:r><w:t xml:space="preserve">southern Germany and the Jura.  The depression is filled by</w:t></w:r>
</w:p>
<w:p>
<w:pPr><w:pStyle w:val="Normal"/></w:pPr>
<w:r><w:t xml:space="preserve">Miocene and later beds, which for the most part lie flat and</w:t></w:r>
</w:p>
<w:p>
<w:pPr><w:pStyle w:val="Normal"/></w:pPr>
<w:r><w:t xml:space="preserve">undisturbed as they were laid down.  Beyond the depression</w:t></w:r>
</w:p>
<w:p>
<w:pPr><w:pStyle w:val="Normal"/></w:pPr>
<w:r><w:t xml:space="preserve">also, excepting in the Jura Mountains, there is no sign of</w:t></w:r>
</w:p>
<w:p>
<w:pPr><w:pStyle w:val="Normal"/></w:pPr>
<w:r><w:t xml:space="preserve">the folding which has raised the Alpine chain.  Some of the</w:t></w:r>
</w:p>
<w:p>
<w:pPr><w:pStyle w:val="Normal"/></w:pPr>
<w:r><w:t xml:space="preserve">older beds indeed are crumpled, but the folding is altogether</w:t></w:r>
</w:p>
<w:p>
<w:pPr><w:pStyle w:val="Normal"/></w:pPr>
<w:r><w:t xml:space="preserve">different in age and in direction from that of the Alps.</w:t></w:r>
</w:p>
<w:p>
<w:pPr><w:pStyle w:val="Normal"/></w:pPr>
<w:r><w:t xml:space="preserve">To assist in forming a clear idea of the relations of the</w:t></w:r>
</w:p>
<w:p>
<w:pPr><w:pStyle w:val="Normal"/></w:pPr>
<w:r><w:t xml:space="preserve">Alps to the surrounding regions, a simple illustration will</w:t></w:r>
</w:p>
<w:p>
<w:pPr><w:pStyle w:val="Normal"/></w:pPr>
<w:r><w:t xml:space="preserve">suffice.  Upon a table covered by a cloth lay two books in the</w:t></w:r>
</w:p>
<w:p>
<w:pPr><w:pStyle w:val="Normal"/></w:pPr>
<w:r><w:t xml:space="preserve">relative positions shown in figure.  The book A represents the</w:t></w:r>
</w:p>
<w:p>
<w:pPr><w:pStyle w:val="Normal"/></w:pPr>
<w:r><w:t xml:space="preserve">central plateau of France and the book B represents the rocks</w:t></w:r>
</w:p>
<w:p>
<w:pPr><w:pStyle w:val="Normal"/></w:pPr>
<w:r><w:t xml:space="preserve">of Bohemia and southern Germany.  If the two hands be placed</w:t></w:r>
</w:p>
<w:p>
<w:pPr><w:pStyle w:val="Normal"/></w:pPr>
<w:r><w:t xml:space="preserve">flat upon the table, in the angle between the two books, and</w:t></w:r>
</w:p>
<w:p>
<w:pPr><w:pStyle w:val="Normal"/></w:pPr>
<w:r><w:t xml:space="preserve">the cloth pushed towards the corner, it will at once be rucked</w:t></w:r>
</w:p>
<w:p>
<w:pPr><w:pStyle w:val="Normal"/></w:pPr>
<w:r><w:t xml:space="preserve">up into a fold which will follow a curve not unlike that of the</w:t></w:r>
</w:p>
<w:p>
<w:pPr><w:pStyle w:val="Normal"/></w:pPr>
<w:r><w:t xml:space="preserve">Alps.  The precise character and form of the folds produced</w:t></w:r>
</w:p>
<w:p>
<w:pPr><w:pStyle w:val="Normal"/></w:pPr>
<w:r><w:t xml:space="preserve">will depend upon the nature of the cloth and other accidental</w:t></w:r>
</w:p>
<w:p>
<w:pPr><w:pStyle w:val="Normal"/></w:pPr>
<w:r><w:t xml:space="preserve">circumstances; but with a little adjustment not only a</w:t></w:r>
</w:p>
<w:p>
<w:pPr><w:pStyle w:val="Normal"/></w:pPr>
<w:r><w:t xml:space="preserve">representation of the chain of the Alps, but even a subsidiary</w:t></w:r>
</w:p>
<w:p>
<w:pPr><w:pStyle w:val="Normal"/></w:pPr>
<w:r><w:t xml:space="preserve">fold in front in the position of the Jura Mountains may be</w:t></w:r>
</w:p>
<w:p>
<w:pPr><w:pStyle w:val="Normal"/></w:pPr>
<w:r><w:t xml:space="preserve">obtained.  Imperfect though this illustration may be, it will</w:t></w:r>
</w:p>
<w:p>
<w:pPr><w:pStyle w:val="Normal"/></w:pPr>
<w:r><w:t xml:space="preserve">serve to explain the modern conception of the forces concerned</w:t></w:r>
</w:p>
<w:p>
<w:pPr><w:pStyle w:val="Normal"/></w:pPr>
<w:r><w:t xml:space="preserve">in the formation of the Alps.  Within the crust of the earth,</w:t></w:r>
</w:p>
<w:p>
<w:pPr><w:pStyle w:val="Normal"/></w:pPr>
<w:r><w:t xml:space="preserve">whether by the contraction of the interior or in any other</w:t></w:r>
</w:p>
<w:p>
<w:pPr><w:pStyle w:val="Normal"/></w:pPr>
<w:r><w:t xml:space="preserve">way, tangential pressures were set up.  Since the crust is</w:t></w:r>
</w:p>
<w:p>
<w:pPr><w:pStyle w:val="Normal"/></w:pPr>
<w:r><w:t xml:space="preserve">not of uniform strength throughout, only the weaker portions</w:t></w:r>
</w:p>
<w:p>
<w:pPr><w:pStyle w:val="Normal"/></w:pPr>
<w:r><w:t xml:space="preserve">yielded to the pressure; and these were crumpled up against</w:t></w:r>
</w:p>
<w:p>
<w:pPr><w:pStyle w:val="Normal"/></w:pPr>
<w:r><w:t xml:space="preserve">the more resisting portions and sometimes were pushed over</w:t></w:r>
</w:p>
<w:p>
<w:pPr><w:pStyle w:val="Normal"/></w:pPr>
<w:r><w:t xml:space="preserve">them.  In the case of the Alps it seems natural enough that</w:t></w:r>
</w:p>
<w:p>
<w:pPr><w:pStyle w:val="Normal"/></w:pPr>
<w:r><w:t xml:space="preserve">the crystalline masses of Bohemia, the Black Forest and the</w:t></w:r>
</w:p>
<w:p>
<w:pPr><w:pStyle w:val="Normal"/></w:pPr>
<w:r><w:t xml:space="preserve">central plateau of France should be firmer than the more modern</w:t></w:r>
</w:p>
<w:p>
<w:pPr><w:pStyle w:val="Normal"/></w:pPr>
<w:r><w:t xml:space="preserve">sedimentary deposits; but it is not so easy to understand why</w:t></w:r>
</w:p>
<w:p>
<w:pPr><w:pStyle w:val="Normal"/></w:pPr>
<w:r><w:t xml:space="preserve">the Mesozoic rocks of southern Germany resisted the folding,</w:t></w:r>
</w:p>
<w:p>
<w:pPr><w:pStyle w:val="Normal"/></w:pPr>
<w:r><w:t xml:space="preserve">while those of the Jura yielded.  It should, however, be borne</w:t></w:r>
</w:p>
<w:p>
<w:pPr><w:pStyle w:val="Normal"/></w:pPr>
<w:r><w:t xml:space="preserve">in mind that the resisting mass is not necessarily at the</w:t></w:r>
</w:p>
<w:p>
<w:pPr><w:pStyle w:val="Normal"/></w:pPr>
<w:r><w:t xml:space="preserve">surface.  Such is in outline the process by which the Alps</w:t></w:r>
</w:p>
<w:p>
<w:pPr><w:pStyle w:val="Normal"/></w:pPr>
<w:r><w:t xml:space="preserve">were elevated; but when the chain is examined in detail, it</w:t></w:r>
</w:p>
<w:p>
<w:pPr><w:pStyle w:val="Normal"/></w:pPr>
<w:r><w:t xml:space="preserve">is found that its history has not been uniform throughout;</w:t></w:r>
</w:p>
<w:p>
<w:pPr><w:pStyle w:val="Normal"/></w:pPr>
<w:r><w:t xml:space="preserve">and it will be convenient, for purposes of description,</w:t></w:r>
</w:p>
<w:p>
<w:pPr><w:pStyle w:val="Normal"/></w:pPr>
<w:r><w:t xml:space="preserve">to divide it into three portions, which may be called</w:t></w:r>
</w:p>
<w:p>
<w:pPr><w:pStyle w:val="Normal"/></w:pPr>
<w:r><w:t xml:space="preserve">the Eastern Alps, the Swiss Alps, and the Western Alps.</w:t></w:r>
</w:p>
<w:p>
<w:pPr><w:pStyle w:val="Normal"/></w:pPr>
<w:r><w:t xml:space="preserve">The Eastern Alps consist of a central mass of crystalline and</w:t></w:r>
</w:p>
<w:p>
<w:pPr><w:pStyle w:val="Normal"/></w:pPr>
<w:r><w:t xml:space="preserve">schistose rocks flanked on each side by a zone of Mesozoic</w:t></w:r>
</w:p>
<w:p>
<w:pPr><w:pStyle w:val="Normal"/></w:pPr>
<w:r><w:t xml:space="preserve">beds andon the north by an outer band of Tertiary deposits.</w:t></w:r>
</w:p>
<w:p>
<w:pPr><w:pStyle w:val="Normal"/></w:pPr>
<w:r><w:t xml:space="preserve">On the Italian side there is usually no zone of folded</w:t></w:r>
</w:p>
<w:p>
<w:pPr><w:pStyle w:val="Normal"/></w:pPr>
<w:r><w:t xml:space="preserve">Tertiaries and the Mesozoic band forms the southern border</w:t></w:r>
</w:p>
<w:p>
<w:pPr><w:pStyle w:val="Normal"/></w:pPr>
<w:r><w:t xml:space="preserve">of the chain.  Each of these zones is folded within itself,</w:t></w:r>
</w:p>
<w:p>
<w:pPr><w:pStyle w:val="Normal"/></w:pPr>
<w:r><w:t xml:space="preserve">and the folding is more intense on the Bavarian side than</w:t></w:r>
</w:p>
<w:p>
<w:pPr><w:pStyle w:val="Normal"/></w:pPr>
<w:r><w:t xml:space="preserve">on the Italian, the folds often leaning over towards the</w:t></w:r>
</w:p>
<w:p>
<w:pPr><w:pStyle w:val="Normal"/></w:pPr>
<w:r><w:t xml:space="preserve">north.   The Tertiary zone of the northern border is of</w:t></w:r>
</w:p>
<w:p>
<w:pPr><w:pStyle w:val="Normal"/></w:pPr>
<w:r><w:t xml:space="preserve">especial significance and is remarkable for its extent and</w:t></w:r>
</w:p>
<w:p>
<w:pPr><w:pStyle w:val="Normal"/></w:pPr>
<w:r><w:t xml:space="preserve">uniformity.  It is divided longitudinally into an outer zone</w:t></w:r>
</w:p>
<w:p>
<w:pPr><w:pStyle w:val="Normal"/></w:pPr>
<w:r><w:t xml:space="preserve">of Molasse and an inner zone of Flysch.  The line of</w:t></w:r>
</w:p>
<w:p>
<w:pPr><w:pStyle w:val="Normal"/></w:pPr>
<w:r><w:t xml:space="preserve">separation is very clearly defined; nowhere does the Molasse</w:t></w:r>
</w:p>
<w:p>
<w:pPr><w:pStyle w:val="Normal"/></w:pPr>
<w:r><w:t xml:space="preserve">pass beyond it to the south and nowhere does the Flysch extend</w:t></w:r>
</w:p>
<w:p>
<w:pPr><w:pStyle w:val="Normal"/></w:pPr>
<w:r><w:t xml:space="preserve">beyond it to the north.  The Molasse, in the neighbourhood</w:t></w:r>
</w:p>
<w:p>
<w:pPr><w:pStyle w:val="Normal"/></w:pPr>
<w:r><w:t xml:space="preserve">of the mountains, consists chiefly of conglomerates and</w:t></w:r>
</w:p>
<w:p>
<w:pPr><w:pStyle w:val="Normal"/></w:pPr>
<w:r><w:t xml:space="preserve">sandstones, and the Flysch consists of sandstones and shales;</w:t></w:r>
</w:p>
<w:p>
<w:pPr><w:pStyle w:val="Normal"/></w:pPr>
<w:r><w:t xml:space="preserve">but the Molasse is of Miocene and Oligocene age, while the</w:t></w:r>
</w:p>
<w:p>
<w:pPr><w:pStyle w:val="Normal"/></w:pPr>
<w:r><w:t xml:space="preserve">Flysch is mainly Eocene.  The relations of the two series</w:t></w:r>
</w:p>
<w:p>
<w:pPr><w:pStyle w:val="Normal"/></w:pPr>
<w:r><w:t xml:space="preserve">are never normal.  Along the line of contact, which is</w:t></w:r>
</w:p>
<w:p>
<w:pPr><w:pStyle w:val="Normal"/></w:pPr>
<w:r><w:t xml:space="preserve">often a fault, the oldest beds of the Molasse crop out,</w:t></w:r>
</w:p>
<w:p>
<w:pPr><w:pStyle w:val="Normal"/></w:pPr>
<w:r><w:t xml:space="preserve">and they are invariably overturned and plunge beneath the</w:t></w:r>
</w:p>
<w:p>
<w:pPr><w:pStyle w:val="Normal"/></w:pPr>
<w:r><w:t xml:space="preserve">Flysch.  A few miles farther north these same beds rise</w:t></w:r>
</w:p>
<w:p>
<w:pPr><w:pStyle w:val="Normal"/></w:pPr>
<w:r><w:t xml:space="preserve">again to the surface at the summit of an anticlinal which</w:t></w:r>
</w:p>
<w:p>
<w:pPr><w:pStyle w:val="Normal"/></w:pPr>
<w:r><w:t xml:space="preserve">runs parallel to the chain.  Beyond this point all signs of</w:t></w:r>
</w:p>
<w:p>
<w:pPr><w:pStyle w:val="Normal"/></w:pPr>
<w:r><w:t xml:space="preserve">folding gradually cease and the beds he flat and undisturbed.</w:t></w:r>
</w:p>
<w:p>
<w:pPr><w:pStyle w:val="Normal"/></w:pPr>
<w:r><w:t xml:space="preserve">The Flysch is an extraordinarily thick and uniform mass of</w:t></w:r>
</w:p>
<w:p>
<w:pPr><w:pStyle w:val="Normal"/></w:pPr>
<w:r><w:t xml:space="preserve">sandstones and shales with scarcely any fossils excepting</w:t></w:r>
</w:p>
<w:p>
<w:pPr><w:pStyle w:val="Normal"/></w:pPr>
<w:r><w:t xml:space="preserve">fucoids.  It is intensely folded and is constantly separated</w:t></w:r>
</w:p>
<w:p>
<w:pPr><w:pStyle w:val="Normal"/></w:pPr>
<w:r><w:t xml:space="preserve">from the Mesozoic zone by a fault.  Throughout the whole</w:t></w:r>
</w:p>
<w:p>
<w:pPr><w:pStyle w:val="Normal"/></w:pPr>
<w:r><w:t xml:space="preserve">extent of the Eastern Alps it is strictly limited to</w:t></w:r>
</w:p>
<w:p>
<w:pPr><w:pStyle w:val="Normal"/></w:pPr>
<w:r><w:t xml:space="preserve">the belt between this fault and the marginal zone of</w:t></w:r>
</w:p>
<w:p>
<w:pPr><w:pStyle w:val="Normal"/></w:pPr>
<w:r><w:t xml:space="preserve">Molasse.  Eocene beds, indeed, penetrate farther within</w:t></w:r>
</w:p>
<w:p>
<w:pPr><w:pStyle w:val="Normal"/></w:pPr>
<w:r><w:t xml:space="preserve">the chain, but these are limestones with nummulites or</w:t></w:r>
</w:p>
<w:p>
<w:pPr><w:pStyle w:val="Normal"/></w:pPr>
<w:r><w:t xml:space="preserve">lignite-bearing shales and have nothing in common with the</w:t></w:r>
</w:p>
<w:p>
<w:pPr><w:pStyle w:val="Normal"/></w:pPr>
<w:r><w:t xml:space="preserve">Flysch.  But although the Flysch is so uniform in character,</w:t></w:r>
</w:p>
<w:p>
<w:pPr><w:pStyle w:val="Normal"/></w:pPr>
<w:r><w:t xml:space="preserve">and although it forms so well defined a zone, it is not</w:t></w:r>
</w:p>
<w:p>
<w:pPr><w:pStyle w:val="Normal"/></w:pPr>
<w:r><w:t xml:space="preserve">everywhere of the same age.  In the west it seems to be</w:t></w:r>
</w:p>
<w:p>
<w:pPr><w:pStyle w:val="Normal"/></w:pPr>
<w:r><w:t xml:space="preserve">entirely Eocene, but towards the east intercalated beds with</w:t></w:r>
</w:p>
<w:p>
<w:pPr><w:pStyle w:val="Normal"/></w:pPr>
<w:r><w:t xml:space="preserve">Inoceramus, &amp;c., indicate that it is partly of Cretaceous</w:t></w:r>
</w:p>
<w:p>
<w:pPr><w:pStyle w:val="Normal"/></w:pPr>
<w:r><w:t xml:space="preserve">age.  It is, in fact, a facies and nothing more.  The most</w:t></w:r>
</w:p>
<w:p>
<w:pPr><w:pStyle w:val="Normal"/></w:pPr>
<w:r><w:t xml:space="preserve">probable explanation is that the Flysch consists of the detritus</w:t></w:r>
</w:p>
<w:p>
<w:pPr><w:pStyle w:val="Normal"/></w:pPr>
<w:r><w:t xml:space="preserve">washed down from the hills upon the flanks of which it was</w:t></w:r>
</w:p>
<w:p>
<w:pPr><w:pStyle w:val="Normal"/></w:pPr>
<w:r><w:t xml:space="preserve">formed.  It bears, indeed, very much the same relation to the</w:t></w:r>
</w:p>
<w:p>
<w:pPr><w:pStyle w:val="Normal"/></w:pPr>
<w:r><w:t xml:space="preserve">Alps that the Siwalik beds of India bear to the Himalayas.</w:t></w:r>
</w:p>
<w:p>
<w:pPr><w:pStyle w:val="Normal"/></w:pPr>
<w:r><w:t xml:space="preserve">The Mesozoic belt of the Bavarian and Austrian Alps consists</w:t></w:r>
</w:p>
<w:p>
<w:pPr><w:pStyle w:val="Normal"/></w:pPr>
<w:r><w:t xml:space="preserve">mainly of the Trias, Jurassic and Cretaceous beds playing</w:t></w:r>
</w:p>
<w:p>
<w:pPr><w:pStyle w:val="Normal"/></w:pPr>
<w:r><w:t xml:space="preserve">a comparatively subordinate part.  But between the Trias</w:t></w:r>
</w:p>
<w:p>
<w:pPr><w:pStyle w:val="Normal"/></w:pPr>
<w:r><w:t xml:space="preserve">of the Eastern Alps and the Trias of the region beyond the</w:t></w:r>
</w:p>
<w:p>
<w:pPr><w:pStyle w:val="Normal"/></w:pPr>
<w:r><w:t xml:space="preserve">Alpine folds there is a striking contrast.  North of the</w:t></w:r>
</w:p>
<w:p>
<w:pPr><w:pStyle w:val="Normal"/></w:pPr>
<w:r><w:t xml:space="preserve">Danube, in Germany as in England, red sandstones, shales and</w:t></w:r>
</w:p>
<w:p>
<w:pPr><w:pStyle w:val="Normal"/></w:pPr>
<w:r><w:t xml:space="preserve">conglomerates predominate, together with beds of gypsum and</w:t></w:r>
</w:p>
<w:p>
<w:pPr><w:pStyle w:val="Normal"/></w:pPr>
<w:r><w:t xml:space="preserve">salt.  It was a continental formation, such as is now</w:t></w:r>
</w:p>
<w:p>
<w:pPr><w:pStyle w:val="Normal"/></w:pPr>
<w:r><w:t xml:space="preserve">being formed within the desert belt of the globe.  Only the</w:t></w:r>
</w:p>
<w:p>
<w:pPr><w:pStyle w:val="Normal"/></w:pPr>
<w:r><w:t xml:space="preserve">Muschelkalk, which does not reach so far as England, and</w:t></w:r>
</w:p>
<w:p>
<w:pPr><w:pStyle w:val="Normal"/></w:pPr>
<w:r><w:t xml:space="preserve">the uppermost beds, the Rhaetic, contain fossils in any</w:t></w:r>
</w:p>
<w:p>
<w:pPr><w:pStyle w:val="Normal"/></w:pPr>
<w:r><w:t xml:space="preserve">abundance.  The Trias of the Eastern Alps, on the other</w:t></w:r>
</w:p>
<w:p>
<w:pPr><w:pStyle w:val="Normal"/></w:pPr>
<w:r><w:t xml:space="preserve">hand, consists chiefly of great masses of limestone with</w:t></w:r>
</w:p>
<w:p>
<w:pPr><w:pStyle w:val="Normal"/></w:pPr>
<w:r><w:t xml:space="preserve">an abundant fauna, and is clearly of marine origin.  The</w:t></w:r>
</w:p>
<w:p>
<w:pPr><w:pStyle w:val="Normal"/></w:pPr>
<w:r><w:t xml:space="preserve">Jurassic and Cretaceous beds also differ, though in a less</w:t></w:r>
</w:p>
<w:p>
<w:pPr><w:pStyle w:val="Normal"/></w:pPr>
<w:r><w:t xml:space="preserve">degree, from those of northern Europe.  They consist largely</w:t></w:r>
</w:p>
<w:p>
<w:pPr><w:pStyle w:val="Normal"/></w:pPr>
<w:r><w:t xml:space="preserve">of limestone; but marls and sandstones are by no means</w:t></w:r>
</w:p>
<w:p>
<w:pPr><w:pStyle w:val="Normal"/></w:pPr>
<w:r><w:t xml:space="preserve">rare, and there are considerable gaps in the succession</w:t></w:r>
</w:p>
<w:p>
<w:pPr><w:pStyle w:val="Normal"/></w:pPr>
<w:r><w:t xml:space="preserve">indicating that the region was not continuously beneath the</w:t></w:r>
</w:p>
<w:p>
<w:pPr><w:pStyle w:val="Normal"/></w:pPr>
<w:r><w:t xml:space="preserve">sea.  Tithonian fossils, characteristic of southern Europe,</w:t></w:r>
</w:p>
<w:p>
<w:pPr><w:pStyle w:val="Normal"/></w:pPr>
<w:r><w:t xml:space="preserve">occur in the upper Jurassic, while the Gosau beds, belonging</w:t></w:r>
</w:p>
<w:p>
<w:pPr><w:pStyle w:val="Normal"/></w:pPr>
<w:r><w:t xml:space="preserve">to the upper Cretaceous, contain many of the forms of the</w:t></w:r>
</w:p>
<w:p>
<w:pPr><w:pStyle w:val="Normal"/></w:pPr>
<w:r><w:t xml:space="preserve">Hippuritic sea.  Nevertheless, the difference between the</w:t></w:r>
</w:p>
<w:p>
<w:pPr><w:pStyle w:val="Normal"/></w:pPr>
<w:r><w:t xml:space="preserve">deposits on the two sides of the chain shows that the central</w:t></w:r>
</w:p>
<w:p>
<w:pPr><w:pStyle w:val="Normal"/></w:pPr>
<w:r><w:t xml:space="preserve">ridge was dry land during at least a part of the period.</w:t></w:r>
</w:p>
<w:p>
<w:pPr><w:pStyle w:val="Normal"/></w:pPr>
<w:r><w:t xml:space="preserve">The central zone of crystalline rock consists chiefly of</w:t></w:r>
</w:p>
<w:p>
<w:pPr><w:pStyle w:val="Normal"/></w:pPr>
<w:r><w:t xml:space="preserve">gneisses and schists, but folded within it is a band of</w:t></w:r>
</w:p>
<w:p>
<w:pPr><w:pStyle w:val="Normal"/></w:pPr>
<w:r><w:t xml:space="preserve">Palaeozoic rocks which divides it longitudinally into two</w:t></w:r>
</w:p>
<w:p>
<w:pPr><w:pStyle w:val="Normal"/></w:pPr>
<w:r><w:t xml:space="preserve">parts.  Palaeozoic beds also occur along the northern and</w:t></w:r>
</w:p>
<w:p>
<w:pPr><w:pStyle w:val="Normal"/></w:pPr>
<w:r><w:t xml:space="preserve">southern margins of the crystalline zone.  The age of a</w:t></w:r>
</w:p>
<w:p>
<w:pPr><w:pStyle w:val="Normal"/></w:pPr>
<w:r><w:t xml:space="preserve">great part of the Palaeozoic belts is somewhat uncertain,</w:t></w:r>
</w:p>
<w:p>
<w:pPr><w:pStyle w:val="Normal"/></w:pPr>
<w:r><w:t xml:space="preserve">but Permian, Carboniferous, Devonian and Silurian fossils</w:t></w:r>
</w:p>
<w:p>
<w:pPr><w:pStyle w:val="Normal"/></w:pPr>
<w:r><w:t xml:space="preserve">have been found in various parts of the chain, and it is</w:t></w:r>
</w:p>
<w:p>
<w:pPr><w:pStyle w:val="Normal"/></w:pPr>
<w:r><w:t xml:space="preserve">not unlikely that even the Cambrian may be represented.</w:t></w:r>
</w:p>
<w:p>
<w:pPr><w:pStyle w:val="Normal"/></w:pPr>
<w:r><w:t xml:space="preserve">The Mesozoic belt of the southern border of the chain extends</w:t></w:r>
</w:p>
<w:p>
<w:pPr><w:pStyle w:val="Normal"/></w:pPr>
<w:r><w:t xml:space="preserve">from Lago Maggiore eastwards.  Jurassic and Cretaceous beds</w:t></w:r>
</w:p>
<w:p>
<w:pPr><w:pStyle w:val="Normal"/></w:pPr>
<w:r><w:t xml:space="preserve">play a larger part than on the northern border, but the Trias</w:t></w:r>
</w:p>
<w:p>
<w:pPr><w:pStyle w:val="Normal"/></w:pPr>
<w:r><w:t xml:space="preserve">still predominates.  On the west the belt is narrow, but</w:t></w:r>
</w:p>
<w:p>
<w:pPr><w:pStyle w:val="Normal"/></w:pPr>
<w:r><w:t xml:space="preserve">towards the east it gradually widens, and north of Lago di</w:t></w:r>
</w:p>
<w:p>
<w:pPr><w:pStyle w:val="Normal"/></w:pPr>
<w:r><w:t xml:space="preserve">Garda its northern boundary is suddenly deflected to the</w:t></w:r>
</w:p>
<w:p>
<w:pPr><w:pStyle w:val="Normal"/></w:pPr>
<w:r><w:t xml:space="preserve">north and the zone spreads out so as to include the whole of</w:t></w:r>
</w:p>
<w:p>
<w:pPr><w:pStyle w:val="Normal"/></w:pPr>
<w:r><w:t xml:space="preserve">the Dolomite mountains of Tirol.  The sudden widening is due</w:t></w:r>
</w:p>
<w:p>
<w:pPr><w:pStyle w:val="Normal"/></w:pPr>
<w:r><w:t xml:space="preserve">to the great Judicaria fault, which runs from Lago d&apos;Idro</w:t></w:r>
</w:p>
<w:p>
<w:pPr><w:pStyle w:val="Normal"/></w:pPr>
<w:r><w:t xml:space="preserve">to the neighbourhood of Meran, where it bends round to the</w:t></w:r>
</w:p>
<w:p>
<w:pPr><w:pStyle w:val="Normal"/></w:pPr>
<w:r><w:t xml:space="preserve">east.  The throw of this fault may be as much as 2000 metres,</w:t></w:r>
</w:p>
<w:p>
<w:pPr><w:pStyle w:val="Normal"/></w:pPr>
<w:r><w:t xml:space="preserve">and the drop is on its south-east side, i.e. towards the</w:t></w:r>
</w:p>
<w:p>
<w:pPr><w:pStyle w:val="Normal"/></w:pPr>
<w:r><w:t xml:space="preserve">Adriatic.  It is probable, indeed, that the fault took a large</w:t></w:r>
</w:p>
<w:p>
<w:pPr><w:pStyle w:val="Normal"/></w:pPr>
<w:r><w:t xml:space="preserve">share in the formation of the Adriatic depression.  On the whole,</w:t></w:r>
</w:p>
<w:p>
<w:pPr><w:pStyle w:val="Normal"/></w:pPr>
<w:r><w:t xml:space="preserve">the Mesozoic beds of the southern border of the Alps point to a</w:t></w:r>
</w:p>
<w:p>
<w:pPr><w:pStyle w:val="Normal"/></w:pPr>
<w:r><w:t xml:space="preserve">deeper and less troubled sea than those of the north.  Clastic</w:t></w:r>
</w:p>
<w:p>
<w:pPr><w:pStyle w:val="Normal"/></w:pPr>
<w:r><w:t xml:space="preserve">sediments are less abundant and there are fewer breaks in the</w:t></w:r>
</w:p>
<w:p>
<w:pPr><w:pStyle w:val="Normal"/></w:pPr>
<w:r><w:t xml:space="preserve">succession.  The folding, moreover, is less intense; but in</w:t></w:r>
</w:p>
<w:p>
<w:pPr><w:pStyle w:val="Normal"/></w:pPr>
<w:r><w:t xml:space="preserve">the Dolomites of Tirol there are great outbursts of igneous</w:t></w:r>
</w:p>
<w:p>
<w:pPr><w:pStyle w:val="Normal"/></w:pPr>
<w:r><w:t xml:space="preserve">rock, and faulting has occurred on an extensive scale.</w:t></w:r>
</w:p>
<w:p>
<w:pPr><w:pStyle w:val="Normal"/></w:pPr>
<w:r><w:t xml:space="preserve">Swiss Alps.</w:t></w:r>
</w:p>
<w:p>
<w:pPr><w:pStyle w:val="Normal"/></w:pPr>
<w:r><w:t xml:space="preserve">West of a line which runs from Lake Constance to Lago Maggiore</w:t></w:r>
</w:p>
<w:p>
<w:pPr><w:pStyle w:val="Normal"/></w:pPr>
<w:r><w:t xml:space="preserve">the zones already described do not continue with the same</w:t></w:r>
</w:p>
<w:p>
<w:pPr><w:pStyle w:val="Normal"/></w:pPr>
<w:r><w:t xml:space="preserve">simplicity.  The zone of the Molasse is little changed,</w:t></w:r>
</w:p>
<w:p>
<w:pPr><w:pStyle w:val="Normal"/></w:pPr>
<w:r><w:t xml:space="preserve">but the Flysch is partly folded in the Mesozoic belt and</w:t></w:r>
</w:p>
<w:p>
<w:pPr><w:pStyle w:val="Normal"/></w:pPr>
<w:r><w:t xml:space="preserve">no longer forms an absolutely independent band.  The Trias</w:t></w:r>
</w:p>
<w:p>
<w:pPr><w:pStyle w:val="Normal"/></w:pPr>
<w:r><w:t xml:space="preserve">has almost disappeared, and what remains is not of the</w:t></w:r>
</w:p>
<w:p>
<w:pPr><w:pStyle w:val="Normal"/></w:pPr>
<w:r><w:t xml:space="preserve">marine type characteristic of the Eastern Alps but belongs</w:t></w:r>
</w:p>
<w:p>
<w:pPr><w:pStyle w:val="Normal"/></w:pPr>
<w:r><w:t xml:space="preserve">rather to the continental facies which occurs in Germany and</w:t></w:r>
</w:p>
<w:p>
<w:pPr><w:pStyle w:val="Normal"/></w:pPr>
<w:r><w:t xml:space="preserve">France.  Jurassic and Cretaceous beds form the greater part</w:t></w:r>
</w:p>
<w:p>
<w:pPr><w:pStyle w:val="Normal"/></w:pPr>
<w:r><w:t xml:space="preserve">of the Mesozoic band.  On the southern side of the chain the</w:t></w:r>
</w:p>
<w:p>
<w:pPr><w:pStyle w:val="Normal"/></w:pPr>
<w:r><w:t xml:space="preserve">Mesozoic zone disappears entirely a little west of Lago Maggiore</w:t></w:r>
</w:p>
<w:p>
<w:pPr><w:pStyle w:val="Normal"/></w:pPr>
<w:r><w:t xml:space="preserve">and the crystalline rocks rise directly from the plain.</w:t></w:r>
</w:p>
<w:p>
<w:pPr><w:pStyle w:val="Normal"/></w:pPr>
<w:r><w:t xml:space="preserve">Perhaps the strangest problem in the whole of Switzerland</w:t></w:r>
</w:p>
<w:p>
<w:pPr><w:pStyle w:val="Normal"/></w:pPr>
<w:r><w:t xml:space="preserve">is that presented by the so-called Klippen.  Within the</w:t></w:r>
</w:p>
<w:p>
<w:pPr><w:pStyle w:val="Normal"/></w:pPr>
<w:r><w:t xml:space="preserve">Alps, when normally developed, we may trace the individual</w:t></w:r>
</w:p>
<w:p>
<w:pPr><w:pStyle w:val="Normal"/></w:pPr>
<w:r><w:t xml:space="preserve">folds for long distances and observe how they arise,</w:t></w:r>
</w:p>
<w:p>
<w:pPr><w:pStyle w:val="Normal"/></w:pPr>
<w:r><w:t xml:space="preserve">increase and die out, to be replaced by others of similar</w:t></w:r>
</w:p>
<w:p>
<w:pPr><w:pStyle w:val="Normal"/></w:pPr>
<w:r><w:t xml:space="preserve">direction.  But at times, within or on the border of the</w:t></w:r>
</w:p>
<w:p>
<w:pPr><w:pStyle w:val="Normal"/></w:pPr>
<w:r><w:t xml:space="preserve">northern Eocene trough, the continuity of the folds is</w:t></w:r>
</w:p>
<w:p>
<w:pPr><w:pStyle w:val="Normal"/></w:pPr>
<w:r><w:t xml:space="preserve">suddenly broken by mountain masses of quite different</w:t></w:r>
</w:p>
<w:p>
<w:pPr><w:pStyle w:val="Normal"/></w:pPr>
<w:r><w:t xml:space="preserve">constitution.  These are the Klippen, and they are especially</w:t></w:r>
</w:p>
<w:p>
<w:pPr><w:pStyle w:val="Normal"/></w:pPr>
<w:r><w:t xml:space="preserve">important in the Chablais and between the Lakes of Geneva</w:t></w:r>
</w:p>
<w:p>
<w:pPr><w:pStyle w:val="Normal"/></w:pPr>
<w:r><w:t xml:space="preserve">and Thun.  Not only is the folding of the Klippen wholly</w:t></w:r>
</w:p>
<w:p>
<w:pPr><w:pStyle w:val="Normal"/></w:pPr>
<w:r><w:t xml:space="preserve">independent of that of the zone in which they lie, but the</w:t></w:r>
</w:p>
<w:p>
<w:pPr><w:pStyle w:val="Normal"/></w:pPr>
<w:r><w:t xml:space="preserve">rocks which form them are of foreign facies.  They consist</w:t></w:r>
</w:p>
<w:p>
<w:pPr><w:pStyle w:val="Normal"/></w:pPr>
<w:r><w:t xml:space="preserve">chiefly of Jurassic and Triassic beds, but it is the Trias</w:t></w:r>
</w:p>
<w:p>
<w:pPr><w:pStyle w:val="Normal"/></w:pPr>
<w:r><w:t xml:space="preserve">and the Jura of the Eastern Alps and not of Switzerland.</w:t></w:r>
</w:p>
<w:p>
<w:pPr><w:pStyle w:val="Normal"/></w:pPr>
<w:r><w:t xml:space="preserve">Moreover, although they interrupt the folding of the zone</w:t></w:r>
</w:p>
<w:p>
<w:pPr><w:pStyle w:val="Normal"/></w:pPr>
<w:r><w:t xml:space="preserve">in which they occur, they do not disturb it:  they do not, in</w:t></w:r>
</w:p>
<w:p>
<w:pPr><w:pStyle w:val="Normal"/></w:pPr>
<w:r><w:t xml:space="preserve">fact, rise through the zone, but lie upon it like unconformable</w:t></w:r>
</w:p>
<w:p>
<w:pPr><w:pStyle w:val="Normal"/></w:pPr>
<w:r><w:t xml:space="preserve">masses -- in other words, they rest upon a thrust-plane.</w:t></w:r>
</w:p>
<w:p>
<w:pPr><w:pStyle w:val="Normal"/></w:pPr>
<w:r><w:t xml:space="preserve">Whence they have come into their present position is by no</w:t></w:r>
</w:p>
<w:p>
<w:pPr><w:pStyle w:val="Normal"/></w:pPr>
<w:r><w:t xml:space="preserve">means clear; but the character of the beds which form them</w:t></w:r>
</w:p>
<w:p>
<w:pPr><w:pStyle w:val="Normal"/></w:pPr>
<w:r><w:t xml:space="preserve">indicates a distant origin.  It is interesting to note, in this</w:t></w:r>
</w:p>
<w:p>
<w:pPr><w:pStyle w:val="Normal"/></w:pPr>
<w:r><w:t xml:space="preserve">connexion, that the pebbles of the Swiss Molasse are not generally</w:t></w:r>
</w:p>
<w:p>
<w:pPr><w:pStyle w:val="Normal"/></w:pPr>
<w:r><w:t xml:space="preserve">such as would be derived from the neighbouring mountains, but</w:t></w:r>
</w:p>
<w:p>
<w:pPr><w:pStyle w:val="Normal"/></w:pPr>
<w:r><w:t xml:space="preserve">resemble the rocks of the Eastern Alps.  The Klippen are, no</w:t></w:r>
</w:p>
<w:p>
<w:pPr><w:pStyle w:val="Normal"/></w:pPr>
<w:r><w:t xml:space="preserve">doubt, the remains of a much larger mass brought into the</w:t></w:r>
</w:p>
<w:p>
<w:pPr><w:pStyle w:val="Normal"/></w:pPr>
<w:r><w:t xml:space="preserve">region upon a thrust-plane, and much of the Molasse has been</w:t></w:r>
</w:p>
<w:p>
<w:pPr><w:pStyle w:val="Normal"/></w:pPr>
<w:r><w:t xml:space="preserve">derived from its destruction.  Although the explanation here</w:t></w:r>
</w:p>
<w:p>
<w:pPr><w:pStyle w:val="Normal"/></w:pPr>
<w:r><w:t xml:space="preserve">given of the origin of the Swiss Klippen is that which now is</w:t></w:r>
</w:p>
<w:p>
<w:pPr><w:pStyle w:val="Normal"/></w:pPr>
<w:r><w:t xml:space="preserve">usually accepted, it should be mentioned that other theories</w:t></w:r>
</w:p>
<w:p>
<w:pPr><w:pStyle w:val="Normal"/></w:pPr>
<w:r><w:t xml:space="preserve">have been proposed to account for their peculiarities.</w:t></w:r>
</w:p>
<w:p>
<w:pPr><w:pStyle w:val="Normal"/></w:pPr>
<w:r><w:t xml:space="preserve">Western Alps.</w:t></w:r>
</w:p>
<w:p>
<w:pPr><w:pStyle w:val="Normal"/></w:pPr>
<w:r><w:t xml:space="preserve">In the Western Alps the outer border of Molasse persists; but it</w:t></w:r>
</w:p>
<w:p>
<w:pPr><w:pStyle w:val="Normal"/></w:pPr>
<w:r><w:t xml:space="preserve">no longer forms so well-defined a zone, and strips are infolded</w:t></w:r>
</w:p>
<w:p>
<w:pPr><w:pStyle w:val="Normal"/></w:pPr>
<w:r><w:t xml:space="preserve">amongst the older rocks.  The Eocene has altogether lost</w:t></w:r>
</w:p>
<w:p>
<w:pPr><w:pStyle w:val="Normal"/></w:pPr>
<w:r><w:t xml:space="preserve">its independence as a band and occurs only in patches within</w:t></w:r>
</w:p>
<w:p>
<w:pPr><w:pStyle w:val="Normal"/></w:pPr>
<w:r><w:t xml:space="preserve">the Mesozoic zone.  The latter, on the other hand, assumes a</w:t></w:r>
</w:p>
<w:p>
<w:pPr><w:pStyle w:val="Normal"/></w:pPr>
<w:r><w:t xml:space="preserve">greater importance and forms nearly the whole of the subalpine</w:t></w:r>
</w:p>
<w:p>
<w:pPr><w:pStyle w:val="Normal"/></w:pPr>
<w:r><w:t xml:space="preserve">ranges.  It consists almost entirely of Jurassic and Cretaceous</w:t></w:r>
</w:p>
<w:p>
<w:pPr><w:pStyle w:val="Normal"/></w:pPr>
<w:r><w:t xml:space="preserve">beds, the Trias in these outer ranges being of very limited</w:t></w:r>
</w:p>
<w:p>
<w:pPr><w:pStyle w:val="Normal"/></w:pPr>
<w:r><w:t xml:space="preserve">extent.  The main chain is formed chiefly of crystalline</w:t></w:r>
</w:p>
<w:p>
<w:pPr><w:pStyle w:val="Normal"/></w:pPr>
<w:r><w:t xml:space="preserve">and schistose rocks, which on the Italian side rise directly</w:t></w:r>
</w:p>
<w:p>
<w:pPr><w:pStyle w:val="Normal"/></w:pPr>
<w:r><w:t xml:space="preserve">from the plain without any intervening zone of Mesozoic</w:t></w:r>
</w:p>
<w:p>
<w:pPr><w:pStyle w:val="Normal"/></w:pPr>
<w:r><w:t xml:space="preserve">beds.  But it is divided longitudinally by a well-marked</w:t></w:r>
</w:p>
<w:p>
<w:pPr><w:pStyle w:val="Normal"/></w:pPr>
<w:r><w:t xml:space="preserve">belt of stratified deposits, known as the zone of the</w:t></w:r>
</w:p>
<w:p>
<w:pPr><w:pStyle w:val="Normal"/></w:pPr>
<w:r><w:t xml:space="preserve">Brianconnais, composed chiefly of Carboniferous, Triassic</w:t></w:r>
</w:p>
<w:p>
<w:pPr><w:pStyle w:val="Normal"/></w:pPr>
<w:r><w:t xml:space="preserve">and Jurassic beds.  The origin of the schistose rocks has</w:t></w:r>
</w:p>
<w:p>
<w:pPr><w:pStyle w:val="Normal"/></w:pPr>
<w:r><w:t xml:space="preserve">long been under discussion, and controversy has centred</w:t></w:r>
</w:p>
<w:p>
<w:pPr><w:pStyle w:val="Normal"/></w:pPr>
<w:r><w:t xml:space="preserve">more particularly around the schistes lustres, which</w:t></w:r>
</w:p>
<w:p>
<w:pPr><w:pStyle w:val="Normal"/></w:pPr>
<w:r><w:t xml:space="preserve">are held by some to be of Triassic age and by others to be</w:t></w:r>
</w:p>
<w:p>
<w:pPr><w:pStyle w:val="Normal"/></w:pPr>
<w:r><w:t xml:space="preserve">pre-Carboniferous and even, perhaps, Archaean.  Partly in</w:t></w:r>
</w:p>
<w:p>
<w:pPr><w:pStyle w:val="Normal"/></w:pPr>
<w:r><w:t xml:space="preserve">consequence of the uncertainty as to the age of these and</w:t></w:r>
</w:p>
<w:p>
<w:pPr><w:pStyle w:val="Normal"/></w:pPr>
<w:r><w:t xml:space="preserve">other rocks, there is considerable difference of opinion as</w:t></w:r>
</w:p>
<w:p>
<w:pPr><w:pStyle w:val="Normal"/></w:pPr>
<w:r><w:t xml:space="preserve">to the structure of the Western Alps.  According to the view</w:t></w:r>
</w:p>
<w:p>
<w:pPr><w:pStyle w:val="Normal"/></w:pPr>
<w:r><w:t xml:space="preserve">most widely accepted in France the main chain as a whole</w:t></w:r>
</w:p>
<w:p>
<w:pPr><w:pStyle w:val="Normal"/></w:pPr>
<w:r><w:t xml:space="preserve">forms a fan, the folds on the eastern side leaning towards</w:t></w:r>
</w:p>
<w:p>
<w:pPr><w:pStyle w:val="Normal"/></w:pPr>
<w:r><w:t xml:space="preserve">Italy and those on the western side towards France.  The</w:t></w:r>
</w:p>
<w:p>
<w:pPr><w:pStyle w:val="Normal"/></w:pPr>
<w:r><w:t xml:space="preserve">zone of the Brianconnais lies in the middle of the fan.</w:t></w:r>
</w:p>
<w:p>
<w:pPr><w:pStyle w:val="Normal"/></w:pPr>
<w:r><w:t xml:space="preserve">Asymmetry of the Alps.</w:t></w:r>
</w:p>
<w:p>
<w:pPr><w:pStyle w:val="Normal"/></w:pPr>
<w:r><w:t xml:space="preserve">From the above account it will at once appear that between</w:t></w:r>
</w:p>
<w:p>
<w:pPr><w:pStyle w:val="Normal"/></w:pPr>
<w:r><w:t xml:space="preserve">the convex and the concave margins of the Alpine chain</w:t></w:r>
</w:p>
<w:p>
<w:pPr><w:pStyle w:val="Normal"/></w:pPr>
<w:r><w:t xml:space="preserve">there is a striking difference.  Upon the outer side of</w:t></w:r>
</w:p>
<w:p>
<w:pPr><w:pStyle w:val="Normal"/></w:pPr>
<w:r><w:t xml:space="preserve">the arc the central zone of crystalline rocks is flanked by</w:t></w:r>
</w:p>
<w:p>
<w:pPr><w:pStyle w:val="Normal"/></w:pPr>
<w:r><w:t xml:space="preserve">Mesozoic and Tertiary belts; towards the west, indeed, the</w:t></w:r>
</w:p>
<w:p>
<w:pPr><w:pStyle w:val="Normal"/></w:pPr>
<w:r><w:t xml:space="preserve">individuality of these belts is lost, to a large extent,</w:t></w:r>
</w:p>
<w:p>
<w:pPr><w:pStyle w:val="Normal"/></w:pPr>
<w:r><w:t xml:space="preserve">but the rocks remain.  Upon the inner side the Tertiary</w:t></w:r>
</w:p>
<w:p>
<w:pPr><w:pStyle w:val="Normal"/></w:pPr>
<w:r><w:t xml:space="preserve">band is found only in the eastern part of the chain, while</w:t></w:r>
</w:p>
<w:p>
<w:pPr><w:pStyle w:val="Normal"/></w:pPr>
<w:r><w:t xml:space="preserve">towards the west, first the Tertiary and then the Mesozoic</w:t></w:r>
</w:p>
<w:p>
<w:pPr><w:pStyle w:val="Normal"/></w:pPr>
<w:r><w:t xml:space="preserve">band disappears against the modern deposits of the low</w:t></w:r>
</w:p>
<w:p>
<w:pPr><w:pStyle w:val="Normal"/></w:pPr>
<w:r><w:t xml:space="preserve">land.  The appearance is strongly suggestive of faulting;</w:t></w:r>
</w:p>
<w:p>
<w:pPr><w:pStyle w:val="Normal"/></w:pPr>
<w:r><w:t xml:space="preserve">and probably the southern margin of the chain lies buried</w:t></w:r>
</w:p>
<w:p>
<w:pPr><w:pStyle w:val="Normal"/></w:pPr>
<w:r><w:t xml:space="preserve">beneath the plain of northern Italy.</w:t></w:r>
</w:p>
<w:p>
<w:pPr><w:pStyle w:val="Normal"/></w:pPr>
<w:r><w:t xml:space="preserve">Age of the Alps.</w:t></w:r>
</w:p>
<w:p>
<w:pPr><w:pStyle w:val="Normal"/></w:pPr>
<w:r><w:t xml:space="preserve">The chain of the Alps was not raised by a single movement</w:t></w:r>
</w:p>
<w:p>
<w:pPr><w:pStyle w:val="Normal"/></w:pPr>
<w:r><w:t xml:space="preserve">nor in a single geological period.  Its growth was gradual</w:t></w:r>
</w:p>
<w:p>
<w:pPr><w:pStyle w:val="Normal"/></w:pPr>
<w:r><w:t xml:space="preserve">and has not been uniform throughout.  In the Eastern Alps</w:t></w:r>
</w:p>
<w:p>
<w:pPr><w:pStyle w:val="Normal"/></w:pPr>
<w:r><w:t xml:space="preserve">the central ridge seems to have been in existence at least</w:t></w:r>
</w:p>
<w:p>
<w:pPr><w:pStyle w:val="Normal"/></w:pPr>
<w:r><w:t xml:space="preserve">as early as Triassic times, but it has since been subject</w:t></w:r>
</w:p>
<w:p>
<w:pPr><w:pStyle w:val="Normal"/></w:pPr>
<w:r><w:t xml:space="preserve">to several oscillations.  The most conspicuous folding, that</w:t></w:r>
</w:p>
<w:p>
<w:pPr><w:pStyle w:val="Normal"/></w:pPr>
<w:r><w:t xml:space="preserve">of the Mesozoic and Tertiary belts, must have occurred in</w:t></w:r>
</w:p>
<w:p>
<w:pPr><w:pStyle w:val="Normal"/></w:pPr>
<w:r><w:t xml:space="preserve">Tertiary times, and it was not completed till the Miocene</w:t></w:r>
</w:p>
<w:p>
<w:pPr><w:pStyle w:val="Normal"/></w:pPr>
<w:r><w:t xml:space="preserve">period.  The structure of the zones in the Bavarian Alps</w:t></w:r>
</w:p>
<w:p>
<w:pPr><w:pStyle w:val="Normal"/></w:pPr>
<w:r><w:t xml:space="preserve">seems to suggest that the chain grew outwards in successive</w:t></w:r>
</w:p>
<w:p>
<w:pPr><w:pStyle w:val="Normal"/></w:pPr>
<w:r><w:t xml:space="preserve">stages, each stage being marked by the formation of a boundary</w:t></w:r>
</w:p>
<w:p>
<w:pPr><w:pStyle w:val="Normal"/></w:pPr>
<w:r><w:t xml:space="preserve">fault.  A precisely similar structure is seen in the Himalayas.</w:t></w:r>
</w:p>
<w:p>
<w:pPr><w:pStyle w:val="Normal"/></w:pPr>
<w:r><w:t xml:space="preserve">AUTHORITIES. -- The literature is very extensive.  The</w:t></w:r>
</w:p>
<w:p>
<w:pPr><w:pStyle w:val="Normal"/></w:pPr>
<w:r><w:t xml:space="preserve">following list includes a few selected works on each portion</w:t></w:r>
</w:p>
<w:p>
<w:pPr><w:pStyle w:val="Normal"/></w:pPr>
<w:r><w:t xml:space="preserve">of the chain: -- F. Frech, ``Die karnischen Alpen,&apos;&apos; Abh.</w:t></w:r>
</w:p>
<w:p>
<w:pPr><w:pStyle w:val="Normal"/></w:pPr>
<w:r><w:t xml:space="preserve">naturf Ges Halle, xviii (1892 and 1894); A. Rothpletz, Ein</w:t></w:r>
</w:p>
<w:p>
<w:pPr><w:pStyle w:val="Normal"/></w:pPr>
<w:r><w:t xml:space="preserve">geologischer Querschnitt durch die Ost-Alpen (Stuttgart,</w:t></w:r>
</w:p>
<w:p>
<w:pPr><w:pStyle w:val="Normal"/></w:pPr>
<w:r><w:t xml:space="preserve">1894); C. Diener, ``Bru und Bild der Ostalpen unrides</w:t></w:r>
</w:p>
<w:p>
<w:pPr><w:pStyle w:val="Normal"/></w:pPr>
<w:r><w:t xml:space="preserve">Karstgebietes,&apos;&apos; in Bau und Bild Osterreichs (Vienna and</w:t></w:r>
</w:p>
<w:p>
<w:pPr><w:pStyle w:val="Normal"/></w:pPr>
<w:r><w:t xml:space="preserve">Leipzig, 1903): Livret-guide geologique dans le Jura et les</w:t></w:r>
</w:p>
<w:p>
<w:pPr><w:pStyle w:val="Normal"/></w:pPr>
<w:r><w:t xml:space="preserve">Alpes de la Suisse (Paris and Lausanne, 189h); A. Helm,</w:t></w:r>
</w:p>
<w:p>
<w:pPr><w:pStyle w:val="Normal"/></w:pPr>
<w:r><w:t xml:space="preserve">Mechanismus der Gebirgsbildung (Basel, 1878); D. Zaccagna,</w:t></w:r>
</w:p>
<w:p>
<w:pPr><w:pStyle w:val="Normal"/></w:pPr>
<w:r><w:t xml:space="preserve">``Riassunto di osservauoni geologiche fatte sul versante</w:t></w:r>
</w:p>
<w:p>
<w:pPr><w:pStyle w:val="Normal"/></w:pPr>
<w:r><w:t xml:space="preserve">occidentale delle Alpi Graie,&apos;&apos; Boll.  R. Com. Geol.  Ital.</w:t></w:r>
</w:p>
<w:p>
<w:pPr><w:pStyle w:val="Normal"/></w:pPr>
<w:r><w:t xml:space="preserve">vol. xxiii. (1892), pp. 175-244; C. Diener, Der Glebirpsbau</w:t></w:r>
</w:p>
<w:p>
<w:pPr><w:pStyle w:val="Normal"/></w:pPr>
<w:r><w:t xml:space="preserve">der West-Alpen (1894); M. Bertrand, ``Etudes dans les Alpes</w:t></w:r>
</w:p>
<w:p>
<w:pPr><w:pStyle w:val="Normal"/></w:pPr>
<w:r><w:t xml:space="preserve">francaises,&apos;&apos; Bull.  Soc. Geol France, ser. 5, vol. xxii</w:t></w:r>
</w:p>
<w:p>
<w:pPr><w:pStyle w:val="Normal"/></w:pPr>
<w:r><w:t xml:space="preserve">(1894), pp. 69-162; S. Franchi, ``Sull&apos; eta mesozoica della</w:t></w:r>
</w:p>
<w:p>
<w:pPr><w:pStyle w:val="Normal"/></w:pPr>
<w:r><w:t xml:space="preserve">zona delle pietri verdi nelle Alpi Occidentali,&apos;&apos; Boll.  R.</w:t></w:r>
</w:p>
<w:p>
<w:pPr><w:pStyle w:val="Normal"/></w:pPr>
<w:r><w:t xml:space="preserve">Geol.  Ital. vol. xxix. (1898), pp. 173-217, 325-482, pts.</w:t></w:r>
</w:p>
<w:p>
<w:pPr><w:pStyle w:val="Normal"/></w:pPr>
<w:r><w:t xml:space="preserve">v.-ix.  For the broader question of the relation of the</w:t></w:r>
</w:p>
<w:p>
<w:pPr><w:pStyle w:val="Normal"/></w:pPr>
<w:r><w:t xml:space="preserve">Alps to other regions, E. Suess, Das Antlitz der Erde</w:t></w:r>
</w:p>
<w:p>
<w:pPr><w:pStyle w:val="Normal"/></w:pPr>
<w:r><w:t xml:space="preserve">Vienna, 1885) (English translation, Oxford, 1904) should</w:t></w:r>
</w:p>
<w:p>
<w:pPr><w:pStyle w:val="Normal"/></w:pPr>
<w:r><w:t xml:space="preserve">be consulted.  The Geologischer Fuhrer durch die Alpen,</w:t></w:r>
</w:p>
<w:p>
<w:pPr><w:pStyle w:val="Normal"/></w:pPr>
<w:r><w:t xml:space="preserve">published by Borntraeger, Berlin, are handy guides. (P. LA.)</w:t></w:r>
</w:p>
<w:p>
<w:pPr><w:pStyle w:val="Normal"/></w:pPr>
<w:r><w:t xml:space="preserve">11. Flora. -- The Alps owe the richness and beauty of</w:t></w:r>
</w:p>
<w:p>
<w:pPr><w:pStyle w:val="Normal"/></w:pPr>
<w:r><w:t xml:space="preserve">their plant life partly to their position as the natural</w:t></w:r>
</w:p>
<w:p>
<w:pPr><w:pStyle w:val="Normal"/></w:pPr>
<w:r><w:t xml:space="preserve">boundary between the ``Baltic&apos;&apos; flora on the north and the</w:t></w:r>
</w:p>
<w:p>
<w:pPr><w:pStyle w:val="Normal"/></w:pPr>
<w:r><w:t xml:space="preserve">``Mediterranean&apos;&apos; flora on the south, but chiefly to the</w:t></w:r>
</w:p>
<w:p>
<w:pPr><w:pStyle w:val="Normal"/></w:pPr>
<w:r><w:t xml:space="preserve">presence on their heights of a third flora which has but</w:t></w:r>
</w:p>
<w:p>
<w:pPr><w:pStyle w:val="Normal"/></w:pPr>
<w:r><w:t xml:space="preserve">little in common with either of the others.  The stronghold</w:t></w:r>
</w:p>
<w:p>
<w:pPr><w:pStyle w:val="Normal"/></w:pPr>
<w:r><w:t xml:space="preserve">of this last, the distinctively ``Alpine&apos;&apos; flora, is the</w:t></w:r>
</w:p>
<w:p>
<w:pPr><w:pStyle w:val="Normal"/></w:pPr>
<w:r><w:t xml:space="preserve">region above the tree-limit.  Its closest relationship</w:t></w:r>
</w:p>
<w:p>
<w:pPr><w:pStyle w:val="Normal"/></w:pPr>
<w:r><w:t xml:space="preserve">is with the flora of the Pyrenees; but an alpine flora</w:t></w:r>
</w:p>
<w:p>
<w:pPr><w:pStyle w:val="Normal"/></w:pPr>
<w:r><w:t xml:space="preserve">is characteristic of all the lofty mountains of central</w:t></w:r>
</w:p>
<w:p>
<w:pPr><w:pStyle w:val="Normal"/></w:pPr>
<w:r><w:t xml:space="preserve">Europe.  According to J. Ball, 2010 well-marked species of</w:t></w:r>
</w:p>
<w:p>
<w:pPr><w:pStyle w:val="Normal"/></w:pPr>
<w:r><w:t xml:space="preserve">flowering plants occur within the limits of the Alps.  If</w:t></w:r>
</w:p>
<w:p>
<w:pPr><w:pStyle w:val="Normal"/></w:pPr>
<w:r><w:t xml:space="preserve">now we confine our attention to the alpine and higher regions</w:t></w:r>
</w:p>
<w:p>
<w:pPr><w:pStyle w:val="Normal"/></w:pPr>
<w:r><w:t xml:space="preserve">of the Alps and exclude from our list all those plants</w:t></w:r>
</w:p>
<w:p>
<w:pPr><w:pStyle w:val="Normal"/></w:pPr>
<w:r><w:t xml:space="preserve">which, however abundant in these regions, are not less so</w:t></w:r>
</w:p>
<w:p>
<w:pPr><w:pStyle w:val="Normal"/></w:pPr>
<w:r><w:t xml:space="preserve">in the adjacent lowlands, we have left some 700 species</w:t></w:r>
</w:p>
<w:p>
<w:pPr><w:pStyle w:val="Normal"/></w:pPr>
<w:r><w:t xml:space="preserve">(693, according to Dr Christ).  We must observe, as regards</w:t></w:r>
</w:p>
<w:p>
<w:pPr><w:pStyle w:val="Normal"/></w:pPr>
<w:r><w:t xml:space="preserve">the plants of the lower alpine region, that it is the actual</w:t></w:r>
</w:p>
<w:p>
<w:pPr><w:pStyle w:val="Normal"/></w:pPr>
<w:r><w:t xml:space="preserve">presence of a forest vegetation, rather than the theoretical</w:t></w:r>
</w:p>
<w:p>
<w:pPr><w:pStyle w:val="Normal"/></w:pPr>
<w:r><w:t xml:space="preserve">tree-limit, which affects their vertical distribution; so</w:t></w:r>
</w:p>
<w:p>
<w:pPr><w:pStyle w:val="Normal"/></w:pPr>
<w:r><w:t xml:space="preserve">that, e.g. they overflow into the extensive clearings made</w:t></w:r>
</w:p>
<w:p>
<w:pPr><w:pStyle w:val="Normal"/></w:pPr>
<w:r><w:t xml:space="preserve">by man in the primeval mountain forests.  Indeed, an analysis</w:t></w:r>
</w:p>
<w:p>
<w:pPr><w:pStyle w:val="Normal"/></w:pPr>
<w:r><w:t xml:space="preserve">of the composition of the alpine flora as a whole leads</w:t></w:r>
</w:p>
<w:p>
<w:pPr><w:pStyle w:val="Normal"/></w:pPr>
<w:r><w:t xml:space="preserve">to the conclusion that the chief bond of union between its</w:t></w:r>
</w:p>
<w:p>
<w:pPr><w:pStyle w:val="Normal"/></w:pPr>
<w:r><w:t xml:space="preserve">members consists in the treeless character of their habitat.</w:t></w:r>
</w:p>
<w:p>
<w:pPr><w:pStyle w:val="Normal"/></w:pPr>
<w:r><w:t xml:space="preserve">We may broadly distinguish two main geographical elements in</w:t></w:r>
</w:p>
<w:p>
<w:pPr><w:pStyle w:val="Normal"/></w:pPr>
<w:r><w:t xml:space="preserve">the alpine flora, namely, the northern element and the endemic</w:t></w:r>
</w:p>
<w:p>
<w:pPr><w:pStyle w:val="Normal"/></w:pPr>
<w:r><w:t xml:space="preserve">element.  This division (which is not, however, strictly</w:t></w:r>
</w:p>
<w:p>
<w:pPr><w:pStyle w:val="Normal"/></w:pPr>
<w:r><w:t xml:space="preserve">exhaustive) directs special attention to what is undoubtedly</w:t></w:r>
</w:p>
<w:p>
<w:pPr><w:pStyle w:val="Normal"/></w:pPr>
<w:r><w:t xml:space="preserve">the most striking feature of the flora -- namely, that of</w:t></w:r>
</w:p>
<w:p>
<w:pPr><w:pStyle w:val="Normal"/></w:pPr>
<w:r><w:t xml:space="preserve">its 693 species no less than 271 reappear in the extreme</w:t></w:r>
</w:p>
<w:p>
<w:pPr><w:pStyle w:val="Normal"/></w:pPr>
<w:r><w:t xml:space="preserve">north.  This relation of the arctic to the alpine flora is all</w:t></w:r>
</w:p>
<w:p>
<w:pPr><w:pStyle w:val="Normal"/></w:pPr>
<w:r><w:t xml:space="preserve">the more remarkable in view of the very important differences</w:t></w:r>
</w:p>
<w:p>
<w:pPr><w:pStyle w:val="Normal"/></w:pPr>
<w:r><w:t xml:space="preserve">between the arctic and alpine climates.  The following</w:t></w:r>
</w:p>
<w:p>
<w:pPr><w:pStyle w:val="Normal"/></w:pPr>
<w:r><w:t xml:space="preserve">circumpolar species are common, and widely diffused throughout</w:t></w:r>
</w:p>
<w:p>
<w:pPr><w:pStyle w:val="Normal"/></w:pPr>
<w:r><w:t xml:space="preserve">the whole of the Alps: Silene acaulis, Dryas octopetala,</w:t></w:r>
</w:p>
<w:p>
<w:pPr><w:pStyle w:val="Normal"/></w:pPr>
<w:r><w:t xml:space="preserve">Saxifsaga oppositifolia, S. aizoides, S. steliaris, Erigeron</w:t></w:r>
</w:p>
<w:p>
<w:pPr><w:pStyle w:val="Normal"/></w:pPr>
<w:r><w:t xml:space="preserve">alpinus, Azalea procumbens, M. yosotis alpestris, Polygonum</w:t></w:r>
</w:p>
<w:p>
<w:pPr><w:pStyle w:val="Normal"/></w:pPr>
<w:r><w:t xml:space="preserve">viviparum, Salix retusa, S. herbacea, Phleum alpinum, Juniperus</w:t></w:r>
</w:p>
<w:p>
<w:pPr><w:pStyle w:val="Normal"/></w:pPr>
<w:r><w:t xml:space="preserve">nana.  The proportion of northern forms, as regards both</w:t></w:r>
</w:p>
<w:p>
<w:pPr><w:pStyle w:val="Normal"/></w:pPr>
<w:r><w:t xml:space="preserve">species and individuals, increases as we ascend to the higher</w:t></w:r>
</w:p>
<w:p>
<w:pPr><w:pStyle w:val="Normal"/></w:pPr>
<w:r><w:t xml:space="preserve">regions.  In the highest vegetation-zone, the snow-region --</w:t></w:r>
</w:p>
<w:p>
<w:pPr><w:pStyle w:val="Normal"/></w:pPr>
<w:r><w:t xml:space="preserve">i.e. on islands of rock above the snow-line -- they attain</w:t></w:r>
</w:p>
<w:p>
<w:pPr><w:pStyle w:val="Normal"/></w:pPr>
<w:r><w:t xml:space="preserve">to an equality with the endemic forms.  As examples of northern</w:t></w:r>
</w:p>
<w:p>
<w:pPr><w:pStyle w:val="Normal"/></w:pPr>
<w:r><w:t xml:space="preserve">flowers which are characteristic of the snow-region, we may</w:t></w:r>
</w:p>
<w:p>
<w:pPr><w:pStyle w:val="Normal"/></w:pPr>
<w:r><w:t xml:space="preserve">mention Silene acaulis, Eritrichium nanuin and Arenaria</w:t></w:r>
</w:p>
<w:p>
<w:pPr><w:pStyle w:val="Normal"/></w:pPr>
<w:r><w:t xml:space="preserve">ciliata.  On the other hand, typical endemic species of</w:t></w:r>
</w:p>
<w:p>
<w:pPr><w:pStyle w:val="Normal"/></w:pPr>
<w:r><w:t xml:space="preserve">this highest zone are Androsace helvetica, A. glacialis,</w:t></w:r>
</w:p>
<w:p>
<w:pPr><w:pStyle w:val="Normal"/></w:pPr>
<w:r><w:t xml:space="preserve">Petrocallis pyrenaica and Cherleria sedoides.  All the</w:t></w:r>
</w:p>
<w:p>
<w:pPr><w:pStyle w:val="Normal"/></w:pPr>
<w:r><w:t xml:space="preserve">plants just named, we may observe, are ``cushion-plants.&apos;&apos;</w:t></w:r>
</w:p>
<w:p>
<w:pPr><w:pStyle w:val="Normal"/></w:pPr>
<w:r><w:t xml:space="preserve">Their compact, moss-like growth and general structural</w:t></w:r>
</w:p>
<w:p>
<w:pPr><w:pStyle w:val="Normal"/></w:pPr>
<w:r><w:t xml:space="preserve">peculiarities are not an expression of mutual affinity, but</w:t></w:r>
</w:p>
<w:p>
<w:pPr><w:pStyle w:val="Normal"/></w:pPr>
<w:r><w:t xml:space="preserve">are in adaptation to the combined cold and dryness of their</w:t></w:r>
</w:p>
<w:p>
<w:pPr><w:pStyle w:val="Normal"/></w:pPr>
<w:r><w:t xml:space="preserve">habitat.  It is noteworthy that among the northern plants of</w:t></w:r>
</w:p>
<w:p>
<w:pPr><w:pStyle w:val="Normal"/></w:pPr>
<w:r><w:t xml:space="preserve">the alpine zone, in the narrower sense of the term (i.e.</w:t></w:r>
</w:p>
<w:p>
<w:pPr><w:pStyle w:val="Normal"/></w:pPr>
<w:r><w:t xml:space="preserve">of the region between the tree-limit and the snow-line),</w:t></w:r>
</w:p>
<w:p>
<w:pPr><w:pStyle w:val="Normal"/></w:pPr>
<w:r><w:t xml:space="preserve">there is a marked predominance of species that affect moist</w:t></w:r>
</w:p>
<w:p>
<w:pPr><w:pStyle w:val="Normal"/></w:pPr>
<w:r><w:t xml:space="preserve">localities; and conversely, the majority of alpine flowers</w:t></w:r>
</w:p>
<w:p>
<w:pPr><w:pStyle w:val="Normal"/></w:pPr>
<w:r><w:t xml:space="preserve">of wet habitat are found also in the north.  For example,</w:t></w:r>
</w:p>
<w:p>
<w:pPr><w:pStyle w:val="Normal"/></w:pPr>
<w:r><w:t xml:space="preserve">in the genus Primula, a highly characteristic genus of</w:t></w:r>
</w:p>
<w:p>
<w:pPr><w:pStyle w:val="Normal"/></w:pPr>
<w:r><w:t xml:space="preserve">the alpine flora, whose members are among the most striking</w:t></w:r>
</w:p>
<w:p>
<w:pPr><w:pStyle w:val="Normal"/></w:pPr>
<w:r><w:t xml:space="preserve">ornaments of the rocks, the single northern species, P.</w:t></w:r>
</w:p>
<w:p>
<w:pPr><w:pStyle w:val="Normal"/></w:pPr>
<w:r><w:t xml:space="preserve">Jarinosa, grows only in marshy meadows.  On the whole, then,</w:t></w:r>
</w:p>
<w:p>
<w:pPr><w:pStyle w:val="Normal"/></w:pPr>
<w:r><w:t xml:space="preserve">adaptation to cold and wet is the note of the northern element.</w:t></w:r>
</w:p>
<w:p>
<w:pPr><w:pStyle w:val="Normal"/></w:pPr>
<w:r><w:t xml:space="preserve">As for the explanation of the community between the alpine</w:t></w:r>
</w:p>
<w:p>
<w:pPr><w:pStyle w:val="Normal"/></w:pPr>
<w:r><w:t xml:space="preserve">and arctic floras, all authorities are agreed that the key</w:t></w:r>
</w:p>
<w:p>
<w:pPr><w:pStyle w:val="Normal"/></w:pPr>
<w:r><w:t xml:space="preserve">to the problem is furnished by the occurrence of the glacial</w:t></w:r>
</w:p>
<w:p>
<w:pPr><w:pStyle w:val="Normal"/></w:pPr>
<w:r><w:t xml:space="preserve">period.  In the ice-free belt, between the northern ice-sheet</w:t></w:r>
</w:p>
<w:p>
<w:pPr><w:pStyle w:val="Normal"/></w:pPr>
<w:r><w:t xml:space="preserve">and the vastly extended glaciers of the Alps, the two floras</w:t></w:r>
</w:p>
<w:p>
<w:pPr><w:pStyle w:val="Normal"/></w:pPr>
<w:r><w:t xml:space="preserve">must have found a common refuge and congenial conditions of</w:t></w:r>
</w:p>
<w:p>
<w:pPr><w:pStyle w:val="Normal"/></w:pPr>
<w:r><w:t xml:space="preserve">existence; and this view is confirmed by direct palaeontological</w:t></w:r>
</w:p>
<w:p>
<w:pPr><w:pStyle w:val="Normal"/></w:pPr>
<w:r><w:t xml:space="preserve">evidence.  With the return of a milder climate, the so-called</w:t></w:r>
</w:p>
<w:p>
<w:pPr><w:pStyle w:val="Normal"/></w:pPr>
<w:r><w:t xml:space="preserve">northern forms of the present alpine flora were split in</w:t></w:r>
</w:p>
<w:p>
<w:pPr><w:pStyle w:val="Normal"/></w:pPr>
<w:r><w:t xml:space="preserve">two, one portion following close on the northern ice in</w:t></w:r>
</w:p>
<w:p>
<w:pPr><w:pStyle w:val="Normal"/></w:pPr>
<w:r><w:t xml:space="preserve">its gradual retreat to the Arctic, the other following the</w:t></w:r>
</w:p>
<w:p>
<w:pPr><w:pStyle w:val="Normal"/></w:pPr>
<w:r><w:t xml:space="preserve">shrinking glaciers till the plants were able to establish</w:t></w:r>
</w:p>
<w:p>
<w:pPr><w:pStyle w:val="Normal"/></w:pPr>
<w:r><w:t xml:space="preserve">(or re-establish) themselves on the slopes of the Alps.  The</w:t></w:r>
</w:p>
<w:p>
<w:pPr><w:pStyle w:val="Normal"/></w:pPr>
<w:r><w:t xml:space="preserve">same explanation covers the case of the similarity of the</w:t></w:r>
</w:p>
<w:p>
<w:pPr><w:pStyle w:val="Normal"/></w:pPr>
<w:r><w:t xml:space="preserve">flora (not merely as regards the northern element) on all the</w:t></w:r>
</w:p>
<w:p>
<w:pPr><w:pStyle w:val="Normal"/></w:pPr>
<w:r><w:t xml:space="preserve">high mountains of central Europe.  So much seems to be beyond</w:t></w:r>
</w:p>
<w:p>
<w:pPr><w:pStyle w:val="Normal"/></w:pPr>
<w:r><w:t xml:space="preserve">reasonable doubt.  But at this point disagreement begins</w:t></w:r>
</w:p>
<w:p>
<w:pPr><w:pStyle w:val="Normal"/></w:pPr>
<w:r><w:t xml:space="preserve">between the most eminent writers on the subject.  While some</w:t></w:r>
</w:p>
<w:p>
<w:pPr><w:pStyle w:val="Normal"/></w:pPr>
<w:r><w:t xml:space="preserve">(e.g. Sir J. D. Hooker, Heer) regard the Arctic, and some</w:t></w:r>
</w:p>
<w:p>
<w:pPr><w:pStyle w:val="Normal"/></w:pPr>
<w:r><w:t xml:space="preserve">(e.g. Wettstein) the Alps, as the original home of at</w:t></w:r>
</w:p>
<w:p>
<w:pPr><w:pStyle w:val="Normal"/></w:pPr>
<w:r><w:t xml:space="preserve">least the bulk of the ``northern&apos;&apos; element, others (e.g.</w:t></w:r>
</w:p>
<w:p>
<w:pPr><w:pStyle w:val="Normal"/></w:pPr>
<w:r><w:t xml:space="preserve">Ball, Christ) locate this in the highlands of temperate</w:t></w:r>
</w:p>
<w:p>
<w:pPr><w:pStyle w:val="Normal"/></w:pPr>
<w:r><w:t xml:space="preserve">Asia.  For it is a remarkable fact that, of the 230 northern</w:t></w:r>
</w:p>
<w:p>
<w:pPr><w:pStyle w:val="Normal"/></w:pPr>
<w:r><w:t xml:space="preserve">species which are most typical of the far north, 182 are found</w:t></w:r>
</w:p>
<w:p>
<w:pPr><w:pStyle w:val="Normal"/></w:pPr>
<w:r><w:t xml:space="preserve">also in the Altai (taking this as a collective name for the</w:t></w:r>
</w:p>
<w:p>
<w:pPr><w:pStyle w:val="Normal"/></w:pPr>
<w:r><w:t xml:space="preserve">mountains that form the southern boundary of Siberia).  In</w:t></w:r>
</w:p>
<w:p>
<w:pPr><w:pStyle w:val="Normal"/></w:pPr>
<w:r><w:t xml:space="preserve">any case, however, the migration of these plants to the Alps</w:t></w:r>
</w:p>
<w:p>
<w:pPr><w:pStyle w:val="Normal"/></w:pPr>
<w:r><w:t xml:space="preserve">must for the most part have taken place via the Arctic.  The</w:t></w:r>
</w:p>
<w:p>
<w:pPr><w:pStyle w:val="Normal"/></w:pPr>
<w:r><w:t xml:space="preserve">possibility of any extensive east to west migration having</w:t></w:r>
</w:p>
<w:p>
<w:pPr><w:pStyle w:val="Normal"/></w:pPr>
<w:r><w:t xml:space="preserve">taken place direct from the Altai to the Alps seems excluded</w:t></w:r>
</w:p>
<w:p>
<w:pPr><w:pStyle w:val="Normal"/></w:pPr>
<w:r><w:t xml:space="preserve">by the fact that 50% of the arctico-altaic alpine plants are</w:t></w:r>
</w:p>
<w:p>
<w:pPr><w:pStyle w:val="Normal"/></w:pPr>
<w:r><w:t xml:space="preserve">absent from the Caucasus.  A score of species, it is true --</w:t></w:r>
</w:p>
<w:p>
<w:pPr><w:pStyle w:val="Normal"/></w:pPr>
<w:r><w:t xml:space="preserve">not such a number, be it observed, as was formerly supposed</w:t></w:r>
</w:p>
<w:p>
<w:pPr><w:pStyle w:val="Normal"/></w:pPr>
<w:r><w:t xml:space="preserve">-- are common to the Alps and Altai, but absent from the</w:t></w:r>
</w:p>
<w:p>
<w:pPr><w:pStyle w:val="Normal"/></w:pPr>
<w:r><w:t xml:space="preserve">Arctic.  But the species composing this Altaic element</w:t></w:r>
</w:p>
<w:p>
<w:pPr><w:pStyle w:val="Normal"/></w:pPr>
<w:r><w:t xml:space="preserve">are not so numerous as the arctico-alpine species that</w:t></w:r>
</w:p>
<w:p>
<w:pPr><w:pStyle w:val="Normal"/></w:pPr>
<w:r><w:t xml:space="preserve">are absent from the Altai.  On the whole, a common origin</w:t></w:r>
</w:p>
<w:p>
<w:pPr><w:pStyle w:val="Normal"/></w:pPr>
<w:r><w:t xml:space="preserve">in the north for at least the arctico-altaic group of</w:t></w:r>
</w:p>
<w:p>
<w:pPr><w:pStyle w:val="Normal"/></w:pPr>
<w:r><w:t xml:space="preserve">alpine plants seems to be the most reasonable hypothesis.</w:t></w:r>
</w:p>
<w:p>
<w:pPr><w:pStyle w:val="Normal"/></w:pPr>
<w:r><w:t xml:space="preserve">Side by side with the northern element (which in some respects,</w:t></w:r>
</w:p>
<w:p>
<w:pPr><w:pStyle w:val="Normal"/></w:pPr>
<w:r><w:t xml:space="preserve">we may observe to point the contrast, would be better named</w:t></w:r>
</w:p>
<w:p>
<w:pPr><w:pStyle w:val="Normal"/></w:pPr>
<w:r><w:t xml:space="preserve">the tundra-element) we find a group of species usually spoken</w:t></w:r>
</w:p>
<w:p>
<w:pPr><w:pStyle w:val="Normal"/></w:pPr>
<w:r><w:t xml:space="preserve">of as the xerothermic or meridional element.  These do not,</w:t></w:r>
</w:p>
<w:p>
<w:pPr><w:pStyle w:val="Normal"/></w:pPr>
<w:r><w:t xml:space="preserve">however, form an ``element,&apos;&apos; in the strict geographical</w:t></w:r>
</w:p>
<w:p>
<w:pPr><w:pStyle w:val="Normal"/></w:pPr>
<w:r><w:t xml:space="preserve">sense in which this term is otherwise used here.  They are</w:t></w:r>
</w:p>
<w:p>
<w:pPr><w:pStyle w:val="Normal"/></w:pPr>
<w:r><w:t xml:space="preserve">those species which, on general phyto-geographical grounds,</w:t></w:r>
</w:p>
<w:p>
<w:pPr><w:pStyle w:val="Normal"/></w:pPr>
<w:r><w:t xml:space="preserve">must be regarded as having originated under steppe-like</w:t></w:r>
</w:p>
<w:p>
<w:pPr><w:pStyle w:val="Normal"/></w:pPr>
<w:r><w:t xml:space="preserve">conditions.  Their affinities are chiefly, though not</w:t></w:r>
</w:p>
<w:p>
<w:pPr><w:pStyle w:val="Normal"/></w:pPr>
<w:r><w:t xml:space="preserve">exclusively, with the present Mediterranean flora -- about</w:t></w:r>
</w:p>
<w:p>
<w:pPr><w:pStyle w:val="Normal"/></w:pPr>
<w:r><w:t xml:space="preserve">fifty are of presumably Mediterranean origin -- and a large</w:t></w:r>
</w:p>
<w:p>
<w:pPr><w:pStyle w:val="Normal"/></w:pPr>
<w:r><w:t xml:space="preserve">proportion of them are restricted to the southern slopes</w:t></w:r>
</w:p>
<w:p>
<w:pPr><w:pStyle w:val="Normal"/></w:pPr>
<w:r><w:t xml:space="preserve">of the Alps.  The following, however, among others, are</w:t></w:r>
</w:p>
<w:p>
<w:pPr><w:pStyle w:val="Normal"/></w:pPr>
<w:r><w:t xml:space="preserve">distributed throughout the whole, or a great part, of the</w:t></w:r>
</w:p>
<w:p>
<w:pPr><w:pStyle w:val="Normal"/></w:pPr>
<w:r><w:t xml:space="preserve">range:  Colchicum alpinain, Crocus vernus, Orchis globosa,</w:t></w:r>
</w:p>
<w:p>
<w:pPr><w:pStyle w:val="Normal"/></w:pPr>
<w:r><w:t xml:space="preserve">Petroeallis pyrenaica, Astragalus depressus, A. aristatus,</w:t></w:r>
</w:p>
<w:p>
<w:pPr><w:pStyle w:val="Normal"/></w:pPr>
<w:r><w:t xml:space="preserve">Oxytropis Halleri, Erynigium alpinum, Erica carnea, Linaria</w:t></w:r>
</w:p>
<w:p>
<w:pPr><w:pStyle w:val="Normal"/></w:pPr>
<w:r><w:t xml:space="preserve">alpina, Globularia nudicaulis, G. cordifolia, Leontopodium</w:t></w:r>
</w:p>
<w:p>
<w:pPr><w:pStyle w:val="Normal"/></w:pPr>
<w:r><w:t xml:space="preserve">alpinum.  The last named (the well-known ``edelweiss&apos;&apos;)</w:t></w:r>
</w:p>
<w:p>
<w:pPr><w:pStyle w:val="Normal"/></w:pPr>
<w:r><w:t xml:space="preserve">is at the present day characteristic of the Siberian</w:t></w:r>
</w:p>
<w:p>
<w:pPr><w:pStyle w:val="Normal"/></w:pPr>
<w:r><w:t xml:space="preserve">steppes.  The presence of these plants among the alpine flora</w:t></w:r>
</w:p>
<w:p>
<w:pPr><w:pStyle w:val="Normal"/></w:pPr>
<w:r><w:t xml:space="preserve">is traceable to the steppe-like conditions which prevailed</w:t></w:r>
</w:p>
<w:p>
<w:pPr><w:pStyle w:val="Normal"/></w:pPr>
<w:r><w:t xml:space="preserve">in central Europe both during the warmer inter-glacial</w:t></w:r>
</w:p>
<w:p>
<w:pPr><w:pStyle w:val="Normal"/></w:pPr>
<w:r><w:t xml:space="preserve">periods and (probably) for a time after the close of the</w:t></w:r>
</w:p>
<w:p>
<w:pPr><w:pStyle w:val="Normal"/></w:pPr>
<w:r><w:t xml:space="preserve">ice-age.  Subsequently, as the climate of the plains</w:t></w:r>
</w:p>
<w:p>
<w:pPr><w:pStyle w:val="Normal"/></w:pPr>
<w:r><w:t xml:space="preserve">assumed a colder and more humid character, they retired</w:t></w:r>
</w:p>
<w:p>
<w:pPr><w:pStyle w:val="Normal"/></w:pPr>
<w:r><w:t xml:space="preserve">before the invading forests to the high mountains.  Here,</w:t></w:r>
</w:p>
<w:p>
<w:pPr><w:pStyle w:val="Normal"/></w:pPr>
<w:r><w:t xml:space="preserve">in the intenser insolation which they enjoy on the alpine</w:t></w:r>
</w:p>
<w:p>
<w:pPr><w:pStyle w:val="Normal"/></w:pPr>
<w:r><w:t xml:space="preserve">slopes, they seem to find a compensation for the drawbacks</w:t></w:r>
</w:p>
<w:p>
<w:pPr><w:pStyle w:val="Normal"/></w:pPr>
<w:r><w:t xml:space="preserve">incidental to the altitude of their present station.</w:t></w:r>
</w:p>
<w:p>
<w:pPr><w:pStyle w:val="Normal"/></w:pPr>
<w:r><w:t xml:space="preserve">As regards now the endemic element as a whole, the question as</w:t></w:r>
</w:p>
<w:p>
<w:pPr><w:pStyle w:val="Normal"/></w:pPr>
<w:r><w:t xml:space="preserve">to the time and place of its origin is of a highly complicated</w:t></w:r>
</w:p>
<w:p>
<w:pPr><w:pStyle w:val="Normal"/></w:pPr>
<w:r><w:t xml:space="preserve">and controversial nature.  The question, too, in the case of</w:t></w:r>
</w:p>
<w:p>
<w:pPr><w:pStyle w:val="Normal"/></w:pPr>
<w:r><w:t xml:space="preserve">this element, is necessarily of genetic rather than purely</w:t></w:r>
</w:p>
<w:p>
<w:pPr><w:pStyle w:val="Normal"/></w:pPr>
<w:r><w:t xml:space="preserve">geographical scope.  It must suffice to say that the weight</w:t></w:r>
</w:p>
<w:p>
<w:pPr><w:pStyle w:val="Normal"/></w:pPr>
<w:r><w:t xml:space="preserve">of scientific opinion inclines to the view that at least the</w:t></w:r>
</w:p>
<w:p>
<w:pPr><w:pStyle w:val="Normal"/></w:pPr>
<w:r><w:t xml:space="preserve">majority of endemic species are of pre-glacial origin, and</w:t></w:r>
</w:p>
<w:p>
<w:pPr><w:pStyle w:val="Normal"/></w:pPr>
<w:r><w:t xml:space="preserve">are either strictly indigenous or products of the neighbouring</w:t></w:r>
</w:p>
<w:p>
<w:pPr><w:pStyle w:val="Normal"/></w:pPr>
<w:r><w:t xml:space="preserve">lowlands.  About 40% of the endemic element in the alpine</w:t></w:r>
</w:p>
<w:p>
<w:pPr><w:pStyle w:val="Normal"/></w:pPr>
<w:r><w:t xml:space="preserve">flora are endemic also in the narrower sense, i.e. they</w:t></w:r>
</w:p>
<w:p>
<w:pPr><w:pStyle w:val="Normal"/></w:pPr>
<w:r><w:t xml:space="preserve">are confined to the Alps.  Many of them are restricted to</w:t></w:r>
</w:p>
<w:p>
<w:pPr><w:pStyle w:val="Normal"/></w:pPr>
<w:r><w:t xml:space="preserve">some one small portion of the chain; these occur chiefly in</w:t></w:r>
</w:p>
<w:p>
<w:pPr><w:pStyle w:val="Normal"/></w:pPr>
<w:r><w:t xml:space="preserve">the southern and eastern Alps.  It is an interesting fact</w:t></w:r>
</w:p>
<w:p>
<w:pPr><w:pStyle w:val="Normal"/></w:pPr>
<w:r><w:t xml:space="preserve">that the centrally situated Bernese Alps produce hardly a</w:t></w:r>
</w:p>
<w:p>
<w:pPr><w:pStyle w:val="Normal"/></w:pPr>
<w:r><w:t xml:space="preserve">single peculiar species.  The greater richness of certain</w:t></w:r>
</w:p>
<w:p>
<w:pPr><w:pStyle w:val="Normal"/></w:pPr>
<w:r><w:t xml:space="preserve">districts in the matter of species is partly due to the</w:t></w:r>
</w:p>
<w:p>
<w:pPr><w:pStyle w:val="Normal"/></w:pPr>
<w:r><w:t xml:space="preserve">variety of soils encountered therein; but in part may be</w:t></w:r>
</w:p>
<w:p>
<w:pPr><w:pStyle w:val="Normal"/></w:pPr>
<w:r><w:t xml:space="preserve">explained by the fact that these districts were the first to</w:t></w:r>
</w:p>
<w:p>
<w:pPr><w:pStyle w:val="Normal"/></w:pPr>
<w:r><w:t xml:space="preserve">be freed from the ice-sheet at the end of the glacial period.</w:t></w:r>
</w:p>
<w:p>
<w:pPr><w:pStyle w:val="Normal"/></w:pPr>
<w:r><w:t xml:space="preserve">The following is a list of the most thoroughly characteristic</w:t></w:r>
</w:p>
<w:p>
<w:pPr><w:pStyle w:val="Normal"/></w:pPr>
<w:r><w:t xml:space="preserve">alpine plants -- all of them ipso facto members of the</w:t></w:r>
</w:p>
<w:p>
<w:pPr><w:pStyle w:val="Normal"/></w:pPr>
<w:r><w:t xml:space="preserve">endemic element -- which are at once peculiar to the Alps (or</w:t></w:r>
</w:p>
<w:p>
<w:pPr><w:pStyle w:val="Normal"/></w:pPr>
<w:r><w:t xml:space="preserve">practically so) and widely distributed within the limits of the</w:t></w:r>
</w:p>
<w:p>
<w:pPr><w:pStyle w:val="Normal"/></w:pPr>
<w:r><w:t xml:space="preserve">chain.  These are: Festuca pulchella, Carex microstyla, Salix</w:t></w:r>
</w:p>
<w:p>
<w:pPr><w:pStyle w:val="Normal"/></w:pPr>
<w:r><w:t xml:space="preserve">caesia, Rumex nivalis, Alsine aretioides, Aquilegia alpina,</w:t></w:r>
</w:p>
<w:p>
<w:pPr><w:pStyle w:val="Normal"/></w:pPr>
<w:r><w:t xml:space="preserve">Thlaspi rotundifolium, Saxifeaga Seguieri, S. aphylla,</w:t></w:r>
</w:p>
<w:p>
<w:pPr><w:pStyle w:val="Normal"/></w:pPr>
<w:r><w:t xml:space="preserve">Astragalus leontinus, Daphne striata, Eryngium alpinum,</w:t></w:r>
</w:p>
<w:p>
<w:pPr><w:pStyle w:val="Normal"/></w:pPr>
<w:r><w:t xml:space="preserve">Bupleurum stellatum, Androsace helvetica, A. glacialis, Gentiana</w:t></w:r>
</w:p>
<w:p>
<w:pPr><w:pStyle w:val="Normal"/></w:pPr>
<w:r><w:t xml:space="preserve">bavarica, Phyteuma humile, Campanula thyrsoidea, C. cenisia,</w:t></w:r>
</w:p>
<w:p>
<w:pPr><w:pStyle w:val="Normal"/></w:pPr>
<w:r><w:t xml:space="preserve">Achillea atrata, Cirsium spinosissimum, Crepis Terglouensis.</w:t></w:r>
</w:p>
<w:p>
<w:pPr><w:pStyle w:val="Normal"/></w:pPr>
<w:r><w:t xml:space="preserve">AUTHORITIES. -- Among the voluminous literature on Alpine</w:t></w:r>
</w:p>
<w:p>
<w:pPr><w:pStyle w:val="Normal"/></w:pPr>
<w:r><w:t xml:space="preserve">flora,  the following works are particularly noteworthy: --</w:t></w:r>
</w:p>
<w:p>
<w:pPr><w:pStyle w:val="Normal"/></w:pPr>
<w:r><w:t xml:space="preserve">Ball, ``On the Origin of the Flora of the European Alps,&apos;&apos;</w:t></w:r>
</w:p>
<w:p>
<w:pPr><w:pStyle w:val="Normal"/></w:pPr>
<w:r><w:t xml:space="preserve">in proceed. of the Roy. Geog. Soc., 1879; Bennett, The</w:t></w:r>
</w:p>
<w:p>
<w:pPr><w:pStyle w:val="Normal"/></w:pPr>
<w:r><w:t xml:space="preserve">Flora of the Alps, 2 vols. with 120 coloured plates (1896);</w:t></w:r>
</w:p>
<w:p>
<w:pPr><w:pStyle w:val="Normal"/></w:pPr>
<w:r><w:t xml:space="preserve">Briquet, ``Les Colonies vegetales xerothermiques des alpes</w:t></w:r>
</w:p>
<w:p>
<w:pPr><w:pStyle w:val="Normal"/></w:pPr>
<w:r><w:t xml:space="preserve">lemaniennes,&apos;&apos; in Bull. d. l.  Murithienne, soc. valaisienne</w:t></w:r>
</w:p>
<w:p>
<w:pPr><w:pStyle w:val="Normal"/></w:pPr>
<w:r><w:t xml:space="preserve">des sciences nat., xxvii. and xxviii. (1898-1899); Alph.</w:t></w:r>
</w:p>
<w:p>
<w:pPr><w:pStyle w:val="Normal"/></w:pPr>
<w:r><w:t xml:space="preserve">de Candolle, ``Sur les causes de l&apos;ineaale distribution des</w:t></w:r>
</w:p>
<w:p>
<w:pPr><w:pStyle w:val="Normal"/></w:pPr>
<w:r><w:t xml:space="preserve">Plantes rares dans la chaine des Alpes,&apos;&apos; Extr. des Actes</w:t></w:r>
</w:p>
<w:p>
<w:pPr><w:pStyle w:val="Normal"/></w:pPr>
<w:r><w:t xml:space="preserve">du Congres botan. internat. de Florence (1875); Chodat</w:t></w:r>
</w:p>
<w:p>
<w:pPr><w:pStyle w:val="Normal"/></w:pPr>
<w:r><w:t xml:space="preserve">u.  Pampanini, ``Sur la distribution des plantes des alpes</w:t></w:r>
</w:p>
<w:p>
<w:pPr><w:pStyle w:val="Normal"/></w:pPr>
<w:r><w:t xml:space="preserve">austro-orientales,&apos;&apos; Extr. du Globe, organe de la soc. de</w:t></w:r>
</w:p>
<w:p>
<w:pPr><w:pStyle w:val="Normal"/></w:pPr>
<w:r><w:t xml:space="preserve">geographie de Geneve, tome xli. (1902); H. Christ, Das</w:t></w:r>
</w:p>
<w:p>
<w:pPr><w:pStyle w:val="Normal"/></w:pPr>
<w:r><w:t xml:space="preserve">Pflanzenleben der Schweiz (1882) -- the chief classic</w:t></w:r>
</w:p>
<w:p>
<w:pPr><w:pStyle w:val="Normal"/></w:pPr>
<w:r><w:t xml:space="preserve">on the subject; Engler, Die Pfanzenformationen und die</w:t></w:r>
</w:p>
<w:p>
<w:pPr><w:pStyle w:val="Normal"/></w:pPr>
<w:r><w:t xml:space="preserve">pflanzengeographische Gliederung der Alpenkette (1901);</w:t></w:r>
</w:p>
<w:p>
<w:pPr><w:pStyle w:val="Normal"/></w:pPr>
<w:r><w:t xml:space="preserve">Heer, Uleber die nivale Kora der Schweiz (1885); Jerosch,</w:t></w:r>
</w:p>
<w:p>
<w:pPr><w:pStyle w:val="Normal"/></w:pPr>
<w:r><w:t xml:space="preserve">Geschichte und Herkunft der schweizerischen Alpenfforal</w:t></w:r>
</w:p>
<w:p>
<w:pPr><w:pStyle w:val="Normal"/></w:pPr>
<w:r><w:t xml:space="preserve">cine Ubersicht uber den gegenwartigen Stand der Frage</w:t></w:r>
</w:p>
<w:p>
<w:pPr><w:pStyle w:val="Normal"/></w:pPr>
<w:r><w:t xml:space="preserve">(1903).  Schroter, Das Pflanzenleben der Alpen (Zurich,</w:t></w:r>
</w:p>
<w:p>
<w:pPr><w:pStyle w:val="Normal"/></w:pPr>
<w:r><w:t xml:space="preserve">1908); R. von Wettstein, Die Geschichte unserer Alpenflora</w:t></w:r>
</w:p>
<w:p>
<w:pPr><w:pStyle w:val="Normal"/></w:pPr>
<w:r><w:t xml:space="preserve">(1896).  The best book of coloured plates is the Atlas</w:t></w:r>
</w:p>
<w:p>
<w:pPr><w:pStyle w:val="Normal"/></w:pPr>
<w:r><w:t xml:space="preserve">der Alpemflora, in 5 vols., pub. by the Deutscher</w:t></w:r>
</w:p>
<w:p>
<w:pPr><w:pStyle w:val="Normal"/></w:pPr>
<w:r><w:t xml:space="preserve">u. Oesterreichischer Alpenverein (2nd. ed., 1897).</w:t></w:r>
</w:p>
<w:p>
<w:pPr><w:pStyle w:val="Normal"/></w:pPr>
<w:r><w:t xml:space="preserve">12. Fauna. -- The fauna of the lower zones in the Alps</w:t></w:r>
</w:p>
<w:p>
<w:pPr><w:pStyle w:val="Normal"/></w:pPr>
<w:r><w:t xml:space="preserve">is, on the northern side of the chain, practically identical</w:t></w:r>
</w:p>
<w:p>
<w:pPr><w:pStyle w:val="Normal"/></w:pPr>
<w:r><w:t xml:space="preserve">with that of central Europe, and on the southern side with</w:t></w:r>
</w:p>
<w:p>
<w:pPr><w:pStyle w:val="Normal"/></w:pPr>
<w:r><w:t xml:space="preserve">that of the Mediterranean basin.  But in the higher regions</w:t></w:r>
</w:p>
<w:p>
<w:pPr><w:pStyle w:val="Normal"/></w:pPr>
<w:r><w:t xml:space="preserve">it presents many features of special interest alike to the</w:t></w:r>
</w:p>
<w:p>
<w:pPr><w:pStyle w:val="Normal"/></w:pPr>
<w:r><w:t xml:space="preserve">zoologist and the traveller.  It seems therefore best to treat</w:t></w:r>
</w:p>
<w:p>
<w:pPr><w:pStyle w:val="Normal"/></w:pPr>
<w:r><w:t xml:space="preserve">here principally of the animal inhabitants of the high Alps.</w:t></w:r>
</w:p>
<w:p>
<w:pPr><w:pStyle w:val="Normal"/></w:pPr>
<w:r><w:t xml:space="preserve">Though among mammalia -- as also in the case of the birds</w:t></w:r>
</w:p>
<w:p>
<w:pPr><w:pStyle w:val="Normal"/></w:pPr>
<w:r><w:t xml:space="preserve">-- there are but few forms peculiar to the Alps, many</w:t></w:r>
</w:p>
<w:p>
<w:pPr><w:pStyle w:val="Normal"/></w:pPr>
<w:r><w:t xml:space="preserve">interesting animals have found in the high mountains at</w:t></w:r>
</w:p>
<w:p>
<w:pPr><w:pStyle w:val="Normal"/></w:pPr>
<w:r><w:t xml:space="preserve">least a temporary refuge from man.  The European bison, the</w:t></w:r>
</w:p>
<w:p>
<w:pPr><w:pStyle w:val="Normal"/></w:pPr>
<w:r><w:t xml:space="preserve">urus, the elk and the wild swine have disappeared since Roman</w:t></w:r>
</w:p>
<w:p>
<w:pPr><w:pStyle w:val="Normal"/></w:pPr>
<w:r><w:t xml:space="preserve">times.  But the lynx (Lynx vulgaris) perhaps lingers in remote</w:t></w:r>
</w:p>
<w:p>
<w:pPr><w:pStyle w:val="Normal"/></w:pPr>
<w:r><w:t xml:space="preserve">parts, and the brown bear (Hrsus arctos) still survives</w:t></w:r>
</w:p>
<w:p>
<w:pPr><w:pStyle w:val="Normal"/></w:pPr>
<w:r><w:t xml:space="preserve">in the dense forests of the Lower Engadine.  The fox (Canis</w:t></w:r>
</w:p>
<w:p>
<w:pPr><w:pStyle w:val="Normal"/></w:pPr>
<w:r><w:t xml:space="preserve">vulpes), the stonemarten (Martes foina) and the stoat</w:t></w:r>
</w:p>
<w:p>
<w:pPr><w:pStyle w:val="Normal"/></w:pPr>
<w:r><w:t xml:space="preserve">or ermine (Putorius ermiiiea) range in summer above the</w:t></w:r>
</w:p>
<w:p>
<w:pPr><w:pStyle w:val="Normal"/></w:pPr>
<w:r><w:t xml:space="preserve">tree-limit.  The Ungulata are represented by the chamois</w:t></w:r>
</w:p>
<w:p>
<w:pPr><w:pStyle w:val="Normal"/></w:pPr>
<w:r><w:t xml:space="preserve">(Rupicapra tragus) and the bouquetin or steinbock (Capra</w:t></w:r>
</w:p>
<w:p>
<w:pPr><w:pStyle w:val="Normal"/></w:pPr>
<w:r><w:t xml:space="preserve">ibex).  The former -- the sole representative, in western</w:t></w:r>
</w:p>
<w:p>
<w:pPr><w:pStyle w:val="Normal"/></w:pPr>
<w:r><w:t xml:space="preserve">Europe, of the antelopes -- is found elsewhere only in</w:t></w:r>
</w:p>
<w:p>
<w:pPr><w:pStyle w:val="Normal"/></w:pPr>
<w:r><w:t xml:space="preserve">the Pyrenees, Carpathians, Caucasus and the mountains of</w:t></w:r>
</w:p>
<w:p>
<w:pPr><w:pStyle w:val="Normal"/></w:pPr>
<w:r><w:t xml:space="preserve">eastern Turkey; the latter survives only in the eastern</w:t></w:r>
</w:p>
<w:p>
<w:pPr><w:pStyle w:val="Normal"/></w:pPr>
<w:r><w:t xml:space="preserve">Graian Alps.  Of the Rodentia the most interesting and</w:t></w:r>
</w:p>
<w:p>
<w:pPr><w:pStyle w:val="Normal"/></w:pPr>
<w:r><w:t xml:space="preserve">conspicuous is the marmot (Arctomys marmota), which</w:t></w:r>
</w:p>
<w:p>
<w:pPr><w:pStyle w:val="Normal"/></w:pPr>
<w:r><w:t xml:space="preserve">lives in colonies close to the snow-line.  The snow-mouse</w:t></w:r>
</w:p>
<w:p>
<w:pPr><w:pStyle w:val="Normal"/></w:pPr>
<w:r><w:t xml:space="preserve">(Arvicola nivalis) is confined to the alpine and snow</w:t></w:r>
</w:p>
<w:p>
<w:pPr><w:pStyle w:val="Normal"/></w:pPr>
<w:r><w:t xml:space="preserve">regions, and is abundant at these levels throughout the whole</w:t></w:r>
</w:p>
<w:p>
<w:pPr><w:pStyle w:val="Normal"/></w:pPr>
<w:r><w:t xml:space="preserve">chain of the Alps.  The mountain hare (Lepus variabilis</w:t></w:r>
</w:p>
<w:p>
<w:pPr><w:pStyle w:val="Normal"/></w:pPr>
<w:r><w:t xml:space="preserve">or timidus) replaces the common hare (Lepus europaeus)</w:t></w:r>
</w:p>
<w:p>
<w:pPr><w:pStyle w:val="Normal"/></w:pPr>
<w:r><w:t xml:space="preserve">in the higher regions; though absent from the intervening</w:t></w:r>
</w:p>
<w:p>
<w:pPr><w:pStyle w:val="Normal"/></w:pPr>
<w:r><w:t xml:space="preserve">plains it again appears in the north of Europe and in</w:t></w:r>
</w:p>
<w:p>
<w:pPr><w:pStyle w:val="Normal"/></w:pPr>
<w:r><w:t xml:space="preserve">Scotland.  Among the Insectivora, the alpine shrew (Sorex</w:t></w:r>
</w:p>
<w:p>
<w:pPr><w:pStyle w:val="Normal"/></w:pPr>
<w:r><w:t xml:space="preserve">alpinus) is restricted to the Alps.  Of the Cheiroptera</w:t></w:r>
</w:p>
<w:p>
<w:pPr><w:pStyle w:val="Normal"/></w:pPr>
<w:r><w:t xml:space="preserve">(bats) only Vesperugo maurus is characteristically alpine.</w:t></w:r>
</w:p>
<w:p>
<w:pPr><w:pStyle w:val="Normal"/></w:pPr>
<w:r><w:t xml:space="preserve">The birds of the Alps are proportionately very numerous.  The</w:t></w:r>
</w:p>
<w:p>
<w:pPr><w:pStyle w:val="Normal"/></w:pPr>
<w:r><w:t xml:space="preserve">lammergeyer (Gypaetus barbatus), once common, is now extremely</w:t></w:r>
</w:p>
<w:p>
<w:pPr><w:pStyle w:val="Normal"/></w:pPr>
<w:r><w:t xml:space="preserve">rare, even if it has not already become extinct in the Alps;</w:t></w:r>
</w:p>
<w:p>
<w:pPr><w:pStyle w:val="Normal"/></w:pPr>
<w:r><w:t xml:space="preserve">but the golden eagle (Aquila chrysaetos) still holds its</w:t></w:r>
</w:p>
<w:p>
<w:pPr><w:pStyle w:val="Normal"/></w:pPr>
<w:r><w:t xml:space="preserve">own.  Some of the smaller birds of prey are not uncommon, but</w:t></w:r>
</w:p>
<w:p>
<w:pPr><w:pStyle w:val="Normal"/></w:pPr>
<w:r><w:t xml:space="preserve">there is none that can be regarded as specially characteristic</w:t></w:r>
</w:p>
<w:p>
<w:pPr><w:pStyle w:val="Normal"/></w:pPr>
<w:r><w:t xml:space="preserve">either of the Alps as a whole or of the alpine region.  As</w:t></w:r>
</w:p>
<w:p>
<w:pPr><w:pStyle w:val="Normal"/></w:pPr>
<w:r><w:t xml:space="preserve">characteristic birds of the snow-region may be mentioned the</w:t></w:r>
</w:p>
<w:p>
<w:pPr><w:pStyle w:val="Normal"/></w:pPr>
<w:r><w:t xml:space="preserve">alpine chough (Pyrrhocorax alpinus), which is frequently</w:t></w:r>
</w:p>
<w:p>
<w:pPr><w:pStyle w:val="Normal"/></w:pPr>
<w:r><w:t xml:space="preserve">seen at the summits even of the loftiest mountains, the</w:t></w:r>
</w:p>
<w:p>
<w:pPr><w:pStyle w:val="Normal"/></w:pPr>
<w:r><w:t xml:space="preserve">alpine swift (Cypselus melba), the wallcreeper ( Tichodroma</w:t></w:r>
</w:p>
<w:p>
<w:pPr><w:pStyle w:val="Normal"/></w:pPr>
<w:r><w:t xml:space="preserve">muraria), snow-finch (Montifringilla nivalis) and ptarmigan</w:t></w:r>
</w:p>
<w:p>
<w:pPr><w:pStyle w:val="Normal"/></w:pPr>
<w:r><w:t xml:space="preserve">(Lagopus mutus); the geographical distribution of this last</w:t></w:r>
</w:p>
<w:p>
<w:pPr><w:pStyle w:val="Normal"/></w:pPr>
<w:r><w:t xml:space="preserve">being similar to that of the mountain hare.  The black redstart</w:t></w:r>
</w:p>
<w:p>
<w:pPr><w:pStyle w:val="Normal"/></w:pPr>
<w:r><w:t xml:space="preserve">(Rulicilla titys), though common in the lower regions, is</w:t></w:r>
</w:p>
<w:p>
<w:pPr><w:pStyle w:val="Normal"/></w:pPr>
<w:r><w:t xml:space="preserve">also met with in fair numbers almost up to the snow-line.</w:t></w:r>
</w:p>
<w:p>
<w:pPr><w:pStyle w:val="Normal"/></w:pPr>
<w:r><w:t xml:space="preserve">The raven (Corpus corax) is fairly common in the alpine</w:t></w:r>
</w:p>
<w:p>
<w:pPr><w:pStyle w:val="Normal"/></w:pPr>
<w:r><w:t xml:space="preserve">and sub-alpine regions.  On the highest pastures we find,</w:t></w:r>
</w:p>
<w:p>
<w:pPr><w:pStyle w:val="Normal"/></w:pPr>
<w:r><w:t xml:space="preserve">further, the alpine accentor (Accentor collaris) and</w:t></w:r>
</w:p>
<w:p>
<w:pPr><w:pStyle w:val="Normal"/></w:pPr>
<w:r><w:t xml:space="preserve">the alpine pipit (Anthus spipoletta).  The crag-martin</w:t></w:r>
</w:p>
<w:p>
<w:pPr><w:pStyle w:val="Normal"/></w:pPr>
<w:r><w:t xml:space="preserve">(Cotyle rupestris) haunts lofty cliffs in the alpine</w:t></w:r>
</w:p>
<w:p>
<w:pPr><w:pStyle w:val="Normal"/></w:pPr>
<w:r><w:t xml:space="preserve">region.  On the upper verge of the pine forests, or in</w:t></w:r>
</w:p>
<w:p>
<w:pPr><w:pStyle w:val="Normal"/></w:pPr>
<w:r><w:t xml:space="preserve">the scrubby vegetation just beyond, the following are not</w:t></w:r>
</w:p>
<w:p>
<w:pPr><w:pStyle w:val="Normal"/></w:pPr>
<w:r><w:t xml:space="preserve">uncommon -- black woodpecker (Picus martius), ring-ousel</w:t></w:r>
</w:p>
<w:p>
<w:pPr><w:pStyle w:val="Normal"/></w:pPr>
<w:r><w:t xml:space="preserve">(Turdus torquatus),  Bonelli&apos;s warbler (Phylloscopus</w:t></w:r>
</w:p>
<w:p>
<w:pPr><w:pStyle w:val="Normal"/></w:pPr>
<w:r><w:t xml:space="preserve">Bonellii), crested til (Parus cristatus), citril finch</w:t></w:r>
</w:p>
<w:p>
<w:pPr><w:pStyle w:val="Normal"/></w:pPr>
<w:r><w:t xml:space="preserve">(Citrinella alpina), siskin (Chrysomitris  spinus),</w:t></w:r>
</w:p>
<w:p>
<w:pPr><w:pStyle w:val="Normal"/></w:pPr>
<w:r><w:t xml:space="preserve">crossbill (Loxia curvirostra), nutcracker (Nucifraga</w:t></w:r>
</w:p>
<w:p>
<w:pPr><w:pStyle w:val="Normal"/></w:pPr>
<w:r><w:t xml:space="preserve">caryocatactes), blackcock (Tetrao tetrix), and the</w:t></w:r>
</w:p>
<w:p>
<w:pPr><w:pStyle w:val="Normal"/></w:pPr>
<w:r><w:t xml:space="preserve">alpine varieties of the marsh-tit (Parus palustris,</w:t></w:r>
</w:p>
<w:p>
<w:pPr><w:pStyle w:val="Normal"/></w:pPr>
<w:r><w:t xml:space="preserve">borealis) and tree-creeper (Certhia familiaris, costae).</w:t></w:r>
</w:p>
<w:p>
<w:pPr><w:pStyle w:val="Normal"/></w:pPr>
<w:r><w:t xml:space="preserve">The remaining classes of Vertebrata are very sparsely represented</w:t></w:r>
</w:p>
<w:p>
<w:pPr><w:pStyle w:val="Normal"/></w:pPr>
<w:r><w:t xml:space="preserve">in the high Alps; and what few species occur are mostly common</w:t></w:r>
</w:p>
<w:p>
<w:pPr><w:pStyle w:val="Normal"/></w:pPr>
<w:r><w:t xml:space="preserve">to the plains as well.  In fact, among the remaining land</w:t></w:r>
</w:p>
<w:p>
<w:pPr><w:pStyle w:val="Normal"/></w:pPr>
<w:r><w:t xml:space="preserve">vertebrates, only the black salamander (Salamandra atra)</w:t></w:r>
</w:p>
<w:p>
<w:pPr><w:pStyle w:val="Normal"/></w:pPr>
<w:r><w:t xml:space="preserve">is exclusively alpine.  This interesting animal, though</w:t></w:r>
</w:p>
<w:p>
<w:pPr><w:pStyle w:val="Normal"/></w:pPr>
<w:r><w:t xml:space="preserve">a member of the Amphibia, is terrestrial and viviparous.</w:t></w:r>
</w:p>
<w:p>
<w:pPr><w:pStyle w:val="Normal"/></w:pPr>
<w:r><w:t xml:space="preserve">The former connexion between the Arctic and the Alps, which</w:t></w:r>
</w:p>
<w:p>
<w:pPr><w:pStyle w:val="Normal"/></w:pPr>
<w:r><w:t xml:space="preserve">has left such unmistakable traces in the present alpine</w:t></w:r>
</w:p>
<w:p>
<w:pPr><w:pStyle w:val="Normal"/></w:pPr>
<w:r><w:t xml:space="preserve">flora, affords, as regards the fauna also, the only possible</w:t></w:r>
</w:p>
<w:p>
<w:pPr><w:pStyle w:val="Normal"/></w:pPr>
<w:r><w:t xml:space="preserve">explanation of the present geographical distribution of many</w:t></w:r>
</w:p>
<w:p>
<w:pPr><w:pStyle w:val="Normal"/></w:pPr>
<w:r><w:t xml:space="preserve">alpine forms; but it is chiefly among the Invertebrata that</w:t></w:r>
</w:p>
<w:p>
<w:pPr><w:pStyle w:val="Normal"/></w:pPr>
<w:r><w:t xml:space="preserve">we find this collateral testimony to the influence of the</w:t></w:r>
</w:p>
<w:p>
<w:pPr><w:pStyle w:val="Normal"/></w:pPr>
<w:r><w:t xml:space="preserve">glacial period.  In this respect we may note that two small</w:t></w:r>
</w:p>
<w:p>
<w:pPr><w:pStyle w:val="Normal"/></w:pPr>
<w:r><w:t xml:space="preserve">crustaceans, Diaptomus bacillifer and D. denticornis,</w:t></w:r>
</w:p>
<w:p>
<w:pPr><w:pStyle w:val="Normal"/></w:pPr>
<w:r><w:t xml:space="preserve">swarm in the ice-cold waters of the highest alpine tarns</w:t></w:r>
</w:p>
<w:p>
<w:pPr><w:pStyle w:val="Normal"/></w:pPr>
<w:r><w:t xml:space="preserve">throughout the entire chain; and the former of these is also</w:t></w:r>
</w:p>
<w:p>
<w:pPr><w:pStyle w:val="Normal"/></w:pPr>
<w:r><w:t xml:space="preserve">a characteristic inhabitant of pools formed from melting snow</w:t></w:r>
</w:p>
<w:p>
<w:pPr><w:pStyle w:val="Normal"/></w:pPr>
<w:r><w:t xml:space="preserve">in the extreme north.  Among the remaining divisions of</w:t></w:r>
</w:p>
<w:p>
<w:pPr><w:pStyle w:val="Normal"/></w:pPr>
<w:r><w:t xml:space="preserve">Invertebrata special mention may be made of the air-breathing</w:t></w:r>
</w:p>
<w:p>
<w:pPr><w:pStyle w:val="Normal"/></w:pPr>
<w:r><w:t xml:space="preserve">Arthropoda -- on the whole the most important and interesting</w:t></w:r>
</w:p>
<w:p>
<w:pPr><w:pStyle w:val="Normal"/></w:pPr>
<w:r><w:t xml:space="preserve">group.  About one-third of the animals belonging thereto that</w:t></w:r>
</w:p>
<w:p>
<w:pPr><w:pStyle w:val="Normal"/></w:pPr>
<w:r><w:t xml:space="preserve">occur in the higher regions are exclusively alpine (or alpine</w:t></w:r>
</w:p>
<w:p>
<w:pPr><w:pStyle w:val="Normal"/></w:pPr>
<w:r><w:t xml:space="preserve">and northern); these characteristically alpine forms being</w:t></w:r>
</w:p>
<w:p>
<w:pPr><w:pStyle w:val="Normal"/></w:pPr>
<w:r><w:t xml:space="preserve">furnished chiefly by the spiders, beetles and butterflies.</w:t></w:r>
</w:p>
<w:p>
<w:pPr><w:pStyle w:val="Normal"/></w:pPr>
<w:r><w:t xml:space="preserve">Most numerous are the beetles.  Those of the highest zone are</w:t></w:r>
</w:p>
<w:p>
<w:pPr><w:pStyle w:val="Normal"/></w:pPr>
<w:r><w:t xml:space="preserve">remarkable for the great predominance of predaceous species</w:t></w:r>
</w:p>
<w:p>
<w:pPr><w:pStyle w:val="Normal"/></w:pPr>
<w:r><w:t xml:space="preserve">and of wingless forms.  In this last respect they present a</w:t></w:r>
</w:p>
<w:p>
<w:pPr><w:pStyle w:val="Normal"/></w:pPr>
<w:r><w:t xml:space="preserve">striking analogy with the endemic coleopterous fauna of oceanic</w:t></w:r>
</w:p>
<w:p>
<w:pPr><w:pStyle w:val="Normal"/></w:pPr>
<w:r><w:t xml:space="preserve">islands.  As for the butterflies, not more than one-third of</w:t></w:r>
</w:p>
<w:p>
<w:pPr><w:pStyle w:val="Normal"/></w:pPr>
<w:r><w:t xml:space="preserve">the species found in the alpine region occur in the neighbouring</w:t></w:r>
</w:p>
<w:p>
<w:pPr><w:pStyle w:val="Normal"/></w:pPr>
<w:r><w:t xml:space="preserve">lowlands.  The relations between alpine butterflies and plants</w:t></w:r>
</w:p>
<w:p>
<w:pPr><w:pStyle w:val="Normal"/></w:pPr>
<w:r><w:t xml:space="preserve">are especially interesting, as regards not only their bionomic</w:t></w:r>
</w:p>
<w:p>
<w:pPr><w:pStyle w:val="Normal"/></w:pPr>
<w:r><w:t xml:space="preserve">interdependence but also the analogies of their geographical</w:t></w:r>
</w:p>
<w:p>
<w:pPr><w:pStyle w:val="Normal"/></w:pPr>
<w:r><w:t xml:space="preserve">distribution.  It should be noted that butterflies are the</w:t></w:r>
</w:p>
<w:p>
<w:pPr><w:pStyle w:val="Normal"/></w:pPr>
<w:r><w:t xml:space="preserve">chief agents in securing the continued existence of such</w:t></w:r>
</w:p>
<w:p>
<w:pPr><w:pStyle w:val="Normal"/></w:pPr>
<w:r><w:t xml:space="preserve">alpine flowers as depend on insect fertilization, the other</w:t></w:r>
</w:p>
<w:p>
<w:pPr><w:pStyle w:val="Normal"/></w:pPr>
<w:r><w:t xml:space="preserve">insect fertilizers being mostly wanting at great heights.</w:t></w:r>
</w:p>
<w:p>
<w:pPr><w:pStyle w:val="Normal"/></w:pPr>
<w:r><w:t xml:space="preserve">The classic of alpine zoology is F. von Tschudi&apos;s Das</w:t></w:r>
</w:p>
<w:p>
<w:pPr><w:pStyle w:val="Normal"/></w:pPr>
<w:r><w:t xml:space="preserve">Tierleben der Alpenwelt (11th ed., 1890).  See also</w:t></w:r>
</w:p>
<w:p>
<w:pPr><w:pStyle w:val="Normal"/></w:pPr>
<w:r><w:t xml:space="preserve">zoological section, by K. W. v. Dalla Torre, of Anleitung</w:t></w:r>
</w:p>
<w:p>
<w:pPr><w:pStyle w:val="Normal"/></w:pPr>
<w:r><w:t xml:space="preserve">zu wissenschaftlichen Beobachtungen auf Alpenreisen.</w:t></w:r>
</w:p>
<w:p>
<w:pPr><w:pStyle w:val="Normal"/></w:pPr>
<w:r><w:t xml:space="preserve">For the Vertebrata, see V. Fatio&apos;s Faune des vertebres</w:t></w:r>
</w:p>
<w:p>
<w:pPr><w:pStyle w:val="Normal"/></w:pPr>
<w:r><w:t xml:space="preserve">de la Suisse (3 vols., 1869-1904). Die Tierwelt der</w:t></w:r>
</w:p>
<w:p>
<w:pPr><w:pStyle w:val="Normal"/></w:pPr>
<w:r><w:t xml:space="preserve">Hochgebirgsseen, by F. Zschokke (1900) is an important</w:t></w:r>
</w:p>
<w:p>
<w:pPr><w:pStyle w:val="Normal"/></w:pPr>
<w:r><w:t xml:space="preserve">treatise on an interesting department of alpine natural</w:t></w:r>
</w:p>
<w:p>
<w:pPr><w:pStyle w:val="Normal"/></w:pPr>
<w:r><w:t xml:space="preserve">history.  C. Zeller&apos;s Alpentiere im Wechsel der Zeit</w:t></w:r>
</w:p>
<w:p>
<w:pPr><w:pStyle w:val="Normal"/></w:pPr>
<w:r><w:t xml:space="preserve">(1892) gives a reliable account of the gradual disappearance</w:t></w:r>
</w:p>
<w:p>
<w:pPr><w:pStyle w:val="Normal"/></w:pPr>
<w:r><w:t xml:space="preserve">of some of the larger forms of life from the Alps.  For</w:t></w:r>
</w:p>
<w:p>
<w:pPr><w:pStyle w:val="Normal"/></w:pPr>
<w:r><w:t xml:space="preserve">the inter-relations of alpine insects and flowers, see H.</w:t></w:r>
</w:p>
<w:p>
<w:pPr><w:pStyle w:val="Normal"/></w:pPr>
<w:r><w:t xml:space="preserve">Muller&apos;s Alpenblumen, ihre Befruchtung durch Insekten,</w:t></w:r>
</w:p>
<w:p>
<w:pPr><w:pStyle w:val="Normal"/></w:pPr>
<w:r><w:t xml:space="preserve">und ihre Anpassung an dieselben (1881). (H. V. K.)</w:t></w:r>
</w:p>
<w:p>
<w:pPr><w:pStyle w:val="Normal"/></w:pPr>
<w:r><w:t xml:space="preserve">ALPUJARRAS or ALPUXARRAS, THE (Moorish al Busherat,</w:t></w:r>
</w:p>
<w:p>
<w:pPr><w:pStyle w:val="Normal"/></w:pPr>
<w:r><w:t xml:space="preserve">``the grass-land&apos;&apos;), a mountainous district of southern Spain,</w:t></w:r>
</w:p>
<w:p>
<w:pPr><w:pStyle w:val="Normal"/></w:pPr>
<w:r><w:t xml:space="preserve">in the province of Granada, consisting principally of valleys</w:t></w:r>
</w:p>
<w:p>
<w:pPr><w:pStyle w:val="Normal"/></w:pPr>
<w:r><w:t xml:space="preserve">which descend at right angles from the crest of the Sierra</w:t></w:r>
</w:p>
<w:p>
<w:pPr><w:pStyle w:val="Normal"/></w:pPr>
<w:r><w:t xml:space="preserve">Nevada on the north, to the Sierras Almijara, Contraviesa</w:t></w:r>
</w:p>
<w:p>
<w:pPr><w:pStyle w:val="Normal"/></w:pPr>
<w:r><w:t xml:space="preserve">and Gador, which sever it from the Mediterranean Sea, on the</w:t></w:r>
</w:p>
<w:p>
<w:pPr><w:pStyle w:val="Normal"/></w:pPr>
<w:r><w:t xml:space="preserve">south.  These valleys are among the most beautiful and</w:t></w:r>
</w:p>
<w:p>
<w:pPr><w:pStyle w:val="Normal"/></w:pPr>
<w:r><w:t xml:space="preserve">fertile in Spain.  They contain a rich abundance of fruit</w:t></w:r>
</w:p>
<w:p>
<w:pPr><w:pStyle w:val="Normal"/></w:pPr>
<w:r><w:t xml:space="preserve">trees, especially vines, oranges, lemons and figs, and in</w:t></w:r>
</w:p>
<w:p>
<w:pPr><w:pStyle w:val="Normal"/></w:pPr>
<w:r><w:t xml:space="preserve">some parts present scenes of almost Alpine grandeur.  The</w:t></w:r>
</w:p>
<w:p>
<w:pPr><w:pStyle w:val="Normal"/></w:pPr>
<w:r><w:t xml:space="preserve">inhabitants are the descendants of the Moors, who, after the</w:t></w:r>
</w:p>
<w:p>
<w:pPr><w:pStyle w:val="Normal"/></w:pPr>
<w:r><w:t xml:space="preserve">Spanish conquest of Granada in 1492, vainly sought to preserve</w:t></w:r>
</w:p>
<w:p>
<w:pPr><w:pStyle w:val="Normal"/></w:pPr>
<w:r><w:t xml:space="preserve">the last relics of their independence in their mountain</w:t></w:r>
</w:p>
<w:p>
<w:pPr><w:pStyle w:val="Normal"/></w:pPr>
<w:r><w:t xml:space="preserve">fastnesses.  Many of the names of places in the Alpujarras</w:t></w:r>
</w:p>
<w:p>
<w:pPr><w:pStyle w:val="Normal"/></w:pPr>
<w:r><w:t xml:space="preserve">are of Moorish origin.  The district contains many villages</w:t></w:r>
</w:p>
<w:p>
<w:pPr><w:pStyle w:val="Normal"/></w:pPr>
<w:r><w:t xml:space="preserve">of 1000 to 4000 inhabitants, the four largest being Lanjaron,</w:t></w:r>
</w:p>
<w:p>
<w:pPr><w:pStyle w:val="Normal"/></w:pPr>
<w:r><w:t xml:space="preserve">with its ruined castle and chalybeate baths, Orgiba, Trevelez</w:t></w:r>
</w:p>
<w:p>
<w:pPr><w:pStyle w:val="Normal"/></w:pPr>
<w:r><w:t xml:space="preserve">and Ugijar; all situated at a considerable elevation.</w:t></w:r>
</w:p>
<w:p>
<w:pPr><w:pStyle w:val="Normal"/></w:pPr>
<w:r><w:t xml:space="preserve">Trevelez, the highest, stands 5332 ft. above the sea.</w:t></w:r>
</w:p>
<w:p>
<w:pPr><w:pStyle w:val="Normal"/></w:pPr>
<w:r><w:t xml:space="preserve">`ALQAMA IBN `ABADA, generally known as `ALQAMA AL-FAHL,</w:t></w:r>
</w:p>
<w:p>
<w:pPr><w:pStyle w:val="Normal"/></w:pPr>
<w:r><w:t xml:space="preserve">an Arabian poet of the tribe Tamim, who flourished in</w:t></w:r>
</w:p>
<w:p>
<w:pPr><w:pStyle w:val="Normal"/></w:pPr>
<w:r><w:t xml:space="preserve">the second half of the 6th century.  Of his life we know</w:t></w:r>
</w:p>
<w:p>
<w:pPr><w:pStyle w:val="Normal"/></w:pPr>
<w:r><w:t xml:space="preserve">practically nothing except that his chief poem concerns an</w:t></w:r>
</w:p>
<w:p>
<w:pPr><w:pStyle w:val="Normal"/></w:pPr>
<w:r><w:t xml:space="preserve">incident in the wars between the Lakhmids and the Ghassanids</w:t></w:r>
</w:p>
<w:p>
<w:pPr><w:pStyle w:val="Normal"/></w:pPr>
<w:r><w:t xml:space="preserve">(see ARABIA, History).  Even the date of this is</w:t></w:r>
</w:p>
<w:p>
<w:pPr><w:pStyle w:val="Normal"/></w:pPr>
<w:r><w:t xml:space="preserve">doubtful, but it is generally referred to the period after</w:t></w:r>
</w:p>
<w:p>
<w:pPr><w:pStyle w:val="Normal"/></w:pPr>
<w:r><w:t xml:space="preserve">the middle of the 6th century.  His poetic description of</w:t></w:r>
</w:p>
<w:p>
<w:pPr><w:pStyle w:val="Normal"/></w:pPr>
<w:r><w:t xml:space="preserve">ostriches is said to have been famous among the Arabs.</w:t></w:r>
</w:p>
<w:p>
<w:pPr><w:pStyle w:val="Normal"/></w:pPr>
<w:r><w:t xml:space="preserve">His diwan consists of three qusidas (elegies) and eleven</w:t></w:r>
</w:p>
<w:p>
<w:pPr><w:pStyle w:val="Normal"/></w:pPr>
<w:r><w:t xml:space="preserve">fragments.  Asma` i considered three of the poems genuine.</w:t></w:r>
</w:p>
<w:p>
<w:pPr><w:pStyle w:val="Normal"/></w:pPr>
<w:r><w:t xml:space="preserve">The poems were edited by A. Swain with Latin translation as</w:t></w:r>
</w:p>
<w:p>
<w:pPr><w:pStyle w:val="Normal"/></w:pPr>
<w:r><w:t xml:space="preserve">Die Gedichte des Alkama Alfahl (Leipzig, 1867), and are</w:t></w:r>
</w:p>
<w:p>
<w:pPr><w:pStyle w:val="Normal"/></w:pPr>
<w:r><w:t xml:space="preserve">contained in W. Ahlwardt&apos;s The Diwans of the six ancient</w:t></w:r>
</w:p>
<w:p>
<w:pPr><w:pStyle w:val="Normal"/></w:pPr>
<w:r><w:t xml:space="preserve">Arabic Poets (Lond., 1870); cf.  W. Ahlwardt&apos;s Bemerkungen</w:t></w:r>
</w:p>
<w:p>
<w:pPr><w:pStyle w:val="Normal"/></w:pPr>
<w:r><w:t xml:space="preserve">uber die Aechtheit der alten arabischen Gledichte</w:t></w:r>
</w:p>
<w:p>
<w:pPr><w:pStyle w:val="Normal"/></w:pPr>
<w:r><w:t xml:space="preserve">(Greifswald, 1872), pp. 65-71 and 146-168. (G. W. T.)</w:t></w:r>
</w:p>
<w:p>
<w:pPr><w:pStyle w:val="Normal"/></w:pPr>
<w:r><w:t xml:space="preserve">ALQUIFOU (etymologically the same word as ``alcohol&apos;&apos;), a</w:t></w:r>
</w:p>
<w:p>
<w:pPr><w:pStyle w:val="Normal"/></w:pPr>
<w:r><w:t xml:space="preserve">lead ore found in Cornwall, used by potters for its green glaze.</w:t></w:r>
</w:p>
<w:p>
<w:pPr><w:pStyle w:val="Normal"/></w:pPr>
<w:r><w:t xml:space="preserve">ALREDUS, ALURED or ALUREDUS, OF BEVERLEY, was</w:t></w:r>
</w:p>
<w:p>
<w:pPr><w:pStyle w:val="Normal"/></w:pPr>
<w:r><w:t xml:space="preserve">sacristan of the church of Beverley in the first half of the</w:t></w:r>
</w:p>
<w:p>
<w:pPr><w:pStyle w:val="Normal"/></w:pPr>
<w:r><w:t xml:space="preserve">12th century.  He wrote, apparently about the year 1143, a</w:t></w:r>
</w:p>
<w:p>
<w:pPr><w:pStyle w:val="Normal"/></w:pPr>
<w:r><w:t xml:space="preserve">chronicle entitled Annales sive Historia de gestis regum</w:t></w:r>
</w:p>
<w:p>
<w:pPr><w:pStyle w:val="Normal"/></w:pPr>
<w:r><w:t xml:space="preserve">Britanniae, which begins with Brutus and carries the history</w:t></w:r>
</w:p>
<w:p>
<w:pPr><w:pStyle w:val="Normal"/></w:pPr>
<w:r><w:t xml:space="preserve">of England down to 1129.  This work was edited by T. Hearne</w:t></w:r>
</w:p>
<w:p>
<w:pPr><w:pStyle w:val="Normal"/></w:pPr>
<w:r><w:t xml:space="preserve">(Oxford, 1716), and at one time enjoyed some reputation as an</w:t></w:r>
</w:p>
<w:p>
<w:pPr><w:pStyle w:val="Normal"/></w:pPr>
<w:r><w:t xml:space="preserve">authority.  It is, however, a mere compilation and of no</w:t></w:r>
</w:p>
<w:p>
<w:pPr><w:pStyle w:val="Normal"/></w:pPr>
<w:r><w:t xml:space="preserve">value.  Geoffrey of Monmouth and Simeon of Durham are</w:t></w:r>
</w:p>
<w:p>
<w:pPr><w:pStyle w:val="Normal"/></w:pPr>
<w:r><w:t xml:space="preserve">Alured&apos;s chief sources.  Among the Cottonian MSS. there is</w:t></w:r>
</w:p>
<w:p>
<w:pPr><w:pStyle w:val="Normal"/></w:pPr>
<w:r><w:t xml:space="preserve">a collection of records relating to Beverley, Liberlales</w:t></w:r>
</w:p>
<w:p>
<w:pPr><w:pStyle w:val="Normal"/></w:pPr>
<w:r><w:t xml:space="preserve">Ecclesiae S. Johannis de Beverlae, which is attributed</w:t></w:r>
</w:p>
<w:p>
<w:pPr><w:pStyle w:val="Normal"/></w:pPr>
<w:r><w:t xml:space="preserve">to Alured, but on no good authority. (H. W. C. D.)</w:t></w:r>
</w:p>
<w:p>
<w:pPr><w:pStyle w:val="Normal"/></w:pPr>
<w:r><w:t xml:space="preserve">ALSACE (Ger. Elsass), a former province of France, divided</w:t></w:r>
</w:p>
<w:p>
<w:pPr><w:pStyle w:val="Normal"/></w:pPr>
<w:r><w:t xml:space="preserve">after the Revolution into the departments of Haut-Rhin and</w:t></w:r>
</w:p>
<w:p>
<w:pPr><w:pStyle w:val="Normal"/></w:pPr>
<w:r><w:t xml:space="preserve">Bas-Rhin, and incorporated since the war of 1870 with the</w:t></w:r>
</w:p>
<w:p>
<w:pPr><w:pStyle w:val="Normal"/></w:pPr>
<w:r><w:t xml:space="preserve">German empire (see ALSACE-LORRAINE).  It is bounded on the</w:t></w:r>
</w:p>
<w:p>
<w:pPr><w:pStyle w:val="Normal"/></w:pPr>
<w:r><w:t xml:space="preserve">north by the Rhenish Palatinate, on the east by the Rhine,</w:t></w:r>
</w:p>
<w:p>
<w:pPr><w:pStyle w:val="Normal"/></w:pPr>
<w:r><w:t xml:space="preserve">on the south by Switzerland and on the west by the Vosges</w:t></w:r>
</w:p>
<w:p>
<w:pPr><w:pStyle w:val="Normal"/></w:pPr>
<w:r><w:t xml:space="preserve">Mountains; and it comprises an area of 3344 English sq.</w:t></w:r>
</w:p>
<w:p>
<w:pPr><w:pStyle w:val="Normal"/></w:pPr>
<w:r><w:t xml:space="preserve">m.  The district possesses many natural attractions, and</w:t></w:r>
</w:p>
<w:p>
<w:pPr><w:pStyle w:val="Normal"/></w:pPr>
<w:r><w:t xml:space="preserve">is one of the most fertile in central Europe.  There are</w:t></w:r>
</w:p>
<w:p>
<w:pPr><w:pStyle w:val="Normal"/></w:pPr>
<w:r><w:t xml:space="preserve">several ranges of hills, but no point within the province</w:t></w:r>
</w:p>
<w:p>
<w:pPr><w:pStyle w:val="Normal"/></w:pPr>
<w:r><w:t xml:space="preserve">attains a great elevation.  The only river of importance</w:t></w:r>
</w:p>
<w:p>
<w:pPr><w:pStyle w:val="Normal"/></w:pPr>
<w:r><w:t xml:space="preserve">is the Ill, which falls into the Rhine after a course of</w:t></w:r>
</w:p>
<w:p>
<w:pPr><w:pStyle w:val="Normal"/></w:pPr>
<w:r><w:t xml:space="preserve">more than 100 m., and is navigable below Colmar.  The hills</w:t></w:r>
</w:p>
<w:p>
<w:pPr><w:pStyle w:val="Normal"/></w:pPr>
<w:r><w:t xml:space="preserve">are generally richly wooded, chiefly with fir, beech and</w:t></w:r>
</w:p>
<w:p>
<w:pPr><w:pStyle w:val="Normal"/></w:pPr>
<w:r><w:t xml:space="preserve">oak.  The agricultural products are corn, flax, tobacco,</w:t></w:r>
</w:p>
<w:p>
<w:pPr><w:pStyle w:val="Normal"/></w:pPr>
<w:r><w:t xml:space="preserve">grapes and various other fruits.  The country has a great</w:t></w:r>
</w:p>
<w:p>
<w:pPr><w:pStyle w:val="Normal"/></w:pPr>
<w:r><w:t xml:space="preserve">wealth of minerals, silver having been found, and copper, lead,</w:t></w:r>
</w:p>
<w:p>
<w:pPr><w:pStyle w:val="Normal"/></w:pPr>
<w:r><w:t xml:space="preserve">iron, coal and rock-salt being wrought with profit.  There are</w:t></w:r>
</w:p>
<w:p>
<w:pPr><w:pStyle w:val="Normal"/></w:pPr>
<w:r><w:t xml:space="preserve">considerable manufactures, chiefly of cotton and linen.  The</w:t></w:r>
</w:p>
<w:p>
<w:pPr><w:pStyle w:val="Normal"/></w:pPr>
<w:r><w:t xml:space="preserve">chief towns are Mulhausen and Colmar in the upper district</w:t></w:r>
</w:p>
<w:p>
<w:pPr><w:pStyle w:val="Normal"/></w:pPr>
<w:r><w:t xml:space="preserve">and Strassburg in the lower.  The province is traversed from</w:t></w:r>
</w:p>
<w:p>
<w:pPr><w:pStyle w:val="Normal"/></w:pPr>
<w:r><w:t xml:space="preserve">east to west by the railway from Strassburg to Nancy, and the</w:t></w:r>
</w:p>
<w:p>
<w:pPr><w:pStyle w:val="Normal"/></w:pPr>
<w:r><w:t xml:space="preserve">main line north and south runs between Basel and Strassburg.</w:t></w:r>
</w:p>
<w:p>
<w:pPr><w:pStyle w:val="Normal"/></w:pPr>
<w:r><w:t xml:space="preserve">History. -- From a very early period Alsace has been a</w:t></w:r>
</w:p>
<w:p>
<w:pPr><w:pStyle w:val="Normal"/></w:pPr>
<w:r><w:t xml:space="preserve">disputed territory, and has suffered in the contentions of</w:t></w:r>
</w:p>
<w:p>
<w:pPr><w:pStyle w:val="Normal"/></w:pPr>
<w:r><w:t xml:space="preserve">rival races.  Inhabited by the Rauraci and the Sequani, it</w:t></w:r>
</w:p>
<w:p>
<w:pPr><w:pStyle w:val="Normal"/></w:pPr>
<w:r><w:t xml:space="preserve">formed part of ancient Gaul, and was therefore included in</w:t></w:r>
</w:p>
<w:p>
<w:pPr><w:pStyle w:val="Normal"/></w:pPr>
<w:r><w:t xml:space="preserve">the Roman empire in the provinces of Germania Superior and</w:t></w:r>
</w:p>
<w:p>
<w:pPr><w:pStyle w:val="Normal"/></w:pPr>
<w:r><w:t xml:space="preserve">Maxima Sequanorum. The Romans held it nearly five hundred</w:t></w:r>
</w:p>
<w:p>
<w:pPr><w:pStyle w:val="Normal"/></w:pPr>
<w:r><w:t xml:space="preserve">years, and on the dissolution of their power it passed</w:t></w:r>
</w:p>
<w:p>
<w:pPr><w:pStyle w:val="Normal"/></w:pPr>
<w:r><w:t xml:space="preserve">under the sway of the Franks. In the Merovingian period</w:t></w:r>
</w:p>
<w:p>
<w:pPr><w:pStyle w:val="Normal"/></w:pPr>
<w:r><w:t xml:space="preserve">it formed a duchy attached to the kingdom of Austrasia,</w:t></w:r>
</w:p>
<w:p>
<w:pPr><w:pStyle w:val="Normal"/></w:pPr>
<w:r><w:t xml:space="preserve">and was governed by the descendants of duke Eticho, one</w:t></w:r>
</w:p>
<w:p>
<w:pPr><w:pStyle w:val="Normal"/></w:pPr>
<w:r><w:t xml:space="preserve">of whom was St Odilia.  After the death of Charlemagne,</w:t></w:r>
</w:p>
<w:p>
<w:pPr><w:pStyle w:val="Normal"/></w:pPr>
<w:r><w:t xml:space="preserve">Alsace, like the rest of the empire, was divided into</w:t></w:r>
</w:p>
<w:p>
<w:pPr><w:pStyle w:val="Normal"/></w:pPr>
<w:r><w:t xml:space="preserve">countships.  But the duchy was re-established after the</w:t></w:r>
</w:p>
<w:p>
<w:pPr><w:pStyle w:val="Normal"/></w:pPr>
<w:r><w:t xml:space="preserve">death of the German king Henry I., and became hereditary in</w:t></w:r>
</w:p>
<w:p>
<w:pPr><w:pStyle w:val="Normal"/></w:pPr>
<w:r><w:t xml:space="preserve">the Hohenstaufen family, and then in the house of Austria,</w:t></w:r>
</w:p>
<w:p>
<w:pPr><w:pStyle w:val="Normal"/></w:pPr>
<w:r><w:t xml:space="preserve">which succeeded in 1273 to the imperial dignity.  In the</w:t></w:r>
</w:p>
<w:p>
<w:pPr><w:pStyle w:val="Normal"/></w:pPr>
<w:r><w:t xml:space="preserve">beginning of the 12th century the country was divided between</w:t></w:r>
</w:p>
<w:p>
<w:pPr><w:pStyle w:val="Normal"/></w:pPr>
<w:r><w:t xml:space="preserve">the two landgraviates of Upper and Lower Alsace, but to</w:t></w:r>
</w:p>
<w:p>
<w:pPr><w:pStyle w:val="Normal"/></w:pPr>
<w:r><w:t xml:space="preserve">counteract the power of the nobles the emperors established</w:t></w:r>
</w:p>
<w:p>
<w:pPr><w:pStyle w:val="Normal"/></w:pPr>
<w:r><w:t xml:space="preserve">in Alsace a great number of free towns.  This state of</w:t></w:r>
</w:p>
<w:p>
<w:pPr><w:pStyle w:val="Normal"/></w:pPr>
<w:r><w:t xml:space="preserve">things continued until 1648, when a large part of Alsace,</w:t></w:r>
</w:p>
<w:p>
<w:pPr><w:pStyle w:val="Normal"/></w:pPr>
<w:r><w:t xml:space="preserve">comprising the two landgraviates of Upper and Lower Alsace</w:t></w:r>
</w:p>
<w:p>
<w:pPr><w:pStyle w:val="Normal"/></w:pPr>
<w:r><w:t xml:space="preserve">and the prefecture of the ten free imperial towns, was ceded</w:t></w:r>
</w:p>
<w:p>
<w:pPr><w:pStyle w:val="Normal"/></w:pPr>
<w:r><w:t xml:space="preserve">to France by the treaty of Westphalia.  In the war which</w:t></w:r>
</w:p>
<w:p>
<w:pPr><w:pStyle w:val="Normal"/></w:pPr>
<w:r><w:t xml:space="preserve">preceded this peace (generally known as the Thirty Years&apos; War)</w:t></w:r>
</w:p>
<w:p>
<w:pPr><w:pStyle w:val="Normal"/></w:pPr>
<w:r><w:t xml:space="preserve">Alsace had been so terribly devastated by the Swedes and the</w:t></w:r>
</w:p>
<w:p>
<w:pPr><w:pStyle w:val="Normal"/></w:pPr>
<w:r><w:t xml:space="preserve">French that the German emperor found himself unable to hold</w:t></w:r>
</w:p>
<w:p>
<w:pPr><w:pStyle w:val="Normal"/></w:pPr>
<w:r><w:t xml:space="preserve">it.  The population was greatly reduced in numbers, and</w:t></w:r>
</w:p>
<w:p>
<w:pPr><w:pStyle w:val="Normal"/></w:pPr>
<w:r><w:t xml:space="preserve">much of the land was left uncultivated.  In the war between</w:t></w:r>
</w:p>
<w:p>
<w:pPr><w:pStyle w:val="Normal"/></w:pPr>
<w:r><w:t xml:space="preserve">France and the Empire, arising out of the attempt of Louis</w:t></w:r>
</w:p>
<w:p>
<w:pPr><w:pStyle w:val="Heading1"/></w:pPr>
<w:r><w:t>XIV to seize Holland, that part of Alsace which remained</w:t></w:r>
</w:p>
<w:p>
<w:pPr><w:pStyle w:val="Normal"/></w:pPr>
<w:r><w:t xml:space="preserve">to Germany was again overrun by the French.  Although this</w:t></w:r>
</w:p>
<w:p>
<w:pPr><w:pStyle w:val="Normal"/></w:pPr>
<w:r><w:t xml:space="preserve">war was terminated in 1678 by the treaty of Nijmwegen, the</w:t></w:r>
</w:p>
<w:p>
<w:pPr><w:pStyle w:val="Normal"/></w:pPr>
<w:r><w:t xml:space="preserve">French monarch was desirous of incorporating a still larger</w:t></w:r>
</w:p>
<w:p>
<w:pPr><w:pStyle w:val="Normal"/></w:pPr>
<w:r><w:t xml:space="preserve">amount of Rhine territory; and accordingly in 1680 he laid</w:t></w:r>
</w:p>
<w:p>
<w:pPr><w:pStyle w:val="Normal"/></w:pPr>
<w:r><w:t xml:space="preserve">claim to a number of territories, belonging to princes</w:t></w:r>
</w:p>
<w:p>
<w:pPr><w:pStyle w:val="Normal"/></w:pPr>
<w:r><w:t xml:space="preserve">of the Empire, which he alleged had been dismembered from</w:t></w:r>
</w:p>
<w:p>
<w:pPr><w:pStyle w:val="Normal"/></w:pPr>
<w:r><w:t xml:space="preserve">Alsace.  It was ordered that these territories should be at</w:t></w:r>
</w:p>
<w:p>
<w:pPr><w:pStyle w:val="Normal"/></w:pPr>
<w:r><w:t xml:space="preserve">once restored to that province under the crown of France,</w:t></w:r>
</w:p>
<w:p>
<w:pPr><w:pStyle w:val="Normal"/></w:pPr>
<w:r><w:t xml:space="preserve">and several independent sovereigns were cited to appear</w:t></w:r>
</w:p>
<w:p>
<w:pPr><w:pStyle w:val="Normal"/></w:pPr>
<w:r><w:t xml:space="preserve">before two chambers of inquiry, called chambres de reunion,</w:t></w:r>
</w:p>
<w:p>
<w:pPr><w:pStyle w:val="Normal"/></w:pPr>
<w:r><w:t xml:space="preserve">which Louis had established at Brisach and Metz.  The princes</w:t></w:r>
</w:p>
<w:p>
<w:pPr><w:pStyle w:val="Normal"/></w:pPr>
<w:r><w:t xml:space="preserve">appealed to the emperor and to the diet; but the previous</w:t></w:r>
</w:p>
<w:p>
<w:pPr><w:pStyle w:val="Normal"/></w:pPr>
<w:r><w:t xml:space="preserve">wars had so exhausted the power of the former that nothing</w:t></w:r>
</w:p>
<w:p>
<w:pPr><w:pStyle w:val="Normal"/></w:pPr>
<w:r><w:t xml:space="preserve">could be done to resist the aggression.  In 1681 the French</w:t></w:r>
</w:p>
<w:p>
<w:pPr><w:pStyle w:val="Normal"/></w:pPr>
<w:r><w:t xml:space="preserve">troops under Louvois seized Strassburg, aided by the treachery</w:t></w:r>
</w:p>
<w:p>
<w:pPr><w:pStyle w:val="Normal"/></w:pPr>
<w:r><w:t xml:space="preserve">of the bishop and other great men of the city.  A further</w:t></w:r>
</w:p>
<w:p>
<w:pPr><w:pStyle w:val="Normal"/></w:pPr>
<w:r><w:t xml:space="preserve">war broke out, but by the treaty of Ratisbon (Regensburg) in</w:t></w:r>
</w:p>
<w:p>
<w:pPr><w:pStyle w:val="Normal"/></w:pPr>
<w:r><w:t xml:space="preserve">1684, Strassburg was secured to France.  The war was renewed</w:t></w:r>
</w:p>
<w:p>
<w:pPr><w:pStyle w:val="Normal"/></w:pPr>
<w:r><w:t xml:space="preserve">in 1688 and continued until 1697, when the peace of Ryswick</w:t></w:r>
</w:p>
<w:p>
<w:pPr><w:pStyle w:val="Normal"/></w:pPr>
<w:r><w:t xml:space="preserve">confirmed definitively the annexation of Strassburg to</w:t></w:r>
</w:p>
<w:p>
<w:pPr><w:pStyle w:val="Normal"/></w:pPr>
<w:r><w:t xml:space="preserve">France.  Some remaining territories of small extent were</w:t></w:r>
</w:p>
<w:p>
<w:pPr><w:pStyle w:val="Normal"/></w:pPr>
<w:r><w:t xml:space="preserve">acquired by the French after the revolution of 1789, including</w:t></w:r>
</w:p>
<w:p>
<w:pPr><w:pStyle w:val="Normal"/></w:pPr>
<w:r><w:t xml:space="preserve">Mulhausen, which had been a republic allied to Switzerland.</w:t></w:r>
</w:p>
<w:p>
<w:pPr><w:pStyle w:val="Normal"/></w:pPr>
<w:r><w:t xml:space="preserve">Originally Celtic, the population was modified during the Roman</w:t></w:r>
</w:p>
<w:p>
<w:pPr><w:pStyle w:val="Normal"/></w:pPr>
<w:r><w:t xml:space="preserve">period by the arrival of a Germanic people, the Triboci.  In</w:t></w:r>
</w:p>
<w:p>
<w:pPr><w:pStyle w:val="Normal"/></w:pPr>
<w:r><w:t xml:space="preserve">the 5th century came other German tribes, the Alamanni, and</w:t></w:r>
</w:p>
<w:p>
<w:pPr><w:pStyle w:val="Normal"/></w:pPr>
<w:r><w:t xml:space="preserve">then the Franks, who drove the Alamanni into the south.  Since</w:t></w:r>
</w:p>
<w:p>
<w:pPr><w:pStyle w:val="Normal"/></w:pPr>
<w:r><w:t xml:space="preserve">that period the population has in the main been Teutonic; and</w:t></w:r>
</w:p>
<w:p>
<w:pPr><w:pStyle w:val="Normal"/></w:pPr>
<w:r><w:t xml:space="preserve">the French conquests of the 17th century, while modifying this</w:t></w:r>
</w:p>
<w:p>
<w:pPr><w:pStyle w:val="Normal"/></w:pPr>
<w:r><w:t xml:space="preserve">element, still left it predominant.  The people continued</w:t></w:r>
</w:p>
<w:p>
<w:pPr><w:pStyle w:val="Normal"/></w:pPr>
<w:r><w:t xml:space="preserve">to use a German dialect as their native tongue, though the</w:t></w:r>
</w:p>
<w:p>
<w:pPr><w:pStyle w:val="Normal"/></w:pPr>
<w:r><w:t xml:space="preserve">educated classes also spoke French.  Protestantism was professed</w:t></w:r>
</w:p>
<w:p>
<w:pPr><w:pStyle w:val="Normal"/></w:pPr>
<w:r><w:t xml:space="preserve">by a large number of the inhabitants; and in many respects</w:t></w:r>
</w:p>
<w:p>
<w:pPr><w:pStyle w:val="Normal"/></w:pPr>
<w:r><w:t xml:space="preserve">their characteristics identified them rather with the race to</w:t></w:r>
</w:p>
<w:p>
<w:pPr><w:pStyle w:val="Normal"/></w:pPr>
<w:r><w:t xml:space="preserve">the east than that to the west of the Rhine.  In process of</w:t></w:r>
</w:p>
<w:p>
<w:pPr><w:pStyle w:val="Normal"/></w:pPr>
<w:r><w:t xml:space="preserve">time, however, they considered themselves French, and lost</w:t></w:r>
</w:p>
<w:p>
<w:pPr><w:pStyle w:val="Normal"/></w:pPr>
<w:r><w:t xml:space="preserve">all desire for reannexation to any of the German states.</w:t></w:r>
</w:p>
<w:p>
<w:pPr><w:pStyle w:val="Normal"/></w:pPr>
<w:r><w:t xml:space="preserve">Alsace suffered a good deal in the war of 1870-71.  The</w:t></w:r>
</w:p>
<w:p>
<w:pPr><w:pStyle w:val="Normal"/></w:pPr>
<w:r><w:t xml:space="preserve">earlier battles of the campaign were fought there; Strassburg</w:t></w:r>
</w:p>
<w:p>
<w:pPr><w:pStyle w:val="Normal"/></w:pPr>
<w:r><w:t xml:space="preserve">and other of its fortified towns were besieged and taken; and</w:t></w:r>
</w:p>
<w:p>
<w:pPr><w:pStyle w:val="Normal"/></w:pPr>
<w:r><w:t xml:space="preserve">its people were compelled to submit to very severe exactions.</w:t></w:r>
</w:p>
<w:p>
<w:pPr><w:pStyle w:val="Normal"/></w:pPr>
<w:r><w:t xml:space="preserve">The civil and military government of the province, as well</w:t></w:r>
</w:p>
<w:p>
<w:pPr><w:pStyle w:val="Normal"/></w:pPr>
<w:r><w:t xml:space="preserve">as that of Lorraine, was assumed by the Germans as soon as</w:t></w:r>
</w:p>
<w:p>
<w:pPr><w:pStyle w:val="Normal"/></w:pPr>
<w:r><w:t xml:space="preserve">they obtained possession of those parts of France, which was</w:t></w:r>
</w:p>
<w:p>
<w:pPr><w:pStyle w:val="Normal"/></w:pPr>
<w:r><w:t xml:space="preserve">very shortly after the commencement of the war.  The Alsatian</w:t></w:r>
</w:p>
<w:p>
<w:pPr><w:pStyle w:val="Normal"/></w:pPr>
<w:r><w:t xml:space="preserve">railways were reorganized and provided with a staff of German</w:t></w:r>
</w:p>
<w:p>
<w:pPr><w:pStyle w:val="Normal"/></w:pPr>
<w:r><w:t xml:space="preserve">officials.  German stamps were introduced from Berlin;</w:t></w:r>
</w:p>
<w:p>
<w:pPr><w:pStyle w:val="Normal"/></w:pPr>
<w:r><w:t xml:space="preserve">the occupied towns were garrisoned by the Landwehr; and</w:t></w:r>
</w:p>
<w:p>
<w:pPr><w:pStyle w:val="Normal"/></w:pPr>
<w:r><w:t xml:space="preserve">requisitions on a large scale were demanded, and paid for in</w:t></w:r>
</w:p>
<w:p>
<w:pPr><w:pStyle w:val="Normal"/></w:pPr>
<w:r><w:t xml:space="preserve">cheques which, at the close of the war, were to be honoured</w:t></w:r>
</w:p>
<w:p>
<w:pPr><w:pStyle w:val="Normal"/></w:pPr>
<w:r><w:t xml:space="preserve">by whichever side should stand in the unpleasant position</w:t></w:r>
</w:p>
<w:p>
<w:pPr><w:pStyle w:val="Normal"/></w:pPr>
<w:r><w:t xml:space="preserve">of the conquered.  The people, notwithstanding their German</w:t></w:r>
</w:p>
<w:p>
<w:pPr><w:pStyle w:val="Normal"/></w:pPr>
<w:r><w:t xml:space="preserve">origin, showed a very strong feeling against the invaders,</w:t></w:r>
</w:p>
<w:p>
<w:pPr><w:pStyle w:val="Normal"/></w:pPr>
<w:r><w:t xml:space="preserve">and in no part of France was the enemy resisted with greater</w:t></w:r>
</w:p>
<w:p>
<w:pPr><w:pStyle w:val="Normal"/></w:pPr>
<w:r><w:t xml:space="preserve">stubbornness.  It was evident from an early period of the</w:t></w:r>
</w:p>
<w:p>
<w:pPr><w:pStyle w:val="Normal"/></w:pPr>
<w:r><w:t xml:space="preserve">war, however, that Prussia was resolved to reannex Alsace</w:t></w:r>
</w:p>
<w:p>
<w:pPr><w:pStyle w:val="Normal"/></w:pPr>
<w:r><w:t xml:space="preserve">to German territory.  When the preliminaries of peace came</w:t></w:r>
</w:p>
<w:p>
<w:pPr><w:pStyle w:val="Normal"/></w:pPr>
<w:r><w:t xml:space="preserve">to be discussed at Versailles in February 1871, the cession</w:t></w:r>
</w:p>
<w:p>
<w:pPr><w:pStyle w:val="Normal"/></w:pPr>
<w:r><w:t xml:space="preserve">of Alsace, together with what is called German Lorraine,</w:t></w:r>
</w:p>
<w:p>
<w:pPr><w:pStyle w:val="Normal"/></w:pPr>
<w:r><w:t xml:space="preserve">was one of the earliest conditions laid down by Bismarck</w:t></w:r>
</w:p>
<w:p>
<w:pPr><w:pStyle w:val="Normal"/></w:pPr>
<w:r><w:t xml:space="preserve">and accepted by Thiers.  This sacrifice of territory was</w:t></w:r>
</w:p>
<w:p>
<w:pPr><w:pStyle w:val="Normal"/></w:pPr>
<w:r><w:t xml:space="preserve">afterwards ratified by the National Assembly at Bordeaux,</w:t></w:r>
</w:p>
<w:p>
<w:pPr><w:pStyle w:val="Normal"/></w:pPr>
<w:r><w:t xml:space="preserve">though not without a protest from the representatives of</w:t></w:r>
</w:p>
<w:p>
<w:pPr><w:pStyle w:val="Normal"/></w:pPr>
<w:r><w:t xml:space="preserve">the departments about to be given up; and thus Alsace once</w:t></w:r>
</w:p>
<w:p>
<w:pPr><w:pStyle w:val="Normal"/></w:pPr>
<w:r><w:t xml:space="preserve">more became German.  By the bill for the incorporation</w:t></w:r>
</w:p>
<w:p>
<w:pPr><w:pStyle w:val="Normal"/></w:pPr>
<w:r><w:t xml:space="preserve">of Alsace and German Lorraine, introduced into the German</w:t></w:r>
</w:p>
<w:p>
<w:pPr><w:pStyle w:val="Normal"/></w:pPr>
<w:r><w:t xml:space="preserve">parliament in May 1871, it was provided that the sole and</w:t></w:r>
</w:p>
<w:p>
<w:pPr><w:pStyle w:val="Normal"/></w:pPr>
<w:r><w:t xml:space="preserve">supreme control of the two provinces should be vested in</w:t></w:r>
</w:p>
<w:p>
<w:pPr><w:pStyle w:val="Normal"/></w:pPr>
<w:r><w:t xml:space="preserve">the German emperor and the federal council until the 1st of</w:t></w:r>
</w:p>
<w:p>
<w:pPr><w:pStyle w:val="Normal"/></w:pPr>
<w:r><w:t xml:space="preserve">January 1874, when the constitution of the German empire was</w:t></w:r>
</w:p>
<w:p>
<w:pPr><w:pStyle w:val="Normal"/></w:pPr>
<w:r><w:t xml:space="preserve">established.  Bismarck admitted the aversion of the population</w:t></w:r>
</w:p>
<w:p>
<w:pPr><w:pStyle w:val="Normal"/></w:pPr>
<w:r><w:t xml:space="preserve">to Prussian rule, but said that everything would be done</w:t></w:r>
</w:p>
<w:p>
<w:pPr><w:pStyle w:val="Normal"/></w:pPr>
<w:r><w:t xml:space="preserve">to conciliate the people.  This policy appears really</w:t></w:r>
</w:p>
<w:p>
<w:pPr><w:pStyle w:val="Normal"/></w:pPr>
<w:r><w:t xml:space="preserve">to have been carried out, and it was not long in bearing</w:t></w:r>
</w:p>
<w:p>
<w:pPr><w:pStyle w:val="Normal"/></w:pPr>
<w:r><w:t xml:space="preserve">fruit.  Many of the inhabitants of the conquered districts,</w:t></w:r>
</w:p>
<w:p>
<w:pPr><w:pStyle w:val="Normal"/></w:pPr>
<w:r><w:t xml:space="preserve">however, still clung to the old connexion, and on the</w:t></w:r>
</w:p>
<w:p>
<w:pPr><w:pStyle w:val="Normal"/></w:pPr>
<w:r><w:t xml:space="preserve">30th of September 1872 -- the day by which the people were</w:t></w:r>
</w:p>
<w:p>
<w:pPr><w:pStyle w:val="Normal"/></w:pPr>
<w:r><w:t xml:space="preserve">required to determine whether they would consider themselves</w:t></w:r>
</w:p>
<w:p>
<w:pPr><w:pStyle w:val="Normal"/></w:pPr>
<w:r><w:t xml:space="preserve">German subjects and remain, or French subjects and transfer</w:t></w:r>
</w:p>
<w:p>
<w:pPr><w:pStyle w:val="Normal"/></w:pPr>
<w:r><w:t xml:space="preserve">their domicile to France -- 45,000 elected to be still</w:t></w:r>
</w:p>
<w:p>
<w:pPr><w:pStyle w:val="Normal"/></w:pPr>
<w:r><w:t xml:space="preserve">French, and sorrowfully took their departure.  The German</w:t></w:r>
</w:p>
<w:p>
<w:pPr><w:pStyle w:val="Normal"/></w:pPr>
<w:r><w:t xml:space="preserve">system of compulsory education of every child above the</w:t></w:r>
</w:p>
<w:p>
<w:pPr><w:pStyle w:val="Normal"/></w:pPr>
<w:r><w:t xml:space="preserve">age of six was introduced directly after the annexation.</w:t></w:r>
</w:p>
<w:p>
<w:pPr><w:pStyle w:val="Normal"/></w:pPr>
<w:r><w:t xml:space="preserve">ALSACE-LORRAINE (Ger. Elsass-Lothringen), a German</w:t></w:r>
</w:p>
<w:p>
<w:pPr><w:pStyle w:val="Normal"/></w:pPr>
<w:r><w:t xml:space="preserve">imperial territory (since 1871), consisting of the former</w:t></w:r>
</w:p>
<w:p>
<w:pPr><w:pStyle w:val="Normal"/></w:pPr>
<w:r><w:t xml:space="preserve">French province Alsace (then divided into the departments of</w:t></w:r>
</w:p>
<w:p>
<w:pPr><w:pStyle w:val="Normal"/></w:pPr>
<w:r><w:t xml:space="preserve">Haut-Rhin and Bas-Rhin), together with its capital Strassburg,</w:t></w:r>
</w:p>
<w:p>
<w:pPr><w:pStyle w:val="Normal"/></w:pPr>
<w:r><w:t xml:space="preserve">and German Lorraine (which included the department of the</w:t></w:r>
</w:p>
<w:p>
<w:pPr><w:pStyle w:val="Normal"/></w:pPr>
<w:r><w:t xml:space="preserve">Moselle and portions of the departments of Meurthe and Vosges),</w:t></w:r>
</w:p>
<w:p>
<w:pPr><w:pStyle w:val="Normal"/></w:pPr>
<w:r><w:t xml:space="preserve">together with the capital and fortress of Metz.  The imperial</w:t></w:r>
</w:p>
<w:p>
<w:pPr><w:pStyle w:val="Normal"/></w:pPr>
<w:r><w:t xml:space="preserve">territory (Reichsland) is bounded S. by Switzerland; E. by</w:t></w:r>
</w:p>
<w:p>
<w:pPr><w:pStyle w:val="Normal"/></w:pPr>
<w:r><w:t xml:space="preserve">Baden, from which it is separated by the Rhine; N.E. and</w:t></w:r>
</w:p>
<w:p>
<w:pPr><w:pStyle w:val="Normal"/></w:pPr>
<w:r><w:t xml:space="preserve">N. by the Bavarian Palatinate, the Prussian Rhine Province</w:t></w:r>
</w:p>
<w:p>
<w:pPr><w:pStyle w:val="Normal"/></w:pPr>
<w:r><w:t xml:space="preserve">and Luxemburg, and W. by France.  Its area is 5601 sq.</w:t></w:r>
</w:p>
<w:p>
<w:pPr><w:pStyle w:val="Normal"/></w:pPr>
<w:r><w:t xml:space="preserve">m.  The maximum length from N. to S. is 145 m.; the maximum</w:t></w:r>
</w:p>
<w:p>
<w:pPr><w:pStyle w:val="Normal"/></w:pPr>
<w:r><w:t xml:space="preserve">breadth E. to W. 105 m., and the minimum breadth, on a line</w:t></w:r>
</w:p>
<w:p>
<w:pPr><w:pStyle w:val="Normal"/></w:pPr>
<w:r><w:t xml:space="preserve">drawn through Schlettstadt, 24 m.  In respect of its physical</w:t></w:r>
</w:p>
<w:p>
<w:pPr><w:pStyle w:val="Normal"/></w:pPr>
<w:r><w:t xml:space="preserve">features, Alsace-Lorraine falls into three parts -- mountain</w:t></w:r>
</w:p>
<w:p>
<w:pPr><w:pStyle w:val="Normal"/></w:pPr>
<w:r><w:t xml:space="preserve">land, plain and plateau.  The first, practically co-extensive</w:t></w:r>
</w:p>
<w:p>
<w:pPr><w:pStyle w:val="Normal"/></w:pPr>
<w:r><w:t xml:space="preserve">with the western half of Alsace, consists of the Vosges</w:t></w:r>
</w:p>
<w:p>
<w:pPr><w:pStyle w:val="Normal"/></w:pPr>
<w:r><w:t xml:space="preserve">range, which running in a northerly direction from the deep</w:t></w:r>
</w:p>
<w:p>
<w:pPr><w:pStyle w:val="Normal"/></w:pPr>
<w:r><w:t xml:space="preserve">gap or pass of Belfort (trouee de Belfort) forms in its</w:t></w:r>
</w:p>
<w:p>
<w:pPr><w:pStyle w:val="Normal"/></w:pPr>
<w:r><w:t xml:space="preserve">highest ridges the natural frontier line between Germany and</w:t></w:r>
</w:p>
<w:p>
<w:pPr><w:pStyle w:val="Normal"/></w:pPr>
<w:r><w:t xml:space="preserve">France.  Between this mountain chain and its spurs, which</w:t></w:r>
</w:p>
<w:p>
<w:pPr><w:pStyle w:val="Normal"/></w:pPr>
<w:r><w:t xml:space="preserve">fall steeply to the E., and the Rhine, stretches a fertile</w:t></w:r>
</w:p>
<w:p>
<w:pPr><w:pStyle w:val="Normal"/></w:pPr>
<w:r><w:t xml:space="preserve">plain forming the eastern half of Alsace.  In the N.W. a high</w:t></w:r>
</w:p>
<w:p>
<w:pPr><w:pStyle w:val="Normal"/></w:pPr>
<w:r><w:t xml:space="preserve">and undulating plateau, which gently descends in the W. to</w:t></w:r>
</w:p>
<w:p>
<w:pPr><w:pStyle w:val="Normal"/></w:pPr>
<w:r><w:t xml:space="preserve">the valley of the Moselle, occupies nearly the whole area of</w:t></w:r>
</w:p>
<w:p>
<w:pPr><w:pStyle w:val="Normal"/></w:pPr>
<w:r><w:t xml:space="preserve">Lorraine.  The drainage of the Vosges valleys and of the</w:t></w:r>
</w:p>
<w:p>
<w:pPr><w:pStyle w:val="Normal"/></w:pPr>
<w:r><w:t xml:space="preserve">Rhine valley is collected and carried into the Rhine about</w:t></w:r>
</w:p>
<w:p>
<w:pPr><w:pStyle w:val="Normal"/></w:pPr>
<w:r><w:t xml:space="preserve">10 m. below Strassburg by the Ill, which has a course of</w:t></w:r>
</w:p>
<w:p>
<w:pPr><w:pStyle w:val="Normal"/></w:pPr>
<w:r><w:t xml:space="preserve">more than 100 m. and is navigable below Colmar.  With the</w:t></w:r>
</w:p>
<w:p>
<w:pPr><w:pStyle w:val="Normal"/></w:pPr>
<w:r><w:t xml:space="preserve">exception of a few streams which run to the Rhone, all</w:t></w:r>
</w:p>
<w:p>
<w:pPr><w:pStyle w:val="Normal"/></w:pPr>
<w:r><w:t xml:space="preserve">the waters of Alsace flow into the Rhine.  The climate is</w:t></w:r>
</w:p>
<w:p>
<w:pPr><w:pStyle w:val="Normal"/></w:pPr>
<w:r><w:t xml:space="preserve">on the whole temperate -- warmest in the lowest districts</w:t></w:r>
</w:p>
<w:p>
<w:pPr><w:pStyle w:val="Normal"/></w:pPr>
<w:r><w:t xml:space="preserve">(460 ft. above sea-level) of N. Alsace, and coldest on the</w:t></w:r>
</w:p>
<w:p>
<w:pPr><w:pStyle w:val="Normal"/></w:pPr>
<w:r><w:t xml:space="preserve">summits of the Vosges, where snow lies six months in the</w:t></w:r>
</w:p>
<w:p>
<w:pPr><w:pStyle w:val="Normal"/></w:pPr>
<w:r><w:t xml:space="preserve">year.  The mean annual temperature at Strassburg is 49.8 deg.</w:t></w:r>
</w:p>
<w:p>
<w:pPr><w:pStyle w:val="Normal"/></w:pPr>
<w:r><w:t xml:space="preserve">F., at Metz 48.2 deg.; the rainfall at Strassburg 26 1/4 in.,</w:t></w:r>
</w:p>
<w:p>
<w:pPr><w:pStyle w:val="Normal"/></w:pPr>
<w:r><w:t xml:space="preserve">and at Metz 27 1/2 in.  The Rhine Valley is in great part</w:t></w:r>
</w:p>
<w:p>
<w:pPr><w:pStyle w:val="Normal"/></w:pPr>
<w:r><w:t xml:space="preserve">fertile, yielding good crops of potatoes, cereals (including</w:t></w:r>
</w:p>
<w:p>
<w:pPr><w:pStyle w:val="Normal"/></w:pPr>
<w:r><w:t xml:space="preserve">maize), sugar beet, hops, tobacco, flax, hemp and products</w:t></w:r>
</w:p>
<w:p>
<w:pPr><w:pStyle w:val="Normal"/></w:pPr>
<w:r><w:t xml:space="preserve">of oleaginous plants.  But grapes and fruit are amongst the</w:t></w:r>
</w:p>
<w:p>
<w:pPr><w:pStyle w:val="Normal"/></w:pPr>
<w:r><w:t xml:space="preserve">most valuable of the crops.  The cereals chiefly grown are</w:t></w:r>
</w:p>
<w:p>
<w:pPr><w:pStyle w:val="Normal"/></w:pPr>
<w:r><w:t xml:space="preserve">wheat, oats, barley and rye.  Great quantities of hay are</w:t></w:r>
</w:p>
<w:p>
<w:pPr><w:pStyle w:val="Normal"/></w:pPr>
<w:r><w:t xml:space="preserve">harvested.  This description embraces also the production of</w:t></w:r>
</w:p>
<w:p>
<w:pPr><w:pStyle w:val="Normal"/></w:pPr>
<w:r><w:t xml:space="preserve">Lorraine, where agriculture is less strenuously carried on,</w:t></w:r>
</w:p>
<w:p>
<w:pPr><w:pStyle w:val="Normal"/></w:pPr>
<w:r><w:t xml:space="preserve">and the fertility of the soil is less.  But Lorraine possesses,</w:t></w:r>
</w:p>
<w:p>
<w:pPr><w:pStyle w:val="Normal"/></w:pPr>
<w:r><w:t xml:space="preserve">in compensation, greater riches in the earth, in coal and</w:t></w:r>
</w:p>
<w:p>
<w:pPr><w:pStyle w:val="Normal"/></w:pPr>
<w:r><w:t xml:space="preserve">iron and salt mines.  Cows are grazed on the S. Vosges in</w:t></w:r>
</w:p>
<w:p>
<w:pPr><w:pStyle w:val="Normal"/></w:pPr>
<w:r><w:t xml:space="preserve">summer, and large quantities of cheese (Munster cheese)</w:t></w:r>
</w:p>
<w:p>
<w:pPr><w:pStyle w:val="Normal"/></w:pPr>
<w:r><w:t xml:space="preserve">are made and exported. Total population (1905) 1,814,626.</w:t></w:r>
</w:p>
<w:p>
<w:pPr><w:pStyle w:val="Normal"/></w:pPr>
<w:r><w:t xml:space="preserve">The farms in Alsace are mostly small and are beld partly as a</w:t></w:r>
</w:p>
<w:p>
<w:pPr><w:pStyle w:val="Normal"/></w:pPr>
<w:r><w:t xml:space="preserve">private possession, partly on the communal system; in Lorraine</w:t></w:r>
</w:p>
<w:p>
<w:pPr><w:pStyle w:val="Normal"/></w:pPr>
<w:r><w:t xml:space="preserve">there are some larger occupations.  The manufacture of cottons,</w:t></w:r>
</w:p>
<w:p>
<w:pPr><w:pStyle w:val="Normal"/></w:pPr>
<w:r><w:t xml:space="preserve">and on a smaller scale of woollens, is special to Alsace, the</w:t></w:r>
</w:p>
<w:p>
<w:pPr><w:pStyle w:val="Normal"/></w:pPr>
<w:r><w:t xml:space="preserve">chief centres of the industry being Mulhausen, Colmar and</w:t></w:r>
</w:p>
<w:p>
<w:pPr><w:pStyle w:val="Normal"/></w:pPr>
<w:r><w:t xml:space="preserve">the valleys of the Vosges.  The territory has always been</w:t></w:r>
</w:p>
<w:p>
<w:pPr><w:pStyle w:val="Normal"/></w:pPr>
<w:r><w:t xml:space="preserve">the centre of an active commerce, owing to its situation</w:t></w:r>
</w:p>
<w:p>
<w:pPr><w:pStyle w:val="Normal"/></w:pPr>
<w:r><w:t xml:space="preserve">on the confines of Germany, France and Switzerland, and</w:t></w:r>
</w:p>
<w:p>
<w:pPr><w:pStyle w:val="Normal"/></w:pPr>
<w:r><w:t xml:space="preserve">alongside the great highway of the Rhine.  The communications</w:t></w:r>
</w:p>
<w:p>
<w:pPr><w:pStyle w:val="Normal"/></w:pPr>
<w:r><w:t xml:space="preserve">embraced some 1249 m. of railway (1903), of which 1108 m.</w:t></w:r>
</w:p>
<w:p>
<w:pPr><w:pStyle w:val="Normal"/></w:pPr>
<w:r><w:t xml:space="preserve">belonged to the state, a good system of roads, and several</w:t></w:r>
</w:p>
<w:p>
<w:pPr><w:pStyle w:val="Normal"/></w:pPr>
<w:r><w:t xml:space="preserve">canals (notably the Rhine-Rhone, the Rhine-Marie and the Saar</w:t></w:r>
</w:p>
<w:p>
<w:pPr><w:pStyle w:val="Normal"/></w:pPr>
<w:r><w:t xml:space="preserve">Canals), in addition to the rivers.  Administratively the</w:t></w:r>
</w:p>
<w:p>
<w:pPr><w:pStyle w:val="Normal"/></w:pPr>
<w:r><w:t xml:space="preserve">territory is divided into the following three districts,</w:t></w:r>
</w:p>
<w:p>
<w:pPr><w:pStyle w:val="Normal"/></w:pPr>
<w:r><w:t xml:space="preserve">showing a density of population of about 316 to the sq. m.:--</w:t></w:r>
</w:p>
<w:p>
<w:pPr><w:pStyle w:val="Normal"/></w:pPr>
<w:r><w:t xml:space="preserve">Population.</w:t></w:r>
</w:p>
<w:p>
<w:pPr><w:pStyle w:val="Normal"/></w:pPr>
<w:r><w:t xml:space="preserve">Districts.          Area in sq. miles.         1885.       1905.</w:t></w:r>
</w:p>
<w:p>
<w:pPr><w:pStyle w:val="Normal"/></w:pPr>
<w:r><w:t xml:space="preserve">Upper Alsace  .   .           1354                462,549    512,709</w:t></w:r>
</w:p>
<w:p>
<w:pPr><w:pStyle w:val="Normal"/></w:pPr>
<w:r><w:t xml:space="preserve">Lower Alsace  .   .           1845                612,077     686,359</w:t></w:r>
</w:p>
<w:p>
<w:pPr><w:pStyle w:val="Normal"/></w:pPr>
<w:r><w:t xml:space="preserve">Lorraine  .   .   .           2402                489,729     615,558</w:t></w:r>
</w:p>
<w:p>
<w:pPr><w:pStyle w:val="Normal"/></w:pPr>
<w:r><w:t xml:space="preserve">On the sex division, 935,305 were in 1905 males, and 879,321</w:t></w:r>
</w:p>
<w:p>
<w:pPr><w:pStyle w:val="Normal"/></w:pPr>
<w:r><w:t xml:space="preserve">females.  The percentage of illegitimacy is about 7. The</w:t></w:r>
</w:p>
<w:p>
<w:pPr><w:pStyle w:val="Normal"/></w:pPr>
<w:r><w:t xml:space="preserve">rural population embraces 51% of the whole, the urban</w:t></w:r>
</w:p>
<w:p>
<w:pPr><w:pStyle w:val="Normal"/></w:pPr>
<w:r><w:t xml:space="preserve">population 48%. The largest towns are Strassburg (the capital</w:t></w:r>
</w:p>
<w:p>
<w:pPr><w:pStyle w:val="Normal"/></w:pPr>
<w:r><w:t xml:space="preserve">of the territory), Mulhausen, Metz, Colmar, all above</w:t></w:r>
</w:p>
<w:p>
<w:pPr><w:pStyle w:val="Normal"/></w:pPr>
<w:r><w:t xml:space="preserve">20,000 inhabitants each.  Classified according to religion</w:t></w:r>
</w:p>
<w:p>
<w:pPr><w:pStyle w:val="Normal"/></w:pPr>
<w:r><w:t xml:space="preserve">there were, in 1904, 372,078 Protestants, 1,310,391 Roman</w:t></w:r>
</w:p>
<w:p>
<w:pPr><w:pStyle w:val="Normal"/></w:pPr>
<w:r><w:t xml:space="preserve">Catholics, and 32,379 Jews.  Education is provided for at the</w:t></w:r>
</w:p>
<w:p>
<w:pPr><w:pStyle w:val="Normal"/></w:pPr>
<w:r><w:t xml:space="preserve">university of Strassburg, in 21 classical and pro-classical</w:t></w:r>
</w:p>
<w:p>
<w:pPr><w:pStyle w:val="Normal"/></w:pPr>
<w:r><w:t xml:space="preserve">schools, in 18 modern schools, and in nearly 4000 elementary</w:t></w:r>
</w:p>
<w:p>
<w:pPr><w:pStyle w:val="Normal"/></w:pPr>
<w:r><w:t xml:space="preserve">schools.  Over 85% of the people speak German as their</w:t></w:r>
</w:p>
<w:p>
<w:pPr><w:pStyle w:val="Normal"/></w:pPr>
<w:r><w:t xml:space="preserve">mother-tongue, the rest French, or a patois of French.  The</w:t></w:r>
</w:p>
<w:p>
<w:pPr><w:pStyle w:val="Normal"/></w:pPr>
<w:r><w:t xml:space="preserve">annual revenue and expenditure are each somewhat in excess of</w:t></w:r>
</w:p>
<w:p>
<w:pPr><w:pStyle w:val="Heading1"/></w:pPr>
<w:r><w:t>L. 3,000,000.  Customs and indirect taxes yield more than</w:t></w:r>
</w:p>
<w:p>
<w:pPr><w:pStyle w:val="Normal"/></w:pPr>
<w:r><w:t xml:space="preserve">three-fifths of the total revenue, and direct taxes less than</w:t></w:r>
</w:p>
<w:p>
<w:pPr><w:pStyle w:val="Normal"/></w:pPr>
<w:r><w:t xml:space="preserve">one-fourth.  The state forests give about one-ninth of the</w:t></w:r>
</w:p>
<w:p>
<w:pPr><w:pStyle w:val="Normal"/></w:pPr>
<w:r><w:t xml:space="preserve">whole.  The higher administration of justice is devolved upon</w:t></w:r>
</w:p>
<w:p>
<w:pPr><w:pStyle w:val="Normal"/></w:pPr>
<w:r><w:t xml:space="preserve">six provincial courts and a supreme court, sitting at Colmar.</w:t></w:r>
</w:p>
<w:p>
<w:pPr><w:pStyle w:val="Normal"/></w:pPr>
<w:r><w:t xml:space="preserve">Moreover, there are purely industrial tribunals at Mulhausen,</w:t></w:r>
</w:p>
<w:p>
<w:pPr><w:pStyle w:val="Normal"/></w:pPr>
<w:r><w:t xml:space="preserve">Thann, Markirch, Strassburg and Metz.  The fish-breeding</w:t></w:r>
</w:p>
<w:p>
<w:pPr><w:pStyle w:val="Normal"/></w:pPr>
<w:r><w:t xml:space="preserve">establishment at Huningen in Upper Alsace should be mentioned.</w:t></w:r>
</w:p>
<w:p>
<w:pPr><w:pStyle w:val="Normal"/></w:pPr>
<w:r><w:t xml:space="preserve">Constitution. -- The sovereignty over the territory was</w:t></w:r>
</w:p>
<w:p>
<w:pPr><w:pStyle w:val="Normal"/></w:pPr>
<w:r><w:t xml:space="preserve">by a law (Reichsgesetz) of the 9th of June 1871 vested</w:t></w:r>
</w:p>
<w:p>
<w:pPr><w:pStyle w:val="Normal"/></w:pPr>
<w:r><w:t xml:space="preserve">in the German emperor, who, until the introduction of the</w:t></w:r>
</w:p>
<w:p>
<w:pPr><w:pStyle w:val="Normal"/></w:pPr>
<w:r><w:t xml:space="preserve">imperial constitution on the 1st of January 1874, had, with</w:t></w:r>
</w:p>
<w:p>
<w:pPr><w:pStyle w:val="Normal"/></w:pPr>
<w:r><w:t xml:space="preserve">the assent of the federal council (Bundesrat) and, in a few</w:t></w:r>
</w:p>
<w:p>
<w:pPr><w:pStyle w:val="Normal"/></w:pPr>
<w:r><w:t xml:space="preserve">cases, that of the imperial diet (Reichstag), the sole</w:t></w:r>
</w:p>
<w:p>
<w:pPr><w:pStyle w:val="Normal"/></w:pPr>
<w:r><w:t xml:space="preserve">right of initiating legislation.  In October of this last</w:t></w:r>
</w:p>
<w:p>
<w:pPr><w:pStyle w:val="Normal"/></w:pPr>
<w:r><w:t xml:space="preserve">year a committee (Landesausschuss) of the whole territory</w:t></w:r>
</w:p>
<w:p>
<w:pPr><w:pStyle w:val="Normal"/></w:pPr>
<w:r><w:t xml:space="preserve">was appointed to deliberate on laws proposed to it before</w:t></w:r>
</w:p>
<w:p>
<w:pPr><w:pStyle w:val="Normal"/></w:pPr>
<w:r><w:t xml:space="preserve">they received the final sanction of the emperor.  On the</w:t></w:r>
</w:p>
<w:p>
<w:pPr><w:pStyle w:val="Normal"/></w:pPr>
<w:r><w:t xml:space="preserve">2nd of May 1877, the Landesausschuss was itself empowered</w:t></w:r>
</w:p>
<w:p>
<w:pPr><w:pStyle w:val="Normal"/></w:pPr>
<w:r><w:t xml:space="preserve">to initiate legislation within the competence of the</w:t></w:r>
</w:p>
<w:p>
<w:pPr><w:pStyle w:val="Normal"/></w:pPr>
<w:r><w:t xml:space="preserve">territory, and in 1879 the imperial viceroy (Statthalter),</w:t></w:r>
</w:p>
<w:p>
<w:pPr><w:pStyle w:val="Normal"/></w:pPr>
<w:r><w:t xml:space="preserve">representing the imperial chancellor, who had until then</w:t></w:r>
</w:p>
<w:p>
<w:pPr><w:pStyle w:val="Normal"/></w:pPr>
<w:r><w:t xml:space="preserve">been the responsible minister, took up his residence in</w:t></w:r>
</w:p>
<w:p>
<w:pPr><w:pStyle w:val="Normal"/></w:pPr>
<w:r><w:t xml:space="preserve">Strassburg.  He is assisted in the government by 4 ministers</w:t></w:r>
</w:p>
<w:p>
<w:pPr><w:pStyle w:val="Normal"/></w:pPr>
<w:r><w:t xml:space="preserve">of departments, under the presidency of a secretary of</w:t></w:r>
</w:p>
<w:p>
<w:pPr><w:pStyle w:val="Normal"/></w:pPr>
<w:r><w:t xml:space="preserve">state, and, when occasion demands the extraordinary</w:t></w:r>
</w:p>
<w:p>
<w:pPr><w:pStyle w:val="Normal"/></w:pPr>
<w:r><w:t xml:space="preserve">discussion of legislative proposals, by a council of state</w:t></w:r>
</w:p>
<w:p>
<w:pPr><w:pStyle w:val="Normal"/></w:pPr>
<w:r><w:t xml:space="preserve">(Staatsrat), consisting of the secretary of state, under</w:t></w:r>
</w:p>
<w:p>
<w:pPr><w:pStyle w:val="Normal"/></w:pPr>
<w:r><w:t xml:space="preserve">secretaries, the president of the supreme court of justice</w:t></w:r>
</w:p>
<w:p>
<w:pPr><w:pStyle w:val="Normal"/></w:pPr>
<w:r><w:t xml:space="preserve">of the territory and, as a rule, of 12 nominees of the</w:t></w:r>
</w:p>
<w:p>
<w:pPr><w:pStyle w:val="Normal"/></w:pPr>
<w:r><w:t xml:space="preserve">emperor.  The Lanitesaus-schuss, a constitutional body</w:t></w:r>
</w:p>
<w:p>
<w:pPr><w:pStyle w:val="Normal"/></w:pPr>
<w:r><w:t xml:space="preserve">with parliamentary privileges, consists of 58 members, 34</w:t></w:r>
</w:p>
<w:p>
<w:pPr><w:pStyle w:val="Normal"/></w:pPr>
<w:r><w:t xml:space="preserve">being appointed out of their number by the various district</w:t></w:r>
</w:p>
<w:p>
<w:pPr><w:pStyle w:val="Normal"/></w:pPr>
<w:r><w:t xml:space="preserve">councils (Bezirkslage), 4 by the large towns, and 20 by</w:t></w:r>
</w:p>
<w:p>
<w:pPr><w:pStyle w:val="Normal"/></w:pPr>
<w:r><w:t xml:space="preserve">the rural districts.  Alsace-Lorraine is represented in the</w:t></w:r>
</w:p>
<w:p>
<w:pPr><w:pStyle w:val="Normal"/></w:pPr>
<w:r><w:t xml:space="preserve">Bundesrat by two commissioners, who have, however, but one</w:t></w:r>
</w:p>
<w:p>
<w:pPr><w:pStyle w:val="Normal"/></w:pPr>
<w:r><w:t xml:space="preserve">voice; and the territory returns 15 members to the Reichstag.</w:t></w:r>
</w:p>
<w:p>
<w:pPr><w:pStyle w:val="Normal"/></w:pPr>
<w:r><w:t xml:space="preserve">See A. Schmidt, Elsass unid Lothringen (Lerp., 1859); Spach,</w:t></w:r>
</w:p>
<w:p>
<w:pPr><w:pStyle w:val="Normal"/></w:pPr>
<w:r><w:t xml:space="preserve">Histoire de la basso Alsace et de la ville de Strasbourg</w:t></w:r>
</w:p>
<w:p>
<w:pPr><w:pStyle w:val="Normal"/></w:pPr>
<w:r><w:t xml:space="preserve">(Stras., 1860); von Mullenheim Rechberg, Die Annexion des</w:t></w:r>
</w:p>
<w:p>
<w:pPr><w:pStyle w:val="Normal"/></w:pPr>
<w:r><w:t xml:space="preserve">Elsass durch Frankreich und Ruckblick auf die Verwaltung</w:t></w:r>
</w:p>
<w:p>
<w:pPr><w:pStyle w:val="Normal"/></w:pPr>
<w:r><w:t xml:space="preserve">des Landes, 1648-1697 (Stras., 1897); Du Prel, Die deutsche</w:t></w:r>
</w:p>
<w:p>
<w:pPr><w:pStyle w:val="Normal"/></w:pPr>
<w:r><w:t xml:space="preserve">Verwaltung in Elsass, 1870-1879 (Stras., 1879); L. Petersen,</w:t></w:r>
</w:p>
<w:p>
<w:pPr><w:pStyle w:val="Normal"/></w:pPr>
<w:r><w:t xml:space="preserve">Das Deutschtum in Elsass-Lothringen (Munich, 1902). (P. A. A.)</w:t></w:r>
</w:p>
<w:p>
<w:pPr><w:pStyle w:val="Normal"/></w:pPr>
<w:r><w:t xml:space="preserve">ALSATIA (the old French province of Alsace), long a</w:t></w:r>
</w:p>
<w:p>
<w:pPr><w:pStyle w:val="Normal"/></w:pPr>
<w:r><w:t xml:space="preserve">``debatable ground&apos;&apos; between France and Germany, and</w:t></w:r>
</w:p>
<w:p>
<w:pPr><w:pStyle w:val="Normal"/></w:pPr>
<w:r><w:t xml:space="preserve">hence a name applied in the 17th century to the district</w:t></w:r>
</w:p>
<w:p>
<w:pPr><w:pStyle w:val="Normal"/></w:pPr>
<w:r><w:t xml:space="preserve">of Whitefriars, between the Thames and Fleet Street, in</w:t></w:r>
</w:p>
<w:p>
<w:pPr><w:pStyle w:val="Normal"/></w:pPr>
<w:r><w:t xml:space="preserve">London, which afforded sanctuary (q.v.) to debtors and</w:t></w:r>
</w:p>
<w:p>
<w:pPr><w:pStyle w:val="Normal"/></w:pPr>
<w:r><w:t xml:space="preserve">criminals.  The privileges were abolished in 1697.  The</w:t></w:r>
</w:p>
<w:p>
<w:pPr><w:pStyle w:val="Normal"/></w:pPr>
<w:r><w:t xml:space="preserve">term is also used generally of any refuge for criminals.</w:t></w:r>
</w:p>
<w:p>
<w:pPr><w:pStyle w:val="Normal"/></w:pPr>
<w:r><w:t xml:space="preserve">ALSEN (Danish Als), an island in the Baltic, off the</w:t></w:r>
</w:p>
<w:p>
<w:pPr><w:pStyle w:val="Normal"/></w:pPr>
<w:r><w:t xml:space="preserve">coast of Schleswig, in the Little Belt.  It formerly</w:t></w:r>
</w:p>
<w:p>
<w:pPr><w:pStyle w:val="Normal"/></w:pPr>
<w:r><w:t xml:space="preserve">belonged to Denmark, but, as a result of the Danish war of</w:t></w:r>
</w:p>
<w:p>
<w:pPr><w:pStyle w:val="Normal"/></w:pPr>
<w:r><w:t xml:space="preserve">1864, was incorporated with Germany.  Its area is 105 sq.</w:t></w:r>
</w:p>
<w:p>
<w:pPr><w:pStyle w:val="Normal"/></w:pPr>
<w:r><w:t xml:space="preserve">m.; the length nearly 20, and the breadth from 3 to 12</w:t></w:r>
</w:p>
<w:p>
<w:pPr><w:pStyle w:val="Normal"/></w:pPr>
<w:r><w:t xml:space="preserve">m.  Pop. (1900) 25,000, most of whom speak Danish.  The</w:t></w:r>
</w:p>
<w:p>
<w:pPr><w:pStyle w:val="Normal"/></w:pPr>
<w:r><w:t xml:space="preserve">island is fertile, richly wooded, and yields grain and</w:t></w:r>
</w:p>
<w:p>
<w:pPr><w:pStyle w:val="Normal"/></w:pPr>
<w:r><w:t xml:space="preserve">fruit.  Sonderburg, the capital, with a good harbour and a</w:t></w:r>
</w:p>
<w:p>
<w:pPr><w:pStyle w:val="Normal"/></w:pPr>
<w:r><w:t xml:space="preserve">considerable trade, is connected with the mainland by a pontoon</w:t></w:r>
</w:p>
<w:p>
<w:pPr><w:pStyle w:val="Normal"/></w:pPr>
<w:r><w:t xml:space="preserve">bridge.  Other places of note are Norburg and Augustenburg.</w:t></w:r>
</w:p>
<w:p>
<w:pPr><w:pStyle w:val="Normal"/></w:pPr>
<w:r><w:t xml:space="preserve">On the peninsula Rekenis at the S.W. end of Alsen there is a</w:t></w:r>
</w:p>
<w:p>
<w:pPr><w:pStyle w:val="Normal"/></w:pPr>
<w:r><w:t xml:space="preserve">lighthouse.  Here, in 1848, the Danes directed their main attack</w:t></w:r>
</w:p>
<w:p>
<w:pPr><w:pStyle w:val="Normal"/></w:pPr>
<w:r><w:t xml:space="preserve">against Field-marshal Wrangel&apos;s army.  In 1864 the Prussians</w:t></w:r>
</w:p>
<w:p>
<w:pPr><w:pStyle w:val="Normal"/></w:pPr>
<w:r><w:t xml:space="preserve">under Herwarth von Bittenfeld took Alsen, which was occupied</w:t></w:r>
</w:p>
<w:p>
<w:pPr><w:pStyle w:val="Normal"/></w:pPr>
<w:r><w:t xml:space="preserve">by 9000 Danish troops under Steinmann, thus bringing the</w:t></w:r>
</w:p>
<w:p>
<w:pPr><w:pStyle w:val="Normal"/></w:pPr>
<w:r><w:t xml:space="preserve">Danish war to a close.  Since 1870 Alsen has been fortified.</w:t></w:r>
</w:p>
<w:p>
<w:pPr><w:pStyle w:val="Normal"/></w:pPr>
<w:r><w:t xml:space="preserve">&apos;ALSHEKH, MOSES, Jewish rabbi in Safed (Palestine) in the</w:t></w:r>
</w:p>
<w:p>
<w:pPr><w:pStyle w:val="Normal"/></w:pPr>
<w:r><w:t xml:space="preserve">later part of the 16th century.  He was the author of many</w:t></w:r>
</w:p>
<w:p>
<w:pPr><w:pStyle w:val="Normal"/></w:pPr>
<w:r><w:t xml:space="preserve">homiletical commentaries on the Hebrew Bible.  His works</w:t></w:r>
</w:p>
<w:p>
<w:pPr><w:pStyle w:val="Normal"/></w:pPr>
<w:r><w:t xml:space="preserve">still justly enjoy much popularity, largely because of their</w:t></w:r>
</w:p>
<w:p>
<w:pPr><w:pStyle w:val="Normal"/></w:pPr>
<w:r><w:t xml:space="preserve">powerful influence as practical exhortations to virtuous life.</w:t></w:r>
</w:p>
<w:p>
<w:pPr><w:pStyle w:val="Normal"/></w:pPr>
<w:r><w:t xml:space="preserve">ALSIETINUS LACUS (mod. Lago di Martignano), a small lake</w:t></w:r>
</w:p>
<w:p>
<w:pPr><w:pStyle w:val="Normal"/></w:pPr>
<w:r><w:t xml:space="preserve">in southern Etruria, 15 m. due N.N.W. of Rome, in an extinct</w:t></w:r>
</w:p>
<w:p>
<w:pPr><w:pStyle w:val="Normal"/></w:pPr>
<w:r><w:t xml:space="preserve">crater.  Augustus drew from it the Aqua Alsietina; the water</w:t></w:r>
</w:p>
<w:p>
<w:pPr><w:pStyle w:val="Normal"/></w:pPr>
<w:r><w:t xml:space="preserve">was hardly fit to drink, and was mainly intended to supply</w:t></w:r>
</w:p>
<w:p>
<w:pPr><w:pStyle w:val="Normal"/></w:pPr>
<w:r><w:t xml:space="preserve">his naumachia (lake made for a sham naval battle) at Rome,</w:t></w:r>
</w:p>
<w:p>
<w:pPr><w:pStyle w:val="Normal"/></w:pPr>
<w:r><w:t xml:space="preserve">near S. Francesco a Ripa, on the right bank of the Tiber,</w:t></w:r>
</w:p>
<w:p>
<w:pPr><w:pStyle w:val="Normal"/></w:pPr>
<w:r><w:t xml:space="preserve">where some traces of the aqueduct were perhaps found in 1720.</w:t></w:r>
</w:p>
<w:p>
<w:pPr><w:pStyle w:val="Normal"/></w:pPr>
<w:r><w:t xml:space="preserve">The course of the aqueduct, which was mainly subterranean,</w:t></w:r>
</w:p>
<w:p>
<w:pPr><w:pStyle w:val="Normal"/></w:pPr>
<w:r><w:t xml:space="preserve">is practically unknown: Frontinus tells us that it received</w:t></w:r>
</w:p>
<w:p>
<w:pPr><w:pStyle w:val="Normal"/></w:pPr>
<w:r><w:t xml:space="preserve">a branch from the lake of Bracciano near Careiae (Galera):</w:t></w:r>
</w:p>
<w:p>
<w:pPr><w:pStyle w:val="Normal"/></w:pPr>
<w:r><w:t xml:space="preserve">and an inscription relating to it was found in this district</w:t></w:r>
</w:p>
<w:p>
<w:pPr><w:pStyle w:val="Normal"/></w:pPr>
<w:r><w:t xml:space="preserve">in 1887 (F. Barnabei, Notizie degli Scavi, 1887, 181).</w:t></w:r>
</w:p>
<w:p>
<w:pPr><w:pStyle w:val="Normal"/></w:pPr>
<w:r><w:t xml:space="preserve">ALSIUM (mod. Palo), an ancient town of Etruria, 29</w:t></w:r>
</w:p>
<w:p>
<w:pPr><w:pStyle w:val="Normal"/></w:pPr>
<w:r><w:t xml:space="preserve">m.  W. by N. of Rome by rail, on the Via Aurelia, by which</w:t></w:r>
</w:p>
<w:p>
<w:pPr><w:pStyle w:val="Normal"/></w:pPr>
<w:r><w:t xml:space="preserve">it is about 22 m. from Rome.  It was one of the oldest</w:t></w:r>
</w:p>
<w:p>
<w:pPr><w:pStyle w:val="Normal"/></w:pPr>
<w:r><w:t xml:space="preserve">cities of Etruria, but does not appear in history till the</w:t></w:r>
</w:p>
<w:p>
<w:pPr><w:pStyle w:val="Normal"/></w:pPr>
<w:r><w:t xml:space="preserve">Roman colonization of 247 B.C., and was never of great</w:t></w:r>
</w:p>
<w:p>
<w:pPr><w:pStyle w:val="Normal"/></w:pPr>
<w:r><w:t xml:space="preserve">importance, except as a resort of wealthy Romans, many of whom</w:t></w:r>
</w:p>
<w:p>
<w:pPr><w:pStyle w:val="Normal"/></w:pPr>
<w:r><w:t xml:space="preserve">(Pompey, the Antonine emperors) had villas there.  About 1 1/2</w:t></w:r>
</w:p>
<w:p>
<w:pPr><w:pStyle w:val="Normal"/></w:pPr>
<w:r><w:t xml:space="preserve">m.  N.E. of Palo is a row of large mounds called I Monteroni,</w:t></w:r>
</w:p>
<w:p>
<w:pPr><w:pStyle w:val="Normal"/></w:pPr>
<w:r><w:t xml:space="preserve">which belong to tombs of the Etruscan cemetery.  Considerable</w:t></w:r>
</w:p>
<w:p>
<w:pPr><w:pStyle w:val="Normal"/></w:pPr>
<w:r><w:t xml:space="preserve">remains of ancient villas still exist along the low sandy</w:t></w:r>
</w:p>
<w:p>
<w:pPr><w:pStyle w:val="Normal"/></w:pPr>
<w:r><w:t xml:space="preserve">coast, one of which, about 1 m. E. of Palo, occupies an</w:t></w:r>
</w:p>
<w:p>
<w:pPr><w:pStyle w:val="Normal"/></w:pPr>
<w:r><w:t xml:space="preserve">area of some 400 by 250 yds.  The medieval castle belongs to</w:t></w:r>
</w:p>
<w:p>
<w:pPr><w:pStyle w:val="Normal"/></w:pPr>
<w:r><w:t xml:space="preserve">the Odescalchi family.  Near Palo is the modern sea-bathing</w:t></w:r>
</w:p>
<w:p>
<w:pPr><w:pStyle w:val="Normal"/></w:pPr>
<w:r><w:t xml:space="preserve">resort Ladispoli, founded by Prince Odescalchi.  See G.</w:t></w:r>
</w:p>
<w:p>
<w:pPr><w:pStyle w:val="Normal"/></w:pPr>
<w:r><w:t xml:space="preserve">Dennis, Cities and Cemeteries of Etruria, i. 219.</w:t></w:r>
</w:p>
<w:p>
<w:pPr><w:pStyle w:val="Normal"/></w:pPr>
<w:r><w:t xml:space="preserve">ALSOP, VINCENT (c. 1630- 1703), English Nonconformist</w:t></w:r>
</w:p>
<w:p>
<w:pPr><w:pStyle w:val="Normal"/></w:pPr>
<w:r><w:t xml:space="preserve">divine, was of Northamptonshire origin and was educated at St</w:t></w:r>
</w:p>
<w:p>
<w:pPr><w:pStyle w:val="Normal"/></w:pPr>
<w:r><w:t xml:space="preserve">John&apos;s College, Cambridge.  He received deacon&apos;s orders from a</w:t></w:r>
</w:p>
<w:p>
<w:pPr><w:pStyle w:val="Normal"/></w:pPr>
<w:r><w:t xml:space="preserve">bishop, whereupon he settled as assistant-master in the free</w:t></w:r>
</w:p>
<w:p>
<w:pPr><w:pStyle w:val="Normal"/></w:pPr>
<w:r><w:t xml:space="preserve">school of Oakham, Rutland.  He was reclaimed from indifferent</w:t></w:r>
</w:p>
<w:p>
<w:pPr><w:pStyle w:val="Normal"/></w:pPr>
<w:r><w:t xml:space="preserve">courses and associates here by a very ``painful&apos;&apos; minister,</w:t></w:r>
</w:p>
<w:p>
<w:pPr><w:pStyle w:val="Normal"/></w:pPr>
<w:r><w:t xml:space="preserve">the Rev. Benjamin King.  Subsequently he married Mr King&apos;s</w:t></w:r>
</w:p>
<w:p>
<w:pPr><w:pStyle w:val="Normal"/></w:pPr>
<w:r><w:t xml:space="preserve">daughter, and ``becoming a convert to his principles, received</w:t></w:r>
</w:p>
<w:p>
<w:pPr><w:pStyle w:val="Normal"/></w:pPr>
<w:r><w:t xml:space="preserve">ordination in the Presbyterian way, not being satisfied with</w:t></w:r>
</w:p>
<w:p>
<w:pPr><w:pStyle w:val="Normal"/></w:pPr>
<w:r><w:t xml:space="preserve">that which he had from the bishop.&apos;&apos;  He was presented to the</w:t></w:r>
</w:p>
<w:p>
<w:pPr><w:pStyle w:val="Normal"/></w:pPr>
<w:r><w:t xml:space="preserve">living of Wilby in Northamptonshire; but was thence ejected</w:t></w:r>
</w:p>
<w:p>
<w:pPr><w:pStyle w:val="Normal"/></w:pPr>
<w:r><w:t xml:space="preserve">under the act of Uniformity in 1662.  After his ejection he</w:t></w:r>
</w:p>
<w:p>
<w:pPr><w:pStyle w:val="Normal"/></w:pPr>
<w:r><w:t xml:space="preserve">preached privately at Oakham and Wellingborough, sharing the</w:t></w:r>
</w:p>
<w:p>
<w:pPr><w:pStyle w:val="Normal"/></w:pPr>
<w:r><w:t xml:space="preserve">common pains and penalties of nonconformists, -- e.g. he was</w:t></w:r>
</w:p>
<w:p>
<w:pPr><w:pStyle w:val="Normal"/></w:pPr>
<w:r><w:t xml:space="preserve">imprisoned six months for praying with a sick person.  A book</w:t></w:r>
</w:p>
<w:p>
<w:pPr><w:pStyle w:val="Normal"/></w:pPr>
<w:r><w:t xml:space="preserve">against William Shedock, dean of St Paul&apos;s, called Antisozzo</w:t></w:r>
</w:p>
<w:p>
<w:pPr><w:pStyle w:val="Normal"/></w:pPr>
<w:r><w:t xml:space="preserve">(against Socinus), written in the vein of Andrew Marvell&apos;s</w:t></w:r>
</w:p>
<w:p>
<w:pPr><w:pStyle w:val="Normal"/></w:pPr>
<w:r><w:t xml:space="preserve">Rehearsal Transprosed, procured him much celebrity as a</w:t></w:r>
</w:p>
<w:p>
<w:pPr><w:pStyle w:val="Normal"/></w:pPr>
<w:r><w:t xml:space="preserve">wit.  Dr Robert South, no friend to nonconformists, publicly</w:t></w:r>
</w:p>
<w:p>
<w:pPr><w:pStyle w:val="Normal"/></w:pPr>
<w:r><w:t xml:space="preserve">pronounced that Alsop had the advantage of Sherlock in every</w:t></w:r>
</w:p>
<w:p>
<w:pPr><w:pStyle w:val="Normal"/></w:pPr>
<w:r><w:t xml:space="preserve">way.  Besides fame, Antisozzo procured for its author an</w:t></w:r>
</w:p>
<w:p>
<w:pPr><w:pStyle w:val="Normal"/></w:pPr>
<w:r><w:t xml:space="preserve">invitation to succeed the venerable Thomas Cawton (the younger)</w:t></w:r>
</w:p>
<w:p>
<w:pPr><w:pStyle w:val="Normal"/></w:pPr>
<w:r><w:t xml:space="preserve">as independent minister in Westminster.  He accepted the</w:t></w:r>
</w:p>
<w:p>
<w:pPr><w:pStyle w:val="Normal"/></w:pPr>
<w:r><w:t xml:space="preserve">call and drew great multitudes to his chapel.  He published</w:t></w:r>
</w:p>
<w:p>
<w:pPr><w:pStyle w:val="Normal"/></w:pPr>
<w:r><w:t xml:space="preserve">other books which showed a fecundity of wit, a playful</w:t></w:r>
</w:p>
<w:p>
<w:pPr><w:pStyle w:val="Normal"/></w:pPr>
<w:r><w:t xml:space="preserve">strength of reasoning, and a provoking indomitableness of</w:t></w:r>
</w:p>
<w:p>
<w:pPr><w:pStyle w:val="Normal"/></w:pPr>
<w:r><w:t xml:space="preserve">raillery.  Even with Dr Goodman and Dr Stillingfleet for</w:t></w:r>
</w:p>
<w:p>
<w:pPr><w:pStyle w:val="Normal"/></w:pPr>
<w:r><w:t xml:space="preserve">antagonists, he more than held his own.  His Mischief of</w:t></w:r>
</w:p>
<w:p>
<w:pPr><w:pStyle w:val="Normal"/></w:pPr>
<w:r><w:t xml:space="preserve">Impositions (1680) in answer to Stillingfleet&apos;s Mischief</w:t></w:r>
</w:p>
<w:p>
<w:pPr><w:pStyle w:val="Normal"/></w:pPr>
<w:r><w:t xml:space="preserve">of Separation, and Melius Inquirenduni (1679) in answer</w:t></w:r>
</w:p>
<w:p>
<w:pPr><w:pStyle w:val="Normal"/></w:pPr>
<w:r><w:t xml:space="preserve">to Goodman&apos;s Compassionate Inquiry, remain historical</w:t></w:r>
</w:p>
<w:p>
<w:pPr><w:pStyle w:val="Normal"/></w:pPr>
<w:r><w:t xml:space="preserve">landmarks in the history of nonconformity.  Later on, from</w:t></w:r>
</w:p>
<w:p>
<w:pPr><w:pStyle w:val="Normal"/></w:pPr>
<w:r><w:t xml:space="preserve">the entanglements of a son in alleged treasonable practices,</w:t></w:r>
</w:p>
<w:p>
<w:pPr><w:pStyle w:val="Normal"/></w:pPr>
<w:r><w:t xml:space="preserve">he had to sue for and obtained pardon from King James II.</w:t></w:r>
</w:p>
<w:p>
<w:pPr><w:pStyle w:val="Normal"/></w:pPr>
<w:r><w:t xml:space="preserve">This seems to have given a somewhat diplomatic character</w:t></w:r>
</w:p>
<w:p>
<w:pPr><w:pStyle w:val="Normal"/></w:pPr>
<w:r><w:t xml:space="preserve">to his closing years, inasmuch as, while remaining a</w:t></w:r>
</w:p>
<w:p>
<w:pPr><w:pStyle w:val="Normal"/></w:pPr>
<w:r><w:t xml:space="preserve">nonconformist, he had a good deal to do with proposed political-</w:t></w:r>
</w:p>
<w:p>
<w:pPr><w:pStyle w:val="Normal"/></w:pPr>
<w:r><w:t xml:space="preserve">ecclesiastical compromises.  He died on the 8th of May 1703,</w:t></w:r>
</w:p>
<w:p>
<w:pPr><w:pStyle w:val="Normal"/></w:pPr>
<w:r><w:t xml:space="preserve">having preserved his ``spirits and smartness&apos;&apos; to the last.</w:t></w:r>
</w:p>
<w:p>
<w:pPr><w:pStyle w:val="Normal"/></w:pPr>
<w:r><w:t xml:space="preserve">See Wood&apos;s A thenae (Bliss) iv. 106; Calamy&apos;s Life of Baxter, ii.</w:t></w:r>
</w:p>
<w:p>
<w:pPr><w:pStyle w:val="Normal"/></w:pPr>
<w:r><w:t xml:space="preserve">487; Wilson&apos;s History and Ant. of Dissenting Churches, iv. 63-66.</w:t></w:r>
</w:p>
<w:p>
<w:pPr><w:pStyle w:val="Normal"/></w:pPr>
<w:r><w:t xml:space="preserve">(A. J. G.)</w:t></w:r>
</w:p>
<w:p>
<w:pPr><w:pStyle w:val="Normal"/></w:pPr>
<w:r><w:t xml:space="preserve">ALSTED, JOHANN HEINRICH (1588-1638), German Protestant</w:t></w:r>
</w:p>
<w:p>
<w:pPr><w:pStyle w:val="Normal"/></w:pPr>
<w:r><w:t xml:space="preserve">divine.  He was some time professor of philosophy and</w:t></w:r>
</w:p>
<w:p>
<w:pPr><w:pStyle w:val="Normal"/></w:pPr>
<w:r><w:t xml:space="preserve">theology at Herborn, in Nassau, and afterwards at Weissenburg</w:t></w:r>
</w:p>
<w:p>
<w:pPr><w:pStyle w:val="Normal"/></w:pPr>
<w:r><w:t xml:space="preserve">in Transylvania, where he remained till his death in</w:t></w:r>
</w:p>
<w:p>
<w:pPr><w:pStyle w:val="Normal"/></w:pPr>
<w:r><w:t xml:space="preserve">1638.  He was a marvellously prolific writer.  His</w:t></w:r>
</w:p>
<w:p>
<w:pPr><w:pStyle w:val="Normal"/></w:pPr>
<w:r><w:t xml:space="preserve">Encyclopaedia (1630), the most considerable of the earlier</w:t></w:r>
</w:p>
<w:p>
<w:pPr><w:pStyle w:val="Normal"/></w:pPr>
<w:r><w:t xml:space="preserve">works of that class, was long held in high estimation.</w:t></w:r>
</w:p>
<w:p>
<w:pPr><w:pStyle w:val="Normal"/></w:pPr>
<w:r><w:t xml:space="preserve">ALSTON, CHARLES (1683-1760), Scottish botanist, was born</w:t></w:r>
</w:p>
<w:p>
<w:pPr><w:pStyle w:val="Normal"/></w:pPr>
<w:r><w:t xml:space="preserve">at Eddlewood, near Hamilton, in 1683, and became lecturer</w:t></w:r>
</w:p>
<w:p>
<w:pPr><w:pStyle w:val="Normal"/></w:pPr>
<w:r><w:t xml:space="preserve">in materia medica and botany at Edinburgh and also</w:t></w:r>
</w:p>
<w:p>
<w:pPr><w:pStyle w:val="Normal"/></w:pPr>
<w:r><w:t xml:space="preserve">superintendent of the botanical gardens, of the plants in</w:t></w:r>
</w:p>
<w:p>
<w:pPr><w:pStyle w:val="Normal"/></w:pPr>
<w:r><w:t xml:space="preserve">which he published a catalogue in 1740.  He was a critic of</w:t></w:r>
</w:p>
<w:p>
<w:pPr><w:pStyle w:val="Normal"/></w:pPr>
<w:r><w:t xml:space="preserve">Linnaeus&apos;s system of plant-classification (see BOTANY.) He</w:t></w:r>
</w:p>
<w:p>
<w:pPr><w:pStyle w:val="Normal"/></w:pPr>
<w:r><w:t xml:space="preserve">died on the 22nd of November 1760 at Edinburgh.  His Lectures</w:t></w:r>
</w:p>
<w:p>
<w:pPr><w:pStyle w:val="Normal"/></w:pPr>
<w:r><w:t xml:space="preserve">on Materia Medica were published posthumously in 1770.</w:t></w:r>
</w:p>
<w:p>
<w:pPr><w:pStyle w:val="Normal"/></w:pPr>
<w:r><w:t xml:space="preserve">ALSTON, a market-town in the Penrith parliamentary division</w:t></w:r>
</w:p>
<w:p>
<w:pPr><w:pStyle w:val="Normal"/></w:pPr>
<w:r><w:t xml:space="preserve">of Cumberland, England, 29 m. by road E.S.E. of Carlisle,</w:t></w:r>
</w:p>
<w:p>
<w:pPr><w:pStyle w:val="Normal"/></w:pPr>
<w:r><w:t xml:space="preserve">on a branch of the North-Eastern railway from Haltwhistle.</w:t></w:r>
</w:p>
<w:p>
<w:pPr><w:pStyle w:val="Normal"/></w:pPr>
<w:r><w:t xml:space="preserve">Pop. (1901) 3133.  It lies in the uppermost part of the</w:t></w:r>
</w:p>
<w:p>
<w:pPr><w:pStyle w:val="Normal"/></w:pPr>
<w:r><w:t xml:space="preserve">valley of the South Tyne, among the high bleak moors of the</w:t></w:r>
</w:p>
<w:p>
<w:pPr><w:pStyle w:val="Normal"/></w:pPr>
<w:r><w:t xml:space="preserve">Pennines. Copper and blende are found, and there are limestone</w:t></w:r>
</w:p>
<w:p>
<w:pPr><w:pStyle w:val="Normal"/></w:pPr>
<w:r><w:t xml:space="preserve">quarries.  The mines of argentiferous lead, belonging to</w:t></w:r>
</w:p>
<w:p>
<w:pPr><w:pStyle w:val="Normal"/></w:pPr>
<w:r><w:t xml:space="preserve">Greenwich Hospital, London, were formerly of great value, and</w:t></w:r>
</w:p>
<w:p>
<w:pPr><w:pStyle w:val="Normal"/></w:pPr>
<w:r><w:t xml:space="preserve">it was in order that royalties on the Alston lead mines and</w:t></w:r>
</w:p>
<w:p>
<w:pPr><w:pStyle w:val="Normal"/></w:pPr>
<w:r><w:t xml:space="preserve">on those elsewhere in the county might be jointly collected</w:t></w:r>
</w:p>
<w:p>
<w:pPr><w:pStyle w:val="Normal"/></w:pPr>
<w:r><w:t xml:space="preserve">that the parish was first included within the borders of</w:t></w:r>
</w:p>
<w:p>
<w:pPr><w:pStyle w:val="Normal"/></w:pPr>
<w:r><w:t xml:space="preserve">Cumberland, in the 18th century.  As many as 119 lead mines</w:t></w:r>
</w:p>
<w:p>
<w:pPr><w:pStyle w:val="Normal"/></w:pPr>
<w:r><w:t xml:space="preserve">were worked in the parish in 1768, but the supply of metal</w:t></w:r>
</w:p>
<w:p>
<w:pPr><w:pStyle w:val="Normal"/></w:pPr>
<w:r><w:t xml:space="preserve">has been almost exhausted.  Coal is worked chiefly for</w:t></w:r>
</w:p>
<w:p>
<w:pPr><w:pStyle w:val="Normal"/></w:pPr>
<w:r><w:t xml:space="preserve">lime-burning, and umber is prepared for the manufacture of</w:t></w:r>
</w:p>
<w:p>
<w:pPr><w:pStyle w:val="Normal"/></w:pPr>
<w:r><w:t xml:space="preserve">colours.  Thread and flannels are also made.  Whitley Castle, 2</w:t></w:r>
</w:p>
<w:p>
<w:pPr><w:pStyle w:val="Normal"/></w:pPr>
<w:r><w:t xml:space="preserve">m. N., was a Roman fort, the original name of which is not</w:t></w:r>
</w:p>
<w:p>
<w:pPr><w:pStyle w:val="Normal"/></w:pPr>
<w:r><w:t xml:space="preserve">known, guarding the road which ran along the South Tyne valley</w:t></w:r>
</w:p>
<w:p>
<w:pPr><w:pStyle w:val="Normal"/></w:pPr>
<w:r><w:t xml:space="preserve">and over the Pennines.  It has no connexionwith Alston itself.</w:t></w:r>
</w:p>
<w:p>
<w:pPr><w:pStyle w:val="Normal"/></w:pPr>
<w:r><w:t xml:space="preserve">ALSTROMER, JONAS (1685-1761), Swedish industrial re-former,</w:t></w:r>
</w:p>
<w:p>
<w:pPr><w:pStyle w:val="Normal"/></w:pPr>
<w:r><w:t xml:space="preserve">was born at Alingsas in Vestergotland, on the 7th of January</w:t></w:r>
</w:p>
<w:p>
<w:pPr><w:pStyle w:val="Normal"/></w:pPr>
<w:r><w:t xml:space="preserve">1685.  He left his native village at an early age, and in</w:t></w:r>
</w:p>
<w:p>
<w:pPr><w:pStyle w:val="Normal"/></w:pPr>
<w:r><w:t xml:space="preserve">1707 became clerk to Alberg, a merchant of Stockholm, whom he</w:t></w:r>
</w:p>
<w:p>
<w:pPr><w:pStyle w:val="Normal"/></w:pPr>
<w:r><w:t xml:space="preserve">accompanied to London.  After carrying on business for three</w:t></w:r>
</w:p>
<w:p>
<w:pPr><w:pStyle w:val="Normal"/></w:pPr>
<w:r><w:t xml:space="preserve">years, Alberg failed, and Alstrom (as his name was before</w:t></w:r>
</w:p>
<w:p>
<w:pPr><w:pStyle w:val="Normal"/></w:pPr>
<w:r><w:t xml:space="preserve">his ennoblement) engaged in the business of shipbroker on</w:t></w:r>
</w:p>
<w:p>
<w:pPr><w:pStyle w:val="Normal"/></w:pPr>
<w:r><w:t xml:space="preserve">his own account, and eventually proved very successful.</w:t></w:r>
</w:p>
<w:p>
<w:pPr><w:pStyle w:val="Normal"/></w:pPr>
<w:r><w:t xml:space="preserve">After travelling for several years on the continent, he was</w:t></w:r>
</w:p>
<w:p>
<w:pPr><w:pStyle w:val="Normal"/></w:pPr>
<w:r><w:t xml:space="preserve">seized with the patriotic desire to transplant to his native</w:t></w:r>
</w:p>
<w:p>
<w:pPr><w:pStyle w:val="Normal"/></w:pPr>
<w:r><w:t xml:space="preserve">country some of the industries he had seen flourishing in</w:t></w:r>
</w:p>
<w:p>
<w:pPr><w:pStyle w:val="Normal"/></w:pPr>
<w:r><w:t xml:space="preserve">Britain.  He accordingly returned to Alingsas, and in</w:t></w:r>
</w:p>
<w:p>
<w:pPr><w:pStyle w:val="Normal"/></w:pPr>
<w:r><w:t xml:space="preserve">1724 established a woollen factory in the village.  After</w:t></w:r>
</w:p>
<w:p>
<w:pPr><w:pStyle w:val="Normal"/></w:pPr>
<w:r><w:t xml:space="preserve">preliminary difficulties it became a very profitable</w:t></w:r>
</w:p>
<w:p>
<w:pPr><w:pStyle w:val="Normal"/></w:pPr>
<w:r><w:t xml:space="preserve">business.  He next established a sugar refinery at Gothenburg,</w:t></w:r>
</w:p>
<w:p>
<w:pPr><w:pStyle w:val="Normal"/></w:pPr>
<w:r><w:t xml:space="preserve">introduced improvements in the cultivation of potatoes and</w:t></w:r>
</w:p>
<w:p>
<w:pPr><w:pStyle w:val="Normal"/></w:pPr>
<w:r><w:t xml:space="preserve">of plants suitable for dyeing, and directed attention to</w:t></w:r>
</w:p>
<w:p>
<w:pPr><w:pStyle w:val="Normal"/></w:pPr>
<w:r><w:t xml:space="preserve">improved methods in shipbuilding, tanning and the manufacture</w:t></w:r>
</w:p>
<w:p>
<w:pPr><w:pStyle w:val="Normal"/></w:pPr>
<w:r><w:t xml:space="preserve">of cutlery.  But his most successful undertaking was the</w:t></w:r>
</w:p>
<w:p>
<w:pPr><w:pStyle w:val="Normal"/></w:pPr>
<w:r><w:t xml:space="preserve">importation of sheep from England, Spain and Angora.  He</w:t></w:r>
</w:p>
<w:p>
<w:pPr><w:pStyle w:val="Normal"/></w:pPr>
<w:r><w:t xml:space="preserve">received many marks of distinction, was created (1748) knight</w:t></w:r>
</w:p>
<w:p>
<w:pPr><w:pStyle w:val="Normal"/></w:pPr>
<w:r><w:t xml:space="preserve">of the order of the North Star, and a few years later received</w:t></w:r>
</w:p>
<w:p>
<w:pPr><w:pStyle w:val="Normal"/></w:pPr>
<w:r><w:t xml:space="preserve">letters of nobility, with permission to change his name to</w:t></w:r>
</w:p>
<w:p>
<w:pPr><w:pStyle w:val="Normal"/></w:pPr>
<w:r><w:t xml:space="preserve">Alstromer.  He died on the 2nd of June 1761, leaving several</w:t></w:r>
</w:p>
<w:p>
<w:pPr><w:pStyle w:val="Normal"/></w:pPr>
<w:r><w:t xml:space="preserve">works on practical industrial subjects.  A statue was erected</w:t></w:r>
</w:p>
<w:p>
<w:pPr><w:pStyle w:val="Normal"/></w:pPr>
<w:r><w:t xml:space="preserve">in his honour in the exchange at Stockholm.  One of his sons,</w:t></w:r>
</w:p>
<w:p>
<w:pPr><w:pStyle w:val="Normal"/></w:pPr>
<w:r><w:t xml:space="preserve">Clas (Claude) (1736-1794), was a naturalist of considerable</w:t></w:r>
</w:p>
<w:p>
<w:pPr><w:pStyle w:val="Normal"/></w:pPr>
<w:r><w:t xml:space="preserve">eminence.  During a voyage to Spain he noticed a native</w:t></w:r>
</w:p>
<w:p>
<w:pPr><w:pStyle w:val="Normal"/></w:pPr>
<w:r><w:t xml:space="preserve">Peruvian plant known in Peru as the lily of the Incas, at</w:t></w:r>
</w:p>
<w:p>
<w:pPr><w:pStyle w:val="Normal"/></w:pPr>
<w:r><w:t xml:space="preserve">the Swedish counsul&apos;s at Cadiz; he sent a few seeds to his</w:t></w:r>
</w:p>
<w:p>
<w:pPr><w:pStyle w:val="Normal"/></w:pPr>
<w:r><w:t xml:space="preserve">master and friend, Linnaeus, who named the genus in his honour</w:t></w:r>
</w:p>
<w:p>
<w:pPr><w:pStyle w:val="Normal"/></w:pPr>
<w:r><w:t xml:space="preserve">Alstromeria.  He also wrote a work on sheep-breeding.</w:t></w:r>
</w:p>
<w:p>
<w:pPr><w:pStyle w:val="Normal"/></w:pPr>
<w:r><w:t xml:space="preserve">ALTAI (in Mongolian Altain-ula, the ``Mountains of Gold&apos;&apos;),</w:t></w:r>
</w:p>
<w:p>
<w:pPr><w:pStyle w:val="Normal"/></w:pPr>
<w:r><w:t xml:space="preserve">a term used in Asiatic geography with Various significations.</w:t></w:r>
</w:p>
<w:p>
<w:pPr><w:pStyle w:val="Normal"/></w:pPr>
<w:r><w:t xml:space="preserve">The Altai region, in West Siberia and Mongolia, is similar</w:t></w:r>
</w:p>
<w:p>
<w:pPr><w:pStyle w:val="Normal"/></w:pPr>
<w:r><w:t xml:space="preserve">in character to Switzerland, but covers a very much greater</w:t></w:r>
</w:p>
<w:p>
<w:pPr><w:pStyle w:val="Normal"/></w:pPr>
<w:r><w:t xml:space="preserve">area.  It extends from the river Irtysh and the Dzungarian</w:t></w:r>
</w:p>
<w:p>
<w:pPr><w:pStyle w:val="Normal"/></w:pPr>
<w:r><w:t xml:space="preserve">depression (46 deg. -47 deg.  N.) northwards to the Siberian railway</w:t></w:r>
</w:p>
<w:p>
<w:pPr><w:pStyle w:val="Normal"/></w:pPr>
<w:r><w:t xml:space="preserve">and to the Sayan mountains.  The backbone of the region is</w:t></w:r>
</w:p>
<w:p>
<w:pPr><w:pStyle w:val="Normal"/></w:pPr>
<w:r><w:t xml:space="preserve">the Sailughem or Silyughema mountains, also known as Kolyvan</w:t></w:r>
</w:p>
<w:p>
<w:pPr><w:pStyle w:val="Normal"/></w:pPr>
<w:r><w:t xml:space="preserve">Altai, which stretch north-eastwards from 49 deg.  N. and 86 deg.</w:t></w:r>
</w:p>
<w:p>
<w:pPr><w:pStyle w:val="Normal"/></w:pPr>
<w:r><w:t xml:space="preserve">E. towards the western extremity of the Sayan mountains in</w:t></w:r>
</w:p>
<w:p>
<w:pPr><w:pStyle w:val="Normal"/></w:pPr>
<w:r><w:t xml:space="preserve">51 deg.  60&apos; N. and 89 deg.  E. Their mean elevation is 5000-5500</w:t></w:r>
</w:p>
<w:p>
<w:pPr><w:pStyle w:val="Normal"/></w:pPr>
<w:r><w:t xml:space="preserve">ft.  The snow-line runs at 6700 ft. on the northern</w:t></w:r>
</w:p>
<w:p>
<w:pPr><w:pStyle w:val="Normal"/></w:pPr>
<w:r><w:t xml:space="preserve">versant and at 7800 ft. on the southern, and above it the</w:t></w:r>
</w:p>
<w:p>
<w:pPr><w:pStyle w:val="Normal"/></w:pPr>
<w:r><w:t xml:space="preserve">rugged peaks tower up some 3200 ft. more.  Passes across</w:t></w:r>
</w:p>
<w:p>
<w:pPr><w:pStyle w:val="Normal"/></w:pPr>
<w:r><w:t xml:space="preserve">the range are few and difficult, the chief being the</w:t></w:r>
</w:p>
<w:p>
<w:pPr><w:pStyle w:val="Normal"/></w:pPr>
<w:r><w:t xml:space="preserve">Ulan-daban at 9275 ft. (9445 ft. according to Kozlov), and</w:t></w:r>
</w:p>
<w:p>
<w:pPr><w:pStyle w:val="Normal"/></w:pPr>
<w:r><w:t xml:space="preserve">the Chapchan-daban, at 10,555 ft., in the south and north</w:t></w:r>
</w:p>
<w:p>
<w:pPr><w:pStyle w:val="Normal"/></w:pPr>
<w:r><w:t xml:space="preserve">respectively.  On the east and south-east this range is</w:t></w:r>
</w:p>
<w:p>
<w:pPr><w:pStyle w:val="Normal"/></w:pPr>
<w:r><w:t xml:space="preserve">flanked by the great plateau of Mongolia, the transition</w:t></w:r>
</w:p>
<w:p>
<w:pPr><w:pStyle w:val="Normal"/></w:pPr>
<w:r><w:t xml:space="preserve">being effected gradually by means of several minor plateaus,</w:t></w:r>
</w:p>
<w:p>
<w:pPr><w:pStyle w:val="Normal"/></w:pPr>
<w:r><w:t xml:space="preserve">such as Ukok (7800 ft.), Chuya (6000 ft.), Kendykty (8200</w:t></w:r>
</w:p>
<w:p>
<w:pPr><w:pStyle w:val="Normal"/></w:pPr>
<w:r><w:t xml:space="preserve">ft.), Kak (8270 ft.), Suok (8500 ft.), and Juvlu-kul (7900</w:t></w:r>
</w:p>
<w:p>
<w:pPr><w:pStyle w:val="Normal"/></w:pPr>
<w:r><w:t xml:space="preserve">ft.).  This region, which is not accurately known, is studded</w:t></w:r>
</w:p>
<w:p>
<w:pPr><w:pStyle w:val="Normal"/></w:pPr>
<w:r><w:t xml:space="preserve">with large lakes, i.e. Ubsa-nor (2370 ft. above sea-level),</w:t></w:r>
</w:p>
<w:p>
<w:pPr><w:pStyle w:val="Normal"/></w:pPr>
<w:r><w:t xml:space="preserve">Kirghiz-nor, Durga-nor and Kobdo-nor (3840 ft.), and traversed</w:t></w:r>
</w:p>
<w:p>
<w:pPr><w:pStyle w:val="Normal"/></w:pPr>
<w:r><w:t xml:space="preserve">by various mountain ranges, of which the principal are the</w:t></w:r>
</w:p>
<w:p>
<w:pPr><w:pStyle w:val="Normal"/></w:pPr>
<w:r><w:t xml:space="preserve">Tannu-ola, running roughly parallel with the Sayan mountains</w:t></w:r>
</w:p>
<w:p>
<w:pPr><w:pStyle w:val="Normal"/></w:pPr>
<w:r><w:t xml:space="preserve">as far east as the Kosso-gol (100 deg. -101 deg.  E. long.), and</w:t></w:r>
</w:p>
<w:p>
<w:pPr><w:pStyle w:val="Normal"/></w:pPr>
<w:r><w:t xml:space="preserve">the Khan-khu mountains, also stretching west and east.</w:t></w:r>
</w:p>
<w:p>
<w:pPr><w:pStyle w:val="Normal"/></w:pPr>
<w:r><w:t xml:space="preserve">The range of the Altai proper, known also as the Ek-tagh,</w:t></w:r>
</w:p>
<w:p>
<w:pPr><w:pStyle w:val="Normal"/></w:pPr>
<w:r><w:t xml:space="preserve">Mongolian Altai, Great Altai and Southern Altai, likewise</w:t></w:r>
</w:p>
<w:p>
<w:pPr><w:pStyle w:val="Normal"/></w:pPr>
<w:r><w:t xml:space="preserve">extend in two twin parallel chains eastwards as far as</w:t></w:r>
</w:p>
<w:p>
<w:pPr><w:pStyle w:val="Normal"/></w:pPr>
<w:r><w:t xml:space="preserve">99 deg. , if not farther.  The Ek-tagh or Mongolian Altai, which</w:t></w:r>
</w:p>
<w:p>
<w:pPr><w:pStyle w:val="Normal"/></w:pPr>
<w:r><w:t xml:space="preserve">separates the Kobdo basin on the north from the Irtysh basin</w:t></w:r>
</w:p>
<w:p>
<w:pPr><w:pStyle w:val="Normal"/></w:pPr>
<w:r><w:t xml:space="preserve">on the south, is a true border-range, in that it rises in</w:t></w:r>
</w:p>
<w:p>
<w:pPr><w:pStyle w:val="Normal"/></w:pPr>
<w:r><w:t xml:space="preserve">a steep and lofty escarpment from the Dzungarian depression</w:t></w:r>
</w:p>
<w:p>
<w:pPr><w:pStyle w:val="Normal"/></w:pPr>
<w:r><w:t xml:space="preserve">(1550 to 3000 ft.), but descends on the north by a relatively</w:t></w:r>
</w:p>
<w:p>
<w:pPr><w:pStyle w:val="Normal"/></w:pPr>
<w:r><w:t xml:space="preserve">short slope to the plateau (4000-5500 ft.) of north-western</w:t></w:r>
</w:p>
<w:p>
<w:pPr><w:pStyle w:val="Normal"/></w:pPr>
<w:r><w:t xml:space="preserve">Mongolia.  East of 94 deg.  the range is continued by a double</w:t></w:r>
</w:p>
<w:p>
<w:pPr><w:pStyle w:val="Normal"/></w:pPr>
<w:r><w:t xml:space="preserve">series of mountain chains, all of which exhibit less sharply</w:t></w:r>
</w:p>
<w:p>
<w:pPr><w:pStyle w:val="Normal"/></w:pPr>
<w:r><w:t xml:space="preserve">marked orographical features and are at considerably lower</w:t></w:r>
</w:p>
<w:p>
<w:pPr><w:pStyle w:val="Normal"/></w:pPr>
<w:r><w:t xml:space="preserve">elevations.  The southern chain bears the names of Karaadzirga</w:t></w:r>
</w:p>
<w:p>
<w:pPr><w:pStyle w:val="Normal"/></w:pPr>
<w:r><w:t xml:space="preserve">and Burkhan-ola, and terminates in about 99 deg.; but the northern</w:t></w:r>
</w:p>
<w:p>
<w:pPr><w:pStyle w:val="Normal"/></w:pPr>
<w:r><w:t xml:space="preserve">range, the principal names of which are Artsi-bogdo and Saikhat,</w:t></w:r>
</w:p>
<w:p>
<w:pPr><w:pStyle w:val="Normal"/></w:pPr>
<w:r><w:t xml:space="preserve">extends probably most of the way to the great northward bend</w:t></w:r>
</w:p>
<w:p>
<w:pPr><w:pStyle w:val="Normal"/></w:pPr>
<w:r><w:t xml:space="preserve">of the Hwang-ho or Yellow River round the desert of Ordos.</w:t></w:r>
</w:p>
<w:p>
<w:pPr><w:pStyle w:val="Normal"/></w:pPr>
<w:r><w:t xml:space="preserve">Whereas the western Ek-tagh Altai rises above the snowline</w:t></w:r>
</w:p>
<w:p>
<w:pPr><w:pStyle w:val="Normal"/></w:pPr>
<w:r><w:t xml:space="preserve">and is destitute of timber, the eastern double ranges barely</w:t></w:r>
</w:p>
<w:p>
<w:pPr><w:pStyle w:val="Normal"/></w:pPr>
<w:r><w:t xml:space="preserve">touch the snow-line and are clothed with thick forests up to</w:t></w:r>
</w:p>
<w:p>
<w:pPr><w:pStyle w:val="Normal"/></w:pPr>
<w:r><w:t xml:space="preserve">an altitude of 6250 ft.  The slopes of the constituent chains</w:t></w:r>
</w:p>
<w:p>
<w:pPr><w:pStyle w:val="Normal"/></w:pPr>
<w:r><w:t xml:space="preserve">of the system are inhabited principally by nomad Kirghiz.</w:t></w:r>
</w:p>
<w:p>
<w:pPr><w:pStyle w:val="Normal"/></w:pPr>
<w:r><w:t xml:space="preserve">The north-western and northern slopes of the Sailughem</w:t></w:r>
</w:p>
<w:p>
<w:pPr><w:pStyle w:val="Normal"/></w:pPr>
<w:r><w:t xml:space="preserve">mountains are extremely steep and very difficult of access.</w:t></w:r>
</w:p>
<w:p>
<w:pPr><w:pStyle w:val="Normal"/></w:pPr>
<w:r><w:t xml:space="preserve">On this side lies the culminating summit of the range, the</w:t></w:r>
</w:p>
<w:p>
<w:pPr><w:pStyle w:val="Normal"/></w:pPr>
<w:r><w:t xml:space="preserve">double-headed Byelukha (the Mont Blanc of the Altai), whose</w:t></w:r>
</w:p>
<w:p>
<w:pPr><w:pStyle w:val="Normal"/></w:pPr>
<w:r><w:t xml:space="preserve">summits reach 14,890 and 14,560 ft. respectively,1 and give</w:t></w:r>
</w:p>
<w:p>
<w:pPr><w:pStyle w:val="Normal"/></w:pPr>
<w:r><w:t xml:space="preserve">origin to several glaciers (30 sq. m. in aggregate area).</w:t></w:r>
</w:p>
<w:p>
<w:pPr><w:pStyle w:val="Normal"/></w:pPr>
<w:r><w:t xml:space="preserve">Here also are the Kuitun (12,000 ft.) and several other lofty</w:t></w:r>
</w:p>
<w:p>
<w:pPr><w:pStyle w:val="Normal"/></w:pPr>
<w:r><w:t xml:space="preserve">peaks.  Numerous spurs, striking in all directions from the</w:t></w:r>
</w:p>
<w:p>
<w:pPr><w:pStyle w:val="Normal"/></w:pPr>
<w:r><w:t xml:space="preserve">Sailughem mountains, fill up the space between that range and</w:t></w:r>
</w:p>
<w:p>
<w:pPr><w:pStyle w:val="Normal"/></w:pPr>
<w:r><w:t xml:space="preserve">the lowlands of Tomsk, but their mutual relations are far from</w:t></w:r>
</w:p>
<w:p>
<w:pPr><w:pStyle w:val="Normal"/></w:pPr>
<w:r><w:t xml:space="preserve">being well known.  Such are the Chuya Alps, having an average</w:t></w:r>
</w:p>
<w:p>
<w:pPr><w:pStyle w:val="Normal"/></w:pPr>
<w:r><w:t xml:space="preserve">altitude of 9000 ft., with summits from 11,500 to 12,000 ft.,</w:t></w:r>
</w:p>
<w:p>
<w:pPr><w:pStyle w:val="Normal"/></w:pPr>
<w:r><w:t xml:space="preserve">and at least ten glaciers on their northern slope; the Katun</w:t></w:r>
</w:p>
<w:p>
<w:pPr><w:pStyle w:val="Normal"/></w:pPr>
<w:r><w:t xml:space="preserve">Alps, which have a mean elevation of about 10,000 ft. and are</w:t></w:r>
</w:p>
<w:p>
<w:pPr><w:pStyle w:val="Normal"/></w:pPr>
<w:r><w:t xml:space="preserve">mostly snow-clad; the Kholzun range; the Korgon (6300 to 7600</w:t></w:r>
</w:p>
<w:p>
<w:pPr><w:pStyle w:val="Normal"/></w:pPr>
<w:r><w:t xml:space="preserve">ft.), Talitsk and Selitsk ranges; the Tigeretsk Alps, and so</w:t></w:r>
</w:p>
<w:p>
<w:pPr><w:pStyle w:val="Normal"/></w:pPr>
<w:r><w:t xml:space="preserve">on.  Several secondary plateaus of lower altitude are also</w:t></w:r>
</w:p>
<w:p>
<w:pPr><w:pStyle w:val="Normal"/></w:pPr>
<w:r><w:t xml:space="preserve">distinguished by geographers.  The Katun valley begins as a</w:t></w:r>
</w:p>
<w:p>
<w:pPr><w:pStyle w:val="Normal"/></w:pPr>
<w:r><w:t xml:space="preserve">wild gorge on the south-west slope of Byelukha; then, after</w:t></w:r>
</w:p>
<w:p>
<w:pPr><w:pStyle w:val="Normal"/></w:pPr>
<w:r><w:t xml:space="preserve">a big bend, the river (400 m. long) pierces the Katun Alps,</w:t></w:r>
</w:p>
<w:p>
<w:pPr><w:pStyle w:val="Normal"/></w:pPr>
<w:r><w:t xml:space="preserve">and enters a wider valley, lying at an altitude of from</w:t></w:r>
</w:p>
<w:p>
<w:pPr><w:pStyle w:val="Normal"/></w:pPr>
<w:r><w:t xml:space="preserve">2000 to 3500 ft., which it follows until it emerges from</w:t></w:r>
</w:p>
<w:p>
<w:pPr><w:pStyle w:val="Normal"/></w:pPr>
<w:r><w:t xml:space="preserve">the Altai highlands to join the Biya in a most picturesque</w:t></w:r>
</w:p>
<w:p>
<w:pPr><w:pStyle w:val="Normal"/></w:pPr>
<w:r><w:t xml:space="preserve">region.  The Katun and the Biya together form the Ob. The</w:t></w:r>
</w:p>
<w:p>
<w:pPr><w:pStyle w:val="Normal"/></w:pPr>
<w:r><w:t xml:space="preserve">next valley is that of the Charysh, which has the Korgon and</w:t></w:r>
</w:p>
<w:p>
<w:pPr><w:pStyle w:val="Normal"/></w:pPr>
<w:r><w:t xml:space="preserve">Tigeretsk Alps on one side and the Talitsk and Bashalatsk</w:t></w:r>
</w:p>
<w:p>
<w:pPr><w:pStyle w:val="Normal"/></w:pPr>
<w:r><w:t xml:space="preserve">Alps on the other.  This, too, is very fertile.  The Altai,</w:t></w:r>
</w:p>
<w:p>
<w:pPr><w:pStyle w:val="Normal"/></w:pPr>
<w:r><w:t xml:space="preserve">seen from this valley, presents the most romantic scenes,</w:t></w:r>
</w:p>
<w:p>
<w:pPr><w:pStyle w:val="Normal"/></w:pPr>
<w:r><w:t xml:space="preserve">including the small but deep Kolyvan lake (altitude, 1180</w:t></w:r>
</w:p>
<w:p>
<w:pPr><w:pStyle w:val="Normal"/></w:pPr>
<w:r><w:t xml:space="preserve">ft.), which is surrounded by fantastic granite domes and</w:t></w:r>
</w:p>
<w:p>
<w:pPr><w:pStyle w:val="Normal"/></w:pPr>
<w:r><w:t xml:space="preserve">towers.  Farther west the valleys of the Uba, the Ulba and the</w:t></w:r>
</w:p>
<w:p>
<w:pPr><w:pStyle w:val="Normal"/></w:pPr>
<w:r><w:t xml:space="preserve">Bukhtarma open south-westwards towards the Irtysh.  The lower</w:t></w:r>
</w:p>
<w:p>
<w:pPr><w:pStyle w:val="Heading1"/></w:pPr>
<w:r><w:t>part of the first, like the lower valley of the Charysh, is</w:t></w:r>
</w:p>
<w:p>
<w:pPr><w:pStyle w:val="Normal"/></w:pPr>
<w:r><w:t xml:space="preserve">thickly populated; in the valley of the Ulba is the Riddersk</w:t></w:r>
</w:p>
<w:p>
<w:pPr><w:pStyle w:val="Normal"/></w:pPr>
<w:r><w:t xml:space="preserve">mine, at the foot of the Ivanovsk peak (6770 ft.), clothed</w:t></w:r>
</w:p>
<w:p>
<w:pPr><w:pStyle w:val="Normal"/></w:pPr>
<w:r><w:t xml:space="preserve">with beautiful alpine meadows.  The valley of the Bukhtarma,</w:t></w:r>
</w:p>
<w:p>
<w:pPr><w:pStyle w:val="Normal"/></w:pPr>
<w:r><w:t xml:space="preserve">which has a length of 200 m., also has its origin at the</w:t></w:r>
</w:p>
<w:p>
<w:pPr><w:pStyle w:val="Normal"/></w:pPr>
<w:r><w:t xml:space="preserve">foot of the Byelukha and the Kuitun peaks, and as it falls</w:t></w:r>
</w:p>
<w:p>
<w:pPr><w:pStyle w:val="Normal"/></w:pPr>
<w:r><w:t xml:space="preserve">some 5000 ft. in less than 200 m., from an alpine plateau</w:t></w:r>
</w:p>
<w:p>
<w:pPr><w:pStyle w:val="Normal"/></w:pPr>
<w:r><w:t xml:space="preserve">at an elevation of 6200 ft. to the Bukhtarma fortress (1130</w:t></w:r>
</w:p>
<w:p>
<w:pPr><w:pStyle w:val="Normal"/></w:pPr>
<w:r><w:t xml:space="preserve">ft.), it offers the most striking contrasts of landscape and</w:t></w:r>
</w:p>
<w:p>
<w:pPr><w:pStyle w:val="Normal"/></w:pPr>
<w:r><w:t xml:space="preserve">vegetation.  Its upper parts abound in glaciers, the best</w:t></w:r>
</w:p>
<w:p>
<w:pPr><w:pStyle w:val="Normal"/></w:pPr>
<w:r><w:t xml:space="preserve">known of which is the Berel, which comes down from the</w:t></w:r>
</w:p>
<w:p>
<w:pPr><w:pStyle w:val="Normal"/></w:pPr>
<w:r><w:t xml:space="preserve">Byelukha.  On the northern side of the range which separates</w:t></w:r>
</w:p>
<w:p>
<w:pPr><w:pStyle w:val="Normal"/></w:pPr>
<w:r><w:t xml:space="preserve">the upper Bukhtarma from the upper Katun is the Katun</w:t></w:r>
</w:p>
<w:p>
<w:pPr><w:pStyle w:val="Normal"/></w:pPr>
<w:r><w:t xml:space="preserve">glacier, which after two ice-falls widens out to 700-900</w:t></w:r>
</w:p>
<w:p>
<w:pPr><w:pStyle w:val="Normal"/></w:pPr>
<w:r><w:t xml:space="preserve">yards.  From a grotto in this glacier bursts tumultuously</w:t></w:r>
</w:p>
<w:p>
<w:pPr><w:pStyle w:val="Normal"/></w:pPr>
<w:r><w:t xml:space="preserve">the Katun river.  The middle and lower parts of the Bukhtarma</w:t></w:r>
</w:p>
<w:p>
<w:pPr><w:pStyle w:val="Normal"/></w:pPr>
<w:r><w:t xml:space="preserve">valley have been colonized since the 18th century by runaway</w:t></w:r>
</w:p>
<w:p>
<w:pPr><w:pStyle w:val="Normal"/></w:pPr>
<w:r><w:t xml:space="preserve">Russian peasants -- serfs and nonconformists (Raskolniks)</w:t></w:r>
</w:p>
<w:p>
<w:pPr><w:pStyle w:val="Normal"/></w:pPr>
<w:r><w:t xml:space="preserve">-- who created there a free republic on Chinese territory;</w:t></w:r>
</w:p>
<w:p>
<w:pPr><w:pStyle w:val="Normal"/></w:pPr>
<w:r><w:t xml:space="preserve">and after this part of the valley was annexed to Russia in</w:t></w:r>
</w:p>
<w:p>
<w:pPr><w:pStyle w:val="Normal"/></w:pPr>
<w:r><w:t xml:space="preserve">1869, it was rapidly colonized.  The high valleys farther</w:t></w:r>
</w:p>
<w:p>
<w:pPr><w:pStyle w:val="Normal"/></w:pPr>
<w:r><w:t xml:space="preserve">north, on the same western face of the Sailughem range,</w:t></w:r>
</w:p>
<w:p>
<w:pPr><w:pStyle w:val="Normal"/></w:pPr>
<w:r><w:t xml:space="preserve">are but little known, their only visitors being Kirghiz</w:t></w:r>
</w:p>
<w:p>
<w:pPr><w:pStyle w:val="Normal"/></w:pPr>
<w:r><w:t xml:space="preserve">shepherds.  Those of Bashkaus, Chulyshman, and Chulcha, all</w:t></w:r>
</w:p>
<w:p>
<w:pPr><w:pStyle w:val="Normal"/></w:pPr>
<w:r><w:t xml:space="preserve">three leading to the beautiful alpine lake of Teletskoye</w:t></w:r>
</w:p>
<w:p>
<w:pPr><w:pStyle w:val="Normal"/></w:pPr>
<w:r><w:t xml:space="preserve">(length, 48 m.; maximum width, 3 m.; altitude, 1700 ft.;</w:t></w:r>
</w:p>
<w:p>
<w:pPr><w:pStyle w:val="Normal"/></w:pPr>
<w:r><w:t xml:space="preserve">area, 87 sq. m.; maximum depth, 1020 ft.; mean depth, 660</w:t></w:r>
</w:p>
<w:p>
<w:pPr><w:pStyle w:val="Normal"/></w:pPr>
<w:r><w:t xml:space="preserve">ft.), are only inhabited by nomad Telenghites or Teleuts.</w:t></w:r>
</w:p>
<w:p>
<w:pPr><w:pStyle w:val="Normal"/></w:pPr>
<w:r><w:t xml:space="preserve">The shores of the lake --  reminding a visitor somewhat of</w:t></w:r>
</w:p>
<w:p>
<w:pPr><w:pStyle w:val="Normal"/></w:pPr>
<w:r><w:t xml:space="preserve">the Swiss lake of Lucerne --  rise almost sheer to over 6000</w:t></w:r>
</w:p>
<w:p>
<w:pPr><w:pStyle w:val="Normal"/></w:pPr>
<w:r><w:t xml:space="preserve">ft. and are too wild to accommodate a numerous population.</w:t></w:r>
</w:p>
<w:p>
<w:pPr><w:pStyle w:val="Normal"/></w:pPr>
<w:r><w:t xml:space="preserve">From this lake issues the Biya, which joins the Katun at</w:t></w:r>
</w:p>
<w:p>
<w:pPr><w:pStyle w:val="Normal"/></w:pPr>
<w:r><w:t xml:space="preserve">Biysk, and then meanders through the beautiful prairies of the</w:t></w:r>
</w:p>
<w:p>
<w:pPr><w:pStyle w:val="Normal"/></w:pPr>
<w:r><w:t xml:space="preserve">north-west of the Altai.  Farther north the Altai highlands</w:t></w:r>
</w:p>
<w:p>
<w:pPr><w:pStyle w:val="Normal"/></w:pPr>
<w:r><w:t xml:space="preserve">are continued in the Kuznetsk district, which has a slightly</w:t></w:r>
</w:p>
<w:p>
<w:pPr><w:pStyle w:val="Normal"/></w:pPr>
<w:r><w:t xml:space="preserve">different geological aspect, but still belongs to the Altai</w:t></w:r>
</w:p>
<w:p>
<w:pPr><w:pStyle w:val="Normal"/></w:pPr>
<w:r><w:t xml:space="preserve">system.  But the Abakan river, which rises on the western</w:t></w:r>
</w:p>
<w:p>
<w:pPr><w:pStyle w:val="Normal"/></w:pPr>
<w:r><w:t xml:space="preserve">shoulder of the Sayan mountains, belongs to the system of the</w:t></w:r>
</w:p>
<w:p>
<w:pPr><w:pStyle w:val="Normal"/></w:pPr>
<w:r><w:t xml:space="preserve">Yenisei.  The Kuznetsk Ala-tau range, on the left bank of the</w:t></w:r>
</w:p>
<w:p>
<w:pPr><w:pStyle w:val="Normal"/></w:pPr>
<w:r><w:t xml:space="preserve">Abakan, runs north-east into the government of Yeniseisk, while</w:t></w:r>
</w:p>
<w:p>
<w:pPr><w:pStyle w:val="Normal"/></w:pPr>
<w:r><w:t xml:space="preserve">a complexus of imperfectly mapped mountains (Chukchut, Salair,</w:t></w:r>
</w:p>
<w:p>
<w:pPr><w:pStyle w:val="Normal"/></w:pPr>
<w:r><w:t xml:space="preserve">Abakan) fills up the country northwards towards the Siberian</w:t></w:r>
</w:p>
<w:p>
<w:pPr><w:pStyle w:val="Normal"/></w:pPr>
<w:r><w:t xml:space="preserve">railway and westwards towards the Ob. The Tom and its numerous</w:t></w:r>
</w:p>
<w:p>
<w:pPr><w:pStyle w:val="Normal"/></w:pPr>
<w:r><w:t xml:space="preserve">tributaries rise on the northern slopes of the Kuznetsk Ala-tau,</w:t></w:r>
</w:p>
<w:p>
<w:pPr><w:pStyle w:val="Normal"/></w:pPr>
<w:r><w:t xml:space="preserve">and their fertile valleys are occupied by a dense Russian</w:t></w:r>
</w:p>
<w:p>
<w:pPr><w:pStyle w:val="Normal"/></w:pPr>
<w:r><w:t xml:space="preserve">population, the centre of which is Kuznetsk, on the Tom.</w:t></w:r>
</w:p>
<w:p>
<w:pPr><w:pStyle w:val="Normal"/></w:pPr>
<w:r><w:t xml:space="preserve">Geology. -- Geologically the Altai mountains consist of</w:t></w:r>
</w:p>
<w:p>
<w:pPr><w:pStyle w:val="Normal"/></w:pPr>
<w:r><w:t xml:space="preserve">two distinct elements which differ considerably from each</w:t></w:r>
</w:p>
<w:p>
<w:pPr><w:pStyle w:val="Normal"/></w:pPr>
<w:r><w:t xml:space="preserve">other in composition and structure.  The Russian Altai is</w:t></w:r>
</w:p>
<w:p>
<w:pPr><w:pStyle w:val="Normal"/></w:pPr>
<w:r><w:t xml:space="preserve">composed mainly of mica and chlorite schists and slates,</w:t></w:r>
</w:p>
<w:p>
<w:pPr><w:pStyle w:val="Normal"/></w:pPr>
<w:r><w:t xml:space="preserve">together with beds of limestone, and in the higher horizons</w:t></w:r>
</w:p>
<w:p>
<w:pPr><w:pStyle w:val="Normal"/></w:pPr>
<w:r><w:t xml:space="preserve">Devonian and Carboniferous fossils occur in many places.</w:t></w:r>
</w:p>
<w:p>
<w:pPr><w:pStyle w:val="Normal"/></w:pPr>
<w:r><w:t xml:space="preserve">There is no axial zone of gneiss, but intrusions of granite</w:t></w:r>
</w:p>
<w:p>
<w:pPr><w:pStyle w:val="Normal"/></w:pPr>
<w:r><w:t xml:space="preserve">and other plutonic rocks occur, and the famous ore deposits</w:t></w:r>
</w:p>
<w:p>
<w:pPr><w:pStyle w:val="Normal"/></w:pPr>
<w:r><w:t xml:space="preserve">are found chiefly near the contact of these intrusions with the</w:t></w:r>
</w:p>
<w:p>
<w:pPr><w:pStyle w:val="Normal"/></w:pPr>
<w:r><w:t xml:space="preserve">schists.  The strata are thrown into folds which run in</w:t></w:r>
</w:p>
<w:p>
<w:pPr><w:pStyle w:val="Normal"/></w:pPr>
<w:r><w:t xml:space="preserve">the direction of the mountain ridges, forming a curve with</w:t></w:r>
</w:p>
<w:p>
<w:pPr><w:pStyle w:val="Normal"/></w:pPr>
<w:r><w:t xml:space="preserve">the convexity facing the south-east.  The Mongolian or Great</w:t></w:r>
</w:p>
<w:p>
<w:pPr><w:pStyle w:val="Normal"/></w:pPr>
<w:r><w:t xml:space="preserve">Altai, on the other hand, consists mainly of gneiss and</w:t></w:r>
</w:p>
<w:p>
<w:pPr><w:pStyle w:val="Normal"/></w:pPr>
<w:r><w:t xml:space="preserve">Archaean rocks.  The strike of the rocks is independent</w:t></w:r>
</w:p>
<w:p>
<w:pPr><w:pStyle w:val="Normal"/></w:pPr>
<w:r><w:t xml:space="preserve">of the direction of the chain, and the chain is bounded by</w:t></w:r>
</w:p>
<w:p>
<w:pPr><w:pStyle w:val="Normal"/></w:pPr>
<w:r><w:t xml:space="preserve">faults.  It is, in fact, a horst and not a zone of folding.</w:t></w:r>
</w:p>
<w:p>
<w:pPr><w:pStyle w:val="Normal"/></w:pPr>
<w:r><w:t xml:space="preserve">Flora.--The flora of the Altai, explored chiefly by Karl</w:t></w:r>
</w:p>
<w:p>
<w:pPr><w:pStyle w:val="Normal"/></w:pPr>
<w:r><w:t xml:space="preserve">F. von Ledebour (1785-1851), is rich and very beautiful.</w:t></w:r>
</w:p>
<w:p>
<w:pPr><w:pStyle w:val="Normal"/></w:pPr>
<w:r><w:t xml:space="preserve">Up to a level of 1000 ft. on the northern and 2000 ft. on</w:t></w:r>
</w:p>
<w:p>
<w:pPr><w:pStyle w:val="Normal"/></w:pPr>
<w:r><w:t xml:space="preserve">the southern slopes, plant life belongs to the European</w:t></w:r>
</w:p>
<w:p>
<w:pPr><w:pStyle w:val="Normal"/></w:pPr>
<w:r><w:t xml:space="preserve">flora, which extends into Siberia as far as the Yenisei.  The</w:t></w:r>
</w:p>
<w:p>
<w:pPr><w:pStyle w:val="Normal"/></w:pPr>
<w:r><w:t xml:space="preserve">steppe flora penetrates into the mountains, ascending some</w:t></w:r>
</w:p>
<w:p>
<w:pPr><w:pStyle w:val="Normal"/></w:pPr>
<w:r><w:t xml:space="preserve">1100-1200 ft., and in sheltered valleys even up to 5500 ft.,</w:t></w:r>
</w:p>
<w:p>
<w:pPr><w:pStyle w:val="Normal"/></w:pPr>
<w:r><w:t xml:space="preserve">when it of course comes into contact with the purely alpine</w:t></w:r>
</w:p>
<w:p>
<w:pPr><w:pStyle w:val="Normal"/></w:pPr>
<w:r><w:t xml:space="preserve">flora.  Tree vegetation, which reaches up as high as 6500 and</w:t></w:r>
</w:p>
<w:p>
<w:pPr><w:pStyle w:val="Normal"/></w:pPr>
<w:r><w:t xml:space="preserve">8150 ft., the latter limit on the north and west, consists of</w:t></w:r>
</w:p>
<w:p>
<w:pPr><w:pStyle w:val="Normal"/></w:pPr>
<w:r><w:t xml:space="preserve">magnificent forests of birch, poplar, aspen, and Coniferae,</w:t></w:r>
</w:p>
<w:p>
<w:pPr><w:pStyle w:val="Normal"/></w:pPr>
<w:r><w:t xml:space="preserve">such as Pinus cerebra, Abies sibirica, Larix sibirica, Picea</w:t></w:r>
</w:p>
<w:p>
<w:pPr><w:pStyle w:val="Normal"/></w:pPr>
<w:r><w:t xml:space="preserve">obovata, and so on, though the fir is not found above 2500</w:t></w:r>
</w:p>
<w:p>
<w:pPr><w:pStyle w:val="Normal"/></w:pPr>
<w:r><w:t xml:space="preserve">ft., while the meadows are abundantly clothed with brightly</w:t></w:r>
</w:p>
<w:p>
<w:pPr><w:pStyle w:val="Normal"/></w:pPr>
<w:r><w:t xml:space="preserve">coloured, typical assortments of herbaceous plants.  The alpine</w:t></w:r>
</w:p>
<w:p>
<w:pPr><w:pStyle w:val="Normal"/></w:pPr>
<w:r><w:t xml:space="preserve">meadows, which have many species in common with the European</w:t></w:r>
</w:p>
<w:p>
<w:pPr><w:pStyle w:val="Normal"/></w:pPr>
<w:r><w:t xml:space="preserve">Alps, have also a number of their own peculiar Altaian species.</w:t></w:r>
</w:p>
<w:p>
<w:pPr><w:pStyle w:val="Normal"/></w:pPr>
<w:r><w:t xml:space="preserve">Mineral wealth.--The Altai proper is rich in silver, copper,</w:t></w:r>
</w:p>
<w:p>
<w:pPr><w:pStyle w:val="Normal"/></w:pPr>
<w:r><w:t xml:space="preserve">lead and zinc ores, while in the Kuznetsk Ala-tau, gold,</w:t></w:r>
</w:p>
<w:p>
<w:pPr><w:pStyle w:val="Normal"/></w:pPr>
<w:r><w:t xml:space="preserve">iron and coal are the chief mineral resources.  The Kuznetsk</w:t></w:r>
</w:p>
<w:p>
<w:pPr><w:pStyle w:val="Normal"/></w:pPr>
<w:r><w:t xml:space="preserve">Ala-tau mines are only now beginning to be explored, while</w:t></w:r>
</w:p>
<w:p>
<w:pPr><w:pStyle w:val="Normal"/></w:pPr>
<w:r><w:t xml:space="preserve">the copper, and perhaps also the silver, ores of the Altai</w:t></w:r>
</w:p>
<w:p>
<w:pPr><w:pStyle w:val="Normal"/></w:pPr>
<w:r><w:t xml:space="preserve">proper were worked by the mysterious prehistoric race of the</w:t></w:r>
</w:p>
<w:p>
<w:pPr><w:pStyle w:val="Normal"/></w:pPr>
<w:r><w:t xml:space="preserve">Chudes at a time when the use of iron was not yet known.</w:t></w:r>
</w:p>
<w:p>
<w:pPr><w:pStyle w:val="Normal"/></w:pPr>
<w:r><w:t xml:space="preserve">Russians began to mine in 1727 at Kolyvan, and in 1739 at</w:t></w:r>
</w:p>
<w:p>
<w:pPr><w:pStyle w:val="Normal"/></w:pPr>
<w:r><w:t xml:space="preserve">Barnaul.  Most of the Altai region, covering an area of some</w:t></w:r>
</w:p>
<w:p>
<w:pPr><w:pStyle w:val="Normal"/></w:pPr>
<w:r><w:t xml:space="preserve">170,000 sq. m. and including the Kuznetsk district, has since</w:t></w:r>
</w:p>
<w:p>
<w:pPr><w:pStyle w:val="Normal"/></w:pPr>
<w:r><w:t xml:space="preserve">1746 formed a domain of the imperial family under the name</w:t></w:r>
</w:p>
<w:p>
<w:pPr><w:pStyle w:val="Normal"/></w:pPr>
<w:r><w:t xml:space="preserve">of the Altai Mining District.  The ores of the Altai proper</w:t></w:r>
</w:p>
<w:p>
<w:pPr><w:pStyle w:val="Normal"/></w:pPr>
<w:r><w:t xml:space="preserve">nearly always appear in irregular veins, containing silver,</w:t></w:r>
</w:p>
<w:p>
<w:pPr><w:pStyle w:val="Normal"/></w:pPr>
<w:r><w:t xml:space="preserve">lead, copper and gold -- sometimes all together, -- and they</w:t></w:r>
</w:p>
<w:p>
<w:pPr><w:pStyle w:val="Normal"/></w:pPr>
<w:r><w:t xml:space="preserve">are, or were, worked chiefly by Zmeinogorsk (or Zmeiev),</w:t></w:r>
</w:p>
<w:p>
<w:pPr><w:pStyle w:val="Normal"/></w:pPr>
<w:r><w:t xml:space="preserve">Zyryanovsk, Ust-Kamenogorsk and Riddersk (abandoned in</w:t></w:r>
</w:p>
<w:p>
<w:pPr><w:pStyle w:val="Normal"/></w:pPr>
<w:r><w:t xml:space="preserve">1861).  They offer, however, great difficulties, especially</w:t></w:r>
</w:p>
<w:p>
<w:pPr><w:pStyle w:val="Normal"/></w:pPr>
<w:r><w:t xml:space="preserve">on account of their continually varying productivity and</w:t></w:r>
</w:p>
<w:p>
<w:pPr><w:pStyle w:val="Normal"/></w:pPr>
<w:r><w:t xml:space="preserve">temperature of fusion.  The beautiful varieties of porphyry</w:t></w:r>
</w:p>
<w:p>
<w:pPr><w:pStyle w:val="Normal"/></w:pPr>
<w:r><w:t xml:space="preserve">-- green, red, striped -- which are obtained, often in big</w:t></w:r>
</w:p>
<w:p>
<w:pPr><w:pStyle w:val="Normal"/></w:pPr>
<w:r><w:t xml:space="preserve">monoliths, near Kolyvan, are cut at the imperial stone-cutting</w:t></w:r>
</w:p>
<w:p>
<w:pPr><w:pStyle w:val="Normal"/></w:pPr>
<w:r><w:t xml:space="preserve">factory into vases and other ornaments, familiar in the art</w:t></w:r>
</w:p>
<w:p>
<w:pPr><w:pStyle w:val="Normal"/></w:pPr>
<w:r><w:t xml:space="preserve">galleries and palaces of Europe.  Aquamarines of mediocre</w:t></w:r>
</w:p>
<w:p>
<w:pPr><w:pStyle w:val="Normal"/></w:pPr>
<w:r><w:t xml:space="preserve">quality but enormous size (up to 3 in. in diameter) are</w:t></w:r>
</w:p>
<w:p>
<w:pPr><w:pStyle w:val="Normal"/></w:pPr>
<w:r><w:t xml:space="preserve">found in the Korgon mine.  The northern, or Salair, mining</w:t></w:r>
</w:p>
<w:p>
<w:pPr><w:pStyle w:val="Normal"/></w:pPr>
<w:r><w:t xml:space="preserve">region is rich in silver ores, and the mine of this name</w:t></w:r>
</w:p>
<w:p>
<w:pPr><w:pStyle w:val="Normal"/></w:pPr>
<w:r><w:t xml:space="preserve">used formerly to yield up to 93,300 oz. of silver in the</w:t></w:r>
</w:p>
<w:p>
<w:pPr><w:pStyle w:val="Normal"/></w:pPr>
<w:r><w:t xml:space="preserve">year.  But the chief wealth of the northern Altai is in the</w:t></w:r>
</w:p>
<w:p>
<w:pPr><w:pStyle w:val="Normal"/></w:pPr>
<w:r><w:t xml:space="preserve">Kuznetsk coal-basin, also containing iron-ores, which fills</w:t></w:r>
</w:p>
<w:p>
<w:pPr><w:pStyle w:val="Normal"/></w:pPr>
<w:r><w:t xml:space="preserve">up a valley between the Kuznetsk Ala-tau and the Salair</w:t></w:r>
</w:p>
<w:p>
<w:pPr><w:pStyle w:val="Normal"/></w:pPr>
<w:r><w:t xml:space="preserve">range for a length of about 270 m., with a width of about 65</w:t></w:r>
</w:p>
<w:p>
<w:pPr><w:pStyle w:val="Normal"/></w:pPr>
<w:r><w:t xml:space="preserve">m.  The coal is considered equal to the best coal of</w:t></w:r>
</w:p>
<w:p>
<w:pPr><w:pStyle w:val="Normal"/></w:pPr>
<w:r><w:t xml:space="preserve">England and south Russia. The country is also covered</w:t></w:r>
</w:p>
<w:p>
<w:pPr><w:pStyle w:val="Normal"/></w:pPr>
<w:r><w:t xml:space="preserve">with thick diluvial and alluvial deposits containing</w:t></w:r>
</w:p>
<w:p>
<w:pPr><w:pStyle w:val="Normal"/></w:pPr>
<w:r><w:t xml:space="preserve">gold.  However, all the mining is now on the decline.</w:t></w:r>
</w:p>
<w:p>
<w:pPr><w:pStyle w:val="Normal"/></w:pPr>
<w:r><w:t xml:space="preserve">Population.--The Russian population has rapidly increased</w:t></w:r>
</w:p>
<w:p>
<w:pPr><w:pStyle w:val="Normal"/></w:pPr>
<w:r><w:t xml:space="preserve">since the fertile valleys belonging to the imperial</w:t></w:r>
</w:p>
<w:p>
<w:pPr><w:pStyle w:val="Normal"/></w:pPr>
<w:r><w:t xml:space="preserve">family have been thrown open to settlement, and it has</w:t></w:r>
</w:p>
<w:p>
<w:pPr><w:pStyle w:val="Normal"/></w:pPr>
<w:r><w:t xml:space="preserve">been estimated that in 1908 the population of the region</w:t></w:r>
</w:p>
<w:p>
<w:pPr><w:pStyle w:val="Normal"/></w:pPr>
<w:r><w:t xml:space="preserve">(Biysk, Barnaul and Kuznetsk districts) reached about</w:t></w:r>
</w:p>
<w:p>
<w:pPr><w:pStyle w:val="Normal"/></w:pPr>
<w:r><w:t xml:space="preserve">800,000.  Their chief occupations are agriculture (about</w:t></w:r>
</w:p>
<w:p>
<w:pPr><w:pStyle w:val="Normal"/></w:pPr>
<w:r><w:t xml:space="preserve">3,500,000 acres under culture), cattle-breeding, bee-keeping,</w:t></w:r>
</w:p>
<w:p>
<w:pPr><w:pStyle w:val="Normal"/></w:pPr>
<w:r><w:t xml:space="preserve">mining, gathering of cedar-nuts and hunting.  All this</w:t></w:r>
</w:p>
<w:p>
<w:pPr><w:pStyle w:val="Normal"/></w:pPr>
<w:r><w:t xml:space="preserve">produce is exported partly to Tomsk and partly to Kobdo in</w:t></w:r>
</w:p>
<w:p>
<w:pPr><w:pStyle w:val="Normal"/></w:pPr>
<w:r><w:t xml:space="preserve">Mongolia.  The natives may represent a population of about</w:t></w:r>
</w:p>
<w:p>
<w:pPr><w:pStyle w:val="Normal"/></w:pPr>
<w:r><w:t xml:space="preserve">45,000.  They are Altaians in the west and Telenghites or</w:t></w:r>
</w:p>
<w:p>
<w:pPr><w:pStyle w:val="Normal"/></w:pPr>
<w:r><w:t xml:space="preserve">Teleuts in the east, with a few Kalmucks and Tatars.  Although</w:t></w:r>
</w:p>
<w:p>
<w:pPr><w:pStyle w:val="Normal"/></w:pPr>
<w:r><w:t xml:space="preserve">all are called Kalmucks by the Russians, they speak a Turkish</w:t></w:r>
</w:p>
<w:p>
<w:pPr><w:pStyle w:val="Normal"/></w:pPr>
<w:r><w:t xml:space="preserve">language.  Both the Telenghites and the Altaians are Shamanists</w:t></w:r>
</w:p>
<w:p>
<w:pPr><w:pStyle w:val="Normal"/></w:pPr>
<w:r><w:t xml:space="preserve">in religion, but many of the former are already quite</w:t></w:r>
</w:p>
<w:p>
<w:pPr><w:pStyle w:val="Normal"/></w:pPr>
<w:r><w:t xml:space="preserve">Russified.  The virgin forests of the Kuznetsk Ala-tau -- the</w:t></w:r>
</w:p>
<w:p>
<w:pPr><w:pStyle w:val="Normal"/></w:pPr>
<w:r><w:t xml:space="preserve">Chern, or Black Forest of the Russians -- are peopled by Tatars,</w:t></w:r>
</w:p>
<w:p>
<w:pPr><w:pStyle w:val="Normal"/></w:pPr>
<w:r><w:t xml:space="preserve">who live in very small settlements, sometimes of the Russian</w:t></w:r>
</w:p>
<w:p>
<w:pPr><w:pStyle w:val="Normal"/></w:pPr>
<w:r><w:t xml:space="preserve">type, but mostly in wooden yurts or huts of the Mongolian</w:t></w:r>
</w:p>
<w:p>
<w:pPr><w:pStyle w:val="Normal"/></w:pPr>
<w:r><w:t xml:space="preserve">fashion.  They can hardly keep any cattle, and lead the</w:t></w:r>
</w:p>
<w:p>
<w:pPr><w:pStyle w:val="Normal"/></w:pPr>
<w:r><w:t xml:space="preserve">precarious life of forest-dwellers, living upon various wild</w:t></w:r>
</w:p>
<w:p>
<w:pPr><w:pStyle w:val="Normal"/></w:pPr>
<w:r><w:t xml:space="preserve">roots when there is no grain in the spring.  Hunting and</w:t></w:r>
</w:p>
<w:p>
<w:pPr><w:pStyle w:val="Normal"/></w:pPr>
<w:r><w:t xml:space="preserve">fishing are resorted to, and the skins and furs are tanned.</w:t></w:r>
</w:p>
<w:p>
<w:pPr><w:pStyle w:val="Normal"/></w:pPr>
<w:r><w:t xml:space="preserve">Towns.--The capital of the Altai region is Barnaul,</w:t></w:r>
</w:p>
<w:p>
<w:pPr><w:pStyle w:val="Normal"/></w:pPr>
<w:r><w:t xml:space="preserve">the centre of the mining administration and an animated</w:t></w:r>
</w:p>
<w:p>
<w:pPr><w:pStyle w:val="Normal"/></w:pPr>
<w:r><w:t xml:space="preserve">commercial town; Biysk is the commercial centre; Kuznetsk,</w:t></w:r>
</w:p>
<w:p>
<w:pPr><w:pStyle w:val="Normal"/></w:pPr>
<w:r><w:t xml:space="preserve">Ust-Kamenogorsk, and the mining towns of Kolyvan, Zmeinogorsk,</w:t></w:r>
</w:p>
<w:p>
<w:pPr><w:pStyle w:val="Normal"/></w:pPr>
<w:r><w:t xml:space="preserve">Riddersk and Salairsk are the next largest places.</w:t></w:r>
</w:p>
<w:p>
<w:pPr><w:pStyle w:val="Normal"/></w:pPr>
<w:r><w:t xml:space="preserve">AUTHORITIES. -- P. Semenov and G. N. Potanin, in supplementary</w:t></w:r>
</w:p>
<w:p>
<w:pPr><w:pStyle w:val="Normal"/></w:pPr>
<w:r><w:t xml:space="preserve">vol. of Russian ed. of Ritter&apos;s Asien (1877); Ledebour,</w:t></w:r>
</w:p>
<w:p>
<w:pPr><w:pStyle w:val="Normal"/></w:pPr>
<w:r><w:t xml:space="preserve">Reise durch das Altaigebirge (1829-1830); P. Chikhatchev,</w:t></w:r>
</w:p>
<w:p>
<w:pPr><w:pStyle w:val="Normal"/></w:pPr>
<w:r><w:t xml:space="preserve">Voyage scientifique dans l&apos;Altai oriental (1845);</w:t></w:r>
</w:p>
<w:p>
<w:pPr><w:pStyle w:val="Normal"/></w:pPr>
<w:r><w:t xml:space="preserve">Gebler, Ubersicht des katunischen Gebirges (1837); G.</w:t></w:r>
</w:p>
<w:p>
<w:pPr><w:pStyle w:val="Normal"/></w:pPr>
<w:r><w:t xml:space="preserve">von Helmersen, Reise nach dem Altai (St Petersburg, 1848);</w:t></w:r>
</w:p>
<w:p>
<w:pPr><w:pStyle w:val="Normal"/></w:pPr>
<w:r><w:t xml:space="preserve">T. W. Atkinson, Oriental and Western Siberia (1838); and</w:t></w:r>
</w:p>
<w:p>
<w:pPr><w:pStyle w:val="Normal"/></w:pPr>
<w:r><w:t xml:space="preserve">Cotta, Der Altai (1871), are still worth consulting.  Of</w:t></w:r>
</w:p>
<w:p>
<w:pPr><w:pStyle w:val="Normal"/></w:pPr>
<w:r><w:t xml:space="preserve">modern works see Adrianov, ``Journey to the Altai,&apos;&apos; in</w:t></w:r>
</w:p>
<w:p>
<w:pPr><w:pStyle w:val="Normal"/></w:pPr>
<w:r><w:t xml:space="preserve">Zaeiski Russ. Geogr. Soc. xi.; Yadrintsev, ``Journey</w:t></w:r>
</w:p>
<w:p>
<w:pPr><w:pStyle w:val="Normal"/></w:pPr>
<w:r><w:t xml:space="preserve">in West Siberia,&apos;&apos; in Zapiski West Sib. Geogr.  Soc.</w:t></w:r>
</w:p>
<w:p>
<w:pPr><w:pStyle w:val="Normal"/></w:pPr>
<w:r><w:t xml:space="preserve">ii.; Golubev, Altai (1890, Russian); Schmurlo, ``Passes</w:t></w:r>
</w:p>
<w:p>
<w:pPr><w:pStyle w:val="Normal"/></w:pPr>
<w:r><w:t xml:space="preserve">in S. Altai&apos;&apos; (Sailughem), in Izvestia Russ.  Geogr.  Soc.</w:t></w:r>
</w:p>
<w:p>
<w:pPr><w:pStyle w:val="Normal"/></w:pPr>
<w:r><w:t xml:space="preserve">(1898), xxxiv. 5; V. Saposhnikov, various articles in same</w:t></w:r>
</w:p>
<w:p>
<w:pPr><w:pStyle w:val="Normal"/></w:pPr>
<w:r><w:t xml:space="preserve">periodical (1897), xxxiii. and (1899) xxxv., and, by the</w:t></w:r>
</w:p>
<w:p>
<w:pPr><w:pStyle w:val="Normal"/></w:pPr>
<w:r><w:t xml:space="preserve">same, Katun i yeya Istoka (Tomsk, 1901); S. Turner,</w:t></w:r>
</w:p>
<w:p>
<w:pPr><w:pStyle w:val="Normal"/></w:pPr>
<w:r><w:t xml:space="preserve">Siberia (1905); Deniker, on Kozlov&apos;s explorations, in La</w:t></w:r>
</w:p>
<w:p>
<w:pPr><w:pStyle w:val="Normal"/></w:pPr>
<w:r><w:t xml:space="preserve">Geographie (1901, pp. 41, &amp;c.); and P. Ignatov, in Izvestia</w:t></w:r>
</w:p>
<w:p>
<w:pPr><w:pStyle w:val="Normal"/></w:pPr>
<w:r><w:t xml:space="preserve">Russ.  Geog.  Soc. (1902, No. 2). (P. A. K.; J. T. BE.)</w:t></w:r>
</w:p>
<w:p>
<w:pPr><w:pStyle w:val="Normal"/></w:pPr>
<w:r><w:t xml:space="preserve">1 Mr S. Turner estimates the culminating peak of Mt. Byelukha at</w:t></w:r>
</w:p>
<w:p>
<w:pPr><w:pStyle w:val="Normal"/></w:pPr>
<w:r><w:t xml:space="preserve">14,800 ft., but to Willer&apos;s Peak, a little to the N. W. of Byelukha,</w:t></w:r>
</w:p>
<w:p>
<w:pPr><w:pStyle w:val="Normal"/></w:pPr>
<w:r><w:t xml:space="preserve">he assigns an altitude of 17,800 ft. (p. 205 of Siberia.)</w:t></w:r>
</w:p>
<w:p>
<w:pPr><w:pStyle w:val="Normal"/></w:pPr>
<w:r><w:t xml:space="preserve">ALTAMURA, a town of Apulia, Italy, in the province of</w:t></w:r>
</w:p>
<w:p>
<w:pPr><w:pStyle w:val="Normal"/></w:pPr>
<w:r><w:t xml:space="preserve">Bari, 28 m.  S.S.W. of the town of that name, and 56 m.</w:t></w:r>
</w:p>
<w:p>
<w:pPr><w:pStyle w:val="Normal"/></w:pPr>
<w:r><w:t xml:space="preserve">by rail via Gioia del Colle.  Pop. (1901) 22,729.  It</w:t></w:r>
</w:p>
<w:p>
<w:pPr><w:pStyle w:val="Normal"/></w:pPr>
<w:r><w:t xml:space="preserve">possesses a fine Romanesque cathedral begun in 1232 and</w:t></w:r>
</w:p>
<w:p>
<w:pPr><w:pStyle w:val="Normal"/></w:pPr>
<w:r><w:t xml:space="preserve">restored in 1330 and 1531, the portal being especially</w:t></w:r>
</w:p>
<w:p>
<w:pPr><w:pStyle w:val="Normal"/></w:pPr>
<w:r><w:t xml:space="preserve">remarkable.  It is one of the four Palatine churches of</w:t></w:r>
</w:p>
<w:p>
<w:pPr><w:pStyle w:val="Normal"/></w:pPr>
<w:r><w:t xml:space="preserve">Apulia.  The surrounding territory is fertile.  The medieval</w:t></w:r>
</w:p>
<w:p>
<w:pPr><w:pStyle w:val="Normal"/></w:pPr>
<w:r><w:t xml:space="preserve">walls, erected by the emperor Frederick II., rest upon</w:t></w:r>
</w:p>
<w:p>
<w:pPr><w:pStyle w:val="Normal"/></w:pPr>
<w:r><w:t xml:space="preserve">the walls of an ancient city of unknown name. These early</w:t></w:r>
</w:p>
<w:p>
<w:pPr><w:pStyle w:val="Normal"/></w:pPr>
<w:r><w:t xml:space="preserve">walls are of rough blocks of stone without mortar. Ancient</w:t></w:r>
</w:p>
<w:p>
<w:pPr><w:pStyle w:val="Normal"/></w:pPr>
<w:r><w:t xml:space="preserve">tombs with fragments of vases have also been found, and</w:t></w:r>
</w:p>
<w:p>
<w:pPr><w:pStyle w:val="Normal"/></w:pPr>
<w:r><w:t xml:space="preserve">there are cases which have been used as primitive tombs or</w:t></w:r>
</w:p>
<w:p>
<w:pPr><w:pStyle w:val="Normal"/></w:pPr>
<w:r><w:t xml:space="preserve">dwellings, and a group of some fifty tumuli near Altamura.</w:t></w:r>
</w:p>
<w:p>
<w:pPr><w:pStyle w:val="Normal"/></w:pPr>
<w:r><w:t xml:space="preserve">ALTAR (Lat. altare, from altus, high; some ancient</w:t></w:r>
</w:p>
<w:p>
<w:pPr><w:pStyle w:val="Normal"/></w:pPr>
<w:r><w:t xml:space="preserve">etymological guesses are recorded by St Isidore of Seville in</w:t></w:r>
</w:p>
<w:p>
<w:pPr><w:pStyle w:val="Normal"/></w:pPr>
<w:r><w:t xml:space="preserve">Etymologiae xv. 4), strictly a base or pedestal used for</w:t></w:r>
</w:p>
<w:p>
<w:pPr><w:pStyle w:val="Normal"/></w:pPr>
<w:r><w:t xml:space="preserve">supplication and sacrifice to gods or to deified heroes.</w:t></w:r>
</w:p>
<w:p>
<w:pPr><w:pStyle w:val="Normal"/></w:pPr>
<w:r><w:t xml:space="preserve">The necessity for such sacrificial furniture has been felt in</w:t></w:r>
</w:p>
<w:p>
<w:pPr><w:pStyle w:val="Normal"/></w:pPr>
<w:r><w:t xml:space="preserve">most religions, and consequently we find its use widespread</w:t></w:r>
</w:p>
<w:p>
<w:pPr><w:pStyle w:val="Normal"/></w:pPr>
<w:r><w:t xml:space="preserve">among races and nations which have no mutual connexion.</w:t></w:r>
</w:p>
<w:p>
<w:pPr><w:pStyle w:val="Normal"/></w:pPr>
<w:r><w:t xml:space="preserve">Mesopotamia. -- Altars are found from the earliest</w:t></w:r>
</w:p>
<w:p>
<w:pPr><w:pStyle w:val="Normal"/></w:pPr>
<w:r><w:t xml:space="preserve">times in the remains of Babylonian cities; the oldest</w:t></w:r>
</w:p>
<w:p>
<w:pPr><w:pStyle w:val="Normal"/></w:pPr>
<w:r><w:t xml:space="preserve">are square erections of sun-dried bricks.  In Assyrian</w:t></w:r>
</w:p>
<w:p>
<w:pPr><w:pStyle w:val="Normal"/></w:pPr>
<w:r><w:t xml:space="preserve">mounds limestone and alabaster are the chief material.</w:t></w:r>
</w:p>
<w:p>
<w:pPr><w:pStyle w:val="Normal"/></w:pPr>
<w:r><w:t xml:space="preserve">They are of varying form; an altar shown in a relief at</w:t></w:r>
</w:p>
<w:p>
<w:pPr><w:pStyle w:val="Normal"/></w:pPr>
<w:r><w:t xml:space="preserve">Khorsabad is ornamented with stepped battlements, which</w:t></w:r>
</w:p>
<w:p>
<w:pPr><w:pStyle w:val="Normal"/></w:pPr>
<w:r><w:t xml:space="preserve">are the equivalent of the familiar ``altarhorns&apos;&apos; in Hebrew</w:t></w:r>
</w:p>
<w:p>
<w:pPr><w:pStyle w:val="Normal"/></w:pPr>
<w:r><w:t xml:space="preserve">ritual.  An altar also from Khorsabad (now in the British</w:t></w:r>
</w:p>
<w:p>
<w:pPr><w:pStyle w:val="Normal"/></w:pPr>
<w:r><w:t xml:space="preserve">Museum) has a circular table and a solid base triangular on</w:t></w:r>
</w:p>
<w:p>
<w:pPr><w:pStyle w:val="Normal"/></w:pPr>
<w:r><w:t xml:space="preserve">plan, with pilasters ornamented with animals&apos; paws at the</w:t></w:r>
</w:p>
<w:p>
<w:pPr><w:pStyle w:val="Normal"/></w:pPr>
<w:r><w:t xml:space="preserve">angles.  A third variety, of which an 8th century B.C. example</w:t></w:r>
</w:p>
<w:p>
<w:pPr><w:pStyle w:val="Normal"/></w:pPr>
<w:r><w:t xml:space="preserve">from Nimrod exists in the British Museum, is a rectangular</w:t></w:r>
</w:p>
<w:p>
<w:pPr><w:pStyle w:val="Normal"/></w:pPr>
<w:r><w:t xml:space="preserve">block ornamented at the ends by cylindrical rolls. These</w:t></w:r>
</w:p>
<w:p>
<w:pPr><w:pStyle w:val="Normal"/></w:pPr>
<w:r><w:t xml:space="preserve">altars are in height from 2 to 3 ft.  According to Herodotus</w:t></w:r>
</w:p>
<w:p>
<w:pPr><w:pStyle w:val="Normal"/></w:pPr>
<w:r><w:t xml:space="preserve">(i. 183) the great altars of Babylonia were made of gold.</w:t></w:r>
</w:p>
<w:p>
<w:pPr><w:pStyle w:val="Normal"/></w:pPr>
<w:r><w:t xml:space="preserve">Egypt. -- In Egypt altars took the form of a truncated</w:t></w:r>
</w:p>
<w:p>
<w:pPr><w:pStyle w:val="Normal"/></w:pPr>
<w:r><w:t xml:space="preserve">cone or of a cubical block of polished granite or of</w:t></w:r>
</w:p>
<w:p>
<w:pPr><w:pStyle w:val="Normal"/></w:pPr>
<w:r><w:t xml:space="preserve">basalt, with one or more basin-like depressions in the upper</w:t></w:r>
</w:p>
<w:p>
<w:pPr><w:pStyle w:val="Normal"/></w:pPr>
<w:r><w:t xml:space="preserve">surface for receiving fluid libations.  These had channels</w:t></w:r>
</w:p>
<w:p>
<w:pPr><w:pStyle w:val="Normal"/></w:pPr>
<w:r><w:t xml:space="preserve">whereby fluids poured into the receptacles could be drained</w:t></w:r>
</w:p>
<w:p>
<w:pPr><w:pStyle w:val="Normal"/></w:pPr>
<w:r><w:t xml:space="preserve">off.  The surface was plain, inscribed with dedicatory</w:t></w:r>
</w:p>
<w:p>
<w:pPr><w:pStyle w:val="Normal"/></w:pPr>
<w:r><w:t xml:space="preserve">or other legends, or adorned with symbolical carving.</w:t></w:r>
</w:p>
<w:p>
<w:pPr><w:pStyle w:val="Normal"/></w:pPr>
<w:r><w:t xml:space="preserve">Palestine. -- Recent excavations, especially at Gezer,</w:t></w:r>
</w:p>
<w:p>
<w:pPr><w:pStyle w:val="Normal"/></w:pPr>
<w:r><w:t xml:space="preserve">have shown that the earliest altars, or rather sacrifice</w:t></w:r>
</w:p>
<w:p>
<w:pPr><w:pStyle w:val="Normal"/></w:pPr>
<w:r><w:t xml:space="preserve">hearths, in Palestine were circular spaces marked out by</w:t></w:r>
</w:p>
<w:p>
<w:pPr><w:pStyle w:val="Normal"/></w:pPr>
<w:r><w:t xml:space="preserve">small stones set on end.  At Gezer a pre-Semitic place of</w:t></w:r>
</w:p>
<w:p>
<w:pPr><w:pStyle w:val="Normal"/></w:pPr>
<w:r><w:t xml:space="preserve">worship was found in which three such hearths stood together,</w:t></w:r>
</w:p>
<w:p>
<w:pPr><w:pStyle w:val="Normal"/></w:pPr>
<w:r><w:t xml:space="preserve">and drained into a cave which may reasonably be supposed to</w:t></w:r>
</w:p>
<w:p>
<w:pPr><w:pStyle w:val="Normal"/></w:pPr>
<w:r><w:t xml:space="preserve">have been regarded as the residence of the divinity.  These</w:t></w:r>
</w:p>
<w:p>
<w:pPr><w:pStyle w:val="Normal"/></w:pPr>
<w:r><w:t xml:space="preserve">circular hearths persisted into the Canaanite period, but</w:t></w:r>
</w:p>
<w:p>
<w:pPr><w:pStyle w:val="Normal"/></w:pPr>
<w:r><w:t xml:space="preserve">were ultimately superseded by the Semitic developments.  To</w:t></w:r>
</w:p>
<w:p>
<w:pPr><w:pStyle w:val="Normal"/></w:pPr>
<w:r><w:t xml:space="preserve">the primitive nomadic Semite the presence of the divinity</w:t></w:r>
</w:p>
<w:p>
<w:pPr><w:pStyle w:val="Normal"/></w:pPr>
<w:r><w:t xml:space="preserve">was indicated by springs, shady trees, remarkable rocks and</w:t></w:r>
</w:p>
<w:p>
<w:pPr><w:pStyle w:val="Normal"/></w:pPr>
<w:r><w:t xml:space="preserve">other landmarks; and from this earliest conception grew the</w:t></w:r>
</w:p>
<w:p>
<w:pPr><w:pStyle w:val="Normal"/></w:pPr>
<w:r><w:t xml:space="preserve">theory that a numen might be induced to take up an abode in</w:t></w:r>
</w:p>
<w:p>
<w:pPr><w:pStyle w:val="Normal"/></w:pPr>
<w:r><w:t xml:space="preserve">an artificial heap of stones, or a pillar set upright for the</w:t></w:r>
</w:p>
<w:p>
<w:pPr><w:pStyle w:val="Normal"/></w:pPr>
<w:r><w:t xml:space="preserve">purpose.  The blood of the victim was poured over the stone as</w:t></w:r>
</w:p>
<w:p>
<w:pPr><w:pStyle w:val="Normal"/></w:pPr>
<w:r><w:t xml:space="preserve">an offering to the divinity dwelling within it; and from this</w:t></w:r>
</w:p>
<w:p>
<w:pPr><w:pStyle w:val="Normal"/></w:pPr>
<w:r><w:t xml:space="preserve">conception of the stone arose the further and final view, that</w:t></w:r>
</w:p>
<w:p>
<w:pPr><w:pStyle w:val="Normal"/></w:pPr>
<w:r><w:t xml:space="preserve">the stone was a table on which the victim was to be burned.</w:t></w:r>
</w:p>
<w:p>
<w:pPr><w:pStyle w:val="Normal"/></w:pPr>
<w:r><w:t xml:space="preserve">Very few specimens of early Palestinian altars remain.  The</w:t></w:r>
</w:p>
<w:p>
<w:pPr><w:pStyle w:val="Normal"/></w:pPr>
<w:r><w:t xml:space="preserve">megalithic structures common in the Hauran and Moab may be</w:t></w:r>
</w:p>
<w:p>
<w:pPr><w:pStyle w:val="Normal"/></w:pPr>
<w:r><w:t xml:space="preserve">entirely sepulchral.  At Gezer no definite altar was discovered</w:t></w:r>
</w:p>
<w:p>
<w:pPr><w:pStyle w:val="Normal"/></w:pPr>
<w:r><w:t xml:space="preserve">in the great High Place; though it is possible that a bank of</w:t></w:r>
</w:p>
<w:p>
<w:pPr><w:pStyle w:val="Normal"/></w:pPr>
<w:r><w:t xml:space="preserve">intensely hard compact earth, in which were embedded a large</w:t></w:r>
</w:p>
<w:p>
<w:pPr><w:pStyle w:val="Normal"/></w:pPr>
<w:r><w:t xml:space="preserve">number of human skulls, took its place.  A very remarkable</w:t></w:r>
</w:p>
<w:p>
<w:pPr><w:pStyle w:val="Normal"/></w:pPr>
<w:r><w:t xml:space="preserve">altar, at present unique, was found at Taanach by the Austrian</w:t></w:r>
</w:p>
<w:p>
<w:pPr><w:pStyle w:val="Normal"/></w:pPr>
<w:r><w:t xml:space="preserve">excavators.  It is pyramidal in shape, and the surface</w:t></w:r>
</w:p>
<w:p>
<w:pPr><w:pStyle w:val="Normal"/></w:pPr>
<w:r><w:t xml:space="preserve">is ornamented with human-headed animals in relief.  This,</w:t></w:r>
</w:p>
<w:p>
<w:pPr><w:pStyle w:val="Normal"/></w:pPr>
<w:r><w:t xml:space="preserve">like the earliest Babylonian altars, is of baked earth.</w:t></w:r>
</w:p>
<w:p>
<w:pPr><w:pStyle w:val="Normal"/></w:pPr>
<w:r><w:t xml:space="preserve">The Old Testament conception of the altar varies with the</w:t></w:r>
</w:p>
<w:p>
<w:pPr><w:pStyle w:val="Normal"/></w:pPr>
<w:r><w:t xml:space="preserve">stage of religious development.  In the pre-Deuteronomic</w:t></w:r>
</w:p>
<w:p>
<w:pPr><w:pStyle w:val="Normal"/></w:pPr>
<w:r><w:t xml:space="preserve">period altars are erected in any place where there had appeared</w:t></w:r>
</w:p>
<w:p>
<w:pPr><w:pStyle w:val="Normal"/></w:pPr>
<w:r><w:t xml:space="preserve">to be a manifestation of deity, or under any circumstance</w:t></w:r>
</w:p>
<w:p>
<w:pPr><w:pStyle w:val="Normal"/></w:pPr>
<w:r><w:t xml:space="preserve">in which the aid of deity was invoked; not by heretical</w:t></w:r>
</w:p>
<w:p>
<w:pPr><w:pStyle w:val="Normal"/></w:pPr>
<w:r><w:t xml:space="preserve">individuals, but by the acknowledged religious leaders, such</w:t></w:r>
</w:p>
<w:p>
<w:pPr><w:pStyle w:val="Normal"/></w:pPr>
<w:r><w:t xml:space="preserve">as Noah at Ararat, Abraham at Shechem, Bethel &amp;c., Isaac</w:t></w:r>
</w:p>
<w:p>
<w:pPr><w:pStyle w:val="Normal"/></w:pPr>
<w:r><w:t xml:space="preserve">at Beersheba, Jacob at Bethel, Moses at Rephidim, Joshua at</w:t></w:r>
</w:p>
<w:p>
<w:pPr><w:pStyle w:val="Normal"/></w:pPr>
<w:r><w:t xml:space="preserve">Ebal, Gideon at Ophrah, Samuel at Raman, Elijah at Carmel,</w:t></w:r>
</w:p>
<w:p>
<w:pPr><w:pStyle w:val="Normal"/></w:pPr>
<w:r><w:t xml:space="preserve">and others. These primitive altars were of the simplest</w:t></w:r>
</w:p>
<w:p>
<w:pPr><w:pStyle w:val="Normal"/></w:pPr>
<w:r><w:t xml:space="preserve">possible description -- in fact they were required to be so</w:t></w:r>
</w:p>
<w:p>
<w:pPr><w:pStyle w:val="Normal"/></w:pPr>
<w:r><w:t xml:space="preserve">by the regulation affecting them, preserved in Exodus xx.</w:t></w:r>
</w:p>
<w:p>
<w:pPr><w:pStyle w:val="Normal"/></w:pPr>
<w:r><w:t xml:space="preserve">24, which prescribes that in every place where Yahweh</w:t></w:r>
</w:p>
<w:p>
<w:pPr><w:pStyle w:val="Normal"/></w:pPr>
<w:r><w:t xml:space="preserve">records his name an altar of earth or of unhewn stone, without</w:t></w:r>
</w:p>
<w:p>
<w:pPr><w:pStyle w:val="Normal"/></w:pPr>
<w:r><w:t xml:space="preserve">steps or other extraneous ornamentation, shall be erected.</w:t></w:r>
</w:p>
<w:p>
<w:pPr><w:pStyle w:val="Normal"/></w:pPr>
<w:r><w:t xml:space="preserve">The priestly regulations affecting altars are of a very elaborate</w:t></w:r>
</w:p>
<w:p>
<w:pPr><w:pStyle w:val="Normal"/></w:pPr>
<w:r><w:t xml:space="preserve">nature, and are framed with a single eye to the essential</w:t></w:r>
</w:p>
<w:p>
<w:pPr><w:pStyle w:val="Normal"/></w:pPr>
<w:r><w:t xml:space="preserve">theory of later Hebrew worship -- the centralization of all</w:t></w:r>
</w:p>
<w:p>
<w:pPr><w:pStyle w:val="Normal"/></w:pPr>
<w:r><w:t xml:space="preserve">worship at one shrine.  These recognize two altars, which by</w:t></w:r>
</w:p>
<w:p>
<w:pPr><w:pStyle w:val="Normal"/></w:pPr>
<w:r><w:t xml:space="preserve">the authors of this portion of the Pentateuch are placed from</w:t></w:r>
</w:p>
<w:p>
<w:pPr><w:pStyle w:val="Normal"/></w:pPr>
<w:r><w:t xml:space="preserve">the first in the tabernacle in the wilderness -- a theory</w:t></w:r>
</w:p>
<w:p>
<w:pPr><w:pStyle w:val="Normal"/></w:pPr>
<w:r><w:t xml:space="preserve">which is inconsistent with the other evidences of the nature</w:t></w:r>
</w:p>
<w:p>
<w:pPr><w:pStyle w:val="Normal"/></w:pPr>
<w:r><w:t xml:space="preserve">of the earlier Hebrew worship, to which we have just alluded.</w:t></w:r>
</w:p>
<w:p>
<w:pPr><w:pStyle w:val="Normal"/></w:pPr>
<w:r><w:t xml:space="preserve">The first of these altars is that for burnt-offering.  This</w:t></w:r>
</w:p>
<w:p>
<w:pPr><w:pStyle w:val="Normal"/></w:pPr>
<w:r><w:t xml:space="preserve">altar was in the centre of the court of the tabernacle, of</w:t></w:r>
</w:p>
<w:p>
<w:pPr><w:pStyle w:val="Normal"/></w:pPr>
<w:r><w:t xml:space="preserve">acacia wood, 3 cubits high and 5 square.  It was covered</w:t></w:r>
</w:p>
<w:p>
<w:pPr><w:pStyle w:val="Normal"/></w:pPr>
<w:r><w:t xml:space="preserve">with copper, was provided with ``horns&apos;&apos; at the corners (like</w:t></w:r>
</w:p>
<w:p>
<w:pPr><w:pStyle w:val="Normal"/></w:pPr>
<w:r><w:t xml:space="preserve">those of Assyria), hollow in the middle, and with rings on</w:t></w:r>
</w:p>
<w:p>
<w:pPr><w:pStyle w:val="Normal"/></w:pPr>
<w:r><w:t xml:space="preserve">the sides into which the staves for its transportation could</w:t></w:r>
</w:p>
<w:p>
<w:pPr><w:pStyle w:val="Normal"/></w:pPr>
<w:r><w:t xml:space="preserve">be run (Ex. xxvii. 1-8).  The altar of the Solomonic temple</w:t></w:r>
</w:p>
<w:p>
<w:pPr><w:pStyle w:val="Normal"/></w:pPr>
<w:r><w:t xml:space="preserve">is on similar lines, but much larger. It is now generally</w:t></w:r>
</w:p>
<w:p>
<w:pPr><w:pStyle w:val="Normal"/></w:pPr>
<w:r><w:t xml:space="preserve">recognized that the description of the tabernacle altar is</w:t></w:r>
</w:p>
<w:p>
<w:pPr><w:pStyle w:val="Normal"/></w:pPr>
<w:r><w:t xml:space="preserve">intended to provide a precedent for this vast structure,</w:t></w:r>
</w:p>
<w:p>
<w:pPr><w:pStyle w:val="Normal"/></w:pPr>
<w:r><w:t xml:space="preserve">which would otherwise be inconsistent with the traditional</w:t></w:r>
</w:p>
<w:p>
<w:pPr><w:pStyle w:val="Normal"/></w:pPr>
<w:r><w:t xml:space="preserve">view of the simple Hebrew altars.  In the second temple a</w:t></w:r>
</w:p>
<w:p>
<w:pPr><w:pStyle w:val="Normal"/></w:pPr>
<w:r><w:t xml:space="preserve">new altar was built after the fashion of the former (1 Macc.</w:t></w:r>
</w:p>
<w:p>
<w:pPr><w:pStyle w:val="Normal"/></w:pPr>
<w:r><w:t xml:space="preserve">iv. 47) of ``whole stones from the mountain.&apos;&apos; In Herod&apos;s</w:t></w:r>
</w:p>
<w:p>
<w:pPr><w:pStyle w:val="Normal"/></w:pPr>
<w:r><w:t xml:space="preserve">temple the altar was again built after the same model. It is</w:t></w:r>
</w:p>
<w:p>
<w:pPr><w:pStyle w:val="Normal"/></w:pPr>
<w:r><w:t xml:space="preserve">described by Josephus (v. 5. 6) as 15 cubits high and 50 cubits</w:t></w:r>
</w:p>
<w:p>
<w:pPr><w:pStyle w:val="Normal"/></w:pPr>
<w:r><w:t xml:space="preserve">square, with angle horns, and with an ``insensible acclivity&apos;&apos;</w:t></w:r>
</w:p>
<w:p>
<w:pPr><w:pStyle w:val="Normal"/></w:pPr>
<w:r><w:t xml:space="preserve">leading up to it (a device to evade the pre-Deutero- nomic</w:t></w:r>
</w:p>
<w:p>
<w:pPr><w:pStyle w:val="Normal"/></w:pPr>
<w:r><w:t xml:space="preserve">regulation about steps).  It was made without any use of iron,</w:t></w:r>
</w:p>
<w:p>
<w:pPr><w:pStyle w:val="Normal"/></w:pPr>
<w:r><w:t xml:space="preserve">and no iron tool was ever allowed to touch it.  The blood</w:t></w:r>
</w:p>
<w:p>
<w:pPr><w:pStyle w:val="Normal"/></w:pPr>
<w:r><w:t xml:space="preserve">and refuse were discharged through a drain into the</w:t></w:r>
</w:p>
<w:p>
<w:pPr><w:pStyle w:val="Normal"/></w:pPr>
<w:r><w:t xml:space="preserve">brook Kedron; this drain probably still remains, in</w:t></w:r>
</w:p>
<w:p>
<w:pPr><w:pStyle w:val="Normal"/></w:pPr>
<w:r><w:t xml:space="preserve">the Bir el-Arwah, under the ``Dome of the Rock&apos;&apos;</w:t></w:r>
</w:p>
<w:p>
<w:pPr><w:pStyle w:val="Normal"/></w:pPr>
<w:r><w:t xml:space="preserve">in the mosque which covers the site of the temple.</w:t></w:r>
</w:p>
<w:p>
<w:pPr><w:pStyle w:val="Normal"/></w:pPr>
<w:r><w:t xml:space="preserve">The second altar was the altar of incense, which was in the</w:t></w:r>
</w:p>
<w:p>
<w:pPr><w:pStyle w:val="Normal"/></w:pPr>
<w:r><w:t xml:space="preserve">holy place of the tabernacle.  It was of similar construction</w:t></w:r>
</w:p>
<w:p>
<w:pPr><w:pStyle w:val="Normal"/></w:pPr>
<w:r><w:t xml:space="preserve">to the altar of burnt-offering, but smaller, being 2 cubits</w:t></w:r>
</w:p>
<w:p>
<w:pPr><w:pStyle w:val="Normal"/></w:pPr>
<w:r><w:t xml:space="preserve">high and 1 cubit square (Ex. xxx. 1-5).  It was overlaid with</w:t></w:r>
</w:p>
<w:p>
<w:pPr><w:pStyle w:val="Normal"/></w:pPr>
<w:r><w:t xml:space="preserve">gold.  Solomon&apos;s altar of incense (1 K. vi. 20) is referred</w:t></w:r>
</w:p>
<w:p>
<w:pPr><w:pStyle w:val="Normal"/></w:pPr>
<w:r><w:t xml:space="preserve">to in a problematical passage from which it would appear to</w:t></w:r>
</w:p>
<w:p>
<w:pPr><w:pStyle w:val="Normal"/></w:pPr>
<w:r><w:t xml:space="preserve">have been of cedar.  But the authenticity of the passages</w:t></w:r>
</w:p>
<w:p>
<w:pPr><w:pStyle w:val="Normal"/></w:pPr>
<w:r><w:t xml:space="preserve">describing the altar of incense in the tabernacle, and the</w:t></w:r>
</w:p>
<w:p>
<w:pPr><w:pStyle w:val="Normal"/></w:pPr>
<w:r><w:t xml:space="preserve">historicity of the corresponding altar in Solomon&apos;s temple,</w:t></w:r>
</w:p>
<w:p>
<w:pPr><w:pStyle w:val="Normal"/></w:pPr>
<w:r><w:t xml:space="preserve">are matters of keen dispute among critics.  The incense altar</w:t></w:r>
</w:p>
<w:p>
<w:pPr><w:pStyle w:val="Normal"/></w:pPr>
<w:r><w:t xml:space="preserve">in the second temple was removed by Antiochus Epiphanes (1</w:t></w:r>
</w:p>
<w:p>
<w:pPr><w:pStyle w:val="Normal"/></w:pPr>
<w:r><w:t xml:space="preserve">Macc. i. 21) and restored by Judas Maccabaeus (1 Macc. iv.</w:t></w:r>
</w:p>
<w:p>
<w:pPr><w:pStyle w:val="Normal"/></w:pPr>
<w:r><w:t xml:space="preserve">49). That in the temple of Herod is referred to in Luke i. 11.</w:t></w:r>
</w:p>
<w:p>
<w:pPr><w:pStyle w:val="Normal"/></w:pPr>
<w:r><w:t xml:space="preserve">The ritual uses of these altars are sufficiently explained</w:t></w:r>
</w:p>
<w:p>
<w:pPr><w:pStyle w:val="Normal"/></w:pPr>
<w:r><w:t xml:space="preserve">by their names.  On the first was a fire continually</w:t></w:r>
</w:p>
<w:p>
<w:pPr><w:pStyle w:val="Normal"/></w:pPr>
<w:r><w:t xml:space="preserve">burning, in which the burnt-offerings were consumed.  On</w:t></w:r>
</w:p>
<w:p>
<w:pPr><w:pStyle w:val="Normal"/></w:pPr>
<w:r><w:t xml:space="preserve">the second an offering of incense was made twice a day.</w:t></w:r>
</w:p>
<w:p>
<w:pPr><w:pStyle w:val="Normal"/></w:pPr>
<w:r><w:t xml:space="preserve">In the pre-Deuteronomic passage, Exodus xxi. 14, the use of the</w:t></w:r>
</w:p>
<w:p>
<w:pPr><w:pStyle w:val="Normal"/></w:pPr>
<w:r><w:t xml:space="preserve">altar as an asylum is postulated, though denied to the wilful</w:t></w:r>
</w:p>
<w:p>
<w:pPr><w:pStyle w:val="Normal"/></w:pPr>
<w:r><w:t xml:space="preserve">murderer.  This is a survival of the ancient belief that the</w:t></w:r>
</w:p>
<w:p>
<w:pPr><w:pStyle w:val="Normal"/></w:pPr>
<w:r><w:t xml:space="preserve">deity resided in the pillar or stone-heap, and that the fugitive</w:t></w:r>
</w:p>
<w:p>
<w:pPr><w:pStyle w:val="Normal"/></w:pPr>
<w:r><w:t xml:space="preserve">was placing himself under the protection of the local numen</w:t></w:r>
</w:p>
<w:p>
<w:pPr><w:pStyle w:val="Normal"/></w:pPr>
<w:r><w:t xml:space="preserve">by seeking sanctuary.  From 1 Kings i. 50 it would appear</w:t></w:r>
</w:p>
<w:p>
<w:pPr><w:pStyle w:val="Normal"/></w:pPr>
<w:r><w:t xml:space="preserve">that the suppliant caught hold of the altar-horns (compare</w:t></w:r>
</w:p>
<w:p>
<w:pPr><w:pStyle w:val="Normal"/></w:pPr>
<w:r><w:t xml:space="preserve">1 Kings ii. 28), as though special protective virtue resided</w:t></w:r>
</w:p>
<w:p>
<w:pPr><w:pStyle w:val="Normal"/></w:pPr>
<w:r><w:t xml:space="preserve">in this important though obscure part of the structure.</w:t></w:r>
</w:p>
<w:p>
<w:pPr><w:pStyle w:val="Normal"/></w:pPr>
<w:r><w:t xml:space="preserve">Greece and Rome. -- According to the difference in the</w:t></w:r>
</w:p>
<w:p>
<w:pPr><w:pStyle w:val="Normal"/></w:pPr>
<w:r><w:t xml:space="preserve">service for which they were employed, altars fell into two</w:t></w:r>
</w:p>
<w:p>
<w:pPr><w:pStyle w:val="Normal"/></w:pPr>
<w:r><w:t xml:space="preserve">classes.  Those of the first class were pedestals, so</w:t></w:r>
</w:p>
<w:p>
<w:pPr><w:pStyle w:val="Normal"/></w:pPr>
<w:r><w:t xml:space="preserve">small and low that the suppliant could kneel upon them;</w:t></w:r>
</w:p>
<w:p>
<w:pPr><w:pStyle w:val="Normal"/></w:pPr>
<w:r><w:t xml:space="preserve">these stood inside the temples, in front of the sacred</w:t></w:r>
</w:p>
<w:p>
<w:pPr><w:pStyle w:val="Normal"/></w:pPr>
<w:r><w:t xml:space="preserve">image.  The second class consisted of larger tables destined</w:t></w:r>
</w:p>
<w:p>
<w:pPr><w:pStyle w:val="Normal"/></w:pPr>
<w:r><w:t xml:space="preserve">for burnt sacrifice; these were placed in the open air,</w:t></w:r>
</w:p>
<w:p>
<w:pPr><w:pStyle w:val="Normal"/></w:pPr>
<w:r><w:t xml:space="preserve">and, if connected with a temple, in front of the entrance.</w:t></w:r>
</w:p>
<w:p>
<w:pPr><w:pStyle w:val="Normal"/></w:pPr>
<w:r><w:t xml:space="preserve">Possibly altars of the former class were in historical times</w:t></w:r>
</w:p>
<w:p>
<w:pPr><w:pStyle w:val="Normal"/></w:pPr>
<w:r><w:t xml:space="preserve">substitutes for, and rendered the same service as, the bases</w:t></w:r>
</w:p>
<w:p>
<w:pPr><w:pStyle w:val="Normal"/></w:pPr>
<w:r><w:t xml:space="preserve">of the sacred images within the temples in earlier ages.  In</w:t></w:r>
</w:p>
<w:p>
<w:pPr><w:pStyle w:val="Normal"/></w:pPr>
<w:r><w:t xml:space="preserve">this case the altar of Apollo at Delphi, upon which on the</w:t></w:r>
</w:p>
<w:p>
<w:pPr><w:pStyle w:val="Normal"/></w:pPr>
<w:r><w:t xml:space="preserve">Greek vases Neoptolemus is frequently represented as taking</w:t></w:r>
</w:p>
<w:p>
<w:pPr><w:pStyle w:val="Normal"/></w:pPr>
<w:r><w:t xml:space="preserve">refuge from Orestes, might be regarded as the pedestal of</w:t></w:r>
</w:p>
<w:p>
<w:pPr><w:pStyle w:val="Normal"/></w:pPr>
<w:r><w:t xml:space="preserve">an invisible image of the god, and as fulfilling the same</w:t></w:r>
</w:p>
<w:p>
<w:pPr><w:pStyle w:val="Normal"/></w:pPr>
<w:r><w:t xml:space="preserve">function as did the base of the actual image of Athene in Troy,</w:t></w:r>
</w:p>
<w:p>
<w:pPr><w:pStyle w:val="Normal"/></w:pPr>
<w:r><w:t xml:space="preserve">towards which Cassandra fled from Ajax.  The second class of</w:t></w:r>
</w:p>
<w:p>
<w:pPr><w:pStyle w:val="Normal"/></w:pPr>
<w:r><w:t xml:space="preserve">altars, called bomoi by the Greeks and altaria by the</w:t></w:r>
</w:p>
<w:p>
<w:pPr><w:pStyle w:val="Normal"/></w:pPr>
<w:r><w:t xml:space="preserve">Romans, appears to have originated in temporary constructions</w:t></w:r>
</w:p>
<w:p>
<w:pPr><w:pStyle w:val="Normal"/></w:pPr>
<w:r><w:t xml:space="preserve">such as heaps of earth, turf or stone, made for kindling a</w:t></w:r>
</w:p>
<w:p>
<w:pPr><w:pStyle w:val="Normal"/></w:pPr>
<w:r><w:t xml:space="preserve">sacrificial fire as occasion required.  But sacrifices to earth</w:t></w:r>
</w:p>
<w:p>
<w:pPr><w:pStyle w:val="Normal"/></w:pPr>
<w:r><w:t xml:space="preserve">divinities were made on the earth itself, and those to the</w:t></w:r>
</w:p>
<w:p>
<w:pPr><w:pStyle w:val="Normal"/></w:pPr>
<w:r><w:t xml:space="preserve">infernal deities in sunk hollows (Odyss. x. 25; Festus s.</w:t></w:r>
</w:p>
<w:p>
<w:pPr><w:pStyle w:val="Normal"/></w:pPr>
<w:r><w:t xml:space="preserve">v.  Altaria).  The note of Eustathius (Odyss. xii. 252)</w:t></w:r>
</w:p>
<w:p>
<w:pPr><w:pStyle w:val="Normal"/></w:pPr>
<w:r><w:t xml:space="preserve">perhaps indicates some customs reminiscent of a primitive</w:t></w:r>
</w:p>
<w:p>
<w:pPr><w:pStyle w:val="Normal"/></w:pPr>
<w:r><w:t xml:space="preserve">antiquity in which the sacrifice was made without an altar at</w:t></w:r>
</w:p>
<w:p>
<w:pPr><w:pStyle w:val="Normal"/></w:pPr>
<w:r><w:t xml:space="preserve">all.  He says apobomia tina iera on ouk epi bomou</w:t></w:r>
</w:p>
<w:p>
<w:pPr><w:pStyle w:val="Normal"/></w:pPr>
<w:r><w:t xml:space="preserve">o kathagis mos all&apos; epi edafous -- ``some holy</w:t></w:r>
</w:p>
<w:p>
<w:pPr><w:pStyle w:val="Normal"/></w:pPr>
<w:r><w:t xml:space="preserve">places away from altars, whose offering is made not on</w:t></w:r>
</w:p>
<w:p>
<w:pPr><w:pStyle w:val="Normal"/></w:pPr>
<w:r><w:t xml:space="preserve">an altar but on the floor.&apos;&apos; Pausanias (vi. 20. 7) speaks of</w:t></w:r>
</w:p>
<w:p>
<w:pPr><w:pStyle w:val="Normal"/></w:pPr>
<w:r><w:t xml:space="preserve">an altar at Olympia made of unbaked bricks. In some primitive</w:t></w:r>
</w:p>
<w:p>
<w:pPr><w:pStyle w:val="Normal"/></w:pPr>
<w:r><w:t xml:space="preserve">holy shrines the bones and ashes of the victims sacrificed</w:t></w:r>
</w:p>
<w:p>
<w:pPr><w:pStyle w:val="Normal"/></w:pPr>
<w:r><w:t xml:space="preserve">were allowed to accumulate, and upon this new fires were</w:t></w:r>
</w:p>
<w:p>
<w:pPr><w:pStyle w:val="Normal"/></w:pPr>
<w:r><w:t xml:space="preserve">kindled.  Altars so raised were, like most religious survivals,</w:t></w:r>
</w:p>
<w:p>
<w:pPr><w:pStyle w:val="Normal"/></w:pPr>
<w:r><w:t xml:space="preserve">considered as endowed with particular sanctity; the most</w:t></w:r>
</w:p>
<w:p>
<w:pPr><w:pStyle w:val="Normal"/></w:pPr>
<w:r><w:t xml:space="preserve">remarkable recorded instances of such are the altars of Hera</w:t></w:r>
</w:p>
<w:p>
<w:pPr><w:pStyle w:val="Normal"/></w:pPr>
<w:r><w:t xml:space="preserve">at Samos, and of Pan at Olympia (Paus. v. 14. 6; v. 15.</w:t></w:r>
</w:p>
<w:p>
<w:pPr><w:pStyle w:val="Normal"/></w:pPr>
<w:r><w:t xml:space="preserve">5), of Heracles at Thebes (Paus. ix. 11. 7), and of Zeus</w:t></w:r>
</w:p>
<w:p>
<w:pPr><w:pStyle w:val="Normal"/></w:pPr>
<w:r><w:t xml:space="preserve">at Olympia (Paus. v. 13. 5). The last-mentioned stood on a</w:t></w:r>
</w:p>
<w:p>
<w:pPr><w:pStyle w:val="Normal"/></w:pPr>
<w:r><w:t xml:space="preserve">platform (prothusis) measuring 125 ft. in circumference,</w:t></w:r>
</w:p>
<w:p>
<w:pPr><w:pStyle w:val="Normal"/></w:pPr>
<w:r><w:t xml:space="preserve">and led up to by steps, the altar itself being 22 ft. high.</w:t></w:r>
</w:p>
<w:p>
<w:pPr><w:pStyle w:val="Normal"/></w:pPr>
<w:r><w:t xml:space="preserve">Women were excluded from the platform.  Where hecatombs were</w:t></w:r>
</w:p>
<w:p>
<w:pPr><w:pStyle w:val="Normal"/></w:pPr>
<w:r><w:t xml:space="preserve">sacrificed, the prothusis necessarily assumed colossal</w:t></w:r>
</w:p>
<w:p>
<w:pPr><w:pStyle w:val="Normal"/></w:pPr>
<w:r><w:t xml:space="preserve">proportions, as in the case of the altar at Parion, where it</w:t></w:r>
</w:p>
<w:p>
<w:pPr><w:pStyle w:val="Normal"/></w:pPr>
<w:r><w:t xml:space="preserve">measured on each side 600 ft. The altar of Apollo at Delos</w:t></w:r>
</w:p>
<w:p>
<w:pPr><w:pStyle w:val="Normal"/></w:pPr>
<w:r><w:t xml:space="preserve">(o keratinos bomos) was made of the horns of goats</w:t></w:r>
</w:p>
<w:p>
<w:pPr><w:pStyle w:val="Normal"/></w:pPr>
<w:r><w:t xml:space="preserve">believed to have been slain by Diana; while at Miletus was</w:t></w:r>
</w:p>
<w:p>
<w:pPr><w:pStyle w:val="Normal"/></w:pPr>
<w:r><w:t xml:space="preserve">an altar composed of the blood of victims sacrificed (Paus.</w:t></w:r>
</w:p>
<w:p>
<w:pPr><w:pStyle w:val="Normal"/></w:pPr>
<w:r><w:t xml:space="preserve">v. 13. 6). The altar at Phorae in Achaea was of unhewn</w:t></w:r>
</w:p>
<w:p>
<w:pPr><w:pStyle w:val="Normal"/></w:pPr>
<w:r><w:t xml:space="preserve">stones (Paus. vii. 22. 3). The altar used at the festival</w:t></w:r>
</w:p>
<w:p>
<w:pPr><w:pStyle w:val="Normal"/></w:pPr>
<w:r><w:t xml:space="preserve">in honour of Daedalus on Mt. Cithaeron was of wood, and was</w:t></w:r>
</w:p>
<w:p>
<w:pPr><w:pStyle w:val="Normal"/></w:pPr>
<w:r><w:t xml:space="preserve">consumed along with the sacrifice (Paus. ix. 3. 4). Others</w:t></w:r>
</w:p>
<w:p>
<w:pPr><w:pStyle w:val="Normal"/></w:pPr>
<w:r><w:t xml:space="preserve">of bronze are mentioned.  But these were exceptional, the</w:t></w:r>
</w:p>
<w:p>
<w:pPr><w:pStyle w:val="Normal"/></w:pPr>
<w:r><w:t xml:space="preserve">usual material of an altar was marble, and its form, both</w:t></w:r>
</w:p>
<w:p>
<w:pPr><w:pStyle w:val="Normal"/></w:pPr>
<w:r><w:t xml:space="preserve">among the Greeks and Romans, was either square or round;</w:t></w:r>
</w:p>
<w:p>
<w:pPr><w:pStyle w:val="Normal"/></w:pPr>
<w:r><w:t xml:space="preserve">polygonal altars, of which examples still exist, being</w:t></w:r>
</w:p>
<w:p>
<w:pPr><w:pStyle w:val="Normal"/></w:pPr>
<w:r><w:t xml:space="preserve">exceptions.  When sculptured decorations were added they</w:t></w:r>
</w:p>
<w:p>
<w:pPr><w:pStyle w:val="Normal"/></w:pPr>
<w:r><w:t xml:space="preserve">frequently took the form of imitations of the actual festoons</w:t></w:r>
</w:p>
<w:p>
<w:pPr><w:pStyle w:val="Normal"/></w:pPr>
<w:r><w:t xml:space="preserve">with which it was usual to ornament altars, or of symbols,</w:t></w:r>
</w:p>
<w:p>
<w:pPr><w:pStyle w:val="Normal"/></w:pPr>
<w:r><w:t xml:space="preserve">such as crania and horns of oxen, referring to the victims</w:t></w:r>
</w:p>
<w:p>
<w:pPr><w:pStyle w:val="Normal"/></w:pPr>
<w:r><w:t xml:space="preserve">sacrificed.  As a rule, the altars which existed apart</w:t></w:r>
</w:p>
<w:p>
<w:pPr><w:pStyle w:val="Normal"/></w:pPr>
<w:r><w:t xml:space="preserve">from temples bore the name of the person by whom they were</w:t></w:r>
</w:p>
<w:p>
<w:pPr><w:pStyle w:val="Normal"/></w:pPr>
<w:r><w:t xml:space="preserve">dedicated and the names of the deities in whose service they</w:t></w:r>
</w:p>
<w:p>
<w:pPr><w:pStyle w:val="Normal"/></w:pPr>
<w:r><w:t xml:space="preserve">were, or, if not the name, some obvious representation of the</w:t></w:r>
</w:p>
<w:p>
<w:pPr><w:pStyle w:val="Normal"/></w:pPr>
<w:r><w:t xml:space="preserve">deity.  Such, for example, is the purpose of the figures of</w:t></w:r>
</w:p>
<w:p>
<w:pPr><w:pStyle w:val="Normal"/></w:pPr>
<w:r><w:t xml:space="preserve">the Muses on an altar dedicated to them, now to be seen in</w:t></w:r>
</w:p>
<w:p>
<w:pPr><w:pStyle w:val="Normal"/></w:pPr>
<w:r><w:t xml:space="preserve">the British Museum.  An altar was retained for the service of</w:t></w:r>
</w:p>
<w:p>
<w:pPr><w:pStyle w:val="Normal"/></w:pPr>
<w:r><w:t xml:space="preserve">one particular god, except where through local tradition two</w:t></w:r>
</w:p>
<w:p>
<w:pPr><w:pStyle w:val="Normal"/></w:pPr>
<w:r><w:t xml:space="preserve">or more deities had become intimately associated, as in the</w:t></w:r>
</w:p>
<w:p>
<w:pPr><w:pStyle w:val="Normal"/></w:pPr>
<w:r><w:t xml:space="preserve">case of the altar at Olympia to Artemis and Alpheus jointly,</w:t></w:r>
</w:p>
<w:p>
<w:pPr><w:pStyle w:val="Normal"/></w:pPr>
<w:r><w:t xml:space="preserve">or that of Poseidon and Erechtheus in the Erechtheum at</w:t></w:r>
</w:p>
<w:p>
<w:pPr><w:pStyle w:val="Normal"/></w:pPr>
<w:r><w:t xml:space="preserve">Athens.  The most remarkable instance of multiple dedication</w:t></w:r>
</w:p>
<w:p>
<w:pPr><w:pStyle w:val="Normal"/></w:pPr>
<w:r><w:t xml:space="preserve">was, however, at Oropus, where the altar was divided into five</w:t></w:r>
</w:p>
<w:p>
<w:pPr><w:pStyle w:val="Normal"/></w:pPr>
<w:r><w:t xml:space="preserve">parts, one dedicated to Heracles, Zeus and Paean Apollo, a</w:t></w:r>
</w:p>
<w:p>
<w:pPr><w:pStyle w:val="Normal"/></w:pPr>
<w:r><w:t xml:space="preserve">second to heroes and their wives, a third to Hestia, Hermes,</w:t></w:r>
</w:p>
<w:p>
<w:pPr><w:pStyle w:val="Normal"/></w:pPr>
<w:r><w:t xml:space="preserve">Amphiaraus and the children of Amphilochus, a fourth to Aphrodite</w:t></w:r>
</w:p>
<w:p>
<w:pPr><w:pStyle w:val="Normal"/></w:pPr>
<w:r><w:t xml:space="preserve">Panacea, Jason, Health, and Healing Athene, and the fifth to</w:t></w:r>
</w:p>
<w:p>
<w:pPr><w:pStyle w:val="Normal"/></w:pPr>
<w:r><w:t xml:space="preserve">the Nymphs, Pan, and the rivers Archelous and Cephissus (Paus.</w:t></w:r>
</w:p>
<w:p>
<w:pPr><w:pStyle w:val="Normal"/></w:pPr>
<w:r><w:t xml:space="preserve">i. 34. 2). Such deities were styled sbmbomoi, each having</w:t></w:r>
</w:p>
<w:p>
<w:pPr><w:pStyle w:val="Normal"/></w:pPr>
<w:r><w:t xml:space="preserve">a separate part of the altar (Paus. i. 34. 2). Other terms</w:t></w:r>
</w:p>
<w:p>
<w:pPr><w:pStyle w:val="Normal"/></w:pPr>
<w:r><w:t xml:space="preserve">are agonioi, or omobomioi.  Deities of an inferior</w:t></w:r>
</w:p>
<w:p>
<w:pPr><w:pStyle w:val="Normal"/></w:pPr>
<w:r><w:t xml:space="preserve">order, who were conceived as working together -- e.g. the</w:t></w:r>
</w:p>
<w:p>
<w:pPr><w:pStyle w:val="Normal"/></w:pPr>
<w:r><w:t xml:space="preserve">wind gods -- had an altar in common.  In the same way, the</w:t></w:r>
</w:p>
<w:p>
<w:pPr><w:pStyle w:val="Normal"/></w:pPr>
<w:r><w:t xml:space="preserve">``unknown gods&apos;&apos; were regarded as a unit, and had in Athens</w:t></w:r>
</w:p>
<w:p>
<w:pPr><w:pStyle w:val="Normal"/></w:pPr>
<w:r><w:t xml:space="preserve">and at Olympia one altar for all (Paus. i. 1. 4; v. 14. 5;</w:t></w:r>
</w:p>
<w:p>
<w:pPr><w:pStyle w:val="Normal"/></w:pPr>
<w:r><w:t xml:space="preserve">cf.  Acts of Apostles, xvii. 18). An altar to all the gods is</w:t></w:r>
</w:p>
<w:p>
<w:pPr><w:pStyle w:val="Normal"/></w:pPr>
<w:r><w:t xml:space="preserve">mentioned by Aeschylus (Suppl. 222).  Among the exceptional</w:t></w:r>
</w:p>
<w:p>
<w:pPr><w:pStyle w:val="Normal"/></w:pPr>
<w:r><w:t xml:space="preserve">classes of altars are also to be mentioned those on which</w:t></w:r>
</w:p>
<w:p>
<w:pPr><w:pStyle w:val="Normal"/></w:pPr>
<w:r><w:t xml:space="preserve">fire could not be kindled (bomoi apuroi), and those</w:t></w:r>
</w:p>
<w:p>
<w:pPr><w:pStyle w:val="Normal"/></w:pPr>
<w:r><w:t xml:space="preserve">which were kept free from blood (bomoi anaiaaktoi), of</w:t></w:r>
</w:p>
<w:p>
<w:pPr><w:pStyle w:val="Normal"/></w:pPr>
<w:r><w:t xml:space="preserve">which in both respects the altar of Zeus Hypatos at Athens</w:t></w:r>
</w:p>
<w:p>
<w:pPr><w:pStyle w:val="Normal"/></w:pPr>
<w:r><w:t xml:space="preserve">was an example.  The lstia was a round altar; the</w:t></w:r>
</w:p>
<w:p>
<w:pPr><w:pStyle w:val="Normal"/></w:pPr>
<w:r><w:t xml:space="preserve">eschara, one employed apparently for sacrifice to inferior</w:t></w:r>
</w:p>
<w:p>
<w:pPr><w:pStyle w:val="Normal"/></w:pPr>
<w:r><w:t xml:space="preserve">deities or heroes (but lschara Toibou, Aesch. Pers.</w:t></w:r>
</w:p>
<w:p>
<w:pPr><w:pStyle w:val="Normal"/></w:pPr>
<w:r><w:t xml:space="preserve">205).  In Rome an altar erected in front of a statue of a</w:t></w:r>
</w:p>
<w:p>
<w:pPr><w:pStyle w:val="Normal"/></w:pPr>
<w:r><w:t xml:space="preserve">god was always required to be lower than the statue itself</w:t></w:r>
</w:p>
<w:p>
<w:pPr><w:pStyle w:val="Normal"/></w:pPr>
<w:r><w:t xml:space="preserve">(Vitruvius iv. 9). Altars were always places of refuge,</w:t></w:r>
</w:p>
<w:p>
<w:pPr><w:pStyle w:val="Normal"/></w:pPr>
<w:r><w:t xml:space="preserve">and even criminals and slaves were there safe, violence</w:t></w:r>
</w:p>
<w:p>
<w:pPr><w:pStyle w:val="Normal"/></w:pPr>
<w:r><w:t xml:space="preserve">offered to them being insults to the gods whose suppliants</w:t></w:r>
</w:p>
<w:p>
<w:pPr><w:pStyle w:val="Normal"/></w:pPr>
<w:r><w:t xml:space="preserve">the refugees were for the time being. They were also taken</w:t></w:r>
</w:p>
<w:p>
<w:pPr><w:pStyle w:val="Normal"/></w:pPr>
<w:r><w:t xml:space="preserve">hold of by the Greeks when making their most solemn oaths.</w:t></w:r>
</w:p>
<w:p>
<w:pPr><w:pStyle w:val="Normal"/></w:pPr>
<w:r><w:t xml:space="preserve">Ancient America. -- As a single specimen of an altar, wholly</w:t></w:r>
</w:p>
<w:p>
<w:pPr><w:pStyle w:val="Normal"/></w:pPr>
<w:r><w:t xml:space="preserve">unrelated to any of the foregoing, we may cite the ancient</w:t></w:r>
</w:p>
<w:p>
<w:pPr><w:pStyle w:val="Normal"/></w:pPr>
<w:r><w:t xml:space="preserve">Mexican example described by W. Bullock (Six Months in Mexico,</w:t></w:r>
</w:p>
<w:p>
<w:pPr><w:pStyle w:val="Normal"/></w:pPr>
<w:r><w:t xml:space="preserve">London, 1824, p. 335).  This was cylindrical, 25 ft. in</w:t></w:r>
</w:p>
<w:p>
<w:pPr><w:pStyle w:val="Normal"/></w:pPr>
<w:r><w:t xml:space="preserve">circumference, with sculpture representing the conquests of the</w:t></w:r>
</w:p>
<w:p>
<w:pPr><w:pStyle w:val="Normal"/></w:pPr>
<w:r><w:t xml:space="preserve">national warriors in fifteen different groups round the side.</w:t></w:r>
</w:p>
<w:p>
<w:pPr><w:pStyle w:val="Normal"/></w:pPr>
<w:r><w:t xml:space="preserve">Portable altars and tables of offerings were used in</w:t></w:r>
</w:p>
<w:p>
<w:pPr><w:pStyle w:val="Normal"/></w:pPr>
<w:r><w:t xml:space="preserve">pre-Christian as well as in Christian ritual.  One such was</w:t></w:r>
</w:p>
<w:p>
<w:pPr><w:pStyle w:val="Normal"/></w:pPr>
<w:r><w:t xml:space="preserve">discovered in the Gezer excavations, dating about 200 B.C.</w:t></w:r>
</w:p>
<w:p>
<w:pPr><w:pStyle w:val="Normal"/></w:pPr>
<w:r><w:t xml:space="preserve">It was a slab of polished limestone about 6 in. square with</w:t></w:r>
</w:p>
<w:p>
<w:pPr><w:pStyle w:val="Normal"/></w:pPr>
<w:r><w:t xml:space="preserve">five cups in its upper surface.  Another from the same place</w:t></w:r>
</w:p>
<w:p>
<w:pPr><w:pStyle w:val="Normal"/></w:pPr>
<w:r><w:t xml:space="preserve">was a small cubical block of limestone bearing a dedication to</w:t></w:r>
</w:p>
<w:p>
<w:pPr><w:pStyle w:val="Normal"/></w:pPr>
<w:r><w:t xml:space="preserve">Heracles.  They have also been found in Assyria.  Pocket</w:t></w:r>
</w:p>
<w:p>
<w:pPr><w:pStyle w:val="Normal"/></w:pPr>
<w:r><w:t xml:space="preserve">altars are still used in some forms of worship in India.  See</w:t></w:r>
</w:p>
<w:p>
<w:pPr><w:pStyle w:val="Normal"/></w:pPr>
<w:r><w:t xml:space="preserve">the Journal of the Royal Asiatic Society, 1852, p. 71.</w:t></w:r>
</w:p>
<w:p>
<w:pPr><w:pStyle w:val="Normal"/></w:pPr>
<w:r><w:t xml:space="preserve">1 Bullock also says (p. 354) that the altar in the</w:t></w:r>
</w:p>
<w:p>
<w:pPr><w:pStyle w:val="Normal"/></w:pPr>
<w:r><w:t xml:space="preserve">church of the indian village of S. Miguel de los Ranchos</w:t></w:r>
</w:p>
<w:p>
<w:pPr><w:pStyle w:val="Normal"/></w:pPr>
<w:r><w:t xml:space="preserve">which he visited was ``of the same nature as those</w:t></w:r>
</w:p>
<w:p>
<w:pPr><w:pStyle w:val="Normal"/></w:pPr>
<w:r><w:t xml:space="preserve">in use before the introduction of Christianity.&apos;&apos;</w:t></w:r>
</w:p>
<w:p>
<w:pPr><w:pStyle w:val="Normal"/></w:pPr>
<w:r><w:t xml:space="preserve">ALTARS IN THE CHRISTIAN CHURCH</w:t></w:r>
</w:p>
<w:p>
<w:pPr><w:pStyle w:val="Heading1"/></w:pPr>
<w:r><w:t>I. The Early Church. -- The altar is spoken of by the</w:t></w:r>
</w:p>
<w:p>
<w:pPr><w:pStyle w:val="Normal"/></w:pPr>
<w:r><w:t xml:space="preserve">early Greek and Latin ecclesiastical writers under a variety</w:t></w:r>
</w:p>
<w:p>
<w:pPr><w:pStyle w:val="Normal"/></w:pPr>
<w:r><w:t xml:space="preserve">of names: --  trapefa, the principal name in the Greek</w:t></w:r>
</w:p>
<w:p>
<w:pPr><w:pStyle w:val="Normal"/></w:pPr>
<w:r><w:t xml:space="preserve">fathers and the liturgies; thusiasterion (rarer; used in</w:t></w:r>
</w:p>
<w:p>
<w:pPr><w:pStyle w:val="Normal"/></w:pPr>
<w:r><w:t xml:space="preserve">the Septuagint for Hebrew altars); ilasterion; bomos</w:t></w:r>
</w:p>
<w:p>
<w:pPr><w:pStyle w:val="Normal"/></w:pPr>
<w:r><w:t xml:space="preserve">(usually avoided, as it is a word with heathen associations);</w:t></w:r>
</w:p>
<w:p>
<w:pPr><w:pStyle w:val="Normal"/></w:pPr>
<w:r><w:t xml:space="preserve">mensa Domini; ara (avoided like bomos, and for the</w:t></w:r>
</w:p>
<w:p>
<w:pPr><w:pStyle w:val="Normal"/></w:pPr>
<w:r><w:t xml:space="preserve">same reason); and, most regularly, altare. After the 4th</w:t></w:r>
</w:p>
<w:p>
<w:pPr><w:pStyle w:val="Normal"/></w:pPr>
<w:r><w:t xml:space="preserve">century other names or expressions come into use, such as</w:t></w:r>
</w:p>
<w:p>
<w:pPr><w:pStyle w:val="Normal"/></w:pPr>
<w:r><w:t xml:space="preserve">mensa tremenda, series corporis et sanguinis Christi.</w:t></w:r>
</w:p>
<w:p>
<w:pPr><w:pStyle w:val="Normal"/></w:pPr>
<w:r><w:t xml:space="preserve">The earliest Christians had no altars, and were taunted by</w:t></w:r>
</w:p>
<w:p>
<w:pPr><w:pStyle w:val="Normal"/></w:pPr>
<w:r><w:t xml:space="preserve">the pagans for this.  It is admitted by Origen in his reply</w:t></w:r>
</w:p>
<w:p>
<w:pPr><w:pStyle w:val="Normal"/></w:pPr>
<w:r><w:t xml:space="preserve">to Celsus (p. 389), who has charged the Christians with being</w:t></w:r>
</w:p>
<w:p>
<w:pPr><w:pStyle w:val="Normal"/></w:pPr>
<w:r><w:t xml:space="preserve">a secret society ``because they forbid to build temples, to</w:t></w:r>
</w:p>
<w:p>
<w:pPr><w:pStyle w:val="Normal"/></w:pPr>
<w:r><w:t xml:space="preserve">raise altars.&apos;&apos; ``The altars,&apos;&apos; says Origen, ``are the heart</w:t></w:r>
</w:p>
<w:p>
<w:pPr><w:pStyle w:val="Normal"/></w:pPr>
<w:r><w:t xml:space="preserve">of every Christian.&apos;&apos; The same appears from a passage in</w:t></w:r>
</w:p>
<w:p>
<w:pPr><w:pStyle w:val="Normal"/></w:pPr>
<w:r><w:t xml:space="preserve">Lactantius, De Origine Erroris, ii. 2. We gather from these</w:t></w:r>
</w:p>
<w:p>
<w:pPr><w:pStyle w:val="Normal"/></w:pPr>
<w:r><w:t xml:space="preserve">passages that down to about A.D. 250, or perhaps a little</w:t></w:r>
</w:p>
<w:p>
<w:pPr><w:pStyle w:val="Normal"/></w:pPr>
<w:r><w:t xml:space="preserve">later, the communion was administered on a movable wooden</w:t></w:r>
</w:p>
<w:p>
<w:pPr><w:pStyle w:val="Normal"/></w:pPr>
<w:r><w:t xml:space="preserve">table.  In the Catacombs, the arcosolia or bench-like tombs</w:t></w:r>
</w:p>
<w:p>
<w:pPr><w:pStyle w:val="Normal"/></w:pPr>
<w:r><w:t xml:space="preserve">are said (though the statement is doubtful) to have been</w:t></w:r>
</w:p>
<w:p>
<w:pPr><w:pStyle w:val="Normal"/></w:pPr>
<w:r><w:t xml:space="preserve">used to serve this purpose.  The earliest church altars were</w:t></w:r>
</w:p>
<w:p>
<w:pPr><w:pStyle w:val="Normal"/></w:pPr>
<w:r><w:t xml:space="preserve">certainly made of wood; and it would appear from a passage</w:t></w:r>
</w:p>
<w:p>
<w:pPr><w:pStyle w:val="Normal"/></w:pPr>
<w:r><w:t xml:space="preserve">in William of Malmesbury (De Gest.  Pontif. Angl. iii.</w:t></w:r>
</w:p>
<w:p>
<w:pPr><w:pStyle w:val="Normal"/></w:pPr>
<w:r><w:t xml:space="preserve">14) that English altars were of wood down to the middle</w:t></w:r>
</w:p>
<w:p>
<w:pPr><w:pStyle w:val="Normal"/></w:pPr>
<w:r><w:t xml:space="preserve">of the 11th century, at least in the diocese of Worcester.</w:t></w:r>
</w:p>
<w:p>
<w:pPr><w:pStyle w:val="Normal"/></w:pPr>
<w:r><w:t xml:space="preserve">The cessation of persecution, and consequent gradual</w:t></w:r>
</w:p>
<w:p>
<w:pPr><w:pStyle w:val="Normal"/></w:pPr>
<w:r><w:t xml:space="preserve">elaboration of church furniture and ritual, led to the</w:t></w:r>
</w:p>
<w:p>
<w:pPr><w:pStyle w:val="Normal"/></w:pPr>
<w:r><w:t xml:space="preserve">employment of more costly materials for the altar as for</w:t></w:r>
</w:p>
<w:p>
<w:pPr><w:pStyle w:val="Normal"/></w:pPr>
<w:r><w:t xml:space="preserve">the other fittings of ecclesiastical buildings.  Already</w:t></w:r>
</w:p>
<w:p>
<w:pPr><w:pStyle w:val="Normal"/></w:pPr>
<w:r><w:t xml:space="preserve">in the 4th century we find reference to stone altars in the</w:t></w:r>
</w:p>
<w:p>
<w:pPr><w:pStyle w:val="Normal"/></w:pPr>
<w:r><w:t xml:space="preserve">writings of Gregory ot Nyssa. In 517 the council of Epaone in</w:t></w:r>
</w:p>
<w:p>
<w:pPr><w:pStyle w:val="Normal"/></w:pPr>
<w:r><w:t xml:space="preserve">Burgundy forbade any but stone pillars to be consecrated with</w:t></w:r>
</w:p>
<w:p>
<w:pPr><w:pStyle w:val="Normal"/></w:pPr>
<w:r><w:t xml:space="preserve">chrism; but of course the decrees of this provincial council</w:t></w:r>
</w:p>
<w:p>
<w:pPr><w:pStyle w:val="Normal"/></w:pPr>
<w:r><w:t xml:space="preserve">would not necessarily be received throughout the church.</w:t></w:r>
</w:p>
<w:p>
<w:pPr><w:pStyle w:val="Normal"/></w:pPr>
<w:r><w:t xml:space="preserve">Pope Felix I. (A.D. 269-274) decreed that ``mass should be</w:t></w:r>
</w:p>
<w:p>
<w:pPr><w:pStyle w:val="Normal"/></w:pPr>
<w:r><w:t xml:space="preserve">celebrated above the tombs of martyrs&apos;&apos; -- an observance probably</w:t></w:r>
</w:p>
<w:p>
<w:pPr><w:pStyle w:val="Normal"/></w:pPr>
<w:r><w:t xml:space="preserve">suggested by the passage in Revelation vi. 9, ``I saw under</w:t></w:r>
</w:p>
<w:p>
<w:pPr><w:pStyle w:val="Normal"/></w:pPr>
<w:r><w:t xml:space="preserve">the altar the souls of them that were slain for the word of</w:t></w:r>
</w:p>
<w:p>
<w:pPr><w:pStyle w:val="Normal"/></w:pPr>
<w:r><w:t xml:space="preserve">God.&apos;&apos; This practice developed into the medieval rule that no</w:t></w:r>
</w:p>
<w:p>
<w:pPr><w:pStyle w:val="Normal"/></w:pPr>
<w:r><w:t xml:space="preserve">altar can be consecrated unless it contain a relic or relics.</w:t></w:r>
</w:p>
<w:p>
<w:pPr><w:pStyle w:val="Normal"/></w:pPr>
<w:r><w:t xml:space="preserve">The form of the altar was originally table-shaped, consisting</w:t></w:r>
</w:p>
<w:p>
<w:pPr><w:pStyle w:val="Normal"/></w:pPr>
<w:r><w:t xml:space="preserve">of a plane surface supported by columns.  There were usually</w:t></w:r>
</w:p>
<w:p>
<w:pPr><w:pStyle w:val="Normal"/></w:pPr>
<w:r><w:t xml:space="preserve">four, but examples with one, two and five columns are also</w:t></w:r>
</w:p>
<w:p>
<w:pPr><w:pStyle w:val="Normal"/></w:pPr>
<w:r><w:t xml:space="preserve">recorded.  But the development of the relic-custom led</w:t></w:r>
</w:p>
<w:p>
<w:pPr><w:pStyle w:val="Normal"/></w:pPr>
<w:r><w:t xml:space="preserve">to the adoption of another form, the square box shape</w:t></w:r>
</w:p>
<w:p>
<w:pPr><w:pStyle w:val="Normal"/></w:pPr>
<w:r><w:t xml:space="preserve">of an ``altar- tomb.&apos;&apos; Transitional examples, combining</w:t></w:r>
</w:p>
<w:p>
<w:pPr><w:pStyle w:val="Normal"/></w:pPr>
<w:r><w:t xml:space="preserve">the box with the earlier table shape, are found dating</w:t></w:r>
</w:p>
<w:p>
<w:pPr><w:pStyle w:val="Normal"/></w:pPr>
<w:r><w:t xml:space="preserve">about 450. Mention is made occasionally of silver and</w:t></w:r>
</w:p>
<w:p>
<w:pPr><w:pStyle w:val="Normal"/></w:pPr>
<w:r><w:t xml:space="preserve">gold altaus in the 5th to the 8th centuries.  This means</w:t></w:r>
</w:p>
<w:p>
<w:pPr><w:pStyle w:val="Normal"/></w:pPr>
<w:r><w:t xml:space="preserve">no doubt that gold and silver were copiously used in its</w:t></w:r>
</w:p>
<w:p>
<w:pPr><w:pStyle w:val="Normal"/></w:pPr>
<w:r><w:t xml:space="preserve">decoration.  Such an altar still remains in Sant&apos; Ambrogio</w:t></w:r>
</w:p>
<w:p>
<w:pPr><w:pStyle w:val="Normal"/></w:pPr>
<w:r><w:t xml:space="preserve">at Milan, dating from the 9th century (see fig. 1).</w:t></w:r>
</w:p>
<w:p>
<w:pPr><w:pStyle w:val="Heading1"/></w:pPr>
<w:r><w:t>II. The Medieval Church. -- It will be convenient now to</w:t></w:r>
</w:p>
<w:p>
<w:pPr><w:pStyle w:val="Normal"/></w:pPr>
<w:r><w:t xml:space="preserve">pass to the fully-developed altar of the Western Church</w:t></w:r>
</w:p>
<w:p>
<w:pPr><w:pStyle w:val="Normal"/></w:pPr>
<w:r><w:t xml:space="preserve">with its accessories, though the rudiments of most of the</w:t></w:r>
</w:p>
<w:p>
<w:pPr><w:pStyle w:val="Normal"/></w:pPr>
<w:r><w:t xml:space="preserve">additional details are traceable in the earlier period.</w:t></w:r>
</w:p>
<w:p>
<w:pPr><w:pStyle w:val="Normal"/></w:pPr>
<w:r><w:t xml:space="preserve">In the Roman Catholic Church, which preserves in this respect</w:t></w:r>
</w:p>
<w:p>
<w:pPr><w:pStyle w:val="Normal"/></w:pPr>
<w:r><w:t xml:space="preserve">the tradition that had become established during the middle</w:t></w:r>
</w:p>
<w:p>
<w:pPr><w:pStyle w:val="Normal"/></w:pPr>
<w:r><w:t xml:space="preserve">ages, the component parts of a fixed altar in the liturgical</w:t></w:r>
</w:p>
<w:p>
<w:pPr><w:pStyle w:val="Normal"/></w:pPr>
<w:r><w:t xml:space="preserve">sense are the table (mensa), or super-altar, consisting of</w:t></w:r>
</w:p>
<w:p>
<w:pPr><w:pStyle w:val="Normal"/></w:pPr>
<w:r><w:t xml:space="preserve">a stone slab; the support (stipes), consisting either of a</w:t></w:r>
</w:p>
<w:p>
<w:pPr><w:pStyle w:val="Normal"/></w:pPr>
<w:r><w:t xml:space="preserve">solid mass or of four or more columns; the sepulchrum, or</w:t></w:r>
</w:p>
<w:p>
<w:pPr><w:pStyle w:val="Normal"/></w:pPr>
<w:r><w:t xml:space="preserve">altar-cavity, a small chamber for the reception of the relics of</w:t></w:r>
</w:p>
<w:p>
<w:pPr><w:pStyle w:val="Normal"/></w:pPr>
<w:r><w:t xml:space="preserve">martyrs.  The support, in the technical sense, must be of stone</w:t></w:r>
</w:p>
<w:p>
<w:pPr><w:pStyle w:val="Normal"/></w:pPr>
<w:r><w:t xml:space="preserve">solidly joined to the table; but, if this support consist of</w:t></w:r>
</w:p>
<w:p>
<w:pPr><w:pStyle w:val="Normal"/></w:pPr>
<w:r><w:t xml:space="preserve">columns, the intervals may be filled with other materials,</w:t></w:r>
</w:p>
<w:p>
<w:pPr><w:pStyle w:val="Normal"/></w:pPr>
<w:r><w:t xml:space="preserve">e.g. brick or cement.  The altar- slab or ``table&apos;&apos; alone</w:t></w:r>
</w:p>
<w:p>
<w:pPr><w:pStyle w:val="Normal"/></w:pPr>
<w:r><w:t xml:space="preserve">is consecrated, and in sign of this are cut in its upper</w:t></w:r>
</w:p>
<w:p>
<w:pPr><w:pStyle w:val="Normal"/></w:pPr>
<w:r><w:t xml:space="preserve">surface five Greek crosses, one in the centre and one in each</w:t></w:r>
</w:p>
<w:p>
<w:pPr><w:pStyle w:val="Normal"/></w:pPr>
<w:r><w:t xml:space="preserve">corner.  These crosses must have been anointed by the bishop</w:t></w:r>
</w:p>
<w:p>
<w:pPr><w:pStyle w:val="Normal"/></w:pPr>
<w:r><w:t xml:space="preserve">with chrism in the ritual of consecration before the altar</w:t></w:r>
</w:p>
<w:p>
<w:pPr><w:pStyle w:val="Normal"/></w:pPr>
<w:r><w:t xml:space="preserve">can be used.  Crosses appear on the portable altar buried</w:t></w:r>
</w:p>
<w:p>
<w:pPr><w:pStyle w:val="Normal"/></w:pPr>
<w:r><w:t xml:space="preserve">with St Cuthbert (A.D. 687), but the history of the origin</w:t></w:r>
</w:p>
<w:p>
<w:pPr><w:pStyle w:val="Normal"/></w:pPr>
<w:r><w:t xml:space="preserve">and development of this practice is not fully worked out.</w:t></w:r>
</w:p>
<w:p>
<w:pPr><w:pStyle w:val="Normal"/></w:pPr>
<w:r><w:t xml:space="preserve">According to the Caeromoniale (i. 12. 13) a canopy (balda</w:t></w:r>
</w:p>
<w:p>
<w:pPr><w:pStyle w:val="Normal"/></w:pPr>
<w:r><w:t xml:space="preserve">chinum) should be suspended over the altar; this should be</w:t></w:r>
</w:p>
<w:p>
<w:pPr><w:pStyle w:val="Normal"/></w:pPr>
<w:r><w:t xml:space="preserve">square, and of sufficient size to cover the altar and the</w:t></w:r>
</w:p>
<w:p>
<w:pPr><w:pStyle w:val="Normal"/></w:pPr>
<w:r><w:t xml:space="preserve">predella on which the officiating priest stands.  This</w:t></w:r>
</w:p>
<w:p>
<w:pPr><w:pStyle w:val="Normal"/></w:pPr>
<w:r><w:t xml:space="preserve">baldachin, called liturgically the ciborium, is sometimes</w:t></w:r>
</w:p>
<w:p>
<w:pPr><w:pStyle w:val="Normal"/></w:pPr>
<w:r><w:t xml:space="preserve">hung from the roof by chains in such a way that it can be</w:t></w:r>
</w:p>
<w:p>
<w:pPr><w:pStyle w:val="Normal"/></w:pPr>
<w:r><w:t xml:space="preserve">lowered or raised; sometimes it is fixed to the wall or reredos;</w:t></w:r>
</w:p>
<w:p>
<w:pPr><w:pStyle w:val="Normal"/></w:pPr>
<w:r><w:t xml:space="preserve">sometimes it is a solid structure of wood covered with metal</w:t></w:r>
</w:p>
<w:p>
<w:pPr><w:pStyle w:val="Normal"/></w:pPr>
<w:r><w:t xml:space="preserve">or of marble supported on four columns.  The latter form</w:t></w:r>
</w:p>
<w:p>
<w:pPr><w:pStyle w:val="Normal"/></w:pPr>
<w:r><w:t xml:space="preserve">is, however, usual only in large churches, more especially</w:t></w:r>
</w:p>
<w:p>
<w:pPr><w:pStyle w:val="Normal"/></w:pPr>
<w:r><w:t xml:space="preserve">of the basilica type, e.g. St Peter&apos;s at Rome or the</w:t></w:r>
</w:p>
<w:p>
<w:pPr><w:pStyle w:val="Normal"/></w:pPr>
<w:r><w:t xml:space="preserve">Roman Catholic cathedral at Westminster.  The origin of the</w:t></w:r>
</w:p>
<w:p>
<w:pPr><w:pStyle w:val="Normal"/></w:pPr>
<w:r><w:t xml:space="preserve">ciborium is not certain, but it is represented in a mosaic</w:t></w:r>
</w:p>
<w:p>
<w:pPr><w:pStyle w:val="Normal"/></w:pPr>
<w:r><w:t xml:space="preserve">at Thessalonica of a date not later than A.D. 500. Even at</w:t></w:r>
</w:p>
<w:p>
<w:pPr><w:pStyle w:val="Normal"/></w:pPr>
<w:r><w:t xml:space="preserve">the present day, in spite of a decree of the Congregation of</w:t></w:r>
</w:p>
<w:p>
<w:pPr><w:pStyle w:val="Normal"/></w:pPr>
<w:r><w:t xml:space="preserve">Rites (27th of May 1697) ordering it to be placed over all</w:t></w:r>
</w:p>
<w:p>
<w:pPr><w:pStyle w:val="Normal"/></w:pPr>
<w:r><w:t xml:space="preserve">altars, it is -- even at Rome itself -- usually only found</w:t></w:r>
</w:p>
<w:p>
<w:pPr><w:pStyle w:val="Normal"/></w:pPr>
<w:r><w:t xml:space="preserve">over the high altar and the altar of the Blessed Sacrament.</w:t></w:r>
</w:p>
<w:p>
<w:pPr><w:pStyle w:val="Normal"/></w:pPr>
<w:r><w:t xml:space="preserve">Multiplication of altars is another medieval characteristic.</w:t></w:r>
</w:p>
<w:p>
<w:pPr><w:pStyle w:val="Normal"/></w:pPr>
<w:r><w:t xml:space="preserve">This also is probably a result of the edict of Pope Felix</w:t></w:r>
</w:p>
<w:p>
<w:pPr><w:pStyle w:val="Normal"/></w:pPr>
<w:r><w:t xml:space="preserve">already mentioned.  In a vault where more than one martyr was</w:t></w:r>
</w:p>
<w:p>
<w:pPr><w:pStyle w:val="Normal"/></w:pPr>
<w:r><w:t xml:space="preserve">buried an altar might be erected for each.  It is in the 6th</w:t></w:r>
</w:p>
<w:p>
<w:pPr><w:pStyle w:val="Normal"/></w:pPr>
<w:r><w:t xml:space="preserve">century that we begin to find traces of the multiplication of</w:t></w:r>
</w:p>
<w:p>
<w:pPr><w:pStyle w:val="Normal"/></w:pPr>
<w:r><w:t xml:space="preserve">altars.  In the church of St Gall, Switzerland, in the</w:t></w:r>
</w:p>
<w:p>
<w:pPr><w:pStyle w:val="Normal"/></w:pPr>
<w:r><w:t xml:space="preserve">9th century there were seventeen.  In the modern Latin</w:t></w:r>
</w:p>
<w:p>
<w:pPr><w:pStyle w:val="Normal"/></w:pPr>
<w:r><w:t xml:space="preserve">Church almost every large church contains several altars</w:t></w:r>
</w:p>
<w:p>
<w:pPr><w:pStyle w:val="Normal"/></w:pPr>
<w:r><w:t xml:space="preserve">-- dedicated to certain saints, in private side chapels,</w:t></w:r>
</w:p>
<w:p>
<w:pPr><w:pStyle w:val="Normal"/></w:pPr>
<w:r><w:t xml:space="preserve">established for masses for the repose of the founder&apos;s</w:t></w:r>
</w:p>
<w:p>
<w:pPr><w:pStyle w:val="Normal"/></w:pPr>
<w:r><w:t xml:space="preserve">soul, &amp;c. Archbishop Wuifred in 816 ordered that beside</w:t></w:r>
</w:p>
<w:p>
<w:pPr><w:pStyle w:val="Normal"/></w:pPr>
<w:r><w:t xml:space="preserve">every altar there should be an inscription recording its</w:t></w:r>
</w:p>
<w:p>
<w:pPr><w:pStyle w:val="Normal"/></w:pPr>
<w:r><w:t xml:space="preserve">dedication.  This regulation fell into abeyance after the 12th</w:t></w:r>
</w:p>
<w:p>
<w:pPr><w:pStyle w:val="Normal"/></w:pPr>
<w:r><w:t xml:space="preserve">century, and such inscriptions are very rare.  One remains</w:t></w:r>
</w:p>
<w:p>
<w:pPr><w:pStyle w:val="Normal"/></w:pPr>
<w:r><w:t xml:space="preserve">mutilated at Deerhurst (Archaeologia, vol. 1. p. 69).</w:t></w:r>
</w:p>
<w:p>
<w:pPr><w:pStyle w:val="Normal"/></w:pPr>
<w:r><w:t xml:space="preserve">Where there is in a cathedral or church more than one altar,</w:t></w:r>
</w:p>
<w:p>
<w:pPr><w:pStyle w:val="Normal"/></w:pPr>
<w:r><w:t xml:space="preserve">the principal one is called a ``high altar.&apos;&apos; Where there is a</w:t></w:r>
</w:p>
<w:p>
<w:pPr><w:pStyle w:val="Normal"/></w:pPr>
<w:r><w:t xml:space="preserve">second high altar, it is generally at the end of the choir or</w:t></w:r>
</w:p>
<w:p>
<w:pPr><w:pStyle w:val="Normal"/></w:pPr>
<w:r><w:t xml:space="preserve">chancel.  In monastic churches (e.g. formerly at St Albans) it</w:t></w:r>
</w:p>
<w:p>
<w:pPr><w:pStyle w:val="Normal"/></w:pPr>
<w:r><w:t xml:space="preserve">sometimes stands at the end of the nave close to the choir screen.</w:t></w:r>
</w:p>
<w:p>
<w:pPr><w:pStyle w:val="Normal"/></w:pPr>
<w:r><w:t xml:space="preserve">Beside the altar was a drain (piscina) for pouring</w:t></w:r>
</w:p>
<w:p>
<w:pPr><w:pStyle w:val="Normal"/></w:pPr>
<w:r><w:t xml:space="preserve">away the water in which the communion vessels were</w:t></w:r>
</w:p>
<w:p>
<w:pPr><w:pStyle w:val="Normal"/></w:pPr>
<w:r><w:t xml:space="preserve">rinsed.  This seems originally to have been under</w:t></w:r>
</w:p>
<w:p>
<w:pPr><w:pStyle w:val="Normal"/></w:pPr>
<w:r><w:t xml:space="preserve">the altar, as it is still in the Eastern Church.</w:t></w:r>
</w:p>
<w:p>
<w:pPr><w:pStyle w:val="Normal"/></w:pPr>
<w:r><w:t xml:space="preserve">That the primitive communion table was covered with a</w:t></w:r>
</w:p>
<w:p>
<w:pPr><w:pStyle w:val="Normal"/></w:pPr>
<w:r><w:t xml:space="preserve">communion-cloth is highly probable, and is mentioned by Optatus</w:t></w:r>
</w:p>
<w:p>
<w:pPr><w:pStyle w:val="Normal"/></w:pPr>
<w:r><w:t xml:space="preserve">(c. A.D. 370), bishop of Alilevis.  This had developed</w:t></w:r>
</w:p>
<w:p>
<w:pPr><w:pStyle w:val="Normal"/></w:pPr>
<w:r><w:t xml:space="preserve">by the 14th or 15th century into a cerecloth, or waxed cloth,</w:t></w:r>
</w:p>
<w:p>
<w:pPr><w:pStyle w:val="Normal"/></w:pPr>
<w:r><w:t xml:space="preserve">on the table itself; and three linen coverings one above</w:t></w:r>
</w:p>
<w:p>
<w:pPr><w:pStyle w:val="Normal"/></w:pPr>
<w:r><w:t xml:space="preserve">the other, two of about the size of the table and one rather</w:t></w:r>
</w:p>
<w:p>
<w:pPr><w:pStyle w:val="Normal"/></w:pPr>
<w:r><w:t xml:space="preserve">wider than the altar, and long enough to hang down at each</w:t></w:r>
</w:p>
<w:p>
<w:pPr><w:pStyle w:val="Normal"/></w:pPr>
<w:r><w:t xml:space="preserve">end.  Five crosses are worked upon it, four in the corners</w:t></w:r>
</w:p>
<w:p>
<w:pPr><w:pStyle w:val="Normal"/></w:pPr>
<w:r><w:t xml:space="preserve">and one in the middle, and there is an embroidered edging.1</w:t></w:r>
</w:p>
<w:p>
<w:pPr><w:pStyle w:val="Normal"/></w:pPr>
<w:r><w:t xml:space="preserve">In front was often a hanging panel of embroidered cloth</w:t></w:r>
</w:p>
<w:p>
<w:pPr><w:pStyle w:val="Normal"/></w:pPr>
<w:r><w:t xml:space="preserve">(the frontal; but frontals of wood, ornamented with carving</w:t></w:r>
</w:p>
<w:p>
<w:pPr><w:pStyle w:val="Normal"/></w:pPr>
<w:r><w:t xml:space="preserve">or enamel, &amp;c., are also to be found).  These embroidered</w:t></w:r>
</w:p>
<w:p>
<w:pPr><w:pStyle w:val="Normal"/></w:pPr>
<w:r><w:t xml:space="preserve">frontals are changeable, so that the principal colour in</w:t></w:r>
</w:p>
<w:p>
<w:pPr><w:pStyle w:val="Normal"/></w:pPr>
<w:r><w:t xml:space="preserve">the pattern can accord with the liturgical colour of the</w:t></w:r>
</w:p>
<w:p>
<w:pPr><w:pStyle w:val="Normal"/></w:pPr>
<w:r><w:t xml:space="preserve">day.  Speaking broadly, red is the colour for feasts of</w:t></w:r>
</w:p>
<w:p>
<w:pPr><w:pStyle w:val="Normal"/></w:pPr>
<w:r><w:t xml:space="preserve">martyrs, white for virgins, violet for penitential seasons,</w:t></w:r>
</w:p>
<w:p>
<w:pPr><w:pStyle w:val="Normal"/></w:pPr>
<w:r><w:t xml:space="preserve">&amp;c.; no less than sixty-three different uses differing</w:t></w:r>
</w:p>
<w:p>
<w:pPr><w:pStyle w:val="Normal"/></w:pPr>
<w:r><w:t xml:space="preserve">in details have been enumerated.  A similar panel of</w:t></w:r>
</w:p>
<w:p>
<w:pPr><w:pStyle w:val="Normal"/></w:pPr>
<w:r><w:t xml:space="preserve">needlework (the dossal) is suspended behind the altar.</w:t></w:r>
</w:p>
<w:p>
<w:pPr><w:pStyle w:val="Normal"/></w:pPr>
<w:r><w:t xml:space="preserve">Portable altars have been used on occasion since the time of</w:t></w:r>
</w:p>
<w:p>
<w:pPr><w:pStyle w:val="Normal"/></w:pPr>
<w:r><w:t xml:space="preserve">Bede.  They are small slabs of hard stone, just large enough</w:t></w:r>
</w:p>
<w:p>
<w:pPr><w:pStyle w:val="Normal"/></w:pPr>
<w:r><w:t xml:space="preserve">for the chalice and paten.  They are consecrated and marked</w:t></w:r>
</w:p>
<w:p>
<w:pPr><w:pStyle w:val="Normal"/></w:pPr>
<w:r><w:t xml:space="preserve">with the five incised crosses in the same way as the fixed</w:t></w:r>
</w:p>
<w:p>
<w:pPr><w:pStyle w:val="Normal"/></w:pPr>
<w:r><w:t xml:space="preserve">altar, but they may be placed upon a support of any suitable</w:t></w:r>
</w:p>
<w:p>
<w:pPr><w:pStyle w:val="Normal"/></w:pPr>
<w:r><w:t xml:space="preserve">material, whether wood or stone.  They are used on a journey in</w:t></w:r>
</w:p>
<w:p>
<w:pPr><w:pStyle w:val="Normal"/></w:pPr>
<w:r><w:t xml:space="preserve">a heretical or heathen country, or in private chapels.  In the</w:t></w:r>
</w:p>
<w:p>
<w:pPr><w:pStyle w:val="Normal"/></w:pPr>
<w:r><w:t xml:space="preserve">inventory of the field apparel of Henry, earl of Northumberland,</w:t></w:r>
</w:p>
<w:p>
<w:pPr><w:pStyle w:val="Normal"/></w:pPr>
<w:r><w:t xml:space="preserve">A.D. 1513, is included ``A coffer wyth ij liddes to serue</w:t></w:r>
</w:p>
<w:p>
<w:pPr><w:pStyle w:val="Normal"/></w:pPr>
<w:r><w:t xml:space="preserve">for an Awter and ned be&apos;&apos; (Archaeologia, xxvi. 403).</w:t></w:r>
</w:p>
<w:p>
<w:pPr><w:pStyle w:val="Normal"/></w:pPr>
<w:r><w:t xml:space="preserve">On the altar are placed a cross and candlesticks -- six</w:t></w:r>
</w:p>
<w:p>
<w:pPr><w:pStyle w:val="Normal"/></w:pPr>
<w:r><w:t xml:space="preserve">in number, and seven when a bishop celebrates in his</w:t></w:r>
</w:p>
<w:p>
<w:pPr><w:pStyle w:val="Normal"/></w:pPr>
<w:r><w:t xml:space="preserve">cathedral; and over it is suspended or fixed a tabernacle</w:t></w:r>
</w:p>
<w:p>
<w:pPr><w:pStyle w:val="Normal"/></w:pPr>
<w:r><w:t xml:space="preserve">or receptacle for the reservation of the Sacrament.</w:t></w:r>
</w:p>
<w:p>
<w:pPr><w:pStyle w:val="Heading1"/></w:pPr>
<w:r><w:t>III. Post-Reformation Altars. -- At the Reformation the</w:t></w:r>
</w:p>
<w:p>
<w:pPr><w:pStyle w:val="Normal"/></w:pPr>
<w:r><w:t xml:space="preserve">altars in churches were looked upon as symbols of the</w:t></w:r>
</w:p>
<w:p>
<w:pPr><w:pStyle w:val="Normal"/></w:pPr>
<w:r><w:t xml:space="preserve">unreformed doctrine, especially where the struggle lay</w:t></w:r>
</w:p>
<w:p>
<w:pPr><w:pStyle w:val="Normal"/></w:pPr>
<w:r><w:t xml:space="preserve">between the Catholics and the Calvinists, who on this</w:t></w:r>
</w:p>
<w:p>
<w:pPr><w:pStyle w:val="Normal"/></w:pPr>
<w:r><w:t xml:space="preserve">point were much more radical revolutionaries than the</w:t></w:r>
</w:p>
<w:p>
<w:pPr><w:pStyle w:val="Normal"/></w:pPr>
<w:r><w:t xml:space="preserve">Lutherans.  In England the name ``altar&apos;&apos;2 was retained in</w:t></w:r>
</w:p>
<w:p>
<w:pPr><w:pStyle w:val="Normal"/></w:pPr>
<w:r><w:t xml:space="preserve">the Communion Office in English, printed in 1549, and in the</w:t></w:r>
</w:p>
<w:p>
<w:pPr><w:pStyle w:val="Normal"/></w:pPr>
<w:r><w:t xml:space="preserve">complete English Prayer-book of the following year, known</w:t></w:r>
</w:p>
<w:p>
<w:pPr><w:pStyle w:val="Normal"/></w:pPr>
<w:r><w:t xml:space="preserve">to students as the First Book of Edward VI. But orders were</w:t></w:r>
</w:p>
<w:p>
<w:pPr><w:pStyle w:val="Normal"/></w:pPr>
<w:r><w:t xml:space="preserve">given soon after that the altars should be destroyed, and</w:t></w:r>
</w:p>
<w:p>
<w:pPr><w:pStyle w:val="Normal"/></w:pPr>
<w:r><w:t xml:space="preserve">replaced by movable wooden tables; while from the revised</w:t></w:r>
</w:p>
<w:p>
<w:pPr><w:pStyle w:val="Normal"/></w:pPr>
<w:r><w:t xml:space="preserve">Prayer book of 1552 the word ``altar&apos;&apos; was carefully expunged,</w:t></w:r>
</w:p>
<w:p>
<w:pPr><w:pStyle w:val="Normal"/></w:pPr>
<w:r><w:t xml:space="preserve">``God&apos;s board&apos;&apos; or ``the table&apos;&apos; being substituted. The short</w:t></w:r>
</w:p>
<w:p>
<w:pPr><w:pStyle w:val="Normal"/></w:pPr>
<w:r><w:t xml:space="preserve">reign of Mary produced a temporary reaction, but the work</w:t></w:r>
</w:p>
<w:p>
<w:pPr><w:pStyle w:val="Normal"/></w:pPr>
<w:r><w:t xml:space="preserve">of reformation was resumed on the accession of Elizabeth.</w:t></w:r>
</w:p>
<w:p>
<w:pPr><w:pStyle w:val="Normal"/></w:pPr>
<w:r><w:t xml:space="preserve">The name ``altar&apos;&apos; has been all along retained in the</w:t></w:r>
</w:p>
<w:p>
<w:pPr><w:pStyle w:val="Normal"/></w:pPr>
<w:r><w:t xml:space="preserve">Coronation Office of the kings of England, where it occurs</w:t></w:r>
</w:p>
<w:p>
<w:pPr><w:pStyle w:val="Normal"/></w:pPr>
<w:r><w:t xml:space="preserve">frequently. It was also recognized in the canons of 1640,</w:t></w:r>
</w:p>
<w:p>
<w:pPr><w:pStyle w:val="Normal"/></w:pPr>
<w:r><w:t xml:space="preserve">but with the reservation that ``it was an altar in the sense</w:t></w:r>
</w:p>
<w:p>
<w:pPr><w:pStyle w:val="Normal"/></w:pPr>
<w:r><w:t xml:space="preserve">in which the primitive church called it an altar and in no</w:t></w:r>
</w:p>
<w:p>
<w:pPr><w:pStyle w:val="Normal"/></w:pPr>
<w:r><w:t xml:space="preserve">other.&apos;&apos; In the same canons the rule for the position of the</w:t></w:r>
</w:p>
<w:p>
<w:pPr><w:pStyle w:val="Normal"/></w:pPr>
<w:r><w:t xml:space="preserve">communion tables, which has been since regularly followed</w:t></w:r>
</w:p>
<w:p>
<w:pPr><w:pStyle w:val="Normal"/></w:pPr>
<w:r><w:t xml:space="preserve">throughout the Church of England, was formulated.  In the</w:t></w:r>
</w:p>
<w:p>
<w:pPr><w:pStyle w:val="Normal"/></w:pPr>
<w:r><w:t xml:space="preserve">primitive church the altars seem to have been so placed</w:t></w:r>
</w:p>
<w:p>
<w:pPr><w:pStyle w:val="Normal"/></w:pPr>
<w:r><w:t xml:space="preserve">that, like those of the Hebrews, they could be surrounded</w:t></w:r>
</w:p>
<w:p>
<w:pPr><w:pStyle w:val="Normal"/></w:pPr>
<w:r><w:t xml:space="preserve">on all sides by the worshippers.  The chair of the bishop</w:t></w:r>
</w:p>
<w:p>
<w:pPr><w:pStyle w:val="Normal"/></w:pPr>
<w:r><w:t xml:space="preserve">or celebrant was on their east side, and the assistant</w:t></w:r>
</w:p>
<w:p>
<w:pPr><w:pStyle w:val="Normal"/></w:pPr>
<w:r><w:t xml:space="preserve">clergy were ranged on each side of him.  But in the middle</w:t></w:r>
</w:p>
<w:p>
<w:pPr><w:pStyle w:val="Normal"/></w:pPr>
<w:r><w:t xml:space="preserve">ages the altars were placed against the east wall of the</w:t></w:r>
</w:p>
<w:p>
<w:pPr><w:pStyle w:val="Normal"/></w:pPr>
<w:r><w:t xml:space="preserve">churches, or else against a reredos erected at the east</w:t></w:r>
</w:p>
<w:p>
<w:pPr><w:pStyle w:val="Normal"/></w:pPr>
<w:r><w:t xml:space="preserve">side of the altar, so as to prevent all access to the table</w:t></w:r>
</w:p>
<w:p>
<w:pPr><w:pStyle w:val="Normal"/></w:pPr>
<w:r><w:t xml:space="preserve">from that side; the celebrant was thus brought round to the</w:t></w:r>
</w:p>
<w:p>
<w:pPr><w:pStyle w:val="Normal"/></w:pPr>
<w:r><w:t xml:space="preserve">west side and caused to stand between the people and the</w:t></w:r>
</w:p>
<w:p>
<w:pPr><w:pStyle w:val="Normal"/></w:pPr>
<w:r><w:t xml:space="preserve">altar.  On the north and south sides there were often</w:t></w:r>
</w:p>
<w:p>
<w:pPr><w:pStyle w:val="Normal"/></w:pPr>
<w:r><w:t xml:space="preserve">curtains.  When tables were substituted for altars in the</w:t></w:r>
</w:p>
<w:p>
<w:pPr><w:pStyle w:val="Normal"/></w:pPr>
<w:r><w:t xml:space="preserve">English churches, these were not merely movable, but at the</w:t></w:r>
</w:p>
<w:p>
<w:pPr><w:pStyle w:val="Normal"/></w:pPr>
<w:r><w:t xml:space="preserve">administration of the Lord&apos;s Supper were actually moved into</w:t></w:r>
</w:p>
<w:p>
<w:pPr><w:pStyle w:val="Normal"/></w:pPr>
<w:r><w:t xml:space="preserve">the body of the church, and placed table-wise -- that is,</w:t></w:r>
</w:p>
<w:p>
<w:pPr><w:pStyle w:val="Normal"/></w:pPr>
<w:r><w:t xml:space="preserve">with the long sides turned to the north and south, and the</w:t></w:r>
</w:p>
<w:p>
<w:pPr><w:pStyle w:val="Normal"/></w:pPr>
<w:r><w:t xml:space="preserve">narrow ends to the east and west, -- the officiating clergyman</w:t></w:r>
</w:p>
<w:p>
<w:pPr><w:pStyle w:val="Normal"/></w:pPr>
<w:r><w:t xml:space="preserve">standing at the north side.  In the time of Archbishop Laud,</w:t></w:r>
</w:p>
<w:p>
<w:pPr><w:pStyle w:val="Normal"/></w:pPr>
<w:r><w:t xml:space="preserve">however, the present practice of the Church of England was</w:t></w:r>
</w:p>
<w:p>
<w:pPr><w:pStyle w:val="Normal"/></w:pPr>
<w:r><w:t xml:space="preserve">introduced.  The communion table, though still of wood</w:t></w:r>
</w:p>
<w:p>
<w:pPr><w:pStyle w:val="Normal"/></w:pPr>
<w:r><w:t xml:space="preserve">and movable, is, as a matter of fact, never moved; it</w:t></w:r>
</w:p>
<w:p>
<w:pPr><w:pStyle w:val="Normal"/></w:pPr>
<w:r><w:t xml:space="preserve">is placed altar-wise -- that is, with its longer axis</w:t></w:r>
</w:p>
<w:p>
<w:pPr><w:pStyle w:val="Normal"/></w:pPr>
<w:r><w:t xml:space="preserve">running north and south, and close against the east wall.</w:t></w:r>
</w:p>
<w:p>
<w:pPr><w:pStyle w:val="Normal"/></w:pPr>
<w:r><w:t xml:space="preserve">Often there is a reredos behind it; it is also fenced in</w:t></w:r>
</w:p>
<w:p>
<w:pPr><w:pStyle w:val="Normal"/></w:pPr>
<w:r><w:t xml:space="preserve">by rails to preserve it from profanation of various kinds.</w:t></w:r>
</w:p>
<w:p>
<w:pPr><w:pStyle w:val="Normal"/></w:pPr>
<w:r><w:t xml:space="preserve">In 1841 the ancient church of the Holy Sepulchre at</w:t></w:r>
</w:p>
<w:p>
<w:pPr><w:pStyle w:val="Normal"/></w:pPr>
<w:r><w:t xml:space="preserve">Cambridge was robbed of most of its interest by a calamitous</w:t></w:r>
</w:p>
<w:p>
<w:pPr><w:pStyle w:val="Normal"/></w:pPr>
<w:r><w:t xml:space="preserve">``restoration&apos;&apos; carried out under the superintendence and</w:t></w:r>
</w:p>
<w:p>
<w:pPr><w:pStyle w:val="Normal"/></w:pPr>
<w:r><w:t xml:space="preserve">partly at the charge of the Camden Society.  On this occasion</w:t></w:r>
</w:p>
<w:p>
<w:pPr><w:pStyle w:val="Normal"/></w:pPr>
<w:r><w:t xml:space="preserve">a stone altar, consisting of a flat slab resting upon three</w:t></w:r>
</w:p>
<w:p>
<w:pPr><w:pStyle w:val="Normal"/></w:pPr>
<w:r><w:t xml:space="preserve">other upright slabs, was presented to the parish, and was</w:t></w:r>
</w:p>
<w:p>
<w:pPr><w:pStyle w:val="Normal"/></w:pPr>
<w:r><w:t xml:space="preserve">set up in the church at the east wall of the chancel.</w:t></w:r>
</w:p>
<w:p>
<w:pPr><w:pStyle w:val="Normal"/></w:pPr>
<w:r><w:t xml:space="preserve">This was brought to the notice of the Court of Arches in</w:t></w:r>
</w:p>
<w:p>
<w:pPr><w:pStyle w:val="Normal"/></w:pPr>
<w:r><w:t xml:space="preserve">1845, and Sir H. Jenner Fust (Faulkner v. Lichfield and</w:t></w:r>
</w:p>
<w:p>
<w:pPr><w:pStyle w:val="Normal"/></w:pPr>
<w:r><w:t xml:space="preserve">Stearn) ordered it to be removed, on the ground that a</w:t></w:r>
</w:p>
<w:p>
<w:pPr><w:pStyle w:val="Normal"/></w:pPr>
<w:r><w:t xml:space="preserve">stone structure so weighty that it could not be carried</w:t></w:r>
</w:p>
<w:p>
<w:pPr><w:pStyle w:val="Normal"/></w:pPr>
<w:r><w:t xml:space="preserve">about, and seeming to be a mass of solid masonry, was not a</w:t></w:r>
</w:p>
<w:p>
<w:pPr><w:pStyle w:val="Normal"/></w:pPr>
<w:r><w:t xml:space="preserve">communion-table in the sense recognized by the Church of England.</w:t></w:r>
</w:p>
<w:p>
<w:pPr><w:pStyle w:val="Normal"/></w:pPr>
<w:r><w:t xml:space="preserve">BIBLIOGRAPHY. -- For altars in the ancient East see M.</w:t></w:r>
</w:p>
<w:p>
<w:pPr><w:pStyle w:val="Normal"/></w:pPr>
<w:r><w:t xml:space="preserve">Jastrow, Religion of Assyria anid Babylonia; Perrot and</w:t></w:r>
</w:p>
<w:p>
<w:pPr><w:pStyle w:val="Normal"/></w:pPr>
<w:r><w:t xml:space="preserve">Chipiez, Art in Chaldea (i. 143, 255); Sir i.  Gardiner</w:t></w:r>
</w:p>
<w:p>
<w:pPr><w:pStyle w:val="Normal"/></w:pPr>
<w:r><w:t xml:space="preserve">Wilkinson, A Second Series of the Monners and Customs of</w:t></w:r>
</w:p>
<w:p>
<w:pPr><w:pStyle w:val="Normal"/></w:pPr>
<w:r><w:t xml:space="preserve">the Ancient Egyptians, ii. 387; Benzinger&apos;s and Nowack&apos;s</w:t></w:r>
</w:p>
<w:p>
<w:pPr><w:pStyle w:val="Normal"/></w:pPr>
<w:r><w:t xml:space="preserve">works on Hebraische Archaologie.  For classical altars,</w:t></w:r>
</w:p>
<w:p>
<w:pPr><w:pStyle w:val="Normal"/></w:pPr>
<w:r><w:t xml:space="preserve">much information can be obtained from the notes in J. G.</w:t></w:r>
</w:p>
<w:p>
<w:pPr><w:pStyle w:val="Normal"/></w:pPr>
<w:r><w:t xml:space="preserve">Frazer&apos;s Pausaniae.  See also Schomann, Griechische</w:t></w:r>
</w:p>
<w:p>
<w:pPr><w:pStyle w:val="Normal"/></w:pPr>
<w:r><w:t xml:space="preserve">Alterthumer, vol. ii.; the volume on ``Gottesdienstliche</w:t></w:r>
</w:p>
<w:p>
<w:pPr><w:pStyle w:val="Normal"/></w:pPr>
<w:r><w:t xml:space="preserve">Altcrthumer&apos;&apos; in Hermann&apos;s Lehrbuch der griechischen</w:t></w:r>
</w:p>
<w:p>
<w:pPr><w:pStyle w:val="Normal"/></w:pPr>
<w:r><w:t xml:space="preserve">Antiquitaten.  On domestic altars and worship see</w:t></w:r>
</w:p>
<w:p>
<w:pPr><w:pStyle w:val="Normal"/></w:pPr>
<w:r><w:t xml:space="preserve">Petersen, Hausgottesdienst der Griechen (Cassel, 1851).</w:t></w:r>
</w:p>
<w:p>
<w:pPr><w:pStyle w:val="Normal"/></w:pPr>
<w:r><w:t xml:space="preserve">On plural dedications consult Maurer, De aribus graecorum</w:t></w:r>
</w:p>
<w:p>
<w:pPr><w:pStyle w:val="Normal"/></w:pPr>
<w:r><w:t xml:space="preserve">pluribus deis in commune positis (Darmstadt, 1885).  For</w:t></w:r>
</w:p>
<w:p>
<w:pPr><w:pStyle w:val="Normal"/></w:pPr>
<w:r><w:t xml:space="preserve">Christian altars, reference is best made to the articles on</w:t></w:r>
</w:p>
<w:p>
<w:pPr><w:pStyle w:val="Normal"/></w:pPr>
<w:r><w:t xml:space="preserve">the subject in the dictionaries of Christian and liturgical</w:t></w:r>
</w:p>
<w:p>
<w:pPr><w:pStyle w:val="Normal"/></w:pPr>
<w:r><w:t xml:space="preserve">antiquities of Migne, Martigny, Smith and Cheetham, and</w:t></w:r>
</w:p>
<w:p>
<w:pPr><w:pStyle w:val="Normal"/></w:pPr>
<w:r><w:t xml:space="preserve">Pugin, where practically all the available information is</w:t></w:r>
</w:p>
<w:p>
<w:pPr><w:pStyle w:val="Normal"/></w:pPr>
<w:r><w:t xml:space="preserve">collected.  See also Ciampinus, Vetera Monumenta (Rome,</w:t></w:r>
</w:p>
<w:p>
<w:pPr><w:pStyle w:val="Normal"/></w:pPr>
<w:r><w:t xml:space="preserve">1747), where numerous illustrations of altars are to be found;</w:t></w:r>
</w:p>
<w:p>
<w:pPr><w:pStyle w:val="Normal"/></w:pPr>
<w:r><w:t xml:space="preserve">Martune, De antiquis Ecclesiae ritibus, iii. vi. (Rouen,</w:t></w:r>
</w:p>
<w:p>
<w:pPr><w:pStyle w:val="Normal"/></w:pPr>
<w:r><w:t xml:space="preserve">1700); Voigt, Thyslasteriologia sive de altaribus veterum</w:t></w:r>
</w:p>
<w:p>
<w:pPr><w:pStyle w:val="Normal"/></w:pPr>
<w:r><w:t xml:space="preserve">Christianorum (Hamburg, 1709); and the liturgical works of</w:t></w:r>
</w:p>
<w:p>
<w:pPr><w:pStyle w:val="Normal"/></w:pPr>
<w:r><w:t xml:space="preserve">Bona.  Many articles on various sections of the subject have</w:t></w:r>
</w:p>
<w:p>
<w:pPr><w:pStyle w:val="Normal"/></w:pPr>
<w:r><w:t xml:space="preserve">appeared in the journals of archaeoloeical societies; we may</w:t></w:r>
</w:p>
<w:p>
<w:pPr><w:pStyle w:val="Normal"/></w:pPr>
<w:r><w:t xml:space="preserve">mention Nesbitt on the churches of Rome earlier than 1150</w:t></w:r>
</w:p>
<w:p>
<w:pPr><w:pStyle w:val="Normal"/></w:pPr>
<w:r><w:t xml:space="preserve">(Archaeologia, xl. p. 210), Didron, ``L&apos;Autel chretien&apos;&apos;</w:t></w:r>
</w:p>
<w:p>
<w:pPr><w:pStyle w:val="Normal"/></w:pPr>
<w:r><w:t xml:space="preserve">(Annales archeologiques, iv. p. 238), and a paper by</w:t></w:r>
</w:p>
<w:p>
<w:pPr><w:pStyle w:val="Normal"/></w:pPr>
<w:r><w:t xml:space="preserve">Texier on enamelled altars in the same volume. (R. A. S. M.)</w:t></w:r>
</w:p>
<w:p>
<w:pPr><w:pStyle w:val="Normal"/></w:pPr>
<w:r><w:t xml:space="preserve">1 In the Eastern Church four small pieces of cloth marked</w:t></w:r>
</w:p>
<w:p>
<w:pPr><w:pStyle w:val="Normal"/></w:pPr>
<w:r><w:t xml:space="preserve">with the names of the Evangelists are placed on the four</w:t></w:r>
</w:p>
<w:p>
<w:pPr><w:pStyle w:val="Normal"/></w:pPr>
<w:r><w:t xml:space="preserve">corners of the altar, and covered with three cloths,</w:t></w:r>
</w:p>
<w:p>
<w:pPr><w:pStyle w:val="Normal"/></w:pPr>
<w:r><w:t xml:space="preserve">the uppermost (the corporal) being of smaller size.</w:t></w:r>
</w:p>
<w:p>
<w:pPr><w:pStyle w:val="Normal"/></w:pPr>
<w:r><w:t xml:space="preserve">2 Except in one place where the term used is ``God&apos;s Board.&apos;&apos;</w:t></w:r>
</w:p>
<w:p>
<w:pPr><w:pStyle w:val="Normal"/></w:pPr>
<w:r><w:t xml:space="preserve">ALTDORF, the capital of the Swiss canton of Uri. It is</w:t></w:r>
</w:p>
<w:p>
<w:pPr><w:pStyle w:val="Normal"/></w:pPr>
<w:r><w:t xml:space="preserve">built at a height of 1516 ft. above sea-level, a little</w:t></w:r>
</w:p>
<w:p>
<w:pPr><w:pStyle w:val="Normal"/></w:pPr>
<w:r><w:t xml:space="preserve">above the right bank of the Reuss, not far above the point</w:t></w:r>
</w:p>
<w:p>
<w:pPr><w:pStyle w:val="Normal"/></w:pPr>
<w:r><w:t xml:space="preserve">where this river is joined on the right by the Schachen</w:t></w:r>
</w:p>
<w:p>
<w:pPr><w:pStyle w:val="Normal"/></w:pPr>
<w:r><w:t xml:space="preserve">torrent.  In 1900 the population was 3117, all Romanists and</w:t></w:r>
</w:p>
<w:p>
<w:pPr><w:pStyle w:val="Normal"/></w:pPr>
<w:r><w:t xml:space="preserve">German-speaking.  Altdorf is 34 m. from Lucerne by the</w:t></w:r>
</w:p>
<w:p>
<w:pPr><w:pStyle w:val="Normal"/></w:pPr>
<w:r><w:t xml:space="preserve">St Gotthard railway and 22 m. from Goeschenen.  Its port</w:t></w:r>
</w:p>
<w:p>
<w:pPr><w:pStyle w:val="Normal"/></w:pPr>
<w:r><w:t xml:space="preserve">on the Lake of Lucerne, Fluelon, is 2 m. distant.  There</w:t></w:r>
</w:p>
<w:p>
<w:pPr><w:pStyle w:val="Normal"/></w:pPr>
<w:r><w:t xml:space="preserve">is a stately parish church, while above the little town</w:t></w:r>
</w:p>
<w:p>
<w:pPr><w:pStyle w:val="Normal"/></w:pPr>
<w:r><w:t xml:space="preserve">is the oldest Capuchin convent in Switzerland (1581).</w:t></w:r>
</w:p>
<w:p>
<w:pPr><w:pStyle w:val="Normal"/></w:pPr>
<w:r><w:t xml:space="preserve">Altdorf is best known as the place where, according to the</w:t></w:r>
</w:p>
<w:p>
<w:pPr><w:pStyle w:val="Normal"/></w:pPr>
<w:r><w:t xml:space="preserve">legend, William Tell shot the apple from his son&apos;s head.</w:t></w:r>
</w:p>
<w:p>
<w:pPr><w:pStyle w:val="Normal"/></w:pPr>
<w:r><w:t xml:space="preserve">This act by tradition happened on the market-place, where</w:t></w:r>
</w:p>
<w:p>
<w:pPr><w:pStyle w:val="Normal"/></w:pPr>
<w:r><w:t xml:space="preserve">in 1895, at the foot of an old tower (with rude frescoes</w:t></w:r>
</w:p>
<w:p>
<w:pPr><w:pStyle w:val="Normal"/></w:pPr>
<w:r><w:t xml:space="preserve">commemorating the feat), there was set up a fine bronze</w:t></w:r>
</w:p>
<w:p>
<w:pPr><w:pStyle w:val="Normal"/></w:pPr>
<w:r><w:t xml:space="preserve">statue (by Richard Kissling of Zurich) of Tell and his</w:t></w:r>
</w:p>
<w:p>
<w:pPr><w:pStyle w:val="Normal"/></w:pPr>
<w:r><w:t xml:space="preserve">son.  In 1899 a theatre was opened close to the town for</w:t></w:r>
</w:p>
<w:p>
<w:pPr><w:pStyle w:val="Normal"/></w:pPr>
<w:r><w:t xml:space="preserve">the sole purpose of performing Schiller&apos;s play of Wilhelm</w:t></w:r>
</w:p>
<w:p>
<w:pPr><w:pStyle w:val="Normal"/></w:pPr>
<w:r><w:t xml:space="preserve">Tell.  The same year a new carriage-road was opened from</w:t></w:r>
</w:p>
<w:p>
<w:pPr><w:pStyle w:val="Normal"/></w:pPr>
<w:r><w:t xml:space="preserve">Altdorf through the Schachen valley and over the Klausen</w:t></w:r>
</w:p>
<w:p>
<w:pPr><w:pStyle w:val="Normal"/></w:pPr>
<w:r><w:t xml:space="preserve">Pass (6404 ft.) to the village of Linththal (30 m.) and so to</w:t></w:r>
</w:p>
<w:p>
<w:pPr><w:pStyle w:val="Normal"/></w:pPr>
<w:r><w:t xml:space="preserve">Glarus. One and a half mile from Altdorf by the Klausen road</w:t></w:r>
</w:p>
<w:p>
<w:pPr><w:pStyle w:val="Normal"/></w:pPr>
<w:r><w:t xml:space="preserve">is the village of Burglen, where by tradition Tell was born;</w:t></w:r>
</w:p>
<w:p>
<w:pPr><w:pStyle w:val="Normal"/></w:pPr>
<w:r><w:t xml:space="preserve">while he is also said to have lost his life, while saving</w:t></w:r>
</w:p>
<w:p>
<w:pPr><w:pStyle w:val="Normal"/></w:pPr>
<w:r><w:t xml:space="preserve">that of a child, in the Schachen torrent that flows past the</w:t></w:r>
</w:p>
<w:p>
<w:pPr><w:pStyle w:val="Normal"/></w:pPr>
<w:r><w:t xml:space="preserve">village.  On the left bank of the Reuss, immediately opposite</w:t></w:r>
</w:p>
<w:p>
<w:pPr><w:pStyle w:val="Normal"/></w:pPr>
<w:r><w:t xml:space="preserve">Altdorf, is Attinghausen, where the ruined castle (which</w:t></w:r>
</w:p>
<w:p>
<w:pPr><w:pStyle w:val="Normal"/></w:pPr>
<w:r><w:t xml:space="preserve">belonged to one of the real founders of the Swiss Confederation)</w:t></w:r>
</w:p>
<w:p>
<w:pPr><w:pStyle w:val="Normal"/></w:pPr>
<w:r><w:t xml:space="preserve">now houses the cantonal museum of antiquities. (W. A. B. C.)</w:t></w:r>
</w:p>
<w:p>
<w:pPr><w:pStyle w:val="Normal"/></w:pPr>
<w:r><w:t xml:space="preserve">ALTDORFER, ALBRECHT (N 1480-1538), German painter and</w:t></w:r>
</w:p>
<w:p>
<w:pPr><w:pStyle w:val="Normal"/></w:pPr>
<w:r><w:t xml:space="preserve">engraver, was born at Regensburg (Ratisbon), where in 1505 he</w:t></w:r>
</w:p>
<w:p>
<w:pPr><w:pStyle w:val="Normal"/></w:pPr>
<w:r><w:t xml:space="preserve">was enrolled a burgher, and described as ``twenty-five years</w:t></w:r>
</w:p>
<w:p>
<w:pPr><w:pStyle w:val="Normal"/></w:pPr>
<w:r><w:t xml:space="preserve">old.&apos;&apos; Soon afterwards he is known to have been prosperous,</w:t></w:r>
</w:p>
<w:p>
<w:pPr><w:pStyle w:val="Normal"/></w:pPr>
<w:r><w:t xml:space="preserve">and as city architect he erected fortifications and a public</w:t></w:r>
</w:p>
<w:p>
<w:pPr><w:pStyle w:val="Normal"/></w:pPr>
<w:r><w:t xml:space="preserve">slaughter-house.  Altdorfer has been called the ``Giorgione</w:t></w:r>
</w:p>
<w:p>
<w:pPr><w:pStyle w:val="Normal"/></w:pPr>
<w:r><w:t xml:space="preserve">of the North.,&apos; His paintings are remarkable for minute and</w:t></w:r>
</w:p>
<w:p>
<w:pPr><w:pStyle w:val="Normal"/></w:pPr>
<w:r><w:t xml:space="preserve">careful finish, and for close study of nature.  The most</w:t></w:r>
</w:p>
<w:p>
<w:pPr><w:pStyle w:val="Normal"/></w:pPr>
<w:r><w:t xml:space="preserve">important of them are to be found in the Pinakothek at Munich.</w:t></w:r>
</w:p>
<w:p>
<w:pPr><w:pStyle w:val="Normal"/></w:pPr>
<w:r><w:t xml:space="preserve">A representation of the battle of Arbela (1529), included in</w:t></w:r>
</w:p>
<w:p>
<w:pPr><w:pStyle w:val="Normal"/></w:pPr>
<w:r><w:t xml:space="preserve">that collection, is usually considered his chief work.  His</w:t></w:r>
</w:p>
<w:p>
<w:pPr><w:pStyle w:val="Normal"/></w:pPr>
<w:r><w:t xml:space="preserve">engravings on wood and copper are very numerous, and rank next</w:t></w:r>
</w:p>
<w:p>
<w:pPr><w:pStyle w:val="Normal"/></w:pPr>
<w:r><w:t xml:space="preserve">to those of Albrecht Durer. The most important collection is</w:t></w:r>
</w:p>
<w:p>
<w:pPr><w:pStyle w:val="Normal"/></w:pPr>
<w:r><w:t xml:space="preserve">at the Bedin museum. Albrecht&apos;s brother, Erhard Altdorfer, was</w:t></w:r>
</w:p>
<w:p>
<w:pPr><w:pStyle w:val="Normal"/></w:pPr>
<w:r><w:t xml:space="preserve">also a painter and engraver, and a pupil of Lucas Cranach.</w:t></w:r>
</w:p>
<w:p>
<w:pPr><w:pStyle w:val="Normal"/></w:pPr>
<w:r><w:t xml:space="preserve">ALTEN, SIR CHARLES [Karl] (1764-1840), Hanoverian and</w:t></w:r>
</w:p>
<w:p>
<w:pPr><w:pStyle w:val="Normal"/></w:pPr>
<w:r><w:t xml:space="preserve">British soldier, son of Baron Alten, a member of an old</w:t></w:r>
</w:p>
<w:p>
<w:pPr><w:pStyle w:val="Normal"/></w:pPr>
<w:r><w:t xml:space="preserve">Hanoverian family, entered the service of the elector as a</w:t></w:r>
</w:p>
<w:p>
<w:pPr><w:pStyle w:val="Normal"/></w:pPr>
<w:r><w:t xml:space="preserve">page at the age of twelve.  In 1781 he received a commission</w:t></w:r>
</w:p>
<w:p>
<w:pPr><w:pStyle w:val="Normal"/></w:pPr>
<w:r><w:t xml:space="preserve">in the Hanoverian guards, and as a captain took part in the</w:t></w:r>
</w:p>
<w:p>
<w:pPr><w:pStyle w:val="Normal"/></w:pPr>
<w:r><w:t xml:space="preserve">campaigns of 1793-  1795 in the Low Countries, distinguishing</w:t></w:r>
</w:p>
<w:p>
<w:pPr><w:pStyle w:val="Normal"/></w:pPr>
<w:r><w:t xml:space="preserve">himself particularly on the Lys in command of light</w:t></w:r>
</w:p>
<w:p>
<w:pPr><w:pStyle w:val="Normal"/></w:pPr>
<w:r><w:t xml:space="preserve">infantry.  In 1803 the Hanoverian army was disbanded, and</w:t></w:r>
</w:p>
<w:p>
<w:pPr><w:pStyle w:val="Normal"/></w:pPr>
<w:r><w:t xml:space="preserve">Alten took service with the King&apos;s German Legion in British</w:t></w:r>
</w:p>
<w:p>
<w:pPr><w:pStyle w:val="Normal"/></w:pPr>
<w:r><w:t xml:space="preserve">pay.  In command of the light infantry of this famous</w:t></w:r>
</w:p>
<w:p>
<w:pPr><w:pStyle w:val="Normal"/></w:pPr>
<w:r><w:t xml:space="preserve">corps he took part with Lord Cathcart in the Hanoverian</w:t></w:r>
</w:p>
<w:p>
<w:pPr><w:pStyle w:val="Normal"/></w:pPr>
<w:r><w:t xml:space="preserve">expedition of 1805 and in the siege of Copenhagen in 1807,</w:t></w:r>
</w:p>
<w:p>
<w:pPr><w:pStyle w:val="Normal"/></w:pPr>
<w:r><w:t xml:space="preserve">and was with Moore in Sweden and Spain, as well as in the</w:t></w:r>
</w:p>
<w:p>
<w:pPr><w:pStyle w:val="Normal"/></w:pPr>
<w:r><w:t xml:space="preserve">disastrous Walcheren expedition.  He was soon employed</w:t></w:r>
</w:p>
<w:p>
<w:pPr><w:pStyle w:val="Normal"/></w:pPr>
<w:r><w:t xml:space="preserve">once more in the Peninsula, and at Albuera commanded a</w:t></w:r>
</w:p>
<w:p>
<w:pPr><w:pStyle w:val="Normal"/></w:pPr>
<w:r><w:t xml:space="preserve">brigade.  In April 1813 Wellington placed him at the head</w:t></w:r>
</w:p>
<w:p>
<w:pPr><w:pStyle w:val="Normal"/></w:pPr>
<w:r><w:t xml:space="preserve">of the famous ``Light Division&apos;&apos; (43rd, 52nd, 95th, and</w:t></w:r>
</w:p>
<w:p>
<w:pPr><w:pStyle w:val="Normal"/></w:pPr>
<w:r><w:t xml:space="preserve">Cacadores), in which post he worthily continued the records</w:t></w:r>
</w:p>
<w:p>
<w:pPr><w:pStyle w:val="Normal"/></w:pPr>
<w:r><w:t xml:space="preserve">of Moore and Robert Craufurd at Nivelle, Nive, Orthez and</w:t></w:r>
</w:p>
<w:p>
<w:pPr><w:pStyle w:val="Normal"/></w:pPr>
<w:r><w:t xml:space="preserve">Toulouse.  His officers presented him with a sword of</w:t></w:r>
</w:p>
<w:p>
<w:pPr><w:pStyle w:val="Normal"/></w:pPr>
<w:r><w:t xml:space="preserve">honour as a token of their esteem.  In 1815 Alten commanded</w:t></w:r>
</w:p>
<w:p>
<w:pPr><w:pStyle w:val="Normal"/></w:pPr>
<w:r><w:t xml:space="preserve">Wellington&apos;s 3rd division and was severely wounded at</w:t></w:r>
</w:p>
<w:p>
<w:pPr><w:pStyle w:val="Normal"/></w:pPr>
<w:r><w:t xml:space="preserve">Waterloo.  His conduct won for him the rank of Count von</w:t></w:r>
</w:p>
<w:p>
<w:pPr><w:pStyle w:val="Normal"/></w:pPr>
<w:r><w:t xml:space="preserve">Alten.  When the King&apos;s German Legion ceased to exist, Alten</w:t></w:r>
</w:p>
<w:p>
<w:pPr><w:pStyle w:val="Normal"/></w:pPr>
<w:r><w:t xml:space="preserve">was given the command of the Hanoverians in France, and in 1818</w:t></w:r>
</w:p>
<w:p>
<w:pPr><w:pStyle w:val="Normal"/></w:pPr>
<w:r><w:t xml:space="preserve">he returned to Hanover, where he became subsequently minister</w:t></w:r>
</w:p>
<w:p>
<w:pPr><w:pStyle w:val="Normal"/></w:pPr>
<w:r><w:t xml:space="preserve">of war and foreign affairs, and rose to be field-marshal,</w:t></w:r>
</w:p>
<w:p>
<w:pPr><w:pStyle w:val="Normal"/></w:pPr>
<w:r><w:t xml:space="preserve">being retained on the British Army list at the same time</w:t></w:r>
</w:p>
<w:p>
<w:pPr><w:pStyle w:val="Normal"/></w:pPr>
<w:r><w:t xml:space="preserve">as Major-General Sir Charles Alten, G. C. B. He died in</w:t></w:r>
</w:p>
<w:p>
<w:pPr><w:pStyle w:val="Normal"/></w:pPr>
<w:r><w:t xml:space="preserve">1840.  A memorial to Alten has been erected at Hanover.</w:t></w:r>
</w:p>
<w:p>
<w:pPr><w:pStyle w:val="Normal"/></w:pPr>
<w:r><w:t xml:space="preserve">See Glentleman&apos;s Magazine, 1840; N. L. Beamish, Hist.</w:t></w:r>
</w:p>
<w:p>
<w:pPr><w:pStyle w:val="Normal"/></w:pPr>
<w:r><w:t xml:space="preserve">of the King&apos;s German Legion, 2 vols. (1832-1837).</w:t></w:r>
</w:p>
<w:p>
<w:pPr><w:pStyle w:val="Normal"/></w:pPr>
<w:r><w:t xml:space="preserve">ALTENA, a town of Germany, in the Prussian province of Westphalia,</w:t></w:r>
</w:p>
<w:p>
<w:pPr><w:pStyle w:val="Normal"/></w:pPr>
<w:r><w:t xml:space="preserve">on the river Lenne, 38 m.  S.S.E. from Dortmund. Pop. (1900)</w:t></w:r>
</w:p>
<w:p>
<w:pPr><w:pStyle w:val="Normal"/></w:pPr>
<w:r><w:t xml:space="preserve">12,769.  It consists of a single street, winding up a deep</w:t></w:r>
</w:p>
<w:p>
<w:pPr><w:pStyle w:val="Normal"/></w:pPr>
<w:r><w:t xml:space="preserve">valley for about 3 m.  There are three churches, a museum,</w:t></w:r>
</w:p>
<w:p>
<w:pPr><w:pStyle w:val="Normal"/></w:pPr>
<w:r><w:t xml:space="preserve">high grade and popular schools.  Its hardware industries are</w:t></w:r>
</w:p>
<w:p>
<w:pPr><w:pStyle w:val="Normal"/></w:pPr>
<w:r><w:t xml:space="preserve">important, and embrace iron rolling, the manufacture of fine</w:t></w:r>
</w:p>
<w:p>
<w:pPr><w:pStyle w:val="Normal"/></w:pPr>
<w:r><w:t xml:space="preserve">wire, needles, springs and silver ornaments.  On the neighbouring</w:t></w:r>
</w:p>
<w:p>
<w:pPr><w:pStyle w:val="Normal"/></w:pPr>
<w:r><w:t xml:space="preserve">Schlossberg is the ancestral castle of the counts of La Marok,</w:t></w:r>
</w:p>
<w:p>
<w:pPr><w:pStyle w:val="Normal"/></w:pPr>
<w:r><w:t xml:space="preserve">ancestors, on the female side, of the Prussian royal house.</w:t></w:r>
</w:p>
<w:p>
<w:pPr><w:pStyle w:val="Normal"/></w:pPr>
<w:r><w:t xml:space="preserve">ALTENBURG, a town of Germany, capital of the duchy of</w:t></w:r>
</w:p>
<w:p>
<w:pPr><w:pStyle w:val="Normal"/></w:pPr>
<w:r><w:t xml:space="preserve">Saxe-Altenburg, situated near the river Pleisse, 23 m.  S.</w:t></w:r>
</w:p>
<w:p>
<w:pPr><w:pStyle w:val="Normal"/></w:pPr>
<w:r><w:t xml:space="preserve">of Leipzig, and at the junction of the Saxon state railways</w:t></w:r>
</w:p>
<w:p>
<w:pPr><w:pStyle w:val="Normal"/></w:pPr>
<w:r><w:t xml:space="preserve">Leipzig- Hof and Altenburg-Zeitz.  Pop. (1905) 38,811.  The</w:t></w:r>
</w:p>
<w:p>
<w:pPr><w:pStyle w:val="Normal"/></w:pPr>
<w:r><w:t xml:space="preserve">town from its hilly position is irregularly built, but many</w:t></w:r>
</w:p>
<w:p>
<w:pPr><w:pStyle w:val="Normal"/></w:pPr>
<w:r><w:t xml:space="preserve">of its streets are wide, and contain a number of large and</w:t></w:r>
</w:p>
<w:p>
<w:pPr><w:pStyle w:val="Normal"/></w:pPr>
<w:r><w:t xml:space="preserve">beautiful buildings. Its ancient castle is picturesquely</w:t></w:r>
</w:p>
<w:p>
<w:pPr><w:pStyle w:val="Normal"/></w:pPr>
<w:r><w:t xml:space="preserve">situated on a lofty porphyry rock, and is memorable as the</w:t></w:r>
</w:p>
<w:p>
<w:pPr><w:pStyle w:val="Normal"/></w:pPr>
<w:r><w:t xml:space="preserve">place from which, in 1455, Kunz von Kaufungen carried off</w:t></w:r>
</w:p>
<w:p>
<w:pPr><w:pStyle w:val="Normal"/></w:pPr>
<w:r><w:t xml:space="preserve">the young princes Albert and Ernest, the founders of the</w:t></w:r>
</w:p>
<w:p>
<w:pPr><w:pStyle w:val="Normal"/></w:pPr>
<w:r><w:t xml:space="preserve">present royal and ducal families of Saxony. Its beautiful</w:t></w:r>
</w:p>
<w:p>
<w:pPr><w:pStyle w:val="Normal"/></w:pPr>
<w:r><w:t xml:space="preserve">picture gallery, containing portraits of several of the</w:t></w:r>
</w:p>
<w:p>
<w:pPr><w:pStyle w:val="Normal"/></w:pPr>
<w:r><w:t xml:space="preserve">famous princes of the house of Wettin, was almost totally</w:t></w:r>
</w:p>
<w:p>
<w:pPr><w:pStyle w:val="Normal"/></w:pPr>
<w:r><w:t xml:space="preserve">destroyed by fire in January 1905.  Altenburg is the seat</w:t></w:r>
</w:p>
<w:p>
<w:pPr><w:pStyle w:val="Normal"/></w:pPr>
<w:r><w:t xml:space="preserve">of the higher courts of the Saxon duchies, and possesses a</w:t></w:r>
</w:p>
<w:p>
<w:pPr><w:pStyle w:val="Normal"/></w:pPr>
<w:r><w:t xml:space="preserve">cathedral and several churches, schools, a library, a gallery</w:t></w:r>
</w:p>
<w:p>
<w:pPr><w:pStyle w:val="Normal"/></w:pPr>
<w:r><w:t xml:space="preserve">of pictures and a school of art, an infirmary and various</w:t></w:r>
</w:p>
<w:p>
<w:pPr><w:pStyle w:val="Normal"/></w:pPr>
<w:r><w:t xml:space="preserve">learned societies. There is also a museum, with natural</w:t></w:r>
</w:p>
<w:p>
<w:pPr><w:pStyle w:val="Normal"/></w:pPr>
<w:r><w:t xml:space="preserve">history, archaeological, and art collections, and among other</w:t></w:r>
</w:p>
<w:p>
<w:pPr><w:pStyle w:val="Normal"/></w:pPr>
<w:r><w:t xml:space="preserve">buildings may be mentioned St Bartholomew&apos;s church (1089), the</w:t></w:r>
</w:p>
<w:p>
<w:pPr><w:pStyle w:val="Normal"/></w:pPr>
<w:r><w:t xml:space="preserve">town hall (1562-1564), a lunatic asylum, teachers&apos; seminary</w:t></w:r>
</w:p>
<w:p>
<w:pPr><w:pStyle w:val="Normal"/></w:pPr>
<w:r><w:t xml:space="preserve">and an agricultural academy. There is considerable traffic</w:t></w:r>
</w:p>
<w:p>
<w:pPr><w:pStyle w:val="Normal"/></w:pPr>
<w:r><w:t xml:space="preserve">in grain and cattle brought from the surrounding districts;</w:t></w:r>
</w:p>
<w:p>
<w:pPr><w:pStyle w:val="Normal"/></w:pPr>
<w:r><w:t xml:space="preserve">and twice a year there are large horse fairs. Cigars, woollen</w:t></w:r>
</w:p>
<w:p>
<w:pPr><w:pStyle w:val="Normal"/></w:pPr>
<w:r><w:t xml:space="preserve">goods, gloves, hats and porcelain are among the chief</w:t></w:r>
</w:p>
<w:p>
<w:pPr><w:pStyle w:val="Normal"/></w:pPr>
<w:r><w:t xml:space="preserve">manufactures.  There are lignite mines in the vicinity.</w:t></w:r>
</w:p>
<w:p>
<w:pPr><w:pStyle w:val="Normal"/></w:pPr>
<w:r><w:t xml:space="preserve">ALTENSTEIN, a castle upon a rocky mountain in Saxe-</w:t></w:r>
</w:p>
<w:p>
<w:pPr><w:pStyle w:val="Normal"/></w:pPr>
<w:r><w:t xml:space="preserve">Meiningen, on the south-western slope of the Thuringerwald,</w:t></w:r>
</w:p>
<w:p>
<w:pPr><w:pStyle w:val="Normal"/></w:pPr>
<w:r><w:t xml:space="preserve">not far from Eisenach.  It is the summer residence of the</w:t></w:r>
</w:p>
<w:p>
<w:pPr><w:pStyle w:val="Normal"/></w:pPr>
<w:r><w:t xml:space="preserve">dukes of Meiningen, and is surrounded by a noble park, which</w:t></w:r>
</w:p>
<w:p>
<w:pPr><w:pStyle w:val="Normal"/></w:pPr>
<w:r><w:t xml:space="preserve">contains, among other objects of interest, a remarkable</w:t></w:r>
</w:p>
<w:p>
<w:pPr><w:pStyle w:val="Normal"/></w:pPr>
<w:r><w:t xml:space="preserve">underground cavern, 500 ft. long, through which flows a large</w:t></w:r>
</w:p>
<w:p>
<w:pPr><w:pStyle w:val="Normal"/></w:pPr>
<w:r><w:t xml:space="preserve">and rapid stream.  Boniface, the apostle of the Germans,</w:t></w:r>
</w:p>
<w:p>
<w:pPr><w:pStyle w:val="Normal"/></w:pPr>
<w:r><w:t xml:space="preserve">lived and preached at Altenstein in 724; and near by is the</w:t></w:r>
</w:p>
<w:p>
<w:pPr><w:pStyle w:val="Normal"/></w:pPr>
<w:r><w:t xml:space="preserve">place where, in 1521, Luther was seized, by the order of</w:t></w:r>
</w:p>
<w:p>
<w:pPr><w:pStyle w:val="Normal"/></w:pPr>
<w:r><w:t xml:space="preserve">the elector Frederick the Wise, to be carried off to the</w:t></w:r>
</w:p>
<w:p>
<w:pPr><w:pStyle w:val="Normal"/></w:pPr>
<w:r><w:t xml:space="preserve">Wartburg.  An old beech called ``Luther&apos;s tree,&apos;&apos; which</w:t></w:r>
</w:p>
<w:p>
<w:pPr><w:pStyle w:val="Normal"/></w:pPr>
<w:r><w:t xml:space="preserve">tradition connected with the reformer, was blown down in</w:t></w:r>
</w:p>
<w:p>
<w:pPr><w:pStyle w:val="Normal"/></w:pPr>
<w:r><w:t xml:space="preserve">1841, and a small monument now stands in its place.</w:t></w:r>
</w:p>
<w:p>
<w:pPr><w:pStyle w:val="Normal"/></w:pPr>
<w:r><w:t xml:space="preserve">ALTERNATION (from Lat. aiternare, to do by turns), strictly,</w:t></w:r>
</w:p>
<w:p>
<w:pPr><w:pStyle w:val="Normal"/></w:pPr>
<w:r><w:t xml:space="preserve">the process of ``alternating&apos;&apos;&apos; i.e. of two things following</w:t></w:r>
</w:p>
<w:p>
<w:pPr><w:pStyle w:val="Normal"/></w:pPr>
<w:r><w:t xml:space="preserve">one another regularly by turns, as night alternates with day.</w:t></w:r>
</w:p>
<w:p>
<w:pPr><w:pStyle w:val="Normal"/></w:pPr>
<w:r><w:t xml:space="preserve">A somewhat different sense is attached to some usages of the</w:t></w:r>
</w:p>
<w:p>
<w:pPr><w:pStyle w:val="Normal"/></w:pPr>
<w:r><w:t xml:space="preserve">derivatives.  Thus, in American political representative bodies</w:t></w:r>
</w:p>
<w:p>
<w:pPr><w:pStyle w:val="Normal"/></w:pPr>
<w:r><w:t xml:space="preserve">and in the case of company directors, a substitute is sometimes</w:t></w:r>
</w:p>
<w:p>
<w:pPr><w:pStyle w:val="Normal"/></w:pPr>
<w:r><w:t xml:space="preserve">called an ``alternate.&apos;&apos; An ``alternative&apos;&apos; IS that which</w:t></w:r>
</w:p>
<w:p>
<w:pPr><w:pStyle w:val="Normal"/></w:pPr>
<w:r><w:t xml:space="preserve">is offered as a choice of two things, the acceptance of the</w:t></w:r>
</w:p>
<w:p>
<w:pPr><w:pStyle w:val="Normal"/></w:pPr>
<w:r><w:t xml:space="preserve">one implying the rejection of the other.  It is incorrect</w:t></w:r>
</w:p>
<w:p>
<w:pPr><w:pStyle w:val="Normal"/></w:pPr>
<w:r><w:t xml:space="preserve">to speak of more than two alternatives, though Mr Gladstone</w:t></w:r>
</w:p>
<w:p>
<w:pPr><w:pStyle w:val="Normal"/></w:pPr>
<w:r><w:t xml:space="preserve">wrote in 1857 of a fourth (Oxf. Essays, 26). When there</w:t></w:r>
</w:p>
<w:p>
<w:pPr><w:pStyle w:val="Normal"/></w:pPr>
<w:r><w:t xml:space="preserve">is only one course open there is said to be no alternative.</w:t></w:r>
</w:p>
<w:p>
<w:pPr><w:pStyle w:val="Normal"/></w:pPr>
<w:r><w:t xml:space="preserve">ALTHAEA, in classical legend, daughter of Thestius, king of Aetolia,</w:t></w:r>
</w:p>
<w:p>
<w:pPr><w:pStyle w:val="Normal"/></w:pPr>
<w:r><w:t xml:space="preserve">wife of Oeneus, king of Calydon, and mother of Meleager (q.v..)</w:t></w:r>
</w:p>
<w:p>
<w:pPr><w:pStyle w:val="Normal"/></w:pPr>
<w:r><w:t xml:space="preserve">ALTING, JOHANN HEINRICH (1583--1644), German divine, was</w:t></w:r>
</w:p>
<w:p>
<w:pPr><w:pStyle w:val="Normal"/></w:pPr>
<w:r><w:t xml:space="preserve">born at Emden, where his father, Menso Alting ( 1541-1612), was</w:t></w:r>
</w:p>
<w:p>
<w:pPr><w:pStyle w:val="Normal"/></w:pPr>
<w:r><w:t xml:space="preserve">minister.  Johann studied with great success at the universities</w:t></w:r>
</w:p>
<w:p>
<w:pPr><w:pStyle w:val="Normal"/></w:pPr>
<w:r><w:t xml:space="preserve">of Groningen and Herborn.  In 1608 he was appointed tutor of</w:t></w:r>
</w:p>
<w:p>
<w:pPr><w:pStyle w:val="Normal"/></w:pPr>
<w:r><w:t xml:space="preserve">Frederick, afterwards elector-palatine, at Heidelberg, and</w:t></w:r>
</w:p>
<w:p>
<w:pPr><w:pStyle w:val="Normal"/></w:pPr>
<w:r><w:t xml:space="preserve">in 1612 accompanied him to England.  Returning in 1613 to</w:t></w:r>
</w:p>
<w:p>
<w:pPr><w:pStyle w:val="Normal"/></w:pPr>
<w:r><w:t xml:space="preserve">Heidelberg, after the marriage of the elector with Princess</w:t></w:r>
</w:p>
<w:p>
<w:pPr><w:pStyle w:val="Normal"/></w:pPr>
<w:r><w:t xml:space="preserve">Elizabeth of England, he was appointed professor of dogmatics,</w:t></w:r>
</w:p>
<w:p>
<w:pPr><w:pStyle w:val="Normal"/></w:pPr>
<w:r><w:t xml:space="preserve">and in 1616 director of the theological department in the</w:t></w:r>
</w:p>
<w:p>
<w:pPr><w:pStyle w:val="Normal"/></w:pPr>
<w:r><w:t xml:space="preserve">Collegium Sapientiae.  In 1618, along with Abraham</w:t></w:r>
</w:p>
<w:p>
<w:pPr><w:pStyle w:val="Normal"/></w:pPr>
<w:r><w:t xml:space="preserve">Scultetus, he represented the university in the synod of</w:t></w:r>
</w:p>
<w:p>
<w:pPr><w:pStyle w:val="Normal"/></w:pPr>
<w:r><w:t xml:space="preserve">Dort.  When Count Tilly took the city of Heidelberg (1622)</w:t></w:r>
</w:p>
<w:p>
<w:pPr><w:pStyle w:val="Normal"/></w:pPr>
<w:r><w:t xml:space="preserve">and handed it over to plunder, Alting found great difficulty</w:t></w:r>
</w:p>
<w:p>
<w:pPr><w:pStyle w:val="Normal"/></w:pPr>
<w:r><w:t xml:space="preserve">in escaping the fury of the soldiers.  He first retired to</w:t></w:r>
</w:p>
<w:p>
<w:pPr><w:pStyle w:val="Normal"/></w:pPr>
<w:r><w:t xml:space="preserve">Schorndorf; but, offended by the ``semi-Pelagianism&apos;&apos; of the</w:t></w:r>
</w:p>
<w:p>
<w:pPr><w:pStyle w:val="Normal"/></w:pPr>
<w:r><w:t xml:space="preserve">Lutherans with whom he was brought in contact, he removed to</w:t></w:r>
</w:p>
<w:p>
<w:pPr><w:pStyle w:val="Normal"/></w:pPr>
<w:r><w:t xml:space="preserve">Holland, where the unfortunate elector and ``Winter King&apos;&apos;</w:t></w:r>
</w:p>
<w:p>
<w:pPr><w:pStyle w:val="Normal"/></w:pPr>
<w:r><w:t xml:space="preserve">Frederick, in exile after his brief reign in Bohemia, made</w:t></w:r>
</w:p>
<w:p>
<w:pPr><w:pStyle w:val="Normal"/></w:pPr>
<w:r><w:t xml:space="preserve">him tutor to his eldest son.  In 1627 Alting was appointed</w:t></w:r>
</w:p>
<w:p>
<w:pPr><w:pStyle w:val="Normal"/></w:pPr>
<w:r><w:t xml:space="preserve">to the chair of theology at Groningen, where he continued</w:t></w:r>
</w:p>
<w:p>
<w:pPr><w:pStyle w:val="Normal"/></w:pPr>
<w:r><w:t xml:space="preserve">to lecture, with increasing reputation, until his death in</w:t></w:r>
</w:p>
<w:p>
<w:pPr><w:pStyle w:val="Normal"/></w:pPr>
<w:r><w:t xml:space="preserve">1644.  Though an orthodox Calvinist, Alting laid little</w:t></w:r>
</w:p>
<w:p>
<w:pPr><w:pStyle w:val="Normal"/></w:pPr>
<w:r><w:t xml:space="preserve">stress on the sterner side of his creed and, when at Dort</w:t></w:r>
</w:p>
<w:p>
<w:pPr><w:pStyle w:val="Normal"/></w:pPr>
<w:r><w:t xml:space="preserve">he opposed the Remonstrants, he did so mainly on the</w:t></w:r>
</w:p>
<w:p>
<w:pPr><w:pStyle w:val="Normal"/></w:pPr>
<w:r><w:t xml:space="preserve">ground that they were ``innovators.&apos;&apos; Among his works are:</w:t></w:r>
</w:p>
<w:p>
<w:pPr><w:pStyle w:val="Normal"/></w:pPr>
<w:r><w:t xml:space="preserve">--Notae in Decadem Problematum Jacobi Behm (Heidelberg,</w:t></w:r>
</w:p>
<w:p>
<w:pPr><w:pStyle w:val="Normal"/></w:pPr>
<w:r><w:t xml:space="preserve">1618); Scripta Pheologica Meidelbergensia (Amst.,</w:t></w:r>
</w:p>
<w:p>
<w:pPr><w:pStyle w:val="Normal"/></w:pPr>
<w:r><w:t xml:space="preserve">1662); Exegesis Augustanae Confessionis (Amst., 1647).</w:t></w:r>
</w:p>
<w:p>
<w:pPr><w:pStyle w:val="Normal"/></w:pPr>
<w:r><w:t xml:space="preserve">ALTINUM (mod. Altino), an ancient town of Venetia,</w:t></w:r>
</w:p>
<w:p>
<w:pPr><w:pStyle w:val="Normal"/></w:pPr>
<w:r><w:t xml:space="preserve">12 m. S.E. of Tarvisium (Treviso), on the edge of the</w:t></w:r>
</w:p>
<w:p>
<w:pPr><w:pStyle w:val="Normal"/></w:pPr>
<w:r><w:t xml:space="preserve">lagoons.  It was probably only a small fishing village until</w:t></w:r>
</w:p>
<w:p>
<w:pPr><w:pStyle w:val="Normal"/></w:pPr>
<w:r><w:t xml:space="preserve">it became the point of junction of the Via Postumia and the</w:t></w:r>
</w:p>
<w:p>
<w:pPr><w:pStyle w:val="Normal"/></w:pPr>
<w:r><w:t xml:space="preserve">Via Popillia (see AQUILEIA). At the end of the republic</w:t></w:r>
</w:p>
<w:p>
<w:pPr><w:pStyle w:val="Normal"/></w:pPr>
<w:r><w:t xml:space="preserve">it was a municipium.  Augustus and his successors brought</w:t></w:r>
</w:p>
<w:p>
<w:pPr><w:pStyle w:val="Normal"/></w:pPr>
<w:r><w:t xml:space="preserve">it into further importance as a point on the route between</w:t></w:r>
</w:p>
<w:p>
<w:pPr><w:pStyle w:val="Normal"/></w:pPr>
<w:r><w:t xml:space="preserve">Italy and the north-eastern portions of the empire.  After</w:t></w:r>
</w:p>
<w:p>
<w:pPr><w:pStyle w:val="Normal"/></w:pPr>
<w:r><w:t xml:space="preserve">the foundation of the naval station at Ravenna, it became the</w:t></w:r>
</w:p>
<w:p>
<w:pPr><w:pStyle w:val="Normal"/></w:pPr>
<w:r><w:t xml:space="preserve">practice to take ship from there to Altinum, instead of following</w:t></w:r>
</w:p>
<w:p>
<w:pPr><w:pStyle w:val="Normal"/></w:pPr>
<w:r><w:t xml:space="preserve">the Via Popillia round the coast, and thence to continue</w:t></w:r>
</w:p>
<w:p>
<w:pPr><w:pStyle w:val="Normal"/></w:pPr>
<w:r><w:t xml:space="preserve">the journey by land.  A new road, the Via Claudia Augusta,</w:t></w:r>
</w:p>
<w:p>
<w:pPr><w:pStyle w:val="Normal"/></w:pPr>
<w:r><w:t xml:space="preserve">was constructed by the emperor Claudius from Altinum to the</w:t></w:r>
</w:p>
<w:p>
<w:pPr><w:pStyle w:val="Normal"/></w:pPr>
<w:r><w:t xml:space="preserve">Danube, a distance of 350 m., apparently by way of the Lake of</w:t></w:r>
</w:p>
<w:p>
<w:pPr><w:pStyle w:val="Normal"/></w:pPr>
<w:r><w:t xml:space="preserve">Constance.  The place thus became of considerable strategic</w:t></w:r>
</w:p>
<w:p>
<w:pPr><w:pStyle w:val="Normal"/></w:pPr>
<w:r><w:t xml:space="preserve">and commercial importance, and the comparatively mild climate</w:t></w:r>
</w:p>
<w:p>
<w:pPr><w:pStyle w:val="Normal"/></w:pPr>
<w:r><w:t xml:space="preserve">(considering its northerly situation) led to the erection of</w:t></w:r>
</w:p>
<w:p>
<w:pPr><w:pStyle w:val="Normal"/></w:pPr>
<w:r><w:t xml:space="preserve">villas which Martial (Epigr. iv. 25) compares with those of</w:t></w:r>
</w:p>
<w:p>
<w:pPr><w:pStyle w:val="Normal"/></w:pPr>
<w:r><w:t xml:space="preserve">Baiae.  It was destroyed by Attila in A.D. 452, and its</w:t></w:r>
</w:p>
<w:p>
<w:pPr><w:pStyle w:val="Normal"/></w:pPr>
<w:r><w:t xml:space="preserve">inhabitants took refuge in the islands of the lagoons,</w:t></w:r>
</w:p>
<w:p>
<w:pPr><w:pStyle w:val="Normal"/></w:pPr>
<w:r><w:t xml:space="preserve">forming settlements from which Venice eventually sprang.</w:t></w:r>
</w:p>
<w:p>
<w:pPr><w:pStyle w:val="Normal"/></w:pPr>
<w:r><w:t xml:space="preserve">ALTITUDE (Lat. altitudo, from altus, high), height or</w:t></w:r>
</w:p>
<w:p>
<w:pPr><w:pStyle w:val="Normal"/></w:pPr>
<w:r><w:t xml:space="preserve">eminence, and particularly the height above the ground or above</w:t></w:r>
</w:p>
<w:p>
<w:pPr><w:pStyle w:val="Normal"/></w:pPr>
<w:r><w:t xml:space="preserve">sea-level.  In geometry, the altitude of a triangle is the</w:t></w:r>
</w:p>
<w:p>
<w:pPr><w:pStyle w:val="Normal"/></w:pPr>
<w:r><w:t xml:space="preserve">length of the perpendicular from the vertex to the base.  In</w:t></w:r>
</w:p>
<w:p>
<w:pPr><w:pStyle w:val="Normal"/></w:pPr>
<w:r><w:t xml:space="preserve">astronomy, the altitude of a heavenly body is the apparent</w:t></w:r>
</w:p>
<w:p>
<w:pPr><w:pStyle w:val="Normal"/></w:pPr>
<w:r><w:t xml:space="preserve">angular elevation of the body above the plane of the horizon</w:t></w:r>
</w:p>
<w:p>
<w:pPr><w:pStyle w:val="Normal"/></w:pPr>
<w:r><w:t xml:space="preserve">(see ASTRONOMY: Spherical).  Apparent altitude is the</w:t></w:r>
</w:p>
<w:p>
<w:pPr><w:pStyle w:val="Normal"/></w:pPr>
<w:r><w:t xml:space="preserve">value which is directly observed; true altitude is deduced</w:t></w:r>
</w:p>
<w:p>
<w:pPr><w:pStyle w:val="Normal"/></w:pPr>
<w:r><w:t xml:space="preserve">by correcting for astronomical refraction and dip of the</w:t></w:r>
</w:p>
<w:p>
<w:pPr><w:pStyle w:val="Normal"/></w:pPr>
<w:r><w:t xml:space="preserve">horizon; geocentric altitude by correcting for parallax.</w:t></w:r>
</w:p>
<w:p>
<w:pPr><w:pStyle w:val="Normal"/></w:pPr>
<w:r><w:t xml:space="preserve">ALTMUHL, a river of Germany, in the kingdom of Bavaria.</w:t></w:r>
</w:p>
<w:p>
<w:pPr><w:pStyle w:val="Normal"/></w:pPr>
<w:r><w:t xml:space="preserve">It is an important left bank tributary of the Danube,</w:t></w:r>
</w:p>
<w:p>
<w:pPr><w:pStyle w:val="Normal"/></w:pPr>
<w:r><w:t xml:space="preserve">rising in the Franconian plateau (Frankische Terrasse),</w:t></w:r>
</w:p>
<w:p>
<w:pPr><w:pStyle w:val="Normal"/></w:pPr>
<w:r><w:t xml:space="preserve">and after a tortuous course of 116 m., at times flowing</w:t></w:r>
</w:p>
<w:p>
<w:pPr><w:pStyle w:val="Normal"/></w:pPr>
<w:r><w:t xml:space="preserve">through meadows and again in weird romantic gorges, joins</w:t></w:r>
</w:p>
<w:p>
<w:pPr><w:pStyle w:val="Normal"/></w:pPr>
<w:r><w:t xml:space="preserve">the Danube at Kelheim.  From its mouth it is navigable</w:t></w:r>
</w:p>
<w:p>
<w:pPr><w:pStyle w:val="Normal"/></w:pPr>
<w:r><w:t xml:space="preserve">up to Dietfurt (18 m.), whence the Ludwigscanal (100 m.</w:t></w:r>
</w:p>
<w:p>
<w:pPr><w:pStyle w:val="Normal"/></w:pPr>
<w:r><w:t xml:space="preserve">long) proceeds to Bamberg on the Regnitz, thus establishing</w:t></w:r>
</w:p>
<w:p>
<w:pPr><w:pStyle w:val="Normal"/></w:pPr>
<w:r><w:t xml:space="preserve">communication between the Danube and the Rhine.</w:t></w:r>
</w:p>
<w:p>
<w:pPr><w:pStyle w:val="Normal"/></w:pPr>
<w:r><w:t xml:space="preserve">ALTO (Ital. for ``high&apos;,), a musical term applied</w:t></w:r>
</w:p>
<w:p>
<w:pPr><w:pStyle w:val="Normal"/></w:pPr>
<w:r><w:t xml:space="preserve">to the highest adult male voice or counter-tenor,</w:t></w:r>
</w:p>
<w:p>
<w:pPr><w:pStyle w:val="Normal"/></w:pPr>
<w:r><w:t xml:space="preserve">and to the lower boy&apos;s or woman&apos;s (contralto) Voice.</w:t></w:r>
</w:p>
<w:p>
<w:pPr><w:pStyle w:val="Normal"/></w:pPr>
<w:r><w:t xml:space="preserve">ALTON, a market-town in the Fareham parliamentary division</w:t></w:r>
</w:p>
<w:p>
<w:pPr><w:pStyle w:val="Normal"/></w:pPr>
<w:r><w:t xml:space="preserve">of Hampshire, England, 46 1/2 m.  S.W. of London by the London</w:t></w:r>
</w:p>
<w:p>
<w:pPr><w:pStyle w:val="Normal"/></w:pPr>
<w:r><w:t xml:space="preserve">&amp; South-Western railway.  Pop. of urban district (1901) 5479.</w:t></w:r>
</w:p>
<w:p>
<w:pPr><w:pStyle w:val="Normal"/></w:pPr>
<w:r><w:t xml:space="preserve">It has a pleasant undulating site near the headwaters of the</w:t></w:r>
</w:p>
<w:p>
<w:pPr><w:pStyle w:val="Normal"/></w:pPr>
<w:r><w:t xml:space="preserve">river Wey. Of the church of St Lawrence part, including the</w:t></w:r>
</w:p>
<w:p>
<w:pPr><w:pStyle w:val="Normal"/></w:pPr>
<w:r><w:t xml:space="preserve">tower, is Norman; the building was the scene of a fierce</w:t></w:r>
</w:p>
<w:p>
<w:pPr><w:pStyle w:val="Normal"/></w:pPr>
<w:r><w:t xml:space="preserve">conflict between the royalist and parliamentary troops in</w:t></w:r>
</w:p>
<w:p>
<w:pPr><w:pStyle w:val="Normal"/></w:pPr>
<w:r><w:t xml:space="preserve">1643.  There is a museum of natural history; the collection is</w:t></w:r>
</w:p>
<w:p>
<w:pPr><w:pStyle w:val="Normal"/></w:pPr>
<w:r><w:t xml:space="preserve">reminiscent of the famous naturalist Gilbert White, of Selborne</w:t></w:r>
</w:p>
<w:p>
<w:pPr><w:pStyle w:val="Normal"/></w:pPr>
<w:r><w:t xml:space="preserve">in this vicinity. Large markets and fairs are held for corn,</w:t></w:r>
</w:p>
<w:p>
<w:pPr><w:pStyle w:val="Normal"/></w:pPr>
<w:r><w:t xml:space="preserve">hops, cattle and sheep; and the town contains some highly</w:t></w:r>
</w:p>
<w:p>
<w:pPr><w:pStyle w:val="Normal"/></w:pPr>
<w:r><w:t xml:space="preserve">reputed ale breweries, besides paper mills and iron foundries.</w:t></w:r>
</w:p>
<w:p>
<w:pPr><w:pStyle w:val="Normal"/></w:pPr>
<w:r><w:t xml:space="preserve">ALTON, a city of Madison county, Illinois, U.S.A., in the W.</w:t></w:r>
</w:p>
<w:p>
<w:pPr><w:pStyle w:val="Heading1"/></w:pPr>
<w:r><w:t>part of the state, on the Mississippi river, about 10 m. above</w:t></w:r>
</w:p>
<w:p>
<w:pPr><w:pStyle w:val="Normal"/></w:pPr>
<w:r><w:t xml:space="preserve">the mouth of the Missouri, and about 25 m.  N. of St Louis,</w:t></w:r>
</w:p>
<w:p>
<w:pPr><w:pStyle w:val="Normal"/></w:pPr>
<w:r><w:t xml:space="preserve">Missouri.  Pop. (1890) 10,294; (1900) 14,210, of whom 1638</w:t></w:r>
</w:p>
<w:p>
<w:pPr><w:pStyle w:val="Normal"/></w:pPr>
<w:r><w:t xml:space="preserve">were foreign-born; (1910) 17,528.  Alton is served by the</w:t></w:r>
</w:p>
<w:p>
<w:pPr><w:pStyle w:val="Normal"/></w:pPr>
<w:r><w:t xml:space="preserve">Chicago &amp; Alton, the Chicago, Peoria &amp; St Louis, the Cleveland,</w:t></w:r>
</w:p>
<w:p>
<w:pPr><w:pStyle w:val="Normal"/></w:pPr>
<w:r><w:t xml:space="preserve">Cincinnati, Chicago &amp; St Louis, and the Illinois Terminal</w:t></w:r>
</w:p>
<w:p>
<w:pPr><w:pStyle w:val="Normal"/></w:pPr>
<w:r><w:t xml:space="preserve">railways.  The river is here spanned by a bridge.  The</w:t></w:r>
</w:p>
<w:p>
<w:pPr><w:pStyle w:val="Normal"/></w:pPr>
<w:r><w:t xml:space="preserve">residential portion of the city lies on the river bluffs,</w:t></w:r>
</w:p>
<w:p>
<w:pPr><w:pStyle w:val="Normal"/></w:pPr>
<w:r><w:t xml:space="preserve">some of which rise to a height of 250 ft. above the water</w:t></w:r>
</w:p>
<w:p>
<w:pPr><w:pStyle w:val="Normal"/></w:pPr>
<w:r><w:t xml:space="preserve">level, and the business streets are on the bottom lands of the</w:t></w:r>
</w:p>
<w:p>
<w:pPr><w:pStyle w:val="Normal"/></w:pPr>
<w:r><w:t xml:space="preserve">river.  Alton has a public library and a public park.  Upper</w:t></w:r>
</w:p>
<w:p>
<w:pPr><w:pStyle w:val="Normal"/></w:pPr>
<w:r><w:t xml:space="preserve">Alton (pop. 2918 in 1910), about 1 1/2 m.  N.E. of Alton, is</w:t></w:r>
</w:p>
<w:p>
<w:pPr><w:pStyle w:val="Normal"/></w:pPr>
<w:r><w:t xml:space="preserve">the seat of the Western Military Academy (founded in 1879 as</w:t></w:r>
</w:p>
<w:p>
<w:pPr><w:pStyle w:val="Normal"/></w:pPr>
<w:r><w:t xml:space="preserve">Wyman Institute; chartered in 1892), and of Shurtleff College</w:t></w:r>
</w:p>
<w:p>
<w:pPr><w:pStyle w:val="Normal"/></w:pPr>
<w:r><w:t xml:space="preserve">(Baptist, founded in 1827 at Rock Spring, removed to Upper</w:t></w:r>
</w:p>
<w:p>
<w:pPr><w:pStyle w:val="Normal"/></w:pPr>
<w:r><w:t xml:space="preserve">Alton in 1831, and chartered in 1833), which has a college</w:t></w:r>
</w:p>
<w:p>
<w:pPr><w:pStyle w:val="Normal"/></w:pPr>
<w:r><w:t xml:space="preserve">of liberal arts, a divinity school, an academy and a school</w:t></w:r>
</w:p>
<w:p>
<w:pPr><w:pStyle w:val="Normal"/></w:pPr>
<w:r><w:t xml:space="preserve">of music; and the village of Godfrey, 5 1/2 m.  N. of Alton,</w:t></w:r>
</w:p>
<w:p>
<w:pPr><w:pStyle w:val="Normal"/></w:pPr>
<w:r><w:t xml:space="preserve">is the seat of the Monticello Ladies&apos; Seminary, founded by</w:t></w:r>
</w:p>
<w:p>
<w:pPr><w:pStyle w:val="Normal"/></w:pPr>
<w:r><w:t xml:space="preserve">Benjamin Godfrey, opened in 1838, and chartered in 1841. Among</w:t></w:r>
</w:p>
<w:p>
<w:pPr><w:pStyle w:val="Normal"/></w:pPr>
<w:r><w:t xml:space="preserve">the manufactures of Alton are iron and glass ware, miners&apos;</w:t></w:r>
</w:p>
<w:p>
<w:pPr><w:pStyle w:val="Normal"/></w:pPr>
<w:r><w:t xml:space="preserve">tools, shovels, coal-mine cars, flour, and agricultural</w:t></w:r>
</w:p>
<w:p>
<w:pPr><w:pStyle w:val="Normal"/></w:pPr>
<w:r><w:t xml:space="preserve">implements; and there are a large oil refinery and a large lead</w:t></w:r>
</w:p>
<w:p>
<w:pPr><w:pStyle w:val="Normal"/></w:pPr>
<w:r><w:t xml:space="preserve">smelter.  The value of the city&apos;s factory products increased</w:t></w:r>
</w:p>
<w:p>
<w:pPr><w:pStyle w:val="Normal"/></w:pPr>
<w:r><w:t xml:space="preserve">from $4,250,389 in 1900 to $8,696,814 in 1905, or 104.6%.</w:t></w:r>
</w:p>
<w:p>
<w:pPr><w:pStyle w:val="Normal"/></w:pPr>
<w:r><w:t xml:space="preserve">The first settlement on the site of Alton was made in 1807,</w:t></w:r>
</w:p>
<w:p>
<w:pPr><w:pStyle w:val="Normal"/></w:pPr>
<w:r><w:t xml:space="preserve">when a trading post was established by the French.  The</w:t></w:r>
</w:p>
<w:p>
<w:pPr><w:pStyle w:val="Normal"/></w:pPr>
<w:r><w:t xml:space="preserve">town was laid out in 1817, was first incorporated in 1821,</w:t></w:r>
</w:p>
<w:p>
<w:pPr><w:pStyle w:val="Normal"/></w:pPr>
<w:r><w:t xml:space="preserve">and in 1827 was made the seat of a state penitentiary,</w:t></w:r>
</w:p>
<w:p>
<w:pPr><w:pStyle w:val="Normal"/></w:pPr>
<w:r><w:t xml:space="preserve">which was later removed to Joliet, the last prisoners being</w:t></w:r>
</w:p>
<w:p>
<w:pPr><w:pStyle w:val="Normal"/></w:pPr>
<w:r><w:t xml:space="preserve">transferred in 1860. Alton was first chartered as a city in</w:t></w:r>
</w:p>
<w:p>
<w:pPr><w:pStyle w:val="Normal"/></w:pPr>
<w:r><w:t xml:space="preserve">1837.  In 1836 the Rev. Elijah P. Lovejoy (1802-1837), a</w:t></w:r>
</w:p>
<w:p>
<w:pPr><w:pStyle w:val="Normal"/></w:pPr>
<w:r><w:t xml:space="preserve">native of Albion, Maine, removed the Observer, a religious</w:t></w:r>
</w:p>
<w:p>
<w:pPr><w:pStyle w:val="Normal"/></w:pPr>
<w:r><w:t xml:space="preserve">(Presbyterian) periodical of which he was the editor,</w:t></w:r>
</w:p>
<w:p>
<w:pPr><w:pStyle w:val="Normal"/></w:pPr>
<w:r><w:t xml:space="preserve">from St Louis to Alton.  He had attracted considerable</w:t></w:r>
</w:p>
<w:p>
<w:pPr><w:pStyle w:val="Normal"/></w:pPr>
<w:r><w:t xml:space="preserve">attention in St Louis by his criticisms of slavery, but</w:t></w:r>
</w:p>
<w:p>
<w:pPr><w:pStyle w:val="Normal"/></w:pPr>
<w:r><w:t xml:space="preserve">though he believed in emancipation, he was not a radical</w:t></w:r>
</w:p>
<w:p>
<w:pPr><w:pStyle w:val="Normal"/></w:pPr>
<w:r><w:t xml:space="preserve">abolitionist.  After coming to Alton his anti-slavery views</w:t></w:r>
</w:p>
<w:p>
<w:pPr><w:pStyle w:val="Normal"/></w:pPr>
<w:r><w:t xml:space="preserve">soon became more radical, and in a few months he was an avowed</w:t></w:r>
</w:p>
<w:p>
<w:pPr><w:pStyle w:val="Normal"/></w:pPr>
<w:r><w:t xml:space="preserve">abolitionist.  His views were shared by his brother, Owen</w:t></w:r>
</w:p>
<w:p>
<w:pPr><w:pStyle w:val="Normal"/></w:pPr>
<w:r><w:t xml:space="preserve">Lovejoy (1811-1864), a Congregational minister, who also at</w:t></w:r>
</w:p>
<w:p>
<w:pPr><w:pStyle w:val="Normal"/></w:pPr>
<w:r><w:t xml:space="preserve">that time lived in Alton, and who from 1857 until his death</w:t></w:r>
</w:p>
<w:p>
<w:pPr><w:pStyle w:val="Normal"/></w:pPr>
<w:r><w:t xml:space="preserve">was an able anti-slavery member of Congress.  Most of the</w:t></w:r>
</w:p>
<w:p>
<w:pPr><w:pStyle w:val="Normal"/></w:pPr>
<w:r><w:t xml:space="preserve">people of southern Illinois were in sympathy with slavery,</w:t></w:r>
</w:p>
<w:p>
<w:pPr><w:pStyle w:val="Normal"/></w:pPr>
<w:r><w:t xml:space="preserve">and consequently the Lovejoys became very unpopular.  The</w:t></w:r>
</w:p>
<w:p>
<w:pPr><w:pStyle w:val="Normal"/></w:pPr>
<w:r><w:t xml:space="preserve">press of the Observer was three time destroyed, and on</w:t></w:r>
</w:p>
<w:p>
<w:pPr><w:pStyle w:val="Normal"/></w:pPr>
<w:r><w:t xml:space="preserve">the 7th of November 1837 E. P. Loveioy was killed while</w:t></w:r>
</w:p>
<w:p>
<w:pPr><w:pStyle w:val="Normal"/></w:pPr>
<w:r><w:t xml:space="preserve">attempting to defend against a mob a fourth press which he</w:t></w:r>
</w:p>
<w:p>
<w:pPr><w:pStyle w:val="Normal"/></w:pPr>
<w:r><w:t xml:space="preserve">had recently obtained and which was stored in a warehouse in</w:t></w:r>
</w:p>
<w:p>
<w:pPr><w:pStyle w:val="Normal"/></w:pPr>
<w:r><w:t xml:space="preserve">Alton.  His death caused intense excitement throughout the</w:t></w:r>
</w:p>
<w:p>
<w:pPr><w:pStyle w:val="Normal"/></w:pPr>
<w:r><w:t xml:space="preserve">country, and he was everywhere regarded by abolitionists</w:t></w:r>
</w:p>
<w:p>
<w:pPr><w:pStyle w:val="Normal"/></w:pPr>
<w:r><w:t xml:space="preserve">as a martyr to their cause.  In 1897 a monument, a granite</w:t></w:r>
</w:p>
<w:p>
<w:pPr><w:pStyle w:val="Normal"/></w:pPr>
<w:r><w:t xml:space="preserve">column surmounted by a bronze statue of Victory, was erected</w:t></w:r>
</w:p>
<w:p>
<w:pPr><w:pStyle w:val="Normal"/></w:pPr>
<w:r><w:t xml:space="preserve">in his honour by the citizens of Alton and by the state.</w:t></w:r>
</w:p>
<w:p>
<w:pPr><w:pStyle w:val="Normal"/></w:pPr>
<w:r><w:t xml:space="preserve">See Henry Tanner, The Martyrdom of Lovejoy (Chicago,</w:t></w:r>
</w:p>
<w:p>
<w:pPr><w:pStyle w:val="Normal"/></w:pPr>
<w:r><w:t xml:space="preserve">1881), and ``The Alton Tragedy&apos;&apos; in S. J. May&apos;s Some</w:t></w:r>
</w:p>
<w:p>
<w:pPr><w:pStyle w:val="Normal"/></w:pPr>
<w:r><w:t xml:space="preserve">Recollections of Our Anti-Slavery Conflict (Boston, 1869).</w:t></w:r>
</w:p>
<w:p>
<w:pPr><w:pStyle w:val="Normal"/></w:pPr>
<w:r><w:t xml:space="preserve">ALTONA, a town of Germany, in the Prussian province of</w:t></w:r>
</w:p>
<w:p>
<w:pPr><w:pStyle w:val="Normal"/></w:pPr>
<w:r><w:t xml:space="preserve">Schleswig-Holstein, on the right bank of the Elbe immediately</w:t></w:r>
</w:p>
<w:p>
<w:pPr><w:pStyle w:val="Normal"/></w:pPr>
<w:r><w:t xml:space="preserve">west of Hamburg.  Though administratively distinct, the</w:t></w:r>
</w:p>
<w:p>
<w:pPr><w:pStyle w:val="Normal"/></w:pPr>
<w:r><w:t xml:space="preserve">two cities so closely adjoin as virtually to form one</w:t></w:r>
</w:p>
<w:p>
<w:pPr><w:pStyle w:val="Normal"/></w:pPr>
<w:r><w:t xml:space="preserve">whole.  Lying higher than Hamburg, Altona enjoys a purer</w:t></w:r>
</w:p>
<w:p>
<w:pPr><w:pStyle w:val="Normal"/></w:pPr>
<w:r><w:t xml:space="preserve">and healthier atmosphere.  It has spacious squares and</w:t></w:r>
</w:p>
<w:p>
<w:pPr><w:pStyle w:val="Normal"/></w:pPr>
<w:r><w:t xml:space="preserve">streets, among the latter the Palmaille, a stately avenue</w:t></w:r>
</w:p>
<w:p>
<w:pPr><w:pStyle w:val="Normal"/></w:pPr>
<w:r><w:t xml:space="preserve">ending on a terrace about 100 ft. above the Elbe, whence</w:t></w:r>
</w:p>
<w:p>
<w:pPr><w:pStyle w:val="Normal"/></w:pPr>
<w:r><w:t xml:space="preserve">a fine view is obtained of the river and the lowlands</w:t></w:r>
</w:p>
<w:p>
<w:pPr><w:pStyle w:val="Normal"/></w:pPr>
<w:r><w:t xml:space="preserve">beyond.  Of the six Evangelical churches, the Hauptkirche</w:t></w:r>
</w:p>
<w:p>
<w:pPr><w:pStyle w:val="Normal"/></w:pPr>
<w:r><w:t xml:space="preserve">(parish church), with a lofty steeple, is noteworthy.</w:t></w:r>
</w:p>
<w:p>
<w:pPr><w:pStyle w:val="Normal"/></w:pPr>
<w:r><w:t xml:space="preserve">The main thoroughfares are embellished by several striking</w:t></w:r>
</w:p>
<w:p>
<w:pPr><w:pStyle w:val="Normal"/></w:pPr>
<w:r><w:t xml:space="preserve">monuments, notably the memorials of the wars of 1864 and</w:t></w:r>
</w:p>
<w:p>
<w:pPr><w:pStyle w:val="Normal"/></w:pPr>
<w:r><w:t xml:space="preserve">1870, bronze statues of the emperor William I. and Bismarck</w:t></w:r>
</w:p>
<w:p>
<w:pPr><w:pStyle w:val="Normal"/></w:pPr>
<w:r><w:t xml:space="preserve">and the column of Victory (Siegessaule).  The museum (1901)</w:t></w:r>
</w:p>
<w:p>
<w:pPr><w:pStyle w:val="Normal"/></w:pPr>
<w:r><w:t xml:space="preserve">is an imposing building in the German Renaissance style and</w:t></w:r>
</w:p>
<w:p>
<w:pPr><w:pStyle w:val="Normal"/></w:pPr>
<w:r><w:t xml:space="preserve">contains, in addition to a valuable library, ethnographical</w:t></w:r>
</w:p>
<w:p>
<w:pPr><w:pStyle w:val="Normal"/></w:pPr>
<w:r><w:t xml:space="preserve">and natural history collections.  Its site is that formerly</w:t></w:r>
</w:p>
<w:p>
<w:pPr><w:pStyle w:val="Normal"/></w:pPr>
<w:r><w:t xml:space="preserve">occupied by the terminus of the Schleswig-Holstein railways,</w:t></w:r>
</w:p>
<w:p>
<w:pPr><w:pStyle w:val="Normal"/></w:pPr>
<w:r><w:t xml:space="preserve">but a handsome central station lying somewhat farther to</w:t></w:r>
</w:p>
<w:p>
<w:pPr><w:pStyle w:val="Normal"/></w:pPr>
<w:r><w:t xml:space="preserve">the N., connected with Hamburg by an elevated railway, now</w:t></w:r>
</w:p>
<w:p>
<w:pPr><w:pStyle w:val="Normal"/></w:pPr>
<w:r><w:t xml:space="preserve">accommodates all the traffic and provides through communication</w:t></w:r>
</w:p>
<w:p>
<w:pPr><w:pStyle w:val="Normal"/></w:pPr>
<w:r><w:t xml:space="preserve">with the main Prussian railway systems.  There are also fine</w:t></w:r>
</w:p>
<w:p>
<w:pPr><w:pStyle w:val="Normal"/></w:pPr>
<w:r><w:t xml:space="preserve">municipal and judicial buildings, a theatre (under the same</w:t></w:r>
</w:p>
<w:p>
<w:pPr><w:pStyle w:val="Normal"/></w:pPr>
<w:r><w:t xml:space="preserve">management as the Stadttheater in Hamburg), a gymnasium,</w:t></w:r>
</w:p>
<w:p>
<w:pPr><w:pStyle w:val="Normal"/></w:pPr>
<w:r><w:t xml:space="preserve">technical schools, a school of navigation and a hospital.</w:t></w:r>
</w:p>
<w:p>
<w:pPr><w:pStyle w:val="Normal"/></w:pPr>
<w:r><w:t xml:space="preserve">In respect of its local industries Altona has manufactures</w:t></w:r>
</w:p>
<w:p>
<w:pPr><w:pStyle w:val="Normal"/></w:pPr>
<w:r><w:t xml:space="preserve">of tobacco and cigars, of machinery, woollens, cottons and</w:t></w:r>
</w:p>
<w:p>
<w:pPr><w:pStyle w:val="Normal"/></w:pPr>
<w:r><w:t xml:space="preserve">chemicals.  There are also extensive breweries, tanneries</w:t></w:r>
</w:p>
<w:p>
<w:pPr><w:pStyle w:val="Normal"/></w:pPr>
<w:r><w:t xml:space="preserve">and soap and oil works.  Altona carries on an extensive</w:t></w:r>
</w:p>
<w:p>
<w:pPr><w:pStyle w:val="Normal"/></w:pPr>
<w:r><w:t xml:space="preserve">maritime trade with Great Britain, France and America, but</w:t></w:r>
</w:p>
<w:p>
<w:pPr><w:pStyle w:val="Normal"/></w:pPr>
<w:r><w:t xml:space="preserve">it has by no means succeeded in depriving Hamburg of its</w:t></w:r>
</w:p>
<w:p>
<w:pPr><w:pStyle w:val="Normal"/></w:pPr>
<w:r><w:t xml:space="preserve">commercial superiority -- indeed, so dependent is it upon its</w:t></w:r>
</w:p>
<w:p>
<w:pPr><w:pStyle w:val="Normal"/></w:pPr>
<w:r><w:t xml:space="preserve">rival that most of its business is transacted on the Hamburg</w:t></w:r>
</w:p>
<w:p>
<w:pPr><w:pStyle w:val="Normal"/></w:pPr>
<w:r><w:t xml:space="preserve">exchange, while the magnificent warehouses on the Altona river</w:t></w:r>
</w:p>
<w:p>
<w:pPr><w:pStyle w:val="Normal"/></w:pPr>
<w:r><w:t xml:space="preserve">bank are to a large extent occupied by the goods of Hamburg</w:t></w:r>
</w:p>
<w:p>
<w:pPr><w:pStyle w:val="Normal"/></w:pPr>
<w:r><w:t xml:space="preserve">merchants.  Since 1888, when Altona joined the imperial</w:t></w:r>
</w:p>
<w:p>
<w:pPr><w:pStyle w:val="Normal"/></w:pPr>
<w:r><w:t xml:space="preserve">Zollverein, approximately half a million sterling has been</w:t></w:r>
</w:p>
<w:p>
<w:pPr><w:pStyle w:val="Normal"/></w:pPr>
<w:r><w:t xml:space="preserve">spent upon harbour improvement works. The exports and imports</w:t></w:r>
</w:p>
<w:p>
<w:pPr><w:pStyle w:val="Normal"/></w:pPr>
<w:r><w:t xml:space="preserve">resemble those of Hamburg.  In the ten years 1871-1880,</w:t></w:r>
</w:p>
<w:p>
<w:pPr><w:pStyle w:val="Normal"/></w:pPr>
<w:r><w:t xml:space="preserve">the port was entered on an average annually by 737 vessels</w:t></w:r>
</w:p>
<w:p>
<w:pPr><w:pStyle w:val="Normal"/></w:pPr>
<w:r><w:t xml:space="preserve">of 67,735 tons, in 1881-1890 by 608 vessels of 154,713</w:t></w:r>
</w:p>
<w:p>
<w:pPr><w:pStyle w:val="Normal"/></w:pPr>
<w:r><w:t xml:space="preserve">tons, and in 1891-1898 by 839 vessels of 253,384 tons.</w:t></w:r>
</w:p>
<w:p>
<w:pPr><w:pStyle w:val="Normal"/></w:pPr>
<w:r><w:t xml:space="preserve">In 1890 the populous suburbs of Ottensen to the W., where the</w:t></w:r>
</w:p>
<w:p>
<w:pPr><w:pStyle w:val="Normal"/></w:pPr>
<w:r><w:t xml:space="preserve">poet Gottlieb Klopstock lies buried, Bahrenfeld, Othmarschen</w:t></w:r>
</w:p>
<w:p>
<w:pPr><w:pStyle w:val="Normal"/></w:pPr>
<w:r><w:t xml:space="preserve">and Ovelgonne were incorporated.  Without these suburbs the</w:t></w:r>
</w:p>
<w:p>
<w:pPr><w:pStyle w:val="Normal"/></w:pPr>
<w:r><w:t xml:space="preserve">growth of the town may be seen from the following figures: --</w:t></w:r>
</w:p>
<w:p>
<w:pPr><w:pStyle w:val="Normal"/></w:pPr>
<w:r><w:t xml:space="preserve">(1864, when it ceased to he Danish) 53,039; (1880) 91,049;</w:t></w:r>
</w:p>
<w:p>
<w:pPr><w:pStyle w:val="Normal"/></w:pPr>
<w:r><w:t xml:space="preserve">(1885) 104,717; (1890) together with the four suburbs,</w:t></w:r>
</w:p>
<w:p>
<w:pPr><w:pStyle w:val="Normal"/></w:pPr>
<w:r><w:t xml:space="preserve">143,249; (1895) 148,944; (1900) 161,508; (1905) 168,301.</w:t></w:r>
</w:p>
<w:p>
<w:pPr><w:pStyle w:val="Normal"/></w:pPr>
<w:r><w:t xml:space="preserve">Altona is the headquarters of the IX. German army corps.</w:t></w:r>
</w:p>
<w:p>
<w:pPr><w:pStyle w:val="Normal"/></w:pPr>
<w:r><w:t xml:space="preserve">The name Altona is said to be derived from allzu-nah (``all</w:t></w:r>
</w:p>
<w:p>
<w:pPr><w:pStyle w:val="Normal"/></w:pPr>
<w:r><w:t xml:space="preserve">too near&apos;&apos;), the Hamburgers&apos; designation for an inn which</w:t></w:r>
</w:p>
<w:p>
<w:pPr><w:pStyle w:val="Normal"/></w:pPr>
<w:r><w:t xml:space="preserve">in the middle of the 16th century lay too close to their</w:t></w:r>
</w:p>
<w:p>
<w:pPr><w:pStyle w:val="Normal"/></w:pPr>
<w:r><w:t xml:space="preserve">territory. For a long time this was the only house in the</w:t></w:r>
</w:p>
<w:p>
<w:pPr><w:pStyle w:val="Normal"/></w:pPr>
<w:r><w:t xml:space="preserve">locality.  When in 1640 Altona passed to Denmark it was</w:t></w:r>
</w:p>
<w:p>
<w:pPr><w:pStyle w:val="Normal"/></w:pPr>
<w:r><w:t xml:space="preserve">a small fishing village. Its rise to its present position</w:t></w:r>
</w:p>
<w:p>
<w:pPr><w:pStyle w:val="Normal"/></w:pPr>
<w:r><w:t xml:space="preserve">is mainly due to the fostering care of the Danish kings</w:t></w:r>
</w:p>
<w:p>
<w:pPr><w:pStyle w:val="Normal"/></w:pPr>
<w:r><w:t xml:space="preserve">who conferred certain customs privileges and exemptions</w:t></w:r>
</w:p>
<w:p>
<w:pPr><w:pStyle w:val="Normal"/></w:pPr>
<w:r><w:t xml:space="preserve">upon it with a view to making it a formidable rival to</w:t></w:r>
</w:p>
<w:p>
<w:pPr><w:pStyle w:val="Normal"/></w:pPr>
<w:r><w:t xml:space="preserve">Hamburg.  In 1713 it was burnt by the Swedes, but rapidly</w:t></w:r>
</w:p>
<w:p>
<w:pPr><w:pStyle w:val="Normal"/></w:pPr>
<w:r><w:t xml:space="preserve">recovered from this disaster, and despite the trials of</w:t></w:r>
</w:p>
<w:p>
<w:pPr><w:pStyle w:val="Normal"/></w:pPr>
<w:r><w:t xml:space="preserve">the Napoleonic wars, gradually increased in prosperity.</w:t></w:r>
</w:p>
<w:p>
<w:pPr><w:pStyle w:val="Normal"/></w:pPr>
<w:r><w:t xml:space="preserve">In 1853, owing to the withdrawal by Denmark of its customs</w:t></w:r>
</w:p>
<w:p>
<w:pPr><w:pStyle w:val="Normal"/></w:pPr>
<w:r><w:t xml:space="preserve">privileges, its trade waned.  In 1864 Altona was occupied in</w:t></w:r>
</w:p>
<w:p>
<w:pPr><w:pStyle w:val="Normal"/></w:pPr>
<w:r><w:t xml:space="preserve">the name of the German Confederation, passed to Prussia after</w:t></w:r>
</w:p>
<w:p>
<w:pPr><w:pStyle w:val="Normal"/></w:pPr>
<w:r><w:t xml:space="preserve">the war of 1866, and 1888 together with Hamburg joined the</w:t></w:r>
</w:p>
<w:p>
<w:pPr><w:pStyle w:val="Normal"/></w:pPr>
<w:r><w:t xml:space="preserve">Zollverein, while retaining certain free trade rights over the</w:t></w:r>
</w:p>
<w:p>
<w:pPr><w:pStyle w:val="Normal"/></w:pPr>
<w:r><w:t xml:space="preserve">Freihafengebiet which it shares with Hamburg and Wandsbek.</w:t></w:r>
</w:p>
<w:p>
<w:pPr><w:pStyle w:val="Normal"/></w:pPr>
<w:r><w:t xml:space="preserve">See Wichmann, Geschichte Altonas (2 vols., Alt., 1896); Ehrenberg</w:t></w:r>
</w:p>
<w:p>
<w:pPr><w:pStyle w:val="Normal"/></w:pPr>
<w:r><w:t xml:space="preserve">&amp; Stahl, Altonas topographische Entwickelung (Alt., 1894).</w:t></w:r>
</w:p>
<w:p>
<w:pPr><w:pStyle w:val="Normal"/></w:pPr>
<w:r><w:t xml:space="preserve">ALTOONA, a city of Blair county, Pennsylvania, U.S.A.,</w:t></w:r>
</w:p>
<w:p>
<w:pPr><w:pStyle w:val="Normal"/></w:pPr>
<w:r><w:t xml:space="preserve">about 117 m.  E. by N. of Pittsburg.  Pop. (1890) 30,337;</w:t></w:r>
</w:p>
<w:p>
<w:pPr><w:pStyle w:val="Normal"/></w:pPr>
<w:r><w:t xml:space="preserve">(1900) 38,973, of whom 3301 were foreign-born, 1518 being</w:t></w:r>
</w:p>
<w:p>
<w:pPr><w:pStyle w:val="Normal"/></w:pPr>
<w:r><w:t xml:space="preserve">German; (1010) 52,127.  It lies in the upper end of Logan</w:t></w:r>
</w:p>
<w:p>
<w:pPr><w:pStyle w:val="Normal"/></w:pPr>
<w:r><w:t xml:space="preserve">Valley at the base or the Alleghany mountains, about 1180</w:t></w:r>
</w:p>
<w:p>
<w:pPr><w:pStyle w:val="Normal"/></w:pPr>
<w:r><w:t xml:space="preserve">ft. above sea-level, and Commands views of some of the most</w:t></w:r>
</w:p>
<w:p>
<w:pPr><w:pStyle w:val="Normal"/></w:pPr>
<w:r><w:t xml:space="preserve">picturesque mountain scenery in the state.  A short distance</w:t></w:r>
</w:p>
<w:p>
<w:pPr><w:pStyle w:val="Normal"/></w:pPr>
<w:r><w:t xml:space="preserve">to the W. is the famous Horseshoe Bend of the Pennsylvania</w:t></w:r>
</w:p>
<w:p>
<w:pPr><w:pStyle w:val="Normal"/></w:pPr>
<w:r><w:t xml:space="preserve">railway.  Altoona is served by the Pennsylvania railway,</w:t></w:r>
</w:p>
<w:p>
<w:pPr><w:pStyle w:val="Normal"/></w:pPr>
<w:r><w:t xml:space="preserve">and is one of the leading railway cities in the United</w:t></w:r>
</w:p>
<w:p>
<w:pPr><w:pStyle w:val="Normal"/></w:pPr>
<w:r><w:t xml:space="preserve">States.  Its freight yard is 7 m. long, and has 221 m. of</w:t></w:r>
</w:p>
<w:p>
<w:pPr><w:pStyle w:val="Normal"/></w:pPr>
<w:r><w:t xml:space="preserve">tracks.  Large numbers of eastbound coal trains from the</w:t></w:r>
</w:p>
<w:p>
<w:pPr><w:pStyle w:val="Normal"/></w:pPr>
<w:r><w:t xml:space="preserve">mountains and westbound ``empties&apos;&apos; returning to the mines</w:t></w:r>
</w:p>
<w:p>
<w:pPr><w:pStyle w:val="Normal"/></w:pPr>
<w:r><w:t xml:space="preserve">stop here; and the cars of these trains are classified</w:t></w:r>
</w:p>
<w:p>
<w:pPr><w:pStyle w:val="Normal"/></w:pPr>
<w:r><w:t xml:space="preserve">here and new trains made up.  Locomotives and cars are sent</w:t></w:r>
</w:p>
<w:p>
<w:pPr><w:pStyle w:val="Normal"/></w:pPr>
<w:r><w:t xml:space="preserve">to Altoona to be repaired from all over the Pennsylvania</w:t></w:r>
</w:p>
<w:p>
<w:pPr><w:pStyle w:val="Normal"/></w:pPr>
<w:r><w:t xml:space="preserve">railway system E. of Pittsburg, and cars and locomotives</w:t></w:r>
</w:p>
<w:p>
<w:pPr><w:pStyle w:val="Normal"/></w:pPr>
<w:r><w:t xml:space="preserve">are built here; and in the south Altoona foundries car</w:t></w:r>
</w:p>
<w:p>
<w:pPr><w:pStyle w:val="Normal"/></w:pPr>
<w:r><w:t xml:space="preserve">wheels and general castings for locomotives and cars are</w:t></w:r>
</w:p>
<w:p>
<w:pPr><w:pStyle w:val="Normal"/></w:pPr>
<w:r><w:t xml:space="preserve">made.  The several departments of railway work are used to</w:t></w:r>
</w:p>
<w:p>
<w:pPr><w:pStyle w:val="Normal"/></w:pPr>
<w:r><w:t xml:space="preserve">give training in a sort of railway university. Graduates of</w:t></w:r>
</w:p>
<w:p>
<w:pPr><w:pStyle w:val="Normal"/></w:pPr>
<w:r><w:t xml:space="preserve">technical schools are received as special apprentices and</w:t></w:r>
</w:p>
<w:p>
<w:pPr><w:pStyle w:val="Normal"/></w:pPr>
<w:r><w:t xml:space="preserve">are directed in a course of four years through the erecting</w:t></w:r>
</w:p>
<w:p>
<w:pPr><w:pStyle w:val="Normal"/></w:pPr>
<w:r><w:t xml:space="preserve">shops, vice shop, blacksmith shop, boiler shop, roundhouse,</w:t></w:r>
</w:p>
<w:p>
<w:pPr><w:pStyle w:val="Normal"/></w:pPr>
<w:r><w:t xml:space="preserve">test department, machine shop, air-brake shop, iron foundry,</w:t></w:r>
</w:p>
<w:p>
<w:pPr><w:pStyle w:val="Normal"/></w:pPr>
<w:r><w:t xml:space="preserve">car shop, work of firing on the road, office work in the</w:t></w:r>
</w:p>
<w:p>
<w:pPr><w:pStyle w:val="Normal"/></w:pPr>
<w:r><w:t xml:space="preserve">motive power accounting department, and drawing room; the most</w:t></w:r>
</w:p>
<w:p>
<w:pPr><w:pStyle w:val="Normal"/></w:pPr>
<w:r><w:t xml:space="preserve">competent may be admitted through the grades of inspector, in</w:t></w:r>
</w:p>
<w:p>
<w:pPr><w:pStyle w:val="Normal"/></w:pPr>
<w:r><w:t xml:space="preserve">the office of the master mechanic or of the road foreman of</w:t></w:r>
</w:p>
<w:p>
<w:pPr><w:pStyle w:val="Normal"/></w:pPr>
<w:r><w:t xml:space="preserve">engines, assistant master mechanic, assistant engineer of</w:t></w:r>
</w:p>
<w:p>
<w:pPr><w:pStyle w:val="Normal"/></w:pPr>
<w:r><w:t xml:space="preserve">motive power, master mechanic and superintendent of motive</w:t></w:r>
</w:p>
<w:p>
<w:pPr><w:pStyle w:val="Normal"/></w:pPr>
<w:r><w:t xml:space="preserve">power.  The Pennsylvania railway, co-operating with the</w:t></w:r>
</w:p>
<w:p>
<w:pPr><w:pStyle w:val="Normal"/></w:pPr>
<w:r><w:t xml:space="preserve">public school authorities, established at Altoona, in 1907, a</w:t></w:r>
</w:p>
<w:p>
<w:pPr><w:pStyle w:val="Normal"/></w:pPr>
<w:r><w:t xml:space="preserve">railway high school, the first institution of the kind in the</w:t></w:r>
</w:p>
<w:p>
<w:pPr><w:pStyle w:val="Normal"/></w:pPr>
<w:r><w:t xml:space="preserve">country.  It has a well-equipped drawing room, carpenter shop,</w:t></w:r>
</w:p>
<w:p>
<w:pPr><w:pStyle w:val="Normal"/></w:pPr>
<w:r><w:t xml:space="preserve">forging room, foundry, science laboratories and machinery</w:t></w:r>
</w:p>
<w:p>
<w:pPr><w:pStyle w:val="Normal"/></w:pPr>
<w:r><w:t xml:space="preserve">department, in which expert instruction is given.  In 1905</w:t></w:r>
</w:p>
<w:p>
<w:pPr><w:pStyle w:val="Normal"/></w:pPr>
<w:r><w:t xml:space="preserve">the city&apos;s factory products were valued at $14,349,963, and</w:t></w:r>
</w:p>
<w:p>
<w:pPr><w:pStyle w:val="Normal"/></w:pPr>
<w:r><w:t xml:space="preserve">in this year the railway shops gave employment to 83.7% of</w:t></w:r>
</w:p>
<w:p>
<w:pPr><w:pStyle w:val="Normal"/></w:pPr>
<w:r><w:t xml:space="preserve">all wage-earners employed in manufacturing establishments.</w:t></w:r>
</w:p>
<w:p>
<w:pPr><w:pStyle w:val="Normal"/></w:pPr>
<w:r><w:t xml:space="preserve">The manufacture of silk is the only other important industry</w:t></w:r>
</w:p>
<w:p>
<w:pPr><w:pStyle w:val="Normal"/></w:pPr>
<w:r><w:t xml:space="preserve">in the city.  The site of the city (formerly farming</w:t></w:r>
</w:p>
<w:p>
<w:pPr><w:pStyle w:val="Normal"/></w:pPr>
<w:r><w:t xml:space="preserve">land) was purchased in 1849 by the Pennsylvania Railroad</w:t></w:r>
</w:p>
<w:p>
<w:pPr><w:pStyle w:val="Normal"/></w:pPr>
<w:r><w:t xml:space="preserve">Company and was laid out as a town.  It was incorporated</w:t></w:r>
</w:p>
<w:p>
<w:pPr><w:pStyle w:val="Normal"/></w:pPr>
<w:r><w:t xml:space="preserve">as a borough in 1854 and was chartered as a city in 1868.</w:t></w:r>
</w:p>
<w:p>
<w:pPr><w:pStyle w:val="Normal"/></w:pPr>
<w:r><w:t xml:space="preserve">ALTO-RELIEVO (Ital. for ``high relief&apos;&apos;), the term applied</w:t></w:r>
</w:p>
<w:p>
<w:pPr><w:pStyle w:val="Normal"/></w:pPr>
<w:r><w:t xml:space="preserve">to sculpture that projects from the plane to which it is</w:t></w:r>
</w:p>
<w:p>
<w:pPr><w:pStyle w:val="Normal"/></w:pPr>
<w:r><w:t xml:space="preserve">attached to the extent of more than one-half the outline of</w:t></w:r>
</w:p>
<w:p>
<w:pPr><w:pStyle w:val="Normal"/></w:pPr>
<w:r><w:t xml:space="preserve">the principal figures, which may be nearly or in parts entirely</w:t></w:r>
</w:p>
<w:p>
<w:pPr><w:pStyle w:val="Normal"/></w:pPr>
<w:r><w:t xml:space="preserve">detached from the background.  It is thus distinguished from</w:t></w:r>
</w:p>
<w:p>
<w:pPr><w:pStyle w:val="Normal"/></w:pPr>
<w:r><w:t xml:space="preserve">basso-relievo (q.v.), in which there is a greater or</w:t></w:r>
</w:p>
<w:p>
<w:pPr><w:pStyle w:val="Normal"/></w:pPr>
<w:r><w:t xml:space="preserve">less approximation in effect to the pictorial method, the</w:t></w:r>
</w:p>
<w:p>
<w:pPr><w:pStyle w:val="Normal"/></w:pPr>
<w:r><w:t xml:space="preserve">figures being made to appear as projecting more than half</w:t></w:r>
</w:p>
<w:p>
<w:pPr><w:pStyle w:val="Normal"/></w:pPr>
<w:r><w:t xml:space="preserve">their outline without actually doing so.  At the same time</w:t></w:r>
</w:p>
<w:p>
<w:pPr><w:pStyle w:val="Normal"/></w:pPr>
<w:r><w:t xml:space="preserve">it is not only the actual degree of relief which is implied</w:t></w:r>
</w:p>
<w:p>
<w:pPr><w:pStyle w:val="Normal"/></w:pPr>
<w:r><w:t xml:space="preserve">by these two terms, but a resultant difference also of design</w:t></w:r>
</w:p>
<w:p>
<w:pPr><w:pStyle w:val="Normal"/></w:pPr>
<w:r><w:t xml:space="preserve">and treatment necessitated by the contingent differences</w:t></w:r>
</w:p>
<w:p>
<w:pPr><w:pStyle w:val="Normal"/></w:pPr>
<w:r><w:t xml:space="preserve">of light and shadow. (See RELIEF and SCULPTURE.)</w:t></w:r>
</w:p>
<w:p>
<w:pPr><w:pStyle w:val="Normal"/></w:pPr>
<w:r><w:t xml:space="preserve">ALTOTTING, a town of Germany, in the kingdom of Bavaria,</w:t></w:r>
</w:p>
<w:p>
<w:pPr><w:pStyle w:val="Normal"/></w:pPr>
<w:r><w:t xml:space="preserve">On the Morren, not far from its junction with the Inn,</w:t></w:r>
</w:p>
<w:p>
<w:pPr><w:pStyle w:val="Normal"/></w:pPr>
<w:r><w:t xml:space="preserve">and on the Mulildorf-Burghausen railway.  Pop. (1900)</w:t></w:r>
</w:p>
<w:p>
<w:pPr><w:pStyle w:val="Normal"/></w:pPr>
<w:r><w:t xml:space="preserve">4344.  It has long been a place of pilgrimage to which</w:t></w:r>
</w:p>
<w:p>
<w:pPr><w:pStyle w:val="Normal"/></w:pPr>
<w:r><w:t xml:space="preserve">Roman Catholics, especially from Austria, Bavaria and Swabia</w:t></w:r>
</w:p>
<w:p>
<w:pPr><w:pStyle w:val="Normal"/></w:pPr>
<w:r><w:t xml:space="preserve">resort in large numbers, on account of a celebrated image</w:t></w:r>
</w:p>
<w:p>
<w:pPr><w:pStyle w:val="Normal"/></w:pPr>
<w:r><w:t xml:space="preserve">of the Virgin Mary in the Holy Chapel, which also contains</w:t></w:r>
</w:p>
<w:p>
<w:pPr><w:pStyle w:val="Normal"/></w:pPr>
<w:r><w:t xml:space="preserve">the hearts of some Bavarian princes in silver caskets.  In</w:t></w:r>
</w:p>
<w:p>
<w:pPr><w:pStyle w:val="Normal"/></w:pPr>
<w:r><w:t xml:space="preserve">the church of St Peter and St Paul is the tomb of Tilly.</w:t></w:r>
</w:p>
<w:p>
<w:pPr><w:pStyle w:val="Normal"/></w:pPr>
<w:r><w:t xml:space="preserve">ALTRANSTADT, a village of Germany, in Prussian Saxony near</w:t></w:r>
</w:p>
<w:p>
<w:pPr><w:pStyle w:val="Normal"/></w:pPr>
<w:r><w:t xml:space="preserve">Merseburg (q.v.), with (1900) 813 inhabitants.  Altranstadt</w:t></w:r>
</w:p>
<w:p>
<w:pPr><w:pStyle w:val="Normal"/></w:pPr>
<w:r><w:t xml:space="preserve">is famous in history for two treaties concluded here: (1)</w:t></w:r>
</w:p>
<w:p>
<w:pPr><w:pStyle w:val="Normal"/></w:pPr>
<w:r><w:t xml:space="preserve">the peace which Augustus II., king of Poland and elector of</w:t></w:r>
</w:p>
<w:p>
<w:pPr><w:pStyle w:val="Normal"/></w:pPr>
<w:r><w:t xml:space="preserve">Saxony, was forced to ratify, on the 24th of September 1706,</w:t></w:r>
</w:p>
<w:p>
<w:pPr><w:pStyle w:val="Normal"/></w:pPr>
<w:r><w:t xml:space="preserve">with Charles XII. of Sweden, whereby the former renounced</w:t></w:r>
</w:p>
<w:p>
<w:pPr><w:pStyle w:val="Normal"/></w:pPr>
<w:r><w:t xml:space="preserve">the throne of Poland in favour of Stanislaus Leszczynski</w:t></w:r>
</w:p>
<w:p>
<w:pPr><w:pStyle w:val="Normal"/></w:pPr>
<w:r><w:t xml:space="preserve">-- a treaty which Augustus declared null and void after</w:t></w:r>
</w:p>
<w:p>
<w:pPr><w:pStyle w:val="Normal"/></w:pPr>
<w:r><w:t xml:space="preserve">Charles XII.&apos;s defeat at Poltava (8th of July 1709); (2)</w:t></w:r>
</w:p>
<w:p>
<w:pPr><w:pStyle w:val="Normal"/></w:pPr>
<w:r><w:t xml:space="preserve">the treaty of the 31st of August 1707, by which the emperor</w:t></w:r>
</w:p>
<w:p>
<w:pPr><w:pStyle w:val="Normal"/></w:pPr>
<w:r><w:t xml:space="preserve">Joseph I. guaranteed to Charles XII. religious tolerance</w:t></w:r>
</w:p>
<w:p>
<w:pPr><w:pStyle w:val="Normal"/></w:pPr>
<w:r><w:t xml:space="preserve">and liberty of conscience for the Silesian protestants.</w:t></w:r>
</w:p>
<w:p>
<w:pPr><w:pStyle w:val="Normal"/></w:pPr>
<w:r><w:t xml:space="preserve">ALTRINCHAM, or ALTRINOHAM (and so pronounced), a market-town,</w:t></w:r>
</w:p>
<w:p>
<w:pPr><w:pStyle w:val="Normal"/></w:pPr>
<w:r><w:t xml:space="preserve">in the Altrincham padiamentary division of Cheshire England, 8</w:t></w:r>
</w:p>
<w:p>
<w:pPr><w:pStyle w:val="Normal"/></w:pPr>
<w:r><w:t xml:space="preserve">m.  S.W. by S. of Manchester, on the London &amp; North-Western,</w:t></w:r>
</w:p>
<w:p>
<w:pPr><w:pStyle w:val="Normal"/></w:pPr>
<w:r><w:t xml:space="preserve">Manchester, South Junction &amp; Altrincham and Cheshire Lines</w:t></w:r>
</w:p>
<w:p>
<w:pPr><w:pStyle w:val="Normal"/></w:pPr>
<w:r><w:t xml:space="preserve">railways.  Pop. of urban district (1901) 16,831.  Many</w:t></w:r>
</w:p>
<w:p>
<w:pPr><w:pStyle w:val="Normal"/></w:pPr>
<w:r><w:t xml:space="preserve">residences in the locality are occupied by those whose</w:t></w:r>
</w:p>
<w:p>
<w:pPr><w:pStyle w:val="Normal"/></w:pPr>
<w:r><w:t xml:space="preserve">business lies in Manchester, who are attracted by the healthy</w:t></w:r>
</w:p>
<w:p>
<w:pPr><w:pStyle w:val="Normal"/></w:pPr>
<w:r><w:t xml:space="preserve">climate and the vicinity of Bowdon Downs and Dunham Massey</w:t></w:r>
</w:p>
<w:p>
<w:pPr><w:pStyle w:val="Normal"/></w:pPr>
<w:r><w:t xml:space="preserve">Woods.  Market gardening is carried on, large quantities</w:t></w:r>
</w:p>
<w:p>
<w:pPr><w:pStyle w:val="Normal"/></w:pPr>
<w:r><w:t xml:space="preserve">of fruit and flowers being grown for sale in Manchester.</w:t></w:r>
</w:p>
<w:p>
<w:pPr><w:pStyle w:val="Normal"/></w:pPr>
<w:r><w:t xml:space="preserve">Cabinet-making is also practised; and there are sawmills, iron</w:t></w:r>
</w:p>
<w:p>
<w:pPr><w:pStyle w:val="Normal"/></w:pPr>
<w:r><w:t xml:space="preserve">foundries, and manufactures of cotton, yarn and worsted.</w:t></w:r>
</w:p>
<w:p>
<w:pPr><w:pStyle w:val="Normal"/></w:pPr>
<w:r><w:t xml:space="preserve">Altrincham (Aldringham) was originally included in the barony</w:t></w:r>
</w:p>
<w:p>
<w:pPr><w:pStyle w:val="Normal"/></w:pPr>
<w:r><w:t xml:space="preserve">of Dunham Massey, one of the eight baronies founded by Hugh,</w:t></w:r>
</w:p>
<w:p>
<w:pPr><w:pStyle w:val="Normal"/></w:pPr>
<w:r><w:t xml:space="preserve">earl of Chester, after the Conquest.  An undated charter</w:t></w:r>
</w:p>
<w:p>
<w:pPr><w:pStyle w:val="Normal"/></w:pPr>
<w:r><w:t xml:space="preserve">from Hamo de Massey, lord of the barony, in the reign of</w:t></w:r>
</w:p>
<w:p>
<w:pPr><w:pStyle w:val="Normal"/></w:pPr>
<w:r><w:t xml:space="preserve">Edward I., constituted Altrincham a free borough, with a</w:t></w:r>
</w:p>
<w:p>
<w:pPr><w:pStyle w:val="Normal"/></w:pPr>
<w:r><w:t xml:space="preserve">gild merchant, the customs of Macclesfield, the right to</w:t></w:r>
</w:p>
<w:p>
<w:pPr><w:pStyle w:val="Normal"/></w:pPr>
<w:r><w:t xml:space="preserve">elect reeves and bailiffs for the common council and other</w:t></w:r>
</w:p>
<w:p>
<w:pPr><w:pStyle w:val="Normal"/></w:pPr>
<w:r><w:t xml:space="preserve">privileges.  In 1290 the same Hamo obtained a grant of</w:t></w:r>
</w:p>
<w:p>
<w:pPr><w:pStyle w:val="Normal"/></w:pPr>
<w:r><w:t xml:space="preserve">a Tuesday market and a three days&apos; fair at the feast of</w:t></w:r>
</w:p>
<w:p>
<w:pPr><w:pStyle w:val="Normal"/></w:pPr>
<w:r><w:t xml:space="preserve">the Assumption of the Virgin; but in 1319, by a charter</w:t></w:r>
</w:p>
<w:p>
<w:pPr><w:pStyle w:val="Normal"/></w:pPr>
<w:r><w:t xml:space="preserve">from Edward II., the date of the fair was changed to the</w:t></w:r>
</w:p>
<w:p>
<w:pPr><w:pStyle w:val="Normal"/></w:pPr>
<w:r><w:t xml:space="preserve">feast of St James the Apostle.  A mayor of Altrincham is</w:t></w:r>
</w:p>
<w:p>
<w:pPr><w:pStyle w:val="Normal"/></w:pPr>
<w:r><w:t xml:space="preserve">mentioned by name in 1452, but the office probably existed</w:t></w:r>
</w:p>
<w:p>
<w:pPr><w:pStyle w:val="Normal"/></w:pPr>
<w:r><w:t xml:space="preserve">long before this date; it has now for centuries been a</w:t></w:r>
</w:p>
<w:p>
<w:pPr><w:pStyle w:val="Normal"/></w:pPr>
<w:r><w:t xml:space="preserve">purely nominal appointment, the chief duty consisting in</w:t></w:r>
</w:p>
<w:p>
<w:pPr><w:pStyle w:val="Normal"/></w:pPr>
<w:r><w:t xml:space="preserve">the opening of the annual fairs.  The trade in worsted</w:t></w:r>
</w:p>
<w:p>
<w:pPr><w:pStyle w:val="Normal"/></w:pPr>
<w:r><w:t xml:space="preserve">and woollen yarns, which formerly furnished employment</w:t></w:r>
</w:p>
<w:p>
<w:pPr><w:pStyle w:val="Normal"/></w:pPr>
<w:r><w:t xml:space="preserve">to a large section of the population, has now completely</w:t></w:r>
</w:p>
<w:p>
<w:pPr><w:pStyle w:val="Normal"/></w:pPr>
<w:r><w:t xml:space="preserve">declined, partly owing to the introduction of Irish worsted.</w:t></w:r>
</w:p>
<w:p>
<w:pPr><w:pStyle w:val="Normal"/></w:pPr>
<w:r><w:t xml:space="preserve">See Victoria County History, Cheshire; Alfred Ingham,</w:t></w:r>
</w:p>
<w:p>
<w:pPr><w:pStyle w:val="Normal"/></w:pPr>
<w:r><w:t xml:space="preserve">History of Altrincham and Bowdon (Altrincham, 1879).</w:t></w:r>
</w:p>
<w:p>
<w:pPr><w:pStyle w:val="Normal"/></w:pPr>
<w:r><w:t xml:space="preserve">ALTRUISM (Fr. autrui, from Lat. alter, the other of</w:t></w:r>
</w:p>
<w:p>
<w:pPr><w:pStyle w:val="Normal"/></w:pPr>
<w:r><w:t xml:space="preserve">two), a philosophical term used in ethics for that theory of</w:t></w:r>
</w:p>
<w:p>
<w:pPr><w:pStyle w:val="Normal"/></w:pPr>
<w:r><w:t xml:space="preserve">conduct which regards the good of others as the end of moral</w:t></w:r>
</w:p>
<w:p>
<w:pPr><w:pStyle w:val="Normal"/></w:pPr>
<w:r><w:t xml:space="preserve">action.  It was invented by Auguste Comte and adopted</w:t></w:r>
</w:p>
<w:p>
<w:pPr><w:pStyle w:val="Normal"/></w:pPr>
<w:r><w:t xml:space="preserve">by the English positivists as a convenient antithesis to</w:t></w:r>
</w:p>
<w:p>
<w:pPr><w:pStyle w:val="Normal"/></w:pPr>
<w:r><w:t xml:space="preserve">egoism.  According to Comte the only practical method of</w:t></w:r>
</w:p>
<w:p>
<w:pPr><w:pStyle w:val="Normal"/></w:pPr>
<w:r><w:t xml:space="preserve">social regeneration is gradually to inculcate the true</w:t></w:r>
</w:p>
<w:p>
<w:pPr><w:pStyle w:val="Normal"/></w:pPr>
<w:r><w:t xml:space="preserve">social feeling which subordinates itself to the welfare of</w:t></w:r>
</w:p>
<w:p>
<w:pPr><w:pStyle w:val="Normal"/></w:pPr>
<w:r><w:t xml:space="preserve">others.  The application to sociological problems of the</w:t></w:r>
</w:p>
<w:p>
<w:pPr><w:pStyle w:val="Normal"/></w:pPr>
<w:r><w:t xml:space="preserve">physical theory of organic evolution further developed the</w:t></w:r>
</w:p>
<w:p>
<w:pPr><w:pStyle w:val="Normal"/></w:pPr>
<w:r><w:t xml:space="preserve">altruistic theory.  According to Herbert Spencer, the life</w:t></w:r>
</w:p>
<w:p>
<w:pPr><w:pStyle w:val="Normal"/></w:pPr>
<w:r><w:t xml:space="preserve">of the individual in the perfect society is identical with</w:t></w:r>
</w:p>
<w:p>
<w:pPr><w:pStyle w:val="Normal"/></w:pPr>
<w:r><w:t xml:space="preserve">that of the state: in other words, the first object of him</w:t></w:r>
</w:p>
<w:p>
<w:pPr><w:pStyle w:val="Normal"/></w:pPr>
<w:r><w:t xml:space="preserve">who would live well must be to take his part in promoting</w:t></w:r>
</w:p>
<w:p>
<w:pPr><w:pStyle w:val="Normal"/></w:pPr>
<w:r><w:t xml:space="preserve">the well-being of his fellows individually and collectively.</w:t></w:r>
</w:p>
<w:p>
<w:pPr><w:pStyle w:val="Normal"/></w:pPr>
<w:r><w:t xml:space="preserve">Pure egoism and pure altruism are alike impracticable.  For</w:t></w:r>
</w:p>
<w:p>
<w:pPr><w:pStyle w:val="Normal"/></w:pPr>
<w:r><w:t xml:space="preserve">on the one hand unless the egoist&apos;s happiness is compatible</w:t></w:r>
</w:p>
<w:p>
<w:pPr><w:pStyle w:val="Normal"/></w:pPr>
<w:r><w:t xml:space="preserve">to some extent with that of his fellows, their opposition</w:t></w:r>
</w:p>
<w:p>
<w:pPr><w:pStyle w:val="Normal"/></w:pPr>
<w:r><w:t xml:space="preserve">will almost inevitably vitiate his perfect enjoyment; on the</w:t></w:r>
</w:p>
<w:p>
<w:pPr><w:pStyle w:val="Normal"/></w:pPr>
<w:r><w:t xml:space="preserve">other hand, the altruist whose primary object is the good of</w:t></w:r>
</w:p>
<w:p>
<w:pPr><w:pStyle w:val="Normal"/></w:pPr>
<w:r><w:t xml:space="preserve">others, must derive his own highest happiness -- i.e. must</w:t></w:r>
</w:p>
<w:p>
<w:pPr><w:pStyle w:val="Normal"/></w:pPr>
<w:r><w:t xml:space="preserve">realize himself most completely -- in the fulfilment of this</w:t></w:r>
</w:p>
<w:p>
<w:pPr><w:pStyle w:val="Normal"/></w:pPr>
<w:r><w:t xml:space="preserve">object.  In fact, the altruistic idea, in itself and apart from a</w:t></w:r>
</w:p>
<w:p>
<w:pPr><w:pStyle w:val="Normal"/></w:pPr>
<w:r><w:t xml:space="preserve">further definition of the good, is rather a method than an end.</w:t></w:r>
</w:p>
<w:p>
<w:pPr><w:pStyle w:val="Normal"/></w:pPr>
<w:r><w:t xml:space="preserve">The self-love theory of Hobbes, with its subtle perversions</w:t></w:r>
</w:p>
<w:p>
<w:pPr><w:pStyle w:val="Normal"/></w:pPr>
<w:r><w:t xml:space="preserve">of the motives of ordinary humanity, led to a reaction</w:t></w:r>
</w:p>
<w:p>
<w:pPr><w:pStyle w:val="Normal"/></w:pPr>
<w:r><w:t xml:space="preserve">which culminated in the utilitarianism of Bentham and the two</w:t></w:r>
</w:p>
<w:p>
<w:pPr><w:pStyle w:val="Normal"/></w:pPr>
<w:r><w:t xml:space="preserve">Mills; but their theory, though superior to the extravagant</w:t></w:r>
</w:p>
<w:p>
<w:pPr><w:pStyle w:val="Normal"/></w:pPr>
<w:r><w:t xml:space="preserve">egoism of Hobbes, had this main defect, according to Herbert</w:t></w:r>
</w:p>
<w:p>
<w:pPr><w:pStyle w:val="Normal"/></w:pPr>
<w:r><w:t xml:space="preserve">Spencer, that it conceived the world as an aggregate of</w:t></w:r>
</w:p>
<w:p>
<w:pPr><w:pStyle w:val="Normal"/></w:pPr>
<w:r><w:t xml:space="preserve">units, and was so far individualistic.  Sir Leslie Stephen</w:t></w:r>
</w:p>
<w:p>
<w:pPr><w:pStyle w:val="Normal"/></w:pPr>
<w:r><w:t xml:space="preserve">in his Science of Ethics insisted that the unit is the</w:t></w:r>
</w:p>
<w:p>
<w:pPr><w:pStyle w:val="Normal"/></w:pPr>
<w:r><w:t xml:space="preserve">social organism, and therefore that the aim of moralists</w:t></w:r>
</w:p>
<w:p>
<w:pPr><w:pStyle w:val="Normal"/></w:pPr>
<w:r><w:t xml:space="preserve">is not the ``greatest happiness of the greatest number,&apos;&apos;</w:t></w:r>
</w:p>
<w:p>
<w:pPr><w:pStyle w:val="Normal"/></w:pPr>
<w:r><w:t xml:space="preserve">but rather the ``health of the organism.&apos;&apos; The socialistic</w:t></w:r>
</w:p>
<w:p>
<w:pPr><w:pStyle w:val="Normal"/></w:pPr>
<w:r><w:t xml:space="preserve">tendencies of subsequent thinkers have emphasized the ethical</w:t></w:r>
</w:p>
<w:p>
<w:pPr><w:pStyle w:val="Normal"/></w:pPr>
<w:r><w:t xml:space="preserve">importance of altruistic action, but it must be remembered</w:t></w:r>
</w:p>
<w:p>
<w:pPr><w:pStyle w:val="Normal"/></w:pPr>
<w:r><w:t xml:space="preserve">always that it is ultimately only a form of action, that</w:t></w:r>
</w:p>
<w:p>
<w:pPr><w:pStyle w:val="Normal"/></w:pPr>
<w:r><w:t xml:space="preserve">it may be commended in all types of ethical theory, and</w:t></w:r>
</w:p>
<w:p>
<w:pPr><w:pStyle w:val="Normal"/></w:pPr>
<w:r><w:t xml:space="preserve">that it is a practical guide only when it is applied in</w:t></w:r>
</w:p>
<w:p>
<w:pPr><w:pStyle w:val="Normal"/></w:pPr>
<w:r><w:t xml:space="preserve">accordance with a definite theory of ``the good.&apos;&apos; Finally,</w:t></w:r>
</w:p>
<w:p>
<w:pPr><w:pStyle w:val="Normal"/></w:pPr>
<w:r><w:t xml:space="preserve">he who devotes himself on principle to furthering the</w:t></w:r>
</w:p>
<w:p>
<w:pPr><w:pStyle w:val="Normal"/></w:pPr>
<w:r><w:t xml:space="preserve">good of others as his highest moral obligation is from the</w:t></w:r>
</w:p>
<w:p>
<w:pPr><w:pStyle w:val="Normal"/></w:pPr>
<w:r><w:t xml:space="preserve">highest point of view realizing, not sacrificing, himself.</w:t></w:r>
</w:p>
<w:p>
<w:pPr><w:pStyle w:val="Normal"/></w:pPr>
<w:r><w:t xml:space="preserve">See works of Comte, Spencer, Stephen, and text-books of</w:t></w:r>
</w:p>
<w:p>
<w:pPr><w:pStyle w:val="Normal"/></w:pPr>
<w:r><w:t xml:space="preserve">ethics (cf. bibliography at end of article ETHICS).</w:t></w:r>
</w:p>
<w:p>
<w:pPr><w:pStyle w:val="Normal"/></w:pPr>
<w:r><w:t xml:space="preserve">ALTWASSER, a town of Germany, in the Prussian province of</w:t></w:r>
</w:p>
<w:p>
<w:pPr><w:pStyle w:val="Normal"/></w:pPr>
<w:r><w:t xml:space="preserve">Silesia, 43 m. by rail S.W. from Breslau, and 3 m.  N. from</w:t></w:r>
</w:p>
<w:p>
<w:pPr><w:pStyle w:val="Normal"/></w:pPr>
<w:r><w:t xml:space="preserve">Waldenburg.  It has factories for glass, porcelain, machinery,</w:t></w:r>
</w:p>
<w:p>
<w:pPr><w:pStyle w:val="Normal"/></w:pPr>
<w:r><w:t xml:space="preserve">cotton-spinning, iron-foundries and coal-mines.  Pop. (1900) 12,144.</w:t></w:r>
</w:p>
<w:p>
<w:pPr><w:pStyle w:val="Normal"/></w:pPr>
<w:r><w:t xml:space="preserve">ALTYN-TAGH, or ASTYN-TAOH, one of the chief constituent</w:t></w:r>
</w:p>
<w:p>
<w:pPr><w:pStyle w:val="Normal"/></w:pPr>
<w:r><w:t xml:space="preserve">ranges of the Kuen-lun (q.v.) in Central Asia, separating</w:t></w:r>
</w:p>
<w:p>
<w:pPr><w:pStyle w:val="Normal"/></w:pPr>
<w:r><w:t xml:space="preserve">Tibet from east Turkestan and the Desert of Gobi.</w:t></w:r>
</w:p>
<w:p>
<w:pPr><w:pStyle w:val="Normal"/></w:pPr>
<w:r><w:t xml:space="preserve">ALUM, in chemistry, a term given to the crystallized double</w:t></w:r>
</w:p>
<w:p>
<w:pPr><w:pStyle w:val="Normal"/></w:pPr>
<w:r><w:t xml:space="preserve">sulphates of the typical formula M2SO4.M2111.(SO4)324H2O,</w:t></w:r>
</w:p>
<w:p>
<w:pPr><w:pStyle w:val="Normal"/></w:pPr>
<w:r><w:t xml:space="preserve">Where M is the sign of an alkali metal (potassium, sodium,</w:t></w:r>
</w:p>
<w:p>
<w:pPr><w:pStyle w:val="Normal"/></w:pPr>
<w:r><w:t xml:space="preserve">rubidium, caesium), silver or ammonium, and M111 denotes</w:t></w:r>
</w:p>
<w:p>
<w:pPr><w:pStyle w:val="Normal"/></w:pPr>
<w:r><w:t xml:space="preserve">one of the trivalent metals, aluminium, chromium or ferric</w:t></w:r>
</w:p>
<w:p>
<w:pPr><w:pStyle w:val="Normal"/></w:pPr>
<w:r><w:t xml:space="preserve">iron. These salts are employed in dyeing and various</w:t></w:r>
</w:p>
<w:p>
<w:pPr><w:pStyle w:val="Normal"/></w:pPr>
<w:r><w:t xml:space="preserve">other industrial processes.  They are soluble in water,</w:t></w:r>
</w:p>
<w:p>
<w:pPr><w:pStyle w:val="Normal"/></w:pPr>
<w:r><w:t xml:space="preserve">have an astringent, acid, and sweetish taste, react acid</w:t></w:r>
</w:p>
<w:p>
<w:pPr><w:pStyle w:val="Normal"/></w:pPr>
<w:r><w:t xml:space="preserve">to litmus, and crystallize in regular octahedra.  When</w:t></w:r>
</w:p>
<w:p>
<w:pPr><w:pStyle w:val="Normal"/></w:pPr>
<w:r><w:t xml:space="preserve">heated they liquefy; and if the heating be continued, the</w:t></w:r>
</w:p>
<w:p>
<w:pPr><w:pStyle w:val="Normal"/></w:pPr>
<w:r><w:t xml:space="preserve">water of crystallization is driven off, the salt froths</w:t></w:r>
</w:p>
<w:p>
<w:pPr><w:pStyle w:val="Normal"/></w:pPr>
<w:r><w:t xml:space="preserve">and swells, and at last an amorphous powder remains.</w:t></w:r>
</w:p>
<w:p>
<w:pPr><w:pStyle w:val="Normal"/></w:pPr>
<w:r><w:t xml:space="preserve">Potash alum is the common alum of commerce, although both</w:t></w:r>
</w:p>
<w:p>
<w:pPr><w:pStyle w:val="Normal"/></w:pPr>
<w:r><w:t xml:space="preserve">soda alum and ammonium alum are manufactured.  The presence</w:t></w:r>
</w:p>
<w:p>
<w:pPr><w:pStyle w:val="Normal"/></w:pPr>
<w:r><w:t xml:space="preserve">of sulphuric acid in potash alum was known to the alchemists.</w:t></w:r>
</w:p>
<w:p>
<w:pPr><w:pStyle w:val="Normal"/></w:pPr>
<w:r><w:t xml:space="preserve">J. H. Pott and A. S. Marggraf demonstrated that alumina was</w:t></w:r>
</w:p>
<w:p>
<w:pPr><w:pStyle w:val="Normal"/></w:pPr>
<w:r><w:t xml:space="preserve">another constituent.  Pott in his Lithogeognosia showed</w:t></w:r>
</w:p>
<w:p>
<w:pPr><w:pStyle w:val="Normal"/></w:pPr>
<w:r><w:t xml:space="preserve">that the precipitate obtained when an alkali is poured into</w:t></w:r>
</w:p>
<w:p>
<w:pPr><w:pStyle w:val="Normal"/></w:pPr>
<w:r><w:t xml:space="preserve">a solution of alum is quite different from lime and chalk,</w:t></w:r>
</w:p>
<w:p>
<w:pPr><w:pStyle w:val="Normal"/></w:pPr>
<w:r><w:t xml:space="preserve">with which it had been confounded by G. E. Stahl.  Marggraf</w:t></w:r>
</w:p>
<w:p>
<w:pPr><w:pStyle w:val="Normal"/></w:pPr>
<w:r><w:t xml:space="preserve">showed that alumina is one of the constituents of alum, but</w:t></w:r>
</w:p>
<w:p>
<w:pPr><w:pStyle w:val="Normal"/></w:pPr>
<w:r><w:t xml:space="preserve">that this earth possesses peculiar properties, and is one of</w:t></w:r>
</w:p>
<w:p>
<w:pPr><w:pStyle w:val="Normal"/></w:pPr>
<w:r><w:t xml:space="preserve">the ingredients in common clay (Experiences faites sur la</w:t></w:r>
</w:p>
<w:p>
<w:pPr><w:pStyle w:val="Normal"/></w:pPr>
<w:r><w:t xml:space="preserve">terre de l&apos;alun, Marggraf&apos;s Opusc. ii. 111) . He also</w:t></w:r>
</w:p>
<w:p>
<w:pPr><w:pStyle w:val="Normal"/></w:pPr>
<w:r><w:t xml:space="preserve">showed that crystals of alum cannot be obtained by dissolving</w:t></w:r>
</w:p>
<w:p>
<w:pPr><w:pStyle w:val="Normal"/></w:pPr>
<w:r><w:t xml:space="preserve">alumina in sulphuric acid and evaporating the solutions, but</w:t></w:r>
</w:p>
<w:p>
<w:pPr><w:pStyle w:val="Normal"/></w:pPr>
<w:r><w:t xml:space="preserve">when a solution of potash or ammonia is dropped into this</w:t></w:r>
</w:p>
<w:p>
<w:pPr><w:pStyle w:val="Normal"/></w:pPr>
<w:r><w:t xml:space="preserve">liquid, it immediately deposits perfect crystals of alum (Sur</w:t></w:r>
</w:p>
<w:p>
<w:pPr><w:pStyle w:val="Normal"/></w:pPr>
<w:r><w:t xml:space="preserve">la regeneration de l&apos;alun, Marggraf&apos;s Opusc. ii. 86).</w:t></w:r>
</w:p>
<w:p>
<w:pPr><w:pStyle w:val="Normal"/></w:pPr>
<w:r><w:t xml:space="preserve">T. O. Bergman also observed that the addition of potash or ammonia</w:t></w:r>
</w:p>
<w:p>
<w:pPr><w:pStyle w:val="Normal"/></w:pPr>
<w:r><w:t xml:space="preserve">made the solution of alumina in sulphuric acid crystallize, but</w:t></w:r>
</w:p>
<w:p>
<w:pPr><w:pStyle w:val="Normal"/></w:pPr>
<w:r><w:t xml:space="preserve">that the same effect was not produced by the addition of soda</w:t></w:r>
</w:p>
<w:p>
<w:pPr><w:pStyle w:val="Normal"/></w:pPr>
<w:r><w:t xml:space="preserve">or of lime (De confectione aluminus, Bergman&apos;s Opusc. i.</w:t></w:r>
</w:p>
<w:p>
<w:pPr><w:pStyle w:val="Normal"/></w:pPr>
<w:r><w:t xml:space="preserve">225), and that potassium sulphate is frequently found in alum.</w:t></w:r>
</w:p>
<w:p>
<w:pPr><w:pStyle w:val="Normal"/></w:pPr>
<w:r><w:t xml:space="preserve">After M. H. Klaproth had discovered the presence of potassium</w:t></w:r>
</w:p>
<w:p>
<w:pPr><w:pStyle w:val="Normal"/></w:pPr>
<w:r><w:t xml:space="preserve">in leucite and lepidolite, it occurred to L. N. Vauquelin</w:t></w:r>
</w:p>
<w:p>
<w:pPr><w:pStyle w:val="Normal"/></w:pPr>
<w:r><w:t xml:space="preserve">that it was probably an ingredient likewise in many other</w:t></w:r>
</w:p>
<w:p>
<w:pPr><w:pStyle w:val="Normal"/></w:pPr>
<w:r><w:t xml:space="preserve">minerals. Knowing that alum cannot be obtained in crystals</w:t></w:r>
</w:p>
<w:p>
<w:pPr><w:pStyle w:val="Normal"/></w:pPr>
<w:r><w:t xml:space="preserve">without the addition of potash, he began to suspect that</w:t></w:r>
</w:p>
<w:p>
<w:pPr><w:pStyle w:val="Normal"/></w:pPr>
<w:r><w:t xml:space="preserve">this alkali constituted an essential ingredient in the salt,</w:t></w:r>
</w:p>
<w:p>
<w:pPr><w:pStyle w:val="Normal"/></w:pPr>
<w:r><w:t xml:space="preserve">and in 1797 he published a dissertation demonstrating that</w:t></w:r>
</w:p>
<w:p>
<w:pPr><w:pStyle w:val="Normal"/></w:pPr>
<w:r><w:t xml:space="preserve">alum is a double salt, composed of sulphuric acid, alumina</w:t></w:r>
</w:p>
<w:p>
<w:pPr><w:pStyle w:val="Normal"/></w:pPr>
<w:r><w:t xml:space="preserve">and potash (Annales de chimie, xxii. 258).  Soon after,</w:t></w:r>
</w:p>
<w:p>
<w:pPr><w:pStyle w:val="Normal"/></w:pPr>
<w:r><w:t xml:space="preserve">J. A. Chaptal published the analysis of four different kinds</w:t></w:r>
</w:p>
<w:p>
<w:pPr><w:pStyle w:val="Normal"/></w:pPr>
<w:r><w:t xml:space="preserve">of alum, namely, Roman alum, Levant alum, British alum and</w:t></w:r>
</w:p>
<w:p>
<w:pPr><w:pStyle w:val="Normal"/></w:pPr>
<w:r><w:t xml:space="preserve">alum manufactured by himself.  This analysis led to the same</w:t></w:r>
</w:p>
<w:p>
<w:pPr><w:pStyle w:val="Normal"/></w:pPr>
<w:r><w:t xml:space="preserve">result as that of Vauquelin (Ann. de chim xxii. 280).</w:t></w:r>
</w:p>
<w:p>
<w:pPr><w:pStyle w:val="Normal"/></w:pPr>
<w:r><w:t xml:space="preserve">The word alumen, which we translate alum, occurs in</w:t></w:r>
</w:p>
<w:p>
<w:pPr><w:pStyle w:val="Normal"/></w:pPr>
<w:r><w:t xml:space="preserve">Pliny&apos;s Natural History.  In the 15th chapter of his 35th</w:t></w:r>
</w:p>
<w:p>
<w:pPr><w:pStyle w:val="Normal"/></w:pPr>
<w:r><w:t xml:space="preserve">book he gives a detailed description of it.  By comparing</w:t></w:r>
</w:p>
<w:p>
<w:pPr><w:pStyle w:val="Normal"/></w:pPr>
<w:r><w:t xml:space="preserve">this with the account of stupteria given by Dioscorides</w:t></w:r>
</w:p>
<w:p>
<w:pPr><w:pStyle w:val="Normal"/></w:pPr>
<w:r><w:t xml:space="preserve">in the 123rd chapter of his 5th book, it is obvious that</w:t></w:r>
</w:p>
<w:p>
<w:pPr><w:pStyle w:val="Normal"/></w:pPr>
<w:r><w:t xml:space="preserve">the two are identical.  Pliny informs us that alumen was</w:t></w:r>
</w:p>
<w:p>
<w:pPr><w:pStyle w:val="Normal"/></w:pPr>
<w:r><w:t xml:space="preserve">found naturally in the earth.  He calls it salsugoterrae.</w:t></w:r>
</w:p>
<w:p>
<w:pPr><w:pStyle w:val="Normal"/></w:pPr>
<w:r><w:t xml:space="preserve">Different substances were distinguished by the name of</w:t></w:r>
</w:p>
<w:p>
<w:pPr><w:pStyle w:val="Normal"/></w:pPr>
<w:r><w:t xml:space="preserve">&apos;&apos;alumen&apos;&apos;; but they were all characterized by a certain</w:t></w:r>
</w:p>
<w:p>
<w:pPr><w:pStyle w:val="Normal"/></w:pPr>
<w:r><w:t xml:space="preserve">degree of astringency, and were all employed in dyeing and</w:t></w:r>
</w:p>
<w:p>
<w:pPr><w:pStyle w:val="Normal"/></w:pPr>
<w:r><w:t xml:space="preserve">medicine, the light-coloured alumen being useful in brilliant</w:t></w:r>
</w:p>
<w:p>
<w:pPr><w:pStyle w:val="Normal"/></w:pPr>
<w:r><w:t xml:space="preserve">dyes, the dark-coloured only in dyeing black or very dark</w:t></w:r>
</w:p>
<w:p>
<w:pPr><w:pStyle w:val="Normal"/></w:pPr>
<w:r><w:t xml:space="preserve">colours.  One species was a liquid, which was apt to be</w:t></w:r>
</w:p>
<w:p>
<w:pPr><w:pStyle w:val="Normal"/></w:pPr>
<w:r><w:t xml:space="preserve">adulterated; but when pure it had the property of blackening</w:t></w:r>
</w:p>
<w:p>
<w:pPr><w:pStyle w:val="Normal"/></w:pPr>
<w:r><w:t xml:space="preserve">when added to pomegranate juice.  This property seems</w:t></w:r>
</w:p>
<w:p>
<w:pPr><w:pStyle w:val="Normal"/></w:pPr>
<w:r><w:t xml:space="preserve">to characterize a solution of iron sulphate in water; a</w:t></w:r>
</w:p>
<w:p>
<w:pPr><w:pStyle w:val="Normal"/></w:pPr>
<w:r><w:t xml:space="preserve">solution of ordinary (potash) alum would possess no such</w:t></w:r>
</w:p>
<w:p>
<w:pPr><w:pStyle w:val="Normal"/></w:pPr>
<w:r><w:t xml:space="preserve">property.  Pliny says that there is another kind of alum which</w:t></w:r>
</w:p>
<w:p>
<w:pPr><w:pStyle w:val="Normal"/></w:pPr>
<w:r><w:t xml:space="preserve">the Greeks call schistos.  It forms in white threads upon</w:t></w:r>
</w:p>
<w:p>
<w:pPr><w:pStyle w:val="Normal"/></w:pPr>
<w:r><w:t xml:space="preserve">the surface of certain stones.  From the name schistos, and</w:t></w:r>
</w:p>
<w:p>
<w:pPr><w:pStyle w:val="Normal"/></w:pPr>
<w:r><w:t xml:space="preserve">the mode of formation, there can be little doubt that this</w:t></w:r>
</w:p>
<w:p>
<w:pPr><w:pStyle w:val="Normal"/></w:pPr>
<w:r><w:t xml:space="preserve">species was the salt which forms spontaneously on certain</w:t></w:r>
</w:p>
<w:p>
<w:pPr><w:pStyle w:val="Normal"/></w:pPr>
<w:r><w:t xml:space="preserve">slaty minerals, as alum slate and bituminous shale, and</w:t></w:r>
</w:p>
<w:p>
<w:pPr><w:pStyle w:val="Normal"/></w:pPr>
<w:r><w:t xml:space="preserve">which consists chiefly of sulphates of iron and aluminium.</w:t></w:r>
</w:p>
<w:p>
<w:pPr><w:pStyle w:val="Normal"/></w:pPr>
<w:r><w:t xml:space="preserve">Possibly in certain places the iron sulphate may have been</w:t></w:r>
</w:p>
<w:p>
<w:pPr><w:pStyle w:val="Normal"/></w:pPr>
<w:r><w:t xml:space="preserve">nearly wanting, and then the salt would be white, and would</w:t></w:r>
</w:p>
<w:p>
<w:pPr><w:pStyle w:val="Normal"/></w:pPr>
<w:r><w:t xml:space="preserve">answer, as Pliny says it did, for dyeing bright colours.</w:t></w:r>
</w:p>
<w:p>
<w:pPr><w:pStyle w:val="Normal"/></w:pPr>
<w:r><w:t xml:space="preserve">Several other species of alumen are described by Pliny, but</w:t></w:r>
</w:p>
<w:p>
<w:pPr><w:pStyle w:val="Normal"/></w:pPr>
<w:r><w:t xml:space="preserve">we are unable to make out to what minerals he alludes.</w:t></w:r>
</w:p>
<w:p>
<w:pPr><w:pStyle w:val="Normal"/></w:pPr>
<w:r><w:t xml:space="preserve">The alumen of the ancients, then, was not the same with the</w:t></w:r>
</w:p>
<w:p>
<w:pPr><w:pStyle w:val="Normal"/></w:pPr>
<w:r><w:t xml:space="preserve">alum of the moderns.  It was most commonly an iron sulphate,</w:t></w:r>
</w:p>
<w:p>
<w:pPr><w:pStyle w:val="Normal"/></w:pPr>
<w:r><w:t xml:space="preserve">sometimes probably an aluminium sulphate, and usually a</w:t></w:r>
</w:p>
<w:p>
<w:pPr><w:pStyle w:val="Normal"/></w:pPr>
<w:r><w:t xml:space="preserve">mixture of the two.  But the ancients were unacquainted with</w:t></w:r>
</w:p>
<w:p>
<w:pPr><w:pStyle w:val="Normal"/></w:pPr>
<w:r><w:t xml:space="preserve">our alum.  They were acquainted with a crystallized iron</w:t></w:r>
</w:p>
<w:p>
<w:pPr><w:pStyle w:val="Normal"/></w:pPr>
<w:r><w:t xml:space="preserve">sulphate, and distinguished it by the names of misy, sory,</w:t></w:r>
</w:p>
<w:p>
<w:pPr><w:pStyle w:val="Normal"/></w:pPr>
<w:r><w:t xml:space="preserve">chalcanthum (Pliny xxxiv. 12). As alum and green vitriol</w:t></w:r>
</w:p>
<w:p>
<w:pPr><w:pStyle w:val="Normal"/></w:pPr>
<w:r><w:t xml:space="preserve">were applied to a variety of substances in common, and as</w:t></w:r>
</w:p>
<w:p>
<w:pPr><w:pStyle w:val="Normal"/></w:pPr>
<w:r><w:t xml:space="preserve">both are distinguished by a sweetish and astringent taste,</w:t></w:r>
</w:p>
<w:p>
<w:pPr><w:pStyle w:val="Normal"/></w:pPr>
<w:r><w:t xml:space="preserve">writers, even after the discovery of alum, do not seem</w:t></w:r>
</w:p>
<w:p>
<w:pPr><w:pStyle w:val="Normal"/></w:pPr>
<w:r><w:t xml:space="preserve">to have discriminated the two salts accurately from each</w:t></w:r>
</w:p>
<w:p>
<w:pPr><w:pStyle w:val="Normal"/></w:pPr>
<w:r><w:t xml:space="preserve">other.  In the writings of the alchemists we find the words</w:t></w:r>
</w:p>
<w:p>
<w:pPr><w:pStyle w:val="Normal"/></w:pPr>
<w:r><w:t xml:space="preserve">misy, sory, chalcanthum applied to alum as well as to iron</w:t></w:r>
</w:p>
<w:p>
<w:pPr><w:pStyle w:val="Normal"/></w:pPr>
<w:r><w:t xml:space="preserve">sulphate; and the name atramentum sutorium, which ought</w:t></w:r>
</w:p>
<w:p>
<w:pPr><w:pStyle w:val="Normal"/></w:pPr>
<w:r><w:t xml:space="preserve">to belong, one would suppose, exclusively to green vitriol,</w:t></w:r>
</w:p>
<w:p>
<w:pPr><w:pStyle w:val="Normal"/></w:pPr>
<w:r><w:t xml:space="preserve">applied indifferently to both.  Various minerals are employed</w:t></w:r>
</w:p>
<w:p>
<w:pPr><w:pStyle w:val="Normal"/></w:pPr>
<w:r><w:t xml:space="preserve">in the manufacture of alum, the most important being alunite</w:t></w:r>
</w:p>
<w:p>
<w:pPr><w:pStyle w:val="Normal"/></w:pPr>
<w:r><w:t xml:space="preserve">(q.v.) or alum-stone, alum schist, bauxite and cryolite.</w:t></w:r>
</w:p>
<w:p>
<w:pPr><w:pStyle w:val="Normal"/></w:pPr>
<w:r><w:t xml:space="preserve">In order to obtain alum from alunite, it is calcined and</w:t></w:r>
</w:p>
<w:p>
<w:pPr><w:pStyle w:val="Normal"/></w:pPr>
<w:r><w:t xml:space="preserve">then  exposed to the action of air for a considerable</w:t></w:r>
</w:p>
<w:p>
<w:pPr><w:pStyle w:val="Normal"/></w:pPr>
<w:r><w:t xml:space="preserve">time.  During this  exposure it is kept continually moistened</w:t></w:r>
</w:p>
<w:p>
<w:pPr><w:pStyle w:val="Normal"/></w:pPr>
<w:r><w:t xml:space="preserve">with water, so that it  ultimately falls to a very fine</w:t></w:r>
</w:p>
<w:p>
<w:pPr><w:pStyle w:val="Normal"/></w:pPr>
<w:r><w:t xml:space="preserve">powder.  This powder is then  lixiviated with hot water, the</w:t></w:r>
</w:p>
<w:p>
<w:pPr><w:pStyle w:val="Normal"/></w:pPr>
<w:r><w:t xml:space="preserve">liquor decanted, and the alum  allowed to crystallize.  The</w:t></w:r>
</w:p>
<w:p>
<w:pPr><w:pStyle w:val="Normal"/></w:pPr>
<w:r><w:t xml:space="preserve">alum schists employed in the manufacture of alum are mixtures</w:t></w:r>
</w:p>
<w:p>
<w:pPr><w:pStyle w:val="Normal"/></w:pPr>
<w:r><w:t xml:space="preserve">of iron pyrites, aluminium silicate and various bituminous</w:t></w:r>
</w:p>
<w:p>
<w:pPr><w:pStyle w:val="Normal"/></w:pPr>
<w:r><w:t xml:space="preserve">substances, and are found in upper Bavaria, Bohemia, Belgium</w:t></w:r>
</w:p>
<w:p>
<w:pPr><w:pStyle w:val="Normal"/></w:pPr>
<w:r><w:t xml:space="preserve">and Scotland.  These are either roasted or exposed to the</w:t></w:r>
</w:p>
<w:p>
<w:pPr><w:pStyle w:val="Normal"/></w:pPr>
<w:r><w:t xml:space="preserve">weathering action of the air.  In the roasting process,</w:t></w:r>
</w:p>
<w:p>
<w:pPr><w:pStyle w:val="Normal"/></w:pPr>
<w:r><w:t xml:space="preserve">sulphuric acid is formed and acts on the clay to form aluminium</w:t></w:r>
</w:p>
<w:p>
<w:pPr><w:pStyle w:val="Normal"/></w:pPr>
<w:r><w:t xml:space="preserve">sulphate, a similar condition of affairs being produced during</w:t></w:r>
</w:p>
<w:p>
<w:pPr><w:pStyle w:val="Normal"/></w:pPr>
<w:r><w:t xml:space="preserve">weathering.  The mass is now systematically extracted with</w:t></w:r>
</w:p>
<w:p>
<w:pPr><w:pStyle w:val="Normal"/></w:pPr>
<w:r><w:t xml:space="preserve">water, and a solution of aluminium sulphate of specific</w:t></w:r>
</w:p>
<w:p>
<w:pPr><w:pStyle w:val="Normal"/></w:pPr>
<w:r><w:t xml:space="preserve">gravity 1.16 is prepared.  This solution is allowed to stand</w:t></w:r>
</w:p>
<w:p>
<w:pPr><w:pStyle w:val="Normal"/></w:pPr>
<w:r><w:t xml:space="preserve">for some time (in order that any calcium sulphate and basic</w:t></w:r>
</w:p>
<w:p>
<w:pPr><w:pStyle w:val="Normal"/></w:pPr>
<w:r><w:t xml:space="preserve">ferric sulphate may separate), and is then evaporated until</w:t></w:r>
</w:p>
<w:p>
<w:pPr><w:pStyle w:val="Normal"/></w:pPr>
<w:r><w:t xml:space="preserve">ferrous sulphate crystallizes on cooling; it is then drawn</w:t></w:r>
</w:p>
<w:p>
<w:pPr><w:pStyle w:val="Normal"/></w:pPr>
<w:r><w:t xml:space="preserve">off and evaporated until it attains a specific gravity of</w:t></w:r>
</w:p>
<w:p>
<w:pPr><w:pStyle w:val="Normal"/></w:pPr>
<w:r><w:t xml:space="preserve">1.40.  It is now allowed to stand for some time, decanted from</w:t></w:r>
</w:p>
<w:p>
<w:pPr><w:pStyle w:val="Normal"/></w:pPr>
<w:r><w:t xml:space="preserve">any sediment, and finally mixed with the calculated quantity</w:t></w:r>
</w:p>
<w:p>
<w:pPr><w:pStyle w:val="Normal"/></w:pPr>
<w:r><w:t xml:space="preserve">of potassium sulphate (or if ammonium alum is required, with</w:t></w:r>
</w:p>
<w:p>
<w:pPr><w:pStyle w:val="Normal"/></w:pPr>
<w:r><w:t xml:space="preserve">ammonium sulphate), well agitated, and the alum is thrown</w:t></w:r>
</w:p>
<w:p>
<w:pPr><w:pStyle w:val="Normal"/></w:pPr>
<w:r><w:t xml:space="preserve">down as a finely-divided precipitate of alum meal.  If much</w:t></w:r>
</w:p>
<w:p>
<w:pPr><w:pStyle w:val="Normal"/></w:pPr>
<w:r><w:t xml:space="preserve">iron should be present in the shale then it is preferable</w:t></w:r>
</w:p>
<w:p>
<w:pPr><w:pStyle w:val="Normal"/></w:pPr>
<w:r><w:t xml:space="preserve">to use potassium chloride in place of potassium sulphate.</w:t></w:r>
</w:p>
<w:p>
<w:pPr><w:pStyle w:val="Normal"/></w:pPr>
<w:r><w:t xml:space="preserve">In the preparation of alum from clays or from bauxite, the</w:t></w:r>
</w:p>
<w:p>
<w:pPr><w:pStyle w:val="Normal"/></w:pPr>
<w:r><w:t xml:space="preserve">material is gently calcined, then mixed with sulphuric acid</w:t></w:r>
</w:p>
<w:p>
<w:pPr><w:pStyle w:val="Normal"/></w:pPr>
<w:r><w:t xml:space="preserve">and heated gradually to boiling; it is allowed to stand for</w:t></w:r>
</w:p>
<w:p>
<w:pPr><w:pStyle w:val="Normal"/></w:pPr>
<w:r><w:t xml:space="preserve">some time, the clear solution drawn off and mixed with acid</w:t></w:r>
</w:p>
<w:p>
<w:pPr><w:pStyle w:val="Normal"/></w:pPr>
<w:r><w:t xml:space="preserve">potassium sulphate and allowed to crystallize.  When cryolite</w:t></w:r>
</w:p>
<w:p>
<w:pPr><w:pStyle w:val="Normal"/></w:pPr>
<w:r><w:t xml:space="preserve">is used for the preparation of alum, it is mixed with calcium</w:t></w:r>
</w:p>
<w:p>
<w:pPr><w:pStyle w:val="Normal"/></w:pPr>
<w:r><w:t xml:space="preserve">carbonate and heated.  By this means, sodium aluminate is</w:t></w:r>
</w:p>
<w:p>
<w:pPr><w:pStyle w:val="Normal"/></w:pPr>
<w:r><w:t xml:space="preserve">formed; it is then extracted with water and precipitated</w:t></w:r>
</w:p>
<w:p>
<w:pPr><w:pStyle w:val="Normal"/></w:pPr>
<w:r><w:t xml:space="preserve">either by sodium bicarbonate or by passing a current of</w:t></w:r>
</w:p>
<w:p>
<w:pPr><w:pStyle w:val="Normal"/></w:pPr>
<w:r><w:t xml:space="preserve">carbon dioxide through the solution.  The precipitate is then</w:t></w:r>
</w:p>
<w:p>
<w:pPr><w:pStyle w:val="Normal"/></w:pPr>
<w:r><w:t xml:space="preserve">dissolved in sulphuric acid, the requisite amount of potassium</w:t></w:r>
</w:p>
<w:p>
<w:pPr><w:pStyle w:val="Normal"/></w:pPr>
<w:r><w:t xml:space="preserve">sulphate added and the solution allowed to crystallize.</w:t></w:r>
</w:p>
<w:p>
<w:pPr><w:pStyle w:val="Normal"/></w:pPr>
<w:r><w:t xml:space="preserve">Potash alum, K2SO4.Al2(SO4)3.24H2O, crystallizes in regular</w:t></w:r>
</w:p>
<w:p>
<w:pPr><w:pStyle w:val="Normal"/></w:pPr>
<w:r><w:t xml:space="preserve">octahedra and is very soluble in water.  The solution redens</w:t></w:r>
</w:p>
<w:p>
<w:pPr><w:pStyle w:val="Normal"/></w:pPr>
<w:r><w:t xml:space="preserve">litmus and is an astringent.  When heated to nearly a red</w:t></w:r>
</w:p>
<w:p>
<w:pPr><w:pStyle w:val="Normal"/></w:pPr>
<w:r><w:t xml:space="preserve">heat it gives a porous friable mass which is known as ``burnt</w:t></w:r>
</w:p>
<w:p>
<w:pPr><w:pStyle w:val="Normal"/></w:pPr>
<w:r><w:t xml:space="preserve">alum.&apos;&apos; It fuses at 92 deg.  C. in its own water of crystallization.</w:t></w:r>
</w:p>
<w:p>
<w:pPr><w:pStyle w:val="Normal"/></w:pPr>
<w:r><w:t xml:space="preserve">``Neutral alum&apos;&apos; is obtained by the addition of as much sodium</w:t></w:r>
</w:p>
<w:p>
<w:pPr><w:pStyle w:val="Normal"/></w:pPr>
<w:r><w:t xml:space="preserve">carbonate to a solution of alum as will begin to cause the</w:t></w:r>
</w:p>
<w:p>
<w:pPr><w:pStyle w:val="Normal"/></w:pPr>
<w:r><w:t xml:space="preserve">separation of alumina; it is much used in mordanting.  Alum</w:t></w:r>
</w:p>
<w:p>
<w:pPr><w:pStyle w:val="Normal"/></w:pPr>
<w:r><w:t xml:space="preserve">finds application as a mordant, in the preparation of lakes for</w:t></w:r>
</w:p>
<w:p>
<w:pPr><w:pStyle w:val="Normal"/></w:pPr>
<w:r><w:t xml:space="preserve">sizing hand-made paper and in the clarifying of turbid liquids.</w:t></w:r>
</w:p>
<w:p>
<w:pPr><w:pStyle w:val="Normal"/></w:pPr>
<w:r><w:t xml:space="preserve">Sodium alum, Na2SO4.Al2(SO4)3.24H2O, occurs in nature</w:t></w:r>
</w:p>
<w:p>
<w:pPr><w:pStyle w:val="Normal"/></w:pPr>
<w:r><w:t xml:space="preserve">as the mineral mendozite.  It is very soluble in water, and</w:t></w:r>
</w:p>
<w:p>
<w:pPr><w:pStyle w:val="Normal"/></w:pPr>
<w:r><w:t xml:space="preserve">is extremely difficult to purify.  In the preparation of</w:t></w:r>
</w:p>
<w:p>
<w:pPr><w:pStyle w:val="Normal"/></w:pPr>
<w:r><w:t xml:space="preserve">this salt, it is preferable to mix the component solutions</w:t></w:r>
</w:p>
<w:p>
<w:pPr><w:pStyle w:val="Normal"/></w:pPr>
<w:r><w:t xml:space="preserve">in the cold, and to evaporate them at a temperature</w:t></w:r>
</w:p>
<w:p>
<w:pPr><w:pStyle w:val="Normal"/></w:pPr>
<w:r><w:t xml:space="preserve">not exceeding 60 deg.  C. 100 parts of water dissolve 110</w:t></w:r>
</w:p>
<w:p>
<w:pPr><w:pStyle w:val="Normal"/></w:pPr>
<w:r><w:t xml:space="preserve">parts of sodium alum at 0 deg.  C. (W. A. Tilden, Jour.</w:t></w:r>
</w:p>
<w:p>
<w:pPr><w:pStyle w:val="Normal"/></w:pPr>
<w:r><w:t xml:space="preserve">Chem.  Soc., 1884, 45, p. 409), and 51 parts at 16 deg.</w:t></w:r>
</w:p>
<w:p>
<w:pPr><w:pStyle w:val="Heading1"/></w:pPr>
<w:r><w:t>C. (E. Auge, Comptes rendus, 1890, 110, p. 1139).</w:t></w:r>
</w:p>
<w:p>
<w:pPr><w:pStyle w:val="Normal"/></w:pPr>
<w:r><w:t xml:space="preserve">Chrome alum, K2SO4.Cr2(SO 4/0)3.24H2O, appears chiefly</w:t></w:r>
</w:p>
<w:p>
<w:pPr><w:pStyle w:val="Normal"/></w:pPr>
<w:r><w:t xml:space="preserve">as a by-product in the manufacture of alizarin, and</w:t></w:r>
</w:p>
<w:p>
<w:pPr><w:pStyle w:val="Normal"/></w:pPr>
<w:r><w:t xml:space="preserve">as a product of the reaction in bichromate batteries.</w:t></w:r>
</w:p>
<w:p>
<w:pPr><w:pStyle w:val="Normal"/></w:pPr>
<w:r><w:t xml:space="preserve">The solubility of the various alums in water varies greatly,</w:t></w:r>
</w:p>
<w:p>
<w:pPr><w:pStyle w:val="Normal"/></w:pPr>
<w:r><w:t xml:space="preserve">sodium alum being readily soluble in water, whilst caesium</w:t></w:r>
</w:p>
<w:p>
<w:pPr><w:pStyle w:val="Normal"/></w:pPr>
<w:r><w:t xml:space="preserve">and rubidium alums are only sparingly soluble.  The</w:t></w:r>
</w:p>
<w:p>
<w:pPr><w:pStyle w:val="Normal"/></w:pPr>
<w:r><w:t xml:space="preserve">various solubilities are shown in the following table: --</w:t></w:r>
</w:p>
<w:p>
<w:pPr><w:pStyle w:val="Normal"/></w:pPr>
<w:r><w:t xml:space="preserve">Ammonium Alum.      Caesium Alum.       Potash Alum.        Rubidium Alum.</w:t></w:r>
</w:p>
<w:p>
<w:pPr><w:pStyle w:val="Normal"/></w:pPr>
<w:r><w:t xml:space="preserve">t deg.  C. 100 parts  t deg.  C. 100 parts  t deg.  C. 100 parts  t deg.  C. 100 parts</w:t></w:r>
</w:p>
<w:p>
<w:pPr><w:pStyle w:val="Normal"/></w:pPr>
<w:r><w:t xml:space="preserve">water               water               water               water</w:t></w:r>
</w:p>
<w:p>
<w:pPr><w:pStyle w:val="Normal"/></w:pPr>
<w:r><w:t xml:space="preserve">dissolve            dissolve            dissolve            dissolve</w:t></w:r>
</w:p>
<w:p>
<w:pPr><w:pStyle w:val="Normal"/></w:pPr>
<w:r><w:t xml:space="preserve">0       2.62        0       0.19        0       3.9         0       0.71</w:t></w:r>
</w:p>
<w:p>
<w:pPr><w:pStyle w:val="Normal"/></w:pPr>
<w:r><w:t xml:space="preserve">10       4.5        10       0.29       10       9.52       10       1.09</w:t></w:r>
</w:p>
<w:p>
<w:pPr><w:pStyle w:val="Normal"/></w:pPr>
<w:r><w:t xml:space="preserve">50      15.9        50       1.235      50      44.11       50       4.98</w:t></w:r>
</w:p>
<w:p>
<w:pPr><w:pStyle w:val="Normal"/></w:pPr>
<w:r><w:t xml:space="preserve">80      35.2        80       5.29       80     134.47       80      21.60</w:t></w:r>
</w:p>
<w:p>
<w:pPr><w:pStyle w:val="Normal"/></w:pPr>
<w:r><w:t xml:space="preserve">100      70.83                          100     357.48</w:t></w:r>
</w:p>
<w:p>
<w:pPr><w:pStyle w:val="Normal"/></w:pPr>
<w:r><w:t xml:space="preserve">Poggiale            C. Setterberg       Poggiale            C. Setterberg</w:t></w:r>
</w:p>
<w:p>
<w:pPr><w:pStyle w:val="Normal"/></w:pPr>
<w:r><w:t xml:space="preserve">Ann. Chim. phys.   Ann. 1882,</w:t></w:r>
</w:p>
<w:p>
<w:pPr><w:pStyle w:val="Normal"/></w:pPr>
<w:r><w:t xml:space="preserve">[3] 8, p. 467          211, p. 104</w:t></w:r>
</w:p>
<w:p>
<w:pPr><w:pStyle w:val="Normal"/></w:pPr>
<w:r><w:t xml:space="preserve">ALUMINIUM (symbol Al; atomic weight 27.0), a metallic</w:t></w:r>
</w:p>
<w:p>
<w:pPr><w:pStyle w:val="Normal"/></w:pPr>
<w:r><w:t xml:space="preserve">chemical element.  Although never met with in the free</w:t></w:r>
</w:p>
<w:p>
<w:pPr><w:pStyle w:val="Normal"/></w:pPr>
<w:r><w:t xml:space="preserve">state, aluminium is very widely distributed in combination,</w:t></w:r>
</w:p>
<w:p>
<w:pPr><w:pStyle w:val="Normal"/></w:pPr>
<w:r><w:t xml:space="preserve">principally as silicates.  The word is derived from the</w:t></w:r>
</w:p>
<w:p>
<w:pPr><w:pStyle w:val="Normal"/></w:pPr>
<w:r><w:t xml:space="preserve">Lat. alumen (see ALUM), and is probably akin to the</w:t></w:r>
</w:p>
<w:p>
<w:pPr><w:pStyle w:val="Normal"/></w:pPr>
<w:r><w:t xml:space="preserve">Gr. als (the root of salt, halogen, &amp;c.).  In 1722</w:t></w:r>
</w:p>
<w:p>
<w:pPr><w:pStyle w:val="Normal"/></w:pPr>
<w:r><w:t xml:space="preserve">F. Hoffmann announced the base of alum to be an individual</w:t></w:r>
</w:p>
<w:p>
<w:pPr><w:pStyle w:val="Normal"/></w:pPr>
<w:r><w:t xml:space="preserve">substance; L. B. Guyton de Morveau suggested that this</w:t></w:r>
</w:p>
<w:p>
<w:pPr><w:pStyle w:val="Normal"/></w:pPr>
<w:r><w:t xml:space="preserve">base should be called alumine, after Sel alumineux, the</w:t></w:r>
</w:p>
<w:p>
<w:pPr><w:pStyle w:val="Normal"/></w:pPr>
<w:r><w:t xml:space="preserve">French name for alum; and about 1820 the word was changed</w:t></w:r>
</w:p>
<w:p>
<w:pPr><w:pStyle w:val="Normal"/></w:pPr>
<w:r><w:t xml:space="preserve">into alumina.  In 1760 the French chemist, T. Baron de</w:t></w:r>
</w:p>
<w:p>
<w:pPr><w:pStyle w:val="Normal"/></w:pPr>
<w:r><w:t xml:space="preserve">Henouville, unsuccessfully attempted ``to reduce the base</w:t></w:r>
</w:p>
<w:p>
<w:pPr><w:pStyle w:val="Normal"/></w:pPr>
<w:r><w:t xml:space="preserve">of alum&apos;&apos; to a metal, and shortly afterwards various other</w:t></w:r>
</w:p>
<w:p>
<w:pPr><w:pStyle w:val="Normal"/></w:pPr>
<w:r><w:t xml:space="preserve">investigators essayed the problem in vain.  In 1808 Sir Humphry</w:t></w:r>
</w:p>
<w:p>
<w:pPr><w:pStyle w:val="Normal"/></w:pPr>
<w:r><w:t xml:space="preserve">Davy, fresh from the electrolytic isolation of potassium and</w:t></w:r>
</w:p>
<w:p>
<w:pPr><w:pStyle w:val="Normal"/></w:pPr>
<w:r><w:t xml:space="preserve">sodium, attempted to decompose alumina by heating it with</w:t></w:r>
</w:p>
<w:p>
<w:pPr><w:pStyle w:val="Normal"/></w:pPr>
<w:r><w:t xml:space="preserve">potash in a platinum crucible and submitting the mixture</w:t></w:r>
</w:p>
<w:p>
<w:pPr><w:pStyle w:val="Normal"/></w:pPr>
<w:r><w:t xml:space="preserve">to a current of electricity; in 1809, with a more powerful</w:t></w:r>
</w:p>
<w:p>
<w:pPr><w:pStyle w:val="Normal"/></w:pPr>
<w:r><w:t xml:space="preserve">battery, he raised iron wire to a red heat in contact with</w:t></w:r>
</w:p>
<w:p>
<w:pPr><w:pStyle w:val="Normal"/></w:pPr>
<w:r><w:t xml:space="preserve">alumina, and obtained distinct evidence of the production of</w:t></w:r>
</w:p>
<w:p>
<w:pPr><w:pStyle w:val="Normal"/></w:pPr>
<w:r><w:t xml:space="preserve">an iron-aluminium alloy. Naming the new metal in anticipation</w:t></w:r>
</w:p>
<w:p>
<w:pPr><w:pStyle w:val="Normal"/></w:pPr>
<w:r><w:t xml:space="preserve">of its actual birth, he called it alumium; but for the</w:t></w:r>
</w:p>
<w:p>
<w:pPr><w:pStyle w:val="Normal"/></w:pPr>
<w:r><w:t xml:space="preserve">sake of analogy he was soon persuaded to change the word</w:t></w:r>
</w:p>
<w:p>
<w:pPr><w:pStyle w:val="Normal"/></w:pPr>
<w:r><w:t xml:space="preserve">to aluminum, in which form, alternately with aluminium,</w:t></w:r>
</w:p>
<w:p>
<w:pPr><w:pStyle w:val="Normal"/></w:pPr>
<w:r><w:t xml:space="preserve">it occurs in chemical literature for some thirty years.</w:t></w:r>
</w:p>
<w:p>
<w:pPr><w:pStyle w:val="Normal"/></w:pPr>
<w:r><w:t xml:space="preserve">Preparation.</w:t></w:r>
</w:p>
<w:p>
<w:pPr><w:pStyle w:val="Normal"/></w:pPr>
<w:r><w:t xml:space="preserve">In the year 1824, endeavouring to prepare itbychemicalmeans,</w:t></w:r>
</w:p>
<w:p>
<w:pPr><w:pStyle w:val="Normal"/></w:pPr>
<w:r><w:t xml:space="preserve">H. C. Oersted heated its chloride with potassium amalgam,</w:t></w:r>
</w:p>
<w:p>
<w:pPr><w:pStyle w:val="Normal"/></w:pPr>
<w:r><w:t xml:space="preserve">and failed in his object simply by reason of the mercury,</w:t></w:r>
</w:p>
<w:p>
<w:pPr><w:pStyle w:val="Normal"/></w:pPr>
<w:r><w:t xml:space="preserve">so that when F. Wohler repeated the experiment at Gottingen</w:t></w:r>
</w:p>
<w:p>
<w:pPr><w:pStyle w:val="Normal"/></w:pPr>
<w:r><w:t xml:space="preserve">in 1827, employing potassium alone as the reducing agent,</w:t></w:r>
</w:p>
<w:p>
<w:pPr><w:pStyle w:val="Normal"/></w:pPr>
<w:r><w:t xml:space="preserve">he obtained it in the metallic state for the first time.</w:t></w:r>
</w:p>
<w:p>
<w:pPr><w:pStyle w:val="Normal"/></w:pPr>
<w:r><w:t xml:space="preserve">Contaminated as it was with potassium and with platinum from</w:t></w:r>
</w:p>
<w:p>
<w:pPr><w:pStyle w:val="Normal"/></w:pPr>
<w:r><w:t xml:space="preserve">the crucible, the metal formed a grey powder and was far</w:t></w:r>
</w:p>
<w:p>
<w:pPr><w:pStyle w:val="Normal"/></w:pPr>
<w:r><w:t xml:space="preserve">from pure; but in 1845 he improved his process and succeeded</w:t></w:r>
</w:p>
<w:p>
<w:pPr><w:pStyle w:val="Normal"/></w:pPr>
<w:r><w:t xml:space="preserve">in producing metallic globules wherewith he examined its</w:t></w:r>
</w:p>
<w:p>
<w:pPr><w:pStyle w:val="Normal"/></w:pPr>
<w:r><w:t xml:space="preserve">chief properties, and prepared several compounds hitherto</w:t></w:r>
</w:p>
<w:p>
<w:pPr><w:pStyle w:val="Normal"/></w:pPr>
<w:r><w:t xml:space="preserve">unknown. Early in 1854, H. St Claire Deville, accidentally</w:t></w:r>
</w:p>
<w:p>
<w:pPr><w:pStyle w:val="Normal"/></w:pPr>
<w:r><w:t xml:space="preserve">and in ignorance of Wohler&apos;s later results, imitated the</w:t></w:r>
</w:p>
<w:p>
<w:pPr><w:pStyle w:val="Normal"/></w:pPr>
<w:r><w:t xml:space="preserve">1845 experiment.  At once observing the reduction of the</w:t></w:r>
</w:p>
<w:p>
<w:pPr><w:pStyle w:val="Normal"/></w:pPr>
<w:r><w:t xml:space="preserve">chloride, he realized the importance of his discovery and</w:t></w:r>
</w:p>
<w:p>
<w:pPr><w:pStyle w:val="Normal"/></w:pPr>
<w:r><w:t xml:space="preserve">immediately began to study the commercial production of the</w:t></w:r>
</w:p>
<w:p>
<w:pPr><w:pStyle w:val="Normal"/></w:pPr>
<w:r><w:t xml:space="preserve">metal.  His attention was at first divided between two</w:t></w:r>
</w:p>
<w:p>
<w:pPr><w:pStyle w:val="Normal"/></w:pPr>
<w:r><w:t xml:space="preserve">processes -- the chemical method of reducing the chloride</w:t></w:r>
</w:p>
<w:p>
<w:pPr><w:pStyle w:val="Normal"/></w:pPr>
<w:r><w:t xml:space="preserve">with potassium, and an electrolytic method of decomposing</w:t></w:r>
</w:p>
<w:p>
<w:pPr><w:pStyle w:val="Normal"/></w:pPr>
<w:r><w:t xml:space="preserve">it with a carbon anode and a platinum cathode, which was</w:t></w:r>
</w:p>
<w:p>
<w:pPr><w:pStyle w:val="Normal"/></w:pPr>
<w:r><w:t xml:space="preserve">simultaneously imagined by himself and R. Bunsen.  Both</w:t></w:r>
</w:p>
<w:p>
<w:pPr><w:pStyle w:val="Normal"/></w:pPr>
<w:r><w:t xml:space="preserve">schemes appeared practically impossible; potassium cost about</w:t></w:r>
</w:p>
<w:p>
<w:pPr><w:pStyle w:val="Heading1"/></w:pPr>
<w:r><w:t>L. 17 per lb, gave a very small yield and was dangerous to</w:t></w:r>
</w:p>
<w:p>
<w:pPr><w:pStyle w:val="Normal"/></w:pPr>
<w:r><w:t xml:space="preserve">manipulate, while on the other hand, the only source of</w:t></w:r>
</w:p>
<w:p>
<w:pPr><w:pStyle w:val="Normal"/></w:pPr>
<w:r><w:t xml:space="preserve">electric current then available was the primary battery, and</w:t></w:r>
</w:p>
<w:p>
<w:pPr><w:pStyle w:val="Normal"/></w:pPr>
<w:r><w:t xml:space="preserve">zinc as a store of industrial energy was utterly out of the</w:t></w:r>
</w:p>
<w:p>
<w:pPr><w:pStyle w:val="Normal"/></w:pPr>
<w:r><w:t xml:space="preserve">question.  Deville accordingly returned to pure chemistry</w:t></w:r>
</w:p>
<w:p>
<w:pPr><w:pStyle w:val="Normal"/></w:pPr>
<w:r><w:t xml:space="preserve">and invented a practicable method of preparing sodium which,</w:t></w:r>
</w:p>
<w:p>
<w:pPr><w:pStyle w:val="Normal"/></w:pPr>
<w:r><w:t xml:space="preserve">having a lower atomic weight than potassium, reduced a larger</w:t></w:r>
</w:p>
<w:p>
<w:pPr><w:pStyle w:val="Normal"/></w:pPr>
<w:r><w:t xml:space="preserve">proportion.  He next devised a plan for manufacturing pure</w:t></w:r>
</w:p>
<w:p>
<w:pPr><w:pStyle w:val="Normal"/></w:pPr>
<w:r><w:t xml:space="preserve">alumina from the natural ores, and finally elaborated a</w:t></w:r>
</w:p>
<w:p>
<w:pPr><w:pStyle w:val="Normal"/></w:pPr>
<w:r><w:t xml:space="preserve">process and plant which held the field for almost thirty</w:t></w:r>
</w:p>
<w:p>
<w:pPr><w:pStyle w:val="Normal"/></w:pPr>
<w:r><w:t xml:space="preserve">years.  Only the discovery of dynamo-electric machines and</w:t></w:r>
</w:p>
<w:p>
<w:pPr><w:pStyle w:val="Normal"/></w:pPr>
<w:r><w:t xml:space="preserve">their application to metallurgical processes rendered it</w:t></w:r>
</w:p>
<w:p>
<w:pPr><w:pStyle w:val="Normal"/></w:pPr>
<w:r><w:t xml:space="preserve">possible for E. H. and A. H. Cowles to remove the industry from</w:t></w:r>
</w:p>
<w:p>
<w:pPr><w:pStyle w:val="Normal"/></w:pPr>
<w:r><w:t xml:space="preserve">the hands of chemists, till the time when P. T. L. Heroult</w:t></w:r>
</w:p>
<w:p>
<w:pPr><w:pStyle w:val="Normal"/></w:pPr>
<w:r><w:t xml:space="preserve">and C. M. Hall, by devising the electrolytic method now in</w:t></w:r>
</w:p>
<w:p>
<w:pPr><w:pStyle w:val="Normal"/></w:pPr>
<w:r><w:t xml:space="preserve">use, inaugurated the present era of industrial electrolysis.</w:t></w:r>
</w:p>
<w:p>
<w:pPr><w:pStyle w:val="Normal"/></w:pPr>
<w:r><w:t xml:space="preserve">Ores.</w:t></w:r>
</w:p>
<w:p>
<w:pPr><w:pStyle w:val="Normal"/></w:pPr>
<w:r><w:t xml:space="preserve">The chief natural compounds of aluminium are four in number:</w:t></w:r>
</w:p>
<w:p>
<w:pPr><w:pStyle w:val="Normal"/></w:pPr>
<w:r><w:t xml:space="preserve">oxide, hydroxide (hydrated oxide), silicate and fluoride.</w:t></w:r>
</w:p>
<w:p>
<w:pPr><w:pStyle w:val="Normal"/></w:pPr>
<w:r><w:t xml:space="preserve">Corundum,  the only important native oxide (Al2O3),</w:t></w:r>
</w:p>
<w:p>
<w:pPr><w:pStyle w:val="Normal"/></w:pPr>
<w:r><w:t xml:space="preserve">occurs in large deposits in southern India and the United</w:t></w:r>
</w:p>
<w:p>
<w:pPr><w:pStyle w:val="Normal"/></w:pPr>
<w:r><w:t xml:space="preserve">States.  Although it contains a higher percentage of metal</w:t></w:r>
</w:p>
<w:p>
<w:pPr><w:pStyle w:val="Normal"/></w:pPr>
<w:r><w:t xml:space="preserve">(52.9%) than any other natural compound, it is not at present</w:t></w:r>
</w:p>
<w:p>
<w:pPr><w:pStyle w:val="Normal"/></w:pPr>
<w:r><w:t xml:space="preserve">employed as an ore, not only because it is so hard as to be</w:t></w:r>
</w:p>
<w:p>
<w:pPr><w:pStyle w:val="Normal"/></w:pPr>
<w:r><w:t xml:space="preserve">crushed with difficulty, but also because its very hardness</w:t></w:r>
</w:p>
<w:p>
<w:pPr><w:pStyle w:val="Normal"/></w:pPr>
<w:r><w:t xml:space="preserve">makes it valuable as an abrasive. Cryolite (AlF3.5NaF) is</w:t></w:r>
</w:p>
<w:p>
<w:pPr><w:pStyle w:val="Normal"/></w:pPr>
<w:r><w:t xml:space="preserve">a double fluoride of aluminium and sodium, which is scarcely</w:t></w:r>
</w:p>
<w:p>
<w:pPr><w:pStyle w:val="Normal"/></w:pPr>
<w:r><w:t xml:space="preserve">known except on the west coast of Greenland.  Formerly it was</w:t></w:r>
</w:p>
<w:p>
<w:pPr><w:pStyle w:val="Normal"/></w:pPr>
<w:r><w:t xml:space="preserve">used for the preparation of the metal, but the inaccessibility</w:t></w:r>
</w:p>
<w:p>
<w:pPr><w:pStyle w:val="Normal"/></w:pPr>
<w:r><w:t xml:space="preserve">of its source, and the fact that it is not sufficiently pure</w:t></w:r>
</w:p>
<w:p>
<w:pPr><w:pStyle w:val="Normal"/></w:pPr>
<w:r><w:t xml:space="preserve">to be employed without some preliminary treatment, caused it</w:t></w:r>
</w:p>
<w:p>
<w:pPr><w:pStyle w:val="Normal"/></w:pPr>
<w:r><w:t xml:space="preserve">to be abandoned in favour of other salts.  When required in</w:t></w:r>
</w:p>
<w:p>
<w:pPr><w:pStyle w:val="Normal"/></w:pPr>
<w:r><w:t xml:space="preserve">the Heroult-Hall process as a solvent, it is sometimes made</w:t></w:r>
</w:p>
<w:p>
<w:pPr><w:pStyle w:val="Normal"/></w:pPr>
<w:r><w:t xml:space="preserve">artificially.  Aluminium silicate is the chemical body of</w:t></w:r>
</w:p>
<w:p>
<w:pPr><w:pStyle w:val="Normal"/></w:pPr>
<w:r><w:t xml:space="preserve">which all clays are nominally composed. Haolin or China</w:t></w:r>
</w:p>
<w:p>
<w:pPr><w:pStyle w:val="Normal"/></w:pPr>
<w:r><w:t xml:space="preserve">clay is essentially a pure disilicate (Al2O3.2SiO2.2H2O),</w:t></w:r>
</w:p>
<w:p>
<w:pPr><w:pStyle w:val="Normal"/></w:pPr>
<w:r><w:t xml:space="preserve">occurring in large beds almost throughout the world, and</w:t></w:r>
</w:p>
<w:p>
<w:pPr><w:pStyle w:val="Normal"/></w:pPr>
<w:r><w:t xml:space="preserve">containing in its anhydrous state 24.4% of the metal,</w:t></w:r>
</w:p>
<w:p>
<w:pPr><w:pStyle w:val="Normal"/></w:pPr>
<w:r><w:t xml:space="preserve">which, however, in common clays is more or less replaced</w:t></w:r>
</w:p>
<w:p>
<w:pPr><w:pStyle w:val="Normal"/></w:pPr>
<w:r><w:t xml:space="preserve">by calcium, magnesium, and the alkalis, the proportion of</w:t></w:r>
</w:p>
<w:p>
<w:pPr><w:pStyle w:val="Normal"/></w:pPr>
<w:r><w:t xml:space="preserve">silica sometimes reaching 70%. Kaolin thus seems to be the</w:t></w:r>
</w:p>
<w:p>
<w:pPr><w:pStyle w:val="Normal"/></w:pPr>
<w:r><w:t xml:space="preserve">best ore, and it would undoubtedly be used were it not for</w:t></w:r>
</w:p>
<w:p>
<w:pPr><w:pStyle w:val="Normal"/></w:pPr>
<w:r><w:t xml:space="preserve">the fatal objection that no satisfactory process has yet</w:t></w:r>
</w:p>
<w:p>
<w:pPr><w:pStyle w:val="Normal"/></w:pPr>
<w:r><w:t xml:space="preserve">been discovered for preparing pure alumina from any mineral</w:t></w:r>
</w:p>
<w:p>
<w:pPr><w:pStyle w:val="Normal"/></w:pPr>
<w:r><w:t xml:space="preserve">silicate.  If, according to the present method of winning the</w:t></w:r>
</w:p>
<w:p>
<w:pPr><w:pStyle w:val="Normal"/></w:pPr>
<w:r><w:t xml:space="preserve">metal, a bath containing silica as well as alumina is submitted</w:t></w:r>
</w:p>
<w:p>
<w:pPr><w:pStyle w:val="Normal"/></w:pPr>
<w:r><w:t xml:space="preserve">to electrolysis, both oxides are dissociated, and as silicon</w:t></w:r>
</w:p>
<w:p>
<w:pPr><w:pStyle w:val="Normal"/></w:pPr>
<w:r><w:t xml:space="preserve">is a very undesirable impurity, an alumina contaminated with</w:t></w:r>
</w:p>
<w:p>
<w:pPr><w:pStyle w:val="Normal"/></w:pPr>
<w:r><w:t xml:space="preserve">silica is not suited for reduction. Bauxite is a hydrated</w:t></w:r>
</w:p>
<w:p>
<w:pPr><w:pStyle w:val="Normal"/></w:pPr>
<w:r><w:t xml:space="preserve">oxide of aluminium of the ideal composition, Al2O3.2H2O.</w:t></w:r>
</w:p>
<w:p>
<w:pPr><w:pStyle w:val="Normal"/></w:pPr>
<w:r><w:t xml:space="preserve">It is a somewhat widely distributed mineral, being met within</w:t></w:r>
</w:p>
<w:p>
<w:pPr><w:pStyle w:val="Normal"/></w:pPr>
<w:r><w:t xml:space="preserve">Styria, Austria, Hesse, French Guiana, India and Italy; but</w:t></w:r>
</w:p>
<w:p>
<w:pPr><w:pStyle w:val="Normal"/></w:pPr>
<w:r><w:t xml:space="preserve">the most important beds are in the south of France, the north</w:t></w:r>
</w:p>
<w:p>
<w:pPr><w:pStyle w:val="Normal"/></w:pPr>
<w:r><w:t xml:space="preserve">of Ireland, and in Alabama, Georgia and Arkansas in North</w:t></w:r>
</w:p>
<w:p>
<w:pPr><w:pStyle w:val="Normal"/></w:pPr>
<w:r><w:t xml:space="preserve">America.  The chief Irish deposits are in the neighbourhood</w:t></w:r>
</w:p>
<w:p>
<w:pPr><w:pStyle w:val="Normal"/></w:pPr>
<w:r><w:t xml:space="preserve">of Glenravel, Co. Antrim, and have the advantage of being</w:t></w:r>
</w:p>
<w:p>
<w:pPr><w:pStyle w:val="Normal"/></w:pPr>
<w:r><w:t xml:space="preserve">near the coast, so that the alumina can be transported by</w:t></w:r>
</w:p>
<w:p>
<w:pPr><w:pStyle w:val="Normal"/></w:pPr>
<w:r><w:t xml:space="preserve">water-carriage.  After being dried at 100 deg.  C., Antrim</w:t></w:r>
</w:p>
<w:p>
<w:pPr><w:pStyle w:val="Normal"/></w:pPr>
<w:r><w:t xml:space="preserve">bauxite contains from 33 to 60% of alumina, from 2 to 30% of</w:t></w:r>
</w:p>
<w:p>
<w:pPr><w:pStyle w:val="Normal"/></w:pPr>
<w:r><w:t xml:space="preserve">ferric oxide, and from 7 to 24% of silica, the balance being</w:t></w:r>
</w:p>
<w:p>
<w:pPr><w:pStyle w:val="Normal"/></w:pPr>
<w:r><w:t xml:space="preserve">titanic acid and water of combination.  The American bauxites</w:t></w:r>
</w:p>
<w:p>
<w:pPr><w:pStyle w:val="Normal"/></w:pPr>
<w:r><w:t xml:space="preserve">contain from 38 to 67% of alumina, from 1 to 23% of ferric</w:t></w:r>
</w:p>
<w:p>
<w:pPr><w:pStyle w:val="Normal"/></w:pPr>
<w:r><w:t xml:space="preserve">oxide, and from 1 to 32% of silica.  The French bauxites are</w:t></w:r>
</w:p>
<w:p>
<w:pPr><w:pStyle w:val="Normal"/></w:pPr>
<w:r><w:t xml:space="preserve">of fairly constant composition, containing usually from 58</w:t></w:r>
</w:p>
<w:p>
<w:pPr><w:pStyle w:val="Normal"/></w:pPr>
<w:r><w:t xml:space="preserve">to 70% of alumina, 3 to 15% of foreign matter, and 27% made</w:t></w:r>
</w:p>
<w:p>
<w:pPr><w:pStyle w:val="Normal"/></w:pPr>
<w:r><w:t xml:space="preserve">up of silica, iron oxide and water in proportions that</w:t></w:r>
</w:p>
<w:p>
<w:pPr><w:pStyle w:val="Normal"/></w:pPr>
<w:r><w:t xml:space="preserve">vary with the colour and the situation of the beds.</w:t></w:r>
</w:p>
<w:p>
<w:pPr><w:pStyle w:val="Normal"/></w:pPr>
<w:r><w:t xml:space="preserve">Before the application of electricity, only two compounds</w:t></w:r>
</w:p>
<w:p>
<w:pPr><w:pStyle w:val="Normal"/></w:pPr>
<w:r><w:t xml:space="preserve">were found suitable for reduction to the metallic</w:t></w:r>
</w:p>
<w:p>
<w:pPr><w:pStyle w:val="Normal"/></w:pPr>
<w:r><w:t xml:space="preserve">state.  Alumina itself is so refractory that it cannot be</w:t></w:r>
</w:p>
<w:p>
<w:pPr><w:pStyle w:val="Normal"/></w:pPr>
<w:r><w:t xml:space="preserve">melted save by the oxyhydrogen blowpipe or the electric</w:t></w:r>
</w:p>
<w:p>
<w:pPr><w:pStyle w:val="Normal"/></w:pPr>
<w:r><w:t xml:space="preserve">arc, and except in the molten state it is not susceptible</w:t></w:r>
</w:p>
<w:p>
<w:pPr><w:pStyle w:val="Normal"/></w:pPr>
<w:r><w:t xml:space="preserve">of decomposition by any chemical reagent.  Deville first</w:t></w:r>
</w:p>
<w:p>
<w:pPr><w:pStyle w:val="Normal"/></w:pPr>
<w:r><w:t xml:space="preserve">selected the chloride as his raw material, but observing</w:t></w:r>
</w:p>
<w:p>
<w:pPr><w:pStyle w:val="Normal"/></w:pPr>
<w:r><w:t xml:space="preserve">it to be volatile and extremely deliquescent, he soon</w:t></w:r>
</w:p>
<w:p>
<w:pPr><w:pStyle w:val="Normal"/></w:pPr>
<w:r><w:t xml:space="preserve">substituted in its place a double chloride of aluminium and</w:t></w:r>
</w:p>
<w:p>
<w:pPr><w:pStyle w:val="Normal"/></w:pPr>
<w:r><w:t xml:space="preserve">sodium.  Early in 1855 John Percy suggested that cryolite</w:t></w:r>
</w:p>
<w:p>
<w:pPr><w:pStyle w:val="Normal"/></w:pPr>
<w:r><w:t xml:space="preserve">should be more convenient, as it was a natural mineral and</w:t></w:r>
</w:p>
<w:p>
<w:pPr><w:pStyle w:val="Normal"/></w:pPr>
<w:r><w:t xml:space="preserve">might not require purification, and at the end of March in</w:t></w:r>
</w:p>
<w:p>
<w:pPr><w:pStyle w:val="Normal"/></w:pPr>
<w:r><w:t xml:space="preserve">that year, Faraday exhibited before the Royal Institution</w:t></w:r>
</w:p>
<w:p>
<w:pPr><w:pStyle w:val="Normal"/></w:pPr>
<w:r><w:t xml:space="preserve">samples of the metal reduced from its fluoride by Dick and</w:t></w:r>
</w:p>
<w:p>
<w:pPr><w:pStyle w:val="Normal"/></w:pPr>
<w:r><w:t xml:space="preserve">Smith.  H. Rose also carried out experiments on the decomposition</w:t></w:r>
</w:p>
<w:p>
<w:pPr><w:pStyle w:val="Normal"/></w:pPr>
<w:r><w:t xml:space="preserve">of cryolite, and expressed an opinion that it was the best</w:t></w:r>
</w:p>
<w:p>
<w:pPr><w:pStyle w:val="Normal"/></w:pPr>
<w:r><w:t xml:space="preserve">of all compounds for reduction; but, finding the yield of</w:t></w:r>
</w:p>
<w:p>
<w:pPr><w:pStyle w:val="Normal"/></w:pPr>
<w:r><w:t xml:space="preserve">metal to be low, receiving a report of the difficulties</w:t></w:r>
</w:p>
<w:p>
<w:pPr><w:pStyle w:val="Normal"/></w:pPr>
<w:r><w:t xml:space="preserve">experienced in mining the ore, and fearing to cripple his</w:t></w:r>
</w:p>
<w:p>
<w:pPr><w:pStyle w:val="Normal"/></w:pPr>
<w:r><w:t xml:space="preserve">new industry by basing it upon the employment of a mineral</w:t></w:r>
</w:p>
<w:p>
<w:pPr><w:pStyle w:val="Normal"/></w:pPr>
<w:r><w:t xml:space="preserve">of such uncertain supply, Deville decided to keep to his</w:t></w:r>
</w:p>
<w:p>
<w:pPr><w:pStyle w:val="Normal"/></w:pPr>
<w:r><w:t xml:space="preserve">chlorides.  With the advent of the dynamo, the position of</w:t></w:r>
</w:p>
<w:p>
<w:pPr><w:pStyle w:val="Normal"/></w:pPr>
<w:r><w:t xml:space="preserve">affairs was wholly changed.  The first successful idea of</w:t></w:r>
</w:p>
<w:p>
<w:pPr><w:pStyle w:val="Normal"/></w:pPr>
<w:r><w:t xml:space="preserve">using electricity depended on the enormous heating powers</w:t></w:r>
</w:p>
<w:p>
<w:pPr><w:pStyle w:val="Normal"/></w:pPr>
<w:r><w:t xml:space="preserve">of the arc.  The infusibility of alumina was no longer</w:t></w:r>
</w:p>
<w:p>
<w:pPr><w:pStyle w:val="Normal"/></w:pPr>
<w:r><w:t xml:space="preserve">prohibitive, for the molten oxide is easily reduced by</w:t></w:r>
</w:p>
<w:p>
<w:pPr><w:pStyle w:val="Normal"/></w:pPr>
<w:r><w:t xml:space="preserve">carbon.  Nevertheless, it was found impracticable to smelt</w:t></w:r>
</w:p>
<w:p>
<w:pPr><w:pStyle w:val="Normal"/></w:pPr>
<w:r><w:t xml:space="preserve">alumina electrically except in presence of copper, so that</w:t></w:r>
</w:p>
<w:p>
<w:pPr><w:pStyle w:val="Normal"/></w:pPr>
<w:r><w:t xml:space="preserve">the Cowles furnace yielded, not the pure metal, but an</w:t></w:r>
</w:p>
<w:p>
<w:pPr><w:pStyle w:val="Normal"/></w:pPr>
<w:r><w:t xml:space="preserve">alloy.  So long as the metal was principally regarded as a</w:t></w:r>
</w:p>
<w:p>
<w:pPr><w:pStyle w:val="Normal"/></w:pPr>
<w:r><w:t xml:space="preserve">necessary ingredient of aluminium-bronze, the Cowles process was</w:t></w:r>
</w:p>
<w:p>
<w:pPr><w:pStyle w:val="Normal"/></w:pPr>
<w:r><w:t xml:space="preserve">popular, but when the advantages of aluminium itself became</w:t></w:r>
</w:p>
<w:p>
<w:pPr><w:pStyle w:val="Normal"/></w:pPr>
<w:r><w:t xml:space="preserve">more apparent, there arose a fresh demand for some chief</w:t></w:r>
</w:p>
<w:p>
<w:pPr><w:pStyle w:val="Normal"/></w:pPr>
<w:r><w:t xml:space="preserve">method of obtaining it unalloyed.  It was soon discovered</w:t></w:r>
</w:p>
<w:p>
<w:pPr><w:pStyle w:val="Normal"/></w:pPr>
<w:r><w:t xml:space="preserve">that the faculty of inducing dissociation possessed by the</w:t></w:r>
</w:p>
<w:p>
<w:pPr><w:pStyle w:val="Normal"/></w:pPr>
<w:r><w:t xml:space="preserve">current might now be utilized with some hope of pecuniary</w:t></w:r>
</w:p>
<w:p>
<w:pPr><w:pStyle w:val="Normal"/></w:pPr>
<w:r><w:t xml:space="preserve">success, but as electrolytic currents are of lower voltage</w:t></w:r>
</w:p>
<w:p>
<w:pPr><w:pStyle w:val="Normal"/></w:pPr>
<w:r><w:t xml:space="preserve">than those required in electric furnaces, molten alumina</w:t></w:r>
</w:p>
<w:p>
<w:pPr><w:pStyle w:val="Normal"/></w:pPr>
<w:r><w:t xml:space="preserve">again became impossible.  Many metals, of which copper, silver</w:t></w:r>
</w:p>
<w:p>
<w:pPr><w:pStyle w:val="Normal"/></w:pPr>
<w:r><w:t xml:space="preserve">and nickel are types, can be readily won or purified by the</w:t></w:r>
</w:p>
<w:p>
<w:pPr><w:pStyle w:val="Normal"/></w:pPr>
<w:r><w:t xml:space="preserve">electrolysis of aqueous solutions, and theoretically it may</w:t></w:r>
</w:p>
<w:p>
<w:pPr><w:pStyle w:val="Normal"/></w:pPr>
<w:r><w:t xml:space="preserve">be feasible to treat aluminium in an identical manner.  In</w:t></w:r>
</w:p>
<w:p>
<w:pPr><w:pStyle w:val="Normal"/></w:pPr>
<w:r><w:t xml:space="preserve">practice, however, it cannot be thrown down electrolytically</w:t></w:r>
</w:p>
<w:p>
<w:pPr><w:pStyle w:val="Normal"/></w:pPr>
<w:r><w:t xml:space="preserve">with a dissimilar anode so as to win the metal, and certain</w:t></w:r>
</w:p>
<w:p>
<w:pPr><w:pStyle w:val="Normal"/></w:pPr>
<w:r><w:t xml:space="preserve">difficulties are still met with in the analogous operation</w:t></w:r>
</w:p>
<w:p>
<w:pPr><w:pStyle w:val="Normal"/></w:pPr>
<w:r><w:t xml:space="preserve">of plating by means of a similar anode.  Of the simple</w:t></w:r>
</w:p>
<w:p>
<w:pPr><w:pStyle w:val="Normal"/></w:pPr>
<w:r><w:t xml:space="preserve">compounds, only the fluoride is amenable to electrolysis</w:t></w:r>
</w:p>
<w:p>
<w:pPr><w:pStyle w:val="Normal"/></w:pPr>
<w:r><w:t xml:space="preserve">in the fused state, since the chloride begins to volatilize</w:t></w:r>
</w:p>
<w:p>
<w:pPr><w:pStyle w:val="Normal"/></w:pPr>
<w:r><w:t xml:space="preserve">below its melting-point, and the latter is only 5 deg.  below its</w:t></w:r>
</w:p>
<w:p>
<w:pPr><w:pStyle w:val="Normal"/></w:pPr>
<w:r><w:t xml:space="preserve">boiling-point.  Cryolite is not a safe body to electrolyse,</w:t></w:r>
</w:p>
<w:p>
<w:pPr><w:pStyle w:val="Normal"/></w:pPr>
<w:r><w:t xml:space="preserve">because the minimum voltage needed to break up the aluminium</w:t></w:r>
</w:p>
<w:p>
<w:pPr><w:pStyle w:val="Normal"/></w:pPr>
<w:r><w:t xml:space="preserve">fluoride is 4.0, whereas the sodium fluoride requires only</w:t></w:r>
</w:p>
<w:p>
<w:pPr><w:pStyle w:val="Normal"/></w:pPr>
<w:r><w:t xml:space="preserve">4.7 volts; if, therefore, the current rises in tension,</w:t></w:r>
</w:p>
<w:p>
<w:pPr><w:pStyle w:val="Normal"/></w:pPr>
<w:r><w:t xml:space="preserve">the alkali is reduced, and the final product consists of</w:t></w:r>
</w:p>
<w:p>
<w:pPr><w:pStyle w:val="Normal"/></w:pPr>
<w:r><w:t xml:space="preserve">an alloy with sodium.  The corresponding double chloride</w:t></w:r>
</w:p>
<w:p>
<w:pPr><w:pStyle w:val="Normal"/></w:pPr>
<w:r><w:t xml:space="preserve">is a far better material; first, because it melts at about</w:t></w:r>
</w:p>
<w:p>
<w:pPr><w:pStyle w:val="Normal"/></w:pPr>
<w:r><w:t xml:space="preserve">180 deg.  C., and does not volatilize below a red heat, and</w:t></w:r>
</w:p>
<w:p>
<w:pPr><w:pStyle w:val="Normal"/></w:pPr>
<w:r><w:t xml:space="preserve">second, because the voltage of aluminium chloride is 2.3 and</w:t></w:r>
</w:p>
<w:p>
<w:pPr><w:pStyle w:val="Normal"/></w:pPr>
<w:r><w:t xml:space="preserve">that of sodium chloride 4.3, so that there is a much wider</w:t></w:r>
</w:p>
<w:p>
<w:pPr><w:pStyle w:val="Normal"/></w:pPr>
<w:r><w:t xml:space="preserve">margin of safety to cover irregularities in the electric</w:t></w:r>
</w:p>
<w:p>
<w:pPr><w:pStyle w:val="Normal"/></w:pPr>
<w:r><w:t xml:space="preserve">pressure.  It has been found, however, that molten cryolite</w:t></w:r>
</w:p>
<w:p>
<w:pPr><w:pStyle w:val="Normal"/></w:pPr>
<w:r><w:t xml:space="preserve">and the analogous double fluoride represented by the formula</w:t></w:r>
</w:p>
<w:p>
<w:pPr><w:pStyle w:val="Normal"/></w:pPr>
<w:r><w:t xml:space="preserve">Al2F6.2NaF are very efficient solvents of alumina, and that</w:t></w:r>
</w:p>
<w:p>
<w:pPr><w:pStyle w:val="Normal"/></w:pPr>
<w:r><w:t xml:space="preserve">these solutions can be easily electrolysed at about 800 deg.  C.</w:t></w:r>
</w:p>
<w:p>
<w:pPr><w:pStyle w:val="Normal"/></w:pPr>
<w:r><w:t xml:space="preserve">by means of a current that completely decomposes the oxide</w:t></w:r>
</w:p>
<w:p>
<w:pPr><w:pStyle w:val="Normal"/></w:pPr>
<w:r><w:t xml:space="preserve">but leaves the haloid salts unaffected.  Molten cryolite</w:t></w:r>
</w:p>
<w:p>
<w:pPr><w:pStyle w:val="Normal"/></w:pPr>
<w:r><w:t xml:space="preserve">dissolves roughly 30% of its weight of pure alumina, so</w:t></w:r>
</w:p>
<w:p>
<w:pPr><w:pStyle w:val="Normal"/></w:pPr>
<w:r><w:t xml:space="preserve">that when ready for treatment the solution contains about</w:t></w:r>
</w:p>
<w:p>
<w:pPr><w:pStyle w:val="Normal"/></w:pPr>
<w:r><w:t xml:space="preserve">the same proportion of what may be termed ``available&apos;&apos;</w:t></w:r>
</w:p>
<w:p>
<w:pPr><w:pStyle w:val="Normal"/></w:pPr>
<w:r><w:t xml:space="preserve">aluminium as does the fused double chloride of aluminium and</w:t></w:r>
</w:p>
<w:p>
<w:pPr><w:pStyle w:val="Normal"/></w:pPr>
<w:r><w:t xml:space="preserve">sodium.  The advantages lie with the oxide because of its easier</w:t></w:r>
</w:p>
<w:p>
<w:pPr><w:pStyle w:val="Normal"/></w:pPr>
<w:r><w:t xml:space="preserve">preparation.  Alumina dissolves readily enough in aqueous</w:t></w:r>
</w:p>
<w:p>
<w:pPr><w:pStyle w:val="Normal"/></w:pPr>
<w:r><w:t xml:space="preserve">hydrochloric acid to yield a solution of the chloride, but</w:t></w:r>
</w:p>
<w:p>
<w:pPr><w:pStyle w:val="Normal"/></w:pPr>
<w:r><w:t xml:space="preserve">neither this solution, nor that containing sodium chloride, can</w:t></w:r>
</w:p>
<w:p>
<w:pPr><w:pStyle w:val="Normal"/></w:pPr>
<w:r><w:t xml:space="preserve">be evaporated to dryness without decomposition.  To obtain the</w:t></w:r>
</w:p>
<w:p>
<w:pPr><w:pStyle w:val="Normal"/></w:pPr>
<w:r><w:t xml:space="preserve">anhydrous single or double chloride, alumina must be ignited</w:t></w:r>
</w:p>
<w:p>
<w:pPr><w:pStyle w:val="Normal"/></w:pPr>
<w:r><w:t xml:space="preserve">with carbon in a current of chlorine, and to exclude iron</w:t></w:r>
</w:p>
<w:p>
<w:pPr><w:pStyle w:val="Normal"/></w:pPr>
<w:r><w:t xml:space="preserve">from the finished metal, either the alumina must be pure or</w:t></w:r>
</w:p>
<w:p>
<w:pPr><w:pStyle w:val="Normal"/></w:pPr>
<w:r><w:t xml:space="preserve">the chloride be submitted to purification.  This preparation</w:t></w:r>
</w:p>
<w:p>
<w:pPr><w:pStyle w:val="Normal"/></w:pPr>
<w:r><w:t xml:space="preserve">of a chlorine compound suited for electrolysis becomes more</w:t></w:r>
</w:p>
<w:p>
<w:pPr><w:pStyle w:val="Normal"/></w:pPr>
<w:r><w:t xml:space="preserve">costly and more troublesome than that of the oxide, and in</w:t></w:r>
</w:p>
<w:p>
<w:pPr><w:pStyle w:val="Normal"/></w:pPr>
<w:r><w:t xml:space="preserve">addition four times as much raw material must be handled.</w:t></w:r>
</w:p>
<w:p>
<w:pPr><w:pStyle w:val="Normal"/></w:pPr>
<w:r><w:t xml:space="preserve">At different times propositions have been made to win the</w:t></w:r>
</w:p>
<w:p>
<w:pPr><w:pStyle w:val="Normal"/></w:pPr>
<w:r><w:t xml:space="preserve">metal from its sulphide.  This compound possesses a heat</w:t></w:r>
</w:p>
<w:p>
<w:pPr><w:pStyle w:val="Normal"/></w:pPr>
<w:r><w:t xml:space="preserve">of formation so much lower that electrically it needs but a</w:t></w:r>
</w:p>
<w:p>
<w:pPr><w:pStyle w:val="Normal"/></w:pPr>
<w:r><w:t xml:space="preserve">voltage of 0.9 to decompose it, and it is easily soluble in</w:t></w:r>
</w:p>
<w:p>
<w:pPr><w:pStyle w:val="Normal"/></w:pPr>
<w:r><w:t xml:space="preserve">the fused sulphides of the alkali metals.  It can also be</w:t></w:r>
</w:p>
<w:p>
<w:pPr><w:pStyle w:val="Normal"/></w:pPr>
<w:r><w:t xml:space="preserve">reduced metallurgically by the action of molten iron.  Various</w:t></w:r>
</w:p>
<w:p>
<w:pPr><w:pStyle w:val="Normal"/></w:pPr>
<w:r><w:t xml:space="preserve">considerations, however, tend to show that there cannot be</w:t></w:r>
</w:p>
<w:p>
<w:pPr><w:pStyle w:val="Normal"/></w:pPr>
<w:r><w:t xml:space="preserve">so much advantage in employing it as would appear at first</w:t></w:r>
</w:p>
<w:p>
<w:pPr><w:pStyle w:val="Normal"/></w:pPr>
<w:r><w:t xml:space="preserve">sight.  As it is easier to reduce than any other compound, so</w:t></w:r>
</w:p>
<w:p>
<w:pPr><w:pStyle w:val="Normal"/></w:pPr>
<w:r><w:t xml:space="preserve">it is more difficult to produce. Therefore while less energy is</w:t></w:r>
</w:p>
<w:p>
<w:pPr><w:pStyle w:val="Normal"/></w:pPr>
<w:r><w:t xml:space="preserve">absorbed in its final reduction, more is needed in its initial</w:t></w:r>
</w:p>
<w:p>
<w:pPr><w:pStyle w:val="Normal"/></w:pPr>
<w:r><w:t xml:space="preserve">preparation, and it is questionable whether the economy possible</w:t></w:r>
</w:p>
<w:p>
<w:pPr><w:pStyle w:val="Normal"/></w:pPr>
<w:r><w:t xml:space="preserve">in the second stage would not be neutralized by the greater</w:t></w:r>
</w:p>
<w:p>
<w:pPr><w:pStyle w:val="Normal"/></w:pPr>
<w:r><w:t xml:space="preserve">cost of the first stage in the whole operation of winning the</w:t></w:r>
</w:p>
<w:p>
<w:pPr><w:pStyle w:val="Normal"/></w:pPr>
<w:r><w:t xml:space="preserve">metal from bauxite with the sulphide as the intermediary.</w:t></w:r>
</w:p>
<w:p>
<w:pPr><w:pStyle w:val="Normal"/></w:pPr>
<w:r><w:t xml:space="preserve">Chemical reductions.</w:t></w:r>
</w:p>
<w:p>
<w:pPr><w:pStyle w:val="Normal"/></w:pPr>
<w:r><w:t xml:space="preserve">The Deville process as gradually elaborated between 1855 and</w:t></w:r>
</w:p>
<w:p>
<w:pPr><w:pStyle w:val="Normal"/></w:pPr>
<w:r><w:t xml:space="preserve">1859 exhibited three distinct phases: -- Production of metallic</w:t></w:r>
</w:p>
<w:p>
<w:pPr><w:pStyle w:val="Normal"/></w:pPr>
<w:r><w:t xml:space="preserve">sodium, formation of the pure double chloride of sodium and</w:t></w:r>
</w:p>
<w:p>
<w:pPr><w:pStyle w:val="Normal"/></w:pPr>
<w:r><w:t xml:space="preserve">aluminium, and preparation of the metal by the interaction</w:t></w:r>
</w:p>
<w:p>
<w:pPr><w:pStyle w:val="Normal"/></w:pPr>
<w:r><w:t xml:space="preserve">of the two former substances.  To produce the alkali metal,</w:t></w:r>
</w:p>
<w:p>
<w:pPr><w:pStyle w:val="Normal"/></w:pPr>
<w:r><w:t xml:space="preserve">a calcined mixture of sodium carbonate, coal and chalk was</w:t></w:r>
</w:p>
<w:p>
<w:pPr><w:pStyle w:val="Normal"/></w:pPr>
<w:r><w:t xml:space="preserve">strongly ignited in flat retorts made of boiler-plate; the sodium</w:t></w:r>
</w:p>
<w:p>
<w:pPr><w:pStyle w:val="Normal"/></w:pPr>
<w:r><w:t xml:space="preserve">distilled over into condensers and was preserved under heavy</w:t></w:r>
</w:p>
<w:p>
<w:pPr><w:pStyle w:val="Normal"/></w:pPr>
<w:r><w:t xml:space="preserve">petroleum.  In order to prepare pure alumina, bauxite and</w:t></w:r>
</w:p>
<w:p>
<w:pPr><w:pStyle w:val="Normal"/></w:pPr>
<w:r><w:t xml:space="preserve">sodium carbonate were heated in a furnace until the reaction</w:t></w:r>
</w:p>
<w:p>
<w:pPr><w:pStyle w:val="Normal"/></w:pPr>
<w:r><w:t xml:space="preserve">was complete; the product was then extracted with water to</w:t></w:r>
</w:p>
<w:p>
<w:pPr><w:pStyle w:val="Normal"/></w:pPr>
<w:r><w:t xml:space="preserve">dissolve the sodium aluminate, the solution treated with</w:t></w:r>
</w:p>
<w:p>
<w:pPr><w:pStyle w:val="Normal"/></w:pPr>
<w:r><w:t xml:space="preserve">carbon dioxide, and the precipitate removed and dried. This</w:t></w:r>
</w:p>
<w:p>
<w:pPr><w:pStyle w:val="Normal"/></w:pPr>
<w:r><w:t xml:space="preserve">purified oxide, mixed with sodium chloride and coal tar, was</w:t></w:r>
</w:p>
<w:p>
<w:pPr><w:pStyle w:val="Normal"/></w:pPr>
<w:r><w:t xml:space="preserve">carbonized at a red heat, and ignited in a current of dry</w:t></w:r>
</w:p>
<w:p>
<w:pPr><w:pStyle w:val="Normal"/></w:pPr>
<w:r><w:t xml:space="preserve">chlorine as long as vapours of the double chloride were given</w:t></w:r>
</w:p>
<w:p>
<w:pPr><w:pStyle w:val="Normal"/></w:pPr>
<w:r><w:t xml:space="preserve">off, these being condensed in suitable chambers.  For the</w:t></w:r>
</w:p>
<w:p>
<w:pPr><w:pStyle w:val="Normal"/></w:pPr>
<w:r><w:t xml:space="preserve">production of the final aluminium, 100 parts of the chloride</w:t></w:r>
</w:p>
<w:p>
<w:pPr><w:pStyle w:val="Normal"/></w:pPr>
<w:r><w:t xml:space="preserve">and 45 parts of cryolite to serve as a flux were powdered</w:t></w:r>
</w:p>
<w:p>
<w:pPr><w:pStyle w:val="Normal"/></w:pPr>
<w:r><w:t xml:space="preserve">together and mixed with 35 parts of sodium cut into small</w:t></w:r>
</w:p>
<w:p>
<w:pPr><w:pStyle w:val="Normal"/></w:pPr>
<w:r><w:t xml:space="preserve">pieces.  The whole was thrown in several portions on to the</w:t></w:r>
</w:p>
<w:p>
<w:pPr><w:pStyle w:val="Normal"/></w:pPr>
<w:r><w:t xml:space="preserve">hearth of a furnace previously heated to low redness and</w:t></w:r>
</w:p>
<w:p>
<w:pPr><w:pStyle w:val="Normal"/></w:pPr>
<w:r><w:t xml:space="preserve">was stirred at intervals for three hours. At length when the</w:t></w:r>
</w:p>
<w:p>
<w:pPr><w:pStyle w:val="Normal"/></w:pPr>
<w:r><w:t xml:space="preserve">furnace was tapped a white slag was drawn off from the top,</w:t></w:r>
</w:p>
<w:p>
<w:pPr><w:pStyle w:val="Normal"/></w:pPr>
<w:r><w:t xml:space="preserve">and the liquid metal beneath was received into a ladle and</w:t></w:r>
</w:p>
<w:p>
<w:pPr><w:pStyle w:val="Normal"/></w:pPr>
<w:r><w:t xml:space="preserve">poured into cast-iron moulds.  The process was worked out by</w:t></w:r>
</w:p>
<w:p>
<w:pPr><w:pStyle w:val="Normal"/></w:pPr>
<w:r><w:t xml:space="preserve">Deville in his laboratory at the Ecole Normale in Paris.</w:t></w:r>
</w:p>
<w:p>
<w:pPr><w:pStyle w:val="Normal"/></w:pPr>
<w:r><w:t xml:space="preserve">Early in 1855 he conducted large-scale experiments at Javel</w:t></w:r>
</w:p>
<w:p>
<w:pPr><w:pStyle w:val="Normal"/></w:pPr>
<w:r><w:t xml:space="preserve">in a factory lent him for the purpose, where he produced</w:t></w:r>
</w:p>
<w:p>
<w:pPr><w:pStyle w:val="Normal"/></w:pPr>
<w:r><w:t xml:space="preserve">sufficient to show at the French Exhibition of 1855.  In the</w:t></w:r>
</w:p>
<w:p>
<w:pPr><w:pStyle w:val="Normal"/></w:pPr>
<w:r><w:t xml:space="preserve">spring of 1856 a complete plant was erected at La Glaciere,</w:t></w:r>
</w:p>
<w:p>
<w:pPr><w:pStyle w:val="Normal"/></w:pPr>
<w:r><w:t xml:space="preserve">a suburb of Paris, but becoming a nuisance to the neighbours,</w:t></w:r>
</w:p>
<w:p>
<w:pPr><w:pStyle w:val="Normal"/></w:pPr>
<w:r><w:t xml:space="preserve">it was removed to Nanterre in the following year.  Later it</w:t></w:r>
</w:p>
<w:p>
<w:pPr><w:pStyle w:val="Normal"/></w:pPr>
<w:r><w:t xml:space="preserve">was again transferred to Salindres, where the manufacture</w:t></w:r>
</w:p>
<w:p>
<w:pPr><w:pStyle w:val="Normal"/></w:pPr>
<w:r><w:t xml:space="preserve">was continued by Messrs.  Pechiney till the advent of the</w:t></w:r>
</w:p>
<w:p>
<w:pPr><w:pStyle w:val="Normal"/></w:pPr>
<w:r><w:t xml:space="preserve">present electrolytic process rendered it no longer profitable.</w:t></w:r>
</w:p>
<w:p>
<w:pPr><w:pStyle w:val="Normal"/></w:pPr>
<w:r><w:t xml:space="preserve">When Deville quitted the Javel works, two brothers C. and A.</w:t></w:r>
</w:p>
<w:p>
<w:pPr><w:pStyle w:val="Normal"/></w:pPr>
<w:r><w:t xml:space="preserve">Tissier, formerly his assistants, who had devised an improved</w:t></w:r>
</w:p>
<w:p>
<w:pPr><w:pStyle w:val="Normal"/></w:pPr>
<w:r><w:t xml:space="preserve">sodium furnace and had acquired a thorough knowledge of their</w:t></w:r>
</w:p>
<w:p>
<w:pPr><w:pStyle w:val="Normal"/></w:pPr>
<w:r><w:t xml:space="preserve">leader&apos;s experiments, also left, and erected a factory at</w:t></w:r>
</w:p>
<w:p>
<w:pPr><w:pStyle w:val="Normal"/></w:pPr>
<w:r><w:t xml:space="preserve">Amfreville, near Rouen, to work the cryolite process.  It</w:t></w:r>
</w:p>
<w:p>
<w:pPr><w:pStyle w:val="Normal"/></w:pPr>
<w:r><w:t xml:space="preserve">consisted simply in reducing cryolite with metallic sodium</w:t></w:r>
</w:p>
<w:p>
<w:pPr><w:pStyle w:val="Normal"/></w:pPr>
<w:r><w:t xml:space="preserve">exactly as in Deville&apos;s chloride method, and it was claimed</w:t></w:r>
</w:p>
<w:p>
<w:pPr><w:pStyle w:val="Normal"/></w:pPr>
<w:r><w:t xml:space="preserve">to possess various mythical advantages over its rival.  Two</w:t></w:r>
</w:p>
<w:p>
<w:pPr><w:pStyle w:val="Normal"/></w:pPr>
<w:r><w:t xml:space="preserve">grave disadvantages were soon obvious -- the limited supply of</w:t></w:r>
</w:p>
<w:p>
<w:pPr><w:pStyle w:val="Normal"/></w:pPr>
<w:r><w:t xml:space="preserve">ore, and, what was even more serious, the large proportion</w:t></w:r>
</w:p>
<w:p>
<w:pPr><w:pStyle w:val="Normal"/></w:pPr>
<w:r><w:t xml:space="preserve">of silicon in the reduced metal. The Amfreville works</w:t></w:r>
</w:p>
<w:p>
<w:pPr><w:pStyle w:val="Normal"/></w:pPr>
<w:r><w:t xml:space="preserve">existed some eight or ten years, but achieved no permanent</w:t></w:r>
</w:p>
<w:p>
<w:pPr><w:pStyle w:val="Normal"/></w:pPr>
<w:r><w:t xml:space="preserve">prosperity.  In 1858 or 1859 a small factory, the first</w:t></w:r>
</w:p>
<w:p>
<w:pPr><w:pStyle w:val="Normal"/></w:pPr>
<w:r><w:t xml:space="preserve">in England, was built by F. W. Gerhard at Battersea, who</w:t></w:r>
</w:p>
<w:p>
<w:pPr><w:pStyle w:val="Normal"/></w:pPr>
<w:r><w:t xml:space="preserve">also employed cryolite, made his own sodium, and was able</w:t></w:r>
</w:p>
<w:p>
<w:pPr><w:pStyle w:val="Normal"/></w:pPr>
<w:r><w:t xml:space="preserve">to sell the product at 3s. 9d. per oz.  This enterprise</w:t></w:r>
</w:p>
<w:p>
<w:pPr><w:pStyle w:val="Normal"/></w:pPr>
<w:r><w:t xml:space="preserve">only lasted about four years.  Between 1860 and 1874 Messrs</w:t></w:r>
</w:p>
<w:p>
<w:pPr><w:pStyle w:val="Normal"/></w:pPr>
<w:r><w:t xml:space="preserve">Bell Brothers manufactured the metal at Washington, near</w:t></w:r>
</w:p>
<w:p>
<w:pPr><w:pStyle w:val="Normal"/></w:pPr>
<w:r><w:t xml:space="preserve">Newcastle, under Deville&apos;s supervision, producing nearly</w:t></w:r>
</w:p>
<w:p>
<w:pPr><w:pStyle w:val="Normal"/></w:pPr>
<w:r><w:t xml:space="preserve">2 cwt. per year.  They took part in the International</w:t></w:r>
</w:p>
<w:p>
<w:pPr><w:pStyle w:val="Normal"/></w:pPr>
<w:r><w:t xml:space="preserve">Exhibition of 1862, quoting a price of 40s. per lb troy.</w:t></w:r>
</w:p>
<w:p>
<w:pPr><w:pStyle w:val="Normal"/></w:pPr>
<w:r><w:t xml:space="preserve">In 1881 J. Webster patented an improved process for making</w:t></w:r>
</w:p>
<w:p>
<w:pPr><w:pStyle w:val="Normal"/></w:pPr>
<w:r><w:t xml:space="preserve">alumina, and the following year he organized the Aluminium</w:t></w:r>
</w:p>
<w:p>
<w:pPr><w:pStyle w:val="Normal"/></w:pPr>
<w:r><w:t xml:space="preserve">Crown Metal Co. of Hollywood to exploit it in conjunction</w:t></w:r>
</w:p>
<w:p>
<w:pPr><w:pStyle w:val="Normal"/></w:pPr>
<w:r><w:t xml:space="preserve">with Deville&apos;s method of reduction.  Potash-alum and pitch</w:t></w:r>
</w:p>
<w:p>
<w:pPr><w:pStyle w:val="Normal"/></w:pPr>
<w:r><w:t xml:space="preserve">were calcined together, and the mass was treated with</w:t></w:r>
</w:p>
<w:p>
<w:pPr><w:pStyle w:val="Normal"/></w:pPr>
<w:r><w:t xml:space="preserve">hydrochloric acid; charcoal and water to form a paste were</w:t></w:r>
</w:p>
<w:p>
<w:pPr><w:pStyle w:val="Normal"/></w:pPr>
<w:r><w:t xml:space="preserve">next added, and the whole was dried and ignited in a current</w:t></w:r>
</w:p>
<w:p>
<w:pPr><w:pStyle w:val="Normal"/></w:pPr>
<w:r><w:t xml:space="preserve">of air and steam. The residue, consisting of alumina and</w:t></w:r>
</w:p>
<w:p>
<w:pPr><w:pStyle w:val="Normal"/></w:pPr>
<w:r><w:t xml:space="preserve">potassium sulphate, was leached with water to separate</w:t></w:r>
</w:p>
<w:p>
<w:pPr><w:pStyle w:val="Normal"/></w:pPr>
<w:r><w:t xml:space="preserve">the insoluble matter which was dried as usual.  All the</w:t></w:r>
</w:p>
<w:p>
<w:pPr><w:pStyle w:val="Normal"/></w:pPr>
<w:r><w:t xml:space="preserve">by-products, potassium sulphate, sulphur and aluminate of</w:t></w:r>
</w:p>
<w:p>
<w:pPr><w:pStyle w:val="Normal"/></w:pPr>
<w:r><w:t xml:space="preserve">iron, were capable of recovery, and were claimed to reduce</w:t></w:r>
</w:p>
<w:p>
<w:pPr><w:pStyle w:val="Normal"/></w:pPr>
<w:r><w:t xml:space="preserve">the cost of the oxide materially.  From this alumina the</w:t></w:r>
</w:p>
<w:p>
<w:pPr><w:pStyle w:val="Normal"/></w:pPr>
<w:r><w:t xml:space="preserve">double chloride was prepared in essentially the same manner</w:t></w:r>
</w:p>
<w:p>
<w:pPr><w:pStyle w:val="Normal"/></w:pPr>
<w:r><w:t xml:space="preserve">as practised at Salindres, but sundry economies accrued in</w:t></w:r>
</w:p>
<w:p>
<w:pPr><w:pStyle w:val="Normal"/></w:pPr>
<w:r><w:t xml:space="preserve">the process, owing to the larger scale of working and to the</w:t></w:r>
</w:p>
<w:p>
<w:pPr><w:pStyle w:val="Normal"/></w:pPr>
<w:r><w:t xml:space="preserve">adoption of W. Weldon&apos;s method of regenerating the spent</w:t></w:r>
</w:p>
<w:p>
<w:pPr><w:pStyle w:val="Normal"/></w:pPr>
<w:r><w:t xml:space="preserve">chlorine liquors.  In 1886 H. Y. Castner&apos;s sodium patents</w:t></w:r>
</w:p>
<w:p>
<w:pPr><w:pStyle w:val="Normal"/></w:pPr>
<w:r><w:t xml:space="preserve">appeared, and The Aluminium Co. of Oldbury was promoted to</w:t></w:r>
</w:p>
<w:p>
<w:pPr><w:pStyle w:val="Normal"/></w:pPr>
<w:r><w:t xml:space="preserve">combine the advantages of Webster&apos;s alumina and Castner&apos;s</w:t></w:r>
</w:p>
<w:p>
<w:pPr><w:pStyle w:val="Normal"/></w:pPr>
<w:r><w:t xml:space="preserve">sodium.  Castner had long been interested in aluminium, and</w:t></w:r>
</w:p>
<w:p>
<w:pPr><w:pStyle w:val="Normal"/></w:pPr>
<w:r><w:t xml:space="preserve">was desirous of lowering its price.  Seeing that sodium was</w:t></w:r>
</w:p>
<w:p>
<w:pPr><w:pStyle w:val="Normal"/></w:pPr>
<w:r><w:t xml:space="preserve">the only possible reducing agent, he set himself to cheapen</w:t></w:r>
</w:p>
<w:p>
<w:pPr><w:pStyle w:val="Normal"/></w:pPr>
<w:r><w:t xml:space="preserve">its cost, and deliberately rejecting sodium carbonate for</w:t></w:r>
</w:p>
<w:p>
<w:pPr><w:pStyle w:val="Normal"/></w:pPr>
<w:r><w:t xml:space="preserve">the more expensive sodium hydroxide (caustic soda), and</w:t></w:r>
</w:p>
<w:p>
<w:pPr><w:pStyle w:val="Normal"/></w:pPr>
<w:r><w:t xml:space="preserve">replacing carbon by a mixture of iron and carbon -- the</w:t></w:r>
</w:p>
<w:p>
<w:pPr><w:pStyle w:val="Normal"/></w:pPr>
<w:r><w:t xml:space="preserve">so-called carbide of iron -- he invented the highly scientific</w:t></w:r>
</w:p>
<w:p>
<w:pPr><w:pStyle w:val="Normal"/></w:pPr>
<w:r><w:t xml:space="preserve">method of winning the alkali metal which has remained in</w:t></w:r>
</w:p>
<w:p>
<w:pPr><w:pStyle w:val="Normal"/></w:pPr>
<w:r><w:t xml:space="preserve">existence almost to the present day. In 1872 sodium prepared</w:t></w:r>
</w:p>
<w:p>
<w:pPr><w:pStyle w:val="Normal"/></w:pPr>
<w:r><w:t xml:space="preserve">by Deville&apos;s process cost about 4s. per lb, the greater</w:t></w:r>
</w:p>
<w:p>
<w:pPr><w:pStyle w:val="Heading1"/></w:pPr>
<w:r><w:t>part of the expense being due to the constant failure of</w:t></w:r>
</w:p>
<w:p>
<w:pPr><w:pStyle w:val="Normal"/></w:pPr>
<w:r><w:t xml:space="preserve">the retorts; in 1887 Castner&apos;s sodium cost less than 1s.</w:t></w:r>
</w:p>
<w:p>
<w:pPr><w:pStyle w:val="Normal"/></w:pPr>
<w:r><w:t xml:space="preserve">per lb, for his cast-iron pots survived 125 distillations.</w:t></w:r>
</w:p>
<w:p>
<w:pPr><w:pStyle w:val="Normal"/></w:pPr>
<w:r><w:t xml:space="preserve">In the same year L. Grabau patented a method of reducing the</w:t></w:r>
</w:p>
<w:p>
<w:pPr><w:pStyle w:val="Normal"/></w:pPr>
<w:r><w:t xml:space="preserve">simple fluoride of aluminium with sodium, and his process</w:t></w:r>
</w:p>
<w:p>
<w:pPr><w:pStyle w:val="Normal"/></w:pPr>
<w:r><w:t xml:space="preserve">was operated at Trotha in Germany.  It was distinguished</w:t></w:r>
</w:p>
<w:p>
<w:pPr><w:pStyle w:val="Normal"/></w:pPr>
<w:r><w:t xml:space="preserve">by the unusual purity of the metal obtained, some of his</w:t></w:r>
</w:p>
<w:p>
<w:pPr><w:pStyle w:val="Normal"/></w:pPr>
<w:r><w:t xml:space="preserve">samples containing 99.5 to 99.8%.  In 1888 the Alliance</w:t></w:r>
</w:p>
<w:p>
<w:pPr><w:pStyle w:val="Normal"/></w:pPr>
<w:r><w:t xml:space="preserve">Aluminium Co., organized to work certain patents for winning</w:t></w:r>
</w:p>
<w:p>
<w:pPr><w:pStyle w:val="Normal"/></w:pPr>
<w:r><w:t xml:space="preserve">the metal from cryolite by means of sodium, erected plant</w:t></w:r>
</w:p>
<w:p>
<w:pPr><w:pStyle w:val="Normal"/></w:pPr>
<w:r><w:t xml:space="preserve">in London, Hebburn and Wallsend, and by 1889 were selling</w:t></w:r>
</w:p>
<w:p>
<w:pPr><w:pStyle w:val="Normal"/></w:pPr>
<w:r><w:t xml:space="preserve">the metal at 11s. to 15s. per lb. The Aluminium Company&apos;s</w:t></w:r>
</w:p>
<w:p>
<w:pPr><w:pStyle w:val="Normal"/></w:pPr>
<w:r><w:t xml:space="preserve">price in 1888 was 20s. per lb and the output about 250</w:t></w:r>
</w:p>
<w:p>
<w:pPr><w:pStyle w:val="Normal"/></w:pPr>
<w:r><w:t xml:space="preserve">lb per day.  In 1889 the price was 16s., but by 1891 the</w:t></w:r>
</w:p>
<w:p>
<w:pPr><w:pStyle w:val="Normal"/></w:pPr>
<w:r><w:t xml:space="preserve">electricians commenced to offer metal at 4s. per lb, and</w:t></w:r>
</w:p>
<w:p>
<w:pPr><w:pStyle w:val="Normal"/></w:pPr>
<w:r><w:t xml:space="preserve">aluminium reduced with sodium became a thing of the past.</w:t></w:r>
</w:p>
<w:p>
<w:pPr><w:pStyle w:val="Normal"/></w:pPr>
<w:r><w:t xml:space="preserve">Electric reduction.</w:t></w:r>
</w:p>
<w:p>
<w:pPr><w:pStyle w:val="Normal"/></w:pPr>
<w:r><w:t xml:space="preserve">About 1879 dynamos began to be introduced into metallurgical</w:t></w:r>
</w:p>
<w:p>
<w:pPr><w:pStyle w:val="Normal"/></w:pPr>
<w:r><w:t xml:space="preserve">practice, and from that date onwards numerous schemes for</w:t></w:r>
</w:p>
<w:p>
<w:pPr><w:pStyle w:val="Normal"/></w:pPr>
<w:r><w:t xml:space="preserve">utilizing this cleaner source of energy were brought before the</w:t></w:r>
</w:p>
<w:p>
<w:pPr><w:pStyle w:val="Normal"/></w:pPr>
<w:r><w:t xml:space="preserve">public.  The first electrical method worthy  of notice is</w:t></w:r>
</w:p>
<w:p>
<w:pPr><w:pStyle w:val="Normal"/></w:pPr>
<w:r><w:t xml:space="preserve">that patented by E. H. and A. H. Cowles in 1885, which was</w:t></w:r>
</w:p>
<w:p>
<w:pPr><w:pStyle w:val="Normal"/></w:pPr>
<w:r><w:t xml:space="preserve">worked both at Lockport, New York, U.S.A., and at Milton,</w:t></w:r>
</w:p>
<w:p>
<w:pPr><w:pStyle w:val="Normal"/></w:pPr>
<w:r><w:t xml:space="preserve">Staffordshire.  The furnace consisted of a flat, rectangular,</w:t></w:r>
</w:p>
<w:p>
<w:pPr><w:pStyle w:val="Normal"/></w:pPr>
<w:r><w:t xml:space="preserve">firebrick box, packed with a layer of finely-powdered charcoal</w:t></w:r>
</w:p>
<w:p>
<w:pPr><w:pStyle w:val="Normal"/></w:pPr>
<w:r><w:t xml:space="preserve">2 in. thick.  Through stuffing-boxes at the ends passed the</w:t></w:r>
</w:p>
<w:p>
<w:pPr><w:pStyle w:val="Normal"/></w:pPr>
<w:r><w:t xml:space="preserve">two electrodes, made after the fashion of arc-light carbons,</w:t></w:r>
</w:p>
<w:p>
<w:pPr><w:pStyle w:val="Normal"/></w:pPr>
<w:r><w:t xml:space="preserve">and capable of being approached together according to the</w:t></w:r>
</w:p>
<w:p>
<w:pPr><w:pStyle w:val="Normal"/></w:pPr>
<w:r><w:t xml:space="preserve">requirements of the operation.  The central space of the</w:t></w:r>
</w:p>
<w:p>
<w:pPr><w:pStyle w:val="Normal"/></w:pPr>
<w:r><w:t xml:space="preserve">furnace was filled with a mixture of corundum, coarsely-powdered</w:t></w:r>
</w:p>
<w:p>
<w:pPr><w:pStyle w:val="Normal"/></w:pPr>
<w:r><w:t xml:space="preserve">charcoal and copper; and an iron lid lined with firebrick was</w:t></w:r>
</w:p>
<w:p>
<w:pPr><w:pStyle w:val="Normal"/></w:pPr>
<w:r><w:t xml:space="preserve">luted in its place to exclude air.  The charge was reduced</w:t></w:r>
</w:p>
<w:p>
<w:pPr><w:pStyle w:val="Normal"/></w:pPr>
<w:r><w:t xml:space="preserve">by means of a 50-volt current from a 300-kilowatt dynamo,</w:t></w:r>
</w:p>
<w:p>
<w:pPr><w:pStyle w:val="Normal"/></w:pPr>
<w:r><w:t xml:space="preserve">which was passed through the furnace for 1 1/2 hours till</w:t></w:r>
</w:p>
<w:p>
<w:pPr><w:pStyle w:val="Normal"/></w:pPr>
<w:r><w:t xml:space="preserve">decomposition was complete.  About 100 lb of bronze, containing</w:t></w:r>
</w:p>
<w:p>
<w:pPr><w:pStyle w:val="Normal"/></w:pPr>
<w:r><w:t xml:space="preserve">from 15 to 20 lb of aluminium, were obtained from each run,</w:t></w:r>
</w:p>
<w:p>
<w:pPr><w:pStyle w:val="Normal"/></w:pPr>
<w:r><w:t xml:space="preserve">the yield of the alloy being reported at about 1 lb per 18</w:t></w:r>
</w:p>
<w:p>
<w:pPr><w:pStyle w:val="Normal"/></w:pPr>
<w:r><w:t xml:space="preserve">e.h.p.-hours.  The composition of the alloys thus produced</w:t></w:r>
</w:p>
<w:p>
<w:pPr><w:pStyle w:val="Normal"/></w:pPr>
<w:r><w:t xml:space="preserve">could not be predetermined with exactitude; each batch was</w:t></w:r>
</w:p>
<w:p>
<w:pPr><w:pStyle w:val="Normal"/></w:pPr>
<w:r><w:t xml:space="preserve">therefore analysed, a number of them were bulked together</w:t></w:r>
</w:p>
<w:p>
<w:pPr><w:pStyle w:val="Normal"/></w:pPr>
<w:r><w:t xml:space="preserve">or mixed with copper in the necessary proportion, and melted</w:t></w:r>
</w:p>
<w:p>
<w:pPr><w:pStyle w:val="Normal"/></w:pPr>
<w:r><w:t xml:space="preserve">in crucibles to give merchantable bronzes containing between</w:t></w:r>
</w:p>
<w:p>
<w:pPr><w:pStyle w:val="Normal"/></w:pPr>
<w:r><w:t xml:space="preserve">1 1/4 and 10% of aluminium. Although the copper took no part</w:t></w:r>
</w:p>
<w:p>
<w:pPr><w:pStyle w:val="Normal"/></w:pPr>
<w:r><w:t xml:space="preserve">in the reaction, its employment was found indispensable,</w:t></w:r>
</w:p>
<w:p>
<w:pPr><w:pStyle w:val="Normal"/></w:pPr>
<w:r><w:t xml:space="preserve">as otherwise the aluminium partly volatilized, and partly</w:t></w:r>
</w:p>
<w:p>
<w:pPr><w:pStyle w:val="Normal"/></w:pPr>
<w:r><w:t xml:space="preserve">combined with the carbon to form a carbide.  It was also</w:t></w:r>
</w:p>
<w:p>
<w:pPr><w:pStyle w:val="Normal"/></w:pPr>
<w:r><w:t xml:space="preserve">necessary to give the fine charcoal a thin coating of calcium</w:t></w:r>
</w:p>
<w:p>
<w:pPr><w:pStyle w:val="Normal"/></w:pPr>
<w:r><w:t xml:space="preserve">oxide by soaking it in lime-water, for the temperature was</w:t></w:r>
</w:p>
<w:p>
<w:pPr><w:pStyle w:val="Normal"/></w:pPr>
<w:r><w:t xml:space="preserve">so high that unless it was thus protected it was gradually</w:t></w:r>
</w:p>
<w:p>
<w:pPr><w:pStyle w:val="Normal"/></w:pPr>
<w:r><w:t xml:space="preserve">converted into graphite, losing its insulating power and</w:t></w:r>
</w:p>
<w:p>
<w:pPr><w:pStyle w:val="Normal"/></w:pPr>
<w:r><w:t xml:space="preserve">diffusing the current through the lining and walls of the</w:t></w:r>
</w:p>
<w:p>
<w:pPr><w:pStyle w:val="Normal"/></w:pPr>
<w:r><w:t xml:space="preserve">furnace.  That this process did not depend upon electrolysis,</w:t></w:r>
</w:p>
<w:p>
<w:pPr><w:pStyle w:val="Normal"/></w:pPr>
<w:r><w:t xml:space="preserve">but was simply an instance of electrical smelting or</w:t></w:r>
</w:p>
<w:p>
<w:pPr><w:pStyle w:val="Normal"/></w:pPr>
<w:r><w:t xml:space="preserve">the decomposition of an oxide by means of carbon at the</w:t></w:r>
</w:p>
<w:p>
<w:pPr><w:pStyle w:val="Normal"/></w:pPr>
<w:r><w:t xml:space="preserve">temperature of the electric arc, is shown by the fact that</w:t></w:r>
</w:p>
<w:p>
<w:pPr><w:pStyle w:val="Normal"/></w:pPr>
<w:r><w:t xml:space="preserve">the Cowles furnace would work with an alternating current.</w:t></w:r>
</w:p>
<w:p>
<w:pPr><w:pStyle w:val="Normal"/></w:pPr>
<w:r><w:t xml:space="preserve">In 1883 R. Cratzel patented a useless electrolytic process</w:t></w:r>
</w:p>
<w:p>
<w:pPr><w:pStyle w:val="Normal"/></w:pPr>
<w:r><w:t xml:space="preserve">with fused cryolite or the double chloride as the raw</w:t></w:r>
</w:p>
<w:p>
<w:pPr><w:pStyle w:val="Normal"/></w:pPr>
<w:r><w:t xml:space="preserve">material, and in 1886 Dr E. Kleiner propounded a cryolite</w:t></w:r>
</w:p>
<w:p>
<w:pPr><w:pStyle w:val="Normal"/></w:pPr>
<w:r><w:t xml:space="preserve">method which was worked for a time by the Aluminium</w:t></w:r>
</w:p>
<w:p>
<w:pPr><w:pStyle w:val="Normal"/></w:pPr>
<w:r><w:t xml:space="preserve">Syndicate at Tyldesley near Manchester, but was abandoned in</w:t></w:r>
</w:p>
<w:p>
<w:pPr><w:pStyle w:val="Normal"/></w:pPr>
<w:r><w:t xml:space="preserve">1890.  In 1887 A. Minet took out patents for electrolysing</w:t></w:r>
</w:p>
<w:p>
<w:pPr><w:pStyle w:val="Normal"/></w:pPr>
<w:r><w:t xml:space="preserve">a mixture of sodium chloride with aluminium fluoride, or</w:t></w:r>
</w:p>
<w:p>
<w:pPr><w:pStyle w:val="Normal"/></w:pPr>
<w:r><w:t xml:space="preserve">with natural or artificial cryolite.  The operation was</w:t></w:r>
</w:p>
<w:p>
<w:pPr><w:pStyle w:val="Normal"/></w:pPr>
<w:r><w:t xml:space="preserve">continuous, the metal being regularly run off from the bottom</w:t></w:r>
</w:p>
<w:p>
<w:pPr><w:pStyle w:val="Normal"/></w:pPr>
<w:r><w:t xml:space="preserve">of the bath, while fresh alumina and flouride were added as</w:t></w:r>
</w:p>
<w:p>
<w:pPr><w:pStyle w:val="Normal"/></w:pPr>
<w:r><w:t xml:space="preserve">required.  The process exhibited several disadvantages,</w:t></w:r>
</w:p>
<w:p>
<w:pPr><w:pStyle w:val="Normal"/></w:pPr>
<w:r><w:t xml:space="preserve">the electrolyte had to be kept constant in composition lest</w:t></w:r>
</w:p>
<w:p>
<w:pPr><w:pStyle w:val="Normal"/></w:pPr>
<w:r><w:t xml:space="preserve">either fluorine vapours should be evolved or sodium thrown</w:t></w:r>
</w:p>
<w:p>
<w:pPr><w:pStyle w:val="Normal"/></w:pPr>
<w:r><w:t xml:space="preserve">down, and the raw materials had accordingly to be prepared</w:t></w:r>
</w:p>
<w:p>
<w:pPr><w:pStyle w:val="Normal"/></w:pPr>
<w:r><w:t xml:space="preserve">in a pure state. After prolonged experiments in a factory</w:t></w:r>
</w:p>
<w:p>
<w:pPr><w:pStyle w:val="Normal"/></w:pPr>
<w:r><w:t xml:space="preserve">owned by Messrs Bernard Freres at St Michel in Savoy,</w:t></w:r>
</w:p>
<w:p>
<w:pPr><w:pStyle w:val="Normal"/></w:pPr>
<w:r><w:t xml:space="preserve">Minet&apos;s process was given up, and at the close of the 19th</w:t></w:r>
</w:p>
<w:p>
<w:pPr><w:pStyle w:val="Normal"/></w:pPr>
<w:r><w:t xml:space="preserve">century the Heroult-Hall method was alone being employed</w:t></w:r>
</w:p>
<w:p>
<w:pPr><w:pStyle w:val="Normal"/></w:pPr>
<w:r><w:t xml:space="preserve">in the manufacture of aluminium throughout the world.</w:t></w:r>
</w:p>
<w:p>
<w:pPr><w:pStyle w:val="Normal"/></w:pPr>
<w:r><w:t xml:space="preserve">The original Deville process for obtaining pure alumina</w:t></w:r>
</w:p>
<w:p>
<w:pPr><w:pStyle w:val="Normal"/></w:pPr>
<w:r><w:t xml:space="preserve">from bauxite was greatly simplified in 1889 by K. T. Bayer,</w:t></w:r>
</w:p>
<w:p>
<w:pPr><w:pStyle w:val="Normal"/></w:pPr>
<w:r><w:t xml:space="preserve">whose improved process is exploited at Larne in Ireland and</w:t></w:r>
</w:p>
<w:p>
<w:pPr><w:pStyle w:val="Normal"/></w:pPr>
<w:r><w:t xml:space="preserve">at Gardanne in France.  New works on the same process have</w:t></w:r>
</w:p>
<w:p>
<w:pPr><w:pStyle w:val="Normal"/></w:pPr>
<w:r><w:t xml:space="preserve">recently been erected near Marseilles.  Crude bauxite is</w:t></w:r>
</w:p>
<w:p>
<w:pPr><w:pStyle w:val="Normal"/></w:pPr>
<w:r><w:t xml:space="preserve">ground, lightly calcined to destroy organic matter, and</w:t></w:r>
</w:p>
<w:p>
<w:pPr><w:pStyle w:val="Normal"/></w:pPr>
<w:r><w:t xml:space="preserve">agitated under a pressure of 70 or 80 lb per sq. in. with</w:t></w:r>
</w:p>
<w:p>
<w:pPr><w:pStyle w:val="Normal"/></w:pPr>
<w:r><w:t xml:space="preserve">a solution of sodium hydroxide having the specific gravity</w:t></w:r>
</w:p>
<w:p>
<w:pPr><w:pStyle w:val="Normal"/></w:pPr>
<w:r><w:t xml:space="preserve">1.45.  After two or three hours the liquid is diluted</w:t></w:r>
</w:p>
<w:p>
<w:pPr><w:pStyle w:val="Normal"/></w:pPr>
<w:r><w:t xml:space="preserve">till its density falls to 1.23, when it is passed through</w:t></w:r>
</w:p>
<w:p>
<w:pPr><w:pStyle w:val="Normal"/></w:pPr>
<w:r><w:t xml:space="preserve">filter-presses to remove the insoluble ferric oxide and</w:t></w:r>
</w:p>
<w:p>
<w:pPr><w:pStyle w:val="Normal"/></w:pPr>
<w:r><w:t xml:space="preserve">silica.  The solution of sodium aluminate, containing aluminium</w:t></w:r>
</w:p>
<w:p>
<w:pPr><w:pStyle w:val="Normal"/></w:pPr>
<w:r><w:t xml:space="preserve">oxide and sodium oxide in the molecular proportion of 6 to 1,</w:t></w:r>
</w:p>
<w:p>
<w:pPr><w:pStyle w:val="Normal"/></w:pPr>
<w:r><w:t xml:space="preserve">is next agitated for thirty-six hours with a small quantity</w:t></w:r>
</w:p>
<w:p>
<w:pPr><w:pStyle w:val="Normal"/></w:pPr>
<w:r><w:t xml:space="preserve">of hydrated alumina previously obtained, which causes the</w:t></w:r>
</w:p>
<w:p>
<w:pPr><w:pStyle w:val="Normal"/></w:pPr>
<w:r><w:t xml:space="preserve">liquor to decompose, and some 70% of the aluminium hydroxide</w:t></w:r>
</w:p>
<w:p>
<w:pPr><w:pStyle w:val="Normal"/></w:pPr>
<w:r><w:t xml:space="preserve">to be thrown down.  The filtrate, now containing roughly</w:t></w:r>
</w:p>
<w:p>
<w:pPr><w:pStyle w:val="Normal"/></w:pPr>
<w:r><w:t xml:space="preserve">two molecules of alumina to one of soda, is concentrated to</w:t></w:r>
</w:p>
<w:p>
<w:pPr><w:pStyle w:val="Normal"/></w:pPr>
<w:r><w:t xml:space="preserve">the original gravity of 1.45, and employed instead of fresh</w:t></w:r>
</w:p>
<w:p>
<w:pPr><w:pStyle w:val="Normal"/></w:pPr>
<w:r><w:t xml:space="preserve">caustic for the attack of more bauxite; the precipitate is</w:t></w:r>
</w:p>
<w:p>
<w:pPr><w:pStyle w:val="Normal"/></w:pPr>
<w:r><w:t xml:space="preserve">then collected, washed till free from soda, dried and ignited</w:t></w:r>
</w:p>
<w:p>
<w:pPr><w:pStyle w:val="Normal"/></w:pPr>
<w:r><w:t xml:space="preserve">at about 1000 deg.  C. to convert it into a crystalline oxide</w:t></w:r>
</w:p>
<w:p>
<w:pPr><w:pStyle w:val="Normal"/></w:pPr>
<w:r><w:t xml:space="preserve">which is less hygroscopic than the former amorphous variety.</w:t></w:r>
</w:p>
<w:p>
<w:pPr><w:pStyle w:val="Normal"/></w:pPr>
<w:r><w:t xml:space="preserve">The process of manufacture which now remains to be described</w:t></w:r>
</w:p>
<w:p>
<w:pPr><w:pStyle w:val="Normal"/></w:pPr>
<w:r><w:t xml:space="preserve">was patented during 1886 and 1887 in the name of C. M. Hall</w:t></w:r>
</w:p>
<w:p>
<w:pPr><w:pStyle w:val="Normal"/></w:pPr>
<w:r><w:t xml:space="preserve">in America, in that of P. T. L. Heroult in England and</w:t></w:r>
</w:p>
<w:p>
<w:pPr><w:pStyle w:val="Normal"/></w:pPr>
<w:r><w:t xml:space="preserve">France.  It would be idle to discuss to whom the credit of</w:t></w:r>
</w:p>
<w:p>
<w:pPr><w:pStyle w:val="Normal"/></w:pPr>
<w:r><w:t xml:space="preserve">first imagining the method rightfully belongs, for probably</w:t></w:r>
</w:p>
<w:p>
<w:pPr><w:pStyle w:val="Normal"/></w:pPr>
<w:r><w:t xml:space="preserve">this is only one of the many occasions when new ideas have</w:t></w:r>
</w:p>
<w:p>
<w:pPr><w:pStyle w:val="Normal"/></w:pPr>
<w:r><w:t xml:space="preserve">been born in several brains at the same time.  By 1888 Hall</w:t></w:r>
</w:p>
<w:p>
<w:pPr><w:pStyle w:val="Normal"/></w:pPr>
<w:r><w:t xml:space="preserve">was at work on a commercial scale at Pittsburg, reducing</w:t></w:r>
</w:p>
<w:p>
<w:pPr><w:pStyle w:val="Normal"/></w:pPr>
<w:r><w:t xml:space="preserve">German alumina; in 1891 the plant was removed to New</w:t></w:r>
</w:p>
<w:p>
<w:pPr><w:pStyle w:val="Normal"/></w:pPr>
<w:r><w:t xml:space="preserve">Kensington for economy in fuel, and was gradually enlarged</w:t></w:r>
</w:p>
<w:p>
<w:pPr><w:pStyle w:val="Normal"/></w:pPr>
<w:r><w:t xml:space="preserve">to 1500 h.p.; in 1894 a factory driven by water was erected</w:t></w:r>
</w:p>
<w:p>
<w:pPr><w:pStyle w:val="Normal"/></w:pPr>
<w:r><w:t xml:space="preserve">at Niagara Falls, and subsequently works were established at</w:t></w:r>
</w:p>
<w:p>
<w:pPr><w:pStyle w:val="Normal"/></w:pPr>
<w:r><w:t xml:space="preserve">Shawenegan in Canada and at Massena in the United States.</w:t></w:r>
</w:p>
<w:p>
<w:pPr><w:pStyle w:val="Normal"/></w:pPr>
<w:r><w:t xml:space="preserve">In 1890 also the Hall process operated by steam power was</w:t></w:r>
</w:p>
<w:p>
<w:pPr><w:pStyle w:val="Normal"/></w:pPr>
<w:r><w:t xml:space="preserve">installed at Patricroft, Lancashire, where the plant had a</w:t></w:r>
</w:p>
<w:p>
<w:pPr><w:pStyle w:val="Normal"/></w:pPr>
<w:r><w:t xml:space="preserve">capacity of 300 lb per day, but by 1894 the turbines of the</w:t></w:r>
</w:p>
<w:p>
<w:pPr><w:pStyle w:val="Normal"/></w:pPr>
<w:r><w:t xml:space="preserve">Swiss and French works ruined the enterprise.  About 1897</w:t></w:r>
</w:p>
<w:p>
<w:pPr><w:pStyle w:val="Normal"/></w:pPr>
<w:r><w:t xml:space="preserve">the Bernard factory at St Michel passed into the hands of</w:t></w:r>
</w:p>
<w:p>
<w:pPr><w:pStyle w:val="Normal"/></w:pPr>
<w:r><w:t xml:space="preserve">Messrs Pechiney, the machinery soon being increased, and</w:t></w:r>
</w:p>
<w:p>
<w:pPr><w:pStyle w:val="Normal"/></w:pPr>
<w:r><w:t xml:space="preserve">there, under the control of a firm that has been concerned</w:t></w:r>
</w:p>
<w:p>
<w:pPr><w:pStyle w:val="Normal"/></w:pPr>
<w:r><w:t xml:space="preserve">in the industry almost from its inception, aluminium is</w:t></w:r>
</w:p>
<w:p>
<w:pPr><w:pStyle w:val="Normal"/></w:pPr>
<w:r><w:t xml:space="preserve">being manufactured by the Hall process on a large scale.</w:t></w:r>
</w:p>
<w:p>
<w:pPr><w:pStyle w:val="Normal"/></w:pPr>
<w:r><w:t xml:space="preserve">In July 1888 the Societe Metallurgique Suisse erected</w:t></w:r>
</w:p>
<w:p>
<w:pPr><w:pStyle w:val="Normal"/></w:pPr>
<w:r><w:t xml:space="preserve">plant driven by a 500 h.p. turbine to carry out Heroult&apos;s</w:t></w:r>
</w:p>
<w:p>
<w:pPr><w:pStyle w:val="Normal"/></w:pPr>
<w:r><w:t xml:space="preserve">alloy process, and at the end of that year the Allgemeine</w:t></w:r>
</w:p>
<w:p>
<w:pPr><w:pStyle w:val="Normal"/></w:pPr>
<w:r><w:t xml:space="preserve">Elektricitats Gesellschaft united with the Swiss firm in</w:t></w:r>
</w:p>
<w:p>
<w:pPr><w:pStyle w:val="Normal"/></w:pPr>
<w:r><w:t xml:space="preserve">organizing the Aluminium Industrie Action Gesellschaft  of</w:t></w:r>
</w:p>
<w:p>
<w:pPr><w:pStyle w:val="Normal"/></w:pPr>
<w:r><w:t xml:space="preserve">Neuhasen, which has factories in Switzedand, Germany and</w:t></w:r>
</w:p>
<w:p>
<w:pPr><w:pStyle w:val="Normal"/></w:pPr>
<w:r><w:t xml:space="preserve">Austria.  The Societe Electrometallurgique Francaise,</w:t></w:r>
</w:p>
<w:p>
<w:pPr><w:pStyle w:val="Normal"/></w:pPr>
<w:r><w:t xml:space="preserve">started under the direction of Heroult in 1888 for the</w:t></w:r>
</w:p>
<w:p>
<w:pPr><w:pStyle w:val="Normal"/></w:pPr>
<w:r><w:t xml:space="preserve">production of aluminium in France, began operations on a</w:t></w:r>
</w:p>
<w:p>
<w:pPr><w:pStyle w:val="Normal"/></w:pPr>
<w:r><w:t xml:space="preserve">small scale at Froges in Isere; but soon after large works</w:t></w:r>
</w:p>
<w:p>
<w:pPr><w:pStyle w:val="Normal"/></w:pPr>
<w:r><w:t xml:space="preserve">were erected in Savoy at La Praz, near Modane, and in 1905</w:t></w:r>
</w:p>
<w:p>
<w:pPr><w:pStyle w:val="Normal"/></w:pPr>
<w:r><w:t xml:space="preserve">another large factory was started in Savoy at St Michel.</w:t></w:r>
</w:p>
<w:p>
<w:pPr><w:pStyle w:val="Normal"/></w:pPr>
<w:r><w:t xml:space="preserve">In 1895 the British Aluminium Company was founded to mine</w:t></w:r>
</w:p>
<w:p>
<w:pPr><w:pStyle w:val="Normal"/></w:pPr>
<w:r><w:t xml:space="preserve">bauxite and manufacture alumina in Ireland, to prepare the</w:t></w:r>
</w:p>
<w:p>
<w:pPr><w:pStyle w:val="Normal"/></w:pPr>
<w:r><w:t xml:space="preserve">necessary electrodes at Greenock, to reduce the aluminium</w:t></w:r>
</w:p>
<w:p>
<w:pPr><w:pStyle w:val="Normal"/></w:pPr>
<w:r><w:t xml:space="preserve">by the aid of water-power at the Falls of Foyers, and to</w:t></w:r>
</w:p>
<w:p>
<w:pPr><w:pStyle w:val="Normal"/></w:pPr>
<w:r><w:t xml:space="preserve">refine and work up the metal into marketable shapes at the</w:t></w:r>
</w:p>
<w:p>
<w:pPr><w:pStyle w:val="Normal"/></w:pPr>
<w:r><w:t xml:space="preserve">old Milton factory of the Cowles Syndicate, remodelled to</w:t></w:r>
</w:p>
<w:p>
<w:pPr><w:pStyle w:val="Normal"/></w:pPr>
<w:r><w:t xml:space="preserve">suit modern requirements.  In 1905 this company began works</w:t></w:r>
</w:p>
<w:p>
<w:pPr><w:pStyle w:val="Normal"/></w:pPr>
<w:r><w:t xml:space="preserve">for the utilization of another water-power at Loch Leven.</w:t></w:r>
</w:p>
<w:p>
<w:pPr><w:pStyle w:val="Normal"/></w:pPr>
<w:r><w:t xml:space="preserve">In 1907 a new company, The Aluminium Corporation, was started in</w:t></w:r>
</w:p>
<w:p>
<w:pPr><w:pStyle w:val="Normal"/></w:pPr>
<w:r><w:t xml:space="preserve">England to carry out the production of the metal by the Heroult</w:t></w:r>
</w:p>
<w:p>
<w:pPr><w:pStyle w:val="Normal"/></w:pPr>
<w:r><w:t xml:space="preserve">process, and new factories were constructed near Conway in North</w:t></w:r>
</w:p>
<w:p>
<w:pPr><w:pStyle w:val="Normal"/></w:pPr>
<w:r><w:t xml:space="preserve">Wales and at Wallsend-on-Tyne, quite close to where, twenty</w:t></w:r>
</w:p>
<w:p>
<w:pPr><w:pStyle w:val="Normal"/></w:pPr>
<w:r><w:t xml:space="preserve">years before, the Alliance Aluminium Co. had their works.</w:t></w:r>
</w:p>
<w:p>
<w:pPr><w:pStyle w:val="Normal"/></w:pPr>
<w:r><w:t xml:space="preserve">The Heroult cell consists of a square iron or steel box</w:t></w:r>
</w:p>
<w:p>
<w:pPr><w:pStyle w:val="Normal"/></w:pPr>
<w:r><w:t xml:space="preserve">lined with carbon rammed and baked into a solid mass; at the</w:t></w:r>
</w:p>
<w:p>
<w:pPr><w:pStyle w:val="Normal"/></w:pPr>
<w:r><w:t xml:space="preserve">bottom is a cast-iron plate connected with the negative pole</w:t></w:r>
</w:p>
<w:p>
<w:pPr><w:pStyle w:val="Normal"/></w:pPr>
<w:r><w:t xml:space="preserve">of the dynamo, but the actual working cathode is undoubtedly</w:t></w:r>
</w:p>
<w:p>
<w:pPr><w:pStyle w:val="Normal"/></w:pPr>
<w:r><w:t xml:space="preserve">the layer of already reduced and molten metal that lies in</w:t></w:r>
</w:p>
<w:p>
<w:pPr><w:pStyle w:val="Normal"/></w:pPr>
<w:r><w:t xml:space="preserve">the bath. The anode is formed of a bundle of carbon rods</w:t></w:r>
</w:p>
<w:p>
<w:pPr><w:pStyle w:val="Normal"/></w:pPr>
<w:r><w:t xml:space="preserve">suspended from overhead so as to be capable of vertical</w:t></w:r>
</w:p>
<w:p>
<w:pPr><w:pStyle w:val="Normal"/></w:pPr>
<w:r><w:t xml:space="preserve">adjustment.  The cell is filled up with cryolite, and the</w:t></w:r>
</w:p>
<w:p>
<w:pPr><w:pStyle w:val="Normal"/></w:pPr>
<w:r><w:t xml:space="preserve">current is turned on till this is melted; then the pure</w:t></w:r>
</w:p>
<w:p>
<w:pPr><w:pStyle w:val="Normal"/></w:pPr>
<w:r><w:t xml:space="preserve">powdered alumina is fed in continuously as long as the operation</w:t></w:r>
</w:p>
<w:p>
<w:pPr><w:pStyle w:val="Normal"/></w:pPr>
<w:r><w:t xml:space="preserve">proceeds.  The current is supplied at a tension of 3 to 5</w:t></w:r>
</w:p>
<w:p>
<w:pPr><w:pStyle w:val="Normal"/></w:pPr>
<w:r><w:t xml:space="preserve">volts per cell, passing through 10 or 12 in series; and it</w:t></w:r>
</w:p>
<w:p>
<w:pPr><w:pStyle w:val="Normal"/></w:pPr>
<w:r><w:t xml:space="preserve">performs two distinct functions: -- (1) it overcomes the</w:t></w:r>
</w:p>
<w:p>
<w:pPr><w:pStyle w:val="Normal"/></w:pPr>
<w:r><w:t xml:space="preserve">chemical affinity of the aluminium oxide, (2) it overcomes</w:t></w:r>
</w:p>
<w:p>
<w:pPr><w:pStyle w:val="Normal"/></w:pPr>
<w:r><w:t xml:space="preserve">the resistance of the electrolyte, heating the liquid at the</w:t></w:r>
</w:p>
<w:p>
<w:pPr><w:pStyle w:val="Normal"/></w:pPr>
<w:r><w:t xml:space="preserve">same time. As a part of the voltage is consumed in the latter</w:t></w:r>
</w:p>
<w:p>
<w:pPr><w:pStyle w:val="Normal"/></w:pPr>
<w:r><w:t xml:space="preserve">duty, only the residue can be converted into chemical work,</w:t></w:r>
</w:p>
<w:p>
<w:pPr><w:pStyle w:val="Normal"/></w:pPr>
<w:r><w:t xml:space="preserve">and as the theoretical voltage of the aluminium fluoride</w:t></w:r>
</w:p>
<w:p>
<w:pPr><w:pStyle w:val="Normal"/></w:pPr>
<w:r><w:t xml:space="preserve">in the cryolite is 4.0, provided the bath is kept properly</w:t></w:r>
</w:p>
<w:p>
<w:pPr><w:pStyle w:val="Normal"/></w:pPr>
<w:r><w:t xml:space="preserve">supplied with alumina, the fluorides are not attacked.  It</w:t></w:r>
</w:p>
<w:p>
<w:pPr><w:pStyle w:val="Normal"/></w:pPr>
<w:r><w:t xml:space="preserve">follows, therefore, except for mechanical losses, that one</w:t></w:r>
</w:p>
<w:p>
<w:pPr><w:pStyle w:val="Normal"/></w:pPr>
<w:r><w:t xml:space="preserve">charge of cryolite lasts indefinitely, that the sodium and</w:t></w:r>
</w:p>
<w:p>
<w:pPr><w:pStyle w:val="Normal"/></w:pPr>
<w:r><w:t xml:space="preserve">other impurities in it are not liable to contaminate the</w:t></w:r>
</w:p>
<w:p>
<w:pPr><w:pStyle w:val="Normal"/></w:pPr>
<w:r><w:t xml:space="preserve">product, and that only the alumina itself need be carefully</w:t></w:r>
</w:p>
<w:p>
<w:pPr><w:pStyle w:val="Normal"/></w:pPr>
<w:r><w:t xml:space="preserve">purified.  The operation is essentially a dissociation of</w:t></w:r>
</w:p>
<w:p>
<w:pPr><w:pStyle w:val="Normal"/></w:pPr>
<w:r><w:t xml:space="preserve">alumina into aluminium, which collects at the cathode, and</w:t></w:r>
</w:p>
<w:p>
<w:pPr><w:pStyle w:val="Normal"/></w:pPr>
<w:r><w:t xml:space="preserve">into oxygen, which combines with the anodes to form carbon</w:t></w:r>
</w:p>
<w:p>
<w:pPr><w:pStyle w:val="Normal"/></w:pPr>
<w:r><w:t xml:space="preserve">monoxide, the latter escaping and being burnt to carbon dioxide</w:t></w:r>
</w:p>
<w:p>
<w:pPr><w:pStyle w:val="Normal"/></w:pPr>
<w:r><w:t xml:space="preserve">outside.  Theoretically 36 parts by weight of carbon are oxidized</w:t></w:r>
</w:p>
<w:p>
<w:pPr><w:pStyle w:val="Normal"/></w:pPr>
<w:r><w:t xml:space="preserve">in the production of 54 parts of aluminium; practically the</w:t></w:r>
</w:p>
<w:p>
<w:pPr><w:pStyle w:val="Normal"/></w:pPr>
<w:r><w:t xml:space="preserve">anodes waste at the same rate at which metal is deposited.  The</w:t></w:r>
</w:p>
<w:p>
<w:pPr><w:pStyle w:val="Normal"/></w:pPr>
<w:r><w:t xml:space="preserve">current density is about 700 amperes per sq. ft. of cathode</w:t></w:r>
</w:p>
<w:p>
<w:pPr><w:pStyle w:val="Normal"/></w:pPr>
<w:r><w:t xml:space="preserve">surface, and the number of rods in the anode is such that</w:t></w:r>
</w:p>
<w:p>
<w:pPr><w:pStyle w:val="Normal"/></w:pPr>
<w:r><w:t xml:space="preserve">each delivers 6 or 7 amperes per sq. in. of cross-sectional</w:t></w:r>
</w:p>
<w:p>
<w:pPr><w:pStyle w:val="Normal"/></w:pPr>
<w:r><w:t xml:space="preserve">area.  The working temperature lies between 750 deg.  and 850 deg.</w:t></w:r>
</w:p>
<w:p>
<w:pPr><w:pStyle w:val="Normal"/></w:pPr>
<w:r><w:t xml:space="preserve">C., and the actual yield is 1 lb of metal per 12 e.h.p.</w:t></w:r>
</w:p>
<w:p>
<w:pPr><w:pStyle w:val="Normal"/></w:pPr>
<w:r><w:t xml:space="preserve">hours.  The bath is heated internally with the current rather</w:t></w:r>
</w:p>
<w:p>
<w:pPr><w:pStyle w:val="Normal"/></w:pPr>
<w:r><w:t xml:space="preserve">than by means of external fuel, because this arrangement</w:t></w:r>
</w:p>
<w:p>
<w:pPr><w:pStyle w:val="Normal"/></w:pPr>
<w:r><w:t xml:space="preserve">permits the vessel itself to be kept comparatively cool;</w:t></w:r>
</w:p>
<w:p>
<w:pPr><w:pStyle w:val="Normal"/></w:pPr>
<w:r><w:t xml:space="preserve">if it were fired from without, it would be hotter than the</w:t></w:r>
</w:p>
<w:p>
<w:pPr><w:pStyle w:val="Normal"/></w:pPr>
<w:r><w:t xml:space="preserve">electrolyte, and no material suitable for the construction</w:t></w:r>
</w:p>
<w:p>
<w:pPr><w:pStyle w:val="Normal"/></w:pPr>
<w:r><w:t xml:space="preserve">of the cell is competent to withstand the attack of nascent</w:t></w:r>
</w:p>
<w:p>
<w:pPr><w:pStyle w:val="Normal"/></w:pPr>
<w:r><w:t xml:space="preserve">aluminium at high temperatures.  Aluminium is so light</w:t></w:r>
</w:p>
<w:p>
<w:pPr><w:pStyle w:val="Normal"/></w:pPr>
<w:r><w:t xml:space="preserve">that it is a matter requiring some ingenuity to select a</w:t></w:r>
</w:p>
<w:p>
<w:pPr><w:pStyle w:val="Normal"/></w:pPr>
<w:r><w:t xml:space="preserve">convenient solvent through which it shall sink quickly,</w:t></w:r>
</w:p>
<w:p>
<w:pPr><w:pStyle w:val="Normal"/></w:pPr>
<w:r><w:t xml:space="preserve">for if it does not sink, it short-circuits the electrolyte.</w:t></w:r>
</w:p>
<w:p>
<w:pPr><w:pStyle w:val="Normal"/></w:pPr>
<w:r><w:t xml:space="preserve">The molten metal has a specific gravity of 2.54, that of</w:t></w:r>
</w:p>
<w:p>
<w:pPr><w:pStyle w:val="Normal"/></w:pPr>
<w:r><w:t xml:space="preserve">molten cryolite saturated with alumina is 2.35, and that</w:t></w:r>
</w:p>
<w:p>
<w:pPr><w:pStyle w:val="Normal"/></w:pPr>
<w:r><w:t xml:space="preserve">of the fluoride Al2F6.2NaF saturated with alumina 1.97.</w:t></w:r>
</w:p>
<w:p>
<w:pPr><w:pStyle w:val="Normal"/></w:pPr>
<w:r><w:t xml:space="preserve">The latter therefore appears the better material, and was</w:t></w:r>
</w:p>
<w:p>
<w:pPr><w:pStyle w:val="Normal"/></w:pPr>
<w:r><w:t xml:space="preserve">originally preferred by Hall; cryolite, however, dissolves</w:t></w:r>
</w:p>
<w:p>
<w:pPr><w:pStyle w:val="Normal"/></w:pPr>
<w:r><w:t xml:space="preserve">more alumina, and has been finally adooted by both inventors.</w:t></w:r>
</w:p>
<w:p>
<w:pPr><w:pStyle w:val="Normal"/></w:pPr>
<w:r><w:t xml:space="preserve">Properties.</w:t></w:r>
</w:p>
<w:p>
<w:pPr><w:pStyle w:val="Normal"/></w:pPr>
<w:r><w:t xml:space="preserve">Aluminium is a white metal with a characteristic tint</w:t></w:r>
</w:p>
<w:p>
<w:pPr><w:pStyle w:val="Normal"/></w:pPr>
<w:r><w:t xml:space="preserve">which most nearly resembles that of tin; when impure, or</w:t></w:r>
</w:p>
<w:p>
<w:pPr><w:pStyle w:val="Normal"/></w:pPr>
<w:r><w:t xml:space="preserve">after prolonged  exposure to air it has a slight violet</w:t></w:r>
</w:p>
<w:p>
<w:pPr><w:pStyle w:val="Normal"/></w:pPr>
<w:r><w:t xml:space="preserve">shade.  Its atomic weight is 27 (26.77, H=I, according to J.</w:t></w:r>
</w:p>
<w:p>
<w:pPr><w:pStyle w:val="Normal"/></w:pPr>
<w:r><w:t xml:space="preserve">Thomson).  It is trivalent.  The specific gravity of cast</w:t></w:r>
</w:p>
<w:p>
<w:pPr><w:pStyle w:val="Normal"/></w:pPr>
<w:r><w:t xml:space="preserve">metal is 2.583, and of rolled 2.688 at 4 deg.  C. It melts at 626 deg.</w:t></w:r>
</w:p>
<w:p>
<w:pPr><w:pStyle w:val="Heading1"/></w:pPr>
<w:r><w:t>C. (freezing point 654.5 deg. , Heycock and Neville).  It is the</w:t></w:r>
</w:p>
<w:p>
<w:pPr><w:pStyle w:val="Normal"/></w:pPr>
<w:r><w:t xml:space="preserve">third most malleable and sixth most ductile metal, yielding</w:t></w:r>
</w:p>
<w:p>
<w:pPr><w:pStyle w:val="Normal"/></w:pPr>
<w:r><w:t xml:space="preserve">sheets 0.000025 in. in thickness, and wires 0.004 in. in</w:t></w:r>
</w:p>
<w:p>
<w:pPr><w:pStyle w:val="Normal"/></w:pPr>
<w:r><w:t xml:space="preserve">diameter.  When quite pure it is somewhat harder than tin, and</w:t></w:r>
</w:p>
<w:p>
<w:pPr><w:pStyle w:val="Normal"/></w:pPr>
<w:r><w:t xml:space="preserve">its hardness is considerably increased by rolling.  It is not</w:t></w:r>
</w:p>
<w:p>
<w:pPr><w:pStyle w:val="Normal"/></w:pPr>
<w:r><w:t xml:space="preserve">magnetic.  It stands near the positive end of the list of</w:t></w:r>
</w:p>
<w:p>
<w:pPr><w:pStyle w:val="Normal"/></w:pPr>
<w:r><w:t xml:space="preserve">elements arranged in electromotive series, being exceeded only</w:t></w:r>
</w:p>
<w:p>
<w:pPr><w:pStyle w:val="Normal"/></w:pPr>
<w:r><w:t xml:space="preserve">by the alkalis and metals of the alkaline earths; it therefore</w:t></w:r>
</w:p>
<w:p>
<w:pPr><w:pStyle w:val="Normal"/></w:pPr>
<w:r><w:t xml:space="preserve">combines eagerly, under suitable conditions, with oxygen and</w:t></w:r>
</w:p>
<w:p>
<w:pPr><w:pStyle w:val="Normal"/></w:pPr>
<w:r><w:t xml:space="preserve">chlorine.  Its coefficient of linear expansion by heat is</w:t></w:r>
</w:p>
<w:p>
<w:pPr><w:pStyle w:val="Normal"/></w:pPr>
<w:r><w:t xml:space="preserve">0.0000222 (Richards) or 0.0000231 (Roberts Austen) per 1 deg.</w:t></w:r>
</w:p>
<w:p>
<w:pPr><w:pStyle w:val="Heading1"/></w:pPr>
<w:r><w:t>C. Its mean specific heat between 0 deg.  and 100 deg.  is 0.227,</w:t></w:r>
</w:p>
<w:p>
<w:pPr><w:pStyle w:val="Normal"/></w:pPr>
<w:r><w:t xml:space="preserve">and its latent heat of fusion 100 calories (Richards). Only</w:t></w:r>
</w:p>
<w:p>
<w:pPr><w:pStyle w:val="Normal"/></w:pPr>
<w:r><w:t xml:space="preserve">silver, copper and gold surpass it as conductors of heat, its</w:t></w:r>
</w:p>
<w:p>
<w:pPr><w:pStyle w:val="Normal"/></w:pPr>
<w:r><w:t xml:space="preserve">value being 31.33 (Ag= 100, Roberts-Austen).  Its electrical</w:t></w:r>
</w:p>
<w:p>
<w:pPr><w:pStyle w:val="Normal"/></w:pPr>
<w:r><w:t xml:space="preserve">conductivity, determined on 99.6% metal, is 60.5% that of</w:t></w:r>
</w:p>
<w:p>
<w:pPr><w:pStyle w:val="Normal"/></w:pPr>
<w:r><w:t xml:space="preserve">cooper for equal volumes, or double that of copper for equal</w:t></w:r>
</w:p>
<w:p>
<w:pPr><w:pStyle w:val="Normal"/></w:pPr>
<w:r><w:t xml:space="preserve">weights, and when chemically pure it exhibits a somewhat</w:t></w:r>
</w:p>
<w:p>
<w:pPr><w:pStyle w:val="Normal"/></w:pPr>
<w:r><w:t xml:space="preserve">higher relative efficiency.  The average strength of 98%</w:t></w:r>
</w:p>
<w:p>
<w:pPr><w:pStyle w:val="Normal"/></w:pPr>
<w:r><w:t xml:space="preserve">metal is approximately shown by the following table:--</w:t></w:r>
</w:p>
<w:p>
<w:pPr><w:pStyle w:val="Normal"/></w:pPr>
<w:r><w:t xml:space="preserve">Elastic limit,      Ultimate strength,     Reduction</w:t></w:r>
</w:p>
<w:p>
<w:pPr><w:pStyle w:val="Normal"/></w:pPr>
<w:r><w:t xml:space="preserve">tons per sq. in.    tons per sq. in.       of Area %</w:t></w:r>
</w:p>
<w:p>
<w:pPr><w:pStyle w:val="Normal"/></w:pPr>
<w:r><w:t xml:space="preserve">Cast   .   .   .         3                    7                  15</w:t></w:r>
</w:p>
<w:p>
<w:pPr><w:pStyle w:val="Normal"/></w:pPr>
<w:r><w:t xml:space="preserve">Sheet  .   .   .         5 1/2                11                 35</w:t></w:r>
</w:p>
<w:p>
<w:pPr><w:pStyle w:val="Normal"/></w:pPr>
<w:r><w:t xml:space="preserve">Bars   .   .   .         6 1/2                12                 40</w:t></w:r>
</w:p>
<w:p>
<w:pPr><w:pStyle w:val="Normal"/></w:pPr>
<w:r><w:t xml:space="preserve">Wire   .   .   .      7-13                 13-29                 60</w:t></w:r>
</w:p>
<w:p>
<w:pPr><w:pStyle w:val="Normal"/></w:pPr>
<w:r><w:t xml:space="preserve">Weight for weight, therefore, aluminium is only exceeded in</w:t></w:r>
</w:p>
<w:p>
<w:pPr><w:pStyle w:val="Normal"/></w:pPr>
<w:r><w:t xml:space="preserve">tensile strength by the best cast steel, and its own alloy,</w:t></w:r>
</w:p>
<w:p>
<w:pPr><w:pStyle w:val="Normal"/></w:pPr>
<w:r><w:t xml:space="preserve">aluminium bronze.  An absolutely clean surface becomes</w:t></w:r>
</w:p>
<w:p>
<w:pPr><w:pStyle w:val="Normal"/></w:pPr>
<w:r><w:t xml:space="preserve">tarnished in damp air, an almost invisible coating of oxide</w:t></w:r>
</w:p>
<w:p>
<w:pPr><w:pStyle w:val="Normal"/></w:pPr>
<w:r><w:t xml:space="preserve">being produced, just as happens with zinc; but this film</w:t></w:r>
</w:p>
<w:p>
<w:pPr><w:pStyle w:val="Normal"/></w:pPr>
<w:r><w:t xml:space="preserve">is very permanent and prevents further attack.  Exposure to</w:t></w:r>
</w:p>
<w:p>
<w:pPr><w:pStyle w:val="Normal"/></w:pPr>
<w:r><w:t xml:space="preserve">air and rain also causes slight corrosion, but to nothing</w:t></w:r>
</w:p>
<w:p>
<w:pPr><w:pStyle w:val="Normal"/></w:pPr>
<w:r><w:t xml:space="preserve">like the same extent as occurs with iron, copper or brass.</w:t></w:r>
</w:p>
<w:p>
<w:pPr><w:pStyle w:val="Normal"/></w:pPr>
<w:r><w:t xml:space="preserve">Commercial electrolytic aluminium of the best quality contains</w:t></w:r>
</w:p>
<w:p>
<w:pPr><w:pStyle w:val="Normal"/></w:pPr>
<w:r><w:t xml:space="preserve">as the average of a large number of tests, 0.48% of silicon</w:t></w:r>
</w:p>
<w:p>
<w:pPr><w:pStyle w:val="Normal"/></w:pPr>
<w:r><w:t xml:space="preserve">and 0.46% of iron, the residue being essentially aluminium</w:t></w:r>
</w:p>
<w:p>
<w:pPr><w:pStyle w:val="Normal"/></w:pPr>
<w:r><w:t xml:space="preserve">itself.  The metal in mass is not affected by hot or cold water,</w:t></w:r>
</w:p>
<w:p>
<w:pPr><w:pStyle w:val="Normal"/></w:pPr>
<w:r><w:t xml:space="preserve">the foil is very slowly oxidized, while the amalgam decomposes</w:t></w:r>
</w:p>
<w:p>
<w:pPr><w:pStyle w:val="Normal"/></w:pPr>
<w:r><w:t xml:space="preserve">rapidly.  Sulphuretted hydrogen having no action upon it,</w:t></w:r>
</w:p>
<w:p>
<w:pPr><w:pStyle w:val="Normal"/></w:pPr>
<w:r><w:t xml:space="preserve">articles made of it are not blackened in foggy weather or in</w:t></w:r>
</w:p>
<w:p>
<w:pPr><w:pStyle w:val="Normal"/></w:pPr>
<w:r><w:t xml:space="preserve">rooms where crude coal gas is burnt.  To inorganic acids, except</w:t></w:r>
</w:p>
<w:p>
<w:pPr><w:pStyle w:val="Normal"/></w:pPr>
<w:r><w:t xml:space="preserve">hydrochloric, it is highly resistant, ranking well with tin</w:t></w:r>
</w:p>
<w:p>
<w:pPr><w:pStyle w:val="Normal"/></w:pPr>
<w:r><w:t xml:space="preserve">in this respect; but alkalis dissolve it quickly.  Organic</w:t></w:r>
</w:p>
<w:p>
<w:pPr><w:pStyle w:val="Normal"/></w:pPr>
<w:r><w:t xml:space="preserve">acids such as vinegar, common salt, the natural ingredients</w:t></w:r>
</w:p>
<w:p>
<w:pPr><w:pStyle w:val="Normal"/></w:pPr>
<w:r><w:t xml:space="preserve">of food, and the various extraneous substances used as food</w:t></w:r>
</w:p>
<w:p>
<w:pPr><w:pStyle w:val="Normal"/></w:pPr>
<w:r><w:t xml:space="preserve">preservatives, alone or mixed together, dissolve traces of</w:t></w:r>
</w:p>
<w:p>
<w:pPr><w:pStyle w:val="Normal"/></w:pPr>
<w:r><w:t xml:space="preserve">it if boiled for any length of time in a chemically clean</w:t></w:r>
</w:p>
<w:p>
<w:pPr><w:pStyle w:val="Normal"/></w:pPr>
<w:r><w:t xml:space="preserve">vessel; but when aluminium utensils are submitted to the</w:t></w:r>
</w:p>
<w:p>
<w:pPr><w:pStyle w:val="Normal"/></w:pPr>
<w:r><w:t xml:space="preserve">ordinary routine of the kitchen, being used to heat or cook</w:t></w:r>
</w:p>
<w:p>
<w:pPr><w:pStyle w:val="Normal"/></w:pPr>
<w:r><w:t xml:space="preserve">milk, coffee, vegetables, meat and even fruit, and are also</w:t></w:r>
</w:p>
<w:p>
<w:pPr><w:pStyle w:val="Normal"/></w:pPr>
<w:r><w:t xml:space="preserve">cleaned frequently in the usual fashion, no appreciable</w:t></w:r>
</w:p>
<w:p>
<w:pPr><w:pStyle w:val="Normal"/></w:pPr>
<w:r><w:t xml:space="preserve">quantity of metal passes into the food.  Moreover, did it do</w:t></w:r>
</w:p>
<w:p>
<w:pPr><w:pStyle w:val="Normal"/></w:pPr>
<w:r><w:t xml:space="preserve">so, the action upon the human system would be infinitely</w:t></w:r>
</w:p>
<w:p>
<w:pPr><w:pStyle w:val="Normal"/></w:pPr>
<w:r><w:t xml:space="preserve">less harmful than similar doses of copper or of lead.</w:t></w:r>
</w:p>
<w:p>
<w:pPr><w:pStyle w:val="Normal"/></w:pPr>
<w:r><w:t xml:space="preserve">The highly electro-positive character of aluminium is most</w:t></w:r>
</w:p>
<w:p>
<w:pPr><w:pStyle w:val="Normal"/></w:pPr>
<w:r><w:t xml:space="preserve">important.  At elevated temperatures the metal decomposes nearly</w:t></w:r>
</w:p>
<w:p>
<w:pPr><w:pStyle w:val="Normal"/></w:pPr>
<w:r><w:t xml:space="preserve">all other metallic oxides, wherefore it is most serviceable</w:t></w:r>
</w:p>
<w:p>
<w:pPr><w:pStyle w:val="Normal"/></w:pPr>
<w:r><w:t xml:space="preserve">as a metallurgical reagent.  In the casting of iron, steel and</w:t></w:r>
</w:p>
<w:p>
<w:pPr><w:pStyle w:val="Normal"/></w:pPr>
<w:r><w:t xml:space="preserve">brass, the addition of a trifling proportion (0.005%) removes</w:t></w:r>
</w:p>
<w:p>
<w:pPr><w:pStyle w:val="Normal"/></w:pPr>
<w:r><w:t xml:space="preserve">oxide and renders the molten metal more fluid, causing the</w:t></w:r>
</w:p>
<w:p>
<w:pPr><w:pStyle w:val="Normal"/></w:pPr>
<w:r><w:t xml:space="preserve">finished products to be more homogeneous, free from blow-holes</w:t></w:r>
</w:p>
<w:p>
<w:pPr><w:pStyle w:val="Normal"/></w:pPr>
<w:r><w:t xml:space="preserve">and solid all through.  On the other hand, its electro-positive</w:t></w:r>
</w:p>
<w:p>
<w:pPr><w:pStyle w:val="Normal"/></w:pPr>
<w:r><w:t xml:space="preserve">nature necessitates some care in its utilization.  If it be</w:t></w:r>
</w:p>
<w:p>
<w:pPr><w:pStyle w:val="Normal"/></w:pPr>
<w:r><w:t xml:space="preserve">exposed to damp, to sea-water or to corrosive influences of</w:t></w:r>
</w:p>
<w:p>
<w:pPr><w:pStyle w:val="Normal"/></w:pPr>
<w:r><w:t xml:space="preserve">any kind in contact with another metal, or if it be mixed</w:t></w:r>
</w:p>
<w:p>
<w:pPr><w:pStyle w:val="Normal"/></w:pPr>
<w:r><w:t xml:space="preserve">with another metal so as to form an alloy which is not a true</w:t></w:r>
</w:p>
<w:p>
<w:pPr><w:pStyle w:val="Normal"/></w:pPr>
<w:r><w:t xml:space="preserve">chemical compound, the other metal being highly negative to</w:t></w:r>
</w:p>
<w:p>
<w:pPr><w:pStyle w:val="Normal"/></w:pPr>
<w:r><w:t xml:space="preserve">it, powerful galvanic action will be set up and the structure</w:t></w:r>
</w:p>
<w:p>
<w:pPr><w:pStyle w:val="Normal"/></w:pPr>
<w:r><w:t xml:space="preserve">will quickly deteriorate. This explains the failure of boats</w:t></w:r>
</w:p>
<w:p>
<w:pPr><w:pStyle w:val="Normal"/></w:pPr>
<w:r><w:t xml:space="preserve">built of commercially pure aluminium which have been put</w:t></w:r>
</w:p>
<w:p>
<w:pPr><w:pStyle w:val="Normal"/></w:pPr>
<w:r><w:t xml:space="preserve">together with iron or copper rivets, and the decay of other</w:t></w:r>
</w:p>
<w:p>
<w:pPr><w:pStyle w:val="Normal"/></w:pPr>
<w:r><w:t xml:space="preserve">boats built of a light alloy, in which the alloying metal</w:t></w:r>
</w:p>
<w:p>
<w:pPr><w:pStyle w:val="Normal"/></w:pPr>
<w:r><w:t xml:space="preserve">(copper) has been injudiciously chosen. It also explains</w:t></w:r>
</w:p>
<w:p>
<w:pPr><w:pStyle w:val="Normal"/></w:pPr>
<w:r><w:t xml:space="preserve">why aluminium is so difficult to join with low-temperature</w:t></w:r>
</w:p>
<w:p>
<w:pPr><w:pStyle w:val="Normal"/></w:pPr>
<w:r><w:t xml:space="preserve">solders, for these mostly contain a large proportion of</w:t></w:r>
</w:p>
<w:p>
<w:pPr><w:pStyle w:val="Normal"/></w:pPr>
<w:r><w:t xml:space="preserve">lead.  This disadvantage, however, is often overestimated since</w:t></w:r>
</w:p>
<w:p>
<w:pPr><w:pStyle w:val="Normal"/></w:pPr>
<w:r><w:t xml:space="preserve">in most cases other means of uniting two pieces are available.</w:t></w:r>
</w:p>
<w:p>
<w:pPr><w:pStyle w:val="Normal"/></w:pPr>
<w:r><w:t xml:space="preserve">Alloys.</w:t></w:r>
</w:p>
<w:p>
<w:pPr><w:pStyle w:val="Normal"/></w:pPr>
<w:r><w:t xml:space="preserve">The metal produces an enormous number of useful alloys, some of</w:t></w:r>
</w:p>
<w:p>
<w:pPr><w:pStyle w:val="Normal"/></w:pPr>
<w:r><w:t xml:space="preserve">which, containing only 1 or 2% of other metals, combine the</w:t></w:r>
</w:p>
<w:p>
<w:pPr><w:pStyle w:val="Normal"/></w:pPr>
<w:r><w:t xml:space="preserve">lightness of aluminium itself with far greater hardness and</w:t></w:r>
</w:p>
<w:p>
<w:pPr><w:pStyle w:val="Normal"/></w:pPr>
<w:r><w:t xml:space="preserve">strength.  Some with 90 to 99% of other metals  exhibit</w:t></w:r>
</w:p>
<w:p>
<w:pPr><w:pStyle w:val="Normal"/></w:pPr>
<w:r><w:t xml:space="preserve">the general properties of those metals conspicuously</w:t></w:r>
</w:p>
<w:p>
<w:pPr><w:pStyle w:val="Normal"/></w:pPr>
<w:r><w:t xml:space="preserve">improved.  Among the heavy alloys, the aluminium bronzes</w:t></w:r>
</w:p>
<w:p>
<w:pPr><w:pStyle w:val="Normal"/></w:pPr>
<w:r><w:t xml:space="preserve">(Cu, 90-97.5%; Al, 10-2.5%) occupy the most important</w:t></w:r>
</w:p>
<w:p>
<w:pPr><w:pStyle w:val="Normal"/></w:pPr>
<w:r><w:t xml:space="preserve">position, showing mean tensile strengths increasing from</w:t></w:r>
</w:p>
<w:p>
<w:pPr><w:pStyle w:val="Normal"/></w:pPr>
<w:r><w:t xml:space="preserve">20 to 41 tons per sq. in. as the percentage of aluminium</w:t></w:r>
</w:p>
<w:p>
<w:pPr><w:pStyle w:val="Normal"/></w:pPr>
<w:r><w:t xml:space="preserve">rises, and all strongly resisting corrosion in air or</w:t></w:r>
</w:p>
<w:p>
<w:pPr><w:pStyle w:val="Normal"/></w:pPr>
<w:r><w:t xml:space="preserve">sea-water.  The light copper alloys, in which the proportions</w:t></w:r>
</w:p>
<w:p>
<w:pPr><w:pStyle w:val="Normal"/></w:pPr>
<w:r><w:t xml:space="preserve">just given are practically reversed, are of considerably less</w:t></w:r>
</w:p>
<w:p>
<w:pPr><w:pStyle w:val="Normal"/></w:pPr>
<w:r><w:t xml:space="preserve">utility, for although they are fairly strong, they lack power</w:t></w:r>
</w:p>
<w:p>
<w:pPr><w:pStyle w:val="Normal"/></w:pPr>
<w:r><w:t xml:space="preserve">to resist galvanic action.  This subject is far from being</w:t></w:r>
</w:p>
<w:p>
<w:pPr><w:pStyle w:val="Normal"/></w:pPr>
<w:r><w:t xml:space="preserve">exhausted, and it is not improbable that the alloy-producing</w:t></w:r>
</w:p>
<w:p>
<w:pPr><w:pStyle w:val="Normal"/></w:pPr>
<w:r><w:t xml:space="preserve">capacity of aluminium may eventually prove its most valuable</w:t></w:r>
</w:p>
<w:p>
<w:pPr><w:pStyle w:val="Normal"/></w:pPr>
<w:r><w:t xml:space="preserve">characteristic.  In the meantime, ternary light alloys</w:t></w:r>
</w:p>
<w:p>
<w:pPr><w:pStyle w:val="Normal"/></w:pPr>
<w:r><w:t xml:space="preserve">appear the most satisfactory, and tungsten and copper, or</w:t></w:r>
</w:p>
<w:p>
<w:pPr><w:pStyle w:val="Normal"/></w:pPr>
<w:r><w:t xml:space="preserve">tungsten and nickel, seem to be the best substances to add.</w:t></w:r>
</w:p>
<w:p>
<w:pPr><w:pStyle w:val="Normal"/></w:pPr>
<w:r><w:t xml:space="preserve">Uses.</w:t></w:r>
</w:p>
<w:p>
<w:pPr><w:pStyle w:val="Normal"/></w:pPr>
<w:r><w:t xml:space="preserve">The uses of aluminium are too numerous to mention.  Probably</w:t></w:r>
</w:p>
<w:p>
<w:pPr><w:pStyle w:val="Normal"/></w:pPr>
<w:r><w:t xml:space="preserve">the widest field is still in the purification of iron and</w:t></w:r>
</w:p>
<w:p>
<w:pPr><w:pStyle w:val="Normal"/></w:pPr>
<w:r><w:t xml:space="preserve">steel.  To the general public it appeals most strongly as</w:t></w:r>
</w:p>
<w:p>
<w:pPr><w:pStyle w:val="Normal"/></w:pPr>
<w:r><w:t xml:space="preserve">a material  for constructing cooking utensils.  It is not</w:t></w:r>
</w:p>
<w:p>
<w:pPr><w:pStyle w:val="Normal"/></w:pPr>
<w:r><w:t xml:space="preserve">brittle like porcelain and cast iron, not poisonous like</w:t></w:r>
</w:p>
<w:p>
<w:pPr><w:pStyle w:val="Normal"/></w:pPr>
<w:r><w:t xml:space="preserve">lead-glazed earthenware and untinned copper, needs no enamel</w:t></w:r>
</w:p>
<w:p>
<w:pPr><w:pStyle w:val="Normal"/></w:pPr>
<w:r><w:t xml:space="preserve">to chip off, does not rust and wear out like cheap tin-plate,</w:t></w:r>
</w:p>
<w:p>
<w:pPr><w:pStyle w:val="Normal"/></w:pPr>
<w:r><w:t xml:space="preserve">and weighs but a fraction of other substances.  It is largely</w:t></w:r>
</w:p>
<w:p>
<w:pPr><w:pStyle w:val="Normal"/></w:pPr>
<w:r><w:t xml:space="preserve">replacing brass and copper in all departments of industry</w:t></w:r>
</w:p>
<w:p>
<w:pPr><w:pStyle w:val="Normal"/></w:pPr>
<w:r><w:t xml:space="preserve">-- especially where dead weight has to be moved about, and</w:t></w:r>
</w:p>
<w:p>
<w:pPr><w:pStyle w:val="Normal"/></w:pPr>
<w:r><w:t xml:space="preserve">lightness is synonymous with economy -- for instance, in</w:t></w:r>
</w:p>
<w:p>
<w:pPr><w:pStyle w:val="Normal"/></w:pPr>
<w:r><w:t xml:space="preserve">bed-plates for torpedo-boat engines, internal fittings for</w:t></w:r>
</w:p>
<w:p>
<w:pPr><w:pStyle w:val="Normal"/></w:pPr>
<w:r><w:t xml:space="preserve">ships instead of wood, complete boats for portage, motor-car</w:t></w:r>
</w:p>
<w:p>
<w:pPr><w:pStyle w:val="Normal"/></w:pPr>
<w:r><w:t xml:space="preserve">parts and boiling-pans for confectionery and in chemical</w:t></w:r>
</w:p>
<w:p>
<w:pPr><w:pStyle w:val="Normal"/></w:pPr>
<w:r><w:t xml:space="preserve">works.  The British Admiralty employ it to save weight in</w:t></w:r>
</w:p>
<w:p>
<w:pPr><w:pStyle w:val="Normal"/></w:pPr>
<w:r><w:t xml:space="preserve">the Navy, and the war-offices of the European powers equip</w:t></w:r>
</w:p>
<w:p>
<w:pPr><w:pStyle w:val="Normal"/></w:pPr>
<w:r><w:t xml:space="preserve">their soldiers with it wherever possible, As a substitute for</w:t></w:r>
</w:p>
<w:p>
<w:pPr><w:pStyle w:val="Normal"/></w:pPr>
<w:r><w:t xml:space="preserve">Solenhofen stone it is used in a modified form of lithography,</w:t></w:r>
</w:p>
<w:p>
<w:pPr><w:pStyle w:val="Normal"/></w:pPr>
<w:r><w:t xml:space="preserve">which can be performed on rotary printing machines at a high</w:t></w:r>
</w:p>
<w:p>
<w:pPr><w:pStyle w:val="Normal"/></w:pPr>
<w:r><w:t xml:space="preserve">speed.  With the increasing price of copper, it is coming</w:t></w:r>
</w:p>
<w:p>
<w:pPr><w:pStyle w:val="Normal"/></w:pPr>
<w:r><w:t xml:space="preserve">into vogue as an electrical conductor for uncovered mains;</w:t></w:r>
</w:p>
<w:p>
<w:pPr><w:pStyle w:val="Normal"/></w:pPr>
<w:r><w:t xml:space="preserve">it is found that an aluminium wire 0.126 in. in diameter will</w:t></w:r>
</w:p>
<w:p>
<w:pPr><w:pStyle w:val="Normal"/></w:pPr>
<w:r><w:t xml:space="preserve">carry as much current as a copper wire 0.100 in. in diameter,</w:t></w:r>
</w:p>
<w:p>
<w:pPr><w:pStyle w:val="Normal"/></w:pPr>
<w:r><w:t xml:space="preserve">while the former weighs about 79 lb and the latter 162 lb per</w:t></w:r>
</w:p>
<w:p>
<w:pPr><w:pStyle w:val="Normal"/></w:pPr>
<w:r><w:t xml:space="preserve">mile.  Assuming the materials to be of equal tensile strength</w:t></w:r>
</w:p>
<w:p>
<w:pPr><w:pStyle w:val="Normal"/></w:pPr>
<w:r><w:t xml:space="preserve">per unit of area -- hard-drawn copper is stronger, but has a</w:t></w:r>
</w:p>
<w:p>
<w:pPr><w:pStyle w:val="Normal"/></w:pPr>
<w:r><w:t xml:space="preserve">lower conductivity -- the adoption of aluminium thus leads</w:t></w:r>
</w:p>
<w:p>
<w:pPr><w:pStyle w:val="Normal"/></w:pPr>
<w:r><w:t xml:space="preserve">to a reduction of 52% in the weight, a gain of 60% in the</w:t></w:r>
</w:p>
<w:p>
<w:pPr><w:pStyle w:val="Normal"/></w:pPr>
<w:r><w:t xml:space="preserve">strength, and an increase of 26% in the diameter of the</w:t></w:r>
</w:p>
<w:p>
<w:pPr><w:pStyle w:val="Normal"/></w:pPr>
<w:r><w:t xml:space="preserve">conductor.  Bare aluminium strip has recently been tried</w:t></w:r>
</w:p>
<w:p>
<w:pPr><w:pStyle w:val="Normal"/></w:pPr>
<w:r><w:t xml:space="preserve">for winding-coils in electrical machines, the oxide of the</w:t></w:r>
</w:p>
<w:p>
<w:pPr><w:pStyle w:val="Normal"/></w:pPr>
<w:r><w:t xml:space="preserve">metal acting as insulators between the layers.  When the</w:t></w:r>
</w:p>
<w:p>
<w:pPr><w:pStyle w:val="Normal"/></w:pPr>
<w:r><w:t xml:space="preserve">price of aluminium is less than double the price of copper</w:t></w:r>
</w:p>
<w:p>
<w:pPr><w:pStyle w:val="Normal"/></w:pPr>
<w:r><w:t xml:space="preserve">aluminium is cheaper than copper per unit of electric</w:t></w:r>
</w:p>
<w:p>
<w:pPr><w:pStyle w:val="Normal"/></w:pPr>
<w:r><w:t xml:space="preserve">current conveyed; but when insulation is necessary, the</w:t></w:r>
</w:p>
<w:p>
<w:pPr><w:pStyle w:val="Normal"/></w:pPr>
<w:r><w:t xml:space="preserve">smaller size of the copper wire renders it more economical.</w:t></w:r>
</w:p>
<w:p>
<w:pPr><w:pStyle w:val="Normal"/></w:pPr>
<w:r><w:t xml:space="preserve">Aluminium conductors have been employed on heavy work in</w:t></w:r>
</w:p>
<w:p>
<w:pPr><w:pStyle w:val="Normal"/></w:pPr>
<w:r><w:t xml:space="preserve">many places, and for telegraphy and telephony they are in</w:t></w:r>
</w:p>
<w:p>
<w:pPr><w:pStyle w:val="Normal"/></w:pPr>
<w:r><w:t xml:space="preserve">frequent demand and give perfect satisfaction. Difficulties</w:t></w:r>
</w:p>
<w:p>
<w:pPr><w:pStyle w:val="Normal"/></w:pPr>
<w:r><w:t xml:space="preserve">were at first encountered in making the necessary joints,</w:t></w:r>
</w:p>
<w:p>
<w:pPr><w:pStyle w:val="Normal"/></w:pPr>
<w:r><w:t xml:space="preserve">but these have been overcome by practice and experience.</w:t></w:r>
</w:p>
<w:p>
<w:pPr><w:pStyle w:val="Normal"/></w:pPr>
<w:r><w:t xml:space="preserve">Two points connected with this metal are of sufficient</w:t></w:r>
</w:p>
<w:p>
<w:pPr><w:pStyle w:val="Normal"/></w:pPr>
<w:r><w:t xml:space="preserve">moment to demand a few words by way of conclusion.  Its</w:t></w:r>
</w:p>
<w:p>
<w:pPr><w:pStyle w:val="Normal"/></w:pPr>
<w:r><w:t xml:space="preserve">extraordinary lightness forms its chief claim to general</w:t></w:r>
</w:p>
<w:p>
<w:pPr><w:pStyle w:val="Normal"/></w:pPr>
<w:r><w:t xml:space="preserve">adoption, yet is apt to cause mistakes when its price is</w:t></w:r>
</w:p>
<w:p>
<w:pPr><w:pStyle w:val="Normal"/></w:pPr>
<w:r><w:t xml:space="preserve">mentioned.  It is the weight of a mass of metal which governs</w:t></w:r>
</w:p>
<w:p>
<w:pPr><w:pStyle w:val="Normal"/></w:pPr>
<w:r><w:t xml:space="preserve">its financial value; its industrial value, in the vast majority</w:t></w:r>
</w:p>
<w:p>
<w:pPr><w:pStyle w:val="Normal"/></w:pPr>
<w:r><w:t xml:space="preserve">of cases, depends on the volume of that mass.  Provided it be</w:t></w:r>
</w:p>
<w:p>
<w:pPr><w:pStyle w:val="Normal"/></w:pPr>
<w:r><w:t xml:space="preserve">rigid, the bed-plate of an engine is no better for weighing</w:t></w:r>
</w:p>
<w:p>
<w:pPr><w:pStyle w:val="Normal"/></w:pPr>
<w:r><w:t xml:space="preserve">30 cwt. than for weighing 10 cwt.  A saucepan is required to</w:t></w:r>
</w:p>
<w:p>
<w:pPr><w:pStyle w:val="Normal"/></w:pPr>
<w:r><w:t xml:space="preserve">have a certain diameter and a certain depth in order that it</w:t></w:r>
</w:p>
<w:p>
<w:pPr><w:pStyle w:val="Normal"/></w:pPr>
<w:r><w:t xml:space="preserve">may hold a certain bulk of liquid: its weight is merely an</w:t></w:r>
</w:p>
<w:p>
<w:pPr><w:pStyle w:val="Normal"/></w:pPr>
<w:r><w:t xml:space="preserve">encumbrance.  Copper being 3 1/3 times as heavy as aluminium,</w:t></w:r>
</w:p>
<w:p>
<w:pPr><w:pStyle w:val="Normal"/></w:pPr>
<w:r><w:t xml:space="preserve">whenever the latter costs less than 3 1/2 times as much as</w:t></w:r>
</w:p>
<w:p>
<w:pPr><w:pStyle w:val="Normal"/></w:pPr>
<w:r><w:t xml:space="preserve">copper it is actually cheaper.  It must be remembered,</w:t></w:r>
</w:p>
<w:p>
<w:pPr><w:pStyle w:val="Normal"/></w:pPr>
<w:r><w:t xml:space="preserve">too, that electrolytic aluminium only became known during</w:t></w:r>
</w:p>
<w:p>
<w:pPr><w:pStyle w:val="Normal"/></w:pPr>
<w:r><w:t xml:space="preserve">the last decade of the 19th century.  Samples dating from</w:t></w:r>
</w:p>
<w:p>
<w:pPr><w:pStyle w:val="Normal"/></w:pPr>
<w:r><w:t xml:space="preserve">the old sodium days are still in existence, and when they</w:t></w:r>
</w:p>
<w:p>
<w:pPr><w:pStyle w:val="Normal"/></w:pPr>
<w:r><w:t xml:space="preserve">exhibit unpleasant properties the defect is often ascribed</w:t></w:r>
</w:p>
<w:p>
<w:pPr><w:pStyle w:val="Normal"/></w:pPr>
<w:r><w:t xml:space="preserve">to the metal instead of to the process by which it was</w:t></w:r>
</w:p>
<w:p>
<w:pPr><w:pStyle w:val="Normal"/></w:pPr>
<w:r><w:t xml:space="preserve">won.  Much has yet to be learnt about the practical qualities</w:t></w:r>
</w:p>
<w:p>
<w:pPr><w:pStyle w:val="Normal"/></w:pPr>
<w:r><w:t xml:space="preserve">of the electrolytic product, and although every day&apos;s</w:t></w:r>
</w:p>
<w:p>
<w:pPr><w:pStyle w:val="Normal"/></w:pPr>
<w:r><w:t xml:space="preserve">experience serves to place the metal in a firmer industrial</w:t></w:r>
</w:p>
<w:p>
<w:pPr><w:pStyle w:val="Normal"/></w:pPr>
<w:r><w:t xml:space="preserve">position, a final verdict can only be passed after the lapse of</w:t></w:r>
</w:p>
<w:p>
<w:pPr><w:pStyle w:val="Normal"/></w:pPr>
<w:r><w:t xml:space="preserve">time.  The individual and collective influence of the several</w:t></w:r>
</w:p>
<w:p>
<w:pPr><w:pStyle w:val="Normal"/></w:pPr>
<w:r><w:t xml:space="preserve">impurities which occur in the product of the Heroult cell</w:t></w:r>
</w:p>
<w:p>
<w:pPr><w:pStyle w:val="Normal"/></w:pPr>
<w:r><w:t xml:space="preserve">is still to seek, and the importance of this inquiry will</w:t></w:r>
</w:p>
<w:p>
<w:pPr><w:pStyle w:val="Normal"/></w:pPr>
<w:r><w:t xml:space="preserve">be seen when we consider that if cast iron, wrought iron and</w:t></w:r>
</w:p>
<w:p>
<w:pPr><w:pStyle w:val="Normal"/></w:pPr>
<w:r><w:t xml:space="preserve">steel, the three totally distinct metals included in the</w:t></w:r>
</w:p>
<w:p>
<w:pPr><w:pStyle w:val="Normal"/></w:pPr>
<w:r><w:t xml:space="preserve">generic name of ``iron&apos;&apos; -- which are only distinguished</w:t></w:r>
</w:p>
<w:p>
<w:pPr><w:pStyle w:val="Normal"/></w:pPr>
<w:r><w:t xml:space="preserve">one from another chemically by minute differences in the</w:t></w:r>
</w:p>
<w:p>
<w:pPr><w:pStyle w:val="Normal"/></w:pPr>
<w:r><w:t xml:space="preserve">proportion of certain non-metallic ingredients -- had only</w:t></w:r>
</w:p>
<w:p>
<w:pPr><w:pStyle w:val="Normal"/></w:pPr>
<w:r><w:t xml:space="preserve">been in use for a comparatively few years, attempts might</w:t></w:r>
</w:p>
<w:p>
<w:pPr><w:pStyle w:val="Normal"/></w:pPr>
<w:r><w:t xml:space="preserve">occasionally be made to forge cast iron, or to employ</w:t></w:r>
</w:p>
<w:p>
<w:pPr><w:pStyle w:val="Normal"/></w:pPr>
<w:r><w:t xml:space="preserve">wrought iron in the manufacture of edge-tools. (E. J. R.)</w:t></w:r>
</w:p>
<w:p>
<w:pPr><w:pStyle w:val="Normal"/></w:pPr>
<w:r><w:t xml:space="preserve">Compounds of Aluminium.</w:t></w:r>
</w:p>
<w:p>
<w:pPr><w:pStyle w:val="Normal"/></w:pPr>
<w:r><w:t xml:space="preserve">Aluminium oxide or alumina, Al2O3, occurs in nature</w:t></w:r>
</w:p>
<w:p>
<w:pPr><w:pStyle w:val="Normal"/></w:pPr>
<w:r><w:t xml:space="preserve">as the mineral corundum (q.v.), notable for its hardness</w:t></w:r>
</w:p>
<w:p>
<w:pPr><w:pStyle w:val="Normal"/></w:pPr>
<w:r><w:t xml:space="preserve">and abrasive power (see EMERY), and in well-crystallized</w:t></w:r>
</w:p>
<w:p>
<w:pPr><w:pStyle w:val="Normal"/></w:pPr>
<w:r><w:t xml:space="preserve">forms it constitutes, when coloured by various metallic</w:t></w:r>
</w:p>
<w:p>
<w:pPr><w:pStyle w:val="Normal"/></w:pPr>
<w:r><w:t xml:space="preserve">oxides, the gem-stones, sapphire, oriental topaz, oriental</w:t></w:r>
</w:p>
<w:p>
<w:pPr><w:pStyle w:val="Normal"/></w:pPr>
<w:r><w:t xml:space="preserve">amethyst and oriental emerald. Alumina is obtained as a</w:t></w:r>
</w:p>
<w:p>
<w:pPr><w:pStyle w:val="Normal"/></w:pPr>
<w:r><w:t xml:space="preserve">white amorphous powder by heating aluminium hydroxide.</w:t></w:r>
</w:p>
<w:p>
<w:pPr><w:pStyle w:val="Normal"/></w:pPr>
<w:r><w:t xml:space="preserve">This powder, provided that it has not been too strongly</w:t></w:r>
</w:p>
<w:p>
<w:pPr><w:pStyle w:val="Normal"/></w:pPr>
<w:r><w:t xml:space="preserve">ignited, is soluble in strong acids; by ignition it becomes</w:t></w:r>
</w:p>
<w:p>
<w:pPr><w:pStyle w:val="Normal"/></w:pPr>
<w:r><w:t xml:space="preserve">denser and nearly as hard as corundum; it fuses in the</w:t></w:r>
</w:p>
<w:p>
<w:pPr><w:pStyle w:val="Normal"/></w:pPr>
<w:r><w:t xml:space="preserve">oxyhydrogen flame or electric arc, and on cooling it assumes</w:t></w:r>
</w:p>
<w:p>
<w:pPr><w:pStyle w:val="Normal"/></w:pPr>
<w:r><w:t xml:space="preserve">a crystalline form closely resembling the mineral species.</w:t></w:r>
</w:p>
<w:p>
<w:pPr><w:pStyle w:val="Normal"/></w:pPr>
<w:r><w:t xml:space="preserve">Crystallized alumina is also obtained by heating the fluoride</w:t></w:r>
</w:p>
<w:p>
<w:pPr><w:pStyle w:val="Normal"/></w:pPr>
<w:r><w:t xml:space="preserve">with boron trioxide; by fusing aluminium phosphate with</w:t></w:r>
</w:p>
<w:p>
<w:pPr><w:pStyle w:val="Normal"/></w:pPr>
<w:r><w:t xml:space="preserve">sodium sulphate; by heating alumina to a dull redness in</w:t></w:r>
</w:p>
<w:p>
<w:pPr><w:pStyle w:val="Normal"/></w:pPr>
<w:r><w:t xml:space="preserve">hydrochloric acid gas under pressure; and by heating alumina</w:t></w:r>
</w:p>
<w:p>
<w:pPr><w:pStyle w:val="Normal"/></w:pPr>
<w:r><w:t xml:space="preserve">with lead oxide to a bright red heat.  These reactions are</w:t></w:r>
</w:p>
<w:p>
<w:pPr><w:pStyle w:val="Normal"/></w:pPr>
<w:r><w:t xml:space="preserve">of special interest, for they culminate in the production</w:t></w:r>
</w:p>
<w:p>
<w:pPr><w:pStyle w:val="Normal"/></w:pPr>
<w:r><w:t xml:space="preserve">of artificial ruby and sapphire (see GEMS, ARTIFICIAL).</w:t></w:r>
</w:p>
<w:p>
<w:pPr><w:pStyle w:val="Normal"/></w:pPr>
<w:r><w:t xml:space="preserve">Aluminium Hydrates. -- Several hydrated forms of aluminium</w:t></w:r>
</w:p>
<w:p>
<w:pPr><w:pStyle w:val="Normal"/></w:pPr>
<w:r><w:t xml:space="preserve">oxide are known.  Of these hydrargillite or gibbsite, Al(OH)3,</w:t></w:r>
</w:p>
<w:p>
<w:pPr><w:pStyle w:val="Normal"/></w:pPr>
<w:r><w:t xml:space="preserve">diaspore, AlO(OH), and bauxite, Al2O(OH)4, occur in the</w:t></w:r>
</w:p>
<w:p>
<w:pPr><w:pStyle w:val="Normal"/></w:pPr>
<w:r><w:t xml:space="preserve">mineral kingdom.  Aluminium hydrate, Al(OH)3, is obtained</w:t></w:r>
</w:p>
<w:p>
<w:pPr><w:pStyle w:val="Normal"/></w:pPr>
<w:r><w:t xml:space="preserve">as a gelatinous white precipitate, soluble in potassium or</w:t></w:r>
</w:p>
<w:p>
<w:pPr><w:pStyle w:val="Normal"/></w:pPr>
<w:r><w:t xml:space="preserve">sodium hydrate, but insoluble in ammonium chloride, by adding</w:t></w:r>
</w:p>
<w:p>
<w:pPr><w:pStyle w:val="Normal"/></w:pPr>
<w:r><w:t xml:space="preserve">ammonia to a cold solution of an aluminium salt; from boiling</w:t></w:r>
</w:p>
<w:p>
<w:pPr><w:pStyle w:val="Normal"/></w:pPr>
<w:r><w:t xml:space="preserve">solutions the precipitate is opaque.  By drying at ordinary</w:t></w:r>
</w:p>
<w:p>
<w:pPr><w:pStyle w:val="Normal"/></w:pPr>
<w:r><w:t xml:space="preserve">temperatures, the hydrate Al(OH)3.H2O is obtained; at</w:t></w:r>
</w:p>
<w:p>
<w:pPr><w:pStyle w:val="Normal"/></w:pPr>
<w:r><w:t xml:space="preserve">300 deg.  this yields AlO(OH), which on ignition gives alumina,</w:t></w:r>
</w:p>
<w:p>
<w:pPr><w:pStyle w:val="Normal"/></w:pPr>
<w:r><w:t xml:space="preserve">Al2O3.  Precipitated aluminium hydrate finds considerable</w:t></w:r>
</w:p>
<w:p>
<w:pPr><w:pStyle w:val="Normal"/></w:pPr>
<w:r><w:t xml:space="preserve">application in dyeing. Soluble modifications were obtained</w:t></w:r>
</w:p>
<w:p>
<w:pPr><w:pStyle w:val="Normal"/></w:pPr>
<w:r><w:t xml:space="preserve">by Waiter Crum (Journ. Chem.  Soc., 1854, vi. 216), and</w:t></w:r>
</w:p>
<w:p>
<w:pPr><w:pStyle w:val="Normal"/></w:pPr>
<w:r><w:t xml:space="preserve">Thomas Graham (Phil.  Trans., 1861, p. 163); the first</w:t></w:r>
</w:p>
<w:p>
<w:pPr><w:pStyle w:val="Normal"/></w:pPr>
<w:r><w:t xml:space="preserve">named decomposing aluminium acetate from lead acetate and</w:t></w:r>
</w:p>
<w:p>
<w:pPr><w:pStyle w:val="Normal"/></w:pPr>
<w:r><w:t xml:space="preserve">aluminium sulphate) with boiling water, the latter dialysing</w:t></w:r>
</w:p>
<w:p>
<w:pPr><w:pStyle w:val="Normal"/></w:pPr>
<w:r><w:t xml:space="preserve">a solution of the basic chloride (obtained by dissolving</w:t></w:r>
</w:p>
<w:p>
<w:pPr><w:pStyle w:val="Normal"/></w:pPr>
<w:r><w:t xml:space="preserve">the hydroxide in a solution of the normal chloride).</w:t></w:r>
</w:p>
<w:p>
<w:pPr><w:pStyle w:val="Normal"/></w:pPr>
<w:r><w:t xml:space="preserve">Both these soluble hydrates are readily coagulated by</w:t></w:r>
</w:p>
<w:p>
<w:pPr><w:pStyle w:val="Normal"/></w:pPr>
<w:r><w:t xml:space="preserve">traces of a salt, acid or alkali; Crum&apos;s hydrate does</w:t></w:r>
</w:p>
<w:p>
<w:pPr><w:pStyle w:val="Normal"/></w:pPr>
<w:r><w:t xml:space="preserve">not combine with dye-stuffs, neither is it soluble in</w:t></w:r>
</w:p>
<w:p>
<w:pPr><w:pStyle w:val="Normal"/></w:pPr>
<w:r><w:t xml:space="preserve">excess of acid, while Graham&apos;s compound readily forms</w:t></w:r>
</w:p>
<w:p>
<w:pPr><w:pStyle w:val="Normal"/></w:pPr>
<w:r><w:t xml:space="preserve">lakes, and readily dissolves when coagulated in acids.</w:t></w:r>
</w:p>
<w:p>
<w:pPr><w:pStyle w:val="Normal"/></w:pPr>
<w:r><w:t xml:space="preserve">In addition to behaving as a basic oxide, aluminium oxide (or</w:t></w:r>
</w:p>
<w:p>
<w:pPr><w:pStyle w:val="Normal"/></w:pPr>
<w:r><w:t xml:space="preserve">hydrate) behaves as an acid oxide towards the strong bases</w:t></w:r>
</w:p>
<w:p>
<w:pPr><w:pStyle w:val="Normal"/></w:pPr>
<w:r><w:t xml:space="preserve">with the formation of aluminates.  Potassium aluminate,</w:t></w:r>
</w:p>
<w:p>
<w:pPr><w:pStyle w:val="Normal"/></w:pPr>
<w:r><w:t xml:space="preserve">K2Al2O4, is obtained in solution by dissolving aluminium</w:t></w:r>
</w:p>
<w:p>
<w:pPr><w:pStyle w:val="Normal"/></w:pPr>
<w:r><w:t xml:space="preserve">hydrate in caustic potash; it is also obtained, as crystals</w:t></w:r>
</w:p>
<w:p>
<w:pPr><w:pStyle w:val="Normal"/></w:pPr>
<w:r><w:t xml:space="preserve">containing three molecules of water, by fusing alumina</w:t></w:r>
</w:p>
<w:p>
<w:pPr><w:pStyle w:val="Normal"/></w:pPr>
<w:r><w:t xml:space="preserve">with potash, exhausting with water, and crystallizing the</w:t></w:r>
</w:p>
<w:p>
<w:pPr><w:pStyle w:val="Normal"/></w:pPr>
<w:r><w:t xml:space="preserve">solution in vacuo. Sodium aluminate is obtained in the</w:t></w:r>
</w:p>
<w:p>
<w:pPr><w:pStyle w:val="Normal"/></w:pPr>
<w:r><w:t xml:space="preserve">manufacture of alumina; it is used as a mordant in dyeing,</w:t></w:r>
</w:p>
<w:p>
<w:pPr><w:pStyle w:val="Normal"/></w:pPr>
<w:r><w:t xml:space="preserve">and has other commercial applications.  Other aluminates</w:t></w:r>
</w:p>
<w:p>
<w:pPr><w:pStyle w:val="Normal"/></w:pPr>
<w:r><w:t xml:space="preserve">(in particular, of iron and magnesium), are of frequent</w:t></w:r>
</w:p>
<w:p>
<w:pPr><w:pStyle w:val="Normal"/></w:pPr>
<w:r><w:t xml:space="preserve">occurrence in the mineral kingdom, e.g. spinel, gahnite, &amp;c.</w:t></w:r>
</w:p>
<w:p>
<w:pPr><w:pStyle w:val="Normal"/></w:pPr>
<w:r><w:t xml:space="preserve">Salts of Aluminium. -- Aluminium forms one series of</w:t></w:r>
</w:p>
<w:p>
<w:pPr><w:pStyle w:val="Normal"/></w:pPr>
<w:r><w:t xml:space="preserve">salts, derived from the trioxide, Al2O3.  These exhibit, in</w:t></w:r>
</w:p>
<w:p>
<w:pPr><w:pStyle w:val="Normal"/></w:pPr>
<w:r><w:t xml:space="preserve">certain cases, marked crystallographical and other analogies</w:t></w:r>
</w:p>
<w:p>
<w:pPr><w:pStyle w:val="Normal"/></w:pPr>
<w:r><w:t xml:space="preserve">with the corresponding salts of chromium and ferric iron.</w:t></w:r>
</w:p>
<w:p>
<w:pPr><w:pStyle w:val="Normal"/></w:pPr>
<w:r><w:t xml:space="preserve">Aluminium fluoride, AlF3, obtained by dissolving the</w:t></w:r>
</w:p>
<w:p>
<w:pPr><w:pStyle w:val="Normal"/></w:pPr>
<w:r><w:t xml:space="preserve">metal in hydrofluoric acid, and subliming the residue</w:t></w:r>
</w:p>
<w:p>
<w:pPr><w:pStyle w:val="Normal"/></w:pPr>
<w:r><w:t xml:space="preserve">in a current of hydrogen, forms transparent, very obtuse</w:t></w:r>
</w:p>
<w:p>
<w:pPr><w:pStyle w:val="Normal"/></w:pPr>
<w:r><w:t xml:space="preserve">rhombohedra, which are insoluble in water.  It forms a</w:t></w:r>
</w:p>
<w:p>
<w:pPr><w:pStyle w:val="Normal"/></w:pPr>
<w:r><w:t xml:space="preserve">series of double fluorides, the most important of which</w:t></w:r>
</w:p>
<w:p>
<w:pPr><w:pStyle w:val="Normal"/></w:pPr>
<w:r><w:t xml:space="preserve">is cryolite (q.v.); this mineral has been applied to the</w:t></w:r>
</w:p>
<w:p>
<w:pPr><w:pStyle w:val="Normal"/></w:pPr>
<w:r><w:t xml:space="preserve">commercial preparation of the metal (see above).  Aluminium</w:t></w:r>
</w:p>
<w:p>
<w:pPr><w:pStyle w:val="Normal"/></w:pPr>
<w:r><w:t xml:space="preserve">chloride, AlCl3, was first prepared by Oersted, who heated</w:t></w:r>
</w:p>
<w:p>
<w:pPr><w:pStyle w:val="Normal"/></w:pPr>
<w:r><w:t xml:space="preserve">a mixture of carbon and alumina in a current of chlorine, a</w:t></w:r>
</w:p>
<w:p>
<w:pPr><w:pStyle w:val="Normal"/></w:pPr>
<w:r><w:t xml:space="preserve">method subsequently improved by Wohler, Bunsen, Deville and</w:t></w:r>
</w:p>
<w:p>
<w:pPr><w:pStyle w:val="Normal"/></w:pPr>
<w:r><w:t xml:space="preserve">others.  A purer product is obtained by heating aluminium</w:t></w:r>
</w:p>
<w:p>
<w:pPr><w:pStyle w:val="Normal"/></w:pPr>
<w:r><w:t xml:space="preserve">turnings in a current of dry chlorine, when the chloride</w:t></w:r>
</w:p>
<w:p>
<w:pPr><w:pStyle w:val="Normal"/></w:pPr>
<w:r><w:t xml:space="preserve">distils over.  So obtained, it is a white crystalline solid,</w:t></w:r>
</w:p>
<w:p>
<w:pPr><w:pStyle w:val="Normal"/></w:pPr>
<w:r><w:t xml:space="preserve">which slowly sublimes just below its melting point (194 deg. ).</w:t></w:r>
</w:p>
<w:p>
<w:pPr><w:pStyle w:val="Normal"/></w:pPr>
<w:r><w:t xml:space="preserve">Its vapour density at temperatures above 750 deg.  corresponds</w:t></w:r>
</w:p>
<w:p>
<w:pPr><w:pStyle w:val="Normal"/></w:pPr>
<w:r><w:t xml:space="preserve">to the formula AlCl3; below this point the molecules are</w:t></w:r>
</w:p>
<w:p>
<w:pPr><w:pStyle w:val="Normal"/></w:pPr>
<w:r><w:t xml:space="preserve">associated.  It is very hygroscopic, absorbing water with the</w:t></w:r>
</w:p>
<w:p>
<w:pPr><w:pStyle w:val="Normal"/></w:pPr>
<w:r><w:t xml:space="preserve">evolution of hydrochloric acid.  It combines with ammonia to</w:t></w:r>
</w:p>
<w:p>
<w:pPr><w:pStyle w:val="Normal"/></w:pPr>
<w:r><w:t xml:space="preserve">form AlCl3.3NH3; and forms double compounds with phosphorus</w:t></w:r>
</w:p>
<w:p>
<w:pPr><w:pStyle w:val="Normal"/></w:pPr>
<w:r><w:t xml:space="preserve">pentachloride, phosphorus oxychloride, selenium and tellurium</w:t></w:r>
</w:p>
<w:p>
<w:pPr><w:pStyle w:val="Normal"/></w:pPr>
<w:r><w:t xml:space="preserve">chlorides, as well as with many metallic chlorides; sodium</w:t></w:r>
</w:p>
<w:p>
<w:pPr><w:pStyle w:val="Normal"/></w:pPr>
<w:r><w:t xml:space="preserve">aluminium chloride, AlCl3.NaCl, is used in the production</w:t></w:r>
</w:p>
<w:p>
<w:pPr><w:pStyle w:val="Normal"/></w:pPr>
<w:r><w:t xml:space="preserve">of the metal.  As a synthetical agent in organic chemistry,</w:t></w:r>
</w:p>
<w:p>
<w:pPr><w:pStyle w:val="Normal"/></w:pPr>
<w:r><w:t xml:space="preserve">aluminium chloride has rendered possible more reactions</w:t></w:r>
</w:p>
<w:p>
<w:pPr><w:pStyle w:val="Normal"/></w:pPr>
<w:r><w:t xml:space="preserve">than any other substance; here we can only mention the</w:t></w:r>
</w:p>
<w:p>
<w:pPr><w:pStyle w:val="Normal"/></w:pPr>
<w:r><w:t xml:space="preserve">classic syntheses of benzene homologues.  Aluminium bromide,</w:t></w:r>
</w:p>
<w:p>
<w:pPr><w:pStyle w:val="Normal"/></w:pPr>
<w:r><w:t xml:space="preserve">AlBr3, is prepared in the same manner as the chloride.  It</w:t></w:r>
</w:p>
<w:p>
<w:pPr><w:pStyle w:val="Normal"/></w:pPr>
<w:r><w:t xml:space="preserve">forms colourless crystals, melting at 90 deg. , and boiling at</w:t></w:r>
</w:p>
<w:p>
<w:pPr><w:pStyle w:val="Normal"/></w:pPr>
<w:r><w:t xml:space="preserve">265 deg. -270 deg. .  Aluminium iodide, AlI3, results from the</w:t></w:r>
</w:p>
<w:p>
<w:pPr><w:pStyle w:val="Normal"/></w:pPr>
<w:r><w:t xml:space="preserve">interaction of iodine and aluminium.  It forms colourless</w:t></w:r>
</w:p>
<w:p>
<w:pPr><w:pStyle w:val="Normal"/></w:pPr>
<w:r><w:t xml:space="preserve">crystals, melting at 185 deg. , and boiling at 360 deg. . Aluminium</w:t></w:r>
</w:p>
<w:p>
<w:pPr><w:pStyle w:val="Normal"/></w:pPr>
<w:r><w:t xml:space="preserve">sulphide, Al2S3, results from the direct union of the metal</w:t></w:r>
</w:p>
<w:p>
<w:pPr><w:pStyle w:val="Normal"/></w:pPr>
<w:r><w:t xml:space="preserve">with sulphur, or when carbon disulphide vapour is passed over</w:t></w:r>
</w:p>
<w:p>
<w:pPr><w:pStyle w:val="Normal"/></w:pPr>
<w:r><w:t xml:space="preserve">strongly heated alumina.  It forms a yellow fusible mass,</w:t></w:r>
</w:p>
<w:p>
<w:pPr><w:pStyle w:val="Normal"/></w:pPr>
<w:r><w:t xml:space="preserve">which is decomposed by water into alumina and sulphuretted</w:t></w:r>
</w:p>
<w:p>
<w:pPr><w:pStyle w:val="Normal"/></w:pPr>
<w:r><w:t xml:space="preserve">hydrogen.  Aluminium sulphate Al(SO4)3, occurs in the</w:t></w:r>
</w:p>
<w:p>
<w:pPr><w:pStyle w:val="Normal"/></w:pPr>
<w:r><w:t xml:space="preserve">mineral kingdom as keramohalite, Al2(SO4)3.18H2O, found</w:t></w:r>
</w:p>
<w:p>
<w:pPr><w:pStyle w:val="Normal"/></w:pPr>
<w:r><w:t xml:space="preserve">near volcanoes and in alum-shale; aluminite or websterite is</w:t></w:r>
</w:p>
<w:p>
<w:pPr><w:pStyle w:val="Normal"/></w:pPr>
<w:r><w:t xml:space="preserve">a basic salt, Al3(SO4)(OH)4.7H2O.  Aluminium sulphate,</w:t></w:r>
</w:p>
<w:p>
<w:pPr><w:pStyle w:val="Normal"/></w:pPr>
<w:r><w:t xml:space="preserve">known commercially as ``concentrated alum&apos;&apos; or ``sulphate of</w:t></w:r>
</w:p>
<w:p>
<w:pPr><w:pStyle w:val="Normal"/></w:pPr>
<w:r><w:t xml:space="preserve">alumina,&apos;&apos; is manufactured from kaolin or china clay, which,</w:t></w:r>
</w:p>
<w:p>
<w:pPr><w:pStyle w:val="Normal"/></w:pPr>
<w:r><w:t xml:space="preserve">after roasting (in order to oxidize any iron present), is</w:t></w:r>
</w:p>
<w:p>
<w:pPr><w:pStyle w:val="Normal"/></w:pPr>
<w:r><w:t xml:space="preserve">heated with sulphuric acid, the clear solution run off, and</w:t></w:r>
</w:p>
<w:p>
<w:pPr><w:pStyle w:val="Normal"/></w:pPr>
<w:r><w:t xml:space="preserve">evaporated. ``Alum cake&apos;&apos; is an impure product.  Aluminium</w:t></w:r>
</w:p>
<w:p>
<w:pPr><w:pStyle w:val="Normal"/></w:pPr>
<w:r><w:t xml:space="preserve">sulphate crystallizes as Al2(SO4)3.18H2O in tablets</w:t></w:r>
</w:p>
<w:p>
<w:pPr><w:pStyle w:val="Normal"/></w:pPr>
<w:r><w:t xml:space="preserve">belonging to the monoclinic system. It has a sweet astringent</w:t></w:r>
</w:p>
<w:p>
<w:pPr><w:pStyle w:val="Normal"/></w:pPr>
<w:r><w:t xml:space="preserve">taste, very soluble in water, but scarcely soluble in</w:t></w:r>
</w:p>
<w:p>
<w:pPr><w:pStyle w:val="Normal"/></w:pPr>
<w:r><w:t xml:space="preserve">alcohol.  On heating, the crystals lose water, swell up, and</w:t></w:r>
</w:p>
<w:p>
<w:pPr><w:pStyle w:val="Normal"/></w:pPr>
<w:r><w:t xml:space="preserve">give the anhydrous sulphate, which, on further heating, gives</w:t></w:r>
</w:p>
<w:p>
<w:pPr><w:pStyle w:val="Normal"/></w:pPr>
<w:r><w:t xml:space="preserve">alumina.  It forms double salts with the sulphates of the</w:t></w:r>
</w:p>
<w:p>
<w:pPr><w:pStyle w:val="Normal"/></w:pPr>
<w:r><w:t xml:space="preserve">metals of the alkalis, known as the alums (see ALUM.)</w:t></w:r>
</w:p>
<w:p>
<w:pPr><w:pStyle w:val="Normal"/></w:pPr>
<w:r><w:t xml:space="preserve">Aluminium nitride (AlN) is obtained as small yellow crystals</w:t></w:r>
</w:p>
<w:p>
<w:pPr><w:pStyle w:val="Normal"/></w:pPr>
<w:r><w:t xml:space="preserve">when aluminium is strongly heated in nitrogen.  The nitrate,</w:t></w:r>
</w:p>
<w:p>
<w:pPr><w:pStyle w:val="Normal"/></w:pPr>
<w:r><w:t xml:space="preserve">Al(NO3)3, is obtained as deliquescent crystals (with 8H2O)</w:t></w:r>
</w:p>
<w:p>
<w:pPr><w:pStyle w:val="Normal"/></w:pPr>
<w:r><w:t xml:space="preserve">by evaporating a solution of the hydroxide in nitric acid.</w:t></w:r>
</w:p>
<w:p>
<w:pPr><w:pStyle w:val="Normal"/></w:pPr>
<w:r><w:t xml:space="preserve">Aluminium phosphates may be prepared by Precipitating a</w:t></w:r>
</w:p>
<w:p>
<w:pPr><w:pStyle w:val="Normal"/></w:pPr>
<w:r><w:t xml:space="preserve">soluble aluminium salt with sodium phosphate.  Wavellite</w:t></w:r>
</w:p>
<w:p>
<w:pPr><w:pStyle w:val="Normal"/></w:pPr>
<w:r><w:t xml:space="preserve">Al8(PO4)3(OH)15.9H2O, is a naturally occurring</w:t></w:r>
</w:p>
<w:p>
<w:pPr><w:pStyle w:val="Normal"/></w:pPr>
<w:r><w:t xml:space="preserve">basic phosphate, while the gem-stone turquoise (q.v.)</w:t></w:r>
</w:p>
<w:p>
<w:pPr><w:pStyle w:val="Normal"/></w:pPr>
<w:r><w:t xml:space="preserve">is Al.(PO4).(OH)2.H2O, coloured by traces of copper.</w:t></w:r>
</w:p>
<w:p>
<w:pPr><w:pStyle w:val="Normal"/></w:pPr>
<w:r><w:t xml:space="preserve">Aluminium silicates are widely diffused in the mineral</w:t></w:r>
</w:p>
<w:p>
<w:pPr><w:pStyle w:val="Normal"/></w:pPr>
<w:r><w:t xml:space="preserve">kingdom, being present in the commonest rock-forming minerals</w:t></w:r>
</w:p>
<w:p>
<w:pPr><w:pStyle w:val="Normal"/></w:pPr>
<w:r><w:t xml:space="preserve">(felspars, &amp;c.), and in the gem-stones, topaz, beryl,</w:t></w:r>
</w:p>
<w:p>
<w:pPr><w:pStyle w:val="Normal"/></w:pPr>
<w:r><w:t xml:space="preserve">garnet, &amp;c. It also constitutes with sodium silicate the</w:t></w:r>
</w:p>
<w:p>
<w:pPr><w:pStyle w:val="Normal"/></w:pPr>
<w:r><w:t xml:space="preserve">mineral lapis-lazuli and the pigment ultramarine (q.v..)</w:t></w:r>
</w:p>
<w:p>
<w:pPr><w:pStyle w:val="Normal"/></w:pPr>
<w:r><w:t xml:space="preserve">Forming the basis of all clays, aluminium silicates play a</w:t></w:r>
</w:p>
<w:p>
<w:pPr><w:pStyle w:val="Normal"/></w:pPr>
<w:r><w:t xml:space="preserve">prominent part in the manufacture of pottery and porcelain.</w:t></w:r>
</w:p>
<w:p>
<w:pPr><w:pStyle w:val="Normal"/></w:pPr>
<w:r><w:t xml:space="preserve">BIBLIOGRAPHY. -- The metallurgy and uses of aluminium are</w:t></w:r>
</w:p>
<w:p>
<w:pPr><w:pStyle w:val="Normal"/></w:pPr>
<w:r><w:t xml:space="preserve">treated in detail in P. Moissonnier, L&apos;Aluminium (Paris,</w:t></w:r>
</w:p>
<w:p>
<w:pPr><w:pStyle w:val="Normal"/></w:pPr>
<w:r><w:t xml:space="preserve">1903); in J. W. Richards, Aluminium (1896); and in A. Miner,</w:t></w:r>
</w:p>
<w:p>
<w:pPr><w:pStyle w:val="Normal"/></w:pPr>
<w:r><w:t xml:space="preserve">Production of Aluminium, Eng. trans. by L. Waldo (1905);</w:t></w:r>
</w:p>
<w:p>
<w:pPr><w:pStyle w:val="Normal"/></w:pPr>
<w:r><w:t xml:space="preserve">reference may also be made to treatises on general metallurgy,</w:t></w:r>
</w:p>
<w:p>
<w:pPr><w:pStyle w:val="Normal"/></w:pPr>
<w:r><w:t xml:space="preserve">e.g. C. Schnabel, Handbook of Metalurgy, vol. ii. (1907).</w:t></w:r>
</w:p>
<w:p>
<w:pPr><w:pStyle w:val="Normal"/></w:pPr>
<w:r><w:t xml:space="preserve">For the chemistry see Roscoe and Schlorlemmer, Treatise on</w:t></w:r>
</w:p>
<w:p>
<w:pPr><w:pStyle w:val="Normal"/></w:pPr>
<w:r><w:t xml:space="preserve">Inorganic Chemistry, vol. ii. (1908); H. Moissan, Traite</w:t></w:r>
</w:p>
<w:p>
<w:pPr><w:pStyle w:val="Normal"/></w:pPr>
<w:r><w:t xml:space="preserve">de chimie minerale; Abegg, Handbuch der anorgenischen</w:t></w:r>
</w:p>
<w:p>
<w:pPr><w:pStyle w:val="Normal"/></w:pPr>
<w:r><w:t xml:space="preserve">Chemie; and O. Dammer, Handbuch der anorganischen Chemie.</w:t></w:r>
</w:p>
<w:p>
<w:pPr><w:pStyle w:val="Normal"/></w:pPr>
<w:r><w:t xml:space="preserve">Aluminium alloys have been studied in detail by Guillet.</w:t></w:r>
</w:p>
<w:p>
<w:pPr><w:pStyle w:val="Normal"/></w:pPr>
<w:r><w:t xml:space="preserve">ALUNITE, or ALUMSTONE, a mineral first observed in the</w:t></w:r>
</w:p>
<w:p>
<w:pPr><w:pStyle w:val="Normal"/></w:pPr>
<w:r><w:t xml:space="preserve">15th century at Tolfa, near Rome, where it is mined for the</w:t></w:r>
</w:p>
<w:p>
<w:pPr><w:pStyle w:val="Normal"/></w:pPr>
<w:r><w:t xml:space="preserve">manufacture of alum.  Extensive deposits are also worked</w:t></w:r>
</w:p>
<w:p>
<w:pPr><w:pStyle w:val="Normal"/></w:pPr>
<w:r><w:t xml:space="preserve">in Tuscany and Hungary, and at Bulladelah in New South</w:t></w:r>
</w:p>
<w:p>
<w:pPr><w:pStyle w:val="Normal"/></w:pPr>
<w:r><w:t xml:space="preserve">Wales. By repeatedly roasting and lixiviating the mineral,</w:t></w:r>
</w:p>
<w:p>
<w:pPr><w:pStyle w:val="Normal"/></w:pPr>
<w:r><w:t xml:space="preserve">alum is obtained in solution, and this is crystallized out</w:t></w:r>
</w:p>
<w:p>
<w:pPr><w:pStyle w:val="Normal"/></w:pPr>
<w:r><w:t xml:space="preserve">by evaporation. Alunite occurs as seams in trachytic and</w:t></w:r>
</w:p>
<w:p>
<w:pPr><w:pStyle w:val="Normal"/></w:pPr>
<w:r><w:t xml:space="preserve">allied volcanic rocks, having been formed by the action</w:t></w:r>
</w:p>
<w:p>
<w:pPr><w:pStyle w:val="Normal"/></w:pPr>
<w:r><w:t xml:space="preserve">of sulphureous vapours on these rocks.  The white, finely</w:t></w:r>
</w:p>
<w:p>
<w:pPr><w:pStyle w:val="Normal"/></w:pPr>
<w:r><w:t xml:space="preserve">granular masses somewhat resemble limestone in appearance,</w:t></w:r>
</w:p>
<w:p>
<w:pPr><w:pStyle w:val="Normal"/></w:pPr>
<w:r><w:t xml:space="preserve">and the more compact kinds from Hungary are so hard and</w:t></w:r>
</w:p>
<w:p>
<w:pPr><w:pStyle w:val="Normal"/></w:pPr>
<w:r><w:t xml:space="preserve">tough that they are used for millstones.  Distinct crystals</w:t></w:r>
</w:p>
<w:p>
<w:pPr><w:pStyle w:val="Normal"/></w:pPr>
<w:r><w:t xml:space="preserve">of alunite are rarely met with in cavities in the massive</w:t></w:r>
</w:p>
<w:p>
<w:pPr><w:pStyle w:val="Normal"/></w:pPr>
<w:r><w:t xml:space="preserve">material; these are rhombohedra with interfacial angles of</w:t></w:r>
</w:p>
<w:p>
<w:pPr><w:pStyle w:val="Normal"/></w:pPr>
<w:r><w:t xml:space="preserve">90 deg.  50&apos;, so that they resemble cubes in. appearance.  Minute</w:t></w:r>
</w:p>
<w:p>
<w:pPr><w:pStyle w:val="Normal"/></w:pPr>
<w:r><w:t xml:space="preserve">glistening crystals have also been found loose in cavities</w:t></w:r>
</w:p>
<w:p>
<w:pPr><w:pStyle w:val="Normal"/></w:pPr>
<w:r><w:t xml:space="preserve">in altered rhyolite.  The hardness is 4 and the specific</w:t></w:r>
</w:p>
<w:p>
<w:pPr><w:pStyle w:val="Normal"/></w:pPr>
<w:r><w:t xml:space="preserve">gravity 2.6. The mineral is a hydrated basic aluminium and</w:t></w:r>
</w:p>
<w:p>
<w:pPr><w:pStyle w:val="Normal"/></w:pPr>
<w:r><w:t xml:space="preserve">potassium sulphate, KAl3(SO4)2(OH)6.  It is insoluble</w:t></w:r>
</w:p>
<w:p>
<w:pPr><w:pStyle w:val="Normal"/></w:pPr>
<w:r><w:t xml:space="preserve">in water, but soluble in sulphuric acid.  First called</w:t></w:r>
</w:p>
<w:p>
<w:pPr><w:pStyle w:val="Normal"/></w:pPr>
<w:r><w:t xml:space="preserve">aluminilite by J. C. Delametherie in 1797, this name was</w:t></w:r>
</w:p>
<w:p>
<w:pPr><w:pStyle w:val="Normal"/></w:pPr>
<w:r><w:t xml:space="preserve">contracted by F. S. Beudant in 1824 to alunite. (L. J. S.)</w:t></w:r>
</w:p>
<w:p>
<w:pPr><w:pStyle w:val="Normal"/></w:pPr>
<w:r><w:t xml:space="preserve">ALUR (Lur, Luri, Lurem), a Negro people of the Nile valley,</w:t></w:r>
</w:p>
<w:p>
<w:pPr><w:pStyle w:val="Normal"/></w:pPr>
<w:r><w:t xml:space="preserve">living on the north-west coast of Albert Nyanza.  They are akin</w:t></w:r>
</w:p>
<w:p>
<w:pPr><w:pStyle w:val="Normal"/></w:pPr>
<w:r><w:t xml:space="preserve">to the Acholi (q.v.), speaking practically the same language.</w:t></w:r>
</w:p>
<w:p>
<w:pPr><w:pStyle w:val="Normal"/></w:pPr>
<w:r><w:t xml:space="preserve">ALURE (O. Fr., from aller, to walk), an architectural term for</w:t></w:r>
</w:p>
<w:p>
<w:pPr><w:pStyle w:val="Normal"/></w:pPr>
<w:r><w:t xml:space="preserve">an alley, passage, the water-way or flat gutter behind a parapet,</w:t></w:r>
</w:p>
<w:p>
<w:pPr><w:pStyle w:val="Normal"/></w:pPr>
<w:r><w:t xml:space="preserve">the galleries of a clerestory, sometimes even the aisle itself of a</w:t></w:r>
</w:p>
<w:p>
<w:pPr><w:pStyle w:val="Normal"/></w:pPr>
<w:r><w:t xml:space="preserve">church.  The term is sometimes written valure or valoring.</w:t></w:r>
</w:p>
<w:p>
<w:pPr><w:pStyle w:val="Normal"/></w:pPr>
<w:r><w:t xml:space="preserve">ALVA, or ALBA, FERNANDO ALVAREX DE TOLEDO, DUKE OF,</w:t></w:r>
</w:p>
<w:p>
<w:pPr><w:pStyle w:val="Normal"/></w:pPr>
<w:r><w:t xml:space="preserve">(1508-1583), Spanish soldier, descended from one of the</w:t></w:r>
</w:p>
<w:p>
<w:pPr><w:pStyle w:val="Normal"/></w:pPr>
<w:r><w:t xml:space="preserve">most illustrious families in Spain, was born in 1508.  His</w:t></w:r>
</w:p>
<w:p>
<w:pPr><w:pStyle w:val="Normal"/></w:pPr>
<w:r><w:t xml:space="preserve">grandfather, Ferdinand of Toledo, educated him in military</w:t></w:r>
</w:p>
<w:p>
<w:pPr><w:pStyle w:val="Normal"/></w:pPr>
<w:r><w:t xml:space="preserve">science and politics; and he was engaged with distinction</w:t></w:r>
</w:p>
<w:p>
<w:pPr><w:pStyle w:val="Normal"/></w:pPr>
<w:r><w:t xml:space="preserve">at the battle of Pavia while still a youth.  Selected for a</w:t></w:r>
</w:p>
<w:p>
<w:pPr><w:pStyle w:val="Normal"/></w:pPr>
<w:r><w:t xml:space="preserve">military command by Charles V., he took part in the siege of</w:t></w:r>
</w:p>
<w:p>
<w:pPr><w:pStyle w:val="Normal"/></w:pPr>
<w:r><w:t xml:space="preserve">Tunis (1535), and successfully defended Perpignan against the</w:t></w:r>
</w:p>
<w:p>
<w:pPr><w:pStyle w:val="Normal"/></w:pPr>
<w:r><w:t xml:space="preserve">dauphin of France.  He was present at the battle of Muhlberg</w:t></w:r>
</w:p>
<w:p>
<w:pPr><w:pStyle w:val="Normal"/></w:pPr>
<w:r><w:t xml:space="preserve">(1547), and the victory gained there over John of Saxony was</w:t></w:r>
</w:p>
<w:p>
<w:pPr><w:pStyle w:val="Normal"/></w:pPr>
<w:r><w:t xml:space="preserve">due mainly to his exertions. He took part in the subsequent</w:t></w:r>
</w:p>
<w:p>
<w:pPr><w:pStyle w:val="Normal"/></w:pPr>
<w:r><w:t xml:space="preserve">siege of Wittenberg, and presided at the court-martial which</w:t></w:r>
</w:p>
<w:p>
<w:pPr><w:pStyle w:val="Normal"/></w:pPr>
<w:r><w:t xml:space="preserve">tried the elector and condemned him to death.  In 1552 Alva</w:t></w:r>
</w:p>
<w:p>
<w:pPr><w:pStyle w:val="Normal"/></w:pPr>
<w:r><w:t xml:space="preserve">was intrusted with the command of the army intended to invade</w:t></w:r>
</w:p>
<w:p>
<w:pPr><w:pStyle w:val="Normal"/></w:pPr>
<w:r><w:t xml:space="preserve">France, and was engaged for several months in an unsuccessful</w:t></w:r>
</w:p>
<w:p>
<w:pPr><w:pStyle w:val="Normal"/></w:pPr>
<w:r><w:t xml:space="preserve">siege of Metz.  In consequence of the success of the French</w:t></w:r>
</w:p>
<w:p>
<w:pPr><w:pStyle w:val="Normal"/></w:pPr>
<w:r><w:t xml:space="preserve">arms in Piedmont, he was made commander-in-chief of all the</w:t></w:r>
</w:p>
<w:p>
<w:pPr><w:pStyle w:val="Normal"/></w:pPr>
<w:r><w:t xml:space="preserve">emperor&apos;s forces in Italy, and at the same time invested</w:t></w:r>
</w:p>
<w:p>
<w:pPr><w:pStyle w:val="Normal"/></w:pPr>
<w:r><w:t xml:space="preserve">with unlimited power.  Success did not, however, attend</w:t></w:r>
</w:p>
<w:p>
<w:pPr><w:pStyle w:val="Normal"/></w:pPr>
<w:r><w:t xml:space="preserve">his first attempts, and after several unfortunate attacks</w:t></w:r>
</w:p>
<w:p>
<w:pPr><w:pStyle w:val="Normal"/></w:pPr>
<w:r><w:t xml:space="preserve">he was obliged to retire into winter quarters.  After the</w:t></w:r>
</w:p>
<w:p>
<w:pPr><w:pStyle w:val="Normal"/></w:pPr>
<w:r><w:t xml:space="preserve">abdication of Charles he was continued in the command by Philip</w:t></w:r>
</w:p>
<w:p>
<w:pPr><w:pStyle w:val="Normal"/></w:pPr>
<w:r><w:t xml:space="preserve">II., who, however, restrained him from extreme measures.</w:t></w:r>
</w:p>
<w:p>
<w:pPr><w:pStyle w:val="Normal"/></w:pPr>
<w:r><w:t xml:space="preserve">Alva had subdued the whole Campagna and was at the gates of</w:t></w:r>
</w:p>
<w:p>
<w:pPr><w:pStyle w:val="Normal"/></w:pPr>
<w:r><w:t xml:space="preserve">Rome, when he was compelled by Philip&apos;s orders to negotiate a</w:t></w:r>
</w:p>
<w:p>
<w:pPr><w:pStyle w:val="Normal"/></w:pPr>
<w:r><w:t xml:space="preserve">peace.  One of its terms was that the duke of Alva should in</w:t></w:r>
</w:p>
<w:p>
<w:pPr><w:pStyle w:val="Normal"/></w:pPr>
<w:r><w:t xml:space="preserve">person ask forgiveness of the haughty pontiff whom he had</w:t></w:r>
</w:p>
<w:p>
<w:pPr><w:pStyle w:val="Normal"/></w:pPr>
<w:r><w:t xml:space="preserve">conquered.  Proud as the duke was by nature, and accustomed</w:t></w:r>
</w:p>
<w:p>
<w:pPr><w:pStyle w:val="Normal"/></w:pPr>
<w:r><w:t xml:space="preserve">to treat with persons of the highest dignity, he confessed</w:t></w:r>
</w:p>
<w:p>
<w:pPr><w:pStyle w:val="Normal"/></w:pPr>
<w:r><w:t xml:space="preserve">his voice failed him at the interview and his presence of</w:t></w:r>
</w:p>
<w:p>
<w:pPr><w:pStyle w:val="Normal"/></w:pPr>
<w:r><w:t xml:space="preserve">mind forsook him.  Not long after this (1559) he was sent at</w:t></w:r>
</w:p>
<w:p>
<w:pPr><w:pStyle w:val="Normal"/></w:pPr>
<w:r><w:t xml:space="preserve">the head of a splendid embassy to Paris to espouse, in the</w:t></w:r>
</w:p>
<w:p>
<w:pPr><w:pStyle w:val="Normal"/></w:pPr>
<w:r><w:t xml:space="preserve">name of his master, Elizabeth, daughter of Henry, king of</w:t></w:r>
</w:p>
<w:p>
<w:pPr><w:pStyle w:val="Normal"/></w:pPr>
<w:r><w:t xml:space="preserve">France.  In 1567, Philip, who was a bigoted Catholic,</w:t></w:r>
</w:p>
<w:p>
<w:pPr><w:pStyle w:val="Normal"/></w:pPr>
<w:r><w:t xml:space="preserve">sent Alva into the Netherlands at the head of an army of</w:t></w:r>
</w:p>
<w:p>
<w:pPr><w:pStyle w:val="Normal"/></w:pPr>
<w:r><w:t xml:space="preserve">10,000 men, with unlimited powers for the extirpation of</w:t></w:r>
</w:p>
<w:p>
<w:pPr><w:pStyle w:val="Normal"/></w:pPr>
<w:r><w:t xml:space="preserve">heretics.  When he arrived he soon showed how much he</w:t></w:r>
</w:p>
<w:p>
<w:pPr><w:pStyle w:val="Normal"/></w:pPr>
<w:r><w:t xml:space="preserve">merited the confidence which his master reposed in him,</w:t></w:r>
</w:p>
<w:p>
<w:pPr><w:pStyle w:val="Normal"/></w:pPr>
<w:r><w:t xml:space="preserve">and instantly erected a tribunal which soon became known</w:t></w:r>
</w:p>
<w:p>
<w:pPr><w:pStyle w:val="Normal"/></w:pPr>
<w:r><w:t xml:space="preserve">to its victims as the ``Court of Blood,&apos;&apos; to try all persons</w:t></w:r>
</w:p>
<w:p>
<w:pPr><w:pStyle w:val="Normal"/></w:pPr>
<w:r><w:t xml:space="preserve">who had been engaged in the late commotions which the civil</w:t></w:r>
</w:p>
<w:p>
<w:pPr><w:pStyle w:val="Normal"/></w:pPr>
<w:r><w:t xml:space="preserve">and religious tyranny of Philip had excited.  He imprisoned</w:t></w:r>
</w:p>
<w:p>
<w:pPr><w:pStyle w:val="Normal"/></w:pPr>
<w:r><w:t xml:space="preserve">the counts Egmont and Horn, the two popular leaders of the</w:t></w:r>
</w:p>
<w:p>
<w:pPr><w:pStyle w:val="Normal"/></w:pPr>
<w:r><w:t xml:space="preserve">Protestants, brought them to an unjust trial and condemned</w:t></w:r>
</w:p>
<w:p>
<w:pPr><w:pStyle w:val="Normal"/></w:pPr>
<w:r><w:t xml:space="preserve">them to death. In a short time he totally annihilated every</w:t></w:r>
</w:p>
<w:p>
<w:pPr><w:pStyle w:val="Normal"/></w:pPr>
<w:r><w:t xml:space="preserve">privilege of the people, and with unrelenting cruelty put</w:t></w:r>
</w:p>
<w:p>
<w:pPr><w:pStyle w:val="Normal"/></w:pPr>
<w:r><w:t xml:space="preserve">multitudes of them to death.  The executioner was employed</w:t></w:r>
</w:p>
<w:p>
<w:pPr><w:pStyle w:val="Normal"/></w:pPr>
<w:r><w:t xml:space="preserve">in removing all those friends of freedom whom the sword had</w:t></w:r>
</w:p>
<w:p>
<w:pPr><w:pStyle w:val="Normal"/></w:pPr>
<w:r><w:t xml:space="preserve">spared.  In most of the considerable towns Alva built</w:t></w:r>
</w:p>
<w:p>
<w:pPr><w:pStyle w:val="Normal"/></w:pPr>
<w:r><w:t xml:space="preserve">citadels.  In the city of Antwerp he erected a statue of</w:t></w:r>
</w:p>
<w:p>
<w:pPr><w:pStyle w:val="Normal"/></w:pPr>
<w:r><w:t xml:space="preserve">himself, which was a monument no less of his vanity than of</w:t></w:r>
</w:p>
<w:p>
<w:pPr><w:pStyle w:val="Normal"/></w:pPr>
<w:r><w:t xml:space="preserve">his tyranny: he was figured trampling on the necks of two</w:t></w:r>
</w:p>
<w:p>
<w:pPr><w:pStyle w:val="Normal"/></w:pPr>
<w:r><w:t xml:space="preserve">smaller statues, representing the two estates of the Low</w:t></w:r>
</w:p>
<w:p>
<w:pPr><w:pStyle w:val="Normal"/></w:pPr>
<w:r><w:t xml:space="preserve">Countries.  His attempt to raise money by imposing the Spanish</w:t></w:r>
</w:p>
<w:p>
<w:pPr><w:pStyle w:val="Normal"/></w:pPr>
<w:r><w:t xml:space="preserve">alcabala, a tax of 5% on all sales, aroused the opposition</w:t></w:r>
</w:p>
<w:p>
<w:pPr><w:pStyle w:val="Normal"/></w:pPr>
<w:r><w:t xml:space="preserve">of the Catholic Netherlands themselves.  The exiles from</w:t></w:r>
</w:p>
<w:p>
<w:pPr><w:pStyle w:val="Normal"/></w:pPr>
<w:r><w:t xml:space="preserve">the Low Countries, encouraged by the general resistance</w:t></w:r>
</w:p>
<w:p>
<w:pPr><w:pStyle w:val="Normal"/></w:pPr>
<w:r><w:t xml:space="preserve">to his government, fitted out a fleet of privateers, and</w:t></w:r>
</w:p>
<w:p>
<w:pPr><w:pStyle w:val="Normal"/></w:pPr>
<w:r><w:t xml:space="preserve">after strengthening themselves by successful depredations,</w:t></w:r>
</w:p>
<w:p>
<w:pPr><w:pStyle w:val="Normal"/></w:pPr>
<w:r><w:t xml:space="preserve">ventured upon the bold exploit of seizing the town of</w:t></w:r>
</w:p>
<w:p>
<w:pPr><w:pStyle w:val="Normal"/></w:pPr>
<w:r><w:t xml:space="preserve">Brielle.  Thus Alva by his cruelty became the unwitting</w:t></w:r>
</w:p>
<w:p>
<w:pPr><w:pStyle w:val="Normal"/></w:pPr>
<w:r><w:t xml:space="preserve">instrument of the future independence of the seven Dutch</w:t></w:r>
</w:p>
<w:p>
<w:pPr><w:pStyle w:val="Normal"/></w:pPr>
<w:r><w:t xml:space="preserve">provinces.  The fleet of the exiles, having met the Spanish</w:t></w:r>
</w:p>
<w:p>
<w:pPr><w:pStyle w:val="Normal"/></w:pPr>
<w:r><w:t xml:space="preserve">fleet, totally defeated it, and reduced North Holland and</w:t></w:r>
</w:p>
<w:p>
<w:pPr><w:pStyle w:val="Normal"/></w:pPr>
<w:r><w:t xml:space="preserve">Mons.  Many cities hastened to throw off the yoke; while the</w:t></w:r>
</w:p>
<w:p>
<w:pPr><w:pStyle w:val="Normal"/></w:pPr>
<w:r><w:t xml:space="preserve">states-general, assembling at Dordrecht, openly declared</w:t></w:r>
</w:p>
<w:p>
<w:pPr><w:pStyle w:val="Normal"/></w:pPr>
<w:r><w:t xml:space="preserve">against Alva&apos;s government, and marshalled under the banners</w:t></w:r>
</w:p>
<w:p>
<w:pPr><w:pStyle w:val="Normal"/></w:pPr>
<w:r><w:t xml:space="preserve">of the prince of Orange.  Alva&apos;s preparations to oppose</w:t></w:r>
</w:p>
<w:p>
<w:pPr><w:pStyle w:val="Normal"/></w:pPr>
<w:r><w:t xml:space="preserve">the gathering storm were made with his usual vigour, and</w:t></w:r>
</w:p>
<w:p>
<w:pPr><w:pStyle w:val="Normal"/></w:pPr>
<w:r><w:t xml:space="preserve">he succeeded in recovering Mons, Mechlin and Zutphen, under</w:t></w:r>
</w:p>
<w:p>
<w:pPr><w:pStyle w:val="Normal"/></w:pPr>
<w:r><w:t xml:space="preserve">the conduct of his son Frederick.  With the exception of</w:t></w:r>
</w:p>
<w:p>
<w:pPr><w:pStyle w:val="Normal"/></w:pPr>
<w:r><w:t xml:space="preserve">Zealand and Holland, he regained all the provinces; and at</w:t></w:r>
</w:p>
<w:p>
<w:pPr><w:pStyle w:val="Normal"/></w:pPr>
<w:r><w:t xml:space="preserve">last his son stormed Naarden, and massacring its inhabitants,</w:t></w:r>
</w:p>
<w:p>
<w:pPr><w:pStyle w:val="Normal"/></w:pPr>
<w:r><w:t xml:space="preserve">proceeded to invest the city of Haarlem, which, after</w:t></w:r>
</w:p>
<w:p>
<w:pPr><w:pStyle w:val="Normal"/></w:pPr>
<w:r><w:t xml:space="preserve">standing an obstinate siege, was taken and pillaged.  Their</w:t></w:r>
</w:p>
<w:p>
<w:pPr><w:pStyle w:val="Normal"/></w:pPr>
<w:r><w:t xml:space="preserve">next attack was upon Alkmaar; but the spirit of desperate</w:t></w:r>
</w:p>
<w:p>
<w:pPr><w:pStyle w:val="Normal"/></w:pPr>
<w:r><w:t xml:space="preserve">resistance was raised to such a height in the breasts of</w:t></w:r>
</w:p>
<w:p>
<w:pPr><w:pStyle w:val="Normal"/></w:pPr>
<w:r><w:t xml:space="preserve">the Hollanders that the Spanish veterans were repulsed</w:t></w:r>
</w:p>
<w:p>
<w:pPr><w:pStyle w:val="Normal"/></w:pPr>
<w:r><w:t xml:space="preserve">with great loss and Frederick constrained reluctantly to</w:t></w:r>
</w:p>
<w:p>
<w:pPr><w:pStyle w:val="Normal"/></w:pPr>
<w:r><w:t xml:space="preserve">retire.  Alva&apos;s feeble state of health and continued disasters</w:t></w:r>
</w:p>
<w:p>
<w:pPr><w:pStyle w:val="Normal"/></w:pPr>
<w:r><w:t xml:space="preserve">induced him to solicit his recall from the government of</w:t></w:r>
</w:p>
<w:p>
<w:pPr><w:pStyle w:val="Normal"/></w:pPr>
<w:r><w:t xml:space="preserve">the Low Countries; a measure which, in all probability,</w:t></w:r>
</w:p>
<w:p>
<w:pPr><w:pStyle w:val="Normal"/></w:pPr>
<w:r><w:t xml:space="preserve">was not displeasing to Philip, who was now resolved to make</w:t></w:r>
</w:p>
<w:p>
<w:pPr><w:pStyle w:val="Normal"/></w:pPr>
<w:r><w:t xml:space="preserve">trial of a milder administration.  In December 1573 the</w:t></w:r>
</w:p>
<w:p>
<w:pPr><w:pStyle w:val="Normal"/></w:pPr>
<w:r><w:t xml:space="preserve">much-oppressed country was relieved from the presence of the</w:t></w:r>
</w:p>
<w:p>
<w:pPr><w:pStyle w:val="Normal"/></w:pPr>
<w:r><w:t xml:space="preserve">duke of Alva, who, returning home accompanied by his son,</w:t></w:r>
</w:p>
<w:p>
<w:pPr><w:pStyle w:val="Normal"/></w:pPr>
<w:r><w:t xml:space="preserve">made the infamous boast that during the course of six years,</w:t></w:r>
</w:p>
<w:p>
<w:pPr><w:pStyle w:val="Normal"/></w:pPr>
<w:r><w:t xml:space="preserve">besides the multitudes destroyed in battle and massacred after</w:t></w:r>
</w:p>
<w:p>
<w:pPr><w:pStyle w:val="Normal"/></w:pPr>
<w:r><w:t xml:space="preserve">victory, he had consigned 18,000 persons to the executioner.</w:t></w:r>
</w:p>
<w:p>
<w:pPr><w:pStyle w:val="Normal"/></w:pPr>
<w:r><w:t xml:space="preserve">On his return he was treated for some time with great distinction</w:t></w:r>
</w:p>
<w:p>
<w:pPr><w:pStyle w:val="Normal"/></w:pPr>
<w:r><w:t xml:space="preserve">by Philip.  A tardy and imperfect justice, however, overtook</w:t></w:r>
</w:p>
<w:p>
<w:pPr><w:pStyle w:val="Normal"/></w:pPr>
<w:r><w:t xml:space="preserve">him, when he was banished from court and confined in the</w:t></w:r>
</w:p>
<w:p>
<w:pPr><w:pStyle w:val="Normal"/></w:pPr>
<w:r><w:t xml:space="preserve">castle of Uzeda for complicity in certain disgraceful conduct</w:t></w:r>
</w:p>
<w:p>
<w:pPr><w:pStyle w:val="Normal"/></w:pPr>
<w:r><w:t xml:space="preserve">of his son. Here he had remained two years, when the success</w:t></w:r>
</w:p>
<w:p>
<w:pPr><w:pStyle w:val="Normal"/></w:pPr>
<w:r><w:t xml:space="preserve">of Don Antonio in assuming the crown of Portugal determined</w:t></w:r>
</w:p>
<w:p>
<w:pPr><w:pStyle w:val="Normal"/></w:pPr>
<w:r><w:t xml:space="preserve">Philip to turn his eyes towards Alva as the person in whose</w:t></w:r>
</w:p>
<w:p>
<w:pPr><w:pStyle w:val="Normal"/></w:pPr>
<w:r><w:t xml:space="preserve">fidelity and abilities he could most confide.  A secretary was</w:t></w:r>
</w:p>
<w:p>
<w:pPr><w:pStyle w:val="Normal"/></w:pPr>
<w:r><w:t xml:space="preserve">instantly despatched to Alva to ascertain whether his health</w:t></w:r>
</w:p>
<w:p>
<w:pPr><w:pStyle w:val="Normal"/></w:pPr>
<w:r><w:t xml:space="preserve">was sufficiently vigorous to enable him to undertake the</w:t></w:r>
</w:p>
<w:p>
<w:pPr><w:pStyle w:val="Normal"/></w:pPr>
<w:r><w:t xml:space="preserve">command of an army.  The aged chief returned an answer full</w:t></w:r>
</w:p>
<w:p>
<w:pPr><w:pStyle w:val="Normal"/></w:pPr>
<w:r><w:t xml:space="preserve">of loyal zeal, and was immediately appointed to the supreme</w:t></w:r>
</w:p>
<w:p>
<w:pPr><w:pStyle w:val="Normal"/></w:pPr>
<w:r><w:t xml:space="preserve">command in Portugal.  It is a striking fact, however, that</w:t></w:r>
</w:p>
<w:p>
<w:pPr><w:pStyle w:val="Normal"/></w:pPr>
<w:r><w:t xml:space="preserve">the liberation and elevation of Alva were not followed by</w:t></w:r>
</w:p>
<w:p>
<w:pPr><w:pStyle w:val="Normal"/></w:pPr>
<w:r><w:t xml:space="preserve">forgiveness.  In 1581 Alva entered Portugal, defeated Antonio,</w:t></w:r>
</w:p>
<w:p>
<w:pPr><w:pStyle w:val="Normal"/></w:pPr>
<w:r><w:t xml:space="preserve">drove him from the kingdom, and soon reduced the whole</w:t></w:r>
</w:p>
<w:p>
<w:pPr><w:pStyle w:val="Normal"/></w:pPr>
<w:r><w:t xml:space="preserve">under the subjection of Philip.  Entering Lisbon he seized</w:t></w:r>
</w:p>
<w:p>
<w:pPr><w:pStyle w:val="Normal"/></w:pPr>
<w:r><w:t xml:space="preserve">an immense treasure, and suffered his soldiers, with their</w:t></w:r>
</w:p>
<w:p>
<w:pPr><w:pStyle w:val="Normal"/></w:pPr>
<w:r><w:t xml:space="preserve">accustomed violence and rapacity, to sack the suburbs and</w:t></w:r>
</w:p>
<w:p>
<w:pPr><w:pStyle w:val="Normal"/></w:pPr>
<w:r><w:t xml:space="preserve">vicinity.  It is reported that Alva, being requested to give</w:t></w:r>
</w:p>
<w:p>
<w:pPr><w:pStyle w:val="Normal"/></w:pPr>
<w:r><w:t xml:space="preserve">an account of the money expended on that occasion, sternly</w:t></w:r>
</w:p>
<w:p>
<w:pPr><w:pStyle w:val="Normal"/></w:pPr>
<w:r><w:t xml:space="preserve">replied, ``If the king asks me for an account, I will make</w:t></w:r>
</w:p>
<w:p>
<w:pPr><w:pStyle w:val="Normal"/></w:pPr>
<w:r><w:t xml:space="preserve">him a statement of kingdoms preserved or conquered, of signal</w:t></w:r>
</w:p>
<w:p>
<w:pPr><w:pStyle w:val="Normal"/></w:pPr>
<w:r><w:t xml:space="preserve">victories, of successful sieges and of sixty years&apos; service.&apos;&apos;</w:t></w:r>
</w:p>
<w:p>
<w:pPr><w:pStyle w:val="Normal"/></w:pPr>
<w:r><w:t xml:space="preserve">Philip deemed it proper to make no further inquiries. Alva,</w:t></w:r>
</w:p>
<w:p>
<w:pPr><w:pStyle w:val="Normal"/></w:pPr>
<w:r><w:t xml:space="preserve">however, did not enjoy the honours and rewards of his last</w:t></w:r>
</w:p>
<w:p>
<w:pPr><w:pStyle w:val="Normal"/></w:pPr>
<w:r><w:t xml:space="preserve">expedition, for he died in January 1583 at the age of 74.</w:t></w:r>
</w:p>
<w:p>
<w:pPr><w:pStyle w:val="Normal"/></w:pPr>
<w:r><w:t xml:space="preserve">AUTHORITIES. -- See the Life, by Rustant (Madrid,</w:t></w:r>
</w:p>
<w:p>
<w:pPr><w:pStyle w:val="Normal"/></w:pPr>
<w:r><w:t xml:space="preserve">1751).  His correspondence during his Flemish government</w:t></w:r>
</w:p>
<w:p>
<w:pPr><w:pStyle w:val="Normal"/></w:pPr>
<w:r><w:t xml:space="preserve">has been published by M. Gachard (Brussels, 1850).  See</w:t></w:r>
</w:p>
<w:p>
<w:pPr><w:pStyle w:val="Normal"/></w:pPr>
<w:r><w:t xml:space="preserve">also Coleccion de documentos ineditos para la historial de</w:t></w:r>
</w:p>
<w:p>
<w:pPr><w:pStyle w:val="Normal"/></w:pPr>
<w:r><w:t xml:space="preserve">Espana, vols. iv., vii., viii., xiv., xaxii. and xxxv.</w:t></w:r>
</w:p>
<w:p>
<w:pPr><w:pStyle w:val="Normal"/></w:pPr>
<w:r><w:t xml:space="preserve">(Madrid); and Motley&apos;s Rise of the Dutch Republic (1856).</w:t></w:r>
</w:p>
<w:p>
<w:pPr><w:pStyle w:val="Normal"/></w:pPr>
<w:r><w:t xml:space="preserve">ALVA, a police burgh of Clackmannanshire, Scotland, 3 1/2 m.</w:t></w:r>
</w:p>
<w:p>
<w:pPr><w:pStyle w:val="Normal"/></w:pPr>
<w:r><w:t xml:space="preserve">N. of Alloa, terminus of a branch line of the North British</w:t></w:r>
</w:p>
<w:p>
<w:pPr><w:pStyle w:val="Normal"/></w:pPr>
<w:r><w:t xml:space="preserve">railway.  Pop. (1891) 5225; (1901) 4624.  It is situated at</w:t></w:r>
</w:p>
<w:p>
<w:pPr><w:pStyle w:val="Normal"/></w:pPr>
<w:r><w:t xml:space="preserve">the foot of three front peaks of the Ochils -- West Hill (1682</w:t></w:r>
</w:p>
<w:p>
<w:pPr><w:pStyle w:val="Normal"/></w:pPr>
<w:r><w:t xml:space="preserve">ft.), Middle Hill (1436 ft.) and Wood Hill (1723 ft.).  There</w:t></w:r>
</w:p>
<w:p>
<w:pPr><w:pStyle w:val="Normal"/></w:pPr>
<w:r><w:t xml:space="preserve">are spinning-mills, and manufactures of tweeds, tartans and</w:t></w:r>
</w:p>
<w:p>
<w:pPr><w:pStyle w:val="Normal"/></w:pPr>
<w:r><w:t xml:space="preserve">other woollen goods.  Silver, lead and other metals have been</w:t></w:r>
</w:p>
<w:p>
<w:pPr><w:pStyle w:val="Normal"/></w:pPr>
<w:r><w:t xml:space="preserve">found in the hills, but not in paying quantities.  The glen</w:t></w:r>
</w:p>
<w:p>
<w:pPr><w:pStyle w:val="Normal"/></w:pPr>
<w:r><w:t xml:space="preserve">to the east of the town, in which are abandoned workings,</w:t></w:r>
</w:p>
<w:p>
<w:pPr><w:pStyle w:val="Normal"/></w:pPr>
<w:r><w:t xml:space="preserve">is called the Silver Glen.  Alva House is the seat of the</w:t></w:r>
</w:p>
<w:p>
<w:pPr><w:pStyle w:val="Normal"/></w:pPr>
<w:r><w:t xml:space="preserve">Johnstones, a family which has been intimately connected</w:t></w:r>
</w:p>
<w:p>
<w:pPr><w:pStyle w:val="Normal"/></w:pPr>
<w:r><w:t xml:space="preserve">with the district since the latter half of the 18th century.</w:t></w:r>
</w:p>
<w:p>
<w:pPr><w:pStyle w:val="Normal"/></w:pPr>
<w:r><w:t xml:space="preserve">ALVARADO, PEDRO DE (1495-1541), one of the Spanish leaders</w:t></w:r>
</w:p>
<w:p>
<w:pPr><w:pStyle w:val="Normal"/></w:pPr>
<w:r><w:t xml:space="preserve">in the discovery and conquest of America, was born at Badajoz</w:t></w:r>
</w:p>
<w:p>
<w:pPr><w:pStyle w:val="Normal"/></w:pPr>
<w:r><w:t xml:space="preserve">about 1495.  He held a command in the expedition sent from</w:t></w:r>
</w:p>
<w:p>
<w:pPr><w:pStyle w:val="Normal"/></w:pPr>
<w:r><w:t xml:space="preserve">Cuba against Yucatan in the spring of 1518, and returned in</w:t></w:r>
</w:p>
<w:p>
<w:pPr><w:pStyle w:val="Normal"/></w:pPr>
<w:r><w:t xml:space="preserve">a few months, bearing reports of the wealth and splendour of</w:t></w:r>
</w:p>
<w:p>
<w:pPr><w:pStyle w:val="Normal"/></w:pPr>
<w:r><w:t xml:space="preserve">Montezuma&apos;s empire.  In February 1519 he accompanied Hernando</w:t></w:r>
</w:p>
<w:p>
<w:pPr><w:pStyle w:val="Normal"/></w:pPr>
<w:r><w:t xml:space="preserve">Cortes in the expedition for the conquest of Mexico, being</w:t></w:r>
</w:p>
<w:p>
<w:pPr><w:pStyle w:val="Normal"/></w:pPr>
<w:r><w:t xml:space="preserve">appointed to the command of one of the eleven vessels of the</w:t></w:r>
</w:p>
<w:p>
<w:pPr><w:pStyle w:val="Normal"/></w:pPr>
<w:r><w:t xml:space="preserve">fleet.  He acted as Cortes&apos;s principal officer, and on the</w:t></w:r>
</w:p>
<w:p>
<w:pPr><w:pStyle w:val="Normal"/></w:pPr>
<w:r><w:t xml:space="preserve">first occupation of the city of Mexico was left there in</w:t></w:r>
</w:p>
<w:p>
<w:pPr><w:pStyle w:val="Normal"/></w:pPr>
<w:r><w:t xml:space="preserve">charge.  When the Spaniards had temporarily to retire before</w:t></w:r>
</w:p>
<w:p>
<w:pPr><w:pStyle w:val="Normal"/></w:pPr>
<w:r><w:t xml:space="preserve">the Mexican uprising, Alvarado led the rear-guard (1st of</w:t></w:r>
</w:p>
<w:p>
<w:pPr><w:pStyle w:val="Normal"/></w:pPr>
<w:r><w:t xml:space="preserve">July 1520), and the Salto de Alvarado -- a long leap with</w:t></w:r>
</w:p>
<w:p>
<w:pPr><w:pStyle w:val="Normal"/></w:pPr>
<w:r><w:t xml:space="preserve">the use of his spear, by which he saved his life -- became</w:t></w:r>
</w:p>
<w:p>
<w:pPr><w:pStyle w:val="Normal"/></w:pPr>
<w:r><w:t xml:space="preserve">famous.  He was engaged (1523-24) in the conquest of</w:t></w:r>
</w:p>
<w:p>
<w:pPr><w:pStyle w:val="Normal"/></w:pPr>
<w:r><w:t xml:space="preserve">Guatemala, of which he was subsequently appointed governor</w:t></w:r>
</w:p>
<w:p>
<w:pPr><w:pStyle w:val="Normal"/></w:pPr>
<w:r><w:t xml:space="preserve">by Charles V. In 1534 he attempted to bring the province of</w:t></w:r>
</w:p>
<w:p>
<w:pPr><w:pStyle w:val="Normal"/></w:pPr>
<w:r><w:t xml:space="preserve">Quito under his power, but had to content himself with the</w:t></w:r>
</w:p>
<w:p>
<w:pPr><w:pStyle w:val="Normal"/></w:pPr>
<w:r><w:t xml:space="preserve">exaction of a pecuniary indemnity for the expenses of the</w:t></w:r>
</w:p>
<w:p>
<w:pPr><w:pStyle w:val="Normal"/></w:pPr>
<w:r><w:t xml:space="preserve">expedition.  During a visit to Spain, three years later,</w:t></w:r>
</w:p>
<w:p>
<w:pPr><w:pStyle w:val="Normal"/></w:pPr>
<w:r><w:t xml:space="preserve">he had the governorship of Honduras conferred upon him in</w:t></w:r>
</w:p>
<w:p>
<w:pPr><w:pStyle w:val="Normal"/></w:pPr>
<w:r><w:t xml:space="preserve">addition to that of Guatemala.  He died in Guatemala in 1541.</w:t></w:r>
</w:p>
<w:p>
<w:pPr><w:pStyle w:val="Normal"/></w:pPr>
<w:r><w:t xml:space="preserve">ALVAREZ, FRANCISCO (c. 1465-1541?), Portuguese missionary</w:t></w:r>
</w:p>
<w:p>
<w:pPr><w:pStyle w:val="Normal"/></w:pPr>
<w:r><w:t xml:space="preserve">and explorer, was born at Coimbra.  He was a chaplain-</w:t></w:r>
</w:p>
<w:p>
<w:pPr><w:pStyle w:val="Normal"/></w:pPr>
<w:r><w:t xml:space="preserve">priest and almoner to Dom Manuel, king of Portugal, and</w:t></w:r>
</w:p>
<w:p>
<w:pPr><w:pStyle w:val="Normal"/></w:pPr>
<w:r><w:t xml:space="preserve">was sent in 1515 as secretary to Duarte Galvao and Rodrigo</w:t></w:r>
</w:p>
<w:p>
<w:pPr><w:pStyle w:val="Normal"/></w:pPr>
<w:r><w:t xml:space="preserve">da Lima on an embassy to the negus of Abyssinia (Lebna</w:t></w:r>
</w:p>
<w:p>
<w:pPr><w:pStyle w:val="Normal"/></w:pPr>
<w:r><w:t xml:space="preserve">Dengel Dawit (David) II.).  The expedition having been</w:t></w:r>
</w:p>
<w:p>
<w:pPr><w:pStyle w:val="Normal"/></w:pPr>
<w:r><w:t xml:space="preserve">delayed by the way, it was not until 152O that he reached</w:t></w:r>
</w:p>
<w:p>
<w:pPr><w:pStyle w:val="Normal"/></w:pPr>
<w:r><w:t xml:space="preserve">Abyssinia, where he remained six years, returning to Lisbon in</w:t></w:r>
</w:p>
<w:p>
<w:pPr><w:pStyle w:val="Normal"/></w:pPr>
<w:r><w:t xml:space="preserve">1526-1527.  In 1533 he was sent to Rome on an embassy to</w:t></w:r>
</w:p>
<w:p>
<w:pPr><w:pStyle w:val="Normal"/></w:pPr>
<w:r><w:t xml:space="preserve">Pope Clement VII. The precise date of his death, like that</w:t></w:r>
</w:p>
<w:p>
<w:pPr><w:pStyle w:val="Normal"/></w:pPr>
<w:r><w:t xml:space="preserve">of his birth, is unknown, but it must have been later than</w:t></w:r>
</w:p>
<w:p>
<w:pPr><w:pStyle w:val="Normal"/></w:pPr>
<w:r><w:t xml:space="preserve">1540, in which year he published at Lisbon under the king&apos;s</w:t></w:r>
</w:p>
<w:p>
<w:pPr><w:pStyle w:val="Normal"/></w:pPr>
<w:r><w:t xml:space="preserve">patronage an account of his travels in one volume folio,</w:t></w:r>
</w:p>
<w:p>
<w:pPr><w:pStyle w:val="Normal"/></w:pPr>
<w:r><w:t xml:space="preserve">entitled Yerdadera Informacam das terras do Preste</w:t></w:r>
</w:p>
<w:p>
<w:pPr><w:pStyle w:val="Normal"/></w:pPr>
<w:r><w:t xml:space="preserve">Joam.  This curious work was translated into Italian (G.</w:t></w:r>
</w:p>
<w:p>
<w:pPr><w:pStyle w:val="Normal"/></w:pPr>
<w:r><w:t xml:space="preserve">B. Ramusio, Navagationi, vol. i., Venice, 1550); into</w:t></w:r>
</w:p>
<w:p>
<w:pPr><w:pStyle w:val="Normal"/></w:pPr>
<w:r><w:t xml:space="preserve">Spanish (Historia de las Cosas de Etiopia, by Fray Thomas de</w:t></w:r>
</w:p>
<w:p>
<w:pPr><w:pStyle w:val="Normal"/></w:pPr>
<w:r><w:t xml:space="preserve">Padilla, Antwerp, 1557); into French (Historiale Description</w:t></w:r>
</w:p>
<w:p>
<w:pPr><w:pStyle w:val="Normal"/></w:pPr>
<w:r><w:t xml:space="preserve">de l&apos;Ethiopie, Christ.  Plantin, Antwerp, 1558); into German</w:t></w:r>
</w:p>
<w:p>
<w:pPr><w:pStyle w:val="Normal"/></w:pPr>
<w:r><w:t xml:space="preserve">(Wahrhaftiger Bericht von ... Ethiopien, Eisieben, 1566);</w:t></w:r>
</w:p>
<w:p>
<w:pPr><w:pStyle w:val="Normal"/></w:pPr>
<w:r><w:t xml:space="preserve">into English (Sam.  Purchas, Pilgrimes, part ii., London,</w:t></w:r>
</w:p>
<w:p>
<w:pPr><w:pStyle w:val="Normal"/></w:pPr>
<w:r><w:t xml:space="preserve">1625). The information it contains must, however, be received</w:t></w:r>
</w:p>
<w:p>
<w:pPr><w:pStyle w:val="Normal"/></w:pPr>
<w:r><w:t xml:space="preserve">with caution, as the author is prone to exaggerate, and does</w:t></w:r>
</w:p>
<w:p>
<w:pPr><w:pStyle w:val="Normal"/></w:pPr>
<w:r><w:t xml:space="preserve">not confine himself to what came within his own observation.</w:t></w:r>
</w:p>
<w:p>
<w:pPr><w:pStyle w:val="Normal"/></w:pPr>
<w:r><w:t xml:space="preserve">ALVAREZ, DON JOSE (1768-1827), Spanish sculptor, was born</w:t></w:r>
</w:p>
<w:p>
<w:pPr><w:pStyle w:val="Normal"/></w:pPr>
<w:r><w:t xml:space="preserve">at Priego, in the province of Cordova, in 1768.  His full</w:t></w:r>
</w:p>
<w:p>
<w:pPr><w:pStyle w:val="Normal"/></w:pPr>
<w:r><w:t xml:space="preserve">name was Jose Alvarez de Pereira y Cubero.  Bred to his</w:t></w:r>
</w:p>
<w:p>
<w:pPr><w:pStyle w:val="Normal"/></w:pPr>
<w:r><w:t xml:space="preserve">father&apos;s trade of a stone-mason, he devoted all his spare</w:t></w:r>
</w:p>
<w:p>
<w:pPr><w:pStyle w:val="Normal"/></w:pPr>
<w:r><w:t xml:space="preserve">time to drawing and modelling.  His education in art was due</w:t></w:r>
</w:p>
<w:p>
<w:pPr><w:pStyle w:val="Normal"/></w:pPr>
<w:r><w:t xml:space="preserve">partly to the teaching of the French sculptor Verdiguier at</w:t></w:r>
</w:p>
<w:p>
<w:pPr><w:pStyle w:val="Normal"/></w:pPr>
<w:r><w:t xml:space="preserve">Cordova, and partly to lessons at Madrid, where he attended</w:t></w:r>
</w:p>
<w:p>
<w:pPr><w:pStyle w:val="Normal"/></w:pPr>
<w:r><w:t xml:space="preserve">the lectures of the academy of San Fernando.  In 1799 he</w:t></w:r>
</w:p>
<w:p>
<w:pPr><w:pStyle w:val="Normal"/></w:pPr>
<w:r><w:t xml:space="preserve">obtained from Charles IV. a pension of 12,000 reals to enable</w:t></w:r>
</w:p>
<w:p>
<w:pPr><w:pStyle w:val="Normal"/></w:pPr>
<w:r><w:t xml:space="preserve">him to visit Paris and Rome.  In the former city he executed</w:t></w:r>
</w:p>
<w:p>
<w:pPr><w:pStyle w:val="Normal"/></w:pPr>
<w:r><w:t xml:space="preserve">in 1804 a statue of Ganymede, which placed him at once in the</w:t></w:r>
</w:p>
<w:p>
<w:pPr><w:pStyle w:val="Normal"/></w:pPr>
<w:r><w:t xml:space="preserve">front rank of the sculptors of his time, and which is now in</w:t></w:r>
</w:p>
<w:p>
<w:pPr><w:pStyle w:val="Normal"/></w:pPr>
<w:r><w:t xml:space="preserve">the sculpture gallery of the Prado.  Shortly afterwards his</w:t></w:r>
</w:p>
<w:p>
<w:pPr><w:pStyle w:val="Normal"/></w:pPr>
<w:r><w:t xml:space="preserve">pension was more than doubled, and he left Paris for Rome,</w:t></w:r>
</w:p>
<w:p>
<w:pPr><w:pStyle w:val="Normal"/></w:pPr>
<w:r><w:t xml:space="preserve">where he remained till within a year of his death.  He had</w:t></w:r>
</w:p>
<w:p>
<w:pPr><w:pStyle w:val="Normal"/></w:pPr>
<w:r><w:t xml:space="preserve">married in Paris Elizabeth Bougel, by whom he had a son in</w:t></w:r>
</w:p>
<w:p>
<w:pPr><w:pStyle w:val="Normal"/></w:pPr>
<w:r><w:t xml:space="preserve">1805.  This son, known as Don Jose Alvarez y Bougel, also</w:t></w:r>
</w:p>
<w:p>
<w:pPr><w:pStyle w:val="Normal"/></w:pPr>
<w:r><w:t xml:space="preserve">distinguished himself as a sculptor and a painter, but he</w:t></w:r>
</w:p>
<w:p>
<w:pPr><w:pStyle w:val="Normal"/></w:pPr>
<w:r><w:t xml:space="preserve">died at Burgos before he had reached the age of twenty-five,</w:t></w:r>
</w:p>
<w:p>
<w:pPr><w:pStyle w:val="Normal"/></w:pPr>
<w:r><w:t xml:space="preserve">a little more than two years after his father&apos;s death in</w:t></w:r>
</w:p>
<w:p>
<w:pPr><w:pStyle w:val="Normal"/></w:pPr>
<w:r><w:t xml:space="preserve">Madrid in 1827.  One of the most successful works of the</w:t></w:r>
</w:p>
<w:p>
<w:pPr><w:pStyle w:val="Normal"/></w:pPr>
<w:r><w:t xml:space="preserve">elder Alvarez was a group representing Antilochus and Memnon,</w:t></w:r>
</w:p>
<w:p>
<w:pPr><w:pStyle w:val="Normal"/></w:pPr>
<w:r><w:t xml:space="preserve">which was commissioned in marble (1818) by Ferdinand VII.,</w:t></w:r>
</w:p>
<w:p>
<w:pPr><w:pStyle w:val="Normal"/></w:pPr>
<w:r><w:t xml:space="preserve">and secured for the artist the appointment of court-sculptor.</w:t></w:r>
</w:p>
<w:p>
<w:pPr><w:pStyle w:val="Normal"/></w:pPr>
<w:r><w:t xml:space="preserve">It is now in the museum of Madrid.  He also modelled a few</w:t></w:r>
</w:p>
<w:p>
<w:pPr><w:pStyle w:val="Normal"/></w:pPr>
<w:r><w:t xml:space="preserve">portrait busts (Ferdinand VII., Rossini, the duchess of</w:t></w:r>
</w:p>
<w:p>
<w:pPr><w:pStyle w:val="Normal"/></w:pPr>
<w:r><w:t xml:space="preserve">Alba), which are remarkable for their vigour and fidelity.</w:t></w:r>
</w:p>
<w:p>
<w:pPr><w:pStyle w:val="Normal"/></w:pPr>
<w:r><w:t xml:space="preserve">ALVAREZ, DON MANUEL (1727--1797), Spanish sculptor, was born at</w:t></w:r>
</w:p>
<w:p>
<w:pPr><w:pStyle w:val="Normal"/></w:pPr>
<w:r><w:t xml:space="preserve">Salamanca.  He followed classical models so closely that he was</w:t></w:r>
</w:p>
<w:p>
<w:pPr><w:pStyle w:val="Normal"/></w:pPr>
<w:r><w:t xml:space="preserve">styled by his countrymen El Griego, ``The Greek.&apos;&apos; His works,</w:t></w:r>
</w:p>
<w:p>
<w:pPr><w:pStyle w:val="Normal"/></w:pPr>
<w:r><w:t xml:space="preserve">which are very numerous, are chiefly to be found at Madrid.</w:t></w:r>
</w:p>
<w:p>
<w:pPr><w:pStyle w:val="Normal"/></w:pPr>
<w:r><w:t xml:space="preserve">ALVARY, MAX (1858-1898), German singer, was born at</w:t></w:r>
</w:p>
<w:p>
<w:pPr><w:pStyle w:val="Normal"/></w:pPr>
<w:r><w:t xml:space="preserve">Dusseldorf.  Gifted with a fine tenor voice and handsome</w:t></w:r>
</w:p>
<w:p>
<w:pPr><w:pStyle w:val="Normal"/></w:pPr>
<w:r><w:t xml:space="preserve">presence he speedily made a reputation in Germany in</w:t></w:r>
</w:p>
<w:p>
<w:pPr><w:pStyle w:val="Normal"/></w:pPr>
<w:r><w:t xml:space="preserve">the leading roles in Wagnerian opera, and from 1885</w:t></w:r>
</w:p>
<w:p>
<w:pPr><w:pStyle w:val="Normal"/></w:pPr>
<w:r><w:t xml:space="preserve">onwards appeared also in America and England.  He was at</w:t></w:r>
</w:p>
<w:p>
<w:pPr><w:pStyle w:val="Normal"/></w:pPr>
<w:r><w:t xml:space="preserve">his best in 1892, when his performances as Tristan and</w:t></w:r>
</w:p>
<w:p>
<w:pPr><w:pStyle w:val="Normal"/></w:pPr>
<w:r><w:t xml:space="preserve">Siegfried at Covent Garden aroused great enthusiasm.</w:t></w:r>
</w:p>
<w:p>
<w:pPr><w:pStyle w:val="Normal"/></w:pPr>
<w:r><w:t xml:space="preserve">ALVEARY (from the Lat. alvearium), a beehive; used, like</w:t></w:r>
</w:p>
<w:p>
<w:pPr><w:pStyle w:val="Normal"/></w:pPr>
<w:r><w:t xml:space="preserve">apiarium in the same sense, figuratively for a collection of</w:t></w:r>
</w:p>
<w:p>
<w:pPr><w:pStyle w:val="Normal"/></w:pPr>
<w:r><w:t xml:space="preserve">hard-working people, or a scholarly work (e.g. dictionary)</w:t></w:r>
</w:p>
<w:p>
<w:pPr><w:pStyle w:val="Normal"/></w:pPr>
<w:r><w:t xml:space="preserve">involving bee-like industry.  By analogy the term is</w:t></w:r>
</w:p>
<w:p>
<w:pPr><w:pStyle w:val="Normal"/></w:pPr>
<w:r><w:t xml:space="preserve">used for the hollow of the ear, where the wax collects.</w:t></w:r>
</w:p>
<w:p>
<w:pPr><w:pStyle w:val="Normal"/></w:pPr>
<w:r><w:t xml:space="preserve">ALVENSLEBEN, CONSTANTIN VON (1809-1892), Prussian general,</w:t></w:r>
</w:p>
<w:p>
<w:pPr><w:pStyle w:val="Normal"/></w:pPr>
<w:r><w:t xml:space="preserve">was born on the 26th of August 1809 at Eichenbarleben in</w:t></w:r>
</w:p>
<w:p>
<w:pPr><w:pStyle w:val="Normal"/></w:pPr>
<w:r><w:t xml:space="preserve">Prussian Saxony, and entered the Prussian guards from the</w:t></w:r>
</w:p>
<w:p>
<w:pPr><w:pStyle w:val="Normal"/></w:pPr>
<w:r><w:t xml:space="preserve">cadet corps in 1827.  He became first lieutenant in 1842,</w:t></w:r>
</w:p>
<w:p>
<w:pPr><w:pStyle w:val="Normal"/></w:pPr>
<w:r><w:t xml:space="preserve">captain in 1849, and major on the Great General Staff in</w:t></w:r>
</w:p>
<w:p>
<w:pPr><w:pStyle w:val="Normal"/></w:pPr>
<w:r><w:t xml:space="preserve">1853, whence after seven years he went to the Ministry of</w:t></w:r>
</w:p>
<w:p>
<w:pPr><w:pStyle w:val="Normal"/></w:pPr>
<w:r><w:t xml:space="preserve">War. He was soon afterwards promoted colonel, and commanded</w:t></w:r>
</w:p>
<w:p>
<w:pPr><w:pStyle w:val="Normal"/></w:pPr>
<w:r><w:t xml:space="preserve">a regiment of Guard infantry up to 1864, when he became a</w:t></w:r>
</w:p>
<w:p>
<w:pPr><w:pStyle w:val="Normal"/></w:pPr>
<w:r><w:t xml:space="preserve">major-general. In this rank he commanded a brigade of guards</w:t></w:r>
</w:p>
<w:p>
<w:pPr><w:pStyle w:val="Normal"/></w:pPr>
<w:r><w:t xml:space="preserve">in the war of 1866.  At the action of Soor (Burkersdorf)</w:t></w:r>
</w:p>
<w:p>
<w:pPr><w:pStyle w:val="Normal"/></w:pPr>
<w:r><w:t xml:space="preserve">on the 28th of June he distinguished himself very greatly,</w:t></w:r>
</w:p>
<w:p>
<w:pPr><w:pStyle w:val="Normal"/></w:pPr>
<w:r><w:t xml:space="preserve">and at Koniggratz, where he led the advanced guard of</w:t></w:r>
</w:p>
<w:p>
<w:pPr><w:pStyle w:val="Normal"/></w:pPr>
<w:r><w:t xml:space="preserve">the Guard corps, his energy and initiative were still more</w:t></w:r>
</w:p>
<w:p>
<w:pPr><w:pStyle w:val="Normal"/></w:pPr>
<w:r><w:t xml:space="preserve">conspicuous.  Soon afterwards he succeeded to the command</w:t></w:r>
</w:p>
<w:p>
<w:pPr><w:pStyle w:val="Normal"/></w:pPr>
<w:r><w:t xml:space="preserve">of his division, General Hiller v. Gartringen having</w:t></w:r>
</w:p>
<w:p>
<w:pPr><w:pStyle w:val="Normal"/></w:pPr>
<w:r><w:t xml:space="preserve">fallen in the battle; he was promoted lieutenant-general,</w:t></w:r>
</w:p>
<w:p>
<w:pPr><w:pStyle w:val="Normal"/></w:pPr>
<w:r><w:t xml:space="preserve">and retained this command after the conclusion of peace,</w:t></w:r>
</w:p>
<w:p>
<w:pPr><w:pStyle w:val="Normal"/></w:pPr>
<w:r><w:t xml:space="preserve">receiving in addition the order pour le merite for his</w:t></w:r>
</w:p>
<w:p>
<w:pPr><w:pStyle w:val="Normal"/></w:pPr>
<w:r><w:t xml:space="preserve">services.  In 1870, on the outbreak of war with France, von</w:t></w:r>
</w:p>
<w:p>
<w:pPr><w:pStyle w:val="Normal"/></w:pPr>
<w:r><w:t xml:space="preserve">Alvensleben succeeded Prince Frederick Charles in command</w:t></w:r>
</w:p>
<w:p>
<w:pPr><w:pStyle w:val="Normal"/></w:pPr>
<w:r><w:t xml:space="preserve">of the III army corps which formed part of the II German</w:t></w:r>
</w:p>
<w:p>
<w:pPr><w:pStyle w:val="Normal"/></w:pPr>
<w:r><w:t xml:space="preserve">Army commanded by the prince.  Under their new general, the</w:t></w:r>
</w:p>
<w:p>
<w:pPr><w:pStyle w:val="Normal"/></w:pPr>
<w:r><w:t xml:space="preserve">Brandenburg regiments forming the III corps proved themselves</w:t></w:r>
</w:p>
<w:p>
<w:pPr><w:pStyle w:val="Normal"/></w:pPr>
<w:r><w:t xml:space="preserve">collectively the best in the whole German army, with the</w:t></w:r>
</w:p>
<w:p>
<w:pPr><w:pStyle w:val="Normal"/></w:pPr>
<w:r><w:t xml:space="preserve">possible exception of the Prussian guards, and, if Prince</w:t></w:r>
</w:p>
<w:p>
<w:pPr><w:pStyle w:val="Normal"/></w:pPr>
<w:r><w:t xml:space="preserve">Frederick Charles is entitled to the chief credit in training</w:t></w:r>
</w:p>
<w:p>
<w:pPr><w:pStyle w:val="Normal"/></w:pPr>
<w:r><w:t xml:space="preserve">the III corps, Alvensleben had contributed in almost equal</w:t></w:r>
</w:p>
<w:p>
<w:pPr><w:pStyle w:val="Normal"/></w:pPr>
<w:r><w:t xml:space="preserve">degree to the efficiency of the Guard infantry, while his</w:t></w:r>
</w:p>
<w:p>
<w:pPr><w:pStyle w:val="Normal"/></w:pPr>
<w:r><w:t xml:space="preserve">actual leadership of the III corps in the battles of 1870 and</w:t></w:r>
</w:p>
<w:p>
<w:pPr><w:pStyle w:val="Normal"/></w:pPr>
<w:r><w:t xml:space="preserve">1871 showed him afresh as a fighting general of the very first</w:t></w:r>
</w:p>
<w:p>
<w:pPr><w:pStyle w:val="Normal"/></w:pPr>
<w:r><w:t xml:space="preserve">rank.  The battle of Spicheren, on the 6th of August, was</w:t></w:r>
</w:p>
<w:p>
<w:pPr><w:pStyle w:val="Normal"/></w:pPr>
<w:r><w:t xml:space="preserve">initiated and practically directed throughout by him, and</w:t></w:r>
</w:p>
<w:p>
<w:pPr><w:pStyle w:val="Normal"/></w:pPr>
<w:r><w:t xml:space="preserve">in the confusion which followed this victory, for which the</w:t></w:r>
</w:p>
<w:p>
<w:pPr><w:pStyle w:val="Normal"/></w:pPr>
<w:r><w:t xml:space="preserve">superior commanders were not prepared, Alvensleben showed his</w:t></w:r>
</w:p>
<w:p>
<w:pPr><w:pStyle w:val="Normal"/></w:pPr>
<w:r><w:t xml:space="preserve">energy and determination by resuming the advance on his own</w:t></w:r>
</w:p>
<w:p>
<w:pPr><w:pStyle w:val="Normal"/></w:pPr>
<w:r><w:t xml:space="preserve">responsibility.  This led to the great battles of the 14th,</w:t></w:r>
</w:p>
<w:p>
<w:pPr><w:pStyle w:val="Normal"/></w:pPr>
<w:r><w:t xml:space="preserve">16th and 18th of August around Metz, and again the III corps</w:t></w:r>
</w:p>
<w:p>
<w:pPr><w:pStyle w:val="Normal"/></w:pPr>
<w:r><w:t xml:space="preserve">was destined, under its resolute leader, to win the chief</w:t></w:r>
</w:p>
<w:p>
<w:pPr><w:pStyle w:val="Normal"/></w:pPr>
<w:r><w:t xml:space="preserve">credit.  Crossing the Moselle the instant that he received</w:t></w:r>
</w:p>
<w:p>
<w:pPr><w:pStyle w:val="Normal"/></w:pPr>
<w:r><w:t xml:space="preserve">permission from his army commander to do so, Alvensleben</w:t></w:r>
</w:p>
<w:p>
<w:pPr><w:pStyle w:val="Normal"/></w:pPr>
<w:r><w:t xml:space="preserve">struck the flank of Bazaine&apos;s whole army (August 16th) in</w:t></w:r>
</w:p>
<w:p>
<w:pPr><w:pStyle w:val="Normal"/></w:pPr>
<w:r><w:t xml:space="preserve">movement westward from Metz.  The III corps attacked at once,</w:t></w:r>
</w:p>
<w:p>
<w:pPr><w:pStyle w:val="Normal"/></w:pPr>
<w:r><w:t xml:space="preserve">and for many hours bore the whole brunt of the battle at</w:t></w:r>
</w:p>
<w:p>
<w:pPr><w:pStyle w:val="Normal"/></w:pPr>
<w:r><w:t xml:space="preserve">Vionville.  By the most resolute leading, and at the cost</w:t></w:r>
</w:p>
<w:p>
<w:pPr><w:pStyle w:val="Normal"/></w:pPr>
<w:r><w:t xml:space="preserve">of very heavy losses, Alvensleben held the whole French</w:t></w:r>
</w:p>
<w:p>
<w:pPr><w:pStyle w:val="Normal"/></w:pPr>
<w:r><w:t xml:space="preserve">army at bay while other corps of the I and II German Armies</w:t></w:r>
</w:p>
<w:p>
<w:pPr><w:pStyle w:val="Normal"/></w:pPr>
<w:r><w:t xml:space="preserve">gradually closed up.  In the battle of Gravelotte, on the</w:t></w:r>
</w:p>
<w:p>
<w:pPr><w:pStyle w:val="Normal"/></w:pPr>
<w:r><w:t xml:space="preserve">18th, the corps took little part.  Its work was done, and it</w:t></w:r>
</w:p>
<w:p>
<w:pPr><w:pStyle w:val="Normal"/></w:pPr>
<w:r><w:t xml:space="preserve">remained with the II Army before Metz until the surrender of</w:t></w:r>
</w:p>
<w:p>
<w:pPr><w:pStyle w:val="Normal"/></w:pPr>
<w:r><w:t xml:space="preserve">Bazaine&apos;s army. Prince Frederick Charles then moved south-west</w:t></w:r>
</w:p>
<w:p>
<w:pPr><w:pStyle w:val="Normal"/></w:pPr>
<w:r><w:t xml:space="preserve">to co-operate with the grand-duke of Mecklenburg on the</w:t></w:r>
</w:p>
<w:p>
<w:pPr><w:pStyle w:val="Normal"/></w:pPr>
<w:r><w:t xml:space="preserve">Loire.  At the battle of Beaune-la-Rolande, the corps,</w:t></w:r>
</w:p>
<w:p>
<w:pPr><w:pStyle w:val="Normal"/></w:pPr>
<w:r><w:t xml:space="preserve">with its comrades of Vionville, the X corps under General</w:t></w:r>
</w:p>
<w:p>
<w:pPr><w:pStyle w:val="Normal"/></w:pPr>
<w:r><w:t xml:space="preserve">v.  Voigts-Rhetz, won new laurels, and it participated in</w:t></w:r>
</w:p>
<w:p>
<w:pPr><w:pStyle w:val="Normal"/></w:pPr>
<w:r><w:t xml:space="preserve">the advance on Le Mans and the battle at that place on the</w:t></w:r>
</w:p>
<w:p>
<w:pPr><w:pStyle w:val="Normal"/></w:pPr>
<w:r><w:t xml:space="preserve">12th of January 1871.  At the close of the war Alvensleben</w:t></w:r>
</w:p>
<w:p>
<w:pPr><w:pStyle w:val="Normal"/></w:pPr>
<w:r><w:t xml:space="preserve">received the oak-leaves of the order pour le merite,</w:t></w:r>
</w:p>
<w:p>
<w:pPr><w:pStyle w:val="Normal"/></w:pPr>
<w:r><w:t xml:space="preserve">the first class of the Iron Cross and a grant of 100,000</w:t></w:r>
</w:p>
<w:p>
<w:pPr><w:pStyle w:val="Normal"/></w:pPr>
<w:r><w:t xml:space="preserve">thalers.  He became full general of infantry in 1873 and</w:t></w:r>
</w:p>
<w:p>
<w:pPr><w:pStyle w:val="Normal"/></w:pPr>
<w:r><w:t xml:space="preserve">retired immediately afterwards.  In 1889 the emperor William</w:t></w:r>
</w:p>
<w:p>
<w:pPr><w:pStyle w:val="Heading1"/></w:pPr>
<w:r><w:t>II. ordered that the 52nd infantry regiment (one of the</w:t></w:r>
</w:p>
<w:p>
<w:pPr><w:pStyle w:val="Normal"/></w:pPr>
<w:r><w:t xml:space="preserve">distinguished regiments of Vionville) should thereafter bear</w:t></w:r>
</w:p>
<w:p>
<w:pPr><w:pStyle w:val="Normal"/></w:pPr>
<w:r><w:t xml:space="preserve">Alvensleben&apos;s name, and in 1892, on the anniversary of the</w:t></w:r>
</w:p>
<w:p>
<w:pPr><w:pStyle w:val="Normal"/></w:pPr>
<w:r><w:t xml:space="preserve">battle of Le Mans, the old general received the order of the</w:t></w:r>
</w:p>
<w:p>
<w:pPr><w:pStyle w:val="Normal"/></w:pPr>
<w:r><w:t xml:space="preserve">Black Eagle. He died on the 28th of March 1892 at Berlin.</w:t></w:r>
</w:p>
<w:p>
<w:pPr><w:pStyle w:val="Normal"/></w:pPr>
<w:r><w:t xml:space="preserve">His brother, GUSTAV VON ALVENSLEBEN (1803-1881), Prussian</w:t></w:r>
</w:p>
<w:p>
<w:pPr><w:pStyle w:val="Normal"/></w:pPr>
<w:r><w:t xml:space="preserve">general of infantry, was born at Eichenbarleben on the 30th of</w:t></w:r>
</w:p>
<w:p>
<w:pPr><w:pStyle w:val="Normal"/></w:pPr>
<w:r><w:t xml:space="preserve">September 1803, entered the Guard infantry in 1821, and took</w:t></w:r>
</w:p>
<w:p>
<w:pPr><w:pStyle w:val="Heading1"/></w:pPr>
<w:r><w:t>part as a general staff officer in the suppression of the Baden</w:t></w:r>
</w:p>
<w:p>
<w:pPr><w:pStyle w:val="Normal"/></w:pPr>
<w:r><w:t xml:space="preserve">insurrection of 1849.  He became a major-general in 1858,</w:t></w:r>
</w:p>
<w:p>
<w:pPr><w:pStyle w:val="Normal"/></w:pPr>
<w:r><w:t xml:space="preserve">aide-de-camp to the king in 1861, and lieutenant-general in</w:t></w:r>
</w:p>
<w:p>
<w:pPr><w:pStyle w:val="Normal"/></w:pPr>
<w:r><w:t xml:space="preserve">1863, and in the campaign of 1866 performed valuable military</w:t></w:r>
</w:p>
<w:p>
<w:pPr><w:pStyle w:val="Normal"/></w:pPr>
<w:r><w:t xml:space="preserve">and political services.  He was promoted general of infantry in</w:t></w:r>
</w:p>
<w:p>
<w:pPr><w:pStyle w:val="Normal"/></w:pPr>
<w:r><w:t xml:space="preserve">1868.  In the war of 1870 he commanded the IV army corps,</w:t></w:r>
</w:p>
<w:p>
<w:pPr><w:pStyle w:val="Normal"/></w:pPr>
<w:r><w:t xml:space="preserve">which took a conspicuous part in the action of Beaumont</w:t></w:r>
</w:p>
<w:p>
<w:pPr><w:pStyle w:val="Normal"/></w:pPr>
<w:r><w:t xml:space="preserve">and afterwards served in the siege of Paris.  He received</w:t></w:r>
</w:p>
<w:p>
<w:pPr><w:pStyle w:val="Normal"/></w:pPr>
<w:r><w:t xml:space="preserve">the Iron Cross, the order pour le merite, and a money</w:t></w:r>
</w:p>
<w:p>
<w:pPr><w:pStyle w:val="Normal"/></w:pPr>
<w:r><w:t xml:space="preserve">grant, as a reward for his services, and retired in 1872.</w:t></w:r>
</w:p>
<w:p>
<w:pPr><w:pStyle w:val="Normal"/></w:pPr>
<w:r><w:t xml:space="preserve">He died at Gernrode in the Harz on the 30th of June 1881.</w:t></w:r>
</w:p>
<w:p>
<w:pPr><w:pStyle w:val="Normal"/></w:pPr>
<w:r><w:t xml:space="preserve">Another brother, ALBRECHT, COUNT von ALVENSLEBEN</w:t></w:r>
</w:p>
<w:p>
<w:pPr><w:pStyle w:val="Normal"/></w:pPr>
<w:r><w:t xml:space="preserve">(1794- 1858), was a distinguished Prussian statesman.</w:t></w:r>
</w:p>
<w:p>
<w:pPr><w:pStyle w:val="Normal"/></w:pPr>
<w:r><w:t xml:space="preserve">ALVEOLATE (from Lat. alveolus), honeycombed, a word used</w:t></w:r>
</w:p>
<w:p>
<w:pPr><w:pStyle w:val="Normal"/></w:pPr>
<w:r><w:t xml:space="preserve">technically in biology, &amp;c., to mean pitted like a honeycomb.</w:t></w:r>
</w:p>
<w:p>
<w:pPr><w:pStyle w:val="Normal"/></w:pPr>
<w:r><w:t xml:space="preserve">ALVERSTONE, RICHARD EVERARD WEBSTER, IST BARON (1842-</w:t></w:r>
</w:p>
<w:p>
<w:pPr><w:pStyle w:val="Normal"/></w:pPr>
<w:r><w:t xml:space="preserve">), lord chief justice of England, was born on the 22nd</w:t></w:r>
</w:p>
<w:p>
<w:pPr><w:pStyle w:val="Normal"/></w:pPr>
<w:r><w:t xml:space="preserve">of December 1842, being the second son of Thomas Webster,</w:t></w:r>
</w:p>
<w:p>
<w:pPr><w:pStyle w:val="Normal"/></w:pPr>
<w:r><w:t xml:space="preserve">Q.C. He was educated at King&apos;s College and Charterhouse</w:t></w:r>
</w:p>
<w:p>
<w:pPr><w:pStyle w:val="Normal"/></w:pPr>
<w:r><w:t xml:space="preserve">schools, and Trinity College, Cambridge; was called to the</w:t></w:r>
</w:p>
<w:p>
<w:pPr><w:pStyle w:val="Normal"/></w:pPr>
<w:r><w:t xml:space="preserve">bar in 1868, and became Q.C. only ten years afterwards. His</w:t></w:r>
</w:p>
<w:p>
<w:pPr><w:pStyle w:val="Normal"/></w:pPr>
<w:r><w:t xml:space="preserve">practice was chiefly in commercial, railway and patent cases</w:t></w:r>
</w:p>
<w:p>
<w:pPr><w:pStyle w:val="Normal"/></w:pPr>
<w:r><w:t xml:space="preserve">until (June 1885) he was appointed attorney-general in the</w:t></w:r>
</w:p>
<w:p>
<w:pPr><w:pStyle w:val="Normal"/></w:pPr>
<w:r><w:t xml:space="preserve">Conservative Government in the exceptional circumstances</w:t></w:r>
</w:p>
<w:p>
<w:pPr><w:pStyle w:val="Normal"/></w:pPr>
<w:r><w:t xml:space="preserve">of never having been solicitor-general, and not at the time</w:t></w:r>
</w:p>
<w:p>
<w:pPr><w:pStyle w:val="Normal"/></w:pPr>
<w:r><w:t xml:space="preserve">occupying a seat in parliament.  He was elected for Launceston</w:t></w:r>
</w:p>
<w:p>
<w:pPr><w:pStyle w:val="Normal"/></w:pPr>
<w:r><w:t xml:space="preserve">in the following month, and in November exchanged this seat</w:t></w:r>
</w:p>
<w:p>
<w:pPr><w:pStyle w:val="Normal"/></w:pPr>
<w:r><w:t xml:space="preserve">for the Isle of Wight, which he continued to represent until</w:t></w:r>
</w:p>
<w:p>
<w:pPr><w:pStyle w:val="Normal"/></w:pPr>
<w:r><w:t xml:space="preserve">his elevation to the House of Lords.  Except under the brief</w:t></w:r>
</w:p>
<w:p>
<w:pPr><w:pStyle w:val="Normal"/></w:pPr>
<w:r><w:t xml:space="preserve">Gladstone administration of 1886, and the Gladstone-Rosebery</w:t></w:r>
</w:p>
<w:p>
<w:pPr><w:pStyle w:val="Normal"/></w:pPr>
<w:r><w:t xml:space="preserve">cabinet of 1892-1895, Sir Richard Webster was attorney-general</w:t></w:r>
</w:p>
<w:p>
<w:pPr><w:pStyle w:val="Normal"/></w:pPr>
<w:r><w:t xml:space="preserve">from 1885 to 1900.  In 1890 he was leading counsel for The</w:t></w:r>
</w:p>
<w:p>
<w:pPr><w:pStyle w:val="Normal"/></w:pPr>
<w:r><w:t xml:space="preserve">Times in the Parnell inquiry; in 1893 he represented Great</w:t></w:r>
</w:p>
<w:p>
<w:pPr><w:pStyle w:val="Normal"/></w:pPr>
<w:r><w:t xml:space="preserve">Britain in the Bering Sea arbitration; in 1898 he discharged</w:t></w:r>
</w:p>
<w:p>
<w:pPr><w:pStyle w:val="Normal"/></w:pPr>
<w:r><w:t xml:space="preserve">the same function in the matter of the boundary between</w:t></w:r>
</w:p>
<w:p>
<w:pPr><w:pStyle w:val="Normal"/></w:pPr>
<w:r><w:t xml:space="preserve">British Guiana and Venezuela; and in 1903 was one of the</w:t></w:r>
</w:p>
<w:p>
<w:pPr><w:pStyle w:val="Normal"/></w:pPr>
<w:r><w:t xml:space="preserve">members of the Alaska Boundary Commission.  He was well</w:t></w:r>
</w:p>
<w:p>
<w:pPr><w:pStyle w:val="Normal"/></w:pPr>
<w:r><w:t xml:space="preserve">known as an athlete in his earlier years, having represented</w:t></w:r>
</w:p>
<w:p>
<w:pPr><w:pStyle w:val="Normal"/></w:pPr>
<w:r><w:t xml:space="preserve">his university as a runner, and his interest in cricket</w:t></w:r>
</w:p>
<w:p>
<w:pPr><w:pStyle w:val="Normal"/></w:pPr>
<w:r><w:t xml:space="preserve">and foot-racing was kept up in later life.  In the House of</w:t></w:r>
</w:p>
<w:p>
<w:pPr><w:pStyle w:val="Normal"/></w:pPr>
<w:r><w:t xml:space="preserve">Commons, and outside it, he was throughout his political</w:t></w:r>
</w:p>
<w:p>
<w:pPr><w:pStyle w:val="Normal"/></w:pPr>
<w:r><w:t xml:space="preserve">career prominently associated with church work; and his</w:t></w:r>
</w:p>
<w:p>
<w:pPr><w:pStyle w:val="Normal"/></w:pPr>
<w:r><w:t xml:space="preserve">speeches were distinguished for gravity and earnestness.</w:t></w:r>
</w:p>
<w:p>
<w:pPr><w:pStyle w:val="Normal"/></w:pPr>
<w:r><w:t xml:space="preserve">In 1900 he succeeded Sir Nathaniel Lindley as Master of the</w:t></w:r>
</w:p>
<w:p>
<w:pPr><w:pStyle w:val="Normal"/></w:pPr>
<w:r><w:t xml:space="preserve">Rolls, being raised to the peerage as Baron Alverstone, and</w:t></w:r>
</w:p>
<w:p>
<w:pPr><w:pStyle w:val="Normal"/></w:pPr>
<w:r><w:t xml:space="preserve">in October of the same year he was elevated to the office of</w:t></w:r>
</w:p>
<w:p>
<w:pPr><w:pStyle w:val="Normal"/></w:pPr>
<w:r><w:t xml:space="preserve">lord chief justice upon the death of Lord Russell of Killowen.</w:t></w:r>
</w:p>
<w:p>
<w:pPr><w:pStyle w:val="Normal"/></w:pPr>
<w:r><w:t xml:space="preserve">ALWAR, or ULWAR, a native state of India in the Rajputana</w:t></w:r>
</w:p>
<w:p>
<w:pPr><w:pStyle w:val="Normal"/></w:pPr>
<w:r><w:t xml:space="preserve">agency.  It is bounded on the E. by the state of Bharatpur</w:t></w:r>
</w:p>
<w:p>
<w:pPr><w:pStyle w:val="Normal"/></w:pPr>
<w:r><w:t xml:space="preserve">and the British district of Gurgaon, on the N. by Gurgaon</w:t></w:r>
</w:p>
<w:p>
<w:pPr><w:pStyle w:val="Normal"/></w:pPr>
<w:r><w:t xml:space="preserve">district and the state of Patiala, on the W. by the</w:t></w:r>
</w:p>
<w:p>
<w:pPr><w:pStyle w:val="Normal"/></w:pPr>
<w:r><w:t xml:space="preserve">states of Nabha and Jaipur, and on the S. by the state of</w:t></w:r>
</w:p>
<w:p>
<w:pPr><w:pStyle w:val="Normal"/></w:pPr>
<w:r><w:t xml:space="preserve">Jaipur.  Its configuration is irregular, the greatest length</w:t></w:r>
</w:p>
<w:p>
<w:pPr><w:pStyle w:val="Normal"/></w:pPr>
<w:r><w:t xml:space="preserve">from north to south being about 80 m., and breadth from</w:t></w:r>
</w:p>
<w:p>
<w:pPr><w:pStyle w:val="Normal"/></w:pPr>
<w:r><w:t xml:space="preserve">east to west about 60 m., with a total area of 3141 sq.</w:t></w:r>
</w:p>
<w:p>
<w:pPr><w:pStyle w:val="Normal"/></w:pPr>
<w:r><w:t xml:space="preserve">m.  The eastern portion of the state is open and highly</w:t></w:r>
</w:p>
<w:p>
<w:pPr><w:pStyle w:val="Normal"/></w:pPr>
<w:r><w:t xml:space="preserve">cultivated; the western is diversified by hills and peaks,</w:t></w:r>
</w:p>
<w:p>
<w:pPr><w:pStyle w:val="Normal"/></w:pPr>
<w:r><w:t xml:space="preserve">which form a continuation of the Aravalli range, from 12 to</w:t></w:r>
</w:p>
<w:p>
<w:pPr><w:pStyle w:val="Normal"/></w:pPr>
<w:r><w:t xml:space="preserve">20 m. in breadth.  These hills run in rocky and precipitous</w:t></w:r>
</w:p>
<w:p>
<w:pPr><w:pStyle w:val="Normal"/></w:pPr>
<w:r><w:t xml:space="preserve">parallel ridges, in some places upwards of 2200 ft. in</w:t></w:r>
</w:p>
<w:p>
<w:pPr><w:pStyle w:val="Normal"/></w:pPr>
<w:r><w:t xml:space="preserve">height.  The Sabhi river flows through the north-western part</w:t></w:r>
</w:p>
<w:p>
<w:pPr><w:pStyle w:val="Normal"/></w:pPr>
<w:r><w:t xml:space="preserve">of the state, the only other stream of importance being the</w:t></w:r>
</w:p>
<w:p>
<w:pPr><w:pStyle w:val="Normal"/></w:pPr>
<w:r><w:t xml:space="preserve">Ruparel, which rises in the Alwar hills, and flows through</w:t></w:r>
</w:p>
<w:p>
<w:pPr><w:pStyle w:val="Normal"/></w:pPr>
<w:r><w:t xml:space="preserve">the state into the Bharatpur territory.  The population</w:t></w:r>
</w:p>
<w:p>
<w:pPr><w:pStyle w:val="Normal"/></w:pPr>
<w:r><w:t xml:space="preserve">in 1901 was 828,487, showing an increase of 8% during the</w:t></w:r>
</w:p>
<w:p>
<w:pPr><w:pStyle w:val="Normal"/></w:pPr>
<w:r><w:t xml:space="preserve">decade.  When compared with a heavy decrease elsewhere</w:t></w:r>
</w:p>
<w:p>
<w:pPr><w:pStyle w:val="Normal"/></w:pPr>
<w:r><w:t xml:space="preserve">throughout Rajputana, this increase may be attributed to the</w:t></w:r>
</w:p>
<w:p>
<w:pPr><w:pStyle w:val="Normal"/></w:pPr>
<w:r><w:t xml:space="preserve">successful administration of famine relief, under British</w:t></w:r>
</w:p>
<w:p>
<w:pPr><w:pStyle w:val="Normal"/></w:pPr>
<w:r><w:t xml:space="preserve">officials.  The revenue is L. 185,000.  The maharaja Jai</w:t></w:r>
</w:p>
<w:p>
<w:pPr><w:pStyle w:val="Normal"/></w:pPr>
<w:r><w:t xml:space="preserve">Singh, who succeeded in 1892 at the age of ten, was educated</w:t></w:r>
</w:p>
<w:p>
<w:pPr><w:pStyle w:val="Normal"/></w:pPr>
<w:r><w:t xml:space="preserve">at the Mayo college, where he excelled both in sports and in</w:t></w:r>
</w:p>
<w:p>
<w:pPr><w:pStyle w:val="Normal"/></w:pPr>
<w:r><w:t xml:space="preserve">knowledge of English.  He came of age in 1903, when he was</w:t></w:r>
</w:p>
<w:p>
<w:pPr><w:pStyle w:val="Normal"/></w:pPr>
<w:r><w:t xml:space="preserve">invested by the viceroy with full ruling powers. Alwar was</w:t></w:r>
</w:p>
<w:p>
<w:pPr><w:pStyle w:val="Normal"/></w:pPr>
<w:r><w:t xml:space="preserve">the first native state to accept a currency struck at the</w:t></w:r>
</w:p>
<w:p>
<w:pPr><w:pStyle w:val="Normal"/></w:pPr>
<w:r><w:t xml:space="preserve">Calcutta mint, of the same weight and assay as the imperial</w:t></w:r>
</w:p>
<w:p>
<w:pPr><w:pStyle w:val="Normal"/></w:pPr>
<w:r><w:t xml:space="preserve">rupee, with the head of the British sovereign on the obverse.</w:t></w:r>
</w:p>
<w:p>
<w:pPr><w:pStyle w:val="Normal"/></w:pPr>
<w:r><w:t xml:space="preserve">Imperial service troops are maintained, consisting of both</w:t></w:r>
</w:p>
<w:p>
<w:pPr><w:pStyle w:val="Normal"/></w:pPr>
<w:r><w:t xml:space="preserve">cavalry and infantry, with transport.  The state is traversed</w:t></w:r>
</w:p>
<w:p>
<w:pPr><w:pStyle w:val="Normal"/></w:pPr>
<w:r><w:t xml:space="preserve">by the Delhi branch of the Rajputana railway.  A settlement of</w:t></w:r>
</w:p>
<w:p>
<w:pPr><w:pStyle w:val="Normal"/></w:pPr>
<w:r><w:t xml:space="preserve">the land revenue has been carried out by an English civilian.</w:t></w:r>
</w:p>
<w:p>
<w:pPr><w:pStyle w:val="Normal"/></w:pPr>
<w:r><w:t xml:space="preserve">The state was founded by Pratap Singh (1740-1791), a Rajput</w:t></w:r>
</w:p>
<w:p>
<w:pPr><w:pStyle w:val="Normal"/></w:pPr>
<w:r><w:t xml:space="preserve">of ancient lineage, and increased by his adopted son Bakhtawar</w:t></w:r>
</w:p>
<w:p>
<w:pPr><w:pStyle w:val="Normal"/></w:pPr>
<w:r><w:t xml:space="preserve">Singh.  The latter joined the British against the Mahrattas,</w:t></w:r>
</w:p>
<w:p>
<w:pPr><w:pStyle w:val="Normal"/></w:pPr>
<w:r><w:t xml:space="preserve">and in 1803, after the battle of Laswari (Nov. 1), signed a</w:t></w:r>
</w:p>
<w:p>
<w:pPr><w:pStyle w:val="Normal"/></w:pPr>
<w:r><w:t xml:space="preserve">treaty of offensive and defensive alliance with the British</w:t></w:r>
</w:p>
<w:p>
<w:pPr><w:pStyle w:val="Normal"/></w:pPr>
<w:r><w:t xml:space="preserve">government. In 1811, owing to his armed intervention in Jaipur,</w:t></w:r>
</w:p>
<w:p>
<w:pPr><w:pStyle w:val="Normal"/></w:pPr>
<w:r><w:t xml:space="preserve">a fresh engagement was made, prohibiting him from political</w:t></w:r>
</w:p>
<w:p>
<w:pPr><w:pStyle w:val="Normal"/></w:pPr>
<w:r><w:t xml:space="preserve">intercourse with other states without British consent.  In 1857</w:t></w:r>
</w:p>
<w:p>
<w:pPr><w:pStyle w:val="Normal"/></w:pPr>
<w:r><w:t xml:space="preserve">the raja Binni Singh sent a force of Mussulmans and Rajputs</w:t></w:r>
</w:p>
<w:p>
<w:pPr><w:pStyle w:val="Normal"/></w:pPr>
<w:r><w:t xml:space="preserve">to relieve the British garrison in Agra; the Mussulmans,</w:t></w:r>
</w:p>
<w:p>
<w:pPr><w:pStyle w:val="Normal"/></w:pPr>
<w:r><w:t xml:space="preserve">however, deserted, and the rest were defeated by the mutineers.</w:t></w:r>
</w:p>
<w:p>
<w:pPr><w:pStyle w:val="Normal"/></w:pPr>
<w:r><w:t xml:space="preserve">The CITY OF ALWAR has a railway station on the Rajputana</w:t></w:r>
</w:p>
<w:p>
<w:pPr><w:pStyle w:val="Normal"/></w:pPr>
<w:r><w:t xml:space="preserve">line, 98 m. from Delhi; pop. (1901) 56,771, showing a steady</w:t></w:r>
</w:p>
<w:p>
<w:pPr><w:pStyle w:val="Normal"/></w:pPr>
<w:r><w:t xml:space="preserve">increase.  It stands in a valley overhung by a fortress 1000 ft.</w:t></w:r>
</w:p>
<w:p>
<w:pPr><w:pStyle w:val="Normal"/></w:pPr>
<w:r><w:t xml:space="preserve">above.  It is surrounded by a rampart and moat, with five gates,</w:t></w:r>
</w:p>
<w:p>
<w:pPr><w:pStyle w:val="Normal"/></w:pPr>
<w:r><w:t xml:space="preserve">and contains fine palaces, temples and tombs.  The water-supply</w:t></w:r>
</w:p>
<w:p>
<w:pPr><w:pStyle w:val="Normal"/></w:pPr>
<w:r><w:t xml:space="preserve">is brought from a lake 9 m. distant.  It has a high school,</w:t></w:r>
</w:p>
<w:p>
<w:pPr><w:pStyle w:val="Normal"/></w:pPr>
<w:r><w:t xml:space="preserve">affiliated to the Allahabad university; and a school for the</w:t></w:r>
</w:p>
<w:p>
<w:pPr><w:pStyle w:val="Normal"/></w:pPr>
<w:r><w:t xml:space="preserve">sons of nobles, founded to commemorate the Diamond Jubilee</w:t></w:r>
</w:p>
<w:p>
<w:pPr><w:pStyle w:val="Normal"/></w:pPr>
<w:r><w:t xml:space="preserve">of Queen Victoria.  The Lady Dufferin hospital is under the</w:t></w:r>
</w:p>
<w:p>
<w:pPr><w:pStyle w:val="Normal"/></w:pPr>
<w:r><w:t xml:space="preserve">charge of an English lady doctor, with two female assistants.</w:t></w:r>
</w:p>
<w:p>
<w:pPr><w:pStyle w:val="Normal"/></w:pPr>
<w:r><w:t xml:space="preserve">ALYATTES, king of Lydia (609-560 B.C.), the real founder</w:t></w:r>
</w:p>
<w:p>
<w:pPr><w:pStyle w:val="Normal"/></w:pPr>
<w:r><w:t xml:space="preserve">of the Lydian empire, was the son of Sadyattes, of the house</w:t></w:r>
</w:p>
<w:p>
<w:pPr><w:pStyle w:val="Normal"/></w:pPr>
<w:r><w:t xml:space="preserve">of the Mermnadae.  For several years he continued the war</w:t></w:r>
</w:p>
<w:p>
<w:pPr><w:pStyle w:val="Normal"/></w:pPr>
<w:r><w:t xml:space="preserve">against Miletus begun by his father, but was obliged to turn</w:t></w:r>
</w:p>
<w:p>
<w:pPr><w:pStyle w:val="Normal"/></w:pPr>
<w:r><w:t xml:space="preserve">his attention to the Medes and Babylonians.  On the 28th</w:t></w:r>
</w:p>
<w:p>
<w:pPr><w:pStyle w:val="Normal"/></w:pPr>
<w:r><w:t xml:space="preserve">of May 585, during a battle on the Halys between him and</w:t></w:r>
</w:p>
<w:p>
<w:pPr><w:pStyle w:val="Normal"/></w:pPr>
<w:r><w:t xml:space="preserve">Cyaxares, king of Media, an eclipse of the sun took place;</w:t></w:r>
</w:p>
<w:p>
<w:pPr><w:pStyle w:val="Normal"/></w:pPr>
<w:r><w:t xml:space="preserve">hostilities were suspended, peace concluded, and the Halys</w:t></w:r>
</w:p>
<w:p>
<w:pPr><w:pStyle w:val="Normal"/></w:pPr>
<w:r><w:t xml:space="preserve">fixed as the boundary between the two kingdoms.  Alyattes</w:t></w:r>
</w:p>
<w:p>
<w:pPr><w:pStyle w:val="Normal"/></w:pPr>
<w:r><w:t xml:space="preserve">drove the Cimmerii (see SCYTIHA) from Asia, subdued the</w:t></w:r>
</w:p>
<w:p>
<w:pPr><w:pStyle w:val="Normal"/></w:pPr>
<w:r><w:t xml:space="preserve">Carians, and took several Ionian cities (Smyrna, Colophon).</w:t></w:r>
</w:p>
<w:p>
<w:pPr><w:pStyle w:val="Normal"/></w:pPr>
<w:r><w:t xml:space="preserve">He was succeeded by his son Croesus. His tomb still exists on</w:t></w:r>
</w:p>
<w:p>
<w:pPr><w:pStyle w:val="Normal"/></w:pPr>
<w:r><w:t xml:space="preserve">the plateau between lake Gygaea and the river Hermus to the</w:t></w:r>
</w:p>
<w:p>
<w:pPr><w:pStyle w:val="Normal"/></w:pPr>
<w:r><w:t xml:space="preserve">north of Sardis -- a large mound of earth with a substructure</w:t></w:r>
</w:p>
<w:p>
<w:pPr><w:pStyle w:val="Normal"/></w:pPr>
<w:r><w:t xml:space="preserve">of huge stones.  It was excavated by Spiegelthal in 1854,</w:t></w:r>
</w:p>
<w:p>
<w:pPr><w:pStyle w:val="Normal"/></w:pPr>
<w:r><w:t xml:space="preserve">who found that it covered a large vault of finely-cut marble</w:t></w:r>
</w:p>
<w:p>
<w:pPr><w:pStyle w:val="Normal"/></w:pPr>
<w:r><w:t xml:space="preserve">blocks approached by a flat-roofed passage of the same stone</w:t></w:r>
</w:p>
<w:p>
<w:pPr><w:pStyle w:val="Normal"/></w:pPr>
<w:r><w:t xml:space="preserve">from the south.  The sarcophagus and its contents had been</w:t></w:r>
</w:p>
<w:p>
<w:pPr><w:pStyle w:val="Normal"/></w:pPr>
<w:r><w:t xml:space="preserve">removed by early plunderers of the tomb, all that was left</w:t></w:r>
</w:p>
<w:p>
<w:pPr><w:pStyle w:val="Normal"/></w:pPr>
<w:r><w:t xml:space="preserve">being some broken alabaster vases, pottery and charcoal.</w:t></w:r>
</w:p>
<w:p>
<w:pPr><w:pStyle w:val="Normal"/></w:pPr>
<w:r><w:t xml:space="preserve">On the summit of the mound were large phalli of stone.</w:t></w:r>
</w:p>
<w:p>
<w:pPr><w:pStyle w:val="Normal"/></w:pPr>
<w:r><w:t xml:space="preserve">See A. von Olfers, ``Uber die lydischen</w:t></w:r>
</w:p>
<w:p>
<w:pPr><w:pStyle w:val="Normal"/></w:pPr>
<w:r><w:t xml:space="preserve">Konigsgraber bei Sardes,&apos;&apos; Abh. Berl.  Ak., 1858.</w:t></w:r>
</w:p>
<w:p>
<w:pPr><w:pStyle w:val="Normal"/></w:pPr>
<w:r><w:t xml:space="preserve">ALYPIUS, a Greek writer on music whose works, with those of</w:t></w:r>
</w:p>
<w:p>
<w:pPr><w:pStyle w:val="Normal"/></w:pPr>
<w:r><w:t xml:space="preserve">six others, were collected and published with a commentary and</w:t></w:r>
</w:p>
<w:p>
<w:pPr><w:pStyle w:val="Normal"/></w:pPr>
<w:r><w:t xml:space="preserve">explanatory notes (Antiquae Musicae Auctores Septem, Amstel.,</w:t></w:r>
</w:p>
<w:p>
<w:pPr><w:pStyle w:val="Normal"/></w:pPr>
<w:r><w:t xml:space="preserve">1652), by Mark Meibomius (1630-1711).  He is said to have</w:t></w:r>
</w:p>
<w:p>
<w:pPr><w:pStyle w:val="Normal"/></w:pPr>
<w:r><w:t xml:space="preserve">written before Euclid and Ptolemy; and Cassiodorus arranges</w:t></w:r>
</w:p>
<w:p>
<w:pPr><w:pStyle w:val="Normal"/></w:pPr>
<w:r><w:t xml:space="preserve">his Introduction to Music between those of Nicomachus and</w:t></w:r>
</w:p>
<w:p>
<w:pPr><w:pStyle w:val="Normal"/></w:pPr>
<w:r><w:t xml:space="preserve">Gaudentius.  The work consists solely of a list of symbols of</w:t></w:r>
</w:p>
<w:p>
<w:pPr><w:pStyle w:val="Normal"/></w:pPr>
<w:r><w:t xml:space="preserve">the various scales and modes, and is probably only a fragment.</w:t></w:r>
</w:p>
<w:p>
<w:pPr><w:pStyle w:val="Normal"/></w:pPr>
<w:r><w:t xml:space="preserve">ALYPIUS OF ANTIOCH, a geographer of the 4th century, who</w:t></w:r>
</w:p>
<w:p>
<w:pPr><w:pStyle w:val="Normal"/></w:pPr>
<w:r><w:t xml:space="preserve">was sent by the emperor Julian into Britain as first prefect,</w:t></w:r>
</w:p>
<w:p>
<w:pPr><w:pStyle w:val="Normal"/></w:pPr>
<w:r><w:t xml:space="preserve">and was afterwards commissioned to rebuild the temple of</w:t></w:r>
</w:p>
<w:p>
<w:pPr><w:pStyle w:val="Normal"/></w:pPr>
<w:r><w:t xml:space="preserve">Jerusalem. Among the letters of Julian are two (29 and 30)</w:t></w:r>
</w:p>
<w:p>
<w:pPr><w:pStyle w:val="Normal"/></w:pPr>
<w:r><w:t xml:space="preserve">addressed to Alypins; one inviting him to Rome, the other thanking</w:t></w:r>
</w:p>
<w:p>
<w:pPr><w:pStyle w:val="Normal"/></w:pPr>
<w:r><w:t xml:space="preserve">him for a geographical treatise, which no longer exists.</w:t></w:r>
</w:p>
<w:p>
<w:pPr><w:pStyle w:val="Normal"/></w:pPr>
<w:r><w:t xml:space="preserve">See also Ammianus Marcellinus xxiii. 1, sec.  2.</w:t></w:r>
</w:p>
<w:p>
<w:pPr><w:pStyle w:val="Normal"/></w:pPr>
<w:r><w:t xml:space="preserve">ALYTES, the midwife toad, first discovered by P. Demours in</w:t></w:r>
</w:p>
<w:p>
<w:pPr><w:pStyle w:val="Normal"/></w:pPr>
<w:r><w:t xml:space="preserve">1741, on the border of a small pond in the Jardin des Plantes,</w:t></w:r>
</w:p>
<w:p>
<w:pPr><w:pStyle w:val="Normal"/></w:pPr>
<w:r><w:t xml:space="preserve">in the very act of parturition which has rendered it famous,</w:t></w:r>
</w:p>
<w:p>
<w:pPr><w:pStyle w:val="Normal"/></w:pPr>
<w:r><w:t xml:space="preserve">and described as Petit crapaud male accoucheur de sa femelle.</w:t></w:r>
</w:p>
<w:p>
<w:pPr><w:pStyle w:val="Normal"/></w:pPr>
<w:r><w:t xml:space="preserve">Alytes obstetricans is of special interest as the first known</w:t></w:r>
</w:p>
<w:p>
<w:pPr><w:pStyle w:val="Normal"/></w:pPr>
<w:r><w:t xml:space="preserve">example of paternal solicitude in Batrachians, and although</w:t></w:r>
</w:p>
<w:p>
<w:pPr><w:pStyle w:val="Normal"/></w:pPr>
<w:r><w:t xml:space="preserve">many no less wonderful cases of nursing instinct have since been</w:t></w:r>
</w:p>
<w:p>
<w:pPr><w:pStyle w:val="Normal"/></w:pPr>
<w:r><w:t xml:space="preserve">revealed to us, it remains the only one among European forms.</w:t></w:r>
</w:p>
<w:p>
<w:pPr><w:pStyle w:val="Normal"/></w:pPr>
<w:r><w:t xml:space="preserve">Alytes obstetricans is a small toad-like Batrachian, two inches</w:t></w:r>
</w:p>
<w:p>
<w:pPr><w:pStyle w:val="Normal"/></w:pPr>
<w:r><w:t xml:space="preserve">in length, of dull greyish coloration, plump form with warty</w:t></w:r>
</w:p>
<w:p>
<w:pPr><w:pStyle w:val="Normal"/></w:pPr>
<w:r><w:t xml:space="preserve">skin and large eyes with vertical pupils.  Although toad-like</w:t></w:r>
</w:p>
<w:p>
<w:pPr><w:pStyle w:val="Normal"/></w:pPr>
<w:r><w:t xml:space="preserve">it is not really related to the toads proper, but belongs to the</w:t></w:r>
</w:p>
<w:p>
<w:pPr><w:pStyle w:val="Normal"/></w:pPr>
<w:r><w:t xml:space="preserve">family Discoglossidae, characterized by a circular, adherent</w:t></w:r>
</w:p>
<w:p>
<w:pPr><w:pStyle w:val="Normal"/></w:pPr>
<w:r><w:t xml:space="preserve">tongue, teeth in the upper jaw and on the palate, short but</w:t></w:r>
</w:p>
<w:p>
<w:pPr><w:pStyle w:val="Normal"/></w:pPr>
<w:r><w:t xml:space="preserve">distinct ribs on the anterior vertebrae, and convex-concave</w:t></w:r>
</w:p>
<w:p>
<w:pPr><w:pStyle w:val="Normal"/></w:pPr>
<w:r><w:t xml:space="preserve">vertebrae.  It inhabits France, Belgium, Switzerland, Western</w:t></w:r>
</w:p>
<w:p>
<w:pPr><w:pStyle w:val="Normal"/></w:pPr>
<w:r><w:t xml:space="preserve">Germany (eastwards to the Weser), Spain and Portugal.  A second</w:t></w:r>
</w:p>
<w:p>
<w:pPr><w:pStyle w:val="Normal"/></w:pPr>
<w:r><w:t xml:space="preserve">species, A. cisternasii, occurs in Spain and Portugal.</w:t></w:r>
</w:p>
<w:p>
<w:pPr><w:pStyle w:val="Normal"/></w:pPr>
<w:r><w:t xml:space="preserve">Alytes is nocturnal and slow in its movements.  It is</w:t></w:r>
</w:p>
<w:p>
<w:pPr><w:pStyle w:val="Normal"/></w:pPr>
<w:r><w:t xml:space="preserve">thoroughly terrestrial, selecting for its retreat in the daytime</w:t></w:r>
</w:p>
<w:p>
<w:pPr><w:pStyle w:val="Normal"/></w:pPr>
<w:r><w:t xml:space="preserve">holes made by small mammals, or interstices between stones.</w:t></w:r>
</w:p>
<w:p>
<w:pPr><w:pStyle w:val="Normal"/></w:pPr>
<w:r><w:t xml:space="preserve">Towards evening it reveals its presence by a clear whistling</w:t></w:r>
</w:p>
<w:p>
<w:pPr><w:pStyle w:val="Normal"/></w:pPr>
<w:r><w:t xml:space="preserve">note, which has often been compared to the sound of a little</w:t></w:r>
</w:p>
<w:p>
<w:pPr><w:pStyle w:val="Normal"/></w:pPr>
<w:r><w:t xml:space="preserve">bell, or to a chime when produced by numerous individuals.</w:t></w:r>
</w:p>
<w:p>
<w:pPr><w:pStyle w:val="Normal"/></w:pPr>
<w:r><w:t xml:space="preserve">The breeding season lasts throughout spring and summer, and the</w:t></w:r>
</w:p>
<w:p>
<w:pPr><w:pStyle w:val="Normal"/></w:pPr>
<w:r><w:t xml:space="preserve">female is able to spawn two, three or even four times in the</w:t></w:r>
</w:p>
<w:p>
<w:pPr><w:pStyle w:val="Normal"/></w:pPr>
<w:r><w:t xml:space="preserve">year.  Pairing and oviposition take place on land; the male</w:t></w:r>
</w:p>
<w:p>
<w:pPr><w:pStyle w:val="Normal"/></w:pPr>
<w:r><w:t xml:space="preserve">seizes the female round the waist. The eggs are large and</w:t></w:r>
</w:p>
<w:p>
<w:pPr><w:pStyle w:val="Normal"/></w:pPr>
<w:r><w:t xml:space="preserve">yellow, and produced in two rosary-like strings, as if strung</w:t></w:r>
</w:p>
<w:p>
<w:pPr><w:pStyle w:val="Normal"/></w:pPr>
<w:r><w:t xml:space="preserve">together by elastic filaments continuous with the gelatinous</w:t></w:r>
</w:p>
<w:p>
<w:pPr><w:pStyle w:val="Normal"/></w:pPr>
<w:r><w:t xml:space="preserve">capsules.  After impregnation, the male twists them round his</w:t></w:r>
</w:p>
<w:p>
<w:pPr><w:pStyle w:val="Normal"/></w:pPr>
<w:r><w:t xml:space="preserve">legs and returns to his usual retreat, going about at night</w:t></w:r>
</w:p>
<w:p>
<w:pPr><w:pStyle w:val="Normal"/></w:pPr>
<w:r><w:t xml:space="preserve">in order to feed himself and to keep up the moisture of the</w:t></w:r>
</w:p>
<w:p>
<w:pPr><w:pStyle w:val="Normal"/></w:pPr>
<w:r><w:t xml:space="preserve">eggs, even resorting to a short immersion in the water during</w:t></w:r>
</w:p>
<w:p>
<w:pPr><w:pStyle w:val="Normal"/></w:pPr>
<w:r><w:t xml:space="preserve">exceptionahy dry nights.  The development of the embryo</w:t></w:r>
</w:p>
<w:p>
<w:pPr><w:pStyle w:val="Normal"/></w:pPr>
<w:r><w:t xml:space="preserve">within the egg takes about three weeks.  When the time for</w:t></w:r>
</w:p>
<w:p>
<w:pPr><w:pStyle w:val="Normal"/></w:pPr>
<w:r><w:t xml:space="preserve">eclosion has come, the male enters the water with his burden;</w:t></w:r>
</w:p>
<w:p>
<w:pPr><w:pStyle w:val="Normal"/></w:pPr>
<w:r><w:t xml:space="preserve">the larvae, in the full tadpole condition, measuring 14 to 17</w:t></w:r>
</w:p>
<w:p>
<w:pPr><w:pStyle w:val="Normal"/></w:pPr>
<w:r><w:t xml:space="preserve">millimetres, bite their way through their tough envelope, which</w:t></w:r>
</w:p>
<w:p>
<w:pPr><w:pStyle w:val="Normal"/></w:pPr>
<w:r><w:t xml:space="preserve">is not abandoned by the father until all the young are liberated,</w:t></w:r>
</w:p>
<w:p>
<w:pPr><w:pStyle w:val="Normal"/></w:pPr>
<w:r><w:t xml:space="preserve">and complete in the ordinary way their metamorphosis.  The</w:t></w:r>
</w:p>
<w:p>
<w:pPr><w:pStyle w:val="Normal"/></w:pPr>
<w:r><w:t xml:space="preserve">tadpoles grow to a large size considering that of the adult,</w:t></w:r>
</w:p>
<w:p>
<w:pPr><w:pStyle w:val="Normal"/></w:pPr>
<w:r><w:t xml:space="preserve">the body equalling in size a sparrow&apos;s or even a small pigeon&apos;s</w:t></w:r>
</w:p>
<w:p>
<w:pPr><w:pStyle w:val="Normal"/></w:pPr>
<w:r><w:t xml:space="preserve">egg, and they often remain more than a year in that condition.</w:t></w:r>
</w:p>
<w:p>
<w:pPr><w:pStyle w:val="Normal"/></w:pPr>
<w:r><w:t xml:space="preserve">See A. de l&apos;Isle, ``Memoire sur les moeurs et</w:t></w:r>
</w:p>
<w:p>
<w:pPr><w:pStyle w:val="Normal"/></w:pPr>
<w:r><w:t xml:space="preserve">l&apos;accouchement de  l&apos;Alytes obstetricans,&apos;&apos; Ann.</w:t></w:r>
</w:p>
<w:p>
<w:pPr><w:pStyle w:val="Normal"/></w:pPr>
<w:r><w:t xml:space="preserve">Sci. Nat. (6) iii. 1876; G. A. Boulenger. Tailless</w:t></w:r>
</w:p>
<w:p>
<w:pPr><w:pStyle w:val="Normal"/></w:pPr>
<w:r><w:t xml:space="preserve">Batrachians of Europe (Ray Society, 1897). (G. A. B.)</w:t></w:r>
</w:p>
<w:p>
<w:pPr><w:pStyle w:val="Normal"/></w:pPr>
<w:r><w:t xml:space="preserve">ALZEY, a town of Germany, in the grand duchy of Hesse-</w:t></w:r>
</w:p>
<w:p>
<w:pPr><w:pStyle w:val="Normal"/></w:pPr>
<w:r><w:t xml:space="preserve">Darmstadt, 18 m.  S. of Mainz by rail.  Pop. (1900) 6893.</w:t></w:r>
</w:p>
<w:p>
<w:pPr><w:pStyle w:val="Normal"/></w:pPr>
<w:r><w:t xml:space="preserve">There are a Roman Catholic and two Protestant churches, several</w:t></w:r>
</w:p>
<w:p>
<w:pPr><w:pStyle w:val="Normal"/></w:pPr>
<w:r><w:t xml:space="preserve">high-grade schools and a teachers&apos; seminary.  Alzey has industries</w:t></w:r>
</w:p>
<w:p>
<w:pPr><w:pStyle w:val="Normal"/></w:pPr>
<w:r><w:t xml:space="preserve">of dyeing and weaving, breweries, and does a considerable</w:t></w:r>
</w:p>
<w:p>
<w:pPr><w:pStyle w:val="Normal"/></w:pPr>
<w:r><w:t xml:space="preserve">trade in wine.  It is immortalized in the Nibelungenlied</w:t></w:r>
</w:p>
<w:p>
<w:pPr><w:pStyle w:val="Normal"/></w:pPr>
<w:r><w:t xml:space="preserve">in the person of ``Volker von Alzeie,&apos;&apos; the warrior who in</w:t></w:r>
</w:p>
<w:p>
<w:pPr><w:pStyle w:val="Normal"/></w:pPr>
<w:r><w:t xml:space="preserve">the last part of the epic plays a part second only to that of</w:t></w:r>
</w:p>
<w:p>
<w:pPr><w:pStyle w:val="Normal"/></w:pPr>
<w:r><w:t xml:space="preserve">Hagen, and who ``was called the minstrel (spilman) because</w:t></w:r>
</w:p>
<w:p>
<w:pPr><w:pStyle w:val="Normal"/></w:pPr>
<w:r><w:t xml:space="preserve">he could fiddle.&apos;&apos; It became an imperial city in 1277.  In</w:t></w:r>
</w:p>
<w:p>
<w:pPr><w:pStyle w:val="Normal"/></w:pPr>
<w:r><w:t xml:space="preserve">1620 it was sacked by the Spaniards and in 1689 burnt by the</w:t></w:r>
</w:p>
<w:p>
<w:pPr><w:pStyle w:val="Normal"/></w:pPr>
<w:r><w:t xml:space="preserve">French.  Annexed to France during the Napoleonic wars,</w:t></w:r>
</w:p>
<w:p>
<w:pPr><w:pStyle w:val="Normal"/></w:pPr>
<w:r><w:t xml:space="preserve">it passed in 1815 to the grand-duchy of Hesse-Darmstadt.</w:t></w:r>
</w:p>
<w:p>
<w:pPr><w:pStyle w:val="Normal"/></w:pPr>
<w:r><w:t xml:space="preserve">ALZOG, JOHANN BAPTIST (1808-1878), German theologian,</w:t></w:r>
</w:p>
<w:p>
<w:pPr><w:pStyle w:val="Normal"/></w:pPr>
<w:r><w:t xml:space="preserve">was born at Ohlau, in Silesia, on the 29th of June 1808.</w:t></w:r>
</w:p>
<w:p>
<w:pPr><w:pStyle w:val="Normal"/></w:pPr>
<w:r><w:t xml:space="preserve">He studied at Breslau and Bonn and was ordained priest at</w:t></w:r>
</w:p>
<w:p>
<w:pPr><w:pStyle w:val="Normal"/></w:pPr>
<w:r><w:t xml:space="preserve">Cologne in 1834.  In the following year he accepted the</w:t></w:r>
</w:p>
<w:p>
<w:pPr><w:pStyle w:val="Normal"/></w:pPr>
<w:r><w:t xml:space="preserve">chairs of exegesis and church history at the seminary of</w:t></w:r>
</w:p>
<w:p>
<w:pPr><w:pStyle w:val="Normal"/></w:pPr>
<w:r><w:t xml:space="preserve">Posen.  He removed in 1844 to Hildesheim, where he had been</w:t></w:r>
</w:p>
<w:p>
<w:pPr><w:pStyle w:val="Normal"/></w:pPr>
<w:r><w:t xml:space="preserve">appointed rector of the seminary.  He became professor of</w:t></w:r>
</w:p>
<w:p>
<w:pPr><w:pStyle w:val="Normal"/></w:pPr>
<w:r><w:t xml:space="preserve">church history at the university of Freiburg in the Breisgau</w:t></w:r>
</w:p>
<w:p>
<w:pPr><w:pStyle w:val="Normal"/></w:pPr>
<w:r><w:t xml:space="preserve">in 1853 and held that post till his death on the 1st of March</w:t></w:r>
</w:p>
<w:p>
<w:pPr><w:pStyle w:val="Normal"/></w:pPr>
<w:r><w:t xml:space="preserve">1878.  Together with Dollinger, Alzog was instrumental in</w:t></w:r>
</w:p>
<w:p>
<w:pPr><w:pStyle w:val="Normal"/></w:pPr>
<w:r><w:t xml:space="preserve">convoking the famous Munich assembly of Catholic scholars in</w:t></w:r>
</w:p>
<w:p>
<w:pPr><w:pStyle w:val="Normal"/></w:pPr>
<w:r><w:t xml:space="preserve">1863.  He also took part, with Bishops Hefele and Haseberg,</w:t></w:r>
</w:p>
<w:p>
<w:pPr><w:pStyle w:val="Normal"/></w:pPr>
<w:r><w:t xml:space="preserve">in the preparatory work of the Vatican Council and voted in</w:t></w:r>
</w:p>
<w:p>
<w:pPr><w:pStyle w:val="Normal"/></w:pPr>
<w:r><w:t xml:space="preserve">favour of the doctrine of papal infallibility but against</w:t></w:r>
</w:p>
<w:p>
<w:pPr><w:pStyle w:val="Normal"/></w:pPr>
<w:r><w:t xml:space="preserve">the opportuneness of its promulgation.  Alzog&apos;s fame rests</w:t></w:r>
</w:p>
<w:p>
<w:pPr><w:pStyle w:val="Normal"/></w:pPr>
<w:r><w:t xml:space="preserve">mainly on his Handbuch den Caniversal-Kirchengeschichte</w:t></w:r>
</w:p>
<w:p>
<w:pPr><w:pStyle w:val="Normal"/></w:pPr>
<w:r><w:t xml:space="preserve">(Mainz, 1841, often reprinted under various titles; Eng.</w:t></w:r>
</w:p>
<w:p>
<w:pPr><w:pStyle w:val="Normal"/></w:pPr>
<w:r><w:t xml:space="preserve">trans. by Pabisch and Byrne, A Manual of Church History, 4</w:t></w:r>
</w:p>
<w:p>
<w:pPr><w:pStyle w:val="Normal"/></w:pPr>
<w:r><w:t xml:space="preserve">vols.  Cincinnati, 1874).  Based upon the foundations laid</w:t></w:r>
</w:p>
<w:p>
<w:pPr><w:pStyle w:val="Normal"/></w:pPr>
<w:r><w:t xml:space="preserve">by Mohler, this manual was generally accepted as the best</w:t></w:r>
</w:p>
<w:p>
<w:pPr><w:pStyle w:val="Normal"/></w:pPr>
<w:r><w:t xml:space="preserve">exposition of Catholic views, in opposition to the Protestant</w:t></w:r>
</w:p>
<w:p>
<w:pPr><w:pStyle w:val="Normal"/></w:pPr>
<w:r><w:t xml:space="preserve">manual by C. A. Hase, and was translated into several</w:t></w:r>
</w:p>
<w:p>
<w:pPr><w:pStyle w:val="Normal"/></w:pPr>
<w:r><w:t xml:space="preserve">languages.  Besides a host of minor writings on ecclesiastical</w:t></w:r>
</w:p>
<w:p>
<w:pPr><w:pStyle w:val="Normal"/></w:pPr>
<w:r><w:t xml:space="preserve">subjects, and an active collaboration in the great Kirchen-</w:t></w:r>
</w:p>
<w:p>
<w:pPr><w:pStyle w:val="Normal"/></w:pPr>
<w:r><w:t xml:space="preserve">lexicon of Wetzer and Welte, Alzog was also the author of</w:t></w:r>
</w:p>
<w:p>
<w:pPr><w:pStyle w:val="Normal"/></w:pPr>
<w:r><w:t xml:space="preserve">Grundriss der Patrologic (Freiburg, 1866, 4th ed. 1888), a</w:t></w:r>
</w:p>
<w:p>
<w:pPr><w:pStyle w:val="Normal"/></w:pPr>
<w:r><w:t xml:space="preserve">scholarly work, though now superseded by that of O. Bardenhewer.</w:t></w:r>
</w:p>
<w:p>
<w:pPr><w:pStyle w:val="Normal"/></w:pPr>
<w:r><w:t xml:space="preserve">A full list of Alzog&apos;s writings is given in H. Hurter&apos;s Nomenclator</w:t></w:r>
</w:p>
<w:p>
<w:pPr><w:pStyle w:val="Normal"/></w:pPr>
<w:r><w:t xml:space="preserve">titerarius recentioris theologiae catholicae, vol. iii.  For</w:t></w:r>
</w:p>
<w:p>
<w:pPr><w:pStyle w:val="Normal"/></w:pPr>
<w:r><w:t xml:space="preserve">an account of his life see the funeral oration by F. X. Kraus,</w:t></w:r>
</w:p>
<w:p>
<w:pPr><w:pStyle w:val="Normal"/></w:pPr>
<w:r><w:t xml:space="preserve">entitled: Gedachtnissrede auf Johannes Alzog (Freiburg, 1879).</w:t></w:r>
</w:p>
<w:p>
<w:pPr><w:pStyle w:val="Normal"/></w:pPr>
<w:r><w:t xml:space="preserve">AMADIS DE GAULA.  This famous romance of chivalry survives</w:t></w:r>
</w:p>
<w:p>
<w:pPr><w:pStyle w:val="Normal"/></w:pPr>
<w:r><w:t xml:space="preserve">only in a Castilian text, but it is claimed by Portugal as</w:t></w:r>
</w:p>
<w:p>
<w:pPr><w:pStyle w:val="Normal"/></w:pPr>
<w:r><w:t xml:space="preserve">well as by Spain.  The date of its composition, the name of its</w:t></w:r>
</w:p>
<w:p>
<w:pPr><w:pStyle w:val="Normal"/></w:pPr>
<w:r><w:t xml:space="preserve">author, and the language in which it was originally written</w:t></w:r>
</w:p>
<w:p>
<w:pPr><w:pStyle w:val="Normal"/></w:pPr>
<w:r><w:t xml:space="preserve">are not yet settled.  It is not even certain when the romance</w:t></w:r>
</w:p>
<w:p>
<w:pPr><w:pStyle w:val="Normal"/></w:pPr>
<w:r><w:t xml:space="preserve">was first printed, for though the oldest known edition (a</w:t></w:r>
</w:p>
<w:p>
<w:pPr><w:pStyle w:val="Normal"/></w:pPr>
<w:r><w:t xml:space="preserve">unique copy of which is in the British Museum) appeared at</w:t></w:r>
</w:p>
<w:p>
<w:pPr><w:pStyle w:val="Normal"/></w:pPr>
<w:r><w:t xml:space="preserve">Saragossa in 1508, it is highly probable that Amadis was</w:t></w:r>
</w:p>
<w:p>
<w:pPr><w:pStyle w:val="Normal"/></w:pPr>
<w:r><w:t xml:space="preserve">in print before this date: an edition is reported to have</w:t></w:r>
</w:p>
<w:p>
<w:pPr><w:pStyle w:val="Normal"/></w:pPr>
<w:r><w:t xml:space="preserve">been issued at Seville in 1496.  As it exists in Spanish,</w:t></w:r>
</w:p>
<w:p>
<w:pPr><w:pStyle w:val="Normal"/></w:pPr>
<w:r><w:t xml:space="preserve">Amadis de Gaula consists of four books, the last of which</w:t></w:r>
</w:p>
<w:p>
<w:pPr><w:pStyle w:val="Normal"/></w:pPr>
<w:r><w:t xml:space="preserve">is generally believed to be by the regidor of Medina del</w:t></w:r>
</w:p>
<w:p>
<w:pPr><w:pStyle w:val="Normal"/></w:pPr>
<w:r><w:t xml:space="preserve">Campo, Garci Rodriguez de Montalvo (whose name is given as</w:t></w:r>
</w:p>
<w:p>
<w:pPr><w:pStyle w:val="Normal"/></w:pPr>
<w:r><w:t xml:space="preserve">Garci Ordonez de Montalvo in all editions of Amadis later</w:t></w:r>
</w:p>
<w:p>
<w:pPr><w:pStyle w:val="Normal"/></w:pPr>
<w:r><w:t xml:space="preserve">than that of 1508, and as Garci Gutierrez de Montalvo in some</w:t></w:r>
</w:p>
<w:p>
<w:pPr><w:pStyle w:val="Normal"/></w:pPr>
<w:r><w:t xml:space="preserve">editions of the Sergas de Esplandian). Montalvo alleges</w:t></w:r>
</w:p>
<w:p>
<w:pPr><w:pStyle w:val="Normal"/></w:pPr>
<w:r><w:t xml:space="preserve">that the first three books were arranged and corrected by</w:t></w:r>
</w:p>
<w:p>
<w:pPr><w:pStyle w:val="Normal"/></w:pPr>
<w:r><w:t xml:space="preserve">him from ``the ancient originals,&apos;&apos; and a reference in the</w:t></w:r>
</w:p>
<w:p>
<w:pPr><w:pStyle w:val="Normal"/></w:pPr>
<w:r><w:t xml:space="preserve">prologue to the siege of Granada points to the conclusion</w:t></w:r>
</w:p>
<w:p>
<w:pPr><w:pStyle w:val="Normal"/></w:pPr>
<w:r><w:t xml:space="preserve">that the Spanish recast was made shortly after 1492; it is</w:t></w:r>
</w:p>
<w:p>
<w:pPr><w:pStyle w:val="Normal"/></w:pPr>
<w:r><w:t xml:space="preserve">possible, however, that the prologue alone was written after</w:t></w:r>
</w:p>
<w:p>
<w:pPr><w:pStyle w:val="Normal"/></w:pPr>
<w:r><w:t xml:space="preserve">1492, and that the text itself is older.  The number of these</w:t></w:r>
</w:p>
<w:p>
<w:pPr><w:pStyle w:val="Normal"/></w:pPr>
<w:r><w:t xml:space="preserve">``ancient originals&apos;&apos; is not stated, nor is there any mention</w:t></w:r>
</w:p>
<w:p>
<w:pPr><w:pStyle w:val="Normal"/></w:pPr>
<w:r><w:t xml:space="preserve">of the language in which they were composed; Montalvo&apos;s</w:t></w:r>
</w:p>
<w:p>
<w:pPr><w:pStyle w:val="Normal"/></w:pPr>
<w:r><w:t xml:space="preserve">silence on the latter point might be taken to imply that</w:t></w:r>
</w:p>
<w:p>
<w:pPr><w:pStyle w:val="Normal"/></w:pPr>
<w:r><w:t xml:space="preserve">they were in Castilian, but any such inference would be</w:t></w:r>
</w:p>
<w:p>
<w:pPr><w:pStyle w:val="Normal"/></w:pPr>
<w:r><w:t xml:space="preserve">hazardous.  Three hooks of Areadis de Gaula are mentioned</w:t></w:r>
</w:p>
<w:p>
<w:pPr><w:pStyle w:val="Normal"/></w:pPr>
<w:r><w:t xml:space="preserve">by Pero Ferrus who was living in 1379, and there is evidence</w:t></w:r>
</w:p>
<w:p>
<w:pPr><w:pStyle w:val="Normal"/></w:pPr>
<w:r><w:t xml:space="preserve">that the romance was current in Castile more than a quarter</w:t></w:r>
</w:p>
<w:p>
<w:pPr><w:pStyle w:val="Normal"/></w:pPr>
<w:r><w:t xml:space="preserve">of a century earlier; but again there is no information as</w:t></w:r>
</w:p>
<w:p>
<w:pPr><w:pStyle w:val="Normal"/></w:pPr>
<w:r><w:t xml:space="preserve">to the language in which they were written.  Gomes Eannes de</w:t></w:r>
</w:p>
<w:p>
<w:pPr><w:pStyle w:val="Normal"/></w:pPr>
<w:r><w:t xml:space="preserve">Azurara, in his Chronica de Conde D. Pedro de Menezes (c.</w:t></w:r>
</w:p>
<w:p>
<w:pPr><w:pStyle w:val="Normal"/></w:pPr>
<w:r><w:t xml:space="preserve">1450), states that Amadis de Gaula was written by Vasco de</w:t></w:r>
</w:p>
<w:p>
<w:pPr><w:pStyle w:val="Normal"/></w:pPr>
<w:r><w:t xml:space="preserve">Lobeira in the time of king Ferdinand of Portugal who died</w:t></w:r>
</w:p>
<w:p>
<w:pPr><w:pStyle w:val="Normal"/></w:pPr>
<w:r><w:t xml:space="preserve">in 1383: as Vasco de Lobeira was knighted in 1385, it would</w:t></w:r>
</w:p>
<w:p>
<w:pPr><w:pStyle w:val="Normal"/></w:pPr>
<w:r><w:t xml:space="preserve">follow that he wrote the elaborate romance in his earliest</w:t></w:r>
</w:p>
<w:p>
<w:pPr><w:pStyle w:val="Normal"/></w:pPr>
<w:r><w:t xml:space="preserve">youth.  This conclusion is untenable, and the suggestion that</w:t></w:r>
</w:p>
<w:p>
<w:pPr><w:pStyle w:val="Normal"/></w:pPr>
<w:r><w:t xml:space="preserve">the author was Pedro de Loboira (who flourished in the 15th</w:t></w:r>
</w:p>
<w:p>
<w:pPr><w:pStyle w:val="Normal"/></w:pPr>
<w:r><w:t xml:space="preserve">century) involves a glaring anachronism.  A further step was</w:t></w:r>
</w:p>
<w:p>
<w:pPr><w:pStyle w:val="Normal"/></w:pPr>
<w:r><w:t xml:space="preserve">taken by the historian Joao de Barros, who maintained in</w:t></w:r>
</w:p>
<w:p>
<w:pPr><w:pStyle w:val="Normal"/></w:pPr>
<w:r><w:t xml:space="preserve">an unpublished work dating between 1540 and 1550 that Vasco</w:t></w:r>
</w:p>
<w:p>
<w:pPr><w:pStyle w:val="Normal"/></w:pPr>
<w:r><w:t xml:space="preserve">de Lobeira wrote Amadis de Gaula in Portuguese, and that</w:t></w:r>
</w:p>
<w:p>
<w:pPr><w:pStyle w:val="Normal"/></w:pPr>
<w:r><w:t xml:space="preserve">his text was translated into Castilian; this is unsupported</w:t></w:r>
</w:p>
<w:p>
<w:pPr><w:pStyle w:val="Normal"/></w:pPr>
<w:r><w:t xml:space="preserve">assertion.  Towards the end of the 16th century Miguel Leite</w:t></w:r>
</w:p>
<w:p>
<w:pPr><w:pStyle w:val="Normal"/></w:pPr>
<w:r><w:t xml:space="preserve">Ferreira, son of the Portuguese poet, Antonio Ferreira,</w:t></w:r>
</w:p>
<w:p>
<w:pPr><w:pStyle w:val="Normal"/></w:pPr>
<w:r><w:t xml:space="preserve">declared that the original manuscript of Amadis de Gaula</w:t></w:r>
</w:p>
<w:p>
<w:pPr><w:pStyle w:val="Normal"/></w:pPr>
<w:r><w:t xml:space="preserve">was then in the Aveiro archives, and an Amadis de Gaula</w:t></w:r>
</w:p>
<w:p>
<w:pPr><w:pStyle w:val="Normal"/></w:pPr>
<w:r><w:t xml:space="preserve">in Portuguese, which is alleged to have existed in the conde</w:t></w:r>
</w:p>
<w:p>
<w:pPr><w:pStyle w:val="Normal"/></w:pPr>
<w:r><w:t xml:space="preserve">de Vimeiro&apos;s library as late as 1586, had vanished before</w:t></w:r>
</w:p>
<w:p>
<w:pPr><w:pStyle w:val="Normal"/></w:pPr>
<w:r><w:t xml:space="preserve">1726.  In the absence of corroboration, these dubious details</w:t></w:r>
</w:p>
<w:p>
<w:pPr><w:pStyle w:val="Normal"/></w:pPr>
<w:r><w:t xml:space="preserve">must be received with extreme reserve.  A stronger argument in</w:t></w:r>
</w:p>
<w:p>
<w:pPr><w:pStyle w:val="Normal"/></w:pPr>
<w:r><w:t xml:space="preserve">favour of the Portuguese case is drawn from the existing Spanish</w:t></w:r>
</w:p>
<w:p>
<w:pPr><w:pStyle w:val="Normal"/></w:pPr>
<w:r><w:t xml:space="preserve">text.  In book I, chapters 40 and 42, it is recorded that</w:t></w:r>
</w:p>
<w:p>
<w:pPr><w:pStyle w:val="Normal"/></w:pPr>
<w:r><w:t xml:space="preserve">the Infante Alphonso of Portugal suggested a radical change</w:t></w:r>
</w:p>
<w:p>
<w:pPr><w:pStyle w:val="Normal"/></w:pPr>
<w:r><w:t xml:space="preserve">in the narrative of Briolanja&apos;s relations with Amadis.  This</w:t></w:r>
</w:p>
<w:p>
<w:pPr><w:pStyle w:val="Normal"/></w:pPr>
<w:r><w:t xml:space="preserve">prince has been identified as the Infante Alphonso who died in</w:t></w:r>
</w:p>
<w:p>
<w:pPr><w:pStyle w:val="Normal"/></w:pPr>
<w:r><w:t xml:space="preserve">1312, or as Alphonso IV. who ascended the Portuguese throne</w:t></w:r>
</w:p>
<w:p>
<w:pPr><w:pStyle w:val="Normal"/></w:pPr>
<w:r><w:t xml:space="preserve">in 1325. Were either of these identifications established,</w:t></w:r>
</w:p>
<w:p>
<w:pPr><w:pStyle w:val="Normal"/></w:pPr>
<w:r><w:t xml:space="preserve">the date of composition might be referred with certainty to</w:t></w:r>
</w:p>
<w:p>
<w:pPr><w:pStyle w:val="Normal"/></w:pPr>
<w:r><w:t xml:space="preserve">the beginning of the 14th century or the end of the 13th.</w:t></w:r>
</w:p>
<w:p>
<w:pPr><w:pStyle w:val="Normal"/></w:pPr>
<w:r><w:t xml:space="preserve">But both identifications are conjectural.  Nevertheless the</w:t></w:r>
</w:p>
<w:p>
<w:pPr><w:pStyle w:val="Normal"/></w:pPr>
<w:r><w:t xml:space="preserve">passage in the Spanish text undeniably lends some support</w:t></w:r>
</w:p>
<w:p>
<w:pPr><w:pStyle w:val="Normal"/></w:pPr>
<w:r><w:t xml:space="preserve">to the Portuguese claim, and recent critics have inclined to</w:t></w:r>
</w:p>
<w:p>
<w:pPr><w:pStyle w:val="Normal"/></w:pPr>
<w:r><w:t xml:space="preserve">the belief that Areadis de Gaula was written by Joao de</w:t></w:r>
</w:p>
<w:p>
<w:pPr><w:pStyle w:val="Normal"/></w:pPr>
<w:r><w:t xml:space="preserve">Lobeira, a Galician knight who frequented the Portuguese</w:t></w:r>
</w:p>
<w:p>
<w:pPr><w:pStyle w:val="Normal"/></w:pPr>
<w:r><w:t xml:space="preserve">court between 1258 and 1285, and to whom are ascrihed two</w:t></w:r>
</w:p>
<w:p>
<w:pPr><w:pStyle w:val="Normal"/></w:pPr>
<w:r><w:t xml:space="preserve">fragments of a poem in the Colocci-Brancuti Canzoniere</w:t></w:r>
</w:p>
<w:p>
<w:pPr><w:pStyle w:val="Normal"/></w:pPr>
<w:r><w:t xml:space="preserve">(Nos. 240 and 240b) which reappears with some unimportant</w:t></w:r>
</w:p>
<w:p>
<w:pPr><w:pStyle w:val="Normal"/></w:pPr>
<w:r><w:t xml:space="preserve">variants in Amadis de Gaula (book II, chapter 11). The</w:t></w:r>
</w:p>
<w:p>
<w:pPr><w:pStyle w:val="Normal"/></w:pPr>
<w:r><w:t xml:space="preserve">coincidence may be held to account in some measure for the</w:t></w:r>
</w:p>
<w:p>
<w:pPr><w:pStyle w:val="Normal"/></w:pPr>
<w:r><w:t xml:space="preserve">traditional association of a Lobeira with the authorship of</w:t></w:r>
</w:p>
<w:p>
<w:pPr><w:pStyle w:val="Normal"/></w:pPr>
<w:r><w:t xml:space="preserve">Amadis de Gaula; but, though curious, it warrants no</w:t></w:r>
</w:p>
<w:p>
<w:pPr><w:pStyle w:val="Normal"/></w:pPr>
<w:r><w:t xml:space="preserve">definite conclusion being drawn from it.  Against the Portuguese</w:t></w:r>
</w:p>
<w:p>
<w:pPr><w:pStyle w:val="Normal"/></w:pPr>
<w:r><w:t xml:space="preserve">claim it is argued that the Villancico corresponding to</w:t></w:r>
</w:p>
<w:p>
<w:pPr><w:pStyle w:val="Normal"/></w:pPr>
<w:r><w:t xml:space="preserve">Joao de Lobeiro&apos;s poem is an interpolation in the Spanish</w:t></w:r>
</w:p>
<w:p>
<w:pPr><w:pStyle w:val="Normal"/></w:pPr>
<w:r><w:t xml:space="preserve">text, that Portuguese prose was in a rudimentary stage of</w:t></w:r>
</w:p>
<w:p>
<w:pPr><w:pStyle w:val="Normal"/></w:pPr>
<w:r><w:t xml:space="preserve">development at the period when -- ex hypothesi -- the</w:t></w:r>
</w:p>
<w:p>
<w:pPr><w:pStyle w:val="Normal"/></w:pPr>
<w:r><w:t xml:space="preserve">romance was composed, and that the book was very popular</w:t></w:r>
</w:p>
<w:p>
<w:pPr><w:pStyle w:val="Normal"/></w:pPr>
<w:r><w:t xml:space="preserve">in Spain almost a century before it is even mentioned in</w:t></w:r>
</w:p>
<w:p>
<w:pPr><w:pStyle w:val="Normal"/></w:pPr>
<w:r><w:t xml:space="preserve">Portugal.  Lastly, there is the incontrovertible fact that</w:t></w:r>
</w:p>
<w:p>
<w:pPr><w:pStyle w:val="Normal"/></w:pPr>
<w:r><w:t xml:space="preserve">Amidis de Gaula exists in Castilian, while it remains</w:t></w:r>
</w:p>
<w:p>
<w:pPr><w:pStyle w:val="Normal"/></w:pPr>
<w:r><w:t xml:space="preserve">to be proved that it ever existed in Portuguese.  As to its</w:t></w:r>
</w:p>
<w:p>
<w:pPr><w:pStyle w:val="Normal"/></w:pPr>
<w:r><w:t xml:space="preserve">substance, it is beyond dispute that much of the text derives</w:t></w:r>
</w:p>
<w:p>
<w:pPr><w:pStyle w:val="Normal"/></w:pPr>
<w:r><w:t xml:space="preserve">from the French romances of the Round Table; but the evidence</w:t></w:r>
</w:p>
<w:p>
<w:pPr><w:pStyle w:val="Normal"/></w:pPr>
<w:r><w:t xml:space="preserve">does not enable us to say (1) whether it was pieced together</w:t></w:r>
</w:p>
<w:p>
<w:pPr><w:pStyle w:val="Normal"/></w:pPr>
<w:r><w:t xml:space="preserve">from various French romances; (2) whether it was more or</w:t></w:r>
</w:p>
<w:p>
<w:pPr><w:pStyle w:val="Normal"/></w:pPr>
<w:r><w:t xml:space="preserve">less literally translated from a lost French original; or</w:t></w:r>
</w:p>
<w:p>
<w:pPr><w:pStyle w:val="Normal"/></w:pPr>
<w:r><w:t xml:space="preserve">(3) whether the first Peninsular adapter or translator was a</w:t></w:r>
</w:p>
<w:p>
<w:pPr><w:pStyle w:val="Normal"/></w:pPr>
<w:r><w:t xml:space="preserve">Castilian or a Portuguese.  On these points judgment must be</w:t></w:r>
</w:p>
<w:p>
<w:pPr><w:pStyle w:val="Normal"/></w:pPr>
<w:r><w:t xml:space="preserve">suspended.  There can, however, be no hesitation in accepting</w:t></w:r>
</w:p>
<w:p>
<w:pPr><w:pStyle w:val="Normal"/></w:pPr>
<w:r><w:t xml:space="preserve">Cervantes&apos; verdict on Amadis de Gaula as the ``best of</w:t></w:r>
</w:p>
<w:p>
<w:pPr><w:pStyle w:val="Normal"/></w:pPr>
<w:r><w:t xml:space="preserve">all the books of this kind that have ever been written.&apos;&apos;</w:t></w:r>
</w:p>
<w:p>
<w:pPr><w:pStyle w:val="Normal"/></w:pPr>
<w:r><w:t xml:space="preserve">It is the prose epic of feudalism, and its romantic spirit,</w:t></w:r>
</w:p>
<w:p>
<w:pPr><w:pStyle w:val="Normal"/></w:pPr>
<w:r><w:t xml:space="preserve">its high ideals, its fantastic gallantry, its ingenious</w:t></w:r>
</w:p>
<w:p>
<w:pPr><w:pStyle w:val="Normal"/></w:pPr>
<w:r><w:t xml:space="preserve">adventures, its mechanism of symbolic wonders, and its</w:t></w:r>
</w:p>
<w:p>
<w:pPr><w:pStyle w:val="Normal"/></w:pPr>
<w:r><w:t xml:space="preserve">flowing style have entranced readers of such various types</w:t></w:r>
</w:p>
<w:p>
<w:pPr><w:pStyle w:val="Normal"/></w:pPr>
<w:r><w:t xml:space="preserve">as Francis I. and Charles V., Ariosto and Montaigne.</w:t></w:r>
</w:p>
<w:p>
<w:pPr><w:pStyle w:val="Normal"/></w:pPr>
<w:r><w:t xml:space="preserve">BIBLIOGRAPHY. -- Carolina Michaelis de Vasconcellos and</w:t></w:r>
</w:p>
<w:p>
<w:pPr><w:pStyle w:val="Normal"/></w:pPr>
<w:r><w:t xml:space="preserve">Gottfried Baist in the Grundriss der romanischen Philologie</w:t></w:r>
</w:p>
<w:p>
<w:pPr><w:pStyle w:val="Normal"/></w:pPr>
<w:r><w:t xml:space="preserve">(Strassburg, 1897 ), ii. Band, 2. Abteiluna, pp. 216-226</w:t></w:r>
</w:p>
<w:p>
<w:pPr><w:pStyle w:val="Normal"/></w:pPr>
<w:r><w:t xml:space="preserve">and 440-442: Ludwig Braunfels, Kritischer Versuch uber den</w:t></w:r>
</w:p>
<w:p>
<w:pPr><w:pStyle w:val="Normal"/></w:pPr>
<w:r><w:t xml:space="preserve">Roman Annadie von Glallien (Leipzig, 1876); Theophilo Braga,</w:t></w:r>
</w:p>
<w:p>
<w:pPr><w:pStyle w:val="Normal"/></w:pPr>
<w:r><w:t xml:space="preserve">Historia das novelas portuguezas de cavalleria (Porto,</w:t></w:r>
</w:p>
<w:p>
<w:pPr><w:pStyle w:val="Normal"/></w:pPr>
<w:r><w:t xml:space="preserve">1873), Curso de litteratura e arte portugueza (Lisboa,</w:t></w:r>
</w:p>
<w:p>
<w:pPr><w:pStyle w:val="Normal"/></w:pPr>
<w:r><w:t xml:space="preserve">1881), and Questoes de litteratura e arte portugueza</w:t></w:r>
</w:p>
<w:p>
<w:pPr><w:pStyle w:val="Normal"/></w:pPr>
<w:r><w:t xml:space="preserve">(Lisboa, 1885); Marcelino Menendez y Pelayo, Origenes de</w:t></w:r>
</w:p>
<w:p>
<w:pPr><w:pStyle w:val="Normal"/></w:pPr>
<w:r><w:t xml:space="preserve">la novela (Madrid, 1905); Eugene Baret, De l,Amadis de</w:t></w:r>
</w:p>
<w:p>
<w:pPr><w:pStyle w:val="Normal"/></w:pPr>
<w:r><w:t xml:space="preserve">Glaule et de son influence sur les moeurs et la litterature</w:t></w:r>
</w:p>
<w:p>
<w:pPr><w:pStyle w:val="Normal"/></w:pPr>
<w:r><w:t xml:space="preserve">au XVIe et au XVIIe siecle (Paris, 1873). (J. F. K.)</w:t></w:r>
</w:p>
<w:p>
<w:pPr><w:pStyle w:val="Normal"/></w:pPr>
<w:r><w:t xml:space="preserve">AMADOU, a soft tough substance used as tinder, derived</w:t></w:r>
</w:p>
<w:p>
<w:pPr><w:pStyle w:val="Normal"/></w:pPr>
<w:r><w:t xml:space="preserve">from Polyporus fomentarius, a fungus belonging to the</w:t></w:r>
</w:p>
<w:p>
<w:pPr><w:pStyle w:val="Normal"/></w:pPr>
<w:r><w:t xml:space="preserve">group Basidiomycetes and somewhat resembling a mushroom in</w:t></w:r>
</w:p>
<w:p>
<w:pPr><w:pStyle w:val="Normal"/></w:pPr>
<w:r><w:t xml:space="preserve">manner of growth.  It grows upon old trees, especially the</w:t></w:r>
</w:p>
<w:p>
<w:pPr><w:pStyle w:val="Normal"/></w:pPr>
<w:r><w:t xml:space="preserve">oak, ash, fir and cherry.  The fungus is cut into slices</w:t></w:r>
</w:p>
<w:p>
<w:pPr><w:pStyle w:val="Normal"/></w:pPr>
<w:r><w:t xml:space="preserve">and then steeped in a solution of nitre.  Amadou is prepared</w:t></w:r>
</w:p>
<w:p>
<w:pPr><w:pStyle w:val="Normal"/></w:pPr>
<w:r><w:t xml:space="preserve">on the continent of Europe, chiefly in Germany, but the</w:t></w:r>
</w:p>
<w:p>
<w:pPr><w:pStyle w:val="Normal"/></w:pPr>
<w:r><w:t xml:space="preserve">fungus is a native of Britain. Polyporus igniarius and</w:t></w:r>
</w:p>
<w:p>
<w:pPr><w:pStyle w:val="Normal"/></w:pPr>
<w:r><w:t xml:space="preserve">other species are also used, but yield an inferior product.</w:t></w:r>
</w:p>
<w:p>
<w:pPr><w:pStyle w:val="Normal"/></w:pPr>
<w:r><w:t xml:space="preserve">AMAKUSA, an island belonging to Japan, 26 1/2 m. long and 13 1/2</w:t></w:r>
</w:p>
<w:p>
<w:pPr><w:pStyle w:val="Normal"/></w:pPr>
<w:r><w:t xml:space="preserve">in extreme width, situated about 32 deg.  20&apos; N., and 130 deg.  E.</w:t></w:r>
</w:p>
<w:p>
<w:pPr><w:pStyle w:val="Normal"/></w:pPr>
<w:r><w:t xml:space="preserve">long., on the west of the province of Higo (island of Kiushiu),</w:t></w:r>
</w:p>
<w:p>
<w:pPr><w:pStyle w:val="Normal"/></w:pPr>
<w:r><w:t xml:space="preserve">from which it is separated by the Yatsushiro-kai.  It has</w:t></w:r>
</w:p>
<w:p>
<w:pPr><w:pStyle w:val="Normal"/></w:pPr>
<w:r><w:t xml:space="preserve">no high mountains, but its surface being very hilly -- four</w:t></w:r>
</w:p>
<w:p>
<w:pPr><w:pStyle w:val="Normal"/></w:pPr>
<w:r><w:t xml:space="preserve">of the peaks rise to a height over 1500 ft. -- the natives</w:t></w:r>
</w:p>
<w:p>
<w:pPr><w:pStyle w:val="Normal"/></w:pPr>
<w:r><w:t xml:space="preserve">resort to the terrace system of cultivation with remarkable</w:t></w:r>
</w:p>
<w:p>
<w:pPr><w:pStyle w:val="Normal"/></w:pPr>
<w:r><w:t xml:space="preserve">success.  A number of the heads of the Christians executed</w:t></w:r>
</w:p>
<w:p>
<w:pPr><w:pStyle w:val="Normal"/></w:pPr>
<w:r><w:t xml:space="preserve">in connexion  with the Shimabara rebellion in the first half</w:t></w:r>
</w:p>
<w:p>
<w:pPr><w:pStyle w:val="Normal"/></w:pPr>
<w:r><w:t xml:space="preserve">of the 17th century were buried in this island.  Amakusa</w:t></w:r>
</w:p>
<w:p>
<w:pPr><w:pStyle w:val="Normal"/></w:pPr>
<w:r><w:t xml:space="preserve">produces a little coal and fine kaolin, which was largely</w:t></w:r>
</w:p>
<w:p>
<w:pPr><w:pStyle w:val="Normal"/></w:pPr>
<w:r><w:t xml:space="preserve">used in former times by the potters of Hirado and Satsuma.</w:t></w:r>
</w:p>
<w:p>
<w:pPr><w:pStyle w:val="Normal"/></w:pPr>
<w:r><w:t xml:space="preserve">AMAL, the name of the noblest family among the Ostrogoths,</w:t></w:r>
</w:p>
<w:p>
<w:pPr><w:pStyle w:val="Normal"/></w:pPr>
<w:r><w:t xml:space="preserve">and that from which nearly all their kings were chosen.</w:t></w:r>
</w:p>
<w:p>
<w:pPr><w:pStyle w:val="Normal"/></w:pPr>
<w:r><w:t xml:space="preserve">AMALARIC (d. 531), king of the Visigoths, son of Alaric II.,</w:t></w:r>
</w:p>
<w:p>
<w:pPr><w:pStyle w:val="Normal"/></w:pPr>
<w:r><w:t xml:space="preserve">was a child when his father fell in battle against Clovis,</w:t></w:r>
</w:p>
<w:p>
<w:pPr><w:pStyle w:val="Normal"/></w:pPr>
<w:r><w:t xml:space="preserve">king of the Franks (507).  He was carried for safety into</w:t></w:r>
</w:p>
<w:p>
<w:pPr><w:pStyle w:val="Normal"/></w:pPr>
<w:r><w:t xml:space="preserve">Spain, which country and Provence were thenceforth ruled by</w:t></w:r>
</w:p>
<w:p>
<w:pPr><w:pStyle w:val="Normal"/></w:pPr>
<w:r><w:t xml:space="preserve">his maternal grandfather, Theodoric the Ostrogoth, acting</w:t></w:r>
</w:p>
<w:p>
<w:pPr><w:pStyle w:val="Normal"/></w:pPr>
<w:r><w:t xml:space="preserve">through his vice- gerent, an Ostrogothic nobleman named</w:t></w:r>
</w:p>
<w:p>
<w:pPr><w:pStyle w:val="Normal"/></w:pPr>
<w:r><w:t xml:space="preserve">Theudis.  In 522 the young Amalaric was proclaimed king,</w:t></w:r>
</w:p>
<w:p>
<w:pPr><w:pStyle w:val="Normal"/></w:pPr>
<w:r><w:t xml:space="preserve">and four years later, on Theodoric&apos;s death, he assumed full</w:t></w:r>
</w:p>
<w:p>
<w:pPr><w:pStyle w:val="Normal"/></w:pPr>
<w:r><w:t xml:space="preserve">royal power in Spain and a part of Languedoc, relinquishing</w:t></w:r>
</w:p>
<w:p>
<w:pPr><w:pStyle w:val="Normal"/></w:pPr>
<w:r><w:t xml:space="preserve">Provence to his cousin Athalaric.  He married Clotilda,</w:t></w:r>
</w:p>
<w:p>
<w:pPr><w:pStyle w:val="Normal"/></w:pPr>
<w:r><w:t xml:space="preserve">daughter of Clovis; but his disputes with her, he being</w:t></w:r>
</w:p>
<w:p>
<w:pPr><w:pStyle w:val="Normal"/></w:pPr>
<w:r><w:t xml:space="preserve">an Arian and she a Catholic, brought on him the penalty</w:t></w:r>
</w:p>
<w:p>
<w:pPr><w:pStyle w:val="Normal"/></w:pPr>
<w:r><w:t xml:space="preserve">of a Frankish invasion, in which he lost his life in 531.</w:t></w:r>
</w:p>
<w:p>
<w:pPr><w:pStyle w:val="Normal"/></w:pPr>
<w:r><w:t xml:space="preserve">AMALASUNTHA or AMALASUENTHA, queen of the Ostrogoths (d.</w:t></w:r>
</w:p>
<w:p>
<w:pPr><w:pStyle w:val="Normal"/></w:pPr>
<w:r><w:t xml:space="preserve">535), daughter of Theodoric, king of the Ostrogoths, was</w:t></w:r>
</w:p>
<w:p>
<w:pPr><w:pStyle w:val="Normal"/></w:pPr>
<w:r><w:t xml:space="preserve">married in 515 to Eutharic, an Ostrogoth of the old Areal</w:t></w:r>
</w:p>
<w:p>
<w:pPr><w:pStyle w:val="Normal"/></w:pPr>
<w:r><w:t xml:space="preserve">line, who had previously been living in Spain.  Her husband</w:t></w:r>
</w:p>
<w:p>
<w:pPr><w:pStyle w:val="Normal"/></w:pPr>
<w:r><w:t xml:space="preserve">died, apparently in the early years of her marriage, leaving</w:t></w:r>
</w:p>
<w:p>
<w:pPr><w:pStyle w:val="Normal"/></w:pPr>
<w:r><w:t xml:space="preserve">her with two children, Athalaricand Matasuentha.  On the</w:t></w:r>
</w:p>
<w:p>
<w:pPr><w:pStyle w:val="Normal"/></w:pPr>
<w:r><w:t xml:space="preserve">death of her father in 526, she succeeded him, acting as</w:t></w:r>
</w:p>
<w:p>
<w:pPr><w:pStyle w:val="Normal"/></w:pPr>
<w:r><w:t xml:space="preserve">regent for her son, but being herself deeply imbued with the</w:t></w:r>
</w:p>
<w:p>
<w:pPr><w:pStyle w:val="Normal"/></w:pPr>
<w:r><w:t xml:space="preserve">old Roman culture, she gave to that son&apos;s education a more</w:t></w:r>
</w:p>
<w:p>
<w:pPr><w:pStyle w:val="Normal"/></w:pPr>
<w:r><w:t xml:space="preserve">refined and literary turn than suited the ideas of her Gothic</w:t></w:r>
</w:p>
<w:p>
<w:pPr><w:pStyle w:val="Normal"/></w:pPr>
<w:r><w:t xml:space="preserve">subjects.  Conscious of her unpopularity she banished, and</w:t></w:r>
</w:p>
<w:p>
<w:pPr><w:pStyle w:val="Normal"/></w:pPr>
<w:r><w:t xml:space="preserve">afterwards put to death, three Gothic nobles whom she suspected</w:t></w:r>
</w:p>
<w:p>
<w:pPr><w:pStyle w:val="Normal"/></w:pPr>
<w:r><w:t xml:space="preserve">of intriguing against her rule, and at the same time opened</w:t></w:r>
</w:p>
<w:p>
<w:pPr><w:pStyle w:val="Normal"/></w:pPr>
<w:r><w:t xml:space="preserve">negotiations with the emperor Justinian with the view of</w:t></w:r>
</w:p>
<w:p>
<w:pPr><w:pStyle w:val="Normal"/></w:pPr>
<w:r><w:t xml:space="preserve">removing herself and the Gothic treasure to Constantinople.</w:t></w:r>
</w:p>
<w:p>
<w:pPr><w:pStyle w:val="Normal"/></w:pPr>
<w:r><w:t xml:space="preserve">Her son&apos;s death in 534 made but little change in the posture of</w:t></w:r>
</w:p>
<w:p>
<w:pPr><w:pStyle w:val="Normal"/></w:pPr>
<w:r><w:t xml:space="preserve">affairs.  Amalasuntha, now queen, with a view of strengthening</w:t></w:r>
</w:p>
<w:p>
<w:pPr><w:pStyle w:val="Normal"/></w:pPr>
<w:r><w:t xml:space="preserve">her position, made her cousin Theodahad partner of her throne</w:t></w:r>
</w:p>
<w:p>
<w:pPr><w:pStyle w:val="Normal"/></w:pPr>
<w:r><w:t xml:space="preserve">(not, as sometimes stated, her husband, for his wife was</w:t></w:r>
</w:p>
<w:p>
<w:pPr><w:pStyle w:val="Normal"/></w:pPr>
<w:r><w:t xml:space="preserve">still living).  The choice was unfortunate.  Theodahad,</w:t></w:r>
</w:p>
<w:p>
<w:pPr><w:pStyle w:val="Normal"/></w:pPr>
<w:r><w:t xml:space="preserve">notwithstanding a varnish of literary culture, was a coward</w:t></w:r>
</w:p>
<w:p>
<w:pPr><w:pStyle w:val="Normal"/></w:pPr>
<w:r><w:t xml:space="preserve">and a scoundrel.  He fostered the disaffection of the Goths,</w:t></w:r>
</w:p>
<w:p>
<w:pPr><w:pStyle w:val="Normal"/></w:pPr>
<w:r><w:t xml:space="preserve">and either by his orders or with his permission, Amalasuntha</w:t></w:r>
</w:p>
<w:p>
<w:pPr><w:pStyle w:val="Normal"/></w:pPr>
<w:r><w:t xml:space="preserve">was imprisoned on an island in the Tuscan lake of Bolsena,</w:t></w:r>
</w:p>
<w:p>
<w:pPr><w:pStyle w:val="Normal"/></w:pPr>
<w:r><w:t xml:space="preserve">where in the spring of 535 she was murdered in her bath.</w:t></w:r>
</w:p>
<w:p>
<w:pPr><w:pStyle w:val="Normal"/></w:pPr>
<w:r><w:t xml:space="preserve">The letters of Cassiodorus, chief minister and literary adviser of</w:t></w:r>
</w:p>
<w:p>
<w:pPr><w:pStyle w:val="Normal"/></w:pPr>
<w:r><w:t xml:space="preserve">Amalasuntha, and the histories of Procopius and Jordanea, give</w:t></w:r>
</w:p>
<w:p>
<w:pPr><w:pStyle w:val="Normal"/></w:pPr>
<w:r><w:t xml:space="preserve">us our chief information as to the character of Amalauentha.</w:t></w:r>
</w:p>
<w:p>
<w:pPr><w:pStyle w:val="Normal"/></w:pPr>
<w:r><w:t xml:space="preserve">AMALEKITES, an ancient tribe, or collection of tribes,</w:t></w:r>
</w:p>
<w:p>
<w:pPr><w:pStyle w:val="Normal"/></w:pPr>
<w:r><w:t xml:space="preserve">in the south and south-east of Palestine, often mentioned</w:t></w:r>
</w:p>
<w:p>
<w:pPr><w:pStyle w:val="Normal"/></w:pPr>
<w:r><w:t xml:space="preserve">in the Old Testament as foes of the Israelites.  They were</w:t></w:r>
</w:p>
<w:p>
<w:pPr><w:pStyle w:val="Normal"/></w:pPr>
<w:r><w:t xml:space="preserve">regarded as a branch of the Edomites (Gen. xxxvi. 12, see</w:t></w:r>
</w:p>
<w:p>
<w:pPr><w:pStyle w:val="Normal"/></w:pPr>
<w:r><w:t xml:space="preserve">EDOM), and appear to have numbered among their divisions</w:t></w:r>
</w:p>
<w:p>
<w:pPr><w:pStyle w:val="Normal"/></w:pPr>
<w:r><w:t xml:space="preserve">the Kenites. When the Israelites were journeying from Egypt</w:t></w:r>
</w:p>
<w:p>
<w:pPr><w:pStyle w:val="Normal"/></w:pPr>
<w:r><w:t xml:space="preserve">to the land of Canaan, the Amalekites are said to have taken</w:t></w:r>
</w:p>
<w:p>
<w:pPr><w:pStyle w:val="Normal"/></w:pPr>
<w:r><w:t xml:space="preserve">advantage of their weak condition to harry the stragglers</w:t></w:r>
</w:p>
<w:p>
<w:pPr><w:pStyle w:val="Normal"/></w:pPr>
<w:r><w:t xml:space="preserve">in the rear, and as a judgment for their hostility it was</w:t></w:r>
</w:p>
<w:p>
<w:pPr><w:pStyle w:val="Normal"/></w:pPr>
<w:r><w:t xml:space="preserve">ordained that their memory should be blotted out from under</w:t></w:r>
</w:p>
<w:p>
<w:pPr><w:pStyle w:val="Normal"/></w:pPr>
<w:r><w:t xml:space="preserve">heaven (Deut. xxv. 17-19). An allusion to this appears</w:t></w:r>
</w:p>
<w:p>
<w:pPr><w:pStyle w:val="Normal"/></w:pPr>
<w:r><w:t xml:space="preserve">in the account of Israel&apos;s defeat on the occasion of the</w:t></w:r>
</w:p>
<w:p>
<w:pPr><w:pStyle w:val="Normal"/></w:pPr>
<w:r><w:t xml:space="preserve">attempt to force a passage from Kadesh through Hormah,</w:t></w:r>
</w:p>
<w:p>
<w:pPr><w:pStyle w:val="Normal"/></w:pPr>
<w:r><w:t xml:space="preserve">evidently into Palestine (Num. xiv. 43-45, cp.  Deut. i.</w:t></w:r>
</w:p>
<w:p>
<w:pPr><w:pStyle w:val="Normal"/></w:pPr>
<w:r><w:t xml:space="preserve">44-46).  The statements are obscure, and elsewhere Hormah</w:t></w:r>
</w:p>
<w:p>
<w:pPr><w:pStyle w:val="Normal"/></w:pPr>
<w:r><w:t xml:space="preserve">is the scene of a victory over the Canaanites by Israel</w:t></w:r>
</w:p>
<w:p>
<w:pPr><w:pStyle w:val="Normal"/></w:pPr>
<w:r><w:t xml:space="preserve">(Num. xxi. 1-3), or by the tribes Judah and Simeon (Judg.</w:t></w:r>
</w:p>
<w:p>
<w:pPr><w:pStyle w:val="Normal"/></w:pPr>
<w:r><w:t xml:space="preserve">i. 17). The question is further complicated by the account</w:t></w:r>
</w:p>
<w:p>
<w:pPr><w:pStyle w:val="Normal"/></w:pPr>
<w:r><w:t xml:space="preserve">of Joshua&apos;s overthrow of Amalek apparently in the Sinaitic</w:t></w:r>
</w:p>
<w:p>
<w:pPr><w:pStyle w:val="Normal"/></w:pPr>
<w:r><w:t xml:space="preserve">peninsula.  The event was commemorated by the erection of the</w:t></w:r>
</w:p>
<w:p>
<w:pPr><w:pStyle w:val="Normal"/></w:pPr>
<w:r><w:t xml:space="preserve">altar ``Yahwehnissi&apos;&apos; (``Yahweh my banner&apos;&apos; or ``memorial&apos;&apos;),</w:t></w:r>
</w:p>
<w:p>
<w:pPr><w:pStyle w:val="Normal"/></w:pPr>
<w:r><w:t xml:space="preserve">and rendered even more memorable by the utterance, ``Yahweh</w:t></w:r>
</w:p>
<w:p>
<w:pPr><w:pStyle w:val="Normal"/></w:pPr>
<w:r><w:t xml:space="preserve">hath sworn: Yahweh will have war with Amalek from generation</w:t></w:r>
</w:p>
<w:p>
<w:pPr><w:pStyle w:val="Normal"/></w:pPr>
<w:r><w:t xml:space="preserve">to generation&apos;&apos; (Ex. xvii. 8-16, on its present position, see</w:t></w:r>
</w:p>
<w:p>
<w:pPr><w:pStyle w:val="Normal"/></w:pPr>
<w:r><w:t xml:space="preserve">EXODUS [BOOK]).  The same sentiment recurs in Yahweh&apos;s</w:t></w:r>
</w:p>
<w:p>
<w:pPr><w:pStyle w:val="Normal"/></w:pPr>
<w:r><w:t xml:space="preserve">command to Saul to destroy Amalek utterly for its hostility</w:t></w:r>
</w:p>
<w:p>
<w:pPr><w:pStyle w:val="Normal"/></w:pPr>
<w:r><w:t xml:space="preserve">to Israel (1 Sam. xv.), and in David&apos;s retaliatory expedition</w:t></w:r>
</w:p>
<w:p>
<w:pPr><w:pStyle w:val="Normal"/></w:pPr>
<w:r><w:t xml:space="preserve">when he distributed among his friends the spoil of the</w:t></w:r>
</w:p>
<w:p>
<w:pPr><w:pStyle w:val="Normal"/></w:pPr>
<w:r><w:t xml:space="preserve">``enemies of Yahweh&apos;&apos; (xxx. 26). Saul himself, according to one</w:t></w:r>
</w:p>
<w:p>
<w:pPr><w:pStyle w:val="Normal"/></w:pPr>
<w:r><w:t xml:space="preserve">tradition, was slain by an Amalekite (2 Sam. i., contrast 1</w:t></w:r>
</w:p>
<w:p>
<w:pPr><w:pStyle w:val="Normal"/></w:pPr>
<w:r><w:t xml:space="preserve">Sam. xxxi.).  A similar spirit appears among the prophecies</w:t></w:r>
</w:p>
<w:p>
<w:pPr><w:pStyle w:val="Normal"/></w:pPr>
<w:r><w:t xml:space="preserve">ascribed to Balaam: ``Amalek, first (or chief) of nations,</w:t></w:r>
</w:p>
<w:p>
<w:pPr><w:pStyle w:val="Normal"/></w:pPr>
<w:r><w:t xml:space="preserve">his latter end [will be] destruction&apos;&apos; (Num. xxiv. 20).</w:t></w:r>
</w:p>
<w:p>
<w:pPr><w:pStyle w:val="Normal"/></w:pPr>
<w:r><w:t xml:space="preserve">The district of Amalek lay to the south of Judah (cp. I</w:t></w:r>
</w:p>
<w:p>
<w:pPr><w:pStyle w:val="Normal"/></w:pPr>
<w:r><w:t xml:space="preserve">Chron. iv. 42 seq.), probably between Kadesh and Hormah (cp.</w:t></w:r>
</w:p>
<w:p>
<w:pPr><w:pStyle w:val="Normal"/></w:pPr>
<w:r><w:t xml:space="preserve">Gen. xiv. 7; 1 Sam. xv. 7, xxvii. 8), and the interchange of</w:t></w:r>
</w:p>
<w:p>
<w:pPr><w:pStyle w:val="Normal"/></w:pPr>
<w:r><w:t xml:space="preserve">the ethnic with ``Canaanites&apos;&apos; and ``Amorites&apos;&apos; suggests that</w:t></w:r>
</w:p>
<w:p>
<w:pPr><w:pStyle w:val="Normal"/></w:pPr>
<w:r><w:t xml:space="preserve">the Amalekites are merely one of Israel&apos;s traditional enemies</w:t></w:r>
</w:p>
<w:p>
<w:pPr><w:pStyle w:val="Normal"/></w:pPr>
<w:r><w:t xml:space="preserve">of the older period.  Hence we find them taking part with</w:t></w:r>
</w:p>
<w:p>
<w:pPr><w:pStyle w:val="Normal"/></w:pPr>
<w:r><w:t xml:space="preserve">Ammonites and Midianites (Judg. iii. 13, vi. 3), and their king</w:t></w:r>
</w:p>
<w:p>
<w:pPr><w:pStyle w:val="Normal"/></w:pPr>
<w:r><w:t xml:space="preserve">Agag, slain by Samuel as a sacrificial offering (1 Sam. xv.</w:t></w:r>
</w:p>
<w:p>
<w:pPr><w:pStyle w:val="Normal"/></w:pPr>
<w:r><w:t xml:space="preserve">9), was a byword for old-time might and power (Num. xxiv. 7).</w:t></w:r>
</w:p>
<w:p>
<w:pPr><w:pStyle w:val="Normal"/></w:pPr>
<w:r><w:t xml:space="preserve">Even in one of the Psalms (lxxxiii. 7) Amalek is mentioned</w:t></w:r>
</w:p>
<w:p>
<w:pPr><w:pStyle w:val="Normal"/></w:pPr>
<w:r><w:t xml:space="preserve">among the enemies of Israel -- just as Greek writers of the 6th</w:t></w:r>
</w:p>
<w:p>
<w:pPr><w:pStyle w:val="Normal"/></w:pPr>
<w:r><w:t xml:space="preserve">century of this era applied the old term Scythians to the Goths</w:t></w:r>
</w:p>
<w:p>
<w:pPr><w:pStyle w:val="Normal"/></w:pPr>
<w:r><w:t xml:space="preserve">(Noldeke), -- and the traditional hostility between Saul and</w:t></w:r>
</w:p>
<w:p>
<w:pPr><w:pStyle w:val="Normal"/></w:pPr>
<w:r><w:t xml:space="preserve">Amalek is reflected still later in the book of Esther where</w:t></w:r>
</w:p>
<w:p>
<w:pPr><w:pStyle w:val="Normal"/></w:pPr>
<w:r><w:t xml:space="preserve">Haman the Agagite is pitted against Mordecai the Benjamite.</w:t></w:r>
</w:p>
<w:p>
<w:pPr><w:pStyle w:val="Normal"/></w:pPr>
<w:r><w:t xml:space="preserve">Twice Amalek seems to be mentioned as occupying central</w:t></w:r>
</w:p>
<w:p>
<w:pPr><w:pStyle w:val="Normal"/></w:pPr>
<w:r><w:t xml:space="preserve">Palestine (Judg. v. 14, xii. 15), but the passages are</w:t></w:r>
</w:p>
<w:p>
<w:pPr><w:pStyle w:val="Normal"/></w:pPr>
<w:r><w:t xml:space="preserve">textually uncertain.  The name is celebrated in Arabian</w:t></w:r>
</w:p>
<w:p>
<w:pPr><w:pStyle w:val="Normal"/></w:pPr>
<w:r><w:t xml:space="preserve">tradition, but the statements regarding them are confused and</w:t></w:r>
</w:p>
<w:p>
<w:pPr><w:pStyle w:val="Normal"/></w:pPr>
<w:r><w:t xml:space="preserve">conflicting, and for historical purposes are practically</w:t></w:r>
</w:p>
<w:p>
<w:pPr><w:pStyle w:val="Normal"/></w:pPr>
<w:r><w:t xml:space="preserve">worthless, as has been proved by Th. Noldeke (Uleber</w:t></w:r>
</w:p>
<w:p>
<w:pPr><w:pStyle w:val="Normal"/></w:pPr>
<w:r><w:t xml:space="preserve">die Amalekiter, Gottingen, 1864).  On the biblical</w:t></w:r>
</w:p>
<w:p>
<w:pPr><w:pStyle w:val="Normal"/></w:pPr>
<w:r><w:t xml:space="preserve">data, see also E. Meyer, Die Israeliten (Index, s.v..)</w:t></w:r>
</w:p>
<w:p>
<w:pPr><w:pStyle w:val="Normal"/></w:pPr>
<w:r><w:t xml:space="preserve">(S. A. C.)</w:t></w:r>
</w:p>
<w:p>
<w:pPr><w:pStyle w:val="Normal"/></w:pPr>
<w:r><w:t xml:space="preserve">AMALFI, a town and archiepiscopal see of Campania, Italy, in</w:t></w:r>
</w:p>
<w:p>
<w:pPr><w:pStyle w:val="Normal"/></w:pPr>
<w:r><w:t xml:space="preserve">the province of Salerno, from the town of which name it is</w:t></w:r>
</w:p>
<w:p>
<w:pPr><w:pStyle w:val="Normal"/></w:pPr>
<w:r><w:t xml:space="preserve">distant 12 m.  W.S.W. by road, on the N. coast of the Gulf of</w:t></w:r>
</w:p>
<w:p>
<w:pPr><w:pStyle w:val="Normal"/></w:pPr>
<w:r><w:t xml:space="preserve">Salerno.  Pop. (1901) 6681.  It lies at the mouth of a deep</w:t></w:r>
</w:p>
<w:p>
<w:pPr><w:pStyle w:val="Normal"/></w:pPr>
<w:r><w:t xml:space="preserve">ravine, in a sheltered situation, at the foot of Monte Cerreto</w:t></w:r>
</w:p>
<w:p>
<w:pPr><w:pStyle w:val="Normal"/></w:pPr>
<w:r><w:t xml:space="preserve">(4314 ft.), in the centre of splendid coast scenery, and is</w:t></w:r>
</w:p>
<w:p>
<w:pPr><w:pStyle w:val="Normal"/></w:pPr>
<w:r><w:t xml:space="preserve">in consequence much visited by foreigners.  The cathedral</w:t></w:r>
</w:p>
<w:p>
<w:pPr><w:pStyle w:val="Normal"/></w:pPr>
<w:r><w:t xml:space="preserve">of S. Andrea is a structure in the Lombard-Norman style, of</w:t></w:r>
</w:p>
<w:p>
<w:pPr><w:pStyle w:val="Normal"/></w:pPr>
<w:r><w:t xml:space="preserve">the 11th century; the facade in black and white stone was</w:t></w:r>
</w:p>
<w:p>
<w:pPr><w:pStyle w:val="Normal"/></w:pPr>
<w:r><w:t xml:space="preserve">well restored in 1891; the bronze doors were executed at</w:t></w:r>
</w:p>
<w:p>
<w:pPr><w:pStyle w:val="Normal"/></w:pPr>
<w:r><w:t xml:space="preserve">Constantinople before 1066. The campanile dates from 1276.</w:t></w:r>
</w:p>
<w:p>
<w:pPr><w:pStyle w:val="Normal"/></w:pPr>
<w:r><w:t xml:space="preserve">The interior is also fine, and contains ancient columns and</w:t></w:r>
</w:p>
<w:p>
<w:pPr><w:pStyle w:val="Normal"/></w:pPr>
<w:r><w:t xml:space="preserve">sarcophagi.  The conspicuous Capuchin monastery on the</w:t></w:r>
</w:p>
<w:p>
<w:pPr><w:pStyle w:val="Normal"/></w:pPr>
<w:r><w:t xml:space="preserve">W. with fine cloisters (partly destroyed by a landslip in</w:t></w:r>
</w:p>
<w:p>
<w:pPr><w:pStyle w:val="Normal"/></w:pPr>
<w:r><w:t xml:space="preserve">1899) is now used as an hotel.  Amalfi is first mentioned</w:t></w:r>
</w:p>
<w:p>
<w:pPr><w:pStyle w:val="Normal"/></w:pPr>
<w:r><w:t xml:space="preserve">in the 6th century, and soon acquired importance as a naval</w:t></w:r>
</w:p>
<w:p>
<w:pPr><w:pStyle w:val="Normal"/></w:pPr>
<w:r><w:t xml:space="preserve">power; in the 9th century it shared with Venice and Gaeta</w:t></w:r>
</w:p>
<w:p>
<w:pPr><w:pStyle w:val="Normal"/></w:pPr>
<w:r><w:t xml:space="preserve">the Italian trade with the East, and in 848 its fleet went</w:t></w:r>
</w:p>
<w:p>
<w:pPr><w:pStyle w:val="Normal"/></w:pPr>
<w:r><w:t xml:space="preserve">to the assistance of Pope Leo IV. against the Saracens.</w:t></w:r>
</w:p>
<w:p>
<w:pPr><w:pStyle w:val="Normal"/></w:pPr>
<w:r><w:t xml:space="preserve">It was then an independent republic with a population of</w:t></w:r>
</w:p>
<w:p>
<w:pPr><w:pStyle w:val="Normal"/></w:pPr>
<w:r><w:t xml:space="preserve">some 70,000, but in 1131 it was reduced by King Roger of</w:t></w:r>
</w:p>
<w:p>
<w:pPr><w:pStyle w:val="Normal"/></w:pPr>
<w:r><w:t xml:space="preserve">Sicily.  In 1135 and 1137 it was taken by the Pisans, and</w:t></w:r>
</w:p>
<w:p>
<w:pPr><w:pStyle w:val="Normal"/></w:pPr>
<w:r><w:t xml:space="preserve">rapidly declined in importance, though its maritime code,</w:t></w:r>
</w:p>
<w:p>
<w:pPr><w:pStyle w:val="Normal"/></w:pPr>
<w:r><w:t xml:space="preserve">known as the Tavole Amalfitane, was recognized in the</w:t></w:r>
</w:p>
<w:p>
<w:pPr><w:pStyle w:val="Normal"/></w:pPr>
<w:r><w:t xml:space="preserve">Mediterranean until 1570.  In 1343 a large part of the town was</w:t></w:r>
</w:p>
<w:p>
<w:pPr><w:pStyle w:val="Normal"/></w:pPr>
<w:r><w:t xml:space="preserve">destroyed by an inundation, and its harbour is now of little</w:t></w:r>
</w:p>
<w:p>
<w:pPr><w:pStyle w:val="Normal"/></w:pPr>
<w:r><w:t xml:space="preserve">importance.  Its industries too, have largely disappeared,</w:t></w:r>
</w:p>
<w:p>
<w:pPr><w:pStyle w:val="Normal"/></w:pPr>
<w:r><w:t xml:space="preserve">and the paper manufacture has lost ground since 1861.</w:t></w:r>
</w:p>
<w:p>
<w:pPr><w:pStyle w:val="Normal"/></w:pPr>
<w:r><w:t xml:space="preserve">AMALGAM, the name applied to alloys which contain mercury.</w:t></w:r>
</w:p>
<w:p>
<w:pPr><w:pStyle w:val="Normal"/></w:pPr>
<w:r><w:t xml:space="preserve">It is said by Andreas Libavius to be a corruption of</w:t></w:r>
</w:p>
<w:p>
<w:pPr><w:pStyle w:val="Normal"/></w:pPr>
<w:r><w:t xml:space="preserve">malagma; in the alchemists the form algamala is also</w:t></w:r>
</w:p>
<w:p>
<w:pPr><w:pStyle w:val="Normal"/></w:pPr>
<w:r><w:t xml:space="preserve">found.  Many amalgams are formed by the direct contact of a</w:t></w:r>
</w:p>
<w:p>
<w:pPr><w:pStyle w:val="Normal"/></w:pPr>
<w:r><w:t xml:space="preserve">metal with mercury, sometimes with absorption, sometimes with</w:t></w:r>
</w:p>
<w:p>
<w:pPr><w:pStyle w:val="Normal"/></w:pPr>
<w:r><w:t xml:space="preserve">evolution, of heat. Other methods are to place the metal</w:t></w:r>
</w:p>
<w:p>
<w:pPr><w:pStyle w:val="Normal"/></w:pPr>
<w:r><w:t xml:space="preserve">and mercury together in dilute acid, to add mercury to the</w:t></w:r>
</w:p>
<w:p>
<w:pPr><w:pStyle w:val="Normal"/></w:pPr>
<w:r><w:t xml:space="preserve">solution of a metallic salt, to place a metal in a solution</w:t></w:r>
</w:p>
<w:p>
<w:pPr><w:pStyle w:val="Normal"/></w:pPr>
<w:r><w:t xml:space="preserve">of mercuric nitrate, or to electrolyse a metallic salt using</w:t></w:r>
</w:p>
<w:p>
<w:pPr><w:pStyle w:val="Normal"/></w:pPr>
<w:r><w:t xml:space="preserve">mercury as the negative electrode.  Some amalgams are liquids,</w:t></w:r>
</w:p>
<w:p>
<w:pPr><w:pStyle w:val="Normal"/></w:pPr>
<w:r><w:t xml:space="preserve">especially when containing a large proportion of mercury;</w:t></w:r>
</w:p>
<w:p>
<w:pPr><w:pStyle w:val="Normal"/></w:pPr>
<w:r><w:t xml:space="preserve">others assume a crystalline form.  In some cases definite</w:t></w:r>
</w:p>
<w:p>
<w:pPr><w:pStyle w:val="Normal"/></w:pPr>
<w:r><w:t xml:space="preserve">compounds have been isolated from amalgams which may be regarded</w:t></w:r>
</w:p>
<w:p>
<w:pPr><w:pStyle w:val="Normal"/></w:pPr>
<w:r><w:t xml:space="preserve">as mixtures of one or more of such compounds with mercury in</w:t></w:r>
</w:p>
<w:p>
<w:pPr><w:pStyle w:val="Normal"/></w:pPr>
<w:r><w:t xml:space="preserve">excess.  In general these compounds are decomposable by heat,</w:t></w:r>
</w:p>
<w:p>
<w:pPr><w:pStyle w:val="Normal"/></w:pPr>
<w:r><w:t xml:space="preserve">but some of them, such as those of gold, silver, copper and</w:t></w:r>
</w:p>
<w:p>
<w:pPr><w:pStyle w:val="Normal"/></w:pPr>
<w:r><w:t xml:space="preserve">the alkali metals, even when heated above the boiling point</w:t></w:r>
</w:p>
<w:p>
<w:pPr><w:pStyle w:val="Normal"/></w:pPr>
<w:r><w:t xml:space="preserve">of mercury retain mercury and leave residues of definite</w:t></w:r>
</w:p>
<w:p>
<w:pPr><w:pStyle w:val="Normal"/></w:pPr>
<w:r><w:t xml:space="preserve">composition.  Tin amalgam is used for ``silvering&apos;&apos; mirrors,</w:t></w:r>
</w:p>
<w:p>
<w:pPr><w:pStyle w:val="Normal"/></w:pPr>
<w:r><w:t xml:space="preserve">gold and silver amalgam in gilding and silvering, cadmium and</w:t></w:r>
</w:p>
<w:p>
<w:pPr><w:pStyle w:val="Normal"/></w:pPr>
<w:r><w:t xml:space="preserve">copper amalgam in dentistry, and an amalgam of zinc and tin for</w:t></w:r>
</w:p>
<w:p>
<w:pPr><w:pStyle w:val="Normal"/></w:pPr>
<w:r><w:t xml:space="preserve">the rubbers of electrical machines; the zinc plates of electric</w:t></w:r>
</w:p>
<w:p>
<w:pPr><w:pStyle w:val="Normal"/></w:pPr>
<w:r><w:t xml:space="preserve">batteries are amalgamated in order to reduce polarization.</w:t></w:r>
</w:p>
<w:p>
<w:pPr><w:pStyle w:val="Normal"/></w:pPr>
<w:r><w:t xml:space="preserve">AMALRIC, the name of two kings of Jerusalem. AMALRIC I.,</w:t></w:r>
</w:p>
<w:p>
<w:pPr><w:pStyle w:val="Normal"/></w:pPr>
<w:r><w:t xml:space="preserve">king from 1162 to 1174, was the son of Fulk of Jerusalem, and</w:t></w:r>
</w:p>
<w:p>
<w:pPr><w:pStyle w:val="Normal"/></w:pPr>
<w:r><w:t xml:space="preserve">the brother of Baldwin III. He was twice married: by his first</w:t></w:r>
</w:p>
<w:p>
<w:pPr><w:pStyle w:val="Normal"/></w:pPr>
<w:r><w:t xml:space="preserve">wife, Agnes of Edessa, he had issue a son and a daughter,</w:t></w:r>
</w:p>
<w:p>
<w:pPr><w:pStyle w:val="Normal"/></w:pPr>
<w:r><w:t xml:space="preserve">Baldwin IV. and Sibylla, while his second wife, Maria Comnena,</w:t></w:r>
</w:p>
<w:p>
<w:pPr><w:pStyle w:val="Normal"/></w:pPr>
<w:r><w:t xml:space="preserve">bore him a daughter Isabella, who ultimately carried the</w:t></w:r>
</w:p>
<w:p>
<w:pPr><w:pStyle w:val="Normal"/></w:pPr>
<w:r><w:t xml:space="preserve">crown of Jerusalem to her fourth husband, Amalric of Lusignan</w:t></w:r>
</w:p>
<w:p>
<w:pPr><w:pStyle w:val="Normal"/></w:pPr>
<w:r><w:t xml:space="preserve">(Amalric II.).  The reign of Amalric I. was occupied by the</w:t></w:r>
</w:p>
<w:p>
<w:pPr><w:pStyle w:val="Normal"/></w:pPr>
<w:r><w:t xml:space="preserve">Egyptian problem.  It became a question between Amalric and</w:t></w:r>
</w:p>
<w:p>
<w:pPr><w:pStyle w:val="Normal"/></w:pPr>
<w:r><w:t xml:space="preserve">Nureddin, which of the two should control the discordant</w:t></w:r>
</w:p>
<w:p>
<w:pPr><w:pStyle w:val="Normal"/></w:pPr>
<w:r><w:t xml:space="preserve">viziers, who vied with one another for the control of the</w:t></w:r>
</w:p>
<w:p>
<w:pPr><w:pStyle w:val="Normal"/></w:pPr>
<w:r><w:t xml:space="preserve">decadent caliphs of Egypt.  The acquisition of Egypt had</w:t></w:r>
</w:p>
<w:p>
<w:pPr><w:pStyle w:val="Normal"/></w:pPr>
<w:r><w:t xml:space="preserve">been an object of the Franks since the days of Baldwin I.</w:t></w:r>
</w:p>
<w:p>
<w:pPr><w:pStyle w:val="Normal"/></w:pPr>
<w:r><w:t xml:space="preserve">(and indeed of Godfrey himself, who had promised to cede</w:t></w:r>
</w:p>
<w:p>
<w:pPr><w:pStyle w:val="Normal"/></w:pPr>
<w:r><w:t xml:space="preserve">Jerusalem to the patriarch Dagobert as soon as he should</w:t></w:r>
</w:p>
<w:p>
<w:pPr><w:pStyle w:val="Normal"/></w:pPr>
<w:r><w:t xml:space="preserve">himself acquire Cairo).  The capture of Ascakm by Baldwin</w:t></w:r>
</w:p>
<w:p>
<w:pPr><w:pStyle w:val="Heading1"/></w:pPr>
<w:r><w:t>III. in 1153 made this object more feasible; and we find</w:t></w:r>
</w:p>
<w:p>
<w:pPr><w:pStyle w:val="Normal"/></w:pPr>
<w:r><w:t xml:space="preserve">the Hospitallers preparing sketch-maps of the routes best</w:t></w:r>
</w:p>
<w:p>
<w:pPr><w:pStyle w:val="Normal"/></w:pPr>
<w:r><w:t xml:space="preserve">suited for an invasion of Egypt, in the style of a modern war</w:t></w:r>
</w:p>
<w:p>
<w:pPr><w:pStyle w:val="Normal"/></w:pPr>
<w:r><w:t xml:space="preserve">office.  On the other hand, it was natural for Nureddin to</w:t></w:r>
</w:p>
<w:p>
<w:pPr><w:pStyle w:val="Normal"/></w:pPr>
<w:r><w:t xml:space="preserve">attempt to secure Egypt, both because it was the terminus</w:t></w:r>
</w:p>
<w:p>
<w:pPr><w:pStyle w:val="Normal"/></w:pPr>
<w:r><w:t xml:space="preserve">of the trading route which ran from Damascus and because the</w:t></w:r>
</w:p>
<w:p>
<w:pPr><w:pStyle w:val="Normal"/></w:pPr>
<w:r><w:t xml:space="preserve">acquisition of Egypt would enable him to surround the Latin</w:t></w:r>
</w:p>
<w:p>
<w:pPr><w:pStyle w:val="Normal"/></w:pPr>
<w:r><w:t xml:space="preserve">kingdom.  For some five years a contest was waged between</w:t></w:r>
</w:p>
<w:p>
<w:pPr><w:pStyle w:val="Normal"/></w:pPr>
<w:r><w:t xml:space="preserve">Amalric and Shirguh (Shirkuh), the lieutenant of Nureddin,</w:t></w:r>
</w:p>
<w:p>
<w:pPr><w:pStyle w:val="Normal"/></w:pPr>
<w:r><w:t xml:space="preserve">for the possession of Egypt.  Thrice (1164, 1167, 1168)</w:t></w:r>
</w:p>
<w:p>
<w:pPr><w:pStyle w:val="Normal"/></w:pPr>
<w:r><w:t xml:space="preserve">Amalric penetrated into Egypt: but the contest ended in the</w:t></w:r>
</w:p>
<w:p>
<w:pPr><w:pStyle w:val="Normal"/></w:pPr>
<w:r><w:t xml:space="preserve">establishment of Saladin, the nephew of Shirguh, as vizier</w:t></w:r>
</w:p>
<w:p>
<w:pPr><w:pStyle w:val="Normal"/></w:pPr>
<w:r><w:t xml:space="preserve">-- a position which, on the death of the puppet caliph in</w:t></w:r>
</w:p>
<w:p>
<w:pPr><w:pStyle w:val="Normal"/></w:pPr>
<w:r><w:t xml:space="preserve">1171, was turned into that of sovereign.  The extinction of</w:t></w:r>
</w:p>
<w:p>
<w:pPr><w:pStyle w:val="Normal"/></w:pPr>
<w:r><w:t xml:space="preserve">the Latin kingdom might now seem imminent; and envoys were</w:t></w:r>
</w:p>
<w:p>
<w:pPr><w:pStyle w:val="Normal"/></w:pPr>
<w:r><w:t xml:space="preserve">sent to the West with anxious appeals for assistance in</w:t></w:r>
</w:p>
<w:p>
<w:pPr><w:pStyle w:val="Normal"/></w:pPr>
<w:r><w:t xml:space="preserve">1169, 1171 and 1173.  But though in 1170 Saladin attacked</w:t></w:r>
</w:p>
<w:p>
<w:pPr><w:pStyle w:val="Normal"/></w:pPr>
<w:r><w:t xml:space="preserve">the kingdom, and captured Aila on the Red Sea, the danger</w:t></w:r>
</w:p>
<w:p>
<w:pPr><w:pStyle w:val="Normal"/></w:pPr>
<w:r><w:t xml:space="preserve">was not so great as it seemed.  Nureddin was jealous of</w:t></w:r>
</w:p>
<w:p>
<w:pPr><w:pStyle w:val="Normal"/></w:pPr>
<w:r><w:t xml:space="preserve">his over-mighty subject, and his jealousy bound Saladin&apos;s</w:t></w:r>
</w:p>
<w:p>
<w:pPr><w:pStyle w:val="Normal"/></w:pPr>
<w:r><w:t xml:space="preserve">hands.  This was the position of affairs when Amalric died,</w:t></w:r>
</w:p>
<w:p>
<w:pPr><w:pStyle w:val="Normal"/></w:pPr>
<w:r><w:t xml:space="preserve">in 1174; but, as Nureddin died in the same year, the position</w:t></w:r>
</w:p>
<w:p>
<w:pPr><w:pStyle w:val="Normal"/></w:pPr>
<w:r><w:t xml:space="preserve">was soon altered and Saladin began the final attack on the</w:t></w:r>
</w:p>
<w:p>
<w:pPr><w:pStyle w:val="Normal"/></w:pPr>
<w:r><w:t xml:space="preserve">kingdom.  Amalric I., the second of the native kings of</w:t></w:r>
</w:p>
<w:p>
<w:pPr><w:pStyle w:val="Normal"/></w:pPr>
<w:r><w:t xml:space="preserve">Jerusalem, had the qualities of his brother Baldwin III.</w:t></w:r>
</w:p>
<w:p>
<w:pPr><w:pStyle w:val="Normal"/></w:pPr>
<w:r><w:t xml:space="preserve">(q.v.) He was something of a scholar, and it was he who</w:t></w:r>
</w:p>
<w:p>
<w:pPr><w:pStyle w:val="Normal"/></w:pPr>
<w:r><w:t xml:space="preserve">set William of Tyre to work.  He was perhaps still more of</w:t></w:r>
</w:p>
<w:p>
<w:pPr><w:pStyle w:val="Normal"/></w:pPr>
<w:r><w:t xml:space="preserve">a lawyer: his delight was in knotty points of the law, and</w:t></w:r>
</w:p>
<w:p>
<w:pPr><w:pStyle w:val="Normal"/></w:pPr>
<w:r><w:t xml:space="preserve">he knew the Assises better than any of his subjects.</w:t></w:r>
</w:p>
<w:p>
<w:pPr><w:pStyle w:val="Normal"/></w:pPr>
<w:r><w:t xml:space="preserve">The Church had some doubts of him, and he laid his hands on</w:t></w:r>
</w:p>
<w:p>
<w:pPr><w:pStyle w:val="Normal"/></w:pPr>
<w:r><w:t xml:space="preserve">the Church. William of Tyre was once astonished to find him</w:t></w:r>
</w:p>
<w:p>
<w:pPr><w:pStyle w:val="Normal"/></w:pPr>
<w:r><w:t xml:space="preserve">questioning, on a bed of sickness, the resurrection of the</w:t></w:r>
</w:p>
<w:p>
<w:pPr><w:pStyle w:val="Normal"/></w:pPr>
<w:r><w:t xml:space="preserve">body; and his taxation of clerical goods gave umbrage to the</w:t></w:r>
</w:p>
<w:p>
<w:pPr><w:pStyle w:val="Normal"/></w:pPr>
<w:r><w:t xml:space="preserve">clergy generally. But he maintained the state of his kingdom</w:t></w:r>
</w:p>
<w:p>
<w:pPr><w:pStyle w:val="Normal"/></w:pPr>
<w:r><w:t xml:space="preserve">with the resources which he owed to the Church; and he is</w:t></w:r>
</w:p>
<w:p>
<w:pPr><w:pStyle w:val="Normal"/></w:pPr>
<w:r><w:t xml:space="preserve">the last in the fine list of the early kings of Jerusalem.</w:t></w:r>
</w:p>
<w:p>
<w:pPr><w:pStyle w:val="Normal"/></w:pPr>
<w:r><w:t xml:space="preserve">William of Tyre is our original authority: see xix. 2-3 for</w:t></w:r>
</w:p>
<w:p>
<w:pPr><w:pStyle w:val="Normal"/></w:pPr>
<w:r><w:t xml:space="preserve">his sketch of Amalric.  Rohricht narrates the reign of Amalric</w:t></w:r>
</w:p>
<w:p>
<w:pPr><w:pStyle w:val="Normal"/></w:pPr>
<w:r><w:t xml:space="preserve">I., Geschichte des Konigreichs Jerusalem, c. xvii.-xviii.</w:t></w:r>
</w:p>
<w:p>
<w:pPr><w:pStyle w:val="Normal"/></w:pPr>
<w:r><w:t xml:space="preserve">Amalric II., king from 1197 to 1205, was the brother of Guy of</w:t></w:r>
</w:p>
<w:p>
<w:pPr><w:pStyle w:val="Normal"/></w:pPr>
<w:r><w:t xml:space="preserve">Lusignan.  He had been constable of Jerusalem, but in 1194, on</w:t></w:r>
</w:p>
<w:p>
<w:pPr><w:pStyle w:val="Normal"/></w:pPr>
<w:r><w:t xml:space="preserve">the death of his brother, he became king of Cyprus, as Amalric</w:t></w:r>
</w:p>
<w:p>
<w:pPr><w:pStyle w:val="Heading1"/></w:pPr>
<w:r><w:t>I. He married Isabella, the daughter of Amalric I. by his second</w:t></w:r>
</w:p>
<w:p>
<w:pPr><w:pStyle w:val="Normal"/></w:pPr>
<w:r><w:t xml:space="preserve">marriage, and became king of Jerusalem in right of his wife in</w:t></w:r>
</w:p>
<w:p>
<w:pPr><w:pStyle w:val="Normal"/></w:pPr>
<w:r><w:t xml:space="preserve">1197.  In 1198 he was able to procure a five years&apos; truce</w:t></w:r>
</w:p>
<w:p>
<w:pPr><w:pStyle w:val="Normal"/></w:pPr>
<w:r><w:t xml:space="preserve">with the Mahommedans, owing to the struggle between Saladin&apos;s</w:t></w:r>
</w:p>
<w:p>
<w:pPr><w:pStyle w:val="Normal"/></w:pPr>
<w:r><w:t xml:space="preserve">brothers and his sons for the inheritance of his territories.</w:t></w:r>
</w:p>
<w:p>
<w:pPr><w:pStyle w:val="Normal"/></w:pPr>
<w:r><w:t xml:space="preserve">The truce was disturbed by raids on both sides, but in 1204</w:t></w:r>
</w:p>
<w:p>
<w:pPr><w:pStyle w:val="Normal"/></w:pPr>
<w:r><w:t xml:space="preserve">it was renewed for six years.  Amalric died in 1205, just</w:t></w:r>
</w:p>
<w:p>
<w:pPr><w:pStyle w:val="Normal"/></w:pPr>
<w:r><w:t xml:space="preserve">after his son and just before his wife.  The kingdom of Cyprus</w:t></w:r>
</w:p>
<w:p>
<w:pPr><w:pStyle w:val="Normal"/></w:pPr>
<w:r><w:t xml:space="preserve">passed to Hugh, his son by an earlier marriage, while that</w:t></w:r>
</w:p>
<w:p>
<w:pPr><w:pStyle w:val="Normal"/></w:pPr>
<w:r><w:t xml:space="preserve">of Jerusalem passed to Maria, the daughter of Isabella by</w:t></w:r>
</w:p>
<w:p>
<w:pPr><w:pStyle w:val="Normal"/></w:pPr>
<w:r><w:t xml:space="preserve">her previous marriage with Conrad of Montferrat. (E. B. R.)</w:t></w:r>
</w:p>
<w:p>
<w:pPr><w:pStyle w:val="Normal"/></w:pPr>
<w:r><w:t xml:space="preserve">AMALRIC (Fr. AMAURY) OF BENA (d.c. 1204-1207), French</w:t></w:r>
</w:p>
<w:p>
<w:pPr><w:pStyle w:val="Normal"/></w:pPr>
<w:r><w:t xml:space="preserve">theologian, was born in the latter part of the 12th century</w:t></w:r>
</w:p>
<w:p>
<w:pPr><w:pStyle w:val="Normal"/></w:pPr>
<w:r><w:t xml:space="preserve">at Bena, a village in the diocese of Chartres.  He taught</w:t></w:r>
</w:p>
<w:p>
<w:pPr><w:pStyle w:val="Normal"/></w:pPr>
<w:r><w:t xml:space="preserve">philosophy and theology at the university of Paris and enjoyed</w:t></w:r>
</w:p>
<w:p>
<w:pPr><w:pStyle w:val="Normal"/></w:pPr>
<w:r><w:t xml:space="preserve">a great reputation as a subtle dialectician; his lectures</w:t></w:r>
</w:p>
<w:p>
<w:pPr><w:pStyle w:val="Normal"/></w:pPr>
<w:r><w:t xml:space="preserve">developing the philosophy of Aristotle attracted a large</w:t></w:r>
</w:p>
<w:p>
<w:pPr><w:pStyle w:val="Normal"/></w:pPr>
<w:r><w:t xml:space="preserve">circle of hearers.  In 1204 his doctrines were condemned by</w:t></w:r>
</w:p>
<w:p>
<w:pPr><w:pStyle w:val="Normal"/></w:pPr>
<w:r><w:t xml:space="preserve">the university, and, on a personal appeal to Pope Innocent</w:t></w:r>
</w:p>
<w:p>
<w:pPr><w:pStyle w:val="Normal"/></w:pPr>
<w:r><w:t xml:space="preserve">III., the sentence was ratified, Amalric being ordered to</w:t></w:r>
</w:p>
<w:p>
<w:pPr><w:pStyle w:val="Normal"/></w:pPr>
<w:r><w:t xml:space="preserve">return to Paris and recant his errors. His death was caused,</w:t></w:r>
</w:p>
<w:p>
<w:pPr><w:pStyle w:val="Normal"/></w:pPr>
<w:r><w:t xml:space="preserve">it is said, by grief at the humiliation to which he had been</w:t></w:r>
</w:p>
<w:p>
<w:pPr><w:pStyle w:val="Normal"/></w:pPr>
<w:r><w:t xml:space="preserve">subjected.  In 1209 ten of his followers were burnt before</w:t></w:r>
</w:p>
<w:p>
<w:pPr><w:pStyle w:val="Normal"/></w:pPr>
<w:r><w:t xml:space="preserve">the gates of Paris, and Amalric&apos;s own body was exhumed</w:t></w:r>
</w:p>
<w:p>
<w:pPr><w:pStyle w:val="Normal"/></w:pPr>
<w:r><w:t xml:space="preserve">and burnt and the ashes given to the winds.  The doctrines</w:t></w:r>
</w:p>
<w:p>
<w:pPr><w:pStyle w:val="Normal"/></w:pPr>
<w:r><w:t xml:space="preserve">of his followers, known as the Amalricians, were formally</w:t></w:r>
</w:p>
<w:p>
<w:pPr><w:pStyle w:val="Normal"/></w:pPr>
<w:r><w:t xml:space="preserve">condemned by the fourth Lateran Council in 1215. Amalric</w:t></w:r>
</w:p>
<w:p>
<w:pPr><w:pStyle w:val="Normal"/></w:pPr>
<w:r><w:t xml:space="preserve">appears to have derived his philosophical system from Erigena</w:t></w:r>
</w:p>
<w:p>
<w:pPr><w:pStyle w:val="Normal"/></w:pPr>
<w:r><w:t xml:space="preserve">(q.v.), whose principles he developed in a one-sided and</w:t></w:r>
</w:p>
<w:p>
<w:pPr><w:pStyle w:val="Normal"/></w:pPr>
<w:r><w:t xml:space="preserve">strongly pantheistic form.  Three propositions only can with</w:t></w:r>
</w:p>
<w:p>
<w:pPr><w:pStyle w:val="Normal"/></w:pPr>
<w:r><w:t xml:space="preserve">certainty be attributed to him: (1) that God is all; (2) that</w:t></w:r>
</w:p>
<w:p>
<w:pPr><w:pStyle w:val="Normal"/></w:pPr>
<w:r><w:t xml:space="preserve">every Christian is bound to believe that he is a member of</w:t></w:r>
</w:p>
<w:p>
<w:pPr><w:pStyle w:val="Normal"/></w:pPr>
<w:r><w:t xml:space="preserve">the body of Christ, and that this belief is necessary for</w:t></w:r>
</w:p>
<w:p>
<w:pPr><w:pStyle w:val="Normal"/></w:pPr>
<w:r><w:t xml:space="preserve">salvation: (3) that he who remains in love of God can commit no</w:t></w:r>
</w:p>
<w:p>
<w:pPr><w:pStyle w:val="Normal"/></w:pPr>
<w:r><w:t xml:space="preserve">sin.  These three propositions were further developed by</w:t></w:r>
</w:p>
<w:p>
<w:pPr><w:pStyle w:val="Normal"/></w:pPr>
<w:r><w:t xml:space="preserve">his followers, who maintained that God revealed Himself</w:t></w:r>
</w:p>
<w:p>
<w:pPr><w:pStyle w:val="Normal"/></w:pPr>
<w:r><w:t xml:space="preserve">in a threefold revelation, the first in Abraham, marking</w:t></w:r>
</w:p>
<w:p>
<w:pPr><w:pStyle w:val="Normal"/></w:pPr>
<w:r><w:t xml:space="preserve">the epoch of the Father; the second in Christ, who began</w:t></w:r>
</w:p>
<w:p>
<w:pPr><w:pStyle w:val="Normal"/></w:pPr>
<w:r><w:t xml:space="preserve">the epoch of the Son; and the third in Amalric and his</w:t></w:r>
</w:p>
<w:p>
<w:pPr><w:pStyle w:val="Normal"/></w:pPr>
<w:r><w:t xml:space="preserve">disciples, who inaugurated the era of the Holy Ghost.  Under</w:t></w:r>
</w:p>
<w:p>
<w:pPr><w:pStyle w:val="Normal"/></w:pPr>
<w:r><w:t xml:space="preserve">the pretext that a true believer could commit no sin, the</w:t></w:r>
</w:p>
<w:p>
<w:pPr><w:pStyle w:val="Normal"/></w:pPr>
<w:r><w:t xml:space="preserve">Amalricians indulged in every excess, and the sect does</w:t></w:r>
</w:p>
<w:p>
<w:pPr><w:pStyle w:val="Normal"/></w:pPr>
<w:r><w:t xml:space="preserve">not appear to have long survived the death of its founder.</w:t></w:r>
</w:p>
<w:p>
<w:pPr><w:pStyle w:val="Normal"/></w:pPr>
<w:r><w:t xml:space="preserve">See W. Preger, Gleschichte der deutschen Mystik im</w:t></w:r>
</w:p>
<w:p>
<w:pPr><w:pStyle w:val="Normal"/></w:pPr>
<w:r><w:t xml:space="preserve">Mittelalter (Leipzig, 1874, i. 167-173); Haureau, Hist.</w:t></w:r>
</w:p>
<w:p>
<w:pPr><w:pStyle w:val="Normal"/></w:pPr>
<w:r><w:t xml:space="preserve">de la phil. scol. (Paris, 1872); C. Schmidt, Hist. de</w:t></w:r>
</w:p>
<w:p>
<w:pPr><w:pStyle w:val="Normal"/></w:pPr>
<w:r><w:t xml:space="preserve">l&apos;Eglise d&apos;Occident itendant le moyen age (Paris, 1885);</w:t></w:r>
</w:p>
<w:p>
<w:pPr><w:pStyle w:val="Normal"/></w:pPr>
<w:r><w:t xml:space="preserve">Hefele, Conciliengesch. (2nd ed., Ereiburg, 1886).</w:t></w:r>
</w:p>
<w:p>
<w:pPr><w:pStyle w:val="Normal"/></w:pPr>
<w:r><w:t xml:space="preserve">AMALTEO, the name of an Italian family belonging to Oderzo,</w:t></w:r>
</w:p>
<w:p>
<w:pPr><w:pStyle w:val="Normal"/></w:pPr>
<w:r><w:t xml:space="preserve">Treviso, several members of which were distinguished in</w:t></w:r>
</w:p>
<w:p>
<w:pPr><w:pStyle w:val="Normal"/></w:pPr>
<w:r><w:t xml:space="preserve">literature. The best known are three brothers, Geronimo</w:t></w:r>
</w:p>
<w:p>
<w:pPr><w:pStyle w:val="Normal"/></w:pPr>
<w:r><w:t xml:space="preserve">(1507-1574), Giambattista (1525-1573) and Cornelio (1530-1603),</w:t></w:r>
</w:p>
<w:p>
<w:pPr><w:pStyle w:val="Normal"/></w:pPr>
<w:r><w:t xml:space="preserve">whose Latin poems were published in one collection under</w:t></w:r>
</w:p>
<w:p>
<w:pPr><w:pStyle w:val="Normal"/></w:pPr>
<w:r><w:t xml:space="preserve">the title Trium Fralrum Amaltheorum Carmina (Venice,</w:t></w:r>
</w:p>
<w:p>
<w:pPr><w:pStyle w:val="Normal"/></w:pPr>
<w:r><w:t xml:space="preserve">1627; Amst., 1689). The eldest brother, Geronimo, was a</w:t></w:r>
</w:p>
<w:p>
<w:pPr><w:pStyle w:val="Normal"/></w:pPr>
<w:r><w:t xml:space="preserve">celebrated physician; the second, Giambattista, accompanied</w:t></w:r>
</w:p>
<w:p>
<w:pPr><w:pStyle w:val="Normal"/></w:pPr>
<w:r><w:t xml:space="preserve">a Venetian embassy to England in 1554, and was secretary</w:t></w:r>
</w:p>
<w:p>
<w:pPr><w:pStyle w:val="Normal"/></w:pPr>
<w:r><w:t xml:space="preserve">to Pius IV. at the council of Trent; the third, Cornelio,</w:t></w:r>
</w:p>
<w:p>
<w:pPr><w:pStyle w:val="Normal"/></w:pPr>
<w:r><w:t xml:space="preserve">was a physician and secretary to the republic of Ragusa.</w:t></w:r>
</w:p>
<w:p>
<w:pPr><w:pStyle w:val="Normal"/></w:pPr>
<w:r><w:t xml:space="preserve">AMALTEO, POMPONIO (1505-1584), Italian painter of the Venetian</w:t></w:r>
</w:p>
<w:p>
<w:pPr><w:pStyle w:val="Normal"/></w:pPr>
<w:r><w:t xml:space="preserve">school, was born at San Vito in Friuli.  He was a pupil and</w:t></w:r>
</w:p>
<w:p>
<w:pPr><w:pStyle w:val="Normal"/></w:pPr>
<w:r><w:t xml:space="preserve">son-in-law of Pordenone, whose style he closely imitated. His</w:t></w:r>
</w:p>
<w:p>
<w:pPr><w:pStyle w:val="Normal"/></w:pPr>
<w:r><w:t xml:space="preserve">works consist chiefly of frescoes and altar-pieces and many</w:t></w:r>
</w:p>
<w:p>
<w:pPr><w:pStyle w:val="Normal"/></w:pPr>
<w:r><w:t xml:space="preserve">of them (e.g. in the church of Santa Maria de&apos; Battisti, at</w:t></w:r>
</w:p>
<w:p>
<w:pPr><w:pStyle w:val="Normal"/></w:pPr>
<w:r><w:t xml:space="preserve">San Vito) have suffered greatly from the ravages of time.</w:t></w:r>
</w:p>
<w:p>
<w:pPr><w:pStyle w:val="Normal"/></w:pPr>
<w:r><w:t xml:space="preserve">AMALTHEIA, in Greek mythology, the foster-mother of Zeus.</w:t></w:r>
</w:p>
<w:p>
<w:pPr><w:pStyle w:val="Normal"/></w:pPr>
<w:r><w:t xml:space="preserve">She is sometimes represented as the goat which suckled</w:t></w:r>
</w:p>
<w:p>
<w:pPr><w:pStyle w:val="Normal"/></w:pPr>
<w:r><w:t xml:space="preserve">the infant-god in a cave in Crete, sometimes as a nymph of</w:t></w:r>
</w:p>
<w:p>
<w:pPr><w:pStyle w:val="Normal"/></w:pPr>
<w:r><w:t xml:space="preserve">uncertain parentage (daughter of Oceanus, Haemonius, Olen,</w:t></w:r>
</w:p>
<w:p>
<w:pPr><w:pStyle w:val="Normal"/></w:pPr>
<w:r><w:t xml:space="preserve">Melisseus), who brought him up on the milk of a goat.  This</w:t></w:r>
</w:p>
<w:p>
<w:pPr><w:pStyle w:val="Normal"/></w:pPr>
<w:r><w:t xml:space="preserve">goat having broken off one of its horns, Amaltheia filled it</w:t></w:r>
</w:p>
<w:p>
<w:pPr><w:pStyle w:val="Normal"/></w:pPr>
<w:r><w:t xml:space="preserve">with flowers and fruits and presented it to Zeus, who placed</w:t></w:r>
</w:p>
<w:p>
<w:pPr><w:pStyle w:val="Normal"/></w:pPr>
<w:r><w:t xml:space="preserve">it together with the goat amongst the stars.  According to</w:t></w:r>
</w:p>
<w:p>
<w:pPr><w:pStyle w:val="Normal"/></w:pPr>
<w:r><w:t xml:space="preserve">another story, Zeus himself broke off the horn and gave it to</w:t></w:r>
</w:p>
<w:p>
<w:pPr><w:pStyle w:val="Normal"/></w:pPr>
<w:r><w:t xml:space="preserve">Amaltheia, promising that it would supply whatever she desired</w:t></w:r>
</w:p>
<w:p>
<w:pPr><w:pStyle w:val="Normal"/></w:pPr>
<w:r><w:t xml:space="preserve">in abundance. Amaltheia gave it to Acholous (her reputed</w:t></w:r>
</w:p>
<w:p>
<w:pPr><w:pStyle w:val="Normal"/></w:pPr>
<w:r><w:t xml:space="preserve">brother), who exchanged it for his own horn which had been</w:t></w:r>
</w:p>
<w:p>
<w:pPr><w:pStyle w:val="Normal"/></w:pPr>
<w:r><w:t xml:space="preserve">broken off in his contest with Heracles for the possession of</w:t></w:r>
</w:p>
<w:p>
<w:pPr><w:pStyle w:val="Normal"/></w:pPr>
<w:r><w:t xml:space="preserve">Deianeira.  According to ancient mythology, the owners of</w:t></w:r>
</w:p>
<w:p>
<w:pPr><w:pStyle w:val="Normal"/></w:pPr>
<w:r><w:t xml:space="preserve">the horn were many and various.  Speaking generally, it was</w:t></w:r>
</w:p>
<w:p>
<w:pPr><w:pStyle w:val="Normal"/></w:pPr>
<w:r><w:t xml:space="preserve">regarded as the symbol of inexhaustible riches and plenty,</w:t></w:r>
</w:p>
<w:p>
<w:pPr><w:pStyle w:val="Normal"/></w:pPr>
<w:r><w:t xml:space="preserve">and became the attribute of various divinities (Hades,</w:t></w:r>
</w:p>
<w:p>
<w:pPr><w:pStyle w:val="Normal"/></w:pPr>
<w:r><w:t xml:space="preserve">Gaea, Demeter, Cybele, Hermes), and of rivers (the Nile) as</w:t></w:r>
</w:p>
<w:p>
<w:pPr><w:pStyle w:val="Normal"/></w:pPr>
<w:r><w:t xml:space="preserve">fertilizers of the land.  The term ``horn of Amaltheia&apos;&apos; is</w:t></w:r>
</w:p>
<w:p>
<w:pPr><w:pStyle w:val="Normal"/></w:pPr>
<w:r><w:t xml:space="preserve">applied to a fertile district, and an estate belonging to</w:t></w:r>
</w:p>
<w:p>
<w:pPr><w:pStyle w:val="Normal"/></w:pPr>
<w:r><w:t xml:space="preserve">Titus Pomponius Atticus was called Amaltheum.  Cretan coins</w:t></w:r>
</w:p>
<w:p>
<w:pPr><w:pStyle w:val="Normal"/></w:pPr>
<w:r><w:t xml:space="preserve">represent the infant Zeus being suckled by the goat; other</w:t></w:r>
</w:p>
<w:p>
<w:pPr><w:pStyle w:val="Normal"/></w:pPr>
<w:r><w:t xml:space="preserve">Greek coins exhibit him suspended from its teats or carried in</w:t></w:r>
</w:p>
<w:p>
<w:pPr><w:pStyle w:val="Normal"/></w:pPr>
<w:r><w:t xml:space="preserve">the arms of a nymph (Ovid, Fasti, v. 115; Metam. ix. 87).</w:t></w:r>
</w:p>
<w:p>
<w:pPr><w:pStyle w:val="Normal"/></w:pPr>
<w:r><w:t xml:space="preserve">AMANA, a township in Iowa county, Iowa, U.S.A., 19 m.</w:t></w:r>
</w:p>
<w:p>
<w:pPr><w:pStyle w:val="Normal"/></w:pPr>
<w:r><w:t xml:space="preserve">S.W. (by rail) of Cedar Rapids.  Pop. (1900) 1748; (1910)</w:t></w:r>
</w:p>
<w:p>
<w:pPr><w:pStyle w:val="Normal"/></w:pPr>
<w:r><w:t xml:space="preserve">1729.  It is served by the Chicago, Milwaukee &amp; St Paul, and</w:t></w:r>
</w:p>
<w:p>
<w:pPr><w:pStyle w:val="Normal"/></w:pPr>
<w:r><w:t xml:space="preserve">the Chicago, Rock Island &amp; Pacific railways.  The township is</w:t></w:r>
</w:p>
<w:p>
<w:pPr><w:pStyle w:val="Normal"/></w:pPr>
<w:r><w:t xml:space="preserve">the home of a German religious communistic society, the Amana</w:t></w:r>
</w:p>
<w:p>
<w:pPr><w:pStyle w:val="Normal"/></w:pPr>
<w:r><w:t xml:space="preserve">Society, formerly the True Inspiration Society (so called</w:t></w:r>
</w:p>
<w:p>
<w:pPr><w:pStyle w:val="Normal"/></w:pPr>
<w:r><w:t xml:space="preserve">from its belief in the present inspiration of the truly</w:t></w:r>
</w:p>
<w:p>
<w:pPr><w:pStyle w:val="Normal"/></w:pPr>
<w:r><w:t xml:space="preserve">godly and perfectly pious), whose members live in various</w:t></w:r>
</w:p>
<w:p>
<w:pPr><w:pStyle w:val="Normal"/></w:pPr>
<w:r><w:t xml:space="preserve">villages near the Iowa river.  These villages are named Amana,</w:t></w:r>
</w:p>
<w:p>
<w:pPr><w:pStyle w:val="Normal"/></w:pPr>
<w:r><w:t xml:space="preserve">West Amana, South Amana, East Amana, Middle Amana, High</w:t></w:r>
</w:p>
<w:p>
<w:pPr><w:pStyle w:val="Normal"/></w:pPr>
<w:r><w:t xml:space="preserve">Amana and Homestead.  The houses are of brick or unpainted</w:t></w:r>
</w:p>
<w:p>
<w:pPr><w:pStyle w:val="Normal"/></w:pPr>
<w:r><w:t xml:space="preserve">wood.  The society has in all 26,000 acres of land, of which</w:t></w:r>
</w:p>
<w:p>
<w:pPr><w:pStyle w:val="Normal"/></w:pPr>
<w:r><w:t xml:space="preserve">about 10,000 acres are covered with forests.  The principal</w:t></w:r>
</w:p>
<w:p>
<w:pPr><w:pStyle w:val="Normal"/></w:pPr>
<w:r><w:t xml:space="preserve">occupation of the members is farming, although they also have</w:t></w:r>
</w:p>
<w:p>
<w:pPr><w:pStyle w:val="Normal"/></w:pPr>
<w:r><w:t xml:space="preserve">woollen mills (their woollens being of superior quality),</w:t></w:r>
</w:p>
<w:p>
<w:pPr><w:pStyle w:val="Normal"/></w:pPr>
<w:r><w:t xml:space="preserve">a cotton print factory, flour mills, saw mills and dye</w:t></w:r>
</w:p>
<w:p>
<w:pPr><w:pStyle w:val="Normal"/></w:pPr>
<w:r><w:t xml:space="preserve">shops.  Each family has its own dwelling-place and a small</w:t></w:r>
</w:p>
<w:p>
<w:pPr><w:pStyle w:val="Normal"/></w:pPr>
<w:r><w:t xml:space="preserve">garden; each member of a family has an annual allowance of</w:t></w:r>
</w:p>
<w:p>
<w:pPr><w:pStyle w:val="Normal"/></w:pPr>
<w:r><w:t xml:space="preserve">credit at the common store and a room in the dwelling-house;</w:t></w:r>
</w:p>
<w:p>
<w:pPr><w:pStyle w:val="Normal"/></w:pPr>
<w:r><w:t xml:space="preserve">and each group of families has a large garden, a common</w:t></w:r>
</w:p>
<w:p>
<w:pPr><w:pStyle w:val="Normal"/></w:pPr>
<w:r><w:t xml:space="preserve">kitchen and a common dining hall where men and women eat</w:t></w:r>
</w:p>
<w:p>
<w:pPr><w:pStyle w:val="Normal"/></w:pPr>
<w:r><w:t xml:space="preserve">at separate tables. Between the ages of five and fourteen</w:t></w:r>
</w:p>
<w:p>
<w:pPr><w:pStyle w:val="Normal"/></w:pPr>
<w:r><w:t xml:space="preserve">education is compulsory for the entire year.  In the schools</w:t></w:r>
</w:p>
<w:p>
<w:pPr><w:pStyle w:val="Normal"/></w:pPr>
<w:r><w:t xml:space="preserve">nature study and manual training are prominent; German</w:t></w:r>
</w:p>
<w:p>
<w:pPr><w:pStyle w:val="Normal"/></w:pPr>
<w:r><w:t xml:space="preserve">is used throughout and English is taught in upper classes</w:t></w:r>
</w:p>
<w:p>
<w:pPr><w:pStyle w:val="Normal"/></w:pPr>
<w:r><w:t xml:space="preserve">only.  No man is permitted to marry until twenty-four years</w:t></w:r>
</w:p>
<w:p>
<w:pPr><w:pStyle w:val="Normal"/></w:pPr>
<w:r><w:t xml:space="preserve">of age, and no woman until twenty.  The society&apos;s views and</w:t></w:r>
</w:p>
<w:p>
<w:pPr><w:pStyle w:val="Normal"/></w:pPr>
<w:r><w:t xml:space="preserve">practices are nearly related to the teachings of Schwenkfeld</w:t></w:r>
</w:p>
<w:p>
<w:pPr><w:pStyle w:val="Normal"/></w:pPr>
<w:r><w:t xml:space="preserve">and Boehme.  Baptism is not practised; the Lord&apos;s Supper is</w:t></w:r>
</w:p>
<w:p>
<w:pPr><w:pStyle w:val="Normal"/></w:pPr>
<w:r><w:t xml:space="preserve">celebrated only once in two years; foot-washing is held as a</w:t></w:r>
</w:p>
<w:p>
<w:pPr><w:pStyle w:val="Normal"/></w:pPr>
<w:r><w:t xml:space="preserve">sacrament.  At an annual spiritual examination of the</w:t></w:r>
</w:p>
<w:p>
<w:pPr><w:pStyle w:val="Normal"/></w:pPr>
<w:r><w:t xml:space="preserve">members, there are mutual criticisms and public confessions of</w:t></w:r>
</w:p>
<w:p>
<w:pPr><w:pStyle w:val="Normal"/></w:pPr>
<w:r><w:t xml:space="preserve">sin.  The Inspirationists are opposed to war and to taking of</w:t></w:r>
</w:p>
<w:p>
<w:pPr><w:pStyle w:val="Normal"/></w:pPr>
<w:r><w:t xml:space="preserve">oaths.  The Society became attached to the Separatist</w:t></w:r>
</w:p>
<w:p>
<w:pPr><w:pStyle w:val="Normal"/></w:pPr>
<w:r><w:t xml:space="preserve">leader, Eberhard Ludwig Gruber (d. 1728) in Wetterau in</w:t></w:r>
</w:p>
<w:p>
<w:pPr><w:pStyle w:val="Normal"/></w:pPr>
<w:r><w:t xml:space="preserve">1714; in 1842-1844 about 600 members, led by Christian</w:t></w:r>
</w:p>
<w:p>
<w:pPr><w:pStyle w:val="Normal"/></w:pPr>
<w:r><w:t xml:space="preserve">Metz, the ``divine instrument&apos;&apos; of the Society, emigrated</w:t></w:r>
</w:p>
<w:p>
<w:pPr><w:pStyle w:val="Normal"/></w:pPr>
<w:r><w:t xml:space="preserve">from Germany to the United States and settled in a colony</w:t></w:r>
</w:p>
<w:p>
<w:pPr><w:pStyle w:val="Normal"/></w:pPr>
<w:r><w:t xml:space="preserve">called Ebenezer, in Erie county, near Buffalo, N.Y.; in 1855</w:t></w:r>
</w:p>
<w:p>
<w:pPr><w:pStyle w:val="Normal"/></w:pPr>
<w:r><w:t xml:space="preserve">the colony began to remove to its present home, which it</w:t></w:r>
</w:p>
<w:p>
<w:pPr><w:pStyle w:val="Normal"/></w:pPr>
<w:r><w:t xml:space="preserve">named from the mountain mentioned in the Song of Solomon,</w:t></w:r>
</w:p>
<w:p>
<w:pPr><w:pStyle w:val="Normal"/></w:pPr>
<w:r><w:t xml:space="preserve">iv. 8, the Hebrew word meaning ``remain true&apos;&apos; (or, more</w:t></w:r>
</w:p>
<w:p>
<w:pPr><w:pStyle w:val="Normal"/></w:pPr>
<w:r><w:t xml:space="preserve">probably, ``fixed&apos;&apos;), and in 1859 it was incorporated under</w:t></w:r>
</w:p>
<w:p>
<w:pPr><w:pStyle w:val="Normal"/></w:pPr>
<w:r><w:t xml:space="preserve">the, name of the Amana Society.  Metz died in 1864 and was</w:t></w:r>
</w:p>
<w:p>
<w:pPr><w:pStyle w:val="Normal"/></w:pPr>
<w:r><w:t xml:space="preserve">succeeded by Barbara Landmann, since whose death in 1884</w:t></w:r>
</w:p>
<w:p>
<w:pPr><w:pStyle w:val="Normal"/></w:pPr>
<w:r><w:t xml:space="preserve">the community has lacked an inspired leader.  Amana was the</w:t></w:r>
</w:p>
<w:p>
<w:pPr><w:pStyle w:val="Normal"/></w:pPr>
<w:r><w:t xml:space="preserve">strongest in numbers of the few sectarian communities in</w:t></w:r>
</w:p>
<w:p>
<w:pPr><w:pStyle w:val="Normal"/></w:pPr>
<w:r><w:t xml:space="preserve">America which outlived the 19th century.  A few new members</w:t></w:r>
</w:p>
<w:p>
<w:pPr><w:pStyle w:val="Normal"/></w:pPr>
<w:r><w:t xml:space="preserve">have joined the community from Switzerland and Germany in</w:t></w:r>
</w:p>
<w:p>
<w:pPr><w:pStyle w:val="Normal"/></w:pPr>
<w:r><w:t xml:space="preserve">recent years.  In 1905 the community won a suit brought</w:t></w:r>
</w:p>
<w:p>
<w:pPr><w:pStyle w:val="Normal"/></w:pPr>
<w:r><w:t xml:space="preserve">against it for its dissolution on the ground that, having</w:t></w:r>
</w:p>
<w:p>
<w:pPr><w:pStyle w:val="Normal"/></w:pPr>
<w:r><w:t xml:space="preserve">been incorporated solely as a benevolent and religious</w:t></w:r>
</w:p>
<w:p>
<w:pPr><w:pStyle w:val="Normal"/></w:pPr>
<w:r><w:t xml:space="preserve">body, it was illegally carrying on a general business.</w:t></w:r>
</w:p>
<w:p>
<w:pPr><w:pStyle w:val="Normal"/></w:pPr>
<w:r><w:t xml:space="preserve">See W. R. Perkins and B. L. Wick, History of the Amana Society</w:t></w:r>
</w:p>
<w:p>
<w:pPr><w:pStyle w:val="Normal"/></w:pPr>
<w:r><w:t xml:space="preserve">or Community of True Inspiration, Historical Monograph, No. 1,</w:t></w:r>
</w:p>
<w:p>
<w:pPr><w:pStyle w:val="Normal"/></w:pPr>
<w:r><w:t xml:space="preserve">in State University of Iowa publications (Iowa City, 1891); R.</w:t></w:r>
</w:p>
<w:p>
<w:pPr><w:pStyle w:val="Normal"/></w:pPr>
<w:r><w:t xml:space="preserve">T. Ely, ``Amana: A Study of Religious Communism,&apos;&apos; in Harper&apos;s</w:t></w:r>
</w:p>
<w:p>
<w:pPr><w:pStyle w:val="Normal"/></w:pPr>
<w:r><w:t xml:space="preserve">Magazine for October 1902; and Bertha M. H. Shambaugh, Amana,</w:t></w:r>
</w:p>
<w:p>
<w:pPr><w:pStyle w:val="Normal"/></w:pPr>
<w:r><w:t xml:space="preserve">the Community of True Inspiration (Iowa City, 1908).</w:t></w:r>
</w:p>
<w:p>
<w:pPr><w:pStyle w:val="Normal"/></w:pPr>
<w:r><w:t xml:space="preserve">AMANITA.  The amanitas include some of the most showy</w:t></w:r>
</w:p>
<w:p>
<w:pPr><w:pStyle w:val="Normal"/></w:pPr>
<w:r><w:t xml:space="preserve">representatives of the Agaricineae or mushroom order of fungi</w:t></w:r>
</w:p>
<w:p>
<w:pPr><w:pStyle w:val="Normal"/></w:pPr>
<w:r><w:t xml:space="preserve">(q.v.).  In the first stages of growth, they are completely</w:t></w:r>
</w:p>
<w:p>
<w:pPr><w:pStyle w:val="Normal"/></w:pPr>
<w:r><w:t xml:space="preserve">enveloped by an outer covering called the veil.  As the plant</w:t></w:r>
</w:p>
<w:p>
<w:pPr><w:pStyle w:val="Normal"/></w:pPr>
<w:r><w:t xml:space="preserve">develops the veil is ruptured; the lower portion forms a sheath</w:t></w:r>
</w:p>
<w:p>
<w:pPr><w:pStyle w:val="Normal"/></w:pPr>
<w:r><w:t xml:space="preserve">or volva round the base of the stem, while the upper portion</w:t></w:r>
</w:p>
<w:p>
<w:pPr><w:pStyle w:val="Normal"/></w:pPr>
<w:r><w:t xml:space="preserve">persists as white patches or scales or warts on the surface of</w:t></w:r>
</w:p>
<w:p>
<w:pPr><w:pStyle w:val="Normal"/></w:pPr>
<w:r><w:t xml:space="preserve">the cap.  The stem usually bears an upper ring of tissue, the</w:t></w:r>
</w:p>
<w:p>
<w:pPr><w:pStyle w:val="Normal"/></w:pPr>
<w:r><w:t xml:space="preserve">Amanita muscaria. A, the young plant. g, the gills.</w:t></w:r>
</w:p>
<w:p>
<w:pPr><w:pStyle w:val="Normal"/></w:pPr>
<w:r><w:t xml:space="preserve">B, the mature plant. a, the annulus, or remnant of</w:t></w:r>
</w:p>
<w:p>
<w:pPr><w:pStyle w:val="Normal"/></w:pPr>
<w:r><w:t xml:space="preserve">C, longitudinal section of mature velum partiale.</w:t></w:r>
</w:p>
<w:p>
<w:pPr><w:pStyle w:val="Normal"/></w:pPr>
<w:r><w:t xml:space="preserve">plant.                          v, remains of volva or velum</w:t></w:r>
</w:p>
<w:p>
<w:pPr><w:pStyle w:val="Normal"/></w:pPr>
<w:r><w:t xml:space="preserve">p, the pileus. universale. s, the stalk.</w:t></w:r>
</w:p>
<w:p>
<w:pPr><w:pStyle w:val="Normal"/></w:pPr>
<w:r><w:t xml:space="preserve">remains of an inner veil, that stretched from the stem to the</w:t></w:r>
</w:p>
<w:p>
<w:pPr><w:pStyle w:val="Normal"/></w:pPr>
<w:r><w:t xml:space="preserve">edge of the cap and broke away from the cap as the latter</w:t></w:r>
</w:p>
<w:p>
<w:pPr><w:pStyle w:val="Normal"/></w:pPr>
<w:r><w:t xml:space="preserve">expanded.  The presence of the volva, and the clear white</w:t></w:r>
</w:p>
<w:p>
<w:pPr><w:pStyle w:val="Normal"/></w:pPr>
<w:r><w:t xml:space="preserve">gills and spores, distinguish this genus from all other</w:t></w:r>
</w:p>
<w:p>
<w:pPr><w:pStyle w:val="Normal"/></w:pPr>
<w:r><w:t xml:space="preserve">agarics.  They are beautiful objects in the autumn woods;</w:t></w:r>
</w:p>
<w:p>
<w:pPr><w:pStyle w:val="Normal"/></w:pPr>
<w:r><w:t xml:space="preserve">Amanita muscaria, the fly fungus, formerly known as Agaricus</w:t></w:r>
</w:p>
<w:p>
<w:pPr><w:pStyle w:val="Normal"/></w:pPr>
<w:r><w:t xml:space="preserve">muscarius, being especially remarkable by its bright red</w:t></w:r>
</w:p>
<w:p>
<w:pPr><w:pStyle w:val="Normal"/></w:pPr>
<w:r><w:t xml:space="preserve">cap covered with white warts.  Others are pure white or</w:t></w:r>
</w:p>
<w:p>
<w:pPr><w:pStyle w:val="Normal"/></w:pPr>
<w:r><w:t xml:space="preserve">of varying shades of yellow or green.  There are sixteen</w:t></w:r>
</w:p>
<w:p>
<w:pPr><w:pStyle w:val="Normal"/></w:pPr>
<w:r><w:t xml:space="preserve">British species of Amanita; they grow on the ground in</w:t></w:r>
</w:p>
<w:p>
<w:pPr><w:pStyle w:val="Normal"/></w:pPr>
<w:r><w:t xml:space="preserve">or near woods.  Several of the species are very poisonous.</w:t></w:r>
</w:p>
<w:p>
<w:pPr><w:pStyle w:val="Normal"/></w:pPr>
<w:r><w:t xml:space="preserve">AMANUENSIS (a Latin word, derived from the phrase servus</w:t></w:r>
</w:p>
<w:p>
<w:pPr><w:pStyle w:val="Normal"/></w:pPr>
<w:r><w:t xml:space="preserve">a manu, slave of the hand, a secretary), one who writes,</w:t></w:r>
</w:p>
<w:p>
<w:pPr><w:pStyle w:val="Normal"/></w:pPr>
<w:r><w:t xml:space="preserve">from dictation or otherwise, on behalf of another.</w:t></w:r>
</w:p>
<w:p>
<w:pPr><w:pStyle w:val="Normal"/></w:pPr>
<w:r><w:t xml:space="preserve">AMAPALA, the only port on the Pacific coast of Honduras, on the</w:t></w:r>
</w:p>
<w:p>
<w:pPr><w:pStyle w:val="Normal"/></w:pPr>
<w:r><w:t xml:space="preserve">northern shore of Tigre island, in the Bay of Fonseca (q.v.);</w:t></w:r>
</w:p>
<w:p>
<w:pPr><w:pStyle w:val="Normal"/></w:pPr>
<w:r><w:t xml:space="preserve">in 13 deg.  3, N., and 87 deg.  94 W. Pop. (1905) about 4000. Amapala</w:t></w:r>
</w:p>
<w:p>
<w:pPr><w:pStyle w:val="Normal"/></w:pPr>
<w:r><w:t xml:space="preserve">was founded in 1838, and its port was opened and declared free</w:t></w:r>
</w:p>
<w:p>
<w:pPr><w:pStyle w:val="Normal"/></w:pPr>
<w:r><w:t xml:space="preserve">in 1868.  The roadstead is perfectly sheltered and so deep</w:t></w:r>
</w:p>
<w:p>
<w:pPr><w:pStyle w:val="Normal"/></w:pPr>
<w:r><w:t xml:space="preserve">that the largest vessels can lie within a few yards of the</w:t></w:r>
</w:p>
<w:p>
<w:pPr><w:pStyle w:val="Normal"/></w:pPr>
<w:r><w:t xml:space="preserve">shore.  It is the natural outlet for the commerce of some of</w:t></w:r>
</w:p>
<w:p>
<w:pPr><w:pStyle w:val="Normal"/></w:pPr>
<w:r><w:t xml:space="preserve">the richest parts of Honduras, Nicaragua and Salvador; and</w:t></w:r>
</w:p>
<w:p>
<w:pPr><w:pStyle w:val="Normal"/></w:pPr>
<w:r><w:t xml:space="preserve">during the 19th century it exported large quantities of gold,</w:t></w:r>
</w:p>
<w:p>
<w:pPr><w:pStyle w:val="Normal"/></w:pPr>
<w:r><w:t xml:space="preserve">silver and other ores, although its progress was retarded by the</w:t></w:r>
</w:p>
<w:p>
<w:pPr><w:pStyle w:val="Normal"/></w:pPr>
<w:r><w:t xml:space="preserve">delay in constructing a transcontinental railway from Puerto</w:t></w:r>
</w:p>
<w:p>
<w:pPr><w:pStyle w:val="Normal"/></w:pPr>
<w:r><w:t xml:space="preserve">Cortes.  Its depots on the mainland, both about 30 m. distant,</w:t></w:r>
</w:p>
<w:p>
<w:pPr><w:pStyle w:val="Normal"/></w:pPr>
<w:r><w:t xml:space="preserve">are La Brea, for the line to Puerto Cortes, and San Lorenzo, for</w:t></w:r>
</w:p>
<w:p>
<w:pPr><w:pStyle w:val="Normal"/></w:pPr>
<w:r><w:t xml:space="preserve">Tegucigalpa.  Silver is still exported, in addition to hides,</w:t></w:r>
</w:p>
<w:p>
<w:pPr><w:pStyle w:val="Normal"/></w:pPr>
<w:r><w:t xml:space="preserve">timber, coffee and indigo, and there are valuable fisheries.</w:t></w:r>
</w:p>
<w:p>
<w:pPr><w:pStyle w:val="Normal"/></w:pPr>
<w:r><w:t xml:space="preserve">AMARANTH, or AMARANG (from the Gr. amarantos, unwithering),</w:t></w:r>
</w:p>
<w:p>
<w:pPr><w:pStyle w:val="Normal"/></w:pPr>
<w:r><w:t xml:space="preserve">a name chiefly used in poetry, and applied to</w:t></w:r>
</w:p>
<w:p>
<w:pPr><w:pStyle w:val="Normal"/></w:pPr>
<w:r><w:t xml:space="preserve">certain plants which, from not soon fading, typified</w:t></w:r>
</w:p>
<w:p>
<w:pPr><w:pStyle w:val="Normal"/></w:pPr>
<w:r><w:t xml:space="preserve">immortality. Thus Milton (Paradise Lost, iii. 353) --</w:t></w:r>
</w:p>
<w:p>
<w:pPr><w:pStyle w:val="Normal"/></w:pPr>
<w:r><w:t xml:space="preserve">``Immortal amarant, a flower which once</w:t></w:r>
</w:p>
<w:p>
<w:pPr><w:pStyle w:val="Normal"/></w:pPr>
<w:r><w:t xml:space="preserve">In paradise, fast by the tree of life,</w:t></w:r>
</w:p>
<w:p>
<w:pPr><w:pStyle w:val="Normal"/></w:pPr>
<w:r><w:t xml:space="preserve">Began to bloom; but soon for man&apos;s offence</w:t></w:r>
</w:p>
<w:p>
<w:pPr><w:pStyle w:val="Normal"/></w:pPr>
<w:r><w:t xml:space="preserve">To heaven removed, where first it grew, there grows,</w:t></w:r>
</w:p>
<w:p>
<w:pPr><w:pStyle w:val="Normal"/></w:pPr>
<w:r><w:t xml:space="preserve">And flowers aloft, shading the fount of life,</w:t></w:r>
</w:p>
<w:p>
<w:pPr><w:pStyle w:val="Normal"/></w:pPr>
<w:r><w:t xml:space="preserve">And where the river of bliss through midst of heaven</w:t></w:r>
</w:p>
<w:p>
<w:pPr><w:pStyle w:val="Normal"/></w:pPr>
<w:r><w:t xml:space="preserve">Rolls o&apos;er elysian flowers her amber stream:</w:t></w:r>
</w:p>
<w:p>
<w:pPr><w:pStyle w:val="Normal"/></w:pPr>
<w:r><w:t xml:space="preserve">With these that never fade the spirits elect</w:t></w:r>
</w:p>
<w:p>
<w:pPr><w:pStyle w:val="Normal"/></w:pPr>
<w:r><w:t xml:space="preserve">Bind their resplendent locks.&apos;&apos;</w:t></w:r>
</w:p>
<w:p>
<w:pPr><w:pStyle w:val="Normal"/></w:pPr>
<w:r><w:t xml:space="preserve">It should be noted that the proper spelling of the word is amarant;</w:t></w:r>
</w:p>
<w:p>
<w:pPr><w:pStyle w:val="Normal"/></w:pPr>
<w:r><w:t xml:space="preserve">the more common spelling seems to have come from a hazy notion</w:t></w:r>
</w:p>
<w:p>
<w:pPr><w:pStyle w:val="Normal"/></w:pPr>
<w:r><w:t xml:space="preserve">that the final syllable is the Greek word anthos, ``flower,&apos;&apos;</w:t></w:r>
</w:p>
<w:p>
<w:pPr><w:pStyle w:val="Normal"/></w:pPr>
<w:r><w:t xml:space="preserve">which enters into a vast number of botanical names.</w:t></w:r>
</w:p>
<w:p>
<w:pPr><w:pStyle w:val="Normal"/></w:pPr>
<w:r><w:t xml:space="preserve">The plant genus Amarantus (natural order Amarantaceae)</w:t></w:r>
</w:p>
<w:p>
<w:pPr><w:pStyle w:val="Normal"/></w:pPr>
<w:r><w:t xml:space="preserve">contains several well-known garden plants, such as love-lies-</w:t></w:r>
</w:p>
<w:p>
<w:pPr><w:pStyle w:val="Normal"/></w:pPr>
<w:r><w:t xml:space="preserve">bleeding (A. caudatus), a native of India, a vigorous hardy</w:t></w:r>
</w:p>
<w:p>
<w:pPr><w:pStyle w:val="Normal"/></w:pPr>
<w:r><w:t xml:space="preserve">annual, with dark purplish flowers crowded in handsome drooping</w:t></w:r>
</w:p>
<w:p>
<w:pPr><w:pStyle w:val="Normal"/></w:pPr>
<w:r><w:t xml:space="preserve">spikes.  Another species A. hypochondriacus, is prince&apos;s</w:t></w:r>
</w:p>
<w:p>
<w:pPr><w:pStyle w:val="Normal"/></w:pPr>
<w:r><w:t xml:space="preserve">feather, another Indian annual, with deeply-veined lance-shaped</w:t></w:r>
</w:p>
<w:p>
<w:pPr><w:pStyle w:val="Normal"/></w:pPr>
<w:r><w:t xml:space="preserve">leaves, purple on the under face, and deep crimson flowers</w:t></w:r>
</w:p>
<w:p>
<w:pPr><w:pStyle w:val="Normal"/></w:pPr>
<w:r><w:t xml:space="preserve">densely packed on erect spikes. ``Globe amaranth&apos;&apos; belongs</w:t></w:r>
</w:p>
<w:p>
<w:pPr><w:pStyle w:val="Normal"/></w:pPr>
<w:r><w:t xml:space="preserve">to an allied genus, Gomphrena, and is also a native of</w:t></w:r>
</w:p>
<w:p>
<w:pPr><w:pStyle w:val="Normal"/></w:pPr>
<w:r><w:t xml:space="preserve">India.  It is an annual about 18 in. high, with solitary</w:t></w:r>
</w:p>
<w:p>
<w:pPr><w:pStyle w:val="Normal"/></w:pPr>
<w:r><w:t xml:space="preserve">round heads of flowers; the heads are violet from the</w:t></w:r>
</w:p>
<w:p>
<w:pPr><w:pStyle w:val="Normal"/></w:pPr>
<w:r><w:t xml:space="preserve">colour of the bracts which surround the small flowers.</w:t></w:r>
</w:p>
<w:p>
<w:pPr><w:pStyle w:val="Normal"/></w:pPr>
<w:r><w:t xml:space="preserve">In ancient Greece the amaranth (also called chrusanthemon</w:t></w:r>
</w:p>
<w:p>
<w:pPr><w:pStyle w:val="Normal"/></w:pPr>
<w:r><w:t xml:space="preserve">and elichrusos) was sacred to Ephesian Artemis.  It was</w:t></w:r>
</w:p>
<w:p>
<w:pPr><w:pStyle w:val="Normal"/></w:pPr>
<w:r><w:t xml:space="preserve">supposed to have special healing properties, and as a symbol of</w:t></w:r>
</w:p>
<w:p>
<w:pPr><w:pStyle w:val="Normal"/></w:pPr>
<w:r><w:t xml:space="preserve">immortality was used to decorate images of the gods and tombs.</w:t></w:r>
</w:p>
<w:p>
<w:pPr><w:pStyle w:val="Normal"/></w:pPr>
<w:r><w:t xml:space="preserve">In legend, Amarynthus (a form of Amarantus) was a hunter of</w:t></w:r>
</w:p>
<w:p>
<w:pPr><w:pStyle w:val="Normal"/></w:pPr>
<w:r><w:t xml:space="preserve">Artemis and king of Euboea; in a village of Amarynthus, of which</w:t></w:r>
</w:p>
<w:p>
<w:pPr><w:pStyle w:val="Normal"/></w:pPr>
<w:r><w:t xml:space="preserve">he was the eponymous hero, there was a famous temple of Artemis</w:t></w:r>
</w:p>
<w:p>
<w:pPr><w:pStyle w:val="Normal"/></w:pPr>
<w:r><w:t xml:space="preserve">Amarynthia or Amarysia (Strabo x. 448; Pausan. i. 31, p. 5).</w:t></w:r>
</w:p>
<w:p>
<w:pPr><w:pStyle w:val="Normal"/></w:pPr>
<w:r><w:t xml:space="preserve">See Lenz, Botanik der alt.  Greich. und Rom. (1859); J.</w:t></w:r>
</w:p>
<w:p>
<w:pPr><w:pStyle w:val="Normal"/></w:pPr>
<w:r><w:t xml:space="preserve">Murr, Die Pflanzenwelt in der griech.  Mythol. (1890).</w:t></w:r>
</w:p>
<w:p>
<w:pPr><w:pStyle w:val="Normal"/></w:pPr>
<w:r><w:t xml:space="preserve">AMARAPURA (``the city of the gods&apos;&apos;), formerly the capital</w:t></w:r>
</w:p>
<w:p>
<w:pPr><w:pStyle w:val="Normal"/></w:pPr>
<w:r><w:t xml:space="preserve">of the Burmese kingdom, now a suburb of Mandalay, Burma,</w:t></w:r>
</w:p>
<w:p>
<w:pPr><w:pStyle w:val="Normal"/></w:pPr>
<w:r><w:t xml:space="preserve">with a population in 1901 of 9103.  The town was founded</w:t></w:r>
</w:p>
<w:p>
<w:pPr><w:pStyle w:val="Normal"/></w:pPr>
<w:r><w:t xml:space="preserve">in 1783 to form a new capital about 6 m. to the north-east</w:t></w:r>
</w:p>
<w:p>
<w:pPr><w:pStyle w:val="Normal"/></w:pPr>
<w:r><w:t xml:space="preserve">of Ava. It increased rapidly in size and population, and in</w:t></w:r>
</w:p>
<w:p>
<w:pPr><w:pStyle w:val="Normal"/></w:pPr>
<w:r><w:t xml:space="preserve">1810 was estimated to contain 170,000 inhabitants; but in</w:t></w:r>
</w:p>
<w:p>
<w:pPr><w:pStyle w:val="Normal"/></w:pPr>
<w:r><w:t xml:space="preserve">that year the town was destroyed by fire, and this disaster,</w:t></w:r>
</w:p>
<w:p>
<w:pPr><w:pStyle w:val="Normal"/></w:pPr>
<w:r><w:t xml:space="preserve">together with the removal of the native court to Ava in 1823,</w:t></w:r>
</w:p>
<w:p>
<w:pPr><w:pStyle w:val="Normal"/></w:pPr>
<w:r><w:t xml:space="preserve">caused a decline in the prosperity of the place.  In 1827</w:t></w:r>
</w:p>
<w:p>
<w:pPr><w:pStyle w:val="Normal"/></w:pPr>
<w:r><w:t xml:space="preserve">its population was estimated at only 30,000.  It suffered</w:t></w:r>
</w:p>
<w:p>
<w:pPr><w:pStyle w:val="Normal"/></w:pPr>
<w:r><w:t xml:space="preserve">severe calamity from an earthquake, which in 1839 destroyed</w:t></w:r>
</w:p>
<w:p>
<w:pPr><w:pStyle w:val="Normal"/></w:pPr>
<w:r><w:t xml:space="preserve">the greater part of the city.  It was finally abandoned in</w:t></w:r>
</w:p>
<w:p>
<w:pPr><w:pStyle w:val="Normal"/></w:pPr>
<w:r><w:t xml:space="preserve">1860, when king Mindon occupied Mandalay, 5 or 6 m. farther</w:t></w:r>
</w:p>
<w:p>
<w:pPr><w:pStyle w:val="Normal"/></w:pPr>
<w:r><w:t xml:space="preserve">north.  Amarapura was laid out on much the same plan as Ava.</w:t></w:r>
</w:p>
<w:p>
<w:pPr><w:pStyle w:val="Normal"/></w:pPr>
<w:r><w:t xml:space="preserve">The ruins of the city wall, now overgrown with jungle, show</w:t></w:r>
</w:p>
<w:p>
<w:pPr><w:pStyle w:val="Normal"/></w:pPr>
<w:r><w:t xml:space="preserve">it to have been a square with a side of about three-quarters</w:t></w:r>
</w:p>
<w:p>
<w:pPr><w:pStyle w:val="Normal"/></w:pPr>
<w:r><w:t xml:space="preserve">of a mile in length.  At each corner stood a solid brick</w:t></w:r>
</w:p>
<w:p>
<w:pPr><w:pStyle w:val="Normal"/></w:pPr>
<w:r><w:t xml:space="preserve">pagoda about 100 ft. high.  The most remarkable edifice</w:t></w:r>
</w:p>
<w:p>
<w:pPr><w:pStyle w:val="Normal"/></w:pPr>
<w:r><w:t xml:space="preserve">was a celebrated temple, adorned with 250 lofty pillars</w:t></w:r>
</w:p>
<w:p>
<w:pPr><w:pStyle w:val="Normal"/></w:pPr>
<w:r><w:t xml:space="preserve">of gilt wood, and containing a colossal bronze statue of</w:t></w:r>
</w:p>
<w:p>
<w:pPr><w:pStyle w:val="Normal"/></w:pPr>
<w:r><w:t xml:space="preserve">Buddha.  The remains of the former palace of the Burmese</w:t></w:r>
</w:p>
<w:p>
<w:pPr><w:pStyle w:val="Normal"/></w:pPr>
<w:r><w:t xml:space="preserve">monarchs still survive in the centre of the town.  During the</w:t></w:r>
</w:p>
<w:p>
<w:pPr><w:pStyle w:val="Normal"/></w:pPr>
<w:r><w:t xml:space="preserve">time of its prosperity Amarapura was defended by a rampart</w:t></w:r>
</w:p>
<w:p>
<w:pPr><w:pStyle w:val="Normal"/></w:pPr>
<w:r><w:t xml:space="preserve">and a large square citadel, with a broad moat, the walls</w:t></w:r>
</w:p>
<w:p>
<w:pPr><w:pStyle w:val="Normal"/></w:pPr>
<w:r><w:t xml:space="preserve">being 7000 ft. long and 20 ft. high, with a bastion at each</w:t></w:r>
</w:p>
<w:p>
<w:pPr><w:pStyle w:val="Normal"/></w:pPr>
<w:r><w:t xml:space="preserve">corner.  The Burmans know it now as Myohaung, ``the old</w:t></w:r>
</w:p>
<w:p>
<w:pPr><w:pStyle w:val="Normal"/></w:pPr>
<w:r><w:t xml:space="preserve">city.&apos;&apos; It has a station on the Rangoon-Mandalay railway,</w:t></w:r>
</w:p>
<w:p>
<w:pPr><w:pStyle w:val="Normal"/></w:pPr>
<w:r><w:t xml:space="preserve">and is the junction for the line to Maymyo and the Kunlong</w:t></w:r>
</w:p>
<w:p>
<w:pPr><w:pStyle w:val="Normal"/></w:pPr>
<w:r><w:t xml:space="preserve">ferry and for the Sagaing-Myitkyina railway.  The group of</w:t></w:r>
</w:p>
<w:p>
<w:pPr><w:pStyle w:val="Normal"/></w:pPr>
<w:r><w:t xml:space="preserve">villages called Amarapura by Europeans is known to the Burmans</w:t></w:r>
</w:p>
<w:p>
<w:pPr><w:pStyle w:val="Normal"/></w:pPr>
<w:r><w:t xml:space="preserve">as Taung-myo, ``the southern city,&apos;&apos; as distinguished from</w:t></w:r>
</w:p>
<w:p>
<w:pPr><w:pStyle w:val="Normal"/></w:pPr>
<w:r><w:t xml:space="preserve">Mandalay, the Myauk-myo, or ``northern city,&apos;&apos; 3 m. distant.</w:t></w:r>
</w:p>
<w:p>
<w:pPr><w:pStyle w:val="Normal"/></w:pPr>
<w:r><w:t xml:space="preserve">AMARAR, a tribe of African ``Arabs&apos;&apos; inhabiting the</w:t></w:r>
</w:p>
<w:p>
<w:pPr><w:pStyle w:val="Normal"/></w:pPr>
<w:r><w:t xml:space="preserve">mountainous country on the west side of the Red Sea from</w:t></w:r>
</w:p>
<w:p>
<w:pPr><w:pStyle w:val="Normal"/></w:pPr>
<w:r><w:t xml:space="preserve">Suakin northwards towards Kosseir.  Between them and the</w:t></w:r>
</w:p>
<w:p>
<w:pPr><w:pStyle w:val="Normal"/></w:pPr>
<w:r><w:t xml:space="preserve">Nile are the Ababda and Bisharin tribes and to their south</w:t></w:r>
</w:p>
<w:p>
<w:pPr><w:pStyle w:val="Normal"/></w:pPr>
<w:r><w:t xml:space="preserve">dwell the Hadendoa.  The country of the Amarar is called the</w:t></w:r>
</w:p>
<w:p>
<w:pPr><w:pStyle w:val="Normal"/></w:pPr>
<w:r><w:t xml:space="preserve">Etbai.  Their headquarters are in the Ariab district.  The</w:t></w:r>
</w:p>
<w:p>
<w:pPr><w:pStyle w:val="Normal"/></w:pPr>
<w:r><w:t xml:space="preserve">tribe is divided into four great famines: (1) Weled Gwilei,</w:t></w:r>
</w:p>
<w:p>
<w:pPr><w:pStyle w:val="Normal"/></w:pPr>
<w:r><w:t xml:space="preserve">(2) Weled Aliab, (3) Woled Kurbab Wagadab, and (4) the</w:t></w:r>
</w:p>
<w:p>
<w:pPr><w:pStyle w:val="Normal"/></w:pPr>
<w:r><w:t xml:space="preserve">Amarar proper of the Ariab district.  They claim to be of</w:t></w:r>
</w:p>
<w:p>
<w:pPr><w:pStyle w:val="Normal"/></w:pPr>
<w:r><w:t xml:space="preserve">Koreish blood and to be the descendants of an invading Arab</w:t></w:r>
</w:p>
<w:p>
<w:pPr><w:pStyle w:val="Normal"/></w:pPr>
<w:r><w:t xml:space="preserve">army.  Possibly some small bands of Koreish Arabs may have</w:t></w:r>
</w:p>
<w:p>
<w:pPr><w:pStyle w:val="Normal"/></w:pPr>
<w:r><w:t xml:space="preserve">made an inroad and converted some of the Amarar to Islam.</w:t></w:r>
</w:p>
<w:p>
<w:pPr><w:pStyle w:val="Normal"/></w:pPr>
<w:r><w:t xml:space="preserve">Further than this there is little to substantiate their claim.</w:t></w:r>
</w:p>
<w:p>
<w:pPr><w:pStyle w:val="Normal"/></w:pPr>
<w:r><w:t xml:space="preserve">See Anglo-Egyptian Sudan, edited by Count Gleichen (London,</w:t></w:r>
</w:p>
<w:p>
<w:pPr><w:pStyle w:val="Normal"/></w:pPr>
<w:r><w:t xml:space="preserve">1905): Sir F. R. Wingate, Mahdism and the Egyptian Sudan (London,</w:t></w:r>
</w:p>
<w:p>
<w:pPr><w:pStyle w:val="Normal"/></w:pPr>
<w:r><w:t xml:space="preserve">1891); A. H. Keane, Ethnology of Egyptian Sudan (London, 1884).</w:t></w:r>
</w:p>
<w:p>
<w:pPr><w:pStyle w:val="Normal"/></w:pPr>
<w:r><w:t xml:space="preserve">AMARA SINHA (c. A.D. 375), Sanskrit grammarian and poet,</w:t></w:r>
</w:p>
<w:p>
<w:pPr><w:pStyle w:val="Normal"/></w:pPr>
<w:r><w:t xml:space="preserve">of whose personal history hardly anything is known.  He is said</w:t></w:r>
</w:p>
<w:p>
<w:pPr><w:pStyle w:val="Normal"/></w:pPr>
<w:r><w:t xml:space="preserve">to have been ``one of the nine gems that adorned the throne</w:t></w:r>
</w:p>
<w:p>
<w:pPr><w:pStyle w:val="Normal"/></w:pPr>
<w:r><w:t xml:space="preserve">of Vikramaditya,&apos;&apos; and according to the evidence of Hsuan</w:t></w:r>
</w:p>
<w:p>
<w:pPr><w:pStyle w:val="Normal"/></w:pPr>
<w:r><w:t xml:space="preserve">Tsang, this is the Chandragupta Vikramaditya that flourished</w:t></w:r>
</w:p>
<w:p>
<w:pPr><w:pStyle w:val="Normal"/></w:pPr>
<w:r><w:t xml:space="preserve">about A.D. 375. Amara seems to have been a Buddhist; and an</w:t></w:r>
</w:p>
<w:p>
<w:pPr><w:pStyle w:val="Normal"/></w:pPr>
<w:r><w:t xml:space="preserve">early tradition asserts that his works, with one exception,</w:t></w:r>
</w:p>
<w:p>
<w:pPr><w:pStyle w:val="Normal"/></w:pPr>
<w:r><w:t xml:space="preserve">were destroyed during the persecution carried on by the</w:t></w:r>
</w:p>
<w:p>
<w:pPr><w:pStyle w:val="Normal"/></w:pPr>
<w:r><w:t xml:space="preserve">orthodox Brahmins in the 5th century.  The exception is the</w:t></w:r>
</w:p>
<w:p>
<w:pPr><w:pStyle w:val="Normal"/></w:pPr>
<w:r><w:t xml:space="preserve">celebrated Amara-Xosha (Treasury of Amara), a vocabulary</w:t></w:r>
</w:p>
<w:p>
<w:pPr><w:pStyle w:val="Normal"/></w:pPr>
<w:r><w:t xml:space="preserve">of Sanskrit roots, in three books, and hence sometimes</w:t></w:r>
</w:p>
<w:p>
<w:pPr><w:pStyle w:val="Normal"/></w:pPr>
<w:r><w:t xml:space="preserve">called Trikanda or the ``Tripartite.&apos;&apos; It contains 10,000</w:t></w:r>
</w:p>
<w:p>
<w:pPr><w:pStyle w:val="Normal"/></w:pPr>
<w:r><w:t xml:space="preserve">words, and is arranged, like other works of its class, in</w:t></w:r>
</w:p>
<w:p>
<w:pPr><w:pStyle w:val="Normal"/></w:pPr>
<w:r><w:t xml:space="preserve">metre, to aid the memory.  The first chapter of the Kosha</w:t></w:r>
</w:p>
<w:p>
<w:pPr><w:pStyle w:val="Normal"/></w:pPr>
<w:r><w:t xml:space="preserve">was printed at Rome in Tamil character in 1798.  An edition</w:t></w:r>
</w:p>
<w:p>
<w:pPr><w:pStyle w:val="Normal"/></w:pPr>
<w:r><w:t xml:space="preserve">of the entire work, with English notes and an index by H. T.</w:t></w:r>
</w:p>
<w:p>
<w:pPr><w:pStyle w:val="Normal"/></w:pPr>
<w:r><w:t xml:space="preserve">Colebrooke, appeared at Serampore in 1808. The Sanskrit text</w:t></w:r>
</w:p>
<w:p>
<w:pPr><w:pStyle w:val="Normal"/></w:pPr>
<w:r><w:t xml:space="preserve">was printed at Calcutta in 1831.  A French translation by A.</w:t></w:r>
</w:p>
<w:p>
<w:pPr><w:pStyle w:val="Heading1"/></w:pPr>
<w:r><w:t>L. A. Loiseleur-Deslongchamps as published at Paris in 1839.</w:t></w:r>
</w:p>
<w:p>
<w:pPr><w:pStyle w:val="Normal"/></w:pPr>
<w:r><w:t xml:space="preserve">AMARI, MICHELE (1806-1889), Italian orientalist and patriot,</w:t></w:r>
</w:p>
<w:p>
<w:pPr><w:pStyle w:val="Normal"/></w:pPr>
<w:r><w:t xml:space="preserve">was born at Palermo.  From his earliest youth he imbibed</w:t></w:r>
</w:p>
<w:p>
<w:pPr><w:pStyle w:val="Normal"/></w:pPr>
<w:r><w:t xml:space="preserve">liberal principles from his relatives, especially from his</w:t></w:r>
</w:p>
<w:p>
<w:pPr><w:pStyle w:val="Normal"/></w:pPr>
<w:r><w:t xml:space="preserve">grandfather, and although at the age of fourteen he was</w:t></w:r>
</w:p>
<w:p>
<w:pPr><w:pStyle w:val="Normal"/></w:pPr>
<w:r><w:t xml:space="preserve">appointed clerk in the Bourbon civil service, he joined</w:t></w:r>
</w:p>
<w:p>
<w:pPr><w:pStyle w:val="Normal"/></w:pPr>
<w:r><w:t xml:space="preserve">the Carbonari like many other young Sicilians and actively</w:t></w:r>
</w:p>
<w:p>
<w:pPr><w:pStyle w:val="Normal"/></w:pPr>
<w:r><w:t xml:space="preserve">sympathized with the revolution of 1820.  The movement, which</w:t></w:r>
</w:p>
<w:p>
<w:pPr><w:pStyle w:val="Normal"/></w:pPr>
<w:r><w:t xml:space="preserve">was separatist in its tendencies, was quickly suppressed, but</w:t></w:r>
</w:p>
<w:p>
<w:pPr><w:pStyle w:val="Normal"/></w:pPr>
<w:r><w:t xml:space="preserve">the conspiracies continued, and Amari&apos;s father, implicated</w:t></w:r>
</w:p>
<w:p>
<w:pPr><w:pStyle w:val="Normal"/></w:pPr>
<w:r><w:t xml:space="preserve">in that of 1822, was arrested and condemned to death</w:t></w:r>
</w:p>
<w:p>
<w:pPr><w:pStyle w:val="Normal"/></w:pPr>
<w:r><w:t xml:space="preserve">together with many others; but his sentence was commuted to</w:t></w:r>
</w:p>
<w:p>
<w:pPr><w:pStyle w:val="Normal"/></w:pPr>
<w:r><w:t xml:space="preserve">imprisonment, and in 1834 he was liberated.  Michele Amari</w:t></w:r>
</w:p>
<w:p>
<w:pPr><w:pStyle w:val="Normal"/></w:pPr>
<w:r><w:t xml:space="preserve">still held his clerkship, but he regarded the Neapolitan</w:t></w:r>
</w:p>
<w:p>
<w:pPr><w:pStyle w:val="Normal"/></w:pPr>
<w:r><w:t xml:space="preserve">government with increasing hatred, and he led a life of</w:t></w:r>
</w:p>
<w:p>
<w:pPr><w:pStyle w:val="Normal"/></w:pPr>
<w:r><w:t xml:space="preserve">active physical exercise to train himself for the day of</w:t></w:r>
</w:p>
<w:p>
<w:pPr><w:pStyle w:val="Normal"/></w:pPr>
<w:r><w:t xml:space="preserve">revolution.  He devoted much of his time to the study</w:t></w:r>
</w:p>
<w:p>
<w:pPr><w:pStyle w:val="Normal"/></w:pPr>
<w:r><w:t xml:space="preserve">of English and of history; his first literary essay was a</w:t></w:r>
</w:p>
<w:p>
<w:pPr><w:pStyle w:val="Normal"/></w:pPr>
<w:r><w:t xml:space="preserve">translation of Sir Walter Scott&apos;s Marmion (1832), and in</w:t></w:r>
</w:p>
<w:p>
<w:pPr><w:pStyle w:val="Normal"/></w:pPr>
<w:r><w:t xml:space="preserve">1839 he published a work on the Sicilian Vespers, entitled</w:t></w:r>
</w:p>
<w:p>
<w:pPr><w:pStyle w:val="Normal"/></w:pPr>
<w:r><w:t xml:space="preserve">Hn Periodo delle storie Siciliane del XIII. secolo,</w:t></w:r>
</w:p>
<w:p>
<w:pPr><w:pStyle w:val="Normal"/></w:pPr>
<w:r><w:t xml:space="preserve">filled with political allusions reflecting unfavourably on the</w:t></w:r>
</w:p>
<w:p>
<w:pPr><w:pStyle w:val="Normal"/></w:pPr>
<w:r><w:t xml:space="preserve">government.  The book had an immediate success and went</w:t></w:r>
</w:p>
<w:p>
<w:pPr><w:pStyle w:val="Normal"/></w:pPr>
<w:r><w:t xml:space="preserve">through many editions, but it brought the author under the</w:t></w:r>
</w:p>
<w:p>
<w:pPr><w:pStyle w:val="Normal"/></w:pPr>
<w:r><w:t xml:space="preserve">suspicion of the authorities, and in 1842 he escaped from</w:t></w:r>
</w:p>
<w:p>
<w:pPr><w:pStyle w:val="Normal"/></w:pPr>
<w:r><w:t xml:space="preserve">a boat just as he was about to be arrested.  He settled in</w:t></w:r>
</w:p>
<w:p>
<w:pPr><w:pStyle w:val="Normal"/></w:pPr>
<w:r><w:t xml:space="preserve">Paris, where he came in contact with a number of literary</w:t></w:r>
</w:p>
<w:p>
<w:pPr><w:pStyle w:val="Normal"/></w:pPr>
<w:r><w:t xml:space="preserve">men, such as Michelet and Thierry, as well as with the Italian</w:t></w:r>
</w:p>
<w:p>
<w:pPr><w:pStyle w:val="Normal"/></w:pPr>
<w:r><w:t xml:space="preserve">exiles.  Having no private means he had to earn a precarious</w:t></w:r>
</w:p>
<w:p>
<w:pPr><w:pStyle w:val="Normal"/></w:pPr>
<w:r><w:t xml:space="preserve">livelihood by literature.  He was much struck with certain</w:t></w:r>
</w:p>
<w:p>
<w:pPr><w:pStyle w:val="Normal"/></w:pPr>
<w:r><w:t xml:space="preserve">French translations of Arabic works on Sicily,which awoke</w:t></w:r>
</w:p>
<w:p>
<w:pPr><w:pStyle w:val="Normal"/></w:pPr>
<w:r><w:t xml:space="preserve">in him a desire to read the authors in the original.  With</w:t></w:r>
</w:p>
<w:p>
<w:pPr><w:pStyle w:val="Normal"/></w:pPr>
<w:r><w:t xml:space="preserve">the assistance of Prof.  Reinaud and Baron de Slane he soon</w:t></w:r>
</w:p>
<w:p>
<w:pPr><w:pStyle w:val="Normal"/></w:pPr>
<w:r><w:t xml:space="preserve">acquired great proficiency in Arabic, and his translations</w:t></w:r>
</w:p>
<w:p>
<w:pPr><w:pStyle w:val="Normal"/></w:pPr>
<w:r><w:t xml:space="preserve">and editions of oriental texts, as well as his historical</w:t></w:r>
</w:p>
<w:p>
<w:pPr><w:pStyle w:val="Normal"/></w:pPr>
<w:r><w:t xml:space="preserve">essays, made him a reputation.  In 1844 he began his great</w:t></w:r>
</w:p>
<w:p>
<w:pPr><w:pStyle w:val="Normal"/></w:pPr>
<w:r><w:t xml:space="preserve">work La Storia dei Musulmani in Sicilia, but the revolution</w:t></w:r>
</w:p>
<w:p>
<w:pPr><w:pStyle w:val="Normal"/></w:pPr>
<w:r><w:t xml:space="preserve">of 1848 plunged him into politics once more.  His pamphlet,</w:t></w:r>
</w:p>
<w:p>
<w:pPr><w:pStyle w:val="Normal"/></w:pPr>
<w:r><w:t xml:space="preserve">Quelques Observations sur le droit public de la Sicile,</w:t></w:r>
</w:p>
<w:p>
<w:pPr><w:pStyle w:val="Normal"/></w:pPr>
<w:r><w:t xml:space="preserve">advocating the revival of the 1812 constitution for the</w:t></w:r>
</w:p>
<w:p>
<w:pPr><w:pStyle w:val="Normal"/></w:pPr>
<w:r><w:t xml:space="preserve">island, met with great success, and on arriving at Palermo,</w:t></w:r>
</w:p>
<w:p>
<w:pPr><w:pStyle w:val="Normal"/></w:pPr>
<w:r><w:t xml:space="preserve">whence the Bourbon government had been expelled, he was chosen</w:t></w:r>
</w:p>
<w:p>
<w:pPr><w:pStyle w:val="Normal"/></w:pPr>
<w:r><w:t xml:space="preserve">member of the war committee and appointed professor of public</w:t></w:r>
</w:p>
<w:p>
<w:pPr><w:pStyle w:val="Normal"/></w:pPr>
<w:r><w:t xml:space="preserve">law at the university.  At the general elections Amari was</w:t></w:r>
</w:p>
<w:p>
<w:pPr><w:pStyle w:val="Normal"/></w:pPr>
<w:r><w:t xml:space="preserve">returned for Palermo and became minister of finance in the</w:t></w:r>
</w:p>
<w:p>
<w:pPr><w:pStyle w:val="Normal"/></w:pPr>
<w:r><w:t xml:space="preserve">Stabile cabinet.  On its fall he was sent to Paris and London</w:t></w:r>
</w:p>
<w:p>
<w:pPr><w:pStyle w:val="Normal"/></w:pPr>
<w:r><w:t xml:space="preserve">to try to obtain help for the struggling island; having failed</w:t></w:r>
</w:p>
<w:p>
<w:pPr><w:pStyle w:val="Normal"/></w:pPr>
<w:r><w:t xml:space="preserve">in his mission he returned to Sicily in 1849, hoping to</w:t></w:r>
</w:p>
<w:p>
<w:pPr><w:pStyle w:val="Normal"/></w:pPr>
<w:r><w:t xml:space="preserve">fight.  But the Neapolitan troops had re-occupied the island,</w:t></w:r>
</w:p>
<w:p>
<w:pPr><w:pStyle w:val="Normal"/></w:pPr>
<w:r><w:t xml:space="preserve">the Liberals were in disagreement among themselves, and</w:t></w:r>
</w:p>
<w:p>
<w:pPr><w:pStyle w:val="Normal"/></w:pPr>
<w:r><w:t xml:space="preserve">Amari with several other notables with difficulty escaped to</w:t></w:r>
</w:p>
<w:p>
<w:pPr><w:pStyle w:val="Normal"/></w:pPr>
<w:r><w:t xml:space="preserve">Malta.  Characteristic of his scholarly nature is the</w:t></w:r>
</w:p>
<w:p>
<w:pPr><w:pStyle w:val="Normal"/></w:pPr>
<w:r><w:t xml:space="preserve">fact that he delayed his flight to take the impress of an</w:t></w:r>
</w:p>
<w:p>
<w:pPr><w:pStyle w:val="Normal"/></w:pPr>
<w:r><w:t xml:space="preserve">important Arabic inscription.  He returned to Paris, sad and</w:t></w:r>
</w:p>
<w:p>
<w:pPr><w:pStyle w:val="Normal"/></w:pPr>
<w:r><w:t xml:space="preserve">dejected at the collapse of the movement, and devoted himself</w:t></w:r>
</w:p>
<w:p>
<w:pPr><w:pStyle w:val="Normal"/></w:pPr>
<w:r><w:t xml:space="preserve">once more to his Arabic studies.  He published a work on</w:t></w:r>
</w:p>
<w:p>
<w:pPr><w:pStyle w:val="Normal"/></w:pPr>
<w:r><w:t xml:space="preserve">the chronology of the Koran, for which he received a prize</w:t></w:r>
</w:p>
<w:p>
<w:pPr><w:pStyle w:val="Normal"/></w:pPr>
<w:r><w:t xml:space="preserve">from the Academie des Inscriptions, edited the Solwan el</w:t></w:r>
</w:p>
<w:p>
<w:pPr><w:pStyle w:val="Normal"/></w:pPr>
<w:r><w:t xml:space="preserve">Mota by Ibn Zafer (a curious collection of philosophical</w:t></w:r>
</w:p>
<w:p>
<w:pPr><w:pStyle w:val="Normal"/></w:pPr>
<w:r><w:t xml:space="preserve">thoughts) and Ibn Haukal&apos;s Description og Palermo, and in</w:t></w:r>
</w:p>
<w:p>
<w:pPr><w:pStyle w:val="Normal"/></w:pPr>
<w:r><w:t xml:space="preserve">1854 the first volume of his history of the Mahommedans in</w:t></w:r>
</w:p>
<w:p>
<w:pPr><w:pStyle w:val="Normal"/></w:pPr>
<w:r><w:t xml:space="preserve">Sicily appeared. He received a meagre stipend for cataloguing</w:t></w:r>
</w:p>
<w:p>
<w:pPr><w:pStyle w:val="Normal"/></w:pPr>
<w:r><w:t xml:space="preserve">the Arabic MSS. in the Bibliotheque Nationale, and he</w:t></w:r>
</w:p>
<w:p>
<w:pPr><w:pStyle w:val="Normal"/></w:pPr>
<w:r><w:t xml:space="preserve">contributed many articles to the reviews.  Although a firm</w:t></w:r>
</w:p>
<w:p>
<w:pPr><w:pStyle w:val="Normal"/></w:pPr>
<w:r><w:t xml:space="preserve">friend of Mazzini, he discouraged the latter&apos;s premature</w:t></w:r>
</w:p>
<w:p>
<w:pPr><w:pStyle w:val="Normal"/></w:pPr>
<w:r><w:t xml:space="preserve">conspiracies.  In 1859, after the expulsion of the central</w:t></w:r>
</w:p>
<w:p>
<w:pPr><w:pStyle w:val="Normal"/></w:pPr>
<w:r><w:t xml:space="preserve">Italian despots, Amari was appointed professor of Arabic at</w:t></w:r>
</w:p>
<w:p>
<w:pPr><w:pStyle w:val="Normal"/></w:pPr>
<w:r><w:t xml:space="preserve">Pisa and afterwards at Florence.  But when Garibaldi and his</w:t></w:r>
</w:p>
<w:p>
<w:pPr><w:pStyle w:val="Normal"/></w:pPr>
<w:r><w:t xml:space="preserve">thousand had conquered Sicily, Amari returned to his native</w:t></w:r>
</w:p>
<w:p>
<w:pPr><w:pStyle w:val="Normal"/></w:pPr>
<w:r><w:t xml:space="preserve">island, and was given an appointment in the government.</w:t></w:r>
</w:p>
<w:p>
<w:pPr><w:pStyle w:val="Normal"/></w:pPr>
<w:r><w:t xml:space="preserve">Although intensely Sicilian in sentiment, he became one of</w:t></w:r>
</w:p>
<w:p>
<w:pPr><w:pStyle w:val="Normal"/></w:pPr>
<w:r><w:t xml:space="preserve">the staunchest advocates of the union of Sicily with Italy,</w:t></w:r>
</w:p>
<w:p>
<w:pPr><w:pStyle w:val="Normal"/></w:pPr>
<w:r><w:t xml:space="preserve">and was subsequently made senator of the kingdom at Cavour&apos;s</w:t></w:r>
</w:p>
<w:p>
<w:pPr><w:pStyle w:val="Normal"/></w:pPr>
<w:r><w:t xml:space="preserve">instance.  He was minister of education in the Farini and</w:t></w:r>
</w:p>
<w:p>
<w:pPr><w:pStyle w:val="Normal"/></w:pPr>
<w:r><w:t xml:space="preserve">Minghetti cabinets, but on the fall of the latter in 1864, he</w:t></w:r>
</w:p>
<w:p>
<w:pPr><w:pStyle w:val="Normal"/></w:pPr>
<w:r><w:t xml:space="preserve">resumed his professorship at Florence and spent the rest of</w:t></w:r>
</w:p>
<w:p>
<w:pPr><w:pStyle w:val="Normal"/></w:pPr>
<w:r><w:t xml:space="preserve">his life in study.  His circle of acquaintances, both in Italy</w:t></w:r>
</w:p>
<w:p>
<w:pPr><w:pStyle w:val="Normal"/></w:pPr>
<w:r><w:t xml:space="preserve">and abroad, was very large, and his sound scholarship was</w:t></w:r>
</w:p>
<w:p>
<w:pPr><w:pStyle w:val="Normal"/></w:pPr>
<w:r><w:t xml:space="preserve">appreciated in all countries.  He died in 1889, loaded with</w:t></w:r>
</w:p>
<w:p>
<w:pPr><w:pStyle w:val="Normal"/></w:pPr>
<w:r><w:t xml:space="preserve">honours.  The last volume of his Storia dei Musulmani</w:t></w:r>
</w:p>
<w:p>
<w:pPr><w:pStyle w:val="Normal"/></w:pPr>
<w:r><w:t xml:space="preserve">appeared in 1873, and in addition to the above-mentioned</w:t></w:r>
</w:p>
<w:p>
<w:pPr><w:pStyle w:val="Normal"/></w:pPr>
<w:r><w:t xml:space="preserve">works he published many others on oriental and historical</w:t></w:r>
</w:p>
<w:p>
<w:pPr><w:pStyle w:val="Normal"/></w:pPr>
<w:r><w:t xml:space="preserve">subjects.  His work on the Sicilian Vespers was re-written</w:t></w:r>
</w:p>
<w:p>
<w:pPr><w:pStyle w:val="Normal"/></w:pPr>
<w:r><w:t xml:space="preserve">as La Guerra dei Vespro (9th ed., Milan, 1886).  He was</w:t></w:r>
</w:p>
<w:p>
<w:pPr><w:pStyle w:val="Normal"/></w:pPr>
<w:r><w:t xml:space="preserve">the pioneer of Arabic studies in modern Italy, and he still</w:t></w:r>
</w:p>
<w:p>
<w:pPr><w:pStyle w:val="Normal"/></w:pPr>
<w:r><w:t xml:space="preserve">remains the standard authority on the Mussulman  domination</w:t></w:r>
</w:p>
<w:p>
<w:pPr><w:pStyle w:val="Normal"/></w:pPr>
<w:r><w:t xml:space="preserve">in Sicily, though his judgment on religious questions</w:t></w:r>
</w:p>
<w:p>
<w:pPr><w:pStyle w:val="Normal"/></w:pPr>
<w:r><w:t xml:space="preserve">is sometimes warped by a violently anti-clerical bias.</w:t></w:r>
</w:p>
<w:p>
<w:pPr><w:pStyle w:val="Normal"/></w:pPr>
<w:r><w:t xml:space="preserve">See A. D&apos;Ancona, Carteggio di Michele Amari coll&apos; elogio</w:t></w:r>
</w:p>
<w:p>
<w:pPr><w:pStyle w:val="Normal"/></w:pPr>
<w:r><w:t xml:space="preserve">di lui (Turin, 1896); and Oreste Tommasini&apos;s essay in his</w:t></w:r>
</w:p>
<w:p>
<w:pPr><w:pStyle w:val="Normal"/></w:pPr>
<w:r><w:t xml:space="preserve">Scritti di storial e critica (Rome, 189I). (L. V.n)</w:t></w:r>
</w:p>
<w:p>
<w:pPr><w:pStyle w:val="Normal"/></w:pPr>
<w:r><w:t xml:space="preserve">AMARYLLIS (the name of a girl in classical pastoral poetry), in</w:t></w:r>
</w:p>
<w:p>
<w:pPr><w:pStyle w:val="Normal"/></w:pPr>
<w:r><w:t xml:space="preserve">botany, a genus of the natural order Amaryllidaceae, containing</w:t></w:r>
</w:p>
<w:p>
<w:pPr><w:pStyle w:val="Normal"/></w:pPr>
<w:r><w:t xml:space="preserve">the belladonna lily (Amaryllis Belladonna), a native of South</w:t></w:r>
</w:p>
<w:p>
<w:pPr><w:pStyle w:val="Normal"/></w:pPr>
<w:r><w:t xml:space="preserve">Africa, which was introduced into cultivation at the beginning</w:t></w:r>
</w:p>
<w:p>
<w:pPr><w:pStyle w:val="Normal"/></w:pPr>
<w:r><w:t xml:space="preserve">of the 18th century.  This is a half-hardy bulbous plant,</w:t></w:r>
</w:p>
<w:p>
<w:pPr><w:pStyle w:val="Normal"/></w:pPr>
<w:r><w:t xml:space="preserve">producing in the spring a number of strap-shaped, dull green</w:t></w:r>
</w:p>
<w:p>
<w:pPr><w:pStyle w:val="Normal"/></w:pPr>
<w:r><w:t xml:space="preserve">leaves, 1-1 1/2 ft. long, arranged in two rows, and in autumn a</w:t></w:r>
</w:p>
<w:p>
<w:pPr><w:pStyle w:val="Normal"/></w:pPr>
<w:r><w:t xml:space="preserve">solid stem, bearing at the top a cluster of 6-12 funnel-shaped</w:t></w:r>
</w:p>
<w:p>
<w:pPr><w:pStyle w:val="Normal"/></w:pPr>
<w:r><w:t xml:space="preserve">flowers, of a rose colour and very fragrant.  Several forms</w:t></w:r>
</w:p>
<w:p>
<w:pPr><w:pStyle w:val="Normal"/></w:pPr>
<w:r><w:t xml:space="preserve">are known in cultivation.  Most of the so-called Amaryllis</w:t></w:r>
</w:p>
<w:p>
<w:pPr><w:pStyle w:val="Normal"/></w:pPr>
<w:r><w:t xml:space="preserve">of gardens belong to the allied genus Hippeastrum (q.v.).</w:t></w:r>
</w:p>
<w:p>
<w:pPr><w:pStyle w:val="Normal"/></w:pPr>
<w:r><w:t xml:space="preserve">AMASIA (anc. Amasia), the chief town of a sanjak in the</w:t></w:r>
</w:p>
<w:p>
<w:pPr><w:pStyle w:val="Normal"/></w:pPr>
<w:r><w:t xml:space="preserve">Sivas vilayet of Asia Minor and an important trade centre</w:t></w:r>
</w:p>
<w:p>
<w:pPr><w:pStyle w:val="Normal"/></w:pPr>
<w:r><w:t xml:space="preserve">on the Samsun-Sivas road, beautifully situated on the Yeshil</w:t></w:r>
</w:p>
<w:p>
<w:pPr><w:pStyle w:val="Normal"/></w:pPr>
<w:r><w:t xml:space="preserve">Irmak (Iris).  Pop. 30,000; Moslems about 20,000, of</w:t></w:r>
</w:p>
<w:p>
<w:pPr><w:pStyle w:val="Normal"/></w:pPr>
<w:r><w:t xml:space="preserve">whom a large proportion are Kizilbash (Shia); Christians</w:t></w:r>
</w:p>
<w:p>
<w:pPr><w:pStyle w:val="Normal"/></w:pPr>
<w:r><w:t xml:space="preserve">(mostly Armenians), 10,000.  It was one of the chief towns</w:t></w:r>
</w:p>
<w:p>
<w:pPr><w:pStyle w:val="Normal"/></w:pPr>
<w:r><w:t xml:space="preserve">of the kingdom of Trebizond and of the Seljuks, one of whose</w:t></w:r>
</w:p>
<w:p>
<w:pPr><w:pStyle w:val="Normal"/></w:pPr>
<w:r><w:t xml:space="preserve">sultans, Kaikobad I., enriched it with fine buildings and</w:t></w:r>
</w:p>
<w:p>
<w:pPr><w:pStyle w:val="Normal"/></w:pPr>
<w:r><w:t xml:space="preserve">restored the castle, which was thus enabled to stand a</w:t></w:r>
</w:p>
<w:p>
<w:pPr><w:pStyle w:val="Normal"/></w:pPr>
<w:r><w:t xml:space="preserve">seven months&apos; siege by Timur.  It was also much favoured by</w:t></w:r>
</w:p>
<w:p>
<w:pPr><w:pStyle w:val="Normal"/></w:pPr>
<w:r><w:t xml:space="preserve">the early Osmanli sultans, one of whom, Sclim I., was born</w:t></w:r>
</w:p>
<w:p>
<w:pPr><w:pStyle w:val="Normal"/></w:pPr>
<w:r><w:t xml:space="preserve">there.  Bayezid II. built a fine mosque.  The place was</w:t></w:r>
</w:p>
<w:p>
<w:pPr><w:pStyle w:val="Normal"/></w:pPr>
<w:r><w:t xml:space="preserve">modernized about a generation ago by Zia Pasha, the poet,</w:t></w:r>
</w:p>
<w:p>
<w:pPr><w:pStyle w:val="Normal"/></w:pPr>
<w:r><w:t xml:space="preserve">when governor, and is now an unusually well built Turkish</w:t></w:r>
</w:p>
<w:p>
<w:pPr><w:pStyle w:val="Normal"/></w:pPr>
<w:r><w:t xml:space="preserve">town with good bazaar and khans and a fine clock-tower.</w:t></w:r>
</w:p>
<w:p>
<w:pPr><w:pStyle w:val="Normal"/></w:pPr>
<w:r><w:t xml:space="preserve">The Americans and the Jesuits have missionary schools for</w:t></w:r>
</w:p>
<w:p>
<w:pPr><w:pStyle w:val="Normal"/></w:pPr>
<w:r><w:t xml:space="preserve">the Armenian population.  Amasia has extensive orchards and</w:t></w:r>
</w:p>
<w:p>
<w:pPr><w:pStyle w:val="Normal"/></w:pPr>
<w:r><w:t xml:space="preserve">fruit gardens still, as in Ibn Batuta&apos;s time, irrigated by</w:t></w:r>
</w:p>
<w:p>
<w:pPr><w:pStyle w:val="Normal"/></w:pPr>
<w:r><w:t xml:space="preserve">water wheels turned by the current of the river; and there</w:t></w:r>
</w:p>
<w:p>
<w:pPr><w:pStyle w:val="Normal"/></w:pPr>
<w:r><w:t xml:space="preserve">are steam flourmills.  Wheat, flour and silk are exported.</w:t></w:r>
</w:p>
<w:p>
<w:pPr><w:pStyle w:val="Normal"/></w:pPr>
<w:r><w:t xml:space="preserve">Ancient Amasia has left little trace of itself except</w:t></w:r>
</w:p>
<w:p>
<w:pPr><w:pStyle w:val="Normal"/></w:pPr>
<w:r><w:t xml:space="preserve">on the castle rock, on the left of the river, where the</w:t></w:r>
</w:p>
<w:p>
<w:pPr><w:pStyle w:val="Normal"/></w:pPr>
<w:r><w:t xml:space="preserve">acropolis walls and a number of splendid rock-cut tombs,</w:t></w:r>
</w:p>
<w:p>
<w:pPr><w:pStyle w:val="Normal"/></w:pPr>
<w:r><w:t xml:space="preserve">described by Strabo as those of the kings of Pontus, can be</w:t></w:r>
</w:p>
<w:p>
<w:pPr><w:pStyle w:val="Normal"/></w:pPr>
<w:r><w:t xml:space="preserve">seen.  The cliff is cut away all round these immense</w:t></w:r>
</w:p>
<w:p>
<w:pPr><w:pStyle w:val="Normal"/></w:pPr>
<w:r><w:t xml:space="preserve">sepulchres so that they stand free.  The finest, known from</w:t></w:r>
</w:p>
<w:p>
<w:pPr><w:pStyle w:val="Normal"/></w:pPr>
<w:r><w:t xml:space="preserve">its polished surfaces as the ``Mirror Tomb,&apos;&apos; is about 2 m.</w:t></w:r>
</w:p>
<w:p>
<w:pPr><w:pStyle w:val="Normal"/></w:pPr>
<w:r><w:t xml:space="preserve">from the modern city.  Amasia rose into historical importance</w:t></w:r>
</w:p>
<w:p>
<w:pPr><w:pStyle w:val="Normal"/></w:pPr>
<w:r><w:t xml:space="preserve">after the time of Alexander as the cradle of the power</w:t></w:r>
</w:p>
<w:p>
<w:pPr><w:pStyle w:val="Normal"/></w:pPr>
<w:r><w:t xml:space="preserve">of Pontus; but the last king to reign there was the father</w:t></w:r>
</w:p>
<w:p>
<w:pPr><w:pStyle w:val="Normal"/></w:pPr>
<w:r><w:t xml:space="preserve">of Mithradates Eupator ``The Great.&apos;&apos; The latter, however,</w:t></w:r>
</w:p>
<w:p>
<w:pPr><w:pStyle w:val="Normal"/></w:pPr>
<w:r><w:t xml:space="preserve">made it the base of his operations against the Romans in</w:t></w:r>
</w:p>
<w:p>
<w:pPr><w:pStyle w:val="Normal"/></w:pPr>
<w:r><w:t xml:space="preserve">89, 72 and 67 B.C. Pompey made it a free city in 65, after</w:t></w:r>
</w:p>
<w:p>
<w:pPr><w:pStyle w:val="Normal"/></w:pPr>
<w:r><w:t xml:space="preserve">Mithradates&apos; fall. It was the birthplace of Strabo. (D. G. H.)</w:t></w:r>
</w:p>
<w:p>
<w:pPr><w:pStyle w:val="Normal"/></w:pPr>
<w:r><w:t xml:space="preserve">AMASIS, or AMOSIS (the Greek forms of the Egyptian name</w:t></w:r>
</w:p>
<w:p>
<w:pPr><w:pStyle w:val="Normal"/></w:pPr>
<w:r><w:t xml:space="preserve">Ahmase, Ahmosi, ``the moon is born,&apos;&apos; often written Aahmes or</w:t></w:r>
</w:p>
<w:p>
<w:pPr><w:pStyle w:val="Normal"/></w:pPr>
<w:r><w:t xml:space="preserve">Ahmes in modern works), the name of two kings of ancient Egypt.</w:t></w:r>
</w:p>
<w:p>
<w:pPr><w:pStyle w:val="Normal"/></w:pPr>
<w:r><w:t xml:space="preserve">AMASIS I., the founder of the XVIIIth dynasty, is famous for</w:t></w:r>
</w:p>
<w:p>
<w:pPr><w:pStyle w:val="Normal"/></w:pPr>
<w:r><w:t xml:space="preserve">his successful wars against the Hyksos princes who still ruled in</w:t></w:r>
</w:p>
<w:p>
<w:pPr><w:pStyle w:val="Normal"/></w:pPr>
<w:r><w:t xml:space="preserve">the north-east of the Delta (see EGYPT: History, sect. 1.)</w:t></w:r>
</w:p>
<w:p>
<w:pPr><w:pStyle w:val="Normal"/></w:pPr>
<w:r><w:t xml:space="preserve">AMASIS II. was the last great ruler of Egypt before the</w:t></w:r>
</w:p>
<w:p>
<w:pPr><w:pStyle w:val="Normal"/></w:pPr>
<w:r><w:t xml:space="preserve">Persian conquest, 570-526 B.C. Most of our information</w:t></w:r>
</w:p>
<w:p>
<w:pPr><w:pStyle w:val="Normal"/></w:pPr>
<w:r><w:t xml:space="preserve">about him is derived from Herodotus (ii. 161 et seq.) and</w:t></w:r>
</w:p>
<w:p>
<w:pPr><w:pStyle w:val="Normal"/></w:pPr>
<w:r><w:t xml:space="preserve">can only be imperfectly controlled by monumental evidence.</w:t></w:r>
</w:p>
<w:p>
<w:pPr><w:pStyle w:val="Normal"/></w:pPr>
<w:r><w:t xml:space="preserve">According to the Greek historian he was of mean origin.</w:t></w:r>
</w:p>
<w:p>
<w:pPr><w:pStyle w:val="Normal"/></w:pPr>
<w:r><w:t xml:space="preserve">A revolt of the native soldiers gave him his opportunity.</w:t></w:r>
</w:p>
<w:p>
<w:pPr><w:pStyle w:val="Normal"/></w:pPr>
<w:r><w:t xml:space="preserve">These troops, returning home from a disastrous expedition to</w:t></w:r>
</w:p>
<w:p>
<w:pPr><w:pStyle w:val="Normal"/></w:pPr>
<w:r><w:t xml:space="preserve">Cyrene, suspected that they had been betrayed in order that</w:t></w:r>
</w:p>
<w:p>
<w:pPr><w:pStyle w:val="Normal"/></w:pPr>
<w:r><w:t xml:space="preserve">Apries, the reigning king, might rule more absolutely by</w:t></w:r>
</w:p>
<w:p>
<w:pPr><w:pStyle w:val="Normal"/></w:pPr>
<w:r><w:t xml:space="preserve">means of his mercenaries, and their friends in Egypt fully</w:t></w:r>
</w:p>
<w:p>
<w:pPr><w:pStyle w:val="Normal"/></w:pPr>
<w:r><w:t xml:space="preserve">sympathized with them.  Amasis, sent to meet them and quell</w:t></w:r>
</w:p>
<w:p>
<w:pPr><w:pStyle w:val="Normal"/></w:pPr>
<w:r><w:t xml:space="preserve">the revolt, was proclaimed king by the rebels, and Apries,</w:t></w:r>
</w:p>
<w:p>
<w:pPr><w:pStyle w:val="Normal"/></w:pPr>
<w:r><w:t xml:space="preserve">who had now to rely entirely on his mercenaries, was defeated</w:t></w:r>
</w:p>
<w:p>
<w:pPr><w:pStyle w:val="Normal"/></w:pPr>
<w:r><w:t xml:space="preserve">and taken prisoner in the ensuing conflict at Momemphis; the</w:t></w:r>
</w:p>
<w:p>
<w:pPr><w:pStyle w:val="Normal"/></w:pPr>
<w:r><w:t xml:space="preserve">usurper treated the captive prince with great lenity, but</w:t></w:r>
</w:p>
<w:p>
<w:pPr><w:pStyle w:val="Normal"/></w:pPr>
<w:r><w:t xml:space="preserve">was eventually persuaded to give him up to the people, by</w:t></w:r>
</w:p>
<w:p>
<w:pPr><w:pStyle w:val="Normal"/></w:pPr>
<w:r><w:t xml:space="preserve">whom he was strangled and buried in his ancestral tomb at</w:t></w:r>
</w:p>
<w:p>
<w:pPr><w:pStyle w:val="Normal"/></w:pPr>
<w:r><w:t xml:space="preserve">Sais.  An inscription confirms the fact of the struggle</w:t></w:r>
</w:p>
<w:p>
<w:pPr><w:pStyle w:val="Normal"/></w:pPr>
<w:r><w:t xml:space="preserve">between the native and the foreign soldiery, and proves that</w:t></w:r>
</w:p>
<w:p>
<w:pPr><w:pStyle w:val="Normal"/></w:pPr>
<w:r><w:t xml:space="preserve">Apries was killed and honourably buried in the 3rd year of</w:t></w:r>
</w:p>
<w:p>
<w:pPr><w:pStyle w:val="Normal"/></w:pPr>
<w:r><w:t xml:space="preserve">Amasis.  Although Amasis thus appears first as champion of</w:t></w:r>
</w:p>
<w:p>
<w:pPr><w:pStyle w:val="Normal"/></w:pPr>
<w:r><w:t xml:space="preserve">the disparaged native, he had the good sense to cultivate</w:t></w:r>
</w:p>
<w:p>
<w:pPr><w:pStyle w:val="Normal"/></w:pPr>
<w:r><w:t xml:space="preserve">the friendship of the Greek world, and brought Egypt into</w:t></w:r>
</w:p>
<w:p>
<w:pPr><w:pStyle w:val="Normal"/></w:pPr>
<w:r><w:t xml:space="preserve">closer touch with it than ever before.  Herodotus relates</w:t></w:r>
</w:p>
<w:p>
<w:pPr><w:pStyle w:val="Normal"/></w:pPr>
<w:r><w:t xml:space="preserve">that under his prudent administration Egypt reached the</w:t></w:r>
</w:p>
<w:p>
<w:pPr><w:pStyle w:val="Normal"/></w:pPr>
<w:r><w:t xml:space="preserve">highest pitch of prosperity; he adorned the temples of Lower</w:t></w:r>
</w:p>
<w:p>
<w:pPr><w:pStyle w:val="Normal"/></w:pPr>
<w:r><w:t xml:space="preserve">Egypt especially with splendid monolithic shrines and other</w:t></w:r>
</w:p>
<w:p>
<w:pPr><w:pStyle w:val="Normal"/></w:pPr>
<w:r><w:t xml:space="preserve">monuments (his activity here is proved by remains still</w:t></w:r>
</w:p>
<w:p>
<w:pPr><w:pStyle w:val="Normal"/></w:pPr>
<w:r><w:t xml:space="preserve">existing).  To the Greeks Amasis assigned the commercial</w:t></w:r>
</w:p>
<w:p>
<w:pPr><w:pStyle w:val="Normal"/></w:pPr>
<w:r><w:t xml:space="preserve">colony of Naucratis on the Canopic branch of the Nile, and</w:t></w:r>
</w:p>
<w:p>
<w:pPr><w:pStyle w:val="Normal"/></w:pPr>
<w:r><w:t xml:space="preserve">when the temple of Delphi was burnt he contributed 1000</w:t></w:r>
</w:p>
<w:p>
<w:pPr><w:pStyle w:val="Normal"/></w:pPr>
<w:r><w:t xml:space="preserve">talents to the rebuilding.  He also married a Greek princess</w:t></w:r>
</w:p>
<w:p>
<w:pPr><w:pStyle w:val="Normal"/></w:pPr>
<w:r><w:t xml:space="preserve">named Ladice, the daughter of Battus, king of Cyrene, and</w:t></w:r>
</w:p>
<w:p>
<w:pPr><w:pStyle w:val="Normal"/></w:pPr>
<w:r><w:t xml:space="preserve">he made alliances with Polycrates of Samos and Croesus of</w:t></w:r>
</w:p>
<w:p>
<w:pPr><w:pStyle w:val="Normal"/></w:pPr>
<w:r><w:t xml:space="preserve">Lydia. His kingdom consisted probably of Egypt only, as</w:t></w:r>
</w:p>
<w:p>
<w:pPr><w:pStyle w:val="Normal"/></w:pPr>
<w:r><w:t xml:space="preserve">far as the First Cataract, but to this he added Cyprus, and</w:t></w:r>
</w:p>
<w:p>
<w:pPr><w:pStyle w:val="Normal"/></w:pPr>
<w:r><w:t xml:space="preserve">his influence was great in Cyrene.  At the beginning of his</w:t></w:r>
</w:p>
<w:p>
<w:pPr><w:pStyle w:val="Normal"/></w:pPr>
<w:r><w:t xml:space="preserve">long reign, before the death of Apries, he appears to have</w:t></w:r>
</w:p>
<w:p>
<w:pPr><w:pStyle w:val="Normal"/></w:pPr>
<w:r><w:t xml:space="preserve">sustained an attack by Nebuchadrezzar (568 B.C.).  Cyrus</w:t></w:r>
</w:p>
<w:p>
<w:pPr><w:pStyle w:val="Normal"/></w:pPr>
<w:r><w:t xml:space="preserve">left Egypt unmolested; but the last years of Amasis were</w:t></w:r>
</w:p>
<w:p>
<w:pPr><w:pStyle w:val="Normal"/></w:pPr>
<w:r><w:t xml:space="preserve">disturbed by the threatened invasion of Cambyses and by</w:t></w:r>
</w:p>
<w:p>
<w:pPr><w:pStyle w:val="Normal"/></w:pPr>
<w:r><w:t xml:space="preserve">the rupture of the alliance with Polycrates of Samos.  The</w:t></w:r>
</w:p>
<w:p>
<w:pPr><w:pStyle w:val="Normal"/></w:pPr>
<w:r><w:t xml:space="preserve">blow fell upon his son Psammetichus III., whom the Persian</w:t></w:r>
</w:p>
<w:p>
<w:pPr><w:pStyle w:val="Normal"/></w:pPr>
<w:r><w:t xml:space="preserve">deprived of his kingdom after a reign of only six months.</w:t></w:r>
</w:p>
<w:p>
<w:pPr><w:pStyle w:val="Normal"/></w:pPr>
<w:r><w:t xml:space="preserve">See NAUCRATIS: also W. M. Flinders Petrie, History,</w:t></w:r>
</w:p>
<w:p>
<w:pPr><w:pStyle w:val="Normal"/></w:pPr>
<w:r><w:t xml:space="preserve">vol. iii.; Breasted, History and Historical Documents,</w:t></w:r>
</w:p>
<w:p>
<w:pPr><w:pStyle w:val="Normal"/></w:pPr>
<w:r><w:t xml:space="preserve">vol. iv. p. 509; Maspero, Les Empires. (F. LL. G.)</w:t></w:r>
</w:p>
<w:p>
<w:pPr><w:pStyle w:val="Normal"/></w:pPr>
<w:r><w:t xml:space="preserve">AMATEUR (Lat. amator, lover), a person who takes part in any</w:t></w:r>
</w:p>
<w:p>
<w:pPr><w:pStyle w:val="Normal"/></w:pPr>
<w:r><w:t xml:space="preserve">art, craft, game or sport for the sake of the pleasure afforded</w:t></w:r>
</w:p>
<w:p>
<w:pPr><w:pStyle w:val="Normal"/></w:pPr>
<w:r><w:t xml:space="preserve">by the occupation itself and not for pecuniary gain.  Being</w:t></w:r>
</w:p>
<w:p>
<w:pPr><w:pStyle w:val="Normal"/></w:pPr>
<w:r><w:t xml:space="preserve">thus a person for whom the pursuit in question is a recreation</w:t></w:r>
</w:p>
<w:p>
<w:pPr><w:pStyle w:val="Normal"/></w:pPr>
<w:r><w:t xml:space="preserve">and not a business, and who therefore presumably devotes to</w:t></w:r>
</w:p>
<w:p>
<w:pPr><w:pStyle w:val="Normal"/></w:pPr>
<w:r><w:t xml:space="preserve">it a portion only of his leisure and not his working hours,</w:t></w:r>
</w:p>
<w:p>
<w:pPr><w:pStyle w:val="Normal"/></w:pPr>
<w:r><w:t xml:space="preserve">the average amateur possesses less skill than the average</w:t></w:r>
</w:p>
<w:p>
<w:pPr><w:pStyle w:val="Normal"/></w:pPr>
<w:r><w:t xml:space="preserve">professional, whose livelihood and reputation depend on his</w:t></w:r>
</w:p>
<w:p>
<w:pPr><w:pStyle w:val="Normal"/></w:pPr>
<w:r><w:t xml:space="preserve">proficiency, and who therefore concentrates all his energies</w:t></w:r>
</w:p>
<w:p>
<w:pPr><w:pStyle w:val="Normal"/></w:pPr>
<w:r><w:t xml:space="preserve">on the task of attaining the greatest possible mastery in</w:t></w:r>
</w:p>
<w:p>
<w:pPr><w:pStyle w:val="Normal"/></w:pPr>
<w:r><w:t xml:space="preserve">his chosen career.  In the arts, such as music, painting and</w:t></w:r>
</w:p>
<w:p>
<w:pPr><w:pStyle w:val="Normal"/></w:pPr>
<w:r><w:t xml:space="preserve">the drama, the best amateurs are outdistanced as executants</w:t></w:r>
</w:p>
<w:p>
<w:pPr><w:pStyle w:val="Normal"/></w:pPr>
<w:r><w:t xml:space="preserve">not merely by the best professionals but by professionals</w:t></w:r>
</w:p>
<w:p>
<w:pPr><w:pStyle w:val="Normal"/></w:pPr>
<w:r><w:t xml:space="preserve">far below the highest rank; and although the inferiority</w:t></w:r>
</w:p>
<w:p>
<w:pPr><w:pStyle w:val="Normal"/></w:pPr>
<w:r><w:t xml:space="preserve">of the amateur is not perhaps so pronounced or so universal</w:t></w:r>
</w:p>
<w:p>
<w:pPr><w:pStyle w:val="Normal"/></w:pPr>
<w:r><w:t xml:space="preserve">in the case of games and outdoor sports, the records of</w:t></w:r>
</w:p>
<w:p>
<w:pPr><w:pStyle w:val="Normal"/></w:pPr>
<w:r><w:t xml:space="preserve">such pastimes as horse-racing, boxing, rowing, billiards,</w:t></w:r>
</w:p>
<w:p>
<w:pPr><w:pStyle w:val="Normal"/></w:pPr>
<w:r><w:t xml:space="preserve">tennis and golf prove that here also the same contrast is</w:t></w:r>
</w:p>
<w:p>
<w:pPr><w:pStyle w:val="Normal"/></w:pPr>
<w:r><w:t xml:space="preserve">generally to be found.  Hence it has come about that the term</w:t></w:r>
</w:p>
<w:p>
<w:pPr><w:pStyle w:val="Normal"/></w:pPr>
<w:r><w:t xml:space="preserve">``amateur,&apos;&apos; and more especially the adjectival derivative</w:t></w:r>
</w:p>
<w:p>
<w:pPr><w:pStyle w:val="Normal"/></w:pPr>
<w:r><w:t xml:space="preserve">``amateurish,&apos;&apos; has acquired a secondary meaning, usually</w:t></w:r>
</w:p>
<w:p>
<w:pPr><w:pStyle w:val="Normal"/></w:pPr>
<w:r><w:t xml:space="preserve">employed somewhat contemptuously, signifying inefficiency,</w:t></w:r>
</w:p>
<w:p>
<w:pPr><w:pStyle w:val="Normal"/></w:pPr>
<w:r><w:t xml:space="preserve">unskilfulness, superficial knowledge or training.</w:t></w:r>
</w:p>
<w:p>
<w:pPr><w:pStyle w:val="Normal"/></w:pPr>
<w:r><w:t xml:space="preserve">The immense increase in popularity of athletic contests</w:t></w:r>
</w:p>
<w:p>
<w:pPr><w:pStyle w:val="Normal"/></w:pPr>
<w:r><w:t xml:space="preserve">and games of all kinds in modern times, and especially the</w:t></w:r>
</w:p>
<w:p>
<w:pPr><w:pStyle w:val="Normal"/></w:pPr>
<w:r><w:t xml:space="preserve">keen competition for ``records&apos;&apos; and championships, often</w:t></w:r>
</w:p>
<w:p>
<w:pPr><w:pStyle w:val="Normal"/></w:pPr>
<w:r><w:t xml:space="preserve">of an international character, have made it a matter of</w:t></w:r>
</w:p>
<w:p>
<w:pPr><w:pStyle w:val="Normal"/></w:pPr>
<w:r><w:t xml:space="preserve">importance to arrive at a clear and formal definition of</w:t></w:r>
</w:p>
<w:p>
<w:pPr><w:pStyle w:val="Normal"/></w:pPr>
<w:r><w:t xml:space="preserve">the amateur as distinguished from the professional.  The</w:t></w:r>
</w:p>
<w:p>
<w:pPr><w:pStyle w:val="Normal"/></w:pPr>
<w:r><w:t xml:space="preserve">simple, straightforward definition of the amateur given</w:t></w:r>
</w:p>
<w:p>
<w:pPr><w:pStyle w:val="Normal"/></w:pPr>
<w:r><w:t xml:space="preserve">above has been proved to be easily evaded.  Many leading</w:t></w:r>
</w:p>
<w:p>
<w:pPr><w:pStyle w:val="Normal"/></w:pPr>
<w:r><w:t xml:space="preserve">cricketers, for example, preserve their amateur status</w:t></w:r>
</w:p>
<w:p>
<w:pPr><w:pStyle w:val="Normal"/></w:pPr>
<w:r><w:t xml:space="preserve">who, although they are not paid wages for each match they</w:t></w:r>
</w:p>
<w:p>
<w:pPr><w:pStyle w:val="Normal"/></w:pPr>
<w:r><w:t xml:space="preserve">play like their professional colleagues, are provided with</w:t></w:r>
</w:p>
<w:p>
<w:pPr><w:pStyle w:val="Normal"/></w:pPr>
<w:r><w:t xml:space="preserve">an annual income by their county or club under the guise of</w:t></w:r>
</w:p>
<w:p>
<w:pPr><w:pStyle w:val="Normal"/></w:pPr>
<w:r><w:t xml:space="preserve">salary for performing the duties of ``secretary&apos;&apos; or some</w:t></w:r>
</w:p>
<w:p>
<w:pPr><w:pStyle w:val="Normal"/></w:pPr>
<w:r><w:t xml:space="preserve">other office, leaving them free to play the game six days a</w:t></w:r>
</w:p>
<w:p>
<w:pPr><w:pStyle w:val="Normal"/></w:pPr>
<w:r><w:t xml:space="preserve">week.  Similarly, ``gentlemen riders&apos;&apos; are often presented</w:t></w:r>
</w:p>
<w:p>
<w:pPr><w:pStyle w:val="Normal"/></w:pPr>
<w:r><w:t xml:space="preserve">with a cash payment described as a bet, or under some other</w:t></w:r>
</w:p>
<w:p>
<w:pPr><w:pStyle w:val="Normal"/></w:pPr>
<w:r><w:t xml:space="preserve">pretext. Nor is the dividing-line between ``out-of-pocket</w:t></w:r>
</w:p>
<w:p>
<w:pPr><w:pStyle w:val="Normal"/></w:pPr>
<w:r><w:t xml:space="preserve">expenses&apos;&apos; allowed to the amateur and the remuneration payable</w:t></w:r>
</w:p>
<w:p>
<w:pPr><w:pStyle w:val="Normal"/></w:pPr>
<w:r><w:t xml:space="preserve">to the professional always strictly drawn.  The various</w:t></w:r>
</w:p>
<w:p>
<w:pPr><w:pStyle w:val="Normal"/></w:pPr>
<w:r><w:t xml:space="preserve">associations controlling the different branches of sport have</w:t></w:r>
</w:p>
<w:p>
<w:pPr><w:pStyle w:val="Normal"/></w:pPr>
<w:r><w:t xml:space="preserve">therefore devised working regulations to be observed so far</w:t></w:r>
</w:p>
<w:p>
<w:pPr><w:pStyle w:val="Normal"/></w:pPr>
<w:r><w:t xml:space="preserve">as their jurisdiction extends.  Thus the Amateur Athletic</w:t></w:r>
</w:p>
<w:p>
<w:pPr><w:pStyle w:val="Normal"/></w:pPr>
<w:r><w:t xml:space="preserve">Association of Great Britain defines an amateur as ``one who</w:t></w:r>
</w:p>
<w:p>
<w:pPr><w:pStyle w:val="Normal"/></w:pPr>
<w:r><w:t xml:space="preserve">has never competed for a money prize or staked bet, or with</w:t></w:r>
</w:p>
<w:p>
<w:pPr><w:pStyle w:val="Normal"/></w:pPr>
<w:r><w:t xml:space="preserve">or against a professional for any prize, or who has never</w:t></w:r>
</w:p>
<w:p>
<w:pPr><w:pStyle w:val="Normal"/></w:pPr>
<w:r><w:t xml:space="preserve">taught, pursued or assisted in the practice of athletic</w:t></w:r>
</w:p>
<w:p>
<w:pPr><w:pStyle w:val="Normal"/></w:pPr>
<w:r><w:t xml:space="preserve">exercises as a means of obtaining a livelihood.&apos;&apos; The rules of</w:t></w:r>
</w:p>
<w:p>
<w:pPr><w:pStyle w:val="Normal"/></w:pPr>
<w:r><w:t xml:space="preserve">the Amateur Rowing Association are stricter, denying amateur</w:t></w:r>
</w:p>
<w:p>
<w:pPr><w:pStyle w:val="Normal"/></w:pPr>
<w:r><w:t xml:space="preserve">status to anyone who has ever steered or rowed in a race with</w:t></w:r>
</w:p>
<w:p>
<w:pPr><w:pStyle w:val="Normal"/></w:pPr>
<w:r><w:t xml:space="preserve">a professional for any prize, or who is or has been by trade</w:t></w:r>
</w:p>
<w:p>
<w:pPr><w:pStyle w:val="Normal"/></w:pPr>
<w:r><w:t xml:space="preserve">or employment for wages a mechanic, artisan or labourer, or</w:t></w:r>
</w:p>
<w:p>
<w:pPr><w:pStyle w:val="Normal"/></w:pPr>
<w:r><w:t xml:space="preserve">engaged in any menial duty, besides insisting upon the usual</w:t></w:r>
</w:p>
<w:p>
<w:pPr><w:pStyle w:val="Normal"/></w:pPr>
<w:r><w:t xml:space="preserve">restrictions in regard to taking money and competing with</w:t></w:r>
</w:p>
<w:p>
<w:pPr><w:pStyle w:val="Normal"/></w:pPr>
<w:r><w:t xml:space="preserve">professionals.  In association football the rules are much</w:t></w:r>
</w:p>
<w:p>
<w:pPr><w:pStyle w:val="Normal"/></w:pPr>
<w:r><w:t xml:space="preserve">more lax, for although amateurs are clearly distinguished</w:t></w:r>
</w:p>
<w:p>
<w:pPr><w:pStyle w:val="Normal"/></w:pPr>
<w:r><w:t xml:space="preserve">from professionals, an amateur may even become a regular</w:t></w:r>
</w:p>
<w:p>
<w:pPr><w:pStyle w:val="Normal"/></w:pPr>
<w:r><w:t xml:space="preserve">member, though unsalaried, of a professional team without</w:t></w:r>
</w:p>
<w:p>
<w:pPr><w:pStyle w:val="Normal"/></w:pPr>
<w:r><w:t xml:space="preserve">losing his amateur status.  The Rugby game was, up to 1895,</w:t></w:r>
</w:p>
<w:p>
<w:pPr><w:pStyle w:val="Normal"/></w:pPr>
<w:r><w:t xml:space="preserve">entirely controlled by the Rugby Football Union, which, by the</w:t></w:r>
</w:p>
<w:p>
<w:pPr><w:pStyle w:val="Normal"/></w:pPr>
<w:r><w:t xml:space="preserve">strictness of its laws, effectually prevented the growth of</w:t></w:r>
</w:p>
<w:p>
<w:pPr><w:pStyle w:val="Normal"/></w:pPr>
<w:r><w:t xml:space="preserve">professionalism, but there had been much dissatisfaction in</w:t></w:r>
</w:p>
<w:p>
<w:pPr><w:pStyle w:val="Normal"/></w:pPr>
<w:r><w:t xml:space="preserve">the provinces with the Union&apos;s decision against reimbursing</w:t></w:r>
</w:p>
<w:p>
<w:pPr><w:pStyle w:val="Normal"/></w:pPr>
<w:r><w:t xml:space="preserve">day-  working players for ``broken time,&apos;&apos; i.e. for that</w:t></w:r>
</w:p>
<w:p>
<w:pPr><w:pStyle w:val="Heading1"/></w:pPr>
<w:r><w:t>part of their wages which they lost by playing on working</w:t></w:r>
</w:p>
<w:p>
<w:pPr><w:pStyle w:val="Normal"/></w:pPr>
<w:r><w:t xml:space="preserve">days, and this resulted in the formation (1895) of the</w:t></w:r>
</w:p>
<w:p>
<w:pPr><w:pStyle w:val="Normal"/></w:pPr>
<w:r><w:t xml:space="preserve">Northern Union, which permits remuneration for ``broken</w:t></w:r>
</w:p>
<w:p>
<w:pPr><w:pStyle w:val="Normal"/></w:pPr>
<w:r><w:t xml:space="preserve">time,&apos;&apos; but allows no person who works for his living to play</w:t></w:r>
</w:p>
<w:p>
<w:pPr><w:pStyle w:val="Normal"/></w:pPr>
<w:r><w:t xml:space="preserve">football unless regularly employed at his particular trade.</w:t></w:r>
</w:p>
<w:p>
<w:pPr><w:pStyle w:val="Normal"/></w:pPr>
<w:r><w:t xml:space="preserve">In America the amateur question is less complicated than in</w:t></w:r>
</w:p>
<w:p>
<w:pPr><w:pStyle w:val="Normal"/></w:pPr>
<w:r><w:t xml:space="preserve">Great Britain; but the intensely business-like character of</w:t></w:r>
</w:p>
<w:p>
<w:pPr><w:pStyle w:val="Normal"/></w:pPr>
<w:r><w:t xml:space="preserve">American ideas of sport has encouraged the modern spirit of</w:t></w:r>
</w:p>
<w:p>
<w:pPr><w:pStyle w:val="Normal"/></w:pPr>
<w:r><w:t xml:space="preserve">professionalism.  All important sports in America, except</w:t></w:r>
</w:p>
<w:p>
<w:pPr><w:pStyle w:val="Normal"/></w:pPr>
<w:r><w:t xml:space="preserve">baseball, football, cricket, golf and rowing, are, however,</w:t></w:r>
</w:p>
<w:p>
<w:pPr><w:pStyle w:val="Normal"/></w:pPr>
<w:r><w:t xml:space="preserve">under the control of the Amateur Athletic Union of the</w:t></w:r>
</w:p>
<w:p>
<w:pPr><w:pStyle w:val="Normal"/></w:pPr>
<w:r><w:t xml:space="preserve">United States, the rules of which, so far as they relate to</w:t></w:r>
</w:p>
<w:p>
<w:pPr><w:pStyle w:val="Normal"/></w:pPr>
<w:r><w:t xml:space="preserve">professionalism, are as follows.  No person shall be eligible</w:t></w:r>
</w:p>
<w:p>
<w:pPr><w:pStyle w:val="Normal"/></w:pPr>
<w:r><w:t xml:space="preserve">to compete in any athletic meeting, game or entertainment,</w:t></w:r>
</w:p>
<w:p>
<w:pPr><w:pStyle w:val="Normal"/></w:pPr>
<w:r><w:t xml:space="preserve">given or sanctioned by this Union, who has (1) received</w:t></w:r>
</w:p>
<w:p>
<w:pPr><w:pStyle w:val="Normal"/></w:pPr>
<w:r><w:t xml:space="preserve">or competed for compensation or reward in any form for the</w:t></w:r>
</w:p>
<w:p>
<w:pPr><w:pStyle w:val="Normal"/></w:pPr>
<w:r><w:t xml:space="preserve">display, exercise or example of his skill or knowledge of</w:t></w:r>
</w:p>
<w:p>
<w:pPr><w:pStyle w:val="Normal"/></w:pPr>
<w:r><w:t xml:space="preserve">any athletic exercise, or for rendering personal service</w:t></w:r>
</w:p>
<w:p>
<w:pPr><w:pStyle w:val="Normal"/></w:pPr>
<w:r><w:t xml:space="preserve">of any kind to any athletic organization, or for becoming</w:t></w:r>
</w:p>
<w:p>
<w:pPr><w:pStyle w:val="Normal"/></w:pPr>
<w:r><w:t xml:space="preserve">or continuing a member of any athletic organization; or (2)</w:t></w:r>
</w:p>
<w:p>
<w:pPr><w:pStyle w:val="Normal"/></w:pPr>
<w:r><w:t xml:space="preserve">has entered any competition under a name other than his own,</w:t></w:r>
</w:p>
<w:p>
<w:pPr><w:pStyle w:val="Normal"/></w:pPr>
<w:r><w:t xml:space="preserve">or from a club of which he was not at that time a member in</w:t></w:r>
</w:p>
<w:p>
<w:pPr><w:pStyle w:val="Normal"/></w:pPr>
<w:r><w:t xml:space="preserve">good standing; or (3) has knowingly entered any competition</w:t></w:r>
</w:p>
<w:p>
<w:pPr><w:pStyle w:val="Normal"/></w:pPr>
<w:r><w:t xml:space="preserve">open to any professional or professionals, or has knowingly</w:t></w:r>
</w:p>
<w:p>
<w:pPr><w:pStyle w:val="Normal"/></w:pPr>
<w:r><w:t xml:space="preserve">competed with any professional for any prize or token; or</w:t></w:r>
</w:p>
<w:p>
<w:pPr><w:pStyle w:val="Normal"/></w:pPr>
<w:r><w:t xml:space="preserve">(4) has issued or allowed to be issued in his behalf any</w:t></w:r>
</w:p>
<w:p>
<w:pPr><w:pStyle w:val="Normal"/></w:pPr>
<w:r><w:t xml:space="preserve">challenge to compete against any professional or for money;</w:t></w:r>
</w:p>
<w:p>
<w:pPr><w:pStyle w:val="Normal"/></w:pPr>
<w:r><w:t xml:space="preserve">or (5) has pawned, bartered or sold any prize won in athletic</w:t></w:r>
</w:p>
<w:p>
<w:pPr><w:pStyle w:val="Normal"/></w:pPr>
<w:r><w:t xml:space="preserve">competition. It will be seen that by rule 3 the American</w:t></w:r>
</w:p>
<w:p>
<w:pPr><w:pStyle w:val="Normal"/></w:pPr>
<w:r><w:t xml:space="preserve">Union enacts a standard for all athletes not much different</w:t></w:r>
</w:p>
<w:p>
<w:pPr><w:pStyle w:val="Normal"/></w:pPr>
<w:r><w:t xml:space="preserve">from that of the British Amateur Rowing Association.  The</w:t></w:r>
</w:p>
<w:p>
<w:pPr><w:pStyle w:val="Normal"/></w:pPr>
<w:r><w:t xml:space="preserve">rules for the sports not within the Union&apos;s jurisdiction are</w:t></w:r>
</w:p>
<w:p>
<w:pPr><w:pStyle w:val="Normal"/></w:pPr>
<w:r><w:t xml:space="preserve">practically the same, except that in baseball, cricket and golf</w:t></w:r>
</w:p>
<w:p>
<w:pPr><w:pStyle w:val="Normal"/></w:pPr>
<w:r><w:t xml:space="preserve">amateurs may compete with professionals, though not for cash</w:t></w:r>
</w:p>
<w:p>
<w:pPr><w:pStyle w:val="Normal"/></w:pPr>
<w:r><w:t xml:space="preserve">prizes.  In the case of open golf competitions professional</w:t></w:r>
</w:p>
<w:p>
<w:pPr><w:pStyle w:val="Normal"/></w:pPr>
<w:r><w:t xml:space="preserve">prize-winners receive cash, while amateurs are given plate</w:t></w:r>
</w:p>
<w:p>
<w:pPr><w:pStyle w:val="Normal"/></w:pPr>
<w:r><w:t xml:space="preserve">to the value of their prizes as in Great Britain.  There are</w:t></w:r>
</w:p>
<w:p>
<w:pPr><w:pStyle w:val="Normal"/></w:pPr>
<w:r><w:t xml:space="preserve">practically no professional football players in America.</w:t></w:r>
</w:p>
<w:p>
<w:pPr><w:pStyle w:val="Normal"/></w:pPr>
<w:r><w:t xml:space="preserve">On both sides of the Atlantic the question of the employment</w:t></w:r>
</w:p>
<w:p>
<w:pPr><w:pStyle w:val="Normal"/></w:pPr>
<w:r><w:t xml:space="preserve">of professional coaches has occasioned much discussion.  In</w:t></w:r>
</w:p>
<w:p>
<w:pPr><w:pStyle w:val="Normal"/></w:pPr>
<w:r><w:t xml:space="preserve">America it has been accepted as legal.  In England the same</w:t></w:r>
</w:p>
<w:p>
<w:pPr><w:pStyle w:val="Normal"/></w:pPr>
<w:r><w:t xml:space="preserve">is almost universally true, but there are certain exceptions,</w:t></w:r>
</w:p>
<w:p>
<w:pPr><w:pStyle w:val="Normal"/></w:pPr>
<w:r><w:t xml:space="preserve">such as the decision of the Henley Regatta Committee, that</w:t></w:r>
</w:p>
<w:p>
<w:pPr><w:pStyle w:val="Normal"/></w:pPr>
<w:r><w:t xml:space="preserve">no crew entering may be coached by a professional within two</w:t></w:r>
</w:p>
<w:p>
<w:pPr><w:pStyle w:val="Normal"/></w:pPr>
<w:r><w:t xml:space="preserve">months of the race-day.  Whether such a regulation be wise</w:t></w:r>
</w:p>
<w:p>
<w:pPr><w:pStyle w:val="Normal"/></w:pPr>
<w:r><w:t xml:space="preserve">or the reverse is a question that depends upon the spirit</w:t></w:r>
</w:p>
<w:p>
<w:pPr><w:pStyle w:val="Normal"/></w:pPr>
<w:r><w:t xml:space="preserve">in which games are regarded.  Nobody wants to disparage</w:t></w:r>
</w:p>
<w:p>
<w:pPr><w:pStyle w:val="Normal"/></w:pPr>
<w:r><w:t xml:space="preserve">proficiency; but if a game is conducted on business methods,</w:t></w:r>
</w:p>
<w:p>
<w:pPr><w:pStyle w:val="Normal"/></w:pPr>
<w:r><w:t xml:space="preserve">the ``game&apos;&apos; element tends to be minimized, and if its</w:t></w:r>
</w:p>
<w:p>
<w:pPr><w:pStyle w:val="Normal"/></w:pPr>
<w:r><w:t xml:space="preserve">object is pecuniary it ceases to be ``sport&apos;&apos; in the old</w:t></w:r>
</w:p>
<w:p>
<w:pPr><w:pStyle w:val="Normal"/></w:pPr>
<w:r><w:t xml:space="preserve">sense, and the old idea of the ``amateur&apos;&apos; who indulges</w:t></w:r>
</w:p>
<w:p>
<w:pPr><w:pStyle w:val="Normal"/></w:pPr>
<w:r><w:t xml:space="preserve">in it for love of the mere enjoyment tends to disappear.</w:t></w:r>
</w:p>
<w:p>
<w:pPr><w:pStyle w:val="Normal"/></w:pPr>
<w:r><w:t xml:space="preserve">AMATHUS, an ancient city of Cyprus, on the S. coast, about 24</w:t></w:r>
</w:p>
<w:p>
<w:pPr><w:pStyle w:val="Normal"/></w:pPr>
<w:r><w:t xml:space="preserve">m.  W. of Larnaka and 6 m.  E. of Limassol, among sandy</w:t></w:r>
</w:p>
<w:p>
<w:pPr><w:pStyle w:val="Normal"/></w:pPr>
<w:r><w:t xml:space="preserve">hills and sand-dunes, which perhaps explain its name in</w:t></w:r>
</w:p>
<w:p>
<w:pPr><w:pStyle w:val="Normal"/></w:pPr>
<w:r><w:t xml:space="preserve">Greek (amathos, sand).  The earliest remains hitherto</w:t></w:r>
</w:p>
<w:p>
<w:pPr><w:pStyle w:val="Normal"/></w:pPr>
<w:r><w:t xml:space="preserve">found on the site are tombs of the early Iron Age period</w:t></w:r>
</w:p>
<w:p>
<w:pPr><w:pStyle w:val="Normal"/></w:pPr>
<w:r><w:t xml:space="preserve">of Graeco-Phoenician influences (1000-600 B.C.).  Amathus</w:t></w:r>
</w:p>
<w:p>
<w:pPr><w:pStyle w:val="Normal"/></w:pPr>
<w:r><w:t xml:space="preserve">is identified by some (E. Oberhummer, Die Insel Cypern,</w:t></w:r>
</w:p>
<w:p>
<w:pPr><w:pStyle w:val="Normal"/></w:pPr>
<w:r><w:t xml:space="preserve">i., 1902, pp. 13-14; but see CITIUM) with Kartihadasti</w:t></w:r>
</w:p>
<w:p>
<w:pPr><w:pStyle w:val="Normal"/></w:pPr>
<w:r><w:t xml:space="preserve">(Phoenician ``New-Town&apos;&apos;) in the Cypriote tribute-list of</w:t></w:r>
</w:p>
<w:p>
<w:pPr><w:pStyle w:val="Normal"/></w:pPr>
<w:r><w:t xml:space="preserve">Esarhaddon of Assyria (668 B.C.).  It certainly maintained</w:t></w:r>
</w:p>
<w:p>
<w:pPr><w:pStyle w:val="Normal"/></w:pPr>
<w:r><w:t xml:space="preserve">strong Phoenician sympathies, for it was its refusal to</w:t></w:r>
</w:p>
<w:p>
<w:pPr><w:pStyle w:val="Normal"/></w:pPr>
<w:r><w:t xml:space="preserve">join the phil-Hellene league of Onesilas of Salamis which</w:t></w:r>
</w:p>
<w:p>
<w:pPr><w:pStyle w:val="Normal"/></w:pPr>
<w:r><w:t xml:space="preserve">provoked the revolt of Cyprus from Persia in 500-494 B.C.</w:t></w:r>
</w:p>
<w:p>
<w:pPr><w:pStyle w:val="Normal"/></w:pPr>
<w:r><w:t xml:space="preserve">(Herod. v. 105), when Amathus was besieged unsuccessfully</w:t></w:r>
</w:p>
<w:p>
<w:pPr><w:pStyle w:val="Normal"/></w:pPr>
<w:r><w:t xml:space="preserve">and avenged itself by the capture and execution of</w:t></w:r>
</w:p>
<w:p>
<w:pPr><w:pStyle w:val="Normal"/></w:pPr>
<w:r><w:t xml:space="preserve">Onesilas.  The phil-Hellene Evagoras of Salamis was similarly</w:t></w:r>
</w:p>
<w:p>
<w:pPr><w:pStyle w:val="Normal"/></w:pPr>
<w:r><w:t xml:space="preserve">opposed by Amathus about 385-380 B.C. in conjunction</w:t></w:r>
</w:p>
<w:p>
<w:pPr><w:pStyle w:val="Normal"/></w:pPr>
<w:r><w:t xml:space="preserve">with Citium and Soli (Diod.  Sic. xiv. 98); and even after</w:t></w:r>
</w:p>
<w:p>
<w:pPr><w:pStyle w:val="Normal"/></w:pPr>
<w:r><w:t xml:space="preserve">Alexander the city resisted annexation, and was bound over</w:t></w:r>
</w:p>
<w:p>
<w:pPr><w:pStyle w:val="Normal"/></w:pPr>
<w:r><w:t xml:space="preserve">to give hostages to Seleucus (Diod.  Sic. xix. 62). Its</w:t></w:r>
</w:p>
<w:p>
<w:pPr><w:pStyle w:val="Normal"/></w:pPr>
<w:r><w:t xml:space="preserve">political importance now ended, but its temple of Adonis and</w:t></w:r>
</w:p>
<w:p>
<w:pPr><w:pStyle w:val="Normal"/></w:pPr>
<w:r><w:t xml:space="preserve">Aphrodite (Venus Amathusia) remained famous in Roman time.</w:t></w:r>
</w:p>
<w:p>
<w:pPr><w:pStyle w:val="Normal"/></w:pPr>
<w:r><w:t xml:space="preserve">The wealth of Amathus was derived partly from its corn</w:t></w:r>
</w:p>
<w:p>
<w:pPr><w:pStyle w:val="Normal"/></w:pPr>
<w:r><w:t xml:space="preserve">(Strabo 340, quoting Hipponax, fi. 540 B.C.), partly</w:t></w:r>
</w:p>
<w:p>
<w:pPr><w:pStyle w:val="Normal"/></w:pPr>
<w:r><w:t xml:space="preserve">from its copper mines (Ovid, Met. x. 220, 531), of</w:t></w:r>
</w:p>
<w:p>
<w:pPr><w:pStyle w:val="Normal"/></w:pPr>
<w:r><w:t xml:space="preserve">which traces can be seen inland (G. Mariti, i. 187; L.</w:t></w:r>
</w:p>
<w:p>
<w:pPr><w:pStyle w:val="Normal"/></w:pPr>
<w:r><w:t xml:space="preserve">Ross, Inselreise, iv. 195; W. H. Engel, Kypros, i. 111</w:t></w:r>
</w:p>
<w:p>
<w:pPr><w:pStyle w:val="Normal"/></w:pPr>
<w:r><w:t xml:space="preserve">ff.).  Ovid also mentions its sheep (Met. x. 227); the</w:t></w:r>
</w:p>
<w:p>
<w:pPr><w:pStyle w:val="Normal"/></w:pPr>
<w:r><w:t xml:space="preserve">epithet Amathusia in Roman poetry often means little more</w:t></w:r>
</w:p>
<w:p>
<w:pPr><w:pStyle w:val="Normal"/></w:pPr>
<w:r><w:t xml:space="preserve">than ``Cypriote,&apos;&apos; attesting however the fame of the city.</w:t></w:r>
</w:p>
<w:p>
<w:pPr><w:pStyle w:val="Normal"/></w:pPr>
<w:r><w:t xml:space="preserve">Amathus still flourished and produced a distinguished patriarch</w:t></w:r>
</w:p>
<w:p>
<w:pPr><w:pStyle w:val="Normal"/></w:pPr>
<w:r><w:t xml:space="preserve">of Alexandria (Johannes Eleemon), as late as 606-616, and a</w:t></w:r>
</w:p>
<w:p>
<w:pPr><w:pStyle w:val="Normal"/></w:pPr>
<w:r><w:t xml:space="preserve">ruined Byzantine church marks the site; but it was already</w:t></w:r>
</w:p>
<w:p>
<w:pPr><w:pStyle w:val="Normal"/></w:pPr>
<w:r><w:t xml:space="preserve">almost deserted when Richard Coeur de Lion won Cyprus by</w:t></w:r>
</w:p>
<w:p>
<w:pPr><w:pStyle w:val="Normal"/></w:pPr>
<w:r><w:t xml:space="preserve">a victory there over Isaac Comnenus in 1191.  The rich</w:t></w:r>
</w:p>
<w:p>
<w:pPr><w:pStyle w:val="Normal"/></w:pPr>
<w:r><w:t xml:space="preserve">necropolis, already partly plundered then, has yielded</w:t></w:r>
</w:p>
<w:p>
<w:pPr><w:pStyle w:val="Normal"/></w:pPr>
<w:r><w:t xml:space="preserve">valuable works of art to New York (L. P. di Cesnola, Cyprus,</w:t></w:r>
</w:p>
<w:p>
<w:pPr><w:pStyle w:val="Normal"/></w:pPr>
<w:r><w:t xml:space="preserve">1878 passim) and to the British Museum (Excavations in</w:t></w:r>
</w:p>
<w:p>
<w:pPr><w:pStyle w:val="Normal"/></w:pPr>
<w:r><w:t xml:space="preserve">Cyprus, 1894 (1899) passim); but the city has vanished,</w:t></w:r>
</w:p>
<w:p>
<w:pPr><w:pStyle w:val="Normal"/></w:pPr>
<w:r><w:t xml:space="preserve">except fragments of wall and of a great stone cistern on the</w:t></w:r>
</w:p>
<w:p>
<w:pPr><w:pStyle w:val="Normal"/></w:pPr>
<w:r><w:t xml:space="preserve">acropolis.  A similar vessel was transported to the Louvre in</w:t></w:r>
</w:p>
<w:p>
<w:pPr><w:pStyle w:val="Normal"/></w:pPr>
<w:r><w:t xml:space="preserve">1867.  Two small sanctuaries, with terra-cotta votive</w:t></w:r>
</w:p>
<w:p>
<w:pPr><w:pStyle w:val="Normal"/></w:pPr>
<w:r><w:t xml:space="preserve">offerings of Graeco-Phoenician age, lie not far off, but the</w:t></w:r>
</w:p>
<w:p>
<w:pPr><w:pStyle w:val="Normal"/></w:pPr>
<w:r><w:t xml:space="preserve">great shrine of Adonis and Aphrodite has not been identified</w:t></w:r>
</w:p>
<w:p>
<w:pPr><w:pStyle w:val="Normal"/></w:pPr>
<w:r><w:t xml:space="preserve">(M. Ohnefalsch-Richter, Kypros, i. ch.1). (J. L. M.)</w:t></w:r>
</w:p>
<w:p>
<w:pPr><w:pStyle w:val="Normal"/></w:pPr>
<w:r><w:t xml:space="preserve">AMATI, the name of a family of Italian violin-makers, who</w:t></w:r>
</w:p>
<w:p>
<w:pPr><w:pStyle w:val="Normal"/></w:pPr>
<w:r><w:t xml:space="preserve">flourished at Cremona from about 1550 to 1692.  According</w:t></w:r>
</w:p>
<w:p>
<w:pPr><w:pStyle w:val="Normal"/></w:pPr>
<w:r><w:t xml:space="preserve">to Fetis, Andrea and Nicolo Amati, two brothers, were the</w:t></w:r>
</w:p>
<w:p>
<w:pPr><w:pStyle w:val="Normal"/></w:pPr>
<w:r><w:t xml:space="preserve">first Italians who made violins.  They were succeeded by</w:t></w:r>
</w:p>
<w:p>
<w:pPr><w:pStyle w:val="Normal"/></w:pPr>
<w:r><w:t xml:space="preserve">Antonio and Geronimo, sons of Nicolo.  Another Nicolo, son</w:t></w:r>
</w:p>
<w:p>
<w:pPr><w:pStyle w:val="Normal"/></w:pPr>
<w:r><w:t xml:space="preserve">of Geronimo, was born on the 3rd of September 1596 and died</w:t></w:r>
</w:p>
<w:p>
<w:pPr><w:pStyle w:val="Normal"/></w:pPr>
<w:r><w:t xml:space="preserve">on the 12th of August 1684.  He was the most eminent of the</w:t></w:r>
</w:p>
<w:p>
<w:pPr><w:pStyle w:val="Normal"/></w:pPr>
<w:r><w:t xml:space="preserve">family.  He improved the model adopted by the rest of the</w:t></w:r>
</w:p>
<w:p>
<w:pPr><w:pStyle w:val="Normal"/></w:pPr>
<w:r><w:t xml:space="preserve">Amatis and produced instruments capable of yielding greater</w:t></w:r>
</w:p>
<w:p>
<w:pPr><w:pStyle w:val="Normal"/></w:pPr>
<w:r><w:t xml:space="preserve">power of tone.  His pattern was usually small, but he also</w:t></w:r>
</w:p>
<w:p>
<w:pPr><w:pStyle w:val="Normal"/></w:pPr>
<w:r><w:t xml:space="preserve">made the so-called ``Grand Amatis.&apos;&apos; Of his pupils the</w:t></w:r>
</w:p>
<w:p>
<w:pPr><w:pStyle w:val="Normal"/></w:pPr>
<w:r><w:t xml:space="preserve">most famous were Andrea Enamieri and Antonio Stradivari.</w:t></w:r>
</w:p>
<w:p>
<w:pPr><w:pStyle w:val="Normal"/></w:pPr>
<w:r><w:t xml:space="preserve">AMATITLAN, or SAN JUAN DE AMATITLAN, the capital of</w:t></w:r>
</w:p>
<w:p>
<w:pPr><w:pStyle w:val="Normal"/></w:pPr>
<w:r><w:t xml:space="preserve">a department bearing the same name in Guatemala, on Lake</w:t></w:r>
</w:p>
<w:p>
<w:pPr><w:pStyle w:val="Normal"/></w:pPr>
<w:r><w:t xml:space="preserve">Amatitlan, 15 m.  S.W. of Guatemala city by the transcontinental</w:t></w:r>
</w:p>
<w:p>
<w:pPr><w:pStyle w:val="Normal"/></w:pPr>
<w:r><w:t xml:space="preserve">railway from Puerto Barrios to San Jose.  Pop. (1905) about</w:t></w:r>
</w:p>
<w:p>
<w:pPr><w:pStyle w:val="Normal"/></w:pPr>
<w:r><w:t xml:space="preserve">10,000.  The town consists almost entirely of one-storeyed</w:t></w:r>
</w:p>
<w:p>
<w:pPr><w:pStyle w:val="Normal"/></w:pPr>
<w:r><w:t xml:space="preserve">adobe huts inhabited by mulattoes and Indians, whose chief</w:t></w:r>
</w:p>
<w:p>
<w:pPr><w:pStyle w:val="Normal"/></w:pPr>
<w:r><w:t xml:space="preserve">industry is the production of cochineal.  In 1840 only a small</w:t></w:r>
</w:p>
<w:p>
<w:pPr><w:pStyle w:val="Normal"/></w:pPr>
<w:r><w:t xml:space="preserve">Indian village marked its site, and its subsequent growth</w:t></w:r>
</w:p>
<w:p>
<w:pPr><w:pStyle w:val="Normal"/></w:pPr>
<w:r><w:t xml:space="preserve">was due to the sugar plantations established by a Jesuit</w:t></w:r>
</w:p>
<w:p>
<w:pPr><w:pStyle w:val="Normal"/></w:pPr>
<w:r><w:t xml:space="preserve">settlement. The wells of the town are strongly impregnated</w:t></w:r>
</w:p>
<w:p>
<w:pPr><w:pStyle w:val="Normal"/></w:pPr>
<w:r><w:t xml:space="preserve">with salt and alum, and in the vicinity there are several hot</w:t></w:r>
</w:p>
<w:p>
<w:pPr><w:pStyle w:val="Normal"/></w:pPr>
<w:r><w:t xml:space="preserve">springs.  Lake Amatitlan, 9 m. long and 3 m. broad, lies</w:t></w:r>
</w:p>
<w:p>
<w:pPr><w:pStyle w:val="Normal"/></w:pPr>
<w:r><w:t xml:space="preserve">on the northern side of the great Guatemalan Cordillera.</w:t></w:r>
</w:p>
<w:p>
<w:pPr><w:pStyle w:val="Normal"/></w:pPr>
<w:r><w:t xml:space="preserve">Above it rises the four- cratered volcano of Pacaya (8390</w:t></w:r>
</w:p>
<w:p>
<w:pPr><w:pStyle w:val="Normal"/></w:pPr>
<w:r><w:t xml:space="preserve">ft.), which was in eruption in 1870.  The outlet of the lake</w:t></w:r>
</w:p>
<w:p>
<w:pPr><w:pStyle w:val="Normal"/></w:pPr>
<w:r><w:t xml:space="preserve">is a swift river 65 m. long, which cuts a way through the</w:t></w:r>
</w:p>
<w:p>
<w:pPr><w:pStyle w:val="Normal"/></w:pPr>
<w:r><w:t xml:space="preserve">Cordillera, and enters the Pacific at Istapa, after forming</w:t></w:r>
</w:p>
<w:p>
<w:pPr><w:pStyle w:val="Normal"/></w:pPr>
<w:r><w:t xml:space="preserve">at San Pedro a fine waterfall more than 200 ft. high.</w:t></w:r>
</w:p>
<w:p>
<w:pPr><w:pStyle w:val="Normal"/></w:pPr>
<w:r><w:t xml:space="preserve">AMAUROSIS (Gr. for ``blinding,&apos;&apos;), a term for ``deprivation of</w:t></w:r>
</w:p>
<w:p>
<w:pPr><w:pStyle w:val="Normal"/></w:pPr>
<w:r><w:t xml:space="preserve">sight,&apos;&apos; limited chiefly to those forms of defect or loss of vision</w:t></w:r>
</w:p>
<w:p>
<w:pPr><w:pStyle w:val="Normal"/></w:pPr>
<w:r><w:t xml:space="preserve">which are caused by diseases not directly involving the eye.</w:t></w:r>
</w:p>
<w:p>
<w:pPr><w:pStyle w:val="Normal"/></w:pPr>
<w:r><w:t xml:space="preserve">AMAZON, the great river of South America.  Before the</w:t></w:r>
</w:p>
<w:p>
<w:pPr><w:pStyle w:val="Normal"/></w:pPr>
<w:r><w:t xml:space="preserve">conquest of South America, the Rio de las Amazonas had no</w:t></w:r>
</w:p>
<w:p>
<w:pPr><w:pStyle w:val="Normal"/></w:pPr>
<w:r><w:t xml:space="preserve">general name; for, according to a common custom, each savage</w:t></w:r>
</w:p>
<w:p>
<w:pPr><w:pStyle w:val="Normal"/></w:pPr>
<w:r><w:t xml:space="preserve">tribe gave a name only to the section of the river which it</w:t></w:r>
</w:p>
<w:p>
<w:pPr><w:pStyle w:val="Normal"/></w:pPr>
<w:r><w:t xml:space="preserve">occupied -- such as Paranaguazu, Guyerma, Sclimoes and</w:t></w:r>
</w:p>
<w:p>
<w:pPr><w:pStyle w:val="Normal"/></w:pPr>
<w:r><w:t xml:space="preserve">others.  In the year 1500, Vicente Yanez Pinzon, in command</w:t></w:r>
</w:p>
<w:p>
<w:pPr><w:pStyle w:val="Normal"/></w:pPr>
<w:r><w:t xml:space="preserve">of a Spanish expedition, discovered and ascended the Amazon</w:t></w:r>
</w:p>
<w:p>
<w:pPr><w:pStyle w:val="Normal"/></w:pPr>
<w:r><w:t xml:space="preserve">to a point about 50 m. from the sea.  He called it the Rio</w:t></w:r>
</w:p>
<w:p>
<w:pPr><w:pStyle w:val="Normal"/></w:pPr>
<w:r><w:t xml:space="preserve">Santa Maria de la Mar Dulce, which soon became abbreviated</w:t></w:r>
</w:p>
<w:p>
<w:pPr><w:pStyle w:val="Normal"/></w:pPr>
<w:r><w:t xml:space="preserve">to Mar Dulce, and for some years, after 1502, it was</w:t></w:r>
</w:p>
<w:p>
<w:pPr><w:pStyle w:val="Normal"/></w:pPr>
<w:r><w:t xml:space="preserve">known as the Rio Grande.  The principal companions of</w:t></w:r>
</w:p>
<w:p>
<w:pPr><w:pStyle w:val="Normal"/></w:pPr>
<w:r><w:t xml:space="preserve">Pinzon, in giving evidence in 1513, mention it as El Ryo</w:t></w:r>
</w:p>
<w:p>
<w:pPr><w:pStyle w:val="Normal"/></w:pPr>
<w:r><w:t xml:space="preserve">Haranon.  There is much controversy about the origin</w:t></w:r>
</w:p>
<w:p>
<w:pPr><w:pStyle w:val="Normal"/></w:pPr>
<w:r><w:t xml:space="preserve">of the word Maranon.  Peter Martyr in a letter to Lope</w:t></w:r>
</w:p>
<w:p>
<w:pPr><w:pStyle w:val="Normal"/></w:pPr>
<w:r><w:t xml:space="preserve">Hurtado de Mendoza in 1513 is the first to state that it is</w:t></w:r>
</w:p>
<w:p>
<w:pPr><w:pStyle w:val="Normal"/></w:pPr>
<w:r><w:t xml:space="preserve">of native origin. Ten years after the death of Pinzon, his</w:t></w:r>
</w:p>
<w:p>
<w:pPr><w:pStyle w:val="Normal"/></w:pPr>
<w:r><w:t xml:space="preserve">friend Oviedo calls it the Maranon.  Many writers believe</w:t></w:r>
</w:p>
<w:p>
<w:pPr><w:pStyle w:val="Normal"/></w:pPr>
<w:r><w:t xml:space="preserve">that this was its Indian name.  We are disposed to agree</w:t></w:r>
</w:p>
<w:p>
<w:pPr><w:pStyle w:val="Normal"/></w:pPr>
<w:r><w:t xml:space="preserve">with the Brazilian historian Constancio that Maranon is</w:t></w:r>
</w:p>
<w:p>
<w:pPr><w:pStyle w:val="Normal"/></w:pPr>
<w:r><w:t xml:space="preserve">derived from the Spanish word marana, a tangle, a snarl,</w:t></w:r>
</w:p>
<w:p>
<w:pPr><w:pStyle w:val="Normal"/></w:pPr>
<w:r><w:t xml:space="preserve">which well represents the bewildering difficulties which the</w:t></w:r>
</w:p>
<w:p>
<w:pPr><w:pStyle w:val="Normal"/></w:pPr>
<w:r><w:t xml:space="preserve">earlier explorers met in navigating not only the entrance</w:t></w:r>
</w:p>
<w:p>
<w:pPr><w:pStyle w:val="Normal"/></w:pPr>
<w:r><w:t xml:space="preserve">to the Amazon, but the whole island-bordered, river-cut and</w:t></w:r>
</w:p>
<w:p>
<w:pPr><w:pStyle w:val="Normal"/></w:pPr>
<w:r><w:t xml:space="preserve">indented coast of the now Brazilian province of Maranhao.</w:t></w:r>
</w:p>
<w:p>
<w:pPr><w:pStyle w:val="Normal"/></w:pPr>
<w:r><w:t xml:space="preserve">The first descent of the mighty artery from the Andes to</w:t></w:r>
</w:p>
<w:p>
<w:pPr><w:pStyle w:val="Normal"/></w:pPr>
<w:r><w:t xml:space="preserve">the sea was made by Orellana in 1541, and the name Amazonas</w:t></w:r>
</w:p>
<w:p>
<w:pPr><w:pStyle w:val="Normal"/></w:pPr>
<w:r><w:t xml:space="preserve">arises from the battle which he had with a tribe of Tapuya</w:t></w:r>
</w:p>
<w:p>
<w:pPr><w:pStyle w:val="Normal"/></w:pPr>
<w:r><w:t xml:space="preserve">savages where the women of the tribe fought alongside the men,</w:t></w:r>
</w:p>
<w:p>
<w:pPr><w:pStyle w:val="Normal"/></w:pPr>
<w:r><w:t xml:space="preserve">as was the custom among all of the Tapuyas.  Orellana, no</w:t></w:r>
</w:p>
<w:p>
<w:pPr><w:pStyle w:val="Normal"/></w:pPr>
<w:r><w:t xml:space="preserve">doubt, derived the name Amazonas from the ancient Amazons</w:t></w:r>
</w:p>
<w:p>
<w:pPr><w:pStyle w:val="Normal"/></w:pPr>
<w:r><w:t xml:space="preserve">(q.v.) of Asia and Africa described by Herodotusand Diodorus.</w:t></w:r>
</w:p>
<w:p>
<w:pPr><w:pStyle w:val="Normal"/></w:pPr>
<w:r><w:t xml:space="preserve">The first ascent of the river was made in 1638 by Pedro</w:t></w:r>
</w:p>
<w:p>
<w:pPr><w:pStyle w:val="Normal"/></w:pPr>
<w:r><w:t xml:space="preserve">Texiera, a Portuguese, who reversed the route of Orellana</w:t></w:r>
</w:p>
<w:p>
<w:pPr><w:pStyle w:val="Normal"/></w:pPr>
<w:r><w:t xml:space="preserve">and reached Quito by way of the Rio Napo.  He returned</w:t></w:r>
</w:p>
<w:p>
<w:pPr><w:pStyle w:val="Normal"/></w:pPr>
<w:r><w:t xml:space="preserve">in 1639 with the Jesuit fathers Acuna and Artieda,</w:t></w:r>
</w:p>
<w:p>
<w:pPr><w:pStyle w:val="Normal"/></w:pPr>
<w:r><w:t xml:space="preserve">delegated by the viceroy of Peru to accompany him.</w:t></w:r>
</w:p>
<w:p>
<w:pPr><w:pStyle w:val="Normal"/></w:pPr>
<w:r><w:t xml:space="preserve">The river Amazon has a drainage area of 2,722,000 sq.</w:t></w:r>
</w:p>
<w:p>
<w:pPr><w:pStyle w:val="Normal"/></w:pPr>
<w:r><w:t xml:space="preserve">m., if the Tocantins be included in its basin.  It drains</w:t></w:r>
</w:p>
<w:p>
<w:pPr><w:pStyle w:val="Normal"/></w:pPr>
<w:r><w:t xml:space="preserve">four-tenths of South America, and it gathers its waters</w:t></w:r>
</w:p>
<w:p>
<w:pPr><w:pStyle w:val="Normal"/></w:pPr>
<w:r><w:t xml:space="preserve">from 5 deg.  N. to 20 deg.  S. latitude.  Its most remote sources</w:t></w:r>
</w:p>
<w:p>
<w:pPr><w:pStyle w:val="Normal"/></w:pPr>
<w:r><w:t xml:space="preserve">are found on the inter-Andean plateau, but a short distance</w:t></w:r>
</w:p>
<w:p>
<w:pPr><w:pStyle w:val="Normal"/></w:pPr>
<w:r><w:t xml:space="preserve">from the Pacific Ocean; and, after a course of about 4000</w:t></w:r>
</w:p>
<w:p>
<w:pPr><w:pStyle w:val="Normal"/></w:pPr>
<w:r><w:t xml:space="preserve">m. through the interior of Peru and across Brazil, it enters</w:t></w:r>
</w:p>
<w:p>
<w:pPr><w:pStyle w:val="Normal"/></w:pPr>
<w:r><w:t xml:space="preserve">the Atlantic Ocean on the equator.  It is generally accepted</w:t></w:r>
</w:p>
<w:p>
<w:pPr><w:pStyle w:val="Normal"/></w:pPr>
<w:r><w:t xml:space="preserve">by geographers that the Maranon, or Upper Amazon, rises in</w:t></w:r>
</w:p>
<w:p>
<w:pPr><w:pStyle w:val="Normal"/></w:pPr>
<w:r><w:t xml:space="preserve">the little lake, Lauricocha, in 10 deg.  30&apos; S. latitude, and 100</w:t></w:r>
</w:p>
<w:p>
<w:pPr><w:pStyle w:val="Normal"/></w:pPr>
<w:r><w:t xml:space="preserve">m.  N.N.E. of Lima.  They appear to have followed the</w:t></w:r>
</w:p>
<w:p>
<w:pPr><w:pStyle w:val="Normal"/></w:pPr>
<w:r><w:t xml:space="preserve">account given by Padre Fritz which has since been found</w:t></w:r>
</w:p>
<w:p>
<w:pPr><w:pStyle w:val="Normal"/></w:pPr>
<w:r><w:t xml:space="preserve">incorrect.  According to Antonio Raimondi, it is the Rio</w:t></w:r>
</w:p>
<w:p>
<w:pPr><w:pStyle w:val="Normal"/></w:pPr>
<w:r><w:t xml:space="preserve">de Nupe branch of the small stream which issues from the</w:t></w:r>
</w:p>
<w:p>
<w:pPr><w:pStyle w:val="Normal"/></w:pPr>
<w:r><w:t xml:space="preserve">lake that has the longer course and the greater volume of</w:t></w:r>
</w:p>
<w:p>
<w:pPr><w:pStyle w:val="Normal"/></w:pPr>
<w:r><w:t xml:space="preserve">water.  The Nupe rises in the Cordillera de Huayhuath and</w:t></w:r>
</w:p>
<w:p>
<w:pPr><w:pStyle w:val="Normal"/></w:pPr>
<w:r><w:t xml:space="preserve">is the true source of the Maranon.  There is a difference</w:t></w:r>
</w:p>
<w:p>
<w:pPr><w:pStyle w:val="Normal"/></w:pPr>
<w:r><w:t xml:space="preserve">among geographers as to where the Maranon ends and the Amazon</w:t></w:r>
</w:p>
<w:p>
<w:pPr><w:pStyle w:val="Normal"/></w:pPr>
<w:r><w:t xml:space="preserve">begins, or whether both names apply to the same river.  The</w:t></w:r>
</w:p>
<w:p>
<w:pPr><w:pStyle w:val="Normal"/></w:pPr>
<w:r><w:t xml:space="preserve">Pongo de Manseriche, at the base of the Andes and the head</w:t></w:r>
</w:p>
<w:p>
<w:pPr><w:pStyle w:val="Normal"/></w:pPr>
<w:r><w:t xml:space="preserve">of useful navigation, seems to be the natural terminus of the</w:t></w:r>
</w:p>
<w:p>
<w:pPr><w:pStyle w:val="Normal"/></w:pPr>
<w:r><w:t xml:space="preserve">Maranon; and an examination of the hydrographic conditions</w:t></w:r>
</w:p>
<w:p>
<w:pPr><w:pStyle w:val="Normal"/></w:pPr>
<w:r><w:t xml:space="preserve">of the great valley makes the convenience and accuracy of this</w:t></w:r>
</w:p>
<w:p>
<w:pPr><w:pStyle w:val="Normal"/></w:pPr>
<w:r><w:t xml:space="preserve">apparent.  Raimondi terminates the Maranon at the mouth of</w:t></w:r>
</w:p>
<w:p>
<w:pPr><w:pStyle w:val="Normal"/></w:pPr>
<w:r><w:t xml:space="preserve">the Ucayali, Reclus the same, both following the missionary</w:t></w:r>
</w:p>
<w:p>
<w:pPr><w:pStyle w:val="Normal"/></w:pPr>
<w:r><w:t xml:space="preserve">fathers of the colonial period.  C. M. de la Condamine uses</w:t></w:r>
</w:p>
<w:p>
<w:pPr><w:pStyle w:val="Normal"/></w:pPr>
<w:r><w:t xml:space="preserve">``Amazon&apos;&apos; and ``Maranon&apos;&apos; indiscriminately and considers</w:t></w:r>
</w:p>
<w:p>
<w:pPr><w:pStyle w:val="Normal"/></w:pPr>
<w:r><w:t xml:space="preserve">them one and the same.  Smyth and Lowe give the mouth of</w:t></w:r>
</w:p>
<w:p>
<w:pPr><w:pStyle w:val="Normal"/></w:pPr>
<w:r><w:t xml:space="preserve">the Javary as the eastern limit, as does d&apos;Orbigny. Wolf,</w:t></w:r>
</w:p>
<w:p>
<w:pPr><w:pStyle w:val="Normal"/></w:pPr>
<w:r><w:t xml:space="preserve">apparently uncertain, carries the ``Maranon or Amazon&apos;&apos;</w:t></w:r>
</w:p>
<w:p>
<w:pPr><w:pStyle w:val="Normal"/></w:pPr>
<w:r><w:t xml:space="preserve">to the Peruvian frontier of Brazil at Tabatinga.  Other</w:t></w:r>
</w:p>
<w:p>
<w:pPr><w:pStyle w:val="Normal"/></w:pPr>
<w:r><w:t xml:space="preserve">travellers and explorers contribute to the confusion.</w:t></w:r>
</w:p>
<w:p>
<w:pPr><w:pStyle w:val="Normal"/></w:pPr>
<w:r><w:t xml:space="preserve">This probably arises from the rivalry of the Spaniards and</w:t></w:r>
</w:p>
<w:p>
<w:pPr><w:pStyle w:val="Normal"/></w:pPr>
<w:r><w:t xml:space="preserve">Portuguese.  The former accepted the name Maranon in Peru,</w:t></w:r>
</w:p>
<w:p>
<w:pPr><w:pStyle w:val="Normal"/></w:pPr>
<w:r><w:t xml:space="preserve">and as the missionaries penetrated the valley they extended</w:t></w:r>
</w:p>
<w:p>
<w:pPr><w:pStyle w:val="Normal"/></w:pPr>
<w:r><w:t xml:space="preserve">the name until they reached the mouth of the Ucayali;</w:t></w:r>
</w:p>
<w:p>
<w:pPr><w:pStyle w:val="Normal"/></w:pPr>
<w:r><w:t xml:space="preserve">while, as the Portuguese ascended the Amazon, they carried</w:t></w:r>
</w:p>
<w:p>
<w:pPr><w:pStyle w:val="Normal"/></w:pPr>
<w:r><w:t xml:space="preserve">this name to the extent of their explorations.  Beginning</w:t></w:r>
</w:p>
<w:p>
<w:pPr><w:pStyle w:val="Normal"/></w:pPr>
<w:r><w:t xml:space="preserve">with the lower river we propose to notice, first, the great</w:t></w:r>
</w:p>
<w:p>
<w:pPr><w:pStyle w:val="Normal"/></w:pPr>
<w:r><w:t xml:space="preserve">affluents which go to swell the volume of the main stream.</w:t></w:r>
</w:p>
<w:p>
<w:pPr><w:pStyle w:val="Normal"/></w:pPr>
<w:r><w:t xml:space="preserve">Tributaries.</w:t></w:r>
</w:p>
<w:p>
<w:pPr><w:pStyle w:val="Normal"/></w:pPr>
<w:r><w:t xml:space="preserve">The TOCANTINS is not really a branch of the Amazon, although</w:t></w:r>
</w:p>
<w:p>
<w:pPr><w:pStyle w:val="Normal"/></w:pPr>
<w:r><w:t xml:space="preserve">usually so considered.  It is the central fluvial artery</w:t></w:r>
</w:p>
<w:p>
<w:pPr><w:pStyle w:val="Normal"/></w:pPr>
<w:r><w:t xml:space="preserve">of Brazil, running from south to north for a distance of</w:t></w:r>
</w:p>
<w:p>
<w:pPr><w:pStyle w:val="Normal"/></w:pPr>
<w:r><w:t xml:space="preserve">about 1500 m. It rises in the mountainous district known as</w:t></w:r>
</w:p>
<w:p>
<w:pPr><w:pStyle w:val="Normal"/></w:pPr>
<w:r><w:t xml:space="preserve">the Pyreneos; but its more ambitious western affluent, the</w:t></w:r>
</w:p>
<w:p>
<w:pPr><w:pStyle w:val="Normal"/></w:pPr>
<w:r><w:t xml:space="preserve">Araguay, has its extreme southern headwaters on the slopes</w:t></w:r>
</w:p>
<w:p>
<w:pPr><w:pStyle w:val="Normal"/></w:pPr>
<w:r><w:t xml:space="preserve">of the Serra Cayapo, and flows a distance of 1080 m.</w:t></w:r>
</w:p>
<w:p>
<w:pPr><w:pStyle w:val="Normal"/></w:pPr>
<w:r><w:t xml:space="preserve">before its junction with the parent stream, which it appears</w:t></w:r>
</w:p>
<w:p>
<w:pPr><w:pStyle w:val="Normal"/></w:pPr>
<w:r><w:t xml:space="preserve">almost to equal in volume.  Besides its main tributary, the</w:t></w:r>
</w:p>
<w:p>
<w:pPr><w:pStyle w:val="Normal"/></w:pPr>
<w:r><w:t xml:space="preserve">Rio das Mortes, it has twenty smaller branches, offering</w:t></w:r>
</w:p>
<w:p>
<w:pPr><w:pStyle w:val="Normal"/></w:pPr>
<w:r><w:t xml:space="preserve">many miles of canoe navigation.  In finding its way to the</w:t></w:r>
</w:p>
<w:p>
<w:pPr><w:pStyle w:val="Normal"/></w:pPr>
<w:r><w:t xml:space="preserve">lowlands, it breaks frequently into falls and rapids, or</w:t></w:r>
</w:p>
<w:p>
<w:pPr><w:pStyle w:val="Normal"/></w:pPr>
<w:r><w:t xml:space="preserve">winds violently through rocky gorges, until, at a point about</w:t></w:r>
</w:p>
<w:p>
<w:pPr><w:pStyle w:val="Normal"/></w:pPr>
<w:r><w:t xml:space="preserve">100 m. above its junction with the Tocantins, it saws its</w:t></w:r>
</w:p>
<w:p>
<w:pPr><w:pStyle w:val="Normal"/></w:pPr>
<w:r><w:t xml:space="preserve">way across a rocky dyke for 12 m. in roaring cataracts.</w:t></w:r>
</w:p>
<w:p>
<w:pPr><w:pStyle w:val="Normal"/></w:pPr>
<w:r><w:t xml:space="preserve">The tributaries of the Tocantins, called the Maranhao and</w:t></w:r>
</w:p>
<w:p>
<w:pPr><w:pStyle w:val="Normal"/></w:pPr>
<w:r><w:t xml:space="preserve">Parana-tinga, collect an immense volume of water from the</w:t></w:r>
</w:p>
<w:p>
<w:pPr><w:pStyle w:val="Normal"/></w:pPr>
<w:r><w:t xml:space="preserve">highlands which surround them, especially on the south and</w:t></w:r>
</w:p>
<w:p>
<w:pPr><w:pStyle w:val="Normal"/></w:pPr>
<w:r><w:t xml:space="preserve">south-east.  Between the latter and the confluence with the</w:t></w:r>
</w:p>
<w:p>
<w:pPr><w:pStyle w:val="Normal"/></w:pPr>
<w:r><w:t xml:space="preserve">Araguay, the Tocantins is occasionally obstructed by rocky</w:t></w:r>
</w:p>
<w:p>
<w:pPr><w:pStyle w:val="Normal"/></w:pPr>
<w:r><w:t xml:space="preserve">barriers which cross it almost at a right angle.  Through</w:t></w:r>
</w:p>
<w:p>
<w:pPr><w:pStyle w:val="Normal"/></w:pPr>
<w:r><w:t xml:space="preserve">these, the river carves its channel, broken into cataracts</w:t></w:r>
</w:p>
<w:p>
<w:pPr><w:pStyle w:val="Normal"/></w:pPr>
<w:r><w:t xml:space="preserve">and rapids, or cachoeiras, as they are called throughout</w:t></w:r>
</w:p>
<w:p>
<w:pPr><w:pStyle w:val="Normal"/></w:pPr>
<w:r><w:t xml:space="preserve">Brazil.  Its lowest one, the Itaboca cataract, is about 130</w:t></w:r>
</w:p>
<w:p>
<w:pPr><w:pStyle w:val="Normal"/></w:pPr>
<w:r><w:t xml:space="preserve">m. above its estuarine port of Cameta, for which distance the</w:t></w:r>
</w:p>
<w:p>
<w:pPr><w:pStyle w:val="Normal"/></w:pPr>
<w:r><w:t xml:space="preserve">river is navigable; but above that it is useless as a commercial</w:t></w:r>
</w:p>
<w:p>
<w:pPr><w:pStyle w:val="Normal"/></w:pPr>
<w:r><w:t xml:space="preserve">avenue, except for laborious and very costly transportation.</w:t></w:r>
</w:p>
<w:p>
<w:pPr><w:pStyle w:val="Normal"/></w:pPr>
<w:r><w:t xml:space="preserve">The flat, broad valleys, composed of sand and clay, of both</w:t></w:r>
</w:p>
<w:p>
<w:pPr><w:pStyle w:val="Normal"/></w:pPr>
<w:r><w:t xml:space="preserve">the Tocantins and its Araguay branch are overlooked by</w:t></w:r>
</w:p>
<w:p>
<w:pPr><w:pStyle w:val="Normal"/></w:pPr>
<w:r><w:t xml:space="preserve">steep bluffs.  They are the margins of the great sandstone</w:t></w:r>
</w:p>
<w:p>
<w:pPr><w:pStyle w:val="Normal"/></w:pPr>
<w:r><w:t xml:space="preserve">plateaus, from 1000 to 2000 ft. elevation above sea-level,</w:t></w:r>
</w:p>
<w:p>
<w:pPr><w:pStyle w:val="Normal"/></w:pPr>
<w:r><w:t xml:space="preserve">through which the rivers have eroded their deep beds.</w:t></w:r>
</w:p>
<w:p>
<w:pPr><w:pStyle w:val="Normal"/></w:pPr>
<w:r><w:t xml:space="preserve">Around the estuary of the Tocantins the great plateau has</w:t></w:r>
</w:p>
<w:p>
<w:pPr><w:pStyle w:val="Normal"/></w:pPr>
<w:r><w:t xml:space="preserve">disappeared, to give place to a part of the forest-covered,</w:t></w:r>
</w:p>
<w:p>
<w:pPr><w:pStyle w:val="Normal"/></w:pPr>
<w:r><w:t xml:space="preserve">half submerged alluvial plain, which extends far to the</w:t></w:r>
</w:p>
<w:p>
<w:pPr><w:pStyle w:val="Normal"/></w:pPr>
<w:r><w:t xml:space="preserve">north-east and west.  The Para river, generally called one</w:t></w:r>
</w:p>
<w:p>
<w:pPr><w:pStyle w:val="Normal"/></w:pPr>
<w:r><w:t xml:space="preserve">of the mouths of the Amazon, is only the lower reach of the</w:t></w:r>
</w:p>
<w:p>
<w:pPr><w:pStyle w:val="Normal"/></w:pPr>
<w:r><w:t xml:space="preserve">Tocantins.  If any portion of the waters of the Amazon</w:t></w:r>
</w:p>
<w:p>
<w:pPr><w:pStyle w:val="Normal"/></w:pPr>
<w:r><w:t xml:space="preserve">runs round the southern side of the large island of Marajo</w:t></w:r>
</w:p>
<w:p>
<w:pPr><w:pStyle w:val="Normal"/></w:pPr>
<w:r><w:t xml:space="preserve">into the river Para, it is only through tortuous, natural</w:t></w:r>
</w:p>
<w:p>
<w:pPr><w:pStyle w:val="Normal"/></w:pPr>
<w:r><w:t xml:space="preserve">canals, which are in no sense outflow channels of the Amazon.</w:t></w:r>
</w:p>
<w:p>
<w:pPr><w:pStyle w:val="Normal"/></w:pPr>
<w:r><w:t xml:space="preserve">The XINGU, the next large river west of the Tocantins,</w:t></w:r>
</w:p>
<w:p>
<w:pPr><w:pStyle w:val="Normal"/></w:pPr>
<w:r><w:t xml:space="preserve">is a true tributary of the Amazon.  It was but little known</w:t></w:r>
</w:p>
<w:p>
<w:pPr><w:pStyle w:val="Normal"/></w:pPr>
<w:r><w:t xml:space="preserve">until it was explored in 1884-1887 by Karl von den Steinen</w:t></w:r>
</w:p>
<w:p>
<w:pPr><w:pStyle w:val="Normal"/></w:pPr>
<w:r><w:t xml:space="preserve">from Cuyaba.  Travelling east, 240 m., he found the river</w:t></w:r>
</w:p>
<w:p>
<w:pPr><w:pStyle w:val="Normal"/></w:pPr>
<w:r><w:t xml:space="preserve">Tamitatoaba, 180 ft. wide, flowing from a lake 25 m. in</w:t></w:r>
</w:p>
<w:p>
<w:pPr><w:pStyle w:val="Normal"/></w:pPr>
<w:r><w:t xml:space="preserve">diameter.  He descended this torrential stream to the river</w:t></w:r>
</w:p>
<w:p>
<w:pPr><w:pStyle w:val="Normal"/></w:pPr>
<w:r><w:t xml:space="preserve">Romero, 1300 ft. wide, entering from the west, which receives</w:t></w:r>
</w:p>
<w:p>
<w:pPr><w:pStyle w:val="Normal"/></w:pPr>
<w:r><w:t xml:space="preserve">the river Colisu. These three streams form the Xingu, or</w:t></w:r>
</w:p>
<w:p>
<w:pPr><w:pStyle w:val="Normal"/></w:pPr>
<w:r><w:t xml:space="preserve">Parana-xingu, which, from 73 m. lower down, bounds along a</w:t></w:r>
</w:p>
<w:p>
<w:pPr><w:pStyle w:val="Normal"/></w:pPr>
<w:r><w:t xml:space="preserve">succession of rapids for 400 m.  A little above the head of</w:t></w:r>
</w:p>
<w:p>
<w:pPr><w:pStyle w:val="Normal"/></w:pPr>
<w:r><w:t xml:space="preserve">navigation, 105 m. from its mouth, the river makes a bend to</w:t></w:r>
</w:p>
<w:p>
<w:pPr><w:pStyle w:val="Normal"/></w:pPr>
<w:r><w:t xml:space="preserve">the east to find its way across a rocky barrier.  Here is the</w:t></w:r>
</w:p>
<w:p>
<w:pPr><w:pStyle w:val="Normal"/></w:pPr>
<w:r><w:t xml:space="preserve">great cataract of Itamaraca, which rushes down an inchned</w:t></w:r>
</w:p>
<w:p>
<w:pPr><w:pStyle w:val="Normal"/></w:pPr>
<w:r><w:t xml:space="preserve">plane for 3 m. and then gives a final leap, called the fall of</w:t></w:r>
</w:p>
<w:p>
<w:pPr><w:pStyle w:val="Normal"/></w:pPr>
<w:r><w:t xml:space="preserve">Itamaraca.  Near its mouth, the Xingu expands into an</w:t></w:r>
</w:p>
<w:p>
<w:pPr><w:pStyle w:val="Normal"/></w:pPr>
<w:r><w:t xml:space="preserve">immense lake, and its waters then mingle with those of the</w:t></w:r>
</w:p>
<w:p>
<w:pPr><w:pStyle w:val="Normal"/></w:pPr>
<w:r><w:t xml:space="preserve">Amazon through a labyrinth of eanos (natural canals),</w:t></w:r>
</w:p>
<w:p>
<w:pPr><w:pStyle w:val="Normal"/></w:pPr>
<w:r><w:t xml:space="preserve">winding in countless directions through a wooded archipelago.</w:t></w:r>
</w:p>
<w:p>
<w:pPr><w:pStyle w:val="Normal"/></w:pPr>
<w:r><w:t xml:space="preserve">The TAPAHOS, running through a humid, hot and unhealthy</w:t></w:r>
</w:p>
<w:p>
<w:pPr><w:pStyle w:val="Normal"/></w:pPr>
<w:r><w:t xml:space="preserve">valley, pours into the Amazon 500 m. above Para and is about</w:t></w:r>
</w:p>
<w:p>
<w:pPr><w:pStyle w:val="Normal"/></w:pPr>
<w:r><w:t xml:space="preserve">1200 m. long.  It rises on the lofty Brazilian plateau near</w:t></w:r>
</w:p>
<w:p>
<w:pPr><w:pStyle w:val="Normal"/></w:pPr>
<w:r><w:t xml:space="preserve">Diamantino in 14 deg.  25&apos; S. lat.  Near this place a number of</w:t></w:r>
</w:p>
<w:p>
<w:pPr><w:pStyle w:val="Normal"/></w:pPr>
<w:r><w:t xml:space="preserve">streams unite to form the river Arinos, which at latitude</w:t></w:r>
</w:p>
<w:p>
<w:pPr><w:pStyle w:val="Normal"/></w:pPr>
<w:r><w:t xml:space="preserve">10 deg.  25&apos; joins the Juruena to form the Alto Tapajos, so</w:t></w:r>
</w:p>
<w:p>
<w:pPr><w:pStyle w:val="Normal"/></w:pPr>
<w:r><w:t xml:space="preserve">called as low down as the Rio Manoel, entering from the</w:t></w:r>
</w:p>
<w:p>
<w:pPr><w:pStyle w:val="Normal"/></w:pPr>
<w:r><w:t xml:space="preserve">east.  Thence to Santarem the stream is known as the</w:t></w:r>
</w:p>
<w:p>
<w:pPr><w:pStyle w:val="Normal"/></w:pPr>
<w:r><w:t xml:space="preserve">Tapajos.  The lower Arinos, the Alto Tapajos and the Tapajos</w:t></w:r>
</w:p>
<w:p>
<w:pPr><w:pStyle w:val="Normal"/></w:pPr>
<w:r><w:t xml:space="preserve">to the last rapid, the Maranhao Grande, is a continuous</w:t></w:r>
</w:p>
<w:p>
<w:pPr><w:pStyle w:val="Normal"/></w:pPr>
<w:r><w:t xml:space="preserve">series of formidable cataracts and rapids; but from the</w:t></w:r>
</w:p>
<w:p>
<w:pPr><w:pStyle w:val="Normal"/></w:pPr>
<w:r><w:t xml:space="preserve">Maranhao Grande to its mouth, about 188 m., the river can</w:t></w:r>
</w:p>
<w:p>
<w:pPr><w:pStyle w:val="Normal"/></w:pPr>
<w:r><w:t xml:space="preserve">be navigated by largevessels. For its last 100 mi. it is from</w:t></w:r>
</w:p>
<w:p>
<w:pPr><w:pStyle w:val="Normal"/></w:pPr>
<w:r><w:t xml:space="preserve">4 to 9 m. wide and much of it very deep.  The valley of the</w:t></w:r>
</w:p>
<w:p>
<w:pPr><w:pStyle w:val="Normal"/></w:pPr>
<w:r><w:t xml:space="preserve">Tapajos is bordered on both sides by bluffs.  They are from</w:t></w:r>
</w:p>
<w:p>
<w:pPr><w:pStyle w:val="Normal"/></w:pPr>
<w:r><w:t xml:space="preserve">300 to 400 ft. high along the lower river; but, a few miles</w:t></w:r>
</w:p>
<w:p>
<w:pPr><w:pStyle w:val="Normal"/></w:pPr>
<w:r><w:t xml:space="preserve">above Santarem, they retire from the eastern side and only</w:t></w:r>
</w:p>
<w:p>
<w:pPr><w:pStyle w:val="Normal"/></w:pPr>
<w:r><w:t xml:space="preserve">approach the Amazon flood-plain some miles below Santarem.</w:t></w:r>
</w:p>
<w:p>
<w:pPr><w:pStyle w:val="Normal"/></w:pPr>
<w:r><w:t xml:space="preserve">The MADEIRA has its junction with the Amazon 870 mi. by</w:t></w:r>
</w:p>
<w:p>
<w:pPr><w:pStyle w:val="Normal"/></w:pPr>
<w:r><w:t xml:space="preserve">river above Para, and almost rivals it in the volume of its</w:t></w:r>
</w:p>
<w:p>
<w:pPr><w:pStyle w:val="Normal"/></w:pPr>
<w:r><w:t xml:space="preserve">waters.  It rises more than 50 ft. during the rainy season,</w:t></w:r>
</w:p>
<w:p>
<w:pPr><w:pStyle w:val="Normal"/></w:pPr>
<w:r><w:t xml:space="preserve">and the largest ocean steamers may ascend it to the Fall</w:t></w:r>
</w:p>
<w:p>
<w:pPr><w:pStyle w:val="Normal"/></w:pPr>
<w:r><w:t xml:space="preserve">of San Antonio, 663 m. above its mouth; but in the dry</w:t></w:r>
</w:p>
<w:p>
<w:pPr><w:pStyle w:val="Normal"/></w:pPr>
<w:r><w:t xml:space="preserve">months, from June to November, it is only navigable for</w:t></w:r>
</w:p>
<w:p>
<w:pPr><w:pStyle w:val="Normal"/></w:pPr>
<w:r><w:t xml:space="preserve">the same distance for craft drawing from 5 to 6 ft. of</w:t></w:r>
</w:p>
<w:p>
<w:pPr><w:pStyle w:val="Normal"/></w:pPr>
<w:r><w:t xml:space="preserve">water.  According to the treaty of San Ildefonso, the</w:t></w:r>
</w:p>
<w:p>
<w:pPr><w:pStyle w:val="Normal"/></w:pPr>
<w:r><w:t xml:space="preserve">Madeira begins at the confluence of the Guapore with the</w:t></w:r>
</w:p>
<w:p>
<w:pPr><w:pStyle w:val="Normal"/></w:pPr>
<w:r><w:t xml:space="preserve">Mamore.  Both of these streams have their headwaters</w:t></w:r>
</w:p>
<w:p>
<w:pPr><w:pStyle w:val="Normal"/></w:pPr>
<w:r><w:t xml:space="preserve">almost in contact with those of the river Paraguay. The</w:t></w:r>
</w:p>
<w:p>
<w:pPr><w:pStyle w:val="Normal"/></w:pPr>
<w:r><w:t xml:space="preserve">idea of a connecting canal is based on ignorance of local</w:t></w:r>
</w:p>
<w:p>
<w:pPr><w:pStyle w:val="Normal"/></w:pPr>
<w:r><w:t xml:space="preserve">conditions.  San Antonio is the first of a formidable series</w:t></w:r>
</w:p>
<w:p>
<w:pPr><w:pStyle w:val="Normal"/></w:pPr>
<w:r><w:t xml:space="preserve">of cataracts and rapids, nineteen in number, which, for</w:t></w:r>
</w:p>
<w:p>
<w:pPr><w:pStyle w:val="Normal"/></w:pPr>
<w:r><w:t xml:space="preserve">a river distance of 263 m., obstruct the upper course of</w:t></w:r>
</w:p>
<w:p>
<w:pPr><w:pStyle w:val="Normal"/></w:pPr>
<w:r><w:t xml:space="preserve">the Madeira until the last rapid called Guajara Merim</w:t></w:r>
</w:p>
<w:p>
<w:pPr><w:pStyle w:val="Normal"/></w:pPr>
<w:r><w:t xml:space="preserve">(or Small Pebble), is reached, a little below the union</w:t></w:r>
</w:p>
<w:p>
<w:pPr><w:pStyle w:val="Normal"/></w:pPr>
<w:r><w:t xml:space="preserve">of the Guapore with the Mamore.  The junction of the</w:t></w:r>
</w:p>
<w:p>
<w:pPr><w:pStyle w:val="Normal"/></w:pPr>
<w:r><w:t xml:space="preserve">great river Beni with the Madeira is at the Madeira Fall,</w:t></w:r>
</w:p>
<w:p>
<w:pPr><w:pStyle w:val="Normal"/></w:pPr>
<w:r><w:t xml:space="preserve">a vast and grand display ofreefs, whirlpools and boiling</w:t></w:r>
</w:p>
<w:p>
<w:pPr><w:pStyle w:val="Normal"/></w:pPr>
<w:r><w:t xml:space="preserve">torrents.  Between Guajara-Merim and this fall, inclusive,</w:t></w:r>
</w:p>
<w:p>
<w:pPr><w:pStyle w:val="Normal"/></w:pPr>
<w:r><w:t xml:space="preserve">the Madeira receives the drainage of the northeastern slopes</w:t></w:r>
</w:p>
<w:p>
<w:pPr><w:pStyle w:val="Normal"/></w:pPr>
<w:r><w:t xml:space="preserve">of the Andes, from Santa Cruz de la Sierra to Cuzco, the</w:t></w:r>
</w:p>
<w:p>
<w:pPr><w:pStyle w:val="Normal"/></w:pPr>
<w:r><w:t xml:space="preserve">whole of the south-western slope of Brazilian Matto (irosso</w:t></w:r>
</w:p>
<w:p>
<w:pPr><w:pStyle w:val="Normal"/></w:pPr>
<w:r><w:t xml:space="preserve">and the northern one of the Chiquitos sierras, an area about</w:t></w:r>
</w:p>
<w:p>
<w:pPr><w:pStyle w:val="Normal"/></w:pPr>
<w:r><w:t xml:space="preserve">equal to that of France and Spain.  The waters find their</w:t></w:r>
</w:p>
<w:p>
<w:pPr><w:pStyle w:val="Normal"/></w:pPr>
<w:r><w:t xml:space="preserve">way to the falls of the Madeira by many great rivers, the</w:t></w:r>
</w:p>
<w:p>
<w:pPr><w:pStyle w:val="Normal"/></w:pPr>
<w:r><w:t xml:space="preserve">principal of which, if we enumerate them from east to west,</w:t></w:r>
</w:p>
<w:p>
<w:pPr><w:pStyle w:val="Normal"/></w:pPr>
<w:r><w:t xml:space="preserve">are the Guapore or Itenez, the Baures and Blanco, the Itonama</w:t></w:r>
</w:p>
<w:p>
<w:pPr><w:pStyle w:val="Normal"/></w:pPr>
<w:r><w:t xml:space="preserve">or San Miguel, the Mamore, Beni, and Mayutata or Madre de</w:t></w:r>
</w:p>
<w:p>
<w:pPr><w:pStyle w:val="Normal"/></w:pPr>
<w:r><w:t xml:space="preserve">Dios, all of which are reinforced by numerous secondary but</w:t></w:r>
</w:p>
<w:p>
<w:pPr><w:pStyle w:val="Normal"/></w:pPr>
<w:r><w:t xml:space="preserve">powerful affluents. The Guapore presents many difficulties</w:t></w:r>
</w:p>
<w:p>
<w:pPr><w:pStyle w:val="Normal"/></w:pPr>
<w:r><w:t xml:space="preserve">to continuous navigation; the Baures and Itonama offer</w:t></w:r>
</w:p>
<w:p>
<w:pPr><w:pStyle w:val="Normal"/></w:pPr>
<w:r><w:t xml:space="preserve">hundreds of miles of navigable waters through beautiful</w:t></w:r>
</w:p>
<w:p>
<w:pPr><w:pStyle w:val="Normal"/></w:pPr>
<w:r><w:t xml:space="preserve">plains; the Mamore has been sounded by the writer in the</w:t></w:r>
</w:p>
<w:p>
<w:pPr><w:pStyle w:val="Normal"/></w:pPr>
<w:r><w:t xml:space="preserve">driest month of the year for a distance of 500 m. above</w:t></w:r>
</w:p>
<w:p>
<w:pPr><w:pStyle w:val="Normal"/></w:pPr>
<w:r><w:t xml:space="preserve">Guajara-Merim, who found never less than from 10 to 30 ft.</w:t></w:r>
</w:p>
<w:p>
<w:pPr><w:pStyle w:val="Normal"/></w:pPr>
<w:r><w:t xml:space="preserve">of water, with a current of from 1 to 3 m. an hour. Its Rio</w:t></w:r>
</w:p>
<w:p>
<w:pPr><w:pStyle w:val="Normal"/></w:pPr>
<w:r><w:t xml:space="preserve">Grande branch, explored under the writer&apos;s instructions, was</w:t></w:r>
</w:p>
<w:p>
<w:pPr><w:pStyle w:val="Normal"/></w:pPr>
<w:r><w:t xml:space="preserve">found navigable for craft drawing 3 ft. of water to within</w:t></w:r>
</w:p>
<w:p>
<w:pPr><w:pStyle w:val="Normal"/></w:pPr>
<w:r><w:t xml:space="preserve">30 m. of Santa Cruz de la Sierra -- a level sandy plain</w:t></w:r>
</w:p>
<w:p>
<w:pPr><w:pStyle w:val="Normal"/></w:pPr>
<w:r><w:t xml:space="preserve">intervening. The Grande is a river of enormous length, rising</w:t></w:r>
</w:p>
<w:p>
<w:pPr><w:pStyle w:val="Normal"/></w:pPr>
<w:r><w:t xml:space="preserve">in a great valley of the Andes between the important cities</w:t></w:r>
</w:p>
<w:p>
<w:pPr><w:pStyle w:val="Normal"/></w:pPr>
<w:r><w:t xml:space="preserve">of Sucre and Cochabamba, and having its upper waters in</w:t></w:r>
</w:p>
<w:p>
<w:pPr><w:pStyle w:val="Normal"/></w:pPr>
<w:r><w:t xml:space="preserve">close touch with those of the Pilcomayo branch of the river</w:t></w:r>
</w:p>
<w:p>
<w:pPr><w:pStyle w:val="Normal"/></w:pPr>
<w:r><w:t xml:space="preserve">Paraguay.  It makes a long curve through the mountains, and,</w:t></w:r>
</w:p>
<w:p>
<w:pPr><w:pStyle w:val="Normal"/></w:pPr>
<w:r><w:t xml:space="preserve">after a course of about 800 m., joins the Mamore near 15 deg.  S.</w:t></w:r>
</w:p>
<w:p>
<w:pPr><w:pStyle w:val="Normal"/></w:pPr>
<w:r><w:t xml:space="preserve">lat.  The Chapare, Secure and Chimore, tributaries of the</w:t></w:r>
</w:p>
<w:p>
<w:pPr><w:pStyle w:val="Normal"/></w:pPr>
<w:r><w:t xml:space="preserve">Mamore, are navigable for launches up to the base of the</w:t></w:r>
</w:p>
<w:p>
<w:pPr><w:pStyle w:val="Normal"/></w:pPr>
<w:r><w:t xml:space="preserve">mountains, to within 130 m. of Cochabamba. The Beni has a</w:t></w:r>
</w:p>
<w:p>
<w:pPr><w:pStyle w:val="Normal"/></w:pPr>
<w:r><w:t xml:space="preserve">12-ft. fall 18 m. above its mouth called ``La Esperanza&apos;&apos;;</w:t></w:r>
</w:p>
<w:p>
<w:pPr><w:pStyle w:val="Normal"/></w:pPr>
<w:r><w:t xml:space="preserve">beyond this, it is navigable for 217 m. to the port of Reyes</w:t></w:r>
</w:p>
<w:p>
<w:pPr><w:pStyle w:val="Normal"/></w:pPr>
<w:r><w:t xml:space="preserve">for launches in the dry season and larger craft in the wet</w:t></w:r>
</w:p>
<w:p>
<w:pPr><w:pStyle w:val="Normal"/></w:pPr>
<w:r><w:t xml:space="preserve">one.  The extreme source of the Beni is the little river La Paz,</w:t></w:r>
</w:p>
<w:p>
<w:pPr><w:pStyle w:val="Normal"/></w:pPr>
<w:r><w:t xml:space="preserve">which rises in the inter-Andean region, a few miles south-east</w:t></w:r>
</w:p>
<w:p>
<w:pPr><w:pStyle w:val="Normal"/></w:pPr>
<w:r><w:t xml:space="preserve">of Lake Titicaca, and flows as a rivulet through the Bolivian</w:t></w:r>
</w:p>
<w:p>
<w:pPr><w:pStyle w:val="Normal"/></w:pPr>
<w:r><w:t xml:space="preserve">city of La Paz. From this point to Reyes the river is a torrent.</w:t></w:r>
</w:p>
<w:p>
<w:pPr><w:pStyle w:val="Normal"/></w:pPr>
<w:r><w:t xml:space="preserve">The principal affluent of the Beni, and one which exceeds it in</w:t></w:r>
</w:p>
<w:p>
<w:pPr><w:pStyle w:val="Normal"/></w:pPr>
<w:r><w:t xml:space="preserve">volume, enters it 120 m. above its mouth, and is known to the</w:t></w:r>
</w:p>
<w:p>
<w:pPr><w:pStyle w:val="Normal"/></w:pPr>
<w:r><w:t xml:space="preserve">Indians along its banks as the Mayutata, but the Peruvians</w:t></w:r>
</w:p>
<w:p>
<w:pPr><w:pStyle w:val="Normal"/></w:pPr>
<w:r><w:t xml:space="preserve">call it the Madre de Dios.  Its ramifications drain the</w:t></w:r>
</w:p>
<w:p>
<w:pPr><w:pStyle w:val="Normal"/></w:pPr>
<w:r><w:t xml:space="preserve">slopes of the Andes between 12 deg.  and 15 deg.  of latitude.  It</w:t></w:r>
</w:p>
<w:p>
<w:pPr><w:pStyle w:val="Normal"/></w:pPr>
<w:r><w:t xml:space="preserve">is navigable in the wet season to within 180 m. of Cuzco.</w:t></w:r>
</w:p>
<w:p>
<w:pPr><w:pStyle w:val="Normal"/></w:pPr>
<w:r><w:t xml:space="preserve">Its upper waters are separated by only a short transitable</w:t></w:r>
</w:p>
<w:p>
<w:pPr><w:pStyle w:val="Normal"/></w:pPr>
<w:r><w:t xml:space="preserve">canoe portage of 7 m. in a straight line from those of the</w:t></w:r>
</w:p>
<w:p>
<w:pPr><w:pStyle w:val="Normal"/></w:pPr>
<w:r><w:t xml:space="preserve">Ucayali.  The portage on the eastern side terminates at</w:t></w:r>
</w:p>
<w:p>
<w:pPr><w:pStyle w:val="Normal"/></w:pPr>
<w:r><w:t xml:space="preserve">the Cashpajah river 22 m. above its junction with the</w:t></w:r>
</w:p>
<w:p>
<w:pPr><w:pStyle w:val="Normal"/></w:pPr>
<w:r><w:t xml:space="preserve">Manu.  For the first 13 m. it is navigable all the year</w:t></w:r>
</w:p>
<w:p>
<w:pPr><w:pStyle w:val="Normal"/></w:pPr>
<w:r><w:t xml:space="preserve">for craft drawing 18 in. of water, but the remaining 9 m.</w:t></w:r>
</w:p>
<w:p>
<w:pPr><w:pStyle w:val="Normal"/></w:pPr>
<w:r><w:t xml:space="preserve">present many obstacles to navigation.  At the Manu junction</w:t></w:r>
</w:p>
<w:p>
<w:pPr><w:pStyle w:val="Normal"/></w:pPr>
<w:r><w:t xml:space="preserve">the elevation above sea-level is 1070 ft., the river width</w:t></w:r>
</w:p>
<w:p>
<w:pPr><w:pStyle w:val="Normal"/></w:pPr>
<w:r><w:t xml:space="preserve">300 ft., depth 8 ft., current 1 1/4 m. per hour.  The general</w:t></w:r>
</w:p>
<w:p>
<w:pPr><w:pStyle w:val="Normal"/></w:pPr>
<w:r><w:t xml:space="preserve">direction of the Manu is south-east for 158 m. as far as the</w:t></w:r>
</w:p>
<w:p>
<w:pPr><w:pStyle w:val="Normal"/></w:pPr>
<w:r><w:t xml:space="preserve">Pilcopata river, where under the name of Madre de Dios it</w:t></w:r>
</w:p>
<w:p>
<w:pPr><w:pStyle w:val="Normal"/></w:pPr>
<w:r><w:t xml:space="preserve">continues with a flow of 22,000 cubic metres per minute.</w:t></w:r>
</w:p>
<w:p>
<w:pPr><w:pStyle w:val="Normal"/></w:pPr>
<w:r><w:t xml:space="preserve">Here its elevation is 718 ft. above the sea and its width 500</w:t></w:r>
</w:p>
<w:p>
<w:pPr><w:pStyle w:val="Normal"/></w:pPr>
<w:r><w:t xml:space="preserve">ft.  During the above course of 158 m. the Manu receives 135</w:t></w:r>
</w:p>
<w:p>
<w:pPr><w:pStyle w:val="Normal"/></w:pPr>
<w:r><w:t xml:space="preserve">large and small affluents. Although the inclination of its bed</w:t></w:r>
</w:p>
<w:p>
<w:pPr><w:pStyle w:val="Normal"/></w:pPr>
<w:r><w:t xml:space="preserve">is not great, the obstacles to free navigation are abundant,</w:t></w:r>
</w:p>
<w:p>
<w:pPr><w:pStyle w:val="Normal"/></w:pPr>
<w:r><w:t xml:space="preserve">and consist of enormous trees and masses of tree-trunks</w:t></w:r>
</w:p>
<w:p>
<w:pPr><w:pStyle w:val="Normal"/></w:pPr>
<w:r><w:t xml:space="preserve">which have filled the river during the period of freshets.</w:t></w:r>
</w:p>
<w:p>
<w:pPr><w:pStyle w:val="Normal"/></w:pPr>
<w:r><w:t xml:space="preserve">From the time it receives the Manu, the Madre de Dios carries</w:t></w:r>
</w:p>
<w:p>
<w:pPr><w:pStyle w:val="Normal"/></w:pPr>
<w:r><w:t xml:space="preserve">its immense volume of waters 485 m. to the Beni over the</w:t></w:r>
</w:p>
<w:p>
<w:pPr><w:pStyle w:val="Normal"/></w:pPr>
<w:r><w:t xml:space="preserve">extremely easy slope of a vast and fertile plain.  Its banks are</w:t></w:r>
</w:p>
<w:p>
<w:pPr><w:pStyle w:val="Normal"/></w:pPr>
<w:r><w:t xml:space="preserve">low, its bottom pebbly.  A greater part of its course is filled</w:t></w:r>
</w:p>
<w:p>
<w:pPr><w:pStyle w:val="Normal"/></w:pPr>
<w:r><w:t xml:space="preserve">with large and small islands some 63 in number.  Its average</w:t></w:r>
</w:p>
<w:p>
<w:pPr><w:pStyle w:val="Normal"/></w:pPr>
<w:r><w:t xml:space="preserve">width is about 1500 ft.  Below the mouth of the Tambopata,</w:t></w:r>
</w:p>
<w:p>
<w:pPr><w:pStyle w:val="Normal"/></w:pPr>
<w:r><w:t xml:space="preserve">the flow is estimated at 191,250 cubic metres per minute.  The</w:t></w:r>
</w:p>
<w:p>
<w:pPr><w:pStyle w:val="Normal"/></w:pPr>
<w:r><w:t xml:space="preserve">average current is 2 1/2 m. per hour.  There are two important</w:t></w:r>
</w:p>
<w:p>
<w:pPr><w:pStyle w:val="Normal"/></w:pPr>
<w:r><w:t xml:space="preserve">rapids and one cataract on the lower 300 m. of the river.</w:t></w:r>
</w:p>
<w:p>
<w:pPr><w:pStyle w:val="Normal"/></w:pPr>
<w:r><w:t xml:space="preserve">The Mayutata receives three principal tributaries from</w:t></w:r>
</w:p>
<w:p>
<w:pPr><w:pStyle w:val="Normal"/></w:pPr>
<w:r><w:t xml:space="preserve">the south -- the Tambopata, Inambari and Pilcopata.</w:t></w:r>
</w:p>
<w:p>
<w:pPr><w:pStyle w:val="Normal"/></w:pPr>
<w:r><w:t xml:space="preserve">The Peruvian government has sought to open a trade route</w:t></w:r>
</w:p>
<w:p>
<w:pPr><w:pStyle w:val="Normal"/></w:pPr>
<w:r><w:t xml:space="preserve">between the Rio Ucayali and the rich rubber districts of the</w:t></w:r>
</w:p>
<w:p>
<w:pPr><w:pStyle w:val="Normal"/></w:pPr>
<w:r><w:t xml:space="preserve">Mayutata.  All of the upper branches of the river Madeira find</w:t></w:r>
</w:p>
<w:p>
<w:pPr><w:pStyle w:val="Normal"/></w:pPr>
<w:r><w:t xml:space="preserve">their way to the falls across the open, almost level Mojos and</w:t></w:r>
</w:p>
<w:p>
<w:pPr><w:pStyle w:val="Normal"/></w:pPr>
<w:r><w:t xml:space="preserve">Beni plains, 35,000 sq. m. of which are yearly flooded to an</w:t></w:r>
</w:p>
<w:p>
<w:pPr><w:pStyle w:val="Normal"/></w:pPr>
<w:r><w:t xml:space="preserve">average depth of about 3 ft. for a period of from three to four</w:t></w:r>
</w:p>
<w:p>
<w:pPr><w:pStyle w:val="Normal"/></w:pPr>
<w:r><w:t xml:space="preserve">months.  They rival if they do not exceed in fertility the</w:t></w:r>
</w:p>
<w:p>
<w:pPr><w:pStyle w:val="Normal"/></w:pPr>
<w:r><w:t xml:space="preserve">valley of the Nile, and are the healthiest and most inviting</w:t></w:r>
</w:p>
<w:p>
<w:pPr><w:pStyle w:val="Normal"/></w:pPr>
<w:r><w:t xml:space="preserve">agricultural and grazing region of the basin of the Amazon.</w:t></w:r>
</w:p>
<w:p>
<w:pPr><w:pStyle w:val="Normal"/></w:pPr>
<w:r><w:t xml:space="preserve">The PURUS, a very sluggish river, enters the Amazon west</w:t></w:r>
</w:p>
<w:p>
<w:pPr><w:pStyle w:val="Normal"/></w:pPr>
<w:r><w:t xml:space="preserve">of the Madeira, which it parallels as far south as the falls</w:t></w:r>
</w:p>
<w:p>
<w:pPr><w:pStyle w:val="Normal"/></w:pPr>
<w:r><w:t xml:space="preserve">of the latter stream.  It runs through a continuous forest at</w:t></w:r>
</w:p>
<w:p>
<w:pPr><w:pStyle w:val="Normal"/></w:pPr>
<w:r><w:t xml:space="preserve">the bottom of the great depression lying between the Madeira</w:t></w:r>
</w:p>
<w:p>
<w:pPr><w:pStyle w:val="Normal"/></w:pPr>
<w:r><w:t xml:space="preserve">river, which skirts the edge of the Brazilian sandstone</w:t></w:r>
</w:p>
<w:p>
<w:pPr><w:pStyle w:val="Normal"/></w:pPr>
<w:r><w:t xml:space="preserve">plateau, and the Ucayali which hugs the base of the Andes.</w:t></w:r>
</w:p>
<w:p>
<w:pPr><w:pStyle w:val="Normal"/></w:pPr>
<w:r><w:t xml:space="preserve">One of its marked features is the five parallel furos1</w:t></w:r>
</w:p>
<w:p>
<w:pPr><w:pStyle w:val="Normal"/></w:pPr>
<w:r><w:t xml:space="preserve">which from the north-west at almost regular intervals the</w:t></w:r>
</w:p>
<w:p>
<w:pPr><w:pStyle w:val="Normal"/></w:pPr>
<w:r><w:t xml:space="preserve">Amazon sends to the Purus; the most south-westerly one</w:t></w:r>
</w:p>
<w:p>
<w:pPr><w:pStyle w:val="Normal"/></w:pPr>
<w:r><w:t xml:space="preserve">being about 150 m. above the mouth of the latter river.</w:t></w:r>
</w:p>
<w:p>
<w:pPr><w:pStyle w:val="Normal"/></w:pPr>
<w:r><w:t xml:space="preserve">They cut a great area of very low-lying country into five</w:t></w:r>
</w:p>
<w:p>
<w:pPr><w:pStyle w:val="Normal"/></w:pPr>
<w:r><w:t xml:space="preserve">islands.  Farther down the Purfis to the right three smaller</w:t></w:r>
</w:p>
<w:p>
<w:pPr><w:pStyle w:val="Normal"/></w:pPr>
<w:r><w:t xml:space="preserve">furos also connect it with the Amazon. Chandless found its</w:t></w:r>
</w:p>
<w:p>
<w:pPr><w:pStyle w:val="Normal"/></w:pPr>
<w:r><w:t xml:space="preserve">elevation above sea-level to be only 107 ft. 590 m. from its</w:t></w:r>
</w:p>
<w:p>
<w:pPr><w:pStyle w:val="Normal"/></w:pPr>
<w:r><w:t xml:space="preserve">mouth.  It is one of the most crooked streams in the world,</w:t></w:r>
</w:p>
<w:p>
<w:pPr><w:pStyle w:val="Normal"/></w:pPr>
<w:r><w:t xml:space="preserve">and its length in a straight line is less than half that by its</w:t></w:r>
</w:p>
<w:p>
<w:pPr><w:pStyle w:val="Normal"/></w:pPr>
<w:r><w:t xml:space="preserve">curves.  It is practically only a drainage ditch for the</w:t></w:r>
</w:p>
<w:p>
<w:pPr><w:pStyle w:val="Normal"/></w:pPr>
<w:r><w:t xml:space="preserve">half-submerged, lake-flooded district it traverses.  Its</w:t></w:r>
</w:p>
<w:p>
<w:pPr><w:pStyle w:val="Normal"/></w:pPr>
<w:r><w:t xml:space="preserve">width is very uniform for 1000 m. up, and for 800 m. its</w:t></w:r>
</w:p>
<w:p>
<w:pPr><w:pStyle w:val="Normal"/></w:pPr>
<w:r><w:t xml:space="preserve">depth is never less than 45 ft.  It is navigable by steamers</w:t></w:r>
</w:p>
<w:p>
<w:pPr><w:pStyle w:val="Normal"/></w:pPr>
<w:r><w:t xml:space="preserve">for 1648 m. as far as the little stream, the Curumaha,</w:t></w:r>
</w:p>
<w:p>
<w:pPr><w:pStyle w:val="Normal"/></w:pPr>
<w:r><w:t xml:space="preserve">but only by light-draft craft. Chandless ascended it 1866</w:t></w:r>
</w:p>
<w:p>
<w:pPr><w:pStyle w:val="Normal"/></w:pPr>
<w:r><w:t xml:space="preserve">m.  At 1792 m. it forks into two small streams.  Occasionally</w:t></w:r>
</w:p>
<w:p>
<w:pPr><w:pStyle w:val="Normal"/></w:pPr>
<w:r><w:t xml:space="preserve">a cliff touches the river, but in general the lands are</w:t></w:r>
</w:p>
<w:p>
<w:pPr><w:pStyle w:val="Normal"/></w:pPr>
<w:r><w:t xml:space="preserve">subject to yearly inundations throughout its course, the</w:t></w:r>
</w:p>
<w:p>
<w:pPr><w:pStyle w:val="Normal"/></w:pPr>
<w:r><w:t xml:space="preserve">river rising at times above 50 ft., the numerous lakes</w:t></w:r>
</w:p>
<w:p>
<w:pPr><w:pStyle w:val="Normal"/></w:pPr>
<w:r><w:t xml:space="preserve">to the right and left serving as reservoirs.  Its main</w:t></w:r>
</w:p>
<w:p>
<w:pPr><w:pStyle w:val="Normal"/></w:pPr>
<w:r><w:t xml:space="preserve">tributary, the Aquiry or Acre, enters from the right about</w:t></w:r>
</w:p>
<w:p>
<w:pPr><w:pStyle w:val="Normal"/></w:pPr>
<w:r><w:t xml:space="preserve">1104 m. from the Amazon.  Its sources are near those of the</w:t></w:r>
</w:p>
<w:p>
<w:pPr><w:pStyle w:val="Normal"/></w:pPr>
<w:r><w:t xml:space="preserve">Mayutata.  It is navigable for a period of about five months</w:t></w:r>
</w:p>
<w:p>
<w:pPr><w:pStyle w:val="Normal"/></w:pPr>
<w:r><w:t xml:space="preserve">of the year, when the Purus valley is inundated; and,</w:t></w:r>
</w:p>
<w:p>
<w:pPr><w:pStyle w:val="Normal"/></w:pPr>
<w:r><w:t xml:space="preserve">for the remaining seven months, only canoes can ascend it</w:t></w:r>
</w:p>
<w:p>
<w:pPr><w:pStyle w:val="Normal"/></w:pPr>
<w:r><w:t xml:space="preserve">sufficiently high to communicate overland with the settlements</w:t></w:r>
</w:p>
<w:p>
<w:pPr><w:pStyle w:val="Normal"/></w:pPr>
<w:r><w:t xml:space="preserve">in the great india-rubber districts of the Mayutata and</w:t></w:r>
</w:p>
<w:p>
<w:pPr><w:pStyle w:val="Normal"/></w:pPr>
<w:r><w:t xml:space="preserve">lower Beni; thus these regions are forced to seek a canoe</w:t></w:r>
</w:p>
<w:p>
<w:pPr><w:pStyle w:val="Normal"/></w:pPr>
<w:r><w:t xml:space="preserve">outlet for their rich products by the very dangerous,</w:t></w:r>
</w:p>
<w:p>
<w:pPr><w:pStyle w:val="Normal"/></w:pPr>
<w:r><w:t xml:space="preserve">costly and laborious route of the falls of the Madeira.</w:t></w:r>
</w:p>
<w:p>
<w:pPr><w:pStyle w:val="Normal"/></w:pPr>
<w:r><w:t xml:space="preserve">The JURUA is the next great southern affluent of the</w:t></w:r>
</w:p>
<w:p>
<w:pPr><w:pStyle w:val="Normal"/></w:pPr>
<w:r><w:t xml:space="preserve">Amazon west of the Purus, sharing with this the bottom</w:t></w:r>
</w:p>
<w:p>
<w:pPr><w:pStyle w:val="Normal"/></w:pPr>
<w:r><w:t xml:space="preserve">of the immense inland Amazon depression, and having all</w:t></w:r>
</w:p>
<w:p>
<w:pPr><w:pStyle w:val="Normal"/></w:pPr>
<w:r><w:t xml:space="preserve">the characteristics of the Purus as regards curvature,</w:t></w:r>
</w:p>
<w:p>
<w:pPr><w:pStyle w:val="Normal"/></w:pPr>
<w:r><w:t xml:space="preserve">sluggishness and general features of the low, half-flooded</w:t></w:r>
</w:p>
<w:p>
<w:pPr><w:pStyle w:val="Normal"/></w:pPr>
<w:r><w:t xml:space="preserve">forest country it traverses.  It rises among the Ucayali</w:t></w:r>
</w:p>
<w:p>
<w:pPr><w:pStyle w:val="Normal"/></w:pPr>
<w:r><w:t xml:space="preserve">highlands, and is navigable and unobstructed for a</w:t></w:r>
</w:p>
<w:p>
<w:pPr><w:pStyle w:val="Normal"/></w:pPr>
<w:r><w:t xml:space="preserve">distance of 1133 m. above its junction with the Amazon.</w:t></w:r>
</w:p>
<w:p>
<w:pPr><w:pStyle w:val="Normal"/></w:pPr>
<w:r><w:t xml:space="preserve">The Javary, the boundary line between Brazil and Peru,</w:t></w:r>
</w:p>
<w:p>
<w:pPr><w:pStyle w:val="Normal"/></w:pPr>
<w:r><w:t xml:space="preserve">is another Amazon tributary of importance.  It is supposed</w:t></w:r>
</w:p>
<w:p>
<w:pPr><w:pStyle w:val="Normal"/></w:pPr>
<w:r><w:t xml:space="preserve">to be navigable by canoe for 900 m. above its mouth to</w:t></w:r>
</w:p>
<w:p>
<w:pPr><w:pStyle w:val="Normal"/></w:pPr>
<w:r><w:t xml:space="preserve">its sources among the Ucayali highlands, but only 260 have</w:t></w:r>
</w:p>
<w:p>
<w:pPr><w:pStyle w:val="Normal"/></w:pPr>
<w:r><w:t xml:space="preserve">been found suitable for steam navigation.  The Brazilian</w:t></w:r>
</w:p>
<w:p>
<w:pPr><w:pStyle w:val="Normal"/></w:pPr>
<w:r><w:t xml:space="preserve">Boundary Commission  ascended it in 1866 to the junction</w:t></w:r>
</w:p>
<w:p>
<w:pPr><w:pStyle w:val="Normal"/></w:pPr>
<w:r><w:t xml:space="preserve">of the Shino with its Jaquirana branch.  The country</w:t></w:r>
</w:p>
<w:p>
<w:pPr><w:pStyle w:val="Normal"/></w:pPr>
<w:r><w:t xml:space="preserve">it traverses in its extremely sinuous course is very</w:t></w:r>
</w:p>
<w:p>
<w:pPr><w:pStyle w:val="Normal"/></w:pPr>
<w:r><w:t xml:space="preserve">level, similar in character to that of the Jurua, and is</w:t></w:r>
</w:p>
<w:p>
<w:pPr><w:pStyle w:val="Normal"/></w:pPr>
<w:r><w:t xml:space="preserve">a fostered wilderness occupied by a few savage hordes.</w:t></w:r>
</w:p>
<w:p>
<w:pPr><w:pStyle w:val="Normal"/></w:pPr>
<w:r><w:t xml:space="preserve">The UCAYALI, which rises only about 70 m. north of Lake</w:t></w:r>
</w:p>
<w:p>
<w:pPr><w:pStyle w:val="Normal"/></w:pPr>
<w:r><w:t xml:space="preserve">Titicaca, is the most interesting branch of the Amazon next</w:t></w:r>
</w:p>
<w:p>
<w:pPr><w:pStyle w:val="Normal"/></w:pPr>
<w:r><w:t xml:space="preserve">to the Madeira.  The Ucayali was first called the San Miguel,</w:t></w:r>
</w:p>
<w:p>
<w:pPr><w:pStyle w:val="Normal"/></w:pPr>
<w:r><w:t xml:space="preserve">then the Ucayali, Ucayare, Poro, Apu-Poro, Cocama and Rio de</w:t></w:r>
</w:p>
<w:p>
<w:pPr><w:pStyle w:val="Normal"/></w:pPr>
<w:r><w:t xml:space="preserve">Cuzco.  Peru has fitted out many costly and ably-conducted</w:t></w:r>
</w:p>
<w:p>
<w:pPr><w:pStyle w:val="Normal"/></w:pPr>
<w:r><w:t xml:space="preserve">expeditions to explore it.  One of them (1867) claimed to</w:t></w:r>
</w:p>
<w:p>
<w:pPr><w:pStyle w:val="Normal"/></w:pPr>
<w:r><w:t xml:space="preserve">have reached within 240 m. of Lima, and the little steamer</w:t></w:r>
</w:p>
<w:p>
<w:pPr><w:pStyle w:val="Normal"/></w:pPr>
<w:r><w:t xml:space="preserve">``Napo&apos;&apos; forced its way up the violent currents for 77 m.</w:t></w:r>
</w:p>
<w:p>
<w:pPr><w:pStyle w:val="Normal"/></w:pPr>
<w:r><w:t xml:space="preserve">above the junction with the Pachitea river as far as the river</w:t></w:r>
</w:p>
<w:p>
<w:pPr><w:pStyle w:val="Normal"/></w:pPr>
<w:r><w:t xml:space="preserve">Tambo, 770 m. from the confluence of the Ucayali with the</w:t></w:r>
</w:p>
<w:p>
<w:pPr><w:pStyle w:val="Normal"/></w:pPr>
<w:r><w:t xml:space="preserve">Amazon.  The ``Napo&apos;&apos; then succeeded in ascending the</w:t></w:r>
</w:p>
<w:p>
<w:pPr><w:pStyle w:val="Normal"/></w:pPr>
<w:r><w:t xml:space="preserve">Urubamba branch of the Ucayali 35 m. above its union with the</w:t></w:r>
</w:p>
<w:p>
<w:pPr><w:pStyle w:val="Normal"/></w:pPr>
<w:r><w:t xml:space="preserve">Tambo, to a point 200 m. north of Cuzco.  The remainder of</w:t></w:r>
</w:p>
<w:p>
<w:pPr><w:pStyle w:val="Normal"/></w:pPr>
<w:r><w:t xml:space="preserve">the Urubamba, as shown by Bosquet in 1806 and Castelnau in</w:t></w:r>
</w:p>
<w:p>
<w:pPr><w:pStyle w:val="Normal"/></w:pPr>
<w:r><w:t xml:space="preserve">1846, is interrupted by cascades, reefs and numberless other</w:t></w:r>
</w:p>
<w:p>
<w:pPr><w:pStyle w:val="Normal"/></w:pPr>
<w:r><w:t xml:space="preserve">obstacles to navigation. Senor Torres, who explored the</w:t></w:r>
</w:p>
<w:p>
<w:pPr><w:pStyle w:val="Normal"/></w:pPr>
<w:r><w:t xml:space="preserve">Alto Ucayali for the Peruvian government, gives it a length</w:t></w:r>
</w:p>
<w:p>
<w:pPr><w:pStyle w:val="Normal"/></w:pPr>
<w:r><w:t xml:space="preserve">of 186 m., counting from the mouth of the Pachitea to the</w:t></w:r>
</w:p>
<w:p>
<w:pPr><w:pStyle w:val="Normal"/></w:pPr>
<w:r><w:t xml:space="preserve">junction of the Tambo and Urubamba.  Its width varies from</w:t></w:r>
</w:p>
<w:p>
<w:pPr><w:pStyle w:val="Normal"/></w:pPr>
<w:r><w:t xml:space="preserve">1300 to 4000 ft., due to the great number of islands.  The</w:t></w:r>
</w:p>
<w:p>
<w:pPr><w:pStyle w:val="Normal"/></w:pPr>
<w:r><w:t xml:space="preserve">current runs from 3 to 4 m. an hour, and a channel from 60</w:t></w:r>
</w:p>
<w:p>
<w:pPr><w:pStyle w:val="Normal"/></w:pPr>
<w:r><w:t xml:space="preserve">to 150 ft. wide can always be found with a minimum depth of 5</w:t></w:r>
</w:p>
<w:p>
<w:pPr><w:pStyle w:val="Normal"/></w:pPr>
<w:r><w:t xml:space="preserve">ft.  There are five bad passes, due to the accumulation of</w:t></w:r>
</w:p>
<w:p>
<w:pPr><w:pStyle w:val="Normal"/></w:pPr>
<w:r><w:t xml:space="preserve">trees and rafts of timber.  Sometimes enormous rocks have</w:t></w:r>
</w:p>
<w:p>
<w:pPr><w:pStyle w:val="Normal"/></w:pPr>
<w:r><w:t xml:space="preserve">fallen from the mountains and spread over the river-bed causing</w:t></w:r>
</w:p>
<w:p>
<w:pPr><w:pStyle w:val="Normal"/></w:pPr>
<w:r><w:t xml:space="preserve">huge whirlpools. ``No greater difficulties present themselves</w:t></w:r>
</w:p>
<w:p>
<w:pPr><w:pStyle w:val="Normal"/></w:pPr>
<w:r><w:t xml:space="preserve">to navigation by 10-knot steamers drawing 4 ft. of water.&apos;&apos;</w:t></w:r>
</w:p>
<w:p>
<w:pPr><w:pStyle w:val="Normal"/></w:pPr>
<w:r><w:t xml:space="preserve">The TAMBO, which rises in the Vilcanota knot of mountains</w:t></w:r>
</w:p>
<w:p>
<w:pPr><w:pStyle w:val="Normal"/></w:pPr>
<w:r><w:t xml:space="preserve">south of Cuzco, is a torrential stream valueless for commercial</w:t></w:r>
</w:p>
<w:p>
<w:pPr><w:pStyle w:val="Normal"/></w:pPr>
<w:r><w:t xml:space="preserve">purposes.  The banks of the Ucayali for 500 m. up are</w:t></w:r>
</w:p>
<w:p>
<w:pPr><w:pStyle w:val="Normal"/></w:pPr>
<w:r><w:t xml:space="preserve">low, and in the rainy season extensively inundated.</w:t></w:r>
</w:p>
<w:p>
<w:pPr><w:pStyle w:val="Normal"/></w:pPr>
<w:r><w:t xml:space="preserve">The HUALLAGA (also known as the Guallaga and Rio de los</w:t></w:r>
</w:p>
<w:p>
<w:pPr><w:pStyle w:val="Normal"/></w:pPr>
<w:r><w:t xml:space="preserve">Motilones), which joins the Amazon to the west of the</w:t></w:r>
</w:p>
<w:p>
<w:pPr><w:pStyle w:val="Normal"/></w:pPr>
<w:r><w:t xml:space="preserve">Ucayali, rises high among the mountains, in about 10 deg.  40&apos;</w:t></w:r>
</w:p>
<w:p>
<w:pPr><w:pStyle w:val="Normal"/></w:pPr>
<w:r><w:t xml:space="preserve">S. lat., on the northern slopes of the celebrated Cerro de</w:t></w:r>
</w:p>
<w:p>
<w:pPr><w:pStyle w:val="Normal"/></w:pPr>
<w:r><w:t xml:space="preserve">Pasco.  For nearly its entire length it is an impetuous</w:t></w:r>
</w:p>
<w:p>
<w:pPr><w:pStyle w:val="Normal"/></w:pPr>
<w:r><w:t xml:space="preserve">torrent running through a succession of gorges.  It has</w:t></w:r>
</w:p>
<w:p>
<w:pPr><w:pStyle w:val="Normal"/></w:pPr>
<w:r><w:t xml:space="preserve">forty-two rapids, its last obstruction being the Pongo de</w:t></w:r>
</w:p>
<w:p>
<w:pPr><w:pStyle w:val="Normal"/></w:pPr>
<w:r><w:t xml:space="preserve">Aguirre, so called from the traitor Aguirre who passed</w:t></w:r>
</w:p>
<w:p>
<w:pPr><w:pStyle w:val="Normal"/></w:pPr>
<w:r><w:t xml:space="preserve">there.  To this point, 140 m. from the Amazon, the Huallaga</w:t></w:r>
</w:p>
<w:p>
<w:pPr><w:pStyle w:val="Normal"/></w:pPr>
<w:r><w:t xml:space="preserve">can be ascended by large river steamers.  Between the Huallaga</w:t></w:r>
</w:p>
<w:p>
<w:pPr><w:pStyle w:val="Normal"/></w:pPr>
<w:r><w:t xml:space="preserve">and the Ucayali lies the famous ``Pampa del Sacramento,&apos;&apos;</w:t></w:r>
</w:p>
<w:p>
<w:pPr><w:pStyle w:val="Normal"/></w:pPr>
<w:r><w:t xml:space="preserve">a level region of stoneless alluvial lands covered with</w:t></w:r>
</w:p>
<w:p>
<w:pPr><w:pStyle w:val="Normal"/></w:pPr>
<w:r><w:t xml:space="preserve">thick, dark forests, first entered by the missionaries in</w:t></w:r>
</w:p>
<w:p>
<w:pPr><w:pStyle w:val="Normal"/></w:pPr>
<w:r><w:t xml:space="preserve">1726. It is about 300 m. long, from north to south, and</w:t></w:r>
</w:p>
<w:p>
<w:pPr><w:pStyle w:val="Normal"/></w:pPr>
<w:r><w:t xml:space="preserve">varies in width from 40 to 100 m.  Many streams, navigable</w:t></w:r>
</w:p>
<w:p>
<w:pPr><w:pStyle w:val="Normal"/></w:pPr>
<w:r><w:t xml:space="preserve">for canoes, penetrate this region from the Ucayali and the</w:t></w:r>
</w:p>
<w:p>
<w:pPr><w:pStyle w:val="Normal"/></w:pPr>
<w:r><w:t xml:space="preserve">Huallaga.  It is still occupied by savage tribes.</w:t></w:r>
</w:p>
<w:p>
<w:pPr><w:pStyle w:val="Normal"/></w:pPr>
<w:r><w:t xml:space="preserve">The river MARANON rises about 100 m. to the north-east of</w:t></w:r>
</w:p>
<w:p>
<w:pPr><w:pStyle w:val="Normal"/></w:pPr>
<w:r><w:t xml:space="preserve">Lima.  It flows through a deeply-eroded Andean valley in</w:t></w:r>
</w:p>
<w:p>
<w:pPr><w:pStyle w:val="Normal"/></w:pPr>
<w:r><w:t xml:space="preserve">a north-west direction, along the eastern base of the</w:t></w:r>
</w:p>
<w:p>
<w:pPr><w:pStyle w:val="Normal"/></w:pPr>
<w:r><w:t xml:space="preserve">Cordillera of the Andes, as far as 5 deg.  36&apos; S. lat.; then it</w:t></w:r>
</w:p>
<w:p>
<w:pPr><w:pStyle w:val="Normal"/></w:pPr>
<w:r><w:t xml:space="preserve">makes a great bend to the north-east, and with irresistible</w:t></w:r>
</w:p>
<w:p>
<w:pPr><w:pStyle w:val="Normal"/></w:pPr>
<w:r><w:t xml:space="preserve">power cuts through the inland Andes, until at the Pongo de</w:t></w:r>
</w:p>
<w:p>
<w:pPr><w:pStyle w:val="Normal"/></w:pPr>
<w:r><w:t xml:space="preserve">Manseriche2 it victoriously breaks away from the mountains</w:t></w:r>
</w:p>
<w:p>
<w:pPr><w:pStyle w:val="Normal"/></w:pPr>
<w:r><w:t xml:space="preserve">to flow onwards through the plains under the name of the</w:t></w:r>
</w:p>
<w:p>
<w:pPr><w:pStyle w:val="Normal"/></w:pPr>
<w:r><w:t xml:space="preserve">Amazon.  Barred by reefs, and full of rapids and impetuous</w:t></w:r>
</w:p>
<w:p>
<w:pPr><w:pStyle w:val="Normal"/></w:pPr>
<w:r><w:t xml:space="preserve">currents, it cannot become a commercial avenue.  At the point</w:t></w:r>
</w:p>
<w:p>
<w:pPr><w:pStyle w:val="Normal"/></w:pPr>
<w:r><w:t xml:space="preserve">where it makes its great bend the river Chinchipe pours into</w:t></w:r>
</w:p>
<w:p>
<w:pPr><w:pStyle w:val="Normal"/></w:pPr>
<w:r><w:t xml:space="preserve">it from southern Ecuador.  Just below this the mountains</w:t></w:r>
</w:p>
<w:p>
<w:pPr><w:pStyle w:val="Normal"/></w:pPr>
<w:r><w:t xml:space="preserve">close in on either side of the Marapon, forming narrows</w:t></w:r>
</w:p>
<w:p>
<w:pPr><w:pStyle w:val="Normal"/></w:pPr>
<w:r><w:t xml:space="preserve">or pongos for a length of 35 m., where, besides numerous</w:t></w:r>
</w:p>
<w:p>
<w:pPr><w:pStyle w:val="Normal"/></w:pPr>
<w:r><w:t xml:space="preserve">whirlpools, there are no less than thirty-five formidable</w:t></w:r>
</w:p>
<w:p>
<w:pPr><w:pStyle w:val="Normal"/></w:pPr>
<w:r><w:t xml:space="preserve">rapids, the series concluding with three cataracts just</w:t></w:r>
</w:p>
<w:p>
<w:pPr><w:pStyle w:val="Normal"/></w:pPr>
<w:r><w:t xml:space="preserve">before reaching the river Imasa or Chunchunga, near the</w:t></w:r>
</w:p>
<w:p>
<w:pPr><w:pStyle w:val="Normal"/></w:pPr>
<w:r><w:t xml:space="preserve">mouth of which La Condamine embarked in the 18th century to</w:t></w:r>
</w:p>
<w:p>
<w:pPr><w:pStyle w:val="Normal"/></w:pPr>
<w:r><w:t xml:space="preserve">descend the Amazon.  Here the general level of the country</w:t></w:r>
</w:p>
<w:p>
<w:pPr><w:pStyle w:val="Normal"/></w:pPr>
<w:r><w:t xml:space="preserve">begins to decrease in elevation, with only a few mountain</w:t></w:r>
</w:p>
<w:p>
<w:pPr><w:pStyle w:val="Normal"/></w:pPr>
<w:r><w:t xml:space="preserve">spurs, which from time to time push as far as the river</w:t></w:r>
</w:p>
<w:p>
<w:pPr><w:pStyle w:val="Normal"/></w:pPr>
<w:r><w:t xml:space="preserve">and form pongos of minor importance and less dangerous to</w:t></w:r>
</w:p>
<w:p>
<w:pPr><w:pStyle w:val="Normal"/></w:pPr>
<w:r><w:t xml:space="preserve">descend.  Finally, after passing the narrows of Guaracayo,</w:t></w:r>
</w:p>
<w:p>
<w:pPr><w:pStyle w:val="Normal"/></w:pPr>
<w:r><w:t xml:space="preserve">the cerros gradually disappear, and for a distance of about</w:t></w:r>
</w:p>
<w:p>
<w:pPr><w:pStyle w:val="Normal"/></w:pPr>
<w:r><w:t xml:space="preserve">20 m. the river is full of islands, and there is nothing</w:t></w:r>
</w:p>
<w:p>
<w:pPr><w:pStyle w:val="Normal"/></w:pPr>
<w:r><w:t xml:space="preserve">visible from its low banks but an immense forest-covered</w:t></w:r>
</w:p>
<w:p>
<w:pPr><w:pStyle w:val="Normal"/></w:pPr>
<w:r><w:t xml:space="preserve">plain.  But the last barrier has yet to be passed, the Pongo</w:t></w:r>
</w:p>
<w:p>
<w:pPr><w:pStyle w:val="Normal"/></w:pPr>
<w:r><w:t xml:space="preserve">de Manseriche, 3 m. long, just below the mouth of the Rio</w:t></w:r>
</w:p>
<w:p>
<w:pPr><w:pStyle w:val="Normal"/></w:pPr>
<w:r><w:t xml:space="preserve">Santiago, and between it and the old abandoned missionary</w:t></w:r>
</w:p>
<w:p>
<w:pPr><w:pStyle w:val="Normal"/></w:pPr>
<w:r><w:t xml:space="preserve">station of Borja, in 38 deg.  30&apos; S. lat. and 77 deg.  30&apos; 40&apos;&apos; W.</w:t></w:r>
</w:p>
<w:p>
<w:pPr><w:pStyle w:val="Normal"/></w:pPr>
<w:r><w:t xml:space="preserve">long. According to Captain Carbajal, who descended it in</w:t></w:r>
</w:p>
<w:p>
<w:pPr><w:pStyle w:val="Normal"/></w:pPr>
<w:r><w:t xml:space="preserve">the little steamer ``Napo,&apos; in 1868, it is a vast rent in</w:t></w:r>
</w:p>
<w:p>
<w:pPr><w:pStyle w:val="Normal"/></w:pPr>
<w:r><w:t xml:space="preserve">the Andes about 2000 ft. deep, narrowing in places to a</w:t></w:r>
</w:p>
<w:p>
<w:pPr><w:pStyle w:val="Normal"/></w:pPr>
<w:r><w:t xml:space="preserve">width of only 100 ft., the precipices ``seeming to close in</w:t></w:r>
</w:p>
<w:p>
<w:pPr><w:pStyle w:val="Normal"/></w:pPr>
<w:r><w:t xml:space="preserve">at the top.&apos;&apos; Through this dark canon the Maranon leaps</w:t></w:r>
</w:p>
<w:p>
<w:pPr><w:pStyle w:val="Normal"/></w:pPr>
<w:r><w:t xml:space="preserve">along, at times, at the rate of 12 m. an hour3.  The Pongo</w:t></w:r>
</w:p>
<w:p>
<w:pPr><w:pStyle w:val="Normal"/></w:pPr>
<w:r><w:t xml:space="preserve">de Manseriche was first discovered by the Adelantado Joan de</w:t></w:r>
</w:p>
<w:p>
<w:pPr><w:pStyle w:val="Normal"/></w:pPr>
<w:r><w:t xml:space="preserve">Salinas.  He fitted out an expedition at Loxa in Ecuador,</w:t></w:r>
</w:p>
<w:p>
<w:pPr><w:pStyle w:val="Normal"/></w:pPr>
<w:r><w:t xml:space="preserve">descended the Rio Santiago to the Maranon, passed through</w:t></w:r>
</w:p>
<w:p>
<w:pPr><w:pStyle w:val="Normal"/></w:pPr>
<w:r><w:t xml:space="preserve">the perilous Pongo in 1557 and invaded the country of the</w:t></w:r>
</w:p>
<w:p>
<w:pPr><w:pStyle w:val="Normal"/></w:pPr>
<w:r><w:t xml:space="preserve">Maynas Indians.  Later, the missionaries of Cuenca and Quito</w:t></w:r>
</w:p>
<w:p>
<w:pPr><w:pStyle w:val="Normal"/></w:pPr>
<w:r><w:t xml:space="preserve">established many missions in the Pais de los Maynas, and</w:t></w:r>
</w:p>
<w:p>
<w:pPr><w:pStyle w:val="Normal"/></w:pPr>
<w:r><w:t xml:space="preserve">made extensive use of the Pongo de Manseriche as an avenue</w:t></w:r>
</w:p>
<w:p>
<w:pPr><w:pStyle w:val="Normal"/></w:pPr>
<w:r><w:t xml:space="preserve">of communication with their several convents on the Andean</w:t></w:r>
</w:p>
<w:p>
<w:pPr><w:pStyle w:val="Normal"/></w:pPr>
<w:r><w:t xml:space="preserve">plateau.  According to their accounts, the huge rent in the</w:t></w:r>
</w:p>
<w:p>
<w:pPr><w:pStyle w:val="Normal"/></w:pPr>
<w:r><w:t xml:space="preserve">Andes, the Pongo, is about five or six m. long, and in places</w:t></w:r>
</w:p>
<w:p>
<w:pPr><w:pStyle w:val="Normal"/></w:pPr>
<w:r><w:t xml:space="preserve">not more than 80 ft. wide, and is a frightful series of torrents</w:t></w:r>
</w:p>
<w:p>
<w:pPr><w:pStyle w:val="Normal"/></w:pPr>
<w:r><w:t xml:space="preserve">and whirlpools interspersed with rocks.  There is an ancient</w:t></w:r>
</w:p>
<w:p>
<w:pPr><w:pStyle w:val="Normal"/></w:pPr>
<w:r><w:t xml:space="preserve">tradition of the savages of the vicinity that one of their</w:t></w:r>
</w:p>
<w:p>
<w:pPr><w:pStyle w:val="Normal"/></w:pPr>
<w:r><w:t xml:space="preserve">gods descending the Maranon and another ascending the Amazon</w:t></w:r>
</w:p>
<w:p>
<w:pPr><w:pStyle w:val="Normal"/></w:pPr>
<w:r><w:t xml:space="preserve">to communicate with him, they opened the pass called the</w:t></w:r>
</w:p>
<w:p>
<w:pPr><w:pStyle w:val="Normal"/></w:pPr>
<w:r><w:t xml:space="preserve">Pongo de Manseriche. From the northern slope of its basin the</w:t></w:r>
</w:p>
<w:p>
<w:pPr><w:pStyle w:val="Normal"/></w:pPr>
<w:r><w:t xml:space="preserve">Amazon receives many tributaries, but their combined volume</w:t></w:r>
</w:p>
<w:p>
<w:pPr><w:pStyle w:val="Normal"/></w:pPr>
<w:r><w:t xml:space="preserve">of water is not nearly so great as that contributed to the</w:t></w:r>
</w:p>
<w:p>
<w:pPr><w:pStyle w:val="Normal"/></w:pPr>
<w:r><w:t xml:space="preserve">parent stream by its affluents from the south.  That part of</w:t></w:r>
</w:p>
<w:p>
<w:pPr><w:pStyle w:val="Normal"/></w:pPr>
<w:r><w:t xml:space="preserve">Brazil lying between the Amazon and French, Dutch and British</w:t></w:r>
</w:p>
<w:p>
<w:pPr><w:pStyle w:val="Normal"/></w:pPr>
<w:r><w:t xml:space="preserve">Guiana, and bounded on the west by the Rio Negro, is known</w:t></w:r>
</w:p>
<w:p>
<w:pPr><w:pStyle w:val="Normal"/></w:pPr>
<w:r><w:t xml:space="preserve">as Brazilian Guiana.  It is the southern watershed of a</w:t></w:r>
</w:p>
<w:p>
<w:pPr><w:pStyle w:val="Normal"/></w:pPr>
<w:r><w:t xml:space="preserve">tortuous, low chain of mountains running, roughly, east and</w:t></w:r>
</w:p>
<w:p>
<w:pPr><w:pStyle w:val="Normal"/></w:pPr>
<w:r><w:t xml:space="preserve">west.  Their northern slope, which is occupied by the three</w:t></w:r>
</w:p>
<w:p>
<w:pPr><w:pStyle w:val="Normal"/></w:pPr>
<w:r><w:t xml:space="preserve">Guianas first named, is saturated and river-torn; but their</w:t></w:r>
</w:p>
<w:p>
<w:pPr><w:pStyle w:val="Normal"/></w:pPr>
<w:r><w:t xml:space="preserve">southern one, Brazilian Guiana, is in general thirsty and</w:t></w:r>
</w:p>
<w:p>
<w:pPr><w:pStyle w:val="Normal"/></w:pPr>
<w:r><w:t xml:space="preserve">semi-barren, and the driest region of the Amazon valley.</w:t></w:r>
</w:p>
<w:p>
<w:pPr><w:pStyle w:val="Normal"/></w:pPr>
<w:r><w:t xml:space="preserve">It is an area which has been left almost in the undisturbed</w:t></w:r>
</w:p>
<w:p>
<w:pPr><w:pStyle w:val="Normal"/></w:pPr>
<w:r><w:t xml:space="preserve">possession of nomadic Indian tribes, whose scanty numbers find</w:t></w:r>
</w:p>
<w:p>
<w:pPr><w:pStyle w:val="Normal"/></w:pPr>
<w:r><w:t xml:space="preserve">it difficult to solve the food problem.  From the divortium</w:t></w:r>
</w:p>
<w:p>
<w:pPr><w:pStyle w:val="Normal"/></w:pPr>
<w:r><w:t xml:space="preserve">aquarum between French Guiana and Brazil, known as the</w:t></w:r>
</w:p>
<w:p>
<w:pPr><w:pStyle w:val="Normal"/></w:pPr>
<w:r><w:t xml:space="preserve">Tumuc-humac range of highlands, two minor streams, the Yary</w:t></w:r>
</w:p>
<w:p>
<w:pPr><w:pStyle w:val="Normal"/></w:pPr>
<w:r><w:t xml:space="preserve">and the Parou, reach the Amazon across the intervening broken</w:t></w:r>
</w:p>
<w:p>
<w:pPr><w:pStyle w:val="Normal"/></w:pPr>
<w:r><w:t xml:space="preserve">and barren tableland.  They are full of rapids and reefs.</w:t></w:r>
</w:p>
<w:p>
<w:pPr><w:pStyle w:val="Normal"/></w:pPr>
<w:r><w:t xml:space="preserve">The TROMBETAS is the first river of importance we meet on</w:t></w:r>
</w:p>
<w:p>
<w:pPr><w:pStyle w:val="Normal"/></w:pPr>
<w:r><w:t xml:space="preserve">the northern side as we ascend the Amazon.  Its confluence</w:t></w:r>
</w:p>
<w:p>
<w:pPr><w:pStyle w:val="Normal"/></w:pPr>
<w:r><w:t xml:space="preserve">with this is just above the town of Obidos.  It has its</w:t></w:r>
</w:p>
<w:p>
<w:pPr><w:pStyle w:val="Normal"/></w:pPr>
<w:r><w:t xml:space="preserve">sources in the Guiana highlands, but its long course</w:t></w:r>
</w:p>
<w:p>
<w:pPr><w:pStyle w:val="Normal"/></w:pPr>
<w:r><w:t xml:space="preserve">is frequently interrupted by violent currents, rocky</w:t></w:r>
</w:p>
<w:p>
<w:pPr><w:pStyle w:val="Normal"/></w:pPr>
<w:r><w:t xml:space="preserve">barriers, and rapids.  The inferior zone of the river,</w:t></w:r>
</w:p>
<w:p>
<w:pPr><w:pStyle w:val="Normal"/></w:pPr>
<w:r><w:t xml:space="preserve">as far up as the first fall, the Porteira, has but little</w:t></w:r>
</w:p>
<w:p>
<w:pPr><w:pStyle w:val="Normal"/></w:pPr>
<w:r><w:t xml:space="preserve">broken water and is low and swampy; but above the long</w:t></w:r>
</w:p>
<w:p>
<w:pPr><w:pStyle w:val="Normal"/></w:pPr>
<w:r><w:t xml:space="preserve">series of cataracts and rapids the character and aspect</w:t></w:r>
</w:p>
<w:p>
<w:pPr><w:pStyle w:val="Normal"/></w:pPr>
<w:r><w:t xml:space="preserve">of the valley completely change, and the climate is much</w:t></w:r>
</w:p>
<w:p>
<w:pPr><w:pStyle w:val="Normal"/></w:pPr>
<w:r><w:t xml:space="preserve">better.  The river is navigable for 135 m. above its mouth.</w:t></w:r>
</w:p>
<w:p>
<w:pPr><w:pStyle w:val="Normal"/></w:pPr>
<w:r><w:t xml:space="preserve">The NEGRO, the great northern tributary of the Amazon,</w:t></w:r>
</w:p>
<w:p>
<w:pPr><w:pStyle w:val="Normal"/></w:pPr>
<w:r><w:t xml:space="preserve">has its sources along the watershed between the Orinoco</w:t></w:r>
</w:p>
<w:p>
<w:pPr><w:pStyle w:val="Normal"/></w:pPr>
<w:r><w:t xml:space="preserve">and the Amazon basins, and also connects with the Orinoco</w:t></w:r>
</w:p>
<w:p>
<w:pPr><w:pStyle w:val="Normal"/></w:pPr>
<w:r><w:t xml:space="preserve">by way of the Casiquiare canal.  Its main affluent is the</w:t></w:r>
</w:p>
<w:p>
<w:pPr><w:pStyle w:val="Normal"/></w:pPr>
<w:r><w:t xml:space="preserve">Uaupes, which disputes with the headwaters of the Guaviari</w:t></w:r>
</w:p>
<w:p>
<w:pPr><w:pStyle w:val="Normal"/></w:pPr>
<w:r><w:t xml:space="preserve">branch of the Orinoco the drainage of the eastern slope of</w:t></w:r>
</w:p>
<w:p>
<w:pPr><w:pStyle w:val="Normal"/></w:pPr>
<w:r><w:t xml:space="preserve">the ``Oriental&apos;, Andes of Colombia.  The Negro is navigable</w:t></w:r>
</w:p>
<w:p>
<w:pPr><w:pStyle w:val="Normal"/></w:pPr>
<w:r><w:t xml:space="preserve">for 450 m. above its mouth for 4 ft. of water in the dry</w:t></w:r>
</w:p>
<w:p>
<w:pPr><w:pStyle w:val="Normal"/></w:pPr>
<w:r><w:t xml:space="preserve">season, but it has many sandbanks and minor difficulties.</w:t></w:r>
</w:p>
<w:p>
<w:pPr><w:pStyle w:val="Normal"/></w:pPr>
<w:r><w:t xml:space="preserve">In the wet season, it overflows the country far and wide,</w:t></w:r>
</w:p>
<w:p>
<w:pPr><w:pStyle w:val="Normal"/></w:pPr>
<w:r><w:t xml:space="preserve">sometimes to a breadth of 20 m., for long distances, and</w:t></w:r>
</w:p>
<w:p>
<w:pPr><w:pStyle w:val="Normal"/></w:pPr>
<w:r><w:t xml:space="preserve">for 400 m. up, as far as Santa Isabella, is a succession of</w:t></w:r>
</w:p>
<w:p>
<w:pPr><w:pStyle w:val="Normal"/></w:pPr>
<w:r><w:t xml:space="preserve">lagoons, full of long islands and intricate channels, and the</w:t></w:r>
</w:p>
<w:p>
<w:pPr><w:pStyle w:val="Normal"/></w:pPr>
<w:r><w:t xml:space="preserve">slope of the country is so gentle that the river has almost no</w:t></w:r>
</w:p>
<w:p>
<w:pPr><w:pStyle w:val="Normal"/></w:pPr>
<w:r><w:t xml:space="preserve">current.  But just before reaching the Uaupes there is a long</w:t></w:r>
</w:p>
<w:p>
<w:pPr><w:pStyle w:val="Normal"/></w:pPr>
<w:r><w:t xml:space="preserve">series of reefs, over which it violently flows in cataracts,</w:t></w:r>
</w:p>
<w:p>
<w:pPr><w:pStyle w:val="Normal"/></w:pPr>
<w:r><w:t xml:space="preserve">rapids and whirlpools.  The Uaupes is full of similar</w:t></w:r>
</w:p>
<w:p>
<w:pPr><w:pStyle w:val="Normal"/></w:pPr>
<w:r><w:t xml:space="preserve">obstacles, some fifty rapids barring its navigation, although</w:t></w:r>
</w:p>
<w:p>
<w:pPr><w:pStyle w:val="Normal"/></w:pPr>
<w:r><w:t xml:space="preserve">a long stretch of its upper course is said to be free from</w:t></w:r>
</w:p>
<w:p>
<w:pPr><w:pStyle w:val="Normal"/></w:pPr>
<w:r><w:t xml:space="preserve">them, and to flow gently through a forested country.  Despite</w:t></w:r>
</w:p>
<w:p>
<w:pPr><w:pStyle w:val="Normal"/></w:pPr>
<w:r><w:t xml:space="preserve">the impediments, canoes ascend this stream to the Andes.</w:t></w:r>
</w:p>
<w:p>
<w:pPr><w:pStyle w:val="Normal"/></w:pPr>
<w:r><w:t xml:space="preserve">The Branco is the principal affluent of the Negro from the</w:t></w:r>
</w:p>
<w:p>
<w:pPr><w:pStyle w:val="Normal"/></w:pPr>
<w:r><w:t xml:space="preserve">north; it is enriched by many streams from the sierras</w:t></w:r>
</w:p>
<w:p>
<w:pPr><w:pStyle w:val="Normal"/></w:pPr>
<w:r><w:t xml:space="preserve">which separate Venezuela and British Guiana from Brazil.</w:t></w:r>
</w:p>
<w:p>
<w:pPr><w:pStyle w:val="Normal"/></w:pPr>
<w:r><w:t xml:space="preserve">Its two upper main tributaries are the Urariquira and the</w:t></w:r>
</w:p>
<w:p>
<w:pPr><w:pStyle w:val="Normal"/></w:pPr>
<w:r><w:t xml:space="preserve">Takutu.  The latter almost links its sources with those of the</w:t></w:r>
</w:p>
<w:p>
<w:pPr><w:pStyle w:val="Normal"/></w:pPr>
<w:r><w:t xml:space="preserve">Essequibo.  The Branco flows nearly south, and finds its way</w:t></w:r>
</w:p>
<w:p>
<w:pPr><w:pStyle w:val="Normal"/></w:pPr>
<w:r><w:t xml:space="preserve">into the Negro through several channels and a chain of lagoons</w:t></w:r>
</w:p>
<w:p>
<w:pPr><w:pStyle w:val="Normal"/></w:pPr>
<w:r><w:t xml:space="preserve">similar to those of the latter river. It is 350 m. long, up to</w:t></w:r>
</w:p>
<w:p>
<w:pPr><w:pStyle w:val="Normal"/></w:pPr>
<w:r><w:t xml:space="preserve">its Urariquira confluence.  It has numerous islands, and, 235</w:t></w:r>
</w:p>
<w:p>
<w:pPr><w:pStyle w:val="Normal"/></w:pPr>
<w:r><w:t xml:space="preserve">m. above its mouth, it is broken by a bad series of rapids.</w:t></w:r>
</w:p>
<w:p>
<w:pPr><w:pStyle w:val="Normal"/></w:pPr>
<w:r><w:t xml:space="preserve">CASIQUIARE CANAL.  In 1744 the Jesuit Father Roman, while</w:t></w:r>
</w:p>
<w:p>
<w:pPr><w:pStyle w:val="Normal"/></w:pPr>
<w:r><w:t xml:space="preserve">ascending the Orinoco river, met some Portuguese slave-traders</w:t></w:r>
</w:p>
<w:p>
<w:pPr><w:pStyle w:val="Normal"/></w:pPr>
<w:r><w:t xml:space="preserve">from the settlements on the Rio Negro.  He accompanied</w:t></w:r>
</w:p>
<w:p>
<w:pPr><w:pStyle w:val="Normal"/></w:pPr>
<w:r><w:t xml:space="preserve">them on their return, by way of the Casiquiare canal, and</w:t></w:r>
</w:p>
<w:p>
<w:pPr><w:pStyle w:val="Normal"/></w:pPr>
<w:r><w:t xml:space="preserve">afterwards retraced his route to the Orinoco.  La Condamine,</w:t></w:r>
</w:p>
<w:p>
<w:pPr><w:pStyle w:val="Normal"/></w:pPr>
<w:r><w:t xml:space="preserve">seven months later, was able to give to the French Academy</w:t></w:r>
</w:p>
<w:p>
<w:pPr><w:pStyle w:val="Normal"/></w:pPr>
<w:r><w:t xml:space="preserve">an account of Father Roman&apos;s extraordinary voyage, and</w:t></w:r>
</w:p>
<w:p>
<w:pPr><w:pStyle w:val="Normal"/></w:pPr>
<w:r><w:t xml:space="preserve">thus confirm the existence of this wonderful waterway first</w:t></w:r>
</w:p>
<w:p>
<w:pPr><w:pStyle w:val="Normal"/></w:pPr>
<w:r><w:t xml:space="preserve">reported by Father Acuna in 1639.  But little credence was</w:t></w:r>
</w:p>
<w:p>
<w:pPr><w:pStyle w:val="Normal"/></w:pPr>
<w:r><w:t xml:space="preserve">given to Father Roman&apos;s statement until it was verified, in</w:t></w:r>
</w:p>
<w:p>
<w:pPr><w:pStyle w:val="Normal"/></w:pPr>
<w:r><w:t xml:space="preserve">1756, by the Spanish Boundary-line Commission of Yturriaga y</w:t></w:r>
</w:p>
<w:p>
<w:pPr><w:pStyle w:val="Normal"/></w:pPr>
<w:r><w:t xml:space="preserve">Solano.  The actual elevation of the canal above sea-level</w:t></w:r>
</w:p>
<w:p>
<w:pPr><w:pStyle w:val="Normal"/></w:pPr>
<w:r><w:t xml:space="preserve">is not known, but is of primary importance to the study of</w:t></w:r>
</w:p>
<w:p>
<w:pPr><w:pStyle w:val="Normal"/></w:pPr>
<w:r><w:t xml:space="preserve">the hydrography of South America.  Travellers in general</w:t></w:r>
</w:p>
<w:p>
<w:pPr><w:pStyle w:val="Normal"/></w:pPr>
<w:r><w:t xml:space="preserve">give it at from 400 to 900 ft., but, after much study of the</w:t></w:r>
</w:p>
<w:p>
<w:pPr><w:pStyle w:val="Normal"/></w:pPr>
<w:r><w:t xml:space="preserve">question of altitudes throughout South America, the writer</w:t></w:r>
</w:p>
<w:p>
<w:pPr><w:pStyle w:val="Normal"/></w:pPr>
<w:r><w:t xml:space="preserve">believes that it does not exceed 300 ft. The canal connects</w:t></w:r>
</w:p>
<w:p>
<w:pPr><w:pStyle w:val="Normal"/></w:pPr>
<w:r><w:t xml:space="preserve">the upper Orinoco, 9 m. below the mission of Esmeraldas, with</w:t></w:r>
</w:p>
<w:p>
<w:pPr><w:pStyle w:val="Normal"/></w:pPr>
<w:r><w:t xml:space="preserve">the Rio Negro affluent of the Amazon near the town of San</w:t></w:r>
</w:p>
<w:p>
<w:pPr><w:pStyle w:val="Normal"/></w:pPr>
<w:r><w:t xml:space="preserve">Carlos.  The general course is south-west, and its length,</w:t></w:r>
</w:p>
<w:p>
<w:pPr><w:pStyle w:val="Normal"/></w:pPr>
<w:r><w:t xml:space="preserve">including windings, is about 200 m.  Its width, at its</w:t></w:r>
</w:p>
<w:p>
<w:pPr><w:pStyle w:val="Normal"/></w:pPr>
<w:r><w:t xml:space="preserve">bifurcation with the Orinoco, is approximately 300 ft., with a</w:t></w:r>
</w:p>
<w:p>
<w:pPr><w:pStyle w:val="Normal"/></w:pPr>
<w:r><w:t xml:space="preserve">current towards the Negro of three-quarters of a mile an hour;</w:t></w:r>
</w:p>
<w:p>
<w:pPr><w:pStyle w:val="Normal"/></w:pPr>
<w:r><w:t xml:space="preserve">but as it gains in volume from the very numerous tributary</w:t></w:r>
</w:p>
<w:p>
<w:pPr><w:pStyle w:val="Normal"/></w:pPr>
<w:r><w:t xml:space="preserve">streams, large and small, which it receives en route, its</w:t></w:r>
</w:p>
<w:p>
<w:pPr><w:pStyle w:val="Normal"/></w:pPr>
<w:r><w:t xml:space="preserve">velocity increases, and in the wet season reaches 5 and even</w:t></w:r>
</w:p>
<w:p>
<w:pPr><w:pStyle w:val="Normal"/></w:pPr>
<w:r><w:t xml:space="preserve">8 m. an hour in certain stretches. It broadens considerably</w:t></w:r>
</w:p>
<w:p>
<w:pPr><w:pStyle w:val="Normal"/></w:pPr>
<w:r><w:t xml:space="preserve">as it approaches its mouth, where it is about 1750 ft. in</w:t></w:r>
</w:p>
<w:p>
<w:pPr><w:pStyle w:val="Normal"/></w:pPr>
<w:r><w:t xml:space="preserve">width.  It will thus be seen that the volume of water it</w:t></w:r>
</w:p>
<w:p>
<w:pPr><w:pStyle w:val="Normal"/></w:pPr>
<w:r><w:t xml:space="preserve">captures from the Orinoco is small in comparison to what</w:t></w:r>
</w:p>
<w:p>
<w:pPr><w:pStyle w:val="Normal"/></w:pPr>
<w:r><w:t xml:space="preserve">it accumulates in its course.  In flood-time it is said to</w:t></w:r>
</w:p>
<w:p>
<w:pPr><w:pStyle w:val="Normal"/></w:pPr>
<w:r><w:t xml:space="preserve">have a second connexion with the Rio Negro by a branch which</w:t></w:r>
</w:p>
<w:p>
<w:pPr><w:pStyle w:val="Normal"/></w:pPr>
<w:r><w:t xml:space="preserve">it throws off to the westward called the Itinivini, which</w:t></w:r>
</w:p>
<w:p>
<w:pPr><w:pStyle w:val="Normal"/></w:pPr>
<w:r><w:t xml:space="preserve">leaves it at a point about 50 m. above its mouth.  In the</w:t></w:r>
</w:p>
<w:p>
<w:pPr><w:pStyle w:val="Normal"/></w:pPr>
<w:r><w:t xml:space="preserve">dry season it has shallows, and is obstructed by sandbanks,</w:t></w:r>
</w:p>
<w:p>
<w:pPr><w:pStyle w:val="Normal"/></w:pPr>
<w:r><w:t xml:space="preserve">a few rapids and granite rocks.  Its shores are densely</w:t></w:r>
</w:p>
<w:p>
<w:pPr><w:pStyle w:val="Normal"/></w:pPr>
<w:r><w:t xml:space="preserve">wooded, and the soil more fertile than that along the Rio</w:t></w:r>
</w:p>
<w:p>
<w:pPr><w:pStyle w:val="Normal"/></w:pPr>
<w:r><w:t xml:space="preserve">Negro.  The general slope of the plains through which the</w:t></w:r>
</w:p>
<w:p>
<w:pPr><w:pStyle w:val="Normal"/></w:pPr>
<w:r><w:t xml:space="preserve">canal runs is south-west, but those of the Rio Negro slope</w:t></w:r>
</w:p>
<w:p>
<w:pPr><w:pStyle w:val="Normal"/></w:pPr>
<w:r><w:t xml:space="preserve">south-east.  The whole line of the Casiquiare is infested</w:t></w:r>
</w:p>
<w:p>
<w:pPr><w:pStyle w:val="Normal"/></w:pPr>
<w:r><w:t xml:space="preserve">with myriads of tormenting insects.  A few miserable groups</w:t></w:r>
</w:p>
<w:p>
<w:pPr><w:pStyle w:val="Normal"/></w:pPr>
<w:r><w:t xml:space="preserve">of Indians and half-breeds have their small villages along</w:t></w:r>
</w:p>
<w:p>
<w:pPr><w:pStyle w:val="Normal"/></w:pPr>
<w:r><w:t xml:space="preserve">its southern portion.  It is thus seen that this marvellous</w:t></w:r>
</w:p>
<w:p>
<w:pPr><w:pStyle w:val="Normal"/></w:pPr>
<w:r><w:t xml:space="preserve">freak of nature is not, as is generally supposed, a sluggish</w:t></w:r>
</w:p>
<w:p>
<w:pPr><w:pStyle w:val="Normal"/></w:pPr>
<w:r><w:t xml:space="preserve">canal on a flat tableland, but a great, rapid river which,</w:t></w:r>
</w:p>
<w:p>
<w:pPr><w:pStyle w:val="Normal"/></w:pPr>
<w:r><w:t xml:space="preserve">if its upper waters had not found contact with the Orinoco,</w:t></w:r>
</w:p>
<w:p>
<w:pPr><w:pStyle w:val="Normal"/></w:pPr>
<w:r><w:t xml:space="preserve">perhaps by cutting back, would belong entirely to the Negro</w:t></w:r>
</w:p>
<w:p>
<w:pPr><w:pStyle w:val="Normal"/></w:pPr>
<w:r><w:t xml:space="preserve">branch of the Amazon. To the west of the Casiquiare there</w:t></w:r>
</w:p>
<w:p>
<w:pPr><w:pStyle w:val="Normal"/></w:pPr>
<w:r><w:t xml:space="preserve">is a much shorter and more facile connexion between the</w:t></w:r>
</w:p>
<w:p>
<w:pPr><w:pStyle w:val="Normal"/></w:pPr>
<w:r><w:t xml:space="preserve">Orinoco and Amazon basins, called the isthmus of Pimichin,</w:t></w:r>
</w:p>
<w:p>
<w:pPr><w:pStyle w:val="Normal"/></w:pPr>
<w:r><w:t xml:space="preserve">which is reached by ascending the Terni branch of the Atabapo</w:t></w:r>
</w:p>
<w:p>
<w:pPr><w:pStyle w:val="Normal"/></w:pPr>
<w:r><w:t xml:space="preserve">affluent of the Orinoco.  Although the Terni is somewhat</w:t></w:r>
</w:p>
<w:p>
<w:pPr><w:pStyle w:val="Normal"/></w:pPr>
<w:r><w:t xml:space="preserve">obstructed, it is believed that it could easily be made</w:t></w:r>
</w:p>
<w:p>
<w:pPr><w:pStyle w:val="Normal"/></w:pPr>
<w:r><w:t xml:space="preserve">navigable for small craft.  The isthmus is 10 m. across, with</w:t></w:r>
</w:p>
<w:p>
<w:pPr><w:pStyle w:val="Normal"/></w:pPr>
<w:r><w:t xml:space="preserve">undulating ground, nowhere over 50 ft. high, with swamps and</w:t></w:r>
</w:p>
<w:p>
<w:pPr><w:pStyle w:val="Normal"/></w:pPr>
<w:r><w:t xml:space="preserve">marshes.  It is much used for the transit of large canoes,</w:t></w:r>
</w:p>
<w:p>
<w:pPr><w:pStyle w:val="Normal"/></w:pPr>
<w:r><w:t xml:space="preserve">which are hauled across it from the Terni river, and which</w:t></w:r>
</w:p>
<w:p>
<w:pPr><w:pStyle w:val="Normal"/></w:pPr>
<w:r><w:t xml:space="preserve">reach the Negro by the little stream called the Pimichin.</w:t></w:r>
</w:p>
<w:p>
<w:pPr><w:pStyle w:val="Normal"/></w:pPr>
<w:r><w:t xml:space="preserve">The YAPURA.  West of the Negro the Amazon receives</w:t></w:r>
</w:p>
<w:p>
<w:pPr><w:pStyle w:val="Normal"/></w:pPr>
<w:r><w:t xml:space="preserve">three more imposing streams from the north-west -- the</w:t></w:r>
</w:p>
<w:p>
<w:pPr><w:pStyle w:val="Normal"/></w:pPr>
<w:r><w:t xml:space="preserve">Yapura, the Ica or Putumayo, and the Napo.  The first</w:t></w:r>
</w:p>
<w:p>
<w:pPr><w:pStyle w:val="Normal"/></w:pPr>
<w:r><w:t xml:space="preserve">was formerly known as the Hyapora, but its Brazilian part</w:t></w:r>
</w:p>
<w:p>
<w:pPr><w:pStyle w:val="Normal"/></w:pPr>
<w:r><w:t xml:space="preserve">is now called the Yapura, and its Colombian portion the</w:t></w:r>
</w:p>
<w:p>
<w:pPr><w:pStyle w:val="Normal"/></w:pPr>
<w:r><w:t xml:space="preserve">Caqueta.  Barao de Marajo gives it 600 m. of navigable</w:t></w:r>
</w:p>
<w:p>
<w:pPr><w:pStyle w:val="Normal"/></w:pPr>
<w:r><w:t xml:space="preserve">stretches.  Jules Crevaux, who descended it, describes it as</w:t></w:r>
</w:p>
<w:p>
<w:pPr><w:pStyle w:val="Normal"/></w:pPr>
<w:r><w:t xml:space="preserve">full of obstacles to navigation, the current very strong and</w:t></w:r>
</w:p>
<w:p>
<w:pPr><w:pStyle w:val="Normal"/></w:pPr>
<w:r><w:t xml:space="preserve">the stream frequently interrupted by rapids and cataracts.</w:t></w:r>
</w:p>
<w:p>
<w:pPr><w:pStyle w:val="Normal"/></w:pPr>
<w:r><w:t xml:space="preserve">It rises in the Colombian Andes, nearly in touch with the</w:t></w:r>
</w:p>
<w:p>
<w:pPr><w:pStyle w:val="Normal"/></w:pPr>
<w:r><w:t xml:space="preserve">sources of the Magdalena, and augments its volume from many</w:t></w:r>
</w:p>
<w:p>
<w:pPr><w:pStyle w:val="Normal"/></w:pPr>
<w:r><w:t xml:space="preserve">branches as it courses through Colombia.  It was long supposed</w:t></w:r>
</w:p>
<w:p>
<w:pPr><w:pStyle w:val="Normal"/></w:pPr>
<w:r><w:t xml:space="preserve">to have eight mouths; but Ribeiro de Sampaio, in his voyage of</w:t></w:r>
</w:p>
<w:p>
<w:pPr><w:pStyle w:val="Normal"/></w:pPr>
<w:r><w:t xml:space="preserve">1774, determined that there was but one real mouth, and that</w:t></w:r>
</w:p>
<w:p>
<w:pPr><w:pStyle w:val="Normal"/></w:pPr>
<w:r><w:t xml:space="preserve">the supposed others are all furos or canos4 In 1864-1868</w:t></w:r>
</w:p>
<w:p>
<w:pPr><w:pStyle w:val="Normal"/></w:pPr>
<w:r><w:t xml:space="preserve">the Brazilian government made a somewhat careful examination</w:t></w:r>
</w:p>
<w:p>
<w:pPr><w:pStyle w:val="Normal"/></w:pPr>
<w:r><w:t xml:space="preserve">of the Brazilian part of the river, as far up as the rapid of</w:t></w:r>
</w:p>
<w:p>
<w:pPr><w:pStyle w:val="Normal"/></w:pPr>
<w:r><w:t xml:space="preserve">Cupaty.  Several very easy and almost complete water-routes</w:t></w:r>
</w:p>
<w:p>
<w:pPr><w:pStyle w:val="Normal"/></w:pPr>
<w:r><w:t xml:space="preserve">exist between the Yapura and Negro across the low, flat</w:t></w:r>
</w:p>
<w:p>
<w:pPr><w:pStyle w:val="Normal"/></w:pPr>
<w:r><w:t xml:space="preserve">intervening country.  Barao de Marajo says there are six</w:t></w:r>
</w:p>
<w:p>
<w:pPr><w:pStyle w:val="Normal"/></w:pPr>
<w:r><w:t xml:space="preserve">of them, and one which connects the upper Yapura with the</w:t></w:r>
</w:p>
<w:p>
<w:pPr><w:pStyle w:val="Normal"/></w:pPr>
<w:r><w:t xml:space="preserve">Uaupes branch of the Negro; thus the Indian tribes of the</w:t></w:r>
</w:p>
<w:p>
<w:pPr><w:pStyle w:val="Normal"/></w:pPr>
<w:r><w:t xml:space="preserve">respective valleys have facile contact with each other.</w:t></w:r>
</w:p>
<w:p>
<w:pPr><w:pStyle w:val="Normal"/></w:pPr>
<w:r><w:t xml:space="preserve">The ICA or PUTUMAYO, west of and parallel to the Yapura,</w:t></w:r>
</w:p>
<w:p>
<w:pPr><w:pStyle w:val="Normal"/></w:pPr>
<w:r><w:t xml:space="preserve">was found more agreeable to navigate by Crevaux.  He ascended</w:t></w:r>
</w:p>
<w:p>
<w:pPr><w:pStyle w:val="Normal"/></w:pPr>
<w:r><w:t xml:space="preserve">it in a steamer drawing 6 ft. of water, and running day and</w:t></w:r>
</w:p>
<w:p>
<w:pPr><w:pStyle w:val="Normal"/></w:pPr>
<w:r><w:t xml:space="preserve">night.  He reached Cuemby, 800 m. above its mouth, without</w:t></w:r>
</w:p>
<w:p>
<w:pPr><w:pStyle w:val="Normal"/></w:pPr>
<w:r><w:t xml:space="preserve">finding a single rapid.  Cuemby is only 200 m. from the</w:t></w:r>
</w:p>
<w:p>
<w:pPr><w:pStyle w:val="Normal"/></w:pPr>
<w:r><w:t xml:space="preserve">Pacific Ocean, in a straight line, passing through the</w:t></w:r>
</w:p>
<w:p>
<w:pPr><w:pStyle w:val="Normal"/></w:pPr>
<w:r><w:t xml:space="preserve">town of Pasto in southern Colombia.  There was not a stone</w:t></w:r>
</w:p>
<w:p>
<w:pPr><w:pStyle w:val="Normal"/></w:pPr>
<w:r><w:t xml:space="preserve">to be seen up to the base of the Andes; the river banks</w:t></w:r>
</w:p>
<w:p>
<w:pPr><w:pStyle w:val="Normal"/></w:pPr>
<w:r><w:t xml:space="preserve">were of argillaceous earth and the bottom of fine sand.</w:t></w:r>
</w:p>
<w:p>
<w:pPr><w:pStyle w:val="Normal"/></w:pPr>
<w:r><w:t xml:space="preserve">The NAPO rises on the flanks of the volcanoes of Antisana,</w:t></w:r>
</w:p>
<w:p>
<w:pPr><w:pStyle w:val="Normal"/></w:pPr>
<w:r><w:t xml:space="preserve">Sincholagua and Cotopaxi.  Before it reaches the plains it</w:t></w:r>
</w:p>
<w:p>
<w:pPr><w:pStyle w:val="Normal"/></w:pPr>
<w:r><w:t xml:space="preserve">receives a great number of small streams from impenetrable,</w:t></w:r>
</w:p>
<w:p>
<w:pPr><w:pStyle w:val="Normal"/></w:pPr>
<w:r><w:t xml:space="preserve">saturated and much broken mountainous districts, where the</w:t></w:r>
</w:p>
<w:p>
<w:pPr><w:pStyle w:val="Normal"/></w:pPr>
<w:r><w:t xml:space="preserve">dense and varied vegetation seems to fight for every square</w:t></w:r>
</w:p>
<w:p>
<w:pPr><w:pStyle w:val="Normal"/></w:pPr>
<w:r><w:t xml:space="preserve">foot of ground.  From the north it is joined by the river</w:t></w:r>
</w:p>
<w:p>
<w:pPr><w:pStyle w:val="Normal"/></w:pPr>
<w:r><w:t xml:space="preserve">Coca, having its sources in the gorges of Cayambe on the</w:t></w:r>
</w:p>
<w:p>
<w:pPr><w:pStyle w:val="Normal"/></w:pPr>
<w:r><w:t xml:space="preserve">equator, and also a powerful river, the Aguarico, having</w:t></w:r>
</w:p>
<w:p>
<w:pPr><w:pStyle w:val="Normal"/></w:pPr>
<w:r><w:t xml:space="preserve">its headwaters between Cayambe and the Colombian frontier.</w:t></w:r>
</w:p>
<w:p>
<w:pPr><w:pStyle w:val="Normal"/></w:pPr>
<w:r><w:t xml:space="preserve">From the west it receives a secondary tributary, the Curaray,</w:t></w:r>
</w:p>
<w:p>
<w:pPr><w:pStyle w:val="Normal"/></w:pPr>
<w:r><w:t xml:space="preserve">from the Andean slopes, between Cotopaxi and the volcano of</w:t></w:r>
</w:p>
<w:p>
<w:pPr><w:pStyle w:val="Normal"/></w:pPr>
<w:r><w:t xml:space="preserve">Tunguragua.  From its Coca branch to the mouth of the Curaray</w:t></w:r>
</w:p>
<w:p>
<w:pPr><w:pStyle w:val="Normal"/></w:pPr>
<w:r><w:t xml:space="preserve">the Napo is full of snags and shelving sandbanks, and throws</w:t></w:r>
</w:p>
<w:p>
<w:pPr><w:pStyle w:val="Normal"/></w:pPr>
<w:r><w:t xml:space="preserve">out numerous canos among jungle-tangled islands, which</w:t></w:r>
</w:p>
<w:p>
<w:pPr><w:pStyle w:val="Normal"/></w:pPr>
<w:r><w:t xml:space="preserve">in the wet season are flooded, giving the river an immense</w:t></w:r>
</w:p>
<w:p>
<w:pPr><w:pStyle w:val="Normal"/></w:pPr>
<w:r><w:t xml:space="preserve">width.  From the Coca to the Amazon it runs through a forested</w:t></w:r>
</w:p>
<w:p>
<w:pPr><w:pStyle w:val="Normal"/></w:pPr>
<w:r><w:t xml:space="preserve">plain where not a hill is visible from the river -- its</w:t></w:r>
</w:p>
<w:p>
<w:pPr><w:pStyle w:val="Normal"/></w:pPr>
<w:r><w:t xml:space="preserve">uniformly level banks being only interrupted by swamps and</w:t></w:r>
</w:p>
<w:p>
<w:pPr><w:pStyle w:val="Normal"/></w:pPr>
<w:r><w:t xml:space="preserve">lagoons.  From the Amazon the Napo is navigable for river</w:t></w:r>
</w:p>
<w:p>
<w:pPr><w:pStyle w:val="Normal"/></w:pPr>
<w:r><w:t xml:space="preserve">craft up to its Curaray branch, a distance of about 216 m.,</w:t></w:r>
</w:p>
<w:p>
<w:pPr><w:pStyle w:val="Normal"/></w:pPr>
<w:r><w:t xml:space="preserve">and perhaps a few miles farther; thence, by painful canoe</w:t></w:r>
</w:p>
<w:p>
<w:pPr><w:pStyle w:val="Normal"/></w:pPr>
<w:r><w:t xml:space="preserve">navigation, its upper waters may be ascended as far as Santa</w:t></w:r>
</w:p>
<w:p>
<w:pPr><w:pStyle w:val="Normal"/></w:pPr>
<w:r><w:t xml:space="preserve">Rosa, the usual point of embarkation for any venturesome</w:t></w:r>
</w:p>
<w:p>
<w:pPr><w:pStyle w:val="Normal"/></w:pPr>
<w:r><w:t xml:space="preserve">traveller who descends from the Quito tableland.  The Coca</w:t></w:r>
</w:p>
<w:p>
<w:pPr><w:pStyle w:val="Normal"/></w:pPr>
<w:r><w:t xml:space="preserve">river may be penetrated as far up as its middle course, where</w:t></w:r>
</w:p>
<w:p>
<w:pPr><w:pStyle w:val="Normal"/></w:pPr>
<w:r><w:t xml:space="preserve">it is jammed between two mountain walls, in a deep canyon, along</w:t></w:r>
</w:p>
<w:p>
<w:pPr><w:pStyle w:val="Normal"/></w:pPr>
<w:r><w:t xml:space="preserve">which it dashes over high falls and numerous reefs.  This is</w:t></w:r>
</w:p>
<w:p>
<w:pPr><w:pStyle w:val="Normal"/></w:pPr>
<w:r><w:t xml:space="preserve">the stream made famous by the expedition of Gonzalo Pizarro.</w:t></w:r>
</w:p>
<w:p>
<w:pPr><w:pStyle w:val="Normal"/></w:pPr>
<w:r><w:t xml:space="preserve">The NANAY is the next Amazon tributary of importance west</w:t></w:r>
</w:p>
<w:p>
<w:pPr><w:pStyle w:val="Normal"/></w:pPr>
<w:r><w:t xml:space="preserve">of the Napo.  It belongs entirely to the lowlands, and is very</w:t></w:r>
</w:p>
<w:p>
<w:pPr><w:pStyle w:val="Normal"/></w:pPr>
<w:r><w:t xml:space="preserve">crooked, has a slow current and divides much into canos</w:t></w:r>
</w:p>
<w:p>
<w:pPr><w:pStyle w:val="Normal"/></w:pPr>
<w:r><w:t xml:space="preserve">and strings of lagoons which flood the flat, low areas of</w:t></w:r>
</w:p>
<w:p>
<w:pPr><w:pStyle w:val="Normal"/></w:pPr>
<w:r><w:t xml:space="preserve">country on either side.  It is simply the drainage ditch</w:t></w:r>
</w:p>
<w:p>
<w:pPr><w:pStyle w:val="Normal"/></w:pPr>
<w:r><w:t xml:space="preserve">of districts which are extensively overflowed in the rainy</w:t></w:r>
</w:p>
<w:p>
<w:pPr><w:pStyle w:val="Normal"/></w:pPr>
<w:r><w:t xml:space="preserve">season.  Captain Butt ascended it 195 m., to near its source.</w:t></w:r>
</w:p>
<w:p>
<w:pPr><w:pStyle w:val="Normal"/></w:pPr>
<w:r><w:t xml:space="preserve">The TIGRE is the next west of the Nanay, and is navigable for</w:t></w:r>
</w:p>
<w:p>
<w:pPr><w:pStyle w:val="Normal"/></w:pPr>
<w:r><w:t xml:space="preserve">125 m. from its confluence with the Amazon.  Like the Nanay,</w:t></w:r>
</w:p>
<w:p>
<w:pPr><w:pStyle w:val="Normal"/></w:pPr>
<w:r><w:t xml:space="preserve">it belongs wholly to the plains.  Its mouth is 42 m. west of</w:t></w:r>
</w:p>
<w:p>
<w:pPr><w:pStyle w:val="Normal"/></w:pPr>
<w:r><w:t xml:space="preserve">the junction of the Ucayali with the Amazon.  Continuing west</w:t></w:r>
</w:p>
<w:p>
<w:pPr><w:pStyle w:val="Normal"/></w:pPr>
<w:r><w:t xml:space="preserve">from the Tigre we have the Parinari, Chambira, and Nucuray,</w:t></w:r>
</w:p>
<w:p>
<w:pPr><w:pStyle w:val="Normal"/></w:pPr>
<w:r><w:t xml:space="preserve">all short lowland streams, resembling the Nanay in character.</w:t></w:r>
</w:p>
<w:p>
<w:pPr><w:pStyle w:val="Normal"/></w:pPr>
<w:r><w:t xml:space="preserve">The PASTAZA (the ancient river Sumatara) is the next large</w:t></w:r>
</w:p>
<w:p>
<w:pPr><w:pStyle w:val="Normal"/></w:pPr>
<w:r><w:t xml:space="preserve">river we meet.  It rises on the Ecuadorian tableland, where</w:t></w:r>
</w:p>
<w:p>
<w:pPr><w:pStyle w:val="Normal"/></w:pPr>
<w:r><w:t xml:space="preserve">a branch from the valley of Riobamba unites with one from</w:t></w:r>
</w:p>
<w:p>
<w:pPr><w:pStyle w:val="Normal"/></w:pPr>
<w:r><w:t xml:space="preserve">the Latacunga basin and breaks through the inland range</w:t></w:r>
</w:p>
<w:p>
<w:pPr><w:pStyle w:val="Normal"/></w:pPr>
<w:r><w:t xml:space="preserve">of the Andes; and joined, afterwards, by several important</w:t></w:r>
</w:p>
<w:p>
<w:pPr><w:pStyle w:val="Normal"/></w:pPr>
<w:r><w:t xml:space="preserve">tributaries, finds its way south-east among the gorges;</w:t></w:r>
</w:p>
<w:p>
<w:pPr><w:pStyle w:val="Normal"/></w:pPr>
<w:r><w:t xml:space="preserve">thence it turns southward into the plains, and enters the</w:t></w:r>
</w:p>
<w:p>
<w:pPr><w:pStyle w:val="Normal"/></w:pPr>
<w:r><w:t xml:space="preserve">Amazon at a point about 60 m. west of the mouth of the</w:t></w:r>
</w:p>
<w:p>
<w:pPr><w:pStyle w:val="Normal"/></w:pPr>
<w:r><w:t xml:space="preserve">Huallaga.  So far as known, it is a stream of no value</w:t></w:r>
</w:p>
<w:p>
<w:pPr><w:pStyle w:val="Normal"/></w:pPr>
<w:r><w:t xml:space="preserve">except for canoe navigation. Its rise and fall are rapid</w:t></w:r>
</w:p>
<w:p>
<w:pPr><w:pStyle w:val="Normal"/></w:pPr>
<w:r><w:t xml:space="preserve">and uncertain, and it is shallow and full of sandbanks</w:t></w:r>
</w:p>
<w:p>
<w:pPr><w:pStyle w:val="Normal"/></w:pPr>
<w:r><w:t xml:space="preserve">and snags.  It is a terrible river when in flood.</w:t></w:r>
</w:p>
<w:p>
<w:pPr><w:pStyle w:val="Normal"/></w:pPr>
<w:r><w:t xml:space="preserve">The MORONA flows parallel to the Pastaza and immediately to</w:t></w:r>
</w:p>
<w:p>
<w:pPr><w:pStyle w:val="Normal"/></w:pPr>
<w:r><w:t xml:space="preserve">the west of it, and is the last stream of any importance on</w:t></w:r>
</w:p>
<w:p>
<w:pPr><w:pStyle w:val="Normal"/></w:pPr>
<w:r><w:t xml:space="preserve">the northern side of the Amazon before reaching the Pongo de</w:t></w:r>
</w:p>
<w:p>
<w:pPr><w:pStyle w:val="Normal"/></w:pPr>
<w:r><w:t xml:space="preserve">Manseriche.  It is formed from a multitude of water-courses</w:t></w:r>
</w:p>
<w:p>
<w:pPr><w:pStyle w:val="Normal"/></w:pPr>
<w:r><w:t xml:space="preserve">which descend the slopes of the Ecuadorian Andes south of</w:t></w:r>
</w:p>
<w:p>
<w:pPr><w:pStyle w:val="Normal"/></w:pPr>
<w:r><w:t xml:space="preserve">the gigantic volcano of Sangay; but it soon reaches the</w:t></w:r>
</w:p>
<w:p>
<w:pPr><w:pStyle w:val="Normal"/></w:pPr>
<w:r><w:t xml:space="preserve">plain, which commences where it receives its Cusulima</w:t></w:r>
</w:p>
<w:p>
<w:pPr><w:pStyle w:val="Normal"/></w:pPr>
<w:r><w:t xml:space="preserve">branch.  The MORONA is navigable for small craft for about</w:t></w:r>
</w:p>
<w:p>
<w:pPr><w:pStyle w:val="Normal"/></w:pPr>
<w:r><w:t xml:space="preserve">300 m. above its mouth, but it is extremely tortuous.  Canoes</w:t></w:r>
</w:p>
<w:p>
<w:pPr><w:pStyle w:val="Normal"/></w:pPr>
<w:r><w:t xml:space="preserve">may ascend many of its branches, especially the Cusuhma and</w:t></w:r>
</w:p>
<w:p>
<w:pPr><w:pStyle w:val="Normal"/></w:pPr>
<w:r><w:t xml:space="preserve">the Miazal, the latter almost to the base of Sangay.  The</w:t></w:r>
</w:p>
<w:p>
<w:pPr><w:pStyle w:val="Normal"/></w:pPr>
<w:r><w:t xml:space="preserve">Morona has been the scene of many rude explorations, with</w:t></w:r>
</w:p>
<w:p>
<w:pPr><w:pStyle w:val="Normal"/></w:pPr>
<w:r><w:t xml:space="preserve">the hope of finding it serviceable as a commercial route</w:t></w:r>
</w:p>
<w:p>
<w:pPr><w:pStyle w:val="Normal"/></w:pPr>
<w:r><w:t xml:space="preserve">between the inter-Andean tableland of Ecuador and the Amazon</w:t></w:r>
</w:p>
<w:p>
<w:pPr><w:pStyle w:val="Normal"/></w:pPr>
<w:r><w:t xml:space="preserve">river.  A river called the Paute dashes through the eastern</w:t></w:r>
</w:p>
<w:p>
<w:pPr><w:pStyle w:val="Normal"/></w:pPr>
<w:r><w:t xml:space="preserve">Andes from the valley of Cuenca; and a second, the Zamora,</w:t></w:r>
</w:p>
<w:p>
<w:pPr><w:pStyle w:val="Normal"/></w:pPr>
<w:r><w:t xml:space="preserve">has broken through the same range from the basin of Loja.</w:t></w:r>
</w:p>
<w:p>
<w:pPr><w:pStyle w:val="Normal"/></w:pPr>
<w:r><w:t xml:space="preserve">Swollen by their many affluents, they reach the lowlands</w:t></w:r>
</w:p>
<w:p>
<w:pPr><w:pStyle w:val="Normal"/></w:pPr>
<w:r><w:t xml:space="preserve">and unite their waters to form the Santiago, which flows</w:t></w:r>
</w:p>
<w:p>
<w:pPr><w:pStyle w:val="Normal"/></w:pPr>
<w:r><w:t xml:space="preserve">into the Maranon at the head of the Pongo de Manseriche.</w:t></w:r>
</w:p>
<w:p>
<w:pPr><w:pStyle w:val="Normal"/></w:pPr>
<w:r><w:t xml:space="preserve">There is but little known of a trustworthy character</w:t></w:r>
</w:p>
<w:p>
<w:pPr><w:pStyle w:val="Normal"/></w:pPr>
<w:r><w:t xml:space="preserve">regarding this river, but Wolf says that it is probably</w:t></w:r>
</w:p>
<w:p>
<w:pPr><w:pStyle w:val="Normal"/></w:pPr>
<w:r><w:t xml:space="preserve">navigable up to the junction of the Paute with the Zamora.</w:t></w:r>
</w:p>
<w:p>
<w:pPr><w:pStyle w:val="Normal"/></w:pPr>
<w:r><w:t xml:space="preserve">The Main River.</w:t></w:r>
</w:p>
<w:p>
<w:pPr><w:pStyle w:val="Normal"/></w:pPr>
<w:r><w:t xml:space="preserve">Physical characteristics.</w:t></w:r>
</w:p>
<w:p>
<w:pPr><w:pStyle w:val="Normal"/></w:pPr>
<w:r><w:t xml:space="preserve">The AMAZON MAIN RIVER is navigable for ocean steamers</w:t></w:r>
</w:p>
<w:p>
<w:pPr><w:pStyle w:val="Normal"/></w:pPr>
<w:r><w:t xml:space="preserve">as far as Iquitos, 2300 m. from the sea, and 486 m. higher</w:t></w:r>
</w:p>
<w:p>
<w:pPr><w:pStyle w:val="Normal"/></w:pPr>
<w:r><w:t xml:space="preserve">up for vessels drawing 14 ft. of water, as far as Achual</w:t></w:r>
</w:p>
<w:p>
<w:pPr><w:pStyle w:val="Normal"/></w:pPr>
<w:r><w:t xml:space="preserve">Point.  Beyond that, according to Tucker, confirmed by</w:t></w:r>
</w:p>
<w:p>
<w:pPr><w:pStyle w:val="Normal"/></w:pPr>
<w:r><w:t xml:space="preserve">Wertheman, it is unsafe; but small steamers frequently</w:t></w:r>
</w:p>
<w:p>
<w:pPr><w:pStyle w:val="Normal"/></w:pPr>
<w:r><w:t xml:space="preserve">ascend to the Pongo de Manseriche, just above Achual Point</w:t></w:r>
</w:p>
<w:p>
<w:pPr><w:pStyle w:val="Normal"/></w:pPr>
<w:r><w:t xml:space="preserve">The average current of the Amazon is about 3 m. an hour;</w:t></w:r>
</w:p>
<w:p>
<w:pPr><w:pStyle w:val="Normal"/></w:pPr>
<w:r><w:t xml:space="preserve">but, especially in flood, it dashes through some of its</w:t></w:r>
</w:p>
<w:p>
<w:pPr><w:pStyle w:val="Normal"/></w:pPr>
<w:r><w:t xml:space="preserve">contracted channels at the rate of 5 m.  The U.S. steamer</w:t></w:r>
</w:p>
<w:p>
<w:pPr><w:pStyle w:val="Normal"/></w:pPr>
<w:r><w:t xml:space="preserve">``Wilmington&apos;&apos; ascended it to Iquitos in 1899.  Commander</w:t></w:r>
</w:p>
<w:p>
<w:pPr><w:pStyle w:val="Normal"/></w:pPr>
<w:r><w:t xml:space="preserve">Todd reports that the average depth of the river in the</w:t></w:r>
</w:p>
<w:p>
<w:pPr><w:pStyle w:val="Normal"/></w:pPr>
<w:r><w:t xml:space="preserve">height of the rainy season is 120 ft.  It commences to rise</w:t></w:r>
</w:p>
<w:p>
<w:pPr><w:pStyle w:val="Normal"/></w:pPr>
<w:r><w:t xml:space="preserve">in November, and increases in volume until June, and then</w:t></w:r>
</w:p>
<w:p>
<w:pPr><w:pStyle w:val="Normal"/></w:pPr>
<w:r><w:t xml:space="preserve">falls until the end of October.  The rise of the Negro branch</w:t></w:r>
</w:p>
<w:p>
<w:pPr><w:pStyle w:val="Normal"/></w:pPr>
<w:r><w:t xml:space="preserve">is not synchronous; for the steady rains do not commence</w:t></w:r>
</w:p>
<w:p>
<w:pPr><w:pStyle w:val="Normal"/></w:pPr>
<w:r><w:t xml:space="preserve">in its valley until February or March. By June it is full,</w:t></w:r>
</w:p>
<w:p>
<w:pPr><w:pStyle w:val="Normal"/></w:pPr>
<w:r><w:t xml:space="preserve">and then it begins to fall with the Amazon. According to</w:t></w:r>
</w:p>
<w:p>
<w:pPr><w:pStyle w:val="Normal"/></w:pPr>
<w:r><w:t xml:space="preserve">Bates, the Madeira ``rises and sinks&apos;&apos; two months earlier</w:t></w:r>
</w:p>
<w:p>
<w:pPr><w:pStyle w:val="Normal"/></w:pPr>
<w:r><w:t xml:space="preserve">than the Amazon.  The Amazon at times broadens to 4 and 6</w:t></w:r>
</w:p>
<w:p>
<w:pPr><w:pStyle w:val="Normal"/></w:pPr>
<w:r><w:t xml:space="preserve">m.  Occasionally, for long distances, it divides into two</w:t></w:r>
</w:p>
<w:p>
<w:pPr><w:pStyle w:val="Normal"/></w:pPr>
<w:r><w:t xml:space="preserve">main streams with inland, lateral channels, all connected</w:t></w:r>
</w:p>
<w:p>
<w:pPr><w:pStyle w:val="Normal"/></w:pPr>
<w:r><w:t xml:space="preserve">by a complicated system of natural canals, cutting the low,</w:t></w:r>
</w:p>
<w:p>
<w:pPr><w:pStyle w:val="Normal"/></w:pPr>
<w:r><w:t xml:space="preserve">flat igapo lands, which are never more than 15 ft. above</w:t></w:r>
</w:p>
<w:p>
<w:pPr><w:pStyle w:val="Normal"/></w:pPr>
<w:r><w:t xml:space="preserve">low river, into almost numberless islands.5 At the narrows</w:t></w:r>
</w:p>
<w:p>
<w:pPr><w:pStyle w:val="Normal"/></w:pPr>
<w:r><w:t xml:space="preserve">of Obidos, 400 m. from the sea, it is compressed into a</w:t></w:r>
</w:p>
<w:p>
<w:pPr><w:pStyle w:val="Normal"/></w:pPr>
<w:r><w:t xml:space="preserve">single bed a mile wide and over 200 ft. deep, through which</w:t></w:r>
</w:p>
<w:p>
<w:pPr><w:pStyle w:val="Normal"/></w:pPr>
<w:r><w:t xml:space="preserve">the water rushes at the rate of 4 to 5 m. an hour.  In the</w:t></w:r>
</w:p>
<w:p>
<w:pPr><w:pStyle w:val="Normal"/></w:pPr>
<w:r><w:t xml:space="preserve">rainy season it inundates the country throughout its course</w:t></w:r>
</w:p>
<w:p>
<w:pPr><w:pStyle w:val="Normal"/></w:pPr>
<w:r><w:t xml:space="preserve">to the extent of several hundred thousand square miles,</w:t></w:r>
</w:p>
<w:p>
<w:pPr><w:pStyle w:val="Normal"/></w:pPr>
<w:r><w:t xml:space="preserve">covering the flood-plain, called vargem.  The flood-levels</w:t></w:r>
</w:p>
<w:p>
<w:pPr><w:pStyle w:val="Normal"/></w:pPr>
<w:r><w:t xml:space="preserve">are in places from 40 to 50 ft. high above low river.  Taking</w:t></w:r>
</w:p>
<w:p>
<w:pPr><w:pStyle w:val="Normal"/></w:pPr>
<w:r><w:t xml:space="preserve">four roughly equidistant places, the rise at Iquitos is 20</w:t></w:r>
</w:p>
<w:p>
<w:pPr><w:pStyle w:val="Normal"/></w:pPr>
<w:r><w:t xml:space="preserve">ft., at Teffe 45, near Obidos 35, and at Para 12 ft.</w:t></w:r>
</w:p>
<w:p>
<w:pPr><w:pStyle w:val="Normal"/></w:pPr>
<w:r><w:t xml:space="preserve">The first high land met in ascending the river is on the</w:t></w:r>
</w:p>
<w:p>
<w:pPr><w:pStyle w:val="Normal"/></w:pPr>
<w:r><w:t xml:space="preserve">north bank, opposite the mouth of the Xingu, and extends</w:t></w:r>
</w:p>
<w:p>
<w:pPr><w:pStyle w:val="Normal"/></w:pPr>
<w:r><w:t xml:space="preserve">for about 150 m. up, as far as Monte Alegre.  It is a</w:t></w:r>
</w:p>
<w:p>
<w:pPr><w:pStyle w:val="Normal"/></w:pPr>
<w:r><w:t xml:space="preserve">series of steep, table-topped hills, cut down to a kind of</w:t></w:r>
</w:p>
<w:p>
<w:pPr><w:pStyle w:val="Normal"/></w:pPr>
<w:r><w:t xml:space="preserve">terrace which lies between them and the river.  Monte Alegre</w:t></w:r>
</w:p>
<w:p>
<w:pPr><w:pStyle w:val="Normal"/></w:pPr>
<w:r><w:t xml:space="preserve">reaches an altitude of several hundred feet.  On the south</w:t></w:r>
</w:p>
<w:p>
<w:pPr><w:pStyle w:val="Normal"/></w:pPr>
<w:r><w:t xml:space="preserve">side, above the Xingu, a line of low bluffs extends, in</w:t></w:r>
</w:p>
<w:p>
<w:pPr><w:pStyle w:val="Normal"/></w:pPr>
<w:r><w:t xml:space="preserve">a series of gentle curves with hardly any breaks nearly to</w:t></w:r>
</w:p>
<w:p>
<w:pPr><w:pStyle w:val="Normal"/></w:pPr>
<w:r><w:t xml:space="preserve">Santarem, but a considerable distance inland, bordering the</w:t></w:r>
</w:p>
<w:p>
<w:pPr><w:pStyle w:val="Normal"/></w:pPr>
<w:r><w:t xml:space="preserve">flood-plain, which is many miles wide.  Then they bend to</w:t></w:r>
</w:p>
<w:p>
<w:pPr><w:pStyle w:val="Normal"/></w:pPr>
<w:r><w:t xml:space="preserve">the south-west, and, abutting upon the lower Tapajos, merge</w:t></w:r>
</w:p>
<w:p>
<w:pPr><w:pStyle w:val="Normal"/></w:pPr>
<w:r><w:t xml:space="preserve">into the bluffs which form the terrace margin of that river</w:t></w:r>
</w:p>
<w:p>
<w:pPr><w:pStyle w:val="Normal"/></w:pPr>
<w:r><w:t xml:space="preserve">valley.  The next high land on the north side is Obidos, a</w:t></w:r>
</w:p>
<w:p>
<w:pPr><w:pStyle w:val="Normal"/></w:pPr>
<w:r><w:t xml:space="preserve">bluff, 56 ft. above the river, backed by low hills.  From</w:t></w:r>
</w:p>
<w:p>
<w:pPr><w:pStyle w:val="Normal"/></w:pPr>
<w:r><w:t xml:space="preserve">Serpa, nearly opposite the river Madeira, to near the mouth of</w:t></w:r>
</w:p>
<w:p>
<w:pPr><w:pStyle w:val="Normal"/></w:pPr>
<w:r><w:t xml:space="preserve">the Rio Negro, the banks are low, until approaching Manaos,</w:t></w:r>
</w:p>
<w:p>
<w:pPr><w:pStyle w:val="Normal"/></w:pPr>
<w:r><w:t xml:space="preserve">they are rolling hills; but from the Negro, for 600 m. as</w:t></w:r>
</w:p>
<w:p>
<w:pPr><w:pStyle w:val="Normal"/></w:pPr>
<w:r><w:t xml:space="preserve">far up as the village of Canaria, at the great bend of the</w:t></w:r>
</w:p>
<w:p>
<w:pPr><w:pStyle w:val="Normal"/></w:pPr>
<w:r><w:t xml:space="preserve">Amazon, only very low land is found, resembling that at the</w:t></w:r>
</w:p>
<w:p>
<w:pPr><w:pStyle w:val="Normal"/></w:pPr>
<w:r><w:t xml:space="preserve">mouth of the river.  Vast areas of it are submerged athigh</w:t></w:r>
</w:p>
<w:p>
<w:pPr><w:pStyle w:val="Normal"/></w:pPr>
<w:r><w:t xml:space="preserve">water, above which only the upper part of the trees of the</w:t></w:r>
</w:p>
<w:p>
<w:pPr><w:pStyle w:val="Normal"/></w:pPr>
<w:r><w:t xml:space="preserve">sombre forests appear.  At Canaria, the high land commences</w:t></w:r>
</w:p>
<w:p>
<w:pPr><w:pStyle w:val="Normal"/></w:pPr>
<w:r><w:t xml:space="preserve">and continues as far as Tabatinga, and thence up stream.</w:t></w:r>
</w:p>
<w:p>
<w:pPr><w:pStyle w:val="Normal"/></w:pPr>
<w:r><w:t xml:space="preserve">On the south side, from the Tapajos to the river Madeira,</w:t></w:r>
</w:p>
<w:p>
<w:pPr><w:pStyle w:val="Normal"/></w:pPr>
<w:r><w:t xml:space="preserve">the banks are usually low, although two or three hills break</w:t></w:r>
</w:p>
<w:p>
<w:pPr><w:pStyle w:val="Normal"/></w:pPr>
<w:r><w:t xml:space="preserve">the general monotony.  From the latter river, however, to</w:t></w:r>
</w:p>
<w:p>
<w:pPr><w:pStyle w:val="Normal"/></w:pPr>
<w:r><w:t xml:space="preserve">the Ucayali, a distance of nearly 1500 m., the forested</w:t></w:r>
</w:p>
<w:p>
<w:pPr><w:pStyle w:val="Normal"/></w:pPr>
<w:r><w:t xml:space="preserve">banks are just out of water, and are inundated long before</w:t></w:r>
</w:p>
<w:p>
<w:pPr><w:pStyle w:val="Normal"/></w:pPr>
<w:r><w:t xml:space="preserve">the river attains its maximum flood-line.  Thence to the</w:t></w:r>
</w:p>
<w:p>
<w:pPr><w:pStyle w:val="Normal"/></w:pPr>
<w:r><w:t xml:space="preserve">Huallaga the elevation of the land is somewhat greater;</w:t></w:r>
</w:p>
<w:p>
<w:pPr><w:pStyle w:val="Normal"/></w:pPr>
<w:r><w:t xml:space="preserve">but not until this river is passed, and the Pongo de</w:t></w:r>
</w:p>
<w:p>
<w:pPr><w:pStyle w:val="Normal"/></w:pPr>
<w:r><w:t xml:space="preserve">Manseriche approached, does the swelling ground of the</w:t></w:r>
</w:p>
<w:p>
<w:pPr><w:pStyle w:val="Normal"/></w:pPr>
<w:r><w:t xml:space="preserve">Andean foot-hills raise the country above flood-level.</w:t></w:r>
</w:p>
<w:p>
<w:pPr><w:pStyle w:val="Normal"/></w:pPr>
<w:r><w:t xml:space="preserve">The Amazon is not a continuous incline, but probably consists</w:t></w:r>
</w:p>
<w:p>
<w:pPr><w:pStyle w:val="Normal"/></w:pPr>
<w:r><w:t xml:space="preserve">of long, level stretches connected by short inclined planes</w:t></w:r>
</w:p>
<w:p>
<w:pPr><w:pStyle w:val="Normal"/></w:pPr>
<w:r><w:t xml:space="preserve">of extremely little fall, sufficient, however, owing to</w:t></w:r>
</w:p>
<w:p>
<w:pPr><w:pStyle w:val="Normal"/></w:pPr>
<w:r><w:t xml:space="preserve">its great depth, to give the gigantic volume of water a</w:t></w:r>
</w:p>
<w:p>
<w:pPr><w:pStyle w:val="Normal"/></w:pPr>
<w:r><w:t xml:space="preserve">continuous impulse towards the ocean.  The lower Amazon</w:t></w:r>
</w:p>
<w:p>
<w:pPr><w:pStyle w:val="Normal"/></w:pPr>
<w:r><w:t xml:space="preserve">presents every evidence of having once been an ocean</w:t></w:r>
</w:p>
<w:p>
<w:pPr><w:pStyle w:val="Normal"/></w:pPr>
<w:r><w:t xml:space="preserve">gulf, the upper waters of which washed the cliffs near</w:t></w:r>
</w:p>
<w:p>
<w:pPr><w:pStyle w:val="Normal"/></w:pPr>
<w:r><w:t xml:space="preserve">Obidos.  Only about 10% of the water discharged by the</w:t></w:r>
</w:p>
<w:p>
<w:pPr><w:pStyle w:val="Normal"/></w:pPr>
<w:r><w:t xml:space="preserve">mighty stream enters it below Obidos, very little of which</w:t></w:r>
</w:p>
<w:p>
<w:pPr><w:pStyle w:val="Normal"/></w:pPr>
<w:r><w:t xml:space="preserve">is from the northern slope of the valley.  The drainage area</w:t></w:r>
</w:p>
<w:p>
<w:pPr><w:pStyle w:val="Normal"/></w:pPr>
<w:r><w:t xml:space="preserve">of the Amazon basin above Obidos is about 1,945,000 sq.</w:t></w:r>
</w:p>
<w:p>
<w:pPr><w:pStyle w:val="Normal"/></w:pPr>
<w:r><w:t xml:space="preserve">m., and, below, only about 423,000 sq. m., or say 20%,</w:t></w:r>
</w:p>
<w:p>
<w:pPr><w:pStyle w:val="Normal"/></w:pPr>
<w:r><w:t xml:space="preserve">exclusive of the 554,000 sq. m. of the Tocantins basin.</w:t></w:r>
</w:p>
<w:p>
<w:pPr><w:pStyle w:val="Normal"/></w:pPr>
<w:r><w:t xml:space="preserve">The width of the mouth of the monarch river is usually measured</w:t></w:r>
</w:p>
<w:p>
<w:pPr><w:pStyle w:val="Normal"/></w:pPr>
<w:r><w:t xml:space="preserve">from Cabo do Norte to Punto Patijoca, a distance of 207</w:t></w:r>
</w:p>
<w:p>
<w:pPr><w:pStyle w:val="Normal"/></w:pPr>
<w:r><w:t xml:space="preserve">statute m.; but this includes the ocean outlet, 40 m. wide,</w:t></w:r>
</w:p>
<w:p>
<w:pPr><w:pStyle w:val="Normal"/></w:pPr>
<w:r><w:t xml:space="preserve">of the Para river, which should be deducted, as this stream</w:t></w:r>
</w:p>
<w:p>
<w:pPr><w:pStyle w:val="Normal"/></w:pPr>
<w:r><w:t xml:space="preserve">is only the lower reach of the Tocantins.  It also includes</w:t></w:r>
</w:p>
<w:p>
<w:pPr><w:pStyle w:val="Normal"/></w:pPr>
<w:r><w:t xml:space="preserve">the ocean frontage of Marajo, an island about the size of</w:t></w:r>
</w:p>
<w:p>
<w:pPr><w:pStyle w:val="Normal"/></w:pPr>
<w:r><w:t xml:space="preserve">the kingdom of Denmark lying in the mouth of the Amazon.</w:t></w:r>
</w:p>
<w:p>
<w:pPr><w:pStyle w:val="Normal"/></w:pPr>
<w:r><w:t xml:space="preserve">Following the coast, a little to the north of Cabo do</w:t></w:r>
</w:p>
<w:p>
<w:pPr><w:pStyle w:val="Normal"/></w:pPr>
<w:r><w:t xml:space="preserve">Norte, and for 100 m. along its Guiana margin up the</w:t></w:r>
</w:p>
<w:p>
<w:pPr><w:pStyle w:val="Normal"/></w:pPr>
<w:r><w:t xml:space="preserve">Amazon, is a belt of half-submerged islands and shallow</w:t></w:r>
</w:p>
<w:p>
<w:pPr><w:pStyle w:val="Normal"/></w:pPr>
<w:r><w:t xml:space="preserve">sandbanks.  Here the tidal phenomenon called the bore,</w:t></w:r>
</w:p>
<w:p>
<w:pPr><w:pStyle w:val="Normal"/></w:pPr>
<w:r><w:t xml:space="preserve">or Pororoca, occurs, where the soundings are not over 4</w:t></w:r>
</w:p>
<w:p>
<w:pPr><w:pStyle w:val="Normal"/></w:pPr>
<w:r><w:t xml:space="preserve">fathoms.  It commences with a roar, constantly increasing,</w:t></w:r>
</w:p>
<w:p>
<w:pPr><w:pStyle w:val="Normal"/></w:pPr>
<w:r><w:t xml:space="preserve">and advances at the rate of from 10 to 15 m. an hour, with</w:t></w:r>
</w:p>
<w:p>
<w:pPr><w:pStyle w:val="Normal"/></w:pPr>
<w:r><w:t xml:space="preserve">a breaking wall of water from 5 to 12 ft. high.  Under</w:t></w:r>
</w:p>
<w:p>
<w:pPr><w:pStyle w:val="Normal"/></w:pPr>
<w:r><w:t xml:space="preserve">such conditions of warfare between the ocean and the river,</w:t></w:r>
</w:p>
<w:p>
<w:pPr><w:pStyle w:val="Normal"/></w:pPr>
<w:r><w:t xml:space="preserve">it is not surprising that the former is rapidly eating</w:t></w:r>
</w:p>
<w:p>
<w:pPr><w:pStyle w:val="Normal"/></w:pPr>
<w:r><w:t xml:space="preserve">away the coast and that the vast volume of silt carried</w:t></w:r>
</w:p>
<w:p>
<w:pPr><w:pStyle w:val="Normal"/></w:pPr>
<w:r><w:t xml:space="preserve">by the Amazon finds it impossible to build up a delta.</w:t></w:r>
</w:p>
<w:p>
<w:pPr><w:pStyle w:val="Normal"/></w:pPr>
<w:r><w:t xml:space="preserve">The Amazon is not so much a river as it is a gigantic</w:t></w:r>
</w:p>
<w:p>
<w:pPr><w:pStyle w:val="Normal"/></w:pPr>
<w:r><w:t xml:space="preserve">reservoir, extending from the sea to the base of the Andes,</w:t></w:r>
</w:p>
<w:p>
<w:pPr><w:pStyle w:val="Normal"/></w:pPr>
<w:r><w:t xml:space="preserve">and, in the wet season, varying in width from 5 to 400</w:t></w:r>
</w:p>
<w:p>
<w:pPr><w:pStyle w:val="Normal"/></w:pPr>
<w:r><w:t xml:space="preserve">m.  Special attention has already been called to the</w:t></w:r>
</w:p>
<w:p>
<w:pPr><w:pStyle w:val="Normal"/></w:pPr>
<w:r><w:t xml:space="preserve">fourteen great streams which discharge into this reservoir,</w:t></w:r>
</w:p>
<w:p>
<w:pPr><w:pStyle w:val="Normal"/></w:pPr>
<w:r><w:t xml:space="preserve">but it receives a multitude of secondary rivers, which in</w:t></w:r>
</w:p>
<w:p>
<w:pPr><w:pStyle w:val="Normal"/></w:pPr>
<w:r><w:t xml:space="preserve">any other part of the wodd would also be termed great.</w:t></w:r>
</w:p>
<w:p>
<w:pPr><w:pStyle w:val="Normal"/></w:pPr>
<w:r><w:t xml:space="preserve">Population, trace, &amp;c.</w:t></w:r>
</w:p>
<w:p>
<w:pPr><w:pStyle w:val="Normal"/></w:pPr>
<w:r><w:t xml:space="preserve">For 350 years after the discovery of the Amazon, by Pinzon,</w:t></w:r>
</w:p>
<w:p>
<w:pPr><w:pStyle w:val="Normal"/></w:pPr>
<w:r><w:t xml:space="preserve">the Portuguese portion of its basin remained almost an</w:t></w:r>
</w:p>
<w:p>
<w:pPr><w:pStyle w:val="Normal"/></w:pPr>
<w:r><w:t xml:space="preserve">undisturbed  wilderness, occupied by Indian tribes whom</w:t></w:r>
</w:p>
<w:p>
<w:pPr><w:pStyle w:val="Normal"/></w:pPr>
<w:r><w:t xml:space="preserve">the food quest had split into countless fragments.  It is</w:t></w:r>
</w:p>
<w:p>
<w:pPr><w:pStyle w:val="Normal"/></w:pPr>
<w:r><w:t xml:space="preserve">doubtful if its indigenous inhabitants ever exceeded one</w:t></w:r>
</w:p>
<w:p>
<w:pPr><w:pStyle w:val="Normal"/></w:pPr>
<w:r><w:t xml:space="preserve">to every 5 sq. m. of territory, this being the maximum  it</w:t></w:r>
</w:p>
<w:p>
<w:pPr><w:pStyle w:val="Normal"/></w:pPr>
<w:r><w:t xml:space="preserve">could support under the existing conditions of the period in</w:t></w:r>
</w:p>
<w:p>
<w:pPr><w:pStyle w:val="Normal"/></w:pPr>
<w:r><w:t xml:space="preserve">question, and taking into account Indian methods of life.  A</w:t></w:r>
</w:p>
<w:p>
<w:pPr><w:pStyle w:val="Normal"/></w:pPr>
<w:r><w:t xml:space="preserve">few settlements on the banks of the main river and some of</w:t></w:r>
</w:p>
<w:p>
<w:pPr><w:pStyle w:val="Normal"/></w:pPr>
<w:r><w:t xml:space="preserve">its tributaries, either for trade with the Indians or for</w:t></w:r>
</w:p>
<w:p>
<w:pPr><w:pStyle w:val="Normal"/></w:pPr>
<w:r><w:t xml:space="preserve">evangelizing purposes, had been founded by the Portuguese</w:t></w:r>
</w:p>
<w:p>
<w:pPr><w:pStyle w:val="Normal"/></w:pPr>
<w:r><w:t xml:space="preserve">pioneers of European civilization.  The total population of</w:t></w:r>
</w:p>
<w:p>
<w:pPr><w:pStyle w:val="Normal"/></w:pPr>
<w:r><w:t xml:space="preserve">the Brazilian portion of the Amazon basin in 1850 was perhaps</w:t></w:r>
</w:p>
<w:p>
<w:pPr><w:pStyle w:val="Normal"/></w:pPr>
<w:r><w:t xml:space="preserve">300,000, of whom about two-thirds were white and slaves,</w:t></w:r>
</w:p>
<w:p>
<w:pPr><w:pStyle w:val="Normal"/></w:pPr>
<w:r><w:t xml:space="preserve">the latter numbering about 25,000.  The principal commercial</w:t></w:r>
</w:p>
<w:p>
<w:pPr><w:pStyle w:val="Normal"/></w:pPr>
<w:r><w:t xml:space="preserve">city, Para, had from 10,000 to 12,000 inhabitants, including</w:t></w:r>
</w:p>
<w:p>
<w:pPr><w:pStyle w:val="Normal"/></w:pPr>
<w:r><w:t xml:space="preserve">slaves.  The town of Manaos, at the mouth of the Rio Negro,</w:t></w:r>
</w:p>
<w:p>
<w:pPr><w:pStyle w:val="Normal"/></w:pPr>
<w:r><w:t xml:space="preserve">had from 1000 to 1500 population; but all the remaining</w:t></w:r>
</w:p>
<w:p>
<w:pPr><w:pStyle w:val="Normal"/></w:pPr>
<w:r><w:t xml:space="preserve">villages, as far up as Tabatinga, on the Brazilian frontier</w:t></w:r>
</w:p>
<w:p>
<w:pPr><w:pStyle w:val="Normal"/></w:pPr>
<w:r><w:t xml:space="preserve">of Peru, were wretched little groups of houses which</w:t></w:r>
</w:p>
<w:p>
<w:pPr><w:pStyle w:val="Normal"/></w:pPr>
<w:r><w:t xml:space="preserve">appeared to have timidly effected a lodgment on the river</w:t></w:r>
</w:p>
<w:p>
<w:pPr><w:pStyle w:val="Normal"/></w:pPr>
<w:r><w:t xml:space="preserve">bank, as if they feared to challenge the mysteries of the</w:t></w:r>
</w:p>
<w:p>
<w:pPr><w:pStyle w:val="Normal"/></w:pPr>
<w:r><w:t xml:space="preserve">sombre and gigantic forests behind them.  The value of the</w:t></w:r>
</w:p>
<w:p>
<w:pPr><w:pStyle w:val="Normal"/></w:pPr>
<w:r><w:t xml:space="preserve">export and import trade of the whole valley in 1850 was but</w:t></w:r>
</w:p>
<w:p>
<w:pPr><w:pStyle w:val="Normal"/></w:pPr>
<w:r><w:t xml:space="preserve">On the 6th of September 1850 the emperor, Dom Pedro II.,</w:t></w:r>
</w:p>
<w:p>
<w:pPr><w:pStyle w:val="Normal"/></w:pPr>
<w:r><w:t xml:space="preserve">sanctioned a law authorizing steam navigation on the Amazon,</w:t></w:r>
</w:p>
<w:p>
<w:pPr><w:pStyle w:val="Normal"/></w:pPr>
<w:r><w:t xml:space="preserve">and confided to an illustrious Brazilian, Barao Maua (Irineu</w:t></w:r>
</w:p>
<w:p>
<w:pPr><w:pStyle w:val="Normal"/></w:pPr>
<w:r><w:t xml:space="preserve">Evangilista de Sousa), the task of carrying it into effect.</w:t></w:r>
</w:p>
<w:p>
<w:pPr><w:pStyle w:val="Normal"/></w:pPr>
<w:r><w:t xml:space="preserve">He organized the ``Compania de Navigacao e Commercio do</w:t></w:r>
</w:p>
<w:p>
<w:pPr><w:pStyle w:val="Normal"/></w:pPr>
<w:r><w:t xml:space="preserve">Amazonas&apos;&apos; at Rio de Janeiro in 1852; and in the following</w:t></w:r>
</w:p>
<w:p>
<w:pPr><w:pStyle w:val="Normal"/></w:pPr>
<w:r><w:t xml:space="preserve">year it commenced operations with three small steamers, the</w:t></w:r>
</w:p>
<w:p>
<w:pPr><w:pStyle w:val="Normal"/></w:pPr>
<w:r><w:t xml:space="preserve">``Monarch,&apos;&apos; the ``Marajo&apos;&apos; and ``Rio Negro.&apos;&apos; At first the</w:t></w:r>
</w:p>
<w:p>
<w:pPr><w:pStyle w:val="Normal"/></w:pPr>
<w:r><w:t xml:space="preserve">navigation was principally confined to the main river; and</w:t></w:r>
</w:p>
<w:p>
<w:pPr><w:pStyle w:val="Normal"/></w:pPr>
<w:r><w:t xml:space="preserve">even in 1857 a modification of the government contract only</w:t></w:r>
</w:p>
<w:p>
<w:pPr><w:pStyle w:val="Normal"/></w:pPr>
<w:r><w:t xml:space="preserve">obliged the company to a monthly service between Para and</w:t></w:r>
</w:p>
<w:p>
<w:pPr><w:pStyle w:val="Normal"/></w:pPr>
<w:r><w:t xml:space="preserve">Manaos, with steamers of 200 tons cargo capacity, a second</w:t></w:r>
</w:p>
<w:p>
<w:pPr><w:pStyle w:val="Normal"/></w:pPr>
<w:r><w:t xml:space="preserve">line to make six round voyages a year between Manaos and</w:t></w:r>
</w:p>
<w:p>
<w:pPr><w:pStyle w:val="Normal"/></w:pPr>
<w:r><w:t xml:space="preserve">Tabatinga, and a third, two trips a month between Para and</w:t></w:r>
</w:p>
<w:p>
<w:pPr><w:pStyle w:val="Normal"/></w:pPr>
<w:r><w:t xml:space="preserve">Cameta.  The government paid the company a subvention of</w:t></w:r>
</w:p>
<w:p>
<w:pPr><w:pStyle w:val="Heading1"/></w:pPr>
<w:r><w:t>L. 3935 monthly. Thus the first impulse of modern progress</w:t></w:r>
</w:p>
<w:p>
<w:pPr><w:pStyle w:val="Normal"/></w:pPr>
<w:r><w:t xml:space="preserve">was given to the dormant valley.  The success of the venture</w:t></w:r>
</w:p>
<w:p>
<w:pPr><w:pStyle w:val="Normal"/></w:pPr>
<w:r><w:t xml:space="preserve">called attention to the unoccupied field; a second company</w:t></w:r>
</w:p>
<w:p>
<w:pPr><w:pStyle w:val="Normal"/></w:pPr>
<w:r><w:t xml:space="preserve">soon opened commerce on the Madeira, Purus and Negro; a</w:t></w:r>
</w:p>
<w:p>
<w:pPr><w:pStyle w:val="Normal"/></w:pPr>
<w:r><w:t xml:space="preserve">third established a line between Para and Manaos; and a</w:t></w:r>
</w:p>
<w:p>
<w:pPr><w:pStyle w:val="Normal"/></w:pPr>
<w:r><w:t xml:space="preserve">fourth found it profitable to navigate some of the smaller</w:t></w:r>
</w:p>
<w:p>
<w:pPr><w:pStyle w:val="Normal"/></w:pPr>
<w:r><w:t xml:space="preserve">streams; while, in the interval, the Amazonas Company</w:t></w:r>
</w:p>
<w:p>
<w:pPr><w:pStyle w:val="Normal"/></w:pPr>
<w:r><w:t xml:space="preserve">had largely increased its fine fleet. Meanwhile private</w:t></w:r>
</w:p>
<w:p>
<w:pPr><w:pStyle w:val="Normal"/></w:pPr>
<w:r><w:t xml:space="preserve">individuals were building and running small steam craft of</w:t></w:r>
</w:p>
<w:p>
<w:pPr><w:pStyle w:val="Normal"/></w:pPr>
<w:r><w:t xml:space="preserve">their own, not only upon the main river but upon many of its</w:t></w:r>
</w:p>
<w:p>
<w:pPr><w:pStyle w:val="Normal"/></w:pPr>
<w:r><w:t xml:space="preserve">affluents.  The government of Brazil, constantly pressed</w:t></w:r>
</w:p>
<w:p>
<w:pPr><w:pStyle w:val="Normal"/></w:pPr>
<w:r><w:t xml:space="preserve">by the maritime powers and by the countries encircling the</w:t></w:r>
</w:p>
<w:p>
<w:pPr><w:pStyle w:val="Normal"/></w:pPr>
<w:r><w:t xml:space="preserve">upper Amazon basin, decreed, on the 31st of July 1867, the</w:t></w:r>
</w:p>
<w:p>
<w:pPr><w:pStyle w:val="Normal"/></w:pPr>
<w:r><w:t xml:space="preserve">opening of the Amazon to all flags; but limited this to</w:t></w:r>
</w:p>
<w:p>
<w:pPr><w:pStyle w:val="Normal"/></w:pPr>
<w:r><w:t xml:space="preserve">certain defined points -- Tabatinga, on the Amazon; Cameta,</w:t></w:r>
</w:p>
<w:p>
<w:pPr><w:pStyle w:val="Normal"/></w:pPr>
<w:r><w:t xml:space="preserve">on the Tocantins; Santarem, on the Tapajos; Borba, on the</w:t></w:r>
</w:p>
<w:p>
<w:pPr><w:pStyle w:val="Normal"/></w:pPr>
<w:r><w:t xml:space="preserve">Madeira; Manaos, on the Rio Negro; the decree to take effect</w:t></w:r>
</w:p>
<w:p>
<w:pPr><w:pStyle w:val="Normal"/></w:pPr>
<w:r><w:t xml:space="preserve">on the 7th of September of the same year.  Para, Manaos</w:t></w:r>
</w:p>
<w:p>
<w:pPr><w:pStyle w:val="Normal"/></w:pPr>
<w:r><w:t xml:space="preserve">and Iquitos are now thriving commercial centres.  The first</w:t></w:r>
</w:p>
<w:p>
<w:pPr><w:pStyle w:val="Normal"/></w:pPr>
<w:r><w:t xml:space="preserve">direct foreign trade with Manaos was commenced about 1874.</w:t></w:r>
</w:p>
<w:p>
<w:pPr><w:pStyle w:val="Normal"/></w:pPr>
<w:r><w:t xml:space="preserve">The local trade of the river is carried on by the English</w:t></w:r>
</w:p>
<w:p>
<w:pPr><w:pStyle w:val="Normal"/></w:pPr>
<w:r><w:t xml:space="preserve">successors to the Amazonas Company -- the Amazon Steam</w:t></w:r>
</w:p>
<w:p>
<w:pPr><w:pStyle w:val="Normal"/></w:pPr>
<w:r><w:t xml:space="preserve">Navigation Company.  In addition to its excellent fleet there</w:t></w:r>
</w:p>
<w:p>
<w:pPr><w:pStyle w:val="Normal"/></w:pPr>
<w:r><w:t xml:space="preserve">are numerous small river steamers, belonging to companies</w:t></w:r>
</w:p>
<w:p>
<w:pPr><w:pStyle w:val="Normal"/></w:pPr>
<w:r><w:t xml:space="preserve">and firms engaged in the rubber trade, navigating the Negro,</w:t></w:r>
</w:p>
<w:p>
<w:pPr><w:pStyle w:val="Normal"/></w:pPr>
<w:r><w:t xml:space="preserve">Madeira, Purfis and many other streams.  The principal exports</w:t></w:r>
</w:p>
<w:p>
<w:pPr><w:pStyle w:val="Normal"/></w:pPr>
<w:r><w:t xml:space="preserve">of the valley are india-rubber, cacao, Brazil nuts and a few</w:t></w:r>
</w:p>
<w:p>
<w:pPr><w:pStyle w:val="Normal"/></w:pPr>
<w:r><w:t xml:space="preserve">other products of very minor importance.  The finest quality</w:t></w:r>
</w:p>
<w:p>
<w:pPr><w:pStyle w:val="Normal"/></w:pPr>
<w:r><w:t xml:space="preserve">of india-rubber comes from the Acre and Beni districts of</w:t></w:r>
</w:p>
<w:p>
<w:pPr><w:pStyle w:val="Normal"/></w:pPr>
<w:r><w:t xml:space="preserve">Bolivia, especially from the valley of the Acre (or Aquiry)</w:t></w:r>
</w:p>
<w:p>
<w:pPr><w:pStyle w:val="Normal"/></w:pPr>
<w:r><w:t xml:space="preserve">branch of the river Purus.  Of the rubber production of the</w:t></w:r>
</w:p>
<w:p>
<w:pPr><w:pStyle w:val="Normal"/></w:pPr>
<w:r><w:t xml:space="preserve">Amazon basin, the state of Para gives about 35%. The cacao</w:t></w:r>
</w:p>
<w:p>
<w:pPr><w:pStyle w:val="Normal"/></w:pPr>
<w:r><w:t xml:space="preserve">tree is not cultivated, but grows wild in great abundance.</w:t></w:r>
</w:p>
<w:p>
<w:pPr><w:pStyle w:val="Normal"/></w:pPr>
<w:r><w:t xml:space="preserve">There is but one railway in the whole valley; it is a short</w:t></w:r>
</w:p>
<w:p>
<w:pPr><w:pStyle w:val="Normal"/></w:pPr>
<w:r><w:t xml:space="preserve">line from Para towards the coast.  The cities of Para and</w:t></w:r>
</w:p>
<w:p>
<w:pPr><w:pStyle w:val="Normal"/></w:pPr>
<w:r><w:t xml:space="preserve">Manaos have excellent tramways, many fine public buildings</w:t></w:r>
</w:p>
<w:p>
<w:pPr><w:pStyle w:val="Normal"/></w:pPr>
<w:r><w:t xml:space="preserve">and private residences, gardens and public squares, all of</w:t></w:r>
</w:p>
<w:p>
<w:pPr><w:pStyle w:val="Normal"/></w:pPr>
<w:r><w:t xml:space="preserve">which give evidence of artistic taste and great prosperity.</w:t></w:r>
</w:p>
<w:p>
<w:pPr><w:pStyle w:val="Normal"/></w:pPr>
<w:r><w:t xml:space="preserve">The number of inhabitants in the Brazilian Amazon basin (the states</w:t></w:r>
</w:p>
<w:p>
<w:pPr><w:pStyle w:val="Normal"/></w:pPr>
<w:r><w:t xml:space="preserve">of Amazonas and Para) is purely a matter of rough estimate.</w:t></w:r>
</w:p>
<w:p>
<w:pPr><w:pStyle w:val="Normal"/></w:pPr>
<w:r><w:t xml:space="preserve">There may be 500,000 or 600,000, or more; for the immigration</w:t></w:r>
</w:p>
<w:p>
<w:pPr><w:pStyle w:val="Normal"/></w:pPr>
<w:r><w:t xml:space="preserve">during recent years from the other parts of Brazil has been</w:t></w:r>
</w:p>
<w:p>
<w:pPr><w:pStyle w:val="Normal"/></w:pPr>
<w:r><w:t xml:space="preserve">large, due to the rubber excitement.  The influx from the state</w:t></w:r>
</w:p>
<w:p>
<w:pPr><w:pStyle w:val="Normal"/></w:pPr>
<w:r><w:t xml:space="preserve">of Ceara alone, from 1892 to 1899 inclusive, reached 98,348.</w:t></w:r>
</w:p>
<w:p>
<w:pPr><w:pStyle w:val="Normal"/></w:pPr>
<w:r><w:t xml:space="preserve">As Commander Todd, in his report to the United States</w:t></w:r>
</w:p>
<w:p>
<w:pPr><w:pStyle w:val="Normal"/></w:pPr>
<w:r><w:t xml:space="preserve">government, says: ``The crying need of the Amazon valley is</w:t></w:r>
</w:p>
<w:p>
<w:pPr><w:pStyle w:val="Normal"/></w:pPr>
<w:r><w:t xml:space="preserve">food for the people....  At the small towns along the river</w:t></w:r>
</w:p>
<w:p>
<w:pPr><w:pStyle w:val="Normal"/></w:pPr>
<w:r><w:t xml:space="preserve">it is nearly impossible to obtain beef, vegetables, or fruit</w:t></w:r>
</w:p>
<w:p>
<w:pPr><w:pStyle w:val="Normal"/></w:pPr>
<w:r><w:t xml:space="preserve">of any sort, and the inhabitants depend largely upon river</w:t></w:r>
</w:p>
<w:p>
<w:pPr><w:pStyle w:val="Normal"/></w:pPr>
<w:r><w:t xml:space="preserve">fish, mandioc, and canned goods for their subsistence.&apos;&apos;</w:t></w:r>
</w:p>
<w:p>
<w:pPr><w:pStyle w:val="Normal"/></w:pPr>
<w:r><w:t xml:space="preserve">Although more than four centuries have passed since the</w:t></w:r>
</w:p>
<w:p>
<w:pPr><w:pStyle w:val="Normal"/></w:pPr>
<w:r><w:t xml:space="preserve">discovery of the Amazon river, there are probably not 25</w:t></w:r>
</w:p>
<w:p>
<w:pPr><w:pStyle w:val="Normal"/></w:pPr>
<w:r><w:t xml:space="preserve">sq. m. of its basin under cultivation, excluding the limited</w:t></w:r>
</w:p>
<w:p>
<w:pPr><w:pStyle w:val="Normal"/></w:pPr>
<w:r><w:t xml:space="preserve">and rudely cultivated areas among the mountains at its</w:t></w:r>
</w:p>
<w:p>
<w:pPr><w:pStyle w:val="Normal"/></w:pPr>
<w:r><w:t xml:space="preserve">extreme headwaters, which are inaccessible to commerce.</w:t></w:r>
</w:p>
<w:p>
<w:pPr><w:pStyle w:val="Normal"/></w:pPr>
<w:r><w:t xml:space="preserve">The extensive exports of the mighty valley are almost</w:t></w:r>
</w:p>
<w:p>
<w:pPr><w:pStyle w:val="Normal"/></w:pPr>
<w:r><w:t xml:space="preserve">entirely derived from the products of the forest. (G. E. C.)</w:t></w:r>
</w:p>
<w:p>
<w:pPr><w:pStyle w:val="Normal"/></w:pPr>
<w:r><w:t xml:space="preserve">1 A furo is a natural canal -- sometimes merely a deviation from</w:t></w:r>
</w:p>
<w:p>
<w:pPr><w:pStyle w:val="Normal"/></w:pPr>
<w:r><w:t xml:space="preserve">the main channel, which it ultimately rejoins, sometimes a connexion</w:t></w:r>
</w:p>
<w:p>
<w:pPr><w:pStyle w:val="Normal"/></w:pPr>
<w:r><w:t xml:space="preserve">across low flat country between two entirely separate streams.</w:t></w:r>
</w:p>
<w:p>
<w:pPr><w:pStyle w:val="Normal"/></w:pPr>
<w:r><w:t xml:space="preserve">2 Pongo is a corruption of the Quichua puncu and the</w:t></w:r>
</w:p>
<w:p>
<w:pPr><w:pStyle w:val="Normal"/></w:pPr>
<w:r><w:t xml:space="preserve">Aymara ponco, meaning a door.  The Pongo de Manseriche</w:t></w:r>
</w:p>
<w:p>
<w:pPr><w:pStyle w:val="Normal"/></w:pPr>
<w:r><w:t xml:space="preserve">was first named Maranon, then Santiago, and later</w:t></w:r>
</w:p>
<w:p>
<w:pPr><w:pStyle w:val="Normal"/></w:pPr>
<w:r><w:t xml:space="preserve">Manseric, afterwards Mansariche and Manseriche, owing to</w:t></w:r>
</w:p>
<w:p>
<w:pPr><w:pStyle w:val="Normal"/></w:pPr>
<w:r><w:t xml:space="preserve">the great numbers of parrakeets found on the rocks there.</w:t></w:r>
</w:p>
<w:p>
<w:pPr><w:pStyle w:val="Normal"/></w:pPr>
<w:r><w:t xml:space="preserve">3 One of the most daring deeds of exoloration ever known in</w:t></w:r>
</w:p>
<w:p>
<w:pPr><w:pStyle w:val="Normal"/></w:pPr>
<w:r><w:t xml:space="preserve">South America was done by the engineer A. Wertheman.  He fitted</w:t></w:r>
</w:p>
<w:p>
<w:pPr><w:pStyle w:val="Normal"/></w:pPr>
<w:r><w:t xml:space="preserve">out three rafts, in August 1870, and descended this whole</w:t></w:r>
</w:p>
<w:p>
<w:pPr><w:pStyle w:val="Normal"/></w:pPr>
<w:r><w:t xml:space="preserve">series of rapids and cascades from the Rio Chinchipe to Borja.</w:t></w:r>
</w:p>
<w:p>
<w:pPr><w:pStyle w:val="Normal"/></w:pPr>
<w:r><w:t xml:space="preserve">4 A cano, like furo, is a kind of natural canal; it</w:t></w:r>
</w:p>
<w:p>
<w:pPr><w:pStyle w:val="Normal"/></w:pPr>
<w:r><w:t xml:space="preserve">forms a lateral discharge for surplus water from a river.</w:t></w:r>
</w:p>
<w:p>
<w:pPr><w:pStyle w:val="Normal"/></w:pPr>
<w:r><w:t xml:space="preserve">5 Igapo is thus the name given to the recent alluvial</w:t></w:r>
</w:p>
<w:p>
<w:pPr><w:pStyle w:val="Normal"/></w:pPr>
<w:r><w:t xml:space="preserve">tracts along the margins of rivers, submerged by moderate</w:t></w:r>
</w:p>
<w:p>
<w:pPr><w:pStyle w:val="Normal"/></w:pPr>
<w:r><w:t xml:space="preserve">floods, whereas vargem is the term used for land between</w:t></w:r>
</w:p>
<w:p>
<w:pPr><w:pStyle w:val="Normal"/></w:pPr>
<w:r><w:t xml:space="preserve">the levels of moderate and high floods, while for land</w:t></w:r>
</w:p>
<w:p>
<w:pPr><w:pStyle w:val="Normal"/></w:pPr>
<w:r><w:t xml:space="preserve">above this the people use the term terra firma.</w:t></w:r>
</w:p>
<w:p>
<w:pPr><w:pStyle w:val="Normal"/></w:pPr>
<w:r><w:t xml:space="preserve">AMAZONAS, the extreme north-western and largest state of</w:t></w:r>
</w:p>
<w:p>
<w:pPr><w:pStyle w:val="Normal"/></w:pPr>
<w:r><w:t xml:space="preserve">Brazil, bounded N. by Colombia and Venezuela, E. by the state</w:t></w:r>
</w:p>
<w:p>
<w:pPr><w:pStyle w:val="Normal"/></w:pPr>
<w:r><w:t xml:space="preserve">of Para, S. by the state of Matto Grosso and Bolivia, and</w:t></w:r>
</w:p>
<w:p>
<w:pPr><w:pStyle w:val="Normal"/></w:pPr>
<w:r><w:t xml:space="preserve">W. by Peru and Colombia.  It embraces an area of 742,123 sq.</w:t></w:r>
</w:p>
<w:p>
<w:pPr><w:pStyle w:val="Normal"/></w:pPr>
<w:r><w:t xml:space="preserve">m., wholly within the Amazon basin.  A small part bordering</w:t></w:r>
</w:p>
<w:p>
<w:pPr><w:pStyle w:val="Normal"/></w:pPr>
<w:r><w:t xml:space="preserve">the Venezuelan sierras is elevated and mountainous, but</w:t></w:r>
</w:p>
<w:p>
<w:pPr><w:pStyle w:val="Normal"/></w:pPr>
<w:r><w:t xml:space="preserve">the greater part forms an immense alluvial plain, densely</w:t></w:r>
</w:p>
<w:p>
<w:pPr><w:pStyle w:val="Normal"/></w:pPr>
<w:r><w:t xml:space="preserve">wooded, traversed by innumerable rivers, and subjected to</w:t></w:r>
</w:p>
<w:p>
<w:pPr><w:pStyle w:val="Normal"/></w:pPr>
<w:r><w:t xml:space="preserve">extensive annual inundations.  The climate is tropical and</w:t></w:r>
</w:p>
<w:p>
<w:pPr><w:pStyle w:val="Normal"/></w:pPr>
<w:r><w:t xml:space="preserve">generally unfavourable to white settlement, the exceptions</w:t></w:r>
</w:p>
<w:p>
<w:pPr><w:pStyle w:val="Normal"/></w:pPr>
<w:r><w:t xml:space="preserve">being the elevated localities on the Amazon exposed to</w:t></w:r>
</w:p>
<w:p>
<w:pPr><w:pStyle w:val="Normal"/></w:pPr>
<w:r><w:t xml:space="preserve">the strong winds blowing up that river.  The state is</w:t></w:r>
</w:p>
<w:p>
<w:pPr><w:pStyle w:val="Normal"/></w:pPr>
<w:r><w:t xml:space="preserve">very sparsely populated; two-thirds of the inhabitants are</w:t></w:r>
</w:p>
<w:p>
<w:pPr><w:pStyle w:val="Normal"/></w:pPr>
<w:r><w:t xml:space="preserve">Indians, forming small tribes, and subject only in small</w:t></w:r>
</w:p>
<w:p>
<w:pPr><w:pStyle w:val="Heading1"/></w:pPr>
<w:r><w:t>part to government control.  The principal products are</w:t></w:r>
</w:p>
<w:p>
<w:pPr><w:pStyle w:val="Normal"/></w:pPr>
<w:r><w:t xml:space="preserve">rubber, cacao and nuts; cattle are raised on the elevated</w:t></w:r>
</w:p>
<w:p>
<w:pPr><w:pStyle w:val="Normal"/></w:pPr>
<w:r><w:t xml:space="preserve">plains of the north, while curing fish and collecting turtle</w:t></w:r>
</w:p>
<w:p>
<w:pPr><w:pStyle w:val="Normal"/></w:pPr>
<w:r><w:t xml:space="preserve">eggs for their oil give occupation to many people on the</w:t></w:r>
</w:p>
<w:p>
<w:pPr><w:pStyle w:val="Normal"/></w:pPr>
<w:r><w:t xml:space="preserve">rivers.  Coffee, tobacco, rice and various fruits of superior</w:t></w:r>
</w:p>
<w:p>
<w:pPr><w:pStyle w:val="Normal"/></w:pPr>
<w:r><w:t xml:space="preserve">quality are produced with ease, but agriculture is neglected</w:t></w:r>
</w:p>
<w:p>
<w:pPr><w:pStyle w:val="Normal"/></w:pPr>
<w:r><w:t xml:space="preserve">and production is limited to domestic needs.  The capital,</w:t></w:r>
</w:p>
<w:p>
<w:pPr><w:pStyle w:val="Normal"/></w:pPr>
<w:r><w:t xml:space="preserve">Manaos, is the only city and port of general commercial</w:t></w:r>
</w:p>
<w:p>
<w:pPr><w:pStyle w:val="Normal"/></w:pPr>
<w:r><w:t xml:space="preserve">importance in the state; other prominent towns are Serpa and</w:t></w:r>
</w:p>
<w:p>
<w:pPr><w:pStyle w:val="Normal"/></w:pPr>
<w:r><w:t xml:space="preserve">Teffe on the Amazon, Borba and Crato on the Madeira, and</w:t></w:r>
</w:p>
<w:p>
<w:pPr><w:pStyle w:val="Normal"/></w:pPr>
<w:r><w:t xml:space="preserve">Barcellos on the Rio Negro.  Up to 1755 all the Portuguese</w:t></w:r>
</w:p>
<w:p>
<w:pPr><w:pStyle w:val="Normal"/></w:pPr>
<w:r><w:t xml:space="preserve">territory on the Amazon formed part of the capitania of</w:t></w:r>
</w:p>
<w:p>
<w:pPr><w:pStyle w:val="Normal"/></w:pPr>
<w:r><w:t xml:space="preserve">Para.  The upper districts were then organized into a separate</w:t></w:r>
</w:p>
<w:p>
<w:pPr><w:pStyle w:val="Normal"/></w:pPr>
<w:r><w:t xml:space="preserve">capitania, called S. Jose do Rio Negro, to facilitate</w:t></w:r>
</w:p>
<w:p>
<w:pPr><w:pStyle w:val="Normal"/></w:pPr>
<w:r><w:t xml:space="preserve">administration.  When Brazil became independent in 1822, Rio</w:t></w:r>
</w:p>
<w:p>
<w:pPr><w:pStyle w:val="Normal"/></w:pPr>
<w:r><w:t xml:space="preserve">Negro was overlooked in the reorganization into provinces</w:t></w:r>
</w:p>
<w:p>
<w:pPr><w:pStyle w:val="Normal"/></w:pPr>
<w:r><w:t xml:space="preserve">and reverted, notwithstanding the protests and an attempted</w:t></w:r>
</w:p>
<w:p>
<w:pPr><w:pStyle w:val="Normal"/></w:pPr>
<w:r><w:t xml:space="preserve">revolution (1832) of the people, to a state of dependence</w:t></w:r>
</w:p>
<w:p>
<w:pPr><w:pStyle w:val="Normal"/></w:pPr>
<w:r><w:t xml:space="preserve">upon Para. In 1850 autonomy was voted by the general</w:t></w:r>
</w:p>
<w:p>
<w:pPr><w:pStyle w:val="Normal"/></w:pPr>
<w:r><w:t xml:space="preserve">assembly at Rio de Janeiro, and on the 1st of January</w:t></w:r>
</w:p>
<w:p>
<w:pPr><w:pStyle w:val="Normal"/></w:pPr>
<w:r><w:t xml:space="preserve">1852 the province of Amazonas was formally installed.  In</w:t></w:r>
</w:p>
<w:p>
<w:pPr><w:pStyle w:val="Normal"/></w:pPr>
<w:r><w:t xml:space="preserve">1389 it became a federal state in the Brazilian republic.</w:t></w:r>
</w:p>
<w:p>
<w:pPr><w:pStyle w:val="Normal"/></w:pPr>
<w:r><w:t xml:space="preserve">AMAZONAS, a northern department of Peru, covering a</w:t></w:r>
</w:p>
<w:p>
<w:pPr><w:pStyle w:val="Normal"/></w:pPr>
<w:r><w:t xml:space="preserve">mountainous district between the departments of Loreto and</w:t></w:r>
</w:p>
<w:p>
<w:pPr><w:pStyle w:val="Normal"/></w:pPr>
<w:r><w:t xml:space="preserve">Cajamarca, with Ecuador on the N. The Maranon river forms</w:t></w:r>
</w:p>
<w:p>
<w:pPr><w:pStyle w:val="Normal"/></w:pPr>
<w:r><w:t xml:space="preserve">the greater part of its W. boundary-line.  Area, 13,943 sq.</w:t></w:r>
</w:p>
<w:p>
<w:pPr><w:pStyle w:val="Normal"/></w:pPr>
<w:r><w:t xml:space="preserve">m.; pop. (1896) 70,676.  The rainfall is abundant, and the</w:t></w:r>
</w:p>
<w:p>
<w:pPr><w:pStyle w:val="Normal"/></w:pPr>
<w:r><w:t xml:space="preserve">soil of the heavily wooded valleys and lower mountain slopes</w:t></w:r>
</w:p>
<w:p>
<w:pPr><w:pStyle w:val="Normal"/></w:pPr>
<w:r><w:t xml:space="preserve">is exceptionally  fertile and productive.  Its settlement and</w:t></w:r>
</w:p>
<w:p>
<w:pPr><w:pStyle w:val="Normal"/></w:pPr>
<w:r><w:t xml:space="preserve">development is seriously impeded by the lack of transportation</w:t></w:r>
</w:p>
<w:p>
<w:pPr><w:pStyle w:val="Normal"/></w:pPr>
<w:r><w:t xml:space="preserve">facilities.  The capital, Chachapoyas, is a small town</w:t></w:r>
</w:p>
<w:p>
<w:pPr><w:pStyle w:val="Normal"/></w:pPr>
<w:r><w:t xml:space="preserve">(pop. about 6000) situated on a tributary of the Maranon,</w:t></w:r>
</w:p>
<w:p>
<w:pPr><w:pStyle w:val="Normal"/></w:pPr>
<w:r><w:t xml:space="preserve">7600 ft. above sea-level.  It is the seat of a bishopric,</w:t></w:r>
</w:p>
<w:p>
<w:pPr><w:pStyle w:val="Normal"/></w:pPr>
<w:r><w:t xml:space="preserve">created in 1802, which covers the departments of Amazonas and</w:t></w:r>
</w:p>
<w:p>
<w:pPr><w:pStyle w:val="Normal"/></w:pPr>
<w:r><w:t xml:space="preserve">Loreto, and one province of Libertad.  It has an imposing</w:t></w:r>
</w:p>
<w:p>
<w:pPr><w:pStyle w:val="Normal"/></w:pPr>
<w:r><w:t xml:space="preserve">cathedral and a university.  The climate is equable and</w:t></w:r>
</w:p>
<w:p>
<w:pPr><w:pStyle w:val="Normal"/></w:pPr>
<w:r><w:t xml:space="preserve">delightful, the mean temperature for the year being 62 deg.  F.</w:t></w:r>
</w:p>
<w:p>
<w:pPr><w:pStyle w:val="Normal"/></w:pPr>
<w:r><w:t xml:space="preserve">AMAZONAS, a territory belonging to Venezuela, and occupying</w:t></w:r>
</w:p>
<w:p>
<w:pPr><w:pStyle w:val="Normal"/></w:pPr>
<w:r><w:t xml:space="preserve">the extreme southern part of that republic, adjoining the</w:t></w:r>
</w:p>
<w:p>
<w:pPr><w:pStyle w:val="Normal"/></w:pPr>
<w:r><w:t xml:space="preserve">Brazilian state of Amazonas.  It lies partly within the drainage</w:t></w:r>
</w:p>
<w:p>
<w:pPr><w:pStyle w:val="Normal"/></w:pPr>
<w:r><w:t xml:space="preserve">basin of the Orinoco and partly within that of the Rio Negro,</w:t></w:r>
</w:p>
<w:p>
<w:pPr><w:pStyle w:val="Normal"/></w:pPr>
<w:r><w:t xml:space="preserve">an affluent of the Amazon.  The territory is covered with</w:t></w:r>
</w:p>
<w:p>
<w:pPr><w:pStyle w:val="Normal"/></w:pPr>
<w:r><w:t xml:space="preserve">dense forests and is filled with intricate watercourses, one</w:t></w:r>
</w:p>
<w:p>
<w:pPr><w:pStyle w:val="Normal"/></w:pPr>
<w:r><w:t xml:space="preserve">of which, the Casiquiare, forms an open communication between</w:t></w:r>
</w:p>
<w:p>
<w:pPr><w:pStyle w:val="Normal"/></w:pPr>
<w:r><w:t xml:space="preserve">the Orinoco and the Rio Negro and is navigable for large</w:t></w:r>
</w:p>
<w:p>
<w:pPr><w:pStyle w:val="Normal"/></w:pPr>
<w:r><w:t xml:space="preserve">canoes.  The capital of the territory is Maroa, situated</w:t></w:r>
</w:p>
<w:p>
<w:pPr><w:pStyle w:val="Normal"/></w:pPr>
<w:r><w:t xml:space="preserve">on the Guainia river, an affluent of the Rio Negro.</w:t></w:r>
</w:p>
<w:p>
<w:pPr><w:pStyle w:val="Normal"/></w:pPr>
<w:r><w:t xml:space="preserve">AMAZONS, an ancient legendary nation of female warriors.</w:t></w:r>
</w:p>
<w:p>
<w:pPr><w:pStyle w:val="Normal"/></w:pPr>
<w:r><w:t xml:space="preserve">They were said to have lived in Pontus near the shore of the</w:t></w:r>
</w:p>
<w:p>
<w:pPr><w:pStyle w:val="Normal"/></w:pPr>
<w:r><w:t xml:space="preserve">Euxine sea, where they formed an independent kingdom under</w:t></w:r>
</w:p>
<w:p>
<w:pPr><w:pStyle w:val="Normal"/></w:pPr>
<w:r><w:t xml:space="preserve">the government of a queen, the capital being Themiscyra on</w:t></w:r>
</w:p>
<w:p>
<w:pPr><w:pStyle w:val="Normal"/></w:pPr>
<w:r><w:t xml:space="preserve">the banks of the river Thermodon (Herodotus iv. 110-117).</w:t></w:r>
</w:p>
<w:p>
<w:pPr><w:pStyle w:val="Normal"/></w:pPr>
<w:r><w:t xml:space="preserve">From this centre they made numerous warlike excursions -- to</w:t></w:r>
</w:p>
<w:p>
<w:pPr><w:pStyle w:val="Normal"/></w:pPr>
<w:r><w:t xml:space="preserve">Scythia, Thrace, the coasts of Asia Minor and the islands of</w:t></w:r>
</w:p>
<w:p>
<w:pPr><w:pStyle w:val="Normal"/></w:pPr>
<w:r><w:t xml:space="preserve">the Aegean, even penetrating to Arabia, Syria and Egypt.</w:t></w:r>
</w:p>
<w:p>
<w:pPr><w:pStyle w:val="Normal"/></w:pPr>
<w:r><w:t xml:space="preserve">They were supposed to have founded many towns, amongst them</w:t></w:r>
</w:p>
<w:p>
<w:pPr><w:pStyle w:val="Normal"/></w:pPr>
<w:r><w:t xml:space="preserve">Smyrna, Ephesus, Sinope, Paphos.  According to another</w:t></w:r>
</w:p>
<w:p>
<w:pPr><w:pStyle w:val="Normal"/></w:pPr>
<w:r><w:t xml:space="preserve">account, they originally came to the Thermodon from the Palus</w:t></w:r>
</w:p>
<w:p>
<w:pPr><w:pStyle w:val="Normal"/></w:pPr>
<w:r><w:t xml:space="preserve">Maeotis (Sea of Azov).  No men were permitted to reside in</w:t></w:r>
</w:p>
<w:p>
<w:pPr><w:pStyle w:val="Normal"/></w:pPr>
<w:r><w:t xml:space="preserve">their country; but once a year, in order to prevent their race</w:t></w:r>
</w:p>
<w:p>
<w:pPr><w:pStyle w:val="Normal"/></w:pPr>
<w:r><w:t xml:space="preserve">from dying out, they visited the Gargareans, a neighbouring</w:t></w:r>
</w:p>
<w:p>
<w:pPr><w:pStyle w:val="Normal"/></w:pPr>
<w:r><w:t xml:space="preserve">tribe.  The male children who were the result of these visits</w:t></w:r>
</w:p>
<w:p>
<w:pPr><w:pStyle w:val="Normal"/></w:pPr>
<w:r><w:t xml:space="preserve">were either put to death or sent back to their fathers;</w:t></w:r>
</w:p>
<w:p>
<w:pPr><w:pStyle w:val="Normal"/></w:pPr>
<w:r><w:t xml:space="preserve">the female were kept and brought up by their mothers, and</w:t></w:r>
</w:p>
<w:p>
<w:pPr><w:pStyle w:val="Normal"/></w:pPr>
<w:r><w:t xml:space="preserve">trained in agricultural pursuits, hunting, and the art of</w:t></w:r>
</w:p>
<w:p>
<w:pPr><w:pStyle w:val="Normal"/></w:pPr>
<w:r><w:t xml:space="preserve">war (Strabo xi. p. 503).  It is said that their right breast</w:t></w:r>
</w:p>
<w:p>
<w:pPr><w:pStyle w:val="Normal"/></w:pPr>
<w:r><w:t xml:space="preserve">was cut off or burnt out, in order that they might be able</w:t></w:r>
</w:p>
<w:p>
<w:pPr><w:pStyle w:val="Normal"/></w:pPr>
<w:r><w:t xml:space="preserve">to use the bow more freely; hence the ancient derivation of</w:t></w:r>
</w:p>
<w:p>
<w:pPr><w:pStyle w:val="Normal"/></w:pPr>
<w:r><w:t xml:space="preserve">&apos;Amaxones from mafos, ``without breast.&apos;&apos; But there is</w:t></w:r>
</w:p>
<w:p>
<w:pPr><w:pStyle w:val="Normal"/></w:pPr>
<w:r><w:t xml:space="preserve">no indication of this practice in works of art, in which the</w:t></w:r>
</w:p>
<w:p>
<w:pPr><w:pStyle w:val="Normal"/></w:pPr>
<w:r><w:t xml:space="preserve">Amazons are always represented with both breasts, although</w:t></w:r>
</w:p>
<w:p>
<w:pPr><w:pStyle w:val="Normal"/></w:pPr>
<w:r><w:t xml:space="preserve">the right is frequently covered. Other suggested derivations</w:t></w:r>
</w:p>
<w:p>
<w:pPr><w:pStyle w:val="Normal"/></w:pPr>
<w:r><w:t xml:space="preserve">are: a (intensive) and mafos, breast, ``full-breasted&apos;&apos;;</w:t></w:r>
</w:p>
<w:p>
<w:pPr><w:pStyle w:val="Normal"/></w:pPr>
<w:r><w:t xml:space="preserve">a (privative) and masso, touch, ``not touching men&apos;&apos;;</w:t></w:r>
</w:p>
<w:p>
<w:pPr><w:pStyle w:val="Normal"/></w:pPr>
<w:r><w:t xml:space="preserve">maza, a Circassian word said to signify ``moon,&apos;&apos; has</w:t></w:r>
</w:p>
<w:p>
<w:pPr><w:pStyle w:val="Normal"/></w:pPr>
<w:r><w:t xml:space="preserve">suggested their connexion with the worship of a moon-</w:t></w:r>
</w:p>
<w:p>
<w:pPr><w:pStyle w:val="Normal"/></w:pPr>
<w:r><w:t xml:space="preserve">goddess, perhaps the Asiatic representative of Artemis.</w:t></w:r>
</w:p>
<w:p>
<w:pPr><w:pStyle w:val="Normal"/></w:pPr>
<w:r><w:t xml:space="preserve">The Amazons appear in connexion with several Greek legends.</w:t></w:r>
</w:p>
<w:p>
<w:pPr><w:pStyle w:val="Normal"/></w:pPr>
<w:r><w:t xml:space="preserve">They invaded Lycia, but were defeated by Bellerophon, who</w:t></w:r>
</w:p>
<w:p>
<w:pPr><w:pStyle w:val="Normal"/></w:pPr>
<w:r><w:t xml:space="preserve">was sent out against them by Iobates, the king of that</w:t></w:r>
</w:p>
<w:p>
<w:pPr><w:pStyle w:val="Normal"/></w:pPr>
<w:r><w:t xml:space="preserve">country, in the hope that he might meet his death at their</w:t></w:r>
</w:p>
<w:p>
<w:pPr><w:pStyle w:val="Normal"/></w:pPr>
<w:r><w:t xml:space="preserve">hands (Iliad, vi. 186).  They attacked the Phrygians, who</w:t></w:r>
</w:p>
<w:p>
<w:pPr><w:pStyle w:val="Normal"/></w:pPr>
<w:r><w:t xml:space="preserve">were assisted by Priam, then a young man (Iliad, iii. 189),</w:t></w:r>
</w:p>
<w:p>
<w:pPr><w:pStyle w:val="Normal"/></w:pPr>
<w:r><w:t xml:space="preserve">although in his later years, towards the end of the Trojan</w:t></w:r>
</w:p>
<w:p>
<w:pPr><w:pStyle w:val="Normal"/></w:pPr>
<w:r><w:t xml:space="preserve">war, his old opponents took his side against the Greeks</w:t></w:r>
</w:p>
<w:p>
<w:pPr><w:pStyle w:val="Normal"/></w:pPr>
<w:r><w:t xml:space="preserve">under their queen Penthesileia, who was slain by Achilles</w:t></w:r>
</w:p>
<w:p>
<w:pPr><w:pStyle w:val="Normal"/></w:pPr>
<w:r><w:t xml:space="preserve">(Quint.  Smyr. i.; Justin ii. 4; Virgil, Aen. i. 490).</w:t></w:r>
</w:p>
<w:p>
<w:pPr><w:pStyle w:val="Normal"/></w:pPr>
<w:r><w:t xml:space="preserve">One of the tasks imposed upon Heracles by Eurystheus was</w:t></w:r>
</w:p>
<w:p>
<w:pPr><w:pStyle w:val="Normal"/></w:pPr>
<w:r><w:t xml:space="preserve">to obtain possession of the girdle of the Amazonian queen</w:t></w:r>
</w:p>
<w:p>
<w:pPr><w:pStyle w:val="Normal"/></w:pPr>
<w:r><w:t xml:space="preserve">Hippolyte (Apollodorus ii. 5). He was accompanied by his friend</w:t></w:r>
</w:p>
<w:p>
<w:pPr><w:pStyle w:val="Normal"/></w:pPr>
<w:r><w:t xml:space="preserve">Theseus, who carried off the princess Antiope, sister of</w:t></w:r>
</w:p>
<w:p>
<w:pPr><w:pStyle w:val="Normal"/></w:pPr>
<w:r><w:t xml:space="preserve">Hippolyte, an incident which led to a retaliatory invasion of</w:t></w:r>
</w:p>
<w:p>
<w:pPr><w:pStyle w:val="Normal"/></w:pPr>
<w:r><w:t xml:space="preserve">Attica, in which Antiope perished fighting by the side of</w:t></w:r>
</w:p>
<w:p>
<w:pPr><w:pStyle w:val="Normal"/></w:pPr>
<w:r><w:t xml:space="preserve">Theseus.  The Amazons are also said to have undertaken an</w:t></w:r>
</w:p>
<w:p>
<w:pPr><w:pStyle w:val="Normal"/></w:pPr>
<w:r><w:t xml:space="preserve">expedition against the island of Leuke, at the mouth of the</w:t></w:r>
</w:p>
<w:p>
<w:pPr><w:pStyle w:val="Normal"/></w:pPr>
<w:r><w:t xml:space="preserve">Danube, where the ashes of Achilles had been deposited by</w:t></w:r>
</w:p>
<w:p>
<w:pPr><w:pStyle w:val="Normal"/></w:pPr>
<w:r><w:t xml:space="preserve">Thetis.  The ghost of the dead hero appeared and so</w:t></w:r>
</w:p>
<w:p>
<w:pPr><w:pStyle w:val="Normal"/></w:pPr>
<w:r><w:t xml:space="preserve">terrified the horses, that they threw and trampled upon</w:t></w:r>
</w:p>
<w:p>
<w:pPr><w:pStyle w:val="Normal"/></w:pPr>
<w:r><w:t xml:space="preserve">the invaders, who were forced to retire.  They are heard</w:t></w:r>
</w:p>
<w:p>
<w:pPr><w:pStyle w:val="Normal"/></w:pPr>
<w:r><w:t xml:space="preserve">of in the time of Alexander the Great, when their queen</w:t></w:r>
</w:p>
<w:p>
<w:pPr><w:pStyle w:val="Normal"/></w:pPr>
<w:r><w:t xml:space="preserve">Thalestris visited him and became a mother by him, and Pompey</w:t></w:r>
</w:p>
<w:p>
<w:pPr><w:pStyle w:val="Normal"/></w:pPr>
<w:r><w:t xml:space="preserve">is said to have found them in the army of Mithradates.</w:t></w:r>
</w:p>
<w:p>
<w:pPr><w:pStyle w:val="Normal"/></w:pPr>
<w:r><w:t xml:space="preserve">The origin of the story of the Amazons has been the subject</w:t></w:r>
</w:p>
<w:p>
<w:pPr><w:pStyle w:val="Normal"/></w:pPr>
<w:r><w:t xml:space="preserve">of much discussion.  While some regard them as a purely</w:t></w:r>
</w:p>
<w:p>
<w:pPr><w:pStyle w:val="Normal"/></w:pPr>
<w:r><w:t xml:space="preserve">mythical people, others assume an historical foundation for</w:t></w:r>
</w:p>
<w:p>
<w:pPr><w:pStyle w:val="Normal"/></w:pPr>
<w:r><w:t xml:space="preserve">them.  The deities worshipped by them were Ares (who is</w:t></w:r>
</w:p>
<w:p>
<w:pPr><w:pStyle w:val="Normal"/></w:pPr>
<w:r><w:t xml:space="preserve">consistently assigned to them as a god of war, and as a god</w:t></w:r>
</w:p>
<w:p>
<w:pPr><w:pStyle w:val="Normal"/></w:pPr>
<w:r><w:t xml:space="preserve">of Thracian and generally northern origin) and Artemis,</w:t></w:r>
</w:p>
<w:p>
<w:pPr><w:pStyle w:val="Normal"/></w:pPr>
<w:r><w:t xml:space="preserve">not the usual Greek goddess of that name, but an Asiatic</w:t></w:r>
</w:p>
<w:p>
<w:pPr><w:pStyle w:val="Normal"/></w:pPr>
<w:r><w:t xml:space="preserve">deity in some respects her equivalent.  It is conjectured</w:t></w:r>
</w:p>
<w:p>
<w:pPr><w:pStyle w:val="Normal"/></w:pPr>
<w:r><w:t xml:space="preserve">that the Amazons were originally the temple-servants and</w:t></w:r>
</w:p>
<w:p>
<w:pPr><w:pStyle w:val="Normal"/></w:pPr>
<w:r><w:t xml:space="preserve">priestesses (hierodulae) of this goddess; and that the</w:t></w:r>
</w:p>
<w:p>
<w:pPr><w:pStyle w:val="Normal"/></w:pPr>
<w:r><w:t xml:space="preserve">removal of the breast corresponded with the self-mutilation</w:t></w:r>
</w:p>
<w:p>
<w:pPr><w:pStyle w:val="Normal"/></w:pPr>
<w:r><w:t xml:space="preserve">of the galli, or priests, of Rhea Cybele. Another theory</w:t></w:r>
</w:p>
<w:p>
<w:pPr><w:pStyle w:val="Normal"/></w:pPr>
<w:r><w:t xml:space="preserve">is that, as the knowledge of geography extended, travellers</w:t></w:r>
</w:p>
<w:p>
<w:pPr><w:pStyle w:val="Normal"/></w:pPr>
<w:r><w:t xml:space="preserve">brought back reports of tribes ruled entirely by women,</w:t></w:r>
</w:p>
<w:p>
<w:pPr><w:pStyle w:val="Normal"/></w:pPr>
<w:r><w:t xml:space="preserve">who carried out the duties which elsewhere were regarded as</w:t></w:r>
</w:p>
<w:p>
<w:pPr><w:pStyle w:val="Normal"/></w:pPr>
<w:r><w:t xml:space="preserve">peculiar to man, in whom alone the rights of nobility and</w:t></w:r>
</w:p>
<w:p>
<w:pPr><w:pStyle w:val="Normal"/></w:pPr>
<w:r><w:t xml:space="preserve">inheritance were vested, and who had the supreme control of</w:t></w:r>
</w:p>
<w:p>
<w:pPr><w:pStyle w:val="Normal"/></w:pPr>
<w:r><w:t xml:space="preserve">affairs.  Hence arose the belief in the Amazons as a nation</w:t></w:r>
</w:p>
<w:p>
<w:pPr><w:pStyle w:val="Normal"/></w:pPr>
<w:r><w:t xml:space="preserve">of female warriors, organized and governed entirely by</w:t></w:r>
</w:p>
<w:p>
<w:pPr><w:pStyle w:val="Normal"/></w:pPr>
<w:r><w:t xml:space="preserve">women. According to J. Vurtheim (De Ajacis origine,</w:t></w:r>
</w:p>
<w:p>
<w:pPr><w:pStyle w:val="Normal"/></w:pPr>
<w:r><w:t xml:space="preserve">1907), the Amazons were of Greek origin: ``all the Amazons</w:t></w:r>
</w:p>
<w:p>
<w:pPr><w:pStyle w:val="Normal"/></w:pPr>
<w:r><w:t xml:space="preserve">were Dianas, as Diana herself was an Amazon.&apos;&apos; It has been</w:t></w:r>
</w:p>
<w:p>
<w:pPr><w:pStyle w:val="Normal"/></w:pPr>
<w:r><w:t xml:space="preserve">suggested that the fact of the conquest of the Amazons</w:t></w:r>
</w:p>
<w:p>
<w:pPr><w:pStyle w:val="Normal"/></w:pPr>
<w:r><w:t xml:space="preserve">being assigned to the two famous heroes of Greek mythology,</w:t></w:r>
</w:p>
<w:p>
<w:pPr><w:pStyle w:val="Normal"/></w:pPr>
<w:r><w:t xml:space="preserve">Heracles and Theseus -- who in the tasks assigned to them</w:t></w:r>
</w:p>
<w:p>
<w:pPr><w:pStyle w:val="Normal"/></w:pPr>
<w:r><w:t xml:space="preserve">were generally opposed to monsters and beings impossible in</w:t></w:r>
</w:p>
<w:p>
<w:pPr><w:pStyle w:val="Normal"/></w:pPr>
<w:r><w:t xml:space="preserve">themselves, but possible as illustrations of permanent danger</w:t></w:r>
</w:p>
<w:p>
<w:pPr><w:pStyle w:val="Normal"/></w:pPr>
<w:r><w:t xml:space="preserve">and damage, -- shows that they were mythical illustrations</w:t></w:r>
</w:p>
<w:p>
<w:pPr><w:pStyle w:val="Normal"/></w:pPr>
<w:r><w:t xml:space="preserve">of the dangers which beset the Greeks on the coasts of</w:t></w:r>
</w:p>
<w:p>
<w:pPr><w:pStyle w:val="Normal"/></w:pPr>
<w:r><w:t xml:space="preserve">Asia Minor; rather perhaps, it may be intended to represent</w:t></w:r>
</w:p>
<w:p>
<w:pPr><w:pStyle w:val="Normal"/></w:pPr>
<w:r><w:t xml:space="preserve">the conflict between the Greek culture of the colonies on</w:t></w:r>
</w:p>
<w:p>
<w:pPr><w:pStyle w:val="Normal"/></w:pPr>
<w:r><w:t xml:space="preserve">the Euxine and the barbarism of the native inhabitants.</w:t></w:r>
</w:p>
<w:p>
<w:pPr><w:pStyle w:val="Normal"/></w:pPr>
<w:r><w:t xml:space="preserve">In works of art, combats between Amazons and Greeks are</w:t></w:r>
</w:p>
<w:p>
<w:pPr><w:pStyle w:val="Normal"/></w:pPr>
<w:r><w:t xml:space="preserve">placed on the same level as and often associated with combats</w:t></w:r>
</w:p>
<w:p>
<w:pPr><w:pStyle w:val="Normal"/></w:pPr>
<w:r><w:t xml:space="preserve">of Greeks and centaurs.  The belief in their existence,</w:t></w:r>
</w:p>
<w:p>
<w:pPr><w:pStyle w:val="Normal"/></w:pPr>
<w:r><w:t xml:space="preserve">however, having been once accepted and introduced into the</w:t></w:r>
</w:p>
<w:p>
<w:pPr><w:pStyle w:val="Normal"/></w:pPr>
<w:r><w:t xml:space="preserve">national poetry and art, it became necessary to surround</w:t></w:r>
</w:p>
<w:p>
<w:pPr><w:pStyle w:val="Normal"/></w:pPr>
<w:r><w:t xml:space="preserve">them as far as possible with the appearance of not unnatural</w:t></w:r>
</w:p>
<w:p>
<w:pPr><w:pStyle w:val="Normal"/></w:pPr>
<w:r><w:t xml:space="preserve">beings.  Their occupation was hunting and war; their arms the</w:t></w:r>
</w:p>
<w:p>
<w:pPr><w:pStyle w:val="Normal"/></w:pPr>
<w:r><w:t xml:space="preserve">bow, spear, axe, a half shield, nearly in the shape of a</w:t></w:r>
</w:p>
<w:p>
<w:pPr><w:pStyle w:val="Normal"/></w:pPr>
<w:r><w:t xml:space="preserve">crescent, called pelta, and in early art a helmet, the</w:t></w:r>
</w:p>
<w:p>
<w:pPr><w:pStyle w:val="Normal"/></w:pPr>
<w:r><w:t xml:space="preserve">model before the Greek mind having apparently been the goddess</w:t></w:r>
</w:p>
<w:p>
<w:pPr><w:pStyle w:val="Normal"/></w:pPr>
<w:r><w:t xml:space="preserve">Athena.  In later art they approach the model of Artemis,</w:t></w:r>
</w:p>
<w:p>
<w:pPr><w:pStyle w:val="Normal"/></w:pPr>
<w:r><w:t xml:space="preserve">wearing a thin dress, girt high for speed; while on the</w:t></w:r>
</w:p>
<w:p>
<w:pPr><w:pStyle w:val="Normal"/></w:pPr>
<w:r><w:t xml:space="preserve">later painted vases their dress is often peculiarly Persian</w:t></w:r>
</w:p>
<w:p>
<w:pPr><w:pStyle w:val="Normal"/></w:pPr>
<w:r><w:t xml:space="preserve">-- that is, close-fitting trousers and a high cap called the</w:t></w:r>
</w:p>
<w:p>
<w:pPr><w:pStyle w:val="Normal"/></w:pPr>
<w:r><w:t xml:space="preserve">kidaris.  They were usually on horseback but sometimes on</w:t></w:r>
</w:p>
<w:p>
<w:pPr><w:pStyle w:val="Normal"/></w:pPr>
<w:r><w:t xml:space="preserve">foot.  The battle between Theseus and the Amazons is a</w:t></w:r>
</w:p>
<w:p>
<w:pPr><w:pStyle w:val="Normal"/></w:pPr>
<w:r><w:t xml:space="preserve">favourite subject on the friezes of temples (e.g. the</w:t></w:r>
</w:p>
<w:p>
<w:pPr><w:pStyle w:val="Normal"/></w:pPr>
<w:r><w:t xml:space="preserve">reliefs from the frieze of the temple of Apollo at Bassae,</w:t></w:r>
</w:p>
<w:p>
<w:pPr><w:pStyle w:val="Normal"/></w:pPr>
<w:r><w:t xml:space="preserve">now in the British Museum), vases and sarcophagus reliefs;</w:t></w:r>
</w:p>
<w:p>
<w:pPr><w:pStyle w:val="Normal"/></w:pPr>
<w:r><w:t xml:space="preserve">at Athens it was represented on the shield of the statue of</w:t></w:r>
</w:p>
<w:p>
<w:pPr><w:pStyle w:val="Normal"/></w:pPr>
<w:r><w:t xml:space="preserve">Athena Parthenos, on wall-paintings in the Theseum and in the</w:t></w:r>
</w:p>
<w:p>
<w:pPr><w:pStyle w:val="Normal"/></w:pPr>
<w:r><w:t xml:space="preserve">Poikile Stoa. Many of the sculptors of antiquity, including</w:t></w:r>
</w:p>
<w:p>
<w:pPr><w:pStyle w:val="Normal"/></w:pPr>
<w:r><w:t xml:space="preserve">Pheidias, Polyclitus, Cresilas and Phradmon, executed statues</w:t></w:r>
</w:p>
<w:p>
<w:pPr><w:pStyle w:val="Normal"/></w:pPr>
<w:r><w:t xml:space="preserve">of Amazons; and there are many existing reproductions of these.</w:t></w:r>
</w:p>
<w:p>
<w:pPr><w:pStyle w:val="Normal"/></w:pPr>
<w:r><w:t xml:space="preserve">The history of Bohemia affords a parallel to the Greek</w:t></w:r>
</w:p>
<w:p>
<w:pPr><w:pStyle w:val="Normal"/></w:pPr>
<w:r><w:t xml:space="preserve">Amazons.  During the 8th century a large band of women, under</w:t></w:r>
</w:p>
<w:p>
<w:pPr><w:pStyle w:val="Normal"/></w:pPr>
<w:r><w:t xml:space="preserve">a certain Vlasta, carried on war against the duke of Bohemia,</w:t></w:r>
</w:p>
<w:p>
<w:pPr><w:pStyle w:val="Normal"/></w:pPr>
<w:r><w:t xml:space="preserve">and enslaved or put to death all men who fell into their</w:t></w:r>
</w:p>
<w:p>
<w:pPr><w:pStyle w:val="Normal"/></w:pPr>
<w:r><w:t xml:space="preserve">hands.  In the 16th century the Spanish explorer Orellana</w:t></w:r>
</w:p>
<w:p>
<w:pPr><w:pStyle w:val="Normal"/></w:pPr>
<w:r><w:t xml:space="preserve">asserted that he had come into conflict with fighting women in</w:t></w:r>
</w:p>
<w:p>
<w:pPr><w:pStyle w:val="Normal"/></w:pPr>
<w:r><w:t xml:space="preserve">South America on the river Maranon, which was named after them</w:t></w:r>
</w:p>
<w:p>
<w:pPr><w:pStyle w:val="Normal"/></w:pPr>
<w:r><w:t xml:space="preserve">the Amazon (q.v.) or river of the Amazons, although others</w:t></w:r>
</w:p>
<w:p>
<w:pPr><w:pStyle w:val="Normal"/></w:pPr>
<w:r><w:t xml:space="preserve">derive its name from the Indian amassona (boat-destroyer),</w:t></w:r>
</w:p>
<w:p>
<w:pPr><w:pStyle w:val="Normal"/></w:pPr>
<w:r><w:t xml:space="preserve">applied to the tidal phenomenon known as the ``bore.&apos;&apos; The</w:t></w:r>
</w:p>
<w:p>
<w:pPr><w:pStyle w:val="Normal"/></w:pPr>
<w:r><w:t xml:space="preserve">existence of ``Amazons&apos;&apos; (in the sense of fighting women)</w:t></w:r>
</w:p>
<w:p>
<w:pPr><w:pStyle w:val="Normal"/></w:pPr>
<w:r><w:t xml:space="preserve">in the army of Dahomey in modern times is an undoubted</w:t></w:r>
</w:p>
<w:p>
<w:pPr><w:pStyle w:val="Normal"/></w:pPr>
<w:r><w:t xml:space="preserve">fact, but they are said to have died out during the French</w:t></w:r>
</w:p>
<w:p>
<w:pPr><w:pStyle w:val="Normal"/></w:pPr>
<w:r><w:t xml:space="preserve">protectorate. For notable cases of women who have become soldiers,</w:t></w:r>
</w:p>
<w:p>
<w:pPr><w:pStyle w:val="Normal"/></w:pPr>
<w:r><w:t xml:space="preserve">reference may be made to Mary Anne Talbot and Hannah Snell.</w:t></w:r>
</w:p>
<w:p>
<w:pPr><w:pStyle w:val="Normal"/></w:pPr>
<w:r><w:t xml:space="preserve">See A. D. Mordtmann, Die Amazonen (1862); W. Stricker,</w:t></w:r>
</w:p>
<w:p>
<w:pPr><w:pStyle w:val="Normal"/></w:pPr>
<w:r><w:t xml:space="preserve">Die A. in Sage und Geschichte (1868); A. Klugmann, Die</w:t></w:r>
</w:p>
<w:p>
<w:pPr><w:pStyle w:val="Normal"/></w:pPr>
<w:r><w:t xml:space="preserve">A. in der attischen Literatur und Kunst (1875); H. L.</w:t></w:r>
</w:p>
<w:p>
<w:pPr><w:pStyle w:val="Normal"/></w:pPr>
<w:r><w:t xml:space="preserve">Krause, Die Amazonensage (1893); F. G. Bergmann, Les</w:t></w:r>
</w:p>
<w:p>
<w:pPr><w:pStyle w:val="Normal"/></w:pPr>
<w:r><w:t xml:space="preserve">Amazones dans l&apos;histoire et dans la fable (1853); P.</w:t></w:r>
</w:p>
<w:p>
<w:pPr><w:pStyle w:val="Normal"/></w:pPr>
<w:r><w:t xml:space="preserve">Lacour, Les Amazones (1901); articles in Pauly- Wissowa&apos;s</w:t></w:r>
</w:p>
<w:p>
<w:pPr><w:pStyle w:val="Normal"/></w:pPr>
<w:r><w:t xml:space="preserve">Realencyclopadie and Roscher&apos;s Lexikon der Mythologie;</w:t></w:r>
</w:p>
<w:p>
<w:pPr><w:pStyle w:val="Normal"/></w:pPr>
<w:r><w:t xml:space="preserve">Grote, Hist. of Greece, pt. i. ch. 11. In article GREEK</w:t></w:r>
</w:p>
<w:p>
<w:pPr><w:pStyle w:val="Normal"/></w:pPr>
<w:r><w:t xml:space="preserve">ART, fig. 40 represents three types of Amazons, and</w:t></w:r>
</w:p>
<w:p>
<w:pPr><w:pStyle w:val="Normal"/></w:pPr>
<w:r><w:t xml:space="preserve">fig. 70 (pl. iv.) a battle between Amazons and Greeks.</w:t></w:r>
</w:p>
<w:p>
<w:pPr><w:pStyle w:val="Normal"/></w:pPr>
<w:r><w:t xml:space="preserve">AMAZON-STONE, or AMAZONITE, a green variety of microcline-</w:t></w:r>
</w:p>
<w:p>
<w:pPr><w:pStyle w:val="Normal"/></w:pPr>
<w:r><w:t xml:space="preserve">felspar.  The name is taken from that of the river Amazon,</w:t></w:r>
</w:p>
<w:p>
<w:pPr><w:pStyle w:val="Normal"/></w:pPr>
<w:r><w:t xml:space="preserve">whence certain green stones were formedy obtained, but it</w:t></w:r>
</w:p>
<w:p>
<w:pPr><w:pStyle w:val="Normal"/></w:pPr>
<w:r><w:t xml:space="preserve">is doubtful whether green felspar occurs in the Amazon</w:t></w:r>
</w:p>
<w:p>
<w:pPr><w:pStyle w:val="Normal"/></w:pPr>
<w:r><w:t xml:space="preserve">district. The modern amazon-stone is a mineral of restricted</w:t></w:r>
</w:p>
<w:p>
<w:pPr><w:pStyle w:val="Normal"/></w:pPr>
<w:r><w:t xml:space="preserve">occurrence. Formerly it was obtained almost exclusively</w:t></w:r>
</w:p>
<w:p>
<w:pPr><w:pStyle w:val="Normal"/></w:pPr>
<w:r><w:t xml:space="preserve">from the neighbourhood of Miyask, in the Ilmen mountains, 50</w:t></w:r>
</w:p>
<w:p>
<w:pPr><w:pStyle w:val="Normal"/></w:pPr>
<w:r><w:t xml:space="preserve">m.  S.W. of Chehabinsk, Russia, where it occurs in granitic</w:t></w:r>
</w:p>
<w:p>
<w:pPr><w:pStyle w:val="Normal"/></w:pPr>
<w:r><w:t xml:space="preserve">rocks.  Of late years, magnificent crystals have been obtained</w:t></w:r>
</w:p>
<w:p>
<w:pPr><w:pStyle w:val="Normal"/></w:pPr>
<w:r><w:t xml:space="preserve">from Pike&apos;s Peak, Colorado, where it is found associated with</w:t></w:r>
</w:p>
<w:p>
<w:pPr><w:pStyle w:val="Normal"/></w:pPr>
<w:r><w:t xml:space="preserve">smoky quartz, orthoclase and albite in a coarse granite or</w:t></w:r>
</w:p>
<w:p>
<w:pPr><w:pStyle w:val="Normal"/></w:pPr>
<w:r><w:t xml:space="preserve">pegmatite.  Some other localities in the United States</w:t></w:r>
</w:p>
<w:p>
<w:pPr><w:pStyle w:val="Normal"/></w:pPr>
<w:r><w:t xml:space="preserve">yield amazon-stone, and it is also found in pegmatite in</w:t></w:r>
</w:p>
<w:p>
<w:pPr><w:pStyle w:val="Normal"/></w:pPr>
<w:r><w:t xml:space="preserve">Madagascar.  On account of its lively green colour, it</w:t></w:r>
</w:p>
<w:p>
<w:pPr><w:pStyle w:val="Normal"/></w:pPr>
<w:r><w:t xml:space="preserve">is cut and polished to a limited extent as an ornamental</w:t></w:r>
</w:p>
<w:p>
<w:pPr><w:pStyle w:val="Normal"/></w:pPr>
<w:r><w:t xml:space="preserve">stone.  The colour has been attributed to the presence</w:t></w:r>
</w:p>
<w:p>
<w:pPr><w:pStyle w:val="Normal"/></w:pPr>
<w:r><w:t xml:space="preserve">of copper, but as it is discharged by heat it is likely</w:t></w:r>
</w:p>
<w:p>
<w:pPr><w:pStyle w:val="Normal"/></w:pPr>
<w:r><w:t xml:space="preserve">to be due to some pigment of organic origin, and an organic</w:t></w:r>
</w:p>
<w:p>
<w:pPr><w:pStyle w:val="Normal"/></w:pPr>
<w:r><w:t xml:space="preserve">salt of iron has been suggested. (See MICROCLINE.)</w:t></w:r>
</w:p>
<w:p>
<w:pPr><w:pStyle w:val="Normal"/></w:pPr>
<w:r><w:t xml:space="preserve">AMBARVALIA, an annual festival of the ancient Romans,</w:t></w:r>
</w:p>
<w:p>
<w:pPr><w:pStyle w:val="Normal"/></w:pPr>
<w:r><w:t xml:space="preserve">occurring in May, usually on the 29th, the object of which</w:t></w:r>
</w:p>
<w:p>
<w:pPr><w:pStyle w:val="Normal"/></w:pPr>
<w:r><w:t xml:space="preserve">was to secure the growing crops against harm of all kinds.</w:t></w:r>
</w:p>
<w:p>
<w:pPr><w:pStyle w:val="Normal"/></w:pPr>
<w:r><w:t xml:space="preserve">The priests were the Arval Brothers (q.v.), who conducted</w:t></w:r>
</w:p>
<w:p>
<w:pPr><w:pStyle w:val="Normal"/></w:pPr>
<w:r><w:t xml:space="preserve">the victims -- ox, sheep and pig (suovetaurilia) -- in</w:t></w:r>
</w:p>
<w:p>
<w:pPr><w:pStyle w:val="Normal"/></w:pPr>
<w:r><w:t xml:space="preserve">procession with prayer to Ceres round the boundaries of the ager</w:t></w:r>
</w:p>
<w:p>
<w:pPr><w:pStyle w:val="Normal"/></w:pPr>
<w:r><w:t xml:space="preserve">Romanus.  As the extent of Roman land increased, this could</w:t></w:r>
</w:p>
<w:p>
<w:pPr><w:pStyle w:val="Normal"/></w:pPr>
<w:r><w:t xml:space="preserve">no longer be done, and in the Acta of the Fratres, which</w:t></w:r>
</w:p>
<w:p>
<w:pPr><w:pStyle w:val="Normal"/></w:pPr>
<w:r><w:t xml:space="preserve">date from Augustus, we do not find this procession mentioned</w:t></w:r>
</w:p>
<w:p>
<w:pPr><w:pStyle w:val="Normal"/></w:pPr>
<w:r><w:t xml:space="preserve">(Henzen, Acta Fratrum Arvalium, 1874); but there is a good</w:t></w:r>
</w:p>
<w:p>
<w:pPr><w:pStyle w:val="Normal"/></w:pPr>
<w:r><w:t xml:space="preserve">description of this or a similar rite in Virgil, Georg. i.</w:t></w:r>
</w:p>
<w:p>
<w:pPr><w:pStyle w:val="Normal"/></w:pPr>
<w:r><w:t xml:space="preserve">338 ff., and in Cato&apos;s work de Re Rustica (141) we have full</w:t></w:r>
</w:p>
<w:p>
<w:pPr><w:pStyle w:val="Normal"/></w:pPr>
<w:r><w:t xml:space="preserve">details and the text of the prayers used by the Latin farmer</w:t></w:r>
</w:p>
<w:p>
<w:pPr><w:pStyle w:val="Normal"/></w:pPr>
<w:r><w:t xml:space="preserve">in thus ``lustrating&apos;&apos; his own land.  In this last case the</w:t></w:r>
</w:p>
<w:p>
<w:pPr><w:pStyle w:val="Normal"/></w:pPr>
<w:r><w:t xml:space="preserve">god invoked is Mars.  The Christian festival which seems to</w:t></w:r>
</w:p>
<w:p>
<w:pPr><w:pStyle w:val="Normal"/></w:pPr>
<w:r><w:t xml:space="preserve">have taken the place of these ceremonies is the Rogation or</w:t></w:r>
</w:p>
<w:p>
<w:pPr><w:pStyle w:val="Normal"/></w:pPr>
<w:r><w:t xml:space="preserve">Gang week of the Roman Church.  The perambulation or beatinc</w:t></w:r>
</w:p>
<w:p>
<w:pPr><w:pStyle w:val="Normal"/></w:pPr>
<w:r><w:t xml:space="preserve">of bounds is probably a survival of the same type of rite.</w:t></w:r>
</w:p>
<w:p>
<w:pPr><w:pStyle w:val="Normal"/></w:pPr>
<w:r><w:t xml:space="preserve">See W. W. Fowler, Roman Festivals (1899), p. 124 ff.</w:t></w:r>
</w:p>
<w:p>
<w:pPr><w:pStyle w:val="Normal"/></w:pPr>
<w:r><w:t xml:space="preserve">(W. W. F.*)</w:t></w:r>
</w:p>
<w:p>
<w:pPr><w:pStyle w:val="Normal"/></w:pPr>
<w:r><w:t xml:space="preserve">AMBASSADOR (also EMBASSADOR, the form sometimes still used</w:t></w:r>
</w:p>
<w:p>
<w:pPr><w:pStyle w:val="Normal"/></w:pPr>
<w:r><w:t xml:space="preserve">in America; from the Fr. ambassadeur, with which compare</w:t></w:r>
</w:p>
<w:p>
<w:pPr><w:pStyle w:val="Normal"/></w:pPr>
<w:r><w:t xml:space="preserve">Ital. ambasciatore and Span. embajador, all variants of</w:t></w:r>
</w:p>
<w:p>
<w:pPr><w:pStyle w:val="Normal"/></w:pPr>
<w:r><w:t xml:space="preserve">the Med. Lat. ambasciator, ambassiator, ambasator, &amp;c.,</w:t></w:r>
</w:p>
<w:p>
<w:pPr><w:pStyle w:val="Normal"/></w:pPr>
<w:r><w:t xml:space="preserve">derived from Med. Lat. ambasciare or ambactiare, ``to</w:t></w:r>
</w:p>
<w:p>
<w:pPr><w:pStyle w:val="Normal"/></w:pPr>
<w:r><w:t xml:space="preserve">go on a mission, to do or say anything in another&apos;s name,&apos;&apos;</w:t></w:r>
</w:p>
<w:p>
<w:pPr><w:pStyle w:val="Normal"/></w:pPr>
<w:r><w:t xml:space="preserve">from Lat. ambactus,1 a vassal or servant; see Du Cange,</w:t></w:r>
</w:p>
<w:p>
<w:pPr><w:pStyle w:val="Normal"/></w:pPr>
<w:r><w:t xml:space="preserve">Glossarium, s.v. ambasciare), a public minister of the first</w:t></w:r>
</w:p>
<w:p>
<w:pPr><w:pStyle w:val="Normal"/></w:pPr>
<w:r><w:t xml:space="preserve">rank, accredited and sent by the head of a sovereign state</w:t></w:r>
</w:p>
<w:p>
<w:pPr><w:pStyle w:val="Normal"/></w:pPr>
<w:r><w:t xml:space="preserve">as his personal representative to negotiate with a foreign</w:t></w:r>
</w:p>
<w:p>
<w:pPr><w:pStyle w:val="Normal"/></w:pPr>
<w:r><w:t xml:space="preserve">government, and to watch over the interests of his own nation</w:t></w:r>
</w:p>
<w:p>
<w:pPr><w:pStyle w:val="Normal"/></w:pPr>
<w:r><w:t xml:space="preserve">abroad.  The power thus conferred is defined in the credentials</w:t></w:r>
</w:p>
<w:p>
<w:pPr><w:pStyle w:val="Normal"/></w:pPr>
<w:r><w:t xml:space="preserve">or letters of credence of which the ambassador is the bearer,</w:t></w:r>
</w:p>
<w:p>
<w:pPr><w:pStyle w:val="Normal"/></w:pPr>
<w:r><w:t xml:space="preserve">and in the instructions under the sign-manual delivered to</w:t></w:r>
</w:p>
<w:p>
<w:pPr><w:pStyle w:val="Normal"/></w:pPr>
<w:r><w:t xml:space="preserve">him.  The credentials consist of a sealed letter addressed</w:t></w:r>
</w:p>
<w:p>
<w:pPr><w:pStyle w:val="Normal"/></w:pPr>
<w:r><w:t xml:space="preserve">by the sovereign whom the ambassador represents to the</w:t></w:r>
</w:p>
<w:p>
<w:pPr><w:pStyle w:val="Normal"/></w:pPr>
<w:r><w:t xml:space="preserve">sovereign to whom he is accredited, and they embody a general</w:t></w:r>
</w:p>
<w:p>
<w:pPr><w:pStyle w:val="Normal"/></w:pPr>
<w:r><w:t xml:space="preserve">assurance that the sovereign by whom the ambassador is</w:t></w:r>
</w:p>
<w:p>
<w:pPr><w:pStyle w:val="Normal"/></w:pPr>
<w:r><w:t xml:space="preserve">sent will confirm whatever is done by the ambassador in his</w:t></w:r>
</w:p>
<w:p>
<w:pPr><w:pStyle w:val="Normal"/></w:pPr>
<w:r><w:t xml:space="preserve">name.  In Great Britain letters of credence are under</w:t></w:r>
</w:p>
<w:p>
<w:pPr><w:pStyle w:val="Normal"/></w:pPr>
<w:r><w:t xml:space="preserve">the royal sign-manual, and are not countersigned by a</w:t></w:r>
</w:p>
<w:p>
<w:pPr><w:pStyle w:val="Normal"/></w:pPr>
<w:r><w:t xml:space="preserve">minister.  Ambassadors are distinguished as ordinary and</w:t></w:r>
</w:p>
<w:p>
<w:pPr><w:pStyle w:val="Normal"/></w:pPr>
<w:r><w:t xml:space="preserve">extraordinary, which implied originally the difference between</w:t></w:r>
</w:p>
<w:p>
<w:pPr><w:pStyle w:val="Normal"/></w:pPr>
<w:r><w:t xml:space="preserve">a permanent mission and one appointed to conduct a particular</w:t></w:r>
</w:p>
<w:p>
<w:pPr><w:pStyle w:val="Normal"/></w:pPr>
<w:r><w:t xml:space="preserve">negotiation.  The style of ambassador extraordinary is,</w:t></w:r>
</w:p>
<w:p>
<w:pPr><w:pStyle w:val="Normal"/></w:pPr>
<w:r><w:t xml:space="preserve">however, now often given to a minister accredited to a court for</w:t></w:r>
</w:p>
<w:p>
<w:pPr><w:pStyle w:val="Normal"/></w:pPr>
<w:r><w:t xml:space="preserve">an indefinite time and implies a somewhat more dignified rank.</w:t></w:r>
</w:p>
<w:p>
<w:pPr><w:pStyle w:val="Normal"/></w:pPr>
<w:r><w:t xml:space="preserve">By the protocol of the 19th of March 1815, afterwards embodied</w:t></w:r>
</w:p>
<w:p>
<w:pPr><w:pStyle w:val="Normal"/></w:pPr>
<w:r><w:t xml:space="preserve">in the treaty of Vienna (1815) and confirmed by an instrument</w:t></w:r>
</w:p>
<w:p>
<w:pPr><w:pStyle w:val="Normal"/></w:pPr>
<w:r><w:t xml:space="preserve">signed by the five great powers at Aix-la-Chapelle on the 21st</w:t></w:r>
</w:p>
<w:p>
<w:pPr><w:pStyle w:val="Normal"/></w:pPr>
<w:r><w:t xml:space="preserve">of November 1818, it was finally determined that ``ambassadors</w:t></w:r>
</w:p>
<w:p>
<w:pPr><w:pStyle w:val="Normal"/></w:pPr>
<w:r><w:t xml:space="preserve">and papal legates and nuncios alone have a representative</w:t></w:r>
</w:p>
<w:p>
<w:pPr><w:pStyle w:val="Normal"/></w:pPr>
<w:r><w:t xml:space="preserve">character,&apos;&apos; i.e. in the most exalted and peculiar sense,</w:t></w:r>
</w:p>
<w:p>
<w:pPr><w:pStyle w:val="Normal"/></w:pPr>
<w:r><w:t xml:space="preserve">as representing the person of the sovereign, or the head of</w:t></w:r>
</w:p>
<w:p>
<w:pPr><w:pStyle w:val="Normal"/></w:pPr>
<w:r><w:t xml:space="preserve">a republic, as well as the state to which they belong.  It</w:t></w:r>
</w:p>
<w:p>
<w:pPr><w:pStyle w:val="Normal"/></w:pPr>
<w:r><w:t xml:space="preserve">follows that only states enjoying ``royal honours,&apos;&apos; i.e.</w:t></w:r>
</w:p>
<w:p>
<w:pPr><w:pStyle w:val="Normal"/></w:pPr>
<w:r><w:t xml:space="preserve">empires, kingdoms, grand duchies, the great republics (e.g.</w:t></w:r>
</w:p>
<w:p>
<w:pPr><w:pStyle w:val="Normal"/></w:pPr>
<w:r><w:t xml:space="preserve">France, Switzerland, the United States of America) and the</w:t></w:r>
</w:p>
<w:p>
<w:pPr><w:pStyle w:val="Normal"/></w:pPr>
<w:r><w:t xml:space="preserve">Holy See, have the right to send or to receive ambassadors.</w:t></w:r>
</w:p>
<w:p>
<w:pPr><w:pStyle w:val="Normal"/></w:pPr>
<w:r><w:t xml:space="preserve">By custom it has moreover been established that, as a general</w:t></w:r>
</w:p>
<w:p>
<w:pPr><w:pStyle w:val="Normal"/></w:pPr>
<w:r><w:t xml:space="preserve">rule, only the greater ``royal states&apos;&apos; are represented by</w:t></w:r>
</w:p>
<w:p>
<w:pPr><w:pStyle w:val="Normal"/></w:pPr>
<w:r><w:t xml:space="preserve">ambassadors, and then only when these are accredited to</w:t></w:r>
</w:p>
<w:p>
<w:pPr><w:pStyle w:val="Normal"/></w:pPr>
<w:r><w:t xml:space="preserve">states esteemed, for one reason or another. to be of equal</w:t></w:r>
</w:p>
<w:p>
<w:pPr><w:pStyle w:val="Normal"/></w:pPr>
<w:r><w:t xml:space="preserve">rank.  Thus the promotion of the Japanese legations in Europe</w:t></w:r>
</w:p>
<w:p>
<w:pPr><w:pStyle w:val="Normal"/></w:pPr>
<w:r><w:t xml:space="preserve">and the United States to the rank of embassies, and the</w:t></w:r>
</w:p>
<w:p>
<w:pPr><w:pStyle w:val="Normal"/></w:pPr>
<w:r><w:t xml:space="preserve">corresponding change in the representation of the various</w:t></w:r>
</w:p>
<w:p>
<w:pPr><w:pStyle w:val="Normal"/></w:pPr>
<w:r><w:t xml:space="preserve">powers at Tokio, marked in 1905 the definite recognition</w:t></w:r>
</w:p>
<w:p>
<w:pPr><w:pStyle w:val="Normal"/></w:pPr>
<w:r><w:t xml:space="preserve">of Japan as a great power.  To this rule the United States</w:t></w:r>
</w:p>
<w:p>
<w:pPr><w:pStyle w:val="Normal"/></w:pPr>
<w:r><w:t xml:space="preserve">of America long remained an exception, and was content,</w:t></w:r>
</w:p>
<w:p>
<w:pPr><w:pStyle w:val="Normal"/></w:pPr>
<w:r><w:t xml:space="preserve">in accordance with the tradition of republican simplicity,</w:t></w:r>
</w:p>
<w:p>
<w:pPr><w:pStyle w:val="Normal"/></w:pPr>
<w:r><w:t xml:space="preserve">to be represented abroad only by ministers of the second</w:t></w:r>
</w:p>
<w:p>
<w:pPr><w:pStyle w:val="Normal"/></w:pPr>
<w:r><w:t xml:space="preserve">rank.  The subordinate position given to the representatives</w:t></w:r>
</w:p>
<w:p>
<w:pPr><w:pStyle w:val="Normal"/></w:pPr>
<w:r><w:t xml:space="preserve">of so great a power, however, inevitably led to many</w:t></w:r>
</w:p>
<w:p>
<w:pPr><w:pStyle w:val="Normal"/></w:pPr>
<w:r><w:t xml:space="preserve">inconveniences, and in 1893 an act of Congress empowered</w:t></w:r>
</w:p>
<w:p>
<w:pPr><w:pStyle w:val="Normal"/></w:pPr>
<w:r><w:t xml:space="preserve">the president to accredit ambassadors to the great powers.</w:t></w:r>
</w:p>
<w:p>
<w:pPr><w:pStyle w:val="Normal"/></w:pPr>
<w:r><w:t xml:space="preserve">The distinction between an ambassador and ministers of the</w:t></w:r>
</w:p>
<w:p>
<w:pPr><w:pStyle w:val="Normal"/></w:pPr>
<w:r><w:t xml:space="preserve">second rank is one rather of rank and dignity than of power or</w:t></w:r>
</w:p>
<w:p>
<w:pPr><w:pStyle w:val="Normal"/></w:pPr>
<w:r><w:t xml:space="preserve">functions.  His special immunities he shares with other</w:t></w:r>
</w:p>
<w:p>
<w:pPr><w:pStyle w:val="Normal"/></w:pPr>
<w:r><w:t xml:space="preserve">diplomatic representatives of all classes.  The peculiar</w:t></w:r>
</w:p>
<w:p>
<w:pPr><w:pStyle w:val="Normal"/></w:pPr>
<w:r><w:t xml:space="preserve">privilege which he claims of free access to the sovereign</w:t></w:r>
</w:p>
<w:p>
<w:pPr><w:pStyle w:val="Normal"/></w:pPr>
<w:r><w:t xml:space="preserve">has, in common practice, been reduced to the right of being</w:t></w:r>
</w:p>
<w:p>
<w:pPr><w:pStyle w:val="Normal"/></w:pPr>
<w:r><w:t xml:space="preserve">received on presenting his credentials in public or private</w:t></w:r>
</w:p>
<w:p>
<w:pPr><w:pStyle w:val="Normal"/></w:pPr>
<w:r><w:t xml:space="preserve">audience by the sovereign in person, it being obviously</w:t></w:r>
</w:p>
<w:p>
<w:pPr><w:pStyle w:val="Normal"/></w:pPr>
<w:r><w:t xml:space="preserve">against public policy that a foreign representative should</w:t></w:r>
</w:p>
<w:p>
<w:pPr><w:pStyle w:val="Normal"/></w:pPr>
<w:r><w:t xml:space="preserve">negotiate with the ruler otherwise than through his responsible</w:t></w:r>
</w:p>
<w:p>
<w:pPr><w:pStyle w:val="Normal"/></w:pPr>
<w:r><w:t xml:space="preserve">ministers.  In Great Britain the sovereign, when granting an</w:t></w:r>
</w:p>
<w:p>
<w:pPr><w:pStyle w:val="Normal"/></w:pPr>
<w:r><w:t xml:space="preserve">audience to a foreign ambassador, is always attended by one</w:t></w:r>
</w:p>
<w:p>
<w:pPr><w:pStyle w:val="Normal"/></w:pPr>
<w:r><w:t xml:space="preserve">or more ministers, and the same is usual in other states.</w:t></w:r>
</w:p>
<w:p>
<w:pPr><w:pStyle w:val="Normal"/></w:pPr>
<w:r><w:t xml:space="preserve">An ambassador, however, unless specially armed with plenary</w:t></w:r>
</w:p>
<w:p>
<w:pPr><w:pStyle w:val="Normal"/></w:pPr>
<w:r><w:t xml:space="preserve">authority, cannot decide any questions beyond his instructions</w:t></w:r>
</w:p>
<w:p>
<w:pPr><w:pStyle w:val="Normal"/></w:pPr>
<w:r><w:t xml:space="preserve">without reference to his government.  Thus Lord Londonderry</w:t></w:r>
</w:p>
<w:p>
<w:pPr><w:pStyle w:val="Normal"/></w:pPr>
<w:r><w:t xml:space="preserve">(Lord Stewart), who represented Great Britain at the</w:t></w:r>
</w:p>
<w:p>
<w:pPr><w:pStyle w:val="Normal"/></w:pPr>
<w:r><w:t xml:space="preserve">conferences of Troppau in 1820 and Laibach in 1821, had</w:t></w:r>
</w:p>
<w:p>
<w:pPr><w:pStyle w:val="Normal"/></w:pPr>
<w:r><w:t xml:space="preserve">not the same standing as the plenipotentiaries of the other</w:t></w:r>
</w:p>
<w:p>
<w:pPr><w:pStyle w:val="Normal"/></w:pPr>
<w:r><w:t xml:space="preserve">powers present, and efforts were even made to exclude him</w:t></w:r>
</w:p>
<w:p>
<w:pPr><w:pStyle w:val="Normal"/></w:pPr>
<w:r><w:t xml:space="preserve">from some of the more important discussions in consequence,</w:t></w:r>
</w:p>
<w:p>
<w:pPr><w:pStyle w:val="Normal"/></w:pPr>
<w:r><w:t xml:space="preserve">not on the ground of inferior rank but of defective powers.</w:t></w:r>
</w:p>
<w:p>
<w:pPr><w:pStyle w:val="Normal"/></w:pPr>
<w:r><w:t xml:space="preserve">Socially, the position of an ambassador is one of great</w:t></w:r>
</w:p>
<w:p>
<w:pPr><w:pStyle w:val="Normal"/></w:pPr>
<w:r><w:t xml:space="preserve">dignity. The pomp and magnificence which in earlier days</w:t></w:r>
</w:p>
<w:p>
<w:pPr><w:pStyle w:val="Normal"/></w:pPr>
<w:r><w:t xml:space="preserve">characterized his progresses and his ``entries&apos;&apos; are</w:t></w:r>
</w:p>
<w:p>
<w:pPr><w:pStyle w:val="Normal"/></w:pPr>
<w:r><w:t xml:space="preserve">indeed no longer observed. He is received, however, by the</w:t></w:r>
</w:p>
<w:p>
<w:pPr><w:pStyle w:val="Normal"/></w:pPr>
<w:r><w:t xml:space="preserve">sovereign to whom he is accredited with elaborate state,</w:t></w:r>
</w:p>
<w:p>
<w:pPr><w:pStyle w:val="Normal"/></w:pPr>
<w:r><w:t xml:space="preserve">of which every detail is minutely regulated, and ranks, as</w:t></w:r>
</w:p>
<w:p>
<w:pPr><w:pStyle w:val="Normal"/></w:pPr>
<w:r><w:t xml:space="preserve">representing his own sovereign, next to the princes of the</w:t></w:r>
</w:p>
<w:p>
<w:pPr><w:pStyle w:val="Normal"/></w:pPr>
<w:r><w:t xml:space="preserve">blood in the court where he resides.  The controversies</w:t></w:r>
</w:p>
<w:p>
<w:pPr><w:pStyle w:val="Normal"/></w:pPr>
<w:r><w:t xml:space="preserve">that once raged as to the order of precedence of the various</w:t></w:r>
</w:p>
<w:p>
<w:pPr><w:pStyle w:val="Normal"/></w:pPr>
<w:r><w:t xml:space="preserve">ambassadors accredited to any one court were settled by</w:t></w:r>
</w:p>
<w:p>
<w:pPr><w:pStyle w:val="Normal"/></w:pPr>
<w:r><w:t xml:space="preserve">the treaties already mentioned, it being decided that they</w:t></w:r>
</w:p>
<w:p>
<w:pPr><w:pStyle w:val="Normal"/></w:pPr>
<w:r><w:t xml:space="preserve">should rank in order of seniority according to the date of</w:t></w:r>
</w:p>
<w:p>
<w:pPr><w:pStyle w:val="Normal"/></w:pPr>
<w:r><w:t xml:space="preserve">the presentation of their credentials.  In Roman Catholic</w:t></w:r>
</w:p>
<w:p>
<w:pPr><w:pStyle w:val="Normal"/></w:pPr>
<w:r><w:t xml:space="preserve">countries, however -- as in France before the abrogation</w:t></w:r>
</w:p>
<w:p>
<w:pPr><w:pStyle w:val="Normal"/></w:pPr>
<w:r><w:t xml:space="preserve">of the concordat, -- the position of doyen (dean) of the</w:t></w:r>
</w:p>
<w:p>
<w:pPr><w:pStyle w:val="Normal"/></w:pPr>
<w:r><w:t xml:space="preserve">diplomatic body is given by courtesy to the nuncio of the pope.</w:t></w:r>
</w:p>
<w:p>
<w:pPr><w:pStyle w:val="Normal"/></w:pPr>
<w:r><w:t xml:space="preserve">The special immunities and privileges enjoyed by ambassadors</w:t></w:r>
</w:p>
<w:p>
<w:pPr><w:pStyle w:val="Normal"/></w:pPr>
<w:r><w:t xml:space="preserve">are dealt with in the articles EXTERRITORIALITY and</w:t></w:r>
</w:p>
<w:p>
<w:pPr><w:pStyle w:val="Normal"/></w:pPr>
<w:r><w:t xml:space="preserve">DIPLOMACY. See also the latter for the history of the subject.</w:t></w:r>
</w:p>
<w:p>
<w:pPr><w:pStyle w:val="Normal"/></w:pPr>
<w:r><w:t xml:space="preserve">The most authoritative modern hand-book on the subject is Charles</w:t></w:r>
</w:p>
<w:p>
<w:pPr><w:pStyle w:val="Normal"/></w:pPr>
<w:r><w:t xml:space="preserve">de Martens, Manuel diplomatlque (Paris, 1822; new ed., 1868).</w:t></w:r>
</w:p>
<w:p>
<w:pPr><w:pStyle w:val="Normal"/></w:pPr>
<w:r><w:t xml:space="preserve">See also Henry Wheaton, Hist. of the Law of Nations (New York,</w:t></w:r>
</w:p>
<w:p>
<w:pPr><w:pStyle w:val="Normal"/></w:pPr>
<w:r><w:t xml:space="preserve">1845); L. Oppenheim, International Law (London, 1905); and the</w:t></w:r>
</w:p>
<w:p>
<w:pPr><w:pStyle w:val="Normal"/></w:pPr>
<w:r><w:t xml:space="preserve">list of books attached to the article DIPLOMACY. (W. A. P.)</w:t></w:r>
</w:p>
<w:p>
<w:pPr><w:pStyle w:val="Normal"/></w:pPr>
<w:r><w:t xml:space="preserve">1 Ambactus is explained by Festus (Paulus Diaconus ex</w:t></w:r>
</w:p>
<w:p>
<w:pPr><w:pStyle w:val="Normal"/></w:pPr>
<w:r><w:t xml:space="preserve">Festo, ed. C. O. Muller) as a Gallic word used by Ennius</w:t></w:r>
</w:p>
<w:p>
<w:pPr><w:pStyle w:val="Normal"/></w:pPr>
<w:r><w:t xml:space="preserve">and meaning servus. Caesar (De Bello Gallico, vi. 15)</w:t></w:r>
</w:p>
<w:p>
<w:pPr><w:pStyle w:val="Normal"/></w:pPr>
<w:r><w:t xml:space="preserve">says of the Gallic equites, ``atque eorum ut quisque est</w:t></w:r>
</w:p>
<w:p>
<w:pPr><w:pStyle w:val="Normal"/></w:pPr>
<w:r><w:t xml:space="preserve">genere copiisque amplissimus, plurimos circum se ambactos</w:t></w:r>
</w:p>
<w:p>
<w:pPr><w:pStyle w:val="Normal"/></w:pPr>
<w:r><w:t xml:space="preserve">clientesque habent.&apos;&apos; Accepting the Celtic origin of the word,</w:t></w:r>
</w:p>
<w:p>
<w:pPr><w:pStyle w:val="Normal"/></w:pPr>
<w:r><w:t xml:space="preserve">it has been connected with the Welsh amaeth, a tiller of the</w:t></w:r>
</w:p>
<w:p>
<w:pPr><w:pStyle w:val="Normal"/></w:pPr>
<w:r><w:t xml:space="preserve">ground.  A Teutonic origin has been suggested in the Old High</w:t></w:r>
</w:p>
<w:p>
<w:pPr><w:pStyle w:val="Normal"/></w:pPr>
<w:r><w:t xml:space="preserve">Ger. ambaht, a retainer, which appears in a Scandinavian</w:t></w:r>
</w:p>
<w:p>
<w:pPr><w:pStyle w:val="Normal"/></w:pPr>
<w:r><w:t xml:space="preserve">word amboht, bondwoman or maid, in the Ormulum (c. 1200).</w:t></w:r>
</w:p>
<w:p>
<w:pPr><w:pStyle w:val="Normal"/></w:pPr>
<w:r><w:t xml:space="preserve">AMRATO, or ASIENTO DE AMBATO, an inland town of Ecuador,</w:t></w:r>
</w:p>
<w:p>
<w:pPr><w:pStyle w:val="Normal"/></w:pPr>
<w:r><w:t xml:space="preserve">capital of the province of Tunguragua, 80 m.  S. of Quito by</w:t></w:r>
</w:p>
<w:p>
<w:pPr><w:pStyle w:val="Normal"/></w:pPr>
<w:r><w:t xml:space="preserve">the highway, and near the northern foot of Chimborazo.  Pop.</w:t></w:r>
</w:p>
<w:p>
<w:pPr><w:pStyle w:val="Normal"/></w:pPr>
<w:r><w:t xml:space="preserve">(est.) 10,000.  The town stands in a bowl-like depression,</w:t></w:r>
</w:p>
<w:p>
<w:pPr><w:pStyle w:val="Normal"/></w:pPr>
<w:r><w:t xml:space="preserve">8606 ft. above sea-level, surrounded by steep, sandy, barren</w:t></w:r>
</w:p>
<w:p>
<w:pPr><w:pStyle w:val="Normal"/></w:pPr>
<w:r><w:t xml:space="preserve">mountains, and has an equable climate, which has been likened</w:t></w:r>
</w:p>
<w:p>
<w:pPr><w:pStyle w:val="Normal"/></w:pPr>
<w:r><w:t xml:space="preserve">to a perpetual autumn.  The immediate environs are very fertile</w:t></w:r>
</w:p>
<w:p>
<w:pPr><w:pStyle w:val="Normal"/></w:pPr>
<w:r><w:t xml:space="preserve">and produce a great variety of fruits, including many of</w:t></w:r>
</w:p>
<w:p>
<w:pPr><w:pStyle w:val="Normal"/></w:pPr>
<w:r><w:t xml:space="preserve">the temperate zone, but the surrounding country is arid and</w:t></w:r>
</w:p>
<w:p>
<w:pPr><w:pStyle w:val="Normal"/></w:pPr>
<w:r><w:t xml:space="preserve">sterile, producing scanty crops of barley, Indian corn and</w:t></w:r>
</w:p>
<w:p>
<w:pPr><w:pStyle w:val="Normal"/></w:pPr>
<w:r><w:t xml:space="preserve">pease.  The cochineal insect is found on the cactus which</w:t></w:r>
</w:p>
<w:p>
<w:pPr><w:pStyle w:val="Normal"/></w:pPr>
<w:r><w:t xml:space="preserve">grows in abundance in the vicinity, and the town is known</w:t></w:r>
</w:p>
<w:p>
<w:pPr><w:pStyle w:val="Normal"/></w:pPr>
<w:r><w:t xml:space="preserve">throughout Ecuador for its manufacture of boots and shoes,</w:t></w:r>
</w:p>
<w:p>
<w:pPr><w:pStyle w:val="Normal"/></w:pPr>
<w:r><w:t xml:space="preserve">and for a cordage made from cabuya, the fibre of the agave</w:t></w:r>
</w:p>
<w:p>
<w:pPr><w:pStyle w:val="Normal"/></w:pPr>
<w:r><w:t xml:space="preserve">plant.  Ambato was destroyed by an eruption of Cotopaxi in 1698,</w:t></w:r>
</w:p>
<w:p>
<w:pPr><w:pStyle w:val="Normal"/></w:pPr>
<w:r><w:t xml:space="preserve">and has been badly damaged two or three times by earthquakes.</w:t></w:r>
</w:p>
<w:p>
<w:pPr><w:pStyle w:val="Normal"/></w:pPr>
<w:r><w:t xml:space="preserve">AMBATO is also the name of a range of mountains in</w:t></w:r>
</w:p>
<w:p>
<w:pPr><w:pStyle w:val="Normal"/></w:pPr>
<w:r><w:t xml:space="preserve">northern Argentina, being a spur of the Sierra de Aconquija</w:t></w:r>
</w:p>
<w:p>
<w:pPr><w:pStyle w:val="Normal"/></w:pPr>
<w:r><w:t xml:space="preserve">crossing the province of Catamarca from north to south.</w:t></w:r>
</w:p>
<w:p>
<w:pPr><w:pStyle w:val="Normal"/></w:pPr>
<w:r><w:t xml:space="preserve">AMBER, a ruined city of India, the ancient capital of Jaipur</w:t></w:r>
</w:p>
<w:p>
<w:pPr><w:pStyle w:val="Normal"/></w:pPr>
<w:r><w:t xml:space="preserve">state in the Rajputana agency.  The name of Amber is first</w:t></w:r>
</w:p>
<w:p>
<w:pPr><w:pStyle w:val="Normal"/></w:pPr>
<w:r><w:t xml:space="preserve">mentioned by Ptolemy.  It was founded by the Minas and was</w:t></w:r>
</w:p>
<w:p>
<w:pPr><w:pStyle w:val="Normal"/></w:pPr>
<w:r><w:t xml:space="preserve">still flourishing in A.D. 967. In 1037 it was taken by the</w:t></w:r>
</w:p>
<w:p>
<w:pPr><w:pStyle w:val="Normal"/></w:pPr>
<w:r><w:t xml:space="preserve">Rajputs, who held it till it was deserted.  In 1728 it was</w:t></w:r>
</w:p>
<w:p>
<w:pPr><w:pStyle w:val="Normal"/></w:pPr>
<w:r><w:t xml:space="preserve">supplanted by the modern city of Jaipur, from which it is 5 m.</w:t></w:r>
</w:p>
<w:p>
<w:pPr><w:pStyle w:val="Normal"/></w:pPr>
<w:r><w:t xml:space="preserve">distant.  The picturesque situation of Amber at the mouth</w:t></w:r>
</w:p>
<w:p>
<w:pPr><w:pStyle w:val="Normal"/></w:pPr>
<w:r><w:t xml:space="preserve">of a rocky mountain gorge, in which nestles a lovely lake,</w:t></w:r>
</w:p>
<w:p>
<w:pPr><w:pStyle w:val="Normal"/></w:pPr>
<w:r><w:t xml:space="preserve">has attracted the admiration of all travellers, including</w:t></w:r>
</w:p>
<w:p>
<w:pPr><w:pStyle w:val="Normal"/></w:pPr>
<w:r><w:t xml:space="preserve">Jacquemont and Heber.  It is now only remarkable for its</w:t></w:r>
</w:p>
<w:p>
<w:pPr><w:pStyle w:val="Normal"/></w:pPr>
<w:r><w:t xml:space="preserve">architecture.  The old palace begun by Man Sing in 1600 ranks</w:t></w:r>
</w:p>
<w:p>
<w:pPr><w:pStyle w:val="Normal"/></w:pPr>
<w:r><w:t xml:space="preserve">second only to Gwalior.  The chief building is the Diwan-i-Khas</w:t></w:r>
</w:p>
<w:p>
<w:pPr><w:pStyle w:val="Normal"/></w:pPr>
<w:r><w:t xml:space="preserve">built by Mirza Raja. ``No sooner,&apos;&apos; (it is related) ``had</w:t></w:r>
</w:p>
<w:p>
<w:pPr><w:pStyle w:val="Normal"/></w:pPr>
<w:r><w:t xml:space="preserve">Mirza completed the Diwan-i-Khas than it came to the ears</w:t></w:r>
</w:p>
<w:p>
<w:pPr><w:pStyle w:val="Normal"/></w:pPr>
<w:r><w:t xml:space="preserve">of the emperor Jehangir that his vassal had surpassed him in</w:t></w:r>
</w:p>
<w:p>
<w:pPr><w:pStyle w:val="Normal"/></w:pPr>
<w:r><w:t xml:space="preserve">magnificence, and that this last great work quite eclipsed</w:t></w:r>
</w:p>
<w:p>
<w:pPr><w:pStyle w:val="Normal"/></w:pPr>
<w:r><w:t xml:space="preserve">all the marvels of the imperial city; the columns of red</w:t></w:r>
</w:p>
<w:p>
<w:pPr><w:pStyle w:val="Normal"/></w:pPr>
<w:r><w:t xml:space="preserve">sandstone having been particularly noticed as sculptured with</w:t></w:r>
</w:p>
<w:p>
<w:pPr><w:pStyle w:val="Normal"/></w:pPr>
<w:r><w:t xml:space="preserve">exquisite taste and elaborate detail.  In a fit of jealousy</w:t></w:r>
</w:p>
<w:p>
<w:pPr><w:pStyle w:val="Normal"/></w:pPr>
<w:r><w:t xml:space="preserve">the emperor commanded that this masterpiece should be thrown</w:t></w:r>
</w:p>
<w:p>
<w:pPr><w:pStyle w:val="Normal"/></w:pPr>
<w:r><w:t xml:space="preserve">down, and sent commissioners to Amber charged with the</w:t></w:r>
</w:p>
<w:p>
<w:pPr><w:pStyle w:val="Normal"/></w:pPr>
<w:r><w:t xml:space="preserve">execution of this order; whereupon Mirza, in order to save</w:t></w:r>
</w:p>
<w:p>
<w:pPr><w:pStyle w:val="Normal"/></w:pPr>
<w:r><w:t xml:space="preserve">the structure, had the columns plastered over with stucco,</w:t></w:r>
</w:p>
<w:p>
<w:pPr><w:pStyle w:val="Normal"/></w:pPr>
<w:r><w:t xml:space="preserve">so that the messengers from Agra should have to acknowledge</w:t></w:r>
</w:p>
<w:p>
<w:pPr><w:pStyle w:val="Normal"/></w:pPr>
<w:r><w:t xml:space="preserve">to the emperor that the magnificence, which had been so</w:t></w:r>
</w:p>
<w:p>
<w:pPr><w:pStyle w:val="Normal"/></w:pPr>
<w:r><w:t xml:space="preserve">much talked of, was after all pure invention.  Since then</w:t></w:r>
</w:p>
<w:p>
<w:pPr><w:pStyle w:val="Normal"/></w:pPr>
<w:r><w:t xml:space="preserve">his apathetic successors have neglected to bring to light</w:t></w:r>
</w:p>
<w:p>
<w:pPr><w:pStyle w:val="Normal"/></w:pPr>
<w:r><w:t xml:space="preserve">this splendid work; and it is only by knocking off some of</w:t></w:r>
</w:p>
<w:p>
<w:pPr><w:pStyle w:val="Normal"/></w:pPr>
<w:r><w:t xml:space="preserve">the plaster that one can get a glimpse of the sculptures,</w:t></w:r>
</w:p>
<w:p>
<w:pPr><w:pStyle w:val="Normal"/></w:pPr>
<w:r><w:t xml:space="preserve">which are perfect as on the day they were carved.&apos;&apos;</w:t></w:r>
</w:p>
<w:p>
<w:pPr><w:pStyle w:val="Normal"/></w:pPr>
<w:r><w:t xml:space="preserve">AMBER, a fossil resin much used for the manufacture of</w:t></w:r>
</w:p>
<w:p>
<w:pPr><w:pStyle w:val="Normal"/></w:pPr>
<w:r><w:t xml:space="preserve">ornamental objects.  The name comes from the Arab. anbar,</w:t></w:r>
</w:p>
<w:p>
<w:pPr><w:pStyle w:val="Normal"/></w:pPr>
<w:r><w:t xml:space="preserve">probably through the Spanish, but this word referred originally</w:t></w:r>
</w:p>
<w:p>
<w:pPr><w:pStyle w:val="Normal"/></w:pPr>
<w:r><w:t xml:space="preserve">to ambergris, which is an animal substance quite distinct</w:t></w:r>
</w:p>
<w:p>
<w:pPr><w:pStyle w:val="Normal"/></w:pPr>
<w:r><w:t xml:space="preserve">from yellow amber.  True amber has sometimes been called</w:t></w:r>
</w:p>
<w:p>
<w:pPr><w:pStyle w:val="Normal"/></w:pPr>
<w:r><w:t xml:space="preserve">karabe, a word of oriental derivation signifying ``that</w:t></w:r>
</w:p>
<w:p>
<w:pPr><w:pStyle w:val="Normal"/></w:pPr>
<w:r><w:t xml:space="preserve">which attracts straw,&apos;&apos; in allusion to the power which amber</w:t></w:r>
</w:p>
<w:p>
<w:pPr><w:pStyle w:val="Normal"/></w:pPr>
<w:r><w:t xml:space="preserve">possesses of acquiring an electric charge by friction.  This</w:t></w:r>
</w:p>
<w:p>
<w:pPr><w:pStyle w:val="Normal"/></w:pPr>
<w:r><w:t xml:space="preserve">property, first recorded by Thales of Miletus, suggested the</w:t></w:r>
</w:p>
<w:p>
<w:pPr><w:pStyle w:val="Normal"/></w:pPr>
<w:r><w:t xml:space="preserve">word ``electricity,&apos;&apos; from the Greek, elektron, a name</w:t></w:r>
</w:p>
<w:p>
<w:pPr><w:pStyle w:val="Normal"/></w:pPr>
<w:r><w:t xml:space="preserve">applied, however, not only to amber but also to an alloy</w:t></w:r>
</w:p>
<w:p>
<w:pPr><w:pStyle w:val="Normal"/></w:pPr>
<w:r><w:t xml:space="preserve">of gold and silver.  By Latin writers amber is variously</w:t></w:r>
</w:p>
<w:p>
<w:pPr><w:pStyle w:val="Normal"/></w:pPr>
<w:r><w:t xml:space="preserve">called electrum, sucinum (succinum), and glaesum or</w:t></w:r>
</w:p>
<w:p>
<w:pPr><w:pStyle w:val="Normal"/></w:pPr>
<w:r><w:t xml:space="preserve">glesum.  The Hebrew hashmal seems to have been amber.</w:t></w:r>
</w:p>
<w:p>
<w:pPr><w:pStyle w:val="Normal"/></w:pPr>
<w:r><w:t xml:space="preserve">Amber is not homogeneous in composition, but consists of several</w:t></w:r>
</w:p>
<w:p>
<w:pPr><w:pStyle w:val="Normal"/></w:pPr>
<w:r><w:t xml:space="preserve">resinous bodies more or less soluble in alcohol, ether and</w:t></w:r>
</w:p>
<w:p>
<w:pPr><w:pStyle w:val="Normal"/></w:pPr>
<w:r><w:t xml:space="preserve">chloroform, associated with an insoluble bituminous substance.</w:t></w:r>
</w:p>
<w:p>
<w:pPr><w:pStyle w:val="Normal"/></w:pPr>
<w:r><w:t xml:space="preserve">The average composition of amber leads to the general formula</w:t></w:r>
</w:p>
<w:p>
<w:pPr><w:pStyle w:val="Normal"/></w:pPr>
<w:r><w:t xml:space="preserve">C10H16O.  Heated rather below 300 deg.  C. amber suffers</w:t></w:r>
</w:p>
<w:p>
<w:pPr><w:pStyle w:val="Normal"/></w:pPr>
<w:r><w:t xml:space="preserve">decomposition, yielding an ``oil of amber,&apos;&apos; and leaving a</w:t></w:r>
</w:p>
<w:p>
<w:pPr><w:pStyle w:val="Normal"/></w:pPr>
<w:r><w:t xml:space="preserve">black residue which is known as ``amber colophony,&apos;&apos; or ``amber</w:t></w:r>
</w:p>
<w:p>
<w:pPr><w:pStyle w:val="Normal"/></w:pPr>
<w:r><w:t xml:space="preserve">pitch&apos;&apos;; this forms, when dissolved in oil of turpentine</w:t></w:r>
</w:p>
<w:p>
<w:pPr><w:pStyle w:val="Normal"/></w:pPr>
<w:r><w:t xml:space="preserve">or in linseed oil, ``amber varnish&apos;&apos; or ``amber lac.&apos;&apos;</w:t></w:r>
</w:p>
<w:p>
<w:pPr><w:pStyle w:val="Normal"/></w:pPr>
<w:r><w:t xml:space="preserve">True amber yields on dry distillation succinic acid, the</w:t></w:r>
</w:p>
<w:p>
<w:pPr><w:pStyle w:val="Normal"/></w:pPr>
<w:r><w:t xml:space="preserve">proportion varying from about 3 to 8%, and being greatest</w:t></w:r>
</w:p>
<w:p>
<w:pPr><w:pStyle w:val="Normal"/></w:pPr>
<w:r><w:t xml:space="preserve">in the pale opaque or ``bony&apos;&apos; varieties.  The aromatic</w:t></w:r>
</w:p>
<w:p>
<w:pPr><w:pStyle w:val="Normal"/></w:pPr>
<w:r><w:t xml:space="preserve">and irritating fumes emitted by burning amber are mainly</w:t></w:r>
</w:p>
<w:p>
<w:pPr><w:pStyle w:val="Normal"/></w:pPr>
<w:r><w:t xml:space="preserve">due to this acid. True Baltic amber is distinguished by its</w:t></w:r>
</w:p>
<w:p>
<w:pPr><w:pStyle w:val="Normal"/></w:pPr>
<w:r><w:t xml:space="preserve">yield of succinic acid, for many of the other fossil resins</w:t></w:r>
</w:p>
<w:p>
<w:pPr><w:pStyle w:val="Normal"/></w:pPr>
<w:r><w:t xml:space="preserve">which are often termed amber contain either none of it, or</w:t></w:r>
</w:p>
<w:p>
<w:pPr><w:pStyle w:val="Normal"/></w:pPr>
<w:r><w:t xml:space="preserve">only a very small proportion; hence the name ``succinite&apos;&apos;</w:t></w:r>
</w:p>
<w:p>
<w:pPr><w:pStyle w:val="Normal"/></w:pPr>
<w:r><w:t xml:space="preserve">proposed by Professor J. D. Dana, and now commonly used</w:t></w:r>
</w:p>
<w:p>
<w:pPr><w:pStyle w:val="Normal"/></w:pPr>
<w:r><w:t xml:space="preserve">in scientific writings as a specific term for the real</w:t></w:r>
</w:p>
<w:p>
<w:pPr><w:pStyle w:val="Normal"/></w:pPr>
<w:r><w:t xml:space="preserve">Prussian amber.  Succinite has a hardness between 2 and</w:t></w:r>
</w:p>
<w:p>
<w:pPr><w:pStyle w:val="Normal"/></w:pPr>
<w:r><w:t xml:space="preserve">3, which is rather greater than that of many other fossil</w:t></w:r>
</w:p>
<w:p>
<w:pPr><w:pStyle w:val="Normal"/></w:pPr>
<w:r><w:t xml:space="preserve">resins.  Its specific gravity varies from 1.05 to 1.10.</w:t></w:r>
</w:p>
<w:p>
<w:pPr><w:pStyle w:val="Normal"/></w:pPr>
<w:r><w:t xml:space="preserve">The Baltic amber or succinite is found as irregular nodules in</w:t></w:r>
</w:p>
<w:p>
<w:pPr><w:pStyle w:val="Normal"/></w:pPr>
<w:r><w:t xml:space="preserve">a marine glauconitic sand, known as ``blue earth,&apos;&apos; occurring</w:t></w:r>
</w:p>
<w:p>
<w:pPr><w:pStyle w:val="Normal"/></w:pPr>
<w:r><w:t xml:space="preserve">in the Lower Oligocene strata of Samland in East Prussia,</w:t></w:r>
</w:p>
<w:p>
<w:pPr><w:pStyle w:val="Normal"/></w:pPr>
<w:r><w:t xml:space="preserve">where it is now systematically mined.  It appears, however,</w:t></w:r>
</w:p>
<w:p>
<w:pPr><w:pStyle w:val="Normal"/></w:pPr>
<w:r><w:t xml:space="preserve">to have been partly derived from yet earlier Tertiary deposits</w:t></w:r>
</w:p>
<w:p>
<w:pPr><w:pStyle w:val="Normal"/></w:pPr>
<w:r><w:t xml:space="preserve">(Eocene); and it occurs also as a derivative mineral in later</w:t></w:r>
</w:p>
<w:p>
<w:pPr><w:pStyle w:val="Normal"/></w:pPr>
<w:r><w:t xml:space="preserve">formations, such as the drift.  Relics of an abundant flora</w:t></w:r>
</w:p>
<w:p>
<w:pPr><w:pStyle w:val="Normal"/></w:pPr>
<w:r><w:t xml:space="preserve">occur in association with the amber, suggesting relations with</w:t></w:r>
</w:p>
<w:p>
<w:pPr><w:pStyle w:val="Normal"/></w:pPr>
<w:r><w:t xml:space="preserve">the flora of Eastern . Asia and the southern part of North</w:t></w:r>
</w:p>
<w:p>
<w:pPr><w:pStyle w:val="Normal"/></w:pPr>
<w:r><w:t xml:space="preserve">America.  H. R. Goppert named the common amber-yielding pine</w:t></w:r>
</w:p>
<w:p>
<w:pPr><w:pStyle w:val="Normal"/></w:pPr>
<w:r><w:t xml:space="preserve">of the Baltic forests Pinites succiniter, but as the wood,</w:t></w:r>
</w:p>
<w:p>
<w:pPr><w:pStyle w:val="Normal"/></w:pPr>
<w:r><w:t xml:space="preserve">according to some authorities, does not seem to differ from</w:t></w:r>
</w:p>
<w:p>
<w:pPr><w:pStyle w:val="Normal"/></w:pPr>
<w:r><w:t xml:space="preserve">that of the existing genus it has been also called Pinius</w:t></w:r>
</w:p>
<w:p>
<w:pPr><w:pStyle w:val="Normal"/></w:pPr>
<w:r><w:t xml:space="preserve">succinifera.  It is improbable, however, that the production</w:t></w:r>
</w:p>
<w:p>
<w:pPr><w:pStyle w:val="Normal"/></w:pPr>
<w:r><w:t xml:space="preserve">of amber was limited to a single species; and indeed a large</w:t></w:r>
</w:p>
<w:p>
<w:pPr><w:pStyle w:val="Normal"/></w:pPr>
<w:r><w:t xml:space="preserve">number of conifers belonging to different genera are represented</w:t></w:r>
</w:p>
<w:p>
<w:pPr><w:pStyle w:val="Normal"/></w:pPr>
<w:r><w:t xml:space="preserve">in the amber-flora.  The resin contains, in addition to the</w:t></w:r>
</w:p>
<w:p>
<w:pPr><w:pStyle w:val="Normal"/></w:pPr>
<w:r><w:t xml:space="preserve">beautifully preserved plant-structures, numerous remains of</w:t></w:r>
</w:p>
<w:p>
<w:pPr><w:pStyle w:val="Normal"/></w:pPr>
<w:r><w:t xml:space="preserve">insects, spiders, annelids, crustaceans and other small</w:t></w:r>
</w:p>
<w:p>
<w:pPr><w:pStyle w:val="Normal"/></w:pPr>
<w:r><w:t xml:space="preserve">organisms which became enveloped while the exudation was</w:t></w:r>
</w:p>
<w:p>
<w:pPr><w:pStyle w:val="Normal"/></w:pPr>
<w:r><w:t xml:space="preserve">fluid.  In most cases the organic structure has disappeared,</w:t></w:r>
</w:p>
<w:p>
<w:pPr><w:pStyle w:val="Normal"/></w:pPr>
<w:r><w:t xml:space="preserve">leaving only a cavity, with perhaps a trace of chitin.  Even</w:t></w:r>
</w:p>
<w:p>
<w:pPr><w:pStyle w:val="Normal"/></w:pPr>
<w:r><w:t xml:space="preserve">hair and feathers have occasionally been represented among the</w:t></w:r>
</w:p>
<w:p>
<w:pPr><w:pStyle w:val="Normal"/></w:pPr>
<w:r><w:t xml:space="preserve">enclosures.  Fragments of wood not infrequently occur, with the</w:t></w:r>
</w:p>
<w:p>
<w:pPr><w:pStyle w:val="Normal"/></w:pPr>
<w:r><w:t xml:space="preserve">tissues well-preserved by impregnation with the resin; while</w:t></w:r>
</w:p>
<w:p>
<w:pPr><w:pStyle w:val="Normal"/></w:pPr>
<w:r><w:t xml:space="preserve">leaves, flowers and fruits are occasionally found in marvellous</w:t></w:r>
</w:p>
<w:p>
<w:pPr><w:pStyle w:val="Normal"/></w:pPr>
<w:r><w:t xml:space="preserve">perfection.  Sometimes the amber retains the form of drops and</w:t></w:r>
</w:p>
<w:p>
<w:pPr><w:pStyle w:val="Normal"/></w:pPr>
<w:r><w:t xml:space="preserve">stalactites, just as it exuded from the ducts and receptacles</w:t></w:r>
</w:p>
<w:p>
<w:pPr><w:pStyle w:val="Normal"/></w:pPr>
<w:r><w:t xml:space="preserve">of the injured trees.  The abnormal development of resin has</w:t></w:r>
</w:p>
<w:p>
<w:pPr><w:pStyle w:val="Normal"/></w:pPr>
<w:r><w:t xml:space="preserve">been called ``succinosis.&apos;&apos; Impurities are often present,</w:t></w:r>
</w:p>
<w:p>
<w:pPr><w:pStyle w:val="Normal"/></w:pPr>
<w:r><w:t xml:space="preserve">especially when the resin dropped on to the ground, so that</w:t></w:r>
</w:p>
<w:p>
<w:pPr><w:pStyle w:val="Normal"/></w:pPr>
<w:r><w:t xml:space="preserve">the material may be useless except for varnish-making, whence</w:t></w:r>
</w:p>
<w:p>
<w:pPr><w:pStyle w:val="Normal"/></w:pPr>
<w:r><w:t xml:space="preserve">the impure amber is called firniss.  Enclosures of pyrites</w:t></w:r>
</w:p>
<w:p>
<w:pPr><w:pStyle w:val="Normal"/></w:pPr>
<w:r><w:t xml:space="preserve">may give a bluish colour to amber.  The so-called ``black</w:t></w:r>
</w:p>
<w:p>
<w:pPr><w:pStyle w:val="Normal"/></w:pPr>
<w:r><w:t xml:space="preserve">amber&apos;&apos; is only a kind of jet. ``Bony amber&apos;&apos; owes its cloudy</w:t></w:r>
</w:p>
<w:p>
<w:pPr><w:pStyle w:val="Normal"/></w:pPr>
<w:r><w:t xml:space="preserve">opacity to minute bubbles in the interior of the resin.</w:t></w:r>
</w:p>
<w:p>
<w:pPr><w:pStyle w:val="Normal"/></w:pPr>
<w:r><w:t xml:space="preserve">Although amber is found along the shores of a large part</w:t></w:r>
</w:p>
<w:p>
<w:pPr><w:pStyle w:val="Normal"/></w:pPr>
<w:r><w:t xml:space="preserve">of the Baltic and the North Sea, the great amber-producing</w:t></w:r>
</w:p>
<w:p>
<w:pPr><w:pStyle w:val="Normal"/></w:pPr>
<w:r><w:t xml:space="preserve">country is the promontory of Samland.  Pieces of amber torn</w:t></w:r>
</w:p>
<w:p>
<w:pPr><w:pStyle w:val="Normal"/></w:pPr>
<w:r><w:t xml:space="preserve">from the sea-floor are cast up by the waves, and collected at</w:t></w:r>
</w:p>
<w:p>
<w:pPr><w:pStyle w:val="Normal"/></w:pPr>
<w:r><w:t xml:space="preserve">ebb-tide. Sometimes the searchers wade into the sea, furnished</w:t></w:r>
</w:p>
<w:p>
<w:pPr><w:pStyle w:val="Normal"/></w:pPr>
<w:r><w:t xml:space="preserve">with nets at the end of long poles, by means of which they</w:t></w:r>
</w:p>
<w:p>
<w:pPr><w:pStyle w:val="Normal"/></w:pPr>
<w:r><w:t xml:space="preserve">drag in the sea-weed containing entangled masses of amber;</w:t></w:r>
</w:p>
<w:p>
<w:pPr><w:pStyle w:val="Normal"/></w:pPr>
<w:r><w:t xml:space="preserve">or they dredge from boats in shallow water and rake up amber</w:t></w:r>
</w:p>
<w:p>
<w:pPr><w:pStyle w:val="Normal"/></w:pPr>
<w:r><w:t xml:space="preserve">from between the boulders.  Divers have been employed to</w:t></w:r>
</w:p>
<w:p>
<w:pPr><w:pStyle w:val="Normal"/></w:pPr>
<w:r><w:t xml:space="preserve">collect amber from the deeper waters.  Systematic dredging on</w:t></w:r>
</w:p>
<w:p>
<w:pPr><w:pStyle w:val="Normal"/></w:pPr>
<w:r><w:t xml:space="preserve">a large scale was at one time carried on in the Kurisches Haff</w:t></w:r>
</w:p>
<w:p>
<w:pPr><w:pStyle w:val="Normal"/></w:pPr>
<w:r><w:t xml:space="preserve">by Messrs Stantien and Becker, the great amber merchants of</w:t></w:r>
</w:p>
<w:p>
<w:pPr><w:pStyle w:val="Normal"/></w:pPr>
<w:r><w:t xml:space="preserve">Konigsberg.  At the present time extensive mining operations</w:t></w:r>
</w:p>
<w:p>
<w:pPr><w:pStyle w:val="Normal"/></w:pPr>
<w:r><w:t xml:space="preserve">are conducted in quest of amber.  The ``pit amber&apos;&apos; was formerly</w:t></w:r>
</w:p>
<w:p>
<w:pPr><w:pStyle w:val="Normal"/></w:pPr>
<w:r><w:t xml:space="preserve">dug in open works, but is now also worked by underground</w:t></w:r>
</w:p>
<w:p>
<w:pPr><w:pStyle w:val="Normal"/></w:pPr>
<w:r><w:t xml:space="preserve">galleries.  The nodules from the ``blue earth&apos;&apos; have to</w:t></w:r>
</w:p>
<w:p>
<w:pPr><w:pStyle w:val="Normal"/></w:pPr>
<w:r><w:t xml:space="preserve">be freed from matrix and divested of their opaque crust,</w:t></w:r>
</w:p>
<w:p>
<w:pPr><w:pStyle w:val="Normal"/></w:pPr>
<w:r><w:t xml:space="preserve">which can be done in revolving barrels containing sand and</w:t></w:r>
</w:p>
<w:p>
<w:pPr><w:pStyle w:val="Normal"/></w:pPr>
<w:r><w:t xml:space="preserve">water.  The sea-worn amber has lost its crust, but has</w:t></w:r>
</w:p>
<w:p>
<w:pPr><w:pStyle w:val="Normal"/></w:pPr>
<w:r><w:t xml:space="preserve">often acquired a dull rough surface by rolling in sand.</w:t></w:r>
</w:p>
<w:p>
<w:pPr><w:pStyle w:val="Normal"/></w:pPr>
<w:r><w:t xml:space="preserve">Amber is extensively used for beads and other trivial ornaments,</w:t></w:r>
</w:p>
<w:p>
<w:pPr><w:pStyle w:val="Normal"/></w:pPr>
<w:r><w:t xml:space="preserve">and for cigar-holders and the mouth-pieces of pipes.  It is</w:t></w:r>
</w:p>
<w:p>
<w:pPr><w:pStyle w:val="Normal"/></w:pPr>
<w:r><w:t xml:space="preserve">regarded by the Turks as specially valuable, inasmuch as it</w:t></w:r>
</w:p>
<w:p>
<w:pPr><w:pStyle w:val="Normal"/></w:pPr>
<w:r><w:t xml:space="preserve">is said to be incapable of transmitting infection as the pipe</w:t></w:r>
</w:p>
<w:p>
<w:pPr><w:pStyle w:val="Normal"/></w:pPr>
<w:r><w:t xml:space="preserve">passes from mouth to mouth.  The variety most valued in the</w:t></w:r>
</w:p>
<w:p>
<w:pPr><w:pStyle w:val="Normal"/></w:pPr>
<w:r><w:t xml:space="preserve">East is the pale straw-coloured, slightly cloudy amber.  Some</w:t></w:r>
</w:p>
<w:p>
<w:pPr><w:pStyle w:val="Normal"/></w:pPr>
<w:r><w:t xml:space="preserve">of the best qualities are sent to Vienna for the manufacture</w:t></w:r>
</w:p>
<w:p>
<w:pPr><w:pStyle w:val="Normal"/></w:pPr>
<w:r><w:t xml:space="preserve">of smoking appliances.  In working amber, it is turned on the</w:t></w:r>
</w:p>
<w:p>
<w:pPr><w:pStyle w:val="Normal"/></w:pPr>
<w:r><w:t xml:space="preserve">lathe and polished with whitening and water or with rotten</w:t></w:r>
</w:p>
<w:p>
<w:pPr><w:pStyle w:val="Normal"/></w:pPr>
<w:r><w:t xml:space="preserve">stone and oil, the final lustre being given by friction with</w:t></w:r>
</w:p>
<w:p>
<w:pPr><w:pStyle w:val="Normal"/></w:pPr>
<w:r><w:t xml:space="preserve">flannel.  During the working much electricity is developed.</w:t></w:r>
</w:p>
<w:p>
<w:pPr><w:pStyle w:val="Normal"/></w:pPr>
<w:r><w:t xml:space="preserve">By gradually heating amber in an oil-bath it becomes soft and</w:t></w:r>
</w:p>
<w:p>
<w:pPr><w:pStyle w:val="Normal"/></w:pPr>
<w:r><w:t xml:space="preserve">flexible.  Two pieces of amber may be united by smearing the</w:t></w:r>
</w:p>
<w:p>
<w:pPr><w:pStyle w:val="Normal"/></w:pPr>
<w:r><w:t xml:space="preserve">surfaces with linseed oil, heating them, and then pressing</w:t></w:r>
</w:p>
<w:p>
<w:pPr><w:pStyle w:val="Normal"/></w:pPr>
<w:r><w:t xml:space="preserve">them together while hot.  Cloudy amber may be clarified in</w:t></w:r>
</w:p>
<w:p>
<w:pPr><w:pStyle w:val="Normal"/></w:pPr>
<w:r><w:t xml:space="preserve">an oil-bath, as the oil fills the numerous pores to which</w:t></w:r>
</w:p>
<w:p>
<w:pPr><w:pStyle w:val="Normal"/></w:pPr>
<w:r><w:t xml:space="preserve">the turbidity is due. Small fragments, formerly thrown away</w:t></w:r>
</w:p>
<w:p>
<w:pPr><w:pStyle w:val="Normal"/></w:pPr>
<w:r><w:t xml:space="preserve">or used only for varnish, are now utilized on a large scale</w:t></w:r>
</w:p>
<w:p>
<w:pPr><w:pStyle w:val="Normal"/></w:pPr>
<w:r><w:t xml:space="preserve">in the formation of ``ambroid&apos;&apos; or ``pressed amber.&apos;&apos; The</w:t></w:r>
</w:p>
<w:p>
<w:pPr><w:pStyle w:val="Normal"/></w:pPr>
<w:r><w:t xml:space="preserve">pieces are carefully heated with exclusion of air and then</w:t></w:r>
</w:p>
<w:p>
<w:pPr><w:pStyle w:val="Normal"/></w:pPr>
<w:r><w:t xml:space="preserve">compressed into a uniform mass by intense hydraulic pressure;</w:t></w:r>
</w:p>
<w:p>
<w:pPr><w:pStyle w:val="Normal"/></w:pPr>
<w:r><w:t xml:space="preserve">the softened amber being forced through holes in a metal</w:t></w:r>
</w:p>
<w:p>
<w:pPr><w:pStyle w:val="Normal"/></w:pPr>
<w:r><w:t xml:space="preserve">plate.  The product is extensively used for the production</w:t></w:r>
</w:p>
<w:p>
<w:pPr><w:pStyle w:val="Normal"/></w:pPr>
<w:r><w:t xml:space="preserve">of cheap jewellery and articles for smoking. This pressed</w:t></w:r>
</w:p>
<w:p>
<w:pPr><w:pStyle w:val="Normal"/></w:pPr>
<w:r><w:t xml:space="preserve">amber yields brilliant interference colours in polarized</w:t></w:r>
</w:p>
<w:p>
<w:pPr><w:pStyle w:val="Normal"/></w:pPr>
<w:r><w:t xml:space="preserve">light.  Amber has often been imitated by other resins</w:t></w:r>
</w:p>
<w:p>
<w:pPr><w:pStyle w:val="Normal"/></w:pPr>
<w:r><w:t xml:space="preserve">like copal and kauri, as well as by celluloid and even</w:t></w:r>
</w:p>
<w:p>
<w:pPr><w:pStyle w:val="Normal"/></w:pPr>
<w:r><w:t xml:space="preserve">glass.  True amber is sometimes coloured artificially.</w:t></w:r>
</w:p>
<w:p>
<w:pPr><w:pStyle w:val="Normal"/></w:pPr>
<w:r><w:t xml:space="preserve">Amber was much valued as an ornamental material in very early</w:t></w:r>
</w:p>
<w:p>
<w:pPr><w:pStyle w:val="Normal"/></w:pPr>
<w:r><w:t xml:space="preserve">times.  It has been found in Mycenaean tombs; it is known</w:t></w:r>
</w:p>
<w:p>
<w:pPr><w:pStyle w:val="Normal"/></w:pPr>
<w:r><w:t xml:space="preserve">from lake-dwellings in Switzerland, and it occurs with</w:t></w:r>
</w:p>
<w:p>
<w:pPr><w:pStyle w:val="Normal"/></w:pPr>
<w:r><w:t xml:space="preserve">neolithic remains in Denmark, whilst in England it is found</w:t></w:r>
</w:p>
<w:p>
<w:pPr><w:pStyle w:val="Normal"/></w:pPr>
<w:r><w:t xml:space="preserve">with interments of the bronze age.  A remarkably fine cup</w:t></w:r>
</w:p>
<w:p>
<w:pPr><w:pStyle w:val="Normal"/></w:pPr>
<w:r><w:t xml:space="preserve">turned in amber from a bronze-age barrow at Hove is now in</w:t></w:r>
</w:p>
<w:p>
<w:pPr><w:pStyle w:val="Normal"/></w:pPr>
<w:r><w:t xml:space="preserve">the Brighton Museum.  Beads of amber occur with Anglo-Saxon</w:t></w:r>
</w:p>
<w:p>
<w:pPr><w:pStyle w:val="Normal"/></w:pPr>
<w:r><w:t xml:space="preserve">relics in the south of England; and up to a comparatively</w:t></w:r>
</w:p>
<w:p>
<w:pPr><w:pStyle w:val="Normal"/></w:pPr>
<w:r><w:t xml:space="preserve">recent period the material was valued as an amulet.  It</w:t></w:r>
</w:p>
<w:p>
<w:pPr><w:pStyle w:val="Normal"/></w:pPr>
<w:r><w:t xml:space="preserve">is still believed to possess certain medicinal virtue.</w:t></w:r>
</w:p>
<w:p>
<w:pPr><w:pStyle w:val="Normal"/></w:pPr>
<w:r><w:t xml:space="preserve">Rolled pieces of amber, usually small but occasionally of</w:t></w:r>
</w:p>
<w:p>
<w:pPr><w:pStyle w:val="Normal"/></w:pPr>
<w:r><w:t xml:space="preserve">very large size, may be picked up on the east coast of</w:t></w:r>
</w:p>
<w:p>
<w:pPr><w:pStyle w:val="Normal"/></w:pPr>
<w:r><w:t xml:space="preserve">England, having probably been washed up from deposits under</w:t></w:r>
</w:p>
<w:p>
<w:pPr><w:pStyle w:val="Normal"/></w:pPr>
<w:r><w:t xml:space="preserve">the North Sea. Cromer is the best-known locality, but it</w:t></w:r>
</w:p>
<w:p>
<w:pPr><w:pStyle w:val="Normal"/></w:pPr>
<w:r><w:t xml:space="preserve">occurs also on other parts of the Norfolk coast, as well as</w:t></w:r>
</w:p>
<w:p>
<w:pPr><w:pStyle w:val="Normal"/></w:pPr>
<w:r><w:t xml:space="preserve">at Yarmouth, Southwold, Aldeburgh and Felixstowe in Suffolk,</w:t></w:r>
</w:p>
<w:p>
<w:pPr><w:pStyle w:val="Normal"/></w:pPr>
<w:r><w:t xml:space="preserve">and as far south as Walton-on-the-Naze in Essex, whilst</w:t></w:r>
</w:p>
<w:p>
<w:pPr><w:pStyle w:val="Normal"/></w:pPr>
<w:r><w:t xml:space="preserve">northwards it is not unknown in Yorkshire.  On the other</w:t></w:r>
</w:p>
<w:p>
<w:pPr><w:pStyle w:val="Normal"/></w:pPr>
<w:r><w:t xml:space="preserve">side of the North Sea, amber is found at various localities</w:t></w:r>
</w:p>
<w:p>
<w:pPr><w:pStyle w:val="Normal"/></w:pPr>
<w:r><w:t xml:space="preserve">on the coast of Holland and Denmark. On the shores of the</w:t></w:r>
</w:p>
<w:p>
<w:pPr><w:pStyle w:val="Normal"/></w:pPr>
<w:r><w:t xml:space="preserve">Baltic it occurs not only on the Prussian and Pomeranian</w:t></w:r>
</w:p>
<w:p>
<w:pPr><w:pStyle w:val="Normal"/></w:pPr>
<w:r><w:t xml:space="preserve">coast but in the south of Sweden, in Bornholm and other</w:t></w:r>
</w:p>
<w:p>
<w:pPr><w:pStyle w:val="Normal"/></w:pPr>
<w:r><w:t xml:space="preserve">islands, and in S. Finland.  Amber has indeed a very wide</w:t></w:r>
</w:p>
<w:p>
<w:pPr><w:pStyle w:val="Normal"/></w:pPr>
<w:r><w:t xml:space="preserve">distribution, extending over a large part of northern Europe</w:t></w:r>
</w:p>
<w:p>
<w:pPr><w:pStyle w:val="Normal"/></w:pPr>
<w:r><w:t xml:space="preserve">and occurring as far east as the Urals.  Some of the amber</w:t></w:r>
</w:p>
<w:p>
<w:pPr><w:pStyle w:val="Normal"/></w:pPr>
<w:r><w:t xml:space="preserve">districts of the Baltic and North Sea were known in prehistoric</w:t></w:r>
</w:p>
<w:p>
<w:pPr><w:pStyle w:val="Normal"/></w:pPr>
<w:r><w:t xml:space="preserve">times, and led to early trade with the south of Europe.</w:t></w:r>
</w:p>
<w:p>
<w:pPr><w:pStyle w:val="Normal"/></w:pPr>
<w:r><w:t xml:space="preserve">Amber was carried to Olbia on the Black Sea, Massilia on the</w:t></w:r>
</w:p>
<w:p>
<w:pPr><w:pStyle w:val="Normal"/></w:pPr>
<w:r><w:t xml:space="preserve">Mediterranean, and Hatria at the head of the Adriatic; and</w:t></w:r>
</w:p>
<w:p>
<w:pPr><w:pStyle w:val="Normal"/></w:pPr>
<w:r><w:t xml:space="preserve">from these centres it was distributed over the Hellenic world.</w:t></w:r>
</w:p>
<w:p>
<w:pPr><w:pStyle w:val="Normal"/></w:pPr>
<w:r><w:t xml:space="preserve">Whilst succinite is the common variety of European</w:t></w:r>
</w:p>
<w:p>
<w:pPr><w:pStyle w:val="Normal"/></w:pPr>
<w:r><w:t xml:space="preserve">amber, the following varieties also occur: --</w:t></w:r>
</w:p>
<w:p>
<w:pPr><w:pStyle w:val="Normal"/></w:pPr>
<w:r><w:t xml:space="preserve">Gedanite, or ``brittle amber,&apos;&apos; closely resembling succinite,</w:t></w:r>
</w:p>
<w:p>
<w:pPr><w:pStyle w:val="Normal"/></w:pPr>
<w:r><w:t xml:space="preserve">but much more brittle, not quite so hard, with a lower</w:t></w:r>
</w:p>
<w:p>
<w:pPr><w:pStyle w:val="Normal"/></w:pPr>
<w:r><w:t xml:space="preserve">melting-  point and containing no succinic acid.  It is</w:t></w:r>
</w:p>
<w:p>
<w:pPr><w:pStyle w:val="Normal"/></w:pPr>
<w:r><w:t xml:space="preserve">often covered with a white powder easily removed by wiping.</w:t></w:r>
</w:p>
<w:p>
<w:pPr><w:pStyle w:val="Normal"/></w:pPr>
<w:r><w:t xml:space="preserve">The name comes from Gedanum, the Latin name of Danzig.</w:t></w:r>
</w:p>
<w:p>
<w:pPr><w:pStyle w:val="Normal"/></w:pPr>
<w:r><w:t xml:space="preserve">Stantienite, a brittle, deep brownish-black</w:t></w:r>
</w:p>
<w:p>
<w:pPr><w:pStyle w:val="Normal"/></w:pPr>
<w:r><w:t xml:space="preserve">resin, destitute of succinic acid.</w:t></w:r>
</w:p>
<w:p>
<w:pPr><w:pStyle w:val="Normal"/></w:pPr>
<w:r><w:t xml:space="preserve">Beckerite, a rare amber in earthy-brown nodules, almost</w:t></w:r>
</w:p>
<w:p>
<w:pPr><w:pStyle w:val="Normal"/></w:pPr>
<w:r><w:t xml:space="preserve">opaque, said to be related in properties to gutta-percha.</w:t></w:r>
</w:p>
<w:p>
<w:pPr><w:pStyle w:val="Normal"/></w:pPr>
<w:r><w:t xml:space="preserve">Glessite, a nearly opaque brown resin, with numerous microscopic cavities</w:t></w:r>
</w:p>
<w:p>
<w:pPr><w:pStyle w:val="Normal"/></w:pPr>
<w:r><w:t xml:space="preserve">and dusty enclosures, named from glesum, an old name for amber.</w:t></w:r>
</w:p>
<w:p>
<w:pPr><w:pStyle w:val="Normal"/></w:pPr>
<w:r><w:t xml:space="preserve">Krantzite, a soft amber-like resin, found in the lignites of Saxony.</w:t></w:r>
</w:p>
<w:p>
<w:pPr><w:pStyle w:val="Normal"/></w:pPr>
<w:r><w:t xml:space="preserve">Allingite, a fossil resin allied to succinite, from Switzerland.</w:t></w:r>
</w:p>
<w:p>
<w:pPr><w:pStyle w:val="Normal"/></w:pPr>
<w:r><w:t xml:space="preserve">Roumanite, or Rumanian amber, a dark reddish resin, occurring</w:t></w:r>
</w:p>
<w:p>
<w:pPr><w:pStyle w:val="Normal"/></w:pPr>
<w:r><w:t xml:space="preserve">with lignite in Tertiary deposits.  The nodules are penetrated</w:t></w:r>
</w:p>
<w:p>
<w:pPr><w:pStyle w:val="Normal"/></w:pPr>
<w:r><w:t xml:space="preserve">by cracks, but the material can be worked on the lathe.</w:t></w:r>
</w:p>
<w:p>
<w:pPr><w:pStyle w:val="Normal"/></w:pPr>
<w:r><w:t xml:space="preserve">Sulphur is present to the extent of more than 1%, whence the</w:t></w:r>
</w:p>
<w:p>
<w:pPr><w:pStyle w:val="Normal"/></w:pPr>
<w:r><w:t xml:space="preserve">smell of sulphuretted hydrogen when the resin is heated.</w:t></w:r>
</w:p>
<w:p>
<w:pPr><w:pStyle w:val="Normal"/></w:pPr>
<w:r><w:t xml:space="preserve">According to G. Murgoci the Rumanian amber is true succinite.</w:t></w:r>
</w:p>
<w:p>
<w:pPr><w:pStyle w:val="Normal"/></w:pPr>
<w:r><w:t xml:space="preserve">Simetite, or Sicilian amber, takes its name from the river</w:t></w:r>
</w:p>
<w:p>
<w:pPr><w:pStyle w:val="Normal"/></w:pPr>
<w:r><w:t xml:space="preserve">Simeto or Giaretta.  It occurs in Miocene deposits and</w:t></w:r>
</w:p>
<w:p>
<w:pPr><w:pStyle w:val="Normal"/></w:pPr>
<w:r><w:t xml:space="preserve">is also found washed up by the sea near Catania.  This</w:t></w:r>
</w:p>
<w:p>
<w:pPr><w:pStyle w:val="Normal"/></w:pPr>
<w:r><w:t xml:space="preserve">beautiful material presents a great diversity of tints, but</w:t></w:r>
</w:p>
<w:p>
<w:pPr><w:pStyle w:val="Normal"/></w:pPr>
<w:r><w:t xml:space="preserve">a rich hyacinth red is common.  It is remarkable for its</w:t></w:r>
</w:p>
<w:p>
<w:pPr><w:pStyle w:val="Normal"/></w:pPr>
<w:r><w:t xml:space="preserve">fluorescence, which in the opinion of some authorities adds</w:t></w:r>
</w:p>
<w:p>
<w:pPr><w:pStyle w:val="Normal"/></w:pPr>
<w:r><w:t xml:space="preserve">to its beauty.  Amber is also found in many localities in</w:t></w:r>
</w:p>
<w:p>
<w:pPr><w:pStyle w:val="Normal"/></w:pPr>
<w:r><w:t xml:space="preserve">Emilia, especially near the sulphur-mines of Cesena.  It</w:t></w:r>
</w:p>
<w:p>
<w:pPr><w:pStyle w:val="Normal"/></w:pPr>
<w:r><w:t xml:space="preserve">has been conjectured that the ancient Etruscan ornaments</w:t></w:r>
</w:p>
<w:p>
<w:pPr><w:pStyle w:val="Normal"/></w:pPr>
<w:r><w:t xml:space="preserve">in amber were wrought in the Italian material, but it</w:t></w:r>
</w:p>
<w:p>
<w:pPr><w:pStyle w:val="Normal"/></w:pPr>
<w:r><w:t xml:space="preserve">seems that amber from the Baltic reached the Etruscans at</w:t></w:r>
</w:p>
<w:p>
<w:pPr><w:pStyle w:val="Normal"/></w:pPr>
<w:r><w:t xml:space="preserve">Hatria.  It has even been supposed that amber passed from</w:t></w:r>
</w:p>
<w:p>
<w:pPr><w:pStyle w:val="Normal"/></w:pPr>
<w:r><w:t xml:space="preserve">Sicily to northern Europe in early times -- a supposition said</w:t></w:r>
</w:p>
<w:p>
<w:pPr><w:pStyle w:val="Normal"/></w:pPr>
<w:r><w:t xml:space="preserve">to receive some support from the fact that much of the amber</w:t></w:r>
</w:p>
<w:p>
<w:pPr><w:pStyle w:val="Normal"/></w:pPr>
<w:r><w:t xml:space="preserve">dug up in Denmark is red; but it must not be forgotten that</w:t></w:r>
</w:p>
<w:p>
<w:pPr><w:pStyle w:val="Normal"/></w:pPr>
<w:r><w:t xml:space="preserve">reddish amber is found also on the Baltic, though not being</w:t></w:r>
</w:p>
<w:p>
<w:pPr><w:pStyle w:val="Normal"/></w:pPr>
<w:r><w:t xml:space="preserve">fashionable it is used rather for varnish-making than for</w:t></w:r>
</w:p>
<w:p>
<w:pPr><w:pStyle w:val="Normal"/></w:pPr>
<w:r><w:t xml:space="preserve">ornaments.  Moreover, yellow amber after long burial is</w:t></w:r>
</w:p>
<w:p>
<w:pPr><w:pStyle w:val="Normal"/></w:pPr>
<w:r><w:t xml:space="preserve">apt to acquire a reddish colour.  The amber of Sicily seems</w:t></w:r>
</w:p>
<w:p>
<w:pPr><w:pStyle w:val="Normal"/></w:pPr>
<w:r><w:t xml:space="preserve">not to have been recognized in ancient times, for it is</w:t></w:r>
</w:p>
<w:p>
<w:pPr><w:pStyle w:val="Normal"/></w:pPr>
<w:r><w:t xml:space="preserve">not mentioned by local authorities like Diodorus Siculus.</w:t></w:r>
</w:p>
<w:p>
<w:pPr><w:pStyle w:val="Normal"/></w:pPr>
<w:r><w:t xml:space="preserve">Burmite is the name under which the Burmese amber is now</w:t></w:r>
</w:p>
<w:p>
<w:pPr><w:pStyle w:val="Normal"/></w:pPr>
<w:r><w:t xml:space="preserve">described.  Until the British occupation of Burma but little</w:t></w:r>
</w:p>
<w:p>
<w:pPr><w:pStyle w:val="Normal"/></w:pPr>
<w:r><w:t xml:space="preserve">was known as to its occurrence, though it had been worked for</w:t></w:r>
</w:p>
<w:p>
<w:pPr><w:pStyle w:val="Normal"/></w:pPr>
<w:r><w:t xml:space="preserve">centuries and was highly valued by the natives and by the</w:t></w:r>
</w:p>
<w:p>
<w:pPr><w:pStyle w:val="Normal"/></w:pPr>
<w:r><w:t xml:space="preserve">Chinese.  It is found in fiat rolled pieces, irregularly</w:t></w:r>
</w:p>
<w:p>
<w:pPr><w:pStyle w:val="Normal"/></w:pPr>
<w:r><w:t xml:space="preserve">distributed through a blue clay probably of Miocene age.  It</w:t></w:r>
</w:p>
<w:p>
<w:pPr><w:pStyle w:val="Normal"/></w:pPr>
<w:r><w:t xml:space="preserve">occurs in the Hukawng valley, in the Nangotaimaw hills, where</w:t></w:r>
</w:p>
<w:p>
<w:pPr><w:pStyle w:val="Normal"/></w:pPr>
<w:r><w:t xml:space="preserve">it is irregularly worked in shallow pits.  The mines were</w:t></w:r>
</w:p>
<w:p>
<w:pPr><w:pStyle w:val="Normal"/></w:pPr>
<w:r><w:t xml:space="preserve">visited some years ago by Dr Fritz Noetling, and the mineral</w:t></w:r>
</w:p>
<w:p>
<w:pPr><w:pStyle w:val="Normal"/></w:pPr>
<w:r><w:t xml:space="preserve">has been described by Dr Otto Helm.  The Burmese amber is yellow</w:t></w:r>
</w:p>
<w:p>
<w:pPr><w:pStyle w:val="Normal"/></w:pPr>
<w:r><w:t xml:space="preserve">or reddish, some being of ruby tint, and like the Sicilian</w:t></w:r>
</w:p>
<w:p>
<w:pPr><w:pStyle w:val="Normal"/></w:pPr>
<w:r><w:t xml:space="preserve">amber it is fluorescent. Burmite and simetite agree also in</w:t></w:r>
</w:p>
<w:p>
<w:pPr><w:pStyle w:val="Normal"/></w:pPr>
<w:r><w:t xml:space="preserve">being destitute of succinic acid.  Most of the Burmese amber</w:t></w:r>
</w:p>
<w:p>
<w:pPr><w:pStyle w:val="Normal"/></w:pPr>
<w:r><w:t xml:space="preserve">is worked at Mandalay into rosary-beads and ear-cylinders.</w:t></w:r>
</w:p>
<w:p>
<w:pPr><w:pStyle w:val="Normal"/></w:pPr>
<w:r><w:t xml:space="preserve">Many other fossil resins more or less allied to amber</w:t></w:r>
</w:p>
<w:p>
<w:pPr><w:pStyle w:val="Normal"/></w:pPr>
<w:r><w:t xml:space="preserve">have been described.  Schraufite is a reddish resin from</w:t></w:r>
</w:p>
<w:p>
<w:pPr><w:pStyle w:val="Normal"/></w:pPr>
<w:r><w:t xml:space="preserve">the Carpathian sandstone, and it occurs with jet in the</w:t></w:r>
</w:p>
<w:p>
<w:pPr><w:pStyle w:val="Normal"/></w:pPr>
<w:r><w:t xml:space="preserve">cretaceous rocks of the Lebanon; ambrite is a resin found</w:t></w:r>
</w:p>
<w:p>
<w:pPr><w:pStyle w:val="Normal"/></w:pPr>
<w:r><w:t xml:space="preserve">in many of the coals of New Zealand; retinite occurs in</w:t></w:r>
</w:p>
<w:p>
<w:pPr><w:pStyle w:val="Normal"/></w:pPr>
<w:r><w:t xml:space="preserve">the lignite of Bovey Tracey in Devonshire and elsewhere;</w:t></w:r>
</w:p>
<w:p>
<w:pPr><w:pStyle w:val="Normal"/></w:pPr>
<w:r><w:t xml:space="preserve">whilst copaline has been found in the London clay of</w:t></w:r>
</w:p>
<w:p>
<w:pPr><w:pStyle w:val="Normal"/></w:pPr>
<w:r><w:t xml:space="preserve">Highgate in North London.  Chemawinite or cedarite is an</w:t></w:r>
</w:p>
<w:p>
<w:pPr><w:pStyle w:val="Normal"/></w:pPr>
<w:r><w:t xml:space="preserve">amber-like resin from the Saskatchewan river in Canada.</w:t></w:r>
</w:p>
<w:p>
<w:pPr><w:pStyle w:val="Normal"/></w:pPr>
<w:r><w:t xml:space="preserve">Amber and certain similar substances are found to a</w:t></w:r>
</w:p>
<w:p>
<w:pPr><w:pStyle w:val="Normal"/></w:pPr>
<w:r><w:t xml:space="preserve">limited extent at several localities in the United</w:t></w:r>
</w:p>
<w:p>
<w:pPr><w:pStyle w:val="Normal"/></w:pPr>
<w:r><w:t xml:space="preserve">States, as in the green- sand of New Jersey, but they</w:t></w:r>
</w:p>
<w:p>
<w:pPr><w:pStyle w:val="Normal"/></w:pPr>
<w:r><w:t xml:space="preserve">have little or no economic value. A fluorescent amber is</w:t></w:r>
</w:p>
<w:p>
<w:pPr><w:pStyle w:val="Normal"/></w:pPr>
<w:r><w:t xml:space="preserve">said, however, to occur in some abundance in Southern</w:t></w:r>
</w:p>
<w:p>
<w:pPr><w:pStyle w:val="Normal"/></w:pPr>
<w:r><w:t xml:space="preserve">Mexico.  Amber is recorded also from the Dominican Republic.</w:t></w:r>
</w:p>
<w:p>
<w:pPr><w:pStyle w:val="Normal"/></w:pPr>
<w:r><w:t xml:space="preserve">REPERENCES. -- See, for Baltic amber, P. Dahms, ``Ueber</w:t></w:r>
</w:p>
<w:p>
<w:pPr><w:pStyle w:val="Normal"/></w:pPr>
<w:r><w:t xml:space="preserve">die Vorkommen und die Verwendung des Bernsteins,&apos;&apos; Zeitsch.</w:t></w:r>
</w:p>
<w:p>
<w:pPr><w:pStyle w:val="Normal"/></w:pPr>
<w:r><w:t xml:space="preserve">fur praktische Geologic, 1901, p. 201; H. Conwentz,</w:t></w:r>
</w:p>
<w:p>
<w:pPr><w:pStyle w:val="Normal"/></w:pPr>
<w:r><w:t xml:space="preserve">Monographic der baltischen Bernsteinbaume (Danzig, 1890);</w:t></w:r>
</w:p>
<w:p>
<w:pPr><w:pStyle w:val="Normal"/></w:pPr>
<w:r><w:t xml:space="preserve">R. Klebs, Guide to Exhibit of the German Amber Industry</w:t></w:r>
</w:p>
<w:p>
<w:pPr><w:pStyle w:val="Normal"/></w:pPr>
<w:r><w:t xml:space="preserve">at World&apos;s Fair (St Louis, 1904); and abstract by G. F. Kunz</w:t></w:r>
</w:p>
<w:p>
<w:pPr><w:pStyle w:val="Normal"/></w:pPr>
<w:r><w:t xml:space="preserve">in Mineral Resources of the U. S. (1904). U. or Sicilian</w:t></w:r>
</w:p>
<w:p>
<w:pPr><w:pStyle w:val="Normal"/></w:pPr>
<w:r><w:t xml:space="preserve">amber, W. Arnold Bullum, The Tears of the Helialdes, or</w:t></w:r>
</w:p>
<w:p>
<w:pPr><w:pStyle w:val="Normal"/></w:pPr>
<w:r><w:t xml:space="preserve">Amber as a Gem (London, 1896).  For Burmese amber, papers</w:t></w:r>
</w:p>
<w:p>
<w:pPr><w:pStyle w:val="Normal"/></w:pPr>
<w:r><w:t xml:space="preserve">by Fritz Noetling and Otto Helm in Records of Geol.  Surv.</w:t></w:r>
</w:p>
<w:p>
<w:pPr><w:pStyle w:val="Normal"/></w:pPr>
<w:r><w:t xml:space="preserve">of India, vol. xxvi. (1893), pp. 31, 61. For British</w:t></w:r>
</w:p>
<w:p>
<w:pPr><w:pStyle w:val="Normal"/></w:pPr>
<w:r><w:t xml:space="preserve">amber, Clement Reid in Trans.  Norfolk Nat. Soc., vol. iii.</w:t></w:r>
</w:p>
<w:p>
<w:pPr><w:pStyle w:val="Normal"/></w:pPr>
<w:r><w:t xml:space="preserve">(1884) p. 601; vol. iv. (1886) p. 247; and H. Conwentz in</w:t></w:r>
</w:p>
<w:p>
<w:pPr><w:pStyle w:val="Normal"/></w:pPr>
<w:r><w:t xml:space="preserve">Natural Science, vol. ix. (1896) pp. 99, 161. (F. W. R.*)</w:t></w:r>
</w:p>
<w:p>
<w:pPr><w:pStyle w:val="Normal"/></w:pPr>
<w:r><w:t xml:space="preserve">AMBERG, a town of Germany, in the kingdom of Bavaria,</w:t></w:r>
</w:p>
<w:p>
<w:pPr><w:pStyle w:val="Normal"/></w:pPr>
<w:r><w:t xml:space="preserve">formerly the capital of the Upper Palatinate, situated</w:t></w:r>
</w:p>
<w:p>
<w:pPr><w:pStyle w:val="Normal"/></w:pPr>
<w:r><w:t xml:space="preserve">on both sides of the Vils, 42 m.  E. of Nuremberg by</w:t></w:r>
</w:p>
<w:p>
<w:pPr><w:pStyle w:val="Normal"/></w:pPr>
<w:r><w:t xml:space="preserve">rail.  Pop. 22,089. It has a town hall with handsome rooms,</w:t></w:r>
</w:p>
<w:p>
<w:pPr><w:pStyle w:val="Normal"/></w:pPr>
<w:r><w:t xml:space="preserve">a library, a gymnasium, a lyceum, elementary schools, an</w:t></w:r>
</w:p>
<w:p>
<w:pPr><w:pStyle w:val="Normal"/></w:pPr>
<w:r><w:t xml:space="preserve">arsenal, and eleven churches, the finest of which is St</w:t></w:r>
</w:p>
<w:p>
<w:pPr><w:pStyle w:val="Normal"/></w:pPr>
<w:r><w:t xml:space="preserve">Martin&apos;s, of the 15th century, with many excellent paintings</w:t></w:r>
</w:p>
<w:p>
<w:pPr><w:pStyle w:val="Normal"/></w:pPr>
<w:r><w:t xml:space="preserve">and a tower 300 ft. high.  A former Jesuit monastery is</w:t></w:r>
</w:p>
<w:p>
<w:pPr><w:pStyle w:val="Normal"/></w:pPr>
<w:r><w:t xml:space="preserve">now used for a grammar school and seminary. There are</w:t></w:r>
</w:p>
<w:p>
<w:pPr><w:pStyle w:val="Normal"/></w:pPr>
<w:r><w:t xml:space="preserve">also a pilgrimage church on a hill 1621 ft. high, a large</w:t></w:r>
</w:p>
<w:p>
<w:pPr><w:pStyle w:val="Normal"/></w:pPr>
<w:r><w:t xml:space="preserve">convict prison for men, an industrial, commercial and other</w:t></w:r>
</w:p>
<w:p>
<w:pPr><w:pStyle w:val="Normal"/></w:pPr>
<w:r><w:t xml:space="preserve">schools.  The principal manufactures are firearms, ironmongery,</w:t></w:r>
</w:p>
<w:p>
<w:pPr><w:pStyle w:val="Normal"/></w:pPr>
<w:r><w:t xml:space="preserve">earthenware, woollen cloth, beer, stoneware, zinc goods,</w:t></w:r>
</w:p>
<w:p>
<w:pPr><w:pStyle w:val="Normal"/></w:pPr>
<w:r><w:t xml:space="preserve">colours and salt; in the neighbourhood are iron and coal</w:t></w:r>
</w:p>
<w:p>
<w:pPr><w:pStyle w:val="Normal"/></w:pPr>
<w:r><w:t xml:space="preserve">mines.  The French under Jourdan were defeated by the</w:t></w:r>
</w:p>
<w:p>
<w:pPr><w:pStyle w:val="Normal"/></w:pPr>
<w:r><w:t xml:space="preserve">Austrians under the Archduke Charles near Amberg in 1796.</w:t></w:r>
</w:p>
<w:p>
<w:pPr><w:pStyle w:val="Normal"/></w:pPr>
<w:r><w:t xml:space="preserve">AMBERGRIS (Ambra grisea, Ambre gris, or grey amber),</w:t></w:r>
</w:p>
<w:p>
<w:pPr><w:pStyle w:val="Normal"/></w:pPr>
<w:r><w:t xml:space="preserve">a solid, fatty, inflammable substance of a dull grey or</w:t></w:r>
</w:p>
<w:p>
<w:pPr><w:pStyle w:val="Normal"/></w:pPr>
<w:r><w:t xml:space="preserve">blackish colour, the shades being variegated like marble,</w:t></w:r>
</w:p>
<w:p>
<w:pPr><w:pStyle w:val="Normal"/></w:pPr>
<w:r><w:t xml:space="preserve">possessing a peculiar sweet, earthy odour.  It occurs as</w:t></w:r>
</w:p>
<w:p>
<w:pPr><w:pStyle w:val="Normal"/></w:pPr>
<w:r><w:t xml:space="preserve">a biliary concretion in the intestines of the spermaceti</w:t></w:r>
</w:p>
<w:p>
<w:pPr><w:pStyle w:val="Normal"/></w:pPr>
<w:r><w:t xml:space="preserve">whale (Physeter macrocephalus), and is found floating</w:t></w:r>
</w:p>
<w:p>
<w:pPr><w:pStyle w:val="Normal"/></w:pPr>
<w:r><w:t xml:space="preserve">upon the sea, on the sea-coast, or in the sand near the</w:t></w:r>
</w:p>
<w:p>
<w:pPr><w:pStyle w:val="Normal"/></w:pPr>
<w:r><w:t xml:space="preserve">sea-coast.  It is met with in the Atlantic Ocean; on the</w:t></w:r>
</w:p>
<w:p>
<w:pPr><w:pStyle w:val="Normal"/></w:pPr>
<w:r><w:t xml:space="preserve">coasts of Brazil and Madagascar; also on the coast of Africa,</w:t></w:r>
</w:p>
<w:p>
<w:pPr><w:pStyle w:val="Normal"/></w:pPr>
<w:r><w:t xml:space="preserve">of the East Indies, China, Japan and the Molucca islands;</w:t></w:r>
</w:p>
<w:p>
<w:pPr><w:pStyle w:val="Normal"/></w:pPr>
<w:r><w:t xml:space="preserve">but most of the ambergris which is brought to England comes</w:t></w:r>
</w:p>
<w:p>
<w:pPr><w:pStyle w:val="Normal"/></w:pPr>
<w:r><w:t xml:space="preserve">from the Bahama Islands, Providence, &amp;c. It is also sometimes</w:t></w:r>
</w:p>
<w:p>
<w:pPr><w:pStyle w:val="Normal"/></w:pPr>
<w:r><w:t xml:space="preserve">found in the abdomen of whales, always in lumps of various</w:t></w:r>
</w:p>
<w:p>
<w:pPr><w:pStyle w:val="Normal"/></w:pPr>
<w:r><w:t xml:space="preserve">shapes and sizes, weighing from  1/2 oz. to 100 or more</w:t></w:r>
</w:p>
<w:p>
<w:pPr><w:pStyle w:val="Normal"/></w:pPr>
<w:r><w:t xml:space="preserve">pounds.  Ambergris, when taken from the intestinal canal of</w:t></w:r>
</w:p>
<w:p>
<w:pPr><w:pStyle w:val="Normal"/></w:pPr>
<w:r><w:t xml:space="preserve">the sperm whale, is of a deep grey colour, soft consistence</w:t></w:r>
</w:p>
<w:p>
<w:pPr><w:pStyle w:val="Normal"/></w:pPr>
<w:r><w:t xml:space="preserve">and a disagreeable smell.  On exposure to the air it</w:t></w:r>
</w:p>
<w:p>
<w:pPr><w:pStyle w:val="Normal"/></w:pPr>
<w:r><w:t xml:space="preserve">gradually hardens, becomes pale and develops its peculiar</w:t></w:r>
</w:p>
<w:p>
<w:pPr><w:pStyle w:val="Normal"/></w:pPr>
<w:r><w:t xml:space="preserve">sweet, earthy odour.  In that condition its specific gravity</w:t></w:r>
</w:p>
<w:p>
<w:pPr><w:pStyle w:val="Normal"/></w:pPr>
<w:r><w:t xml:space="preserve">ranges from 0.780 to 0.926. It melts at about 62 deg.  C. to a</w:t></w:r>
</w:p>
<w:p>
<w:pPr><w:pStyle w:val="Normal"/></w:pPr>
<w:r><w:t xml:space="preserve">fatty, yellow resinous-like liquid; and at 100 deg.  C. it is</w:t></w:r>
</w:p>
<w:p>
<w:pPr><w:pStyle w:val="Normal"/></w:pPr>
<w:r><w:t xml:space="preserve">volatilized into a white vapour.  It is soluble in ether,</w:t></w:r>
</w:p>
<w:p>
<w:pPr><w:pStyle w:val="Normal"/></w:pPr>
<w:r><w:t xml:space="preserve">and in volatile and fixed oils; it is only feebly acted on by</w:t></w:r>
</w:p>
<w:p>
<w:pPr><w:pStyle w:val="Normal"/></w:pPr>
<w:r><w:t xml:space="preserve">acids.  By digesting in hot alcohol, a substance termed</w:t></w:r>
</w:p>
<w:p>
<w:pPr><w:pStyle w:val="Normal"/></w:pPr>
<w:r><w:t xml:space="preserve">ambrein, closely resembling cholesterin, is obtained,</w:t></w:r>
</w:p>
<w:p>
<w:pPr><w:pStyle w:val="Normal"/></w:pPr>
<w:r><w:t xml:space="preserve">which separates in brilliant white crystals as the solution</w:t></w:r>
</w:p>
<w:p>
<w:pPr><w:pStyle w:val="Normal"/></w:pPr>
<w:r><w:t xml:space="preserve">cools.  The use of ambergris in Europe is now entirely confined</w:t></w:r>
</w:p>
<w:p>
<w:pPr><w:pStyle w:val="Normal"/></w:pPr>
<w:r><w:t xml:space="preserve">to perfumery, though it formerly occupied no inconsiderable</w:t></w:r>
</w:p>
<w:p>
<w:pPr><w:pStyle w:val="Normal"/></w:pPr>
<w:r><w:t xml:space="preserve">place in medicine. In minute quantities its alcoholic solution</w:t></w:r>
</w:p>
<w:p>
<w:pPr><w:pStyle w:val="Normal"/></w:pPr>
<w:r><w:t xml:space="preserve">is much used for giving a ``floral&apos;&apos; fragrance to bouquets,</w:t></w:r>
</w:p>
<w:p>
<w:pPr><w:pStyle w:val="Normal"/></w:pPr>
<w:r><w:t xml:space="preserve">washes and other preparations of the perfumer.  It occupies a</w:t></w:r>
</w:p>
<w:p>
<w:pPr><w:pStyle w:val="Normal"/></w:pPr>
<w:r><w:t xml:space="preserve">very important place in the perfumery of the East, and there</w:t></w:r>
</w:p>
<w:p>
<w:pPr><w:pStyle w:val="Normal"/></w:pPr>
<w:r><w:t xml:space="preserve">it is also used in pharmacy and as a flavouring material in</w:t></w:r>
</w:p>
<w:p>
<w:pPr><w:pStyle w:val="Normal"/></w:pPr>
<w:r><w:t xml:space="preserve">cookery.  The high price it commands makes it peculiarly</w:t></w:r>
</w:p>
<w:p>
<w:pPr><w:pStyle w:val="Normal"/></w:pPr>
<w:r><w:t xml:space="preserve">liable to adulteration, but its genuineness is easily tested</w:t></w:r>
</w:p>
<w:p>
<w:pPr><w:pStyle w:val="Normal"/></w:pPr>
<w:r><w:t xml:space="preserve">by its solubility in hot alcohol, its fragrant odour, and its</w:t></w:r>
</w:p>
<w:p>
<w:pPr><w:pStyle w:val="Normal"/></w:pPr>
<w:r><w:t xml:space="preserve">uniform fatty consistence on being penetrated by a hot wire.</w:t></w:r>
</w:p>
<w:p>
<w:pPr><w:pStyle w:val="Normal"/></w:pPr>
<w:r><w:t xml:space="preserve">AMBERT, a town of central France, capital of an</w:t></w:r>
</w:p>
<w:p>
<w:pPr><w:pStyle w:val="Normal"/></w:pPr>
<w:r><w:t xml:space="preserve">arrondissement of the department of Puy-de-Dome, on the</w:t></w:r>
</w:p>
<w:p>
<w:pPr><w:pStyle w:val="Normal"/></w:pPr>
<w:r><w:t xml:space="preserve">Dore, 52 m. E.S.E. of Clermont-Ferrand by rail.  Pop. (1906),</w:t></w:r>
</w:p>
<w:p>
<w:pPr><w:pStyle w:val="Normal"/></w:pPr>
<w:r><w:t xml:space="preserve">town, 3889; commune, 7581.  The town has a church of the</w:t></w:r>
</w:p>
<w:p>
<w:pPr><w:pStyle w:val="Normal"/></w:pPr>
<w:r><w:t xml:space="preserve">15th and 16th centuries and carries on the manufacture of</w:t></w:r>
</w:p>
<w:p>
<w:pPr><w:pStyle w:val="Normal"/></w:pPr>
<w:r><w:t xml:space="preserve">paper, lace, ribbon, rosaries, &amp;c., and trade in cheese.</w:t></w:r>
</w:p>
<w:p>
<w:pPr><w:pStyle w:val="Normal"/></w:pPr>
<w:r><w:t xml:space="preserve">It is the seat of a sub-prefect, and the public institutions</w:t></w:r>
</w:p>
<w:p>
<w:pPr><w:pStyle w:val="Normal"/></w:pPr>
<w:r><w:t xml:space="preserve">include tribunals of first instance and of commerce, a</w:t></w:r>
</w:p>
<w:p>
<w:pPr><w:pStyle w:val="Normal"/></w:pPr>
<w:r><w:t xml:space="preserve">chamber of arts and manufactures, and a communal college.</w:t></w:r>
</w:p>
<w:p>
<w:pPr><w:pStyle w:val="Normal"/></w:pPr>
<w:r><w:t xml:space="preserve">AMBIENT (from Lat. ambi, on both sides, and ire, to go),</w:t></w:r>
</w:p>
<w:p>
<w:pPr><w:pStyle w:val="Normal"/></w:pPr>
<w:r><w:t xml:space="preserve">surrounding; a word implying a moving rather than a stationary</w:t></w:r>
</w:p>
<w:p>
<w:pPr><w:pStyle w:val="Normal"/></w:pPr>
<w:r><w:t xml:space="preserve">encircling.  It is used mostly in the phrase the ``ambient</w:t></w:r>
</w:p>
<w:p>
<w:pPr><w:pStyle w:val="Normal"/></w:pPr>
<w:r><w:t xml:space="preserve">air,&apos;&apos; though Bacon applied it as an adjective to the clergy,</w:t></w:r>
</w:p>
<w:p>
<w:pPr><w:pStyle w:val="Normal"/></w:pPr>
<w:r><w:t xml:space="preserve">suggesting ``ambition.&apos;&apos; In astrology it means the sky.</w:t></w:r>
</w:p>
<w:p>
<w:pPr><w:pStyle w:val="Normal"/></w:pPr>
<w:r><w:t xml:space="preserve">AMBIGU, a French game of cards, composed of the characteristic</w:t></w:r>
</w:p>
<w:p>
<w:pPr><w:pStyle w:val="Normal"/></w:pPr>
<w:r><w:t xml:space="preserve">elements of whist, bouillotte and piquet.  A whist pack with</w:t></w:r>
</w:p>
<w:p>
<w:pPr><w:pStyle w:val="Normal"/></w:pPr>
<w:r><w:t xml:space="preserve">the court cards deleted is used, and from two to six persons may</w:t></w:r>
</w:p>
<w:p>
<w:pPr><w:pStyle w:val="Normal"/></w:pPr>
<w:r><w:t xml:space="preserve">play.  Each player is given an equal number of counters,</w:t></w:r>
</w:p>
<w:p>
<w:pPr><w:pStyle w:val="Normal"/></w:pPr>
<w:r><w:t xml:space="preserve">and a limit of betting is agreed upon.  Two cards are dealt,</w:t></w:r>
</w:p>
<w:p>
<w:pPr><w:pStyle w:val="Normal"/></w:pPr>
<w:r><w:t xml:space="preserve">one at a time, to each player, after each has placed two</w:t></w:r>
</w:p>
<w:p>
<w:pPr><w:pStyle w:val="Normal"/></w:pPr>
<w:r><w:t xml:space="preserve">counters in a pool.  Each player then either keeps his</w:t></w:r>
</w:p>
<w:p>
<w:pPr><w:pStyle w:val="Normal"/></w:pPr>
<w:r><w:t xml:space="preserve">hand, saying ``Enough,&apos;&apos; or takes one or two new cards from</w:t></w:r>
</w:p>
<w:p>
<w:pPr><w:pStyle w:val="Normal"/></w:pPr>
<w:r><w:t xml:space="preserve">the top of the stock, after which the stock is reshuffled</w:t></w:r>
</w:p>
<w:p>
<w:pPr><w:pStyle w:val="Normal"/></w:pPr>
<w:r><w:t xml:space="preserve">and cut, and each player receives two more cards, one at a</w:t></w:r>
</w:p>
<w:p>
<w:pPr><w:pStyle w:val="Normal"/></w:pPr>
<w:r><w:t xml:space="preserve">time.  The players then either ``play&apos;&apos; or ``pass.&apos;&apos; If a</w:t></w:r>
</w:p>
<w:p>
<w:pPr><w:pStyle w:val="Normal"/></w:pPr>
<w:r><w:t xml:space="preserve">person ``plays,&apos;&apos; he bets a number of counters and the others</w:t></w:r>
</w:p>
<w:p>
<w:pPr><w:pStyle w:val="Normal"/></w:pPr>
<w:r><w:t xml:space="preserve">may equal this bet or raise it.  Should no player meet the</w:t></w:r>
</w:p>
<w:p>
<w:pPr><w:pStyle w:val="Normal"/></w:pPr>
<w:r><w:t xml:space="preserve">first bet, the bettor takes back his bet, leaving the pool</w:t></w:r>
</w:p>
<w:p>
<w:pPr><w:pStyle w:val="Normal"/></w:pPr>
<w:r><w:t xml:space="preserve">intact, and receives two counters from the last player who</w:t></w:r>
</w:p>
<w:p>
<w:pPr><w:pStyle w:val="Normal"/></w:pPr>
<w:r><w:t xml:space="preserve">refuses to play.  When two or more bet the same number, they</w:t></w:r>
</w:p>
<w:p>
<w:pPr><w:pStyle w:val="Normal"/></w:pPr>
<w:r><w:t xml:space="preserve">again draw cards and ``pass&apos;&apos; or ``play&apos;&apos; as before.  If</w:t></w:r>
</w:p>
<w:p>
<w:pPr><w:pStyle w:val="Normal"/></w:pPr>
<w:r><w:t xml:space="preserve">all ``pass,&apos;&apos; each pays a counter to the pool and a new deal</w:t></w:r>
</w:p>
<w:p>
<w:pPr><w:pStyle w:val="Normal"/></w:pPr>
<w:r><w:t xml:space="preserve">ensues.  The player betting more than the others call wins the</w:t></w:r>
</w:p>
<w:p>
<w:pPr><w:pStyle w:val="Normal"/></w:pPr>
<w:r><w:t xml:space="preserve">pool.  He then exposes his hand and is paid by each adversary</w:t></w:r>
</w:p>
<w:p>
<w:pPr><w:pStyle w:val="Normal"/></w:pPr>
<w:r><w:t xml:space="preserve">according to its value.  The hands rank as follows: --</w:t></w:r>
</w:p>
<w:p>
<w:pPr><w:pStyle w:val="Normal"/></w:pPr>
<w:r><w:t xml:space="preserve">``Point,&apos;&apos; the number Of pips on two or more cards of a suit</w:t></w:r>
</w:p>
<w:p>
<w:pPr><w:pStyle w:val="Normal"/></w:pPr>
<w:r><w:t xml:space="preserve">(one counter). ``Prime,&apos;&apos; four cards of different suits (two</w:t></w:r>
</w:p>
<w:p>
<w:pPr><w:pStyle w:val="Normal"/></w:pPr>
<w:r><w:t xml:space="preserve">counters). ``Grand Prime,&apos;&apos; the same with the number of pips</w:t></w:r>
</w:p>
<w:p>
<w:pPr><w:pStyle w:val="Normal"/></w:pPr>
<w:r><w:t xml:space="preserve">over 30 (three counters). ``Sequence,&apos;&apos; a hand containing</w:t></w:r>
</w:p>
<w:p>
<w:pPr><w:pStyle w:val="Normal"/></w:pPr>
<w:r><w:t xml:space="preserve">three cards of the same suit in sequence (three counters).</w:t></w:r>
</w:p>
<w:p>
<w:pPr><w:pStyle w:val="Normal"/></w:pPr>
<w:r><w:t xml:space="preserve">``Tricon,&apos;&apos; three of a kind (four counters). ``Flush,&apos;&apos;</w:t></w:r>
</w:p>
<w:p>
<w:pPr><w:pStyle w:val="Normal"/></w:pPr>
<w:r><w:t xml:space="preserve">four cards of the same suit (five counters). ``Doublet,&apos;&apos;</w:t></w:r>
</w:p>
<w:p>
<w:pPr><w:pStyle w:val="Normal"/></w:pPr>
<w:r><w:t xml:space="preserve">a hand containing two counting combinations at once, as 2,</w:t></w:r>
</w:p>
<w:p>
<w:pPr><w:pStyle w:val="Normal"/></w:pPr>
<w:r><w:t xml:space="preserve">3, 4 and 7 of spades, amounting to both a ``sequence&apos;&apos; and a</w:t></w:r>
</w:p>
<w:p>
<w:pPr><w:pStyle w:val="Normal"/></w:pPr>
<w:r><w:t xml:space="preserve">``flush&apos;&apos; (eight counters). ``Fredon,&apos;&apos; four of a kind (the</w:t></w:r>
</w:p>
<w:p>
<w:pPr><w:pStyle w:val="Normal"/></w:pPr>
<w:r><w:t xml:space="preserve">highest possible hand), ten or eleven counters, according to</w:t></w:r>
</w:p>
<w:p>
<w:pPr><w:pStyle w:val="Normal"/></w:pPr>
<w:r><w:t xml:space="preserve">the number of pips.  Ties are decided by the number of pips.</w:t></w:r>
</w:p>
<w:p>
<w:pPr><w:pStyle w:val="Normal"/></w:pPr>
<w:r><w:t xml:space="preserve">AMBIGUITY (Fr. ambiguite, med.  Lat. ambiguitas, from</w:t></w:r>
</w:p>
<w:p>
<w:pPr><w:pStyle w:val="Normal"/></w:pPr>
<w:r><w:t xml:space="preserve">Lat. ambiguus, doubtful; ambi, both ways, agere, to</w:t></w:r>
</w:p>
<w:p>
<w:pPr><w:pStyle w:val="Normal"/></w:pPr>
<w:r><w:t xml:space="preserve">drive), doubtful ness or uncertainty.  In law an ambiguity</w:t></w:r>
</w:p>
<w:p>
<w:pPr><w:pStyle w:val="Normal"/></w:pPr>
<w:r><w:t xml:space="preserve">as to the meaning of the words of a written instrument may</w:t></w:r>
</w:p>
<w:p>
<w:pPr><w:pStyle w:val="Normal"/></w:pPr>
<w:r><w:t xml:space="preserve">be of considerable importance. Ambiguity, in law, is of two</w:t></w:r>
</w:p>
<w:p>
<w:pPr><w:pStyle w:val="Normal"/></w:pPr>
<w:r><w:t xml:space="preserve">kinds, patent and latent. (1) Patent ambiguity is that</w:t></w:r>
</w:p>
<w:p>
<w:pPr><w:pStyle w:val="Normal"/></w:pPr>
<w:r><w:t xml:space="preserve">ambiguity which is apparent on the face of an instrument</w:t></w:r>
</w:p>
<w:p>
<w:pPr><w:pStyle w:val="Normal"/></w:pPr>
<w:r><w:t xml:space="preserve">to any one perusing it, even if he be unacquainted with</w:t></w:r>
</w:p>
<w:p>
<w:pPr><w:pStyle w:val="Normal"/></w:pPr>
<w:r><w:t xml:space="preserve">the circumstances of the parties.  In the case of a patent</w:t></w:r>
</w:p>
<w:p>
<w:pPr><w:pStyle w:val="Normal"/></w:pPr>
<w:r><w:t xml:space="preserve">ambiguity parol evidence is admissible to explain only what</w:t></w:r>
</w:p>
<w:p>
<w:pPr><w:pStyle w:val="Normal"/></w:pPr>
<w:r><w:t xml:space="preserve">has been written, not what it was intended to write.  For</w:t></w:r>
</w:p>
<w:p>
<w:pPr><w:pStyle w:val="Normal"/></w:pPr>
<w:r><w:t xml:space="preserve">example, in Saunderson v. Piper, 1839, 5, B.N.C. 425,</w:t></w:r>
</w:p>
<w:p>
<w:pPr><w:pStyle w:val="Normal"/></w:pPr>
<w:r><w:t xml:space="preserve">where a bill was drawn in figures for L.  245 and in words</w:t></w:r>
</w:p>
<w:p>
<w:pPr><w:pStyle w:val="Normal"/></w:pPr>
<w:r><w:t xml:space="preserve">for two hundred  pounds, evidence that ``and forty-five&apos;&apos;</w:t></w:r>
</w:p>
<w:p>
<w:pPr><w:pStyle w:val="Normal"/></w:pPr>
<w:r><w:t xml:space="preserve">had been omitted by mistake was rejected.  But where it</w:t></w:r>
</w:p>
<w:p>
<w:pPr><w:pStyle w:val="Normal"/></w:pPr>
<w:r><w:t xml:space="preserve">appears from the general  context of the instrument what</w:t></w:r>
</w:p>
<w:p>
<w:pPr><w:pStyle w:val="Normal"/></w:pPr>
<w:r><w:t xml:space="preserve">the parties really meant, the instrument will be construed</w:t></w:r>
</w:p>
<w:p>
<w:pPr><w:pStyle w:val="Normal"/></w:pPr>
<w:r><w:t xml:space="preserve">as if there was no ambiguity, as in Saye and Sate&apos;s case,</w:t></w:r>
</w:p>
<w:p>
<w:pPr><w:pStyle w:val="Normal"/></w:pPr>
<w:r><w:t xml:space="preserve">10 Mod. 46, where the name of the  grantor had been omitted</w:t></w:r>
</w:p>
<w:p>
<w:pPr><w:pStyle w:val="Normal"/></w:pPr>
<w:r><w:t xml:space="preserve">in the operative part of a grant, but, as it was clear from</w:t></w:r>
</w:p>
<w:p>
<w:pPr><w:pStyle w:val="Normal"/></w:pPr>
<w:r><w:t xml:space="preserve">another part of the grant who he was, the deed was held to</w:t></w:r>
</w:p>
<w:p>
<w:pPr><w:pStyle w:val="Normal"/></w:pPr>
<w:r><w:t xml:space="preserve">be valid. (2) Latent ambiguity is where the wording of an</w:t></w:r>
</w:p>
<w:p>
<w:pPr><w:pStyle w:val="Normal"/></w:pPr>
<w:r><w:t xml:space="preserve">instrument is on the face of it clear and intelligible, but</w:t></w:r>
</w:p>
<w:p>
<w:pPr><w:pStyle w:val="Normal"/></w:pPr>
<w:r><w:t xml:space="preserve">may, at the same time, apply equally to two different things</w:t></w:r>
</w:p>
<w:p>
<w:pPr><w:pStyle w:val="Normal"/></w:pPr>
<w:r><w:t xml:space="preserve">or subject matters, as where a legacy is given ``to my nephew,</w:t></w:r>
</w:p>
<w:p>
<w:pPr><w:pStyle w:val="Normal"/></w:pPr>
<w:r><w:t xml:space="preserve">John,&apos;&apos; and the testor is shown to have  two nephews of that</w:t></w:r>
</w:p>
<w:p>
<w:pPr><w:pStyle w:val="Normal"/></w:pPr>
<w:r><w:t xml:space="preserve">name.  A latent ambiguity may be explained by parol evidence,</w:t></w:r>
</w:p>
<w:p>
<w:pPr><w:pStyle w:val="Normal"/></w:pPr>
<w:r><w:t xml:space="preserve">for, as the ambiguity has been brought about by circumstances</w:t></w:r>
</w:p>
<w:p>
<w:pPr><w:pStyle w:val="Normal"/></w:pPr>
<w:r><w:t xml:space="preserve">extraneous to the instrument, the explanation must necessarily</w:t></w:r>
</w:p>
<w:p>
<w:pPr><w:pStyle w:val="Normal"/></w:pPr>
<w:r><w:t xml:space="preserve">be sought for from such circumstances. (See also Evidence.)</w:t></w:r>
</w:p>
<w:p>
<w:pPr><w:pStyle w:val="Normal"/></w:pPr>
<w:r><w:t xml:space="preserve">AMBIORIX, prince of Eburones, a tribe of Belgian Gaul.</w:t></w:r>
</w:p>
<w:p>
<w:pPr><w:pStyle w:val="Normal"/></w:pPr>
<w:r><w:t xml:space="preserve">Although Caesar (q.v.) had freed him from paying tribute</w:t></w:r>
</w:p>
<w:p>
<w:pPr><w:pStyle w:val="Normal"/></w:pPr>
<w:r><w:t xml:space="preserve">to the Aduztuci, he joined Catuvolcus (winter, 54 B.C.)</w:t></w:r>
</w:p>
<w:p>
<w:pPr><w:pStyle w:val="Normal"/></w:pPr>
<w:r><w:t xml:space="preserve">in rising against the Roman forces under Q. Titurius</w:t></w:r>
</w:p>
<w:p>
<w:pPr><w:pStyle w:val="Normal"/></w:pPr>
<w:r><w:t xml:space="preserve">Sabinus and I. Aurunculeius Cotta, and almost annihilated</w:t></w:r>
</w:p>
<w:p>
<w:pPr><w:pStyle w:val="Normal"/></w:pPr>
<w:r><w:t xml:space="preserve">them.  An attack on Quintus Cicero (brother of the orator),</w:t></w:r>
</w:p>
<w:p>
<w:pPr><w:pStyle w:val="Normal"/></w:pPr>
<w:r><w:t xml:space="preserve">then quartered with a legion in the territory of the</w:t></w:r>
</w:p>
<w:p>
<w:pPr><w:pStyle w:val="Normal"/></w:pPr>
<w:r><w:t xml:space="preserve">Nervii, failed owing to the timely appearance of Caesar.</w:t></w:r>
</w:p>
<w:p>
<w:pPr><w:pStyle w:val="Normal"/></w:pPr>
<w:r><w:t xml:space="preserve">Ambiroix is said to have found safety across the Rhine.</w:t></w:r>
</w:p>
<w:p>
<w:pPr><w:pStyle w:val="Normal"/></w:pPr>
<w:r><w:t xml:space="preserve">Caesar, Bell.  Gall. v. 26-51, vi. 29-43,</w:t></w:r>
</w:p>
<w:p>
<w:pPr><w:pStyle w:val="Normal"/></w:pPr>
<w:r><w:t xml:space="preserve">viii. 24; Dio Cassius xl. 7-11; Florus iii. 10.</w:t></w:r>
</w:p>
<w:p>
<w:pPr><w:pStyle w:val="Normal"/></w:pPr>
<w:r><w:t xml:space="preserve">AMBLESIDE, a market-town in the Appleby parliamentary</w:t></w:r>
</w:p>
<w:p>
<w:pPr><w:pStyle w:val="Normal"/></w:pPr>
<w:r><w:t xml:space="preserve">division of Westmorland, England, a mile from the head of</w:t></w:r>
</w:p>
<w:p>
<w:pPr><w:pStyle w:val="Normal"/></w:pPr>
<w:r><w:t xml:space="preserve">Windermere.  Pop. of urban district (1901) 2536.  It is most</w:t></w:r>
</w:p>
<w:p>
<w:pPr><w:pStyle w:val="Normal"/></w:pPr>
<w:r><w:t xml:space="preserve">beautifully situated, for though the lake is hardly visible</w:t></w:r>
</w:p>
<w:p>
<w:pPr><w:pStyle w:val="Normal"/></w:pPr>
<w:r><w:t xml:space="preserve">from the town, the bare sharply rising hills surrounding</w:t></w:r>
</w:p>
<w:p>
<w:pPr><w:pStyle w:val="Normal"/></w:pPr>
<w:r><w:t xml:space="preserve">the richly  wooded valley of the Rothay afford a series of</w:t></w:r>
</w:p>
<w:p>
<w:pPr><w:pStyle w:val="Normal"/></w:pPr>
<w:r><w:t xml:space="preserve">exquisite views. The hills immediately above this part of</w:t></w:r>
</w:p>
<w:p>
<w:pPr><w:pStyle w:val="Normal"/></w:pPr>
<w:r><w:t xml:space="preserve">the valley are Wansfell on the east, Loughrigg Fell on the</w:t></w:r>
</w:p>
<w:p>
<w:pPr><w:pStyle w:val="Normal"/></w:pPr>
<w:r><w:t xml:space="preserve">west, and Rydal Fell and the ridge below Snarker Pike</w:t></w:r>
</w:p>
<w:p>
<w:pPr><w:pStyle w:val="Normal"/></w:pPr>
<w:r><w:t xml:space="preserve">(2096 ft.) to the north.  At the head of Windermere is</w:t></w:r>
</w:p>
<w:p>
<w:pPr><w:pStyle w:val="Normal"/></w:pPr>
<w:r><w:t xml:space="preserve">Waterhead, the landing-stage of Ambleside, which is served</w:t></w:r>
</w:p>
<w:p>
<w:pPr><w:pStyle w:val="Normal"/></w:pPr>
<w:r><w:t xml:space="preserve">by the lake steamers of the Furness Railway Company.  The</w:t></w:r>
</w:p>
<w:p>
<w:pPr><w:pStyle w:val="Normal"/></w:pPr>
<w:r><w:t xml:space="preserve">chief roads which centre upon Ambleside are -- one from the</w:t></w:r>
</w:p>
<w:p>
<w:pPr><w:pStyle w:val="Normal"/></w:pPr>
<w:r><w:t xml:space="preserve">town of Windemere, following the eastern shore of the lake;</w:t></w:r>
</w:p>
<w:p>
<w:pPr><w:pStyle w:val="Normal"/></w:pPr>
<w:r><w:t xml:space="preserve">one from Ullswater, by Patterdale and Kirkstone Pass; one</w:t></w:r>
</w:p>
<w:p>
<w:pPr><w:pStyle w:val="Normal"/></w:pPr>
<w:r><w:t xml:space="preserve">from Keswick, by Dunmail Raise and Grasmere, and the two</w:t></w:r>
</w:p>
<w:p>
<w:pPr><w:pStyle w:val="Normal"/></w:pPr>
<w:r><w:t xml:space="preserve">lovely lakes of Grasmere and Rydal Water; and one from the</w:t></w:r>
</w:p>
<w:p>
<w:pPr><w:pStyle w:val="Normal"/></w:pPr>
<w:r><w:t xml:space="preserve">Brathay valley and the Langdales to  the west.  Ambleside</w:t></w:r>
</w:p>
<w:p>
<w:pPr><w:pStyle w:val="Normal"/></w:pPr>
<w:r><w:t xml:space="preserve">is thus much frequented by tourists.  In its vicinity</w:t></w:r>
</w:p>
<w:p>
<w:pPr><w:pStyle w:val="Normal"/></w:pPr>
<w:r><w:t xml:space="preserve">is Rydal Mount, for many years the residence of the poet</w:t></w:r>
</w:p>
<w:p>
<w:pPr><w:pStyle w:val="Normal"/></w:pPr>
<w:r><w:t xml:space="preserve">Wordsworth. The town has some industry in bobbin-making,</w:t></w:r>
</w:p>
<w:p>
<w:pPr><w:pStyle w:val="Normal"/></w:pPr>
<w:r><w:t xml:space="preserve">and there are slate quarries in the neighbourhood.</w:t></w:r>
</w:p>
<w:p>
<w:pPr><w:pStyle w:val="Normal"/></w:pPr>
<w:r><w:t xml:space="preserve">Close by the lake side the outlines are still visible of</w:t></w:r>
</w:p>
<w:p>
<w:pPr><w:pStyle w:val="Normal"/></w:pPr>
<w:r><w:t xml:space="preserve">a Roman fort, the name of which is not known. It appears</w:t></w:r>
</w:p>
<w:p>
<w:pPr><w:pStyle w:val="Normal"/></w:pPr>
<w:r><w:t xml:space="preserve">to have guarded a route over the hills by Hardknott and</w:t></w:r>
</w:p>
<w:p>
<w:pPr><w:pStyle w:val="Normal"/></w:pPr>
<w:r><w:t xml:space="preserve">Wrynose Pass to Ravenglass on the Coast of Cumberland.</w:t></w:r>
</w:p>
<w:p>
<w:pPr><w:pStyle w:val="Normal"/></w:pPr>
<w:r><w:t xml:space="preserve">AMBLYGONITE, a mineral usually found as cleavable or columnar,</w:t></w:r>
</w:p>
<w:p>
<w:pPr><w:pStyle w:val="Normal"/></w:pPr>
<w:r><w:t xml:space="preserve">and compact masses; it is translucent and has a vitreous</w:t></w:r>
</w:p>
<w:p>
<w:pPr><w:pStyle w:val="Normal"/></w:pPr>
<w:r><w:t xml:space="preserve">lustre, and the colour varies from white to pale shades of</w:t></w:r>
</w:p>
<w:p>
<w:pPr><w:pStyle w:val="Normal"/></w:pPr>
<w:r><w:t xml:space="preserve">violet, grey, green or yellow.  There are good cleavages in two</w:t></w:r>
</w:p>
<w:p>
<w:pPr><w:pStyle w:val="Normal"/></w:pPr>
<w:r><w:t xml:space="preserve">directions.  The hardness is 6 and the specific gravity 3.0. The</w:t></w:r>
</w:p>
<w:p>
<w:pPr><w:pStyle w:val="Normal"/></w:pPr>
<w:r><w:t xml:space="preserve">mineral is thus not unlike felspar in general appearance, but</w:t></w:r>
</w:p>
<w:p>
<w:pPr><w:pStyle w:val="Normal"/></w:pPr>
<w:r><w:t xml:space="preserve">it is readily distinguished from this by its chemical characters,</w:t></w:r>
</w:p>
<w:p>
<w:pPr><w:pStyle w:val="Normal"/></w:pPr>
<w:r><w:t xml:space="preserve">being an aluminium and lithium fluophosphate, Li(AlF)PO4, with</w:t></w:r>
</w:p>
<w:p>
<w:pPr><w:pStyle w:val="Heading1"/></w:pPr>
<w:r><w:t>part of the lithium replaced by sodium and part of the fluoine by</w:t></w:r>
</w:p>
<w:p>
<w:pPr><w:pStyle w:val="Normal"/></w:pPr>
<w:r><w:t xml:space="preserve">hydroxyl.  Crystals, which are rarely distinctly  developed,</w:t></w:r>
</w:p>
<w:p>
<w:pPr><w:pStyle w:val="Normal"/></w:pPr>
<w:r><w:t xml:space="preserve">belong to the anorthic system, and frequently show twin lamellae.</w:t></w:r>
</w:p>
<w:p>
<w:pPr><w:pStyle w:val="Normal"/></w:pPr>
<w:r><w:t xml:space="preserve">The mineral was first discovered in Saxony by A. Breithaupt</w:t></w:r>
</w:p>
<w:p>
<w:pPr><w:pStyle w:val="Normal"/></w:pPr>
<w:r><w:t xml:space="preserve">in 1817, and named by him from the Greek amblus, blunt,</w:t></w:r>
</w:p>
<w:p>
<w:pPr><w:pStyle w:val="Normal"/></w:pPr>
<w:r><w:t xml:space="preserve">and gouia, angle, because of the obtuse angle between the</w:t></w:r>
</w:p>
<w:p>
<w:pPr><w:pStyle w:val="Normal"/></w:pPr>
<w:r><w:t xml:space="preserve">cleavages. Later it was found at Montebras, dep.  Creuse,</w:t></w:r>
</w:p>
<w:p>
<w:pPr><w:pStyle w:val="Normal"/></w:pPr>
<w:r><w:t xml:space="preserve">France, and at Hebron in Maine; and on account of slight</w:t></w:r>
</w:p>
<w:p>
<w:pPr><w:pStyle w:val="Normal"/></w:pPr>
<w:r><w:t xml:space="preserve">differences in optical character and chemical composition</w:t></w:r>
</w:p>
<w:p>
<w:pPr><w:pStyle w:val="Normal"/></w:pPr>
<w:r><w:t xml:space="preserve">the names montebrasite and hebronite have been applied to</w:t></w:r>
</w:p>
<w:p>
<w:pPr><w:pStyle w:val="Normal"/></w:pPr>
<w:r><w:t xml:space="preserve">the mineral from these localities.  Recently it has been</w:t></w:r>
</w:p>
<w:p>
<w:pPr><w:pStyle w:val="Normal"/></w:pPr>
<w:r><w:t xml:space="preserve">discovered in considerable quantity at Pala in San Diego</w:t></w:r>
</w:p>
<w:p>
<w:pPr><w:pStyle w:val="Normal"/></w:pPr>
<w:r><w:t xml:space="preserve">county, California, and at Caceres in Spain.  Amblygonite</w:t></w:r>
</w:p>
<w:p>
<w:pPr><w:pStyle w:val="Normal"/></w:pPr>
<w:r><w:t xml:space="preserve">occurs with lepidolite, tourmaline and  other lithia-bearing</w:t></w:r>
</w:p>
<w:p>
<w:pPr><w:pStyle w:val="Normal"/></w:pPr>
<w:r><w:t xml:space="preserve">minerals in pegmatite-veins.  It contains about 10% of</w:t></w:r>
</w:p>
<w:p>
<w:pPr><w:pStyle w:val="Normal"/></w:pPr>
<w:r><w:t xml:space="preserve">lithia, and, since 1886, has been utilized as a source</w:t></w:r>
</w:p>
<w:p>
<w:pPr><w:pStyle w:val="Normal"/></w:pPr>
<w:r><w:t xml:space="preserve">of lithium salts, the chief commercial sources being the</w:t></w:r>
</w:p>
<w:p>
<w:pPr><w:pStyle w:val="Normal"/></w:pPr>
<w:r><w:t xml:space="preserve">Montebras deposits, and later the Californian. (L.J.S.)</w:t></w:r>
</w:p>
<w:p>
<w:pPr><w:pStyle w:val="Normal"/></w:pPr>
<w:r><w:t xml:space="preserve">AMBLYPODA, a suborder of primitive ungulate mammals, taking</w:t></w:r>
</w:p>
<w:p>
<w:pPr><w:pStyle w:val="Normal"/></w:pPr>
<w:r><w:t xml:space="preserve">its name from the short and stumpy feet, which were furnished</w:t></w:r>
</w:p>
<w:p>
<w:pPr><w:pStyle w:val="Normal"/></w:pPr>
<w:r><w:t xml:space="preserve">with five toes each, and supported massive pillar-like</w:t></w:r>
</w:p>
<w:p>
<w:pPr><w:pStyle w:val="Normal"/></w:pPr>
<w:r><w:t xml:space="preserve">limbs.  The brain-cavity was extremely small, and insignificant</w:t></w:r>
</w:p>
<w:p>
<w:pPr><w:pStyle w:val="Normal"/></w:pPr>
<w:r><w:t xml:space="preserve">in comparison to the bodily bulk, which was equal to that</w:t></w:r>
</w:p>
<w:p>
<w:pPr><w:pStyle w:val="Normal"/></w:pPr>
<w:r><w:t xml:space="preserve">of the largest rhinoceroses.  These animals are, in fact,</w:t></w:r>
</w:p>
<w:p>
<w:pPr><w:pStyle w:val="Normal"/></w:pPr>
<w:r><w:t xml:space="preserve">descendants of the small ancestral ungulates which have</w:t></w:r>
</w:p>
<w:p>
<w:pPr><w:pStyle w:val="Normal"/></w:pPr>
<w:r><w:t xml:space="preserve">retained all the primitive characters of the latter accompanied</w:t></w:r>
</w:p>
<w:p>
<w:pPr><w:pStyle w:val="Normal"/></w:pPr>
<w:r><w:t xml:space="preserve">by a huge increase in bodily size.  They are confined to</w:t></w:r>
</w:p>
<w:p>
<w:pPr><w:pStyle w:val="Normal"/></w:pPr>
<w:r><w:t xml:space="preserve">the Eocene period, and occur both in North America and</w:t></w:r>
</w:p>
<w:p>
<w:pPr><w:pStyle w:val="Normal"/></w:pPr>
<w:r><w:t xml:space="preserve">Europe.  The cheek teeth are short crowned (brachyodont),</w:t></w:r>
</w:p>
<w:p>
<w:pPr><w:pStyle w:val="Normal"/></w:pPr>
<w:r><w:t xml:space="preserve">with the tubercles more or less completely fused into</w:t></w:r>
</w:p>
<w:p>
<w:pPr><w:pStyle w:val="Normal"/></w:pPr>
<w:r><w:t xml:space="preserve">transverse ridges, or cross-crests (lophodont type); and</w:t></w:r>
</w:p>
<w:p>
<w:pPr><w:pStyle w:val="Normal"/></w:pPr>
<w:r><w:t xml:space="preserve">the total number of teeth is in one case the typical 44,</w:t></w:r>
</w:p>
<w:p>
<w:pPr><w:pStyle w:val="Normal"/></w:pPr>
<w:r><w:t xml:space="preserve">but in another is reduced below this.  The vertebrae of</w:t></w:r>
</w:p>
<w:p>
<w:pPr><w:pStyle w:val="Normal"/></w:pPr>
<w:r><w:t xml:space="preserve">the neck unite by nearly flat surfaces, the humerus has</w:t></w:r>
</w:p>
<w:p>
<w:pPr><w:pStyle w:val="Normal"/></w:pPr>
<w:r><w:t xml:space="preserve">lost the foramen, or perforation, at the lower end, and the</w:t></w:r>
</w:p>
<w:p>
<w:pPr><w:pStyle w:val="Normal"/></w:pPr>
<w:r><w:t xml:space="preserve">third trochanter to the femur may also be wanting.  In the</w:t></w:r>
</w:p>
<w:p>
<w:pPr><w:pStyle w:val="Normal"/></w:pPr>
<w:r><w:t xml:space="preserve">fore-limb the upper and lower series of carpal bones scarcely</w:t></w:r>
</w:p>
<w:p>
<w:pPr><w:pStyle w:val="Normal"/></w:pPr>
<w:r><w:t xml:space="preserve">alternate, but in the hind- foot the astragalus overlaps the</w:t></w:r>
</w:p>
<w:p>
<w:pPr><w:pStyle w:val="Normal"/></w:pPr>
<w:r><w:t xml:space="preserve">cuboid, while the fibula, which is quite distinct from the</w:t></w:r>
</w:p>
<w:p>
<w:pPr><w:pStyle w:val="Normal"/></w:pPr>
<w:r><w:t xml:space="preserve">tibia (as is the radius from the ulna in the fore-limb),</w:t></w:r>
</w:p>
<w:p>
<w:pPr><w:pStyle w:val="Normal"/></w:pPr>
<w:r><w:t xml:space="preserve">articulates with both astragalus and calcaneum. The most</w:t></w:r>
</w:p>
<w:p>
<w:pPr><w:pStyle w:val="Normal"/></w:pPr>
<w:r><w:t xml:space="preserve">generalized type is Coryphodon, representing the family</w:t></w:r>
</w:p>
<w:p>
<w:pPr><w:pStyle w:val="Normal"/></w:pPr>
<w:r><w:t xml:space="preserve">Coryphodontidae, from the lower Eocene of Europe and North</w:t></w:r>
</w:p>
<w:p>
<w:pPr><w:pStyle w:val="Normal"/></w:pPr>
<w:r><w:t xml:space="preserve">America, in which there were 44 teeth, and no horn-like excrescences</w:t></w:r>
</w:p>
<w:p>
<w:pPr><w:pStyle w:val="Normal"/></w:pPr>
<w:r><w:t xml:space="preserve">on the long skull, while the femur had a third trochanter. The</w:t></w:r>
</w:p>
<w:p>
<w:pPr><w:pStyle w:val="Normal"/></w:pPr>
<w:r><w:t xml:space="preserve">canines are somewhat elongated, and were followed by a short</w:t></w:r>
</w:p>
<w:p>
<w:pPr><w:pStyle w:val="Normal"/></w:pPr>
<w:r><w:t xml:space="preserve">gap in each jaw, and the cheek-teeth were adapted for succulent</w:t></w:r>
</w:p>
<w:p>
<w:pPr><w:pStyle w:val="Normal"/></w:pPr>
<w:r><w:t xml:space="preserve">food.  The length of the body reached about 6 ft. in some cases.</w:t></w:r>
</w:p>
<w:p>
<w:pPr><w:pStyle w:val="Normal"/></w:pPr>
<w:r><w:t xml:space="preserve">In the middle Eocene formations of North America occurs the</w:t></w:r>
</w:p>
<w:p>
<w:pPr><w:pStyle w:val="Normal"/></w:pPr>
<w:r><w:t xml:space="preserve">more specialized Hintatherium (or Dinoceras), typifying</w:t></w:r>
</w:p>
<w:p>
<w:pPr><w:pStyle w:val="Normal"/></w:pPr>
<w:r><w:t xml:space="preserve">the family Uintatheriidae, which also contains species</w:t></w:r>
</w:p>
<w:p>
<w:pPr><w:pStyle w:val="Normal"/></w:pPr>
<w:r><w:t xml:space="preserve">sometimes separated as Tinoceras.  Uintatheres were huge</w:t></w:r>
</w:p>
<w:p>
<w:pPr><w:pStyle w:val="Normal"/></w:pPr>
<w:r><w:t xml:space="preserve">creatures, with long narrow skulls, of which the elongated</w:t></w:r>
</w:p>
<w:p>
<w:pPr><w:pStyle w:val="Normal"/></w:pPr>
<w:r><w:t xml:space="preserve">facial portion caraed three pairs of bony horn-cores,</w:t></w:r>
</w:p>
<w:p>
<w:pPr><w:pStyle w:val="Normal"/></w:pPr>
<w:r><w:t xml:space="preserve">probably covered with short horns in life, the hind-pair</w:t></w:r>
</w:p>
<w:p>
<w:pPr><w:pStyle w:val="Normal"/></w:pPr>
<w:r><w:t xml:space="preserve">being much the largest.  The dental formula is i.  0/3, c.</w:t></w:r>
</w:p>
<w:p>
<w:pPr><w:pStyle w:val="Normal"/></w:pPr>
<w:r><w:t xml:space="preserve">1/1, p. $3\over 3\cdot4$, m.  3/3; the upper canines</w:t></w:r>
</w:p>
<w:p>
<w:pPr><w:pStyle w:val="Normal"/></w:pPr>
<w:r><w:t xml:space="preserve">being long sabre-like weapons, protected by a descending</w:t></w:r>
</w:p>
<w:p>
<w:pPr><w:pStyle w:val="Normal"/></w:pPr>
<w:r><w:t xml:space="preserve">flange on each side of the front of the lower iaw.</w:t></w:r>
</w:p>
<w:p>
<w:pPr><w:pStyle w:val="Normal"/></w:pPr>
<w:r><w:t xml:space="preserve">In the basal Eocene of North America the Amblypoda were represented</w:t></w:r>
</w:p>
<w:p>
<w:pPr><w:pStyle w:val="Normal"/></w:pPr>
<w:r><w:t xml:space="preserve">by extremely primitive, five-toed, small ungulates such as</w:t></w:r>
</w:p>
<w:p>
<w:pPr><w:pStyle w:val="Normal"/></w:pPr>
<w:r><w:t xml:space="preserve">Periptychus and Pantolambda, each of these typifying a</w:t></w:r>
</w:p>
<w:p>
<w:pPr><w:pStyle w:val="Normal"/></w:pPr>
<w:r><w:t xml:space="preserve">family.  The full typical series of 44 teeth was developed</w:t></w:r>
</w:p>
<w:p>
<w:pPr><w:pStyle w:val="Normal"/></w:pPr>
<w:r><w:t xml:space="preserve">in each, but whereas in the Periptychidae the upper molars</w:t></w:r>
</w:p>
<w:p>
<w:pPr><w:pStyle w:val="Normal"/></w:pPr>
<w:r><w:t xml:space="preserve">were bunodont and tritubercular, in the Pantolambdidae</w:t></w:r>
</w:p>
<w:p>
<w:pPr><w:pStyle w:val="Normal"/></w:pPr>
<w:r><w:t xml:space="preserve">they have assumed a selenodont structure.  Creodont</w:t></w:r>
</w:p>
<w:p>
<w:pPr><w:pStyle w:val="Normal"/></w:pPr>
<w:r><w:t xml:space="preserve">characters (see CREODONTA) are displayed in the skeleton.</w:t></w:r>
</w:p>
<w:p>
<w:pPr><w:pStyle w:val="Normal"/></w:pPr>
<w:r><w:t xml:space="preserve">See also H. F. Osborn, ``Evolution of the Amblypoda,&apos;&apos;</w:t></w:r>
</w:p>
<w:p>
<w:pPr><w:pStyle w:val="Normal"/></w:pPr>
<w:r><w:t xml:space="preserve">Bull. Amer.  Mus. vol x. p. 169. (R. L.*)</w:t></w:r>
</w:p>
<w:p>
<w:pPr><w:pStyle w:val="Normal"/></w:pPr>
<w:r><w:t xml:space="preserve">AMBO, or AMBON (Gr. ambon, from anabainein, to</w:t></w:r>
</w:p>
<w:p>
<w:pPr><w:pStyle w:val="Normal"/></w:pPr>
<w:r><w:t xml:space="preserve">walk up, the reading-desk of early Basilican churches,</w:t></w:r>
</w:p>
<w:p>
<w:pPr><w:pStyle w:val="Normal"/></w:pPr>
<w:r><w:t xml:space="preserve">also called purgos.  Originally small and movable, it</w:t></w:r>
</w:p>
<w:p>
<w:pPr><w:pStyle w:val="Normal"/></w:pPr>
<w:r><w:t xml:space="preserve">was afterwards made of large proportions and fixed in one</w:t></w:r>
</w:p>
<w:p>
<w:pPr><w:pStyle w:val="Normal"/></w:pPr>
<w:r><w:t xml:space="preserve">place.  In the Byzantine and early Romanesque periods it</w:t></w:r>
</w:p>
<w:p>
<w:pPr><w:pStyle w:val="Normal"/></w:pPr>
<w:r><w:t xml:space="preserve">was an essential part of church furniture; but during the</w:t></w:r>
</w:p>
<w:p>
<w:pPr><w:pStyle w:val="Normal"/></w:pPr>
<w:r><w:t xml:space="preserve">middle ages it was gradually superseded  in the Western</w:t></w:r>
</w:p>
<w:p>
<w:pPr><w:pStyle w:val="Normal"/></w:pPr>
<w:r><w:t xml:space="preserve">Church by the pulpit and lectern.  The gospel and epistle</w:t></w:r>
</w:p>
<w:p>
<w:pPr><w:pStyle w:val="Normal"/></w:pPr>
<w:r><w:t xml:space="preserve">are still read from the ambo in the Ambrosian rite at</w:t></w:r>
</w:p>
<w:p>
<w:pPr><w:pStyle w:val="Normal"/></w:pPr>
<w:r><w:t xml:space="preserve">Milan.  The position of the ambo was not absolutely uniform;</w:t></w:r>
</w:p>
<w:p>
<w:pPr><w:pStyle w:val="Normal"/></w:pPr>
<w:r><w:t xml:space="preserve">sometimes in the central point between the sanctuary and the</w:t></w:r>
</w:p>
<w:p>
<w:pPr><w:pStyle w:val="Normal"/></w:pPr>
<w:r><w:t xml:space="preserve">nave, sometimes in the middle of the church, and sometimes</w:t></w:r>
</w:p>
<w:p>
<w:pPr><w:pStyle w:val="Normal"/></w:pPr>
<w:r><w:t xml:space="preserve">at one or both of the sides of the chancel.  The normal</w:t></w:r>
</w:p>
<w:p>
<w:pPr><w:pStyle w:val="Normal"/></w:pPr>
<w:r><w:t xml:space="preserve">ambo, when the church contained only one, had three stages</w:t></w:r>
</w:p>
<w:p>
<w:pPr><w:pStyle w:val="Normal"/></w:pPr>
<w:r><w:t xml:space="preserve">or degrees, one above the other, and it was usually mounted</w:t></w:r>
</w:p>
<w:p>
<w:pPr><w:pStyle w:val="Normal"/></w:pPr>
<w:r><w:t xml:space="preserve">by a flight of steps at each end.  The uppermost stage was</w:t></w:r>
</w:p>
<w:p>
<w:pPr><w:pStyle w:val="Normal"/></w:pPr>
<w:r><w:t xml:space="preserve">reserved for the deacon who sang the gospel (facing the</w:t></w:r>
</w:p>
<w:p>
<w:pPr><w:pStyle w:val="Normal"/></w:pPr>
<w:r><w:t xml:space="preserve">congregation); for promulgating episcopal edicts; reciting the</w:t></w:r>
</w:p>
<w:p>
<w:pPr><w:pStyle w:val="Normal"/></w:pPr>
<w:r><w:t xml:space="preserve">names inscribed on the diptychs (see DIPTYCH); announcing</w:t></w:r>
</w:p>
<w:p>
<w:pPr><w:pStyle w:val="Normal"/></w:pPr>
<w:r><w:t xml:space="preserve">fasts, vigils and feasts; reading ecclesiastical letters</w:t></w:r>
</w:p>
<w:p>
<w:pPr><w:pStyle w:val="Normal"/></w:pPr>
<w:r><w:t xml:space="preserve">or acts of the martyrs celebrated on that day; announcing</w:t></w:r>
</w:p>
<w:p>
<w:pPr><w:pStyle w:val="Normal"/></w:pPr>
<w:r><w:t xml:space="preserve">new miracles for popular edification, professions by new</w:t></w:r>
</w:p>
<w:p>
<w:pPr><w:pStyle w:val="Normal"/></w:pPr>
<w:r><w:t xml:space="preserve">converts or recantations by heretics; and (for priests and</w:t></w:r>
</w:p>
<w:p>
<w:pPr><w:pStyle w:val="Normal"/></w:pPr>
<w:r><w:t xml:space="preserve">deacons) preaching sermons, --  bishops as a general rule</w:t></w:r>
</w:p>
<w:p>
<w:pPr><w:pStyle w:val="Normal"/></w:pPr>
<w:r><w:t xml:space="preserve">preaching from their own throne.  The second stage was for</w:t></w:r>
</w:p>
<w:p>
<w:pPr><w:pStyle w:val="Normal"/></w:pPr>
<w:r><w:t xml:space="preserve">the sub-deacon who read the epistle (facing the altar); and</w:t></w:r>
</w:p>
<w:p>
<w:pPr><w:pStyle w:val="Normal"/></w:pPr>
<w:r><w:t xml:space="preserve">the third for the subordinate clergy who read other parts of</w:t></w:r>
</w:p>
<w:p>
<w:pPr><w:pStyle w:val="Normal"/></w:pPr>
<w:r><w:t xml:space="preserve">scripture.  The inconvenience of having a single ambo led</w:t></w:r>
</w:p>
<w:p>
<w:pPr><w:pStyle w:val="Normal"/></w:pPr>
<w:r><w:t xml:space="preserve">to the substitution of two separate ambones, between which</w:t></w:r>
</w:p>
<w:p>
<w:pPr><w:pStyle w:val="Normal"/></w:pPr>
<w:r><w:t xml:space="preserve">these various functions were divided, one on the south side</w:t></w:r>
</w:p>
<w:p>
<w:pPr><w:pStyle w:val="Normal"/></w:pPr>
<w:r><w:t xml:space="preserve">of the chancel being for the reading of the gospel, and one</w:t></w:r>
</w:p>
<w:p>
<w:pPr><w:pStyle w:val="Normal"/></w:pPr>
<w:r><w:t xml:space="preserve">on the north for reading the epistle.  In the Russian Orthodox</w:t></w:r>
</w:p>
<w:p>
<w:pPr><w:pStyle w:val="Normal"/></w:pPr>
<w:r><w:t xml:space="preserve">Church the term ``ambo&apos;&apos; is used of the semicircular steps</w:t></w:r>
</w:p>
<w:p>
<w:pPr><w:pStyle w:val="Normal"/></w:pPr>
<w:r><w:t xml:space="preserve">leading to the platform in front of the iconostasis (q.v.),</w:t></w:r>
</w:p>
<w:p>
<w:pPr><w:pStyle w:val="Normal"/></w:pPr>
<w:r><w:t xml:space="preserve">but in Cathedrals the bishop has an ambo in the centre of the</w:t></w:r>
</w:p>
<w:p>
<w:pPr><w:pStyle w:val="Normal"/></w:pPr>
<w:r><w:t xml:space="preserve">church.  In the Greek Church the older form remains, usually</w:t></w:r>
</w:p>
<w:p>
<w:pPr><w:pStyle w:val="Normal"/></w:pPr>
<w:r><w:t xml:space="preserve">placed at the side.  In the Uniate Greek Catholic Church</w:t></w:r>
</w:p>
<w:p>
<w:pPr><w:pStyle w:val="Normal"/></w:pPr>
<w:r><w:t xml:space="preserve">the ``ambo&apos;&apos; has become a table, on which are placed a</w:t></w:r>
</w:p>
<w:p>
<w:pPr><w:pStyle w:val="Normal"/></w:pPr>
<w:r><w:t xml:space="preserve">crucifix and lights, before the doors of the iconostasis;</w:t></w:r>
</w:p>
<w:p>
<w:pPr><w:pStyle w:val="Normal"/></w:pPr>
<w:r><w:t xml:space="preserve">here baptisms, marriages and confirmations take place.</w:t></w:r>
</w:p>
<w:p>
<w:pPr><w:pStyle w:val="Normal"/></w:pPr>
<w:r><w:t xml:space="preserve">Ambones were made of wood or else of costly marbles, and</w:t></w:r>
</w:p>
<w:p>
<w:pPr><w:pStyle w:val="Normal"/></w:pPr>
<w:r><w:t xml:space="preserve">were decorated with mosaics, reliefs, gilding, &amp;c.; sometimes</w:t></w:r>
</w:p>
<w:p>
<w:pPr><w:pStyle w:val="Normal"/></w:pPr>
<w:r><w:t xml:space="preserve">also covered with canopies supported on columns.  They were</w:t></w:r>
</w:p>
<w:p>
<w:pPr><w:pStyle w:val="Normal"/></w:pPr>
<w:r><w:t xml:space="preserve">often of enormous size; that at St Sophia in Constantinople</w:t></w:r>
</w:p>
<w:p>
<w:pPr><w:pStyle w:val="Normal"/></w:pPr>
<w:r><w:t xml:space="preserve">was large enough for the ceremonial of coronation.</w:t></w:r>
</w:p>
<w:p>
<w:pPr><w:pStyle w:val="Normal"/></w:pPr>
<w:r><w:t xml:space="preserve">The churches in Rome possess many fine examples of ambones in</w:t></w:r>
</w:p>
<w:p>
<w:pPr><w:pStyle w:val="Normal"/></w:pPr>
<w:r><w:t xml:space="preserve">marble, of which the oldest is probably that in S. Clemente,</w:t></w:r>
</w:p>
<w:p>
<w:pPr><w:pStyle w:val="Normal"/></w:pPr>
<w:r><w:t xml:space="preserve">reconstructed in the beginning of the 12th century.  Those of</w:t></w:r>
</w:p>
<w:p>
<w:pPr><w:pStyle w:val="Normal"/></w:pPr>
<w:r><w:t xml:space="preserve">slightly later date are enriched with marble mosaic known as</w:t></w:r>
</w:p>
<w:p>
<w:pPr><w:pStyle w:val="Normal"/></w:pPr>
<w:r><w:t xml:space="preserve">Cosmati work, of which the examples in S. Maria-in-Ara-Coeli,</w:t></w:r>
</w:p>
<w:p>
<w:pPr><w:pStyle w:val="Normal"/></w:pPr>
<w:r><w:t xml:space="preserve">S. Maria-in-Cosmedin and S. Lorenzo are those which are best</w:t></w:r>
</w:p>
<w:p>
<w:pPr><w:pStyle w:val="Normal"/></w:pPr>
<w:r><w:t xml:space="preserve">known.  Some early ambones are found in Ravenna, and in the</w:t></w:r>
</w:p>
<w:p>
<w:pPr><w:pStyle w:val="Normal"/></w:pPr>
<w:r><w:t xml:space="preserve">south of Italy are many fine examples; the epistle ambo in the</w:t></w:r>
</w:p>
<w:p>
<w:pPr><w:pStyle w:val="Normal"/></w:pPr>
<w:r><w:t xml:space="preserve">cathedral at Ravello (1130), which is perhaps the earliest, shows</w:t></w:r>
</w:p>
<w:p>
<w:pPr><w:pStyle w:val="Normal"/></w:pPr>
<w:r><w:t xml:space="preserve">a Scandinavian influence in the design of its mosaic inlay, an</w:t></w:r>
</w:p>
<w:p>
<w:pPr><w:pStyle w:val="Normal"/></w:pPr>
<w:r><w:t xml:space="preserve">influence which is found in Sicilian work and may be a Norman</w:t></w:r>
</w:p>
<w:p>
<w:pPr><w:pStyle w:val="Normal"/></w:pPr>
<w:r><w:t xml:space="preserve">importation.  The two ambones in the Cathedral of Salerno,</w:t></w:r>
</w:p>
<w:p>
<w:pPr><w:pStyle w:val="Normal"/></w:pPr>
<w:r><w:t xml:space="preserve">which are different in design, are magnificent in effect and</w:t></w:r>
</w:p>
<w:p>
<w:pPr><w:pStyle w:val="Normal"/></w:pPr>
<w:r><w:t xml:space="preserve">are enriched with sculpture as well as with mosaic.  In the</w:t></w:r>
</w:p>
<w:p>
<w:pPr><w:pStyle w:val="Normal"/></w:pPr>
<w:r><w:t xml:space="preserve">gospel ambo in the cathedral of Ravello (1272), and also in</w:t></w:r>
</w:p>
<w:p>
<w:pPr><w:pStyle w:val="Normal"/></w:pPr>
<w:r><w:t xml:space="preserve">that of the convent of the Trinita della Cava near Salerno,</w:t></w:r>
</w:p>
<w:p>
<w:pPr><w:pStyle w:val="Normal"/></w:pPr>
<w:r><w:t xml:space="preserve">the spiral columns inlaid with mosaic stand on the backs of</w:t></w:r>
</w:p>
<w:p>
<w:pPr><w:pStyle w:val="Normal"/></w:pPr>
<w:r><w:t xml:space="preserve">lions.  In the epistle ambo at Salerno and the gospel ambones at</w:t></w:r>
</w:p>
<w:p>
<w:pPr><w:pStyle w:val="Normal"/></w:pPr>
<w:r><w:t xml:space="preserve">Cava and San Giovanni del Toro in Ravello, the columns support</w:t></w:r>
</w:p>
<w:p>
<w:pPr><w:pStyle w:val="Normal"/></w:pPr>
<w:r><w:t xml:space="preserve">segmental arches carrying the ambones; the epistle ambo at</w:t></w:r>
</w:p>
<w:p>
<w:pPr><w:pStyle w:val="Normal"/></w:pPr>
<w:r><w:t xml:space="preserve">Ravello and all those in Rome are raised on solid marble bases.</w:t></w:r>
</w:p>
<w:p>
<w:pPr><w:pStyle w:val="Normal"/></w:pPr>
<w:r><w:t xml:space="preserve">See the litumical and ecclesiastical dictionaries of Martigny,</w:t></w:r>
</w:p>
<w:p>
<w:pPr><w:pStyle w:val="Normal"/></w:pPr>
<w:r><w:t xml:space="preserve">Migne, and Smith and Cheetham, sub voce, where all the</w:t></w:r>
</w:p>
<w:p>
<w:pPr><w:pStyle w:val="Normal"/></w:pPr>
<w:r><w:t xml:space="preserve">scattered references are collected together and summarized.</w:t></w:r>
</w:p>
<w:p>
<w:pPr><w:pStyle w:val="Normal"/></w:pPr>
<w:r><w:t xml:space="preserve">In Ciampinus, Vetera Monumenta (Rome, 1747), plates</w:t></w:r>
</w:p>
<w:p>
<w:pPr><w:pStyle w:val="Normal"/></w:pPr>
<w:r><w:t xml:space="preserve">xii., xiii., are several illustrations of actual examples.</w:t></w:r>
</w:p>
<w:p>
<w:pPr><w:pStyle w:val="Normal"/></w:pPr>
<w:r><w:t xml:space="preserve">AMBOISE, GEORGES D&apos;, (1460-1510), French cardinal and minister</w:t></w:r>
</w:p>
<w:p>
<w:pPr><w:pStyle w:val="Normal"/></w:pPr>
<w:r><w:t xml:space="preserve">of state, belonged to a noble family possessed of considerable</w:t></w:r>
</w:p>
<w:p>
<w:pPr><w:pStyle w:val="Normal"/></w:pPr>
<w:r><w:t xml:space="preserve">influence.  His father, Pierre d&apos;Amboise, seigneur de Chaumont,</w:t></w:r>
</w:p>
<w:p>
<w:pPr><w:pStyle w:val="Normal"/></w:pPr>
<w:r><w:t xml:space="preserve">was chamberlain to Charles VII. and Louis XI. and ambassador at</w:t></w:r>
</w:p>
<w:p>
<w:pPr><w:pStyle w:val="Normal"/></w:pPr>
<w:r><w:t xml:space="preserve">Rome.  His eldest brother, Charles d&apos;Amboise, was governor</w:t></w:r>
</w:p>
<w:p>
<w:pPr><w:pStyle w:val="Normal"/></w:pPr>
<w:r><w:t xml:space="preserve">of the Isle of France, Champagne and Burgundy, and councillor</w:t></w:r>
</w:p>
<w:p>
<w:pPr><w:pStyle w:val="Normal"/></w:pPr>
<w:r><w:t xml:space="preserve">of Louis XI. Georges d&apos;Amboise was only fourteen when his</w:t></w:r>
</w:p>
<w:p>
<w:pPr><w:pStyle w:val="Normal"/></w:pPr>
<w:r><w:t xml:space="preserve">father procured for him the bishopric of Montauban, and</w:t></w:r>
</w:p>
<w:p>
<w:pPr><w:pStyle w:val="Normal"/></w:pPr>
<w:r><w:t xml:space="preserve">Louis XI. appointed him one of his almoners. On arriving at</w:t></w:r>
</w:p>
<w:p>
<w:pPr><w:pStyle w:val="Normal"/></w:pPr>
<w:r><w:t xml:space="preserve">manhood d&apos;Amboise attached himself to the party of the duke</w:t></w:r>
</w:p>
<w:p>
<w:pPr><w:pStyle w:val="Normal"/></w:pPr>
<w:r><w:t xml:space="preserve">of Orleans, in whose cause he suffered imprisonment, and</w:t></w:r>
</w:p>
<w:p>
<w:pPr><w:pStyle w:val="Normal"/></w:pPr>
<w:r><w:t xml:space="preserve">on whose return to the royal favour he was elevated to the</w:t></w:r>
</w:p>
<w:p>
<w:pPr><w:pStyle w:val="Normal"/></w:pPr>
<w:r><w:t xml:space="preserve">archbishopric of Narbonne, which after some time he changed</w:t></w:r>
</w:p>
<w:p>
<w:pPr><w:pStyle w:val="Normal"/></w:pPr>
<w:r><w:t xml:space="preserve">for that of Rouen (1493).  On the appointment of the duke</w:t></w:r>
</w:p>
<w:p>
<w:pPr><w:pStyle w:val="Normal"/></w:pPr>
<w:r><w:t xml:space="preserve">of Orleans as governor of Normandy, d&apos;Amboise became his</w:t></w:r>
</w:p>
<w:p>
<w:pPr><w:pStyle w:val="Normal"/></w:pPr>
<w:r><w:t xml:space="preserve">lieutenant-general.  In 1498 the duke of Orleans mounted</w:t></w:r>
</w:p>
<w:p>
<w:pPr><w:pStyle w:val="Normal"/></w:pPr>
<w:r><w:t xml:space="preserve">the throne as Louis XII., and d&apos;Amboise was suddenly raised</w:t></w:r>
</w:p>
<w:p>
<w:pPr><w:pStyle w:val="Normal"/></w:pPr>
<w:r><w:t xml:space="preserve">to the high position of cardinal and prime minister.  His</w:t></w:r>
</w:p>
<w:p>
<w:pPr><w:pStyle w:val="Normal"/></w:pPr>
<w:r><w:t xml:space="preserve">administration was, in many respects, well-intentioned and</w:t></w:r>
</w:p>
<w:p>
<w:pPr><w:pStyle w:val="Normal"/></w:pPr>
<w:r><w:t xml:space="preserve">useful.  Having the good fortune to serve a king who was</w:t></w:r>
</w:p>
<w:p>
<w:pPr><w:pStyle w:val="Normal"/></w:pPr>
<w:r><w:t xml:space="preserve">both economical and just, he was able to diminish the</w:t></w:r>
</w:p>
<w:p>
<w:pPr><w:pStyle w:val="Normal"/></w:pPr>
<w:r><w:t xml:space="preserve">imposts, to introduce order among the soldiery, and above</w:t></w:r>
</w:p>
<w:p>
<w:pPr><w:pStyle w:val="Normal"/></w:pPr>
<w:r><w:t xml:space="preserve">all, by the ordinances of 1499, to improve the organization of</w:t></w:r>
</w:p>
<w:p>
<w:pPr><w:pStyle w:val="Normal"/></w:pPr>
<w:r><w:t xml:space="preserve">justice.  He was also zealous for the reform of the church,</w:t></w:r>
</w:p>
<w:p>
<w:pPr><w:pStyle w:val="Normal"/></w:pPr>
<w:r><w:t xml:space="preserve">and particularly for the reform of the monasteries; and it</w:t></w:r>
</w:p>
<w:p>
<w:pPr><w:pStyle w:val="Normal"/></w:pPr>
<w:r><w:t xml:space="preserve">is greatly to his credit that he did not avail himself of the</w:t></w:r>
</w:p>
<w:p>
<w:pPr><w:pStyle w:val="Normal"/></w:pPr>
<w:r><w:t xml:space="preserve">extremely favourable opportunities he possessed of becoming a</w:t></w:r>
</w:p>
<w:p>
<w:pPr><w:pStyle w:val="Normal"/></w:pPr>
<w:r><w:t xml:space="preserve">pluralist.  He regularly spent a large income in charity,</w:t></w:r>
</w:p>
<w:p>
<w:pPr><w:pStyle w:val="Normal"/></w:pPr>
<w:r><w:t xml:space="preserve">and he laboured strenuously to stay the progress of the</w:t></w:r>
</w:p>
<w:p>
<w:pPr><w:pStyle w:val="Normal"/></w:pPr>
<w:r><w:t xml:space="preserve">plague and famine which broke out in 1504.  His foreign</w:t></w:r>
</w:p>
<w:p>
<w:pPr><w:pStyle w:val="Normal"/></w:pPr>
<w:r><w:t xml:space="preserve">policy, less happy and less wise, was animated by two aims</w:t></w:r>
</w:p>
<w:p>
<w:pPr><w:pStyle w:val="Normal"/></w:pPr>
<w:r><w:t xml:space="preserve">-- to increase the French power in Italy and to seat himself</w:t></w:r>
</w:p>
<w:p>
<w:pPr><w:pStyle w:val="Normal"/></w:pPr>
<w:r><w:t xml:space="preserve">on the papal throne; and these aims be sought to achieve by</w:t></w:r>
</w:p>
<w:p>
<w:pPr><w:pStyle w:val="Normal"/></w:pPr>
<w:r><w:t xml:space="preserve">diplomacy, not by force.  He, however, sympathized with,</w:t></w:r>
</w:p>
<w:p>
<w:pPr><w:pStyle w:val="Normal"/></w:pPr>
<w:r><w:t xml:space="preserve">and took part in, the campaign which was begun in 1499 for</w:t></w:r>
</w:p>
<w:p>
<w:pPr><w:pStyle w:val="Normal"/></w:pPr>
<w:r><w:t xml:space="preserve">the Conquest of Milan.  In 1500 he was named lieutenant-</w:t></w:r>
</w:p>
<w:p>
<w:pPr><w:pStyle w:val="Normal"/></w:pPr>
<w:r><w:t xml:space="preserve">general in Italy and charged with the organization of the</w:t></w:r>
</w:p>
<w:p>
<w:pPr><w:pStyle w:val="Normal"/></w:pPr>
<w:r><w:t xml:space="preserve">conquest.  On the death of Alexander VI. he aspired to the</w:t></w:r>
</w:p>
<w:p>
<w:pPr><w:pStyle w:val="Normal"/></w:pPr>
<w:r><w:t xml:space="preserve">papacy. He had French troops at the gates of Rome, by means</w:t></w:r>
</w:p>
<w:p>
<w:pPr><w:pStyle w:val="Normal"/></w:pPr>
<w:r><w:t xml:space="preserve">of which he could easily have frightened the conclave and</w:t></w:r>
</w:p>
<w:p>
<w:pPr><w:pStyle w:val="Normal"/></w:pPr>
<w:r><w:t xml:space="preserve">induced them to elect him; but he was persuaded to trust</w:t></w:r>
</w:p>
<w:p>
<w:pPr><w:pStyle w:val="Normal"/></w:pPr>
<w:r><w:t xml:space="preserve">to his influence; the troops were dismissed, and an Italian</w:t></w:r>
</w:p>
<w:p>
<w:pPr><w:pStyle w:val="Normal"/></w:pPr>
<w:r><w:t xml:space="preserve">was appointed as Pius III.; and again, on the death of Pius</w:t></w:r>
</w:p>
<w:p>
<w:pPr><w:pStyle w:val="Normal"/></w:pPr>
<w:r><w:t xml:space="preserve">within the month, another Italian, Julius II., was chosen</w:t></w:r>
</w:p>
<w:p>
<w:pPr><w:pStyle w:val="Normal"/></w:pPr>
<w:r><w:t xml:space="preserve">(1503).  D&apos;Amboise received in compensation the title of</w:t></w:r>
</w:p>
<w:p>
<w:pPr><w:pStyle w:val="Normal"/></w:pPr>
<w:r><w:t xml:space="preserve">legate for life in France and in the Comtat Venaissin.  He</w:t></w:r>
</w:p>
<w:p>
<w:pPr><w:pStyle w:val="Normal"/></w:pPr>
<w:r><w:t xml:space="preserve">was one of the negotiators of the disastrous treaties of</w:t></w:r>
</w:p>
<w:p>
<w:pPr><w:pStyle w:val="Normal"/></w:pPr>
<w:r><w:t xml:space="preserve">Blois (1504), and in 1508 of the League of Cambrai against</w:t></w:r>
</w:p>
<w:p>
<w:pPr><w:pStyle w:val="Normal"/></w:pPr>
<w:r><w:t xml:space="preserve">Venice.  In 1509 he again accompanied Louis XII. into</w:t></w:r>
</w:p>
<w:p>
<w:pPr><w:pStyle w:val="Normal"/></w:pPr>
<w:r><w:t xml:space="preserve">Italy, but on his return he was seized at the city of Lyons</w:t></w:r>
</w:p>
<w:p>
<w:pPr><w:pStyle w:val="Normal"/></w:pPr>
<w:r><w:t xml:space="preserve">with a fatal attack of gout in the stomach.  He died there</w:t></w:r>
</w:p>
<w:p>
<w:pPr><w:pStyle w:val="Normal"/></w:pPr>
<w:r><w:t xml:space="preserve">on the 25th of May 1510.  His body was removed to Rouen,</w:t></w:r>
</w:p>
<w:p>
<w:pPr><w:pStyle w:val="Normal"/></w:pPr>
<w:r><w:t xml:space="preserve">and a magnificent tomb, on which he is represented kneeling</w:t></w:r>
</w:p>
<w:p>
<w:pPr><w:pStyle w:val="Normal"/></w:pPr>
<w:r><w:t xml:space="preserve">in the attitude of prayer, was erected to his memory in</w:t></w:r>
</w:p>
<w:p>
<w:pPr><w:pStyle w:val="Normal"/></w:pPr>
<w:r><w:t xml:space="preserve">the cathedral of that town.  Throughout his life he was an</w:t></w:r>
</w:p>
<w:p>
<w:pPr><w:pStyle w:val="Normal"/></w:pPr>
<w:r><w:t xml:space="preserve">enlightened patron of letters and art, and it was at his</w:t></w:r>
</w:p>
<w:p>
<w:pPr><w:pStyle w:val="Normal"/></w:pPr>
<w:r><w:t xml:space="preserve">orders that the chateau of Gaillon near Rouen was built.</w:t></w:r>
</w:p>
<w:p>
<w:pPr><w:pStyle w:val="Normal"/></w:pPr>
<w:r><w:t xml:space="preserve">See Lettres du roi Louis XII. et du cardinal d&apos;Amboise</w:t></w:r>
</w:p>
<w:p>
<w:pPr><w:pStyle w:val="Normal"/></w:pPr>
<w:r><w:t xml:space="preserve">(Brussels, 1712); L. Legendre, Vie du cardinal d&apos;Amboise</w:t></w:r>
</w:p>
<w:p>
<w:pPr><w:pStyle w:val="Normal"/></w:pPr>
<w:r><w:t xml:space="preserve">(Rouen, 1726); E. Lavisse, Histoire de France (vol. v. by</w:t></w:r>
</w:p>
<w:p>
<w:pPr><w:pStyle w:val="Normal"/></w:pPr>
<w:r><w:t xml:space="preserve">H. Lemonnier, Paris, 19O3); J. A. Deville, Tombeaux de la</w:t></w:r>
</w:p>
<w:p>
<w:pPr><w:pStyle w:val="Normal"/></w:pPr>
<w:r><w:t xml:space="preserve">cathedrale de Rouen (3rd ed., 1881). For a bibliography</w:t></w:r>
</w:p>
<w:p>
<w:pPr><w:pStyle w:val="Normal"/></w:pPr>
<w:r><w:t xml:space="preserve">of the printed sources see, H. Hauser, Les Sources de</w:t></w:r>
</w:p>
<w:p>
<w:pPr><w:pStyle w:val="Normal"/></w:pPr>
<w:r><w:t xml:space="preserve">l&apos;histoire de France, KM`siecle, vol. i. (1906). (J. I.)</w:t></w:r>
</w:p>
<w:p>
<w:pPr><w:pStyle w:val="Normal"/></w:pPr>
<w:r><w:t xml:space="preserve">AMBOISE, a town of central France in the department</w:t></w:r>
</w:p>
<w:p>
<w:pPr><w:pStyle w:val="Normal"/></w:pPr>
<w:r><w:t xml:space="preserve">of Indre-et-Loire, on the left bank of the Loire, 12</w:t></w:r>
</w:p>
<w:p>
<w:pPr><w:pStyle w:val="Normal"/></w:pPr>
<w:r><w:t xml:space="preserve">m.  E. of Tours by the Orleans railway.  Pop. (1906)</w:t></w:r>
</w:p>
<w:p>
<w:pPr><w:pStyle w:val="Normal"/></w:pPr>
<w:r><w:t xml:space="preserve">4632.  Amboise owes its celebrity to the imposing chateau</w:t></w:r>
</w:p>
<w:p>
<w:pPr><w:pStyle w:val="Normal"/></w:pPr>
<w:r><w:t xml:space="preserve">which overlooks the Loire from the rocky eminence above the</w:t></w:r>
</w:p>
<w:p>
<w:pPr><w:pStyle w:val="Normal"/></w:pPr>
<w:r><w:t xml:space="preserve">town.  The Logis du Roi, the most important portion, was the</w:t></w:r>
</w:p>
<w:p>
<w:pPr><w:pStyle w:val="Normal"/></w:pPr>
<w:r><w:t xml:space="preserve">work of Charles VIII.; the other wing was built under Louis</w:t></w:r>
</w:p>
<w:p>
<w:pPr><w:pStyle w:val="Heading1"/></w:pPr>
<w:r><w:t>XII. and Francis I. The ramparts are strengthened by two</w:t></w:r>
</w:p>
<w:p>
<w:pPr><w:pStyle w:val="Normal"/></w:pPr>
<w:r><w:t xml:space="preserve">massive towers containing an inclined plane on which horses</w:t></w:r>
</w:p>
<w:p>
<w:pPr><w:pStyle w:val="Normal"/></w:pPr>
<w:r><w:t xml:space="preserve">and carriages may ascend. The chapel of St Hubert, said to</w:t></w:r>
</w:p>
<w:p>
<w:pPr><w:pStyle w:val="Normal"/></w:pPr>
<w:r><w:t xml:space="preserve">contain the remains of Leonardo da Vinci, who was summoned</w:t></w:r>
</w:p>
<w:p>
<w:pPr><w:pStyle w:val="Normal"/></w:pPr>
<w:r><w:t xml:space="preserve">to Amboise by Francis I., king of France, and died there</w:t></w:r>
</w:p>
<w:p>
<w:pPr><w:pStyle w:val="Normal"/></w:pPr>
<w:r><w:t xml:space="preserve">in 1519, is in the late Gothic style; a delicately carved</w:t></w:r>
</w:p>
<w:p>
<w:pPr><w:pStyle w:val="Normal"/></w:pPr>
<w:r><w:t xml:space="preserve">relief over the doorway represents the conversion of St</w:t></w:r>
</w:p>
<w:p>
<w:pPr><w:pStyle w:val="Normal"/></w:pPr>
<w:r><w:t xml:space="preserve">Hubert.  The hotel de ville is established in a mansion</w:t></w:r>
</w:p>
<w:p>
<w:pPr><w:pStyle w:val="Normal"/></w:pPr>
<w:r><w:t xml:space="preserve">of Renaissance architecture; a town gateway of the 15th</w:t></w:r>
</w:p>
<w:p>
<w:pPr><w:pStyle w:val="Normal"/></w:pPr>
<w:r><w:t xml:space="preserve">century, surmounted by a belfry, is also of architectural</w:t></w:r>
</w:p>
<w:p>
<w:pPr><w:pStyle w:val="Normal"/></w:pPr>
<w:r><w:t xml:space="preserve">interest.  Iron-founding, wool-weaving, and the manufacture</w:t></w:r>
</w:p>
<w:p>
<w:pPr><w:pStyle w:val="Normal"/></w:pPr>
<w:r><w:t xml:space="preserve">of boots and farm implements are among the industries.</w:t></w:r>
</w:p>
<w:p>
<w:pPr><w:pStyle w:val="Normal"/></w:pPr>
<w:r><w:t xml:space="preserve">Amboise at the end of the 11th century was a lordship under the</w:t></w:r>
</w:p>
<w:p>
<w:pPr><w:pStyle w:val="Normal"/></w:pPr>
<w:r><w:t xml:space="preserve">counts of Anjou, one of whom, Hugues I., rebuilt the ancient</w:t></w:r>
</w:p>
<w:p>
<w:pPr><w:pStyle w:val="Normal"/></w:pPr>
<w:r><w:t xml:space="preserve">castle.  Its territory was united to the domain of the crown</w:t></w:r>
</w:p>
<w:p>
<w:pPr><w:pStyle w:val="Normal"/></w:pPr>
<w:r><w:t xml:space="preserve">of France by Charles VII. about the middle of the 15th</w:t></w:r>
</w:p>
<w:p>
<w:pPr><w:pStyle w:val="Normal"/></w:pPr>
<w:r><w:t xml:space="preserve">century, and thenceforth the chateau became a favourite</w:t></w:r>
</w:p>
<w:p>
<w:pPr><w:pStyle w:val="Normal"/></w:pPr>
<w:r><w:t xml:space="preserve">residence of the French kings.  The discovery in 1560 of</w:t></w:r>
</w:p>
<w:p>
<w:pPr><w:pStyle w:val="Normal"/></w:pPr>
<w:r><w:t xml:space="preserve">the ``conspiracy of Amboise,&apos;&apos; a plot of the Huguenots</w:t></w:r>
</w:p>
<w:p>
<w:pPr><w:pStyle w:val="Normal"/></w:pPr>
<w:r><w:t xml:space="preserve">to remove Francis II. from the influence of the house of</w:t></w:r>
</w:p>
<w:p>
<w:pPr><w:pStyle w:val="Normal"/></w:pPr>
<w:r><w:t xml:space="preserve">Guise, was avenged by the death of 1200 members of that</w:t></w:r>
</w:p>
<w:p>
<w:pPr><w:pStyle w:val="Normal"/></w:pPr>
<w:r><w:t xml:space="preserve">party.  In 1563 Amboise gave its name to a royal edict allowing</w:t></w:r>
</w:p>
<w:p>
<w:pPr><w:pStyle w:val="Normal"/></w:pPr>
<w:r><w:t xml:space="preserve">freedom of worship to the Huguenot nobility and gentry.</w:t></w:r>
</w:p>
<w:p>
<w:pPr><w:pStyle w:val="Normal"/></w:pPr>
<w:r><w:t xml:space="preserve">After that period the chateau was frequently used as a state</w:t></w:r>
</w:p>
<w:p>
<w:pPr><w:pStyle w:val="Normal"/></w:pPr>
<w:r><w:t xml:space="preserve">prison, and Abd-el-Kader was a captive there from 1848 to</w:t></w:r>
</w:p>
<w:p>
<w:pPr><w:pStyle w:val="Normal"/></w:pPr>
<w:r><w:t xml:space="preserve">1852.  In 1872 it was restored by the National Assembly to the</w:t></w:r>
</w:p>
<w:p>
<w:pPr><w:pStyle w:val="Normal"/></w:pPr>
<w:r><w:t xml:space="preserve">house of Orleans, to which it had come by inheritance from the</w:t></w:r>
</w:p>
<w:p>
<w:pPr><w:pStyle w:val="Normal"/></w:pPr>
<w:r><w:t xml:space="preserve">duke of Penthievre in the latter half of the 18th century.</w:t></w:r>
</w:p>
<w:p>
<w:pPr><w:pStyle w:val="Normal"/></w:pPr>
<w:r><w:t xml:space="preserve">AMBOYNA (Dutch Ambon), the name of a residency, its chief town, and</w:t></w:r>
</w:p>
<w:p>
<w:pPr><w:pStyle w:val="Normal"/></w:pPr>
<w:r><w:t xml:space="preserve">the island on which the town is situated, in the Dutch East Indies.</w:t></w:r>
</w:p>
<w:p>
<w:pPr><w:pStyle w:val="Normal"/></w:pPr>
<w:r><w:t xml:space="preserve">The residency shares with that of Ternate the administration of</w:t></w:r>
</w:p>
<w:p>
<w:pPr><w:pStyle w:val="Normal"/></w:pPr>
<w:r><w:t xml:space="preserve">the Moluccas, the previous government of which was abolished in</w:t></w:r>
</w:p>
<w:p>
<w:pPr><w:pStyle w:val="Normal"/></w:pPr>
<w:r><w:t xml:space="preserve">1867.  It includes a mass of islands in the Banda Sea (2 deg.</w:t></w:r>
</w:p>
<w:p>
<w:pPr><w:pStyle w:val="Normal"/></w:pPr>
<w:r><w:t xml:space="preserve">30&apos; -  8 deg.  20&apos; S. and 125 deg. 45&apos; - 135 deg.  E.), including the</w:t></w:r>
</w:p>
<w:p>
<w:pPr><w:pStyle w:val="Normal"/></w:pPr>
<w:r><w:t xml:space="preserve">island-belt which surrounds the sea on the north, east</w:t></w:r>
</w:p>
<w:p>
<w:pPr><w:pStyle w:val="Normal"/></w:pPr>
<w:r><w:t xml:space="preserve">and south; and is divided for administrative purposes into</w:t></w:r>
</w:p>
<w:p>
<w:pPr><w:pStyle w:val="Normal"/></w:pPr>
<w:r><w:t xml:space="preserve">nine districts (afdeelingen): 1) Amboyna, the island of</w:t></w:r>
</w:p>
<w:p>
<w:pPr><w:pStyle w:val="Normal"/></w:pPr>
<w:r><w:t xml:space="preserve">that name; (2) Saparua, with Oma and Nusa Laut; (3) Kajeli</w:t></w:r>
</w:p>
<w:p>
<w:pPr><w:pStyle w:val="Normal"/></w:pPr>
<w:r><w:t xml:space="preserve">(Eastern Burn); (4) Masareti (Western Burn); (5) Kairatu</w:t></w:r>
</w:p>
<w:p>
<w:pPr><w:pStyle w:val="Normal"/></w:pPr>
<w:r><w:t xml:space="preserve">(Western Ceram); (6) Wahai (the northern part of Mid-Ceram);</w:t></w:r>
</w:p>
<w:p>
<w:pPr><w:pStyle w:val="Normal"/></w:pPr>
<w:r><w:t xml:space="preserve">(7) Amahai (the southern part of Mid-Ceram); (8) the Banda</w:t></w:r>
</w:p>
<w:p>
<w:pPr><w:pStyle w:val="Normal"/></w:pPr>
<w:r><w:t xml:space="preserve">Isles, with East Ceram, Ceram Laut and Gorom; (9) the islands</w:t></w:r>
</w:p>
<w:p>
<w:pPr><w:pStyle w:val="Normal"/></w:pPr>
<w:r><w:t xml:space="preserve">of Aru, Kei, Timor Laut or Tenimber, and the south-western</w:t></w:r>
</w:p>
<w:p>
<w:pPr><w:pStyle w:val="Normal"/></w:pPr>
<w:r><w:t xml:space="preserve">islands.  The total area of the residency is about 19,861 sq.</w:t></w:r>
</w:p>
<w:p>
<w:pPr><w:pStyle w:val="Normal"/></w:pPr>
<w:r><w:t xml:space="preserve">m., and its population 296,000, including 2400 Europeans.</w:t></w:r>
</w:p>
<w:p>
<w:pPr><w:pStyle w:val="Normal"/></w:pPr>
<w:r><w:t xml:space="preserve">Amboyna Island lies off the south-west of Ceram, on the north</w:t></w:r>
</w:p>
<w:p>
<w:pPr><w:pStyle w:val="Normal"/></w:pPr>
<w:r><w:t xml:space="preserve">side of the Banda Sea, being one of a series of volcanic isles</w:t></w:r>
</w:p>
<w:p>
<w:pPr><w:pStyle w:val="Normal"/></w:pPr>
<w:r><w:t xml:space="preserve">in the inner circle round the sea.  It is 32 m. in length, with</w:t></w:r>
</w:p>
<w:p>
<w:pPr><w:pStyle w:val="Normal"/></w:pPr>
<w:r><w:t xml:space="preserve">an area of about 386 sq. m., and is of very irregular figure,</w:t></w:r>
</w:p>
<w:p>
<w:pPr><w:pStyle w:val="Normal"/></w:pPr>
<w:r><w:t xml:space="preserve">being almost divided into two.  The south-eastern and smaller</w:t></w:r>
</w:p>
<w:p>
<w:pPr><w:pStyle w:val="Normal"/></w:pPr>
<w:r><w:t xml:space="preserve">portion (called Leitimor) is united to the northern (Hitoe) by</w:t></w:r>
</w:p>
<w:p>
<w:pPr><w:pStyle w:val="Normal"/></w:pPr>
<w:r><w:t xml:space="preserve">a neck of land a few yards in breadth.  The highest mountains,</w:t></w:r>
</w:p>
<w:p>
<w:pPr><w:pStyle w:val="Normal"/></w:pPr>
<w:r><w:t xml:space="preserve">Wawani (3609 ft.) and Salhutu (4020 ft.), have hot springs</w:t></w:r>
</w:p>
<w:p>
<w:pPr><w:pStyle w:val="Normal"/></w:pPr>
<w:r><w:t xml:space="preserve">and solfataras. They are considered to be volcanoes, and the</w:t></w:r>
</w:p>
<w:p>
<w:pPr><w:pStyle w:val="Normal"/></w:pPr>
<w:r><w:t xml:space="preserve">mountains of the neighbouring Uliasser islands the remains of</w:t></w:r>
</w:p>
<w:p>
<w:pPr><w:pStyle w:val="Normal"/></w:pPr>
<w:r><w:t xml:space="preserve">volcanoes.  Granite and serpentine rocks predominate, but the</w:t></w:r>
</w:p>
<w:p>
<w:pPr><w:pStyle w:val="Normal"/></w:pPr>
<w:r><w:t xml:space="preserve">shores of Amboyna Bay are of chalk, and contain stalactite</w:t></w:r>
</w:p>
<w:p>
<w:pPr><w:pStyle w:val="Normal"/></w:pPr>
<w:r><w:t xml:space="preserve">caves.  The surface is fertile, the rivers are small and not</w:t></w:r>
</w:p>
<w:p>
<w:pPr><w:pStyle w:val="Normal"/></w:pPr>
<w:r><w:t xml:space="preserve">navigable, and the roads are mere footpaths.  Cocoa is one</w:t></w:r>
</w:p>
<w:p>
<w:pPr><w:pStyle w:val="Normal"/></w:pPr>
<w:r><w:t xml:space="preserve">of the products.  The climate is comparatively pleasant</w:t></w:r>
</w:p>
<w:p>
<w:pPr><w:pStyle w:val="Normal"/></w:pPr>
<w:r><w:t xml:space="preserve">and healthy; the average temperature is 80 deg.  F., rarely</w:t></w:r>
</w:p>
<w:p>
<w:pPr><w:pStyle w:val="Normal"/></w:pPr>
<w:r><w:t xml:space="preserve">sinking below 72 deg. .  The rainfall, however, after the</w:t></w:r>
</w:p>
<w:p>
<w:pPr><w:pStyle w:val="Normal"/></w:pPr>
<w:r><w:t xml:space="preserve">eastern monsoons, is very heavy, and the island is liable to</w:t></w:r>
</w:p>
<w:p>
<w:pPr><w:pStyle w:val="Normal"/></w:pPr>
<w:r><w:t xml:space="preserve">violent hurricanes.  It is remarkable that the dry season</w:t></w:r>
</w:p>
<w:p>
<w:pPr><w:pStyle w:val="Normal"/></w:pPr>
<w:r><w:t xml:space="preserve">(October to April) is coincident with the period of the west</w:t></w:r>
</w:p>
<w:p>
<w:pPr><w:pStyle w:val="Normal"/></w:pPr>
<w:r><w:t xml:space="preserve">monsoon. Indigenous mammals are poor in species as well as</w:t></w:r>
</w:p>
<w:p>
<w:pPr><w:pStyle w:val="Normal"/></w:pPr>
<w:r><w:t xml:space="preserve">few in number; birds are more abundant, but of no greater</w:t></w:r>
</w:p>
<w:p>
<w:pPr><w:pStyle w:val="Normal"/></w:pPr>
<w:r><w:t xml:space="preserve">variety.  The entomology of the island, however, is very</w:t></w:r>
</w:p>
<w:p>
<w:pPr><w:pStyle w:val="Normal"/></w:pPr>
<w:r><w:t xml:space="preserve">rich, particularly in respect of Lepidoptera.  Shells</w:t></w:r>
</w:p>
<w:p>
<w:pPr><w:pStyle w:val="Normal"/></w:pPr>
<w:r><w:t xml:space="preserve">are obtained in great numbers and variety.  Turtle-shell</w:t></w:r>
</w:p>
<w:p>
<w:pPr><w:pStyle w:val="Normal"/></w:pPr>
<w:r><w:t xml:space="preserve">is also largely exported.  The vegetation is also rich,</w:t></w:r>
</w:p>
<w:p>
<w:pPr><w:pStyle w:val="Normal"/></w:pPr>
<w:r><w:t xml:space="preserve">and Amboyna produces most of the common tropical fruits and</w:t></w:r>
</w:p>
<w:p>
<w:pPr><w:pStyle w:val="Normal"/></w:pPr>
<w:r><w:t xml:space="preserve">vegetables, including the sago-palm, bread-fruit, cocoa-nut,</w:t></w:r>
</w:p>
<w:p>
<w:pPr><w:pStyle w:val="Normal"/></w:pPr>
<w:r><w:t xml:space="preserve">sugar-cane, maize, coffee, pepper and cotton.  Cloves,</w:t></w:r>
</w:p>
<w:p>
<w:pPr><w:pStyle w:val="Normal"/></w:pPr>
<w:r><w:t xml:space="preserve">however, form its chief product, though the trade in them</w:t></w:r>
</w:p>
<w:p>
<w:pPr><w:pStyle w:val="Normal"/></w:pPr>
<w:r><w:t xml:space="preserve">is less important than formerly, when the Dutch prohibited</w:t></w:r>
</w:p>
<w:p>
<w:pPr><w:pStyle w:val="Normal"/></w:pPr>
<w:r><w:t xml:space="preserve">the rearing of the clove-tree in all the other islands</w:t></w:r>
</w:p>
<w:p>
<w:pPr><w:pStyle w:val="Normal"/></w:pPr>
<w:r><w:t xml:space="preserve">subject to their rule, in order to secure the monopoly to</w:t></w:r>
</w:p>
<w:p>
<w:pPr><w:pStyle w:val="Normal"/></w:pPr>
<w:r><w:t xml:space="preserve">Amboyna.  Amboyna wood, of great value for ornamental work,</w:t></w:r>
</w:p>
<w:p>
<w:pPr><w:pStyle w:val="Normal"/></w:pPr>
<w:r><w:t xml:space="preserve">is obtained from the hard knots which occur on certain</w:t></w:r>
</w:p>
<w:p>
<w:pPr><w:pStyle w:val="Normal"/></w:pPr>
<w:r><w:t xml:space="preserve">trees in the forests of Ceram. The population (about 39,000)</w:t></w:r>
</w:p>
<w:p>
<w:pPr><w:pStyle w:val="Normal"/></w:pPr>
<w:r><w:t xml:space="preserve">is divided into two classes-- orang burger or citizens,</w:t></w:r>
</w:p>
<w:p>
<w:pPr><w:pStyle w:val="Normal"/></w:pPr>
<w:r><w:t xml:space="preserve">and orang negri or villagers, the former being a class</w:t></w:r>
</w:p>
<w:p>
<w:pPr><w:pStyle w:val="Normal"/></w:pPr>
<w:r><w:t xml:space="preserve">of native origin enjoying certain privileges conferred on</w:t></w:r>
</w:p>
<w:p>
<w:pPr><w:pStyle w:val="Normal"/></w:pPr>
<w:r><w:t xml:space="preserve">their ancestors by the old Dutch East India Company.  The</w:t></w:r>
</w:p>
<w:p>
<w:pPr><w:pStyle w:val="Normal"/></w:pPr>
<w:r><w:t xml:space="preserve">natives are of mixed Malay-Papuan blood.  They are mostly</w:t></w:r>
</w:p>
<w:p>
<w:pPr><w:pStyle w:val="Normal"/></w:pPr>
<w:r><w:t xml:space="preserve">Christians or Mahommedans.  There are also, besides the</w:t></w:r>
</w:p>
<w:p>
<w:pPr><w:pStyle w:val="Normal"/></w:pPr>
<w:r><w:t xml:space="preserve">Dutch, some Arabs, Chinese and a few Portuguese settlers.</w:t></w:r>
</w:p>
<w:p>
<w:pPr><w:pStyle w:val="Normal"/></w:pPr>
<w:r><w:t xml:space="preserve">Amboyna, the chief town, and seat of the resident and</w:t></w:r>
</w:p>
<w:p>
<w:pPr><w:pStyle w:val="Normal"/></w:pPr>
<w:r><w:t xml:space="preserve">military commander of the Moluccas, is protected by Fort</w:t></w:r>
</w:p>
<w:p>
<w:pPr><w:pStyle w:val="Normal"/></w:pPr>
<w:r><w:t xml:space="preserve">Victoria, and is a clean little town with wide streets, well</w:t></w:r>
</w:p>
<w:p>
<w:pPr><w:pStyle w:val="Normal"/></w:pPr>
<w:r><w:t xml:space="preserve">planted.  Agriculture, fisheries and import and export</w:t></w:r>
</w:p>
<w:p>
<w:pPr><w:pStyle w:val="Normal"/></w:pPr>
<w:r><w:t xml:space="preserve">trade furnish the chief means of subsistence.  It lies on</w:t></w:r>
</w:p>
<w:p>
<w:pPr><w:pStyle w:val="Normal"/></w:pPr>
<w:r><w:t xml:space="preserve">the north-west of the peninsula of Leitimor, and has a safe</w:t></w:r>
</w:p>
<w:p>
<w:pPr><w:pStyle w:val="Normal"/></w:pPr>
<w:r><w:t xml:space="preserve">and commodious anchorage.  Its population is about 8000.</w:t></w:r>
</w:p>
<w:p>
<w:pPr><w:pStyle w:val="Normal"/></w:pPr>
<w:r><w:t xml:space="preserve">The Portuguese were the first European nation to visit Amboyna</w:t></w:r>
</w:p>
<w:p>
<w:pPr><w:pStyle w:val="Normal"/></w:pPr>
<w:r><w:t xml:space="preserve">(1511).  They established a factory there in 1521, but</w:t></w:r>
</w:p>
<w:p>
<w:pPr><w:pStyle w:val="Normal"/></w:pPr>
<w:r><w:t xml:space="preserve">did not obtain peaceable possession of it till 1580, and</w:t></w:r>
</w:p>
<w:p>
<w:pPr><w:pStyle w:val="Normal"/></w:pPr>
<w:r><w:t xml:space="preserve">were dispossessed by the Dutch in 1609.  About 1615 the</w:t></w:r>
</w:p>
<w:p>
<w:pPr><w:pStyle w:val="Normal"/></w:pPr>
<w:r><w:t xml:space="preserve">British formed a settlement in the island, at Cambello,</w:t></w:r>
</w:p>
<w:p>
<w:pPr><w:pStyle w:val="Normal"/></w:pPr>
<w:r><w:t xml:space="preserve">which they retained until 1623, when it was destroyed by the</w:t></w:r>
</w:p>
<w:p>
<w:pPr><w:pStyle w:val="Normal"/></w:pPr>
<w:r><w:t xml:space="preserve">Dutch, and frightful tortures inflicted on the unfortunate</w:t></w:r>
</w:p>
<w:p>
<w:pPr><w:pStyle w:val="Normal"/></w:pPr>
<w:r><w:t xml:space="preserve">persons connected with it.  In 1654, after many fruitless</w:t></w:r>
</w:p>
<w:p>
<w:pPr><w:pStyle w:val="Normal"/></w:pPr>
<w:r><w:t xml:space="preserve">negotiations, Cromwell compelled the United Provinces to</w:t></w:r>
</w:p>
<w:p>
<w:pPr><w:pStyle w:val="Normal"/></w:pPr>
<w:r><w:t xml:space="preserve">give the sum of L. 300,000, together with a small island,</w:t></w:r>
</w:p>
<w:p>
<w:pPr><w:pStyle w:val="Normal"/></w:pPr>
<w:r><w:t xml:space="preserve">as compensation to the descendants of those who suffered in</w:t></w:r>
</w:p>
<w:p>
<w:pPr><w:pStyle w:val="Normal"/></w:pPr>
<w:r><w:t xml:space="preserve">the ``Amboyna massacre.&apos;&apos; In 1673 the poet Dryden produced</w:t></w:r>
</w:p>
<w:p>
<w:pPr><w:pStyle w:val="Normal"/></w:pPr>
<w:r><w:t xml:space="preserve">his tragedy of Amboyna, or the Cruelties of the Dutch to</w:t></w:r>
</w:p>
<w:p>
<w:pPr><w:pStyle w:val="Normal"/></w:pPr>
<w:r><w:t xml:space="preserve">the English Merchants.  In 1796 the British, under Admiral</w:t></w:r>
</w:p>
<w:p>
<w:pPr><w:pStyle w:val="Normal"/></w:pPr>
<w:r><w:t xml:space="preserve">Rainier, captured Amboyna, but restored it to the Dutch at</w:t></w:r>
</w:p>
<w:p>
<w:pPr><w:pStyle w:val="Normal"/></w:pPr>
<w:r><w:t xml:space="preserve">the peace of Amiens in 1802.  It was retaken by the British</w:t></w:r>
</w:p>
<w:p>
<w:pPr><w:pStyle w:val="Normal"/></w:pPr>
<w:r><w:t xml:space="preserve">in 1810, but once more restored to the Dutch in 1814.</w:t></w:r>
</w:p>
<w:p>
<w:pPr><w:pStyle w:val="Normal"/></w:pPr>
<w:r><w:t xml:space="preserve">AMBRACIA (more correctly AMPRACIA), an ancient Corinthian</w:t></w:r>
</w:p>
<w:p>
<w:pPr><w:pStyle w:val="Normal"/></w:pPr>
<w:r><w:t xml:space="preserve">colony, situated about 7 m. from the Ambracian Gulf, on a</w:t></w:r>
</w:p>
<w:p>
<w:pPr><w:pStyle w:val="Normal"/></w:pPr>
<w:r><w:t xml:space="preserve">bend of the navigable river Aracthus (or Aratthus), in the</w:t></w:r>
</w:p>
<w:p>
<w:pPr><w:pStyle w:val="Normal"/></w:pPr>
<w:r><w:t xml:space="preserve">midst of a fertile wooded plain.  It was founded between</w:t></w:r>
</w:p>
<w:p>
<w:pPr><w:pStyle w:val="Normal"/></w:pPr>
<w:r><w:t xml:space="preserve">650 and 625 B.C. by Gorgus, son of the Corinthian tyrant</w:t></w:r>
</w:p>
<w:p>
<w:pPr><w:pStyle w:val="Normal"/></w:pPr>
<w:r><w:t xml:space="preserve">Cypselus.  After the expulsion of Gorgus&apos;s son Periander</w:t></w:r>
</w:p>
<w:p>
<w:pPr><w:pStyle w:val="Normal"/></w:pPr>
<w:r><w:t xml:space="preserve">its government developed into a strong democracy.  The</w:t></w:r>
</w:p>
<w:p>
<w:pPr><w:pStyle w:val="Normal"/></w:pPr>
<w:r><w:t xml:space="preserve">early policy of Ambracia was determined by its loyalty to</w:t></w:r>
</w:p>
<w:p>
<w:pPr><w:pStyle w:val="Normal"/></w:pPr>
<w:r><w:t xml:space="preserve">Corinth (for which it probably served as an entrepot in the</w:t></w:r>
</w:p>
<w:p>
<w:pPr><w:pStyle w:val="Normal"/></w:pPr>
<w:r><w:t xml:space="preserve">Epirus trade), its consequent aversion to Corcyra, and its</w:t></w:r>
</w:p>
<w:p>
<w:pPr><w:pStyle w:val="Normal"/></w:pPr>
<w:r><w:t xml:space="preserve">frontier disputes with the Amphilochians and Acarnanians.</w:t></w:r>
</w:p>
<w:p>
<w:pPr><w:pStyle w:val="Normal"/></w:pPr>
<w:r><w:t xml:space="preserve">Hence it took a prominent part in the Peloponnesian  War</w:t></w:r>
</w:p>
<w:p>
<w:pPr><w:pStyle w:val="Normal"/></w:pPr>
<w:r><w:t xml:space="preserve">until the crushing defeat at Idomene (426) crippled its</w:t></w:r>
</w:p>
<w:p>
<w:pPr><w:pStyle w:val="Normal"/></w:pPr>
<w:r><w:t xml:space="preserve">resources.  In the 4th century it continued its traditional</w:t></w:r>
</w:p>
<w:p>
<w:pPr><w:pStyle w:val="Normal"/></w:pPr>
<w:r><w:t xml:space="preserve">policy, but in 338 surrendered to Philip II. of Macedon.  After</w:t></w:r>
</w:p>
<w:p>
<w:pPr><w:pStyle w:val="Normal"/></w:pPr>
<w:r><w:t xml:space="preserve">forty-three years of autonomy under Macedonian suzerainty it</w:t></w:r>
</w:p>
<w:p>
<w:pPr><w:pStyle w:val="Normal"/></w:pPr>
<w:r><w:t xml:space="preserve">became the capital of Pyrrhus, king of Epirus, who adorned</w:t></w:r>
</w:p>
<w:p>
<w:pPr><w:pStyle w:val="Normal"/></w:pPr>
<w:r><w:t xml:space="preserve">it with palace, temples and theatres.  In the wars of Philip</w:t></w:r>
</w:p>
<w:p>
<w:pPr><w:pStyle w:val="Heading1"/></w:pPr>
<w:r><w:t>V. of Macedon and the Epirotes against the Aetolian league</w:t></w:r>
</w:p>
<w:p>
<w:pPr><w:pStyle w:val="Normal"/></w:pPr>
<w:r><w:t xml:space="preserve">(220-205) Ambracia passed from one alliance to the other,</w:t></w:r>
</w:p>
<w:p>
<w:pPr><w:pStyle w:val="Normal"/></w:pPr>
<w:r><w:t xml:space="preserve">but ultimately joined the latter confederacy.  During the</w:t></w:r>
</w:p>
<w:p>
<w:pPr><w:pStyle w:val="Normal"/></w:pPr>
<w:r><w:t xml:space="preserve">struggle of the Aetolians against Rome it stood a stubborn</w:t></w:r>
</w:p>
<w:p>
<w:pPr><w:pStyle w:val="Normal"/></w:pPr>
<w:r><w:t xml:space="preserve">siege.  After its capture and plunder by M. Fulvius Nobilior in</w:t></w:r>
</w:p>
<w:p>
<w:pPr><w:pStyle w:val="Normal"/></w:pPr>
<w:r><w:t xml:space="preserve">189, it fell into insignificance.  The foundation by Augustus</w:t></w:r>
</w:p>
<w:p>
<w:pPr><w:pStyle w:val="Normal"/></w:pPr>
<w:r><w:t xml:space="preserve">of Nicopolis (q.v.), into which the remaining inhabitants</w:t></w:r>
</w:p>
<w:p>
<w:pPr><w:pStyle w:val="Normal"/></w:pPr>
<w:r><w:t xml:space="preserve">were drafted, left the site desolate.  In Byzantine times a</w:t></w:r>
</w:p>
<w:p>
<w:pPr><w:pStyle w:val="Normal"/></w:pPr>
<w:r><w:t xml:space="preserve">new settlement took its place under the name of Arta (q.v.).</w:t></w:r>
</w:p>
<w:p>
<w:pPr><w:pStyle w:val="Normal"/></w:pPr>
<w:r><w:t xml:space="preserve">Some fragmentary walls of large, well-dressed blocks near</w:t></w:r>
</w:p>
<w:p>
<w:pPr><w:pStyle w:val="Normal"/></w:pPr>
<w:r><w:t xml:space="preserve">this latter town indicate the early prosperity of Ambracia.</w:t></w:r>
</w:p>
<w:p>
<w:pPr><w:pStyle w:val="Normal"/></w:pPr>
<w:r><w:t xml:space="preserve">AUTHORITIES. -- Thucydides ii. 68 - iii. 114; Aristotle,</w:t></w:r>
</w:p>
<w:p>
<w:pPr><w:pStyle w:val="Normal"/></w:pPr>
<w:r><w:t xml:space="preserve">Politics, 1303a sqq.; Strabo p. 325; Polybius xxii. 9-13;</w:t></w:r>
</w:p>
<w:p>
<w:pPr><w:pStyle w:val="Normal"/></w:pPr>
<w:r><w:t xml:space="preserve">Livy xxxviii. 3-9; G. Wolfe, Journal of Geographical Society</w:t></w:r>
</w:p>
<w:p>
<w:pPr><w:pStyle w:val="Normal"/></w:pPr>
<w:r><w:t xml:space="preserve">(London), iii. (1833) pp. 77-94; E. Oberhummer, Akarnanien,</w:t></w:r>
</w:p>
<w:p>
<w:pPr><w:pStyle w:val="Normal"/></w:pPr>
<w:r><w:t xml:space="preserve">Ambrakien, &amp;c. im Altertum (Munich, 1887). (M. O. B. C.)</w:t></w:r>
</w:p>
<w:p>
<w:pPr><w:pStyle w:val="Normal"/></w:pPr>
<w:r><w:t xml:space="preserve">AMBRIZ, a West African seaport belonging to Portugal, at</w:t></w:r>
</w:p>
<w:p>
<w:pPr><w:pStyle w:val="Normal"/></w:pPr>
<w:r><w:t xml:space="preserve">the mouth of the Loje River, in 7 deg.  50&apos; S., 13 deg.  E., some 70</w:t></w:r>
</w:p>
<w:p>
<w:pPr><w:pStyle w:val="Normal"/></w:pPr>
<w:r><w:t xml:space="preserve">m.  N. of Loanda.  It forms a part of the province of Angola</w:t></w:r>
</w:p>
<w:p>
<w:pPr><w:pStyle w:val="Normal"/></w:pPr>
<w:r><w:t xml:space="preserve">(q.v.). The town is within the free-trade area of the</w:t></w:r>
</w:p>
<w:p>
<w:pPr><w:pStyle w:val="Normal"/></w:pPr>
<w:r><w:t xml:space="preserve">conventional basin of the Congo river.  Its chief exports are</w:t></w:r>
</w:p>
<w:p>
<w:pPr><w:pStyle w:val="Normal"/></w:pPr>
<w:r><w:t xml:space="preserve">rubber, gum, coffee and copper.  Pop. about 2500.  Ambriz</w:t></w:r>
</w:p>
<w:p>
<w:pPr><w:pStyle w:val="Normal"/></w:pPr>
<w:r><w:t xml:space="preserve">was, previously to 1884, the northernmost point of Africa</w:t></w:r>
</w:p>
<w:p>
<w:pPr><w:pStyle w:val="Normal"/></w:pPr>
<w:r><w:t xml:space="preserve">south of the equator acknowledged as Portuguese territory.</w:t></w:r>
</w:p>
<w:p>
<w:pPr><w:pStyle w:val="Normal"/></w:pPr>
<w:r><w:t xml:space="preserve">AMBROS, AUGUST WILHELM (1816-1876), Austrian composer</w:t></w:r>
</w:p>
<w:p>
<w:pPr><w:pStyle w:val="Normal"/></w:pPr>
<w:r><w:t xml:space="preserve">and historian of music, was born at Mauth near Prague. His</w:t></w:r>
</w:p>
<w:p>
<w:pPr><w:pStyle w:val="Normal"/></w:pPr>
<w:r><w:t xml:space="preserve">father was a cultured man, and his mother was the sister of</w:t></w:r>
</w:p>
<w:p>
<w:pPr><w:pStyle w:val="Normal"/></w:pPr>
<w:r><w:t xml:space="preserve">R. G. Kiesewetter (1773-1850), the musical archaeologist and</w:t></w:r>
</w:p>
<w:p>
<w:pPr><w:pStyle w:val="Normal"/></w:pPr>
<w:r><w:t xml:space="preserve">collector.  Ambros was well educated in music and the</w:t></w:r>
</w:p>
<w:p>
<w:pPr><w:pStyle w:val="Normal"/></w:pPr>
<w:r><w:t xml:space="preserve">arts, which were his abiding passion: but he was destined</w:t></w:r>
</w:p>
<w:p>
<w:pPr><w:pStyle w:val="Normal"/></w:pPr>
<w:r><w:t xml:space="preserve">for the law and an official career in the Austrian civil</w:t></w:r>
</w:p>
<w:p>
<w:pPr><w:pStyle w:val="Normal"/></w:pPr>
<w:r><w:t xml:space="preserve">service, and he occupied various important posts under</w:t></w:r>
</w:p>
<w:p>
<w:pPr><w:pStyle w:val="Normal"/></w:pPr>
<w:r><w:t xml:space="preserve">the ministry of justice, music being the employment of his</w:t></w:r>
</w:p>
<w:p>
<w:pPr><w:pStyle w:val="Normal"/></w:pPr>
<w:r><w:t xml:space="preserve">leisure.  From 1850 onwards he became well known as a</w:t></w:r>
</w:p>
<w:p>
<w:pPr><w:pStyle w:val="Normal"/></w:pPr>
<w:r><w:t xml:space="preserve">critic and essay-writer, and in 1860 he began working on his</w:t></w:r>
</w:p>
<w:p>
<w:pPr><w:pStyle w:val="Normal"/></w:pPr>
<w:r><w:t xml:space="preserve">magnum opus, his History of Music, which was published</w:t></w:r>
</w:p>
<w:p>
<w:pPr><w:pStyle w:val="Normal"/></w:pPr>
<w:r><w:t xml:space="preserve">at intervals from 1864 in five volumes, the last two</w:t></w:r>
</w:p>
<w:p>
<w:pPr><w:pStyle w:val="Normal"/></w:pPr>
<w:r><w:t xml:space="preserve">(1878, 1882) being edited and completed by Otto Kade and</w:t></w:r>
</w:p>
<w:p>
<w:pPr><w:pStyle w:val="Normal"/></w:pPr>
<w:r><w:t xml:space="preserve">Langhaus.  Ambros became professor of the history of music</w:t></w:r>
</w:p>
<w:p>
<w:pPr><w:pStyle w:val="Normal"/></w:pPr>
<w:r><w:t xml:space="preserve">at Prague in 1869.  He was an excellent pianist, and the</w:t></w:r>
</w:p>
<w:p>
<w:pPr><w:pStyle w:val="Normal"/></w:pPr>
<w:r><w:t xml:space="preserve">author of numerous compositions somewhat reminiscent of</w:t></w:r>
</w:p>
<w:p>
<w:pPr><w:pStyle w:val="Normal"/></w:pPr>
<w:r><w:t xml:space="preserve">Mendelssohn.  He died at Vienna on the 28th of June 1876.</w:t></w:r>
</w:p>
<w:p>
<w:pPr><w:pStyle w:val="Normal"/></w:pPr>
<w:r><w:t xml:space="preserve">AMBROSE (fl. 1190), Norman poet, and chronicler of the</w:t></w:r>
</w:p>
<w:p>
<w:pPr><w:pStyle w:val="Normal"/></w:pPr>
<w:r><w:t xml:space="preserve">Third Crusade, author of a work called L&apos;Estoire de la</w:t></w:r>
</w:p>
<w:p>
<w:pPr><w:pStyle w:val="Normal"/></w:pPr>
<w:r><w:t xml:space="preserve">guerre sainte, which describes in rhyming French verse</w:t></w:r>
</w:p>
<w:p>
<w:pPr><w:pStyle w:val="Normal"/></w:pPr>
<w:r><w:t xml:space="preserve">the adventures of Richard Coeur de Lion as a crusader.  The</w:t></w:r>
</w:p>
<w:p>
<w:pPr><w:pStyle w:val="Normal"/></w:pPr>
<w:r><w:t xml:space="preserve">poem is known to us only through one Vatican MS., and long</w:t></w:r>
</w:p>
<w:p>
<w:pPr><w:pStyle w:val="Normal"/></w:pPr>
<w:r><w:t xml:space="preserve">escaped the notice of historians.  The credit for detecting</w:t></w:r>
</w:p>
<w:p>
<w:pPr><w:pStyle w:val="Normal"/></w:pPr>
<w:r><w:t xml:space="preserve">its value belongs to the late Gaston Paris, although his</w:t></w:r>
</w:p>
<w:p>
<w:pPr><w:pStyle w:val="Normal"/></w:pPr>
<w:r><w:t xml:space="preserve">edition (1897) was partially anticipated by the editors</w:t></w:r>
</w:p>
<w:p>
<w:pPr><w:pStyle w:val="Normal"/></w:pPr>
<w:r><w:t xml:space="preserve">of the Monumenta Germaniae Historica, who published some</w:t></w:r>
</w:p>
<w:p>
<w:pPr><w:pStyle w:val="Normal"/></w:pPr>
<w:r><w:t xml:space="preserve">selections in the twenty-seventh volume of their Scriptores</w:t></w:r>
</w:p>
<w:p>
<w:pPr><w:pStyle w:val="Normal"/></w:pPr>
<w:r><w:t xml:space="preserve">(1885).  Ambrose followed Richard I. as a noncombatant,</w:t></w:r>
</w:p>
<w:p>
<w:pPr><w:pStyle w:val="Normal"/></w:pPr>
<w:r><w:t xml:space="preserve">and not improbably as a court-minstrel.  He speaks as an</w:t></w:r>
</w:p>
<w:p>
<w:pPr><w:pStyle w:val="Normal"/></w:pPr>
<w:r><w:t xml:space="preserve">eye-witness of the king&apos;s doings at Messina, in Cyprus,</w:t></w:r>
</w:p>
<w:p>
<w:pPr><w:pStyle w:val="Normal"/></w:pPr>
<w:r><w:t xml:space="preserve">at the siege of Acre, and in the abortive campaign which</w:t></w:r>
</w:p>
<w:p>
<w:pPr><w:pStyle w:val="Normal"/></w:pPr>
<w:r><w:t xml:space="preserve">followed the capture of that city.  Ambrose is surprisingly</w:t></w:r>
</w:p>
<w:p>
<w:pPr><w:pStyle w:val="Normal"/></w:pPr>
<w:r><w:t xml:space="preserve">accurate in his chronology; though he did not complete his</w:t></w:r>
</w:p>
<w:p>
<w:pPr><w:pStyle w:val="Normal"/></w:pPr>
<w:r><w:t xml:space="preserve">work before 1195, it is evidently founded upon notes which</w:t></w:r>
</w:p>
<w:p>
<w:pPr><w:pStyle w:val="Normal"/></w:pPr>
<w:r><w:t xml:space="preserve">he had taken in the course of his pilgrimage.  He shows no</w:t></w:r>
</w:p>
<w:p>
<w:pPr><w:pStyle w:val="Normal"/></w:pPr>
<w:r><w:t xml:space="preserve">greater political insight than we should expect from his</w:t></w:r>
</w:p>
<w:p>
<w:pPr><w:pStyle w:val="Normal"/></w:pPr>
<w:r><w:t xml:space="preserve">position; but relates what he had seen and heard with a naive</w:t></w:r>
</w:p>
<w:p>
<w:pPr><w:pStyle w:val="Normal"/></w:pPr>
<w:r><w:t xml:space="preserve">vivacity which compels attention. He is prejudiced against the</w:t></w:r>
</w:p>
<w:p>
<w:pPr><w:pStyle w:val="Normal"/></w:pPr>
<w:r><w:t xml:space="preserve">Saracens, against the French, and against all the rivals or</w:t></w:r>
</w:p>
<w:p>
<w:pPr><w:pStyle w:val="Normal"/></w:pPr>
<w:r><w:t xml:space="preserve">enemies of his master; but he is never guilty of deliberate</w:t></w:r>
</w:p>
<w:p>
<w:pPr><w:pStyle w:val="Normal"/></w:pPr>
<w:r><w:t xml:space="preserve">misrepresentation.  He is rather to be treated as a biographer</w:t></w:r>
</w:p>
<w:p>
<w:pPr><w:pStyle w:val="Normal"/></w:pPr>
<w:r><w:t xml:space="preserve">than as a historian of the Crusade in its broader aspects.</w:t></w:r>
</w:p>
<w:p>
<w:pPr><w:pStyle w:val="Normal"/></w:pPr>
<w:r><w:t xml:space="preserve">None the less he is the chief authority for the events</w:t></w:r>
</w:p>
<w:p>
<w:pPr><w:pStyle w:val="Normal"/></w:pPr>
<w:r><w:t xml:space="preserve">of the years 1190-1192, so far as these are connected with</w:t></w:r>
</w:p>
<w:p>
<w:pPr><w:pStyle w:val="Normal"/></w:pPr>
<w:r><w:t xml:space="preserve">the Holy Land.  The Itinerarium Regis Ricardi (formerly</w:t></w:r>
</w:p>
<w:p>
<w:pPr><w:pStyle w:val="Normal"/></w:pPr>
<w:r><w:t xml:space="preserve">attributed to Geoffrey Vinsauf, but in reality the work of</w:t></w:r>
</w:p>
<w:p>
<w:pPr><w:pStyle w:val="Normal"/></w:pPr>
<w:r><w:t xml:space="preserve">Richard, a canon of Holy Trinity, London) is little more</w:t></w:r>
</w:p>
<w:p>
<w:pPr><w:pStyle w:val="Normal"/></w:pPr>
<w:r><w:t xml:space="preserve">than a free paraphrase of Ambrose.  The first book of the</w:t></w:r>
</w:p>
<w:p>
<w:pPr><w:pStyle w:val="Normal"/></w:pPr>
<w:r><w:t xml:space="preserve">Itinerarium contains some additional facts; and the whole</w:t></w:r>
</w:p>
<w:p>
<w:pPr><w:pStyle w:val="Normal"/></w:pPr>
<w:r><w:t xml:space="preserve">of the Latin version is adorned with dowers of rhetoric</w:t></w:r>
</w:p>
<w:p>
<w:pPr><w:pStyle w:val="Normal"/></w:pPr>
<w:r><w:t xml:space="preserve">which are foreign to the style of Ambrose. But it is no</w:t></w:r>
</w:p>
<w:p>
<w:pPr><w:pStyle w:val="Normal"/></w:pPr>
<w:r><w:t xml:space="preserve">longer possible to regard the Itinerarium as a first-hand</w:t></w:r>
</w:p>
<w:p>
<w:pPr><w:pStyle w:val="Normal"/></w:pPr>
<w:r><w:t xml:space="preserve">narrative.  Stubbs&apos;s edition of the Itinerarium (Rolls</w:t></w:r>
</w:p>
<w:p>
<w:pPr><w:pStyle w:val="Normal"/></w:pPr>
<w:r><w:t xml:space="preserve">Series, 1864), in which the contrary hypothesis is maintained,</w:t></w:r>
</w:p>
<w:p>
<w:pPr><w:pStyle w:val="Normal"/></w:pPr>
<w:r><w:t xml:space="preserve">appeared before Gaston Paris published his discovery.</w:t></w:r>
</w:p>
<w:p>
<w:pPr><w:pStyle w:val="Normal"/></w:pPr>
<w:r><w:t xml:space="preserve">See the edition of L&apos;Estoire de la guerre sainte by Gaston</w:t></w:r>
</w:p>
<w:p>
<w:pPr><w:pStyle w:val="Normal"/></w:pPr>
<w:r><w:t xml:space="preserve">Paris in the Collection des documents inedits sur l&apos;histoire</w:t></w:r>
</w:p>
<w:p>
<w:pPr><w:pStyle w:val="Normal"/></w:pPr>
<w:r><w:t xml:space="preserve">de France (1897); the editor discusses in his introduction</w:t></w:r>
</w:p>
<w:p>
<w:pPr><w:pStyle w:val="Normal"/></w:pPr>
<w:r><w:t xml:space="preserve">the biography of Ambrose, the value of the poem as a</w:t></w:r>
</w:p>
<w:p>
<w:pPr><w:pStyle w:val="Normal"/></w:pPr>
<w:r><w:t xml:space="preserve">historical source, and its relation to the Itinerarium.</w:t></w:r>
</w:p>
<w:p>
<w:pPr><w:pStyle w:val="Normal"/></w:pPr>
<w:r><w:t xml:space="preserve">R. Pauli&apos;s remarks (in Monumenta Germaniae Historica.</w:t></w:r>
</w:p>
<w:p>
<w:pPr><w:pStyle w:val="Normal"/></w:pPr>
<w:r><w:t xml:space="preserve">Scriptores, xxvii.) also deserve attention. (H. W. C. D.)</w:t></w:r>
</w:p>
<w:p>
<w:pPr><w:pStyle w:val="Normal"/></w:pPr>
<w:r><w:t xml:space="preserve">AMBROSE, SAINT (c. 340-307), bishop of Milan, one of the</w:t></w:r>
</w:p>
<w:p>
<w:pPr><w:pStyle w:val="Normal"/></w:pPr>
<w:r><w:t xml:space="preserve">most eminent fathers of the church in the 4th century, was</w:t></w:r>
</w:p>
<w:p>
<w:pPr><w:pStyle w:val="Normal"/></w:pPr>
<w:r><w:t xml:space="preserve">a citizen of Rome, born about 337-340 in Treves, where his</w:t></w:r>
</w:p>
<w:p>
<w:pPr><w:pStyle w:val="Normal"/></w:pPr>
<w:r><w:t xml:space="preserve">father was prefect of Gallia Narbonensis.  His mother was a</w:t></w:r>
</w:p>
<w:p>
<w:pPr><w:pStyle w:val="Normal"/></w:pPr>
<w:r><w:t xml:space="preserve">woman of intellect and piety.  Ambrose was early destined to</w:t></w:r>
</w:p>
<w:p>
<w:pPr><w:pStyle w:val="Normal"/></w:pPr>
<w:r><w:t xml:space="preserve">follow his father&apos;s career, and was accordingly educated in</w:t></w:r>
</w:p>
<w:p>
<w:pPr><w:pStyle w:val="Normal"/></w:pPr>
<w:r><w:t xml:space="preserve">Rome.  He made such progress in literature, law and rhetoric,</w:t></w:r>
</w:p>
<w:p>
<w:pPr><w:pStyle w:val="Normal"/></w:pPr>
<w:r><w:t xml:space="preserve">that the praetor Anicius Probus first gave him a place in</w:t></w:r>
</w:p>
<w:p>
<w:pPr><w:pStyle w:val="Normal"/></w:pPr>
<w:r><w:t xml:space="preserve">the council and then made him consular prefect of Liguria</w:t></w:r>
</w:p>
<w:p>
<w:pPr><w:pStyle w:val="Normal"/></w:pPr>
<w:r><w:t xml:space="preserve">and Emilia, with headquarters at Milan, where he made an</w:t></w:r>
</w:p>
<w:p>
<w:pPr><w:pStyle w:val="Normal"/></w:pPr>
<w:r><w:t xml:space="preserve">excellent administrator. In 374 Auxentius, bishop of Milan,</w:t></w:r>
</w:p>
<w:p>
<w:pPr><w:pStyle w:val="Normal"/></w:pPr>
<w:r><w:t xml:space="preserve">died, and the orthodox and Arian parties contended for the</w:t></w:r>
</w:p>
<w:p>
<w:pPr><w:pStyle w:val="Normal"/></w:pPr>
<w:r><w:t xml:space="preserve">succession.  An address delivered to them at this crisis</w:t></w:r>
</w:p>
<w:p>
<w:pPr><w:pStyle w:val="Normal"/></w:pPr>
<w:r><w:t xml:space="preserve">by Ambrose led to his being acclaimed as the only competent</w:t></w:r>
</w:p>
<w:p>
<w:pPr><w:pStyle w:val="Normal"/></w:pPr>
<w:r><w:t xml:space="preserve">occupant of the see; though hitherto only a catechumen, he was</w:t></w:r>
</w:p>
<w:p>
<w:pPr><w:pStyle w:val="Normal"/></w:pPr>
<w:r><w:t xml:space="preserve">baptized, and a few days saw him duly installed as bishop of</w:t></w:r>
</w:p>
<w:p>
<w:pPr><w:pStyle w:val="Normal"/></w:pPr>
<w:r><w:t xml:space="preserve">Milan.  He immediately betook himself to the necessary</w:t></w:r>
</w:p>
<w:p>
<w:pPr><w:pStyle w:val="Normal"/></w:pPr>
<w:r><w:t xml:space="preserve">studies, and acquitted himself in his new office with ability,</w:t></w:r>
</w:p>
<w:p>
<w:pPr><w:pStyle w:val="Normal"/></w:pPr>
<w:r><w:t xml:space="preserve">boldness and integrity.  Having apportioned his money among</w:t></w:r>
</w:p>
<w:p>
<w:pPr><w:pStyle w:val="Normal"/></w:pPr>
<w:r><w:t xml:space="preserve">the poor, and settled his lands upon the church, with the</w:t></w:r>
</w:p>
<w:p>
<w:pPr><w:pStyle w:val="Normal"/></w:pPr>
<w:r><w:t xml:space="preserve">exception of making his sister Marcellina tenant during</w:t></w:r>
</w:p>
<w:p>
<w:pPr><w:pStyle w:val="Normal"/></w:pPr>
<w:r><w:t xml:space="preserve">life, and having committed the care of his family to his</w:t></w:r>
</w:p>
<w:p>
<w:pPr><w:pStyle w:val="Normal"/></w:pPr>
<w:r><w:t xml:space="preserve">brother, he entered upon a regular course of theological</w:t></w:r>
</w:p>
<w:p>
<w:pPr><w:pStyle w:val="Normal"/></w:pPr>
<w:r><w:t xml:space="preserve">study, under the care of Simplician, a presbyter of Rome, and</w:t></w:r>
</w:p>
<w:p>
<w:pPr><w:pStyle w:val="Normal"/></w:pPr>
<w:r><w:t xml:space="preserve">devoted himself to the labours of the church, labours which</w:t></w:r>
</w:p>
<w:p>
<w:pPr><w:pStyle w:val="Normal"/></w:pPr>
<w:r><w:t xml:space="preserve">were temporarily interrupted by an invasion of Goths, which</w:t></w:r>
</w:p>
<w:p>
<w:pPr><w:pStyle w:val="Normal"/></w:pPr>
<w:r><w:t xml:space="preserve">compelled Ambrose and other churchmen to retire to Illyricum.</w:t></w:r>
</w:p>
<w:p>
<w:pPr><w:pStyle w:val="Normal"/></w:pPr>
<w:r><w:t xml:space="preserve">The eloquence of Ambrose soon found ample scope in the dispute</w:t></w:r>
</w:p>
<w:p>
<w:pPr><w:pStyle w:val="Normal"/></w:pPr>
<w:r><w:t xml:space="preserve">between the Arians and the orthodox or Catholic party, whose</w:t></w:r>
</w:p>
<w:p>
<w:pPr><w:pStyle w:val="Normal"/></w:pPr>
<w:r><w:t xml:space="preserve">cause the new bishop espoused.  Gratian, the son of the elder</w:t></w:r>
</w:p>
<w:p>
<w:pPr><w:pStyle w:val="Normal"/></w:pPr>
<w:r><w:t xml:space="preserve">Valentinian, took the same side; but the younger Valentinian,</w:t></w:r>
</w:p>
<w:p>
<w:pPr><w:pStyle w:val="Normal"/></w:pPr>
<w:r><w:t xml:space="preserve">who had now become his colleague in the empire, adopted the</w:t></w:r>
</w:p>
<w:p>
<w:pPr><w:pStyle w:val="Normal"/></w:pPr>
<w:r><w:t xml:space="preserve">opinions of the Arians, and all the arguments and eloquence</w:t></w:r>
</w:p>
<w:p>
<w:pPr><w:pStyle w:val="Normal"/></w:pPr>
<w:r><w:t xml:space="preserve">of Ambrose could not reclaim the young prince to the orthodox</w:t></w:r>
</w:p>
<w:p>
<w:pPr><w:pStyle w:val="Normal"/></w:pPr>
<w:r><w:t xml:space="preserve">faith.  Theodosius, the emperor of the East, also professed</w:t></w:r>
</w:p>
<w:p>
<w:pPr><w:pStyle w:val="Normal"/></w:pPr>
<w:r><w:t xml:space="preserve">the orthodox belief; but there were many adherents of Arius</w:t></w:r>
</w:p>
<w:p>
<w:pPr><w:pStyle w:val="Normal"/></w:pPr>
<w:r><w:t xml:space="preserve">scattered throughout his dominions.  In this distracted</w:t></w:r>
</w:p>
<w:p>
<w:pPr><w:pStyle w:val="Normal"/></w:pPr>
<w:r><w:t xml:space="preserve">state of religious opinion, two leaders of the Arians,</w:t></w:r>
</w:p>
<w:p>
<w:pPr><w:pStyle w:val="Normal"/></w:pPr>
<w:r><w:t xml:space="preserve">Palladius and Secundianus, confident of numbers, prevailed</w:t></w:r>
</w:p>
<w:p>
<w:pPr><w:pStyle w:val="Normal"/></w:pPr>
<w:r><w:t xml:space="preserve">upon Gratian to call a general council from all parts of the</w:t></w:r>
</w:p>
<w:p>
<w:pPr><w:pStyle w:val="Normal"/></w:pPr>
<w:r><w:t xml:space="preserve">empire.  This request appeared so equitable that he complied</w:t></w:r>
</w:p>
<w:p>
<w:pPr><w:pStyle w:val="Normal"/></w:pPr>
<w:r><w:t xml:space="preserve">without hesitation; but Ambrose, foreseeing the consequence,</w:t></w:r>
</w:p>
<w:p>
<w:pPr><w:pStyle w:val="Normal"/></w:pPr>
<w:r><w:t xml:space="preserve">prevailed upon the emperor to have the matter determined</w:t></w:r>
</w:p>
<w:p>
<w:pPr><w:pStyle w:val="Normal"/></w:pPr>
<w:r><w:t xml:space="preserve">by a council of the Western bishops.  A synod, composed of</w:t></w:r>
</w:p>
<w:p>
<w:pPr><w:pStyle w:val="Normal"/></w:pPr>
<w:r><w:t xml:space="preserve">thirty-two bishops, was accordingly held at Aquileia in the</w:t></w:r>
</w:p>
<w:p>
<w:pPr><w:pStyle w:val="Normal"/></w:pPr>
<w:r><w:t xml:space="preserve">year 381. Ambrose was elected president; and Palladius, being</w:t></w:r>
</w:p>
<w:p>
<w:pPr><w:pStyle w:val="Normal"/></w:pPr>
<w:r><w:t xml:space="preserve">called upon to defend his opinions, declined, insisting that</w:t></w:r>
</w:p>
<w:p>
<w:pPr><w:pStyle w:val="Normal"/></w:pPr>
<w:r><w:t xml:space="preserve">the meeting was a partial one, and that, all the bishops</w:t></w:r>
</w:p>
<w:p>
<w:pPr><w:pStyle w:val="Normal"/></w:pPr>
<w:r><w:t xml:space="preserve">of the empire not being present, the sense of the Christian</w:t></w:r>
</w:p>
<w:p>
<w:pPr><w:pStyle w:val="Normal"/></w:pPr>
<w:r><w:t xml:space="preserve">church concerning the question in dispute could not be</w:t></w:r>
</w:p>
<w:p>
<w:pPr><w:pStyle w:val="Normal"/></w:pPr>
<w:r><w:t xml:space="preserve">obtained.  A vote was then taken, when Palladius and his</w:t></w:r>
</w:p>
<w:p>
<w:pPr><w:pStyle w:val="Normal"/></w:pPr>
<w:r><w:t xml:space="preserve">associate Secundianus were deposed from the episcopal office.</w:t></w:r>
</w:p>
<w:p>
<w:pPr><w:pStyle w:val="Normal"/></w:pPr>
<w:r><w:t xml:space="preserve">Ambrose was equally zealous in combating the attempt made</w:t></w:r>
</w:p>
<w:p>
<w:pPr><w:pStyle w:val="Normal"/></w:pPr>
<w:r><w:t xml:space="preserve">by the upholders of the old state religion to resist the</w:t></w:r>
</w:p>
<w:p>
<w:pPr><w:pStyle w:val="Normal"/></w:pPr>
<w:r><w:t xml:space="preserve">enactments of Christian emperors.  The pagan party was led</w:t></w:r>
</w:p>
<w:p>
<w:pPr><w:pStyle w:val="Normal"/></w:pPr>
<w:r><w:t xml:space="preserve">by Quintus Aurelius Symmachus (q.v.), consul in 391, who</w:t></w:r>
</w:p>
<w:p>
<w:pPr><w:pStyle w:val="Normal"/></w:pPr>
<w:r><w:t xml:space="preserve">presented to Valentinian II. a forcible but unsuccessful</w:t></w:r>
</w:p>
<w:p>
<w:pPr><w:pStyle w:val="Normal"/></w:pPr>
<w:r><w:t xml:space="preserve">petition praying for the restoration of the altar of Victory</w:t></w:r>
</w:p>
<w:p>
<w:pPr><w:pStyle w:val="Normal"/></w:pPr>
<w:r><w:t xml:space="preserve">to its ancient station in the hall of the senate, the proper</w:t></w:r>
</w:p>
<w:p>
<w:pPr><w:pStyle w:val="Normal"/></w:pPr>
<w:r><w:t xml:space="preserve">support of seven vestal virgins, and the regular observance</w:t></w:r>
</w:p>
<w:p>
<w:pPr><w:pStyle w:val="Normal"/></w:pPr>
<w:r><w:t xml:space="preserve">of the other pagan ceremonies. To this petition Ambrose</w:t></w:r>
</w:p>
<w:p>
<w:pPr><w:pStyle w:val="Normal"/></w:pPr>
<w:r><w:t xml:space="preserve">replied in a letter to Valentinian, arguing that the devoted</w:t></w:r>
</w:p>
<w:p>
<w:pPr><w:pStyle w:val="Normal"/></w:pPr>
<w:r><w:t xml:space="preserve">worshippers of idols had often been forsaken by their deities;</w:t></w:r>
</w:p>
<w:p>
<w:pPr><w:pStyle w:val="Normal"/></w:pPr>
<w:r><w:t xml:space="preserve">that the native valour of the Roman soldiers had gained</w:t></w:r>
</w:p>
<w:p>
<w:pPr><w:pStyle w:val="Normal"/></w:pPr>
<w:r><w:t xml:space="preserve">their victories, and not the pretended influence of pagan</w:t></w:r>
</w:p>
<w:p>
<w:pPr><w:pStyle w:val="Normal"/></w:pPr>
<w:r><w:t xml:space="preserve">priests; that these idolatrous worshippers requested for</w:t></w:r>
</w:p>
<w:p>
<w:pPr><w:pStyle w:val="Normal"/></w:pPr>
<w:r><w:t xml:space="preserve">themselves what they refused to Christians; that voluntary</w:t></w:r>
</w:p>
<w:p>
<w:pPr><w:pStyle w:val="Normal"/></w:pPr>
<w:r><w:t xml:space="preserve">was more honourable than constrained virginity; that as the</w:t></w:r>
</w:p>
<w:p>
<w:pPr><w:pStyle w:val="Normal"/></w:pPr>
<w:r><w:t xml:space="preserve">Christian ministers declined to receive temporal emoluments,</w:t></w:r>
</w:p>
<w:p>
<w:pPr><w:pStyle w:val="Normal"/></w:pPr>
<w:r><w:t xml:space="preserve">they should also be denied to pagan priests; that it was</w:t></w:r>
</w:p>
<w:p>
<w:pPr><w:pStyle w:val="Normal"/></w:pPr>
<w:r><w:t xml:space="preserve">absurd to suppose that God would inflict a famine upon the</w:t></w:r>
</w:p>
<w:p>
<w:pPr><w:pStyle w:val="Normal"/></w:pPr>
<w:r><w:t xml:space="preserve">empire for neglecting to support a religious system contrary</w:t></w:r>
</w:p>
<w:p>
<w:pPr><w:pStyle w:val="Normal"/></w:pPr>
<w:r><w:t xml:space="preserve">to His will as revealed in the Scriptures; that the whole</w:t></w:r>
</w:p>
<w:p>
<w:pPr><w:pStyle w:val="Normal"/></w:pPr>
<w:r><w:t xml:space="preserve">process of nature encouraged innovations, and that all</w:t></w:r>
</w:p>
<w:p>
<w:pPr><w:pStyle w:val="Normal"/></w:pPr>
<w:r><w:t xml:space="preserve">nations had permitted them even in religion; that heathen</w:t></w:r>
</w:p>
<w:p>
<w:pPr><w:pStyle w:val="Normal"/></w:pPr>
<w:r><w:t xml:space="preserve">sacrifices were offensive to Christians; and that it was the</w:t></w:r>
</w:p>
<w:p>
<w:pPr><w:pStyle w:val="Normal"/></w:pPr>
<w:r><w:t xml:space="preserve">duty of a Christian prince to suppress pagan ceremonies.  In</w:t></w:r>
</w:p>
<w:p>
<w:pPr><w:pStyle w:val="Normal"/></w:pPr>
<w:r><w:t xml:space="preserve">the epistles of Symmachus and of Ambrose both the petition</w:t></w:r>
</w:p>
<w:p>
<w:pPr><w:pStyle w:val="Normal"/></w:pPr>
<w:r><w:t xml:space="preserve">and the reply are preserved.  They are a strange blend of</w:t></w:r>
</w:p>
<w:p>
<w:pPr><w:pStyle w:val="Normal"/></w:pPr>
<w:r><w:t xml:space="preserve">sophistry, superstition, sound sense and solid argument.</w:t></w:r>
</w:p>
<w:p>
<w:pPr><w:pStyle w:val="Normal"/></w:pPr>
<w:r><w:t xml:space="preserve">The increasing strength of the Arians proved a formidable</w:t></w:r>
</w:p>
<w:p>
<w:pPr><w:pStyle w:val="Normal"/></w:pPr>
<w:r><w:t xml:space="preserve">task for ambrose.  In 384 the young emperor and his mother</w:t></w:r>
</w:p>
<w:p>
<w:pPr><w:pStyle w:val="Normal"/></w:pPr>
<w:r><w:t xml:space="preserve">Justina, along with a considerable number of clergy and laity</w:t></w:r>
</w:p>
<w:p>
<w:pPr><w:pStyle w:val="Normal"/></w:pPr>
<w:r><w:t xml:space="preserve">professing the Arian faith, requested from the bishop the use</w:t></w:r>
</w:p>
<w:p>
<w:pPr><w:pStyle w:val="Normal"/></w:pPr>
<w:r><w:t xml:space="preserve">of two churches, one in the city, the other in the suburbs of</w:t></w:r>
</w:p>
<w:p>
<w:pPr><w:pStyle w:val="Normal"/></w:pPr>
<w:r><w:t xml:space="preserve">Milan.  Ambrose refused, and was required to answer for</w:t></w:r>
</w:p>
<w:p>
<w:pPr><w:pStyle w:val="Normal"/></w:pPr>
<w:r><w:t xml:space="preserve">his conduct before the council.  He went, attended by a</w:t></w:r>
</w:p>
<w:p>
<w:pPr><w:pStyle w:val="Normal"/></w:pPr>
<w:r><w:t xml:space="preserve">numerous crowd of people, whose impetuous zeal so overawed</w:t></w:r>
</w:p>
<w:p>
<w:pPr><w:pStyle w:val="Normal"/></w:pPr>
<w:r><w:t xml:space="preserve">the ministers of Valentinian that he was permitted to retire</w:t></w:r>
</w:p>
<w:p>
<w:pPr><w:pStyle w:val="Normal"/></w:pPr>
<w:r><w:t xml:space="preserve">without making the surrender of the churches.  The day</w:t></w:r>
</w:p>
<w:p>
<w:pPr><w:pStyle w:val="Normal"/></w:pPr>
<w:r><w:t xml:space="preserve">following, when he was performing divine service in the</w:t></w:r>
</w:p>
<w:p>
<w:pPr><w:pStyle w:val="Normal"/></w:pPr>
<w:r><w:t xml:space="preserve">Basilica, the prefect of the city came to persuade him to</w:t></w:r>
</w:p>
<w:p>
<w:pPr><w:pStyle w:val="Normal"/></w:pPr>
<w:r><w:t xml:space="preserve">give up at least the Portian church in the suburbs. As he</w:t></w:r>
</w:p>
<w:p>
<w:pPr><w:pStyle w:val="Normal"/></w:pPr>
<w:r><w:t xml:space="preserve">still continued obstinate, the court proceeded to violent</w:t></w:r>
</w:p>
<w:p>
<w:pPr><w:pStyle w:val="Normal"/></w:pPr>
<w:r><w:t xml:space="preserve">measures: the officers of the household were commanded to</w:t></w:r>
</w:p>
<w:p>
<w:pPr><w:pStyle w:val="Normal"/></w:pPr>
<w:r><w:t xml:space="preserve">prepare the Basilica and the Portian churches to celebrate</w:t></w:r>
</w:p>
<w:p>
<w:pPr><w:pStyle w:val="Normal"/></w:pPr>
<w:r><w:t xml:space="preserve">divine service upon the arrival of the emperor and his</w:t></w:r>
</w:p>
<w:p>
<w:pPr><w:pStyle w:val="Normal"/></w:pPr>
<w:r><w:t xml:space="preserve">mother at the ensuing festival of Easter.  Perceiving the</w:t></w:r>
</w:p>
<w:p>
<w:pPr><w:pStyle w:val="Normal"/></w:pPr>
<w:r><w:t xml:space="preserve">growing strength of the prelate&apos;s interest, the court deemed</w:t></w:r>
</w:p>
<w:p>
<w:pPr><w:pStyle w:val="Normal"/></w:pPr>
<w:r><w:t xml:space="preserve">it prudent to restrict its demand to the use of one of the</w:t></w:r>
</w:p>
<w:p>
<w:pPr><w:pStyle w:val="Normal"/></w:pPr>
<w:r><w:t xml:space="preserve">churches.  But all entreaties proved in vain, and drew</w:t></w:r>
</w:p>
<w:p>
<w:pPr><w:pStyle w:val="Normal"/></w:pPr>
<w:r><w:t xml:space="preserve">forth the following characteristic declaration from the</w:t></w:r>
</w:p>
<w:p>
<w:pPr><w:pStyle w:val="Normal"/></w:pPr>
<w:r><w:t xml:space="preserve">bishop: -- ``If you demand my person, I am ready to submit:</w:t></w:r>
</w:p>
<w:p>
<w:pPr><w:pStyle w:val="Normal"/></w:pPr>
<w:r><w:t xml:space="preserve">carry me to prison or to death, I will not resist; but I</w:t></w:r>
</w:p>
<w:p>
<w:pPr><w:pStyle w:val="Normal"/></w:pPr>
<w:r><w:t xml:space="preserve">will never betray the church of Christ.  I will not call</w:t></w:r>
</w:p>
<w:p>
<w:pPr><w:pStyle w:val="Normal"/></w:pPr>
<w:r><w:t xml:space="preserve">upon the people to succour me; I will die at the foot of</w:t></w:r>
</w:p>
<w:p>
<w:pPr><w:pStyle w:val="Normal"/></w:pPr>
<w:r><w:t xml:space="preserve">the altar rather than desert it.  The tumult of the people</w:t></w:r>
</w:p>
<w:p>
<w:pPr><w:pStyle w:val="Heading1"/></w:pPr>
<w:r><w:t>I will not encourage: but God alone can appease it.&apos;&apos;</w:t></w:r>
</w:p>
<w:p>
<w:pPr><w:pStyle w:val="Normal"/></w:pPr>
<w:r><w:t xml:space="preserve">Many circumstances in the history of Ambrose are strongly</w:t></w:r>
</w:p>
<w:p>
<w:pPr><w:pStyle w:val="Normal"/></w:pPr>
<w:r><w:t xml:space="preserve">characteristic of the general spirit of the times.  The</w:t></w:r>
</w:p>
<w:p>
<w:pPr><w:pStyle w:val="Normal"/></w:pPr>
<w:r><w:t xml:space="preserve">chief causes of his victory over his opponents were his</w:t></w:r>
</w:p>
<w:p>
<w:pPr><w:pStyle w:val="Normal"/></w:pPr>
<w:r><w:t xml:space="preserve">great popularity and the superstitious reverence paid to the</w:t></w:r>
</w:p>
<w:p>
<w:pPr><w:pStyle w:val="Normal"/></w:pPr>
<w:r><w:t xml:space="preserve">episcopal character at that period.  But it must also be noted</w:t></w:r>
</w:p>
<w:p>
<w:pPr><w:pStyle w:val="Normal"/></w:pPr>
<w:r><w:t xml:space="preserve">that he used several indirect means to obtain and support his</w:t></w:r>
</w:p>
<w:p>
<w:pPr><w:pStyle w:val="Normal"/></w:pPr>
<w:r><w:t xml:space="preserve">authority with the people. He was liberal to the poor; it was</w:t></w:r>
</w:p>
<w:p>
<w:pPr><w:pStyle w:val="Normal"/></w:pPr>
<w:r><w:t xml:space="preserve">his custom to comment severely in his preaching on the public</w:t></w:r>
</w:p>
<w:p>
<w:pPr><w:pStyle w:val="Normal"/></w:pPr>
<w:r><w:t xml:space="preserve">characters of his times; and he introduced popular reforms</w:t></w:r>
</w:p>
<w:p>
<w:pPr><w:pStyle w:val="Normal"/></w:pPr>
<w:r><w:t xml:space="preserve">in the order and manner of public worship.  It is alleged,</w:t></w:r>
</w:p>
<w:p>
<w:pPr><w:pStyle w:val="Normal"/></w:pPr>
<w:r><w:t xml:space="preserve">too, that at a time when the influence of Ambrose required</w:t></w:r>
</w:p>
<w:p>
<w:pPr><w:pStyle w:val="Normal"/></w:pPr>
<w:r><w:t xml:space="preserve">vigorous support, he was admonished in a dream to search</w:t></w:r>
</w:p>
<w:p>
<w:pPr><w:pStyle w:val="Normal"/></w:pPr>
<w:r><w:t xml:space="preserve">for, and found under the pavement of the church, the remains</w:t></w:r>
</w:p>
<w:p>
<w:pPr><w:pStyle w:val="Normal"/></w:pPr>
<w:r><w:t xml:space="preserve">of two martyrs, Gervasius and Protasius. The applause of the</w:t></w:r>
</w:p>
<w:p>
<w:pPr><w:pStyle w:val="Normal"/></w:pPr>
<w:r><w:t xml:space="preserve">vulgar was mingled with the derision of the court party.</w:t></w:r>
</w:p>
<w:p>
<w:pPr><w:pStyle w:val="Normal"/></w:pPr>
<w:r><w:t xml:space="preserve">Although the court was displeased with the religious principles</w:t></w:r>
</w:p>
<w:p>
<w:pPr><w:pStyle w:val="Normal"/></w:pPr>
<w:r><w:t xml:space="preserve">and conduct of Ambrose, it respected his great political</w:t></w:r>
</w:p>
<w:p>
<w:pPr><w:pStyle w:val="Normal"/></w:pPr>
<w:r><w:t xml:space="preserve">talents; and when necessity required, his aid was solicited</w:t></w:r>
</w:p>
<w:p>
<w:pPr><w:pStyle w:val="Normal"/></w:pPr>
<w:r><w:t xml:space="preserve">and generously granted.  When Maximus usurped the supreme</w:t></w:r>
</w:p>
<w:p>
<w:pPr><w:pStyle w:val="Normal"/></w:pPr>
<w:r><w:t xml:space="preserve">power in Gaul, and was meditating a descent upon Italy,</w:t></w:r>
</w:p>
<w:p>
<w:pPr><w:pStyle w:val="Normal"/></w:pPr>
<w:r><w:t xml:space="preserve">Valentinian sent Ambrose to dissuade him from the undertaking,</w:t></w:r>
</w:p>
<w:p>
<w:pPr><w:pStyle w:val="Normal"/></w:pPr>
<w:r><w:t xml:space="preserve">and the embassy was successful.  On a second attempt of the</w:t></w:r>
</w:p>
<w:p>
<w:pPr><w:pStyle w:val="Normal"/></w:pPr>
<w:r><w:t xml:space="preserve">same kind Ambrose was again employed; and although he was</w:t></w:r>
</w:p>
<w:p>
<w:pPr><w:pStyle w:val="Normal"/></w:pPr>
<w:r><w:t xml:space="preserve">unsuccessful, it cannot be doubted that, if his advice had</w:t></w:r>
</w:p>
<w:p>
<w:pPr><w:pStyle w:val="Normal"/></w:pPr>
<w:r><w:t xml:space="preserve">been followed, the schemes of the usurper would have proved</w:t></w:r>
</w:p>
<w:p>
<w:pPr><w:pStyle w:val="Normal"/></w:pPr>
<w:r><w:t xml:space="preserve">abortive; but the enemy was permitted to enter Italy; and</w:t></w:r>
</w:p>
<w:p>
<w:pPr><w:pStyle w:val="Normal"/></w:pPr>
<w:r><w:t xml:space="preserve">Milan was taken. Justina and her son fled; but Ambrose remained</w:t></w:r>
</w:p>
<w:p>
<w:pPr><w:pStyle w:val="Normal"/></w:pPr>
<w:r><w:t xml:space="preserve">at his post, and did good service to many of the sufferers</w:t></w:r>
</w:p>
<w:p>
<w:pPr><w:pStyle w:val="Normal"/></w:pPr>
<w:r><w:t xml:space="preserve">by causing the plate of the church to be melted for their</w:t></w:r>
</w:p>
<w:p>
<w:pPr><w:pStyle w:val="Normal"/></w:pPr>
<w:r><w:t xml:space="preserve">relief.  Theodosius, the emperor of the East, espoused the</w:t></w:r>
</w:p>
<w:p>
<w:pPr><w:pStyle w:val="Normal"/></w:pPr>
<w:r><w:t xml:space="preserve">cause of Justina, and regained the kingdom.  This Theodosius</w:t></w:r>
</w:p>
<w:p>
<w:pPr><w:pStyle w:val="Normal"/></w:pPr>
<w:r><w:t xml:space="preserve">was sternly rebuked by Ambrose for the massacre of 7000</w:t></w:r>
</w:p>
<w:p>
<w:pPr><w:pStyle w:val="Normal"/></w:pPr>
<w:r><w:t xml:space="preserve">persons at Thessalonica in 390, and was bidden imitate</w:t></w:r>
</w:p>
<w:p>
<w:pPr><w:pStyle w:val="Normal"/></w:pPr>
<w:r><w:t xml:space="preserve">David in his repentance as he had imitated him in guilt.</w:t></w:r>
</w:p>
<w:p>
<w:pPr><w:pStyle w:val="Normal"/></w:pPr>
<w:r><w:t xml:space="preserve">In 302, after the assassination of Valentinian and the usurpation</w:t></w:r>
</w:p>
<w:p>
<w:pPr><w:pStyle w:val="Normal"/></w:pPr>
<w:r><w:t xml:space="preserve">of Eugenius, Ambrose fled from Milan; but when Theodosius</w:t></w:r>
</w:p>
<w:p>
<w:pPr><w:pStyle w:val="Normal"/></w:pPr>
<w:r><w:t xml:space="preserve">was eventually victorious, he supplicated the emperor for</w:t></w:r>
</w:p>
<w:p>
<w:pPr><w:pStyle w:val="Normal"/></w:pPr>
<w:r><w:t xml:space="preserve">the pardon of those who had supported Eugenius.  Soon after</w:t></w:r>
</w:p>
<w:p>
<w:pPr><w:pStyle w:val="Normal"/></w:pPr>
<w:r><w:t xml:space="preserve">acquiring the undisputed possession of the Roman empire,</w:t></w:r>
</w:p>
<w:p>
<w:pPr><w:pStyle w:val="Normal"/></w:pPr>
<w:r><w:t xml:space="preserve">Theodosius died at Milan in 395, and two years later (4th</w:t></w:r>
</w:p>
<w:p>
<w:pPr><w:pStyle w:val="Normal"/></w:pPr>
<w:r><w:t xml:space="preserve">April 397) Ambrose also passed away.  He was succeeded by Simplician.</w:t></w:r>
</w:p>
<w:p>
<w:pPr><w:pStyle w:val="Normal"/></w:pPr>
<w:r><w:t xml:space="preserve">A man of pure character, vigorous mind, unwearying zeal and</w:t></w:r>
</w:p>
<w:p>
<w:pPr><w:pStyle w:val="Normal"/></w:pPr>
<w:r><w:t xml:space="preserve">uncommon generosity, Ambrose ranks high among the fathers</w:t></w:r>
</w:p>
<w:p>
<w:pPr><w:pStyle w:val="Normal"/></w:pPr>
<w:r><w:t xml:space="preserve">of the ancient church on many counts.  His chief faults were</w:t></w:r>
</w:p>
<w:p>
<w:pPr><w:pStyle w:val="Normal"/></w:pPr>
<w:r><w:t xml:space="preserve">ambition and bigotry.  Though ranking with Augustine, Jerome,</w:t></w:r>
</w:p>
<w:p>
<w:pPr><w:pStyle w:val="Normal"/></w:pPr>
<w:r><w:t xml:space="preserve">and Gregory the Great, as one of the Latin ``doctors,&apos;&apos; he</w:t></w:r>
</w:p>
<w:p>
<w:pPr><w:pStyle w:val="Normal"/></w:pPr>
<w:r><w:t xml:space="preserve">is most naturally compared with Hilary, whom he surpasses in</w:t></w:r>
</w:p>
<w:p>
<w:pPr><w:pStyle w:val="Normal"/></w:pPr>
<w:r><w:t xml:space="preserve">administrative excellence as much as he falls below him in</w:t></w:r>
</w:p>
<w:p>
<w:pPr><w:pStyle w:val="Normal"/></w:pPr>
<w:r><w:t xml:space="preserve">theological ability.  Even here, however, his achievements are</w:t></w:r>
</w:p>
<w:p>
<w:pPr><w:pStyle w:val="Normal"/></w:pPr>
<w:r><w:t xml:space="preserve">of no mean order, especially when we remember his juridical</w:t></w:r>
</w:p>
<w:p>
<w:pPr><w:pStyle w:val="Normal"/></w:pPr>
<w:r><w:t xml:space="preserve">training and his comparatively late handling of Biblical</w:t></w:r>
</w:p>
<w:p>
<w:pPr><w:pStyle w:val="Normal"/></w:pPr>
<w:r><w:t xml:space="preserve">and doctrinal subjects.  In matters of exegesis he is, like</w:t></w:r>
</w:p>
<w:p>
<w:pPr><w:pStyle w:val="Normal"/></w:pPr>
<w:r><w:t xml:space="preserve">Hilary, an Alexandrian; his chief productions are homiletic</w:t></w:r>
</w:p>
<w:p>
<w:pPr><w:pStyle w:val="Normal"/></w:pPr>
<w:r><w:t xml:space="preserve">commentaries on the early Old Testament narratives, e.g.</w:t></w:r>
</w:p>
<w:p>
<w:pPr><w:pStyle w:val="Normal"/></w:pPr>
<w:r><w:t xml:space="preserve">the Hexaemeron (Creation) and Abraham, some of the Psalms, and</w:t></w:r>
</w:p>
<w:p>
<w:pPr><w:pStyle w:val="Normal"/></w:pPr>
<w:r><w:t xml:space="preserve">the Gospel according to Luke.  In dogmatic he follows Basil</w:t></w:r>
</w:p>
<w:p>
<w:pPr><w:pStyle w:val="Normal"/></w:pPr>
<w:r><w:t xml:space="preserve">of Caesarea and other Greek authors, but nevertheless gives</w:t></w:r>
</w:p>
<w:p>
<w:pPr><w:pStyle w:val="Normal"/></w:pPr>
<w:r><w:t xml:space="preserve">a distinctly Western cast to the speculations of which he</w:t></w:r>
</w:p>
<w:p>
<w:pPr><w:pStyle w:val="Normal"/></w:pPr>
<w:r><w:t xml:space="preserve">treats.  This is particularly manifest in the weightier emphasis</w:t></w:r>
</w:p>
<w:p>
<w:pPr><w:pStyle w:val="Normal"/></w:pPr>
<w:r><w:t xml:space="preserve">which he lays upon human sin and divine grace, and in the</w:t></w:r>
</w:p>
<w:p>
<w:pPr><w:pStyle w:val="Normal"/></w:pPr>
<w:r><w:t xml:space="preserve">place which he assigns to faith in the individual Christian</w:t></w:r>
</w:p>
<w:p>
<w:pPr><w:pStyle w:val="Normal"/></w:pPr>
<w:r><w:t xml:space="preserve">life.  His chief works in this field are De fide ad Gratianuni</w:t></w:r>
</w:p>
<w:p>
<w:pPr><w:pStyle w:val="Normal"/></w:pPr>
<w:r><w:t xml:space="preserve">Augustunn, De Spiritu Sancto, De incarnationis Dominicae</w:t></w:r>
</w:p>
<w:p>
<w:pPr><w:pStyle w:val="Normal"/></w:pPr>
<w:r><w:t xml:space="preserve">sacramento, De mysteriis. His great spiritual successor,</w:t></w:r>
</w:p>
<w:p>
<w:pPr><w:pStyle w:val="Normal"/></w:pPr>
<w:r><w:t xml:space="preserve">Augustine, whose conversion was helped by Ambrose&apos;s sermons,</w:t></w:r>
</w:p>
<w:p>
<w:pPr><w:pStyle w:val="Normal"/></w:pPr>
<w:r><w:t xml:space="preserve">owes more to him than to any writer except Paul.  Ambrose&apos;s</w:t></w:r>
</w:p>
<w:p>
<w:pPr><w:pStyle w:val="Normal"/></w:pPr>
<w:r><w:t xml:space="preserve">intense episcopal consciousness furthered the growing doctrine</w:t></w:r>
</w:p>
<w:p>
<w:pPr><w:pStyle w:val="Normal"/></w:pPr>
<w:r><w:t xml:space="preserve">of the Church and its sacerdotal ministry, while the prevalent</w:t></w:r>
</w:p>
<w:p>
<w:pPr><w:pStyle w:val="Normal"/></w:pPr>
<w:r><w:t xml:space="preserve">asceticism of the day, continuing the Stoic and Ciceronian</w:t></w:r>
</w:p>
<w:p>
<w:pPr><w:pStyle w:val="Normal"/></w:pPr>
<w:r><w:t xml:space="preserve">training of his youth, enabled him to promulgate a lofty</w:t></w:r>
</w:p>
<w:p>
<w:pPr><w:pStyle w:val="Normal"/></w:pPr>
<w:r><w:t xml:space="preserve">standard of Christian ethics.  Thus we have the De officiis</w:t></w:r>
</w:p>
<w:p>
<w:pPr><w:pStyle w:val="Normal"/></w:pPr>
<w:r><w:t xml:space="preserve">ministrorum, De viduis, De virginitate and De paenitentia.</w:t></w:r>
</w:p>
<w:p>
<w:pPr><w:pStyle w:val="Normal"/></w:pPr>
<w:r><w:t xml:space="preserve">Ambrose has also left several funeral orations and ninety-</w:t></w:r>
</w:p>
<w:p>
<w:pPr><w:pStyle w:val="Normal"/></w:pPr>
<w:r><w:t xml:space="preserve">one letters, but it is as a hymn-writer that he perhaps</w:t></w:r>
</w:p>
<w:p>
<w:pPr><w:pStyle w:val="Normal"/></w:pPr>
<w:r><w:t xml:space="preserve">deserves most honour.  Catching the impulse from Hilary and</w:t></w:r>
</w:p>
<w:p>
<w:pPr><w:pStyle w:val="Normal"/></w:pPr>
<w:r><w:t xml:space="preserve">confirmed in it by the success of Arian psalmody, Ambrose</w:t></w:r>
</w:p>
<w:p>
<w:pPr><w:pStyle w:val="Normal"/></w:pPr>
<w:r><w:t xml:space="preserve">composed several hymns, marked by dignified simplicity,</w:t></w:r>
</w:p>
<w:p>
<w:pPr><w:pStyle w:val="Normal"/></w:pPr>
<w:r><w:t xml:space="preserve">which were not only effective in themselves but served</w:t></w:r>
</w:p>
<w:p>
<w:pPr><w:pStyle w:val="Normal"/></w:pPr>
<w:r><w:t xml:space="preserve">as a fruitful model for later times.  We cannot certainly</w:t></w:r>
</w:p>
<w:p>
<w:pPr><w:pStyle w:val="Normal"/></w:pPr>
<w:r><w:t xml:space="preserve">assign to him more than four or five (Deus Creator Omnium,</w:t></w:r>
</w:p>
<w:p>
<w:pPr><w:pStyle w:val="Normal"/></w:pPr>
<w:r><w:t xml:space="preserve">Aeterne rerum conditor, Jam surgit hora tertia, and</w:t></w:r>
</w:p>
<w:p>
<w:pPr><w:pStyle w:val="Normal"/></w:pPr>
<w:r><w:t xml:space="preserve">the Christmas hymn Veni redemptor gentium) of those</w:t></w:r>
</w:p>
<w:p>
<w:pPr><w:pStyle w:val="Normal"/></w:pPr>
<w:r><w:t xml:space="preserve">that have come down to us.  Each of these hymns has eight</w:t></w:r>
</w:p>
<w:p>
<w:pPr><w:pStyle w:val="Normal"/></w:pPr>
<w:r><w:t xml:space="preserve">four-line stanzas and is written in strict iambic tetrameter.</w:t></w:r>
</w:p>
<w:p>
<w:pPr><w:pStyle w:val="Normal"/></w:pPr>
<w:r><w:t xml:space="preserve">On the Ambrosian ritual see LITURGY; on the Ambrosian library</w:t></w:r>
</w:p>
<w:p>
<w:pPr><w:pStyle w:val="Normal"/></w:pPr>
<w:r><w:t xml:space="preserve">see LIBRARIES; on the church founded by him at Milan in 387 see</w:t></w:r>
</w:p>
<w:p>
<w:pPr><w:pStyle w:val="Normal"/></w:pPr>
<w:r><w:t xml:space="preserve">MILAN.  Editions: The Benedictine (4 vols., Venice, 1748 ff.);</w:t></w:r>
</w:p>
<w:p>
<w:pPr><w:pStyle w:val="Normal"/></w:pPr>
<w:r><w:t xml:space="preserve">Migne, Patrol.  Lat. xiv.-xvii.; P. A. Ballerini (6 vols.,</w:t></w:r>
</w:p>
<w:p>
<w:pPr><w:pStyle w:val="Normal"/></w:pPr>
<w:r><w:t xml:space="preserve">Milan, 1875 ff.). LITERATURE: Th. Forster, Ambrose, B. of</w:t></w:r>
</w:p>
<w:p>
<w:pPr><w:pStyle w:val="Normal"/></w:pPr>
<w:r><w:t xml:space="preserve">Mailand (Halle, 1884), and art. in Herzog-Hauck, Realencyk.,</w:t></w:r>
</w:p>
<w:p>
<w:pPr><w:pStyle w:val="Normal"/></w:pPr>
<w:r><w:t xml:space="preserve">where the literature is cited in full; A. Ebert, Glesch. der</w:t></w:r>
</w:p>
<w:p>
<w:pPr><w:pStyle w:val="Normal"/></w:pPr>
<w:r><w:t xml:space="preserve">christlich-latein.  Litt. (2nd ed., 1889); O. Bardenhewer,</w:t></w:r>
</w:p>
<w:p>
<w:pPr><w:pStyle w:val="Normal"/></w:pPr>
<w:r><w:t xml:space="preserve">Patrologic (2nd ed., 1891); A. Harnack, Hist. of Dogma,</w:t></w:r>
</w:p>
<w:p>
<w:pPr><w:pStyle w:val="Normal"/></w:pPr>
<w:r><w:t xml:space="preserve">esp. vol. v.; W. Bright, Age ofthe Fathers. (A. J. G.)</w:t></w:r>
</w:p>
<w:p>
<w:pPr><w:pStyle w:val="Normal"/></w:pPr>
<w:r><w:t xml:space="preserve">AMBROSE (ANDREY SERTIS-KAMENSKIY) (1708-1771), archbishop</w:t></w:r>
</w:p>
<w:p>
<w:pPr><w:pStyle w:val="Normal"/></w:pPr>
<w:r><w:t xml:space="preserve">of Moscow, was born at Nezhine in the government of Chernigov,</w:t></w:r>
</w:p>
<w:p>
<w:pPr><w:pStyle w:val="Normal"/></w:pPr>
<w:r><w:t xml:space="preserve">and studied in the school of St Alexander Nevskiy, where</w:t></w:r>
</w:p>
<w:p>
<w:pPr><w:pStyle w:val="Normal"/></w:pPr>
<w:r><w:t xml:space="preserve">he afterwards became a tutor.  At the age of thirty-one</w:t></w:r>
</w:p>
<w:p>
<w:pPr><w:pStyle w:val="Normal"/></w:pPr>
<w:r><w:t xml:space="preserve">he entered a monastery, where he took the name of Ambrose.</w:t></w:r>
</w:p>
<w:p>
<w:pPr><w:pStyle w:val="Normal"/></w:pPr>
<w:r><w:t xml:space="preserve">Subsequently he was appointed archimandrite of the convent</w:t></w:r>
</w:p>
<w:p>
<w:pPr><w:pStyle w:val="Normal"/></w:pPr>
<w:r><w:t xml:space="preserve">of New Jerusalem at Voznesensk.  From this post he was</w:t></w:r>
</w:p>
<w:p>
<w:pPr><w:pStyle w:val="Normal"/></w:pPr>
<w:r><w:t xml:space="preserve">transferred  as bishop, first to the diocese of Pereyaslav,</w:t></w:r>
</w:p>
<w:p>
<w:pPr><w:pStyle w:val="Normal"/></w:pPr>
<w:r><w:t xml:space="preserve">and afterwards to that of Krusitsy near Moscow, finally</w:t></w:r>
</w:p>
<w:p>
<w:pPr><w:pStyle w:val="Normal"/></w:pPr>
<w:r><w:t xml:space="preserve">becoming archbishop of Moscow in 1761.  He was famous not</w:t></w:r>
</w:p>
<w:p>
<w:pPr><w:pStyle w:val="Normal"/></w:pPr>
<w:r><w:t xml:space="preserve">only for his interest in schemes for the alleviation of</w:t></w:r>
</w:p>
<w:p>
<w:pPr><w:pStyle w:val="Normal"/></w:pPr>
<w:r><w:t xml:space="preserve">poverty in Moscow, but also as the founder of new churches and</w:t></w:r>
</w:p>
<w:p>
<w:pPr><w:pStyle w:val="Normal"/></w:pPr>
<w:r><w:t xml:space="preserve">monasteries.  A terrible outbreak of plague occurred in Moscow</w:t></w:r>
</w:p>
<w:p>
<w:pPr><w:pStyle w:val="Normal"/></w:pPr>
<w:r><w:t xml:space="preserve">in 1771, and the populace began to throng round an image</w:t></w:r>
</w:p>
<w:p>
<w:pPr><w:pStyle w:val="Normal"/></w:pPr>
<w:r><w:t xml:space="preserve">of the Virgin to which they attributed supernatural healing</w:t></w:r>
</w:p>
<w:p>
<w:pPr><w:pStyle w:val="Normal"/></w:pPr>
<w:r><w:t xml:space="preserve">power.  Ambrose, perceiving that this crowding together</w:t></w:r>
</w:p>
<w:p>
<w:pPr><w:pStyle w:val="Normal"/></w:pPr>
<w:r><w:t xml:space="preserve">merely enabled the contagion to spread, had the image secretly</w:t></w:r>
</w:p>
<w:p>
<w:pPr><w:pStyle w:val="Normal"/></w:pPr>
<w:r><w:t xml:space="preserve">removed.  The mob, suspecting that he was responsible for</w:t></w:r>
</w:p>
<w:p>
<w:pPr><w:pStyle w:val="Normal"/></w:pPr>
<w:r><w:t xml:space="preserve">its removal, attacked a monastery to which he had retired,</w:t></w:r>
</w:p>
<w:p>
<w:pPr><w:pStyle w:val="Normal"/></w:pPr>
<w:r><w:t xml:space="preserve">dragged him away from the sanctuary, and, having given him</w:t></w:r>
</w:p>
<w:p>
<w:pPr><w:pStyle w:val="Normal"/></w:pPr>
<w:r><w:t xml:space="preserve">time to receive the sacrament, strangled him.  Ambrose&apos;s</w:t></w:r>
</w:p>
<w:p>
<w:pPr><w:pStyle w:val="Normal"/></w:pPr>
<w:r><w:t xml:space="preserve">works include a liturgy and translations from the Fathers.</w:t></w:r>
</w:p>
<w:p>
<w:pPr><w:pStyle w:val="Normal"/></w:pPr>
<w:r><w:t xml:space="preserve">AMBROSE (AMBROISE), AUTPERT (d. 778), French Benedictine</w:t></w:r>
</w:p>
<w:p>
<w:pPr><w:pStyle w:val="Normal"/></w:pPr>
<w:r><w:t xml:space="preserve">monk.  He became abbe of St Vincent on the Volturno ``in</w:t></w:r>
</w:p>
<w:p>
<w:pPr><w:pStyle w:val="Normal"/></w:pPr>
<w:r><w:t xml:space="preserve">the time of Desiderius, king of the Lombards.&apos;&apos; He wrote</w:t></w:r>
</w:p>
<w:p>
<w:pPr><w:pStyle w:val="Normal"/></w:pPr>
<w:r><w:t xml:space="preserve">a considerable number of works on the Bible and religious</w:t></w:r>
</w:p>
<w:p>
<w:pPr><w:pStyle w:val="Normal"/></w:pPr>
<w:r><w:t xml:space="preserve">subjects generally.  Among these are commentaries on</w:t></w:r>
</w:p>
<w:p>
<w:pPr><w:pStyle w:val="Normal"/></w:pPr>
<w:r><w:t xml:space="preserve">the Apocalypse (see Bibl.  Patrum, xiii. 403), on the</w:t></w:r>
</w:p>
<w:p>
<w:pPr><w:pStyle w:val="Normal"/></w:pPr>
<w:r><w:t xml:space="preserve">Psalms, on the Song of Solomon; Lives of SS. Paldo, Tuto</w:t></w:r>
</w:p>
<w:p>
<w:pPr><w:pStyle w:val="Normal"/></w:pPr>
<w:r><w:t xml:space="preserve">and Vaso (according to Mabillon); Assumption of the</w:t></w:r>
</w:p>
<w:p>
<w:pPr><w:pStyle w:val="Normal"/></w:pPr>
<w:r><w:t xml:space="preserve">Virgin; Combat between the Virtues and the Vices.</w:t></w:r>
</w:p>
<w:p>
<w:pPr><w:pStyle w:val="Normal"/></w:pPr>
<w:r><w:t xml:space="preserve">See Mabillon, Acta sanct.  Bolland.  III. ii. 259, 266;</w:t></w:r>
</w:p>
<w:p>
<w:pPr><w:pStyle w:val="Normal"/></w:pPr>
<w:r><w:t xml:space="preserve">Georg Lommel, Der ostrsankische Reformator Ambrosius</w:t></w:r>
</w:p>
<w:p>
<w:pPr><w:pStyle w:val="Normal"/></w:pPr>
<w:r><w:t xml:space="preserve">(Giessen, 1847); Bollandist Bibl. hag. lat. (1898), 61.</w:t></w:r>
</w:p>
<w:p>
<w:pPr><w:pStyle w:val="Normal"/></w:pPr>
<w:r><w:t xml:space="preserve">AMBROSE, ISAAC (1604-1663/4), English Puritan divine,</w:t></w:r>
</w:p>
<w:p>
<w:pPr><w:pStyle w:val="Normal"/></w:pPr>
<w:r><w:t xml:space="preserve">was the son of Richard Ambrose, vicar of Ormskirk, and was</w:t></w:r>
</w:p>
<w:p>
<w:pPr><w:pStyle w:val="Normal"/></w:pPr>
<w:r><w:t xml:space="preserve">probably descended from the Ambroses of Lowick in Furness,</w:t></w:r>
</w:p>
<w:p>
<w:pPr><w:pStyle w:val="Normal"/></w:pPr>
<w:r><w:t xml:space="preserve">a well-known Catholic family.  He entered Brazenose College,</w:t></w:r>
</w:p>
<w:p>
<w:pPr><w:pStyle w:val="Normal"/></w:pPr>
<w:r><w:t xml:space="preserve">Oxford, in 1621, in his seventeenth year.  Having graduated</w:t></w:r>
</w:p>
<w:p>
<w:pPr><w:pStyle w:val="Normal"/></w:pPr>
<w:r><w:t xml:space="preserve">B.A. in 1624 and been ordained, he received in 1627 the</w:t></w:r>
</w:p>
<w:p>
<w:pPr><w:pStyle w:val="Normal"/></w:pPr>
<w:r><w:t xml:space="preserve">little cure of Castleton in Derbyshire.  By the influence</w:t></w:r>
</w:p>
<w:p>
<w:pPr><w:pStyle w:val="Normal"/></w:pPr>
<w:r><w:t xml:space="preserve">of William Russell, earl of Bedford, he was appointed one</w:t></w:r>
</w:p>
<w:p>
<w:pPr><w:pStyle w:val="Normal"/></w:pPr>
<w:r><w:t xml:space="preserve">of the king&apos;s itinerant preachers in Lancashire, and after</w:t></w:r>
</w:p>
<w:p>
<w:pPr><w:pStyle w:val="Normal"/></w:pPr>
<w:r><w:t xml:space="preserve">living for a time in Garstang, he was selected by the Lady</w:t></w:r>
</w:p>
<w:p>
<w:pPr><w:pStyle w:val="Normal"/></w:pPr>
<w:r><w:t xml:space="preserve">Margaret Hoghton as vicar of Preston.  He associated himself</w:t></w:r>
</w:p>
<w:p>
<w:pPr><w:pStyle w:val="Normal"/></w:pPr>
<w:r><w:t xml:space="preserve">with Presbyterianism, and was on the celebrated committee</w:t></w:r>
</w:p>
<w:p>
<w:pPr><w:pStyle w:val="Normal"/></w:pPr>
<w:r><w:t xml:space="preserve">for the ejection of ``scandalous and ignorant ministers</w:t></w:r>
</w:p>
<w:p>
<w:pPr><w:pStyle w:val="Normal"/></w:pPr>
<w:r><w:t xml:space="preserve">and schoolmasters&apos;&apos; during the Commonwealth.  So long as</w:t></w:r>
</w:p>
<w:p>
<w:pPr><w:pStyle w:val="Normal"/></w:pPr>
<w:r><w:t xml:space="preserve">Ambrose continued at Preston he was favoured with the warm</w:t></w:r>
</w:p>
<w:p>
<w:pPr><w:pStyle w:val="Normal"/></w:pPr>
<w:r><w:t xml:space="preserve">friendship of the Hoghton family, their ancestral woods and</w:t></w:r>
</w:p>
<w:p>
<w:pPr><w:pStyle w:val="Normal"/></w:pPr>
<w:r><w:t xml:space="preserve">the tower near Blackburn affording him sequestered places</w:t></w:r>
</w:p>
<w:p>
<w:pPr><w:pStyle w:val="Normal"/></w:pPr>
<w:r><w:t xml:space="preserve">for those devout meditations and ``experiences&apos;&apos; that give</w:t></w:r>
</w:p>
<w:p>
<w:pPr><w:pStyle w:val="Normal"/></w:pPr>
<w:r><w:t xml:space="preserve">such a charm to his diary, portions of which are quoted</w:t></w:r>
</w:p>
<w:p>
<w:pPr><w:pStyle w:val="Normal"/></w:pPr>
<w:r><w:t xml:space="preserve">in his Prima Media and Ultima (1650, 1659). The immense</w:t></w:r>
</w:p>
<w:p>
<w:pPr><w:pStyle w:val="Normal"/></w:pPr>
<w:r><w:t xml:space="preserve">auditory of his sermon (Redeeming the Time) at the funeral</w:t></w:r>
</w:p>
<w:p>
<w:pPr><w:pStyle w:val="Normal"/></w:pPr>
<w:r><w:t xml:space="preserve">of Lady Hoghton was long a living tradition all over the</w:t></w:r>
</w:p>
<w:p>
<w:pPr><w:pStyle w:val="Normal"/></w:pPr>
<w:r><w:t xml:space="preserve">county.  On account of the feeling engendered by the civil</w:t></w:r>
</w:p>
<w:p>
<w:pPr><w:pStyle w:val="Normal"/></w:pPr>
<w:r><w:t xml:space="preserve">war Ambrose left his great church of Preston in 1654, and</w:t></w:r>
</w:p>
<w:p>
<w:pPr><w:pStyle w:val="Normal"/></w:pPr>
<w:r><w:t xml:space="preserve">became minister of Garstang, whence, however, in 1662 he</w:t></w:r>
</w:p>
<w:p>
<w:pPr><w:pStyle w:val="Normal"/></w:pPr>
<w:r><w:t xml:space="preserve">was ejected with the two thousand ministers who refused to</w:t></w:r>
</w:p>
<w:p>
<w:pPr><w:pStyle w:val="Normal"/></w:pPr>
<w:r><w:t xml:space="preserve">conform. His after years were passed among old friends and</w:t></w:r>
</w:p>
<w:p>
<w:pPr><w:pStyle w:val="Normal"/></w:pPr>
<w:r><w:t xml:space="preserve">in quiet meditation at Preston.  He died of apoplexy about</w:t></w:r>
</w:p>
<w:p>
<w:pPr><w:pStyle w:val="Normal"/></w:pPr>
<w:r><w:t xml:space="preserve">the 20th of January 1663/4.  As a religious writer Ambrose</w:t></w:r>
</w:p>
<w:p>
<w:pPr><w:pStyle w:val="Normal"/></w:pPr>
<w:r><w:t xml:space="preserve">has a vividness and freshness of imagination possessed by</w:t></w:r>
</w:p>
<w:p>
<w:pPr><w:pStyle w:val="Normal"/></w:pPr>
<w:r><w:t xml:space="preserve">scarcely any of the Puritan Nonconformists.  Many who have</w:t></w:r>
</w:p>
<w:p>
<w:pPr><w:pStyle w:val="Normal"/></w:pPr>
<w:r><w:t xml:space="preserve">no love for Puritan doctrine, nor sympathy with Puritan</w:t></w:r>
</w:p>
<w:p>
<w:pPr><w:pStyle w:val="Normal"/></w:pPr>
<w:r><w:t xml:space="preserve">experience, have appreciated the pathos and beauty of his</w:t></w:r>
</w:p>
<w:p>
<w:pPr><w:pStyle w:val="Normal"/></w:pPr>
<w:r><w:t xml:space="preserve">writings, and his Looking to Jesus long held its own in</w:t></w:r>
</w:p>
<w:p>
<w:pPr><w:pStyle w:val="Normal"/></w:pPr>
<w:r><w:t xml:space="preserve">popular appreciation with the writings of John Bunyan.</w:t></w:r>
</w:p>
<w:p>
<w:pPr><w:pStyle w:val="Normal"/></w:pPr>
<w:r><w:t xml:space="preserve">AMBROSE THE CAMALDULIAN, the common name of AMBROGIO</w:t></w:r>
</w:p>
<w:p>
<w:pPr><w:pStyle w:val="Normal"/></w:pPr>
<w:r><w:t xml:space="preserve">TRAVERSARI (1386-1439), French ecclesiastic, born near</w:t></w:r>
</w:p>
<w:p>
<w:pPr><w:pStyle w:val="Normal"/></w:pPr>
<w:r><w:t xml:space="preserve">Florence at the village of Portico.  At the age of fourteen</w:t></w:r>
</w:p>
<w:p>
<w:pPr><w:pStyle w:val="Normal"/></w:pPr>
<w:r><w:t xml:space="preserve">he entered the Camaldulian Order in the monastery of Sta Maria</w:t></w:r>
</w:p>
<w:p>
<w:pPr><w:pStyle w:val="Normal"/></w:pPr>
<w:r><w:t xml:space="preserve">degli Angeli, and rapidly became a leading theologian and</w:t></w:r>
</w:p>
<w:p>
<w:pPr><w:pStyle w:val="Normal"/></w:pPr>
<w:r><w:t xml:space="preserve">Hellenist.  In Greek literature his master was Emmanuel</w:t></w:r>
</w:p>
<w:p>
<w:pPr><w:pStyle w:val="Normal"/></w:pPr>
<w:r><w:t xml:space="preserve">Chrysoloras.  He became general of the order in 1431, and</w:t></w:r>
</w:p>
<w:p>
<w:pPr><w:pStyle w:val="Normal"/></w:pPr>
<w:r><w:t xml:space="preserve">was a leading advocate of the papacy.  This attitude he</w:t></w:r>
</w:p>
<w:p>
<w:pPr><w:pStyle w:val="Normal"/></w:pPr>
<w:r><w:t xml:space="preserve">showed clearly when he attended the council of Basel as</w:t></w:r>
</w:p>
<w:p>
<w:pPr><w:pStyle w:val="Normal"/></w:pPr>
<w:r><w:t xml:space="preserve">legate of Eugenius IV. So strong was his hostility to</w:t></w:r>
</w:p>
<w:p>
<w:pPr><w:pStyle w:val="Normal"/></w:pPr>
<w:r><w:t xml:space="preserve">some of the delegates that he described Basel as a western</w:t></w:r>
</w:p>
<w:p>
<w:pPr><w:pStyle w:val="Normal"/></w:pPr>
<w:r><w:t xml:space="preserve">Babylon.  He likewise supported the pope at Ferrara and</w:t></w:r>
</w:p>
<w:p>
<w:pPr><w:pStyle w:val="Normal"/></w:pPr>
<w:r><w:t xml:space="preserve">Florence, and worked hard in the attempt to reconcile</w:t></w:r>
</w:p>
<w:p>
<w:pPr><w:pStyle w:val="Normal"/></w:pPr>
<w:r><w:t xml:space="preserve">the Eastern and Western Churches. Though this cause was</w:t></w:r>
</w:p>
<w:p>
<w:pPr><w:pStyle w:val="Normal"/></w:pPr>
<w:r><w:t xml:space="preserve">unsuccessful, Ambrose is interesting as typical of the new</w:t></w:r>
</w:p>
<w:p>
<w:pPr><w:pStyle w:val="Normal"/></w:pPr>
<w:r><w:t xml:space="preserve">humanism which was growing up within the church.  Voigt says</w:t></w:r>
</w:p>
<w:p>
<w:pPr><w:pStyle w:val="Normal"/></w:pPr>
<w:r><w:t xml:space="preserve">that he was the first monk in Florence in whom the love of</w:t></w:r>
</w:p>
<w:p>
<w:pPr><w:pStyle w:val="Normal"/></w:pPr>
<w:r><w:t xml:space="preserve">letters and art became predominant over his ecclesiastical</w:t></w:r>
</w:p>
<w:p>
<w:pPr><w:pStyle w:val="Normal"/></w:pPr>
<w:r><w:t xml:space="preserve">views.  Thus while among his own colleagues he seemed merely</w:t></w:r>
</w:p>
<w:p>
<w:pPr><w:pStyle w:val="Normal"/></w:pPr>
<w:r><w:t xml:space="preserve">a hypocritical and arrogant priest, in his relations with his</w:t></w:r>
</w:p>
<w:p>
<w:pPr><w:pStyle w:val="Normal"/></w:pPr>
<w:r><w:t xml:space="preserve">brother humanists, such as Cosimo de Medici, he appeared as</w:t></w:r>
</w:p>
<w:p>
<w:pPr><w:pStyle w:val="Normal"/></w:pPr>
<w:r><w:t xml:space="preserve">the student of classical antiquities and especially of Greek</w:t></w:r>
</w:p>
<w:p>
<w:pPr><w:pStyle w:val="Normal"/></w:pPr>
<w:r><w:t xml:space="preserve">theological authors.  His chief works are: -- Hodoeporicon,</w:t></w:r>
</w:p>
<w:p>
<w:pPr><w:pStyle w:val="Normal"/></w:pPr>
<w:r><w:t xml:space="preserve">an account of a journey taken by the pope&apos;s command, during</w:t></w:r>
</w:p>
<w:p>
<w:pPr><w:pStyle w:val="Normal"/></w:pPr>
<w:r><w:t xml:space="preserve">which he visited the monasteries of Italy; a translation of</w:t></w:r>
</w:p>
<w:p>
<w:pPr><w:pStyle w:val="Normal"/></w:pPr>
<w:r><w:t xml:space="preserve">Palladius&apos; Life of Chrysostom; of Nineteen Sermons</w:t></w:r>
</w:p>
<w:p>
<w:pPr><w:pStyle w:val="Normal"/></w:pPr>
<w:r><w:t xml:space="preserve">of Ephraem Syrus; of the Book of St Basil on</w:t></w:r>
</w:p>
<w:p>
<w:pPr><w:pStyle w:val="Normal"/></w:pPr>
<w:r><w:t xml:space="preserve">Virginity.  A number of MSS. remain in the library of</w:t></w:r>
</w:p>
<w:p>
<w:pPr><w:pStyle w:val="Normal"/></w:pPr>
<w:r><w:t xml:space="preserve">St Mark at Venice.  He died on the 20th of October 1439.</w:t></w:r>
</w:p>
<w:p>
<w:pPr><w:pStyle w:val="Normal"/></w:pPr>
<w:r><w:t xml:space="preserve">See G. Voigt, Die Wiederbelebung des klass.  Altertums (2</w:t></w:r>
</w:p>
<w:p>
<w:pPr><w:pStyle w:val="Normal"/></w:pPr>
<w:r><w:t xml:space="preserve">vols., 3rd ed., 1893); his Epistolae were published by</w:t></w:r>
</w:p>
<w:p>
<w:pPr><w:pStyle w:val="Normal"/></w:pPr>
<w:r><w:t xml:space="preserve">Cannato (Florence, 1759 with a life by Menus; Bollandist</w:t></w:r>
</w:p>
<w:p>
<w:pPr><w:pStyle w:val="Normal"/></w:pPr>
<w:r><w:t xml:space="preserve">Bibl. hag. lat. (1898), 65; A. Masius, Uber die Stellung</w:t></w:r>
</w:p>
<w:p>
<w:pPr><w:pStyle w:val="Normal"/></w:pPr>
<w:r><w:t xml:space="preserve">des Kamaldulensers Amborgio Traversari zum Papst Eugen</w:t></w:r>
</w:p>
<w:p>
<w:pPr><w:pStyle w:val="Heading1"/></w:pPr>
<w:r><w:t>IV. und zum Basler Konzil (Dobeln, 1888); Savigny,</w:t></w:r>
</w:p>
<w:p>
<w:pPr><w:pStyle w:val="Normal"/></w:pPr>
<w:r><w:t xml:space="preserve">Geschichte rom.  Rechts, Mittel. (1850), vi. 422-424.</w:t></w:r>
</w:p>
<w:p>
<w:pPr><w:pStyle w:val="Normal"/></w:pPr>
<w:r><w:t xml:space="preserve">AMBROSIA, in ancient mythology, sometimes the food,</w:t></w:r>
</w:p>
<w:p>
<w:pPr><w:pStyle w:val="Normal"/></w:pPr>
<w:r><w:t xml:space="preserve">sometimes the drink of the gods.  The word has generally been</w:t></w:r>
</w:p>
<w:p>
<w:pPr><w:pStyle w:val="Normal"/></w:pPr>
<w:r><w:t xml:space="preserve">derived from Gr. a, not, and mbrotos, mortal; hence the</w:t></w:r>
</w:p>
<w:p>
<w:pPr><w:pStyle w:val="Normal"/></w:pPr>
<w:r><w:t xml:space="preserve">food or drink of the immortals.  A. W. Verrall, however,</w:t></w:r>
</w:p>
<w:p>
<w:pPr><w:pStyle w:val="Normal"/></w:pPr>
<w:r><w:t xml:space="preserve">denies that there is any clear example in which the word</w:t></w:r>
</w:p>
<w:p>
<w:pPr><w:pStyle w:val="Normal"/></w:pPr>
<w:r><w:t xml:space="preserve">ambrosios necessarily means ``immortal,&apos;&apos; and prefers</w:t></w:r>
</w:p>
<w:p>
<w:pPr><w:pStyle w:val="Normal"/></w:pPr>
<w:r><w:t xml:space="preserve">to explain it as ``fragrant,&apos;&apos; a sense which is always</w:t></w:r>
</w:p>
<w:p>
<w:pPr><w:pStyle w:val="Normal"/></w:pPr>
<w:r><w:t xml:space="preserve">suitable; cf.  W. Leaf, Iliad (2nd ed.), on the phrase</w:t></w:r>
</w:p>
<w:p>
<w:pPr><w:pStyle w:val="Normal"/></w:pPr>
<w:r><w:t xml:space="preserve">ambrosios upuos (ii. 18). If so, the word may be derived</w:t></w:r>
</w:p>
<w:p>
<w:pPr><w:pStyle w:val="Normal"/></w:pPr>
<w:r><w:t xml:space="preserve">from the Semitic ambar (ambergris) to which Eastern nations</w:t></w:r>
</w:p>
<w:p>
<w:pPr><w:pStyle w:val="Normal"/></w:pPr>
<w:r><w:t xml:space="preserve">attribute miraculous properties. W. H. Roscher thinks that both</w:t></w:r>
</w:p>
<w:p>
<w:pPr><w:pStyle w:val="Normal"/></w:pPr>
<w:r><w:t xml:space="preserve">nectar and ambrosia were kinds of honey, in which case their</w:t></w:r>
</w:p>
<w:p>
<w:pPr><w:pStyle w:val="Normal"/></w:pPr>
<w:r><w:t xml:space="preserve">power of conferring immortality would be due to the supposed</w:t></w:r>
</w:p>
<w:p>
<w:pPr><w:pStyle w:val="Normal"/></w:pPr>
<w:r><w:t xml:space="preserve">healing and cleansing power of honey (see further NECTAR).</w:t></w:r>
</w:p>
<w:p>
<w:pPr><w:pStyle w:val="Normal"/></w:pPr>
<w:r><w:t xml:space="preserve">Derivatively the word Ambrosia (neut. plur.) was given to</w:t></w:r>
</w:p>
<w:p>
<w:pPr><w:pStyle w:val="Normal"/></w:pPr>
<w:r><w:t xml:space="preserve">certain festivals in honour of Dionysus, probably because</w:t></w:r>
</w:p>
<w:p>
<w:pPr><w:pStyle w:val="Normal"/></w:pPr>
<w:r><w:t xml:space="preserve">of the predominance of feasting in connexion with them.</w:t></w:r>
</w:p>
<w:p>
<w:pPr><w:pStyle w:val="Normal"/></w:pPr>
<w:r><w:t xml:space="preserve">The name Ambrosia was also applied by Dioscorides and Pliny</w:t></w:r>
</w:p>
<w:p>
<w:pPr><w:pStyle w:val="Normal"/></w:pPr>
<w:r><w:t xml:space="preserve">to certain herbs, and has been retained in modern botany</w:t></w:r>
</w:p>
<w:p>
<w:pPr><w:pStyle w:val="Normal"/></w:pPr>
<w:r><w:t xml:space="preserve">for a genus of plants from which it has been extended to</w:t></w:r>
</w:p>
<w:p>
<w:pPr><w:pStyle w:val="Normal"/></w:pPr>
<w:r><w:t xml:space="preserve">the group of dicotyledons called Ambrosiaceae, including</w:t></w:r>
</w:p>
<w:p>
<w:pPr><w:pStyle w:val="Normal"/></w:pPr>
<w:r><w:t xml:space="preserve">Ambrosia, Xanthium and Iva, all annual herbaceous</w:t></w:r>
</w:p>
<w:p>
<w:pPr><w:pStyle w:val="Normal"/></w:pPr>
<w:r><w:t xml:space="preserve">plants represented in America. Ambrosia maritima and</w:t></w:r>
</w:p>
<w:p>
<w:pPr><w:pStyle w:val="Normal"/></w:pPr>
<w:r><w:t xml:space="preserve">some other species occur also in the Mediterranean region.</w:t></w:r>
</w:p>
<w:p>
<w:pPr><w:pStyle w:val="Normal"/></w:pPr>
<w:r><w:t xml:space="preserve">There is also an American beetle, the Ambrosia beetle,</w:t></w:r>
</w:p>
<w:p>
<w:pPr><w:pStyle w:val="Normal"/></w:pPr>
<w:r><w:t xml:space="preserve">belonging to the family of Scolytidae, which derives its name</w:t></w:r>
</w:p>
<w:p>
<w:pPr><w:pStyle w:val="Normal"/></w:pPr>
<w:r><w:t xml:space="preserve">from its curious cultivation of a succulent fungus, called</w:t></w:r>
</w:p>
<w:p>
<w:pPr><w:pStyle w:val="Normal"/></w:pPr>
<w:r><w:t xml:space="preserve">ambrosia. Ambrosia beetles bore deep though minute galleries</w:t></w:r>
</w:p>
<w:p>
<w:pPr><w:pStyle w:val="Normal"/></w:pPr>
<w:r><w:t xml:space="preserve">into trees and timber, and the wood-dust provides a bed for the</w:t></w:r>
</w:p>
<w:p>
<w:pPr><w:pStyle w:val="Normal"/></w:pPr>
<w:r><w:t xml:space="preserve">growth of the fungus, on which the insects and larvae feed.</w:t></w:r>
</w:p>
<w:p>
<w:pPr><w:pStyle w:val="Normal"/></w:pPr>
<w:r><w:t xml:space="preserve">AMBROSIANS, the name given to several religious brotherhoods</w:t></w:r>
</w:p>
<w:p>
<w:pPr><w:pStyle w:val="Normal"/></w:pPr>
<w:r><w:t xml:space="preserve">which at various times since the 14th century have sprung</w:t></w:r>
</w:p>
<w:p>
<w:pPr><w:pStyle w:val="Normal"/></w:pPr>
<w:r><w:t xml:space="preserve">up in and around Milan; they have about as much connexion</w:t></w:r>
</w:p>
<w:p>
<w:pPr><w:pStyle w:val="Normal"/></w:pPr>
<w:r><w:t xml:space="preserve">with St Ambrose as the ``Jeromites&apos;&apos; who were found chiefly</w:t></w:r>
</w:p>
<w:p>
<w:pPr><w:pStyle w:val="Normal"/></w:pPr>
<w:r><w:t xml:space="preserve">in upper Italy and Spain have with their patron saint.  Only</w:t></w:r>
</w:p>
<w:p>
<w:pPr><w:pStyle w:val="Normal"/></w:pPr>
<w:r><w:t xml:space="preserve">the oldest of them, the Pratres S. Ambrosii ad Nemus, had</w:t></w:r>
</w:p>
<w:p>
<w:pPr><w:pStyle w:val="Normal"/></w:pPr>
<w:r><w:t xml:space="preserve">anything more than a very local significance.  This order</w:t></w:r>
</w:p>
<w:p>
<w:pPr><w:pStyle w:val="Normal"/></w:pPr>
<w:r><w:t xml:space="preserve">is known from a bull of Gregory XI. addressed to the monks</w:t></w:r>
</w:p>
<w:p>
<w:pPr><w:pStyle w:val="Normal"/></w:pPr>
<w:r><w:t xml:space="preserve">of the church of St Ambrose outside Milan.  These monks, it</w:t></w:r>
</w:p>
<w:p>
<w:pPr><w:pStyle w:val="Normal"/></w:pPr>
<w:r><w:t xml:space="preserve">would appear, though under the authority of a prior, had no</w:t></w:r>
</w:p>
<w:p>
<w:pPr><w:pStyle w:val="Normal"/></w:pPr>
<w:r><w:t xml:space="preserve">rule.  In response to the request of the archbishop, the</w:t></w:r>
</w:p>
<w:p>
<w:pPr><w:pStyle w:val="Normal"/></w:pPr>
<w:r><w:t xml:space="preserve">pope had commanded them to follow the rule of Augustine and</w:t></w:r>
</w:p>
<w:p>
<w:pPr><w:pStyle w:val="Normal"/></w:pPr>
<w:r><w:t xml:space="preserve">to be known by the above name.  They were further to recite</w:t></w:r>
</w:p>
<w:p>
<w:pPr><w:pStyle w:val="Normal"/></w:pPr>
<w:r><w:t xml:space="preserve">the Ambrosian office. Subsequently the order had a number of</w:t></w:r>
</w:p>
<w:p>
<w:pPr><w:pStyle w:val="Normal"/></w:pPr>
<w:r><w:t xml:space="preserve">independent establishments in Italy which were united into</w:t></w:r>
</w:p>
<w:p>
<w:pPr><w:pStyle w:val="Normal"/></w:pPr>
<w:r><w:t xml:space="preserve">one congregation by Eugenius IV., their headquarters being at</w:t></w:r>
</w:p>
<w:p>
<w:pPr><w:pStyle w:val="Normal"/></w:pPr>
<w:r><w:t xml:space="preserve">Milan.  Their discipline afterwards became so slack that an</w:t></w:r>
</w:p>
<w:p>
<w:pPr><w:pStyle w:val="Normal"/></w:pPr>
<w:r><w:t xml:space="preserve">appeal was made to Cardinal Borromeo asking him to reform their</w:t></w:r>
</w:p>
<w:p>
<w:pPr><w:pStyle w:val="Normal"/></w:pPr>
<w:r><w:t xml:space="preserve">houses.  By Sixtus V. the order was amalgamated with the</w:t></w:r>
</w:p>
<w:p>
<w:pPr><w:pStyle w:val="Normal"/></w:pPr>
<w:r><w:t xml:space="preserve">congregation of St Barnabas, but Innocent X. dissolved it in 1650.</w:t></w:r>
</w:p>
<w:p>
<w:pPr><w:pStyle w:val="Normal"/></w:pPr>
<w:r><w:t xml:space="preserve">The name Ambrosians is also given to a 16th-century Anabaptist</w:t></w:r>
</w:p>
<w:p>
<w:pPr><w:pStyle w:val="Normal"/></w:pPr>
<w:r><w:t xml:space="preserve">sect, which laid claim to immediate communication with God</w:t></w:r>
</w:p>
<w:p>
<w:pPr><w:pStyle w:val="Normal"/></w:pPr>
<w:r><w:t xml:space="preserve">through the Holy Ghost.  Basing their theology upon the</w:t></w:r>
</w:p>
<w:p>
<w:pPr><w:pStyle w:val="Normal"/></w:pPr>
<w:r><w:t xml:space="preserve">words of the Gospel of St John i. 9 -- ``There was the true</w:t></w:r>
</w:p>
<w:p>
<w:pPr><w:pStyle w:val="Normal"/></w:pPr>
<w:r><w:t xml:space="preserve">light which lighteth every man, coming into the world&apos;&apos; --</w:t></w:r>
</w:p>
<w:p>
<w:pPr><w:pStyle w:val="Normal"/></w:pPr>
<w:r><w:t xml:space="preserve">they denied the necessity of any priests or ministers to</w:t></w:r>
</w:p>
<w:p>
<w:pPr><w:pStyle w:val="Normal"/></w:pPr>
<w:r><w:t xml:space="preserve">interpret the Bible. Their leader Ambrose went so far as</w:t></w:r>
</w:p>
<w:p>
<w:pPr><w:pStyle w:val="Normal"/></w:pPr>
<w:r><w:t xml:space="preserve">to hold further that the revelation which was vouchsafed</w:t></w:r>
</w:p>
<w:p>
<w:pPr><w:pStyle w:val="Normal"/></w:pPr>
<w:r><w:t xml:space="preserve">to him was a higher authority than the Scriptures.  The</w:t></w:r>
</w:p>
<w:p>
<w:pPr><w:pStyle w:val="Normal"/></w:pPr>
<w:r><w:t xml:space="preserve">doctrine of the Ambrosians, who belonged probably to that</w:t></w:r>
</w:p>
<w:p>
<w:pPr><w:pStyle w:val="Normal"/></w:pPr>
<w:r><w:t xml:space="preserve">section of the Anabaptists known as Pneumatici, may be</w:t></w:r>
</w:p>
<w:p>
<w:pPr><w:pStyle w:val="Normal"/></w:pPr>
<w:r><w:t xml:space="preserve">compared with the ``Inner Light&apos;&apos; doctrine of the Quakers.</w:t></w:r>
</w:p>
<w:p>
<w:pPr><w:pStyle w:val="Normal"/></w:pPr>
<w:r><w:t xml:space="preserve">See Herzog-Hauck&apos;s Realencyklopadie, i. 439.</w:t></w:r>
</w:p>
<w:p>
<w:pPr><w:pStyle w:val="Normal"/></w:pPr>
<w:r><w:t xml:space="preserve">AMBROSIASTER.  A commentary on St Paul&apos;s epistles, ``brief</w:t></w:r>
</w:p>
<w:p>
<w:pPr><w:pStyle w:val="Normal"/></w:pPr>
<w:r><w:t xml:space="preserve">in words but weighty in matter,&apos;&apos; and valuable for the</w:t></w:r>
</w:p>
<w:p>
<w:pPr><w:pStyle w:val="Normal"/></w:pPr>
<w:r><w:t xml:space="preserve">criticism of the Latin text of the New Testament, was long</w:t></w:r>
</w:p>
<w:p>
<w:pPr><w:pStyle w:val="Normal"/></w:pPr>
<w:r><w:t xml:space="preserve">attributed to St Ambrose.  Erasmus in 1527 threw doubt on</w:t></w:r>
</w:p>
<w:p>
<w:pPr><w:pStyle w:val="Normal"/></w:pPr>
<w:r><w:t xml:space="preserve">the accuracy of this ascription, and the author is usually</w:t></w:r>
</w:p>
<w:p>
<w:pPr><w:pStyle w:val="Normal"/></w:pPr>
<w:r><w:t xml:space="preserve">spoken of as Ambrosiaster or pseudo-Ambrose.  Owing to the</w:t></w:r>
</w:p>
<w:p>
<w:pPr><w:pStyle w:val="Normal"/></w:pPr>
<w:r><w:t xml:space="preserve">fact that Augustine cites part of the commentary on Romans</w:t></w:r>
</w:p>
<w:p>
<w:pPr><w:pStyle w:val="Normal"/></w:pPr>
<w:r><w:t xml:space="preserve">as by ``Sanctus Hilarius&apos;&apos; it has been ascribed by various</w:t></w:r>
</w:p>
<w:p>
<w:pPr><w:pStyle w:val="Normal"/></w:pPr>
<w:r><w:t xml:space="preserve">critics at different times to almost every known Hilary.  Dom</w:t></w:r>
</w:p>
<w:p>
<w:pPr><w:pStyle w:val="Normal"/></w:pPr>
<w:r><w:t xml:space="preserve">G. Morin (Rev. d&apos;hist. et de litt. religiouses, tom. iv. 97</w:t></w:r>
</w:p>
<w:p>
<w:pPr><w:pStyle w:val="Normal"/></w:pPr>
<w:r><w:t xml:space="preserve">f.) broke new ground by suggesting in 1899 that the writer was</w:t></w:r>
</w:p>
<w:p>
<w:pPr><w:pStyle w:val="Normal"/></w:pPr>
<w:r><w:t xml:space="preserve">Isaac, a converted Jew, writer of a tract on the Trinity and</w:t></w:r>
</w:p>
<w:p>
<w:pPr><w:pStyle w:val="Normal"/></w:pPr>
<w:r><w:t xml:space="preserve">Incarnation, who was exiled to Spain in 378-380 and then</w:t></w:r>
</w:p>
<w:p>
<w:pPr><w:pStyle w:val="Normal"/></w:pPr>
<w:r><w:t xml:space="preserve">relapsed to Judaism, but he afterwards abandoned this theory</w:t></w:r>
</w:p>
<w:p>
<w:pPr><w:pStyle w:val="Normal"/></w:pPr>
<w:r><w:t xml:space="preserve">of the authorship in favour of Decimus Hilarianus Hilarius,</w:t></w:r>
</w:p>
<w:p>
<w:pPr><w:pStyle w:val="Normal"/></w:pPr>
<w:r><w:t xml:space="preserve">proconsul of Africa in 377. With this attribution Professor</w:t></w:r>
</w:p>
<w:p>
<w:pPr><w:pStyle w:val="Normal"/></w:pPr>
<w:r><w:t xml:space="preserve">Alex.  Souter, in his Study of Ambrosiaster  (Cambridge</w:t></w:r>
</w:p>
<w:p>
<w:pPr><w:pStyle w:val="Normal"/></w:pPr>
<w:r><w:t xml:space="preserve">Univ.  Press, 1905), agrees.  There is scarcely anything</w:t></w:r>
</w:p>
<w:p>
<w:pPr><w:pStyle w:val="Normal"/></w:pPr>
<w:r><w:t xml:space="preserve">to be said for the possibility of Ambrose having written</w:t></w:r>
</w:p>
<w:p>
<w:pPr><w:pStyle w:val="Normal"/></w:pPr>
<w:r><w:t xml:space="preserve">the book before he became a bishop, and added to it in later</w:t></w:r>
</w:p>
<w:p>
<w:pPr><w:pStyle w:val="Normal"/></w:pPr>
<w:r><w:t xml:space="preserve">years, incorporating remarks of Hilary of Poitiers on Romans.</w:t></w:r>
</w:p>
<w:p>
<w:pPr><w:pStyle w:val="Normal"/></w:pPr>
<w:r><w:t xml:space="preserve">The best presentation of the case for Ambrose is by P. A.</w:t></w:r>
</w:p>
<w:p>
<w:pPr><w:pStyle w:val="Normal"/></w:pPr>
<w:r><w:t xml:space="preserve">Ballerini in his complete edition of that father&apos;s works.</w:t></w:r>
</w:p>
<w:p>
<w:pPr><w:pStyle w:val="Normal"/></w:pPr>
<w:r><w:t xml:space="preserve">In the book cited above Professor Souter also discusses the</w:t></w:r>
</w:p>
<w:p>
<w:pPr><w:pStyle w:val="Normal"/></w:pPr>
<w:r><w:t xml:space="preserve">authorship of the Quaestiones Veteris et Novi Testamenti, which</w:t></w:r>
</w:p>
<w:p>
<w:pPr><w:pStyle w:val="Normal"/></w:pPr>
<w:r><w:t xml:space="preserve">the MSS. ascribe to Augustine.  He concludes, on very thorough</w:t></w:r>
</w:p>
<w:p>
<w:pPr><w:pStyle w:val="Normal"/></w:pPr>
<w:r><w:t xml:space="preserve">philological and other grounds, that this is with one possible</w:t></w:r>
</w:p>
<w:p>
<w:pPr><w:pStyle w:val="Normal"/></w:pPr>
<w:r><w:t xml:space="preserve">slight exception the work of the same ``Ambrosiaster.&apos;&apos; The</w:t></w:r>
</w:p>
<w:p>
<w:pPr><w:pStyle w:val="Normal"/></w:pPr>
<w:r><w:t xml:space="preserve">same conclusion had been arrived at previously by Dom Morin.</w:t></w:r>
</w:p>
<w:p>
<w:pPr><w:pStyle w:val="Normal"/></w:pPr>
<w:r><w:t xml:space="preserve">AMBROSINI, BARTOLOMEO (1588-1657), Italian naturalist,</w:t></w:r>
</w:p>
<w:p>
<w:pPr><w:pStyle w:val="Normal"/></w:pPr>
<w:r><w:t xml:space="preserve">was born and died at Bologna.  He was a pupil of Aldrovandi,</w:t></w:r>
</w:p>
<w:p>
<w:pPr><w:pStyle w:val="Normal"/></w:pPr>
<w:r><w:t xml:space="preserve">several of whose works he published, and whom he succeeded</w:t></w:r>
</w:p>
<w:p>
<w:pPr><w:pStyle w:val="Normal"/></w:pPr>
<w:r><w:t xml:space="preserve">eventually as director of the university botanical garden.</w:t></w:r>
</w:p>
<w:p>
<w:pPr><w:pStyle w:val="Normal"/></w:pPr>
<w:r><w:t xml:space="preserve">He studied at the university, and became successively</w:t></w:r>
</w:p>
<w:p>
<w:pPr><w:pStyle w:val="Normal"/></w:pPr>
<w:r><w:t xml:space="preserve">professor of philosophy, of botany and of medicine; and</w:t></w:r>
</w:p>
<w:p>
<w:pPr><w:pStyle w:val="Normal"/></w:pPr>
<w:r><w:t xml:space="preserve">during the plague of 1630 in Bologna he worked assiduously</w:t></w:r>
</w:p>
<w:p>
<w:pPr><w:pStyle w:val="Normal"/></w:pPr>
<w:r><w:t xml:space="preserve">for the relief of the sufferers.  He was the author of</w:t></w:r>
</w:p>
<w:p>
<w:pPr><w:pStyle w:val="Normal"/></w:pPr>
<w:r><w:t xml:space="preserve">several medical works of some importance in their day.</w:t></w:r>
</w:p>
<w:p>
<w:pPr><w:pStyle w:val="Normal"/></w:pPr>
<w:r><w:t xml:space="preserve">His brother, GIACINTO AMBROSINI (1605-1672), was a distinguished</w:t></w:r>
</w:p>
<w:p>
<w:pPr><w:pStyle w:val="Normal"/></w:pPr>
<w:r><w:t xml:space="preserve">botanist, who succeeded Bartolomeo as professor of botany</w:t></w:r>
</w:p>
<w:p>
<w:pPr><w:pStyle w:val="Normal"/></w:pPr>
<w:r><w:t xml:space="preserve">and director of the university garden in 1657.  He published</w:t></w:r>
</w:p>
<w:p>
<w:pPr><w:pStyle w:val="Normal"/></w:pPr>
<w:r><w:t xml:space="preserve">a catalogue of its plants and also a botanical dictionary.</w:t></w:r>
</w:p>
<w:p>
<w:pPr><w:pStyle w:val="Normal"/></w:pPr>
<w:r><w:t xml:space="preserve">AMBROSIUS AURELIANUS, leader of the Britons against the</w:t></w:r>
</w:p>
<w:p>
<w:pPr><w:pStyle w:val="Normal"/></w:pPr>
<w:r><w:t xml:space="preserve">Saxons in the 5th century, was, according to the legends</w:t></w:r>
</w:p>
<w:p>
<w:pPr><w:pStyle w:val="Normal"/></w:pPr>
<w:r><w:t xml:space="preserve">preserved in Gildas and the Historia Brittonum, of Roman</w:t></w:r>
</w:p>
<w:p>
<w:pPr><w:pStyle w:val="Normal"/></w:pPr>
<w:r><w:t xml:space="preserve">extraction.  There are signs of the existence of two parties in</w:t></w:r>
</w:p>
<w:p>
<w:pPr><w:pStyle w:val="Normal"/></w:pPr>
<w:r><w:t xml:space="preserve">the national opposition to the invaders, but as Pascent, son of</w:t></w:r>
</w:p>
<w:p>
<w:pPr><w:pStyle w:val="Normal"/></w:pPr>
<w:r><w:t xml:space="preserve">Vortigern, is said by Nennius to have held his dominions in the</w:t></w:r>
</w:p>
<w:p>
<w:pPr><w:pStyle w:val="Normal"/></w:pPr>
<w:r><w:t xml:space="preserve">west by leave of Ambrosius, the Roman element seems to have</w:t></w:r>
</w:p>
<w:p>
<w:pPr><w:pStyle w:val="Normal"/></w:pPr>
<w:r><w:t xml:space="preserve">triumphed.  Some measure of success appears to have attended the</w:t></w:r>
</w:p>
<w:p>
<w:pPr><w:pStyle w:val="Normal"/></w:pPr>
<w:r><w:t xml:space="preserve">efforts of Ambrosius, and it has been suggested that Amesbury in</w:t></w:r>
</w:p>
<w:p>
<w:pPr><w:pStyle w:val="Normal"/></w:pPr>
<w:r><w:t xml:space="preserve">Wiltshire is connected with Emrys, the Celtic form of his name.</w:t></w:r>
</w:p>
<w:p>
<w:pPr><w:pStyle w:val="Normal"/></w:pPr>
<w:r><w:t xml:space="preserve">See Bede, Eccl.  Hist. (Plummer), i. 16; Nennius, Hist.</w:t></w:r>
</w:p>
<w:p>
<w:pPr><w:pStyle w:val="Normal"/></w:pPr>
<w:r><w:t xml:space="preserve">Britt. sec.  31; Gildas, De excidio Brittarum, sec.  25;</w:t></w:r>
</w:p>
<w:p>
<w:pPr><w:pStyle w:val="Normal"/></w:pPr>
<w:r><w:t xml:space="preserve">J. Rhys, Celtic Britain (1884), pp. 104, 105, 107.</w:t></w:r>
</w:p>
<w:p>
<w:pPr><w:pStyle w:val="Normal"/></w:pPr>
<w:r><w:t xml:space="preserve">AMBULANCE (from the Fr. ambulance, formerly hopital</w:t></w:r>
</w:p>
<w:p>
<w:pPr><w:pStyle w:val="Normal"/></w:pPr>
<w:r><w:t xml:space="preserve">ambulant, derived from the Lat. ambulare, to move about),</w:t></w:r>
</w:p>
<w:p>
<w:pPr><w:pStyle w:val="Normal"/></w:pPr>
<w:r><w:t xml:space="preserve">a term generally applied in England and America to the wagon</w:t></w:r>
</w:p>
<w:p>
<w:pPr><w:pStyle w:val="Normal"/></w:pPr>
<w:r><w:t xml:space="preserve">or other vehicle in which the wounded in battle, or those</w:t></w:r>
</w:p>
<w:p>
<w:pPr><w:pStyle w:val="Normal"/></w:pPr>
<w:r><w:t xml:space="preserve">who have sustained injuries in civil life, are conveyed to</w:t></w:r>
</w:p>
<w:p>
<w:pPr><w:pStyle w:val="Normal"/></w:pPr>
<w:r><w:t xml:space="preserve">hospital.  More strictly, in military parlance, the term</w:t></w:r>
</w:p>
<w:p>
<w:pPr><w:pStyle w:val="Normal"/></w:pPr>
<w:r><w:t xml:space="preserve">imports a hospital establishment moving with an army in the</w:t></w:r>
</w:p>
<w:p>
<w:pPr><w:pStyle w:val="Normal"/></w:pPr>
<w:r><w:t xml:space="preserve">field, to provide for the collection, treatment and care of</w:t></w:r>
</w:p>
<w:p>
<w:pPr><w:pStyle w:val="Normal"/></w:pPr>
<w:r><w:t xml:space="preserve">the wounded on the battlefield, and of the sick, until they</w:t></w:r>
</w:p>
<w:p>
<w:pPr><w:pStyle w:val="Normal"/></w:pPr>
<w:r><w:t xml:space="preserve">can be removed to hospitals of a more stationary character.</w:t></w:r>
</w:p>
<w:p>
<w:pPr><w:pStyle w:val="Normal"/></w:pPr>
<w:r><w:t xml:space="preserve">In 1905-1906 the term ``field ambulance&apos;&apos; was adopted in</w:t></w:r>
</w:p>
<w:p>
<w:pPr><w:pStyle w:val="Normal"/></w:pPr>
<w:r><w:t xml:space="preserve">the British service to denote this organization, the former</w:t></w:r>
</w:p>
<w:p>
<w:pPr><w:pStyle w:val="Normal"/></w:pPr>
<w:r><w:t xml:space="preserve">division of the ambulance service into ``bearer companies&apos;&apos;</w:t></w:r>
</w:p>
<w:p>
<w:pPr><w:pStyle w:val="Normal"/></w:pPr>
<w:r><w:t xml:space="preserve">and ``field hospitals&apos;&apos; being done away with. The description</w:t></w:r>
</w:p>
<w:p>
<w:pPr><w:pStyle w:val="Normal"/></w:pPr>
<w:r><w:t xml:space="preserve">of the British service given below applies generally to</w:t></w:r>
</w:p>
<w:p>
<w:pPr><w:pStyle w:val="Normal"/></w:pPr>
<w:r><w:t xml:space="preserve">the system in vogue in the army after the experience gained</w:t></w:r>
</w:p>
<w:p>
<w:pPr><w:pStyle w:val="Normal"/></w:pPr>
<w:r><w:t xml:space="preserve">in the South African War of 1899-1902; but in recent years</w:t></w:r>
</w:p>
<w:p>
<w:pPr><w:pStyle w:val="Normal"/></w:pPr>
<w:r><w:t xml:space="preserve">the medical arrangements in connexion with the British army</w:t></w:r>
</w:p>
<w:p>
<w:pPr><w:pStyle w:val="Normal"/></w:pPr>
<w:r><w:t xml:space="preserve">hospitals have been altered in various details, and the</w:t></w:r>
</w:p>
<w:p>
<w:pPr><w:pStyle w:val="Normal"/></w:pPr>
<w:r><w:t xml:space="preserve">changes in progress showed no sign of absolute finality.</w:t></w:r>
</w:p>
<w:p>
<w:pPr><w:pStyle w:val="Normal"/></w:pPr>
<w:r><w:t xml:space="preserve">Some of these, however, were rather of nomenclature than of</w:t></w:r>
</w:p>
<w:p>
<w:pPr><w:pStyle w:val="Normal"/></w:pPr>
<w:r><w:t xml:space="preserve">substance, and hardly affect the principles as described below.</w:t></w:r>
</w:p>
<w:p>
<w:pPr><w:pStyle w:val="Normal"/></w:pPr>
<w:r><w:t xml:space="preserve">History.</w:t></w:r>
</w:p>
<w:p>
<w:pPr><w:pStyle w:val="Normal"/></w:pPr>
<w:r><w:t xml:space="preserve">The ambulance organization which, variously modified in</w:t></w:r>
</w:p>
<w:p>
<w:pPr><w:pStyle w:val="Normal"/></w:pPr>
<w:r><w:t xml:space="preserve">details, now prevails in all civilized armies, only dates</w:t></w:r>
</w:p>
<w:p>
<w:pPr><w:pStyle w:val="Normal"/></w:pPr>
<w:r><w:t xml:space="preserve">from the last decade of the 18th century.  Before that time</w:t></w:r>
</w:p>
<w:p>
<w:pPr><w:pStyle w:val="Normal"/></w:pPr>
<w:r><w:t xml:space="preserve">wounded soldiers were either carried to the rear by  comrades</w:t></w:r>
</w:p>
<w:p>
<w:pPr><w:pStyle w:val="Normal"/></w:pPr>
<w:r><w:t xml:space="preserve">or left unattended to and exposed until the fighting was</w:t></w:r>
</w:p>
<w:p>
<w:pPr><w:pStyle w:val="Normal"/></w:pPr>
<w:r><w:t xml:space="preserve">over.  Surgical assistance did not reach the battlefield till</w:t></w:r>
</w:p>
<w:p>
<w:pPr><w:pStyle w:val="Normal"/></w:pPr>
<w:r><w:t xml:space="preserve">the day after the engagement, or even later; and for many of</w:t></w:r>
</w:p>
<w:p>
<w:pPr><w:pStyle w:val="Normal"/></w:pPr>
<w:r><w:t xml:space="preserve">the wounded it was then too late.  In 1792 Baron Dominique</w:t></w:r>
</w:p>
<w:p>
<w:pPr><w:pStyle w:val="Normal"/></w:pPr>
<w:r><w:t xml:space="preserve">Jean Larrey (1766-1842) of the French army introduced his</w:t></w:r>
</w:p>
<w:p>
<w:pPr><w:pStyle w:val="Normal"/></w:pPr>
<w:r><w:t xml:space="preserve">system of ambulances volantes, or flying field hospitals,</w:t></w:r>
</w:p>
<w:p>
<w:pPr><w:pStyle w:val="Normal"/></w:pPr>
<w:r><w:t xml:space="preserve">capable of moving with speed from place to place, like</w:t></w:r>
</w:p>
<w:p>
<w:pPr><w:pStyle w:val="Normal"/></w:pPr>
<w:r><w:t xml:space="preserve">the ``flying artillery&apos;&apos; of that time.  They were adapted</w:t></w:r>
</w:p>
<w:p>
<w:pPr><w:pStyle w:val="Normal"/></w:pPr>
<w:r><w:t xml:space="preserve">both for giving the necessary primary surgical treatment</w:t></w:r>
</w:p>
<w:p>
<w:pPr><w:pStyle w:val="Normal"/></w:pPr>
<w:r><w:t xml:space="preserve">and for removing the wounded quickly from the sphere of</w:t></w:r>
</w:p>
<w:p>
<w:pPr><w:pStyle w:val="Normal"/></w:pPr>
<w:r><w:t xml:space="preserve">fighting.  Napoleon warmly supported Larrey in his efforts</w:t></w:r>
</w:p>
<w:p>
<w:pPr><w:pStyle w:val="Normal"/></w:pPr>
<w:r><w:t xml:space="preserve">in this direction, and the system was soon brought to a high</w:t></w:r>
</w:p>
<w:p>
<w:pPr><w:pStyle w:val="Normal"/></w:pPr>
<w:r><w:t xml:space="preserve">state of efficiency in the Grande Armee.  About the same</w:t></w:r>
</w:p>
<w:p>
<w:pPr><w:pStyle w:val="Normal"/></w:pPr>
<w:r><w:t xml:space="preserve">time another distinguished surgeon in the French army, Baron</w:t></w:r>
</w:p>
<w:p>
<w:pPr><w:pStyle w:val="Normal"/></w:pPr>
<w:r><w:t xml:space="preserve">Pierre Francois Percy (1754-1825), organized a corps of</w:t></w:r>
</w:p>
<w:p>
<w:pPr><w:pStyle w:val="Normal"/></w:pPr>
<w:r><w:t xml:space="preserve">brancardiers, or stretcher-bearers.  These were soldiers</w:t></w:r>
</w:p>
<w:p>
<w:pPr><w:pStyle w:val="Normal"/></w:pPr>
<w:r><w:t xml:space="preserve">trained and equipped for the duty of collecting the wounded</w:t></w:r>
</w:p>
<w:p>
<w:pPr><w:pStyle w:val="Normal"/></w:pPr>
<w:r><w:t xml:space="preserve">while a battle was in progress, and carrying them to a place of</w:t></w:r>
</w:p>
<w:p>
<w:pPr><w:pStyle w:val="Normal"/></w:pPr>
<w:r><w:t xml:space="preserve">safety, where their wounds and injuries could be attended to.</w:t></w:r>
</w:p>
<w:p>
<w:pPr><w:pStyle w:val="Normal"/></w:pPr>
<w:r><w:t xml:space="preserve">Geneva Convention.</w:t></w:r>
</w:p>
<w:p>
<w:pPr><w:pStyle w:val="Normal"/></w:pPr>
<w:r><w:t xml:space="preserve">Animportant step towards the amelioration of the condition</w:t></w:r>
</w:p>
<w:p>
<w:pPr><w:pStyle w:val="Normal"/></w:pPr>
<w:r><w:t xml:space="preserve">of the wounded of armies in the field was the European</w:t></w:r>
</w:p>
<w:p>
<w:pPr><w:pStyle w:val="Normal"/></w:pPr>
<w:r><w:t xml:space="preserve">Convention signed at Geneva in 1864, by the terms  of</w:t></w:r>
</w:p>
<w:p>
<w:pPr><w:pStyle w:val="Normal"/></w:pPr>
<w:r><w:t xml:space="preserve">which, subject to certain regulations, not only the</w:t></w:r>
</w:p>
<w:p>
<w:pPr><w:pStyle w:val="Normal"/></w:pPr>
<w:r><w:t xml:space="preserve">wounded themselves but also the official staff of ambulances</w:t></w:r>
</w:p>
<w:p>
<w:pPr><w:pStyle w:val="Normal"/></w:pPr>
<w:r><w:t xml:space="preserve">and their equipment were rendered neutral, the former,</w:t></w:r>
</w:p>
<w:p>
<w:pPr><w:pStyle w:val="Normal"/></w:pPr>
<w:r><w:t xml:space="preserve">therefore, not being liable to be retained as prisoners of</w:t></w:r>
</w:p>
<w:p>
<w:pPr><w:pStyle w:val="Normal"/></w:pPr>
<w:r><w:t xml:space="preserve">war, nor the latter to be taken as prize of war.  This</w:t></w:r>
</w:p>
<w:p>
<w:pPr><w:pStyle w:val="Normal"/></w:pPr>
<w:r><w:t xml:space="preserve">convention has greatly favoured the development of ambulance</w:t></w:r>
</w:p>
<w:p>
<w:pPr><w:pStyle w:val="Normal"/></w:pPr>
<w:r><w:t xml:space="preserve">establishments, but as all combatants have not the same</w:t></w:r>
</w:p>
<w:p>
<w:pPr><w:pStyle w:val="Normal"/></w:pPr>
<w:r><w:t xml:space="preserve">knowledge of the conditions of this convention, or do not</w:t></w:r>
</w:p>
<w:p>
<w:pPr><w:pStyle w:val="Normal"/></w:pPr>
<w:r><w:t xml:space="preserve">interpret them in the same way, charges of treachery and abuse</w:t></w:r>
</w:p>
<w:p>
<w:pPr><w:pStyle w:val="Normal"/></w:pPr>
<w:r><w:t xml:space="preserve">of the Red Cross flag are but too common in modern warfare.</w:t></w:r>
</w:p>
<w:p>
<w:pPr><w:pStyle w:val="Normal"/></w:pPr>
<w:r><w:t xml:space="preserve">The American Civil War marked the beginning of the modern</w:t></w:r>
</w:p>
<w:p>
<w:pPr><w:pStyle w:val="Normal"/></w:pPr>
<w:r><w:t xml:space="preserve">ambulance system.  The main feature, however, of the hospital</w:t></w:r>
</w:p>
<w:p>
<w:pPr><w:pStyle w:val="Normal"/></w:pPr>
<w:r><w:t xml:space="preserve">organization throughout that war was the railway hospital</w:t></w:r>
</w:p>
<w:p>
<w:pPr><w:pStyle w:val="Normal"/></w:pPr>
<w:r><w:t xml:space="preserve">service, which provided for the rapid conveyance of the sick</w:t></w:r>
</w:p>
<w:p>
<w:pPr><w:pStyle w:val="Normal"/></w:pPr>
<w:r><w:t xml:space="preserve">and wounded to the rear of the contending armies.  Hospital</w:t></w:r>
</w:p>
<w:p>
<w:pPr><w:pStyle w:val="Normal"/></w:pPr>
<w:r><w:t xml:space="preserve">carriages, equipped with medical stores and appliances,</w:t></w:r>
</w:p>
<w:p>
<w:pPr><w:pStyle w:val="Normal"/></w:pPr>
<w:r><w:t xml:space="preserve">for the transport of cases from the front to the base, were</w:t></w:r>
</w:p>
<w:p>
<w:pPr><w:pStyle w:val="Normal"/></w:pPr>
<w:r><w:t xml:space="preserve">rapidly introduced into other armies, and played a great</w:t></w:r>
</w:p>
<w:p>
<w:pPr><w:pStyle w:val="Heading1"/></w:pPr>
<w:r><w:t>part in the ambulance service of the Franco-German War.</w:t></w:r>
</w:p>
<w:p>
<w:pPr><w:pStyle w:val="Normal"/></w:pPr>
<w:r><w:t xml:space="preserve">German system.</w:t></w:r>
</w:p>
<w:p>
<w:pPr><w:pStyle w:val="Normal"/></w:pPr>
<w:r><w:t xml:space="preserve">The German hospital service as existing at the time of the</w:t></w:r>
</w:p>
<w:p>
<w:pPr><w:pStyle w:val="Normal"/></w:pPr>
<w:r><w:t xml:space="preserve">Franco-German War of 1870-71 was modified and extended by the</w:t></w:r>
</w:p>
<w:p>
<w:pPr><w:pStyle w:val="Normal"/></w:pPr>
<w:r><w:t xml:space="preserve">Kriegs Sanitats Ordnung of 1878 and the KriegsEtappen</w:t></w:r>
</w:p>
<w:p>
<w:pPr><w:pStyle w:val="Normal"/></w:pPr>
<w:r><w:t xml:space="preserve">Ordnung of 1887, which completed the organization  by the</w:t></w:r>
</w:p>
<w:p>
<w:pPr><w:pStyle w:val="Normal"/></w:pPr>
<w:r><w:t xml:space="preserve">addition in time of war of numerous  subordinate offices and</w:t></w:r>
</w:p>
<w:p>
<w:pPr><w:pStyle w:val="Normal"/></w:pPr>
<w:r><w:t xml:space="preserve">departments.  The main divisions of the ambulance organization</w:t></w:r>
</w:p>
<w:p>
<w:pPr><w:pStyle w:val="Normal"/></w:pPr>
<w:r><w:t xml:space="preserve">of the German army in the field fall into: (1) sanitary</w:t></w:r>
</w:p>
<w:p>
<w:pPr><w:pStyle w:val="Normal"/></w:pPr>
<w:r><w:t xml:space="preserve">detachments, (2) field hospitals, (3) flying hospitals,</w:t></w:r>
</w:p>
<w:p>
<w:pPr><w:pStyle w:val="Normal"/></w:pPr>
<w:r><w:t xml:space="preserve">(4) hospital reserve depots, (5) ``committees for the</w:t></w:r>
</w:p>
<w:p>
<w:pPr><w:pStyle w:val="Normal"/></w:pPr>
<w:r><w:t xml:space="preserve">transport of the sick,&apos;&apos; and (6) railway hospital trains.</w:t></w:r>
</w:p>
<w:p>
<w:pPr><w:pStyle w:val="Normal"/></w:pPr>
<w:r><w:t xml:space="preserve">The whole administration  of the ambulance service of the</w:t></w:r>
</w:p>
<w:p>
<w:pPr><w:pStyle w:val="Normal"/></w:pPr>
<w:r><w:t xml:space="preserve">grand army in the field is in the hands of the chief of the</w:t></w:r>
</w:p>
<w:p>
<w:pPr><w:pStyle w:val="Normal"/></w:pPr>
<w:r><w:t xml:space="preserve">ambulance sanitary staff, who is attached to headquarters.</w:t></w:r>
</w:p>
<w:p>
<w:pPr><w:pStyle w:val="Normal"/></w:pPr>
<w:r><w:t xml:space="preserve">Next in command come surgeons- general of armies in the</w:t></w:r>
</w:p>
<w:p>
<w:pPr><w:pStyle w:val="Normal"/></w:pPr>
<w:r><w:t xml:space="preserve">field, surgeons-general of army corps, and under them again</w:t></w:r>
</w:p>
<w:p>
<w:pPr><w:pStyle w:val="Normal"/></w:pPr>
<w:r><w:t xml:space="preserve">surgeons-in-chief of divisions and regiments. Civil consulting</w:t></w:r>
</w:p>
<w:p>
<w:pPr><w:pStyle w:val="Normal"/></w:pPr>
<w:r><w:t xml:space="preserve">surgeons of eminence, and professors from the universities,</w:t></w:r>
</w:p>
<w:p>
<w:pPr><w:pStyle w:val="Normal"/></w:pPr>
<w:r><w:t xml:space="preserve">are also attached to the various armies and divisions to</w:t></w:r>
</w:p>
<w:p>
<w:pPr><w:pStyle w:val="Normal"/></w:pPr>
<w:r><w:t xml:space="preserve">co-operate with and act as advisers to the surgeons of the</w:t></w:r>
</w:p>
<w:p>
<w:pPr><w:pStyle w:val="Normal"/></w:pPr>
<w:r><w:t xml:space="preserve">standing military surgical staff.  The hospital transport</w:t></w:r>
</w:p>
<w:p>
<w:pPr><w:pStyle w:val="Normal"/></w:pPr>
<w:r><w:t xml:space="preserve">service on the lines of communication is highly organized</w:t></w:r>
</w:p>
<w:p>
<w:pPr><w:pStyle w:val="Normal"/></w:pPr>
<w:r><w:t xml:space="preserve">and the hospital railway carriages are elaborately equipped.</w:t></w:r>
</w:p>
<w:p>
<w:pPr><w:pStyle w:val="Normal"/></w:pPr>
<w:r><w:t xml:space="preserve">French system.  The French ambulance system, finally settled</w:t></w:r>
</w:p>
<w:p>
<w:pPr><w:pStyle w:val="Normal"/></w:pPr>
<w:r><w:t xml:space="preserve">by the  reglement of 1884, is organized on almost identical</w:t></w:r>
</w:p>
<w:p>
<w:pPr><w:pStyle w:val="Normal"/></w:pPr>
<w:r><w:t xml:space="preserve">lines with the German; one of the principal peculiarities of</w:t></w:r>
</w:p>
<w:p>
<w:pPr><w:pStyle w:val="Normal"/></w:pPr>
<w:r><w:t xml:space="preserve">the former being the ambulances volantes already referred</w:t></w:r>
</w:p>
<w:p>
<w:pPr><w:pStyle w:val="Normal"/></w:pPr>
<w:r><w:t xml:space="preserve">to.  The peace organization of the German and French systems</w:t></w:r>
</w:p>
<w:p>
<w:pPr><w:pStyle w:val="Normal"/></w:pPr>
<w:r><w:t xml:space="preserve">does not materially differ from that of the British service.</w:t></w:r>
</w:p>
<w:p>
<w:pPr><w:pStyle w:val="Normal"/></w:pPr>
<w:r><w:t xml:space="preserve">Japanese system.</w:t></w:r>
</w:p>
<w:p>
<w:pPr><w:pStyle w:val="Normal"/></w:pPr>
<w:r><w:t xml:space="preserve">In the Japanese army a special feature is the sanitary corps,</w:t></w:r>
</w:p>
<w:p>
<w:pPr><w:pStyle w:val="Normal"/></w:pPr>
<w:r><w:t xml:space="preserve">whose duty is the prevention of disease among the troops; it</w:t></w:r>
</w:p>
<w:p>
<w:pPr><w:pStyle w:val="Normal"/></w:pPr>
<w:r><w:t xml:space="preserve">has been brought to a great pitch of perfection, with the</w:t></w:r>
</w:p>
<w:p>
<w:pPr><w:pStyle w:val="Normal"/></w:pPr>
<w:r><w:t xml:space="preserve">result that in the Russo-Japanese War (1904-1905) the immunity</w:t></w:r>
</w:p>
<w:p>
<w:pPr><w:pStyle w:val="Normal"/></w:pPr>
<w:r><w:t xml:space="preserve">of the troops from all forms of preventable disease surpassed</w:t></w:r>
</w:p>
<w:p>
<w:pPr><w:pStyle w:val="Normal"/></w:pPr>
<w:r><w:t xml:space="preserve">all previous experience.  Not only was the army accompanied</w:t></w:r>
</w:p>
<w:p>
<w:pPr><w:pStyle w:val="Normal"/></w:pPr>
<w:r><w:t xml:space="preserve">by sanitary experts who advised on all questions of camping</w:t></w:r>
</w:p>
<w:p>
<w:pPr><w:pStyle w:val="Normal"/></w:pPr>
<w:r><w:t xml:space="preserve">grounds, water supply, &amp;c., but before the war began the</w:t></w:r>
</w:p>
<w:p>
<w:pPr><w:pStyle w:val="Normal"/></w:pPr>
<w:r><w:t xml:space="preserve">Intelligence Department collected information as to the</w:t></w:r>
</w:p>
<w:p>
<w:pPr><w:pStyle w:val="Normal"/></w:pPr>
<w:r><w:t xml:space="preserve">diseases of the country likely to be the scene of operations,</w:t></w:r>
</w:p>
<w:p>
<w:pPr><w:pStyle w:val="Normal"/></w:pPr>
<w:r><w:t xml:space="preserve">unhealthy places to be avoided, and precautions to be taken.</w:t></w:r>
</w:p>
<w:p>
<w:pPr><w:pStyle w:val="Normal"/></w:pPr>
<w:r><w:t xml:space="preserve">British army system.</w:t></w:r>
</w:p>
<w:p>
<w:pPr><w:pStyle w:val="Normal"/></w:pPr>
<w:r><w:t xml:space="preserve">Coming now to the ambulance system of the British army, in</w:t></w:r>
</w:p>
<w:p>
<w:pPr><w:pStyle w:val="Normal"/></w:pPr>
<w:r><w:t xml:space="preserve">which are comprised the arrangements and organization of the</w:t></w:r>
</w:p>
<w:p>
<w:pPr><w:pStyle w:val="Normal"/></w:pPr>
<w:r><w:t xml:space="preserve">medical department for the care and treatment of the sick and</w:t></w:r>
</w:p>
<w:p>
<w:pPr><w:pStyle w:val="Normal"/></w:pPr>
<w:r><w:t xml:space="preserve">wounded from the time they are injured or taken ill, till they</w:t></w:r>
</w:p>
<w:p>
<w:pPr><w:pStyle w:val="Normal"/></w:pPr>
<w:r><w:t xml:space="preserve">are able to return to duty or are invalided home, we will trace</w:t></w:r>
</w:p>
<w:p>
<w:pPr><w:pStyle w:val="Normal"/></w:pPr>
<w:r><w:t xml:space="preserve">the progress of a wounded man from the field of battle to his</w:t></w:r>
</w:p>
<w:p>
<w:pPr><w:pStyle w:val="Normal"/></w:pPr>
<w:r><w:t xml:space="preserve">home; remembering that, as British troops are usually engaged</w:t></w:r>
</w:p>
<w:p>
<w:pPr><w:pStyle w:val="Normal"/></w:pPr>
<w:r><w:t xml:space="preserve">overseas, hospital ships as well as land transport are necessary.</w:t></w:r>
</w:p>
<w:p>
<w:pPr><w:pStyle w:val="Normal"/></w:pPr>
<w:r><w:t xml:space="preserve">First field dressing.</w:t></w:r>
</w:p>
<w:p>
<w:pPr><w:pStyle w:val="Normal"/></w:pPr>
<w:r><w:t xml:space="preserve">When a soldier falls wounded in action he is attended by</w:t></w:r>
</w:p>
<w:p>
<w:pPr><w:pStyle w:val="Normal"/></w:pPr>
<w:r><w:t xml:space="preserve">the regimental surgeon and stretcher-bearers, who apply</w:t></w:r>
</w:p>
<w:p>
<w:pPr><w:pStyle w:val="Normal"/></w:pPr>
<w:r><w:t xml:space="preserve">some extemporized method of stopping bleeding and dress</w:t></w:r>
</w:p>
<w:p>
<w:pPr><w:pStyle w:val="Normal"/></w:pPr>
<w:r><w:t xml:space="preserve">the wounds with the ``first field dressing&apos;&apos; -- a packet of</w:t></w:r>
</w:p>
<w:p>
<w:pPr><w:pStyle w:val="Normal"/></w:pPr>
<w:r><w:t xml:space="preserve">antiseptic material which every officer and man on active</w:t></w:r>
</w:p>
<w:p>
<w:pPr><w:pStyle w:val="Normal"/></w:pPr>
<w:r><w:t xml:space="preserve">service carries stitched to some part of his clothing, and</w:t></w:r>
</w:p>
<w:p>
<w:pPr><w:pStyle w:val="Normal"/></w:pPr>
<w:r><w:t xml:space="preserve">which contains everything necessary for dressing an ordinary</w:t></w:r>
</w:p>
<w:p>
<w:pPr><w:pStyle w:val="Normal"/></w:pPr>
<w:r><w:t xml:space="preserve">gunshot wound.  Recent wars have demonstrated that in all</w:t></w:r>
</w:p>
<w:p>
<w:pPr><w:pStyle w:val="Normal"/></w:pPr>
<w:r><w:t xml:space="preserve">uncomplicated cases it is better to leave this dressing</w:t></w:r>
</w:p>
<w:p>
<w:pPr><w:pStyle w:val="Normal"/></w:pPr>
<w:r><w:t xml:space="preserve">undisturbed, as the wounds made by modern projectiles heal up</w:t></w:r>
</w:p>
<w:p>
<w:pPr><w:pStyle w:val="Normal"/></w:pPr>
<w:r><w:t xml:space="preserve">at once if left alone, if air and dirt have been thus excluded.</w:t></w:r>
</w:p>
<w:p>
<w:pPr><w:pStyle w:val="Normal"/></w:pPr>
<w:r><w:t xml:space="preserve">Collecting station.</w:t></w:r>
</w:p>
<w:p>
<w:pPr><w:pStyle w:val="Normal"/></w:pPr>
<w:r><w:t xml:space="preserve">From the field he is carried on a stretcher by bearers (formerly</w:t></w:r>
</w:p>
<w:p>
<w:pPr><w:pStyle w:val="Normal"/></w:pPr>
<w:r><w:t xml:space="preserve">of the ``Bearer Companies&apos;&apos;) of the Royal Army Medical Corps</w:t></w:r>
</w:p>
<w:p>
<w:pPr><w:pStyle w:val="Normal"/></w:pPr>
<w:r><w:t xml:space="preserve">to the collecting station, where he is placed on an ambulance</w:t></w:r>
</w:p>
<w:p>
<w:pPr><w:pStyle w:val="Normal"/></w:pPr>
<w:r><w:t xml:space="preserve">wagon of the first line of assistance and taken to the dressing</w:t></w:r>
</w:p>
<w:p>
<w:pPr><w:pStyle w:val="Normal"/></w:pPr>
<w:r><w:t xml:space="preserve">station.  Here his would will be examined if considered</w:t></w:r>
</w:p>
<w:p>
<w:pPr><w:pStyle w:val="Normal"/></w:pPr>
<w:r><w:t xml:space="preserve">necessary, but as on the field the first medical officer who</w:t></w:r>
</w:p>
<w:p>
<w:pPr><w:pStyle w:val="Normal"/></w:pPr>
<w:r><w:t xml:space="preserve">examined him has already attached a ``specification tally&apos;&apos;</w:t></w:r>
</w:p>
<w:p>
<w:pPr><w:pStyle w:val="Normal"/></w:pPr>
<w:r><w:t xml:space="preserve">to the patient, giving particulars of the wound, it will</w:t></w:r>
</w:p>
<w:p>
<w:pPr><w:pStyle w:val="Normal"/></w:pPr>
<w:r><w:t xml:space="preserve">probably not be disturbed unless complicated by bleeding,</w:t></w:r>
</w:p>
<w:p>
<w:pPr><w:pStyle w:val="Normal"/></w:pPr>
<w:r><w:t xml:space="preserve">splintering of bone or some other condition requiring</w:t></w:r>
</w:p>
<w:p>
<w:pPr><w:pStyle w:val="Normal"/></w:pPr>
<w:r><w:t xml:space="preserve">interference.  Any operation, however, which is urgently</w:t></w:r>
</w:p>
<w:p>
<w:pPr><w:pStyle w:val="Normal"/></w:pPr>
<w:r><w:t xml:space="preserve">called for will be here performed, nourishment, stimulants</w:t></w:r>
</w:p>
<w:p>
<w:pPr><w:pStyle w:val="Normal"/></w:pPr>
<w:r><w:t xml:space="preserve">and opiates administered if required, and the patient moved</w:t></w:r>
</w:p>
<w:p>
<w:pPr><w:pStyle w:val="Normal"/></w:pPr>
<w:r><w:t xml:space="preserve">to the field hospital in an ambulance wagon of the second</w:t></w:r>
</w:p>
<w:p>
<w:pPr><w:pStyle w:val="Normal"/></w:pPr>
<w:r><w:t xml:space="preserve">line of assistance. From the field hospital he is transferred</w:t></w:r>
</w:p>
<w:p>
<w:pPr><w:pStyle w:val="Normal"/></w:pPr>
<w:r><w:t xml:space="preserve">as soon as possible by the ambulance train to the general</w:t></w:r>
</w:p>
<w:p>
<w:pPr><w:pStyle w:val="Normal"/></w:pPr>
<w:r><w:t xml:space="preserve">hospital at the advanced base of operations, and from there</w:t></w:r>
</w:p>
<w:p>
<w:pPr><w:pStyle w:val="Normal"/></w:pPr>
<w:r><w:t xml:space="preserve">in due time in another train to the base of operations at</w:t></w:r>
</w:p>
<w:p>
<w:pPr><w:pStyle w:val="Normal"/></w:pPr>
<w:r><w:t xml:space="preserve">the coast, from which he is ultimately either returned to</w:t></w:r>
</w:p>
<w:p>
<w:pPr><w:pStyle w:val="Normal"/></w:pPr>
<w:r><w:t xml:space="preserve">duty or sent home in a hospital ship.  The organization  by</w:t></w:r>
</w:p>
<w:p>
<w:pPr><w:pStyle w:val="Normal"/></w:pPr>
<w:r><w:t xml:space="preserve">which these requirements are fulfilled is the following: --</w:t></w:r>
</w:p>
<w:p>
<w:pPr><w:pStyle w:val="Normal"/></w:pPr>
<w:r><w:t xml:space="preserve">Regimental arrangements.</w:t></w:r>
</w:p>
<w:p>
<w:pPr><w:pStyle w:val="Normal"/></w:pPr>
<w:r><w:t xml:space="preserve">Every regiment and fighting unit has posted to it, on</w:t></w:r>
</w:p>
<w:p>
<w:pPr><w:pStyle w:val="Normal"/></w:pPr>
<w:r><w:t xml:space="preserve">proceeding on active service, a medical officer who looks</w:t></w:r>
</w:p>
<w:p>
<w:pPr><w:pStyle w:val="Normal"/></w:pPr>
<w:r><w:t xml:space="preserve">after the health of the men and advises the commanding</w:t></w:r>
</w:p>
<w:p>
<w:pPr><w:pStyle w:val="Normal"/></w:pPr>
<w:r><w:t xml:space="preserve">officer on sanitary matters. When the regiment goes into</w:t></w:r>
</w:p>
<w:p>
<w:pPr><w:pStyle w:val="Normal"/></w:pPr>
<w:r><w:t xml:space="preserve">action he takes command of the regimental stretcher-bearers</w:t></w:r>
</w:p>
<w:p>
<w:pPr><w:pStyle w:val="Normal"/></w:pPr>
<w:r><w:t xml:space="preserve">who, to the number of two per company have been in peace time</w:t></w:r>
</w:p>
<w:p>
<w:pPr><w:pStyle w:val="Normal"/></w:pPr>
<w:r><w:t xml:space="preserve">instructed in first aid and in the carrying the wounded on</w:t></w:r>
</w:p>
<w:p>
<w:pPr><w:pStyle w:val="Normal"/></w:pPr>
<w:r><w:t xml:space="preserve">stretchers.  These men leave their arms behind and wear</w:t></w:r>
</w:p>
<w:p>
<w:pPr><w:pStyle w:val="Normal"/></w:pPr>
<w:r><w:t xml:space="preserve">the Red Cross armlets, to indicate their non-combatant</w:t></w:r>
</w:p>
<w:p>
<w:pPr><w:pStyle w:val="Normal"/></w:pPr>
<w:r><w:t xml:space="preserve">functions, but in these days, when a battle is often fought</w:t></w:r>
</w:p>
<w:p>
<w:pPr><w:pStyle w:val="Normal"/></w:pPr>
<w:r><w:t xml:space="preserve">at long ranges, it is not to be wondered at, or attributed</w:t></w:r>
</w:p>
<w:p>
<w:pPr><w:pStyle w:val="Normal"/></w:pPr>
<w:r><w:t xml:space="preserve">to disregard of the red cross flag by the enemy, if medical</w:t></w:r>
</w:p>
<w:p>
<w:pPr><w:pStyle w:val="Normal"/></w:pPr>
<w:r><w:t xml:space="preserve">officers and stretcher-bearers are hit. The bearer company</w:t></w:r>
</w:p>
<w:p>
<w:pPr><w:pStyle w:val="Normal"/></w:pPr>
<w:r><w:t xml:space="preserve">into whose charge the wounded man next passes is composed</w:t></w:r>
</w:p>
<w:p>
<w:pPr><w:pStyle w:val="Normal"/></w:pPr>
<w:r><w:t xml:space="preserve">of men of the Royal Army Medical Corps, with a detachment</w:t></w:r>
</w:p>
<w:p>
<w:pPr><w:pStyle w:val="Normal"/></w:pPr>
<w:r><w:t xml:space="preserve">of the Army Service Corps for transport duties.  In future,</w:t></w:r>
</w:p>
<w:p>
<w:pPr><w:pStyle w:val="Normal"/></w:pPr>
<w:r><w:t xml:space="preserve">bearer sections of the Field Ambulances will perform the</w:t></w:r>
</w:p>
<w:p>
<w:pPr><w:pStyle w:val="Normal"/></w:pPr>
<w:r><w:t xml:space="preserve">duties of the bearer company.  Its function is to collect and</w:t></w:r>
</w:p>
<w:p>
<w:pPr><w:pStyle w:val="Normal"/></w:pPr>
<w:r><w:t xml:space="preserve">succour the wounded on the battlefield and to hand them over</w:t></w:r>
</w:p>
<w:p>
<w:pPr><w:pStyle w:val="Normal"/></w:pPr>
<w:r><w:t xml:space="preserve">to the field hospitals, with which these bearer companies</w:t></w:r>
</w:p>
<w:p>
<w:pPr><w:pStyle w:val="Normal"/></w:pPr>
<w:r><w:t xml:space="preserve">are closely associated, though separately organized.  In</w:t></w:r>
</w:p>
<w:p>
<w:pPr><w:pStyle w:val="Normal"/></w:pPr>
<w:r><w:t xml:space="preserve">the Indian army the bearer company is provided from the</w:t></w:r>
</w:p>
<w:p>
<w:pPr><w:pStyle w:val="Normal"/></w:pPr>
<w:r><w:t xml:space="preserve">personnel of the field hospital when there is a battle,</w:t></w:r>
</w:p>
<w:p>
<w:pPr><w:pStyle w:val="Normal"/></w:pPr>
<w:r><w:t xml:space="preserve">and reverts to the hospital again after it is over.  The</w:t></w:r>
</w:p>
<w:p>
<w:pPr><w:pStyle w:val="Normal"/></w:pPr>
<w:r><w:t xml:space="preserve">war in South Africa of 1899- 1902 clearly demonstrated</w:t></w:r>
</w:p>
<w:p>
<w:pPr><w:pStyle w:val="Normal"/></w:pPr>
<w:r><w:t xml:space="preserve">the superiority of the Indian plan; for after the action</w:t></w:r>
</w:p>
<w:p>
<w:pPr><w:pStyle w:val="Normal"/></w:pPr>
<w:r><w:t xml:space="preserve">the bearer company staff should be available to give the</w:t></w:r>
</w:p>
<w:p>
<w:pPr><w:pStyle w:val="Normal"/></w:pPr>
<w:r><w:t xml:space="preserve">much-needed help in the field hospital, and some amalgamation</w:t></w:r>
</w:p>
<w:p>
<w:pPr><w:pStyle w:val="Normal"/></w:pPr>
<w:r><w:t xml:space="preserve">of the two organizations, or something after the plan of the</w:t></w:r>
</w:p>
<w:p>
<w:pPr><w:pStyle w:val="Normal"/></w:pPr>
<w:r><w:t xml:space="preserve">ambulance volante of the French, is necessary.  The bearers</w:t></w:r>
</w:p>
<w:p>
<w:pPr><w:pStyle w:val="Normal"/></w:pPr>
<w:r><w:t xml:space="preserve">afford the wounded any treatment required, supply water and</w:t></w:r>
</w:p>
<w:p>
<w:pPr><w:pStyle w:val="Normal"/></w:pPr>
<w:r><w:t xml:space="preserve">sedatives, and then carry them back on stretchers to the</w:t></w:r>
</w:p>
<w:p>
<w:pPr><w:pStyle w:val="Normal"/></w:pPr>
<w:r><w:t xml:space="preserve">collecting station in the rear, whence they are conveyed to</w:t></w:r>
</w:p>
<w:p>
<w:pPr><w:pStyle w:val="Normal"/></w:pPr>
<w:r><w:t xml:space="preserve">the dressing station in the wagons or other form of transport.</w:t></w:r>
</w:p>
<w:p>
<w:pPr><w:pStyle w:val="Normal"/></w:pPr>
<w:r><w:t xml:space="preserve">At the dressing station, which ought to be out of range</w:t></w:r>
</w:p>
<w:p>
<w:pPr><w:pStyle w:val="Normal"/></w:pPr>
<w:r><w:t xml:space="preserve">of the firing, and should have a good water supply, the</w:t></w:r>
</w:p>
<w:p>
<w:pPr><w:pStyle w:val="Normal"/></w:pPr>
<w:r><w:t xml:space="preserve">patient is made as comfortable as possible, nourishment and</w:t></w:r>
</w:p>
<w:p>
<w:pPr><w:pStyle w:val="Normal"/></w:pPr>
<w:r><w:t xml:space="preserve">stimulants are administered, and he is then taken to the field</w:t></w:r>
</w:p>
<w:p>
<w:pPr><w:pStyle w:val="Normal"/></w:pPr>
<w:r><w:t xml:space="preserve">hospital.  In times of great stress, when it is desirable to</w:t></w:r>
</w:p>
<w:p>
<w:pPr><w:pStyle w:val="Normal"/></w:pPr>
<w:r><w:t xml:space="preserve">remove the wounded quickly from the field, and there are no</w:t></w:r>
</w:p>
<w:p>
<w:pPr><w:pStyle w:val="Normal"/></w:pPr>
<w:r><w:t xml:space="preserve">roads or wheeled transport is not available, large numbers of</w:t></w:r>
</w:p>
<w:p>
<w:pPr><w:pStyle w:val="Normal"/></w:pPr>
<w:r><w:t xml:space="preserve">bearers are employed to carry them on stretchers, &amp;c. These</w:t></w:r>
</w:p>
<w:p>
<w:pPr><w:pStyle w:val="Normal"/></w:pPr>
<w:r><w:t xml:space="preserve">men are engaged locally and are soon given the slight training</w:t></w:r>
</w:p>
<w:p>
<w:pPr><w:pStyle w:val="Normal"/></w:pPr>
<w:r><w:t xml:space="preserve">necessary.  This was done in Natal after the battles on the</w:t></w:r>
</w:p>
<w:p>
<w:pPr><w:pStyle w:val="Normal"/></w:pPr>
<w:r><w:t xml:space="preserve">Tugela (1899), in which there were some thousands of wounded</w:t></w:r>
</w:p>
<w:p>
<w:pPr><w:pStyle w:val="Normal"/></w:pPr>
<w:r><w:t xml:space="preserve">to be conveyed; also in Egypt, where the local troops not</w:t></w:r>
</w:p>
<w:p>
<w:pPr><w:pStyle w:val="Normal"/></w:pPr>
<w:r><w:t xml:space="preserve">required for the fighting line were requisitioned; the Japanese</w:t></w:r>
</w:p>
<w:p>
<w:pPr><w:pStyle w:val="Normal"/></w:pPr>
<w:r><w:t xml:space="preserve">in Mongolia employed hundreds of Chinese coolies for this</w:t></w:r>
</w:p>
<w:p>
<w:pPr><w:pStyle w:val="Normal"/></w:pPr>
<w:r><w:t xml:space="preserve">purpose, the general use of sedan-chairs in China having</w:t></w:r>
</w:p>
<w:p>
<w:pPr><w:pStyle w:val="Normal"/></w:pPr>
<w:r><w:t xml:space="preserve">accustomed the poorer class of natives to this kind of labour.</w:t></w:r>
</w:p>
<w:p>
<w:pPr><w:pStyle w:val="Normal"/></w:pPr>
<w:r><w:t xml:space="preserve">Indian bearers.</w:t></w:r>
</w:p>
<w:p>
<w:pPr><w:pStyle w:val="Normal"/></w:pPr>
<w:r><w:t xml:space="preserve">In India, the rank and file of the Royal Army Medical</w:t></w:r>
</w:p>
<w:p>
<w:pPr><w:pStyle w:val="Normal"/></w:pPr>
<w:r><w:t xml:space="preserve">Corps not being employed, the bearer  work is carried</w:t></w:r>
</w:p>
<w:p>
<w:pPr><w:pStyle w:val="Normal"/></w:pPr>
<w:r><w:t xml:space="preserve">out by natives specially enlisted and organized into a</w:t></w:r>
</w:p>
<w:p>
<w:pPr><w:pStyle w:val="Normal"/></w:pPr>
<w:r><w:t xml:space="preserve">corps.  These men are bearers by caste -- a reminiscence</w:t></w:r>
</w:p>
<w:p>
<w:pPr><w:pStyle w:val="Normal"/></w:pPr>
<w:r><w:t xml:space="preserve">of the system which prevailed generally a hundred years</w:t></w:r>
</w:p>
<w:p>
<w:pPr><w:pStyle w:val="Normal"/></w:pPr>
<w:r><w:t xml:space="preserve">ago, and is still met with in out-of-the-way places, of</w:t></w:r>
</w:p>
<w:p>
<w:pPr><w:pStyle w:val="Normal"/></w:pPr>
<w:r><w:t xml:space="preserve">conveyance of travellers in dhoolies, which are closed</w:t></w:r>
</w:p>
<w:p>
<w:pPr><w:pStyle w:val="Normal"/></w:pPr>
<w:r><w:t xml:space="preserve">wooden carriages fixed on long poles and carried on men&apos;s</w:t></w:r>
</w:p>
<w:p>
<w:pPr><w:pStyle w:val="Normal"/></w:pPr>
<w:r><w:t xml:space="preserve">shoulders. The bearers convey the wounded in dandies, similar</w:t></w:r>
</w:p>
<w:p>
<w:pPr><w:pStyle w:val="Normal"/></w:pPr>
<w:r><w:t xml:space="preserve">to dhoolies, but made mostly of canvas, so that they are much</w:t></w:r>
</w:p>
<w:p>
<w:pPr><w:pStyle w:val="Normal"/></w:pPr>
<w:r><w:t xml:space="preserve">lighter.  The courage of these bearers on the battlefield has</w:t></w:r>
</w:p>
<w:p>
<w:pPr><w:pStyle w:val="Normal"/></w:pPr>
<w:r><w:t xml:space="preserve">often been praised. The old bearer caste is, however, rapidly</w:t></w:r>
</w:p>
<w:p>
<w:pPr><w:pStyle w:val="Normal"/></w:pPr>
<w:r><w:t xml:space="preserve">dying out owing to the general discontinuance of the use of</w:t></w:r>
</w:p>
<w:p>
<w:pPr><w:pStyle w:val="Normal"/></w:pPr>
<w:r><w:t xml:space="preserve">dhoolies.  Thus the ambulance organization in India is</w:t></w:r>
</w:p>
<w:p>
<w:pPr><w:pStyle w:val="Normal"/></w:pPr>
<w:r><w:t xml:space="preserve">entirely different from that in other parts of the British</w:t></w:r>
</w:p>
<w:p>
<w:pPr><w:pStyle w:val="Normal"/></w:pPr>
<w:r><w:t xml:space="preserve">empire.  The rank and file of the Royal Army Medical Corps</w:t></w:r>
</w:p>
<w:p>
<w:pPr><w:pStyle w:val="Normal"/></w:pPr>
<w:r><w:t xml:space="preserve">are not employed there, although the medical officers</w:t></w:r>
</w:p>
<w:p>
<w:pPr><w:pStyle w:val="Normal"/></w:pPr>
<w:r><w:t xml:space="preserve">are.  The warrant and non-commissioned ranks are replaced by</w:t></w:r>
</w:p>
<w:p>
<w:pPr><w:pStyle w:val="Normal"/></w:pPr>
<w:r><w:t xml:space="preserve">a most useful body of men of Anglo-Indian or Eurasian (half</w:t></w:r>
</w:p>
<w:p>
<w:pPr><w:pStyle w:val="Normal"/></w:pPr>
<w:r><w:t xml:space="preserve">caste) birth, called the Subordinate Medical Department, the</w:t></w:r>
</w:p>
<w:p>
<w:pPr><w:pStyle w:val="Normal"/></w:pPr>
<w:r><w:t xml:space="preserve">members of which, now called assistant surgeons (formerly</w:t></w:r>
</w:p>
<w:p>
<w:pPr><w:pStyle w:val="Normal"/></w:pPr>
<w:r><w:t xml:space="preserve">apothecaries), receive a three years&apos; training in medical work</w:t></w:r>
</w:p>
<w:p>
<w:pPr><w:pStyle w:val="Normal"/></w:pPr>
<w:r><w:t xml:space="preserve">at the Indian medical schools and are competent to perform</w:t></w:r>
</w:p>
<w:p>
<w:pPr><w:pStyle w:val="Normal"/></w:pPr>
<w:r><w:t xml:space="preserve">the compounding of medicines and to deal with all but the</w:t></w:r>
</w:p>
<w:p>
<w:pPr><w:pStyle w:val="Normal"/></w:pPr>
<w:r><w:t xml:space="preserve">most serious cases of injury and illness.  In the hospitals</w:t></w:r>
</w:p>
<w:p>
<w:pPr><w:pStyle w:val="Normal"/></w:pPr>
<w:r><w:t xml:space="preserve">the men of the Royal Army Medical Corps are replaced by the</w:t></w:r>
</w:p>
<w:p>
<w:pPr><w:pStyle w:val="Normal"/></w:pPr>
<w:r><w:t xml:space="preserve">Native Army Hospital Corps, subdivided into ward-servants,</w:t></w:r>
</w:p>
<w:p>
<w:pPr><w:pStyle w:val="Normal"/></w:pPr>
<w:r><w:t xml:space="preserve">cooks, water- carriers, sweepers and washermen.  The caste</w:t></w:r>
</w:p>
<w:p>
<w:pPr><w:pStyle w:val="Normal"/></w:pPr>
<w:r><w:t xml:space="preserve">system necessitates this division of labour, and the men are</w:t></w:r>
</w:p>
<w:p>
<w:pPr><w:pStyle w:val="Normal"/></w:pPr>
<w:r><w:t xml:space="preserve">not so efficient or trustworthy  as the white soldiers whose</w:t></w:r>
</w:p>
<w:p>
<w:pPr><w:pStyle w:val="Normal"/></w:pPr>
<w:r><w:t xml:space="preserve">places they take.  The bearers of the wounded are a separate</w:t></w:r>
</w:p>
<w:p>
<w:pPr><w:pStyle w:val="Normal"/></w:pPr>
<w:r><w:t xml:space="preserve">and distinct class, partly attached to regiments, &amp;c., as</w:t></w:r>
</w:p>
<w:p>
<w:pPr><w:pStyle w:val="Heading1"/></w:pPr>
<w:r><w:t>part of the regimental transport, and partly organized into</w:t></w:r>
</w:p>
<w:p>
<w:pPr><w:pStyle w:val="Normal"/></w:pPr>
<w:r><w:t xml:space="preserve">bearer companies, attached to field hospitals. The dandies in</w:t></w:r>
</w:p>
<w:p>
<w:pPr><w:pStyle w:val="Normal"/></w:pPr>
<w:r><w:t xml:space="preserve">which they carry the wounded are much more comfortable than</w:t></w:r>
</w:p>
<w:p>
<w:pPr><w:pStyle w:val="Normal"/></w:pPr>
<w:r><w:t xml:space="preserve">stretchers, being fitted with roofs and sides of canvas to</w:t></w:r>
</w:p>
<w:p>
<w:pPr><w:pStyle w:val="Normal"/></w:pPr>
<w:r><w:t xml:space="preserve">keep off sun and rain, thus being collapsible so that the</w:t></w:r>
</w:p>
<w:p>
<w:pPr><w:pStyle w:val="Normal"/></w:pPr>
<w:r><w:t xml:space="preserve">dandy is quite flat when not in use.  Still they are heavy,</w:t></w:r>
</w:p>
<w:p>
<w:pPr><w:pStyle w:val="Normal"/></w:pPr>
<w:r><w:t xml:space="preserve">clumsy, and cannot be folded up into a small compass for</w:t></w:r>
</w:p>
<w:p>
<w:pPr><w:pStyle w:val="Normal"/></w:pPr>
<w:r><w:t xml:space="preserve">transport like a stretcher; they also take up a good deal</w:t></w:r>
</w:p>
<w:p>
<w:pPr><w:pStyle w:val="Normal"/></w:pPr>
<w:r><w:t xml:space="preserve">of room in wagons and can scarcely be carried on the backs</w:t></w:r>
</w:p>
<w:p>
<w:pPr><w:pStyle w:val="Normal"/></w:pPr>
<w:r><w:t xml:space="preserve">of animals owing to the length of the pole.  Hence riding</w:t></w:r>
</w:p>
<w:p>
<w:pPr><w:pStyle w:val="Normal"/></w:pPr>
<w:r><w:t xml:space="preserve">ponies and mules are much used in Indian warfare, especially</w:t></w:r>
</w:p>
<w:p>
<w:pPr><w:pStyle w:val="Normal"/></w:pPr>
<w:r><w:t xml:space="preserve">in the mountains, for the carriage of less seriously wounded</w:t></w:r>
</w:p>
<w:p>
<w:pPr><w:pStyle w:val="Normal"/></w:pPr>
<w:r><w:t xml:space="preserve">men.  In India separate hospitals are necessary for white</w:t></w:r>
</w:p>
<w:p>
<w:pPr><w:pStyle w:val="Normal"/></w:pPr>
<w:r><w:t xml:space="preserve">and native troops, and the latter have accommodation for the</w:t></w:r>
</w:p>
<w:p>
<w:pPr><w:pStyle w:val="Normal"/></w:pPr>
<w:r><w:t xml:space="preserve">large numbers of non-combatant camp-followers, mule-drivers,</w:t></w:r>
</w:p>
<w:p>
<w:pPr><w:pStyle w:val="Normal"/></w:pPr>
<w:r><w:t xml:space="preserve">cooks, officers&apos; servants, &amp;c., &amp;c., which constitute one of</w:t></w:r>
</w:p>
<w:p>
<w:pPr><w:pStyle w:val="Normal"/></w:pPr>
<w:r><w:t xml:space="preserve">the most remarkable features of the Indian army organization.</w:t></w:r>
</w:p>
<w:p>
<w:pPr><w:pStyle w:val="Normal"/></w:pPr>
<w:r><w:t xml:space="preserve">Field hospitals.</w:t></w:r>
</w:p>
<w:p>
<w:pPr><w:pStyle w:val="Normal"/></w:pPr>
<w:r><w:t xml:space="preserve">Field hospitals, under the new scheme furnished by tent</w:t></w:r>
</w:p>
<w:p>
<w:pPr><w:pStyle w:val="Normal"/></w:pPr>
<w:r><w:t xml:space="preserve">sections of the Field Ambulances, are each supposed to provide</w:t></w:r>
</w:p>
<w:p>
<w:pPr><w:pStyle w:val="Normal"/></w:pPr>
<w:r><w:t xml:space="preserve">accommodation for 100 patients, who live on their field</w:t></w:r>
</w:p>
<w:p>
<w:pPr><w:pStyle w:val="Normal"/></w:pPr>
<w:r><w:t xml:space="preserve">rations suitably cooked and supplemented by various medical</w:t></w:r>
</w:p>
<w:p>
<w:pPr><w:pStyle w:val="Normal"/></w:pPr>
<w:r><w:t xml:space="preserve">comforts.  The patients are not supplied with hospital clothing,</w:t></w:r>
</w:p>
<w:p>
<w:pPr><w:pStyle w:val="Normal"/></w:pPr>
<w:r><w:t xml:space="preserve">nor do they have beds, but he on straw, which is spread on the</w:t></w:r>
</w:p>
<w:p>
<w:pPr><w:pStyle w:val="Normal"/></w:pPr>
<w:r><w:t xml:space="preserve">ground and covered with waterproof sheets and blankets; of these</w:t></w:r>
</w:p>
<w:p>
<w:pPr><w:pStyle w:val="Normal"/></w:pPr>
<w:r><w:t xml:space="preserve">latter a considerable reserve is carried. These hospitals can</w:t></w:r>
</w:p>
<w:p>
<w:pPr><w:pStyle w:val="Normal"/></w:pPr>
<w:r><w:t xml:space="preserve">and must at times accommodate more than the regulation number</w:t></w:r>
</w:p>
<w:p>
<w:pPr><w:pStyle w:val="Normal"/></w:pPr>
<w:r><w:t xml:space="preserve">of patients, but in the South African War their resources were</w:t></w:r>
</w:p>
<w:p>
<w:pPr><w:pStyle w:val="Normal"/></w:pPr>
<w:r><w:t xml:space="preserve">at times considerably overtaxed, with consequent discomfort</w:t></w:r>
</w:p>
<w:p>
<w:pPr><w:pStyle w:val="Normal"/></w:pPr>
<w:r><w:t xml:space="preserve">and hardship to the patients, the medical equipment proving</w:t></w:r>
</w:p>
<w:p>
<w:pPr><w:pStyle w:val="Normal"/></w:pPr>
<w:r><w:t xml:space="preserve">insufficient for unexpectedly heavy calls upon its resources.</w:t></w:r>
</w:p>
<w:p>
<w:pPr><w:pStyle w:val="Normal"/></w:pPr>
<w:r><w:t xml:space="preserve">Hospitals on the lines of communication.</w:t></w:r>
</w:p>
<w:p>
<w:pPr><w:pStyle w:val="Normal"/></w:pPr>
<w:r><w:t xml:space="preserve">These hospitals are supposed to move with the army, and</w:t></w:r>
</w:p>
<w:p>
<w:pPr><w:pStyle w:val="Normal"/></w:pPr>
<w:r><w:t xml:space="preserve">therefore it is imperative to pass the wounded quickly</w:t></w:r>
</w:p>
<w:p>
<w:pPr><w:pStyle w:val="Normal"/></w:pPr>
<w:r><w:t xml:space="preserve">back from these to the stationary hospitals on the lines</w:t></w:r>
</w:p>
<w:p>
<w:pPr><w:pStyle w:val="Normal"/></w:pPr>
<w:r><w:t xml:space="preserve">of communication (which vary according to the length of</w:t></w:r>
</w:p>
<w:p>
<w:pPr><w:pStyle w:val="Normal"/></w:pPr>
<w:r><w:t xml:space="preserve">these lines) and thence to the general hospitals at the</w:t></w:r>
</w:p>
<w:p>
<w:pPr><w:pStyle w:val="Normal"/></w:pPr>
<w:r><w:t xml:space="preserve">base.  The size of the lines of communication hospitals</w:t></w:r>
</w:p>
<w:p>
<w:pPr><w:pStyle w:val="Normal"/></w:pPr>
<w:r><w:t xml:space="preserve">varies according to circumstances, and they are as a rule</w:t></w:r>
</w:p>
<w:p>
<w:pPr><w:pStyle w:val="Normal"/></w:pPr>
<w:r><w:t xml:space="preserve">``dieted,&apos;&apos; that is to say proper hospital  diets and not</w:t></w:r>
</w:p>
<w:p>
<w:pPr><w:pStyle w:val="Normal"/></w:pPr>
<w:r><w:t xml:space="preserve">field rations are issued to the patients, who also are</w:t></w:r>
</w:p>
<w:p>
<w:pPr><w:pStyle w:val="Normal"/></w:pPr>
<w:r><w:t xml:space="preserve">supplied with beds and proper hospital clothing.  In these</w:t></w:r>
</w:p>
<w:p>
<w:pPr><w:pStyle w:val="Normal"/></w:pPr>
<w:r><w:t xml:space="preserve">hospitals also there may be nursing sisters, who of course</w:t></w:r>
</w:p>
<w:p>
<w:pPr><w:pStyle w:val="Normal"/></w:pPr>
<w:r><w:t xml:space="preserve">are unsuited for the rough work and life nearer the front.</w:t></w:r>
</w:p>
<w:p>
<w:pPr><w:pStyle w:val="Normal"/></w:pPr>
<w:r><w:t xml:space="preserve">Sisters are also employed on the hospital trains, which were</w:t></w:r>
</w:p>
<w:p>
<w:pPr><w:pStyle w:val="Normal"/></w:pPr>
<w:r><w:t xml:space="preserve">found most useful and brought to great perfection in the South</w:t></w:r>
</w:p>
<w:p>
<w:pPr><w:pStyle w:val="Normal"/></w:pPr>
<w:r><w:t xml:space="preserve">African War, being fitted with beds, kitchens, dispensaries,</w:t></w:r>
</w:p>
<w:p>
<w:pPr><w:pStyle w:val="Normal"/></w:pPr>
<w:r><w:t xml:space="preserve">&amp;c., so that patients were moved long distances in comfort.</w:t></w:r>
</w:p>
<w:p>
<w:pPr><w:pStyle w:val="Normal"/></w:pPr>
<w:r><w:t xml:space="preserve">General hospitals.</w:t></w:r>
</w:p>
<w:p>
<w:pPr><w:pStyle w:val="Normal"/></w:pPr>
<w:r><w:t xml:space="preserve">Arrived at the base of operations the wounded are admitted to</w:t></w:r>
</w:p>
<w:p>
<w:pPr><w:pStyle w:val="Normal"/></w:pPr>
<w:r><w:t xml:space="preserve">the general hospitals, of which the numbers and situation vary</w:t></w:r>
</w:p>
<w:p>
<w:pPr><w:pStyle w:val="Normal"/></w:pPr>
<w:r><w:t xml:space="preserve">with circumstances, but each is supposed to have an officers&apos;</w:t></w:r>
</w:p>
<w:p>
<w:pPr><w:pStyle w:val="Normal"/></w:pPr>
<w:r><w:t xml:space="preserve">ward.  In the South African War, owing to the inability of the</w:t></w:r>
</w:p>
<w:p>
<w:pPr><w:pStyle w:val="Normal"/></w:pPr>
<w:r><w:t xml:space="preserve">comparatively small Royal Army Medical Corps to meet all the</w:t></w:r>
</w:p>
<w:p>
<w:pPr><w:pStyle w:val="Normal"/></w:pPr>
<w:r><w:t xml:space="preserve">requirements of the enormous force which was ultimately employed,</w:t></w:r>
</w:p>
<w:p>
<w:pPr><w:pStyle w:val="Normal"/></w:pPr>
<w:r><w:t xml:space="preserve">many of the doctors were drawn from the civil profession, and</w:t></w:r>
</w:p>
<w:p>
<w:pPr><w:pStyle w:val="Normal"/></w:pPr>
<w:r><w:t xml:space="preserve">the rank and file from the St John&apos;s Ambulance Association and</w:t></w:r>
</w:p>
<w:p>
<w:pPr><w:pStyle w:val="Normal"/></w:pPr>
<w:r><w:t xml:space="preserve">the Volunteer Medical Staff Corps, while many nursing sisters</w:t></w:r>
</w:p>
<w:p>
<w:pPr><w:pStyle w:val="Normal"/></w:pPr>
<w:r><w:t xml:space="preserve">belonged to the Army Nursing Reserve, ordinarily employed</w:t></w:r>
</w:p>
<w:p>
<w:pPr><w:pStyle w:val="Normal"/></w:pPr>
<w:r><w:t xml:space="preserve">in civil hospitals but liable to be drafted out during war.</w:t></w:r>
</w:p>
<w:p>
<w:pPr><w:pStyle w:val="Normal"/></w:pPr>
<w:r><w:t xml:space="preserve">Civil general hospitals.</w:t></w:r>
</w:p>
<w:p>
<w:pPr><w:pStyle w:val="Normal"/></w:pPr>
<w:r><w:t xml:space="preserve">In the South African War the patriotism and liberality</w:t></w:r>
</w:p>
<w:p>
<w:pPr><w:pStyle w:val="Normal"/></w:pPr>
<w:r><w:t xml:space="preserve">of the British public furnished several large general</w:t></w:r>
</w:p>
<w:p>
<w:pPr><w:pStyle w:val="Normal"/></w:pPr>
<w:r><w:t xml:space="preserve">hospitals, perfectly equipped, and officered by some of the</w:t></w:r>
</w:p>
<w:p>
<w:pPr><w:pStyle w:val="Normal"/></w:pPr>
<w:r><w:t xml:space="preserve">most eminent members of the medical profession in the United</w:t></w:r>
</w:p>
<w:p>
<w:pPr><w:pStyle w:val="Normal"/></w:pPr>
<w:r><w:t xml:space="preserve">Kingdom.  Among others may be mentioned  the Princess Christian,</w:t></w:r>
</w:p>
<w:p>
<w:pPr><w:pStyle w:val="Normal"/></w:pPr>
<w:r><w:t xml:space="preserve">the Imperial Yeomanry (both field and general hospitals),</w:t></w:r>
</w:p>
<w:p>
<w:pPr><w:pStyle w:val="Normal"/></w:pPr>
<w:r><w:t xml:space="preserve">the Langman, the Portland, the Scottish, Irish and Welsh</w:t></w:r>
</w:p>
<w:p>
<w:pPr><w:pStyle w:val="Normal"/></w:pPr>
<w:r><w:t xml:space="preserve">hospitals.  These were staffed entirely by civilians, except</w:t></w:r>
</w:p>
<w:p>
<w:pPr><w:pStyle w:val="Normal"/></w:pPr>
<w:r><w:t xml:space="preserve">that an officer of the Royal Army Medical Corps was attached</w:t></w:r>
</w:p>
<w:p>
<w:pPr><w:pStyle w:val="Normal"/></w:pPr>
<w:r><w:t xml:space="preserve">to each as administrator and organizer; and their personnel</w:t></w:r>
</w:p>
<w:p>
<w:pPr><w:pStyle w:val="Normal"/></w:pPr>
<w:r><w:t xml:space="preserve">was made up of physicians, surgeons, nurses, dressers (medical</w:t></w:r>
</w:p>
<w:p>
<w:pPr><w:pStyle w:val="Normal"/></w:pPr>
<w:r><w:t xml:space="preserve">students and in some cases fully qualified surgeons) and</w:t></w:r>
</w:p>
<w:p>
<w:pPr><w:pStyle w:val="Normal"/></w:pPr>
<w:r><w:t xml:space="preserve">servants; the numbers, of course, varying with the size of the</w:t></w:r>
</w:p>
<w:p>
<w:pPr><w:pStyle w:val="Normal"/></w:pPr>
<w:r><w:t xml:space="preserve">hospitals.  In addition to the staff of these hospitals</w:t></w:r>
</w:p>
<w:p>
<w:pPr><w:pStyle w:val="Normal"/></w:pPr>
<w:r><w:t xml:space="preserve">several eminent civil surgeons, including Sir William</w:t></w:r>
</w:p>
<w:p>
<w:pPr><w:pStyle w:val="Normal"/></w:pPr>
<w:r><w:t xml:space="preserve">Maccormac and Sir F. Treves, went out to the seat of war</w:t></w:r>
</w:p>
<w:p>
<w:pPr><w:pStyle w:val="Normal"/></w:pPr>
<w:r><w:t xml:space="preserve">as consultants: an innovation in the British service, but</w:t></w:r>
</w:p>
<w:p>
<w:pPr><w:pStyle w:val="Normal"/></w:pPr>
<w:r><w:t xml:space="preserve">in accordance with the system long in vogue in Germany.</w:t></w:r>
</w:p>
<w:p>
<w:pPr><w:pStyle w:val="Normal"/></w:pPr>
<w:r><w:t xml:space="preserve">To the Army Medical organization is affiliated in war</w:t></w:r>
</w:p>
<w:p>
<w:pPr><w:pStyle w:val="Normal"/></w:pPr>
<w:r><w:t xml:space="preserve">time that of the Red Cross Society and other charitable</w:t></w:r>
</w:p>
<w:p>
<w:pPr><w:pStyle w:val="Normal"/></w:pPr>
<w:r><w:t xml:space="preserve">associations, which during the South African War aided</w:t></w:r>
</w:p>
<w:p>
<w:pPr><w:pStyle w:val="Normal"/></w:pPr>
<w:r><w:t xml:space="preserve">the Army Medical Service greatly by gifts of clothing,</w:t></w:r>
</w:p>
<w:p>
<w:pPr><w:pStyle w:val="Normal"/></w:pPr>
<w:r><w:t xml:space="preserve">money and numerous luxuries for the sick and wounded.</w:t></w:r>
</w:p>
<w:p>
<w:pPr><w:pStyle w:val="Normal"/></w:pPr>
<w:r><w:t xml:space="preserve">Hospital ships.</w:t></w:r>
</w:p>
<w:p>
<w:pPr><w:pStyle w:val="Normal"/></w:pPr>
<w:r><w:t xml:space="preserve">Lastly, the wounded man is transferred to a hospital ship,</w:t></w:r>
</w:p>
<w:p>
<w:pPr><w:pStyle w:val="Normal"/></w:pPr>
<w:r><w:t xml:space="preserve">which is fitted up with comfortable swinging cots in airy</w:t></w:r>
</w:p>
<w:p>
<w:pPr><w:pStyle w:val="Normal"/></w:pPr>
<w:r><w:t xml:space="preserve">wards, with refrigerators for preserving provisions and the</w:t></w:r>
</w:p>
<w:p>
<w:pPr><w:pStyle w:val="Normal"/></w:pPr>
<w:r><w:t xml:space="preserve">supply of ice, punkahs for hot weather, &amp;c. Each division</w:t></w:r>
</w:p>
<w:p>
<w:pPr><w:pStyle w:val="Normal"/></w:pPr>
<w:r><w:t xml:space="preserve">of an army corps is supposed to have one such ship, with</w:t></w:r>
</w:p>
<w:p>
<w:pPr><w:pStyle w:val="Normal"/></w:pPr>
<w:r><w:t xml:space="preserve">from 200 to 250 beds and the same staff of doctors, nurses,</w:t></w:r>
</w:p>
<w:p>
<w:pPr><w:pStyle w:val="Normal"/></w:pPr>
<w:r><w:t xml:space="preserve">&amp;c., as a hospital of similar size on shore, when necessary.</w:t></w:r>
</w:p>
<w:p>
<w:pPr><w:pStyle w:val="Normal"/></w:pPr>
<w:r><w:t xml:space="preserve">Red Cross societies.</w:t></w:r>
</w:p>
<w:p>
<w:pPr><w:pStyle w:val="Normal"/></w:pPr>
<w:r><w:t xml:space="preserve">Different regulations are made by various powers as to</w:t></w:r>
</w:p>
<w:p>
<w:pPr><w:pStyle w:val="Normal"/></w:pPr>
<w:r><w:t xml:space="preserve">the work of the Red Cross societies under the Geneva</w:t></w:r>
</w:p>
<w:p>
<w:pPr><w:pStyle w:val="Normal"/></w:pPr>
<w:r><w:t xml:space="preserve">flag.  Whereas in Germany and France such aid is officially</w:t></w:r>
</w:p>
<w:p>
<w:pPr><w:pStyle w:val="Normal"/></w:pPr>
<w:r><w:t xml:space="preserve">recognized  and placed under direct military control, the</w:t></w:r>
</w:p>
<w:p>
<w:pPr><w:pStyle w:val="Normal"/></w:pPr>
<w:r><w:t xml:space="preserve">English Red Cross societies have acted side by side with,</w:t></w:r>
</w:p>
<w:p>
<w:pPr><w:pStyle w:val="Normal"/></w:pPr>
<w:r><w:t xml:space="preserve">but independently of, the military ambulance organization.</w:t></w:r>
</w:p>
<w:p>
<w:pPr><w:pStyle w:val="Normal"/></w:pPr>
<w:r><w:t xml:space="preserve">In the South African War (1899-1902), however, the bonds</w:t></w:r>
</w:p>
<w:p>
<w:pPr><w:pStyle w:val="Normal"/></w:pPr>
<w:r><w:t xml:space="preserve">of union were drawn considerably closer, and cordial</w:t></w:r>
</w:p>
<w:p>
<w:pPr><w:pStyle w:val="Normal"/></w:pPr>
<w:r><w:t xml:space="preserve">co-operation was brought about to prevent overlapping and</w:t></w:r>
</w:p>
<w:p>
<w:pPr><w:pStyle w:val="Normal"/></w:pPr>
<w:r><w:t xml:space="preserve">waste of money.  In Germany the volunteer organization is</w:t></w:r>
</w:p>
<w:p>
<w:pPr><w:pStyle w:val="Normal"/></w:pPr>
<w:r><w:t xml:space="preserve">presided over by an imperial commission or inspector-general</w:t></w:r>
</w:p>
<w:p>
<w:pPr><w:pStyle w:val="Normal"/></w:pPr>
<w:r><w:t xml:space="preserve">appointed in peace time, who in time of war is attached to</w:t></w:r>
</w:p>
<w:p>
<w:pPr><w:pStyle w:val="Normal"/></w:pPr>
<w:r><w:t xml:space="preserve">the headquarters staff. His functions are to control the</w:t></w:r>
</w:p>
<w:p>
<w:pPr><w:pStyle w:val="Normal"/></w:pPr>
<w:r><w:t xml:space="preserve">relations of the various Red Cross societies and secure</w:t></w:r>
</w:p>
<w:p>
<w:pPr><w:pStyle w:val="Normal"/></w:pPr>
<w:r><w:t xml:space="preserve">harmonious co-operation.  Delegates appointed by him are</w:t></w:r>
</w:p>
<w:p>
<w:pPr><w:pStyle w:val="Normal"/></w:pPr>
<w:r><w:t xml:space="preserve">attached to the various corps and transport commissions.  No</w:t></w:r>
</w:p>
<w:p>
<w:pPr><w:pStyle w:val="Normal"/></w:pPr>
<w:r><w:t xml:space="preserve">volunteer assistance can be utilized which is not entirely</w:t></w:r>
</w:p>
<w:p>
<w:pPr><w:pStyle w:val="Normal"/></w:pPr>
<w:r><w:t xml:space="preserve">subordinate to the military control, and has not already in</w:t></w:r>
</w:p>
<w:p>
<w:pPr><w:pStyle w:val="Normal"/></w:pPr>
<w:r><w:t xml:space="preserve">peace time received official recognition and been organized</w:t></w:r>
</w:p>
<w:p>
<w:pPr><w:pStyle w:val="Normal"/></w:pPr>
<w:r><w:t xml:space="preserve">on a skeleton footing.  Moreover, only persons of German</w:t></w:r>
</w:p>
<w:p>
<w:pPr><w:pStyle w:val="Normal"/></w:pPr>
<w:r><w:t xml:space="preserve">nationality can be employed under it with the armies in the</w:t></w:r>
</w:p>
<w:p>
<w:pPr><w:pStyle w:val="Normal"/></w:pPr>
<w:r><w:t xml:space="preserve">field.  In case of base hospitals situated in Germany itself,</w:t></w:r>
</w:p>
<w:p>
<w:pPr><w:pStyle w:val="Normal"/></w:pPr>
<w:r><w:t xml:space="preserve">the services of foreigners may be employed when specially</w:t></w:r>
</w:p>
<w:p>
<w:pPr><w:pStyle w:val="Normal"/></w:pPr>
<w:r><w:t xml:space="preserve">authorized by the war office.  In France, in the main, the</w:t></w:r>
</w:p>
<w:p>
<w:pPr><w:pStyle w:val="Normal"/></w:pPr>
<w:r><w:t xml:space="preserve">same rules obtain in the case of volunteer hospital service.</w:t></w:r>
</w:p>
<w:p>
<w:pPr><w:pStyle w:val="Normal"/></w:pPr>
<w:r><w:t xml:space="preserve">St. John&apos;s Ambulance Association.</w:t></w:r>
</w:p>
<w:p>
<w:pPr><w:pStyle w:val="Normal"/></w:pPr>
<w:r><w:t xml:space="preserve">Great attention has been paid to civil ambulance organization in</w:t></w:r>
</w:p>
<w:p>
<w:pPr><w:pStyle w:val="Normal"/></w:pPr>
<w:r><w:t xml:space="preserve">England.  In 1878 the British ambulance association of St</w:t></w:r>
</w:p>
<w:p>
<w:pPr><w:pStyle w:val="Normal"/></w:pPr>
<w:r><w:t xml:space="preserve">John of Jerusalem was founded.  Its object was to render</w:t></w:r>
</w:p>
<w:p>
<w:pPr><w:pStyle w:val="Normal"/></w:pPr>
<w:r><w:t xml:space="preserve">first aid to persons injured in accidents on the  road,</w:t></w:r>
</w:p>
<w:p>
<w:pPr><w:pStyle w:val="Normal"/></w:pPr>
<w:r><w:t xml:space="preserve">railway, or in any of the occupations of civil life. As the</w:t></w:r>
</w:p>
<w:p>
<w:pPr><w:pStyle w:val="Normal"/></w:pPr>
<w:r><w:t xml:space="preserve">result of the initiative taken by this society, ambulance</w:t></w:r>
</w:p>
<w:p>
<w:pPr><w:pStyle w:val="Normal"/></w:pPr>
<w:r><w:t xml:space="preserve">corps have been formed in most large towns of the United</w:t></w:r>
</w:p>
<w:p>
<w:pPr><w:pStyle w:val="Normal"/></w:pPr>
<w:r><w:t xml:space="preserve">Kingdom; and police, railway servants and workmen have been</w:t></w:r>
</w:p>
<w:p>
<w:pPr><w:pStyle w:val="Normal"/></w:pPr>
<w:r><w:t xml:space="preserve">instructed how to render first aid pending the arrival of a</w:t></w:r>
</w:p>
<w:p>
<w:pPr><w:pStyle w:val="Normal"/></w:pPr>
<w:r><w:t xml:space="preserve">doctor.  This samaritan work has been further developed</w:t></w:r>
</w:p>
<w:p>
<w:pPr><w:pStyle w:val="Normal"/></w:pPr>
<w:r><w:t xml:space="preserve">and extended to most parts of the British empire, notably</w:t></w:r>
</w:p>
<w:p>
<w:pPr><w:pStyle w:val="Normal"/></w:pPr>
<w:r><w:t xml:space="preserve">Canada, Australia and India, and there is no doubt that many</w:t></w:r>
</w:p>
<w:p>
<w:pPr><w:pStyle w:val="Normal"/></w:pPr>
<w:r><w:t xml:space="preserve">lives are saved annually by the knowledge, diffused by this</w:t></w:r>
</w:p>
<w:p>
<w:pPr><w:pStyle w:val="Normal"/></w:pPr>
<w:r><w:t xml:space="preserve">association, as to how to stop bleeding, resuscitate the</w:t></w:r>
</w:p>
<w:p>
<w:pPr><w:pStyle w:val="Normal"/></w:pPr>
<w:r><w:t xml:space="preserve">apparently drowned, &amp;c. Moreover, during the South African</w:t></w:r>
</w:p>
<w:p>
<w:pPr><w:pStyle w:val="Normal"/></w:pPr>
<w:r><w:t xml:space="preserve">War this association provided a most valuable reserve for</w:t></w:r>
</w:p>
<w:p>
<w:pPr><w:pStyle w:val="Normal"/></w:pPr>
<w:r><w:t xml:space="preserve">the Royal Army Medical Corps, and drafted out some hundreds</w:t></w:r>
</w:p>
<w:p>
<w:pPr><w:pStyle w:val="Normal"/></w:pPr>
<w:r><w:t xml:space="preserve">of partially trained men whose assistance was most valuable</w:t></w:r>
</w:p>
<w:p>
<w:pPr><w:pStyle w:val="Normal"/></w:pPr>
<w:r><w:t xml:space="preserve">to the Army Medical Service in dealing with the enormous</w:t></w:r>
</w:p>
<w:p>
<w:pPr><w:pStyle w:val="Normal"/></w:pPr>
<w:r><w:t xml:space="preserve">numbers of sick and wounded who came upon their hands.</w:t></w:r>
</w:p>
<w:p>
<w:pPr><w:pStyle w:val="Normal"/></w:pPr>
<w:r><w:t xml:space="preserve">Civil ambulance in America.</w:t></w:r>
</w:p>
<w:p>
<w:pPr><w:pStyle w:val="Normal"/></w:pPr>
<w:r><w:t xml:space="preserve">In America each city has its own system and organization of civil</w:t></w:r>
</w:p>
<w:p>
<w:pPr><w:pStyle w:val="Normal"/></w:pPr>
<w:r><w:t xml:space="preserve">ambulance service.  In some, as in Boston, the service is worked</w:t></w:r>
</w:p>
<w:p>
<w:pPr><w:pStyle w:val="Normal"/></w:pPr>
<w:r><w:t xml:space="preserve">by the police; in others, notably New York,  by the hospitals,</w:t></w:r>
</w:p>
<w:p>
<w:pPr><w:pStyle w:val="Normal"/></w:pPr>
<w:r><w:t xml:space="preserve">while Chicago has an admirable service under municipal control.</w:t></w:r>
</w:p>
<w:p>
<w:pPr><w:pStyle w:val="Normal"/></w:pPr>
<w:r><w:t xml:space="preserve">In most of the capitals of Europe similar systems prevail.</w:t></w:r>
</w:p>
<w:p>
<w:pPr><w:pStyle w:val="Normal"/></w:pPr>
<w:r><w:t xml:space="preserve">Ambulance wagons.</w:t></w:r>
</w:p>
<w:p>
<w:pPr><w:pStyle w:val="Normal"/></w:pPr>
<w:r><w:t xml:space="preserve">British ambulance wagons are built very strongly to stand</w:t></w:r>
</w:p>
<w:p>
<w:pPr><w:pStyle w:val="Normal"/></w:pPr>
<w:r><w:t xml:space="preserve">rough roads, and are of several patterns; those used in the</w:t></w:r>
</w:p>
<w:p>
<w:pPr><w:pStyle w:val="Normal"/></w:pPr>
<w:r><w:t xml:space="preserve">war in South Africa were reported on as heavy, uncomfortable,</w:t></w:r>
</w:p>
<w:p>
<w:pPr><w:pStyle w:val="Normal"/></w:pPr>
<w:r><w:t xml:space="preserve">and so unwieldy as to be incapable very often of  keeping</w:t></w:r>
</w:p>
<w:p>
<w:pPr><w:pStyle w:val="Normal"/></w:pPr>
<w:r><w:t xml:space="preserve">up with the troops; but a new and more mobile vehicle, to</w:t></w:r>
</w:p>
<w:p>
<w:pPr><w:pStyle w:val="Normal"/></w:pPr>
<w:r><w:t xml:space="preserve">convey four patients lying down as well as six seated, or</w:t></w:r>
</w:p>
<w:p>
<w:pPr><w:pStyle w:val="Normal"/></w:pPr>
<w:r><w:t xml:space="preserve">fourteen all seated (whereas the old pattern wagons only</w:t></w:r>
</w:p>
<w:p>
<w:pPr><w:pStyle w:val="Normal"/></w:pPr>
<w:r><w:t xml:space="preserve">accommodated two lying-down cases), has been introduced.</w:t></w:r>
</w:p>
<w:p>
<w:pPr><w:pStyle w:val="Normal"/></w:pPr>
<w:r><w:t xml:space="preserve">All patterns of wagons weigh from 17 1/2 to 18 1/3 cwt., while</w:t></w:r>
</w:p>
<w:p>
<w:pPr><w:pStyle w:val="Normal"/></w:pPr>
<w:r><w:t xml:space="preserve">the Boers and the British Colonial auxiliaries used much</w:t></w:r>
</w:p>
<w:p>
<w:pPr><w:pStyle w:val="Normal"/></w:pPr>
<w:r><w:t xml:space="preserve">lighter-carts, which were taken at a gallop over almost any</w:t></w:r>
</w:p>
<w:p>
<w:pPr><w:pStyle w:val="Normal"/></w:pPr>
<w:r><w:t xml:space="preserve">country.  The Indian ambulances are small two-wheeled</w:t></w:r>
</w:p>
<w:p>
<w:pPr><w:pStyle w:val="Normal"/></w:pPr>
<w:r><w:t xml:space="preserve">carts, called tongas, drawn by two bullocks or mules;</w:t></w:r>
</w:p>
<w:p>
<w:pPr><w:pStyle w:val="Normal"/></w:pPr>
<w:r><w:t xml:space="preserve">very strongly made, they are capable of holding two men</w:t></w:r>
</w:p>
<w:p>
<w:pPr><w:pStyle w:val="Normal"/></w:pPr>
<w:r><w:t xml:space="preserve">lying down, or four sitting up, besides the native driver.</w:t></w:r>
</w:p>
<w:p>
<w:pPr><w:pStyle w:val="Normal"/></w:pPr>
<w:r><w:t xml:space="preserve">Various other forms of transport are found, such as mule</w:t></w:r>
</w:p>
<w:p>
<w:pPr><w:pStyle w:val="Normal"/></w:pPr>
<w:r><w:t xml:space="preserve">litters in mountainous districts, where wheeled carriages</w:t></w:r>
</w:p>
<w:p>
<w:pPr><w:pStyle w:val="Normal"/></w:pPr>
<w:r><w:t xml:space="preserve">cannot go, camel litters in the Sudan, dhoolies in India,</w:t></w:r>
</w:p>
<w:p>
<w:pPr><w:pStyle w:val="Normal"/></w:pPr>
<w:r><w:t xml:space="preserve">hammocks on the west coast of Africa, or sedan-chairs in</w:t></w:r>
</w:p>
<w:p>
<w:pPr><w:pStyle w:val="Normal"/></w:pPr>
<w:r><w:t xml:space="preserve">China.  In the Russo-Japanese War an ingenious form of mule</w:t></w:r>
</w:p>
<w:p>
<w:pPr><w:pStyle w:val="Normal"/></w:pPr>
<w:r><w:t xml:space="preserve">litter for serious cases was made by fixing the ends of</w:t></w:r>
</w:p>
<w:p>
<w:pPr><w:pStyle w:val="Normal"/></w:pPr>
<w:r><w:t xml:space="preserve">two long springy poles about 15 ft. long into each side of</w:t></w:r>
</w:p>
<w:p>
<w:pPr><w:pStyle w:val="Normal"/></w:pPr>
<w:r><w:t xml:space="preserve">the pack saddles of two mules, one in front of the other,</w:t></w:r>
</w:p>
<w:p>
<w:pPr><w:pStyle w:val="Normal"/></w:pPr>
<w:r><w:t xml:space="preserve">so as to support a bed for the patient between them; the</w:t></w:r>
</w:p>
<w:p>
<w:pPr><w:pStyle w:val="Normal"/></w:pPr>
<w:r><w:t xml:space="preserve">length and resiliency of the poles prevented jolting of</w:t></w:r>
</w:p>
<w:p>
<w:pPr><w:pStyle w:val="Normal"/></w:pPr>
<w:r><w:t xml:space="preserve">the wounded man, and the mules were able to carry him long</w:t></w:r>
</w:p>
<w:p>
<w:pPr><w:pStyle w:val="Normal"/></w:pPr>
<w:r><w:t xml:space="preserve">distances over any kind of ground.  The ordinary mule or</w:t></w:r>
</w:p>
<w:p>
<w:pPr><w:pStyle w:val="Normal"/></w:pPr>
<w:r><w:t xml:space="preserve">camel litter provides for a wounded man (lying down) being</w:t></w:r>
</w:p>
<w:p>
<w:pPr><w:pStyle w:val="Normal"/></w:pPr>
<w:r><w:t xml:space="preserve">carried on a sort of stretcher on either side of the animal,</w:t></w:r>
</w:p>
<w:p>
<w:pPr><w:pStyle w:val="Normal"/></w:pPr>
<w:r><w:t xml:space="preserve">or in cacolets in which the less serious cases are slung</w:t></w:r>
</w:p>
<w:p>
<w:pPr><w:pStyle w:val="Normal"/></w:pPr>
<w:r><w:t xml:space="preserve">in seats (one on each side of the animal), sitting up.</w:t></w:r>
</w:p>
<w:p>
<w:pPr><w:pStyle w:val="Normal"/></w:pPr>
<w:r><w:t xml:space="preserve">Mobilization.</w:t></w:r>
</w:p>
<w:p>
<w:pPr><w:pStyle w:val="Normal"/></w:pPr>
<w:r><w:t xml:space="preserve">In Great Britain, the material and equipment required are</w:t></w:r>
</w:p>
<w:p>
<w:pPr><w:pStyle w:val="Normal"/></w:pPr>
<w:r><w:t xml:space="preserve">stored in times of peace at the various headquarters stations</w:t></w:r>
</w:p>
<w:p>
<w:pPr><w:pStyle w:val="Normal"/></w:pPr>
<w:r><w:t xml:space="preserve">and carefully examined twice a year; and on orders for</w:t></w:r>
</w:p>
<w:p>
<w:pPr><w:pStyle w:val="Normal"/></w:pPr>
<w:r><w:t xml:space="preserve">mobilization being issued, the doctors and various ranks</w:t></w:r>
</w:p>
<w:p>
<w:pPr><w:pStyle w:val="Normal"/></w:pPr>
<w:r><w:t xml:space="preserve">of attendants, who have previously been told off to each</w:t></w:r>
</w:p>
<w:p>
<w:pPr><w:pStyle w:val="Normal"/></w:pPr>
<w:r><w:t xml:space="preserve">unit, repair to the allotted station, draw the equipment and</w:t></w:r>
</w:p>
<w:p>
<w:pPr><w:pStyle w:val="Normal"/></w:pPr>
<w:r><w:t xml:space="preserve">transport, and embark with the brigade to which they are</w:t></w:r>
</w:p>
<w:p>
<w:pPr><w:pStyle w:val="Normal"/></w:pPr>
<w:r><w:t xml:space="preserve">attached.  The tendency of the present day is towards</w:t></w:r>
</w:p>
<w:p>
<w:pPr><w:pStyle w:val="Normal"/></w:pPr>
<w:r><w:t xml:space="preserve">reduction in bulk and concentration of strength of drugs,</w:t></w:r>
</w:p>
<w:p>
<w:pPr><w:pStyle w:val="Normal"/></w:pPr>
<w:r><w:t xml:space="preserve">points which simplify the question of transport of ambulance</w:t></w:r>
</w:p>
<w:p>
<w:pPr><w:pStyle w:val="Normal"/></w:pPr>
<w:r><w:t xml:space="preserve">material.  As the fighting man can carry concentrated</w:t></w:r>
</w:p>
<w:p>
<w:pPr><w:pStyle w:val="Normal"/></w:pPr>
<w:r><w:t xml:space="preserve">nourishment enough for thirty-six hours, in the form of</w:t></w:r>
</w:p>
<w:p>
<w:pPr><w:pStyle w:val="Normal"/></w:pPr>
<w:r><w:t xml:space="preserve">an emergency ration, in a tin the size of an ordinary</w:t></w:r>
</w:p>
<w:p>
<w:pPr><w:pStyle w:val="Normal"/></w:pPr>
<w:r><w:t xml:space="preserve">cigar-case, and enough sweetening material in the form of</w:t></w:r>
</w:p>
<w:p>
<w:pPr><w:pStyle w:val="Normal"/></w:pPr>
<w:r><w:t xml:space="preserve">saccharine to last a fortnight in a bottle smaller than an</w:t></w:r>
</w:p>
<w:p>
<w:pPr><w:pStyle w:val="Normal"/></w:pPr>
<w:r><w:t xml:space="preserve">ordinary watch, so the medical department can take their</w:t></w:r>
</w:p>
<w:p>
<w:pPr><w:pStyle w:val="Normal"/></w:pPr>
<w:r><w:t xml:space="preserve">drugs in the form of compressed tabloids, each the correct</w:t></w:r>
</w:p>
<w:p>
<w:pPr><w:pStyle w:val="Normal"/></w:pPr>
<w:r><w:t xml:space="preserve">dose, and each occupying about one-tenth of the space</w:t></w:r>
</w:p>
<w:p>
<w:pPr><w:pStyle w:val="Normal"/></w:pPr>
<w:r><w:t xml:space="preserve">the drug ordinarily would; while the medical officers</w:t></w:r>
</w:p>
<w:p>
<w:pPr><w:pStyle w:val="Normal"/></w:pPr>
<w:r><w:t xml:space="preserve">can carry hypodermic cases, not so large as an ordinary</w:t></w:r>
</w:p>
<w:p>
<w:pPr><w:pStyle w:val="Normal"/></w:pPr>
<w:r><w:t xml:space="preserve">cigarette-case, containing a syringe and hundreds of doses of</w:t></w:r>
</w:p>
<w:p>
<w:pPr><w:pStyle w:val="Normal"/></w:pPr>
<w:r><w:t xml:space="preserve">highly concentrated remedies.  Again, the traction engines</w:t></w:r>
</w:p>
<w:p>
<w:pPr><w:pStyle w:val="Normal"/></w:pPr>
<w:r><w:t xml:space="preserve">which now accompany an army can also supply electricity for</w:t></w:r>
</w:p>
<w:p>
<w:pPr><w:pStyle w:val="Normal"/></w:pPr>
<w:r><w:t xml:space="preserve">X-ray work, electric-lighting, ice-making, &amp;c. (J. R. D.)</w:t></w:r>
</w:p>
<w:p>
<w:pPr><w:pStyle w:val="Normal"/></w:pPr>
<w:r><w:t xml:space="preserve">AMBULATORY (Med.  Lat. ambulatorium, a place for walking,</w:t></w:r>
</w:p>
<w:p>
<w:pPr><w:pStyle w:val="Normal"/></w:pPr>
<w:r><w:t xml:space="preserve">from ambulare, to walk), the covered passage round a cloister;</w:t></w:r>
</w:p>
<w:p>
<w:pPr><w:pStyle w:val="Normal"/></w:pPr>
<w:r><w:t xml:space="preserve">a term applied sometimes to the procession way round the east</w:t></w:r>
</w:p>
<w:p>
<w:pPr><w:pStyle w:val="Normal"/></w:pPr>
<w:r><w:t xml:space="preserve">end of a cathedral or large church and behind the high altar.</w:t></w:r>
</w:p>
<w:p>
<w:pPr><w:pStyle w:val="Normal"/></w:pPr>
<w:r><w:t xml:space="preserve">AMBUSH (older form, ``embush,&apos;&apos; O. Fr. embusche,</w:t></w:r>
</w:p>
<w:p>
<w:pPr><w:pStyle w:val="Normal"/></w:pPr>
<w:r><w:t xml:space="preserve">from the Ital. imboscata, in and bosco, a wood),</w:t></w:r>
</w:p>
<w:p>
<w:pPr><w:pStyle w:val="Normal"/></w:pPr>
<w:r><w:t xml:space="preserve">the hiding of troops, primarily in a wood, and so</w:t></w:r>
</w:p>
<w:p>
<w:pPr><w:pStyle w:val="Normal"/></w:pPr>
<w:r><w:t xml:space="preserve">any concealment for the purpose of a sudden attack.</w:t></w:r>
</w:p>
<w:p>
<w:pPr><w:pStyle w:val="Normal"/></w:pPr>
<w:r><w:t xml:space="preserve">AMEDEO FERDINANDO MARIA DI SAVOIA, duke of Aosta (1845-1890),</w:t></w:r>
</w:p>
<w:p>
<w:pPr><w:pStyle w:val="Normal"/></w:pPr>
<w:r><w:t xml:space="preserve">third son of Victor Emmanuel II., king of Italy, and of Adelaide,</w:t></w:r>
</w:p>
<w:p>
<w:pPr><w:pStyle w:val="Normal"/></w:pPr>
<w:r><w:t xml:space="preserve">archduchess of Austria, was born at Turin on the 30th of May</w:t></w:r>
</w:p>
<w:p>
<w:pPr><w:pStyle w:val="Normal"/></w:pPr>
<w:r><w:t xml:space="preserve">1845.  Entering the army as captain in 1859 he fought through</w:t></w:r>
</w:p>
<w:p>
<w:pPr><w:pStyle w:val="Normal"/></w:pPr>
<w:r><w:t xml:space="preserve">the campaign of 1866 with the rank of major-general, leading</w:t></w:r>
</w:p>
<w:p>
<w:pPr><w:pStyle w:val="Normal"/></w:pPr>
<w:r><w:t xml:space="preserve">his brigade into action at Custozza and being wounded at Monte</w:t></w:r>
</w:p>
<w:p>
<w:pPr><w:pStyle w:val="Normal"/></w:pPr>
<w:r><w:t xml:space="preserve">Torre.  In May 1867 he married the princess Maria Carlotta</w:t></w:r>
</w:p>
<w:p>
<w:pPr><w:pStyle w:val="Normal"/></w:pPr>
<w:r><w:t xml:space="preserve">del Pozzo della Cisterna.  In 1868 he was created vice-admiral</w:t></w:r>
</w:p>
<w:p>
<w:pPr><w:pStyle w:val="Normal"/></w:pPr>
<w:r><w:t xml:space="preserve">of the Italian navy, but, two years later, left Italy to</w:t></w:r>
</w:p>
<w:p>
<w:pPr><w:pStyle w:val="Normal"/></w:pPr>
<w:r><w:t xml:space="preserve">ascend the Spanish throne, his reluctance to accept the</w:t></w:r>
</w:p>
<w:p>
<w:pPr><w:pStyle w:val="Normal"/></w:pPr>
<w:r><w:t xml:space="preserve">invitation of the Cortes having been overridden by the Italian</w:t></w:r>
</w:p>
<w:p>
<w:pPr><w:pStyle w:val="Normal"/></w:pPr>
<w:r><w:t xml:space="preserve">cabinet.  On the 16th of November 1870 he was proclaimed</w:t></w:r>
</w:p>
<w:p>
<w:pPr><w:pStyle w:val="Normal"/></w:pPr>
<w:r><w:t xml:space="preserve">king of Spain by the Cortes; but, before he could arrive at</w:t></w:r>
</w:p>
<w:p>
<w:pPr><w:pStyle w:val="Normal"/></w:pPr>
<w:r><w:t xml:space="preserve">Madrid, Marshal Prim, chief promoter of his candidature, was</w:t></w:r>
</w:p>
<w:p>
<w:pPr><w:pStyle w:val="Normal"/></w:pPr>
<w:r><w:t xml:space="preserve">assassinated.  Undeterred by rumours of a plot against his own</w:t></w:r>
</w:p>
<w:p>
<w:pPr><w:pStyle w:val="Normal"/></w:pPr>
<w:r><w:t xml:space="preserve">life, Amedeo entered Madrid alone, riding at some distance</w:t></w:r>
</w:p>
<w:p>
<w:pPr><w:pStyle w:val="Normal"/></w:pPr>
<w:r><w:t xml:space="preserve">from his suite to the church where Marshal Prim&apos;s body lay</w:t></w:r>
</w:p>
<w:p>
<w:pPr><w:pStyle w:val="Normal"/></w:pPr>
<w:r><w:t xml:space="preserve">in state. His efforts as constitutional king were paralysed</w:t></w:r>
</w:p>
<w:p>
<w:pPr><w:pStyle w:val="Normal"/></w:pPr>
<w:r><w:t xml:space="preserve">by the rivalry between the various Spanish factions, but with</w:t></w:r>
</w:p>
<w:p>
<w:pPr><w:pStyle w:val="Normal"/></w:pPr>
<w:r><w:t xml:space="preserve">the approval of his father he rejected all idea of a coup</w:t></w:r>
</w:p>
<w:p>
<w:pPr><w:pStyle w:val="Normal"/></w:pPr>
<w:r><w:t xml:space="preserve">d&apos;etat.  Though warned of a plot against his life (August</w:t></w:r>
</w:p>
<w:p>
<w:pPr><w:pStyle w:val="Normal"/></w:pPr>
<w:r><w:t xml:space="preserve">18, 1872) he refused to take precautions, and, while returning</w:t></w:r>
</w:p>
<w:p>
<w:pPr><w:pStyle w:val="Normal"/></w:pPr>
<w:r><w:t xml:space="preserve">from Buen Retiro to Madrid in company with the queen, was</w:t></w:r>
</w:p>
<w:p>
<w:pPr><w:pStyle w:val="Normal"/></w:pPr>
<w:r><w:t xml:space="preserve">repeatedly shot at in Via Avenal.  The royal carriage was</w:t></w:r>
</w:p>
<w:p>
<w:pPr><w:pStyle w:val="Normal"/></w:pPr>
<w:r><w:t xml:space="preserve">struck by several revolver and rifle bullets, the horses</w:t></w:r>
</w:p>
<w:p>
<w:pPr><w:pStyle w:val="Normal"/></w:pPr>
<w:r><w:t xml:space="preserve">wounded, but its occupants escaped unhurt.  A period of</w:t></w:r>
</w:p>
<w:p>
<w:pPr><w:pStyle w:val="Normal"/></w:pPr>
<w:r><w:t xml:space="preserve">calm followed the outrage.  On the 11th of February 1873,</w:t></w:r>
</w:p>
<w:p>
<w:pPr><w:pStyle w:val="Normal"/></w:pPr>
<w:r><w:t xml:space="preserve">however, Amedeo, abandoned by his partisans and attacked</w:t></w:r>
</w:p>
<w:p>
<w:pPr><w:pStyle w:val="Normal"/></w:pPr>
<w:r><w:t xml:space="preserve">more fiercely than ever by his opponents, signed his</w:t></w:r>
</w:p>
<w:p>
<w:pPr><w:pStyle w:val="Normal"/></w:pPr>
<w:r><w:t xml:space="preserve">abdication.  Upon returning to Italy he was cordially welcomed</w:t></w:r>
</w:p>
<w:p>
<w:pPr><w:pStyle w:val="Normal"/></w:pPr>
<w:r><w:t xml:space="preserve">and reinstated in his former position.  His consort, whose</w:t></w:r>
</w:p>
<w:p>
<w:pPr><w:pStyle w:val="Normal"/></w:pPr>
<w:r><w:t xml:space="preserve">health had been undermined by anxiety in Spain, died on</w:t></w:r>
</w:p>
<w:p>
<w:pPr><w:pStyle w:val="Normal"/></w:pPr>
<w:r><w:t xml:space="preserve">the 3rd of November 1876.  Not until the 11th of September</w:t></w:r>
</w:p>
<w:p>
<w:pPr><w:pStyle w:val="Normal"/></w:pPr>
<w:r><w:t xml:space="preserve">1888 did Amedeo contract his second marriage, with his niece</w:t></w:r>
</w:p>
<w:p>
<w:pPr><w:pStyle w:val="Normal"/></w:pPr>
<w:r><w:t xml:space="preserve">Princess Letitia Bonaparte.  Less than two years later</w:t></w:r>
</w:p>
<w:p>
<w:pPr><w:pStyle w:val="Normal"/></w:pPr>
<w:r><w:t xml:space="preserve">(January 18, 1890) he died at Turin in the arms of his elder</w:t></w:r>
</w:p>
<w:p>
<w:pPr><w:pStyle w:val="Normal"/></w:pPr>
<w:r><w:t xml:space="preserve">brother, King Humbert I., leaving four children -- the duke</w:t></w:r>
</w:p>
<w:p>
<w:pPr><w:pStyle w:val="Normal"/></w:pPr>
<w:r><w:t xml:space="preserve">of Aosta, the count of Turin, the duke of the Abruzzi (issue</w:t></w:r>
</w:p>
<w:p>
<w:pPr><w:pStyle w:val="Normal"/></w:pPr>
<w:r><w:t xml:space="preserve">of his first marriage), and the count of Salemi. (H. W. S.)</w:t></w:r>
</w:p>
<w:p>
<w:pPr><w:pStyle w:val="Normal"/></w:pPr>
<w:r><w:t xml:space="preserve">AMELIE-LES-BAINS, a watering-place of south-western</w:t></w:r>
</w:p>
<w:p>
<w:pPr><w:pStyle w:val="Normal"/></w:pPr>
<w:r><w:t xml:space="preserve">France, in the department of Pyrenees-Orientales, at the</w:t></w:r>
</w:p>
<w:p>
<w:pPr><w:pStyle w:val="Normal"/></w:pPr>
<w:r><w:t xml:space="preserve">junction of the Mondony with the Tech, 28 1/2 m.  S.S.W. of</w:t></w:r>
</w:p>
<w:p>
<w:pPr><w:pStyle w:val="Normal"/></w:pPr>
<w:r><w:t xml:space="preserve">Perpignan by rail.  Pop. (1906) 1247.  It has numerous sulphur</w:t></w:r>
</w:p>
<w:p>
<w:pPr><w:pStyle w:val="Normal"/></w:pPr>
<w:r><w:t xml:space="preserve">springs (68 deg. -145 deg.  F.) used as baths by sufferers from</w:t></w:r>
</w:p>
<w:p>
<w:pPr><w:pStyle w:val="Normal"/></w:pPr>
<w:r><w:t xml:space="preserve">rheumatism and maladies of the lungs.  The town is situated</w:t></w:r>
</w:p>
<w:p>
<w:pPr><w:pStyle w:val="Normal"/></w:pPr>
<w:r><w:t xml:space="preserve">at a height of 770 ft. and has both a winter and summer</w:t></w:r>
</w:p>
<w:p>
<w:pPr><w:pStyle w:val="Normal"/></w:pPr>
<w:r><w:t xml:space="preserve">season.  There are two bathing establishments, one of which</w:t></w:r>
</w:p>
<w:p>
<w:pPr><w:pStyle w:val="Normal"/></w:pPr>
<w:r><w:t xml:space="preserve">preserves remains of Roman baths, and a large military thermal</w:t></w:r>
</w:p>
<w:p>
<w:pPr><w:pStyle w:val="Normal"/></w:pPr>
<w:r><w:t xml:space="preserve">hospital.  The town, formerly called Arles-les-Bains,</w:t></w:r>
</w:p>
<w:p>
<w:pPr><w:pStyle w:val="Normal"/></w:pPr>
<w:r><w:t xml:space="preserve">is named after Queen Amelia, wife of Louis Philippe.</w:t></w:r>
</w:p>
<w:p>
<w:pPr><w:pStyle w:val="Normal"/></w:pPr>
<w:r><w:t xml:space="preserve">AMELOT DE LA HOUSSAYE, ABRAHAM NICOLAS (1634-1706), French</w:t></w:r>
</w:p>
<w:p>
<w:pPr><w:pStyle w:val="Normal"/></w:pPr>
<w:r><w:t xml:space="preserve">historian and publicist, was born at Orleans in February</w:t></w:r>
</w:p>
<w:p>
<w:pPr><w:pStyle w:val="Normal"/></w:pPr>
<w:r><w:t xml:space="preserve">1634, and died at Paris on the 8th of December 1706. Little</w:t></w:r>
</w:p>
<w:p>
<w:pPr><w:pStyle w:val="Normal"/></w:pPr>
<w:r><w:t xml:space="preserve">is known of his personal history beyond the fact that he</w:t></w:r>
</w:p>
<w:p>
<w:pPr><w:pStyle w:val="Normal"/></w:pPr>
<w:r><w:t xml:space="preserve">was secretary to an embassy from the French court to the</w:t></w:r>
</w:p>
<w:p>
<w:pPr><w:pStyle w:val="Normal"/></w:pPr>
<w:r><w:t xml:space="preserve">republic of Venice.  In his Histoire du gouvernement de</w:t></w:r>
</w:p>
<w:p>
<w:pPr><w:pStyle w:val="Normal"/></w:pPr>
<w:r><w:t xml:space="preserve">Venise he undertook to explain, and above all to criticize,</w:t></w:r>
</w:p>
<w:p>
<w:pPr><w:pStyle w:val="Normal"/></w:pPr>
<w:r><w:t xml:space="preserve">the administration  of that republic, and to expose the</w:t></w:r>
</w:p>
<w:p>
<w:pPr><w:pStyle w:val="Normal"/></w:pPr>
<w:r><w:t xml:space="preserve">causes of its decadence. The work was printed by the</w:t></w:r>
</w:p>
<w:p>
<w:pPr><w:pStyle w:val="Normal"/></w:pPr>
<w:r><w:t xml:space="preserve">king&apos;s printer and dedicated to Louvois, which points to</w:t></w:r>
</w:p>
<w:p>
<w:pPr><w:pStyle w:val="Normal"/></w:pPr>
<w:r><w:t xml:space="preserve">the probability that the government did not disapprove of</w:t></w:r>
</w:p>
<w:p>
<w:pPr><w:pStyle w:val="Normal"/></w:pPr>
<w:r><w:t xml:space="preserve">it.  It appeared in March 1676, and provoked a warm protest</w:t></w:r>
</w:p>
<w:p>
<w:pPr><w:pStyle w:val="Normal"/></w:pPr>
<w:r><w:t xml:space="preserve">from the Venetian ambassador, Giustiniani.  The author was</w:t></w:r>
</w:p>
<w:p>
<w:pPr><w:pStyle w:val="Normal"/></w:pPr>
<w:r><w:t xml:space="preserve">sent to the Bastille, where he remained, however, only six</w:t></w:r>
</w:p>
<w:p>
<w:pPr><w:pStyle w:val="Normal"/></w:pPr>
<w:r><w:t xml:space="preserve">weeks (Archives de la Bastille, vol. viii. pp. 93 and 94).</w:t></w:r>
</w:p>
<w:p>
<w:pPr><w:pStyle w:val="Normal"/></w:pPr>
<w:r><w:t xml:space="preserve">A second edition with a supplement, published immediately</w:t></w:r>
</w:p>
<w:p>
<w:pPr><w:pStyle w:val="Normal"/></w:pPr>
<w:r><w:t xml:space="preserve">after, drew forth fresh protestations, and the edition was</w:t></w:r>
</w:p>
<w:p>
<w:pPr><w:pStyle w:val="Normal"/></w:pPr>
<w:r><w:t xml:space="preserve">suppressed.  This persecution gave the book an extraordinary</w:t></w:r>
</w:p>
<w:p>
<w:pPr><w:pStyle w:val="Normal"/></w:pPr>
<w:r><w:t xml:space="preserve">vogue, and it passed through twenty-two editions in three</w:t></w:r>
</w:p>
<w:p>
<w:pPr><w:pStyle w:val="Normal"/></w:pPr>
<w:r><w:t xml:space="preserve">years, besides being translated into several languages; there</w:t></w:r>
</w:p>
<w:p>
<w:pPr><w:pStyle w:val="Normal"/></w:pPr>
<w:r><w:t xml:space="preserve">is an English translation by Lord Falconbridge, son-in-law</w:t></w:r>
</w:p>
<w:p>
<w:pPr><w:pStyle w:val="Normal"/></w:pPr>
<w:r><w:t xml:space="preserve">of Oliver Cromwell.  Amelot next published in 1683 a</w:t></w:r>
</w:p>
<w:p>
<w:pPr><w:pStyle w:val="Normal"/></w:pPr>
<w:r><w:t xml:space="preserve">translation of Fra Paolo Sarpi&apos;s History of the Council of</w:t></w:r>
</w:p>
<w:p>
<w:pPr><w:pStyle w:val="Normal"/></w:pPr>
<w:r><w:t xml:space="preserve">Trent.  This work, and especially certain notes added by the</w:t></w:r>
</w:p>
<w:p>
<w:pPr><w:pStyle w:val="Normal"/></w:pPr>
<w:r><w:t xml:space="preserve">translator, gave great offence to the advocates of unlimited</w:t></w:r>
</w:p>
<w:p>
<w:pPr><w:pStyle w:val="Normal"/></w:pPr>
<w:r><w:t xml:space="preserve">papal authority, and three separate memorials were presented</w:t></w:r>
</w:p>
<w:p>
<w:pPr><w:pStyle w:val="Normal"/></w:pPr>
<w:r><w:t xml:space="preserve">asking for its repression. Under the pseudonym of La Motte</w:t></w:r>
</w:p>
<w:p>
<w:pPr><w:pStyle w:val="Normal"/></w:pPr>
<w:r><w:t xml:space="preserve">Josseval, Amelot subsequently published a Discours politique</w:t></w:r>
</w:p>
<w:p>
<w:pPr><w:pStyle w:val="Normal"/></w:pPr>
<w:r><w:t xml:space="preserve">sur Tacite, in which he analysed the character of Tiberius.</w:t></w:r>
</w:p>
<w:p>
<w:pPr><w:pStyle w:val="Normal"/></w:pPr>
<w:r><w:t xml:space="preserve">AMEN, a Hebrew word, of which the root meaning is</w:t></w:r>
</w:p>
<w:p>
<w:pPr><w:pStyle w:val="Normal"/></w:pPr>
<w:r><w:t xml:space="preserve">``stability,&apos;&apos; generally adopted in Christian worship as a</w:t></w:r>
</w:p>
<w:p>
<w:pPr><w:pStyle w:val="Normal"/></w:pPr>
<w:r><w:t xml:space="preserve">concluding formula for prayers and hymns.  Three distinct</w:t></w:r>
</w:p>
<w:p>
<w:pPr><w:pStyle w:val="Normal"/></w:pPr>
<w:r><w:t xml:space="preserve">biblical usages may be noted. (a) Initial Amen, referring</w:t></w:r>
</w:p>
<w:p>
<w:pPr><w:pStyle w:val="Normal"/></w:pPr>
<w:r><w:t xml:space="preserve">back to words of another speaker, e.g. 1 Kings i. 36; Rev.</w:t></w:r>
</w:p>
<w:p>
<w:pPr><w:pStyle w:val="Normal"/></w:pPr>
<w:r><w:t xml:space="preserve">xxii. 20. (b) Detached Amen, the complementary sentence</w:t></w:r>
</w:p>
<w:p>
<w:pPr><w:pStyle w:val="Normal"/></w:pPr>
<w:r><w:t xml:space="preserve">being suppressed, e.g. Neh. v. 13; Rev. v. 14 (cf. 1 Cor.</w:t></w:r>
</w:p>
<w:p>
<w:pPr><w:pStyle w:val="Normal"/></w:pPr>
<w:r><w:t xml:space="preserve">xiv. 16). (c) Final Amen, with no change of speaker, as</w:t></w:r>
</w:p>
<w:p>
<w:pPr><w:pStyle w:val="Normal"/></w:pPr>
<w:r><w:t xml:space="preserve">in the subscription to the first three divisions of the</w:t></w:r>
</w:p>
<w:p>
<w:pPr><w:pStyle w:val="Normal"/></w:pPr>
<w:r><w:t xml:space="preserve">Psalter and in the frequent doxologies of the New Testament</w:t></w:r>
</w:p>
<w:p>
<w:pPr><w:pStyle w:val="Normal"/></w:pPr>
<w:r><w:t xml:space="preserve">Epistles.  The uses of amen (``verily&apos;&apos;) in the Gospels form a</w:t></w:r>
</w:p>
<w:p>
<w:pPr><w:pStyle w:val="Normal"/></w:pPr>
<w:r><w:t xml:space="preserve">peculiar class; they are initial, but often lack any backward</w:t></w:r>
</w:p>
<w:p>
<w:pPr><w:pStyle w:val="Normal"/></w:pPr>
<w:r><w:t xml:space="preserve">reference.  Jesus used the word to affirm his own utterances,</w:t></w:r>
</w:p>
<w:p>
<w:pPr><w:pStyle w:val="Normal"/></w:pPr>
<w:r><w:t xml:space="preserve">not those of another person, and this usage was adopted by the</w:t></w:r>
</w:p>
<w:p>
<w:pPr><w:pStyle w:val="Normal"/></w:pPr>
<w:r><w:t xml:space="preserve">church.  The liturgical use of the word in apostolic times</w:t></w:r>
</w:p>
<w:p>
<w:pPr><w:pStyle w:val="Normal"/></w:pPr>
<w:r><w:t xml:space="preserve">is attested by the passage from 1 Cor. cited above, and</w:t></w:r>
</w:p>
<w:p>
<w:pPr><w:pStyle w:val="Normal"/></w:pPr>
<w:r><w:t xml:space="preserve">Justin Martyr (c. A.D. 150) describes the congregation as</w:t></w:r>
</w:p>
<w:p>
<w:pPr><w:pStyle w:val="Normal"/></w:pPr>
<w:r><w:t xml:space="preserve">responding ``amen,&apos;&apos; to the benediction after the celebration</w:t></w:r>
</w:p>
<w:p>
<w:pPr><w:pStyle w:val="Normal"/></w:pPr>
<w:r><w:t xml:space="preserve">of the Eucharist. Its introduction into the baptismal formula</w:t></w:r>
</w:p>
<w:p>
<w:pPr><w:pStyle w:val="Normal"/></w:pPr>
<w:r><w:t xml:space="preserve">(in the Greek Church it is pronounced after the name of each</w:t></w:r>
</w:p>
<w:p>
<w:pPr><w:pStyle w:val="Normal"/></w:pPr>
<w:r><w:t xml:space="preserve">person of the Trinity) is probably later.  Among certain Gnostic</w:t></w:r>
</w:p>
<w:p>
<w:pPr><w:pStyle w:val="Normal"/></w:pPr>
<w:r><w:t xml:space="preserve">sects Amen became the name of an angel, and in post-biblical</w:t></w:r>
</w:p>
<w:p>
<w:pPr><w:pStyle w:val="Normal"/></w:pPr>
<w:r><w:t xml:space="preserve">Jewish works exaggerated statements are multiplied as to the</w:t></w:r>
</w:p>
<w:p>
<w:pPr><w:pStyle w:val="Normal"/></w:pPr>
<w:r><w:t xml:space="preserve">right method and the bliss of pronouncing it.  It is still</w:t></w:r>
</w:p>
<w:p>
<w:pPr><w:pStyle w:val="Normal"/></w:pPr>
<w:r><w:t xml:space="preserve">used in the service of the synagogue, and the Mahommedans</w:t></w:r>
</w:p>
<w:p>
<w:pPr><w:pStyle w:val="Normal"/></w:pPr>
<w:r><w:t xml:space="preserve">not only add it after reciting the first Sura of the Koran,</w:t></w:r>
</w:p>
<w:p>
<w:pPr><w:pStyle w:val="Normal"/></w:pPr>
<w:r><w:t xml:space="preserve">but also when writing letters, &amp;c., and repeat it three</w:t></w:r>
</w:p>
<w:p>
<w:pPr><w:pStyle w:val="Normal"/></w:pPr>
<w:r><w:t xml:space="preserve">times, often with the word Qimtir, as a kind of talisman.</w:t></w:r>
</w:p>
<w:p>
<w:pPr><w:pStyle w:val="Normal"/></w:pPr>
<w:r><w:t xml:space="preserve">AMENDMENT (through the O. Pr. amender, to correct, from bat.</w:t></w:r>
</w:p>
<w:p>
<w:pPr><w:pStyle w:val="Normal"/></w:pPr>
<w:r><w:t xml:space="preserve">mendum, a fault), an improvement, correction or alteration</w:t></w:r>
</w:p>
<w:p>
<w:pPr><w:pStyle w:val="Normal"/></w:pPr>
<w:r><w:t xml:space="preserve">(nominally at least) for the better.  The word is used either</w:t></w:r>
</w:p>
<w:p>
<w:pPr><w:pStyle w:val="Normal"/></w:pPr>
<w:r><w:t xml:space="preserve">of moral character or, more especially, in connexion with</w:t></w:r>
</w:p>
<w:p>
<w:pPr><w:pStyle w:val="Normal"/></w:pPr>
<w:r><w:t xml:space="preserve">``amending&apos;&apos; a bill or motion in parliament or resolution at a</w:t></w:r>
</w:p>
<w:p>
<w:pPr><w:pStyle w:val="Normal"/></w:pPr>
<w:r><w:t xml:space="preserve">meeting; and in law it signifies the correction of any defect</w:t></w:r>
</w:p>
<w:p>
<w:pPr><w:pStyle w:val="Normal"/></w:pPr>
<w:r><w:t xml:space="preserve">or error in the record of a civil action or on a criminal</w:t></w:r>
</w:p>
<w:p>
<w:pPr><w:pStyle w:val="Normal"/></w:pPr>
<w:r><w:t xml:space="preserve">indictment.  All written constitutions also usually contain</w:t></w:r>
</w:p>
<w:p>
<w:pPr><w:pStyle w:val="Normal"/></w:pPr>
<w:r><w:t xml:space="preserve">a clause providing for the method by which they may be</w:t></w:r>
</w:p>
<w:p>
<w:pPr><w:pStyle w:val="Normal"/></w:pPr>
<w:r><w:t xml:space="preserve">amended.  Another noun, in the plural form of ``amends,&apos;&apos;</w:t></w:r>
</w:p>
<w:p>
<w:pPr><w:pStyle w:val="Normal"/></w:pPr>
<w:r><w:t xml:space="preserve">is restricted in its meaning to that of the penalty paid</w:t></w:r>
</w:p>
<w:p>
<w:pPr><w:pStyle w:val="Normal"/></w:pPr>
<w:r><w:t xml:space="preserve">for a fault or wrong committed.  In its French form the</w:t></w:r>
</w:p>
<w:p>
<w:pPr><w:pStyle w:val="Normal"/></w:pPr>
<w:r><w:t xml:space="preserve">amende, or amende honorable, once a public confession</w:t></w:r>
</w:p>
<w:p>
<w:pPr><w:pStyle w:val="Normal"/></w:pPr>
<w:r><w:t xml:space="preserve">and apology when the offender passed to the seat of justice</w:t></w:r>
</w:p>
<w:p>
<w:pPr><w:pStyle w:val="Normal"/></w:pPr>
<w:r><w:t xml:space="preserve">barefoot and bareheaded, now signifies in the English phrase</w:t></w:r>
</w:p>
<w:p>
<w:pPr><w:pStyle w:val="Normal"/></w:pPr>
<w:r><w:t xml:space="preserve">a spontaneous and satisfactory rectification of an error.</w:t></w:r>
</w:p>
<w:p>
<w:pPr><w:pStyle w:val="Normal"/></w:pPr>
<w:r><w:t xml:space="preserve">AMENTIFERAE, or AMENTACEAE, a name which has been used to</w:t></w:r>
</w:p>
<w:p>
<w:pPr><w:pStyle w:val="Normal"/></w:pPr>
<w:r><w:t xml:space="preserve">include in one class several natural orders of plants which</w:t></w:r>
</w:p>
<w:p>
<w:pPr><w:pStyle w:val="Normal"/></w:pPr>
<w:r><w:t xml:space="preserve">bear their flowers in catkins (amenta).  They are trees</w:t></w:r>
</w:p>
<w:p>
<w:pPr><w:pStyle w:val="Normal"/></w:pPr>
<w:r><w:t xml:space="preserve">and shrubs chiefly of temperate climates, and include many</w:t></w:r>
</w:p>
<w:p>
<w:pPr><w:pStyle w:val="Normal"/></w:pPr>
<w:r><w:t xml:space="preserve">common British trees.  It comprised the following orders: --</w:t></w:r>
</w:p>
<w:p>
<w:pPr><w:pStyle w:val="Normal"/></w:pPr>
<w:r><w:t xml:space="preserve">Salicaceae, willows and poplars; Corylaceae, hazel, hornbeam;</w:t></w:r>
</w:p>
<w:p>
<w:pPr><w:pStyle w:val="Normal"/></w:pPr>
<w:r><w:t xml:space="preserve">Betulaceae, birch, alder; Fagaceae, oak, beech, chestnut;</w:t></w:r>
</w:p>
<w:p>
<w:pPr><w:pStyle w:val="Normal"/></w:pPr>
<w:r><w:t xml:space="preserve">Casuarinaceae, Casuarina (beefwood); Platanaceae, plane;</w:t></w:r>
</w:p>
<w:p>
<w:pPr><w:pStyle w:val="Normal"/></w:pPr>
<w:r><w:t xml:space="preserve">Juglandaceae, walnut; Myricaceae, bog myrtle.  This class</w:t></w:r>
</w:p>
<w:p>
<w:pPr><w:pStyle w:val="Normal"/></w:pPr>
<w:r><w:t xml:space="preserve">is not retained in the most modern systems of classification.</w:t></w:r>
</w:p>
<w:p>
<w:pPr><w:pStyle w:val="Normal"/></w:pPr>
<w:r><w:t xml:space="preserve">AMERCEMENT, or AMERCIAMENT (derived, through the Fr.</w:t></w:r>
</w:p>
<w:p>
<w:pPr><w:pStyle w:val="Normal"/></w:pPr>
<w:r><w:t xml:space="preserve">a merci, from Lat. merces, pay), in English law, an</w:t></w:r>
</w:p>
<w:p>
<w:pPr><w:pStyle w:val="Normal"/></w:pPr>
<w:r><w:t xml:space="preserve">arbitrary pecuniary penalty, inflicted in old days on an</w:t></w:r>
</w:p>
<w:p>
<w:pPr><w:pStyle w:val="Normal"/></w:pPr>
<w:r><w:t xml:space="preserve">offender by the peers or equals of the party amerced.</w:t></w:r>
</w:p>
<w:p>
<w:pPr><w:pStyle w:val="Normal"/></w:pPr>
<w:r><w:t xml:space="preserve">The word has in modern times become practically a poetical</w:t></w:r>
</w:p>
<w:p>
<w:pPr><w:pStyle w:val="Normal"/></w:pPr>
<w:r><w:t xml:space="preserve">synonym for fine or deprivation.  But an amercement differed</w:t></w:r>
</w:p>
<w:p>
<w:pPr><w:pStyle w:val="Normal"/></w:pPr>
<w:r><w:t xml:space="preserve">from a fixed fine, prescribed by statute, by reason of its</w:t></w:r>
</w:p>
<w:p>
<w:pPr><w:pStyle w:val="Normal"/></w:pPr>
<w:r><w:t xml:space="preserve">arbitrary nature; it represented a commutation of a sentence of</w:t></w:r>
</w:p>
<w:p>
<w:pPr><w:pStyle w:val="Normal"/></w:pPr>
<w:r><w:t xml:space="preserve">forfeiture of goods, while a fine was originally a composition</w:t></w:r>
</w:p>
<w:p>
<w:pPr><w:pStyle w:val="Normal"/></w:pPr>
<w:r><w:t xml:space="preserve">agreed upon between the judge and the prisoner to avoid</w:t></w:r>
</w:p>
<w:p>
<w:pPr><w:pStyle w:val="Normal"/></w:pPr>
<w:r><w:t xml:space="preserve">imprisonment.  The fixing or assessment of an amercement was</w:t></w:r>
</w:p>
<w:p>
<w:pPr><w:pStyle w:val="Normal"/></w:pPr>
<w:r><w:t xml:space="preserve">termed an affeerment.  In the lower courts the amercement was</w:t></w:r>
</w:p>
<w:p>
<w:pPr><w:pStyle w:val="Normal"/></w:pPr>
<w:r><w:t xml:space="preserve">offered by a jury of the offender&apos;s neighbours (affoerors);</w:t></w:r>
</w:p>
<w:p>
<w:pPr><w:pStyle w:val="Normal"/></w:pPr>
<w:r><w:t xml:space="preserve">in the superior courts by the coroner, except in the case</w:t></w:r>
</w:p>
<w:p>
<w:pPr><w:pStyle w:val="Normal"/></w:pPr>
<w:r><w:t xml:space="preserve">of officers of the court, when the amount was affeered by</w:t></w:r>
</w:p>
<w:p>
<w:pPr><w:pStyle w:val="Normal"/></w:pPr>
<w:r><w:t xml:space="preserve">the judges themselves.  All judgments were entered on the</w:t></w:r>
</w:p>
<w:p>
<w:pPr><w:pStyle w:val="Normal"/></w:pPr>
<w:r><w:t xml:space="preserve">court roll as ``in mercy&apos;&apos; (sit in misericordia), and</w:t></w:r>
</w:p>
<w:p>
<w:pPr><w:pStyle w:val="Normal"/></w:pPr>
<w:r><w:t xml:space="preserve">the word misericordia, or some contracted form of it,</w:t></w:r>
</w:p>
<w:p>
<w:pPr><w:pStyle w:val="Normal"/></w:pPr>
<w:r><w:t xml:space="preserve">was written on the margin.  Articles twenty to twenty-two</w:t></w:r>
</w:p>
<w:p>
<w:pPr><w:pStyle w:val="Normal"/></w:pPr>
<w:r><w:t xml:space="preserve">of Magna Carta regulated the assessment of amercements.</w:t></w:r>
</w:p>
<w:p>
<w:pPr><w:pStyle w:val="Normal"/></w:pPr>
<w:r><w:t xml:space="preserve">See Stephen, History of Criminal Law; Pollock and Maitland,</w:t></w:r>
</w:p>
<w:p>
<w:pPr><w:pStyle w:val="Normal"/></w:pPr>
<w:r><w:t xml:space="preserve">History of English Law; W. S. McKechnie, Magna Carta (1905).</w:t></w:r>
</w:p>
<w:p>
<w:pPr><w:pStyle w:val="Normal"/></w:pPr>
<w:r><w:t xml:space="preserve">AMERIA (mod. Amelia), a city of Umbria, situated about 65 m.</w:t></w:r>
</w:p>
<w:p>
<w:pPr><w:pStyle w:val="Normal"/></w:pPr>
<w:r><w:t xml:space="preserve">N. of Rome on the Via Amerina (which approached it from the S.</w:t></w:r>
</w:p>
<w:p>
<w:pPr><w:pStyle w:val="Normal"/></w:pPr>
<w:r><w:t xml:space="preserve">starting from Falerii and passing through Castellum Amerinum,</w:t></w:r>
</w:p>
<w:p>
<w:pPr><w:pStyle w:val="Normal"/></w:pPr>
<w:r><w:t xml:space="preserve">probably mod.  Orte, where it crossed the Tiber).  It has a</w:t></w:r>
</w:p>
<w:p>
<w:pPr><w:pStyle w:val="Normal"/></w:pPr>
<w:r><w:t xml:space="preserve">fine position, 1332 ft. above sea-level, and still retains</w:t></w:r>
</w:p>
<w:p>
<w:pPr><w:pStyle w:val="Normal"/></w:pPr>
<w:r><w:t xml:space="preserve">considerable remains of the city wall, built in polygonal masonry</w:t></w:r>
</w:p>
<w:p>
<w:pPr><w:pStyle w:val="Normal"/></w:pPr>
<w:r><w:t xml:space="preserve">of carefully jointed blocks of limestone, some 12 ft. in total</w:t></w:r>
</w:p>
<w:p>
<w:pPr><w:pStyle w:val="Normal"/></w:pPr>
<w:r><w:t xml:space="preserve">thickness, and showing traces of reconstruction at different</w:t></w:r>
</w:p>
<w:p>
<w:pPr><w:pStyle w:val="Normal"/></w:pPr>
<w:r><w:t xml:space="preserve">periods.  Various remains of the Roman period exist between</w:t></w:r>
</w:p>
<w:p>
<w:pPr><w:pStyle w:val="Normal"/></w:pPr>
<w:r><w:t xml:space="preserve">the walls, including a large water reservoir divided into ten</w:t></w:r>
</w:p>
<w:p>
<w:pPr><w:pStyle w:val="Normal"/></w:pPr>
<w:r><w:t xml:space="preserve">chambers.  The lofty campanile of the cathedral was erected</w:t></w:r>
</w:p>
<w:p>
<w:pPr><w:pStyle w:val="Normal"/></w:pPr>
<w:r><w:t xml:space="preserve">in 1050 with fragments of Roman buildings.  Ameria is not</w:t></w:r>
</w:p>
<w:p>
<w:pPr><w:pStyle w:val="Normal"/></w:pPr>
<w:r><w:t xml:space="preserve">mentioned in the history of the Roman conquest of Umbria,</w:t></w:r>
</w:p>
<w:p>
<w:pPr><w:pStyle w:val="Normal"/></w:pPr>
<w:r><w:t xml:space="preserve">but is alluded to as a flourishing  place, with a fertile</w:t></w:r>
</w:p>
<w:p>
<w:pPr><w:pStyle w:val="Normal"/></w:pPr>
<w:r><w:t xml:space="preserve">territory extending to the Tiber, by Cicero in his speech in</w:t></w:r>
</w:p>
<w:p>
<w:pPr><w:pStyle w:val="Normal"/></w:pPr>
<w:r><w:t xml:space="preserve">defence of Sextus Roscius Amerinus, and its fruit is often</w:t></w:r>
</w:p>
<w:p>
<w:pPr><w:pStyle w:val="Normal"/></w:pPr>
<w:r><w:t xml:space="preserve">extolled by Roman writers.  Augustus divided its lands among</w:t></w:r>
</w:p>
<w:p>
<w:pPr><w:pStyle w:val="Normal"/></w:pPr>
<w:r><w:t xml:space="preserve">his veterans, but did not plant a colony here. The bishopric</w:t></w:r>
</w:p>
<w:p>
<w:pPr><w:pStyle w:val="Normal"/></w:pPr>
<w:r><w:t xml:space="preserve">of Ameria was founded in the middle of the 4th century.</w:t></w:r>
</w:p>
<w:p>
<w:pPr><w:pStyle w:val="Normal"/></w:pPr>
<w:r><w:t xml:space="preserve">AMERICA.  I. Physical Geography. -- The accidental use</w:t></w:r>
</w:p>
<w:p>
<w:pPr><w:pStyle w:val="Normal"/></w:pPr>
<w:r><w:t xml:space="preserve">of a single name, America, for the pair of continents that</w:t></w:r>
</w:p>
<w:p>
<w:pPr><w:pStyle w:val="Normal"/></w:pPr>
<w:r><w:t xml:space="preserve">has a greater extension from north to south than any other</w:t></w:r>
</w:p>
<w:p>
<w:pPr><w:pStyle w:val="Normal"/></w:pPr>
<w:r><w:t xml:space="preserve">continuous land area of the globe, has had some recent</w:t></w:r>
</w:p>
<w:p>
<w:pPr><w:pStyle w:val="Normal"/></w:pPr>
<w:r><w:t xml:space="preserve">justification, since the small body of geological opinion</w:t></w:r>
</w:p>
<w:p>
<w:pPr><w:pStyle w:val="Normal"/></w:pPr>
<w:r><w:t xml:space="preserve">has turned in favour of the theory of the tetrahedral</w:t></w:r>
</w:p>
<w:p>
<w:pPr><w:pStyle w:val="Normal"/></w:pPr>
<w:r><w:t xml:space="preserve">deformation of the earth&apos;s crust as affording explanation</w:t></w:r>
</w:p>
<w:p>
<w:pPr><w:pStyle w:val="Normal"/></w:pPr>
<w:r><w:t xml:space="preserve">of the grouping of continents and oceans.  America,</w:t></w:r>
</w:p>
<w:p>
<w:pPr><w:pStyle w:val="Normal"/></w:pPr>
<w:r><w:t xml:space="preserve">broadening in the north as if to span the oceans by reaching</w:t></w:r>
</w:p>
<w:p>
<w:pPr><w:pStyle w:val="Normal"/></w:pPr>
<w:r><w:t xml:space="preserve">to its neighbours on the east and west, tapering between</w:t></w:r>
</w:p>
<w:p>
<w:pPr><w:pStyle w:val="Normal"/></w:pPr>
<w:r><w:t xml:space="preserve">vast oceans far to the south where the nearest land is in</w:t></w:r>
</w:p>
<w:p>
<w:pPr><w:pStyle w:val="Normal"/></w:pPr>
<w:r><w:t xml:space="preserve">the little-known Antarctic regions, roughly presents the</w:t></w:r>
</w:p>
<w:p>
<w:pPr><w:pStyle w:val="Normal"/></w:pPr>
<w:r><w:t xml:space="preserve">triangular outline that is to be expected from tetrahedral</w:t></w:r>
</w:p>
<w:p>
<w:pPr><w:pStyle w:val="Normal"/></w:pPr>
<w:r><w:t xml:space="preserve">warping; and although greatly broken in the middle, and</w:t></w:r>
</w:p>
<w:p>
<w:pPr><w:pStyle w:val="Normal"/></w:pPr>
<w:r><w:t xml:space="preserve">standing with the northern and southern parts out of a</w:t></w:r>
</w:p>
<w:p>
<w:pPr><w:pStyle w:val="Normal"/></w:pPr>
<w:r><w:t xml:space="preserve">meridian line, America is nevertheless the best witness</w:t></w:r>
</w:p>
<w:p>
<w:pPr><w:pStyle w:val="Normal"/></w:pPr>
<w:r><w:t xml:space="preserve">among the continents of to-day to the tetrahedral theory.</w:t></w:r>
</w:p>
<w:p>
<w:pPr><w:pStyle w:val="Normal"/></w:pPr>
<w:r><w:t xml:space="preserve">There seems to be, however, not a unity but a duality in</w:t></w:r>
</w:p>
<w:p>
<w:pPr><w:pStyle w:val="Normal"/></w:pPr>
<w:r><w:t xml:space="preserve">its plan of construction, for the two parts, North and South</w:t></w:r>
</w:p>
<w:p>
<w:pPr><w:pStyle w:val="Normal"/></w:pPr>
<w:r><w:t xml:space="preserve">America, resemble each other not only in outline but, roughly</w:t></w:r>
</w:p>
<w:p>
<w:pPr><w:pStyle w:val="Normal"/></w:pPr>
<w:r><w:t xml:space="preserve">speaking, in geological evolution also; and the resemblances</w:t></w:r>
</w:p>
<w:p>
<w:pPr><w:pStyle w:val="Normal"/></w:pPr>
<w:r><w:t xml:space="preserve">thus discovered are the more remarkable when it is considered</w:t></w:r>
</w:p>
<w:p>
<w:pPr><w:pStyle w:val="Normal"/></w:pPr>
<w:r><w:t xml:space="preserve">how extremely small is the probability that among all the</w:t></w:r>
</w:p>
<w:p>
<w:pPr><w:pStyle w:val="Normal"/></w:pPr>
<w:r><w:t xml:space="preserve">possible combinations of ancient mountain systems, modern</w:t></w:r>
</w:p>
<w:p>
<w:pPr><w:pStyle w:val="Normal"/></w:pPr>
<w:r><w:t xml:space="preserve">mountain systems and plains, two continents out of five should</w:t></w:r>
</w:p>
<w:p>
<w:pPr><w:pStyle w:val="Normal"/></w:pPr>
<w:r><w:t xml:space="preserve">present so many points of correspondence.  Thus regarded, it</w:t></w:r>
</w:p>
<w:p>
<w:pPr><w:pStyle w:val="Normal"/></w:pPr>
<w:r><w:t xml:space="preserve">becomes reasonable to suppose that North and South America</w:t></w:r>
</w:p>
<w:p>
<w:pPr><w:pStyle w:val="Normal"/></w:pPr>
<w:r><w:t xml:space="preserve">have in a broad way been developed under a succession of</w:t></w:r>
</w:p>
<w:p>
<w:pPr><w:pStyle w:val="Normal"/></w:pPr>
<w:r><w:t xml:space="preserve">somewhat similar strains in the earth&apos;s crust, and that they</w:t></w:r>
</w:p>
<w:p>
<w:pPr><w:pStyle w:val="Normal"/></w:pPr>
<w:r><w:t xml:space="preserve">are, in so far, favourable witnesses to the theory that</w:t></w:r>
</w:p>
<w:p>
<w:pPr><w:pStyle w:val="Normal"/></w:pPr>
<w:r><w:t xml:space="preserve">there is something individual in the plan of continental</w:t></w:r>
</w:p>
<w:p>
<w:pPr><w:pStyle w:val="Normal"/></w:pPr>
<w:r><w:t xml:space="preserve">growth.  The chief points of correspondence between these</w:t></w:r>
</w:p>
<w:p>
<w:pPr><w:pStyle w:val="Normal"/></w:pPr>
<w:r><w:t xml:space="preserve">two great land masses, besides the southward tapering, are</w:t></w:r>
</w:p>
<w:p>
<w:pPr><w:pStyle w:val="Normal"/></w:pPr>
<w:r><w:t xml:space="preserve">as follows: -- (1) The areas of ancient fundamental rocks</w:t></w:r>
</w:p>
<w:p>
<w:pPr><w:pStyle w:val="Normal"/></w:pPr>
<w:r><w:t xml:space="preserve">of the north-east (Laurentian highlands of North America,</w:t></w:r>
</w:p>
<w:p>
<w:pPr><w:pStyle w:val="Normal"/></w:pPr>
<w:r><w:t xml:space="preserve">uplands of Guiana in South America), which have remained</w:t></w:r>
</w:p>
<w:p>
<w:pPr><w:pStyle w:val="Normal"/></w:pPr>
<w:r><w:t xml:space="preserve">without significant  deformation, although suffering various</w:t></w:r>
</w:p>
<w:p>
<w:pPr><w:pStyle w:val="Normal"/></w:pPr>
<w:r><w:t xml:space="preserve">oscillations of level, since ancient geological times;</w:t></w:r>
</w:p>
<w:p>
<w:pPr><w:pStyle w:val="Normal"/></w:pPr>
<w:r><w:t xml:space="preserve">(2) the highlands of the south-east  (Appalachians and</w:t></w:r>
</w:p>
<w:p>
<w:pPr><w:pStyle w:val="Normal"/></w:pPr>
<w:r><w:t xml:space="preserve">Brazilian highlands) with a north-east south-west crystalline</w:t></w:r>
</w:p>
<w:p>
<w:pPr><w:pStyle w:val="Normal"/></w:pPr>
<w:r><w:t xml:space="preserve">axis near the ocean, followed by a belt of deformed and</w:t></w:r>
</w:p>
<w:p>
<w:pPr><w:pStyle w:val="Normal"/></w:pPr>
<w:r><w:t xml:space="preserve">metamorphosed early Palaeozoic strata, and adjoined farther</w:t></w:r>
</w:p>
<w:p>
<w:pPr><w:pStyle w:val="Normal"/></w:pPr>
<w:r><w:t xml:space="preserve">inland by a dissected plateau of nearly horizontal later</w:t></w:r>
</w:p>
<w:p>
<w:pPr><w:pStyle w:val="Normal"/></w:pPr>
<w:r><w:t xml:space="preserve">Palaeozoic formations -- all greatly denuded since the ancient</w:t></w:r>
</w:p>
<w:p>
<w:pPr><w:pStyle w:val="Normal"/></w:pPr>
<w:r><w:t xml:space="preserve">deformation of the mountain axis, and seeming to owe their</w:t></w:r>
</w:p>
<w:p>
<w:pPr><w:pStyle w:val="Normal"/></w:pPr>
<w:r><w:t xml:space="preserve">present altitude to broad uplifts of comparatively modern</w:t></w:r>
</w:p>
<w:p>
<w:pPr><w:pStyle w:val="Normal"/></w:pPr>
<w:r><w:t xml:space="preserve">geological date; (3) the complex of younger mountains along</w:t></w:r>
</w:p>
<w:p>
<w:pPr><w:pStyle w:val="Normal"/></w:pPr>
<w:r><w:t xml:space="preserve">the western side of the continents (Western highlands, or</w:t></w:r>
</w:p>
<w:p>
<w:pPr><w:pStyle w:val="Normal"/></w:pPr>
<w:r><w:t xml:space="preserve">Cordilleras, of North America; Andean Cordilleras of South</w:t></w:r>
</w:p>
<w:p>
<w:pPr><w:pStyle w:val="Normal"/></w:pPr>
<w:r><w:t xml:space="preserve">America) of geologically modern deformation and upheaval,</w:t></w:r>
</w:p>
<w:p>
<w:pPr><w:pStyle w:val="Normal"/></w:pPr>
<w:r><w:t xml:space="preserve">with enclosed basins and abundant volcanic action, but</w:t></w:r>
</w:p>
<w:p>
<w:pPr><w:pStyle w:val="Normal"/></w:pPr>
<w:r><w:t xml:space="preserve">each a system in itself, disconnected and not standing in</w:t></w:r>
</w:p>
<w:p>
<w:pPr><w:pStyle w:val="Normal"/></w:pPr>
<w:r><w:t xml:space="preserve">alignment; (4) confluent lower lands between the highlands,</w:t></w:r>
</w:p>
<w:p>
<w:pPr><w:pStyle w:val="Normal"/></w:pPr>
<w:r><w:t xml:space="preserve">giving river drainage to the north (Mackenzie, Orinoco),</w:t></w:r>
</w:p>
<w:p>
<w:pPr><w:pStyle w:val="Normal"/></w:pPr>
<w:r><w:t xml:space="preserve">east (St Lawrence, Amazon), and south (Mississippi, La</w:t></w:r>
</w:p>
<w:p>
<w:pPr><w:pStyle w:val="Normal"/></w:pPr>
<w:r><w:t xml:space="preserve">Plata).  Differences of dimension and detail are numerous,</w:t></w:r>
</w:p>
<w:p>
<w:pPr><w:pStyle w:val="Normal"/></w:pPr>
<w:r><w:t xml:space="preserve">but they do not suffice to mask what seems to be a resemblance</w:t></w:r>
</w:p>
<w:p>
<w:pPr><w:pStyle w:val="Normal"/></w:pPr>
<w:r><w:t xml:space="preserve">in general plan.  Indeed, some of the chief contrasts of the</w:t></w:r>
</w:p>
<w:p>
<w:pPr><w:pStyle w:val="Normal"/></w:pPr>
<w:r><w:t xml:space="preserve">two continents arise not so much from geological unlikeness</w:t></w:r>
</w:p>
<w:p>
<w:pPr><w:pStyle w:val="Normal"/></w:pPr>
<w:r><w:t xml:space="preserve">as from their unsymmetrical situation with respect to the</w:t></w:r>
</w:p>
<w:p>
<w:pPr><w:pStyle w:val="Normal"/></w:pPr>
<w:r><w:t xml:space="preserve">equator, whereby the northern one lies mostly in the temperate</w:t></w:r>
</w:p>
<w:p>
<w:pPr><w:pStyle w:val="Normal"/></w:pPr>
<w:r><w:t xml:space="preserve">zone, while the southern one lies mostly in the torrid</w:t></w:r>
</w:p>
<w:p>
<w:pPr><w:pStyle w:val="Normal"/></w:pPr>
<w:r><w:t xml:space="preserve">zone.  North America is bathed in frigid waters around its</w:t></w:r>
</w:p>
<w:p>
<w:pPr><w:pStyle w:val="Normal"/></w:pPr>
<w:r><w:t xml:space="preserve">broad northern shores; its mountains bear huge glaciers</w:t></w:r>
</w:p>
<w:p>
<w:pPr><w:pStyle w:val="Normal"/></w:pPr>
<w:r><w:t xml:space="preserve">in the north-west; the outlying area of Greenland in the</w:t></w:r>
</w:p>
<w:p>
<w:pPr><w:pStyle w:val="Normal"/></w:pPr>
<w:r><w:t xml:space="preserve">north-east is shrouded with ice; and in geologically recent</w:t></w:r>
</w:p>
<w:p>
<w:pPr><w:pStyle w:val="Normal"/></w:pPr>
<w:r><w:t xml:space="preserve">times a vast ice-sheet has spread over its north-eastern</w:t></w:r>
</w:p>
<w:p>
<w:pPr><w:pStyle w:val="Normal"/></w:pPr>
<w:r><w:t xml:space="preserve">third; while warm waters bring corals to its southern shores.</w:t></w:r>
</w:p>
<w:p>
<w:pPr><w:pStyle w:val="Normal"/></w:pPr>
<w:r><w:t xml:space="preserve">South America has warm waters and corals on the north-east,</w:t></w:r>
</w:p>
<w:p>
<w:pPr><w:pStyle w:val="Normal"/></w:pPr>
<w:r><w:t xml:space="preserve">and cold waters and glaciers only on its narrowing southern</w:t></w:r>
</w:p>
<w:p>
<w:pPr><w:pStyle w:val="Normal"/></w:pPr>
<w:r><w:t xml:space="preserve">end.  If the symmetry that is so noticeable in geological</w:t></w:r>
</w:p>
<w:p>
<w:pPr><w:pStyle w:val="Normal"/></w:pPr>
<w:r><w:t xml:space="preserve">history had extended to climate as well, many geographical</w:t></w:r>
</w:p>
<w:p>
<w:pPr><w:pStyle w:val="Normal"/></w:pPr>
<w:r><w:t xml:space="preserve">features might now present likenesses instead of contrasts.</w:t></w:r>
</w:p>
<w:p>
<w:pPr><w:pStyle w:val="Normal"/></w:pPr>
<w:r><w:t xml:space="preserve">The relation of the Americas to each other and to the rest</w:t></w:r>
</w:p>
<w:p>
<w:pPr><w:pStyle w:val="Normal"/></w:pPr>
<w:r><w:t xml:space="preserve">of the world, as the home of plants and animals, is greatly</w:t></w:r>
</w:p>
<w:p>
<w:pPr><w:pStyle w:val="Normal"/></w:pPr>
<w:r><w:t xml:space="preserve">affected by the breadth of the adjacent oceans, and also by</w:t></w:r>
</w:p>
<w:p>
<w:pPr><w:pStyle w:val="Normal"/></w:pPr>
<w:r><w:t xml:space="preserve">the geologically recent changes of altitude whereby the breadth</w:t></w:r>
</w:p>
<w:p>
<w:pPr><w:pStyle w:val="Normal"/></w:pPr>
<w:r><w:t xml:space="preserve">of the narrower parts of the lands and the oceans has been</w:t></w:r>
</w:p>
<w:p>
<w:pPr><w:pStyle w:val="Normal"/></w:pPr>
<w:r><w:t xml:space="preserve">significantly altered.  Between the parallels of 60 deg.  and 70 deg.</w:t></w:r>
</w:p>
<w:p>
<w:pPr><w:pStyle w:val="Normal"/></w:pPr>
<w:r><w:t xml:space="preserve">N. the east and west widening of North America forms more than</w:t></w:r>
</w:p>
<w:p>
<w:pPr><w:pStyle w:val="Normal"/></w:pPr>
<w:r><w:t xml:space="preserve">a third of the almost continuous land ring around a zone of</w:t></w:r>
</w:p>
<w:p>
<w:pPr><w:pStyle w:val="Normal"/></w:pPr>
<w:r><w:t xml:space="preserve">sub-Arctic climate, through the middle of which runs the Arctic</w:t></w:r>
</w:p>
<w:p>
<w:pPr><w:pStyle w:val="Normal"/></w:pPr>
<w:r><w:t xml:space="preserve">circle.  As a result there is a remarkable community of</w:t></w:r>
</w:p>
<w:p>
<w:pPr><w:pStyle w:val="Normal"/></w:pPr>
<w:r><w:t xml:space="preserve">resemblance of plant and animal life in the high northern</w:t></w:r>
</w:p>
<w:p>
<w:pPr><w:pStyle w:val="Normal"/></w:pPr>
<w:r><w:t xml:space="preserve">latitudes of North America and Eurasia.  In strong contrast</w:t></w:r>
</w:p>
<w:p>
<w:pPr><w:pStyle w:val="Normal"/></w:pPr>
<w:r><w:t xml:space="preserve">with this relation of close fellowship is the exceptional</w:t></w:r>
</w:p>
<w:p>
<w:pPr><w:pStyle w:val="Normal"/></w:pPr>
<w:r><w:t xml:space="preserve">isolation of far southern South America.  Excepting the</w:t></w:r>
</w:p>
<w:p>
<w:pPr><w:pStyle w:val="Normal"/></w:pPr>
<w:r><w:t xml:space="preserve">barren lands of the Antarctic regions, with which Patagonia</w:t></w:r>
</w:p>
<w:p>
<w:pPr><w:pStyle w:val="Normal"/></w:pPr>
<w:r><w:t xml:space="preserve">is somewhat associated by a broken string of islands, the</w:t></w:r>
</w:p>
<w:p>
<w:pPr><w:pStyle w:val="Normal"/></w:pPr>
<w:r><w:t xml:space="preserve">nearest continental lands of a more habitable kind are South</w:t></w:r>
</w:p>
<w:p>
<w:pPr><w:pStyle w:val="Normal"/></w:pPr>
<w:r><w:t xml:space="preserve">Africa and New Zealand. In contrast to the sub-Arctic land</w:t></w:r>
</w:p>
<w:p>
<w:pPr><w:pStyle w:val="Normal"/></w:pPr>
<w:r><w:t xml:space="preserve">ring, here is a sub-Antarctic ocean ring, and as a result</w:t></w:r>
</w:p>
<w:p>
<w:pPr><w:pStyle w:val="Normal"/></w:pPr>
<w:r><w:t xml:space="preserve">the land flora and fauna of South America to-day are strongly</w:t></w:r>
</w:p>
<w:p>
<w:pPr><w:pStyle w:val="Normal"/></w:pPr>
<w:r><w:t xml:space="preserve">unlike the life forms of the other south-ending continents.</w:t></w:r>
</w:p>
<w:p>
<w:pPr><w:pStyle w:val="Normal"/></w:pPr>
<w:r><w:t xml:space="preserve">For further treatment of the physical geography of the</w:t></w:r>
</w:p>
<w:p>
<w:pPr><w:pStyle w:val="Normal"/></w:pPr>
<w:r><w:t xml:space="preserve">American continents. see NORTH AMERICA, SOUTH AMERICA.</w:t></w:r>
</w:p>
<w:p>
<w:pPr><w:pStyle w:val="Normal"/></w:pPr>
<w:r><w:t xml:space="preserve">(W. M. D.)</w:t></w:r>
</w:p>
<w:p>
<w:pPr><w:pStyle w:val="Heading1"/></w:pPr>
<w:r><w:t>II. General Historical Sketch. -- The name America was derived</w:t></w:r>
</w:p>
<w:p>
<w:pPr><w:pStyle w:val="Normal"/></w:pPr>
<w:r><w:t xml:space="preserve">from that of Amerigo Vespucci (q.v.).  In Waldseemuller&apos;s</w:t></w:r>
</w:p>
<w:p>
<w:pPr><w:pStyle w:val="Normal"/></w:pPr>
<w:r><w:t xml:space="preserve">map of 1507 the name is given to a body of land roughly</w:t></w:r>
</w:p>
<w:p>
<w:pPr><w:pStyle w:val="Normal"/></w:pPr>
<w:r><w:t xml:space="preserve">corresponding to the continent of South America.  As discovery</w:t></w:r>
</w:p>
<w:p>
<w:pPr><w:pStyle w:val="Normal"/></w:pPr>
<w:r><w:t xml:space="preserve">revealed the existence of another vast domain to the north, the</w:t></w:r>
</w:p>
<w:p>
<w:pPr><w:pStyle w:val="Normal"/></w:pPr>
<w:r><w:t xml:space="preserve">name spread to the whole of the pair of continents by customary</w:t></w:r>
</w:p>
<w:p>
<w:pPr><w:pStyle w:val="Normal"/></w:pPr>
<w:r><w:t xml:space="preserve">use, in spite of the protests of the Spaniards, by whom it was</w:t></w:r>
</w:p>
<w:p>
<w:pPr><w:pStyle w:val="Normal"/></w:pPr>
<w:r><w:t xml:space="preserve">not officially used of North America till the 18th century.</w:t></w:r>
</w:p>
<w:p>
<w:pPr><w:pStyle w:val="Normal"/></w:pPr>
<w:r><w:t xml:space="preserve">The discovery of America is justly dated on the 12th (N.S.</w:t></w:r>
</w:p>
<w:p>
<w:pPr><w:pStyle w:val="Normal"/></w:pPr>
<w:r><w:t xml:space="preserve">21st) of October 1492, when Christopher Columbus (q.v.),</w:t></w:r>
</w:p>
<w:p>
<w:pPr><w:pStyle w:val="Normal"/></w:pPr>
<w:r><w:t xml:space="preserve">the Genoese, made his landfall on the island of Guanahani,</w:t></w:r>
</w:p>
<w:p>
<w:pPr><w:pStyle w:val="Normal"/></w:pPr>
<w:r><w:t xml:space="preserve">now identified with Watling Island in the Bahamas.  In the</w:t></w:r>
</w:p>
<w:p>
<w:pPr><w:pStyle w:val="Normal"/></w:pPr>
<w:r><w:t xml:space="preserve">10th and 11th centuries Norse sea-rovers, starting from</w:t></w:r>
</w:p>
<w:p>
<w:pPr><w:pStyle w:val="Normal"/></w:pPr>
<w:r><w:t xml:space="preserve">Iceland, had made small settlements in Greenland and had</w:t></w:r>
</w:p>
<w:p>
<w:pPr><w:pStyle w:val="Normal"/></w:pPr>
<w:r><w:t xml:space="preserve">pushed as far as the coast of New England (or possibly</w:t></w:r>
</w:p>
<w:p>
<w:pPr><w:pStyle w:val="Normal"/></w:pPr>
<w:r><w:t xml:space="preserve">Nova Scotia) in transient visits (see VINLAND and LEIF</w:t></w:r>
</w:p>
<w:p>
<w:pPr><w:pStyle w:val="Normal"/></w:pPr>
<w:r><w:t xml:space="preserve">ERICSSON).  But the Greenland colony was obscure, the country</w:t></w:r>
</w:p>
<w:p>
<w:pPr><w:pStyle w:val="Normal"/></w:pPr>
<w:r><w:t xml:space="preserve">was believed to form part of Europe, and the records of the</w:t></w:r>
</w:p>
<w:p>
<w:pPr><w:pStyle w:val="Normal"/></w:pPr>
<w:r><w:t xml:space="preserve">farther explorations were contained in sagas which were only</w:t></w:r>
</w:p>
<w:p>
<w:pPr><w:pStyle w:val="Normal"/></w:pPr>
<w:r><w:t xml:space="preserve">rediscovered by modern scholarship.  Throughout the middle</w:t></w:r>
</w:p>
<w:p>
<w:pPr><w:pStyle w:val="Normal"/></w:pPr>
<w:r><w:t xml:space="preserve">ages, legendary tales of mythical lands lying in the western</w:t></w:r>
</w:p>
<w:p>
<w:pPr><w:pStyle w:val="Normal"/></w:pPr>
<w:r><w:t xml:space="preserve">ocean -- the Isle of St Brandan, of Brazil and Antilia -- bad</w:t></w:r>
</w:p>
<w:p>
<w:pPr><w:pStyle w:val="Normal"/></w:pPr>
<w:r><w:t xml:space="preserve">been handed down.  Scholars, guessing from isolated passages</w:t></w:r>
</w:p>
<w:p>
<w:pPr><w:pStyle w:val="Normal"/></w:pPr>
<w:r><w:t xml:space="preserve">in classic writers, or arguing on general principles, had</w:t></w:r>
</w:p>
<w:p>
<w:pPr><w:pStyle w:val="Normal"/></w:pPr>
<w:r><w:t xml:space="preserve">held that the ``Indies&apos;&apos; could be reached by sailing due</w:t></w:r>
</w:p>
<w:p>
<w:pPr><w:pStyle w:val="Normal"/></w:pPr>
<w:r><w:t xml:space="preserve">west.  But the venture was beyond the resources of the ships</w:t></w:r>
</w:p>
<w:p>
<w:pPr><w:pStyle w:val="Normal"/></w:pPr>
<w:r><w:t xml:space="preserve">and the seamanship of the time.  The opinions of scholars,</w:t></w:r>
</w:p>
<w:p>
<w:pPr><w:pStyle w:val="Normal"/></w:pPr>
<w:r><w:t xml:space="preserve">and the fantasies of poets, became an enthusiastic belief</w:t></w:r>
</w:p>
<w:p>
<w:pPr><w:pStyle w:val="Normal"/></w:pPr>
<w:r><w:t xml:space="preserve">in the mind of Columbus.  After many disappointments he</w:t></w:r>
</w:p>
<w:p>
<w:pPr><w:pStyle w:val="Normal"/></w:pPr>
<w:r><w:t xml:space="preserve">persuaded the Catholic sovereigns Ferdinand and Isabella</w:t></w:r>
</w:p>
<w:p>
<w:pPr><w:pStyle w:val="Normal"/></w:pPr>
<w:r><w:t xml:space="preserve">of Spain to furnish him with a squadron of three small</w:t></w:r>
</w:p>
<w:p>
<w:pPr><w:pStyle w:val="Normal"/></w:pPr>
<w:r><w:t xml:space="preserve">vessels.  With it he sailed from Palos in Andalusia on</w:t></w:r>
</w:p>
<w:p>
<w:pPr><w:pStyle w:val="Normal"/></w:pPr>
<w:r><w:t xml:space="preserve">the 3rd of August 1492, reached Guanahani on the 12th of</w:t></w:r>
</w:p>
<w:p>
<w:pPr><w:pStyle w:val="Normal"/></w:pPr>
<w:r><w:t xml:space="preserve">October, touched on the coast of Cuba and Hispaniola,</w:t></w:r>
</w:p>
<w:p>
<w:pPr><w:pStyle w:val="Normal"/></w:pPr>
<w:r><w:t xml:space="preserve">established a small post on the latter, and returned to</w:t></w:r>
</w:p>
<w:p>
<w:pPr><w:pStyle w:val="Normal"/></w:pPr>
<w:r><w:t xml:space="preserve">Lisbon on the 4th of March 1493, and thence to Spain.</w:t></w:r>
</w:p>
<w:p>
<w:pPr><w:pStyle w:val="Normal"/></w:pPr>
<w:r><w:t xml:space="preserve">It was the belief of Columbus and his contemporaries that he</w:t></w:r>
</w:p>
<w:p>
<w:pPr><w:pStyle w:val="Normal"/></w:pPr>
<w:r><w:t xml:space="preserve">had reached the islands described by Marco Polo as forming the</w:t></w:r>
</w:p>
<w:p>
<w:pPr><w:pStyle w:val="Normal"/></w:pPr>
<w:r><w:t xml:space="preserve">eastern extremity of Asia.  Hence he spoke of the ``Indies,&apos;&apos;</w:t></w:r>
</w:p>
<w:p>
<w:pPr><w:pStyle w:val="Normal"/></w:pPr>
<w:r><w:t xml:space="preserve">and ``las Indias&apos;&apos; continued to be the official name given</w:t></w:r>
</w:p>
<w:p>
<w:pPr><w:pStyle w:val="Normal"/></w:pPr>
<w:r><w:t xml:space="preserve">to their American possessions by the Spaniards for many</w:t></w:r>
</w:p>
<w:p>
<w:pPr><w:pStyle w:val="Normal"/></w:pPr>
<w:r><w:t xml:space="preserve">generations. His feat produced a diplomatic controversy</w:t></w:r>
</w:p>
<w:p>
<w:pPr><w:pStyle w:val="Normal"/></w:pPr>
<w:r><w:t xml:space="preserve">with Portugal which was destined to have important political</w:t></w:r>
</w:p>
<w:p>
<w:pPr><w:pStyle w:val="Normal"/></w:pPr>
<w:r><w:t xml:space="preserve">consequences.  In 1454 Pope Nicholas V. had given the</w:t></w:r>
</w:p>
<w:p>
<w:pPr><w:pStyle w:val="Normal"/></w:pPr>
<w:r><w:t xml:space="preserve">Portuguese the exclusive right of exploration and conquest</w:t></w:r>
</w:p>
<w:p>
<w:pPr><w:pStyle w:val="Normal"/></w:pPr>
<w:r><w:t xml:space="preserve">on the road to the Indies.  His bull contemplated only the</w:t></w:r>
</w:p>
<w:p>
<w:pPr><w:pStyle w:val="Normal"/></w:pPr>
<w:r><w:t xml:space="preserve">use of the route by the coast of Africa to the south and</w:t></w:r>
</w:p>
<w:p>
<w:pPr><w:pStyle w:val="Normal"/></w:pPr>
<w:r><w:t xml:space="preserve">east.  In 1488 the Portuguese Bartholomeu Diaz had rounded</w:t></w:r>
</w:p>
<w:p>
<w:pPr><w:pStyle w:val="Normal"/></w:pPr>
<w:r><w:t xml:space="preserve">the Cape of Good Hope.  After the return of Columbus</w:t></w:r>
</w:p>
<w:p>
<w:pPr><w:pStyle w:val="Normal"/></w:pPr>
<w:r><w:t xml:space="preserve">and his supposed demonstration that the Indies could be</w:t></w:r>
</w:p>
<w:p>
<w:pPr><w:pStyle w:val="Normal"/></w:pPr>
<w:r><w:t xml:space="preserve">reached by sailing west, disputes might obviously arise</w:t></w:r>
</w:p>
<w:p>
<w:pPr><w:pStyle w:val="Normal"/></w:pPr>
<w:r><w:t xml:space="preserve">between the two powers as to their respective ``spheres</w:t></w:r>
</w:p>
<w:p>
<w:pPr><w:pStyle w:val="Normal"/></w:pPr>
<w:r><w:t xml:space="preserve">of influence.&apos;&apos; The Catholic sovereigns applied to Pope</w:t></w:r>
</w:p>
<w:p>
<w:pPr><w:pStyle w:val="Normal"/></w:pPr>
<w:r><w:t xml:space="preserve">Alexander VI., a Spaniard, for a confirmation of their</w:t></w:r>
</w:p>
<w:p>
<w:pPr><w:pStyle w:val="Normal"/></w:pPr>
<w:r><w:t xml:space="preserve">rights.  The pope drew a line from north to south one hundred</w:t></w:r>
</w:p>
<w:p>
<w:pPr><w:pStyle w:val="Normal"/></w:pPr>
<w:r><w:t xml:space="preserve">leagues west of the Azores and Cape Verde Islands, and gave</w:t></w:r>
</w:p>
<w:p>
<w:pPr><w:pStyle w:val="Normal"/></w:pPr>
<w:r><w:t xml:space="preserve">the Spaniards the claim to all to the west (May 4, 1493)</w:t></w:r>
</w:p>
<w:p>
<w:pPr><w:pStyle w:val="Normal"/></w:pPr>
<w:r><w:t xml:space="preserve">. The Portuguese thought the division unfair to them, and</w:t></w:r>
</w:p>
<w:p>
<w:pPr><w:pStyle w:val="Normal"/></w:pPr>
<w:r><w:t xml:space="preserve">protested.  A conference was held between the two powers</w:t></w:r>
</w:p>
<w:p>
<w:pPr><w:pStyle w:val="Normal"/></w:pPr>
<w:r><w:t xml:space="preserve">at Tordesillas in 1494, and by common consent the line was</w:t></w:r>
</w:p>
<w:p>
<w:pPr><w:pStyle w:val="Normal"/></w:pPr>
<w:r><w:t xml:space="preserve">shifted to three hundred and seventy leagues west of the</w:t></w:r>
</w:p>
<w:p>
<w:pPr><w:pStyle w:val="Normal"/></w:pPr>
<w:r><w:t xml:space="preserve">Cape Verde Islands.  The boundary line corresponded to the</w:t></w:r>
</w:p>
<w:p>
<w:pPr><w:pStyle w:val="Normal"/></w:pPr>
<w:r><w:t xml:space="preserve">50th 1 degree of longitude west of Greenwich, which strikes</w:t></w:r>
</w:p>
<w:p>
<w:pPr><w:pStyle w:val="Normal"/></w:pPr>
<w:r><w:t xml:space="preserve">the mainland of South America about the mouth of the Amazon.</w:t></w:r>
</w:p>
<w:p>
<w:pPr><w:pStyle w:val="Normal"/></w:pPr>
<w:r><w:t xml:space="preserve">Thenceforward the Spaniards claimed the right to exclude all</w:t></w:r>
</w:p>
<w:p>
<w:pPr><w:pStyle w:val="Normal"/></w:pPr>
<w:r><w:t xml:space="preserve">other peoples from trade or settlement ``beyond the line.&apos;&apos;</w:t></w:r>
</w:p>
<w:p>
<w:pPr><w:pStyle w:val="Normal"/></w:pPr>
<w:r><w:t xml:space="preserve">Between September 1493 and the time of his last voyage (May</w:t></w:r>
</w:p>
<w:p>
<w:pPr><w:pStyle w:val="Normal"/></w:pPr>
<w:r><w:t xml:space="preserve">1502 to November 1504), Columbus explored the West Indies,</w:t></w:r>
</w:p>
<w:p>
<w:pPr><w:pStyle w:val="Normal"/></w:pPr>
<w:r><w:t xml:space="preserve">reached the mainland of South America at the mouth of the</w:t></w:r>
</w:p>
<w:p>
<w:pPr><w:pStyle w:val="Normal"/></w:pPr>
<w:r><w:t xml:space="preserve">Orinoco and sailed along the coast of Central America from</w:t></w:r>
</w:p>
<w:p>
<w:pPr><w:pStyle w:val="Normal"/></w:pPr>
<w:r><w:t xml:space="preserve">Cape Honduras to Nombre de Dios (near Colon).  Henry VII. of</w:t></w:r>
</w:p>
<w:p>
<w:pPr><w:pStyle w:val="Normal"/></w:pPr>
<w:r><w:t xml:space="preserve">England allowed the Bristol merchants to fit out a western</w:t></w:r>
</w:p>
<w:p>
<w:pPr><w:pStyle w:val="Normal"/></w:pPr>
<w:r><w:t xml:space="preserve">voyage under the command of another Genoese, John Cabot</w:t></w:r>
</w:p>
<w:p>
<w:pPr><w:pStyle w:val="Normal"/></w:pPr>
<w:r><w:t xml:space="preserve">(q.v.), in 1497.  The history of the venture is very</w:t></w:r>
</w:p>
<w:p>
<w:pPr><w:pStyle w:val="Normal"/></w:pPr>
<w:r><w:t xml:space="preserve">obscure, but Cabot is thought to have reached Newfoundland</w:t></w:r>
</w:p>
<w:p>
<w:pPr><w:pStyle w:val="Normal"/></w:pPr>
<w:r><w:t xml:space="preserve">and the mainland. Between 1500 and 1503 a Portuguese family</w:t></w:r>
</w:p>
<w:p>
<w:pPr><w:pStyle w:val="Normal"/></w:pPr>
<w:r><w:t xml:space="preserve">of the name of Cortereal carried out voyages of exploration</w:t></w:r>
</w:p>
<w:p>
<w:pPr><w:pStyle w:val="Normal"/></w:pPr>
<w:r><w:t xml:space="preserve">on the eastern coast of North America, with the consent of</w:t></w:r>
</w:p>
<w:p>
<w:pPr><w:pStyle w:val="Normal"/></w:pPr>
<w:r><w:t xml:space="preserve">their government, and with little regard for the treaty of</w:t></w:r>
</w:p>
<w:p>
<w:pPr><w:pStyle w:val="Normal"/></w:pPr>
<w:r><w:t xml:space="preserve">Tordesillas.  In 1500 the Portuguese Pedro Alvarez Cabral,</w:t></w:r>
</w:p>
<w:p>
<w:pPr><w:pStyle w:val="Normal"/></w:pPr>
<w:r><w:t xml:space="preserve">while on his way to the East Indies, sighted the coast of</w:t></w:r>
</w:p>
<w:p>
<w:pPr><w:pStyle w:val="Normal"/></w:pPr>
<w:r><w:t xml:space="preserve">Brazil at Monte Pascoal in the Aimores, and took formal</w:t></w:r>
</w:p>
<w:p>
<w:pPr><w:pStyle w:val="Normal"/></w:pPr>
<w:r><w:t xml:space="preserve">possession.  The belief that the eastern extremity of Asia had</w:t></w:r>
</w:p>
<w:p>
<w:pPr><w:pStyle w:val="Normal"/></w:pPr>
<w:r><w:t xml:space="preserve">been reached died slowly, and the great object of exploration</w:t></w:r>
</w:p>
<w:p>
<w:pPr><w:pStyle w:val="Normal"/></w:pPr>
<w:r><w:t xml:space="preserve">in America continued for some years to be the discovery of a</w:t></w:r>
</w:p>
<w:p>
<w:pPr><w:pStyle w:val="Normal"/></w:pPr>
<w:r><w:t xml:space="preserve">passage through to the Spice Islands, in order to compete with</w:t></w:r>
</w:p>
<w:p>
<w:pPr><w:pStyle w:val="Normal"/></w:pPr>
<w:r><w:t xml:space="preserve">the Portuguese, who had reached them by the Cape route.  The</w:t></w:r>
</w:p>
<w:p>
<w:pPr><w:pStyle w:val="Normal"/></w:pPr>
<w:r><w:t xml:space="preserve">first Spanish settlement in Hispaniola spread to the mainland</w:t></w:r>
</w:p>
<w:p>
<w:pPr><w:pStyle w:val="Normal"/></w:pPr>
<w:r><w:t xml:space="preserve">by the adventure of Alonso de Ojeda and Diego de Nicuesa in</w:t></w:r>
</w:p>
<w:p>
<w:pPr><w:pStyle w:val="Normal"/></w:pPr>
<w:r><w:t xml:space="preserve">Darien in 1509.  Cuba was occupied by Diego de Velazquez in</w:t></w:r>
</w:p>
<w:p>
<w:pPr><w:pStyle w:val="Normal"/></w:pPr>
<w:r><w:t xml:space="preserve">1511.  In 1512 (or 1513) Juan Ponce de Leon made the first</w:t></w:r>
</w:p>
<w:p>
<w:pPr><w:pStyle w:val="Normal"/></w:pPr>
<w:r><w:t xml:space="preserve">recorded exploration of the coast of Florida and the Bahama</w:t></w:r>
</w:p>
<w:p>
<w:pPr><w:pStyle w:val="Normal"/></w:pPr>
<w:r><w:t xml:space="preserve">Channel.  In 1513, Vasco Nunez de Balboa crossed the</w:t></w:r>
</w:p>
<w:p>
<w:pPr><w:pStyle w:val="Normal"/></w:pPr>
<w:r><w:t xml:space="preserve">isthmus of Darien and saw the South Sea (Pacific).  The</w:t></w:r>
</w:p>
<w:p>
<w:pPr><w:pStyle w:val="Normal"/></w:pPr>
<w:r><w:t xml:space="preserve">hope that a passage through to the Spice Islands would</w:t></w:r>
</w:p>
<w:p>
<w:pPr><w:pStyle w:val="Normal"/></w:pPr>
<w:r><w:t xml:space="preserve">be found near existing Spanish settlements was now given</w:t></w:r>
</w:p>
<w:p>
<w:pPr><w:pStyle w:val="Normal"/></w:pPr>
<w:r><w:t xml:space="preserve">up.  One was sought farther south, and in November 1520</w:t></w:r>
</w:p>
<w:p>
<w:pPr><w:pStyle w:val="Normal"/></w:pPr>
<w:r><w:t xml:space="preserve">Ferdinand Magellan (q.v.) passed through the strait which</w:t></w:r>
</w:p>
<w:p>
<w:pPr><w:pStyle w:val="Normal"/></w:pPr>
<w:r><w:t xml:space="preserve">bears his name and sailed across the Pacific.  At last the</w:t></w:r>
</w:p>
<w:p>
<w:pPr><w:pStyle w:val="Normal"/></w:pPr>
<w:r><w:t xml:space="preserve">existence of a continent divided by a vast stretch of ocean</w:t></w:r>
</w:p>
<w:p>
<w:pPr><w:pStyle w:val="Normal"/></w:pPr>
<w:r><w:t xml:space="preserve">from Asia, and mostly lying within the sphere of influence</w:t></w:r>
</w:p>
<w:p>
<w:pPr><w:pStyle w:val="Normal"/></w:pPr>
<w:r><w:t xml:space="preserve">assigned to Spain by the pope, was revealed to the world.</w:t></w:r>
</w:p>
<w:p>
<w:pPr><w:pStyle w:val="Normal"/></w:pPr>
<w:r><w:t xml:space="preserve">The first aim of the Spaniards had been trade with the Indies.</w:t></w:r>
</w:p>
<w:p>
<w:pPr><w:pStyle w:val="Normal"/></w:pPr>
<w:r><w:t xml:space="preserve">The Casa de Contratacion, a committee for the regulation of</w:t></w:r>
</w:p>
<w:p>
<w:pPr><w:pStyle w:val="Normal"/></w:pPr>
<w:r><w:t xml:space="preserve">trade, was established at Seville in 1503.  European plants</w:t></w:r>
</w:p>
<w:p>
<w:pPr><w:pStyle w:val="Normal"/></w:pPr>
<w:r><w:t xml:space="preserve">and animals were introduced into Hispaniola and Cuba, and</w:t></w:r>
</w:p>
<w:p>
<w:pPr><w:pStyle w:val="Normal"/></w:pPr>
<w:r><w:t xml:space="preserve">sugar plantations were set up.  But the main object of the</w:t></w:r>
</w:p>
<w:p>
<w:pPr><w:pStyle w:val="Normal"/></w:pPr>
<w:r><w:t xml:space="preserve">Spaniards, who could not labour in the tropics even if they</w:t></w:r>
</w:p>
<w:p>
<w:pPr><w:pStyle w:val="Normal"/></w:pPr>
<w:r><w:t xml:space="preserve">had wished to do so, was always gold, to be won by slave</w:t></w:r>
</w:p>
<w:p>
<w:pPr><w:pStyle w:val="Normal"/></w:pPr>
<w:r><w:t xml:space="preserve">labour.  As the surface gold of the islands was exhausted,</w:t></w:r>
</w:p>
<w:p>
<w:pPr><w:pStyle w:val="Normal"/></w:pPr>
<w:r><w:t xml:space="preserve">and the feeble island races perished before the invaders,</w:t></w:r>
</w:p>
<w:p>
<w:pPr><w:pStyle w:val="Normal"/></w:pPr>
<w:r><w:t xml:space="preserve">the Spaniards were driven to go farther afield.  In 1510</w:t></w:r>
</w:p>
<w:p>
<w:pPr><w:pStyle w:val="Normal"/></w:pPr>
<w:r><w:t xml:space="preserve">Pedrarias Davila transferred the Darien settlement to Panama.</w:t></w:r>
</w:p>
<w:p>
<w:pPr><w:pStyle w:val="Normal"/></w:pPr>
<w:r><w:t xml:space="preserve">In that and the following year the coasts of Yucatan and of</w:t></w:r>
</w:p>
<w:p>
<w:pPr><w:pStyle w:val="Normal"/></w:pPr>
<w:r><w:t xml:space="preserve">the Gulf of Mexico were explored successively by Francisco</w:t></w:r>
</w:p>
<w:p>
<w:pPr><w:pStyle w:val="Normal"/></w:pPr>
<w:r><w:t xml:space="preserve">Hernandez Cordova and Juan de Grijalva, who both sailed from</w:t></w:r>
</w:p>
<w:p>
<w:pPr><w:pStyle w:val="Normal"/></w:pPr>
<w:r><w:t xml:space="preserve">Cuba. From Cuba it was that Hernan Cortes (q.v.) sailed</w:t></w:r>
</w:p>
<w:p>
<w:pPr><w:pStyle w:val="Normal"/></w:pPr>
<w:r><w:t xml:space="preserve">on the 10th (or 18th) of February 1519 for the conquest of</w:t></w:r>
</w:p>
<w:p>
<w:pPr><w:pStyle w:val="Normal"/></w:pPr>
<w:r><w:t xml:space="preserve">Mexico.  Hitherto the Spaniards had met only the weak</w:t></w:r>
</w:p>
<w:p>
<w:pPr><w:pStyle w:val="Normal"/></w:pPr>
<w:r><w:t xml:space="preserve">islanders, or the more robust cannibal Caribs, both alike pure</w:t></w:r>
</w:p>
<w:p>
<w:pPr><w:pStyle w:val="Normal"/></w:pPr>
<w:r><w:t xml:space="preserve">savages.  In Mexico they found ``pueblo&apos;&apos; or town Indians who</w:t></w:r>
</w:p>
<w:p>
<w:pPr><w:pStyle w:val="Normal"/></w:pPr>
<w:r><w:t xml:space="preserve">possessed an organized government and had made some progress in</w:t></w:r>
</w:p>
<w:p>
<w:pPr><w:pStyle w:val="Normal"/></w:pPr>
<w:r><w:t xml:space="preserve">civilization.  The hegemony of the Aztecs, who dominated</w:t></w:r>
</w:p>
<w:p>
<w:pPr><w:pStyle w:val="Normal"/></w:pPr>
<w:r><w:t xml:space="preserve">the other tribes from the central valley of Mexico, was</w:t></w:r>
</w:p>
<w:p>
<w:pPr><w:pStyle w:val="Normal"/></w:pPr>
<w:r><w:t xml:space="preserve">oppressive.  Cortes, the most accomplished and statesmanlike</w:t></w:r>
</w:p>
<w:p>
<w:pPr><w:pStyle w:val="Normal"/></w:pPr>
<w:r><w:t xml:space="preserve">of the Spanish conquerors, raised the subject peoples against</w:t></w:r>
</w:p>
<w:p>
<w:pPr><w:pStyle w:val="Normal"/></w:pPr>
<w:r><w:t xml:space="preserve">them.  His conquest was effected by 1521.  His example</w:t></w:r>
</w:p>
<w:p>
<w:pPr><w:pStyle w:val="Normal"/></w:pPr>
<w:r><w:t xml:space="preserve">stimulated the settlers at Panama, who had heard of a great</w:t></w:r>
</w:p>
<w:p>
<w:pPr><w:pStyle w:val="Normal"/></w:pPr>
<w:r><w:t xml:space="preserve">people owning vast quantities of gold to the south of them.</w:t></w:r>
</w:p>
<w:p>
<w:pPr><w:pStyle w:val="Normal"/></w:pPr>
<w:r><w:t xml:space="preserve">Between 1524 and 1535 Francisco Pizarro (q.v.) and Diego</w:t></w:r>
</w:p>
<w:p>
<w:pPr><w:pStyle w:val="Normal"/></w:pPr>
<w:r><w:t xml:space="preserve">de Almagro had completed the conquest of Peru, which was</w:t></w:r>
</w:p>
<w:p>
<w:pPr><w:pStyle w:val="Normal"/></w:pPr>
<w:r><w:t xml:space="preserve">followed, however, by a long period of strife among the</w:t></w:r>
</w:p>
<w:p>
<w:pPr><w:pStyle w:val="Normal"/></w:pPr>
<w:r><w:t xml:space="preserve">Spaniards, and of rebellions.  The country between Peru and</w:t></w:r>
</w:p>
<w:p>
<w:pPr><w:pStyle w:val="Normal"/></w:pPr>
<w:r><w:t xml:space="preserve">Panama was subdued before 1537 by the conquest of Quito by</w:t></w:r>
</w:p>
<w:p>
<w:pPr><w:pStyle w:val="Normal"/></w:pPr>
<w:r><w:t xml:space="preserve">Sebastian de Benalcazar and of New Granada by Jimenez de</w:t></w:r>
</w:p>
<w:p>
<w:pPr><w:pStyle w:val="Normal"/></w:pPr>
<w:r><w:t xml:space="preserve">Quesada.  From Peru the Spaniards advanced southwards to</w:t></w:r>
</w:p>
<w:p>
<w:pPr><w:pStyle w:val="Normal"/></w:pPr>
<w:r><w:t xml:space="preserve">Chile, which was first unsuccessfully invaded (1535-37)</w:t></w:r>
</w:p>
<w:p>
<w:pPr><w:pStyle w:val="Normal"/></w:pPr>
<w:r><w:t xml:space="preserve">by Diego de Almagro, and afterwards occupied (1540-53) by</w:t></w:r>
</w:p>
<w:p>
<w:pPr><w:pStyle w:val="Normal"/></w:pPr>
<w:r><w:t xml:space="preserve">Pedro de Valdivia.  Their advance to the south was checked</w:t></w:r>
</w:p>
<w:p>
<w:pPr><w:pStyle w:val="Normal"/></w:pPr>
<w:r><w:t xml:space="preserve">by the indomitable opposition of the Araucanians, but</w:t></w:r>
</w:p>
<w:p>
<w:pPr><w:pStyle w:val="Normal"/></w:pPr>
<w:r><w:t xml:space="preserve">from the southern Andes the Spaniards overflowed on to the</w:t></w:r>
</w:p>
<w:p>
<w:pPr><w:pStyle w:val="Normal"/></w:pPr>
<w:r><w:t xml:space="preserve">great plains which now form the interior of the Argentine</w:t></w:r>
</w:p>
<w:p>
<w:pPr><w:pStyle w:val="Normal"/></w:pPr>
<w:r><w:t xml:space="preserve">Republic.  The first permanent settlement at the mouth</w:t></w:r>
</w:p>
<w:p>
<w:pPr><w:pStyle w:val="Normal"/></w:pPr>
<w:r><w:t xml:space="preserve">of the river Plate at Buenos Aires dates from 1580.</w:t></w:r>
</w:p>
<w:p>
<w:pPr><w:pStyle w:val="Normal"/></w:pPr>
<w:r><w:t xml:space="preserve">In its main lines the Spanish conquest was complete by</w:t></w:r>
</w:p>
<w:p>
<w:pPr><w:pStyle w:val="Normal"/></w:pPr>
<w:r><w:t xml:space="preserve">1550.  What the Spaniards had then overrun from Mexico to</w:t></w:r>
</w:p>
<w:p>
<w:pPr><w:pStyle w:val="Normal"/></w:pPr>
<w:r><w:t xml:space="preserve">Chile is still Spanish America.  Brazil, after a period of</w:t></w:r>
</w:p>
<w:p>
<w:pPr><w:pStyle w:val="Normal"/></w:pPr>
<w:r><w:t xml:space="preserve">exploration which began in 1510, was gradually settled by</w:t></w:r>
</w:p>
<w:p>
<w:pPr><w:pStyle w:val="Normal"/></w:pPr>
<w:r><w:t xml:space="preserve">the Portuguese, though its bounds on the south remained a</w:t></w:r>
</w:p>
<w:p>
<w:pPr><w:pStyle w:val="Normal"/></w:pPr>
<w:r><w:t xml:space="preserve">subject of dispute with the Spaniards till the 18th century.</w:t></w:r>
</w:p>
<w:p>
<w:pPr><w:pStyle w:val="Normal"/></w:pPr>
<w:r><w:t xml:space="preserve">The vast territories acquired by Spain in this brief period</w:t></w:r>
</w:p>
<w:p>
<w:pPr><w:pStyle w:val="Normal"/></w:pPr>
<w:r><w:t xml:space="preserve">were held to be, by virtue of the pope&apos;s bull, the peculiar</w:t></w:r>
</w:p>
<w:p>
<w:pPr><w:pStyle w:val="Normal"/></w:pPr>
<w:r><w:t xml:space="preserve">property of the sovereign.  When the wide and dangerous powers</w:t></w:r>
</w:p>
<w:p>
<w:pPr><w:pStyle w:val="Normal"/></w:pPr>
<w:r><w:t xml:space="preserve">granted to Columbus by his patent were confiscated, Ferdinand</w:t></w:r>
</w:p>
<w:p>
<w:pPr><w:pStyle w:val="Normal"/></w:pPr>
<w:r><w:t xml:space="preserve">first imposed Bishop Fonseca on him as a check.  In 1509</w:t></w:r>
</w:p>
<w:p>
<w:pPr><w:pStyle w:val="Normal"/></w:pPr>
<w:r><w:t xml:space="preserve">the council of the Indies was established, but it did not</w:t></w:r>
</w:p>
<w:p>
<w:pPr><w:pStyle w:val="Normal"/></w:pPr>
<w:r><w:t xml:space="preserve">take its final form till 1524.  It consisted of a president,</w:t></w:r>
</w:p>
<w:p>
<w:pPr><w:pStyle w:val="Normal"/></w:pPr>
<w:r><w:t xml:space="preserve">with a board of advisers, who possessed legislative and</w:t></w:r>
</w:p>
<w:p>
<w:pPr><w:pStyle w:val="Normal"/></w:pPr>
<w:r><w:t xml:space="preserve">administrative powers, and who varied in number at different</w:t></w:r>
</w:p>
<w:p>
<w:pPr><w:pStyle w:val="Normal"/></w:pPr>
<w:r><w:t xml:space="preserve">times.  There was an appeal to it from all colonial governors</w:t></w:r>
</w:p>
<w:p>
<w:pPr><w:pStyle w:val="Normal"/></w:pPr>
<w:r><w:t xml:space="preserve">and courts.  The Casa de Contratacion, another hoard,</w:t></w:r>
</w:p>
<w:p>
<w:pPr><w:pStyle w:val="Normal"/></w:pPr>
<w:r><w:t xml:space="preserve">regulated the trade.  In America the crown was represented  by</w:t></w:r>
</w:p>
<w:p>
<w:pPr><w:pStyle w:val="Normal"/></w:pPr>
<w:r><w:t xml:space="preserve">governors.  After the preliminary period of conquest the</w:t></w:r>
</w:p>
<w:p>
<w:pPr><w:pStyle w:val="Normal"/></w:pPr>
<w:r><w:t xml:space="preserve">whole of the Spanish possessions were divided into the two</w:t></w:r>
</w:p>
<w:p>
<w:pPr><w:pStyle w:val="Normal"/></w:pPr>
<w:r><w:t xml:space="preserve">``kingdoms&apos;&apos; of New Spain, -- consisting of Venezuela and</w:t></w:r>
</w:p>
<w:p>
<w:pPr><w:pStyle w:val="Normal"/></w:pPr>
<w:r><w:t xml:space="preserve">the Spanish possessions north of the isthmus -- and of New</w:t></w:r>
</w:p>
<w:p>
<w:pPr><w:pStyle w:val="Normal"/></w:pPr>
<w:r><w:t xml:space="preserve">Castile, a title soon changed to Peru, which included the</w:t></w:r>
</w:p>
<w:p>
<w:pPr><w:pStyle w:val="Normal"/></w:pPr>
<w:r><w:t xml:space="preserve">Central American isthmus and all of South America except</w:t></w:r>
</w:p>
<w:p>
<w:pPr><w:pStyle w:val="Normal"/></w:pPr>
<w:r><w:t xml:space="preserve">Venezuela and Brazil. Each was ruled by a viceroy.  As the</w:t></w:r>
</w:p>
<w:p>
<w:pPr><w:pStyle w:val="Normal"/></w:pPr>
<w:r><w:t xml:space="preserve">Spanish dominions became more settled, the viceroyalty of</w:t></w:r>
</w:p>
<w:p>
<w:pPr><w:pStyle w:val="Normal"/></w:pPr>
<w:r><w:t xml:space="preserve">Peru was found to be unwieldy. New Granada (which included</w:t></w:r>
</w:p>
<w:p>
<w:pPr><w:pStyle w:val="Normal"/></w:pPr>
<w:r><w:t xml:space="preserve">the present republics of Venezuela, Colombia and Ecuador) was</w:t></w:r>
</w:p>
<w:p>
<w:pPr><w:pStyle w:val="Normal"/></w:pPr>
<w:r><w:t xml:space="preserve">created a viceroyalty in 1718 (soon abolished, but re-created in</w:t></w:r>
</w:p>
<w:p>
<w:pPr><w:pStyle w:val="Normal"/></w:pPr>
<w:r><w:t xml:space="preserve">1740).  A fourth viceroyalty for the river Plate was formed in</w:t></w:r>
</w:p>
<w:p>
<w:pPr><w:pStyle w:val="Normal"/></w:pPr>
<w:r><w:t xml:space="preserve">1778.  Other governments known as captain-generalships were cut</w:t></w:r>
</w:p>
<w:p>
<w:pPr><w:pStyle w:val="Normal"/></w:pPr>
<w:r><w:t xml:space="preserve">out of the viceroyalties at different periods -- Guatemalain</w:t></w:r>
</w:p>
<w:p>
<w:pPr><w:pStyle w:val="Normal"/></w:pPr>
<w:r><w:t xml:space="preserve">1527, Venezuelain 1773, Cubain 1777 and Chile in 1778.  The</w:t></w:r>
</w:p>
<w:p>
<w:pPr><w:pStyle w:val="Normal"/></w:pPr>
<w:r><w:t xml:space="preserve">captains-general corresponded directly with the council of the</w:t></w:r>
</w:p>
<w:p>
<w:pPr><w:pStyle w:val="Normal"/></w:pPr>
<w:r><w:t xml:space="preserve">Indies, and were independent of the viceroys except in war</w:t></w:r>
</w:p>
<w:p>
<w:pPr><w:pStyle w:val="Normal"/></w:pPr>
<w:r><w:t xml:space="preserve">time.  The administrative powers of the viceroys were very</w:t></w:r>
</w:p>
<w:p>
<w:pPr><w:pStyle w:val="Normal"/></w:pPr>
<w:r><w:t xml:space="preserve">great.  They were, however, checked by the audiencias,</w:t></w:r>
</w:p>
<w:p>
<w:pPr><w:pStyle w:val="Normal"/></w:pPr>
<w:r><w:t xml:space="preserve">or law courts, of which there were eleven from the reign of</w:t></w:r>
</w:p>
<w:p>
<w:pPr><w:pStyle w:val="Normal"/></w:pPr>
<w:r><w:t xml:space="preserve">Philip IV. -- Santo Domingo, Mexico, Panama, Lima, Guatemala,</w:t></w:r>
</w:p>
<w:p>
<w:pPr><w:pStyle w:val="Normal"/></w:pPr>
<w:r><w:t xml:space="preserve">Guadalajara, Bogota, La Plata, Quito, Chile, Buenos Aires.</w:t></w:r>
</w:p>
<w:p>
<w:pPr><w:pStyle w:val="Normal"/></w:pPr>
<w:r><w:t xml:space="preserve">They acted as councils to the governors, and had civil and</w:t></w:r>
</w:p>
<w:p>
<w:pPr><w:pStyle w:val="Normal"/></w:pPr>
<w:r><w:t xml:space="preserve">criminal jurisdiction with an appeal to the council of</w:t></w:r>
</w:p>
<w:p>
<w:pPr><w:pStyle w:val="Normal"/></w:pPr>
<w:r><w:t xml:space="preserve">the Indies at Seville. The towns had municipal franchises,</w:t></w:r>
</w:p>
<w:p>
<w:pPr><w:pStyle w:val="Normal"/></w:pPr>
<w:r><w:t xml:space="preserve">exercised by a governing body comprised of Spaniards, either</w:t></w:r>
</w:p>
<w:p>
<w:pPr><w:pStyle w:val="Normal"/></w:pPr>
<w:r><w:t xml:space="preserve">immigrants from Old Spain, or Creoles, i.e. descendants</w:t></w:r>
</w:p>
<w:p>
<w:pPr><w:pStyle w:val="Normal"/></w:pPr>
<w:r><w:t xml:space="preserve">of Spanish settlers.  The places were often sold, and were</w:t></w:r>
</w:p>
<w:p>
<w:pPr><w:pStyle w:val="Normal"/></w:pPr>
<w:r><w:t xml:space="preserve">objects of ambition to the richer merchants. In practice</w:t></w:r>
</w:p>
<w:p>
<w:pPr><w:pStyle w:val="Normal"/></w:pPr>
<w:r><w:t xml:space="preserve">the selling of a seat in the town councils, or cabildos,</w:t></w:r>
</w:p>
<w:p>
<w:pPr><w:pStyle w:val="Normal"/></w:pPr>
<w:r><w:t xml:space="preserve">did not have the bad consequences which might have appeared</w:t></w:r>
</w:p>
<w:p>
<w:pPr><w:pStyle w:val="Normal"/></w:pPr>
<w:r><w:t xml:space="preserve">inevitable.  In the earlier stages of Spanish colonial history</w:t></w:r>
</w:p>
<w:p>
<w:pPr><w:pStyle w:val="Normal"/></w:pPr>
<w:r><w:t xml:space="preserve">meetings of delegates (procurators) of the town councils,</w:t></w:r>
</w:p>
<w:p>
<w:pPr><w:pStyle w:val="Normal"/></w:pPr>
<w:r><w:t xml:space="preserve">in imitation of the national cortes of Spain, were not</w:t></w:r>
</w:p>
<w:p>
<w:pPr><w:pStyle w:val="Normal"/></w:pPr>
<w:r><w:t xml:space="preserve">uncommon.  The kings of Spain had obtained from the popes</w:t></w:r>
</w:p>
<w:p>
<w:pPr><w:pStyle w:val="Normal"/></w:pPr>
<w:r><w:t xml:space="preserve">Alexander VI. and Julius II. the right of levying the tithe,</w:t></w:r>
</w:p>
<w:p>
<w:pPr><w:pStyle w:val="Normal"/></w:pPr>
<w:r><w:t xml:space="preserve">and of naming the holders of all ecclesiastical benefices.</w:t></w:r>
</w:p>
<w:p>
<w:pPr><w:pStyle w:val="Normal"/></w:pPr>
<w:r><w:t xml:space="preserve">These immense concessions, made when the development of the</w:t></w:r>
</w:p>
<w:p>
<w:pPr><w:pStyle w:val="Normal"/></w:pPr>
<w:r><w:t xml:space="preserve">Spanish settlements could not be foreseen, were regretted by</w:t></w:r>
</w:p>
<w:p>
<w:pPr><w:pStyle w:val="Normal"/></w:pPr>
<w:r><w:t xml:space="preserve">later popes, but the crown adhered firmly to its regalities.</w:t></w:r>
</w:p>
<w:p>
<w:pPr><w:pStyle w:val="Normal"/></w:pPr>
<w:r><w:t xml:space="preserve">The government of Spain administered its dominions from the</w:t></w:r>
</w:p>
<w:p>
<w:pPr><w:pStyle w:val="Normal"/></w:pPr>
<w:r><w:t xml:space="preserve">beginning in the strictest spirit of the ``colonial system.&apos;&apos;</w:t></w:r>
</w:p>
<w:p>
<w:pPr><w:pStyle w:val="Normal"/></w:pPr>
<w:r><w:t xml:space="preserve">The Indies were expected to supply precious metals and raw</w:t></w:r>
</w:p>
<w:p>
<w:pPr><w:pStyle w:val="Normal"/></w:pPr>
<w:r><w:t xml:space="preserve">materials, and to take all manufactures from the mother</w:t></w:r>
</w:p>
<w:p>
<w:pPr><w:pStyle w:val="Normal"/></w:pPr>
<w:r><w:t xml:space="preserve">country.  In order to facilitate the regulation of the</w:t></w:r>
</w:p>
<w:p>
<w:pPr><w:pStyle w:val="Normal"/></w:pPr>
<w:r><w:t xml:space="preserve">trade by the Casa de Contratacion, it was concentrated</w:t></w:r>
</w:p>
<w:p>
<w:pPr><w:pStyle w:val="Normal"/></w:pPr>
<w:r><w:t xml:space="preserve">first in Seville, and when the Guadalquivir was found</w:t></w:r>
</w:p>
<w:p>
<w:pPr><w:pStyle w:val="Normal"/></w:pPr>
<w:r><w:t xml:space="preserve">to be becoming too shallow for the growing tonnage of</w:t></w:r>
</w:p>
<w:p>
<w:pPr><w:pStyle w:val="Normal"/></w:pPr>
<w:r><w:t xml:space="preserve">ships, at Cadiz.  Merchant vessels were required for their</w:t></w:r>
</w:p>
<w:p>
<w:pPr><w:pStyle w:val="Normal"/></w:pPr>
<w:r><w:t xml:space="preserve">protection to sail in convoy.  The convoys or flotas</w:t></w:r>
</w:p>
<w:p>
<w:pPr><w:pStyle w:val="Normal"/></w:pPr>
<w:r><w:t xml:space="preserve">sailed in October first to Cartagena in South America, and</w:t></w:r>
</w:p>
<w:p>
<w:pPr><w:pStyle w:val="Normal"/></w:pPr>
<w:r><w:t xml:space="preserve">from thence to Nombre de Dios or, in later times, Porto</w:t></w:r>
</w:p>
<w:p>
<w:pPr><w:pStyle w:val="Normal"/></w:pPr>
<w:r><w:t xml:space="preserve">Bello.  The yearly fairs at these places received the</w:t></w:r>
</w:p>
<w:p>
<w:pPr><w:pStyle w:val="Normal"/></w:pPr>
<w:r><w:t xml:space="preserve">imports from Europe and the colonial trade of the Pacific</w:t></w:r>
</w:p>
<w:p>
<w:pPr><w:pStyle w:val="Normal"/></w:pPr>
<w:r><w:t xml:space="preserve">coast, first collected at Panama and then carried over the</w:t></w:r>
</w:p>
<w:p>
<w:pPr><w:pStyle w:val="Normal"/></w:pPr>
<w:r><w:t xml:space="preserve">isthmus.  From Nombre de Dios or Porto Bello the convoys went</w:t></w:r>
</w:p>
<w:p>
<w:pPr><w:pStyle w:val="Normal"/></w:pPr>
<w:r><w:t xml:space="preserve">to La Vera Cruz for the trade of New Spain, and returned home</w:t></w:r>
</w:p>
<w:p>
<w:pPr><w:pStyle w:val="Normal"/></w:pPr>
<w:r><w:t xml:space="preserve">in July by the Florida straits.  One-fifth of the produce</w:t></w:r>
</w:p>
<w:p>
<w:pPr><w:pStyle w:val="Normal"/></w:pPr>
<w:r><w:t xml:space="preserve">of the mines belonged to the crown.  The collection of this</w:t></w:r>
</w:p>
<w:p>
<w:pPr><w:pStyle w:val="Normal"/></w:pPr>
<w:r><w:t xml:space="preserve">bullion was at all times a main object with the Spanish</w:t></w:r>
</w:p>
<w:p>
<w:pPr><w:pStyle w:val="Normal"/></w:pPr>
<w:r><w:t xml:space="preserve">government, and more especially so after the discovery of the</w:t></w:r>
</w:p>
<w:p>
<w:pPr><w:pStyle w:val="Normal"/></w:pPr>
<w:r><w:t xml:space="preserve">great silver deposits of Potosi in Bolivia.  Forced labour</w:t></w:r>
</w:p>
<w:p>
<w:pPr><w:pStyle w:val="Normal"/></w:pPr>
<w:r><w:t xml:space="preserve">was required to work them and the natives were driven to the</w:t></w:r>
</w:p>
<w:p>
<w:pPr><w:pStyle w:val="Normal"/></w:pPr>
<w:r><w:t xml:space="preserve">toil.  The excesses of the earliest Spanish settlers have</w:t></w:r>
</w:p>
<w:p>
<w:pPr><w:pStyle w:val="Normal"/></w:pPr>
<w:r><w:t xml:space="preserve">become a commonplace, largely through the passionate eloquence</w:t></w:r>
</w:p>
<w:p>
<w:pPr><w:pStyle w:val="Normal"/></w:pPr>
<w:r><w:t xml:space="preserve">of Bartolome de Las Casas (see LAS CASAS).  The Spanish</w:t></w:r>
</w:p>
<w:p>
<w:pPr><w:pStyle w:val="Normal"/></w:pPr>
<w:r><w:t xml:space="preserve">government made strenuous attempts to regulate forced labour</w:t></w:r>
</w:p>
<w:p>
<w:pPr><w:pStyle w:val="Normal"/></w:pPr>
<w:r><w:t xml:space="preserve">by limiting the rights of the masters.  An encomienda was</w:t></w:r>
</w:p>
<w:p>
<w:pPr><w:pStyle w:val="Normal"/></w:pPr>
<w:r><w:t xml:space="preserve">required by anyone who wished to exact labour, i.e. the</w:t></w:r>
</w:p>
<w:p>
<w:pPr><w:pStyle w:val="Normal"/></w:pPr>
<w:r><w:t xml:space="preserve">Indians of a district were given to him ``in commendam&apos;&apos; with</w:t></w:r>
</w:p>
<w:p>
<w:pPr><w:pStyle w:val="Normal"/></w:pPr>
<w:r><w:t xml:space="preserve">the power to demand a corvee from them and a small yearly</w:t></w:r>
</w:p>
<w:p>
<w:pPr><w:pStyle w:val="Normal"/></w:pPr>
<w:r><w:t xml:space="preserve">payment per head.  The laws endeavoured to check abuses, but</w:t></w:r>
</w:p>
<w:p>
<w:pPr><w:pStyle w:val="Normal"/></w:pPr>
<w:r><w:t xml:space="preserve">there can be no doubt that they were often defeated by the</w:t></w:r>
</w:p>
<w:p>
<w:pPr><w:pStyle w:val="Normal"/></w:pPr>
<w:r><w:t xml:space="preserve">greed of the colonists -- more especially in the viceroyalty</w:t></w:r>
</w:p>
<w:p>
<w:pPr><w:pStyle w:val="Normal"/></w:pPr>
<w:r><w:t xml:space="preserve">of Peru, which was always less well governed than Mexico.</w:t></w:r>
</w:p>
<w:p>
<w:pPr><w:pStyle w:val="Normal"/></w:pPr>
<w:r><w:t xml:space="preserve">But the bulk of the inhabitants of the Spanish possessions</w:t></w:r>
</w:p>
<w:p>
<w:pPr><w:pStyle w:val="Normal"/></w:pPr>
<w:r><w:t xml:space="preserve">were of pure or mixed Indian blood, and many Indians were</w:t></w:r>
</w:p>
<w:p>
<w:pPr><w:pStyle w:val="Normal"/></w:pPr>
<w:r><w:t xml:space="preserve">prosperous as traders, manufacturers, farmers and artisans.</w:t></w:r>
</w:p>
<w:p>
<w:pPr><w:pStyle w:val="Normal"/></w:pPr>
<w:r><w:t xml:space="preserve">The Portuguese settlement in Brazil was more purely colonial</w:t></w:r>
</w:p>
<w:p>
<w:pPr><w:pStyle w:val="Normal"/></w:pPr>
<w:r><w:t xml:space="preserve">than the Spanish possessions.  Until 1534 little was done to</w:t></w:r>
</w:p>
<w:p>
<w:pPr><w:pStyle w:val="Normal"/></w:pPr>
<w:r><w:t xml:space="preserve">regulate the activity of private adventures.  In that year</w:t></w:r>
</w:p>
<w:p>
<w:pPr><w:pStyle w:val="Normal"/></w:pPr>
<w:r><w:t xml:space="preserve">the coast was divided into captaincies, which were united</w:t></w:r>
</w:p>
<w:p>
<w:pPr><w:pStyle w:val="Normal"/></w:pPr>
<w:r><w:t xml:space="preserve">under a single governor-general in 1549.  Between 1555 and</w:t></w:r>
</w:p>
<w:p>
<w:pPr><w:pStyle w:val="Normal"/></w:pPr>
<w:r><w:t xml:space="preserve">1567 the Portuguese  had to contend with the French Huguenot</w:t></w:r>
</w:p>
<w:p>
<w:pPr><w:pStyle w:val="Normal"/></w:pPr>
<w:r><w:t xml:space="preserve">invaders who seized Rio, and whom they expelled.  Between</w:t></w:r>
</w:p>
<w:p>
<w:pPr><w:pStyle w:val="Normal"/></w:pPr>
<w:r><w:t xml:space="preserve">1572 and 1576 there were in Brazil the two governments</w:t></w:r>
</w:p>
<w:p>
<w:pPr><w:pStyle w:val="Normal"/></w:pPr>
<w:r><w:t xml:space="preserve">of Rio de Janeiro and Bahia, but its history is of little</w:t></w:r>
</w:p>
<w:p>
<w:pPr><w:pStyle w:val="Normal"/></w:pPr>
<w:r><w:t xml:space="preserve">importance till the occupation of Portugal by Philip II.</w:t></w:r>
</w:p>
<w:p>
<w:pPr><w:pStyle w:val="Normal"/></w:pPr>
<w:r><w:t xml:space="preserve">drew the country into the wars of the Spanish monarchy.</w:t></w:r>
</w:p>
<w:p>
<w:pPr><w:pStyle w:val="Normal"/></w:pPr>
<w:r><w:t xml:space="preserve">The claim of the Peninsula powers to divide the American</w:t></w:r>
</w:p>
<w:p>
<w:pPr><w:pStyle w:val="Normal"/></w:pPr>
<w:r><w:t xml:space="preserve">continent between them, based as it was on an award given in</w:t></w:r>
</w:p>
<w:p>
<w:pPr><w:pStyle w:val="Normal"/></w:pPr>
<w:r><w:t xml:space="preserve">entire ignorance of the facts, would in no case have been</w:t></w:r>
</w:p>
<w:p>
<w:pPr><w:pStyle w:val="Normal"/></w:pPr>
<w:r><w:t xml:space="preserve">respected.  In the great upheaval of the Renaissance and</w:t></w:r>
</w:p>
<w:p>
<w:pPr><w:pStyle w:val="Normal"/></w:pPr>
<w:r><w:t xml:space="preserve">the Reformation it was certain to be defied.  As England was</w:t></w:r>
</w:p>
<w:p>
<w:pPr><w:pStyle w:val="Normal"/></w:pPr>
<w:r><w:t xml:space="preserve">in general alliance with the sovereigns of Spain during the</w:t></w:r>
</w:p>
<w:p>
<w:pPr><w:pStyle w:val="Normal"/></w:pPr>
<w:r><w:t xml:space="preserve">early 16th century, Englishmen  turned their attention at</w:t></w:r>
</w:p>
<w:p>
<w:pPr><w:pStyle w:val="Normal"/></w:pPr>
<w:r><w:t xml:space="preserve">first towards the discovery of a route to the Spice Islands</w:t></w:r>
</w:p>
<w:p>
<w:pPr><w:pStyle w:val="Normal"/></w:pPr>
<w:r><w:t xml:space="preserve">round the north of Asia.  But the rivalry of Francis I. and</w:t></w:r>
</w:p>
<w:p>
<w:pPr><w:pStyle w:val="Normal"/></w:pPr>
<w:r><w:t xml:space="preserve">Charles V. gave France a strong motive for assailing the</w:t></w:r>
</w:p>
<w:p>
<w:pPr><w:pStyle w:val="Normal"/></w:pPr>
<w:r><w:t xml:space="preserve">Spaniards in the New World now revealed to the ambition of</w:t></w:r>
</w:p>
<w:p>
<w:pPr><w:pStyle w:val="Normal"/></w:pPr>
<w:r><w:t xml:space="preserve">Europe.  King Francis encouraged the ill-recorded and disputed</w:t></w:r>
</w:p>
<w:p>
<w:pPr><w:pStyle w:val="Normal"/></w:pPr>
<w:r><w:t xml:space="preserve">voyages of the Florentine Giovanni da Verrazano in 1524,</w:t></w:r>
</w:p>
<w:p>
<w:pPr><w:pStyle w:val="Normal"/></w:pPr>
<w:r><w:t xml:space="preserve">and the undoubted explorations of Jacques Cartier. Between</w:t></w:r>
</w:p>
<w:p>
<w:pPr><w:pStyle w:val="Normal"/></w:pPr>
<w:r><w:t xml:space="preserve">1534 and 1542 this seaman, a native of St Malo, explored the</w:t></w:r>
</w:p>
<w:p>
<w:pPr><w:pStyle w:val="Normal"/></w:pPr>
<w:r><w:t xml:space="preserve">Strait of Belle Isle and the Gulf of St Lawrence, and visited</w:t></w:r>
</w:p>
<w:p>
<w:pPr><w:pStyle w:val="Normal"/></w:pPr>
<w:r><w:t xml:space="preserve">the Indian village of Hochelaga, now Montreal.  The claims</w:t></w:r>
</w:p>
<w:p>
<w:pPr><w:pStyle w:val="Normal"/></w:pPr>
<w:r><w:t xml:space="preserve">of France to the possession of a great part of the northern</w:t></w:r>
</w:p>
<w:p>
<w:pPr><w:pStyle w:val="Normal"/></w:pPr>
<w:r><w:t xml:space="preserve">half of America were based on the voyages of Verrazano and</w:t></w:r>
</w:p>
<w:p>
<w:pPr><w:pStyle w:val="Normal"/></w:pPr>
<w:r><w:t xml:space="preserve">Cartier. The death of King Francis, and the beginning of the</w:t></w:r>
</w:p>
<w:p>
<w:pPr><w:pStyle w:val="Normal"/></w:pPr>
<w:r><w:t xml:space="preserve">wars of religion, suspended colonial enterprise under royal</w:t></w:r>
</w:p>
<w:p>
<w:pPr><w:pStyle w:val="Normal"/></w:pPr>
<w:r><w:t xml:space="preserve">direction.  But the Huguenots, under the inspiration of</w:t></w:r>
</w:p>
<w:p>
<w:pPr><w:pStyle w:val="Normal"/></w:pPr>
<w:r><w:t xml:space="preserve">Coligny, made three attempts to found colonies to the</w:t></w:r>
</w:p>
<w:p>
<w:pPr><w:pStyle w:val="Normal"/></w:pPr>
<w:r><w:t xml:space="preserve">south -- at Rio de Janeiro in 1555-1567, near the present</w:t></w:r>
</w:p>
<w:p>
<w:pPr><w:pStyle w:val="Normal"/></w:pPr>
<w:r><w:t xml:space="preserve">Beaufort, South Carolina, in 1562, and in Florida in 1565.</w:t></w:r>
</w:p>
<w:p>
<w:pPr><w:pStyle w:val="Normal"/></w:pPr>
<w:r><w:t xml:space="preserve">These ventures were ruined partly by the hostility of the</w:t></w:r>
</w:p>
<w:p>
<w:pPr><w:pStyle w:val="Normal"/></w:pPr>
<w:r><w:t xml:space="preserve">Spaniards and Portuguese, partly by the dissensions  of the</w:t></w:r>
</w:p>
<w:p>
<w:pPr><w:pStyle w:val="Normal"/></w:pPr>
<w:r><w:t xml:space="preserve">colonists.  Meanwhile French corsairs from St Malo and</w:t></w:r>
</w:p>
<w:p>
<w:pPr><w:pStyle w:val="Normal"/></w:pPr>
<w:r><w:t xml:space="preserve">Dieppe had been active in infesting the West Indies and</w:t></w:r>
</w:p>
<w:p>
<w:pPr><w:pStyle w:val="Normal"/></w:pPr>
<w:r><w:t xml:space="preserve">the trade route followed by the Spanish convoys.  After</w:t></w:r>
</w:p>
<w:p>
<w:pPr><w:pStyle w:val="Normal"/></w:pPr>
<w:r><w:t xml:space="preserve">the accession of Queen Elizabeth, and the beginning of the</w:t></w:r>
</w:p>
<w:p>
<w:pPr><w:pStyle w:val="Normal"/></w:pPr>
<w:r><w:t xml:space="preserve">breach between England and Spain, they were joined by English</w:t></w:r>
</w:p>
<w:p>
<w:pPr><w:pStyle w:val="Normal"/></w:pPr>
<w:r><w:t xml:space="preserve">sea-rovers.  The English claimed the right to trade with all</w:t></w:r>
</w:p>
<w:p>
<w:pPr><w:pStyle w:val="Normal"/></w:pPr>
<w:r><w:t xml:space="preserve">Spanish possessions in or out of Europe by virtue of their</w:t></w:r>
</w:p>
<w:p>
<w:pPr><w:pStyle w:val="Normal"/></w:pPr>
<w:r><w:t xml:space="preserve">treaty of trade and amity made in the reign of Charles V.</w:t></w:r>
</w:p>
<w:p>
<w:pPr><w:pStyle w:val="Normal"/></w:pPr>
<w:r><w:t xml:space="preserve">The Spaniards disputed this interpretation of the treaty, and</w:t></w:r>
</w:p>
<w:p>
<w:pPr><w:pStyle w:val="Normal"/></w:pPr>
<w:r><w:t xml:space="preserve">maintained that there was ``no peace beyond the line,&apos;&apos; i.e.</w:t></w:r>
</w:p>
<w:p>
<w:pPr><w:pStyle w:val="Normal"/></w:pPr>
<w:r><w:t xml:space="preserve">Pope Alexander&apos;s line as finally fixed by the conference at</w:t></w:r>
</w:p>
<w:p>
<w:pPr><w:pStyle w:val="Normal"/></w:pPr>
<w:r><w:t xml:space="preserve">Tordesillas.  The English retaliated by armed smuggling voyages.</w:t></w:r>
</w:p>
<w:p>
<w:pPr><w:pStyle w:val="Normal"/></w:pPr>
<w:r><w:t xml:space="preserve">It was, however, not till late that they attempted to found</w:t></w:r>
</w:p>
<w:p>
<w:pPr><w:pStyle w:val="Normal"/></w:pPr>
<w:r><w:t xml:space="preserve">permanent settlements.  In 1578 Sir Humphrey Gilbert obtained</w:t></w:r>
</w:p>
<w:p>
<w:pPr><w:pStyle w:val="Normal"/></w:pPr>
<w:r><w:t xml:space="preserve">a patent for discovery and settlement.  In 1583 he perished</w:t></w:r>
</w:p>
<w:p>
<w:pPr><w:pStyle w:val="Normal"/></w:pPr>
<w:r><w:t xml:space="preserve">in an effort to establish a colony in Newfoundland.  His</w:t></w:r>
</w:p>
<w:p>
<w:pPr><w:pStyle w:val="Normal"/></w:pPr>
<w:r><w:t xml:space="preserve">work was taken up by his half-brother Sir Walter Raleigh in</w:t></w:r>
</w:p>
<w:p>
<w:pPr><w:pStyle w:val="Normal"/></w:pPr>
<w:r><w:t xml:space="preserve">1584.  Between 1586 and 1603 Sir Walter made successive efforts</w:t></w:r>
</w:p>
<w:p>
<w:pPr><w:pStyle w:val="Normal"/></w:pPr>
<w:r><w:t xml:space="preserve">to settle a colony in the wide territory called Virginia, in</w:t></w:r>
</w:p>
<w:p>
<w:pPr><w:pStyle w:val="Normal"/></w:pPr>
<w:r><w:t xml:space="preserve">honour of Queen Elizabeth, a name of much wider significance</w:t></w:r>
</w:p>
<w:p>
<w:pPr><w:pStyle w:val="Normal"/></w:pPr>
<w:r><w:t xml:space="preserve">then than in later days.  His colony at Roanoke, in what</w:t></w:r>
</w:p>
<w:p>
<w:pPr><w:pStyle w:val="Normal"/></w:pPr>
<w:r><w:t xml:space="preserve">is now the state of North Carolina, was unsuccessful, and</w:t></w:r>
</w:p>
<w:p>
<w:pPr><w:pStyle w:val="Normal"/></w:pPr>
<w:r><w:t xml:space="preserve">after his fall his patent reverted to the crown, but the new</w:t></w:r>
</w:p>
<w:p>
<w:pPr><w:pStyle w:val="Normal"/></w:pPr>
<w:r><w:t xml:space="preserve">Virginia Company carried on his schemes.  In 1607 the first</w:t></w:r>
</w:p>
<w:p>
<w:pPr><w:pStyle w:val="Normal"/></w:pPr>
<w:r><w:t xml:space="preserve">lasting settlement was made in Virginia, and after a period</w:t></w:r>
</w:p>
<w:p>
<w:pPr><w:pStyle w:val="Normal"/></w:pPr>
<w:r><w:t xml:space="preserve">of struggle began to flourish by the cultivation of tobacco.</w:t></w:r>
</w:p>
<w:p>
<w:pPr><w:pStyle w:val="Normal"/></w:pPr>
<w:r><w:t xml:space="preserve">In 1620 another settlement was made.  A small body of</w:t></w:r>
</w:p>
<w:p>
<w:pPr><w:pStyle w:val="Normal"/></w:pPr>
<w:r><w:t xml:space="preserve">religious dissentients, one hundred and one men, women and</w:t></w:r>
</w:p>
<w:p>
<w:pPr><w:pStyle w:val="Normal"/></w:pPr>
<w:r><w:t xml:space="preserve">children, including some who had fled to Holland to escape</w:t></w:r>
</w:p>
<w:p>
<w:pPr><w:pStyle w:val="Normal"/></w:pPr>
<w:r><w:t xml:space="preserve">the discipline of the church of England, secured leave from</w:t></w:r>
</w:p>
<w:p>
<w:pPr><w:pStyle w:val="Normal"/></w:pPr>
<w:r><w:t xml:space="preserve">the Virginia Company to plant themselves within its bounds.</w:t></w:r>
</w:p>
<w:p>
<w:pPr><w:pStyle w:val="Normal"/></w:pPr>
<w:r><w:t xml:space="preserve">They sailed in a single ship, the ``Mayflower,&apos;&apos; and landed</w:t></w:r>
</w:p>
<w:p>
<w:pPr><w:pStyle w:val="Normal"/></w:pPr>
<w:r><w:t xml:space="preserve">near Cape Cod, where they founded the colony of Plymouth,</w:t></w:r>
</w:p>
<w:p>
<w:pPr><w:pStyle w:val="Normal"/></w:pPr>
<w:r><w:t xml:space="preserve">afterwards (1621) obtaining a patent from the council for New</w:t></w:r>
</w:p>
<w:p>
<w:pPr><w:pStyle w:val="Normal"/></w:pPr>
<w:r><w:t xml:space="preserve">England.  From these two centres, and from later settlements,</w:t></w:r>
</w:p>
<w:p>
<w:pPr><w:pStyle w:val="Normal"/></w:pPr>
<w:r><w:t xml:space="preserve">arose the ``Plantations&apos;&apos; of the English, which gradually</w:t></w:r>
</w:p>
<w:p>
<w:pPr><w:pStyle w:val="Normal"/></w:pPr>
<w:r><w:t xml:space="preserve">increased to the number of thirteen and were destined to</w:t></w:r>
</w:p>
<w:p>
<w:pPr><w:pStyle w:val="Normal"/></w:pPr>
<w:r><w:t xml:space="preserve">become the United States of America. Two strongly contrasted</w:t></w:r>
</w:p>
<w:p>
<w:pPr><w:pStyle w:val="Normal"/></w:pPr>
<w:r><w:t xml:space="preserve">types were found among them.  The Virginian or southern</w:t></w:r>
</w:p>
<w:p>
<w:pPr><w:pStyle w:val="Normal"/></w:pPr>
<w:r><w:t xml:space="preserve">type, which may be said to have prevailed from Maryland</w:t></w:r>
</w:p>
<w:p>
<w:pPr><w:pStyle w:val="Normal"/></w:pPr>
<w:r><w:t xml:space="preserve">southward, were for the most part planters producing tobacco,</w:t></w:r>
</w:p>
<w:p>
<w:pPr><w:pStyle w:val="Normal"/></w:pPr>
<w:r><w:t xml:space="preserve">Indian corn, rice, indigo and cotton, largely by the labour</w:t></w:r>
</w:p>
<w:p>
<w:pPr><w:pStyle w:val="Normal"/></w:pPr>
<w:r><w:t xml:space="preserve">of negro slaves.  They had no very pronounced religious</w:t></w:r>
</w:p>
<w:p>
<w:pPr><w:pStyle w:val="Normal"/></w:pPr>
<w:r><w:t xml:space="preserve">leaning, though Maryland was founded as a Roman Catholic</w:t></w:r>
</w:p>
<w:p>
<w:pPr><w:pStyle w:val="Normal"/></w:pPr>
<w:r><w:t xml:space="preserve">refuge, but they had a prevailing leaning to the church of</w:t></w:r>
</w:p>
<w:p>
<w:pPr><w:pStyle w:val="Normal"/></w:pPr>
<w:r><w:t xml:space="preserve">England.  The northern or New England element began by</w:t></w:r>
</w:p>
<w:p>
<w:pPr><w:pStyle w:val="Normal"/></w:pPr>
<w:r><w:t xml:space="preserve">endeavouring to establish a Puritan theocracy which broke</w:t></w:r>
</w:p>
<w:p>
<w:pPr><w:pStyle w:val="Normal"/></w:pPr>
<w:r><w:t xml:space="preserve">down. But the tendency was towards ``Independency,&apos;&apos; and</w:t></w:r>
</w:p>
<w:p>
<w:pPr><w:pStyle w:val="Normal"/></w:pPr>
<w:r><w:t xml:space="preserve">the New Englanders were farmers tilling their own land,</w:t></w:r>
</w:p>
<w:p>
<w:pPr><w:pStyle w:val="Normal"/></w:pPr>
<w:r><w:t xml:space="preserve">traders and seafaring men.  In the middle region between</w:t></w:r>
</w:p>
<w:p>
<w:pPr><w:pStyle w:val="Normal"/></w:pPr>
<w:r><w:t xml:space="preserve">them religion had a large share in promoting the formation of</w:t></w:r>
</w:p>
<w:p>
<w:pPr><w:pStyle w:val="Normal"/></w:pPr>
<w:r><w:t xml:space="preserve">Pennsylvania, which was founded by the Quaker William Penn.</w:t></w:r>
</w:p>
<w:p>
<w:pPr><w:pStyle w:val="Normal"/></w:pPr>
<w:r><w:t xml:space="preserve">The English colonies, though divided by interest or</w:t></w:r>
</w:p>
<w:p>
<w:pPr><w:pStyle w:val="Normal"/></w:pPr>
<w:r><w:t xml:space="preserve">character, were all alike jealous to defend, and eager to</w:t></w:r>
</w:p>
<w:p>
<w:pPr><w:pStyle w:val="Normal"/></w:pPr>
<w:r><w:t xml:space="preserve">extend, their freedom of self-government, based on charters</w:t></w:r>
</w:p>
<w:p>
<w:pPr><w:pStyle w:val="Normal"/></w:pPr>
<w:r><w:t xml:space="preserve">granted by, or extorted from, the crown.  The settlers by</w:t></w:r>
</w:p>
<w:p>
<w:pPr><w:pStyle w:val="Normal"/></w:pPr>
<w:r><w:t xml:space="preserve">degrees threw off the control of the proprietors who had</w:t></w:r>
</w:p>
<w:p>
<w:pPr><w:pStyle w:val="Normal"/></w:pPr>
<w:r><w:t xml:space="preserve">received grants from the crown and had promoted the first</w:t></w:r>
</w:p>
<w:p>
<w:pPr><w:pStyle w:val="Normal"/></w:pPr>
<w:r><w:t xml:space="preserve">settlements.  It was a marked characteristic of the English</w:t></w:r>
</w:p>
<w:p>
<w:pPr><w:pStyle w:val="Normal"/></w:pPr>
<w:r><w:t xml:space="preserve">colonists, and a strong element in their prosperity, that</w:t></w:r>
</w:p>
<w:p>
<w:pPr><w:pStyle w:val="Normal"/></w:pPr>
<w:r><w:t xml:space="preserve">they were hospitable in welcoming men of other races, --</w:t></w:r>
</w:p>
<w:p>
<w:pPr><w:pStyle w:val="Normal"/></w:pPr>
<w:r><w:t xml:space="preserve">Germans from the Palatinate, and French Huguenots driven</w:t></w:r>
</w:p>
<w:p>
<w:pPr><w:pStyle w:val="Normal"/></w:pPr>
<w:r><w:t xml:space="preserve">out by persecution who brought with them some capital,</w:t></w:r>
</w:p>
<w:p>
<w:pPr><w:pStyle w:val="Normal"/></w:pPr>
<w:r><w:t xml:space="preserve">more intelligence and an enduring hatred of Roman Catholic</w:t></w:r>
</w:p>
<w:p>
<w:pPr><w:pStyle w:val="Normal"/></w:pPr>
<w:r><w:t xml:space="preserve">France.  Though the British government gave, more or less</w:t></w:r>
</w:p>
<w:p>
<w:pPr><w:pStyle w:val="Normal"/></w:pPr>
<w:r><w:t xml:space="preserve">unwillingly, a large measure of self-government to the</w:t></w:r>
</w:p>
<w:p>
<w:pPr><w:pStyle w:val="Normal"/></w:pPr>
<w:r><w:t xml:space="preserve">Plantations, it was no less intent than the Spanish crown</w:t></w:r>
</w:p>
<w:p>
<w:pPr><w:pStyle w:val="Normal"/></w:pPr>
<w:r><w:t xml:space="preserve">on retaining the whole colonial trade in British hands, and</w:t></w:r>
</w:p>
<w:p>
<w:pPr><w:pStyle w:val="Normal"/></w:pPr>
<w:r><w:t xml:space="preserve">on excluding foreigners. Like the Spaniards it held that</w:t></w:r>
</w:p>
<w:p>
<w:pPr><w:pStyle w:val="Normal"/></w:pPr>
<w:r><w:t xml:space="preserve">this trade should be confined to an exchange of colonial</w:t></w:r>
</w:p>
<w:p>
<w:pPr><w:pStyle w:val="Normal"/></w:pPr>
<w:r><w:t xml:space="preserve">raw produce for home manufactures. Two foreign settlements</w:t></w:r>
</w:p>
<w:p>
<w:pPr><w:pStyle w:val="Normal"/></w:pPr>
<w:r><w:t xml:space="preserve">within the English sphere -- the Dutch colony of New</w:t></w:r>
</w:p>
<w:p>
<w:pPr><w:pStyle w:val="Normal"/></w:pPr>
<w:r><w:t xml:space="preserve">Netherland, now New York, and the Swedish settlement on the</w:t></w:r>
</w:p>
<w:p>
<w:pPr><w:pStyle w:val="Normal"/></w:pPr>
<w:r><w:t xml:space="preserve">Delaware -- were absorbed by the growing English element.</w:t></w:r>
</w:p>
<w:p>
<w:pPr><w:pStyle w:val="Normal"/></w:pPr>
<w:r><w:t xml:space="preserve">While the English plantations were striking root along the</w:t></w:r>
</w:p>
<w:p>
<w:pPr><w:pStyle w:val="Normal"/></w:pPr>
<w:r><w:t xml:space="preserve">coast, by somewhat prosaic but fruitful industry, and were</w:t></w:r>
</w:p>
<w:p>
<w:pPr><w:pStyle w:val="Normal"/></w:pPr>
<w:r><w:t xml:space="preserve">growing in population with rapid strides, two other movements</w:t></w:r>
</w:p>
<w:p>
<w:pPr><w:pStyle w:val="Normal"/></w:pPr>
<w:r><w:t xml:space="preserve">were in progress.  To the south, the English, French and</w:t></w:r>
</w:p>
<w:p>
<w:pPr><w:pStyle w:val="Normal"/></w:pPr>
<w:r><w:t xml:space="preserve">Dutch, though often in rivalry with one another, combined to</w:t></w:r>
</w:p>
<w:p>
<w:pPr><w:pStyle w:val="Normal"/></w:pPr>
<w:r><w:t xml:space="preserve">break in on the monopoly of the Spaniards.  They turned the</w:t></w:r>
</w:p>
<w:p>
<w:pPr><w:pStyle w:val="Normal"/></w:pPr>
<w:r><w:t xml:space="preserve">maxim that ``there is no peace beyond the line&apos;&apos; against its</w:t></w:r>
</w:p>
<w:p>
<w:pPr><w:pStyle w:val="Normal"/></w:pPr>
<w:r><w:t xml:space="preserve">inventors.  They invaded the West Indies, seized one island</w:t></w:r>
</w:p>
<w:p>
<w:pPr><w:pStyle w:val="Normal"/></w:pPr>
<w:r><w:t xml:space="preserve">after another, and formed the freebooting communities known</w:t></w:r>
</w:p>
<w:p>
<w:pPr><w:pStyle w:val="Normal"/></w:pPr>
<w:r><w:t xml:space="preserve">as the Brethren of the Coast and the Buccaneers (q.v).</w:t></w:r>
</w:p>
<w:p>
<w:pPr><w:pStyle w:val="Normal"/></w:pPr>
<w:r><w:t xml:space="preserve">After the renewal of the war between Spain and Holland in</w:t></w:r>
</w:p>
<w:p>
<w:pPr><w:pStyle w:val="Normal"/></w:pPr>
<w:r><w:t xml:space="preserve">1621, the Dutch invaded the Portuguese colony of Brazil,</w:t></w:r>
</w:p>
<w:p>
<w:pPr><w:pStyle w:val="Normal"/></w:pPr>
<w:r><w:t xml:space="preserve">and seized Bahia.  A long period of struggle followed,</w:t></w:r>
</w:p>
<w:p>
<w:pPr><w:pStyle w:val="Normal"/></w:pPr>
<w:r><w:t xml:space="preserve">but, after the declaration of Portuguese independence</w:t></w:r>
</w:p>
<w:p>
<w:pPr><w:pStyle w:val="Normal"/></w:pPr>
<w:r><w:t xml:space="preserve">in 1640, local opposition, and the support given to the</w:t></w:r>
</w:p>
<w:p>
<w:pPr><w:pStyle w:val="Normal"/></w:pPr>
<w:r><w:t xml:space="preserve">Portuguese by the French, led to the retreat of the Dutch.</w:t></w:r>
</w:p>
<w:p>
<w:pPr><w:pStyle w:val="Normal"/></w:pPr>
<w:r><w:t xml:space="preserve">To the north, to the west and to the south of the English</w:t></w:r>
</w:p>
<w:p>
<w:pPr><w:pStyle w:val="Normal"/></w:pPr>
<w:r><w:t xml:space="preserve">settlements on the mainland, a most characteristic French</w:t></w:r>
</w:p>
<w:p>
<w:pPr><w:pStyle w:val="Normal"/></w:pPr>
<w:r><w:t xml:space="preserve">colonial policy was being carried out.  No sooner were the wars</w:t></w:r>
</w:p>
<w:p>
<w:pPr><w:pStyle w:val="Normal"/></w:pPr>
<w:r><w:t xml:space="preserve">of religion over than the French again set about making good</w:t></w:r>
</w:p>
<w:p>
<w:pPr><w:pStyle w:val="Normal"/></w:pPr>
<w:r><w:t xml:space="preserve">their claim to Canada, and to whatever they could represent</w:t></w:r>
</w:p>
<w:p>
<w:pPr><w:pStyle w:val="Normal"/></w:pPr>
<w:r><w:t xml:space="preserve">as arising naturally out of Canada.  In 1599, under the</w:t></w:r>
</w:p>
<w:p>
<w:pPr><w:pStyle w:val="Normal"/></w:pPr>
<w:r><w:t xml:space="preserve">encouragement of Henry IV., speculators began to frequent the</w:t></w:r>
</w:p>
<w:p>
<w:pPr><w:pStyle w:val="Normal"/></w:pPr>
<w:r><w:t xml:space="preserve">St Lawrence in pursuit of the fur trade.  Their settlements</w:t></w:r>
</w:p>
<w:p>
<w:pPr><w:pStyle w:val="Normal"/></w:pPr>
<w:r><w:t xml:space="preserve">were mainly trading posts.  Their colonists were not farmers</w:t></w:r>
</w:p>
<w:p>
<w:pPr><w:pStyle w:val="Normal"/></w:pPr>
<w:r><w:t xml:space="preserve">but trappers, woodrangers, coureurs du bois, who married</w:t></w:r>
</w:p>
<w:p>
<w:pPr><w:pStyle w:val="Normal"/></w:pPr>
<w:r><w:t xml:space="preserve">Indian women, and formed a mixed race known as the bois</w:t></w:r>
</w:p>
<w:p>
<w:pPr><w:pStyle w:val="Normal"/></w:pPr>
<w:r><w:t xml:space="preserve">brules.  Not a few of the leaders, notably Samuel de Champlain</w:t></w:r>
</w:p>
<w:p>
<w:pPr><w:pStyle w:val="Normal"/></w:pPr>
<w:r><w:t xml:space="preserve">(q.v.), who founded Quebec in 1608, were brave ingenious</w:t></w:r>
</w:p>
<w:p>
<w:pPr><w:pStyle w:val="Normal"/></w:pPr>
<w:r><w:t xml:space="preserve">men, but the population provided no basis for a lasting</w:t></w:r>
</w:p>
<w:p>
<w:pPr><w:pStyle w:val="Normal"/></w:pPr>
<w:r><w:t xml:space="preserve">colony.  It was adventurous, small, scattered and unstable.</w:t></w:r>
</w:p>
<w:p>
<w:pPr><w:pStyle w:val="Normal"/></w:pPr>
<w:r><w:t xml:space="preserve">The religious impulse which was so strong both in the Spanish</w:t></w:r>
</w:p>
<w:p>
<w:pPr><w:pStyle w:val="Normal"/></w:pPr>
<w:r><w:t xml:space="preserve">and the English colonies was prominent in the French, but in</w:t></w:r>
</w:p>
<w:p>
<w:pPr><w:pStyle w:val="Normal"/></w:pPr>
<w:r><w:t xml:space="preserve">the most fatal form.  Pious people were eager to bring about</w:t></w:r>
</w:p>
<w:p>
<w:pPr><w:pStyle w:val="Normal"/></w:pPr>
<w:r><w:t xml:space="preserve">the conversion of the Indians, and were zealously served by</w:t></w:r>
</w:p>
<w:p>
<w:pPr><w:pStyle w:val="Normal"/></w:pPr>
<w:r><w:t xml:space="preserve">missionaries.  The Jesuits, whose first appearance in New</w:t></w:r>
</w:p>
<w:p>
<w:pPr><w:pStyle w:val="Normal"/></w:pPr>
<w:r><w:t xml:space="preserve">France dates from 1611, were active and devoted.  Their aim was</w:t></w:r>
</w:p>
<w:p>
<w:pPr><w:pStyle w:val="Normal"/></w:pPr>
<w:r><w:t xml:space="preserve">to reduce the fierce Red men to a state of childlike docility</w:t></w:r>
</w:p>
<w:p>
<w:pPr><w:pStyle w:val="Normal"/></w:pPr>
<w:r><w:t xml:space="preserve">to priests, and they discouraged all colonization in their</w:t></w:r>
</w:p>
<w:p>
<w:pPr><w:pStyle w:val="Normal"/></w:pPr>
<w:r><w:t xml:space="preserve">neighbourhood.  It was true that the most active French colonial</w:t></w:r>
</w:p>
<w:p>
<w:pPr><w:pStyle w:val="Normal"/></w:pPr>
<w:r><w:t xml:space="preserve">element, the trappers, were barbarized by the natives, and</w:t></w:r>
</w:p>
<w:p>
<w:pPr><w:pStyle w:val="Normal"/></w:pPr>
<w:r><w:t xml:space="preserve">that the pursuit of the fur trade and other causes had brought</w:t></w:r>
</w:p>
<w:p>
<w:pPr><w:pStyle w:val="Normal"/></w:pPr>
<w:r><w:t xml:space="preserve">the French into sharp collision with the most formidable</w:t></w:r>
</w:p>
<w:p>
<w:pPr><w:pStyle w:val="Normal"/></w:pPr>
<w:r><w:t xml:space="preserve">of the native races, the confederation known as the Five</w:t></w:r>
</w:p>
<w:p>
<w:pPr><w:pStyle w:val="Normal"/></w:pPr>
<w:r><w:t xml:space="preserve">(or Six) Nations.  During the reign of Louis XIV., after</w:t></w:r>
</w:p>
<w:p>
<w:pPr><w:pStyle w:val="Normal"/></w:pPr>
<w:r><w:t xml:space="preserve">1660, the French government paid great attention to Canada,</w:t></w:r>
</w:p>
<w:p>
<w:pPr><w:pStyle w:val="Normal"/></w:pPr>
<w:r><w:t xml:space="preserve">but not in a way capable of leading to the formation of a</w:t></w:r>
</w:p>
<w:p>
<w:pPr><w:pStyle w:val="Normal"/></w:pPr>
<w:r><w:t xml:space="preserve">colony.  The king was as intent as the rulers of Spain had</w:t></w:r>
</w:p>
<w:p>
<w:pPr><w:pStyle w:val="Normal"/></w:pPr>
<w:r><w:t xml:space="preserve">been to keep the American possessions free from all taint of</w:t></w:r>
</w:p>
<w:p>
<w:pPr><w:pStyle w:val="Normal"/></w:pPr>
<w:r><w:t xml:space="preserve">heresy.  Therefore he carried on the policy of excluding</w:t></w:r>
</w:p>
<w:p>
<w:pPr><w:pStyle w:val="Normal"/></w:pPr>
<w:r><w:t xml:space="preserve">the Huguenots -- the only colonizing element among his</w:t></w:r>
</w:p>
<w:p>
<w:pPr><w:pStyle w:val="Normal"/></w:pPr>
<w:r><w:t xml:space="preserve">subjects, -- and drove them into the English plantations.</w:t></w:r>
</w:p>
<w:p>
<w:pPr><w:pStyle w:val="Normal"/></w:pPr>
<w:r><w:t xml:space="preserve">A small handful of obedient peasants, priest-ridden and</w:t></w:r>
</w:p>
<w:p>
<w:pPr><w:pStyle w:val="Normal"/></w:pPr>
<w:r><w:t xml:space="preserve">over-administered, formed the basis of the colony.  On</w:t></w:r>
</w:p>
<w:p>
<w:pPr><w:pStyle w:val="Normal"/></w:pPr>
<w:r><w:t xml:space="preserve">this narrow foundation was raised a vast super- structure,</w:t></w:r>
</w:p>
<w:p>
<w:pPr><w:pStyle w:val="Normal"/></w:pPr>
<w:r><w:t xml:space="preserve">ecclesiastical, administrative and military.  His priests,</w:t></w:r>
</w:p>
<w:p>
<w:pPr><w:pStyle w:val="Normal"/></w:pPr>
<w:r><w:t xml:space="preserve">and his officials civil and military, gave the French king</w:t></w:r>
</w:p>
<w:p>
<w:pPr><w:pStyle w:val="Normal"/></w:pPr>
<w:r><w:t xml:space="preserve">many daring explorers.  While the English colonies were</w:t></w:r>
</w:p>
<w:p>
<w:pPr><w:pStyle w:val="Normal"/></w:pPr>
<w:r><w:t xml:space="preserve">slowly digging their way, taking firm hold of the soil, and</w:t></w:r>
</w:p>
<w:p>
<w:pPr><w:pStyle w:val="Normal"/></w:pPr>
<w:r><w:t xml:space="preserve">growing in numbers, from the sea to the Alleghanies, French</w:t></w:r>
</w:p>
<w:p>
<w:pPr><w:pStyle w:val="Normal"/></w:pPr>
<w:r><w:t xml:space="preserve">missionaries and explorers had ranged far and wide.  In 1682</w:t></w:r>
</w:p>
<w:p>
<w:pPr><w:pStyle w:val="Normal"/></w:pPr>
<w:r><w:t xml:space="preserve">Robert Cavelier, sieur de la Salle, who had already explored</w:t></w:r>
</w:p>
<w:p>
<w:pPr><w:pStyle w:val="Normal"/></w:pPr>
<w:r><w:t xml:space="preserve">the Ohio, sailed down the Mississippi  and took possession</w:t></w:r>
</w:p>
<w:p>
<w:pPr><w:pStyle w:val="Normal"/></w:pPr>
<w:r><w:t xml:space="preserve">of the region at the mouth by the name of Louisiana.</w:t></w:r>
</w:p>
<w:p>
<w:pPr><w:pStyle w:val="Normal"/></w:pPr>
<w:r><w:t xml:space="preserve">The problem which was to be settled by a century of strife</w:t></w:r>
</w:p>
<w:p>
<w:pPr><w:pStyle w:val="Normal"/></w:pPr>
<w:r><w:t xml:space="preserve">was now posed.  On the one hand were the English plantations,</w:t></w:r>
</w:p>
<w:p>
<w:pPr><w:pStyle w:val="Normal"/></w:pPr>
<w:r><w:t xml:space="preserve">populated, cultivated, profitable, stretching along the</w:t></w:r>
</w:p>
<w:p>
<w:pPr><w:pStyle w:val="Normal"/></w:pPr>
<w:r><w:t xml:space="preserve">east coast of North America; on the other were the Canadian</w:t></w:r>
</w:p>
<w:p>
<w:pPr><w:pStyle w:val="Normal"/></w:pPr>
<w:r><w:t xml:space="preserve">settlements, poverty-stricken, empty, over-officialled,</w:t></w:r>
</w:p>
<w:p>
<w:pPr><w:pStyle w:val="Normal"/></w:pPr>
<w:r><w:t xml:space="preserve">a cause of constant expense to the home government, and,</w:t></w:r>
</w:p>
<w:p>
<w:pPr><w:pStyle w:val="Normal"/></w:pPr>
<w:r><w:t xml:space="preserve">at a vast distance, those of Louisiana, struggling and</w:t></w:r>
</w:p>
<w:p>
<w:pPr><w:pStyle w:val="Normal"/></w:pPr>
<w:r><w:t xml:space="preserve">bankrupt.  The French remedy for an unsuccessful colony has</w:t></w:r>
</w:p>
<w:p>
<w:pPr><w:pStyle w:val="Normal"/></w:pPr>
<w:r><w:t xml:space="preserve">always been to annex more territory, and forestall a possible</w:t></w:r>
</w:p>
<w:p>
<w:pPr><w:pStyle w:val="Normal"/></w:pPr>
<w:r><w:t xml:space="preserve">rival.  Therefore the French government strove to unite the</w:t></w:r>
</w:p>
<w:p>
<w:pPr><w:pStyle w:val="Normal"/></w:pPr>
<w:r><w:t xml:space="preserve">beggarly settlements in Canada and Louisiana by setting up</w:t></w:r>
</w:p>
<w:p>
<w:pPr><w:pStyle w:val="Normal"/></w:pPr>
<w:r><w:t xml:space="preserve">posts all along the Ohio and the Mississippi, in order to</w:t></w:r>
</w:p>
<w:p>
<w:pPr><w:pStyle w:val="Normal"/></w:pPr>
<w:r><w:t xml:space="preserve">confine the English between the Alleghanies and the sea.</w:t></w:r>
</w:p>
<w:p>
<w:pPr><w:pStyle w:val="Normal"/></w:pPr>
<w:r><w:t xml:space="preserve">The political history of North America till 1763 is mainly</w:t></w:r>
</w:p>
<w:p>
<w:pPr><w:pStyle w:val="Normal"/></w:pPr>
<w:r><w:t xml:space="preserve">the story of the pressure of the English colonies on this</w:t></w:r>
</w:p>
<w:p>
<w:pPr><w:pStyle w:val="Normal"/></w:pPr>
<w:r><w:t xml:space="preserve">paper barrier. As regards Spanish America, England was</w:t></w:r>
</w:p>
<w:p>
<w:pPr><w:pStyle w:val="Normal"/></w:pPr>
<w:r><w:t xml:space="preserve">content to profit by the Asiento (q.v.) treaty, which gave</w:t></w:r>
</w:p>
<w:p>
<w:pPr><w:pStyle w:val="Normal"/></w:pPr>
<w:r><w:t xml:space="preserve">her the monopoly of slave- hunting for the Spanish colonies</w:t></w:r>
</w:p>
<w:p>
<w:pPr><w:pStyle w:val="Normal"/></w:pPr>
<w:r><w:t xml:space="preserve">and an opening for contraband trade.  In the river Plate</w:t></w:r>
</w:p>
<w:p>
<w:pPr><w:pStyle w:val="Normal"/></w:pPr>
<w:r><w:t xml:space="preserve">region, where the dissensions of Spaniards and Portuguese</w:t></w:r>
</w:p>
<w:p>
<w:pPr><w:pStyle w:val="Normal"/></w:pPr>
<w:r><w:t xml:space="preserve">afforded another opening, English traders smuggled.  The</w:t></w:r>
</w:p>
<w:p>
<w:pPr><w:pStyle w:val="Normal"/></w:pPr>
<w:r><w:t xml:space="preserve">Spaniards, with monstrous fatuity, refused to make use of</w:t></w:r>
</w:p>
<w:p>
<w:pPr><w:pStyle w:val="Normal"/></w:pPr>
<w:r><w:t xml:space="preserve">the superb waterways provided by the Parana and Paraguay,</w:t></w:r>
</w:p>
<w:p>
<w:pPr><w:pStyle w:val="Normal"/></w:pPr>
<w:r><w:t xml:space="preserve">and endeavoured to stifle all trade. England&apos;s main struggle</w:t></w:r>
</w:p>
<w:p>
<w:pPr><w:pStyle w:val="Normal"/></w:pPr>
<w:r><w:t xml:space="preserve">was with France.  It was prolonged by her entanglement in</w:t></w:r>
</w:p>
<w:p>
<w:pPr><w:pStyle w:val="Normal"/></w:pPr>
<w:r><w:t xml:space="preserve">European disputes and by political causes, by the want of</w:t></w:r>
</w:p>
<w:p>
<w:pPr><w:pStyle w:val="Normal"/></w:pPr>
<w:r><w:t xml:space="preserve">co-operation among the English colonies and their jealousy</w:t></w:r>
</w:p>
<w:p>
<w:pPr><w:pStyle w:val="Normal"/></w:pPr>
<w:r><w:t xml:space="preserve">of control by the home government.  The organization of</w:t></w:r>
</w:p>
<w:p>
<w:pPr><w:pStyle w:val="Normal"/></w:pPr>
<w:r><w:t xml:space="preserve">the French colonies, though industrially ruinous, gave them</w:t></w:r>
</w:p>
<w:p>
<w:pPr><w:pStyle w:val="Normal"/></w:pPr>
<w:r><w:t xml:space="preserve">Illustrations representative of the primitive cultures of Central</w:t></w:r>
</w:p>
<w:p>
<w:pPr><w:pStyle w:val="Normal"/></w:pPr>
<w:r><w:t xml:space="preserve">America, Mexico and Peru (q.q.v.) selected and arranged by</w:t></w:r>
</w:p>
<w:p>
<w:pPr><w:pStyle w:val="Normal"/></w:pPr>
<w:r><w:t xml:space="preserve">Dr Walter Lehmann of the Royal Ethinographical Museum, Munich.</w:t></w:r>
</w:p>
<w:p>
<w:pPr><w:pStyle w:val="Normal"/></w:pPr>
<w:r><w:t xml:space="preserve">Fig. 1. -- Stone Sculpture, from Teotihuacan</w:t></w:r>
</w:p>
<w:p>
<w:pPr><w:pStyle w:val="Normal"/></w:pPr>
<w:r><w:t xml:space="preserve">Mexico.  Prae-Mexican culture (? Totonacan).</w:t></w:r>
</w:p>
<w:p>
<w:pPr><w:pStyle w:val="Normal"/></w:pPr>
<w:r><w:t xml:space="preserve">Fig. 2. -- View of the Giant Pyramid of the Sun. Teotihuacan.</w:t></w:r>
</w:p>
<w:p>
<w:pPr><w:pStyle w:val="Normal"/></w:pPr>
<w:r><w:t xml:space="preserve">Plateau region, Mexico.  Prae-Mexican culture (? Totonacan).</w:t></w:r>
</w:p>
<w:p>
<w:pPr><w:pStyle w:val="Normal"/></w:pPr>
<w:r><w:t xml:space="preserve">(Figs. 2 and 6 from photos by Waite, Mexico.)</w:t></w:r>
</w:p>
<w:p>
<w:pPr><w:pStyle w:val="Normal"/></w:pPr>
<w:r><w:t xml:space="preserve">Fig. 3. -- Alabaster Vessel, with carved lizard as</w:t></w:r>
</w:p>
<w:p>
<w:pPr><w:pStyle w:val="Normal"/></w:pPr>
<w:r><w:t xml:space="preserve">handle.  Teotihuacan, Mexico.  Proto-Mexican culture.</w:t></w:r>
</w:p>
<w:p>
<w:pPr><w:pStyle w:val="Normal"/></w:pPr>
<w:r><w:t xml:space="preserve">Fig. 5. -- Carved Stone Figure of the god of sports and</w:t></w:r>
</w:p>
<w:p>
<w:pPr><w:pStyle w:val="Normal"/></w:pPr>
<w:r><w:t xml:space="preserve">dancing (Xochipilli- Miacuilxochitl, ``five flowers&apos;&apos;),</w:t></w:r>
</w:p>
<w:p>
<w:pPr><w:pStyle w:val="Normal"/></w:pPr>
<w:r><w:t xml:space="preserve">squatting on a stool, decorated with flowers and tonallo</w:t></w:r>
</w:p>
<w:p>
<w:pPr><w:pStyle w:val="Normal"/></w:pPr>
<w:r><w:t xml:space="preserve">emblems.  Plateau region, Mexico.  Mexican culture.</w:t></w:r>
</w:p>
<w:p>
<w:pPr><w:pStyle w:val="Normal"/></w:pPr>
<w:r><w:t xml:space="preserve">Fig. 6. -- Sculptured Frieze of the Temple of Xochicalco.  Plateau</w:t></w:r>
</w:p>
<w:p>
<w:pPr><w:pStyle w:val="Normal"/></w:pPr>
<w:r><w:t xml:space="preserve">region,  Mexico.  Mexican culture with Mayan influence.</w:t></w:r>
</w:p>
<w:p>
<w:pPr><w:pStyle w:val="Normal"/></w:pPr>
<w:r><w:t xml:space="preserve">Fig. 7. -- Stone Tablet in memory of the year chicuei-acatl</w:t></w:r>
</w:p>
<w:p>
<w:pPr><w:pStyle w:val="Normal"/></w:pPr>
<w:r><w:t xml:space="preserve">(``8 reeds&apos;&apos;), A.D. 1487, when the Great Temple in</w:t></w:r>
</w:p>
<w:p>
<w:pPr><w:pStyle w:val="Normal"/></w:pPr>
<w:r><w:t xml:space="preserve">Mexico was consecrated; above are the figures of the</w:t></w:r>
</w:p>
<w:p>
<w:pPr><w:pStyle w:val="Normal"/></w:pPr>
<w:r><w:t xml:space="preserve">Kings Ticoc and Ahuitzol, sacrificing with the date</w:t></w:r>
</w:p>
<w:p>
<w:pPr><w:pStyle w:val="Normal"/></w:pPr>
<w:r><w:t xml:space="preserve">of the beginning of the rebuilding, chicome-acatl (``7</w:t></w:r>
</w:p>
<w:p>
<w:pPr><w:pStyle w:val="Normal"/></w:pPr>
<w:r><w:t xml:space="preserve">reeds&apos;&apos;), A.D. 1447. Mexico City.  Mexican culture.</w:t></w:r>
</w:p>
<w:p>
<w:pPr><w:pStyle w:val="Normal"/></w:pPr>
<w:r><w:t xml:space="preserve">Fig. 8. -- Leaf 3 of the Tonalamatl or sacred cycle of</w:t></w:r>
</w:p>
<w:p>
<w:pPr><w:pStyle w:val="Normal"/></w:pPr>
<w:r><w:t xml:space="preserve">260 days from the  Aubin collection.  Figures of the gods</w:t></w:r>
</w:p>
<w:p>
<w:pPr><w:pStyle w:val="Normal"/></w:pPr>
<w:r><w:t xml:space="preserve">Quetzalcoatl and Tepeyollotli.  Mexico.  Mexican culture.</w:t></w:r>
</w:p>
<w:p>
<w:pPr><w:pStyle w:val="Normal"/></w:pPr>
<w:r><w:t xml:space="preserve">Fig. 9. -- Leaf 10 of Codex Borbonicus with figure of the god of</w:t></w:r>
</w:p>
<w:p>
<w:pPr><w:pStyle w:val="Normal"/></w:pPr>
<w:r><w:t xml:space="preserve">the  underworld (Mictlantecutli) as regent of the tenth of the</w:t></w:r>
</w:p>
<w:p>
<w:pPr><w:pStyle w:val="Normal"/></w:pPr>
<w:r><w:t xml:space="preserve">20 sections, each of 13 days, of the tonalamatl, which begins</w:t></w:r>
</w:p>
<w:p>
<w:pPr><w:pStyle w:val="Normal"/></w:pPr>
<w:r><w:t xml:space="preserve">with ``one flint&apos;&apos;  (ce tepcatl).  Mexico, Mexican culture.</w:t></w:r>
</w:p>
<w:p>
<w:pPr><w:pStyle w:val="Normal"/></w:pPr>
<w:r><w:t xml:space="preserve">Fig. 10. -- Leaf 54 of Codex Borbonicus B., with figures</w:t></w:r>
</w:p>
<w:p>
<w:pPr><w:pStyle w:val="Normal"/></w:pPr>
<w:r><w:t xml:space="preserve">of the ancient moon-god, the twelve months, and the rabbit</w:t></w:r>
</w:p>
<w:p>
<w:pPr><w:pStyle w:val="Normal"/></w:pPr>
<w:r><w:t xml:space="preserve">as the animal moon-emblem. Mexico.  Mexican culture.</w:t></w:r>
</w:p>
<w:p>
<w:pPr><w:pStyle w:val="Normal"/></w:pPr>
<w:r><w:t xml:space="preserve">(Figs. 8 - 10 from the publications of the duke of Loubat.)</w:t></w:r>
</w:p>
<w:p>
<w:pPr><w:pStyle w:val="Normal"/></w:pPr>
<w:r><w:t xml:space="preserve">Fig. 1. -- Male Clay Figure, holding weapon (?). From near</w:t></w:r>
</w:p>
<w:p>
<w:pPr><w:pStyle w:val="Normal"/></w:pPr>
<w:r><w:t xml:space="preserve">Tzintzuntzan Michoacan, Mexico. (?) Tarascan culture.</w:t></w:r>
</w:p>
<w:p>
<w:pPr><w:pStyle w:val="Normal"/></w:pPr>
<w:r><w:t xml:space="preserve">Fig. 2. -- View of the Ruins of the Pyramid Temple of</w:t></w:r>
</w:p>
<w:p>
<w:pPr><w:pStyle w:val="Normal"/></w:pPr>
<w:r><w:t xml:space="preserve">Papantla, near Vera Cruz, Mexico.  Totonacan culture.</w:t></w:r>
</w:p>
<w:p>
<w:pPr><w:pStyle w:val="Normal"/></w:pPr>
<w:r><w:t xml:space="preserve">Fig. 3. -- Hump-Backed Clay Figure, standing on a</w:t></w:r>
</w:p>
<w:p>
<w:pPr><w:pStyle w:val="Normal"/></w:pPr>
<w:r><w:t xml:space="preserve">fish; a reed staff in one  hand, and incised lines on</w:t></w:r>
</w:p>
<w:p>
<w:pPr><w:pStyle w:val="Normal"/></w:pPr>
<w:r><w:t xml:space="preserve">face.  From Tzintzuntzan. (?) Tarascan culture.</w:t></w:r>
</w:p>
<w:p>
<w:pPr><w:pStyle w:val="Normal"/></w:pPr>
<w:r><w:t xml:space="preserve">Fig. 4. -- Human Figure with a rattle-stick in the right hand.</w:t></w:r>
</w:p>
<w:p>
<w:pPr><w:pStyle w:val="Normal"/></w:pPr>
<w:r><w:t xml:space="preserve">From near  Alvarado, Vera Cruz, Mexico.  Totonacan culture.</w:t></w:r>
</w:p>
<w:p>
<w:pPr><w:pStyle w:val="Normal"/></w:pPr>
<w:r><w:t xml:space="preserve">Fig. 5. -- Stone Carving, deeply undercut, of the so-called Palma type.</w:t></w:r>
</w:p>
<w:p>
<w:pPr><w:pStyle w:val="Normal"/></w:pPr>
<w:r><w:t xml:space="preserve">From Coatepec, Canton Falapa, Vera Cruz, Mexico.  Totonacau culture.</w:t></w:r>
</w:p>
<w:p>
<w:pPr><w:pStyle w:val="Normal"/></w:pPr>
<w:r><w:t xml:space="preserve">Fig. 6. -- Similar Carving with human</w:t></w:r>
</w:p>
<w:p>
<w:pPr><w:pStyle w:val="Normal"/></w:pPr>
<w:r><w:t xml:space="preserve">figure.  From Coatepec.  Totonacan culture.</w:t></w:r>
</w:p>
<w:p>
<w:pPr><w:pStyle w:val="Normal"/></w:pPr>
<w:r><w:t xml:space="preserve">Fig. 7. -- Stone Yoke, carved in the so-called</w:t></w:r>
</w:p>
<w:p>
<w:pPr><w:pStyle w:val="Normal"/></w:pPr>
<w:r><w:t xml:space="preserve">frog-type.  Vera Cruz,  Mexico.  Totonacan culture.</w:t></w:r>
</w:p>
<w:p>
<w:pPr><w:pStyle w:val="Normal"/></w:pPr>
<w:r><w:t xml:space="preserve">Fig. 8. -- Crucified Figure, pierced with arrows of the victim at</w:t></w:r>
</w:p>
<w:p>
<w:pPr><w:pStyle w:val="Normal"/></w:pPr>
<w:r><w:t xml:space="preserve">the  festival of the god Nipe (Mexican Tlacaxipernaliztli), with</w:t></w:r>
</w:p>
<w:p>
<w:pPr><w:pStyle w:val="Normal"/></w:pPr>
<w:r><w:t xml:space="preserve">the symbols of  the god.  Culture of the Mayan transitional peoples</w:t></w:r>
</w:p>
<w:p>
<w:pPr><w:pStyle w:val="Normal"/></w:pPr>
<w:r><w:t xml:space="preserve">of the Atlantic coast of the Gulf of Mexico.  Totonaran culture.</w:t></w:r>
</w:p>
<w:p>
<w:pPr><w:pStyle w:val="Normal"/></w:pPr>
<w:r><w:t xml:space="preserve">Fig. 9. -- Temple Chambers, with stone pillars, from</w:t></w:r>
</w:p>
<w:p>
<w:pPr><w:pStyle w:val="Normal"/></w:pPr>
<w:r><w:t xml:space="preserve">the ruins of Mitla, Oaxaca, with wall mosaic of joined</w:t></w:r>
</w:p>
<w:p>
<w:pPr><w:pStyle w:val="Normal"/></w:pPr>
<w:r><w:t xml:space="preserve">stores.  Zapotecan culture with  proto-Mexican influence.</w:t></w:r>
</w:p>
<w:p>
<w:pPr><w:pStyle w:val="Normal"/></w:pPr>
<w:r><w:t xml:space="preserve">Fig. 10. -- Wall Mosaic of joined stone from the ruins of</w:t></w:r>
</w:p>
<w:p>
<w:pPr><w:pStyle w:val="Normal"/></w:pPr>
<w:r><w:t xml:space="preserve">Mitla. Zapotecan culture with proto-Mexican influence.</w:t></w:r>
</w:p>
<w:p>
<w:pPr><w:pStyle w:val="Normal"/></w:pPr>
<w:r><w:t xml:space="preserve">(Figs. 2, 9, and 10 are from photos by Waite, Mexico; Fig 8,</w:t></w:r>
</w:p>
<w:p>
<w:pPr><w:pStyle w:val="Normal"/></w:pPr>
<w:r><w:t xml:space="preserve">from the ``Codex Nuttall,&apos;&apos; publications of the Peabody Museum.)</w:t></w:r>
</w:p>
<w:p>
<w:pPr><w:pStyle w:val="Normal"/></w:pPr>
<w:r><w:t xml:space="preserve">the command of more available military forces than were at</w:t></w:r>
</w:p>
<w:p>
<w:pPr><w:pStyle w:val="Normal"/></w:pPr>
<w:r><w:t xml:space="preserve">the disposal of the English.  Thus the fight dragged on, and</w:t></w:r>
</w:p>
<w:p>
<w:pPr><w:pStyle w:val="Normal"/></w:pPr>
<w:r><w:t xml:space="preserve">was constantly maintained in Acadia, where the sovereignty</w:t></w:r>
</w:p>
<w:p>
<w:pPr><w:pStyle w:val="Normal"/></w:pPr>
<w:r><w:t xml:space="preserve">had been early disputed, and the border never properly</w:t></w:r>
</w:p>
<w:p>
<w:pPr><w:pStyle w:val="Normal"/></w:pPr>
<w:r><w:t xml:space="preserve">settled.  At last, when under the leadership of the elder Pitt</w:t></w:r>
</w:p>
<w:p>
<w:pPr><w:pStyle w:val="Normal"/></w:pPr>
<w:r><w:t xml:space="preserve">(see CHATHAM, EARL OF) England set to work resolutely to</w:t></w:r>
</w:p>
<w:p>
<w:pPr><w:pStyle w:val="Normal"/></w:pPr>
<w:r><w:t xml:space="preserve">force a final settlement, the end came.  The British navy cut</w:t></w:r>
</w:p>
<w:p>
<w:pPr><w:pStyle w:val="Normal"/></w:pPr>
<w:r><w:t xml:space="preserve">off the French from all help from home, and after a gallant</w:t></w:r>
</w:p>
<w:p>
<w:pPr><w:pStyle w:val="Normal"/></w:pPr>
<w:r><w:t xml:space="preserve">struggle, their dominion in Canada was conquered, and the</w:t></w:r>
</w:p>
<w:p>
<w:pPr><w:pStyle w:val="Normal"/></w:pPr>
<w:r><w:t xml:space="preserve">French retired from the North American continent.  They</w:t></w:r>
</w:p>
<w:p>
<w:pPr><w:pStyle w:val="Normal"/></w:pPr>
<w:r><w:t xml:space="preserve">surrendered Louisiana to Spain, which had suffered much in an</w:t></w:r>
</w:p>
<w:p>
<w:pPr><w:pStyle w:val="Normal"/></w:pPr>
<w:r><w:t xml:space="preserve">attempt to help them, and their possessions in America were</w:t></w:r>
</w:p>
<w:p>
<w:pPr><w:pStyle w:val="Normal"/></w:pPr>
<w:r><w:t xml:space="preserve">reduced to their islands in the West Indies and French Guiana.</w:t></w:r>
</w:p>
<w:p>
<w:pPr><w:pStyle w:val="Normal"/></w:pPr>
<w:r><w:t xml:space="preserve">The fall of the French dominion on the continent of North</w:t></w:r>
</w:p>
<w:p>
<w:pPr><w:pStyle w:val="Normal"/></w:pPr>
<w:r><w:t xml:space="preserve">America was practically the beginning of the existence of</w:t></w:r>
</w:p>
<w:p>
<w:pPr><w:pStyle w:val="Normal"/></w:pPr>
<w:r><w:t xml:space="preserve">independent nations of European origin in the New World.</w:t></w:r>
</w:p>
<w:p>
<w:pPr><w:pStyle w:val="Normal"/></w:pPr>
<w:r><w:t xml:space="preserve">The causes which led to the revolt of the Plantations, the</w:t></w:r>
</w:p>
<w:p>
<w:pPr><w:pStyle w:val="Normal"/></w:pPr>
<w:r><w:t xml:space="preserve">political and military history of the War of Independence,</w:t></w:r>
</w:p>
<w:p>
<w:pPr><w:pStyle w:val="Normal"/></w:pPr>
<w:r><w:t xml:space="preserve">are dealt with under the heading of UNITED STATES</w:t></w:r>
</w:p>
<w:p>
<w:pPr><w:pStyle w:val="Normal"/></w:pPr>
<w:r><w:t xml:space="preserve">(History) and AMERICAN WAR OF INDEPENDENCE.  The</w:t></w:r>
</w:p>
<w:p>
<w:pPr><w:pStyle w:val="Normal"/></w:pPr>
<w:r><w:t xml:space="preserve">significance of these great events in the general history</w:t></w:r>
</w:p>
<w:p>
<w:pPr><w:pStyle w:val="Normal"/></w:pPr>
<w:r><w:t xml:space="preserve">of America is that from 1783 onwards there was, in the New</w:t></w:r>
</w:p>
<w:p>
<w:pPr><w:pStyle w:val="Normal"/></w:pPr>
<w:r><w:t xml:space="preserve">World, an autonomous community not wholly unified at once,</w:t></w:r>
</w:p>
<w:p>
<w:pPr><w:pStyle w:val="Normal"/></w:pPr>
<w:r><w:t xml:space="preserve">nor without strife, but self-governing and self-subsisting,</w:t></w:r>
</w:p>
<w:p>
<w:pPr><w:pStyle w:val="Normal"/></w:pPr>
<w:r><w:t xml:space="preserve">in entire separation from European control.  Such a polity,</w:t></w:r>
</w:p>
<w:p>
<w:pPr><w:pStyle w:val="Normal"/></w:pPr>
<w:r><w:t xml:space="preserve">surrounded as it was by territory dependent on European</w:t></w:r>
</w:p>
<w:p>
<w:pPr><w:pStyle w:val="Normal"/></w:pPr>
<w:r><w:t xml:space="preserve">sovereigns, could not be without a profound influence on its</w:t></w:r>
</w:p>
<w:p>
<w:pPr><w:pStyle w:val="Normal"/></w:pPr>
<w:r><w:t xml:space="preserve">neighbours.  Of deliberate direct action there was not</w:t></w:r>
</w:p>
<w:p>
<w:pPr><w:pStyle w:val="Normal"/></w:pPr>
<w:r><w:t xml:space="preserve">much, nor was it needed. The peoples of the thirteen states</w:t></w:r>
</w:p>
<w:p>
<w:pPr><w:pStyle w:val="Normal"/></w:pPr>
<w:r><w:t xml:space="preserve">which had secured emancipation from British sovereignty</w:t></w:r>
</w:p>
<w:p>
<w:pPr><w:pStyle w:val="Normal"/></w:pPr>
<w:r><w:t xml:space="preserve">were wisely intent on framing their own Federal Union, and</w:t></w:r>
</w:p>
<w:p>
<w:pPr><w:pStyle w:val="Normal"/></w:pPr>
<w:r><w:t xml:space="preserve">in taking effective possession of the vast territories in</w:t></w:r>
</w:p>
<w:p>
<w:pPr><w:pStyle w:val="Normal"/></w:pPr>
<w:r><w:t xml:space="preserve">the Ohio region and beyond the Mississi.  But their example</w:t></w:r>
</w:p>
<w:p>
<w:pPr><w:pStyle w:val="Normal"/></w:pPr>
<w:r><w:t xml:space="preserve">worked.  Their independence tempted, their prosperity</w:t></w:r>
</w:p>
<w:p>
<w:pPr><w:pStyle w:val="Normal"/></w:pPr>
<w:r><w:t xml:space="preserve">stimulated.  From the freedom of the United States came the</w:t></w:r>
</w:p>
<w:p>
<w:pPr><w:pStyle w:val="Normal"/></w:pPr>
<w:r><w:t xml:space="preserve">revolt of Spanish America, and the grant by Great Britain</w:t></w:r>
</w:p>
<w:p>
<w:pPr><w:pStyle w:val="Normal"/></w:pPr>
<w:r><w:t xml:space="preserve">to Canada of the amplest rights of self-government.</w:t></w:r>
</w:p>
<w:p>
<w:pPr><w:pStyle w:val="Normal"/></w:pPr>
<w:r><w:t xml:space="preserve">The effect which the establishment of the great northern</w:t></w:r>
</w:p>
<w:p>
<w:pPr><w:pStyle w:val="Normal"/></w:pPr>
<w:r><w:t xml:space="preserve">republic was bound to have on their own colonies was not</w:t></w:r>
</w:p>
<w:p>
<w:pPr><w:pStyle w:val="Normal"/></w:pPr>
<w:r><w:t xml:space="preserve">unknown to the wiser among the rulers of Spain.  They</w:t></w:r>
</w:p>
<w:p>
<w:pPr><w:pStyle w:val="Normal"/></w:pPr>
<w:r><w:t xml:space="preserve">took, however, few and weak steps to counteract the visible</w:t></w:r>
</w:p>
<w:p>
<w:pPr><w:pStyle w:val="Normal"/></w:pPr>
<w:r><w:t xml:space="preserve">peril.  During the later 17th century and the whole of the</w:t></w:r>
</w:p>
<w:p>
<w:pPr><w:pStyle w:val="Normal"/></w:pPr>
<w:r><w:t xml:space="preserve">18th, the history of the Spanish colonies and of the Portuguese</w:t></w:r>
</w:p>
<w:p>
<w:pPr><w:pStyle w:val="Normal"/></w:pPr>
<w:r><w:t xml:space="preserve">in Brazil, was not, as has often been said, one of pure</w:t></w:r>
</w:p>
<w:p>
<w:pPr><w:pStyle w:val="Normal"/></w:pPr>
<w:r><w:t xml:space="preserve">stagnation.  Apart from such a peculiar development as the</w:t></w:r>
</w:p>
<w:p>
<w:pPr><w:pStyle w:val="Normal"/></w:pPr>
<w:r><w:t xml:space="preserve">rise, formation and fall of the Jesuit missions in Paraguay,</w:t></w:r>
</w:p>
<w:p>
<w:pPr><w:pStyle w:val="Normal"/></w:pPr>
<w:r><w:t xml:space="preserve">there was growth and change.  The Creole population</w:t></w:r>
</w:p>
<w:p>
<w:pPr><w:pStyle w:val="Normal"/></w:pPr>
<w:r><w:t xml:space="preserve">increased and was steadily recruited from home.  Apart from</w:t></w:r>
</w:p>
<w:p>
<w:pPr><w:pStyle w:val="Normal"/></w:pPr>
<w:r><w:t xml:space="preserve">settlers who came for trade, the flow of government officials,</w:t></w:r>
</w:p>
<w:p>
<w:pPr><w:pStyle w:val="Normal"/></w:pPr>
<w:r><w:t xml:space="preserve">and soldiers, both officers and men, ended generally in</w:t></w:r>
</w:p>
<w:p>
<w:pPr><w:pStyle w:val="Normal"/></w:pPr>
<w:r><w:t xml:space="preserve">recruiting the Creole element.  The newcomers married in the</w:t></w:r>
</w:p>
<w:p>
<w:pPr><w:pStyle w:val="Normal"/></w:pPr>
<w:r><w:t xml:space="preserve">country, and died there, leaving their families to grow up</w:t></w:r>
</w:p>
<w:p>
<w:pPr><w:pStyle w:val="Normal"/></w:pPr>
<w:r><w:t xml:space="preserve">Americans.  San Martin, the military leader of Buenos Aires</w:t></w:r>
</w:p>
<w:p>
<w:pPr><w:pStyle w:val="Normal"/></w:pPr>
<w:r><w:t xml:space="preserve">in the revolt, was the son of a Spanish army officer and a</w:t></w:r>
</w:p>
<w:p>
<w:pPr><w:pStyle w:val="Normal"/></w:pPr>
<w:r><w:t xml:space="preserve">Creole mother, and he is quoted as the example of thousands.</w:t></w:r>
</w:p>
<w:p>
<w:pPr><w:pStyle w:val="Normal"/></w:pPr>
<w:r><w:t xml:space="preserve">He was educated in Spain, and began as an officer in the</w:t></w:r>
</w:p>
<w:p>
<w:pPr><w:pStyle w:val="Normal"/></w:pPr>
<w:r><w:t xml:space="preserve">Spanish army.  Increasing numbers of Creoles came home for</w:t></w:r>
</w:p>
<w:p>
<w:pPr><w:pStyle w:val="Normal"/></w:pPr>
<w:r><w:t xml:space="preserve">education, and though they rarely went beyond Spain, yet</w:t></w:r>
</w:p>
<w:p>
<w:pPr><w:pStyle w:val="Normal"/></w:pPr>
<w:r><w:t xml:space="preserve">Spain itself was being permeated by the influence of French</w:t></w:r>
</w:p>
<w:p>
<w:pPr><w:pStyle w:val="Normal"/></w:pPr>
<w:r><w:t xml:space="preserve">philosophic and economic writers.  The Creoles brought back new</w:t></w:r>
</w:p>
<w:p>
<w:pPr><w:pStyle w:val="Normal"/></w:pPr>
<w:r><w:t xml:space="preserve">ideas.  Slow as the Spanish government was to move, and</w:t></w:r>
</w:p>
<w:p>
<w:pPr><w:pStyle w:val="Normal"/></w:pPr>
<w:r><w:t xml:space="preserve">obstinately as it clung to old ways, it was forced to remove</w:t></w:r>
</w:p>
<w:p>
<w:pPr><w:pStyle w:val="Normal"/></w:pPr>
<w:r><w:t xml:space="preserve">restrictions on trade, largely by the discovery that it could</w:t></w:r>
</w:p>
<w:p>
<w:pPr><w:pStyle w:val="Normal"/></w:pPr>
<w:r><w:t xml:space="preserve">not prevent smuggling, which was, in fact, carried on with</w:t></w:r>
</w:p>
<w:p>
<w:pPr><w:pStyle w:val="Normal"/></w:pPr>
<w:r><w:t xml:space="preserve">the connivance of its own corrupt officials.  The attempt</w:t></w:r>
</w:p>
<w:p>
<w:pPr><w:pStyle w:val="Normal"/></w:pPr>
<w:r><w:t xml:space="preserve">to prevent all trade on the river Plate was given up, and</w:t></w:r>
</w:p>
<w:p>
<w:pPr><w:pStyle w:val="Normal"/></w:pPr>
<w:r><w:t xml:space="preserve">a vigorous commercial community arose.  A revolt of the</w:t></w:r>
</w:p>
<w:p>
<w:pPr><w:pStyle w:val="Normal"/></w:pPr>
<w:r><w:t xml:space="preserve">Indians in Peru in 1780, which was savagely suppressed, forced</w:t></w:r>
</w:p>
<w:p>
<w:pPr><w:pStyle w:val="Normal"/></w:pPr>
<w:r><w:t xml:space="preserve">the government to take note of the abuses of its colonial</w:t></w:r>
</w:p>
<w:p>
<w:pPr><w:pStyle w:val="Normal"/></w:pPr>
<w:r><w:t xml:space="preserve">administration.  Many reforms were introduced.  Spanish</w:t></w:r>
</w:p>
<w:p>
<w:pPr><w:pStyle w:val="Normal"/></w:pPr>
<w:r><w:t xml:space="preserve">America was never so well governed as at the end of the 18th</w:t></w:r>
</w:p>
<w:p>
<w:pPr><w:pStyle w:val="Normal"/></w:pPr>
<w:r><w:t xml:space="preserve">century, and was on the whole prosperous. But the reforms and</w:t></w:r>
</w:p>
<w:p>
<w:pPr><w:pStyle w:val="Normal"/></w:pPr>
<w:r><w:t xml:space="preserve">concessions of Spain came too late.  In commerce it had to</w:t></w:r>
</w:p>
<w:p>
<w:pPr><w:pStyle w:val="Normal"/></w:pPr>
<w:r><w:t xml:space="preserve">compete with the highly developed maritime industry of Great</w:t></w:r>
</w:p>
<w:p>
<w:pPr><w:pStyle w:val="Normal"/></w:pPr>
<w:r><w:t xml:space="preserve">Britain.  In government it had to meet with the growing</w:t></w:r>
</w:p>
<w:p>
<w:pPr><w:pStyle w:val="Normal"/></w:pPr>
<w:r><w:t xml:space="preserve">discontent of the Creoles, who found themselves treated as</w:t></w:r>
</w:p>
<w:p>
<w:pPr><w:pStyle w:val="Normal"/></w:pPr>
<w:r><w:t xml:space="preserve">children, and their country looked on as a milch cow.  The</w:t></w:r>
</w:p>
<w:p>
<w:pPr><w:pStyle w:val="Normal"/></w:pPr>
<w:r><w:t xml:space="preserve">wars of the French Revolution and of the emperor Napoleon,</w:t></w:r>
</w:p>
<w:p>
<w:pPr><w:pStyle w:val="Normal"/></w:pPr>
<w:r><w:t xml:space="preserve">in which Spain was entangled, interrupted its communications</w:t></w:r>
</w:p>
<w:p>
<w:pPr><w:pStyle w:val="Normal"/></w:pPr>
<w:r><w:t xml:space="preserve">with  its colonies, and weakened its hold on them.  The</w:t></w:r>
</w:p>
<w:p>
<w:pPr><w:pStyle w:val="Normal"/></w:pPr>
<w:r><w:t xml:space="preserve">defeat, in 1806 and 1807, of two British expeditions to Buenos</w:t></w:r>
</w:p>
<w:p>
<w:pPr><w:pStyle w:val="Normal"/></w:pPr>
<w:r><w:t xml:space="preserve">Aires and Montevideo,  resulting in the capitulation of the</w:t></w:r>
</w:p>
<w:p>
<w:pPr><w:pStyle w:val="Normal"/></w:pPr>
<w:r><w:t xml:space="preserve">English force, gave a great impulse to the self-reliance of</w:t></w:r>
</w:p>
<w:p>
<w:pPr><w:pStyle w:val="Normal"/></w:pPr>
<w:r><w:t xml:space="preserve">the colonists, to whom the credit of the victory entirely</w:t></w:r>
</w:p>
<w:p>
<w:pPr><w:pStyle w:val="Normal"/></w:pPr>
<w:r><w:t xml:space="preserve">belonged.  When the intervention of Napoleon in Spain plunged</w:t></w:r>
</w:p>
<w:p>
<w:pPr><w:pStyle w:val="Normal"/></w:pPr>
<w:r><w:t xml:space="preserve">the mother country into anarchy, the colonists began to act for</w:t></w:r>
</w:p>
<w:p>
<w:pPr><w:pStyle w:val="Normal"/></w:pPr>
<w:r><w:t xml:space="preserve">themselves.  They were still loyal, but they were no longer</w:t></w:r>
</w:p>
<w:p>
<w:pPr><w:pStyle w:val="Normal"/></w:pPr>
<w:r><w:t xml:space="preserve">passive.  The brutality of some Spanish governors on the</w:t></w:r>
</w:p>
<w:p>
<w:pPr><w:pStyle w:val="Normal"/></w:pPr>
<w:r><w:t xml:space="preserve">spot provoked anger.  The cortes assembled in Cadiz, being</w:t></w:r>
</w:p>
<w:p>
<w:pPr><w:pStyle w:val="Normal"/></w:pPr>
<w:r><w:t xml:space="preserve">under the influence of the merchants and mob, could make no</w:t></w:r>
</w:p>
<w:p>
<w:pPr><w:pStyle w:val="Normal"/></w:pPr>
<w:r><w:t xml:space="preserve">concessions, and all Spanish America flamed into revolt. For the</w:t></w:r>
</w:p>
<w:p>
<w:pPr><w:pStyle w:val="Normal"/></w:pPr>
<w:r><w:t xml:space="preserve">details of the struggle the reader must refer to the articles</w:t></w:r>
</w:p>
<w:p>
<w:pPr><w:pStyle w:val="Normal"/></w:pPr>
<w:r><w:t xml:space="preserve">ARGENTINA, BOLIVIA, CHILE, COLOMBIA, ECUADOR, PANAMA, PERU,</w:t></w:r>
</w:p>
<w:p>
<w:pPr><w:pStyle w:val="Normal"/></w:pPr>
<w:r><w:t xml:space="preserve">PARAGUAY, URUGUAY, VENEZUELA.  Brazil followed the same</w:t></w:r>
</w:p>
<w:p>
<w:pPr><w:pStyle w:val="Normal"/></w:pPr>
<w:r><w:t xml:space="preserve">course in a milder way and a little later.  The struggle of</w:t></w:r>
</w:p>
<w:p>
<w:pPr><w:pStyle w:val="Normal"/></w:pPr>
<w:r><w:t xml:space="preserve">Spanish America for independence lasted from 1810 to 1826.</w:t></w:r>
</w:p>
<w:p>
<w:pPr><w:pStyle w:val="Normal"/></w:pPr>
<w:r><w:t xml:space="preserve">This vast extension of the area of independence in America</w:t></w:r>
</w:p>
<w:p>
<w:pPr><w:pStyle w:val="Normal"/></w:pPr>
<w:r><w:t xml:space="preserve">could not but have its proportionate effect on the general</w:t></w:r>
</w:p>
<w:p>
<w:pPr><w:pStyle w:val="Normal"/></w:pPr>
<w:r><w:t xml:space="preserve">balance of power among nations.  So long as Spain retained her</w:t></w:r>
</w:p>
<w:p>
<w:pPr><w:pStyle w:val="Normal"/></w:pPr>
<w:r><w:t xml:space="preserve">colonies on the mainland, while England held Canada, and the</w:t></w:r>
</w:p>
<w:p>
<w:pPr><w:pStyle w:val="Normal"/></w:pPr>
<w:r><w:t xml:space="preserve">English, Dutch and French had possessions in Guiana, the New</w:t></w:r>
</w:p>
<w:p>
<w:pPr><w:pStyle w:val="Normal"/></w:pPr>
<w:r><w:t xml:space="preserve">World must have remained in political dependence on the Old.</w:t></w:r>
</w:p>
<w:p>
<w:pPr><w:pStyle w:val="Normal"/></w:pPr>
<w:r><w:t xml:space="preserve">When the Spanish colonies secured effective independence, and</w:t></w:r>
</w:p>
<w:p>
<w:pPr><w:pStyle w:val="Normal"/></w:pPr>
<w:r><w:t xml:space="preserve">even before their freedom was formally recognized, foreign</w:t></w:r>
</w:p>
<w:p>
<w:pPr><w:pStyle w:val="Normal"/></w:pPr>
<w:r><w:t xml:space="preserve">sovereignty became at once the exception in America.  The</w:t></w:r>
</w:p>
<w:p>
<w:pPr><w:pStyle w:val="Normal"/></w:pPr>
<w:r><w:t xml:space="preserve">change thus established de facto owed its first diplomatic</w:t></w:r>
</w:p>
<w:p>
<w:pPr><w:pStyle w:val="Normal"/></w:pPr>
<w:r><w:t xml:space="preserve">consecration to the developments of international politics</w:t></w:r>
</w:p>
<w:p>
<w:pPr><w:pStyle w:val="Normal"/></w:pPr>
<w:r><w:t xml:space="preserve">in the Old World.  The committee of the great powers which,</w:t></w:r>
</w:p>
<w:p>
<w:pPr><w:pStyle w:val="Normal"/></w:pPr>
<w:r><w:t xml:space="preserve">since the downfall of Napoleon, had succeeded to the authority</w:t></w:r>
</w:p>
<w:p>
<w:pPr><w:pStyle w:val="Normal"/></w:pPr>
<w:r><w:t xml:space="preserve">which he had usurped in Europe (see EUROPE: History), was</w:t></w:r>
</w:p>
<w:p>
<w:pPr><w:pStyle w:val="Normal"/></w:pPr>
<w:r><w:t xml:space="preserve">for the few years of its unbroken existence fully occupied</w:t></w:r>
</w:p>
<w:p>
<w:pPr><w:pStyle w:val="Normal"/></w:pPr>
<w:r><w:t xml:space="preserve">with the task of preserving the ``European Confederation&apos;&apos;</w:t></w:r>
</w:p>
<w:p>
<w:pPr><w:pStyle w:val="Normal"/></w:pPr>
<w:r><w:t xml:space="preserve">from the peril to its peace of renewed revolutionary</w:t></w:r>
</w:p>
<w:p>
<w:pPr><w:pStyle w:val="Normal"/></w:pPr>
<w:r><w:t xml:space="preserve">outbreaks.  As early as the congress of Aix-la-Chapelle</w:t></w:r>
</w:p>
<w:p>
<w:pPr><w:pStyle w:val="Normal"/></w:pPr>
<w:r><w:t xml:space="preserve">(1818), however, the question of the relations of Spain and</w:t></w:r>
</w:p>
<w:p>
<w:pPr><w:pStyle w:val="Normal"/></w:pPr>
<w:r><w:t xml:space="preserve">her colonies had been brought up and the suggestion made of</w:t></w:r>
</w:p>
<w:p>
<w:pPr><w:pStyle w:val="Normal"/></w:pPr>
<w:r><w:t xml:space="preserve">concerted intervention,  to put an end to a state of things</w:t></w:r>
</w:p>
<w:p>
<w:pPr><w:pStyle w:val="Normal"/></w:pPr>
<w:r><w:t xml:space="preserve">scandalous in itself and dangerous, if only by force of</w:t></w:r>
</w:p>
<w:p>
<w:pPr><w:pStyle w:val="Normal"/></w:pPr>
<w:r><w:t xml:space="preserve">example, to the monarchical principle.  The proposal came</w:t></w:r>
</w:p>
<w:p>
<w:pPr><w:pStyle w:val="Normal"/></w:pPr>
<w:r><w:t xml:space="preserve">to nothing, and fared no better when revived at subsequent</w:t></w:r>
</w:p>
<w:p>
<w:pPr><w:pStyle w:val="Normal"/></w:pPr>
<w:r><w:t xml:space="preserve">conferences, owing to the opposition of Great Britain and of</w:t></w:r>
</w:p>
<w:p>
<w:pPr><w:pStyle w:val="Normal"/></w:pPr>
<w:r><w:t xml:space="preserve">Spain herself.  Spanish pride resented the interference of an</w:t></w:r>
</w:p>
<w:p>
<w:pPr><w:pStyle w:val="Normal"/></w:pPr>
<w:r><w:t xml:space="preserve">alliance in which Spain had no part; Great Britain could not</w:t></w:r>
</w:p>
<w:p>
<w:pPr><w:pStyle w:val="Normal"/></w:pPr>
<w:r><w:t xml:space="preserve">afford to allow any action to be taken which might end in the</w:t></w:r>
</w:p>
<w:p>
<w:pPr><w:pStyle w:val="Normal"/></w:pPr>
<w:r><w:t xml:space="preserve">re-establishment of the old Spanish colonial system and the</w:t></w:r>
</w:p>
<w:p>
<w:pPr><w:pStyle w:val="Normal"/></w:pPr>
<w:r><w:t xml:space="preserve">destruction of the considerable British trade, still nominally</w:t></w:r>
</w:p>
<w:p>
<w:pPr><w:pStyle w:val="Normal"/></w:pPr>
<w:r><w:t xml:space="preserve">contraband, which had grown up with the colonies during the</w:t></w:r>
</w:p>
<w:p>
<w:pPr><w:pStyle w:val="Normal"/></w:pPr>
<w:r><w:t xml:space="preserve">troubles.  Had the Spanish government frankly accepted the</w:t></w:r>
</w:p>
<w:p>
<w:pPr><w:pStyle w:val="Normal"/></w:pPr>
<w:r><w:t xml:space="preserve">situation and acknowledged the trade as legitimate, England</w:t></w:r>
</w:p>
<w:p>
<w:pPr><w:pStyle w:val="Normal"/></w:pPr>
<w:r><w:t xml:space="preserve">would have had no objection to the re-establishment of the</w:t></w:r>
</w:p>
<w:p>
<w:pPr><w:pStyle w:val="Normal"/></w:pPr>
<w:r><w:t xml:space="preserve">Spanish sovereignty in America.  But the stubborn blindness</w:t></w:r>
</w:p>
<w:p>
<w:pPr><w:pStyle w:val="Normal"/></w:pPr>
<w:r><w:t xml:space="preserve">of Ferdinand VII. and his ministers made any such solution</w:t></w:r>
</w:p>
<w:p>
<w:pPr><w:pStyle w:val="Normal"/></w:pPr>
<w:r><w:t xml:space="preserve">impossible, and, before the meeting of the congress of Verona,</w:t></w:r>
</w:p>
<w:p>
<w:pPr><w:pStyle w:val="Normal"/></w:pPr>
<w:r><w:t xml:space="preserve">in 1822, Castlereagh had realized the eventual necessity</w:t></w:r>
</w:p>
<w:p>
<w:pPr><w:pStyle w:val="Normal"/></w:pPr>
<w:r><w:t xml:space="preserve">of recognizing  the independence of the South American</w:t></w:r>
</w:p>
<w:p>
<w:pPr><w:pStyle w:val="Normal"/></w:pPr>
<w:r><w:t xml:space="preserve">states.  Matters were brought to a crisis by the outcome of</w:t></w:r>
</w:p>
<w:p>
<w:pPr><w:pStyle w:val="Normal"/></w:pPr>
<w:r><w:t xml:space="preserve">the Verona conferences (see VERONA, CONGRESS OF), and the</w:t></w:r>
</w:p>
<w:p>
<w:pPr><w:pStyle w:val="Normal"/></w:pPr>
<w:r><w:t xml:space="preserve">re-establishment, in 1823, of the absolute power of the king</w:t></w:r>
</w:p>
<w:p>
<w:pPr><w:pStyle w:val="Normal"/></w:pPr>
<w:r><w:t xml:space="preserve">in Spain by French arms and under French influence, the logical</w:t></w:r>
</w:p>
<w:p>
<w:pPr><w:pStyle w:val="Normal"/></w:pPr>
<w:r><w:t xml:space="preserve">consequence of which seemed to be the reconquest, with the</w:t></w:r>
</w:p>
<w:p>
<w:pPr><w:pStyle w:val="Normal"/></w:pPr>
<w:r><w:t xml:space="preserve">aid of France, of the Spanish colonies. Great Britain could</w:t></w:r>
</w:p>
<w:p>
<w:pPr><w:pStyle w:val="Normal"/></w:pPr>
<w:r><w:t xml:space="preserve">not afford to stand aside and watch the accomplishment of an</w:t></w:r>
</w:p>
<w:p>
<w:pPr><w:pStyle w:val="Normal"/></w:pPr>
<w:r><w:t xml:space="preserve">ambition to prevent which she had, at immense sacrifice of</w:t></w:r>
</w:p>
<w:p>
<w:pPr><w:pStyle w:val="Normal"/></w:pPr>
<w:r><w:t xml:space="preserve">blood and treasure, overthrown the power of Louis XIV. and of</w:t></w:r>
</w:p>
<w:p>
<w:pPr><w:pStyle w:val="Normal"/></w:pPr>
<w:r><w:t xml:space="preserve">Napoleon.  She had exhausted every art of diplomatic obstruction</w:t></w:r>
</w:p>
<w:p>
<w:pPr><w:pStyle w:val="Normal"/></w:pPr>
<w:r><w:t xml:space="preserve">to the aggressive action of France; her counterstroke to the</w:t></w:r>
</w:p>
<w:p>
<w:pPr><w:pStyle w:val="Normal"/></w:pPr>
<w:r><w:t xml:space="preserve">unexpectedly easy victory of the French arms was the formal</w:t></w:r>
</w:p>
<w:p>
<w:pPr><w:pStyle w:val="Normal"/></w:pPr>
<w:r><w:t xml:space="preserve">recognition of the revolted colonies as independent states.</w:t></w:r>
</w:p>
<w:p>
<w:pPr><w:pStyle w:val="Normal"/></w:pPr>
<w:r><w:t xml:space="preserve">``If France has Spain,&apos;&apos; cried Canning in parliament, ``at</w:t></w:r>
</w:p>
<w:p>
<w:pPr><w:pStyle w:val="Normal"/></w:pPr>
<w:r><w:t xml:space="preserve">least it shall be Spain without the Indies.  We have called a</w:t></w:r>
</w:p>
<w:p>
<w:pPr><w:pStyle w:val="Normal"/></w:pPr>
<w:r><w:t xml:space="preserve">New World into existence to redress the balance of the Old.&apos;&apos;</w:t></w:r>
</w:p>
<w:p>
<w:pPr><w:pStyle w:val="Normal"/></w:pPr>
<w:r><w:t xml:space="preserve">On the 23rd of July 1824, a commercial treaty was signed between</w:t></w:r>
</w:p>
<w:p>
<w:pPr><w:pStyle w:val="Normal"/></w:pPr>
<w:r><w:t xml:space="preserve">Great Britain and Brazil; Colombia and Mexico were acknowledged</w:t></w:r>
</w:p>
<w:p>
<w:pPr><w:pStyle w:val="Normal"/></w:pPr>
<w:r><w:t xml:space="preserve">in December of the same year; and the recognition of the</w:t></w:r>
</w:p>
<w:p>
<w:pPr><w:pStyle w:val="Normal"/></w:pPr>
<w:r><w:t xml:space="preserve">other states followed, as each was able to give guarantees</w:t></w:r>
</w:p>
<w:p>
<w:pPr><w:pStyle w:val="Normal"/></w:pPr>
<w:r><w:t xml:space="preserve">of stable government.  Meanwhile the United States, acting in</w:t></w:r>
</w:p>
<w:p>
<w:pPr><w:pStyle w:val="Normal"/></w:pPr>
<w:r><w:t xml:space="preserve">harmony, but not in formal co-operation, with England, had</w:t></w:r>
</w:p>
<w:p>
<w:pPr><w:pStyle w:val="Normal"/></w:pPr>
<w:r><w:t xml:space="preserve">taken decisive action.  President Monroe, in his message to</w:t></w:r>
</w:p>
<w:p>
<w:pPr><w:pStyle w:val="Normal"/></w:pPr>
<w:r><w:t xml:space="preserve">Congress on the 2nd of December 1823, laid down the rule that</w:t></w:r>
</w:p>
<w:p>
<w:pPr><w:pStyle w:val="Normal"/></w:pPr>
<w:r><w:t xml:space="preserve">no part of America was any longer res nullius, or open to</w:t></w:r>
</w:p>
<w:p>
<w:pPr><w:pStyle w:val="Normal"/></w:pPr>
<w:r><w:t xml:space="preserve">colonial settlement. Though the vast ultimate consequences</w:t></w:r>
</w:p>
<w:p>
<w:pPr><w:pStyle w:val="Normal"/></w:pPr>
<w:r><w:t xml:space="preserve">of this sudden appearance of the great western republic in</w:t></w:r>
</w:p>
<w:p>
<w:pPr><w:pStyle w:val="Normal"/></w:pPr>
<w:r><w:t xml:space="preserve">the arena of international politics were not realized even</w:t></w:r>
</w:p>
<w:p>
<w:pPr><w:pStyle w:val="Normal"/></w:pPr>
<w:r><w:t xml:space="preserve">by those in sympathy with Monroe&apos;s action, the weight of</w:t></w:r>
</w:p>
<w:p>
<w:pPr><w:pStyle w:val="Normal"/></w:pPr>
<w:r><w:t xml:space="preserve">the United States thrown into the scale on the side of Great</w:t></w:r>
</w:p>
<w:p>
<w:pPr><w:pStyle w:val="Normal"/></w:pPr>
<w:r><w:t xml:space="preserve">Britain made any effective protest by the European powers</w:t></w:r>
</w:p>
<w:p>
<w:pPr><w:pStyle w:val="Normal"/></w:pPr>
<w:r><w:t xml:space="preserve">impossible; Russia, Austria and Prussia contented themselves</w:t></w:r>
</w:p>
<w:p>
<w:pPr><w:pStyle w:val="Normal"/></w:pPr>
<w:r><w:t xml:space="preserve">with joining in a mild expression of regret that the action</w:t></w:r>
</w:p>
<w:p>
<w:pPr><w:pStyle w:val="Normal"/></w:pPr>
<w:r><w:t xml:space="preserve">of Great Britain ``tended to encourage that revolutionary</w:t></w:r>
</w:p>
<w:p>
<w:pPr><w:pStyle w:val="Normal"/></w:pPr>
<w:r><w:t xml:space="preserve">spirit it had been found so difficult to control in Europe.&apos;&apos;</w:t></w:r>
</w:p>
<w:p>
<w:pPr><w:pStyle w:val="Normal"/></w:pPr>
<w:r><w:t xml:space="preserve">Great Britain and the United States were, indeed, not in</w:t></w:r>
</w:p>
<w:p>
<w:pPr><w:pStyle w:val="Normal"/></w:pPr>
<w:r><w:t xml:space="preserve">complete agreement as to the legitimacy of fresh colonial</w:t></w:r>
</w:p>
<w:p>
<w:pPr><w:pStyle w:val="Normal"/></w:pPr>
<w:r><w:t xml:space="preserve">settlements in the New World, but they were practically</w:t></w:r>
</w:p>
<w:p>
<w:pPr><w:pStyle w:val="Normal"/></w:pPr>
<w:r><w:t xml:space="preserve">resolved that nobody should make any new settlements except</w:t></w:r>
</w:p>
<w:p>
<w:pPr><w:pStyle w:val="Normal"/></w:pPr>
<w:r><w:t xml:space="preserve">themselves.  From President Monroe&apos;s declaration  has</w:t></w:r>
</w:p>
<w:p>
<w:pPr><w:pStyle w:val="Normal"/></w:pPr>
<w:r><w:t xml:space="preserve">grown up what is now known as the Monroe Doctrine (q.v.),</w:t></w:r>
</w:p>
<w:p>
<w:pPr><w:pStyle w:val="Normal"/></w:pPr>
<w:r><w:t xml:space="preserve">which, in substance, insists that America forms a separate</w:t></w:r>
</w:p>
<w:p>
<w:pPr><w:pStyle w:val="Normal"/></w:pPr>
<w:r><w:t xml:space="preserve">system apart from Europe, wherein still existing European</w:t></w:r>
</w:p>
<w:p>
<w:pPr><w:pStyle w:val="Normal"/></w:pPr>
<w:r><w:t xml:space="preserve">possessions may be tolerated, but on the understanding that no</w:t></w:r>
</w:p>
<w:p>
<w:pPr><w:pStyle w:val="Normal"/></w:pPr>
<w:r><w:t xml:space="preserve">extension of them, and no establishment of European control</w:t></w:r>
</w:p>
<w:p>
<w:pPr><w:pStyle w:val="Normal"/></w:pPr>
<w:r><w:t xml:space="preserve">over a nominally independent American state, will be allowed.</w:t></w:r>
</w:p>
<w:p>
<w:pPr><w:pStyle w:val="Normal"/></w:pPr>
<w:r><w:t xml:space="preserve">The Monroe Doctrine is indeed the recognition, rather than</w:t></w:r>
</w:p>
<w:p>
<w:pPr><w:pStyle w:val="Normal"/></w:pPr>
<w:r><w:t xml:space="preserve">the cause, of undeniable fact.  Europe is still possessed of</w:t></w:r>
</w:p>
<w:p>
<w:pPr><w:pStyle w:val="Normal"/></w:pPr>
<w:r><w:t xml:space="preserve">some measure of sovereign power in the New World, in Canada,</w:t></w:r>
</w:p>
<w:p>
<w:pPr><w:pStyle w:val="Normal"/></w:pPr>
<w:r><w:t xml:space="preserve">in Guiana and in the West Indian islands.  But Canada is</w:t></w:r>
</w:p>
<w:p>
<w:pPr><w:pStyle w:val="Normal"/></w:pPr>
<w:r><w:t xml:space="preserve">bound only by a voluntary allegiance, Guiana is unimportant,</w:t></w:r>
</w:p>
<w:p>
<w:pPr><w:pStyle w:val="Normal"/></w:pPr>
<w:r><w:t xml:space="preserve">and in the West Indian islands, where the independence of</w:t></w:r>
</w:p>
<w:p>
<w:pPr><w:pStyle w:val="Normal"/></w:pPr>
<w:r><w:t xml:space="preserve">Hayti and the loss of Cuba and Porto Rico by Spain have</w:t></w:r>
</w:p>
<w:p>
<w:pPr><w:pStyle w:val="Normal"/></w:pPr>
<w:r><w:t xml:space="preserve">diminished the European sphere, European dominion is only</w:t></w:r>
</w:p>
<w:p>
<w:pPr><w:pStyle w:val="Normal"/></w:pPr>
<w:r><w:t xml:space="preserve">a survival of the colonial epoch. America, North and South,</w:t></w:r>
</w:p>
<w:p>
<w:pPr><w:pStyle w:val="Normal"/></w:pPr>
<w:r><w:t xml:space="preserve">does form a separate system.  Within that system power is</w:t></w:r>
</w:p>
<w:p>
<w:pPr><w:pStyle w:val="Normal"/></w:pPr>
<w:r><w:t xml:space="preserve">divided as it has not been in Europe since the fall of the</w:t></w:r>
</w:p>
<w:p>
<w:pPr><w:pStyle w:val="Normal"/></w:pPr>
<w:r><w:t xml:space="preserve">Roman empire.  On the one hand are the United States and</w:t></w:r>
</w:p>
<w:p>
<w:pPr><w:pStyle w:val="Normal"/></w:pPr>
<w:r><w:t xml:space="preserve">Canada.  On the other are all the states formed out of</w:t></w:r>
</w:p>
<w:p>
<w:pPr><w:pStyle w:val="Normal"/></w:pPr>
<w:r><w:t xml:space="preserve">the colonial empires of Spain and Portugal.  The states</w:t></w:r>
</w:p>
<w:p>
<w:pPr><w:pStyle w:val="Normal"/></w:pPr>
<w:r><w:t xml:space="preserve">of the American Union are non-tropical, adapted to the</w:t></w:r>
</w:p>
<w:p>
<w:pPr><w:pStyle w:val="Normal"/></w:pPr>
<w:r><w:t xml:space="preserve">development of European races, not mixed with Indian blood,</w:t></w:r>
</w:p>
<w:p>
<w:pPr><w:pStyle w:val="Normal"/></w:pPr>
<w:r><w:t xml:space="preserve">and possessed by long inheritance of the machinery needed</w:t></w:r>
</w:p>
<w:p>
<w:pPr><w:pStyle w:val="Normal"/></w:pPr>
<w:r><w:t xml:space="preserve">for the successful conduct of self-government.  They grew</w:t></w:r>
</w:p>
<w:p>
<w:pPr><w:pStyle w:val="Normal"/></w:pPr>
<w:r><w:t xml:space="preserve">during the 19th century in population and wealth at a rate</w:t></w:r>
</w:p>
<w:p>
<w:pPr><w:pStyle w:val="Normal"/></w:pPr>
<w:r><w:t xml:space="preserve">that placed them far ahead of the Spanish and Portuguese</w:t></w:r>
</w:p>
<w:p>
<w:pPr><w:pStyle w:val="Normal"/></w:pPr>
<w:r><w:t xml:space="preserve">states, which in the year 1800 were the richer and the more</w:t></w:r>
</w:p>
<w:p>
<w:pPr><w:pStyle w:val="Normal"/></w:pPr>
<w:r><w:t xml:space="preserve">populous.  The Spanish and Portuguese states of America are mainly</w:t></w:r>
</w:p>
<w:p>
<w:pPr><w:pStyle w:val="Normal"/></w:pPr>
<w:r><w:t xml:space="preserve">tropical, and therefore ill adapted to the health of a white</w:t></w:r>
</w:p>
<w:p>
<w:pPr><w:pStyle w:val="Normal"/></w:pPr>
<w:r><w:t xml:space="preserve">race.  Their population is divided between a white minority,</w:t></w:r>
</w:p>
<w:p>
<w:pPr><w:pStyle w:val="Normal"/></w:pPr>
<w:r><w:t xml:space="preserve">among whom there are to be found strains of Indian blood,</w:t></w:r>
</w:p>
<w:p>
<w:pPr><w:pStyle w:val="Normal"/></w:pPr>
<w:r><w:t xml:space="preserve">and a coloured majority, sometimes docile and industrious,</w:t></w:r>
</w:p>
<w:p>
<w:pPr><w:pStyle w:val="Normal"/></w:pPr>
<w:r><w:t xml:space="preserve">sometimes mere savages.  They inherited no machinery of</w:t></w:r>
</w:p>
<w:p>
<w:pPr><w:pStyle w:val="Normal"/></w:pPr>
<w:r><w:t xml:space="preserve">self-government.  Townships governed by close corporations,</w:t></w:r>
</w:p>
<w:p>
<w:pPr><w:pStyle w:val="Normal"/></w:pPr>
<w:r><w:t xml:space="preserve">and all embedded in the despotic power of the crown, presented</w:t></w:r>
</w:p>
<w:p>
<w:pPr><w:pStyle w:val="Normal"/></w:pPr>
<w:r><w:t xml:space="preserve">none of the elements out of which a commonwealth could be</w:t></w:r>
</w:p>
<w:p>
<w:pPr><w:pStyle w:val="Normal"/></w:pPr>
<w:r><w:t xml:space="preserve">formed.  It was inevitable that in the early stages of</w:t></w:r>
</w:p>
<w:p>
<w:pPr><w:pStyle w:val="Normal"/></w:pPr>
<w:r><w:t xml:space="preserve">their history, the so-called Latin communities should fall</w:t></w:r>
</w:p>
<w:p>
<w:pPr><w:pStyle w:val="Normal"/></w:pPr>
<w:r><w:t xml:space="preserve">under the control of ``the single person,&apos;&apos; and no less</w:t></w:r>
</w:p>
<w:p>
<w:pPr><w:pStyle w:val="Normal"/></w:pPr>
<w:r><w:t xml:space="preserve">inevitable that he should be a soldier.  The sword and</w:t></w:r>
</w:p>
<w:p>
<w:pPr><w:pStyle w:val="Normal"/></w:pPr>
<w:r><w:t xml:space="preserve">military discipline supplied the only effective instruments of</w:t></w:r>
</w:p>
<w:p>
<w:pPr><w:pStyle w:val="Normal"/></w:pPr>
<w:r><w:t xml:space="preserve">government.  It would have been a miracle if the first</w:t></w:r>
</w:p>
<w:p>
<w:pPr><w:pStyle w:val="Normal"/></w:pPr>
<w:r><w:t xml:space="preserve">generation of Mexican and South American history had not been</w:t></w:r>
</w:p>
<w:p>
<w:pPr><w:pStyle w:val="Normal"/></w:pPr>
<w:r><w:t xml:space="preserve">anarchical.  And though in recent years Spanish America has</w:t></w:r>
</w:p>
<w:p>
<w:pPr><w:pStyle w:val="Normal"/></w:pPr>
<w:r><w:t xml:space="preserve">seemingly settled down, and republican institutions have</w:t></w:r>
</w:p>
<w:p>
<w:pPr><w:pStyle w:val="Normal"/></w:pPr>
<w:r><w:t xml:space="preserve">followed upon long periods of continual revolution, yet over</w:t></w:r>
</w:p>
<w:p>
<w:pPr><w:pStyle w:val="Normal"/></w:pPr>
<w:r><w:t xml:space="preserve">the American continent as a whole there is an overwhelming</w:t></w:r>
</w:p>
<w:p>
<w:pPr><w:pStyle w:val="Normal"/></w:pPr>
<w:r><w:t xml:space="preserve">predominance, material and intellectual, of the communities</w:t></w:r>
</w:p>
<w:p>
<w:pPr><w:pStyle w:val="Normal"/></w:pPr>
<w:r><w:t xml:space="preserve">of English speech and politically of English origin.</w:t></w:r>
</w:p>
<w:p>
<w:pPr><w:pStyle w:val="Normal"/></w:pPr>
<w:r><w:t xml:space="preserve">AUTHORITIES. -- Separate bibliographies will be found</w:t></w:r>
</w:p>
<w:p>
<w:pPr><w:pStyle w:val="Normal"/></w:pPr>
<w:r><w:t xml:space="preserve">under the headings of the separate states.  Amid the</w:t></w:r>
</w:p>
<w:p>
<w:pPr><w:pStyle w:val="Normal"/></w:pPr>
<w:r><w:t xml:space="preserve">plethora of books, the reader cannot do better than</w:t></w:r>
</w:p>
<w:p>
<w:pPr><w:pStyle w:val="Normal"/></w:pPr>
<w:r><w:t xml:space="preserve">consult the Narrative and Critical History of America,</w:t></w:r>
</w:p>
<w:p>
<w:pPr><w:pStyle w:val="Normal"/></w:pPr>
<w:r><w:t xml:space="preserve">edited by Justin Winsor (1886-1889), in eight large octavo</w:t></w:r>
</w:p>
<w:p>
<w:pPr><w:pStyle w:val="Normal"/></w:pPr>
<w:r><w:t xml:space="preserve">volumes, in which all the chapters are supplied with</w:t></w:r>
</w:p>
<w:p>
<w:pPr><w:pStyle w:val="Normal"/></w:pPr>
<w:r><w:t xml:space="preserve">copious and carefully-compiled bibliographies. (D. H.)</w:t></w:r>
</w:p>
<w:p>
<w:pPr><w:pStyle w:val="Normal"/></w:pPr>
<w:r><w:t xml:space="preserve">1 The exact position has been disputed.  According to</w:t></w:r>
</w:p>
<w:p>
<w:pPr><w:pStyle w:val="Normal"/></w:pPr>
<w:r><w:t xml:space="preserve">John Fiske, the line would be between 41 deg.  and 44 deg.  long.</w:t></w:r>
</w:p>
<w:p>
<w:pPr><w:pStyle w:val="Heading1"/></w:pPr>
<w:r><w:t>III. Ethnology and Archaeology.--</w:t></w:r>
</w:p>
<w:p>
<w:pPr><w:pStyle w:val="Normal"/></w:pPr>
<w:r><w:t xml:space="preserve">The American aborigines.</w:t></w:r>
</w:p>
<w:p>
<w:pPr><w:pStyle w:val="Normal"/></w:pPr>
<w:r><w:t xml:space="preserve">A summary account is heregiven of the American aborigines,</w:t></w:r>
</w:p>
<w:p>
<w:pPr><w:pStyle w:val="Normal"/></w:pPr>
<w:r><w:t xml:space="preserve">who are discussed in more detail under INDIANS, NORTH</w:t></w:r>
</w:p>
<w:p>
<w:pPr><w:pStyle w:val="Normal"/></w:pPr>
<w:r><w:t xml:space="preserve">AMBRICAN.  Whether with Payne it is assumed that in some</w:t></w:r>
</w:p>
<w:p>
<w:pPr><w:pStyle w:val="Normal"/></w:pPr>
<w:r><w:t xml:space="preserve">remote time a  speechless anthropoid passed over a land</w:t></w:r>
</w:p>
<w:p>
<w:pPr><w:pStyle w:val="Normal"/></w:pPr>
<w:r><w:t xml:space="preserve">bridge, now the Bering Sea, which then sank behind him;</w:t></w:r>
</w:p>
<w:p>
<w:pPr><w:pStyle w:val="Normal"/></w:pPr>
<w:r><w:t xml:space="preserve">or with  W. Boyd Dawkins and Brinton, that the French cave</w:t></w:r>
</w:p>
<w:p>
<w:pPr><w:pStyle w:val="Normal"/></w:pPr>
<w:r><w:t xml:space="preserve">man came hither by way of Iceland; or with Keane, that</w:t></w:r>
</w:p>
<w:p>
<w:pPr><w:pStyle w:val="Normal"/></w:pPr>
<w:r><w:t xml:space="preserve">two subvarieties, the long-headed Eskimo-Botocudo type</w:t></w:r>
</w:p>
<w:p>
<w:pPr><w:pStyle w:val="Normal"/></w:pPr>
<w:r><w:t xml:space="preserve">and the Mexican round- headed type, prior to all cultural</w:t></w:r>
</w:p>
<w:p>
<w:pPr><w:pStyle w:val="Normal"/></w:pPr>
<w:r><w:t xml:space="preserve">developments, reached the New World, one by Iceland,</w:t></w:r>
</w:p>
<w:p>
<w:pPr><w:pStyle w:val="Normal"/></w:pPr>
<w:r><w:t xml:space="preserve">the other by Bering Sea; or that Malayoid wanderers were</w:t></w:r>
</w:p>
<w:p>
<w:pPr><w:pStyle w:val="Normal"/></w:pPr>
<w:r><w:t xml:space="preserve">stranded on the coast of South America; or that no breach</w:t></w:r>
</w:p>
<w:p>
<w:pPr><w:pStyle w:val="Normal"/></w:pPr>
<w:r><w:t xml:space="preserve">of continuity has occurred since first the march of tribes</w:t></w:r>
</w:p>
<w:p>
<w:pPr><w:pStyle w:val="Normal"/></w:pPr>
<w:r><w:t xml:space="preserve">began this way -- ethnologists agree that the aborigines</w:t></w:r>
</w:p>
<w:p>
<w:pPr><w:pStyle w:val="Normal"/></w:pPr>
<w:r><w:t xml:space="preserve">of the western came from the eastern hemisphere, and there</w:t></w:r>
</w:p>
<w:p>
<w:pPr><w:pStyle w:val="Normal"/></w:pPr>
<w:r><w:t xml:space="preserve">is lacking any biological evidence of Caucasoid or Negroid</w:t></w:r>
</w:p>
<w:p>
<w:pPr><w:pStyle w:val="Normal"/></w:pPr>
<w:r><w:t xml:space="preserve">blood flowing in the veins of Americans before the invasions</w:t></w:r>
</w:p>
<w:p>
<w:pPr><w:pStyle w:val="Normal"/></w:pPr>
<w:r><w:t xml:space="preserve">of historic times. The time question is one of geology.</w:t></w:r>
</w:p>
<w:p>
<w:pPr><w:pStyle w:val="Normal"/></w:pPr>
<w:r><w:t xml:space="preserve">Following Notes and Queries on Anthropology, published by</w:t></w:r>
</w:p>
<w:p>
<w:pPr><w:pStyle w:val="Normal"/></w:pPr>
<w:r><w:t xml:space="preserve">the British Association for the Advancement of Science, the</w:t></w:r>
</w:p>
<w:p>
<w:pPr><w:pStyle w:val="Normal"/></w:pPr>
<w:r><w:t xml:space="preserve">study of the American aborigines divides itself into two</w:t></w:r>
</w:p>
<w:p>
<w:pPr><w:pStyle w:val="Normal"/></w:pPr>
<w:r><w:t xml:space="preserve">parts: that relating to their biology, and that relating</w:t></w:r>
</w:p>
<w:p>
<w:pPr><w:pStyle w:val="Normal"/></w:pPr>
<w:r><w:t xml:space="preserve">to their culture.  In the four subdivisions of humanity</w:t></w:r>
</w:p>
<w:p>
<w:pPr><w:pStyle w:val="Normal"/></w:pPr>
<w:r><w:t xml:space="preserve">based on the hair, the Americans are straight-haired or</w:t></w:r>
</w:p>
<w:p>
<w:pPr><w:pStyle w:val="Normal"/></w:pPr>
<w:r><w:t xml:space="preserve">Mongoloid.  But it will free this account of them from</w:t></w:r>
</w:p>
<w:p>
<w:pPr><w:pStyle w:val="Normal"/></w:pPr>
<w:r><w:t xml:space="preserve">embarrassments if they be looked upon as a distinct subspecies</w:t></w:r>
</w:p>
<w:p>
<w:pPr><w:pStyle w:val="Normal"/></w:pPr>
<w:r><w:t xml:space="preserve">of Homo sapiens.  Occupying 135 degrees of latitude,</w:t></w:r>
</w:p>
<w:p>
<w:pPr><w:pStyle w:val="Normal"/></w:pPr>
<w:r><w:t xml:space="preserve">living on the shores of frozen or of tropical waters; at</w:t></w:r>
</w:p>
<w:p>
<w:pPr><w:pStyle w:val="Normal"/></w:pPr>
<w:r><w:t xml:space="preserve">altitudes varying from sea-level to several thousands</w:t></w:r>
</w:p>
<w:p>
<w:pPr><w:pStyle w:val="Normal"/></w:pPr>
<w:r><w:t xml:space="preserve">of feet; in forests, grassy prairies or deserts; here</w:t></w:r>
</w:p>
<w:p>
<w:pPr><w:pStyle w:val="Normal"/></w:pPr>
<w:r><w:t xml:space="preserve">starved, there in plenty; with a night here of six months&apos;</w:t></w:r>
</w:p>
<w:p>
<w:pPr><w:pStyle w:val="Normal"/></w:pPr>
<w:r><w:t xml:space="preserve">duration, there twelve hours long; here among health-giving</w:t></w:r>
</w:p>
<w:p>
<w:pPr><w:pStyle w:val="Normal"/></w:pPr>
<w:r><w:t xml:space="preserve">winds, and there cursed with malaria -- this brown man</w:t></w:r>
</w:p>
<w:p>
<w:pPr><w:pStyle w:val="Normal"/></w:pPr>
<w:r><w:t xml:space="preserve">became, in different culture provinces, brunette or black,</w:t></w:r>
</w:p>
<w:p>
<w:pPr><w:pStyle w:val="Normal"/></w:pPr>
<w:r><w:t xml:space="preserve">tall or short, long-headed or short-headed, and developed</w:t></w:r>
</w:p>
<w:p>
<w:pPr><w:pStyle w:val="Normal"/></w:pPr>
<w:r><w:t xml:space="preserve">on his own hemisphere variations from an average type.</w:t></w:r>
</w:p>
<w:p>
<w:pPr><w:pStyle w:val="Normal"/></w:pPr>
<w:r><w:t xml:space="preserve">Since the tribes practised far more in-breeding than</w:t></w:r>
</w:p>
<w:p>
<w:pPr><w:pStyle w:val="Normal"/></w:pPr>
<w:r><w:t xml:space="preserve">out-breeding, the tendency was toward forming not only verbal</w:t></w:r>
</w:p>
<w:p>
<w:pPr><w:pStyle w:val="Normal"/></w:pPr>
<w:r><w:t xml:space="preserve">linguistic groups, but biological varieties; the weaker the</w:t></w:r>
</w:p>
<w:p>
<w:pPr><w:pStyle w:val="Normal"/></w:pPr>
<w:r><w:t xml:space="preserve">tribe, the fewer the captures, the greater the isolation and</w:t></w:r>
</w:p>
<w:p>
<w:pPr><w:pStyle w:val="Normal"/></w:pPr>
<w:r><w:t xml:space="preserve">harder the conditions -- producing dolichocephaly, dwarfism</w:t></w:r>
</w:p>
<w:p>
<w:pPr><w:pStyle w:val="Normal"/></w:pPr>
<w:r><w:t xml:space="preserve">and other retrogressive characteristics.  The student will</w:t></w:r>
</w:p>
<w:p>
<w:pPr><w:pStyle w:val="Normal"/></w:pPr>
<w:r><w:t xml:space="preserve">find differences among anthropologists in the interpretation</w:t></w:r>
</w:p>
<w:p>
<w:pPr><w:pStyle w:val="Normal"/></w:pPr>
<w:r><w:t xml:space="preserve">of these marks -- some averring that comparative anatomy is</w:t></w:r>
</w:p>
<w:p>
<w:pPr><w:pStyle w:val="Normal"/></w:pPr>
<w:r><w:t xml:space="preserve">worthless as a means of subdividing the American subspecies,</w:t></w:r>
</w:p>
<w:p>
<w:pPr><w:pStyle w:val="Normal"/></w:pPr>
<w:r><w:t xml:space="preserve">others that biological variations point to different Old</w:t></w:r>
</w:p>
<w:p>
<w:pPr><w:pStyle w:val="Normal"/></w:pPr>
<w:r><w:t xml:space="preserve">World origins, a third class believing these structural</w:t></w:r>
</w:p>
<w:p>
<w:pPr><w:pStyle w:val="Normal"/></w:pPr>
<w:r><w:t xml:space="preserve">variations to be of the soil.  The high cheek-bone and the</w:t></w:r>
</w:p>
<w:p>
<w:pPr><w:pStyle w:val="Normal"/></w:pPr>
<w:r><w:t xml:space="preserve">hawk&apos;s- bill nose are universally distributed in the two</w:t></w:r>
</w:p>
<w:p>
<w:pPr><w:pStyle w:val="Normal"/></w:pPr>
<w:r><w:t xml:space="preserve">Americas; so also are proportions between parts of the body,</w:t></w:r>
</w:p>
<w:p>
<w:pPr><w:pStyle w:val="Normal"/></w:pPr>
<w:r><w:t xml:space="preserve">and the frequency of certain abnormalities of the skull,</w:t></w:r>
</w:p>
<w:p>
<w:pPr><w:pStyle w:val="Normal"/></w:pPr>
<w:r><w:t xml:space="preserve">the hyoid bone, the humerus and the tibia.  Viability, by</w:t></w:r>
</w:p>
<w:p>
<w:pPr><w:pStyle w:val="Normal"/></w:pPr>
<w:r><w:t xml:space="preserve">which are meant fecundity, longevity and vigour, was low in</w:t></w:r>
</w:p>
<w:p>
<w:pPr><w:pStyle w:val="Normal"/></w:pPr>
<w:r><w:t xml:space="preserve">average.  The death-rate was high, through lack of proper</w:t></w:r>
</w:p>
<w:p>
<w:pPr><w:pStyle w:val="Normal"/></w:pPr>
<w:r><w:t xml:space="preserve">weaning foods, and hard life.  The readiness with which</w:t></w:r>
</w:p>
<w:p>
<w:pPr><w:pStyle w:val="Normal"/></w:pPr>
<w:r><w:t xml:space="preserve">the American Indian succumbed to disease is well known. For</w:t></w:r>
</w:p>
<w:p>
<w:pPr><w:pStyle w:val="Normal"/></w:pPr>
<w:r><w:t xml:space="preserve">these reasons there was not, outside of southern Mexico,</w:t></w:r>
</w:p>
<w:p>
<w:pPr><w:pStyle w:val="Normal"/></w:pPr>
<w:r><w:t xml:space="preserve">northern Central America and Peru, a dense population.  In</w:t></w:r>
</w:p>
<w:p>
<w:pPr><w:pStyle w:val="Normal"/></w:pPr>
<w:r><w:t xml:space="preserve">the whole hemisphere there were not over ten million souls.</w:t></w:r>
</w:p>
<w:p>
<w:pPr><w:pStyle w:val="Normal"/></w:pPr>
<w:r><w:t xml:space="preserve">The materials for studying the American man biologically</w:t></w:r>
</w:p>
<w:p>
<w:pPr><w:pStyle w:val="Normal"/></w:pPr>
<w:r><w:t xml:space="preserve">are abundant in the United States National Museum in</w:t></w:r>
</w:p>
<w:p>
<w:pPr><w:pStyle w:val="Normal"/></w:pPr>
<w:r><w:t xml:space="preserve">Washington; the Peabody Museum, at Cambridge, Massachusetts;</w:t></w:r>
</w:p>
<w:p>
<w:pPr><w:pStyle w:val="Normal"/></w:pPr>
<w:r><w:t xml:space="preserve">the American Museum of Natural History, New York; the</w:t></w:r>
</w:p>
<w:p>
<w:pPr><w:pStyle w:val="Normal"/></w:pPr>
<w:r><w:t xml:space="preserve">Academy of Sciences and the Free Museum of Arts and Sciences,</w:t></w:r>
</w:p>
<w:p>
<w:pPr><w:pStyle w:val="Normal"/></w:pPr>
<w:r><w:t xml:space="preserve">Philadelphia, Pennsylvania; the Field Museum in Chicago;</w:t></w:r>
</w:p>
<w:p>
<w:pPr><w:pStyle w:val="Normal"/></w:pPr>
<w:r><w:t xml:space="preserve">the National Museum, city of Mexico, and the Museum of La</w:t></w:r>
</w:p>
<w:p>
<w:pPr><w:pStyle w:val="Normal"/></w:pPr>
<w:r><w:t xml:space="preserve">Plata.  In Europe there are excellent collections in</w:t></w:r>
</w:p>
<w:p>
<w:pPr><w:pStyle w:val="Normal"/></w:pPr>
<w:r><w:t xml:space="preserve">London, Cambridge, Paris, Berlin, St Petersburg and Prague.</w:t></w:r>
</w:p>
<w:p>
<w:pPr><w:pStyle w:val="Normal"/></w:pPr>
<w:r><w:t xml:space="preserve">Professor Putnam measured for the World&apos;s Columbian Exposition</w:t></w:r>
</w:p>
<w:p>
<w:pPr><w:pStyle w:val="Normal"/></w:pPr>
<w:r><w:t xml:space="preserve">1700 living Indians, and the results have been summed up by</w:t></w:r>
</w:p>
<w:p>
<w:pPr><w:pStyle w:val="Normal"/></w:pPr>
<w:r><w:t xml:space="preserve">Boas.  The breadth of the Indian face is one centimetre more than</w:t></w:r>
</w:p>
<w:p>
<w:pPr><w:pStyle w:val="Normal"/></w:pPr>
<w:r><w:t xml:space="preserve">that of the whites, and the half-breeds are nearer the Indian</w:t></w:r>
</w:p>
<w:p>
<w:pPr><w:pStyle w:val="Normal"/></w:pPr>
<w:r><w:t xml:space="preserve">standard; this last is true also of colour in the skin, eyes and</w:t></w:r>
</w:p>
<w:p>
<w:pPr><w:pStyle w:val="Normal"/></w:pPr>
<w:r><w:t xml:space="preserve">hair.  In stature, the tall tribes exceed 170 cm.; middle stature</w:t></w:r>
</w:p>
<w:p>
<w:pPr><w:pStyle w:val="Normal"/></w:pPr>
<w:r><w:t xml:space="preserve">ranges between 166 and 170; and short tribes are under 166</w:t></w:r>
</w:p>
<w:p>
<w:pPr><w:pStyle w:val="Normal"/></w:pPr>
<w:r><w:t xml:space="preserve">cm.  The Indians are on the whole a tall people.  Tribes that</w:t></w:r>
</w:p>
<w:p>
<w:pPr><w:pStyle w:val="Normal"/></w:pPr>
<w:r><w:t xml:space="preserve">have changed residence have changed stature.  The tallest</w:t></w:r>
</w:p>
<w:p>
<w:pPr><w:pStyle w:val="Normal"/></w:pPr>
<w:r><w:t xml:space="preserve">statures are on the plains in both Americas.  The mountains</w:t></w:r>
</w:p>
<w:p>
<w:pPr><w:pStyle w:val="Normal"/></w:pPr>
<w:r><w:t xml:space="preserve">of the south-east and of the west reveal the shortest</w:t></w:r>
</w:p>
<w:p>
<w:pPr><w:pStyle w:val="Normal"/></w:pPr>
<w:r><w:t xml:space="preserve">statures.  The whole Mississippi valley was occupied by tall</w:t></w:r>
</w:p>
<w:p>
<w:pPr><w:pStyle w:val="Normal"/></w:pPr>
<w:r><w:t xml:space="preserve">peoples.  The Athapascans of New Mexico are of middle stature,</w:t></w:r>
</w:p>
<w:p>
<w:pPr><w:pStyle w:val="Normal"/></w:pPr>
<w:r><w:t xml:space="preserve">the Pueblo peoples are short.  The Shoshoni, Shahaptin</w:t></w:r>
</w:p>
<w:p>
<w:pPr><w:pStyle w:val="Normal"/></w:pPr>
<w:r><w:t xml:space="preserve">and Salish tribes are of middle stature; on the coast of</w:t></w:r>
</w:p>
<w:p>
<w:pPr><w:pStyle w:val="Normal"/></w:pPr>
<w:r><w:t xml:space="preserve">British Columbia, Puget Sound, in Oregon, and northern</w:t></w:r>
</w:p>
<w:p>
<w:pPr><w:pStyle w:val="Normal"/></w:pPr>
<w:r><w:t xml:space="preserve">California, are the shortest of all the North Americans save</w:t></w:r>
</w:p>
<w:p>
<w:pPr><w:pStyle w:val="Normal"/></w:pPr>
<w:r><w:t xml:space="preserve">the Eskimo, while among them, on the Columbia, are taller</w:t></w:r>
</w:p>
<w:p>
<w:pPr><w:pStyle w:val="Normal"/></w:pPr>
<w:r><w:t xml:space="preserve">tribes.  The comparison of cranial indexes is rendered</w:t></w:r>
</w:p>
<w:p>
<w:pPr><w:pStyle w:val="Normal"/></w:pPr>
<w:r><w:t xml:space="preserve">difficult by intentional flattening of the occiput by the hard</w:t></w:r>
</w:p>
<w:p>
<w:pPr><w:pStyle w:val="Normal"/></w:pPr>
<w:r><w:t xml:space="preserve">cradle-board.  The Mississippi valley tribes are nearly</w:t></w:r>
</w:p>
<w:p>
<w:pPr><w:pStyle w:val="Normal"/></w:pPr>
<w:r><w:t xml:space="preserve">brachycephalic; the index increases around the Great Lakes, and</w:t></w:r>
</w:p>
<w:p>
<w:pPr><w:pStyle w:val="Normal"/></w:pPr>
<w:r><w:t xml:space="preserve">lessens farther east.  The eastern Eskimo are dolichocephalic,</w:t></w:r>
</w:p>
<w:p>
<w:pPr><w:pStyle w:val="Normal"/></w:pPr>
<w:r><w:t xml:space="preserve">the western are less so, and the Aleuts brachycephalic.</w:t></w:r>
</w:p>
<w:p>
<w:pPr><w:pStyle w:val="Normal"/></w:pPr>
<w:r><w:t xml:space="preserve">On the North Pacific coast, and in spots down to the Rio</w:t></w:r>
</w:p>
<w:p>
<w:pPr><w:pStyle w:val="Normal"/></w:pPr>
<w:r><w:t xml:space="preserve">Grande, are short heads, but scattered among these are long</w:t></w:r>
</w:p>
<w:p>
<w:pPr><w:pStyle w:val="Normal"/></w:pPr>
<w:r><w:t xml:space="preserve">heads, frequent in southern California, but seen northward to</w:t></w:r>
</w:p>
<w:p>
<w:pPr><w:pStyle w:val="Normal"/></w:pPr>
<w:r><w:t xml:space="preserve">Oregon, as well as in Sonora and some Rio Grande pueblos.</w:t></w:r>
</w:p>
<w:p>
<w:pPr><w:pStyle w:val="Normal"/></w:pPr>
<w:r><w:t xml:space="preserve">The same variety of index exists in South America.</w:t></w:r>
</w:p>
<w:p>
<w:pPr><w:pStyle w:val="Normal"/></w:pPr>
<w:r><w:t xml:space="preserve">In the regions of greatest linguistic mixture</w:t></w:r>
</w:p>
<w:p>
<w:pPr><w:pStyle w:val="Normal"/></w:pPr>
<w:r><w:t xml:space="preserve">is the greatest heterogeneity of cephalic index.</w:t></w:r>
</w:p>
<w:p>
<w:pPr><w:pStyle w:val="Normal"/></w:pPr>
<w:r><w:t xml:space="preserve">Classification.</w:t></w:r>
</w:p>
<w:p>
<w:pPr><w:pStyle w:val="Normal"/></w:pPr>
<w:r><w:t xml:space="preserve">The concepts on which the peoples of the Old World have been</w:t></w:r>
</w:p>
<w:p>
<w:pPr><w:pStyle w:val="Normal"/></w:pPr>
<w:r><w:t xml:space="preserve">classified, such as stature, colour, skeletal measurements,</w:t></w:r>
</w:p>
<w:p>
<w:pPr><w:pStyle w:val="Normal"/></w:pPr>
<w:r><w:t xml:space="preserve">nationality, and so on, cannot as yet be used in America with</w:t></w:r>
</w:p>
<w:p>
<w:pPr><w:pStyle w:val="Normal"/></w:pPr>
<w:r><w:t xml:space="preserve">success.  The only basis of division practicable is language,</w:t></w:r>
</w:p>
<w:p>
<w:pPr><w:pStyle w:val="Normal"/></w:pPr>
<w:r><w:t xml:space="preserve">which must be kept separate in the mind from the others.</w:t></w:r>
</w:p>
<w:p>
<w:pPr><w:pStyle w:val="Normal"/></w:pPr>
<w:r><w:t xml:space="preserve">However, before the conquest, in no other part of the globe did</w:t></w:r>
</w:p>
<w:p>
<w:pPr><w:pStyle w:val="Normal"/></w:pPr>
<w:r><w:t xml:space="preserve">language tally so nearly with kinship.  Marriage was exogamic</w:t></w:r>
</w:p>
<w:p>
<w:pPr><w:pStyle w:val="Normal"/></w:pPr>
<w:r><w:t xml:space="preserve">among clans in a tribe, but practically, though not wholly</w:t></w:r>
</w:p>
<w:p>
<w:pPr><w:pStyle w:val="Normal"/></w:pPr>
<w:r><w:t xml:space="preserve">endogamic as between tribes, wife and slave capture being</w:t></w:r>
</w:p>
<w:p>
<w:pPr><w:pStyle w:val="Normal"/></w:pPr>
<w:r><w:t xml:space="preserve">common in places.  In his family tree of Homo Americanus Keane</w:t></w:r>
</w:p>
<w:p>
<w:pPr><w:pStyle w:val="Normal"/></w:pPr>
<w:r><w:t xml:space="preserve">follows out such a plan, placing the chief linguistic family</w:t></w:r>
</w:p>
<w:p>
<w:pPr><w:pStyle w:val="Normal"/></w:pPr>
<w:r><w:t xml:space="preserve">names on the main limbs, North American on one side, and South</w:t></w:r>
</w:p>
<w:p>
<w:pPr><w:pStyle w:val="Normal"/></w:pPr>
<w:r><w:t xml:space="preserve">American on the other.  Deniker groups mankind into twenty-</w:t></w:r>
</w:p>
<w:p>
<w:pPr><w:pStyle w:val="Normal"/></w:pPr>
<w:r><w:t xml:space="preserve">nine races and sub-races.  American are numbered thus:-- 21,</w:t></w:r>
</w:p>
<w:p>
<w:pPr><w:pStyle w:val="Normal"/></w:pPr>
<w:r><w:t xml:space="preserve">South American sub-race; Palaeo-Americans and South Americans.</w:t></w:r>
</w:p>
<w:p>
<w:pPr><w:pStyle w:val="Normal"/></w:pPr>
<w:r><w:t xml:space="preserve">22, North American sub-race; tall, mesocephalic. 23, Central</w:t></w:r>
</w:p>
<w:p>
<w:pPr><w:pStyle w:val="Normal"/></w:pPr>
<w:r><w:t xml:space="preserve">American race; short, brachycephalic. 24, Patagonian race;</w:t></w:r>
</w:p>
<w:p>
<w:pPr><w:pStyle w:val="Normal"/></w:pPr>
<w:r><w:t xml:space="preserve">tall, brachycephalic. 25, Eskimo race; short, dolichocephalic.</w:t></w:r>
</w:p>
<w:p>
<w:pPr><w:pStyle w:val="Normal"/></w:pPr>
<w:r><w:t xml:space="preserve">Farrand speaks of physical, linguistic, geographic, and</w:t></w:r>
</w:p>
<w:p>
<w:pPr><w:pStyle w:val="Normal"/></w:pPr>
<w:r><w:t xml:space="preserve">cultural criteria, the first two the more exact, the latter</w:t></w:r>
</w:p>
<w:p>
<w:pPr><w:pStyle w:val="Normal"/></w:pPr>
<w:r><w:t xml:space="preserve">more convenient and sometimes the only feasible bases.</w:t></w:r>
</w:p>
<w:p>
<w:pPr><w:pStyle w:val="Normal"/></w:pPr>
<w:r><w:t xml:space="preserve">Culture provinces.</w:t></w:r>
</w:p>
<w:p>
<w:pPr><w:pStyle w:val="Normal"/></w:pPr>
<w:r><w:t xml:space="preserve">Zoologists divide the earth into biological areas or regions,</w:t></w:r>
</w:p>
<w:p>
<w:pPr><w:pStyle w:val="Normal"/></w:pPr>
<w:r><w:t xml:space="preserve">so both archaeologists and ethnologists may find it convenient</w:t></w:r>
</w:p>
<w:p>
<w:pPr><w:pStyle w:val="Normal"/></w:pPr>
<w:r><w:t xml:space="preserve">to have in mind some such scheme of provinces as the following,</w:t></w:r>
</w:p>
<w:p>
<w:pPr><w:pStyle w:val="Normal"/></w:pPr>
<w:r><w:t xml:space="preserve">named partly after the dominant ethnic groups:--Eskimo, on</w:t></w:r>
</w:p>
<w:p>
<w:pPr><w:pStyle w:val="Normal"/></w:pPr>
<w:r><w:t xml:space="preserve">Arctic shores; Dene (Tinneh), in north-western Canada;</w:t></w:r>
</w:p>
<w:p>
<w:pPr><w:pStyle w:val="Normal"/></w:pPr>
<w:r><w:t xml:space="preserve">Algonquin-Iroquois, Canada and eastern United States; Sioux,</w:t></w:r>
</w:p>
<w:p>
<w:pPr><w:pStyle w:val="Normal"/></w:pPr>
<w:r><w:t xml:space="preserve">plains of the west; Muskhogee, Gulf States; Tlinkit-Haida,</w:t></w:r>
</w:p>
<w:p>
<w:pPr><w:pStyle w:val="Normal"/></w:pPr>
<w:r><w:t xml:space="preserve">North Pacific coast; Salish-Chinook, Fraser- Columbia coasts</w:t></w:r>
</w:p>
<w:p>
<w:pPr><w:pStyle w:val="Normal"/></w:pPr>
<w:r><w:t xml:space="preserve">and basins; Shoshoni, interior basin; California- Oregon,</w:t></w:r>
</w:p>
<w:p>
<w:pPr><w:pStyle w:val="Normal"/></w:pPr>
<w:r><w:t xml:space="preserve">mixed tribes; Pueblo province, southwestern United States and</w:t></w:r>
</w:p>
<w:p>
<w:pPr><w:pStyle w:val="Normal"/></w:pPr>
<w:r><w:t xml:space="preserve">northern Mexico; Nahuatla-Maya, southern Mexico and Central</w:t></w:r>
</w:p>
<w:p>
<w:pPr><w:pStyle w:val="Normal"/></w:pPr>
<w:r><w:t xml:space="preserve">America; Chibcha-Kechua, the Cordilleras of South America;</w:t></w:r>
</w:p>
<w:p>
<w:pPr><w:pStyle w:val="Normal"/></w:pPr>
<w:r><w:t xml:space="preserve">Carib-Arawak, about Caribbean Sea; Tupi-Guarani, Amazon drainage;</w:t></w:r>
</w:p>
<w:p>
<w:pPr><w:pStyle w:val="Normal"/></w:pPr>
<w:r><w:t xml:space="preserve">Araucanian, Pampas; Patagonian, peninsula; Fuegian, Magellan</w:t></w:r>
</w:p>
<w:p>
<w:pPr><w:pStyle w:val="Normal"/></w:pPr>
<w:r><w:t xml:space="preserve">Strait.  It is necessary to use geographical terms in the</w:t></w:r>
</w:p>
<w:p>
<w:pPr><w:pStyle w:val="Normal"/></w:pPr>
<w:r><w:t xml:space="preserve">case of California and the North Pacific, the Caucasus</w:t></w:r>
</w:p>
<w:p>
<w:pPr><w:pStyle w:val="Normal"/></w:pPr>
<w:r><w:t xml:space="preserve">or cloaca gentium of the western hemisphere, where were</w:t></w:r>
</w:p>
<w:p>
<w:pPr><w:pStyle w:val="Normal"/></w:pPr>
<w:r><w:t xml:space="preserve">pocketed forty out of one hundred or more families of native</w:t></w:r>
</w:p>
<w:p>
<w:pPr><w:pStyle w:val="Normal"/></w:pPr>
<w:r><w:t xml:space="preserve">tribes.  The same is true in a limited sense of Matto Grosso.</w:t></w:r>
</w:p>
<w:p>
<w:pPr><w:pStyle w:val="Normal"/></w:pPr>
<w:r><w:t xml:space="preserve">That these areas had deep significance for the native races</w:t></w:r>
</w:p>
<w:p>
<w:pPr><w:pStyle w:val="Normal"/></w:pPr>
<w:r><w:t xml:space="preserve">is shown by the results, both in biology and culture.  The</w:t></w:r>
</w:p>
<w:p>
<w:pPr><w:pStyle w:val="Normal"/></w:pPr>
<w:r><w:t xml:space="preserve">presence or absence of useful minerals, plants and animals</w:t></w:r>
</w:p>
<w:p>
<w:pPr><w:pStyle w:val="Normal"/></w:pPr>
<w:r><w:t xml:space="preserve">rendered some congenial, others unfriendly; some areas were</w:t></w:r>
</w:p>
<w:p>
<w:pPr><w:pStyle w:val="Normal"/></w:pPr>
<w:r><w:t xml:space="preserve">the patrons of virile occupations, others of feminine pursuits.</w:t></w:r>
</w:p>
<w:p>
<w:pPr><w:pStyle w:val="Normal"/></w:pPr>
<w:r><w:t xml:space="preserve">Among the languages of America great differences exist in</w:t></w:r>
</w:p>
<w:p>
<w:pPr><w:pStyle w:val="Normal"/></w:pPr>
<w:r><w:t xml:space="preserve">the sounds used.  A collection of all the phonetic elements</w:t></w:r>
</w:p>
<w:p>
<w:pPr><w:pStyle w:val="Normal"/></w:pPr>
<w:r><w:t xml:space="preserve">exhausts the standard alphabets and calls for new letters.</w:t></w:r>
</w:p>
<w:p>
<w:pPr><w:pStyle w:val="Normal"/></w:pPr>
<w:r><w:t xml:space="preserve">A comparison of one family with another shows also that some</w:t></w:r>
</w:p>
<w:p>
<w:pPr><w:pStyle w:val="Normal"/></w:pPr>
<w:r><w:t xml:space="preserve">are vocalic and soft, others wide in the range of sounds,</w:t></w:r>
</w:p>
<w:p>
<w:pPr><w:pStyle w:val="Normal"/></w:pPr>
<w:r><w:t xml:space="preserve">while a third set are harsh and guttural, the speaking of</w:t></w:r>
</w:p>
<w:p>
<w:pPr><w:pStyle w:val="Normal"/></w:pPr>
<w:r><w:t xml:space="preserve">them (according to Payne) resembling coughing, barking and</w:t></w:r>
</w:p>
<w:p>
<w:pPr><w:pStyle w:val="Normal"/></w:pPr>
<w:r><w:t xml:space="preserve">sneezing.  Powell also thinks that man lived in America before</w:t></w:r>
</w:p>
<w:p>
<w:pPr><w:pStyle w:val="Normal"/></w:pPr>
<w:r><w:t xml:space="preserve">he acquired articulate speech.  The utterance of these speech</w:t></w:r>
</w:p>
<w:p>
<w:pPr><w:pStyle w:val="Normal"/></w:pPr>
<w:r><w:t xml:space="preserve">elements in definite order constitutes the roots and sentences</w:t></w:r>
</w:p>
<w:p>
<w:pPr><w:pStyle w:val="Normal"/></w:pPr>
<w:r><w:t xml:space="preserve">of the various tongues.  From the manner of assemblage, all</w:t></w:r>
</w:p>
<w:p>
<w:pPr><w:pStyle w:val="Normal"/></w:pPr>
<w:r><w:t xml:space="preserve">American languages are agglutinative, or holophrastic, but</w:t></w:r>
</w:p>
<w:p>
<w:pPr><w:pStyle w:val="Normal"/></w:pPr>
<w:r><w:t xml:space="preserve">they should not be called polysynthetic or incorporative or</w:t></w:r>
</w:p>
<w:p>
<w:pPr><w:pStyle w:val="Normal"/></w:pPr>
<w:r><w:t xml:space="preserve">inflexional.  They were more or less on the way to such organized</w:t></w:r>
</w:p>
<w:p>
<w:pPr><w:pStyle w:val="Normal"/></w:pPr>
<w:r><w:t xml:space="preserve">forms, in which the world&apos;s literatures are preserved.  As</w:t></w:r>
</w:p>
<w:p>
<w:pPr><w:pStyle w:val="Normal"/></w:pPr>
<w:r><w:t xml:space="preserve">in all other languages, so in those of aboriginal America,</w:t></w:r>
</w:p>
<w:p>
<w:pPr><w:pStyle w:val="Normal"/></w:pPr>
<w:r><w:t xml:space="preserve">the sentence is the unit.  Words and phrases are the organic</w:t></w:r>
</w:p>
<w:p>
<w:pPr><w:pStyle w:val="Normal"/></w:pPr>
<w:r><w:t xml:space="preserve">parts of the sentence, on which, therefore, the languages are</w:t></w:r>
</w:p>
<w:p>
<w:pPr><w:pStyle w:val="Normal"/></w:pPr>
<w:r><w:t xml:space="preserve">classified.  It is on this basis of sentential elements</w:t></w:r>
</w:p>
<w:p>
<w:pPr><w:pStyle w:val="Normal"/></w:pPr>
<w:r><w:t xml:space="preserve">that Powell has arranged the linguistic families of North</w:t></w:r>
</w:p>
<w:p>
<w:pPr><w:pStyle w:val="Normal"/></w:pPr>
<w:r><w:t xml:space="preserve">America.  He has brought together, in the Bureau of American</w:t></w:r>
</w:p>
<w:p>
<w:pPr><w:pStyle w:val="Normal"/></w:pPr>
<w:r><w:t xml:space="preserve">Ethnology in Washington, many hundreds of manuscripts, written</w:t></w:r>
</w:p>
<w:p>
<w:pPr><w:pStyle w:val="Normal"/></w:pPr>
<w:r><w:t xml:space="preserve">by travellers, traders, missionaries, and scholars; and,</w:t></w:r>
</w:p>
<w:p>
<w:pPr><w:pStyle w:val="Normal"/></w:pPr>
<w:r><w:t xml:space="preserve">better still, in response to circulars, carefully prepared</w:t></w:r>
</w:p>
<w:p>
<w:pPr><w:pStyle w:val="Normal"/></w:pPr>
<w:r><w:t xml:space="preserve">vocabularies, texts and long native stories have been written</w:t></w:r>
</w:p>
<w:p>
<w:pPr><w:pStyle w:val="Normal"/></w:pPr>
<w:r><w:t xml:space="preserve">out by trained collectors.  A corps of specialists--Boas,</w:t></w:r>
</w:p>
<w:p>
<w:pPr><w:pStyle w:val="Normal"/></w:pPr>
<w:r><w:t xml:space="preserve">Dall, Dorsey, Gatschet, Hewitt, Mooney, Pilling, J. R.</w:t></w:r>
</w:p>
<w:p>
<w:pPr><w:pStyle w:val="Normal"/></w:pPr>
<w:r><w:t xml:space="preserve">Swanton--have studied many of these languages analytically and</w:t></w:r>
</w:p>
<w:p>
<w:pPr><w:pStyle w:val="Normal"/></w:pPr>
<w:r><w:t xml:space="preserve">comparatively.  Other institutional investigations have been</w:t></w:r>
</w:p>
<w:p>
<w:pPr><w:pStyle w:val="Normal"/></w:pPr>
<w:r><w:t xml:space="preserve">prosecuted, the result of all which will be an intelligent</w:t></w:r>
</w:p>
<w:p>
<w:pPr><w:pStyle w:val="Normal"/></w:pPr>
<w:r><w:t xml:space="preserve">comprehension of the philology of a primitive race.</w:t></w:r>
</w:p>
<w:p>
<w:pPr><w:pStyle w:val="Normal"/></w:pPr>
<w:r><w:t xml:space="preserve">Linguistic families.</w:t></w:r>
</w:p>
<w:p>
<w:pPr><w:pStyle w:val="Normal"/></w:pPr>
<w:r><w:t xml:space="preserve">Attention is frequently called to the large number of linguistic</w:t></w:r>
</w:p>
<w:p>
<w:pPr><w:pStyle w:val="Normal"/></w:pPr>
<w:r><w:t xml:space="preserve">families in America, nearly 100 having been named, embracing over</w:t></w:r>
</w:p>
<w:p>
<w:pPr><w:pStyle w:val="Normal"/></w:pPr>
<w:r><w:t xml:space="preserve">1000 languages and dialects.  A few of them, however, occupied</w:t></w:r>
</w:p>
<w:p>
<w:pPr><w:pStyle w:val="Normal"/></w:pPr>
<w:r><w:t xml:space="preserve">the greater part of lands both north and south of Panama;</w:t></w:r>
</w:p>
<w:p>
<w:pPr><w:pStyle w:val="Normal"/></w:pPr>
<w:r><w:t xml:space="preserve">the others were encysted in the territory of the prevailing</w:t></w:r>
</w:p>
<w:p>
<w:pPr><w:pStyle w:val="Normal"/></w:pPr>
<w:r><w:t xml:space="preserve">families, or concealed in culs- de-sac of the mountains.  They</w:t></w:r>
</w:p>
<w:p>
<w:pPr><w:pStyle w:val="Normal"/></w:pPr>
<w:r><w:t xml:space="preserve">are, through poverty of material, unclassed languages, merely</w:t></w:r>
</w:p>
<w:p>
<w:pPr><w:pStyle w:val="Normal"/></w:pPr>
<w:r><w:t xml:space="preserve">outstanding phenomena.  Factions separated from the parent</w:t></w:r>
</w:p>
<w:p>
<w:pPr><w:pStyle w:val="Normal"/></w:pPr>
<w:r><w:t xml:space="preserve">body developed dialects or languages by contact, intermarriage</w:t></w:r>
</w:p>
<w:p>
<w:pPr><w:pStyle w:val="Normal"/></w:pPr>
<w:r><w:t xml:space="preserve">and incorporation with foreign tribes.  To the old-time belief</w:t></w:r>
</w:p>
<w:p>
<w:pPr><w:pStyle w:val="Normal"/></w:pPr>
<w:r><w:t xml:space="preserve">that languages multiplied by splitting and colonizing, must be</w:t></w:r>
</w:p>
<w:p>
<w:pPr><w:pStyle w:val="Normal"/></w:pPr>
<w:r><w:t xml:space="preserve">added the theory that languages were formerly more numerous,</w:t></w:r>
</w:p>
<w:p>
<w:pPr><w:pStyle w:val="Normal"/></w:pPr>
<w:r><w:t xml:space="preserve">and that those of the Americans were formed by combining.</w:t></w:r>
</w:p>
<w:p>
<w:pPr><w:pStyle w:val="Normal"/></w:pPr>
<w:r><w:t xml:space="preserve">The families of North America, Middle America and South America are here</w:t></w:r>
</w:p>
<w:p>
<w:pPr><w:pStyle w:val="Normal"/></w:pPr>
<w:r><w:t xml:space="preserve">given in alphabetical order, the prevailing ones in small capitals:--</w:t></w:r>
</w:p>
<w:p>
<w:pPr><w:pStyle w:val="Normal"/></w:pPr>
<w:r><w:t xml:space="preserve">North America.</w:t></w:r>
</w:p>
<w:p>
<w:pPr><w:pStyle w:val="Normal"/></w:pPr>
<w:r><w:t xml:space="preserve">ALGONQUIN, E. Can., N. Atlantic States, middle States, middle</w:t></w:r>
</w:p>
<w:p>
<w:pPr><w:pStyle w:val="Normal"/></w:pPr>
<w:r><w:t xml:space="preserve">western States; ATHAPASCAN, N.W. Can., Alaska, Wash., Or.,</w:t></w:r>
</w:p>
<w:p>
<w:pPr><w:pStyle w:val="Normal"/></w:pPr>
<w:r><w:t xml:space="preserve">Cal., Ariz., Mex.; Attacapan, La.; Beothukan, Nova Scotia;</w:t></w:r>
</w:p>
<w:p>
<w:pPr><w:pStyle w:val="Normal"/></w:pPr>
<w:r><w:t xml:space="preserve">CADDOAN, Tex., Neb., Dak.; Chimakuan, Wash.; Chimarikan, N.</w:t></w:r>
</w:p>
<w:p>
<w:pPr><w:pStyle w:val="Normal"/></w:pPr>
<w:r><w:t xml:space="preserve">Cal.; CHIMMESYAN, Brit.  Col.; CHINOOKAN, Or.; Chitimachan,</w:t></w:r>
</w:p>
<w:p>
<w:pPr><w:pStyle w:val="Normal"/></w:pPr>
<w:r><w:t xml:space="preserve">La.; Chumashan, S. Cal,; Coahuiltecan, Tex.; Copehan, N. Cal.;</w:t></w:r>
</w:p>
<w:p>
<w:pPr><w:pStyle w:val="Normal"/></w:pPr>
<w:r><w:t xml:space="preserve">Costanoan, Cal.; ESKIMAUAN, Arctic province; Esselenian,</w:t></w:r>
</w:p>
<w:p>
<w:pPr><w:pStyle w:val="Normal"/></w:pPr>
<w:r><w:t xml:space="preserve">Cal.; IROQUOIAN, N.Y., N.C.; Kalapooian, Or.; Karankawan,</w:t></w:r>
</w:p>
<w:p>
<w:pPr><w:pStyle w:val="Normal"/></w:pPr>
<w:r><w:t xml:space="preserve">Tex.; KERESAN, N. Mex.; KIOWAN, Neb.; KITUNAHAN,</w:t></w:r>
</w:p>
<w:p>
<w:pPr><w:pStyle w:val="Normal"/></w:pPr>
<w:r><w:t xml:space="preserve">Brit.  Col.; KOLUSCHAN, S. Alaska; KULANAPAN, Cal.; Kusan,</w:t></w:r>
</w:p>
<w:p>
<w:pPr><w:pStyle w:val="Normal"/></w:pPr>
<w:r><w:t xml:space="preserve">Cal.; Lutuamian, Or.; Mariposan, Cal.; Moquelumnan, Cal.;</w:t></w:r>
</w:p>
<w:p>
<w:pPr><w:pStyle w:val="Normal"/></w:pPr>
<w:r><w:t xml:space="preserve">MUSKHOGEAN, Gulf States; NATCHESAN, Miss.; Palaihnihan,</w:t></w:r>
</w:p>
<w:p>
<w:pPr><w:pStyle w:val="Normal"/></w:pPr>
<w:r><w:t xml:space="preserve">Cal.; PIMAN, Ariz.; Pujunan, Cal.; Quoratean, Or.; Salinan,</w:t></w:r>
</w:p>
<w:p>
<w:pPr><w:pStyle w:val="Normal"/></w:pPr>
<w:r><w:t xml:space="preserve">Cal.; SALISHAN, Brit.  Col.; Sastean, Or.; SHAHAPTIAN,</w:t></w:r>
</w:p>
<w:p>
<w:pPr><w:pStyle w:val="Normal"/></w:pPr>
<w:r><w:t xml:space="preserve">Or.; SHOSHONEAN, Interior Basin; SIOUAN, Mo. Valley;</w:t></w:r>
</w:p>
<w:p>
<w:pPr><w:pStyle w:val="Normal"/></w:pPr>
<w:r><w:t xml:space="preserve">SKITTAGETAN, Brit.  Col.; Takilman, Or.; TANYOAN, Mex.;</w:t></w:r>
</w:p>
<w:p>
<w:pPr><w:pStyle w:val="Normal"/></w:pPr>
<w:r><w:t xml:space="preserve">Timuquanan, Fla.; Tonikan, Miss.; Tonkawan, Tex.; Uchean,</w:t></w:r>
</w:p>
<w:p>
<w:pPr><w:pStyle w:val="Normal"/></w:pPr>
<w:r><w:t xml:space="preserve">Ga.; Waiilatpuan, Or.; WAKASHAN, Vancouver I.; Washoan,</w:t></w:r>
</w:p>
<w:p>
<w:pPr><w:pStyle w:val="Normal"/></w:pPr>
<w:r><w:t xml:space="preserve">Nev.; Weitspekan, Or.; Wishoskan, Cal.; Yakonan, Or.;</w:t></w:r>
</w:p>
<w:p>
<w:pPr><w:pStyle w:val="Normal"/></w:pPr>
<w:r><w:t xml:space="preserve">Yanan, Or.; Yukian, Cal.; Yuman, L. Cal.; ZUNYAN, N. Mex.</w:t></w:r>
</w:p>
<w:p>
<w:pPr><w:pStyle w:val="Normal"/></w:pPr>
<w:r><w:t xml:space="preserve">Middle America.</w:t></w:r>
</w:p>
<w:p>
<w:pPr><w:pStyle w:val="Normal"/></w:pPr>
<w:r><w:t xml:space="preserve">CHAPANECAN, Chi.; Chinantecan, Oax.; Chontalan, S. Mex.;</w:t></w:r>
</w:p>
<w:p>
<w:pPr><w:pStyle w:val="Normal"/></w:pPr>
<w:r><w:t xml:space="preserve">Huatusan, Nic.; Huavean, Tehuant.; Lencan, Hon.; MAYAN,</w:t></w:r>
</w:p>
<w:p>
<w:pPr><w:pStyle w:val="Normal"/></w:pPr>
<w:r><w:t xml:space="preserve">Yuc. and Guat.; NAHUATLAN, Mex.; OTOMITLAN, Cen.</w:t></w:r>
</w:p>
<w:p>
<w:pPr><w:pStyle w:val="Normal"/></w:pPr>
<w:r><w:t xml:space="preserve">Mex.; Raman, Hond.; Serian, Tiburon I.; Subtiaban, Nic.;</w:t></w:r>
</w:p>
<w:p>
<w:pPr><w:pStyle w:val="Normal"/></w:pPr>
<w:r><w:t xml:space="preserve">TARASCAN, Mich.; Tehuantepecan, Isthmus; Tequistlatecan,</w:t></w:r>
</w:p>
<w:p>
<w:pPr><w:pStyle w:val="Normal"/></w:pPr>
<w:r><w:t xml:space="preserve">Oax.; TOTONACAN, Mex.; Triquian, S. Mex.; Ulvan, Nic.;</w:t></w:r>
</w:p>
<w:p>
<w:pPr><w:pStyle w:val="Normal"/></w:pPr>
<w:r><w:t xml:space="preserve">Xicaquean, Hond.; ZAPOTECAN, Oax.; ZOQUEAN, Tehuant.</w:t></w:r>
</w:p>
<w:p>
<w:pPr><w:pStyle w:val="Normal"/></w:pPr>
<w:r><w:t xml:space="preserve">South America.</w:t></w:r>
</w:p>
<w:p>
<w:pPr><w:pStyle w:val="Normal"/></w:pPr>
<w:r><w:t xml:space="preserve">Alikulufan, T. del Fuego; Arauan, R. Purus; ARAWAKIAN, E.</w:t></w:r>
</w:p>
<w:p>
<w:pPr><w:pStyle w:val="Normal"/></w:pPr>
<w:r><w:t xml:space="preserve">Andes; Atacamenyan, S. Peru; ARAUCANIAN, Pampas; AYMARAN,</w:t></w:r>
</w:p>
<w:p>
<w:pPr><w:pStyle w:val="Normal"/></w:pPr>
<w:r><w:t xml:space="preserve">Peru; Barbacoan, Colombia; Betoyan, Bogota; Canichanan,</w:t></w:r>
</w:p>
<w:p>
<w:pPr><w:pStyle w:val="Normal"/></w:pPr>
<w:r><w:t xml:space="preserve">Bolivia; Carahan, S. Brazil; CARIBIAN, around Caribbean</w:t></w:r>
</w:p>
<w:p>
<w:pPr><w:pStyle w:val="Normal"/></w:pPr>
<w:r><w:t xml:space="preserve">Sea; Catamarenyan, Chaco; Changuinan, Panama; Charruan,</w:t></w:r>
</w:p>
<w:p>
<w:pPr><w:pStyle w:val="Normal"/></w:pPr>
<w:r><w:t xml:space="preserve">Parana R.; CHIBCHAN, Colombia; Churoyan, Orinoco R.;</w:t></w:r>
</w:p>
<w:p>
<w:pPr><w:pStyle w:val="Normal"/></w:pPr>
<w:r><w:t xml:space="preserve">Coconucan, Colombia; Cunan, Panama; GUAYCURUAN, Paraguay</w:t></w:r>
</w:p>
<w:p>
<w:pPr><w:pStyle w:val="Normal"/></w:pPr>
<w:r><w:t xml:space="preserve">R.; JIVAROAN, Ecuador; KECHUAN, Peru; Laman, N.E. Peru;</w:t></w:r>
</w:p>
<w:p>
<w:pPr><w:pStyle w:val="Normal"/></w:pPr>
<w:r><w:t xml:space="preserve">Lulean, Vermejo R.; Mainan, S. Ecuador; Matacoan, Vermejo R.;</w:t></w:r>
</w:p>
<w:p>
<w:pPr><w:pStyle w:val="Normal"/></w:pPr>
<w:r><w:t xml:space="preserve">Mocoan, Colombia; Mosetenan, E. Bolivia; ONAN, T. del Fuego;</w:t></w:r>
</w:p>
<w:p>
<w:pPr><w:pStyle w:val="Normal"/></w:pPr>
<w:r><w:t xml:space="preserve">Paniquitan, Colombia; Panoan, Ucayali R., Peru; Payaguan, Chaco;</w:t></w:r>
</w:p>
<w:p>
<w:pPr><w:pStyle w:val="Normal"/></w:pPr>
<w:r><w:t xml:space="preserve">Puquinan, Titicaca L.; Samucan, Bolivia; Tacanan, N. Bolivia;</w:t></w:r>
</w:p>
<w:p>
<w:pPr><w:pStyle w:val="Normal"/></w:pPr>
<w:r><w:t xml:space="preserve">TAPUYAN, Brazil; Timotean, Venezuela; TUPIAN, Amazon</w:t></w:r>
</w:p>
<w:p>
<w:pPr><w:pStyle w:val="Normal"/></w:pPr>
<w:r><w:t xml:space="preserve">R.; TZONECAN, Patagonia; YAHGAN, T. del Fuego; Yuncan,</w:t></w:r>
</w:p>
<w:p>
<w:pPr><w:pStyle w:val="Normal"/></w:pPr>
<w:r><w:t xml:space="preserve">Truxillo, Peru; Yurucarian, E. Bolivia; ZAPAROAN, Ecuador.</w:t></w:r>
</w:p>
<w:p>
<w:pPr><w:pStyle w:val="Normal"/></w:pPr>
<w:r><w:t xml:space="preserve">Written language was largely hierographic and heroic.  The</w:t></w:r>
</w:p>
<w:p>
<w:pPr><w:pStyle w:val="Normal"/></w:pPr>
<w:r><w:t xml:space="preserve">drama, the cult image, the pictograph, the synecdochic</w:t></w:r>
</w:p>
<w:p>
<w:pPr><w:pStyle w:val="Normal"/></w:pPr>
<w:r><w:t xml:space="preserve">picture, the ideaglyph, were steps in a progress without a</w:t></w:r>
</w:p>
<w:p>
<w:pPr><w:pStyle w:val="Normal"/></w:pPr>
<w:r><w:t xml:space="preserve">break.  The warrior painted the story of conflicts on his</w:t></w:r>
</w:p>
<w:p>
<w:pPr><w:pStyle w:val="Normal"/></w:pPr>
<w:r><w:t xml:space="preserve">robe only in part, to help him recount the history of his</w:t></w:r>
</w:p>
<w:p>
<w:pPr><w:pStyle w:val="Normal"/></w:pPr>
<w:r><w:t xml:space="preserve">life; the Eskimo etched the prompters of his legend on ivory;</w:t></w:r>
</w:p>
<w:p>
<w:pPr><w:pStyle w:val="Normal"/></w:pPr>
<w:r><w:t xml:space="preserve">the Tlinkit carved them on his totem post; the women fixed</w:t></w:r>
</w:p>
<w:p>
<w:pPr><w:pStyle w:val="Normal"/></w:pPr>
<w:r><w:t xml:space="preserve">them in pottery, basketry, or blankets.  At last, the central</w:t></w:r>
</w:p>
<w:p>
<w:pPr><w:pStyle w:val="Normal"/></w:pPr>
<w:r><w:t xml:space="preserve">advanced tribes made the names of the abbreviated pictures</w:t></w:r>
</w:p>
<w:p>
<w:pPr><w:pStyle w:val="Normal"/></w:pPr>
<w:r><w:t xml:space="preserve">useful in other connexions, and were far on the way to a</w:t></w:r>
</w:p>
<w:p>
<w:pPr><w:pStyle w:val="Normal"/></w:pPr>
<w:r><w:t xml:space="preserve">syllabary.  Intertribal communication was through gestures;</w:t></w:r>
</w:p>
<w:p>
<w:pPr><w:pStyle w:val="Normal"/></w:pPr>
<w:r><w:t xml:space="preserve">it may be, survivals of a primordial speech, antedating</w:t></w:r>
</w:p>
<w:p>
<w:pPr><w:pStyle w:val="Normal"/></w:pPr>
<w:r><w:t xml:space="preserve">the differentiated spoken languages.  See publications of</w:t></w:r>
</w:p>
<w:p>
<w:pPr><w:pStyle w:val="Normal"/></w:pPr>
<w:r><w:t xml:space="preserve">the Bureau of American Ethnology, by F. W. Hodge (1906);</w:t></w:r>
</w:p>
<w:p>
<w:pPr><w:pStyle w:val="Normal"/></w:pPr>
<w:r><w:t xml:space="preserve">Farrand, Basis of Am. History, chap. xviii.; and Orozco</w:t></w:r>
</w:p>
<w:p>
<w:pPr><w:pStyle w:val="Normal"/></w:pPr>
<w:r><w:t xml:space="preserve">y Berra, Geografia de las lenguas, &amp;c. (Mexico, 1868).</w:t></w:r>
</w:p>
<w:p>
<w:pPr><w:pStyle w:val="Normal"/></w:pPr>
<w:r><w:t xml:space="preserve">Technology.</w:t></w:r>
</w:p>
<w:p>
<w:pPr><w:pStyle w:val="Normal"/></w:pPr>
<w:r><w:t xml:space="preserve">To supply their wants the Americans invented modifications in</w:t></w:r>
</w:p>
<w:p>
<w:pPr><w:pStyle w:val="Normal"/></w:pPr>
<w:r><w:t xml:space="preserve">natural materials, the working of which was their industries.</w:t></w:r>
</w:p>
<w:p>
<w:pPr><w:pStyle w:val="Normal"/></w:pPr>
<w:r><w:t xml:space="preserve">The vast collections in richly endowed European and American</w:t></w:r>
</w:p>
<w:p>
<w:pPr><w:pStyle w:val="Normal"/></w:pPr>
<w:r><w:t xml:space="preserve">museums are the witnesses and types of these.  There is</w:t></w:r>
</w:p>
<w:p>
<w:pPr><w:pStyle w:val="Normal"/></w:pPr>
<w:r><w:t xml:space="preserve">danger of confounding the products of native industries.</w:t></w:r>
</w:p>
<w:p>
<w:pPr><w:pStyle w:val="Normal"/></w:pPr>
<w:r><w:t xml:space="preserve">The following classes must be carefully discriminated: (a)</w:t></w:r>
</w:p>
<w:p>
<w:pPr><w:pStyle w:val="Normal"/></w:pPr>
<w:r><w:t xml:space="preserve">pre-Columbian, (b) Columbian, (c) pre-contact, (d)</w:t></w:r>
</w:p>
<w:p>
<w:pPr><w:pStyle w:val="Normal"/></w:pPr>
<w:r><w:t xml:space="preserve">first contact, (e) post-contact, (f) present, and (g)</w:t></w:r>
</w:p>
<w:p>
<w:pPr><w:pStyle w:val="Normal"/></w:pPr>
<w:r><w:t xml:space="preserve">spurious.  Pre-Columbian or pre-historic material is further</w:t></w:r>
</w:p>
<w:p>
<w:pPr><w:pStyle w:val="Normal"/></w:pPr>
<w:r><w:t xml:space="preserve">classified into that which had been used by Indians before the</w:t></w:r>
</w:p>
<w:p>
<w:pPr><w:pStyle w:val="Normal"/></w:pPr>
<w:r><w:t xml:space="preserve">discovery, and such as is claimed to be of a prior geological</w:t></w:r>
</w:p>
<w:p>
<w:pPr><w:pStyle w:val="Normal"/></w:pPr>
<w:r><w:t xml:space="preserve">period.  Columbian, or 15th-century material, still exists</w:t></w:r>
</w:p>
<w:p>
<w:pPr><w:pStyle w:val="Normal"/></w:pPr>
<w:r><w:t xml:space="preserve">in museums of Europe and America, and good descriptions are</w:t></w:r>
</w:p>
<w:p>
<w:pPr><w:pStyle w:val="Normal"/></w:pPr>
<w:r><w:t xml:space="preserve">to be found in the writings of contemporary historians.</w:t></w:r>
</w:p>
<w:p>
<w:pPr><w:pStyle w:val="Normal"/></w:pPr>
<w:r><w:t xml:space="preserve">Pre-contact material is such as continued to exist in any</w:t></w:r>
</w:p>
<w:p>
<w:pPr><w:pStyle w:val="Normal"/></w:pPr>
<w:r><w:t xml:space="preserve">tribe down to the time when they were touched by the presence</w:t></w:r>
</w:p>
<w:p>
<w:pPr><w:pStyle w:val="Normal"/></w:pPr>
<w:r><w:t xml:space="preserve">of the trade of the whites.  In some tribes this would bring</w:t></w:r>
</w:p>
<w:p>
<w:pPr><w:pStyle w:val="Normal"/></w:pPr>
<w:r><w:t xml:space="preserve">the student very near to the present time; for example, before</w:t></w:r>
</w:p>
<w:p>
<w:pPr><w:pStyle w:val="Normal"/></w:pPr>
<w:r><w:t xml:space="preserve">Steinen, the Indians in Matto Grosso were in the pre- contact</w:t></w:r>
</w:p>
<w:p>
<w:pPr><w:pStyle w:val="Normal"/></w:pPr>
<w:r><w:t xml:space="preserve">period.  Post-contact material is genuine Indian work more</w:t></w:r>
</w:p>
<w:p>
<w:pPr><w:pStyle w:val="Normal"/></w:pPr>
<w:r><w:t xml:space="preserve">or less influenced by acculturation.  It is interesting in</w:t></w:r>
</w:p>
<w:p>
<w:pPr><w:pStyle w:val="Normal"/></w:pPr>
<w:r><w:t xml:space="preserve">this connexion to study also first contact in its lists of</w:t></w:r>
</w:p>
<w:p>
<w:pPr><w:pStyle w:val="Normal"/></w:pPr>
<w:r><w:t xml:space="preserve">articles, and the effects produced upon aboriginal minds and</w:t></w:r>
</w:p>
<w:p>
<w:pPr><w:pStyle w:val="Normal"/></w:pPr>
<w:r><w:t xml:space="preserve">methods.  For example, a tribe that would jump at iron arrow-heads</w:t></w:r>
</w:p>
<w:p>
<w:pPr><w:pStyle w:val="Normal"/></w:pPr>
<w:r><w:t xml:space="preserve">stoutly declined to modify the shafts.  Present material</w:t></w:r>
</w:p>
<w:p>
<w:pPr><w:pStyle w:val="Normal"/></w:pPr>
<w:r><w:t xml:space="preserve">is such as the Indian tribes of the two Americas are making</w:t></w:r>
</w:p>
<w:p>
<w:pPr><w:pStyle w:val="Normal"/></w:pPr>
<w:r><w:t xml:space="preserve">to-day.  Spurious material includes all that mass of objects</w:t></w:r>
</w:p>
<w:p>
<w:pPr><w:pStyle w:val="Normal"/></w:pPr>
<w:r><w:t xml:space="preserve">made by whites and sold as of Indian manufacture; some of it</w:t></w:r>
</w:p>
<w:p>
<w:pPr><w:pStyle w:val="Normal"/></w:pPr>
<w:r><w:t xml:space="preserve">follows native models and methods; the rest is fraudulent and</w:t></w:r>
</w:p>
<w:p>
<w:pPr><w:pStyle w:val="Normal"/></w:pPr>
<w:r><w:t xml:space="preserve">pernicious.  The question whether similarities in technology</w:t></w:r>
</w:p>
<w:p>
<w:pPr><w:pStyle w:val="Normal"/></w:pPr>
<w:r><w:t xml:space="preserve">argue for contact of tribes, or whether they merely show</w:t></w:r>
</w:p>
<w:p>
<w:pPr><w:pStyle w:val="Normal"/></w:pPr>
<w:r><w:t xml:space="preserve">corresponding states of culture, with modifications produced by</w:t></w:r>
</w:p>
<w:p>
<w:pPr><w:pStyle w:val="Normal"/></w:pPr>
<w:r><w:t xml:space="preserve">environment, divides ethnologists. (See Farrand, chap. xviii. )</w:t></w:r>
</w:p>
<w:p>
<w:pPr><w:pStyle w:val="Normal"/></w:pPr>
<w:r><w:t xml:space="preserve">Aboriginal mechanics.</w:t></w:r>
</w:p>
<w:p>
<w:pPr><w:pStyle w:val="Normal"/></w:pPr>
<w:r><w:t xml:space="preserve">The study of mechanics involves materials, tools, processes and</w:t></w:r>
</w:p>
<w:p>
<w:pPr><w:pStyle w:val="Normal"/></w:pPr>
<w:r><w:t xml:space="preserve">products.  No iron tools existed in America before the invasion</w:t></w:r>
</w:p>
<w:p>
<w:pPr><w:pStyle w:val="Normal"/></w:pPr>
<w:r><w:t xml:space="preserve">of the whites.  Mineral, vegetable and animal substances, soft</w:t></w:r>
</w:p>
<w:p>
<w:pPr><w:pStyle w:val="Normal"/></w:pPr>
<w:r><w:t xml:space="preserve">and hard, were wrought into the supply of wants by means of</w:t></w:r>
</w:p>
<w:p>
<w:pPr><w:pStyle w:val="Normal"/></w:pPr>
<w:r><w:t xml:space="preserve">tools and apparatus of stone, wood and bone tools for cutting,</w:t></w:r>
</w:p>
<w:p>
<w:pPr><w:pStyle w:val="Normal"/></w:pPr>
<w:r><w:t xml:space="preserve">or edged tools; tools for abrading and smoothing the surfaces</w:t></w:r>
</w:p>
<w:p>
<w:pPr><w:pStyle w:val="Normal"/></w:pPr>
<w:r><w:t xml:space="preserve">of substances, like planes, rasps and sandpaper; tools for</w:t></w:r>
</w:p>
<w:p>
<w:pPr><w:pStyle w:val="Normal"/></w:pPr>
<w:r><w:t xml:space="preserve">striking, that is, pounding for the sake of pounding, or for</w:t></w:r>
</w:p>
<w:p>
<w:pPr><w:pStyle w:val="Normal"/></w:pPr>
<w:r><w:t xml:space="preserve">crushing and fracturing violently; perforating tools; devices</w:t></w:r>
</w:p>
<w:p>
<w:pPr><w:pStyle w:val="Normal"/></w:pPr>
<w:r><w:t xml:space="preserve">for grasping and holding firmly.  These varied in the different</w:t></w:r>
</w:p>
<w:p>
<w:pPr><w:pStyle w:val="Normal"/></w:pPr>
<w:r><w:t xml:space="preserve">culture provinces according to the natural supply, and the</w:t></w:r>
</w:p>
<w:p>
<w:pPr><w:pStyle w:val="Normal"/></w:pPr>
<w:r><w:t xml:space="preserve">presence or absence of good tool material counted for as much</w:t></w:r>
</w:p>
<w:p>
<w:pPr><w:pStyle w:val="Normal"/></w:pPr>
<w:r><w:t xml:space="preserve">as the presence or absence of good substances on which to</w:t></w:r>
</w:p>
<w:p>
<w:pPr><w:pStyle w:val="Normal"/></w:pPr>
<w:r><w:t xml:space="preserve">work.  As a means of grading progress among the various</w:t></w:r>
</w:p>
<w:p>
<w:pPr><w:pStyle w:val="Normal"/></w:pPr>
<w:r><w:t xml:space="preserve">tribes, the tool is valuable both in its working part and</w:t></w:r>
</w:p>
<w:p>
<w:pPr><w:pStyle w:val="Normal"/></w:pPr>
<w:r><w:t xml:space="preserve">its hafting, or manual part.  Fire drills were universal.</w:t></w:r>
</w:p>
<w:p>
<w:pPr><w:pStyle w:val="Normal"/></w:pPr>
<w:r><w:t xml:space="preserve">Besides chipped stone knives, the teeth of rodents, sharks,</w:t></w:r>
</w:p>
<w:p>
<w:pPr><w:pStyle w:val="Normal"/></w:pPr>
<w:r><w:t xml:space="preserve">and other animals served an excellent purpose.  In north-west</w:t></w:r>
</w:p>
<w:p>
<w:pPr><w:pStyle w:val="Normal"/></w:pPr>
<w:r><w:t xml:space="preserve">America and in the Caribbean area the adze was highly</w:t></w:r>
</w:p>
<w:p>
<w:pPr><w:pStyle w:val="Normal"/></w:pPr>
<w:r><w:t xml:space="preserve">developed.  In Mexico, Colombia and Peru the cutting of friable</w:t></w:r>
</w:p>
<w:p>
<w:pPr><w:pStyle w:val="Normal"/></w:pPr>
<w:r><w:t xml:space="preserve">stone with tough volcanic hammers and chisels, as well as rude</w:t></w:r>
</w:p>
<w:p>
<w:pPr><w:pStyle w:val="Normal"/></w:pPr>
<w:r><w:t xml:space="preserve">metallurgy, obtained, but the evidences of smelting are not</w:t></w:r>
</w:p>
<w:p>
<w:pPr><w:pStyle w:val="Normal"/></w:pPr>
<w:r><w:t xml:space="preserve">convincing.  Engineering devices were almost wanting.  The Eskimo</w:t></w:r>
</w:p>
<w:p>
<w:pPr><w:pStyle w:val="Normal"/></w:pPr>
<w:r><w:t xml:space="preserve">lifted his weighted boat with sheer-legs made of two paddles; he</w:t></w:r>
</w:p>
<w:p>
<w:pPr><w:pStyle w:val="Normal"/></w:pPr>
<w:r><w:t xml:space="preserve">also had a tackle without sheaves, formed by reaving a greased</w:t></w:r>
</w:p>
<w:p>
<w:pPr><w:pStyle w:val="Normal"/></w:pPr>
<w:r><w:t xml:space="preserve">thong through slits cut in the hide of a walrus.  The north-</w:t></w:r>
</w:p>
<w:p>
<w:pPr><w:pStyle w:val="Normal"/></w:pPr>
<w:r><w:t xml:space="preserve">west coast Indians hoisted the logs that formed the plates of</w:t></w:r>
</w:p>
<w:p>
<w:pPr><w:pStyle w:val="Normal"/></w:pPr>
<w:r><w:t xml:space="preserve">their house frames into position with skids and parbuckles of</w:t></w:r>
</w:p>
<w:p>
<w:pPr><w:pStyle w:val="Normal"/></w:pPr>
<w:r><w:t xml:space="preserve">rope.  The architectural Mexicans, Central Americans, and</w:t></w:r>
</w:p>
<w:p>
<w:pPr><w:pStyle w:val="Normal"/></w:pPr>
<w:r><w:t xml:space="preserve">especially the Peruvians, had no derricks or other hoisting</w:t></w:r>
</w:p>
<w:p>
<w:pPr><w:pStyle w:val="Normal"/></w:pPr>
<w:r><w:t xml:space="preserve">devices, but rolled great stones into place along prepared</w:t></w:r>
</w:p>
<w:p>
<w:pPr><w:pStyle w:val="Normal"/></w:pPr>
<w:r><w:t xml:space="preserve">ways and up inclined planes of earth, which were afterwards</w:t></w:r>
</w:p>
<w:p>
<w:pPr><w:pStyle w:val="Normal"/></w:pPr>
<w:r><w:t xml:space="preserve">removed.  In building the fortress of Sacsahuaman, heights</w:t></w:r>
</w:p>
<w:p>
<w:pPr><w:pStyle w:val="Normal"/></w:pPr>
<w:r><w:t xml:space="preserve">had to be scaled; in Tiahuanaco stones weighing 400 tons were</w:t></w:r>
</w:p>
<w:p>
<w:pPr><w:pStyle w:val="Normal"/></w:pPr>
<w:r><w:t xml:space="preserve">carried seventeen miles; in the edifices of Ollantaytambo not</w:t></w:r>
</w:p>
<w:p>
<w:pPr><w:pStyle w:val="Normal"/></w:pPr>
<w:r><w:t xml:space="preserve">only were large stones hauled up an ascent, but were fitted</w:t></w:r>
</w:p>
<w:p>
<w:pPr><w:pStyle w:val="Normal"/></w:pPr>
<w:r><w:t xml:space="preserve">perfectly.  The moving of vast objects by these simple</w:t></w:r>
</w:p>
<w:p>
<w:pPr><w:pStyle w:val="Normal"/></w:pPr>
<w:r><w:t xml:space="preserve">processes shows what great numbers of men could be enlisted</w:t></w:r>
</w:p>
<w:p>
<w:pPr><w:pStyle w:val="Normal"/></w:pPr>
<w:r><w:t xml:space="preserve">in a single effort, and how high a grade of government</w:t></w:r>
</w:p>
<w:p>
<w:pPr><w:pStyle w:val="Normal"/></w:pPr>
<w:r><w:t xml:space="preserve">it was which could hold them together and feed them.  In</w:t></w:r>
</w:p>
<w:p>
<w:pPr><w:pStyle w:val="Normal"/></w:pPr>
<w:r><w:t xml:space="preserve">Arizona, Mexico and Peru, reservoirs and aqueducts prove that</w:t></w:r>
</w:p>
<w:p>
<w:pPr><w:pStyle w:val="Normal"/></w:pPr>
<w:r><w:t xml:space="preserve">hydrotechny was understood. (Hodge, Am. Anthrop. vi. 323.)</w:t></w:r>
</w:p>
<w:p>
<w:pPr><w:pStyle w:val="Normal"/></w:pPr>
<w:r><w:t xml:space="preserve">Time-keeping devices were not common.  Sun-dials and calendar</w:t></w:r>
</w:p>
<w:p>
<w:pPr><w:pStyle w:val="Normal"/></w:pPr>
<w:r><w:t xml:space="preserve">monuments were known among the more advanced tribes.  Fractional</w:t></w:r>
</w:p>
<w:p>
<w:pPr><w:pStyle w:val="Normal"/></w:pPr>
<w:r><w:t xml:space="preserve">portions of time were gauged by shadows, and time of day</w:t></w:r>
</w:p>
<w:p>
<w:pPr><w:pStyle w:val="Normal"/></w:pPr>
<w:r><w:t xml:space="preserve">indicated by the position of the sun with reference to natural</w:t></w:r>
</w:p>
<w:p>
<w:pPr><w:pStyle w:val="Normal"/></w:pPr>
<w:r><w:t xml:space="preserve">features.  No standards of weighing or measuring were known,</w:t></w:r>
</w:p>
<w:p>
<w:pPr><w:pStyle w:val="Normal"/></w:pPr>
<w:r><w:t xml:space="preserve">but the parts of the body were the units, and money consisted</w:t></w:r>
</w:p>
<w:p>
<w:pPr><w:pStyle w:val="Normal"/></w:pPr>
<w:r><w:t xml:space="preserve">in rare and durable vegetable and animal substances, which</w:t></w:r>
</w:p>
<w:p>
<w:pPr><w:pStyle w:val="Normal"/></w:pPr>
<w:r><w:t xml:space="preserve">scarcely reached the dignity of a mechanism of exchange.</w:t></w:r>
</w:p>
<w:p>
<w:pPr><w:pStyle w:val="Normal"/></w:pPr>
<w:r><w:t xml:space="preserve">If the interpretation of the Maya calculiform glyphs be</w:t></w:r>
</w:p>
<w:p>
<w:pPr><w:pStyle w:val="Normal"/></w:pPr>
<w:r><w:t xml:space="preserve">trustworthy, these people had carried their numeral system into</w:t></w:r>
</w:p>
<w:p>
<w:pPr><w:pStyle w:val="Normal"/></w:pPr>
<w:r><w:t xml:space="preserve">the hundreds of thousands and devised symbols for recording</w:t></w:r>
</w:p>
<w:p>
<w:pPr><w:pStyle w:val="Normal"/></w:pPr>
<w:r><w:t xml:space="preserve">such high numbers. (See Bulletin 28, Bur. Am. Ethnol.)</w:t></w:r>
</w:p>
<w:p>
<w:pPr><w:pStyle w:val="Normal"/></w:pPr>
<w:r><w:t xml:space="preserve">Food.</w:t></w:r>
</w:p>
<w:p>
<w:pPr><w:pStyle w:val="Normal"/></w:pPr>
<w:r><w:t xml:space="preserve">The Americans were, in most places, flesh-eaters.  The air,</w:t></w:r>
</w:p>
<w:p>
<w:pPr><w:pStyle w:val="Normal"/></w:pPr>
<w:r><w:t xml:space="preserve">the waters and the land were their base of supplies, and</w:t></w:r>
</w:p>
<w:p>
<w:pPr><w:pStyle w:val="Normal"/></w:pPr>
<w:r><w:t xml:space="preserve">cannibalism, it is admitted, was widespread.  With this animal</w:t></w:r>
</w:p>
<w:p>
<w:pPr><w:pStyle w:val="Normal"/></w:pPr>
<w:r><w:t xml:space="preserve">diet everywhere vegetable substances were mixed, even in the</w:t></w:r>
</w:p>
<w:p>
<w:pPr><w:pStyle w:val="Normal"/></w:pPr>
<w:r><w:t xml:space="preserve">boreal regions.  Where the temperature allowed, vegetable</w:t></w:r>
</w:p>
<w:p>
<w:pPr><w:pStyle w:val="Normal"/></w:pPr>
<w:r><w:t xml:space="preserve">diet increased, and fruits, seeds and roots were laid under</w:t></w:r>
</w:p>
<w:p>
<w:pPr><w:pStyle w:val="Normal"/></w:pPr>
<w:r><w:t xml:space="preserve">tribute.  Storage was common, and also the drying of ripened</w:t></w:r>
</w:p>
<w:p>
<w:pPr><w:pStyle w:val="Normal"/></w:pPr>
<w:r><w:t xml:space="preserve">fruits.  The most favoured areas were those where corn and</w:t></w:r>
</w:p>
<w:p>
<w:pPr><w:pStyle w:val="Normal"/></w:pPr>
<w:r><w:t xml:space="preserve">other plants could be artificially produced, and there barbaric</w:t></w:r>
</w:p>
<w:p>
<w:pPr><w:pStyle w:val="Normal"/></w:pPr>
<w:r><w:t xml:space="preserve">cultures were elaborated.  This farming was of the rudest</w:t></w:r>
</w:p>
<w:p>
<w:pPr><w:pStyle w:val="Normal"/></w:pPr>
<w:r><w:t xml:space="preserve">kind.  Plots of ground were burned over, trees were girdled,</w:t></w:r>
</w:p>
<w:p>
<w:pPr><w:pStyle w:val="Normal"/></w:pPr>
<w:r><w:t xml:space="preserve">and seeds were planted by means of sharpened sticks.  The first</w:t></w:r>
</w:p>
<w:p>
<w:pPr><w:pStyle w:val="Normal"/></w:pPr>
<w:r><w:t xml:space="preserve">year the crop would be free from weeds, the second year only</w:t></w:r>
</w:p>
<w:p>
<w:pPr><w:pStyle w:val="Normal"/></w:pPr>
<w:r><w:t xml:space="preserve">those grew whose seeds were wafted or carried by birds, the</w:t></w:r>
</w:p>
<w:p>
<w:pPr><w:pStyle w:val="Normal"/></w:pPr>
<w:r><w:t xml:space="preserve">third year the crop required hoeing, which was done with sticks,</w:t></w:r>
</w:p>
<w:p>
<w:pPr><w:pStyle w:val="Normal"/></w:pPr>
<w:r><w:t xml:space="preserve">and then the space was abandoned for new ground.  Irrigation</w:t></w:r>
</w:p>
<w:p>
<w:pPr><w:pStyle w:val="Normal"/></w:pPr>
<w:r><w:t xml:space="preserve">and terrace culture were practised at several points on the</w:t></w:r>
</w:p>
<w:p>
<w:pPr><w:pStyle w:val="Normal"/></w:pPr>
<w:r><w:t xml:space="preserve">Pacific slope from Arizona to Peru.  The steps along which</w:t></w:r>
</w:p>
<w:p>
<w:pPr><w:pStyle w:val="Normal"/></w:pPr>
<w:r><w:t xml:space="preserve">plant and animal domestication passed upwards in artificiality</w:t></w:r>
</w:p>
<w:p>
<w:pPr><w:pStyle w:val="Normal"/></w:pPr>
<w:r><w:t xml:space="preserve">are graphically illustrated in the aboriginal food quest.</w:t></w:r>
</w:p>
<w:p>
<w:pPr><w:pStyle w:val="Normal"/></w:pPr>
<w:r><w:t xml:space="preserve">Clothing and adornment.</w:t></w:r>
</w:p>
<w:p>
<w:pPr><w:pStyle w:val="Normal"/></w:pPr>
<w:r><w:t xml:space="preserve">Except in the boreal areas the breech-clout was nearly universal</w:t></w:r>
</w:p>
<w:p>
<w:pPr><w:pStyle w:val="Normal"/></w:pPr>
<w:r><w:t xml:space="preserve">with men, and the cincture or short petticoat with women.  Even</w:t></w:r>
</w:p>
<w:p>
<w:pPr><w:pStyle w:val="Normal"/></w:pPr>
<w:r><w:t xml:space="preserve">in Mexico and Mayan sculptures the gods are arrayed in gorgeous</w:t></w:r>
</w:p>
<w:p>
<w:pPr><w:pStyle w:val="Normal"/></w:pPr>
<w:r><w:t xml:space="preserve">breech-clouts.  The foot-gear in the tropics was the sandal,</w:t></w:r>
</w:p>
<w:p>
<w:pPr><w:pStyle w:val="Normal"/></w:pPr>
<w:r><w:t xml:space="preserve">and, passing northward, the moccasin, becoming the long boot</w:t></w:r>
</w:p>
<w:p>
<w:pPr><w:pStyle w:val="Normal"/></w:pPr>
<w:r><w:t xml:space="preserve">in the Arctic.  Trousers and the blouse were known only among</w:t></w:r>
</w:p>
<w:p>
<w:pPr><w:pStyle w:val="Normal"/></w:pPr>
<w:r><w:t xml:space="preserve">the Eskimo, and it is difficult to say how much these have</w:t></w:r>
</w:p>
<w:p>
<w:pPr><w:pStyle w:val="Normal"/></w:pPr>
<w:r><w:t xml:space="preserve">been modified by contact.  Leggings and skin robes took their</w:t></w:r>
</w:p>
<w:p>
<w:pPr><w:pStyle w:val="Normal"/></w:pPr>
<w:r><w:t xml:space="preserve">place southward, giving way at last to the nearly nude.</w:t></w:r>
</w:p>
<w:p>
<w:pPr><w:pStyle w:val="Normal"/></w:pPr>
<w:r><w:t xml:space="preserve">Head coverings also were gradually tabooed south of the 49th</w:t></w:r>
</w:p>
<w:p>
<w:pPr><w:pStyle w:val="Normal"/></w:pPr>
<w:r><w:t xml:space="preserve">parallel.  Tattooing and painting the body were well-nigh</w:t></w:r>
</w:p>
<w:p>
<w:pPr><w:pStyle w:val="Normal"/></w:pPr>
<w:r><w:t xml:space="preserve">universal.  Labrets, i.e. pieces of bone, stone, shell,</w:t></w:r>
</w:p>
<w:p>
<w:pPr><w:pStyle w:val="Normal"/></w:pPr>
<w:r><w:t xml:space="preserve">&amp;c., were worn as ornaments in the lip (Latin, labrum) or</w:t></w:r>
</w:p>
<w:p>
<w:pPr><w:pStyle w:val="Normal"/></w:pPr>
<w:r><w:t xml:space="preserve">cheek by Eskimo, Tlinkit, Nahuatlas and tribes on the Brazilian</w:t></w:r>
</w:p>
<w:p>
<w:pPr><w:pStyle w:val="Normal"/></w:pPr>
<w:r><w:t xml:space="preserve">coast.  For ceremonial purposes all American tribes were expert in</w:t></w:r>
</w:p>
<w:p>
<w:pPr><w:pStyle w:val="Normal"/></w:pPr>
<w:r><w:t xml:space="preserve">masquerade and dramatic apparel.  A study of these in the historic</w:t></w:r>
</w:p>
<w:p>
<w:pPr><w:pStyle w:val="Normal"/></w:pPr>
<w:r><w:t xml:space="preserve">tribes makes plain the motives in gorgeous Mexican sculptures.</w:t></w:r>
</w:p>
<w:p>
<w:pPr><w:pStyle w:val="Normal"/></w:pPr>
<w:r><w:t xml:space="preserve">Habitation.</w:t></w:r>
</w:p>
<w:p>
<w:pPr><w:pStyle w:val="Normal"/></w:pPr>
<w:r><w:t xml:space="preserve">The tribal system of family organization, universal in America,</w:t></w:r>
</w:p>
<w:p>
<w:pPr><w:pStyle w:val="Normal"/></w:pPr>
<w:r><w:t xml:space="preserve">dominated the dwelling.  The Eskimo underground houses of</w:t></w:r>
</w:p>
<w:p>
<w:pPr><w:pStyle w:val="Normal"/></w:pPr>
<w:r><w:t xml:space="preserve">sod and snow, the Dene (Tinneh) and Sioux bunch of bark</w:t></w:r>
</w:p>
<w:p>
<w:pPr><w:pStyle w:val="Normal"/></w:pPr>
<w:r><w:t xml:space="preserve">or skin wigwams, the Pawnee earth lodge, the Iroquois long</w:t></w:r>
</w:p>
<w:p>
<w:pPr><w:pStyle w:val="Normal"/></w:pPr>
<w:r><w:t xml:space="preserve">house, the Tlinkit great plank house, the Pueblo with its</w:t></w:r>
</w:p>
<w:p>
<w:pPr><w:pStyle w:val="Normal"/></w:pPr>
<w:r><w:t xml:space="preserve">honeycomb of chambers, the small groups of thatched houses</w:t></w:r>
</w:p>
<w:p>
<w:pPr><w:pStyle w:val="Normal"/></w:pPr>
<w:r><w:t xml:space="preserve">in tropical America and the Patagonian toldos of skin are</w:t></w:r>
</w:p>
<w:p>
<w:pPr><w:pStyle w:val="Normal"/></w:pPr>
<w:r><w:t xml:space="preserve">examples.  The Indian habitation was made up of this composite</w:t></w:r>
</w:p>
<w:p>
<w:pPr><w:pStyle w:val="Normal"/></w:pPr>
<w:r><w:t xml:space="preserve">abode, with whatever out-structures and garden plots were</w:t></w:r>
</w:p>
<w:p>
<w:pPr><w:pStyle w:val="Normal"/></w:pPr>
<w:r><w:t xml:space="preserve">needed.  A group of abodes, however joined together, constituted</w:t></w:r>
</w:p>
<w:p>
<w:pPr><w:pStyle w:val="Normal"/></w:pPr>
<w:r><w:t xml:space="preserve">the village or home of the tribe, and there was added to these</w:t></w:r>
</w:p>
<w:p>
<w:pPr><w:pStyle w:val="Normal"/></w:pPr>
<w:r><w:t xml:space="preserve">a town hall or large assembly structure where men gathered and</w:t></w:r>
</w:p>
<w:p>
<w:pPr><w:pStyle w:val="Normal"/></w:pPr>
<w:r><w:t xml:space="preserve">gossiped, and where all dramatic and religious ceremonies were</w:t></w:r>
</w:p>
<w:p>
<w:pPr><w:pStyle w:val="Normal"/></w:pPr>
<w:r><w:t xml:space="preserve">held.  Powell contends that in a proper sense none of the</w:t></w:r>
</w:p>
<w:p>
<w:pPr><w:pStyle w:val="Normal"/></w:pPr>
<w:r><w:t xml:space="preserve">Indian tribes was nomadic, but that, governed by water-supply,</w:t></w:r>
</w:p>
<w:p>
<w:pPr><w:pStyle w:val="Normal"/></w:pPr>
<w:r><w:t xml:space="preserve">bad seasons and superstition (and discomfort from vermin</w:t></w:r>
</w:p>
<w:p>
<w:pPr><w:pStyle w:val="Normal"/></w:pPr>
<w:r><w:t xml:space="preserve">must be added), even the Pueblo tribes often tore down and</w:t></w:r>
</w:p>
<w:p>
<w:pPr><w:pStyle w:val="Normal"/></w:pPr>
<w:r><w:t xml:space="preserve">rebuilt their domiciles.  The fur trade, the horse, the gun,</w:t></w:r>
</w:p>
<w:p>
<w:pPr><w:pStyle w:val="Normal"/></w:pPr>
<w:r><w:t xml:space="preserve">disturbed the sedentary habit of American tribes.  Little</w:t></w:r>
</w:p>
<w:p>
<w:pPr><w:pStyle w:val="Normal"/></w:pPr>
<w:r><w:t xml:space="preserve">attention was paid to furniture.  In the smoke-infested</w:t></w:r>
</w:p>
<w:p>
<w:pPr><w:pStyle w:val="Normal"/></w:pPr>
<w:r><w:t xml:space="preserve">wigwam and hut the ground was the best place for sitting or</w:t></w:r>
</w:p>
<w:p>
<w:pPr><w:pStyle w:val="Normal"/></w:pPr>
<w:r><w:t xml:space="preserve">sleeping.  The communal houses of the Pacific coast had</w:t></w:r>
</w:p>
<w:p>
<w:pPr><w:pStyle w:val="Normal"/></w:pPr>
<w:r><w:t xml:space="preserve">bunks.  The hammock was universal in the tropics, and chairs</w:t></w:r>
</w:p>
<w:p>
<w:pPr><w:pStyle w:val="Normal"/></w:pPr>
<w:r><w:t xml:space="preserve">of wood or stone.  Eating was from the pot, with the hand or</w:t></w:r>
</w:p>
<w:p>
<w:pPr><w:pStyle w:val="Normal"/></w:pPr>
<w:r><w:t xml:space="preserve">spoon.  Tables, knives, forks and other prandial apparatus were</w:t></w:r>
</w:p>
<w:p>
<w:pPr><w:pStyle w:val="Normal"/></w:pPr>
<w:r><w:t xml:space="preserve">as lacking as they were in the palaces of kings a few centuries</w:t></w:r>
</w:p>
<w:p>
<w:pPr><w:pStyle w:val="Normal"/></w:pPr>
<w:r><w:t xml:space="preserve">before. (Morgan, Houses and House Life; Farrand, p. 286.)</w:t></w:r>
</w:p>
<w:p>
<w:pPr><w:pStyle w:val="Normal"/></w:pPr>
<w:r><w:t xml:space="preserve">Stone-working.</w:t></w:r>
</w:p>
<w:p>
<w:pPr><w:pStyle w:val="Normal"/></w:pPr>
<w:r><w:t xml:space="preserve">Stone-working was universal in America.  The tribes quarried</w:t></w:r>
</w:p>
<w:p>
<w:pPr><w:pStyle w:val="Normal"/></w:pPr>
<w:r><w:t xml:space="preserve">by means of crowbars and picks of wood and bone.  They</w:t></w:r>
</w:p>
<w:p>
<w:pPr><w:pStyle w:val="Normal"/></w:pPr>
<w:r><w:t xml:space="preserve">split the silicious rocks with stone hammers, and then</w:t></w:r>
</w:p>
<w:p>
<w:pPr><w:pStyle w:val="Normal"/></w:pPr>
<w:r><w:t xml:space="preserve">chipped them into shape with bone tools.  Soapstone for</w:t></w:r>
</w:p>
<w:p>
<w:pPr><w:pStyle w:val="Normal"/></w:pPr>
<w:r><w:t xml:space="preserve">pottery was partly cut into the desired shape in the native</w:t></w:r>
</w:p>
<w:p>
<w:pPr><w:pStyle w:val="Normal"/></w:pPr>
<w:r><w:t xml:space="preserve">ledge, broken or prised loose, and afterwards scraped into</w:t></w:r>
</w:p>
<w:p>
<w:pPr><w:pStyle w:val="Normal"/></w:pPr>
<w:r><w:t xml:space="preserve">form.  Paint was excavated with the ubiquitous digging-stick,</w:t></w:r>
</w:p>
<w:p>
<w:pPr><w:pStyle w:val="Normal"/></w:pPr>
<w:r><w:t xml:space="preserve">and rubbed fine on stones with water or grease.  For polished</w:t></w:r>
</w:p>
<w:p>
<w:pPr><w:pStyle w:val="Normal"/></w:pPr>
<w:r><w:t xml:space="preserve">stonework the material was pecked by blows, ground with other</w:t></w:r>
</w:p>
<w:p>
<w:pPr><w:pStyle w:val="Normal"/></w:pPr>
<w:r><w:t xml:space="preserve">stones, and smoothed with fine material.  Sawing was done by</w:t></w:r>
</w:p>
<w:p>
<w:pPr><w:pStyle w:val="Normal"/></w:pPr>
<w:r><w:t xml:space="preserve">means of sand or with a thin piece of harder stuff.  Boring</w:t></w:r>
</w:p>
<w:p>
<w:pPr><w:pStyle w:val="Normal"/></w:pPr>
<w:r><w:t xml:space="preserve">was effected with the sand- drill; the hardest rocks may have</w:t></w:r>
</w:p>
<w:p>
<w:pPr><w:pStyle w:val="Normal"/></w:pPr>
<w:r><w:t xml:space="preserve">been pierced with specially hard sand.  At any rate stones</w:t></w:r>
</w:p>
<w:p>
<w:pPr><w:pStyle w:val="Normal"/></w:pPr>
<w:r><w:t xml:space="preserve">were sawed, shaped, polished, carved and perforated, not</w:t></w:r>
</w:p>
<w:p>
<w:pPr><w:pStyle w:val="Normal"/></w:pPr>
<w:r><w:t xml:space="preserve">only by the Mexicans, but among other tribes.  For building</w:t></w:r>
</w:p>
<w:p>
<w:pPr><w:pStyle w:val="Normal"/></w:pPr>
<w:r><w:t xml:space="preserve">purposes stones were got out, dressed, carved and sculptured</w:t></w:r>
</w:p>
<w:p>
<w:pPr><w:pStyle w:val="Normal"/></w:pPr>
<w:r><w:t xml:space="preserve">with stone hammers and chisels made of hard and tenacious</w:t></w:r>
</w:p>
<w:p>
<w:pPr><w:pStyle w:val="Normal"/></w:pPr>
<w:r><w:t xml:space="preserve">rock.  Stone-cutters&apos; tools of metal are not known to have</w:t></w:r>
</w:p>
<w:p>
<w:pPr><w:pStyle w:val="Normal"/></w:pPr>
<w:r><w:t xml:space="preserve">existed, and they were not needed.  Their quarrying and</w:t></w:r>
</w:p>
<w:p>
<w:pPr><w:pStyle w:val="Normal"/></w:pPr>
<w:r><w:t xml:space="preserve">stone-working were most wasteful.  Those localities where</w:t></w:r>
</w:p>
<w:p>
<w:pPr><w:pStyle w:val="Normal"/></w:pPr>
<w:r><w:t xml:space="preserve">chipping was done reveal hundreds of tons of splinters and</w:t></w:r>
</w:p>
<w:p>
<w:pPr><w:pStyle w:val="Normal"/></w:pPr>
<w:r><w:t xml:space="preserve">failures, and these are often counted as ruder implements of</w:t></w:r>
</w:p>
<w:p>
<w:pPr><w:pStyle w:val="Normal"/></w:pPr>
<w:r><w:t xml:space="preserve">an earlier time.  The dressed stones for great buildings were</w:t></w:r>
</w:p>
<w:p>
<w:pPr><w:pStyle w:val="Normal"/></w:pPr>
<w:r><w:t xml:space="preserve">pecked out of the ledges, and broken off with levers in pieces</w:t></w:r>
</w:p>
<w:p>
<w:pPr><w:pStyle w:val="Normal"/></w:pPr>
<w:r><w:t xml:space="preserve">much too large for their needs. (McGuire, &quot;The Stone Hammer,&quot;</w:t></w:r>
</w:p>
<w:p>
<w:pPr><w:pStyle w:val="Normal"/></w:pPr>
<w:r><w:t xml:space="preserve">Am. Anthrop. iv., 1891; Holmes, Archaeological Studies;</w:t></w:r>
</w:p>
<w:p>
<w:pPr><w:pStyle w:val="Normal"/></w:pPr>
<w:r><w:t xml:space="preserve">see Hodge&apos;s List, Bur. Am. Ethnol., 1906, and Handbook.)</w:t></w:r>
</w:p>
<w:p>
<w:pPr><w:pStyle w:val="Normal"/></w:pPr>
<w:r><w:t xml:space="preserve">Metallurgy.</w:t></w:r>
</w:p>
<w:p>
<w:pPr><w:pStyle w:val="Normal"/></w:pPr>
<w:r><w:t xml:space="preserve">Metals were treated as malleable stones by the American</w:t></w:r>
</w:p>
<w:p>
<w:pPr><w:pStyle w:val="Normal"/></w:pPr>
<w:r><w:t xml:space="preserve">aborigines.  No evidence of smelting ores with fluxes is</w:t></w:r>
</w:p>
<w:p>
<w:pPr><w:pStyle w:val="Normal"/></w:pPr>
<w:r><w:t xml:space="preserve">offered, but casting from metal melted in open fires is</w:t></w:r>
</w:p>
<w:p>
<w:pPr><w:pStyle w:val="Normal"/></w:pPr>
<w:r><w:t xml:space="preserve">assumed.  Gold, silver, copper, pure or mixed with tin or</w:t></w:r>
</w:p>
<w:p>
<w:pPr><w:pStyle w:val="Normal"/></w:pPr>
<w:r><w:t xml:space="preserve">silver, are to be found here and there in both continents,</w:t></w:r>
</w:p>
<w:p>
<w:pPr><w:pStyle w:val="Normal"/></w:pPr>
<w:r><w:t xml:space="preserve">and nuggets were objects of worship.  Tools and appliances</w:t></w:r>
</w:p>
<w:p>
<w:pPr><w:pStyle w:val="Normal"/></w:pPr>
<w:r><w:t xml:space="preserve">for working metals were of the rudest kind, and if moulds</w:t></w:r>
</w:p>
<w:p>
<w:pPr><w:pStyle w:val="Normal"/></w:pPr>
<w:r><w:t xml:space="preserve">for casting were employed these were broken up; at least no</w:t></w:r>
</w:p>
<w:p>
<w:pPr><w:pStyle w:val="Normal"/></w:pPr>
<w:r><w:t xml:space="preserve">museum contains samples of them, and the processes are not</w:t></w:r>
</w:p>
<w:p>
<w:pPr><w:pStyle w:val="Normal"/></w:pPr>
<w:r><w:t xml:space="preserve">described.  In the Arctic and Pacific coast provinces, about Lake</w:t></w:r>
</w:p>
<w:p>
<w:pPr><w:pStyle w:val="Normal"/></w:pPr>
<w:r><w:t xml:space="preserve">Superior, in Virginia and North Carolina, as well as in ruder</w:t></w:r>
</w:p>
<w:p>
<w:pPr><w:pStyle w:val="Normal"/></w:pPr>
<w:r><w:t xml:space="preserve">parts of Mexico and South America, metals were cold-hammered</w:t></w:r>
</w:p>
<w:p>
<w:pPr><w:pStyle w:val="Normal"/></w:pPr>
<w:r><w:t xml:space="preserve">into plates, weapons, rods and wire, ground and polished,</w:t></w:r>
</w:p>
<w:p>
<w:pPr><w:pStyle w:val="Normal"/></w:pPr>
<w:r><w:t xml:space="preserve">fashioned into carved blocks of hard, tenacious stone by</w:t></w:r>
</w:p>
<w:p>
<w:pPr><w:pStyle w:val="Normal"/></w:pPr>
<w:r><w:t xml:space="preserve">pressure or blow, overlaid, cold-welded and plated.  Soldering,</w:t></w:r>
</w:p>
<w:p>
<w:pPr><w:pStyle w:val="Normal"/></w:pPr>
<w:r><w:t xml:space="preserve">brazing and the blowpipe in the Cordilleran provinces are</w:t></w:r>
</w:p>
<w:p>
<w:pPr><w:pStyle w:val="Normal"/></w:pPr>
<w:r><w:t xml:space="preserve">suspected, but the evidence of their existence must be further</w:t></w:r>
</w:p>
<w:p>
<w:pPr><w:pStyle w:val="Normal"/></w:pPr>
<w:r><w:t xml:space="preserve">examined.  A deal of study has been devoted to the cunning</w:t></w:r>
</w:p>
<w:p>
<w:pPr><w:pStyle w:val="Normal"/></w:pPr>
<w:r><w:t xml:space="preserve">Tubal Cains, the surprising productions of whose handiwork</w:t></w:r>
</w:p>
<w:p>
<w:pPr><w:pStyle w:val="Normal"/></w:pPr>
<w:r><w:t xml:space="preserve">have been recovered in the art provinces of Mexico and the</w:t></w:r>
</w:p>
<w:p>
<w:pPr><w:pStyle w:val="Normal"/></w:pPr>
<w:r><w:t xml:space="preserve">Cordilleras, especially in Chiriqui, between Costa Rica and</w:t></w:r>
</w:p>
<w:p>
<w:pPr><w:pStyle w:val="Normal"/></w:pPr>
<w:r><w:t xml:space="preserve">Colombia.  It must be admitted, however, that both the</w:t></w:r>
</w:p>
<w:p>
<w:pPr><w:pStyle w:val="Normal"/></w:pPr>
<w:r><w:t xml:space="preserve">tools and the processes have escaped the archaeologist,</w:t></w:r>
</w:p>
<w:p>
<w:pPr><w:pStyle w:val="Normal"/></w:pPr>
<w:r><w:t xml:space="preserve">as they did &quot;the ablest goldsmiths in Spain, for they</w:t></w:r>
</w:p>
<w:p>
<w:pPr><w:pStyle w:val="Normal"/></w:pPr>
<w:r><w:t xml:space="preserve">never could conceive how they had been made, there being</w:t></w:r>
</w:p>
<w:p>
<w:pPr><w:pStyle w:val="Normal"/></w:pPr>
<w:r><w:t xml:space="preserve">no sign of a hammer or an engraver or any other instrument</w:t></w:r>
</w:p>
<w:p>
<w:pPr><w:pStyle w:val="Normal"/></w:pPr>
<w:r><w:t xml:space="preserve">used by them, the Indians having none such&quot; (Herrera).</w:t></w:r>
</w:p>
<w:p>
<w:pPr><w:pStyle w:val="Normal"/></w:pPr>
<w:r><w:t xml:space="preserve">Pottery.</w:t></w:r>
</w:p>
<w:p>
<w:pPr><w:pStyle w:val="Normal"/></w:pPr>
<w:r><w:t xml:space="preserve">The potter&apos;s wheel did not exist in the western world, but</w:t></w:r>
</w:p>
<w:p>
<w:pPr><w:pStyle w:val="Normal"/></w:pPr>
<w:r><w:t xml:space="preserve">it was almost invented.  Time and muscle, knack and touch,</w:t></w:r>
</w:p>
<w:p>
<w:pPr><w:pStyle w:val="Normal"/></w:pPr>
<w:r><w:t xml:space="preserve">a trained eye and brain and an unlimited array of patterns</w:t></w:r>
</w:p>
<w:p>
<w:pPr><w:pStyle w:val="Normal"/></w:pPr>
<w:r><w:t xml:space="preserve">hanging on fancy&apos;s walls, aided by a box of dry sand, were</w:t></w:r>
</w:p>
<w:p>
<w:pPr><w:pStyle w:val="Normal"/></w:pPr>
<w:r><w:t xml:space="preserve">competent to give the charming results.  No more striking</w:t></w:r>
</w:p>
<w:p>
<w:pPr><w:pStyle w:val="Normal"/></w:pPr>
<w:r><w:t xml:space="preserve">contrast can be found between forlorn conditions and refined art</w:t></w:r>
</w:p>
<w:p>
<w:pPr><w:pStyle w:val="Normal"/></w:pPr>
<w:r><w:t xml:space="preserve">products.  Art in clay was far from universal in the two</w:t></w:r>
</w:p>
<w:p>
<w:pPr><w:pStyle w:val="Normal"/></w:pPr>
<w:r><w:t xml:space="preserve">Americas.  The Eskimo on Bering Sea had learned to model shallow</w:t></w:r>
</w:p>
<w:p>
<w:pPr><w:pStyle w:val="Normal"/></w:pPr>
<w:r><w:t xml:space="preserve">bowls for lamps.  No pottery existed in Athapascan boundaries.</w:t></w:r>
</w:p>
<w:p>
<w:pPr><w:pStyle w:val="Normal"/></w:pPr>
<w:r><w:t xml:space="preserve">Algonquin-Iroquois tribes made creditable ware in Canada and</w:t></w:r>
</w:p>
<w:p>
<w:pPr><w:pStyle w:val="Normal"/></w:pPr>
<w:r><w:t xml:space="preserve">eastern United States.  Muskhogean tribes were potters, but</w:t></w:r>
</w:p>
<w:p>
<w:pPr><w:pStyle w:val="Normal"/></w:pPr>
<w:r><w:t xml:space="preserve">Siouan tribes, as a rule, in all the Mississippi drainage were</w:t></w:r>
</w:p>
<w:p>
<w:pPr><w:pStyle w:val="Normal"/></w:pPr>
<w:r><w:t xml:space="preserve">not.  In their area, however, dwelt clay-working tribes, and</w:t></w:r>
</w:p>
<w:p>
<w:pPr><w:pStyle w:val="Normal"/></w:pPr>
<w:r><w:t xml:space="preserve">the Mandans had the art.  Moreover, the mound-builders in the</w:t></w:r>
</w:p>
<w:p>
<w:pPr><w:pStyle w:val="Normal"/></w:pPr>
<w:r><w:t xml:space="preserve">eastern half of this vast plain, being sedentary, were excellent</w:t></w:r>
</w:p>
<w:p>
<w:pPr><w:pStyle w:val="Normal"/></w:pPr>
<w:r><w:t xml:space="preserve">potters.  The efflorescence of aboriginal pottery is to be</w:t></w:r>
</w:p>
<w:p>
<w:pPr><w:pStyle w:val="Normal"/></w:pPr>
<w:r><w:t xml:space="preserve">found in the Pueblo region of south- western United States, in</w:t></w:r>
</w:p>
<w:p>
<w:pPr><w:pStyle w:val="Normal"/></w:pPr>
<w:r><w:t xml:space="preserve">Mexico, Central America, Caribbean Islands, Colombia, Ecuador,</w:t></w:r>
</w:p>
<w:p>
<w:pPr><w:pStyle w:val="Normal"/></w:pPr>
<w:r><w:t xml:space="preserve">Peru and restricted areas of eastern Brazil. (The literature</w:t></w:r>
</w:p>
<w:p>
<w:pPr><w:pStyle w:val="Normal"/></w:pPr>
<w:r><w:t xml:space="preserve">on this subject is extensive.  See Cushing, Fewkes, Holmes,</w:t></w:r>
</w:p>
<w:p>
<w:pPr><w:pStyle w:val="Normal"/></w:pPr>
<w:r><w:t xml:space="preserve">Hough, Stevenson.) On the Pacific side of the continent not</w:t></w:r>
</w:p>
<w:p>
<w:pPr><w:pStyle w:val="Normal"/></w:pPr>
<w:r><w:t xml:space="preserve">one of the forty linguistic families made pottery.  The only</w:t></w:r>
</w:p>
<w:p>
<w:pPr><w:pStyle w:val="Normal"/></w:pPr>
<w:r><w:t xml:space="preserve">workers in clay west of the Rockies and north of the Pueblo</w:t></w:r>
</w:p>
<w:p>
<w:pPr><w:pStyle w:val="Normal"/></w:pPr>
<w:r><w:t xml:space="preserve">country belonged to the Shoshonean family of the Interior Basin.</w:t></w:r>
</w:p>
<w:p>
<w:pPr><w:pStyle w:val="Normal"/></w:pPr>
<w:r><w:t xml:space="preserve">Textile industries.</w:t></w:r>
</w:p>
<w:p>
<w:pPr><w:pStyle w:val="Normal"/></w:pPr>
<w:r><w:t xml:space="preserve">The study of Indian textiles includes an account of their</w:t></w:r>
</w:p>
<w:p>
<w:pPr><w:pStyle w:val="Normal"/></w:pPr>
<w:r><w:t xml:space="preserve">fibres, tools, processes, products, ornaments and uses.  The</w:t></w:r>
</w:p>
<w:p>
<w:pPr><w:pStyle w:val="Normal"/></w:pPr>
<w:r><w:t xml:space="preserve">fibres were either animal or vegetable; animal fibres were</w:t></w:r>
</w:p>
<w:p>
<w:pPr><w:pStyle w:val="Normal"/></w:pPr>
<w:r><w:t xml:space="preserve">hair, fur on the skin, feathers, hide, sinew and intestines;</w:t></w:r>
</w:p>
<w:p>
<w:pPr><w:pStyle w:val="Normal"/></w:pPr>
<w:r><w:t xml:space="preserve">vegetable fibres were stalks of small trees, brush, straw,</w:t></w:r>
</w:p>
<w:p>
<w:pPr><w:pStyle w:val="Normal"/></w:pPr>
<w:r><w:t xml:space="preserve">cotton, bast, bark, leaves and seed vessels in great variety</w:t></w:r>
</w:p>
<w:p>
<w:pPr><w:pStyle w:val="Normal"/></w:pPr>
<w:r><w:t xml:space="preserve">as one passes from the north southward through all the culture</w:t></w:r>
</w:p>
<w:p>
<w:pPr><w:pStyle w:val="Normal"/></w:pPr>
<w:r><w:t xml:space="preserve">provinces.  The products of the textile industry in America</w:t></w:r>
</w:p>
<w:p>
<w:pPr><w:pStyle w:val="Normal"/></w:pPr>
<w:r><w:t xml:space="preserve">were bark cloth, wattling for walls, fences and weirs, paper,</w:t></w:r>
</w:p>
<w:p>
<w:pPr><w:pStyle w:val="Normal"/></w:pPr>
<w:r><w:t xml:space="preserve">basketry, matting, loom products, needle or point work,</w:t></w:r>
</w:p>
<w:p>
<w:pPr><w:pStyle w:val="Normal"/></w:pPr>
<w:r><w:t xml:space="preserve">net-work, lacework and embroidery.  In the manufacture of</w:t></w:r>
</w:p>
<w:p>
<w:pPr><w:pStyle w:val="Normal"/></w:pPr>
<w:r><w:t xml:space="preserve">these the substances were reduced to the form of slender</w:t></w:r>
</w:p>
<w:p>
<w:pPr><w:pStyle w:val="Normal"/></w:pPr>
<w:r><w:t xml:space="preserve">filaments, shreds, rods, splints, yarn, twine and sennit or</w:t></w:r>
</w:p>
<w:p>
<w:pPr><w:pStyle w:val="Normal"/></w:pPr>
<w:r><w:t xml:space="preserve">braid.  All textile work was done by hand; the only devices</w:t></w:r>
</w:p>
<w:p>
<w:pPr><w:pStyle w:val="Normal"/></w:pPr>
<w:r><w:t xml:space="preserve">known were the bark peeler and beater, the shredder, the</w:t></w:r>
</w:p>
<w:p>
<w:pPr><w:pStyle w:val="Normal"/></w:pPr>
<w:r><w:t xml:space="preserve">flint-knife, the spindle, the rope-twister, the bodkin, the</w:t></w:r>
</w:p>
<w:p>
<w:pPr><w:pStyle w:val="Normal"/></w:pPr>
<w:r><w:t xml:space="preserve">warp- beam and the most primitive harness.  The processes</w:t></w:r>
</w:p>
<w:p>
<w:pPr><w:pStyle w:val="Normal"/></w:pPr>
<w:r><w:t xml:space="preserve">involved were gathering the raw material, shredding, splitting,</w:t></w:r>
</w:p>
<w:p>
<w:pPr><w:pStyle w:val="Normal"/></w:pPr>
<w:r><w:t xml:space="preserve">gauging, wrapping, twining, spinning and braiding.  Twining</w:t></w:r>
</w:p>
<w:p>
<w:pPr><w:pStyle w:val="Normal"/></w:pPr>
<w:r><w:t xml:space="preserve">and spinning were done with the fingers of both hands, with</w:t></w:r>
</w:p>
<w:p>
<w:pPr><w:pStyle w:val="Normal"/></w:pPr>
<w:r><w:t xml:space="preserve">the palm on the thigh, with the spindle and with the twister.</w:t></w:r>
</w:p>
<w:p>
<w:pPr><w:pStyle w:val="Normal"/></w:pPr>
<w:r><w:t xml:space="preserve">Ornamentation was in form, colour, technical processes and</w:t></w:r>
</w:p>
<w:p>
<w:pPr><w:pStyle w:val="Normal"/></w:pPr>
<w:r><w:t xml:space="preserve">dyes.  The uses to which the textiles were put were for</w:t></w:r>
</w:p>
<w:p>
<w:pPr><w:pStyle w:val="Normal"/></w:pPr>
<w:r><w:t xml:space="preserve">clothing, furniture for the house, utensils for a thousand</w:t></w:r>
</w:p>
<w:p>
<w:pPr><w:pStyle w:val="Normal"/></w:pPr>
<w:r><w:t xml:space="preserve">industries, fine arts, social functions and worship.</w:t></w:r>
</w:p>
<w:p>
<w:pPr><w:pStyle w:val="Normal"/></w:pPr>
<w:r><w:t xml:space="preserve">In order to comprehend the more intricate processes of the</w:t></w:r>
</w:p>
<w:p>
<w:pPr><w:pStyle w:val="Normal"/></w:pPr>
<w:r><w:t xml:space="preserve">higher peoples it is necessary to examine the textile industry</w:t></w:r>
</w:p>
<w:p>
<w:pPr><w:pStyle w:val="Normal"/></w:pPr>
<w:r><w:t xml:space="preserve">in all of the culture areas.  It is essentially woman&apos;s work,</w:t></w:r>
</w:p>
<w:p>
<w:pPr><w:pStyle w:val="Normal"/></w:pPr>
<w:r><w:t xml:space="preserve">though among the Pueblos, strangely enough, men are weavers.</w:t></w:r>
</w:p>
<w:p>
<w:pPr><w:pStyle w:val="Normal"/></w:pPr>
<w:r><w:t xml:space="preserve">The Eskimo woman did not weave, but was expert in sewing and</w:t></w:r>
</w:p>
<w:p>
<w:pPr><w:pStyle w:val="Normal"/></w:pPr>
<w:r><w:t xml:space="preserve">embroidering with sinew thread by means of a bodkin.  The</w:t></w:r>
</w:p>
<w:p>
<w:pPr><w:pStyle w:val="Normal"/></w:pPr>
<w:r><w:t xml:space="preserve">Dene (Tinneh) peoples used strips of hide for snowshoes and</w:t></w:r>
</w:p>
<w:p>
<w:pPr><w:pStyle w:val="Normal"/></w:pPr>
<w:r><w:t xml:space="preserve">game-bags, sewed their deerskin clothing with sinew thread,</w:t></w:r>
</w:p>
<w:p>
<w:pPr><w:pStyle w:val="Normal"/></w:pPr>
<w:r><w:t xml:space="preserve">and embroidered in split quill.  Their basketry, both in Canada</w:t></w:r>
</w:p>
<w:p>
<w:pPr><w:pStyle w:val="Normal"/></w:pPr>
<w:r><w:t xml:space="preserve">and in Arizona, was coiled work.  The northern Algonquin and</w:t></w:r>
</w:p>
<w:p>
<w:pPr><w:pStyle w:val="Normal"/></w:pPr>
<w:r><w:t xml:space="preserve">Iroquoian tribes practised similar arts, and in the Atlantic</w:t></w:r>
</w:p>
<w:p>
<w:pPr><w:pStyle w:val="Normal"/></w:pPr>
<w:r><w:t xml:space="preserve">states wove robes of animal and bird skins by cutting the</w:t></w:r>
</w:p>
<w:p>
<w:pPr><w:pStyle w:val="Normal"/></w:pPr>
<w:r><w:t xml:space="preserve">latter into long strips, winding these strips on twine of</w:t></w:r>
</w:p>
<w:p>
<w:pPr><w:pStyle w:val="Normal"/></w:pPr>
<w:r><w:t xml:space="preserve">hemp, and weaving them by the same processes employed in their</w:t></w:r>
</w:p>
<w:p>
<w:pPr><w:pStyle w:val="Normal"/></w:pPr>
<w:r><w:t xml:space="preserve">basketry.  Textile work in the Sioux province was chiefly</w:t></w:r>
</w:p>
<w:p>
<w:pPr><w:pStyle w:val="Normal"/></w:pPr>
<w:r><w:t xml:space="preserve">the making of skin garments with sinew thread, but in the</w:t></w:r>
</w:p>
<w:p>
<w:pPr><w:pStyle w:val="Normal"/></w:pPr>
<w:r><w:t xml:space="preserve">Gulf states the existence of excellent cane and grasses gave</w:t></w:r>
</w:p>
<w:p>
<w:pPr><w:pStyle w:val="Normal"/></w:pPr>
<w:r><w:t xml:space="preserve">opportunity for several varieties of weaving.  On the Pacific</w:t></w:r>
</w:p>
<w:p>
<w:pPr><w:pStyle w:val="Normal"/></w:pPr>
<w:r><w:t xml:space="preserve">coast of America the efflorescence of basketry in every form</w:t></w:r>
</w:p>
<w:p>
<w:pPr><w:pStyle w:val="Normal"/></w:pPr>
<w:r><w:t xml:space="preserve">of technic was known.  This art reached down to the borders of</w:t></w:r>
</w:p>
<w:p>
<w:pPr><w:pStyle w:val="Normal"/></w:pPr>
<w:r><w:t xml:space="preserve">Mexico.  Loom-weaving in its simplest form began with the</w:t></w:r>
</w:p>
<w:p>
<w:pPr><w:pStyle w:val="Normal"/></w:pPr>
<w:r><w:t xml:space="preserve">Chilkats of Alaska, who hung the warp over a long pole, and</w:t></w:r>
</w:p>
<w:p>
<w:pPr><w:pStyle w:val="Normal"/></w:pPr>
<w:r><w:t xml:space="preserve">wrought mythological figures into their gorgeous blankets</w:t></w:r>
</w:p>
<w:p>
<w:pPr><w:pStyle w:val="Normal"/></w:pPr>
<w:r><w:t xml:space="preserve">by a process resembling tapestry work.  The forming of bird</w:t></w:r>
</w:p>
<w:p>
<w:pPr><w:pStyle w:val="Normal"/></w:pPr>
<w:r><w:t xml:space="preserve">skins, rabbit skins and feathers into robes, and all basketry</w:t></w:r>
</w:p>
<w:p>
<w:pPr><w:pStyle w:val="Normal"/></w:pPr>
<w:r><w:t xml:space="preserve">technic, existed from Vancouver Island to Central America.</w:t></w:r>
</w:p>
<w:p>
<w:pPr><w:pStyle w:val="Normal"/></w:pPr>
<w:r><w:t xml:space="preserve">In northern Mexico net-work, rude lace-work in twine, are</w:t></w:r>
</w:p>
<w:p>
<w:pPr><w:pStyle w:val="Normal"/></w:pPr>
<w:r><w:t xml:space="preserve">followed farther south, where finer material existed, by</w:t></w:r>
</w:p>
<w:p>
<w:pPr><w:pStyle w:val="Normal"/></w:pPr>
<w:r><w:t xml:space="preserve">figured weaving of most intricate type and pattern; warps</w:t></w:r>
</w:p>
<w:p>
<w:pPr><w:pStyle w:val="Normal"/></w:pPr>
<w:r><w:t xml:space="preserve">were crossed and wrapped, wefts were omitted and texture</w:t></w:r>
</w:p>
<w:p>
<w:pPr><w:pStyle w:val="Normal"/></w:pPr>
<w:r><w:t xml:space="preserve">changed, so as to produce marvellous effects upon the</w:t></w:r>
</w:p>
<w:p>
<w:pPr><w:pStyle w:val="Normal"/></w:pPr>
<w:r><w:t xml:space="preserve">surface.  This composite art reached its climax in Peru,</w:t></w:r>
</w:p>
<w:p>
<w:pPr><w:pStyle w:val="Normal"/></w:pPr>
<w:r><w:t xml:space="preserve">the llama wool affording the finest staple on the whole</w:t></w:r>
</w:p>
<w:p>
<w:pPr><w:pStyle w:val="Normal"/></w:pPr>
<w:r><w:t xml:space="preserve">hemisphere.  Textile work in other parts of South America</w:t></w:r>
</w:p>
<w:p>
<w:pPr><w:pStyle w:val="Normal"/></w:pPr>
<w:r><w:t xml:space="preserve">did not differ from that of the Southern states of the</w:t></w:r>
</w:p>
<w:p>
<w:pPr><w:pStyle w:val="Normal"/></w:pPr>
<w:r><w:t xml:space="preserve">Union.  The addition of brilliant ornamentation in shell,</w:t></w:r>
</w:p>
<w:p>
<w:pPr><w:pStyle w:val="Normal"/></w:pPr>
<w:r><w:t xml:space="preserve">teeth, feathers, wings of insects and dyed fibres completed</w:t></w:r>
</w:p>
<w:p>
<w:pPr><w:pStyle w:val="Normal"/></w:pPr>
<w:r><w:t xml:space="preserve">the round of the textile art.  A peculiar type of coiled</w:t></w:r>
</w:p>
<w:p>
<w:pPr><w:pStyle w:val="Normal"/></w:pPr>
<w:r><w:t xml:space="preserve">basketry is found at the Strait of Magellan, but the</w:t></w:r>
</w:p>
<w:p>
<w:pPr><w:pStyle w:val="Normal"/></w:pPr>
<w:r><w:t xml:space="preserve">motives are not American. (Consult the works of Boas,</w:t></w:r>
</w:p>
<w:p>
<w:pPr><w:pStyle w:val="Normal"/></w:pPr>
<w:r><w:t xml:space="preserve">Dixon, G. T. Emmons, Holmes, Otis T. Mason, Matthews, John</w:t></w:r>
</w:p>
<w:p>
<w:pPr><w:pStyle w:val="Normal"/></w:pPr>
<w:r><w:t xml:space="preserve">Murdoch, E. W. Nelson, A. P. Niblack, Lucien M. Turner.)</w:t></w:r>
</w:p>
<w:p>
<w:pPr><w:pStyle w:val="Normal"/></w:pPr>
<w:r><w:t xml:space="preserve">Zootechny.</w:t></w:r>
</w:p>
<w:p>
<w:pPr><w:pStyle w:val="Normal"/></w:pPr>
<w:r><w:t xml:space="preserve">Since most American tribes lived upon flesh, the activities of</w:t></w:r>
</w:p>
<w:p>
<w:pPr><w:pStyle w:val="Normal"/></w:pPr>
<w:r><w:t xml:space="preserve">life were associated with the animal world.  These activities</w:t></w:r>
</w:p>
<w:p>
<w:pPr><w:pStyle w:val="Normal"/></w:pPr>
<w:r><w:t xml:space="preserve">were not confined to the land, but had to do also with those</w:t></w:r>
</w:p>
<w:p>
<w:pPr><w:pStyle w:val="Normal"/></w:pPr>
<w:r><w:t xml:space="preserve">littoral meadows where invertebrate and vertebrate marine</w:t></w:r>
</w:p>
<w:p>
<w:pPr><w:pStyle w:val="Normal"/></w:pPr>
<w:r><w:t xml:space="preserve">animals fed in unlimited numbers.  An account of savage life,</w:t></w:r>
</w:p>
<w:p>
<w:pPr><w:pStyle w:val="Normal"/></w:pPr>
<w:r><w:t xml:space="preserve">therefore, includes the knowledge of the animal life of America</w:t></w:r>
</w:p>
<w:p>
<w:pPr><w:pStyle w:val="Normal"/></w:pPr>
<w:r><w:t xml:space="preserve">and its distribution, regarding the continent, not only as a</w:t></w:r>
</w:p>
<w:p>
<w:pPr><w:pStyle w:val="Normal"/></w:pPr>
<w:r><w:t xml:space="preserve">whole, but in those natural history provinces and migrations</w:t></w:r>
</w:p>
<w:p>
<w:pPr><w:pStyle w:val="Normal"/></w:pPr>
<w:r><w:t xml:space="preserve">which governed and characterized the activities of the</w:t></w:r>
</w:p>
<w:p>
<w:pPr><w:pStyle w:val="Normal"/></w:pPr>
<w:r><w:t xml:space="preserve">peoples.  This study would include industries connected with</w:t></w:r>
</w:p>
<w:p>
<w:pPr><w:pStyle w:val="Normal"/></w:pPr>
<w:r><w:t xml:space="preserve">capture, those that worked up into products the results of</w:t></w:r>
</w:p>
<w:p>
<w:pPr><w:pStyle w:val="Normal"/></w:pPr>
<w:r><w:t xml:space="preserve">capture, the social organizations and labours which were</w:t></w:r>
</w:p>
<w:p>
<w:pPr><w:pStyle w:val="Normal"/></w:pPr>
<w:r><w:t xml:space="preserve">involved in pursuit of animals, the language, skill, inventions</w:t></w:r>
</w:p>
<w:p>
<w:pPr><w:pStyle w:val="Normal"/></w:pPr>
<w:r><w:t xml:space="preserve">and knowledge resulting therefrom, and, finally, the religious</w:t></w:r>
</w:p>
<w:p>
<w:pPr><w:pStyle w:val="Normal"/></w:pPr>
<w:r><w:t xml:space="preserve">conception united with the animal world, which has been named</w:t></w:r>
</w:p>
<w:p>
<w:pPr><w:pStyle w:val="Normal"/></w:pPr>
<w:r><w:t xml:space="preserve">zootheism.  In the capture of animals would be involved the</w:t></w:r>
</w:p>
<w:p>
<w:pPr><w:pStyle w:val="Normal"/></w:pPr>
<w:r><w:t xml:space="preserve">pedagogic influence of animal life; the engineering embraced</w:t></w:r>
</w:p>
<w:p>
<w:pPr><w:pStyle w:val="Normal"/></w:pPr>
<w:r><w:t xml:space="preserve">in taking them in large numbers; the cunning and strategy</w:t></w:r>
</w:p>
<w:p>
<w:pPr><w:pStyle w:val="Normal"/></w:pPr>
<w:r><w:t xml:space="preserve">necessary to hunters so poorly armed giving rise to disguises</w:t></w:r>
</w:p>
<w:p>
<w:pPr><w:pStyle w:val="Normal"/></w:pPr>
<w:r><w:t xml:space="preserve">and lures of many kinds.  Capture begins among the lower tribes</w:t></w:r>
</w:p>
<w:p>
<w:pPr><w:pStyle w:val="Normal"/></w:pPr>
<w:r><w:t xml:space="preserve">with the hand, without devices, developing knack and skill in</w:t></w:r>
</w:p>
<w:p>
<w:pPr><w:pStyle w:val="Normal"/></w:pPr>
<w:r><w:t xml:space="preserve">seizing, pursuing, climbing, swimming, and maiming without</w:t></w:r>
</w:p>
<w:p>
<w:pPr><w:pStyle w:val="Normal"/></w:pPr>
<w:r><w:t xml:space="preserve">weapons; and proceeds to gathering with devices that take the</w:t></w:r>
</w:p>
<w:p>
<w:pPr><w:pStyle w:val="Normal"/></w:pPr>
<w:r><w:t xml:space="preserve">place of the hand in dipping, digging, hooking and grasping;</w:t></w:r>
</w:p>
<w:p>
<w:pPr><w:pStyle w:val="Normal"/></w:pPr>
<w:r><w:t xml:space="preserve">weapons for striking, whether clubs, missiles or projectiles;</w:t></w:r>
</w:p>
<w:p>
<w:pPr><w:pStyle w:val="Normal"/></w:pPr>
<w:r><w:t xml:space="preserve">edged weapons of capture, which were rare in America; piercing</w:t></w:r>
</w:p>
<w:p>
<w:pPr><w:pStyle w:val="Normal"/></w:pPr>
<w:r><w:t xml:space="preserve">devices for capture, in lances, barbed spears, harpoons and</w:t></w:r>
</w:p>
<w:p>
<w:pPr><w:pStyle w:val="Normal"/></w:pPr>
<w:r><w:t xml:space="preserve">arrows; traps for enclosing, arresting and killing, such as</w:t></w:r>
</w:p>
<w:p>
<w:pPr><w:pStyle w:val="Normal"/></w:pPr>
<w:r><w:t xml:space="preserve">pens, cages, pits, pen-falls, nets, hooks, nooses, clutches,</w:t></w:r>
</w:p>
<w:p>
<w:pPr><w:pStyle w:val="Normal"/></w:pPr>
<w:r><w:t xml:space="preserve">adhesives, deadfalls, impalers, knife traps and poisons;</w:t></w:r>
</w:p>
<w:p>
<w:pPr><w:pStyle w:val="Normal"/></w:pPr>
<w:r><w:t xml:space="preserve">animals consciously and unconsciously aiding in capture; fire</w:t></w:r>
</w:p>
<w:p>
<w:pPr><w:pStyle w:val="Normal"/></w:pPr>
<w:r><w:t xml:space="preserve">in the form of torches, beacons, burning out and smoking out;</w:t></w:r>
</w:p>
<w:p>
<w:pPr><w:pStyle w:val="Normal"/></w:pPr>
<w:r><w:t xml:space="preserve">poisons and asphyxiators; the accessories to hunting, including</w:t></w:r>
</w:p>
<w:p>
<w:pPr><w:pStyle w:val="Normal"/></w:pPr>
<w:r><w:t xml:space="preserve">such changes in food, dress, shelter, travelling, packing,</w:t></w:r>
</w:p>
<w:p>
<w:pPr><w:pStyle w:val="Normal"/></w:pPr>
<w:r><w:t xml:space="preserve">mechanical tools and intellectual apparatus as demanded by</w:t></w:r>
</w:p>
<w:p>
<w:pPr><w:pStyle w:val="Normal"/></w:pPr>
<w:r><w:t xml:space="preserve">these arts.  Finally, in this connexion, the first steps in</w:t></w:r>
</w:p>
<w:p>
<w:pPr><w:pStyle w:val="Normal"/></w:pPr>
<w:r><w:t xml:space="preserve">domestication, beginning with the improvement of natural</w:t></w:r>
</w:p>
<w:p>
<w:pPr><w:pStyle w:val="Normal"/></w:pPr>
<w:r><w:t xml:space="preserve">corrals or spawning ground, and hunting with trained dogs and</w:t></w:r>
</w:p>
<w:p>
<w:pPr><w:pStyle w:val="Normal"/></w:pPr>
<w:r><w:t xml:space="preserve">animals.  Zootechnic products include food, clothing, ornaments,</w:t></w:r>
</w:p>
<w:p>
<w:pPr><w:pStyle w:val="Normal"/></w:pPr>
<w:r><w:t xml:space="preserve">habitations, weapons, industrial tools, textiles, money, &amp;c.</w:t></w:r>
</w:p>
<w:p>
<w:pPr><w:pStyle w:val="Normal"/></w:pPr>
<w:r><w:t xml:space="preserve">In sociology the dependence of the American tribes upon</w:t></w:r>
</w:p>
<w:p>
<w:pPr><w:pStyle w:val="Normal"/></w:pPr>
<w:r><w:t xml:space="preserve">the animal world becomes most apparent.  A great majority</w:t></w:r>
</w:p>
<w:p>
<w:pPr><w:pStyle w:val="Normal"/></w:pPr>
<w:r><w:t xml:space="preserve">of all the family names in America were from animal</w:t></w:r>
</w:p>
<w:p>
<w:pPr><w:pStyle w:val="Normal"/></w:pPr>
<w:r><w:t xml:space="preserve">totems.  The division of labour among the sexes was based on</w:t></w:r>
</w:p>
<w:p>
<w:pPr><w:pStyle w:val="Normal"/></w:pPr>
<w:r><w:t xml:space="preserve">zootechny.  Labour organizations for hunting, communal</w:t></w:r>
</w:p>
<w:p>
<w:pPr><w:pStyle w:val="Normal"/></w:pPr>
<w:r><w:t xml:space="preserve">hunt and migrations had to do with the animal world.</w:t></w:r>
</w:p>
<w:p>
<w:pPr><w:pStyle w:val="Normal"/></w:pPr>
<w:r><w:t xml:space="preserve">In the duel between the hunter and the beast-mind the</w:t></w:r>
</w:p>
<w:p>
<w:pPr><w:pStyle w:val="Normal"/></w:pPr>
<w:r><w:t xml:space="preserve">intellectual powers of perception, memory, reason and will</w:t></w:r>
</w:p>
<w:p>
<w:pPr><w:pStyle w:val="Normal"/></w:pPr>
<w:r><w:t xml:space="preserve">were developed; experience and knowledge by experience were</w:t></w:r>
</w:p>
<w:p>
<w:pPr><w:pStyle w:val="Normal"/></w:pPr>
<w:r><w:t xml:space="preserve">enlarged, language and the graphic arts were fostered, the</w:t></w:r>
</w:p>
<w:p>
<w:pPr><w:pStyle w:val="Normal"/></w:pPr>
<w:r><w:t xml:space="preserve">inventive faculty was evoked and developed, and primitive</w:t></w:r>
</w:p>
<w:p>
<w:pPr><w:pStyle w:val="Normal"/></w:pPr>
<w:r><w:t xml:space="preserve">science was fostered in the unfolding of numbers, metrics,</w:t></w:r>
</w:p>
<w:p>
<w:pPr><w:pStyle w:val="Normal"/></w:pPr>
<w:r><w:t xml:space="preserve">clocks, astronomy, history and the philosophy of causation.</w:t></w:r>
</w:p>
<w:p>
<w:pPr><w:pStyle w:val="Normal"/></w:pPr>
<w:r><w:t xml:space="preserve">Beliefs and practices with reference to the heavenly world</w:t></w:r>
</w:p>
<w:p>
<w:pPr><w:pStyle w:val="Normal"/></w:pPr>
<w:r><w:t xml:space="preserve">were inspired by zoic activities; its location, scenery and</w:t></w:r>
</w:p>
<w:p>
<w:pPr><w:pStyle w:val="Normal"/></w:pPr>
<w:r><w:t xml:space="preserve">environment were the homes of beast gods.  It was largely a</w:t></w:r>
</w:p>
<w:p>
<w:pPr><w:pStyle w:val="Normal"/></w:pPr>
<w:r><w:t xml:space="preserve">zoopantheon; thus zootheism influenced the organization of</w:t></w:r>
</w:p>
<w:p>
<w:pPr><w:pStyle w:val="Normal"/></w:pPr>
<w:r><w:t xml:space="preserve">tribes and societies in the tribes.  The place, furniture,</w:t></w:r>
</w:p>
<w:p>
<w:pPr><w:pStyle w:val="Normal"/></w:pPr>
<w:r><w:t xml:space="preserve">liturgies and apparatus of worship were hereby suggested.</w:t></w:r>
</w:p>
<w:p>
<w:pPr><w:pStyle w:val="Normal"/></w:pPr>
<w:r><w:t xml:space="preserve">Myths, folk-lore, hunting charms, fetishes, superstitions</w:t></w:r>
</w:p>
<w:p>
<w:pPr><w:pStyle w:val="Normal"/></w:pPr>
<w:r><w:t xml:space="preserve">and customs were based on the same idea. (For life zones, see</w:t></w:r>
</w:p>
<w:p>
<w:pPr><w:pStyle w:val="Heading1"/></w:pPr>
<w:r><w:t>C. H. Merriam, Biol.  Survey, U.S. Dept. of Agriculture.)</w:t></w:r>
</w:p>
<w:p>
<w:pPr><w:pStyle w:val="Normal"/></w:pPr>
<w:r><w:t xml:space="preserve">Travel.</w:t></w:r>
</w:p>
<w:p>
<w:pPr><w:pStyle w:val="Normal"/></w:pPr>
<w:r><w:t xml:space="preserve">Excepting for extensive and rapid travel over the snow in</w:t></w:r>
</w:p>
<w:p>
<w:pPr><w:pStyle w:val="Normal"/></w:pPr>
<w:r><w:t xml:space="preserve">the Arctic regions by means of dog sleds, the extremely</w:t></w:r>
</w:p>
<w:p>
<w:pPr><w:pStyle w:val="Normal"/></w:pPr>
<w:r><w:t xml:space="preserve">limited transportation by dog travail (or sledge) in the</w:t></w:r>
</w:p>
<w:p>
<w:pPr><w:pStyle w:val="Normal"/></w:pPr>
<w:r><w:t xml:space="preserve">Sioux province, and the use of the llama as a beast of burden</w:t></w:r>
</w:p>
<w:p>
<w:pPr><w:pStyle w:val="Normal"/></w:pPr>
<w:r><w:t xml:space="preserve">throughout the Peruvian highlands, land travel was on foot,</w:t></w:r>
</w:p>
<w:p>
<w:pPr><w:pStyle w:val="Normal"/></w:pPr>
<w:r><w:t xml:space="preserve">and land transportation on the backs of men and women.  One</w:t></w:r>
</w:p>
<w:p>
<w:pPr><w:pStyle w:val="Normal"/></w:pPr>
<w:r><w:t xml:space="preserve">of the most interesting topics of study is the trails along</w:t></w:r>
</w:p>
<w:p>
<w:pPr><w:pStyle w:val="Normal"/></w:pPr>
<w:r><w:t xml:space="preserve">which the seasonal and annual migrations of tribes occurred,</w:t></w:r>
</w:p>
<w:p>
<w:pPr><w:pStyle w:val="Normal"/></w:pPr>
<w:r><w:t xml:space="preserve">becoming in Peru the paved road, with suspension bridges and</w:t></w:r>
</w:p>
<w:p>
<w:pPr><w:pStyle w:val="Normal"/></w:pPr>
<w:r><w:t xml:space="preserve">wayside inns, or tambos.  In Mexico, and in Peru especially,</w:t></w:r>
</w:p>
<w:p>
<w:pPr><w:pStyle w:val="Normal"/></w:pPr>
<w:r><w:t xml:space="preserve">the human back was utilized to its utmost extent, and in</w:t></w:r>
</w:p>
<w:p>
<w:pPr><w:pStyle w:val="Normal"/></w:pPr>
<w:r><w:t xml:space="preserve">most parts of America harness adapted for carrying was made</w:t></w:r>
</w:p>
<w:p>
<w:pPr><w:pStyle w:val="Normal"/></w:pPr>
<w:r><w:t xml:space="preserve">and frequently decorated with the best art.  In the Mexican</w:t></w:r>
</w:p>
<w:p>
<w:pPr><w:pStyle w:val="Normal"/></w:pPr>
<w:r><w:t xml:space="preserve">codices pictures of men and women carrying are plentiful.</w:t></w:r>
</w:p>
<w:p>
<w:pPr><w:pStyle w:val="Normal"/></w:pPr>
<w:r><w:t xml:space="preserve">Travelling on the water was an important activity in aboriginal</w:t></w:r>
</w:p>
<w:p>
<w:pPr><w:pStyle w:val="Normal"/></w:pPr>
<w:r><w:t xml:space="preserve">times.  Hundreds of thousands of miles of inland waters</w:t></w:r>
</w:p>
<w:p>
<w:pPr><w:pStyle w:val="Normal"/></w:pPr>
<w:r><w:t xml:space="preserve">and archipelagoes were traversed.  Commencing in the Arctic</w:t></w:r>
</w:p>
<w:p>
<w:pPr><w:pStyle w:val="Normal"/></w:pPr>
<w:r><w:t xml:space="preserve">region, the Eskimo in his kayak, consisting of a framework</w:t></w:r>
</w:p>
<w:p>
<w:pPr><w:pStyle w:val="Normal"/></w:pPr>
<w:r><w:t xml:space="preserve">of driftwood or bone covered with dressed sealskin, could</w:t></w:r>
</w:p>
<w:p>
<w:pPr><w:pStyle w:val="Normal"/></w:pPr>
<w:r><w:t xml:space="preserve">paddle down east Greenland, up the west shore to Smith Sound,</w:t></w:r>
</w:p>
<w:p>
<w:pPr><w:pStyle w:val="Normal"/></w:pPr>
<w:r><w:t xml:space="preserve">along Baffin Land and Labrador, and the shores of Hudson Bay</w:t></w:r>
</w:p>
<w:p>
<w:pPr><w:pStyle w:val="Normal"/></w:pPr>
<w:r><w:t xml:space="preserve">throughout insular Canada and the Alaskan coast, around to</w:t></w:r>
</w:p>
<w:p>
<w:pPr><w:pStyle w:val="Normal"/></w:pPr>
<w:r><w:t xml:space="preserve">Mount St Elias, and for many miles on the eastern shore of</w:t></w:r>
</w:p>
<w:p>
<w:pPr><w:pStyle w:val="Normal"/></w:pPr>
<w:r><w:t xml:space="preserve">Asia.  In addition to this most delicate and rapid craft,</w:t></w:r>
</w:p>
<w:p>
<w:pPr><w:pStyle w:val="Normal"/></w:pPr>
<w:r><w:t xml:space="preserve">he had his umiak or freight boat, sometimes called woman&apos;s</w:t></w:r>
</w:p>
<w:p>
<w:pPr><w:pStyle w:val="Normal"/></w:pPr>
<w:r><w:t xml:space="preserve">boat.  The Athapascan covered all north-western Canada with</w:t></w:r>
</w:p>
<w:p>
<w:pPr><w:pStyle w:val="Normal"/></w:pPr>
<w:r><w:t xml:space="preserve">his open and portable birch-bark canoe, somewhat resembling the</w:t></w:r>
</w:p>
<w:p>
<w:pPr><w:pStyle w:val="Normal"/></w:pPr>
<w:r><w:t xml:space="preserve">kayak in finish.  The Algonquin-Iroquois took up the journey</w:t></w:r>
</w:p>
<w:p>
<w:pPr><w:pStyle w:val="Normal"/></w:pPr>
<w:r><w:t xml:space="preserve">at Bear Lake and its tributaries, and by means of paddling</w:t></w:r>
</w:p>
<w:p>
<w:pPr><w:pStyle w:val="Normal"/></w:pPr>
<w:r><w:t xml:space="preserve">and portages traversed the area of middle and eastern Canada,</w:t></w:r>
</w:p>
<w:p>
<w:pPr><w:pStyle w:val="Normal"/></w:pPr>
<w:r><w:t xml:space="preserve">including the entire St Lawrence drainage.  The absence of good</w:t></w:r>
</w:p>
<w:p>
<w:pPr><w:pStyle w:val="Normal"/></w:pPr>
<w:r><w:t xml:space="preserve">bark, dugout timber, and chisels of stone deprived the whole</w:t></w:r>
</w:p>
<w:p>
<w:pPr><w:pStyle w:val="Normal"/></w:pPr>
<w:r><w:t xml:space="preserve">Mississippi valley of creditable water-craft, and reduced</w:t></w:r>
</w:p>
<w:p>
<w:pPr><w:pStyle w:val="Normal"/></w:pPr>
<w:r><w:t xml:space="preserve">the natives to the clumsy trough for a dugout and miserable</w:t></w:r>
</w:p>
<w:p>
<w:pPr><w:pStyle w:val="Normal"/></w:pPr>
<w:r><w:t xml:space="preserve">bull-boat, made by stretching dressed buffalo hide over a</w:t></w:r>
</w:p>
<w:p>
<w:pPr><w:pStyle w:val="Normal"/></w:pPr>
<w:r><w:t xml:space="preserve">crate.  On the Atlantic coast of the United States the dugout</w:t></w:r>
</w:p>
<w:p>
<w:pPr><w:pStyle w:val="Normal"/></w:pPr>
<w:r><w:t xml:space="preserve">was improved in form where the waters were more disturbed.  John</w:t></w:r>
</w:p>
<w:p>
<w:pPr><w:pStyle w:val="Normal"/></w:pPr>
<w:r><w:t xml:space="preserve">Smith&apos;s Indians had a fleet of dugouts.  The same may be said</w:t></w:r>
</w:p>
<w:p>
<w:pPr><w:pStyle w:val="Normal"/></w:pPr>
<w:r><w:t xml:space="preserve">of the Gulf states tribes, although they added rafts made of</w:t></w:r>
</w:p>
<w:p>
<w:pPr><w:pStyle w:val="Normal"/></w:pPr>
<w:r><w:t xml:space="preserve">reed.  Along the archipelagoes of the North Pacific coast, from</w:t></w:r>
</w:p>
<w:p>
<w:pPr><w:pStyle w:val="Normal"/></w:pPr>
<w:r><w:t xml:space="preserve">Mount St Elias to the Columbia river, the dugout attained its</w:t></w:r>
</w:p>
<w:p>
<w:pPr><w:pStyle w:val="Normal"/></w:pPr>
<w:r><w:t xml:space="preserve">best.  The Columbia river canoe resembled that of the Amur, the</w:t></w:r>
</w:p>
<w:p>
<w:pPr><w:pStyle w:val="Normal"/></w:pPr>
<w:r><w:t xml:space="preserve">bow and stern being pointed at the water-line.  Poor dugouts and</w:t></w:r>
</w:p>
<w:p>
<w:pPr><w:pStyle w:val="Normal"/></w:pPr>
<w:r><w:t xml:space="preserve">rafts, made by tying reeds together, constituted the water-craft</w:t></w:r>
</w:p>
<w:p>
<w:pPr><w:pStyle w:val="Normal"/></w:pPr>
<w:r><w:t xml:space="preserve">of California and Mexico until Central America is reached.</w:t></w:r>
</w:p>
<w:p>
<w:pPr><w:pStyle w:val="Normal"/></w:pPr>
<w:r><w:t xml:space="preserve">The Caribs were the Haidas of the Caribbean Sea and</w:t></w:r>
</w:p>
<w:p>
<w:pPr><w:pStyle w:val="Normal"/></w:pPr>
<w:r><w:t xml:space="preserve">northern South America.  Their craft would vie in form, in</w:t></w:r>
</w:p>
<w:p>
<w:pPr><w:pStyle w:val="Normal"/></w:pPr>
<w:r><w:t xml:space="preserve">size, and seaworthiness with those of the North Pacific</w:t></w:r>
</w:p>
<w:p>
<w:pPr><w:pStyle w:val="Normal"/></w:pPr>
<w:r><w:t xml:space="preserve">coast.  The catamaran and the reed boat were known to the</w:t></w:r>
</w:p>
<w:p>
<w:pPr><w:pStyle w:val="Normal"/></w:pPr>
<w:r><w:t xml:space="preserve">Peruvians.  The tribes of Venezuela and Guiana, according</w:t></w:r>
</w:p>
<w:p>
<w:pPr><w:pStyle w:val="Normal"/></w:pPr>
<w:r><w:t xml:space="preserve">to Im Thurn, had both the dugout and the built-up hull.</w:t></w:r>
</w:p>
<w:p>
<w:pPr><w:pStyle w:val="Normal"/></w:pPr>
<w:r><w:t xml:space="preserve">The simplest form of navigation in Brazil was the woodskin,</w:t></w:r>
</w:p>
<w:p>
<w:pPr><w:pStyle w:val="Normal"/></w:pPr>
<w:r><w:t xml:space="preserve">a piece of bark stripped from a tree and crimped at the</w:t></w:r>
</w:p>
<w:p>
<w:pPr><w:pStyle w:val="Normal"/></w:pPr>
<w:r><w:t xml:space="preserve">ends.  The sangada, with its platform and sail, belonging to</w:t></w:r>
</w:p>
<w:p>
<w:pPr><w:pStyle w:val="Normal"/></w:pPr>
<w:r><w:t xml:space="preserve">the Brazilian coast, is spoken of as a good seaworthy craft.</w:t></w:r>
</w:p>
<w:p>
<w:pPr><w:pStyle w:val="Normal"/></w:pPr>
<w:r><w:t xml:space="preserve">Finally, the Fuegian bark canoe, made in three pieces so that</w:t></w:r>
</w:p>
<w:p>
<w:pPr><w:pStyle w:val="Normal"/></w:pPr>
<w:r><w:t xml:space="preserve">it can be taken apart and transported over hills and sewed</w:t></w:r>
</w:p>
<w:p>
<w:pPr><w:pStyle w:val="Normal"/></w:pPr>
<w:r><w:t xml:space="preserve">together, ends the series.  The American craft was propelled</w:t></w:r>
</w:p>
<w:p>
<w:pPr><w:pStyle w:val="Normal"/></w:pPr>
<w:r><w:t xml:space="preserve">by poling, paddling, rowing, and by rude sails of matting.</w:t></w:r>
</w:p>
<w:p>
<w:pPr><w:pStyle w:val="Normal"/></w:pPr>
<w:r><w:t xml:space="preserve">Fine art.</w:t></w:r>
</w:p>
<w:p>
<w:pPr><w:pStyle w:val="Normal"/></w:pPr>
<w:r><w:t xml:space="preserve">The aesthetic arts of the American aborigines cannot be</w:t></w:r>
</w:p>
<w:p>
<w:pPr><w:pStyle w:val="Normal"/></w:pPr>
<w:r><w:t xml:space="preserve">studied apart from their languages, industries, social</w:t></w:r>
</w:p>
<w:p>
<w:pPr><w:pStyle w:val="Normal"/></w:pPr>
<w:r><w:t xml:space="preserve">organizations, lore and worships.  Art was limited most of all</w:t></w:r>
</w:p>
<w:p>
<w:pPr><w:pStyle w:val="Normal"/></w:pPr>
<w:r><w:t xml:space="preserve">by poverty in technical appliances.  There were just as good</w:t></w:r>
</w:p>
<w:p>
<w:pPr><w:pStyle w:val="Normal"/></w:pPr>
<w:r><w:t xml:space="preserve">materials and inspirations, but what could the best of them</w:t></w:r>
</w:p>
<w:p>
<w:pPr><w:pStyle w:val="Normal"/></w:pPr>
<w:r><w:t xml:space="preserve">do without metal tools? One and all skilful to a surpassing</w:t></w:r>
</w:p>
<w:p>
<w:pPr><w:pStyle w:val="Normal"/></w:pPr>
<w:r><w:t xml:space="preserve">degree--weavers, embroiderers, potters, painters, engravers,</w:t></w:r>
</w:p>
<w:p>
<w:pPr><w:pStyle w:val="Normal"/></w:pPr>
<w:r><w:t xml:space="preserve">carvers, sculptors and jewellers,--they were wearied by</w:t></w:r>
</w:p>
<w:p>
<w:pPr><w:pStyle w:val="Normal"/></w:pPr>
<w:r><w:t xml:space="preserve">drudgery and overpowered by a never-absent, weird and grotesque</w:t></w:r>
</w:p>
<w:p>
<w:pPr><w:pStyle w:val="Normal"/></w:pPr>
<w:r><w:t xml:space="preserve">theology.  The Eskimo engraved poorly, the Dene (Tinneh)</w:t></w:r>
</w:p>
<w:p>
<w:pPr><w:pStyle w:val="Normal"/></w:pPr>
<w:r><w:t xml:space="preserve">embroidered in quill, the North Pacific tribes carved skilfully</w:t></w:r>
</w:p>
<w:p>
<w:pPr><w:pStyle w:val="Normal"/></w:pPr>
<w:r><w:t xml:space="preserve">in horn, slate and cedar, the California tribes had nimble</w:t></w:r>
</w:p>
<w:p>
<w:pPr><w:pStyle w:val="Normal"/></w:pPr>
<w:r><w:t xml:space="preserve">fingers for basketry, the Sioux gloried in feathers and painted</w:t></w:r>
</w:p>
<w:p>
<w:pPr><w:pStyle w:val="Normal"/></w:pPr>
<w:r><w:t xml:space="preserve">parfleche.  The mound builders, Pueblo tribes, middle Americans</w:t></w:r>
</w:p>
<w:p>
<w:pPr><w:pStyle w:val="Normal"/></w:pPr>
<w:r><w:t xml:space="preserve">and Peruvians, were potters of many schools; gorgeous colour</w:t></w:r>
</w:p>
<w:p>
<w:pPr><w:pStyle w:val="Normal"/></w:pPr>
<w:r><w:t xml:space="preserve">fascinated the Amazonians, the Patagonians delighted in skins,</w:t></w:r>
</w:p>
<w:p>
<w:pPr><w:pStyle w:val="Normal"/></w:pPr>
<w:r><w:t xml:space="preserve">and even the Fuegians saw beauty in the pretty snail shells</w:t></w:r>
</w:p>
<w:p>
<w:pPr><w:pStyle w:val="Normal"/></w:pPr>
<w:r><w:t xml:space="preserve">of their desolate island shores.  Of the Mexican and Central</w:t></w:r>
</w:p>
<w:p>
<w:pPr><w:pStyle w:val="Normal"/></w:pPr>
<w:r><w:t xml:space="preserve">American sculpture and architecture a competent judge says</w:t></w:r>
</w:p>
<w:p>
<w:pPr><w:pStyle w:val="Normal"/></w:pPr>
<w:r><w:t xml:space="preserve">that Yucatan and the southern states of Mexico are not rich</w:t></w:r>
</w:p>
<w:p>
<w:pPr><w:pStyle w:val="Normal"/></w:pPr>
<w:r><w:t xml:space="preserve">in sculptures, apart from architecture; but in the valley of</w:t></w:r>
</w:p>
<w:p>
<w:pPr><w:pStyle w:val="Normal"/></w:pPr>
<w:r><w:t xml:space="preserve">Mexico the human figure, animal forms, fanciful life motives</w:t></w:r>
</w:p>
<w:p>
<w:pPr><w:pStyle w:val="Normal"/></w:pPr>
<w:r><w:t xml:space="preserve">in endless variety, were embodied in masks, yokes, tablets,</w:t></w:r>
</w:p>
<w:p>
<w:pPr><w:pStyle w:val="Normal"/></w:pPr>
<w:r><w:t xml:space="preserve">calendars, cylinders, disks, boxes, vases and ornaments.</w:t></w:r>
</w:p>
<w:p>
<w:pPr><w:pStyle w:val="Normal"/></w:pPr>
<w:r><w:t xml:space="preserve">The Nahuatl lapidaries had at hand many varieties of workable</w:t></w:r>
</w:p>
<w:p>
<w:pPr><w:pStyle w:val="Normal"/></w:pPr>
<w:r><w:t xml:space="preserve">and beautiful stone--onyx, marble, limestone, quartz and</w:t></w:r>
</w:p>
<w:p>
<w:pPr><w:pStyle w:val="Normal"/></w:pPr>
<w:r><w:t xml:space="preserve">quartz crystal, granite, syenite, basalt, trachyte, rhyolite,</w:t></w:r>
</w:p>
<w:p>
<w:pPr><w:pStyle w:val="Normal"/></w:pPr>
<w:r><w:t xml:space="preserve">diorite and obsidian, the best of material prepared for them</w:t></w:r>
</w:p>
<w:p>
<w:pPr><w:pStyle w:val="Normal"/></w:pPr>
<w:r><w:t xml:space="preserve">by nature; while the Mayas had only limestone, and hard,</w:t></w:r>
</w:p>
<w:p>
<w:pPr><w:pStyle w:val="Normal"/></w:pPr>
<w:r><w:t xml:space="preserve">tenacious rock with which to work it, and timber for burning</w:t></w:r>
</w:p>
<w:p>
<w:pPr><w:pStyle w:val="Normal"/></w:pPr>
<w:r><w:t xml:space="preserve">lime.  However, looking over the whole field of North American</w:t></w:r>
</w:p>
<w:p>
<w:pPr><w:pStyle w:val="Normal"/></w:pPr>
<w:r><w:t xml:space="preserve">achievement, architectural and non-architectural, composite and</w:t></w:r>
</w:p>
<w:p>
<w:pPr><w:pStyle w:val="Normal"/></w:pPr>
<w:r><w:t xml:space="preserve">monolithic, the palm for boldness, magnitude of proportions</w:t></w:r>
</w:p>
<w:p>
<w:pPr><w:pStyle w:val="Normal"/></w:pPr>
<w:r><w:t xml:space="preserve">and infinity of labour, must go to the sculptured mosaics of</w:t></w:r>
</w:p>
<w:p>
<w:pPr><w:pStyle w:val="Normal"/></w:pPr>
<w:r><w:t xml:space="preserve">Yucatan.  Maya architecture is the best remaining index of</w:t></w:r>
</w:p>
<w:p>
<w:pPr><w:pStyle w:val="Normal"/></w:pPr>
<w:r><w:t xml:space="preserve">the art achievements of the American race.  The construction</w:t></w:r>
</w:p>
<w:p>
<w:pPr><w:pStyle w:val="Normal"/></w:pPr>
<w:r><w:t xml:space="preserve">of such buildings as the palace at Uxmal and the castillo at</w:t></w:r>
</w:p>
<w:p>
<w:pPr><w:pStyle w:val="Normal"/></w:pPr>
<w:r><w:t xml:space="preserve">Chichen (Chichenitza) indicates a mastery in architectural</w:t></w:r>
</w:p>
<w:p>
<w:pPr><w:pStyle w:val="Normal"/></w:pPr>
<w:r><w:t xml:space="preserve">design.  There is lack of unity in plan and grouping, and</w:t></w:r>
</w:p>
<w:p>
<w:pPr><w:pStyle w:val="Normal"/></w:pPr>
<w:r><w:t xml:space="preserve">an enormous waste of material as compared with available</w:t></w:r>
</w:p>
<w:p>
<w:pPr><w:pStyle w:val="Normal"/></w:pPr>
<w:r><w:t xml:space="preserve">room.  At Uxmal the mass of masonry is to chamber space</w:t></w:r>
</w:p>
<w:p>
<w:pPr><w:pStyle w:val="Normal"/></w:pPr>
<w:r><w:t xml:space="preserve">about as forty to one.  The builders were &quot;ignorant of</w:t></w:r>
</w:p>
<w:p>
<w:pPr><w:pStyle w:val="Normal"/></w:pPr>
<w:r><w:t xml:space="preserve">some of the most essential principles of construction, and</w:t></w:r>
</w:p>
<w:p>
<w:pPr><w:pStyle w:val="Normal"/></w:pPr>
<w:r><w:t xml:space="preserve">are to be regarded as hardly more than novices in the art&quot;</w:t></w:r>
</w:p>
<w:p>
<w:pPr><w:pStyle w:val="Normal"/></w:pPr>
<w:r><w:t xml:space="preserve">(Holmes, Archaeological Studies, &amp;c.).  As for the marvels</w:t></w:r>
</w:p>
<w:p>
<w:pPr><w:pStyle w:val="Normal"/></w:pPr>
<w:r><w:t xml:space="preserve">of Peru, the walls of the temple of the sun in Cuzco, with</w:t></w:r>
</w:p>
<w:p>
<w:pPr><w:pStyle w:val="Normal"/></w:pPr>
<w:r><w:t xml:space="preserve">their circular form and curve inward, from the ground upward,</w:t></w:r>
</w:p>
<w:p>
<w:pPr><w:pStyle w:val="Normal"/></w:pPr>
<w:r><w:t xml:space="preserve">are most imposing.  Some of the gates without lintels are</w:t></w:r>
</w:p>
<w:p>
<w:pPr><w:pStyle w:val="Normal"/></w:pPr>
<w:r><w:t xml:space="preserve">beautiful, and the geometric patterns in the walls extremely</w:t></w:r>
</w:p>
<w:p>
<w:pPr><w:pStyle w:val="Normal"/></w:pPr>
<w:r><w:t xml:space="preserve">effective.  The same objection to over-massiveness might</w:t></w:r>
</w:p>
<w:p>
<w:pPr><w:pStyle w:val="Normal"/></w:pPr>
<w:r><w:t xml:space="preserve">not apply here as in Mexico, owing to volcanic activity.</w:t></w:r>
</w:p>
<w:p>
<w:pPr><w:pStyle w:val="Normal"/></w:pPr>
<w:r><w:t xml:space="preserve">Sociology.</w:t></w:r>
</w:p>
<w:p>
<w:pPr><w:pStyle w:val="Normal"/></w:pPr>
<w:r><w:t xml:space="preserve">Institutions in Europe and America have gathered abundant</w:t></w:r>
</w:p>
<w:p>
<w:pPr><w:pStyle w:val="Normal"/></w:pPr>
<w:r><w:t xml:space="preserve">material for an intelligent comprehension of American Indian</w:t></w:r>
</w:p>
<w:p>
<w:pPr><w:pStyle w:val="Normal"/></w:pPr>
<w:r><w:t xml:space="preserve">sociology.  The British Association had a committee reporting</w:t></w:r>
</w:p>
<w:p>
<w:pPr><w:pStyle w:val="Normal"/></w:pPr>
<w:r><w:t xml:space="preserve">during many years on the tribes of northwest Canada.  The</w:t></w:r>
</w:p>
<w:p>
<w:pPr><w:pStyle w:val="Normal"/></w:pPr>
<w:r><w:t xml:space="preserve">American Museum in New York has prepared a series of monographs</w:t></w:r>
</w:p>
<w:p>
<w:pPr><w:pStyle w:val="Normal"/></w:pPr>
<w:r><w:t xml:space="preserve">on the tribes of the North Pacific coast, of northern Mexico,</w:t></w:r>
</w:p>
<w:p>
<w:pPr><w:pStyle w:val="Normal"/></w:pPr>
<w:r><w:t xml:space="preserve">and of the Cordilleras of South America.  The reports of</w:t></w:r>
</w:p>
<w:p>
<w:pPr><w:pStyle w:val="Normal"/></w:pPr>
<w:r><w:t xml:space="preserve">the Bureau of American Ethnology in Washington cover the</w:t></w:r>
</w:p>
<w:p>
<w:pPr><w:pStyle w:val="Normal"/></w:pPr>
<w:r><w:t xml:space="preserve">Eskimo, east and west, and all the tribes of the United</w:t></w:r>
</w:p>
<w:p>
<w:pPr><w:pStyle w:val="Normal"/></w:pPr>
<w:r><w:t xml:space="preserve">States.  In Mexico the former labours of Pimentel and Orozco</w:t></w:r>
</w:p>
<w:p>
<w:pPr><w:pStyle w:val="Normal"/></w:pPr>
<w:r><w:t xml:space="preserve">y Berra are supplemented by those of Bandolier, Penafiel,</w:t></w:r>
</w:p>
<w:p>
<w:pPr><w:pStyle w:val="Normal"/></w:pPr>
<w:r><w:t xml:space="preserve">Herrera and Alfredo Chavero.  Otto Stoll&apos;s studies in Guatemala,</w:t></w:r>
</w:p>
<w:p>
<w:pPr><w:pStyle w:val="Normal"/></w:pPr>
<w:r><w:t xml:space="preserve">Berendt&apos;s in Central America, Ernst&apos;s in Venezuela, Im Thurn&apos;s</w:t></w:r>
</w:p>
<w:p>
<w:pPr><w:pStyle w:val="Normal"/></w:pPr>
<w:r><w:t xml:space="preserve">in Guiana, those of Ehrenreich, von den Steinen, Meyer in</w:t></w:r>
</w:p>
<w:p>
<w:pPr><w:pStyle w:val="Normal"/></w:pPr>
<w:r><w:t xml:space="preserve">Brazil, or of Bandolier, Bastian, Bruhl, Middendorf, von</w:t></w:r>
</w:p>
<w:p>
<w:pPr><w:pStyle w:val="Normal"/></w:pPr>
<w:r><w:t xml:space="preserve">Tschudi in Peru, afford the historian of comparative sociology</w:t></w:r>
</w:p>
<w:p>
<w:pPr><w:pStyle w:val="Normal"/></w:pPr>
<w:r><w:t xml:space="preserve">ample groundwork for a comprehensive grasp of South American</w:t></w:r>
</w:p>
<w:p>
<w:pPr><w:pStyle w:val="Normal"/></w:pPr>
<w:r><w:t xml:space="preserve">tribes.  In all parts of the western hemisphere society</w:t></w:r>
</w:p>
<w:p>
<w:pPr><w:pStyle w:val="Normal"/></w:pPr>
<w:r><w:t xml:space="preserve">was organized on cognate kinship, real or artificial, the</w:t></w:r>
</w:p>
<w:p>
<w:pPr><w:pStyle w:val="Normal"/></w:pPr>
<w:r><w:t xml:space="preserve">unit being the clan.  There were tribes where the basis</w:t></w:r>
</w:p>
<w:p>
<w:pPr><w:pStyle w:val="Normal"/></w:pPr>
<w:r><w:t xml:space="preserve">of kinship was agnate, but these were the exceptions.  The</w:t></w:r>
</w:p>
<w:p>
<w:pPr><w:pStyle w:val="Normal"/></w:pPr>
<w:r><w:t xml:space="preserve">headship of the clan was sometimes hereditary, sometimes</w:t></w:r>
</w:p>
<w:p>
<w:pPr><w:pStyle w:val="Normal"/></w:pPr>
<w:r><w:t xml:space="preserve">elective, but each clan had a totemic name, and the clans</w:t></w:r>
</w:p>
<w:p>
<w:pPr><w:pStyle w:val="Normal"/></w:pPr>
<w:r><w:t xml:space="preserve">together constituted the tribe, the bond being not land, but</w:t></w:r>
</w:p>
<w:p>
<w:pPr><w:pStyle w:val="Normal"/></w:pPr>
<w:r><w:t xml:space="preserve">blood.  Women could adopt prisoners of war, in which case</w:t></w:r>
</w:p>
<w:p>
<w:pPr><w:pStyle w:val="Normal"/></w:pPr>
<w:r><w:t xml:space="preserve">the latter became their younger sons.  When a confederacy</w:t></w:r>
</w:p>
<w:p>
<w:pPr><w:pStyle w:val="Normal"/></w:pPr>
<w:r><w:t xml:space="preserve">was organized under a council, intermarriage between tribes</w:t></w:r>
</w:p>
<w:p>
<w:pPr><w:pStyle w:val="Normal"/></w:pPr>
<w:r><w:t xml:space="preserve">sometimes occurred; an artificial kinship thus arose, in which</w:t></w:r>
</w:p>
<w:p>
<w:pPr><w:pStyle w:val="Normal"/></w:pPr>
<w:r><w:t xml:space="preserve">event the council established the rank of the tribes as elder</w:t></w:r>
</w:p>
<w:p>
<w:pPr><w:pStyle w:val="Normal"/></w:pPr>
<w:r><w:t xml:space="preserve">and younger brother, grandfather, father and sons, rendering</w:t></w:r>
</w:p>
<w:p>
<w:pPr><w:pStyle w:val="Normal"/></w:pPr>
<w:r><w:t xml:space="preserve">the relationship and its vocabulary most intricate, but</w:t></w:r>
</w:p>
<w:p>
<w:pPr><w:pStyle w:val="Normal"/></w:pPr>
<w:r><w:t xml:space="preserve">necessary in a social system in which age was the predominant</w:t></w:r>
</w:p>
<w:p>
<w:pPr><w:pStyle w:val="Normal"/></w:pPr>
<w:r><w:t xml:space="preserve">consideration and etiquette most exacting. (See Morgan,</w:t></w:r>
</w:p>
<w:p>
<w:pPr><w:pStyle w:val="Normal"/></w:pPr>
<w:r><w:t xml:space="preserve">Tables of Consanguinity, Smithsonian Contributions, xvii.)</w:t></w:r>
</w:p>
<w:p>
<w:pPr><w:pStyle w:val="Normal"/></w:pPr>
<w:r><w:t xml:space="preserve">The Eskimo have a regular system of animal totem marks and</w:t></w:r>
</w:p>
<w:p>
<w:pPr><w:pStyle w:val="Normal"/></w:pPr>
<w:r><w:t xml:space="preserve">corresponding gentes.  Powell sets forth the laws of real</w:t></w:r>
</w:p>
<w:p>
<w:pPr><w:pStyle w:val="Normal"/></w:pPr>
<w:r><w:t xml:space="preserve">and artificial kinship among the North American tribes, as</w:t></w:r>
</w:p>
<w:p>
<w:pPr><w:pStyle w:val="Normal"/></w:pPr>
<w:r><w:t xml:space="preserve">well as tribal organization and government, the formation of</w:t></w:r>
</w:p>
<w:p>
<w:pPr><w:pStyle w:val="Normal"/></w:pPr>
<w:r><w:t xml:space="preserve">confederacies, and the intricate rules of artificial kinship</w:t></w:r>
</w:p>
<w:p>
<w:pPr><w:pStyle w:val="Normal"/></w:pPr>
<w:r><w:t xml:space="preserve">by which rank and courtesy were established. (Many papers</w:t></w:r>
</w:p>
<w:p>
<w:pPr><w:pStyle w:val="Normal"/></w:pPr>
<w:r><w:t xml:space="preserve">in Reports of Bur. Am. Ethnol.) Bandolier declares that</w:t></w:r>
</w:p>
<w:p>
<w:pPr><w:pStyle w:val="Normal"/></w:pPr>
<w:r><w:t xml:space="preserve">in Mexico existed neither state nor nation, nor political</w:t></w:r>
</w:p>
<w:p>
<w:pPr><w:pStyle w:val="Normal"/></w:pPr>
<w:r><w:t xml:space="preserve">society of any kind, but tribes representing dialects,</w:t></w:r>
</w:p>
<w:p>
<w:pPr><w:pStyle w:val="Normal"/></w:pPr>
<w:r><w:t xml:space="preserve">and autonomous in matters of government, and forming</w:t></w:r>
</w:p>
<w:p>
<w:pPr><w:pStyle w:val="Normal"/></w:pPr>
<w:r><w:t xml:space="preserve">confederacies for the purposes of self-defence and conquest.</w:t></w:r>
</w:p>
<w:p>
<w:pPr><w:pStyle w:val="Normal"/></w:pPr>
<w:r><w:t xml:space="preserve">The ancient Mexican tribe was composed of twenty autonomous</w:t></w:r>
</w:p>
<w:p>
<w:pPr><w:pStyle w:val="Normal"/></w:pPr>
<w:r><w:t xml:space="preserve">kins.  According to Brinton the social organization of ancient</w:t></w:r>
</w:p>
<w:p>
<w:pPr><w:pStyle w:val="Normal"/></w:pPr>
<w:r><w:t xml:space="preserve">Peru was a government by a council of the gentes.  The Inca</w:t></w:r>
</w:p>
<w:p>
<w:pPr><w:pStyle w:val="Normal"/></w:pPr>
<w:r><w:t xml:space="preserve">was a war chief elected by the council to carry out its</w:t></w:r>
</w:p>
<w:p>
<w:pPr><w:pStyle w:val="Normal"/></w:pPr>
<w:r><w:t xml:space="preserve">commands.  Among the Caribs a like social order prevailed;</w:t></w:r>
</w:p>
<w:p>
<w:pPr><w:pStyle w:val="Normal"/></w:pPr>
<w:r><w:t xml:space="preserve">indeed, their family system is identical with the totem</w:t></w:r>
</w:p>
<w:p>
<w:pPr><w:pStyle w:val="Normal"/></w:pPr>
<w:r><w:t xml:space="preserve">system of North American Indians.  Dominated by the rule of</w:t></w:r>
</w:p>
<w:p>
<w:pPr><w:pStyle w:val="Normal"/></w:pPr>
<w:r><w:t xml:space="preserve">blood relationship, the Indians regulated all co-operative</w:t></w:r>
</w:p>
<w:p>
<w:pPr><w:pStyle w:val="Normal"/></w:pPr>
<w:r><w:t xml:space="preserve">activities on this basis.  Not only marriage, but speech</w:t></w:r>
</w:p>
<w:p>
<w:pPr><w:pStyle w:val="Normal"/></w:pPr>
<w:r><w:t xml:space="preserve">and common industries, such as rowing a boat or chasing a</w:t></w:r>
</w:p>
<w:p>
<w:pPr><w:pStyle w:val="Normal"/></w:pPr>
<w:r><w:t xml:space="preserve">buffalo, were under its sway.  It obtrudes itself in fine art,</w:t></w:r>
</w:p>
<w:p>
<w:pPr><w:pStyle w:val="Normal"/></w:pPr>
<w:r><w:t xml:space="preserve">behaviour, law-making, lore and religion.  In larger or smaller</w:t></w:r>
</w:p>
<w:p>
<w:pPr><w:pStyle w:val="Normal"/></w:pPr>
<w:r><w:t xml:space="preserve">numbers of cognate kindred, for shorter or longer periods of</w:t></w:r>
</w:p>
<w:p>
<w:pPr><w:pStyle w:val="Normal"/></w:pPr>
<w:r><w:t xml:space="preserve">time, near or far from home, the aborigines developed their</w:t></w:r>
</w:p>
<w:p>
<w:pPr><w:pStyle w:val="Normal"/></w:pPr>
<w:r><w:t xml:space="preserve">legislatures, courts, armies, secret societies and priesthoods.</w:t></w:r>
</w:p>
<w:p>
<w:pPr><w:pStyle w:val="Normal"/></w:pPr>
<w:r><w:t xml:space="preserve">Art of war.</w:t></w:r>
</w:p>
<w:p>
<w:pPr><w:pStyle w:val="Normal"/></w:pPr>
<w:r><w:t xml:space="preserve">In organization, engineering, strategy, offence and defence,</w:t></w:r>
</w:p>
<w:p>
<w:pPr><w:pStyle w:val="Normal"/></w:pPr>
<w:r><w:t xml:space="preserve">the art of war was in the barbarous and the savage status or</w:t></w:r>
</w:p>
<w:p>
<w:pPr><w:pStyle w:val="Normal"/></w:pPr>
<w:r><w:t xml:space="preserve">grade.  One competent to judge asserts that peace, not</w:t></w:r>
</w:p>
<w:p>
<w:pPr><w:pStyle w:val="Normal"/></w:pPr>
<w:r><w:t xml:space="preserve">war, was the normal intertribal habit.  They held frequent</w:t></w:r>
</w:p>
<w:p>
<w:pPr><w:pStyle w:val="Normal"/></w:pPr>
<w:r><w:t xml:space="preserve">intercourse, gave feasts and presents, and practised unbounded</w:t></w:r>
</w:p>
<w:p>
<w:pPr><w:pStyle w:val="Normal"/></w:pPr>
<w:r><w:t xml:space="preserve">hospitality.  Through this traffic objects travelled far</w:t></w:r>
</w:p>
<w:p>
<w:pPr><w:pStyle w:val="Normal"/></w:pPr>
<w:r><w:t xml:space="preserve">from home, and now come forth out of the tombs to perplex</w:t></w:r>
</w:p>
<w:p>
<w:pPr><w:pStyle w:val="Normal"/></w:pPr>
<w:r><w:t xml:space="preserve">archaeologists.  Remembering the organization of the tribe</w:t></w:r>
</w:p>
<w:p>
<w:pPr><w:pStyle w:val="Normal"/></w:pPr>
<w:r><w:t xml:space="preserve">everywhere prevalent, it is not difficult to understand that</w:t></w:r>
</w:p>
<w:p>
<w:pPr><w:pStyle w:val="Normal"/></w:pPr>
<w:r><w:t xml:space="preserve">the army, or horde, that stands for the idea, was assembled</w:t></w:r>
</w:p>
<w:p>
<w:pPr><w:pStyle w:val="Normal"/></w:pPr>
<w:r><w:t xml:space="preserve">on the clan basis.  The number of men arrayed under one</w:t></w:r>
</w:p>
<w:p>
<w:pPr><w:pStyle w:val="Normal"/></w:pPr>
<w:r><w:t xml:space="preserve">banner, the time during which they might cohere, the distances</w:t></w:r>
</w:p>
<w:p>
<w:pPr><w:pStyle w:val="Normal"/></w:pPr>
<w:r><w:t xml:space="preserve">from home they could march, their ability to hold permanently</w:t></w:r>
</w:p>
<w:p>
<w:pPr><w:pStyle w:val="Normal"/></w:pPr>
<w:r><w:t xml:space="preserve">what they had gained, together form an excellent metric scale</w:t></w:r>
</w:p>
<w:p>
<w:pPr><w:pStyle w:val="Normal"/></w:pPr>
<w:r><w:t xml:space="preserve">of the culture grade in the several American provinces, and</w:t></w:r>
</w:p>
<w:p>
<w:pPr><w:pStyle w:val="Normal"/></w:pPr>
<w:r><w:t xml:space="preserve">nowhere, even in the most favoured, is this mark high.  With</w:t></w:r>
</w:p>
<w:p>
<w:pPr><w:pStyle w:val="Normal"/></w:pPr>
<w:r><w:t xml:space="preserve">the Mexicans war was a passion, but warfare was little above</w:t></w:r>
</w:p>
<w:p>
<w:pPr><w:pStyle w:val="Normal"/></w:pPr>
<w:r><w:t xml:space="preserve">the raid (Bandelier; Farrand).  The lower tribes hunted their</w:t></w:r>
</w:p>
<w:p>
<w:pPr><w:pStyle w:val="Normal"/></w:pPr>
<w:r><w:t xml:space="preserve">enemies as they hunted animals.  In their war dances, which</w:t></w:r>
</w:p>
<w:p>
<w:pPr><w:pStyle w:val="Normal"/></w:pPr>
<w:r><w:t xml:space="preserve">were only rehearsals, they disguised themselves as animals, and</w:t></w:r>
</w:p>
<w:p>
<w:pPr><w:pStyle w:val="Normal"/></w:pPr>
<w:r><w:t xml:space="preserve">the pantomime was a mimic hunt.  They had striking, slashing</w:t></w:r>
</w:p>
<w:p>
<w:pPr><w:pStyle w:val="Normal"/></w:pPr>
<w:r><w:t xml:space="preserve">and piercing weapons held in the hand, fastened to a shaft or</w:t></w:r>
</w:p>
<w:p>
<w:pPr><w:pStyle w:val="Normal"/></w:pPr>
<w:r><w:t xml:space="preserve">thong, hurled from the hand, from a sling, from an atlatl or</w:t></w:r>
</w:p>
<w:p>
<w:pPr><w:pStyle w:val="Normal"/></w:pPr>
<w:r><w:t xml:space="preserve">throwing-stick, or shot from a bow.  Their weapons were all</w:t></w:r>
</w:p>
<w:p>
<w:pPr><w:pStyle w:val="Normal"/></w:pPr>
<w:r><w:t xml:space="preserve">individual, not one co-operative device of offence being</w:t></w:r>
</w:p>
<w:p>
<w:pPr><w:pStyle w:val="Normal"/></w:pPr>
<w:r><w:t xml:space="preserve">known among them, although they understood fortification.</w:t></w:r>
</w:p>
<w:p>
<w:pPr><w:pStyle w:val="Normal"/></w:pPr>
<w:r><w:t xml:space="preserve">The term &quot;slavery&quot; is often applied to the aboriginal American</w:t></w:r>
</w:p>
<w:p>
<w:pPr><w:pStyle w:val="Normal"/></w:pPr>
<w:r><w:t xml:space="preserve">tribes.  The truth of this depends upon the definition of the</w:t></w:r>
</w:p>
<w:p>
<w:pPr><w:pStyle w:val="Normal"/></w:pPr>
<w:r><w:t xml:space="preserve">word &quot;slave.&quot; If it means the capture of men, and especially of</w:t></w:r>
</w:p>
<w:p>
<w:pPr><w:pStyle w:val="Normal"/></w:pPr>
<w:r><w:t xml:space="preserve">women, and adoption into the tribe, this existed everywhere;</w:t></w:r>
</w:p>
<w:p>
<w:pPr><w:pStyle w:val="Normal"/></w:pPr>
<w:r><w:t xml:space="preserve">but if subjection to a personal owner, who may compel service,</w:t></w:r>
</w:p>
<w:p>
<w:pPr><w:pStyle w:val="Normal"/></w:pPr>
<w:r><w:t xml:space="preserve">sell or put to death the individual, slavery was far from</w:t></w:r>
</w:p>
<w:p>
<w:pPr><w:pStyle w:val="Normal"/></w:pPr>
<w:r><w:t xml:space="preserve">universal.  Nieboer finds it only on the North Pacific coast</w:t></w:r>
</w:p>
<w:p>
<w:pPr><w:pStyle w:val="Normal"/></w:pPr>
<w:r><w:t xml:space="preserve">as far south as Oregon, among the Navajo and the Cibola</w:t></w:r>
</w:p>
<w:p>
<w:pPr><w:pStyle w:val="Normal"/></w:pPr>
<w:r><w:t xml:space="preserve">pueblos, and in a few tribes of Middle and South America.</w:t></w:r>
</w:p>
<w:p>
<w:pPr><w:pStyle w:val="Normal"/></w:pPr>
<w:r><w:t xml:space="preserve">Lore.</w:t></w:r>
</w:p>
<w:p>
<w:pPr><w:pStyle w:val="Normal"/></w:pPr>
<w:r><w:t xml:space="preserve">The thought life of the American aborigines is expressed in</w:t></w:r>
</w:p>
<w:p>
<w:pPr><w:pStyle w:val="Normal"/></w:pPr>
<w:r><w:t xml:space="preserve">their practical knowledge and their lore.  The fascination</w:t></w:r>
</w:p>
<w:p>
<w:pPr><w:pStyle w:val="Normal"/></w:pPr>
<w:r><w:t xml:space="preserve">which hangs around the latter has well-nigh obscured the</w:t></w:r>
</w:p>
<w:p>
<w:pPr><w:pStyle w:val="Normal"/></w:pPr>
<w:r><w:t xml:space="preserve">former.  As in medicine theory is one thing and practice</w:t></w:r>
</w:p>
<w:p>
<w:pPr><w:pStyle w:val="Normal"/></w:pPr>
<w:r><w:t xml:space="preserve">another, so among these savages must the two be carefully</w:t></w:r>
</w:p>
<w:p>
<w:pPr><w:pStyle w:val="Normal"/></w:pPr>
<w:r><w:t xml:space="preserve">discriminated.  Dorsey, again, draws a distinction between</w:t></w:r>
</w:p>
<w:p>
<w:pPr><w:pStyle w:val="Normal"/></w:pPr>
<w:r><w:t xml:space="preserve">lore narratives, which can be rehearsed without fasting or</w:t></w:r>
</w:p>
<w:p>
<w:pPr><w:pStyle w:val="Normal"/></w:pPr>
<w:r><w:t xml:space="preserve">prayer, and rituals which require the most rigid preparation.</w:t></w:r>
</w:p>
<w:p>
<w:pPr><w:pStyle w:val="Normal"/></w:pPr>
<w:r><w:t xml:space="preserve">In each culture province the Indians studied the heavenly</w:t></w:r>
</w:p>
<w:p>
<w:pPr><w:pStyle w:val="Normal"/></w:pPr>
<w:r><w:t xml:space="preserve">bodies.  The Arctic peoples regulated their lives by the</w:t></w:r>
</w:p>
<w:p>
<w:pPr><w:pStyle w:val="Normal"/></w:pPr>
<w:r><w:t xml:space="preserve">long day and night in the year; among the tribes in the</w:t></w:r>
</w:p>
<w:p>
<w:pPr><w:pStyle w:val="Normal"/></w:pPr>
<w:r><w:t xml:space="preserve">arid region the place of sunrise was marked on the horizon</w:t></w:r>
</w:p>
<w:p>
<w:pPr><w:pStyle w:val="Normal"/></w:pPr>
<w:r><w:t xml:space="preserve">for each day; the tropical Indians were not so observant,</w:t></w:r>
</w:p>
<w:p>
<w:pPr><w:pStyle w:val="Normal"/></w:pPr>
<w:r><w:t xml:space="preserve">but they worshipped the sun-god above all.  The Mayas had</w:t></w:r>
</w:p>
<w:p>
<w:pPr><w:pStyle w:val="Normal"/></w:pPr>
<w:r><w:t xml:space="preserve">a calendar of 360 days, with intercalary days; this solar</w:t></w:r>
</w:p>
<w:p>
<w:pPr><w:pStyle w:val="Normal"/></w:pPr>
<w:r><w:t xml:space="preserve">year was intersected by their sacred year of twenty weeks</w:t></w:r>
</w:p>
<w:p>
<w:pPr><w:pStyle w:val="Normal"/></w:pPr>
<w:r><w:t xml:space="preserve">of thirteen days each, and these assembled in bewildering</w:t></w:r>
</w:p>
<w:p>
<w:pPr><w:pStyle w:val="Normal"/></w:pPr>
<w:r><w:t xml:space="preserve">cycles.  Their knowledge of the air and its properties</w:t></w:r>
</w:p>
<w:p>
<w:pPr><w:pStyle w:val="Normal"/></w:pPr>
<w:r><w:t xml:space="preserve">was no less profound.  Heat and cold, rain and drought,</w:t></w:r>
</w:p>
<w:p>
<w:pPr><w:pStyle w:val="Normal"/></w:pPr>
<w:r><w:t xml:space="preserve">the winds in relation to the points of the compass, were</w:t></w:r>
</w:p>
<w:p>
<w:pPr><w:pStyle w:val="Normal"/></w:pPr>
<w:r><w:t xml:space="preserve">nearest their wants and supplies, and were never out of their</w:t></w:r>
</w:p>
<w:p>
<w:pPr><w:pStyle w:val="Normal"/></w:pPr>
<w:r><w:t xml:space="preserve">thoughts.  In each province they had found the best springs,</w:t></w:r>
</w:p>
<w:p>
<w:pPr><w:pStyle w:val="Normal"/></w:pPr>
<w:r><w:t xml:space="preserve">beds of clay, paint, soapstone, flinty rock, friable stone</w:t></w:r>
</w:p>
<w:p>
<w:pPr><w:pStyle w:val="Normal"/></w:pPr>
<w:r><w:t xml:space="preserve">for sculpture and hard, tenacious stone for tools, and used</w:t></w:r>
</w:p>
<w:p>
<w:pPr><w:pStyle w:val="Normal"/></w:pPr>
<w:r><w:t xml:space="preserve">ashes for salt.  The vegetal kingdom was no less familiar to</w:t></w:r>
</w:p>
<w:p>
<w:pPr><w:pStyle w:val="Normal"/></w:pPr>
<w:r><w:t xml:space="preserve">them.  Edible plants, and those for dyes and medicines,</w:t></w:r>
</w:p>
<w:p>
<w:pPr><w:pStyle w:val="Normal"/></w:pPr>
<w:r><w:t xml:space="preserve">were on their lists, as well as wood for tools, utensils</w:t></w:r>
</w:p>
<w:p>
<w:pPr><w:pStyle w:val="Normal"/></w:pPr>
<w:r><w:t xml:space="preserve">and weapons, and fibres for textiles.  They knew poisonous</w:t></w:r>
</w:p>
<w:p>
<w:pPr><w:pStyle w:val="Normal"/></w:pPr>
<w:r><w:t xml:space="preserve">plants, and could eliminate noxious properties.  The universal</w:t></w:r>
</w:p>
<w:p>
<w:pPr><w:pStyle w:val="Normal"/></w:pPr>
<w:r><w:t xml:space="preserve">reliance on animal life stimulated the study of the animal</w:t></w:r>
</w:p>
<w:p>
<w:pPr><w:pStyle w:val="Normal"/></w:pPr>
<w:r><w:t xml:space="preserve">kingdom.  Everywhere there were names for a large number of</w:t></w:r>
</w:p>
<w:p>
<w:pPr><w:pStyle w:val="Normal"/></w:pPr>
<w:r><w:t xml:space="preserve">species; industries and fine arts were developed through animal</w:t></w:r>
</w:p>
<w:p>
<w:pPr><w:pStyle w:val="Normal"/></w:pPr>
<w:r><w:t xml:space="preserve">substances.  Society was organized in most cases on animal</w:t></w:r>
</w:p>
<w:p>
<w:pPr><w:pStyle w:val="Normal"/></w:pPr>
<w:r><w:t xml:space="preserve">clans, and religion was largely zoomorphic.  The hunting</w:t></w:r>
</w:p>
<w:p>
<w:pPr><w:pStyle w:val="Normal"/></w:pPr>
<w:r><w:t xml:space="preserve">tribes knew well the nature and habits of animals, their</w:t></w:r>
</w:p>
<w:p>
<w:pPr><w:pStyle w:val="Normal"/></w:pPr>
<w:r><w:t xml:space="preserve">anatomy, their migrations, and could interpret their</w:t></w:r>
</w:p>
<w:p>
<w:pPr><w:pStyle w:val="Normal"/></w:pPr>
<w:r><w:t xml:space="preserve">voices.  Out of this practical knowledge, coupled with the</w:t></w:r>
</w:p>
<w:p>
<w:pPr><w:pStyle w:val="Normal"/></w:pPr>
<w:r><w:t xml:space="preserve">belief in personeity, grew a folk-lore so vast that if it</w:t></w:r>
</w:p>
<w:p>
<w:pPr><w:pStyle w:val="Normal"/></w:pPr>
<w:r><w:t xml:space="preserve">were written down the world would not contain the books.</w:t></w:r>
</w:p>
<w:p>
<w:pPr><w:pStyle w:val="Normal"/></w:pPr>
<w:r><w:t xml:space="preserve">Religion.</w:t></w:r>
</w:p>
<w:p>
<w:pPr><w:pStyle w:val="Normal"/></w:pPr>
<w:r><w:t xml:space="preserve">The religion of the American aborigines, so far as it can</w:t></w:r>
</w:p>
<w:p>
<w:pPr><w:pStyle w:val="Normal"/></w:pPr>
<w:r><w:t xml:space="preserve">be made a subject of investigation, consisted (1) in what</w:t></w:r>
</w:p>
<w:p>
<w:pPr><w:pStyle w:val="Normal"/></w:pPr>
<w:r><w:t xml:space="preserve">the tribes believed about spirits, or shades, and the spirit</w:t></w:r>
</w:p>
<w:p>
<w:pPr><w:pStyle w:val="Normal"/></w:pPr>
<w:r><w:t xml:space="preserve">world--its organization, place, activities and relation to</w:t></w:r>
</w:p>
<w:p>
<w:pPr><w:pStyle w:val="Normal"/></w:pPr>
<w:r><w:t xml:space="preserve">our world; and (2) in what they did in response to these</w:t></w:r>
</w:p>
<w:p>
<w:pPr><w:pStyle w:val="Normal"/></w:pPr>
<w:r><w:t xml:space="preserve">beliefs.  The former was their creeds, the latter their cults or</w:t></w:r>
</w:p>
<w:p>
<w:pPr><w:pStyle w:val="Normal"/></w:pPr>
<w:r><w:t xml:space="preserve">worships.  In these worships, social organization, religious</w:t></w:r>
</w:p>
<w:p>
<w:pPr><w:pStyle w:val="Normal"/></w:pPr>
<w:r><w:t xml:space="preserve">dramas and paraphernalia, amusement and gambling, and private</w:t></w:r>
</w:p>
<w:p>
<w:pPr><w:pStyle w:val="Normal"/></w:pPr>
<w:r><w:t xml:space="preserve">religion or fetichism, found place.  In order to obtain an</w:t></w:r>
</w:p>
<w:p>
<w:pPr><w:pStyle w:val="Normal"/></w:pPr>
<w:r><w:t xml:space="preserve">intelligent grasp of the religion of tribes in their several</w:t></w:r>
</w:p>
<w:p>
<w:pPr><w:pStyle w:val="Normal"/></w:pPr>
<w:r><w:t xml:space="preserve">culture provinces, it must be understood: (1) That the form</w:t></w:r>
</w:p>
<w:p>
<w:pPr><w:pStyle w:val="Normal"/></w:pPr>
<w:r><w:t xml:space="preserve">of belief called animism by Tylor (more correctly speaking,</w:t></w:r>
</w:p>
<w:p>
<w:pPr><w:pStyle w:val="Normal"/></w:pPr>
<w:r><w:t xml:space="preserve">personeity), was universal; everything was somebody, alive,</w:t></w:r>
</w:p>
<w:p>
<w:pPr><w:pStyle w:val="Normal"/></w:pPr>
<w:r><w:t xml:space="preserve">sentient, thoughtful, wilful.  This personeity lifts the</w:t></w:r>
</w:p>
<w:p>
<w:pPr><w:pStyle w:val="Normal"/></w:pPr>
<w:r><w:t xml:space="preserve">majority of earthly phenomena out of the merely physical world</w:t></w:r>
</w:p>
<w:p>
<w:pPr><w:pStyle w:val="Normal"/></w:pPr>
<w:r><w:t xml:space="preserve">and places them in the spirit world.  Theology and science are</w:t></w:r>
</w:p>
<w:p>
<w:pPr><w:pStyle w:val="Normal"/></w:pPr>
<w:r><w:t xml:space="preserve">one.  All is supernatural, wakan. (2) That there existed</w:t></w:r>
</w:p>
<w:p>
<w:pPr><w:pStyle w:val="Normal"/></w:pPr>
<w:r><w:t xml:space="preserve">more than one self or soul or shade in any one of these</w:t></w:r>
</w:p>
<w:p>
<w:pPr><w:pStyle w:val="Normal"/></w:pPr>
<w:r><w:t xml:space="preserve">personalities, and these shades had the power not only to go</w:t></w:r>
</w:p>
<w:p>
<w:pPr><w:pStyle w:val="Normal"/></w:pPr>
<w:r><w:t xml:space="preserve">away, but to transform their bodily tenements at will; a</w:t></w:r>
</w:p>
<w:p>
<w:pPr><w:pStyle w:val="Normal"/></w:pPr>
<w:r><w:t xml:space="preserve">bird, by raising its head, could become a man; the latter,</w:t></w:r>
</w:p>
<w:p>
<w:pPr><w:pStyle w:val="Normal"/></w:pPr>
<w:r><w:t xml:space="preserve">by going on all fours, could become a deer. (3) That the</w:t></w:r>
</w:p>
<w:p>
<w:pPr><w:pStyle w:val="Normal"/></w:pPr>
<w:r><w:t xml:space="preserve">regulative side of the spirit world was the natural outcome</w:t></w:r>
</w:p>
<w:p>
<w:pPr><w:pStyle w:val="Normal"/></w:pPr>
<w:r><w:t xml:space="preserve">of the clan social system and the tribal government in each</w:t></w:r>
</w:p>
<w:p>
<w:pPr><w:pStyle w:val="Normal"/></w:pPr>
<w:r><w:t xml:space="preserve">tribe.  Even one&apos;s personal name had reference to the world of</w:t></w:r>
</w:p>
<w:p>
<w:pPr><w:pStyle w:val="Normal"/></w:pPr>
<w:r><w:t xml:space="preserve">ghosts.  The affirmation that American aborigines believed in</w:t></w:r>
</w:p>
<w:p>
<w:pPr><w:pStyle w:val="Normal"/></w:pPr>
<w:r><w:t xml:space="preserve">an all-pervading, omnipotent Spirit is entirely inconsistent</w:t></w:r>
</w:p>
<w:p>
<w:pPr><w:pStyle w:val="Normal"/></w:pPr>
<w:r><w:t xml:space="preserve">with the very nature of the case. (4) Worship was everywhere</w:t></w:r>
</w:p>
<w:p>
<w:pPr><w:pStyle w:val="Normal"/></w:pPr>
<w:r><w:t xml:space="preserve">dramatic.  Only here and there among the higher tribes were</w:t></w:r>
</w:p>
<w:p>
<w:pPr><w:pStyle w:val="Normal"/></w:pPr>
<w:r><w:t xml:space="preserve">bloody sacrifices in vogue, and prayers were in pantomime.</w:t></w:r>
</w:p>
<w:p>
<w:pPr><w:pStyle w:val="Normal"/></w:pPr>
<w:r><w:t xml:space="preserve">In the culture areas the environment gave specific characters</w:t></w:r>
</w:p>
<w:p>
<w:pPr><w:pStyle w:val="Normal"/></w:pPr>
<w:r><w:t xml:space="preserve">to the religion.  In the Arctic province the overpowering</w:t></w:r>
</w:p>
<w:p>
<w:pPr><w:pStyle w:val="Normal"/></w:pPr>
<w:r><w:t xml:space="preserve">influence of meteorological phenomena manifested itself</w:t></w:r>
</w:p>
<w:p>
<w:pPr><w:pStyle w:val="Normal"/></w:pPr>
<w:r><w:t xml:space="preserve">both in the doctrine of shades and in their shamanistic</w:t></w:r>
</w:p>
<w:p>
<w:pPr><w:pStyle w:val="Normal"/></w:pPr>
<w:r><w:t xml:space="preserve">practices.  The raven created the world.  The Dene (Tinneh)</w:t></w:r>
</w:p>
<w:p>
<w:pPr><w:pStyle w:val="Normal"/></w:pPr>
<w:r><w:t xml:space="preserve">myths resembled those of the Eskimo, and all the hunting</w:t></w:r>
</w:p>
<w:p>
<w:pPr><w:pStyle w:val="Normal"/></w:pPr>
<w:r><w:t xml:space="preserve">tribes of eastern Canada and United States and the Mississippi</w:t></w:r>
</w:p>
<w:p>
<w:pPr><w:pStyle w:val="Normal"/></w:pPr>
<w:r><w:t xml:space="preserve">valley have a mythology based upon their zootechny and their</w:t></w:r>
</w:p>
<w:p>
<w:pPr><w:pStyle w:val="Normal"/></w:pPr>
<w:r><w:t xml:space="preserve">totemism.  The religious conceptions of the fishing tribes</w:t></w:r>
</w:p>
<w:p>
<w:pPr><w:pStyle w:val="Normal"/></w:pPr>
<w:r><w:t xml:space="preserve">on the Pacific coast between Mount St Elias and the Columbia</w:t></w:r>
</w:p>
<w:p>
<w:pPr><w:pStyle w:val="Normal"/></w:pPr>
<w:r><w:t xml:space="preserve">river are worked out by Boas; the transformation from the</w:t></w:r>
</w:p>
<w:p>
<w:pPr><w:pStyle w:val="Normal"/></w:pPr>
<w:r><w:t xml:space="preserve">hunting to the agricultural mode of life was accompanied by</w:t></w:r>
</w:p>
<w:p>
<w:pPr><w:pStyle w:val="Normal"/></w:pPr>
<w:r><w:t xml:space="preserve">changes in belief and worship quite as radical.  These have</w:t></w:r>
</w:p>
<w:p>
<w:pPr><w:pStyle w:val="Normal"/></w:pPr>
<w:r><w:t xml:space="preserve">been carefully studied by Cushing, Stevenson and Fewkes.</w:t></w:r>
</w:p>
<w:p>
<w:pPr><w:pStyle w:val="Normal"/></w:pPr>
<w:r><w:t xml:space="preserve">The pompous ceremonials of the civilized tribes of Mexico</w:t></w:r>
</w:p>
<w:p>
<w:pPr><w:pStyle w:val="Normal"/></w:pPr>
<w:r><w:t xml:space="preserve">and the Cordilleras in South America, when analysed, reveal</w:t></w:r>
</w:p>
<w:p>
<w:pPr><w:pStyle w:val="Normal"/></w:pPr>
<w:r><w:t xml:space="preserve">only a higher grade of the prevailing idea.  Im Thurn says of</w:t></w:r>
</w:p>
<w:p>
<w:pPr><w:pStyle w:val="Normal"/></w:pPr>
<w:r><w:t xml:space="preserve">the Carib: &quot;All objects, animate and inanimate, seem exactly</w:t></w:r>
</w:p>
<w:p>
<w:pPr><w:pStyle w:val="Normal"/></w:pPr>
<w:r><w:t xml:space="preserve">of the same nature, except that they differ in the accident</w:t></w:r>
</w:p>
<w:p>
<w:pPr><w:pStyle w:val="Normal"/></w:pPr>
<w:r><w:t xml:space="preserve">of bodily form.&quot; These mythological ideas and symbols of the</w:t></w:r>
</w:p>
<w:p>
<w:pPr><w:pStyle w:val="Normal"/></w:pPr>
<w:r><w:t xml:space="preserve">American aborigines were woven in their textiles, painted on</w:t></w:r>
</w:p>
<w:p>
<w:pPr><w:pStyle w:val="Normal"/></w:pPr>
<w:r><w:t xml:space="preserve">their robes and furniture, burned into their pottery, drawn in</w:t></w:r>
</w:p>
<w:p>
<w:pPr><w:pStyle w:val="Normal"/></w:pPr>
<w:r><w:t xml:space="preserve">sand mosaics on deserts, and perpetuated in the only sculptures</w:t></w:r>
</w:p>
<w:p>
<w:pPr><w:pStyle w:val="Normal"/></w:pPr>
<w:r><w:t xml:space="preserve">worthy of the name, in wood and stone.  They are inseparable</w:t></w:r>
</w:p>
<w:p>
<w:pPr><w:pStyle w:val="Normal"/></w:pPr>
<w:r><w:t xml:space="preserve">from industry; language, social organization and custom wait</w:t></w:r>
</w:p>
<w:p>
<w:pPr><w:pStyle w:val="Normal"/></w:pPr>
<w:r><w:t xml:space="preserve">upon them: they explain the universe in the savage mind.</w:t></w:r>
</w:p>
<w:p>
<w:pPr><w:pStyle w:val="Normal"/></w:pPr>
<w:r><w:t xml:space="preserve">Archaeology.</w:t></w:r>
</w:p>
<w:p>
<w:pPr><w:pStyle w:val="Normal"/></w:pPr>
<w:r><w:t xml:space="preserve">The archaeology of the western hemisphere should be divided</w:t></w:r>
</w:p>
<w:p>
<w:pPr><w:pStyle w:val="Normal"/></w:pPr>
<w:r><w:t xml:space="preserve">as follows: (1) that of Indian activities; (2) the question</w:t></w:r>
</w:p>
<w:p>
<w:pPr><w:pStyle w:val="Normal"/></w:pPr>
<w:r><w:t xml:space="preserve">of man&apos;s existence in a prior geological period.  There is no</w:t></w:r>
</w:p>
<w:p>
<w:pPr><w:pStyle w:val="Normal"/></w:pPr>
<w:r><w:t xml:space="preserve">dividing line between first-contact ethnology and pre-contact</w:t></w:r>
</w:p>
<w:p>
<w:pPr><w:pStyle w:val="Normal"/></w:pPr>
<w:r><w:t xml:space="preserve">archaeology.  Historians of this time, both north and south of</w:t></w:r>
</w:p>
<w:p>
<w:pPr><w:pStyle w:val="Normal"/></w:pPr>
<w:r><w:t xml:space="preserve">Panama, described tools and products of activities similar to</w:t></w:r>
</w:p>
<w:p>
<w:pPr><w:pStyle w:val="Normal"/></w:pPr>
<w:r><w:t xml:space="preserve">those taken from beneath the soil near by.  The archaeologist</w:t></w:r>
</w:p>
<w:p>
<w:pPr><w:pStyle w:val="Normal"/></w:pPr>
<w:r><w:t xml:space="preserve">recovers his specimens from waste places, cave deposits,</w:t></w:r>
</w:p>
<w:p>
<w:pPr><w:pStyle w:val="Normal"/></w:pPr>
<w:r><w:t xml:space="preserve">abandoned villages, caches, shell-heaps, refuse-heaps,</w:t></w:r>
</w:p>
<w:p>
<w:pPr><w:pStyle w:val="Normal"/></w:pPr>
<w:r><w:t xml:space="preserve">enclosures, mounds, hut rings, earthworks, garden beds, quarries</w:t></w:r>
</w:p>
<w:p>
<w:pPr><w:pStyle w:val="Normal"/></w:pPr>
<w:r><w:t xml:space="preserve">and workshops, petroglyphs, trails, graves and cemeteries,</w:t></w:r>
</w:p>
<w:p>
<w:pPr><w:pStyle w:val="Normal"/></w:pPr>
<w:r><w:t xml:space="preserve">cliff and cavate dwellings, ancient pueblos, ruined stone</w:t></w:r>
</w:p>
<w:p>
<w:pPr><w:pStyle w:val="Normal"/></w:pPr>
<w:r><w:t xml:space="preserve">dwellings, forts and temples, canals or reservoirs.  The</w:t></w:r>
</w:p>
<w:p>
<w:pPr><w:pStyle w:val="Normal"/></w:pPr>
<w:r><w:t xml:space="preserve">relics found in these places are material records of language,</w:t></w:r>
</w:p>
<w:p>
<w:pPr><w:pStyle w:val="Normal"/></w:pPr>
<w:r><w:t xml:space="preserve">industries, fine arts, social life, lore and religion.</w:t></w:r>
</w:p>
<w:p>
<w:pPr><w:pStyle w:val="Normal"/></w:pPr>
<w:r><w:t xml:space="preserve">Here and there in the Arctic province remains of old village</w:t></w:r>
</w:p>
<w:p>
<w:pPr><w:pStyle w:val="Normal"/></w:pPr>
<w:r><w:t xml:space="preserve">sites have been examined, and collections brought away by whalers</w:t></w:r>
</w:p>
<w:p>
<w:pPr><w:pStyle w:val="Normal"/></w:pPr>
<w:r><w:t xml:space="preserve">and exploring expeditions.  Two facts are established--namely,</w:t></w:r>
</w:p>
<w:p>
<w:pPr><w:pStyle w:val="Normal"/></w:pPr>
<w:r><w:t xml:space="preserve">that the Eskimo lived formerly farther south on the Atlantic</w:t></w:r>
</w:p>
<w:p>
<w:pPr><w:pStyle w:val="Normal"/></w:pPr>
<w:r><w:t xml:space="preserve">coast, and that, aboriginally, they were not specially adept</w:t></w:r>
</w:p>
<w:p>
<w:pPr><w:pStyle w:val="Normal"/></w:pPr>
<w:r><w:t xml:space="preserve">in carving and etching.  The old apparatus of hunting and</w:t></w:r>
</w:p>
<w:p>
<w:pPr><w:pStyle w:val="Normal"/></w:pPr>
<w:r><w:t xml:space="preserve">fishing is quite primitive.  The Dene (Tinneh) province</w:t></w:r>
</w:p>
<w:p>
<w:pPr><w:pStyle w:val="Normal"/></w:pPr>
<w:r><w:t xml:space="preserve">in Alaska and north-western Canada yields nothing to the</w:t></w:r>
</w:p>
<w:p>
<w:pPr><w:pStyle w:val="Normal"/></w:pPr>
<w:r><w:t xml:space="preserve">spade.  Algonquin-Iroquois Canada, thanks to the Geological</w:t></w:r>
</w:p>
<w:p>
<w:pPr><w:pStyle w:val="Normal"/></w:pPr>
<w:r><w:t xml:space="preserve">Survey and the Department of Education in Ontario, has revealed</w:t></w:r>
</w:p>
<w:p>
<w:pPr><w:pStyle w:val="Normal"/></w:pPr>
<w:r><w:t xml:space="preserve">old Indian camps, mounds and earthworks along the northern</w:t></w:r>
</w:p>
<w:p>
<w:pPr><w:pStyle w:val="Normal"/></w:pPr>
<w:r><w:t xml:space="preserve">drainage of Lakes Erie and Ontario, and pottery in a curved</w:t></w:r>
</w:p>
<w:p>
<w:pPr><w:pStyle w:val="Normal"/></w:pPr>
<w:r><w:t xml:space="preserve">line from Montreal to Lake of the Woods.  Throughout eastern</w:t></w:r>
</w:p>
<w:p>
<w:pPr><w:pStyle w:val="Normal"/></w:pPr>
<w:r><w:t xml:space="preserve">United States shell-heaps, quarries, workshops and camp sites</w:t></w:r>
</w:p>
<w:p>
<w:pPr><w:pStyle w:val="Normal"/></w:pPr>
<w:r><w:t xml:space="preserve">are in abundance.  The Sioux and the Muskhogee province is</w:t></w:r>
</w:p>
<w:p>
<w:pPr><w:pStyle w:val="Normal"/></w:pPr>
<w:r><w:t xml:space="preserve">the mound area, which extends also into Canada along the</w:t></w:r>
</w:p>
<w:p>
<w:pPr><w:pStyle w:val="Normal"/></w:pPr>
<w:r><w:t xml:space="preserve">Red river.  The forms of these are earth-heaps, conical</w:t></w:r>
</w:p>
<w:p>
<w:pPr><w:pStyle w:val="Normal"/></w:pPr>
<w:r><w:t xml:space="preserve">mounds, walls of earth, rectangular pyramids and effigies</w:t></w:r>
</w:p>
<w:p>
<w:pPr><w:pStyle w:val="Normal"/></w:pPr>
<w:r><w:t xml:space="preserve">(Putnam).  Thomas sums up the work of the Bureau of American</w:t></w:r>
</w:p>
<w:p>
<w:pPr><w:pStyle w:val="Normal"/></w:pPr>
<w:r><w:t xml:space="preserve">Ethnology upon the structure, contents and distribution of</w:t></w:r>
</w:p>
<w:p>
<w:pPr><w:pStyle w:val="Normal"/></w:pPr>
<w:r><w:t xml:space="preserve">these earth monuments, over a vast area from which adobe,</w:t></w:r>
</w:p>
<w:p>
<w:pPr><w:pStyle w:val="Normal"/></w:pPr>
<w:r><w:t xml:space="preserve">building stone and stone-working material were absent. (See</w:t></w:r>
</w:p>
<w:p>
<w:pPr><w:pStyle w:val="Normal"/></w:pPr>
<w:r><w:t xml:space="preserve">Hodge&apos;s List of Pubs. of the Bur. Am. Ethnol.) No writings</w:t></w:r>
</w:p>
<w:p>
<w:pPr><w:pStyle w:val="Normal"/></w:pPr>
<w:r><w:t xml:space="preserve">have been recovered, the artisans shaping small objects in</w:t></w:r>
</w:p>
<w:p>
<w:pPr><w:pStyle w:val="Normal"/></w:pPr>
<w:r><w:t xml:space="preserve">stone were specially gifted, the potters in only a few places</w:t></w:r>
</w:p>
<w:p>
<w:pPr><w:pStyle w:val="Normal"/></w:pPr>
<w:r><w:t xml:space="preserve">approached those of the Pueblos, the fine art was poor, and</w:t></w:r>
</w:p>
<w:p>
<w:pPr><w:pStyle w:val="Normal"/></w:pPr>
<w:r><w:t xml:space="preserve">relics found in the mounds do not indicate in their makers</w:t></w:r>
</w:p>
<w:p>
<w:pPr><w:pStyle w:val="Normal"/></w:pPr>
<w:r><w:t xml:space="preserve">a grade of culture above that of the Indian tribes near</w:t></w:r>
</w:p>
<w:p>
<w:pPr><w:pStyle w:val="Normal"/></w:pPr>
<w:r><w:t xml:space="preserve">by.  The archaeology of the Pacific coast, from the Aleutian</w:t></w:r>
</w:p>
<w:p>
<w:pPr><w:pStyle w:val="Normal"/></w:pPr>
<w:r><w:t xml:space="preserve">Islands, is written in shell-heaps, village sites, caves,</w:t></w:r>
</w:p>
<w:p>
<w:pPr><w:pStyle w:val="Normal"/></w:pPr>
<w:r><w:t xml:space="preserve">and burial-places (Dall, Harlan I. Smith, Schumacher).</w:t></w:r>
</w:p>
<w:p>
<w:pPr><w:pStyle w:val="Normal"/></w:pPr>
<w:r><w:t xml:space="preserve">The relics of bone, antler, stone, shell and copper are of</w:t></w:r>
</w:p>
<w:p>
<w:pPr><w:pStyle w:val="Normal"/></w:pPr>
<w:r><w:t xml:space="preserve">yesterday.  Even the Calaveras man is no exception, since</w:t></w:r>
</w:p>
<w:p>
<w:pPr><w:pStyle w:val="Normal"/></w:pPr>
<w:r><w:t xml:space="preserve">his skull and his polished conical pestle, the latter made</w:t></w:r>
</w:p>
<w:p>
<w:pPr><w:pStyle w:val="Normal"/></w:pPr>
<w:r><w:t xml:space="preserve">of stone more recent than the auriferous gravels, show him</w:t></w:r>
</w:p>
<w:p>
<w:pPr><w:pStyle w:val="Normal"/></w:pPr>
<w:r><w:t xml:space="preserve">to have been of Digger Indian type.  In Utah begin the ruins</w:t></w:r>
</w:p>
<w:p>
<w:pPr><w:pStyle w:val="Normal"/></w:pPr>
<w:r><w:t xml:space="preserve">of the Pueblo culture.  These cover Arizona and New Mexico,</w:t></w:r>
</w:p>
<w:p>
<w:pPr><w:pStyle w:val="Normal"/></w:pPr>
<w:r><w:t xml:space="preserve">with extensions into Colorado on the north and Mexico on the</w:t></w:r>
</w:p>
<w:p>
<w:pPr><w:pStyle w:val="Normal"/></w:pPr>
<w:r><w:t xml:space="preserve">south.  The reports of work done in this province for several</w:t></w:r>
</w:p>
<w:p>
<w:pPr><w:pStyle w:val="Normal"/></w:pPr>
<w:r><w:t xml:space="preserve">years past form a library of text and illustration.  Cliff</w:t></w:r>
</w:p>
<w:p>
<w:pPr><w:pStyle w:val="Normal"/></w:pPr>
<w:r><w:t xml:space="preserve">dwellings, cavate houses, pueblos and casas are all brought</w:t></w:r>
</w:p>
<w:p>
<w:pPr><w:pStyle w:val="Normal"/></w:pPr>
<w:r><w:t xml:space="preserve">into a series without a break by Bandelier, Cushing, Fewkes,</w:t></w:r>
</w:p>
<w:p>
<w:pPr><w:pStyle w:val="Normal"/></w:pPr>
<w:r><w:t xml:space="preserve">Holmes, Hough, Mindeleff, Nordenskjold, Powell and Stevenson.</w:t></w:r>
</w:p>
<w:p>
<w:pPr><w:pStyle w:val="Normal"/></w:pPr>
<w:r><w:t xml:space="preserve">From Casa Grande, in Chihuahua, to Quemada, in Zacatecas, Carl</w:t></w:r>
</w:p>
<w:p>
<w:pPr><w:pStyle w:val="Normal"/></w:pPr>
<w:r><w:t xml:space="preserve">S. Lumholtz found survivals of the cliff dwellers.  Between</w:t></w:r>
</w:p>
<w:p>
<w:pPr><w:pStyle w:val="Normal"/></w:pPr>
<w:r><w:t xml:space="preserve">Quemada and Copan, in Honduras, is an unbroken series of mural</w:t></w:r>
</w:p>
<w:p>
<w:pPr><w:pStyle w:val="Normal"/></w:pPr>
<w:r><w:t xml:space="preserve">structures.  The traditions agree with the monuments, whatever</w:t></w:r>
</w:p>
<w:p>
<w:pPr><w:pStyle w:val="Normal"/></w:pPr>
<w:r><w:t xml:space="preserve">may be objected to assigning any one ruin to the Toltec, the</w:t></w:r>
</w:p>
<w:p>
<w:pPr><w:pStyle w:val="Normal"/></w:pPr>
<w:r><w:t xml:space="preserve">Chichimec or the Nahuatl, that there are distinct varieties</w:t></w:r>
</w:p>
<w:p>
<w:pPr><w:pStyle w:val="Normal"/></w:pPr>
<w:r><w:t xml:space="preserve">in ground-plan, motives, stone-craft, wall decorations and</w:t></w:r>
</w:p>
<w:p>
<w:pPr><w:pStyle w:val="Normal"/></w:pPr>
<w:r><w:t xml:space="preserve">sculptures.  Among these splendours in stone the following</w:t></w:r>
</w:p>
<w:p>
<w:pPr><w:pStyle w:val="Normal"/></w:pPr>
<w:r><w:t xml:space="preserve">recent explorers must be the student&apos;s guide:--Bowditch, Charnay,</w:t></w:r>
</w:p>
<w:p>
<w:pPr><w:pStyle w:val="Normal"/></w:pPr>
<w:r><w:t xml:space="preserve">Forstemann, F. T. Goodman, Gordon, Holmes, Maudslay, Mercer,</w:t></w:r>
</w:p>
<w:p>
<w:pPr><w:pStyle w:val="Normal"/></w:pPr>
<w:r><w:t xml:space="preserve">Putnam, Sapper, Marshall H. Saville, Seler, Cyrus Thomas,</w:t></w:r>
</w:p>
<w:p>
<w:pPr><w:pStyle w:val="Normal"/></w:pPr>
<w:r><w:t xml:space="preserve">Thompson.  A list of the ruins, printed in the handbook on</w:t></w:r>
</w:p>
<w:p>
<w:pPr><w:pStyle w:val="Normal"/></w:pPr>
<w:r><w:t xml:space="preserve">Mexico published by the Department of State in Washington,</w:t></w:r>
</w:p>
<w:p>
<w:pPr><w:pStyle w:val="Normal"/></w:pPr>
<w:r><w:t xml:space="preserve">covers several pages.  The special characteristics of each</w:t></w:r>
</w:p>
<w:p>
<w:pPr><w:pStyle w:val="Normal"/></w:pPr>
<w:r><w:t xml:space="preserve">are to be seen partly in the skill and genius of their makers,</w:t></w:r>
</w:p>
<w:p>
<w:pPr><w:pStyle w:val="Normal"/></w:pPr>
<w:r><w:t xml:space="preserve">and partly in the exigencies of the site and the available</w:t></w:r>
</w:p>
<w:p>
<w:pPr><w:pStyle w:val="Normal"/></w:pPr>
<w:r><w:t xml:space="preserve">materials.  A fascinating study in this connexion is that of the</w:t></w:r>
</w:p>
<w:p>
<w:pPr><w:pStyle w:val="Normal"/></w:pPr>
<w:r><w:t xml:space="preserve">water-supply.  The cenotes or underground reservoirs were the</w:t></w:r>
</w:p>
<w:p>
<w:pPr><w:pStyle w:val="Normal"/></w:pPr>
<w:r><w:t xml:space="preserve">important factors in locating the ruins of northern Yucatan.</w:t></w:r>
</w:p>
<w:p>
<w:pPr><w:pStyle w:val="Normal"/></w:pPr>
<w:r><w:t xml:space="preserve">From Honduras to Panama the urn burials, the pottery, the rude</w:t></w:r>
</w:p>
<w:p>
<w:pPr><w:pStyle w:val="Normal"/></w:pPr>
<w:r><w:t xml:space="preserve">carved images and, above all, the grotesque jewellery, absorb the</w:t></w:r>
</w:p>
<w:p>
<w:pPr><w:pStyle w:val="Normal"/></w:pPr>
<w:r><w:t xml:space="preserve">archaeologist&apos;s attention. (Publications of Peabody Museum.)</w:t></w:r>
</w:p>
<w:p>
<w:pPr><w:pStyle w:val="Normal"/></w:pPr>
<w:r><w:t xml:space="preserve">Beyond Chiriqui southward is El Dorado.  Here also bewildering</w:t></w:r>
</w:p>
<w:p>
<w:pPr><w:pStyle w:val="Normal"/></w:pPr>
<w:r><w:t xml:space="preserve">products of ancient metallurgy tax the imagination as to</w:t></w:r>
</w:p>
<w:p>
<w:pPr><w:pStyle w:val="Normal"/></w:pPr>
<w:r><w:t xml:space="preserve">the processes involved, and questions of acculturation also</w:t></w:r>
</w:p>
<w:p>
<w:pPr><w:pStyle w:val="Normal"/></w:pPr>
<w:r><w:t xml:space="preserve">interfere with true scientific results.  The fact remains,</w:t></w:r>
</w:p>
<w:p>
<w:pPr><w:pStyle w:val="Normal"/></w:pPr>
<w:r><w:t xml:space="preserve">however, that the curious metal-craft of the narrow strip</w:t></w:r>
</w:p>
<w:p>
<w:pPr><w:pStyle w:val="Normal"/></w:pPr>
<w:r><w:t xml:space="preserve">along the Pacific from Mexico to Titicaca is the greatest of</w:t></w:r>
</w:p>
<w:p>
<w:pPr><w:pStyle w:val="Normal"/></w:pPr>
<w:r><w:t xml:space="preserve">archaeological enigmas.  Bandelier, Dorsey, Holmes, Seler and</w:t></w:r>
</w:p>
<w:p>
<w:pPr><w:pStyle w:val="Normal"/></w:pPr>
<w:r><w:t xml:space="preserve">Uhle have taken up the questions anew.  Beyond Colombia are</w:t></w:r>
</w:p>
<w:p>
<w:pPr><w:pStyle w:val="Normal"/></w:pPr>
<w:r><w:t xml:space="preserve">Ecuador and Peru, where, in the widening of the continent,</w:t></w:r>
</w:p>
<w:p>
<w:pPr><w:pStyle w:val="Normal"/></w:pPr>
<w:r><w:t xml:space="preserve">architecture, stone-working, pottery, metallurgy, textiles</w:t></w:r>
</w:p>
<w:p>
<w:pPr><w:pStyle w:val="Normal"/></w:pPr>
<w:r><w:t xml:space="preserve">are again exalted.  Among the Cordilleras in their western</w:t></w:r>
</w:p>
<w:p>
<w:pPr><w:pStyle w:val="Normal"/></w:pPr>
<w:r><w:t xml:space="preserve">and interior drainages, over a space covering more than twenty</w:t></w:r>
</w:p>
<w:p>
<w:pPr><w:pStyle w:val="Normal"/></w:pPr>
<w:r><w:t xml:space="preserve">degrees of latitude, the student comes again upon massive</w:t></w:r>
</w:p>
<w:p>
<w:pPr><w:pStyle w:val="Normal"/></w:pPr>
<w:r><w:t xml:space="preserve">ruins.  The materials on the coast were clay and gravel</w:t></w:r>
</w:p>
<w:p>
<w:pPr><w:pStyle w:val="Normal"/></w:pPr>
<w:r><w:t xml:space="preserve">wrought into concrete, sun-dried bricks and pise, or rammed</w:t></w:r>
</w:p>
<w:p>
<w:pPr><w:pStyle w:val="Normal"/></w:pPr>
<w:r><w:t xml:space="preserve">work, cut stalks of plants formed with clay a kind of</w:t></w:r>
</w:p>
<w:p>
<w:pPr><w:pStyle w:val="Normal"/></w:pPr>
<w:r><w:t xml:space="preserve">staff, and lintels were made by burying stems of cana brava</w:t></w:r>
</w:p>
<w:p>
<w:pPr><w:pStyle w:val="Normal"/></w:pPr>
<w:r><w:t xml:space="preserve">(Gynerium saccharoides) in blocks of pise.  On the uplands</w:t></w:r>
</w:p>
<w:p>
<w:pPr><w:pStyle w:val="Normal"/></w:pPr>
<w:r><w:t xml:space="preserve">structures were of stone laid up in a dozen ways.  Walls for</w:t></w:r>
</w:p>
<w:p>
<w:pPr><w:pStyle w:val="Normal"/></w:pPr>
<w:r><w:t xml:space="preserve">buildings, garden terraces and aqueducts were straight or</w:t></w:r>
</w:p>
<w:p>
<w:pPr><w:pStyle w:val="Normal"/></w:pPr>
<w:r><w:t xml:space="preserve">sloping.  Doorways were usually square, but corbelled archways</w:t></w:r>
</w:p>
<w:p>
<w:pPr><w:pStyle w:val="Normal"/></w:pPr>
<w:r><w:t xml:space="preserve">and gateways surmounted with sculptures were not uncommon.</w:t></w:r>
</w:p>
<w:p>
<w:pPr><w:pStyle w:val="Normal"/></w:pPr>
<w:r><w:t xml:space="preserve">Ornamentation was in carving and in colour, the latter far</w:t></w:r>
</w:p>
<w:p>
<w:pPr><w:pStyle w:val="Normal"/></w:pPr>
<w:r><w:t xml:space="preserve">more effectively used than in Middle America.  A glance at the</w:t></w:r>
</w:p>
<w:p>
<w:pPr><w:pStyle w:val="Normal"/></w:pPr>
<w:r><w:t xml:space="preserve">exquisite textiles reveals at once the inspiration of mural</w:t></w:r>
</w:p>
<w:p>
<w:pPr><w:pStyle w:val="Normal"/></w:pPr>
<w:r><w:t xml:space="preserve">decorations.  The most prolific source of Peruvian relics is</w:t></w:r>
</w:p>
<w:p>
<w:pPr><w:pStyle w:val="Normal"/></w:pPr>
<w:r><w:t xml:space="preserve">the sepulchres or huacas, the same materials being used in</w:t></w:r>
</w:p>
<w:p>
<w:pPr><w:pStyle w:val="Normal"/></w:pPr>
<w:r><w:t xml:space="preserve">their construction as in building the houses.  Here, owing to</w:t></w:r>
</w:p>
<w:p>
<w:pPr><w:pStyle w:val="Normal"/></w:pPr>
<w:r><w:t xml:space="preserve">a dry climate, are the dead, clad and surrounded with food,</w:t></w:r>
</w:p>
<w:p>
<w:pPr><w:pStyle w:val="Normal"/></w:pPr>
<w:r><w:t xml:space="preserve">vessels, tools and art products, as in life.  The textiles</w:t></w:r>
</w:p>
<w:p>
<w:pPr><w:pStyle w:val="Normal"/></w:pPr>
<w:r><w:t xml:space="preserve">and the pottery can only be mentioned; their quality and</w:t></w:r>
</w:p>
<w:p>
<w:pPr><w:pStyle w:val="Normal"/></w:pPr>
<w:r><w:t xml:space="preserve">endless varieties astonish the technologist.  In the Carib</w:t></w:r>
</w:p>
<w:p>
<w:pPr><w:pStyle w:val="Normal"/></w:pPr>
<w:r><w:t xml:space="preserve">province there are no mural remains, but the pottery, with</w:t></w:r>
</w:p>
<w:p>
<w:pPr><w:pStyle w:val="Normal"/></w:pPr>
<w:r><w:t xml:space="preserve">its excessive onlaying, recalls Mexico and the jewellers of</w:t></w:r>
</w:p>
<w:p>
<w:pPr><w:pStyle w:val="Normal"/></w:pPr>
<w:r><w:t xml:space="preserve">Chiriqui.  The polished stone work is superb, finding its</w:t></w:r>
</w:p>
<w:p>
<w:pPr><w:pStyle w:val="Normal"/></w:pPr>
<w:r><w:t xml:space="preserve">climax in Porto Rico, which seems to have been the sacred</w:t></w:r>
</w:p>
<w:p>
<w:pPr><w:pStyle w:val="Normal"/></w:pPr>
<w:r><w:t xml:space="preserve">island of the Caribs.  For the coasts of South America the</w:t></w:r>
</w:p>
<w:p>
<w:pPr><w:pStyle w:val="Normal"/></w:pPr>
<w:r><w:t xml:space="preserve">vast shell-heaps are the repositories of ancient history.</w:t></w:r>
</w:p>
<w:p>
<w:pPr><w:pStyle w:val="Normal"/></w:pPr>
<w:r><w:t xml:space="preserve">Paleolithic man.</w:t></w:r>
</w:p>
<w:p>
<w:pPr><w:pStyle w:val="Normal"/></w:pPr>
<w:r><w:t xml:space="preserve">Since 1880 organized institutions of anthropology have</w:t></w:r>
</w:p>
<w:p>
<w:pPr><w:pStyle w:val="Normal"/></w:pPr>
<w:r><w:t xml:space="preserve">taken the spade out of the hands of individual explorers in</w:t></w:r>
</w:p>
<w:p>
<w:pPr><w:pStyle w:val="Normal"/></w:pPr>
<w:r><w:t xml:space="preserve">order to know the truth concerning Glacial or Pleistocene</w:t></w:r>
</w:p>
<w:p>
<w:pPr><w:pStyle w:val="Normal"/></w:pPr>
<w:r><w:t xml:space="preserve">man.  The geologist and the trained archaeologist are</w:t></w:r>
</w:p>
<w:p>
<w:pPr><w:pStyle w:val="Normal"/></w:pPr>
<w:r><w:t xml:space="preserve">associated.  In North America the sites have been examined</w:t></w:r>
</w:p>
<w:p>
<w:pPr><w:pStyle w:val="Normal"/></w:pPr>
<w:r><w:t xml:space="preserve">by the Peabody Museum, the Bureau of American Ethnology, and</w:t></w:r>
</w:p>
<w:p>
<w:pPr><w:pStyle w:val="Normal"/></w:pPr>
<w:r><w:t xml:space="preserve">others, with the result that only the Trenton gravels have</w:t></w:r>
</w:p>
<w:p>
<w:pPr><w:pStyle w:val="Normal"/></w:pPr>
<w:r><w:t xml:space="preserve">any standing.  The so-called palaeolithic implements are</w:t></w:r>
</w:p>
<w:p>
<w:pPr><w:pStyle w:val="Normal"/></w:pPr>
<w:r><w:t xml:space="preserve">everywhere.  The question is one of geology, simply to decide</w:t></w:r>
</w:p>
<w:p>
<w:pPr><w:pStyle w:val="Normal"/></w:pPr>
<w:r><w:t xml:space="preserve">whether those recovered at Trenton are ancient.  Putnam</w:t></w:r>
</w:p>
<w:p>
<w:pPr><w:pStyle w:val="Normal"/></w:pPr>
<w:r><w:t xml:space="preserve">and George Frederick Wright maintain that they are ancient,</w:t></w:r>
</w:p>
<w:p>
<w:pPr><w:pStyle w:val="Normal"/></w:pPr>
<w:r><w:t xml:space="preserve">Alex.  Francis Chamberlain and Holmes that they are post-Glacial</w:t></w:r>
</w:p>
<w:p>
<w:pPr><w:pStyle w:val="Normal"/></w:pPr>
<w:r><w:t xml:space="preserve">and comparatively recent (Am. Anthrop., N.S. i. pp. 107,</w:t></w:r>
</w:p>
<w:p>
<w:pPr><w:pStyle w:val="Normal"/></w:pPr>
<w:r><w:t xml:space="preserve">614).  Elsewhere in the United States fossilized bones,</w:t></w:r>
</w:p>
<w:p>
<w:pPr><w:pStyle w:val="Normal"/></w:pPr>
<w:r><w:t xml:space="preserve">crania of a low order, association of human remains with</w:t></w:r>
</w:p>
<w:p>
<w:pPr><w:pStyle w:val="Normal"/></w:pPr>
<w:r><w:t xml:space="preserve">those of fossil animals are not necessarily evidence of vast</w:t></w:r>
</w:p>
<w:p>
<w:pPr><w:pStyle w:val="Normal"/></w:pPr>
<w:r><w:t xml:space="preserve">antiquity.  In South America the shell-heaps, of enormous</w:t></w:r>
</w:p>
<w:p>
<w:pPr><w:pStyle w:val="Normal"/></w:pPr>
<w:r><w:t xml:space="preserve">size, are supposed to show that the animals have undergone</w:t></w:r>
</w:p>
<w:p>
<w:pPr><w:pStyle w:val="Normal"/></w:pPr>
<w:r><w:t xml:space="preserve">changes in size and that such vast masses require untold ages to</w:t></w:r>
</w:p>
<w:p>
<w:pPr><w:pStyle w:val="Normal"/></w:pPr>
<w:r><w:t xml:space="preserve">accumulate.  The first is a biological problem.  As for the</w:t></w:r>
</w:p>
<w:p>
<w:pPr><w:pStyle w:val="Normal"/></w:pPr>
<w:r><w:t xml:space="preserve">second, the elements of savage voracity and wastefulness,</w:t></w:r>
</w:p>
<w:p>
<w:pPr><w:pStyle w:val="Normal"/></w:pPr>
<w:r><w:t xml:space="preserve">of uncertainty as to cubical contents on uneven surface,</w:t></w:r>
</w:p>
<w:p>
<w:pPr><w:pStyle w:val="Normal"/></w:pPr>
<w:r><w:t xml:space="preserve">and of the number of mouths to fill, make it hazardous to</w:t></w:r>
</w:p>
<w:p>
<w:pPr><w:pStyle w:val="Normal"/></w:pPr>
<w:r><w:t xml:space="preserve">construct a chronological table on a shell-heap.  Hudson&apos;s</w:t></w:r>
</w:p>
<w:p>
<w:pPr><w:pStyle w:val="Normal"/></w:pPr>
<w:r><w:t xml:space="preserve">village sites in Patagonia contain pottery, and that brings</w:t></w:r>
</w:p>
<w:p>
<w:pPr><w:pStyle w:val="Normal"/></w:pPr>
<w:r><w:t xml:space="preserve">them all into the territory of Indian archaeology.  Ameghino</w:t></w:r>
</w:p>
<w:p>
<w:pPr><w:pStyle w:val="Normal"/></w:pPr>
<w:r><w:t xml:space="preserve">refers deposits in Patagonia, from which undoubted human</w:t></w:r>
</w:p>
<w:p>
<w:pPr><w:pStyle w:val="Normal"/></w:pPr>
<w:r><w:t xml:space="preserve">bones and relics have been exhumed, to the Miocene.  The</w:t></w:r>
</w:p>
<w:p>
<w:pPr><w:pStyle w:val="Normal"/></w:pPr>
<w:r><w:t xml:space="preserve">question is of the age of the sediments from which these were</w:t></w:r>
</w:p>
<w:p>
<w:pPr><w:pStyle w:val="Normal"/></w:pPr>
<w:r><w:t xml:space="preserve">taken.  The bones of other associated animals, says John B.</w:t></w:r>
</w:p>
<w:p>
<w:pPr><w:pStyle w:val="Normal"/></w:pPr>
<w:r><w:t xml:space="preserve">Hatcher, demonstrate the Pleistocene nature of the deposits,</w:t></w:r>
</w:p>
<w:p>
<w:pPr><w:pStyle w:val="Normal"/></w:pPr>
<w:r><w:t xml:space="preserve">by which is not necessarily meant older Quaternary, for their</w:t></w:r>
</w:p>
<w:p>
<w:pPr><w:pStyle w:val="Normal"/></w:pPr>
<w:r><w:t xml:space="preserve">horizons have not been differentiated and correlated in South</w:t></w:r>
</w:p>
<w:p>
<w:pPr><w:pStyle w:val="Normal"/></w:pPr>
<w:r><w:t xml:space="preserve">America.  Hatcher believes that &quot;there is no good evidence</w:t></w:r>
</w:p>
<w:p>
<w:pPr><w:pStyle w:val="Normal"/></w:pPr>
<w:r><w:t xml:space="preserve">in favour of a great antiquity for man in Patagonia.&quot; In a</w:t></w:r>
</w:p>
<w:p>
<w:pPr><w:pStyle w:val="Normal"/></w:pPr>
<w:r><w:t xml:space="preserve">cave near Consuelo Cove, southern Patagonia, have been found</w:t></w:r>
</w:p>
<w:p>
<w:pPr><w:pStyle w:val="Normal"/></w:pPr>
<w:r><w:t xml:space="preserve">fragments of the skin and bones of a large ground-sloth,</w:t></w:r>
</w:p>
<w:p>
<w:pPr><w:pStyle w:val="Normal"/></w:pPr>
<w:r><w:t xml:space="preserve">Grypotherium (Neomylodon) listai, associated with human</w:t></w:r>
</w:p>
<w:p>
<w:pPr><w:pStyle w:val="Normal"/></w:pPr>
<w:r><w:t xml:space="preserve">remains.  Ameghino argues that this creature is still living,</w:t></w:r>
</w:p>
<w:p>
<w:pPr><w:pStyle w:val="Normal"/></w:pPr>
<w:r><w:t xml:space="preserve">while Ur Moreno advances the theory that the animal has been</w:t></w:r>
</w:p>
<w:p>
<w:pPr><w:pStyle w:val="Normal"/></w:pPr>
<w:r><w:t xml:space="preserve">extinct for a long period, and that it was domesticated by</w:t></w:r>
</w:p>
<w:p>
<w:pPr><w:pStyle w:val="Normal"/></w:pPr>
<w:r><w:t xml:space="preserve">a people of great antiquity, who dwelt there prior to the</w:t></w:r>
</w:p>
<w:p>
<w:pPr><w:pStyle w:val="Normal"/></w:pPr>
<w:r><w:t xml:space="preserve">Indians.  Rodolfo Hauthal, Walter E. Roth and Dr R. Lehmann</w:t></w:r>
</w:p>
<w:p>
<w:pPr><w:pStyle w:val="Normal"/></w:pPr>
<w:r><w:t xml:space="preserve">Nitsche review their work with the conclusion, not unanimously</w:t></w:r>
</w:p>
<w:p>
<w:pPr><w:pStyle w:val="Normal"/></w:pPr>
<w:r><w:t xml:space="preserve">held by them, that man co-existed here with all the other</w:t></w:r>
</w:p>
<w:p>
<w:pPr><w:pStyle w:val="Normal"/></w:pPr>
<w:r><w:t xml:space="preserve">animals whose remains were found during an inter-Glacial</w:t></w:r>
</w:p>
<w:p>
<w:pPr><w:pStyle w:val="Normal"/></w:pPr>
<w:r><w:t xml:space="preserve">period.  Arthur Smith Woodward sums up the question in</w:t></w:r>
</w:p>
<w:p>
<w:pPr><w:pStyle w:val="Normal"/></w:pPr>
<w:r><w:t xml:space="preserve">Proceedings of the Zoological Society of London, closing with</w:t></w:r>
</w:p>
<w:p>
<w:pPr><w:pStyle w:val="Normal"/></w:pPr>
<w:r><w:t xml:space="preserve">this sentence: &quot;If we accept the confirmatory evidence afforded</w:t></w:r>
</w:p>
<w:p>
<w:pPr><w:pStyle w:val="Normal"/></w:pPr>
<w:r><w:t xml:space="preserve">by Mr Spencer Moore, we can hardly refuse to believe that this</w:t></w:r>
</w:p>
<w:p>
<w:pPr><w:pStyle w:val="Normal"/></w:pPr>
<w:r><w:t xml:space="preserve">ground-sloth was kept and fed by an early race of men.&quot; These</w:t></w:r>
</w:p>
<w:p>
<w:pPr><w:pStyle w:val="Normal"/></w:pPr>
<w:r><w:t xml:space="preserve">are individual opinions, subject to revision by that court of</w:t></w:r>
</w:p>
<w:p>
<w:pPr><w:pStyle w:val="Normal"/></w:pPr>
<w:r><w:t xml:space="preserve">appeals, the institutional judgment. (Summary in H. Hesketh</w:t></w:r>
</w:p>
<w:p>
<w:pPr><w:pStyle w:val="Normal"/></w:pPr>
<w:r><w:t xml:space="preserve">Prichard, Through the Heart of Patagonia (1902), Appendix A.)</w:t></w:r>
</w:p>
<w:p>
<w:pPr><w:pStyle w:val="Normal"/></w:pPr>
<w:r><w:t xml:space="preserve">AUTHORITIES.--A valuable endowment of research in specimens,</w:t></w:r>
</w:p>
<w:p>
<w:pPr><w:pStyle w:val="Normal"/></w:pPr>
<w:r><w:t xml:space="preserve">literature and pictures, deposited in libraries, museums and</w:t></w:r>
</w:p>
<w:p>
<w:pPr><w:pStyle w:val="Normal"/></w:pPr>
<w:r><w:t xml:space="preserve">galleries since 1880, will keep ethnologists and archaeologists</w:t></w:r>
</w:p>
<w:p>
<w:pPr><w:pStyle w:val="Normal"/></w:pPr>
<w:r><w:t xml:space="preserve">employed for many years to come.  The scientific inquirer will</w:t></w:r>
</w:p>
<w:p>
<w:pPr><w:pStyle w:val="Normal"/></w:pPr>
<w:r><w:t xml:space="preserve">find a mass of material in the papers and reports contributed</w:t></w:r>
</w:p>
<w:p>
<w:pPr><w:pStyle w:val="Normal"/></w:pPr>
<w:r><w:t xml:space="preserve">to the numerous societies and institutions which are devoted</w:t></w:r>
</w:p>
<w:p>
<w:pPr><w:pStyle w:val="Normal"/></w:pPr>
<w:r><w:t xml:space="preserve">to anthropological research.  Museums of aboriginal culture</w:t></w:r>
</w:p>
<w:p>
<w:pPr><w:pStyle w:val="Normal"/></w:pPr>
<w:r><w:t xml:space="preserve">are without number; in Washington the Smithsonian Institution,</w:t></w:r>
</w:p>
<w:p>
<w:pPr><w:pStyle w:val="Normal"/></w:pPr>
<w:r><w:t xml:space="preserve">the National Museum, the Bureau of American Ethnology and the</w:t></w:r>
</w:p>
<w:p>
<w:pPr><w:pStyle w:val="Normal"/></w:pPr>
<w:r><w:t xml:space="preserve">American Anthropologist issue publications on every division</w:t></w:r>
</w:p>
<w:p>
<w:pPr><w:pStyle w:val="Normal"/></w:pPr>
<w:r><w:t xml:space="preserve">of the subject, lists of their publications and general</w:t></w:r>
</w:p>
<w:p>
<w:pPr><w:pStyle w:val="Normal"/></w:pPr>
<w:r><w:t xml:space="preserve">bibliographies.  Also the Peabody Museum, Cambridge; the</w:t></w:r>
</w:p>
<w:p>
<w:pPr><w:pStyle w:val="Normal"/></w:pPr>
<w:r><w:t xml:space="preserve">American Museum of Natural History, New York; the Academy of</w:t></w:r>
</w:p>
<w:p>
<w:pPr><w:pStyle w:val="Normal"/></w:pPr>
<w:r><w:t xml:space="preserve">Natural Sciences, Philadelphia; the Field Museum, Chicago; the</w:t></w:r>
</w:p>
<w:p>
<w:pPr><w:pStyle w:val="Normal"/></w:pPr>
<w:r><w:t xml:space="preserve">California Academy and the California University, San Francisco;</w:t></w:r>
</w:p>
<w:p>
<w:pPr><w:pStyle w:val="Normal"/></w:pPr>
<w:r><w:t xml:space="preserve">and the Canadian Institute, Toronto, publish monographs and</w:t></w:r>
</w:p>
<w:p>
<w:pPr><w:pStyle w:val="Normal"/></w:pPr>
<w:r><w:t xml:space="preserve">lists.  The most comprehensive work on North America is the</w:t></w:r>
</w:p>
<w:p>
<w:pPr><w:pStyle w:val="Normal"/></w:pPr>
<w:r><w:t xml:space="preserve">Handbook of American Indians (prepared by the Bureau of American</w:t></w:r>
</w:p>
<w:p>
<w:pPr><w:pStyle w:val="Normal"/></w:pPr>
<w:r><w:t xml:space="preserve">Ethnology, under W. H. Holmes, and edited by F. Webb Hodge).</w:t></w:r>
</w:p>
<w:p>
<w:pPr><w:pStyle w:val="Normal"/></w:pPr>
<w:r><w:t xml:space="preserve">The following represent a select list of works on the American</w:t></w:r>
</w:p>
<w:p>
<w:pPr><w:pStyle w:val="Normal"/></w:pPr>
<w:r><w:t xml:space="preserve">aborigines:--H.  H. Bancroft, Native Races of the Pacific</w:t></w:r>
</w:p>
<w:p>
<w:pPr><w:pStyle w:val="Normal"/></w:pPr>
<w:r><w:t xml:space="preserve">States of North America, vols. i.-v. (1874-1876); A. F.</w:t></w:r>
</w:p>
<w:p>
<w:pPr><w:pStyle w:val="Normal"/></w:pPr>
<w:r><w:t xml:space="preserve">Bandelier, Papers on the Sedentary Indians of New Mexico</w:t></w:r>
</w:p>
<w:p>
<w:pPr><w:pStyle w:val="Normal"/></w:pPr>
<w:r><w:t xml:space="preserve">(see Papers of the Archaeological Institute of America,</w:t></w:r>
</w:p>
<w:p>
<w:pPr><w:pStyle w:val="Normal"/></w:pPr>
<w:r><w:t xml:space="preserve">1881, 1890, 1892); also 10th, 11th, 12th Reports Peabody</w:t></w:r>
</w:p>
<w:p>
<w:pPr><w:pStyle w:val="Normal"/></w:pPr>
<w:r><w:t xml:space="preserve">Museum; Franz Boas, The Central Eskimo (6th Rep. Bur. Am.</w:t></w:r>
</w:p>
<w:p>
<w:pPr><w:pStyle w:val="Normal"/></w:pPr>
<w:r><w:t xml:space="preserve">Ethnol., 1888); also Bulls. 20, 26, 27 and Reports Brit.</w:t></w:r>
</w:p>
<w:p>
<w:pPr><w:pStyle w:val="Normal"/></w:pPr>
<w:r><w:t xml:space="preserve">Assoc. 1885-1898; Charles P. Bowditch, Mexican and Central</w:t></w:r>
</w:p>
<w:p>
<w:pPr><w:pStyle w:val="Normal"/></w:pPr>
<w:r><w:t xml:space="preserve">American Antiquities; Bull. 28, Bur. Am. Ethnol.; also The</w:t></w:r>
</w:p>
<w:p>
<w:pPr><w:pStyle w:val="Normal"/></w:pPr>
<w:r><w:t xml:space="preserve">Temples of the Cross and Mayan Nomenclature (Cambridge,</w:t></w:r>
</w:p>
<w:p>
<w:pPr><w:pStyle w:val="Normal"/></w:pPr>
<w:r><w:t xml:space="preserve">Mass., 1906); David Boyle, Reports of the Provincial Museum</w:t></w:r>
</w:p>
<w:p>
<w:pPr><w:pStyle w:val="Normal"/></w:pPr>
<w:r><w:t xml:space="preserve">of Toronto on Archaeology and Ethnology of Canada; D. G.</w:t></w:r>
</w:p>
<w:p>
<w:pPr><w:pStyle w:val="Normal"/></w:pPr>
<w:r><w:t xml:space="preserve">Brinton, Library of Aboriginal American Literature, vols.</w:t></w:r>
</w:p>
<w:p>
<w:pPr><w:pStyle w:val="Normal"/></w:pPr>
<w:r><w:t xml:space="preserve">i.-viii. (Philadelphia, 1822-1890); The American Race (New</w:t></w:r>
</w:p>
<w:p>
<w:pPr><w:pStyle w:val="Normal"/></w:pPr>
<w:r><w:t xml:space="preserve">York, 1891); Gustav Bruhl, Die Cultur-volker Amerikas</w:t></w:r>
</w:p>
<w:p>
<w:pPr><w:pStyle w:val="Normal"/></w:pPr>
<w:r><w:t xml:space="preserve">(Cincinnati, 1889); Desire Charnay, The Ancient Cities</w:t></w:r>
</w:p>
<w:p>
<w:pPr><w:pStyle w:val="Normal"/></w:pPr>
<w:r><w:t xml:space="preserve">of the New World (New York, 1887); Frank Cushing, Zuni</w:t></w:r>
</w:p>
<w:p>
<w:pPr><w:pStyle w:val="Normal"/></w:pPr>
<w:r><w:t xml:space="preserve">Folk Tales (New York, 1901); William H. Dall, Alaska and</w:t></w:r>
</w:p>
<w:p>
<w:pPr><w:pStyle w:val="Normal"/></w:pPr>
<w:r><w:t xml:space="preserve">its Resources (Boston: Lee &amp; Shepard, 1870) (also papers by</w:t></w:r>
</w:p>
<w:p>
<w:pPr><w:pStyle w:val="Normal"/></w:pPr>
<w:r><w:t xml:space="preserve">Bur. Am. Ethnol.); J. Deniker, The Races of Man (London,</w:t></w:r>
</w:p>
<w:p>
<w:pPr><w:pStyle w:val="Normal"/></w:pPr>
<w:r><w:t xml:space="preserve">1900); Roland B. Dixon, The Northern Maidu, Cal., Bull. 17,</w:t></w:r>
</w:p>
<w:p>
<w:pPr><w:pStyle w:val="Normal"/></w:pPr>
<w:r><w:t xml:space="preserve">Am. Mus. Nat. Hist. (New York, 1905); Paul Ehrenreich, Die</w:t></w:r>
</w:p>
<w:p>
<w:pPr><w:pStyle w:val="Normal"/></w:pPr>
<w:r><w:t xml:space="preserve">Volkerstamme Brasiliens (Berlin, 1892); Anthropologische</w:t></w:r>
</w:p>
<w:p>
<w:pPr><w:pStyle w:val="Normal"/></w:pPr>
<w:r><w:t xml:space="preserve">Studien uber die Urbewohner Brasiliens (Berlin, 1897);</w:t></w:r>
</w:p>
<w:p>
<w:pPr><w:pStyle w:val="Normal"/></w:pPr>
<w:r><w:t xml:space="preserve">Livingston Farrand, The American Nation: A History, vol. ii.</w:t></w:r>
</w:p>
<w:p>
<w:pPr><w:pStyle w:val="Normal"/></w:pPr>
<w:r><w:t xml:space="preserve">(New York, 1904), with copious references; J. W. Fewkes, A</w:t></w:r>
</w:p>
<w:p>
<w:pPr><w:pStyle w:val="Normal"/></w:pPr>
<w:r><w:t xml:space="preserve">Journal of American Ethnology and Archaeology, vols. i.-iv.</w:t></w:r>
</w:p>
<w:p>
<w:pPr><w:pStyle w:val="Normal"/></w:pPr>
<w:r><w:t xml:space="preserve">(Boston, 1891-1894); Pliny Earle Goddard, Life and Culture</w:t></w:r>
</w:p>
<w:p>
<w:pPr><w:pStyle w:val="Normal"/></w:pPr>
<w:r><w:t xml:space="preserve">of the Hupa, Univ. of Cal., vol. i. (1903): papers by F. W.</w:t></w:r>
</w:p>
<w:p>
<w:pPr><w:pStyle w:val="Normal"/></w:pPr>
<w:r><w:t xml:space="preserve">Hodge, List of Publications of the Bur. Am. Ethnol., Bull.</w:t></w:r>
</w:p>
<w:p>
<w:pPr><w:pStyle w:val="Normal"/></w:pPr>
<w:r><w:t xml:space="preserve">31 (1906); W. H. Holmes, Handbook of the Indians North of</w:t></w:r>
</w:p>
<w:p>
<w:pPr><w:pStyle w:val="Normal"/></w:pPr>
<w:r><w:t xml:space="preserve">Mexico; Alice C. Fletcher, Francis la Flesche and John Comfort</w:t></w:r>
</w:p>
<w:p>
<w:pPr><w:pStyle w:val="Normal"/></w:pPr>
<w:r><w:t xml:space="preserve">Fillmore, &quot;A Study of Omaha Indian Music,&quot; Peabody Museum</w:t></w:r>
</w:p>
<w:p>
<w:pPr><w:pStyle w:val="Normal"/></w:pPr>
<w:r><w:t xml:space="preserve">Archaeological and Ethnological Papers. i. (1893); George</w:t></w:r>
</w:p>
<w:p>
<w:pPr><w:pStyle w:val="Normal"/></w:pPr>
<w:r><w:t xml:space="preserve">Byron Gordon, &quot;Researches in Central America,&quot; Memoirs of the</w:t></w:r>
</w:p>
<w:p>
<w:pPr><w:pStyle w:val="Normal"/></w:pPr>
<w:r><w:t xml:space="preserve">Peabody Museum, vol. i.  Nos. 1, 4, 5, 6; and Proc.  Mus.</w:t></w:r>
</w:p>
<w:p>
<w:pPr><w:pStyle w:val="Normal"/></w:pPr>
<w:r><w:t xml:space="preserve">Univ. of Pa.; William H. Holmes, Archaeological Studies among</w:t></w:r>
</w:p>
<w:p>
<w:pPr><w:pStyle w:val="Normal"/></w:pPr>
<w:r><w:t xml:space="preserve">the Ancient Cities of Mexico (Chicago, 1895); Walter Hough,</w:t></w:r>
</w:p>
<w:p>
<w:pPr><w:pStyle w:val="Normal"/></w:pPr>
<w:r><w:t xml:space="preserve">Archaeological Field Work in N.-E.  Arizona, Museum-Gates</w:t></w:r>
</w:p>
<w:p>
<w:pPr><w:pStyle w:val="Normal"/></w:pPr>
<w:r><w:t xml:space="preserve">Expedition of 1901; Report U.S. National Museum, 1901;</w:t></w:r>
</w:p>
<w:p>
<w:pPr><w:pStyle w:val="Normal"/></w:pPr>
<w:r><w:t xml:space="preserve">Ales.  Hrdlicka, &quot;The Chichimecs,&quot; Am. Anthropologist,</w:t></w:r>
</w:p>
<w:p>
<w:pPr><w:pStyle w:val="Normal"/></w:pPr>
<w:r><w:t xml:space="preserve">1903, pp. 385-440; also papers on physical anthropology in the</w:t></w:r>
</w:p>
<w:p>
<w:pPr><w:pStyle w:val="Normal"/></w:pPr>
<w:r><w:t xml:space="preserve">Handbook and Pubs. of the National Museum and the American</w:t></w:r>
</w:p>
<w:p>
<w:pPr><w:pStyle w:val="Normal"/></w:pPr>
<w:r><w:t xml:space="preserve">Museum; Archer Butler Hulbert, Historic Highways of America,</w:t></w:r>
</w:p>
<w:p>
<w:pPr><w:pStyle w:val="Normal"/></w:pPr>
<w:r><w:t xml:space="preserve">16 vols. (Cleveland, O.); E. F. Im Thurn, Among the Indians</w:t></w:r>
</w:p>
<w:p>
<w:pPr><w:pStyle w:val="Normal"/></w:pPr>
<w:r><w:t xml:space="preserve">of British Guiana (London, 1883); A. H. Keane, Ethnology</w:t></w:r>
</w:p>
<w:p>
<w:pPr><w:pStyle w:val="Normal"/></w:pPr>
<w:r><w:t xml:space="preserve">(Cambridge, 1896); and Man, Past and Present (Cambridge,</w:t></w:r>
</w:p>
<w:p>
<w:pPr><w:pStyle w:val="Normal"/></w:pPr>
<w:r><w:t xml:space="preserve">1899); A. L. Kroeber, Papers on Eskimo, Arapaho, Languages</w:t></w:r>
</w:p>
<w:p>
<w:pPr><w:pStyle w:val="Normal"/></w:pPr>
<w:r><w:t xml:space="preserve">and Culture of California Tribes, in Pubs. of California</w:t></w:r>
</w:p>
<w:p>
<w:pPr><w:pStyle w:val="Normal"/></w:pPr>
<w:r><w:t xml:space="preserve">University and the American Museum of Natural History, N. Y.;</w:t></w:r>
</w:p>
<w:p>
<w:pPr><w:pStyle w:val="Normal"/></w:pPr>
<w:r><w:t xml:space="preserve">Albert Buell Lewis, &quot;Tribes of the Columbia Valley,&quot; Mem.</w:t></w:r>
</w:p>
<w:p>
<w:pPr><w:pStyle w:val="Normal"/></w:pPr>
<w:r><w:t xml:space="preserve">Anthrop.  Assoc. vol. i. (1906), with bibliography; Joseph</w:t></w:r>
</w:p>
<w:p>
<w:pPr><w:pStyle w:val="Normal"/></w:pPr>
<w:r><w:t xml:space="preserve">D. McGuire, &quot;The Stone Hammer and its Various Uses,&quot; Am.</w:t></w:r>
</w:p>
<w:p>
<w:pPr><w:pStyle w:val="Normal"/></w:pPr>
<w:r><w:t xml:space="preserve">Anthropologist, iv. (1891); Teobert Maler, &quot;Researches in</w:t></w:r>
</w:p>
<w:p>
<w:pPr><w:pStyle w:val="Normal"/></w:pPr>
<w:r><w:t xml:space="preserve">Usumatsintla Valley&quot; (1901- 1903), Peabody Museum Mem. ii.;</w:t></w:r>
</w:p>
<w:p>
<w:pPr><w:pStyle w:val="Normal"/></w:pPr>
<w:r><w:t xml:space="preserve">Clements R. Markham, Cuzco (London, 1836, and Hakluyt Soc.,</w:t></w:r>
</w:p>
<w:p>
<w:pPr><w:pStyle w:val="Normal"/></w:pPr>
<w:r><w:t xml:space="preserve">1859); Marquis de Nadaillac, L&apos;Amerique prehistorique</w:t></w:r>
</w:p>
<w:p>
<w:pPr><w:pStyle w:val="Normal"/></w:pPr>
<w:r><w:t xml:space="preserve">(Paris, 1883); H. J. Nieboer, Slavery as an Industrial System</w:t></w:r>
</w:p>
<w:p>
<w:pPr><w:pStyle w:val="Normal"/></w:pPr>
<w:r><w:t xml:space="preserve">(The Hague, 1900); G. Nordenskjold, The Cliff Dwellers of</w:t></w:r>
</w:p>
<w:p>
<w:pPr><w:pStyle w:val="Normal"/></w:pPr>
<w:r><w:t xml:space="preserve">the Mesa Verde, Colorado (Stockholm, 1893); Zelia Nuttall,</w:t></w:r>
</w:p>
<w:p>
<w:pPr><w:pStyle w:val="Normal"/></w:pPr>
<w:r><w:t xml:space="preserve">The Book of the Life of the Ancient Mexicans (Univ. of</w:t></w:r>
</w:p>
<w:p>
<w:pPr><w:pStyle w:val="Normal"/></w:pPr>
<w:r><w:t xml:space="preserve">Cal., 1903); An Ancient Mexican Codex, special publications</w:t></w:r>
</w:p>
<w:p>
<w:pPr><w:pStyle w:val="Normal"/></w:pPr>
<w:r><w:t xml:space="preserve">of the Peabody Museum (Cambridge, Mass., 1902); Edward John</w:t></w:r>
</w:p>
<w:p>
<w:pPr><w:pStyle w:val="Normal"/></w:pPr>
<w:r><w:t xml:space="preserve">Payne, History of the New World called America (vol. i.</w:t></w:r>
</w:p>
<w:p>
<w:pPr><w:pStyle w:val="Normal"/></w:pPr>
<w:r><w:t xml:space="preserve">1892, vol. ii. 1899, Oxford ); Antonio Penafiel, Monumentos</w:t></w:r>
</w:p>
<w:p>
<w:pPr><w:pStyle w:val="Normal"/></w:pPr>
<w:r><w:t xml:space="preserve">del Arte Mexicano antiguo (Berlin, 1890); James C. Pilling,</w:t></w:r>
</w:p>
<w:p>
<w:pPr><w:pStyle w:val="Normal"/></w:pPr>
<w:r><w:t xml:space="preserve">&quot;Bibliographies of Indian Languages,&quot; Bulls.  Bur. Am.</w:t></w:r>
</w:p>
<w:p>
<w:pPr><w:pStyle w:val="Normal"/></w:pPr>
<w:r><w:t xml:space="preserve">Ethnol. 5-19; J. W. Powell, &quot;Indian Linguistic Families,&quot;</w:t></w:r>
</w:p>
<w:p>
<w:pPr><w:pStyle w:val="Normal"/></w:pPr>
<w:r><w:t xml:space="preserve">7th Report Bureau of American Ethnology (1891); H. Hesketh</w:t></w:r>
</w:p>
<w:p>
<w:pPr><w:pStyle w:val="Normal"/></w:pPr>
<w:r><w:t xml:space="preserve">Prichard, Through the Heart of Patagonia (New York, 1902)</w:t></w:r>
</w:p>
<w:p>
<w:pPr><w:pStyle w:val="Normal"/></w:pPr>
<w:r><w:t xml:space="preserve">(appendix on the co-existence of mylodon and man); F. W.</w:t></w:r>
</w:p>
<w:p>
<w:pPr><w:pStyle w:val="Normal"/></w:pPr>
<w:r><w:t xml:space="preserve">Putnam, &quot;Archaeology and Ethnology,&quot; vol. vii., Wheeler</w:t></w:r>
</w:p>
<w:p>
<w:pPr><w:pStyle w:val="Normal"/></w:pPr>
<w:r><w:t xml:space="preserve">Surveys, &amp;c. (Washington, 1879); Charles Rau, The Palenque</w:t></w:r>
</w:p>
<w:p>
<w:pPr><w:pStyle w:val="Normal"/></w:pPr>
<w:r><w:t xml:space="preserve">Tablet, Smithsonian Contributions, Washington; Caecilie</w:t></w:r>
</w:p>
<w:p>
<w:pPr><w:pStyle w:val="Normal"/></w:pPr>
<w:r><w:t xml:space="preserve">Seler, Auf alten Wegen in Mexico und Guatemala (Berlin,</w:t></w:r>
</w:p>
<w:p>
<w:pPr><w:pStyle w:val="Normal"/></w:pPr>
<w:r><w:t xml:space="preserve">1900); Harlan I. Smith, &quot;Archaeological Discoveries in</w:t></w:r>
</w:p>
<w:p>
<w:pPr><w:pStyle w:val="Normal"/></w:pPr>
<w:r><w:t xml:space="preserve">North-Western America,&quot; Bull.  Am. Geographical Society</w:t></w:r>
</w:p>
<w:p>
<w:pPr><w:pStyle w:val="Normal"/></w:pPr>
<w:r><w:t xml:space="preserve">(May 1906); also Mem. Am. Mus. Nat. History (New York); Karl</w:t></w:r>
</w:p>
<w:p>
<w:pPr><w:pStyle w:val="Normal"/></w:pPr>
<w:r><w:t xml:space="preserve">von den Steinen, Unter den Naturvolkern Zentral-Brasiliens</w:t></w:r>
</w:p>
<w:p>
<w:pPr><w:pStyle w:val="Normal"/></w:pPr>
<w:r><w:t xml:space="preserve">(Berlin, 1884); E. H. Thompson, &quot;Explorations in Loltun and</w:t></w:r>
</w:p>
<w:p>
<w:pPr><w:pStyle w:val="Normal"/></w:pPr>
<w:r><w:t xml:space="preserve">Labna,&quot; Memoirs Peabody Museum of Archaeol. and Ethnol.</w:t></w:r>
</w:p>
<w:p>
<w:pPr><w:pStyle w:val="Normal"/></w:pPr>
<w:r><w:t xml:space="preserve">i. 1897; Max Uhle, &quot;Explorations in Peru,&quot; Memoir Univ. of</w:t></w:r>
</w:p>
<w:p>
<w:pPr><w:pStyle w:val="Normal"/></w:pPr>
<w:r><w:t xml:space="preserve">Cal. i.; Washington Matthews, Navaho Legends (Cambridge,</w:t></w:r>
</w:p>
<w:p>
<w:pPr><w:pStyle w:val="Normal"/></w:pPr>
<w:r><w:t xml:space="preserve">Mass.); Anne Cary Maudslay and Alfred Percival Maudslay, A</w:t></w:r>
</w:p>
<w:p>
<w:pPr><w:pStyle w:val="Normal"/></w:pPr>
<w:r><w:t xml:space="preserve">Glimpse at Guatemala (London, 1899) (Maudslay&apos;s whole series</w:t></w:r>
</w:p>
<w:p>
<w:pPr><w:pStyle w:val="Normal"/></w:pPr>
<w:r><w:t xml:space="preserve">in Biologia Centrali Americana, 1889-1902, are valuable);</w:t></w:r>
</w:p>
<w:p>
<w:pPr><w:pStyle w:val="Normal"/></w:pPr>
<w:r><w:t xml:space="preserve">H. C. Mercer, The Hill Caves of Yucatan (Philadelphia,</w:t></w:r>
</w:p>
<w:p>
<w:pPr><w:pStyle w:val="Normal"/></w:pPr>
<w:r><w:t xml:space="preserve">1896); Clarence B. Moore, papers on archaeology of Florida and</w:t></w:r>
</w:p>
<w:p>
<w:pPr><w:pStyle w:val="Normal"/></w:pPr>
<w:r><w:t xml:space="preserve">neighbouring states, Journal Acad.  Nat. Sc. (Philadelphia,</w:t></w:r>
</w:p>
<w:p>
<w:pPr><w:pStyle w:val="Normal"/></w:pPr>
<w:r><w:t xml:space="preserve">vol. xiii., 1905); Lewis H. Morgan, Smithsonian Contributions,</w:t></w:r>
</w:p>
<w:p>
<w:pPr><w:pStyle w:val="Normal"/></w:pPr>
<w:r><w:t xml:space="preserve">xvii., 1869; and Ancient Society, New York. (O. T. M.)</w:t></w:r>
</w:p>
<w:p>
<w:pPr><w:pStyle w:val="Normal"/></w:pPr>
<w:r><w:t xml:space="preserve">AMERICA ISLANDS, a name given to Christmas, Fanning, Palmyra</w:t></w:r>
</w:p>
<w:p>
<w:pPr><w:pStyle w:val="Normal"/></w:pPr>
<w:r><w:t xml:space="preserve">and attendant islets, belonging to Great Britain, in the</w:t></w:r>
</w:p>
<w:p>
<w:pPr><w:pStyle w:val="Normal"/></w:pPr>
<w:r><w:t xml:space="preserve">Central Pacific Ocean, between the equator and 6 deg.  N., and</w:t></w:r>
</w:p>
<w:p>
<w:pPr><w:pStyle w:val="Normal"/></w:pPr>
<w:r><w:t xml:space="preserve">about 160 deg.  W. They are so named because frequented for their</w:t></w:r>
</w:p>
<w:p>
<w:pPr><w:pStyle w:val="Normal"/></w:pPr>
<w:r><w:t xml:space="preserve">guano by traders from the United States.  Christmas Island</w:t></w:r>
</w:p>
<w:p>
<w:pPr><w:pStyle w:val="Normal"/></w:pPr>
<w:r><w:t xml:space="preserve">is probably the largest atoll in the Pacific (it is about 90</w:t></w:r>
</w:p>
<w:p>
<w:pPr><w:pStyle w:val="Normal"/></w:pPr>
<w:r><w:t xml:space="preserve">m. in circuit), and was discovered by Captain Cook in 1777.</w:t></w:r>
</w:p>
<w:p>
<w:pPr><w:pStyle w:val="Normal"/></w:pPr>
<w:r><w:t xml:space="preserve">The islands were annexed by Great Britain in 1888 in view of</w:t></w:r>
</w:p>
<w:p>
<w:pPr><w:pStyle w:val="Normal"/></w:pPr>
<w:r><w:t xml:space="preserve">the laying of the Pacific cable, of which Fanning Island is a</w:t></w:r>
</w:p>
<w:p>
<w:pPr><w:pStyle w:val="Normal"/></w:pPr>
<w:r><w:t xml:space="preserve">station.  Guano and mother-of-pearl shells are the principal</w:t></w:r>
</w:p>
<w:p>
<w:pPr><w:pStyle w:val="Normal"/></w:pPr>
<w:r><w:t xml:space="preserve">articles of export; the population of the islands is about 300.</w:t></w:r>
</w:p>
<w:p>
<w:pPr><w:pStyle w:val="Normal"/></w:pPr>
<w:r><w:t xml:space="preserve">AMERICAN CIVIL WAR (1861-1865). 1. The Civil War between</w:t></w:r>
</w:p>
<w:p>
<w:pPr><w:pStyle w:val="Normal"/></w:pPr>
<w:r><w:t xml:space="preserve">the northern and southern sections of the United States, which</w:t></w:r>
</w:p>
<w:p>
<w:pPr><w:pStyle w:val="Normal"/></w:pPr>
<w:r><w:t xml:space="preserve">began with the bombardment of Fort Sumter on the 12th of April</w:t></w:r>
</w:p>
<w:p>
<w:pPr><w:pStyle w:val="Normal"/></w:pPr>
<w:r><w:t xml:space="preserve">1861, and came to an end, in the last days of April 1865,</w:t></w:r>
</w:p>
<w:p>
<w:pPr><w:pStyle w:val="Normal"/></w:pPr>
<w:r><w:t xml:space="preserve">with the surrender of the Confederates, was in its scope one</w:t></w:r>
</w:p>
<w:p>
<w:pPr><w:pStyle w:val="Normal"/></w:pPr>
<w:r><w:t xml:space="preserve">of the greatest struggles known to history.  Its operations</w:t></w:r>
</w:p>
<w:p>
<w:pPr><w:pStyle w:val="Normal"/></w:pPr>
<w:r><w:t xml:space="preserve">were spread over thousands of miles, vast numbers of men were</w:t></w:r>
</w:p>
<w:p>
<w:pPr><w:pStyle w:val="Normal"/></w:pPr>
<w:r><w:t xml:space="preserve">employed, and both sides fought with an even more relentless</w:t></w:r>
</w:p>
<w:p>
<w:pPr><w:pStyle w:val="Normal"/></w:pPr>
<w:r><w:t xml:space="preserve">determination than is usual when &quot;armed nations&quot; meet in</w:t></w:r>
</w:p>
<w:p>
<w:pPr><w:pStyle w:val="Normal"/></w:pPr>
<w:r><w:t xml:space="preserve">battle.  The duration of the war was due to the nature of the</w:t></w:r>
</w:p>
<w:p>
<w:pPr><w:pStyle w:val="Normal"/></w:pPr>
<w:r><w:t xml:space="preserve">country and the enormous distances to be traversed, not to</w:t></w:r>
</w:p>
<w:p>
<w:pPr><w:pStyle w:val="Normal"/></w:pPr>
<w:r><w:t xml:space="preserve">any want of energy, for the armies were in deadly earnest and</w:t></w:r>
</w:p>
<w:p>
<w:pPr><w:pStyle w:val="Normal"/></w:pPr>
<w:r><w:t xml:space="preserve">their battles and combats (of which two thousand four hundred</w:t></w:r>
</w:p>
<w:p>
<w:pPr><w:pStyle w:val="Normal"/></w:pPr>
<w:r><w:t xml:space="preserve">can be named) sterner than those of almost any war in modern</w:t></w:r>
</w:p>
<w:p>
<w:pPr><w:pStyle w:val="Normal"/></w:pPr>
<w:r><w:t xml:space="preserve">history.  The political history of the war, its antecedents</w:t></w:r>
</w:p>
<w:p>
<w:pPr><w:pStyle w:val="Normal"/></w:pPr>
<w:r><w:t xml:space="preserve">and its consequences, are dealt with in the articles</w:t></w:r>
</w:p>
<w:p>
<w:pPr><w:pStyle w:val="Normal"/></w:pPr>
<w:r><w:t xml:space="preserve">UNITED STATES (History) and CONFEDERATE STATES. For</w:t></w:r>
</w:p>
<w:p>
<w:pPr><w:pStyle w:val="Normal"/></w:pPr>
<w:r><w:t xml:space="preserve">the purposes of the military narrative it is sufficient to</w:t></w:r>
</w:p>
<w:p>
<w:pPr><w:pStyle w:val="Normal"/></w:pPr>
<w:r><w:t xml:space="preserve">say that eleven southern states seceded from the Union and</w:t></w:r>
</w:p>
<w:p>
<w:pPr><w:pStyle w:val="Normal"/></w:pPr>
<w:r><w:t xml:space="preserve">formed the Confederate States of America.  Jefferson Davis</w:t></w:r>
</w:p>
<w:p>
<w:pPr><w:pStyle w:val="Normal"/></w:pPr>
<w:r><w:t xml:space="preserve">was chosen president of this confederacy, and an energetic</w:t></w:r>
</w:p>
<w:p>
<w:pPr><w:pStyle w:val="Normal"/></w:pPr>
<w:r><w:t xml:space="preserve">government prepared to repel the expected attack of the &quot;Union&quot;</w:t></w:r>
</w:p>
<w:p>
<w:pPr><w:pStyle w:val="Normal"/></w:pPr>
<w:r><w:t xml:space="preserve">states.  The &quot;resumption&quot; by the seceding states of the</w:t></w:r>
</w:p>
<w:p>
<w:pPr><w:pStyle w:val="Normal"/></w:pPr>
<w:r><w:t xml:space="preserve">coast defences (built on land ceded by the various states</w:t></w:r>
</w:p>
<w:p>
<w:pPr><w:pStyle w:val="Normal"/></w:pPr>
<w:r><w:t xml:space="preserve">to the Federal government, and, it was argued, withdrawn</w:t></w:r>
</w:p>
<w:p>
<w:pPr><w:pStyle w:val="Normal"/></w:pPr>
<w:r><w:t xml:space="preserve">therefore by the act of secession) brought on the war.</w:t></w:r>
</w:p>
<w:p>
<w:pPr><w:pStyle w:val="Normal"/></w:pPr>
<w:r><w:t xml:space="preserve">2. Bombardment of Fort Sumter.--South Carolina, finding</w:t></w:r>
</w:p>
<w:p>
<w:pPr><w:pStyle w:val="Normal"/></w:pPr>
<w:r><w:t xml:space="preserve">other means of seizing or regaining Fort Sumter at Charleston</w:t></w:r>
</w:p>
<w:p>
<w:pPr><w:pStyle w:val="Normal"/></w:pPr>
<w:r><w:t xml:space="preserve">ineffectual, ushered in the great struggle by the bombardment</w:t></w:r>
</w:p>
<w:p>
<w:pPr><w:pStyle w:val="Normal"/></w:pPr>
<w:r><w:t xml:space="preserve">of the 12th of April 1861.  Against overwhelming odds the</w:t></w:r>
</w:p>
<w:p>
<w:pPr><w:pStyle w:val="Normal"/></w:pPr>
<w:r><w:t xml:space="preserve">United States troops held out until honour was satisfied; they</w:t></w:r>
</w:p>
<w:p>
<w:pPr><w:pStyle w:val="Normal"/></w:pPr>
<w:r><w:t xml:space="preserve">then surrendered the ruins of the fort and were conveyed by</w:t></w:r>
</w:p>
<w:p>
<w:pPr><w:pStyle w:val="Normal"/></w:pPr>
<w:r><w:t xml:space="preserve">warships to the north.  At once the war spirit was aroused.</w:t></w:r>
</w:p>
<w:p>
<w:pPr><w:pStyle w:val="Normal"/></w:pPr>
<w:r><w:t xml:space="preserve">President Lincoln called out 75,000 men.  The few southern</w:t></w:r>
</w:p>
<w:p>
<w:pPr><w:pStyle w:val="Normal"/></w:pPr>
<w:r><w:t xml:space="preserve">states which had not yet seceded, refused their contingents</w:t></w:r>
</w:p>
<w:p>
<w:pPr><w:pStyle w:val="Normal"/></w:pPr>
<w:r><w:t xml:space="preserve">and promptly joined the &quot;rebels,&quot; but there was no hesitation</w:t></w:r>
</w:p>
<w:p>
<w:pPr><w:pStyle w:val="Normal"/></w:pPr>
<w:r><w:t xml:space="preserve">in the people of the North, and the state troops volunteered</w:t></w:r>
</w:p>
<w:p>
<w:pPr><w:pStyle w:val="Normal"/></w:pPr>
<w:r><w:t xml:space="preserve">in far greater numbers than had been demanded.  Nearly the</w:t></w:r>
</w:p>
<w:p>
<w:pPr><w:pStyle w:val="Normal"/></w:pPr>
<w:r><w:t xml:space="preserve">whole of the nation had now definitely taken sides in the</w:t></w:r>
</w:p>
<w:p>
<w:pPr><w:pStyle w:val="Normal"/></w:pPr>
<w:r><w:t xml:space="preserve">quarrel.  The Confederacy consisted of eleven states (Virginia,</w:t></w:r>
</w:p>
<w:p>
<w:pPr><w:pStyle w:val="Normal"/></w:pPr>
<w:r><w:t xml:space="preserve">North and South Carolina, Georgia, Florida, Alabama, Mississippi,</w:t></w:r>
</w:p>
<w:p>
<w:pPr><w:pStyle w:val="Normal"/></w:pPr>
<w:r><w:t xml:space="preserve">Louisiana, Texas, Arkansas and Tennessee).  All the remaining</w:t></w:r>
</w:p>
<w:p>
<w:pPr><w:pStyle w:val="Normal"/></w:pPr>
<w:r><w:t xml:space="preserve">states and territories stood by the Union, except Missouri,</w:t></w:r>
</w:p>
<w:p>
<w:pPr><w:pStyle w:val="Normal"/></w:pPr>
<w:r><w:t xml:space="preserve">Kentucky and Maryland, in which public opinion was divided.</w:t></w:r>
</w:p>
<w:p>
<w:pPr><w:pStyle w:val="Normal"/></w:pPr>
<w:r><w:t xml:space="preserve">But the first operations of the war brought about the willing</w:t></w:r>
</w:p>
<w:p>
<w:pPr><w:pStyle w:val="Normal"/></w:pPr>
<w:r><w:t xml:space="preserve">or unwilling adhesion of these border states to the Federal</w:t></w:r>
</w:p>
<w:p>
<w:pPr><w:pStyle w:val="Normal"/></w:pPr>
<w:r><w:t xml:space="preserve">cause.  Citizens of these states served on either side in the</w:t></w:r>
</w:p>
<w:p>
<w:pPr><w:pStyle w:val="Normal"/></w:pPr>
<w:r><w:t xml:space="preserve">war.  The small, but highly efficient, regular army stood by</w:t></w:r>
</w:p>
<w:p>
<w:pPr><w:pStyle w:val="Normal"/></w:pPr>
<w:r><w:t xml:space="preserve">the president, though large numbers of the officers, amongst</w:t></w:r>
</w:p>
<w:p>
<w:pPr><w:pStyle w:val="Normal"/></w:pPr>
<w:r><w:t xml:space="preserve">them many of the best in the service, left it when their states</w:t></w:r>
</w:p>
<w:p>
<w:pPr><w:pStyle w:val="Normal"/></w:pPr>
<w:r><w:t xml:space="preserve">seceded.  The navy likewise remained national, and of its</w:t></w:r>
</w:p>
<w:p>
<w:pPr><w:pStyle w:val="Normal"/></w:pPr>
<w:r><w:t xml:space="preserve">officers very few went with their states, for the foreign</w:t></w:r>
</w:p>
<w:p>
<w:pPr><w:pStyle w:val="Normal"/></w:pPr>
<w:r><w:t xml:space="preserve">relations of the navy tended to produce a sentiment wider than</w:t></w:r>
</w:p>
<w:p>
<w:pPr><w:pStyle w:val="Normal"/></w:pPr>
<w:r><w:t xml:space="preserve">local.  But the Federal armaments were not on such a scale</w:t></w:r>
</w:p>
<w:p>
<w:pPr><w:pStyle w:val="Normal"/></w:pPr>
<w:r><w:t xml:space="preserve">as to enable the government to cope with a &quot;nation in arms,&quot;</w:t></w:r>
</w:p>
<w:p>
<w:pPr><w:pStyle w:val="Normal"/></w:pPr>
<w:r><w:t xml:space="preserve">and the first call for volunteers was followed by more and</w:t></w:r>
</w:p>
<w:p>
<w:pPr><w:pStyle w:val="Normal"/></w:pPr>
<w:r><w:t xml:space="preserve">more, until in the end the Federals had more than a million</w:t></w:r>
</w:p>
<w:p>
<w:pPr><w:pStyle w:val="Normal"/></w:pPr>
<w:r><w:t xml:space="preserve">men under arms.  At first the troops on both sides were</w:t></w:r>
</w:p>
<w:p>
<w:pPr><w:pStyle w:val="Normal"/></w:pPr>
<w:r><w:t xml:space="preserve">voluntarily enlisted, but the South quickly, the North later,</w:t></w:r>
</w:p>
<w:p>
<w:pPr><w:pStyle w:val="Normal"/></w:pPr>
<w:r><w:t xml:space="preserve">put in force conscription acts.  Reducing the figures to a</w:t></w:r>
</w:p>
<w:p>
<w:pPr><w:pStyle w:val="Normal"/></w:pPr>
<w:r><w:t xml:space="preserve">three years&apos; average, the North furnished about 45% of her</w:t></w:r>
</w:p>
<w:p>
<w:pPr><w:pStyle w:val="Normal"/></w:pPr>
<w:r><w:t xml:space="preserve">military population, the South not less than 90% for that</w:t></w:r>
</w:p>
<w:p>
<w:pPr><w:pStyle w:val="Normal"/></w:pPr>
<w:r><w:t xml:space="preserve">term.  Even so the Confederacy was numerically, as in every</w:t></w:r>
</w:p>
<w:p>
<w:pPr><w:pStyle w:val="Normal"/></w:pPr>
<w:r><w:t xml:space="preserve">other respect, far weaker, and rarely, after the second year,</w:t></w:r>
</w:p>
<w:p>
<w:pPr><w:pStyle w:val="Normal"/></w:pPr>
<w:r><w:t xml:space="preserve">opposed equal numbers to the troops of the Union.  Throughout</w:t></w:r>
</w:p>
<w:p>
<w:pPr><w:pStyle w:val="Normal"/></w:pPr>
<w:r><w:t xml:space="preserve">the critical period of the war, that is, from the beginning</w:t></w:r>
</w:p>
<w:p>
<w:pPr><w:pStyle w:val="Normal"/></w:pPr>
<w:r><w:t xml:space="preserve">of 1862 up to the day of Chattanooga, three distinct campaigns</w:t></w:r>
</w:p>
<w:p>
<w:pPr><w:pStyle w:val="Normal"/></w:pPr>
<w:r><w:t xml:space="preserve">were always in progress.  Virginia, separating the two hostile</w:t></w:r>
</w:p>
<w:p>
<w:pPr><w:pStyle w:val="Normal"/></w:pPr>
<w:r><w:t xml:space="preserve">capitals, Richmond and Washington, was the theatre of the</w:t></w:r>
</w:p>
<w:p>
<w:pPr><w:pStyle w:val="Normal"/></w:pPr>
<w:r><w:t xml:space="preserve">great campaigns of the east, where the flower of both armies</w:t></w:r>
</w:p>
<w:p>
<w:pPr><w:pStyle w:val="Normal"/></w:pPr>
<w:r><w:t xml:space="preserve">fought.  In the centre, the valleys of the Ohio, the Cumberland</w:t></w:r>
</w:p>
<w:p>
<w:pPr><w:pStyle w:val="Normal"/></w:pPr>
<w:r><w:t xml:space="preserve">and the Tennessee were the battle-ground of large armies</w:t></w:r>
</w:p>
<w:p>
<w:pPr><w:pStyle w:val="Normal"/></w:pPr>
<w:r><w:t xml:space="preserve">attacking and defending the south and south-eastern states</w:t></w:r>
</w:p>
<w:p>
<w:pPr><w:pStyle w:val="Normal"/></w:pPr>
<w:r><w:t xml:space="preserve">of the Confederacy, while on and beyond the great waterway</w:t></w:r>
</w:p>
<w:p>
<w:pPr><w:pStyle w:val="Normal"/></w:pPr>
<w:r><w:t xml:space="preserve">of the Mississippi was carried on the struggle for those</w:t></w:r>
</w:p>
<w:p>
<w:pPr><w:pStyle w:val="Normal"/></w:pPr>
<w:r><w:t xml:space="preserve">interests, vital to either party, which depended on the mighty</w:t></w:r>
</w:p>
<w:p>
<w:pPr><w:pStyle w:val="Normal"/></w:pPr>
<w:r><w:t xml:space="preserve">river and its affluents.  Until the end of 1863 the events in</w:t></w:r>
</w:p>
<w:p>
<w:pPr><w:pStyle w:val="Normal"/></w:pPr>
<w:r><w:t xml:space="preserve">these three regions remain distinct episodes; after that the</w:t></w:r>
</w:p>
<w:p>
<w:pPr><w:pStyle w:val="Normal"/></w:pPr>
<w:r><w:t xml:space="preserve">whole theatre of war is comprised in the &quot;anaconda policy,&quot;</w:t></w:r>
</w:p>
<w:p>
<w:pPr><w:pStyle w:val="Normal"/></w:pPr>
<w:r><w:t xml:space="preserve">which concentrated irresistible masses of troops from all</w:t></w:r>
</w:p>
<w:p>
<w:pPr><w:pStyle w:val="Normal"/></w:pPr>
<w:r><w:t xml:space="preserve">sides on the heroic remnants of the Confederacy.  In Virginia</w:t></w:r>
</w:p>
<w:p>
<w:pPr><w:pStyle w:val="Normal"/></w:pPr>
<w:r><w:t xml:space="preserve">and the east, Washington, situated on the outpost line of</w:t></w:r>
</w:p>
<w:p>
<w:pPr><w:pStyle w:val="Normal"/></w:pPr>
<w:r><w:t xml:space="preserve">the Union, and separated by the &quot;border&quot; state of Maryland</w:t></w:r>
</w:p>
<w:p>
<w:pPr><w:pStyle w:val="Normal"/></w:pPr>
<w:r><w:t xml:space="preserve">from Pennsylvania and the North, was for some time in great</w:t></w:r>
</w:p>
<w:p>
<w:pPr><w:pStyle w:val="Normal"/></w:pPr>
<w:r><w:t xml:space="preserve">peril.  Virginia, and with it the Federal navy yard at Norfolk</w:t></w:r>
</w:p>
<w:p>
<w:pPr><w:pStyle w:val="Normal"/></w:pPr>
<w:r><w:t xml:space="preserve">and the arsenal at Harper&apos;s Ferry, was controlled by the</w:t></w:r>
</w:p>
<w:p>
<w:pPr><w:pStyle w:val="Normal"/></w:pPr>
<w:r><w:t xml:space="preserve">rebels.  Baltimore was the scene of a bloody riot as the first</w:t></w:r>
</w:p>
<w:p>
<w:pPr><w:pStyle w:val="Normal"/></w:pPr>
<w:r><w:t xml:space="preserve">Northern regiment (6th Mass.) passed through on its way to</w:t></w:r>
</w:p>
<w:p>
<w:pPr><w:pStyle w:val="Normal"/></w:pPr>
<w:r><w:t xml:space="preserve">Washington on the 19th of April, and, until troops could be</w:t></w:r>
</w:p>
<w:p>
<w:pPr><w:pStyle w:val="Normal"/></w:pPr>
<w:r><w:t xml:space="preserve">spared to protect the railway through Maryland, all reinforcements</w:t></w:r>
</w:p>
<w:p>
<w:pPr><w:pStyle w:val="Normal"/></w:pPr>
<w:r><w:t xml:space="preserve">for the national capital had to be brought up to Annapolis by</w:t></w:r>
</w:p>
<w:p>
<w:pPr><w:pStyle w:val="Normal"/></w:pPr>
<w:r><w:t xml:space="preserve">sea.  When that state was reduced to order, the Potomac became</w:t></w:r>
</w:p>
<w:p>
<w:pPr><w:pStyle w:val="Normal"/></w:pPr>
<w:r><w:t xml:space="preserve">the front, and, later, the base, of the Northern armies.</w:t></w:r>
</w:p>
<w:p>
<w:pPr><w:pStyle w:val="Normal"/></w:pPr>
<w:r><w:t xml:space="preserve">3. Missouri and West Virginia.--Missouri, at the other flank</w:t></w:r>
</w:p>
<w:p>
<w:pPr><w:pStyle w:val="Normal"/></w:pPr>
<w:r><w:t xml:space="preserve">of the line, contained an even stronger Confederate element,</w:t></w:r>
</w:p>
<w:p>
<w:pPr><w:pStyle w:val="Normal"/></w:pPr>
<w:r><w:t xml:space="preserve">and it was not without a severe struggle that the energy of</w:t></w:r>
</w:p>
<w:p>
<w:pPr><w:pStyle w:val="Normal"/></w:pPr>
<w:r><w:t xml:space="preserve">Mr (afterwards General) F. P. Blair, and of Nathaniel Lyon,</w:t></w:r>
</w:p>
<w:p>
<w:pPr><w:pStyle w:val="Normal"/></w:pPr>
<w:r><w:t xml:space="preserve">the Unionist military commander, prevailed over the party of</w:t></w:r>
</w:p>
<w:p>
<w:pPr><w:pStyle w:val="Normal"/></w:pPr>
<w:r><w:t xml:space="preserve">secession.  In Kentucky the Unionist victory was secured</w:t></w:r>
</w:p>
<w:p>
<w:pPr><w:pStyle w:val="Normal"/></w:pPr>
<w:r><w:t xml:space="preserve">almost without a blow, and, even at the end of 1861, the</w:t></w:r>
</w:p>
<w:p>
<w:pPr><w:pStyle w:val="Normal"/></w:pPr>
<w:r><w:t xml:space="preserve">Confederate outposts west of the Alleghenies lay no farther</w:t></w:r>
</w:p>
<w:p>
<w:pPr><w:pStyle w:val="Normal"/></w:pPr>
<w:r><w:t xml:space="preserve">north than the line Columbus--Bowling Green--Cumberland</w:t></w:r>
</w:p>
<w:p>
<w:pPr><w:pStyle w:val="Normal"/></w:pPr>
<w:r><w:t xml:space="preserve">Gap, though southern Missouri was still a contested</w:t></w:r>
</w:p>
<w:p>
<w:pPr><w:pStyle w:val="Normal"/></w:pPr>
<w:r><w:t xml:space="preserve">ground.  Between the Mississippi and the mountains the whole</w:t></w:r>
</w:p>
<w:p>
<w:pPr><w:pStyle w:val="Normal"/></w:pPr>
<w:r><w:t xml:space="preserve">of the year was spent by both sides in preparing for the</w:t></w:r>
</w:p>
<w:p>
<w:pPr><w:pStyle w:val="Normal"/></w:pPr>
<w:r><w:t xml:space="preserve">contest.  In the east hostilities began in earnest in western</w:t></w:r>
</w:p>
<w:p>
<w:pPr><w:pStyle w:val="Normal"/></w:pPr>
<w:r><w:t xml:space="preserve">Virginia.  This part of the state, strongly Unionist, had</w:t></w:r>
</w:p>
<w:p>
<w:pPr><w:pStyle w:val="Normal"/></w:pPr>
<w:r><w:t xml:space="preserve">striven to prevent secession, and soon became itself a state</w:t></w:r>
</w:p>
<w:p>
<w:pPr><w:pStyle w:val="Normal"/></w:pPr>
<w:r><w:t xml:space="preserve">of the Union (1863).  A force under General G. B. McClellan</w:t></w:r>
</w:p>
<w:p>
<w:pPr><w:pStyle w:val="Normal"/></w:pPr>
<w:r><w:t xml:space="preserve">advanced from the Ohio in June and captured Philippi.  This</w:t></w:r>
</w:p>
<w:p>
<w:pPr><w:pStyle w:val="Normal"/></w:pPr>
<w:r><w:t xml:space="preserve">promptitude was not only dictated by the necessity of preserving</w:t></w:r>
</w:p>
<w:p>
<w:pPr><w:pStyle w:val="Normal"/></w:pPr>
<w:r><w:t xml:space="preserve">West Virginia, but imposed by the necessity of holding the</w:t></w:r>
</w:p>
<w:p>
<w:pPr><w:pStyle w:val="Normal"/></w:pPr>
<w:r><w:t xml:space="preserve">Baltimore &amp; Ohio railway, which, as the great link between</w:t></w:r>
</w:p>
<w:p>
<w:pPr><w:pStyle w:val="Normal"/></w:pPr>
<w:r><w:t xml:space="preserve">east and west, was essential to the Federal armies.  A month</w:t></w:r>
</w:p>
<w:p>
<w:pPr><w:pStyle w:val="Normal"/></w:pPr>
<w:r><w:t xml:space="preserve">later, an easy triumph was obtained by McClellan and Rosecrans</w:t></w:r>
</w:p>
<w:p>
<w:pPr><w:pStyle w:val="Normal"/></w:pPr>
<w:r><w:t xml:space="preserve">against the Confederates of Virginia at Rich Mountain.</w:t></w:r>
</w:p>
<w:p>
<w:pPr><w:pStyle w:val="Normal"/></w:pPr>
<w:r><w:t xml:space="preserve">4. First Bull Run.--The opposing forces now in the field</w:t></w:r>
</w:p>
<w:p>
<w:pPr><w:pStyle w:val="Normal"/></w:pPr>
<w:r><w:t xml:space="preserve">numbered 190,000 Unionists and half that number of Confederates;</w:t></w:r>
</w:p>
<w:p>
<w:pPr><w:pStyle w:val="Normal"/></w:pPr>
<w:r><w:t xml:space="preserve">sixty-nine warships flew the Stars and Stripes and a number</w:t></w:r>
</w:p>
<w:p>
<w:pPr><w:pStyle w:val="Normal"/></w:pPr>
<w:r><w:t xml:space="preserve">of improvised ironclads and gunboats the rival &quot;Stars and</w:t></w:r>
</w:p>
<w:p>
<w:pPr><w:pStyle w:val="Normal"/></w:pPr>
<w:r><w:t xml:space="preserve">Bars.&quot; On the 10th of June a Federal force was defeated at Big</w:t></w:r>
</w:p>
<w:p>
<w:pPr><w:pStyle w:val="Normal"/></w:pPr>
<w:r><w:t xml:space="preserve">Bethel (near Fortress Monroe), and soon afterwards the main</w:t></w:r>
</w:p>
<w:p>
<w:pPr><w:pStyle w:val="Normal"/></w:pPr>
<w:r><w:t xml:space="preserve">Virginian campaign began.  On the Potomac the Unionist generals</w:t></w:r>
</w:p>
<w:p>
<w:pPr><w:pStyle w:val="Normal"/></w:pPr>
<w:r><w:t xml:space="preserve">McDowell and Patterson commanded respectively the forces at</w:t></w:r>
</w:p>
<w:p>
<w:pPr><w:pStyle w:val="Normal"/></w:pPr>
<w:r><w:t xml:space="preserve">Washington and Harper&apos;s Ferry, opposed by the Confederates under</w:t></w:r>
</w:p>
<w:p>
<w:pPr><w:pStyle w:val="Normal"/></w:pPr>
<w:r><w:t xml:space="preserve">Generals J. E. Johnston and Beauregard at Winchester and at</w:t></w:r>
</w:p>
<w:p>
<w:pPr><w:pStyle w:val="Normal"/></w:pPr>
<w:r><w:t xml:space="preserve">Manassas.  The forces of these four commanders were raw but</w:t></w:r>
</w:p>
<w:p>
<w:pPr><w:pStyle w:val="Normal"/></w:pPr>
<w:r><w:t xml:space="preserve">eager, and the people behind them clamoured for a decision.</w:t></w:r>
</w:p>
<w:p>
<w:pPr><w:pStyle w:val="Normal"/></w:pPr>
<w:r><w:t xml:space="preserve">Much against his own judgment, Lieutenant-General Winfield</w:t></w:r>
</w:p>
<w:p>
<w:pPr><w:pStyle w:val="Normal"/></w:pPr>
<w:r><w:t xml:space="preserve">Scott, the Federal general-in-chief, a veteran of the second</w:t></w:r>
</w:p>
<w:p>
<w:pPr><w:pStyle w:val="Normal"/></w:pPr>
<w:r><w:t xml:space="preserve">war with England and of the war with Mexico, felt constrained</w:t></w:r>
</w:p>
<w:p>
<w:pPr><w:pStyle w:val="Normal"/></w:pPr>
<w:r><w:t xml:space="preserve">to order an advance against Beauregard, while Patterson was to</w:t></w:r>
</w:p>
<w:p>
<w:pPr><w:pStyle w:val="Normal"/></w:pPr>
<w:r><w:t xml:space="preserve">hold Johnston in check on the Shenandoah.  On the 21st of July</w:t></w:r>
</w:p>
<w:p>
<w:pPr><w:pStyle w:val="Normal"/></w:pPr>
<w:r><w:t xml:space="preserve">took place the first battle of Bull Run (q.v.) between McDowell</w:t></w:r>
</w:p>
<w:p>
<w:pPr><w:pStyle w:val="Normal"/></w:pPr>
<w:r><w:t xml:space="preserve">and Beauregard, fought by the raw troops of both sides with an</w:t></w:r>
</w:p>
<w:p>
<w:pPr><w:pStyle w:val="Normal"/></w:pPr>
<w:r><w:t xml:space="preserve">obstinacy that foreboded the desperate battles of subsequent</w:t></w:r>
</w:p>
<w:p>
<w:pPr><w:pStyle w:val="Normal"/></w:pPr>
<w:r><w:t xml:space="preserve">campaigns.  The arrival of Johnston on the previous evening</w:t></w:r>
</w:p>
<w:p>
<w:pPr><w:pStyle w:val="Normal"/></w:pPr>
<w:r><w:t xml:space="preserve">and his lieutenant Kirby Smith at the crisis of the battle</w:t></w:r>
</w:p>
<w:p>
<w:pPr><w:pStyle w:val="Normal"/></w:pPr>
<w:r><w:t xml:space="preserve">(for Patterson&apos;s part in the plan had completely failed),</w:t></w:r>
</w:p>
<w:p>
<w:pPr><w:pStyle w:val="Normal"/></w:pPr>
<w:r><w:t xml:space="preserve">turned the scale, and the Federals, not yet disciplined to</w:t></w:r>
</w:p>
<w:p>
<w:pPr><w:pStyle w:val="Normal"/></w:pPr>
<w:r><w:t xml:space="preserve">bear the strain of a great battle, broke and fled in wild</w:t></w:r>
</w:p>
<w:p>
<w:pPr><w:pStyle w:val="Normal"/></w:pPr>
<w:r><w:t xml:space="preserve">rout.  The equally raw Confederates were in no condition to</w:t></w:r>
</w:p>
<w:p>
<w:pPr><w:pStyle w:val="Normal"/></w:pPr>
<w:r><w:t xml:space="preserve">pursue.  A desultory duel between the forces of Rosecrans and</w:t></w:r>
</w:p>
<w:p>
<w:pPr><w:pStyle w:val="Normal"/></w:pPr>
<w:r><w:t xml:space="preserve">Robert E. Lee in West Virginia, which ended in the withdrawal</w:t></w:r>
</w:p>
<w:p>
<w:pPr><w:pStyle w:val="Normal"/></w:pPr>
<w:r><w:t xml:space="preserve">of the Confederates, and a few combats on the Potomac</w:t></w:r>
</w:p>
<w:p>
<w:pPr><w:pStyle w:val="Normal"/></w:pPr>
<w:r><w:t xml:space="preserve">(Ball&apos;s Bluff or Leesburg, October 21; Dranesville, December</w:t></w:r>
</w:p>
<w:p>
<w:pPr><w:pStyle w:val="Normal"/></w:pPr>
<w:r><w:t xml:space="preserve">20), brought to a close the first campaign in the east.</w:t></w:r>
</w:p>
<w:p>
<w:pPr><w:pStyle w:val="Normal"/></w:pPr>
<w:r><w:t xml:space="preserve">5. Close of the First Year.--In the end Bull Run did more</w:t></w:r>
</w:p>
<w:p>
<w:pPr><w:pStyle w:val="Normal"/></w:pPr>
<w:r><w:t xml:space="preserve">harm to the victors than to the conquered.  The Southerners</w:t></w:r>
</w:p>
<w:p>
<w:pPr><w:pStyle w:val="Normal"/></w:pPr>
<w:r><w:t xml:space="preserve">undeniably rested on their laurels, and enabled McClellan, who</w:t></w:r>
</w:p>
<w:p>
<w:pPr><w:pStyle w:val="Normal"/></w:pPr>
<w:r><w:t xml:space="preserve">was now called to the chief military command at Washington, to</w:t></w:r>
</w:p>
<w:p>
<w:pPr><w:pStyle w:val="Normal"/></w:pPr>
<w:r><w:t xml:space="preserve">raise, organize and train the famous Army of the Potomac, which,</w:t></w:r>
</w:p>
<w:p>
<w:pPr><w:pStyle w:val="Normal"/></w:pPr>
<w:r><w:t xml:space="preserve">in defeat and victory, won its reputation as one of the finest</w:t></w:r>
</w:p>
<w:p>
<w:pPr><w:pStyle w:val="Normal"/></w:pPr>
<w:r><w:t xml:space="preserve">armies of modern history.  Johnston meanwhile was similarly</w:t></w:r>
</w:p>
<w:p>
<w:pPr><w:pStyle w:val="Normal"/></w:pPr>
<w:r><w:t xml:space="preserve">employed in fashioning the equally famous Army of northern</w:t></w:r>
</w:p>
<w:p>
<w:pPr><w:pStyle w:val="Normal"/></w:pPr>
<w:r><w:t xml:space="preserve">Virginia, which for three years carried the Confederacy on its</w:t></w:r>
</w:p>
<w:p>
<w:pPr><w:pStyle w:val="Normal"/></w:pPr>
<w:r><w:t xml:space="preserve">bayonets.  It was not until the people was stung by the</w:t></w:r>
</w:p>
<w:p>
<w:pPr><w:pStyle w:val="Normal"/></w:pPr>
<w:r><w:t xml:space="preserve">humiliation of Bull Run that the unorganized enthusiasm of the</w:t></w:r>
</w:p>
<w:p>
<w:pPr><w:pStyle w:val="Normal"/></w:pPr>
<w:r><w:t xml:space="preserve">North settled down into an invincible determination to crush</w:t></w:r>
</w:p>
<w:p>
<w:pPr><w:pStyle w:val="Normal"/></w:pPr>
<w:r><w:t xml:space="preserve">the rebellion at all costs.  The men of the South were not less</w:t></w:r>
</w:p>
<w:p>
<w:pPr><w:pStyle w:val="Normal"/></w:pPr>
<w:r><w:t xml:space="preserve">in earnest, and the most highly individualized people in the</w:t></w:r>
</w:p>
<w:p>
<w:pPr><w:pStyle w:val="Normal"/></w:pPr>
<w:r><w:t xml:space="preserve">world was thus found ready to accept a rigorous discipline as</w:t></w:r>
</w:p>
<w:p>
<w:pPr><w:pStyle w:val="Normal"/></w:pPr>
<w:r><w:t xml:space="preserve">the only way to success.  In the autumn, a spirited attempt</w:t></w:r>
</w:p>
<w:p>
<w:pPr><w:pStyle w:val="Normal"/></w:pPr>
<w:r><w:t xml:space="preserve">was made by the Arkansas Confederates to reoccupy Missouri.</w:t></w:r>
</w:p>
<w:p>
<w:pPr><w:pStyle w:val="Normal"/></w:pPr>
<w:r><w:t xml:space="preserve">Fremont, the Federal commander, proved quite unable to deal</w:t></w:r>
</w:p>
<w:p>
<w:pPr><w:pStyle w:val="Normal"/></w:pPr>
<w:r><w:t xml:space="preserve">with this, and the gallant Lyon was defeated and killed at</w:t></w:r>
</w:p>
<w:p>
<w:pPr><w:pStyle w:val="Normal"/></w:pPr>
<w:r><w:t xml:space="preserve">Wilson&apos;s Creek (August 10). Soon afterwards, after a steady</w:t></w:r>
</w:p>
<w:p>
<w:pPr><w:pStyle w:val="Normal"/></w:pPr>
<w:r><w:t xml:space="preserve">resistance, the Unionist garrison of Lexington surrendered</w:t></w:r>
</w:p>
<w:p>
<w:pPr><w:pStyle w:val="Normal"/></w:pPr>
<w:r><w:t xml:space="preserve">to Sterling Price.  But the work of Blair and Lyon had not</w:t></w:r>
</w:p>
<w:p>
<w:pPr><w:pStyle w:val="Normal"/></w:pPr>
<w:r><w:t xml:space="preserve">been in vain, and the mere menace of Fremont&apos;s advance</w:t></w:r>
</w:p>
<w:p>
<w:pPr><w:pStyle w:val="Normal"/></w:pPr>
<w:r><w:t xml:space="preserve">sufficed to clear the state, while General John Pope, by</w:t></w:r>
</w:p>
<w:p>
<w:pPr><w:pStyle w:val="Normal"/></w:pPr>
<w:r><w:t xml:space="preserve">vigorous action in the field and able civil administration,</w:t></w:r>
</w:p>
<w:p>
<w:pPr><w:pStyle w:val="Normal"/></w:pPr>
<w:r><w:t xml:space="preserve">restored order and quiet in the northern part of the</w:t></w:r>
</w:p>
<w:p>
<w:pPr><w:pStyle w:val="Normal"/></w:pPr>
<w:r><w:t xml:space="preserve">state.  In the central theatre (Kentucky), the only event</w:t></w:r>
</w:p>
<w:p>
<w:pPr><w:pStyle w:val="Normal"/></w:pPr>
<w:r><w:t xml:space="preserve">of importance was a daring reconnaissance of the Confederate</w:t></w:r>
</w:p>
<w:p>
<w:pPr><w:pStyle w:val="Normal"/></w:pPr>
<w:r><w:t xml:space="preserve">fort at Columbus on the Mississippi by a small force under</w:t></w:r>
</w:p>
<w:p>
<w:pPr><w:pStyle w:val="Normal"/></w:pPr>
<w:r><w:t xml:space="preserve">Brigadier-General U. S. Grant (action of Belmont, November 7).</w:t></w:r>
</w:p>
<w:p>
<w:pPr><w:pStyle w:val="Normal"/></w:pPr>
<w:r><w:t xml:space="preserve">6. The Blockade.--Meanwhile the Federal navy had settled</w:t></w:r>
</w:p>
<w:p>
<w:pPr><w:pStyle w:val="Normal"/></w:pPr>
<w:r><w:t xml:space="preserve">down to its fourfold task of blockading the enemy&apos;s coast</w:t></w:r>
</w:p>
<w:p>
<w:pPr><w:pStyle w:val="Normal"/></w:pPr>
<w:r><w:t xml:space="preserve">against the export of cotton and the import of war material,</w:t></w:r>
</w:p>
<w:p>
<w:pPr><w:pStyle w:val="Normal"/></w:pPr>
<w:r><w:t xml:space="preserve">protecting the Union commerce afloat, hindering the creation</w:t></w:r>
</w:p>
<w:p>
<w:pPr><w:pStyle w:val="Normal"/></w:pPr>
<w:r><w:t xml:space="preserve">of a Confederate navy and co- operating with the land</w:t></w:r>
</w:p>
<w:p>
<w:pPr><w:pStyle w:val="Normal"/></w:pPr>
<w:r><w:t xml:space="preserve">forces.  From the first months of the war the sea power of the</w:t></w:r>
</w:p>
<w:p>
<w:pPr><w:pStyle w:val="Normal"/></w:pPr>
<w:r><w:t xml:space="preserve">Federals was practically unchallenged, and the whole length of</w:t></w:r>
</w:p>
<w:p>
<w:pPr><w:pStyle w:val="Normal"/></w:pPr>
<w:r><w:t xml:space="preserve">the hostile coast-line was open to invasion.  But the blockade</w:t></w:r>
</w:p>
<w:p>
<w:pPr><w:pStyle w:val="Normal"/></w:pPr>
<w:r><w:t xml:space="preserve">of 3000 miles of coast was a far more formidable task, and</w:t></w:r>
</w:p>
<w:p>
<w:pPr><w:pStyle w:val="Normal"/></w:pPr>
<w:r><w:t xml:space="preserve">international law required it to be effective in order to be</w:t></w:r>
</w:p>
<w:p>
<w:pPr><w:pStyle w:val="Normal"/></w:pPr>
<w:r><w:t xml:space="preserve">respected.  Nevertheless along the whole line some kind of</w:t></w:r>
</w:p>
<w:p>
<w:pPr><w:pStyle w:val="Normal"/></w:pPr>
<w:r><w:t xml:space="preserve">surveillance was established long before the close of 1861,</w:t></w:r>
</w:p>
<w:p>
<w:pPr><w:pStyle w:val="Normal"/></w:pPr>
<w:r><w:t xml:space="preserve">and, in proportion as the number of vessels available increased,</w:t></w:r>
</w:p>
<w:p>
<w:pPr><w:pStyle w:val="Normal"/></w:pPr>
<w:r><w:t xml:space="preserve">the blockade became more and more stringent, until at last it</w:t></w:r>
</w:p>
<w:p>
<w:pPr><w:pStyle w:val="Normal"/></w:pPr>
<w:r><w:t xml:space="preserve">was practically unbreakable at any point save by the fastest</w:t></w:r>
</w:p>
<w:p>
<w:pPr><w:pStyle w:val="Normal"/></w:pPr>
<w:r><w:t xml:space="preserve">steamers working under unusually favourable conditions of</w:t></w:r>
</w:p>
<w:p>
<w:pPr><w:pStyle w:val="Normal"/></w:pPr>
<w:r><w:t xml:space="preserve">wind and weather.  As against the civilian enemy the navy</w:t></w:r>
</w:p>
<w:p>
<w:pPr><w:pStyle w:val="Normal"/></w:pPr>
<w:r><w:t xml:space="preserve">strangled commerce; its military preponderance nipped in the</w:t></w:r>
</w:p>
<w:p>
<w:pPr><w:pStyle w:val="Normal"/></w:pPr>
<w:r><w:t xml:space="preserve">bud every successive attempt of the Confederates to create a</w:t></w:r>
</w:p>
<w:p>
<w:pPr><w:pStyle w:val="Normal"/></w:pPr>
<w:r><w:t xml:space="preserve">fleet (for each new vessel as it emerged from the estuary or</w:t></w:r>
</w:p>
<w:p>
<w:pPr><w:pStyle w:val="Normal"/></w:pPr>
<w:r><w:t xml:space="preserve">harbour in which it had been built, was destroyed or driven</w:t></w:r>
</w:p>
<w:p>
<w:pPr><w:pStyle w:val="Normal"/></w:pPr>
<w:r><w:t xml:space="preserve">back), while at any given point a secure base was available</w:t></w:r>
</w:p>
<w:p>
<w:pPr><w:pStyle w:val="Normal"/></w:pPr>
<w:r><w:t xml:space="preserve">for the far- ranging operations of the Union armies.  Two</w:t></w:r>
</w:p>
<w:p>
<w:pPr><w:pStyle w:val="Normal"/></w:pPr>
<w:r><w:t xml:space="preserve">hundred and twelve warships or converted merchantmen were</w:t></w:r>
</w:p>
<w:p>
<w:pPr><w:pStyle w:val="Normal"/></w:pPr>
<w:r><w:t xml:space="preserve">in commission on the 1st of January 1862.  There had been</w:t></w:r>
</w:p>
<w:p>
<w:pPr><w:pStyle w:val="Normal"/></w:pPr>
<w:r><w:t xml:space="preserve">several coastal successes in 1861, notably the occupation of</w:t></w:r>
</w:p>
<w:p>
<w:pPr><w:pStyle w:val="Normal"/></w:pPr>
<w:r><w:t xml:space="preserve">Hatteras Inlet, North Carolina, by Commodore S. H. Stringham</w:t></w:r>
</w:p>
<w:p>
<w:pPr><w:pStyle w:val="Normal"/></w:pPr>
<w:r><w:t xml:space="preserve">and General B. F. Butler (August 28-29, 1861), and the</w:t></w:r>
</w:p>
<w:p>
<w:pPr><w:pStyle w:val="Normal"/></w:pPr>
<w:r><w:t xml:space="preserve">bombardment and capture of Forts Beauregard and Walker at Port</w:t></w:r>
</w:p>
<w:p>
<w:pPr><w:pStyle w:val="Normal"/></w:pPr>
<w:r><w:t xml:space="preserve">Royal, South Carolina, by the fleet under Commodore S. F.</w:t></w:r>
</w:p>
<w:p>
<w:pPr><w:pStyle w:val="Normal"/></w:pPr>
<w:r><w:t xml:space="preserve">duPont and the forces of General T. W. Sherman (November 7,</w:t></w:r>
</w:p>
<w:p>
<w:pPr><w:pStyle w:val="Normal"/></w:pPr>
<w:r><w:t xml:space="preserve">1861).  Early in 1862 a large expedition under General A. E.</w:t></w:r>
</w:p>
<w:p>
<w:pPr><w:pStyle w:val="Normal"/></w:pPr>
<w:r><w:t xml:space="preserve">Burnside and Commodore L. M. Goldsborough captured Roanoke</w:t></w:r>
</w:p>
<w:p>
<w:pPr><w:pStyle w:val="Normal"/></w:pPr>
<w:r><w:t xml:space="preserve">Island, and the troops penetrated inland as far as Newborn</w:t></w:r>
</w:p>
<w:p>
<w:pPr><w:pStyle w:val="Normal"/></w:pPr>
<w:r><w:t xml:space="preserve">(actions of February 8 and March 14). About the same time Fort</w:t></w:r>
</w:p>
<w:p>
<w:pPr><w:pStyle w:val="Normal"/></w:pPr>
<w:r><w:t xml:space="preserve">Pulaski (the main defence of Savannah, Georgia) was invested and</w:t></w:r>
</w:p>
<w:p>
<w:pPr><w:pStyle w:val="Normal"/></w:pPr>
<w:r><w:t xml:space="preserve">captured.  But the greatest and most important enterprise</w:t></w:r>
</w:p>
<w:p>
<w:pPr><w:pStyle w:val="Normal"/></w:pPr>
<w:r><w:t xml:space="preserve">was the capture of New Orleans (q.v.) by Flag-Officer D.</w:t></w:r>
</w:p>
<w:p>
<w:pPr><w:pStyle w:val="Normal"/></w:pPr>
<w:r><w:t xml:space="preserve">G. Farragut and General Butler (April 18-25, 1862).  This</w:t></w:r>
</w:p>
<w:p>
<w:pPr><w:pStyle w:val="Normal"/></w:pPr>
<w:r><w:t xml:space="preserve">success opened up the lower Mississippi at the same time as</w:t></w:r>
</w:p>
<w:p>
<w:pPr><w:pStyle w:val="Normal"/></w:pPr>
<w:r><w:t xml:space="preserve">the armies of the west began to move down that river under</w:t></w:r>
</w:p>
<w:p>
<w:pPr><w:pStyle w:val="Normal"/></w:pPr>
<w:r><w:t xml:space="preserve">Grant, who was always accompanied by the gunboat flotilla</w:t></w:r>
</w:p>
<w:p>
<w:pPr><w:pStyle w:val="Normal"/></w:pPr>
<w:r><w:t xml:space="preserve">which had been created on the upper waters in 1861.  A slight</w:t></w:r>
</w:p>
<w:p>
<w:pPr><w:pStyle w:val="Normal"/></w:pPr>
<w:r><w:t xml:space="preserve">campaign in New Mexico took place in February 1862, in which</w:t></w:r>
</w:p>
<w:p>
<w:pPr><w:pStyle w:val="Normal"/></w:pPr>
<w:r><w:t xml:space="preserve">several brilliant tactical successes were won by the Texan</w:t></w:r>
</w:p>
<w:p>
<w:pPr><w:pStyle w:val="Normal"/></w:pPr>
<w:r><w:t xml:space="preserve">forces, but no permanent foothold was secured by them.</w:t></w:r>
</w:p>
<w:p>
<w:pPr><w:pStyle w:val="Normal"/></w:pPr>
<w:r><w:t xml:space="preserve">7. Fort Donelson.--In the early months of 1862 preparations</w:t></w:r>
</w:p>
<w:p>
<w:pPr><w:pStyle w:val="Normal"/></w:pPr>
<w:r><w:t xml:space="preserve">on a gigantic scale were made for the conquest of the South.</w:t></w:r>
</w:p>
<w:p>
<w:pPr><w:pStyle w:val="Normal"/></w:pPr>
<w:r><w:t xml:space="preserve">McClellan and the Army of the Potomac faced Johnston, who</w:t></w:r>
</w:p>
<w:p>
<w:pPr><w:pStyle w:val="Normal"/></w:pPr>
<w:r><w:t xml:space="preserve">with the Army of northern Virginia lay at Manassas, exercising</w:t></w:r>
</w:p>
<w:p>
<w:pPr><w:pStyle w:val="Normal"/></w:pPr>
<w:r><w:t xml:space="preserve">and training his men with no less care than his opponent.</w:t></w:r>
</w:p>
<w:p>
<w:pPr><w:pStyle w:val="Normal"/></w:pPr>
<w:r><w:t xml:space="preserve">Major General D. C. Buell in Kentucky had likewise drilled his</w:t></w:r>
</w:p>
<w:p>
<w:pPr><w:pStyle w:val="Normal"/></w:pPr>
<w:r><w:t xml:space="preserve">troops to a high state of efficiency and was preparing to move</w:t></w:r>
</w:p>
<w:p>
<w:pPr><w:pStyle w:val="Normal"/></w:pPr>
<w:r><w:t xml:space="preserve">against the Confederate general Albert Sidney Johnston, whose</w:t></w:r>
</w:p>
<w:p>
<w:pPr><w:pStyle w:val="Normal"/></w:pPr>
<w:r><w:t xml:space="preserve">reputation was that of being the foremost soldier on either</w:t></w:r>
</w:p>
<w:p>
<w:pPr><w:pStyle w:val="Normal"/></w:pPr>
<w:r><w:t xml:space="preserve">side.  Farther west the troops on both sides were by no</w:t></w:r>
</w:p>
<w:p>
<w:pPr><w:pStyle w:val="Normal"/></w:pPr>
<w:r><w:t xml:space="preserve">means so well trained, yet active operations began on the</w:t></w:r>
</w:p>
<w:p>
<w:pPr><w:pStyle w:val="Normal"/></w:pPr>
<w:r><w:t xml:space="preserve">Tennessee.  Here Fort Donelson on the Cumberland, Fort Henry</w:t></w:r>
</w:p>
<w:p>
<w:pPr><w:pStyle w:val="Normal"/></w:pPr>
<w:r><w:t xml:space="preserve">on the Tennessee and Columbus on the Mississippi guarded the</w:t></w:r>
</w:p>
<w:p>
<w:pPr><w:pStyle w:val="Normal"/></w:pPr>
<w:r><w:t xml:space="preserve">left of the Southern line, Sidney Johnston himself maintaining</w:t></w:r>
</w:p>
<w:p>
<w:pPr><w:pStyle w:val="Normal"/></w:pPr>
<w:r><w:t xml:space="preserve">a precarious advanced position at Bowling Green, with his</w:t></w:r>
</w:p>
<w:p>
<w:pPr><w:pStyle w:val="Normal"/></w:pPr>
<w:r><w:t xml:space="preserve">lieutenants, Zollicoffer and Crittenden, farther east at</w:t></w:r>
</w:p>
<w:p>
<w:pPr><w:pStyle w:val="Normal"/></w:pPr>
<w:r><w:t xml:space="preserve">Mill Springs, and a small force under General Marshall in</w:t></w:r>
</w:p>
<w:p>
<w:pPr><w:pStyle w:val="Normal"/></w:pPr>
<w:r><w:t xml:space="preserve">the mountains of eastern Kentucky.  The last-named was soon</w:t></w:r>
</w:p>
<w:p>
<w:pPr><w:pStyle w:val="Normal"/></w:pPr>
<w:r><w:t xml:space="preserve">defeated by General James A. Garfield at Prestonburg, and a</w:t></w:r>
</w:p>
<w:p>
<w:pPr><w:pStyle w:val="Normal"/></w:pPr>
<w:r><w:t xml:space="preserve">few days later General G. H. Thomas won his first victory at</w:t></w:r>
</w:p>
<w:p>
<w:pPr><w:pStyle w:val="Normal"/></w:pPr>
<w:r><w:t xml:space="preserve">Mill Springs (Logan&apos;s Cross Roads).  Zollicoffer was killed and</w:t></w:r>
</w:p>
<w:p>
<w:pPr><w:pStyle w:val="Normal"/></w:pPr>
<w:r><w:t xml:space="preserve">his army forced to make a disastrous retreat (January 19-20,</w:t></w:r>
</w:p>
<w:p>
<w:pPr><w:pStyle w:val="Normal"/></w:pPr>
<w:r><w:t xml:space="preserve">1862).  The centre of Johnston&apos;s line (Forts Henry and Donelson)</w:t></w:r>
</w:p>
<w:p>
<w:pPr><w:pStyle w:val="Normal"/></w:pPr>
<w:r><w:t xml:space="preserve">was next attacked by General Grant and Flag- Officer A. H.</w:t></w:r>
</w:p>
<w:p>
<w:pPr><w:pStyle w:val="Normal"/></w:pPr>
<w:r><w:t xml:space="preserve">Foote.  On the 6th of February Fort Henry fell to Foote&apos;s</w:t></w:r>
</w:p>
<w:p>
<w:pPr><w:pStyle w:val="Normal"/></w:pPr>
<w:r><w:t xml:space="preserve">gunboat flotilla, and Grant then moved overland to Donelson.</w:t></w:r>
</w:p>
<w:p>
<w:pPr><w:pStyle w:val="Normal"/></w:pPr>
<w:r><w:t xml:space="preserve">His troops were raw and possessed no decisive superiority in</w:t></w:r>
</w:p>
<w:p>
<w:pPr><w:pStyle w:val="Normal"/></w:pPr>
<w:r><w:t xml:space="preserve">numbers, and sharp fighting took place when the garrison of</w:t></w:r>
</w:p>
<w:p>
<w:pPr><w:pStyle w:val="Normal"/></w:pPr>
<w:r><w:t xml:space="preserve">Donelson tried to cut its way out.  The attempt failed when</w:t></w:r>
</w:p>
<w:p>
<w:pPr><w:pStyle w:val="Normal"/></w:pPr>
<w:r><w:t xml:space="preserve">almost on the point of success, and the Federals, under the</w:t></w:r>
</w:p>
<w:p>
<w:pPr><w:pStyle w:val="Normal"/></w:pPr>
<w:r><w:t xml:space="preserve">excellent leadership of Generals C. F. Smith, Lew Wallace and</w:t></w:r>
</w:p>
<w:p>
<w:pPr><w:pStyle w:val="Normal"/></w:pPr>
<w:r><w:t xml:space="preserve">McClernand, effected a lodgment in the works.  The Confederate</w:t></w:r>
</w:p>
<w:p>
<w:pPr><w:pStyle w:val="Normal"/></w:pPr>
<w:r><w:t xml:space="preserve">commanders proved themselves quite unequal to the crisis, and</w:t></w:r>
</w:p>
<w:p>
<w:pPr><w:pStyle w:val="Normal"/></w:pPr>
<w:r><w:t xml:space="preserve">15,000 men surrendered with the fort on the 16th of February.</w:t></w:r>
</w:p>
<w:p>
<w:pPr><w:pStyle w:val="Normal"/></w:pPr>
<w:r><w:t xml:space="preserve">8. Island No. 10 and Pea Ridge.--This very considerable</w:t></w:r>
</w:p>
<w:p>
<w:pPr><w:pStyle w:val="Normal"/></w:pPr>
<w:r><w:t xml:space="preserve">success thrust back Johnston&apos;s whole line to New Madrid,</w:t></w:r>
</w:p>
<w:p>
<w:pPr><w:pStyle w:val="Normal"/></w:pPr>
<w:r><w:t xml:space="preserve">Corinth and the Memphis &amp; Charleston railway.  The left</w:t></w:r>
</w:p>
<w:p>
<w:pPr><w:pStyle w:val="Normal"/></w:pPr>
<w:r><w:t xml:space="preserve">flank, even after the evacuation of Columbus, was exposed,</w:t></w:r>
</w:p>
<w:p>
<w:pPr><w:pStyle w:val="Normal"/></w:pPr>
<w:r><w:t xml:space="preserve">and the Missouri divisions under Pope quickly seized New</w:t></w:r>
</w:p>
<w:p>
<w:pPr><w:pStyle w:val="Normal"/></w:pPr>
<w:r><w:t xml:space="preserve">Madrid.  The adjoining river defences of Island No. 10 in</w:t></w:r>
</w:p>
<w:p>
<w:pPr><w:pStyle w:val="Normal"/></w:pPr>
<w:r><w:t xml:space="preserve">the Mississippi proved more formidable.  Foote&apos;s gunboats</w:t></w:r>
</w:p>
<w:p>
<w:pPr><w:pStyle w:val="Normal"/></w:pPr>
<w:r><w:t xml:space="preserve">could, and did, run the gauntlet, but a canal had to be cut</w:t></w:r>
</w:p>
<w:p>
<w:pPr><w:pStyle w:val="Normal"/></w:pPr>
<w:r><w:t xml:space="preserve">right round the batteries for the transports, before the land</w:t></w:r>
</w:p>
<w:p>
<w:pPr><w:pStyle w:val="Normal"/></w:pPr>
<w:r><w:t xml:space="preserve">forces could cross the river and attack the works in rear;</w:t></w:r>
</w:p>
<w:p>
<w:pPr><w:pStyle w:val="Normal"/></w:pPr>
<w:r><w:t xml:space="preserve">when this was accomplished, by the skill and energy of all</w:t></w:r>
</w:p>
<w:p>
<w:pPr><w:pStyle w:val="Normal"/></w:pPr>
<w:r><w:t xml:space="preserve">concerned, the place with its garrison of 7000 men surrendered</w:t></w:r>
</w:p>
<w:p>
<w:pPr><w:pStyle w:val="Normal"/></w:pPr>
<w:r><w:t xml:space="preserve">at once (April 8, 1862).  Meanwhile, in the Missouri theatre,</w:t></w:r>
</w:p>
<w:p>
<w:pPr><w:pStyle w:val="Normal"/></w:pPr>
<w:r><w:t xml:space="preserve">the Federal general Curtis, outnumbered and outmanoeuvred</w:t></w:r>
</w:p>
<w:p>
<w:pPr><w:pStyle w:val="Normal"/></w:pPr>
<w:r><w:t xml:space="preserve">by the forces of Price and Van Dorn, fought, and by his</w:t></w:r>
</w:p>
<w:p>
<w:pPr><w:pStyle w:val="Normal"/></w:pPr>
<w:r><w:t xml:space="preserve">magnificent tenacity won, the battle of Pea Ridge (March</w:t></w:r>
</w:p>
<w:p>
<w:pPr><w:pStyle w:val="Normal"/></w:pPr>
<w:r><w:t xml:space="preserve">7-8), which put an end to the war in this quarter.  On the</w:t></w:r>
</w:p>
<w:p>
<w:pPr><w:pStyle w:val="Normal"/></w:pPr>
<w:r><w:t xml:space="preserve">whole, the first part of the western campaign was uniformly</w:t></w:r>
</w:p>
<w:p>
<w:pPr><w:pStyle w:val="Normal"/></w:pPr>
<w:r><w:t xml:space="preserve">a brilliant success for the Federal arms.  General H. W.</w:t></w:r>
</w:p>
<w:p>
<w:pPr><w:pStyle w:val="Normal"/></w:pPr>
<w:r><w:t xml:space="preserve">Halleck, who was here in control of all the operations of</w:t></w:r>
</w:p>
<w:p>
<w:pPr><w:pStyle w:val="Normal"/></w:pPr>
<w:r><w:t xml:space="preserve">the Federals, had meanwhile ordered Grant&apos;s force to ascend</w:t></w:r>
</w:p>
<w:p>
<w:pPr><w:pStyle w:val="Normal"/></w:pPr>
<w:r><w:t xml:space="preserve">the Tennessee river and operate against Corinth; Buell&apos;s</w:t></w:r>
</w:p>
<w:p>
<w:pPr><w:pStyle w:val="Normal"/></w:pPr>
<w:r><w:t xml:space="preserve">well-disciplined forces were to march overland from Nashville</w:t></w:r>
</w:p>
<w:p>
<w:pPr><w:pStyle w:val="Normal"/></w:pPr>
<w:r><w:t xml:space="preserve">to join him, and General O. M. Mitchel with a division was</w:t></w:r>
</w:p>
<w:p>
<w:pPr><w:pStyle w:val="Normal"/></w:pPr>
<w:r><w:t xml:space="preserve">sent straight southwards from the same place to cut the Memphis</w:t></w:r>
</w:p>
<w:p>
<w:pPr><w:pStyle w:val="Normal"/></w:pPr>
<w:r><w:t xml:space="preserve">&amp; Charleston line.  The latter mission, brilliantly as it</w:t></w:r>
</w:p>
<w:p>
<w:pPr><w:pStyle w:val="Normal"/></w:pPr>
<w:r><w:t xml:space="preserve">was executed, failed, through want of support, to secure a</w:t></w:r>
</w:p>
<w:p>
<w:pPr><w:pStyle w:val="Normal"/></w:pPr>
<w:r><w:t xml:space="preserve">foothold.  Had Halleck reinforced Mitchel, that officer might</w:t></w:r>
</w:p>
<w:p>
<w:pPr><w:pStyle w:val="Normal"/></w:pPr>
<w:r><w:t xml:space="preserve">perhaps have forestalled the later victories of Grant and</w:t></w:r>
</w:p>
<w:p>
<w:pPr><w:pStyle w:val="Normal"/></w:pPr>
<w:r><w:t xml:space="preserve">Sherman.  As it was, the enterprise became a mere diversion.</w:t></w:r>
</w:p>
<w:p>
<w:pPr><w:pStyle w:val="Normal"/></w:pPr>
<w:r><w:t xml:space="preserve">9. Shiloh.--Meanwhile Grant was encamped at Pittsburg Landing</w:t></w:r>
</w:p>
<w:p>
<w:pPr><w:pStyle w:val="Normal"/></w:pPr>
<w:r><w:t xml:space="preserve">on the Tennessee with an army of 45,000 men, and Buell with</w:t></w:r>
</w:p>
<w:p>
<w:pPr><w:pStyle w:val="Normal"/></w:pPr>
<w:r><w:t xml:space="preserve">37,000 men about two marches away.  Early on the 6th of April</w:t></w:r>
</w:p>
<w:p>
<w:pPr><w:pStyle w:val="Normal"/></w:pPr>
<w:r><w:t xml:space="preserve">A. S. Johnston and Beauregard completely surprised the camps</w:t></w:r>
</w:p>
<w:p>
<w:pPr><w:pStyle w:val="Normal"/></w:pPr>
<w:r><w:t xml:space="preserve">of Grant&apos;s divisions.  The battle of Shiloh (q.v.) was a</w:t></w:r>
</w:p>
<w:p>
<w:pPr><w:pStyle w:val="Normal"/></w:pPr>
<w:r><w:t xml:space="preserve">savage scuffle between two half- disciplined hosts, contested</w:t></w:r>
</w:p>
<w:p>
<w:pPr><w:pStyle w:val="Normal"/></w:pPr>
<w:r><w:t xml:space="preserve">with a fury rare even in this war.  On the 6th the Unionists,</w:t></w:r>
</w:p>
<w:p>
<w:pPr><w:pStyle w:val="Normal"/></w:pPr>
<w:r><w:t xml:space="preserve">scattered and unable to combine, were driven from point to</w:t></w:r>
</w:p>
<w:p>
<w:pPr><w:pStyle w:val="Normal"/></w:pPr>
<w:r><w:t xml:space="preserve">point, and at nightfall barely held their ground on the</w:t></w:r>
</w:p>
<w:p>
<w:pPr><w:pStyle w:val="Normal"/></w:pPr>
<w:r><w:t xml:space="preserve">banks of the river.  The losses were enormous on both sides,</w:t></w:r>
</w:p>
<w:p>
<w:pPr><w:pStyle w:val="Normal"/></w:pPr>
<w:r><w:t xml:space="preserve">Johnston himself being amongst the killed.  The arrival of</w:t></w:r>
</w:p>
<w:p>
<w:pPr><w:pStyle w:val="Normal"/></w:pPr>
<w:r><w:t xml:space="preserve">Buell enabled the Federals to take the offensive next morning</w:t></w:r>
</w:p>
<w:p>
<w:pPr><w:pStyle w:val="Normal"/></w:pPr>
<w:r><w:t xml:space="preserve">along the whole line, and by sunset on the 7th, after another</w:t></w:r>
</w:p>
<w:p>
<w:pPr><w:pStyle w:val="Normal"/></w:pPr>
<w:r><w:t xml:space="preserve">sanguinary battle, Beauregard was in full retreat.  Some</w:t></w:r>
</w:p>
<w:p>
<w:pPr><w:pStyle w:val="Normal"/></w:pPr>
<w:r><w:t xml:space="preserve">weeks afterwards, Halleck with the combined armies of Grant,</w:t></w:r>
</w:p>
<w:p>
<w:pPr><w:pStyle w:val="Normal"/></w:pPr>
<w:r><w:t xml:space="preserve">Buell and Pope began the siege of Corinth, which Beauregard</w:t></w:r>
</w:p>
<w:p>
<w:pPr><w:pStyle w:val="Normal"/></w:pPr>
<w:r><w:t xml:space="preserve">ultimately evacuated a month later.  Thus the first campaign</w:t></w:r>
</w:p>
<w:p>
<w:pPr><w:pStyle w:val="Normal"/></w:pPr>
<w:r><w:t xml:space="preserve">of the western armies, completed by the victory of the gunboat</w:t></w:r>
</w:p>
<w:p>
<w:pPr><w:pStyle w:val="Normal"/></w:pPr>
<w:r><w:t xml:space="preserve">flotilla at Memphis (June 6), cleared the Mississippi as far</w:t></w:r>
</w:p>
<w:p>
<w:pPr><w:pStyle w:val="Normal"/></w:pPr>
<w:r><w:t xml:space="preserve">down as Vicksburg, and compelled the Confederates to evacuate</w:t></w:r>
</w:p>
<w:p>
<w:pPr><w:pStyle w:val="Normal"/></w:pPr>
<w:r><w:t xml:space="preserve">the Cumberland and a large portion of the Tennessee basins.</w:t></w:r>
</w:p>
<w:p>
<w:pPr><w:pStyle w:val="Normal"/></w:pPr>
<w:r><w:t xml:space="preserve">10. The Peninsula.--Many schemes were discussed between</w:t></w:r>
</w:p>
<w:p>
<w:pPr><w:pStyle w:val="Normal"/></w:pPr>
<w:r><w:t xml:space="preserve">McClellan and President Lincoln before the Army of the Potomac</w:t></w:r>
</w:p>
<w:p>
<w:pPr><w:pStyle w:val="Normal"/></w:pPr>
<w:r><w:t xml:space="preserve">finally took the offensive in Virginia.  It was eventually</w:t></w:r>
</w:p>
<w:p>
<w:pPr><w:pStyle w:val="Normal"/></w:pPr>
<w:r><w:t xml:space="preserve">decided that General Banks was to oppose &quot;Stonewall&quot; Jackson</w:t></w:r>
</w:p>
<w:p>
<w:pPr><w:pStyle w:val="Normal"/></w:pPr>
<w:r><w:t xml:space="preserve">in the Shenandoah Valley, Fremont to hold western Virginia</w:t></w:r>
</w:p>
<w:p>
<w:pPr><w:pStyle w:val="Normal"/></w:pPr>
<w:r><w:t xml:space="preserve">against the same general&apos;s enterprise, and McDowell with a</w:t></w:r>
</w:p>
<w:p>
<w:pPr><w:pStyle w:val="Normal"/></w:pPr>
<w:r><w:t xml:space="preserve">strong corps to advance overland to meet McClellan, who, with</w:t></w:r>
</w:p>
<w:p>
<w:pPr><w:pStyle w:val="Normal"/></w:pPr>
<w:r><w:t xml:space="preserve">the main army, was to proceed by sea to Fortress Monroe and</w:t></w:r>
</w:p>
<w:p>
<w:pPr><w:pStyle w:val="Normal"/></w:pPr>
<w:r><w:t xml:space="preserve">thence to advance on Richmond.  The James river, afterwards</w:t></w:r>
</w:p>
<w:p>
<w:pPr><w:pStyle w:val="Normal"/></w:pPr>
<w:r><w:t xml:space="preserve">so much used for the Federal operations, was not yet clear,</w:t></w:r>
</w:p>
<w:p>
<w:pPr><w:pStyle w:val="Normal"/></w:pPr>
<w:r><w:t xml:space="preserve">and it was here, in Hampton Roads, that the famous fight took</w:t></w:r>
</w:p>
<w:p>
<w:pPr><w:pStyle w:val="Normal"/></w:pPr>
<w:r><w:t xml:space="preserve">place between the ironclads &quot;Merrimac&quot;, (or &quot;Virginia&quot;) and</w:t></w:r>
</w:p>
<w:p>
<w:pPr><w:pStyle w:val="Normal"/></w:pPr>
<w:r><w:t xml:space="preserve">&quot;Monitor&quot; (March 8-9, 1862).  McClellan&apos;s advance was opposed</w:t></w:r>
</w:p>
<w:p>
<w:pPr><w:pStyle w:val="Normal"/></w:pPr>
<w:r><w:t xml:space="preserve">by a small force of Confederates under General Magruder,</w:t></w:r>
</w:p>
<w:p>
<w:pPr><w:pStyle w:val="Normal"/></w:pPr>
<w:r><w:t xml:space="preserve">which, gradually reinforced, held the historic position of</w:t></w:r>
</w:p>
<w:p>
<w:pPr><w:pStyle w:val="Normal"/></w:pPr>
<w:r><w:t xml:space="preserve">Yorktown for a whole month, and only evacuated it on the 3rd</w:t></w:r>
</w:p>
<w:p>
<w:pPr><w:pStyle w:val="Normal"/></w:pPr>
<w:r><w:t xml:space="preserve">of May. Two days later McClellan&apos;s advanced troops fought</w:t></w:r>
</w:p>
<w:p>
<w:pPr><w:pStyle w:val="Normal"/></w:pPr>
<w:r><w:t xml:space="preserve">a sharp combat at Williamsburg and the Army of the Potomac</w:t></w:r>
</w:p>
<w:p>
<w:pPr><w:pStyle w:val="Normal"/></w:pPr>
<w:r><w:t xml:space="preserve">rendezvoused on the Chickahominy with its base at White House</w:t></w:r>
</w:p>
<w:p>
<w:pPr><w:pStyle w:val="Normal"/></w:pPr>
<w:r><w:t xml:space="preserve">on the Pamunkey (May 7). J. E. Johnston had, long ere this,</w:t></w:r>
</w:p>
<w:p>
<w:pPr><w:pStyle w:val="Normal"/></w:pPr>
<w:r><w:t xml:space="preserve">fallen back from Manassas towards Richmond, and the two armies</w:t></w:r>
</w:p>
<w:p>
<w:pPr><w:pStyle w:val="Normal"/></w:pPr>
<w:r><w:t xml:space="preserve">were in touch when a serious check was given to McClellan by</w:t></w:r>
</w:p>
<w:p>
<w:pPr><w:pStyle w:val="Normal"/></w:pPr>
<w:r><w:t xml:space="preserve">the brilliant successes of Jackson in the Shenandoah Valley.</w:t></w:r>
</w:p>
<w:p>
<w:pPr><w:pStyle w:val="Normal"/></w:pPr>
<w:r><w:t xml:space="preserve">11. Jackson&apos;s Valley Campaign.--The &quot;Valley of Virginia,&quot;</w:t></w:r>
</w:p>
<w:p>
<w:pPr><w:pStyle w:val="Normal"/></w:pPr>
<w:r><w:t xml:space="preserve">called also the &quot;Granary of the Confederacy,&quot; was cut into long</w:t></w:r>
</w:p>
<w:p>
<w:pPr><w:pStyle w:val="Normal"/></w:pPr>
<w:r><w:t xml:space="preserve">parallel strips by ridges and rivers, across which passages</w:t></w:r>
</w:p>
<w:p>
<w:pPr><w:pStyle w:val="Normal"/></w:pPr>
<w:r><w:t xml:space="preserve">were rare, and along which the Confederates could, with little</w:t></w:r>
</w:p>
<w:p>
<w:pPr><w:pStyle w:val="Normal"/></w:pPr>
<w:r><w:t xml:space="preserve">fear of interruption from the east, debouch into Maryland</w:t></w:r>
</w:p>
<w:p>
<w:pPr><w:pStyle w:val="Normal"/></w:pPr>
<w:r><w:t xml:space="preserve">and approach Washington itself.  Here Stonewall Jackson lay</w:t></w:r>
</w:p>
<w:p>
<w:pPr><w:pStyle w:val="Normal"/></w:pPr>
<w:r><w:t xml:space="preserve">with a small force, and in front of him at the outlet of the</w:t></w:r>
</w:p>
<w:p>
<w:pPr><w:pStyle w:val="Normal"/></w:pPr>
<w:r><w:t xml:space="preserve">valley was Banks, while Fremont threatened him from West</w:t></w:r>
</w:p>
<w:p>
<w:pPr><w:pStyle w:val="Normal"/></w:pPr>
<w:r><w:t xml:space="preserve">Virginia.  Jackson had already fought a winter campaign which</w:t></w:r>
</w:p>
<w:p>
<w:pPr><w:pStyle w:val="Normal"/></w:pPr>
<w:r><w:t xml:space="preserve">ended in his defeat at the hands of General Shields at Kernstown</w:t></w:r>
</w:p>
<w:p>
<w:pPr><w:pStyle w:val="Normal"/></w:pPr>
<w:r><w:t xml:space="preserve">(March 23). Banks&apos;s main army, early in May, lay far down the</w:t></w:r>
</w:p>
<w:p>
<w:pPr><w:pStyle w:val="Normal"/></w:pPr>
<w:r><w:t xml:space="preserve">Valley at Strasburg and Front Royal, Fremont at the town of</w:t></w:r>
</w:p>
<w:p>
<w:pPr><w:pStyle w:val="Normal"/></w:pPr>
<w:r><w:t xml:space="preserve">McDowell.  Jackson&apos;s first blow fell on part of Fremont&apos;s</w:t></w:r>
</w:p>
<w:p>
<w:pPr><w:pStyle w:val="Normal"/></w:pPr>
<w:r><w:t xml:space="preserve">corps, which was sharply attacked and driven into the mountains</w:t></w:r>
</w:p>
<w:p>
<w:pPr><w:pStyle w:val="Normal"/></w:pPr>
<w:r><w:t xml:space="preserve">(McDowell, May 8). The victor quickly turned upon Banks,</w:t></w:r>
</w:p>
<w:p>
<w:pPr><w:pStyle w:val="Normal"/></w:pPr>
<w:r><w:t xml:space="preserve">destroyed his garrison of Front Royal and nearly surrounded</w:t></w:r>
</w:p>
<w:p>
<w:pPr><w:pStyle w:val="Normal"/></w:pPr>
<w:r><w:t xml:space="preserve">his main body; barely escaping, Banks was again defeated</w:t></w:r>
</w:p>
<w:p>
<w:pPr><w:pStyle w:val="Normal"/></w:pPr>
<w:r><w:t xml:space="preserve">at Winchester and driven back to the Maryland border (May</w:t></w:r>
</w:p>
<w:p>
<w:pPr><w:pStyle w:val="Normal"/></w:pPr>
<w:r><w:t xml:space="preserve">23-25).  These rapid successes paralysed the Federal</w:t></w:r>
</w:p>
<w:p>
<w:pPr><w:pStyle w:val="Normal"/></w:pPr>
<w:r><w:t xml:space="preserve">offensive.  McDowell, instead of marching to join McClellan,</w:t></w:r>
</w:p>
<w:p>
<w:pPr><w:pStyle w:val="Normal"/></w:pPr>
<w:r><w:t xml:space="preserve">was ordered to the Valley to assist in &quot;trapping Jackson,&quot;</w:t></w:r>
</w:p>
<w:p>
<w:pPr><w:pStyle w:val="Normal"/></w:pPr>
<w:r><w:t xml:space="preserve">an operation which, at one critical moment very near</w:t></w:r>
</w:p>
<w:p>
<w:pPr><w:pStyle w:val="Normal"/></w:pPr>
<w:r><w:t xml:space="preserve">success, ended in the defeat of Fremont at Cross Keys and</w:t></w:r>
</w:p>
<w:p>
<w:pPr><w:pStyle w:val="Normal"/></w:pPr>
<w:r><w:t xml:space="preserve">of McDowell&apos;s advanced troops at Port Republic (June 8-9)</w:t></w:r>
</w:p>
<w:p>
<w:pPr><w:pStyle w:val="Normal"/></w:pPr>
<w:r><w:t xml:space="preserve">and the escape of the daring Confederates with trifling</w:t></w:r>
</w:p>
<w:p>
<w:pPr><w:pStyle w:val="Normal"/></w:pPr>
<w:r><w:t xml:space="preserve">loss.  McClellan, deprived of McDowell&apos;s corps, felt himself</w:t></w:r>
</w:p>
<w:p>
<w:pPr><w:pStyle w:val="Normal"/></w:pPr>
<w:r><w:t xml:space="preserve">reduced to impotence, and three Federal armies were vainly</w:t></w:r>
</w:p>
<w:p>
<w:pPr><w:pStyle w:val="Normal"/></w:pPr>
<w:r><w:t xml:space="preserve">marching up and down the Valley when Johnston fell with</w:t></w:r>
</w:p>
<w:p>
<w:pPr><w:pStyle w:val="Normal"/></w:pPr>
<w:r><w:t xml:space="preserve">all his forces upon the Army of the Potomac.  The Federals</w:t></w:r>
</w:p>
<w:p>
<w:pPr><w:pStyle w:val="Normal"/></w:pPr>
<w:r><w:t xml:space="preserve">lay on both sides of the Chickahominy river, and at this</w:t></w:r>
</w:p>
<w:p>
<w:pPr><w:pStyle w:val="Normal"/></w:pPr>
<w:r><w:t xml:space="preserve">moment Johnston heard that McDowell&apos;s arrival need not be</w:t></w:r>
</w:p>
<w:p>
<w:pPr><w:pStyle w:val="Normal"/></w:pPr>
<w:r><w:t xml:space="preserve">feared.  The course of the battle of Seven Pines or Fair Oaks</w:t></w:r>
</w:p>
<w:p>
<w:pPr><w:pStyle w:val="Normal"/></w:pPr>
<w:r><w:t xml:space="preserve">(q.v.) bore some resemblance to that of Shiloh; a sharp</w:t></w:r>
</w:p>
<w:p>
<w:pPr><w:pStyle w:val="Normal"/></w:pPr>
<w:r><w:t xml:space="preserve">attack found the Unionists unprepared, and only after severe</w:t></w:r>
</w:p>
<w:p>
<w:pPr><w:pStyle w:val="Normal"/></w:pPr>
<w:r><w:t xml:space="preserve">losses and many partial defeats could McClellan check the rebel</w:t></w:r>
</w:p>
<w:p>
<w:pPr><w:pStyle w:val="Normal"/></w:pPr>
<w:r><w:t xml:space="preserve">advance.  Here also fortune was against the Confederates.  J.</w:t></w:r>
</w:p>
<w:p>
<w:pPr><w:pStyle w:val="Normal"/></w:pPr>
<w:r><w:t xml:space="preserve">E. Johnston fell severely wounded, and in the end a properly</w:t></w:r>
</w:p>
<w:p>
<w:pPr><w:pStyle w:val="Normal"/></w:pPr>
<w:r><w:t xml:space="preserve">connected and combined advance of the Army of the Potomac drove</w:t></w:r>
</w:p>
<w:p>
<w:pPr><w:pStyle w:val="Normal"/></w:pPr>
<w:r><w:t xml:space="preserve">back his successor into the lines of Richmond (May 31-June 1).</w:t></w:r>
</w:p>
<w:p>
<w:pPr><w:pStyle w:val="Normal"/></w:pPr>
<w:r><w:t xml:space="preserve">12. The Seven Days.--Bad weather and skilful defence</w:t></w:r>
</w:p>
<w:p>
<w:pPr><w:pStyle w:val="Normal"/></w:pPr>
<w:r><w:t xml:space="preserve">completely checked the assailants for another three weeks,</w:t></w:r>
</w:p>
<w:p>
<w:pPr><w:pStyle w:val="Normal"/></w:pPr>
<w:r><w:t xml:space="preserve">and the situation was now materially altered.  Jackson with</w:t></w:r>
</w:p>
<w:p>
<w:pPr><w:pStyle w:val="Normal"/></w:pPr>
<w:r><w:t xml:space="preserve">the Valley troops had stealthily left Harrisonburg by rail</w:t></w:r>
</w:p>
<w:p>
<w:pPr><w:pStyle w:val="Normal"/></w:pPr>
<w:r><w:t xml:space="preserve">on the 17th of June, and was now at Ashland in McClellan&apos;s</w:t></w:r>
</w:p>
<w:p>
<w:pPr><w:pStyle w:val="Normal"/></w:pPr>
<w:r><w:t xml:space="preserve">rear.  General Lee, who had succeeded Johnston in the</w:t></w:r>
</w:p>
<w:p>
<w:pPr><w:pStyle w:val="Normal"/></w:pPr>
<w:r><w:t xml:space="preserve">command of the Army of northern Virginia, proposed to attack</w:t></w:r>
</w:p>
<w:p>
<w:pPr><w:pStyle w:val="Normal"/></w:pPr>
<w:r><w:t xml:space="preserve">the Federals in their line of communication with White</w:t></w:r>
</w:p>
<w:p>
<w:pPr><w:pStyle w:val="Normal"/></w:pPr>
<w:r><w:t xml:space="preserve">House, and passed most of his forces round to the aid of</w:t></w:r>
</w:p>
<w:p>
<w:pPr><w:pStyle w:val="Normal"/></w:pPr>
<w:r><w:t xml:space="preserve">Jackson.  The Seven Days&apos; Battle (q.v.) opened with the</w:t></w:r>
</w:p>
<w:p>
<w:pPr><w:pStyle w:val="Normal"/></w:pPr>
<w:r><w:t xml:space="preserve">combat of Mechanicsville on the 26th of June, and the battle</w:t></w:r>
</w:p>
<w:p>
<w:pPr><w:pStyle w:val="Normal"/></w:pPr>
<w:r><w:t xml:space="preserve">of Gaines&apos; Mill on the 27th.  Lee soon cut the communication</w:t></w:r>
</w:p>
<w:p>
<w:pPr><w:pStyle w:val="Normal"/></w:pPr>
<w:r><w:t xml:space="preserve">with White House, but McClellan changed his base and retreated</w:t></w:r>
</w:p>
<w:p>
<w:pPr><w:pStyle w:val="Normal"/></w:pPr>
<w:r><w:t xml:space="preserve">towards Harrison&apos;s landing on the James river.  It was some</w:t></w:r>
</w:p>
<w:p>
<w:pPr><w:pStyle w:val="Normal"/></w:pPr>
<w:r><w:t xml:space="preserve">time before Lee realized this.  In the end the Federals</w:t></w:r>
</w:p>
<w:p>
<w:pPr><w:pStyle w:val="Normal"/></w:pPr>
<w:r><w:t xml:space="preserve">were sharply pursued, but McClellan had gained a long start</w:t></w:r>
</w:p>
<w:p>
<w:pPr><w:pStyle w:val="Normal"/></w:pPr>
<w:r><w:t xml:space="preserve">and, fighting victoriously almost every day, at length placed</w:t></w:r>
</w:p>
<w:p>
<w:pPr><w:pStyle w:val="Normal"/></w:pPr>
<w:r><w:t xml:space="preserve">himself in a secure position on the James, which was now</w:t></w:r>
</w:p>
<w:p>
<w:pPr><w:pStyle w:val="Normal"/></w:pPr>
<w:r><w:t xml:space="preserve">patrolled by the Federal warships (June 26-July 1). But the</w:t></w:r>
</w:p>
<w:p>
<w:pPr><w:pStyle w:val="Normal"/></w:pPr>
<w:r><w:t xml:space="preserve">second advance on Richmond was clearly a strategical failure.</w:t></w:r>
</w:p>
<w:p>
<w:pPr><w:pStyle w:val="Normal"/></w:pPr>
<w:r><w:t xml:space="preserve">13. The Campaign of Perryville.--After the capture of</w:t></w:r>
</w:p>
<w:p>
<w:pPr><w:pStyle w:val="Normal"/></w:pPr>
<w:r><w:t xml:space="preserve">Corinth Halleck had suspended the Federal advance all along</w:t></w:r>
</w:p>
<w:p>
<w:pPr><w:pStyle w:val="Normal"/></w:pPr>
<w:r><w:t xml:space="preserve">the line in the west, and many changes took place about this</w:t></w:r>
</w:p>
<w:p>
<w:pPr><w:pStyle w:val="Normal"/></w:pPr>
<w:r><w:t xml:space="preserve">time.  Halleck went to Washington as general-in-chief, Pope</w:t></w:r>
</w:p>
<w:p>
<w:pPr><w:pStyle w:val="Normal"/></w:pPr>
<w:r><w:t xml:space="preserve">was transferred to Virginia, Grant, with his own Army of</w:t></w:r>
</w:p>
<w:p>
<w:pPr><w:pStyle w:val="Normal"/></w:pPr>
<w:r><w:t xml:space="preserve">the Tennessee and Rosecrans&apos;s (lately Pope&apos;s) Army of the</w:t></w:r>
</w:p>
<w:p>
<w:pPr><w:pStyle w:val="Normal"/></w:pPr>
<w:r><w:t xml:space="preserve">Mississippi, was entrusted with operations on the latter</w:t></w:r>
</w:p>
<w:p>
<w:pPr><w:pStyle w:val="Normal"/></w:pPr>
<w:r><w:t xml:space="preserve">river, while Buell&apos;s Army of the Ohio was ordered to east</w:t></w:r>
</w:p>
<w:p>
<w:pPr><w:pStyle w:val="Normal"/></w:pPr>
<w:r><w:t xml:space="preserve">Tennessee to relieve the inhabitants of that district, who,</w:t></w:r>
</w:p>
<w:p>
<w:pPr><w:pStyle w:val="Normal"/></w:pPr>
<w:r><w:t xml:space="preserve">as Unionist sympathizers, were receiving harsh treatment</w:t></w:r>
</w:p>
<w:p>
<w:pPr><w:pStyle w:val="Normal"/></w:pPr>
<w:r><w:t xml:space="preserve">from the Confederate and state authorities.  Late in July</w:t></w:r>
</w:p>
<w:p>
<w:pPr><w:pStyle w:val="Normal"/></w:pPr>
<w:r><w:t xml:space="preserve">Braxton Bragg, who had succeeded Beauregard in command of the</w:t></w:r>
</w:p>
<w:p>
<w:pPr><w:pStyle w:val="Normal"/></w:pPr>
<w:r><w:t xml:space="preserve">Confederates, transferred his forces to the neighbourhood of</w:t></w:r>
</w:p>
<w:p>
<w:pPr><w:pStyle w:val="Normal"/></w:pPr>
<w:r><w:t xml:space="preserve">Chattanooga.  Tennessee was thenceforward to be the central</w:t></w:r>
</w:p>
<w:p>
<w:pPr><w:pStyle w:val="Normal"/></w:pPr>
<w:r><w:t xml:space="preserve">theatre of war, and too late it was recognized that Mitchel</w:t></w:r>
</w:p>
<w:p>
<w:pPr><w:pStyle w:val="Normal"/></w:pPr>
<w:r><w:t xml:space="preserve">should have been supported in the spring.  The forces left</w:t></w:r>
</w:p>
<w:p>
<w:pPr><w:pStyle w:val="Normal"/></w:pPr>
<w:r><w:t xml:space="preserve">south of Corinth were enough to occupy the attention of</w:t></w:r>
</w:p>
<w:p>
<w:pPr><w:pStyle w:val="Normal"/></w:pPr>
<w:r><w:t xml:space="preserve">Grant and Rosecrans, and almost contemporaneously with Lee&apos;s</w:t></w:r>
</w:p>
<w:p>
<w:pPr><w:pStyle w:val="Normal"/></w:pPr>
<w:r><w:t xml:space="preserve">advance on Washington (see below), Price and Bragg took the</w:t></w:r>
</w:p>
<w:p>
<w:pPr><w:pStyle w:val="Normal"/></w:pPr>
<w:r><w:t xml:space="preserve">offensive against Grant and Buell respectively.  The latter</w:t></w:r>
</w:p>
<w:p>
<w:pPr><w:pStyle w:val="Normal"/></w:pPr>
<w:r><w:t xml:space="preserve">early in August lay near Murfreesboro, covering Nashville,</w:t></w:r>
</w:p>
<w:p>
<w:pPr><w:pStyle w:val="Normal"/></w:pPr>
<w:r><w:t xml:space="preserve">but the Confederate general did not intend to threaten that</w:t></w:r>
</w:p>
<w:p>
<w:pPr><w:pStyle w:val="Normal"/></w:pPr>
<w:r><w:t xml:space="preserve">place.  The valleys and ridges of eastern Tennessee screened him</w:t></w:r>
</w:p>
<w:p>
<w:pPr><w:pStyle w:val="Normal"/></w:pPr>
<w:r><w:t xml:space="preserve">as he rapidly marched on Louisville and Cincinnati.  The whole</w:t></w:r>
</w:p>
<w:p>
<w:pPr><w:pStyle w:val="Normal"/></w:pPr>
<w:r><w:t xml:space="preserve">of the Southern army in the west swung round on its left wing</w:t></w:r>
</w:p>
<w:p>
<w:pPr><w:pStyle w:val="Normal"/></w:pPr>
<w:r><w:t xml:space="preserve">as the pivot, and Buell only just reached Louisville before his</w:t></w:r>
</w:p>
<w:p>
<w:pPr><w:pStyle w:val="Normal"/></w:pPr>
<w:r><w:t xml:space="preserve">opponent.  The Washington authorities, thoroughly dissatisfied,</w:t></w:r>
</w:p>
<w:p>
<w:pPr><w:pStyle w:val="Normal"/></w:pPr>
<w:r><w:t xml:space="preserve">ordered him to turn over the command to General Thomas, but</w:t></w:r>
</w:p>
<w:p>
<w:pPr><w:pStyle w:val="Normal"/></w:pPr>
<w:r><w:t xml:space="preserve">the latter magnanimously declined the offer, and Buell on the</w:t></w:r>
</w:p>
<w:p>
<w:pPr><w:pStyle w:val="Normal"/></w:pPr>
<w:r><w:t xml:space="preserve">8th of October fought the sanguinary and indecisive battle of</w:t></w:r>
</w:p>
<w:p>
<w:pPr><w:pStyle w:val="Normal"/></w:pPr>
<w:r><w:t xml:space="preserve">Perryville, in consequence of which Bragg retired to Chattanooga.</w:t></w:r>
</w:p>
<w:p>
<w:pPr><w:pStyle w:val="Normal"/></w:pPr>
<w:r><w:t xml:space="preserve">14. The Western Campaign.--The Union leader was now ordered</w:t></w:r>
</w:p>
<w:p>
<w:pPr><w:pStyle w:val="Normal"/></w:pPr>
<w:r><w:t xml:space="preserve">once more to east Tennessee, but he protested that want of</w:t></w:r>
</w:p>
<w:p>
<w:pPr><w:pStyle w:val="Normal"/></w:pPr>
<w:r><w:t xml:space="preserve">supplies made such a move impossible.  Rosecrans, the victor</w:t></w:r>
</w:p>
<w:p>
<w:pPr><w:pStyle w:val="Normal"/></w:pPr>
<w:r><w:t xml:space="preserve">of Corinth and Iuka (see below), was thereupon ordered</w:t></w:r>
</w:p>
<w:p>
<w:pPr><w:pStyle w:val="Normal"/></w:pPr>
<w:r><w:t xml:space="preserve">to replace him.  Buell&apos;s failure to appreciate political</w:t></w:r>
</w:p>
<w:p>
<w:pPr><w:pStyle w:val="Normal"/></w:pPr>
<w:r><w:t xml:space="preserve">considerations as a part of strategy justified his recall,</w:t></w:r>
</w:p>
<w:p>
<w:pPr><w:pStyle w:val="Normal"/></w:pPr>
<w:r><w:t xml:space="preserve">but the value of his work, like that of McClellan, can</w:t></w:r>
</w:p>
<w:p>
<w:pPr><w:pStyle w:val="Normal"/></w:pPr>
<w:r><w:t xml:space="preserve">hardly be measured by marches and victories.  The disgraced</w:t></w:r>
</w:p>
<w:p>
<w:pPr><w:pStyle w:val="Normal"/></w:pPr>
<w:r><w:t xml:space="preserve">general was not again employed, but the men of the Army of</w:t></w:r>
</w:p>
<w:p>
<w:pPr><w:pStyle w:val="Normal"/></w:pPr>
<w:r><w:t xml:space="preserve">the Ohio retained throughout, as did those of the Army of the</w:t></w:r>
</w:p>
<w:p>
<w:pPr><w:pStyle w:val="Normal"/></w:pPr>
<w:r><w:t xml:space="preserve">Potomac, the impress of their first general&apos;s discipline and</w:t></w:r>
</w:p>
<w:p>
<w:pPr><w:pStyle w:val="Normal"/></w:pPr>
<w:r><w:t xml:space="preserve">training.  Sterling Price in the meanwhile had been ordered</w:t></w:r>
</w:p>
<w:p>
<w:pPr><w:pStyle w:val="Normal"/></w:pPr>
<w:r><w:t xml:space="preserve">forward against Grant and Rosecrans, and Van Dorn promised his</w:t></w:r>
</w:p>
<w:p>
<w:pPr><w:pStyle w:val="Normal"/></w:pPr>
<w:r><w:t xml:space="preserve">assistance.  Before the latter could come up, however, Rosecrans</w:t></w:r>
</w:p>
<w:p>
<w:pPr><w:pStyle w:val="Normal"/></w:pPr>
<w:r><w:t xml:space="preserve">defeated Price at Iuka (September 19). The Confederates,</w:t></w:r>
</w:p>
<w:p>
<w:pPr><w:pStyle w:val="Normal"/></w:pPr>
<w:r><w:t xml:space="preserve">not dismayed thereby, effected their junction and moved on</w:t></w:r>
</w:p>
<w:p>
<w:pPr><w:pStyle w:val="Normal"/></w:pPr>
<w:r><w:t xml:space="preserve">Corinth, which was defended by Rosecrans and 23,000 Federal</w:t></w:r>
</w:p>
<w:p>
<w:pPr><w:pStyle w:val="Normal"/></w:pPr>
<w:r><w:t xml:space="preserve">troops.  Grant&apos;s other forces were split up into detachments,</w:t></w:r>
</w:p>
<w:p>
<w:pPr><w:pStyle w:val="Normal"/></w:pPr>
<w:r><w:t xml:space="preserve">and when Van Dorn, boldly marching right round Rosecrans,</w:t></w:r>
</w:p>
<w:p>
<w:pPr><w:pStyle w:val="Normal"/></w:pPr>
<w:r><w:t xml:space="preserve">descended upon Corinth from the north, Grant could hardly</w:t></w:r>
</w:p>
<w:p>
<w:pPr><w:pStyle w:val="Normal"/></w:pPr>
<w:r><w:t xml:space="preserve">stir to help his subordinate.  Rosecrans, however, won</w:t></w:r>
</w:p>
<w:p>
<w:pPr><w:pStyle w:val="Normal"/></w:pPr>
<w:r><w:t xml:space="preserve">the battle of Corinth (October 3-4), though on the evening</w:t></w:r>
</w:p>
<w:p>
<w:pPr><w:pStyle w:val="Normal"/></w:pPr>
<w:r><w:t xml:space="preserve">of the 3rd he had been in a perilous position.  The</w:t></w:r>
</w:p>
<w:p>
<w:pPr><w:pStyle w:val="Normal"/></w:pPr>
<w:r><w:t xml:space="preserve">Confederates fell back to the southward, escaping Grant once</w:t></w:r>
</w:p>
<w:p>
<w:pPr><w:pStyle w:val="Normal"/></w:pPr>
<w:r><w:t xml:space="preserve">more, and thus ended the Confederate advance in the West.</w:t></w:r>
</w:p>
<w:p>
<w:pPr><w:pStyle w:val="Normal"/></w:pPr>
<w:r><w:t xml:space="preserve">15. Pope&apos;s Campaign in Virginia.--The Army of Virginia under</w:t></w:r>
</w:p>
<w:p>
<w:pPr><w:pStyle w:val="Normal"/></w:pPr>
<w:r><w:t xml:space="preserve">Pope was composed of the troops lately chasing Jackson in</w:t></w:r>
</w:p>
<w:p>
<w:pPr><w:pStyle w:val="Normal"/></w:pPr>
<w:r><w:t xml:space="preserve">the Valley-- Fremont&apos;s (now Sigel&apos;s), Banks&apos;s and McDowell&apos;s</w:t></w:r>
</w:p>
<w:p>
<w:pPr><w:pStyle w:val="Normal"/></w:pPr>
<w:r><w:t xml:space="preserve">corps.  Halleck (at the Washington headquarters) began by</w:t></w:r>
</w:p>
<w:p>
<w:pPr><w:pStyle w:val="Normal"/></w:pPr>
<w:r><w:t xml:space="preserve">withdrawing McClellan from the James to assist Pope in central</w:t></w:r>
</w:p>
<w:p>
<w:pPr><w:pStyle w:val="Normal"/></w:pPr>
<w:r><w:t xml:space="preserve">Virginia; Lee, thus released from any fear for the safety of</w:t></w:r>
</w:p>
<w:p>
<w:pPr><w:pStyle w:val="Normal"/></w:pPr>
<w:r><w:t xml:space="preserve">Richmond, turned swiftly upon Pope.  That officer desired</w:t></w:r>
</w:p>
<w:p>
<w:pPr><w:pStyle w:val="Normal"/></w:pPr>
<w:r><w:t xml:space="preserve">to concentrate his command on Gordonsville, but Jackson was</w:t></w:r>
</w:p>
<w:p>
<w:pPr><w:pStyle w:val="Normal"/></w:pPr>
<w:r><w:t xml:space="preserve">before him at that place, and he fell back on Culpeper.</w:t></w:r>
</w:p>
<w:p>
<w:pPr><w:pStyle w:val="Normal"/></w:pPr>
<w:r><w:t xml:space="preserve">On the 9th of August Banks and Jackson joined battle once</w:t></w:r>
</w:p>
<w:p>
<w:pPr><w:pStyle w:val="Normal"/></w:pPr>
<w:r><w:t xml:space="preserve">more at Cedar Mountain (or Cedar Run); the Federals, though</w:t></w:r>
</w:p>
<w:p>
<w:pPr><w:pStyle w:val="Normal"/></w:pPr>
<w:r><w:t xml:space="preserve">greatly inferior in numbers, attacked with much vigour.</w:t></w:r>
</w:p>
<w:p>
<w:pPr><w:pStyle w:val="Normal"/></w:pPr>
<w:r><w:t xml:space="preserve">Banks was eventually beaten, but he had come very near to</w:t></w:r>
</w:p>
<w:p>
<w:pPr><w:pStyle w:val="Normal"/></w:pPr>
<w:r><w:t xml:space="preserve">success, and Jackson soon retired across the Rapidan, where</w:t></w:r>
</w:p>
<w:p>
<w:pPr><w:pStyle w:val="Normal"/></w:pPr>
<w:r><w:t xml:space="preserve">(the Army of the Potomac having now begun to leave the James)</w:t></w:r>
</w:p>
<w:p>
<w:pPr><w:pStyle w:val="Normal"/></w:pPr>
<w:r><w:t xml:space="preserve">Lee joined him (August 17) with the corps of Longstreet.</w:t></w:r>
</w:p>
<w:p>
<w:pPr><w:pStyle w:val="Normal"/></w:pPr>
<w:r><w:t xml:space="preserve">Pope now fell back behind the Rappahannock without showing</w:t></w:r>
</w:p>
<w:p>
<w:pPr><w:pStyle w:val="Normal"/></w:pPr>
<w:r><w:t xml:space="preserve">fight.  Here Halleck&apos;s orders bade him cover both Washington</w:t></w:r>
</w:p>
<w:p>
<w:pPr><w:pStyle w:val="Normal"/></w:pPr>
<w:r><w:t xml:space="preserve">and Aquia Creek (whence the Army of the Potomac was to join</w:t></w:r>
</w:p>
<w:p>
<w:pPr><w:pStyle w:val="Normal"/></w:pPr>
<w:r><w:t xml:space="preserve">him), orders almost impossible of execution, as any serious</w:t></w:r>
</w:p>
<w:p>
<w:pPr><w:pStyle w:val="Normal"/></w:pPr>
<w:r><w:t xml:space="preserve">change of position necessarily uncovered one of these</w:t></w:r>
</w:p>
<w:p>
<w:pPr><w:pStyle w:val="Normal"/></w:pPr>
<w:r><w:t xml:space="preserve">lines.  The leading troops of the Army of the Potomac were</w:t></w:r>
</w:p>
<w:p>
<w:pPr><w:pStyle w:val="Normal"/></w:pPr>
<w:r><w:t xml:space="preserve">now landed, and set out to join Pope&apos;s army, which faced</w:t></w:r>
</w:p>
<w:p>
<w:pPr><w:pStyle w:val="Normal"/></w:pPr>
<w:r><w:t xml:space="preserve">Longstreet and Jackson on the Rappahannock between Bealton and</w:t></w:r>
</w:p>
<w:p>
<w:pPr><w:pStyle w:val="Normal"/></w:pPr>
<w:r><w:t xml:space="preserve">Waterloo.  On the 24th of August Lee ordered Jackson to</w:t></w:r>
</w:p>
<w:p>
<w:pPr><w:pStyle w:val="Normal"/></w:pPr>
<w:r><w:t xml:space="preserve">march round Pope&apos;s right wing and descend on his rear through</w:t></w:r>
</w:p>
<w:p>
<w:pPr><w:pStyle w:val="Normal"/></w:pPr>
<w:r><w:t xml:space="preserve">Thoroughfare Gap on Manassas and the old battle-ground of</w:t></w:r>
</w:p>
<w:p>
<w:pPr><w:pStyle w:val="Normal"/></w:pPr>
<w:r><w:t xml:space="preserve">1861.  Pope was at this moment about to take the offensive,</w:t></w:r>
</w:p>
<w:p>
<w:pPr><w:pStyle w:val="Normal"/></w:pPr>
<w:r><w:t xml:space="preserve">when a violent storm swelled the rivers and put an end to all</w:t></w:r>
</w:p>
<w:p>
<w:pPr><w:pStyle w:val="Normal"/></w:pPr>
<w:r><w:t xml:space="preserve">movement.  On the 26th of August the daring flank march of</w:t></w:r>
</w:p>
<w:p>
<w:pPr><w:pStyle w:val="Normal"/></w:pPr>
<w:r><w:t xml:space="preserve">Jackson&apos;s corps ended at Manassas Station (see BULL RUN).</w:t></w:r>
</w:p>
<w:p>
<w:pPr><w:pStyle w:val="Normal"/></w:pPr>
<w:r><w:t xml:space="preserve">Longstreet followed Jackson, and Lee&apos;s army was reunited on the</w:t></w:r>
</w:p>
<w:p>
<w:pPr><w:pStyle w:val="Normal"/></w:pPr>
<w:r><w:t xml:space="preserve">battlefield.  By the 1st of September the campaign of &quot;Second</w:t></w:r>
</w:p>
<w:p>
<w:pPr><w:pStyle w:val="Normal"/></w:pPr>
<w:r><w:t xml:space="preserve">Manassas&quot; was over.  Pope&apos;s army and such of the troops of the</w:t></w:r>
</w:p>
<w:p>
<w:pPr><w:pStyle w:val="Normal"/></w:pPr>
<w:r><w:t xml:space="preserve">Army of the Potomac as had been involved in the catastrophe were</w:t></w:r>
</w:p>
<w:p>
<w:pPr><w:pStyle w:val="Normal"/></w:pPr>
<w:r><w:t xml:space="preserve">driven, tired and disheartened, into the Washington lines.</w:t></w:r>
</w:p>
<w:p>
<w:pPr><w:pStyle w:val="Normal"/></w:pPr>
<w:r><w:t xml:space="preserve">The Confederates were once more masters of eastern Virginia.</w:t></w:r>
</w:p>
<w:p>
<w:pPr><w:pStyle w:val="Normal"/></w:pPr>
<w:r><w:t xml:space="preserve">16. Antietam.--It was at this moment that Bragg was in the</w:t></w:r>
</w:p>
<w:p>
<w:pPr><w:pStyle w:val="Normal"/></w:pPr>
<w:r><w:t xml:space="preserve">full tide of his temporary success in Tennessee and Kentucky,</w:t></w:r>
</w:p>
<w:p>
<w:pPr><w:pStyle w:val="Normal"/></w:pPr>
<w:r><w:t xml:space="preserve">and, after his great victory of Second Bull Run, Lee naturally</w:t></w:r>
</w:p>
<w:p>
<w:pPr><w:pStyle w:val="Normal"/></w:pPr>
<w:r><w:t xml:space="preserve">invaded Maryland, which, it was assumed, had not forgotten</w:t></w:r>
</w:p>
<w:p>
<w:pPr><w:pStyle w:val="Normal"/></w:pPr>
<w:r><w:t xml:space="preserve">its Southern sympathies.  But Lee received no real accession</w:t></w:r>
</w:p>
<w:p>
<w:pPr><w:pStyle w:val="Normal"/></w:pPr>
<w:r><w:t xml:space="preserve">of strength, and when McClellan with all available forces</w:t></w:r>
</w:p>
<w:p>
<w:pPr><w:pStyle w:val="Normal"/></w:pPr>
<w:r><w:t xml:space="preserve">moved out of Washington to encounter the Army of northern</w:t></w:r>
</w:p>
<w:p>
<w:pPr><w:pStyle w:val="Normal"/></w:pPr>
<w:r><w:t xml:space="preserve">Virginia, the Confederates were still but a few marches from</w:t></w:r>
</w:p>
<w:p>
<w:pPr><w:pStyle w:val="Normal"/></w:pPr>
<w:r><w:t xml:space="preserve">the point where they had crossed the Potomac.  Lee had again</w:t></w:r>
</w:p>
<w:p>
<w:pPr><w:pStyle w:val="Normal"/></w:pPr>
<w:r><w:t xml:space="preserve">divided his army.  On the 13th of September Jackson was</w:t></w:r>
</w:p>
<w:p>
<w:pPr><w:pStyle w:val="Normal"/></w:pPr>
<w:r><w:t xml:space="preserve">besieging 11,000 Federals in Harper&apos;s Ferry, Longstreet was at</w:t></w:r>
</w:p>
<w:p>
<w:pPr><w:pStyle w:val="Normal"/></w:pPr>
<w:r><w:t xml:space="preserve">Hagerstown, Stuart&apos;s cavalry holding the passes of the South</w:t></w:r>
</w:p>
<w:p>
<w:pPr><w:pStyle w:val="Normal"/></w:pPr>
<w:r><w:t xml:space="preserve">Mountain, while McClellan&apos;s whole army lay at Frederick.  Here</w:t></w:r>
</w:p>
<w:p>
<w:pPr><w:pStyle w:val="Normal"/></w:pPr>
<w:r><w:t xml:space="preserve">extraordinary good fortune put into the enemy&apos;s hands a copy</w:t></w:r>
</w:p>
<w:p>
<w:pPr><w:pStyle w:val="Normal"/></w:pPr>
<w:r><w:t xml:space="preserve">of Lee&apos;s orders, from which it was clear that the Confederates</w:t></w:r>
</w:p>
<w:p>
<w:pPr><w:pStyle w:val="Normal"/></w:pPr>
<w:r><w:t xml:space="preserve">were dangerously dispersed.  Had McClellan moved at once he</w:t></w:r>
</w:p>
<w:p>
<w:pPr><w:pStyle w:val="Normal"/></w:pPr>
<w:r><w:t xml:space="preserve">could have seized the passes without difficulty, as he was</w:t></w:r>
</w:p>
<w:p>
<w:pPr><w:pStyle w:val="Normal"/></w:pPr>
<w:r><w:t xml:space="preserve">aware that he had only cavalry to oppose him.  But the 13th</w:t></w:r>
</w:p>
<w:p>
<w:pPr><w:pStyle w:val="Normal"/></w:pPr>
<w:r><w:t xml:space="preserve">was spent in idleness, and stubborn infantry now held the</w:t></w:r>
</w:p>
<w:p>
<w:pPr><w:pStyle w:val="Normal"/></w:pPr>
<w:r><w:t xml:space="preserve">passes.  A serious and costly action had to be fought before</w:t></w:r>
</w:p>
<w:p>
<w:pPr><w:pStyle w:val="Normal"/></w:pPr>
<w:r><w:t xml:space="preserve">the way was cleared (battle of South Mountain, September 14).</w:t></w:r>
</w:p>
<w:p>
<w:pPr><w:pStyle w:val="Normal"/></w:pPr>
<w:r><w:t xml:space="preserve">On the following day Harper&apos;s Ferry capitulated after a weak</w:t></w:r>
</w:p>
<w:p>
<w:pPr><w:pStyle w:val="Normal"/></w:pPr>
<w:r><w:t xml:space="preserve">defence.  Jackson thereupon swiftly rejoined Lee, leaving</w:t></w:r>
</w:p>
<w:p>
<w:pPr><w:pStyle w:val="Normal"/></w:pPr>
<w:r><w:t xml:space="preserve">only a division to carry out the capitulation.  On the 16th</w:t></w:r>
</w:p>
<w:p>
<w:pPr><w:pStyle w:val="Normal"/></w:pPr>
<w:r><w:t xml:space="preserve">McClellan found Lee in position behind the Antietam Creek,</w:t></w:r>
</w:p>
<w:p>
<w:pPr><w:pStyle w:val="Normal"/></w:pPr>
<w:r><w:t xml:space="preserve">and on the 17th was fought the sanguinary and obstinately</w:t></w:r>
</w:p>
<w:p>
<w:pPr><w:pStyle w:val="Normal"/></w:pPr>
<w:r><w:t xml:space="preserve">contested battle of Antietam (q.v.) or Sharpsburg.  At the</w:t></w:r>
</w:p>
<w:p>
<w:pPr><w:pStyle w:val="Normal"/></w:pPr>
<w:r><w:t xml:space="preserve">price of enormous losses both sides escaped defeat in the</w:t></w:r>
</w:p>
<w:p>
<w:pPr><w:pStyle w:val="Normal"/></w:pPr>
<w:r><w:t xml:space="preserve">field, but Lee&apos;s offensive was at an end and he retired into</w:t></w:r>
</w:p>
<w:p>
<w:pPr><w:pStyle w:val="Normal"/></w:pPr>
<w:r><w:t xml:space="preserve">Virginia.  Thenceforward the Confederacy was purely on the</w:t></w:r>
</w:p>
<w:p>
<w:pPr><w:pStyle w:val="Normal"/></w:pPr>
<w:r><w:t xml:space="preserve">defensive.  Only twice more did the forces of the South</w:t></w:r>
</w:p>
<w:p>
<w:pPr><w:pStyle w:val="Normal"/></w:pPr>
<w:r><w:t xml:space="preserve">strike out (Gettysburg, 1863; Nashville, 1864), and then</w:t></w:r>
</w:p>
<w:p>
<w:pPr><w:pStyle w:val="Normal"/></w:pPr>
<w:r><w:t xml:space="preserve">the offensive was more of a counter-attack than an advance.</w:t></w:r>
</w:p>
<w:p>
<w:pPr><w:pStyle w:val="Normal"/></w:pPr>
<w:r><w:t xml:space="preserve">17. Vicksburg in 1862.--The Confederate failures of Corinth,</w:t></w:r>
</w:p>
<w:p>
<w:pPr><w:pStyle w:val="Normal"/></w:pPr>
<w:r><w:t xml:space="preserve">Perryville and Antietam were followed by a general advance by the</w:t></w:r>
</w:p>
<w:p>
<w:pPr><w:pStyle w:val="Normal"/></w:pPr>
<w:r><w:t xml:space="preserve">Federals.  It is about this time that Vicksburg becomes a place of</w:t></w:r>
</w:p>
<w:p>
<w:pPr><w:pStyle w:val="Normal"/></w:pPr>
<w:r><w:t xml:space="preserve">importance.  Farragut from New Orleans, and the gunboat flotilla</w:t></w:r>
</w:p>
<w:p>
<w:pPr><w:pStyle w:val="Normal"/></w:pPr>
<w:r><w:t xml:space="preserve">from the upper waters, had engaged the batteries in June and</w:t></w:r>
</w:p>
<w:p>
<w:pPr><w:pStyle w:val="Normal"/></w:pPr>
<w:r><w:t xml:space="preserve">July, but had returned to their respective stations, while a</w:t></w:r>
</w:p>
<w:p>
<w:pPr><w:pStyle w:val="Normal"/></w:pPr>
<w:r><w:t xml:space="preserve">Federal force under General Williams, which had appeared before</w:t></w:r>
</w:p>
<w:p>
<w:pPr><w:pStyle w:val="Normal"/></w:pPr>
<w:r><w:t xml:space="preserve">the fortress, retired to Baton Rouge.  Early in August, Van</w:t></w:r>
</w:p>
<w:p>
<w:pPr><w:pStyle w:val="Normal"/></w:pPr>
<w:r><w:t xml:space="preserve">Dorn, now in command of the place, sent a force to attack</w:t></w:r>
</w:p>
<w:p>
<w:pPr><w:pStyle w:val="Normal"/></w:pPr>
<w:r><w:t xml:space="preserve">Williams, and on the 5th a hard-fought action took place at Baton</w:t></w:r>
</w:p>
<w:p>
<w:pPr><w:pStyle w:val="Normal"/></w:pPr>
<w:r><w:t xml:space="preserve">Rouge, in which Williams was killed but his troops held their</w:t></w:r>
</w:p>
<w:p>
<w:pPr><w:pStyle w:val="Normal"/></w:pPr>
<w:r><w:t xml:space="preserve">own.  At this time the minor fortress of Port Hudson was</w:t></w:r>
</w:p>
<w:p>
<w:pPr><w:pStyle w:val="Normal"/></w:pPr>
<w:r><w:t xml:space="preserve">established to guard the rear of Vicksburg.  In November Grant,</w:t></w:r>
</w:p>
<w:p>
<w:pPr><w:pStyle w:val="Normal"/></w:pPr>
<w:r><w:t xml:space="preserve">with 57,000 men, began to move down from the north against</w:t></w:r>
</w:p>
<w:p>
<w:pPr><w:pStyle w:val="Normal"/></w:pPr>
<w:r><w:t xml:space="preserve">General J. C. Pemberton, who had superseded the talented Van</w:t></w:r>
</w:p>
<w:p>
<w:pPr><w:pStyle w:val="Normal"/></w:pPr>
<w:r><w:t xml:space="preserve">Dorn.  A converging movement made by Grant from Grand</w:t></w:r>
</w:p>
<w:p>
<w:pPr><w:pStyle w:val="Normal"/></w:pPr>
<w:r><w:t xml:space="preserve">Junction, W. T. Sherman from Memphis, and a force from Helena</w:t></w:r>
</w:p>
<w:p>
<w:pPr><w:pStyle w:val="Normal"/></w:pPr>
<w:r><w:t xml:space="preserve">on the Arkansas side, failed, owing to Pemberton&apos;s prompt</w:t></w:r>
</w:p>
<w:p>
<w:pPr><w:pStyle w:val="Normal"/></w:pPr>
<w:r><w:t xml:space="preserve">retirement to Oxford, Mississippi, and complications brought</w:t></w:r>
</w:p>
<w:p>
<w:pPr><w:pStyle w:val="Normal"/></w:pPr>
<w:r><w:t xml:space="preserve">about by the intrigues of an able but intractable subordinate,</w:t></w:r>
</w:p>
<w:p>
<w:pPr><w:pStyle w:val="Normal"/></w:pPr>
<w:r><w:t xml:space="preserve">McClernand, induced Grant to make a complete change of</w:t></w:r>
</w:p>
<w:p>
<w:pPr><w:pStyle w:val="Normal"/></w:pPr>
<w:r><w:t xml:space="preserve">plan.  Sherman was to proceed down the great river, and join</w:t></w:r>
</w:p>
<w:p>
<w:pPr><w:pStyle w:val="Normal"/></w:pPr>
<w:r><w:t xml:space="preserve">the ships from the Gulf before Vicksburg, while Grant himself</w:t></w:r>
</w:p>
<w:p>
<w:pPr><w:pStyle w:val="Normal"/></w:pPr>
<w:r><w:t xml:space="preserve">drove Pemberton southwards along the Mississippi Central</w:t></w:r>
</w:p>
<w:p>
<w:pPr><w:pStyle w:val="Normal"/></w:pPr>
<w:r><w:t xml:space="preserve">railway.  This double plan failed.  Grant, as he pushed</w:t></w:r>
</w:p>
<w:p>
<w:pPr><w:pStyle w:val="Normal"/></w:pPr>
<w:r><w:t xml:space="preserve">Pemberton before him to Granada, lengthened day by day his</w:t></w:r>
</w:p>
<w:p>
<w:pPr><w:pStyle w:val="Normal"/></w:pPr>
<w:r><w:t xml:space="preserve">line of communication, and when Van Dorn, ever enterprising,</w:t></w:r>
</w:p>
<w:p>
<w:pPr><w:pStyle w:val="Normal"/></w:pPr>
<w:r><w:t xml:space="preserve">raided the great Federal depot of Holly Springs the game was</w:t></w:r>
</w:p>
<w:p>
<w:pPr><w:pStyle w:val="Normal"/></w:pPr>
<w:r><w:t xml:space="preserve">up.  Grant retired hastily, for starvation was imminent, and</w:t></w:r>
</w:p>
<w:p>
<w:pPr><w:pStyle w:val="Normal"/></w:pPr>
<w:r><w:t xml:space="preserve">Pemberton, thus freed, turned upon Sherman, and inflicted a</w:t></w:r>
</w:p>
<w:p>
<w:pPr><w:pStyle w:val="Normal"/></w:pPr>
<w:r><w:t xml:space="preserve">severe defeat on that general at Chickasaw Bayou near Vicksburg</w:t></w:r>
</w:p>
<w:p>
<w:pPr><w:pStyle w:val="Normal"/></w:pPr>
<w:r><w:t xml:space="preserve">(December 29). McClernand now assumed command, and on the 11th</w:t></w:r>
</w:p>
<w:p>
<w:pPr><w:pStyle w:val="Normal"/></w:pPr>
<w:r><w:t xml:space="preserve">of January 1863 captured Fort Hindman near Arkansas Post.</w:t></w:r>
</w:p>
<w:p>
<w:pPr><w:pStyle w:val="Normal"/></w:pPr>
<w:r><w:t xml:space="preserve">This was the solitary gain of the whole operation.  Meanwhile</w:t></w:r>
</w:p>
<w:p>
<w:pPr><w:pStyle w:val="Normal"/></w:pPr>
<w:r><w:t xml:space="preserve">Vicksburg was steadily becoming stronger and more formidable.</w:t></w:r>
</w:p>
<w:p>
<w:pPr><w:pStyle w:val="Normal"/></w:pPr>
<w:r><w:t xml:space="preserve">18. Fredericksburg.--McClellan, after the battle of the</w:t></w:r>
</w:p>
<w:p>
<w:pPr><w:pStyle w:val="Normal"/></w:pPr>
<w:r><w:t xml:space="preserve">Antietam, paused for some time to reorganize his forces, some</w:t></w:r>
</w:p>
<w:p>
<w:pPr><w:pStyle w:val="Normal"/></w:pPr>
<w:r><w:t xml:space="preserve">of which had barely recovered from the effects of Pope&apos;s unlucky</w:t></w:r>
</w:p>
<w:p>
<w:pPr><w:pStyle w:val="Normal"/></w:pPr>
<w:r><w:t xml:space="preserve">campaign.  He then slowly moved down the east side of the</w:t></w:r>
</w:p>
<w:p>
<w:pPr><w:pStyle w:val="Normal"/></w:pPr>
<w:r><w:t xml:space="preserve">Blue Ridge, while Lee retired up the Valley on the west side</w:t></w:r>
</w:p>
<w:p>
<w:pPr><w:pStyle w:val="Normal"/></w:pPr>
<w:r><w:t xml:space="preserve">of the same range.  On the 6th of November the Army of the</w:t></w:r>
</w:p>
<w:p>
<w:pPr><w:pStyle w:val="Normal"/></w:pPr>
<w:r><w:t xml:space="preserve">Potomac was at Warrenton, Lee at Culpeper, and Jackson in the</w:t></w:r>
</w:p>
<w:p>
<w:pPr><w:pStyle w:val="Normal"/></w:pPr>
<w:r><w:t xml:space="preserve">Valley.  When on the point of resuming the offensive,</w:t></w:r>
</w:p>
<w:p>
<w:pPr><w:pStyle w:val="Normal"/></w:pPr>
<w:r><w:t xml:space="preserve">McClellan was suddenly superseded by Burnside, one of his</w:t></w:r>
</w:p>
<w:p>
<w:pPr><w:pStyle w:val="Normal"/></w:pPr>
<w:r><w:t xml:space="preserve">corps commanders.  Like Buell, McClellan had tempered the</w:t></w:r>
</w:p>
<w:p>
<w:pPr><w:pStyle w:val="Normal"/></w:pPr>
<w:r><w:t xml:space="preserve">tools with which others were to strike; he was not again</w:t></w:r>
</w:p>
<w:p>
<w:pPr><w:pStyle w:val="Normal"/></w:pPr>
<w:r><w:t xml:space="preserve">employed, and in his fall was involved his most brilliant</w:t></w:r>
</w:p>
<w:p>
<w:pPr><w:pStyle w:val="Normal"/></w:pPr>
<w:r><w:t xml:space="preserve">subordinate, Fitz John Porter (q.v..) Burnside was by</w:t></w:r>
</w:p>
<w:p>
<w:pPr><w:pStyle w:val="Normal"/></w:pPr>
<w:r><w:t xml:space="preserve">no means the equal of his predecessor, though a capable</w:t></w:r>
</w:p>
<w:p>
<w:pPr><w:pStyle w:val="Normal"/></w:pPr>
<w:r><w:t xml:space="preserve">subordinate, and indeed only accepted the chief command with</w:t></w:r>
</w:p>
<w:p>
<w:pPr><w:pStyle w:val="Normal"/></w:pPr>
<w:r><w:t xml:space="preserve">reluctance.  He began his campaign by cancelling McClellan&apos;s</w:t></w:r>
</w:p>
<w:p>
<w:pPr><w:pStyle w:val="Normal"/></w:pPr>
<w:r><w:t xml:space="preserve">operation, and, his own plan being to strike at Richmond from</w:t></w:r>
</w:p>
<w:p>
<w:pPr><w:pStyle w:val="Normal"/></w:pPr>
<w:r><w:t xml:space="preserve">Fredericksburg, he moved the now augmented army to Falmouth</w:t></w:r>
</w:p>
<w:p>
<w:pPr><w:pStyle w:val="Normal"/></w:pPr>
<w:r><w:t xml:space="preserve">opposite that place, hoping to surprise the crossing of the</w:t></w:r>
</w:p>
<w:p>
<w:pPr><w:pStyle w:val="Normal"/></w:pPr>
<w:r><w:t xml:space="preserve">Rappahannock.  Delays and neglect, not only at the front,</w:t></w:r>
</w:p>
<w:p>
<w:pPr><w:pStyle w:val="Normal"/></w:pPr>
<w:r><w:t xml:space="preserve">but on the part of the headquarters staff at Washington,</w:t></w:r>
</w:p>
<w:p>
<w:pPr><w:pStyle w:val="Normal"/></w:pPr>
<w:r><w:t xml:space="preserve">permitted Lee to seize the heights of the southern bank in</w:t></w:r>
</w:p>
<w:p>
<w:pPr><w:pStyle w:val="Normal"/></w:pPr>
<w:r><w:t xml:space="preserve">time.  When Burnside fought his battle of Fredericksburg</w:t></w:r>
</w:p>
<w:p>
<w:pPr><w:pStyle w:val="Normal"/></w:pPr>
<w:r><w:t xml:space="preserve">(q.v.) an appalling reverse was the result, the more</w:t></w:r>
</w:p>
<w:p>
<w:pPr><w:pStyle w:val="Normal"/></w:pPr>
<w:r><w:t xml:space="preserve">terrible as it was absolutely useless (December 13).</w:t></w:r>
</w:p>
<w:p>
<w:pPr><w:pStyle w:val="Normal"/></w:pPr>
<w:r><w:t xml:space="preserve">19. Closing Operations of 1862.--Chickasaw Bayou and</w:t></w:r>
</w:p>
<w:p>
<w:pPr><w:pStyle w:val="Normal"/></w:pPr>
<w:r><w:t xml:space="preserve">Fredericksburg ended the Federal initiative in the west and the</w:t></w:r>
</w:p>
<w:p>
<w:pPr><w:pStyle w:val="Normal"/></w:pPr>
<w:r><w:t xml:space="preserve">east; the Army of the Cumberland under Rosecrans alone could</w:t></w:r>
</w:p>
<w:p>
<w:pPr><w:pStyle w:val="Normal"/></w:pPr>
<w:r><w:t xml:space="preserve">claim a victory.  Buell&apos;s successor retained the positions about</w:t></w:r>
</w:p>
<w:p>
<w:pPr><w:pStyle w:val="Normal"/></w:pPr>
<w:r><w:t xml:space="preserve">Nashville, whilst a new Army of the Ohio prepared to operate</w:t></w:r>
</w:p>
<w:p>
<w:pPr><w:pStyle w:val="Normal"/></w:pPr>
<w:r><w:t xml:space="preserve">in east Tennessee.  Bragg lay at Murfreesboro (see STONE</w:t></w:r>
</w:p>
<w:p>
<w:pPr><w:pStyle w:val="Normal"/></w:pPr>
<w:r><w:t xml:space="preserve">RIVER), where Rosecrans attacked him on the 31st of December</w:t></w:r>
</w:p>
<w:p>
<w:pPr><w:pStyle w:val="Normal"/></w:pPr>
<w:r><w:t xml:space="preserve">1862.  A very obstinate and bloody two days&apos; battle ended</w:t></w:r>
</w:p>
<w:p>
<w:pPr><w:pStyle w:val="Normal"/></w:pPr>
<w:r><w:t xml:space="preserve">in Bragg&apos;s retirement towards Chattanooga.  During these</w:t></w:r>
</w:p>
<w:p>
<w:pPr><w:pStyle w:val="Normal"/></w:pPr>
<w:r><w:t xml:space="preserve">campaigns the United States navy had not been idle.  The part</w:t></w:r>
</w:p>
<w:p>
<w:pPr><w:pStyle w:val="Normal"/></w:pPr>
<w:r><w:t xml:space="preserve">played by the gunboats on the upper Mississippi had been most</w:t></w:r>
</w:p>
<w:p>
<w:pPr><w:pStyle w:val="Normal"/></w:pPr>
<w:r><w:t xml:space="preserve">conspicuous, as had been the operations of Farragut&apos;s heavier</w:t></w:r>
</w:p>
<w:p>
<w:pPr><w:pStyle w:val="Normal"/></w:pPr>
<w:r><w:t xml:space="preserve">ships in the lower waters of the same river.  The work of Du</w:t></w:r>
</w:p>
<w:p>
<w:pPr><w:pStyle w:val="Normal"/></w:pPr>
<w:r><w:t xml:space="preserve">Pont and Goldsborough on the Atlantic coast has been alluded to</w:t></w:r>
</w:p>
<w:p>
<w:pPr><w:pStyle w:val="Normal"/></w:pPr>
<w:r><w:t xml:space="preserve">above.  Charleston was attacked without success in 1862, but</w:t></w:r>
</w:p>
<w:p>
<w:pPr><w:pStyle w:val="Normal"/></w:pPr>
<w:r><w:t xml:space="preserve">from June to August 1863 it was besieged by General Gillmore</w:t></w:r>
</w:p>
<w:p>
<w:pPr><w:pStyle w:val="Normal"/></w:pPr>
<w:r><w:t xml:space="preserve">and Admiral Dahlgren, and under great difficulties the Federals</w:t></w:r>
</w:p>
<w:p>
<w:pPr><w:pStyle w:val="Normal"/></w:pPr>
<w:r><w:t xml:space="preserve">secured a lodgment, though it was not until Sherman appeared</w:t></w:r>
</w:p>
<w:p>
<w:pPr><w:pStyle w:val="Normal"/></w:pPr>
<w:r><w:t xml:space="preserve">on the land side early in 1865 that the Confederate defence</w:t></w:r>
</w:p>
<w:p>
<w:pPr><w:pStyle w:val="Normal"/></w:pPr>
<w:r><w:t xml:space="preserve">collapsed.  Fort Fisher near Wilmington also underwent a</w:t></w:r>
</w:p>
<w:p>
<w:pPr><w:pStyle w:val="Normal"/></w:pPr>
<w:r><w:t xml:space="preserve">memorable siege by land and sea.  Certain incursions were</w:t></w:r>
</w:p>
<w:p>
<w:pPr><w:pStyle w:val="Normal"/></w:pPr>
<w:r><w:t xml:space="preserve">from time to time made at different points along the whole</w:t></w:r>
</w:p>
<w:p>
<w:pPr><w:pStyle w:val="Normal"/></w:pPr>
<w:r><w:t xml:space="preserve">sea-board.  Minor operations moreover, especially in Arkansas</w:t></w:r>
</w:p>
<w:p>
<w:pPr><w:pStyle w:val="Normal"/></w:pPr>
<w:r><w:t xml:space="preserve">and southern Missouri, were continually undertaken by both</w:t></w:r>
</w:p>
<w:p>
<w:pPr><w:pStyle w:val="Normal"/></w:pPr>
<w:r><w:t xml:space="preserve">sides during 1862-1863, of which the battle of Prairie</w:t></w:r>
</w:p>
<w:p>
<w:pPr><w:pStyle w:val="Normal"/></w:pPr>
<w:r><w:t xml:space="preserve">Grove, Arkansas (December 7, 1862), was the most notable</w:t></w:r>
</w:p>
<w:p>
<w:pPr><w:pStyle w:val="Normal"/></w:pPr>
<w:r><w:t xml:space="preserve">incident.  Meanwhile the blockade had become so stringent</w:t></w:r>
</w:p>
<w:p>
<w:pPr><w:pStyle w:val="Normal"/></w:pPr>
<w:r><w:t xml:space="preserve">that few ordinary vessels could expect to break through, and</w:t></w:r>
</w:p>
<w:p>
<w:pPr><w:pStyle w:val="Normal"/></w:pPr>
<w:r><w:t xml:space="preserve">a special type of steamer came into vogue for the purpose.</w:t></w:r>
</w:p>
<w:p>
<w:pPr><w:pStyle w:val="Normal"/></w:pPr>
<w:r><w:t xml:space="preserve">20. Capture of Vicksburg.--In 1863 the campaigns once more</w:t></w:r>
</w:p>
<w:p>
<w:pPr><w:pStyle w:val="Normal"/></w:pPr>
<w:r><w:t xml:space="preserve">divided themselves accurately into those of east, centre and</w:t></w:r>
</w:p>
<w:p>
<w:pPr><w:pStyle w:val="Normal"/></w:pPr>
<w:r><w:t xml:space="preserve">west.  This year saw the greatest successes and the heaviest</w:t></w:r>
</w:p>
<w:p>
<w:pPr><w:pStyle w:val="Normal"/></w:pPr>
<w:r><w:t xml:space="preserve">reverses of the Union army, Gettysburg and Vicksburg and</w:t></w:r>
</w:p>
<w:p>
<w:pPr><w:pStyle w:val="Normal"/></w:pPr>
<w:r><w:t xml:space="preserve">Chattanooga against Chancellorsville and Chickamauga.</w:t></w:r>
</w:p>
<w:p>
<w:pPr><w:pStyle w:val="Normal"/></w:pPr>
<w:r><w:t xml:space="preserve">Operations began in the west with the second advance upon</w:t></w:r>
</w:p>
<w:p>
<w:pPr><w:pStyle w:val="Normal"/></w:pPr>
<w:r><w:t xml:space="preserve">Vicksburg.  One corps of the Army of the Tennessee was</w:t></w:r>
</w:p>
<w:p>
<w:pPr><w:pStyle w:val="Normal"/></w:pPr>
<w:r><w:t xml:space="preserve">detached to cover the Memphis &amp; Charleston railway.</w:t></w:r>
</w:p>
<w:p>
<w:pPr><w:pStyle w:val="Normal"/></w:pPr>
<w:r><w:t xml:space="preserve">Grant, with the other three under Sherman, McClernand and</w:t></w:r>
</w:p>
<w:p>
<w:pPr><w:pStyle w:val="Normal"/></w:pPr>
<w:r><w:t xml:space="preserve">McPherson, moved by water to the neighbourhood of the</w:t></w:r>
</w:p>
<w:p>
<w:pPr><w:pStyle w:val="Normal"/></w:pPr>
<w:r><w:t xml:space="preserve">fortress.  Many weeks passed without any success to the Union</w:t></w:r>
</w:p>
<w:p>
<w:pPr><w:pStyle w:val="Normal"/></w:pPr>
<w:r><w:t xml:space="preserve">arms.  Vicksburg and its long line of fortifications stood</w:t></w:r>
</w:p>
<w:p>
<w:pPr><w:pStyle w:val="Normal"/></w:pPr>
<w:r><w:t xml:space="preserve">on high bluffs, all else was swampy lowland and intricate</w:t></w:r>
</w:p>
<w:p>
<w:pPr><w:pStyle w:val="Normal"/></w:pPr>
<w:r><w:t xml:space="preserve">waterways.  As Sherman in 1862, so now Grant was unable to</w:t></w:r>
</w:p>
<w:p>
<w:pPr><w:pStyle w:val="Normal"/></w:pPr>
<w:r><w:t xml:space="preserve">obtain any foothold on the high ground, and no effective</w:t></w:r>
</w:p>
<w:p>
<w:pPr><w:pStyle w:val="Normal"/></w:pPr>
<w:r><w:t xml:space="preserve">attack was possible until this had been gained.  At last,</w:t></w:r>
</w:p>
<w:p>
<w:pPr><w:pStyle w:val="Normal"/></w:pPr>
<w:r><w:t xml:space="preserve">after many trials and failures, Grant took a daring step.</w:t></w:r>
</w:p>
<w:p>
<w:pPr><w:pStyle w:val="Normal"/></w:pPr>
<w:r><w:t xml:space="preserve">The troops with their supplies marched round through a network</w:t></w:r>
</w:p>
<w:p>
<w:pPr><w:pStyle w:val="Normal"/></w:pPr>
<w:r><w:t xml:space="preserve">of lakes and streams to a point south of Vicksburg; Admiral</w:t></w:r>
</w:p>
<w:p>
<w:pPr><w:pStyle w:val="Normal"/></w:pPr>
<w:r><w:t xml:space="preserve">Porter&apos;s gunboats and the transports along with them &quot;ran&quot; the</w:t></w:r>
</w:p>
<w:p>
<w:pPr><w:pStyle w:val="Normal"/></w:pPr>
<w:r><w:t xml:space="preserve">batteries.  At Bruinsburg, beyond Pemberton&apos;s reach, a landing</w:t></w:r>
</w:p>
<w:p>
<w:pPr><w:pStyle w:val="Normal"/></w:pPr>
<w:r><w:t xml:space="preserve">was made on the eastern bank and, without any base of supplies</w:t></w:r>
</w:p>
<w:p>
<w:pPr><w:pStyle w:val="Normal"/></w:pPr>
<w:r><w:t xml:space="preserve">or line of retreat, Grant embarked upon a campaign which made</w:t></w:r>
</w:p>
<w:p>
<w:pPr><w:pStyle w:val="Normal"/></w:pPr>
<w:r><w:t xml:space="preserve">him in the end master of the prize.  On the 4th of July Pemberton</w:t></w:r>
</w:p>
<w:p>
<w:pPr><w:pStyle w:val="Normal"/></w:pPr>
<w:r><w:t xml:space="preserve">surrendered the fortress and 37,000 men.  Grant&apos;s endurance</w:t></w:r>
</w:p>
<w:p>
<w:pPr><w:pStyle w:val="Normal"/></w:pPr>
<w:r><w:t xml:space="preserve">and daring had won what was perhaps the greatest success of the</w:t></w:r>
</w:p>
<w:p>
<w:pPr><w:pStyle w:val="Normal"/></w:pPr>
<w:r><w:t xml:space="preserve">war.  General Joseph Johnston with a small relieving army had</w:t></w:r>
</w:p>
<w:p>
<w:pPr><w:pStyle w:val="Normal"/></w:pPr>
<w:r><w:t xml:space="preserve">appeared at Jackson, Mississippi, but had been held in check by</w:t></w:r>
</w:p>
<w:p>
<w:pPr><w:pStyle w:val="Normal"/></w:pPr>
<w:r><w:t xml:space="preserve">General F. P. Blair and a force from the Army of the Tennessee;</w:t></w:r>
</w:p>
<w:p>
<w:pPr><w:pStyle w:val="Normal"/></w:pPr>
<w:r><w:t xml:space="preserve">when Vicksburg surrendered a larger force was at once sent</w:t></w:r>
</w:p>
<w:p>
<w:pPr><w:pStyle w:val="Normal"/></w:pPr>
<w:r><w:t xml:space="preserve">against him, whereupon he retired.  In the meanwhile Banks</w:t></w:r>
</w:p>
<w:p>
<w:pPr><w:pStyle w:val="Normal"/></w:pPr>
<w:r><w:t xml:space="preserve">had moved upstream from New Orleans, and laid siege to Port</w:t></w:r>
</w:p>
<w:p>
<w:pPr><w:pStyle w:val="Normal"/></w:pPr>
<w:r><w:t xml:space="preserve">Hudson.  Operations were pressed with vigour, and the place</w:t></w:r>
</w:p>
<w:p>
<w:pPr><w:pStyle w:val="Normal"/></w:pPr>
<w:r><w:t xml:space="preserve">surrendered four days after Vicksburg.  A Confederate attack</w:t></w:r>
</w:p>
<w:p>
<w:pPr><w:pStyle w:val="Normal"/></w:pPr>
<w:r><w:t xml:space="preserve">on the post of Helena, Arkansas, was the last serious fight on</w:t></w:r>
</w:p>
<w:p>
<w:pPr><w:pStyle w:val="Normal"/></w:pPr>
<w:r><w:t xml:space="preserve">the great river, and before the end of July the first merchant</w:t></w:r>
</w:p>
<w:p>
<w:pPr><w:pStyle w:val="Normal"/></w:pPr>
<w:r><w:t xml:space="preserve">steamer from St Louis discharged her cargo at New Orleans.</w:t></w:r>
</w:p>
<w:p>
<w:pPr><w:pStyle w:val="Normal"/></w:pPr>
<w:r><w:t xml:space="preserve">21. Chancellorsville and Gettysburg.--In Virginia Burnside</w:t></w:r>
</w:p>
<w:p>
<w:pPr><w:pStyle w:val="Normal"/></w:pPr>
<w:r><w:t xml:space="preserve">had made, in January 1863, an attempt to gain by manoeuvre</w:t></w:r>
</w:p>
<w:p>
<w:pPr><w:pStyle w:val="Normal"/></w:pPr>
<w:r><w:t xml:space="preserve">what he had missed in battle.  The sudden swelling of rivers</w:t></w:r>
</w:p>
<w:p>
<w:pPr><w:pStyle w:val="Normal"/></w:pPr>
<w:r><w:t xml:space="preserve">and downpour of rain stopped all movement at once, and the</w:t></w:r>
</w:p>
<w:p>
<w:pPr><w:pStyle w:val="Normal"/></w:pPr>
<w:r><w:t xml:space="preserve">&quot;Mud March&quot; came to an end.  A Federal general could retain</w:t></w:r>
</w:p>
<w:p>
<w:pPr><w:pStyle w:val="Normal"/></w:pPr>
<w:r><w:t xml:space="preserve">his hold on the men after a reverse, but not after a farce:</w:t></w:r>
</w:p>
<w:p>
<w:pPr><w:pStyle w:val="Normal"/></w:pPr>
<w:r><w:t xml:space="preserve">Burnside was replaced by General Joseph Hooker, who had</w:t></w:r>
</w:p>
<w:p>
<w:pPr><w:pStyle w:val="Normal"/></w:pPr>
<w:r><w:t xml:space="preserve">a splendid reputation as a subordinate leader.  The new</w:t></w:r>
</w:p>
<w:p>
<w:pPr><w:pStyle w:val="Normal"/></w:pPr>
<w:r><w:t xml:space="preserve">commander displayed great energy in reorganizing the Army of</w:t></w:r>
</w:p>
<w:p>
<w:pPr><w:pStyle w:val="Normal"/></w:pPr>
<w:r><w:t xml:space="preserve">the Potomac, the discipline of which had not come unscathed</w:t></w:r>
</w:p>
<w:p>
<w:pPr><w:pStyle w:val="Normal"/></w:pPr>
<w:r><w:t xml:space="preserve">through a career of failure.  Lee still held the battlefield</w:t></w:r>
</w:p>
<w:p>
<w:pPr><w:pStyle w:val="Normal"/></w:pPr>
<w:r><w:t xml:space="preserve">of Fredericksburg and had not attempted the offensive, and in</w:t></w:r>
</w:p>
<w:p>
<w:pPr><w:pStyle w:val="Normal"/></w:pPr>
<w:r><w:t xml:space="preserve">April he was much weakened by the detachment of Longstreet&apos;s</w:t></w:r>
</w:p>
<w:p>
<w:pPr><w:pStyle w:val="Normal"/></w:pPr>
<w:r><w:t xml:space="preserve">corps to a minor theatre of operations.  Hooker&apos;s operations</w:t></w:r>
</w:p>
<w:p>
<w:pPr><w:pStyle w:val="Normal"/></w:pPr>
<w:r><w:t xml:space="preserve">began well, Lee was outmanoeuvred and threatened in flank</w:t></w:r>
</w:p>
<w:p>
<w:pPr><w:pStyle w:val="Normal"/></w:pPr>
<w:r><w:t xml:space="preserve">and rear, but the Federals were in the end involved in the</w:t></w:r>
</w:p>
<w:p>
<w:pPr><w:pStyle w:val="Normal"/></w:pPr>
<w:r><w:t xml:space="preserve">confused and disastrous battle of Chancellorsville (q.v.).</w:t></w:r>
</w:p>
<w:p>
<w:pPr><w:pStyle w:val="Normal"/></w:pPr>
<w:r><w:t xml:space="preserve">Stonewall Jackson was mortally wounded, but his men and those</w:t></w:r>
</w:p>
<w:p>
<w:pPr><w:pStyle w:val="Normal"/></w:pPr>
<w:r><w:t xml:space="preserve">of Longstreet&apos;s who had remained with Lee defeated Hooker and</w:t></w:r>
</w:p>
<w:p>
<w:pPr><w:pStyle w:val="Normal"/></w:pPr>
<w:r><w:t xml:space="preserve">forced him to retire again beyond the Rappahannock, though</w:t></w:r>
</w:p>
<w:p>
<w:pPr><w:pStyle w:val="Normal"/></w:pPr>
<w:r><w:t xml:space="preserve">he had double Lee&apos;s force.  But Hooker could at least make</w:t></w:r>
</w:p>
<w:p>
<w:pPr><w:pStyle w:val="Normal"/></w:pPr>
<w:r><w:t xml:space="preserve">himself obeyed, and when Lee initiated his second invasion of</w:t></w:r>
</w:p>
<w:p>
<w:pPr><w:pStyle w:val="Normal"/></w:pPr>
<w:r><w:t xml:space="preserve">the North a month after the battle of Chancellorsville, the</w:t></w:r>
</w:p>
<w:p>
<w:pPr><w:pStyle w:val="Normal"/></w:pPr>
<w:r><w:t xml:space="preserve">Army of the Potomac was as resolute as ever.  On the 9th of</w:t></w:r>
</w:p>
<w:p>
<w:pPr><w:pStyle w:val="Normal"/></w:pPr>
<w:r><w:t xml:space="preserve">June the cavalry combat of Brandy Station made it clear to the</w:t></w:r>
</w:p>
<w:p>
<w:pPr><w:pStyle w:val="Normal"/></w:pPr>
<w:r><w:t xml:space="preserve">Federal staff that Lee was about to use the Valley once more</w:t></w:r>
</w:p>
<w:p>
<w:pPr><w:pStyle w:val="Normal"/></w:pPr>
<w:r><w:t xml:space="preserve">to screen an invasion of Maryland.  Longstreet, A. P. Hill</w:t></w:r>
</w:p>
<w:p>
<w:pPr><w:pStyle w:val="Normal"/></w:pPr>
<w:r><w:t xml:space="preserve">and Ewell (who were now Lee&apos;s corps commanders) were at one</w:t></w:r>
</w:p>
<w:p>
<w:pPr><w:pStyle w:val="Normal"/></w:pPr>
<w:r><w:t xml:space="preserve">time scattered from Strasburg in the Valley to Fredericksburg,</w:t></w:r>
</w:p>
<w:p>
<w:pPr><w:pStyle w:val="Normal"/></w:pPr>
<w:r><w:t xml:space="preserve">and Hooker earnestly begged to be allowed to attack them in</w:t></w:r>
</w:p>
<w:p>
<w:pPr><w:pStyle w:val="Normal"/></w:pPr>
<w:r><w:t xml:space="preserve">detail.  Success was certain, but the scheme was vetoed by the</w:t></w:r>
</w:p>
<w:p>
<w:pPr><w:pStyle w:val="Normal"/></w:pPr>
<w:r><w:t xml:space="preserve">Federal headquarters and government, whose first and ruling</w:t></w:r>
</w:p>
<w:p>
<w:pPr><w:pStyle w:val="Normal"/></w:pPr>
<w:r><w:t xml:space="preserve">idea was to keep the Army of the Potomac between Lee and</w:t></w:r>
</w:p>
<w:p>
<w:pPr><w:pStyle w:val="Normal"/></w:pPr>
<w:r><w:t xml:space="preserve">Washington.  Hooker was thus compelled to follow Lee&apos;s</w:t></w:r>
</w:p>
<w:p>
<w:pPr><w:pStyle w:val="Normal"/></w:pPr>
<w:r><w:t xml:space="preserve">movements.  Ewell&apos;s men were raiding unchecked as far north</w:t></w:r>
</w:p>
<w:p>
<w:pPr><w:pStyle w:val="Normal"/></w:pPr>
<w:r><w:t xml:space="preserve">as the Susquehanna, while Hooker was compelled to inactivity</w:t></w:r>
</w:p>
<w:p>
<w:pPr><w:pStyle w:val="Normal"/></w:pPr>
<w:r><w:t xml:space="preserve">before the forces of Hill and Longstreet.  The Federal general,</w:t></w:r>
</w:p>
<w:p>
<w:pPr><w:pStyle w:val="Normal"/></w:pPr>
<w:r><w:t xml:space="preserve">within his limitations, acted prudently and skilfully.  The</w:t></w:r>
</w:p>
<w:p>
<w:pPr><w:pStyle w:val="Normal"/></w:pPr>
<w:r><w:t xml:space="preserve">Army of the Potomac crossed that river only one day later than</w:t></w:r>
</w:p>
<w:p>
<w:pPr><w:pStyle w:val="Normal"/></w:pPr>
<w:r><w:t xml:space="preserve">Lee, and concentrated at Frederick.  But Hooker was no longer</w:t></w:r>
</w:p>
<w:p>
<w:pPr><w:pStyle w:val="Normal"/></w:pPr>
<w:r><w:t xml:space="preserve">trusted by the Washington authorities, and his dispositions</w:t></w:r>
</w:p>
<w:p>
<w:pPr><w:pStyle w:val="Normal"/></w:pPr>
<w:r><w:t xml:space="preserve">were interfered with.  Not allowed to control the operations</w:t></w:r>
</w:p>
<w:p>
<w:pPr><w:pStyle w:val="Normal"/></w:pPr>
<w:r><w:t xml:space="preserve">of his own men, the unfortunate general resigned his command</w:t></w:r>
</w:p>
<w:p>
<w:pPr><w:pStyle w:val="Normal"/></w:pPr>
<w:r><w:t xml:space="preserve">on the 28th.  He was succeeded by General G. G. Meade, who,</w:t></w:r>
</w:p>
<w:p>
<w:pPr><w:pStyle w:val="Normal"/></w:pPr>
<w:r><w:t xml:space="preserve">besides steadiness and ability, possessed the confidence</w:t></w:r>
</w:p>
<w:p>
<w:pPr><w:pStyle w:val="Normal"/></w:pPr>
<w:r><w:t xml:space="preserve">of Lincoln and Halleck which Hooker had lacked.  Meade was</w:t></w:r>
</w:p>
<w:p>
<w:pPr><w:pStyle w:val="Normal"/></w:pPr>
<w:r><w:t xml:space="preserve">thus able to move promptly, Lee was compelled to meet him,</w:t></w:r>
</w:p>
<w:p>
<w:pPr><w:pStyle w:val="Normal"/></w:pPr>
<w:r><w:t xml:space="preserve">and the Army of the Potomac began to take up its position</w:t></w:r>
</w:p>
<w:p>
<w:pPr><w:pStyle w:val="Normal"/></w:pPr>
<w:r><w:t xml:space="preserve">on Pipe Creek, screened by Generals Reynolds and Buford at</w:t></w:r>
</w:p>
<w:p>
<w:pPr><w:pStyle w:val="Normal"/></w:pPr>
<w:r><w:t xml:space="preserve">Gettysburg (q.v..) On the 1st of July the heads of Lee&apos;s</w:t></w:r>
</w:p>
<w:p>
<w:pPr><w:pStyle w:val="Normal"/></w:pPr>
<w:r><w:t xml:space="preserve">columns engaged Buford&apos;s cavalry outposts, and the conflict</w:t></w:r>
</w:p>
<w:p>
<w:pPr><w:pStyle w:val="Normal"/></w:pPr>
<w:r><w:t xml:space="preserve">began.  All troops on both sides hurried to the unexpected</w:t></w:r>
</w:p>
<w:p>
<w:pPr><w:pStyle w:val="Normal"/></w:pPr>
<w:r><w:t xml:space="preserve">battlefield, and after a great three days&apos; battle, the Army of</w:t></w:r>
</w:p>
<w:p>
<w:pPr><w:pStyle w:val="Normal"/></w:pPr>
<w:r><w:t xml:space="preserve">the Potomac emerged at last with a decisive victory.  On the</w:t></w:r>
</w:p>
<w:p>
<w:pPr><w:pStyle w:val="Normal"/></w:pPr>
<w:r><w:t xml:space="preserve">4th, as Pemberton surrendered at Vicksburg, Lee drew off his</w:t></w:r>
</w:p>
<w:p>
<w:pPr><w:pStyle w:val="Normal"/></w:pPr>
<w:r><w:t xml:space="preserve">shattered forces.  One third of the Army of northern Virginia</w:t></w:r>
</w:p>
<w:p>
<w:pPr><w:pStyle w:val="Normal"/></w:pPr>
<w:r><w:t xml:space="preserve">and one quarter of the Army of the Potomac remained on the</w:t></w:r>
</w:p>
<w:p>
<w:pPr><w:pStyle w:val="Normal"/></w:pPr>
<w:r><w:t xml:space="preserve">field.  Pursuit was not seriously undertaken, and the armies</w:t></w:r>
</w:p>
<w:p>
<w:pPr><w:pStyle w:val="Normal"/></w:pPr>
<w:r><w:t xml:space="preserve">manoeuvred back to the old battle-grounds of the Rapidan and the</w:t></w:r>
</w:p>
<w:p>
<w:pPr><w:pStyle w:val="Normal"/></w:pPr>
<w:r><w:t xml:space="preserve">Rappahannock.  A war of manoeuvre followed, each side being</w:t></w:r>
</w:p>
<w:p>
<w:pPr><w:pStyle w:val="Normal"/></w:pPr>
<w:r><w:t xml:space="preserve">reduced in turn by successive detachments sent to aid Rosecrans</w:t></w:r>
</w:p>
<w:p>
<w:pPr><w:pStyle w:val="Normal"/></w:pPr>
<w:r><w:t xml:space="preserve">and Bragg in the struggle for Tennessee.  In October Lee</w:t></w:r>
</w:p>
<w:p>
<w:pPr><w:pStyle w:val="Normal"/></w:pPr>
<w:r><w:t xml:space="preserve">attempted a third Bull Run campaign on the same lines as the</w:t></w:r>
</w:p>
<w:p>
<w:pPr><w:pStyle w:val="Normal"/></w:pPr>
<w:r><w:t xml:space="preserve">second, but Meade&apos;s steadiness foiled him, and he retired</w:t></w:r>
</w:p>
<w:p>
<w:pPr><w:pStyle w:val="Normal"/></w:pPr>
<w:r><w:t xml:space="preserve">to the Rapidan again, where he in turn repulsed Meade&apos;s</w:t></w:r>
</w:p>
<w:p>
<w:pPr><w:pStyle w:val="Normal"/></w:pPr>
<w:r><w:t xml:space="preserve">attempt to surprise him (Mine Run, November 26-28, 1863).</w:t></w:r>
</w:p>
<w:p>
<w:pPr><w:pStyle w:val="Normal"/></w:pPr>
<w:r><w:t xml:space="preserve">22. Chickamauga.--In the centre Rosecrans and Bragg spent</w:t></w:r>
</w:p>
<w:p>
<w:pPr><w:pStyle w:val="Normal"/></w:pPr>
<w:r><w:t xml:space="preserve">the first six months of the year, as it were glaring at each</w:t></w:r>
</w:p>
<w:p>
<w:pPr><w:pStyle w:val="Normal"/></w:pPr>
<w:r><w:t xml:space="preserve">other.  Nothing was done by the main armies, but the far-ranging</w:t></w:r>
</w:p>
<w:p>
<w:pPr><w:pStyle w:val="Normal"/></w:pPr>
<w:r><w:t xml:space="preserve">cavalry raids of the Confederates under J. H. Morgan and</w:t></w:r>
</w:p>
<w:p>
<w:pPr><w:pStyle w:val="Normal"/></w:pPr>
<w:r><w:t xml:space="preserve">other leaders created much excitement, especially &quot;Morgan&apos;s</w:t></w:r>
</w:p>
<w:p>
<w:pPr><w:pStyle w:val="Normal"/></w:pPr>
<w:r><w:t xml:space="preserve">Raid&quot; (June 27-July 26), through Indiana, Kentucky and Ohio,</w:t></w:r>
</w:p>
<w:p>
<w:pPr><w:pStyle w:val="Normal"/></w:pPr>
<w:r><w:t xml:space="preserve">which states had hitherto little or no experience of the</w:t></w:r>
</w:p>
<w:p>
<w:pPr><w:pStyle w:val="Normal"/></w:pPr>
<w:r><w:t xml:space="preserve">war on their own soil.  At last the Army of the Cumberland</w:t></w:r>
</w:p>
<w:p>
<w:pPr><w:pStyle w:val="Normal"/></w:pPr>
<w:r><w:t xml:space="preserve">advanced.  Rosecrans manoeuvred his opponent out of one</w:t></w:r>
</w:p>
<w:p>
<w:pPr><w:pStyle w:val="Normal"/></w:pPr>
<w:r><w:t xml:space="preserve">position after another until Bragg was driven back into</w:t></w:r>
</w:p>
<w:p>
<w:pPr><w:pStyle w:val="Normal"/></w:pPr>
<w:r><w:t xml:space="preserve">Chattanooga.  These operations were very skilfully conducted</w:t></w:r>
</w:p>
<w:p>
<w:pPr><w:pStyle w:val="Normal"/></w:pPr>
<w:r><w:t xml:space="preserve">by Rosecrans and his second-in-command, Thomas, and, at a</w:t></w:r>
</w:p>
<w:p>
<w:pPr><w:pStyle w:val="Normal"/></w:pPr>
<w:r><w:t xml:space="preserve">trifling cost, advanced the Union outposts to the borders of</w:t></w:r>
</w:p>
<w:p>
<w:pPr><w:pStyle w:val="Normal"/></w:pPr>
<w:r><w:t xml:space="preserve">Georgia.  Burnside and the new Army of the Ohio had now</w:t></w:r>
</w:p>
<w:p>
<w:pPr><w:pStyle w:val="Normal"/></w:pPr>
<w:r><w:t xml:space="preserve">cleared east Tennessee and occupied Knoxville (September 2),</w:t></w:r>
</w:p>
<w:p>
<w:pPr><w:pStyle w:val="Normal"/></w:pPr>
<w:r><w:t xml:space="preserve">and meanwhile Rosecrans by a brilliant movement, in which he</w:t></w:r>
</w:p>
<w:p>
<w:pPr><w:pStyle w:val="Normal"/></w:pPr>
<w:r><w:t xml:space="preserve">displayed no less daring in execution than skill in planning,</w:t></w:r>
</w:p>
<w:p>
<w:pPr><w:pStyle w:val="Normal"/></w:pPr>
<w:r><w:t xml:space="preserve">once more manoeuvred Bragg out of his position and occupied</w:t></w:r>
</w:p>
<w:p>
<w:pPr><w:pStyle w:val="Normal"/></w:pPr>
<w:r><w:t xml:space="preserve">Chattanooga.  But he had to fight to maintain his prize, and</w:t></w:r>
</w:p>
<w:p>
<w:pPr><w:pStyle w:val="Normal"/></w:pPr>
<w:r><w:t xml:space="preserve">in the desperate battle of Chickamauga (q.v.) on the 19th</w:t></w:r>
</w:p>
<w:p>
<w:pPr><w:pStyle w:val="Normal"/></w:pPr>
<w:r><w:t xml:space="preserve">and 20th of September, Bragg, reinforced by Longstreet from</w:t></w:r>
</w:p>
<w:p>
<w:pPr><w:pStyle w:val="Normal"/></w:pPr>
<w:r><w:t xml:space="preserve">Virginia, won a complete victory.  Thomas&apos;s defence won him</w:t></w:r>
</w:p>
<w:p>
<w:pPr><w:pStyle w:val="Normal"/></w:pPr>
<w:r><w:t xml:space="preserve">the popular title of the &quot;Rock of Chickamauga&quot; and enabled</w:t></w:r>
</w:p>
<w:p>
<w:pPr><w:pStyle w:val="Normal"/></w:pPr>
<w:r><w:t xml:space="preserve">Rosecrans to draw off his men, but the critical position of</w:t></w:r>
</w:p>
<w:p>
<w:pPr><w:pStyle w:val="Normal"/></w:pPr>
<w:r><w:t xml:space="preserve">the Army of the Cumberland in Chattanooga aroused great alarm.</w:t></w:r>
</w:p>
<w:p>
<w:pPr><w:pStyle w:val="Normal"/></w:pPr>
<w:r><w:t xml:space="preserve">23. Chattanooga.--Grant was now given supreme command in the</w:t></w:r>
</w:p>
<w:p>
<w:pPr><w:pStyle w:val="Normal"/></w:pPr>
<w:r><w:t xml:space="preserve">west, and the Army of the Tennessee (now under Sherman) and</w:t></w:r>
</w:p>
<w:p>
<w:pPr><w:pStyle w:val="Normal"/></w:pPr>
<w:r><w:t xml:space="preserve">two corps from Virginia under Hooker were hurried by rail to</w:t></w:r>
</w:p>
<w:p>
<w:pPr><w:pStyle w:val="Normal"/></w:pPr>
<w:r><w:t xml:space="preserve">Tennessee.  In spite of his good record Rosecrans was deprived</w:t></w:r>
</w:p>
<w:p>
<w:pPr><w:pStyle w:val="Normal"/></w:pPr>
<w:r><w:t xml:space="preserve">of his command.  But Thomas, his successor, was one of the</w:t></w:r>
</w:p>
<w:p>
<w:pPr><w:pStyle w:val="Normal"/></w:pPr>
<w:r><w:t xml:space="preserve">greatest soldiers of the war, and Grant&apos;s three generals, all</w:t></w:r>
</w:p>
<w:p>
<w:pPr><w:pStyle w:val="Normal"/></w:pPr>
<w:r><w:t xml:space="preserve">men of great ability, set to work promptly.  Hooker defeated</w:t></w:r>
</w:p>
<w:p>
<w:pPr><w:pStyle w:val="Normal"/></w:pPr>
<w:r><w:t xml:space="preserve">Longstreet at Wauhatchie and revictualled Chattanooga (q.v.),</w:t></w:r>
</w:p>
<w:p>
<w:pPr><w:pStyle w:val="Normal"/></w:pPr>
<w:r><w:t xml:space="preserve">and on the 23rd, 24th and 25th of November the three armies</w:t></w:r>
</w:p>
<w:p>
<w:pPr><w:pStyle w:val="Normal"/></w:pPr>
<w:r><w:t xml:space="preserve">attacked Bragg&apos;s position.  On the left Sherman made little</w:t></w:r>
</w:p>
<w:p>
<w:pPr><w:pStyle w:val="Normal"/></w:pPr>
<w:r><w:t xml:space="preserve">progress; on the right, however, Hooker and the men from</w:t></w:r>
</w:p>
<w:p>
<w:pPr><w:pStyle w:val="Normal"/></w:pPr>
<w:r><w:t xml:space="preserve">the Potomac army fought and won the extraordinary &quot;Battle</w:t></w:r>
</w:p>
<w:p>
<w:pPr><w:pStyle w:val="Normal"/></w:pPr>
<w:r><w:t xml:space="preserve">above the Clouds&quot; on Lookout Mountain, and on the 25th the</w:t></w:r>
</w:p>
<w:p>
<w:pPr><w:pStyle w:val="Normal"/></w:pPr>
<w:r><w:t xml:space="preserve">Confederate centre on Missionary Ridge was brilliantly stormed</w:t></w:r>
</w:p>
<w:p>
<w:pPr><w:pStyle w:val="Normal"/></w:pPr>
<w:r><w:t xml:space="preserve">by Thomas and the Army of the Cumberland.  Grant&apos;s triumph was</w:t></w:r>
</w:p>
<w:p>
<w:pPr><w:pStyle w:val="Normal"/></w:pPr>
<w:r><w:t xml:space="preserve">decisive of the war in the west, and with Burnside&apos;s victory</w:t></w:r>
</w:p>
<w:p>
<w:pPr><w:pStyle w:val="Normal"/></w:pPr>
<w:r><w:t xml:space="preserve">over Longstreet at Knoxville, the struggle for Tennessee was</w:t></w:r>
</w:p>
<w:p>
<w:pPr><w:pStyle w:val="Normal"/></w:pPr>
<w:r><w:t xml:space="preserve">over.  Vicksburg, Gettysburg and Chattanooga ended the crisis</w:t></w:r>
</w:p>
<w:p>
<w:pPr><w:pStyle w:val="Normal"/></w:pPr>
<w:r><w:t xml:space="preserve">of the war, which had been at its worst for the Union in this</w:t></w:r>
</w:p>
<w:p>
<w:pPr><w:pStyle w:val="Normal"/></w:pPr>
<w:r><w:t xml:space="preserve">year.  Henceforth the South was fighting a hopeless battle.</w:t></w:r>
</w:p>
<w:p>
<w:pPr><w:pStyle w:val="Normal"/></w:pPr>
<w:r><w:t xml:space="preserve">24. Plan of Campaign for 1864.--Grant, now the foremost</w:t></w:r>
</w:p>
<w:p>
<w:pPr><w:pStyle w:val="Normal"/></w:pPr>
<w:r><w:t xml:space="preserve">soldier in the Federal army, was on the 9th of March 1864</w:t></w:r>
</w:p>
<w:p>
<w:pPr><w:pStyle w:val="Normal"/></w:pPr>
<w:r><w:t xml:space="preserve">commissioned lieutenant-general and appointed general-in-chief.</w:t></w:r>
</w:p>
<w:p>
<w:pPr><w:pStyle w:val="Normal"/></w:pPr>
<w:r><w:t xml:space="preserve">Halleck, Lincoln and Stanton, the intractable, if energetic,</w:t></w:r>
</w:p>
<w:p>
<w:pPr><w:pStyle w:val="Normal"/></w:pPr>
<w:r><w:t xml:space="preserve">war secretary, now stood aside, and the efforts of the whole</w:t></w:r>
</w:p>
<w:p>
<w:pPr><w:pStyle w:val="Normal"/></w:pPr>
<w:r><w:t xml:space="preserve">vast army were to be directed and co-ordinated by one supreme</w:t></w:r>
</w:p>
<w:p>
<w:pPr><w:pStyle w:val="Normal"/></w:pPr>
<w:r><w:t xml:space="preserve">military authority.  Sherman was to command in the west,</w:t></w:r>
</w:p>
<w:p>
<w:pPr><w:pStyle w:val="Normal"/></w:pPr>
<w:r><w:t xml:space="preserve">Grant&apos;s headquarters accompanied Meade and the Army of the</w:t></w:r>
</w:p>
<w:p>
<w:pPr><w:pStyle w:val="Normal"/></w:pPr>
<w:r><w:t xml:space="preserve">Potomac.  The general plan was simple and comprehensive.  Meade</w:t></w:r>
</w:p>
<w:p>
<w:pPr><w:pStyle w:val="Normal"/></w:pPr>
<w:r><w:t xml:space="preserve">was to &quot;hammer&quot; Lee, and Sherman, at the head of the armies</w:t></w:r>
</w:p>
<w:p>
<w:pPr><w:pStyle w:val="Normal"/></w:pPr>
<w:r><w:t xml:space="preserve">which had been engaged at Chattanooga and Knoxville, was to</w:t></w:r>
</w:p>
<w:p>
<w:pPr><w:pStyle w:val="Normal"/></w:pPr>
<w:r><w:t xml:space="preserve">deal with the other great field army of Confederates under</w:t></w:r>
</w:p>
<w:p>
<w:pPr><w:pStyle w:val="Normal"/></w:pPr>
<w:r><w:t xml:space="preserve">Johnston, and as far as possible gain ground for the Union</w:t></w:r>
</w:p>
<w:p>
<w:pPr><w:pStyle w:val="Normal"/></w:pPr>
<w:r><w:t xml:space="preserve">in the south-east.  Sherman&apos;s own plans went farther still,</w:t></w:r>
</w:p>
<w:p>
<w:pPr><w:pStyle w:val="Normal"/></w:pPr>
<w:r><w:t xml:space="preserve">and included an eventual invasion of Virginia itself from the</w:t></w:r>
</w:p>
<w:p>
<w:pPr><w:pStyle w:val="Normal"/></w:pPr>
<w:r><w:t xml:space="preserve">south, but this was not contemplated as part of the immediate</w:t></w:r>
</w:p>
<w:p>
<w:pPr><w:pStyle w:val="Normal"/></w:pPr>
<w:r><w:t xml:space="preserve">programme.  Butler with the new Army of the James was to move</w:t></w:r>
</w:p>
<w:p>
<w:pPr><w:pStyle w:val="Normal"/></w:pPr>
<w:r><w:t xml:space="preserve">up that river towards Richmond and Petersburg.  Subsidiary</w:t></w:r>
</w:p>
<w:p>
<w:pPr><w:pStyle w:val="Normal"/></w:pPr>
<w:r><w:t xml:space="preserve">forces were to operate on the sea-board, in the Shenandoah</w:t></w:r>
</w:p>
<w:p>
<w:pPr><w:pStyle w:val="Normal"/></w:pPr>
<w:r><w:t xml:space="preserve">Valley and elsewhere.  At this time took place the Red River</w:t></w:r>
</w:p>
<w:p>
<w:pPr><w:pStyle w:val="Normal"/></w:pPr>
<w:r><w:t xml:space="preserve">Expedition, which was intended for the subjugation of western</w:t></w:r>
</w:p>
<w:p>
<w:pPr><w:pStyle w:val="Normal"/></w:pPr>
<w:r><w:t xml:space="preserve">Louisiana.  The troops of General Banks and the war</w:t></w:r>
</w:p>
<w:p>
<w:pPr><w:pStyle w:val="Normal"/></w:pPr>
<w:r><w:t xml:space="preserve">vessels under Admiral Porter moved up the Red river, and</w:t></w:r>
</w:p>
<w:p>
<w:pPr><w:pStyle w:val="Normal"/></w:pPr>
<w:r><w:t xml:space="preserve">on the 16th of March 1864 reached Alexandria.  Skirmishing</w:t></w:r>
</w:p>
<w:p>
<w:pPr><w:pStyle w:val="Normal"/></w:pPr>
<w:r><w:t xml:space="preserve">constantly with the Confederates under Kirby Smith and</w:t></w:r>
</w:p>
<w:p>
<w:pPr><w:pStyle w:val="Normal"/></w:pPr>
<w:r><w:t xml:space="preserve">Taylor, the Federals eventually on the 8th and 9th of April</w:t></w:r>
</w:p>
<w:p>
<w:pPr><w:pStyle w:val="Normal"/></w:pPr>
<w:r><w:t xml:space="preserve">suffered serious reverses at Sabine Cross Roads and Pleasant</w:t></w:r>
</w:p>
<w:p>
<w:pPr><w:pStyle w:val="Normal"/></w:pPr>
<w:r><w:t xml:space="preserve">Hill.  Banks thereupon retreated, and, high water in the</w:t></w:r>
</w:p>
<w:p>
<w:pPr><w:pStyle w:val="Normal"/></w:pPr>
<w:r><w:t xml:space="preserve">river having come to an end, the fleet was in the gravest</w:t></w:r>
</w:p>
<w:p>
<w:pPr><w:pStyle w:val="Normal"/></w:pPr>
<w:r><w:t xml:space="preserve">danger of being cut off, until Colonel Bailey suggested, and</w:t></w:r>
</w:p>
<w:p>
<w:pPr><w:pStyle w:val="Normal"/></w:pPr>
<w:r><w:t xml:space="preserve">rapidly carried out, the construction of a dam and weir over</w:t></w:r>
</w:p>
<w:p>
<w:pPr><w:pStyle w:val="Normal"/></w:pPr>
<w:r><w:t xml:space="preserve">which the ships ran down to the lower waters.  Eventually the</w:t></w:r>
</w:p>
<w:p>
<w:pPr><w:pStyle w:val="Normal"/></w:pPr>
<w:r><w:t xml:space="preserve">various forces retired to the places whence they had come.</w:t></w:r>
</w:p>
<w:p>
<w:pPr><w:pStyle w:val="Normal"/></w:pPr>
<w:r><w:t xml:space="preserve">25. The Wilderness Campaign.--Virginia was now destined</w:t></w:r>
</w:p>
<w:p>
<w:pPr><w:pStyle w:val="Normal"/></w:pPr>
<w:r><w:t xml:space="preserve">to be the scene of the bloodiest fighting of the whole</w:t></w:r>
</w:p>
<w:p>
<w:pPr><w:pStyle w:val="Normal"/></w:pPr>
<w:r><w:t xml:space="preserve">war.  Grant and Meade, reinforced by Burnside&apos;s IX. Corps to a</w:t></w:r>
</w:p>
<w:p>
<w:pPr><w:pStyle w:val="Normal"/></w:pPr>
<w:r><w:t xml:space="preserve">strength of 120,000 men, crossed the Rapidan on the 4th of May</w:t></w:r>
</w:p>
<w:p>
<w:pPr><w:pStyle w:val="Normal"/></w:pPr>
<w:r><w:t xml:space="preserve">with the intention of attacking Lee&apos;s inner flank, that nearer</w:t></w:r>
</w:p>
<w:p>
<w:pPr><w:pStyle w:val="Normal"/></w:pPr>
<w:r><w:t xml:space="preserve">Richmond.  With a bare 70,000 men the Confederate general</w:t></w:r>
</w:p>
<w:p>
<w:pPr><w:pStyle w:val="Normal"/></w:pPr>
<w:r><w:t xml:space="preserve">struck at the flank of Grant&apos;s marching columns in that same</w:t></w:r>
</w:p>
<w:p>
<w:pPr><w:pStyle w:val="Normal"/></w:pPr>
<w:r><w:t xml:space="preserve">Wilderness where Jackson had won his last battle twelve months</w:t></w:r>
</w:p>
<w:p>
<w:pPr><w:pStyle w:val="Normal"/></w:pPr>
<w:r><w:t xml:space="preserve">before.  The battle of the Wilderness (q.v.) went on for</w:t></w:r>
</w:p>
<w:p>
<w:pPr><w:pStyle w:val="Normal"/></w:pPr>
<w:r><w:t xml:space="preserve">two days, with little advantage to either side.  On his part</w:t></w:r>
</w:p>
<w:p>
<w:pPr><w:pStyle w:val="Normal"/></w:pPr>
<w:r><w:t xml:space="preserve">Grant had lost 18,000 men.  Lee had lost fewer, but could</w:t></w:r>
</w:p>
<w:p>
<w:pPr><w:pStyle w:val="Normal"/></w:pPr>
<w:r><w:t xml:space="preserve">ill spare them, and Longstreet had been severely wounded (May</w:t></w:r>
</w:p>
<w:p>
<w:pPr><w:pStyle w:val="Normal"/></w:pPr>
<w:r><w:t xml:space="preserve">5-6).  Grant, astonished perhaps, but here as always resolute,</w:t></w:r>
</w:p>
<w:p>
<w:pPr><w:pStyle w:val="Normal"/></w:pPr>
<w:r><w:t xml:space="preserve">tried again to reach Lee&apos;s right wing, and on the 8th another</w:t></w:r>
</w:p>
<w:p>
<w:pPr><w:pStyle w:val="Normal"/></w:pPr>
<w:r><w:t xml:space="preserve">desperate battle began at Spottsylvania (q.v.) Court House.</w:t></w:r>
</w:p>
<w:p>
<w:pPr><w:pStyle w:val="Normal"/></w:pPr>
<w:r><w:t xml:space="preserve">The fighting on this field lasted ten days, at the end of</w:t></w:r>
</w:p>
<w:p>
<w:pPr><w:pStyle w:val="Normal"/></w:pPr>
<w:r><w:t xml:space="preserve">which Grant had doubled his losses and was as far as ever from</w:t></w:r>
</w:p>
<w:p>
<w:pPr><w:pStyle w:val="Normal"/></w:pPr>
<w:r><w:t xml:space="preserve">success.  On the 21st of May, with extraordinary pertinacity,</w:t></w:r>
</w:p>
<w:p>
<w:pPr><w:pStyle w:val="Normal"/></w:pPr>
<w:r><w:t xml:space="preserve">he sent Meade and Burnside once more against the inner flank</w:t></w:r>
</w:p>
<w:p>
<w:pPr><w:pStyle w:val="Normal"/></w:pPr>
<w:r><w:t xml:space="preserve">of the Army of northern Virginia.  The action of North Anna</w:t></w:r>
</w:p>
<w:p>
<w:pPr><w:pStyle w:val="Normal"/></w:pPr>
<w:r><w:t xml:space="preserve">ended like the rest, though on this occasion the loss was</w:t></w:r>
</w:p>
<w:p>
<w:pPr><w:pStyle w:val="Normal"/></w:pPr>
<w:r><w:t xml:space="preserve">small.  A week later the Federals, again moving to their</w:t></w:r>
</w:p>
<w:p>
<w:pPr><w:pStyle w:val="Normal"/></w:pPr>
<w:r><w:t xml:space="preserve">left, arrived upon the ground on which McClellan had fought</w:t></w:r>
</w:p>
<w:p>
<w:pPr><w:pStyle w:val="Normal"/></w:pPr>
<w:r><w:t xml:space="preserve">two years before, and at Cold Harbor (Porter&apos;s battle-field</w:t></w:r>
</w:p>
<w:p>
<w:pPr><w:pStyle w:val="Normal"/></w:pPr>
<w:r><w:t xml:space="preserve">of Gaines&apos; Mill) the leading troops of the Army of the James</w:t></w:r>
</w:p>
<w:p>
<w:pPr><w:pStyle w:val="Normal"/></w:pPr>
<w:r><w:t xml:space="preserve">joined the lieutenant-general.  Meanwhile the minor armies</w:t></w:r>
</w:p>
<w:p>
<w:pPr><w:pStyle w:val="Normal"/></w:pPr>
<w:r><w:t xml:space="preserve">had come to close quarters all along the line.  The Army of</w:t></w:r>
</w:p>
<w:p>
<w:pPr><w:pStyle w:val="Normal"/></w:pPr>
<w:r><w:t xml:space="preserve">the James moved towards Richmond on the same day on which the</w:t></w:r>
</w:p>
<w:p>
<w:pPr><w:pStyle w:val="Normal"/></w:pPr>
<w:r><w:t xml:space="preserve">Army of the Potomac crossed the Rapidan.  On the 16th of May</w:t></w:r>
</w:p>
<w:p>
<w:pPr><w:pStyle w:val="Normal"/></w:pPr>
<w:r><w:t xml:space="preserve">Butler fought the indecisive battle of Drury&apos;s Bluff against</w:t></w:r>
</w:p>
<w:p>
<w:pPr><w:pStyle w:val="Normal"/></w:pPr>
<w:r><w:t xml:space="preserve">Beauregard, in consequence of which he had to retire to</w:t></w:r>
</w:p>
<w:p>
<w:pPr><w:pStyle w:val="Normal"/></w:pPr>
<w:r><w:t xml:space="preserve">Bermuda Hundred, whence most of his troops were sent to join</w:t></w:r>
</w:p>
<w:p>
<w:pPr><w:pStyle w:val="Normal"/></w:pPr>
<w:r><w:t xml:space="preserve">Grant.  At the same time the Union troops under Sigel in</w:t></w:r>
</w:p>
<w:p>
<w:pPr><w:pStyle w:val="Normal"/></w:pPr>
<w:r><w:t xml:space="preserve">the Shenandoah Valley were defeated at New Market (May</w:t></w:r>
</w:p>
<w:p>
<w:pPr><w:pStyle w:val="Normal"/></w:pPr>
<w:r><w:t xml:space="preserve">15). General Hunter, who replaced Sigel, won a combat at</w:t></w:r>
</w:p>
<w:p>
<w:pPr><w:pStyle w:val="Normal"/></w:pPr>
<w:r><w:t xml:space="preserve">Piedmont, and marched on the 8th of June towards Lynchburg.</w:t></w:r>
</w:p>
<w:p>
<w:pPr><w:pStyle w:val="Normal"/></w:pPr>
<w:r><w:t xml:space="preserve">The danger threatening this important point caused Lee to</w:t></w:r>
</w:p>
<w:p>
<w:pPr><w:pStyle w:val="Normal"/></w:pPr>
<w:r><w:t xml:space="preserve">send thither General Early with the remnants of Jackson&apos;s</w:t></w:r>
</w:p>
<w:p>
<w:pPr><w:pStyle w:val="Normal"/></w:pPr>
<w:r><w:t xml:space="preserve">old Valley troops.  Hunter&apos;s assault (June 18) failed, and</w:t></w:r>
</w:p>
<w:p>
<w:pPr><w:pStyle w:val="Normal"/></w:pPr>
<w:r><w:t xml:space="preserve">the Federals, unable to hold their ground, had to make a</w:t></w:r>
</w:p>
<w:p>
<w:pPr><w:pStyle w:val="Normal"/></w:pPr>
<w:r><w:t xml:space="preserve">circuitous retreat to the Potomac by way of West Virginia.</w:t></w:r>
</w:p>
<w:p>
<w:pPr><w:pStyle w:val="Normal"/></w:pPr>
<w:r><w:t xml:space="preserve">26. Cold Harbor.--On the 3rd of June at Cold Harbor (q.v.)</w:t></w:r>
</w:p>
<w:p>
<w:pPr><w:pStyle w:val="Normal"/></w:pPr>
<w:r><w:t xml:space="preserve">took place the last of Grant&apos;s &quot;hammering&quot; battles in the open</w:t></w:r>
</w:p>
<w:p>
<w:pPr><w:pStyle w:val="Normal"/></w:pPr>
<w:r><w:t xml:space="preserve">fields.  The attack of the Federals failed utterly; not even</w:t></w:r>
</w:p>
<w:p>
<w:pPr><w:pStyle w:val="Normal"/></w:pPr>
<w:r><w:t xml:space="preserve">Fredericksburg was so disastrous a defeat.  Six thousand</w:t></w:r>
</w:p>
<w:p>
<w:pPr><w:pStyle w:val="Normal"/></w:pPr>
<w:r><w:t xml:space="preserve">men fell in one hour&apos;s fighting, and the total losses on</w:t></w:r>
</w:p>
<w:p>
<w:pPr><w:pStyle w:val="Normal"/></w:pPr>
<w:r><w:t xml:space="preserve">this field, where skirmishing went on for many days, were</w:t></w:r>
</w:p>
<w:p>
<w:pPr><w:pStyle w:val="Normal"/></w:pPr>
<w:r><w:t xml:space="preserve">13,000.  But Grant was as resolute as ever.  His forces once</w:t></w:r>
</w:p>
<w:p>
<w:pPr><w:pStyle w:val="Normal"/></w:pPr>
<w:r><w:t xml:space="preserve">more manoeuvred against Lee&apos;s inner flank, still found no weak</w:t></w:r>
</w:p>
<w:p>
<w:pPr><w:pStyle w:val="Normal"/></w:pPr>
<w:r><w:t xml:space="preserve">spot, and eventually arrived upon the James.  The river was</w:t></w:r>
</w:p>
<w:p>
<w:pPr><w:pStyle w:val="Normal"/></w:pPr>
<w:r><w:t xml:space="preserve">crossed, Lee as usual conforming to the movement, and on</w:t></w:r>
</w:p>
<w:p>
<w:pPr><w:pStyle w:val="Normal"/></w:pPr>
<w:r><w:t xml:space="preserve">the 15th of June the Federals appeared before the works of</w:t></w:r>
</w:p>
<w:p>
<w:pPr><w:pStyle w:val="Normal"/></w:pPr>
<w:r><w:t xml:space="preserve">Petersburg (q.v.).  Here, and in the narrow neck of land</w:t></w:r>
</w:p>
<w:p>
<w:pPr><w:pStyle w:val="Normal"/></w:pPr>
<w:r><w:t xml:space="preserve">between the Appomattox and the James, was the ganglion of</w:t></w:r>
</w:p>
<w:p>
<w:pPr><w:pStyle w:val="Normal"/></w:pPr>
<w:r><w:t xml:space="preserve">the Confederacy, and the struggle for its possession was</w:t></w:r>
</w:p>
<w:p>
<w:pPr><w:pStyle w:val="Normal"/></w:pPr>
<w:r><w:t xml:space="preserve">perhaps the greatest of modern history.  A first assault made</w:t></w:r>
</w:p>
<w:p>
<w:pPr><w:pStyle w:val="Normal"/></w:pPr>
<w:r><w:t xml:space="preserve">at once (June 15-18) failed with a loss of 8150 men.  Two</w:t></w:r>
</w:p>
<w:p>
<w:pPr><w:pStyle w:val="Normal"/></w:pPr>
<w:r><w:t xml:space="preserve">sharp combats followed on the 22nd of June and the 2nd of</w:t></w:r>
</w:p>
<w:p>
<w:pPr><w:pStyle w:val="Normal"/></w:pPr>
<w:r><w:t xml:space="preserve">July, as Grant once more began to feel Lee&apos;s right.  But the</w:t></w:r>
</w:p>
<w:p>
<w:pPr><w:pStyle w:val="Normal"/></w:pPr>
<w:r><w:t xml:space="preserve">anniversary of Gettysburg saw Lee&apos;s works still intact, and</w:t></w:r>
</w:p>
<w:p>
<w:pPr><w:pStyle w:val="Normal"/></w:pPr>
<w:r><w:t xml:space="preserve">72,000 men of the Army of the Potomac and the Army of the</w:t></w:r>
</w:p>
<w:p>
<w:pPr><w:pStyle w:val="Normal"/></w:pPr>
<w:r><w:t xml:space="preserve">James had fallen since the campaign had opened two months</w:t></w:r>
</w:p>
<w:p>
<w:pPr><w:pStyle w:val="Normal"/></w:pPr>
<w:r><w:t xml:space="preserve">before.  History has few examples to show comparable to this</w:t></w:r>
</w:p>
<w:p>
<w:pPr><w:pStyle w:val="Normal"/></w:pPr>
<w:r><w:t xml:space="preserve">terrible campaign in Virginia.  The ruthless determination</w:t></w:r>
</w:p>
<w:p>
<w:pPr><w:pStyle w:val="Normal"/></w:pPr>
<w:r><w:t xml:space="preserve">of the superior leaders had been answered splendidly by the</w:t></w:r>
</w:p>
<w:p>
<w:pPr><w:pStyle w:val="Normal"/></w:pPr>
<w:r><w:t xml:space="preserve">devotion of the troops, but the men of Chancellorsville and</w:t></w:r>
</w:p>
<w:p>
<w:pPr><w:pStyle w:val="Normal"/></w:pPr>
<w:r><w:t xml:space="preserve">Gettysburg were mostly dead or wounded, and the recruits</w:t></w:r>
</w:p>
<w:p>
<w:pPr><w:pStyle w:val="Normal"/></w:pPr>
<w:r><w:t xml:space="preserve">attracted by bounties or compelled by the &quot;draft,&quot; which</w:t></w:r>
</w:p>
<w:p>
<w:pPr><w:pStyle w:val="Normal"/></w:pPr>
<w:r><w:t xml:space="preserve">had at last been enforced in the North, proved far inferior</w:t></w:r>
</w:p>
<w:p>
<w:pPr><w:pStyle w:val="Normal"/></w:pPr>
<w:r><w:t xml:space="preserve">soldiers to the gallant veterans whom they replaced.</w:t></w:r>
</w:p>
<w:p>
<w:pPr><w:pStyle w:val="Normal"/></w:pPr>
<w:r><w:t xml:space="preserve">27. Petersburg.--There was no formal siege of Lee&apos;s</w:t></w:r>
</w:p>
<w:p>
<w:pPr><w:pStyle w:val="Normal"/></w:pPr>
<w:r><w:t xml:space="preserve">position.  A vast network of fortifications covered the</w:t></w:r>
</w:p>
<w:p>
<w:pPr><w:pStyle w:val="Normal"/></w:pPr>
<w:r><w:t xml:space="preserve">front of both armies, whose flank extended far to the</w:t></w:r>
</w:p>
<w:p>
<w:pPr><w:pStyle w:val="Normal"/></w:pPr>
<w:r><w:t xml:space="preserve">south-west, Grant seeking to capture, Lee to defend, the</w:t></w:r>
</w:p>
<w:p>
<w:pPr><w:pStyle w:val="Normal"/></w:pPr>
<w:r><w:t xml:space="preserve">Danville railway by which the Confederates received their</w:t></w:r>
</w:p>
<w:p>
<w:pPr><w:pStyle w:val="Normal"/></w:pPr>
<w:r><w:t xml:space="preserve">supplies.  Richmond, though no longer of paramount importance,</w:t></w:r>
</w:p>
<w:p>
<w:pPr><w:pStyle w:val="Normal"/></w:pPr>
<w:r><w:t xml:space="preserve">was no less firmly held than Petersburg, and along the</w:t></w:r>
</w:p>
<w:p>
<w:pPr><w:pStyle w:val="Normal"/></w:pPr>
<w:r><w:t xml:space="preserve">whole long line fighting went on with little interruption.</w:t></w:r>
</w:p>
<w:p>
<w:pPr><w:pStyle w:val="Normal"/></w:pPr>
<w:r><w:t xml:space="preserve">On the 30th of July the Federal engineers exploded a mine</w:t></w:r>
</w:p>
<w:p>
<w:pPr><w:pStyle w:val="Normal"/></w:pPr>
<w:r><w:t xml:space="preserve">under the hostile works, and Burnside&apos;s corps rushed to the</w:t></w:r>
</w:p>
<w:p>
<w:pPr><w:pStyle w:val="Normal"/></w:pPr>
<w:r><w:t xml:space="preserve">assault.  But the attempt ended in failure--the first defeat</w:t></w:r>
</w:p>
<w:p>
<w:pPr><w:pStyle w:val="Normal"/></w:pPr>
<w:r><w:t xml:space="preserve">of the Army of the Potomac which could fairly be called</w:t></w:r>
</w:p>
<w:p>
<w:pPr><w:pStyle w:val="Normal"/></w:pPr>
<w:r><w:t xml:space="preserve">discreditable.  Still, Lee was losing men, few it is true,</w:t></w:r>
</w:p>
<w:p>
<w:pPr><w:pStyle w:val="Normal"/></w:pPr>
<w:r><w:t xml:space="preserve">but most precious, since it was impossible to replace them,</w:t></w:r>
</w:p>
<w:p>
<w:pPr><w:pStyle w:val="Normal"/></w:pPr>
<w:r><w:t xml:space="preserve">while the North poured unlimited numbers into the Federal</w:t></w:r>
</w:p>
<w:p>
<w:pPr><w:pStyle w:val="Normal"/></w:pPr>
<w:r><w:t xml:space="preserve">camps.  The policy of &quot;attrition&quot; upon which Grant had</w:t></w:r>
</w:p>
<w:p>
<w:pPr><w:pStyle w:val="Normal"/></w:pPr>
<w:r><w:t xml:space="preserve">embarked, and which he was carrying through regardless of his</w:t></w:r>
</w:p>
<w:p>
<w:pPr><w:pStyle w:val="Normal"/></w:pPr>
<w:r><w:t xml:space="preserve">losses, was having its effect.  About this time Early, freed</w:t></w:r>
</w:p>
<w:p>
<w:pPr><w:pStyle w:val="Normal"/></w:pPr>
<w:r><w:t xml:space="preserve">from the opposition of Hunter&apos;s forces, made a bold stroke upon</w:t></w:r>
</w:p>
<w:p>
<w:pPr><w:pStyle w:val="Normal"/></w:pPr>
<w:r><w:t xml:space="preserve">Washington.  Crossing the Potomac, he marched eastward, and,</w:t></w:r>
</w:p>
<w:p>
<w:pPr><w:pStyle w:val="Normal"/></w:pPr>
<w:r><w:t xml:space="preserve">defeating a motley force (action of the Monocacy) which General</w:t></w:r>
</w:p>
<w:p>
<w:pPr><w:pStyle w:val="Normal"/></w:pPr>
<w:r><w:t xml:space="preserve">Lew Wallace had collected to oppose him, appeared before the</w:t></w:r>
</w:p>
<w:p>
<w:pPr><w:pStyle w:val="Normal"/></w:pPr>
<w:r><w:t xml:space="preserve">lines of Washington.  The Federal capital was at the moment</w:t></w:r>
</w:p>
<w:p>
<w:pPr><w:pStyle w:val="Normal"/></w:pPr>
<w:r><w:t xml:space="preserve">almost denuded of troops, and forces hastily despatched from</w:t></w:r>
</w:p>
<w:p>
<w:pPr><w:pStyle w:val="Normal"/></w:pPr>
<w:r><w:t xml:space="preserve">the James only arrived just in time to save it.  Thereupon the</w:t></w:r>
</w:p>
<w:p>
<w:pPr><w:pStyle w:val="Normal"/></w:pPr>
<w:r><w:t xml:space="preserve">Confederates retired, narrowly escaping Hunter, and the brief</w:t></w:r>
</w:p>
<w:p>
<w:pPr><w:pStyle w:val="Normal"/></w:pPr>
<w:r><w:t xml:space="preserve">campaign came to an end with an engagement at Kernstown.  Early</w:t></w:r>
</w:p>
<w:p>
<w:pPr><w:pStyle w:val="Normal"/></w:pPr>
<w:r><w:t xml:space="preserve">had been nearer to the immediate success than Lee had been</w:t></w:r>
</w:p>
<w:p>
<w:pPr><w:pStyle w:val="Normal"/></w:pPr>
<w:r><w:t xml:space="preserve">in 1862 and 1863, but he had failed utterly to relax Grant&apos;s</w:t></w:r>
</w:p>
<w:p>
<w:pPr><w:pStyle w:val="Normal"/></w:pPr>
<w:r><w:t xml:space="preserve">hold on Petersburg, which was becoming daily more crushing.</w:t></w:r>
</w:p>
<w:p>
<w:pPr><w:pStyle w:val="Normal"/></w:pPr>
<w:r><w:t xml:space="preserve">On the decisive theatre the Federals made their way, little by</w:t></w:r>
</w:p>
<w:p>
<w:pPr><w:pStyle w:val="Normal"/></w:pPr>
<w:r><w:t xml:space="preserve">little and at a heavy cost, to the Weldon railway, and beyond</w:t></w:r>
</w:p>
<w:p>
<w:pPr><w:pStyle w:val="Normal"/></w:pPr>
<w:r><w:t xml:space="preserve">it to the westward.  Lee&apos;s lines were becoming dangerously</w:t></w:r>
</w:p>
<w:p>
<w:pPr><w:pStyle w:val="Normal"/></w:pPr>
<w:r><w:t xml:space="preserve">extended, but he could not allow the enemy to cut him off</w:t></w:r>
</w:p>
<w:p>
<w:pPr><w:pStyle w:val="Normal"/></w:pPr>
<w:r><w:t xml:space="preserve">from the west.  On the 25th of August there was a battle at</w:t></w:r>
</w:p>
<w:p>
<w:pPr><w:pStyle w:val="Normal"/></w:pPr>
<w:r><w:t xml:space="preserve">Reams Station, in which the Federals were forced back, and</w:t></w:r>
</w:p>
<w:p>
<w:pPr><w:pStyle w:val="Normal"/></w:pPr>
<w:r><w:t xml:space="preserve">the famous II. Corps under Hancock was for the first time</w:t></w:r>
</w:p>
<w:p>
<w:pPr><w:pStyle w:val="Normal"/></w:pPr>
<w:r><w:t xml:space="preserve">routed.  But Grant was tireless, and five days later another</w:t></w:r>
</w:p>
<w:p>
<w:pPr><w:pStyle w:val="Normal"/></w:pPr>
<w:r><w:t xml:space="preserve">battle was fought, at Peebles Farm, in which the lost</w:t></w:r>
</w:p>
<w:p>
<w:pPr><w:pStyle w:val="Normal"/></w:pPr>
<w:r><w:t xml:space="preserve">ground was regained.  Butler and the Army of the James at</w:t></w:r>
</w:p>
<w:p>
<w:pPr><w:pStyle w:val="Normal"/></w:pPr>
<w:r><w:t xml:space="preserve">the same time won some successes in front of the Richmond</w:t></w:r>
</w:p>
<w:p>
<w:pPr><w:pStyle w:val="Normal"/></w:pPr>
<w:r><w:t xml:space="preserve">works.  One more attempt to outflank Lee to the westward was</w:t></w:r>
</w:p>
<w:p>
<w:pPr><w:pStyle w:val="Normal"/></w:pPr>
<w:r><w:t xml:space="preserve">made by Grant without success, before winter came on, and the</w:t></w:r>
</w:p>
<w:p>
<w:pPr><w:pStyle w:val="Normal"/></w:pPr>
<w:r><w:t xml:space="preserve">campaign closed with an expedition, under the direction of</w:t></w:r>
</w:p>
<w:p>
<w:pPr><w:pStyle w:val="Normal"/></w:pPr>
<w:r><w:t xml:space="preserve">General Warren, which destroyed the Weldon line.  Grant had</w:t></w:r>
</w:p>
<w:p>
<w:pPr><w:pStyle w:val="Normal"/></w:pPr>
<w:r><w:t xml:space="preserve">not reached Lee&apos;s flank at any point, and his casualties from</w:t></w:r>
</w:p>
<w:p>
<w:pPr><w:pStyle w:val="Normal"/></w:pPr>
<w:r><w:t xml:space="preserve">first to last had been unprecedentedly heavy, but &quot;hammering&quot;</w:t></w:r>
</w:p>
<w:p>
<w:pPr><w:pStyle w:val="Normal"/></w:pPr>
<w:r><w:t xml:space="preserve">was steadily prevailing where skill and valour had failed.</w:t></w:r>
</w:p>
<w:p>
<w:pPr><w:pStyle w:val="Normal"/></w:pPr>
<w:r><w:t xml:space="preserve">28. Sheridan&apos;s Valley Campaign.--In the closing months of</w:t></w:r>
</w:p>
<w:p>
<w:pPr><w:pStyle w:val="Normal"/></w:pPr>
<w:r><w:t xml:space="preserve">the year Grant&apos;s brilliant cavalry commander Sheridan had</w:t></w:r>
</w:p>
<w:p>
<w:pPr><w:pStyle w:val="Normal"/></w:pPr>
<w:r><w:t xml:space="preserve">been put in command of an army to operate against Early in the</w:t></w:r>
</w:p>
<w:p>
<w:pPr><w:pStyle w:val="Normal"/></w:pPr>
<w:r><w:t xml:space="preserve">Valley.  The Federals in this quarter had hitherto suffered</w:t></w:r>
</w:p>
<w:p>
<w:pPr><w:pStyle w:val="Normal"/></w:pPr>
<w:r><w:t xml:space="preserve">from want of unity in the command (e.g. Banks, Fremont and</w:t></w:r>
</w:p>
<w:p>
<w:pPr><w:pStyle w:val="Normal"/></w:pPr>
<w:r><w:t xml:space="preserve">McDowell in 1862).  The Army of the Shenandoah would not be</w:t></w:r>
</w:p>
<w:p>
<w:pPr><w:pStyle w:val="Normal"/></w:pPr>
<w:r><w:t xml:space="preserve">thus handicapped, for Sheridan was a leader of exceptional</w:t></w:r>
</w:p>
<w:p>
<w:pPr><w:pStyle w:val="Normal"/></w:pPr>
<w:r><w:t xml:space="preserve">character.  The first encounter took place on the Opequan near</w:t></w:r>
</w:p>
<w:p>
<w:pPr><w:pStyle w:val="Normal"/></w:pPr>
<w:r><w:t xml:space="preserve">Winchester.  Early was defeated, but not routed (September</w:t></w:r>
</w:p>
<w:p>
<w:pPr><w:pStyle w:val="Normal"/></w:pPr>
<w:r><w:t xml:space="preserve">19), and another battle took place near Strasburg (Fisher&apos;s</w:t></w:r>
</w:p>
<w:p>
<w:pPr><w:pStyle w:val="Normal"/></w:pPr>
<w:r><w:t xml:space="preserve">Hill) on the 22nd.  Always disposing of superior numbers,</w:t></w:r>
</w:p>
<w:p>
<w:pPr><w:pStyle w:val="Normal"/></w:pPr>
<w:r><w:t xml:space="preserve">Sheridan on this occasion won an important victory without much</w:t></w:r>
</w:p>
<w:p>
<w:pPr><w:pStyle w:val="Normal"/></w:pPr>
<w:r><w:t xml:space="preserve">loss.  A combat which took place, at Mount Jackson, during</w:t></w:r>
</w:p>
<w:p>
<w:pPr><w:pStyle w:val="Normal"/></w:pPr>
<w:r><w:t xml:space="preserve">the pursuit, again ended successfully, and the triumphant</w:t></w:r>
</w:p>
<w:p>
<w:pPr><w:pStyle w:val="Normal"/></w:pPr>
<w:r><w:t xml:space="preserve">Federals retired down the Valley, ruthlessly destroying</w:t></w:r>
</w:p>
<w:p>
<w:pPr><w:pStyle w:val="Normal"/></w:pPr>
<w:r><w:t xml:space="preserve">everything which might be of the slightest value to the</w:t></w:r>
</w:p>
<w:p>
<w:pPr><w:pStyle w:val="Normal"/></w:pPr>
<w:r><w:t xml:space="preserve">enemy.  Early sharply followed them up, his men infuriated by</w:t></w:r>
</w:p>
<w:p>
<w:pPr><w:pStyle w:val="Normal"/></w:pPr>
<w:r><w:t xml:space="preserve">the devastation of the &quot;Granary of the Confederacy.&quot; At Cedar</w:t></w:r>
</w:p>
<w:p>
<w:pPr><w:pStyle w:val="Normal"/></w:pPr>
<w:r><w:t xml:space="preserve">Creek (q.v.), during a momentary absence of the Federal</w:t></w:r>
</w:p>
<w:p>
<w:pPr><w:pStyle w:val="Normal"/></w:pPr>
<w:r><w:t xml:space="preserve">commander, his camps were surprised by Early (October 19).</w:t></w:r>
</w:p>
<w:p>
<w:pPr><w:pStyle w:val="Normal"/></w:pPr>
<w:r><w:t xml:space="preserve">The Army of the Shenandoah was routed and driven towards the</w:t></w:r>
</w:p>
<w:p>
<w:pPr><w:pStyle w:val="Normal"/></w:pPr>
<w:r><w:t xml:space="preserve">Potomac.  But the gallant stand of the old Potomac troops of</w:t></w:r>
</w:p>
<w:p>
<w:pPr><w:pStyle w:val="Normal"/></w:pPr>
<w:r><w:t xml:space="preserve">the VI. Corps checked the Confederates.  Sheridan arrived on</w:t></w:r>
</w:p>
<w:p>
<w:pPr><w:pStyle w:val="Normal"/></w:pPr>
<w:r><w:t xml:space="preserve">the scene to find a new battle in progress.  He was at his</w:t></w:r>
</w:p>
<w:p>
<w:pPr><w:pStyle w:val="Normal"/></w:pPr>
<w:r><w:t xml:space="preserve">best at such a moment, and the rallied Federals under his</w:t></w:r>
</w:p>
<w:p>
<w:pPr><w:pStyle w:val="Normal"/></w:pPr>
<w:r><w:t xml:space="preserve">command swept all before them.  The victory was decisive,</w:t></w:r>
</w:p>
<w:p>
<w:pPr><w:pStyle w:val="Normal"/></w:pPr>
<w:r><w:t xml:space="preserve">and, the country being now bare of supplies, the Army of the</w:t></w:r>
</w:p>
<w:p>
<w:pPr><w:pStyle w:val="Normal"/></w:pPr>
<w:r><w:t xml:space="preserve">Shenandoah was sent to reinforce Grant, while the remnant of</w:t></w:r>
</w:p>
<w:p>
<w:pPr><w:pStyle w:val="Normal"/></w:pPr>
<w:r><w:t xml:space="preserve">Early&apos;s forces also went to Petersburg.  Sheridan&apos;s campaign</w:t></w:r>
</w:p>
<w:p>
<w:pPr><w:pStyle w:val="Normal"/></w:pPr>
<w:r><w:t xml:space="preserve">was a famous episode of the war.  It was conducted with</w:t></w:r>
</w:p>
<w:p>
<w:pPr><w:pStyle w:val="Normal"/></w:pPr>
<w:r><w:t xml:space="preserve">skill, though, with twice the numbers of the enemy at his</w:t></w:r>
</w:p>
<w:p>
<w:pPr><w:pStyle w:val="Normal"/></w:pPr>
<w:r><w:t xml:space="preserve">command, Sheridan&apos;s victory was a foregone conclusion.</w:t></w:r>
</w:p>
<w:p>
<w:pPr><w:pStyle w:val="Normal"/></w:pPr>
<w:r><w:t xml:space="preserve">But he had at least shown that he possessed to an unusual</w:t></w:r>
</w:p>
<w:p>
<w:pPr><w:pStyle w:val="Normal"/></w:pPr>
<w:r><w:t xml:space="preserve">degree the real attribute of a great captain--power over men.</w:t></w:r>
</w:p>
<w:p>
<w:pPr><w:pStyle w:val="Normal"/></w:pPr>
<w:r><w:t xml:space="preserve">29. Sherman and Johnston.--Meanwhile Sherman had fought his</w:t></w:r>
</w:p>
<w:p>
<w:pPr><w:pStyle w:val="Normal"/></w:pPr>
<w:r><w:t xml:space="preserve">Atlanta campaign.  General Johnston opposed him almost on the</w:t></w:r>
</w:p>
<w:p>
<w:pPr><w:pStyle w:val="Normal"/></w:pPr>
<w:r><w:t xml:space="preserve">old Chickamauga battle-ground, where the Federal commander,</w:t></w:r>
</w:p>
<w:p>
<w:pPr><w:pStyle w:val="Normal"/></w:pPr>
<w:r><w:t xml:space="preserve">after a brief campaign in Mississippi and Alabama, the result</w:t></w:r>
</w:p>
<w:p>
<w:pPr><w:pStyle w:val="Normal"/></w:pPr>
<w:r><w:t xml:space="preserve">of which was to clear his right flank (February 3-March 6,</w:t></w:r>
</w:p>
<w:p>
<w:pPr><w:pStyle w:val="Normal"/></w:pPr>
<w:r><w:t xml:space="preserve">1864), collected his armies--the Army of the Tennessee under</w:t></w:r>
</w:p>
<w:p>
<w:pPr><w:pStyle w:val="Normal"/></w:pPr>
<w:r><w:t xml:space="preserve">McPherson, the Army of the Cumberland under Thomas (Hooker&apos;s</w:t></w:r>
</w:p>
<w:p>
<w:pPr><w:pStyle w:val="Normal"/></w:pPr>
<w:r><w:t xml:space="preserve">troops had now become part of this army) and the Army of</w:t></w:r>
</w:p>
<w:p>
<w:pPr><w:pStyle w:val="Normal"/></w:pPr>
<w:r><w:t xml:space="preserve">the Ohio under Schofield.  In the celebrated campaign of</w:t></w:r>
</w:p>
<w:p>
<w:pPr><w:pStyle w:val="Normal"/></w:pPr>
<w:r><w:t xml:space="preserve">Atlanta the highest manoeuvring skill was displayed by both</w:t></w:r>
</w:p>
<w:p>
<w:pPr><w:pStyle w:val="Normal"/></w:pPr>
<w:r><w:t xml:space="preserve">the famous commanders.  Whilst Grant, with his avowed object</w:t></w:r>
</w:p>
<w:p>
<w:pPr><w:pStyle w:val="Normal"/></w:pPr>
<w:r><w:t xml:space="preserve">of crushing Lee&apos;s army, lost no opportunity of fighting a</w:t></w:r>
</w:p>
<w:p>
<w:pPr><w:pStyle w:val="Normal"/></w:pPr>
<w:r><w:t xml:space="preserve">battle coute que coute, Sherman, intent rather on the</w:t></w:r>
</w:p>
<w:p>
<w:pPr><w:pStyle w:val="Normal"/></w:pPr>
<w:r><w:t xml:space="preserve">conquest of territory, acted on different lines.  Johnston,</w:t></w:r>
</w:p>
<w:p>
<w:pPr><w:pStyle w:val="Normal"/></w:pPr>
<w:r><w:t xml:space="preserve">than whom there was no better soldier in the Confederate</w:t></w:r>
</w:p>
<w:p>
<w:pPr><w:pStyle w:val="Normal"/></w:pPr>
<w:r><w:t xml:space="preserve">service when a careful defence was required, disposed of</w:t></w:r>
</w:p>
<w:p>
<w:pPr><w:pStyle w:val="Normal"/></w:pPr>
<w:r><w:t xml:space="preserve">sensibly inferior forces, and it was to be expected that</w:t></w:r>
</w:p>
<w:p>
<w:pPr><w:pStyle w:val="Normal"/></w:pPr>
<w:r><w:t xml:space="preserve">the 18th-century methods of making war by manoeuvring and by</w:t></w:r>
</w:p>
<w:p>
<w:pPr><w:pStyle w:val="Normal"/></w:pPr>
<w:r><w:t xml:space="preserve">combats, not battles, would receive a modern illustration in</w:t></w:r>
</w:p>
<w:p>
<w:pPr><w:pStyle w:val="Normal"/></w:pPr>
<w:r><w:t xml:space="preserve">Georgia.  Operations began early in May 1864, and five days</w:t></w:r>
</w:p>
<w:p>
<w:pPr><w:pStyle w:val="Normal"/></w:pPr>
<w:r><w:t xml:space="preserve">of manoeuvring and skirmishing about Resaca and Rocky Face</w:t></w:r>
</w:p>
<w:p>
<w:pPr><w:pStyle w:val="Normal"/></w:pPr>
<w:r><w:t xml:space="preserve">ended in Johnston&apos;s retirement to Resaca.  A fortnight later</w:t></w:r>
</w:p>
<w:p>
<w:pPr><w:pStyle w:val="Normal"/></w:pPr>
<w:r><w:t xml:space="preserve">the same manoeuvres, combined with constant &quot;tapping&quot; at</w:t></w:r>
</w:p>
<w:p>
<w:pPr><w:pStyle w:val="Normal"/></w:pPr>
<w:r><w:t xml:space="preserve">the Confederate defences, caused him to fall back again.  At</w:t></w:r>
</w:p>
<w:p>
<w:pPr><w:pStyle w:val="Normal"/></w:pPr>
<w:r><w:t xml:space="preserve">Adairsville the same process was gone through, and Johnston</w:t></w:r>
</w:p>
<w:p>
<w:pPr><w:pStyle w:val="Normal"/></w:pPr>
<w:r><w:t xml:space="preserve">retired to Cassville, where he offered battle.  Sherman was</w:t></w:r>
</w:p>
<w:p>
<w:pPr><w:pStyle w:val="Normal"/></w:pPr>
<w:r><w:t xml:space="preserve">far too wary to be drawn into an action under unfavourable</w:t></w:r>
</w:p>
<w:p>
<w:pPr><w:pStyle w:val="Normal"/></w:pPr>
<w:r><w:t xml:space="preserve">conditions.  If each general had been able to obtain a</w:t></w:r>
</w:p>
<w:p>
<w:pPr><w:pStyle w:val="Normal"/></w:pPr>
<w:r><w:t xml:space="preserve">great battle upon his own terms, each would have fought most</w:t></w:r>
</w:p>
<w:p>
<w:pPr><w:pStyle w:val="Normal"/></w:pPr>
<w:r><w:t xml:space="preserve">willingly, for neither desired a useless prolongation of the</w:t></w:r>
</w:p>
<w:p>
<w:pPr><w:pStyle w:val="Normal"/></w:pPr>
<w:r><w:t xml:space="preserve">war.  As it was, both declined to risk a decision.  Johnston&apos;s</w:t></w:r>
</w:p>
<w:p>
<w:pPr><w:pStyle w:val="Normal"/></w:pPr>
<w:r><w:t xml:space="preserve">inferiority in numbers was now becoming lessened as Sherman</w:t></w:r>
</w:p>
<w:p>
<w:pPr><w:pStyle w:val="Normal"/></w:pPr>
<w:r><w:t xml:space="preserve">had to detach more and more troops to his ever-lengthening</w:t></w:r>
</w:p>
<w:p>
<w:pPr><w:pStyle w:val="Normal"/></w:pPr>
<w:r><w:t xml:space="preserve">communications with Chattanooga.  Another manoeuvre brought</w:t></w:r>
</w:p>
<w:p>
<w:pPr><w:pStyle w:val="Normal"/></w:pPr>
<w:r><w:t xml:space="preserve">about a heavy combat near Dallas (Pickett&apos;s Mills and New</w:t></w:r>
</w:p>
<w:p>
<w:pPr><w:pStyle w:val="Normal"/></w:pPr>
<w:r><w:t xml:space="preserve">Hope Church, May 25- 27). After a time Johnston fell back,</w:t></w:r>
</w:p>
<w:p>
<w:pPr><w:pStyle w:val="Normal"/></w:pPr>
<w:r><w:t xml:space="preserve">and on the 6th of June the Federals appeared before Marietta</w:t></w:r>
</w:p>
<w:p>
<w:pPr><w:pStyle w:val="Normal"/></w:pPr>
<w:r><w:t xml:space="preserve">(q.v.).  Hitherto neither leader had offered a weak spot to</w:t></w:r>
</w:p>
<w:p>
<w:pPr><w:pStyle w:val="Normal"/></w:pPr>
<w:r><w:t xml:space="preserve">his opponent, though the constant skirmishing had caused a loss</w:t></w:r>
</w:p>
<w:p>
<w:pPr><w:pStyle w:val="Normal"/></w:pPr>
<w:r><w:t xml:space="preserve">of 9000 men to Sherman and about two- thirds of that number</w:t></w:r>
</w:p>
<w:p>
<w:pPr><w:pStyle w:val="Normal"/></w:pPr>
<w:r><w:t xml:space="preserve">to the Confederates.  At this moment Sherman suddenly changed</w:t></w:r>
</w:p>
<w:p>
<w:pPr><w:pStyle w:val="Normal"/></w:pPr>
<w:r><w:t xml:space="preserve">his policy and sent his troops straight against the hostile</w:t></w:r>
</w:p>
<w:p>
<w:pPr><w:pStyle w:val="Normal"/></w:pPr>
<w:r><w:t xml:space="preserve">entrenchments.  The neighbourhood of Marietta witnessed</w:t></w:r>
</w:p>
<w:p>
<w:pPr><w:pStyle w:val="Normal"/></w:pPr>
<w:r><w:t xml:space="preserve">for the next fortnight very heavy fighting, notably at Pine</w:t></w:r>
</w:p>
<w:p>
<w:pPr><w:pStyle w:val="Normal"/></w:pPr>
<w:r><w:t xml:space="preserve">Mountain on the 14th and Kenesaw on the 27th, both actions</w:t></w:r>
</w:p>
<w:p>
<w:pPr><w:pStyle w:val="Normal"/></w:pPr>
<w:r><w:t xml:space="preserve">being frontal assaults gallantly pushed home and as gallantly</w:t></w:r>
</w:p>
<w:p>
<w:pPr><w:pStyle w:val="Normal"/></w:pPr>
<w:r><w:t xml:space="preserve">repulsed.  Sherman acted thus in order to teach his own</w:t></w:r>
</w:p>
<w:p>
<w:pPr><w:pStyle w:val="Normal"/></w:pPr>
<w:r><w:t xml:space="preserve">men and the enemy that he was not &quot;afraid,&quot; and the lesson</w:t></w:r>
</w:p>
<w:p>
<w:pPr><w:pStyle w:val="Normal"/></w:pPr>
<w:r><w:t xml:space="preserve">was not valueless.  He then resumed his manoeuvring, which</w:t></w:r>
</w:p>
<w:p>
<w:pPr><w:pStyle w:val="Normal"/></w:pPr>
<w:r><w:t xml:space="preserve">was now facilitated by improved weather and better roads.</w:t></w:r>
</w:p>
<w:p>
<w:pPr><w:pStyle w:val="Normal"/></w:pPr>
<w:r><w:t xml:space="preserve">30. Atlanta.--Johnston in due time evacuated the Marietta</w:t></w:r>
</w:p>
<w:p>
<w:pPr><w:pStyle w:val="Normal"/></w:pPr>
<w:r><w:t xml:space="preserve">lines.  On the 7th of July his fortifications on the Chattahoochee</w:t></w:r>
</w:p>
<w:p>
<w:pPr><w:pStyle w:val="Normal"/></w:pPr>
<w:r><w:t xml:space="preserve">river were turned, and he fell back into the Atlanta (q.v.)</w:t></w:r>
</w:p>
<w:p>
<w:pPr><w:pStyle w:val="Normal"/></w:pPr>
<w:r><w:t xml:space="preserve">position, which was carefully prepared, like all the others,</w:t></w:r>
</w:p>
<w:p>
<w:pPr><w:pStyle w:val="Normal"/></w:pPr>
<w:r><w:t xml:space="preserve">beforehand.  Here Johnston was deprived of his command.  His</w:t></w:r>
</w:p>
<w:p>
<w:pPr><w:pStyle w:val="Normal"/></w:pPr>
<w:r><w:t xml:space="preserve">campaign had not been unsuccessful, for Sherman had never</w:t></w:r>
</w:p>
<w:p>
<w:pPr><w:pStyle w:val="Normal"/></w:pPr>
<w:r><w:t xml:space="preserve">succeeded in taking him at a disadvantage, but the whole of the</w:t></w:r>
</w:p>
<w:p>
<w:pPr><w:pStyle w:val="Normal"/></w:pPr>
<w:r><w:t xml:space="preserve">South, including President Davis and his chief of staff General</w:t></w:r>
</w:p>
<w:p>
<w:pPr><w:pStyle w:val="Normal"/></w:pPr>
<w:r><w:t xml:space="preserve">Bragg, clamoured for a more &quot;energetic&quot; policy, and General J.</w:t></w:r>
</w:p>
<w:p>
<w:pPr><w:pStyle w:val="Normal"/></w:pPr>
<w:r><w:t xml:space="preserve">B. Hood was put in command on the understanding that he should</w:t></w:r>
</w:p>
<w:p>
<w:pPr><w:pStyle w:val="Normal"/></w:pPr>
<w:r><w:t xml:space="preserve">&quot;fight.&quot; The new general, whose bold and skilful leading had been</w:t></w:r>
</w:p>
<w:p>
<w:pPr><w:pStyle w:val="Normal"/></w:pPr>
<w:r><w:t xml:space="preserve">conspicuous on most of the Virginia battlefields, promptly did</w:t></w:r>
</w:p>
<w:p>
<w:pPr><w:pStyle w:val="Normal"/></w:pPr>
<w:r><w:t xml:space="preserve">so.  At first successful, the Confederates had in the end to</w:t></w:r>
</w:p>
<w:p>
<w:pPr><w:pStyle w:val="Normal"/></w:pPr>
<w:r><w:t xml:space="preserve">retire.  A few days after this battle (called Peach Tree</w:t></w:r>
</w:p>
<w:p>
<w:pPr><w:pStyle w:val="Normal"/></w:pPr>
<w:r><w:t xml:space="preserve">Creek) took place the battle of Atlanta, which was fiercely</w:t></w:r>
</w:p>
<w:p>
<w:pPr><w:pStyle w:val="Normal"/></w:pPr>
<w:r><w:t xml:space="preserve">contested by the veterans of both sides, and in which</w:t></w:r>
</w:p>
<w:p>
<w:pPr><w:pStyle w:val="Normal"/></w:pPr>
<w:r><w:t xml:space="preserve">McPherson, one of the best generals in the Union army, was</w:t></w:r>
</w:p>
<w:p>
<w:pPr><w:pStyle w:val="Normal"/></w:pPr>
<w:r><w:t xml:space="preserve">killed.  Still, Hood was again beaten.  The Army of the</w:t></w:r>
</w:p>
<w:p>
<w:pPr><w:pStyle w:val="Normal"/></w:pPr>
<w:r><w:t xml:space="preserve">Tennessee, under its new commander General O. O. Howard, fought</w:t></w:r>
</w:p>
<w:p>
<w:pPr><w:pStyle w:val="Normal"/></w:pPr>
<w:r><w:t xml:space="preserve">and won the battle of Ezra Church on the 28th of July, and,</w:t></w:r>
</w:p>
<w:p>
<w:pPr><w:pStyle w:val="Normal"/></w:pPr>
<w:r><w:t xml:space="preserve">Atlanta being now nearly surrounded, Hood was compelled to adopt</w:t></w:r>
</w:p>
<w:p>
<w:pPr><w:pStyle w:val="Normal"/></w:pPr>
<w:r><w:t xml:space="preserve">the Fabian methods of his predecessor, and fell back to the</w:t></w:r>
</w:p>
<w:p>
<w:pPr><w:pStyle w:val="Normal"/></w:pPr>
<w:r><w:t xml:space="preserve">southward.  An attack on the Army of the Ohio near Jonesboro</w:t></w:r>
</w:p>
<w:p>
<w:pPr><w:pStyle w:val="Normal"/></w:pPr>
<w:r><w:t xml:space="preserve">concluded the Atlanta campaign, which left Sherman in control</w:t></w:r>
</w:p>
<w:p>
<w:pPr><w:pStyle w:val="Normal"/></w:pPr>
<w:r><w:t xml:space="preserve">of Atlanta, but hampered by the necessity of preserving his</w:t></w:r>
</w:p>
<w:p>
<w:pPr><w:pStyle w:val="Normal"/></w:pPr>
<w:r><w:t xml:space="preserve">communications with Chattanooga and weakened by a total loss</w:t></w:r>
</w:p>
<w:p>
<w:pPr><w:pStyle w:val="Normal"/></w:pPr>
<w:r><w:t xml:space="preserve">of 30,000 men.  In this celebrated campaign the American</w:t></w:r>
</w:p>
<w:p>
<w:pPr><w:pStyle w:val="Normal"/></w:pPr>
<w:r><w:t xml:space="preserve">generals rivalled if they did not excel the exploits of</w:t></w:r>
</w:p>
<w:p>
<w:pPr><w:pStyle w:val="Normal"/></w:pPr>
<w:r><w:t xml:space="preserve">Marlborough, Eugene and Villars, under allied conditions.</w:t></w:r>
</w:p>
<w:p>
<w:pPr><w:pStyle w:val="Normal"/></w:pPr>
<w:r><w:t xml:space="preserve">31. The March to the Sea.--Although General Canby, with a</w:t></w:r>
</w:p>
<w:p>
<w:pPr><w:pStyle w:val="Normal"/></w:pPr>
<w:r><w:t xml:space="preserve">Federal force in the south, had been ordered to capture Mobile</w:t></w:r>
</w:p>
<w:p>
<w:pPr><w:pStyle w:val="Normal"/></w:pPr>
<w:r><w:t xml:space="preserve">early in the year--after which he was to operate towards</w:t></w:r>
</w:p>
<w:p>
<w:pPr><w:pStyle w:val="Normal"/></w:pPr>
<w:r><w:t xml:space="preserve">Atlanta--Mobile still flew the Confederate flag, and Hood,</w:t></w:r>
</w:p>
<w:p>
<w:pPr><w:pStyle w:val="Normal"/></w:pPr>
<w:r><w:t xml:space="preserve">about to resume the offensive, was thus able to base himself</w:t></w:r>
</w:p>
<w:p>
<w:pPr><w:pStyle w:val="Normal"/></w:pPr>
<w:r><w:t xml:space="preserve">on Montgomery in order to attack Sherman in flank and rear.</w:t></w:r>
</w:p>
<w:p>
<w:pPr><w:pStyle w:val="Normal"/></w:pPr>
<w:r><w:t xml:space="preserve">But the Federal commander was not to be shaken off from his</w:t></w:r>
</w:p>
<w:p>
<w:pPr><w:pStyle w:val="Normal"/></w:pPr>
<w:r><w:t xml:space="preserve">prize.  He held firmly to Atlanta, clearing the city of non-</w:t></w:r>
</w:p>
<w:p>
<w:pPr><w:pStyle w:val="Normal"/></w:pPr>
<w:r><w:t xml:space="preserve">combatants and in other ways making ready for a stubborn</w:t></w:r>
</w:p>
<w:p>
<w:pPr><w:pStyle w:val="Normal"/></w:pPr>
<w:r><w:t xml:space="preserve">defence.  Thomas and the Army of the Cumberland were sent back</w:t></w:r>
</w:p>
<w:p>
<w:pPr><w:pStyle w:val="Normal"/></w:pPr>
<w:r><w:t xml:space="preserve">to guard Tennessee.  A heavy attack on the post of Allatoona</w:t></w:r>
</w:p>
<w:p>
<w:pPr><w:pStyle w:val="Normal"/></w:pPr>
<w:r><w:t xml:space="preserve">(to the garrison of which Sherman sent the famous message,</w:t></w:r>
</w:p>
<w:p>
<w:pPr><w:pStyle w:val="Normal"/></w:pPr>
<w:r><w:t xml:space="preserve">&quot;Hold the fort, for I am coming&quot;) was repulsed (October 5).</w:t></w:r>
</w:p>
<w:p>
<w:pPr><w:pStyle w:val="Normal"/></w:pPr>
<w:r><w:t xml:space="preserve">The main armies quickly regained contact, each edging away</w:t></w:r>
</w:p>
<w:p>
<w:pPr><w:pStyle w:val="Normal"/></w:pPr>
<w:r><w:t xml:space="preserve">northwestwards towards the Tennessee and coming into contact at</w:t></w:r>
</w:p>
<w:p>
<w:pPr><w:pStyle w:val="Normal"/></w:pPr>
<w:r><w:t xml:space="preserve">Gaylesville, Alabama, and again at Decatur.  General Slocum</w:t></w:r>
</w:p>
<w:p>
<w:pPr><w:pStyle w:val="Normal"/></w:pPr>
<w:r><w:t xml:space="preserve">with Hooker&apos;s old Potomac troops garrisoned Atlanta, and every</w:t></w:r>
</w:p>
<w:p>
<w:pPr><w:pStyle w:val="Normal"/></w:pPr>
<w:r><w:t xml:space="preserve">important post along the railway to Chattanooga was held in</w:t></w:r>
</w:p>
<w:p>
<w:pPr><w:pStyle w:val="Normal"/></w:pPr>
<w:r><w:t xml:space="preserve">force.  Sherman had now resolved to execute his plan of</w:t></w:r>
</w:p>
<w:p>
<w:pPr><w:pStyle w:val="Normal"/></w:pPr>
<w:r><w:t xml:space="preserve">a march through Georgia to the sea and thence through the</w:t></w:r>
</w:p>
<w:p>
<w:pPr><w:pStyle w:val="Normal"/></w:pPr>
<w:r><w:t xml:space="preserve">Carolinas towards Virginia, destroying everything of military</w:t></w:r>
</w:p>
<w:p>
<w:pPr><w:pStyle w:val="Normal"/></w:pPr>
<w:r><w:t xml:space="preserve">value en route. With the provisos that if Lee turned upon</w:t></w:r>
</w:p>
<w:p>
<w:pPr><w:pStyle w:val="Normal"/></w:pPr>
<w:r><w:t xml:space="preserve">Sherman, Grant must follow him up sharply, and that Thomas</w:t></w:r>
</w:p>
<w:p>
<w:pPr><w:pStyle w:val="Normal"/></w:pPr>
<w:r><w:t xml:space="preserve">could be left to deal with Hood (both of which could be,</w:t></w:r>
</w:p>
<w:p>
<w:pPr><w:pStyle w:val="Normal"/></w:pPr>
<w:r><w:t xml:space="preserve">and were, done), the scheme might well be decisive of the</w:t></w:r>
</w:p>
<w:p>
<w:pPr><w:pStyle w:val="Normal"/></w:pPr>
<w:r><w:t xml:space="preserve">war.  Preparations were carefully made.  Fifty thousand picked</w:t></w:r>
</w:p>
<w:p>
<w:pPr><w:pStyle w:val="Normal"/></w:pPr>
<w:r><w:t xml:space="preserve">men were to march through Georgia with Sherman, and Thomas</w:t></w:r>
</w:p>
<w:p>
<w:pPr><w:pStyle w:val="Normal"/></w:pPr>
<w:r><w:t xml:space="preserve">was to be reinforced by all other forces available.  There was</w:t></w:r>
</w:p>
<w:p>
<w:pPr><w:pStyle w:val="Normal"/></w:pPr>
<w:r><w:t xml:space="preserve">no force to oppose the &quot;March to the Sea.&quot; Hood was far away</w:t></w:r>
</w:p>
<w:p>
<w:pPr><w:pStyle w:val="Normal"/></w:pPr>
<w:r><w:t xml:space="preserve">on the Tennessee, which he crossed on the 29th of October at</w:t></w:r>
</w:p>
<w:p>
<w:pPr><w:pStyle w:val="Normal"/></w:pPr>
<w:r><w:t xml:space="preserve">Tuscumbia, making for Nashville.  Want of supplies checked the</w:t></w:r>
</w:p>
<w:p>
<w:pPr><w:pStyle w:val="Normal"/></w:pPr>
<w:r><w:t xml:space="preserve">Confederates after a few marches, while Schofield was pressing</w:t></w:r>
</w:p>
<w:p>
<w:pPr><w:pStyle w:val="Normal"/></w:pPr>
<w:r><w:t xml:space="preserve">forward to meet them at Pulaski and Thomas was gathering, at</w:t></w:r>
</w:p>
<w:p>
<w:pPr><w:pStyle w:val="Normal"/></w:pPr>
<w:r><w:t xml:space="preserve">Nashville, a motley army drawn from all parts of the west.</w:t></w:r>
</w:p>
<w:p>
<w:pPr><w:pStyle w:val="Normal"/></w:pPr>
<w:r><w:t xml:space="preserve">It was at this same time that Sherman broke up his railway</w:t></w:r>
</w:p>
<w:p>
<w:pPr><w:pStyle w:val="Normal"/></w:pPr>
<w:r><w:t xml:space="preserve">communication, destroying Atlanta as a place of arms, and set</w:t></w:r>
</w:p>
<w:p>
<w:pPr><w:pStyle w:val="Normal"/></w:pPr>
<w:r><w:t xml:space="preserve">out on his adventurous expedition.  There was little in his</w:t></w:r>
</w:p>
<w:p>
<w:pPr><w:pStyle w:val="Normal"/></w:pPr>
<w:r><w:t xml:space="preserve">path.  Skirmishes at Macon and Milledgeville alone varied</w:t></w:r>
</w:p>
<w:p>
<w:pPr><w:pStyle w:val="Normal"/></w:pPr>
<w:r><w:t xml:space="preserve">the daily routine of railway-breaking and supply-finding, in</w:t></w:r>
</w:p>
<w:p>
<w:pPr><w:pStyle w:val="Normal"/></w:pPr>
<w:r><w:t xml:space="preserve">which a belt of country 60 m. wide was absolutely cleared.</w:t></w:r>
</w:p>
<w:p>
<w:pPr><w:pStyle w:val="Normal"/></w:pPr>
<w:r><w:t xml:space="preserve">On the 10th of December the army, thoroughly invigorated</w:t></w:r>
</w:p>
<w:p>
<w:pPr><w:pStyle w:val="Normal"/></w:pPr>
<w:r><w:t xml:space="preserve">by its march, appeared before the defences of Savannah.</w:t></w:r>
</w:p>
<w:p>
<w:pPr><w:pStyle w:val="Normal"/></w:pPr>
<w:r><w:t xml:space="preserve">On the 13th of December a division stormed Fort McAllister,</w:t></w:r>
</w:p>
<w:p>
<w:pPr><w:pStyle w:val="Normal"/></w:pPr>
<w:r><w:t xml:space="preserve">and communication was opened with the Federal fleet.  The</w:t></w:r>
</w:p>
<w:p>
<w:pPr><w:pStyle w:val="Normal"/></w:pPr>
<w:r><w:t xml:space="preserve">march concluded with the occupation of Savannah on the 20th.</w:t></w:r>
</w:p>
<w:p>
<w:pPr><w:pStyle w:val="Normal"/></w:pPr>
<w:r><w:t xml:space="preserve">32. Nashville.--Hood, at a loss to divine Sherman&apos;s purpose,</w:t></w:r>
</w:p>
<w:p>
<w:pPr><w:pStyle w:val="Normal"/></w:pPr>
<w:r><w:t xml:space="preserve">hastened on into Tennessee amidst weather which would have</w:t></w:r>
</w:p>
<w:p>
<w:pPr><w:pStyle w:val="Normal"/></w:pPr>
<w:r><w:t xml:space="preserve">stopped most troops.  Schofield met him on the Duck river,</w:t></w:r>
</w:p>
<w:p>
<w:pPr><w:pStyle w:val="Normal"/></w:pPr>
<w:r><w:t xml:space="preserve">while Thomas was shaping his army in rear.  Hood manoeuvred</w:t></w:r>
</w:p>
<w:p>
<w:pPr><w:pStyle w:val="Normal"/></w:pPr>
<w:r><w:t xml:space="preserve">Schofield out of his lines and pushed on once more.  At Franklin</w:t></w:r>
</w:p>
<w:p>
<w:pPr><w:pStyle w:val="Normal"/></w:pPr>
<w:r><w:t xml:space="preserve">Schofield had to accept battle, and thirteen distinct assaults</w:t></w:r>
</w:p>
<w:p>
<w:pPr><w:pStyle w:val="Normal"/></w:pPr>
<w:r><w:t xml:space="preserve">on his works were made, all pushed with extraordinary fury</w:t></w:r>
</w:p>
<w:p>
<w:pPr><w:pStyle w:val="Normal"/></w:pPr>
<w:r><w:t xml:space="preserve">and lasting far into the night.  Thomas ordered his lieutenant</w:t></w:r>
</w:p>
<w:p>
<w:pPr><w:pStyle w:val="Normal"/></w:pPr>
<w:r><w:t xml:space="preserve">to retire on Nashville, Hood following him up, impressing</w:t></w:r>
</w:p>
<w:p>
<w:pPr><w:pStyle w:val="Normal"/></w:pPr>
<w:r><w:t xml:space="preserve">recruits, transports and supplies, and generally repeating the</w:t></w:r>
</w:p>
<w:p>
<w:pPr><w:pStyle w:val="Normal"/></w:pPr>
<w:r><w:t xml:space="preserve">scenes of Bragg&apos;s march of 1862.  The civil authorities and the</w:t></w:r>
</w:p>
<w:p>
<w:pPr><w:pStyle w:val="Normal"/></w:pPr>
<w:r><w:t xml:space="preserve">lieutenant-general also urgently demanded that Thomas should</w:t></w:r>
</w:p>
<w:p>
<w:pPr><w:pStyle w:val="Normal"/></w:pPr>
<w:r><w:t xml:space="preserve">advance.  Constancy of purpose was the salient feature of</w:t></w:r>
</w:p>
<w:p>
<w:pPr><w:pStyle w:val="Normal"/></w:pPr>
<w:r><w:t xml:space="preserve">Thomas&apos;s military character.  He would not fight till he was</w:t></w:r>
</w:p>
<w:p>
<w:pPr><w:pStyle w:val="Normal"/></w:pPr>
<w:r><w:t xml:space="preserve">ready.  But this last great counterstroke of the Confederacy</w:t></w:r>
</w:p>
<w:p>
<w:pPr><w:pStyle w:val="Normal"/></w:pPr>
<w:r><w:t xml:space="preserve">alarmed the whole North.  So great was the tension that Grant</w:t></w:r>
</w:p>
<w:p>
<w:pPr><w:pStyle w:val="Normal"/></w:pPr>
<w:r><w:t xml:space="preserve">finally sent General J. A. Logan to take command.  But before</w:t></w:r>
</w:p>
<w:p>
<w:pPr><w:pStyle w:val="Normal"/></w:pPr>
<w:r><w:t xml:space="preserve">Logan arrived, Thomas had on the 15th and 16th of December</w:t></w:r>
</w:p>
<w:p>
<w:pPr><w:pStyle w:val="Normal"/></w:pPr>
<w:r><w:t xml:space="preserve">fought and won the battle of Nashville (q.v.), the most</w:t></w:r>
</w:p>
<w:p>
<w:pPr><w:pStyle w:val="Normal"/></w:pPr>
<w:r><w:t xml:space="preserve">crushing victory of the whole war.  Hood&apos;s army was absolutely</w:t></w:r>
</w:p>
<w:p>
<w:pPr><w:pStyle w:val="Normal"/></w:pPr>
<w:r><w:t xml:space="preserve">ruined.  Only a remnant of it reassembled beyond the Tennessee.</w:t></w:r>
</w:p>
<w:p>
<w:pPr><w:pStyle w:val="Normal"/></w:pPr>
<w:r><w:t xml:space="preserve">33. The Carolinas.--From Savannah, Sherman started on</w:t></w:r>
</w:p>
<w:p>
<w:pPr><w:pStyle w:val="Normal"/></w:pPr>
<w:r><w:t xml:space="preserve">his final march through the Carolinas.  Columbia, his first</w:t></w:r>
</w:p>
<w:p>
<w:pPr><w:pStyle w:val="Normal"/></w:pPr>
<w:r><w:t xml:space="preserve">objective, was reached on the 17th of February 1865.  As</w:t></w:r>
</w:p>
<w:p>
<w:pPr><w:pStyle w:val="Normal"/></w:pPr>
<w:r><w:t xml:space="preserve">usual, all that could be of possible value to the enemy</w:t></w:r>
</w:p>
<w:p>
<w:pPr><w:pStyle w:val="Normal"/></w:pPr>
<w:r><w:t xml:space="preserve">was destroyed and, by some accident, the town itself was</w:t></w:r>
</w:p>
<w:p>
<w:pPr><w:pStyle w:val="Normal"/></w:pPr>
<w:r><w:t xml:space="preserve">burned.  Sherman, like Sheridan, was much criticized for his</w:t></w:r>
</w:p>
<w:p>
<w:pPr><w:pStyle w:val="Normal"/></w:pPr>
<w:r><w:t xml:space="preserve">methods of reducing opposition, but it does not seem that his</w:t></w:r>
</w:p>
<w:p>
<w:pPr><w:pStyle w:val="Normal"/></w:pPr>
<w:r><w:t xml:space="preserve">&quot;bummers&quot; were guilty of wanton cruelty and destructiveness,</w:t></w:r>
</w:p>
<w:p>
<w:pPr><w:pStyle w:val="Normal"/></w:pPr>
<w:r><w:t xml:space="preserve">at least in general, though the cavalry naturally gave</w:t></w:r>
</w:p>
<w:p>
<w:pPr><w:pStyle w:val="Normal"/></w:pPr>
<w:r><w:t xml:space="preserve">more ground for the accusation than the main body of the</w:t></w:r>
</w:p>
<w:p>
<w:pPr><w:pStyle w:val="Normal"/></w:pPr>
<w:r><w:t xml:space="preserve">army.  And the methods of the Confederates had on occasion</w:t></w:r>
</w:p>
<w:p>
<w:pPr><w:pStyle w:val="Normal"/></w:pPr>
<w:r><w:t xml:space="preserve">been somewhat similar.  The Confederate general Hardee managed</w:t></w:r>
</w:p>
<w:p>
<w:pPr><w:pStyle w:val="Normal"/></w:pPr>
<w:r><w:t xml:space="preserve">to gather some force (chiefly from the evacuated coast towns)</w:t></w:r>
</w:p>
<w:p>
<w:pPr><w:pStyle w:val="Normal"/></w:pPr>
<w:r><w:t xml:space="preserve">wherewith to oppose the onward progress of the Federals.  As</w:t></w:r>
</w:p>
<w:p>
<w:pPr><w:pStyle w:val="Normal"/></w:pPr>
<w:r><w:t xml:space="preserve">commander-in-chief, Lee now reappointed Johnston to command,</w:t></w:r>
</w:p>
<w:p>
<w:pPr><w:pStyle w:val="Normal"/></w:pPr>
<w:r><w:t xml:space="preserve">and the latter soon attacked and very nearly defeated his</w:t></w:r>
</w:p>
<w:p>
<w:pPr><w:pStyle w:val="Normal"/></w:pPr>
<w:r><w:t xml:space="preserve">old opponent at Bentonville (March 19-20).  But the &quot;bummers&quot;</w:t></w:r>
</w:p>
<w:p>
<w:pPr><w:pStyle w:val="Normal"/></w:pPr>
<w:r><w:t xml:space="preserve">were no mere marauders, but picked men from the armies that</w:t></w:r>
</w:p>
<w:p>
<w:pPr><w:pStyle w:val="Normal"/></w:pPr>
<w:r><w:t xml:space="preserve">had won Vicksburg and Chattanooga, and, though surrounded,</w:t></w:r>
</w:p>
<w:p>
<w:pPr><w:pStyle w:val="Normal"/></w:pPr>
<w:r><w:t xml:space="preserve">held their ground stoutly and successfully.  Advancing once</w:t></w:r>
</w:p>
<w:p>
<w:pPr><w:pStyle w:val="Normal"/></w:pPr>
<w:r><w:t xml:space="preserve">more, they were joined at Goldsboro by the forces lately</w:t></w:r>
</w:p>
<w:p>
<w:pPr><w:pStyle w:val="Normal"/></w:pPr>
<w:r><w:t xml:space="preserve">besieging Fort Fisher (see below), and nearly 90,000 men marched</w:t></w:r>
</w:p>
<w:p>
<w:pPr><w:pStyle w:val="Normal"/></w:pPr>
<w:r><w:t xml:space="preserve">northward towards Virginia, pushing Johnston&apos;s weak army before</w:t></w:r>
</w:p>
<w:p>
<w:pPr><w:pStyle w:val="Normal"/></w:pPr>
<w:r><w:t xml:space="preserve">them.  Meanwhile the bulk of the forces at Nashville had been</w:t></w:r>
</w:p>
<w:p>
<w:pPr><w:pStyle w:val="Normal"/></w:pPr>
<w:r><w:t xml:space="preserve">sent to the north-east to close Lee&apos;s escape to the mountains,</w:t></w:r>
</w:p>
<w:p>
<w:pPr><w:pStyle w:val="Normal"/></w:pPr>
<w:r><w:t xml:space="preserve">and in March the final campaign had opened at Petersburg.</w:t></w:r>
</w:p>
<w:p>
<w:pPr><w:pStyle w:val="Normal"/></w:pPr>
<w:r><w:t xml:space="preserve">34. The Final Campaign.--At last Lee&apos;s men had lost heart</w:t></w:r>
</w:p>
<w:p>
<w:pPr><w:pStyle w:val="Normal"/></w:pPr>
<w:r><w:t xml:space="preserve">in the unequal struggle.  Sheridan raided the upper James</w:t></w:r>
</w:p>
<w:p>
<w:pPr><w:pStyle w:val="Normal"/></w:pPr>
<w:r><w:t xml:space="preserve">and destroyed all supplies.  Grant lay in front of the</w:t></w:r>
</w:p>
<w:p>
<w:pPr><w:pStyle w:val="Normal"/></w:pPr>
<w:r><w:t xml:space="preserve">Army of northern Virginia with 125,000 men, and when active</w:t></w:r>
</w:p>
<w:p>
<w:pPr><w:pStyle w:val="Normal"/></w:pPr>
<w:r><w:t xml:space="preserve">operations began Lee had no resource but to try and escape</w:t></w:r>
</w:p>
<w:p>
<w:pPr><w:pStyle w:val="Normal"/></w:pPr>
<w:r><w:t xml:space="preserve">to the south-west in order to join Johnston.  The western</w:t></w:r>
</w:p>
<w:p>
<w:pPr><w:pStyle w:val="Normal"/></w:pPr>
<w:r><w:t xml:space="preserve">movement was covered by a furious sortie from the lines of</w:t></w:r>
</w:p>
<w:p>
<w:pPr><w:pStyle w:val="Normal"/></w:pPr>
<w:r><w:t xml:space="preserve">Petersburg, which was repulsed with heavy loss.  Grant felt</w:t></w:r>
</w:p>
<w:p>
<w:pPr><w:pStyle w:val="Normal"/></w:pPr>
<w:r><w:t xml:space="preserve">that this was a mere feint to screen some other move, and</w:t></w:r>
</w:p>
<w:p>
<w:pPr><w:pStyle w:val="Normal"/></w:pPr>
<w:r><w:t xml:space="preserve">instantly carried the Army of the Potomac to the westward,</w:t></w:r>
</w:p>
<w:p>
<w:pPr><w:pStyle w:val="Normal"/></w:pPr>
<w:r><w:t xml:space="preserve">leaving a bare screen of troops in his lines.  On the 29th</w:t></w:r>
</w:p>
<w:p>
<w:pPr><w:pStyle w:val="Normal"/></w:pPr>
<w:r><w:t xml:space="preserve">of March the movement began, followed in rapid succession</w:t></w:r>
</w:p>
<w:p>
<w:pPr><w:pStyle w:val="Normal"/></w:pPr>
<w:r><w:t xml:space="preserve">by the combats of White Oak Road and Dinwiddie Court House</w:t></w:r>
</w:p>
<w:p>
<w:pPr><w:pStyle w:val="Normal"/></w:pPr>
<w:r><w:t xml:space="preserve">and Sheridan&apos;s great victory of Five Forks.  At the same</w:t></w:r>
</w:p>
<w:p>
<w:pPr><w:pStyle w:val="Normal"/></w:pPr>
<w:r><w:t xml:space="preserve">time the VI. Corps at last carried the Petersburg lines by</w:t></w:r>
</w:p>
<w:p>
<w:pPr><w:pStyle w:val="Normal"/></w:pPr>
<w:r><w:t xml:space="preserve">storm.  Thereupon Lee and Longstreet evacuated the Petersburg</w:t></w:r>
</w:p>
<w:p>
<w:pPr><w:pStyle w:val="Normal"/></w:pPr>
<w:r><w:t xml:space="preserve">and Richmond lines and began their retreat.  Their men were</w:t></w:r>
</w:p>
<w:p>
<w:pPr><w:pStyle w:val="Normal"/></w:pPr>
<w:r><w:t xml:space="preserve">practically starving, though their rearguard showed a brave</w:t></w:r>
</w:p>
<w:p>
<w:pPr><w:pStyle w:val="Normal"/></w:pPr>
<w:r><w:t xml:space="preserve">front.  The remnant of Ewell&apos;s corps was cut off at Sailor&apos;s</w:t></w:r>
</w:p>
<w:p>
<w:pPr><w:pStyle w:val="Normal"/></w:pPr>
<w:r><w:t xml:space="preserve">Creek, and when Sheridan got ahead of the Confederates while</w:t></w:r>
</w:p>
<w:p>
<w:pPr><w:pStyle w:val="Normal"/></w:pPr>
<w:r><w:t xml:space="preserve">Grant furiously pressed them in the rear, surrender was</w:t></w:r>
</w:p>
<w:p>
<w:pPr><w:pStyle w:val="Normal"/></w:pPr>
<w:r><w:t xml:space="preserve">inevitable (April 8). On the 9th the gallant remnant of the</w:t></w:r>
</w:p>
<w:p>
<w:pPr><w:pStyle w:val="Normal"/></w:pPr>
<w:r><w:t xml:space="preserve">Army of northern Virginia laid down its arms at Appomattox</w:t></w:r>
</w:p>
<w:p>
<w:pPr><w:pStyle w:val="Normal"/></w:pPr>
<w:r><w:t xml:space="preserve">Court House, and the Confederacy came to an end.  Johnston</w:t></w:r>
</w:p>
<w:p>
<w:pPr><w:pStyle w:val="Normal"/></w:pPr>
<w:r><w:t xml:space="preserve">surrendered to Sherman at Durham Station on the 26th, and soon</w:t></w:r>
</w:p>
<w:p>
<w:pPr><w:pStyle w:val="Normal"/></w:pPr>
<w:r><w:t xml:space="preserve">afterwards all the remaining Confederate soldiers followed their</w:t></w:r>
</w:p>
<w:p>
<w:pPr><w:pStyle w:val="Normal"/></w:pPr>
<w:r><w:t xml:space="preserve">example.  So ended the gigantic struggle, as to the conduct</w:t></w:r>
</w:p>
<w:p>
<w:pPr><w:pStyle w:val="Normal"/></w:pPr>
<w:r><w:t xml:space="preserve">of which it is only necessary to quote, with a more general</w:t></w:r>
</w:p>
<w:p>
<w:pPr><w:pStyle w:val="Normal"/></w:pPr>
<w:r><w:t xml:space="preserve">application, the envoi of a Federal historian, &quot;It has not</w:t></w:r>
</w:p>
<w:p>
<w:pPr><w:pStyle w:val="Normal"/></w:pPr>
<w:r><w:t xml:space="preserve">seemed necessary to me to attempt a eulogy of the Army of the</w:t></w:r>
</w:p>
<w:p>
<w:pPr><w:pStyle w:val="Normal"/></w:pPr>
<w:r><w:t xml:space="preserve">Potomac or the Army of northern Virginia.&quot; The general terms</w:t></w:r>
</w:p>
<w:p>
<w:pPr><w:pStyle w:val="Normal"/></w:pPr>
<w:r><w:t xml:space="preserve">of surrender were that the Confederates should give up all</w:t></w:r>
</w:p>
<w:p>
<w:pPr><w:pStyle w:val="Normal"/></w:pPr>
<w:r><w:t xml:space="preserve">material, and sign a parole not to take up arms again.  There</w:t></w:r>
</w:p>
<w:p>
<w:pPr><w:pStyle w:val="Normal"/></w:pPr>
<w:r><w:t xml:space="preserve">were no manifestations of triumph or exultation on the part</w:t></w:r>
</w:p>
<w:p>
<w:pPr><w:pStyle w:val="Normal"/></w:pPr>
<w:r><w:t xml:space="preserve">of the victors, the lot of the vanquished was made as easy as</w:t></w:r>
</w:p>
<w:p>
<w:pPr><w:pStyle w:val="Normal"/></w:pPr>
<w:r><w:t xml:space="preserve">possible, and after a short time the armies melted into the</w:t></w:r>
</w:p>
<w:p>
<w:pPr><w:pStyle w:val="Normal"/></w:pPr>
<w:r><w:t xml:space="preserve">mass of the people without disturbance or disorder.  A general</w:t></w:r>
</w:p>
<w:p>
<w:pPr><w:pStyle w:val="Normal"/></w:pPr>
<w:r><w:t xml:space="preserve">amnesty proclaimed by the president of the United States</w:t></w:r>
</w:p>
<w:p>
<w:pPr><w:pStyle w:val="Normal"/></w:pPr>
<w:r><w:t xml:space="preserve">on the 29th of May was the formal ending of the Civil War.</w:t></w:r>
</w:p>
<w:p>
<w:pPr><w:pStyle w:val="Normal"/></w:pPr>
<w:r><w:t xml:space="preserve">35. Character of the War.--No undisciplined levies could</w:t></w:r>
</w:p>
<w:p>
<w:pPr><w:pStyle w:val="Normal"/></w:pPr>
<w:r><w:t xml:space="preserve">have fought as did the armies on both sides.  Grave faults</w:t></w:r>
</w:p>
<w:p>
<w:pPr><w:pStyle w:val="Normal"/></w:pPr>
<w:r><w:t xml:space="preserve">the men had, from the regular&apos;s point of view.  They required</w:t></w:r>
</w:p>
<w:p>
<w:pPr><w:pStyle w:val="Normal"/></w:pPr>
<w:r><w:t xml:space="preserve">humouring, and their march discipline was very elastic.  But in</w:t></w:r>
</w:p>
<w:p>
<w:pPr><w:pStyle w:val="Normal"/></w:pPr>
<w:r><w:t xml:space="preserve">battle the &quot;thinking bayonets&quot; resolutely obeyed orders, even</w:t></w:r>
</w:p>
<w:p>
<w:pPr><w:pStyle w:val="Normal"/></w:pPr>
<w:r><w:t xml:space="preserve">though it were to attack a Marye&apos;s Hill, or a &quot;Bloody Angle,&quot;</w:t></w:r>
</w:p>
<w:p>
<w:pPr><w:pStyle w:val="Normal"/></w:pPr>
<w:r><w:t xml:space="preserve">for they had undertaken their task and would carry it through</w:t></w:r>
</w:p>
<w:p>
<w:pPr><w:pStyle w:val="Normal"/></w:pPr>
<w:r><w:t xml:space="preserve">unflinchingly.  So much may be said of both armies.  The great</w:t></w:r>
</w:p>
<w:p>
<w:pPr><w:pStyle w:val="Normal"/></w:pPr>
<w:r><w:t xml:space="preserve">advantage of the Confederate--an advantage which he had in a</w:t></w:r>
</w:p>
<w:p>
<w:pPr><w:pStyle w:val="Normal"/></w:pPr>
<w:r><w:t xml:space="preserve">less degree as against the hardier and country-bred Federal</w:t></w:r>
</w:p>
<w:p>
<w:pPr><w:pStyle w:val="Normal"/></w:pPr>
<w:r><w:t xml:space="preserve">of the west--was that he was a hunter and rider born and bred,</w:t></w:r>
</w:p>
<w:p>
<w:pPr><w:pStyle w:val="Normal"/></w:pPr>
<w:r><w:t xml:space="preserve">an excellent shot, and still not infrequently settled his</w:t></w:r>
</w:p>
<w:p>
<w:pPr><w:pStyle w:val="Normal"/></w:pPr>
<w:r><w:t xml:space="preserve">quarrels by the duel.  The town-bred soldier of the eastern</w:t></w:r>
</w:p>
<w:p>
<w:pPr><w:pStyle w:val="Normal"/></w:pPr>
<w:r><w:t xml:space="preserve">states was a thoughtful citizen who was determined to do his</w:t></w:r>
</w:p>
<w:p>
<w:pPr><w:pStyle w:val="Normal"/></w:pPr>
<w:r><w:t xml:space="preserve">duty, but he had far less natural aptitude for war than his</w:t></w:r>
</w:p>
<w:p>
<w:pPr><w:pStyle w:val="Normal"/></w:pPr>
<w:r><w:t xml:space="preserve">enemy from the Carolinas or his comrade from Illinois or</w:t></w:r>
</w:p>
<w:p>
<w:pPr><w:pStyle w:val="Normal"/></w:pPr>
<w:r><w:t xml:space="preserve">Kansas.  At the same time the more varied conditions of</w:t></w:r>
</w:p>
<w:p>
<w:pPr><w:pStyle w:val="Normal"/></w:pPr>
<w:r><w:t xml:space="preserve">urban life made him more adaptable to changes of climate</w:t></w:r>
</w:p>
<w:p>
<w:pPr><w:pStyle w:val="Normal"/></w:pPr>
<w:r><w:t xml:space="preserve">and of occupation than the &quot;Southron.&quot; Irish brigades</w:t></w:r>
</w:p>
<w:p>
<w:pPr><w:pStyle w:val="Normal"/></w:pPr>
<w:r><w:t xml:space="preserve">served on both sides and shot each other to pieces as at</w:t></w:r>
</w:p>
<w:p>
<w:pPr><w:pStyle w:val="Normal"/></w:pPr>
<w:r><w:t xml:space="preserve">Fredericksburg.  They had the reputation of being excellent</w:t></w:r>
</w:p>
<w:p>
<w:pPr><w:pStyle w:val="Normal"/></w:pPr>
<w:r><w:t xml:space="preserve">soldiers.  The German divisions, on the other hand, were rarely</w:t></w:r>
</w:p>
<w:p>
<w:pPr><w:pStyle w:val="Normal"/></w:pPr>
<w:r><w:t xml:space="preserve">as good as the rest.  The leading of these men was in the</w:t></w:r>
</w:p>
<w:p>
<w:pPr><w:pStyle w:val="Normal"/></w:pPr>
<w:r><w:t xml:space="preserve">hands, as a rule, of regular or ex-regular officers, who made</w:t></w:r>
</w:p>
<w:p>
<w:pPr><w:pStyle w:val="Normal"/></w:pPr>
<w:r><w:t xml:space="preserve">many mistakes in their handling of large masses, but had been</w:t></w:r>
</w:p>
<w:p>
<w:pPr><w:pStyle w:val="Normal"/></w:pPr>
<w:r><w:t xml:space="preserve">taught at West Point and on the Indian frontier to command</w:t></w:r>
</w:p>
<w:p>
<w:pPr><w:pStyle w:val="Normal"/></w:pPr>
<w:r><w:t xml:space="preserve">men in danger, and administer them in camp.  The volunteer</w:t></w:r>
</w:p>
<w:p>
<w:pPr><w:pStyle w:val="Normal"/></w:pPr>
<w:r><w:t xml:space="preserve">officers rarely led more than a division.  When given high</w:t></w:r>
</w:p>
<w:p>
<w:pPr><w:pStyle w:val="Normal"/></w:pPr>
<w:r><w:t xml:space="preserve">command at once they usually failed, but the best of them</w:t></w:r>
</w:p>
<w:p>
<w:pPr><w:pStyle w:val="Normal"/></w:pPr>
<w:r><w:t xml:space="preserve">rose gradually to the superior ranks; Logan, for instance,</w:t></w:r>
</w:p>
<w:p>
<w:pPr><w:pStyle w:val="Normal"/></w:pPr>
<w:r><w:t xml:space="preserve">became an army commander, Sickles, Terry and others corps</w:t></w:r>
</w:p>
<w:p>
<w:pPr><w:pStyle w:val="Normal"/></w:pPr>
<w:r><w:t xml:space="preserve">commanders.  Cleburne, one of the best division commanders of</w:t></w:r>
</w:p>
<w:p>
<w:pPr><w:pStyle w:val="Normal"/></w:pPr>
<w:r><w:t xml:space="preserve">the South, had been a corporal in the British army.  Meagher,</w:t></w:r>
</w:p>
<w:p>
<w:pPr><w:pStyle w:val="Normal"/></w:pPr>
<w:r><w:t xml:space="preserve">the leader of the &quot;Irish brigade&quot; at Fredericksburg, was the</w:t></w:r>
</w:p>
<w:p>
<w:pPr><w:pStyle w:val="Normal"/></w:pPr>
<w:r><w:t xml:space="preserve">young orator of the &quot;United Irishmen.&quot; But Lee, the Johnstons,</w:t></w:r>
</w:p>
<w:p>
<w:pPr><w:pStyle w:val="Normal"/></w:pPr>
<w:r><w:t xml:space="preserve">McClellan, Grant and Sherman had all served in the old army.</w:t></w:r>
</w:p>
<w:p>
<w:pPr><w:pStyle w:val="Normal"/></w:pPr>
<w:r><w:t xml:space="preserve">Most of them were young men in 1861.  Stuart was twenty-eight,</w:t></w:r>
</w:p>
<w:p>
<w:pPr><w:pStyle w:val="Normal"/></w:pPr>
<w:r><w:t xml:space="preserve">Sheridan thirty, Grant and Jackson under forty, while some of</w:t></w:r>
</w:p>
<w:p>
<w:pPr><w:pStyle w:val="Normal"/></w:pPr>
<w:r><w:t xml:space="preserve">the subordinate generals were actually fresh from West Point.</w:t></w:r>
</w:p>
<w:p>
<w:pPr><w:pStyle w:val="Normal"/></w:pPr>
<w:r><w:t xml:space="preserve">36. Strategy and Tactics.--The roughness of much of the</w:t></w:r>
</w:p>
<w:p>
<w:pPr><w:pStyle w:val="Normal"/></w:pPr>
<w:r><w:t xml:space="preserve">country gave a peculiar tone to the strategy of the combatants.</w:t></w:r>
</w:p>
<w:p>
<w:pPr><w:pStyle w:val="Normal"/></w:pPr>
<w:r><w:t xml:space="preserve">Roads were untrustworthy, rivers swelled suddenly, advance and</w:t></w:r>
</w:p>
<w:p>
<w:pPr><w:pStyle w:val="Normal"/></w:pPr>
<w:r><w:t xml:space="preserve">retreat were conditioned and compelled, especially in the case</w:t></w:r>
</w:p>
<w:p>
<w:pPr><w:pStyle w:val="Normal"/></w:pPr>
<w:r><w:t xml:space="preserve">of the ill-equipped Confederates, by the exigencies of food</w:t></w:r>
</w:p>
<w:p>
<w:pPr><w:pStyle w:val="Normal"/></w:pPr>
<w:r><w:t xml:space="preserve">supply.  Long forward strides of the Napoleonic type were</w:t></w:r>
</w:p>
<w:p>
<w:pPr><w:pStyle w:val="Normal"/></w:pPr>
<w:r><w:t xml:space="preserve">rarely attempted; &quot;changes of base&quot; were indeed made across</w:t></w:r>
</w:p>
<w:p>
<w:pPr><w:pStyle w:val="Normal"/></w:pPr>
<w:r><w:t xml:space="preserve">country, and over considerable distances, as by Sherman in</w:t></w:r>
</w:p>
<w:p>
<w:pPr><w:pStyle w:val="Normal"/></w:pPr>
<w:r><w:t xml:space="preserve">1864, but ordinarily either the base and the objective were</w:t></w:r>
</w:p>
<w:p>
<w:pPr><w:pStyle w:val="Normal"/></w:pPr>
<w:r><w:t xml:space="preserve">connected by rail or water, or else every forward step was,</w:t></w:r>
</w:p>
<w:p>
<w:pPr><w:pStyle w:val="Normal"/></w:pPr>
<w:r><w:t xml:space="preserve">after the manner of Marlborough&apos;s time, organized as a separate</w:t></w:r>
</w:p>
<w:p>
<w:pPr><w:pStyle w:val="Normal"/></w:pPr>
<w:r><w:t xml:space="preserve">campaign.  Hence field fortifications played an unusually</w:t></w:r>
</w:p>
<w:p>
<w:pPr><w:pStyle w:val="Normal"/></w:pPr>
<w:r><w:t xml:space="preserve">prominent part, time and material being available as a rule</w:t></w:r>
</w:p>
<w:p>
<w:pPr><w:pStyle w:val="Normal"/></w:pPr>
<w:r><w:t xml:space="preserve">for works of solid construction.  In isolated instances of</w:t></w:r>
</w:p>
<w:p>
<w:pPr><w:pStyle w:val="Normal"/></w:pPr>
<w:r><w:t xml:space="preserve">more rapid campaigning--e.g. Antietam and Gettysburg--they</w:t></w:r>
</w:p>
<w:p>
<w:pPr><w:pStyle w:val="Normal"/></w:pPr>
<w:r><w:t xml:space="preserve">were of subordinate importance.  The attack and defence of</w:t></w:r>
</w:p>
<w:p>
<w:pPr><w:pStyle w:val="Normal"/></w:pPr>
<w:r><w:t xml:space="preserve">these entrenchments led to tactical phenomena of unusual</w:t></w:r>
</w:p>
<w:p>
<w:pPr><w:pStyle w:val="Normal"/></w:pPr>
<w:r><w:t xml:space="preserve">interest.  Cavalry could not bring about the decision in</w:t></w:r>
</w:p>
<w:p>
<w:pPr><w:pStyle w:val="Normal"/></w:pPr>
<w:r><w:t xml:space="preserve">such country, and sought a field for its restless activity</w:t></w:r>
</w:p>
<w:p>
<w:pPr><w:pStyle w:val="Normal"/></w:pPr>
<w:r><w:t xml:space="preserve">elsewhere.  Artillery had fallen, technically, far behind</w:t></w:r>
</w:p>
<w:p>
<w:pPr><w:pStyle w:val="Normal"/></w:pPr>
<w:r><w:t xml:space="preserve">the infantry arm, and in face of long- range rifle fire could</w:t></w:r>
</w:p>
<w:p>
<w:pPr><w:pStyle w:val="Normal"/></w:pPr>
<w:r><w:t xml:space="preserve">not annihilate the hostile line with case-shot fire as in the</w:t></w:r>
</w:p>
<w:p>
<w:pPr><w:pStyle w:val="Normal"/></w:pPr>
<w:r><w:t xml:space="preserve">days of Napoleon.  In a battle such as Chancellorsville or</w:t></w:r>
</w:p>
<w:p>
<w:pPr><w:pStyle w:val="Normal"/></w:pPr>
<w:r><w:t xml:space="preserve">the Wilderness guns were almost valueless, since there was</w:t></w:r>
</w:p>
<w:p>
<w:pPr><w:pStyle w:val="Normal"/></w:pPr>
<w:r><w:t xml:space="preserve">little open space in which they might be used.  It thus fell</w:t></w:r>
</w:p>
<w:p>
<w:pPr><w:pStyle w:val="Normal"/></w:pPr>
<w:r><w:t xml:space="preserve">to the infantry to attack and defend with its own weapons, and</w:t></w:r>
</w:p>
<w:p>
<w:pPr><w:pStyle w:val="Normal"/></w:pPr>
<w:r><w:t xml:space="preserve">the defence was, locally, almost inexpugnable behind its tall</w:t></w:r>
</w:p>
<w:p>
<w:pPr><w:pStyle w:val="Normal"/></w:pPr>
<w:r><w:t xml:space="preserve">breastworks.  One line of works could be stormed, but there</w:t></w:r>
</w:p>
<w:p>
<w:pPr><w:pStyle w:val="Normal"/></w:pPr>
<w:r><w:t xml:space="preserve">were almost always two or three retrenchments behind.  The</w:t></w:r>
</w:p>
<w:p>
<w:pPr><w:pStyle w:val="Normal"/></w:pPr>
<w:r><w:t xml:space="preserve">attacking infantry, who found it necessary to cross a fire-swept</w:t></w:r>
</w:p>
<w:p>
<w:pPr><w:pStyle w:val="Normal"/></w:pPr>
<w:r><w:t xml:space="preserve">zone 1000 yds. broad, had to be used resolutely in masses,</w:t></w:r>
</w:p>
<w:p>
<w:pPr><w:pStyle w:val="Normal"/></w:pPr>
<w:r><w:t xml:space="preserve">line following line, and each carrying forward the wrecks</w:t></w:r>
</w:p>
<w:p>
<w:pPr><w:pStyle w:val="Normal"/></w:pPr>
<w:r><w:t xml:space="preserve">of its predecessor.  Partial attacks were invariably costly</w:t></w:r>
</w:p>
<w:p>
<w:pPr><w:pStyle w:val="Normal"/></w:pPr>
<w:r><w:t xml:space="preserve">failures.  The use of masses was never put in practice more</w:t></w:r>
</w:p>
<w:p>
<w:pPr><w:pStyle w:val="Normal"/></w:pPr>
<w:r><w:t xml:space="preserve">sternly than by Grant in 1864.  At the same time, as has</w:t></w:r>
</w:p>
<w:p>
<w:pPr><w:pStyle w:val="Normal"/></w:pPr>
<w:r><w:t xml:space="preserve">been said, the cavalry arm found plenty of work.  The horses</w:t></w:r>
</w:p>
<w:p>
<w:pPr><w:pStyle w:val="Normal"/></w:pPr>
<w:r><w:t xml:space="preserve">were not trained for European shock- tactics, nor did the</w:t></w:r>
</w:p>
<w:p>
<w:pPr><w:pStyle w:val="Normal"/></w:pPr>
<w:r><w:t xml:space="preserve">country offer charging room, and though melees of mounted</w:t></w:r>
</w:p>
<w:p>
<w:pPr><w:pStyle w:val="Normal"/></w:pPr>
<w:r><w:t xml:space="preserve">men engaging with sword and pistol were not infrequent, the</w:t></w:r>
</w:p>
<w:p>
<w:pPr><w:pStyle w:val="Normal"/></w:pPr>
<w:r><w:t xml:space="preserve">usual method of fighting was dismounted fire action, which</w:t></w:r>
</w:p>
<w:p>
<w:pPr><w:pStyle w:val="Normal"/></w:pPr>
<w:r><w:t xml:space="preserve">was practised with uncommon skill by the troopers on both</w:t></w:r>
</w:p>
<w:p>
<w:pPr><w:pStyle w:val="Normal"/></w:pPr>
<w:r><w:t xml:space="preserve">sides.  The far-ranging strategic &quot;raid&quot; was a notable feature</w:t></w:r>
</w:p>
<w:p>
<w:pPr><w:pStyle w:val="Normal"/></w:pPr>
<w:r><w:t xml:space="preserve">of the war; freely employed by both sides, it was sometimes</w:t></w:r>
</w:p>
<w:p>
<w:pPr><w:pStyle w:val="Normal"/></w:pPr>
<w:r><w:t xml:space="preserve">harmful, more usually profitable, especially to the South, by</w:t></w:r>
</w:p>
<w:p>
<w:pPr><w:pStyle w:val="Normal"/></w:pPr>
<w:r><w:t xml:space="preserve">reason of the captures in material, the information acquired</w:t></w:r>
</w:p>
<w:p>
<w:pPr><w:pStyle w:val="Normal"/></w:pPr>
<w:r><w:t xml:space="preserve">and the alarm and confusion created.  These raids, and the more</w:t></w:r>
</w:p>
<w:p>
<w:pPr><w:pStyle w:val="Normal"/></w:pPr>
<w:r><w:t xml:space="preserve">ordinary screening work, were never executed more brilliantly</w:t></w:r>
</w:p>
<w:p>
<w:pPr><w:pStyle w:val="Normal"/></w:pPr>
<w:r><w:t xml:space="preserve">than by Lee&apos;s great cavalry general, &quot;Jeb&quot; Stuart, in Virginia,</w:t></w:r>
</w:p>
<w:p>
<w:pPr><w:pStyle w:val="Normal"/></w:pPr>
<w:r><w:t xml:space="preserve">but the Federal generals, Pleasonton and Sheridan, did</w:t></w:r>
</w:p>
<w:p>
<w:pPr><w:pStyle w:val="Normal"/></w:pPr>
<w:r><w:t xml:space="preserve">excellent work in the east, as also Wheeler and Forrest on the</w:t></w:r>
</w:p>
<w:p>
<w:pPr><w:pStyle w:val="Normal"/></w:pPr>
<w:r><w:t xml:space="preserve">Confederate, Wilson and Grierson on the Federal, side in the</w:t></w:r>
</w:p>
<w:p>
<w:pPr><w:pStyle w:val="Normal"/></w:pPr>
<w:r><w:t xml:space="preserve">west.  The technical services, in which the mechanical skill and</w:t></w:r>
</w:p>
<w:p>
<w:pPr><w:pStyle w:val="Normal"/></w:pPr>
<w:r><w:t xml:space="preserve">ingenuity of the American had full play, developed remarkable</w:t></w:r>
</w:p>
<w:p>
<w:pPr><w:pStyle w:val="Normal"/></w:pPr>
<w:r><w:t xml:space="preserve">efficiency.  Whether it was desired to build a railway</w:t></w:r>
</w:p>
<w:p>
<w:pPr><w:pStyle w:val="Normal"/></w:pPr>
<w:r><w:t xml:space="preserve">bridge, disable a locomotive or cut a canal, the engineers</w:t></w:r>
</w:p>
<w:p>
<w:pPr><w:pStyle w:val="Normal"/></w:pPr>
<w:r><w:t xml:space="preserve">were always ready with some happy expedient.  On one occasion</w:t></w:r>
</w:p>
<w:p>
<w:pPr><w:pStyle w:val="Normal"/></w:pPr>
<w:r><w:t xml:space="preserve">an infantry division of 8000 men repaired 102 miles of</w:t></w:r>
</w:p>
<w:p>
<w:pPr><w:pStyle w:val="Normal"/></w:pPr>
<w:r><w:t xml:space="preserve">railway and built 182 bridges in 40 days, forging their own</w:t></w:r>
</w:p>
<w:p>
<w:pPr><w:pStyle w:val="Normal"/></w:pPr>
<w:r><w:t xml:space="preserve">tools and using local resources.  Many novelties, too, such as</w:t></w:r>
</w:p>
<w:p>
<w:pPr><w:pStyle w:val="Normal"/></w:pPr>
<w:r><w:t xml:space="preserve">the field telegraph, balloons and signalling, were employed.</w:t></w:r>
</w:p>
<w:p>
<w:pPr><w:pStyle w:val="Normal"/></w:pPr>
<w:r><w:t xml:space="preserve">37. The Union and Confederate Navies.--The naval war had</w:t></w:r>
</w:p>
<w:p>
<w:pPr><w:pStyle w:val="Normal"/></w:pPr>
<w:r><w:t xml:space="preserve">been likewise fruitful of lessons for the future.  Though</w:t></w:r>
</w:p>
<w:p>
<w:pPr><w:pStyle w:val="Normal"/></w:pPr>
<w:r><w:t xml:space="preserve">wooden ships were still largely employed, the ironclad even</w:t></w:r>
</w:p>
<w:p>
<w:pPr><w:pStyle w:val="Normal"/></w:pPr>
<w:r><w:t xml:space="preserve">then had begun to take a commanding place, and the sailing ship</w:t></w:r>
</w:p>
<w:p>
<w:pPr><w:pStyle w:val="Normal"/></w:pPr>
<w:r><w:t xml:space="preserve">at last disappeared from naval warfare.  Mines, torpedoes and</w:t></w:r>
</w:p>
<w:p>
<w:pPr><w:pStyle w:val="Normal"/></w:pPr>
<w:r><w:t xml:space="preserve">submarines were all employed, and with the &quot;Monitor&quot; may fairly</w:t></w:r>
</w:p>
<w:p>
<w:pPr><w:pStyle w:val="Normal"/></w:pPr>
<w:r><w:t xml:space="preserve">be said to have begun the application of mechanical science</w:t></w:r>
</w:p>
<w:p>
<w:pPr><w:pStyle w:val="Normal"/></w:pPr>
<w:r><w:t xml:space="preserve">to the uses of naval war.  The Federal navy was enormously</w:t></w:r>
</w:p>
<w:p>
<w:pPr><w:pStyle w:val="Normal"/></w:pPr>
<w:r><w:t xml:space="preserve">expanded.  Three hundred and thirteen steamers were brought</w:t></w:r>
</w:p>
<w:p>
<w:pPr><w:pStyle w:val="Normal"/></w:pPr>
<w:r><w:t xml:space="preserve">into the service.  Sloops of an excellent type were built for</w:t></w:r>
</w:p>
<w:p>
<w:pPr><w:pStyle w:val="Normal"/></w:pPr>
<w:r><w:t xml:space="preserve">work on the high seas, of which the celebrated &quot;Kearsarge&quot; was</w:t></w:r>
</w:p>
<w:p>
<w:pPr><w:pStyle w:val="Normal"/></w:pPr>
<w:r><w:t xml:space="preserve">one.  Gunboats were constructed so fast that they were called</w:t></w:r>
</w:p>
<w:p>
<w:pPr><w:pStyle w:val="Normal"/></w:pPr>
<w:r><w:t xml:space="preserve">&quot;ninety-day gunboats.&quot; Special reversible paddle steamers</w:t></w:r>
</w:p>
<w:p>
<w:pPr><w:pStyle w:val="Normal"/></w:pPr>
<w:r><w:t xml:space="preserve">(called double-enders) were designed for service in the inlets</w:t></w:r>
</w:p>
<w:p>
<w:pPr><w:pStyle w:val="Normal"/></w:pPr>
<w:r><w:t xml:space="preserve">and estuaries, and sixty-six ironclads were built and employed</w:t></w:r>
</w:p>
<w:p>
<w:pPr><w:pStyle w:val="Normal"/></w:pPr>
<w:r><w:t xml:space="preserve">during the four years.  Mississippi river steamers were armed</w:t></w:r>
</w:p>
<w:p>
<w:pPr><w:pStyle w:val="Normal"/></w:pPr>
<w:r><w:t xml:space="preserve">with heavy guns and protected by armour, boiler-plates, cotton</w:t></w:r>
</w:p>
<w:p>
<w:pPr><w:pStyle w:val="Normal"/></w:pPr>
<w:r><w:t xml:space="preserve">bales, &amp;c., and some fast cruisers were constructed for ocean</w:t></w:r>
</w:p>
<w:p>
<w:pPr><w:pStyle w:val="Normal"/></w:pPr>
<w:r><w:t xml:space="preserve">work, one of them actually reaching the high speed of 17.75</w:t></w:r>
</w:p>
<w:p>
<w:pPr><w:pStyle w:val="Normal"/></w:pPr>
<w:r><w:t xml:space="preserve">m. per hour.  The existing Federal navy of 1861 already</w:t></w:r>
</w:p>
<w:p>
<w:pPr><w:pStyle w:val="Normal"/></w:pPr>
<w:r><w:t xml:space="preserve">included some large and powerful modern vessels, such as the</w:t></w:r>
</w:p>
<w:p>
<w:pPr><w:pStyle w:val="Normal"/></w:pPr>
<w:r><w:t xml:space="preserve">&quot;Minnesota&quot; and &quot;Powhatan.&quot; To oppose them the Confederates,</w:t></w:r>
</w:p>
<w:p>
<w:pPr><w:pStyle w:val="Normal"/></w:pPr>
<w:r><w:t xml:space="preserve">limited as they were for means, managed to construct various</w:t></w:r>
</w:p>
<w:p>
<w:pPr><w:pStyle w:val="Normal"/></w:pPr>
<w:r><w:t xml:space="preserve">ironclads, and to improvise a considerable fleet of minor</w:t></w:r>
</w:p>
<w:p>
<w:pPr><w:pStyle w:val="Normal"/></w:pPr>
<w:r><w:t xml:space="preserve">vessels, and, though a fighting navy never assembled under a</w:t></w:r>
</w:p>
<w:p>
<w:pPr><w:pStyle w:val="Normal"/></w:pPr>
<w:r><w:t xml:space="preserve">Confederate flag-officer, the Southern warships found another</w:t></w:r>
</w:p>
<w:p>
<w:pPr><w:pStyle w:val="Normal"/></w:pPr>
<w:r><w:t xml:space="preserve">more damaging and more profitable scope for their activity.  It</w:t></w:r>
</w:p>
<w:p>
<w:pPr><w:pStyle w:val="Normal"/></w:pPr>
<w:r><w:t xml:space="preserve">has been said that the blockade of the Confederate coast became</w:t></w:r>
</w:p>
<w:p>
<w:pPr><w:pStyle w:val="Normal"/></w:pPr>
<w:r><w:t xml:space="preserve">in the end practically impenetrable, and that every attempt</w:t></w:r>
</w:p>
<w:p>
<w:pPr><w:pStyle w:val="Normal"/></w:pPr>
<w:r><w:t xml:space="preserve">of the Confederate naval forces to break out was checked at</w:t></w:r>
</w:p>
<w:p>
<w:pPr><w:pStyle w:val="Normal"/></w:pPr>
<w:r><w:t xml:space="preserve">once by crushing numerical preponderance.  The exciting and</w:t></w:r>
</w:p>
<w:p>
<w:pPr><w:pStyle w:val="Normal"/></w:pPr>
<w:r><w:t xml:space="preserve">profitable occupation of blockade- running led to countless</w:t></w:r>
</w:p>
<w:p>
<w:pPr><w:pStyle w:val="Normal"/></w:pPr>
<w:r><w:t xml:space="preserve">small fights off the various harbours, and sometimes the United</w:t></w:r>
</w:p>
<w:p>
<w:pPr><w:pStyle w:val="Normal"/></w:pPr>
<w:r><w:t xml:space="preserve">States navy had to fight a more serious action when some new</w:t></w:r>
</w:p>
<w:p>
<w:pPr><w:pStyle w:val="Normal"/></w:pPr>
<w:r><w:t xml:space="preserve">&quot;rebel&quot; ironclad emerged from her harbour, inlet or sound.</w:t></w:r>
</w:p>
<w:p>
<w:pPr><w:pStyle w:val="Normal"/></w:pPr>
<w:r><w:t xml:space="preserve">38. Fort Fisher.--Many of the greater combats in which the</w:t></w:r>
</w:p>
<w:p>
<w:pPr><w:pStyle w:val="Normal"/></w:pPr>
<w:r><w:t xml:space="preserve">navy was engaged on the coast and inland have been referred</w:t></w:r>
</w:p>
<w:p>
<w:pPr><w:pStyle w:val="Normal"/></w:pPr>
<w:r><w:t xml:space="preserve">to above, and the fighting before Charleston, New Orleans,</w:t></w:r>
</w:p>
<w:p>
<w:pPr><w:pStyle w:val="Normal"/></w:pPr>
<w:r><w:t xml:space="preserve">Mobile and Vicksburg is described in separate articles.  One</w:t></w:r>
</w:p>
<w:p>
<w:pPr><w:pStyle w:val="Normal"/></w:pPr>
<w:r><w:t xml:space="preserve">of the heaviest of the battles was fought at Fort Fisher in</w:t></w:r>
</w:p>
<w:p>
<w:pPr><w:pStyle w:val="Normal"/></w:pPr>
<w:r><w:t xml:space="preserve">1864.  This place guarded the approaches to Wilmington, North</w:t></w:r>
</w:p>
<w:p>
<w:pPr><w:pStyle w:val="Normal"/></w:pPr>
<w:r><w:t xml:space="preserve">Carolina.  Troops under Butler and a large fleet under Admiral</w:t></w:r>
</w:p>
<w:p>
<w:pPr><w:pStyle w:val="Normal"/></w:pPr>
<w:r><w:t xml:space="preserve">Porter were destined for this enterprise.  An incendiary</w:t></w:r>
</w:p>
<w:p>
<w:pPr><w:pStyle w:val="Normal"/></w:pPr>
<w:r><w:t xml:space="preserve">vessel was exploded close to the works without effect on</w:t></w:r>
</w:p>
<w:p>
<w:pPr><w:pStyle w:val="Normal"/></w:pPr>
<w:r><w:t xml:space="preserve">the 23rd-24th of December, and the ships engaged on the</w:t></w:r>
</w:p>
<w:p>
<w:pPr><w:pStyle w:val="Normal"/></w:pPr>
<w:r><w:t xml:space="preserve">24th.  The next day the troops were disembarked, only to be</w:t></w:r>
</w:p>
<w:p>
<w:pPr><w:pStyle w:val="Normal"/></w:pPr>
<w:r><w:t xml:space="preserve">called off after a partial assault.  Butler then withdrew,</w:t></w:r>
</w:p>
<w:p>
<w:pPr><w:pStyle w:val="Normal"/></w:pPr>
<w:r><w:t xml:space="preserve">and Porter was informed on the 31st that &quot;a competent force</w:t></w:r>
</w:p>
<w:p>
<w:pPr><w:pStyle w:val="Normal"/></w:pPr>
<w:r><w:t xml:space="preserve">properly commanded,&quot; would be sent out.  On the 8th of January</w:t></w:r>
</w:p>
<w:p>
<w:pPr><w:pStyle w:val="Normal"/></w:pPr>
<w:r><w:t xml:space="preserve">1865 General Terry arrived with the land forces, and the armada</w:t></w:r>
</w:p>
<w:p>
<w:pPr><w:pStyle w:val="Normal"/></w:pPr>
<w:r><w:t xml:space="preserve">arrived off Fisher on the 12th.  On the 13th, 6000 men were</w:t></w:r>
</w:p>
<w:p>
<w:pPr><w:pStyle w:val="Normal"/></w:pPr>
<w:r><w:t xml:space="preserve">landed, covered by the guns of the fleet, and, after Porter</w:t></w:r>
</w:p>
<w:p>
<w:pPr><w:pStyle w:val="Normal"/></w:pPr>
<w:r><w:t xml:space="preserve">had subjected the works to a terrific bombardment, Fisher</w:t></w:r>
</w:p>
<w:p>
<w:pPr><w:pStyle w:val="Normal"/></w:pPr>
<w:r><w:t xml:space="preserve">was brilliantly carried by storm on the 15th.  Reinforcements</w:t></w:r>
</w:p>
<w:p>
<w:pPr><w:pStyle w:val="Normal"/></w:pPr>
<w:r><w:t xml:space="preserve">arriving, the whole force then marched inland to meet Sherman.</w:t></w:r>
</w:p>
<w:p>
<w:pPr><w:pStyle w:val="Normal"/></w:pPr>
<w:r><w:t xml:space="preserve">39. Other Naval Actions.--Apart from this, and other actions</w:t></w:r>
</w:p>
<w:p>
<w:pPr><w:pStyle w:val="Normal"/></w:pPr>
<w:r><w:t xml:space="preserve">referred to, two incidents of the coast war call for notice--the</w:t></w:r>
</w:p>
<w:p>
<w:pPr><w:pStyle w:val="Normal"/></w:pPr>
<w:r><w:t xml:space="preserve">career of the &quot;Albemarle&quot; and the duel between the &quot;Atlanta&quot;</w:t></w:r>
</w:p>
<w:p>
<w:pPr><w:pStyle w:val="Normal"/></w:pPr>
<w:r><w:t xml:space="preserve">and the &quot;Weehawken.&quot; The ironclad ram &quot;Albemarle,&quot; built at</w:t></w:r>
</w:p>
<w:p>
<w:pPr><w:pStyle w:val="Normal"/></w:pPr>
<w:r><w:t xml:space="preserve">Edwards&apos; Ferry on the Roanoke river, had done considerable damage</w:t></w:r>
</w:p>
<w:p>
<w:pPr><w:pStyle w:val="Normal"/></w:pPr>
<w:r><w:t xml:space="preserve">to the Federal vessels which, since Burnside&apos;s expedition to</w:t></w:r>
</w:p>
<w:p>
<w:pPr><w:pStyle w:val="Normal"/></w:pPr>
<w:r><w:t xml:space="preserve">Newberne, had cruised in Albemarle Sound, and in 1864 a force</w:t></w:r>
</w:p>
<w:p>
<w:pPr><w:pStyle w:val="Normal"/></w:pPr>
<w:r><w:t xml:space="preserve">of double-enders and gunboats, under Captain Melancton Smith,</w:t></w:r>
</w:p>
<w:p>
<w:pPr><w:pStyle w:val="Normal"/></w:pPr>
<w:r><w:t xml:space="preserve">U.S.N., was given the special task of destroying the rebel</w:t></w:r>
</w:p>
<w:p>
<w:pPr><w:pStyle w:val="Normal"/></w:pPr>
<w:r><w:t xml:space="preserve">ram.  A naval battle was fought on the 5th of May 1864, in</w:t></w:r>
</w:p>
<w:p>
<w:pPr><w:pStyle w:val="Normal"/></w:pPr>
<w:r><w:t xml:space="preserve">which the double-ender &quot;Sassacus&quot; most gallantly rammed the</w:t></w:r>
</w:p>
<w:p>
<w:pPr><w:pStyle w:val="Normal"/></w:pPr>
<w:r><w:t xml:space="preserve">&quot;Albemarle&quot; and was disabled alongside her, and Smith&apos;s vessel</w:t></w:r>
</w:p>
<w:p>
<w:pPr><w:pStyle w:val="Normal"/></w:pPr>
<w:r><w:t xml:space="preserve">and others, unarmoured as they were, fought the ram at close</w:t></w:r>
</w:p>
<w:p>
<w:pPr><w:pStyle w:val="Normal"/></w:pPr>
<w:r><w:t xml:space="preserve">quarters.  After this the ironclad retired upstream, where she</w:t></w:r>
</w:p>
<w:p>
<w:pPr><w:pStyle w:val="Normal"/></w:pPr>
<w:r><w:t xml:space="preserve">was eventually destroyed in the most daring manner by a boat&apos;s</w:t></w:r>
</w:p>
<w:p>
<w:pPr><w:pStyle w:val="Normal"/></w:pPr>
<w:r><w:t xml:space="preserve">crew under Lieutenant W. B. Cushing.  Making his way up the</w:t></w:r>
</w:p>
<w:p>
<w:pPr><w:pStyle w:val="Normal"/></w:pPr>
<w:r><w:t xml:space="preserve">Roanoke as far as Plymouth he there sank the ironclad at her</w:t></w:r>
</w:p>
<w:p>
<w:pPr><w:pStyle w:val="Normal"/></w:pPr>
<w:r><w:t xml:space="preserve">wharf by exploding a spar-torpedo (October 27). On the 17th of</w:t></w:r>
</w:p>
<w:p>
<w:pPr><w:pStyle w:val="Normal"/></w:pPr>
<w:r><w:t xml:space="preserve">June 1863 after a brief action the monitor &quot;Weehawken&quot; captured</w:t></w:r>
</w:p>
<w:p>
<w:pPr><w:pStyle w:val="Normal"/></w:pPr>
<w:r><w:t xml:space="preserve">the Confederate ironclad &quot;Atlanta&quot; in Wassaw Sound, South</w:t></w:r>
</w:p>
<w:p>
<w:pPr><w:pStyle w:val="Normal"/></w:pPr>
<w:r><w:t xml:space="preserve">Carolina.  This duel resembled in its attendant circumstances</w:t></w:r>
</w:p>
<w:p>
<w:pPr><w:pStyle w:val="Normal"/></w:pPr>
<w:r><w:t xml:space="preserve">the famous fight of the &quot;Chesapeake&quot; and the &quot;Shannon.&quot; Captain</w:t></w:r>
</w:p>
<w:p>
<w:pPr><w:pStyle w:val="Normal"/></w:pPr>
<w:r><w:t xml:space="preserve">John Rodgers, like Broke, was one of the best officers, and</w:t></w:r>
</w:p>
<w:p>
<w:pPr><w:pStyle w:val="Normal"/></w:pPr>
<w:r><w:t xml:space="preserve">the &quot;Weehawken,&quot; like the &quot;Shannon,&quot; was known as one of the</w:t></w:r>
</w:p>
<w:p>
<w:pPr><w:pStyle w:val="Normal"/></w:pPr>
<w:r><w:t xml:space="preserve">smartest ships in the service.  Five heavy accurate shots from</w:t></w:r>
</w:p>
<w:p>
<w:pPr><w:pStyle w:val="Normal"/></w:pPr>
<w:r><w:t xml:space="preserve">the Federal&apos;s turret guns crushed the enemy in a few minutes.</w:t></w:r>
</w:p>
<w:p>
<w:pPr><w:pStyle w:val="Normal"/></w:pPr>
<w:r><w:t xml:space="preserve">40. The Commerce-Destroyers.--Letters of marque were issued</w:t></w:r>
</w:p>
<w:p>
<w:pPr><w:pStyle w:val="Normal"/></w:pPr>
<w:r><w:t xml:space="preserve">to Confederate privateers as early as April 1861, and Federal</w:t></w:r>
</w:p>
<w:p>
<w:pPr><w:pStyle w:val="Normal"/></w:pPr>
<w:r><w:t xml:space="preserve">commerce at once began to suffer.  When, however, surveillance</w:t></w:r>
</w:p>
<w:p>
<w:pPr><w:pStyle w:val="Normal"/></w:pPr>
<w:r><w:t xml:space="preserve">became blockade, prizes could only with difficulty be brought</w:t></w:r>
</w:p>
<w:p>
<w:pPr><w:pStyle w:val="Normal"/></w:pPr>
<w:r><w:t xml:space="preserve">into port, and, since the parties interested gained nothing</w:t></w:r>
</w:p>
<w:p>
<w:pPr><w:pStyle w:val="Normal"/></w:pPr>
<w:r><w:t xml:space="preserve">by burning merchantmen, privateering soon died out, and was</w:t></w:r>
</w:p>
<w:p>
<w:pPr><w:pStyle w:val="Normal"/></w:pPr>
<w:r><w:t xml:space="preserve">replaced by commerce-destroying pure and simple, carried out</w:t></w:r>
</w:p>
<w:p>
<w:pPr><w:pStyle w:val="Normal"/></w:pPr>
<w:r><w:t xml:space="preserve">by commissioned vessels of the Confederate navy.  Captain</w:t></w:r>
</w:p>
<w:p>
<w:pPr><w:pStyle w:val="Normal"/></w:pPr>
<w:r><w:t xml:space="preserve">Raphael Sommes of the C.S.S. &quot;Sumter&quot; made a successful cruise</w:t></w:r>
</w:p>
<w:p>
<w:pPr><w:pStyle w:val="Normal"/></w:pPr>
<w:r><w:t xml:space="preserve">on the high seas, and before she was abandoned at Gibraltar</w:t></w:r>
</w:p>
<w:p>
<w:pPr><w:pStyle w:val="Normal"/></w:pPr>
<w:r><w:t xml:space="preserve">had made seventeen prizes.  Unable to build at home, the</w:t></w:r>
</w:p>
<w:p>
<w:pPr><w:pStyle w:val="Normal"/></w:pPr>
<w:r><w:t xml:space="preserve">Confederates sought warships abroad, evading the obligations</w:t></w:r>
</w:p>
<w:p>
<w:pPr><w:pStyle w:val="Normal"/></w:pPr>
<w:r><w:t xml:space="preserve">of neutrality by various ingenious expedients.  The &quot;Florida&quot;</w:t></w:r>
</w:p>
<w:p>
<w:pPr><w:pStyle w:val="Normal"/></w:pPr>
<w:r><w:t xml:space="preserve">(built at Liverpool in 1861-1862) crossed the Atlantic,</w:t></w:r>
</w:p>
<w:p>
<w:pPr><w:pStyle w:val="Normal"/></w:pPr>
<w:r><w:t xml:space="preserve">refitted at Mobile, escaped the blockaders, and fulfilled the</w:t></w:r>
</w:p>
<w:p>
<w:pPr><w:pStyle w:val="Normal"/></w:pPr>
<w:r><w:t xml:space="preserve">instructions which, as her captain said, &quot;left much to the</w:t></w:r>
</w:p>
<w:p>
<w:pPr><w:pStyle w:val="Normal"/></w:pPr>
<w:r><w:t xml:space="preserve">discretion but more to the torch.&quot; She was captured by the</w:t></w:r>
</w:p>
<w:p>
<w:pPr><w:pStyle w:val="Normal"/></w:pPr>
<w:r><w:t xml:space="preserve">U.S.S. &quot;Wachusett&quot; in the neutral harbour of Bahia (October 7,</w:t></w:r>
</w:p>
<w:p>
<w:pPr><w:pStyle w:val="Normal"/></w:pPr>
<w:r><w:t xml:space="preserve">1862).  The most successful of the foreign-built cruisers</w:t></w:r>
</w:p>
<w:p>
<w:pPr><w:pStyle w:val="Normal"/></w:pPr>
<w:r><w:t xml:space="preserve">was the famous &quot;Alabama,&quot; commanded by Sommes and built at</w:t></w:r>
</w:p>
<w:p>
<w:pPr><w:pStyle w:val="Normal"/></w:pPr>
<w:r><w:t xml:space="preserve">Liverpool.  In the course of her career she burned or</w:t></w:r>
</w:p>
<w:p>
<w:pPr><w:pStyle w:val="Normal"/></w:pPr>
<w:r><w:t xml:space="preserve">brought into port seventy prizes, fought and sank the U.S.S.</w:t></w:r>
</w:p>
<w:p>
<w:pPr><w:pStyle w:val="Normal"/></w:pPr>
<w:r><w:t xml:space="preserve">&quot;Hatteras&quot; off Galveston, and was finally sunk by the U.S.S.</w:t></w:r>
</w:p>
<w:p>
<w:pPr><w:pStyle w:val="Normal"/></w:pPr>
<w:r><w:t xml:space="preserve">&quot;Kearsarge,&quot; Captain Winslow, off Cherbourg (June 19, 1864).</w:t></w:r>
</w:p>
<w:p>
<w:pPr><w:pStyle w:val="Normal"/></w:pPr>
<w:r><w:t xml:space="preserve">The career of another promising cruiser, the &quot;Nashville,&quot; was</w:t></w:r>
</w:p>
<w:p>
<w:pPr><w:pStyle w:val="Normal"/></w:pPr>
<w:r><w:t xml:space="preserve">summarily ended by the Federal monitor &quot;Montauk&quot; (February 28,</w:t></w:r>
</w:p>
<w:p>
<w:pPr><w:pStyle w:val="Normal"/></w:pPr>
<w:r><w:t xml:space="preserve">1863).  The &quot;Shenandoah&quot; was burning Union whalers in the</w:t></w:r>
</w:p>
<w:p>
<w:pPr><w:pStyle w:val="Normal"/></w:pPr>
<w:r><w:t xml:space="preserve">Bering Sea when the war came to an end.  None of the various</w:t></w:r>
</w:p>
<w:p>
<w:pPr><w:pStyle w:val="Normal"/></w:pPr>
<w:r><w:t xml:space="preserve">&quot;rams&quot; built abroad for the &quot;rebel&quot; government ever came into</w:t></w:r>
</w:p>
<w:p>
<w:pPr><w:pStyle w:val="Normal"/></w:pPr>
<w:r><w:t xml:space="preserve">action.  The difficulties of coaling and the obligations</w:t></w:r>
</w:p>
<w:p>
<w:pPr><w:pStyle w:val="Normal"/></w:pPr>
<w:r><w:t xml:space="preserve">of neutrality hampered these commerce-destroyers as much as</w:t></w:r>
</w:p>
<w:p>
<w:pPr><w:pStyle w:val="Normal"/></w:pPr>
<w:r><w:t xml:space="preserve">the Federal vessels that were chasing them, but, in spite of</w:t></w:r>
</w:p>
<w:p>
<w:pPr><w:pStyle w:val="Normal"/></w:pPr>
<w:r><w:t xml:space="preserve">drawbacks, the guerre de course was the most successful</w:t></w:r>
</w:p>
<w:p>
<w:pPr><w:pStyle w:val="Normal"/></w:pPr>
<w:r><w:t xml:space="preserve">warlike operation undertaken by the Confederacy.  The</w:t></w:r>
</w:p>
<w:p>
<w:pPr><w:pStyle w:val="Normal"/></w:pPr>
<w:r><w:t xml:space="preserve">mercantile marine of the United States was almost driven off</w:t></w:r>
</w:p>
<w:p>
<w:pPr><w:pStyle w:val="Normal"/></w:pPr>
<w:r><w:t xml:space="preserve">the high seas by the terror of these destructive cruisers.</w:t></w:r>
</w:p>
<w:p>
<w:pPr><w:pStyle w:val="Normal"/></w:pPr>
<w:r><w:t xml:space="preserve">41. Cost of the War.--The total loss of life in the Union</w:t></w:r>
</w:p>
<w:p>
<w:pPr><w:pStyle w:val="Normal"/></w:pPr>
<w:r><w:t xml:space="preserve">forces during the four years of war was 359,528, and of the</w:t></w:r>
</w:p>
<w:p>
<w:pPr><w:pStyle w:val="Normal"/></w:pPr>
<w:r><w:t xml:space="preserve">many thousands discharged from the services as disabled or</w:t></w:r>
</w:p>
<w:p>
<w:pPr><w:pStyle w:val="Normal"/></w:pPr>
<w:r><w:t xml:space="preserve">otherwise unfit, a large number died in consequence of injuries</w:t></w:r>
</w:p>
<w:p>
<w:pPr><w:pStyle w:val="Normal"/></w:pPr>
<w:r><w:t xml:space="preserve">or disease incurred in the army.  The estimate of 500,000 in</w:t></w:r>
</w:p>
<w:p>
<w:pPr><w:pStyle w:val="Normal"/></w:pPr>
<w:r><w:t xml:space="preserve">all may be taken as approximately correct.  The same number is</w:t></w:r>
</w:p>
<w:p>
<w:pPr><w:pStyle w:val="Normal"/></w:pPr>
<w:r><w:t xml:space="preserve">given as that of the Southern losses, which of course fell upon</w:t></w:r>
</w:p>
<w:p>
<w:pPr><w:pStyle w:val="Normal"/></w:pPr>
<w:r><w:t xml:space="preserve">a much smaller population.  The war expenditure of the Federal</w:t></w:r>
</w:p>
<w:p>
<w:pPr><w:pStyle w:val="Normal"/></w:pPr>
<w:r><w:t xml:space="preserve">government has been estimated at $3,400,000,000; the very large</w:t></w:r>
</w:p>
<w:p>
<w:pPr><w:pStyle w:val="Normal"/></w:pPr>
<w:r><w:t xml:space="preserve">sums devoted to the pensions of widows, disabled men, &amp;c.,</w:t></w:r>
</w:p>
<w:p>
<w:pPr><w:pStyle w:val="Normal"/></w:pPr>
<w:r><w:t xml:space="preserve">are not included in this amount (Dodge).  In 1879 an estimate</w:t></w:r>
</w:p>
<w:p>
<w:pPr><w:pStyle w:val="Normal"/></w:pPr>
<w:r><w:t xml:space="preserve">made of all Federal war expenses up to that date, including</w:t></w:r>
</w:p>
<w:p>
<w:pPr><w:pStyle w:val="Normal"/></w:pPr>
<w:r><w:t xml:space="preserve">pension charges, interest on loans, &amp;c., showed a total of</w:t></w:r>
</w:p>
<w:p>
<w:pPr><w:pStyle w:val="Normal"/></w:pPr>
<w:r><w:t xml:space="preserve">$6,190,000,000 (Dewey, Financial History of the United States.)</w:t></w:r>
</w:p>
<w:p>
<w:pPr><w:pStyle w:val="Normal"/></w:pPr>
<w:r><w:t xml:space="preserve">BIBLIOGRAPHY.--The United States government&apos;s Official</w:t></w:r>
</w:p>
<w:p>
<w:pPr><w:pStyle w:val="Normal"/></w:pPr>
<w:r><w:t xml:space="preserve">Records of the Union and Confederate Armies (70 vols., most</w:t></w:r>
</w:p>
<w:p>
<w:pPr><w:pStyle w:val="Normal"/></w:pPr>
<w:r><w:t xml:space="preserve">of which are divided into two or three &quot;parts,&quot; and atlas,</w:t></w:r>
</w:p>
<w:p>
<w:pPr><w:pStyle w:val="Normal"/></w:pPr>
<w:r><w:t xml:space="preserve">1880-1900) include every important official document of either</w:t></w:r>
</w:p>
<w:p>
<w:pPr><w:pStyle w:val="Normal"/></w:pPr>
<w:r><w:t xml:space="preserve">side that it was possible to obtain in the course of many years&apos;</w:t></w:r>
</w:p>
<w:p>
<w:pPr><w:pStyle w:val="Normal"/></w:pPr>
<w:r><w:t xml:space="preserve">work.  A similar but less voluminous work is the Records of</w:t></w:r>
</w:p>
<w:p>
<w:pPr><w:pStyle w:val="Normal"/></w:pPr>
<w:r><w:t xml:space="preserve">the Union and Confederate Navies (1894- ); The Rebellion</w:t></w:r>
</w:p>
<w:p>
<w:pPr><w:pStyle w:val="Normal"/></w:pPr>
<w:r><w:t xml:space="preserve">Record (1862-1868), edited by F. W. Moore, a contemporary</w:t></w:r>
</w:p>
<w:p>
<w:pPr><w:pStyle w:val="Normal"/></w:pPr>
<w:r><w:t xml:space="preserve">collection, has been superseded to a great extent by the</w:t></w:r>
</w:p>
<w:p>
<w:pPr><w:pStyle w:val="Normal"/></w:pPr>
<w:r><w:t xml:space="preserve">official records, but is still valuable as a collection of</w:t></w:r>
</w:p>
<w:p>
<w:pPr><w:pStyle w:val="Normal"/></w:pPr>
<w:r><w:t xml:space="preserve">unofficial documents of all kinds. Battles and Leaders of</w:t></w:r>
</w:p>
<w:p>
<w:pPr><w:pStyle w:val="Normal"/></w:pPr>
<w:r><w:t xml:space="preserve">the Civil War (1887-1889) is a series of papers, covering</w:t></w:r>
</w:p>
<w:p>
<w:pPr><w:pStyle w:val="Normal"/></w:pPr>
<w:r><w:t xml:space="preserve">the whole war, written by the prominent commanders of both</w:t></w:r>
</w:p>
<w:p>
<w:pPr><w:pStyle w:val="Normal"/></w:pPr>
<w:r><w:t xml:space="preserve">sides.  The sixteen volumes of the Campaigns of the Civil War</w:t></w:r>
</w:p>
<w:p>
<w:pPr><w:pStyle w:val="Normal"/></w:pPr>
<w:r><w:t xml:space="preserve">(1881-1882) and the Navy in the Civil War (1883) (written</w:t></w:r>
</w:p>
<w:p>
<w:pPr><w:pStyle w:val="Normal"/></w:pPr>
<w:r><w:t xml:space="preserve">by various authors) are of very unequal merit, but several</w:t></w:r>
</w:p>
<w:p>
<w:pPr><w:pStyle w:val="Normal"/></w:pPr>
<w:r><w:t xml:space="preserve">of the volumes are indispensable to the study of the Civil</w:t></w:r>
</w:p>
<w:p>
<w:pPr><w:pStyle w:val="Normal"/></w:pPr>
<w:r><w:t xml:space="preserve">War. Of general works the following are the best:- -Comte de</w:t></w:r>
</w:p>
<w:p>
<w:pPr><w:pStyle w:val="Normal"/></w:pPr>
<w:r><w:t xml:space="preserve">Paris, History of the Civil War in America, translated</w:t></w:r>
</w:p>
<w:p>
<w:pPr><w:pStyle w:val="Normal"/></w:pPr>
<w:r><w:t xml:space="preserve">from the French (1875-1888); Horace Greeley, The American</w:t></w:r>
</w:p>
<w:p>
<w:pPr><w:pStyle w:val="Normal"/></w:pPr>
<w:r><w:t xml:space="preserve">Conflict (1864-1866); J. Scheibert, Der Burgerkrieg i.</w:t></w:r>
</w:p>
<w:p>
<w:pPr><w:pStyle w:val="Normal"/></w:pPr>
<w:r><w:t xml:space="preserve">d.  Nordam.  Freistaaten (Berlin, 1874); Wood and Edmonds,</w:t></w:r>
</w:p>
<w:p>
<w:pPr><w:pStyle w:val="Normal"/></w:pPr>
<w:r><w:t xml:space="preserve">Civil War in the United States (London, 1905); T. A. Dodge,</w:t></w:r>
</w:p>
<w:p>
<w:pPr><w:pStyle w:val="Normal"/></w:pPr>
<w:r><w:t xml:space="preserve">Bird&apos;s Eye View of our Civil War (revised edition, 1887);</w:t></w:r>
</w:p>
<w:p>
<w:pPr><w:pStyle w:val="Normal"/></w:pPr>
<w:r><w:t xml:space="preserve">E. A. Pollard, A Southern History of the War (1866).</w:t></w:r>
</w:p>
<w:p>
<w:pPr><w:pStyle w:val="Normal"/></w:pPr>
<w:r><w:t xml:space="preserve">The contemporary accounts mentioned should be studied with</w:t></w:r>
</w:p>
<w:p>
<w:pPr><w:pStyle w:val="Normal"/></w:pPr>
<w:r><w:t xml:space="preserve">caution.  Of critical works, J. C. Ropes, The Story of</w:t></w:r>
</w:p>
<w:p>
<w:pPr><w:pStyle w:val="Normal"/></w:pPr>
<w:r><w:t xml:space="preserve">the Civil War (1894-1898); G. F. R. Henderson, Stonewall</w:t></w:r>
</w:p>
<w:p>
<w:pPr><w:pStyle w:val="Normal"/></w:pPr>
<w:r><w:t xml:space="preserve">Jackson and the American Civil War (London, 1898) and The</w:t></w:r>
</w:p>
<w:p>
<w:pPr><w:pStyle w:val="Normal"/></w:pPr>
<w:r><w:t xml:space="preserve">Science of War, chapters viii. and ix. (London, 1905);</w:t></w:r>
</w:p>
<w:p>
<w:pPr><w:pStyle w:val="Heading1"/></w:pPr>
<w:r><w:t>C. C. Chesney, Essays in Military Biography (1874);</w:t></w:r>
</w:p>
<w:p>
<w:pPr><w:pStyle w:val="Normal"/></w:pPr>
<w:r><w:t xml:space="preserve">Freytag-Loringhoven, Studien uber Kriegfuhrung, 1861-1865</w:t></w:r>
</w:p>
<w:p>
<w:pPr><w:pStyle w:val="Normal"/></w:pPr>
<w:r><w:t xml:space="preserve">(Berlin, 1901-1903), are the most important.  Publications</w:t></w:r>
</w:p>
<w:p>
<w:pPr><w:pStyle w:val="Normal"/></w:pPr>
<w:r><w:t xml:space="preserve">of the Military Historical Society of Massachusetts (vols.</w:t></w:r>
</w:p>
<w:p>
<w:pPr><w:pStyle w:val="Normal"/></w:pPr>
<w:r><w:t xml:space="preserve">i.-x., 1881 onwards) also comprise critical accounts of</w:t></w:r>
</w:p>
<w:p>
<w:pPr><w:pStyle w:val="Normal"/></w:pPr>
<w:r><w:t xml:space="preserve">nearly all the important campaigns.  A critical account of</w:t></w:r>
</w:p>
<w:p>
<w:pPr><w:pStyle w:val="Normal"/></w:pPr>
<w:r><w:t xml:space="preserve">the Virginian operations and the Chickamauga campaign is</w:t></w:r>
</w:p>
<w:p>
<w:pPr><w:pStyle w:val="Normal"/></w:pPr>
<w:r><w:t xml:space="preserve">Gen. E. P. Alexander&apos;s Military Memoirs of a Confederate</w:t></w:r>
</w:p>
<w:p>
<w:pPr><w:pStyle w:val="Normal"/></w:pPr>
<w:r><w:t xml:space="preserve">(1906).  C. R. Cooper, Chronological and Alphabetical Record</w:t></w:r>
</w:p>
<w:p>
<w:pPr><w:pStyle w:val="Normal"/></w:pPr>
<w:r><w:t xml:space="preserve">of the Great Civil War (Milwaukee, 1904) may be mentioned</w:t></w:r>
</w:p>
<w:p>
<w:pPr><w:pStyle w:val="Normal"/></w:pPr>
<w:r><w:t xml:space="preserve">as a work of reference.  A fairly complete bibliography will</w:t></w:r>
</w:p>
<w:p>
<w:pPr><w:pStyle w:val="Normal"/></w:pPr>
<w:r><w:t xml:space="preserve">be found in J. N. Larned, Literature of American History</w:t></w:r>
</w:p>
<w:p>
<w:pPr><w:pStyle w:val="Normal"/></w:pPr>
<w:r><w:t xml:space="preserve">(Boston, 1902), and useful lists in Ropes, op. cit., and</w:t></w:r>
</w:p>
<w:p>
<w:pPr><w:pStyle w:val="Normal"/></w:pPr>
<w:r><w:t xml:space="preserve">in the Cambridge Modern History, vol. vii. p. 812. For</w:t></w:r>
</w:p>
<w:p>
<w:pPr><w:pStyle w:val="Normal"/></w:pPr>
<w:r><w:t xml:space="preserve">biographies, memoirs and general works, see the lists</w:t></w:r>
</w:p>
<w:p>
<w:pPr><w:pStyle w:val="Normal"/></w:pPr>
<w:r><w:t xml:space="preserve">appended to the various biographical articles and to the</w:t></w:r>
</w:p>
<w:p>
<w:pPr><w:pStyle w:val="Normal"/></w:pPr>
<w:r><w:t xml:space="preserve">articles UNITED STATES and CONFEDERATE STATES. (C. F. A.)</w:t></w:r>
</w:p>
<w:p>
<w:pPr><w:pStyle w:val="Normal"/></w:pPr>
<w:r><w:t xml:space="preserve">AMERICAN LAW. The laws of the various states and territories</w:t></w:r>
</w:p>
<w:p>
<w:pPr><w:pStyle w:val="Normal"/></w:pPr>
<w:r><w:t xml:space="preserve">of the United States rest at bottom on the same foundation</w:t></w:r>
</w:p>
<w:p>
<w:pPr><w:pStyle w:val="Normal"/></w:pPr>
<w:r><w:t xml:space="preserve">as those of England, namely, the English common law as it</w:t></w:r>
</w:p>
<w:p>
<w:pPr><w:pStyle w:val="Normal"/></w:pPr>
<w:r><w:t xml:space="preserve">existed at the beginning of the 17th century. (See ENGLISH</w:t></w:r>
</w:p>
<w:p>
<w:pPr><w:pStyle w:val="Normal"/></w:pPr>
<w:r><w:t xml:space="preserve">LAW.) The only exceptions worth noting are to be found in</w:t></w:r>
</w:p>
<w:p>
<w:pPr><w:pStyle w:val="Normal"/></w:pPr>
<w:r><w:t xml:space="preserve">the state of Louisiana, the territory of New Mexico, and</w:t></w:r>
</w:p>
<w:p>
<w:pPr><w:pStyle w:val="Normal"/></w:pPr>
<w:r><w:t xml:space="preserve">the acquisitions following the Spanish war of 1898.  Those</w:t></w:r>
</w:p>
<w:p>
<w:pPr><w:pStyle w:val="Normal"/></w:pPr>
<w:r><w:t xml:space="preserve">derive most of their law from France or Spain, and thus</w:t></w:r>
</w:p>
<w:p>
<w:pPr><w:pStyle w:val="Normal"/></w:pPr>
<w:r><w:t xml:space="preserve">remotely from the principles of Roman jurisprudence.  A part</w:t></w:r>
</w:p>
<w:p>
<w:pPr><w:pStyle w:val="Normal"/></w:pPr>
<w:r><w:t xml:space="preserve">also, but comparatively a small part, of the law of Texas,</w:t></w:r>
</w:p>
<w:p>
<w:pPr><w:pStyle w:val="Normal"/></w:pPr>
<w:r><w:t xml:space="preserve">Missouri, Arizona and the Pacific states comes from similar</w:t></w:r>
</w:p>
<w:p>
<w:pPr><w:pStyle w:val="Normal"/></w:pPr>
<w:r><w:t xml:space="preserve">sources.  The United States as a whole has no common law,</w:t></w:r>
</w:p>
<w:p>
<w:pPr><w:pStyle w:val="Normal"/></w:pPr>
<w:r><w:t xml:space="preserve">except so far as its courts have followed the rules of English</w:t></w:r>
</w:p>
<w:p>
<w:pPr><w:pStyle w:val="Normal"/></w:pPr>
<w:r><w:t xml:space="preserve">common-law procedure in determining their own.  Most of the</w:t></w:r>
</w:p>
<w:p>
<w:pPr><w:pStyle w:val="Normal"/></w:pPr>
<w:r><w:t xml:space="preserve">positive law of the United States comes from the several</w:t></w:r>
</w:p>
<w:p>
<w:pPr><w:pStyle w:val="Normal"/></w:pPr>
<w:r><w:t xml:space="preserve">states.  It is the right of each state to regulate at its</w:t></w:r>
</w:p>
<w:p>
<w:pPr><w:pStyle w:val="Normal"/></w:pPr>
<w:r><w:t xml:space="preserve">pleasure the general relations of persons within its territory</w:t></w:r>
</w:p>
<w:p>
<w:pPr><w:pStyle w:val="Normal"/></w:pPr>
<w:r><w:t xml:space="preserve">to each other, as well as all rights to property subject to its</w:t></w:r>
</w:p>
<w:p>
<w:pPr><w:pStyle w:val="Normal"/></w:pPr>
<w:r><w:t xml:space="preserve">jurisdiction.  Each state has also its own system of adjective</w:t></w:r>
</w:p>
<w:p>
<w:pPr><w:pStyle w:val="Normal"/></w:pPr>
<w:r><w:t xml:space="preserve">law.  The trial courts of the United States of original</w:t></w:r>
</w:p>
<w:p>
<w:pPr><w:pStyle w:val="Normal"/></w:pPr>
<w:r><w:t xml:space="preserve">jurisdiction follow in general the practice of the state</w:t></w:r>
</w:p>
<w:p>
<w:pPr><w:pStyle w:val="Normal"/></w:pPr>
<w:r><w:t xml:space="preserve">in which they sit as to procedure in cases of common-law</w:t></w:r>
</w:p>
<w:p>
<w:pPr><w:pStyle w:val="Normal"/></w:pPr>
<w:r><w:t xml:space="preserve">character.  As to that in equity, or what means the same</w:t></w:r>
</w:p>
<w:p>
<w:pPr><w:pStyle w:val="Normal"/></w:pPr>
<w:r><w:t xml:space="preserve">thing, chancery causes, they follow in general the practice</w:t></w:r>
</w:p>
<w:p>
<w:pPr><w:pStyle w:val="Normal"/></w:pPr>
<w:r><w:t xml:space="preserve">of the English court of chancery as it existed towards the</w:t></w:r>
</w:p>
<w:p>
<w:pPr><w:pStyle w:val="Normal"/></w:pPr>
<w:r><w:t xml:space="preserve">close of the 18th century, when the original Judiciary Act</w:t></w:r>
</w:p>
<w:p>
<w:pPr><w:pStyle w:val="Normal"/></w:pPr>
<w:r><w:t xml:space="preserve">of the United States was adopted.  The public statutes of</w:t></w:r>
</w:p>
<w:p>
<w:pPr><w:pStyle w:val="Normal"/></w:pPr>
<w:r><w:t xml:space="preserve">the United States are to be found in the Revised Statutes</w:t></w:r>
</w:p>
<w:p>
<w:pPr><w:pStyle w:val="Normal"/></w:pPr>
<w:r><w:t xml:space="preserve">of 1873, and in the succeeding volumes of the Statutes at</w:t></w:r>
</w:p>
<w:p>
<w:pPr><w:pStyle w:val="Normal"/></w:pPr>
<w:r><w:t xml:space="preserve">Large, enacted by each Congress.  Those of each state and</w:t></w:r>
</w:p>
<w:p>
<w:pPr><w:pStyle w:val="Normal"/></w:pPr>
<w:r><w:t xml:space="preserve">territory are printed annually or biennially as they are</w:t></w:r>
</w:p>
<w:p>
<w:pPr><w:pStyle w:val="Normal"/></w:pPr>
<w:r><w:t xml:space="preserve">enacted by each legislature, and are commonly revised every</w:t></w:r>
</w:p>
<w:p>
<w:pPr><w:pStyle w:val="Normal"/></w:pPr>
<w:r><w:t xml:space="preserve">fifteen or twenty years, the revision taking the place of</w:t></w:r>
</w:p>
<w:p>
<w:pPr><w:pStyle w:val="Normal"/></w:pPr>
<w:r><w:t xml:space="preserve">all former public statutes, and being entitled Revised</w:t></w:r>
</w:p>
<w:p>
<w:pPr><w:pStyle w:val="Normal"/></w:pPr>
<w:r><w:t xml:space="preserve">Statutes, General Statutes, or Public Laws. The private</w:t></w:r>
</w:p>
<w:p>
<w:pPr><w:pStyle w:val="Normal"/></w:pPr>
<w:r><w:t xml:space="preserve">or special laws of each state, so far as such legislation is</w:t></w:r>
</w:p>
<w:p>
<w:pPr><w:pStyle w:val="Normal"/></w:pPr>
<w:r><w:t xml:space="preserve">permitted by its constitution, are in some states published</w:t></w:r>
</w:p>
<w:p>
<w:pPr><w:pStyle w:val="Normal"/></w:pPr>
<w:r><w:t xml:space="preserve">separately, and made the subject of similar compilations</w:t></w:r>
</w:p>
<w:p>
<w:pPr><w:pStyle w:val="Normal"/></w:pPr>
<w:r><w:t xml:space="preserve">or revisions; in others they are printed with the public</w:t></w:r>
</w:p>
<w:p>
<w:pPr><w:pStyle w:val="Normal"/></w:pPr>
<w:r><w:t xml:space="preserve">session laws.  American courts are often given power by</w:t></w:r>
</w:p>
<w:p>
<w:pPr><w:pStyle w:val="Normal"/></w:pPr>
<w:r><w:t xml:space="preserve">statute to make rules of procedure which have the force of</w:t></w:r>
</w:p>
<w:p>
<w:pPr><w:pStyle w:val="Normal"/></w:pPr>
<w:r><w:t xml:space="preserve">laws.  Municipal subdivisions of a state generally have</w:t></w:r>
</w:p>
<w:p>
<w:pPr><w:pStyle w:val="Normal"/></w:pPr>
<w:r><w:t xml:space="preserve">authority from the legislature to make ordinances or by-laws</w:t></w:r>
</w:p>
<w:p>
<w:pPr><w:pStyle w:val="Normal"/></w:pPr>
<w:r><w:t xml:space="preserve">on certain subjects, having the character of a local law,</w:t></w:r>
</w:p>
<w:p>
<w:pPr><w:pStyle w:val="Normal"/></w:pPr>
<w:r><w:t xml:space="preserve">with appropriate sanctions, commonly by fine or forfeiture.</w:t></w:r>
</w:p>
<w:p>
<w:pPr><w:pStyle w:val="Normal"/></w:pPr>
<w:r><w:t xml:space="preserve">Law in the United States has been greatly affected by the</w:t></w:r>
</w:p>
<w:p>
<w:pPr><w:pStyle w:val="Normal"/></w:pPr>
<w:r><w:t xml:space="preserve">results of the Civil War. During its course (1861-1865) the</w:t></w:r>
</w:p>
<w:p>
<w:pPr><w:pStyle w:val="Normal"/></w:pPr>
<w:r><w:t xml:space="preserve">powers of the president of the United States may be said to</w:t></w:r>
</w:p>
<w:p>
<w:pPr><w:pStyle w:val="Normal"/></w:pPr>
<w:r><w:t xml:space="preserve">have been re-defined by the courts.  It was its first civil</w:t></w:r>
</w:p>
<w:p>
<w:pPr><w:pStyle w:val="Normal"/></w:pPr>
<w:r><w:t xml:space="preserve">war, and thus for the first time the exercise of the military</w:t></w:r>
</w:p>
<w:p>
<w:pPr><w:pStyle w:val="Normal"/></w:pPr>
<w:r><w:t xml:space="preserve">authority of the United States within a state which had not</w:t></w:r>
</w:p>
<w:p>
<w:pPr><w:pStyle w:val="Normal"/></w:pPr>
<w:r><w:t xml:space="preserve">sought its aid became frequent and necessary.  Next followed</w:t></w:r>
</w:p>
<w:p>
<w:pPr><w:pStyle w:val="Normal"/></w:pPr>
<w:r><w:t xml:space="preserve">the amendments of the Constitution of the United States having</w:t></w:r>
</w:p>
<w:p>
<w:pPr><w:pStyle w:val="Normal"/></w:pPr>
<w:r><w:t xml:space="preserve">for their special purpose the securing beyond question of the</w:t></w:r>
</w:p>
<w:p>
<w:pPr><w:pStyle w:val="Normal"/></w:pPr>
<w:r><w:t xml:space="preserve">permanent abolition of slavery and the civil and political</w:t></w:r>
</w:p>
<w:p>
<w:pPr><w:pStyle w:val="Normal"/></w:pPr>
<w:r><w:t xml:space="preserve">rights of the coloured race.  At the outset the Supreme Court</w:t></w:r>
</w:p>
<w:p>
<w:pPr><w:pStyle w:val="Normal"/></w:pPr>
<w:r><w:t xml:space="preserve">of the United States was inclined to treat them as having a very</w:t></w:r>
</w:p>
<w:p>
<w:pPr><w:pStyle w:val="Normal"/></w:pPr>
<w:r><w:t xml:space="preserve">limited operation in other directions.  One of the provisions</w:t></w:r>
</w:p>
<w:p>
<w:pPr><w:pStyle w:val="Normal"/></w:pPr>
<w:r><w:t xml:space="preserve">of the XIVth Amendment is that no state shall deny to any</w:t></w:r>
</w:p>
<w:p>
<w:pPr><w:pStyle w:val="Normal"/></w:pPr>
<w:r><w:t xml:space="preserve">person within its jurisdiction the equal protection of the</w:t></w:r>
</w:p>
<w:p>
<w:pPr><w:pStyle w:val="Normal"/></w:pPr>
<w:r><w:t xml:space="preserve">laws.  The benefit of this guarantee was claimed by the butchers</w:t></w:r>
</w:p>
<w:p>
<w:pPr><w:pStyle w:val="Normal"/></w:pPr>
<w:r><w:t xml:space="preserve">of New Orleans, in contending against a monopoly in respect</w:t></w:r>
</w:p>
<w:p>
<w:pPr><w:pStyle w:val="Normal"/></w:pPr>
<w:r><w:t xml:space="preserve">of the slaughter of cattle granted by the state of Louisiana</w:t></w:r>
</w:p>
<w:p>
<w:pPr><w:pStyle w:val="Normal"/></w:pPr>
<w:r><w:t xml:space="preserve">to a single corporation.  Their suit was dismissed by the</w:t></w:r>
</w:p>
<w:p>
<w:pPr><w:pStyle w:val="Normal"/></w:pPr>
<w:r><w:t xml:space="preserve">Supreme Court in 1873, with the expression of a doubt whether</w:t></w:r>
</w:p>
<w:p>
<w:pPr><w:pStyle w:val="Normal"/></w:pPr>
<w:r><w:t xml:space="preserve">any action of a state not directed by way of discrimination</w:t></w:r>
</w:p>
<w:p>
<w:pPr><w:pStyle w:val="Normal"/></w:pPr>
<w:r><w:t xml:space="preserve">against the negroes as a class, or on account of their race,</w:t></w:r>
</w:p>
<w:p>
<w:pPr><w:pStyle w:val="Normal"/></w:pPr>
<w:r><w:t xml:space="preserve">would ever be held to come within the purview of the provision</w:t></w:r>
</w:p>
<w:p>
<w:pPr><w:pStyle w:val="Normal"/></w:pPr>
<w:r><w:t xml:space="preserve">in question.1 The chief justice and three of his associates</w:t></w:r>
</w:p>
<w:p>
<w:pPr><w:pStyle w:val="Normal"/></w:pPr>
<w:r><w:t xml:space="preserve">dissented from the judgment, holding that the XIVth Amendment</w:t></w:r>
</w:p>
<w:p>
<w:pPr><w:pStyle w:val="Normal"/></w:pPr>
<w:r><w:t xml:space="preserve">did protect the citizens of the United States against the</w:t></w:r>
</w:p>
<w:p>
<w:pPr><w:pStyle w:val="Normal"/></w:pPr>
<w:r><w:t xml:space="preserve">deprivation of their common rights by state legislation.2</w:t></w:r>
</w:p>
<w:p>
<w:pPr><w:pStyle w:val="Normal"/></w:pPr>
<w:r><w:t xml:space="preserve">Public sentiment supported the view of the minority, and it</w:t></w:r>
</w:p>
<w:p>
<w:pPr><w:pStyle w:val="Normal"/></w:pPr>
<w:r><w:t xml:space="preserve">was not long before changes in the personnel of the court,</w:t></w:r>
</w:p>
<w:p>
<w:pPr><w:pStyle w:val="Normal"/></w:pPr>
<w:r><w:t xml:space="preserve">occurring in common course, led it to the same conclusions.  The</w:t></w:r>
</w:p>
<w:p>
<w:pPr><w:pStyle w:val="Normal"/></w:pPr>
<w:r><w:t xml:space="preserve">protection of the XIVth Amendment is now invoked before it more</w:t></w:r>
</w:p>
<w:p>
<w:pPr><w:pStyle w:val="Normal"/></w:pPr>
<w:r><w:t xml:space="preserve">frequently than is that afforded by any other article of the</w:t></w:r>
</w:p>
<w:p>
<w:pPr><w:pStyle w:val="Normal"/></w:pPr>
<w:r><w:t xml:space="preserve">Constitution.  In one of its recent terms twenty-one cases of</w:t></w:r>
</w:p>
<w:p>
<w:pPr><w:pStyle w:val="Normal"/></w:pPr>
<w:r><w:t xml:space="preserve">this nature were decided.3 Very few of them related to the</w:t></w:r>
</w:p>
<w:p>
<w:pPr><w:pStyle w:val="Normal"/></w:pPr>
<w:r><w:t xml:space="preserve">negro.  Since the decision in the Slaughter-House Cases, the</w:t></w:r>
</w:p>
<w:p>
<w:pPr><w:pStyle w:val="Normal"/></w:pPr>
<w:r><w:t xml:space="preserve">controversies as to the constitutional rights of the negro have</w:t></w:r>
</w:p>
<w:p>
<w:pPr><w:pStyle w:val="Normal"/></w:pPr>
<w:r><w:t xml:space="preserve">been comparatively infrequent, but there has been a great and</w:t></w:r>
</w:p>
<w:p>
<w:pPr><w:pStyle w:val="Normal"/></w:pPr>
<w:r><w:t xml:space="preserve">steadily increasing number in all the courts in the country,</w:t></w:r>
</w:p>
<w:p>
<w:pPr><w:pStyle w:val="Normal"/></w:pPr>
<w:r><w:t xml:space="preserve">involving questions of discrimination in favour of or against</w:t></w:r>
</w:p>
<w:p>
<w:pPr><w:pStyle w:val="Normal"/></w:pPr>
<w:r><w:t xml:space="preserve">particular individuals, or of changes affecting the rights</w:t></w:r>
</w:p>
<w:p>
<w:pPr><w:pStyle w:val="Normal"/></w:pPr>
<w:r><w:t xml:space="preserve">of parties in the accustomed forms of judicial procedure.</w:t></w:r>
</w:p>
<w:p>
<w:pPr><w:pStyle w:val="Normal"/></w:pPr>
<w:r><w:t xml:space="preserve">Down to 1868, when this amendment was adopted, it was, as</w:t></w:r>
</w:p>
<w:p>
<w:pPr><w:pStyle w:val="Normal"/></w:pPr>
<w:r><w:t xml:space="preserve">to most matters, for the state alone to settle the civil</w:t></w:r>
</w:p>
<w:p>
<w:pPr><w:pStyle w:val="Normal"/></w:pPr>
<w:r><w:t xml:space="preserve">rights and immunities of those subject to its jurisdiction.</w:t></w:r>
</w:p>
<w:p>
<w:pPr><w:pStyle w:val="Normal"/></w:pPr>
<w:r><w:t xml:space="preserve">If they were to be free from arbitrary arrests, secure in</w:t></w:r>
</w:p>
<w:p>
<w:pPr><w:pStyle w:val="Normal"/></w:pPr>
<w:r><w:t xml:space="preserve">liberty and property, equal in privilege and entitled to an</w:t></w:r>
</w:p>
<w:p>
<w:pPr><w:pStyle w:val="Normal"/></w:pPr>
<w:r><w:t xml:space="preserve">impartial administration, it was because the constitution</w:t></w:r>
</w:p>
<w:p>
<w:pPr><w:pStyle w:val="Normal"/></w:pPr>
<w:r><w:t xml:space="preserve">of the state so declared.  Now they have the guarantee of</w:t></w:r>
</w:p>
<w:p>
<w:pPr><w:pStyle w:val="Normal"/></w:pPr>
<w:r><w:t xml:space="preserve">the United States that the state shall never recede from</w:t></w:r>
</w:p>
<w:p>
<w:pPr><w:pStyle w:val="Normal"/></w:pPr>
<w:r><w:t xml:space="preserve">these obligations.  This has readjusted and reset the</w:t></w:r>
</w:p>
<w:p>
<w:pPr><w:pStyle w:val="Normal"/></w:pPr>
<w:r><w:t xml:space="preserve">whole system of the American law of personal rights.4</w:t></w:r>
</w:p>
<w:p>
<w:pPr><w:pStyle w:val="Normal"/></w:pPr>
<w:r><w:t xml:space="preserve">The Supreme Court of the United States has used the great</w:t></w:r>
</w:p>
<w:p>
<w:pPr><w:pStyle w:val="Normal"/></w:pPr>
<w:r><w:t xml:space="preserve">power thus confided to it with moderation.  Its general</w:t></w:r>
</w:p>
<w:p>
<w:pPr><w:pStyle w:val="Normal"/></w:pPr>
<w:r><w:t xml:space="preserve">rules of decision are well stated in these words of Mr</w:t></w:r>
</w:p>
<w:p>
<w:pPr><w:pStyle w:val="Normal"/></w:pPr>
<w:r><w:t xml:space="preserve">Justice Brown, found in one of its recent opinions:--</w:t></w:r>
</w:p>
<w:p>
<w:pPr><w:pStyle w:val="Normal"/></w:pPr>
<w:r><w:t xml:space="preserve">&quot;In passing upon the validity of legislation, attacked</w:t></w:r>
</w:p>
<w:p>
<w:pPr><w:pStyle w:val="Normal"/></w:pPr>
<w:r><w:t xml:space="preserve">as contrary to the XIVth Amendment, it has not failed to</w:t></w:r>
</w:p>
<w:p>
<w:pPr><w:pStyle w:val="Normal"/></w:pPr>
<w:r><w:t xml:space="preserve">recognize the fact that the law is, to a certain extent, a</w:t></w:r>
</w:p>
<w:p>
<w:pPr><w:pStyle w:val="Normal"/></w:pPr>
<w:r><w:t xml:space="preserve">progressive science; that in some of the states methods of</w:t></w:r>
</w:p>
<w:p>
<w:pPr><w:pStyle w:val="Normal"/></w:pPr>
<w:r><w:t xml:space="preserve">procedure, which at the time the constitution was adopted</w:t></w:r>
</w:p>
<w:p>
<w:pPr><w:pStyle w:val="Normal"/></w:pPr>
<w:r><w:t xml:space="preserve">were deemed essential to the protection and safety of the</w:t></w:r>
</w:p>
<w:p>
<w:pPr><w:pStyle w:val="Normal"/></w:pPr>
<w:r><w:t xml:space="preserve">people or to the liberty of the citizen, have been found to</w:t></w:r>
</w:p>
<w:p>
<w:pPr><w:pStyle w:val="Normal"/></w:pPr>
<w:r><w:t xml:space="preserve">be no longer necessary; that restrictions which had formerly</w:t></w:r>
</w:p>
<w:p>
<w:pPr><w:pStyle w:val="Normal"/></w:pPr>
<w:r><w:t xml:space="preserve">been laid upon the conduct of individuals, or of classes of</w:t></w:r>
</w:p>
<w:p>
<w:pPr><w:pStyle w:val="Normal"/></w:pPr>
<w:r><w:t xml:space="preserve">individuals, had proved detrimental to their interests;</w:t></w:r>
</w:p>
<w:p>
<w:pPr><w:pStyle w:val="Normal"/></w:pPr>
<w:r><w:t xml:space="preserve">while, upon the other hand, certain other classes of persons,</w:t></w:r>
</w:p>
<w:p>
<w:pPr><w:pStyle w:val="Normal"/></w:pPr>
<w:r><w:t xml:space="preserve">particularly those engaged in dangerous or unhealthful</w:t></w:r>
</w:p>
<w:p>
<w:pPr><w:pStyle w:val="Normal"/></w:pPr>
<w:r><w:t xml:space="preserve">employments, have been found to be in need of additional</w:t></w:r>
</w:p>
<w:p>
<w:pPr><w:pStyle w:val="Normal"/></w:pPr>
<w:r><w:t xml:space="preserve">protection.  Even before the adoption of the constitution,</w:t></w:r>
</w:p>
<w:p>
<w:pPr><w:pStyle w:val="Normal"/></w:pPr>
<w:r><w:t xml:space="preserve">much had been done toward mitigating the severity of the</w:t></w:r>
</w:p>
<w:p>
<w:pPr><w:pStyle w:val="Normal"/></w:pPr>
<w:r><w:t xml:space="preserve">common law, particularly in the administration of its criminal</w:t></w:r>
</w:p>
<w:p>
<w:pPr><w:pStyle w:val="Normal"/></w:pPr>
<w:r><w:t xml:space="preserve">branch.  The number of capital crimes, in this country at</w:t></w:r>
</w:p>
<w:p>
<w:pPr><w:pStyle w:val="Normal"/></w:pPr>
<w:r><w:t xml:space="preserve">least, had been largely decreased.  Trial by ordeal and by</w:t></w:r>
</w:p>
<w:p>
<w:pPr><w:pStyle w:val="Normal"/></w:pPr>
<w:r><w:t xml:space="preserve">battle had never existed here, and had fallen into disuse in</w:t></w:r>
</w:p>
<w:p>
<w:pPr><w:pStyle w:val="Normal"/></w:pPr>
<w:r><w:t xml:space="preserve">England.  The earlier practice of the common law, which denied</w:t></w:r>
</w:p>
<w:p>
<w:pPr><w:pStyle w:val="Normal"/></w:pPr>
<w:r><w:t xml:space="preserve">the benefit of witnesses to a person accused of felony, had</w:t></w:r>
</w:p>
<w:p>
<w:pPr><w:pStyle w:val="Normal"/></w:pPr>
<w:r><w:t xml:space="preserve">been abolished by statute, though, so far as it deprived</w:t></w:r>
</w:p>
<w:p>
<w:pPr><w:pStyle w:val="Normal"/></w:pPr>
<w:r><w:t xml:space="preserve">him of the assistance of counsel and compulsory process for</w:t></w:r>
</w:p>
<w:p>
<w:pPr><w:pStyle w:val="Normal"/></w:pPr>
<w:r><w:t xml:space="preserve">the attendance of his witnesses, it had not been changed in</w:t></w:r>
</w:p>
<w:p>
<w:pPr><w:pStyle w:val="Normal"/></w:pPr>
<w:r><w:t xml:space="preserve">England.  But, to the credit of her American colonies, let it be</w:t></w:r>
</w:p>
<w:p>
<w:pPr><w:pStyle w:val="Normal"/></w:pPr>
<w:r><w:t xml:space="preserve">said that so oppressive a doctrine had never obtained a foothold</w:t></w:r>
</w:p>
<w:p>
<w:pPr><w:pStyle w:val="Normal"/></w:pPr>
<w:r><w:t xml:space="preserve">there.  The 19th century originated legal reforms of no less</w:t></w:r>
</w:p>
<w:p>
<w:pPr><w:pStyle w:val="Normal"/></w:pPr>
<w:r><w:t xml:space="preserve">importance.  The whole fabric of special pleading, once</w:t></w:r>
</w:p>
<w:p>
<w:pPr><w:pStyle w:val="Normal"/></w:pPr>
<w:r><w:t xml:space="preserve">thought to be necessary to the elimination of the real issue</w:t></w:r>
</w:p>
<w:p>
<w:pPr><w:pStyle w:val="Normal"/></w:pPr>
<w:r><w:t xml:space="preserve">between the parties, has crumbled to pieces.  The ancient</w:t></w:r>
</w:p>
<w:p>
<w:pPr><w:pStyle w:val="Normal"/></w:pPr>
<w:r><w:t xml:space="preserve">tenures of real estate have been largely swept away, and land</w:t></w:r>
</w:p>
<w:p>
<w:pPr><w:pStyle w:val="Normal"/></w:pPr>
<w:r><w:t xml:space="preserve">is now transferred almost as easily and cheaply as personal</w:t></w:r>
</w:p>
<w:p>
<w:pPr><w:pStyle w:val="Normal"/></w:pPr>
<w:r><w:t xml:space="preserve">property.  Married women have been emancipated from the</w:t></w:r>
</w:p>
<w:p>
<w:pPr><w:pStyle w:val="Normal"/></w:pPr>
<w:r><w:t xml:space="preserve">control of their husbands, and placed upon a practical equality</w:t></w:r>
</w:p>
<w:p>
<w:pPr><w:pStyle w:val="Normal"/></w:pPr>
<w:r><w:t xml:space="preserve">with them with respect to the acquisition, possession and</w:t></w:r>
</w:p>
<w:p>
<w:pPr><w:pStyle w:val="Normal"/></w:pPr>
<w:r><w:t xml:space="preserve">transmission of property.  Imprisonment for debt has been</w:t></w:r>
</w:p>
<w:p>
<w:pPr><w:pStyle w:val="Normal"/></w:pPr>
<w:r><w:t xml:space="preserve">abolished.  Exemptions from executions have been largely</w:t></w:r>
</w:p>
<w:p>
<w:pPr><w:pStyle w:val="Normal"/></w:pPr>
<w:r><w:t xml:space="preserve">added to, and in most of the states homesteads are rendered</w:t></w:r>
</w:p>
<w:p>
<w:pPr><w:pStyle w:val="Normal"/></w:pPr>
<w:r><w:t xml:space="preserve">incapable of seizure and sale upon forced process.  Witnesses</w:t></w:r>
</w:p>
<w:p>
<w:pPr><w:pStyle w:val="Normal"/></w:pPr>
<w:r><w:t xml:space="preserve">are no longer incompetent by reason of interest, even though</w:t></w:r>
</w:p>
<w:p>
<w:pPr><w:pStyle w:val="Normal"/></w:pPr>
<w:r><w:t xml:space="preserve">they be parties to the litigation.  Indictments have been</w:t></w:r>
</w:p>
<w:p>
<w:pPr><w:pStyle w:val="Normal"/></w:pPr>
<w:r><w:t xml:space="preserve">simplified, and an indictment for the most serious of crimes</w:t></w:r>
</w:p>
<w:p>
<w:pPr><w:pStyle w:val="Normal"/></w:pPr>
<w:r><w:t xml:space="preserve">is now the simplest of all. in several of the states grand</w:t></w:r>
</w:p>
<w:p>
<w:pPr><w:pStyle w:val="Normal"/></w:pPr>
<w:r><w:t xml:space="preserve">juries, formerly the only safeguard against a malicious</w:t></w:r>
</w:p>
<w:p>
<w:pPr><w:pStyle w:val="Normal"/></w:pPr>
<w:r><w:t xml:space="preserve">prosecution, have been largely abolished, and in others the</w:t></w:r>
</w:p>
<w:p>
<w:pPr><w:pStyle w:val="Normal"/></w:pPr>
<w:r><w:t xml:space="preserve">rule of unanimity, so far as applied to civil cases, has</w:t></w:r>
</w:p>
<w:p>
<w:pPr><w:pStyle w:val="Normal"/></w:pPr>
<w:r><w:t xml:space="preserve">given way to verdicts rendered by a three-fourths majority.</w:t></w:r>
</w:p>
<w:p>
<w:pPr><w:pStyle w:val="Normal"/></w:pPr>
<w:r><w:t xml:space="preserve">This case does not call for an expression of opinion as to</w:t></w:r>
</w:p>
<w:p>
<w:pPr><w:pStyle w:val="Normal"/></w:pPr>
<w:r><w:t xml:space="preserve">the wisdom of these changes, or their validity under the</w:t></w:r>
</w:p>
<w:p>
<w:pPr><w:pStyle w:val="Normal"/></w:pPr>
<w:r><w:t xml:space="preserve">XIVth Amendment, although the substitution of prosecution by</w:t></w:r>
</w:p>
<w:p>
<w:pPr><w:pStyle w:val="Normal"/></w:pPr>
<w:r><w:t xml:space="preserve">information in lieu of indictment was recognized as valid in</w:t></w:r>
</w:p>
<w:p>
<w:pPr><w:pStyle w:val="Normal"/></w:pPr>
<w:r><w:t xml:space="preserve">Hurtado v. California, 110 U.S. 516. They are mentioned</w:t></w:r>
</w:p>
<w:p>
<w:pPr><w:pStyle w:val="Normal"/></w:pPr>
<w:r><w:t xml:space="preserve">only for the purpose of calling attention to the probability</w:t></w:r>
</w:p>
<w:p>
<w:pPr><w:pStyle w:val="Normal"/></w:pPr>
<w:r><w:t xml:space="preserve">that other changes of no less importance may be made in the</w:t></w:r>
</w:p>
<w:p>
<w:pPr><w:pStyle w:val="Normal"/></w:pPr>
<w:r><w:t xml:space="preserve">future, and that while the cardinal principles of justice are</w:t></w:r>
</w:p>
<w:p>
<w:pPr><w:pStyle w:val="Normal"/></w:pPr>
<w:r><w:t xml:space="preserve">immutable, the methods by which justice is administered are</w:t></w:r>
</w:p>
<w:p>
<w:pPr><w:pStyle w:val="Normal"/></w:pPr>
<w:r><w:t xml:space="preserve">subject to constant fluctuation, and that the Constitution</w:t></w:r>
</w:p>
<w:p>
<w:pPr><w:pStyle w:val="Normal"/></w:pPr>
<w:r><w:t xml:space="preserve">of the United States, which is necessarily and to a large</w:t></w:r>
</w:p>
<w:p>
<w:pPr><w:pStyle w:val="Normal"/></w:pPr>
<w:r><w:t xml:space="preserve">extent inflexible and exceedingly difficult of amendment,</w:t></w:r>
</w:p>
<w:p>
<w:pPr><w:pStyle w:val="Normal"/></w:pPr>
<w:r><w:t xml:space="preserve">should not be so construed as to deprive the states of the</w:t></w:r>
</w:p>
<w:p>
<w:pPr><w:pStyle w:val="Normal"/></w:pPr>
<w:r><w:t xml:space="preserve">power to amend their laws so as to make them conform to the</w:t></w:r>
</w:p>
<w:p>
<w:pPr><w:pStyle w:val="Normal"/></w:pPr>
<w:r><w:t xml:space="preserve">wishes of the citizens as they may deem best for the public</w:t></w:r>
</w:p>
<w:p>
<w:pPr><w:pStyle w:val="Normal"/></w:pPr>
<w:r><w:t xml:space="preserve">welfare without bringing them into conflict with the supreme</w:t></w:r>
</w:p>
<w:p>
<w:pPr><w:pStyle w:val="Normal"/></w:pPr>
<w:r><w:t xml:space="preserve">law of the land.  Of course, it is impossible to forecast</w:t></w:r>
</w:p>
<w:p>
<w:pPr><w:pStyle w:val="Normal"/></w:pPr>
<w:r><w:t xml:space="preserve">the character or extent of these changes, but in view of the</w:t></w:r>
</w:p>
<w:p>
<w:pPr><w:pStyle w:val="Normal"/></w:pPr>
<w:r><w:t xml:space="preserve">fact that from the day Magna Carta was signed to the present</w:t></w:r>
</w:p>
<w:p>
<w:pPr><w:pStyle w:val="Normal"/></w:pPr>
<w:r><w:t xml:space="preserve">moment, amendments to the structure of the law have been made</w:t></w:r>
</w:p>
<w:p>
<w:pPr><w:pStyle w:val="Normal"/></w:pPr>
<w:r><w:t xml:space="preserve">with increasing frequency, it is impossible to suppose that</w:t></w:r>
</w:p>
<w:p>
<w:pPr><w:pStyle w:val="Normal"/></w:pPr>
<w:r><w:t xml:space="preserve">they will not continue, and the law be forced to adapt itself</w:t></w:r>
</w:p>
<w:p>
<w:pPr><w:pStyle w:val="Normal"/></w:pPr>
<w:r><w:t xml:space="preserve">to new conditions of society, and particularly to the new</w:t></w:r>
</w:p>
<w:p>
<w:pPr><w:pStyle w:val="Normal"/></w:pPr>
<w:r><w:t xml:space="preserve">relations between employers and employees, as they arise.&quot;5</w:t></w:r>
</w:p>
<w:p>
<w:pPr><w:pStyle w:val="Normal"/></w:pPr>
<w:r><w:t xml:space="preserve">The Civil War deeply affected also the course of judicial</w:t></w:r>
</w:p>
<w:p>
<w:pPr><w:pStyle w:val="Normal"/></w:pPr>
<w:r><w:t xml:space="preserve">decision in the southern states.  During its progress it</w:t></w:r>
</w:p>
<w:p>
<w:pPr><w:pStyle w:val="Normal"/></w:pPr>
<w:r><w:t xml:space="preserve">engaged the attention of a very large part of the population,</w:t></w:r>
</w:p>
<w:p>
<w:pPr><w:pStyle w:val="Normal"/></w:pPr>
<w:r><w:t xml:space="preserve">and the business of the courts necessarily was greatly</w:t></w:r>
</w:p>
<w:p>
<w:pPr><w:pStyle w:val="Normal"/></w:pPr>
<w:r><w:t xml:space="preserve">lessened.  Upon its close political power passed, for a</w:t></w:r>
</w:p>
<w:p>
<w:pPr><w:pStyle w:val="Normal"/></w:pPr>
<w:r><w:t xml:space="preserve">time, into new hands, and many from the northern and western</w:t></w:r>
</w:p>
<w:p>
<w:pPr><w:pStyle w:val="Normal"/></w:pPr>
<w:r><w:t xml:space="preserve">states took prominent positions both at the bar and on the</w:t></w:r>
</w:p>
<w:p>
<w:pPr><w:pStyle w:val="Normal"/></w:pPr>
<w:r><w:t xml:space="preserve">bench.  The very basis of society was changed by the abolition of</w:t></w:r>
</w:p>
<w:p>
<w:pPr><w:pStyle w:val="Normal"/></w:pPr>
<w:r><w:t xml:space="preserve">slavery.  New state constitutions were adopted, inspired or</w:t></w:r>
</w:p>
<w:p>
<w:pPr><w:pStyle w:val="Normal"/></w:pPr>
<w:r><w:t xml:space="preserve">dictated by the ideas of the North.  The transport system</w:t></w:r>
</w:p>
<w:p>
<w:pPr><w:pStyle w:val="Normal"/></w:pPr>
<w:r><w:t xml:space="preserve">was greatly extended, and commerce by land took to a large</w:t></w:r>
</w:p>
<w:p>
<w:pPr><w:pStyle w:val="Normal"/></w:pPr>
<w:r><w:t xml:space="preserve">extent the place formerly filled by commerce by navigation.</w:t></w:r>
</w:p>
<w:p>
<w:pPr><w:pStyle w:val="Normal"/></w:pPr>
<w:r><w:t xml:space="preserve">Manufacturing came in to supplement agricultural industry.</w:t></w:r>
</w:p>
<w:p>
<w:pPr><w:pStyle w:val="Normal"/></w:pPr>
<w:r><w:t xml:space="preserve">Cities grew and assumed a new importance.  Northern capital</w:t></w:r>
</w:p>
<w:p>
<w:pPr><w:pStyle w:val="Normal"/></w:pPr>
<w:r><w:t xml:space="preserve">sought investment in every state.  It was a natural consequence</w:t></w:r>
</w:p>
<w:p>
<w:pPr><w:pStyle w:val="Normal"/></w:pPr>
<w:r><w:t xml:space="preserve">of all these things that the jurisprudence of the South should</w:t></w:r>
</w:p>
<w:p>
<w:pPr><w:pStyle w:val="Normal"/></w:pPr>
<w:r><w:t xml:space="preserve">come to lose whatever had been its distinctive character.  The</w:t></w:r>
</w:p>
<w:p>
<w:pPr><w:pStyle w:val="Normal"/></w:pPr>
<w:r><w:t xml:space="preserve">unification of the nation inevitably tended to unify its law.</w:t></w:r>
</w:p>
<w:p>
<w:pPr><w:pStyle w:val="Normal"/></w:pPr>
<w:r><w:t xml:space="preserve">The Bar Association.</w:t></w:r>
</w:p>
<w:p>
<w:pPr><w:pStyle w:val="Normal"/></w:pPr>
<w:r><w:t xml:space="preserve">An important contribution towards this result was made by the</w:t></w:r>
</w:p>
<w:p>
<w:pPr><w:pStyle w:val="Normal"/></w:pPr>
<w:r><w:t xml:space="preserve">organization of the American Bar Association in 1878.  Of the</w:t></w:r>
</w:p>
<w:p>
<w:pPr><w:pStyle w:val="Normal"/></w:pPr>
<w:r><w:t xml:space="preserve">fourteen signers of the call for the preliminary conference, five</w:t></w:r>
</w:p>
<w:p>
<w:pPr><w:pStyle w:val="Normal"/></w:pPr>
<w:r><w:t xml:space="preserve">were from the southern states.  Its declared objects were &quot;to</w:t></w:r>
</w:p>
<w:p>
<w:pPr><w:pStyle w:val="Normal"/></w:pPr>
<w:r><w:t xml:space="preserve">advance the science of jurisprudence, promote the administration</w:t></w:r>
</w:p>
<w:p>
<w:pPr><w:pStyle w:val="Normal"/></w:pPr>
<w:r><w:t xml:space="preserve">of justice and uniformity of legislation throughout the Union,</w:t></w:r>
</w:p>
<w:p>
<w:pPr><w:pStyle w:val="Normal"/></w:pPr>
<w:r><w:t xml:space="preserve">uphold the honour of the profession of the law, and encourage</w:t></w:r>
</w:p>
<w:p>
<w:pPr><w:pStyle w:val="Normal"/></w:pPr>
<w:r><w:t xml:space="preserve">cordial intercourse among the members of the American Bar.&quot;</w:t></w:r>
</w:p>
<w:p>
<w:pPr><w:pStyle w:val="Normal"/></w:pPr>
<w:r><w:t xml:space="preserve">Law schools.</w:t></w:r>
</w:p>
<w:p>
<w:pPr><w:pStyle w:val="Normal"/></w:pPr>
<w:r><w:t xml:space="preserve">Largely through its efforts, the American law schools have</w:t></w:r>
</w:p>
<w:p>
<w:pPr><w:pStyle w:val="Normal"/></w:pPr>
<w:r><w:t xml:space="preserve">taken on a new character.  The course of study has been both</w:t></w:r>
</w:p>
<w:p>
<w:pPr><w:pStyle w:val="Normal"/></w:pPr>
<w:r><w:t xml:space="preserve">broadened and prolonged, and the attendance of the students</w:t></w:r>
</w:p>
<w:p>
<w:pPr><w:pStyle w:val="Normal"/></w:pPr>
<w:r><w:t xml:space="preserve">has increased in full proportion to the additions to the</w:t></w:r>
</w:p>
<w:p>
<w:pPr><w:pStyle w:val="Normal"/></w:pPr>
<w:r><w:t xml:space="preserve">facilities for obtaining a more thorough training in the</w:t></w:r>
</w:p>
<w:p>
<w:pPr><w:pStyle w:val="Normal"/></w:pPr>
<w:r><w:t xml:space="preserve">profession.  When the association commenced its labours,</w:t></w:r>
</w:p>
<w:p>
<w:pPr><w:pStyle w:val="Normal"/></w:pPr>
<w:r><w:t xml:space="preserve">those studying law in the offices of practising lawyers</w:t></w:r>
</w:p>
<w:p>
<w:pPr><w:pStyle w:val="Normal"/></w:pPr>
<w:r><w:t xml:space="preserve">very largely outnumbered those found in the law school.</w:t></w:r>
</w:p>
<w:p>
<w:pPr><w:pStyle w:val="Normal"/></w:pPr>
<w:r><w:t xml:space="preserve">The proportion is now reversed.  During the year 1900, for</w:t></w:r>
</w:p>
<w:p>
<w:pPr><w:pStyle w:val="Normal"/></w:pPr>
<w:r><w:t xml:space="preserve">instance, the state board of law examiners in New York</w:t></w:r>
</w:p>
<w:p>
<w:pPr><w:pStyle w:val="Normal"/></w:pPr>
<w:r><w:t xml:space="preserve">examined 899 applicants for admission to the bar of that</w:t></w:r>
</w:p>
<w:p>
<w:pPr><w:pStyle w:val="Normal"/></w:pPr>
<w:r><w:t xml:space="preserve">state.  Of these all but 157 had received their legal education</w:t></w:r>
</w:p>
<w:p>
<w:pPr><w:pStyle w:val="Normal"/></w:pPr>
<w:r><w:t xml:space="preserve">wholly or in part at a law school.6 In 1878 few law schools</w:t></w:r>
</w:p>
<w:p>
<w:pPr><w:pStyle w:val="Normal"/></w:pPr>
<w:r><w:t xml:space="preserve">had adopted any system of examination for those desiring</w:t></w:r>
</w:p>
<w:p>
<w:pPr><w:pStyle w:val="Normal"/></w:pPr>
<w:r><w:t xml:space="preserve">to enter them.  Such a requirement for admission is now</w:t></w:r>
</w:p>
<w:p>
<w:pPr><w:pStyle w:val="Normal"/></w:pPr>
<w:r><w:t xml:space="preserve">common.  In only one school were opportunities then afforded</w:t></w:r>
</w:p>
<w:p>
<w:pPr><w:pStyle w:val="Normal"/></w:pPr>
<w:r><w:t xml:space="preserve">for advanced studies by graduate students with a view to</w:t></w:r>
</w:p>
<w:p>
<w:pPr><w:pStyle w:val="Normal"/></w:pPr>
<w:r><w:t xml:space="preserve">attaining the doctorate in law.  Courses of this description</w:t></w:r>
</w:p>
<w:p>
<w:pPr><w:pStyle w:val="Normal"/></w:pPr>
<w:r><w:t xml:space="preserve">are now offered by several of the university schools.</w:t></w:r>
</w:p>
<w:p>
<w:pPr><w:pStyle w:val="Normal"/></w:pPr>
<w:r><w:t xml:space="preserve">Reports.</w:t></w:r>
</w:p>
<w:p>
<w:pPr><w:pStyle w:val="Normal"/></w:pPr>
<w:r><w:t xml:space="preserve">A more scientific character has thus been taken on by American</w:t></w:r>
</w:p>
<w:p>
<w:pPr><w:pStyle w:val="Normal"/></w:pPr>
<w:r><w:t xml:space="preserve">law.  It is noticeable both in legal text-books and in the</w:t></w:r>
</w:p>
<w:p>
<w:pPr><w:pStyle w:val="Normal"/></w:pPr>
<w:r><w:t xml:space="preserve">opinions of the courts of last resort.  In the latter precision</w:t></w:r>
</w:p>
<w:p>
<w:pPr><w:pStyle w:val="Normal"/></w:pPr>
<w:r><w:t xml:space="preserve">of statement and method in discussion are invited by the</w:t></w:r>
</w:p>
<w:p>
<w:pPr><w:pStyle w:val="Normal"/></w:pPr>
<w:r><w:t xml:space="preserve">uniform practice of preparing written opinions.  The original</w:t></w:r>
</w:p>
<w:p>
<w:pPr><w:pStyle w:val="Normal"/></w:pPr>
<w:r><w:t xml:space="preserve">practice of reading these from the bench has been generally</w:t></w:r>
</w:p>
<w:p>
<w:pPr><w:pStyle w:val="Normal"/></w:pPr>
<w:r><w:t xml:space="preserve">discontinued.  They are simply handed down to an official</w:t></w:r>
</w:p>
<w:p>
<w:pPr><w:pStyle w:val="Normal"/></w:pPr>
<w:r><w:t xml:space="preserve">reporter for publication, which is done at the expense of</w:t></w:r>
</w:p>
<w:p>
<w:pPr><w:pStyle w:val="Normal"/></w:pPr>
<w:r><w:t xml:space="preserve">the government by which the court is commissioned.  With</w:t></w:r>
</w:p>
<w:p>
<w:pPr><w:pStyle w:val="Normal"/></w:pPr>
<w:r><w:t xml:space="preserve">the judicial reports of each state the lawyers of that state</w:t></w:r>
</w:p>
<w:p>
<w:pPr><w:pStyle w:val="Normal"/></w:pPr>
<w:r><w:t xml:space="preserve">are required to be familiar; and this is rendered possible,</w:t></w:r>
</w:p>
<w:p>
<w:pPr><w:pStyle w:val="Normal"/></w:pPr>
<w:r><w:t xml:space="preserve">even in the larger ones, by state digests, prepared every</w:t></w:r>
</w:p>
<w:p>
<w:pPr><w:pStyle w:val="Normal"/></w:pPr>
<w:r><w:t xml:space="preserve">few years by private enterprise.  Outside of the state their</w:t></w:r>
</w:p>
<w:p>
<w:pPr><w:pStyle w:val="Normal"/></w:pPr>
<w:r><w:t xml:space="preserve">circulation is comparatively limited, though sets of all are</w:t></w:r>
</w:p>
<w:p>
<w:pPr><w:pStyle w:val="Normal"/></w:pPr>
<w:r><w:t xml:space="preserve">generally found in each state library, and of many in the Bar</w:t></w:r>
</w:p>
<w:p>
<w:pPr><w:pStyle w:val="Normal"/></w:pPr>
<w:r><w:t xml:space="preserve">libraries at the principal county seats.  The private libraries</w:t></w:r>
</w:p>
<w:p>
<w:pPr><w:pStyle w:val="Normal"/></w:pPr>
<w:r><w:t xml:space="preserve">of lawyers in large practice also often contain the reports</w:t></w:r>
</w:p>
<w:p>
<w:pPr><w:pStyle w:val="Normal"/></w:pPr>
<w:r><w:t xml:space="preserve">of adjoining and sometimes those of distant states as well</w:t></w:r>
</w:p>
<w:p>
<w:pPr><w:pStyle w:val="Normal"/></w:pPr>
<w:r><w:t xml:space="preserve">as those of their own and of the Supreme Court of the United</w:t></w:r>
</w:p>
<w:p>
<w:pPr><w:pStyle w:val="Normal"/></w:pPr>
<w:r><w:t xml:space="preserve">States.  The decisions of one state, however, are now best known</w:t></w:r>
</w:p>
<w:p>
<w:pPr><w:pStyle w:val="Normal"/></w:pPr>
<w:r><w:t xml:space="preserve">in others through unofficial reports.  One large publishing</w:t></w:r>
</w:p>
<w:p>
<w:pPr><w:pStyle w:val="Normal"/></w:pPr>
<w:r><w:t xml:space="preserve">concern prints every case decided in the courts of last</w:t></w:r>
</w:p>
<w:p>
<w:pPr><w:pStyle w:val="Normal"/></w:pPr>
<w:r><w:t xml:space="preserve">resort.  They are published in several distinct series, those,</w:t></w:r>
</w:p>
<w:p>
<w:pPr><w:pStyle w:val="Normal"/></w:pPr>
<w:r><w:t xml:space="preserve">for instance, coming from the northern Atlantic states being</w:t></w:r>
</w:p>
<w:p>
<w:pPr><w:pStyle w:val="Normal"/></w:pPr>
<w:r><w:t xml:space="preserve">grouped together as the Atlantic Reporter, and those from the</w:t></w:r>
</w:p>
<w:p>
<w:pPr><w:pStyle w:val="Normal"/></w:pPr>
<w:r><w:t xml:space="preserve">states on the Pacific coast as the Pacific Reporter.  Another</w:t></w:r>
</w:p>
<w:p>
<w:pPr><w:pStyle w:val="Normal"/></w:pPr>
<w:r><w:t xml:space="preserve">house has published a compilation professing to give all the</w:t></w:r>
</w:p>
<w:p>
<w:pPr><w:pStyle w:val="Normal"/></w:pPr>
<w:r><w:t xml:space="preserve">leading American cases from the first to the latest volume of</w:t></w:r>
</w:p>
<w:p>
<w:pPr><w:pStyle w:val="Normal"/></w:pPr>
<w:r><w:t xml:space="preserve">reports.  Another makes a similar selection from the decisions</w:t></w:r>
</w:p>
<w:p>
<w:pPr><w:pStyle w:val="Normal"/></w:pPr>
<w:r><w:t xml:space="preserve">of each year as they appear, and publishes them with critical</w:t></w:r>
</w:p>
<w:p>
<w:pPr><w:pStyle w:val="Normal"/></w:pPr>
<w:r><w:t xml:space="preserve">annotations.  There are also annual digests of a national</w:t></w:r>
</w:p>
<w:p>
<w:pPr><w:pStyle w:val="Normal"/></w:pPr>
<w:r><w:t xml:space="preserve">character, comprehending substantially all American cases and</w:t></w:r>
</w:p>
<w:p>
<w:pPr><w:pStyle w:val="Normal"/></w:pPr>
<w:r><w:t xml:space="preserve">the leading English cases reported during the preceding year.</w:t></w:r>
</w:p>
<w:p>
<w:pPr><w:pStyle w:val="Normal"/></w:pPr>
<w:r><w:t xml:space="preserve">These various publications are widely diffused, and so the</w:t></w:r>
</w:p>
<w:p>
<w:pPr><w:pStyle w:val="Normal"/></w:pPr>
<w:r><w:t xml:space="preserve">American lawyer is enabled, in preparing for the argument</w:t></w:r>
</w:p>
<w:p>
<w:pPr><w:pStyle w:val="Normal"/></w:pPr>
<w:r><w:t xml:space="preserve">of any cause involving questions of difficulty, to inform</w:t></w:r>
</w:p>
<w:p>
<w:pPr><w:pStyle w:val="Normal"/></w:pPr>
<w:r><w:t xml:space="preserve">himself with ease of such precedents as may apply.  A</w:t></w:r>
</w:p>
<w:p>
<w:pPr><w:pStyle w:val="Normal"/></w:pPr>
<w:r><w:t xml:space="preserve">court in Texas is thus as likely to be made acquainted</w:t></w:r>
</w:p>
<w:p>
<w:pPr><w:pStyle w:val="Normal"/></w:pPr>
<w:r><w:t xml:space="preserve">with a decision in Maine or Oregon as with one in any</w:t></w:r>
</w:p>
<w:p>
<w:pPr><w:pStyle w:val="Normal"/></w:pPr>
<w:r><w:t xml:space="preserve">nearer state, and in the development of American law all</w:t></w:r>
</w:p>
<w:p>
<w:pPr><w:pStyle w:val="Normal"/></w:pPr>
<w:r><w:t xml:space="preserve">American courts are brought in close touch with each other.</w:t></w:r>
</w:p>
<w:p>
<w:pPr><w:pStyle w:val="Normal"/></w:pPr>
<w:r><w:t xml:space="preserve">English and American law.</w:t></w:r>
</w:p>
<w:p>
<w:pPr><w:pStyle w:val="Normal"/></w:pPr>
<w:r><w:t xml:space="preserve">This tendency has been advanced by the steady growth of</w:t></w:r>
</w:p>
<w:p>
<w:pPr><w:pStyle w:val="Normal"/></w:pPr>
<w:r><w:t xml:space="preserve">codification.  That is beginning also to serve to bring English</w:t></w:r>
</w:p>
<w:p>
<w:pPr><w:pStyle w:val="Normal"/></w:pPr>
<w:r><w:t xml:space="preserve">and American law nearer together in certain directions.</w:t></w:r>
</w:p>
<w:p>
<w:pPr><w:pStyle w:val="Normal"/></w:pPr>
<w:r><w:t xml:space="preserve">A Negotiable Instruments Act, promoted by the American Bar</w:t></w:r>
</w:p>
<w:p>
<w:pPr><w:pStyle w:val="Normal"/></w:pPr>
<w:r><w:t xml:space="preserve">Association and prepared by a conference of commissioners</w:t></w:r>
</w:p>
<w:p>
<w:pPr><w:pStyle w:val="Normal"/></w:pPr>
<w:r><w:t xml:space="preserve">appointed by the several states to concert measures of uniform</w:t></w:r>
</w:p>
<w:p>
<w:pPr><w:pStyle w:val="Normal"/></w:pPr>
<w:r><w:t xml:space="preserve">legislation, has been adopted in the leading commercial</w:t></w:r>
</w:p>
<w:p>
<w:pPr><w:pStyle w:val="Normal"/></w:pPr>
<w:r><w:t xml:space="preserve">states.  It is founded upon the English &quot;Chalmers&apos;s Act,&quot;</w:t></w:r>
</w:p>
<w:p>
<w:pPr><w:pStyle w:val="Normal"/></w:pPr>
<w:r><w:t xml:space="preserve">and the English decisions giving a construction to that</w:t></w:r>
</w:p>
<w:p>
<w:pPr><w:pStyle w:val="Normal"/></w:pPr>
<w:r><w:t xml:space="preserve">have become of special importance.  The acts of parliament</w:t></w:r>
</w:p>
<w:p>
<w:pPr><w:pStyle w:val="Normal"/></w:pPr>
<w:r><w:t xml:space="preserve">known as the Employers&apos; Liability Act and the Railway and</w:t></w:r>
</w:p>
<w:p>
<w:pPr><w:pStyle w:val="Normal"/></w:pPr>
<w:r><w:t xml:space="preserve">Canal Traffic Act have also served as the foundation of</w:t></w:r>
</w:p>
<w:p>
<w:pPr><w:pStyle w:val="Normal"/></w:pPr>
<w:r><w:t xml:space="preserve">similar legislation in the United States, and with the same</w:t></w:r>
</w:p>
<w:p>
<w:pPr><w:pStyle w:val="Normal"/></w:pPr>
<w:r><w:t xml:space="preserve">result.  Modern English decisions are, however, cited less</w:t></w:r>
</w:p>
<w:p>
<w:pPr><w:pStyle w:val="Normal"/></w:pPr>
<w:r><w:t xml:space="preserve">frequently in American courts than the older ones; and the older</w:t></w:r>
</w:p>
<w:p>
<w:pPr><w:pStyle w:val="Normal"/></w:pPr>
<w:r><w:t xml:space="preserve">ones themselves are cited far less frequently than they once</w:t></w:r>
</w:p>
<w:p>
<w:pPr><w:pStyle w:val="Normal"/></w:pPr>
<w:r><w:t xml:space="preserve">were.  In the development of their legislation, England</w:t></w:r>
</w:p>
<w:p>
<w:pPr><w:pStyle w:val="Normal"/></w:pPr>
<w:r><w:t xml:space="preserve">and the United States have been in general harmony so far</w:t></w:r>
</w:p>
<w:p>
<w:pPr><w:pStyle w:val="Normal"/></w:pPr>
<w:r><w:t xml:space="preserve">as matters of large commercial importance are concerned,</w:t></w:r>
</w:p>
<w:p>
<w:pPr><w:pStyle w:val="Normal"/></w:pPr>
<w:r><w:t xml:space="preserve">but as to many others they have since 1850 drawn apart.</w:t></w:r>
</w:p>
<w:p>
<w:pPr><w:pStyle w:val="Normal"/></w:pPr>
<w:r><w:t xml:space="preserve">Statutes, at one point or another, probably now affect the</w:t></w:r>
</w:p>
<w:p>
<w:pPr><w:pStyle w:val="Normal"/></w:pPr>
<w:r><w:t xml:space="preserve">disposition of most litigated causes in both countries.  Their</w:t></w:r>
</w:p>
<w:p>
<w:pPr><w:pStyle w:val="Normal"/></w:pPr>
<w:r><w:t xml:space="preserve">application, therefore, must serve more or less to obscure</w:t></w:r>
</w:p>
<w:p>
<w:pPr><w:pStyle w:val="Normal"/></w:pPr>
<w:r><w:t xml:space="preserve">or displace general principles, which might otherwise control</w:t></w:r>
</w:p>
<w:p>
<w:pPr><w:pStyle w:val="Normal"/></w:pPr>
<w:r><w:t xml:space="preserve">the decision and make it a source of authority in foreign</w:t></w:r>
</w:p>
<w:p>
<w:pPr><w:pStyle w:val="Normal"/></w:pPr>
<w:r><w:t xml:space="preserve">tribunals.  The movement of the judicial mind in the United</w:t></w:r>
</w:p>
<w:p>
<w:pPr><w:pStyle w:val="Normal"/></w:pPr>
<w:r><w:t xml:space="preserve">States, and also its modes and form of expression, have a</w:t></w:r>
</w:p>
<w:p>
<w:pPr><w:pStyle w:val="Normal"/></w:pPr>
<w:r><w:t xml:space="preserve">different measure from that which characterizes what comes</w:t></w:r>
</w:p>
<w:p>
<w:pPr><w:pStyle w:val="Normal"/></w:pPr>
<w:r><w:t xml:space="preserve">from the English bench.  American judges are so numerous,</w:t></w:r>
</w:p>
<w:p>
<w:pPr><w:pStyle w:val="Normal"/></w:pPr>
<w:r><w:t xml:space="preserve">and (except as to the Supreme Court of the United States) the</w:t></w:r>
</w:p>
<w:p>
<w:pPr><w:pStyle w:val="Normal"/></w:pPr>
<w:r><w:t xml:space="preserve">extent of their territorial jurisdiction so limited, that they</w:t></w:r>
</w:p>
<w:p>
<w:pPr><w:pStyle w:val="Normal"/></w:pPr>
<w:r><w:t xml:space="preserve">can give more time to the careful investigation of points of</w:t></w:r>
</w:p>
<w:p>
<w:pPr><w:pStyle w:val="Normal"/></w:pPr>
<w:r><w:t xml:space="preserve">difficulty, and also to the methodical statement of their</w:t></w:r>
</w:p>
<w:p>
<w:pPr><w:pStyle w:val="Normal"/></w:pPr>
<w:r><w:t xml:space="preserve">conclusions.  Whatever they decide upon appeal being announced</w:t></w:r>
</w:p>
<w:p>
<w:pPr><w:pStyle w:val="Normal"/></w:pPr>
<w:r><w:t xml:space="preserve">in writing, and destined to form part of the permanent</w:t></w:r>
</w:p>
<w:p>
<w:pPr><w:pStyle w:val="Normal"/></w:pPr>
<w:r><w:t xml:space="preserve">published records of the state, they are expected and</w:t></w:r>
</w:p>
<w:p>
<w:pPr><w:pStyle w:val="Normal"/></w:pPr>
<w:r><w:t xml:space="preserve">endeavour to study their words and frame opinions not only</w:t></w:r>
</w:p>
<w:p>
<w:pPr><w:pStyle w:val="Normal"/></w:pPr>
<w:r><w:t xml:space="preserve">sound in law but unobjectionable as literary compositions.</w:t></w:r>
</w:p>
<w:p>
<w:pPr><w:pStyle w:val="Normal"/></w:pPr>
<w:r><w:t xml:space="preserve">The choice of American judges, particularly in the older</w:t></w:r>
</w:p>
<w:p>
<w:pPr><w:pStyle w:val="Normal"/></w:pPr>
<w:r><w:t xml:space="preserve">states, has been not uninfluenced by these considerations.</w:t></w:r>
</w:p>
<w:p>
<w:pPr><w:pStyle w:val="Normal"/></w:pPr>
<w:r><w:t xml:space="preserve">Marshall, Bushrod Washington, Story, Kent, Ware, Bradley, and</w:t></w:r>
</w:p>
<w:p>
<w:pPr><w:pStyle w:val="Normal"/></w:pPr>
<w:r><w:t xml:space="preserve">many of their contemporaries and successors, were put upon the</w:t></w:r>
</w:p>
<w:p>
<w:pPr><w:pStyle w:val="Normal"/></w:pPr>
<w:r><w:t xml:space="preserve">bench in part because of their legal scholarship and their power</w:t></w:r>
</w:p>
<w:p>
<w:pPr><w:pStyle w:val="Normal"/></w:pPr>
<w:r><w:t xml:space="preserve">of felicitous expression.  Hence the better American opinions</w:t></w:r>
</w:p>
<w:p>
<w:pPr><w:pStyle w:val="Normal"/></w:pPr>
<w:r><w:t xml:space="preserve">have more elaboration and finish than many which come from the</w:t></w:r>
</w:p>
<w:p>
<w:pPr><w:pStyle w:val="Normal"/></w:pPr>
<w:r><w:t xml:space="preserve">English courts, and are more readily accepted as authorities</w:t></w:r>
</w:p>
<w:p>
<w:pPr><w:pStyle w:val="Normal"/></w:pPr>
<w:r><w:t xml:space="preserve">by American judges.  But the great multiplication of reports</w:t></w:r>
</w:p>
<w:p>
<w:pPr><w:pStyle w:val="Normal"/></w:pPr>
<w:r><w:t xml:space="preserve">has so widened the field of citation as in effect to reduce</w:t></w:r>
</w:p>
<w:p>
<w:pPr><w:pStyle w:val="Normal"/></w:pPr>
<w:r><w:t xml:space="preserve">it.  Each of the larger and older states has now a settled</w:t></w:r>
</w:p>
<w:p>
<w:pPr><w:pStyle w:val="Normal"/></w:pPr>
<w:r><w:t xml:space="preserve">body of legal precedent of its own, beyond which its judges</w:t></w:r>
</w:p>
<w:p>
<w:pPr><w:pStyle w:val="Normal"/></w:pPr>
<w:r><w:t xml:space="preserve">in most cases do not look.  If a prior decision applies, it is</w:t></w:r>
</w:p>
<w:p>
<w:pPr><w:pStyle w:val="Normal"/></w:pPr>
<w:r><w:t xml:space="preserve">controlling.  If there be none, they prefer to decide the</w:t></w:r>
</w:p>
<w:p>
<w:pPr><w:pStyle w:val="Normal"/></w:pPr>
<w:r><w:t xml:space="preserve">case, if possible, on principle rather than authority.</w:t></w:r>
</w:p>
<w:p>
<w:pPr><w:pStyle w:val="Normal"/></w:pPr>
<w:r><w:t xml:space="preserve">While the state courts are bound to accept the construction</w:t></w:r>
</w:p>
<w:p>
<w:pPr><w:pStyle w:val="Normal"/></w:pPr>
<w:r><w:t xml:space="preserve">placed upon the Constitution and laws of the United States by</w:t></w:r>
</w:p>
<w:p>
<w:pPr><w:pStyle w:val="Normal"/></w:pPr>
<w:r><w:t xml:space="preserve">the Supreme Court of the United States, and thus uniformity of</w:t></w:r>
</w:p>
<w:p>
<w:pPr><w:pStyle w:val="Normal"/></w:pPr>
<w:r><w:t xml:space="preserve">decision is secured in that regard, the courts of the United</w:t></w:r>
</w:p>
<w:p>
<w:pPr><w:pStyle w:val="Normal"/></w:pPr>
<w:r><w:t xml:space="preserve">States, on the other hand are as a rule obliged to accept in</w:t></w:r>
</w:p>
<w:p>
<w:pPr><w:pStyle w:val="Normal"/></w:pPr>
<w:r><w:t xml:space="preserve">all other particulars the construction placed by the courts</w:t></w:r>
</w:p>
<w:p>
<w:pPr><w:pStyle w:val="Normal"/></w:pPr>
<w:r><w:t xml:space="preserve">of each state on its constitution and laws.  This often gives</w:t></w:r>
</w:p>
<w:p>
<w:pPr><w:pStyle w:val="Normal"/></w:pPr>
<w:r><w:t xml:space="preserve">a seeming incongruity to the decisions of the Supreme Court</w:t></w:r>
</w:p>
<w:p>
<w:pPr><w:pStyle w:val="Normal"/></w:pPr>
<w:r><w:t xml:space="preserve">of the United States.  A point in a case coming up from one</w:t></w:r>
</w:p>
<w:p>
<w:pPr><w:pStyle w:val="Normal"/></w:pPr>
<w:r><w:t xml:space="preserve">judicial circuit may be determined in a way wholly different</w:t></w:r>
</w:p>
<w:p>
<w:pPr><w:pStyle w:val="Normal"/></w:pPr>
<w:r><w:t xml:space="preserve">from that followed in a previous judgment in a cause turning</w:t></w:r>
</w:p>
<w:p>
<w:pPr><w:pStyle w:val="Normal"/></w:pPr>
<w:r><w:t xml:space="preserve">upon the same point, but appealed from another circuit,</w:t></w:r>
</w:p>
<w:p>
<w:pPr><w:pStyle w:val="Normal"/></w:pPr>
<w:r><w:t xml:space="preserve">because of a departure from the common law in one state which</w:t></w:r>
</w:p>
<w:p>
<w:pPr><w:pStyle w:val="Normal"/></w:pPr>
<w:r><w:t xml:space="preserve">has not been made in another.  In view of this, a doctrine</w:t></w:r>
</w:p>
<w:p>
<w:pPr><w:pStyle w:val="Normal"/></w:pPr>
<w:r><w:t xml:space="preserve">originally proposed by Mr Justice Story in 18427 has not</w:t></w:r>
</w:p>
<w:p>
<w:pPr><w:pStyle w:val="Normal"/></w:pPr>
<w:r><w:t xml:space="preserve">been infrequently invoked of late years, which rests upon the</w:t></w:r>
</w:p>
<w:p>
<w:pPr><w:pStyle w:val="Normal"/></w:pPr>
<w:r><w:t xml:space="preserve">assumed existence of a distinctive federal jurisprudence of</w:t></w:r>
</w:p>
<w:p>
<w:pPr><w:pStyle w:val="Normal"/></w:pPr>
<w:r><w:t xml:space="preserve">paramount authority as to certain matters of general concern,</w:t></w:r>
</w:p>
<w:p>
<w:pPr><w:pStyle w:val="Normal"/></w:pPr>
<w:r><w:t xml:space="preserve">as for example those intimately affecting commerce between</w:t></w:r>
</w:p>
<w:p>
<w:pPr><w:pStyle w:val="Normal"/></w:pPr>
<w:r><w:t xml:space="preserve">the states or with foreign nations.  The consequence is that</w:t></w:r>
</w:p>
<w:p>
<w:pPr><w:pStyle w:val="Normal"/></w:pPr>
<w:r><w:t xml:space="preserve">a case involving such questions may be differently adjudged,</w:t></w:r>
</w:p>
<w:p>
<w:pPr><w:pStyle w:val="Normal"/></w:pPr>
<w:r><w:t xml:space="preserve">according as it is brought in a state or in a federal court.8</w:t></w:r>
</w:p>
<w:p>
<w:pPr><w:pStyle w:val="Normal"/></w:pPr>
<w:r><w:t xml:space="preserve">The divergences now most noticeable between English</w:t></w:r>
</w:p>
<w:p>
<w:pPr><w:pStyle w:val="Normal"/></w:pPr>
<w:r><w:t xml:space="preserve">and American law are in respect of public control over</w:t></w:r>
</w:p>
<w:p>
<w:pPr><w:pStyle w:val="Normal"/></w:pPr>
<w:r><w:t xml:space="preserve">personal liberty and private property, criminal procedure</w:t></w:r>
</w:p>
<w:p>
<w:pPr><w:pStyle w:val="Normal"/></w:pPr>
<w:r><w:t xml:space="preserve">and the scope of the powers of municipal corporations.</w:t></w:r>
</w:p>
<w:p>
<w:pPr><w:pStyle w:val="Normal"/></w:pPr>
<w:r><w:t xml:space="preserve">Under the constitutional provision that no one shall be</w:t></w:r>
</w:p>
<w:p>
<w:pPr><w:pStyle w:val="Normal"/></w:pPr>
<w:r><w:t xml:space="preserve">deprived of life, liberty or property without due process</w:t></w:r>
</w:p>
<w:p>
<w:pPr><w:pStyle w:val="Normal"/></w:pPr>
<w:r><w:t xml:space="preserve">of law, American courts frequently declare void statutes</w:t></w:r>
</w:p>
<w:p>
<w:pPr><w:pStyle w:val="Normal"/></w:pPr>
<w:r><w:t xml:space="preserve">which in England would be within the acknowledged powers of</w:t></w:r>
</w:p>
<w:p>
<w:pPr><w:pStyle w:val="Normal"/></w:pPr>
<w:r><w:t xml:space="preserve">parliament.  These provisions are liberally expounded in</w:t></w:r>
</w:p>
<w:p>
<w:pPr><w:pStyle w:val="Normal"/></w:pPr>
<w:r><w:t xml:space="preserve">favour of the individual, and liberty is held to include</w:t></w:r>
</w:p>
<w:p>
<w:pPr><w:pStyle w:val="Normal"/></w:pPr>
<w:r><w:t xml:space="preserve">liberty of contract as well as of person.  Criminal procedure</w:t></w:r>
</w:p>
<w:p>
<w:pPr><w:pStyle w:val="Normal"/></w:pPr>
<w:r><w:t xml:space="preserve">is hedged about with more refinements and safeguards to the</w:t></w:r>
</w:p>
<w:p>
<w:pPr><w:pStyle w:val="Normal"/></w:pPr>
<w:r><w:t xml:space="preserve">accused than are found in England, and on the other hand,</w:t></w:r>
</w:p>
<w:p>
<w:pPr><w:pStyle w:val="Normal"/></w:pPr>
<w:r><w:t xml:space="preserve">prosecutions are more certain to follow the offence, because</w:t></w:r>
</w:p>
<w:p>
<w:pPr><w:pStyle w:val="Normal"/></w:pPr>
<w:r><w:t xml:space="preserve">they are universally brought by a public officer at public</w:t></w:r>
</w:p>
<w:p>
<w:pPr><w:pStyle w:val="Normal"/></w:pPr>
<w:r><w:t xml:space="preserve">expense.  The artificiality of the proceedings is fostered by</w:t></w:r>
</w:p>
<w:p>
<w:pPr><w:pStyle w:val="Normal"/></w:pPr>
<w:r><w:t xml:space="preserve">a general right of appeal on points of law to the court of last</w:t></w:r>
</w:p>
<w:p>
<w:pPr><w:pStyle w:val="Normal"/></w:pPr>
<w:r><w:t xml:space="preserve">resort.  It is in criminal causes involving questions of</w:t></w:r>
</w:p>
<w:p>
<w:pPr><w:pStyle w:val="Normal"/></w:pPr>
<w:r><w:t xml:space="preserve">common-law liability and procedure9 that English law-books</w:t></w:r>
</w:p>
<w:p>
<w:pPr><w:pStyle w:val="Normal"/></w:pPr>
<w:r><w:t xml:space="preserve">and reports are now most frequently cited.  American municipal</w:t></w:r>
</w:p>
<w:p>
<w:pPr><w:pStyle w:val="Normal"/></w:pPr>
<w:r><w:t xml:space="preserve">corporations are confined within much narrower limits than</w:t></w:r>
</w:p>
<w:p>
<w:pPr><w:pStyle w:val="Normal"/></w:pPr>
<w:r><w:t xml:space="preserve">those of England, and their powers more strictly construed.</w:t></w:r>
</w:p>
<w:p>
<w:pPr><w:pStyle w:val="Normal"/></w:pPr>
<w:r><w:t xml:space="preserve">Trial by jury.</w:t></w:r>
</w:p>
<w:p>
<w:pPr><w:pStyle w:val="Normal"/></w:pPr>
<w:r><w:t xml:space="preserve">Trial by jury in civil causes seems to be declining in public</w:t></w:r>
</w:p>
<w:p>
<w:pPr><w:pStyle w:val="Normal"/></w:pPr>
<w:r><w:t xml:space="preserve">esteem.  The expenses necessarily incident to it are</w:t></w:r>
</w:p>
<w:p>
<w:pPr><w:pStyle w:val="Normal"/></w:pPr>
<w:r><w:t xml:space="preserve">naturally increasing, and the delays are greater also from a</w:t></w:r>
</w:p>
<w:p>
<w:pPr><w:pStyle w:val="Normal"/></w:pPr>
<w:r><w:t xml:space="preserve">general tendency, especially in cities, where most judicial</w:t></w:r>
</w:p>
<w:p>
<w:pPr><w:pStyle w:val="Normal"/></w:pPr>
<w:r><w:t xml:space="preserve">business is transacted, to reduce the number of hours a</w:t></w:r>
</w:p>
<w:p>
<w:pPr><w:pStyle w:val="Normal"/></w:pPr>
<w:r><w:t xml:space="preserve">day during which the court is in session.  The requirement</w:t></w:r>
</w:p>
<w:p>
<w:pPr><w:pStyle w:val="Normal"/></w:pPr>
<w:r><w:t xml:space="preserve">of unanimity is dispensed with in a few states, and it has</w:t></w:r>
</w:p>
<w:p>
<w:pPr><w:pStyle w:val="Normal"/></w:pPr>
<w:r><w:t xml:space="preserve">been thus left without what many deem one of its essential</w:t></w:r>
</w:p>
<w:p>
<w:pPr><w:pStyle w:val="Normal"/></w:pPr>
<w:r><w:t xml:space="preserve">features.  The judge interposes his authority to direct</w:t></w:r>
</w:p>
<w:p>
<w:pPr><w:pStyle w:val="Normal"/></w:pPr>
<w:r><w:t xml:space="preserve">and expedite the progress of the trial less frequently and</w:t></w:r>
</w:p>
<w:p>
<w:pPr><w:pStyle w:val="Normal"/></w:pPr>
<w:r><w:t xml:space="preserve">less peremptorily than in England.  A jury is waived more</w:t></w:r>
</w:p>
<w:p>
<w:pPr><w:pStyle w:val="Normal"/></w:pPr>
<w:r><w:t xml:space="preserve">often than formerly, and there is a growing conviction that,</w:t></w:r>
</w:p>
<w:p>
<w:pPr><w:pStyle w:val="Normal"/></w:pPr>
<w:r><w:t xml:space="preserve">with a capable and independent judiciary, justice can be</w:t></w:r>
</w:p>
<w:p>
<w:pPr><w:pStyle w:val="Normal"/></w:pPr>
<w:r><w:t xml:space="preserve">looked for more confidently from one man than from thirteen.</w:t></w:r>
</w:p>
<w:p>
<w:pPr><w:pStyle w:val="Normal"/></w:pPr>
<w:r><w:t xml:space="preserve">The United States entered on the work of simplifying the forms</w:t></w:r>
</w:p>
<w:p>
<w:pPr><w:pStyle w:val="Normal"/></w:pPr>
<w:r><w:t xml:space="preserve">of pleading earlier than England, but has not carried it so</w:t></w:r>
</w:p>
<w:p>
<w:pPr><w:pStyle w:val="Normal"/></w:pPr>
<w:r><w:t xml:space="preserve">far.  Demurrers have not been abandoned, and in some states</w:t></w:r>
</w:p>
<w:p>
<w:pPr><w:pStyle w:val="Normal"/></w:pPr>
<w:r><w:t xml:space="preserve">little has been done except to replace one system of formality</w:t></w:r>
</w:p>
<w:p>
<w:pPr><w:pStyle w:val="Normal"/></w:pPr>
<w:r><w:t xml:space="preserve">by another hardly less rigid.  The general plan has been</w:t></w:r>
</w:p>
<w:p>
<w:pPr><w:pStyle w:val="Normal"/></w:pPr>
<w:r><w:t xml:space="preserve">to codify the laws of pleading by statute.  In a few states</w:t></w:r>
</w:p>
<w:p>
<w:pPr><w:pStyle w:val="Normal"/></w:pPr>
<w:r><w:t xml:space="preserve">they have proceeded more nearly in accordance with the</w:t></w:r>
</w:p>
<w:p>
<w:pPr><w:pStyle w:val="Normal"/></w:pPr>
<w:r><w:t xml:space="preserve">principles of the English Judicatare Act, and left details</w:t></w:r>
</w:p>
<w:p>
<w:pPr><w:pStyle w:val="Normal"/></w:pPr>
<w:r><w:t xml:space="preserve">to be worked out by the judges, through rules of court.10</w:t></w:r>
</w:p>
<w:p>
<w:pPr><w:pStyle w:val="Normal"/></w:pPr>
<w:r><w:t xml:space="preserve">The legislature and the courts.</w:t></w:r>
</w:p>
<w:p>
<w:pPr><w:pStyle w:val="Normal"/></w:pPr>
<w:r><w:t xml:space="preserve">Most of the state constitutions assume that the powers of</w:t></w:r>
</w:p>
<w:p>
<w:pPr><w:pStyle w:val="Normal"/></w:pPr>
<w:r><w:t xml:space="preserve">government can be divided into three distinct departments,</w:t></w:r>
</w:p>
<w:p>
<w:pPr><w:pStyle w:val="Normal"/></w:pPr>
<w:r><w:t xml:space="preserve">executive, legislative and judicial; and direct such a</w:t></w:r>
</w:p>
<w:p>
<w:pPr><w:pStyle w:val="Normal"/></w:pPr>
<w:r><w:t xml:space="preserve">distribution.  In thus ignoring the administrative functions</w:t></w:r>
</w:p>
<w:p>
<w:pPr><w:pStyle w:val="Normal"/></w:pPr>
<w:r><w:t xml:space="preserve">of the state, they have left a difficult question for the</w:t></w:r>
</w:p>
<w:p>
<w:pPr><w:pStyle w:val="Normal"/></w:pPr>
<w:r><w:t xml:space="preserve">courts, upon which the legislature often seeks in part to cast</w:t></w:r>
</w:p>
<w:p>
<w:pPr><w:pStyle w:val="Normal"/></w:pPr>
<w:r><w:t xml:space="preserve">them.  The general tendency has been to construe, in such</w:t></w:r>
</w:p>
<w:p>
<w:pPr><w:pStyle w:val="Normal"/></w:pPr>
<w:r><w:t xml:space="preserve">circumstances, the judicial power broadly, and hold that it</w:t></w:r>
</w:p>
<w:p>
<w:pPr><w:pStyle w:val="Normal"/></w:pPr>
<w:r><w:t xml:space="preserve">may thus be extended over much which is rather to be called</w:t></w:r>
</w:p>
<w:p>
<w:pPr><w:pStyle w:val="Normal"/></w:pPr>
<w:r><w:t xml:space="preserve">quasi-judicial.11 A distinction is taken between entrusting</w:t></w:r>
</w:p>
<w:p>
<w:pPr><w:pStyle w:val="Normal"/></w:pPr>
<w:r><w:t xml:space="preserve">jurisdiction of this character to the courts, and imposing</w:t></w:r>
</w:p>
<w:p>
<w:pPr><w:pStyle w:val="Normal"/></w:pPr>
<w:r><w:t xml:space="preserve">it upon them.  Where the statute can be construed as simply</w:t></w:r>
</w:p>
<w:p>
<w:pPr><w:pStyle w:val="Normal"/></w:pPr>
<w:r><w:t xml:space="preserve">permissive, the authority may be exercised as a matter of</w:t></w:r>
</w:p>
<w:p>
<w:pPr><w:pStyle w:val="Normal"/></w:pPr>
<w:r><w:t xml:space="preserve">grace, when it would be peremptorily declined, were the meaning</w:t></w:r>
</w:p>
<w:p>
<w:pPr><w:pStyle w:val="Normal"/></w:pPr>
<w:r><w:t xml:space="preserve">of the legislature that it must be accepted.12 The courts,</w:t></w:r>
</w:p>
<w:p>
<w:pPr><w:pStyle w:val="Normal"/></w:pPr>
<w:r><w:t xml:space="preserve">for similar reasons, have generally declined (in the absence</w:t></w:r>
</w:p>
<w:p>
<w:pPr><w:pStyle w:val="Normal"/></w:pPr>
<w:r><w:t xml:space="preserve">of any constitutional requirement to that effect) to advise the</w:t></w:r>
</w:p>
<w:p>
<w:pPr><w:pStyle w:val="Normal"/></w:pPr>
<w:r><w:t xml:space="preserve">legislature, at its request, whether a proposed statute, if</w:t></w:r>
</w:p>
<w:p>
<w:pPr><w:pStyle w:val="Normal"/></w:pPr>
<w:r><w:t xml:space="preserve">enacted, would be valid.  While its validity, were it to be</w:t></w:r>
</w:p>
<w:p>
<w:pPr><w:pStyle w:val="Normal"/></w:pPr>
<w:r><w:t xml:space="preserve">enacted, might become the subject of a judicial decision, it</w:t></w:r>
</w:p>
<w:p>
<w:pPr><w:pStyle w:val="Normal"/></w:pPr>
<w:r><w:t xml:space="preserve">is thought for that reason, if for no other, to be improper to</w:t></w:r>
</w:p>
<w:p>
<w:pPr><w:pStyle w:val="Normal"/></w:pPr>
<w:r><w:t xml:space="preserve">prejudge the point, without a hearing of parties interested.  The</w:t></w:r>
</w:p>
<w:p>
<w:pPr><w:pStyle w:val="Normal"/></w:pPr>
<w:r><w:t xml:space="preserve">constitutions of several states provide for such a proceeding,</w:t></w:r>
</w:p>
<w:p>
<w:pPr><w:pStyle w:val="Normal"/></w:pPr>
<w:r><w:t xml:space="preserve">and in these the Supreme Court is not infrequently called upon</w:t></w:r>
</w:p>
<w:p>
<w:pPr><w:pStyle w:val="Normal"/></w:pPr>
<w:r><w:t xml:space="preserve">in this way, and gives responses which are always considered</w:t></w:r>
</w:p>
<w:p>
<w:pPr><w:pStyle w:val="Normal"/></w:pPr>
<w:r><w:t xml:space="preserve">decisive of legislative action, but would not be treated as</w:t></w:r>
</w:p>
<w:p>
<w:pPr><w:pStyle w:val="Normal"/></w:pPr>
<w:r><w:t xml:space="preserve">conclusive in any subsequent litigation that might arise.</w:t></w:r>
</w:p>
<w:p>
<w:pPr><w:pStyle w:val="Normal"/></w:pPr>
<w:r><w:t xml:space="preserve">Police power of states.</w:t></w:r>
</w:p>
<w:p>
<w:pPr><w:pStyle w:val="Normal"/></w:pPr>
<w:r><w:t xml:space="preserve">The general trend of opinion in the Supreme Court of the United</w:t></w:r>
</w:p>
<w:p>
<w:pPr><w:pStyle w:val="Normal"/></w:pPr>
<w:r><w:t xml:space="preserve">States since 1870, upon questions other than those arising</w:t></w:r>
</w:p>
<w:p>
<w:pPr><w:pStyle w:val="Normal"/></w:pPr>
<w:r><w:t xml:space="preserve">under the XIVth Amendment, has been towards recognizing the</w:t></w:r>
</w:p>
<w:p>
<w:pPr><w:pStyle w:val="Normal"/></w:pPr>
<w:r><w:t xml:space="preserve">police power of the several states as entitled to a broad</w:t></w:r>
</w:p>
<w:p>
<w:pPr><w:pStyle w:val="Normal"/></w:pPr>
<w:r><w:t xml:space="preserve">scope.  Even, for instance, in such a matter as the regulation</w:t></w:r>
</w:p>
<w:p>
<w:pPr><w:pStyle w:val="Normal"/></w:pPr>
<w:r><w:t xml:space="preserve">of commerce between different states, it has been upheld as</w:t></w:r>
</w:p>
<w:p>
<w:pPr><w:pStyle w:val="Normal"/></w:pPr>
<w:r><w:t xml:space="preserve">justifying a prohibition against running any goods trains</w:t></w:r>
</w:p>
<w:p>
<w:pPr><w:pStyle w:val="Normal"/></w:pPr>
<w:r><w:t xml:space="preserve">on a Sunday, and a requirement that all railway cars must</w:t></w:r>
</w:p>
<w:p>
<w:pPr><w:pStyle w:val="Normal"/></w:pPr>
<w:r><w:t xml:space="preserve">be heated by steam.13 In the &quot;Granger Cases,&quot;14 the</w:t></w:r>
</w:p>
<w:p>
<w:pPr><w:pStyle w:val="Normal"/></w:pPr>
<w:r><w:t xml:space="preserve">right of the state to fix the rate of charges for the use</w:t></w:r>
</w:p>
<w:p>
<w:pPr><w:pStyle w:val="Normal"/></w:pPr>
<w:r><w:t xml:space="preserve">of a grain elevator for railway purposes, and for general</w:t></w:r>
</w:p>
<w:p>
<w:pPr><w:pStyle w:val="Normal"/></w:pPr>
<w:r><w:t xml:space="preserve">railway services of transportation, was supported, and</w:t></w:r>
</w:p>
<w:p>
<w:pPr><w:pStyle w:val="Normal"/></w:pPr>
<w:r><w:t xml:space="preserve">although the second of these was afterwards overruled,15 the</w:t></w:r>
</w:p>
<w:p>
<w:pPr><w:pStyle w:val="Normal"/></w:pPr>
<w:r><w:t xml:space="preserve">principle upon which it was originally rested was not shaken.</w:t></w:r>
</w:p>
<w:p>
<w:pPr><w:pStyle w:val="Normal"/></w:pPr>
<w:r><w:t xml:space="preserve">On the other hand, reasons of practical convenience have</w:t></w:r>
</w:p>
<w:p>
<w:pPr><w:pStyle w:val="Normal"/></w:pPr>
<w:r><w:t xml:space="preserve">necessarily favoured the substantial obliteration of state</w:t></w:r>
</w:p>
<w:p>
<w:pPr><w:pStyle w:val="Normal"/></w:pPr>
<w:r><w:t xml:space="preserve">lines as to the enforcement of statutory private rights.</w:t></w:r>
</w:p>
<w:p>
<w:pPr><w:pStyle w:val="Normal"/></w:pPr>
<w:r><w:t xml:space="preserve">Massachusetts in 1840, six years before the passage of Lord</w:t></w:r>
</w:p>
<w:p>
<w:pPr><w:pStyle w:val="Normal"/></w:pPr>
<w:r><w:t xml:space="preserve">Campbell&apos;s Act, provided a remedy by indictment for the negligent</w:t></w:r>
</w:p>
<w:p>
<w:pPr><w:pStyle w:val="Normal"/></w:pPr>
<w:r><w:t xml:space="preserve">killing of a man by a railway company, a pecuniary penalty being</w:t></w:r>
</w:p>
<w:p>
<w:pPr><w:pStyle w:val="Normal"/></w:pPr>
<w:r><w:t xml:space="preserve">fixed which the state was to collect for the benefit of his</w:t></w:r>
</w:p>
<w:p>
<w:pPr><w:pStyle w:val="Normal"/></w:pPr>
<w:r><w:t xml:space="preserve">family.  In most of the other states by later statutes a</w:t></w:r>
</w:p>
<w:p>
<w:pPr><w:pStyle w:val="Normal"/></w:pPr>
<w:r><w:t xml:space="preserve">similar result has been reached through a civil action brought</w:t></w:r>
</w:p>
<w:p>
<w:pPr><w:pStyle w:val="Normal"/></w:pPr>
<w:r><w:t xml:space="preserve">by the executor or administrator as an agent of the law.  In</w:t></w:r>
</w:p>
<w:p>
<w:pPr><w:pStyle w:val="Normal"/></w:pPr>
<w:r><w:t xml:space="preserve">some, however, the state must be the plaintiff; in others the</w:t></w:r>
</w:p>
<w:p>
<w:pPr><w:pStyle w:val="Normal"/></w:pPr>
<w:r><w:t xml:space="preserve">widow, if any there be.  The accident resulting in death often</w:t></w:r>
</w:p>
<w:p>
<w:pPr><w:pStyle w:val="Normal"/></w:pPr>
<w:r><w:t xml:space="preserve">occurs in a state where the man who was killed does not reside,</w:t></w:r>
</w:p>
<w:p>
<w:pPr><w:pStyle w:val="Normal"/></w:pPr>
<w:r><w:t xml:space="preserve">or in which the railway company does not have its principal</w:t></w:r>
</w:p>
<w:p>
<w:pPr><w:pStyle w:val="Normal"/></w:pPr>
<w:r><w:t xml:space="preserve">seat.  It may therefore be desirable to sue in one state</w:t></w:r>
</w:p>
<w:p>
<w:pPr><w:pStyle w:val="Normal"/></w:pPr>
<w:r><w:t xml:space="preserve">for an injury in another.  Notwithstanding such an action</w:t></w:r>
</w:p>
<w:p>
<w:pPr><w:pStyle w:val="Normal"/></w:pPr>
<w:r><w:t xml:space="preserve">is unknown to the common law, and rests solely on a local</w:t></w:r>
</w:p>
<w:p>
<w:pPr><w:pStyle w:val="Normal"/></w:pPr>
<w:r><w:t xml:space="preserve">statute, the American courts uniformly hold that, when civil</w:t></w:r>
</w:p>
<w:p>
<w:pPr><w:pStyle w:val="Normal"/></w:pPr>
<w:r><w:t xml:space="preserve">in form, it can be brought under such statutes in any state</w:t></w:r>
</w:p>
<w:p>
<w:pPr><w:pStyle w:val="Normal"/></w:pPr>
<w:r><w:t xml:space="preserve">the public policy of which is not clearly opposed to such a</w:t></w:r>
</w:p>
<w:p>
<w:pPr><w:pStyle w:val="Normal"/></w:pPr>
<w:r><w:t xml:space="preserve">remedy.  In like manner, the responsibilities of stockholders</w:t></w:r>
</w:p>
<w:p>
<w:pPr><w:pStyle w:val="Normal"/></w:pPr>
<w:r><w:t xml:space="preserve">and directors of a moneyed corporation, under the laws of the</w:t></w:r>
</w:p>
<w:p>
<w:pPr><w:pStyle w:val="Normal"/></w:pPr>
<w:r><w:t xml:space="preserve">state from which the charter is derived, are enforced in any</w:t></w:r>
</w:p>
<w:p>
<w:pPr><w:pStyle w:val="Normal"/></w:pPr>
<w:r><w:t xml:space="preserve">other states in which they may be found.  Thus a double liability</w:t></w:r>
</w:p>
<w:p>
<w:pPr><w:pStyle w:val="Normal"/></w:pPr>
<w:r><w:t xml:space="preserve">of stockholders to creditors, in case of the insolvency of</w:t></w:r>
</w:p>
<w:p>
<w:pPr><w:pStyle w:val="Normal"/></w:pPr>
<w:r><w:t xml:space="preserve">the company, or a full liability to creditors of directors</w:t></w:r>
</w:p>
<w:p>
<w:pPr><w:pStyle w:val="Normal"/></w:pPr>
<w:r><w:t xml:space="preserve">who have made false reports or certificates regarding its</w:t></w:r>
</w:p>
<w:p>
<w:pPr><w:pStyle w:val="Normal"/></w:pPr>
<w:r><w:t xml:space="preserve">financial condition, is treated as of a contractual nature,</w:t></w:r>
</w:p>
<w:p>
<w:pPr><w:pStyle w:val="Normal"/></w:pPr>
<w:r><w:t xml:space="preserve">and not penal in the international sense of that term.16 As</w:t></w:r>
</w:p>
<w:p>
<w:pPr><w:pStyle w:val="Normal"/></w:pPr>
<w:r><w:t xml:space="preserve">a judgment of one state has equal force in another, so far as</w:t></w:r>
</w:p>
<w:p>
<w:pPr><w:pStyle w:val="Normal"/></w:pPr>
<w:r><w:t xml:space="preserve">the principle of res adjudicata is concerned, the orders of</w:t></w:r>
</w:p>
<w:p>
<w:pPr><w:pStyle w:val="Normal"/></w:pPr>
<w:r><w:t xml:space="preserve">a court in a state to which a corporation owes its charter,</w:t></w:r>
</w:p>
<w:p>
<w:pPr><w:pStyle w:val="Normal"/></w:pPr>
<w:r><w:t xml:space="preserve">made in proceedings for winding it up, may be enforced to</w:t></w:r>
</w:p>
<w:p>
<w:pPr><w:pStyle w:val="Normal"/></w:pPr>
<w:r><w:t xml:space="preserve">a large extent in any other.  The shareholders are regarded</w:t></w:r>
</w:p>
<w:p>
<w:pPr><w:pStyle w:val="Normal"/></w:pPr>
<w:r><w:t xml:space="preserve">as parties by representation to the winding- up proceedings,</w:t></w:r>
</w:p>
<w:p>
<w:pPr><w:pStyle w:val="Normal"/></w:pPr>
<w:r><w:t xml:space="preserve">and so bound by decrees which are incidental to it.17</w:t></w:r>
</w:p>
<w:p>
<w:pPr><w:pStyle w:val="Normal"/></w:pPr>
<w:r><w:t xml:space="preserve">The provisions of the United States law on different subjects</w:t></w:r>
</w:p>
<w:p>
<w:pPr><w:pStyle w:val="Normal"/></w:pPr>
<w:r><w:t xml:space="preserve">and the literature concerning them are given in the separate</w:t></w:r>
</w:p>
<w:p>
<w:pPr><w:pStyle w:val="Normal"/></w:pPr>
<w:r><w:t xml:space="preserve">articles.  See the bibliography to the article LAW; also</w:t></w:r>
</w:p>
<w:p>
<w:pPr><w:pStyle w:val="Normal"/></w:pPr>
<w:r><w:t xml:space="preserve">Cooley on The Constitutional Limitations which rest upon</w:t></w:r>
</w:p>
<w:p>
<w:pPr><w:pStyle w:val="Normal"/></w:pPr>
<w:r><w:t xml:space="preserve">the Legislative Power of the States of the American Union;</w:t></w:r>
</w:p>
<w:p>
<w:pPr><w:pStyle w:val="Normal"/></w:pPr>
<w:r><w:t xml:space="preserve">Andrews on American Law; and Russell on The Police</w:t></w:r>
</w:p>
<w:p>
<w:pPr><w:pStyle w:val="Normal"/></w:pPr>
<w:r><w:t xml:space="preserve">Power of the State, and Decisions thereon as illustrating</w:t></w:r>
</w:p>
<w:p>
<w:pPr><w:pStyle w:val="Normal"/></w:pPr>
<w:r><w:t xml:space="preserve">the Development and Value of Case Law. (S. E. B.)</w:t></w:r>
</w:p>
<w:p>
<w:pPr><w:pStyle w:val="Normal"/></w:pPr>
<w:r><w:t xml:space="preserve">1 The Slaughter-House Cases, 16 Wallace&apos;s Reports, 36, 81.</w:t></w:r>
</w:p>
<w:p>
<w:pPr><w:pStyle w:val="Normal"/></w:pPr>
<w:r><w:t xml:space="preserve">2 Ibid. 89, 111, 129.</w:t></w:r>
</w:p>
<w:p>
<w:pPr><w:pStyle w:val="Normal"/></w:pPr>
<w:r><w:t xml:space="preserve">3 Guthrie on the Fourteenth Amendment, 27.</w:t></w:r>
</w:p>
<w:p>
<w:pPr><w:pStyle w:val="Normal"/></w:pPr>
<w:r><w:t xml:space="preserve">4 Baldwin&apos;s Modern Political Institutions, 111, 112.</w:t></w:r>
</w:p>
<w:p>
<w:pPr><w:pStyle w:val="Normal"/></w:pPr>
<w:r><w:t xml:space="preserve">5 Holden v. Hardy, 169 United States Reports, 336, 385-387.</w:t></w:r>
</w:p>
<w:p>
<w:pPr><w:pStyle w:val="Normal"/></w:pPr>
<w:r><w:t xml:space="preserve">6 Columbia Law Review, i. 99.</w:t></w:r>
</w:p>
<w:p>
<w:pPr><w:pStyle w:val="Normal"/></w:pPr>
<w:r><w:t xml:space="preserve">7 Swift v. Tyson, 16 Peters&apos; Reports, 1, 19.</w:t></w:r>
</w:p>
<w:p>
<w:pPr><w:pStyle w:val="Normal"/></w:pPr>
<w:r><w:t xml:space="preserve">8 See Forepaugh v. Delaware, Lackawanna &amp; Western Railroad</w:t></w:r>
</w:p>
<w:p>
<w:pPr><w:pStyle w:val="Normal"/></w:pPr>
<w:r><w:t xml:space="preserve">Company, 128 Pennsylvania State Reports, 267; Faulkner v. Hart,</w:t></w:r>
</w:p>
<w:p>
<w:pPr><w:pStyle w:val="Normal"/></w:pPr>
<w:r><w:t xml:space="preserve">82 New York Reports, 313; and Lake Shore &amp; Michigan Southern</w:t></w:r>
</w:p>
<w:p>
<w:pPr><w:pStyle w:val="Normal"/></w:pPr>
<w:r><w:t xml:space="preserve">Railway Company v. Prentice, 147 United States Reports, 101.</w:t></w:r>
</w:p>
<w:p>
<w:pPr><w:pStyle w:val="Normal"/></w:pPr>
<w:r><w:t xml:space="preserve">9 See, as examples, Commonwealth v. Rubin, 165 Massachusetts</w:t></w:r>
</w:p>
<w:p>
<w:pPr><w:pStyle w:val="Normal"/></w:pPr>
<w:r><w:t xml:space="preserve">Reports, 453, in which Holmes, C.J., traces the rule that, if</w:t></w:r>
</w:p>
<w:p>
<w:pPr><w:pStyle w:val="Normal"/></w:pPr>
<w:r><w:t xml:space="preserve">a man abuse an authority given him by the law, he becomes a</w:t></w:r>
</w:p>
<w:p>
<w:pPr><w:pStyle w:val="Normal"/></w:pPr>
<w:r><w:t xml:space="preserve">trespasser ab initio, back to the Year Books; and Commonwealth</w:t></w:r>
</w:p>
<w:p>
<w:pPr><w:pStyle w:val="Normal"/></w:pPr>
<w:r><w:t xml:space="preserve">v. Cleary, 172 Massachusetts Reports, 175, in which the</w:t></w:r>
</w:p>
<w:p>
<w:pPr><w:pStyle w:val="Normal"/></w:pPr>
<w:r><w:t xml:space="preserve">same judge refers to Glanville and Fleta as authority for the</w:t></w:r>
</w:p>
<w:p>
<w:pPr><w:pStyle w:val="Normal"/></w:pPr>
<w:r><w:t xml:space="preserve">proposition that the admission in evidence, in cases of rape,</w:t></w:r>
</w:p>
<w:p>
<w:pPr><w:pStyle w:val="Normal"/></w:pPr>
<w:r><w:t xml:space="preserve">of complaints made by the woman soon after the commission of the</w:t></w:r>
</w:p>
<w:p>
<w:pPr><w:pStyle w:val="Normal"/></w:pPr>
<w:r><w:t xml:space="preserve">offence is a perverted survival of the old rule that she could</w:t></w:r>
</w:p>
<w:p>
<w:pPr><w:pStyle w:val="Normal"/></w:pPr>
<w:r><w:t xml:space="preserve">not bring an appeal unless she had made prompt hue and cry.</w:t></w:r>
</w:p>
<w:p>
<w:pPr><w:pStyle w:val="Normal"/></w:pPr>
<w:r><w:t xml:space="preserve">10 This has been carried furthest in Connecticut.  See</w:t></w:r>
</w:p>
<w:p>
<w:pPr><w:pStyle w:val="Normal"/></w:pPr>
<w:r><w:t xml:space="preserve">Botsford v. Wallace, 72 Connecticut Reports, 195.</w:t></w:r>
</w:p>
<w:p>
<w:pPr><w:pStyle w:val="Normal"/></w:pPr>
<w:r><w:t xml:space="preserve">11 Norwalk Street Railway Company&apos;s Appeal, 69</w:t></w:r>
</w:p>
<w:p>
<w:pPr><w:pStyle w:val="Normal"/></w:pPr>
<w:r><w:t xml:space="preserve">Connecticut Reports, 576; 38 Atlantic Reporter, 708.</w:t></w:r>
</w:p>
<w:p>
<w:pPr><w:pStyle w:val="Normal"/></w:pPr>
<w:r><w:t xml:space="preserve">12 Zanesville v. Zanesville Telephone Company, 63</w:t></w:r>
</w:p>
<w:p>
<w:pPr><w:pStyle w:val="Normal"/></w:pPr>
<w:r><w:t xml:space="preserve">Ohio State Reports, 442; 59 North-Eastern Reporter, 109.</w:t></w:r>
</w:p>
<w:p>
<w:pPr><w:pStyle w:val="Normal"/></w:pPr>
<w:r><w:t xml:space="preserve">13 New York Railroad v. New York, 165 United States Reports, 628.</w:t></w:r>
</w:p>
<w:p>
<w:pPr><w:pStyle w:val="Normal"/></w:pPr>
<w:r><w:t xml:space="preserve">14 Munn v. Illinois, 94 United States Reports,</w:t></w:r>
</w:p>
<w:p>
<w:pPr><w:pStyle w:val="Normal"/></w:pPr>
<w:r><w:t xml:space="preserve">113; Chicago Railroad Company v. Iowa, ibid. 155.</w:t></w:r>
</w:p>
<w:p>
<w:pPr><w:pStyle w:val="Normal"/></w:pPr>
<w:r><w:t xml:space="preserve">15 Wabash Railway Company v. Illinois, 118</w:t></w:r>
</w:p>
<w:p>
<w:pPr><w:pStyle w:val="Normal"/></w:pPr>
<w:r><w:t xml:space="preserve">United States Reports, 557; Reagan v. Farmers&apos; Loan</w:t></w:r>
</w:p>
<w:p>
<w:pPr><w:pStyle w:val="Normal"/></w:pPr>
<w:r><w:t xml:space="preserve">and Trust Company, 154 United States Reports, 362.</w:t></w:r>
</w:p>
<w:p>
<w:pPr><w:pStyle w:val="Normal"/></w:pPr>
<w:r><w:t xml:space="preserve">16 Huntington v. Attrill, 146 United States Reports, 657.</w:t></w:r>
</w:p>
<w:p>
<w:pPr><w:pStyle w:val="Normal"/></w:pPr>
<w:r><w:t xml:space="preserve">17 Great Western Telegraph Company v. Purdy,</w:t></w:r>
</w:p>
<w:p>
<w:pPr><w:pStyle w:val="Normal"/></w:pPr>
<w:r><w:t xml:space="preserve">162 United States Reports, 329; Fish v. Smith, 73</w:t></w:r>
</w:p>
<w:p>
<w:pPr><w:pStyle w:val="Normal"/></w:pPr>
<w:r><w:t xml:space="preserve">Connecticut Reports, 377; 47 Atlantic Reporter, 710.</w:t></w:r>
</w:p>
<w:p>
<w:pPr><w:pStyle w:val="Normal"/></w:pPr>
<w:r><w:t xml:space="preserve">AMERICAN LITERATURE.</w:t></w:r>
</w:p>
<w:p>
<w:pPr><w:pStyle w:val="Normal"/></w:pPr>
<w:r><w:t xml:space="preserve">Beginnings.</w:t></w:r>
</w:p>
<w:p>
<w:pPr><w:pStyle w:val="Normal"/></w:pPr>
<w:r><w:t xml:space="preserve">The earliest books which are commonly described as the</w:t></w:r>
</w:p>
<w:p>
<w:pPr><w:pStyle w:val="Normal"/></w:pPr>
<w:r><w:t xml:space="preserve">beginnings of American literature were written by men born</w:t></w:r>
</w:p>
<w:p>
<w:pPr><w:pStyle w:val="Normal"/></w:pPr>
<w:r><w:t xml:space="preserve">and bred in England; they were published there; they were,</w:t></w:r>
</w:p>
<w:p>
<w:pPr><w:pStyle w:val="Normal"/></w:pPr>
<w:r><w:t xml:space="preserve">in fact, an undivided part of English literature, belonging</w:t></w:r>
</w:p>
<w:p>
<w:pPr><w:pStyle w:val="Normal"/></w:pPr>
<w:r><w:t xml:space="preserve">to the province of exploration and geographical description</w:t></w:r>
</w:p>
<w:p>
<w:pPr><w:pStyle w:val="Normal"/></w:pPr>
<w:r><w:t xml:space="preserve">and entirely similar in matter and style to other works of</w:t></w:r>
</w:p>
<w:p>
<w:pPr><w:pStyle w:val="Normal"/></w:pPr>
<w:r><w:t xml:space="preserve">voyagers and colonizers that illustrate the expansion of</w:t></w:r>
</w:p>
<w:p>
<w:pPr><w:pStyle w:val="Normal"/></w:pPr>
<w:r><w:t xml:space="preserve">England.  They contain the materials of history in a form</w:t></w:r>
</w:p>
<w:p>
<w:pPr><w:pStyle w:val="Normal"/></w:pPr>
<w:r><w:t xml:space="preserve">of good Elizabethan narrative, always vigorous in language,</w:t></w:r>
</w:p>
<w:p>
<w:pPr><w:pStyle w:val="Normal"/></w:pPr>
<w:r><w:t xml:space="preserve">often vivid and picturesque.  John Smith (1579-1631) wrote</w:t></w:r>
</w:p>
<w:p>
<w:pPr><w:pStyle w:val="Normal"/></w:pPr>
<w:r><w:t xml:space="preserve">the first of these, A True Relation of such Occurrences</w:t></w:r>
</w:p>
<w:p>
<w:pPr><w:pStyle w:val="Normal"/></w:pPr>
<w:r><w:t xml:space="preserve">and Accidents of Note as hath happened in Virginia (1608),</w:t></w:r>
</w:p>
<w:p>
<w:pPr><w:pStyle w:val="Normal"/></w:pPr>
<w:r><w:t xml:space="preserve">and he later added other accounts of the country to the</w:t></w:r>
</w:p>
<w:p>
<w:pPr><w:pStyle w:val="Normal"/></w:pPr>
<w:r><w:t xml:space="preserve">north.  William Strachey, a Virginian official of whom little</w:t></w:r>
</w:p>
<w:p>
<w:pPr><w:pStyle w:val="Normal"/></w:pPr>
<w:r><w:t xml:space="preserve">is known biographically, described (1610) the shipwreck of</w:t></w:r>
</w:p>
<w:p>
<w:pPr><w:pStyle w:val="Normal"/></w:pPr>
<w:r><w:t xml:space="preserve">Sir Thomas Gates on the Bermudas, which is believed to have</w:t></w:r>
</w:p>
<w:p>
<w:pPr><w:pStyle w:val="Normal"/></w:pPr>
<w:r><w:t xml:space="preserve">yielded Shakespeare suggestions for The Tempest.  Colonel</w:t></w:r>
</w:p>
<w:p>
<w:pPr><w:pStyle w:val="Normal"/></w:pPr>
<w:r><w:t xml:space="preserve">Henry Norwood (d. 1689), hitherto unidentified, of Leckhampton,</w:t></w:r>
</w:p>
<w:p>
<w:pPr><w:pStyle w:val="Normal"/></w:pPr>
<w:r><w:t xml:space="preserve">Gloucestershire, a person eminent for loyalty in the reign of</w:t></w:r>
</w:p>
<w:p>
<w:pPr><w:pStyle w:val="Normal"/></w:pPr>
<w:r><w:t xml:space="preserve">Charles I. and distinguished in the civil wars, later governor</w:t></w:r>
</w:p>
<w:p>
<w:pPr><w:pStyle w:val="Normal"/></w:pPr>
<w:r><w:t xml:space="preserve">of Tangiers and a member of parliament for Gloucester, wrote</w:t></w:r>
</w:p>
<w:p>
<w:pPr><w:pStyle w:val="Normal"/></w:pPr>
<w:r><w:t xml:space="preserve">an account of his voyage to Virginia as an adventurer, in</w:t></w:r>
</w:p>
<w:p>
<w:pPr><w:pStyle w:val="Normal"/></w:pPr>
<w:r><w:t xml:space="preserve">1649.  These are characteristic works of the earliest period,</w:t></w:r>
</w:p>
<w:p>
<w:pPr><w:pStyle w:val="Normal"/></w:pPr>
<w:r><w:t xml:space="preserve">and illustrate variously the literature of exploration which</w:t></w:r>
</w:p>
<w:p>
<w:pPr><w:pStyle w:val="Normal"/></w:pPr>
<w:r><w:t xml:space="preserve">exists in numerous examples and is preserved for historical</w:t></w:r>
</w:p>
<w:p>
<w:pPr><w:pStyle w:val="Normal"/></w:pPr>
<w:r><w:t xml:space="preserve">reasons.  The settlement of the colonies was, in general,</w:t></w:r>
</w:p>
<w:p>
<w:pPr><w:pStyle w:val="Normal"/></w:pPr>
<w:r><w:t xml:space="preserve">attended by such narratives of adventure or by accounts</w:t></w:r>
</w:p>
<w:p>
<w:pPr><w:pStyle w:val="Normal"/></w:pPr>
<w:r><w:t xml:space="preserve">of the state of the country or by documentary record of</w:t></w:r>
</w:p>
<w:p>
<w:pPr><w:pStyle w:val="Normal"/></w:pPr>
<w:r><w:t xml:space="preserve">events.  Thus George Alsop (b. 1638) wrote the Character</w:t></w:r>
</w:p>
<w:p>
<w:pPr><w:pStyle w:val="Normal"/></w:pPr>
<w:r><w:t xml:space="preserve">of the Province of Maryland (1666), and Daniel Denton a</w:t></w:r>
</w:p>
<w:p>
<w:pPr><w:pStyle w:val="Normal"/></w:pPr>
<w:r><w:t xml:space="preserve">Brief Description of New York (1670), and in Virginia</w:t></w:r>
</w:p>
<w:p>
<w:pPr><w:pStyle w:val="Normal"/></w:pPr>
<w:r><w:t xml:space="preserve">the progress of affairs was dealt with by William Stith</w:t></w:r>
</w:p>
<w:p>
<w:pPr><w:pStyle w:val="Normal"/></w:pPr>
<w:r><w:t xml:space="preserve">(1689-1755), Robert Beverly (f. 1700), and William Byrd</w:t></w:r>
</w:p>
<w:p>
<w:pPr><w:pStyle w:val="Normal"/></w:pPr>
<w:r><w:t xml:space="preserve">(1674-1744).  Each settlement in turn, as it came into</w:t></w:r>
</w:p>
<w:p>
<w:pPr><w:pStyle w:val="Normal"/></w:pPr>
<w:r><w:t xml:space="preserve">prominence or provoked curiosity, found its geographer and</w:t></w:r>
</w:p>
<w:p>
<w:pPr><w:pStyle w:val="Normal"/></w:pPr>
<w:r><w:t xml:space="preserve">annalist, and here and there sporadic pens essayed some practical</w:t></w:r>
</w:p>
<w:p>
<w:pPr><w:pStyle w:val="Normal"/></w:pPr>
<w:r><w:t xml:space="preserve">topic.  The product, however, is now an indistinguishable mass,</w:t></w:r>
</w:p>
<w:p>
<w:pPr><w:pStyle w:val="Normal"/></w:pPr>
<w:r><w:t xml:space="preserve">and titles and authors alike are found only in antiquarian</w:t></w:r>
</w:p>
<w:p>
<w:pPr><w:pStyle w:val="Normal"/></w:pPr>
<w:r><w:t xml:space="preserve">lore.  The distribution of literary activity was very uneven</w:t></w:r>
</w:p>
<w:p>
<w:pPr><w:pStyle w:val="Normal"/></w:pPr>
<w:r><w:t xml:space="preserve">along the sea-board; it was naturally greatest in the more</w:t></w:r>
</w:p>
<w:p>
<w:pPr><w:pStyle w:val="Normal"/></w:pPr>
<w:r><w:t xml:space="preserve">thriving and important colonies, and bore some relation</w:t></w:r>
</w:p>
<w:p>
<w:pPr><w:pStyle w:val="Normal"/></w:pPr>
<w:r><w:t xml:space="preserve">to their commercial prosperity and political activity and</w:t></w:r>
</w:p>
<w:p>
<w:pPr><w:pStyle w:val="Normal"/></w:pPr>
<w:r><w:t xml:space="preserve">to the closeness of the connexion with the home culture of</w:t></w:r>
</w:p>
<w:p>
<w:pPr><w:pStyle w:val="Normal"/></w:pPr>
<w:r><w:t xml:space="preserve">England.  From the beginning New England, owing to the character</w:t></w:r>
</w:p>
<w:p>
<w:pPr><w:pStyle w:val="Normal"/></w:pPr>
<w:r><w:t xml:space="preserve">of its people and its ecclesiastical rule, was the chief seat</w:t></w:r>
</w:p>
<w:p>
<w:pPr><w:pStyle w:val="Normal"/></w:pPr>
<w:r><w:t xml:space="preserve">of the early literature, and held a position apart from the</w:t></w:r>
</w:p>
<w:p>
<w:pPr><w:pStyle w:val="Normal"/></w:pPr>
<w:r><w:t xml:space="preserve">other colonies as a community characterized by an intellectual</w:t></w:r>
</w:p>
<w:p>
<w:pPr><w:pStyle w:val="Normal"/></w:pPr>
<w:r><w:t xml:space="preserve">life.  There the first printing press was set up, the first</w:t></w:r>
</w:p>
<w:p>
<w:pPr><w:pStyle w:val="Normal"/></w:pPr>
<w:r><w:t xml:space="preserve">college founded, and an abundant literature was produced.</w:t></w:r>
</w:p>
<w:p>
<w:pPr><w:pStyle w:val="Normal"/></w:pPr>
<w:r><w:t xml:space="preserve">The characteristic fact in the Puritan colonies is that</w:t></w:r>
</w:p>
<w:p>
<w:pPr><w:pStyle w:val="Normal"/></w:pPr>
<w:r><w:t xml:space="preserve">literature there was in the hands of its leading citizens</w:t></w:r>
</w:p>
<w:p>
<w:pPr><w:pStyle w:val="Normal"/></w:pPr>
<w:r><w:t xml:space="preserve">and was a chief concern in their minds.  There were books</w:t></w:r>
</w:p>
<w:p>
<w:pPr><w:pStyle w:val="Normal"/></w:pPr>
<w:r><w:t xml:space="preserve">of exploration and description as in the other colonies,</w:t></w:r>
</w:p>
<w:p>
<w:pPr><w:pStyle w:val="Normal"/></w:pPr>
<w:r><w:t xml:space="preserve">such as William Wood&apos;s (d. 1639) New England&apos;s Prospect</w:t></w:r>
</w:p>
<w:p>
<w:pPr><w:pStyle w:val="Normal"/></w:pPr>
<w:r><w:t xml:space="preserve">(1634), and John Josselin&apos;s New England&apos;s Rarities (1672),</w:t></w:r>
</w:p>
<w:p>
<w:pPr><w:pStyle w:val="Normal"/></w:pPr>
<w:r><w:t xml:space="preserve">and tales of adventure in the wilderness and on the sea, most</w:t></w:r>
</w:p>
<w:p>
<w:pPr><w:pStyle w:val="Normal"/></w:pPr>
<w:r><w:t xml:space="preserve">commonly described as &quot;remarkable providences,&quot; in the vigorous</w:t></w:r>
</w:p>
<w:p>
<w:pPr><w:pStyle w:val="Normal"/></w:pPr>
<w:r><w:t xml:space="preserve">Elizabethan narrative; but besides all this the magistracy</w:t></w:r>
</w:p>
<w:p>
<w:pPr><w:pStyle w:val="Normal"/></w:pPr>
<w:r><w:t xml:space="preserve">and the clergy normally set themselves to the labour of</w:t></w:r>
</w:p>
<w:p>
<w:pPr><w:pStyle w:val="Normal"/></w:pPr>
<w:r><w:t xml:space="preserve">history, controversy and counsel, and especially to the care of</w:t></w:r>
</w:p>
<w:p>
<w:pPr><w:pStyle w:val="Normal"/></w:pPr>
<w:r><w:t xml:space="preserve">religion.  The governors, beginning with William Bradford</w:t></w:r>
</w:p>
<w:p>
<w:pPr><w:pStyle w:val="Normal"/></w:pPr>
<w:r><w:t xml:space="preserve">(1590-1657) of Plymouth, and John Winthrop (1588-1649) of</w:t></w:r>
</w:p>
<w:p>
<w:pPr><w:pStyle w:val="Normal"/></w:pPr>
<w:r><w:t xml:space="preserve">Massachusetts Bay, wrote the annals of their times, and the</w:t></w:r>
</w:p>
<w:p>
<w:pPr><w:pStyle w:val="Normal"/></w:pPr>
<w:r><w:t xml:space="preserve">line of historians was continued by Winslow, Nathaniel Morton,</w:t></w:r>
</w:p>
<w:p>
<w:pPr><w:pStyle w:val="Normal"/></w:pPr>
<w:r><w:t xml:space="preserve">Prince, Hubbard and Hutchinson.  The clergy, headed by John</w:t></w:r>
</w:p>
<w:p>
<w:pPr><w:pStyle w:val="Normal"/></w:pPr>
<w:r><w:t xml:space="preserve">Cotton (1585-1652), Thomas Hooker (1586-1647), Nathaniel</w:t></w:r>
</w:p>
<w:p>
<w:pPr><w:pStyle w:val="Normal"/></w:pPr>
<w:r><w:t xml:space="preserve">Ward (1579- 1652), Roger Williams (1600-1683), Richard Mather</w:t></w:r>
</w:p>
<w:p>
<w:pPr><w:pStyle w:val="Normal"/></w:pPr>
<w:r><w:t xml:space="preserve">(1596-1669), John Eliot (1604-1690), produced sermons,</w:t></w:r>
</w:p>
<w:p>
<w:pPr><w:pStyle w:val="Normal"/></w:pPr>
<w:r><w:t xml:space="preserve">platforms, catechisms, theological dissertations, tracts of all</w:t></w:r>
</w:p>
<w:p>
<w:pPr><w:pStyle w:val="Normal"/></w:pPr>
<w:r><w:t xml:space="preserve">sorts, and their line also was continued by Shepard, Norton,</w:t></w:r>
</w:p>
<w:p>
<w:pPr><w:pStyle w:val="Normal"/></w:pPr>
<w:r><w:t xml:space="preserve">Wise, the later Mathers and scores of other ministers.  The</w:t></w:r>
</w:p>
<w:p>
<w:pPr><w:pStyle w:val="Normal"/></w:pPr>
<w:r><w:t xml:space="preserve">older clergy were not inferior in power or learning to the</w:t></w:r>
</w:p>
<w:p>
<w:pPr><w:pStyle w:val="Normal"/></w:pPr>
<w:r><w:t xml:space="preserve">leaders of their own communion in England, and they commanded</w:t></w:r>
</w:p>
<w:p>
<w:pPr><w:pStyle w:val="Normal"/></w:pPr>
<w:r><w:t xml:space="preserve">the same prose that characterizes the Puritan tracts of the</w:t></w:r>
</w:p>
<w:p>
<w:pPr><w:pStyle w:val="Normal"/></w:pPr>
<w:r><w:t xml:space="preserve">mother country; nor did the kind of writing deteriorate in their</w:t></w:r>
</w:p>
<w:p>
<w:pPr><w:pStyle w:val="Normal"/></w:pPr>
<w:r><w:t xml:space="preserve">successors.  This body of divines in successive generations gave</w:t></w:r>
</w:p>
<w:p>
<w:pPr><w:pStyle w:val="Normal"/></w:pPr>
<w:r><w:t xml:space="preserve">to early New England literature its overwhelming ecclesiastical</w:t></w:r>
</w:p>
<w:p>
<w:pPr><w:pStyle w:val="Normal"/></w:pPr>
<w:r><w:t xml:space="preserve">character; it was in the main a church literature, and its</w:t></w:r>
</w:p>
<w:p>
<w:pPr><w:pStyle w:val="Normal"/></w:pPr>
<w:r><w:t xml:space="preserve">secular books also were controlled and coloured by the Puritan</w:t></w:r>
</w:p>
<w:p>
<w:pPr><w:pStyle w:val="Normal"/></w:pPr>
<w:r><w:t xml:space="preserve">spirit.  The pervasiveness of religion is well illustrated</w:t></w:r>
</w:p>
<w:p>
<w:pPr><w:pStyle w:val="Normal"/></w:pPr>
<w:r><w:t xml:space="preserve">by the three books which formed through the entire colonial</w:t></w:r>
</w:p>
<w:p>
<w:pPr><w:pStyle w:val="Normal"/></w:pPr>
<w:r><w:t xml:space="preserve">period the most popular domestic reading of the Puritan</w:t></w:r>
</w:p>
<w:p>
<w:pPr><w:pStyle w:val="Normal"/></w:pPr>
<w:r><w:t xml:space="preserve">home.  These were The Bay Psalm Book (1640), which was</w:t></w:r>
</w:p>
<w:p>
<w:pPr><w:pStyle w:val="Normal"/></w:pPr>
<w:r><w:t xml:space="preserve">the first book published in America; Michael Wigglesworth&apos;s</w:t></w:r>
</w:p>
<w:p>
<w:pPr><w:pStyle w:val="Normal"/></w:pPr>
<w:r><w:t xml:space="preserve">(1631-1705) Day of Doom (1662), a doggerel poem; and the</w:t></w:r>
</w:p>
<w:p>
<w:pPr><w:pStyle w:val="Normal"/></w:pPr>
<w:r><w:t xml:space="preserve">New England Primer (c. 1690), called &quot;the Little Bible.&quot; The</w:t></w:r>
</w:p>
<w:p>
<w:pPr><w:pStyle w:val="Normal"/></w:pPr>
<w:r><w:t xml:space="preserve">sole voice heard in opposition was Thomas Morton&apos;s satirical</w:t></w:r>
</w:p>
<w:p>
<w:pPr><w:pStyle w:val="Normal"/></w:pPr>
<w:r><w:t xml:space="preserve">New English Canaan (1637), whose author was sent out of</w:t></w:r>
</w:p>
<w:p>
<w:pPr><w:pStyle w:val="Normal"/></w:pPr>
<w:r><w:t xml:space="preserve">the colony for the scandal of Merrymount, but satire itself</w:t></w:r>
</w:p>
<w:p>
<w:pPr><w:pStyle w:val="Normal"/></w:pPr>
<w:r><w:t xml:space="preserve">remained religious in Ward&apos;s Simple Cobbler of Agawam</w:t></w:r>
</w:p>
<w:p>
<w:pPr><w:pStyle w:val="Normal"/></w:pPr>
<w:r><w:t xml:space="preserve">(1647).  Poetry was represented in Anne Bradstreet&apos;s (1612-1672)</w:t></w:r>
</w:p>
<w:p>
<w:pPr><w:pStyle w:val="Normal"/></w:pPr>
<w:r><w:t xml:space="preserve">The Tenth Muse lately sprung up in America (1650), and was</w:t></w:r>
</w:p>
<w:p>
<w:pPr><w:pStyle w:val="Normal"/></w:pPr>
<w:r><w:t xml:space="preserve">continued by a succession of doggerel writers, mostly ministers</w:t></w:r>
</w:p>
<w:p>
<w:pPr><w:pStyle w:val="Normal"/></w:pPr>
<w:r><w:t xml:space="preserve">or schoolmasters, Noyes, Oakes, Folger, Tompson, Byles and</w:t></w:r>
</w:p>
<w:p>
<w:pPr><w:pStyle w:val="Normal"/></w:pPr>
<w:r><w:t xml:space="preserve">others.  The world of books also included a good proportion</w:t></w:r>
</w:p>
<w:p>
<w:pPr><w:pStyle w:val="Normal"/></w:pPr>
<w:r><w:t xml:space="preserve">of Indian war narratives and treatises relating to the</w:t></w:r>
</w:p>
<w:p>
<w:pPr><w:pStyle w:val="Normal"/></w:pPr>
<w:r><w:t xml:space="preserve">aborigines.  The close of the 17th century shows literature,</w:t></w:r>
</w:p>
<w:p>
<w:pPr><w:pStyle w:val="Normal"/></w:pPr>
<w:r><w:t xml:space="preserve">however, still unchanged in its main position as the special</w:t></w:r>
</w:p>
<w:p>
<w:pPr><w:pStyle w:val="Normal"/></w:pPr>
<w:r><w:t xml:space="preserve">concern of the leaders of the state.  It is Chief-Justice Samuel</w:t></w:r>
</w:p>
<w:p>
<w:pPr><w:pStyle w:val="Normal"/></w:pPr>
<w:r><w:t xml:space="preserve">Sewall&apos;s (1652-1730) Diary (which remained in manuscript until</w:t></w:r>
</w:p>
<w:p>
<w:pPr><w:pStyle w:val="Normal"/></w:pPr>
<w:r><w:t xml:space="preserve">1878) that affords the most intimate view of the culture and</w:t></w:r>
</w:p>
<w:p>
<w:pPr><w:pStyle w:val="Normal"/></w:pPr>
<w:r><w:t xml:space="preserve">habits of the community; and he was known to his contemporaries</w:t></w:r>
</w:p>
<w:p>
<w:pPr><w:pStyle w:val="Normal"/></w:pPr>
<w:r><w:t xml:space="preserve">by several publications, one of which, The Selling of</w:t></w:r>
</w:p>
<w:p>
<w:pPr><w:pStyle w:val="Normal"/></w:pPr>
<w:r><w:t xml:space="preserve">Joseph (1700), was the first American anti-slavery tract.</w:t></w:r>
</w:p>
<w:p>
<w:pPr><w:pStyle w:val="Normal"/></w:pPr>
<w:r><w:t xml:space="preserve">Puritanism.</w:t></w:r>
</w:p>
<w:p>
<w:pPr><w:pStyle w:val="Normal"/></w:pPr>
<w:r><w:t xml:space="preserve">The literature of the first century, exemplified by these few</w:t></w:r>
</w:p>
<w:p>
<w:pPr><w:pStyle w:val="Normal"/></w:pPr>
<w:r><w:t xml:space="preserve">titles, is considerable in bulk, and like colonial literature</w:t></w:r>
</w:p>
<w:p>
<w:pPr><w:pStyle w:val="Normal"/></w:pPr>
<w:r><w:t xml:space="preserve">elsewhere is preserved for historical reasons.  In general,</w:t></w:r>
</w:p>
<w:p>
<w:pPr><w:pStyle w:val="Normal"/></w:pPr>
<w:r><w:t xml:space="preserve">it records the political progress and social conditions of</w:t></w:r>
</w:p>
<w:p>
<w:pPr><w:pStyle w:val="Normal"/></w:pPr>
<w:r><w:t xml:space="preserve">the Puritan state, and the contents of the Puritan mind.  The</w:t></w:r>
</w:p>
<w:p>
<w:pPr><w:pStyle w:val="Normal"/></w:pPr>
<w:r><w:t xml:space="preserve">development of the original settlement took place without any</w:t></w:r>
</w:p>
<w:p>
<w:pPr><w:pStyle w:val="Normal"/></w:pPr>
<w:r><w:t xml:space="preserve">violent check.  Though the colony was continually recruited</w:t></w:r>
</w:p>
<w:p>
<w:pPr><w:pStyle w:val="Normal"/></w:pPr>
<w:r><w:t xml:space="preserve">by fresh immigration, the original 20,000 who arrived before</w:t></w:r>
</w:p>
<w:p>
<w:pPr><w:pStyle w:val="Normal"/></w:pPr>
<w:r><w:t xml:space="preserve">1640 had established the principles of the state, and their</w:t></w:r>
</w:p>
<w:p>
<w:pPr><w:pStyle w:val="Normal"/></w:pPr>
<w:r><w:t xml:space="preserve">will and ideas remained dominant after the Restoration as</w:t></w:r>
</w:p>
<w:p>
<w:pPr><w:pStyle w:val="Normal"/></w:pPr>
<w:r><w:t xml:space="preserve">before.  It was a theocratic state controlled by the clergy,</w:t></w:r>
</w:p>
<w:p>
<w:pPr><w:pStyle w:val="Normal"/></w:pPr>
<w:r><w:t xml:space="preserve">and yet containing the principle of liberty.  The second</w:t></w:r>
</w:p>
<w:p>
<w:pPr><w:pStyle w:val="Normal"/></w:pPr>
<w:r><w:t xml:space="preserve">and third generations born on the soil, nevertheless, showed</w:t></w:r>
</w:p>
<w:p>
<w:pPr><w:pStyle w:val="Normal"/></w:pPr>
<w:r><w:t xml:space="preserve">some decadence; notwithstanding the effort to provide against</w:t></w:r>
</w:p>
<w:p>
<w:pPr><w:pStyle w:val="Normal"/></w:pPr>
<w:r><w:t xml:space="preserve">intellectual isolation and mental poverty by the foundation</w:t></w:r>
</w:p>
<w:p>
<w:pPr><w:pStyle w:val="Normal"/></w:pPr>
<w:r><w:t xml:space="preserve">of Harvard College, they felt the effects of their situation</w:t></w:r>
</w:p>
<w:p>
<w:pPr><w:pStyle w:val="Normal"/></w:pPr>
<w:r><w:t xml:space="preserve">across the sea and on the borders of a wilderness.  The people</w:t></w:r>
</w:p>
<w:p>
<w:pPr><w:pStyle w:val="Normal"/></w:pPr>
<w:r><w:t xml:space="preserve">were a hardfaring folk and engaged in a material struggle</w:t></w:r>
</w:p>
<w:p>
<w:pPr><w:pStyle w:val="Normal"/></w:pPr>
<w:r><w:t xml:space="preserve">to establish the plantations and develop commerce on the</w:t></w:r>
</w:p>
<w:p>
<w:pPr><w:pStyle w:val="Normal"/></w:pPr>
<w:r><w:t xml:space="preserve">sea; their other life was in religion soberly practised and</w:t></w:r>
</w:p>
<w:p>
<w:pPr><w:pStyle w:val="Normal"/></w:pPr>
<w:r><w:t xml:space="preserve">intensely felt.  They were a people of one book, in the true</w:t></w:r>
</w:p>
<w:p>
<w:pPr><w:pStyle w:val="Normal"/></w:pPr>
<w:r><w:t xml:space="preserve">sense,--the Bible; it was the organ of their mental life</w:t></w:r>
</w:p>
<w:p>
<w:pPr><w:pStyle w:val="Normal"/></w:pPr>
<w:r><w:t xml:space="preserve">as well as of their spiritual feelings.  For them, it was</w:t></w:r>
</w:p>
<w:p>
<w:pPr><w:pStyle w:val="Normal"/></w:pPr>
<w:r><w:t xml:space="preserve">in the place of the higher literature.  But long resident</w:t></w:r>
</w:p>
<w:p>
<w:pPr><w:pStyle w:val="Normal"/></w:pPr>
<w:r><w:t xml:space="preserve">there in the strip between the sea and the forest, cut off</w:t></w:r>
</w:p>
<w:p>
<w:pPr><w:pStyle w:val="Normal"/></w:pPr>
<w:r><w:t xml:space="preserve">from the world and consigned to hard labour and to spiritual</w:t></w:r>
</w:p>
<w:p>
<w:pPr><w:pStyle w:val="Normal"/></w:pPr>
<w:r><w:t xml:space="preserve">ardours, they developed a fanatical temper; their religious</w:t></w:r>
</w:p>
<w:p>
<w:pPr><w:pStyle w:val="Normal"/></w:pPr>
<w:r><w:t xml:space="preserve">life hardened and darkened; intolerance and superstition</w:t></w:r>
</w:p>
<w:p>
<w:pPr><w:pStyle w:val="Normal"/></w:pPr>
<w:r><w:t xml:space="preserve">grew.  Time, nevertheless, ripened new changes, and the</w:t></w:r>
</w:p>
<w:p>
<w:pPr><w:pStyle w:val="Normal"/></w:pPr>
<w:r><w:t xml:space="preserve">colony was to be brought back from its religious seclusion</w:t></w:r>
</w:p>
<w:p>
<w:pPr><w:pStyle w:val="Normal"/></w:pPr>
<w:r><w:t xml:space="preserve">into the normal paths of modern development.  The sign was</w:t></w:r>
</w:p>
<w:p>
<w:pPr><w:pStyle w:val="Normal"/></w:pPr>
<w:r><w:t xml:space="preserve">contained, perhaps, most clearly in the change effected in</w:t></w:r>
</w:p>
<w:p>
<w:pPr><w:pStyle w:val="Normal"/></w:pPr>
<w:r><w:t xml:space="preserve">the new charter granted by King William which made property</w:t></w:r>
</w:p>
<w:p>
<w:pPr><w:pStyle w:val="Normal"/></w:pPr>
<w:r><w:t xml:space="preserve">the basis of the franchise in place of church-membership, and</w:t></w:r>
</w:p>
<w:p>
<w:pPr><w:pStyle w:val="Normal"/></w:pPr>
<w:r><w:t xml:space="preserve">thus set the state upon an economic instead of a religious</w:t></w:r>
</w:p>
<w:p>
<w:pPr><w:pStyle w:val="Normal"/></w:pPr>
<w:r><w:t xml:space="preserve">foundation.  It is rather by men than by books that these</w:t></w:r>
</w:p>
<w:p>
<w:pPr><w:pStyle w:val="Normal"/></w:pPr>
<w:r><w:t xml:space="preserve">times are remembered, but it is by the men who were writers</w:t></w:r>
</w:p>
<w:p>
<w:pPr><w:pStyle w:val="Normal"/></w:pPr>
<w:r><w:t xml:space="preserve">of books.  In general, the career of the three Mathers</w:t></w:r>
</w:p>
<w:p>
<w:pPr><w:pStyle w:val="Normal"/></w:pPr>
<w:r><w:t xml:space="preserve">coincides with the history of the older Puritanism, and</w:t></w:r>
</w:p>
<w:p>
<w:pPr><w:pStyle w:val="Normal"/></w:pPr>
<w:r><w:t xml:space="preserve">their personal characteristics reflect its stages as their</w:t></w:r>
</w:p>
<w:p>
<w:pPr><w:pStyle w:val="Normal"/></w:pPr>
<w:r><w:t xml:space="preserve">writings contain its successive traits.  Richard Mather, the</w:t></w:r>
</w:p>
<w:p>
<w:pPr><w:pStyle w:val="Normal"/></w:pPr>
<w:r><w:t xml:space="preserve">emigrant, had been joint author in the composition of The</w:t></w:r>
</w:p>
<w:p>
<w:pPr><w:pStyle w:val="Normal"/></w:pPr>
<w:r><w:t xml:space="preserve">Bay Psalm Book, and served the colony among the first of its</w:t></w:r>
</w:p>
<w:p>
<w:pPr><w:pStyle w:val="Normal"/></w:pPr>
<w:r><w:t xml:space="preserve">leaders.  It was in his son, Increase Mather (1639-1723),</w:t></w:r>
</w:p>
<w:p>
<w:pPr><w:pStyle w:val="Normal"/></w:pPr>
<w:r><w:t xml:space="preserve">that the theocracy, properly speaking, culminated.  He was</w:t></w:r>
</w:p>
<w:p>
<w:pPr><w:pStyle w:val="Normal"/></w:pPr>
<w:r><w:t xml:space="preserve">not only a divine, president of Harvard College and a prolific</w:t></w:r>
</w:p>
<w:p>
<w:pPr><w:pStyle w:val="Normal"/></w:pPr>
<w:r><w:t xml:space="preserve">writer; but he was dominant in the state, the chief man of</w:t></w:r>
</w:p>
<w:p>
<w:pPr><w:pStyle w:val="Normal"/></w:pPr>
<w:r><w:t xml:space="preserve">affairs.  It was he who, sent to represent the colony in</w:t></w:r>
</w:p>
<w:p>
<w:pPr><w:pStyle w:val="Normal"/></w:pPr>
<w:r><w:t xml:space="preserve">England, received from King William the new charter.  His</w:t></w:r>
</w:p>
<w:p>
<w:pPr><w:pStyle w:val="Normal"/></w:pPr>
<w:r><w:t xml:space="preserve">son, Cotton Mather (1663-1728), succeeded to his father&apos;s</w:t></w:r>
</w:p>
<w:p>
<w:pPr><w:pStyle w:val="Normal"/></w:pPr>
<w:r><w:t xml:space="preserve">distinction; but the changed condition is reflected in his</w:t></w:r>
</w:p>
<w:p>
<w:pPr><w:pStyle w:val="Normal"/></w:pPr>
<w:r><w:t xml:space="preserve">non-participation in affairs; he was a man of the study and</w:t></w:r>
</w:p>
<w:p>
<w:pPr><w:pStyle w:val="Normal"/></w:pPr>
<w:r><w:t xml:space="preserve">led there a narrower life than his father&apos;s had been.  He</w:t></w:r>
</w:p>
<w:p>
<w:pPr><w:pStyle w:val="Normal"/></w:pPr>
<w:r><w:t xml:space="preserve">was, nevertheless, the most broadly characteristic figure of</w:t></w:r>
</w:p>
<w:p>
<w:pPr><w:pStyle w:val="Normal"/></w:pPr>
<w:r><w:t xml:space="preserve">the Puritan of his time.  He was able and learned, abnormally</w:t></w:r>
</w:p>
<w:p>
<w:pPr><w:pStyle w:val="Normal"/></w:pPr>
<w:r><w:t xml:space="preserve">laborious, leaving over 400 titles attributed to him; and at</w:t></w:r>
</w:p>
<w:p>
<w:pPr><w:pStyle w:val="Normal"/></w:pPr>
<w:r><w:t xml:space="preserve">the same time he was an ascetic and visionary.  The work by</w:t></w:r>
</w:p>
<w:p>
<w:pPr><w:pStyle w:val="Normal"/></w:pPr>
<w:r><w:t xml:space="preserve">which he is best remembered, the Magnalia Christi Americana,</w:t></w:r>
</w:p>
<w:p>
<w:pPr><w:pStyle w:val="Normal"/></w:pPr>
<w:r><w:t xml:space="preserve">or the Ecclesiastical History of New England from its First</w:t></w:r>
</w:p>
<w:p>
<w:pPr><w:pStyle w:val="Normal"/></w:pPr>
<w:r><w:t xml:space="preserve">Planting in the Year 1620, unto the Year of our Lord 1698</w:t></w:r>
</w:p>
<w:p>
<w:pPr><w:pStyle w:val="Normal"/></w:pPr>
<w:r><w:t xml:space="preserve">(1702), is the chief historical monument of the period, and</w:t></w:r>
</w:p>
<w:p>
<w:pPr><w:pStyle w:val="Normal"/></w:pPr>
<w:r><w:t xml:space="preserve">the most considerable literary work done in America up to that</w:t></w:r>
</w:p>
<w:p>
<w:pPr><w:pStyle w:val="Normal"/></w:pPr>
<w:r><w:t xml:space="preserve">time.  It is encyclopaedic in scope, and contains an immense</w:t></w:r>
</w:p>
<w:p>
<w:pPr><w:pStyle w:val="Normal"/></w:pPr>
<w:r><w:t xml:space="preserve">accumulation of materials relating to life and events in the</w:t></w:r>
</w:p>
<w:p>
<w:pPr><w:pStyle w:val="Normal"/></w:pPr>
<w:r><w:t xml:space="preserve">colony.  There the New England of the 17th century is</w:t></w:r>
</w:p>
<w:p>
<w:pPr><w:pStyle w:val="Normal"/></w:pPr>
<w:r><w:t xml:space="preserve">displayed.  His numerous other works still further amplify the</w:t></w:r>
</w:p>
<w:p>
<w:pPr><w:pStyle w:val="Normal"/></w:pPr>
<w:r><w:t xml:space="preserve">period, and taken all together his writings best illustrate</w:t></w:r>
</w:p>
<w:p>
<w:pPr><w:pStyle w:val="Normal"/></w:pPr>
<w:r><w:t xml:space="preserve">the contents of Puritanism in New England.  The power of the</w:t></w:r>
</w:p>
<w:p>
<w:pPr><w:pStyle w:val="Normal"/></w:pPr>
<w:r><w:t xml:space="preserve">clergy was waning, but even in the political sphere it was far</w:t></w:r>
</w:p>
<w:p>
<w:pPr><w:pStyle w:val="Normal"/></w:pPr>
<w:r><w:t xml:space="preserve">from extinction, and it continued under its scheme of church</w:t></w:r>
</w:p>
<w:p>
<w:pPr><w:pStyle w:val="Normal"/></w:pPr>
<w:r><w:t xml:space="preserve">government to guard jealously the principles of liberty.</w:t></w:r>
</w:p>
<w:p>
<w:pPr><w:pStyle w:val="Normal"/></w:pPr>
<w:r><w:t xml:space="preserve">In John Wise&apos;s (1652-1725) Vindication of the Government of</w:t></w:r>
</w:p>
<w:p>
<w:pPr><w:pStyle w:val="Normal"/></w:pPr>
<w:r><w:t xml:space="preserve">New England Churches (1717) a precursor of the Revolution is</w:t></w:r>
</w:p>
<w:p>
<w:pPr><w:pStyle w:val="Normal"/></w:pPr>
<w:r><w:t xml:space="preserve">felt.  It was in another sphere, however, that Puritanism</w:t></w:r>
</w:p>
<w:p>
<w:pPr><w:pStyle w:val="Normal"/></w:pPr>
<w:r><w:t xml:space="preserve">in New England was to reach its height, intellectually and</w:t></w:r>
</w:p>
<w:p>
<w:pPr><w:pStyle w:val="Normal"/></w:pPr>
<w:r><w:t xml:space="preserve">spiritually alike, in the brilliant personality of Jonathan</w:t></w:r>
</w:p>
<w:p>
<w:pPr><w:pStyle w:val="Normal"/></w:pPr>
<w:r><w:t xml:space="preserve">Edwards (1703-1758), its last great product.  He was free</w:t></w:r>
</w:p>
<w:p>
<w:pPr><w:pStyle w:val="Normal"/></w:pPr>
<w:r><w:t xml:space="preserve">of affairs, and bred essentially the private life of a</w:t></w:r>
</w:p>
<w:p>
<w:pPr><w:pStyle w:val="Normal"/></w:pPr>
<w:r><w:t xml:space="preserve">thinker.  He displayed in youth extraordinary precocity and</w:t></w:r>
</w:p>
<w:p>
<w:pPr><w:pStyle w:val="Normal"/></w:pPr>
<w:r><w:t xml:space="preserve">varied intellectual curiosity, and showed at the same early</w:t></w:r>
</w:p>
<w:p>
<w:pPr><w:pStyle w:val="Normal"/></w:pPr>
<w:r><w:t xml:space="preserve">time a temperament of spiritual sensitiveness and religious</w:t></w:r>
</w:p>
<w:p>
<w:pPr><w:pStyle w:val="Normal"/></w:pPr>
<w:r><w:t xml:space="preserve">ideality which suggests the youth of a poet rather than of a</w:t></w:r>
</w:p>
<w:p>
<w:pPr><w:pStyle w:val="Normal"/></w:pPr>
<w:r><w:t xml:space="preserve">logician.  It was not without a struggle that he embraced</w:t></w:r>
</w:p>
<w:p>
<w:pPr><w:pStyle w:val="Normal"/></w:pPr>
<w:r><w:t xml:space="preserve">sincerely the Calvinistic scheme of divine rule, but he was</w:t></w:r>
</w:p>
<w:p>
<w:pPr><w:pStyle w:val="Normal"/></w:pPr>
<w:r><w:t xml:space="preserve">able to reconcile the doctrine in its most fearful forms with</w:t></w:r>
</w:p>
<w:p>
<w:pPr><w:pStyle w:val="Normal"/></w:pPr>
<w:r><w:t xml:space="preserve">the serenity and warmth of his own spirit; for his soul at</w:t></w:r>
</w:p>
<w:p>
<w:pPr><w:pStyle w:val="Normal"/></w:pPr>
<w:r><w:t xml:space="preserve">all times seems as lucid as his mind, and his affections were</w:t></w:r>
</w:p>
<w:p>
<w:pPr><w:pStyle w:val="Normal"/></w:pPr>
<w:r><w:t xml:space="preserve">singularly tender and refined.  He served as minister to the</w:t></w:r>
</w:p>
<w:p>
<w:pPr><w:pStyle w:val="Normal"/></w:pPr>
<w:r><w:t xml:space="preserve">church at Northampton; and, driven from that post, he was for</w:t></w:r>
</w:p>
<w:p>
<w:pPr><w:pStyle w:val="Normal"/></w:pPr>
<w:r><w:t xml:space="preserve">eight years a missionary to the Indians at Stockbridge; finally</w:t></w:r>
</w:p>
<w:p>
<w:pPr><w:pStyle w:val="Normal"/></w:pPr>
<w:r><w:t xml:space="preserve">he was made president of Princeton College, where after a few</w:t></w:r>
</w:p>
<w:p>
<w:pPr><w:pStyle w:val="Normal"/></w:pPr>
<w:r><w:t xml:space="preserve">weeks&apos; incumbency he died.  The works upon which his fame is</w:t></w:r>
</w:p>
<w:p>
<w:pPr><w:pStyle w:val="Normal"/></w:pPr>
<w:r><w:t xml:space="preserve">founded are Treatise concerning the Religious Affections</w:t></w:r>
</w:p>
<w:p>
<w:pPr><w:pStyle w:val="Normal"/></w:pPr>
<w:r><w:t xml:space="preserve">(1746), On the Freedom of the Will (1754), Treatise on</w:t></w:r>
</w:p>
<w:p>
<w:pPr><w:pStyle w:val="Normal"/></w:pPr>
<w:r><w:t xml:space="preserve">Original Sin (1758).  They exhibit extraordinary reasoning</w:t></w:r>
</w:p>
<w:p>
<w:pPr><w:pStyle w:val="Normal"/></w:pPr>
<w:r><w:t xml:space="preserve">powers and place him among the most eminent theologians.</w:t></w:r>
</w:p>
<w:p>
<w:pPr><w:pStyle w:val="Normal"/></w:pPr>
<w:r><w:t xml:space="preserve">He contributed by his preaching great inspiring force to the</w:t></w:r>
</w:p>
<w:p>
<w:pPr><w:pStyle w:val="Normal"/></w:pPr>
<w:r><w:t xml:space="preserve">revival, known as &quot;the Great Awakening,&quot; which swept over the</w:t></w:r>
</w:p>
<w:p>
<w:pPr><w:pStyle w:val="Normal"/></w:pPr>
<w:r><w:t xml:space="preserve">dry and formal Puritanism of the age and was its last great</w:t></w:r>
</w:p>
<w:p>
<w:pPr><w:pStyle w:val="Normal"/></w:pPr>
<w:r><w:t xml:space="preserve">flame.  In him New England idealism had come to the birth.  He</w:t></w:r>
</w:p>
<w:p>
<w:pPr><w:pStyle w:val="Normal"/></w:pPr>
<w:r><w:t xml:space="preserve">illustrates, better than all others, the power of Puritanism</w:t></w:r>
</w:p>
<w:p>
<w:pPr><w:pStyle w:val="Normal"/></w:pPr>
<w:r><w:t xml:space="preserve">as a spiritual force; and in him only did that power reach</w:t></w:r>
</w:p>
<w:p>
<w:pPr><w:pStyle w:val="Normal"/></w:pPr>
<w:r><w:t xml:space="preserve">intellectual expression in a memorable way for the larger</w:t></w:r>
</w:p>
<w:p>
<w:pPr><w:pStyle w:val="Normal"/></w:pPr>
<w:r><w:t xml:space="preserve">world.  The ecclesiastical literature of Puritanism, abundant</w:t></w:r>
</w:p>
<w:p>
<w:pPr><w:pStyle w:val="Normal"/></w:pPr>
<w:r><w:t xml:space="preserve">as it was, produced no other work of power; nor did the</w:t></w:r>
</w:p>
<w:p>
<w:pPr><w:pStyle w:val="Normal"/></w:pPr>
<w:r><w:t xml:space="preserve">Puritan patronage of literature prove fruitful in other</w:t></w:r>
</w:p>
<w:p>
<w:pPr><w:pStyle w:val="Normal"/></w:pPr>
<w:r><w:t xml:space="preserve">fields.  If Puritanism was thus infertile, it nevertheless</w:t></w:r>
</w:p>
<w:p>
<w:pPr><w:pStyle w:val="Normal"/></w:pPr>
<w:r><w:t xml:space="preserve">prepared the soil.  It impressed upon New England the</w:t></w:r>
</w:p>
<w:p>
<w:pPr><w:pStyle w:val="Normal"/></w:pPr>
<w:r><w:t xml:space="preserve">stamp of the mind; the entire community was by its means</w:t></w:r>
</w:p>
<w:p>
<w:pPr><w:pStyle w:val="Normal"/></w:pPr>
<w:r><w:t xml:space="preserve">intellectually as well as morally bred; and to its training</w:t></w:r>
</w:p>
<w:p>
<w:pPr><w:pStyle w:val="Normal"/></w:pPr>
<w:r><w:t xml:space="preserve">and the predisposition it established in the genius of the</w:t></w:r>
</w:p>
<w:p>
<w:pPr><w:pStyle w:val="Normal"/></w:pPr>
<w:r><w:t xml:space="preserve">people may be ascribed the respect for the book which has</w:t></w:r>
</w:p>
<w:p>
<w:pPr><w:pStyle w:val="Normal"/></w:pPr>
<w:r><w:t xml:space="preserve">always characterized that section, the serious temper and</w:t></w:r>
</w:p>
<w:p>
<w:pPr><w:pStyle w:val="Normal"/></w:pPr>
<w:r><w:t xml:space="preserve">elevation of its later literature and the spiritual quality of</w:t></w:r>
</w:p>
<w:p>
<w:pPr><w:pStyle w:val="Normal"/></w:pPr>
<w:r><w:t xml:space="preserve">the imagination which is so marked a quality of its authors.</w:t></w:r>
</w:p>
<w:p>
<w:pPr><w:pStyle w:val="Normal"/></w:pPr>
<w:r><w:t xml:space="preserve">Franklin.</w:t></w:r>
</w:p>
<w:p>
<w:pPr><w:pStyle w:val="Normal"/></w:pPr>
<w:r><w:t xml:space="preserve">The secularization of life in New England, which went on</w:t></w:r>
</w:p>
<w:p>
<w:pPr><w:pStyle w:val="Normal"/></w:pPr>
<w:r><w:t xml:space="preserve">concurrently with the decline of the clergy in social power,</w:t></w:r>
</w:p>
<w:p>
<w:pPr><w:pStyle w:val="Normal"/></w:pPr>
<w:r><w:t xml:space="preserve">was incidental to colonial growth.  The practical force</w:t></w:r>
</w:p>
<w:p>
<w:pPr><w:pStyle w:val="Normal"/></w:pPr>
<w:r><w:t xml:space="preserve">of the people had always been strong; material prosperity</w:t></w:r>
</w:p>
<w:p>
<w:pPr><w:pStyle w:val="Normal"/></w:pPr>
<w:r><w:t xml:space="preserve">increased and a powerful class of merchants grew up; public</w:t></w:r>
</w:p>
<w:p>
<w:pPr><w:pStyle w:val="Normal"/></w:pPr>
<w:r><w:t xml:space="preserve">questions multiplied in variety and gained in importance.</w:t></w:r>
</w:p>
<w:p>
<w:pPr><w:pStyle w:val="Normal"/></w:pPr>
<w:r><w:t xml:space="preserve">The affairs of the world had definitely obtained the upper</w:t></w:r>
</w:p>
<w:p>
<w:pPr><w:pStyle w:val="Normal"/></w:pPr>
<w:r><w:t xml:space="preserve">hand.  The new spirit found its representative in the great</w:t></w:r>
</w:p>
<w:p>
<w:pPr><w:pStyle w:val="Normal"/></w:pPr>
<w:r><w:t xml:space="preserve">figure of Benjamin Franklin (1706-1790), who, born in Boston,</w:t></w:r>
</w:p>
<w:p>
<w:pPr><w:pStyle w:val="Normal"/></w:pPr>
<w:r><w:t xml:space="preserve">early emigrated to Philadelphia, an act which in itself may</w:t></w:r>
</w:p>
<w:p>
<w:pPr><w:pStyle w:val="Normal"/></w:pPr>
<w:r><w:t xml:space="preserve">be thought to forecast the transfer of the centre of interest</w:t></w:r>
</w:p>
<w:p>
<w:pPr><w:pStyle w:val="Normal"/></w:pPr>
<w:r><w:t xml:space="preserve">to the west and south and specifically to that city where</w:t></w:r>
</w:p>
<w:p>
<w:pPr><w:pStyle w:val="Normal"/></w:pPr>
<w:r><w:t xml:space="preserve">the congress was to sit.  Franklin was a printer, and the</w:t></w:r>
</w:p>
<w:p>
<w:pPr><w:pStyle w:val="Normal"/></w:pPr>
<w:r><w:t xml:space="preserve">books he circulated are an index to the uses of reading in</w:t></w:r>
</w:p>
<w:p>
<w:pPr><w:pStyle w:val="Normal"/></w:pPr>
<w:r><w:t xml:space="preserve">his generation.  Practical works, such as almanacs, were</w:t></w:r>
</w:p>
<w:p>
<w:pPr><w:pStyle w:val="Normal"/></w:pPr>
<w:r><w:t xml:space="preserve">plentiful, and it is characteristic that Franklin&apos;s name is, in</w:t></w:r>
</w:p>
<w:p>
<w:pPr><w:pStyle w:val="Normal"/></w:pPr>
<w:r><w:t xml:space="preserve">literature, first associated with Poor Richard&apos;s Almanack</w:t></w:r>
</w:p>
<w:p>
<w:pPr><w:pStyle w:val="Normal"/></w:pPr>
<w:r><w:t xml:space="preserve">(1732).  The literature of the 18th century outside of New</w:t></w:r>
</w:p>
<w:p>
<w:pPr><w:pStyle w:val="Normal"/></w:pPr>
<w:r><w:t xml:space="preserve">England continued to be constituted of works of exploration,</w:t></w:r>
</w:p>
<w:p>
<w:pPr><w:pStyle w:val="Normal"/></w:pPr>
<w:r><w:t xml:space="preserve">description, colonial affairs, with some sprinkling of crude</w:t></w:r>
</w:p>
<w:p>
<w:pPr><w:pStyle w:val="Normal"/></w:pPr>
<w:r><w:t xml:space="preserve">science and doctrines of wealth; but it yields no distinguished</w:t></w:r>
</w:p>
<w:p>
<w:pPr><w:pStyle w:val="Normal"/></w:pPr>
<w:r><w:t xml:space="preserve">names or remembered titles.  Franklin&apos;s character subsumes</w:t></w:r>
</w:p>
<w:p>
<w:pPr><w:pStyle w:val="Normal"/></w:pPr>
<w:r><w:t xml:space="preserve">the spirit of it.  In him thrift and benevolence were main</w:t></w:r>
</w:p>
<w:p>
<w:pPr><w:pStyle w:val="Normal"/></w:pPr>
<w:r><w:t xml:space="preserve">constituents; scientific curiosity of a useful sort and invention</w:t></w:r>
</w:p>
<w:p>
<w:pPr><w:pStyle w:val="Normal"/></w:pPr>
<w:r><w:t xml:space="preserve">distinguished him; after he had secured a competence, public</w:t></w:r>
</w:p>
<w:p>
<w:pPr><w:pStyle w:val="Normal"/></w:pPr>
<w:r><w:t xml:space="preserve">interests filled his mature years.  In him was the focus of the</w:t></w:r>
</w:p>
<w:p>
<w:pPr><w:pStyle w:val="Normal"/></w:pPr>
<w:r><w:t xml:space="preserve">federating impulses of the time, and as the representative of</w:t></w:r>
</w:p>
<w:p>
<w:pPr><w:pStyle w:val="Normal"/></w:pPr>
<w:r><w:t xml:space="preserve">the colonies in England and during the Revolution in France,</w:t></w:r>
</w:p>
<w:p>
<w:pPr><w:pStyle w:val="Normal"/></w:pPr>
<w:r><w:t xml:space="preserve">he was in his proper place as the greatest citizen of his</w:t></w:r>
</w:p>
<w:p>
<w:pPr><w:pStyle w:val="Normal"/></w:pPr>
<w:r><w:t xml:space="preserve">country.  He was, first of men, broadly interested in all the</w:t></w:r>
</w:p>
<w:p>
<w:pPr><w:pStyle w:val="Normal"/></w:pPr>
<w:r><w:t xml:space="preserve">colonies, and in his mind the future began to be comprehended</w:t></w:r>
</w:p>
<w:p>
<w:pPr><w:pStyle w:val="Normal"/></w:pPr>
<w:r><w:t xml:space="preserve">in its true perspective and scale; and for these reasons to</w:t></w:r>
</w:p>
<w:p>
<w:pPr><w:pStyle w:val="Normal"/></w:pPr>
<w:r><w:t xml:space="preserve">him properly belongs the title of &quot;the first American.&quot; The</w:t></w:r>
</w:p>
<w:p>
<w:pPr><w:pStyle w:val="Normal"/></w:pPr>
<w:r><w:t xml:space="preserve">type of his character set forth in the Autobiography (1817)</w:t></w:r>
</w:p>
<w:p>
<w:pPr><w:pStyle w:val="Normal"/></w:pPr>
<w:r><w:t xml:space="preserve">was profoundly American and prophetic of the plain people&apos;s</w:t></w:r>
</w:p>
<w:p>
<w:pPr><w:pStyle w:val="Normal"/></w:pPr>
<w:r><w:t xml:space="preserve">ideal of success in a democracy.  It is by his character and</w:t></w:r>
</w:p>
<w:p>
<w:pPr><w:pStyle w:val="Normal"/></w:pPr>
<w:r><w:t xml:space="preserve">career rather than by his works or even by his great public</w:t></w:r>
</w:p>
<w:p>
<w:pPr><w:pStyle w:val="Normal"/></w:pPr>
<w:r><w:t xml:space="preserve">services that he is remembered; he is a type of the citizen-</w:t></w:r>
</w:p>
<w:p>
<w:pPr><w:pStyle w:val="Normal"/></w:pPr>
<w:r><w:t xml:space="preserve">man.  Older than his companions, and plain while they were of</w:t></w:r>
</w:p>
<w:p>
<w:pPr><w:pStyle w:val="Normal"/></w:pPr>
<w:r><w:t xml:space="preserve">an aristocratic stamp, he greatens over them in the popular</w:t></w:r>
</w:p>
<w:p>
<w:pPr><w:pStyle w:val="Normal"/></w:pPr>
<w:r><w:t xml:space="preserve">mind as age greatens over youth; but it was these companions</w:t></w:r>
</w:p>
<w:p>
<w:pPr><w:pStyle w:val="Normal"/></w:pPr>
<w:r><w:t xml:space="preserve">who were to lay the foundations of the political literature of</w:t></w:r>
</w:p>
<w:p>
<w:pPr><w:pStyle w:val="Normal"/></w:pPr>
<w:r><w:t xml:space="preserve">America.  With the increasing political life lawyers as a</w:t></w:r>
</w:p>
<w:p>
<w:pPr><w:pStyle w:val="Normal"/></w:pPr>
<w:r><w:t xml:space="preserve">class had naturally come into prominence as spokesmen and</w:t></w:r>
</w:p>
<w:p>
<w:pPr><w:pStyle w:val="Normal"/></w:pPr>
<w:r><w:t xml:space="preserve">debaters.  A young generation of orators sprang up, of</w:t></w:r>
</w:p>
<w:p>
<w:pPr><w:pStyle w:val="Normal"/></w:pPr>
<w:r><w:t xml:space="preserve">whom James Otis (1725-1783) in the north, and Patrick Henry</w:t></w:r>
</w:p>
<w:p>
<w:pPr><w:pStyle w:val="Normal"/></w:pPr>
<w:r><w:t xml:space="preserve">(1736-1799) in the south, were the most brilliant; and a group</w:t></w:r>
</w:p>
<w:p>
<w:pPr><w:pStyle w:val="Normal"/></w:pPr>
<w:r><w:t xml:space="preserve">of statesmen, of whom the most notable were Thomas Jefferson</w:t></w:r>
</w:p>
<w:p>
<w:pPr><w:pStyle w:val="Normal"/></w:pPr>
<w:r><w:t xml:space="preserve">(1743-1826), James Madison (1751-1836), and Alexander Hamilton</w:t></w:r>
</w:p>
<w:p>
<w:pPr><w:pStyle w:val="Normal"/></w:pPr>
<w:r><w:t xml:space="preserve">(1757-1804), held the political direction of the times; in the</w:t></w:r>
</w:p>
<w:p>
<w:pPr><w:pStyle w:val="Normal"/></w:pPr>
<w:r><w:t xml:space="preserve">speeches and state-papers of these orators and statesmen and</w:t></w:r>
</w:p>
<w:p>
<w:pPr><w:pStyle w:val="Normal"/></w:pPr>
<w:r><w:t xml:space="preserve">their fellows the political literature of the colonies came to</w:t></w:r>
</w:p>
<w:p>
<w:pPr><w:pStyle w:val="Normal"/></w:pPr>
<w:r><w:t xml:space="preserve">hold the first place.  The chief memorials of this literature</w:t></w:r>
</w:p>
<w:p>
<w:pPr><w:pStyle w:val="Normal"/></w:pPr>
<w:r><w:t xml:space="preserve">are The Declaration of Independence (1776), The Federalist</w:t></w:r>
</w:p>
<w:p>
<w:pPr><w:pStyle w:val="Normal"/></w:pPr>
<w:r><w:t xml:space="preserve">(1788), a treatise on the principles of free government, and</w:t></w:r>
</w:p>
<w:p>
<w:pPr><w:pStyle w:val="Normal"/></w:pPr>
<w:r><w:t xml:space="preserve">Washington&apos;s Addresses (1789-1793-1796).  Thus politics</w:t></w:r>
</w:p>
<w:p>
<w:pPr><w:pStyle w:val="Normal"/></w:pPr>
<w:r><w:t xml:space="preserve">became, in succession to exploration and religion, the most</w:t></w:r>
</w:p>
<w:p>
<w:pPr><w:pStyle w:val="Normal"/></w:pPr>
<w:r><w:t xml:space="preserve">important literary element in the latter half of the 18th century.</w:t></w:r>
</w:p>
<w:p>
<w:pPr><w:pStyle w:val="Normal"/></w:pPr>
<w:r><w:t xml:space="preserve">18th-century poetry and fiction.</w:t></w:r>
</w:p>
<w:p>
<w:pPr><w:pStyle w:val="Normal"/></w:pPr>
<w:r><w:t xml:space="preserve">The more refined forms of literature also began to receive</w:t></w:r>
</w:p>
<w:p>
<w:pPr><w:pStyle w:val="Normal"/></w:pPr>
<w:r><w:t xml:space="preserve">intelligent attention towards the close of the period.  The</w:t></w:r>
</w:p>
<w:p>
<w:pPr><w:pStyle w:val="Normal"/></w:pPr>
<w:r><w:t xml:space="preserve">Revolution in passing struck out some sparks of balladry and</w:t></w:r>
</w:p>
<w:p>
<w:pPr><w:pStyle w:val="Normal"/></w:pPr>
<w:r><w:t xml:space="preserve">song, but the inspiration of the spirit of nationality was</w:t></w:r>
</w:p>
<w:p>
<w:pPr><w:pStyle w:val="Normal"/></w:pPr>
<w:r><w:t xml:space="preserve">first felt in poetry by Philip Freneau (1752-1832), whose</w:t></w:r>
</w:p>
<w:p>
<w:pPr><w:pStyle w:val="Normal"/></w:pPr>
<w:r><w:t xml:space="preserve">Poems (1786) marked the best political achievement up to his</w:t></w:r>
</w:p>
<w:p>
<w:pPr><w:pStyle w:val="Normal"/></w:pPr>
<w:r><w:t xml:space="preserve">time.  Patriotism was also a ruling motive in the works of</w:t></w:r>
</w:p>
<w:p>
<w:pPr><w:pStyle w:val="Normal"/></w:pPr>
<w:r><w:t xml:space="preserve">the three poets associated with Yale College, John Trumbull</w:t></w:r>
</w:p>
<w:p>
<w:pPr><w:pStyle w:val="Normal"/></w:pPr>
<w:r><w:t xml:space="preserve">(1750-1831), Timothy Dwight (1752-1817), and Joel Barlow</w:t></w:r>
</w:p>
<w:p>
<w:pPr><w:pStyle w:val="Normal"/></w:pPr>
<w:r><w:t xml:space="preserve">(1754-1812), authors respectively of McFingal (1782), a</w:t></w:r>
</w:p>
<w:p>
<w:pPr><w:pStyle w:val="Normal"/></w:pPr>
<w:r><w:t xml:space="preserve">Hudibrastic satire of the Revolution, The Conquest of Canaan</w:t></w:r>
</w:p>
<w:p>
<w:pPr><w:pStyle w:val="Normal"/></w:pPr>
<w:r><w:t xml:space="preserve">(1785), an epic, and The Vision of Columbus (1787), later</w:t></w:r>
</w:p>
<w:p>
<w:pPr><w:pStyle w:val="Normal"/></w:pPr>
<w:r><w:t xml:space="preserve">remade into The Columbiad, also an epic.  These poets gathered</w:t></w:r>
</w:p>
<w:p>
<w:pPr><w:pStyle w:val="Normal"/></w:pPr>
<w:r><w:t xml:space="preserve">about them a less talented company, and all were denominated</w:t></w:r>
</w:p>
<w:p>
<w:pPr><w:pStyle w:val="Normal"/></w:pPr>
<w:r><w:t xml:space="preserve">in common the &quot;Hartford Wits,&quot; by which name rather than by</w:t></w:r>
</w:p>
<w:p>
<w:pPr><w:pStyle w:val="Normal"/></w:pPr>
<w:r><w:t xml:space="preserve">their works they are remembered.  The national hymn, &quot;Hail</w:t></w:r>
</w:p>
<w:p>
<w:pPr><w:pStyle w:val="Normal"/></w:pPr>
<w:r><w:t xml:space="preserve">Columbia,&quot; was composed by Joseph Hopkinson (1770-1842) in</w:t></w:r>
</w:p>
<w:p>
<w:pPr><w:pStyle w:val="Normal"/></w:pPr>
<w:r><w:t xml:space="preserve">1798.  Fiction, in turn, was first cultivated by Charles Brockden</w:t></w:r>
</w:p>
<w:p>
<w:pPr><w:pStyle w:val="Normal"/></w:pPr>
<w:r><w:t xml:space="preserve">Brown (1771-1810), a Philadelphian, who wrote six romantic</w:t></w:r>
</w:p>
<w:p>
<w:pPr><w:pStyle w:val="Normal"/></w:pPr>
<w:r><w:t xml:space="preserve">novels (1798-1801) after the style of Godwin, but set in the</w:t></w:r>
</w:p>
<w:p>
<w:pPr><w:pStyle w:val="Normal"/></w:pPr>
<w:r><w:t xml:space="preserve">conditions of the new world and mixing local description and</w:t></w:r>
</w:p>
<w:p>
<w:pPr><w:pStyle w:val="Normal"/></w:pPr>
<w:r><w:t xml:space="preserve">observation with the material of mystery and terror.  Fiction</w:t></w:r>
</w:p>
<w:p>
<w:pPr><w:pStyle w:val="Normal"/></w:pPr>
<w:r><w:t xml:space="preserve">had been earlier attempted by Mrs Susanna Haswell Rowson, whose</w:t></w:r>
</w:p>
<w:p>
<w:pPr><w:pStyle w:val="Normal"/></w:pPr>
<w:r><w:t xml:space="preserve">Charlotte Temple (1790) is remembered, and contemporaneously</w:t></w:r>
</w:p>
<w:p>
<w:pPr><w:pStyle w:val="Normal"/></w:pPr>
<w:r><w:t xml:space="preserve">by Mrs Hannah Webster Foster in The Coquette (1797) and by</w:t></w:r>
</w:p>
<w:p>
<w:pPr><w:pStyle w:val="Normal"/></w:pPr>
<w:r><w:t xml:space="preserve">Royall Tyler (1758-1826) in The Algerian Captive (1799);</w:t></w:r>
</w:p>
<w:p>
<w:pPr><w:pStyle w:val="Normal"/></w:pPr>
<w:r><w:t xml:space="preserve">but to Brown properly belongs the title of the first American</w:t></w:r>
</w:p>
<w:p>
<w:pPr><w:pStyle w:val="Normal"/></w:pPr>
<w:r><w:t xml:space="preserve">novelist, nor are his works without invention and intensity</w:t></w:r>
</w:p>
<w:p>
<w:pPr><w:pStyle w:val="Normal"/></w:pPr>
<w:r><w:t xml:space="preserve">and a certain distinction that secure for them permanent</w:t></w:r>
</w:p>
<w:p>
<w:pPr><w:pStyle w:val="Normal"/></w:pPr>
<w:r><w:t xml:space="preserve">remembrance.  The drama formally began its career on a regular</w:t></w:r>
</w:p>
<w:p>
<w:pPr><w:pStyle w:val="Normal"/></w:pPr>
<w:r><w:t xml:space="preserve">stage and with an established company, in 1786 at New York,</w:t></w:r>
</w:p>
<w:p>
<w:pPr><w:pStyle w:val="Normal"/></w:pPr>
<w:r><w:t xml:space="preserve">with the acting of Royall Tyler&apos;s comedy The Contrast; but</w:t></w:r>
</w:p>
<w:p>
<w:pPr><w:pStyle w:val="Normal"/></w:pPr>
<w:r><w:t xml:space="preserve">the earliest American play was Thomas Godfrey&apos;s (1736-1763)</w:t></w:r>
</w:p>
<w:p>
<w:pPr><w:pStyle w:val="Normal"/></w:pPr>
<w:r><w:t xml:space="preserve">tragedy, The Prince of Parthia, acted in Philadelphia in</w:t></w:r>
</w:p>
<w:p>
<w:pPr><w:pStyle w:val="Normal"/></w:pPr>
<w:r><w:t xml:space="preserve">1767.  William Dunlap (1766-1839) is, however, credited with</w:t></w:r>
</w:p>
<w:p>
<w:pPr><w:pStyle w:val="Normal"/></w:pPr>
<w:r><w:t xml:space="preserve">being the father of the American theatre on the New York</w:t></w:r>
</w:p>
<w:p>
<w:pPr><w:pStyle w:val="Normal"/></w:pPr>
<w:r><w:t xml:space="preserve">stage, where his plays were produced.  One other earlier</w:t></w:r>
</w:p>
<w:p>
<w:pPr><w:pStyle w:val="Normal"/></w:pPr>
<w:r><w:t xml:space="preserve">book deserves mention, John Woolman&apos;s (1720-1772) Journal</w:t></w:r>
</w:p>
<w:p>
<w:pPr><w:pStyle w:val="Normal"/></w:pPr>
<w:r><w:t xml:space="preserve">(1775), an autobiography with much charm.  With these various</w:t></w:r>
</w:p>
<w:p>
<w:pPr><w:pStyle w:val="Normal"/></w:pPr>
<w:r><w:t xml:space="preserve">attempts the 18th century was brought to an end.  In 200</w:t></w:r>
</w:p>
<w:p>
<w:pPr><w:pStyle w:val="Normal"/></w:pPr>
<w:r><w:t xml:space="preserve">years no literary classic had been produced in America.</w:t></w:r>
</w:p>
<w:p>
<w:pPr><w:pStyle w:val="Normal"/></w:pPr>
<w:r><w:t xml:space="preserve">The new nation.</w:t></w:r>
</w:p>
<w:p>
<w:pPr><w:pStyle w:val="Normal"/></w:pPr>
<w:r><w:t xml:space="preserve">The new nation, which with the 19th century began its integral</w:t></w:r>
</w:p>
<w:p>
<w:pPr><w:pStyle w:val="Normal"/></w:pPr>
<w:r><w:t xml:space="preserve">career, still retained the great disparities which originally</w:t></w:r>
</w:p>
<w:p>
<w:pPr><w:pStyle w:val="Normal"/></w:pPr>
<w:r><w:t xml:space="preserve">existed between the diverse colonies.  Political unity,</w:t></w:r>
</w:p>
<w:p>
<w:pPr><w:pStyle w:val="Normal"/></w:pPr>
<w:r><w:t xml:space="preserve">the simplest of the social unities, had been achieved; &quot;a</w:t></w:r>
</w:p>
<w:p>
<w:pPr><w:pStyle w:val="Normal"/></w:pPr>
<w:r><w:t xml:space="preserve">more perfect union,&quot; in the language of the founders, had</w:t></w:r>
</w:p>
<w:p>
<w:pPr><w:pStyle w:val="Normal"/></w:pPr>
<w:r><w:t xml:space="preserve">been formed; but even in the political sphere the new state</w:t></w:r>
</w:p>
<w:p>
<w:pPr><w:pStyle w:val="Normal"/></w:pPr>
<w:r><w:t xml:space="preserve">bore in its bosom disuniting forces which again and again</w:t></w:r>
</w:p>
<w:p>
<w:pPr><w:pStyle w:val="Normal"/></w:pPr>
<w:r><w:t xml:space="preserve">threatened to rive it apart until they were dissipated in</w:t></w:r>
</w:p>
<w:p>
<w:pPr><w:pStyle w:val="Normal"/></w:pPr>
<w:r><w:t xml:space="preserve">the Civil War; and in the other spheres of its existence,</w:t></w:r>
</w:p>
<w:p>
<w:pPr><w:pStyle w:val="Normal"/></w:pPr>
<w:r><w:t xml:space="preserve">intellectually, morally, socially, its unity was far from being</w:t></w:r>
</w:p>
<w:p>
<w:pPr><w:pStyle w:val="Normal"/></w:pPr>
<w:r><w:t xml:space="preserve">accomplished.  The expansion of its territory over the</w:t></w:r>
</w:p>
<w:p>
<w:pPr><w:pStyle w:val="Normal"/></w:pPr>
<w:r><w:t xml:space="preserve">continental area brought new local diversity and prolonged the</w:t></w:r>
</w:p>
<w:p>
<w:pPr><w:pStyle w:val="Normal"/></w:pPr>
<w:r><w:t xml:space="preserve">contrasts of border conditions with those of the long-settled</w:t></w:r>
</w:p>
<w:p>
<w:pPr><w:pStyle w:val="Normal"/></w:pPr>
<w:r><w:t xml:space="preserve">communities.  This state of affairs was reflected in the</w:t></w:r>
</w:p>
<w:p>
<w:pPr><w:pStyle w:val="Normal"/></w:pPr>
<w:r><w:t xml:space="preserve">capital fact that there was no metropolitan centre in which</w:t></w:r>
</w:p>
<w:p>
<w:pPr><w:pStyle w:val="Normal"/></w:pPr>
<w:r><w:t xml:space="preserve">the tradition and forces of the nation were concentrated.</w:t></w:r>
</w:p>
<w:p>
<w:pPr><w:pStyle w:val="Normal"/></w:pPr>
<w:r><w:t xml:space="preserve">Washington was a centre of political administration; but that was</w:t></w:r>
</w:p>
<w:p>
<w:pPr><w:pStyle w:val="Normal"/></w:pPr>
<w:r><w:t xml:space="preserve">all.  The nation grew slowly, indeed, into consciousness of</w:t></w:r>
</w:p>
<w:p>
<w:pPr><w:pStyle w:val="Normal"/></w:pPr>
<w:r><w:t xml:space="preserve">its own existence; but it was without united history, without</w:t></w:r>
</w:p>
<w:p>
<w:pPr><w:pStyle w:val="Normal"/></w:pPr>
<w:r><w:t xml:space="preserve">national traditions of civilization and culture, and it was</w:t></w:r>
</w:p>
<w:p>
<w:pPr><w:pStyle w:val="Normal"/></w:pPr>
<w:r><w:t xml:space="preserve">committed to the untried idea of democracy.  It was founded</w:t></w:r>
</w:p>
<w:p>
<w:pPr><w:pStyle w:val="Normal"/></w:pPr>
<w:r><w:t xml:space="preserve">in a new faith; yet at the moment that it proclaimed the</w:t></w:r>
</w:p>
<w:p>
<w:pPr><w:pStyle w:val="Normal"/></w:pPr>
<w:r><w:t xml:space="preserve">equality of men, its own social structure and habit north and</w:t></w:r>
</w:p>
<w:p>
<w:pPr><w:pStyle w:val="Normal"/></w:pPr>
<w:r><w:t xml:space="preserve">south contradicted the declaration, not merely by the fact</w:t></w:r>
</w:p>
<w:p>
<w:pPr><w:pStyle w:val="Normal"/></w:pPr>
<w:r><w:t xml:space="preserve">of slavery, but by the life of its classes.  The south long</w:t></w:r>
</w:p>
<w:p>
<w:pPr><w:pStyle w:val="Normal"/></w:pPr>
<w:r><w:t xml:space="preserve">remained oligarchic; in the north aristocracy slowly melted</w:t></w:r>
</w:p>
<w:p>
<w:pPr><w:pStyle w:val="Normal"/></w:pPr>
<w:r><w:t xml:space="preserve">away.  The coincidence of an economic opportunity with a</w:t></w:r>
</w:p>
<w:p>
<w:pPr><w:pStyle w:val="Normal"/></w:pPr>
<w:r><w:t xml:space="preserve">philosophic principle is the secret of the career of American</w:t></w:r>
</w:p>
<w:p>
<w:pPr><w:pStyle w:val="Normal"/></w:pPr>
<w:r><w:t xml:space="preserve">democracy in its first century.  The vast resources of an</w:t></w:r>
</w:p>
<w:p>
<w:pPr><w:pStyle w:val="Normal"/></w:pPr>
<w:r><w:t xml:space="preserve">undeveloped country gave this opportunity to the individual,</w:t></w:r>
</w:p>
<w:p>
<w:pPr><w:pStyle w:val="Normal"/></w:pPr>
<w:r><w:t xml:space="preserve">while the nation was pledged by its fundamental idea to material</w:t></w:r>
</w:p>
<w:p>
<w:pPr><w:pStyle w:val="Normal"/></w:pPr>
<w:r><w:t xml:space="preserve">prosperity for the masses, popular education and the common</w:t></w:r>
</w:p>
<w:p>
<w:pPr><w:pStyle w:val="Normal"/></w:pPr>
<w:r><w:t xml:space="preserve">welfare, as the supreme test of government.  In this labour,</w:t></w:r>
</w:p>
<w:p>
<w:pPr><w:pStyle w:val="Normal"/></w:pPr>
<w:r><w:t xml:space="preserve">subduing the new world to agriculture, trade and manufactures,</w:t></w:r>
</w:p>
<w:p>
<w:pPr><w:pStyle w:val="Normal"/></w:pPr>
<w:r><w:t xml:space="preserve">the forces of the nation were spent, under the complication of</w:t></w:r>
</w:p>
<w:p>
<w:pPr><w:pStyle w:val="Normal"/></w:pPr>
<w:r><w:t xml:space="preserve">maintaining the will of the people as the directing power; the</w:t></w:r>
</w:p>
<w:p>
<w:pPr><w:pStyle w:val="Normal"/></w:pPr>
<w:r><w:t xml:space="preserve">subjugation of the soil and experience in popular government</w:t></w:r>
</w:p>
<w:p>
<w:pPr><w:pStyle w:val="Normal"/></w:pPr>
<w:r><w:t xml:space="preserve">are the main facts of American history.  In the course of this</w:t></w:r>
</w:p>
<w:p>
<w:pPr><w:pStyle w:val="Normal"/></w:pPr>
<w:r><w:t xml:space="preserve">task the practice of the fine arts was hardly more than an</w:t></w:r>
</w:p>
<w:p>
<w:pPr><w:pStyle w:val="Normal"/></w:pPr>
<w:r><w:t xml:space="preserve">incident.  When anyone thinks of Greece, he thinks first of</w:t></w:r>
</w:p>
<w:p>
<w:pPr><w:pStyle w:val="Normal"/></w:pPr>
<w:r><w:t xml:space="preserve">her arts; when anyone thinks of America, he thinks of her arts</w:t></w:r>
</w:p>
<w:p>
<w:pPr><w:pStyle w:val="Normal"/></w:pPr>
<w:r><w:t xml:space="preserve">last.  Literature, in the sense of the printed word, has had a</w:t></w:r>
</w:p>
<w:p>
<w:pPr><w:pStyle w:val="Normal"/></w:pPr>
<w:r><w:t xml:space="preserve">great career in America; as the vehicle of use, books, journals,</w:t></w:r>
</w:p>
<w:p>
<w:pPr><w:pStyle w:val="Normal"/></w:pPr>
<w:r><w:t xml:space="preserve">literary communication, educational works and libraries have</w:t></w:r>
</w:p>
<w:p>
<w:pPr><w:pStyle w:val="Normal"/></w:pPr>
<w:r><w:t xml:space="preserve">filled the land; nowhere has the power of the printed word</w:t></w:r>
</w:p>
<w:p>
<w:pPr><w:pStyle w:val="Normal"/></w:pPr>
<w:r><w:t xml:space="preserve">ever been so great, nowhere has the man of literary genius</w:t></w:r>
</w:p>
<w:p>
<w:pPr><w:pStyle w:val="Normal"/></w:pPr>
<w:r><w:t xml:space="preserve">ever had so broad an opportunity to affect the minds of men</w:t></w:r>
</w:p>
<w:p>
<w:pPr><w:pStyle w:val="Normal"/></w:pPr>
<w:r><w:t xml:space="preserve">contemporaneously.  But, in the artistic sense, literature, at</w:t></w:r>
</w:p>
<w:p>
<w:pPr><w:pStyle w:val="Normal"/></w:pPr>
<w:r><w:t xml:space="preserve">most, has been locally illustrated by a few eminent names.</w:t></w:r>
</w:p>
<w:p>
<w:pPr><w:pStyle w:val="Normal"/></w:pPr>
<w:r><w:t xml:space="preserve">The most obvious fact with regard to this literature is</w:t></w:r>
</w:p>
<w:p>
<w:pPr><w:pStyle w:val="Normal"/></w:pPr>
<w:r><w:t xml:space="preserve">that--to adopt a convenient word--it has been regional.</w:t></w:r>
</w:p>
<w:p>
<w:pPr><w:pStyle w:val="Normal"/></w:pPr>
<w:r><w:t xml:space="preserve">It has flourished in parts of the country, very distinctly</w:t></w:r>
</w:p>
<w:p>
<w:pPr><w:pStyle w:val="Normal"/></w:pPr>
<w:r><w:t xml:space="preserve">marked, and is in each case affected by its environment</w:t></w:r>
</w:p>
<w:p>
<w:pPr><w:pStyle w:val="Normal"/></w:pPr>
<w:r><w:t xml:space="preserve">and local culture; if it incorporates national elements</w:t></w:r>
</w:p>
<w:p>
<w:pPr><w:pStyle w:val="Normal"/></w:pPr>
<w:r><w:t xml:space="preserve">at times, it seems to graft them on its own stock.  The</w:t></w:r>
</w:p>
<w:p>
<w:pPr><w:pStyle w:val="Normal"/></w:pPr>
<w:r><w:t xml:space="preserve">growth of literature in these favoured soils was slow and</w:t></w:r>
</w:p>
<w:p>
<w:pPr><w:pStyle w:val="Normal"/></w:pPr>
<w:r><w:t xml:space="preserve">humble.  There was no outburst of genius, no sudden movement,</w:t></w:r>
</w:p>
<w:p>
<w:pPr><w:pStyle w:val="Normal"/></w:pPr>
<w:r><w:t xml:space="preserve">no renaissance; but very gradually a step was taken in</w:t></w:r>
</w:p>
<w:p>
<w:pPr><w:pStyle w:val="Normal"/></w:pPr>
<w:r><w:t xml:space="preserve">advance of the last generation, as that had advanced upon its</w:t></w:r>
</w:p>
<w:p>
<w:pPr><w:pStyle w:val="Normal"/></w:pPr>
<w:r><w:t xml:space="preserve">forefathers.  The first books of true excellence were</w:t></w:r>
</w:p>
<w:p>
<w:pPr><w:pStyle w:val="Normal"/></w:pPr>
<w:r><w:t xml:space="preserve">experiments; they seem almost accidents.  The cities of</w:t></w:r>
</w:p>
<w:p>
<w:pPr><w:pStyle w:val="Normal"/></w:pPr>
<w:r><w:t xml:space="preserve">Boston, New York and Philadelphia were lettered communities;</w:t></w:r>
</w:p>
<w:p>
<w:pPr><w:pStyle w:val="Normal"/></w:pPr>
<w:r><w:t xml:space="preserve">they possessed imported books, professional classes, men</w:t></w:r>
</w:p>
<w:p>
<w:pPr><w:pStyle w:val="Normal"/></w:pPr>
<w:r><w:t xml:space="preserve">of education and taste.  The tradition of literature was</w:t></w:r>
</w:p>
<w:p>
<w:pPr><w:pStyle w:val="Normal"/></w:pPr>
<w:r><w:t xml:space="preserve">strong, especially in New England; there were readers used</w:t></w:r>
</w:p>
<w:p>
<w:pPr><w:pStyle w:val="Normal"/></w:pPr>
<w:r><w:t xml:space="preserve">to the polite letters of the past.  It was, however, in</w:t></w:r>
</w:p>
<w:p>
<w:pPr><w:pStyle w:val="Normal"/></w:pPr>
<w:r><w:t xml:space="preserve">the main the past of Puritanism, both in England and at</w:t></w:r>
</w:p>
<w:p>
<w:pPr><w:pStyle w:val="Normal"/></w:pPr>
<w:r><w:t xml:space="preserve">home, and of the 18th century in general, on which they were</w:t></w:r>
</w:p>
<w:p>
<w:pPr><w:pStyle w:val="Normal"/></w:pPr>
<w:r><w:t xml:space="preserve">bred, with a touch ever growing stronger of the new European</w:t></w:r>
</w:p>
<w:p>
<w:pPr><w:pStyle w:val="Normal"/></w:pPr>
<w:r><w:t xml:space="preserve">romanticism.  All the philosophic ideas of the 18th century were</w:t></w:r>
</w:p>
<w:p>
<w:pPr><w:pStyle w:val="Normal"/></w:pPr>
<w:r><w:t xml:space="preserve">current.  What was most lacking was a standard self-applied</w:t></w:r>
</w:p>
<w:p>
<w:pPr><w:pStyle w:val="Normal"/></w:pPr>
<w:r><w:t xml:space="preserve">by original writers; and in the absence of a great national</w:t></w:r>
</w:p>
<w:p>
<w:pPr><w:pStyle w:val="Normal"/></w:pPr>
<w:r><w:t xml:space="preserve">centre of standards and traditions, and amid the poverty of such</w:t></w:r>
</w:p>
<w:p>
<w:pPr><w:pStyle w:val="Normal"/></w:pPr>
<w:r><w:t xml:space="preserve">small local centres as the writers were bred in, they sought</w:t></w:r>
</w:p>
<w:p>
<w:pPr><w:pStyle w:val="Normal"/></w:pPr>
<w:r><w:t xml:space="preserve">what they desired, not in England, not in any one country nor</w:t></w:r>
</w:p>
<w:p>
<w:pPr><w:pStyle w:val="Normal"/></w:pPr>
<w:r><w:t xml:space="preserve">in any one literature, but in the solidarity of literature</w:t></w:r>
</w:p>
<w:p>
<w:pPr><w:pStyle w:val="Normal"/></w:pPr>
<w:r><w:t xml:space="preserve">itself, in the republic of letters, the world-state itself,--the</w:t></w:r>
</w:p>
<w:p>
<w:pPr><w:pStyle w:val="Normal"/></w:pPr>
<w:r><w:t xml:space="preserve">master-works of all European lands; they became either actual</w:t></w:r>
</w:p>
<w:p>
<w:pPr><w:pStyle w:val="Normal"/></w:pPr>
<w:r><w:t xml:space="preserve">pilgrims on foreign soil or pilgrims of the mind in fireside</w:t></w:r>
</w:p>
<w:p>
<w:pPr><w:pStyle w:val="Normal"/></w:pPr>
<w:r><w:t xml:space="preserve">travels.  The foreign influences that thus entered into American</w:t></w:r>
</w:p>
<w:p>
<w:pPr><w:pStyle w:val="Normal"/></w:pPr>
<w:r><w:t xml:space="preserve">literature are obvious and make a large part of its history;</w:t></w:r>
</w:p>
<w:p>
<w:pPr><w:pStyle w:val="Normal"/></w:pPr>
<w:r><w:t xml:space="preserve">but the fact here brought out is that European literature and</w:t></w:r>
</w:p>
<w:p>
<w:pPr><w:pStyle w:val="Normal"/></w:pPr>
<w:r><w:t xml:space="preserve">experience stood to American writers in lieu of a national</w:t></w:r>
</w:p>
<w:p>
<w:pPr><w:pStyle w:val="Normal"/></w:pPr>
<w:r><w:t xml:space="preserve">centre; it was there that both standard and tradition were found.</w:t></w:r>
</w:p>
<w:p>
<w:pPr><w:pStyle w:val="Normal"/></w:pPr>
<w:r><w:t xml:space="preserve">Early 19th-century classics.</w:t></w:r>
</w:p>
<w:p>
<w:pPr><w:pStyle w:val="Normal"/></w:pPr>
<w:r><w:t xml:space="preserve">American literature first began to exist for the larger world</w:t></w:r>
</w:p>
<w:p>
<w:pPr><w:pStyle w:val="Normal"/></w:pPr>
<w:r><w:t xml:space="preserve">in the persons of Washington Irving (1785-1859) and James</w:t></w:r>
</w:p>
<w:p>
<w:pPr><w:pStyle w:val="Normal"/></w:pPr>
<w:r><w:t xml:space="preserve">Fenimore Cooper (1789-1851).  Their recognition was almost</w:t></w:r>
</w:p>
<w:p>
<w:pPr><w:pStyle w:val="Normal"/></w:pPr>
<w:r><w:t xml:space="preserve">contemporaneous. The Sketch Book (1810) was the first</w:t></w:r>
</w:p>
<w:p>
<w:pPr><w:pStyle w:val="Normal"/></w:pPr>
<w:r><w:t xml:space="preserve">American book to win a great reputation in England, and The</w:t></w:r>
</w:p>
<w:p>
<w:pPr><w:pStyle w:val="Normal"/></w:pPr>
<w:r><w:t xml:space="preserve">Spy (1821) was the first to obtain a similar vogue on the</w:t></w:r>
</w:p>
<w:p>
<w:pPr><w:pStyle w:val="Normal"/></w:pPr>
<w:r><w:t xml:space="preserve">continent.  The fame of both authors is associated with New</w:t></w:r>
</w:p>
<w:p>
<w:pPr><w:pStyle w:val="Normal"/></w:pPr>
<w:r><w:t xml:space="preserve">York, and that city took the first place as the centre of the</w:t></w:r>
</w:p>
<w:p>
<w:pPr><w:pStyle w:val="Normal"/></w:pPr>
<w:r><w:t xml:space="preserve">literature of the period.  It was not that New York was more</w:t></w:r>
</w:p>
<w:p>
<w:pPr><w:pStyle w:val="Normal"/></w:pPr>
<w:r><w:t xml:space="preserve">intellectual than other parts of the country; but it was a highly</w:t></w:r>
</w:p>
<w:p>
<w:pPr><w:pStyle w:val="Normal"/></w:pPr>
<w:r><w:t xml:space="preserve">prosperous community, where a mercantile society flourished and</w:t></w:r>
</w:p>
<w:p>
<w:pPr><w:pStyle w:val="Normal"/></w:pPr>
<w:r><w:t xml:space="preserve">consequently a certain degree of culture obtained.  The first</w:t></w:r>
</w:p>
<w:p>
<w:pPr><w:pStyle w:val="Normal"/></w:pPr>
<w:r><w:t xml:space="preserve">American literature was not the product of a raw democracy</w:t></w:r>
</w:p>
<w:p>
<w:pPr><w:pStyle w:val="Normal"/></w:pPr>
<w:r><w:t xml:space="preserve">nor of the new nationality in any sense; there was nothing</w:t></w:r>
</w:p>
<w:p>
<w:pPr><w:pStyle w:val="Normal"/></w:pPr>
<w:r><w:t xml:space="preserve">sudden or vehement in its generation; but, as always, it was</w:t></w:r>
</w:p>
<w:p>
<w:pPr><w:pStyle w:val="Normal"/></w:pPr>
<w:r><w:t xml:space="preserve">the product of older elements in the society where it arose</w:t></w:r>
</w:p>
<w:p>
<w:pPr><w:pStyle w:val="Normal"/></w:pPr>
<w:r><w:t xml:space="preserve">and flourished under the conditions of precedent culture.  The</w:t></w:r>
</w:p>
<w:p>
<w:pPr><w:pStyle w:val="Normal"/></w:pPr>
<w:r><w:t xml:space="preserve">family of Irving were in trade.  Cooper&apos;s father was in the</w:t></w:r>
</w:p>
<w:p>
<w:pPr><w:pStyle w:val="Normal"/></w:pPr>
<w:r><w:t xml:space="preserve">law.  A third writer, William Cullen Bryant (1794-1878), is</w:t></w:r>
</w:p>
<w:p>
<w:pPr><w:pStyle w:val="Normal"/></w:pPr>
<w:r><w:t xml:space="preserve">associated with them, and though he announced his poetic talent</w:t></w:r>
</w:p>
<w:p>
<w:pPr><w:pStyle w:val="Normal"/></w:pPr>
<w:r><w:t xml:space="preserve">precociously by Thanatopsis (1807), his Poems (1832),</w:t></w:r>
</w:p>
<w:p>
<w:pPr><w:pStyle w:val="Normal"/></w:pPr>
<w:r><w:t xml:space="preserve">immediately republished in London, were the basis of his true</w:t></w:r>
</w:p>
<w:p>
<w:pPr><w:pStyle w:val="Normal"/></w:pPr>
<w:r><w:t xml:space="preserve">fame.  Born in Massachusetts, he lived his long life in New</w:t></w:r>
</w:p>
<w:p>
<w:pPr><w:pStyle w:val="Normal"/></w:pPr>
<w:r><w:t xml:space="preserve">York, and was there a distinguished citizen.  His father was a</w:t></w:r>
</w:p>
<w:p>
<w:pPr><w:pStyle w:val="Normal"/></w:pPr>
<w:r><w:t xml:space="preserve">physician.  All three men were not supremely endowed; they</w:t></w:r>
</w:p>
<w:p>
<w:pPr><w:pStyle w:val="Normal"/></w:pPr>
<w:r><w:t xml:space="preserve">do not show the passion of genius for its work which marks</w:t></w:r>
</w:p>
<w:p>
<w:pPr><w:pStyle w:val="Normal"/></w:pPr>
<w:r><w:t xml:space="preserve">the great writers; they were, like most American writers, men</w:t></w:r>
</w:p>
<w:p>
<w:pPr><w:pStyle w:val="Normal"/></w:pPr>
<w:r><w:t xml:space="preserve">with the literary temperament, characteristically gentlemen,</w:t></w:r>
</w:p>
<w:p>
<w:pPr><w:pStyle w:val="Normal"/></w:pPr>
<w:r><w:t xml:space="preserve">who essayed literature with varying power.  If the quality</w:t></w:r>
</w:p>
<w:p>
<w:pPr><w:pStyle w:val="Normal"/></w:pPr>
<w:r><w:t xml:space="preserve">of this early literature is to be appreciated truly, the fact</w:t></w:r>
</w:p>
<w:p>
<w:pPr><w:pStyle w:val="Normal"/></w:pPr>
<w:r><w:t xml:space="preserve">of its provenance from a society whose cultivation was simple</w:t></w:r>
</w:p>
<w:p>
<w:pPr><w:pStyle w:val="Normal"/></w:pPr>
<w:r><w:t xml:space="preserve">and normal, a provincial bourgeois society of a prosperous</w:t></w:r>
</w:p>
<w:p>
<w:pPr><w:pStyle w:val="Normal"/></w:pPr>
<w:r><w:t xml:space="preserve">democracy, must be borne in mind.  It came, not from the people,</w:t></w:r>
</w:p>
<w:p>
<w:pPr><w:pStyle w:val="Normal"/></w:pPr>
<w:r><w:t xml:space="preserve">but from the best classes developed under preceding conditions.</w:t></w:r>
</w:p>
<w:p>
<w:pPr><w:pStyle w:val="Normal"/></w:pPr>
<w:r><w:t xml:space="preserve">Irving.</w:t></w:r>
</w:p>
<w:p>
<w:pPr><w:pStyle w:val="Normal"/></w:pPr>
<w:r><w:t xml:space="preserve">Irving all his life was in the eyes of his countrymen, whatever</w:t></w:r>
</w:p>
<w:p>
<w:pPr><w:pStyle w:val="Normal"/></w:pPr>
<w:r><w:t xml:space="preserve">their pride might be in him, more a travelled gentleman</w:t></w:r>
</w:p>
<w:p>
<w:pPr><w:pStyle w:val="Normal"/></w:pPr>
<w:r><w:t xml:space="preserve">than one of themselves.  He had come home to end his days at</w:t></w:r>
</w:p>
<w:p>
<w:pPr><w:pStyle w:val="Normal"/></w:pPr>
<w:r><w:t xml:space="preserve">Sunnyside by the Hudson, but he had won his fame in foreign</w:t></w:r>
</w:p>
<w:p>
<w:pPr><w:pStyle w:val="Normal"/></w:pPr>
<w:r><w:t xml:space="preserve">fields.  In his youth the beginnings of his literary work</w:t></w:r>
</w:p>
<w:p>
<w:pPr><w:pStyle w:val="Normal"/></w:pPr>
<w:r><w:t xml:space="preserve">were most humble--light contributions to the press.  He</w:t></w:r>
</w:p>
<w:p>
<w:pPr><w:pStyle w:val="Normal"/></w:pPr>
<w:r><w:t xml:space="preserve">was of a most social nature, warm, refined, humorous, a</w:t></w:r>
</w:p>
<w:p>
<w:pPr><w:pStyle w:val="Normal"/></w:pPr>
<w:r><w:t xml:space="preserve">man belonging to the town.  He was not seriously disposed,</w:t></w:r>
</w:p>
<w:p>
<w:pPr><w:pStyle w:val="Normal"/></w:pPr>
<w:r><w:t xml:space="preserve">idled much, and surprised his fellow-citizens suddenly by</w:t></w:r>
</w:p>
<w:p>
<w:pPr><w:pStyle w:val="Normal"/></w:pPr>
<w:r><w:t xml:space="preserve">a grotesque History of New York (1809), an extravaganza</w:t></w:r>
</w:p>
<w:p>
<w:pPr><w:pStyle w:val="Normal"/></w:pPr>
<w:r><w:t xml:space="preserve">satirizing the Dutch element of the province.  He discovered</w:t></w:r>
</w:p>
<w:p>
<w:pPr><w:pStyle w:val="Normal"/></w:pPr>
<w:r><w:t xml:space="preserve">in writing this work his talent for humour and also one</w:t></w:r>
</w:p>
<w:p>
<w:pPr><w:pStyle w:val="Heading1"/></w:pPr>
<w:r><w:t>part of his literary theme, the Dutch tradition; but he did</w:t></w:r>
</w:p>
<w:p>
<w:pPr><w:pStyle w:val="Normal"/></w:pPr>
<w:r><w:t xml:space="preserve">not so convince himself of his powers as to continue, and</w:t></w:r>
</w:p>
<w:p>
<w:pPr><w:pStyle w:val="Normal"/></w:pPr>
<w:r><w:t xml:space="preserve">it was only after the failure of his commercial interests</w:t></w:r>
</w:p>
<w:p>
<w:pPr><w:pStyle w:val="Normal"/></w:pPr>
<w:r><w:t xml:space="preserve">that, being thrown on himself for support, he published in</w:t></w:r>
</w:p>
<w:p>
<w:pPr><w:pStyle w:val="Normal"/></w:pPr>
<w:r><w:t xml:space="preserve">London ten years later, at the age of thirty-six, the volume</w:t></w:r>
</w:p>
<w:p>
<w:pPr><w:pStyle w:val="Normal"/></w:pPr>
<w:r><w:t xml:space="preserve">of sketches which by its success committed him to a literary</w:t></w:r>
</w:p>
<w:p>
<w:pPr><w:pStyle w:val="Normal"/></w:pPr>
<w:r><w:t xml:space="preserve">career.  In that work he found himself; sentiment and</w:t></w:r>
</w:p>
<w:p>
<w:pPr><w:pStyle w:val="Normal"/></w:pPr>
<w:r><w:t xml:space="preserve">distinction of style characterized it, and these were his main</w:t></w:r>
</w:p>
<w:p>
<w:pPr><w:pStyle w:val="Normal"/></w:pPr>
<w:r><w:t xml:space="preserve">traits.  He remained abroad, always favoured in society</w:t></w:r>
</w:p>
<w:p>
<w:pPr><w:pStyle w:val="Normal"/></w:pPr>
<w:r><w:t xml:space="preserve">and living in diplomatic posts in Spain and England, for</w:t></w:r>
</w:p>
<w:p>
<w:pPr><w:pStyle w:val="Normal"/></w:pPr>
<w:r><w:t xml:space="preserve">seventeen years, and he later spent four years in Spain as</w:t></w:r>
</w:p>
<w:p>
<w:pPr><w:pStyle w:val="Normal"/></w:pPr>
<w:r><w:t xml:space="preserve">minister.  Spain gave him a larger opportunity than England</w:t></w:r>
</w:p>
<w:p>
<w:pPr><w:pStyle w:val="Normal"/></w:pPr>
<w:r><w:t xml:space="preserve">for the cultivation of romantic sentiment, and he found there</w:t></w:r>
</w:p>
<w:p>
<w:pPr><w:pStyle w:val="Normal"/></w:pPr>
<w:r><w:t xml:space="preserve">his best themes in Moorish legend and history.  On his return</w:t></w:r>
</w:p>
<w:p>
<w:pPr><w:pStyle w:val="Normal"/></w:pPr>
<w:r><w:t xml:space="preserve">to America he added to his subjects the exploration of the</w:t></w:r>
</w:p>
<w:p>
<w:pPr><w:pStyle w:val="Normal"/></w:pPr>
<w:r><w:t xml:space="preserve">west; and he wrote, besides, biographies of Goldsmith and</w:t></w:r>
</w:p>
<w:p>
<w:pPr><w:pStyle w:val="Normal"/></w:pPr>
<w:r><w:t xml:space="preserve">Washington.  He was, as it turned out, a voluminous writer;</w:t></w:r>
</w:p>
<w:p>
<w:pPr><w:pStyle w:val="Normal"/></w:pPr>
<w:r><w:t xml:space="preserve">yet his books successively seem the accident of his situation.</w:t></w:r>
</w:p>
<w:p>
<w:pPr><w:pStyle w:val="Normal"/></w:pPr>
<w:r><w:t xml:space="preserve">The excellence of his work lies rather in the treatment than</w:t></w:r>
</w:p>
<w:p>
<w:pPr><w:pStyle w:val="Normal"/></w:pPr>
<w:r><w:t xml:space="preserve">the substance; primarily, there is the pellucid style, which</w:t></w:r>
</w:p>
<w:p>
<w:pPr><w:pStyle w:val="Normal"/></w:pPr>
<w:r><w:t xml:space="preserve">he drew from his love of Goldsmith, and the charm of his</w:t></w:r>
</w:p>
<w:p>
<w:pPr><w:pStyle w:val="Normal"/></w:pPr>
<w:r><w:t xml:space="preserve">personality shown in his romantic interest, his pathos and</w:t></w:r>
</w:p>
<w:p>
<w:pPr><w:pStyle w:val="Normal"/></w:pPr>
<w:r><w:t xml:space="preserve">humour ever growing in delicacy, and his familiar touch with</w:t></w:r>
</w:p>
<w:p>
<w:pPr><w:pStyle w:val="Normal"/></w:pPr>
<w:r><w:t xml:space="preserve">humanity.  He made his name American mainly by creating the</w:t></w:r>
</w:p>
<w:p>
<w:pPr><w:pStyle w:val="Normal"/></w:pPr>
<w:r><w:t xml:space="preserve">legend of the Hudson, and he alone has linked his memory</w:t></w:r>
</w:p>
<w:p>
<w:pPr><w:pStyle w:val="Normal"/></w:pPr>
<w:r><w:t xml:space="preserve">locally with his country so that it hangs over the landscape</w:t></w:r>
</w:p>
<w:p>
<w:pPr><w:pStyle w:val="Normal"/></w:pPr>
<w:r><w:t xml:space="preserve">and blends with it for ever; he owned his nativity, too,</w:t></w:r>
</w:p>
<w:p>
<w:pPr><w:pStyle w:val="Normal"/></w:pPr>
<w:r><w:t xml:space="preserve">by his pictures of the prairie and the fur-trade and by his</w:t></w:r>
</w:p>
<w:p>
<w:pPr><w:pStyle w:val="Normal"/></w:pPr>
<w:r><w:t xml:space="preserve">life of Washington, who had laid his hand upon his head;</w:t></w:r>
</w:p>
<w:p>
<w:pPr><w:pStyle w:val="Normal"/></w:pPr>
<w:r><w:t xml:space="preserve">but he had spent half his life abroad, in the temperamental</w:t></w:r>
</w:p>
<w:p>
<w:pPr><w:pStyle w:val="Normal"/></w:pPr>
<w:r><w:t xml:space="preserve">enjoyment of the romantic suggestion of the old world, and by</w:t></w:r>
</w:p>
<w:p>
<w:pPr><w:pStyle w:val="Normal"/></w:pPr>
<w:r><w:t xml:space="preserve">his writings he gave this expansion of sympathy and sentiment</w:t></w:r>
</w:p>
<w:p>
<w:pPr><w:pStyle w:val="Normal"/></w:pPr>
<w:r><w:t xml:space="preserve">to his countrymen.  If his temperament was native-born and</w:t></w:r>
</w:p>
<w:p>
<w:pPr><w:pStyle w:val="Normal"/></w:pPr>
<w:r><w:t xml:space="preserve">his literary taste home-bred, and if his affections gave</w:t></w:r>
</w:p>
<w:p>
<w:pPr><w:pStyle w:val="Normal"/></w:pPr>
<w:r><w:t xml:space="preserve">a legend to the countryside and his feelings expanded with</w:t></w:r>
</w:p>
<w:p>
<w:pPr><w:pStyle w:val="Normal"/></w:pPr>
<w:r><w:t xml:space="preserve">the view of prairie and wilderness, and if he sought to</w:t></w:r>
</w:p>
<w:p>
<w:pPr><w:pStyle w:val="Normal"/></w:pPr>
<w:r><w:t xml:space="preserve">honour with his pen the historic associations and memory of</w:t></w:r>
</w:p>
<w:p>
<w:pPr><w:pStyle w:val="Normal"/></w:pPr>
<w:r><w:t xml:space="preserve">the land which had honoured him, it was, nevertheless, the</w:t></w:r>
</w:p>
<w:p>
<w:pPr><w:pStyle w:val="Normal"/></w:pPr>
<w:r><w:t xml:space="preserve">trans-Atlantic touch that had loosed his genius and mainly fed</w:t></w:r>
</w:p>
<w:p>
<w:pPr><w:pStyle w:val="Normal"/></w:pPr>
<w:r><w:t xml:space="preserve">it, and this fact was prophetic of the immediate course of</w:t></w:r>
</w:p>
<w:p>
<w:pPr><w:pStyle w:val="Normal"/></w:pPr>
<w:r><w:t xml:space="preserve">American literature and the most significant in his career.</w:t></w:r>
</w:p>
<w:p>
<w:pPr><w:pStyle w:val="Normal"/></w:pPr>
<w:r><w:t xml:space="preserve">Cooper&apos;s initiation into literature was similar to that of</w:t></w:r>
</w:p>
<w:p>
<w:pPr><w:pStyle w:val="Normal"/></w:pPr>
<w:r><w:t xml:space="preserve">Irving.  He had received, perhaps, something more of scanty</w:t></w:r>
</w:p>
<w:p>
<w:pPr><w:pStyle w:val="Normal"/></w:pPr>
<w:r><w:t xml:space="preserve">formal education, since he attended Yale College for a</w:t></w:r>
</w:p>
<w:p>
<w:pPr><w:pStyle w:val="Normal"/></w:pPr>
<w:r><w:t xml:space="preserve">season, but he early took to the sea and was a midshipman.</w:t></w:r>
</w:p>
<w:p>
<w:pPr><w:pStyle w:val="Normal"/></w:pPr>
<w:r><w:t xml:space="preserve">He was thirty years old before he began to write, and it was</w:t></w:r>
</w:p>
<w:p>
<w:pPr><w:pStyle w:val="Normal"/></w:pPr>
<w:r><w:t xml:space="preserve">almost an accident that after the failure of his first novel</w:t></w:r>
</w:p>
<w:p>
<w:pPr><w:pStyle w:val="Normal"/></w:pPr>
<w:r><w:t xml:space="preserve">he finished The Spy, so deterring was the prejudice that no</w:t></w:r>
</w:p>
<w:p>
<w:pPr><w:pStyle w:val="Normal"/></w:pPr>
<w:r><w:t xml:space="preserve">American book could succeed.  He was, however, a man of great</w:t></w:r>
</w:p>
<w:p>
<w:pPr><w:pStyle w:val="Normal"/></w:pPr>
<w:r><w:t xml:space="preserve">energy of life, great force of will; it was his nature to</w:t></w:r>
</w:p>
<w:p>
<w:pPr><w:pStyle w:val="Normal"/></w:pPr>
<w:r><w:t xml:space="preserve">persist.  The way once opened, he wrote voluminously and with</w:t></w:r>
</w:p>
<w:p>
<w:pPr><w:pStyle w:val="Normal"/></w:pPr>
<w:r><w:t xml:space="preserve">great unevenness.  His literary defects, both of surface and</w:t></w:r>
</w:p>
<w:p>
<w:pPr><w:pStyle w:val="Normal"/></w:pPr>
<w:r><w:t xml:space="preserve">construction, are patent.  It was not by style nor by any</w:t></w:r>
</w:p>
<w:p>
<w:pPr><w:pStyle w:val="Normal"/></w:pPr>
<w:r><w:t xml:space="preserve">detail of plot or character that he excelled; but whatever</w:t></w:r>
</w:p>
<w:p>
<w:pPr><w:pStyle w:val="Normal"/></w:pPr>
<w:r><w:t xml:space="preserve">imperfections there might be, his work was alive; it had body,</w:t></w:r>
</w:p>
<w:p>
<w:pPr><w:pStyle w:val="Normal"/></w:pPr>
<w:r><w:t xml:space="preserve">motion, fire.  He chose his subjects from aspects of life</w:t></w:r>
</w:p>
<w:p>
<w:pPr><w:pStyle w:val="Normal"/></w:pPr>
<w:r><w:t xml:space="preserve">familiar to him in the woods or on the sea or from patriotic</w:t></w:r>
</w:p>
<w:p>
<w:pPr><w:pStyle w:val="Normal"/></w:pPr>
<w:r><w:t xml:space="preserve">memories near to him in the fields of the Revolution.  He thus</w:t></w:r>
</w:p>
<w:p>
<w:pPr><w:pStyle w:val="Normal"/></w:pPr>
<w:r><w:t xml:space="preserve">established a vital connexion with his own country, and in so</w:t></w:r>
</w:p>
<w:p>
<w:pPr><w:pStyle w:val="Normal"/></w:pPr>
<w:r><w:t xml:space="preserve">far he is the most national by his themes of any of the American</w:t></w:r>
</w:p>
<w:p>
<w:pPr><w:pStyle w:val="Normal"/></w:pPr>
<w:r><w:t xml:space="preserve">writers.  What he gave was the scene of the new world, both</w:t></w:r>
</w:p>
<w:p>
<w:pPr><w:pStyle w:val="Normal"/></w:pPr>
<w:r><w:t xml:space="preserve">in the forest and by the fires of the Revolution and on</w:t></w:r>
</w:p>
<w:p>
<w:pPr><w:pStyle w:val="Normal"/></w:pPr>
<w:r><w:t xml:space="preserve">the swift and daring American ships; but it was especially</w:t></w:r>
</w:p>
<w:p>
<w:pPr><w:pStyle w:val="Normal"/></w:pPr>
<w:r><w:t xml:space="preserve">by his power to give the sense of the primitive wilderness</w:t></w:r>
</w:p>
<w:p>
<w:pPr><w:pStyle w:val="Normal"/></w:pPr>
<w:r><w:t xml:space="preserve">and the ocean weather, and adventure there, that he won</w:t></w:r>
</w:p>
<w:p>
<w:pPr><w:pStyle w:val="Normal"/></w:pPr>
<w:r><w:t xml:space="preserve">success.  In France, where he was popular, this came as</w:t></w:r>
</w:p>
<w:p>
<w:pPr><w:pStyle w:val="Normal"/></w:pPr>
<w:r><w:t xml:space="preserve">an echo out of the real world of the west to the dream of</w:t></w:r>
</w:p>
<w:p>
<w:pPr><w:pStyle w:val="Normal"/></w:pPr>
<w:r><w:t xml:space="preserve">nature that had lately grown up in French literature; and,</w:t></w:r>
</w:p>
<w:p>
<w:pPr><w:pStyle w:val="Normal"/></w:pPr>
<w:r><w:t xml:space="preserve">besides, of all the springs of interest native to men in</w:t></w:r>
</w:p>
<w:p>
<w:pPr><w:pStyle w:val="Normal"/></w:pPr>
<w:r><w:t xml:space="preserve">every land adventure in the wild is, perhaps, the easiest</w:t></w:r>
</w:p>
<w:p>
<w:pPr><w:pStyle w:val="Normal"/></w:pPr>
<w:r><w:t xml:space="preserve">to touch, the quickest and most inflaming to respond.</w:t></w:r>
</w:p>
<w:p>
<w:pPr><w:pStyle w:val="Normal"/></w:pPr>
<w:r><w:t xml:space="preserve">Cooper stood for a true element in American experience and</w:t></w:r>
</w:p>
<w:p>
<w:pPr><w:pStyle w:val="Normal"/></w:pPr>
<w:r><w:t xml:space="preserve">conditions, for the romance in the mere presence of primeval</w:t></w:r>
</w:p>
<w:p>
<w:pPr><w:pStyle w:val="Normal"/></w:pPr>
<w:r><w:t xml:space="preserve">things of nature newly found by man and opening to his coming;</w:t></w:r>
</w:p>
<w:p>
<w:pPr><w:pStyle w:val="Normal"/></w:pPr>
<w:r><w:t xml:space="preserve">this was an imaginative moment, and Cooper seized it by his</w:t></w:r>
</w:p>
<w:p>
<w:pPr><w:pStyle w:val="Normal"/></w:pPr>
<w:r><w:t xml:space="preserve">imagination.  He especially did so in the Indian elements</w:t></w:r>
</w:p>
<w:p>
<w:pPr><w:pStyle w:val="Normal"/></w:pPr>
<w:r><w:t xml:space="preserve">of his tale, and gave permanent ideality to the Indian</w:t></w:r>
</w:p>
<w:p>
<w:pPr><w:pStyle w:val="Normal"/></w:pPr>
<w:r><w:t xml:space="preserve">type.  The trait of loftiness which he thus incorporated</w:t></w:r>
</w:p>
<w:p>
<w:pPr><w:pStyle w:val="Normal"/></w:pPr>
<w:r><w:t xml:space="preserve">belongs with the impression of the virgin forest and prairie,</w:t></w:r>
</w:p>
<w:p>
<w:pPr><w:pStyle w:val="Normal"/></w:pPr>
<w:r><w:t xml:space="preserve">the breadth, the silence and the music of universal nature.</w:t></w:r>
</w:p>
<w:p>
<w:pPr><w:pStyle w:val="Normal"/></w:pPr>
<w:r><w:t xml:space="preserve">The distinction of his work is to open so great a scene</w:t></w:r>
</w:p>
<w:p>
<w:pPr><w:pStyle w:val="Normal"/></w:pPr>
<w:r><w:t xml:space="preserve">worthily, to give it human dignity in rough and primitive</w:t></w:r>
</w:p>
<w:p>
<w:pPr><w:pStyle w:val="Normal"/></w:pPr>
<w:r><w:t xml:space="preserve">characters seen in the simplicity of their being, and to</w:t></w:r>
</w:p>
<w:p>
<w:pPr><w:pStyle w:val="Normal"/></w:pPr>
<w:r><w:t xml:space="preserve">fill it with peril, resourcefulness and hardihood.  It is</w:t></w:r>
</w:p>
<w:p>
<w:pPr><w:pStyle w:val="Normal"/></w:pPr>
<w:r><w:t xml:space="preserve">the only brave picture of life in the broad from an American</w:t></w:r>
</w:p>
<w:p>
<w:pPr><w:pStyle w:val="Normal"/></w:pPr>
<w:r><w:t xml:space="preserve">pen.  Scott, in inventing the romantic treatment of history in</w:t></w:r>
</w:p>
<w:p>
<w:pPr><w:pStyle w:val="Normal"/></w:pPr>
<w:r><w:t xml:space="preserve">fiction, was the leader of the historical novel; but Cooper,</w:t></w:r>
</w:p>
<w:p>
<w:pPr><w:pStyle w:val="Normal"/></w:pPr>
<w:r><w:t xml:space="preserve">except in so far as he employed the form, was not in a true</w:t></w:r>
</w:p>
<w:p>
<w:pPr><w:pStyle w:val="Normal"/></w:pPr>
<w:r><w:t xml:space="preserve">sense an imitator of Scott; he did not create, nor think, nor</w:t></w:r>
</w:p>
<w:p>
<w:pPr><w:pStyle w:val="Normal"/></w:pPr>
<w:r><w:t xml:space="preserve">feel, in Scott&apos;s way, and he came far short of the deep human</w:t></w:r>
</w:p>
<w:p>
<w:pPr><w:pStyle w:val="Normal"/></w:pPr>
<w:r><w:t xml:space="preserve">power of Scott&apos;s genius.  He was not great in character; but</w:t></w:r>
</w:p>
<w:p>
<w:pPr><w:pStyle w:val="Normal"/></w:pPr>
<w:r><w:t xml:space="preserve">he was great in adventure, manly spirit and the atmosphere of</w:t></w:r>
</w:p>
<w:p>
<w:pPr><w:pStyle w:val="Normal"/></w:pPr>
<w:r><w:t xml:space="preserve">the natural world, an Odysseyan writer, who caught the moment</w:t></w:r>
</w:p>
<w:p>
<w:pPr><w:pStyle w:val="Normal"/></w:pPr>
<w:r><w:t xml:space="preserve">of the American planting in vivid and characteristic traits.</w:t></w:r>
</w:p>
<w:p>
<w:pPr><w:pStyle w:val="Normal"/></w:pPr>
<w:r><w:t xml:space="preserve">Bryant.</w:t></w:r>
</w:p>
<w:p>
<w:pPr><w:pStyle w:val="Normal"/></w:pPr>
<w:r><w:t xml:space="preserve">This same spirit, but limited to nature in her most elemental</w:t></w:r>
</w:p>
<w:p>
<w:pPr><w:pStyle w:val="Normal"/></w:pPr>
<w:r><w:t xml:space="preserve">forms and having the simplest generic relations to human</w:t></w:r>
</w:p>
<w:p>
<w:pPr><w:pStyle w:val="Normal"/></w:pPr>
<w:r><w:t xml:space="preserve">life, characterizes Bryant.  He, too, had slender academic</w:t></w:r>
</w:p>
<w:p>
<w:pPr><w:pStyle w:val="Normal"/></w:pPr>
<w:r><w:t xml:space="preserve">training, and came from the same social origins as Irving and</w:t></w:r>
</w:p>
<w:p>
<w:pPr><w:pStyle w:val="Normal"/></w:pPr>
<w:r><w:t xml:space="preserve">Cooper; but, owing to his extraordinary boyish precocity, the</w:t></w:r>
</w:p>
<w:p>
<w:pPr><w:pStyle w:val="Normal"/></w:pPr>
<w:r><w:t xml:space="preserve">family influences upon him and the kind of home he was bred</w:t></w:r>
</w:p>
<w:p>
<w:pPr><w:pStyle w:val="Normal"/></w:pPr>
<w:r><w:t xml:space="preserve">in are more clearly seen.  He framed his art in his boyhood</w:t></w:r>
</w:p>
<w:p>
<w:pPr><w:pStyle w:val="Normal"/></w:pPr>
<w:r><w:t xml:space="preserve">on the model of 18th-century verse, and though he felt the</w:t></w:r>
</w:p>
<w:p>
<w:pPr><w:pStyle w:val="Normal"/></w:pPr>
<w:r><w:t xml:space="preserve">liberalizing influences of Wordsworth later there always</w:t></w:r>
</w:p>
<w:p>
<w:pPr><w:pStyle w:val="Normal"/></w:pPr>
<w:r><w:t xml:space="preserve">remained in his verse a sense of form that suggests a severer</w:t></w:r>
</w:p>
<w:p>
<w:pPr><w:pStyle w:val="Normal"/></w:pPr>
<w:r><w:t xml:space="preserve">school than that of his English contemporaries.  He lived the</w:t></w:r>
</w:p>
<w:p>
<w:pPr><w:pStyle w:val="Normal"/></w:pPr>
<w:r><w:t xml:space="preserve">life of a journalist and public man in New York, but the poet</w:t></w:r>
</w:p>
<w:p>
<w:pPr><w:pStyle w:val="Normal"/></w:pPr>
<w:r><w:t xml:space="preserve">in him was a man apart and he jealously guarded his talent in</w:t></w:r>
</w:p>
<w:p>
<w:pPr><w:pStyle w:val="Normal"/></w:pPr>
<w:r><w:t xml:space="preserve">seclusion.  Though he was at times abroad, he resembled</w:t></w:r>
</w:p>
<w:p>
<w:pPr><w:pStyle w:val="Normal"/></w:pPr>
<w:r><w:t xml:space="preserve">Cooper in being unaffected by foreign residence; he remained</w:t></w:r>
</w:p>
<w:p>
<w:pPr><w:pStyle w:val="Normal"/></w:pPr>
<w:r><w:t xml:space="preserve">home-bred.  He wrote a considerable quantity of verse; but</w:t></w:r>
</w:p>
<w:p>
<w:pPr><w:pStyle w:val="Normal"/></w:pPr>
<w:r><w:t xml:space="preserve">it is by a quality in it rather than by its contents that his</w:t></w:r>
</w:p>
<w:p>
<w:pPr><w:pStyle w:val="Normal"/></w:pPr>
<w:r><w:t xml:space="preserve">poetry is recalled, and this quality exists most highly in</w:t></w:r>
</w:p>
<w:p>
<w:pPr><w:pStyle w:val="Normal"/></w:pPr>
<w:r><w:t xml:space="preserve">the few pieces that are well known.  To no verse is the phrase</w:t></w:r>
</w:p>
<w:p>
<w:pPr><w:pStyle w:val="Normal"/></w:pPr>
<w:r><w:t xml:space="preserve">&quot;native wood-notes wild&quot; more properly applied.  His poetry</w:t></w:r>
</w:p>
<w:p>
<w:pPr><w:pStyle w:val="Normal"/></w:pPr>
<w:r><w:t xml:space="preserve">gives this deep impression of privacy; high, clear, brief in</w:t></w:r>
</w:p>
<w:p>
<w:pPr><w:pStyle w:val="Normal"/></w:pPr>
<w:r><w:t xml:space="preserve">voice, and yet, as it were, as of something hidden in the</w:t></w:r>
</w:p>
<w:p>
<w:pPr><w:pStyle w:val="Normal"/></w:pPr>
<w:r><w:t xml:space="preserve">sky or grove or brook, or as if the rock spoke, it is nature</w:t></w:r>
</w:p>
<w:p>
<w:pPr><w:pStyle w:val="Normal"/></w:pPr>
<w:r><w:t xml:space="preserve">in her haunts; it is the voice of the peak, the forests, the</w:t></w:r>
</w:p>
<w:p>
<w:pPr><w:pStyle w:val="Normal"/></w:pPr>
<w:r><w:t xml:space="preserve">cataracts, the smile of the blue gentian, the distant rosy</w:t></w:r>
</w:p>
<w:p>
<w:pPr><w:pStyle w:val="Normal"/></w:pPr>
<w:r><w:t xml:space="preserve">flight of the water-fowl,--with no human element less simple</w:t></w:r>
</w:p>
<w:p>
<w:pPr><w:pStyle w:val="Normal"/></w:pPr>
<w:r><w:t xml:space="preserve">than piety, death or the secular changes of time.  It is,</w:t></w:r>
</w:p>
<w:p>
<w:pPr><w:pStyle w:val="Normal"/></w:pPr>
<w:r><w:t xml:space="preserve">too, an expression of something so purely American that it</w:t></w:r>
</w:p>
<w:p>
<w:pPr><w:pStyle w:val="Normal"/></w:pPr>
<w:r><w:t xml:space="preserve">seems that it must be as uncomprehended by one not familiar</w:t></w:r>
</w:p>
<w:p>
<w:pPr><w:pStyle w:val="Normal"/></w:pPr>
<w:r><w:t xml:space="preserve">with the scene as the beauty of Greece or Italian glows; it</w:t></w:r>
</w:p>
<w:p>
<w:pPr><w:pStyle w:val="Normal"/></w:pPr>
<w:r><w:t xml:space="preserve">is poetry locked in its own land.  This presence of the pure,</w:t></w:r>
</w:p>
<w:p>
<w:pPr><w:pStyle w:val="Normal"/></w:pPr>
<w:r><w:t xml:space="preserve">the pristine, the virginal in the verse, this luminousness,</w:t></w:r>
</w:p>
<w:p>
<w:pPr><w:pStyle w:val="Normal"/></w:pPr>
<w:r><w:t xml:space="preserve">spaciousness, serenity in the land, this immemorialness of</w:t></w:r>
</w:p>
<w:p>
<w:pPr><w:pStyle w:val="Normal"/></w:pPr>
<w:r><w:t xml:space="preserve">natural things, is the body and spirit of the true wild,</w:t></w:r>
</w:p>
<w:p>
<w:pPr><w:pStyle w:val="Normal"/></w:pPr>
<w:r><w:t xml:space="preserve">such as Bryant&apos;s eyes had seen it and as it had possessed his</w:t></w:r>
</w:p>
<w:p>
<w:pPr><w:pStyle w:val="Normal"/></w:pPr>
<w:r><w:t xml:space="preserve">soul.  In no other American poet is there this nearness to</w:t></w:r>
</w:p>
<w:p>
<w:pPr><w:pStyle w:val="Normal"/></w:pPr>
<w:r><w:t xml:space="preserve">original awe in the presence of nature; nowhere is nature so</w:t></w:r>
</w:p>
<w:p>
<w:pPr><w:pStyle w:val="Normal"/></w:pPr>
<w:r><w:t xml:space="preserve">slightly humanized, so cosmically felt, and yet poetized.</w:t></w:r>
</w:p>
<w:p>
<w:pPr><w:pStyle w:val="Normal"/></w:pPr>
<w:r><w:t xml:space="preserve">Poetry of this sort must be small in amount; a few hundred</w:t></w:r>
</w:p>
<w:p>
<w:pPr><w:pStyle w:val="Normal"/></w:pPr>
<w:r><w:t xml:space="preserve">lines contain it all; but they alone shrine the original</w:t></w:r>
</w:p>
<w:p>
<w:pPr><w:pStyle w:val="Normal"/></w:pPr>
<w:r><w:t xml:space="preserve">grandeur, not so much of the American landscape, as of wild</w:t></w:r>
</w:p>
<w:p>
<w:pPr><w:pStyle w:val="Normal"/></w:pPr>
<w:r><w:t xml:space="preserve">nature when first felt in the primitive American world.</w:t></w:r>
</w:p>
<w:p>
<w:pPr><w:pStyle w:val="Normal"/></w:pPr>
<w:r><w:t xml:space="preserve">American romanticism thus began with these three writers,</w:t></w:r>
</w:p>
<w:p>
<w:pPr><w:pStyle w:val="Normal"/></w:pPr>
<w:r><w:t xml:space="preserve">who gave it characterization after all by only a few simple</w:t></w:r>
</w:p>
<w:p>
<w:pPr><w:pStyle w:val="Normal"/></w:pPr>
<w:r><w:t xml:space="preserve">traits.  There was in it no profound passion nor philosophy</w:t></w:r>
</w:p>
<w:p>
<w:pPr><w:pStyle w:val="Normal"/></w:pPr>
<w:r><w:t xml:space="preserve">nor revolt; especially there was no morbidness.  It was sprung</w:t></w:r>
</w:p>
<w:p>
<w:pPr><w:pStyle w:val="Normal"/></w:pPr>
<w:r><w:t xml:space="preserve">from a new soil.  The breath of the early American world was</w:t></w:r>
</w:p>
<w:p>
<w:pPr><w:pStyle w:val="Normal"/></w:pPr>
<w:r><w:t xml:space="preserve">in Bryant&apos;s poetry; he had freed from the landscape a Druidical</w:t></w:r>
</w:p>
<w:p>
<w:pPr><w:pStyle w:val="Normal"/></w:pPr>
<w:r><w:t xml:space="preserve">nature-worship of singular purity, simple and grand, unbound</w:t></w:r>
</w:p>
<w:p>
<w:pPr><w:pStyle w:val="Normal"/></w:pPr>
<w:r><w:t xml:space="preserve">by any conventional formulas of thought or feeling but deeply</w:t></w:r>
</w:p>
<w:p>
<w:pPr><w:pStyle w:val="Normal"/></w:pPr>
<w:r><w:t xml:space="preserve">spiritual.  The new life of the land filled the scene of</w:t></w:r>
</w:p>
<w:p>
<w:pPr><w:pStyle w:val="Normal"/></w:pPr>
<w:r><w:t xml:space="preserve">Cooper; prairie, forest and sea, Indians, backwoodsmen and</w:t></w:r>
</w:p>
<w:p>
<w:pPr><w:pStyle w:val="Normal"/></w:pPr>
<w:r><w:t xml:space="preserve">sailors, the human struggle of all kinds, gave it diversity</w:t></w:r>
</w:p>
<w:p>
<w:pPr><w:pStyle w:val="Normal"/></w:pPr>
<w:r><w:t xml:space="preserve">and detail; but its life was the American spirit, the epic</w:t></w:r>
</w:p>
<w:p>
<w:pPr><w:pStyle w:val="Normal"/></w:pPr>
<w:r><w:t xml:space="preserve">action of a people taking primitive possession, battling with</w:t></w:r>
</w:p>
<w:p>
<w:pPr><w:pStyle w:val="Normal"/></w:pPr>
<w:r><w:t xml:space="preserve">its various foes, making its world.  Irving, more brooding and</w:t></w:r>
</w:p>
<w:p>
<w:pPr><w:pStyle w:val="Normal"/></w:pPr>
<w:r><w:t xml:space="preserve">reminiscent, gave legend to the landscape, transformed rudeness</w:t></w:r>
</w:p>
<w:p>
<w:pPr><w:pStyle w:val="Normal"/></w:pPr>
<w:r><w:t xml:space="preserve">with humour and brought elements of picturesqueness into</w:t></w:r>
</w:p>
<w:p>
<w:pPr><w:pStyle w:val="Normal"/></w:pPr>
<w:r><w:t xml:space="preserve">play; and in him, in whom the new race was more mature, was</w:t></w:r>
</w:p>
<w:p>
<w:pPr><w:pStyle w:val="Normal"/></w:pPr>
<w:r><w:t xml:space="preserve">first shown that nostalgia for the past, which is everywhere</w:t></w:r>
</w:p>
<w:p>
<w:pPr><w:pStyle w:val="Normal"/></w:pPr>
<w:r><w:t xml:space="preserve">a romantic trait but was peculiarly strong under American</w:t></w:r>
</w:p>
<w:p>
<w:pPr><w:pStyle w:val="Normal"/></w:pPr>
<w:r><w:t xml:space="preserve">conditions.  He was consequently more free in imagination</w:t></w:r>
</w:p>
<w:p>
<w:pPr><w:pStyle w:val="Normal"/></w:pPr>
<w:r><w:t xml:space="preserve">than the others, and first dealt with other than American</w:t></w:r>
</w:p>
<w:p>
<w:pPr><w:pStyle w:val="Normal"/></w:pPr>
<w:r><w:t xml:space="preserve">subjects, emancipating literature from provinciality of</w:t></w:r>
</w:p>
<w:p>
<w:pPr><w:pStyle w:val="Normal"/></w:pPr>
<w:r><w:t xml:space="preserve">theme, while the modes of his romantic treatment, the way</w:t></w:r>
</w:p>
<w:p>
<w:pPr><w:pStyle w:val="Normal"/></w:pPr>
<w:r><w:t xml:space="preserve">he felt about his subjects, still owed much to his American</w:t></w:r>
</w:p>
<w:p>
<w:pPr><w:pStyle w:val="Normal"/></w:pPr>
<w:r><w:t xml:space="preserve">birth.  In all this literature by the three writers there</w:t></w:r>
</w:p>
<w:p>
<w:pPr><w:pStyle w:val="Normal"/></w:pPr>
<w:r><w:t xml:space="preserve">was little complexity, and there was no strangeness in their</w:t></w:r>
</w:p>
<w:p>
<w:pPr><w:pStyle w:val="Normal"/></w:pPr>
<w:r><w:t xml:space="preserve">personalities.  Irving was more genially human, Cooper</w:t></w:r>
</w:p>
<w:p>
<w:pPr><w:pStyle w:val="Normal"/></w:pPr>
<w:r><w:t xml:space="preserve">more vitally intense; Bryant was the more careful artist</w:t></w:r>
</w:p>
<w:p>
<w:pPr><w:pStyle w:val="Normal"/></w:pPr>
<w:r><w:t xml:space="preserve">in the severe limits of his art, which was simple and</w:t></w:r>
</w:p>
<w:p>
<w:pPr><w:pStyle w:val="Normal"/></w:pPr>
<w:r><w:t xml:space="preserve">plain.  Simplicity and plainness characterize all three;</w:t></w:r>
</w:p>
<w:p>
<w:pPr><w:pStyle w:val="Normal"/></w:pPr>
<w:r><w:t xml:space="preserve">they were, in truth, simple American gentlemen, of the</w:t></w:r>
</w:p>
<w:p>
<w:pPr><w:pStyle w:val="Normal"/></w:pPr>
<w:r><w:t xml:space="preserve">breeding and tastes that a plain democracy produced as its</w:t></w:r>
</w:p>
<w:p>
<w:pPr><w:pStyle w:val="Normal"/></w:pPr>
<w:r><w:t xml:space="preserve">best, who, giving themselves to literature for a career,</w:t></w:r>
</w:p>
<w:p>
<w:pPr><w:pStyle w:val="Normal"/></w:pPr>
<w:r><w:t xml:space="preserve">developed a native romanticism, which, however obvious and</w:t></w:r>
</w:p>
<w:p>
<w:pPr><w:pStyle w:val="Normal"/></w:pPr>
<w:r><w:t xml:space="preserve">uncomplicated with philosophy, passion or moods, represented</w:t></w:r>
</w:p>
<w:p>
<w:pPr><w:pStyle w:val="Normal"/></w:pPr>
<w:r><w:t xml:space="preserve">the first stage of American life with freshness of power,</w:t></w:r>
</w:p>
<w:p>
<w:pPr><w:pStyle w:val="Normal"/></w:pPr>
<w:r><w:t xml:space="preserve">an element of ideal loftiness and much literary charm.</w:t></w:r>
</w:p>
<w:p>
<w:pPr><w:pStyle w:val="Normal"/></w:pPr>
<w:r><w:t xml:space="preserve">General progress.</w:t></w:r>
</w:p>
<w:p>
<w:pPr><w:pStyle w:val="Normal"/></w:pPr>
<w:r><w:t xml:space="preserve">Though Irving, Cooper and Bryant were associated with New</w:t></w:r>
</w:p>
<w:p>
<w:pPr><w:pStyle w:val="Normal"/></w:pPr>
<w:r><w:t xml:space="preserve">York, there was something sporadic in their germination.</w:t></w:r>
</w:p>
<w:p>
<w:pPr><w:pStyle w:val="Normal"/></w:pPr>
<w:r><w:t xml:space="preserve">They have no common source; they stood apart; and their work</w:t></w:r>
</w:p>
<w:p>
<w:pPr><w:pStyle w:val="Normal"/></w:pPr>
<w:r><w:t xml:space="preserve">neither overlapped nor blended, but remained self-isolated.</w:t></w:r>
</w:p>
<w:p>
<w:pPr><w:pStyle w:val="Normal"/></w:pPr>
<w:r><w:t xml:space="preserve">None of them can be said to have founded a school, but</w:t></w:r>
</w:p>
<w:p>
<w:pPr><w:pStyle w:val="Normal"/></w:pPr>
<w:r><w:t xml:space="preserve">Irving left a literary tradition and Cooper had followers</w:t></w:r>
</w:p>
<w:p>
<w:pPr><w:pStyle w:val="Normal"/></w:pPr>
<w:r><w:t xml:space="preserve">in the field of historical fiction.  The literary product</w:t></w:r>
</w:p>
<w:p>
<w:pPr><w:pStyle w:val="Normal"/></w:pPr>
<w:r><w:t xml:space="preserve">up to the middle of the century presents generally from its</w:t></w:r>
</w:p>
<w:p>
<w:pPr><w:pStyle w:val="Normal"/></w:pPr>
<w:r><w:t xml:space="preserve">early years the appearance of an indistinguishable mass, as</w:t></w:r>
</w:p>
<w:p>
<w:pPr><w:pStyle w:val="Normal"/></w:pPr>
<w:r><w:t xml:space="preserve">in colonial days, in which neither titles nor authors are</w:t></w:r>
</w:p>
<w:p>
<w:pPr><w:pStyle w:val="Normal"/></w:pPr>
<w:r><w:t xml:space="preserve">eminent.  The association of American literature with the</w:t></w:r>
</w:p>
<w:p>
<w:pPr><w:pStyle w:val="Normal"/></w:pPr>
<w:r><w:t xml:space="preserve">periodical press is, perhaps, the most important trait to be</w:t></w:r>
</w:p>
<w:p>
<w:pPr><w:pStyle w:val="Normal"/></w:pPr>
<w:r><w:t xml:space="preserve">observed.  New York and Philadelphia were book- markets, and</w:t></w:r>
</w:p>
<w:p>
<w:pPr><w:pStyle w:val="Normal"/></w:pPr>
<w:r><w:t xml:space="preserve">local presses had long been at work issuing many reprints.</w:t></w:r>
</w:p>
<w:p>
<w:pPr><w:pStyle w:val="Normal"/></w:pPr>
<w:r><w:t xml:space="preserve">Magazines in various degrees of importance sprang up in</w:t></w:r>
</w:p>
<w:p>
<w:pPr><w:pStyle w:val="Normal"/></w:pPr>
<w:r><w:t xml:space="preserve">succession to the earlier imitations of English 18th-century</w:t></w:r>
</w:p>
<w:p>
<w:pPr><w:pStyle w:val="Normal"/></w:pPr>
<w:r><w:t xml:space="preserve">periodicals, which abounded at the beginning of the century;</w:t></w:r>
</w:p>
<w:p>
<w:pPr><w:pStyle w:val="Normal"/></w:pPr>
<w:r><w:t xml:space="preserve">and as time went on these were accompanied by a host of annuals</w:t></w:r>
</w:p>
<w:p>
<w:pPr><w:pStyle w:val="Normal"/></w:pPr>
<w:r><w:t xml:space="preserve">of the English Keepsake variety.  Philadelphia was especially</w:t></w:r>
</w:p>
<w:p>
<w:pPr><w:pStyle w:val="Normal"/></w:pPr>
<w:r><w:t xml:space="preserve">distinguished by an early fertility in magazines, which later</w:t></w:r>
</w:p>
<w:p>
<w:pPr><w:pStyle w:val="Normal"/></w:pPr>
<w:r><w:t xml:space="preserve">reached a great circulation, as in the case of Godey&apos;s and</w:t></w:r>
</w:p>
<w:p>
<w:pPr><w:pStyle w:val="Normal"/></w:pPr>
<w:r><w:t xml:space="preserve">Graham&apos;s; the Knickerbocker became prominent in New York</w:t></w:r>
</w:p>
<w:p>
<w:pPr><w:pStyle w:val="Normal"/></w:pPr>
<w:r><w:t xml:space="preserve">from 1833, when it was founded; Richmond had in The Southern</w:t></w:r>
</w:p>
<w:p>
<w:pPr><w:pStyle w:val="Normal"/></w:pPr>
<w:r><w:t xml:space="preserve">Literary Messenger the chief patron of southern writers from</w:t></w:r>
</w:p>
<w:p>
<w:pPr><w:pStyle w:val="Normal"/></w:pPr>
<w:r><w:t xml:space="preserve">1834, and there were abortive ventures still farther south in</w:t></w:r>
</w:p>
<w:p>
<w:pPr><w:pStyle w:val="Normal"/></w:pPr>
<w:r><w:t xml:space="preserve">Charleston.  These various periodicals and like publications</w:t></w:r>
</w:p>
<w:p>
<w:pPr><w:pStyle w:val="Normal"/></w:pPr>
<w:r><w:t xml:space="preserve">were the literary arena, the place of ambition for young and</w:t></w:r>
</w:p>
<w:p>
<w:pPr><w:pStyle w:val="Normal"/></w:pPr>
<w:r><w:t xml:space="preserve">old, for known and unknown, and there literary fame and what</w:t></w:r>
</w:p>
<w:p>
<w:pPr><w:pStyle w:val="Normal"/></w:pPr>
<w:r><w:t xml:space="preserve">little money came of its pursuit were found.  Minor poetry</w:t></w:r>
</w:p>
<w:p>
<w:pPr><w:pStyle w:val="Normal"/></w:pPr>
<w:r><w:t xml:space="preserve">flourished in it; sketches, tales, essays, every sort of</w:t></w:r>
</w:p>
<w:p>
<w:pPr><w:pStyle w:val="Normal"/></w:pPr>
<w:r><w:t xml:space="preserve">writing in prose multiplied there.  A change in the atmosphere</w:t></w:r>
</w:p>
<w:p>
<w:pPr><w:pStyle w:val="Normal"/></w:pPr>
<w:r><w:t xml:space="preserve">of letters is also to be noted.  The 18th century was fairly</w:t></w:r>
</w:p>
<w:p>
<w:pPr><w:pStyle w:val="Normal"/></w:pPr>
<w:r><w:t xml:space="preserve">left behind.  The Philadelphian reprint of Galignani&apos;s</w:t></w:r>
</w:p>
<w:p>
<w:pPr><w:pStyle w:val="Normal"/></w:pPr>
<w:r><w:t xml:space="preserve">Paris edition of Keats, Shelley and Coleridge had brought</w:t></w:r>
</w:p>
<w:p>
<w:pPr><w:pStyle w:val="Normal"/></w:pPr>
<w:r><w:t xml:space="preserve">in the new romantic poetry with wide effect; and Disraeli,</w:t></w:r>
</w:p>
<w:p>
<w:pPr><w:pStyle w:val="Normal"/></w:pPr>
<w:r><w:t xml:space="preserve">Bulwer and, later, Dickens are felt in the prose; in verse,</w:t></w:r>
</w:p>
<w:p>
<w:pPr><w:pStyle w:val="Normal"/></w:pPr>
<w:r><w:t xml:space="preserve">especially by women, Mrs Hemans and Mrs Browning ruled the</w:t></w:r>
</w:p>
<w:p>
<w:pPr><w:pStyle w:val="Normal"/></w:pPr>
<w:r><w:t xml:space="preserve">moment.  The product was large.  In poetry it was displayed</w:t></w:r>
</w:p>
<w:p>
<w:pPr><w:pStyle w:val="Normal"/></w:pPr>
<w:r><w:t xml:space="preserve">on the most comprehensive scale in Rufus Wilmot Griswold&apos;s</w:t></w:r>
</w:p>
<w:p>
<w:pPr><w:pStyle w:val="Normal"/></w:pPr>
<w:r><w:t xml:space="preserve">(1815-1857) collections of American verse, made in the middle</w:t></w:r>
</w:p>
<w:p>
<w:pPr><w:pStyle w:val="Normal"/></w:pPr>
<w:r><w:t xml:space="preserve">of the century.  Mrs Lydia Sigourney (1791-1865), a prolific</w:t></w:r>
</w:p>
<w:p>
<w:pPr><w:pStyle w:val="Normal"/></w:pPr>
<w:r><w:t xml:space="preserve">writer, and Mrs Maria Gowan Brooks (1795-1845), known as</w:t></w:r>
</w:p>
<w:p>
<w:pPr><w:pStyle w:val="Normal"/></w:pPr>
<w:r><w:t xml:space="preserve">Southey&apos;s &quot;Maria del Occidente,&quot; a more ambitious aspirant,</w:t></w:r>
</w:p>
<w:p>
<w:pPr><w:pStyle w:val="Normal"/></w:pPr>
<w:r><w:t xml:space="preserve">the &quot;Davidson sisters,&quot; (1808-1825: 1823-1838), and Alice</w:t></w:r>
</w:p>
<w:p>
<w:pPr><w:pStyle w:val="Normal"/></w:pPr>
<w:r><w:t xml:space="preserve">(1820-1871) and Phoebe Cary (1824-1871) illustrate the work</w:t></w:r>
</w:p>
<w:p>
<w:pPr><w:pStyle w:val="Normal"/></w:pPr>
<w:r><w:t xml:space="preserve">of the women; and Richard Henry Wilde (1789-1847), George</w:t></w:r>
</w:p>
<w:p>
<w:pPr><w:pStyle w:val="Normal"/></w:pPr>
<w:r><w:t xml:space="preserve">Pope Morris (1802-1864), Charles Fenno Hoffman (1806-1884)</w:t></w:r>
</w:p>
<w:p>
<w:pPr><w:pStyle w:val="Normal"/></w:pPr>
<w:r><w:t xml:space="preserve">and Willis Gaylord Clark (1810-1841) may serve for that of</w:t></w:r>
</w:p>
<w:p>
<w:pPr><w:pStyle w:val="Normal"/></w:pPr>
<w:r><w:t xml:space="preserve">men.  In this verse, and in the abundant prose as well, the</w:t></w:r>
</w:p>
<w:p>
<w:pPr><w:pStyle w:val="Normal"/></w:pPr>
<w:r><w:t xml:space="preserve">sentimentality of the period is strongly marked; it continued</w:t></w:r>
</w:p>
<w:p>
<w:pPr><w:pStyle w:val="Normal"/></w:pPr>
<w:r><w:t xml:space="preserve">to the times of the Civil War. Two poets of a better type,</w:t></w:r>
</w:p>
<w:p>
<w:pPr><w:pStyle w:val="Normal"/></w:pPr>
<w:r><w:t xml:space="preserve">Joseph Rodman Drake (1795-1820), distinguished by delicacy</w:t></w:r>
</w:p>
<w:p>
<w:pPr><w:pStyle w:val="Normal"/></w:pPr>
<w:r><w:t xml:space="preserve">of fancy, and Fitz-Greene Halleck (1790-1867), who showed</w:t></w:r>
</w:p>
<w:p>
<w:pPr><w:pStyle w:val="Normal"/></w:pPr>
<w:r><w:t xml:space="preserve">ardour and a real power of phrase, are remembered from an</w:t></w:r>
</w:p>
<w:p>
<w:pPr><w:pStyle w:val="Normal"/></w:pPr>
<w:r><w:t xml:space="preserve">earlier time for their brotherhood in verse, but Drake died</w:t></w:r>
</w:p>
<w:p>
<w:pPr><w:pStyle w:val="Normal"/></w:pPr>
<w:r><w:t xml:space="preserve">young and Halleck was soon sterilized, so that the talents of</w:t></w:r>
</w:p>
<w:p>
<w:pPr><w:pStyle w:val="Normal"/></w:pPr>
<w:r><w:t xml:space="preserve">both proved abortive.  The characteristic figure that really</w:t></w:r>
</w:p>
<w:p>
<w:pPr><w:pStyle w:val="Normal"/></w:pPr>
<w:r><w:t xml:space="preserve">exemplifies this secondary literature at its best is Nathaniel</w:t></w:r>
</w:p>
<w:p>
<w:pPr><w:pStyle w:val="Normal"/></w:pPr>
<w:r><w:t xml:space="preserve">Parker Willis (1806-1867) who, though born in Portland,</w:t></w:r>
</w:p>
<w:p>
<w:pPr><w:pStyle w:val="Normal"/></w:pPr>
<w:r><w:t xml:space="preserve">Maine, was the chief litterateur of the Knickerbocker</w:t></w:r>
</w:p>
<w:p>
<w:pPr><w:pStyle w:val="Normal"/></w:pPr>
<w:r><w:t xml:space="preserve">period.  He wrote abundantly in both verse and prose, and</w:t></w:r>
</w:p>
<w:p>
<w:pPr><w:pStyle w:val="Normal"/></w:pPr>
<w:r><w:t xml:space="preserve">was the first of the journalist type of authors, a social</w:t></w:r>
</w:p>
<w:p>
<w:pPr><w:pStyle w:val="Normal"/></w:pPr>
<w:r><w:t xml:space="preserve">adventurer with facile powers of literary entertainment, a man</w:t></w:r>
</w:p>
<w:p>
<w:pPr><w:pStyle w:val="Normal"/></w:pPr>
<w:r><w:t xml:space="preserve">of the town and immensely popular.  He was the sentimentalist</w:t></w:r>
</w:p>
<w:p>
<w:pPr><w:pStyle w:val="Normal"/></w:pPr>
<w:r><w:t xml:space="preserve">by profession, and his work, transitory as it proved, was</w:t></w:r>
</w:p>
<w:p>
<w:pPr><w:pStyle w:val="Normal"/></w:pPr>
<w:r><w:t xml:space="preserve">typical of a large share of the taste, talent and ambition</w:t></w:r>
</w:p>
<w:p>
<w:pPr><w:pStyle w:val="Normal"/></w:pPr>
<w:r><w:t xml:space="preserve">of the contemporary crowd of writers.  Neighbouring him in</w:t></w:r>
</w:p>
<w:p>
<w:pPr><w:pStyle w:val="Normal"/></w:pPr>
<w:r><w:t xml:space="preserve">time and place are the authors of various stripe, known as</w:t></w:r>
</w:p>
<w:p>
<w:pPr><w:pStyle w:val="Normal"/></w:pPr>
<w:r><w:t xml:space="preserve">&quot;the Literati,&quot; whom Poe described in his critical papers,</w:t></w:r>
</w:p>
<w:p>
<w:pPr><w:pStyle w:val="Normal"/></w:pPr>
<w:r><w:t xml:space="preserve">which, in connexion with Griswold&apos;s collections mentioned</w:t></w:r>
</w:p>
<w:p>
<w:pPr><w:pStyle w:val="Normal"/></w:pPr>
<w:r><w:t xml:space="preserve">above, are the principal current source of information</w:t></w:r>
</w:p>
<w:p>
<w:pPr><w:pStyle w:val="Normal"/></w:pPr>
<w:r><w:t xml:space="preserve">concerning the bulk of American literature in that period.</w:t></w:r>
</w:p>
<w:p>
<w:pPr><w:pStyle w:val="Normal"/></w:pPr>
<w:r><w:t xml:space="preserve">Poe.</w:t></w:r>
</w:p>
<w:p>
<w:pPr><w:pStyle w:val="Normal"/></w:pPr>
<w:r><w:t xml:space="preserve">This world of the magazines, the Literati and sentimentalism,</w:t></w:r>
</w:p>
<w:p>
<w:pPr><w:pStyle w:val="Normal"/></w:pPr>
<w:r><w:t xml:space="preserve">was the true milieu of Edgar Allan Poe (1809-1849).  Born in</w:t></w:r>
</w:p>
<w:p>
<w:pPr><w:pStyle w:val="Normal"/></w:pPr>
<w:r><w:t xml:space="preserve">Boston, his mother a pleasing English actress and his father</w:t></w:r>
</w:p>
<w:p>
<w:pPr><w:pStyle w:val="Normal"/></w:pPr>
<w:r><w:t xml:space="preserve">a dissipated stage- struck youth of a Baltimore family, left</w:t></w:r>
</w:p>
<w:p>
<w:pPr><w:pStyle w:val="Normal"/></w:pPr>
<w:r><w:t xml:space="preserve">an orphan in childhood, he was reared in the Virginian home</w:t></w:r>
</w:p>
<w:p>
<w:pPr><w:pStyle w:val="Normal"/></w:pPr>
<w:r><w:t xml:space="preserve">of John Allan, a merchant of Scottish extraction; he received</w:t></w:r>
</w:p>
<w:p>
<w:pPr><w:pStyle w:val="Normal"/></w:pPr>
<w:r><w:t xml:space="preserve">there the stamp of southern character.  He was all his life</w:t></w:r>
</w:p>
<w:p>
<w:pPr><w:pStyle w:val="Normal"/></w:pPr>
<w:r><w:t xml:space="preserve">characteristically a southerner, with southern ideals of</w:t></w:r>
</w:p>
<w:p>
<w:pPr><w:pStyle w:val="Normal"/></w:pPr>
<w:r><w:t xml:space="preserve">character and conduct, southern manners towards both men</w:t></w:r>
</w:p>
<w:p>
<w:pPr><w:pStyle w:val="Normal"/></w:pPr>
<w:r><w:t xml:space="preserve">and women and southern passions.  He showed precocity in</w:t></w:r>
</w:p>
<w:p>
<w:pPr><w:pStyle w:val="Normal"/></w:pPr>
<w:r><w:t xml:space="preserve">verse, but made his real debut in prose as editor of The</w:t></w:r>
</w:p>
<w:p>
<w:pPr><w:pStyle w:val="Normal"/></w:pPr>
<w:r><w:t xml:space="preserve">Southern Literary Messenger at Richmond in 1835.  He was</w:t></w:r>
</w:p>
<w:p>
<w:pPr><w:pStyle w:val="Normal"/></w:pPr>
<w:r><w:t xml:space="preserve">by his talents committed to a literary career, and being</w:t></w:r>
</w:p>
<w:p>
<w:pPr><w:pStyle w:val="Normal"/></w:pPr>
<w:r><w:t xml:space="preserve">usually without definite means of support he followed the</w:t></w:r>
</w:p>
<w:p>
<w:pPr><w:pStyle w:val="Normal"/></w:pPr>
<w:r><w:t xml:space="preserve">literary market, first to Philadelphia and later to New</w:t></w:r>
</w:p>
<w:p>
<w:pPr><w:pStyle w:val="Normal"/></w:pPr>
<w:r><w:t xml:space="preserve">York.  He was continuously associated with magazines as editor,</w:t></w:r>
</w:p>
<w:p>
<w:pPr><w:pStyle w:val="Normal"/></w:pPr>
<w:r><w:t xml:space="preserve">reviewer or contributor; they were his means of sustenance;</w:t></w:r>
</w:p>
<w:p>
<w:pPr><w:pStyle w:val="Normal"/></w:pPr>
<w:r><w:t xml:space="preserve">and, whether as cause or effect, this mode of life fell in</w:t></w:r>
</w:p>
<w:p>
<w:pPr><w:pStyle w:val="Normal"/></w:pPr>
<w:r><w:t xml:space="preserve">with the nature of his mind, which was a contemporary mind.</w:t></w:r>
</w:p>
<w:p>
<w:pPr><w:pStyle w:val="Normal"/></w:pPr>
<w:r><w:t xml:space="preserve">He was perhaps better acquainted with contemporary work in</w:t></w:r>
</w:p>
<w:p>
<w:pPr><w:pStyle w:val="Normal"/></w:pPr>
<w:r><w:t xml:space="preserve">literature than any of his associates; he took his first cues</w:t></w:r>
</w:p>
<w:p>
<w:pPr><w:pStyle w:val="Normal"/></w:pPr>
<w:r><w:t xml:space="preserve">from Disraeli and Bulwer and Moore, and he was earliest to</w:t></w:r>
</w:p>
<w:p>
<w:pPr><w:pStyle w:val="Normal"/></w:pPr>
<w:r><w:t xml:space="preserve">recognize Tennyson and Mrs Browning; his principal reading was</w:t></w:r>
</w:p>
<w:p>
<w:pPr><w:pStyle w:val="Normal"/></w:pPr>
<w:r><w:t xml:space="preserve">always in the magazines.  He was, however, more than a man of</w:t></w:r>
</w:p>
<w:p>
<w:pPr><w:pStyle w:val="Normal"/></w:pPr>
<w:r><w:t xml:space="preserve">literary temperament like Irving and Cooper; he was a child of</w:t></w:r>
</w:p>
<w:p>
<w:pPr><w:pStyle w:val="Normal"/></w:pPr>
<w:r><w:t xml:space="preserve">genius.  As in their case, there was something sporadic in</w:t></w:r>
</w:p>
<w:p>
<w:pPr><w:pStyle w:val="Normal"/></w:pPr>
<w:r><w:t xml:space="preserve">his appearance on the scene.  He had no American origins,</w:t></w:r>
</w:p>
<w:p>
<w:pPr><w:pStyle w:val="Normal"/></w:pPr>
<w:r><w:t xml:space="preserve">but only American conditions of life.  In fact he bore little</w:t></w:r>
</w:p>
<w:p>
<w:pPr><w:pStyle w:val="Normal"/></w:pPr>
<w:r><w:t xml:space="preserve">relation to his period, and so far as he was influenced, it</w:t></w:r>
</w:p>
<w:p>
<w:pPr><w:pStyle w:val="Normal"/></w:pPr>
<w:r><w:t xml:space="preserve">was for the worse; he transcended the period, essentially, in</w:t></w:r>
</w:p>
<w:p>
<w:pPr><w:pStyle w:val="Normal"/></w:pPr>
<w:r><w:t xml:space="preserve">all his creative work.  He chose for a form of expression the</w:t></w:r>
</w:p>
<w:p>
<w:pPr><w:pStyle w:val="Normal"/></w:pPr>
<w:r><w:t xml:space="preserve">sketch, tale or short story, and he developed it in various</w:t></w:r>
</w:p>
<w:p>
<w:pPr><w:pStyle w:val="Normal"/></w:pPr>
<w:r><w:t xml:space="preserve">ways.  From the start there was a melodramatic element in</w:t></w:r>
</w:p>
<w:p>
<w:pPr><w:pStyle w:val="Normal"/></w:pPr>
<w:r><w:t xml:space="preserve">him, itself a southern trait and developed by the literary</w:t></w:r>
</w:p>
<w:p>
<w:pPr><w:pStyle w:val="Normal"/></w:pPr>
<w:r><w:t xml:space="preserve">influence of Disraeli and Bulwer on his mind.  He took the</w:t></w:r>
</w:p>
<w:p>
<w:pPr><w:pStyle w:val="Normal"/></w:pPr>
<w:r><w:t xml:space="preserve">tale of mystery as his special province; and receiving it as</w:t></w:r>
</w:p>
<w:p>
<w:pPr><w:pStyle w:val="Normal"/></w:pPr>
<w:r><w:t xml:space="preserve">a mystery that was to be explained, after the recent masters</w:t></w:r>
</w:p>
<w:p>
<w:pPr><w:pStyle w:val="Normal"/></w:pPr>
<w:r><w:t xml:space="preserve">of it, he saw its fruitful lines of development in the fact</w:t></w:r>
</w:p>
<w:p>
<w:pPr><w:pStyle w:val="Normal"/></w:pPr>
<w:r><w:t xml:space="preserve">that science had succeeded to superstition as the source of</w:t></w:r>
</w:p>
<w:p>
<w:pPr><w:pStyle w:val="Normal"/></w:pPr>
<w:r><w:t xml:space="preserve">wonder, and also in the use of ratiocination as a mode of</w:t></w:r>
</w:p>
<w:p>
<w:pPr><w:pStyle w:val="Normal"/></w:pPr>
<w:r><w:t xml:space="preserve">disentanglement in the detective story.  Brilliant as his</w:t></w:r>
</w:p>
<w:p>
<w:pPr><w:pStyle w:val="Normal"/></w:pPr>
<w:r><w:t xml:space="preserve">success was in these lines, his great power lay in the tale</w:t></w:r>
</w:p>
<w:p>
<w:pPr><w:pStyle w:val="Normal"/></w:pPr>
<w:r><w:t xml:space="preserve">of psychological states as a mode of impressing the mind with</w:t></w:r>
</w:p>
<w:p>
<w:pPr><w:pStyle w:val="Normal"/></w:pPr>
<w:r><w:t xml:space="preserve">the thrill of terror, the thrall of fascination, the sense of</w:t></w:r>
</w:p>
<w:p>
<w:pPr><w:pStyle w:val="Normal"/></w:pPr>
<w:r><w:t xml:space="preserve">mystery.  It is by his tales in these several sorts that he</w:t></w:r>
</w:p>
<w:p>
<w:pPr><w:pStyle w:val="Normal"/></w:pPr>
<w:r><w:t xml:space="preserve">won, more slowly than Irving or Cooper and effectually only</w:t></w:r>
</w:p>
<w:p>
<w:pPr><w:pStyle w:val="Normal"/></w:pPr>
<w:r><w:t xml:space="preserve">after his death, continental reputation; at present no American</w:t></w:r>
</w:p>
<w:p>
<w:pPr><w:pStyle w:val="Normal"/></w:pPr>
<w:r><w:t xml:space="preserve">author is so securely settled in the recognition of the world</w:t></w:r>
</w:p>
<w:p>
<w:pPr><w:pStyle w:val="Normal"/></w:pPr>
<w:r><w:t xml:space="preserve">at large, and he owes this, similarly to Cooper, to the power</w:t></w:r>
</w:p>
<w:p>
<w:pPr><w:pStyle w:val="Normal"/></w:pPr>
<w:r><w:t xml:space="preserve">of mystery over the human mind universally; that is, he owes</w:t></w:r>
</w:p>
<w:p>
<w:pPr><w:pStyle w:val="Normal"/></w:pPr>
<w:r><w:t xml:space="preserve">it to his theme, seconded by a marvellous power to develop it</w:t></w:r>
</w:p>
<w:p>
<w:pPr><w:pStyle w:val="Normal"/></w:pPr>
<w:r><w:t xml:space="preserve">by the methods of art.  He thus added new traits to American</w:t></w:r>
</w:p>
<w:p>
<w:pPr><w:pStyle w:val="Normal"/></w:pPr>
<w:r><w:t xml:space="preserve">romanticism, but as in the case of Irving&apos;s Spanish studies</w:t></w:r>
</w:p>
<w:p>
<w:pPr><w:pStyle w:val="Normal"/></w:pPr>
<w:r><w:t xml:space="preserve">there is no American element in the theme; he is detached from</w:t></w:r>
</w:p>
<w:p>
<w:pPr><w:pStyle w:val="Normal"/></w:pPr>
<w:r><w:t xml:space="preserve">his local world, and works in the sphere of universal human</w:t></w:r>
</w:p>
<w:p>
<w:pPr><w:pStyle w:val="Normal"/></w:pPr>
<w:r><w:t xml:space="preserve">nature, nor in his treatment is there any trace of his American</w:t></w:r>
</w:p>
<w:p>
<w:pPr><w:pStyle w:val="Normal"/></w:pPr>
<w:r><w:t xml:space="preserve">birth.  He is a world author more purely than any other American</w:t></w:r>
</w:p>
<w:p>
<w:pPr><w:pStyle w:val="Normal"/></w:pPr>
<w:r><w:t xml:space="preserve">writer.  Though it is on his tales that his continental</w:t></w:r>
</w:p>
<w:p>
<w:pPr><w:pStyle w:val="Normal"/></w:pPr>
<w:r><w:t xml:space="preserve">reputation necessarily rests, his temperament is more subtly</w:t></w:r>
</w:p>
<w:p>
<w:pPr><w:pStyle w:val="Normal"/></w:pPr>
<w:r><w:t xml:space="preserve">expressed in his verse, in which that fond of which his tales</w:t></w:r>
</w:p>
<w:p>
<w:pPr><w:pStyle w:val="Normal"/></w:pPr>
<w:r><w:t xml:space="preserve">are the logical and intelligible growth gives out images and</w:t></w:r>
</w:p>
<w:p>
<w:pPr><w:pStyle w:val="Normal"/></w:pPr>
<w:r><w:t xml:space="preserve">rhythms, the issue of morbid states, which affect the mind</w:t></w:r>
</w:p>
<w:p>
<w:pPr><w:pStyle w:val="Normal"/></w:pPr>
<w:r><w:t xml:space="preserve">rather as a form of music than of thought.  Emotion was, in</w:t></w:r>
</w:p>
<w:p>
<w:pPr><w:pStyle w:val="Normal"/></w:pPr>
<w:r><w:t xml:space="preserve">art, his constant aim, though it might be only so simple a</w:t></w:r>
</w:p>
<w:p>
<w:pPr><w:pStyle w:val="Normal"/></w:pPr>
<w:r><w:t xml:space="preserve">thing as the emotion of colour as in his landscape studies;</w:t></w:r>
</w:p>
<w:p>
<w:pPr><w:pStyle w:val="Normal"/></w:pPr>
<w:r><w:t xml:space="preserve">and in his verse, by an unconscious integration and flow of</w:t></w:r>
</w:p>
<w:p>
<w:pPr><w:pStyle w:val="Normal"/></w:pPr>
<w:r><w:t xml:space="preserve">elements within him it must be thought, he obtained emotional</w:t></w:r>
</w:p>
<w:p>
<w:pPr><w:pStyle w:val="Normal"/></w:pPr>
<w:r><w:t xml:space="preserve">effects by images which have no intellectual value, and</w:t></w:r>
</w:p>
<w:p>
<w:pPr><w:pStyle w:val="Normal"/></w:pPr>
<w:r><w:t xml:space="preserve">which float in rhythms so as to act musically on the mind</w:t></w:r>
</w:p>
<w:p>
<w:pPr><w:pStyle w:val="Normal"/></w:pPr>
<w:r><w:t xml:space="preserve">and arouse pure moods of feeling absolutely free of any other</w:t></w:r>
</w:p>
<w:p>
<w:pPr><w:pStyle w:val="Normal"/></w:pPr>
<w:r><w:t xml:space="preserve">contents.  Such poems must be an enigma to most men, but</w:t></w:r>
</w:p>
<w:p>
<w:pPr><w:pStyle w:val="Normal"/></w:pPr>
<w:r><w:t xml:space="preserve">others are accessible to them, and derive from them an original</w:t></w:r>
</w:p>
<w:p>
<w:pPr><w:pStyle w:val="Normal"/></w:pPr>
<w:r><w:t xml:space="preserve">and unique pleasure; they belong outside of the intellectual</w:t></w:r>
</w:p>
<w:p>
<w:pPr><w:pStyle w:val="Normal"/></w:pPr>
<w:r><w:t xml:space="preserve">sphere.  It is by virtue of this musical quality and immediacy</w:t></w:r>
</w:p>
<w:p>
<w:pPr><w:pStyle w:val="Normal"/></w:pPr>
<w:r><w:t xml:space="preserve">that his poetry is characterized by genius; in proportion</w:t></w:r>
</w:p>
<w:p>
<w:pPr><w:pStyle w:val="Normal"/></w:pPr>
<w:r><w:t xml:space="preserve">as it has meaning of an intelligible sort it begins to fade</w:t></w:r>
</w:p>
<w:p>
<w:pPr><w:pStyle w:val="Normal"/></w:pPr>
<w:r><w:t xml:space="preserve">and lower; so far as &quot;Lenore&quot; and &quot;Annie&quot; and &quot;Annabel Lee&quot;</w:t></w:r>
</w:p>
<w:p>
<w:pPr><w:pStyle w:val="Normal"/></w:pPr>
<w:r><w:t xml:space="preserve">are human, they are feeble ghosts of that sentimentality</w:t></w:r>
</w:p>
<w:p>
<w:pPr><w:pStyle w:val="Normal"/></w:pPr>
<w:r><w:t xml:space="preserve">which was so rife in Poe&apos;s time and so maudlin in his own</w:t></w:r>
</w:p>
<w:p>
<w:pPr><w:pStyle w:val="Normal"/></w:pPr>
<w:r><w:t xml:space="preserve">personal relations; and except for a half- dozen pieces,</w:t></w:r>
</w:p>
<w:p>
<w:pPr><w:pStyle w:val="Normal"/></w:pPr>
<w:r><w:t xml:space="preserve">in which his quality of rhythmical fascination is supreme,</w:t></w:r>
</w:p>
<w:p>
<w:pPr><w:pStyle w:val="Normal"/></w:pPr>
<w:r><w:t xml:space="preserve">his verse as a whole is inferior to the point of being</w:t></w:r>
</w:p>
<w:p>
<w:pPr><w:pStyle w:val="Normal"/></w:pPr>
<w:r><w:t xml:space="preserve">commonplace.  Small as the quantity of his true verse is,</w:t></w:r>
</w:p>
<w:p>
<w:pPr><w:pStyle w:val="Normal"/></w:pPr>
<w:r><w:t xml:space="preserve">it more sustains his peculiar genius in American eyes than</w:t></w:r>
</w:p>
<w:p>
<w:pPr><w:pStyle w:val="Normal"/></w:pPr>
<w:r><w:t xml:space="preserve">does his prose; and this is because it is so unique.  He</w:t></w:r>
</w:p>
<w:p>
<w:pPr><w:pStyle w:val="Normal"/></w:pPr>
<w:r><w:t xml:space="preserve">stands absolutely alone as a poet with none like him; in his</w:t></w:r>
</w:p>
<w:p>
<w:pPr><w:pStyle w:val="Normal"/></w:pPr>
<w:r><w:t xml:space="preserve">tales, as an artist, he is hardly less solitary, but he has</w:t></w:r>
</w:p>
<w:p>
<w:pPr><w:pStyle w:val="Normal"/></w:pPr>
<w:r><w:t xml:space="preserve">some ties of connexion or likeness with the other masters of</w:t></w:r>
</w:p>
<w:p>
<w:pPr><w:pStyle w:val="Normal"/></w:pPr>
<w:r><w:t xml:space="preserve">mystery.  Poe lived in poverty and died in misery; but without</w:t></w:r>
</w:p>
<w:p>
<w:pPr><w:pStyle w:val="Normal"/></w:pPr>
<w:r><w:t xml:space="preserve">him romanticism in America would lose its most romantic</w:t></w:r>
</w:p>
<w:p>
<w:pPr><w:pStyle w:val="Normal"/></w:pPr>
<w:r><w:t xml:space="preserve">figure, and American literature the artist who, most of</w:t></w:r>
</w:p>
<w:p>
<w:pPr><w:pStyle w:val="Normal"/></w:pPr>
<w:r><w:t xml:space="preserve">all its writers, had the passion of genius for its work.</w:t></w:r>
</w:p>
<w:p>
<w:pPr><w:pStyle w:val="Normal"/></w:pPr>
<w:r><w:t xml:space="preserve">Poe left even less trace of himself in the work of others</w:t></w:r>
</w:p>
<w:p>
<w:pPr><w:pStyle w:val="Normal"/></w:pPr>
<w:r><w:t xml:space="preserve">than did Irving, Cooper and Bryant.  He stands in succession</w:t></w:r>
</w:p>
<w:p>
<w:pPr><w:pStyle w:val="Normal"/></w:pPr>
<w:r><w:t xml:space="preserve">to them, and closed the period so far as it contributed to</w:t></w:r>
</w:p>
<w:p>
<w:pPr><w:pStyle w:val="Normal"/></w:pPr>
<w:r><w:t xml:space="preserve">American romanticism anything distinguished, original or</w:t></w:r>
</w:p>
<w:p>
<w:pPr><w:pStyle w:val="Normal"/></w:pPr>
<w:r><w:t xml:space="preserve">permanent.  The ways already opened had, however, been</w:t></w:r>
</w:p>
<w:p>
<w:pPr><w:pStyle w:val="Normal"/></w:pPr>
<w:r><w:t xml:space="preserve">trod, and most notably in fiction.  The treatment of manners</w:t></w:r>
</w:p>
<w:p>
<w:pPr><w:pStyle w:val="Normal"/></w:pPr>
<w:r><w:t xml:space="preserve">and customs, essentially in Irving&apos;s vein, was pleasingly</w:t></w:r>
</w:p>
<w:p>
<w:pPr><w:pStyle w:val="Normal"/></w:pPr>
<w:r><w:t xml:space="preserve">cultivated in Maryland by John Pendleton Kennedy (1795- 1870)</w:t></w:r>
</w:p>
<w:p>
<w:pPr><w:pStyle w:val="Normal"/></w:pPr>
<w:r><w:t xml:space="preserve">in Swallow Barn (1832) and similar tales of Old Dominion</w:t></w:r>
</w:p>
<w:p>
<w:pPr><w:pStyle w:val="Normal"/></w:pPr>
<w:r><w:t xml:space="preserve">life.  In Virginia, Beverly Tucker (1784-1851) in The Partisan</w:t></w:r>
</w:p>
<w:p>
<w:pPr><w:pStyle w:val="Normal"/></w:pPr>
<w:r><w:t xml:space="preserve">Leader (1836), noticeable for its prophecy of secession,</w:t></w:r>
</w:p>
<w:p>
<w:pPr><w:pStyle w:val="Normal"/></w:pPr>
<w:r><w:t xml:space="preserve">and John Esten Cooke (1830-1886) in The Virginia Comedians</w:t></w:r>
</w:p>
<w:p>
<w:pPr><w:pStyle w:val="Normal"/></w:pPr>
<w:r><w:t xml:space="preserve">(1854), also won a passing reputation.  The champion in the</w:t></w:r>
</w:p>
<w:p>
<w:pPr><w:pStyle w:val="Normal"/></w:pPr>
<w:r><w:t xml:space="preserve">south, however, was William Gilmore Simms (1806-1870), born in</w:t></w:r>
</w:p>
<w:p>
<w:pPr><w:pStyle w:val="Normal"/></w:pPr>
<w:r><w:t xml:space="preserve">Charleston, a voluminous writer of both prose and verse, who</w:t></w:r>
</w:p>
<w:p>
<w:pPr><w:pStyle w:val="Normal"/></w:pPr>
<w:r><w:t xml:space="preserve">undertook to depict, on the same scale as Cooper and in his</w:t></w:r>
</w:p>
<w:p>
<w:pPr><w:pStyle w:val="Normal"/></w:pPr>
<w:r><w:t xml:space="preserve">manner, the settlement of the southern territory and its</w:t></w:r>
</w:p>
<w:p>
<w:pPr><w:pStyle w:val="Normal"/></w:pPr>
<w:r><w:t xml:space="preserve">Indian and revolutionary history; but of his many novels, of</w:t></w:r>
</w:p>
<w:p>
<w:pPr><w:pStyle w:val="Normal"/></w:pPr>
<w:r><w:t xml:space="preserve">which the characteristic examples are The Yemassee (1335),</w:t></w:r>
</w:p>
<w:p>
<w:pPr><w:pStyle w:val="Normal"/></w:pPr>
<w:r><w:t xml:space="preserve">The Partisan (1835) and Beauchampe (1842), none attained</w:t></w:r>
</w:p>
<w:p>
<w:pPr><w:pStyle w:val="Normal"/></w:pPr>
<w:r><w:t xml:space="preserve">literary distinction.  The sea-novel was developed by Herman</w:t></w:r>
</w:p>
<w:p>
<w:pPr><w:pStyle w:val="Normal"/></w:pPr>
<w:r><w:t xml:space="preserve">Melville (1819- 1891) in Typee (1846) and its successors,</w:t></w:r>
</w:p>
<w:p>
<w:pPr><w:pStyle w:val="Normal"/></w:pPr>
<w:r><w:t xml:space="preserve">but these tales, in spite of their being highly commended by</w:t></w:r>
</w:p>
<w:p>
<w:pPr><w:pStyle w:val="Normal"/></w:pPr>
<w:r><w:t xml:space="preserve">lovers of adventure, have taken no more hold than the work of</w:t></w:r>
</w:p>
<w:p>
<w:pPr><w:pStyle w:val="Normal"/></w:pPr>
<w:r><w:t xml:space="preserve">Simms.  Single novels of wide popularity appeared from time</w:t></w:r>
</w:p>
<w:p>
<w:pPr><w:pStyle w:val="Normal"/></w:pPr>
<w:r><w:t xml:space="preserve">to time, of which a typical instance was The Wide, Wide</w:t></w:r>
</w:p>
<w:p>
<w:pPr><w:pStyle w:val="Normal"/></w:pPr>
<w:r><w:t xml:space="preserve">World (1850) by Susan Warner (1819-1885).  The grade of</w:t></w:r>
</w:p>
<w:p>
<w:pPr><w:pStyle w:val="Normal"/></w:pPr>
<w:r><w:t xml:space="preserve">excellence was best illustrated, perhaps, for the best current</w:t></w:r>
</w:p>
<w:p>
<w:pPr><w:pStyle w:val="Normal"/></w:pPr>
<w:r><w:t xml:space="preserve">fiction which was not to be incorporated in literature, by</w:t></w:r>
</w:p>
<w:p>
<w:pPr><w:pStyle w:val="Normal"/></w:pPr>
<w:r><w:t xml:space="preserve">the novels of Catharine Maria Sedgwick (1789-1867), of a</w:t></w:r>
</w:p>
<w:p>
<w:pPr><w:pStyle w:val="Normal"/></w:pPr>
<w:r><w:t xml:space="preserve">western Massachusetts family, in Hope Leslie (1827) and its</w:t></w:r>
</w:p>
<w:p>
<w:pPr><w:pStyle w:val="Normal"/></w:pPr>
<w:r><w:t xml:space="preserve">successors.  The distinct Knickerbocker strain was best</w:t></w:r>
</w:p>
<w:p>
<w:pPr><w:pStyle w:val="Normal"/></w:pPr>
<w:r><w:t xml:space="preserve">preserved by James Kirke Paulding (1778-1860) among the</w:t></w:r>
</w:p>
<w:p>
<w:pPr><w:pStyle w:val="Normal"/></w:pPr>
<w:r><w:t xml:space="preserve">direct imitators of Irving; but the better part of the Irving</w:t></w:r>
</w:p>
<w:p>
<w:pPr><w:pStyle w:val="Normal"/></w:pPr>
<w:r><w:t xml:space="preserve">tradition, its sentiment, social grace and literary flavour,</w:t></w:r>
</w:p>
<w:p>
<w:pPr><w:pStyle w:val="Normal"/></w:pPr>
<w:r><w:t xml:space="preserve">was not noticeable until it awoke in George William Curtis</w:t></w:r>
</w:p>
<w:p>
<w:pPr><w:pStyle w:val="Normal"/></w:pPr>
<w:r><w:t xml:space="preserve">(1824-1892), born a New Englander but, like Bryant, a journalist</w:t></w:r>
</w:p>
<w:p>
<w:pPr><w:pStyle w:val="Normal"/></w:pPr>
<w:r><w:t xml:space="preserve">and public man of New York, whose novels, notes of travel and</w:t></w:r>
</w:p>
<w:p>
<w:pPr><w:pStyle w:val="Normal"/></w:pPr>
<w:r><w:t xml:space="preserve">casual brief social essays brought that urbane style to an</w:t></w:r>
</w:p>
<w:p>
<w:pPr><w:pStyle w:val="Normal"/></w:pPr>
<w:r><w:t xml:space="preserve">end, as in Donald Grant Mitchell (born 1822) the school of</w:t></w:r>
</w:p>
<w:p>
<w:pPr><w:pStyle w:val="Normal"/></w:pPr>
<w:r><w:t xml:space="preserve">sentiment, descended from the same source, died not unbecomingly</w:t></w:r>
</w:p>
<w:p>
<w:pPr><w:pStyle w:val="Normal"/></w:pPr>
<w:r><w:t xml:space="preserve">in the Reveries of a Bachelor (1850) and Dream Life</w:t></w:r>
</w:p>
<w:p>
<w:pPr><w:pStyle w:val="Normal"/></w:pPr>
<w:r><w:t xml:space="preserve">(1851).  Two poets, just subsequent to Poe, George Henry</w:t></w:r>
</w:p>
<w:p>
<w:pPr><w:pStyle w:val="Normal"/></w:pPr>
<w:r><w:t xml:space="preserve">Boker (1823-1890) and Thomas Buchanan Read (1822-1872), won</w:t></w:r>
</w:p>
<w:p>
<w:pPr><w:pStyle w:val="Normal"/></w:pPr>
<w:r><w:t xml:space="preserve">a certain distinction, the former especially in the drama,</w:t></w:r>
</w:p>
<w:p>
<w:pPr><w:pStyle w:val="Normal"/></w:pPr>
<w:r><w:t xml:space="preserve">in the Philadelphia group.  The single popular songs, &quot;The</w:t></w:r>
</w:p>
<w:p>
<w:pPr><w:pStyle w:val="Normal"/></w:pPr>
<w:r><w:t xml:space="preserve">Star-Spangled Banner&quot; (1813), by Francis Scott Key (1779-1843) of</w:t></w:r>
</w:p>
<w:p>
<w:pPr><w:pStyle w:val="Normal"/></w:pPr>
<w:r><w:t xml:space="preserve">Maryland, &quot;America&quot; (1832) by Samuel Francis Smith (1808-1895)</w:t></w:r>
</w:p>
<w:p>
<w:pPr><w:pStyle w:val="Normal"/></w:pPr>
<w:r><w:t xml:space="preserve">of Massachusetts, and &quot;Home, Sweet Home&quot; (1823) by John Howard</w:t></w:r>
</w:p>
<w:p>
<w:pPr><w:pStyle w:val="Normal"/></w:pPr>
<w:r><w:t xml:space="preserve">Payne (1792-1852) of New York, may also be appropriately recorded</w:t></w:r>
</w:p>
<w:p>
<w:pPr><w:pStyle w:val="Normal"/></w:pPr>
<w:r><w:t xml:space="preserve">here.  The last distinct literary personality to emerge from</w:t></w:r>
</w:p>
<w:p>
<w:pPr><w:pStyle w:val="Normal"/></w:pPr>
<w:r><w:t xml:space="preserve">the miscellany of talent in the middle of the century, in the</w:t></w:r>
</w:p>
<w:p>
<w:pPr><w:pStyle w:val="Normal"/></w:pPr>
<w:r><w:t xml:space="preserve">middle Atlantic states, was James Bayard Taylor (1825-1878)</w:t></w:r>
</w:p>
<w:p>
<w:pPr><w:pStyle w:val="Normal"/></w:pPr>
<w:r><w:t xml:space="preserve">who, characteristically a journalist, gained reputation by</w:t></w:r>
</w:p>
<w:p>
<w:pPr><w:pStyle w:val="Normal"/></w:pPr>
<w:r><w:t xml:space="preserve">his travels, poems and novels, but in spite of brilliant</w:t></w:r>
</w:p>
<w:p>
<w:pPr><w:pStyle w:val="Normal"/></w:pPr>
<w:r><w:t xml:space="preserve">versatility and a high ambition failed to obtain permanent</w:t></w:r>
</w:p>
<w:p>
<w:pPr><w:pStyle w:val="Normal"/></w:pPr>
<w:r><w:t xml:space="preserve">distinction.  His translation of Faust (1870) is his chief</w:t></w:r>
</w:p>
<w:p>
<w:pPr><w:pStyle w:val="Normal"/></w:pPr>
<w:r><w:t xml:space="preserve">title to remembrance; but the later cultivation of the oriental</w:t></w:r>
</w:p>
<w:p>
<w:pPr><w:pStyle w:val="Normal"/></w:pPr>
<w:r><w:t xml:space="preserve">motive in American lyrical poetry owes something to his example.</w:t></w:r>
</w:p>
<w:p>
<w:pPr><w:pStyle w:val="Normal"/></w:pPr>
<w:r><w:t xml:space="preserve">New England scholarship.</w:t></w:r>
</w:p>
<w:p>
<w:pPr><w:pStyle w:val="Normal"/></w:pPr>
<w:r><w:t xml:space="preserve">In New England, which succeeded to New York as the chief</w:t></w:r>
</w:p>
<w:p>
<w:pPr><w:pStyle w:val="Normal"/></w:pPr>
<w:r><w:t xml:space="preserve">source of literature of high distinction, the progress of</w:t></w:r>
</w:p>
<w:p>
<w:pPr><w:pStyle w:val="Normal"/></w:pPr>
<w:r><w:t xml:space="preserve">culture in the post- Revolutionary period was as normal and</w:t></w:r>
</w:p>
<w:p>
<w:pPr><w:pStyle w:val="Normal"/></w:pPr>
<w:r><w:t xml:space="preserve">gradual as elsewhere in the country; there was no violence of</w:t></w:r>
</w:p>
<w:p>
<w:pPr><w:pStyle w:val="Normal"/></w:pPr>
<w:r><w:t xml:space="preserve">development, no sudden break, but the growth of knowledge and</w:t></w:r>
</w:p>
<w:p>
<w:pPr><w:pStyle w:val="Normal"/></w:pPr>
<w:r><w:t xml:space="preserve">taste went slowly on in conjunction with the softening of the</w:t></w:r>
</w:p>
<w:p>
<w:pPr><w:pStyle w:val="Normal"/></w:pPr>
<w:r><w:t xml:space="preserve">Puritan foundation of thought, belief and practice.  What most</w:t></w:r>
</w:p>
<w:p>
<w:pPr><w:pStyle w:val="Normal"/></w:pPr>
<w:r><w:t xml:space="preserve">distinguished literature in New England from that to the west and</w:t></w:r>
</w:p>
<w:p>
<w:pPr><w:pStyle w:val="Normal"/></w:pPr>
<w:r><w:t xml:space="preserve">south was its connexion with religion and scholarship, neither</w:t></w:r>
</w:p>
<w:p>
<w:pPr><w:pStyle w:val="Normal"/></w:pPr>
<w:r><w:t xml:space="preserve">of which elements was strong in the literature that has been</w:t></w:r>
</w:p>
<w:p>
<w:pPr><w:pStyle w:val="Normal"/></w:pPr>
<w:r><w:t xml:space="preserve">described.  The neighbourhood of Harvard College to Boston was</w:t></w:r>
</w:p>
<w:p>
<w:pPr><w:pStyle w:val="Normal"/></w:pPr>
<w:r><w:t xml:space="preserve">a powerful influence in the field of knowledge and critical</w:t></w:r>
</w:p>
<w:p>
<w:pPr><w:pStyle w:val="Normal"/></w:pPr>
<w:r><w:t xml:space="preserve">culture.  The most significant fact in respect to scholarship,</w:t></w:r>
</w:p>
<w:p>
<w:pPr><w:pStyle w:val="Normal"/></w:pPr>
<w:r><w:t xml:space="preserve">however, was the residence abroad of George Ticknor (1791-1871),</w:t></w:r>
</w:p>
<w:p>
<w:pPr><w:pStyle w:val="Normal"/></w:pPr>
<w:r><w:t xml:space="preserve">author of The History of Spanish Literature (1849), of</w:t></w:r>
</w:p>
<w:p>
<w:pPr><w:pStyle w:val="Normal"/></w:pPr>
<w:r><w:t xml:space="preserve">Edward Everett (1794-1865), the orator, and of George Bancroft</w:t></w:r>
</w:p>
<w:p>
<w:pPr><w:pStyle w:val="Normal"/></w:pPr>
<w:r><w:t xml:space="preserve">(1800-1891), author of the History of the United States</w:t></w:r>
</w:p>
<w:p>
<w:pPr><w:pStyle w:val="Normal"/></w:pPr>
<w:r><w:t xml:space="preserve">(1834-1874), who as young men brought back new ideals of</w:t></w:r>
</w:p>
<w:p>
<w:pPr><w:pStyle w:val="Normal"/></w:pPr>
<w:r><w:t xml:space="preserve">learning.  The social connexion of Boston, not only with</w:t></w:r>
</w:p>
<w:p>
<w:pPr><w:pStyle w:val="Normal"/></w:pPr>
<w:r><w:t xml:space="preserve">England but with the continent, was more constant, varied</w:t></w:r>
</w:p>
<w:p>
<w:pPr><w:pStyle w:val="Normal"/></w:pPr>
<w:r><w:t xml:space="preserve">and intimate than fell to the fortune of any other city, and</w:t></w:r>
</w:p>
<w:p>
<w:pPr><w:pStyle w:val="Normal"/></w:pPr>
<w:r><w:t xml:space="preserve">owing to the serious temper of the community the intellectual</w:t></w:r>
</w:p>
<w:p>
<w:pPr><w:pStyle w:val="Normal"/></w:pPr>
<w:r><w:t xml:space="preserve">commerce with the outer world through books was more</w:t></w:r>
</w:p>
<w:p>
<w:pPr><w:pStyle w:val="Normal"/></w:pPr>
<w:r><w:t xml:space="preserve">profound.  Coleridge was early deeply influential on the</w:t></w:r>
</w:p>
<w:p>
<w:pPr><w:pStyle w:val="Normal"/></w:pPr>
<w:r><w:t xml:space="preserve">thought of the cultivated class, and to him Carlyle, who</w:t></w:r>
</w:p>
<w:p>
<w:pPr><w:pStyle w:val="Normal"/></w:pPr>
<w:r><w:t xml:space="preserve">found his first sincere welcome and effectual power there,</w:t></w:r>
</w:p>
<w:p>
<w:pPr><w:pStyle w:val="Normal"/></w:pPr>
<w:r><w:t xml:space="preserve">succeeded.  The influence of both combined to introduce, and</w:t></w:r>
</w:p>
<w:p>
<w:pPr><w:pStyle w:val="Normal"/></w:pPr>
<w:r><w:t xml:space="preserve">to secure attention for, German writers.  Translation, as</w:t></w:r>
</w:p>
<w:p>
<w:pPr><w:pStyle w:val="Normal"/></w:pPr>
<w:r><w:t xml:space="preserve">time went on, followed, and German thought was also further</w:t></w:r>
</w:p>
<w:p>
<w:pPr><w:pStyle w:val="Normal"/></w:pPr>
<w:r><w:t xml:space="preserve">sustained and advanced in the community by Frederick Henry</w:t></w:r>
</w:p>
<w:p>
<w:pPr><w:pStyle w:val="Normal"/></w:pPr>
<w:r><w:t xml:space="preserve">Hedge (1805-1890), a philosophical theologian, who conducted</w:t></w:r>
</w:p>
<w:p>
<w:pPr><w:pStyle w:val="Normal"/></w:pPr>
<w:r><w:t xml:space="preserve">a propaganda of German ideas.  The activity of the group</w:t></w:r>
</w:p>
<w:p>
<w:pPr><w:pStyle w:val="Normal"/></w:pPr>
<w:r><w:t xml:space="preserve">about him is significantly marked by the issue of the series</w:t></w:r>
</w:p>
<w:p>
<w:pPr><w:pStyle w:val="Normal"/></w:pPr>
<w:r><w:t xml:space="preserve">of Specimens of Foreign Standard Literature (1838), edited</w:t></w:r>
</w:p>
<w:p>
<w:pPr><w:pStyle w:val="Normal"/></w:pPr>
<w:r><w:t xml:space="preserve">by George Ripley (1802-1880), the critic, which was the</w:t></w:r>
</w:p>
<w:p>
<w:pPr><w:pStyle w:val="Normal"/></w:pPr>
<w:r><w:t xml:space="preserve">first of its kind in America.  French ideas, as time went on,</w:t></w:r>
</w:p>
<w:p>
<w:pPr><w:pStyle w:val="Normal"/></w:pPr>
<w:r><w:t xml:space="preserve">were also current, and the field of research extended to the</w:t></w:r>
</w:p>
<w:p>
<w:pPr><w:pStyle w:val="Normal"/></w:pPr>
<w:r><w:t xml:space="preserve">Orient, the writings of which were brought forward especially</w:t></w:r>
</w:p>
<w:p>
<w:pPr><w:pStyle w:val="Normal"/></w:pPr>
<w:r><w:t xml:space="preserve">in connexion with the Transcendental Movement to which all</w:t></w:r>
</w:p>
<w:p>
<w:pPr><w:pStyle w:val="Normal"/></w:pPr>
<w:r><w:t xml:space="preserve">these foreign studies contributed.  In New England, in other</w:t></w:r>
</w:p>
<w:p>
<w:pPr><w:pStyle w:val="Normal"/></w:pPr>
<w:r><w:t xml:space="preserve">words, a close, serious and vital connexion was made, for</w:t></w:r>
</w:p>
<w:p>
<w:pPr><w:pStyle w:val="Normal"/></w:pPr>
<w:r><w:t xml:space="preserve">the first time, with the philosophic thought of the world and</w:t></w:r>
</w:p>
<w:p>
<w:pPr><w:pStyle w:val="Normal"/></w:pPr>
<w:r><w:t xml:space="preserve">with its tradition even in the remote past.  Unitarianism,</w:t></w:r>
</w:p>
<w:p>
<w:pPr><w:pStyle w:val="Normal"/></w:pPr>
<w:r><w:t xml:space="preserve">which was the form in which the old Puritanism dissolved</w:t></w:r>
</w:p>
<w:p>
<w:pPr><w:pStyle w:val="Normal"/></w:pPr>
<w:r><w:t xml:space="preserve">in the cultivated class, came in with the beginning of the</w:t></w:r>
</w:p>
<w:p>
<w:pPr><w:pStyle w:val="Normal"/></w:pPr>
<w:r><w:t xml:space="preserve">century, and found its representative in the gentle character,</w:t></w:r>
</w:p>
<w:p>
<w:pPr><w:pStyle w:val="Normal"/></w:pPr>
<w:r><w:t xml:space="preserve">refined intelligence and liberal humanity of William Ellery</w:t></w:r>
</w:p>
<w:p>
<w:pPr><w:pStyle w:val="Normal"/></w:pPr>
<w:r><w:t xml:space="preserve">Channing (1780- 1842), who has remained its chief apostle.</w:t></w:r>
</w:p>
<w:p>
<w:pPr><w:pStyle w:val="Normal"/></w:pPr>
<w:r><w:t xml:space="preserve">It was the expression of a moral maturing and intellectual</w:t></w:r>
</w:p>
<w:p>
<w:pPr><w:pStyle w:val="Normal"/></w:pPr>
<w:r><w:t xml:space="preserve">enlightenment that took place with as little disturbance</w:t></w:r>
</w:p>
<w:p>
<w:pPr><w:pStyle w:val="Normal"/></w:pPr>
<w:r><w:t xml:space="preserve">as ever marked religious evolution in any community.  The</w:t></w:r>
</w:p>
<w:p>
<w:pPr><w:pStyle w:val="Normal"/></w:pPr>
<w:r><w:t xml:space="preserve">people at large remained evangelical, but they also felt</w:t></w:r>
</w:p>
<w:p>
<w:pPr><w:pStyle w:val="Normal"/></w:pPr>
<w:r><w:t xml:space="preserve">in a less degree the softening and liberalizing tendency;</w:t></w:r>
</w:p>
<w:p>
<w:pPr><w:pStyle w:val="Normal"/></w:pPr>
<w:r><w:t xml:space="preserve">nevertheless it was mainly in the field of Unitarianism that</w:t></w:r>
</w:p>
<w:p>
<w:pPr><w:pStyle w:val="Normal"/></w:pPr>
<w:r><w:t xml:space="preserve">literature flourished, as was natural, and Transcendentalism</w:t></w:r>
</w:p>
<w:p>
<w:pPr><w:pStyle w:val="Normal"/></w:pPr>
<w:r><w:t xml:space="preserve">was a phenomenon that grew out of Unitarianism, being</w:t></w:r>
</w:p>
<w:p>
<w:pPr><w:pStyle w:val="Normal"/></w:pPr>
<w:r><w:t xml:space="preserve">indeed the excess of the movement of enlightenment and the</w:t></w:r>
</w:p>
<w:p>
<w:pPr><w:pStyle w:val="Normal"/></w:pPr>
<w:r><w:t xml:space="preserve">extreme limit of intuitionalism, individualism and private</w:t></w:r>
</w:p>
<w:p>
<w:pPr><w:pStyle w:val="Normal"/></w:pPr>
<w:r><w:t xml:space="preserve">judgment.  These two factors, religion and scholarship, gave</w:t></w:r>
</w:p>
<w:p>
<w:pPr><w:pStyle w:val="Normal"/></w:pPr>
<w:r><w:t xml:space="preserve">to New England literature its serious stamp and academic</w:t></w:r>
</w:p>
<w:p>
<w:pPr><w:pStyle w:val="Normal"/></w:pPr>
<w:r><w:t xml:space="preserve">quality; but the preparatory stage being longer, it was slower</w:t></w:r>
</w:p>
<w:p>
<w:pPr><w:pStyle w:val="Normal"/></w:pPr>
<w:r><w:t xml:space="preserve">to emerge than the literature of the rest of the country.</w:t></w:r>
</w:p>
<w:p>
<w:pPr><w:pStyle w:val="Normal"/></w:pPr>
<w:r><w:t xml:space="preserve">The first stirrings of romanticism in New England were</w:t></w:r>
</w:p>
<w:p>
<w:pPr><w:pStyle w:val="Normal"/></w:pPr>
<w:r><w:t xml:space="preserve">felt, as in the country to the south, by men of literary</w:t></w:r>
</w:p>
<w:p>
<w:pPr><w:pStyle w:val="Normal"/></w:pPr>
<w:r><w:t xml:space="preserve">temperament in a sympathetic enjoyment and feeble imitation</w:t></w:r>
</w:p>
<w:p>
<w:pPr><w:pStyle w:val="Normal"/></w:pPr>
<w:r><w:t xml:space="preserve">of the contemporary English romantic school of fiction</w:t></w:r>
</w:p>
<w:p>
<w:pPr><w:pStyle w:val="Normal"/></w:pPr>
<w:r><w:t xml:space="preserve">exemplified by Mrs Radcliffe, Lewis and Godwin.  Washington</w:t></w:r>
</w:p>
<w:p>
<w:pPr><w:pStyle w:val="Normal"/></w:pPr>
<w:r><w:t xml:space="preserve">Allston (1779-1843), the painter, born in South Carolina but</w:t></w:r>
</w:p>
<w:p>
<w:pPr><w:pStyle w:val="Normal"/></w:pPr>
<w:r><w:t xml:space="preserve">by education and adoption a citizen of Cambridge, showed the</w:t></w:r>
</w:p>
<w:p>
<w:pPr><w:pStyle w:val="Normal"/></w:pPr>
<w:r><w:t xml:space="preserve">taste in Monaldi (1841), and Richard Henry Dana (1787-1879)</w:t></w:r>
</w:p>
<w:p>
<w:pPr><w:pStyle w:val="Normal"/></w:pPr>
<w:r><w:t xml:space="preserve">in Paul Felton (1833); in his poem of the same date, &quot;The</w:t></w:r>
</w:p>
<w:p>
<w:pPr><w:pStyle w:val="Normal"/></w:pPr>
<w:r><w:t xml:space="preserve">Buccaneer,&quot; the pseudo-Byronic element, which belongs to the</w:t></w:r>
</w:p>
<w:p>
<w:pPr><w:pStyle w:val="Normal"/></w:pPr>
<w:r><w:t xml:space="preserve">conception of character and passion in this school of fiction,</w:t></w:r>
</w:p>
<w:p>
<w:pPr><w:pStyle w:val="Normal"/></w:pPr>
<w:r><w:t xml:space="preserve">appears.  These elder writers illustrate rather the stage of</w:t></w:r>
</w:p>
<w:p>
<w:pPr><w:pStyle w:val="Normal"/></w:pPr>
<w:r><w:t xml:space="preserve">imaginative culture at the period, and show by their other</w:t></w:r>
</w:p>
<w:p>
<w:pPr><w:pStyle w:val="Normal"/></w:pPr>
<w:r><w:t xml:space="preserve">works also--Allston by his poems &quot;The Sylphs of the Seasons&quot;</w:t></w:r>
</w:p>
<w:p>
<w:pPr><w:pStyle w:val="Normal"/></w:pPr>
<w:r><w:t xml:space="preserve">(1813), and Dana by his abortive periodical The Idle Man</w:t></w:r>
</w:p>
<w:p>
<w:pPr><w:pStyle w:val="Normal"/></w:pPr>
<w:r><w:t xml:space="preserve">(1821) issued at New York--their essential sympathy with</w:t></w:r>
</w:p>
<w:p>
<w:pPr><w:pStyle w:val="Normal"/></w:pPr>
<w:r><w:t xml:space="preserve">the literary conditions reigning before the time of Irving.</w:t></w:r>
</w:p>
<w:p>
<w:pPr><w:pStyle w:val="Normal"/></w:pPr>
<w:r><w:t xml:space="preserve">They both were post-Revolutionary, and advanced American</w:t></w:r>
</w:p>
<w:p>
<w:pPr><w:pStyle w:val="Normal"/></w:pPr>
<w:r><w:t xml:space="preserve">culture in other fields rather than imagination, Allston in</w:t></w:r>
</w:p>
<w:p>
<w:pPr><w:pStyle w:val="Normal"/></w:pPr>
<w:r><w:t xml:space="preserve">art and Dana in criticism, as editor of The North American</w:t></w:r>
</w:p>
<w:p>
<w:pPr><w:pStyle w:val="Normal"/></w:pPr>
<w:r><w:t xml:space="preserve">Review, which was founded in 1815, and was long the chief</w:t></w:r>
</w:p>
<w:p>
<w:pPr><w:pStyle w:val="Normal"/></w:pPr>
<w:r><w:t xml:space="preserve">organ of serious thought and critical learning, influential</w:t></w:r>
</w:p>
<w:p>
<w:pPr><w:pStyle w:val="Normal"/></w:pPr>
<w:r><w:t xml:space="preserve">in the dissemination of ideas and in the maintenance of the</w:t></w:r>
</w:p>
<w:p>
<w:pPr><w:pStyle w:val="Normal"/></w:pPr>
<w:r><w:t xml:space="preserve">intellectual life.  The influence of their personality in the</w:t></w:r>
</w:p>
<w:p>
<w:pPr><w:pStyle w:val="Normal"/></w:pPr>
<w:r><w:t xml:space="preserve">community, like that of Channing, with whom they were closely</w:t></w:r>
</w:p>
<w:p>
<w:pPr><w:pStyle w:val="Normal"/></w:pPr>
<w:r><w:t xml:space="preserve">connected, was of more importance than any of their works.</w:t></w:r>
</w:p>
<w:p>
<w:pPr><w:pStyle w:val="Normal"/></w:pPr>
<w:r><w:t xml:space="preserve">Emerson: Hawthorne: Longfellow.</w:t></w:r>
</w:p>
<w:p>
<w:pPr><w:pStyle w:val="Normal"/></w:pPr>
<w:r><w:t xml:space="preserve">The definite moment of the appearance of New England in</w:t></w:r>
</w:p>
<w:p>
<w:pPr><w:pStyle w:val="Normal"/></w:pPr>
<w:r><w:t xml:space="preserve">literature in the true sense was marked by Ralph Waldo Emerson&apos;s</w:t></w:r>
</w:p>
<w:p>
<w:pPr><w:pStyle w:val="Normal"/></w:pPr>
<w:r><w:t xml:space="preserve">(1803-1882) Nature (1836), Nathaniel Hawthorne&apos;s (1804-1864)</w:t></w:r>
</w:p>
<w:p>
<w:pPr><w:pStyle w:val="Normal"/></w:pPr>
<w:r><w:t xml:space="preserve">Twice-Told Tales (1837) and Henry Wadsworth Longfellow&apos;s</w:t></w:r>
</w:p>
<w:p>
<w:pPr><w:pStyle w:val="Normal"/></w:pPr>
<w:r><w:t xml:space="preserve">(1807-1882) Voices of the Night (1839).  Of this group</w:t></w:r>
</w:p>
<w:p>
<w:pPr><w:pStyle w:val="Normal"/></w:pPr>
<w:r><w:t xml:space="preserve">of men Longfellow is the most national figure, and from the</w:t></w:r>
</w:p>
<w:p>
<w:pPr><w:pStyle w:val="Normal"/></w:pPr>
<w:r><w:t xml:space="preserve">point of view of literary history the most significant by</w:t></w:r>
</w:p>
<w:p>
<w:pPr><w:pStyle w:val="Normal"/></w:pPr>
<w:r><w:t xml:space="preserve">virtue of what he contributed to American romanticism in the</w:t></w:r>
</w:p>
<w:p>
<w:pPr><w:pStyle w:val="Normal"/></w:pPr>
<w:r><w:t xml:space="preserve">large.  He felt the conscious desire of the people for an</w:t></w:r>
</w:p>
<w:p>
<w:pPr><w:pStyle w:val="Normal"/></w:pPr>
<w:r><w:t xml:space="preserve">American literature, and he obeyed it in the choice of his</w:t></w:r>
</w:p>
<w:p>
<w:pPr><w:pStyle w:val="Normal"/></w:pPr>
<w:r><w:t xml:space="preserve">subjects.  He took national themes, and his work is in</w:t></w:r>
</w:p>
<w:p>
<w:pPr><w:pStyle w:val="Normal"/></w:pPr>
<w:r><w:t xml:space="preserve">this respect the counterpart in poetry to that of Cooper in</w:t></w:r>
</w:p>
<w:p>
<w:pPr><w:pStyle w:val="Normal"/></w:pPr>
<w:r><w:t xml:space="preserve">prose.  In Hiawatha (1855) he poetized the Indian life; and,</w:t></w:r>
</w:p>
<w:p>
<w:pPr><w:pStyle w:val="Normal"/></w:pPr>
<w:r><w:t xml:space="preserve">though the scene and figures of the poem are no more localized</w:t></w:r>
</w:p>
<w:p>
<w:pPr><w:pStyle w:val="Normal"/></w:pPr>
<w:r><w:t xml:space="preserve">than the happy hunting-grounds, the ideal of the life of</w:t></w:r>
</w:p>
<w:p>
<w:pPr><w:pStyle w:val="Normal"/></w:pPr>
<w:r><w:t xml:space="preserve">the aborigines in the wilderness is given with freshness and</w:t></w:r>
</w:p>
<w:p>
<w:pPr><w:pStyle w:val="Normal"/></w:pPr>
<w:r><w:t xml:space="preserve">primitive charm and with effect on the imagination.  It is the</w:t></w:r>
</w:p>
<w:p>
<w:pPr><w:pStyle w:val="Normal"/></w:pPr>
<w:r><w:t xml:space="preserve">sole survivor of many poetic attempts to naturalize the Indian</w:t></w:r>
</w:p>
<w:p>
<w:pPr><w:pStyle w:val="Normal"/></w:pPr>
<w:r><w:t xml:space="preserve">in literature, and will remain the classic Indian poem.  In</w:t></w:r>
</w:p>
<w:p>
<w:pPr><w:pStyle w:val="Normal"/></w:pPr>
<w:r><w:t xml:space="preserve">Evangeline (1847), The Courtship of Miles Standish (1858)</w:t></w:r>
</w:p>
<w:p>
<w:pPr><w:pStyle w:val="Normal"/></w:pPr>
<w:r><w:t xml:space="preserve">and The New England Tragedies (1868), he depicted colonial</w:t></w:r>
</w:p>
<w:p>
<w:pPr><w:pStyle w:val="Normal"/></w:pPr>
<w:r><w:t xml:space="preserve">life.  As he thus embodied national tradition in one portion</w:t></w:r>
</w:p>
<w:p>
<w:pPr><w:pStyle w:val="Normal"/></w:pPr>
<w:r><w:t xml:space="preserve">of his work, he rendered national character in another, and</w:t></w:r>
</w:p>
<w:p>
<w:pPr><w:pStyle w:val="Normal"/></w:pPr>
<w:r><w:t xml:space="preserve">with more spontaneity, in those domestic poems of childhood</w:t></w:r>
</w:p>
<w:p>
<w:pPr><w:pStyle w:val="Normal"/></w:pPr>
<w:r><w:t xml:space="preserve">and the affections, simple moods of the heart in the common</w:t></w:r>
</w:p>
<w:p>
<w:pPr><w:pStyle w:val="Normal"/></w:pPr>
<w:r><w:t xml:space="preserve">lot, which most endeared him as the poet of the household.</w:t></w:r>
</w:p>
<w:p>
<w:pPr><w:pStyle w:val="Normal"/></w:pPr>
<w:r><w:t xml:space="preserve">These are American poems as truly as his historical verse,</w:t></w:r>
</w:p>
<w:p>
<w:pPr><w:pStyle w:val="Normal"/></w:pPr>
<w:r><w:t xml:space="preserve">though they are also universal for the English race.  In another</w:t></w:r>
</w:p>
<w:p>
<w:pPr><w:pStyle w:val="Normal"/></w:pPr>
<w:r><w:t xml:space="preserve">large portion of his work he brought back from the romantic</w:t></w:r>
</w:p>
<w:p>
<w:pPr><w:pStyle w:val="Normal"/></w:pPr>
<w:r><w:t xml:space="preserve">tradition of Europe, after Irving&apos;s manner, motives which he</w:t></w:r>
</w:p>
<w:p>
<w:pPr><w:pStyle w:val="Normal"/></w:pPr>
<w:r><w:t xml:space="preserve">treated for their pure poetic quality, detached from anything</w:t></w:r>
</w:p>
<w:p>
<w:pPr><w:pStyle w:val="Normal"/></w:pPr>
<w:r><w:t xml:space="preserve">American, and he also translated much foreign verse from the</w:t></w:r>
</w:p>
<w:p>
<w:pPr><w:pStyle w:val="Normal"/></w:pPr>
<w:r><w:t xml:space="preserve">north and the south of Europe, including Dante&apos;s Divine Comedy</w:t></w:r>
</w:p>
<w:p>
<w:pPr><w:pStyle w:val="Normal"/></w:pPr>
<w:r><w:t xml:space="preserve">(1867).  He has, more than any other single writer, reunited</w:t></w:r>
</w:p>
<w:p>
<w:pPr><w:pStyle w:val="Normal"/></w:pPr>
<w:r><w:t xml:space="preserve">America with the poetic past of Europe, particularly in its</w:t></w:r>
</w:p>
<w:p>
<w:pPr><w:pStyle w:val="Normal"/></w:pPr>
<w:r><w:t xml:space="preserve">romance.  The same serenity of disposition that marked Irving</w:t></w:r>
</w:p>
<w:p>
<w:pPr><w:pStyle w:val="Normal"/></w:pPr>
<w:r><w:t xml:space="preserve">and Bryant characterized his life; and his art, more varied</w:t></w:r>
</w:p>
<w:p>
<w:pPr><w:pStyle w:val="Normal"/></w:pPr>
<w:r><w:t xml:space="preserve">than Bryant&apos;s or Irving&apos;s, has the same refinement, being</w:t></w:r>
</w:p>
<w:p>
<w:pPr><w:pStyle w:val="Normal"/></w:pPr>
<w:r><w:t xml:space="preserve">simple and so limpid as to deceive the reader into an oblivion</w:t></w:r>
</w:p>
<w:p>
<w:pPr><w:pStyle w:val="Normal"/></w:pPr>
<w:r><w:t xml:space="preserve">of its quality and sometimes into an unwitting disparagement</w:t></w:r>
</w:p>
<w:p>
<w:pPr><w:pStyle w:val="Normal"/></w:pPr>
<w:r><w:t xml:space="preserve">of what seems so plain and natural as to be commonplace.  In</w:t></w:r>
</w:p>
<w:p>
<w:pPr><w:pStyle w:val="Normal"/></w:pPr>
<w:r><w:t xml:space="preserve">Longfellow, as in Irving, one is struck by that quietude,</w:t></w:r>
</w:p>
<w:p>
<w:pPr><w:pStyle w:val="Normal"/></w:pPr>
<w:r><w:t xml:space="preserve">which is so prevailing a characteristic of American literature,</w:t></w:r>
</w:p>
<w:p>
<w:pPr><w:pStyle w:val="Normal"/></w:pPr>
<w:r><w:t xml:space="preserve">and which proceeds from its steady and even flow from sources</w:t></w:r>
</w:p>
<w:p>
<w:pPr><w:pStyle w:val="Normal"/></w:pPr>
<w:r><w:t xml:space="preserve">that never knew any disturbance or perturbation.  The life,</w:t></w:r>
</w:p>
<w:p>
<w:pPr><w:pStyle w:val="Normal"/></w:pPr>
<w:r><w:t xml:space="preserve">the art, the moods are all calm; deep passion is absent.</w:t></w:r>
</w:p>
<w:p>
<w:pPr><w:pStyle w:val="Normal"/></w:pPr>
<w:r><w:t xml:space="preserve">Hawthorne was endowed with a soul of more intense brooding,</w:t></w:r>
</w:p>
<w:p>
<w:pPr><w:pStyle w:val="Normal"/></w:pPr>
<w:r><w:t xml:space="preserve">but he remained within the circle of this peace.  He developed</w:t></w:r>
</w:p>
<w:p>
<w:pPr><w:pStyle w:val="Normal"/></w:pPr>
<w:r><w:t xml:space="preserve">in solitude exquisite grace of language, and in other respects</w:t></w:r>
</w:p>
<w:p>
<w:pPr><w:pStyle w:val="Normal"/></w:pPr>
<w:r><w:t xml:space="preserve">was an artist, the mate of Poe in the tale and exceeding</w:t></w:r>
</w:p>
<w:p>
<w:pPr><w:pStyle w:val="Normal"/></w:pPr>
<w:r><w:t xml:space="preserve">Poe in significance since he used symbolism for effects of</w:t></w:r>
</w:p>
<w:p>
<w:pPr><w:pStyle w:val="Normal"/></w:pPr>
<w:r><w:t xml:space="preserve">truth.  He, like Longfellow, embodied the national tradition,</w:t></w:r>
</w:p>
<w:p>
<w:pPr><w:pStyle w:val="Normal"/></w:pPr>
<w:r><w:t xml:space="preserve">in this case the Puritan past; but he seized the subject,</w:t></w:r>
</w:p>
<w:p>
<w:pPr><w:pStyle w:val="Normal"/></w:pPr>
<w:r><w:t xml:space="preserve">not in its historical aspects and diversity of character and</w:t></w:r>
</w:p>
<w:p>
<w:pPr><w:pStyle w:val="Normal"/></w:pPr>
<w:r><w:t xml:space="preserve">event, but psychologically in its moral passion in The Scarlet</w:t></w:r>
</w:p>
<w:p>
<w:pPr><w:pStyle w:val="Normal"/></w:pPr>
<w:r><w:t xml:space="preserve">Letter (1850), and less abstractly, more picturesquely, more</w:t></w:r>
</w:p>
<w:p>
<w:pPr><w:pStyle w:val="Normal"/></w:pPr>
<w:r><w:t xml:space="preserve">humanly, in its blood tradition, in The House of the Seven</w:t></w:r>
</w:p>
<w:p>
<w:pPr><w:pStyle w:val="Normal"/></w:pPr>
<w:r><w:t xml:space="preserve">Gables.  In his earlier work, as an artist, he shows the</w:t></w:r>
</w:p>
<w:p>
<w:pPr><w:pStyle w:val="Normal"/></w:pPr>
<w:r><w:t xml:space="preserve">paucity of the materials in the environment, especially in</w:t></w:r>
</w:p>
<w:p>
<w:pPr><w:pStyle w:val="Normal"/></w:pPr>
<w:r><w:t xml:space="preserve">his tales; but when his residence in Italy and England gave</w:t></w:r>
</w:p>
<w:p>
<w:pPr><w:pStyle w:val="Normal"/></w:pPr>
<w:r><w:t xml:space="preserve">into his hands larger opportunity, he did not succeed so well</w:t></w:r>
</w:p>
<w:p>
<w:pPr><w:pStyle w:val="Normal"/></w:pPr>
<w:r><w:t xml:space="preserve">in welding Italy with America in The Marble Faun (1860),</w:t></w:r>
</w:p>
<w:p>
<w:pPr><w:pStyle w:val="Normal"/></w:pPr>
<w:r><w:t xml:space="preserve">or England with America in his experimental attempts at the</w:t></w:r>
</w:p>
<w:p>
<w:pPr><w:pStyle w:val="Normal"/></w:pPr>
<w:r><w:t xml:space="preserve">work which he left uncompleted, as he had done in the Puritan</w:t></w:r>
</w:p>
<w:p>
<w:pPr><w:pStyle w:val="Normal"/></w:pPr>
<w:r><w:t xml:space="preserve">romances.  He had, however, added a new domain to American</w:t></w:r>
</w:p>
<w:p>
<w:pPr><w:pStyle w:val="Normal"/></w:pPr>
<w:r><w:t xml:space="preserve">romanticism; and, most of all these writers, he blended</w:t></w:r>
</w:p>
<w:p>
<w:pPr><w:pStyle w:val="Normal"/></w:pPr>
<w:r><w:t xml:space="preserve">moral truth with fiction; he, indeed, spiritualized romance,</w:t></w:r>
</w:p>
<w:p>
<w:pPr><w:pStyle w:val="Normal"/></w:pPr>
<w:r><w:t xml:space="preserve">and without loss of human reality,--a rare thing in any</w:t></w:r>
</w:p>
<w:p>
<w:pPr><w:pStyle w:val="Normal"/></w:pPr>
<w:r><w:t xml:space="preserve">literature.  Both Longfellow and Hawthorne were happy in</w:t></w:r>
</w:p>
<w:p>
<w:pPr><w:pStyle w:val="Normal"/></w:pPr>
<w:r><w:t xml:space="preserve">reconciling their art with their country: both, not less than</w:t></w:r>
</w:p>
<w:p>
<w:pPr><w:pStyle w:val="Normal"/></w:pPr>
<w:r><w:t xml:space="preserve">Poe, were universal artists, but they incorporated the national</w:t></w:r>
</w:p>
<w:p>
<w:pPr><w:pStyle w:val="Normal"/></w:pPr>
<w:r><w:t xml:space="preserve">past in their art and were thereby more profoundly American.</w:t></w:r>
</w:p>
<w:p>
<w:pPr><w:pStyle w:val="Normal"/></w:pPr>
<w:r><w:t xml:space="preserve">Emerson, whose work lay in the religious sphere, not unlike</w:t></w:r>
</w:p>
<w:p>
<w:pPr><w:pStyle w:val="Normal"/></w:pPr>
<w:r><w:t xml:space="preserve">Jonathan Edwards at an earlier time of climax but in a different</w:t></w:r>
</w:p>
<w:p>
<w:pPr><w:pStyle w:val="Normal"/></w:pPr>
<w:r><w:t xml:space="preserve">way, marked the issue of Puritanism in pure idealism, and</w:t></w:r>
</w:p>
<w:p>
<w:pPr><w:pStyle w:val="Normal"/></w:pPr>
<w:r><w:t xml:space="preserve">was more contemporaneously associated with life in the times</w:t></w:r>
</w:p>
<w:p>
<w:pPr><w:pStyle w:val="Normal"/></w:pPr>
<w:r><w:t xml:space="preserve">than were the purely imaginative writers.  He was the central</w:t></w:r>
</w:p>
<w:p>
<w:pPr><w:pStyle w:val="Normal"/></w:pPr>
<w:r><w:t xml:space="preserve">figure of Transcendentalism, and apart from his specific</w:t></w:r>
</w:p>
<w:p>
<w:pPr><w:pStyle w:val="Normal"/></w:pPr>
<w:r><w:t xml:space="preserve">teachings stood for the American spirit, disengaged from</w:t></w:r>
</w:p>
<w:p>
<w:pPr><w:pStyle w:val="Normal"/></w:pPr>
<w:r><w:t xml:space="preserve">authority, independent, personal, responsible only to himself.</w:t></w:r>
</w:p>
<w:p>
<w:pPr><w:pStyle w:val="Normal"/></w:pPr>
<w:r><w:t xml:space="preserve">He reached a revolutionary extreme, but he had not arrived</w:t></w:r>
</w:p>
<w:p>
<w:pPr><w:pStyle w:val="Normal"/></w:pPr>
<w:r><w:t xml:space="preserve">at it by revolutionary means; without storm or stress, with</w:t></w:r>
</w:p>
<w:p>
<w:pPr><w:pStyle w:val="Normal"/></w:pPr>
<w:r><w:t xml:space="preserve">characteristic peacefulness, he came to the great denials, and</w:t></w:r>
</w:p>
<w:p>
<w:pPr><w:pStyle w:val="Normal"/></w:pPr>
<w:r><w:t xml:space="preserve">without much concerning himself with them turned to his own</w:t></w:r>
</w:p>
<w:p>
<w:pPr><w:pStyle w:val="Normal"/></w:pPr>
<w:r><w:t xml:space="preserve">affirmations of spiritual reality, methods of life and personal</w:t></w:r>
</w:p>
<w:p>
<w:pPr><w:pStyle w:val="Normal"/></w:pPr>
<w:r><w:t xml:space="preserve">results.  Serenity was his peculiar trait; amid all the</w:t></w:r>
</w:p>
<w:p>
<w:pPr><w:pStyle w:val="Normal"/></w:pPr>
<w:r><w:t xml:space="preserve">agitation about him he was entirely unmoved, lived calmly and</w:t></w:r>
</w:p>
<w:p>
<w:pPr><w:pStyle w:val="Normal"/></w:pPr>
<w:r><w:t xml:space="preserve">wrote with placid power, concentrating into the slowly wrought</w:t></w:r>
</w:p>
<w:p>
<w:pPr><w:pStyle w:val="Normal"/></w:pPr>
<w:r><w:t xml:space="preserve">sentences of his Essays (1841-1875) the spiritual essence</w:t></w:r>
</w:p>
<w:p>
<w:pPr><w:pStyle w:val="Normal"/></w:pPr>
<w:r><w:t xml:space="preserve">and moral metal of a life lived to God, to himself and to his</w:t></w:r>
</w:p>
<w:p>
<w:pPr><w:pStyle w:val="Normal"/></w:pPr>
<w:r><w:t xml:space="preserve">fellow-men.  He, more than any other single writer, reunited</w:t></w:r>
</w:p>
<w:p>
<w:pPr><w:pStyle w:val="Normal"/></w:pPr>
<w:r><w:t xml:space="preserve">American thought with the philosophy of the world; more than all</w:t></w:r>
</w:p>
<w:p>
<w:pPr><w:pStyle w:val="Normal"/></w:pPr>
<w:r><w:t xml:space="preserve">others, he opened the ways of liberalism, wherever they may</w:t></w:r>
</w:p>
<w:p>
<w:pPr><w:pStyle w:val="Normal"/></w:pPr>
<w:r><w:t xml:space="preserve">lead.  He was an emancipator of the mind.  In his Poems</w:t></w:r>
</w:p>
<w:p>
<w:pPr><w:pStyle w:val="Normal"/></w:pPr>
<w:r><w:t xml:space="preserve">(1847-1867), though the abstract and the concrete often</w:t></w:r>
</w:p>
<w:p>
<w:pPr><w:pStyle w:val="Normal"/></w:pPr>
<w:r><w:t xml:space="preserve">find themselves awkward mates, his philosophic ideas are</w:t></w:r>
</w:p>
<w:p>
<w:pPr><w:pStyle w:val="Normal"/></w:pPr>
<w:r><w:t xml:space="preserve">put forth under forms of imagination and his personal life</w:t></w:r>
</w:p>
<w:p>
<w:pPr><w:pStyle w:val="Normal"/></w:pPr>
<w:r><w:t xml:space="preserve">is expressed with nobility; his poetic originality, though</w:t></w:r>
</w:p>
<w:p>
<w:pPr><w:pStyle w:val="Normal"/></w:pPr>
<w:r><w:t xml:space="preserve">so different in kind, is as unique as Poe&apos;s, and reaches a</w:t></w:r>
</w:p>
<w:p>
<w:pPr><w:pStyle w:val="Normal"/></w:pPr>
<w:r><w:t xml:space="preserve">height of imaginative faculty not elsewhere found in American</w:t></w:r>
</w:p>
<w:p>
<w:pPr><w:pStyle w:val="Normal"/></w:pPr>
<w:r><w:t xml:space="preserve">verse.  His poetry belongs more peculiarly to universal art,</w:t></w:r>
</w:p>
<w:p>
<w:pPr><w:pStyle w:val="Normal"/></w:pPr>
<w:r><w:t xml:space="preserve">so pure in general is its philosophic content and so free from</w:t></w:r>
</w:p>
<w:p>
<w:pPr><w:pStyle w:val="Normal"/></w:pPr>
<w:r><w:t xml:space="preserve">any temporal trait is the style; but it is as distinguished</w:t></w:r>
</w:p>
<w:p>
<w:pPr><w:pStyle w:val="Normal"/></w:pPr>
<w:r><w:t xml:space="preserve">for the laconic expression of American ideas, minted with</w:t></w:r>
</w:p>
<w:p>
<w:pPr><w:pStyle w:val="Normal"/></w:pPr>
<w:r><w:t xml:space="preserve">one blow, as his prose is for the constant breathing of</w:t></w:r>
</w:p>
<w:p>
<w:pPr><w:pStyle w:val="Normal"/></w:pPr>
<w:r><w:t xml:space="preserve">the American spirit.  It is the less possible to define the</w:t></w:r>
</w:p>
<w:p>
<w:pPr><w:pStyle w:val="Normal"/></w:pPr>
<w:r><w:t xml:space="preserve">American traits in Emerson, because they constituted the</w:t></w:r>
</w:p>
<w:p>
<w:pPr><w:pStyle w:val="Normal"/></w:pPr>
<w:r><w:t xml:space="preserve">man.  He was as purely an American type as Lincoln.  The</w:t></w:r>
</w:p>
<w:p>
<w:pPr><w:pStyle w:val="Normal"/></w:pPr>
<w:r><w:t xml:space="preserve">grain of the man is in his work also; and the best that his</w:t></w:r>
</w:p>
<w:p>
<w:pPr><w:pStyle w:val="Normal"/></w:pPr>
<w:r><w:t xml:space="preserve">prose and verse contain is his personal force.  In him alone</w:t></w:r>
</w:p>
<w:p>
<w:pPr><w:pStyle w:val="Normal"/></w:pPr>
<w:r><w:t xml:space="preserve">is genius felt as power; in the others it impresses one</w:t></w:r>
</w:p>
<w:p>
<w:pPr><w:pStyle w:val="Normal"/></w:pPr>
<w:r><w:t xml:space="preserve">primarily as culture, modes of artistic faculty, phases of</w:t></w:r>
</w:p>
<w:p>
<w:pPr><w:pStyle w:val="Normal"/></w:pPr>
<w:r><w:t xml:space="preserve">temperament.  In this, too, he brings to mind Jonathan Edwards,</w:t></w:r>
</w:p>
<w:p>
<w:pPr><w:pStyle w:val="Normal"/></w:pPr>
<w:r><w:t xml:space="preserve">the other climax of the religious spirit in New England; in</w:t></w:r>
</w:p>
<w:p>
<w:pPr><w:pStyle w:val="Normal"/></w:pPr>
<w:r><w:t xml:space="preserve">Edwards it was intellectual power, in Emerson it was moral</w:t></w:r>
</w:p>
<w:p>
<w:pPr><w:pStyle w:val="Normal"/></w:pPr>
<w:r><w:t xml:space="preserve">power; in both it was indigenous, power springing from what</w:t></w:r>
</w:p>
<w:p>
<w:pPr><w:pStyle w:val="Normal"/></w:pPr>
<w:r><w:t xml:space="preserve">was most profound in the historic life of the community.</w:t></w:r>
</w:p>
<w:p>
<w:pPr><w:pStyle w:val="Normal"/></w:pPr>
<w:r><w:t xml:space="preserve">Whittier: Holmes: Lowell.</w:t></w:r>
</w:p>
<w:p>
<w:pPr><w:pStyle w:val="Normal"/></w:pPr>
<w:r><w:t xml:space="preserve">Three other names, John Greenleaf Whittier (1807-1892),</w:t></w:r>
</w:p>
<w:p>
<w:pPr><w:pStyle w:val="Normal"/></w:pPr>
<w:r><w:t xml:space="preserve">Oliver Wendell Holmes (1809-1894), James Russell Lowell</w:t></w:r>
</w:p>
<w:p>
<w:pPr><w:pStyle w:val="Normal"/></w:pPr>
<w:r><w:t xml:space="preserve">(1819-1891), complete the group of the greater writers of New</w:t></w:r>
</w:p>
<w:p>
<w:pPr><w:pStyle w:val="Normal"/></w:pPr>
<w:r><w:t xml:space="preserve">England.  Holmes was a more local figure, by his humour and</w:t></w:r>
</w:p>
<w:p>
<w:pPr><w:pStyle w:val="Normal"/></w:pPr>
<w:r><w:t xml:space="preserve">wit and his mental acuteness a Yankee and having the flavour</w:t></w:r>
</w:p>
<w:p>
<w:pPr><w:pStyle w:val="Normal"/></w:pPr>
<w:r><w:t xml:space="preserve">of race, but neither in his verse nor his novels reaching</w:t></w:r>
</w:p>
<w:p>
<w:pPr><w:pStyle w:val="Normal"/></w:pPr>
<w:r><w:t xml:space="preserve">a high degree of excellence and best known by The Autocrat</w:t></w:r>
</w:p>
<w:p>
<w:pPr><w:pStyle w:val="Normal"/></w:pPr>
<w:r><w:t xml:space="preserve">of the Breakfast Table (1858), which is the Yankee prose</w:t></w:r>
</w:p>
<w:p>
<w:pPr><w:pStyle w:val="Normal"/></w:pPr>
<w:r><w:t xml:space="preserve">classic.  His contemporary reputation was largely social and</w:t></w:r>
</w:p>
<w:p>
<w:pPr><w:pStyle w:val="Normal"/></w:pPr>
<w:r><w:t xml:space="preserve">owed much to the length of his life, but his actual hold on</w:t></w:r>
</w:p>
<w:p>
<w:pPr><w:pStyle w:val="Normal"/></w:pPr>
<w:r><w:t xml:space="preserve">literature already seems slight and his work of little permanent</w:t></w:r>
</w:p>
<w:p>
<w:pPr><w:pStyle w:val="Normal"/></w:pPr>
<w:r><w:t xml:space="preserve">value.  Whittier stands somewhat apart as the poet of the soil</w:t></w:r>
</w:p>
<w:p>
<w:pPr><w:pStyle w:val="Normal"/></w:pPr>
<w:r><w:t xml:space="preserve">and also because of his Quakerism; he was first eminent as</w:t></w:r>
</w:p>
<w:p>
<w:pPr><w:pStyle w:val="Normal"/></w:pPr>
<w:r><w:t xml:space="preserve">the poet of the anti-slavery movement, to which he contributed</w:t></w:r>
</w:p>
<w:p>
<w:pPr><w:pStyle w:val="Normal"/></w:pPr>
<w:r><w:t xml:space="preserve">much stirring verse, and later secured a broader fame by</w:t></w:r>
</w:p>
<w:p>
<w:pPr><w:pStyle w:val="Normal"/></w:pPr>
<w:r><w:t xml:space="preserve">Snowbound (1866) and his religious poems of simple piety,</w:t></w:r>
</w:p>
<w:p>
<w:pPr><w:pStyle w:val="Normal"/></w:pPr>
<w:r><w:t xml:space="preserve">welcome to every faith; he was also a balladist of local</w:t></w:r>
</w:p>
<w:p>
<w:pPr><w:pStyle w:val="Normal"/></w:pPr>
<w:r><w:t xml:space="preserve">legends.  In general he is the voice of the plain people</w:t></w:r>
</w:p>
<w:p>
<w:pPr><w:pStyle w:val="Normal"/></w:pPr>
<w:r><w:t xml:space="preserve">without the medium of academic culture, and his verse though</w:t></w:r>
</w:p>
<w:p>
<w:pPr><w:pStyle w:val="Normal"/></w:pPr>
<w:r><w:t xml:space="preserve">of low flight is near to their life and faith.  Lowell first</w:t></w:r>
</w:p>
<w:p>
<w:pPr><w:pStyle w:val="Normal"/></w:pPr>
<w:r><w:t xml:space="preserve">won distinction by The Biglow Papers (1848), which with the</w:t></w:r>
</w:p>
<w:p>
<w:pPr><w:pStyle w:val="Normal"/></w:pPr>
<w:r><w:t xml:space="preserve">second series (1886) is the Yankee classic in verse, and is</w:t></w:r>
</w:p>
<w:p>
<w:pPr><w:pStyle w:val="Normal"/></w:pPr>
<w:r><w:t xml:space="preserve">second only to his patriotic odes in maintaining his poetic</w:t></w:r>
</w:p>
<w:p>
<w:pPr><w:pStyle w:val="Normal"/></w:pPr>
<w:r><w:t xml:space="preserve">reputation; his other verse, variously romantic in theme and</w:t></w:r>
</w:p>
<w:p>
<w:pPr><w:pStyle w:val="Normal"/></w:pPr>
<w:r><w:t xml:space="preserve">feeling, and latterly more kindred to English classic style,</w:t></w:r>
</w:p>
<w:p>
<w:pPr><w:pStyle w:val="Normal"/></w:pPr>
<w:r><w:t xml:space="preserve">shows little originality and was never popularly received;</w:t></w:r>
</w:p>
<w:p>
<w:pPr><w:pStyle w:val="Normal"/></w:pPr>
<w:r><w:t xml:space="preserve">it is rather the fruit of great talent working in close</w:t></w:r>
</w:p>
<w:p>
<w:pPr><w:pStyle w:val="Normal"/></w:pPr>
<w:r><w:t xml:space="preserve">literary sympathy with other poets whom from time to time he</w:t></w:r>
</w:p>
<w:p>
<w:pPr><w:pStyle w:val="Normal"/></w:pPr>
<w:r><w:t xml:space="preserve">valued.  His prose consists in the main of literary studies in</w:t></w:r>
</w:p>
<w:p>
<w:pPr><w:pStyle w:val="Normal"/></w:pPr>
<w:r><w:t xml:space="preserve">criticism, a field in which he held the first rank.  Together</w:t></w:r>
</w:p>
<w:p>
<w:pPr><w:pStyle w:val="Normal"/></w:pPr>
<w:r><w:t xml:space="preserve">with Holmes and Whittier he gives greater body, diversity</w:t></w:r>
</w:p>
<w:p>
<w:pPr><w:pStyle w:val="Normal"/></w:pPr>
<w:r><w:t xml:space="preserve">and illustration to the literature of New England; but in the</w:t></w:r>
</w:p>
<w:p>
<w:pPr><w:pStyle w:val="Normal"/></w:pPr>
<w:r><w:t xml:space="preserve">work of none of these is there the initiative or the presence</w:t></w:r>
</w:p>
<w:p>
<w:pPr><w:pStyle w:val="Normal"/></w:pPr>
<w:r><w:t xml:space="preserve">of single genius that characterize Emerson, Hawthorne and</w:t></w:r>
</w:p>
<w:p>
<w:pPr><w:pStyle w:val="Normal"/></w:pPr>
<w:r><w:t xml:space="preserve">Longfellow.  Lowell was a scholar with academic ties, a patriot</w:t></w:r>
</w:p>
<w:p>
<w:pPr><w:pStyle w:val="Normal"/></w:pPr>
<w:r><w:t xml:space="preserve">above party, master of prose and verse highly developed and</w:t></w:r>
</w:p>
<w:p>
<w:pPr><w:pStyle w:val="Normal"/></w:pPr>
<w:r><w:t xml:space="preserve">finished, and at times of a lofty strain owing to his moral</w:t></w:r>
</w:p>
<w:p>
<w:pPr><w:pStyle w:val="Normal"/></w:pPr>
<w:r><w:t xml:space="preserve">enthusiasm; Whittier was a Quaker priest, vigorous in a</w:t></w:r>
</w:p>
<w:p>
<w:pPr><w:pStyle w:val="Normal"/></w:pPr>
<w:r><w:t xml:space="preserve">great cause of humanity, with fluent power to express in</w:t></w:r>
</w:p>
<w:p>
<w:pPr><w:pStyle w:val="Normal"/></w:pPr>
<w:r><w:t xml:space="preserve">poetry the life of the farm, the roadside and the legends</w:t></w:r>
</w:p>
<w:p>
<w:pPr><w:pStyle w:val="Normal"/></w:pPr>
<w:r><w:t xml:space="preserve">that were like folklore in the memory of the settlement;</w:t></w:r>
</w:p>
<w:p>
<w:pPr><w:pStyle w:val="Normal"/></w:pPr>
<w:r><w:t xml:space="preserve">Holmes was a town wit and master of occasional verse, with</w:t></w:r>
</w:p>
<w:p>
<w:pPr><w:pStyle w:val="Normal"/></w:pPr>
<w:r><w:t xml:space="preserve">notes here and there of a higher strain in single rare poems.</w:t></w:r>
</w:p>
<w:p>
<w:pPr><w:pStyle w:val="Normal"/></w:pPr>
<w:r><w:t xml:space="preserve">Transcendentalism.</w:t></w:r>
</w:p>
<w:p>
<w:pPr><w:pStyle w:val="Normal"/></w:pPr>
<w:r><w:t xml:space="preserve">The secondary literature that accompanied the work of</w:t></w:r>
</w:p>
<w:p>
<w:pPr><w:pStyle w:val="Normal"/></w:pPr>
<w:r><w:t xml:space="preserve">these writers was abundant.  It was largely the product of</w:t></w:r>
</w:p>
<w:p>
<w:pPr><w:pStyle w:val="Normal"/></w:pPr>
<w:r><w:t xml:space="preserve">Transcendentalism and much of it gathered about Emerson.</w:t></w:r>
</w:p>
<w:p>
<w:pPr><w:pStyle w:val="Normal"/></w:pPr>
<w:r><w:t xml:space="preserve">In The Dial (1840), the organ of Transcendentalism, he</w:t></w:r>
</w:p>
<w:p>
<w:pPr><w:pStyle w:val="Normal"/></w:pPr>
<w:r><w:t xml:space="preserve">introduced to the public his young friend, Henry David Thoreau</w:t></w:r>
</w:p>
<w:p>
<w:pPr><w:pStyle w:val="Normal"/></w:pPr>
<w:r><w:t xml:space="preserve">(1817-1862), author of Walden (1854) and the father of the</w:t></w:r>
</w:p>
<w:p>
<w:pPr><w:pStyle w:val="Normal"/></w:pPr>
<w:r><w:t xml:space="preserve">nature-writers, who as a hermit-type has had some European</w:t></w:r>
</w:p>
<w:p>
<w:pPr><w:pStyle w:val="Normal"/></w:pPr>
<w:r><w:t xml:space="preserve">vogue and shows an increasing hold as an exception among</w:t></w:r>
</w:p>
<w:p>
<w:pPr><w:pStyle w:val="Normal"/></w:pPr>
<w:r><w:t xml:space="preserve">men, but whose work has little literary distinction; and</w:t></w:r>
</w:p>
<w:p>
<w:pPr><w:pStyle w:val="Normal"/></w:pPr>
<w:r><w:t xml:space="preserve">together with him, his companion, William Ellery Channing</w:t></w:r>
</w:p>
<w:p>
<w:pPr><w:pStyle w:val="Normal"/></w:pPr>
<w:r><w:t xml:space="preserve">(1818-1901), a poet who has significance only in the</w:t></w:r>
</w:p>
<w:p>
<w:pPr><w:pStyle w:val="Normal"/></w:pPr>
<w:r><w:t xml:space="preserve">transcendentalist group.  With them should be named Emerson&apos;s</w:t></w:r>
</w:p>
<w:p>
<w:pPr><w:pStyle w:val="Normal"/></w:pPr>
<w:r><w:t xml:space="preserve">coeval, Amos Bronson Alcott (1799-1888), the patriarch of</w:t></w:r>
</w:p>
<w:p>
<w:pPr><w:pStyle w:val="Normal"/></w:pPr>
<w:r><w:t xml:space="preserve">the so-called Concord philosophers, better esteemed for</w:t></w:r>
</w:p>
<w:p>
<w:pPr><w:pStyle w:val="Normal"/></w:pPr>
<w:r><w:t xml:space="preserve">his powers of monologue than as a writer in either prose or</w:t></w:r>
</w:p>
<w:p>
<w:pPr><w:pStyle w:val="Normal"/></w:pPr>
<w:r><w:t xml:space="preserve">verse.  Emerson&apos;s associate-editor in The Dial was Sarah</w:t></w:r>
</w:p>
<w:p>
<w:pPr><w:pStyle w:val="Normal"/></w:pPr>
<w:r><w:t xml:space="preserve">Margaret Fuller, afterwards Marchioness d&apos;Ossoli (1810-1850),</w:t></w:r>
</w:p>
<w:p>
<w:pPr><w:pStyle w:val="Normal"/></w:pPr>
<w:r><w:t xml:space="preserve">a woman of extraordinary qualities and much usefulness, who</w:t></w:r>
</w:p>
<w:p>
<w:pPr><w:pStyle w:val="Normal"/></w:pPr>
<w:r><w:t xml:space="preserve">is best remembered by her Woman in the Nineteenth Century</w:t></w:r>
</w:p>
<w:p>
<w:pPr><w:pStyle w:val="Normal"/></w:pPr>
<w:r><w:t xml:space="preserve">(1844), but contributed no permanent work to literature.</w:t></w:r>
</w:p>
<w:p>
<w:pPr><w:pStyle w:val="Normal"/></w:pPr>
<w:r><w:t xml:space="preserve">She was a leading figure at Brook Farm, the socialistic</w:t></w:r>
</w:p>
<w:p>
<w:pPr><w:pStyle w:val="Normal"/></w:pPr>
<w:r><w:t xml:space="preserve">community founded by members of the group, and especially by</w:t></w:r>
</w:p>
<w:p>
<w:pPr><w:pStyle w:val="Normal"/></w:pPr>
<w:r><w:t xml:space="preserve">Ripley, who like her afterwards emigrated to New York and</w:t></w:r>
</w:p>
<w:p>
<w:pPr><w:pStyle w:val="Normal"/></w:pPr>
<w:r><w:t xml:space="preserve">together with her began a distinguished critical career in</w:t></w:r>
</w:p>
<w:p>
<w:pPr><w:pStyle w:val="Normal"/></w:pPr>
<w:r><w:t xml:space="preserve">connexion with The New York Tribune.  Transcendentalism</w:t></w:r>
</w:p>
<w:p>
<w:pPr><w:pStyle w:val="Normal"/></w:pPr>
<w:r><w:t xml:space="preserve">produced also its peculiar poet in Jones Very (1813-1881),</w:t></w:r>
</w:p>
<w:p>
<w:pPr><w:pStyle w:val="Normal"/></w:pPr>
<w:r><w:t xml:space="preserve">whose Poems (1839) have original quality though slight</w:t></w:r>
</w:p>
<w:p>
<w:pPr><w:pStyle w:val="Normal"/></w:pPr>
<w:r><w:t xml:space="preserve">merit, and its novelist in Sylvester Judd (1813-1853), whose</w:t></w:r>
</w:p>
<w:p>
<w:pPr><w:pStyle w:val="Normal"/></w:pPr>
<w:r><w:t xml:space="preserve">Margaret (1845) is a unique work in American fiction.</w:t></w:r>
</w:p>
<w:p>
<w:pPr><w:pStyle w:val="Normal"/></w:pPr>
<w:r><w:t xml:space="preserve">Other transcendentalist poets were Christopher Pearse Cranch</w:t></w:r>
</w:p>
<w:p>
<w:pPr><w:pStyle w:val="Normal"/></w:pPr>
<w:r><w:t xml:space="preserve">(1813-1892), and Charles Timothy Brooks (1813-1883), who</w:t></w:r>
</w:p>
<w:p>
<w:pPr><w:pStyle w:val="Normal"/></w:pPr>
<w:r><w:t xml:space="preserve">translated Faust (1856), besides a score of minor names.</w:t></w:r>
</w:p>
<w:p>
<w:pPr><w:pStyle w:val="Normal"/></w:pPr>
<w:r><w:t xml:space="preserve">Outside of this group Thomas William Parsons (1819-1892), who</w:t></w:r>
</w:p>
<w:p>
<w:pPr><w:pStyle w:val="Normal"/></w:pPr>
<w:r><w:t xml:space="preserve">translated Dante&apos;s Inferno (1843), was a poet of greater</w:t></w:r>
</w:p>
<w:p>
<w:pPr><w:pStyle w:val="Normal"/></w:pPr>
<w:r><w:t xml:space="preserve">distinction, but his product was slight.  The prose of the</w:t></w:r>
</w:p>
<w:p>
<w:pPr><w:pStyle w:val="Normal"/></w:pPr>
<w:r><w:t xml:space="preserve">movement, though abundant, yielded nothing that is remembered.</w:t></w:r>
</w:p>
<w:p>
<w:pPr><w:pStyle w:val="Normal"/></w:pPr>
<w:r><w:t xml:space="preserve">History.</w:t></w:r>
</w:p>
<w:p>
<w:pPr><w:pStyle w:val="Normal"/></w:pPr>
<w:r><w:t xml:space="preserve">The literary life of Boston was, however, by no means confined</w:t></w:r>
</w:p>
<w:p>
<w:pPr><w:pStyle w:val="Normal"/></w:pPr>
<w:r><w:t xml:space="preserve">within this circle of thought.  It was most distinguished</w:t></w:r>
</w:p>
<w:p>
<w:pPr><w:pStyle w:val="Normal"/></w:pPr>
<w:r><w:t xml:space="preserve">in the field of history, where indeed the writers rivalled</w:t></w:r>
</w:p>
<w:p>
<w:pPr><w:pStyle w:val="Normal"/></w:pPr>
<w:r><w:t xml:space="preserve">the imaginative authors in public fame.  They were, besides</w:t></w:r>
</w:p>
<w:p>
<w:pPr><w:pStyle w:val="Normal"/></w:pPr>
<w:r><w:t xml:space="preserve">George Bancroft already mentioned, John Gorham Palfrey</w:t></w:r>
</w:p>
<w:p>
<w:pPr><w:pStyle w:val="Normal"/></w:pPr>
<w:r><w:t xml:space="preserve">(1796-1881), author of The History of New England (1858),</w:t></w:r>
</w:p>
<w:p>
<w:pPr><w:pStyle w:val="Normal"/></w:pPr>
<w:r><w:t xml:space="preserve">William Hickling Prescott (1796-1859), whose field was</w:t></w:r>
</w:p>
<w:p>
<w:pPr><w:pStyle w:val="Normal"/></w:pPr>
<w:r><w:t xml:space="preserve">Spanish and Spanish-American history, John Lothrop Motley</w:t></w:r>
</w:p>
<w:p>
<w:pPr><w:pStyle w:val="Normal"/></w:pPr>
<w:r><w:t xml:space="preserve">(1814- 1877), whose attention was given to Dutch history,</w:t></w:r>
</w:p>
<w:p>
<w:pPr><w:pStyle w:val="Normal"/></w:pPr>
<w:r><w:t xml:space="preserve">and Jared Sparks (1789-1866), whose work lay in biography.</w:t></w:r>
</w:p>
<w:p>
<w:pPr><w:pStyle w:val="Normal"/></w:pPr>
<w:r><w:t xml:space="preserve">In the writings of Prescott and Motley the romanticism of</w:t></w:r>
</w:p>
<w:p>
<w:pPr><w:pStyle w:val="Normal"/></w:pPr>
<w:r><w:t xml:space="preserve">the period is clearly felt, and they attained the highest</w:t></w:r>
</w:p>
<w:p>
<w:pPr><w:pStyle w:val="Normal"/></w:pPr>
<w:r><w:t xml:space="preserve">distinction in the literary school of history of the period.</w:t></w:r>
</w:p>
<w:p>
<w:pPr><w:pStyle w:val="Normal"/></w:pPr>
<w:r><w:t xml:space="preserve">Oratory.</w:t></w:r>
</w:p>
<w:p>
<w:pPr><w:pStyle w:val="Normal"/></w:pPr>
<w:r><w:t xml:space="preserve">Oratory also flourished in Daniel Webster (1782-1852), Edward</w:t></w:r>
</w:p>
<w:p>
<w:pPr><w:pStyle w:val="Normal"/></w:pPr>
<w:r><w:t xml:space="preserve">Everett (1794-1865), Rufus Choate (1799-1859), Wendell Phillips</w:t></w:r>
</w:p>
<w:p>
<w:pPr><w:pStyle w:val="Normal"/></w:pPr>
<w:r><w:t xml:space="preserve">(1811-1884), Charles Sumner (1811-1874), and Robert Charles</w:t></w:r>
</w:p>
<w:p>
<w:pPr><w:pStyle w:val="Normal"/></w:pPr>
<w:r><w:t xml:space="preserve">Winthrop (1809-1894), the last survivor of a long line of</w:t></w:r>
</w:p>
<w:p>
<w:pPr><w:pStyle w:val="Normal"/></w:pPr>
<w:r><w:t xml:space="preserve">fiery or classic oratory in which New England was especially</w:t></w:r>
</w:p>
<w:p>
<w:pPr><w:pStyle w:val="Normal"/></w:pPr>
<w:r><w:t xml:space="preserve">distinguished and had rivalry only from Henry Clay (1777-1852)</w:t></w:r>
</w:p>
<w:p>
<w:pPr><w:pStyle w:val="Normal"/></w:pPr>
<w:r><w:t xml:space="preserve">of Virginia, and John Caldwell Calhoun (1782-1850) of South</w:t></w:r>
</w:p>
<w:p>
<w:pPr><w:pStyle w:val="Normal"/></w:pPr>
<w:r><w:t xml:space="preserve">Carolina.  The church also produced two powerful speakers in</w:t></w:r>
</w:p>
<w:p>
<w:pPr><w:pStyle w:val="Normal"/></w:pPr>
<w:r><w:t xml:space="preserve">Theodore Parker (1810-1860), the protagonist of the liberals</w:t></w:r>
</w:p>
<w:p>
<w:pPr><w:pStyle w:val="Normal"/></w:pPr>
<w:r><w:t xml:space="preserve">in Boston, and Henry Ward Beecher (1813- 1887), who sustained</w:t></w:r>
</w:p>
<w:p>
<w:pPr><w:pStyle w:val="Normal"/></w:pPr>
<w:r><w:t xml:space="preserve">a liberal form of New England congregationalism in Brooklyn,</w:t></w:r>
</w:p>
<w:p>
<w:pPr><w:pStyle w:val="Normal"/></w:pPr>
<w:r><w:t xml:space="preserve">New York, where he made Plymouth Church a national pulpit.</w:t></w:r>
</w:p>
<w:p>
<w:pPr><w:pStyle w:val="Normal"/></w:pPr>
<w:r><w:t xml:space="preserve">Fiction.</w:t></w:r>
</w:p>
<w:p>
<w:pPr><w:pStyle w:val="Normal"/></w:pPr>
<w:r><w:t xml:space="preserve">The single memorable novel of the period was Mrs Harriet Beecher</w:t></w:r>
</w:p>
<w:p>
<w:pPr><w:pStyle w:val="Normal"/></w:pPr>
<w:r><w:t xml:space="preserve">Stowe&apos;s (1811-1896) Uncle Tom&apos;s Cabin (1852), which had a</w:t></w:r>
</w:p>
<w:p>
<w:pPr><w:pStyle w:val="Normal"/></w:pPr>
<w:r><w:t xml:space="preserve">world-wide vogue; it is the chief contribution of the anti-slavery</w:t></w:r>
</w:p>
<w:p>
<w:pPr><w:pStyle w:val="Normal"/></w:pPr>
<w:r><w:t xml:space="preserve">movement to American literature and stands for plantation life</w:t></w:r>
</w:p>
<w:p>
<w:pPr><w:pStyle w:val="Normal"/></w:pPr>
<w:r><w:t xml:space="preserve">in the old south.  Another female writer, Mrs Lydia Maria Child</w:t></w:r>
</w:p>
<w:p>
<w:pPr><w:pStyle w:val="Normal"/></w:pPr>
<w:r><w:t xml:space="preserve">(1802-1880), remembered by her Philothea (1836), deserves</w:t></w:r>
</w:p>
<w:p>
<w:pPr><w:pStyle w:val="Normal"/></w:pPr>
<w:r><w:t xml:space="preserve">mention in the line of notable American women who served their</w:t></w:r>
</w:p>
<w:p>
<w:pPr><w:pStyle w:val="Normal"/></w:pPr>
<w:r><w:t xml:space="preserve">generation in literary ways and by devotion to public causes.</w:t></w:r>
</w:p>
<w:p>
<w:pPr><w:pStyle w:val="Normal"/></w:pPr>
<w:r><w:t xml:space="preserve">Scholarship.</w:t></w:r>
</w:p>
<w:p>
<w:pPr><w:pStyle w:val="Normal"/></w:pPr>
<w:r><w:t xml:space="preserve">Criticism was served excellently by Edwin Percy Whipple</w:t></w:r>
</w:p>
<w:p>
<w:pPr><w:pStyle w:val="Normal"/></w:pPr>
<w:r><w:t xml:space="preserve">(1819-1885), and less eminently by Henry Theodore Tuckerman</w:t></w:r>
</w:p>
<w:p>
<w:pPr><w:pStyle w:val="Normal"/></w:pPr>
<w:r><w:t xml:space="preserve">(1813-1871), who emigrated to New York; but scholarship in</w:t></w:r>
</w:p>
<w:p>
<w:pPr><w:pStyle w:val="Normal"/></w:pPr>
<w:r><w:t xml:space="preserve">general flourished under the protection of Harvard College,</w:t></w:r>
</w:p>
<w:p>
<w:pPr><w:pStyle w:val="Normal"/></w:pPr>
<w:r><w:t xml:space="preserve">where Ticknor, Longfellow and Lowell maintained a high ideal of</w:t></w:r>
</w:p>
<w:p>
<w:pPr><w:pStyle w:val="Normal"/></w:pPr>
<w:r><w:t xml:space="preserve">literary knowledge and judgment in the chair they successively</w:t></w:r>
</w:p>
<w:p>
<w:pPr><w:pStyle w:val="Normal"/></w:pPr>
<w:r><w:t xml:space="preserve">filled, and were accompanied in English by Francis James Child</w:t></w:r>
</w:p>
<w:p>
<w:pPr><w:pStyle w:val="Normal"/></w:pPr>
<w:r><w:t xml:space="preserve">(1825-1896), whose English and Scottish Ballads, first</w:t></w:r>
</w:p>
<w:p>
<w:pPr><w:pStyle w:val="Normal"/></w:pPr>
<w:r><w:t xml:space="preserve">issued in 1858, was brought to its final and monumental form in</w:t></w:r>
</w:p>
<w:p>
<w:pPr><w:pStyle w:val="Normal"/></w:pPr>
<w:r><w:t xml:space="preserve">1892.  Cornelius Conway Felton (1807-1862), president of</w:t></w:r>
</w:p>
<w:p>
<w:pPr><w:pStyle w:val="Normal"/></w:pPr>
<w:r><w:t xml:space="preserve">Harvard College, stood for Greek culture, but the classical</w:t></w:r>
</w:p>
<w:p>
<w:pPr><w:pStyle w:val="Normal"/></w:pPr>
<w:r><w:t xml:space="preserve">influence was little in evidence.  Elsewhere in New England</w:t></w:r>
</w:p>
<w:p>
<w:pPr><w:pStyle w:val="Normal"/></w:pPr>
<w:r><w:t xml:space="preserve">George Perkins Marsh (1801-1882) of Vermont, long minister to</w:t></w:r>
</w:p>
<w:p>
<w:pPr><w:pStyle w:val="Normal"/></w:pPr>
<w:r><w:t xml:space="preserve">Italy, and William Dwight Whitney (1827-1894) of Yale, were</w:t></w:r>
</w:p>
<w:p>
<w:pPr><w:pStyle w:val="Normal"/></w:pPr>
<w:r><w:t xml:space="preserve">linguistic scholars of high distinction.  The development</w:t></w:r>
</w:p>
<w:p>
<w:pPr><w:pStyle w:val="Normal"/></w:pPr>
<w:r><w:t xml:space="preserve">of the colleges into universities was already prophesied in</w:t></w:r>
</w:p>
<w:p>
<w:pPr><w:pStyle w:val="Normal"/></w:pPr>
<w:r><w:t xml:space="preserve">the presence and work of these men.  Outside of New England</w:t></w:r>
</w:p>
<w:p>
<w:pPr><w:pStyle w:val="Normal"/></w:pPr>
<w:r><w:t xml:space="preserve">scholarship had been illustrated in New York by Charles Anthon</w:t></w:r>
</w:p>
<w:p>
<w:pPr><w:pStyle w:val="Normal"/></w:pPr>
<w:r><w:t xml:space="preserve">(1797-1867), the classical editor, by the Duyckincks, Evert</w:t></w:r>
</w:p>
<w:p>
<w:pPr><w:pStyle w:val="Normal"/></w:pPr>
<w:r><w:t xml:space="preserve">Augustus (1816-1878) and George Long (1823-1863), editors of</w:t></w:r>
</w:p>
<w:p>
<w:pPr><w:pStyle w:val="Normal"/></w:pPr>
<w:r><w:t xml:space="preserve">the Cyclopaedia of American Literature (1855), and by Giulian</w:t></w:r>
</w:p>
<w:p>
<w:pPr><w:pStyle w:val="Normal"/></w:pPr>
<w:r><w:t xml:space="preserve">Crommelin Verplanck (1786-1870), editor of Shakespeare (1846).</w:t></w:r>
</w:p>
<w:p>
<w:pPr><w:pStyle w:val="Normal"/></w:pPr>
<w:r><w:t xml:space="preserve">Characteristics of New England literature.</w:t></w:r>
</w:p>
<w:p>
<w:pPr><w:pStyle w:val="Normal"/></w:pPr>
<w:r><w:t xml:space="preserve">New England thus, standing somewhat apart, produced a characteristic</w:t></w:r>
</w:p>
<w:p>
<w:pPr><w:pStyle w:val="Normal"/></w:pPr>
<w:r><w:t xml:space="preserve">literature, more deeply rooted in the community than was the</w:t></w:r>
</w:p>
<w:p>
<w:pPr><w:pStyle w:val="Normal"/></w:pPr>
<w:r><w:t xml:space="preserve">case elsewhere; and this literature, blending with what was</w:t></w:r>
</w:p>
<w:p>
<w:pPr><w:pStyle w:val="Normal"/></w:pPr>
<w:r><w:t xml:space="preserve">produced to the south and west, became a predominant share</w:t></w:r>
</w:p>
<w:p>
<w:pPr><w:pStyle w:val="Normal"/></w:pPr>
<w:r><w:t xml:space="preserve">of what has been nationally accepted as standard American</w:t></w:r>
</w:p>
<w:p>
<w:pPr><w:pStyle w:val="Normal"/></w:pPr>
<w:r><w:t xml:space="preserve">literature.  It is also the more profound and scholarly share;</w:t></w:r>
</w:p>
<w:p>
<w:pPr><w:pStyle w:val="Normal"/></w:pPr>
<w:r><w:t xml:space="preserve">and if quantity as well as quality be counted, and, as is</w:t></w:r>
</w:p>
<w:p>
<w:pPr><w:pStyle w:val="Normal"/></w:pPr>
<w:r><w:t xml:space="preserve">proper, Bryant be included as the product of Puritan culture,</w:t></w:r>
</w:p>
<w:p>
<w:pPr><w:pStyle w:val="Normal"/></w:pPr>
<w:r><w:t xml:space="preserve">it is the more artistic share.  American standard literature,</w:t></w:r>
</w:p>
<w:p>
<w:pPr><w:pStyle w:val="Normal"/></w:pPr>
<w:r><w:t xml:space="preserve">so constituted, belongs to romanticism, and is a phase of the</w:t></w:r>
</w:p>
<w:p>
<w:pPr><w:pStyle w:val="Normal"/></w:pPr>
<w:r><w:t xml:space="preserve">romanticism which was then the general mood of literature;</w:t></w:r>
</w:p>
<w:p>
<w:pPr><w:pStyle w:val="Normal"/></w:pPr>
<w:r><w:t xml:space="preserve">but it is a native product, with traits of its own and inward</w:t></w:r>
</w:p>
<w:p>
<w:pPr><w:pStyle w:val="Normal"/></w:pPr>
<w:r><w:t xml:space="preserve">development from local conditions, not only apparent by its</w:t></w:r>
</w:p>
<w:p>
<w:pPr><w:pStyle w:val="Normal"/></w:pPr>
<w:r><w:t xml:space="preserve">themes, but by its distinct evolution.  Though it owed much</w:t></w:r>
</w:p>
<w:p>
<w:pPr><w:pStyle w:val="Normal"/></w:pPr>
<w:r><w:t xml:space="preserve">to contact with Europe through its travelled scholars and its</w:t></w:r>
</w:p>
<w:p>
<w:pPr><w:pStyle w:val="Normal"/></w:pPr>
<w:r><w:t xml:space="preserve">intellectual commerce by means of translations and imported</w:t></w:r>
</w:p>
<w:p>
<w:pPr><w:pStyle w:val="Normal"/></w:pPr>
<w:r><w:t xml:space="preserve">books, and often dealt with matter detached from America both</w:t></w:r>
</w:p>
<w:p>
<w:pPr><w:pStyle w:val="Normal"/></w:pPr>
<w:r><w:t xml:space="preserve">in prose and poetry, it was essentially self-contained.  It</w:t></w:r>
</w:p>
<w:p>
<w:pPr><w:pStyle w:val="Normal"/></w:pPr>
<w:r><w:t xml:space="preserve">was, in a marked way, free from the passions whose source</w:t></w:r>
</w:p>
<w:p>
<w:pPr><w:pStyle w:val="Normal"/></w:pPr>
<w:r><w:t xml:space="preserve">was the French Revolution and its after-throes from 1789 to</w:t></w:r>
</w:p>
<w:p>
<w:pPr><w:pStyle w:val="Normal"/></w:pPr>
<w:r><w:t xml:space="preserve">1848; it is by this fact that it differs most from European</w:t></w:r>
</w:p>
<w:p>
<w:pPr><w:pStyle w:val="Normal"/></w:pPr>
<w:r><w:t xml:space="preserve">romanticism.  Just as the Puritan Rebellion in England left</w:t></w:r>
</w:p>
<w:p>
<w:pPr><w:pStyle w:val="Normal"/></w:pPr>
<w:r><w:t xml:space="preserve">the colonies untouched to their own development, the political</w:t></w:r>
</w:p>
<w:p>
<w:pPr><w:pStyle w:val="Normal"/></w:pPr>
<w:r><w:t xml:space="preserve">revolutions in Europe left the new nation unaffected to its normal</w:t></w:r>
</w:p>
<w:p>
<w:pPr><w:pStyle w:val="Normal"/></w:pPr>
<w:r><w:t xml:space="preserve">evolution.  There was never any revolution, in the French</w:t></w:r>
</w:p>
<w:p>
<w:pPr><w:pStyle w:val="Normal"/></w:pPr>
<w:r><w:t xml:space="preserve">sense, in America, whether social, political, religious or</w:t></w:r>
</w:p>
<w:p>
<w:pPr><w:pStyle w:val="Normal"/></w:pPr>
<w:r><w:t xml:space="preserve">literary; its great historical changes, such as the termination</w:t></w:r>
</w:p>
<w:p>
<w:pPr><w:pStyle w:val="Normal"/></w:pPr>
<w:r><w:t xml:space="preserve">of English rule, the passing away of Puritanism, the abolition</w:t></w:r>
</w:p>
<w:p>
<w:pPr><w:pStyle w:val="Normal"/></w:pPr>
<w:r><w:t xml:space="preserve">of slavery with the consequent destruction of the old South,</w:t></w:r>
</w:p>
<w:p>
<w:pPr><w:pStyle w:val="Normal"/></w:pPr>
<w:r><w:t xml:space="preserve">were in a true sense conservative changes, normal phases of new</w:t></w:r>
</w:p>
<w:p>
<w:pPr><w:pStyle w:val="Normal"/></w:pPr>
<w:r><w:t xml:space="preserve">life.  In literature this state of things is reflected in the</w:t></w:r>
</w:p>
<w:p>
<w:pPr><w:pStyle w:val="Normal"/></w:pPr>
<w:r><w:t xml:space="preserve">absence in it of any disturbance, its serenity of mood, its</w:t></w:r>
</w:p>
<w:p>
<w:pPr><w:pStyle w:val="Normal"/></w:pPr>
<w:r><w:t xml:space="preserve">air of quiet studies.  It is shown especially in its lack of</w:t></w:r>
</w:p>
<w:p>
<w:pPr><w:pStyle w:val="Normal"/></w:pPr>
<w:r><w:t xml:space="preserve">passion.  The only ardours displayed by its writers are moral,</w:t></w:r>
</w:p>
<w:p>
<w:pPr><w:pStyle w:val="Normal"/></w:pPr>
<w:r><w:t xml:space="preserve">patriotic or religious, and in none of them is there any sense of</w:t></w:r>
</w:p>
<w:p>
<w:pPr><w:pStyle w:val="Normal"/></w:pPr>
<w:r><w:t xml:space="preserve">conflict.  The life which they knew was wholesome, regular,</w:t></w:r>
</w:p>
<w:p>
<w:pPr><w:pStyle w:val="Normal"/></w:pPr>
<w:r><w:t xml:space="preserve">still free from urban corruption, the experience of a plain,</w:t></w:r>
</w:p>
<w:p>
<w:pPr><w:pStyle w:val="Normal"/></w:pPr>
<w:r><w:t xml:space="preserve">prosperous and law-abiding people.  None of these writers,</w:t></w:r>
</w:p>
<w:p>
<w:pPr><w:pStyle w:val="Normal"/></w:pPr>
<w:r><w:t xml:space="preserve">though like Hawthorne they might deal with sin or like Poe</w:t></w:r>
</w:p>
<w:p>
<w:pPr><w:pStyle w:val="Normal"/></w:pPr>
<w:r><w:t xml:space="preserve">with horror and a lover&apos;s despair at death, struck any tragic</w:t></w:r>
</w:p>
<w:p>
<w:pPr><w:pStyle w:val="Normal"/></w:pPr>
<w:r><w:t xml:space="preserve">note.  No tragedy was written, no love-poetry, no novel of</w:t></w:r>
</w:p>
<w:p>
<w:pPr><w:pStyle w:val="Normal"/></w:pPr>
<w:r><w:t xml:space="preserve">passion.  No literature is so maiden-pure.  It is by refinement</w:t></w:r>
</w:p>
<w:p>
<w:pPr><w:pStyle w:val="Normal"/></w:pPr>
<w:r><w:t xml:space="preserve">rather than power that it is most distinguished, by taste</w:t></w:r>
</w:p>
<w:p>
<w:pPr><w:pStyle w:val="Normal"/></w:pPr>
<w:r><w:t xml:space="preserve">and cultivation, by conscientiousness in art, in poetic and</w:t></w:r>
</w:p>
<w:p>
<w:pPr><w:pStyle w:val="Normal"/></w:pPr>
<w:r><w:t xml:space="preserve">stylistic craft; it is romance retrospectively seen in the</w:t></w:r>
</w:p>
<w:p>
<w:pPr><w:pStyle w:val="Normal"/></w:pPr>
<w:r><w:t xml:space="preserve">national past, or conjured out of foreign lands by reminiscent</w:t></w:r>
</w:p>
<w:p>
<w:pPr><w:pStyle w:val="Normal"/></w:pPr>
<w:r><w:t xml:space="preserve">imagination, or symbolically created out of fantasy; and this</w:t></w:r>
</w:p>
<w:p>
<w:pPr><w:pStyle w:val="Normal"/></w:pPr>
<w:r><w:t xml:space="preserve">is supplemented by poetry of the domestic affections, the</w:t></w:r>
</w:p>
<w:p>
<w:pPr><w:pStyle w:val="Normal"/></w:pPr>
<w:r><w:t xml:space="preserve">simple sorrows, all &quot;that has been and may be again&quot; in daily</w:t></w:r>
</w:p>
<w:p>
<w:pPr><w:pStyle w:val="Normal"/></w:pPr>
<w:r><w:t xml:space="preserve">human lives, and by prose similarly related to a well-ordered</w:t></w:r>
</w:p>
<w:p>
<w:pPr><w:pStyle w:val="Normal"/></w:pPr>
<w:r><w:t xml:space="preserve">life.  If it is undistinguished by any work of supreme genius, it</w:t></w:r>
</w:p>
<w:p>
<w:pPr><w:pStyle w:val="Normal"/></w:pPr>
<w:r><w:t xml:space="preserve">reflects broadly and happily and in enduring forms the national</w:t></w:r>
</w:p>
<w:p>
<w:pPr><w:pStyle w:val="Normal"/></w:pPr>
<w:r><w:t xml:space="preserve">tradition and character of the land in its dawning century.</w:t></w:r>
</w:p>
<w:p>
<w:pPr><w:pStyle w:val="Normal"/></w:pPr>
<w:r><w:t xml:space="preserve">The original impulse of this literature had spent its</w:t></w:r>
</w:p>
<w:p>
<w:pPr><w:pStyle w:val="Normal"/></w:pPr>
<w:r><w:t xml:space="preserve">force by 1861-- that is, before the Civil War. The greater</w:t></w:r>
</w:p>
<w:p>
<w:pPr><w:pStyle w:val="Normal"/></w:pPr>
<w:r><w:t xml:space="preserve">writers had, in general, already done their characteristic</w:t></w:r>
</w:p>
<w:p>
<w:pPr><w:pStyle w:val="Normal"/></w:pPr>
<w:r><w:t xml:space="preserve">work, and though the survivors continued to produce till</w:t></w:r>
</w:p>
<w:p>
<w:pPr><w:pStyle w:val="Normal"/></w:pPr>
<w:r><w:t xml:space="preserve">toward the close of the century, their works contained no</w:t></w:r>
</w:p>
<w:p>
<w:pPr><w:pStyle w:val="Normal"/></w:pPr>
<w:r><w:t xml:space="preserve">new element and were at most mellow fruits of age.  The war</w:t></w:r>
</w:p>
<w:p>
<w:pPr><w:pStyle w:val="Normal"/></w:pPr>
<w:r><w:t xml:space="preserve">itself, like the Revolution, left little trace in literature</w:t></w:r>
</w:p>
<w:p>
<w:pPr><w:pStyle w:val="Normal"/></w:pPr>
<w:r><w:t xml:space="preserve">beyond a few popular songs and those occasional poems which</w:t></w:r>
</w:p>
<w:p>
<w:pPr><w:pStyle w:val="Normal"/></w:pPr>
<w:r><w:t xml:space="preserve">the older poets wrote in the course of the conflict.  Their</w:t></w:r>
</w:p>
<w:p>
<w:pPr><w:pStyle w:val="Normal"/></w:pPr>
<w:r><w:t xml:space="preserve">attitude toward it and (with the exception of Whittier and</w:t></w:r>
</w:p>
<w:p>
<w:pPr><w:pStyle w:val="Normal"/></w:pPr>
<w:r><w:t xml:space="preserve">Lowell) toward the anti- slavery movement which led up to</w:t></w:r>
</w:p>
<w:p>
<w:pPr><w:pStyle w:val="Normal"/></w:pPr>
<w:r><w:t xml:space="preserve">it was rather that of citizens than of poets, though in the</w:t></w:r>
</w:p>
<w:p>
<w:pPr><w:pStyle w:val="Normal"/></w:pPr>
<w:r><w:t xml:space="preserve">verse of Longfellow and Emerson there is the noble stamp</w:t></w:r>
</w:p>
<w:p>
<w:pPr><w:pStyle w:val="Normal"/></w:pPr>
<w:r><w:t xml:space="preserve">of the hour, the impress of liberty, bravery and sorrow.</w:t></w:r>
</w:p>
<w:p>
<w:pPr><w:pStyle w:val="Normal"/></w:pPr>
<w:r><w:t xml:space="preserve">Lowell is the exception; he found in the Commemoration Ode</w:t></w:r>
</w:p>
<w:p>
<w:pPr><w:pStyle w:val="Normal"/></w:pPr>
<w:r><w:t xml:space="preserve">(1865) his loftiest subject and most enduring fame.  The</w:t></w:r>
</w:p>
<w:p>
<w:pPr><w:pStyle w:val="Normal"/></w:pPr>
<w:r><w:t xml:space="preserve">work began to fall into new hands, and a literature since</w:t></w:r>
</w:p>
<w:p>
<w:pPr><w:pStyle w:val="Normal"/></w:pPr>
<w:r><w:t xml:space="preserve">the war grew up, which was, however, especially in poetry,</w:t></w:r>
</w:p>
<w:p>
<w:pPr><w:pStyle w:val="Normal"/></w:pPr>
<w:r><w:t xml:space="preserve">a continuation of romanticism and contained its declining</w:t></w:r>
</w:p>
<w:p>
<w:pPr><w:pStyle w:val="Normal"/></w:pPr>
<w:r><w:t xml:space="preserve">force.  It was contributed to from all parts of the older</w:t></w:r>
</w:p>
<w:p>
<w:pPr><w:pStyle w:val="Normal"/></w:pPr>
<w:r><w:t xml:space="preserve">country, and also from the west, and a generation has now</w:t></w:r>
</w:p>
<w:p>
<w:pPr><w:pStyle w:val="Normal"/></w:pPr>
<w:r><w:t xml:space="preserve">added its completed work to the sum.  No author, in this late</w:t></w:r>
</w:p>
<w:p>
<w:pPr><w:pStyle w:val="Normal"/></w:pPr>
<w:r><w:t xml:space="preserve">period, has received the national welcome to the same degree</w:t></w:r>
</w:p>
<w:p>
<w:pPr><w:pStyle w:val="Normal"/></w:pPr>
<w:r><w:t xml:space="preserve">as the men of the elder time; none has had such personal</w:t></w:r>
</w:p>
<w:p>
<w:pPr><w:pStyle w:val="Normal"/></w:pPr>
<w:r><w:t xml:space="preserve">distinction, eminence or public affection; and none has found</w:t></w:r>
</w:p>
<w:p>
<w:pPr><w:pStyle w:val="Normal"/></w:pPr>
<w:r><w:t xml:space="preserve">such honourable favour abroad, either in England or on the</w:t></w:r>
</w:p>
<w:p>
<w:pPr><w:pStyle w:val="Normal"/></w:pPr>
<w:r><w:t xml:space="preserve">continent.  Poetry has felt the presence of the art of</w:t></w:r>
</w:p>
<w:p>
<w:pPr><w:pStyle w:val="Normal"/></w:pPr>
<w:r><w:t xml:space="preserve">Tennyson, which has maintained an extreme sensitiveness</w:t></w:r>
</w:p>
<w:p>
<w:pPr><w:pStyle w:val="Normal"/></w:pPr>
<w:r><w:t xml:space="preserve">among the poets to artistic requirements of both material and</w:t></w:r>
</w:p>
<w:p>
<w:pPr><w:pStyle w:val="Normal"/></w:pPr>
<w:r><w:t xml:space="preserve">technique; and it also has taken colour from the later English</w:t></w:r>
</w:p>
<w:p>
<w:pPr><w:pStyle w:val="Normal"/></w:pPr>
<w:r><w:t xml:space="preserve">schools.  It has, however, yielded its pre-eminent position to</w:t></w:r>
</w:p>
<w:p>
<w:pPr><w:pStyle w:val="Normal"/></w:pPr>
<w:r><w:t xml:space="preserve">prose.  The novel has displaced romance as the highest form of</w:t></w:r>
</w:p>
<w:p>
<w:pPr><w:pStyle w:val="Normal"/></w:pPr>
<w:r><w:t xml:space="preserve">fiction, and the essay has succeeded the review as the form of</w:t></w:r>
</w:p>
<w:p>
<w:pPr><w:pStyle w:val="Normal"/></w:pPr>
<w:r><w:t xml:space="preserve">criticism.  The older colleges have grown into universities,</w:t></w:r>
</w:p>
<w:p>
<w:pPr><w:pStyle w:val="Normal"/></w:pPr>
<w:r><w:t xml:space="preserve">and public libraries have multiplied throughout the north and</w:t></w:r>
</w:p>
<w:p>
<w:pPr><w:pStyle w:val="Normal"/></w:pPr>
<w:r><w:t xml:space="preserve">west.  The literature of information, meant for the popularization</w:t></w:r>
</w:p>
<w:p>
<w:pPr><w:pStyle w:val="Normal"/></w:pPr>
<w:r><w:t xml:space="preserve">of knowledge of all kinds, has been put forth in great quantity,</w:t></w:r>
</w:p>
<w:p>
<w:pPr><w:pStyle w:val="Normal"/></w:pPr>
<w:r><w:t xml:space="preserve">and the annual increase in the production of books keeps</w:t></w:r>
</w:p>
<w:p>
<w:pPr><w:pStyle w:val="Normal"/></w:pPr>
<w:r><w:t xml:space="preserve">pace with the general growth of the country.  Literature of</w:t></w:r>
</w:p>
<w:p>
<w:pPr><w:pStyle w:val="Normal"/></w:pPr>
<w:r><w:t xml:space="preserve">distinction, however, makes but a small part of this large mass.</w:t></w:r>
</w:p>
<w:p>
<w:pPr><w:pStyle w:val="Normal"/></w:pPr>
<w:r><w:t xml:space="preserve">Later writers.</w:t></w:r>
</w:p>
<w:p>
<w:pPr><w:pStyle w:val="Normal"/></w:pPr>
<w:r><w:t xml:space="preserve">In poetry the literary tradition was continued in Boston by</w:t></w:r>
</w:p>
<w:p>
<w:pPr><w:pStyle w:val="Normal"/></w:pPr>
<w:r><w:t xml:space="preserve">Thomas Bailey Aldrich (1836-1907), essentially a stylist in</w:t></w:r>
</w:p>
<w:p>
<w:pPr><w:pStyle w:val="Normal"/></w:pPr>
<w:r><w:t xml:space="preserve">verse, brief, definite, delicate, who carried the lighter</w:t></w:r>
</w:p>
<w:p>
<w:pPr><w:pStyle w:val="Normal"/></w:pPr>
<w:r><w:t xml:space="preserve">graces of the art, refinement, wit, polish, to a high point of</w:t></w:r>
</w:p>
<w:p>
<w:pPr><w:pStyle w:val="Normal"/></w:pPr>
<w:r><w:t xml:space="preserve">excellence.  His artistic consanguinity is with Herrick and</w:t></w:r>
</w:p>
<w:p>
<w:pPr><w:pStyle w:val="Normal"/></w:pPr>
<w:r><w:t xml:space="preserve">Landor, and he takes motive and colour for his verse from every</w:t></w:r>
</w:p>
<w:p>
<w:pPr><w:pStyle w:val="Normal"/></w:pPr>
<w:r><w:t xml:space="preserve">land, as his predecessors had done, but with effects less</w:t></w:r>
</w:p>
<w:p>
<w:pPr><w:pStyle w:val="Normal"/></w:pPr>
<w:r><w:t xml:space="preserve">rich.  He divided attention between drama and lyric, but as</w:t></w:r>
</w:p>
<w:p>
<w:pPr><w:pStyle w:val="Normal"/></w:pPr>
<w:r><w:t xml:space="preserve">his dramas look strictly to the stage, it is on the lyrics</w:t></w:r>
</w:p>
<w:p>
<w:pPr><w:pStyle w:val="Normal"/></w:pPr>
<w:r><w:t xml:space="preserve">that his reputation rests.  He was master also of an excellent</w:t></w:r>
</w:p>
<w:p>
<w:pPr><w:pStyle w:val="Normal"/></w:pPr>
<w:r><w:t xml:space="preserve">prose and wrote novels, sketches of travel, and especially</w:t></w:r>
</w:p>
<w:p>
<w:pPr><w:pStyle w:val="Normal"/></w:pPr>
<w:r><w:t xml:space="preserve">stories, strongly marked by humour, surprise and literary</w:t></w:r>
</w:p>
<w:p>
<w:pPr><w:pStyle w:val="Normal"/></w:pPr>
<w:r><w:t xml:space="preserve">distinction.  In New York, Edmund Clarence Stedman (1833-1908)</w:t></w:r>
</w:p>
<w:p>
<w:pPr><w:pStyle w:val="Normal"/></w:pPr>
<w:r><w:t xml:space="preserve">became the chief representative of the literary profession.</w:t></w:r>
</w:p>
<w:p>
<w:pPr><w:pStyle w:val="Normal"/></w:pPr>
<w:r><w:t xml:space="preserve">He was both poet and critic, and won reputation in the former</w:t></w:r>
</w:p>
<w:p>
<w:pPr><w:pStyle w:val="Normal"/></w:pPr>
<w:r><w:t xml:space="preserve">and the first rank in the latter field.  His Victorian</w:t></w:r>
</w:p>
<w:p>
<w:pPr><w:pStyle w:val="Normal"/></w:pPr>
<w:r><w:t xml:space="preserve">Poets (1875) and Poets of America (1885), followed by</w:t></w:r>
</w:p>
<w:p>
<w:pPr><w:pStyle w:val="Normal"/></w:pPr>
<w:r><w:t xml:space="preserve">comprehensive anthologies (1894-1900), together with The Nature</w:t></w:r>
</w:p>
<w:p>
<w:pPr><w:pStyle w:val="Normal"/></w:pPr>
<w:r><w:t xml:space="preserve">and Elements of Poetry (1892), are the principal critical</w:t></w:r>
</w:p>
<w:p>
<w:pPr><w:pStyle w:val="Normal"/></w:pPr>
<w:r><w:t xml:space="preserve">work of his generation, and indeed the sole work that is</w:t></w:r>
</w:p>
<w:p>
<w:pPr><w:pStyle w:val="Normal"/></w:pPr>
<w:r><w:t xml:space="preserve">eminent.  His verse, less practised as time went on, was well</w:t></w:r>
</w:p>
<w:p>
<w:pPr><w:pStyle w:val="Normal"/></w:pPr>
<w:r><w:t xml:space="preserve">wrought and often distinguished by flashes of spirited song and</w:t></w:r>
</w:p>
<w:p>
<w:pPr><w:pStyle w:val="Normal"/></w:pPr>
<w:r><w:t xml:space="preserve">balladry.  With him is associated his elder friend, Richard</w:t></w:r>
</w:p>
<w:p>
<w:pPr><w:pStyle w:val="Normal"/></w:pPr>
<w:r><w:t xml:space="preserve">Henry Stoddard (1825- 1903), who made his appearance before</w:t></w:r>
</w:p>
<w:p>
<w:pPr><w:pStyle w:val="Normal"/></w:pPr>
<w:r><w:t xml:space="preserve">the Civil War, and whose verse belongs in general character</w:t></w:r>
</w:p>
<w:p>
<w:pPr><w:pStyle w:val="Normal"/></w:pPr>
<w:r><w:t xml:space="preserve">to the style of that earlier period and is as rapidly</w:t></w:r>
</w:p>
<w:p>
<w:pPr><w:pStyle w:val="Normal"/></w:pPr>
<w:r><w:t xml:space="preserve">forgotten.  Both Stedman and Stoddard were of New England birth,</w:t></w:r>
</w:p>
<w:p>
<w:pPr><w:pStyle w:val="Normal"/></w:pPr>
<w:r><w:t xml:space="preserve">as was also the third to be mentioned, William Winter (born</w:t></w:r>
</w:p>
<w:p>
<w:pPr><w:pStyle w:val="Normal"/></w:pPr>
<w:r><w:t xml:space="preserve">1836), better known as the lifelong dramatic critic of the</w:t></w:r>
</w:p>
<w:p>
<w:pPr><w:pStyle w:val="Normal"/></w:pPr>
<w:r><w:t xml:space="preserve">metropolis.  The last of the New York poets of established</w:t></w:r>
</w:p>
<w:p>
<w:pPr><w:pStyle w:val="Normal"/></w:pPr>
<w:r><w:t xml:space="preserve">reputation, Richard Watson Gilder (b. 1844 in New Jersey;</w:t></w:r>
</w:p>
<w:p>
<w:pPr><w:pStyle w:val="Normal"/></w:pPr>
<w:r><w:t xml:space="preserve">d. 1909), was at first affiliated with the school of</w:t></w:r>
</w:p>
<w:p>
<w:pPr><w:pStyle w:val="Normal"/></w:pPr>
<w:r><w:t xml:space="preserve">Rossetti, and his work in general, Five Books of Song</w:t></w:r>
</w:p>
<w:p>
<w:pPr><w:pStyle w:val="Normal"/></w:pPr>
<w:r><w:t xml:space="preserve">(1894), strongly marked by artistic susceptibility, is in a</w:t></w:r>
</w:p>
<w:p>
<w:pPr><w:pStyle w:val="Normal"/></w:pPr>
<w:r><w:t xml:space="preserve">high degree refined and delicate.  In the country at large</w:t></w:r>
</w:p>
<w:p>
<w:pPr><w:pStyle w:val="Normal"/></w:pPr>
<w:r><w:t xml:space="preserve">popular success, in England as well as in America, was won</w:t></w:r>
</w:p>
<w:p>
<w:pPr><w:pStyle w:val="Normal"/></w:pPr>
<w:r><w:t xml:space="preserve">by Charles Godfrey Leland (1824-1903), in Hans Breitmann&apos;s</w:t></w:r>
</w:p>
<w:p>
<w:pPr><w:pStyle w:val="Normal"/></w:pPr>
<w:r><w:t xml:space="preserve">Ballads (1871), humorous poems in the Pennsylvania Dutch</w:t></w:r>
</w:p>
<w:p>
<w:pPr><w:pStyle w:val="Normal"/></w:pPr>
<w:r><w:t xml:space="preserve">dialect.  Born in Philadelphia, he spent the greater part of</w:t></w:r>
</w:p>
<w:p>
<w:pPr><w:pStyle w:val="Normal"/></w:pPr>
<w:r><w:t xml:space="preserve">his mature life abroad and wrote numerous works on diverse</w:t></w:r>
</w:p>
<w:p>
<w:pPr><w:pStyle w:val="Normal"/></w:pPr>
<w:r><w:t xml:space="preserve">topics, but his reputation is chiefly connected with his books</w:t></w:r>
</w:p>
<w:p>
<w:pPr><w:pStyle w:val="Normal"/></w:pPr>
<w:r><w:t xml:space="preserve">on gypsy life and lore.  Another foreign resident who deserves</w:t></w:r>
</w:p>
<w:p>
<w:pPr><w:pStyle w:val="Normal"/></w:pPr>
<w:r><w:t xml:space="preserve">mention was Wilham Wetmore Story (1819-1895), the sculptor, of</w:t></w:r>
</w:p>
<w:p>
<w:pPr><w:pStyle w:val="Normal"/></w:pPr>
<w:r><w:t xml:space="preserve">Massachusetts, connected with the Boston group, whose verse</w:t></w:r>
</w:p>
<w:p>
<w:pPr><w:pStyle w:val="Normal"/></w:pPr>
<w:r><w:t xml:space="preserve">and prose gave him the rank of a litterateur. The South</w:t></w:r>
</w:p>
<w:p>
<w:pPr><w:pStyle w:val="Normal"/></w:pPr>
<w:r><w:t xml:space="preserve">again entered into literature with the work of Sidney Lanier</w:t></w:r>
</w:p>
<w:p>
<w:pPr><w:pStyle w:val="Normal"/></w:pPr>
<w:r><w:t xml:space="preserve">(1842-1881), in succession to Henry Timrod (1829-1867) and</w:t></w:r>
</w:p>
<w:p>
<w:pPr><w:pStyle w:val="Normal"/></w:pPr>
<w:r><w:t xml:space="preserve">Paul Hamilton Hayne (1830-1886), who find a place rather</w:t></w:r>
</w:p>
<w:p>
<w:pPr><w:pStyle w:val="Normal"/></w:pPr>
<w:r><w:t xml:space="preserve">by the affection in which they are held at the South than</w:t></w:r>
</w:p>
<w:p>
<w:pPr><w:pStyle w:val="Normal"/></w:pPr>
<w:r><w:t xml:space="preserve">by positive merit.  Lanier showed originality and a true</w:t></w:r>
</w:p>
<w:p>
<w:pPr><w:pStyle w:val="Normal"/></w:pPr>
<w:r><w:t xml:space="preserve">poetic gift, but his talents were little effectual.  From</w:t></w:r>
</w:p>
<w:p>
<w:pPr><w:pStyle w:val="Normal"/></w:pPr>
<w:r><w:t xml:space="preserve">the West humorous poetry was produced by Francis Bret Harte</w:t></w:r>
</w:p>
<w:p>
<w:pPr><w:pStyle w:val="Normal"/></w:pPr>
<w:r><w:t xml:space="preserve">(1839-1902), born in Albany, in The Heathen Chinee (1870)</w:t></w:r>
</w:p>
<w:p>
<w:pPr><w:pStyle w:val="Normal"/></w:pPr>
<w:r><w:t xml:space="preserve">and similar verse, but he is better remembered as the artistic</w:t></w:r>
</w:p>
<w:p>
<w:pPr><w:pStyle w:val="Normal"/></w:pPr>
<w:r><w:t xml:space="preserve">narrator of western mining life in his numerous stories and</w:t></w:r>
</w:p>
<w:p>
<w:pPr><w:pStyle w:val="Normal"/></w:pPr>
<w:r><w:t xml:space="preserve">novels.  Verse of a similar kind also first brought into</w:t></w:r>
</w:p>
<w:p>
<w:pPr><w:pStyle w:val="Normal"/></w:pPr>
<w:r><w:t xml:space="preserve">literary notice John Hay (1838-1905), in Pike County</w:t></w:r>
</w:p>
<w:p>
<w:pPr><w:pStyle w:val="Normal"/></w:pPr>
<w:r><w:t xml:space="preserve">Ballads (1871), who also wrote in prose; but his reputation</w:t></w:r>
</w:p>
<w:p>
<w:pPr><w:pStyle w:val="Normal"/></w:pPr>
<w:r><w:t xml:space="preserve">was rather won as a statesman in the closing years of his</w:t></w:r>
</w:p>
<w:p>
<w:pPr><w:pStyle w:val="Normal"/></w:pPr>
<w:r><w:t xml:space="preserve">life.  Minor poets of less distinction but with a vein superior</w:t></w:r>
</w:p>
<w:p>
<w:pPr><w:pStyle w:val="Normal"/></w:pPr>
<w:r><w:t xml:space="preserve">to that of the earlier period, more excellent in workmanship</w:t></w:r>
</w:p>
<w:p>
<w:pPr><w:pStyle w:val="Normal"/></w:pPr>
<w:r><w:t xml:space="preserve">and more coloured with imagination and mood, arose in all</w:t></w:r>
</w:p>
<w:p>
<w:pPr><w:pStyle w:val="Normal"/></w:pPr>
<w:r><w:t xml:space="preserve">parts, of whom the most notable are Julia Ward Howe (born</w:t></w:r>
</w:p>
<w:p>
<w:pPr><w:pStyle w:val="Normal"/></w:pPr>
<w:r><w:t xml:space="preserve">1819), in Boston, the venerable friend of many good causes,</w:t></w:r>
</w:p>
<w:p>
<w:pPr><w:pStyle w:val="Normal"/></w:pPr>
<w:r><w:t xml:space="preserve">Henry Howard Brownell (1820-1872) of Rhode Island, author</w:t></w:r>
</w:p>
<w:p>
<w:pPr><w:pStyle w:val="Normal"/></w:pPr>
<w:r><w:t xml:space="preserve">of the most vigorous and realistic poetry of the Civil War,</w:t></w:r>
</w:p>
<w:p>
<w:pPr><w:pStyle w:val="Normal"/></w:pPr>
<w:r><w:t xml:space="preserve">War Lyrics (1866), Edward Rowland Sill (1841-1887), born</w:t></w:r>
</w:p>
<w:p>
<w:pPr><w:pStyle w:val="Normal"/></w:pPr>
<w:r><w:t xml:space="preserve">in Connecticut but associated with California, Henry Van Dyke</w:t></w:r>
</w:p>
<w:p>
<w:pPr><w:pStyle w:val="Normal"/></w:pPr>
<w:r><w:t xml:space="preserve">(born 1852), in New York, better known by his prose in tale</w:t></w:r>
</w:p>
<w:p>
<w:pPr><w:pStyle w:val="Normal"/></w:pPr>
<w:r><w:t xml:space="preserve">and essay, Silas Weir Mitchell (born 1830), in Philadelphia,</w:t></w:r>
</w:p>
<w:p>
<w:pPr><w:pStyle w:val="Normal"/></w:pPr>
<w:r><w:t xml:space="preserve">whose repute as a novelist has overshadowed his admirable</w:t></w:r>
</w:p>
<w:p>
<w:pPr><w:pStyle w:val="Normal"/></w:pPr>
<w:r><w:t xml:space="preserve">verse, Eugene Field (1850-1895) of Chicago, James Whitcomb</w:t></w:r>
</w:p>
<w:p>
<w:pPr><w:pStyle w:val="Normal"/></w:pPr>
<w:r><w:t xml:space="preserve">Riley (born 1853) of Indiana, both distinguished for their</w:t></w:r>
</w:p>
<w:p>
<w:pPr><w:pStyle w:val="Normal"/></w:pPr>
<w:r><w:t xml:space="preserve">humorous and childhood verse, and Joaquin Miller (born</w:t></w:r>
</w:p>
<w:p>
<w:pPr><w:pStyle w:val="Normal"/></w:pPr>
<w:r><w:t xml:space="preserve">1841) of Oregon, whose first work, Songs of the Sierras</w:t></w:r>
</w:p>
<w:p>
<w:pPr><w:pStyle w:val="Normal"/></w:pPr>
<w:r><w:t xml:space="preserve">(1871), had in it much of the spirit of the wild land, the</w:t></w:r>
</w:p>
<w:p>
<w:pPr><w:pStyle w:val="Normal"/></w:pPr>
<w:r><w:t xml:space="preserve">colour of the desert, the free, adventurous character of the</w:t></w:r>
</w:p>
<w:p>
<w:pPr><w:pStyle w:val="Normal"/></w:pPr>
<w:r><w:t xml:space="preserve">filibuster, all strangely mixed with pseudo-Byronic passions.</w:t></w:r>
</w:p>
<w:p>
<w:pPr><w:pStyle w:val="Normal"/></w:pPr>
<w:r><w:t xml:space="preserve">Whitman.</w:t></w:r>
</w:p>
<w:p>
<w:pPr><w:pStyle w:val="Normal"/></w:pPr>
<w:r><w:t xml:space="preserve">Apart from all these, whether minor or major poets, stands</w:t></w:r>
</w:p>
<w:p>
<w:pPr><w:pStyle w:val="Normal"/></w:pPr>
<w:r><w:t xml:space="preserve">Walt Whitman (1819-1892), whose Leaves of Grass (1855) first</w:t></w:r>
</w:p>
<w:p>
<w:pPr><w:pStyle w:val="Normal"/></w:pPr>
<w:r><w:t xml:space="preserve">appeared before the war, but whose fame is associated rather</w:t></w:r>
</w:p>
<w:p>
<w:pPr><w:pStyle w:val="Normal"/></w:pPr>
<w:r><w:t xml:space="preserve">with its successive editions and its companion volumes, and</w:t></w:r>
</w:p>
<w:p>
<w:pPr><w:pStyle w:val="Normal"/></w:pPr>
<w:r><w:t xml:space="preserve">definitely dated, perhaps, from 1867.  He received attention</w:t></w:r>
</w:p>
<w:p>
<w:pPr><w:pStyle w:val="Normal"/></w:pPr>
<w:r><w:t xml:space="preserve">in England, as did Miller, on an assumption that his works</w:t></w:r>
</w:p>
<w:p>
<w:pPr><w:pStyle w:val="Normal"/></w:pPr>
<w:r><w:t xml:space="preserve">expressed the new and original America, the unknown democracy,</w:t></w:r>
</w:p>
<w:p>
<w:pPr><w:pStyle w:val="Normal"/></w:pPr>
<w:r><w:t xml:space="preserve">and he has had some vogue in Germany mainly owing to his</w:t></w:r>
</w:p>
<w:p>
<w:pPr><w:pStyle w:val="Normal"/></w:pPr>
<w:r><w:t xml:space="preserve">naturalism.  His own countrymen, however, steadily refuse to</w:t></w:r>
</w:p>
<w:p>
<w:pPr><w:pStyle w:val="Normal"/></w:pPr>
<w:r><w:t xml:space="preserve">accept him as representative of themselves, and his naturalism</w:t></w:r>
</w:p>
<w:p>
<w:pPr><w:pStyle w:val="Normal"/></w:pPr>
<w:r><w:t xml:space="preserve">is uninteresting to them, while on the other hand a group</w:t></w:r>
</w:p>
<w:p>
<w:pPr><w:pStyle w:val="Normal"/></w:pPr>
<w:r><w:t xml:space="preserve">apparently increasing in critical authority treat his work as</w:t></w:r>
</w:p>
<w:p>
<w:pPr><w:pStyle w:val="Normal"/></w:pPr>
<w:r><w:t xml:space="preserve">significant.  It is, in general, only by those few fine lyrics</w:t></w:r>
</w:p>
<w:p>
<w:pPr><w:pStyle w:val="Normal"/></w:pPr>
<w:r><w:t xml:space="preserve">which have found a place in all anthologies of American verse</w:t></w:r>
</w:p>
<w:p>
<w:pPr><w:pStyle w:val="Normal"/></w:pPr>
<w:r><w:t xml:space="preserve">that he is well known and highly valued in his own land.</w:t></w:r>
</w:p>
<w:p>
<w:pPr><w:pStyle w:val="Normal"/></w:pPr>
<w:r><w:t xml:space="preserve">The later novel.</w:t></w:r>
</w:p>
<w:p>
<w:pPr><w:pStyle w:val="Normal"/></w:pPr>
<w:r><w:t xml:space="preserve">The chief field of literary activity has been found in</w:t></w:r>
</w:p>
<w:p>
<w:pPr><w:pStyle w:val="Normal"/></w:pPr>
<w:r><w:t xml:space="preserve">the novel, and nowhere has the change been so marked as</w:t></w:r>
</w:p>
<w:p>
<w:pPr><w:pStyle w:val="Normal"/></w:pPr>
<w:r><w:t xml:space="preserve">here.  The romantic treatment of the novel practically</w:t></w:r>
</w:p>
<w:p>
<w:pPr><w:pStyle w:val="Normal"/></w:pPr>
<w:r><w:t xml:space="preserve">disappeared, and in its place came the realistic or analytic</w:t></w:r>
</w:p>
<w:p>
<w:pPr><w:pStyle w:val="Normal"/></w:pPr>
<w:r><w:t xml:space="preserve">treatment, rendering manners by minute strokes of observation</w:t></w:r>
</w:p>
<w:p>
<w:pPr><w:pStyle w:val="Normal"/></w:pPr>
<w:r><w:t xml:space="preserve">or dissecting motives psychologically.  This amounted to a</w:t></w:r>
</w:p>
<w:p>
<w:pPr><w:pStyle w:val="Normal"/></w:pPr>
<w:r><w:t xml:space="preserve">substitution of the French art of fiction, in some of its forms,</w:t></w:r>
</w:p>
<w:p>
<w:pPr><w:pStyle w:val="Normal"/></w:pPr>
<w:r><w:t xml:space="preserve">for the English tradition of broad ideality and historical</w:t></w:r>
</w:p>
<w:p>
<w:pPr><w:pStyle w:val="Normal"/></w:pPr>
<w:r><w:t xml:space="preserve">picturesqueness.  The protagonist of the reform was William</w:t></w:r>
</w:p>
<w:p>
<w:pPr><w:pStyle w:val="Normal"/></w:pPr>
<w:r><w:t xml:space="preserve">Dean Howells (born 1837), a cultivated literary scholar, and</w:t></w:r>
</w:p>
<w:p>
<w:pPr><w:pStyle w:val="Normal"/></w:pPr>
<w:r><w:t xml:space="preserve">a various writer of essays, travel sketches, poetry and plays,</w:t></w:r>
</w:p>
<w:p>
<w:pPr><w:pStyle w:val="Normal"/></w:pPr>
<w:r><w:t xml:space="preserve">editor of many magazines and books, whose career in letters</w:t></w:r>
</w:p>
<w:p>
<w:pPr><w:pStyle w:val="Normal"/></w:pPr>
<w:r><w:t xml:space="preserve">has been more laborious and miscellaneous than any other</w:t></w:r>
</w:p>
<w:p>
<w:pPr><w:pStyle w:val="Normal"/></w:pPr>
<w:r><w:t xml:space="preserve">contemporary, but whose main work has been the long series of</w:t></w:r>
</w:p>
<w:p>
<w:pPr><w:pStyle w:val="Normal"/></w:pPr>
<w:r><w:t xml:space="preserve">novels that he has put forth almost annually throughout the</w:t></w:r>
</w:p>
<w:p>
<w:pPr><w:pStyle w:val="Normal"/></w:pPr>
<w:r><w:t xml:space="preserve">period.  He not only wrote fiction, but he endeavoured to</w:t></w:r>
</w:p>
<w:p>
<w:pPr><w:pStyle w:val="Normal"/></w:pPr>
<w:r><w:t xml:space="preserve">make known to Americans fiction as it was practised in other</w:t></w:r>
</w:p>
<w:p>
<w:pPr><w:pStyle w:val="Normal"/></w:pPr>
<w:r><w:t xml:space="preserve">lands, Russia, Italy, Spain, and to bring the art that was</w:t></w:r>
</w:p>
<w:p>
<w:pPr><w:pStyle w:val="Normal"/></w:pPr>
<w:r><w:t xml:space="preserve">dearest to him into line with the standard of the European</w:t></w:r>
</w:p>
<w:p>
<w:pPr><w:pStyle w:val="Normal"/></w:pPr>
<w:r><w:t xml:space="preserve">world.  He was an apostle of the realistic school, and directed</w:t></w:r>
</w:p>
<w:p>
<w:pPr><w:pStyle w:val="Normal"/></w:pPr>
<w:r><w:t xml:space="preserve">his teaching to the advocacy of the novel of observation,</w:t></w:r>
</w:p>
<w:p>
<w:pPr><w:pStyle w:val="Normal"/></w:pPr>
<w:r><w:t xml:space="preserve">which records life in its conditions and attempts to realize</w:t></w:r>
</w:p>
<w:p>
<w:pPr><w:pStyle w:val="Normal"/></w:pPr>
<w:r><w:t xml:space="preserve">what is in the daily lives and experience of man rather than</w:t></w:r>
</w:p>
<w:p>
<w:pPr><w:pStyle w:val="Normal"/></w:pPr>
<w:r><w:t xml:space="preserve">what belongs to adventure, imagination or the dreaming part of</w:t></w:r>
</w:p>
<w:p>
<w:pPr><w:pStyle w:val="Normal"/></w:pPr>
<w:r><w:t xml:space="preserve">life.  Of his works, The Lady of the Aroostook (1879),</w:t></w:r>
</w:p>
<w:p>
<w:pPr><w:pStyle w:val="Normal"/></w:pPr>
<w:r><w:t xml:space="preserve">The Rise of Silas Lapham (1885), A Hazard of New Fortunes</w:t></w:r>
</w:p>
<w:p>
<w:pPr><w:pStyle w:val="Normal"/></w:pPr>
<w:r><w:t xml:space="preserve">(1889), are characteristic examples.  He won a popular vogue,</w:t></w:r>
</w:p>
<w:p>
<w:pPr><w:pStyle w:val="Normal"/></w:pPr>
<w:r><w:t xml:space="preserve">and if it is now less than it was, it is because after a score</w:t></w:r>
</w:p>
<w:p>
<w:pPr><w:pStyle w:val="Normal"/></w:pPr>
<w:r><w:t xml:space="preserve">of years tastes and fashions change.  The conscientiousness</w:t></w:r>
</w:p>
<w:p>
<w:pPr><w:pStyle w:val="Normal"/></w:pPr>
<w:r><w:t xml:space="preserve">of his art continues the tradition of American writers in</w:t></w:r>
</w:p>
<w:p>
<w:pPr><w:pStyle w:val="Normal"/></w:pPr>
<w:r><w:t xml:space="preserve">that respect, and he is master of an affable style.  His</w:t></w:r>
</w:p>
<w:p>
<w:pPr><w:pStyle w:val="Normal"/></w:pPr>
<w:r><w:t xml:space="preserve">work, including all its phases, is the most important body</w:t></w:r>
</w:p>
<w:p>
<w:pPr><w:pStyle w:val="Normal"/></w:pPr>
<w:r><w:t xml:space="preserve">of work done in his generation.  Henry James (born 1843),</w:t></w:r>
</w:p>
<w:p>
<w:pPr><w:pStyle w:val="Normal"/></w:pPr>
<w:r><w:t xml:space="preserve">who mainly resided abroad, is his compeer, and in a similar</w:t></w:r>
</w:p>
<w:p>
<w:pPr><w:pStyle w:val="Normal"/></w:pPr>
<w:r><w:t xml:space="preserve">way has followed French initiative.  He also has been a</w:t></w:r>
</w:p>
<w:p>
<w:pPr><w:pStyle w:val="Normal"/></w:pPr>
<w:r><w:t xml:space="preserve">various writer of criticism and travel and the occasional</w:t></w:r>
</w:p>
<w:p>
<w:pPr><w:pStyle w:val="Normal"/></w:pPr>
<w:r><w:t xml:space="preserve">essay; but his equally long series of novels sustains his</w:t></w:r>
</w:p>
<w:p>
<w:pPr><w:pStyle w:val="Normal"/></w:pPr>
<w:r><w:t xml:space="preserve">reputation.  He has developed the psychological treatment of</w:t></w:r>
</w:p>
<w:p>
<w:pPr><w:pStyle w:val="Normal"/></w:pPr>
<w:r><w:t xml:space="preserve">fiction, and of his work The Portrait of a Lady (1881),</w:t></w:r>
</w:p>
<w:p>
<w:pPr><w:pStyle w:val="Normal"/></w:pPr>
<w:r><w:t xml:space="preserve">The Princess Casamassima (1886) and The Tragic Muse</w:t></w:r>
</w:p>
<w:p>
<w:pPr><w:pStyle w:val="Normal"/></w:pPr>
<w:r><w:t xml:space="preserve">(1890) are characteristic.  He has had less vogue owing to</w:t></w:r>
</w:p>
<w:p>
<w:pPr><w:pStyle w:val="Normal"/></w:pPr>
<w:r><w:t xml:space="preserve">both matter and style, but in certain respects his power,</w:t></w:r>
</w:p>
<w:p>
<w:pPr><w:pStyle w:val="Normal"/></w:pPr>
<w:r><w:t xml:space="preserve">more intellectual than that of Howells, has greater artistic</w:t></w:r>
</w:p>
<w:p>
<w:pPr><w:pStyle w:val="Normal"/></w:pPr>
<w:r><w:t xml:space="preserve">elements, while the society with which he deals is more</w:t></w:r>
</w:p>
<w:p>
<w:pPr><w:pStyle w:val="Normal"/></w:pPr>
<w:r><w:t xml:space="preserve">complex.  He is really a cosmopolitan writer and has no other</w:t></w:r>
</w:p>
<w:p>
<w:pPr><w:pStyle w:val="Normal"/></w:pPr>
<w:r><w:t xml:space="preserve">connexion with America than the accident of birth.  A third</w:t></w:r>
</w:p>
<w:p>
<w:pPr><w:pStyle w:val="Normal"/></w:pPr>
<w:r><w:t xml:space="preserve">novelist, also a foreign resident, Francis Marion Crawford</w:t></w:r>
</w:p>
<w:p>
<w:pPr><w:pStyle w:val="Normal"/></w:pPr>
<w:r><w:t xml:space="preserve">(1854-1909), falls into the same category.  A prolific novelist,</w:t></w:r>
</w:p>
<w:p>
<w:pPr><w:pStyle w:val="Normal"/></w:pPr>
<w:r><w:t xml:space="preserve">in the beaten track of story-telling, he has always a story</w:t></w:r>
</w:p>
<w:p>
<w:pPr><w:pStyle w:val="Normal"/></w:pPr>
<w:r><w:t xml:space="preserve">to tell and excellent narrative power.  The work regarded</w:t></w:r>
</w:p>
<w:p>
<w:pPr><w:pStyle w:val="Normal"/></w:pPr>
<w:r><w:t xml:space="preserve">as most important from his hand is Saracinesca (1887) and</w:t></w:r>
</w:p>
<w:p>
<w:pPr><w:pStyle w:val="Normal"/></w:pPr>
<w:r><w:t xml:space="preserve">its sequels; but his subjects are cosmopolitan, his talent</w:t></w:r>
</w:p>
<w:p>
<w:pPr><w:pStyle w:val="Normal"/></w:pPr>
<w:r><w:t xml:space="preserve">is personal, and he has no effectual connexion with his own</w:t></w:r>
</w:p>
<w:p>
<w:pPr><w:pStyle w:val="Normal"/></w:pPr>
<w:r><w:t xml:space="preserve">country.  The romantic tradition of the older time was continued</w:t></w:r>
</w:p>
<w:p>
<w:pPr><w:pStyle w:val="Normal"/></w:pPr>
<w:r><w:t xml:space="preserve">by Lew Wallace (1827-1905) of Indiana, a distinguished general</w:t></w:r>
</w:p>
<w:p>
<w:pPr><w:pStyle w:val="Normal"/></w:pPr>
<w:r><w:t xml:space="preserve">and diplomat, in his Mexican tale, The Fair God (1873),</w:t></w:r>
</w:p>
<w:p>
<w:pPr><w:pStyle w:val="Normal"/></w:pPr>
<w:r><w:t xml:space="preserve">and his oriental romances, Ben Hur (1880), one of the most</w:t></w:r>
</w:p>
<w:p>
<w:pPr><w:pStyle w:val="Normal"/></w:pPr>
<w:r><w:t xml:space="preserve">widely circulated of American books, and The Prince of India</w:t></w:r>
</w:p>
<w:p>
<w:pPr><w:pStyle w:val="Normal"/></w:pPr>
<w:r><w:t xml:space="preserve">(1893).  A mode of the novel which was wholly unique was</w:t></w:r>
</w:p>
<w:p>
<w:pPr><w:pStyle w:val="Normal"/></w:pPr>
<w:r><w:t xml:space="preserve">practised by Francis Richard Stockton (1834-1902) in his droll</w:t></w:r>
</w:p>
<w:p>
<w:pPr><w:pStyle w:val="Normal"/></w:pPr>
<w:r><w:t xml:space="preserve">tales, of which Rudder Grange (1879) is the best known.</w:t></w:r>
</w:p>
<w:p>
<w:pPr><w:pStyle w:val="Normal"/></w:pPr>
<w:r><w:t xml:space="preserve">The principal minor product of the novel lay in the provincial</w:t></w:r>
</w:p>
<w:p>
<w:pPr><w:pStyle w:val="Normal"/></w:pPr>
<w:r><w:t xml:space="preserve">tale.  The new methods easily lent themselves to the portraiture</w:t></w:r>
</w:p>
<w:p>
<w:pPr><w:pStyle w:val="Normal"/></w:pPr>
<w:r><w:t xml:space="preserve">of local conditions, types and colour.  Every part of the</w:t></w:r>
</w:p>
<w:p>
<w:pPr><w:pStyle w:val="Normal"/></w:pPr>
<w:r><w:t xml:space="preserve">country had its writers who recorded its traits in this</w:t></w:r>
</w:p>
<w:p>
<w:pPr><w:pStyle w:val="Normal"/></w:pPr>
<w:r><w:t xml:space="preserve">way.  For New England Mrs Harriet Beecher Stowe described the</w:t></w:r>
</w:p>
<w:p>
<w:pPr><w:pStyle w:val="Normal"/></w:pPr>
<w:r><w:t xml:space="preserve">older life in Old Town Folks (1869), and was succeeded by</w:t></w:r>
</w:p>
<w:p>
<w:pPr><w:pStyle w:val="Normal"/></w:pPr>
<w:r><w:t xml:space="preserve">Sarah Orne Jewett (1849-1909) and Mary Eleanor Wilkins (born</w:t></w:r>
</w:p>
<w:p>
<w:pPr><w:pStyle w:val="Normal"/></w:pPr>
<w:r><w:t xml:space="preserve">1862).  The West was notably treated by Edward Eggleston</w:t></w:r>
</w:p>
<w:p>
<w:pPr><w:pStyle w:val="Normal"/></w:pPr>
<w:r><w:t xml:space="preserve">(1837-1902) in The Hoosier School Master (1871), Mary</w:t></w:r>
</w:p>
<w:p>
<w:pPr><w:pStyle w:val="Normal"/></w:pPr>
<w:r><w:t xml:space="preserve">Hallock Foote (born 1847) in Led-Horse Claim (1883)</w:t></w:r>
</w:p>
<w:p>
<w:pPr><w:pStyle w:val="Normal"/></w:pPr>
<w:r><w:t xml:space="preserve">and Hamlin Garland (born 1860) in Main Travelled Roads</w:t></w:r>
</w:p>
<w:p>
<w:pPr><w:pStyle w:val="Normal"/></w:pPr>
<w:r><w:t xml:space="preserve">(1891).  The South was represented by Mary Noailles Murfree</w:t></w:r>
</w:p>
<w:p>
<w:pPr><w:pStyle w:val="Normal"/></w:pPr>
<w:r><w:t xml:space="preserve">[&quot;Charles Egbert Craddock&quot;] (born 1850) in In the Tennessee</w:t></w:r>
</w:p>
<w:p>
<w:pPr><w:pStyle w:val="Normal"/></w:pPr>
<w:r><w:t xml:space="preserve">Mountains (1884) and its successors, by Thomas Nelson Page</w:t></w:r>
</w:p>
<w:p>
<w:pPr><w:pStyle w:val="Normal"/></w:pPr>
<w:r><w:t xml:space="preserve">(born 1853) in Marse Chan (1887) and other tales of the</w:t></w:r>
</w:p>
<w:p>
<w:pPr><w:pStyle w:val="Normal"/></w:pPr>
<w:r><w:t xml:space="preserve">reconstruction in Virginia, and with most literary grace</w:t></w:r>
</w:p>
<w:p>
<w:pPr><w:pStyle w:val="Normal"/></w:pPr>
<w:r><w:t xml:space="preserve">by George Washington Cable (born 1844), whose novels of</w:t></w:r>
</w:p>
<w:p>
<w:pPr><w:pStyle w:val="Normal"/></w:pPr>
<w:r><w:t xml:space="preserve">Louisiana are remarkable for their poetic charm.  The list is</w:t></w:r>
</w:p>
<w:p>
<w:pPr><w:pStyle w:val="Normal"/></w:pPr>
<w:r><w:t xml:space="preserve">sufficiently illustrative of the general movement, which made</w:t></w:r>
</w:p>
<w:p>
<w:pPr><w:pStyle w:val="Normal"/></w:pPr>
<w:r><w:t xml:space="preserve">what was called the dialect novel supreme for the season.  This</w:t></w:r>
</w:p>
<w:p>
<w:pPr><w:pStyle w:val="Normal"/></w:pPr>
<w:r><w:t xml:space="preserve">was succeeded by a revival of the historical novel in local</w:t></w:r>
</w:p>
<w:p>
<w:pPr><w:pStyle w:val="Normal"/></w:pPr>
<w:r><w:t xml:space="preserve">fields, of which Winston Churchill (born 1871) in Richard</w:t></w:r>
</w:p>
<w:p>
<w:pPr><w:pStyle w:val="Normal"/></w:pPr>
<w:r><w:t xml:space="preserve">Carvel (1899) is the leading exponent, and together with</w:t></w:r>
</w:p>
<w:p>
<w:pPr><w:pStyle w:val="Normal"/></w:pPr>
<w:r><w:t xml:space="preserve">it the sword and dagger tale of the Dumas type, the special</w:t></w:r>
</w:p>
<w:p>
<w:pPr><w:pStyle w:val="Normal"/></w:pPr>
<w:r><w:t xml:space="preserve">contemporary plot invented by Anthony Hope, and romance in</w:t></w:r>
</w:p>
<w:p>
<w:pPr><w:pStyle w:val="Normal"/></w:pPr>
<w:r><w:t xml:space="preserve">its utmost forms of adventure and extravagance, came in like</w:t></w:r>
</w:p>
<w:p>
<w:pPr><w:pStyle w:val="Normal"/></w:pPr>
<w:r><w:t xml:space="preserve">a flood at the close of the Spanish War. There were during the</w:t></w:r>
</w:p>
<w:p>
<w:pPr><w:pStyle w:val="Normal"/></w:pPr>
<w:r><w:t xml:space="preserve">period from 1870 to 1900 many other writers of fiction, who</w:t></w:r>
</w:p>
<w:p>
<w:pPr><w:pStyle w:val="Normal"/></w:pPr>
<w:r><w:t xml:space="preserve">often proceeded in conventional and time-honoured ways to tell</w:t></w:r>
</w:p>
<w:p>
<w:pPr><w:pStyle w:val="Normal"/></w:pPr>
<w:r><w:t xml:space="preserve">their tale, but none of them is especially significant for</w:t></w:r>
</w:p>
<w:p>
<w:pPr><w:pStyle w:val="Normal"/></w:pPr>
<w:r><w:t xml:space="preserve">the general view or as showing any tendencies of an original</w:t></w:r>
</w:p>
<w:p>
<w:pPr><w:pStyle w:val="Normal"/></w:pPr>
<w:r><w:t xml:space="preserve">sort.  The pietistic novel, for example, was produced with</w:t></w:r>
</w:p>
<w:p>
<w:pPr><w:pStyle w:val="Normal"/></w:pPr>
<w:r><w:t xml:space="preserve">immense popularity by Edward Payson Roe (1838-1888), who shared</w:t></w:r>
</w:p>
<w:p>
<w:pPr><w:pStyle w:val="Normal"/></w:pPr>
<w:r><w:t xml:space="preserve">the same vogue as Josiah Gilbert Holland (1819-1881), and both</w:t></w:r>
</w:p>
<w:p>
<w:pPr><w:pStyle w:val="Normal"/></w:pPr>
<w:r><w:t xml:space="preserve">fell heir to the same audience which in the earlier period had</w:t></w:r>
</w:p>
<w:p>
<w:pPr><w:pStyle w:val="Normal"/></w:pPr>
<w:r><w:t xml:space="preserve">welcomed The Wide, Wide World with the same broad acceptance.</w:t></w:r>
</w:p>
<w:p>
<w:pPr><w:pStyle w:val="Normal"/></w:pPr>
<w:r><w:t xml:space="preserve">Essayists.</w:t></w:r>
</w:p>
<w:p>
<w:pPr><w:pStyle w:val="Normal"/></w:pPr>
<w:r><w:t xml:space="preserve">The essay, and the miscellaneous work which may be classed with</w:t></w:r>
</w:p>
<w:p>
<w:pPr><w:pStyle w:val="Normal"/></w:pPr>
<w:r><w:t xml:space="preserve">it, was cultivated with most distinction by Thomas Wentworth</w:t></w:r>
</w:p>
<w:p>
<w:pPr><w:pStyle w:val="Normal"/></w:pPr>
<w:r><w:t xml:space="preserve">Higginson (born 1823), one of the Boston group, a writer of</w:t></w:r>
</w:p>
<w:p>
<w:pPr><w:pStyle w:val="Normal"/></w:pPr>
<w:r><w:t xml:space="preserve">the greatest versatility, as in his life he followed many</w:t></w:r>
</w:p>
<w:p>
<w:pPr><w:pStyle w:val="Normal"/></w:pPr>
<w:r><w:t xml:space="preserve">employments, from that of preaching in a Unitarian pulpit</w:t></w:r>
</w:p>
<w:p>
<w:pPr><w:pStyle w:val="Normal"/></w:pPr>
<w:r><w:t xml:space="preserve">to that of commanding a negro regiment in the Civil War. He</w:t></w:r>
</w:p>
<w:p>
<w:pPr><w:pStyle w:val="Normal"/></w:pPr>
<w:r><w:t xml:space="preserve">has written good verse and excellent prose, and his familiar</w:t></w:r>
</w:p>
<w:p>
<w:pPr><w:pStyle w:val="Normal"/></w:pPr>
<w:r><w:t xml:space="preserve">style, often brilliant with life and wit, especially becomes</w:t></w:r>
</w:p>
<w:p>
<w:pPr><w:pStyle w:val="Normal"/></w:pPr>
<w:r><w:t xml:space="preserve">the social essay or reminiscent paper in which he excelled,</w:t></w:r>
</w:p>
<w:p>
<w:pPr><w:pStyle w:val="Normal"/></w:pPr>
<w:r><w:t xml:space="preserve">and gives agreeableness to his writings in every form.</w:t></w:r>
</w:p>
<w:p>
<w:pPr><w:pStyle w:val="Normal"/></w:pPr>
<w:r><w:t xml:space="preserve">Atlantic Essays (1871) is a characteristic book; and, in</w:t></w:r>
</w:p>
<w:p>
<w:pPr><w:pStyle w:val="Normal"/></w:pPr>
<w:r><w:t xml:space="preserve">general, in his volumes is to be found a valuable fund of</w:t></w:r>
</w:p>
<w:p>
<w:pPr><w:pStyle w:val="Normal"/></w:pPr>
<w:r><w:t xml:space="preserve">reminiscence about the literature and the times of his long</w:t></w:r>
</w:p>
<w:p>
<w:pPr><w:pStyle w:val="Normal"/></w:pPr>
<w:r><w:t xml:space="preserve">life, not elsewhere so abundant or entertaining.  Charles</w:t></w:r>
</w:p>
<w:p>
<w:pPr><w:pStyle w:val="Normal"/></w:pPr>
<w:r><w:t xml:space="preserve">Dudley Warner (1829-1900) of Hartford, also in close touch</w:t></w:r>
</w:p>
<w:p>
<w:pPr><w:pStyle w:val="Normal"/></w:pPr>
<w:r><w:t xml:space="preserve">in the later years with the Boston group, was more gifted</w:t></w:r>
</w:p>
<w:p>
<w:pPr><w:pStyle w:val="Normal"/></w:pPr>
<w:r><w:t xml:space="preserve">with gentle humour and of a literary temperament that made</w:t></w:r>
</w:p>
<w:p>
<w:pPr><w:pStyle w:val="Normal"/></w:pPr>
<w:r><w:t xml:space="preserve">the social essay his natural expression.  He won popularity</w:t></w:r>
</w:p>
<w:p>
<w:pPr><w:pStyle w:val="Normal"/></w:pPr>
<w:r><w:t xml:space="preserve">by My Summer in a Garden (1870), and was the author of many</w:t></w:r>
</w:p>
<w:p>
<w:pPr><w:pStyle w:val="Normal"/></w:pPr>
<w:r><w:t xml:space="preserve">volumes of travel and several novels, but the familiar essay,</w:t></w:r>
</w:p>
<w:p>
<w:pPr><w:pStyle w:val="Normal"/></w:pPr>
<w:r><w:t xml:space="preserve">lighted with humour and touched with a reminiscence of the</w:t></w:r>
</w:p>
<w:p>
<w:pPr><w:pStyle w:val="Normal"/></w:pPr>
<w:r><w:t xml:space="preserve">Irving quality in sentiment, was his distinctive work.  The</w:t></w:r>
</w:p>
<w:p>
<w:pPr><w:pStyle w:val="Normal"/></w:pPr>
<w:r><w:t xml:space="preserve">long life of Edward Everett Hale (1822- 1909), minister at</w:t></w:r>
</w:p>
<w:p>
<w:pPr><w:pStyle w:val="Normal"/></w:pPr>
<w:r><w:t xml:space="preserve">Boston, was fruitful in many miscellaneous volumes, including</w:t></w:r>
</w:p>
<w:p>
<w:pPr><w:pStyle w:val="Normal"/></w:pPr>
<w:r><w:t xml:space="preserve">fiction of note, The Man Without a Country (1868), but the</w:t></w:r>
</w:p>
<w:p>
<w:pPr><w:pStyle w:val="Normal"/></w:pPr>
<w:r><w:t xml:space="preserve">most useful writing from his pen falls into prose resembling</w:t></w:r>
</w:p>
<w:p>
<w:pPr><w:pStyle w:val="Normal"/></w:pPr>
<w:r><w:t xml:space="preserve">the essay in its form and manner of address, though cousin,</w:t></w:r>
</w:p>
<w:p>
<w:pPr><w:pStyle w:val="Normal"/></w:pPr>
<w:r><w:t xml:space="preserve">too, to the sermon.  John Burroughs (b. 1837) of New York</w:t></w:r>
</w:p>
<w:p>
<w:pPr><w:pStyle w:val="Normal"/></w:pPr>
<w:r><w:t xml:space="preserve">carried on in essay form the nature tradition of Thoreau,</w:t></w:r>
</w:p>
<w:p>
<w:pPr><w:pStyle w:val="Normal"/></w:pPr>
<w:r><w:t xml:space="preserve">touched with Emersonianism in the thought, and after his</w:t></w:r>
</w:p>
<w:p>
<w:pPr><w:pStyle w:val="Normal"/></w:pPr>
<w:r><w:t xml:space="preserve">example books of mingled observation, sentiment and literary</w:t></w:r>
</w:p>
<w:p>
<w:pPr><w:pStyle w:val="Normal"/></w:pPr>
<w:r><w:t xml:space="preserve">quality, with an out-of-door atmosphere, have multiplied.</w:t></w:r>
</w:p>
<w:p>
<w:pPr><w:pStyle w:val="Normal"/></w:pPr>
<w:r><w:t xml:space="preserve">Humour.</w:t></w:r>
</w:p>
<w:p>
<w:pPr><w:pStyle w:val="Normal"/></w:pPr>
<w:r><w:t xml:space="preserve">American humour often cultivates a form akin to the essay,</w:t></w:r>
</w:p>
<w:p>
<w:pPr><w:pStyle w:val="Normal"/></w:pPr>
<w:r><w:t xml:space="preserve">but it also falls into the mould of the tale or scene from</w:t></w:r>
</w:p>
<w:p>
<w:pPr><w:pStyle w:val="Normal"/></w:pPr>
<w:r><w:t xml:space="preserve">life.  In the period before the Civil War, to sum up the whole</w:t></w:r>
</w:p>
<w:p>
<w:pPr><w:pStyle w:val="Normal"/></w:pPr>
<w:r><w:t xml:space="preserve">subject in this place, it had the traits which it has since</w:t></w:r>
</w:p>
<w:p>
<w:pPr><w:pStyle w:val="Normal"/></w:pPr>
<w:r><w:t xml:space="preserve">maintained, as its local tang, of burlesque, extravaganza,</w:t></w:r>
</w:p>
<w:p>
<w:pPr><w:pStyle w:val="Normal"/></w:pPr>
<w:r><w:t xml:space="preserve">violence, but it recorded better an actual state of manners</w:t></w:r>
</w:p>
<w:p>
<w:pPr><w:pStyle w:val="Normal"/></w:pPr>
<w:r><w:t xml:space="preserve">and scene of life in raw aspects.  Its noteworthy writers</w:t></w:r>
</w:p>
<w:p>
<w:pPr><w:pStyle w:val="Normal"/></w:pPr>
<w:r><w:t xml:space="preserve">were Seba Smith (1792-1868) of Maine, author of the Letters</w:t></w:r>
</w:p>
<w:p>
<w:pPr><w:pStyle w:val="Normal"/></w:pPr>
<w:r><w:t xml:space="preserve">of Major Jack Downing, which began to appear in the press</w:t></w:r>
</w:p>
<w:p>
<w:pPr><w:pStyle w:val="Normal"/></w:pPr>
<w:r><w:t xml:space="preserve">in 1830; Augustus Baldwin Longstreet of Georgia in Georgia</w:t></w:r>
</w:p>
<w:p>
<w:pPr><w:pStyle w:val="Normal"/></w:pPr>
<w:r><w:t xml:space="preserve">Scenes (1835); William Tappan Thompson (1812-1882),</w:t></w:r>
</w:p>
<w:p>
<w:pPr><w:pStyle w:val="Normal"/></w:pPr>
<w:r><w:t xml:space="preserve">born in Ohio but associated with the South by descent and</w:t></w:r>
</w:p>
<w:p>
<w:pPr><w:pStyle w:val="Normal"/></w:pPr>
<w:r><w:t xml:space="preserve">residence, in Major Jones&apos; Courtship (1840), a Georgian</w:t></w:r>
</w:p>
<w:p>
<w:pPr><w:pStyle w:val="Normal"/></w:pPr>
<w:r><w:t xml:space="preserve">publication; Joseph G. Baldwin (1815-1864) in Flush Times</w:t></w:r>
</w:p>
<w:p>
<w:pPr><w:pStyle w:val="Normal"/></w:pPr>
<w:r><w:t xml:space="preserve">in Alabama and Mississippi (1853); and Benjamin Penhallow</w:t></w:r>
</w:p>
<w:p>
<w:pPr><w:pStyle w:val="Normal"/></w:pPr>
<w:r><w:t xml:space="preserve">Shillaber (1814-1890) in Life and Sayings of Mrs Partington</w:t></w:r>
</w:p>
<w:p>
<w:pPr><w:pStyle w:val="Normal"/></w:pPr>
<w:r><w:t xml:space="preserve">(1854).  A fresh form, attended by whimsicality, appears in</w:t></w:r>
</w:p>
<w:p>
<w:pPr><w:pStyle w:val="Normal"/></w:pPr>
<w:r><w:t xml:space="preserve">George Horatio Derby&apos;s (1823-1861) Phoenixiana (1855).  In</w:t></w:r>
</w:p>
<w:p>
<w:pPr><w:pStyle w:val="Normal"/></w:pPr>
<w:r><w:t xml:space="preserve">the war-times Robert Henry Newell (1836-1901) and David Ross</w:t></w:r>
</w:p>
<w:p>
<w:pPr><w:pStyle w:val="Normal"/></w:pPr>
<w:r><w:t xml:space="preserve">Locke (1833-1888), respectively known as &quot;Orpheus C. Kerr&quot;</w:t></w:r>
</w:p>
<w:p>
<w:pPr><w:pStyle w:val="Normal"/></w:pPr>
<w:r><w:t xml:space="preserve">and &quot;Petroleum V. Nasby&quot; cultivated grotesque orthography</w:t></w:r>
</w:p>
<w:p>
<w:pPr><w:pStyle w:val="Normal"/></w:pPr>
<w:r><w:t xml:space="preserve">in a characteristic vein of wit; and with more quaintness</w:t></w:r>
</w:p>
<w:p>
<w:pPr><w:pStyle w:val="Normal"/></w:pPr>
<w:r><w:t xml:space="preserve">and drollery Henry Wheeler Shaw (1818-1885) and Charles</w:t></w:r>
</w:p>
<w:p>
<w:pPr><w:pStyle w:val="Normal"/></w:pPr>
<w:r><w:t xml:space="preserve">Farrar Browne (1834-1867), known as &quot;Josh Billings&quot; and</w:t></w:r>
</w:p>
<w:p>
<w:pPr><w:pStyle w:val="Normal"/></w:pPr>
<w:r><w:t xml:space="preserve">&quot;Artemus Ward,&quot; won immense popularity which extended to</w:t></w:r>
</w:p>
<w:p>
<w:pPr><w:pStyle w:val="Normal"/></w:pPr>
<w:r><w:t xml:space="preserve">England.  These latter writers were men of Northern birth,</w:t></w:r>
</w:p>
<w:p>
<w:pPr><w:pStyle w:val="Normal"/></w:pPr>
<w:r><w:t xml:space="preserve">but of Western and wandering journalistic experience as a</w:t></w:r>
</w:p>
<w:p>
<w:pPr><w:pStyle w:val="Normal"/></w:pPr>
<w:r><w:t xml:space="preserve">rule.  Their works make up a body of what is known as &quot;American</w:t></w:r>
</w:p>
<w:p>
<w:pPr><w:pStyle w:val="Normal"/></w:pPr>
<w:r><w:t xml:space="preserve">humour,&quot; a characteristic native product of social conditions</w:t></w:r>
</w:p>
<w:p>
<w:pPr><w:pStyle w:val="Normal"/></w:pPr>
<w:r><w:t xml:space="preserve">and home talent.  One poet, John Godfrey Saxe (1816-1887)</w:t></w:r>
</w:p>
<w:p>
<w:pPr><w:pStyle w:val="Normal"/></w:pPr>
<w:r><w:t xml:space="preserve">of Vermont, attempted something similar in literary verse</w:t></w:r>
</w:p>
<w:p>
<w:pPr><w:pStyle w:val="Normal"/></w:pPr>
<w:r><w:t xml:space="preserve">after the style of Tom Hood.  The heir to this tradition</w:t></w:r>
</w:p>
<w:p>
<w:pPr><w:pStyle w:val="Normal"/></w:pPr>
<w:r><w:t xml:space="preserve">of farce, drollery and joke was Samuel Langhorne Clemens</w:t></w:r>
</w:p>
<w:p>
<w:pPr><w:pStyle w:val="Normal"/></w:pPr>
<w:r><w:t xml:space="preserve">(1835-1910), known as &quot;Mark Twain,&quot; born in Missouri, who</w:t></w:r>
</w:p>
<w:p>
<w:pPr><w:pStyle w:val="Normal"/></w:pPr>
<w:r><w:t xml:space="preserve">raised it to an extraordinary height of success and won</w:t></w:r>
</w:p>
<w:p>
<w:pPr><w:pStyle w:val="Normal"/></w:pPr>
<w:r><w:t xml:space="preserve">world-wide reputation as a great and original humorist.  His</w:t></w:r>
</w:p>
<w:p>
<w:pPr><w:pStyle w:val="Normal"/></w:pPr>
<w:r><w:t xml:space="preserve">works, however, include a broader compass of fiction, greater</w:t></w:r>
</w:p>
<w:p>
<w:pPr><w:pStyle w:val="Normal"/></w:pPr>
<w:r><w:t xml:space="preserve">humanity and reality, and ally him to the masters of humorous</w:t></w:r>
</w:p>
<w:p>
<w:pPr><w:pStyle w:val="Normal"/></w:pPr>
<w:r><w:t xml:space="preserve">creation.  Joel Chandler Harris (1848-1908) of Georgia</w:t></w:r>
</w:p>
<w:p>
<w:pPr><w:pStyle w:val="Normal"/></w:pPr>
<w:r><w:t xml:space="preserve">introduced a new variety in Nights with Uncle Remus</w:t></w:r>
</w:p>
<w:p>
<w:pPr><w:pStyle w:val="Normal"/></w:pPr>
<w:r><w:t xml:space="preserve">(1883), which is literary negro folklore, and Finley Peter</w:t></w:r>
</w:p>
<w:p>
<w:pPr><w:pStyle w:val="Normal"/></w:pPr>
<w:r><w:t xml:space="preserve">Dunne (born 1857) of Chicago, the creator of &quot;Mr Dooley,&quot;</w:t></w:r>
</w:p>
<w:p>
<w:pPr><w:pStyle w:val="Normal"/></w:pPr>
<w:r><w:t xml:space="preserve">continues the older American style in its original traits.</w:t></w:r>
</w:p>
<w:p>
<w:pPr><w:pStyle w:val="Normal"/></w:pPr>
<w:r><w:t xml:space="preserve">History.</w:t></w:r>
</w:p>
<w:p>
<w:pPr><w:pStyle w:val="Normal"/></w:pPr>
<w:r><w:t xml:space="preserve">History was represented in this period with a distinction</w:t></w:r>
</w:p>
<w:p>
<w:pPr><w:pStyle w:val="Normal"/></w:pPr>
<w:r><w:t xml:space="preserve">not inferior to that of the elder group by Francis Parkman</w:t></w:r>
</w:p>
<w:p>
<w:pPr><w:pStyle w:val="Normal"/></w:pPr>
<w:r><w:t xml:space="preserve">(1823-1903) of Boston, who, however, really belongs with the</w:t></w:r>
</w:p>
<w:p>
<w:pPr><w:pStyle w:val="Normal"/></w:pPr>
<w:r><w:t xml:space="preserve">preceding age by his affiliations; his series of histories</w:t></w:r>
</w:p>
<w:p>
<w:pPr><w:pStyle w:val="Normal"/></w:pPr>
<w:r><w:t xml:space="preserve">fell after the Civil War by their dates of publication, but</w:t></w:r>
</w:p>
<w:p>
<w:pPr><w:pStyle w:val="Normal"/></w:pPr>
<w:r><w:t xml:space="preserve">they began with History of the Conspiracy of Pontiac (1851);</w:t></w:r>
</w:p>
<w:p>
<w:pPr><w:pStyle w:val="Normal"/></w:pPr>
<w:r><w:t xml:space="preserve">he was the contemporary of Lowell and differed from the other</w:t></w:r>
</w:p>
<w:p>
<w:pPr><w:pStyle w:val="Normal"/></w:pPr>
<w:r><w:t xml:space="preserve">members of the elder group, who survived, only by the fact</w:t></w:r>
</w:p>
<w:p>
<w:pPr><w:pStyle w:val="Normal"/></w:pPr>
<w:r><w:t xml:space="preserve">of the later maturing of his work.  He was not less eminent</w:t></w:r>
</w:p>
<w:p>
<w:pPr><w:pStyle w:val="Normal"/></w:pPr>
<w:r><w:t xml:space="preserve">than Motley and Prescott and his history is of a more modern</w:t></w:r>
</w:p>
<w:p>
<w:pPr><w:pStyle w:val="Normal"/></w:pPr>
<w:r><w:t xml:space="preserve">type.  In the next generation the field of American history</w:t></w:r>
</w:p>
<w:p>
<w:pPr><w:pStyle w:val="Normal"/></w:pPr>
<w:r><w:t xml:space="preserve">was cultivated by many scholars, and a large part of local</w:t></w:r>
</w:p>
<w:p>
<w:pPr><w:pStyle w:val="Normal"/></w:pPr>
<w:r><w:t xml:space="preserve">history and of national biography was for the first time</w:t></w:r>
</w:p>
<w:p>
<w:pPr><w:pStyle w:val="Normal"/></w:pPr>
<w:r><w:t xml:space="preserve">recorded.  James Ford Rhodes&apos;s (1848) History of the United</w:t></w:r>
</w:p>
<w:p>
<w:pPr><w:pStyle w:val="Normal"/></w:pPr>
<w:r><w:t xml:space="preserve">States (1892) holds standard rank; the various writings of</w:t></w:r>
</w:p>
<w:p>
<w:pPr><w:pStyle w:val="Normal"/></w:pPr>
<w:r><w:t xml:space="preserve">John Fiske (1842-1901), distinguished also as a philosophical</w:t></w:r>
</w:p>
<w:p>
<w:pPr><w:pStyle w:val="Normal"/></w:pPr>
<w:r><w:t xml:space="preserve">writer, in the colonial and revolutionary periods are valued</w:t></w:r>
</w:p>
<w:p>
<w:pPr><w:pStyle w:val="Normal"/></w:pPr>
<w:r><w:t xml:space="preserve">both for scholarship and for excellent literary style; and</w:t></w:r>
</w:p>
<w:p>
<w:pPr><w:pStyle w:val="Normal"/></w:pPr>
<w:r><w:t xml:space="preserve">Theodore Roosevelt&apos;s (born 1858) The Winning of the West (1889)</w:t></w:r>
</w:p>
<w:p>
<w:pPr><w:pStyle w:val="Normal"/></w:pPr>
<w:r><w:t xml:space="preserve">and his several biographical studies deserve mention by their</w:t></w:r>
</w:p>
<w:p>
<w:pPr><w:pStyle w:val="Normal"/></w:pPr>
<w:r><w:t xml:space="preserve">merit as well as for his eminent position.  The historians,</w:t></w:r>
</w:p>
<w:p>
<w:pPr><w:pStyle w:val="Normal"/></w:pPr>
<w:r><w:t xml:space="preserve">however, have seldom sought literary excellence, and their</w:t></w:r>
</w:p>
<w:p>
<w:pPr><w:pStyle w:val="Normal"/></w:pPr>
<w:r><w:t xml:space="preserve">works belong rather to learning than to literature.  The same</w:t></w:r>
</w:p>
<w:p>
<w:pPr><w:pStyle w:val="Normal"/></w:pPr>
<w:r><w:t xml:space="preserve">statement is true of the scholarship of the universities in</w:t></w:r>
</w:p>
<w:p>
<w:pPr><w:pStyle w:val="Normal"/></w:pPr>
<w:r><w:t xml:space="preserve">general, where the spirit of literary study has changed.  In</w:t></w:r>
</w:p>
<w:p>
<w:pPr><w:pStyle w:val="Normal"/></w:pPr>
<w:r><w:t xml:space="preserve">the department of scholarship little requires mention beyond</w:t></w:r>
</w:p>
<w:p>
<w:pPr><w:pStyle w:val="Normal"/></w:pPr>
<w:r><w:t xml:space="preserve">Horace Howard Furness&apos;s (born 1833) lifelong work on his</w:t></w:r>
</w:p>
<w:p>
<w:pPr><w:pStyle w:val="Normal"/></w:pPr>
<w:r><w:t xml:space="preserve">Variorum Edition of Shakespeare, the Shakespearian labours</w:t></w:r>
</w:p>
<w:p>
<w:pPr><w:pStyle w:val="Normal"/></w:pPr>
<w:r><w:t xml:space="preserve">of Henry Norman Hudson (1814-1886) and Richard Grant White</w:t></w:r>
</w:p>
<w:p>
<w:pPr><w:pStyle w:val="Normal"/></w:pPr>
<w:r><w:t xml:space="preserve">(1821-1885), the Chaucerian studies of Thomas Raynesford</w:t></w:r>
</w:p>
<w:p>
<w:pPr><w:pStyle w:val="Normal"/></w:pPr>
<w:r><w:t xml:space="preserve">Lounsbury (born 1838) of Yale, and the translations of Dante</w:t></w:r>
</w:p>
<w:p>
<w:pPr><w:pStyle w:val="Normal"/></w:pPr>
<w:r><w:t xml:space="preserve">(1867, 1892) by Charles Eliot Norton (1827-1908) of Harvard.</w:t></w:r>
</w:p>
<w:p>
<w:pPr><w:pStyle w:val="Normal"/></w:pPr>
<w:r><w:t xml:space="preserve">Modern ideas.</w:t></w:r>
</w:p>
<w:p>
<w:pPr><w:pStyle w:val="Normal"/></w:pPr>
<w:r><w:t xml:space="preserve">The period has been one of great literary activity, effort</w:t></w:r>
</w:p>
<w:p>
<w:pPr><w:pStyle w:val="Normal"/></w:pPr>
<w:r><w:t xml:space="preserve">and ambition, but it affects one by its mass rather than its</w:t></w:r>
</w:p>
<w:p>
<w:pPr><w:pStyle w:val="Normal"/></w:pPr>
<w:r><w:t xml:space="preserve">details; it presents few eminent names.  The romantic motives</w:t></w:r>
</w:p>
<w:p>
<w:pPr><w:pStyle w:val="Normal"/></w:pPr>
<w:r><w:t xml:space="preserve">fixed in early colonizing history as a taking possession of</w:t></w:r>
</w:p>
<w:p>
<w:pPr><w:pStyle w:val="Normal"/></w:pPr>
<w:r><w:t xml:space="preserve">the land by a race of Puritans, pioneers, river-voyagers,</w:t></w:r>
</w:p>
<w:p>
<w:pPr><w:pStyle w:val="Normal"/></w:pPr>
<w:r><w:t xml:space="preserve">backwoodsmen, argonauts, have been exhausted; and no new motives</w:t></w:r>
</w:p>
<w:p>
<w:pPr><w:pStyle w:val="Normal"/></w:pPr>
<w:r><w:t xml:space="preserve">have been found.  The national tradition has been absorbed and</w:t></w:r>
</w:p>
<w:p>
<w:pPr><w:pStyle w:val="Normal"/></w:pPr>
<w:r><w:t xml:space="preserve">incorporated, so far as literature was able to accomplish</w:t></w:r>
</w:p>
<w:p>
<w:pPr><w:pStyle w:val="Normal"/></w:pPr>
<w:r><w:t xml:space="preserve">this.  The national character on the other hand has been expressed</w:t></w:r>
</w:p>
<w:p>
<w:pPr><w:pStyle w:val="Normal"/></w:pPr>
<w:r><w:t xml:space="preserve">rather in local types, the colour of isolated communities and</w:t></w:r>
</w:p>
<w:p>
<w:pPr><w:pStyle w:val="Normal"/></w:pPr>
<w:r><w:t xml:space="preserve">provincial conditions for their picturesque value and human</w:t></w:r>
</w:p>
<w:p>
<w:pPr><w:pStyle w:val="Normal"/></w:pPr>
<w:r><w:t xml:space="preserve">truth, and in commonplace characters of average life; but no</w:t></w:r>
</w:p>
<w:p>
<w:pPr><w:pStyle w:val="Normal"/></w:pPr>
<w:r><w:t xml:space="preserve">broadly ideal types of the old English tradition have been</w:t></w:r>
</w:p>
<w:p>
<w:pPr><w:pStyle w:val="Normal"/></w:pPr>
<w:r><w:t xml:space="preserve">created, and the great scene of life has not been staged after</w:t></w:r>
</w:p>
<w:p>
<w:pPr><w:pStyle w:val="Normal"/></w:pPr>
<w:r><w:t xml:space="preserve">the manner of the imaginative masters of the past.  There</w:t></w:r>
</w:p>
<w:p>
<w:pPr><w:pStyle w:val="Normal"/></w:pPr>
<w:r><w:t xml:space="preserve">has been no product of ideas since Emerson; he was, indeed,</w:t></w:r>
</w:p>
<w:p>
<w:pPr><w:pStyle w:val="Normal"/></w:pPr>
<w:r><w:t xml:space="preserve">the sole author who received and fertilized ideas as such,</w:t></w:r>
</w:p>
<w:p>
<w:pPr><w:pStyle w:val="Normal"/></w:pPr>
<w:r><w:t xml:space="preserve">and he has had no successor.  America is, in truth, perhaps</w:t></w:r>
</w:p>
<w:p>
<w:pPr><w:pStyle w:val="Normal"/></w:pPr>
<w:r><w:t xml:space="preserve">intellectually more remote from Europe than in its earlier</w:t></w:r>
</w:p>
<w:p>
<w:pPr><w:pStyle w:val="Normal"/></w:pPr>
<w:r><w:t xml:space="preserve">days.  The contact of its romanticism with that of Europe</w:t></w:r>
</w:p>
<w:p>
<w:pPr><w:pStyle w:val="Normal"/></w:pPr>
<w:r><w:t xml:space="preserve">was, as has been seen, imperfect, but its touch with the later</w:t></w:r>
</w:p>
<w:p>
<w:pPr><w:pStyle w:val="Normal"/></w:pPr>
<w:r><w:t xml:space="preserve">developments and reactions of the movement in Europe is far more</w:t></w:r>
</w:p>
<w:p>
<w:pPr><w:pStyle w:val="Normal"/></w:pPr>
<w:r><w:t xml:space="preserve">imperfect.  With Tolstoy, Ibsen, d&apos;Annunzio, Zola, Nietzsche,</w:t></w:r>
</w:p>
<w:p>
<w:pPr><w:pStyle w:val="Normal"/></w:pPr>
<w:r><w:t xml:space="preserve">Maeterlinck, Sudermann, the American people can have no</w:t></w:r>
</w:p>
<w:p>
<w:pPr><w:pStyle w:val="Normal"/></w:pPr>
<w:r><w:t xml:space="preserve">effectual touch; their social tradition and culture make them</w:t></w:r>
</w:p>
<w:p>
<w:pPr><w:pStyle w:val="Normal"/></w:pPr>
<w:r><w:t xml:space="preserve">impenetrable to the present ideas of Europe as they are current</w:t></w:r>
</w:p>
<w:p>
<w:pPr><w:pStyle w:val="Normal"/></w:pPr>
<w:r><w:t xml:space="preserve">in literary forms.  Nor has anything been developed from within</w:t></w:r>
</w:p>
<w:p>
<w:pPr><w:pStyle w:val="Normal"/></w:pPr>
<w:r><w:t xml:space="preserve">that is fertile in literature.  The political unity of the</w:t></w:r>
</w:p>
<w:p>
<w:pPr><w:pStyle w:val="Normal"/></w:pPr>
<w:r><w:t xml:space="preserve">nation is achieved, but it is not an integral people in other</w:t></w:r>
</w:p>
<w:p>
<w:pPr><w:pStyle w:val="Normal"/></w:pPr>
<w:r><w:t xml:space="preserve">respects.  It has not the unity of England or France or</w:t></w:r>
</w:p>
<w:p>
<w:pPr><w:pStyle w:val="Normal"/></w:pPr>
<w:r><w:t xml:space="preserve">even of the general European mind; it rather contains such</w:t></w:r>
</w:p>
<w:p>
<w:pPr><w:pStyle w:val="Normal"/></w:pPr>
<w:r><w:t xml:space="preserve">disparate elements as characterize the Roman or the Turkish</w:t></w:r>
</w:p>
<w:p>
<w:pPr><w:pStyle w:val="Normal"/></w:pPr>
<w:r><w:t xml:space="preserve">empire.  It is cleft by political tradition and in social</w:t></w:r>
</w:p>
<w:p>
<w:pPr><w:pStyle w:val="Normal"/></w:pPr>
<w:r><w:t xml:space="preserve">moral conviction, north and south, and by intellectual</w:t></w:r>
</w:p>
<w:p>
<w:pPr><w:pStyle w:val="Normal"/></w:pPr>
<w:r><w:t xml:space="preserve">strata of culture east and west; it is still a people in the</w:t></w:r>
</w:p>
<w:p>
<w:pPr><w:pStyle w:val="Normal"/></w:pPr>
<w:r><w:t xml:space="preserve">making.  Its literature has been regional, as was said,</w:t></w:r>
</w:p>
<w:p>
<w:pPr><w:pStyle w:val="Normal"/></w:pPr>
<w:r><w:t xml:space="preserve">centred in New England, New York, Philadelphia, contributed to</w:t></w:r>
</w:p>
<w:p>
<w:pPr><w:pStyle w:val="Normal"/></w:pPr>
<w:r><w:t xml:space="preserve">sporadically from the South, growing up in Western districts</w:t></w:r>
</w:p>
<w:p>
<w:pPr><w:pStyle w:val="Normal"/></w:pPr>
<w:r><w:t xml:space="preserve">like Indiana or germinating in Louisville in Kentucky,</w:t></w:r>
</w:p>
<w:p>
<w:pPr><w:pStyle w:val="Normal"/></w:pPr>
<w:r><w:t xml:space="preserve">abundant in California, but always much dependent on the</w:t></w:r>
</w:p>
<w:p>
<w:pPr><w:pStyle w:val="Normal"/></w:pPr>
<w:r><w:t xml:space="preserve">culture of its localities; it blends to some extent in the</w:t></w:r>
</w:p>
<w:p>
<w:pPr><w:pStyle w:val="Normal"/></w:pPr>
<w:r><w:t xml:space="preserve">mind of the national reading public, but not very perfectly.</w:t></w:r>
</w:p>
<w:p>
<w:pPr><w:pStyle w:val="Normal"/></w:pPr>
<w:r><w:t xml:space="preserve">The universities have not, on the whole, been its sources or</w:t></w:r>
</w:p>
<w:p>
<w:pPr><w:pStyle w:val="Normal"/></w:pPr>
<w:r><w:t xml:space="preserve">fosterers, and they are now filled with research, useful for</w:t></w:r>
</w:p>
<w:p>
<w:pPr><w:pStyle w:val="Normal"/></w:pPr>
<w:r><w:t xml:space="preserve">learning but impotent for literature.  The intellectual life</w:t></w:r>
</w:p>
<w:p>
<w:pPr><w:pStyle w:val="Normal"/></w:pPr>
<w:r><w:t xml:space="preserve">is now rather to be found in social, political and natural</w:t></w:r>
</w:p>
<w:p>
<w:pPr><w:pStyle w:val="Normal"/></w:pPr>
<w:r><w:t xml:space="preserve">science than elsewhere; the imaginative life is feeble,</w:t></w:r>
</w:p>
<w:p>
<w:pPr><w:pStyle w:val="Normal"/></w:pPr>
<w:r><w:t xml:space="preserve">and when felt is crude; the poetic pulse is imperceptible.</w:t></w:r>
</w:p>
<w:p>
<w:pPr><w:pStyle w:val="Normal"/></w:pPr>
<w:r><w:t xml:space="preserve">BIBLIOGRAPHY.--The best general histories of American</w:t></w:r>
</w:p>
<w:p>
<w:pPr><w:pStyle w:val="Normal"/></w:pPr>
<w:r><w:t xml:space="preserve">literature are by Barrett Wendell (1900) and William P. Trent</w:t></w:r>
</w:p>
<w:p>
<w:pPr><w:pStyle w:val="Normal"/></w:pPr>
<w:r><w:t xml:space="preserve">(1903).  Histories of particular periods or topics, most</w:t></w:r>
</w:p>
<w:p>
<w:pPr><w:pStyle w:val="Normal"/></w:pPr>
<w:r><w:t xml:space="preserve">serviceable, are M. C. Tyler&apos;s History of American Literature</w:t></w:r>
</w:p>
<w:p>
<w:pPr><w:pStyle w:val="Normal"/></w:pPr>
<w:r><w:t xml:space="preserve">during the Colonial Time (2 vols., 1878), Literary History of</w:t></w:r>
</w:p>
<w:p>
<w:pPr><w:pStyle w:val="Normal"/></w:pPr>
<w:r><w:t xml:space="preserve">the American Revolution (2 vols., 1897); J. F. Jameson, History</w:t></w:r>
</w:p>
<w:p>
<w:pPr><w:pStyle w:val="Normal"/></w:pPr>
<w:r><w:t xml:space="preserve">of Historical Writing in America (1891); H. D. Addison, The</w:t></w:r>
</w:p>
<w:p>
<w:pPr><w:pStyle w:val="Normal"/></w:pPr>
<w:r><w:t xml:space="preserve">Clergy in American Life and Letters (1900); W. H. Venable,</w:t></w:r>
</w:p>
<w:p>
<w:pPr><w:pStyle w:val="Normal"/></w:pPr>
<w:r><w:t xml:space="preserve">Beginnings of Literary Culture in the Ohio Valley (1891); M.</w:t></w:r>
</w:p>
<w:p>
<w:pPr><w:pStyle w:val="Normal"/></w:pPr>
<w:r><w:t xml:space="preserve">Nicholson, The Hoosiers (1900); A. H. Smith, Philadelphia</w:t></w:r>
</w:p>
<w:p>
<w:pPr><w:pStyle w:val="Normal"/></w:pPr>
<w:r><w:t xml:space="preserve">Magazines and their Contributors, 1741-1850 (1892); W. B.</w:t></w:r>
</w:p>
<w:p>
<w:pPr><w:pStyle w:val="Normal"/></w:pPr>
<w:r><w:t xml:space="preserve">Cairns, Development of American Literature, 1815-1833 (1898);</w:t></w:r>
</w:p>
<w:p>
<w:pPr><w:pStyle w:val="Normal"/></w:pPr>
<w:r><w:t xml:space="preserve">O. B. Frothingham, Transcendentalism in New England (1876); L.</w:t></w:r>
</w:p>
<w:p>
<w:pPr><w:pStyle w:val="Normal"/></w:pPr>
<w:r><w:t xml:space="preserve">Swift, Brook Farm (1900); T. W. Higginson, Old Cambridge</w:t></w:r>
</w:p>
<w:p>
<w:pPr><w:pStyle w:val="Normal"/></w:pPr>
<w:r><w:t xml:space="preserve">(1900).  The entire field is covered encyclopaedically by</w:t></w:r>
</w:p>
<w:p>
<w:pPr><w:pStyle w:val="Normal"/></w:pPr>
<w:r><w:t xml:space="preserve">Stedman and Hutchinson, Library of American Literature (11</w:t></w:r>
</w:p>
<w:p>
<w:pPr><w:pStyle w:val="Normal"/></w:pPr>
<w:r><w:t xml:space="preserve">vols., 1888-1890) and the Duyckincks, Cyclopaedia (3rd</w:t></w:r>
</w:p>
<w:p>
<w:pPr><w:pStyle w:val="Normal"/></w:pPr>
<w:r><w:t xml:space="preserve">ed., 1875), and portions of it in R. W. Griswold&apos;s successive</w:t></w:r>
</w:p>
<w:p>
<w:pPr><w:pStyle w:val="Normal"/></w:pPr>
<w:r><w:t xml:space="preserve">collections, Poets and Poetry or America (1842), Prose</w:t></w:r>
</w:p>
<w:p>
<w:pPr><w:pStyle w:val="Normal"/></w:pPr>
<w:r><w:t xml:space="preserve">Writers of America (1847), Female Poets of America (1848);</w:t></w:r>
</w:p>
<w:p>
<w:pPr><w:pStyle w:val="Normal"/></w:pPr>
<w:r><w:t xml:space="preserve">Trent and Wells, Colonial Prose and Poetry (3 vols., 1901);</w:t></w:r>
</w:p>
<w:p>
<w:pPr><w:pStyle w:val="Normal"/></w:pPr>
<w:r><w:t xml:space="preserve">Louise Manly, Southern Literature (1900), and E. C. Stedman,</w:t></w:r>
</w:p>
<w:p>
<w:pPr><w:pStyle w:val="Normal"/></w:pPr>
<w:r><w:t xml:space="preserve">American Anthology (1900).  The American Men of Letters</w:t></w:r>
</w:p>
<w:p>
<w:pPr><w:pStyle w:val="Normal"/></w:pPr>
<w:r><w:t xml:space="preserve">series (Houghton, Mifflin &amp; Co., Boston) and the English Men</w:t></w:r>
</w:p>
<w:p>
<w:pPr><w:pStyle w:val="Normal"/></w:pPr>
<w:r><w:t xml:space="preserve">of Letters, American Series (Macmillan, New York), present</w:t></w:r>
</w:p>
<w:p>
<w:pPr><w:pStyle w:val="Normal"/></w:pPr>
<w:r><w:t xml:space="preserve">the biographical and critical view in general, to which may</w:t></w:r>
</w:p>
<w:p>
<w:pPr><w:pStyle w:val="Normal"/></w:pPr>
<w:r><w:t xml:space="preserve">be added E. C. Stedman, Poets of America (1885); W. C.</w:t></w:r>
</w:p>
<w:p>
<w:pPr><w:pStyle w:val="Normal"/></w:pPr>
<w:r><w:t xml:space="preserve">Lawton, The New England Poets (1898), and G. E. Woodberry,</w:t></w:r>
</w:p>
<w:p>
<w:pPr><w:pStyle w:val="Normal"/></w:pPr>
<w:r><w:t xml:space="preserve">America in Literature (1903).  Detailed and admirable</w:t></w:r>
</w:p>
<w:p>
<w:pPr><w:pStyle w:val="Normal"/></w:pPr>
<w:r><w:t xml:space="preserve">bibliographies for all aspects of the subject are to be found</w:t></w:r>
</w:p>
<w:p>
<w:pPr><w:pStyle w:val="Normal"/></w:pPr>
<w:r><w:t xml:space="preserve">in Wendell&apos;s and Trent&apos;s Histories, and abundant and minute</w:t></w:r>
</w:p>
<w:p>
<w:pPr><w:pStyle w:val="Normal"/></w:pPr>
<w:r><w:t xml:space="preserve">biographical detail in Stedman&apos;s indexes of authors in his</w:t></w:r>
</w:p>
<w:p>
<w:pPr><w:pStyle w:val="Normal"/></w:pPr>
<w:r><w:t xml:space="preserve">collections.  See also the separate bibliographies to the</w:t></w:r>
</w:p>
<w:p>
<w:pPr><w:pStyle w:val="Normal"/></w:pPr>
<w:r><w:t xml:space="preserve">articles in this work on each individual writer. (G. E. W.)</w:t></w:r>
</w:p>
<w:p>
<w:pPr><w:pStyle w:val="Normal"/></w:pPr>
<w:r><w:t xml:space="preserve">AMERICAN WAR OF INDEPENDENCE (1775-1781).  This war, by</w:t></w:r>
</w:p>
<w:p>
<w:pPr><w:pStyle w:val="Normal"/></w:pPr>
<w:r><w:t xml:space="preserve">which the United States definitely separated themselves from</w:t></w:r>
</w:p>
<w:p>
<w:pPr><w:pStyle w:val="Normal"/></w:pPr>
<w:r><w:t xml:space="preserve">the British connexion, began with the affair of Lexington in</w:t></w:r>
</w:p>
<w:p>
<w:pPr><w:pStyle w:val="Normal"/></w:pPr>
<w:r><w:t xml:space="preserve">Massachusetts, on the 19th of April 1773, and was virtually ended</w:t></w:r>
</w:p>
<w:p>
<w:pPr><w:pStyle w:val="Normal"/></w:pPr>
<w:r><w:t xml:space="preserve">by the capitulation of Cornwallis at Yorktown, Virginia, on the</w:t></w:r>
</w:p>
<w:p>
<w:pPr><w:pStyle w:val="Normal"/></w:pPr>
<w:r><w:t xml:space="preserve">l0th of October 1781.  In this article the progress of the war</w:t></w:r>
</w:p>
<w:p>
<w:pPr><w:pStyle w:val="Normal"/></w:pPr>
<w:r><w:t xml:space="preserve">itself is alone considered, its political side being treated</w:t></w:r>
</w:p>
<w:p>
<w:pPr><w:pStyle w:val="Normal"/></w:pPr>
<w:r><w:t xml:space="preserve">under UNITED STATES: History.  From a military standpoint</w:t></w:r>
</w:p>
<w:p>
<w:pPr><w:pStyle w:val="Normal"/></w:pPr>
<w:r><w:t xml:space="preserve">as well as politically it was a conspicuous and instructive</w:t></w:r>
</w:p>
<w:p>
<w:pPr><w:pStyle w:val="Normal"/></w:pPr>
<w:r><w:t xml:space="preserve">conflict,--conspicuous, or even unique, as being the most</w:t></w:r>
</w:p>
<w:p>
<w:pPr><w:pStyle w:val="Normal"/></w:pPr>
<w:r><w:t xml:space="preserve">famous struggle in history where colonial dependencies defeated</w:t></w:r>
</w:p>
<w:p>
<w:pPr><w:pStyle w:val="Normal"/></w:pPr>
<w:r><w:t xml:space="preserve">their powerful parent state, and instructive as presenting</w:t></w:r>
</w:p>
<w:p>
<w:pPr><w:pStyle w:val="Normal"/></w:pPr>
<w:r><w:t xml:space="preserve">exceptional conditions and consequent errors in the attempt to</w:t></w:r>
</w:p>
<w:p>
<w:pPr><w:pStyle w:val="Normal"/></w:pPr>
<w:r><w:t xml:space="preserve">break down the revolt.  The reasons for Great Britain&apos;s failure</w:t></w:r>
</w:p>
<w:p>
<w:pPr><w:pStyle w:val="Normal"/></w:pPr>
<w:r><w:t xml:space="preserve">appear in the progress of the war, which assumed two distinct</w:t></w:r>
</w:p>
<w:p>
<w:pPr><w:pStyle w:val="Normal"/></w:pPr>
<w:r><w:t xml:space="preserve">stages, operations in the north followed by operations in the</w:t></w:r>
</w:p>
<w:p>
<w:pPr><w:pStyle w:val="Normal"/></w:pPr>
<w:r><w:t xml:space="preserve">south.  In point of time and energy military activity was</w:t></w:r>
</w:p>
<w:p>
<w:pPr><w:pStyle w:val="Normal"/></w:pPr>
<w:r><w:t xml:space="preserve">about equally divided between these two fields.  As the</w:t></w:r>
</w:p>
<w:p>
<w:pPr><w:pStyle w:val="Normal"/></w:pPr>
<w:r><w:t xml:space="preserve">naval operations in connexion with the war have a European</w:t></w:r>
</w:p>
<w:p>
<w:pPr><w:pStyle w:val="Normal"/></w:pPr>
<w:r><w:t xml:space="preserve">interest as well, they are dealt with in a separate section.</w:t></w:r>
</w:p>
<w:p>
<w:pPr><w:pStyle w:val="Normal"/></w:pPr>
<w:r><w:t xml:space="preserve">Land operations.</w:t></w:r>
</w:p>
<w:p>
<w:pPr><w:pStyle w:val="Normal"/></w:pPr>
<w:r><w:t xml:space="preserve">To strike at the rebellion first in the north was natural and</w:t></w:r>
</w:p>
<w:p>
<w:pPr><w:pStyle w:val="Normal"/></w:pPr>
<w:r><w:t xml:space="preserve">inevitable.  To King George and his ministry, Massachusetts</w:t></w:r>
</w:p>
<w:p>
<w:pPr><w:pStyle w:val="Normal"/></w:pPr>
<w:r><w:t xml:space="preserve">was the hotbed of disloyalty, the head and front of opposition</w:t></w:r>
</w:p>
<w:p>
<w:pPr><w:pStyle w:val="Normal"/></w:pPr>
<w:r><w:t xml:space="preserve">to their colonial policy, and there coercion should begin.</w:t></w:r>
</w:p>
<w:p>
<w:pPr><w:pStyle w:val="Normal"/></w:pPr>
<w:r><w:t xml:space="preserve">It was also a convenient point for a prompt display of</w:t></w:r>
</w:p>
<w:p>
<w:pPr><w:pStyle w:val="Normal"/></w:pPr>
<w:r><w:t xml:space="preserve">authority, as the town of Boston was the headquarters of General</w:t></w:r>
</w:p>
<w:p>
<w:pPr><w:pStyle w:val="Normal"/></w:pPr>
<w:r><w:t xml:space="preserve">Gage, recently appointed royal governor of Massachusetts</w:t></w:r>
</w:p>
<w:p>
<w:pPr><w:pStyle w:val="Normal"/></w:pPr>
<w:r><w:t xml:space="preserve">and commander of the king&apos;s troops in North America.  He had</w:t></w:r>
</w:p>
<w:p>
<w:pPr><w:pStyle w:val="Normal"/></w:pPr>
<w:r><w:t xml:space="preserve">with him four regiments of regulars, the initial force with</w:t></w:r>
</w:p>
<w:p>
<w:pPr><w:pStyle w:val="Normal"/></w:pPr>
<w:r><w:t xml:space="preserve">which to overawe the restless and defiant population in his</w:t></w:r>
</w:p>
<w:p>
<w:pPr><w:pStyle w:val="Normal"/></w:pPr>
<w:r><w:t xml:space="preserve">vicinity.  While Gage is to be credited with advising his</w:t></w:r>
</w:p>
<w:p>
<w:pPr><w:pStyle w:val="Normal"/></w:pPr>
<w:r><w:t xml:space="preserve">government that not less than 20,000 men would be necessary</w:t></w:r>
</w:p>
<w:p>
<w:pPr><w:pStyle w:val="Normal"/></w:pPr>
<w:r><w:t xml:space="preserve">for the work in hand, he proceeded at once to suppress</w:t></w:r>
</w:p>
<w:p>
<w:pPr><w:pStyle w:val="Normal"/></w:pPr>
<w:r><w:t xml:space="preserve">demonstrations around Boston.  His principal expedition</w:t></w:r>
</w:p>
<w:p>
<w:pPr><w:pStyle w:val="Normal"/></w:pPr>
<w:r><w:t xml:space="preserve">brought about the skirmish of the 19th of April 1775 (see</w:t></w:r>
</w:p>
<w:p>
<w:pPr><w:pStyle w:val="Normal"/></w:pPr>
<w:r><w:t xml:space="preserve">LEXINGTON), in which a detachment sent to seize some military</w:t></w:r>
</w:p>
<w:p>
<w:pPr><w:pStyle w:val="Normal"/></w:pPr>
<w:r><w:t xml:space="preserve">stores collected at Concord suffered heavily at Lexington,</w:t></w:r>
</w:p>
<w:p>
<w:pPr><w:pStyle w:val="Normal"/></w:pPr>
<w:r><w:t xml:space="preserve">Concord and other places, at the hands of the surrounding</w:t></w:r>
</w:p>
<w:p>
<w:pPr><w:pStyle w:val="Normal"/></w:pPr>
<w:r><w:t xml:space="preserve">militia.  This encounter roused the New England colonies,</w:t></w:r>
</w:p>
<w:p>
<w:pPr><w:pStyle w:val="Normal"/></w:pPr>
<w:r><w:t xml:space="preserve">and in a few days some 16,000 of their townsmen marched</w:t></w:r>
</w:p>
<w:p>
<w:pPr><w:pStyle w:val="Normal"/></w:pPr>
<w:r><w:t xml:space="preserve">in small bands upon Boston to protest against and resist</w:t></w:r>
</w:p>
<w:p>
<w:pPr><w:pStyle w:val="Normal"/></w:pPr>
<w:r><w:t xml:space="preserve">further similar incursions; and in this irregular body we</w:t></w:r>
</w:p>
<w:p>
<w:pPr><w:pStyle w:val="Normal"/></w:pPr>
<w:r><w:t xml:space="preserve">have the nucleus of the colonial forces which carried the war</w:t></w:r>
</w:p>
<w:p>
<w:pPr><w:pStyle w:val="Normal"/></w:pPr>
<w:r><w:t xml:space="preserve">through.  A noteworthy incident of the Concord affair, and</w:t></w:r>
</w:p>
<w:p>
<w:pPr><w:pStyle w:val="Normal"/></w:pPr>
<w:r><w:t xml:space="preserve">characteristic of the attitude which the provincials had</w:t></w:r>
</w:p>
<w:p>
<w:pPr><w:pStyle w:val="Normal"/></w:pPr>
<w:r><w:t xml:space="preserve">maintained and continued to maintain for another year, was</w:t></w:r>
</w:p>
<w:p>
<w:pPr><w:pStyle w:val="Normal"/></w:pPr>
<w:r><w:t xml:space="preserve">the official representation to the king by the Massachusetts</w:t></w:r>
</w:p>
<w:p>
<w:pPr><w:pStyle w:val="Normal"/></w:pPr>
<w:r><w:t xml:space="preserve">people that the regulars were the first to fire upon them,</w:t></w:r>
</w:p>
<w:p>
<w:pPr><w:pStyle w:val="Normal"/></w:pPr>
<w:r><w:t xml:space="preserve">and that they returned the fire and fought through the day</w:t></w:r>
</w:p>
<w:p>
<w:pPr><w:pStyle w:val="Normal"/></w:pPr>
<w:r><w:t xml:space="preserve">in strict defence of their rights and homes as Englishmen.</w:t></w:r>
</w:p>
<w:p>
<w:pPr><w:pStyle w:val="Normal"/></w:pPr>
<w:r><w:t xml:space="preserve">They repeated their professions of loyalty to his majesty</w:t></w:r>
</w:p>
<w:p>
<w:pPr><w:pStyle w:val="Normal"/></w:pPr>
<w:r><w:t xml:space="preserve">and the principles of the English Constitution.  Conscious,</w:t></w:r>
</w:p>
<w:p>
<w:pPr><w:pStyle w:val="Normal"/></w:pPr>
<w:r><w:t xml:space="preserve">nevertheless, that a struggle impended, they instantly</w:t></w:r>
</w:p>
<w:p>
<w:pPr><w:pStyle w:val="Normal"/></w:pPr>
<w:r><w:t xml:space="preserve">sent word to all the other colonies, whose whig elements</w:t></w:r>
</w:p>
<w:p>
<w:pPr><w:pStyle w:val="Normal"/></w:pPr>
<w:r><w:t xml:space="preserve">sympathetically responded to the alarm.  The war had opened.</w:t></w:r>
</w:p>
<w:p>
<w:pPr><w:pStyle w:val="Normal"/></w:pPr>
<w:r><w:t xml:space="preserve">Bunker Hill.</w:t></w:r>
</w:p>
<w:p>
<w:pPr><w:pStyle w:val="Normal"/></w:pPr>
<w:r><w:t xml:space="preserve">The home government extended its precautions and preparations.</w:t></w:r>
</w:p>
<w:p>
<w:pPr><w:pStyle w:val="Normal"/></w:pPr>
<w:r><w:t xml:space="preserve">General (Sir) William Howe, who succeeded Gage in the chief</w:t></w:r>
</w:p>
<w:p>
<w:pPr><w:pStyle w:val="Normal"/></w:pPr>
<w:r><w:t xml:space="preserve">command in October, and Generals (Sir) Henry Clinton and John</w:t></w:r>
</w:p>
<w:p>
<w:pPr><w:pStyle w:val="Normal"/></w:pPr>
<w:r><w:t xml:space="preserve">Burgoyne were sent out at once with reinforcements.  Cornwallis</w:t></w:r>
</w:p>
<w:p>
<w:pPr><w:pStyle w:val="Normal"/></w:pPr>
<w:r><w:t xml:space="preserve">followed a year later.  These four generals were identified</w:t></w:r>
</w:p>
<w:p>
<w:pPr><w:pStyle w:val="Normal"/></w:pPr>
<w:r><w:t xml:space="preserve">with the conduct of the principal operations on the side of</w:t></w:r>
</w:p>
<w:p>
<w:pPr><w:pStyle w:val="Normal"/></w:pPr>
<w:r><w:t xml:space="preserve">the British.  The force at Boston was increased to 10,000</w:t></w:r>
</w:p>
<w:p>
<w:pPr><w:pStyle w:val="Normal"/></w:pPr>
<w:r><w:t xml:space="preserve">men.  The American Congress at Philadelphia, acting for all</w:t></w:r>
</w:p>
<w:p>
<w:pPr><w:pStyle w:val="Normal"/></w:pPr>
<w:r><w:t xml:space="preserve">the thirteen colonies, voted general defensive measures,</w:t></w:r>
</w:p>
<w:p>
<w:pPr><w:pStyle w:val="Normal"/></w:pPr>
<w:r><w:t xml:space="preserve">called out troops and appointed George Washington of Virginia</w:t></w:r>
</w:p>
<w:p>
<w:pPr><w:pStyle w:val="Normal"/></w:pPr>
<w:r><w:t xml:space="preserve">commander-in-chief.  Before he reached the camp forming</w:t></w:r>
</w:p>
<w:p>
<w:pPr><w:pStyle w:val="Normal"/></w:pPr>
<w:r><w:t xml:space="preserve">around Boston, a second and more important collision took</w:t></w:r>
</w:p>
<w:p>
<w:pPr><w:pStyle w:val="Normal"/></w:pPr>
<w:r><w:t xml:space="preserve">place.  On the 17th of June 1775 occurred the battle of Bunker</w:t></w:r>
</w:p>
<w:p>
<w:pPr><w:pStyle w:val="Normal"/></w:pPr>
<w:r><w:t xml:space="preserve">Hill (q.v.), in which, although victorious, the British</w:t></w:r>
</w:p>
<w:p>
<w:pPr><w:pStyle w:val="Normal"/></w:pPr>
<w:r><w:t xml:space="preserve">suffered heavily, losing one-third of their force in storming</w:t></w:r>
</w:p>
<w:p>
<w:pPr><w:pStyle w:val="Normal"/></w:pPr>
<w:r><w:t xml:space="preserve">the hastily constructed lines of the &quot;rebels.&quot; The latter&apos;s</w:t></w:r>
</w:p>
<w:p>
<w:pPr><w:pStyle w:val="Normal"/></w:pPr>
<w:r><w:t xml:space="preserve">most serious loss was that of General Joseph Warren, one</w:t></w:r>
</w:p>
<w:p>
<w:pPr><w:pStyle w:val="Normal"/></w:pPr>
<w:r><w:t xml:space="preserve">of the prominent leaders of the revolutionary movement in</w:t></w:r>
</w:p>
<w:p>
<w:pPr><w:pStyle w:val="Normal"/></w:pPr>
<w:r><w:t xml:space="preserve">Massachusetts.  In moral effect the battle proved anything</w:t></w:r>
</w:p>
<w:p>
<w:pPr><w:pStyle w:val="Normal"/></w:pPr>
<w:r><w:t xml:space="preserve">but a defeat to the Americans, who now drew a cordon of works</w:t></w:r>
</w:p>
<w:p>
<w:pPr><w:pStyle w:val="Normal"/></w:pPr>
<w:r><w:t xml:space="preserve">around Boston, hemming Howe&apos;s army in a contracted, and, as it</w:t></w:r>
</w:p>
<w:p>
<w:pPr><w:pStyle w:val="Normal"/></w:pPr>
<w:r><w:t xml:space="preserve">proved, untenable, position.  On the 3rd of July Washington</w:t></w:r>
</w:p>
<w:p>
<w:pPr><w:pStyle w:val="Normal"/></w:pPr>
<w:r><w:t xml:space="preserve">took command of the American army at Cambridge and proceeded</w:t></w:r>
</w:p>
<w:p>
<w:pPr><w:pStyle w:val="Normal"/></w:pPr>
<w:r><w:t xml:space="preserve">with what is known as the &quot;siege of Boston,&quot; which was marked</w:t></w:r>
</w:p>
<w:p>
<w:pPr><w:pStyle w:val="Normal"/></w:pPr>
<w:r><w:t xml:space="preserve">by no special incident, and closed with the evacuation of the</w:t></w:r>
</w:p>
<w:p>
<w:pPr><w:pStyle w:val="Normal"/></w:pPr>
<w:r><w:t xml:space="preserve">town by the British on the 17th of March 1776, Howe sailing</w:t></w:r>
</w:p>
<w:p>
<w:pPr><w:pStyle w:val="Normal"/></w:pPr>
<w:r><w:t xml:space="preserve">away to Halifax, Nova Scotia.  While the main interest centred</w:t></w:r>
</w:p>
<w:p>
<w:pPr><w:pStyle w:val="Normal"/></w:pPr>
<w:r><w:t xml:space="preserve">at this point, the year 1775 was marked by two enterprises</w:t></w:r>
</w:p>
<w:p>
<w:pPr><w:pStyle w:val="Normal"/></w:pPr>
<w:r><w:t xml:space="preserve">elsewhere.  Fort Ticonderoga, the key to the passage of Lakes</w:t></w:r>
</w:p>
<w:p>
<w:pPr><w:pStyle w:val="Normal"/></w:pPr>
<w:r><w:t xml:space="preserve">George and Champlain to Canada, was surprised and taken on the</w:t></w:r>
</w:p>
<w:p>
<w:pPr><w:pStyle w:val="Normal"/></w:pPr>
<w:r><w:t xml:space="preserve">10th of May by a small band under Colonel Ethan Allen, while</w:t></w:r>
</w:p>
<w:p>
<w:pPr><w:pStyle w:val="Normal"/></w:pPr>
<w:r><w:t xml:space="preserve">Colonel Benedict Arnold headed an expedition through the Maine</w:t></w:r>
</w:p>
<w:p>
<w:pPr><w:pStyle w:val="Normal"/></w:pPr>
<w:r><w:t xml:space="preserve">woods to effect the capture of Quebec, where Sir Guy Carleton</w:t></w:r>
</w:p>
<w:p>
<w:pPr><w:pStyle w:val="Normal"/></w:pPr>
<w:r><w:t xml:space="preserve">commanded.  Arnold joined General Richard Montgomery, who</w:t></w:r>
</w:p>
<w:p>
<w:pPr><w:pStyle w:val="Normal"/></w:pPr>
<w:r><w:t xml:space="preserve">was already near the city, and the combined force assaulted</w:t></w:r>
</w:p>
<w:p>
<w:pPr><w:pStyle w:val="Normal"/></w:pPr>
<w:r><w:t xml:space="preserve">Quebec on the 31st of December, only to meet with complete</w:t></w:r>
</w:p>
<w:p>
<w:pPr><w:pStyle w:val="Normal"/></w:pPr>
<w:r><w:t xml:space="preserve">defeat.  Montgomery was killed and many of his men taken</w:t></w:r>
</w:p>
<w:p>
<w:pPr><w:pStyle w:val="Normal"/></w:pPr>
<w:r><w:t xml:space="preserve">prisoners.  Demonstrations against Canada were soon discontinued,</w:t></w:r>
</w:p>
<w:p>
<w:pPr><w:pStyle w:val="Normal"/></w:pPr>
<w:r><w:t xml:space="preserve">Arnold drawing off the remnant of his army in May 1776.</w:t></w:r>
</w:p>
<w:p>
<w:pPr><w:pStyle w:val="Normal"/></w:pPr>
<w:r><w:t xml:space="preserve">The events of 1775, though favourable to America, were but</w:t></w:r>
</w:p>
<w:p>
<w:pPr><w:pStyle w:val="Normal"/></w:pPr>
<w:r><w:t xml:space="preserve">a prelude to the real struggle to come.  For the campaign</w:t></w:r>
</w:p>
<w:p>
<w:pPr><w:pStyle w:val="Normal"/></w:pPr>
<w:r><w:t xml:space="preserve">of 1776 both sides made extensive preparations.  To the home</w:t></w:r>
</w:p>
<w:p>
<w:pPr><w:pStyle w:val="Normal"/></w:pPr>
<w:r><w:t xml:space="preserve">government the purely military problem, although assuming</w:t></w:r>
</w:p>
<w:p>
<w:pPr><w:pStyle w:val="Normal"/></w:pPr>
<w:r><w:t xml:space="preserve">larger dimensions and more difficulties, still seemed to</w:t></w:r>
</w:p>
<w:p>
<w:pPr><w:pStyle w:val="Normal"/></w:pPr>
<w:r><w:t xml:space="preserve">admit of a simple solution, namely, to strike hard where</w:t></w:r>
</w:p>
<w:p>
<w:pPr><w:pStyle w:val="Normal"/></w:pPr>
<w:r><w:t xml:space="preserve">the rebellion was most active and capable of the longest</w:t></w:r>
</w:p>
<w:p>
<w:pPr><w:pStyle w:val="Normal"/></w:pPr>
<w:r><w:t xml:space="preserve">resistance.  Defeated there, it would quickly dissipate in all</w:t></w:r>
</w:p>
<w:p>
<w:pPr><w:pStyle w:val="Normal"/></w:pPr>
<w:r><w:t xml:space="preserve">quarters.  As much more than one-half of the population and</w:t></w:r>
</w:p>
<w:p>
<w:pPr><w:pStyle w:val="Normal"/></w:pPr>
<w:r><w:t xml:space="preserve">resources of the colonists lay north of Chesapeake Bay--New</w:t></w:r>
</w:p>
<w:p>
<w:pPr><w:pStyle w:val="Normal"/></w:pPr>
<w:r><w:t xml:space="preserve">England alone having an estimated population of over 700,000</w:t></w:r>
</w:p>
<w:p>
<w:pPr><w:pStyle w:val="Normal"/></w:pPr>
<w:r><w:t xml:space="preserve">persons--it was only a question as to what point in this</w:t></w:r>
</w:p>
<w:p>
<w:pPr><w:pStyle w:val="Normal"/></w:pPr>
<w:r><w:t xml:space="preserve">area should be made the future base of operations.  Largely</w:t></w:r>
</w:p>
<w:p>
<w:pPr><w:pStyle w:val="Normal"/></w:pPr>
<w:r><w:t xml:space="preserve">upon the representations of Howe, Burgoyne and others, it</w:t></w:r>
</w:p>
<w:p>
<w:pPr><w:pStyle w:val="Normal"/></w:pPr>
<w:r><w:t xml:space="preserve">was determined to shift the field from Boston to New York</w:t></w:r>
</w:p>
<w:p>
<w:pPr><w:pStyle w:val="Normal"/></w:pPr>
<w:r><w:t xml:space="preserve">city, from there to hold the line of the Hudson river in</w:t></w:r>
</w:p>
<w:p>
<w:pPr><w:pStyle w:val="Normal"/></w:pPr>
<w:r><w:t xml:space="preserve">co-operation with a force to move down from Canada under Carleton</w:t></w:r>
</w:p>
<w:p>
<w:pPr><w:pStyle w:val="Normal"/></w:pPr>
<w:r><w:t xml:space="preserve">and Burgoyne, and thus effectually to isolate New England.</w:t></w:r>
</w:p>
<w:p>
<w:pPr><w:pStyle w:val="Normal"/></w:pPr>
<w:r><w:t xml:space="preserve">Long Island.</w:t></w:r>
</w:p>
<w:p>
<w:pPr><w:pStyle w:val="Normal"/></w:pPr>
<w:r><w:t xml:space="preserve">Upon this plan the new campaign opened in June 1776.</w:t></w:r>
</w:p>
<w:p>
<w:pPr><w:pStyle w:val="Normal"/></w:pPr>
<w:r><w:t xml:space="preserve">Howe, heavily reinforced from home, sailed on the 10th from</w:t></w:r>
</w:p>
<w:p>
<w:pPr><w:pStyle w:val="Normal"/></w:pPr>
<w:r><w:t xml:space="preserve">Halifax to New York and on the 5th of July encamped on Staten</w:t></w:r>
</w:p>
<w:p>
<w:pPr><w:pStyle w:val="Normal"/></w:pPr>
<w:r><w:t xml:space="preserve">Island.  Washington, anticipating this move, had already</w:t></w:r>
</w:p>
<w:p>
<w:pPr><w:pStyle w:val="Normal"/></w:pPr>
<w:r><w:t xml:space="preserve">marched from Boston and fortified the city.  His left flank</w:t></w:r>
</w:p>
<w:p>
<w:pPr><w:pStyle w:val="Normal"/></w:pPr>
<w:r><w:t xml:space="preserve">was thrown across the East river beyond the village of</w:t></w:r>
</w:p>
<w:p>
<w:pPr><w:pStyle w:val="Normal"/></w:pPr>
<w:r><w:t xml:space="preserve">Brooklyn, while his front and right on the harbour and North</w:t></w:r>
</w:p>
<w:p>
<w:pPr><w:pStyle w:val="Normal"/></w:pPr>
<w:r><w:t xml:space="preserve">or Hudson river were open to a combined naval and military</w:t></w:r>
</w:p>
<w:p>
<w:pPr><w:pStyle w:val="Normal"/></w:pPr>
<w:r><w:t xml:space="preserve">attack.  The position proved untenable.  Howe drove Washington</w:t></w:r>
</w:p>
<w:p>
<w:pPr><w:pStyle w:val="Normal"/></w:pPr>
<w:r><w:t xml:space="preserve">out of it, and forced the abandonment of the whole of Manhattan</w:t></w:r>
</w:p>
<w:p>
<w:pPr><w:pStyle w:val="Normal"/></w:pPr>
<w:r><w:t xml:space="preserve">Island by three well-directed movements upon the American</w:t></w:r>
</w:p>
<w:p>
<w:pPr><w:pStyle w:val="Normal"/></w:pPr>
<w:r><w:t xml:space="preserve">left.  On the 22nd of August he crossed the Narrows to the</w:t></w:r>
</w:p>
<w:p>
<w:pPr><w:pStyle w:val="Normal"/></w:pPr>
<w:r><w:t xml:space="preserve">Long Island shore with 15,000 troops, increasing the number to</w:t></w:r>
</w:p>
<w:p>
<w:pPr><w:pStyle w:val="Normal"/></w:pPr>
<w:r><w:t xml:space="preserve">20,000 on the 25th, and on the 27th surprised the Americans,</w:t></w:r>
</w:p>
<w:p>
<w:pPr><w:pStyle w:val="Normal"/></w:pPr>
<w:r><w:t xml:space="preserve">driving them into their Brooklyn works and inflicting a loss</w:t></w:r>
</w:p>
<w:p>
<w:pPr><w:pStyle w:val="Normal"/></w:pPr>
<w:r><w:t xml:space="preserve">of about 1400 men.  Among the prisoners were Generals J.</w:t></w:r>
</w:p>
<w:p>
<w:pPr><w:pStyle w:val="Normal"/></w:pPr>
<w:r><w:t xml:space="preserve">Sullivan and W. Alexander, soi-distant earl of Stirling. (See</w:t></w:r>
</w:p>
<w:p>
<w:pPr><w:pStyle w:val="Normal"/></w:pPr>
<w:r><w:t xml:space="preserve">LONG ISLAND.) Howe has been criticized, rightly or wrongly,</w:t></w:r>
</w:p>
<w:p>
<w:pPr><w:pStyle w:val="Normal"/></w:pPr>
<w:r><w:t xml:space="preserve">for failing to make full use of his victory.  Washington</w:t></w:r>
</w:p>
<w:p>
<w:pPr><w:pStyle w:val="Normal"/></w:pPr>
<w:r><w:t xml:space="preserve">skilfully evacuated his Brooklyn lines on the night of the</w:t></w:r>
</w:p>
<w:p>
<w:pPr><w:pStyle w:val="Normal"/></w:pPr>
<w:r><w:t xml:space="preserve">29th, and in a measure relieved the depression which the</w:t></w:r>
</w:p>
<w:p>
<w:pPr><w:pStyle w:val="Normal"/></w:pPr>
<w:r><w:t xml:space="preserve">defeat had produced in his army.  On the 15th of September</w:t></w:r>
</w:p>
<w:p>
<w:pPr><w:pStyle w:val="Normal"/></w:pPr>
<w:r><w:t xml:space="preserve">Howe crossed the East river above the city, captured 300</w:t></w:r>
</w:p>
<w:p>
<w:pPr><w:pStyle w:val="Normal"/></w:pPr>
<w:r><w:t xml:space="preserve">of the militia defending the lines and occupied the city.</w:t></w:r>
</w:p>
<w:p>
<w:pPr><w:pStyle w:val="Normal"/></w:pPr>
<w:r><w:t xml:space="preserve">Washington had withdrawn his main army to the upper part of the</w:t></w:r>
</w:p>
<w:p>
<w:pPr><w:pStyle w:val="Normal"/></w:pPr>
<w:r><w:t xml:space="preserve">island.  A skirmish, fought the next day, opposite the west</w:t></w:r>
</w:p>
<w:p>
<w:pPr><w:pStyle w:val="Normal"/></w:pPr>
<w:r><w:t xml:space="preserve">front of the present Columbia University, and known as the</w:t></w:r>
</w:p>
<w:p>
<w:pPr><w:pStyle w:val="Normal"/></w:pPr>
<w:r><w:t xml:space="preserve">affair of Harlem Heights, cost the British a loss of seventy</w:t></w:r>
</w:p>
<w:p>
<w:pPr><w:pStyle w:val="Normal"/></w:pPr>
<w:r><w:t xml:space="preserve">of their light infantry.  Delaying until the 12th of October,</w:t></w:r>
</w:p>
<w:p>
<w:pPr><w:pStyle w:val="Normal"/></w:pPr>
<w:r><w:t xml:space="preserve">Howe again moved forward by water into Westchester county,</w:t></w:r>
</w:p>
<w:p>
<w:pPr><w:pStyle w:val="Normal"/></w:pPr>
<w:r><w:t xml:space="preserve">and marching toward White Plains forced another retreat on</w:t></w:r>
</w:p>
<w:p>
<w:pPr><w:pStyle w:val="Normal"/></w:pPr>
<w:r><w:t xml:space="preserve">Washington.  In the fight on Chatterton Hill at the Plains,</w:t></w:r>
</w:p>
<w:p>
<w:pPr><w:pStyle w:val="Normal"/></w:pPr>
<w:r><w:t xml:space="preserve">on the 28th of October, an American brigade was defeated.</w:t></w:r>
</w:p>
<w:p>
<w:pPr><w:pStyle w:val="Normal"/></w:pPr>
<w:r><w:t xml:space="preserve">Fort Washington.</w:t></w:r>
</w:p>
<w:p>
<w:pPr><w:pStyle w:val="Normal"/></w:pPr>
<w:r><w:t xml:space="preserve">Instead of pressing Washington further, Howe then returned to</w:t></w:r>
</w:p>
<w:p>
<w:pPr><w:pStyle w:val="Normal"/></w:pPr>
<w:r><w:t xml:space="preserve">Manhattan Island, and on the 16th of November captured Fort</w:t></w:r>
</w:p>
<w:p>
<w:pPr><w:pStyle w:val="Normal"/></w:pPr>
<w:r><w:t xml:space="preserve">Washington with nearly 3000 prisoners.  This was the heaviest</w:t></w:r>
</w:p>
<w:p>
<w:pPr><w:pStyle w:val="Normal"/></w:pPr>
<w:r><w:t xml:space="preserve">blow to the Americans throughout the war in the north.  The</w:t></w:r>
</w:p>
<w:p>
<w:pPr><w:pStyle w:val="Normal"/></w:pPr>
<w:r><w:t xml:space="preserve">British then pushed down through New Jersey with designs on</w:t></w:r>
</w:p>
<w:p>
<w:pPr><w:pStyle w:val="Normal"/></w:pPr>
<w:r><w:t xml:space="preserve">Philadelphia.  Washington, still retreating with a constantly</w:t></w:r>
</w:p>
<w:p>
<w:pPr><w:pStyle w:val="Normal"/></w:pPr>
<w:r><w:t xml:space="preserve">diminishing force, suddenly turned upon Lieutenant-Colonel</w:t></w:r>
</w:p>
<w:p>
<w:pPr><w:pStyle w:val="Normal"/></w:pPr>
<w:r><w:t xml:space="preserve">Rall&apos;s advanced corps of Hessians at Trenton on the 26th of</w:t></w:r>
</w:p>
<w:p>
<w:pPr><w:pStyle w:val="Normal"/></w:pPr>
<w:r><w:t xml:space="preserve">December and captured nearly 1000 prisoners.  This brilliant</w:t></w:r>
</w:p>
<w:p>
<w:pPr><w:pStyle w:val="Normal"/></w:pPr>
<w:r><w:t xml:space="preserve">exploit was followed by another on the 3rd of January, when</w:t></w:r>
</w:p>
<w:p>
<w:pPr><w:pStyle w:val="Normal"/></w:pPr>
<w:r><w:t xml:space="preserve">Washington, again crossing the Delaware, outmarched Cornwallis</w:t></w:r>
</w:p>
<w:p>
<w:pPr><w:pStyle w:val="Normal"/></w:pPr>
<w:r><w:t xml:space="preserve">at Trenton, and marching to his rear defeated three British</w:t></w:r>
</w:p>
<w:p>
<w:pPr><w:pStyle w:val="Normal"/></w:pPr>
<w:r><w:t xml:space="preserve">regiments and three companies of light cavalry at Princeton,</w:t></w:r>
</w:p>
<w:p>
<w:pPr><w:pStyle w:val="Normal"/></w:pPr>
<w:r><w:t xml:space="preserve">New Jersey.  Marching on to Morristown, Washington encamped</w:t></w:r>
</w:p>
<w:p>
<w:pPr><w:pStyle w:val="Normal"/></w:pPr>
<w:r><w:t xml:space="preserve">there on the flank of the British advance in New Jersey, thus</w:t></w:r>
</w:p>
<w:p>
<w:pPr><w:pStyle w:val="Normal"/></w:pPr>
<w:r><w:t xml:space="preserve">ending the first campaign fought on the new issue of American</w:t></w:r>
</w:p>
<w:p>
<w:pPr><w:pStyle w:val="Normal"/></w:pPr>
<w:r><w:t xml:space="preserve">Independence, which had been declared on the 4th of July 1776.</w:t></w:r>
</w:p>
<w:p>
<w:pPr><w:pStyle w:val="Normal"/></w:pPr>
<w:r><w:t xml:space="preserve">Branywine.</w:t></w:r>
</w:p>
<w:p>
<w:pPr><w:pStyle w:val="Normal"/></w:pPr>
<w:r><w:t xml:space="preserve">While these closing successes inspirited the Americans, it</w:t></w:r>
</w:p>
<w:p>
<w:pPr><w:pStyle w:val="Normal"/></w:pPr>
<w:r><w:t xml:space="preserve">was undeniable that the campaign had gone heavily against</w:t></w:r>
</w:p>
<w:p>
<w:pPr><w:pStyle w:val="Normal"/></w:pPr>
<w:r><w:t xml:space="preserve">them.  Having raised a permanent force for the war called the</w:t></w:r>
</w:p>
<w:p>
<w:pPr><w:pStyle w:val="Normal"/></w:pPr>
<w:r><w:t xml:space="preserve">Continental Line, they awaited further operations of the enemy.</w:t></w:r>
</w:p>
<w:p>
<w:pPr><w:pStyle w:val="Normal"/></w:pPr>
<w:r><w:t xml:space="preserve">Following up the occupation of New York, Howe proceeded in 1777</w:t></w:r>
</w:p>
<w:p>
<w:pPr><w:pStyle w:val="Normal"/></w:pPr>
<w:r><w:t xml:space="preserve">to capture Philadelphia.  Complete success again crowned his</w:t></w:r>
</w:p>
<w:p>
<w:pPr><w:pStyle w:val="Normal"/></w:pPr>
<w:r><w:t xml:space="preserve">movements.  Taking his army by sea from New York to the head</w:t></w:r>
</w:p>
<w:p>
<w:pPr><w:pStyle w:val="Normal"/></w:pPr>
<w:r><w:t xml:space="preserve">of the Chesapeake, he marched up into Pennsylvania, whither</w:t></w:r>
</w:p>
<w:p>
<w:pPr><w:pStyle w:val="Normal"/></w:pPr>
<w:r><w:t xml:space="preserve">Washington had repaired to watch him, and on the 26th of</w:t></w:r>
</w:p>
<w:p>
<w:pPr><w:pStyle w:val="Normal"/></w:pPr>
<w:r><w:t xml:space="preserve">September entered the city.  The Americans attempted to check</w:t></w:r>
</w:p>
<w:p>
<w:pPr><w:pStyle w:val="Normal"/></w:pPr>
<w:r><w:t xml:space="preserve">the advance of the British at the river Brandywine, where an</w:t></w:r>
</w:p>
<w:p>
<w:pPr><w:pStyle w:val="Normal"/></w:pPr>
<w:r><w:t xml:space="preserve">action occurred on the 11th, resulting in their defeat (see</w:t></w:r>
</w:p>
<w:p>
<w:pPr><w:pStyle w:val="Normal"/></w:pPr>
<w:r><w:t xml:space="preserve">BRANDYWINE); and on the 4th of October Washington directed a</w:t></w:r>
</w:p>
<w:p>
<w:pPr><w:pStyle w:val="Normal"/></w:pPr>
<w:r><w:t xml:space="preserve">well-planned attack upon the enemy&apos;s camp at Germantown on the</w:t></w:r>
</w:p>
<w:p>
<w:pPr><w:pStyle w:val="Normal"/></w:pPr>
<w:r><w:t xml:space="preserve">outskirts of the city, but failed of success. (See GERMANTOWN.)</w:t></w:r>
</w:p>
<w:p>
<w:pPr><w:pStyle w:val="Normal"/></w:pPr>
<w:r><w:t xml:space="preserve">Howe&apos;s victorious progress in Pennsylvania was neutralized by</w:t></w:r>
</w:p>
<w:p>
<w:pPr><w:pStyle w:val="Normal"/></w:pPr>
<w:r><w:t xml:space="preserve">disasters farther north.  Burgoyne marched from Canada in June</w:t></w:r>
</w:p>
<w:p>
<w:pPr><w:pStyle w:val="Normal"/></w:pPr>
<w:r><w:t xml:space="preserve">1777, with a strong expeditionary force, to occupy Albany</w:t></w:r>
</w:p>
<w:p>
<w:pPr><w:pStyle w:val="Normal"/></w:pPr>
<w:r><w:t xml:space="preserve">and put himself in touch with Howe at the other end of the</w:t></w:r>
</w:p>
<w:p>
<w:pPr><w:pStyle w:val="Normal"/></w:pPr>
<w:r><w:t xml:space="preserve">Hudson.  Driving the Americans under General Arthur St Clair out</w:t></w:r>
</w:p>
<w:p>
<w:pPr><w:pStyle w:val="Normal"/></w:pPr>
<w:r><w:t xml:space="preserve">of Ticonderoga, and making his way through the deep woods with</w:t></w:r>
</w:p>
<w:p>
<w:pPr><w:pStyle w:val="Normal"/></w:pPr>
<w:r><w:t xml:space="preserve">difficulty, he reached the Hudson at Fort Edward on the 30th of</w:t></w:r>
</w:p>
<w:p>
<w:pPr><w:pStyle w:val="Normal"/></w:pPr>
<w:r><w:t xml:space="preserve">July.  General Philip Schuyler, commanding the Americans in</w:t></w:r>
</w:p>
<w:p>
<w:pPr><w:pStyle w:val="Normal"/></w:pPr>
<w:r><w:t xml:space="preserve">that quarter, retreated to Stillwater, 30 m. above Albany,</w:t></w:r>
</w:p>
<w:p>
<w:pPr><w:pStyle w:val="Normal"/></w:pPr>
<w:r><w:t xml:space="preserve">barricading the roads and impeding Burgoyne&apos;s progress.</w:t></w:r>
</w:p>
<w:p>
<w:pPr><w:pStyle w:val="Normal"/></w:pPr>
<w:r><w:t xml:space="preserve">Dissatisfaction with his conduct led Congress to replace him</w:t></w:r>
</w:p>
<w:p>
<w:pPr><w:pStyle w:val="Normal"/></w:pPr>
<w:r><w:t xml:space="preserve">in command by General Gates.  On the 13th of August Burgoyne</w:t></w:r>
</w:p>
<w:p>
<w:pPr><w:pStyle w:val="Normal"/></w:pPr>
<w:r><w:t xml:space="preserve">despatched a force to Bennington, Vermont, under the German</w:t></w:r>
</w:p>
<w:p>
<w:pPr><w:pStyle w:val="Normal"/></w:pPr>
<w:r><w:t xml:space="preserve">colonel Friedrich Baum, to capture stores and overawe the</w:t></w:r>
</w:p>
<w:p>
<w:pPr><w:pStyle w:val="Normal"/></w:pPr>
<w:r><w:t xml:space="preserve">country.  On the 16th Baum was attacked by General John</w:t></w:r>
</w:p>
<w:p>
<w:pPr><w:pStyle w:val="Normal"/></w:pPr>
<w:r><w:t xml:space="preserve">Stark with the militia from the surrounding country, and was</w:t></w:r>
</w:p>
<w:p>
<w:pPr><w:pStyle w:val="Normal"/></w:pPr>
<w:r><w:t xml:space="preserve">overwhelmed.  Colonel Breyman, marching to his relief, was</w:t></w:r>
</w:p>
<w:p>
<w:pPr><w:pStyle w:val="Normal"/></w:pPr>
<w:r><w:t xml:space="preserve">also routed.  The misfortune cost the British 1000 men.</w:t></w:r>
</w:p>
<w:p>
<w:pPr><w:pStyle w:val="Normal"/></w:pPr>
<w:r><w:t xml:space="preserve">Saratoga.</w:t></w:r>
</w:p>
<w:p>
<w:pPr><w:pStyle w:val="Normal"/></w:pPr>
<w:r><w:t xml:space="preserve">Equally unfortunate was the fate of an expedition sent</w:t></w:r>
</w:p>
<w:p>
<w:pPr><w:pStyle w:val="Normal"/></w:pPr>
<w:r><w:t xml:space="preserve">under Colonel Barry St Leger to co-operate with Burgoyne</w:t></w:r>
</w:p>
<w:p>
<w:pPr><w:pStyle w:val="Normal"/></w:pPr>
<w:r><w:t xml:space="preserve">by way of the Mohawk Valley.  On the 6th of August he was</w:t></w:r>
</w:p>
<w:p>
<w:pPr><w:pStyle w:val="Normal"/></w:pPr>
<w:r><w:t xml:space="preserve">met at Oriskany by General Nicholas Herkimer and forced to</w:t></w:r>
</w:p>
<w:p>
<w:pPr><w:pStyle w:val="Normal"/></w:pPr>
<w:r><w:t xml:space="preserve">retreat.  Despite these disasters Burgoyne pushed south to</w:t></w:r>
</w:p>
<w:p>
<w:pPr><w:pStyle w:val="Normal"/></w:pPr>
<w:r><w:t xml:space="preserve">Stillwater, where he was defeated by Gates&apos;s improvised army</w:t></w:r>
</w:p>
<w:p>
<w:pPr><w:pStyle w:val="Normal"/></w:pPr>
<w:r><w:t xml:space="preserve">of continentals and militia in two battles on the 19th of</w:t></w:r>
</w:p>
<w:p>
<w:pPr><w:pStyle w:val="Normal"/></w:pPr>
<w:r><w:t xml:space="preserve">September (Freeman&apos;s Farm) and the 7th of October (Bemis&apos;s</w:t></w:r>
</w:p>
<w:p>
<w:pPr><w:pStyle w:val="Normal"/></w:pPr>
<w:r><w:t xml:space="preserve">Height).  On the 17th he was forced to surrender. (See SARATOGA,</w:t></w:r>
</w:p>
<w:p>
<w:pPr><w:pStyle w:val="Normal"/></w:pPr>
<w:r><w:t xml:space="preserve">BATTLE OF.) This disaster was followed by the alliance between</w:t></w:r>
</w:p>
<w:p>
<w:pPr><w:pStyle w:val="Normal"/></w:pPr>
<w:r><w:t xml:space="preserve">America and France in 1778, and later by the addition of</w:t></w:r>
</w:p>
<w:p>
<w:pPr><w:pStyle w:val="Normal"/></w:pPr>
<w:r><w:t xml:space="preserve">Spain to England&apos;s enemies--events of far-reaching importance.</w:t></w:r>
</w:p>
<w:p>
<w:pPr><w:pStyle w:val="Normal"/></w:pPr>
<w:r><w:t xml:space="preserve">A movement of importance, in 1778-79, was the expedition</w:t></w:r>
</w:p>
<w:p>
<w:pPr><w:pStyle w:val="Normal"/></w:pPr>
<w:r><w:t xml:space="preserve">of George Rogers Clark, under the authority of the state of</w:t></w:r>
</w:p>
<w:p>
<w:pPr><w:pStyle w:val="Normal"/></w:pPr>
<w:r><w:t xml:space="preserve">Virginia, against the British posts in the north-west.  With</w:t></w:r>
</w:p>
<w:p>
<w:pPr><w:pStyle w:val="Normal"/></w:pPr>
<w:r><w:t xml:space="preserve">a company of volunteers Clark captured Kaskaskia, the chief</w:t></w:r>
</w:p>
<w:p>
<w:pPr><w:pStyle w:val="Normal"/></w:pPr>
<w:r><w:t xml:space="preserve">post in the Illinois country, on the 4th of July 1778, and</w:t></w:r>
</w:p>
<w:p>
<w:pPr><w:pStyle w:val="Normal"/></w:pPr>
<w:r><w:t xml:space="preserve">later secured the submission of Vincennes, which, however, was</w:t></w:r>
</w:p>
<w:p>
<w:pPr><w:pStyle w:val="Normal"/></w:pPr>
<w:r><w:t xml:space="preserve">recaptured by General Henry Hamilton, the British commander at</w:t></w:r>
</w:p>
<w:p>
<w:pPr><w:pStyle w:val="Normal"/></w:pPr>
<w:r><w:t xml:space="preserve">Detroit.  In the spring of 1779 Clark raised another force,</w:t></w:r>
</w:p>
<w:p>
<w:pPr><w:pStyle w:val="Normal"/></w:pPr>
<w:r><w:t xml:space="preserve">and recaptured Vincennes from Hamilton.  This expedition</w:t></w:r>
</w:p>
<w:p>
<w:pPr><w:pStyle w:val="Normal"/></w:pPr>
<w:r><w:t xml:space="preserve">did much to free the frontier from Indian raids, gave</w:t></w:r>
</w:p>
<w:p>
<w:pPr><w:pStyle w:val="Normal"/></w:pPr>
<w:r><w:t xml:space="preserve">the Americans a hold upon the north-west, of which their</w:t></w:r>
</w:p>
<w:p>
<w:pPr><w:pStyle w:val="Normal"/></w:pPr>
<w:r><w:t xml:space="preserve">diplomats duly took advantage in the peace negotiations,</w:t></w:r>
</w:p>
<w:p>
<w:pPr><w:pStyle w:val="Normal"/></w:pPr>
<w:r><w:t xml:space="preserve">and later, by giving the states a community of interest</w:t></w:r>
</w:p>
<w:p>
<w:pPr><w:pStyle w:val="Normal"/></w:pPr>
<w:r><w:t xml:space="preserve">in the western lands, greatly promoted the idea of union.</w:t></w:r>
</w:p>
<w:p>
<w:pPr><w:pStyle w:val="Normal"/></w:pPr>
<w:r><w:t xml:space="preserve">In 1778 Sir Henry Clinton succeeded Howe in the chief command in</w:t></w:r>
</w:p>
<w:p>
<w:pPr><w:pStyle w:val="Normal"/></w:pPr>
<w:r><w:t xml:space="preserve">America.  With fewer resources than his predecessor had disposed</w:t></w:r>
</w:p>
<w:p>
<w:pPr><w:pStyle w:val="Normal"/></w:pPr>
<w:r><w:t xml:space="preserve">of, he could accomplish practically nothing in the north.</w:t></w:r>
</w:p>
<w:p>
<w:pPr><w:pStyle w:val="Normal"/></w:pPr>
<w:r><w:t xml:space="preserve">In June 1778 he evacuated Philadelphia, with the intention of</w:t></w:r>
</w:p>
<w:p>
<w:pPr><w:pStyle w:val="Normal"/></w:pPr>
<w:r><w:t xml:space="preserve">concentrating his force at New York.  Washington, who had passed</w:t></w:r>
</w:p>
<w:p>
<w:pPr><w:pStyle w:val="Normal"/></w:pPr>
<w:r><w:t xml:space="preserve">the winter at Valley Forge, overtook him at Monmouth, N.J., and</w:t></w:r>
</w:p>
<w:p>
<w:pPr><w:pStyle w:val="Normal"/></w:pPr>
<w:r><w:t xml:space="preserve">in an action on the 28th of June both armies suffered about equal</w:t></w:r>
</w:p>
<w:p>
<w:pPr><w:pStyle w:val="Normal"/></w:pPr>
<w:r><w:t xml:space="preserve">loss.  Thereafter (except in the winter of 1779, at Morristown)</w:t></w:r>
</w:p>
<w:p>
<w:pPr><w:pStyle w:val="Normal"/></w:pPr>
<w:r><w:t xml:space="preserve">Washington made West Point on the Hudson the headquarters of</w:t></w:r>
</w:p>
<w:p>
<w:pPr><w:pStyle w:val="Normal"/></w:pPr>
<w:r><w:t xml:space="preserve">his army, but Clinton avowed himself too weak to attack him</w:t></w:r>
</w:p>
<w:p>
<w:pPr><w:pStyle w:val="Normal"/></w:pPr>
<w:r><w:t xml:space="preserve">there.  In 1779 he attempted to draw Washington out of the</w:t></w:r>
</w:p>
<w:p>
<w:pPr><w:pStyle w:val="Normal"/></w:pPr>
<w:r><w:t xml:space="preserve">Highlands, with the result that in the manoeuvres he lost</w:t></w:r>
</w:p>
<w:p>
<w:pPr><w:pStyle w:val="Normal"/></w:pPr>
<w:r><w:t xml:space="preserve">the garrison at Stony Point, 700 strong, the position being</w:t></w:r>
</w:p>
<w:p>
<w:pPr><w:pStyle w:val="Normal"/></w:pPr>
<w:r><w:t xml:space="preserve">stormed by Wayne with the American light infantry on the 16th of</w:t></w:r>
</w:p>
<w:p>
<w:pPr><w:pStyle w:val="Normal"/></w:pPr>
<w:r><w:t xml:space="preserve">July.  During the summer General John Sullivan marched with</w:t></w:r>
</w:p>
<w:p>
<w:pPr><w:pStyle w:val="Normal"/></w:pPr>
<w:r><w:t xml:space="preserve">a large force against the Indians (all the Iroquois tribes</w:t></w:r>
</w:p>
<w:p>
<w:pPr><w:pStyle w:val="Normal"/></w:pPr>
<w:r><w:t xml:space="preserve">except the Oneidas and part of the Tuscaroras siding with the</w:t></w:r>
</w:p>
<w:p>
<w:pPr><w:pStyle w:val="Normal"/></w:pPr>
<w:r><w:t xml:space="preserve">British during the war) and against the Loyalists of western</w:t></w:r>
</w:p>
<w:p>
<w:pPr><w:pStyle w:val="Normal"/></w:pPr>
<w:r><w:t xml:space="preserve">New York, who had been committing great depredations along the</w:t></w:r>
</w:p>
<w:p>
<w:pPr><w:pStyle w:val="Normal"/></w:pPr>
<w:r><w:t xml:space="preserve">frontier; and on the 29th of August he inflicted a crushing</w:t></w:r>
</w:p>
<w:p>
<w:pPr><w:pStyle w:val="Normal"/></w:pPr>
<w:r><w:t xml:space="preserve">defeat upon them at Newtown, on the site of the present</w:t></w:r>
</w:p>
<w:p>
<w:pPr><w:pStyle w:val="Normal"/></w:pPr>
<w:r><w:t xml:space="preserve">Elmira.  In addition several Indian villages and the crops of the</w:t></w:r>
</w:p>
<w:p>
<w:pPr><w:pStyle w:val="Normal"/></w:pPr>
<w:r><w:t xml:space="preserve">Indians were destroyed in the lake region of western New York.</w:t></w:r>
</w:p>
<w:p>
<w:pPr><w:pStyle w:val="Normal"/></w:pPr>
<w:r><w:t xml:space="preserve">Meanwhile the co-operation of the French became active.  In</w:t></w:r>
</w:p>
<w:p>
<w:pPr><w:pStyle w:val="Normal"/></w:pPr>
<w:r><w:t xml:space="preserve">July Count Rochambeau arrived at Newport, Rhode Island.  That</w:t></w:r>
</w:p>
<w:p>
<w:pPr><w:pStyle w:val="Normal"/></w:pPr>
<w:r><w:t xml:space="preserve">place had been occupied by the British from 1776 to the close of</w:t></w:r>
</w:p>
<w:p>
<w:pPr><w:pStyle w:val="Normal"/></w:pPr>
<w:r><w:t xml:space="preserve">1779.  An unsuccessful attempt was made to drive them out in</w:t></w:r>
</w:p>
<w:p>
<w:pPr><w:pStyle w:val="Normal"/></w:pPr>
<w:r><w:t xml:space="preserve">1778 by the Americans assisted by the French admiral d&apos;Estaing</w:t></w:r>
</w:p>
<w:p>
<w:pPr><w:pStyle w:val="Normal"/></w:pPr>
<w:r><w:t xml:space="preserve">and a French corps.  The year 1780 is also marked by the</w:t></w:r>
</w:p>
<w:p>
<w:pPr><w:pStyle w:val="Normal"/></w:pPr>
<w:r><w:t xml:space="preserve">treason of General Benedict Arnold (q.v.), and the consequent</w:t></w:r>
</w:p>
<w:p>
<w:pPr><w:pStyle w:val="Normal"/></w:pPr>
<w:r><w:t xml:space="preserve">execution of Major Andre.  Minor battles and skirmishes</w:t></w:r>
</w:p>
<w:p>
<w:pPr><w:pStyle w:val="Normal"/></w:pPr>
<w:r><w:t xml:space="preserve">occurred until in August 1781 Washington conceived the project</w:t></w:r>
</w:p>
<w:p>
<w:pPr><w:pStyle w:val="Normal"/></w:pPr>
<w:r><w:t xml:space="preserve">of a combined American-French attack on Cornwallis at Yorktown,</w:t></w:r>
</w:p>
<w:p>
<w:pPr><w:pStyle w:val="Normal"/></w:pPr>
<w:r><w:t xml:space="preserve">Va., the success of which was decisive of the war (see below).</w:t></w:r>
</w:p>
<w:p>
<w:pPr><w:pStyle w:val="Normal"/></w:pPr>
<w:r><w:t xml:space="preserve">Campaign in Georgia.</w:t></w:r>
</w:p>
<w:p>
<w:pPr><w:pStyle w:val="Normal"/></w:pPr>
<w:r><w:t xml:space="preserve">The inadequate results of the British campaigns against the</w:t></w:r>
</w:p>
<w:p>
<w:pPr><w:pStyle w:val="Normal"/></w:pPr>
<w:r><w:t xml:space="preserve">northern colonies in 1776 and 1777 led the home government</w:t></w:r>
</w:p>
<w:p>
<w:pPr><w:pStyle w:val="Normal"/></w:pPr>
<w:r><w:t xml:space="preserve">to turn its attention to the weaker colonies in the south.</w:t></w:r>
</w:p>
<w:p>
<w:pPr><w:pStyle w:val="Normal"/></w:pPr>
<w:r><w:t xml:space="preserve">Operations in the north were not to cease, but a powerful</w:t></w:r>
</w:p>
<w:p>
<w:pPr><w:pStyle w:val="Normal"/></w:pPr>
<w:r><w:t xml:space="preserve">diversion was now to be undertaken in the south with a view</w:t></w:r>
</w:p>
<w:p>
<w:pPr><w:pStyle w:val="Normal"/></w:pPr>
<w:r><w:t xml:space="preserve">to the complete conquest of that section.  Success there would</w:t></w:r>
</w:p>
<w:p>
<w:pPr><w:pStyle w:val="Normal"/></w:pPr>
<w:r><w:t xml:space="preserve">facilitate further movements in the north.  An isolated attack</w:t></w:r>
</w:p>
<w:p>
<w:pPr><w:pStyle w:val="Normal"/></w:pPr>
<w:r><w:t xml:space="preserve">on Charleston, South Carolina, had been made by Sir Henry</w:t></w:r>
</w:p>
<w:p>
<w:pPr><w:pStyle w:val="Normal"/></w:pPr>
<w:r><w:t xml:space="preserve">Clinton and Sir Peter Parker as early as June 1776, but this was</w:t></w:r>
</w:p>
<w:p>
<w:pPr><w:pStyle w:val="Normal"/></w:pPr>
<w:r><w:t xml:space="preserve">foiled by the spirited resistance of General William Moultrie;</w:t></w:r>
</w:p>
<w:p>
<w:pPr><w:pStyle w:val="Normal"/></w:pPr>
<w:r><w:t xml:space="preserve">after 1778 the southern attempts, stimulated in part by the</w:t></w:r>
</w:p>
<w:p>
<w:pPr><w:pStyle w:val="Normal"/></w:pPr>
<w:r><w:t xml:space="preserve">activity of the French in the West Indies, were vigorously</w:t></w:r>
</w:p>
<w:p>
<w:pPr><w:pStyle w:val="Normal"/></w:pPr>
<w:r><w:t xml:space="preserve">sustained.  On the 29th of December of this year Colonel</w:t></w:r>
</w:p>
<w:p>
<w:pPr><w:pStyle w:val="Normal"/></w:pPr>
<w:r><w:t xml:space="preserve">Archibald Campbell (1739- 1791) with an expeditionary corps of</w:t></w:r>
</w:p>
<w:p>
<w:pPr><w:pStyle w:val="Normal"/></w:pPr>
<w:r><w:t xml:space="preserve">3500 men from Clinton&apos;s army in New York, captured Savannah,</w:t></w:r>
</w:p>
<w:p>
<w:pPr><w:pStyle w:val="Normal"/></w:pPr>
<w:r><w:t xml:space="preserve">Georgia, defeating the American force under General Robert</w:t></w:r>
</w:p>
<w:p>
<w:pPr><w:pStyle w:val="Normal"/></w:pPr>
<w:r><w:t xml:space="preserve">Howe.  In the following month he pushed into the interior</w:t></w:r>
</w:p>
<w:p>
<w:pPr><w:pStyle w:val="Normal"/></w:pPr>
<w:r><w:t xml:space="preserve">and occupied Augusta.  General Benjamin Lincoln, succeeding</w:t></w:r>
</w:p>
<w:p>
<w:pPr><w:pStyle w:val="Normal"/></w:pPr>
<w:r><w:t xml:space="preserve">Howe, undertook to drive the British out of Georgia, but</w:t></w:r>
</w:p>
<w:p>
<w:pPr><w:pStyle w:val="Normal"/></w:pPr>
<w:r><w:t xml:space="preserve">General Augustine Prevost, who had commanded in Florida,</w:t></w:r>
</w:p>
<w:p>
<w:pPr><w:pStyle w:val="Normal"/></w:pPr>
<w:r><w:t xml:space="preserve">moved up and compelled Lincoln to retire to Charleston.</w:t></w:r>
</w:p>
<w:p>
<w:pPr><w:pStyle w:val="Normal"/></w:pPr>
<w:r><w:t xml:space="preserve">Prevost, making Savannah his headquarters, controlled</w:t></w:r>
</w:p>
<w:p>
<w:pPr><w:pStyle w:val="Normal"/></w:pPr>
<w:r><w:t xml:space="preserve">Georgia.  In September 1779 he was besieged by Lincoln in</w:t></w:r>
</w:p>
<w:p>
<w:pPr><w:pStyle w:val="Normal"/></w:pPr>
<w:r><w:t xml:space="preserve">conjunction with a French naval and military force under Admiral</w:t></w:r>
</w:p>
<w:p>
<w:pPr><w:pStyle w:val="Normal"/></w:pPr>
<w:r><w:t xml:space="preserve">d&apos;Estaing, but successfully repelled an assault (October 9), and</w:t></w:r>
</w:p>
<w:p>
<w:pPr><w:pStyle w:val="Normal"/></w:pPr>
<w:r><w:t xml:space="preserve">Lincoln again fell back to Charleston.  In this assault Count</w:t></w:r>
</w:p>
<w:p>
<w:pPr><w:pStyle w:val="Normal"/></w:pPr>
<w:r><w:t xml:space="preserve">Casimir Pulaski, on the American side, was mortally wounded.</w:t></w:r>
</w:p>
<w:p>
<w:pPr><w:pStyle w:val="Normal"/></w:pPr>
<w:r><w:t xml:space="preserve">Charleston.</w:t></w:r>
</w:p>
<w:p>
<w:pPr><w:pStyle w:val="Normal"/></w:pPr>
<w:r><w:t xml:space="preserve">The prestige thus won by the British in the south in 1779</w:t></w:r>
</w:p>
<w:p>
<w:pPr><w:pStyle w:val="Normal"/></w:pPr>
<w:r><w:t xml:space="preserve">was immensely increased in the following year, when they</w:t></w:r>
</w:p>
<w:p>
<w:pPr><w:pStyle w:val="Normal"/></w:pPr>
<w:r><w:t xml:space="preserve">victoriously swept up through South and North Carolina.</w:t></w:r>
</w:p>
<w:p>
<w:pPr><w:pStyle w:val="Normal"/></w:pPr>
<w:r><w:t xml:space="preserve">Failing, as stated, to achieve any advantage in the north in</w:t></w:r>
</w:p>
<w:p>
<w:pPr><w:pStyle w:val="Normal"/></w:pPr>
<w:r><w:t xml:space="preserve">1779, Sir Henry Clinton, under instructions from government,</w:t></w:r>
</w:p>
<w:p>
<w:pPr><w:pStyle w:val="Normal"/></w:pPr>
<w:r><w:t xml:space="preserve">himself headed a combined military and naval expedition</w:t></w:r>
</w:p>
<w:p>
<w:pPr><w:pStyle w:val="Normal"/></w:pPr>
<w:r><w:t xml:space="preserve">southward.  He evacuated Newport, R.I. (October 25), left New</w:t></w:r>
</w:p>
<w:p>
<w:pPr><w:pStyle w:val="Normal"/></w:pPr>
<w:r><w:t xml:space="preserve">York in command of the German general Wilhelm von Knyphausen,</w:t></w:r>
</w:p>
<w:p>
<w:pPr><w:pStyle w:val="Normal"/></w:pPr>
<w:r><w:t xml:space="preserve">and in December sailed with 8500 men to join Prevost at</w:t></w:r>
</w:p>
<w:p>
<w:pPr><w:pStyle w:val="Normal"/></w:pPr>
<w:r><w:t xml:space="preserve">Savannah.  Cornwallis accompanied him, and later Lord Rawdon</w:t></w:r>
</w:p>
<w:p>
<w:pPr><w:pStyle w:val="Normal"/></w:pPr>
<w:r><w:t xml:space="preserve">joined him with an additional force.  Marching upon Charleston,</w:t></w:r>
</w:p>
<w:p>
<w:pPr><w:pStyle w:val="Normal"/></w:pPr>
<w:r><w:t xml:space="preserve">Clinton cut off the city from relief, and after a brief</w:t></w:r>
</w:p>
<w:p>
<w:pPr><w:pStyle w:val="Normal"/></w:pPr>
<w:r><w:t xml:space="preserve">siege, compelled Lincoln to surrender on the 12th of May. (See</w:t></w:r>
</w:p>
<w:p>
<w:pPr><w:pStyle w:val="Normal"/></w:pPr>
<w:r><w:t xml:space="preserve">CHARLESTON.) The loss of this place and of the 3000 troops</w:t></w:r>
</w:p>
<w:p>
<w:pPr><w:pStyle w:val="Normal"/></w:pPr>
<w:r><w:t xml:space="preserve">included in the surrender was a serious blow to the American</w:t></w:r>
</w:p>
<w:p>
<w:pPr><w:pStyle w:val="Normal"/></w:pPr>
<w:r><w:t xml:space="preserve">cause.  The apparent submission of South Carolina followed.</w:t></w:r>
</w:p>
<w:p>
<w:pPr><w:pStyle w:val="Normal"/></w:pPr>
<w:r><w:t xml:space="preserve">In June Clinton returned to New York, leaving Cornwallis</w:t></w:r>
</w:p>
<w:p>
<w:pPr><w:pStyle w:val="Normal"/></w:pPr>
<w:r><w:t xml:space="preserve">in command, with instructions to reduce North Carolina</w:t></w:r>
</w:p>
<w:p>
<w:pPr><w:pStyle w:val="Normal"/></w:pPr>
<w:r><w:t xml:space="preserve">also.  Meanwhile an active and bitter partisan warfare</w:t></w:r>
</w:p>
<w:p>
<w:pPr><w:pStyle w:val="Normal"/></w:pPr>
<w:r><w:t xml:space="preserve">opened.  The British advance had been marked by more than</w:t></w:r>
</w:p>
<w:p>
<w:pPr><w:pStyle w:val="Normal"/></w:pPr>
<w:r><w:t xml:space="preserve">the usual destruction of war; the Loyalists rose to arms;</w:t></w:r>
</w:p>
<w:p>
<w:pPr><w:pStyle w:val="Normal"/></w:pPr>
<w:r><w:t xml:space="preserve">the whig population scattered and without much organization</w:t></w:r>
</w:p>
<w:p>
<w:pPr><w:pStyle w:val="Normal"/></w:pPr>
<w:r><w:t xml:space="preserve">formed groups of riflemen and mounted troopers to harass the</w:t></w:r>
</w:p>
<w:p>
<w:pPr><w:pStyle w:val="Normal"/></w:pPr>
<w:r><w:t xml:space="preserve">enemy.  Little mercy was shown on either side.  The dashing</w:t></w:r>
</w:p>
<w:p>
<w:pPr><w:pStyle w:val="Normal"/></w:pPr>
<w:r><w:t xml:space="preserve">rider, Colonel Banastre Tarleton, cut to pieces (April</w:t></w:r>
</w:p>
<w:p>
<w:pPr><w:pStyle w:val="Normal"/></w:pPr>
<w:r><w:t xml:space="preserve">14, 1780) a detachment of Lincoln&apos;s cavalry, and followed</w:t></w:r>
</w:p>
<w:p>
<w:pPr><w:pStyle w:val="Normal"/></w:pPr>
<w:r><w:t xml:space="preserve">it up by practically destroying Buford&apos;s Virginia regiment</w:t></w:r>
</w:p>
<w:p>
<w:pPr><w:pStyle w:val="Normal"/></w:pPr>
<w:r><w:t xml:space="preserve">near the North Carolina border.  On the other hand, daring</w:t></w:r>
</w:p>
<w:p>
<w:pPr><w:pStyle w:val="Normal"/></w:pPr>
<w:r><w:t xml:space="preserve">and skilful leaders such as Francis Marion and Thomas</w:t></w:r>
</w:p>
<w:p>
<w:pPr><w:pStyle w:val="Normal"/></w:pPr>
<w:r><w:t xml:space="preserve">Sumter kept the spirit of resistance alive by their sudden</w:t></w:r>
</w:p>
<w:p>
<w:pPr><w:pStyle w:val="Normal"/></w:pPr>
<w:r><w:t xml:space="preserve">attacks and surprises of British outposts.  Hanging Rock,</w:t></w:r>
</w:p>
<w:p>
<w:pPr><w:pStyle w:val="Normal"/></w:pPr>
<w:r><w:t xml:space="preserve">Ninety-Six, Rocky Mount and other affairs brought their</w:t></w:r>
</w:p>
<w:p>
<w:pPr><w:pStyle w:val="Normal"/></w:pPr>
<w:r><w:t xml:space="preserve">prowess and devotion into notice.  By the month of August</w:t></w:r>
</w:p>
<w:p>
<w:pPr><w:pStyle w:val="Normal"/></w:pPr>
<w:r><w:t xml:space="preserve">1780, with the main British force encamped near the North</w:t></w:r>
</w:p>
<w:p>
<w:pPr><w:pStyle w:val="Normal"/></w:pPr>
<w:r><w:t xml:space="preserve">Carolina line, the field seemed clear for the next advance.</w:t></w:r>
</w:p>
<w:p>
<w:pPr><w:pStyle w:val="Normal"/></w:pPr>
<w:r><w:t xml:space="preserve">Camden.</w:t></w:r>
</w:p>
<w:p>
<w:pPr><w:pStyle w:val="Normal"/></w:pPr>
<w:r><w:t xml:space="preserve">The threatening situation in the Carolinas alarmed Congress and</w:t></w:r>
</w:p>
<w:p>
<w:pPr><w:pStyle w:val="Normal"/></w:pPr>
<w:r><w:t xml:space="preserve">Washington and measures were taken to protect the distressed</w:t></w:r>
</w:p>
<w:p>
<w:pPr><w:pStyle w:val="Normal"/></w:pPr>
<w:r><w:t xml:space="preserve">section.  Before Cornwallis could be brought to bay he was</w:t></w:r>
</w:p>
<w:p>
<w:pPr><w:pStyle w:val="Normal"/></w:pPr>
<w:r><w:t xml:space="preserve">faced successively by four antagonists--Generals Gates,</w:t></w:r>
</w:p>
<w:p>
<w:pPr><w:pStyle w:val="Normal"/></w:pPr>
<w:r><w:t xml:space="preserve">Greene, Lafayette and Washington.  They found in him the most</w:t></w:r>
</w:p>
<w:p>
<w:pPr><w:pStyle w:val="Normal"/></w:pPr>
<w:r><w:t xml:space="preserve">capable and dangerous opponent of the war.  Greene called</w:t></w:r>
</w:p>
<w:p>
<w:pPr><w:pStyle w:val="Normal"/></w:pPr>
<w:r><w:t xml:space="preserve">him &quot;the modern Hannibal.&quot; With Lincoln&apos;s surrender of nearly</w:t></w:r>
</w:p>
<w:p>
<w:pPr><w:pStyle w:val="Normal"/></w:pPr>
<w:r><w:t xml:space="preserve">all the continental soldiers in the south, a new force had to</w:t></w:r>
</w:p>
<w:p>
<w:pPr><w:pStyle w:val="Normal"/></w:pPr>
<w:r><w:t xml:space="preserve">be supplied to meet the British veterans.  Two thousand men,</w:t></w:r>
</w:p>
<w:p>
<w:pPr><w:pStyle w:val="Normal"/></w:pPr>
<w:r><w:t xml:space="preserve">mainly the Maryland line, were hurried down from Washington&apos;s</w:t></w:r>
</w:p>
<w:p>
<w:pPr><w:pStyle w:val="Normal"/></w:pPr>
<w:r><w:t xml:space="preserve">camp under Johann de Kalb; Virginia and North Carolina put</w:t></w:r>
</w:p>
<w:p>
<w:pPr><w:pStyle w:val="Normal"/></w:pPr>
<w:r><w:t xml:space="preserve">new men into the field, and the entire force was placed under</w:t></w:r>
</w:p>
<w:p>
<w:pPr><w:pStyle w:val="Normal"/></w:pPr>
<w:r><w:t xml:space="preserve">command of General Gates.  Gates marched towards Camden, S.C.,</w:t></w:r>
</w:p>
<w:p>
<w:pPr><w:pStyle w:val="Normal"/></w:pPr>
<w:r><w:t xml:space="preserve">and on the 16th of August encountered Cornwallis near that</w:t></w:r>
</w:p>
<w:p>
<w:pPr><w:pStyle w:val="Normal"/></w:pPr>
<w:r><w:t xml:space="preserve">place.  Each army by a night march attempted a surprise of the</w:t></w:r>
</w:p>
<w:p>
<w:pPr><w:pStyle w:val="Normal"/></w:pPr>
<w:r><w:t xml:space="preserve">other, but the British tactics prevailed, and Gates was utterly</w:t></w:r>
</w:p>
<w:p>
<w:pPr><w:pStyle w:val="Normal"/></w:pPr>
<w:r><w:t xml:space="preserve">routed.  The reputation he had won at Saratoga was ruined on</w:t></w:r>
</w:p>
<w:p>
<w:pPr><w:pStyle w:val="Normal"/></w:pPr>
<w:r><w:t xml:space="preserve">the occasion by over-confidence and incompetence.  De Kalb</w:t></w:r>
</w:p>
<w:p>
<w:pPr><w:pStyle w:val="Normal"/></w:pPr>
<w:r><w:t xml:space="preserve">was killed in the action.  General Greene, standing next</w:t></w:r>
</w:p>
<w:p>
<w:pPr><w:pStyle w:val="Normal"/></w:pPr>
<w:r><w:t xml:space="preserve">to Washington as the ablest and most trusted officer of the</w:t></w:r>
</w:p>
<w:p>
<w:pPr><w:pStyle w:val="Normal"/></w:pPr>
<w:r><w:t xml:space="preserve">Revolution, succeeded Gates.  Cornwallis marched leisurely</w:t></w:r>
</w:p>
<w:p>
<w:pPr><w:pStyle w:val="Normal"/></w:pPr>
<w:r><w:t xml:space="preserve">into North Carolina, but before meeting Greene some months</w:t></w:r>
</w:p>
<w:p>
<w:pPr><w:pStyle w:val="Normal"/></w:pPr>
<w:r><w:t xml:space="preserve">later he suffered the loss of two detachments sent at intervals</w:t></w:r>
</w:p>
<w:p>
<w:pPr><w:pStyle w:val="Normal"/></w:pPr>
<w:r><w:t xml:space="preserve">to disperse various partisan corps of the Americans.  On the</w:t></w:r>
</w:p>
<w:p>
<w:pPr><w:pStyle w:val="Normal"/></w:pPr>
<w:r><w:t xml:space="preserve">7th of October 1780 a force of 1100 men under Major Patrick</w:t></w:r>
</w:p>
<w:p>
<w:pPr><w:pStyle w:val="Normal"/></w:pPr>
<w:r><w:t xml:space="preserve">Ferguson was surrounded at King&apos;s Mountain, S.C., near the</w:t></w:r>
</w:p>
<w:p>
<w:pPr><w:pStyle w:val="Normal"/></w:pPr>
<w:r><w:t xml:space="preserve">North Carolina line, by bands of riflemen under Colonels</w:t></w:r>
</w:p>
<w:p>
<w:pPr><w:pStyle w:val="Normal"/></w:pPr>
<w:r><w:t xml:space="preserve">Isaac Shelby, James Williams, William Campbell and others,</w:t></w:r>
</w:p>
<w:p>
<w:pPr><w:pStyle w:val="Normal"/></w:pPr>
<w:r><w:t xml:space="preserve">and after a desperate fight on the wooded and rocky slopes,</w:t></w:r>
</w:p>
<w:p>
<w:pPr><w:pStyle w:val="Normal"/></w:pPr>
<w:r><w:t xml:space="preserve">surrendered.  Ferguson himself was killed.  On the 17th of</w:t></w:r>
</w:p>
<w:p>
<w:pPr><w:pStyle w:val="Normal"/></w:pPr>
<w:r><w:t xml:space="preserve">January 1781 General Daniel Morgan was attacked at Cowpens,</w:t></w:r>
</w:p>
<w:p>
<w:pPr><w:pStyle w:val="Normal"/></w:pPr>
<w:r><w:t xml:space="preserve">south-west of King&apos;s Mountain, by Colonel Tarleton with his</w:t></w:r>
</w:p>
<w:p>
<w:pPr><w:pStyle w:val="Normal"/></w:pPr>
<w:r><w:t xml:space="preserve">legion.  Both were leaders of repute, and a most stirring</w:t></w:r>
</w:p>
<w:p>
<w:pPr><w:pStyle w:val="Normal"/></w:pPr>
<w:r><w:t xml:space="preserve">action occurred in which Morgan, with Colonel William</w:t></w:r>
</w:p>
<w:p>
<w:pPr><w:pStyle w:val="Normal"/></w:pPr>
<w:r><w:t xml:space="preserve">Washington leading his cavalry, practically destroyed Tarleton&apos;s</w:t></w:r>
</w:p>
<w:p>
<w:pPr><w:pStyle w:val="Normal"/></w:pPr>
<w:r><w:t xml:space="preserve">corps.  Despite the weakening his army suffered by these</w:t></w:r>
</w:p>
<w:p>
<w:pPr><w:pStyle w:val="Normal"/></w:pPr>
<w:r><w:t xml:space="preserve">losses, Cornwallis marched rapidly through North Carolina,</w:t></w:r>
</w:p>
<w:p>
<w:pPr><w:pStyle w:val="Normal"/></w:pPr>
<w:r><w:t xml:space="preserve">giving Greene a hard chase nearly to the Virginia line.</w:t></w:r>
</w:p>
<w:p>
<w:pPr><w:pStyle w:val="Normal"/></w:pPr>
<w:r><w:t xml:space="preserve">Guilford Court House.</w:t></w:r>
</w:p>
<w:p>
<w:pPr><w:pStyle w:val="Normal"/></w:pPr>
<w:r><w:t xml:space="preserve">On the 15th of March the two armies met at Guilford Court</w:t></w:r>
</w:p>
<w:p>
<w:pPr><w:pStyle w:val="Normal"/></w:pPr>
<w:r><w:t xml:space="preserve">House (near the present Greensboro, N.C.), and a virtually</w:t></w:r>
</w:p>
<w:p>
<w:pPr><w:pStyle w:val="Normal"/></w:pPr>
<w:r><w:t xml:space="preserve">drawn battle was fought.  The British, by holding their ground</w:t></w:r>
</w:p>
<w:p>
<w:pPr><w:pStyle w:val="Normal"/></w:pPr>
<w:r><w:t xml:space="preserve">with their accustomed tenacity when engaged with superior</w:t></w:r>
</w:p>
<w:p>
<w:pPr><w:pStyle w:val="Normal"/></w:pPr>
<w:r><w:t xml:space="preserve">numbers, were tactically victors, but were further weakened by</w:t></w:r>
</w:p>
<w:p>
<w:pPr><w:pStyle w:val="Normal"/></w:pPr>
<w:r><w:t xml:space="preserve">a loss of nearly 600 men.  Greene, cautiously avoiding another</w:t></w:r>
</w:p>
<w:p>
<w:pPr><w:pStyle w:val="Normal"/></w:pPr>
<w:r><w:t xml:space="preserve">Camden, retreated with his forces intact.  With his small</w:t></w:r>
</w:p>
<w:p>
<w:pPr><w:pStyle w:val="Normal"/></w:pPr>
<w:r><w:t xml:space="preserve">army, less than 2000 strong, Cornwallis declined to follow</w:t></w:r>
</w:p>
<w:p>
<w:pPr><w:pStyle w:val="Normal"/></w:pPr>
<w:r><w:t xml:space="preserve">Greene into the back country, and retiring to Hillsborough,</w:t></w:r>
</w:p>
<w:p>
<w:pPr><w:pStyle w:val="Normal"/></w:pPr>
<w:r><w:t xml:space="preserve">N.C., raised the royal standard, offered protection to the</w:t></w:r>
</w:p>
<w:p>
<w:pPr><w:pStyle w:val="Normal"/></w:pPr>
<w:r><w:t xml:space="preserve">inhabitants, and for the moment appeared to be master of</w:t></w:r>
</w:p>
<w:p>
<w:pPr><w:pStyle w:val="Normal"/></w:pPr>
<w:r><w:t xml:space="preserve">Georgia and the two Carolinas.  In a few weeks, however, he</w:t></w:r>
</w:p>
<w:p>
<w:pPr><w:pStyle w:val="Normal"/></w:pPr>
<w:r><w:t xml:space="preserve">abandoned the heart of the state and marched to the coast</w:t></w:r>
</w:p>
<w:p>
<w:pPr><w:pStyle w:val="Normal"/></w:pPr>
<w:r><w:t xml:space="preserve">at Wilmington, N.C., to recruit and refit his command.</w:t></w:r>
</w:p>
<w:p>
<w:pPr><w:pStyle w:val="Normal"/></w:pPr>
<w:r><w:t xml:space="preserve">At Wilmington the British general faced a serious problem,</w:t></w:r>
</w:p>
<w:p>
<w:pPr><w:pStyle w:val="Normal"/></w:pPr>
<w:r><w:t xml:space="preserve">the solution of which upon his own responsibility unexpectedly</w:t></w:r>
</w:p>
<w:p>
<w:pPr><w:pStyle w:val="Normal"/></w:pPr>
<w:r><w:t xml:space="preserve">led to the close of the war within seven months.  Instead of</w:t></w:r>
</w:p>
<w:p>
<w:pPr><w:pStyle w:val="Normal"/></w:pPr>
<w:r><w:t xml:space="preserve">remaining in Carolina he determined to march into Virginia,</w:t></w:r>
</w:p>
<w:p>
<w:pPr><w:pStyle w:val="Normal"/></w:pPr>
<w:r><w:t xml:space="preserve">justifying the move on the ground that until Virginia was reduced</w:t></w:r>
</w:p>
<w:p>
<w:pPr><w:pStyle w:val="Normal"/></w:pPr>
<w:r><w:t xml:space="preserve">he could not firmly hold the more southern states he had just</w:t></w:r>
</w:p>
<w:p>
<w:pPr><w:pStyle w:val="Normal"/></w:pPr>
<w:r><w:t xml:space="preserve">overrun.  This decision was subsequently sharply criticized</w:t></w:r>
</w:p>
<w:p>
<w:pPr><w:pStyle w:val="Normal"/></w:pPr>
<w:r><w:t xml:space="preserve">by Clinton as unmilitary, and as having been made contrary</w:t></w:r>
</w:p>
<w:p>
<w:pPr><w:pStyle w:val="Normal"/></w:pPr>
<w:r><w:t xml:space="preserve">to his instructions.  To Cornwallis he wrote in May: &quot;Had</w:t></w:r>
</w:p>
<w:p>
<w:pPr><w:pStyle w:val="Normal"/></w:pPr>
<w:r><w:t xml:space="preserve">you intimated the probability of your intention, I should</w:t></w:r>
</w:p>
<w:p>
<w:pPr><w:pStyle w:val="Normal"/></w:pPr>
<w:r><w:t xml:space="preserve">certainly have endeavoured to stop you, as I did then as</w:t></w:r>
</w:p>
<w:p>
<w:pPr><w:pStyle w:val="Normal"/></w:pPr>
<w:r><w:t xml:space="preserve">well as now consider such a move likely to be dangerous to</w:t></w:r>
</w:p>
<w:p>
<w:pPr><w:pStyle w:val="Normal"/></w:pPr>
<w:r><w:t xml:space="preserve">our interests in the Southern Colonies.&quot; The danger lay in</w:t></w:r>
</w:p>
<w:p>
<w:pPr><w:pStyle w:val="Normal"/></w:pPr>
<w:r><w:t xml:space="preserve">the suddenly changed situation in that direction; as General</w:t></w:r>
</w:p>
<w:p>
<w:pPr><w:pStyle w:val="Normal"/></w:pPr>
<w:r><w:t xml:space="preserve">Greene, instead of following Cornwallis to the coast, boldly</w:t></w:r>
</w:p>
<w:p>
<w:pPr><w:pStyle w:val="Normal"/></w:pPr>
<w:r><w:t xml:space="preserve">pushed down towards Camden and Charleston, S.C., with a</w:t></w:r>
</w:p>
<w:p>
<w:pPr><w:pStyle w:val="Normal"/></w:pPr>
<w:r><w:t xml:space="preserve">view to drawing his antagonist after him to the points where</w:t></w:r>
</w:p>
<w:p>
<w:pPr><w:pStyle w:val="Normal"/></w:pPr>
<w:r><w:t xml:space="preserve">he was the year before, as well as to driving back Lord</w:t></w:r>
</w:p>
<w:p>
<w:pPr><w:pStyle w:val="Normal"/></w:pPr>
<w:r><w:t xml:space="preserve">Rawdon, whom Cornwallis had left in that field.  In his main</w:t></w:r>
</w:p>
<w:p>
<w:pPr><w:pStyle w:val="Normal"/></w:pPr>
<w:r><w:t xml:space="preserve">object, the recovery of the southern states, Greene succeeded</w:t></w:r>
</w:p>
<w:p>
<w:pPr><w:pStyle w:val="Normal"/></w:pPr>
<w:r><w:t xml:space="preserve">by the close of the year; but not without hard fighting and</w:t></w:r>
</w:p>
<w:p>
<w:pPr><w:pStyle w:val="Normal"/></w:pPr>
<w:r><w:t xml:space="preserve">repeated reverses. &quot;We fight, get beaten, and fight again,&quot;</w:t></w:r>
</w:p>
<w:p>
<w:pPr><w:pStyle w:val="Normal"/></w:pPr>
<w:r><w:t xml:space="preserve">were his words.  On the 25th of April 1781 he was surprised</w:t></w:r>
</w:p>
<w:p>
<w:pPr><w:pStyle w:val="Normal"/></w:pPr>
<w:r><w:t xml:space="preserve">in his camp at Hobkirk&apos;s Hill, near Camden, by Lord Rawdon</w:t></w:r>
</w:p>
<w:p>
<w:pPr><w:pStyle w:val="Normal"/></w:pPr>
<w:r><w:t xml:space="preserve">and defeated, both sides suffering about an equal loss.</w:t></w:r>
</w:p>
<w:p>
<w:pPr><w:pStyle w:val="Normal"/></w:pPr>
<w:r><w:t xml:space="preserve">Eutaw Springs.</w:t></w:r>
</w:p>
<w:p>
<w:pPr><w:pStyle w:val="Normal"/></w:pPr>
<w:r><w:t xml:space="preserve">On the 22nd of May he attempted to storm the strong British</w:t></w:r>
</w:p>
<w:p>
<w:pPr><w:pStyle w:val="Normal"/></w:pPr>
<w:r><w:t xml:space="preserve">post at Ninety-Six but was repulsed; and finally on the 8th</w:t></w:r>
</w:p>
<w:p>
<w:pPr><w:pStyle w:val="Normal"/></w:pPr>
<w:r><w:t xml:space="preserve">of September he fought the last battle of the war in the</w:t></w:r>
</w:p>
<w:p>
<w:pPr><w:pStyle w:val="Normal"/></w:pPr>
<w:r><w:t xml:space="preserve">lower southern states at Eutaw Springs, S.C. In the first</w:t></w:r>
</w:p>
<w:p>
<w:pPr><w:pStyle w:val="Heading1"/></w:pPr>
<w:r><w:t>part of the action Greene was successful after a desperate</w:t></w:r>
</w:p>
<w:p>
<w:pPr><w:pStyle w:val="Normal"/></w:pPr>
<w:r><w:t xml:space="preserve">conflict; in the pursuit, however, the Americans failed to</w:t></w:r>
</w:p>
<w:p>
<w:pPr><w:pStyle w:val="Normal"/></w:pPr>
<w:r><w:t xml:space="preserve">dislodge the British from a stone house which they held,</w:t></w:r>
</w:p>
<w:p>
<w:pPr><w:pStyle w:val="Normal"/></w:pPr>
<w:r><w:t xml:space="preserve">and their severe loss in both engagements was over 500</w:t></w:r>
</w:p>
<w:p>
<w:pPr><w:pStyle w:val="Normal"/></w:pPr>
<w:r><w:t xml:space="preserve">men.  The British lost about 1000, one-half of whom were</w:t></w:r>
</w:p>
<w:p>
<w:pPr><w:pStyle w:val="Normal"/></w:pPr>
<w:r><w:t xml:space="preserve">prisoners.  Better success attended the American partisan</w:t></w:r>
</w:p>
<w:p>
<w:pPr><w:pStyle w:val="Normal"/></w:pPr>
<w:r><w:t xml:space="preserve">operations directed by Greene and conducted by Marion,</w:t></w:r>
</w:p>
<w:p>
<w:pPr><w:pStyle w:val="Normal"/></w:pPr>
<w:r><w:t xml:space="preserve">Sumter, Andrew Pickens, Henry Lee and William Washington.</w:t></w:r>
</w:p>
<w:p>
<w:pPr><w:pStyle w:val="Normal"/></w:pPr>
<w:r><w:t xml:space="preserve">They fell upon isolated British posts established to protect</w:t></w:r>
</w:p>
<w:p>
<w:pPr><w:pStyle w:val="Normal"/></w:pPr>
<w:r><w:t xml:space="preserve">the Loyalist population, and generally captured or broke them</w:t></w:r>
</w:p>
<w:p>
<w:pPr><w:pStyle w:val="Normal"/></w:pPr>
<w:r><w:t xml:space="preserve">up.  Rawdon found himself unable with his diminishing</w:t></w:r>
</w:p>
<w:p>
<w:pPr><w:pStyle w:val="Normal"/></w:pPr>
<w:r><w:t xml:space="preserve">force to cover the country beyond Charleston; and he fell</w:t></w:r>
</w:p>
<w:p>
<w:pPr><w:pStyle w:val="Normal"/></w:pPr>
<w:r><w:t xml:space="preserve">back to that place, leaving the situation in the south as</w:t></w:r>
</w:p>
<w:p>
<w:pPr><w:pStyle w:val="Normal"/></w:pPr>
<w:r><w:t xml:space="preserve">it had been in the early part of 1780.  On the American</w:t></w:r>
</w:p>
<w:p>
<w:pPr><w:pStyle w:val="Normal"/></w:pPr>
<w:r><w:t xml:space="preserve">side, Greene was hailed as the deliverer of that section.</w:t></w:r>
</w:p>
<w:p>
<w:pPr><w:pStyle w:val="Normal"/></w:pPr>
<w:r><w:t xml:space="preserve">Virginia campaign.</w:t></w:r>
</w:p>
<w:p>
<w:pPr><w:pStyle w:val="Normal"/></w:pPr>
<w:r><w:t xml:space="preserve">Cornwallis, meantime, pursued his Virginia project.  Leaving</w:t></w:r>
</w:p>
<w:p>
<w:pPr><w:pStyle w:val="Normal"/></w:pPr>
<w:r><w:t xml:space="preserve">Wilmington, N.C., on the 25th of April 1781, he reached</w:t></w:r>
</w:p>
<w:p>
<w:pPr><w:pStyle w:val="Normal"/></w:pPr>
<w:r><w:t xml:space="preserve">Petersburg on the 20th of May. There he found British</w:t></w:r>
</w:p>
<w:p>
<w:pPr><w:pStyle w:val="Normal"/></w:pPr>
<w:r><w:t xml:space="preserve">detachments, 2000 strong, composed of troops whom Clinton</w:t></w:r>
</w:p>
<w:p>
<w:pPr><w:pStyle w:val="Normal"/></w:pPr>
<w:r><w:t xml:space="preserve">had sent down separately under Generals Benedict Arnold and</w:t></w:r>
</w:p>
<w:p>
<w:pPr><w:pStyle w:val="Normal"/></w:pPr>
<w:r><w:t xml:space="preserve">William Phillips to establish a base in the Chesapeake, as</w:t></w:r>
</w:p>
<w:p>
<w:pPr><w:pStyle w:val="Normal"/></w:pPr>
<w:r><w:t xml:space="preserve">a diversion in favour of the operations of Cornwallis in the</w:t></w:r>
</w:p>
<w:p>
<w:pPr><w:pStyle w:val="Normal"/></w:pPr>
<w:r><w:t xml:space="preserve">Carolinas.  Virginia at the moment presented a clear field</w:t></w:r>
</w:p>
<w:p>
<w:pPr><w:pStyle w:val="Normal"/></w:pPr>
<w:r><w:t xml:space="preserve">to the British, and they overran the state as far north as</w:t></w:r>
</w:p>
<w:p>
<w:pPr><w:pStyle w:val="Normal"/></w:pPr>
<w:r><w:t xml:space="preserve">Fredericksburg and west to Charlottesville.  At the latter</w:t></w:r>
</w:p>
<w:p>
<w:pPr><w:pStyle w:val="Normal"/></w:pPr>
<w:r><w:t xml:space="preserve">place Jefferson, governor of the state, barely escaped</w:t></w:r>
</w:p>
<w:p>
<w:pPr><w:pStyle w:val="Normal"/></w:pPr>
<w:r><w:t xml:space="preserve">capture by Tarleton&apos;s men.  A small American force under</w:t></w:r>
</w:p>
<w:p>
<w:pPr><w:pStyle w:val="Normal"/></w:pPr>
<w:r><w:t xml:space="preserve">Lafayette, whom Wayne reinforced during the summer, partially</w:t></w:r>
</w:p>
<w:p>
<w:pPr><w:pStyle w:val="Normal"/></w:pPr>
<w:r><w:t xml:space="preserve">checked the enemy.  At Green Spring, near Jamestown Island,</w:t></w:r>
</w:p>
<w:p>
<w:pPr><w:pStyle w:val="Normal"/></w:pPr>
<w:r><w:t xml:space="preserve">Lafayette boldly attacked his antagonist on the 6th of</w:t></w:r>
</w:p>
<w:p>
<w:pPr><w:pStyle w:val="Normal"/></w:pPr>
<w:r><w:t xml:space="preserve">July, but had to save himself by a hasty retreat.  Early</w:t></w:r>
</w:p>
<w:p>
<w:pPr><w:pStyle w:val="Normal"/></w:pPr>
<w:r><w:t xml:space="preserve">in August Cornwallis retired to Yorktown to rest and await</w:t></w:r>
</w:p>
<w:p>
<w:pPr><w:pStyle w:val="Normal"/></w:pPr>
<w:r><w:t xml:space="preserve">developments.  There he fortified himself, and remained until</w:t></w:r>
</w:p>
<w:p>
<w:pPr><w:pStyle w:val="Normal"/></w:pPr>
<w:r><w:t xml:space="preserve">the American-French military and naval combination, referred to</w:t></w:r>
</w:p>
<w:p>
<w:pPr><w:pStyle w:val="Normal"/></w:pPr>
<w:r><w:t xml:space="preserve">above, appeared and compelled his surrender. (See YORKTOWN.)</w:t></w:r>
</w:p>
<w:p>
<w:pPr><w:pStyle w:val="Normal"/></w:pPr>
<w:r><w:t xml:space="preserve">With this event war operations ceased.  Preliminary articles</w:t></w:r>
</w:p>
<w:p>
<w:pPr><w:pStyle w:val="Normal"/></w:pPr>
<w:r><w:t xml:space="preserve">of peace, signed on the 30th of November 1782, were followed</w:t></w:r>
</w:p>
<w:p>
<w:pPr><w:pStyle w:val="Normal"/></w:pPr>
<w:r><w:t xml:space="preserve">by a definitive treaty concluded on the 3rd of September</w:t></w:r>
</w:p>
<w:p>
<w:pPr><w:pStyle w:val="Normal"/></w:pPr>
<w:r><w:t xml:space="preserve">1783.  Charleston, S.C., was evacuated late in 1782; New</w:t></w:r>
</w:p>
<w:p>
<w:pPr><w:pStyle w:val="Normal"/></w:pPr>
<w:r><w:t xml:space="preserve">York on the 25th of November 1783.  The reasons of Great</w:t></w:r>
</w:p>
<w:p>
<w:pPr><w:pStyle w:val="Normal"/></w:pPr>
<w:r><w:t xml:space="preserve">Britain&apos;s misfortunes and failure may be summarized as</w:t></w:r>
</w:p>
<w:p>
<w:pPr><w:pStyle w:val="Normal"/></w:pPr>
<w:r><w:t xml:space="preserve">follows:--Misconception by the home government of the</w:t></w:r>
</w:p>
<w:p>
<w:pPr><w:pStyle w:val="Normal"/></w:pPr>
<w:r><w:t xml:space="preserve">temper and reserve strength of her colonists, a population</w:t></w:r>
</w:p>
<w:p>
<w:pPr><w:pStyle w:val="Normal"/></w:pPr>
<w:r><w:t xml:space="preserve">mainly of good English blood and instincts; disbelief at the</w:t></w:r>
</w:p>
<w:p>
<w:pPr><w:pStyle w:val="Normal"/></w:pPr>
<w:r><w:t xml:space="preserve">outset in the probability of a protracted struggle covering</w:t></w:r>
</w:p>
<w:p>
<w:pPr><w:pStyle w:val="Normal"/></w:pPr>
<w:r><w:t xml:space="preserve">the immense territory in America; consequent failure to</w:t></w:r>
</w:p>
<w:p>
<w:pPr><w:pStyle w:val="Normal"/></w:pPr>
<w:r><w:t xml:space="preserve">despatch sufficient forces to the field; the safe and Fabian</w:t></w:r>
</w:p>
<w:p>
<w:pPr><w:pStyle w:val="Normal"/></w:pPr>
<w:r><w:t xml:space="preserve">generalship of Washington; and finally, the French alliance</w:t></w:r>
</w:p>
<w:p>
<w:pPr><w:pStyle w:val="Normal"/></w:pPr>
<w:r><w:t xml:space="preserve">and European combinations by which at the close of the</w:t></w:r>
</w:p>
<w:p>
<w:pPr><w:pStyle w:val="Normal"/></w:pPr>
<w:r><w:t xml:space="preserve">conflict England was without a friend or ally on the continent.</w:t></w:r>
</w:p>
<w:p>
<w:pPr><w:pStyle w:val="Normal"/></w:pPr>
<w:r><w:t xml:space="preserve">BIBLIOGRAPHY.  The most exhaustive reference work for</w:t></w:r>
</w:p>
<w:p>
<w:pPr><w:pStyle w:val="Normal"/></w:pPr>
<w:r><w:t xml:space="preserve">this period is vol. vi. of Winsor&apos;s Narrative and Critical</w:t></w:r>
</w:p>
<w:p>
<w:pPr><w:pStyle w:val="Normal"/></w:pPr>
<w:r><w:t xml:space="preserve">History of America (Boston, 1887).  Its nine chapters,</w:t></w:r>
</w:p>
<w:p>
<w:pPr><w:pStyle w:val="Normal"/></w:pPr>
<w:r><w:t xml:space="preserve">prepared by different writers, give a complete review of the</w:t></w:r>
</w:p>
<w:p>
<w:pPr><w:pStyle w:val="Normal"/></w:pPr>
<w:r><w:t xml:space="preserve">struggle, both military and naval, and each closes with</w:t></w:r>
</w:p>
<w:p>
<w:pPr><w:pStyle w:val="Normal"/></w:pPr>
<w:r><w:t xml:space="preserve">numerous illustrative notes, editorial criticisms and a full</w:t></w:r>
</w:p>
<w:p>
<w:pPr><w:pStyle w:val="Normal"/></w:pPr>
<w:r><w:t xml:space="preserve">list of authorities.  The volume is interspersed, far more</w:t></w:r>
</w:p>
<w:p>
<w:pPr><w:pStyle w:val="Normal"/></w:pPr>
<w:r><w:t xml:space="preserve">extensively and richly than any other treatise on the war,</w:t></w:r>
</w:p>
<w:p>
<w:pPr><w:pStyle w:val="Normal"/></w:pPr>
<w:r><w:t xml:space="preserve">with reproductions of contemporary plans, maps, documents,</w:t></w:r>
</w:p>
<w:p>
<w:pPr><w:pStyle w:val="Normal"/></w:pPr>
<w:r><w:t xml:space="preserve">portraits and prints.  Supplementing Winsor and bringing</w:t></w:r>
</w:p>
<w:p>
<w:pPr><w:pStyle w:val="Normal"/></w:pPr>
<w:r><w:t xml:space="preserve">the material down to recent date is Prof.  C. H. Van Tyne&apos;s</w:t></w:r>
</w:p>
<w:p>
<w:pPr><w:pStyle w:val="Normal"/></w:pPr>
<w:r><w:t xml:space="preserve">American Revolution (Harper&apos;s &quot;Am. Nation&quot; Series, New</w:t></w:r>
</w:p>
<w:p>
<w:pPr><w:pStyle w:val="Normal"/></w:pPr>
<w:r><w:t xml:space="preserve">York, 1905), chap. xviii., on bibliographical aids and</w:t></w:r>
</w:p>
<w:p>
<w:pPr><w:pStyle w:val="Normal"/></w:pPr>
<w:r><w:t xml:space="preserve">authorities.  General histories of the war are mainly of</w:t></w:r>
</w:p>
<w:p>
<w:pPr><w:pStyle w:val="Normal"/></w:pPr>
<w:r><w:t xml:space="preserve">American authorship, such as: George Bancroft&apos;s History of</w:t></w:r>
</w:p>
<w:p>
<w:pPr><w:pStyle w:val="Normal"/></w:pPr>
<w:r><w:t xml:space="preserve">the United States (Boston, 1883-1885) which, in spite of minor</w:t></w:r>
</w:p>
<w:p>
<w:pPr><w:pStyle w:val="Normal"/></w:pPr>
<w:r><w:t xml:space="preserve">errors of fact and judgment, will remain standard; J. Fiske&apos;s</w:t></w:r>
</w:p>
<w:p>
<w:pPr><w:pStyle w:val="Normal"/></w:pPr>
<w:r><w:t xml:space="preserve">American Revolution (2 vols., Boston, 1891); Carrington&apos;s</w:t></w:r>
</w:p>
<w:p>
<w:pPr><w:pStyle w:val="Normal"/></w:pPr>
<w:r><w:t xml:space="preserve">Battles of the American Revolution (New York, 1876) is a</w:t></w:r>
</w:p>
<w:p>
<w:pPr><w:pStyle w:val="Normal"/></w:pPr>
<w:r><w:t xml:space="preserve">critical study by a military officer; L. J. Lossing&apos;s Pictorial</w:t></w:r>
</w:p>
<w:p>
<w:pPr><w:pStyle w:val="Normal"/></w:pPr>
<w:r><w:t xml:space="preserve">Field Book of the Revolution (2 vols., New York, 1850-1859),</w:t></w:r>
</w:p>
<w:p>
<w:pPr><w:pStyle w:val="Normal"/></w:pPr>
<w:r><w:t xml:space="preserve">not always accurate, but preserves local traditions and</w:t></w:r>
</w:p>
<w:p>
<w:pPr><w:pStyle w:val="Normal"/></w:pPr>
<w:r><w:t xml:space="preserve">details.  Monographs on single events or campaigns abound:</w:t></w:r>
</w:p>
<w:p>
<w:pPr><w:pStyle w:val="Normal"/></w:pPr>
<w:r><w:t xml:space="preserve">Dawson&apos;s papers on Ticonderoga, &quot;Storming of Stony Point,&quot;</w:t></w:r>
</w:p>
<w:p>
<w:pPr><w:pStyle w:val="Normal"/></w:pPr>
<w:r><w:t xml:space="preserve">&amp;c. (New York, 1866-); Johnston&apos;s &quot;Campaign of 1776 around</w:t></w:r>
</w:p>
<w:p>
<w:pPr><w:pStyle w:val="Normal"/></w:pPr>
<w:r><w:t xml:space="preserve">New York&quot; (L. I. Hist.  Soc., 1877), &quot;Yorktown Campaign&quot; New</w:t></w:r>
</w:p>
<w:p>
<w:pPr><w:pStyle w:val="Normal"/></w:pPr>
<w:r><w:t xml:space="preserve">York, 1881), &amp;c.; Sargent&apos;s Life of Major John Andre</w:t></w:r>
</w:p>
<w:p>
<w:pPr><w:pStyle w:val="Normal"/></w:pPr>
<w:r><w:t xml:space="preserve">(Boston, 1861), one of the best of Revolutionary biographies:</w:t></w:r>
</w:p>
<w:p>
<w:pPr><w:pStyle w:val="Normal"/></w:pPr>
<w:r><w:t xml:space="preserve">Gen. William Stryker&apos;s Battles of Trenton and Princeton</w:t></w:r>
</w:p>
<w:p>
<w:pPr><w:pStyle w:val="Normal"/></w:pPr>
<w:r><w:t xml:space="preserve">(Boston, 1898); and others mentioned in Winsor and Van Tyne.</w:t></w:r>
</w:p>
<w:p>
<w:pPr><w:pStyle w:val="Normal"/></w:pPr>
<w:r><w:t xml:space="preserve">English works of importance are Lord Mahon&apos;s History of England,</w:t></w:r>
</w:p>
<w:p>
<w:pPr><w:pStyle w:val="Normal"/></w:pPr>
<w:r><w:t xml:space="preserve">vol. vi.; Sir George O. Trevelyan&apos;s American Revolution</w:t></w:r>
</w:p>
<w:p>
<w:pPr><w:pStyle w:val="Normal"/></w:pPr>
<w:r><w:t xml:space="preserve">(New York and London; vol. i., 1899; 4 vols. published,</w:t></w:r>
</w:p>
<w:p>
<w:pPr><w:pStyle w:val="Normal"/></w:pPr>
<w:r><w:t xml:space="preserve">1908), a new study of cabinet and parliamentary politics of</w:t></w:r>
</w:p>
<w:p>
<w:pPr><w:pStyle w:val="Normal"/></w:pPr>
<w:r><w:t xml:space="preserve">the period, with review of the military events; Hon. J. W.</w:t></w:r>
</w:p>
<w:p>
<w:pPr><w:pStyle w:val="Normal"/></w:pPr>
<w:r><w:t xml:space="preserve">Fortescue, History of the British Army, vol. iii. (1902);</w:t></w:r>
</w:p>
<w:p>
<w:pPr><w:pStyle w:val="Normal"/></w:pPr>
<w:r><w:t xml:space="preserve">Stedman&apos;s American War (2 vols., 1794); Col. Tarleton&apos;s</w:t></w:r>
</w:p>
<w:p>
<w:pPr><w:pStyle w:val="Normal"/></w:pPr>
<w:r><w:t xml:space="preserve">Southern Campaigns, 1780-1781 (London, 1787); the pamphlet</w:t></w:r>
</w:p>
<w:p>
<w:pPr><w:pStyle w:val="Normal"/></w:pPr>
<w:r><w:t xml:space="preserve">controversy between Sir Henry Clinton and Lord Cornwallis</w:t></w:r>
</w:p>
<w:p>
<w:pPr><w:pStyle w:val="Normal"/></w:pPr>
<w:r><w:t xml:space="preserve">(1783), see Winsor, vi., p. 516, n.; Burgoyne&apos;s State of the</w:t></w:r>
</w:p>
<w:p>
<w:pPr><w:pStyle w:val="Normal"/></w:pPr>
<w:r><w:t xml:space="preserve">Expedition from Canada in 1777 (London, 1780). (H. P. J.*)</w:t></w:r>
</w:p>
<w:p>
<w:pPr><w:pStyle w:val="Normal"/></w:pPr>
<w:r><w:t xml:space="preserve">Effect of sea-power.</w:t></w:r>
</w:p>
<w:p>
<w:pPr><w:pStyle w:val="Normal"/></w:pPr>
<w:r><w:t xml:space="preserve">The naval operations of the War of Independence divide</w:t></w:r>
</w:p>
<w:p>
<w:pPr><w:pStyle w:val="Normal"/></w:pPr>
<w:r><w:t xml:space="preserve">themselves naturally into two periods. (1) From 1775 till the</w:t></w:r>
</w:p>
<w:p>
<w:pPr><w:pStyle w:val="Normal"/></w:pPr>
<w:r><w:t xml:space="preserve">summer of 1778 the British navy was engaged in co-operating</w:t></w:r>
</w:p>
<w:p>
<w:pPr><w:pStyle w:val="Normal"/></w:pPr>
<w:r><w:t xml:space="preserve">with the troops employed against the insurgents, on the</w:t></w:r>
</w:p>
<w:p>
<w:pPr><w:pStyle w:val="Normal"/></w:pPr>
<w:r><w:t xml:space="preserve">coasts, rivers and lakes of North America, or in endeavouring</w:t></w:r>
</w:p>
<w:p>
<w:pPr><w:pStyle w:val="Normal"/></w:pPr>
<w:r><w:t xml:space="preserve">to protect British commerce against the enterprise of American</w:t></w:r>
</w:p>
<w:p>
<w:pPr><w:pStyle w:val="Normal"/></w:pPr>
<w:r><w:t xml:space="preserve">privateers. (2) During the second period the successive</w:t></w:r>
</w:p>
<w:p>
<w:pPr><w:pStyle w:val="Normal"/></w:pPr>
<w:r><w:t xml:space="preserve">interventions of France, Spain and Holland extended the</w:t></w:r>
</w:p>
<w:p>
<w:pPr><w:pStyle w:val="Normal"/></w:pPr>
<w:r><w:t xml:space="preserve">naval war till it ranged from the West Indies to the Bay of</w:t></w:r>
</w:p>
<w:p>
<w:pPr><w:pStyle w:val="Normal"/></w:pPr>
<w:r><w:t xml:space="preserve">Bengal.  This second period lasted from the summer of 1778</w:t></w:r>
</w:p>
<w:p>
<w:pPr><w:pStyle w:val="Normal"/></w:pPr>
<w:r><w:t xml:space="preserve">to the middle of 1783, and it included both such operations</w:t></w:r>
</w:p>
<w:p>
<w:pPr><w:pStyle w:val="Normal"/></w:pPr>
<w:r><w:t xml:space="preserve">as had already been in progress in America, or for the</w:t></w:r>
</w:p>
<w:p>
<w:pPr><w:pStyle w:val="Normal"/></w:pPr>
<w:r><w:t xml:space="preserve">protection of commerce, and naval campaigns on a great</w:t></w:r>
</w:p>
<w:p>
<w:pPr><w:pStyle w:val="Normal"/></w:pPr>
<w:r><w:t xml:space="preserve">scale carried out by the fleets of the maritime powers.</w:t></w:r>
</w:p>
<w:p>
<w:pPr><w:pStyle w:val="Normal"/></w:pPr>
<w:r><w:t xml:space="preserve">First Period.--The history of the naval war from 1775</w:t></w:r>
</w:p>
<w:p>
<w:pPr><w:pStyle w:val="Normal"/></w:pPr>
<w:r><w:t xml:space="preserve">to 1778 was made up of many small operations.  The naval</w:t></w:r>
</w:p>
<w:p>
<w:pPr><w:pStyle w:val="Normal"/></w:pPr>
<w:r><w:t xml:space="preserve">force at the disposal of the admirals commanding on the</w:t></w:r>
</w:p>
<w:p>
<w:pPr><w:pStyle w:val="Normal"/></w:pPr>
<w:r><w:t xml:space="preserve">station, who until Lord Howe took up the command on the 12th</w:t></w:r>
</w:p>
<w:p>
<w:pPr><w:pStyle w:val="Normal"/></w:pPr>
<w:r><w:t xml:space="preserve">of July 1776 were Samuel Graves and Molyneux Shuldham, was</w:t></w:r>
</w:p>
<w:p>
<w:pPr><w:pStyle w:val="Normal"/></w:pPr>
<w:r><w:t xml:space="preserve">insufficient to patrol the long line of coast.  A large part</w:t></w:r>
</w:p>
<w:p>
<w:pPr><w:pStyle w:val="Normal"/></w:pPr>
<w:r><w:t xml:space="preserve">of such squadrons as there were was necessarily limited to</w:t></w:r>
</w:p>
<w:p>
<w:pPr><w:pStyle w:val="Normal"/></w:pPr>
<w:r><w:t xml:space="preserve">aiding General Gage and Sir W. Howe at Boston, in seeking</w:t></w:r>
</w:p>
<w:p>
<w:pPr><w:pStyle w:val="Normal"/></w:pPr>
<w:r><w:t xml:space="preserve">stores for the army and in supplying naval brigades.  At</w:t></w:r>
</w:p>
<w:p>
<w:pPr><w:pStyle w:val="Normal"/></w:pPr>
<w:r><w:t xml:space="preserve">other points of the coast the British navy was employed in</w:t></w:r>
</w:p>
<w:p>
<w:pPr><w:pStyle w:val="Normal"/></w:pPr>
<w:r><w:t xml:space="preserve">punitive expeditions against the coast towns--as for example</w:t></w:r>
</w:p>
<w:p>
<w:pPr><w:pStyle w:val="Normal"/></w:pPr>
<w:r><w:t xml:space="preserve">the burning of Falmouth (now Portland, Maine) in October</w:t></w:r>
</w:p>
<w:p>
<w:pPr><w:pStyle w:val="Normal"/></w:pPr>
<w:r><w:t xml:space="preserve">1775--which served to exasperate, rather than to weaken the</w:t></w:r>
</w:p>
<w:p>
<w:pPr><w:pStyle w:val="Normal"/></w:pPr>
<w:r><w:t xml:space="preserve">enemy, or the unsuccessful attack on Charleston, S.C., in June</w:t></w:r>
</w:p>
<w:p>
<w:pPr><w:pStyle w:val="Normal"/></w:pPr>
<w:r><w:t xml:space="preserve">1776.  It was wholly unequal to the task of blockading</w:t></w:r>
</w:p>
<w:p>
<w:pPr><w:pStyle w:val="Normal"/></w:pPr>
<w:r><w:t xml:space="preserve">the many towns from which privateers could be fitted</w:t></w:r>
</w:p>
<w:p>
<w:pPr><w:pStyle w:val="Normal"/></w:pPr>
<w:r><w:t xml:space="preserve">out.  British commerce therefore suffered severely, even as</w:t></w:r>
</w:p>
<w:p>
<w:pPr><w:pStyle w:val="Normal"/></w:pPr>
<w:r><w:t xml:space="preserve">far off as the Irish coasts, where it was found necessary</w:t></w:r>
</w:p>
<w:p>
<w:pPr><w:pStyle w:val="Normal"/></w:pPr>
<w:r><w:t xml:space="preserve">to supply convoy to the Belfast linen trade.  The Americans</w:t></w:r>
</w:p>
<w:p>
<w:pPr><w:pStyle w:val="Normal"/></w:pPr>
<w:r><w:t xml:space="preserve">were not yet in a position to provide a fleet.  On the 23rd</w:t></w:r>
</w:p>
<w:p>
<w:pPr><w:pStyle w:val="Normal"/></w:pPr>
<w:r><w:t xml:space="preserve">of March 1776 Congress did indeed issue letters of marque and</w:t></w:r>
</w:p>
<w:p>
<w:pPr><w:pStyle w:val="Normal"/></w:pPr>
<w:r><w:t xml:space="preserve">reprisal, and efforts were made to fit out a national force.</w:t></w:r>
</w:p>
<w:p>
<w:pPr><w:pStyle w:val="Normal"/></w:pPr>
<w:r><w:t xml:space="preserve">But the so-called &quot;continental&quot; vessels which sailed with the</w:t></w:r>
</w:p>
<w:p>
<w:pPr><w:pStyle w:val="Normal"/></w:pPr>
<w:r><w:t xml:space="preserve">commission of the Congress hardly differed in character, or</w:t></w:r>
</w:p>
<w:p>
<w:pPr><w:pStyle w:val="Normal"/></w:pPr>
<w:r><w:t xml:space="preserve">in the nature of their operations, from the privateers.  The</w:t></w:r>
</w:p>
<w:p>
<w:pPr><w:pStyle w:val="Normal"/></w:pPr>
<w:r><w:t xml:space="preserve">British navy was able to cover the retreat of the army from</w:t></w:r>
</w:p>
<w:p>
<w:pPr><w:pStyle w:val="Normal"/></w:pPr>
<w:r><w:t xml:space="preserve">Boston to Halifax in April 1776, and to convey it to New York in</w:t></w:r>
</w:p>
<w:p>
<w:pPr><w:pStyle w:val="Normal"/></w:pPr>
<w:r><w:t xml:space="preserve">June.  It assisted in the expedition to Philadelphia in July</w:t></w:r>
</w:p>
<w:p>
<w:pPr><w:pStyle w:val="Normal"/></w:pPr>
<w:r><w:t xml:space="preserve">1777.  On the St Lawrence and the Lakes it was able to play</w:t></w:r>
</w:p>
<w:p>
<w:pPr><w:pStyle w:val="Normal"/></w:pPr>
<w:r><w:t xml:space="preserve">a more aggressive part.  The relief of Quebec by Captain-</w:t></w:r>
</w:p>
<w:p>
<w:pPr><w:pStyle w:val="Normal"/></w:pPr>
<w:r><w:t xml:space="preserve">-afterwards Sir Charles--Douglas in May 1776 forced the</w:t></w:r>
</w:p>
<w:p>
<w:pPr><w:pStyle w:val="Normal"/></w:pPr>
<w:r><w:t xml:space="preserve">American general Arnold to retreat.  The destruction of his</w:t></w:r>
</w:p>
<w:p>
<w:pPr><w:pStyle w:val="Normal"/></w:pPr>
<w:r><w:t xml:space="preserve">squadron on Lake Champlain in October covered the frontier</w:t></w:r>
</w:p>
<w:p>
<w:pPr><w:pStyle w:val="Normal"/></w:pPr>
<w:r><w:t xml:space="preserve">of Canada, and supplied a basis for the march of General</w:t></w:r>
</w:p>
<w:p>
<w:pPr><w:pStyle w:val="Normal"/></w:pPr>
<w:r><w:t xml:space="preserve">Burgoyne in 1777 which ended in the surrender at Saratoga.</w:t></w:r>
</w:p>
<w:p>
<w:pPr><w:pStyle w:val="Normal"/></w:pPr>
<w:r><w:t xml:space="preserve">Second Period.--The disaster at Saratoga was followed in</w:t></w:r>
</w:p>
<w:p>
<w:pPr><w:pStyle w:val="Normal"/></w:pPr>
<w:r><w:t xml:space="preserve">1778 by war with France, which had already given much private</w:t></w:r>
</w:p>
<w:p>
<w:pPr><w:pStyle w:val="Normal"/></w:pPr>
<w:r><w:t xml:space="preserve">help to the American privateers and to their forces in the</w:t></w:r>
</w:p>
<w:p>
<w:pPr><w:pStyle w:val="Normal"/></w:pPr>
<w:r><w:t xml:space="preserve">field.  The rupture came in March when the British ambassador,</w:t></w:r>
</w:p>
<w:p>
<w:pPr><w:pStyle w:val="Normal"/></w:pPr>
<w:r><w:t xml:space="preserve">Lord Stormont, was recalled from Paris, but as neither fleet</w:t></w:r>
</w:p>
<w:p>
<w:pPr><w:pStyle w:val="Normal"/></w:pPr>
<w:r><w:t xml:space="preserve">was ready for service, actual conflict did not take place till</w:t></w:r>
</w:p>
<w:p>
<w:pPr><w:pStyle w:val="Normal"/></w:pPr>
<w:r><w:t xml:space="preserve">July.  The French government was somewhat more ready than the</w:t></w:r>
</w:p>
<w:p>
<w:pPr><w:pStyle w:val="Normal"/></w:pPr>
<w:r><w:t xml:space="preserve">British.  On the 13th of April it despatched a squadron of</w:t></w:r>
</w:p>
<w:p>
<w:pPr><w:pStyle w:val="Normal"/></w:pPr>
<w:r><w:t xml:space="preserve">twelve sail of the line and four frigates from Toulon to</w:t></w:r>
</w:p>
<w:p>
<w:pPr><w:pStyle w:val="Normal"/></w:pPr>
<w:r><w:t xml:space="preserve">America under the command of the Count d&apos;Estaing.  As no</w:t></w:r>
</w:p>
<w:p>
<w:pPr><w:pStyle w:val="Normal"/></w:pPr>
<w:r><w:t xml:space="preserve">attempt was made to stop him in the Straits of Gibraltar, he</w:t></w:r>
</w:p>
<w:p>
<w:pPr><w:pStyle w:val="Normal"/></w:pPr>
<w:r><w:t xml:space="preserve">passed them on the 16th of May, and though the rawness of his</w:t></w:r>
</w:p>
<w:p>
<w:pPr><w:pStyle w:val="Normal"/></w:pPr>
<w:r><w:t xml:space="preserve">crews and his own error in wasting time in pursuit of prizes</w:t></w:r>
</w:p>
<w:p>
<w:pPr><w:pStyle w:val="Normal"/></w:pPr>
<w:r><w:t xml:space="preserve">delayed his passage, he reached the mouth of the Delaware</w:t></w:r>
</w:p>
<w:p>
<w:pPr><w:pStyle w:val="Normal"/></w:pPr>
<w:r><w:t xml:space="preserve">on the 8th of July unopposed.  The French government, which</w:t></w:r>
</w:p>
<w:p>
<w:pPr><w:pStyle w:val="Normal"/></w:pPr>
<w:r><w:t xml:space="preserve">by the fault of the British administration was allowed to</w:t></w:r>
</w:p>
<w:p>
<w:pPr><w:pStyle w:val="Normal"/></w:pPr>
<w:r><w:t xml:space="preserve">take the offensive, had three objects in view--to help the</w:t></w:r>
</w:p>
<w:p>
<w:pPr><w:pStyle w:val="Normal"/></w:pPr>
<w:r><w:t xml:space="preserve">Americans, to expel the British from the West Indies and</w:t></w:r>
</w:p>
<w:p>
<w:pPr><w:pStyle w:val="Normal"/></w:pPr>
<w:r><w:t xml:space="preserve">to occupy the main strength of the naval forces of Great</w:t></w:r>
</w:p>
<w:p>
<w:pPr><w:pStyle w:val="Normal"/></w:pPr>
<w:r><w:t xml:space="preserve">Britain in the Channel.  Therefore a second and more powerful</w:t></w:r>
</w:p>
<w:p>
<w:pPr><w:pStyle w:val="Normal"/></w:pPr>
<w:r><w:t xml:space="preserve">fleet was fitted out at Brest under the command of the Count</w:t></w:r>
</w:p>
<w:p>
<w:pPr><w:pStyle w:val="Normal"/></w:pPr>
<w:r><w:t xml:space="preserve">d&apos;Orvilliers.  The British government, having neglected to</w:t></w:r>
</w:p>
<w:p>
<w:pPr><w:pStyle w:val="Normal"/></w:pPr>
<w:r><w:t xml:space="preserve">occupy the Straits of Gibraltar in time, despatched Admiral</w:t></w:r>
</w:p>
<w:p>
<w:pPr><w:pStyle w:val="Normal"/></w:pPr>
<w:r><w:t xml:space="preserve">Byron from Plymouth on the 9th of June with thirteen sail of</w:t></w:r>
</w:p>
<w:p>
<w:pPr><w:pStyle w:val="Normal"/></w:pPr>
<w:r><w:t xml:space="preserve">the line to join Admiral (Lord) Howe, Sir William&apos;s brother,</w:t></w:r>
</w:p>
<w:p>
<w:pPr><w:pStyle w:val="Normal"/></w:pPr>
<w:r><w:t xml:space="preserve">in America, and collected a strong force at home, called the</w:t></w:r>
</w:p>
<w:p>
<w:pPr><w:pStyle w:val="Normal"/></w:pPr>
<w:r><w:t xml:space="preserve">Western Squadron, under Viscount Keppel.  Keppel, after a</w:t></w:r>
</w:p>
<w:p>
<w:pPr><w:pStyle w:val="Normal"/></w:pPr>
<w:r><w:t xml:space="preserve">preliminary cruise in June, brought d&apos;Orvilliers to action</w:t></w:r>
</w:p>
<w:p>
<w:pPr><w:pStyle w:val="Normal"/></w:pPr>
<w:r><w:t xml:space="preserve">off Brest on the 27th of July.  The fleets were equal and</w:t></w:r>
</w:p>
<w:p>
<w:pPr><w:pStyle w:val="Normal"/></w:pPr>
<w:r><w:t xml:space="preserve">the action was indecisive,--as the two forces merely passed</w:t></w:r>
</w:p>
<w:p>
<w:pPr><w:pStyle w:val="Normal"/></w:pPr>
<w:r><w:t xml:space="preserve">one another, cannonading.  A violent quarrel exacerbated by</w:t></w:r>
</w:p>
<w:p>
<w:pPr><w:pStyle w:val="Normal"/></w:pPr>
<w:r><w:t xml:space="preserve">political differences broke out among the British commands,</w:t></w:r>
</w:p>
<w:p>
<w:pPr><w:pStyle w:val="Normal"/></w:pPr>
<w:r><w:t xml:space="preserve">which led to two courts-martial and to the resignation of</w:t></w:r>
</w:p>
<w:p>
<w:pPr><w:pStyle w:val="Normal"/></w:pPr>
<w:r><w:t xml:space="preserve">Keppel, and did great injury to the discipline of the</w:t></w:r>
</w:p>
<w:p>
<w:pPr><w:pStyle w:val="Normal"/></w:pPr>
<w:r><w:t xml:space="preserve">navy.  No further event of note occurred in European waters.</w:t></w:r>
</w:p>
<w:p>
<w:pPr><w:pStyle w:val="Normal"/></w:pPr>
<w:r><w:t xml:space="preserve">On the coast of America the news of the approach of d&apos;Estaing</w:t></w:r>
</w:p>
<w:p>
<w:pPr><w:pStyle w:val="Normal"/></w:pPr>
<w:r><w:t xml:space="preserve">compelled the British commanders to evacuate Philadelphia</w:t></w:r>
</w:p>
<w:p>
<w:pPr><w:pStyle w:val="Normal"/></w:pPr>
<w:r><w:t xml:space="preserve">on the 18th of June.  Howe then concentrated his force of</w:t></w:r>
</w:p>
<w:p>
<w:pPr><w:pStyle w:val="Normal"/></w:pPr>
<w:r><w:t xml:space="preserve">nine small line-of-battle ships at Sandy Hook on the 29th of</w:t></w:r>
</w:p>
<w:p>
<w:pPr><w:pStyle w:val="Normal"/></w:pPr>
<w:r><w:t xml:space="preserve">June, and on the 11th of July he learnt that d&apos;Estaing was</w:t></w:r>
</w:p>
<w:p>
<w:pPr><w:pStyle w:val="Normal"/></w:pPr>
<w:r><w:t xml:space="preserve">approaching.  The French admiral did not venture to make an</w:t></w:r>
</w:p>
<w:p>
<w:pPr><w:pStyle w:val="Normal"/></w:pPr>
<w:r><w:t xml:space="preserve">attack, and on the 22nd of July sailed to co-operate with the</w:t></w:r>
</w:p>
<w:p>
<w:pPr><w:pStyle w:val="Normal"/></w:pPr>
<w:r><w:t xml:space="preserve">Americans in an endeavour to expel the British garrison from</w:t></w:r>
</w:p>
<w:p>
<w:pPr><w:pStyle w:val="Normal"/></w:pPr>
<w:r><w:t xml:space="preserve">Rhode Island.  Howe, who had received a small reinforcement,</w:t></w:r>
</w:p>
<w:p>
<w:pPr><w:pStyle w:val="Normal"/></w:pPr>
<w:r><w:t xml:space="preserve">followed.  The French admiral, who had anchored above Newport,</w:t></w:r>
</w:p>
<w:p>
<w:pPr><w:pStyle w:val="Normal"/></w:pPr>
<w:r><w:t xml:space="preserve">R.I., came to sea to meet him, but both fleets were scattered by</w:t></w:r>
</w:p>
<w:p>
<w:pPr><w:pStyle w:val="Normal"/></w:pPr>
<w:r><w:t xml:space="preserve">storms.  D&apos;Estaing sailed to Boston on the 21st of August.</w:t></w:r>
</w:p>
<w:p>
<w:pPr><w:pStyle w:val="Normal"/></w:pPr>
<w:r><w:t xml:space="preserve">Howe received no help from Byron, whose badly appointed fleet</w:t></w:r>
</w:p>
<w:p>
<w:pPr><w:pStyle w:val="Normal"/></w:pPr>
<w:r><w:t xml:space="preserve">was damaged and scattered by a gale on the 3rd of July in</w:t></w:r>
</w:p>
<w:p>
<w:pPr><w:pStyle w:val="Normal"/></w:pPr>
<w:r><w:t xml:space="preserve">mid-Atlantic.  His ships dropped in by degrees during September.</w:t></w:r>
</w:p>
<w:p>
<w:pPr><w:pStyle w:val="Normal"/></w:pPr>
<w:r><w:t xml:space="preserve">Howe resigned on the 25th of that month, and was succeeded by</w:t></w:r>
</w:p>
<w:p>
<w:pPr><w:pStyle w:val="Normal"/></w:pPr>
<w:r><w:t xml:space="preserve">Byron.  The approach of winter made a naval campaign on the coast</w:t></w:r>
</w:p>
<w:p>
<w:pPr><w:pStyle w:val="Normal"/></w:pPr>
<w:r><w:t xml:space="preserve">of North America dangerous.  The operations of naval forces in</w:t></w:r>
</w:p>
<w:p>
<w:pPr><w:pStyle w:val="Normal"/></w:pPr>
<w:r><w:t xml:space="preserve">the New World were largely dictated by the facts that from June</w:t></w:r>
</w:p>
<w:p>
<w:pPr><w:pStyle w:val="Normal"/></w:pPr>
<w:r><w:t xml:space="preserve">to October are the hurricane months in the West Indies, while</w:t></w:r>
</w:p>
<w:p>
<w:pPr><w:pStyle w:val="Normal"/></w:pPr>
<w:r><w:t xml:space="preserve">from October to June includes the stormy winter of the northern</w:t></w:r>
</w:p>
<w:p>
<w:pPr><w:pStyle w:val="Normal"/></w:pPr>
<w:r><w:t xml:space="preserve">coast.  On the 4th of November d&apos;Estaing sailed for the West</w:t></w:r>
</w:p>
<w:p>
<w:pPr><w:pStyle w:val="Normal"/></w:pPr>
<w:r><w:t xml:space="preserve">Indies, on the very day that Commodore William Hotham was</w:t></w:r>
</w:p>
<w:p>
<w:pPr><w:pStyle w:val="Normal"/></w:pPr>
<w:r><w:t xml:space="preserve">despatched from New York to reinforce the British fleet in those</w:t></w:r>
</w:p>
<w:p>
<w:pPr><w:pStyle w:val="Normal"/></w:pPr>
<w:r><w:t xml:space="preserve">waters.  On the 7th of September the French governor of</w:t></w:r>
</w:p>
<w:p>
<w:pPr><w:pStyle w:val="Normal"/></w:pPr>
<w:r><w:t xml:space="preserve">Martinique, the marquis de Bouille, had surprised the British</w:t></w:r>
</w:p>
<w:p>
<w:pPr><w:pStyle w:val="Normal"/></w:pPr>
<w:r><w:t xml:space="preserve">island of Dominica.  Admiral Samuel Barrington, the British</w:t></w:r>
</w:p>
<w:p>
<w:pPr><w:pStyle w:val="Normal"/></w:pPr>
<w:r><w:t xml:space="preserve">admiral in the Leeward Islands, had retaliated by seizing</w:t></w:r>
</w:p>
<w:p>
<w:pPr><w:pStyle w:val="Normal"/></w:pPr>
<w:r><w:t xml:space="preserve">Santa Lucia on the 13th and 14th of December after the arrival</w:t></w:r>
</w:p>
<w:p>
<w:pPr><w:pStyle w:val="Normal"/></w:pPr>
<w:r><w:t xml:space="preserve">of Hotham from North America.  D&apos;Estaing, who followed Hotham</w:t></w:r>
</w:p>
<w:p>
<w:pPr><w:pStyle w:val="Normal"/></w:pPr>
<w:r><w:t xml:space="preserve">closely, was beaten off in two feeble attacks on Barrington</w:t></w:r>
</w:p>
<w:p>
<w:pPr><w:pStyle w:val="Normal"/></w:pPr>
<w:r><w:t xml:space="preserve">at the Cul-de-Sac of Santa Lucia on the 15th of December.</w:t></w:r>
</w:p>
<w:p>
<w:pPr><w:pStyle w:val="Normal"/></w:pPr>
<w:r><w:t xml:space="preserve">On the 6th of January 1779 Admiral Byron reached the West</w:t></w:r>
</w:p>
<w:p>
<w:pPr><w:pStyle w:val="Normal"/></w:pPr>
<w:r><w:t xml:space="preserve">Indies.  During the early part of this year the naval forces</w:t></w:r>
</w:p>
<w:p>
<w:pPr><w:pStyle w:val="Normal"/></w:pPr>
<w:r><w:t xml:space="preserve">in the West Indies were mainly employed in watching one</w:t></w:r>
</w:p>
<w:p>
<w:pPr><w:pStyle w:val="Normal"/></w:pPr>
<w:r><w:t xml:space="preserve">another.  But in June, while Byron had gone to Antigua to guard</w:t></w:r>
</w:p>
<w:p>
<w:pPr><w:pStyle w:val="Normal"/></w:pPr>
<w:r><w:t xml:space="preserve">the trade convoy on its way home, d&apos;Estaing first captured</w:t></w:r>
</w:p>
<w:p>
<w:pPr><w:pStyle w:val="Normal"/></w:pPr>
<w:r><w:t xml:space="preserve">St Vincent, and then on the 4th of July Grenada.  Admiral</w:t></w:r>
</w:p>
<w:p>
<w:pPr><w:pStyle w:val="Normal"/></w:pPr>
<w:r><w:t xml:space="preserve">Byron, who had returned, sailed in hopes of saving the island,</w:t></w:r>
</w:p>
<w:p>
<w:pPr><w:pStyle w:val="Normal"/></w:pPr>
<w:r><w:t xml:space="preserve">but arrived too late.  An indecisive action was fought off</w:t></w:r>
</w:p>
<w:p>
<w:pPr><w:pStyle w:val="Normal"/></w:pPr>
<w:r><w:t xml:space="preserve">Grenada on the 6th of July.  The war now died down in the West</w:t></w:r>
</w:p>
<w:p>
<w:pPr><w:pStyle w:val="Normal"/></w:pPr>
<w:r><w:t xml:space="preserve">Indies.  Byron returned home in August.  D&apos;Estaing, after</w:t></w:r>
</w:p>
<w:p>
<w:pPr><w:pStyle w:val="Normal"/></w:pPr>
<w:r><w:t xml:space="preserve">co-operating unsuccessfully with the Americans in an attack on</w:t></w:r>
</w:p>
<w:p>
<w:pPr><w:pStyle w:val="Normal"/></w:pPr>
<w:r><w:t xml:space="preserve">Savannah, in September also returned to Europe.  In European</w:t></w:r>
</w:p>
<w:p>
<w:pPr><w:pStyle w:val="Normal"/></w:pPr>
<w:r><w:t xml:space="preserve">waters the Channel had been invaded by a combined French and</w:t></w:r>
</w:p>
<w:p>
<w:pPr><w:pStyle w:val="Normal"/></w:pPr>
<w:r><w:t xml:space="preserve">Spanish fleet of sixty-six sail of the line, Spain having now</w:t></w:r>
</w:p>
<w:p>
<w:pPr><w:pStyle w:val="Normal"/></w:pPr>
<w:r><w:t xml:space="preserve">joined the coalition against Great Britain.  Only thirty-five</w:t></w:r>
</w:p>
<w:p>
<w:pPr><w:pStyle w:val="Normal"/></w:pPr>
<w:r><w:t xml:space="preserve">sail of the line could be collected against them under the</w:t></w:r>
</w:p>
<w:p>
<w:pPr><w:pStyle w:val="Normal"/></w:pPr>
<w:r><w:t xml:space="preserve">command of Sir Charles Hardy.  But they came late and did</w:t></w:r>
</w:p>
<w:p>
<w:pPr><w:pStyle w:val="Normal"/></w:pPr>
<w:r><w:t xml:space="preserve">nothing.  The allies retired early in September and were</w:t></w:r>
</w:p>
<w:p>
<w:pPr><w:pStyle w:val="Normal"/></w:pPr>
<w:r><w:t xml:space="preserve">not even able to molest the British trade convoys.  In the</w:t></w:r>
</w:p>
<w:p>
<w:pPr><w:pStyle w:val="Normal"/></w:pPr>
<w:r><w:t xml:space="preserve">meantime the Spaniards had formed the siege of Gibraltar.</w:t></w:r>
</w:p>
<w:p>
<w:pPr><w:pStyle w:val="Normal"/></w:pPr>
<w:r><w:t xml:space="preserve">So far the British navy had stood on the defensive, without</w:t></w:r>
</w:p>
<w:p>
<w:pPr><w:pStyle w:val="Normal"/></w:pPr>
<w:r><w:t xml:space="preserve">material loss except in the West Indies, but without</w:t></w:r>
</w:p>
<w:p>
<w:pPr><w:pStyle w:val="Normal"/></w:pPr>
<w:r><w:t xml:space="preserve">triumph.  The operations of 1780 went on much the same lines.</w:t></w:r>
</w:p>
<w:p>
<w:pPr><w:pStyle w:val="Normal"/></w:pPr>
<w:r><w:t xml:space="preserve">The British government, not feeling strong enough to blockade</w:t></w:r>
</w:p>
<w:p>
<w:pPr><w:pStyle w:val="Normal"/></w:pPr>
<w:r><w:t xml:space="preserve">Brest and the Spanish ports, was compelled to regulate its</w:t></w:r>
</w:p>
<w:p>
<w:pPr><w:pStyle w:val="Normal"/></w:pPr>
<w:r><w:t xml:space="preserve">movements by those of its opponents.  In the Channel it was</w:t></w:r>
</w:p>
<w:p>
<w:pPr><w:pStyle w:val="Normal"/></w:pPr>
<w:r><w:t xml:space="preserve">saved from disaster by the ineptitude of the French and Spanish</w:t></w:r>
</w:p>
<w:p>
<w:pPr><w:pStyle w:val="Normal"/></w:pPr>
<w:r><w:t xml:space="preserve">fleets.  The only real success achieved by this numerically</w:t></w:r>
</w:p>
<w:p>
<w:pPr><w:pStyle w:val="Normal"/></w:pPr>
<w:r><w:t xml:space="preserve">imposing force was the capture on the 8th and 9th of August</w:t></w:r>
</w:p>
<w:p>
<w:pPr><w:pStyle w:val="Normal"/></w:pPr>
<w:r><w:t xml:space="preserve">of a large British convoy of ships bound for the East and</w:t></w:r>
</w:p>
<w:p>
<w:pPr><w:pStyle w:val="Normal"/></w:pPr>
<w:r><w:t xml:space="preserve">West Indies carrying troops.  But on the American coast and in</w:t></w:r>
</w:p>
<w:p>
<w:pPr><w:pStyle w:val="Normal"/></w:pPr>
<w:r><w:t xml:space="preserve">the West Indies more vigour was displayed.  Early in the year</w:t></w:r>
</w:p>
<w:p>
<w:pPr><w:pStyle w:val="Normal"/></w:pPr>
<w:r><w:t xml:space="preserve">Admiral Marriot Arbuthnot was sent to take command in North</w:t></w:r>
</w:p>
<w:p>
<w:pPr><w:pStyle w:val="Normal"/></w:pPr>
<w:r><w:t xml:space="preserve">America.  On the French side the count de Guichen was sent</w:t></w:r>
</w:p>
<w:p>
<w:pPr><w:pStyle w:val="Normal"/></w:pPr>
<w:r><w:t xml:space="preserve">with reinforcements to the West Indies to take command of the</w:t></w:r>
</w:p>
<w:p>
<w:pPr><w:pStyle w:val="Normal"/></w:pPr>
<w:r><w:t xml:space="preserve">ships left in the previous year by d&apos;Estaing.  He arrived in</w:t></w:r>
</w:p>
<w:p>
<w:pPr><w:pStyle w:val="Normal"/></w:pPr>
<w:r><w:t xml:space="preserve">March, and was able to confine the small British force under</w:t></w:r>
</w:p>
<w:p>
<w:pPr><w:pStyle w:val="Normal"/></w:pPr>
<w:r><w:t xml:space="preserve">Sir Hyde Parker at Gros Islet Bay in Santa Lucia.  In May M.</w:t></w:r>
</w:p>
<w:p>
<w:pPr><w:pStyle w:val="Normal"/></w:pPr>
<w:r><w:t xml:space="preserve">d&apos;Arzac de Ternay was sent from Brest with seven line-of-battle</w:t></w:r>
</w:p>
<w:p>
<w:pPr><w:pStyle w:val="Normal"/></w:pPr>
<w:r><w:t xml:space="preserve">ships, and a convoy carrying 6000 French troops to act with the</w:t></w:r>
</w:p>
<w:p>
<w:pPr><w:pStyle w:val="Normal"/></w:pPr>
<w:r><w:t xml:space="preserve">Americans.  He had a brush with a small British force under</w:t></w:r>
</w:p>
<w:p>
<w:pPr><w:pStyle w:val="Normal"/></w:pPr>
<w:r><w:t xml:space="preserve">Cornwallis near Bermuda on the 20th of June, and reached Rhode</w:t></w:r>
</w:p>
<w:p>
<w:pPr><w:pStyle w:val="Normal"/></w:pPr>
<w:r><w:t xml:space="preserve">Island on the 11th of July.  During the rest of the year, and</w:t></w:r>
</w:p>
<w:p>
<w:pPr><w:pStyle w:val="Heading1"/></w:pPr>
<w:r><w:t>part of the next, the British and French naval forces in North</w:t></w:r>
</w:p>
<w:p>
<w:pPr><w:pStyle w:val="Normal"/></w:pPr>
<w:r><w:t xml:space="preserve">American waters remained at their respective headquarters,</w:t></w:r>
</w:p>
<w:p>
<w:pPr><w:pStyle w:val="Normal"/></w:pPr>
<w:r><w:t xml:space="preserve">New York and Newport, watching one another.  The West Indies</w:t></w:r>
</w:p>
<w:p>
<w:pPr><w:pStyle w:val="Normal"/></w:pPr>
<w:r><w:t xml:space="preserve">was again the scene of the most important operations of the</w:t></w:r>
</w:p>
<w:p>
<w:pPr><w:pStyle w:val="Normal"/></w:pPr>
<w:r><w:t xml:space="preserve">year.  In February and March a Spanish force from New Orleans,</w:t></w:r>
</w:p>
<w:p>
<w:pPr><w:pStyle w:val="Normal"/></w:pPr>
<w:r><w:t xml:space="preserve">under Don Bernardo de Galvez, invaded West Florida with</w:t></w:r>
</w:p>
<w:p>
<w:pPr><w:pStyle w:val="Normal"/></w:pPr>
<w:r><w:t xml:space="preserve">success.  But the allies made no further progress.  At the</w:t></w:r>
</w:p>
<w:p>
<w:pPr><w:pStyle w:val="Normal"/></w:pPr>
<w:r><w:t xml:space="preserve">close of 1779 Sir George Rodney had been appointed to command</w:t></w:r>
</w:p>
<w:p>
<w:pPr><w:pStyle w:val="Normal"/></w:pPr>
<w:r><w:t xml:space="preserve">a large naval force which was to relieve Gibraltar, then</w:t></w:r>
</w:p>
<w:p>
<w:pPr><w:pStyle w:val="Normal"/></w:pPr>
<w:r><w:t xml:space="preserve">closely blockaded, and send stores to Minorca.  Rodney was to</w:t></w:r>
</w:p>
<w:p>
<w:pPr><w:pStyle w:val="Normal"/></w:pPr>
<w:r><w:t xml:space="preserve">go on to the West Indies with part of the fleet.  He sailed</w:t></w:r>
</w:p>
<w:p>
<w:pPr><w:pStyle w:val="Normal"/></w:pPr>
<w:r><w:t xml:space="preserve">on the 29th of December 1779 with the trade for the West</w:t></w:r>
</w:p>
<w:p>
<w:pPr><w:pStyle w:val="Normal"/></w:pPr>
<w:r><w:t xml:space="preserve">Indies under his protection, captured a Spanish convoy on his</w:t></w:r>
</w:p>
<w:p>
<w:pPr><w:pStyle w:val="Normal"/></w:pPr>
<w:r><w:t xml:space="preserve">way off Finisterre on the 8th of January, defeated a smaller</w:t></w:r>
</w:p>
<w:p>
<w:pPr><w:pStyle w:val="Normal"/></w:pPr>
<w:r><w:t xml:space="preserve">Spanish force near Cape St Vincent on the 16th, relieved</w:t></w:r>
</w:p>
<w:p>
<w:pPr><w:pStyle w:val="Normal"/></w:pPr>
<w:r><w:t xml:space="preserve">Gibraltar on the 19th, and left for the West Indies on the</w:t></w:r>
</w:p>
<w:p>
<w:pPr><w:pStyle w:val="Normal"/></w:pPr>
<w:r><w:t xml:space="preserve">13th of February.  On the 27th of March he joined Sir Hyde</w:t></w:r>
</w:p>
<w:p>
<w:pPr><w:pStyle w:val="Normal"/></w:pPr>
<w:r><w:t xml:space="preserve">Parker at Santa Lucia, and Guichen retired to Fort Royal in</w:t></w:r>
</w:p>
<w:p>
<w:pPr><w:pStyle w:val="Normal"/></w:pPr>
<w:r><w:t xml:space="preserve">Martinique.  Until July the fleets of Rodney and Guichen, of</w:t></w:r>
</w:p>
<w:p>
<w:pPr><w:pStyle w:val="Normal"/></w:pPr>
<w:r><w:t xml:space="preserve">equal strength, were engaged in operations round the island of</w:t></w:r>
</w:p>
<w:p>
<w:pPr><w:pStyle w:val="Normal"/></w:pPr>
<w:r><w:t xml:space="preserve">Martinique.  The British admiral endeavoured to force on a close</w:t></w:r>
</w:p>
<w:p>
<w:pPr><w:pStyle w:val="Normal"/></w:pPr>
<w:r><w:t xml:space="preserve">engagement.  But in the first encounter on the 17th of April</w:t></w:r>
</w:p>
<w:p>
<w:pPr><w:pStyle w:val="Normal"/></w:pPr>
<w:r><w:t xml:space="preserve">to leeward of the island, Rodney&apos;s orders were not executed</w:t></w:r>
</w:p>
<w:p>
<w:pPr><w:pStyle w:val="Normal"/></w:pPr>
<w:r><w:t xml:space="preserve">by his captains, and the action was indecisive.  He wished to</w:t></w:r>
</w:p>
<w:p>
<w:pPr><w:pStyle w:val="Normal"/></w:pPr>
<w:r><w:t xml:space="preserve">concentrate on the rear of the enemy&apos;s line, but his captains</w:t></w:r>
</w:p>
<w:p>
<w:pPr><w:pStyle w:val="Normal"/></w:pPr>
<w:r><w:t xml:space="preserve">scattered themselves along the French formation.  In two</w:t></w:r>
</w:p>
<w:p>
<w:pPr><w:pStyle w:val="Normal"/></w:pPr>
<w:r><w:t xml:space="preserve">subsequent actions, on the 15th and 19th of May, to windward of</w:t></w:r>
</w:p>
<w:p>
<w:pPr><w:pStyle w:val="Normal"/></w:pPr>
<w:r><w:t xml:space="preserve">Martinique, the French admiral would not be brought to close</w:t></w:r>
</w:p>
<w:p>
<w:pPr><w:pStyle w:val="Normal"/></w:pPr>
<w:r><w:t xml:space="preserve">action.  The arrival of a Spanish squadron of twelve ships</w:t></w:r>
</w:p>
<w:p>
<w:pPr><w:pStyle w:val="Normal"/></w:pPr>
<w:r><w:t xml:space="preserve">of the line in June gave a great numerical superiority to</w:t></w:r>
</w:p>
<w:p>
<w:pPr><w:pStyle w:val="Normal"/></w:pPr>
<w:r><w:t xml:space="preserve">the allies, and Rodney retired to Gros Islet Bay in Santa</w:t></w:r>
</w:p>
<w:p>
<w:pPr><w:pStyle w:val="Normal"/></w:pPr>
<w:r><w:t xml:space="preserve">Lucia.  But nothing decisive occurred.  The Spanish fleet</w:t></w:r>
</w:p>
<w:p>
<w:pPr><w:pStyle w:val="Normal"/></w:pPr>
<w:r><w:t xml:space="preserve">was in bad health, the French much worn-out.  The first</w:t></w:r>
</w:p>
<w:p>
<w:pPr><w:pStyle w:val="Normal"/></w:pPr>
<w:r><w:t xml:space="preserve">went on to Havana, the second to San Domingo.  In July,</w:t></w:r>
</w:p>
<w:p>
<w:pPr><w:pStyle w:val="Normal"/></w:pPr>
<w:r><w:t xml:space="preserve">on the approach of the dangerous hurricane season, Rodney</w:t></w:r>
</w:p>
<w:p>
<w:pPr><w:pStyle w:val="Normal"/></w:pPr>
<w:r><w:t xml:space="preserve">sailed for North America, reaching New York on the 14th of</w:t></w:r>
</w:p>
<w:p>
<w:pPr><w:pStyle w:val="Normal"/></w:pPr>
<w:r><w:t xml:space="preserve">September.  Guichen returned home with the most worn-out of his</w:t></w:r>
</w:p>
<w:p>
<w:pPr><w:pStyle w:val="Normal"/></w:pPr>
<w:r><w:t xml:space="preserve">ships.  On the 6th of December Rodney was back at Barbadoes</w:t></w:r>
</w:p>
<w:p>
<w:pPr><w:pStyle w:val="Normal"/></w:pPr>
<w:r><w:t xml:space="preserve">from the North American station, where he was not able to</w:t></w:r>
</w:p>
<w:p>
<w:pPr><w:pStyle w:val="Normal"/></w:pPr>
<w:r><w:t xml:space="preserve">effect anything against the French in Narragansett Bay.</w:t></w:r>
</w:p>
<w:p>
<w:pPr><w:pStyle w:val="Normal"/></w:pPr>
<w:r><w:t xml:space="preserve">The rambling operations of the naval war till the close</w:t></w:r>
</w:p>
<w:p>
<w:pPr><w:pStyle w:val="Normal"/></w:pPr>
<w:r><w:t xml:space="preserve">of 1780-- directed by the allies to such secondary objects</w:t></w:r>
</w:p>
<w:p>
<w:pPr><w:pStyle w:val="Normal"/></w:pPr>
<w:r><w:t xml:space="preserve">as the capture of West Indian islands, or of Minorca and</w:t></w:r>
</w:p>
<w:p>
<w:pPr><w:pStyle w:val="Normal"/></w:pPr>
<w:r><w:t xml:space="preserve">Gibraltar, and by Great Britain to defensive movements--began</w:t></w:r>
</w:p>
<w:p>
<w:pPr><w:pStyle w:val="Normal"/></w:pPr>
<w:r><w:t xml:space="preserve">to assume a degree of coherence in 1781.  Holland having now</w:t></w:r>
</w:p>
<w:p>
<w:pPr><w:pStyle w:val="Normal"/></w:pPr>
<w:r><w:t xml:space="preserve">joined the allies, the British government was compelled to</w:t></w:r>
</w:p>
<w:p>
<w:pPr><w:pStyle w:val="Normal"/></w:pPr>
<w:r><w:t xml:space="preserve">withdraw part of its fleet from other purposes to protect</w:t></w:r>
</w:p>
<w:p>
<w:pPr><w:pStyle w:val="Normal"/></w:pPr>
<w:r><w:t xml:space="preserve">the North Sea trade.  A desperate battle was fought on the</w:t></w:r>
</w:p>
<w:p>
<w:pPr><w:pStyle w:val="Normal"/></w:pPr>
<w:r><w:t xml:space="preserve">Dogger Bank on the 5th of August between Sir Hyde Parker and</w:t></w:r>
</w:p>
<w:p>
<w:pPr><w:pStyle w:val="Normal"/></w:pPr>
<w:r><w:t xml:space="preserve">the Dutch admiral Zoutman, both being engaged in protecting</w:t></w:r>
</w:p>
<w:p>
<w:pPr><w:pStyle w:val="Normal"/></w:pPr>
<w:r><w:t xml:space="preserve">trade; but Holland did not affect the general course of the</w:t></w:r>
</w:p>
<w:p>
<w:pPr><w:pStyle w:val="Normal"/></w:pPr>
<w:r><w:t xml:space="preserve">war.  The allies again failed to make a vigorous attack on the</w:t></w:r>
</w:p>
<w:p>
<w:pPr><w:pStyle w:val="Normal"/></w:pPr>
<w:r><w:t xml:space="preserve">British forces in the Channel.  They could not even prevent</w:t></w:r>
</w:p>
<w:p>
<w:pPr><w:pStyle w:val="Normal"/></w:pPr>
<w:r><w:t xml:space="preserve">Admiral George Darby from relieving Gibraltar and Minorca in</w:t></w:r>
</w:p>
<w:p>
<w:pPr><w:pStyle w:val="Normal"/></w:pPr>
<w:r><w:t xml:space="preserve">April.  The second of these places was closely invested later</w:t></w:r>
</w:p>
<w:p>
<w:pPr><w:pStyle w:val="Normal"/></w:pPr>
<w:r><w:t xml:space="preserve">on, and was compelled to surrender on the 5th of February</w:t></w:r>
</w:p>
<w:p>
<w:pPr><w:pStyle w:val="Normal"/></w:pPr>
<w:r><w:t xml:space="preserve">1782.  But a vigorous policy was carried out by France</w:t></w:r>
</w:p>
<w:p>
<w:pPr><w:pStyle w:val="Normal"/></w:pPr>
<w:r><w:t xml:space="preserve">in the West Indies and America, while she began a most</w:t></w:r>
</w:p>
<w:p>
<w:pPr><w:pStyle w:val="Normal"/></w:pPr>
<w:r><w:t xml:space="preserve">resolute attack on the British position in the East Indies.</w:t></w:r>
</w:p>
<w:p>
<w:pPr><w:pStyle w:val="Normal"/></w:pPr>
<w:r><w:t xml:space="preserve">In the West Indies Rodney, having received news of the</w:t></w:r>
</w:p>
<w:p>
<w:pPr><w:pStyle w:val="Normal"/></w:pPr>
<w:r><w:t xml:space="preserve">breach with Holland early in the year, took the island of St</w:t></w:r>
</w:p>
<w:p>
<w:pPr><w:pStyle w:val="Normal"/></w:pPr>
<w:r><w:t xml:space="preserve">Eustatius, which had been a great depot of contraband of war,</w:t></w:r>
</w:p>
<w:p>
<w:pPr><w:pStyle w:val="Normal"/></w:pPr>
<w:r><w:t xml:space="preserve">on the 3rd of February.  The British admiral was accused of</w:t></w:r>
</w:p>
<w:p>
<w:pPr><w:pStyle w:val="Normal"/></w:pPr>
<w:r><w:t xml:space="preserve">applying himself so entirely to seizing and selling his booty</w:t></w:r>
</w:p>
<w:p>
<w:pPr><w:pStyle w:val="Normal"/></w:pPr>
<w:r><w:t xml:space="preserve">that he would not allow his second in command, Sir Samuel</w:t></w:r>
</w:p>
<w:p>
<w:pPr><w:pStyle w:val="Normal"/></w:pPr>
<w:r><w:t xml:space="preserve">Hood, who had recently joined him, to take proper measures</w:t></w:r>
</w:p>
<w:p>
<w:pPr><w:pStyle w:val="Normal"/></w:pPr>
<w:r><w:t xml:space="preserve">to impede the arrival of French forces known to be on their</w:t></w:r>
</w:p>
<w:p>
<w:pPr><w:pStyle w:val="Normal"/></w:pPr>
<w:r><w:t xml:space="preserve">way to Martinique.  The French admiral, the count de Grasse,</w:t></w:r>
</w:p>
<w:p>
<w:pPr><w:pStyle w:val="Normal"/></w:pPr>
<w:r><w:t xml:space="preserve">reached the island with reinforcements in April.  Until July</w:t></w:r>
</w:p>
<w:p>
<w:pPr><w:pStyle w:val="Normal"/></w:pPr>
<w:r><w:t xml:space="preserve">he was engaged in a series of skilful operations directed to</w:t></w:r>
</w:p>
<w:p>
<w:pPr><w:pStyle w:val="Normal"/></w:pPr>
<w:r><w:t xml:space="preserve">menacing the British islands while he avoided being brought</w:t></w:r>
</w:p>
<w:p>
<w:pPr><w:pStyle w:val="Normal"/></w:pPr>
<w:r><w:t xml:space="preserve">to battle by Rodney.  In July he sailed for the coast of North</w:t></w:r>
</w:p>
<w:p>
<w:pPr><w:pStyle w:val="Normal"/></w:pPr>
<w:r><w:t xml:space="preserve">America, whither he was followed in August by Sir S. Hood,</w:t></w:r>
</w:p>
<w:p>
<w:pPr><w:pStyle w:val="Normal"/></w:pPr>
<w:r><w:t xml:space="preserve">Rodney having been compelled to return home in ill- health.</w:t></w:r>
</w:p>
<w:p>
<w:pPr><w:pStyle w:val="Normal"/></w:pPr>
<w:r><w:t xml:space="preserve">On the coast of North America the war came to its crisis.</w:t></w:r>
</w:p>
<w:p>
<w:pPr><w:pStyle w:val="Normal"/></w:pPr>
<w:r><w:t xml:space="preserve">In the earlier part of the year the British at New York and</w:t></w:r>
</w:p>
<w:p>
<w:pPr><w:pStyle w:val="Normal"/></w:pPr>
<w:r><w:t xml:space="preserve">the French at Newport continued to watch one another.  In</w:t></w:r>
</w:p>
<w:p>
<w:pPr><w:pStyle w:val="Normal"/></w:pPr>
<w:r><w:t xml:space="preserve">April the British admiral Arbuthnot did indeed succeed in</w:t></w:r>
</w:p>
<w:p>
<w:pPr><w:pStyle w:val="Normal"/></w:pPr>
<w:r><w:t xml:space="preserve">baffling an attempt of the French to carry reinforcements</w:t></w:r>
</w:p>
<w:p>
<w:pPr><w:pStyle w:val="Normal"/></w:pPr>
<w:r><w:t xml:space="preserve">to the American cause in Virginia.  The action he fought</w:t></w:r>
</w:p>
<w:p>
<w:pPr><w:pStyle w:val="Normal"/></w:pPr>
<w:r><w:t xml:space="preserve">off the capes of Virginia on the 16th of April was ill</w:t></w:r>
</w:p>
<w:p>
<w:pPr><w:pStyle w:val="Normal"/></w:pPr>
<w:r><w:t xml:space="preserve">conducted, but his main purpose was achieved.  Washington,</w:t></w:r>
</w:p>
<w:p>
<w:pPr><w:pStyle w:val="Normal"/></w:pPr>
<w:r><w:t xml:space="preserve">who was wisely anxious to concentrate attack on one or other</w:t></w:r>
</w:p>
<w:p>
<w:pPr><w:pStyle w:val="Normal"/></w:pPr>
<w:r><w:t xml:space="preserve">of the centres of British power in Virginia or New York,</w:t></w:r>
</w:p>
<w:p>
<w:pPr><w:pStyle w:val="Normal"/></w:pPr>
<w:r><w:t xml:space="preserve">had to wait till the arrival of Grasse before he could see</w:t></w:r>
</w:p>
<w:p>
<w:pPr><w:pStyle w:val="Normal"/></w:pPr>
<w:r><w:t xml:space="preserve">his ideas applied.  The French admiral gave the allies a</w:t></w:r>
</w:p>
<w:p>
<w:pPr><w:pStyle w:val="Normal"/></w:pPr>
<w:r><w:t xml:space="preserve">superiority of naval strength on the coast of Virginia, and</w:t></w:r>
</w:p>
<w:p>
<w:pPr><w:pStyle w:val="Normal"/></w:pPr>
<w:r><w:t xml:space="preserve">Lord Cornwallis, the British commander, was beleaguered in</w:t></w:r>
</w:p>
<w:p>
<w:pPr><w:pStyle w:val="Normal"/></w:pPr>
<w:r><w:t xml:space="preserve">Yorktown.  Admiral Thomas Graves, Arbuthnot&apos;s successor, who</w:t></w:r>
</w:p>
<w:p>
<w:pPr><w:pStyle w:val="Normal"/></w:pPr>
<w:r><w:t xml:space="preserve">had been joined by Hood from the West Indies, endeavoured to</w:t></w:r>
</w:p>
<w:p>
<w:pPr><w:pStyle w:val="Normal"/></w:pPr>
<w:r><w:t xml:space="preserve">drive off the French fleet.  But the feeble battle he fought</w:t></w:r>
</w:p>
<w:p>
<w:pPr><w:pStyle w:val="Normal"/></w:pPr>
<w:r><w:t xml:space="preserve">on the 5th of September failed to shake the French hold on the</w:t></w:r>
</w:p>
<w:p>
<w:pPr><w:pStyle w:val="Normal"/></w:pPr>
<w:r><w:t xml:space="preserve">Chesapeake, and Grasse having been reinforced, Graves sailed</w:t></w:r>
</w:p>
<w:p>
<w:pPr><w:pStyle w:val="Normal"/></w:pPr>
<w:r><w:t xml:space="preserve">away.  Yorktown fell on the 19th of October, and the war was</w:t></w:r>
</w:p>
<w:p>
<w:pPr><w:pStyle w:val="Normal"/></w:pPr>
<w:r><w:t xml:space="preserve">settled as far as the coast of North America was concerned.</w:t></w:r>
</w:p>
<w:p>
<w:pPr><w:pStyle w:val="Normal"/></w:pPr>
<w:r><w:t xml:space="preserve">The French admiral, having rendered this vital service to his</w:t></w:r>
</w:p>
<w:p>
<w:pPr><w:pStyle w:val="Normal"/></w:pPr>
<w:r><w:t xml:space="preserve">ally, now returned to the West Indies, whither he was followed</w:t></w:r>
</w:p>
<w:p>
<w:pPr><w:pStyle w:val="Normal"/></w:pPr>
<w:r><w:t xml:space="preserve">by Hood, and resumed the attacks on the British islands.</w:t></w:r>
</w:p>
<w:p>
<w:pPr><w:pStyle w:val="Normal"/></w:pPr>
<w:r><w:t xml:space="preserve">In January and February 1782 he conquered St Christopher,</w:t></w:r>
</w:p>
<w:p>
<w:pPr><w:pStyle w:val="Normal"/></w:pPr>
<w:r><w:t xml:space="preserve">in spite of the most determined opposition of Hood, who with</w:t></w:r>
</w:p>
<w:p>
<w:pPr><w:pStyle w:val="Normal"/></w:pPr>
<w:r><w:t xml:space="preserve">a much inferior force first drove him from his anchorage at</w:t></w:r>
</w:p>
<w:p>
<w:pPr><w:pStyle w:val="Normal"/></w:pPr>
<w:r><w:t xml:space="preserve">Basseterre, and then repulsed his repeated attacks.  The next</w:t></w:r>
</w:p>
<w:p>
<w:pPr><w:pStyle w:val="Normal"/></w:pPr>
<w:r><w:t xml:space="preserve">purpose of the French was to combine with the Spaniards for an</w:t></w:r>
</w:p>
<w:p>
<w:pPr><w:pStyle w:val="Normal"/></w:pPr>
<w:r><w:t xml:space="preserve">attack on Jamaica.  Sir George Rodney, having returned to his</w:t></w:r>
</w:p>
<w:p>
<w:pPr><w:pStyle w:val="Normal"/></w:pPr>
<w:r><w:t xml:space="preserve">command with reinforcements, baffled this plan by the series</w:t></w:r>
</w:p>
<w:p>
<w:pPr><w:pStyle w:val="Normal"/></w:pPr>
<w:r><w:t xml:space="preserve">of operations which culminated in the battle of the 12th of</w:t></w:r>
</w:p>
<w:p>
<w:pPr><w:pStyle w:val="Normal"/></w:pPr>
<w:r><w:t xml:space="preserve">April 1782. (See SAINTS, BATTLE OF.) No further operations</w:t></w:r>
</w:p>
<w:p>
<w:pPr><w:pStyle w:val="Normal"/></w:pPr>
<w:r><w:t xml:space="preserve">of note occurred in the West Indies.  At home Howe relieved</w:t></w:r>
</w:p>
<w:p>
<w:pPr><w:pStyle w:val="Normal"/></w:pPr>
<w:r><w:t xml:space="preserve">Gibraltar for the last time in September and October 1782.</w:t></w:r>
</w:p>
<w:p>
<w:pPr><w:pStyle w:val="Normal"/></w:pPr>
<w:r><w:t xml:space="preserve">The war in the East Indies formed a separate series of</w:t></w:r>
</w:p>
<w:p>
<w:pPr><w:pStyle w:val="Normal"/></w:pPr>
<w:r><w:t xml:space="preserve">episodes.  In 1778 the British authorities had little difficulty</w:t></w:r>
</w:p>
<w:p>
<w:pPr><w:pStyle w:val="Normal"/></w:pPr>
<w:r><w:t xml:space="preserve">in seizing the French settlement of Pondicherry.  A naval</w:t></w:r>
</w:p>
<w:p>
<w:pPr><w:pStyle w:val="Normal"/></w:pPr>
<w:r><w:t xml:space="preserve">engagement of a very feeble kind took place on the 10th of</w:t></w:r>
</w:p>
<w:p>
<w:pPr><w:pStyle w:val="Normal"/></w:pPr>
<w:r><w:t xml:space="preserve">August in the Bay of Bengal, between the British naval officer</w:t></w:r>
</w:p>
<w:p>
<w:pPr><w:pStyle w:val="Normal"/></w:pPr>
<w:r><w:t xml:space="preserve">in command and M. de Tronjoly.  But the French were too weak</w:t></w:r>
</w:p>
<w:p>
<w:pPr><w:pStyle w:val="Normal"/></w:pPr>
<w:r><w:t xml:space="preserve">in these seas for offensive movements, and therefore remained</w:t></w:r>
</w:p>
<w:p>
<w:pPr><w:pStyle w:val="Normal"/></w:pPr>
<w:r><w:t xml:space="preserve">quiescent at Bourbon and Mauritius till the beginning of</w:t></w:r>
</w:p>
<w:p>
<w:pPr><w:pStyle w:val="Normal"/></w:pPr>
<w:r><w:t xml:space="preserve">1782.  In the spring of 1781 the bailli de Suffren was sent</w:t></w:r>
</w:p>
<w:p>
<w:pPr><w:pStyle w:val="Normal"/></w:pPr>
<w:r><w:t xml:space="preserve">to the East with a small squadron; on his way he fell upon</w:t></w:r>
</w:p>
<w:p>
<w:pPr><w:pStyle w:val="Normal"/></w:pPr>
<w:r><w:t xml:space="preserve">a British force which had been sent to take the Cape from</w:t></w:r>
</w:p>
<w:p>
<w:pPr><w:pStyle w:val="Normal"/></w:pPr>
<w:r><w:t xml:space="preserve">the Dutch, and which he found in the Portuguese anchorage</w:t></w:r>
</w:p>
<w:p>
<w:pPr><w:pStyle w:val="Normal"/></w:pPr>
<w:r><w:t xml:space="preserve">of Porto Praya, on the 16th of April.  Having provided for</w:t></w:r>
</w:p>
<w:p>
<w:pPr><w:pStyle w:val="Normal"/></w:pPr>
<w:r><w:t xml:space="preserve">the security of the Cape, Suffren went on to the French</w:t></w:r>
</w:p>
<w:p>
<w:pPr><w:pStyle w:val="Normal"/></w:pPr>
<w:r><w:t xml:space="preserve">islands.  He sailed from them early in 1782 to carry out a</w:t></w:r>
</w:p>
<w:p>
<w:pPr><w:pStyle w:val="Normal"/></w:pPr>
<w:r><w:t xml:space="preserve">vehement attack on the British forces in the Bay of Bengal.</w:t></w:r>
</w:p>
<w:p>
<w:pPr><w:pStyle w:val="Normal"/></w:pPr>
<w:r><w:t xml:space="preserve">From the 17th of February 1782 to the 20th of June 1783 he</w:t></w:r>
</w:p>
<w:p>
<w:pPr><w:pStyle w:val="Normal"/></w:pPr>
<w:r><w:t xml:space="preserve">fought a series of fine actions against Sir Edward Hughes, by</w:t></w:r>
</w:p>
<w:p>
<w:pPr><w:pStyle w:val="Normal"/></w:pPr>
<w:r><w:t xml:space="preserve">which he secured a marked superiority on the water.  Though</w:t></w:r>
</w:p>
<w:p>
<w:pPr><w:pStyle w:val="Normal"/></w:pPr>
<w:r><w:t xml:space="preserve">he had no port in which to refit and no ally save Hyder Ali,</w:t></w:r>
</w:p>
<w:p>
<w:pPr><w:pStyle w:val="Normal"/></w:pPr>
<w:r><w:t xml:space="preserve">he kept the sea and did not even return to the French islands</w:t></w:r>
</w:p>
<w:p>
<w:pPr><w:pStyle w:val="Normal"/></w:pPr>
<w:r><w:t xml:space="preserve">during the north-easterly monsoon.  Suffren failed in his main</w:t></w:r>
</w:p>
<w:p>
<w:pPr><w:pStyle w:val="Normal"/></w:pPr>
<w:r><w:t xml:space="preserve">purpose, which was to make such a capture as would put his</w:t></w:r>
</w:p>
<w:p>
<w:pPr><w:pStyle w:val="Normal"/></w:pPr>
<w:r><w:t xml:space="preserve">government in a strong position during the negotiations for</w:t></w:r>
</w:p>
<w:p>
<w:pPr><w:pStyle w:val="Normal"/></w:pPr>
<w:r><w:t xml:space="preserve">peace.  But his capture of Trincomalee in July 1782 in spite</w:t></w:r>
</w:p>
<w:p>
<w:pPr><w:pStyle w:val="Normal"/></w:pPr>
<w:r><w:t xml:space="preserve">of Sir Edward Hughes, and the heavy loss he inflicted on the</w:t></w:r>
</w:p>
<w:p>
<w:pPr><w:pStyle w:val="Normal"/></w:pPr>
<w:r><w:t xml:space="preserve">British fleet in several of the actions he fought, constitute the</w:t></w:r>
</w:p>
<w:p>
<w:pPr><w:pStyle w:val="Normal"/></w:pPr>
<w:r><w:t xml:space="preserve">most honourable part of the French naval operations in the war.</w:t></w:r>
</w:p>
<w:p>
<w:pPr><w:pStyle w:val="Normal"/></w:pPr>
<w:r><w:t xml:space="preserve">AUTHORITIES.--The Influence of Sea Power upon History,</w:t></w:r>
</w:p>
<w:p>
<w:pPr><w:pStyle w:val="Normal"/></w:pPr>
<w:r><w:t xml:space="preserve">Captain Mahan, gives the best critical examination of the</w:t></w:r>
</w:p>
<w:p>
<w:pPr><w:pStyle w:val="Normal"/></w:pPr>
<w:r><w:t xml:space="preserve">naval aspects of the war.  The French side will be found</w:t></w:r>
</w:p>
<w:p>
<w:pPr><w:pStyle w:val="Normal"/></w:pPr>
<w:r><w:t xml:space="preserve">in the Histoire de la marine francaise pendant la Guerre</w:t></w:r>
</w:p>
<w:p>
<w:pPr><w:pStyle w:val="Normal"/></w:pPr>
<w:r><w:t xml:space="preserve">de l&apos;Independence americaine (Paris, 1877), by Captain</w:t></w:r>
</w:p>
<w:p>
<w:pPr><w:pStyle w:val="Normal"/></w:pPr>
<w:r><w:t xml:space="preserve">Chevalier.  For accounts of the American navy see C. O.</w:t></w:r>
</w:p>
<w:p>
<w:pPr><w:pStyle w:val="Normal"/></w:pPr>
<w:r><w:t xml:space="preserve">Paullin, The Navy of the American Revolution (Chicago,</w:t></w:r>
</w:p>
<w:p>
<w:pPr><w:pStyle w:val="Normal"/></w:pPr>
<w:r><w:t xml:space="preserve">1906); E. S. Maclay, History of the U.S. Navy, vol.</w:t></w:r>
</w:p>
<w:p>
<w:pPr><w:pStyle w:val="Normal"/></w:pPr>
<w:r><w:t xml:space="preserve">i. (New York, 1897): C. H. Lincoln, Naval Records of</w:t></w:r>
</w:p>
<w:p>
<w:pPr><w:pStyle w:val="Normal"/></w:pPr>
<w:r><w:t xml:space="preserve">the American Revolution (Washington, 1906); and Edward</w:t></w:r>
</w:p>
<w:p>
<w:pPr><w:pStyle w:val="Normal"/></w:pPr>
<w:r><w:t xml:space="preserve">Field, Esek Hopkins, Commander-in-chief of the Continental</w:t></w:r>
</w:p>
<w:p>
<w:pPr><w:pStyle w:val="Normal"/></w:pPr>
<w:r><w:t xml:space="preserve">Navy during the American Revolution (Providence, R.I.,</w:t></w:r>
</w:p>
<w:p>
<w:pPr><w:pStyle w:val="Normal"/></w:pPr>
<w:r><w:t xml:space="preserve">1898).  For details of actions the reader may be referred to</w:t></w:r>
</w:p>
<w:p>
<w:pPr><w:pStyle w:val="Normal"/></w:pPr>
<w:r><w:t xml:space="preserve">Beatson&apos;s Naval and Military Memoirs of Great Britain from</w:t></w:r>
</w:p>
<w:p>
<w:pPr><w:pStyle w:val="Normal"/></w:pPr>
<w:r><w:t xml:space="preserve">1727 to 1783 (London, 1804), and to Sir W. Laird Clowes&apos;s</w:t></w:r>
</w:p>
<w:p>
<w:pPr><w:pStyle w:val="Normal"/></w:pPr>
<w:r><w:t xml:space="preserve">The Royal Navy: A History (London, 1897, &amp;c.). (D. H.)</w:t></w:r>
</w:p>
<w:p>
<w:pPr><w:pStyle w:val="Normal"/></w:pPr>
<w:r><w:t xml:space="preserve">AMERICAN WAR OF 1812.  The war between the United States</w:t></w:r>
</w:p>
<w:p>
<w:pPr><w:pStyle w:val="Normal"/></w:pPr>
<w:r><w:t xml:space="preserve">and Great Britain, commonly known as &quot;of 1812,&quot; began by the</w:t></w:r>
</w:p>
<w:p>
<w:pPr><w:pStyle w:val="Normal"/></w:pPr>
<w:r><w:t xml:space="preserve">American declaration of war on the 18th of June of that year,</w:t></w:r>
</w:p>
<w:p>
<w:pPr><w:pStyle w:val="Normal"/></w:pPr>
<w:r><w:t xml:space="preserve">and lasted till the beginning of 1815.  The treaty of peace</w:t></w:r>
</w:p>
<w:p>
<w:pPr><w:pStyle w:val="Normal"/></w:pPr>
<w:r><w:t xml:space="preserve">signed at Ghent on the 24th of December 1814 was ratified by</w:t></w:r>
</w:p>
<w:p>
<w:pPr><w:pStyle w:val="Normal"/></w:pPr>
<w:r><w:t xml:space="preserve">the president of the United States on the 17th of February</w:t></w:r>
</w:p>
<w:p>
<w:pPr><w:pStyle w:val="Normal"/></w:pPr>
<w:r><w:t xml:space="preserve">1815.  These two years and a half of conflict were filled</w:t></w:r>
</w:p>
<w:p>
<w:pPr><w:pStyle w:val="Normal"/></w:pPr>
<w:r><w:t xml:space="preserve">with isolated encounters which can hardly be reduced to</w:t></w:r>
</w:p>
<w:p>
<w:pPr><w:pStyle w:val="Normal"/></w:pPr>
<w:r><w:t xml:space="preserve">coherent and ordered operations.  Although the outbreak of</w:t></w:r>
</w:p>
<w:p>
<w:pPr><w:pStyle w:val="Normal"/></w:pPr>
<w:r><w:t xml:space="preserve">war had been preceded by years of angry diplomatic dispute,</w:t></w:r>
</w:p>
<w:p>
<w:pPr><w:pStyle w:val="Normal"/></w:pPr>
<w:r><w:t xml:space="preserve">the United States were absolutely unready, while Great Britain</w:t></w:r>
</w:p>
<w:p>
<w:pPr><w:pStyle w:val="Normal"/></w:pPr>
<w:r><w:t xml:space="preserve">was still hard pressed by the hostility of Napoleon, and was</w:t></w:r>
</w:p>
<w:p>
<w:pPr><w:pStyle w:val="Normal"/></w:pPr>
<w:r><w:t xml:space="preserve">compelled to retain the greater part of her forces and her</w:t></w:r>
</w:p>
<w:p>
<w:pPr><w:pStyle w:val="Normal"/></w:pPr>
<w:r><w:t xml:space="preserve">best crews in European waters, till the ruin of the Grande</w:t></w:r>
</w:p>
<w:p>
<w:pPr><w:pStyle w:val="Normal"/></w:pPr>
<w:r><w:t xml:space="preserve">Armee in Russia and the rising of Germany left her free</w:t></w:r>
</w:p>
<w:p>
<w:pPr><w:pStyle w:val="Normal"/></w:pPr>
<w:r><w:t xml:space="preserve">to send an overwhelming force of ships to American waters.</w:t></w:r>
</w:p>
<w:p>
<w:pPr><w:pStyle w:val="Normal"/></w:pPr>
<w:r><w:t xml:space="preserve">The forces actually available on the American side when</w:t></w:r>
</w:p>
<w:p>
<w:pPr><w:pStyle w:val="Normal"/></w:pPr>
<w:r><w:t xml:space="preserve">the war began consisted of a small squadron of very fine</w:t></w:r>
</w:p>
<w:p>
<w:pPr><w:pStyle w:val="Normal"/></w:pPr>
<w:r><w:t xml:space="preserve">frigates and sloops in an efficient state.  Twenty-two was</w:t></w:r>
</w:p>
<w:p>
<w:pPr><w:pStyle w:val="Normal"/></w:pPr>
<w:r><w:t xml:space="preserve">the extreme limit of the naval force the States were able to</w:t></w:r>
</w:p>
<w:p>
<w:pPr><w:pStyle w:val="Normal"/></w:pPr>
<w:r><w:t xml:space="preserve">commission.  The paper strength of the army was 35,000, but</w:t></w:r>
</w:p>
<w:p>
<w:pPr><w:pStyle w:val="Normal"/></w:pPr>
<w:r><w:t xml:space="preserve">the service was voluntary and unpopular, while there was an</w:t></w:r>
</w:p>
<w:p>
<w:pPr><w:pStyle w:val="Normal"/></w:pPr>
<w:r><w:t xml:space="preserve">almost total want of trained and experienced officers.  The</w:t></w:r>
</w:p>
<w:p>
<w:pPr><w:pStyle w:val="Normal"/></w:pPr>
<w:r><w:t xml:space="preserve">available strength was a bare third of the nominal.  The</w:t></w:r>
</w:p>
<w:p>
<w:pPr><w:pStyle w:val="Normal"/></w:pPr>
<w:r><w:t xml:space="preserve">militia, called in to aid the regulars, proved untrustworthy.</w:t></w:r>
</w:p>
<w:p>
<w:pPr><w:pStyle w:val="Normal"/></w:pPr>
<w:r><w:t xml:space="preserve">They objected to serve beyond the limits of their states, were</w:t></w:r>
</w:p>
<w:p>
<w:pPr><w:pStyle w:val="Normal"/></w:pPr>
<w:r><w:t xml:space="preserve">not amenable to discipline, and behaved as a rule very ill in</w:t></w:r>
</w:p>
<w:p>
<w:pPr><w:pStyle w:val="Normal"/></w:pPr>
<w:r><w:t xml:space="preserve">the presence of the enemy.  On the British side, the naval force</w:t></w:r>
</w:p>
<w:p>
<w:pPr><w:pStyle w:val="Normal"/></w:pPr>
<w:r><w:t xml:space="preserve">in American waters under Sir John Borlase Warren, who took up</w:t></w:r>
</w:p>
<w:p>
<w:pPr><w:pStyle w:val="Normal"/></w:pPr>
<w:r><w:t xml:space="preserve">the general command on the 26th of September 1812, consisted</w:t></w:r>
</w:p>
<w:p>
<w:pPr><w:pStyle w:val="Normal"/></w:pPr>
<w:r><w:t xml:space="preserve">of ninety-seven vessels in all, of which eleven were of the</w:t></w:r>
</w:p>
<w:p>
<w:pPr><w:pStyle w:val="Normal"/></w:pPr>
<w:r><w:t xml:space="preserve">line and thirty-four were frigates, a power much greater than</w:t></w:r>
</w:p>
<w:p>
<w:pPr><w:pStyle w:val="Normal"/></w:pPr>
<w:r><w:t xml:space="preserve">the national navy of America, but inadequate to the blockade</w:t></w:r>
</w:p>
<w:p>
<w:pPr><w:pStyle w:val="Normal"/></w:pPr>
<w:r><w:t xml:space="preserve">of the long coast from New Brunswick to Florida.  The total</w:t></w:r>
</w:p>
<w:p>
<w:pPr><w:pStyle w:val="Normal"/></w:pPr>
<w:r><w:t xml:space="preserve">number of British troops present in Canada in July 1812 was</w:t></w:r>
</w:p>
<w:p>
<w:pPr><w:pStyle w:val="Normal"/></w:pPr>
<w:r><w:t xml:space="preserve">officially stated to be 5004, consisting in part of Canadians.</w:t></w:r>
</w:p>
<w:p>
<w:pPr><w:pStyle w:val="Normal"/></w:pPr>
<w:r><w:t xml:space="preserve">The scene of operations naturally divided into three</w:t></w:r>
</w:p>
<w:p>
<w:pPr><w:pStyle w:val="Normal"/></w:pPr>
<w:r><w:t xml:space="preserve">sections:--(1) the ocean; (2) the Canadian frontier, from</w:t></w:r>
</w:p>
<w:p>
<w:pPr><w:pStyle w:val="Normal"/></w:pPr>
<w:r><w:t xml:space="preserve">Lake Huron, by Lakes Erie and Ontario, the course of the</w:t></w:r>
</w:p>
<w:p>
<w:pPr><w:pStyle w:val="Normal"/></w:pPr>
<w:r><w:t xml:space="preserve">St Lawrence and Lake Champlain; (3) the coast of the United</w:t></w:r>
</w:p>
<w:p>
<w:pPr><w:pStyle w:val="Normal"/></w:pPr>
<w:r><w:t xml:space="preserve">States.  As the operations on these three fields had little</w:t></w:r>
</w:p>
<w:p>
<w:pPr><w:pStyle w:val="Normal"/></w:pPr>
<w:r><w:t xml:space="preserve">interaction on one another, it will be more convenient to take</w:t></w:r>
</w:p>
<w:p>
<w:pPr><w:pStyle w:val="Normal"/></w:pPr>
<w:r><w:t xml:space="preserve">them separately than to follow the confusing chronological</w:t></w:r>
</w:p>
<w:p>
<w:pPr><w:pStyle w:val="Normal"/></w:pPr>
<w:r><w:t xml:space="preserve">order. Operations on the Ocean.--These cover all cruises</w:t></w:r>
</w:p>
<w:p>
<w:pPr><w:pStyle w:val="Normal"/></w:pPr>
<w:r><w:t xml:space="preserve">of sea-going ships, even when they did not go far from the</w:t></w:r>
</w:p>
<w:p>
<w:pPr><w:pStyle w:val="Normal"/></w:pPr>
<w:r><w:t xml:space="preserve">coast.  They again subdivide into the actions of national</w:t></w:r>
</w:p>
<w:p>
<w:pPr><w:pStyle w:val="Normal"/></w:pPr>
<w:r><w:t xml:space="preserve">vessels, and the raids of the privateers.  The first gave</w:t></w:r>
</w:p>
<w:p>
<w:pPr><w:pStyle w:val="Normal"/></w:pPr>
<w:r><w:t xml:space="preserve">to the United States the most brilliant successes of the</w:t></w:r>
</w:p>
<w:p>
<w:pPr><w:pStyle w:val="Normal"/></w:pPr>
<w:r><w:t xml:space="preserve">war.  When it began two small squadrons were getting ready</w:t></w:r>
</w:p>
<w:p>
<w:pPr><w:pStyle w:val="Normal"/></w:pPr>
<w:r><w:t xml:space="preserve">for sea at New York; the frigate &quot;President&quot; (44) and sloop</w:t></w:r>
</w:p>
<w:p>
<w:pPr><w:pStyle w:val="Normal"/></w:pPr>
<w:r><w:t xml:space="preserve">&quot;Hornet&quot; (18), under Commodore John Rodgers, who had also</w:t></w:r>
</w:p>
<w:p>
<w:pPr><w:pStyle w:val="Normal"/></w:pPr>
<w:r><w:t xml:space="preserve">the general command; and the frigates &quot;United States&quot; (44)</w:t></w:r>
</w:p>
<w:p>
<w:pPr><w:pStyle w:val="Normal"/></w:pPr>
<w:r><w:t xml:space="preserve">and &quot;Congress&quot; (38), with the brig &quot;Argus&quot; (16) to which</w:t></w:r>
</w:p>
<w:p>
<w:pPr><w:pStyle w:val="Normal"/></w:pPr>
<w:r><w:t xml:space="preserve">two guns were afterwards added, under Captain Stephen</w:t></w:r>
</w:p>
<w:p>
<w:pPr><w:pStyle w:val="Normal"/></w:pPr>
<w:r><w:t xml:space="preserve">Decatur.  Rodgers would have preferred to keep his command</w:t></w:r>
</w:p>
<w:p>
<w:pPr><w:pStyle w:val="Normal"/></w:pPr>
<w:r><w:t xml:space="preserve">together, and to strike with it at the main course of British</w:t></w:r>
</w:p>
<w:p>
<w:pPr><w:pStyle w:val="Normal"/></w:pPr>
<w:r><w:t xml:space="preserve">commerce, but he was overruled.  He sailed on the 21st of</w:t></w:r>
</w:p>
<w:p>
<w:pPr><w:pStyle w:val="Normal"/></w:pPr>
<w:r><w:t xml:space="preserve">June, and after chasing the British frigate &quot;Belvidera&quot;</w:t></w:r>
</w:p>
<w:p>
<w:pPr><w:pStyle w:val="Normal"/></w:pPr>
<w:r><w:t xml:space="preserve">(36), which escaped into Halifax by throwing boats, &amp;c.,</w:t></w:r>
</w:p>
<w:p>
<w:pPr><w:pStyle w:val="Normal"/></w:pPr>
<w:r><w:t xml:space="preserve">overboard, stood across the North Atlantic in search of a</w:t></w:r>
</w:p>
<w:p>
<w:pPr><w:pStyle w:val="Normal"/></w:pPr>
<w:r><w:t xml:space="preserve">West Indian convoy, which he failed to sight, returning by the</w:t></w:r>
</w:p>
<w:p>
<w:pPr><w:pStyle w:val="Normal"/></w:pPr>
<w:r><w:t xml:space="preserve">31st of August to Boston.  While he was absent, Captain Isaac</w:t></w:r>
</w:p>
<w:p>
<w:pPr><w:pStyle w:val="Normal"/></w:pPr>
<w:r><w:t xml:space="preserve">Hull, commanding the &quot;Constitution&quot; (44), sailed from the</w:t></w:r>
</w:p>
<w:p>
<w:pPr><w:pStyle w:val="Normal"/></w:pPr>
<w:r><w:t xml:space="preserve">Chesapeake, and after a narrow escape from a British squadron,</w:t></w:r>
</w:p>
<w:p>
<w:pPr><w:pStyle w:val="Normal"/></w:pPr>
<w:r><w:t xml:space="preserve">which pursued him from the 18th to the 20th of July, reached</w:t></w:r>
</w:p>
<w:p>
<w:pPr><w:pStyle w:val="Normal"/></w:pPr>
<w:r><w:t xml:space="preserve">Boston.  Going to sea again on the 2nd of August he captured</w:t></w:r>
</w:p>
<w:p>
<w:pPr><w:pStyle w:val="Normal"/></w:pPr>
<w:r><w:t xml:space="preserve">and burned the British frigate &quot;Guerriere,&quot; (38).  On the</w:t></w:r>
</w:p>
<w:p>
<w:pPr><w:pStyle w:val="Normal"/></w:pPr>
<w:r><w:t xml:space="preserve">8th of October Rodgers and Decatur sailed--the first on</w:t></w:r>
</w:p>
<w:p>
<w:pPr><w:pStyle w:val="Normal"/></w:pPr>
<w:r><w:t xml:space="preserve">a cruise to the east, the second to the south.  Commodore</w:t></w:r>
</w:p>
<w:p>
<w:pPr><w:pStyle w:val="Normal"/></w:pPr>
<w:r><w:t xml:space="preserve">Rodgers met with no marked success, but on the 25th of October</w:t></w:r>
</w:p>
<w:p>
<w:pPr><w:pStyle w:val="Normal"/></w:pPr>
<w:r><w:t xml:space="preserve">Captain Decatur in the &quot;United States&quot; captured the British</w:t></w:r>
</w:p>
<w:p>
<w:pPr><w:pStyle w:val="Normal"/></w:pPr>
<w:r><w:t xml:space="preserve">frigate &quot;Macedonian&quot; (38), which he carried back to port.</w:t></w:r>
</w:p>
<w:p>
<w:pPr><w:pStyle w:val="Normal"/></w:pPr>
<w:r><w:t xml:space="preserve">At the close of the month Captain Bainbridge sailed with the</w:t></w:r>
</w:p>
<w:p>
<w:pPr><w:pStyle w:val="Normal"/></w:pPr>
<w:r><w:t xml:space="preserve">&quot;Constitution,&quot; &quot;Essex&quot; (32) and &quot;Hornet&quot; (18) on a southerly</w:t></w:r>
</w:p>
<w:p>
<w:pPr><w:pStyle w:val="Normal"/></w:pPr>
<w:r><w:t xml:space="preserve">cruise.  On the 20th of December, when off Bahia, he fell</w:t></w:r>
</w:p>
<w:p>
<w:pPr><w:pStyle w:val="Normal"/></w:pPr>
<w:r><w:t xml:space="preserve">in with the British frigate &quot;Java&quot; (38), which was carrying</w:t></w:r>
</w:p>
<w:p>
<w:pPr><w:pStyle w:val="Normal"/></w:pPr>
<w:r><w:t xml:space="preserve">General Hislop, the governor of Bombay, to India, and took her</w:t></w:r>
</w:p>
<w:p>
<w:pPr><w:pStyle w:val="Normal"/></w:pPr>
<w:r><w:t xml:space="preserve">after a sharp action.  The &quot;Essex&quot; and &quot;Hornet&quot; were not in</w:t></w:r>
</w:p>
<w:p>
<w:pPr><w:pStyle w:val="Normal"/></w:pPr>
<w:r><w:t xml:space="preserve">company.  The first, under the command of Captain David</w:t></w:r>
</w:p>
<w:p>
<w:pPr><w:pStyle w:val="Normal"/></w:pPr>
<w:r><w:t xml:space="preserve">Porter, went on to the Pacific, where she did great injury</w:t></w:r>
</w:p>
<w:p>
<w:pPr><w:pStyle w:val="Normal"/></w:pPr>
<w:r><w:t xml:space="preserve">to British trade, till she was captured off Valparaiso by</w:t></w:r>
</w:p>
<w:p>
<w:pPr><w:pStyle w:val="Normal"/></w:pPr>
<w:r><w:t xml:space="preserve">the British frigate &quot;Phoebe&quot; (38) and the sloop &quot;Cherub&quot;</w:t></w:r>
</w:p>
<w:p>
<w:pPr><w:pStyle w:val="Normal"/></w:pPr>
<w:r><w:t xml:space="preserve">(24) on the 28th of March 1814.  In these actions, except the</w:t></w:r>
</w:p>
<w:p>
<w:pPr><w:pStyle w:val="Normal"/></w:pPr>
<w:r><w:t xml:space="preserve">last, the Americans had the advantage of greater size and a</w:t></w:r>
</w:p>
<w:p>
<w:pPr><w:pStyle w:val="Normal"/></w:pPr>
<w:r><w:t xml:space="preserve">heavier broadside, but they showed excellent seamanship and</w:t></w:r>
</w:p>
<w:p>
<w:pPr><w:pStyle w:val="Normal"/></w:pPr>
<w:r><w:t xml:space="preserve">gunnery.  The capture of three British frigates one after</w:t></w:r>
</w:p>
<w:p>
<w:pPr><w:pStyle w:val="Normal"/></w:pPr>
<w:r><w:t xml:space="preserve">another caused a painful impression in Great Britain and</w:t></w:r>
</w:p>
<w:p>
<w:pPr><w:pStyle w:val="Normal"/></w:pPr>
<w:r><w:t xml:space="preserve">stimulated her to greater exertions.  Vessels were accumulated</w:t></w:r>
</w:p>
<w:p>
<w:pPr><w:pStyle w:val="Normal"/></w:pPr>
<w:r><w:t xml:space="preserve">on the American sea-board, and the watch became more</w:t></w:r>
</w:p>
<w:p>
<w:pPr><w:pStyle w:val="Normal"/></w:pPr>
<w:r><w:t xml:space="preserve">strict.  On the 1st of June 1813 the capture of the U.S.</w:t></w:r>
</w:p>
<w:p>
<w:pPr><w:pStyle w:val="Normal"/></w:pPr>
<w:r><w:t xml:space="preserve">frigate &quot;Chesapeake&quot; (38), by the British frigate &quot;Shannon&quot;</w:t></w:r>
</w:p>
<w:p>
<w:pPr><w:pStyle w:val="Normal"/></w:pPr>
<w:r><w:t xml:space="preserve">(38), a vessel of equal force, counterbalanced the moral</w:t></w:r>
</w:p>
<w:p>
<w:pPr><w:pStyle w:val="Normal"/></w:pPr>
<w:r><w:t xml:space="preserve">effect of previous disasters.  The blockade of American ports</w:t></w:r>
</w:p>
<w:p>
<w:pPr><w:pStyle w:val="Normal"/></w:pPr>
<w:r><w:t xml:space="preserve">was already so close that the United States ships found it</w:t></w:r>
</w:p>
<w:p>
<w:pPr><w:pStyle w:val="Normal"/></w:pPr>
<w:r><w:t xml:space="preserve">continually more difficult to get to sea, or to keep the sea</w:t></w:r>
</w:p>
<w:p>
<w:pPr><w:pStyle w:val="Normal"/></w:pPr>
<w:r><w:t xml:space="preserve">without meeting forces of irresistibly superior strength.</w:t></w:r>
</w:p>
<w:p>
<w:pPr><w:pStyle w:val="Normal"/></w:pPr>
<w:r><w:t xml:space="preserve">The operations of American privateers were too numerous</w:t></w:r>
</w:p>
<w:p>
<w:pPr><w:pStyle w:val="Normal"/></w:pPr>
<w:r><w:t xml:space="preserve">and far- ranging to be told in detail.  They continued</w:t></w:r>
</w:p>
<w:p>
<w:pPr><w:pStyle w:val="Normal"/></w:pPr>
<w:r><w:t xml:space="preserve">active till the close of the war, and were only partially</w:t></w:r>
</w:p>
<w:p>
<w:pPr><w:pStyle w:val="Normal"/></w:pPr>
<w:r><w:t xml:space="preserve">baffled by the strict enforcement of convoy by the British</w:t></w:r>
</w:p>
<w:p>
<w:pPr><w:pStyle w:val="Normal"/></w:pPr>
<w:r><w:t xml:space="preserve">authorities.  A signal instance of the audacity of the</w:t></w:r>
</w:p>
<w:p>
<w:pPr><w:pStyle w:val="Normal"/></w:pPr>
<w:r><w:t xml:space="preserve">American cruisers was the capture of the U.S. sloop &quot;Argus&quot;</w:t></w:r>
</w:p>
<w:p>
<w:pPr><w:pStyle w:val="Normal"/></w:pPr>
<w:r><w:t xml:space="preserve">(20) by the British sloop &quot;Pelican&quot; (18) so far from home</w:t></w:r>
</w:p>
<w:p>
<w:pPr><w:pStyle w:val="Normal"/></w:pPr>
<w:r><w:t xml:space="preserve">as St David&apos;s Head in Wales on the 14th of August 1813.</w:t></w:r>
</w:p>
<w:p>
<w:pPr><w:pStyle w:val="Normal"/></w:pPr>
<w:r><w:t xml:space="preserve">The &quot;Pelican&apos;s&quot; guns were heavier than those of the &quot;Argus.&quot;</w:t></w:r>
</w:p>
<w:p>
<w:pPr><w:pStyle w:val="Normal"/></w:pPr>
<w:r><w:t xml:space="preserve">Operations on the Lakes.--The American people, who had</w:t></w:r>
</w:p>
<w:p>
<w:pPr><w:pStyle w:val="Normal"/></w:pPr>
<w:r><w:t xml:space="preserve">expected little from their diminutive navy, had calculated</w:t></w:r>
</w:p>
<w:p>
<w:pPr><w:pStyle w:val="Normal"/></w:pPr>
<w:r><w:t xml:space="preserve">with confidence on being able to overrun Canada.  As,</w:t></w:r>
</w:p>
<w:p>
<w:pPr><w:pStyle w:val="Normal"/></w:pPr>
<w:r><w:t xml:space="preserve">however, they had taken no effectual measures to provide a</w:t></w:r>
</w:p>
<w:p>
<w:pPr><w:pStyle w:val="Normal"/></w:pPr>
<w:r><w:t xml:space="preserve">mobile force they were disappointed.  The British general,</w:t></w:r>
</w:p>
<w:p>
<w:pPr><w:pStyle w:val="Normal"/></w:pPr>
<w:r><w:t xml:space="preserve">Sir George Prevost, was neither able nor energetic, but his</w:t></w:r>
</w:p>
<w:p>
<w:pPr><w:pStyle w:val="Normal"/></w:pPr>
<w:r><w:t xml:space="preserve">subordinate, Major-General Isaac Brock, was both.  In July,</w:t></w:r>
</w:p>
<w:p>
<w:pPr><w:pStyle w:val="Normal"/></w:pPr>
<w:r><w:t xml:space="preserve">before the Americans were ready, Brock seized Mackinac at</w:t></w:r>
</w:p>
<w:p>
<w:pPr><w:pStyle w:val="Normal"/></w:pPr>
<w:r><w:t xml:space="preserve">the head of Lake Huron; and on the 16th of August Detroit in</w:t></w:r>
</w:p>
<w:p>
<w:pPr><w:pStyle w:val="Normal"/></w:pPr>
<w:r><w:t xml:space="preserve">the channel between Huron and Erie was surrendered.  Kingston</w:t></w:r>
</w:p>
<w:p>
<w:pPr><w:pStyle w:val="Normal"/></w:pPr>
<w:r><w:t xml:space="preserve">was held at the east end of Ontario.  Montreal on the St</w:t></w:r>
</w:p>
<w:p>
<w:pPr><w:pStyle w:val="Normal"/></w:pPr>
<w:r><w:t xml:space="preserve">Lawrence was a strong position on the British side to which,</w:t></w:r>
</w:p>
<w:p>
<w:pPr><w:pStyle w:val="Normal"/></w:pPr>
<w:r><w:t xml:space="preserve">however, the Americans had an easy road of approach by Lake</w:t></w:r>
</w:p>
<w:p>
<w:pPr><w:pStyle w:val="Normal"/></w:pPr>
<w:r><w:t xml:space="preserve">Champlain.  Sound reasoning would have led the Americans to</w:t></w:r>
</w:p>
<w:p>
<w:pPr><w:pStyle w:val="Normal"/></w:pPr>
<w:r><w:t xml:space="preserve">direct their chief attacks on Kingston and Montreal, since</w:t></w:r>
</w:p>
<w:p>
<w:pPr><w:pStyle w:val="Normal"/></w:pPr>
<w:r><w:t xml:space="preserve">success at those points would have isolated the British</w:t></w:r>
</w:p>
<w:p>
<w:pPr><w:pStyle w:val="Normal"/></w:pPr>
<w:r><w:t xml:space="preserve">posts on Lakes Ontario, Erie and Huron.  But they were much</w:t></w:r>
</w:p>
<w:p>
<w:pPr><w:pStyle w:val="Normal"/></w:pPr>
<w:r><w:t xml:space="preserve">influenced by fear of the Indians, who had been won over</w:t></w:r>
</w:p>
<w:p>
<w:pPr><w:pStyle w:val="Normal"/></w:pPr>
<w:r><w:t xml:space="preserve">to the British side by the energy of Brock.  They therefore</w:t></w:r>
</w:p>
<w:p>
<w:pPr><w:pStyle w:val="Normal"/></w:pPr>
<w:r><w:t xml:space="preserve">looked more carefully to the lakes than to the course of the</w:t></w:r>
</w:p>
<w:p>
<w:pPr><w:pStyle w:val="Normal"/></w:pPr>
<w:r><w:t xml:space="preserve">St Lawrence, and it may be added that their leaders showed</w:t></w:r>
</w:p>
<w:p>
<w:pPr><w:pStyle w:val="Normal"/></w:pPr>
<w:r><w:t xml:space="preserve">an utter want of capacity for the intelligent conduct of war.</w:t></w:r>
</w:p>
<w:p>
<w:pPr><w:pStyle w:val="Normal"/></w:pPr>
<w:r><w:t xml:space="preserve">The impracticable character of the communications by land made</w:t></w:r>
</w:p>
<w:p>
<w:pPr><w:pStyle w:val="Normal"/></w:pPr>
<w:r><w:t xml:space="preserve">it absolutely necessary for both parties to obtain control</w:t></w:r>
</w:p>
<w:p>
<w:pPr><w:pStyle w:val="Normal"/></w:pPr>
<w:r><w:t xml:space="preserve">of the water.  Neither had made any preparations, and the</w:t></w:r>
</w:p>
<w:p>
<w:pPr><w:pStyle w:val="Normal"/></w:pPr>
<w:r><w:t xml:space="preserve">war largely resolved itself into a race of shipbuilding.  The</w:t></w:r>
</w:p>
<w:p>
<w:pPr><w:pStyle w:val="Normal"/></w:pPr>
<w:r><w:t xml:space="preserve">Americans, who had far greater facilities for building than</w:t></w:r>
</w:p>
<w:p>
<w:pPr><w:pStyle w:val="Normal"/></w:pPr>
<w:r><w:t xml:space="preserve">the British, allowed themselves to be forestalled.  In the</w:t></w:r>
</w:p>
<w:p>
<w:pPr><w:pStyle w:val="Normal"/></w:pPr>
<w:r><w:t xml:space="preserve">second half of 1812 the British general, Sir Isaac Brock,</w:t></w:r>
</w:p>
<w:p>
<w:pPr><w:pStyle w:val="Normal"/></w:pPr>
<w:r><w:t xml:space="preserve">lieutenant-governor of Upper Canada, adopted measures for</w:t></w:r>
</w:p>
<w:p>
<w:pPr><w:pStyle w:val="Normal"/></w:pPr>
<w:r><w:t xml:space="preserve">opposing the Americans on the frontier line, between Huron and</w:t></w:r>
</w:p>
<w:p>
<w:pPr><w:pStyle w:val="Normal"/></w:pPr>
<w:r><w:t xml:space="preserve">Erie.  The American brigadier-general William Hull invaded</w:t></w:r>
</w:p>
<w:p>
<w:pPr><w:pStyle w:val="Normal"/></w:pPr>
<w:r><w:t xml:space="preserve">Canada on the 12th of July from Detroit, just below the</w:t></w:r>
</w:p>
<w:p>
<w:pPr><w:pStyle w:val="Normal"/></w:pPr>
<w:r><w:t xml:space="preserve">small Lake of St Clair between Huron and Erie.  His army was</w:t></w:r>
</w:p>
<w:p>
<w:pPr><w:pStyle w:val="Normal"/></w:pPr>
<w:r><w:t xml:space="preserve">mainly composed of militiamen, who behaved very badly, and</w:t></w:r>
</w:p>
<w:p>
<w:pPr><w:pStyle w:val="Normal"/></w:pPr>
<w:r><w:t xml:space="preserve">his papers having been captured in a boat, his plans were</w:t></w:r>
</w:p>
<w:p>
<w:pPr><w:pStyle w:val="Normal"/></w:pPr>
<w:r><w:t xml:space="preserve">revealed.  General Brock drove him back and forced him</w:t></w:r>
</w:p>
<w:p>
<w:pPr><w:pStyle w:val="Normal"/></w:pPr>
<w:r><w:t xml:space="preserve">to surrender at Detroit on the 16th of August.  Brock now</w:t></w:r>
</w:p>
<w:p>
<w:pPr><w:pStyle w:val="Normal"/></w:pPr>
<w:r><w:t xml:space="preserve">promptly transferred himself to the western end of Erie, where</w:t></w:r>
</w:p>
<w:p>
<w:pPr><w:pStyle w:val="Normal"/></w:pPr>
<w:r><w:t xml:space="preserve">the American general Henry Dearborn was attempting another</w:t></w:r>
</w:p>
<w:p>
<w:pPr><w:pStyle w:val="Normal"/></w:pPr>
<w:r><w:t xml:space="preserve">invasion.  Brock fell in action on the 13th of October, while</w:t></w:r>
</w:p>
<w:p>
<w:pPr><w:pStyle w:val="Normal"/></w:pPr>
<w:r><w:t xml:space="preserve">repulsing Dearborn&apos;s subordinate Van Rensselaer, a politician</w:t></w:r>
</w:p>
<w:p>
<w:pPr><w:pStyle w:val="Normal"/></w:pPr>
<w:r><w:t xml:space="preserve">named to command by favour, and ignorant of a soldier&apos;s</w:t></w:r>
</w:p>
<w:p>
<w:pPr><w:pStyle w:val="Normal"/></w:pPr>
<w:r><w:t xml:space="preserve">business.  The Americans were driven back.  In this field also</w:t></w:r>
</w:p>
<w:p>
<w:pPr><w:pStyle w:val="Normal"/></w:pPr>
<w:r><w:t xml:space="preserve">their militia behaved detestably.  The Canadians on the other</w:t></w:r>
</w:p>
<w:p>
<w:pPr><w:pStyle w:val="Normal"/></w:pPr>
<w:r><w:t xml:space="preserve">hand, both the French who were traditionally amenable to</w:t></w:r>
</w:p>
<w:p>
<w:pPr><w:pStyle w:val="Normal"/></w:pPr>
<w:r><w:t xml:space="preserve">authority and those of English descent, who being largely sons</w:t></w:r>
</w:p>
<w:p>
<w:pPr><w:pStyle w:val="Normal"/></w:pPr>
<w:r><w:t xml:space="preserve">of loyalists of the War of Independence had a bitter hatred</w:t></w:r>
</w:p>
<w:p>
<w:pPr><w:pStyle w:val="Normal"/></w:pPr>
<w:r><w:t xml:space="preserve">of the Americans, did excellent service.  The discontent of</w:t></w:r>
</w:p>
<w:p>
<w:pPr><w:pStyle w:val="Normal"/></w:pPr>
<w:r><w:t xml:space="preserve">New England with the war both hampered the American generals</w:t></w:r>
</w:p>
<w:p>
<w:pPr><w:pStyle w:val="Normal"/></w:pPr>
<w:r><w:t xml:space="preserve">and also aided the British, who drew their supplies to a great</w:t></w:r>
</w:p>
<w:p>
<w:pPr><w:pStyle w:val="Normal"/></w:pPr>
<w:r><w:t xml:space="preserve">extent from United States territory.  On the 22nd of January</w:t></w:r>
</w:p>
<w:p>
<w:pPr><w:pStyle w:val="Normal"/></w:pPr>
<w:r><w:t xml:space="preserve">1813, at Frenchtown, the American troops under Winchester</w:t></w:r>
</w:p>
<w:p>
<w:pPr><w:pStyle w:val="Normal"/></w:pPr>
<w:r><w:t xml:space="preserve">surrendered to a British and Indian force under Procter.</w:t></w:r>
</w:p>
<w:p>
<w:pPr><w:pStyle w:val="Normal"/></w:pPr>
<w:r><w:t xml:space="preserve">During the winter both sides were busy in building ships.  On</w:t></w:r>
</w:p>
<w:p>
<w:pPr><w:pStyle w:val="Normal"/></w:pPr>
<w:r><w:t xml:space="preserve">Ontario the Americans pushed on their preparations at Sackett&apos;s</w:t></w:r>
</w:p>
<w:p>
<w:pPr><w:pStyle w:val="Normal"/></w:pPr>
<w:r><w:t xml:space="preserve">Harbour under Isaac Chauncey; the English were similarly</w:t></w:r>
</w:p>
<w:p>
<w:pPr><w:pStyle w:val="Normal"/></w:pPr>
<w:r><w:t xml:space="preserve">engaged at Kingston.  Sir James Lucas Yeo took command on</w:t></w:r>
</w:p>
<w:p>
<w:pPr><w:pStyle w:val="Normal"/></w:pPr>
<w:r><w:t xml:space="preserve">the 15th of May 1813.  On Erie the American headquarters were</w:t></w:r>
</w:p>
<w:p>
<w:pPr><w:pStyle w:val="Normal"/></w:pPr>
<w:r><w:t xml:space="preserve">at Presqu&apos; Isle, now the city of Erie; the English at Fort</w:t></w:r>
</w:p>
<w:p>
<w:pPr><w:pStyle w:val="Normal"/></w:pPr>
<w:r><w:t xml:space="preserve">Malden.  The American commander was Captain Oliver Perry, the</w:t></w:r>
</w:p>
<w:p>
<w:pPr><w:pStyle w:val="Normal"/></w:pPr>
<w:r><w:t xml:space="preserve">British commander, Captain Robert Barclay.  On Lake Ontario</w:t></w:r>
</w:p>
<w:p>
<w:pPr><w:pStyle w:val="Normal"/></w:pPr>
<w:r><w:t xml:space="preserve">Yeo formed a more mobile though less powerful force than</w:t></w:r>
</w:p>
<w:p>
<w:pPr><w:pStyle w:val="Normal"/></w:pPr>
<w:r><w:t xml:space="preserve">Chauncey&apos;s, and therefore manoeuvred to avoid being brought</w:t></w:r>
</w:p>
<w:p>
<w:pPr><w:pStyle w:val="Normal"/></w:pPr>
<w:r><w:t xml:space="preserve">to close action.  Three engagements, on the 10th of August,</w:t></w:r>
</w:p>
<w:p>
<w:pPr><w:pStyle w:val="Normal"/></w:pPr>
<w:r><w:t xml:space="preserve">11th of September and 28th of September, led to no decisive</w:t></w:r>
</w:p>
<w:p>
<w:pPr><w:pStyle w:val="Normal"/></w:pPr>
<w:r><w:t xml:space="preserve">result.  By the close of the war Yeo had constructed a ship</w:t></w:r>
</w:p>
<w:p>
<w:pPr><w:pStyle w:val="Normal"/></w:pPr>
<w:r><w:t xml:space="preserve">of 102 guns which gave him the superiority, and the British</w:t></w:r>
</w:p>
<w:p>
<w:pPr><w:pStyle w:val="Normal"/></w:pPr>
<w:r><w:t xml:space="preserve">became masters of Lake Ontario.  On Lake Erie the energy</w:t></w:r>
</w:p>
<w:p>
<w:pPr><w:pStyle w:val="Normal"/></w:pPr>
<w:r><w:t xml:space="preserve">of Captain Perry, aided by what appears to have been the</w:t></w:r>
</w:p>
<w:p>
<w:pPr><w:pStyle w:val="Normal"/></w:pPr>
<w:r><w:t xml:space="preserve">misjudgment of Barclay, enabled him to get a superior force</w:t></w:r>
</w:p>
<w:p>
<w:pPr><w:pStyle w:val="Normal"/></w:pPr>
<w:r><w:t xml:space="preserve">by the 4th of August, and on the 10th of September he fought</w:t></w:r>
</w:p>
<w:p>
<w:pPr><w:pStyle w:val="Normal"/></w:pPr>
<w:r><w:t xml:space="preserve">a successful action which left the Americans masters of Lake</w:t></w:r>
</w:p>
<w:p>
<w:pPr><w:pStyle w:val="Normal"/></w:pPr>
<w:r><w:t xml:space="preserve">Erie.  The military operations were subordinate to the</w:t></w:r>
</w:p>
<w:p>
<w:pPr><w:pStyle w:val="Normal"/></w:pPr>
<w:r><w:t xml:space="preserve">naval.  In April 1813 the Americans took York (now Toronto),</w:t></w:r>
</w:p>
<w:p>
<w:pPr><w:pStyle w:val="Normal"/></w:pPr>
<w:r><w:t xml:space="preserve">and in May moved on Fort George; but a counter-attack by</w:t></w:r>
</w:p>
<w:p>
<w:pPr><w:pStyle w:val="Normal"/></w:pPr>
<w:r><w:t xml:space="preserve">Yeo and Prevost on Sackett&apos;s Harbour, on the 29th of May,</w:t></w:r>
</w:p>
<w:p>
<w:pPr><w:pStyle w:val="Normal"/></w:pPr>
<w:r><w:t xml:space="preserve">having made the Americans anxious about the safety of their</w:t></w:r>
</w:p>
<w:p>
<w:pPr><w:pStyle w:val="Normal"/></w:pPr>
<w:r><w:t xml:space="preserve">base, naval support failed the American generals, and they</w:t></w:r>
</w:p>
<w:p>
<w:pPr><w:pStyle w:val="Normal"/></w:pPr>
<w:r><w:t xml:space="preserve">were paralysed.  A success was gained by them (October</w:t></w:r>
</w:p>
<w:p>
<w:pPr><w:pStyle w:val="Normal"/></w:pPr>
<w:r><w:t xml:space="preserve">5) at the Thames, where the Indian chief Tecumseh fell,</w:t></w:r>
</w:p>
<w:p>
<w:pPr><w:pStyle w:val="Normal"/></w:pPr>
<w:r><w:t xml:space="preserve">but they made no serious progress.  The Americans turned</w:t></w:r>
</w:p>
<w:p>
<w:pPr><w:pStyle w:val="Normal"/></w:pPr>
<w:r><w:t xml:space="preserve">to the east of Ontario, intending to assail Montreal by</w:t></w:r>
</w:p>
<w:p>
<w:pPr><w:pStyle w:val="Normal"/></w:pPr>
<w:r><w:t xml:space="preserve">the St Lawrence in combination with their forces at Lake</w:t></w:r>
</w:p>
<w:p>
<w:pPr><w:pStyle w:val="Normal"/></w:pPr>
<w:r><w:t xml:space="preserve">Champlain.  But the combination failed; they were severely</w:t></w:r>
</w:p>
<w:p>
<w:pPr><w:pStyle w:val="Normal"/></w:pPr>
<w:r><w:t xml:space="preserve">harassed on the St Lawrence, and the invasion was given up.</w:t></w:r>
</w:p>
<w:p>
<w:pPr><w:pStyle w:val="Normal"/></w:pPr>
<w:r><w:t xml:space="preserve">The operations of 1814 bear a close resemblance to those of</w:t></w:r>
</w:p>
<w:p>
<w:pPr><w:pStyle w:val="Normal"/></w:pPr>
<w:r><w:t xml:space="preserve">1813, with, however, one important difference.  The American</w:t></w:r>
</w:p>
<w:p>
<w:pPr><w:pStyle w:val="Normal"/></w:pPr>
<w:r><w:t xml:space="preserve">generals, having by this time brought their troops to order,</w:t></w:r>
</w:p>
<w:p>
<w:pPr><w:pStyle w:val="Normal"/></w:pPr>
<w:r><w:t xml:space="preserve">were able to fight with much better effect.  Their attack on</w:t></w:r>
</w:p>
<w:p>
<w:pPr><w:pStyle w:val="Normal"/></w:pPr>
<w:r><w:t xml:space="preserve">the Niagara peninsula led to hot fighting at Chippewa (July</w:t></w:r>
</w:p>
<w:p>
<w:pPr><w:pStyle w:val="Normal"/></w:pPr>
<w:r><w:t xml:space="preserve">5) and Lundy&apos;s Lane (July 25), the first a success for the</w:t></w:r>
</w:p>
<w:p>
<w:pPr><w:pStyle w:val="Normal"/></w:pPr>
<w:r><w:t xml:space="preserve">Americans, the second a drawn battle.  The fall of Napoleon</w:t></w:r>
</w:p>
<w:p>
<w:pPr><w:pStyle w:val="Normal"/></w:pPr>
<w:r><w:t xml:space="preserve">having now freed the British government from the obligation</w:t></w:r>
</w:p>
<w:p>
<w:pPr><w:pStyle w:val="Normal"/></w:pPr>
<w:r><w:t xml:space="preserve">to retain its army in Europe, troops from Spain began to pour</w:t></w:r>
</w:p>
<w:p>
<w:pPr><w:pStyle w:val="Normal"/></w:pPr>
<w:r><w:t xml:space="preserve">in.  But on the Canadian frontier they made little difference.</w:t></w:r>
</w:p>
<w:p>
<w:pPr><w:pStyle w:val="Normal"/></w:pPr>
<w:r><w:t xml:space="preserve">In August 1814 Sir George Prevost attacked the American forces at</w:t></w:r>
</w:p>
<w:p>
<w:pPr><w:pStyle w:val="Normal"/></w:pPr>
<w:r><w:t xml:space="preserve">Champlain.  But his naval support, ill prepared, was hurried</w:t></w:r>
</w:p>
<w:p>
<w:pPr><w:pStyle w:val="Normal"/></w:pPr>
<w:r><w:t xml:space="preserve">into action by him at Plattsburg on the 11th of September, and</w:t></w:r>
</w:p>
<w:p>
<w:pPr><w:pStyle w:val="Normal"/></w:pPr>
<w:r><w:t xml:space="preserve">defeated.  Prevost then retired.  His management of the</w:t></w:r>
</w:p>
<w:p>
<w:pPr><w:pStyle w:val="Normal"/></w:pPr>
<w:r><w:t xml:space="preserve">war, more especially on Lake Champlain, was severely</w:t></w:r>
</w:p>
<w:p>
<w:pPr><w:pStyle w:val="Normal"/></w:pPr>
<w:r><w:t xml:space="preserve">criticized, and he was threatened with a court-martial,</w:t></w:r>
</w:p>
<w:p>
<w:pPr><w:pStyle w:val="Normal"/></w:pPr>
<w:r><w:t xml:space="preserve">but died before the trial came on.  A British occupation of</w:t></w:r>
</w:p>
<w:p>
<w:pPr><w:pStyle w:val="Heading1"/></w:pPr>
<w:r><w:t>part of the coast of Maine proved to be mere demonstration.</w:t></w:r>
</w:p>
<w:p>
<w:pPr><w:pStyle w:val="Normal"/></w:pPr>
<w:r><w:t xml:space="preserve">Operations on the American Coast.--When the war began the</w:t></w:r>
</w:p>
<w:p>
<w:pPr><w:pStyle w:val="Normal"/></w:pPr>
<w:r><w:t xml:space="preserve">British naval forces were unequal to the work of blockading</w:t></w:r>
</w:p>
<w:p>
<w:pPr><w:pStyle w:val="Normal"/></w:pPr>
<w:r><w:t xml:space="preserve">the whole coast.  They were also much engaged in seeking for</w:t></w:r>
</w:p>
<w:p>
<w:pPr><w:pStyle w:val="Normal"/></w:pPr>
<w:r><w:t xml:space="preserve">the American cruisers under Rodgers, Decatur and Bainbridge.</w:t></w:r>
</w:p>
<w:p>
<w:pPr><w:pStyle w:val="Normal"/></w:pPr>
<w:r><w:t xml:space="preserve">The British government, having need of American foodstuffs for</w:t></w:r>
</w:p>
<w:p>
<w:pPr><w:pStyle w:val="Normal"/></w:pPr>
<w:r><w:t xml:space="preserve">its army in Spain, was willing to benefit by the discontent of</w:t></w:r>
</w:p>
<w:p>
<w:pPr><w:pStyle w:val="Normal"/></w:pPr>
<w:r><w:t xml:space="preserve">the New Englanders.  No blockade of New England was at first</w:t></w:r>
</w:p>
<w:p>
<w:pPr><w:pStyle w:val="Normal"/></w:pPr>
<w:r><w:t xml:space="preserve">attempted.  The Delaware and Chesapeake were declared in a</w:t></w:r>
</w:p>
<w:p>
<w:pPr><w:pStyle w:val="Normal"/></w:pPr>
<w:r><w:t xml:space="preserve">state of blockade on the 26th of December 1812.  This was</w:t></w:r>
</w:p>
<w:p>
<w:pPr><w:pStyle w:val="Normal"/></w:pPr>
<w:r><w:t xml:space="preserve">extended to the whole coast south of Narragansett by November</w:t></w:r>
</w:p>
<w:p>
<w:pPr><w:pStyle w:val="Normal"/></w:pPr>
<w:r><w:t xml:space="preserve">1813, and to the whole American coast on the 31st of May</w:t></w:r>
</w:p>
<w:p>
<w:pPr><w:pStyle w:val="Normal"/></w:pPr>
<w:r><w:t xml:space="preserve">1814.  In the meantime much illicit trade was carried on</w:t></w:r>
</w:p>
<w:p>
<w:pPr><w:pStyle w:val="Normal"/></w:pPr>
<w:r><w:t xml:space="preserve">by collusive captures arranged between American traders</w:t></w:r>
</w:p>
<w:p>
<w:pPr><w:pStyle w:val="Normal"/></w:pPr>
<w:r><w:t xml:space="preserve">and British officers.  American ships were fraudulently</w:t></w:r>
</w:p>
<w:p>
<w:pPr><w:pStyle w:val="Normal"/></w:pPr>
<w:r><w:t xml:space="preserve">transferred to neutral flags.  Eventually the United States</w:t></w:r>
</w:p>
<w:p>
<w:pPr><w:pStyle w:val="Normal"/></w:pPr>
<w:r><w:t xml:space="preserve">government was driven to issue orders for the purpose of</w:t></w:r>
</w:p>
<w:p>
<w:pPr><w:pStyle w:val="Normal"/></w:pPr>
<w:r><w:t xml:space="preserve">stopping illicit trading, and the commerce of the country was</w:t></w:r>
</w:p>
<w:p>
<w:pPr><w:pStyle w:val="Normal"/></w:pPr>
<w:r><w:t xml:space="preserve">ruined.  The now overpowering strength of the British</w:t></w:r>
</w:p>
<w:p>
<w:pPr><w:pStyle w:val="Normal"/></w:pPr>
<w:r><w:t xml:space="preserve">fleet enabled it to occupy the Chesapeake and to execute</w:t></w:r>
</w:p>
<w:p>
<w:pPr><w:pStyle w:val="Normal"/></w:pPr>
<w:r><w:t xml:space="preserve">innumerable attacks of a destructive character on docks and</w:t></w:r>
</w:p>
<w:p>
<w:pPr><w:pStyle w:val="Normal"/></w:pPr>
<w:r><w:t xml:space="preserve">harbours.  The burning by the American general McClure, on</w:t></w:r>
</w:p>
<w:p>
<w:pPr><w:pStyle w:val="Normal"/></w:pPr>
<w:r><w:t xml:space="preserve">the 10th of December 1813, of Newark (Niagara on the Lake),</w:t></w:r>
</w:p>
<w:p>
<w:pPr><w:pStyle w:val="Normal"/></w:pPr>
<w:r><w:t xml:space="preserve">for which severe retaliation was taken at Buffalo, was made</w:t></w:r>
</w:p>
<w:p>
<w:pPr><w:pStyle w:val="Normal"/></w:pPr>
<w:r><w:t xml:space="preserve">the excuse for much destruction.  The most famous of these</w:t></w:r>
</w:p>
<w:p>
<w:pPr><w:pStyle w:val="Normal"/></w:pPr>
<w:r><w:t xml:space="preserve">destructive raids was the burning of the public buildings</w:t></w:r>
</w:p>
<w:p>
<w:pPr><w:pStyle w:val="Normal"/></w:pPr>
<w:r><w:t xml:space="preserve">at Washington by Sir Alexander Cochrane, who succeeded</w:t></w:r>
</w:p>
<w:p>
<w:pPr><w:pStyle w:val="Normal"/></w:pPr>
<w:r><w:t xml:space="preserve">Warren in April in the naval command, and General Robert</w:t></w:r>
</w:p>
<w:p>
<w:pPr><w:pStyle w:val="Normal"/></w:pPr>
<w:r><w:t xml:space="preserve">Ross.  The expedition was carried out between the 19th and</w:t></w:r>
</w:p>
<w:p>
<w:pPr><w:pStyle w:val="Normal"/></w:pPr>
<w:r><w:t xml:space="preserve">29th of August 1814, and was well organized and vigorously</w:t></w:r>
</w:p>
<w:p>
<w:pPr><w:pStyle w:val="Normal"/></w:pPr>
<w:r><w:t xml:space="preserve">executed.1 On the 24th the American militia, collected at</w:t></w:r>
</w:p>
<w:p>
<w:pPr><w:pStyle w:val="Normal"/></w:pPr>
<w:r><w:t xml:space="preserve">Bladensburg to protect the capital, fled almost before they were</w:t></w:r>
</w:p>
<w:p>
<w:pPr><w:pStyle w:val="Normal"/></w:pPr>
<w:r><w:t xml:space="preserve">attacked.  A subsequent attack on Baltimore, in which General</w:t></w:r>
</w:p>
<w:p>
<w:pPr><w:pStyle w:val="Normal"/></w:pPr>
<w:r><w:t xml:space="preserve">Ross was killed (September 12, 1814), was a failure.  The</w:t></w:r>
</w:p>
<w:p>
<w:pPr><w:pStyle w:val="Normal"/></w:pPr>
<w:r><w:t xml:space="preserve">expedition to New Orleans (q.v.) is separately dealt with.</w:t></w:r>
</w:p>
<w:p>
<w:pPr><w:pStyle w:val="Normal"/></w:pPr>
<w:r><w:t xml:space="preserve">AUTHORITIES.--In his Sea Power in its Relations to the</w:t></w:r>
</w:p>
<w:p>
<w:pPr><w:pStyle w:val="Normal"/></w:pPr>
<w:r><w:t xml:space="preserve">War of 1812 Captain Mahan has given a careful account</w:t></w:r>
</w:p>
<w:p>
<w:pPr><w:pStyle w:val="Normal"/></w:pPr>
<w:r><w:t xml:space="preserve">of the war by land and sea with reference to services.</w:t></w:r>
</w:p>
<w:p>
<w:pPr><w:pStyle w:val="Normal"/></w:pPr>
<w:r><w:t xml:space="preserve">The Naval War of 1812, by Theodore Roosevelt (New York,</w:t></w:r>
</w:p>
<w:p>
<w:pPr><w:pStyle w:val="Normal"/></w:pPr>
<w:r><w:t xml:space="preserve">1882), is lively but somewhat passionate, and not free from</w:t></w:r>
</w:p>
<w:p>
<w:pPr><w:pStyle w:val="Normal"/></w:pPr>
<w:r><w:t xml:space="preserve">prejudice.  A vehement statement of the Canadian side will be</w:t></w:r>
</w:p>
<w:p>
<w:pPr><w:pStyle w:val="Normal"/></w:pPr>
<w:r><w:t xml:space="preserve">found in How Canada was held for the Empire, by James Hannay</w:t></w:r>
</w:p>
<w:p>
<w:pPr><w:pStyle w:val="Normal"/></w:pPr>
<w:r><w:t xml:space="preserve">(London, Edinburgh, Toronto, 1903).  See also The Canadian</w:t></w:r>
</w:p>
<w:p>
<w:pPr><w:pStyle w:val="Normal"/></w:pPr>
<w:r><w:t xml:space="preserve">War of 1812, by Charles P. Lucas (Oxford, 1906). (D. H.)</w:t></w:r>
</w:p>
<w:p>
<w:pPr><w:pStyle w:val="Normal"/></w:pPr>
<w:r><w:t xml:space="preserve">1 The burning of Washington was an act of vandalism by no means</w:t></w:r>
</w:p>
<w:p>
<w:pPr><w:pStyle w:val="Normal"/></w:pPr>
<w:r><w:t xml:space="preserve">approved of by many of the British officers who were compelled</w:t></w:r>
</w:p>
<w:p>
<w:pPr><w:pStyle w:val="Normal"/></w:pPr>
<w:r><w:t xml:space="preserve">to take part in it. (See SMITH, Sir HENRY GEORGE WAKELYN.)</w:t></w:r>
</w:p>
<w:p>
<w:pPr><w:pStyle w:val="Normal"/></w:pPr>
<w:r><w:t xml:space="preserve">AMERICUS, a city and the county-seat of Sumter county,</w:t></w:r>
</w:p>
<w:p>
<w:pPr><w:pStyle w:val="Normal"/></w:pPr>
<w:r><w:t xml:space="preserve">Georgia, U.S.A., about 71 m.  S.S.W. of Macon.  Pop. (1880)</w:t></w:r>
</w:p>
<w:p>
<w:pPr><w:pStyle w:val="Normal"/></w:pPr>
<w:r><w:t xml:space="preserve">3635; (1890) 6398; (1900) 7674, of whom 4661 were of negro</w:t></w:r>
</w:p>
<w:p>
<w:pPr><w:pStyle w:val="Normal"/></w:pPr>
<w:r><w:t xml:space="preserve">descent.  It is served by the Central of Georgia and the</w:t></w:r>
</w:p>
<w:p>
<w:pPr><w:pStyle w:val="Normal"/></w:pPr>
<w:r><w:t xml:space="preserve">Seaboard Air Line railways, and is the seat of the Third</w:t></w:r>
</w:p>
<w:p>
<w:pPr><w:pStyle w:val="Normal"/></w:pPr>
<w:r><w:t xml:space="preserve">Congressional District Agricultural High School, a branch</w:t></w:r>
</w:p>
<w:p>
<w:pPr><w:pStyle w:val="Normal"/></w:pPr>
<w:r><w:t xml:space="preserve">of the state university of Georgia.  The city is in a rich</w:t></w:r>
</w:p>
<w:p>
<w:pPr><w:pStyle w:val="Normal"/></w:pPr>
<w:r><w:t xml:space="preserve">sugar-cane and fruit country, is a large cotton and mule and</w:t></w:r>
</w:p>
<w:p>
<w:pPr><w:pStyle w:val="Normal"/></w:pPr>
<w:r><w:t xml:space="preserve">horse market, and has division shops of the Seaboard Air Line</w:t></w:r>
</w:p>
<w:p>
<w:pPr><w:pStyle w:val="Normal"/></w:pPr>
<w:r><w:t xml:space="preserve">railway.  Among the city&apos;s manufactures are cotton-seed oil,</w:t></w:r>
</w:p>
<w:p>
<w:pPr><w:pStyle w:val="Normal"/></w:pPr>
<w:r><w:t xml:space="preserve">fertilizers, chemicals, iron, carriages and wagons and harness</w:t></w:r>
</w:p>
<w:p>
<w:pPr><w:pStyle w:val="Normal"/></w:pPr>
<w:r><w:t xml:space="preserve">(especially horse collars).  The city owns the waterworks; the</w:t></w:r>
</w:p>
<w:p>
<w:pPr><w:pStyle w:val="Normal"/></w:pPr>
<w:r><w:t xml:space="preserve">water-supply is obtained from artesian wells.  Americus was</w:t></w:r>
</w:p>
<w:p>
<w:pPr><w:pStyle w:val="Normal"/></w:pPr>
<w:r><w:t xml:space="preserve">settled in 1832, and was first chartered as a city in 1855.</w:t></w:r>
</w:p>
<w:p>
<w:pPr><w:pStyle w:val="Normal"/></w:pPr>
<w:r><w:t xml:space="preserve">AMERSFOORT, a town in the province of Utrecht, Holland, on</w:t></w:r>
</w:p>
<w:p>
<w:pPr><w:pStyle w:val="Normal"/></w:pPr>
<w:r><w:t xml:space="preserve">the navigable Eem, and a junction station 14 m. by rail N.E.</w:t></w:r>
</w:p>
<w:p>
<w:pPr><w:pStyle w:val="Normal"/></w:pPr>
<w:r><w:t xml:space="preserve">by E. of Utrecht.  Pop. (1900) 19,089.  It is situated in the</w:t></w:r>
</w:p>
<w:p>
<w:pPr><w:pStyle w:val="Normal"/></w:pPr>
<w:r><w:t xml:space="preserve">midst of picturesque and undulating country, consisting of</w:t></w:r>
</w:p>
<w:p>
<w:pPr><w:pStyle w:val="Normal"/></w:pPr>
<w:r><w:t xml:space="preserve">wide sandy heaths and woods, and dotted with many fine country</w:t></w:r>
</w:p>
<w:p>
<w:pPr><w:pStyle w:val="Normal"/></w:pPr>
<w:r><w:t xml:space="preserve">houses.  One of the most interesting of its few historic</w:t></w:r>
</w:p>
<w:p>
<w:pPr><w:pStyle w:val="Normal"/></w:pPr>
<w:r><w:t xml:space="preserve">monuments is the Koppelpoort, an old gateway situated at the end</w:t></w:r>
</w:p>
<w:p>
<w:pPr><w:pStyle w:val="Normal"/></w:pPr>
<w:r><w:t xml:space="preserve">of a fine avenue of trees bordering the canal.  Close by is a</w:t></w:r>
</w:p>
<w:p>
<w:pPr><w:pStyle w:val="Normal"/></w:pPr>
<w:r><w:t xml:space="preserve">lofty Gothic tower (1500), which belonged to the ancient church</w:t></w:r>
</w:p>
<w:p>
<w:pPr><w:pStyle w:val="Normal"/></w:pPr>
<w:r><w:t xml:space="preserve">of St Mary, which was wrecked by an explosion of gunpowder in</w:t></w:r>
</w:p>
<w:p>
<w:pPr><w:pStyle w:val="Normal"/></w:pPr>
<w:r><w:t xml:space="preserve">1787.  The large plain church of St George dates from the</w:t></w:r>
</w:p>
<w:p>
<w:pPr><w:pStyle w:val="Normal"/></w:pPr>
<w:r><w:t xml:space="preserve">first half of the 13th century.  There is also a Jansenist</w:t></w:r>
</w:p>
<w:p>
<w:pPr><w:pStyle w:val="Normal"/></w:pPr>
<w:r><w:t xml:space="preserve">church, to which a seminary is attached.  Besides these there</w:t></w:r>
</w:p>
<w:p>
<w:pPr><w:pStyle w:val="Normal"/></w:pPr>
<w:r><w:t xml:space="preserve">are a town hall, a court of primary jurisdiction, industrial</w:t></w:r>
</w:p>
<w:p>
<w:pPr><w:pStyle w:val="Normal"/></w:pPr>
<w:r><w:t xml:space="preserve">and other schools.  Amersfoort has a large garrison, consisting</w:t></w:r>
</w:p>
<w:p>
<w:pPr><w:pStyle w:val="Normal"/></w:pPr>
<w:r><w:t xml:space="preserve">chiefly of artillery, and manufactures woollen goods, cotton,</w:t></w:r>
</w:p>
<w:p>
<w:pPr><w:pStyle w:val="Normal"/></w:pPr>
<w:r><w:t xml:space="preserve">silk, glass and brandy.  It has also a considerable trade in</w:t></w:r>
</w:p>
<w:p>
<w:pPr><w:pStyle w:val="Normal"/></w:pPr>
<w:r><w:t xml:space="preserve">tobacco, grown in the neighbourhood, and in corn and fish.</w:t></w:r>
</w:p>
<w:p>
<w:pPr><w:pStyle w:val="Normal"/></w:pPr>
<w:r><w:t xml:space="preserve">AMERSHAM, a market town in the Wycombe parliamentary</w:t></w:r>
</w:p>
<w:p>
<w:pPr><w:pStyle w:val="Normal"/></w:pPr>
<w:r><w:t xml:space="preserve">division of Buckinghamshire, England, 24 m.  W.N.W. of</w:t></w:r>
</w:p>
<w:p>
<w:pPr><w:pStyle w:val="Normal"/></w:pPr>
<w:r><w:t xml:space="preserve">London by the Metropolitan railway.  Pop. (1901) 2674.  It</w:t></w:r>
</w:p>
<w:p>
<w:pPr><w:pStyle w:val="Normal"/></w:pPr>
<w:r><w:t xml:space="preserve">is pleasantly situated in the narrow valley of the Misbourne</w:t></w:r>
</w:p>
<w:p>
<w:pPr><w:pStyle w:val="Normal"/></w:pPr>
<w:r><w:t xml:space="preserve">stream, which is flanked by the well-wooded slopes of the</w:t></w:r>
</w:p>
<w:p>
<w:pPr><w:pStyle w:val="Normal"/></w:pPr>
<w:r><w:t xml:space="preserve">Chiltern Hills.  The church of St Mary is almost entirely</w:t></w:r>
</w:p>
<w:p>
<w:pPr><w:pStyle w:val="Normal"/></w:pPr>
<w:r><w:t xml:space="preserve">Perpendicular, and has a beautiful south porch, brasses of</w:t></w:r>
</w:p>
<w:p>
<w:pPr><w:pStyle w:val="Normal"/></w:pPr>
<w:r><w:t xml:space="preserve">the 15th, 16th and 17th centuries and numerous monuments,</w:t></w:r>
</w:p>
<w:p>
<w:pPr><w:pStyle w:val="Normal"/></w:pPr>
<w:r><w:t xml:space="preserve">several of which, in a chantry, commemorate members of the</w:t></w:r>
</w:p>
<w:p>
<w:pPr><w:pStyle w:val="Normal"/></w:pPr>
<w:r><w:t xml:space="preserve">family of Drake, lords of the manor.  The town hall was</w:t></w:r>
</w:p>
<w:p>
<w:pPr><w:pStyle w:val="Normal"/></w:pPr>
<w:r><w:t xml:space="preserve">built by Sir William Drake in 1642.  At Coleshill, near</w:t></w:r>
</w:p>
<w:p>
<w:pPr><w:pStyle w:val="Normal"/></w:pPr>
<w:r><w:t xml:space="preserve">Amersham, Edmund Waller the poet was born in 1606; he sat</w:t></w:r>
</w:p>
<w:p>
<w:pPr><w:pStyle w:val="Normal"/></w:pPr>
<w:r><w:t xml:space="preserve">in parliament for the former borough of Amersham.  The town</w:t></w:r>
</w:p>
<w:p>
<w:pPr><w:pStyle w:val="Normal"/></w:pPr>
<w:r><w:t xml:space="preserve">has flour mills and breweries, and some straw-plaiting and</w:t></w:r>
</w:p>
<w:p>
<w:pPr><w:pStyle w:val="Normal"/></w:pPr>
<w:r><w:t xml:space="preserve">lace-making are carried on in the vicinity.  The district is</w:t></w:r>
</w:p>
<w:p>
<w:pPr><w:pStyle w:val="Normal"/></w:pPr>
<w:r><w:t xml:space="preserve">one of the most beautiful near London; the village of Chenies,</w:t></w:r>
</w:p>
<w:p>
<w:pPr><w:pStyle w:val="Normal"/></w:pPr>
<w:r><w:t xml:space="preserve">overlooking the valley of the Chess, is especially picturesque.</w:t></w:r>
</w:p>
<w:p>
<w:pPr><w:pStyle w:val="Normal"/></w:pPr>
<w:r><w:t xml:space="preserve">Amersham (Elmodesham, Agmondesham, Hagmondesham, Aumundesham,</w:t></w:r>
</w:p>
<w:p>
<w:pPr><w:pStyle w:val="Normal"/></w:pPr>
<w:r><w:t xml:space="preserve">Homersham) at the time of the Domesday Survey was divided into</w:t></w:r>
</w:p>
<w:p>
<w:pPr><w:pStyle w:val="Normal"/></w:pPr>
<w:r><w:t xml:space="preserve">no less than six holdings.  The manor, or chief of them, was</w:t></w:r>
</w:p>
<w:p>
<w:pPr><w:pStyle w:val="Normal"/></w:pPr>
<w:r><w:t xml:space="preserve">held by Geoffrey de Mandeville.  At the time of Edward the</w:t></w:r>
</w:p>
<w:p>
<w:pPr><w:pStyle w:val="Normal"/></w:pPr>
<w:r><w:t xml:space="preserve">Confessor it was held by Queen Edith.  The manor afterwards</w:t></w:r>
</w:p>
<w:p>
<w:pPr><w:pStyle w:val="Normal"/></w:pPr>
<w:r><w:t xml:space="preserve">descended to the families of Fitz Piers, Bohun and Stratford,</w:t></w:r>
</w:p>
<w:p>
<w:pPr><w:pStyle w:val="Normal"/></w:pPr>
<w:r><w:t xml:space="preserve">and was granted by Henry VIII. to Sir John Russell, ancestor</w:t></w:r>
</w:p>
<w:p>
<w:pPr><w:pStyle w:val="Normal"/></w:pPr>
<w:r><w:t xml:space="preserve">of the earls of Bedford.  In 1638 Francis, earl of Bedford,</w:t></w:r>
</w:p>
<w:p>
<w:pPr><w:pStyle w:val="Normal"/></w:pPr>
<w:r><w:t xml:space="preserve">conveyed it to William Drake, by whose descendants it is still</w:t></w:r>
</w:p>
<w:p>
<w:pPr><w:pStyle w:val="Normal"/></w:pPr>
<w:r><w:t xml:space="preserve">held.  The north chapel in the church of St Michael, Chenies, has</w:t></w:r>
</w:p>
<w:p>
<w:pPr><w:pStyle w:val="Normal"/></w:pPr>
<w:r><w:t xml:space="preserve">been the burial-place of the Russell family since its erection</w:t></w:r>
</w:p>
<w:p>
<w:pPr><w:pStyle w:val="Normal"/></w:pPr>
<w:r><w:t xml:space="preserve">in 1556, and contains a number of fine memorials, notably</w:t></w:r>
</w:p>
<w:p>
<w:pPr><w:pStyle w:val="Normal"/></w:pPr>
<w:r><w:t xml:space="preserve">that of Anne, countess of Bedford (d. 1558), who founded the</w:t></w:r>
</w:p>
<w:p>
<w:pPr><w:pStyle w:val="Normal"/></w:pPr>
<w:r><w:t xml:space="preserve">chapel.  Amersham was formerly a parliamentary borough by</w:t></w:r>
</w:p>
<w:p>
<w:pPr><w:pStyle w:val="Normal"/></w:pPr>
<w:r><w:t xml:space="preserve">prescription, and returned two members in 1300, 1306, 1307 and</w:t></w:r>
</w:p>
<w:p>
<w:pPr><w:pStyle w:val="Normal"/></w:pPr>
<w:r><w:t xml:space="preserve">1309.  In 1623 this privilege was restored, and was only annulled</w:t></w:r>
</w:p>
<w:p>
<w:pPr><w:pStyle w:val="Normal"/></w:pPr>
<w:r><w:t xml:space="preserve">by the Reform Bill of 1832.  The annual fair, in September, is</w:t></w:r>
</w:p>
<w:p>
<w:pPr><w:pStyle w:val="Normal"/></w:pPr>
<w:r><w:t xml:space="preserve">held under a charter secured by Geoffrey Fitz Peter, earl of</w:t></w:r>
</w:p>
<w:p>
<w:pPr><w:pStyle w:val="Normal"/></w:pPr>
<w:r><w:t xml:space="preserve">Essex, in 1200, that on Whit Monday under a charter of 1614,</w:t></w:r>
</w:p>
<w:p>
<w:pPr><w:pStyle w:val="Normal"/></w:pPr>
<w:r><w:t xml:space="preserve">secured by Edward, earl of Bedford, which transferred the Friday</w:t></w:r>
</w:p>
<w:p>
<w:pPr><w:pStyle w:val="Normal"/></w:pPr>
<w:r><w:t xml:space="preserve">market, also granted under the earlier charter, to Tuesday.</w:t></w:r>
</w:p>
<w:p>
<w:pPr><w:pStyle w:val="Normal"/></w:pPr>
<w:r><w:t xml:space="preserve">AMES, FISHER (1758-1808), American statesman, orator</w:t></w:r>
</w:p>
<w:p>
<w:pPr><w:pStyle w:val="Normal"/></w:pPr>
<w:r><w:t xml:space="preserve">and political writer, son of Nathaniel Ames, a physician,</w:t></w:r>
</w:p>
<w:p>
<w:pPr><w:pStyle w:val="Normal"/></w:pPr>
<w:r><w:t xml:space="preserve">was born at Dedham, Massachusetts, on the 9th of April</w:t></w:r>
</w:p>
<w:p>
<w:pPr><w:pStyle w:val="Normal"/></w:pPr>
<w:r><w:t xml:space="preserve">1758.  He graduated at Harvard College in 1774, and began</w:t></w:r>
</w:p>
<w:p>
<w:pPr><w:pStyle w:val="Normal"/></w:pPr>
<w:r><w:t xml:space="preserve">the practice of the law at Dedham in 1781, but eventually</w:t></w:r>
</w:p>
<w:p>
<w:pPr><w:pStyle w:val="Normal"/></w:pPr>
<w:r><w:t xml:space="preserve">abandoned that profession for the more congenial pursuit of</w:t></w:r>
</w:p>
<w:p>
<w:pPr><w:pStyle w:val="Normal"/></w:pPr>
<w:r><w:t xml:space="preserve">politics.  He was a prominent member of the Massachusetts</w:t></w:r>
</w:p>
<w:p>
<w:pPr><w:pStyle w:val="Normal"/></w:pPr>
<w:r><w:t xml:space="preserve">convention which (February 1788) ratified for that state the</w:t></w:r>
</w:p>
<w:p>
<w:pPr><w:pStyle w:val="Normal"/></w:pPr>
<w:r><w:t xml:space="preserve">Federal Constitution, and in the same year, having entered the</w:t></w:r>
</w:p>
<w:p>
<w:pPr><w:pStyle w:val="Normal"/></w:pPr>
<w:r><w:t xml:space="preserve">lower house in the state legislature, he distinguished himself</w:t></w:r>
</w:p>
<w:p>
<w:pPr><w:pStyle w:val="Normal"/></w:pPr>
<w:r><w:t xml:space="preserve">greatly by his eloquence and readiness in debate.  During</w:t></w:r>
</w:p>
<w:p>
<w:pPr><w:pStyle w:val="Normal"/></w:pPr>
<w:r><w:t xml:space="preserve">the eight years of Washington&apos;s administration (1789-1797)</w:t></w:r>
</w:p>
<w:p>
<w:pPr><w:pStyle w:val="Normal"/></w:pPr>
<w:r><w:t xml:space="preserve">he was a prominent Federalist member of the national House of</w:t></w:r>
</w:p>
<w:p>
<w:pPr><w:pStyle w:val="Normal"/></w:pPr>
<w:r><w:t xml:space="preserve">Representatives.  On the 28th of April 1796, when the</w:t></w:r>
</w:p>
<w:p>
<w:pPr><w:pStyle w:val="Normal"/></w:pPr>
<w:r><w:t xml:space="preserve">Republicans, hostile to the Jay Treaty, were on the point</w:t></w:r>
</w:p>
<w:p>
<w:pPr><w:pStyle w:val="Normal"/></w:pPr>
<w:r><w:t xml:space="preserve">of holding up the appropriation necessary for its execution,</w:t></w:r>
</w:p>
<w:p>
<w:pPr><w:pStyle w:val="Normal"/></w:pPr>
<w:r><w:t xml:space="preserve">Ames, who had just arisen from a sick-bed, made what has</w:t></w:r>
</w:p>
<w:p>
<w:pPr><w:pStyle w:val="Normal"/></w:pPr>
<w:r><w:t xml:space="preserve">been considered the greatest speech of his life; before the</w:t></w:r>
</w:p>
<w:p>
<w:pPr><w:pStyle w:val="Normal"/></w:pPr>
<w:r><w:t xml:space="preserve">delivery of his speech his opponents had claimed a majority</w:t></w:r>
</w:p>
<w:p>
<w:pPr><w:pStyle w:val="Normal"/></w:pPr>
<w:r><w:t xml:space="preserve">of six, but the appropriation was finally passed, in the</w:t></w:r>
</w:p>
<w:p>
<w:pPr><w:pStyle w:val="Normal"/></w:pPr>
<w:r><w:t xml:space="preserve">committee of the whole, by the casting vote of the chairman.</w:t></w:r>
</w:p>
<w:p>
<w:pPr><w:pStyle w:val="Normal"/></w:pPr>
<w:r><w:t xml:space="preserve">When Washington retired from the presidency, Congress voted</w:t></w:r>
</w:p>
<w:p>
<w:pPr><w:pStyle w:val="Normal"/></w:pPr>
<w:r><w:t xml:space="preserve">him an address and chose Ames to deliver it.  In 1797 he</w:t></w:r>
</w:p>
<w:p>
<w:pPr><w:pStyle w:val="Normal"/></w:pPr>
<w:r><w:t xml:space="preserve">returned to Dedham to resume the practice of the law, which</w:t></w:r>
</w:p>
<w:p>
<w:pPr><w:pStyle w:val="Normal"/></w:pPr>
<w:r><w:t xml:space="preserve">the state of his health after a few years obliged him to</w:t></w:r>
</w:p>
<w:p>
<w:pPr><w:pStyle w:val="Normal"/></w:pPr>
<w:r><w:t xml:space="preserve">relinquish.  He published numerous essays, chiefly in relation</w:t></w:r>
</w:p>
<w:p>
<w:pPr><w:pStyle w:val="Normal"/></w:pPr>
<w:r><w:t xml:space="preserve">to the contest between Great Britain and revolutionary France,</w:t></w:r>
</w:p>
<w:p>
<w:pPr><w:pStyle w:val="Normal"/></w:pPr>
<w:r><w:t xml:space="preserve">as it might affect the liberty and prosperity of America.  Ames</w:t></w:r>
</w:p>
<w:p>
<w:pPr><w:pStyle w:val="Normal"/></w:pPr>
<w:r><w:t xml:space="preserve">was one of the group of New England ultra-Federalists known as</w:t></w:r>
</w:p>
<w:p>
<w:pPr><w:pStyle w:val="Normal"/></w:pPr>
<w:r><w:t xml:space="preserve">the &quot;Essex Junto,&quot; who opposed the French policy of President</w:t></w:r>
</w:p>
<w:p>
<w:pPr><w:pStyle w:val="Normal"/></w:pPr>
<w:r><w:t xml:space="preserve">John Adams in 1798, and were conspicuous for their British</w:t></w:r>
</w:p>
<w:p>
<w:pPr><w:pStyle w:val="Normal"/></w:pPr>
<w:r><w:t xml:space="preserve">sympathies.  Four years before his death he was chosen president</w:t></w:r>
</w:p>
<w:p>
<w:pPr><w:pStyle w:val="Normal"/></w:pPr>
<w:r><w:t xml:space="preserve">of Harvard College, an honour which his broken state of health</w:t></w:r>
</w:p>
<w:p>
<w:pPr><w:pStyle w:val="Normal"/></w:pPr>
<w:r><w:t xml:space="preserve">obliged him to decline.  He died on the 4th of July 1808.</w:t></w:r>
</w:p>
<w:p>
<w:pPr><w:pStyle w:val="Normal"/></w:pPr>
<w:r><w:t xml:space="preserve">His writings and speeches, which abound in sparkling</w:t></w:r>
</w:p>
<w:p>
<w:pPr><w:pStyle w:val="Normal"/></w:pPr>
<w:r><w:t xml:space="preserve">passages, displaying great fertility of imagination, were</w:t></w:r>
</w:p>
<w:p>
<w:pPr><w:pStyle w:val="Normal"/></w:pPr>
<w:r><w:t xml:space="preserve">collected and published, with a memoir of the author, in</w:t></w:r>
</w:p>
<w:p>
<w:pPr><w:pStyle w:val="Normal"/></w:pPr>
<w:r><w:t xml:space="preserve">1809, by the Rev. Dr J. T. Kirkland, in one large octavo</w:t></w:r>
</w:p>
<w:p>
<w:pPr><w:pStyle w:val="Normal"/></w:pPr>
<w:r><w:t xml:space="preserve">volume.  A more complete edition in two volumes was</w:t></w:r>
</w:p>
<w:p>
<w:pPr><w:pStyle w:val="Normal"/></w:pPr>
<w:r><w:t xml:space="preserve">published by his son, Seth Ames, at Boston, Mass., in 1854.</w:t></w:r>
</w:p>
<w:p>
<w:pPr><w:pStyle w:val="Normal"/></w:pPr>
<w:r><w:t xml:space="preserve">AMES, JOSEPH (1689-1759), English author, was born at Yarmouth</w:t></w:r>
</w:p>
<w:p>
<w:pPr><w:pStyle w:val="Normal"/></w:pPr>
<w:r><w:t xml:space="preserve">on the 23rd of January 1689.  He wrote an account of printing</w:t></w:r>
</w:p>
<w:p>
<w:pPr><w:pStyle w:val="Normal"/></w:pPr>
<w:r><w:t xml:space="preserve">in England from 1471 to 1600, Typographical Antiquities</w:t></w:r>
</w:p>
<w:p>
<w:pPr><w:pStyle w:val="Normal"/></w:pPr>
<w:r><w:t xml:space="preserve">(1749).  Ames sent out circular letters with a list of two</w:t></w:r>
</w:p>
<w:p>
<w:pPr><w:pStyle w:val="Normal"/></w:pPr>
<w:r><w:t xml:space="preserve">hundred and fifteen English printers with whose works he</w:t></w:r>
</w:p>
<w:p>
<w:pPr><w:pStyle w:val="Normal"/></w:pPr>
<w:r><w:t xml:space="preserve">intended to deal, asking for any available information.</w:t></w:r>
</w:p>
<w:p>
<w:pPr><w:pStyle w:val="Normal"/></w:pPr>
<w:r><w:t xml:space="preserve">He earned the gratitude of subsequent bibliographers by</w:t></w:r>
</w:p>
<w:p>
<w:pPr><w:pStyle w:val="Normal"/></w:pPr>
<w:r><w:t xml:space="preserve">disregarding printed lists and consulting the title- pages</w:t></w:r>
</w:p>
<w:p>
<w:pPr><w:pStyle w:val="Normal"/></w:pPr>
<w:r><w:t xml:space="preserve">of the books themselves.  An interleaved copy of the work</w:t></w:r>
</w:p>
<w:p>
<w:pPr><w:pStyle w:val="Normal"/></w:pPr>
<w:r><w:t xml:space="preserve">with many notes in the author&apos;s hand is now in the British</w:t></w:r>
</w:p>
<w:p>
<w:pPr><w:pStyle w:val="Normal"/></w:pPr>
<w:r><w:t xml:space="preserve">Museum.  Editions of his works were published with added</w:t></w:r>
</w:p>
<w:p>
<w:pPr><w:pStyle w:val="Normal"/></w:pPr>
<w:r><w:t xml:space="preserve">information by William Herbert (3 vols., 1785-1790), and T. F.</w:t></w:r>
</w:p>
<w:p>
<w:pPr><w:pStyle w:val="Normal"/></w:pPr>
<w:r><w:t xml:space="preserve">Dibdin (4 vols., 1810-1819).  Ames&apos;s occupation is variously</w:t></w:r>
</w:p>
<w:p>
<w:pPr><w:pStyle w:val="Normal"/></w:pPr>
<w:r><w:t xml:space="preserve">given.  It is uncertain whether he was a ship-chandler, a</w:t></w:r>
</w:p>
<w:p>
<w:pPr><w:pStyle w:val="Normal"/></w:pPr>
<w:r><w:t xml:space="preserve">patten-maker, a plane-iron maker or an ironmonger; but</w:t></w:r>
</w:p>
<w:p>
<w:pPr><w:pStyle w:val="Normal"/></w:pPr>
<w:r><w:t xml:space="preserve">he led a prosperous life at Wapping, and amassed valuable</w:t></w:r>
</w:p>
<w:p>
<w:pPr><w:pStyle w:val="Normal"/></w:pPr>
<w:r><w:t xml:space="preserve">collections of antiquities.  He died on the 7th of October</w:t></w:r>
</w:p>
<w:p>
<w:pPr><w:pStyle w:val="Normal"/></w:pPr>
<w:r><w:t xml:space="preserve">1759.  His other works are catalogues of English printers,</w:t></w:r>
</w:p>
<w:p>
<w:pPr><w:pStyle w:val="Normal"/></w:pPr>
<w:r><w:t xml:space="preserve">of the collection of coins which belonged to the earl of</w:t></w:r>
</w:p>
<w:p>
<w:pPr><w:pStyle w:val="Normal"/></w:pPr>
<w:r><w:t xml:space="preserve">Pembroke, of some two thousand English portraits, and</w:t></w:r>
</w:p>
<w:p>
<w:pPr><w:pStyle w:val="Normal"/></w:pPr>
<w:r><w:t xml:space="preserve">Parentalia (1750), a memoir of the Wrens, undertaken in</w:t></w:r>
</w:p>
<w:p>
<w:pPr><w:pStyle w:val="Normal"/></w:pPr>
<w:r><w:t xml:space="preserve">conjunction with Sir Christopher Wren&apos;s grandson, Stephen</w:t></w:r>
</w:p>
<w:p>
<w:pPr><w:pStyle w:val="Normal"/></w:pPr>
<w:r><w:t xml:space="preserve">Wren.  Part of his correspondence in bibliography is</w:t></w:r>
</w:p>
<w:p>
<w:pPr><w:pStyle w:val="Normal"/></w:pPr>
<w:r><w:t xml:space="preserve">included in Nichols&apos;s Literary Anecdotes and Illustrations.</w:t></w:r>
</w:p>
<w:p>
<w:pPr><w:pStyle w:val="Normal"/></w:pPr>
<w:r><w:t xml:space="preserve">AMES, OAKES (1804-1873), American manufacturer, capitalist</w:t></w:r>
</w:p>
<w:p>
<w:pPr><w:pStyle w:val="Normal"/></w:pPr>
<w:r><w:t xml:space="preserve">and politician, was born in Easton, Massachusetts, on the 10th</w:t></w:r>
</w:p>
<w:p>
<w:pPr><w:pStyle w:val="Normal"/></w:pPr>
<w:r><w:t xml:space="preserve">of January 1804.  As a manufacturer of shovels, in association</w:t></w:r>
</w:p>
<w:p>
<w:pPr><w:pStyle w:val="Normal"/></w:pPr>
<w:r><w:t xml:space="preserve">with his father and his brother Oliver (1807-1877), he</w:t></w:r>
</w:p>
<w:p>
<w:pPr><w:pStyle w:val="Normal"/></w:pPr>
<w:r><w:t xml:space="preserve">amassed a large fortune.  In 1860 he became a member of the</w:t></w:r>
</w:p>
<w:p>
<w:pPr><w:pStyle w:val="Normal"/></w:pPr>
<w:r><w:t xml:space="preserve">executive council of Massachusetts, and from 1863 to 1873 was</w:t></w:r>
</w:p>
<w:p>
<w:pPr><w:pStyle w:val="Normal"/></w:pPr>
<w:r><w:t xml:space="preserve">a republican member of the national House of Representatives.</w:t></w:r>
</w:p>
<w:p>
<w:pPr><w:pStyle w:val="Normal"/></w:pPr>
<w:r><w:t xml:space="preserve">As a member of the committee on railroads he became interested</w:t></w:r>
</w:p>
<w:p>
<w:pPr><w:pStyle w:val="Normal"/></w:pPr>
<w:r><w:t xml:space="preserve">in the project, greatly aided by the government, to build a</w:t></w:r>
</w:p>
<w:p>
<w:pPr><w:pStyle w:val="Normal"/></w:pPr>
<w:r><w:t xml:space="preserve">trans-continental railway, connecting the eastern states with</w:t></w:r>
</w:p>
<w:p>
<w:pPr><w:pStyle w:val="Normal"/></w:pPr>
<w:r><w:t xml:space="preserve">California.  Others having failed, he was induced in 1865 to</w:t></w:r>
</w:p>
<w:p>
<w:pPr><w:pStyle w:val="Normal"/></w:pPr>
<w:r><w:t xml:space="preserve">assume the direction of the work, and to him more than to any</w:t></w:r>
</w:p>
<w:p>
<w:pPr><w:pStyle w:val="Normal"/></w:pPr>
<w:r><w:t xml:space="preserve">other one man the credit for the construction of the Union</w:t></w:r>
</w:p>
<w:p>
<w:pPr><w:pStyle w:val="Normal"/></w:pPr>
<w:r><w:t xml:space="preserve">Pacific railway was due.  The execution was effected largely</w:t></w:r>
</w:p>
<w:p>
<w:pPr><w:pStyle w:val="Normal"/></w:pPr>
<w:r><w:t xml:space="preserve">through a construction company, the Credit Mobilier Company of</w:t></w:r>
</w:p>
<w:p>
<w:pPr><w:pStyle w:val="Normal"/></w:pPr>
<w:r><w:t xml:space="preserve">America.  In disposing of some of the stock of this company,</w:t></w:r>
</w:p>
<w:p>
<w:pPr><w:pStyle w:val="Normal"/></w:pPr>
<w:r><w:t xml:space="preserve">Ames in 1867-1871 sold a number of shares to members of Congress</w:t></w:r>
</w:p>
<w:p>
<w:pPr><w:pStyle w:val="Normal"/></w:pPr>
<w:r><w:t xml:space="preserve">at a price much below what these shares eventually proved to be</w:t></w:r>
</w:p>
<w:p>
<w:pPr><w:pStyle w:val="Normal"/></w:pPr>
<w:r><w:t xml:space="preserve">worth.  This, on becoming known, gave rise in 1872-1873 to</w:t></w:r>
</w:p>
<w:p>
<w:pPr><w:pStyle w:val="Normal"/></w:pPr>
<w:r><w:t xml:space="preserve">a great congressional scandal.  After an investigation by a</w:t></w:r>
</w:p>
<w:p>
<w:pPr><w:pStyle w:val="Normal"/></w:pPr>
<w:r><w:t xml:space="preserve">committee of the House, which recommended the expulsion of</w:t></w:r>
</w:p>
<w:p>
<w:pPr><w:pStyle w:val="Normal"/></w:pPr>
<w:r><w:t xml:space="preserve">Ames, a resolution was passed on the 28th of February 1873,</w:t></w:r>
</w:p>
<w:p>
<w:pPr><w:pStyle w:val="Normal"/></w:pPr>
<w:r><w:t xml:space="preserve">&quot;that the House absolutely condemns the conduct of Oakes</w:t></w:r>
</w:p>
<w:p>
<w:pPr><w:pStyle w:val="Normal"/></w:pPr>
<w:r><w:t xml:space="preserve">Ames...in seeking to secure congressional attention to the</w:t></w:r>
</w:p>
<w:p>
<w:pPr><w:pStyle w:val="Normal"/></w:pPr>
<w:r><w:t xml:space="preserve">affairs of a corporation in which he was interested, and</w:t></w:r>
</w:p>
<w:p>
<w:pPr><w:pStyle w:val="Normal"/></w:pPr>
<w:r><w:t xml:space="preserve">whose interest directly depended upon the legislation of</w:t></w:r>
</w:p>
<w:p>
<w:pPr><w:pStyle w:val="Normal"/></w:pPr>
<w:r><w:t xml:space="preserve">Congress, by inducing members of Congress to invest in the</w:t></w:r>
</w:p>
<w:p>
<w:pPr><w:pStyle w:val="Normal"/></w:pPr>
<w:r><w:t xml:space="preserve">stocks of said corporation.&quot; Many have since attributed this</w:t></w:r>
</w:p>
<w:p>
<w:pPr><w:pStyle w:val="Normal"/></w:pPr>
<w:r><w:t xml:space="preserve">resolution to partisanship, and the influence of popular</w:t></w:r>
</w:p>
<w:p>
<w:pPr><w:pStyle w:val="Normal"/></w:pPr>
<w:r><w:t xml:space="preserve">clamour, and in 1883 the legislature of Massachusetts</w:t></w:r>
</w:p>
<w:p>
<w:pPr><w:pStyle w:val="Normal"/></w:pPr>
<w:r><w:t xml:space="preserve">passed a resolution vindicating Ames.  He died at North</w:t></w:r>
</w:p>
<w:p>
<w:pPr><w:pStyle w:val="Normal"/></w:pPr>
<w:r><w:t xml:space="preserve">Easton, Mass., on the 8th of May 1873.  His son, OLIVER</w:t></w:r>
</w:p>
<w:p>
<w:pPr><w:pStyle w:val="Normal"/></w:pPr>
<w:r><w:t xml:space="preserve">AMES (1831-1895), was lieutenant-governor of Massachusetts</w:t></w:r>
</w:p>
<w:p>
<w:pPr><w:pStyle w:val="Normal"/></w:pPr>
<w:r><w:t xml:space="preserve">from 1883 until 1887, and governor from 1887 to 1890.</w:t></w:r>
</w:p>
<w:p>
<w:pPr><w:pStyle w:val="Normal"/></w:pPr>
<w:r><w:t xml:space="preserve">See CREDIT MOBILIER OF AMERICA and the references</w:t></w:r>
</w:p>
<w:p>
<w:pPr><w:pStyle w:val="Normal"/></w:pPr>
<w:r><w:t xml:space="preserve">there given.  For a defence of Oakes Ames, see Oakes</w:t></w:r>
</w:p>
<w:p>
<w:pPr><w:pStyle w:val="Normal"/></w:pPr>
<w:r><w:t xml:space="preserve">Ames, A Memorial Volume (Cambridge, Mass., 1884).</w:t></w:r>
</w:p>
<w:p>
<w:pPr><w:pStyle w:val="Normal"/></w:pPr>
<w:r><w:t xml:space="preserve">AMES, WILLIAM (1576-1633), English Puritan divine, better</w:t></w:r>
</w:p>
<w:p>
<w:pPr><w:pStyle w:val="Normal"/></w:pPr>
<w:r><w:t xml:space="preserve">known, especially in Europe, as Amesius, was born of</w:t></w:r>
</w:p>
<w:p>
<w:pPr><w:pStyle w:val="Normal"/></w:pPr>
<w:r><w:t xml:space="preserve">an ancient family at Ipswich, Suffolk, in 1576, and was</w:t></w:r>
</w:p>
<w:p>
<w:pPr><w:pStyle w:val="Normal"/></w:pPr>
<w:r><w:t xml:space="preserve">educated at the local grammar school and at Christ&apos;s College,</w:t></w:r>
</w:p>
<w:p>
<w:pPr><w:pStyle w:val="Normal"/></w:pPr>
<w:r><w:t xml:space="preserve">Cambridge, where, as throughout his life, he was an omnivorous</w:t></w:r>
</w:p>
<w:p>
<w:pPr><w:pStyle w:val="Normal"/></w:pPr>
<w:r><w:t xml:space="preserve">student.  He was considerably influenced by his tutor, the</w:t></w:r>
</w:p>
<w:p>
<w:pPr><w:pStyle w:val="Normal"/></w:pPr>
<w:r><w:t xml:space="preserve">celebrated William Perkins, and by his successor, a man of</w:t></w:r>
</w:p>
<w:p>
<w:pPr><w:pStyle w:val="Normal"/></w:pPr>
<w:r><w:t xml:space="preserve">kindred intellect and fervour, Paul Bayne.  He graduated</w:t></w:r>
</w:p>
<w:p>
<w:pPr><w:pStyle w:val="Normal"/></w:pPr>
<w:r><w:t xml:space="preserve">B.A. and M.A. in due course, and was chosen to a fellowship</w:t></w:r>
</w:p>
<w:p>
<w:pPr><w:pStyle w:val="Normal"/></w:pPr>
<w:r><w:t xml:space="preserve">in Christ&apos;s College.  He was universally beloved in the</w:t></w:r>
</w:p>
<w:p>
<w:pPr><w:pStyle w:val="Normal"/></w:pPr>
<w:r><w:t xml:space="preserve">university.  His own college (Christ&apos;s) would have chosen</w:t></w:r>
</w:p>
<w:p>
<w:pPr><w:pStyle w:val="Normal"/></w:pPr>
<w:r><w:t xml:space="preserve">him for the mastership; but a party opposition led to the</w:t></w:r>
</w:p>
<w:p>
<w:pPr><w:pStyle w:val="Normal"/></w:pPr>
<w:r><w:t xml:space="preserve">election of Valentine Cary, who had already quarrelled with</w:t></w:r>
</w:p>
<w:p>
<w:pPr><w:pStyle w:val="Normal"/></w:pPr>
<w:r><w:t xml:space="preserve">Ames for disapproving of the surplice and other outward</w:t></w:r>
</w:p>
<w:p>
<w:pPr><w:pStyle w:val="Normal"/></w:pPr>
<w:r><w:t xml:space="preserve">symbols.  One of Ames&apos;s sermons became historical in the Puritan</w:t></w:r>
</w:p>
<w:p>
<w:pPr><w:pStyle w:val="Normal"/></w:pPr>
<w:r><w:t xml:space="preserve">controversies.  It was delivered on St Thomas&apos;s day (1609)</w:t></w:r>
</w:p>
<w:p>
<w:pPr><w:pStyle w:val="Normal"/></w:pPr>
<w:r><w:t xml:space="preserve">before the feast of Christ&apos;s nativity, and in it he rebuked</w:t></w:r>
</w:p>
<w:p>
<w:pPr><w:pStyle w:val="Normal"/></w:pPr>
<w:r><w:t xml:space="preserve">sharply &quot;lusory lotts&quot; and the &quot;heathenish debauchery&quot; of the</w:t></w:r>
</w:p>
<w:p>
<w:pPr><w:pStyle w:val="Normal"/></w:pPr>
<w:r><w:t xml:space="preserve">students during the twelve days ensuing.  The scathing vehemence</w:t></w:r>
</w:p>
<w:p>
<w:pPr><w:pStyle w:val="Normal"/></w:pPr>
<w:r><w:t xml:space="preserve">of his denunciations led to his being summoned before the</w:t></w:r>
</w:p>
<w:p>
<w:pPr><w:pStyle w:val="Normal"/></w:pPr>
<w:r><w:t xml:space="preserve">vice-chancellor, who suspended him &quot;from the exercise of his</w:t></w:r>
</w:p>
<w:p>
<w:pPr><w:pStyle w:val="Normal"/></w:pPr>
<w:r><w:t xml:space="preserve">ecclesiastical function and from all degrees taken or to be</w:t></w:r>
</w:p>
<w:p>
<w:pPr><w:pStyle w:val="Normal"/></w:pPr>
<w:r><w:t xml:space="preserve">taken.&quot; After Cary&apos;s election he left the university and would</w:t></w:r>
</w:p>
<w:p>
<w:pPr><w:pStyle w:val="Normal"/></w:pPr>
<w:r><w:t xml:space="preserve">have accepted the great church of Colchester, but the bishop</w:t></w:r>
</w:p>
<w:p>
<w:pPr><w:pStyle w:val="Normal"/></w:pPr>
<w:r><w:t xml:space="preserve">of London refused to grant institution and induction.  Like</w:t></w:r>
</w:p>
<w:p>
<w:pPr><w:pStyle w:val="Normal"/></w:pPr>
<w:r><w:t xml:space="preserve">persecution awaited him elsewhere, and at last he passed over</w:t></w:r>
</w:p>
<w:p>
<w:pPr><w:pStyle w:val="Normal"/></w:pPr>
<w:r><w:t xml:space="preserve">to Holland, being aided by certain wealthy English merchants</w:t></w:r>
</w:p>
<w:p>
<w:pPr><w:pStyle w:val="Normal"/></w:pPr>
<w:r><w:t xml:space="preserve">who wished him to controvert the supporters of the English</w:t></w:r>
</w:p>
<w:p>
<w:pPr><w:pStyle w:val="Normal"/></w:pPr>
<w:r><w:t xml:space="preserve">church in Leiden.  At Rotterdam, clad in the fisherman&apos;s habit</w:t></w:r>
</w:p>
<w:p>
<w:pPr><w:pStyle w:val="Normal"/></w:pPr>
<w:r><w:t xml:space="preserve">donned for the passage, he opposed Grevinchovius (Nicholas</w:t></w:r>
</w:p>
<w:p>
<w:pPr><w:pStyle w:val="Normal"/></w:pPr>
<w:r><w:t xml:space="preserve">Grevinckhoven, d. 1632), minister of the Arminian or Remonstrant</w:t></w:r>
</w:p>
<w:p>
<w:pPr><w:pStyle w:val="Normal"/></w:pPr>
<w:r><w:t xml:space="preserve">church, and overwhelmed him with his logical reasoning from</w:t></w:r>
</w:p>
<w:p>
<w:pPr><w:pStyle w:val="Normal"/></w:pPr>
<w:r><w:t xml:space="preserve">Phil. ii. 13, &quot;It is God that worketh in us both to will</w:t></w:r>
</w:p>
<w:p>
<w:pPr><w:pStyle w:val="Normal"/></w:pPr>
<w:r><w:t xml:space="preserve">and to do.&quot; The fisherman-controversialist made a great</w:t></w:r>
</w:p>
<w:p>
<w:pPr><w:pStyle w:val="Normal"/></w:pPr>
<w:r><w:t xml:space="preserve">stir, and from that day became known and honoured in the Low</w:t></w:r>
</w:p>
<w:p>
<w:pPr><w:pStyle w:val="Normal"/></w:pPr>
<w:r><w:t xml:space="preserve">Countries.  Subsequently Ames entered into a controversy</w:t></w:r>
</w:p>
<w:p>
<w:pPr><w:pStyle w:val="Normal"/></w:pPr>
<w:r><w:t xml:space="preserve">in print with Grevinchovius on universal redemption and</w:t></w:r>
</w:p>
<w:p>
<w:pPr><w:pStyle w:val="Normal"/></w:pPr>
<w:r><w:t xml:space="preserve">election, and cognate problems.  He brought together all he</w:t></w:r>
</w:p>
<w:p>
<w:pPr><w:pStyle w:val="Normal"/></w:pPr>
<w:r><w:t xml:space="preserve">had maintained in his Coronis ad Collationem Hagiensem--his</w:t></w:r>
</w:p>
<w:p>
<w:pPr><w:pStyle w:val="Normal"/></w:pPr>
<w:r><w:t xml:space="preserve">most masterful book, which figures largely in Dutch church</w:t></w:r>
</w:p>
<w:p>
<w:pPr><w:pStyle w:val="Normal"/></w:pPr>
<w:r><w:t xml:space="preserve">history.  At Leiden, Ames became intimate with the venerable</w:t></w:r>
</w:p>
<w:p>
<w:pPr><w:pStyle w:val="Normal"/></w:pPr>
<w:r><w:t xml:space="preserve">Mr Goodyear, pastor of the English church there.  While thus</w:t></w:r>
</w:p>
<w:p>
<w:pPr><w:pStyle w:val="Normal"/></w:pPr>
<w:r><w:t xml:space="preserve">resident in comparative privacy he was sent for to the Hague</w:t></w:r>
</w:p>
<w:p>
<w:pPr><w:pStyle w:val="Normal"/></w:pPr>
<w:r><w:t xml:space="preserve">by Sir Horatio Vere, the English governor of Brill, who</w:t></w:r>
</w:p>
<w:p>
<w:pPr><w:pStyle w:val="Normal"/></w:pPr>
<w:r><w:t xml:space="preserve">appointed him a minister in the army of the states-general,</w:t></w:r>
</w:p>
<w:p>
<w:pPr><w:pStyle w:val="Normal"/></w:pPr>
<w:r><w:t xml:space="preserve">and of the English soldiers in their service, a post held by</w:t></w:r>
</w:p>
<w:p>
<w:pPr><w:pStyle w:val="Normal"/></w:pPr>
<w:r><w:t xml:space="preserve">some of the greatest of England&apos;s exiled Puritans.  He married</w:t></w:r>
</w:p>
<w:p>
<w:pPr><w:pStyle w:val="Normal"/></w:pPr>
<w:r><w:t xml:space="preserve">a daughter of Dr Burgess, who was Vere&apos;s chaplain, and, on</w:t></w:r>
</w:p>
<w:p>
<w:pPr><w:pStyle w:val="Normal"/></w:pPr>
<w:r><w:t xml:space="preserve">his father-in-law&apos;s return to England, succeeded to his place.</w:t></w:r>
</w:p>
<w:p>
<w:pPr><w:pStyle w:val="Normal"/></w:pPr>
<w:r><w:t xml:space="preserve">It was at this time he began his memorable controversy with</w:t></w:r>
</w:p>
<w:p>
<w:pPr><w:pStyle w:val="Normal"/></w:pPr>
<w:r><w:t xml:space="preserve">Episcopius, who, in attacking the Coronis, railed against</w:t></w:r>
</w:p>
<w:p>
<w:pPr><w:pStyle w:val="Normal"/></w:pPr>
<w:r><w:t xml:space="preserve">the author as having been &quot;a disturber of the public peace</w:t></w:r>
</w:p>
<w:p>
<w:pPr><w:pStyle w:val="Normal"/></w:pPr>
<w:r><w:t xml:space="preserve">in his native country, so that the English magistrates had</w:t></w:r>
</w:p>
<w:p>
<w:pPr><w:pStyle w:val="Normal"/></w:pPr>
<w:r><w:t xml:space="preserve">banished him thence; and now, by his late printed Coronis,</w:t></w:r>
</w:p>
<w:p>
<w:pPr><w:pStyle w:val="Normal"/></w:pPr>
<w:r><w:t xml:space="preserve">he was raising new disturbances in the peaceable Netherlands.&quot;</w:t></w:r>
</w:p>
<w:p>
<w:pPr><w:pStyle w:val="Normal"/></w:pPr>
<w:r><w:t xml:space="preserve">It was a miserable libel and was at once rebutted by</w:t></w:r>
</w:p>
<w:p>
<w:pPr><w:pStyle w:val="Normal"/></w:pPr>
<w:r><w:t xml:space="preserve">Goodyear.  The Coronis had been primarily prepared for</w:t></w:r>
</w:p>
<w:p>
<w:pPr><w:pStyle w:val="Normal"/></w:pPr>
<w:r><w:t xml:space="preserve">the synod of Dort, which sat from November 1618 until May</w:t></w:r>
</w:p>
<w:p>
<w:pPr><w:pStyle w:val="Normal"/></w:pPr>
<w:r><w:t xml:space="preserve">1619.  At this celebrated synod the position of Ames was a</w:t></w:r>
</w:p>
<w:p>
<w:pPr><w:pStyle w:val="Normal"/></w:pPr>
<w:r><w:t xml:space="preserve">peculiar one.  The High Church party in England had induced</w:t></w:r>
</w:p>
<w:p>
<w:pPr><w:pStyle w:val="Normal"/></w:pPr>
<w:r><w:t xml:space="preserve">Vere to dismiss him from the chaplaincy; but he was still</w:t></w:r>
</w:p>
<w:p>
<w:pPr><w:pStyle w:val="Normal"/></w:pPr>
<w:r><w:t xml:space="preserve">held, deservedly, in such reverence, that it was arranged</w:t></w:r>
</w:p>
<w:p>
<w:pPr><w:pStyle w:val="Normal"/></w:pPr>
<w:r><w:t xml:space="preserve">he should attend the synod, and accordingly he was retained</w:t></w:r>
</w:p>
<w:p>
<w:pPr><w:pStyle w:val="Normal"/></w:pPr>
<w:r><w:t xml:space="preserve">by the Calvinist party at four florins a day to watch the</w:t></w:r>
</w:p>
<w:p>
<w:pPr><w:pStyle w:val="Normal"/></w:pPr>
<w:r><w:t xml:space="preserve">proceedings on their behalf and advise them when necessary.</w:t></w:r>
</w:p>
<w:p>
<w:pPr><w:pStyle w:val="Normal"/></w:pPr>
<w:r><w:t xml:space="preserve">A proposal to make him principal of a theological college</w:t></w:r>
</w:p>
<w:p>
<w:pPr><w:pStyle w:val="Normal"/></w:pPr>
<w:r><w:t xml:space="preserve">at Leiden was frustrated by Archbishop Abbot; and when</w:t></w:r>
</w:p>
<w:p>
<w:pPr><w:pStyle w:val="Normal"/></w:pPr>
<w:r><w:t xml:space="preserve">later invited by the state of Friesland to a professoriate</w:t></w:r>
</w:p>
<w:p>
<w:pPr><w:pStyle w:val="Normal"/></w:pPr>
<w:r><w:t xml:space="preserve">at Franeker, the opposition was renewed, but this time</w:t></w:r>
</w:p>
<w:p>
<w:pPr><w:pStyle w:val="Normal"/></w:pPr>
<w:r><w:t xml:space="preserve">abortively.  He was installed at Franeker on the 7th of May</w:t></w:r>
</w:p>
<w:p>
<w:pPr><w:pStyle w:val="Normal"/></w:pPr>
<w:r><w:t xml:space="preserve">1622, and delivered a most learned discourse on the occasion</w:t></w:r>
</w:p>
<w:p>
<w:pPr><w:pStyle w:val="Normal"/></w:pPr>
<w:r><w:t xml:space="preserve">on &quot;Urim and Thummin.&quot; He soon brought renown to Franeker</w:t></w:r>
</w:p>
<w:p>
<w:pPr><w:pStyle w:val="Normal"/></w:pPr>
<w:r><w:t xml:space="preserve">as professor, preacher, pastor and theological writer.  He</w:t></w:r>
</w:p>
<w:p>
<w:pPr><w:pStyle w:val="Normal"/></w:pPr>
<w:r><w:t xml:space="preserve">prepared his Medulla Theologiae, a manual of Calvinistic</w:t></w:r>
</w:p>
<w:p>
<w:pPr><w:pStyle w:val="Normal"/></w:pPr>
<w:r><w:t xml:space="preserve">doctrine, for his students.  His De Conscientia, ejus Jure</w:t></w:r>
</w:p>
<w:p>
<w:pPr><w:pStyle w:val="Normal"/></w:pPr>
<w:r><w:t xml:space="preserve">et Casibus (1632), an attempt to bring Christian ethics</w:t></w:r>
</w:p>
<w:p>
<w:pPr><w:pStyle w:val="Normal"/></w:pPr>
<w:r><w:t xml:space="preserve">into clear relation with particular cases of conduct and</w:t></w:r>
</w:p>
<w:p>
<w:pPr><w:pStyle w:val="Normal"/></w:pPr>
<w:r><w:t xml:space="preserve">of conscience, was a new thing in Protestantism.  Having</w:t></w:r>
</w:p>
<w:p>
<w:pPr><w:pStyle w:val="Normal"/></w:pPr>
<w:r><w:t xml:space="preserve">continued twelve years at Franeker (where he was rector in</w:t></w:r>
</w:p>
<w:p>
<w:pPr><w:pStyle w:val="Normal"/></w:pPr>
<w:r><w:t xml:space="preserve">1626), his health gave way, and he contemplated removal</w:t></w:r>
</w:p>
<w:p>
<w:pPr><w:pStyle w:val="Normal"/></w:pPr>
<w:r><w:t xml:space="preserve">to New England.  But another door was opened for him.  He</w:t></w:r>
</w:p>
<w:p>
<w:pPr><w:pStyle w:val="Normal"/></w:pPr>
<w:r><w:t xml:space="preserve">yearned for more frequent opportunities of preaching to his</w:t></w:r>
</w:p>
<w:p>
<w:pPr><w:pStyle w:val="Normal"/></w:pPr>
<w:r><w:t xml:space="preserve">fellow-countrymen, and an invitation to Rotterdam gave him such</w:t></w:r>
</w:p>
<w:p>
<w:pPr><w:pStyle w:val="Normal"/></w:pPr>
<w:r><w:t xml:space="preserve">opportunity.  His friends at Franeker were passionately</w:t></w:r>
</w:p>
<w:p>
<w:pPr><w:pStyle w:val="Normal"/></w:pPr>
<w:r><w:t xml:space="preserve">opposed to the transference, but ultimately acquiesced.</w:t></w:r>
</w:p>
<w:p>
<w:pPr><w:pStyle w:val="Normal"/></w:pPr>
<w:r><w:t xml:space="preserve">At Rotterdam he drew all hearts to him by his eloquence and</w:t></w:r>
</w:p>
<w:p>
<w:pPr><w:pStyle w:val="Normal"/></w:pPr>
<w:r><w:t xml:space="preserve">fervour in the pulpit, and his irrepressible activity as a</w:t></w:r>
</w:p>
<w:p>
<w:pPr><w:pStyle w:val="Normal"/></w:pPr>
<w:r><w:t xml:space="preserve">pastor.  Home-controversy engaged him again, and he prepared</w:t></w:r>
</w:p>
<w:p>
<w:pPr><w:pStyle w:val="Normal"/></w:pPr>
<w:r><w:t xml:space="preserve">his Fresh Suit against Ceremonies--the book which made Richard</w:t></w:r>
</w:p>
<w:p>
<w:pPr><w:pStyle w:val="Normal"/></w:pPr>
<w:r><w:t xml:space="preserve">Baxter a Nonconformist.  It ably sums up the issues between</w:t></w:r>
</w:p>
<w:p>
<w:pPr><w:pStyle w:val="Normal"/></w:pPr>
<w:r><w:t xml:space="preserve">the Puritan school and that of Hooker.  It was posthumously</w:t></w:r>
</w:p>
<w:p>
<w:pPr><w:pStyle w:val="Normal"/></w:pPr>
<w:r><w:t xml:space="preserve">published.  He did not long survive his removal to Rotterdam.</w:t></w:r>
</w:p>
<w:p>
<w:pPr><w:pStyle w:val="Normal"/></w:pPr>
<w:r><w:t xml:space="preserve">Having caught a cold from a flood which inundated his house,</w:t></w:r>
</w:p>
<w:p>
<w:pPr><w:pStyle w:val="Normal"/></w:pPr>
<w:r><w:t xml:space="preserve">he died in November 1633, at the age of fifty-seven, apparently</w:t></w:r>
</w:p>
<w:p>
<w:pPr><w:pStyle w:val="Normal"/></w:pPr>
<w:r><w:t xml:space="preserve">in needy circumstances.  He left, by a second wife, a son and a</w:t></w:r>
</w:p>
<w:p>
<w:pPr><w:pStyle w:val="Normal"/></w:pPr>
<w:r><w:t xml:space="preserve">daughter.  His valuable library found a home in New England.</w:t></w:r>
</w:p>
<w:p>
<w:pPr><w:pStyle w:val="Normal"/></w:pPr>
<w:r><w:t xml:space="preserve">Few Englishmen have exercised so formative and controlling an</w:t></w:r>
</w:p>
<w:p>
<w:pPr><w:pStyle w:val="Normal"/></w:pPr>
<w:r><w:t xml:space="preserve">influence on European thought and opinion as Ames.  He was a</w:t></w:r>
</w:p>
<w:p>
<w:pPr><w:pStyle w:val="Normal"/></w:pPr>
<w:r><w:t xml:space="preserve">master in theological controversy, shunning not to cross swords</w:t></w:r>
</w:p>
<w:p>
<w:pPr><w:pStyle w:val="Normal"/></w:pPr>
<w:r><w:t xml:space="preserve">with the formidable Bellarmine.  He was a scholar among scholars,</w:t></w:r>
</w:p>
<w:p>
<w:pPr><w:pStyle w:val="Normal"/></w:pPr>
<w:r><w:t xml:space="preserve">being furnished with extraordinary resources of learning.  His</w:t></w:r>
</w:p>
<w:p>
<w:pPr><w:pStyle w:val="Normal"/></w:pPr>
<w:r><w:t xml:space="preserve">works, which even the Biographia Britannica (1778) testifies</w:t></w:r>
</w:p>
<w:p>
<w:pPr><w:pStyle w:val="Normal"/></w:pPr>
<w:r><w:t xml:space="preserve">were famous over Europe, were collected at Amsterdam in 5 vols.</w:t></w:r>
</w:p>
<w:p>
<w:pPr><w:pStyle w:val="Normal"/></w:pPr>
<w:r><w:t xml:space="preserve">4to. Only a very small proportion was translated into his mother</w:t></w:r>
</w:p>
<w:p>
<w:pPr><w:pStyle w:val="Normal"/></w:pPr>
<w:r><w:t xml:space="preserve">tongue.  His Lectiones in omnes Psalmos Davidis (1635) is</w:t></w:r>
</w:p>
<w:p>
<w:pPr><w:pStyle w:val="Normal"/></w:pPr>
<w:r><w:t xml:space="preserve">exceedingly suggestive and terse in its style, reminding of</w:t></w:r>
</w:p>
<w:p>
<w:pPr><w:pStyle w:val="Normal"/></w:pPr>
<w:r><w:t xml:space="preserve">Bengel&apos;s Gnomon, as does also his Commentarius utriusque</w:t></w:r>
</w:p>
<w:p>
<w:pPr><w:pStyle w:val="Normal"/></w:pPr>
<w:r><w:t xml:space="preserve">Epist.  S. Petri. His &quot;Replies&quot; to Bishop Morton and Dr</w:t></w:r>
</w:p>
<w:p>
<w:pPr><w:pStyle w:val="Normal"/></w:pPr>
<w:r><w:t xml:space="preserve">Burgess on &quot;Ceremonies&quot; tell us that even kinship could</w:t></w:r>
</w:p>
<w:p>
<w:pPr><w:pStyle w:val="Normal"/></w:pPr>
<w:r><w:t xml:space="preserve">not prevent him from &quot;contending earnestly for the faith.&quot;</w:t></w:r>
</w:p>
<w:p>
<w:pPr><w:pStyle w:val="Normal"/></w:pPr>
<w:r><w:t xml:space="preserve">See John Quick&apos;s MS. Icones Sacrae Anglicanae, which gives</w:t></w:r>
</w:p>
<w:p>
<w:pPr><w:pStyle w:val="Normal"/></w:pPr>
<w:r><w:t xml:space="preserve">the fisherman anecdote on the personal authority of one</w:t></w:r>
</w:p>
<w:p>
<w:pPr><w:pStyle w:val="Normal"/></w:pPr>
<w:r><w:t xml:space="preserve">who was present; Life by Nethenus prefixed to collected</w:t></w:r>
</w:p>
<w:p>
<w:pPr><w:pStyle w:val="Normal"/></w:pPr>
<w:r><w:t xml:space="preserve">edition of Latin works (5 vols., Amsterdam, 1658); Winwood&apos;s</w:t></w:r>
</w:p>
<w:p>
<w:pPr><w:pStyle w:val="Normal"/></w:pPr>
<w:r><w:t xml:space="preserve">Memorials, vol. iii. pp. 346- 347; Heal&apos;s Puritans, i.</w:t></w:r>
</w:p>
<w:p>
<w:pPr><w:pStyle w:val="Normal"/></w:pPr>
<w:r><w:t xml:space="preserve">532; Fuller&apos;s Cambridge (Christ&apos;s College); Hanbury&apos;s</w:t></w:r>
</w:p>
<w:p>
<w:pPr><w:pStyle w:val="Normal"/></w:pPr>
<w:r><w:t xml:space="preserve">Hist.  Memorials, i. 533; Collections of the Massachusetts</w:t></w:r>
</w:p>
<w:p>
<w:pPr><w:pStyle w:val="Normal"/></w:pPr>
<w:r><w:t xml:space="preserve">Historical Society, vol. vi., fourth series, 1863, pp. 576-577.</w:t></w:r>
</w:p>
<w:p>
<w:pPr><w:pStyle w:val="Normal"/></w:pPr>
<w:r><w:t xml:space="preserve">AMES, a city of Story county, Iowa, U.S.A., about 35 m.  N.</w:t></w:r>
</w:p>
<w:p>
<w:pPr><w:pStyle w:val="Normal"/></w:pPr>
<w:r><w:t xml:space="preserve">of Des Moines, at the intersection of two lines of the Chicago</w:t></w:r>
</w:p>
<w:p>
<w:pPr><w:pStyle w:val="Normal"/></w:pPr>
<w:r><w:t xml:space="preserve">&amp; North- Western railway.  Pop. (1890) 1276; (1900) 2422; (1905,</w:t></w:r>
</w:p>
<w:p>
<w:pPr><w:pStyle w:val="Normal"/></w:pPr>
<w:r><w:t xml:space="preserve">state census) 4223.  The city is the seat of the state college</w:t></w:r>
</w:p>
<w:p>
<w:pPr><w:pStyle w:val="Normal"/></w:pPr>
<w:r><w:t xml:space="preserve">of agriculture and mechanic arts; this institution, opened in</w:t></w:r>
</w:p>
<w:p>
<w:pPr><w:pStyle w:val="Normal"/></w:pPr>
<w:r><w:t xml:space="preserve">1869, has for its use about 1175 acres of land, on which the</w:t></w:r>
</w:p>
<w:p>
<w:pPr><w:pStyle w:val="Normal"/></w:pPr>
<w:r><w:t xml:space="preserve">state has erected, at a cost of $1,200,000, thirty-two college</w:t></w:r>
</w:p>
<w:p>
<w:pPr><w:pStyle w:val="Normal"/></w:pPr>
<w:r><w:t xml:space="preserve">buildings, besides dwelling-houses and buildings for farm</w:t></w:r>
</w:p>
<w:p>
<w:pPr><w:pStyle w:val="Normal"/></w:pPr>
<w:r><w:t xml:space="preserve">purposes.  On the college campus are beautiful groves containing</w:t></w:r>
</w:p>
<w:p>
<w:pPr><w:pStyle w:val="Normal"/></w:pPr>
<w:r><w:t xml:space="preserve">several hundred varieties of trees, and in a central position</w:t></w:r>
</w:p>
<w:p>
<w:pPr><w:pStyle w:val="Normal"/></w:pPr>
<w:r><w:t xml:space="preserve">stands a campanile with excellent chimes.  The college offers</w:t></w:r>
</w:p>
<w:p>
<w:pPr><w:pStyle w:val="Normal"/></w:pPr>
<w:r><w:t xml:space="preserve">four-year courses in agronomy, animal husbandry, dairying,</w:t></w:r>
</w:p>
<w:p>
<w:pPr><w:pStyle w:val="Normal"/></w:pPr>
<w:r><w:t xml:space="preserve">domestic economy, general science, veterinary medicine, and</w:t></w:r>
</w:p>
<w:p>
<w:pPr><w:pStyle w:val="Normal"/></w:pPr>
<w:r><w:t xml:space="preserve">civil, mechanical, electrical and mining engineering.  In</w:t></w:r>
</w:p>
<w:p>
<w:pPr><w:pStyle w:val="Normal"/></w:pPr>
<w:r><w:t xml:space="preserve">1909-1910 it had an enrollment of 2631 students (including</w:t></w:r>
</w:p>
<w:p>
<w:pPr><w:pStyle w:val="Normal"/></w:pPr>
<w:r><w:t xml:space="preserve">796 in the winter short course) and a library Of 23,000</w:t></w:r>
</w:p>
<w:p>
<w:pPr><w:pStyle w:val="Normal"/></w:pPr>
<w:r><w:t xml:space="preserve">volumes.  The cost of instruction and experimentation is met</w:t></w:r>
</w:p>
<w:p>
<w:pPr><w:pStyle w:val="Normal"/></w:pPr>
<w:r><w:t xml:space="preserve">by the income from national grants (under the Morrill Acts of</w:t></w:r>
</w:p>
<w:p>
<w:pPr><w:pStyle w:val="Normal"/></w:pPr>
<w:r><w:t xml:space="preserve">1862 and 1882) and by state appropriations.  Ames has a Carnegie</w:t></w:r>
</w:p>
<w:p>
<w:pPr><w:pStyle w:val="Normal"/></w:pPr>
<w:r><w:t xml:space="preserve">library, and owns and operates its electric-lighting plant and</w:t></w:r>
</w:p>
<w:p>
<w:pPr><w:pStyle w:val="Normal"/></w:pPr>
<w:r><w:t xml:space="preserve">waterworks.  It was laid out as a town in 1864 and was named</w:t></w:r>
</w:p>
<w:p>
<w:pPr><w:pStyle w:val="Normal"/></w:pPr>
<w:r><w:t xml:space="preserve">in honour of Oakes Ames, at the time one of the proprietors</w:t></w:r>
</w:p>
<w:p>
<w:pPr><w:pStyle w:val="Normal"/></w:pPr>
<w:r><w:t xml:space="preserve">of the Cedar Rapids &amp; Missouri River railway (now part of the</w:t></w:r>
</w:p>
<w:p>
<w:pPr><w:pStyle w:val="Normal"/></w:pPr>
<w:r><w:t xml:space="preserve">Chicago &amp; North- Western); five years later it was incorporated.</w:t></w:r>
</w:p>
<w:p>
<w:pPr><w:pStyle w:val="Normal"/></w:pPr>
<w:r><w:t xml:space="preserve">AMESBURY, a small town in the Wilton parliamentary division</w:t></w:r>
</w:p>
<w:p>
<w:pPr><w:pStyle w:val="Normal"/></w:pPr>
<w:r><w:t xml:space="preserve">of Wiltshire, England, 8 m.  N. of Salisbury, on the London</w:t></w:r>
</w:p>
<w:p>
<w:pPr><w:pStyle w:val="Normal"/></w:pPr>
<w:r><w:t xml:space="preserve">&amp; South- Western railway.  Pop. (1901) 1143.  It stands on</w:t></w:r>
</w:p>
<w:p>
<w:pPr><w:pStyle w:val="Normal"/></w:pPr>
<w:r><w:t xml:space="preserve">a wooded upland, amid the chalk downs of Salisbury Plain.</w:t></w:r>
</w:p>
<w:p>
<w:pPr><w:pStyle w:val="Normal"/></w:pPr>
<w:r><w:t xml:space="preserve">The church of St Mary is cruciform, with a low square tower,</w:t></w:r>
</w:p>
<w:p>
<w:pPr><w:pStyle w:val="Normal"/></w:pPr>
<w:r><w:t xml:space="preserve">and is largely Early English, with some richly decorated</w:t></w:r>
</w:p>
<w:p>
<w:pPr><w:pStyle w:val="Normal"/></w:pPr>
<w:r><w:t xml:space="preserve">windows in the chancel.  A curious two-storeyed building</w:t></w:r>
</w:p>
<w:p>
<w:pPr><w:pStyle w:val="Normal"/></w:pPr>
<w:r><w:t xml:space="preserve">which adjoins the north transept consists of a chapel with</w:t></w:r>
</w:p>
<w:p>
<w:pPr><w:pStyle w:val="Normal"/></w:pPr>
<w:r><w:t xml:space="preserve">a piscina below and a priest&apos;s chamber above.  Amesbury</w:t></w:r>
</w:p>
<w:p>
<w:pPr><w:pStyle w:val="Normal"/></w:pPr>
<w:r><w:t xml:space="preserve">Abbey, a beautiful house built by Inigo Jones for the dukes of</w:t></w:r>
</w:p>
<w:p>
<w:pPr><w:pStyle w:val="Normal"/></w:pPr>
<w:r><w:t xml:space="preserve">Queensberry, stands close to the village, in a park watered</w:t></w:r>
</w:p>
<w:p>
<w:pPr><w:pStyle w:val="Normal"/></w:pPr>
<w:r><w:t xml:space="preserve">by the river Avon, here famous for its trout.  Stonehenge</w:t></w:r>
</w:p>
<w:p>
<w:pPr><w:pStyle w:val="Normal"/></w:pPr>
<w:r><w:t xml:space="preserve">(q.v.), the greatest surviving megalithic work in the</w:t></w:r>
</w:p>
<w:p>
<w:pPr><w:pStyle w:val="Normal"/></w:pPr>
<w:r><w:t xml:space="preserve">British Isles, is a mile and a half distant; and on a hill</w:t></w:r>
</w:p>
<w:p>
<w:pPr><w:pStyle w:val="Normal"/></w:pPr>
<w:r><w:t xml:space="preserve">near the village is Vespasian&apos;s Camp or the Ramparts, a large</w:t></w:r>
</w:p>
<w:p>
<w:pPr><w:pStyle w:val="Normal"/></w:pPr>
<w:r><w:t xml:space="preserve">earthwork, which is undoubtedly of British, not Roman, origin.</w:t></w:r>
</w:p>
<w:p>
<w:pPr><w:pStyle w:val="Normal"/></w:pPr>
<w:r><w:t xml:space="preserve">At Amesbury (Ambresberia, Aumbresbery) a witenagemot was held in</w:t></w:r>
</w:p>
<w:p>
<w:pPr><w:pStyle w:val="Normal"/></w:pPr>
<w:r><w:t xml:space="preserve">932, while about 980 AElfthryth (Ethelfrida), queen-dowager of</w:t></w:r>
</w:p>
<w:p>
<w:pPr><w:pStyle w:val="Normal"/></w:pPr>
<w:r><w:t xml:space="preserve">Edgar, erected here a nunnery in expiation of the murder of her</w:t></w:r>
</w:p>
<w:p>
<w:pPr><w:pStyle w:val="Normal"/></w:pPr>
<w:r><w:t xml:space="preserve">stepson.  The house afterwards acquired such ill repute that</w:t></w:r>
</w:p>
<w:p>
<w:pPr><w:pStyle w:val="Normal"/></w:pPr>
<w:r><w:t xml:space="preserve">in 1177 the nuns were dispersed and the house was attached</w:t></w:r>
</w:p>
<w:p>
<w:pPr><w:pStyle w:val="Normal"/></w:pPr>
<w:r><w:t xml:space="preserve">to the abbey of Fontevrault, by whom it was re-established.</w:t></w:r>
</w:p>
<w:p>
<w:pPr><w:pStyle w:val="Normal"/></w:pPr>
<w:r><w:t xml:space="preserve">From this date, by a succession of royal charters and private</w:t></w:r>
</w:p>
<w:p>
<w:pPr><w:pStyle w:val="Normal"/></w:pPr>
<w:r><w:t xml:space="preserve">gifts, the nunnery amassed vast wealth and privileges, and</w:t></w:r>
</w:p>
<w:p>
<w:pPr><w:pStyle w:val="Normal"/></w:pPr>
<w:r><w:t xml:space="preserve">became a fashionable retreat for ladies of high rank, among</w:t></w:r>
</w:p>
<w:p>
<w:pPr><w:pStyle w:val="Normal"/></w:pPr>
<w:r><w:t xml:space="preserve">whose number were Eleanor, widow of Henry III., and Mary,</w:t></w:r>
</w:p>
<w:p>
<w:pPr><w:pStyle w:val="Normal"/></w:pPr>
<w:r><w:t xml:space="preserve">daughter of Edward I. After the dissolution in 1540 the site</w:t></w:r>
</w:p>
<w:p>
<w:pPr><w:pStyle w:val="Normal"/></w:pPr>
<w:r><w:t xml:space="preserve">was granted to Edward, earl of Hertford, afterwards duke</w:t></w:r>
</w:p>
<w:p>
<w:pPr><w:pStyle w:val="Normal"/></w:pPr>
<w:r><w:t xml:space="preserve">of Somerset and protector of the kingdom.  It subsequently</w:t></w:r>
</w:p>
<w:p>
<w:pPr><w:pStyle w:val="Normal"/></w:pPr>
<w:r><w:t xml:space="preserve">passed to the duke of Queensberry.  According to the Domesday,</w:t></w:r>
</w:p>
<w:p>
<w:pPr><w:pStyle w:val="Normal"/></w:pPr>
<w:r><w:t xml:space="preserve">Amesbury was a royal manor and did not pay geld, but was under</w:t></w:r>
</w:p>
<w:p>
<w:pPr><w:pStyle w:val="Normal"/></w:pPr>
<w:r><w:t xml:space="preserve">the obligation of providing one night&apos;s entertainment for the</w:t></w:r>
</w:p>
<w:p>
<w:pPr><w:pStyle w:val="Normal"/></w:pPr>
<w:r><w:t xml:space="preserve">king.  In 1317 the prioress obtained a Saturday market and</w:t></w:r>
</w:p>
<w:p>
<w:pPr><w:pStyle w:val="Normal"/></w:pPr>
<w:r><w:t xml:space="preserve">a three days&apos; fair at the feast of St Melor (Meliorus).  The</w:t></w:r>
</w:p>
<w:p>
<w:pPr><w:pStyle w:val="Normal"/></w:pPr>
<w:r><w:t xml:space="preserve">market was subsequently changed to Friday, and three additional</w:t></w:r>
</w:p>
<w:p>
<w:pPr><w:pStyle w:val="Normal"/></w:pPr>
<w:r><w:t xml:space="preserve">fairs were granted.  Pipeclay abounds in the neighbourhood,</w:t></w:r>
</w:p>
<w:p>
<w:pPr><w:pStyle w:val="Normal"/></w:pPr>
<w:r><w:t xml:space="preserve">and in the 17th century Amesbury was famous for the best pipes</w:t></w:r>
</w:p>
<w:p>
<w:pPr><w:pStyle w:val="Normal"/></w:pPr>
<w:r><w:t xml:space="preserve">in England, many of which are preserved in Salisbury museum.</w:t></w:r>
</w:p>
<w:p>
<w:pPr><w:pStyle w:val="Normal"/></w:pPr>
<w:r><w:t xml:space="preserve">See Victoria County History--Wiltshire; Sir Richard</w:t></w:r>
</w:p>
<w:p>
<w:pPr><w:pStyle w:val="Normal"/></w:pPr>
<w:r><w:t xml:space="preserve">Colt Hoare, History of Modern Wiltshire (1822-1844).</w:t></w:r>
</w:p>
<w:p>
<w:pPr><w:pStyle w:val="Normal"/></w:pPr>
<w:r><w:t xml:space="preserve">AMESBURY, a township of Essex county, in N.E. Massachusetts,</w:t></w:r>
</w:p>
<w:p>
<w:pPr><w:pStyle w:val="Normal"/></w:pPr>
<w:r><w:t xml:space="preserve">U.S.A., situated on the Merrimac river, about 6 m. above its</w:t></w:r>
</w:p>
<w:p>
<w:pPr><w:pStyle w:val="Normal"/></w:pPr>
<w:r><w:t xml:space="preserve">mouth.  Pop. (1890) 9798; (1900) 9473, of whom 2448 were</w:t></w:r>
</w:p>
<w:p>
<w:pPr><w:pStyle w:val="Normal"/></w:pPr>
<w:r><w:t xml:space="preserve">foreign-born; (1905, state census), 8840.  Amesbury is served</w:t></w:r>
</w:p>
<w:p>
<w:pPr><w:pStyle w:val="Normal"/></w:pPr>
<w:r><w:t xml:space="preserve">by two divisions of the Boston &amp; Maine railway, and is connected</w:t></w:r>
</w:p>
<w:p>
<w:pPr><w:pStyle w:val="Normal"/></w:pPr>
<w:r><w:t xml:space="preserve">by electric line with Haverhill and Newburyport, Mass., and with</w:t></w:r>
</w:p>
<w:p>
<w:pPr><w:pStyle w:val="Normal"/></w:pPr>
<w:r><w:t xml:space="preserve">Hampton Beach, New Hampshire, and Salisbury Beach, Mass., two</w:t></w:r>
</w:p>
<w:p>
<w:pPr><w:pStyle w:val="Normal"/></w:pPr>
<w:r><w:t xml:space="preserve">summer resorts.  The township covers a land area of about 13 sq.</w:t></w:r>
</w:p>
<w:p>
<w:pPr><w:pStyle w:val="Normal"/></w:pPr>
<w:r><w:t xml:space="preserve">m.  The surface is hilly.  The Powow river, a small stream,</w:t></w:r>
</w:p>
<w:p>
<w:pPr><w:pStyle w:val="Normal"/></w:pPr>
<w:r><w:t xml:space="preserve">passes through the centre of the township.  There is a public</w:t></w:r>
</w:p>
<w:p>
<w:pPr><w:pStyle w:val="Normal"/></w:pPr>
<w:r><w:t xml:space="preserve">library.  Among Amesbury&apos;s manufactures are hats, cotton</w:t></w:r>
</w:p>
<w:p>
<w:pPr><w:pStyle w:val="Normal"/></w:pPr>
<w:r><w:t xml:space="preserve">goods, carriages, automobile bodies, carriage and automobile</w:t></w:r>
</w:p>
<w:p>
<w:pPr><w:pStyle w:val="Normal"/></w:pPr>
<w:r><w:t xml:space="preserve">lamps, thermometers, brass castings and motor boats.  In 1905</w:t></w:r>
</w:p>
<w:p>
<w:pPr><w:pStyle w:val="Normal"/></w:pPr>
<w:r><w:t xml:space="preserve">the factory products were valued at $3,614,692.  Amesbury was</w:t></w:r>
</w:p>
<w:p>
<w:pPr><w:pStyle w:val="Normal"/></w:pPr>
<w:r><w:t xml:space="preserve">settled about 1644 as a separate part of Salisbury, and in</w:t></w:r>
</w:p>
<w:p>
<w:pPr><w:pStyle w:val="Normal"/></w:pPr>
<w:r><w:t xml:space="preserve">1654, by mutual agreement of the old and new &quot;towns,&quot; became</w:t></w:r>
</w:p>
<w:p>
<w:pPr><w:pStyle w:val="Normal"/></w:pPr>
<w:r><w:t xml:space="preserve">practically independent, although not legally a township until</w:t></w:r>
</w:p>
<w:p>
<w:pPr><w:pStyle w:val="Normal"/></w:pPr>
<w:r><w:t xml:space="preserve">1666 (named Amesbury, from the English town in Wilts, in 1667).</w:t></w:r>
</w:p>
<w:p>
<w:pPr><w:pStyle w:val="Normal"/></w:pPr>
<w:r><w:t xml:space="preserve">It suffered repeatedly in the course of the colonial Indian</w:t></w:r>
</w:p>
<w:p>
<w:pPr><w:pStyle w:val="Normal"/></w:pPr>
<w:r><w:t xml:space="preserve">wars.  Quakers settled here as early as 1701.  Josiah Bartlett</w:t></w:r>
</w:p>
<w:p>
<w:pPr><w:pStyle w:val="Normal"/></w:pPr>
<w:r><w:t xml:space="preserve">(1729-1795), a signer of the Declaration of Independence,</w:t></w:r>
</w:p>
<w:p>
<w:pPr><w:pStyle w:val="Normal"/></w:pPr>
<w:r><w:t xml:space="preserve">was born here, and is commemorated by a statue (1888) by Karl</w:t></w:r>
</w:p>
<w:p>
<w:pPr><w:pStyle w:val="Normal"/></w:pPr>
<w:r><w:t xml:space="preserve">Gerhardt.  Shipbuilding was an important industry in the 18th</w:t></w:r>
</w:p>
<w:p>
<w:pPr><w:pStyle w:val="Normal"/></w:pPr>
<w:r><w:t xml:space="preserve">and especially the first quarter of the 19th century, and</w:t></w:r>
</w:p>
<w:p>
<w:pPr><w:pStyle w:val="Normal"/></w:pPr>
<w:r><w:t xml:space="preserve">the U.S. frigate &quot;Alliance&quot; was built at Salisburypoint in</w:t></w:r>
</w:p>
<w:p>
<w:pPr><w:pStyle w:val="Normal"/></w:pPr>
<w:r><w:t xml:space="preserve">1778.  A nail factory, one of the earliest in the country,</w:t></w:r>
</w:p>
<w:p>
<w:pPr><w:pStyle w:val="Normal"/></w:pPr>
<w:r><w:t xml:space="preserve">was built on the Powow in 1796.  The manufacture of iron</w:t></w:r>
</w:p>
<w:p>
<w:pPr><w:pStyle w:val="Normal"/></w:pPr>
<w:r><w:t xml:space="preserve">began about 1710, of hats in 1769, of carriages in 1800 and</w:t></w:r>
</w:p>
<w:p>
<w:pPr><w:pStyle w:val="Normal"/></w:pPr>
<w:r><w:t xml:space="preserve">of cotton goods in 1812.  Paul Moody, who with F. C. Lowell</w:t></w:r>
</w:p>
<w:p>
<w:pPr><w:pStyle w:val="Normal"/></w:pPr>
<w:r><w:t xml:space="preserve">constructed in 1814 at Waltham the first successful power-loom</w:t></w:r>
</w:p>
<w:p>
<w:pPr><w:pStyle w:val="Normal"/></w:pPr>
<w:r><w:t xml:space="preserve">in America, was engaged in the manufacture of cotton goods in</w:t></w:r>
</w:p>
<w:p>
<w:pPr><w:pStyle w:val="Normal"/></w:pPr>
<w:r><w:t xml:space="preserve">Amesbury.  The township was the home of John G. Whittier</w:t></w:r>
</w:p>
<w:p>
<w:pPr><w:pStyle w:val="Normal"/></w:pPr>
<w:r><w:t xml:space="preserve">from 1836 to 1892; here were written most of the poems</w:t></w:r>
</w:p>
<w:p>
<w:pPr><w:pStyle w:val="Normal"/></w:pPr>
<w:r><w:t xml:space="preserve">of his middle and later life, many of which describe the</w:t></w:r>
</w:p>
<w:p>
<w:pPr><w:pStyle w:val="Normal"/></w:pPr>
<w:r><w:t xml:space="preserve">surrounding country.  In 1876 Merrimac township was created</w:t></w:r>
</w:p>
<w:p>
<w:pPr><w:pStyle w:val="Normal"/></w:pPr>
<w:r><w:t xml:space="preserve">out of the territory of Amesbury; in 1886 the west part</w:t></w:r>
</w:p>
<w:p>
<w:pPr><w:pStyle w:val="Normal"/></w:pPr>
<w:r><w:t xml:space="preserve">of the old township of Salisbury was united to Amesbury.</w:t></w:r>
</w:p>
<w:p>
<w:pPr><w:pStyle w:val="Normal"/></w:pPr>
<w:r><w:t xml:space="preserve">See Joseph Merrill, History of Amesbury (Haverhill, 1880); S. T. Pickard,</w:t></w:r>
</w:p>
<w:p>
<w:pPr><w:pStyle w:val="Normal"/></w:pPr>
<w:r><w:t xml:space="preserve">Whittier-land, A Handbook of North Essex (Boston, New York, 1904).</w:t></w:r>
</w:p>
<w:p>
<w:pPr><w:pStyle w:val="Normal"/></w:pPr>
<w:r><w:t xml:space="preserve">AMETHYST, a violet or purple variety of quartz used as an ornamental</w:t></w:r>
</w:p>
<w:p>
<w:pPr><w:pStyle w:val="Normal"/></w:pPr>
<w:r><w:t xml:space="preserve">stone.  The name is generally said to be derived from the Gr.</w:t></w:r>
</w:p>
<w:p>
<w:pPr><w:pStyle w:val="Normal"/></w:pPr>
<w:r><w:t xml:space="preserve">a, &quot;not,&quot; and methbskein, &quot;to intoxicate,&quot; expressing the old</w:t></w:r>
</w:p>
<w:p>
<w:pPr><w:pStyle w:val="Normal"/></w:pPr>
<w:r><w:t xml:space="preserve">belief that the stone protected its owner from strong drink.</w:t></w:r>
</w:p>
<w:p>
<w:pPr><w:pStyle w:val="Normal"/></w:pPr>
<w:r><w:t xml:space="preserve">It was held that wine drunk out of a cup of amethyst would not</w:t></w:r>
</w:p>
<w:p>
<w:pPr><w:pStyle w:val="Normal"/></w:pPr>
<w:r><w:t xml:space="preserve">intoxicate.  According, however, to the Rev. C. W. King, the word</w:t></w:r>
</w:p>
<w:p>
<w:pPr><w:pStyle w:val="Normal"/></w:pPr>
<w:r><w:t xml:space="preserve">may probably be a corruption of an Eastern name for the stone.</w:t></w:r>
</w:p>
<w:p>
<w:pPr><w:pStyle w:val="Normal"/></w:pPr>
<w:r><w:t xml:space="preserve">The colour of amethyst is usually attributed to the presence</w:t></w:r>
</w:p>
<w:p>
<w:pPr><w:pStyle w:val="Normal"/></w:pPr>
<w:r><w:t xml:space="preserve">of manganese, but as it is capable of being much altered</w:t></w:r>
</w:p>
<w:p>
<w:pPr><w:pStyle w:val="Normal"/></w:pPr>
<w:r><w:t xml:space="preserve">and even discharged by heat it has been referred by some</w:t></w:r>
</w:p>
<w:p>
<w:pPr><w:pStyle w:val="Normal"/></w:pPr>
<w:r><w:t xml:space="preserve">authorities to an organic source.  Ferric thiocyanate has been</w:t></w:r>
</w:p>
<w:p>
<w:pPr><w:pStyle w:val="Normal"/></w:pPr>
<w:r><w:t xml:space="preserve">suggested, and sulphur is said to have been detected in the</w:t></w:r>
</w:p>
<w:p>
<w:pPr><w:pStyle w:val="Normal"/></w:pPr>
<w:r><w:t xml:space="preserve">mineral.  On exposure to heat, amethyst generally becomes</w:t></w:r>
</w:p>
<w:p>
<w:pPr><w:pStyle w:val="Normal"/></w:pPr>
<w:r><w:t xml:space="preserve">yellow, and much of the cairngorm or yellow quartz of jewellery</w:t></w:r>
</w:p>
<w:p>
<w:pPr><w:pStyle w:val="Normal"/></w:pPr>
<w:r><w:t xml:space="preserve">is said to be merely &quot;burnt amethyst.&quot; Veins of amethystine</w:t></w:r>
</w:p>
<w:p>
<w:pPr><w:pStyle w:val="Normal"/></w:pPr>
<w:r><w:t xml:space="preserve">quartz are apt to lose their colour on the exposed outcrop.</w:t></w:r>
</w:p>
<w:p>
<w:pPr><w:pStyle w:val="Normal"/></w:pPr>
<w:r><w:t xml:space="preserve">Amethyst is composed of an irregular superposition of alternate</w:t></w:r>
</w:p>
<w:p>
<w:pPr><w:pStyle w:val="Normal"/></w:pPr>
<w:r><w:t xml:space="preserve">lamellae of right-handed and left-handed quartz. (See QUARTZ.)</w:t></w:r>
</w:p>
<w:p>
<w:pPr><w:pStyle w:val="Normal"/></w:pPr>
<w:r><w:t xml:space="preserve">It has been shown by Prof.  J. W. Judd that this structure may</w:t></w:r>
</w:p>
<w:p>
<w:pPr><w:pStyle w:val="Normal"/></w:pPr>
<w:r><w:t xml:space="preserve">be due to mechanical stresses.  In consequence of this composite</w:t></w:r>
</w:p>
<w:p>
<w:pPr><w:pStyle w:val="Normal"/></w:pPr>
<w:r><w:t xml:space="preserve">formation, amethyst is apt to break with a rippled fracture, or</w:t></w:r>
</w:p>
<w:p>
<w:pPr><w:pStyle w:val="Normal"/></w:pPr>
<w:r><w:t xml:space="preserve">to show &quot;thumb markings,&quot; and the intersection of two sets of</w:t></w:r>
</w:p>
<w:p>
<w:pPr><w:pStyle w:val="Normal"/></w:pPr>
<w:r><w:t xml:space="preserve">curved ripples may produce on the fractured surface a pattern</w:t></w:r>
</w:p>
<w:p>
<w:pPr><w:pStyle w:val="Normal"/></w:pPr>
<w:r><w:t xml:space="preserve">something like that of &quot;engine turning.&quot; Some mineralogists,</w:t></w:r>
</w:p>
<w:p>
<w:pPr><w:pStyle w:val="Normal"/></w:pPr>
<w:r><w:t xml:space="preserve">following Sir D. Brewster, apply the name of amethyst to all</w:t></w:r>
</w:p>
<w:p>
<w:pPr><w:pStyle w:val="Normal"/></w:pPr>
<w:r><w:t xml:space="preserve">quartz which exhibits this structure, regardless of its colour.</w:t></w:r>
</w:p>
<w:p>
<w:pPr><w:pStyle w:val="Normal"/></w:pPr>
<w:r><w:t xml:space="preserve">The amethyst was used as a gem-stone by the ancient Egyptians,</w:t></w:r>
</w:p>
<w:p>
<w:pPr><w:pStyle w:val="Normal"/></w:pPr>
<w:r><w:t xml:space="preserve">and was largely employed in antiquity for intaglios.  Beads</w:t></w:r>
</w:p>
<w:p>
<w:pPr><w:pStyle w:val="Normal"/></w:pPr>
<w:r><w:t xml:space="preserve">of amethyst are found in Anglo-Saxon graves in England.</w:t></w:r>
</w:p>
<w:p>
<w:pPr><w:pStyle w:val="Normal"/></w:pPr>
<w:r><w:t xml:space="preserve">Amethyst is a very widely distributed mineral, but fine clear</w:t></w:r>
</w:p>
<w:p>
<w:pPr><w:pStyle w:val="Normal"/></w:pPr>
<w:r><w:t xml:space="preserve">specimens fit for cutting as ornamental stones are confined</w:t></w:r>
</w:p>
<w:p>
<w:pPr><w:pStyle w:val="Normal"/></w:pPr>
<w:r><w:t xml:space="preserve">to comparatively few localities.  Such crystals occur either</w:t></w:r>
</w:p>
<w:p>
<w:pPr><w:pStyle w:val="Normal"/></w:pPr>
<w:r><w:t xml:space="preserve">in cavities in mineral-veins and in granitic rocks, or as a</w:t></w:r>
</w:p>
<w:p>
<w:pPr><w:pStyle w:val="Normal"/></w:pPr>
<w:r><w:t xml:space="preserve">lining in agate geodes.  A huge geode, or &quot;amethyst- grotto,&quot;</w:t></w:r>
</w:p>
<w:p>
<w:pPr><w:pStyle w:val="Normal"/></w:pPr>
<w:r><w:t xml:space="preserve">from near Santa Cruz in southern Brazil, was exhibited at the</w:t></w:r>
</w:p>
<w:p>
<w:pPr><w:pStyle w:val="Normal"/></w:pPr>
<w:r><w:t xml:space="preserve">Dusseldorf Exhibition of 1902.  Many of the hollow agates of</w:t></w:r>
</w:p>
<w:p>
<w:pPr><w:pStyle w:val="Normal"/></w:pPr>
<w:r><w:t xml:space="preserve">Brazil and Uruguay contain a crop of amethyst-crystals in the</w:t></w:r>
</w:p>
<w:p>
<w:pPr><w:pStyle w:val="Normal"/></w:pPr>
<w:r><w:t xml:space="preserve">interior.  Much fine amethyst comes from Russia, especially from</w:t></w:r>
</w:p>
<w:p>
<w:pPr><w:pStyle w:val="Normal"/></w:pPr>
<w:r><w:t xml:space="preserve">near Mursinka in the Ekaterinburg district, where it occurs in</w:t></w:r>
</w:p>
<w:p>
<w:pPr><w:pStyle w:val="Normal"/></w:pPr>
<w:r><w:t xml:space="preserve">drusy cavities in granitic rocks.  Many localities in India yield</w:t></w:r>
</w:p>
<w:p>
<w:pPr><w:pStyle w:val="Normal"/></w:pPr>
<w:r><w:t xml:space="preserve">amethyst; and it is found also in Ceylon, chiefly as pebbles.</w:t></w:r>
</w:p>
<w:p>
<w:pPr><w:pStyle w:val="Normal"/></w:pPr>
<w:r><w:t xml:space="preserve">Purple corundum, or sapphire of amethystine tint, is called</w:t></w:r>
</w:p>
<w:p>
<w:pPr><w:pStyle w:val="Normal"/></w:pPr>
<w:r><w:t xml:space="preserve">(Oriental amethyst, but this expression is often applied</w:t></w:r>
</w:p>
<w:p>
<w:pPr><w:pStyle w:val="Normal"/></w:pPr>
<w:r><w:t xml:space="preserve">by jewellers to fine examples of the ordinary amethystine</w:t></w:r>
</w:p>
<w:p>
<w:pPr><w:pStyle w:val="Normal"/></w:pPr>
<w:r><w:t xml:space="preserve">quartz, even when not derived from Eastern sources.</w:t></w:r>
</w:p>
<w:p>
<w:pPr><w:pStyle w:val="Normal"/></w:pPr>
<w:r><w:t xml:space="preserve">Amethyst occurs at many localities in the United States, but</w:t></w:r>
</w:p>
<w:p>
<w:pPr><w:pStyle w:val="Normal"/></w:pPr>
<w:r><w:t xml:space="preserve">rarely fine enough for use in jewellery.  Among these may be</w:t></w:r>
</w:p>
<w:p>
<w:pPr><w:pStyle w:val="Normal"/></w:pPr>
<w:r><w:t xml:space="preserve">mentioned Amethyst Mountain, Texas; Yellowstone National Park;</w:t></w:r>
</w:p>
<w:p>
<w:pPr><w:pStyle w:val="Normal"/></w:pPr>
<w:r><w:t xml:space="preserve">Delaware Co., Pennsylvania; Haywood Co., North Carolina; Deer</w:t></w:r>
</w:p>
<w:p>
<w:pPr><w:pStyle w:val="Normal"/></w:pPr>
<w:r><w:t xml:space="preserve">Hill, and Stow, Maine.  It is found also in the Lake Superior</w:t></w:r>
</w:p>
<w:p>
<w:pPr><w:pStyle w:val="Normal"/></w:pPr>
<w:r><w:t xml:space="preserve">district.  See G. F. Kunz, Gems &amp;c. of North America (1890),and</w:t></w:r>
</w:p>
<w:p>
<w:pPr><w:pStyle w:val="Normal"/></w:pPr>
<w:r><w:t xml:space="preserve">Report for 12th Census (vol. &quot;Mines and Quarries&quot;). (F. W. R.*)</w:t></w:r>
</w:p>
<w:p>
<w:pPr><w:pStyle w:val="Normal"/></w:pPr>
<w:r><w:t xml:space="preserve">AMHARA, the central province of Abyssinia.  The chief town,</w:t></w:r>
</w:p>
<w:p>
<w:pPr><w:pStyle w:val="Normal"/></w:pPr>
<w:r><w:t xml:space="preserve">Gondar (q.v.), by which name the province is also known, was</w:t></w:r>
</w:p>
<w:p>
<w:pPr><w:pStyle w:val="Normal"/></w:pPr>
<w:r><w:t xml:space="preserve">the residence of the negus negusti, or emperor, of Abyssinia</w:t></w:r>
</w:p>
<w:p>
<w:pPr><w:pStyle w:val="Normal"/></w:pPr>
<w:r><w:t xml:space="preserve">from the middle ages up to 1854.  The speech of the inhabitants,</w:t></w:r>
</w:p>
<w:p>
<w:pPr><w:pStyle w:val="Normal"/></w:pPr>
<w:r><w:t xml:space="preserve">Amharic, which differs in several features from the dialects</w:t></w:r>
</w:p>
<w:p>
<w:pPr><w:pStyle w:val="Normal"/></w:pPr>
<w:r><w:t xml:space="preserve">spoken in Tigre and Shoa, is the official language of Abyssinia.</w:t></w:r>
</w:p>
<w:p>
<w:pPr><w:pStyle w:val="Normal"/></w:pPr>
<w:r><w:t xml:space="preserve">AMHERST, JEFFREY AMHERST, BARON (1717-1797), British</w:t></w:r>
</w:p>
<w:p>
<w:pPr><w:pStyle w:val="Normal"/></w:pPr>
<w:r><w:t xml:space="preserve">soldier, was the son of Jeffrey Amherst of Riverhead, Kent,</w:t></w:r>
</w:p>
<w:p>
<w:pPr><w:pStyle w:val="Normal"/></w:pPr>
<w:r><w:t xml:space="preserve">and by the interest of the duke of Dorset obtained an ensigncy</w:t></w:r>
</w:p>
<w:p>
<w:pPr><w:pStyle w:val="Normal"/></w:pPr>
<w:r><w:t xml:space="preserve">in the Guards in 1731.  He served in Germany and the Low</w:t></w:r>
</w:p>
<w:p>
<w:pPr><w:pStyle w:val="Normal"/></w:pPr>
<w:r><w:t xml:space="preserve">Countries as aide-de-camp to General (Lord) Ligonier, and</w:t></w:r>
</w:p>
<w:p>
<w:pPr><w:pStyle w:val="Normal"/></w:pPr>
<w:r><w:t xml:space="preserve">was present at Dettingen, Fontenoy and Roucoux.  He then</w:t></w:r>
</w:p>
<w:p>
<w:pPr><w:pStyle w:val="Normal"/></w:pPr>
<w:r><w:t xml:space="preserve">served on Cumberland&apos;s staff, and took part with the duke</w:t></w:r>
</w:p>
<w:p>
<w:pPr><w:pStyle w:val="Normal"/></w:pPr>
<w:r><w:t xml:space="preserve">in the later campaigns of the Austrian Succession war, in</w:t></w:r>
</w:p>
<w:p>
<w:pPr><w:pStyle w:val="Normal"/></w:pPr>
<w:r><w:t xml:space="preserve">the battle of Val, and the North German campaign of 1757,</w:t></w:r>
</w:p>
<w:p>
<w:pPr><w:pStyle w:val="Normal"/></w:pPr>
<w:r><w:t xml:space="preserve">including the battle of Hastenbeck.  A year previously he had</w:t></w:r>
</w:p>
<w:p>
<w:pPr><w:pStyle w:val="Normal"/></w:pPr>
<w:r><w:t xml:space="preserve">been promoted to a lieutenant- colonelcy.  In 1758 William</w:t></w:r>
</w:p>
<w:p>
<w:pPr><w:pStyle w:val="Normal"/></w:pPr>
<w:r><w:t xml:space="preserve">Pitt caused Amherst to be made a major- general, and gave</w:t></w:r>
</w:p>
<w:p>
<w:pPr><w:pStyle w:val="Normal"/></w:pPr>
<w:r><w:t xml:space="preserve">him command of an expedition to attack the French in North</w:t></w:r>
</w:p>
<w:p>
<w:pPr><w:pStyle w:val="Normal"/></w:pPr>
<w:r><w:t xml:space="preserve">America.  For the great plan of conquering Canada, Pitt chose</w:t></w:r>
</w:p>
<w:p>
<w:pPr><w:pStyle w:val="Normal"/></w:pPr>
<w:r><w:t xml:space="preserve">young and ardent officers, with Amherst, distinguished for</w:t></w:r>
</w:p>
<w:p>
<w:pPr><w:pStyle w:val="Normal"/></w:pPr>
<w:r><w:t xml:space="preserve">steadiness and self-control, as their commander-in-chief.</w:t></w:r>
</w:p>
<w:p>
<w:pPr><w:pStyle w:val="Normal"/></w:pPr>
<w:r><w:t xml:space="preserve">The first victory of the expedition, the capture of Louisburg</w:t></w:r>
</w:p>
<w:p>
<w:pPr><w:pStyle w:val="Normal"/></w:pPr>
<w:r><w:t xml:space="preserve">(July 26, 1758), was soon followed by other successes, and</w:t></w:r>
</w:p>
<w:p>
<w:pPr><w:pStyle w:val="Normal"/></w:pPr>
<w:r><w:t xml:space="preserve">Amherst was given the chief command of all the forces in</w:t></w:r>
</w:p>
<w:p>
<w:pPr><w:pStyle w:val="Normal"/></w:pPr>
<w:r><w:t xml:space="preserve">the theatre of war.  In the campaign of 1759 Amherst&apos;s own</w:t></w:r>
</w:p>
<w:p>
<w:pPr><w:pStyle w:val="Normal"/></w:pPr>
<w:r><w:t xml:space="preserve">share was the capture of Ticonderoga and Crown Point, while</w:t></w:r>
</w:p>
<w:p>
<w:pPr><w:pStyle w:val="Normal"/></w:pPr>
<w:r><w:t xml:space="preserve">Fort Niagara fell to another column, and Quebec was taken by</w:t></w:r>
</w:p>
<w:p>
<w:pPr><w:pStyle w:val="Normal"/></w:pPr>
<w:r><w:t xml:space="preserve">Wolfe.  In 1760 a concentric march on Montreal was carried</w:t></w:r>
</w:p>
<w:p>
<w:pPr><w:pStyle w:val="Normal"/></w:pPr>
<w:r><w:t xml:space="preserve">out with complete success, Amherst was immediately appointed</w:t></w:r>
</w:p>
<w:p>
<w:pPr><w:pStyle w:val="Normal"/></w:pPr>
<w:r><w:t xml:space="preserve">governor-general of British North America, and in the following</w:t></w:r>
</w:p>
<w:p>
<w:pPr><w:pStyle w:val="Normal"/></w:pPr>
<w:r><w:t xml:space="preserve">year was made a K.B. His conduct of the operations against</w:t></w:r>
</w:p>
<w:p>
<w:pPr><w:pStyle w:val="Normal"/></w:pPr>
<w:r><w:t xml:space="preserve">the Indians under Pontiac was, however, far from being as</w:t></w:r>
</w:p>
<w:p>
<w:pPr><w:pStyle w:val="Normal"/></w:pPr>
<w:r><w:t xml:space="preserve">successful as his generalship against regular troops; and he</w:t></w:r>
</w:p>
<w:p>
<w:pPr><w:pStyle w:val="Normal"/></w:pPr>
<w:r><w:t xml:space="preserve">returned to England in 1763, being made governor of Virginia</w:t></w:r>
</w:p>
<w:p>
<w:pPr><w:pStyle w:val="Normal"/></w:pPr>
<w:r><w:t xml:space="preserve">and colonel of the 60th regiment in the same year.  In 1768</w:t></w:r>
</w:p>
<w:p>
<w:pPr><w:pStyle w:val="Normal"/></w:pPr>
<w:r><w:t xml:space="preserve">the king, who had had a quarrel with Amherst, made amends by</w:t></w:r>
</w:p>
<w:p>
<w:pPr><w:pStyle w:val="Normal"/></w:pPr>
<w:r><w:t xml:space="preserve">giving him another colonelcy; in 1770 he was made governor of</w:t></w:r>
</w:p>
<w:p>
<w:pPr><w:pStyle w:val="Normal"/></w:pPr>
<w:r><w:t xml:space="preserve">Guernsey; and two years later, though not yet a full general,</w:t></w:r>
</w:p>
<w:p>
<w:pPr><w:pStyle w:val="Normal"/></w:pPr>
<w:r><w:t xml:space="preserve">he was made lieutenant-general of the ordnance and acting</w:t></w:r>
</w:p>
<w:p>
<w:pPr><w:pStyle w:val="Normal"/></w:pPr>
<w:r><w:t xml:space="preserve">commander-in- chief of the forces.  In this capacity he was</w:t></w:r>
</w:p>
<w:p>
<w:pPr><w:pStyle w:val="Normal"/></w:pPr>
<w:r><w:t xml:space="preserve">the chief adviser at headquarters during the American War of</w:t></w:r>
</w:p>
<w:p>
<w:pPr><w:pStyle w:val="Normal"/></w:pPr>
<w:r><w:t xml:space="preserve">Independence.  He was created a peer in 1776, was promoted</w:t></w:r>
</w:p>
<w:p>
<w:pPr><w:pStyle w:val="Normal"/></w:pPr>
<w:r><w:t xml:space="preserve">general in 1778 and became colonel of the 2nd Horse Grenadiers</w:t></w:r>
</w:p>
<w:p>
<w:pPr><w:pStyle w:val="Normal"/></w:pPr>
<w:r><w:t xml:space="preserve">(2nd Life Guards) two years later.  He aided in suppressing</w:t></w:r>
</w:p>
<w:p>
<w:pPr><w:pStyle w:val="Normal"/></w:pPr>
<w:r><w:t xml:space="preserve">the Gordon riots of 1780.  The rest of his active life, with</w:t></w:r>
</w:p>
<w:p>
<w:pPr><w:pStyle w:val="Normal"/></w:pPr>
<w:r><w:t xml:space="preserve">a short interval in 1782-1783, he spent at the Horse Guards</w:t></w:r>
</w:p>
<w:p>
<w:pPr><w:pStyle w:val="Normal"/></w:pPr>
<w:r><w:t xml:space="preserve">as commander-in-chief, but he was no longer capable of good</w:t></w:r>
</w:p>
<w:p>
<w:pPr><w:pStyle w:val="Normal"/></w:pPr>
<w:r><w:t xml:space="preserve">service, and in 1795 he was succeeded by the duke of York.</w:t></w:r>
</w:p>
<w:p>
<w:pPr><w:pStyle w:val="Normal"/></w:pPr>
<w:r><w:t xml:space="preserve">In 1796 Lord Amherst was made field-marshal; and he died on</w:t></w:r>
</w:p>
<w:p>
<w:pPr><w:pStyle w:val="Normal"/></w:pPr>
<w:r><w:t xml:space="preserve">the 3rd of August 1797 at &quot;Montreal,&quot; his residence in Kent.</w:t></w:r>
</w:p>
<w:p>
<w:pPr><w:pStyle w:val="Normal"/></w:pPr>
<w:r><w:t xml:space="preserve">AMHERST, WILLIAM PITT AMHERST, EARL (1773-1857),</w:t></w:r>
</w:p>
<w:p>
<w:pPr><w:pStyle w:val="Normal"/></w:pPr>
<w:r><w:t xml:space="preserve">governor- general of India, was the nephew of Jeffrey,</w:t></w:r>
</w:p>
<w:p>
<w:pPr><w:pStyle w:val="Normal"/></w:pPr>
<w:r><w:t xml:space="preserve">Baron Amherst, and succeeded to his title in 1797 by the</w:t></w:r>
</w:p>
<w:p>
<w:pPr><w:pStyle w:val="Normal"/></w:pPr>
<w:r><w:t xml:space="preserve">remainder provided when the patent of nobility was renewed in</w:t></w:r>
</w:p>
<w:p>
<w:pPr><w:pStyle w:val="Normal"/></w:pPr>
<w:r><w:t xml:space="preserve">1788.  In 1816 he was sent as ambassador extraordinary</w:t></w:r>
</w:p>
<w:p>
<w:pPr><w:pStyle w:val="Normal"/></w:pPr>
<w:r><w:t xml:space="preserve">to the court of China, with a view of establishing more</w:t></w:r>
</w:p>
<w:p>
<w:pPr><w:pStyle w:val="Normal"/></w:pPr>
<w:r><w:t xml:space="preserve">satisfactory commercial relations between that country and Great</w:t></w:r>
</w:p>
<w:p>
<w:pPr><w:pStyle w:val="Normal"/></w:pPr>
<w:r><w:t xml:space="preserve">Britain.  On arriving in the Peiho he was given to understand</w:t></w:r>
</w:p>
<w:p>
<w:pPr><w:pStyle w:val="Normal"/></w:pPr>
<w:r><w:t xml:space="preserve">that he could only be admitted to the emperor&apos;s presence on</w:t></w:r>
</w:p>
<w:p>
<w:pPr><w:pStyle w:val="Normal"/></w:pPr>
<w:r><w:t xml:space="preserve">condition of performing the ko-tou (kow-tow), a ceremony</w:t></w:r>
</w:p>
<w:p>
<w:pPr><w:pStyle w:val="Normal"/></w:pPr>
<w:r><w:t xml:space="preserve">which Western nations consider degrading, and which is,</w:t></w:r>
</w:p>
<w:p>
<w:pPr><w:pStyle w:val="Normal"/></w:pPr>
<w:r><w:t xml:space="preserve">indeed, a homage exacted by a Chinese sovereign from his</w:t></w:r>
</w:p>
<w:p>
<w:pPr><w:pStyle w:val="Normal"/></w:pPr>
<w:r><w:t xml:space="preserve">tributaries.  To this Lord Amherst, following the advice</w:t></w:r>
</w:p>
<w:p>
<w:pPr><w:pStyle w:val="Normal"/></w:pPr>
<w:r><w:t xml:space="preserve">of Sir George T. Staunton, who accompanied him as second</w:t></w:r>
</w:p>
<w:p>
<w:pPr><w:pStyle w:val="Normal"/></w:pPr>
<w:r><w:t xml:space="preserve">commissioner, refused to consent, as Lord Macartney had done</w:t></w:r>
</w:p>
<w:p>
<w:pPr><w:pStyle w:val="Normal"/></w:pPr>
<w:r><w:t xml:space="preserve">in 1793, unless the admission was made that his sovereign was</w:t></w:r>
</w:p>
<w:p>
<w:pPr><w:pStyle w:val="Normal"/></w:pPr>
<w:r><w:t xml:space="preserve">entitled to the same show of reverence from a mandarin of his</w:t></w:r>
</w:p>
<w:p>
<w:pPr><w:pStyle w:val="Normal"/></w:pPr>
<w:r><w:t xml:space="preserve">rank.  In consequence of this he was not allowed to enter</w:t></w:r>
</w:p>
<w:p>
<w:pPr><w:pStyle w:val="Normal"/></w:pPr>
<w:r><w:t xml:space="preserve">Pekin, and the object of his mission was frustrated.  His ship,</w:t></w:r>
</w:p>
<w:p>
<w:pPr><w:pStyle w:val="Normal"/></w:pPr>
<w:r><w:t xml:space="preserve">the &quot;Alceste,&quot; after a cruise along the coast of Korea and</w:t></w:r>
</w:p>
<w:p>
<w:pPr><w:pStyle w:val="Normal"/></w:pPr>
<w:r><w:t xml:space="preserve">to the Loo-Choo Islands, on proceeding homewards was totally</w:t></w:r>
</w:p>
<w:p>
<w:pPr><w:pStyle w:val="Normal"/></w:pPr>
<w:r><w:t xml:space="preserve">wrecked on a sunken rock in Gaspar Strait.  Lord Amherst and</w:t></w:r>
</w:p>
<w:p>
<w:pPr><w:pStyle w:val="Heading1"/></w:pPr>
<w:r><w:t>part of his shipwrecked companions escaped in the ship&apos;s boats</w:t></w:r>
</w:p>
<w:p>
<w:pPr><w:pStyle w:val="Normal"/></w:pPr>
<w:r><w:t xml:space="preserve">to Batavia, whence relief was sent to the rest.  The ship</w:t></w:r>
</w:p>
<w:p>
<w:pPr><w:pStyle w:val="Normal"/></w:pPr>
<w:r><w:t xml:space="preserve">in which he returned to England in 1817 having touched at St</w:t></w:r>
</w:p>
<w:p>
<w:pPr><w:pStyle w:val="Normal"/></w:pPr>
<w:r><w:t xml:space="preserve">Helena, he had several interviews with the emperor Napoleon</w:t></w:r>
</w:p>
<w:p>
<w:pPr><w:pStyle w:val="Normal"/></w:pPr>
<w:r><w:t xml:space="preserve">(see Ellis&apos;s Proceedings of the Late Embassy to China,</w:t></w:r>
</w:p>
<w:p>
<w:pPr><w:pStyle w:val="Normal"/></w:pPr>
<w:r><w:t xml:space="preserve">1817; M&apos;Leod&apos;s Narrative of a Voyage in H.M.S. &quot;Alceste,&quot;</w:t></w:r>
</w:p>
<w:p>
<w:pPr><w:pStyle w:val="Normal"/></w:pPr>
<w:r><w:t xml:space="preserve">1817).  Lord Amherst held the office of governor-general of</w:t></w:r>
</w:p>
<w:p>
<w:pPr><w:pStyle w:val="Normal"/></w:pPr>
<w:r><w:t xml:space="preserve">India from August 1823 to February 1828.  The principal event</w:t></w:r>
</w:p>
<w:p>
<w:pPr><w:pStyle w:val="Normal"/></w:pPr>
<w:r><w:t xml:space="preserve">of his government was the first Burmese war of 1824, resulting</w:t></w:r>
</w:p>
<w:p>
<w:pPr><w:pStyle w:val="Normal"/></w:pPr>
<w:r><w:t xml:space="preserve">in the cession of Arakan and Tenasserim to Great Britain.  He</w:t></w:r>
</w:p>
<w:p>
<w:pPr><w:pStyle w:val="Normal"/></w:pPr>
<w:r><w:t xml:space="preserve">was created Earl Amherst of Arakan in 1826.  On his return to</w:t></w:r>
</w:p>
<w:p>
<w:pPr><w:pStyle w:val="Normal"/></w:pPr>
<w:r><w:t xml:space="preserve">England he lived in retirement till his death in March 1857.</w:t></w:r>
</w:p>
<w:p>
<w:pPr><w:pStyle w:val="Normal"/></w:pPr>
<w:r><w:t xml:space="preserve">See A. Thackeray and R. Evans, Lord</w:t></w:r>
</w:p>
<w:p>
<w:pPr><w:pStyle w:val="Normal"/></w:pPr>
<w:r><w:t xml:space="preserve">Amherst (&quot;Rulers of India&quot; series), 1894.</w:t></w:r>
</w:p>
<w:p>
<w:pPr><w:pStyle w:val="Normal"/></w:pPr>
<w:r><w:t xml:space="preserve">AMHERST, a town and district in the Tenasserim division</w:t></w:r>
</w:p>
<w:p>
<w:pPr><w:pStyle w:val="Normal"/></w:pPr>
<w:r><w:t xml:space="preserve">of Lower Burma.  The town is situated about 30 m.  S. of</w:t></w:r>
</w:p>
<w:p>
<w:pPr><w:pStyle w:val="Normal"/></w:pPr>
<w:r><w:t xml:space="preserve">Moulmein.  It was founded by the British in 1826 on the</w:t></w:r>
</w:p>
<w:p>
<w:pPr><w:pStyle w:val="Normal"/></w:pPr>
<w:r><w:t xml:space="preserve">restoration of the town of Martaban to the Burmese, and</w:t></w:r>
</w:p>
<w:p>
<w:pPr><w:pStyle w:val="Normal"/></w:pPr>
<w:r><w:t xml:space="preserve">named in compliment to the governor- general of India of</w:t></w:r>
</w:p>
<w:p>
<w:pPr><w:pStyle w:val="Normal"/></w:pPr>
<w:r><w:t xml:space="preserve">that day; but in 1827 the headquarters were transferred to</w:t></w:r>
</w:p>
<w:p>
<w:pPr><w:pStyle w:val="Normal"/></w:pPr>
<w:r><w:t xml:space="preserve">Moulmein.  Amherst has been eclipsed in prosperity by the</w:t></w:r>
</w:p>
<w:p>
<w:pPr><w:pStyle w:val="Normal"/></w:pPr>
<w:r><w:t xml:space="preserve">latter city, and is now merely a bathing-place for Moulmein.</w:t></w:r>
</w:p>
<w:p>
<w:pPr><w:pStyle w:val="Normal"/></w:pPr>
<w:r><w:t xml:space="preserve">The district forms a narrow strip of land between the</w:t></w:r>
</w:p>
<w:p>
<w:pPr><w:pStyle w:val="Normal"/></w:pPr>
<w:r><w:t xml:space="preserve">Indian Ocean and the mountains which separate it from the</w:t></w:r>
</w:p>
<w:p>
<w:pPr><w:pStyle w:val="Normal"/></w:pPr>
<w:r><w:t xml:space="preserve">independent kingdom of Siam.  It has an area of 7062 sq. m.</w:t></w:r>
</w:p>
<w:p>
<w:pPr><w:pStyle w:val="Normal"/></w:pPr>
<w:r><w:t xml:space="preserve">and had a population in 1901 of 300,173; it consists partly</w:t></w:r>
</w:p>
<w:p>
<w:pPr><w:pStyle w:val="Normal"/></w:pPr>
<w:r><w:t xml:space="preserve">of fertile valleys formed by spurs of mountain system which</w:t></w:r>
</w:p>
<w:p>
<w:pPr><w:pStyle w:val="Normal"/></w:pPr>
<w:r><w:t xml:space="preserve">divides it from Siam, and partly of a rich alluvial tract</w:t></w:r>
</w:p>
<w:p>
<w:pPr><w:pStyle w:val="Normal"/></w:pPr>
<w:r><w:t xml:space="preserve">created by the great rivers which issue from them.  The most</w:t></w:r>
</w:p>
<w:p>
<w:pPr><w:pStyle w:val="Normal"/></w:pPr>
<w:r><w:t xml:space="preserve">important of these are the Salween and the Gyaing, formed by</w:t></w:r>
</w:p>
<w:p>
<w:pPr><w:pStyle w:val="Normal"/></w:pPr>
<w:r><w:t xml:space="preserve">the junction of the Hlaingbwe and Haungtharaw rivers.  The</w:t></w:r>
</w:p>
<w:p>
<w:pPr><w:pStyle w:val="Normal"/></w:pPr>
<w:r><w:t xml:space="preserve">river highways bring down inexhaustible supplies of rice to</w:t></w:r>
</w:p>
<w:p>
<w:pPr><w:pStyle w:val="Normal"/></w:pPr>
<w:r><w:t xml:space="preserve">Moulmein, the chief town of the district, as also of the</w:t></w:r>
</w:p>
<w:p>
<w:pPr><w:pStyle w:val="Normal"/></w:pPr>
<w:r><w:t xml:space="preserve">province of Tenasserim.  The district is subject to very heavy</w:t></w:r>
</w:p>
<w:p>
<w:pPr><w:pStyle w:val="Normal"/></w:pPr>
<w:r><w:t xml:space="preserve">rainfall approaching 150 in. in the year, and has a uniform</w:t></w:r>
</w:p>
<w:p>
<w:pPr><w:pStyle w:val="Normal"/></w:pPr>
<w:r><w:t xml:space="preserve">temperature of about 80 deg.  F. throughout the twelvemonth.</w:t></w:r>
</w:p>
<w:p>
<w:pPr><w:pStyle w:val="Normal"/></w:pPr>
<w:r><w:t xml:space="preserve">AMHERST, a village of Amherst township, Hampshire county,</w:t></w:r>
</w:p>
<w:p>
<w:pPr><w:pStyle w:val="Normal"/></w:pPr>
<w:r><w:t xml:space="preserve">Massachusetts, U.S.A., in the central part of the state, about 7</w:t></w:r>
</w:p>
<w:p>
<w:pPr><w:pStyle w:val="Normal"/></w:pPr>
<w:r><w:t xml:space="preserve">m.  N.E. of Northampton.  Pop. of the township (1890) 4512;</w:t></w:r>
</w:p>
<w:p>
<w:pPr><w:pStyle w:val="Normal"/></w:pPr>
<w:r><w:t xml:space="preserve">(1900) 5028; (1905, state census) 5313.  It is served by the</w:t></w:r>
</w:p>
<w:p>
<w:pPr><w:pStyle w:val="Normal"/></w:pPr>
<w:r><w:t xml:space="preserve">Boston &amp; Maine and the Central Vermont railways, and by interurban</w:t></w:r>
</w:p>
<w:p>
<w:pPr><w:pStyle w:val="Normal"/></w:pPr>
<w:r><w:t xml:space="preserve">electric railways to Northampton, Holyoke, Sunderland and</w:t></w:r>
</w:p>
<w:p>
<w:pPr><w:pStyle w:val="Normal"/></w:pPr>
<w:r><w:t xml:space="preserve">Pelham.  The village is picturesquely situated on a plateau</w:t></w:r>
</w:p>
<w:p>
<w:pPr><w:pStyle w:val="Normal"/></w:pPr>
<w:r><w:t xml:space="preserve">within a rampart of hills on the E. side of the Connecticut river</w:t></w:r>
</w:p>
<w:p>
<w:pPr><w:pStyle w:val="Normal"/></w:pPr>
<w:r><w:t xml:space="preserve">valley.  About 3 m. to the S. are the Holyoke Mountains (so</w:t></w:r>
</w:p>
<w:p>
<w:pPr><w:pStyle w:val="Normal"/></w:pPr>
<w:r><w:t xml:space="preserve">called), while on the three remaining sides the land slopes to</w:t></w:r>
</w:p>
<w:p>
<w:pPr><w:pStyle w:val="Normal"/></w:pPr>
<w:r><w:t xml:space="preserve">meadows, beyond which rise on the W. the Hampshire and Berkshire</w:t></w:r>
</w:p>
<w:p>
<w:pPr><w:pStyle w:val="Normal"/></w:pPr>
<w:r><w:t xml:space="preserve">Hills, on the E. the Sugar Loaf Mountains and Mt. Toby, and</w:t></w:r>
</w:p>
<w:p>
<w:pPr><w:pStyle w:val="Normal"/></w:pPr>
<w:r><w:t xml:space="preserve">on the E. the Pelham Hills, including Mt Lincoln (1246 ft.).</w:t></w:r>
</w:p>
<w:p>
<w:pPr><w:pStyle w:val="Normal"/></w:pPr>
<w:r><w:t xml:space="preserve">Two small rivers (Mill and Fort) flow through the township.</w:t></w:r>
</w:p>
<w:p>
<w:pPr><w:pStyle w:val="Normal"/></w:pPr>
<w:r><w:t xml:space="preserve">Amherst is a quiet, pleasing, academic village of attractive</w:t></w:r>
</w:p>
<w:p>
<w:pPr><w:pStyle w:val="Normal"/></w:pPr>
<w:r><w:t xml:space="preserve">homes.  It is noteworthy as the seat of Amherst College,</w:t></w:r>
</w:p>
<w:p>
<w:pPr><w:pStyle w:val="Normal"/></w:pPr>
<w:r><w:t xml:space="preserve">one of the best known of the smaller colleges of the United</w:t></w:r>
</w:p>
<w:p>
<w:pPr><w:pStyle w:val="Normal"/></w:pPr>
<w:r><w:t xml:space="preserve">States.  Amherst Academy (opened about 1814, chartered 1816),</w:t></w:r>
</w:p>
<w:p>
<w:pPr><w:pStyle w:val="Normal"/></w:pPr>
<w:r><w:t xml:space="preserve">a co-educational school at which Mary Lyon, the founder of</w:t></w:r>
</w:p>
<w:p>
<w:pPr><w:pStyle w:val="Normal"/></w:pPr>
<w:r><w:t xml:space="preserve">Mt. Holyoke College, was educated, preceded the college (not</w:t></w:r>
</w:p>
<w:p>
<w:pPr><w:pStyle w:val="Normal"/></w:pPr>
<w:r><w:t xml:space="preserve">co-educational), which was opened in 1821 and was chartered in</w:t></w:r>
</w:p>
<w:p>
<w:pPr><w:pStyle w:val="Normal"/></w:pPr>
<w:r><w:t xml:space="preserve">1825.  It was originally a collegiate charitable institution,</w:t></w:r>
</w:p>
<w:p>
<w:pPr><w:pStyle w:val="Normal"/></w:pPr>
<w:r><w:t xml:space="preserve">its basis being a fund for the schooling of ministers, and the</w:t></w:r>
</w:p>
<w:p>
<w:pPr><w:pStyle w:val="Normal"/></w:pPr>
<w:r><w:t xml:space="preserve">charity element has remained very large relatively to other</w:t></w:r>
</w:p>
<w:p>
<w:pPr><w:pStyle w:val="Normal"/></w:pPr>
<w:r><w:t xml:space="preserve">colleges.  The principal college buildings are College</w:t></w:r>
</w:p>
<w:p>
<w:pPr><w:pStyle w:val="Normal"/></w:pPr>
<w:r><w:t xml:space="preserve">Hall (1828); College Chapel (1828); the Henry T. Morgan</w:t></w:r>
</w:p>
<w:p>
<w:pPr><w:pStyle w:val="Normal"/></w:pPr>
<w:r><w:t xml:space="preserve">Library; Williston Hall, containing the Mather Art Museum,</w:t></w:r>
</w:p>
<w:p>
<w:pPr><w:pStyle w:val="Normal"/></w:pPr>
<w:r><w:t xml:space="preserve">the rooms of the Young Men&apos;s Christian Association, and</w:t></w:r>
</w:p>
<w:p>
<w:pPr><w:pStyle w:val="Normal"/></w:pPr>
<w:r><w:t xml:space="preserve">several lecture-rooms; Walker Hall, with college offices and</w:t></w:r>
</w:p>
<w:p>
<w:pPr><w:pStyle w:val="Normal"/></w:pPr>
<w:r><w:t xml:space="preserve">lecture-rooms; Hitchcock Hall; Barrett Hall (1859), the first</w:t></w:r>
</w:p>
<w:p>
<w:pPr><w:pStyle w:val="Normal"/></w:pPr>
<w:r><w:t xml:space="preserve">college gymnasium built in the United States, now used as</w:t></w:r>
</w:p>
<w:p>
<w:pPr><w:pStyle w:val="Normal"/></w:pPr>
<w:r><w:t xml:space="preserve">a lecture hall; the Pratt Gymnasium and Natatorium and the</w:t></w:r>
</w:p>
<w:p>
<w:pPr><w:pStyle w:val="Normal"/></w:pPr>
<w:r><w:t xml:space="preserve">Pratt Health Cottage, whose donors also gave to the college</w:t></w:r>
</w:p>
<w:p>
<w:pPr><w:pStyle w:val="Normal"/></w:pPr>
<w:r><w:t xml:space="preserve">the Pratt Field; an astronomical observatory; and the two</w:t></w:r>
</w:p>
<w:p>
<w:pPr><w:pStyle w:val="Normal"/></w:pPr>
<w:r><w:t xml:space="preserve">dormitories, North College and South College, supplemented by</w:t></w:r>
</w:p>
<w:p>
<w:pPr><w:pStyle w:val="Normal"/></w:pPr>
<w:r><w:t xml:space="preserve">several fraternity houses.  The natural history collections</w:t></w:r>
</w:p>
<w:p>
<w:pPr><w:pStyle w:val="Normal"/></w:pPr>
<w:r><w:t xml:space="preserve">(including the very large ichnological collection of President</w:t></w:r>
</w:p>
<w:p>
<w:pPr><w:pStyle w:val="Normal"/></w:pPr>
<w:r><w:t xml:space="preserve">Hitchcock, and Audubon&apos;s collection of birds) are of exceptional</w:t></w:r>
</w:p>
<w:p>
<w:pPr><w:pStyle w:val="Normal"/></w:pPr>
<w:r><w:t xml:space="preserve">richness.  At Amherst is also the Massachusetts Agricultural</w:t></w:r>
</w:p>
<w:p>
<w:pPr><w:pStyle w:val="Normal"/></w:pPr>
<w:r><w:t xml:space="preserve">College (co-educational; 1867) and experiment station (1887).</w:t></w:r>
</w:p>
<w:p>
<w:pPr><w:pStyle w:val="Normal"/></w:pPr>
<w:r><w:t xml:space="preserve">Among the presidents of Amherst College have been in 1845-</w:t></w:r>
</w:p>
<w:p>
<w:pPr><w:pStyle w:val="Normal"/></w:pPr>
<w:r><w:t xml:space="preserve">1854 and in 1876-1890 respectively--Edward Hitchcock, the</w:t></w:r>
</w:p>
<w:p>
<w:pPr><w:pStyle w:val="Normal"/></w:pPr>
<w:r><w:t xml:space="preserve">famous geologist, and the Rev. Julius H. Seelye (1824-1895),</w:t></w:r>
</w:p>
<w:p>
<w:pPr><w:pStyle w:val="Normal"/></w:pPr>
<w:r><w:t xml:space="preserve">a well-known educationalist.  The township seems to have</w:t></w:r>
</w:p>
<w:p>
<w:pPr><w:pStyle w:val="Normal"/></w:pPr>
<w:r><w:t xml:space="preserve">been first settled in 1731; it was incorporated in 1759 as a</w:t></w:r>
</w:p>
<w:p>
<w:pPr><w:pStyle w:val="Normal"/></w:pPr>
<w:r><w:t xml:space="preserve">&quot;district&quot; (i.e. having all the rights of a township save</w:t></w:r>
</w:p>
<w:p>
<w:pPr><w:pStyle w:val="Normal"/></w:pPr>
<w:r><w:t xml:space="preserve">corporate representation in the legislature) and in 1776 as</w:t></w:r>
</w:p>
<w:p>
<w:pPr><w:pStyle w:val="Normal"/></w:pPr>
<w:r><w:t xml:space="preserve">a &quot;town&quot; (township).  It was originally part of Hadley.  Its</w:t></w:r>
</w:p>
<w:p>
<w:pPr><w:pStyle w:val="Normal"/></w:pPr>
<w:r><w:t xml:space="preserve">name was given to it in honour of General Jeffrey Amherst</w:t></w:r>
</w:p>
<w:p>
<w:pPr><w:pStyle w:val="Normal"/></w:pPr>
<w:r><w:t xml:space="preserve">(1717-1797).  During the Shays&apos; Rebellion Amherst was a centre</w:t></w:r>
</w:p>
<w:p>
<w:pPr><w:pStyle w:val="Normal"/></w:pPr>
<w:r><w:t xml:space="preserve">of disaffection and a rallying-point of the insurgents.</w:t></w:r>
</w:p>
<w:p>
<w:pPr><w:pStyle w:val="Normal"/></w:pPr>
<w:r><w:t xml:space="preserve">Noah Webster lived in the village from 1812 to 1822, when</w:t></w:r>
</w:p>
<w:p>
<w:pPr><w:pStyle w:val="Normal"/></w:pPr>
<w:r><w:t xml:space="preserve">working on his Dictionary; and Emily Dickinson and Helen</w:t></w:r>
</w:p>
<w:p>
<w:pPr><w:pStyle w:val="Normal"/></w:pPr>
<w:r><w:t xml:space="preserve">M. Fiske (later Helen Hunt- Jackson, &quot;H. H.&quot;) were born here.</w:t></w:r>
</w:p>
<w:p>
<w:pPr><w:pStyle w:val="Normal"/></w:pPr>
<w:r><w:t xml:space="preserve">See William Seymour Tyler, A History of Amherst</w:t></w:r>
</w:p>
<w:p>
<w:pPr><w:pStyle w:val="Normal"/></w:pPr>
<w:r><w:t xml:space="preserve">College (New York, 1896), and Carpenter and Morehouse,</w:t></w:r>
</w:p>
<w:p>
<w:pPr><w:pStyle w:val="Normal"/></w:pPr>
<w:r><w:t xml:space="preserve">The History of the Town of Amherst (New York, 1896).</w:t></w:r>
</w:p>
<w:p>
<w:pPr><w:pStyle w:val="Normal"/></w:pPr>
<w:r><w:t xml:space="preserve">AMHERST, the county town of Cumberland county, and</w:t></w:r>
</w:p>
<w:p>
<w:pPr><w:pStyle w:val="Normal"/></w:pPr>
<w:r><w:t xml:space="preserve">port of entry in Novia Scotia, Canada, at the head of</w:t></w:r>
</w:p>
<w:p>
<w:pPr><w:pStyle w:val="Normal"/></w:pPr>
<w:r><w:t xml:space="preserve">Chignecto Bay and on the Intercolonial railway, 138 m. from</w:t></w:r>
</w:p>
<w:p>
<w:pPr><w:pStyle w:val="Normal"/></w:pPr>
<w:r><w:t xml:space="preserve">Halifax.  Pop. (1901) 4964.  It is situated in a rich</w:t></w:r>
</w:p>
<w:p>
<w:pPr><w:pStyle w:val="Normal"/></w:pPr>
<w:r><w:t xml:space="preserve">agricultural and mining district, and contains county and</w:t></w:r>
</w:p>
<w:p>
<w:pPr><w:pStyle w:val="Normal"/></w:pPr>
<w:r><w:t xml:space="preserve">railway buildings and numerous mills and factories.  It is</w:t></w:r>
</w:p>
<w:p>
<w:pPr><w:pStyle w:val="Normal"/></w:pPr>
<w:r><w:t xml:space="preserve">the distributing centre for the surrounding district, and</w:t></w:r>
</w:p>
<w:p>
<w:pPr><w:pStyle w:val="Normal"/></w:pPr>
<w:r><w:t xml:space="preserve">exports railway carriages, engines, boilers, stoves, &amp;c.</w:t></w:r>
</w:p>
<w:p>
<w:pPr><w:pStyle w:val="Normal"/></w:pPr>
<w:r><w:t xml:space="preserve">AMHURST, NICHOLAS (1697-1742), English poet and political</w:t></w:r>
</w:p>
<w:p>
<w:pPr><w:pStyle w:val="Normal"/></w:pPr>
<w:r><w:t xml:space="preserve">writer, was born at Marden, Kent, on the 16th of October</w:t></w:r>
</w:p>
<w:p>
<w:pPr><w:pStyle w:val="Normal"/></w:pPr>
<w:r><w:t xml:space="preserve">1697.  He was educated at the Merchant Taylors&apos; School, and</w:t></w:r>
</w:p>
<w:p>
<w:pPr><w:pStyle w:val="Normal"/></w:pPr>
<w:r><w:t xml:space="preserve">received an exhibition (1716) to St John&apos;s College, Oxford.</w:t></w:r>
</w:p>
<w:p>
<w:pPr><w:pStyle w:val="Normal"/></w:pPr>
<w:r><w:t xml:space="preserve">In 1719 he was expelled from the university, ostensibly for</w:t></w:r>
</w:p>
<w:p>
<w:pPr><w:pStyle w:val="Normal"/></w:pPr>
<w:r><w:t xml:space="preserve">his irregularities of conduct, but in reality, according to</w:t></w:r>
</w:p>
<w:p>
<w:pPr><w:pStyle w:val="Normal"/></w:pPr>
<w:r><w:t xml:space="preserve">his own account, because of his whig principles, which were</w:t></w:r>
</w:p>
<w:p>
<w:pPr><w:pStyle w:val="Normal"/></w:pPr>
<w:r><w:t xml:space="preserve">sufficiently evident in a congratulatory epistle to Addison,</w:t></w:r>
</w:p>
<w:p>
<w:pPr><w:pStyle w:val="Normal"/></w:pPr>
<w:r><w:t xml:space="preserve">in Protestant Popery; or the Convocation (1718), an attack</w:t></w:r>
</w:p>
<w:p>
<w:pPr><w:pStyle w:val="Normal"/></w:pPr>
<w:r><w:t xml:space="preserve">on the opponents of Bishop Hoadly, and in The Protestant</w:t></w:r>
</w:p>
<w:p>
<w:pPr><w:pStyle w:val="Normal"/></w:pPr>
<w:r><w:t xml:space="preserve">Session ... by a member of the Constitution Club at Oxford</w:t></w:r>
</w:p>
<w:p>
<w:pPr><w:pStyle w:val="Normal"/></w:pPr>
<w:r><w:t xml:space="preserve">(1719), addressed to James, first Earl Stanhope, and printed</w:t></w:r>
</w:p>
<w:p>
<w:pPr><w:pStyle w:val="Normal"/></w:pPr>
<w:r><w:t xml:space="preserve">anonymously, but doubtless by Amhurst.  He had satirized Oxford</w:t></w:r>
</w:p>
<w:p>
<w:pPr><w:pStyle w:val="Normal"/></w:pPr>
<w:r><w:t xml:space="preserve">morals in Strephon&apos;s Revenge; a Satire on the Oxford Toasts</w:t></w:r>
</w:p>
<w:p>
<w:pPr><w:pStyle w:val="Normal"/></w:pPr>
<w:r><w:t xml:space="preserve">(1718), and he attacked from time to time the administration</w:t></w:r>
</w:p>
<w:p>
<w:pPr><w:pStyle w:val="Normal"/></w:pPr>
<w:r><w:t xml:space="preserve">of the university and its principal members.  An old Oxford</w:t></w:r>
</w:p>
<w:p>
<w:pPr><w:pStyle w:val="Normal"/></w:pPr>
<w:r><w:t xml:space="preserve">custom on public occasions permitted some person to deliver from</w:t></w:r>
</w:p>
<w:p>
<w:pPr><w:pStyle w:val="Normal"/></w:pPr>
<w:r><w:t xml:space="preserve">the rostrum a humorous, satirical speech, full of university</w:t></w:r>
</w:p>
<w:p>
<w:pPr><w:pStyle w:val="Normal"/></w:pPr>
<w:r><w:t xml:space="preserve">scandal.  This orator was known as Terrae filius. In 1721</w:t></w:r>
</w:p>
<w:p>
<w:pPr><w:pStyle w:val="Normal"/></w:pPr>
<w:r><w:t xml:space="preserve">Amhurst produced a series of bi-weekly satirical papers under</w:t></w:r>
</w:p>
<w:p>
<w:pPr><w:pStyle w:val="Normal"/></w:pPr>
<w:r><w:t xml:space="preserve">this name, which ran for seven months and incidentally provides</w:t></w:r>
</w:p>
<w:p>
<w:pPr><w:pStyle w:val="Normal"/></w:pPr>
<w:r><w:t xml:space="preserve">much curious information.  These publications were reprinted</w:t></w:r>
</w:p>
<w:p>
<w:pPr><w:pStyle w:val="Normal"/></w:pPr>
<w:r><w:t xml:space="preserve">in 1726 in two volumes as Terrae Filius; or the secret</w:t></w:r>
</w:p>
<w:p>
<w:pPr><w:pStyle w:val="Normal"/></w:pPr>
<w:r><w:t xml:space="preserve">history of the University of Oxford; in several essays....</w:t></w:r>
</w:p>
<w:p>
<w:pPr><w:pStyle w:val="Normal"/></w:pPr>
<w:r><w:t xml:space="preserve">He collected his poems in 1720, and wrote another university</w:t></w:r>
</w:p>
<w:p>
<w:pPr><w:pStyle w:val="Normal"/></w:pPr>
<w:r><w:t xml:space="preserve">satire, Oculus Britanniae, in 1724.  On leaving Oxford for</w:t></w:r>
</w:p>
<w:p>
<w:pPr><w:pStyle w:val="Normal"/></w:pPr>
<w:r><w:t xml:space="preserve">London he became a prominent pamphleteer on the opposition</w:t></w:r>
</w:p>
<w:p>
<w:pPr><w:pStyle w:val="Normal"/></w:pPr>
<w:r><w:t xml:space="preserve">side.  On the 5th of December 1726 he issued the first number</w:t></w:r>
</w:p>
<w:p>
<w:pPr><w:pStyle w:val="Normal"/></w:pPr>
<w:r><w:t xml:space="preserve">of the Craftsman, a weekly periodical, which he conducted</w:t></w:r>
</w:p>
<w:p>
<w:pPr><w:pStyle w:val="Normal"/></w:pPr>
<w:r><w:t xml:space="preserve">under the pseudonym of Caleb D&apos;Anvers.  The paper contributed</w:t></w:r>
</w:p>
<w:p>
<w:pPr><w:pStyle w:val="Normal"/></w:pPr>
<w:r><w:t xml:space="preserve">largely to the final overthrow of Sir Robert Walpole&apos;s</w:t></w:r>
</w:p>
<w:p>
<w:pPr><w:pStyle w:val="Normal"/></w:pPr>
<w:r><w:t xml:space="preserve">government, and reached a circulation of 10,000 copies.  For</w:t></w:r>
</w:p>
<w:p>
<w:pPr><w:pStyle w:val="Normal"/></w:pPr>
<w:r><w:t xml:space="preserve">this success Amhurst&apos;s editorship was not perhaps chiefly</w:t></w:r>
</w:p>
<w:p>
<w:pPr><w:pStyle w:val="Normal"/></w:pPr>
<w:r><w:t xml:space="preserve">responsible.  It was the organ of Lord Bolingbroke and William</w:t></w:r>
</w:p>
<w:p>
<w:pPr><w:pStyle w:val="Normal"/></w:pPr>
<w:r><w:t xml:space="preserve">Pulteney, the latter of whom was a frequent and caustic</w:t></w:r>
</w:p>
<w:p>
<w:pPr><w:pStyle w:val="Normal"/></w:pPr>
<w:r><w:t xml:space="preserve">contributor.  In 1737 an imaginary letter from Colley Cibber</w:t></w:r>
</w:p>
<w:p>
<w:pPr><w:pStyle w:val="Normal"/></w:pPr>
<w:r><w:t xml:space="preserve">was inserted, in which he was made to suggest that many plays</w:t></w:r>
</w:p>
<w:p>
<w:pPr><w:pStyle w:val="Normal"/></w:pPr>
<w:r><w:t xml:space="preserve">by Shakespeare and the older dramatists contained passages</w:t></w:r>
</w:p>
<w:p>
<w:pPr><w:pStyle w:val="Normal"/></w:pPr>
<w:r><w:t xml:space="preserve">which might be regarded as seditious.  He therefore desired</w:t></w:r>
</w:p>
<w:p>
<w:pPr><w:pStyle w:val="Normal"/></w:pPr>
<w:r><w:t xml:space="preserve">to be appointed censor of all plays brought on the stage.</w:t></w:r>
</w:p>
<w:p>
<w:pPr><w:pStyle w:val="Normal"/></w:pPr>
<w:r><w:t xml:space="preserve">This was regarded as a &quot;suspected&quot; libel, and a warrant was</w:t></w:r>
</w:p>
<w:p>
<w:pPr><w:pStyle w:val="Normal"/></w:pPr>
<w:r><w:t xml:space="preserve">issued for the arrest of the printer.  Amhurst surrendered</w:t></w:r>
</w:p>
<w:p>
<w:pPr><w:pStyle w:val="Normal"/></w:pPr>
<w:r><w:t xml:space="preserve">himself instead, and suffered a short imprisonment.  On the</w:t></w:r>
</w:p>
<w:p>
<w:pPr><w:pStyle w:val="Normal"/></w:pPr>
<w:r><w:t xml:space="preserve">overthrow of the government in 1742 the opposition leaders</w:t></w:r>
</w:p>
<w:p>
<w:pPr><w:pStyle w:val="Normal"/></w:pPr>
<w:r><w:t xml:space="preserve">did nothing for the useful editor of the Craftsman, and</w:t></w:r>
</w:p>
<w:p>
<w:pPr><w:pStyle w:val="Normal"/></w:pPr>
<w:r><w:t xml:space="preserve">this neglect is said to have hastened Amhurst&apos;s death,</w:t></w:r>
</w:p>
<w:p>
<w:pPr><w:pStyle w:val="Normal"/></w:pPr>
<w:r><w:t xml:space="preserve">which took place at Twickenham on the 27th of April 1742.</w:t></w:r>
</w:p>
<w:p>
<w:pPr><w:pStyle w:val="Normal"/></w:pPr>
<w:r><w:t xml:space="preserve">AMIANTHUS, a corruption of amiantus (Gr. amiautos, undefiled),</w:t></w:r>
</w:p>
<w:p>
<w:pPr><w:pStyle w:val="Normal"/></w:pPr>
<w:r><w:t xml:space="preserve">a name applied to the finer kinds of asbestos (q.v.), in</w:t></w:r>
</w:p>
<w:p>
<w:pPr><w:pStyle w:val="Normal"/></w:pPr>
<w:r><w:t xml:space="preserve">consequence, it is said, of the mineral being unaffected by</w:t></w:r>
</w:p>
<w:p>
<w:pPr><w:pStyle w:val="Normal"/></w:pPr>
<w:r><w:t xml:space="preserve">fire.  Some of the finest amianthus, with long silky</w:t></w:r>
</w:p>
<w:p>
<w:pPr><w:pStyle w:val="Normal"/></w:pPr>
<w:r><w:t xml:space="preserve">flexible fibres, occurs in the district of the Tarentaise</w:t></w:r>
</w:p>
<w:p>
<w:pPr><w:pStyle w:val="Normal"/></w:pPr>
<w:r><w:t xml:space="preserve">in Savoy.  According to Dr J. W. Evans, the ancient</w:t></w:r>
</w:p>
<w:p>
<w:pPr><w:pStyle w:val="Normal"/></w:pPr>
<w:r><w:t xml:space="preserve">amianthus, derived mostly from Karystos in Euboea and from</w:t></w:r>
</w:p>
<w:p>
<w:pPr><w:pStyle w:val="Normal"/></w:pPr>
<w:r><w:t xml:space="preserve">Cyprus, was probably a fibrous serpentine, or chrysotile</w:t></w:r>
</w:p>
<w:p>
<w:pPr><w:pStyle w:val="Normal"/></w:pPr>
<w:r><w:t xml:space="preserve">(now called locally pampakopetrai or cotton-stone).</w:t></w:r>
</w:p>
<w:p>
<w:pPr><w:pStyle w:val="Normal"/></w:pPr>
<w:r><w:t xml:space="preserve">See Mineralogical Mag. (London) vol.</w:t></w:r>
</w:p>
<w:p>
<w:pPr><w:pStyle w:val="Normal"/></w:pPr>
<w:r><w:t xml:space="preserve">xiv. no. 65 (1906), art. by J. W. Evans.</w:t></w:r>
</w:p>
<w:p>
<w:pPr><w:pStyle w:val="Normal"/></w:pPr>
<w:r><w:t xml:space="preserve">AMICABLE NUMBERS, two numbers so related that the sum of</w:t></w:r>
</w:p>
<w:p>
<w:pPr><w:pStyle w:val="Normal"/></w:pPr>
<w:r><w:t xml:space="preserve">the factors of the one is equal to the other, unity being</w:t></w:r>
</w:p>
<w:p>
<w:pPr><w:pStyle w:val="Normal"/></w:pPr>
<w:r><w:t xml:space="preserve">considered as a factor.  Such a pair are 220 and 284; for</w:t></w:r>
</w:p>
<w:p>
<w:pPr><w:pStyle w:val="Normal"/></w:pPr>
<w:r><w:t xml:space="preserve">the factors of 220 are 1, 2, 4, 5, 10, 11, 20, 22, 44, 55 and</w:t></w:r>
</w:p>
<w:p>
<w:pPr><w:pStyle w:val="Normal"/></w:pPr>
<w:r><w:t xml:space="preserve">110, of which the sum is 284; and the factors of 284 are 1,</w:t></w:r>
</w:p>
<w:p>
<w:pPr><w:pStyle w:val="Normal"/></w:pPr>
<w:r><w:t xml:space="preserve">2, 4, 71, and 142, of which the sum is 220. Amicable numbers</w:t></w:r>
</w:p>
<w:p>
<w:pPr><w:pStyle w:val="Normal"/></w:pPr>
<w:r><w:t xml:space="preserve">were known to the Pythagoreans, who accredited them with</w:t></w:r>
</w:p>
<w:p>
<w:pPr><w:pStyle w:val="Normal"/></w:pPr>
<w:r><w:t xml:space="preserve">many mystical properties.  A general formula by which these</w:t></w:r>
</w:p>
<w:p>
<w:pPr><w:pStyle w:val="Normal"/></w:pPr>
<w:r><w:t xml:space="preserve">numbers could be derived was invented by the Arabian astronomer</w:t></w:r>
</w:p>
<w:p>
<w:pPr><w:pStyle w:val="Normal"/></w:pPr>
<w:r><w:t xml:space="preserve">Tobit ben Korra (836-901): if p=3.2m-1, q=3.2m-1-1 and</w:t></w:r>
</w:p>
<w:p>
<w:pPr><w:pStyle w:val="Normal"/></w:pPr>
<w:r><w:t xml:space="preserve">r=9.22m-1-1, where m is an integer and p,q,r prime</w:t></w:r>
</w:p>
<w:p>
<w:pPr><w:pStyle w:val="Normal"/></w:pPr>
<w:r><w:t xml:space="preserve">numbers, then 2m pq and 2m r are a pair of amicable</w:t></w:r>
</w:p>
<w:p>
<w:pPr><w:pStyle w:val="Normal"/></w:pPr>
<w:r><w:t xml:space="preserve">numbers.  This formula gives the pairs 220 and 284, 17,296</w:t></w:r>
</w:p>
<w:p>
<w:pPr><w:pStyle w:val="Normal"/></w:pPr>
<w:r><w:t xml:space="preserve">and 18,416, 9,463,584 and 9,437,056.  The pair 6232 and</w:t></w:r>
</w:p>
<w:p>
<w:pPr><w:pStyle w:val="Normal"/></w:pPr>
<w:r><w:t xml:space="preserve">6368 are amicable, but they cannot be derived from this</w:t></w:r>
</w:p>
<w:p>
<w:pPr><w:pStyle w:val="Normal"/></w:pPr>
<w:r><w:t xml:space="preserve">formula.  Amicable numbers have been studied by Al Madshritti</w:t></w:r>
</w:p>
<w:p>
<w:pPr><w:pStyle w:val="Normal"/></w:pPr>
<w:r><w:t xml:space="preserve">(d. 1007), Rene Descartes, to whom the formula of Tobit</w:t></w:r>
</w:p>
<w:p>
<w:pPr><w:pStyle w:val="Normal"/></w:pPr>
<w:r><w:t xml:space="preserve">ben Korra is sometimes ascribed, C. Rudolphus and others.</w:t></w:r>
</w:p>
<w:p>
<w:pPr><w:pStyle w:val="Normal"/></w:pPr>
<w:r><w:t xml:space="preserve">AMICE (earlier forms: amyt, amys, O. Fr. amit, Lat.</w:t></w:r>
</w:p>
<w:p>
<w:pPr><w:pStyle w:val="Normal"/></w:pPr>
<w:r><w:t xml:space="preserve">amictus, from amicire, to throw or wrap round, the change</w:t></w:r>
</w:p>
<w:p>
<w:pPr><w:pStyle w:val="Normal"/></w:pPr>
<w:r><w:t xml:space="preserve">of t to s being probably due to an early confusion with</w:t></w:r>
</w:p>
<w:p>
<w:pPr><w:pStyle w:val="Normal"/></w:pPr>
<w:r><w:t xml:space="preserve">the aumuce: see ALMUCE), a liturgical vestment of the</w:t></w:r>
</w:p>
<w:p>
<w:pPr><w:pStyle w:val="Normal"/></w:pPr>
<w:r><w:t xml:space="preserve">Western Church.  It is a rectangular piece of cloth which</w:t></w:r>
</w:p>
<w:p>
<w:pPr><w:pStyle w:val="Normal"/></w:pPr>
<w:r><w:t xml:space="preserve">is wrapped round the neck, shoulders and breast.  Sometimes,</w:t></w:r>
</w:p>
<w:p>
<w:pPr><w:pStyle w:val="Normal"/></w:pPr>
<w:r><w:t xml:space="preserve">more particularly in Germany, it is called the humerale</w:t></w:r>
</w:p>
<w:p>
<w:pPr><w:pStyle w:val="Normal"/></w:pPr>
<w:r><w:t xml:space="preserve">(from humerus, shoulder).  According to modern Roman</w:t></w:r>
</w:p>
<w:p>
<w:pPr><w:pStyle w:val="Normal"/></w:pPr>
<w:r><w:t xml:space="preserve">use, laid down by the decree of the Congregation of Rites in</w:t></w:r>
</w:p>
<w:p>
<w:pPr><w:pStyle w:val="Normal"/></w:pPr>
<w:r><w:t xml:space="preserve">1819, the amice must be of linen or of a hempen material,</w:t></w:r>
</w:p>
<w:p>
<w:pPr><w:pStyle w:val="Normal"/></w:pPr>
<w:r><w:t xml:space="preserve">not wool; and, as directed by the new Roman Missal (1570),</w:t></w:r>
</w:p>
<w:p>
<w:pPr><w:pStyle w:val="Normal"/></w:pPr>
<w:r><w:t xml:space="preserve">a small cross must be sewn or embroidered in the middle of</w:t></w:r>
</w:p>
<w:p>
<w:pPr><w:pStyle w:val="Normal"/></w:pPr>
<w:r><w:t xml:space="preserve">it.  In putting it on it is first laid on the head, then</w:t></w:r>
</w:p>
<w:p>
<w:pPr><w:pStyle w:val="Normal"/></w:pPr>
<w:r><w:t xml:space="preserve">allowed to fall on the shoulders, and finally folded round</w:t></w:r>
</w:p>
<w:p>
<w:pPr><w:pStyle w:val="Normal"/></w:pPr>
<w:r><w:t xml:space="preserve">the chest and tied with the strings attached for that purpose</w:t></w:r>
</w:p>
<w:p>
<w:pPr><w:pStyle w:val="Normal"/></w:pPr>
<w:r><w:t xml:space="preserve">(see fig. 1). The amice is now worn under the alb, except at</w:t></w:r>
</w:p>
<w:p>
<w:pPr><w:pStyle w:val="Normal"/></w:pPr>
<w:r><w:t xml:space="preserve">Milan and Lyons, where it is put on over it.  The vestment</w:t></w:r>
</w:p>
<w:p>
<w:pPr><w:pStyle w:val="Normal"/></w:pPr>
<w:r><w:t xml:space="preserve">was at first a perfectly plain white cloth, but in the 12th</w:t></w:r>
</w:p>
<w:p>
<w:pPr><w:pStyle w:val="Normal"/></w:pPr>
<w:r><w:t xml:space="preserve">century the custom arose of decorating the upper border with</w:t></w:r>
</w:p>
<w:p>
<w:pPr><w:pStyle w:val="Normal"/></w:pPr>
<w:r><w:t xml:space="preserve">a band of embroidery, the parure (parura) or &quot;apparel.&quot;</w:t></w:r>
</w:p>
<w:p>
<w:pPr><w:pStyle w:val="Normal"/></w:pPr>
<w:r><w:t xml:space="preserve">This was abandoned at Rome about the end of the 15th century</w:t></w:r>
</w:p>
<w:p>
<w:pPr><w:pStyle w:val="Normal"/></w:pPr>
<w:r><w:t xml:space="preserve">and is not prescribed in the Missal; it survived, however,</w:t></w:r>
</w:p>
<w:p>
<w:pPr><w:pStyle w:val="Normal"/></w:pPr>
<w:r><w:t xml:space="preserve">in many parts of Europe till much later.  This apparel, when</w:t></w:r>
</w:p>
<w:p>
<w:pPr><w:pStyle w:val="Normal"/></w:pPr>
<w:r><w:t xml:space="preserve">the vestment has been adjusted, forms a sort of stiff collar</w:t></w:r>
</w:p>
<w:p>
<w:pPr><w:pStyle w:val="Normal"/></w:pPr>
<w:r><w:t xml:space="preserve">which appears above the chasuble or dalmatic (see fig. 2). In</w:t></w:r>
</w:p>
<w:p>
<w:pPr><w:pStyle w:val="Normal"/></w:pPr>
<w:r><w:t xml:space="preserve">some exceptional cases, as at Milan, it has become detached</w:t></w:r>
</w:p>
<w:p>
<w:pPr><w:pStyle w:val="Normal"/></w:pPr>
<w:r><w:t xml:space="preserve">from the amice and is fixed like a collar to the chasuble.</w:t></w:r>
</w:p>
<w:p>
<w:pPr><w:pStyle w:val="Normal"/></w:pPr>
<w:r><w:t xml:space="preserve">The Latin word amictus was applied to any wrap-like</w:t></w:r>
</w:p>
<w:p>
<w:pPr><w:pStyle w:val="Normal"/></w:pPr>
<w:r><w:t xml:space="preserve">garment, and, according to Father Braun, the liturgical amice</w:t></w:r>
</w:p>
<w:p>
<w:pPr><w:pStyle w:val="Normal"/></w:pPr>
<w:r><w:t xml:space="preserve">originated in the ordinary neck-cloth worn by all classes of</w:t></w:r>
</w:p>
<w:p>
<w:pPr><w:pStyle w:val="Normal"/></w:pPr>
<w:r><w:t xml:space="preserve">Romans.  It had at the outset no liturgical significance</w:t></w:r>
</w:p>
<w:p>
<w:pPr><w:pStyle w:val="Normal"/></w:pPr>
<w:r><w:t xml:space="preserve">whatever, and was simply adopted by the clergy for the same</w:t></w:r>
</w:p>
<w:p>
<w:pPr><w:pStyle w:val="Normal"/></w:pPr>
<w:r><w:t xml:space="preserve">reason that the clergy of the 18th century wore wigs--because</w:t></w:r>
</w:p>
<w:p>
<w:pPr><w:pStyle w:val="Normal"/></w:pPr>
<w:r><w:t xml:space="preserve">it was part of the full dress of ordinary life.  The first</w:t></w:r>
</w:p>
<w:p>
<w:pPr><w:pStyle w:val="Normal"/></w:pPr>
<w:r><w:t xml:space="preserve">record of its ecclesiastical use is at Rome in the 8th</w:t></w:r>
</w:p>
<w:p>
<w:pPr><w:pStyle w:val="Normal"/></w:pPr>
<w:r><w:t xml:space="preserve">century, when it was worn only with the dalmatic and was</w:t></w:r>
</w:p>
<w:p>
<w:pPr><w:pStyle w:val="Normal"/></w:pPr>
<w:r><w:t xml:space="preserve">known as the anabolagium (anagolaium, anagolagium, from</w:t></w:r>
</w:p>
<w:p>
<w:pPr><w:pStyle w:val="Normal"/></w:pPr>
<w:r><w:t xml:space="preserve">Gr. anabolaion), a name it continued to bear at Rome till</w:t></w:r>
</w:p>
<w:p>
<w:pPr><w:pStyle w:val="Normal"/></w:pPr>
<w:r><w:t xml:space="preserve">the 13th century.  In the 9th century it spread to the other</w:t></w:r>
</w:p>
<w:p>
<w:pPr><w:pStyle w:val="Normal"/></w:pPr>
<w:r><w:t xml:space="preserve">countries that adopted the Roman use: it is mentioned in an</w:t></w:r>
</w:p>
<w:p>
<w:pPr><w:pStyle w:val="Normal"/></w:pPr>
<w:r><w:t xml:space="preserve">inventory of vestments given by Abbot Angilbert (d. 814) to</w:t></w:r>
</w:p>
<w:p>
<w:pPr><w:pStyle w:val="Normal"/></w:pPr>
<w:r><w:t xml:space="preserve">the monastery at Centula (St Riguier) and in the de clericorum</w:t></w:r>
</w:p>
<w:p>
<w:pPr><w:pStyle w:val="Normal"/></w:pPr>
<w:r><w:t xml:space="preserve">institutione of Hrabanus Maurus (c. 820).  The amice was</w:t></w:r>
</w:p>
<w:p>
<w:pPr><w:pStyle w:val="Normal"/></w:pPr>
<w:r><w:t xml:space="preserve">worn first simply as a shoulder-cloth, but at the end of the</w:t></w:r>
</w:p>
<w:p>
<w:pPr><w:pStyle w:val="Normal"/></w:pPr>
<w:r><w:t xml:space="preserve">9th century the custom grew up of putting it on over the head</w:t></w:r>
</w:p>
<w:p>
<w:pPr><w:pStyle w:val="Normal"/></w:pPr>
<w:r><w:t xml:space="preserve">and of wearing it as a hood, either while the other vestments</w:t></w:r>
</w:p>
<w:p>
<w:pPr><w:pStyle w:val="Normal"/></w:pPr>
<w:r><w:t xml:space="preserve">were being put on or, according to the various uses of local</w:t></w:r>
</w:p>
<w:p>
<w:pPr><w:pStyle w:val="Normal"/></w:pPr>
<w:r><w:t xml:space="preserve">churches, during part of the Mass, though never during the</w:t></w:r>
</w:p>
<w:p>
<w:pPr><w:pStyle w:val="Normal"/></w:pPr>
<w:r><w:t xml:space="preserve">canon.  This ceased at Rome at the same time as the apparel</w:t></w:r>
</w:p>
<w:p>
<w:pPr><w:pStyle w:val="Normal"/></w:pPr>
<w:r><w:t xml:space="preserve">disappeared; but two relics of it survive--(1) in the directions</w:t></w:r>
</w:p>
<w:p>
<w:pPr><w:pStyle w:val="Normal"/></w:pPr>
<w:r><w:t xml:space="preserve">of the Missal for putting on the amice, (2) in the ordination</w:t></w:r>
</w:p>
<w:p>
<w:pPr><w:pStyle w:val="Normal"/></w:pPr>
<w:r><w:t xml:space="preserve">of subdeacons, when the bishop lays the vestment on the</w:t></w:r>
</w:p>
<w:p>
<w:pPr><w:pStyle w:val="Normal"/></w:pPr>
<w:r><w:t xml:space="preserve">ordinand&apos;s head with the words, &quot;Take the amice, which symbolizes</w:t></w:r>
</w:p>
<w:p>
<w:pPr><w:pStyle w:val="Normal"/></w:pPr>
<w:r><w:t xml:space="preserve">discipline over the tongue, &amp;c.&quot; The priest too in putting</w:t></w:r>
</w:p>
<w:p>
<w:pPr><w:pStyle w:val="Normal"/></w:pPr>
<w:r><w:t xml:space="preserve">it on prays, &quot;Place on my head the helmet of salvation, &amp;c.&quot;</w:t></w:r>
</w:p>
<w:p>
<w:pPr><w:pStyle w:val="Normal"/></w:pPr>
<w:r><w:t xml:space="preserve">The amice, whatever its origin or symbolism, became specifically</w:t></w:r>
</w:p>
<w:p>
<w:pPr><w:pStyle w:val="Normal"/></w:pPr>
<w:r><w:t xml:space="preserve">a vestment associated with the sacrifice of the Mass, and as</w:t></w:r>
</w:p>
<w:p>
<w:pPr><w:pStyle w:val="Normal"/></w:pPr>
<w:r><w:t xml:space="preserve">such it was rejected with the other &quot;Mass vestments&quot; in England</w:t></w:r>
</w:p>
<w:p>
<w:pPr><w:pStyle w:val="Normal"/></w:pPr>
<w:r><w:t xml:space="preserve">at the Reformation.  Its use has, however, been revived in</w:t></w:r>
</w:p>
<w:p>
<w:pPr><w:pStyle w:val="Normal"/></w:pPr>
<w:r><w:t xml:space="preserve">many Anglican churches, the favourite form being the medieval</w:t></w:r>
</w:p>
<w:p>
<w:pPr><w:pStyle w:val="Normal"/></w:pPr>
<w:r><w:t xml:space="preserve">apparelled amice. (See VESTMENTS.) A vestment akin to the</w:t></w:r>
</w:p>
<w:p>
<w:pPr><w:pStyle w:val="Normal"/></w:pPr>
<w:r><w:t xml:space="preserve">amice is also worn in the Armenian and some other oriental</w:t></w:r>
</w:p>
<w:p>
<w:pPr><w:pStyle w:val="Normal"/></w:pPr>
<w:r><w:t xml:space="preserve">churches, but it is unknown to the Orthodox Eastern Church.</w:t></w:r>
</w:p>
<w:p>
<w:pPr><w:pStyle w:val="Normal"/></w:pPr>
<w:r><w:t xml:space="preserve">Akin to the amice is a vestment peculiar to the popes, the</w:t></w:r>
</w:p>
<w:p>
<w:pPr><w:pStyle w:val="Normal"/></w:pPr>
<w:r><w:t xml:space="preserve">fanone (Med.  Lat. fano, &quot;cloth,&quot; Goth. fana, &quot;cloth,&quot;</w:t></w:r>
</w:p>
<w:p>
<w:pPr><w:pStyle w:val="Normal"/></w:pPr>
<w:r><w:t xml:space="preserve">Mod. Ger. Fahne, &quot;a flag&quot;), also called the orale (from</w:t></w:r>
</w:p>
<w:p>
<w:pPr><w:pStyle w:val="Normal"/></w:pPr>
<w:r><w:t xml:space="preserve">ora, an edge, border).  This is at present a circular</w:t></w:r>
</w:p>
<w:p>
<w:pPr><w:pStyle w:val="Normal"/></w:pPr>
<w:r><w:t xml:space="preserve">broad collar of two thicknesses of silk, ornamented with gold</w:t></w:r>
</w:p>
<w:p>
<w:pPr><w:pStyle w:val="Normal"/></w:pPr>
<w:r><w:t xml:space="preserve">stripes and a gold- embroidered cross (see fig. 3). It is put</w:t></w:r>
</w:p>
<w:p>
<w:pPr><w:pStyle w:val="Normal"/></w:pPr>
<w:r><w:t xml:space="preserve">on after the alb, &amp;c., and under the tunicle, dalmatic and</w:t></w:r>
</w:p>
<w:p>
<w:pPr><w:pStyle w:val="Normal"/></w:pPr>
<w:r><w:t xml:space="preserve">chasuble, but then drawn up so as to fall over the latter like a</w:t></w:r>
</w:p>
<w:p>
<w:pPr><w:pStyle w:val="Normal"/></w:pPr>
<w:r><w:t xml:space="preserve">collar.  The fanone was originally a cloth like the amice and</w:t></w:r>
</w:p>
<w:p>
<w:pPr><w:pStyle w:val="Normal"/></w:pPr>
<w:r><w:t xml:space="preserve">was wrapped round neck and shoulders; until the 15th century,</w:t></w:r>
</w:p>
<w:p>
<w:pPr><w:pStyle w:val="Normal"/></w:pPr>
<w:r><w:t xml:space="preserve">moreover, it was not worn with the amice.  Since then, however,</w:t></w:r>
</w:p>
<w:p>
<w:pPr><w:pStyle w:val="Normal"/></w:pPr>
<w:r><w:t xml:space="preserve">both vestments have been worn, one under, the other over, the</w:t></w:r>
</w:p>
<w:p>
<w:pPr><w:pStyle w:val="Normal"/></w:pPr>
<w:r><w:t xml:space="preserve">alb.  It is worn by the popes only on certain special days or</w:t></w:r>
</w:p>
<w:p>
<w:pPr><w:pStyle w:val="Normal"/></w:pPr>
<w:r><w:t xml:space="preserve">occasions, and forms part of the vestments in which they are buried.</w:t></w:r>
</w:p>
<w:p>
<w:pPr><w:pStyle w:val="Normal"/></w:pPr>
<w:r><w:t xml:space="preserve">See Joseph Braun, S. J., Die liturgische Gewandung, pp. 21-56 (Freiburg</w:t></w:r>
</w:p>
<w:p>
<w:pPr><w:pStyle w:val="Normal"/></w:pPr>
<w:r><w:t xml:space="preserve">im Breisgau, 1907), and bibliography to the article VESTMENTS.</w:t></w:r>
</w:p>
<w:p>
<w:pPr><w:pStyle w:val="Normal"/></w:pPr>
<w:r><w:t xml:space="preserve">AMICI, GIOVANNI BATTISTA (1786-1863), Italian astronomer and</w:t></w:r>
</w:p>
<w:p>
<w:pPr><w:pStyle w:val="Normal"/></w:pPr>
<w:r><w:t xml:space="preserve">microscopist, was born on the 25th of March 1786 at Modena.</w:t></w:r>
</w:p>
<w:p>
<w:pPr><w:pStyle w:val="Normal"/></w:pPr>
<w:r><w:t xml:space="preserve">After studying at Bologna, he became professor of mathematics at</w:t></w:r>
</w:p>
<w:p>
<w:pPr><w:pStyle w:val="Normal"/></w:pPr>
<w:r><w:t xml:space="preserve">Modena, and in 1831 was appointed inspector-general of studies</w:t></w:r>
</w:p>
<w:p>
<w:pPr><w:pStyle w:val="Normal"/></w:pPr>
<w:r><w:t xml:space="preserve">in the duchy.  A few years later he was chosen director of the</w:t></w:r>
</w:p>
<w:p>
<w:pPr><w:pStyle w:val="Normal"/></w:pPr>
<w:r><w:t xml:space="preserve">observatory at Florence, where he also lectured at the museum</w:t></w:r>
</w:p>
<w:p>
<w:pPr><w:pStyle w:val="Normal"/></w:pPr>
<w:r><w:t xml:space="preserve">of natural history.  He died at Florence on the 10th of April</w:t></w:r>
</w:p>
<w:p>
<w:pPr><w:pStyle w:val="Normal"/></w:pPr>
<w:r><w:t xml:space="preserve">1863.  His name is best known for the improvements he effected</w:t></w:r>
</w:p>
<w:p>
<w:pPr><w:pStyle w:val="Normal"/></w:pPr>
<w:r><w:t xml:space="preserve">in the mirrors of reflecting telescopes and especially in the</w:t></w:r>
</w:p>
<w:p>
<w:pPr><w:pStyle w:val="Normal"/></w:pPr>
<w:r><w:t xml:space="preserve">construction of the microscope.  He was also a diligent and</w:t></w:r>
</w:p>
<w:p>
<w:pPr><w:pStyle w:val="Normal"/></w:pPr>
<w:r><w:t xml:space="preserve">skilful observer, and busied himself not only with astronomical</w:t></w:r>
</w:p>
<w:p>
<w:pPr><w:pStyle w:val="Normal"/></w:pPr>
<w:r><w:t xml:space="preserve">subjects, such as the double stars, the satellites of Jupiter</w:t></w:r>
</w:p>
<w:p>
<w:pPr><w:pStyle w:val="Normal"/></w:pPr>
<w:r><w:t xml:space="preserve">and the measurement of the polar and equatorial diameters of the</w:t></w:r>
</w:p>
<w:p>
<w:pPr><w:pStyle w:val="Normal"/></w:pPr>
<w:r><w:t xml:space="preserve">sun, but also with biological studies of the circulation of</w:t></w:r>
</w:p>
<w:p>
<w:pPr><w:pStyle w:val="Normal"/></w:pPr>
<w:r><w:t xml:space="preserve">the sap in plants, the fructification of plants, infusoria, &amp;c.</w:t></w:r>
</w:p>
<w:p>
<w:pPr><w:pStyle w:val="Normal"/></w:pPr>
<w:r><w:t xml:space="preserve">AMICIS, EDMONDO DE (1846-1908), Italian writer, was born at</w:t></w:r>
</w:p>
<w:p>
<w:pPr><w:pStyle w:val="Normal"/></w:pPr>
<w:r><w:t xml:space="preserve">Oneglia, in Liguria, on the 21st of October 1846.  After some</w:t></w:r>
</w:p>
<w:p>
<w:pPr><w:pStyle w:val="Normal"/></w:pPr>
<w:r><w:t xml:space="preserve">schooling at Cuneo and Turin, he was sent to the Military</w:t></w:r>
</w:p>
<w:p>
<w:pPr><w:pStyle w:val="Normal"/></w:pPr>
<w:r><w:t xml:space="preserve">School at Modena, from which he was appointed to a lieutenancy</w:t></w:r>
</w:p>
<w:p>
<w:pPr><w:pStyle w:val="Normal"/></w:pPr>
<w:r><w:t xml:space="preserve">in the 3rd regiment of the line in 1865.  He fought at the</w:t></w:r>
</w:p>
<w:p>
<w:pPr><w:pStyle w:val="Normal"/></w:pPr>
<w:r><w:t xml:space="preserve">battle of Custozza in 1866.  In 1867 he became director of</w:t></w:r>
</w:p>
<w:p>
<w:pPr><w:pStyle w:val="Normal"/></w:pPr>
<w:r><w:t xml:space="preserve">the Italia Militare, Florence.  In the following year</w:t></w:r>
</w:p>
<w:p>
<w:pPr><w:pStyle w:val="Normal"/></w:pPr>
<w:r><w:t xml:space="preserve">he published his first book, La Vita Militare, which</w:t></w:r>
</w:p>
<w:p>
<w:pPr><w:pStyle w:val="Normal"/></w:pPr>
<w:r><w:t xml:space="preserve">consisted of sketches of military life, and attained wide</w:t></w:r>
</w:p>
<w:p>
<w:pPr><w:pStyle w:val="Normal"/></w:pPr>
<w:r><w:t xml:space="preserve">popularity.  After the overthrow of the pope&apos;s temporal power</w:t></w:r>
</w:p>
<w:p>
<w:pPr><w:pStyle w:val="Normal"/></w:pPr>
<w:r><w:t xml:space="preserve">in 1870, De Amicis retired from the army and devoted himself</w:t></w:r>
</w:p>
<w:p>
<w:pPr><w:pStyle w:val="Normal"/></w:pPr>
<w:r><w:t xml:space="preserve">to literature, making his headquarters at Turin.  Always a</w:t></w:r>
</w:p>
<w:p>
<w:pPr><w:pStyle w:val="Normal"/></w:pPr>
<w:r><w:t xml:space="preserve">traveller by inclination, he found opportunity for this in</w:t></w:r>
</w:p>
<w:p>
<w:pPr><w:pStyle w:val="Normal"/></w:pPr>
<w:r><w:t xml:space="preserve">his new leisure, and some of his most popular books have been</w:t></w:r>
</w:p>
<w:p>
<w:pPr><w:pStyle w:val="Normal"/></w:pPr>
<w:r><w:t xml:space="preserve">the product of his wanderings.  Several of these have been</w:t></w:r>
</w:p>
<w:p>
<w:pPr><w:pStyle w:val="Normal"/></w:pPr>
<w:r><w:t xml:space="preserve">translated into English and the other principal languages of</w:t></w:r>
</w:p>
<w:p>
<w:pPr><w:pStyle w:val="Normal"/></w:pPr>
<w:r><w:t xml:space="preserve">Europe.  The most important of these are his descriptions of</w:t></w:r>
</w:p>
<w:p>
<w:pPr><w:pStyle w:val="Normal"/></w:pPr>
<w:r><w:t xml:space="preserve">Spain (1873), Holland (1874), Constantinople (1877) and Morocco</w:t></w:r>
</w:p>
<w:p>
<w:pPr><w:pStyle w:val="Normal"/></w:pPr>
<w:r><w:t xml:space="preserve">(1879).  These gained him a well- deserved reputation as a</w:t></w:r>
</w:p>
<w:p>
<w:pPr><w:pStyle w:val="Normal"/></w:pPr>
<w:r><w:t xml:space="preserve">brilliant depicter of scenery and the external aspects of life;</w:t></w:r>
</w:p>
<w:p>
<w:pPr><w:pStyle w:val="Normal"/></w:pPr>
<w:r><w:t xml:space="preserve">solid information is not within their sphere; and much of their</w:t></w:r>
</w:p>
<w:p>
<w:pPr><w:pStyle w:val="Normal"/></w:pPr>
<w:r><w:t xml:space="preserve">success is owing to the opportunities they afford for spirited</w:t></w:r>
</w:p>
<w:p>
<w:pPr><w:pStyle w:val="Normal"/></w:pPr>
<w:r><w:t xml:space="preserve">illustration.  Subsequently De Amicis greatly extended his</w:t></w:r>
</w:p>
<w:p>
<w:pPr><w:pStyle w:val="Normal"/></w:pPr>
<w:r><w:t xml:space="preserve">fame as a writer of fiction, especially by Il Romanzo d&apos; un</w:t></w:r>
</w:p>
<w:p>
<w:pPr><w:pStyle w:val="Normal"/></w:pPr>
<w:r><w:t xml:space="preserve">Maestro, and the widely read Il Cuore (translated into</w:t></w:r>
</w:p>
<w:p>
<w:pPr><w:pStyle w:val="Normal"/></w:pPr>
<w:r><w:t xml:space="preserve">English as An Italian Schoolboy&apos;s Journal); later volumes</w:t></w:r>
</w:p>
<w:p>
<w:pPr><w:pStyle w:val="Normal"/></w:pPr>
<w:r><w:t xml:space="preserve">from his pen being La Carozza di tutti (centring round an</w:t></w:r>
</w:p>
<w:p>
<w:pPr><w:pStyle w:val="Normal"/></w:pPr>
<w:r><w:t xml:space="preserve">electric tram), Memorie, Speranze e glorie, Ricordi d&apos;</w:t></w:r>
</w:p>
<w:p>
<w:pPr><w:pStyle w:val="Normal"/></w:pPr>
<w:r><w:t xml:space="preserve">infanzia e di scuola, L&apos; Idioma gentile, and a volume</w:t></w:r>
</w:p>
<w:p>
<w:pPr><w:pStyle w:val="Normal"/></w:pPr>
<w:r><w:t xml:space="preserve">of short stories, Nel Regno dell&apos; Amore. He died suddenly</w:t></w:r>
</w:p>
<w:p>
<w:pPr><w:pStyle w:val="Normal"/></w:pPr>
<w:r><w:t xml:space="preserve">of heart disease at Bordighera on the 12th of March 1908.</w:t></w:r>
</w:p>
<w:p>
<w:pPr><w:pStyle w:val="Normal"/></w:pPr>
<w:r><w:t xml:space="preserve">AMICUS CURIAE (Lat. for &quot;a friend of the court&quot;), a term used</w:t></w:r>
</w:p>
<w:p>
<w:pPr><w:pStyle w:val="Normal"/></w:pPr>
<w:r><w:t xml:space="preserve">primarily in law, signifying a person (usually a member of the</w:t></w:r>
</w:p>
<w:p>
<w:pPr><w:pStyle w:val="Normal"/></w:pPr>
<w:r><w:t xml:space="preserve">bar) who, having special knowledge but not being engaged in the</w:t></w:r>
</w:p>
<w:p>
<w:pPr><w:pStyle w:val="Normal"/></w:pPr>
<w:r><w:t xml:space="preserve">suit, intervenes during its hearing to give information for</w:t></w:r>
</w:p>
<w:p>
<w:pPr><w:pStyle w:val="Normal"/></w:pPr>
<w:r><w:t xml:space="preserve">the assistance of the court, either upon some fact relevant</w:t></w:r>
</w:p>
<w:p>
<w:pPr><w:pStyle w:val="Normal"/></w:pPr>
<w:r><w:t xml:space="preserve">to the issue or upon a point of law, such as the hearing</w:t></w:r>
</w:p>
<w:p>
<w:pPr><w:pStyle w:val="Normal"/></w:pPr>
<w:r><w:t xml:space="preserve">of a local custom, the precedent of some decided case, &amp;c.</w:t></w:r>
</w:p>
<w:p>
<w:pPr><w:pStyle w:val="Normal"/></w:pPr>
<w:r><w:t xml:space="preserve">AMIDINES, in organic chemistry, the name given to compounds</w:t></w:r>
</w:p>
<w:p>
<w:pPr><w:pStyle w:val="Normal"/></w:pPr>
<w:r><w:t xml:space="preserve">of general formula R.C:(NH).NH2, which may be considered as</w:t></w:r>
</w:p>
<w:p>
<w:pPr><w:pStyle w:val="Normal"/></w:pPr>
<w:r><w:t xml:space="preserve">derived from the acid-amides by replacement of oxygen by the</w:t></w:r>
</w:p>
<w:p>
<w:pPr><w:pStyle w:val="Normal"/></w:pPr>
<w:r><w:t xml:space="preserve">divalent imino (=NH) group.  They may be prepared by the action</w:t></w:r>
</w:p>
<w:p>
<w:pPr><w:pStyle w:val="Normal"/></w:pPr>
<w:r><w:t xml:space="preserve">of ammonia or amines on imide chorides, or on thiamides (O.</w:t></w:r>
</w:p>
<w:p>
<w:pPr><w:pStyle w:val="Normal"/></w:pPr>
<w:r><w:t xml:space="preserve">Wallach, A. Bernthsen); by the action of ammonium chloride</w:t></w:r>
</w:p>
<w:p>
<w:pPr><w:pStyle w:val="Normal"/></w:pPr>
<w:r><w:t xml:space="preserve">or hydrochlorides of amines on nitriles; by condensing</w:t></w:r>
</w:p>
<w:p>
<w:pPr><w:pStyle w:val="Normal"/></w:pPr>
<w:r><w:t xml:space="preserve">amines and amides in presence of phosphorus trichloride; by</w:t></w:r>
</w:p>
<w:p>
<w:pPr><w:pStyle w:val="Normal"/></w:pPr>
<w:r><w:t xml:space="preserve">the action of hydrochloric acid on acid-amides (O. Wallach,</w:t></w:r>
</w:p>
<w:p>
<w:pPr><w:pStyle w:val="Normal"/></w:pPr>
<w:r><w:t xml:space="preserve">Ber., 1882, 15, p. 208); and by the action of ammonia or</w:t></w:r>
</w:p>
<w:p>
<w:pPr><w:pStyle w:val="Normal"/></w:pPr>
<w:r><w:t xml:space="preserve">amines on imino-ethers (A. Pinner, Ber., 1883, 16, p. 1647;</w:t></w:r>
</w:p>
<w:p>
<w:pPr><w:pStyle w:val="Normal"/></w:pPr>
<w:r><w:t xml:space="preserve">1884, 17, p. 179).  They are monacid bases, which are not</w:t></w:r>
</w:p>
<w:p>
<w:pPr><w:pStyle w:val="Normal"/></w:pPr>
<w:r><w:t xml:space="preserve">very stable; they readily take up the elements of water</w:t></w:r>
</w:p>
<w:p>
<w:pPr><w:pStyle w:val="Normal"/></w:pPr>
<w:r><w:t xml:space="preserve">(when boiled with acids or alkalies), yielding amides and</w:t></w:r>
</w:p>
<w:p>
<w:pPr><w:pStyle w:val="Normal"/></w:pPr>
<w:r><w:t xml:space="preserve">ammonia.  On dry distillation they yield nitriles and ammonia.</w:t></w:r>
</w:p>
<w:p>
<w:pPr><w:pStyle w:val="Normal"/></w:pPr>
<w:r><w:t xml:space="preserve">When warmed with sulphuretted hydrogen they yield thiamides,</w:t></w:r>
</w:p>
<w:p>
<w:pPr><w:pStyle w:val="Normal"/></w:pPr>
<w:r><w:t xml:space="preserve">R.C:(NH).NHR+H2S = R.C(NH2)(SH)NHR = R.CSNH2 + NH2.R or</w:t></w:r>
</w:p>
<w:p>
<w:pPr><w:pStyle w:val="Normal"/></w:pPr>
<w:r><w:t xml:space="preserve">RCS.NHR + NH3.  With b-ketonic esters, HO(CH3)C:CH.CO2R,</w:t></w:r>
</w:p>
<w:p>
<w:pPr><w:pStyle w:val="Normal"/></w:pPr>
<w:r><w:t xml:space="preserve">they yield oxypyrimidines (A. Pinner, Ber., 1890, 23, p. 3820).</w:t></w:r>
</w:p>
<w:p>
<w:pPr><w:pStyle w:val="Normal"/></w:pPr>
<w:r><w:t xml:space="preserve">Formamidine, HC:(NH)NH2, is only known in the form of</w:t></w:r>
</w:p>
<w:p>
<w:pPr><w:pStyle w:val="Normal"/></w:pPr>
<w:r><w:t xml:space="preserve">its salts, the hydrochloride being obtained by the action</w:t></w:r>
</w:p>
<w:p>
<w:pPr><w:pStyle w:val="Normal"/></w:pPr>
<w:r><w:t xml:space="preserve">of ammonia on the hydrochloride of formimido-ethyl ether</w:t></w:r>
</w:p>
<w:p>
<w:pPr><w:pStyle w:val="Normal"/></w:pPr>
<w:r><w:t xml:space="preserve">(A. Pinner, Ber., 1883, 16, p. 357). Acetamidine,</w:t></w:r>
</w:p>
<w:p>
<w:pPr><w:pStyle w:val="Normal"/></w:pPr>
<w:r><w:t xml:space="preserve">CH3C:(NH).NH2, is alkaline in reaction, and readily</w:t></w:r>
</w:p>
<w:p>
<w:pPr><w:pStyle w:val="Normal"/></w:pPr>
<w:r><w:t xml:space="preserve">splits up into acetic acid and ammonia when warmed with</w:t></w:r>
</w:p>
<w:p>
<w:pPr><w:pStyle w:val="Normal"/></w:pPr>
<w:r><w:t xml:space="preserve">acids.  Its hydrochloride melts at 163 deg.  C., and crystallizes</w:t></w:r>
</w:p>
<w:p>
<w:pPr><w:pStyle w:val="Normal"/></w:pPr>
<w:r><w:t xml:space="preserve">from alcohol in colourless deliquescent prisms.  Acetic</w:t></w:r>
</w:p>
<w:p>
<w:pPr><w:pStyle w:val="Normal"/></w:pPr>
<w:r><w:t xml:space="preserve">anhydride converts the base into an acetamino-dimethyl</w:t></w:r>
</w:p>
<w:p>
<w:pPr><w:pStyle w:val="Normal"/></w:pPr>
<w:r><w:t xml:space="preserve">pyrimidine, acetic acid and acetamide being also formed.</w:t></w:r>
</w:p>
<w:p>
<w:pPr><w:pStyle w:val="Normal"/></w:pPr>
<w:r><w:t xml:space="preserve">Benzamidine, C6H5.C:(NH)NH2, forms colourless crystals</w:t></w:r>
</w:p>
<w:p>
<w:pPr><w:pStyle w:val="Normal"/></w:pPr>
<w:r><w:t xml:space="preserve">which melt at 75-80 deg.  C. When warmed it breaks down into ammonia</w:t></w:r>
</w:p>
<w:p>
<w:pPr><w:pStyle w:val="Normal"/></w:pPr>
<w:r><w:t xml:space="preserve">and cyanphenine (s-triphenyl triazine).  It condenses with</w:t></w:r>
</w:p>
<w:p>
<w:pPr><w:pStyle w:val="Normal"/></w:pPr>
<w:r><w:t xml:space="preserve">acetic anhydride to form a methyldiphenyl triazine, acetamide</w:t></w:r>
</w:p>
<w:p>
<w:pPr><w:pStyle w:val="Normal"/></w:pPr>
<w:r><w:t xml:space="preserve">being also formed; with acetyl-acetone to form dimethylphenyl</w:t></w:r>
</w:p>
<w:p>
<w:pPr><w:pStyle w:val="Normal"/></w:pPr>
<w:r><w:t xml:space="preserve">pyrimidine (A. Pinner, Ber., 1893, 26, p. 2125); and with</w:t></w:r>
</w:p>
<w:p>
<w:pPr><w:pStyle w:val="Normal"/></w:pPr>
<w:r><w:t xml:space="preserve">trimethylene bromide to form a phenyl tetrahydropyrimidine</w:t></w:r>
</w:p>
<w:p>
<w:pPr><w:pStyle w:val="Normal"/></w:pPr>
<w:r><w:t xml:space="preserve">(Pinner).  H. v.  Pechmann (Ber., 1895, 28, p. 2362) has</w:t></w:r>
</w:p>
<w:p>
<w:pPr><w:pStyle w:val="Normal"/></w:pPr>
<w:r><w:t xml:space="preserve">shown that amidines of the type R.C: (NY).NHZ sometimes</w:t></w:r>
</w:p>
<w:p>
<w:pPr><w:pStyle w:val="Normal"/></w:pPr>
<w:r><w:t xml:space="preserve">react as if they possessed the constitution R.C: (NZ).NHY;</w:t></w:r>
</w:p>
<w:p>
<w:pPr><w:pStyle w:val="Normal"/></w:pPr>
<w:r><w:t xml:space="preserve">but this only appears to occur when Y and Z are groups which</w:t></w:r>
</w:p>
<w:p>
<w:pPr><w:pStyle w:val="Normal"/></w:pPr>
<w:r><w:t xml:space="preserve">function in the same way.  If Y and Z are groups which behave</w:t></w:r>
</w:p>
<w:p>
<w:pPr><w:pStyle w:val="Normal"/></w:pPr>
<w:r><w:t xml:space="preserve">very differently, then there is apparently no tautomerism</w:t></w:r>
</w:p>
<w:p>
<w:pPr><w:pStyle w:val="Normal"/></w:pPr>
<w:r><w:t xml:space="preserve">and a definite formula can be given to the compound.</w:t></w:r>
</w:p>
<w:p>
<w:pPr><w:pStyle w:val="Normal"/></w:pPr>
<w:r><w:t xml:space="preserve">The formulae of the ringed compounds mentioned above are here shown:</w:t></w:r>
</w:p>
<w:p>
<w:pPr><w:pStyle w:val="Normal"/></w:pPr>
<w:r><w:t xml:space="preserve">N--C--(CH3)</w:t></w:r>
</w:p>
<w:p>
<w:pPr><w:pStyle w:val="Normal"/></w:pPr>
<w:r><w:t xml:space="preserve">//   \\</w:t></w:r>
</w:p>
<w:p>
<w:pPr><w:pStyle w:val="Normal"/></w:pPr>
<w:r><w:t xml:space="preserve">R.C      CH</w:t></w:r>
</w:p>
<w:p>
<w:pPr><w:pStyle w:val="Normal"/></w:pPr>
<w:r><w:t xml:space="preserve">\    /</w:t></w:r>
</w:p>
<w:p>
<w:pPr><w:pStyle w:val="Normal"/></w:pPr>
<w:r><w:t xml:space="preserve">N==C--(OH)</w:t></w:r>
</w:p>
<w:p>
<w:pPr><w:pStyle w:val="Normal"/></w:pPr>
<w:r><w:t xml:space="preserve">Oxypyrimidine.</w:t></w:r>
</w:p>
<w:p>
<w:pPr><w:pStyle w:val="Normal"/></w:pPr>
<w:r><w:t xml:space="preserve">N--C--(CH3)</w:t></w:r>
</w:p>
<w:p>
<w:pPr><w:pStyle w:val="Normal"/></w:pPr>
<w:r><w:t xml:space="preserve">//   \\</w:t></w:r>
</w:p>
<w:p>
<w:pPr><w:pStyle w:val="Normal"/></w:pPr>
<w:r><w:t xml:space="preserve">CH3.C      CH</w:t></w:r>
</w:p>
<w:p>
<w:pPr><w:pStyle w:val="Normal"/></w:pPr>
<w:r><w:t xml:space="preserve">\    /</w:t></w:r>
</w:p>
<w:p>
<w:pPr><w:pStyle w:val="Normal"/></w:pPr>
<w:r><w:t xml:space="preserve">N==C--(NHCOCH3)</w:t></w:r>
</w:p>
<w:p>
<w:pPr><w:pStyle w:val="Normal"/></w:pPr>
<w:r><w:t xml:space="preserve">Acetaminodimethyl pyrimidine.</w:t></w:r>
</w:p>
<w:p>
<w:pPr><w:pStyle w:val="Normal"/></w:pPr>
<w:r><w:t xml:space="preserve">C6H5</w:t></w:r>
</w:p>
<w:p>
<w:pPr><w:pStyle w:val="Normal"/></w:pPr>
<w:r><w:t xml:space="preserve">/</w:t></w:r>
</w:p>
<w:p>
<w:pPr><w:pStyle w:val="Normal"/></w:pPr>
<w:r><w:t xml:space="preserve">N--C</w:t></w:r>
</w:p>
<w:p>
<w:pPr><w:pStyle w:val="Normal"/></w:pPr>
<w:r><w:t xml:space="preserve">//   \\</w:t></w:r>
</w:p>
<w:p>
<w:pPr><w:pStyle w:val="Normal"/></w:pPr>
<w:r><w:t xml:space="preserve">C6H5.C      N</w:t></w:r>
</w:p>
<w:p>
<w:pPr><w:pStyle w:val="Normal"/></w:pPr>
<w:r><w:t xml:space="preserve">\    /</w:t></w:r>
</w:p>
<w:p>
<w:pPr><w:pStyle w:val="Normal"/></w:pPr>
<w:r><w:t xml:space="preserve">N==C</w:t></w:r>
</w:p>
<w:p>
<w:pPr><w:pStyle w:val="Normal"/></w:pPr>
<w:r><w:t xml:space="preserve">\</w:t></w:r>
</w:p>
<w:p>
<w:pPr><w:pStyle w:val="Normal"/></w:pPr>
<w:r><w:t xml:space="preserve">CH3</w:t></w:r>
</w:p>
<w:p>
<w:pPr><w:pStyle w:val="Normal"/></w:pPr>
<w:r><w:t xml:space="preserve">Methyl diphenyl triazine.</w:t></w:r>
</w:p>
<w:p>
<w:pPr><w:pStyle w:val="Normal"/></w:pPr>
<w:r><w:t xml:space="preserve">N--CH2</w:t></w:r>
</w:p>
<w:p>
<w:pPr><w:pStyle w:val="Normal"/></w:pPr>
<w:r><w:t xml:space="preserve">//    \</w:t></w:r>
</w:p>
<w:p>
<w:pPr><w:pStyle w:val="Normal"/></w:pPr>
<w:r><w:t xml:space="preserve">C6H5.C       CH2</w:t></w:r>
</w:p>
<w:p>
<w:pPr><w:pStyle w:val="Normal"/></w:pPr>
<w:r><w:t xml:space="preserve">\     /</w:t></w:r>
</w:p>
<w:p>
<w:pPr><w:pStyle w:val="Normal"/></w:pPr>
<w:r><w:t xml:space="preserve">NH--CH2</w:t></w:r>
</w:p>
<w:p>
<w:pPr><w:pStyle w:val="Normal"/></w:pPr>
<w:r><w:t xml:space="preserve">Phenyl tetrahydropyrimidine.</w:t></w:r>
</w:p>
<w:p>
<w:pPr><w:pStyle w:val="Normal"/></w:pPr>
<w:r><w:t xml:space="preserve">AMIEL, HENRI FREDERIC (1821-1881), Swiss philosopher</w:t></w:r>
</w:p>
<w:p>
<w:pPr><w:pStyle w:val="Normal"/></w:pPr>
<w:r><w:t xml:space="preserve">and critic, was born at Geneva on the 27th of September</w:t></w:r>
</w:p>
<w:p>
<w:pPr><w:pStyle w:val="Normal"/></w:pPr>
<w:r><w:t xml:space="preserve">1821.  He was descended from a Huguenot family driven to</w:t></w:r>
</w:p>
<w:p>
<w:pPr><w:pStyle w:val="Normal"/></w:pPr>
<w:r><w:t xml:space="preserve">Switzerland by the revocation of the edict of Nantes.  Losing</w:t></w:r>
</w:p>
<w:p>
<w:pPr><w:pStyle w:val="Normal"/></w:pPr>
<w:r><w:t xml:space="preserve">his parents at an early age, he travelled widely, became</w:t></w:r>
</w:p>
<w:p>
<w:pPr><w:pStyle w:val="Normal"/></w:pPr>
<w:r><w:t xml:space="preserve">intimate with the intellectual leaders of Europe and made</w:t></w:r>
</w:p>
<w:p>
<w:pPr><w:pStyle w:val="Normal"/></w:pPr>
<w:r><w:t xml:space="preserve">a special study of German philosophy in Berlin.  In 1849</w:t></w:r>
</w:p>
<w:p>
<w:pPr><w:pStyle w:val="Normal"/></w:pPr>
<w:r><w:t xml:space="preserve">he was appointed professor of aesthetics at the academy of</w:t></w:r>
</w:p>
<w:p>
<w:pPr><w:pStyle w:val="Normal"/></w:pPr>
<w:r><w:t xml:space="preserve">Geneva, and in 1854 became professor of moral philosophy.</w:t></w:r>
</w:p>
<w:p>
<w:pPr><w:pStyle w:val="Normal"/></w:pPr>
<w:r><w:t xml:space="preserve">These appointments, conferred by the democratic party,</w:t></w:r>
</w:p>
<w:p>
<w:pPr><w:pStyle w:val="Normal"/></w:pPr>
<w:r><w:t xml:space="preserve">deprived him of the support of the aristocratic party; which</w:t></w:r>
</w:p>
<w:p>
<w:pPr><w:pStyle w:val="Normal"/></w:pPr>
<w:r><w:t xml:space="preserve">comprised nearly all the culture of the city.  This isolation</w:t></w:r>
</w:p>
<w:p>
<w:pPr><w:pStyle w:val="Normal"/></w:pPr>
<w:r><w:t xml:space="preserve">inspired the one book by which Amiel lives, the Journal</w:t></w:r>
</w:p>
<w:p>
<w:pPr><w:pStyle w:val="Normal"/></w:pPr>
<w:r><w:t xml:space="preserve">Intime, which, published after his death, obtained a European</w:t></w:r>
</w:p>
<w:p>
<w:pPr><w:pStyle w:val="Normal"/></w:pPr>
<w:r><w:t xml:space="preserve">reputation.  It was translated into English by Mrs Humphry</w:t></w:r>
</w:p>
<w:p>
<w:pPr><w:pStyle w:val="Normal"/></w:pPr>
<w:r><w:t xml:space="preserve">Ward.  Although second-rate as regards productive power,</w:t></w:r>
</w:p>
<w:p>
<w:pPr><w:pStyle w:val="Normal"/></w:pPr>
<w:r><w:t xml:space="preserve">Amiel&apos;s mind was of no inferior quality, and his journal</w:t></w:r>
</w:p>
<w:p>
<w:pPr><w:pStyle w:val="Normal"/></w:pPr>
<w:r><w:t xml:space="preserve">gained a sympathy which the author had failed to obtain in his</w:t></w:r>
</w:p>
<w:p>
<w:pPr><w:pStyle w:val="Normal"/></w:pPr>
<w:r><w:t xml:space="preserve">life.  In addition to the Journal, he produced several</w:t></w:r>
</w:p>
<w:p>
<w:pPr><w:pStyle w:val="Normal"/></w:pPr>
<w:r><w:t xml:space="preserve">volumes of poetry and wrote studies on Erasmus, Madame de Stael</w:t></w:r>
</w:p>
<w:p>
<w:pPr><w:pStyle w:val="Normal"/></w:pPr>
<w:r><w:t xml:space="preserve">and other writers.  He died in Geneva on the 11th of March</w:t></w:r>
</w:p>
<w:p>
<w:pPr><w:pStyle w:val="Normal"/></w:pPr>
<w:r><w:t xml:space="preserve">1881.  His chief poetical works are Grains de mil, Il</w:t></w:r>
</w:p>
<w:p>
<w:pPr><w:pStyle w:val="Normal"/></w:pPr>
<w:r><w:t xml:space="preserve">penseroso, Part du reve, Les Etrangeres, Charles</w:t></w:r>
</w:p>
<w:p>
<w:pPr><w:pStyle w:val="Normal"/></w:pPr>
<w:r><w:t xml:space="preserve">le Temeraire, Romancero historique, Jour a jour.</w:t></w:r>
</w:p>
<w:p>
<w:pPr><w:pStyle w:val="Normal"/></w:pPr>
<w:r><w:t xml:space="preserve">See Life of Amiel by Mdlle Berthe Vadier (Paris, 1885); Paul</w:t></w:r>
</w:p>
<w:p>
<w:pPr><w:pStyle w:val="Normal"/></w:pPr>
<w:r><w:t xml:space="preserve">Bourget, Nouveaux essais (Paris, 1885); E. Scherer, introd. to</w:t></w:r>
</w:p>
<w:p>
<w:pPr><w:pStyle w:val="Normal"/></w:pPr>
<w:r><w:t xml:space="preserve">the Journal and in Etudes sur la litt. contemp. (vol. viii.).</w:t></w:r>
</w:p>
<w:p>
<w:pPr><w:pStyle w:val="Normal"/></w:pPr>
<w:r><w:t xml:space="preserve">AMIENS, a city of northern France, capital of the</w:t></w:r>
</w:p>
<w:p>
<w:pPr><w:pStyle w:val="Normal"/></w:pPr>
<w:r><w:t xml:space="preserve">department of Somme, on the left bank of the Somme, 81</w:t></w:r>
</w:p>
<w:p>
<w:pPr><w:pStyle w:val="Normal"/></w:pPr>
<w:r><w:t xml:space="preserve">m.  N. of Paris on the Northern railway to Calais.  Pop. (1906)</w:t></w:r>
</w:p>
<w:p>
<w:pPr><w:pStyle w:val="Normal"/></w:pPr>
<w:r><w:t xml:space="preserve">78,407.  Amiens was once a place of great strength, and still</w:t></w:r>
</w:p>
<w:p>
<w:pPr><w:pStyle w:val="Normal"/></w:pPr>
<w:r><w:t xml:space="preserve">possesses a citadel of the end of the 16th century, but the</w:t></w:r>
</w:p>
<w:p>
<w:pPr><w:pStyle w:val="Normal"/></w:pPr>
<w:r><w:t xml:space="preserve">ramparts which surrounded it have been replaced by boulevards,</w:t></w:r>
</w:p>
<w:p>
<w:pPr><w:pStyle w:val="Normal"/></w:pPr>
<w:r><w:t xml:space="preserve">bordered by handsome residences.  Suburbs, themselves bounded</w:t></w:r>
</w:p>
<w:p>
<w:pPr><w:pStyle w:val="Normal"/></w:pPr>
<w:r><w:t xml:space="preserve">by another line of boulevards, have arisen beyond these</w:t></w:r>
</w:p>
<w:p>
<w:pPr><w:pStyle w:val="Normal"/></w:pPr>
<w:r><w:t xml:space="preserve">limits, and the city also extends to the right bank of the</w:t></w:r>
</w:p>
<w:p>
<w:pPr><w:pStyle w:val="Normal"/></w:pPr>
<w:r><w:t xml:space="preserve">Somme.  The busy quarter of Amiens lies between the river</w:t></w:r>
</w:p>
<w:p>
<w:pPr><w:pStyle w:val="Normal"/></w:pPr>
<w:r><w:t xml:space="preserve">and the railway, which for some distance follows the inner</w:t></w:r>
</w:p>
<w:p>
<w:pPr><w:pStyle w:val="Normal"/></w:pPr>
<w:r><w:t xml:space="preserve">line of boulevards.  The older and more picturesque quarter</w:t></w:r>
</w:p>
<w:p>
<w:pPr><w:pStyle w:val="Normal"/></w:pPr>
<w:r><w:t xml:space="preserve">is situated directly on the Somme; its narrow and irregular</w:t></w:r>
</w:p>
<w:p>
<w:pPr><w:pStyle w:val="Normal"/></w:pPr>
<w:r><w:t xml:space="preserve">streets are intersected by the eleven arms of the river and</w:t></w:r>
</w:p>
<w:p>
<w:pPr><w:pStyle w:val="Normal"/></w:pPr>
<w:r><w:t xml:space="preserve">it is skirted on the north by the canal derived therefrom.</w:t></w:r>
</w:p>
<w:p>
<w:pPr><w:pStyle w:val="Normal"/></w:pPr>
<w:r><w:t xml:space="preserve">Besides its boulevards Amiens has the ample park or Promenade</w:t></w:r>
</w:p>
<w:p>
<w:pPr><w:pStyle w:val="Normal"/></w:pPr>
<w:r><w:t xml:space="preserve">de la Hotoie to the west and several fine squares, notably</w:t></w:r>
</w:p>
<w:p>
<w:pPr><w:pStyle w:val="Normal"/></w:pPr>
<w:r><w:t xml:space="preserve">the Place Longueville and the Place St Denis, in which</w:t></w:r>
</w:p>
<w:p>
<w:pPr><w:pStyle w:val="Normal"/></w:pPr>
<w:r><w:t xml:space="preserve">stands the statue of the famous 17th-century scholar Charles</w:t></w:r>
</w:p>
<w:p>
<w:pPr><w:pStyle w:val="Normal"/></w:pPr>
<w:r><w:t xml:space="preserve">Ducange.  The cathedral (see ARCHITECTURE: Romanesque and</w:t></w:r>
</w:p>
<w:p>
<w:pPr><w:pStyle w:val="Normal"/></w:pPr>
<w:r><w:t xml:space="preserve">Gothic Architecture in France; and CATHEDRAL), which is</w:t></w:r>
</w:p>
<w:p>
<w:pPr><w:pStyle w:val="Normal"/></w:pPr>
<w:r><w:t xml:space="preserve">perhaps the finest church of Gothic architecture in France,</w:t></w:r>
</w:p>
<w:p>
<w:pPr><w:pStyle w:val="Normal"/></w:pPr>
<w:r><w:t xml:space="preserve">far exceeds the other buildings of the town in importance.</w:t></w:r>
</w:p>
<w:p>
<w:pPr><w:pStyle w:val="Normal"/></w:pPr>
<w:r><w:t xml:space="preserve">Erected on the plans of Robert de Luzarches, chiefly between</w:t></w:r>
</w:p>
<w:p>
<w:pPr><w:pStyle w:val="Normal"/></w:pPr>
<w:r><w:t xml:space="preserve">1220 and 1288, it consists of a nave, nearly 140 ft. in height,</w:t></w:r>
</w:p>
<w:p>
<w:pPr><w:pStyle w:val="Normal"/></w:pPr>
<w:r><w:t xml:space="preserve">with aisles and lateral chapels, a transept with aisles, and</w:t></w:r>
</w:p>
<w:p>
<w:pPr><w:pStyle w:val="Normal"/></w:pPr>
<w:r><w:t xml:space="preserve">a choir (with deambulatory) ending in an apse surrounded by</w:t></w:r>
</w:p>
<w:p>
<w:pPr><w:pStyle w:val="Normal"/></w:pPr>
<w:r><w:t xml:space="preserve">chapels.  The total length is 469 ft., the breadth 216</w:t></w:r>
</w:p>
<w:p>
<w:pPr><w:pStyle w:val="Normal"/></w:pPr>
<w:r><w:t xml:space="preserve">ft.  The facade, which is flanked by two square towers</w:t></w:r>
</w:p>
<w:p>
<w:pPr><w:pStyle w:val="Normal"/></w:pPr>
<w:r><w:t xml:space="preserve">without spires, has three portals decorated with a profusion</w:t></w:r>
</w:p>
<w:p>
<w:pPr><w:pStyle w:val="Normal"/></w:pPr>
<w:r><w:t xml:space="preserve">of statuary, the central portal having a remarkable statue</w:t></w:r>
</w:p>
<w:p>
<w:pPr><w:pStyle w:val="Normal"/></w:pPr>
<w:r><w:t xml:space="preserve">of Christ of the 13th century; they are surmounted by two</w:t></w:r>
</w:p>
<w:p>
<w:pPr><w:pStyle w:val="Normal"/></w:pPr>
<w:r><w:t xml:space="preserve">galleries, the upper one containing twenty-two statues of the</w:t></w:r>
</w:p>
<w:p>
<w:pPr><w:pStyle w:val="Normal"/></w:pPr>
<w:r><w:t xml:space="preserve">kings of Judah in its arcades, and by a fine rose-window.</w:t></w:r>
</w:p>
<w:p>
<w:pPr><w:pStyle w:val="Normal"/></w:pPr>
<w:r><w:t xml:space="preserve">A slender spire rises above the crossing.  The southern</w:t></w:r>
</w:p>
<w:p>
<w:pPr><w:pStyle w:val="Normal"/></w:pPr>
<w:r><w:t xml:space="preserve">portal is remarkable for a figure of the Virgin and other</w:t></w:r>
</w:p>
<w:p>
<w:pPr><w:pStyle w:val="Normal"/></w:pPr>
<w:r><w:t xml:space="preserve">statuary.  In the interior, which contains beautifully carved</w:t></w:r>
</w:p>
<w:p>
<w:pPr><w:pStyle w:val="Normal"/></w:pPr>
<w:r><w:t xml:space="preserve">stalls, a choir-screen in the flamboyant style and many</w:t></w:r>
</w:p>
<w:p>
<w:pPr><w:pStyle w:val="Normal"/></w:pPr>
<w:r><w:t xml:space="preserve">other works of art, the most striking features are the height</w:t></w:r>
</w:p>
<w:p>
<w:pPr><w:pStyle w:val="Normal"/></w:pPr>
<w:r><w:t xml:space="preserve">of the nave and the boldness of the columns supporting the</w:t></w:r>
</w:p>
<w:p>
<w:pPr><w:pStyle w:val="Normal"/></w:pPr>
<w:r><w:t xml:space="preserve">vaulting.  The chief of the other churches of Amiens is</w:t></w:r>
</w:p>
<w:p>
<w:pPr><w:pStyle w:val="Normal"/></w:pPr>
<w:r><w:t xml:space="preserve">St Germain (15th century), which has some good stained</w:t></w:r>
</w:p>
<w:p>
<w:pPr><w:pStyle w:val="Normal"/></w:pPr>
<w:r><w:t xml:space="preserve">glass.  The hotel de ville, begun in 1550, a belfry of</w:t></w:r>
</w:p>
<w:p>
<w:pPr><w:pStyle w:val="Normal"/></w:pPr>
<w:r><w:t xml:space="preserve">the 14th and 18th centuries and several old mansions are of</w:t></w:r>
</w:p>
<w:p>
<w:pPr><w:pStyle w:val="Normal"/></w:pPr>
<w:r><w:t xml:space="preserve">interest.  Amiens has a rich library and admirable collections</w:t></w:r>
</w:p>
<w:p>
<w:pPr><w:pStyle w:val="Normal"/></w:pPr>
<w:r><w:t xml:space="preserve">of paintings, sculptures and antiquities in the museum of</w:t></w:r>
</w:p>
<w:p>
<w:pPr><w:pStyle w:val="Normal"/></w:pPr>
<w:r><w:t xml:space="preserve">Picardy.  Its learned associations include the Societe</w:t></w:r>
</w:p>
<w:p>
<w:pPr><w:pStyle w:val="Normal"/></w:pPr>
<w:r><w:t xml:space="preserve">des Antiquaires de Picardie, by whom the museum was built in</w:t></w:r>
</w:p>
<w:p>
<w:pPr><w:pStyle w:val="Normal"/></w:pPr>
<w:r><w:t xml:space="preserve">1854-1864.  The city is the seat of a bishop, a prefect,</w:t></w:r>
</w:p>
<w:p>
<w:pPr><w:pStyle w:val="Normal"/></w:pPr>
<w:r><w:t xml:space="preserve">a court of appeal and a court of assizes, and headquarters</w:t></w:r>
</w:p>
<w:p>
<w:pPr><w:pStyle w:val="Normal"/></w:pPr>
<w:r><w:t xml:space="preserve">of the II. Army Corps.  There are also tribunals of first</w:t></w:r>
</w:p>
<w:p>
<w:pPr><w:pStyle w:val="Normal"/></w:pPr>
<w:r><w:t xml:space="preserve">instance and of commerce, a board of trade-arbitrators, a</w:t></w:r>
</w:p>
<w:p>
<w:pPr><w:pStyle w:val="Normal"/></w:pPr>
<w:r><w:t xml:space="preserve">chamber of commerce and a branch of the Bank of France.</w:t></w:r>
</w:p>
<w:p>
<w:pPr><w:pStyle w:val="Normal"/></w:pPr>
<w:r><w:t xml:space="preserve">The educational institutions include lycees for boys and</w:t></w:r>
</w:p>
<w:p>
<w:pPr><w:pStyle w:val="Normal"/></w:pPr>
<w:r><w:t xml:space="preserve">girls, training-colleges for teachers, a preparatory school of</w:t></w:r>
</w:p>
<w:p>
<w:pPr><w:pStyle w:val="Normal"/></w:pPr>
<w:r><w:t xml:space="preserve">medicine, a school of music and a school of iron-working and</w:t></w:r>
</w:p>
<w:p>
<w:pPr><w:pStyle w:val="Normal"/></w:pPr>
<w:r><w:t xml:space="preserve">wood-working.  The textile industries for which Amiens has</w:t></w:r>
</w:p>
<w:p>
<w:pPr><w:pStyle w:val="Normal"/></w:pPr>
<w:r><w:t xml:space="preserve">been celebrated since the middle ages include manufactures</w:t></w:r>
</w:p>
<w:p>
<w:pPr><w:pStyle w:val="Normal"/></w:pPr>
<w:r><w:t xml:space="preserve">of velvet, cotton-, wool-, silk-, hemp- and flax-spinning,</w:t></w:r>
</w:p>
<w:p>
<w:pPr><w:pStyle w:val="Normal"/></w:pPr>
<w:r><w:t xml:space="preserve">and the weaving of hosiery and a variety of mixed fabrics.</w:t></w:r>
</w:p>
<w:p>
<w:pPr><w:pStyle w:val="Normal"/></w:pPr>
<w:r><w:t xml:space="preserve">Manufactures of machinery, chemicals, blacking, polish and</w:t></w:r>
</w:p>
<w:p>
<w:pPr><w:pStyle w:val="Normal"/></w:pPr>
<w:r><w:t xml:space="preserve">sugar, and printing, dyeing and iron-founding are also carried</w:t></w:r>
</w:p>
<w:p>
<w:pPr><w:pStyle w:val="Normal"/></w:pPr>
<w:r><w:t xml:space="preserve">on.  Market gardens, known as hortillonnages, intersected</w:t></w:r>
</w:p>
<w:p>
<w:pPr><w:pStyle w:val="Normal"/></w:pPr>
<w:r><w:t xml:space="preserve">by small canals derived from the Somme and Avre, cover a</w:t></w:r>
</w:p>
<w:p>
<w:pPr><w:pStyle w:val="Normal"/></w:pPr>
<w:r><w:t xml:space="preserve">considerable area to the north-east of Amiens; and the city has</w:t></w:r>
</w:p>
<w:p>
<w:pPr><w:pStyle w:val="Normal"/></w:pPr>
<w:r><w:t xml:space="preserve">trade in vegetables, as well as in grain, sugar, wool, oil-seeds</w:t></w:r>
</w:p>
<w:p>
<w:pPr><w:pStyle w:val="Normal"/></w:pPr>
<w:r><w:t xml:space="preserve">and the duck-pasties and macaroons for which it is renowned.</w:t></w:r>
</w:p>
<w:p>
<w:pPr><w:pStyle w:val="Normal"/></w:pPr>
<w:r><w:t xml:space="preserve">Amiens occupies the site of the ancient Samarobriva, capital</w:t></w:r>
</w:p>
<w:p>
<w:pPr><w:pStyle w:val="Normal"/></w:pPr>
<w:r><w:t xml:space="preserve">of the Ambiani, from whom it probably derives its name.  At the</w:t></w:r>
</w:p>
<w:p>
<w:pPr><w:pStyle w:val="Normal"/></w:pPr>
<w:r><w:t xml:space="preserve">beginning of the 4th century Christianity was preached there</w:t></w:r>
</w:p>
<w:p>
<w:pPr><w:pStyle w:val="Normal"/></w:pPr>
<w:r><w:t xml:space="preserve">by St Firmin, its first bishop.  During the middle ages its</w:t></w:r>
</w:p>
<w:p>
<w:pPr><w:pStyle w:val="Normal"/></w:pPr>
<w:r><w:t xml:space="preserve">territory formed the countship of Amienois.  The authority</w:t></w:r>
</w:p>
<w:p>
<w:pPr><w:pStyle w:val="Normal"/></w:pPr>
<w:r><w:t xml:space="preserve">of the counts was, however, balanced by that of the bishops,</w:t></w:r>
</w:p>
<w:p>
<w:pPr><w:pStyle w:val="Normal"/></w:pPr>
<w:r><w:t xml:space="preserve">and early in the 12th century the citizens, profiting by this</w:t></w:r>
</w:p>
<w:p>
<w:pPr><w:pStyle w:val="Normal"/></w:pPr>
<w:r><w:t xml:space="preserve">rivalry, gained a charter of enfranchisement.  The fief became</w:t></w:r>
</w:p>
<w:p>
<w:pPr><w:pStyle w:val="Normal"/></w:pPr>
<w:r><w:t xml:space="preserve">for the first time a dependency of the French crown in 1185,</w:t></w:r>
</w:p>
<w:p>
<w:pPr><w:pStyle w:val="Normal"/></w:pPr>
<w:r><w:t xml:space="preserve">when Philip of Alsace, count of Flanders, ceded it to Philip</w:t></w:r>
</w:p>
<w:p>
<w:pPr><w:pStyle w:val="Normal"/></w:pPr>
<w:r><w:t xml:space="preserve">Augustus.  It more than once passed out of the power of the</w:t></w:r>
</w:p>
<w:p>
<w:pPr><w:pStyle w:val="Normal"/></w:pPr>
<w:r><w:t xml:space="preserve">French kings, notably in 1435, when, by the treaty of Arras,</w:t></w:r>
</w:p>
<w:p>
<w:pPr><w:pStyle w:val="Normal"/></w:pPr>
<w:r><w:t xml:space="preserve">it came into the possession of the dukes of Burgundy, to whom</w:t></w:r>
</w:p>
<w:p>
<w:pPr><w:pStyle w:val="Normal"/></w:pPr>
<w:r><w:t xml:space="preserve">it belonged till 1477.  Surprised by the Spaniards in 1597,</w:t></w:r>
</w:p>
<w:p>
<w:pPr><w:pStyle w:val="Normal"/></w:pPr>
<w:r><w:t xml:space="preserve">the city was recaptured from them after a long siege by Henry</w:t></w:r>
</w:p>
<w:p>
<w:pPr><w:pStyle w:val="Heading1"/></w:pPr>
<w:r><w:t>IV. Till 1790 it was the capital of the gouvernement of</w:t></w:r>
</w:p>
<w:p>
<w:pPr><w:pStyle w:val="Normal"/></w:pPr>
<w:r><w:t xml:space="preserve">Picardy (q.v.).  The famous treaty between Great Britain,</w:t></w:r>
</w:p>
<w:p>
<w:pPr><w:pStyle w:val="Normal"/></w:pPr>
<w:r><w:t xml:space="preserve">France, Spain and Holland which took its name from Amiens</w:t></w:r>
</w:p>
<w:p>
<w:pPr><w:pStyle w:val="Normal"/></w:pPr>
<w:r><w:t xml:space="preserve">was signed in the hotel de ville on the 25th of March</w:t></w:r>
</w:p>
<w:p>
<w:pPr><w:pStyle w:val="Normal"/></w:pPr>
<w:r><w:t xml:space="preserve">1802.  During the war between France and Germany, Amiens,</w:t></w:r>
</w:p>
<w:p>
<w:pPr><w:pStyle w:val="Normal"/></w:pPr>
<w:r><w:t xml:space="preserve">after an important action, fell into the hands of the Prussians</w:t></w:r>
</w:p>
<w:p>
<w:pPr><w:pStyle w:val="Normal"/></w:pPr>
<w:r><w:t xml:space="preserve">on the 28th of November 1870. (See FRANCO-GERMAN WAR.)</w:t></w:r>
</w:p>
<w:p>
<w:pPr><w:pStyle w:val="Normal"/></w:pPr>
<w:r><w:t xml:space="preserve">See A. de Calonne, Histoire de la ville d&apos;Amiens</w:t></w:r>
</w:p>
<w:p>
<w:pPr><w:pStyle w:val="Normal"/></w:pPr>
<w:r><w:t xml:space="preserve">(1900); John Ruskin, The Bible of Amiens (1881); La</w:t></w:r>
</w:p>
<w:p>
<w:pPr><w:pStyle w:val="Normal"/></w:pPr>
<w:r><w:t xml:space="preserve">Picardie historique et monumentale, tome i., published</w:t></w:r>
</w:p>
<w:p>
<w:pPr><w:pStyle w:val="Normal"/></w:pPr>
<w:r><w:t xml:space="preserve">by the Societe des Antiquaires de Picardie (1893).</w:t></w:r>
</w:p>
<w:p>
<w:pPr><w:pStyle w:val="Normal"/></w:pPr>
<w:r><w:t xml:space="preserve">AMINES, in chemistry, derivatives of ammonia in which one</w:t></w:r>
</w:p>
<w:p>
<w:pPr><w:pStyle w:val="Normal"/></w:pPr>
<w:r><w:t xml:space="preserve">or more of the hydrogen atoms are replaced by alkyl or aryl</w:t></w:r>
</w:p>
<w:p>
<w:pPr><w:pStyle w:val="Normal"/></w:pPr>
<w:r><w:t xml:space="preserve">groups.  The replacement of one hydrogen atom by one alkyl</w:t></w:r>
</w:p>
<w:p>
<w:pPr><w:pStyle w:val="Normal"/></w:pPr>
<w:r><w:t xml:space="preserve">or aryl group gives rise to primary amines; of two hydrogen</w:t></w:r>
</w:p>
<w:p>
<w:pPr><w:pStyle w:val="Normal"/></w:pPr>
<w:r><w:t xml:space="preserve">atoms by two groups, to secondary amines; of three hydrogen</w:t></w:r>
</w:p>
<w:p>
<w:pPr><w:pStyle w:val="Normal"/></w:pPr>
<w:r><w:t xml:space="preserve">atoms by three groups, to tertiary amines.  The tertiary amines</w:t></w:r>
</w:p>
<w:p>
<w:pPr><w:pStyle w:val="Normal"/></w:pPr>
<w:r><w:t xml:space="preserve">possess the power of combining with one molecular proportion</w:t></w:r>
</w:p>
<w:p>
<w:pPr><w:pStyle w:val="Normal"/></w:pPr>
<w:r><w:t xml:space="preserve">of an alkyl iodide to form quaternary ammonium salts.  The</w:t></w:r>
</w:p>
<w:p>
<w:pPr><w:pStyle w:val="Normal"/></w:pPr>
<w:r><w:t xml:space="preserve">structural relations of these compounds may be shown thus:</w:t></w:r>
</w:p>
<w:p>
<w:pPr><w:pStyle w:val="Normal"/></w:pPr>
<w:r><w:t xml:space="preserve">NH3; NH2R; NHR2; NR3;</w:t></w:r>
</w:p>
<w:p>
<w:pPr><w:pStyle w:val="Normal"/></w:pPr>
<w:r><w:t xml:space="preserve">Ammonia; primary amine; secondary amine; tertiary amine;</w:t></w:r>
</w:p>
<w:p>
<w:pPr><w:pStyle w:val="Normal"/></w:pPr>
<w:r><w:t xml:space="preserve">NR4I.</w:t></w:r>
</w:p>
<w:p>
<w:pPr><w:pStyle w:val="Normal"/></w:pPr>
<w:r><w:t xml:space="preserve">quaternary ammonium iodide.</w:t></w:r>
</w:p>
<w:p>
<w:pPr><w:pStyle w:val="Normal"/></w:pPr>
<w:r><w:t xml:space="preserve">Aliphatic amines.--These compounds possess properties very</w:t></w:r>
</w:p>
<w:p>
<w:pPr><w:pStyle w:val="Normal"/></w:pPr>
<w:r><w:t xml:space="preserve">similar to those of ammonia, the lowest members of the series</w:t></w:r>
</w:p>
<w:p>
<w:pPr><w:pStyle w:val="Normal"/></w:pPr>
<w:r><w:t xml:space="preserve">being combustible gases readily soluble in water.  The next</w:t></w:r>
</w:p>
<w:p>
<w:pPr><w:pStyle w:val="Normal"/></w:pPr>
<w:r><w:t xml:space="preserve">higher members of the series are liquids of low boiling point</w:t></w:r>
</w:p>
<w:p>
<w:pPr><w:pStyle w:val="Normal"/></w:pPr>
<w:r><w:t xml:space="preserve">also readily soluble in water, the solubility and volatility,</w:t></w:r>
</w:p>
<w:p>
<w:pPr><w:pStyle w:val="Normal"/></w:pPr>
<w:r><w:t xml:space="preserve">however, decreasing with the increasing carbon content of</w:t></w:r>
</w:p>
<w:p>
<w:pPr><w:pStyle w:val="Normal"/></w:pPr>
<w:r><w:t xml:space="preserve">the molecule, until the highest members of the series are</w:t></w:r>
</w:p>
<w:p>
<w:pPr><w:pStyle w:val="Normal"/></w:pPr>
<w:r><w:t xml:space="preserve">odourless solids of high boiling point and are insoluble in</w:t></w:r>
</w:p>
<w:p>
<w:pPr><w:pStyle w:val="Normal"/></w:pPr>
<w:r><w:t xml:space="preserve">water.  They are all strong bases, readily forming salts with</w:t></w:r>
</w:p>
<w:p>
<w:pPr><w:pStyle w:val="Normal"/></w:pPr>
<w:r><w:t xml:space="preserve">the mineral acids and double salts with the chlorides of gold,</w:t></w:r>
</w:p>
<w:p>
<w:pPr><w:pStyle w:val="Normal"/></w:pPr>
<w:r><w:t xml:space="preserve">platinum and mercury.  They are ionized in aqueous solution</w:t></w:r>
</w:p>
<w:p>
<w:pPr><w:pStyle w:val="Normal"/></w:pPr>
<w:r><w:t xml:space="preserve">to a much greater extent than ammonia, the quaternary ammonium</w:t></w:r>
</w:p>
<w:p>
<w:pPr><w:pStyle w:val="Normal"/></w:pPr>
<w:r><w:t xml:space="preserve">bases being the most ionized, and the secondary bases being</w:t></w:r>
</w:p>
<w:p>
<w:pPr><w:pStyle w:val="Normal"/></w:pPr>
<w:r><w:t xml:space="preserve">more strongly ionized than the primary or tertiary bases.</w:t></w:r>
</w:p>
<w:p>
<w:pPr><w:pStyle w:val="Normal"/></w:pPr>
<w:r><w:t xml:space="preserve">For data concerning the conductivity of the organic bases</w:t></w:r>
</w:p>
<w:p>
<w:pPr><w:pStyle w:val="Normal"/></w:pPr>
<w:r><w:t xml:space="preserve">see G. Bredig (Zeit. fur phys.  Chem., 1894, 13, p. 289).</w:t></w:r>
</w:p>
<w:p>
<w:pPr><w:pStyle w:val="Normal"/></w:pPr>
<w:r><w:t xml:space="preserve">Many methods have been devised for the preparation of the</w:t></w:r>
</w:p>
<w:p>
<w:pPr><w:pStyle w:val="Normal"/></w:pPr>
<w:r><w:t xml:space="preserve">amines, the first amine having been isolated in 1849 by</w:t></w:r>
</w:p>
<w:p>
<w:pPr><w:pStyle w:val="Normal"/></w:pPr>
<w:r><w:t xml:space="preserve">A. Wurtz on boiling methyl isocyanate with caustic potash,</w:t></w:r>
</w:p>
<w:p>
<w:pPr><w:pStyle w:val="Normal"/></w:pPr>
<w:r><w:t xml:space="preserve">CON.CH3 + 2KHO = CH3NH2 + K2CO3.  The primary amines may</w:t></w:r>
</w:p>
<w:p>
<w:pPr><w:pStyle w:val="Normal"/></w:pPr>
<w:r><w:t xml:space="preserve">also be prepared by heating the alkyl iodides with ammonia</w:t></w:r>
</w:p>
<w:p>
<w:pPr><w:pStyle w:val="Normal"/></w:pPr>
<w:r><w:t xml:space="preserve">(A. W. Hofmann); by the reduction of nitriles with alcohol and</w:t></w:r>
</w:p>
<w:p>
<w:pPr><w:pStyle w:val="Normal"/></w:pPr>
<w:r><w:t xml:space="preserve">sodium (A. Ladenburg, Ber., 1886, 19, p. 783); by heating</w:t></w:r>
</w:p>
<w:p>
<w:pPr><w:pStyle w:val="Normal"/></w:pPr>
<w:r><w:t xml:space="preserve">the esters of nitric acid with alcoholic ammonia at 100 deg.</w:t></w:r>
</w:p>
<w:p>
<w:pPr><w:pStyle w:val="Heading1"/></w:pPr>
<w:r><w:t>C. (O. Wallach, Ber., 1881, 14, p. 421); by the action of</w:t></w:r>
</w:p>
<w:p>
<w:pPr><w:pStyle w:val="Normal"/></w:pPr>
<w:r><w:t xml:space="preserve">reducing agents on nitroparaffins; by the action of zinc and</w:t></w:r>
</w:p>
<w:p>
<w:pPr><w:pStyle w:val="Normal"/></w:pPr>
<w:r><w:t xml:space="preserve">hydrochloric acid on aldehyde ammonias (German Patent 73,812);</w:t></w:r>
</w:p>
<w:p>
<w:pPr><w:pStyle w:val="Normal"/></w:pPr>
<w:r><w:t xml:space="preserve">by the reduction of the phenylhydrazones and oximes of aldehydes</w:t></w:r>
</w:p>
<w:p>
<w:pPr><w:pStyle w:val="Normal"/></w:pPr>
<w:r><w:t xml:space="preserve">and ketones with sodium amalgam in the presence of alcohol</w:t></w:r>
</w:p>
<w:p>
<w:pPr><w:pStyle w:val="Normal"/></w:pPr>
<w:r><w:t xml:space="preserve">and sodium acetate (J. Tafel, Ber., 1886, 19, p. 1925; 1889,</w:t></w:r>
</w:p>
<w:p>
<w:pPr><w:pStyle w:val="Normal"/></w:pPr>
<w:r><w:t xml:space="preserve">22, p. 1854; H. Goldschmidt, Ber., 1886, 19, p. 3232); by</w:t></w:r>
</w:p>
<w:p>
<w:pPr><w:pStyle w:val="Normal"/></w:pPr>
<w:r><w:t xml:space="preserve">the action of dilute hydrochloric acid on the isonitriles, R.NC</w:t></w:r>
</w:p>
<w:p>
<w:pPr><w:pStyle w:val="Normal"/></w:pPr>
<w:r><w:t xml:space="preserve">+ 2H2O = R.NH2 + H2CO2; by heating the mustard oils with</w:t></w:r>
</w:p>
<w:p>
<w:pPr><w:pStyle w:val="Normal"/></w:pPr>
<w:r><w:t xml:space="preserve">a mineral acid, by the hydrolysis of the alkyl phthalimides</w:t></w:r>
</w:p>
<w:p>
<w:pPr><w:pStyle w:val="Normal"/></w:pPr>
<w:r><w:t xml:space="preserve">(S. Gabriel, Ber., 1887, 20, p. 2224; 1891, 24, p. 3104),</w:t></w:r>
</w:p>
<w:p>
<w:pPr><w:pStyle w:val="Normal"/></w:pPr>
<w:r><w:t xml:space="preserve">CO                   CO</w:t></w:r>
</w:p>
<w:p>
<w:pPr><w:pStyle w:val="Normal"/></w:pPr>
<w:r><w:t xml:space="preserve">/  \    RI           /  \    2H2O</w:t></w:r>
</w:p>
<w:p>
<w:pPr><w:pStyle w:val="Normal"/></w:pPr>
<w:r><w:t xml:space="preserve">C6H4   NK ---&gt; C6H4   NR --------&gt;</w:t></w:r>
</w:p>
<w:p>
<w:pPr><w:pStyle w:val="Normal"/></w:pPr>
<w:r><w:t xml:space="preserve">\  /                 \  /</w:t></w:r>
</w:p>
<w:p>
<w:pPr><w:pStyle w:val="Normal"/></w:pPr>
<w:r><w:t xml:space="preserve">CO                   CO</w:t></w:r>
</w:p>
<w:p>
<w:pPr><w:pStyle w:val="Normal"/></w:pPr>
<w:r><w:t xml:space="preserve">COOH</w:t></w:r>
</w:p>
<w:p>
<w:pPr><w:pStyle w:val="Normal"/></w:pPr>
<w:r><w:t xml:space="preserve">/</w:t></w:r>
</w:p>
<w:p>
<w:pPr><w:pStyle w:val="Normal"/></w:pPr>
<w:r><w:t xml:space="preserve">C6H4       + NH2R;</w:t></w:r>
</w:p>
<w:p>
<w:pPr><w:pStyle w:val="Normal"/></w:pPr>
<w:r><w:t xml:space="preserve">\</w:t></w:r>
</w:p>
<w:p>
<w:pPr><w:pStyle w:val="Normal"/></w:pPr>
<w:r><w:t xml:space="preserve">COOH</w:t></w:r>
</w:p>
<w:p>
<w:pPr><w:pStyle w:val="Normal"/></w:pPr>
<w:r><w:t xml:space="preserve">by distilling the amino-acids with baryta; by the action</w:t></w:r>
</w:p>
<w:p>
<w:pPr><w:pStyle w:val="Normal"/></w:pPr>
<w:r><w:t xml:space="preserve">of bromine and caustic potash on the acid-amides (A. W.</w:t></w:r>
</w:p>
<w:p>
<w:pPr><w:pStyle w:val="Normal"/></w:pPr>
<w:r><w:t xml:space="preserve">Hofmann, Ber., 1885, 18, p. 2734; 1886, 19, p. 1822);</w:t></w:r>
</w:p>
<w:p>
<w:pPr><w:pStyle w:val="Normal"/></w:pPr>
<w:r><w:t xml:space="preserve">CH3CONH2 --&gt; CH3CONHBr --&gt; CH3CONKBr --&gt;</w:t></w:r>
</w:p>
<w:p>
<w:pPr><w:pStyle w:val="Normal"/></w:pPr>
<w:r><w:t xml:space="preserve">CH3NCO --&gt; CH3NH2;</w:t></w:r>
</w:p>
<w:p>
<w:pPr><w:pStyle w:val="Normal"/></w:pPr>
<w:r><w:t xml:space="preserve">and by the hydrolysis of substituted urethanes (Th.</w:t></w:r>
</w:p>
<w:p>
<w:pPr><w:pStyle w:val="Normal"/></w:pPr>
<w:r><w:t xml:space="preserve">Curtius, Ber., 1894, 27, p. 779; 1896, 29, p. 1166),</w:t></w:r>
</w:p>
<w:p>
<w:pPr><w:pStyle w:val="Normal"/></w:pPr>
<w:r><w:t xml:space="preserve">N2H4.H20                 HONO</w:t></w:r>
</w:p>
<w:p>
<w:pPr><w:pStyle w:val="Normal"/></w:pPr>
<w:r><w:t xml:space="preserve">R.COOH --&gt; R.COOR1 ------------------&gt; R.CONH.NH2 -----&gt;</w:t></w:r>
</w:p>
<w:p>
<w:pPr><w:pStyle w:val="Normal"/></w:pPr>
<w:r><w:t xml:space="preserve">acid         ester                         hydrazide</w:t></w:r>
</w:p>
<w:p>
<w:pPr><w:pStyle w:val="Normal"/></w:pPr>
<w:r><w:t xml:space="preserve">C2H5OH                         HCI</w:t></w:r>
</w:p>
<w:p>
<w:pPr><w:pStyle w:val="Normal"/></w:pPr>
<w:r><w:t xml:space="preserve">R.CON3 -------------&gt; R.NH.CO2C2H5 ----&gt; R.NH2</w:t></w:r>
</w:p>
<w:p>
<w:pPr><w:pStyle w:val="Normal"/></w:pPr>
<w:r><w:t xml:space="preserve">azide                         urethane</w:t></w:r>
</w:p>
<w:p>
<w:pPr><w:pStyle w:val="Normal"/></w:pPr>
<w:r><w:t xml:space="preserve">The secondary amines are prepared, together with the primary and</w:t></w:r>
</w:p>
<w:p>
<w:pPr><w:pStyle w:val="Normal"/></w:pPr>
<w:r><w:t xml:space="preserve">tertiary, by the action of ammonia on the alkyl iodides (see</w:t></w:r>
</w:p>
<w:p>
<w:pPr><w:pStyle w:val="Normal"/></w:pPr>
<w:r><w:t xml:space="preserve">below), or by the hydrolysis of para-nitroso derivatives of</w:t></w:r>
</w:p>
<w:p>
<w:pPr><w:pStyle w:val="Normal"/></w:pPr>
<w:r><w:t xml:space="preserve">tertiary aromatic amines, such as para-nitrosodimethylaniline,</w:t></w:r>
</w:p>
<w:p>
<w:pPr><w:pStyle w:val="Normal"/></w:pPr>
<w:r><w:t xml:space="preserve">thus: NO.C6H4.N(CH3)2 + H2O = NO.C6H4.OH + NH(CH3)2.</w:t></w:r>
</w:p>
<w:p>
<w:pPr><w:pStyle w:val="Normal"/></w:pPr>
<w:r><w:t xml:space="preserve">By the action of ammonia on the alkyl iodides a complex</w:t></w:r>
</w:p>
<w:p>
<w:pPr><w:pStyle w:val="Normal"/></w:pPr>
<w:r><w:t xml:space="preserve">mixture of primary, secondary and tertiary amines, along with a</w:t></w:r>
</w:p>
<w:p>
<w:pPr><w:pStyle w:val="Normal"/></w:pPr>
<w:r><w:t xml:space="preserve">quaternary ammonium salt, is obtained, the separation of which is</w:t></w:r>
</w:p>
<w:p>
<w:pPr><w:pStyle w:val="Normal"/></w:pPr>
<w:r><w:t xml:space="preserve">difficult.  The method worked out by A. W. Hofmann is as</w:t></w:r>
</w:p>
<w:p>
<w:pPr><w:pStyle w:val="Normal"/></w:pPr>
<w:r><w:t xml:space="preserve">follows:--the mixture is distilled with caustic potash, when</w:t></w:r>
</w:p>
<w:p>
<w:pPr><w:pStyle w:val="Normal"/></w:pPr>
<w:r><w:t xml:space="preserve">the primary, secondary and tertiary amines distil over, and</w:t></w:r>
</w:p>
<w:p>
<w:pPr><w:pStyle w:val="Normal"/></w:pPr>
<w:r><w:t xml:space="preserve">the quaternary ammonium salt remains behind unaffected.  The</w:t></w:r>
</w:p>
<w:p>
<w:pPr><w:pStyle w:val="Normal"/></w:pPr>
<w:r><w:t xml:space="preserve">aqueous solution of the amines is now shaken up with diethyl</w:t></w:r>
</w:p>
<w:p>
<w:pPr><w:pStyle w:val="Normal"/></w:pPr>
<w:r><w:t xml:space="preserve">oxalate, when the primary amine forms a crystalline dialkyl</w:t></w:r>
</w:p>
<w:p>
<w:pPr><w:pStyle w:val="Normal"/></w:pPr>
<w:r><w:t xml:space="preserve">oxamide and the secondary amine an insoluble liquid, which</w:t></w:r>
</w:p>
<w:p>
<w:pPr><w:pStyle w:val="Normal"/></w:pPr>
<w:r><w:t xml:space="preserve">is an ethyl dialkyl oxamate, the tertiary amine not reacting:</w:t></w:r>
</w:p>
<w:p>
<w:pPr><w:pStyle w:val="Normal"/></w:pPr>
<w:r><w:t xml:space="preserve">(CO2C2H5)2 + 2NH2R = (CO.NHR)2 + 2C2H5OH; (CO2C2H5)2</w:t></w:r>
</w:p>
<w:p>
<w:pPr><w:pStyle w:val="Normal"/></w:pPr>
<w:r><w:t xml:space="preserve">+ NHR2 = C2H5O2C.CONR2 + C2H5OH.  The tertiary amine</w:t></w:r>
</w:p>
<w:p>
<w:pPr><w:pStyle w:val="Normal"/></w:pPr>
<w:r><w:t xml:space="preserve">is then distilled off, the residual products separated</w:t></w:r>
</w:p>
<w:p>
<w:pPr><w:pStyle w:val="Normal"/></w:pPr>
<w:r><w:t xml:space="preserve">by filtration and finally hydrolysed by a caustic alkali.</w:t></w:r>
</w:p>
<w:p>
<w:pPr><w:pStyle w:val="Normal"/></w:pPr>
<w:r><w:t xml:space="preserve">The primary, secondary and tertiary amines may be readily</w:t></w:r>
</w:p>
<w:p>
<w:pPr><w:pStyle w:val="Normal"/></w:pPr>
<w:r><w:t xml:space="preserve">distinguished by their behaviour with various reagents.  Primary</w:t></w:r>
</w:p>
<w:p>
<w:pPr><w:pStyle w:val="Normal"/></w:pPr>
<w:r><w:t xml:space="preserve">amines when heated with alcoholic potash and chloroform yield</w:t></w:r>
</w:p>
<w:p>
<w:pPr><w:pStyle w:val="Normal"/></w:pPr>
<w:r><w:t xml:space="preserve">isonitriles, which are readily detected by their offensive</w:t></w:r>
</w:p>
<w:p>
<w:pPr><w:pStyle w:val="Normal"/></w:pPr>
<w:r><w:t xml:space="preserve">smell.  The secondary and tertiary amines do not give this</w:t></w:r>
</w:p>
<w:p>
<w:pPr><w:pStyle w:val="Normal"/></w:pPr>
<w:r><w:t xml:space="preserve">reaction.  With nitrous acid, the primary amines yield alcohols,</w:t></w:r>
</w:p>
<w:p>
<w:pPr><w:pStyle w:val="Normal"/></w:pPr>
<w:r><w:t xml:space="preserve">the secondary amines yield nitrosamines and the tertiary</w:t></w:r>
</w:p>
<w:p>
<w:pPr><w:pStyle w:val="Normal"/></w:pPr>
<w:r><w:t xml:space="preserve">amines do not react: R.NH2 + ONOH = R.OH + N2 + H2O; R2NH</w:t></w:r>
</w:p>
<w:p>
<w:pPr><w:pStyle w:val="Normal"/></w:pPr>
<w:r><w:t xml:space="preserve">+ ONOH = R2N.NO + H2O.  With benzene sulphochloride in the</w:t></w:r>
</w:p>
<w:p>
<w:pPr><w:pStyle w:val="Normal"/></w:pPr>
<w:r><w:t xml:space="preserve">presence of alkali, the primary amines yield compounds of the</w:t></w:r>
</w:p>
<w:p>
<w:pPr><w:pStyle w:val="Normal"/></w:pPr>
<w:r><w:t xml:space="preserve">type C6H5SO2NHR, soluble in alkalies, whilst the secondary</w:t></w:r>
</w:p>
<w:p>
<w:pPr><w:pStyle w:val="Normal"/></w:pPr>
<w:r><w:t xml:space="preserve">amines yield compounds of the type C6H5SO2NR2, insoluble</w:t></w:r>
</w:p>
<w:p>
<w:pPr><w:pStyle w:val="Normal"/></w:pPr>
<w:r><w:t xml:space="preserve">in alkalies (O. Hinsberg, Ber., 1890, 23, p. 2963).  Primary</w:t></w:r>
</w:p>
<w:p>
<w:pPr><w:pStyle w:val="Normal"/></w:pPr>
<w:r><w:t xml:space="preserve">amines heated with carbon bisulphide in alcoholic solution</w:t></w:r>
</w:p>
<w:p>
<w:pPr><w:pStyle w:val="Normal"/></w:pPr>
<w:r><w:t xml:space="preserve">are converted into mustard oils, when the dithiocarbamate</w:t></w:r>
</w:p>
<w:p>
<w:pPr><w:pStyle w:val="Normal"/></w:pPr>
<w:r><w:t xml:space="preserve">first produced is heated with a solution of mercuric chloride.</w:t></w:r>
</w:p>
<w:p>
<w:pPr><w:pStyle w:val="Normal"/></w:pPr>
<w:r><w:t xml:space="preserve">Methylamine, CH3NH2, occurs in Mercurialis perennis, in</w:t></w:r>
</w:p>
<w:p>
<w:pPr><w:pStyle w:val="Normal"/></w:pPr>
<w:r><w:t xml:space="preserve">bone-oil, and herring brine.  It is also a decomposition product</w:t></w:r>
</w:p>
<w:p>
<w:pPr><w:pStyle w:val="Normal"/></w:pPr>
<w:r><w:t xml:space="preserve">of many alkaloids.  At ordinary temperatures it is a gas, but may</w:t></w:r>
</w:p>
<w:p>
<w:pPr><w:pStyle w:val="Normal"/></w:pPr>
<w:r><w:t xml:space="preserve">be condensed to a liquid which boils at -6 deg.  C. It has a strong</w:t></w:r>
</w:p>
<w:p>
<w:pPr><w:pStyle w:val="Normal"/></w:pPr>
<w:r><w:t xml:space="preserve">ammoniacal smell, burns readily and is exceedingly soluble in</w:t></w:r>
</w:p>
<w:p>
<w:pPr><w:pStyle w:val="Normal"/></w:pPr>
<w:r><w:t xml:space="preserve">water.  Its critical temperature is 155 deg.  C. and critical</w:t></w:r>
</w:p>
<w:p>
<w:pPr><w:pStyle w:val="Normal"/></w:pPr>
<w:r><w:t xml:space="preserve">pressure 72 atmos. (C. Vincent, J. Chappuis, Jahresb., 1886,</w:t></w:r>
</w:p>
<w:p>
<w:pPr><w:pStyle w:val="Normal"/></w:pPr>
<w:r><w:t xml:space="preserve">p. 202).  Dimethylamine, (CH3)2NH, is found in Peruvian</w:t></w:r>
</w:p>
<w:p>
<w:pPr><w:pStyle w:val="Normal"/></w:pPr>
<w:r><w:t xml:space="preserve">guano.  It is a heavy vapour which condenses at 7 deg.  C. to a</w:t></w:r>
</w:p>
<w:p>
<w:pPr><w:pStyle w:val="Normal"/></w:pPr>
<w:r><w:t xml:space="preserve">liquid, having a pronounced fish-like smell.  Trimethylamine,</w:t></w:r>
</w:p>
<w:p>
<w:pPr><w:pStyle w:val="Normal"/></w:pPr>
<w:r><w:t xml:space="preserve">(CH3)3N, is very similar to dimethylamine, and condenses to</w:t></w:r>
</w:p>
<w:p>
<w:pPr><w:pStyle w:val="Normal"/></w:pPr>
<w:r><w:t xml:space="preserve">a liquid which boils at 3.2-3.8 deg.  C. It is usually obtained</w:t></w:r>
</w:p>
<w:p>
<w:pPr><w:pStyle w:val="Normal"/></w:pPr>
<w:r><w:t xml:space="preserve">from &quot;vinasses,&quot; the residue obtained from the distillation of</w:t></w:r>
</w:p>
<w:p>
<w:pPr><w:pStyle w:val="Normal"/></w:pPr>
<w:r><w:t xml:space="preserve">beet sugar alcohol, and is used in the manufacture of potassium</w:t></w:r>
</w:p>
<w:p>
<w:pPr><w:pStyle w:val="Normal"/></w:pPr>
<w:r><w:t xml:space="preserve">bicarbonate by the Solvay process, since its hydrochloride is</w:t></w:r>
</w:p>
<w:p>
<w:pPr><w:pStyle w:val="Normal"/></w:pPr>
<w:r><w:t xml:space="preserve">much more soluble than potassium carbonate.  Tetramethylammonium</w:t></w:r>
</w:p>
<w:p>
<w:pPr><w:pStyle w:val="Normal"/></w:pPr>
<w:r><w:t xml:space="preserve">iodide, N(CH3)4I, is the chief product obtained by the</w:t></w:r>
</w:p>
<w:p>
<w:pPr><w:pStyle w:val="Normal"/></w:pPr>
<w:r><w:t xml:space="preserve">action of methyl iodide on ammonia (Hofmann).  It crystallizes</w:t></w:r>
</w:p>
<w:p>
<w:pPr><w:pStyle w:val="Normal"/></w:pPr>
<w:r><w:t xml:space="preserve">in quadratic prisms and has a bitter taste.  By warming its</w:t></w:r>
</w:p>
<w:p>
<w:pPr><w:pStyle w:val="Normal"/></w:pPr>
<w:r><w:t xml:space="preserve">aqueous solution with an excess of silver oxide it is converted</w:t></w:r>
</w:p>
<w:p>
<w:pPr><w:pStyle w:val="Normal"/></w:pPr>
<w:r><w:t xml:space="preserve">into tetramethylammonium hydroxide, N(CH3)4OH, which</w:t></w:r>
</w:p>
<w:p>
<w:pPr><w:pStyle w:val="Normal"/></w:pPr>
<w:r><w:t xml:space="preserve">crystallizes in hygroscopic needles, and has a very alkaline</w:t></w:r>
</w:p>
<w:p>
<w:pPr><w:pStyle w:val="Normal"/></w:pPr>
<w:r><w:t xml:space="preserve">reaction.  It forms many crystalline salts and absorbs carbon</w:t></w:r>
</w:p>
<w:p>
<w:pPr><w:pStyle w:val="Normal"/></w:pPr>
<w:r><w:t xml:space="preserve">dioxide.  It precipitates many metallic hydroxides.  On dry</w:t></w:r>
</w:p>
<w:p>
<w:pPr><w:pStyle w:val="Normal"/></w:pPr>
<w:r><w:t xml:space="preserve">distillation it is resolved into trimethylamine and methyl</w:t></w:r>
</w:p>
<w:p>
<w:pPr><w:pStyle w:val="Normal"/></w:pPr>
<w:r><w:t xml:space="preserve">alcohol.  If the nitrogen atom in the quaternary ammonium</w:t></w:r>
</w:p>
<w:p>
<w:pPr><w:pStyle w:val="Normal"/></w:pPr>
<w:r><w:t xml:space="preserve">salts be in combination with four different groups, then</w:t></w:r>
</w:p>
<w:p>
<w:pPr><w:pStyle w:val="Normal"/></w:pPr>
<w:r><w:t xml:space="preserve">the molecule is asymmetrical, and the salt can be resolved</w:t></w:r>
</w:p>
<w:p>
<w:pPr><w:pStyle w:val="Normal"/></w:pPr>
<w:r><w:t xml:space="preserve">into optically active enantiamorphous isomerides.  W. J.</w:t></w:r>
</w:p>
<w:p>
<w:pPr><w:pStyle w:val="Normal"/></w:pPr>
<w:r><w:t xml:space="preserve">Pope (Jour.  Chem.  Soc., 1901, 79, p. 828) has resolved</w:t></w:r>
</w:p>
<w:p>
<w:pPr><w:pStyle w:val="Normal"/></w:pPr>
<w:r><w:t xml:space="preserve">benzyl-allyl-phenyl-methylamine iodide by boiling with silver</w:t></w:r>
</w:p>
<w:p>
<w:pPr><w:pStyle w:val="Normal"/></w:pPr>
<w:r><w:t xml:space="preserve">d-camphorsulphonate in a nearly anhydrous mixture of acetone</w:t></w:r>
</w:p>
<w:p>
<w:pPr><w:pStyle w:val="Normal"/></w:pPr>
<w:r><w:t xml:space="preserve">and ethyl acetate.  The silver iodide is separated and the</w:t></w:r>
</w:p>
<w:p>
<w:pPr><w:pStyle w:val="Normal"/></w:pPr>
<w:r><w:t xml:space="preserve">solvent distilled off.  The residue crystallizes slowly, and</w:t></w:r>
</w:p>
<w:p>
<w:pPr><w:pStyle w:val="Normal"/></w:pPr>
<w:r><w:t xml:space="preserve">the crystalline product is almost wholly d-benzyl-ally-phenyl-</w:t></w:r>
</w:p>
<w:p>
<w:pPr><w:pStyle w:val="Normal"/></w:pPr>
<w:r><w:t xml:space="preserve">ammonium-d-sulphonate, the corresponding l-compound</w:t></w:r>
</w:p>
<w:p>
<w:pPr><w:pStyle w:val="Normal"/></w:pPr>
<w:r><w:t xml:space="preserve">remaining as a syrupy residue.  The corresponding iodides</w:t></w:r>
</w:p>
<w:p>
<w:pPr><w:pStyle w:val="Normal"/></w:pPr>
<w:r><w:t xml:space="preserve">are obtained by the addition of potassium iodide to solutions</w:t></w:r>
</w:p>
<w:p>
<w:pPr><w:pStyle w:val="Normal"/></w:pPr>
<w:r><w:t xml:space="preserve">of the sulphonates, and are optically active antipodes.</w:t></w:r>
</w:p>
<w:p>
<w:pPr><w:pStyle w:val="Normal"/></w:pPr>
<w:r><w:t xml:space="preserve">Diamines.--The diamines contain two amino groups and bear</w:t></w:r>
</w:p>
<w:p>
<w:pPr><w:pStyle w:val="Normal"/></w:pPr>
<w:r><w:t xml:space="preserve">the same relation to the glycols that the primary monamines</w:t></w:r>
</w:p>
<w:p>
<w:pPr><w:pStyle w:val="Normal"/></w:pPr>
<w:r><w:t xml:space="preserve">bear to the primary alcohols.  They are of importance, since</w:t></w:r>
</w:p>
<w:p>
<w:pPr><w:pStyle w:val="Normal"/></w:pPr>
<w:r><w:t xml:space="preserve">the higher homologues are identical in many cases with the</w:t></w:r>
</w:p>
<w:p>
<w:pPr><w:pStyle w:val="Normal"/></w:pPr>
<w:r><w:t xml:space="preserve">ptomaines produced by the putrefactive action of some bacteria</w:t></w:r>
</w:p>
<w:p>
<w:pPr><w:pStyle w:val="Normal"/></w:pPr>
<w:r><w:t xml:space="preserve">on albumen and other related substances.  Ethylene diamine,</w:t></w:r>
</w:p>
<w:p>
<w:pPr><w:pStyle w:val="Normal"/></w:pPr>
<w:r><w:t xml:space="preserve">C2H4(NH2)2, may be prepared by heating ethylene dibromide</w:t></w:r>
</w:p>
<w:p>
<w:pPr><w:pStyle w:val="Normal"/></w:pPr>
<w:r><w:t xml:space="preserve">with alcoholic ammonia to 100 deg.  C. (F. S. Cloez, Jahresb.,</w:t></w:r>
</w:p>
<w:p>
<w:pPr><w:pStyle w:val="Normal"/></w:pPr>
<w:r><w:t xml:space="preserve">1853, p. 468); or by the action of tin and hydrochloric acid</w:t></w:r>
</w:p>
<w:p>
<w:pPr><w:pStyle w:val="Normal"/></w:pPr>
<w:r><w:t xml:space="preserve">on cyanogen (T. Fairley, Ann. Suppl., 3, 1864, p. 372).  It</w:t></w:r>
</w:p>
<w:p>
<w:pPr><w:pStyle w:val="Normal"/></w:pPr>
<w:r><w:t xml:space="preserve">is an alkaline liquid, which when anhydrous boils at 116.5 deg.</w:t></w:r>
</w:p>
<w:p>
<w:pPr><w:pStyle w:val="Heading1"/></w:pPr>
<w:r><w:t>C. Nitrous acid converts it into ethylene oxide.  It combines</w:t></w:r>
</w:p>
<w:p>
<w:pPr><w:pStyle w:val="Normal"/></w:pPr>
<w:r><w:t xml:space="preserve">directly with many metallic salts. (See S. F. Jorgensen, Jour.</w:t></w:r>
</w:p>
<w:p>
<w:pPr><w:pStyle w:val="Normal"/></w:pPr>
<w:r><w:t xml:space="preserve">pr.  Chem., 1889 (2), 39, p. 8.) Trimethylene diamine,</w:t></w:r>
</w:p>
<w:p>
<w:pPr><w:pStyle w:val="Normal"/></w:pPr>
<w:r><w:t xml:space="preserve">NH2.(CH2)3.NH2, is prepared by the action of ammonia</w:t></w:r>
</w:p>
<w:p>
<w:pPr><w:pStyle w:val="Normal"/></w:pPr>
<w:r><w:t xml:space="preserve">on trimethylene bromide (E. Fischer, Ber., 1884, 17, p.</w:t></w:r>
</w:p>
<w:p>
<w:pPr><w:pStyle w:val="Normal"/></w:pPr>
<w:r><w:t xml:space="preserve">1799).  It is a liquid which boils at 135-136 deg.  C., and is</w:t></w:r>
</w:p>
<w:p>
<w:pPr><w:pStyle w:val="Normal"/></w:pPr>
<w:r><w:t xml:space="preserve">readily soluble in alcohol, ether, chloroform and benzene.</w:t></w:r>
</w:p>
<w:p>
<w:pPr><w:pStyle w:val="Normal"/></w:pPr>
<w:r><w:t xml:space="preserve">Tetramethylene diamine (putrescine), NH2.(CH2)4.NH2, is</w:t></w:r>
</w:p>
<w:p>
<w:pPr><w:pStyle w:val="Normal"/></w:pPr>
<w:r><w:t xml:space="preserve">prepared by reducing ethylene dicyanide (succinonitrile) with</w:t></w:r>
</w:p>
<w:p>
<w:pPr><w:pStyle w:val="Normal"/></w:pPr>
<w:r><w:t xml:space="preserve">sodium in absolute alcoholic solution (A. Ladenburg, Ber.,</w:t></w:r>
</w:p>
<w:p>
<w:pPr><w:pStyle w:val="Normal"/></w:pPr>
<w:r><w:t xml:space="preserve">1886, 19, p. 780).  It melts at 27 deg.  C., and is easily soluble in</w:t></w:r>
</w:p>
<w:p>
<w:pPr><w:pStyle w:val="Normal"/></w:pPr>
<w:r><w:t xml:space="preserve">water.  Pentamethylene diamine (cadaverine), NH2.(CH2)5.NH2,is</w:t></w:r>
</w:p>
<w:p>
<w:pPr><w:pStyle w:val="Normal"/></w:pPr>
<w:r><w:t xml:space="preserve">prepared by reducing trimethylene cyanide in ether solution by</w:t></w:r>
</w:p>
<w:p>
<w:pPr><w:pStyle w:val="Normal"/></w:pPr>
<w:r><w:t xml:space="preserve">zinc and hydrochloric acid (A. Ladenburg, Ber., 1883, 16, p.</w:t></w:r>
</w:p>
<w:p>
<w:pPr><w:pStyle w:val="Normal"/></w:pPr>
<w:r><w:t xml:space="preserve">1151).  J. v.  Braun (Ber., 1904, 37, p. 3583) has prepared</w:t></w:r>
</w:p>
<w:p>
<w:pPr><w:pStyle w:val="Normal"/></w:pPr>
<w:r><w:t xml:space="preserve">pentamethylene derivatives from piperidine by the action of</w:t></w:r>
</w:p>
<w:p>
<w:pPr><w:pStyle w:val="Normal"/></w:pPr>
<w:r><w:t xml:space="preserve">phosphorus pentachloride.  On heating piperidine with phosphorus</w:t></w:r>
</w:p>
<w:p>
<w:pPr><w:pStyle w:val="Normal"/></w:pPr>
<w:r><w:t xml:space="preserve">pentachloride to 200 deg. C. in a sealed tube pentamethylene</w:t></w:r>
</w:p>
<w:p>
<w:pPr><w:pStyle w:val="Normal"/></w:pPr>
<w:r><w:t xml:space="preserve">dichloride is obtained, and this on treatment with potassium</w:t></w:r>
</w:p>
<w:p>
<w:pPr><w:pStyle w:val="Normal"/></w:pPr>
<w:r><w:t xml:space="preserve">phthalimide gives a condensation product of composition,</w:t></w:r>
</w:p>
<w:p>
<w:pPr><w:pStyle w:val="Normal"/></w:pPr>
<w:r><w:t xml:space="preserve">C6H4[CO]2N(CH2)5N[CO]2C6H4, which is finally hydrolysed</w:t></w:r>
</w:p>
<w:p>
<w:pPr><w:pStyle w:val="Normal"/></w:pPr>
<w:r><w:t xml:space="preserve">by hydrochloric acid.  Cadaverine is a syrup at ordinary</w:t></w:r>
</w:p>
<w:p>
<w:pPr><w:pStyle w:val="Normal"/></w:pPr>
<w:r><w:t xml:space="preserve">temperatures, and boils at 178-179 deg.  C. It is readily soluble</w:t></w:r>
</w:p>
<w:p>
<w:pPr><w:pStyle w:val="Normal"/></w:pPr>
<w:r><w:t xml:space="preserve">in water and alcohol, but only slightly soluble in ether.</w:t></w:r>
</w:p>
<w:p>
<w:pPr><w:pStyle w:val="Normal"/></w:pPr>
<w:r><w:t xml:space="preserve">Aromatic Amines.--The aromatic amines in some respects</w:t></w:r>
</w:p>
<w:p>
<w:pPr><w:pStyle w:val="Normal"/></w:pPr>
<w:r><w:t xml:space="preserve">resemble the aliphatic amines, since they form salts with</w:t></w:r>
</w:p>
<w:p>
<w:pPr><w:pStyle w:val="Normal"/></w:pPr>
<w:r><w:t xml:space="preserve">acids, and double salts with platinum chloride, and they</w:t></w:r>
</w:p>
<w:p>
<w:pPr><w:pStyle w:val="Normal"/></w:pPr>
<w:r><w:t xml:space="preserve">also distil without decomposition.  On the other hand, they</w:t></w:r>
</w:p>
<w:p>
<w:pPr><w:pStyle w:val="Normal"/></w:pPr>
<w:r><w:t xml:space="preserve">are much weaker bases than the aliphatic amines, their salts</w:t></w:r>
</w:p>
<w:p>
<w:pPr><w:pStyle w:val="Normal"/></w:pPr>
<w:r><w:t xml:space="preserve">undergoing hydrolytic dissociation in aqueous solution.  The</w:t></w:r>
</w:p>
<w:p>
<w:pPr><w:pStyle w:val="Normal"/></w:pPr>
<w:r><w:t xml:space="preserve">primary aromatic amines may be prepared by the reduction of</w:t></w:r>
</w:p>
<w:p>
<w:pPr><w:pStyle w:val="Normal"/></w:pPr>
<w:r><w:t xml:space="preserve">the nitro-hydrocarbons, the reducing agents used being either</w:t></w:r>
</w:p>
<w:p>
<w:pPr><w:pStyle w:val="Normal"/></w:pPr>
<w:r><w:t xml:space="preserve">alcoholic-ammonium sulphide (N. Zinin), zinc and hydrochloric</w:t></w:r>
</w:p>
<w:p>
<w:pPr><w:pStyle w:val="Normal"/></w:pPr>
<w:r><w:t xml:space="preserve">acid (A. W. Hofmann), an alcoholic solution of stannous</w:t></w:r>
</w:p>
<w:p>
<w:pPr><w:pStyle w:val="Normal"/></w:pPr>
<w:r><w:t xml:space="preserve">chloride (containing hydrochloric acid) (R. Anschutz, Ber.,</w:t></w:r>
</w:p>
<w:p>
<w:pPr><w:pStyle w:val="Normal"/></w:pPr>
<w:r><w:t xml:space="preserve">1886, 19, p. 2161), tin and hydrochloric acid, or, on the</w:t></w:r>
</w:p>
<w:p>
<w:pPr><w:pStyle w:val="Normal"/></w:pPr>
<w:r><w:t xml:space="preserve">manufacturing scale, iron and hydrochloric acid.  They may</w:t></w:r>
</w:p>
<w:p>
<w:pPr><w:pStyle w:val="Normal"/></w:pPr>
<w:r><w:t xml:space="preserve">also be obtained by the reduction of nitroso compounds and of</w:t></w:r>
</w:p>
<w:p>
<w:pPr><w:pStyle w:val="Normal"/></w:pPr>
<w:r><w:t xml:space="preserve">hydrazo compounds and of hydrazones (J. Tafel, Ber., 1886,</w:t></w:r>
</w:p>
<w:p>
<w:pPr><w:pStyle w:val="Normal"/></w:pPr>
<w:r><w:t xml:space="preserve">19, p. 1924), by distilling the amido-acids with lime, by</w:t></w:r>
</w:p>
<w:p>
<w:pPr><w:pStyle w:val="Normal"/></w:pPr>
<w:r><w:t xml:space="preserve">heating phenols with zinc chloride ammonia (V. Merz, Ber.,</w:t></w:r>
</w:p>
<w:p>
<w:pPr><w:pStyle w:val="Normal"/></w:pPr>
<w:r><w:t xml:space="preserve">1880, 13, p. 1298), and by heating the secondary and tertiary</w:t></w:r>
</w:p>
<w:p>
<w:pPr><w:pStyle w:val="Normal"/></w:pPr>
<w:r><w:t xml:space="preserve">bases with concentrated hydrochloric acid to about 180 deg.  C.</w:t></w:r>
</w:p>
<w:p>
<w:pPr><w:pStyle w:val="Normal"/></w:pPr>
<w:r><w:t xml:space="preserve">At a temperature of about 300-400 deg.  C. the alkyl chloride</w:t></w:r>
</w:p>
<w:p>
<w:pPr><w:pStyle w:val="Normal"/></w:pPr>
<w:r><w:t xml:space="preserve">formed in this reaction attacks the benzene nucleus and</w:t></w:r>
</w:p>
<w:p>
<w:pPr><w:pStyle w:val="Normal"/></w:pPr>
<w:r><w:t xml:space="preserve">replaces hydrogen by an alkyl group or groups, forming primary</w:t></w:r>
</w:p>
<w:p>
<w:pPr><w:pStyle w:val="Normal"/></w:pPr>
<w:r><w:t xml:space="preserve">amines homologous with the original amine; thus methylaniline</w:t></w:r>
</w:p>
<w:p>
<w:pPr><w:pStyle w:val="Normal"/></w:pPr>
<w:r><w:t xml:space="preserve">hydrochloride is converted into para- and ortho-toluidine</w:t></w:r>
</w:p>
<w:p>
<w:pPr><w:pStyle w:val="Normal"/></w:pPr>
<w:r><w:t xml:space="preserve">hydrochloride, and trimethyl phenyl ammonium iodide is converted</w:t></w:r>
</w:p>
<w:p>
<w:pPr><w:pStyle w:val="Normal"/></w:pPr>
<w:r><w:t xml:space="preserve">into mesidine hydriodide.  It is to be noted that only traces</w:t></w:r>
</w:p>
<w:p>
<w:pPr><w:pStyle w:val="Normal"/></w:pPr>
<w:r><w:t xml:space="preserve">of the aromatic amines are produced by heating the halogen</w:t></w:r>
</w:p>
<w:p>
<w:pPr><w:pStyle w:val="Normal"/></w:pPr>
<w:r><w:t xml:space="preserve">substituted benzenes with ammonia, unless the amino group be</w:t></w:r>
</w:p>
<w:p>
<w:pPr><w:pStyle w:val="Normal"/></w:pPr>
<w:r><w:t xml:space="preserve">situated in the side chain, as in the case of benzylamine.</w:t></w:r>
</w:p>
<w:p>
<w:pPr><w:pStyle w:val="Normal"/></w:pPr>
<w:r><w:t xml:space="preserve">The primary amines are colourless liquids or crystalline</w:t></w:r>
</w:p>
<w:p>
<w:pPr><w:pStyle w:val="Normal"/></w:pPr>
<w:r><w:t xml:space="preserve">solids, which are insoluble in water, but readily soluble</w:t></w:r>
</w:p>
<w:p>
<w:pPr><w:pStyle w:val="Normal"/></w:pPr>
<w:r><w:t xml:space="preserve">in the common organic solvents.  When heated with alkyl or</w:t></w:r>
</w:p>
<w:p>
<w:pPr><w:pStyle w:val="Normal"/></w:pPr>
<w:r><w:t xml:space="preserve">aryl iodides, they are converted into secondary and tertiary</w:t></w:r>
</w:p>
<w:p>
<w:pPr><w:pStyle w:val="Normal"/></w:pPr>
<w:r><w:t xml:space="preserve">amines.  Concentrated nitric acid attacks them violently,</w:t></w:r>
</w:p>
<w:p>
<w:pPr><w:pStyle w:val="Normal"/></w:pPr>
<w:r><w:t xml:space="preserve">producing various oxidation products, but if the amino group</w:t></w:r>
</w:p>
<w:p>
<w:pPr><w:pStyle w:val="Normal"/></w:pPr>
<w:r><w:t xml:space="preserve">be &quot;protected&quot; by being previously acetylated, then nitro</w:t></w:r>
</w:p>
<w:p>
<w:pPr><w:pStyle w:val="Normal"/></w:pPr>
<w:r><w:t xml:space="preserve">derivatives are obtained.  When heated with concentrated</w:t></w:r>
</w:p>
<w:p>
<w:pPr><w:pStyle w:val="Normal"/></w:pPr>
<w:r><w:t xml:space="preserve">sulphuric acid for some time, they are sulphonated.  They</w:t></w:r>
</w:p>
<w:p>
<w:pPr><w:pStyle w:val="Normal"/></w:pPr>
<w:r><w:t xml:space="preserve">form condensation products with aldehydes, benzaldehyde and</w:t></w:r>
</w:p>
<w:p>
<w:pPr><w:pStyle w:val="Normal"/></w:pPr>
<w:r><w:t xml:space="preserve">aniline forming benzylidene aniline, C6H5N: CHC6H5, and</w:t></w:r>
</w:p>
<w:p>
<w:pPr><w:pStyle w:val="Normal"/></w:pPr>
<w:r><w:t xml:space="preserve">when heated with acids they form anilides.  They give the</w:t></w:r>
</w:p>
<w:p>
<w:pPr><w:pStyle w:val="Normal"/></w:pPr>
<w:r><w:t xml:space="preserve">isonitrile reaction (see above) when warmed with chloroform</w:t></w:r>
</w:p>
<w:p>
<w:pPr><w:pStyle w:val="Normal"/></w:pPr>
<w:r><w:t xml:space="preserve">and a caustic alkali, and form alkyl thioureas when heated with</w:t></w:r>
</w:p>
<w:p>
<w:pPr><w:pStyle w:val="Normal"/></w:pPr>
<w:r><w:t xml:space="preserve">an alcoholic solution of carbon bisulphide.  When warmed with</w:t></w:r>
</w:p>
<w:p>
<w:pPr><w:pStyle w:val="Normal"/></w:pPr>
<w:r><w:t xml:space="preserve">a solution of nitrous acid, they are converted into phenols;</w:t></w:r>
</w:p>
<w:p>
<w:pPr><w:pStyle w:val="Normal"/></w:pPr>
<w:r><w:t xml:space="preserve">if, however, nitrous acid be added to an ice-cold solution</w:t></w:r>
</w:p>
<w:p>
<w:pPr><w:pStyle w:val="Normal"/></w:pPr>
<w:r><w:t xml:space="preserve">of a primary amine in excess of mineral acid, a diazonium</w:t></w:r>
</w:p>
<w:p>
<w:pPr><w:pStyle w:val="Normal"/></w:pPr>
<w:r><w:t xml:space="preserve">salt is formed (see AZO COMPOUNDS and DIAZO COMPOUNDS),</w:t></w:r>
</w:p>
<w:p>
<w:pPr><w:pStyle w:val="Normal"/></w:pPr>
<w:r><w:t xml:space="preserve">or in absence of excess of acid, a diazoamine is produced.</w:t></w:r>
</w:p>
<w:p>
<w:pPr><w:pStyle w:val="Normal"/></w:pPr>
<w:r><w:t xml:space="preserve">The secondary amines may be of two types--namely, the purely</w:t></w:r>
</w:p>
<w:p>
<w:pPr><w:pStyle w:val="Normal"/></w:pPr>
<w:r><w:t xml:space="preserve">aromatic amines, and the mixed secondary amines, which contain an</w:t></w:r>
</w:p>
<w:p>
<w:pPr><w:pStyle w:val="Normal"/></w:pPr>
<w:r><w:t xml:space="preserve">aromatic residue and an alkyl group.  The purely aromatic amines</w:t></w:r>
</w:p>
<w:p>
<w:pPr><w:pStyle w:val="Normal"/></w:pPr>
<w:r><w:t xml:space="preserve">result upon heating the primary amines with their hydrochlorides,</w:t></w:r>
</w:p>
<w:p>
<w:pPr><w:pStyle w:val="Normal"/></w:pPr>
<w:r><w:t xml:space="preserve">and, in some cases, by heating a phenol with a primary amine</w:t></w:r>
</w:p>
<w:p>
<w:pPr><w:pStyle w:val="Normal"/></w:pPr>
<w:r><w:t xml:space="preserve">and anhydrous zinc chloride.  The mixed secondary amines are</w:t></w:r>
</w:p>
<w:p>
<w:pPr><w:pStyle w:val="Normal"/></w:pPr>
<w:r><w:t xml:space="preserve">prepared by the action of alkyl iodides on the primary amines,</w:t></w:r>
</w:p>
<w:p>
<w:pPr><w:pStyle w:val="Normal"/></w:pPr>
<w:r><w:t xml:space="preserve">or by heating salts of the primary amine with alcohols under</w:t></w:r>
</w:p>
<w:p>
<w:pPr><w:pStyle w:val="Normal"/></w:pPr>
<w:r><w:t xml:space="preserve">pressure.  The mixed secondary amines have basic properties,</w:t></w:r>
</w:p>
<w:p>
<w:pPr><w:pStyle w:val="Normal"/></w:pPr>
<w:r><w:t xml:space="preserve">but the purely aromatic secondary amines are only very feeble</w:t></w:r>
</w:p>
<w:p>
<w:pPr><w:pStyle w:val="Normal"/></w:pPr>
<w:r><w:t xml:space="preserve">bases.  Both classes readily exchange the imide hydrogen</w:t></w:r>
</w:p>
<w:p>
<w:pPr><w:pStyle w:val="Normal"/></w:pPr>
<w:r><w:t xml:space="preserve">for acid radicals, and give nitrosamines with nitrous acid.</w:t></w:r>
</w:p>
<w:p>
<w:pPr><w:pStyle w:val="Normal"/></w:pPr>
<w:r><w:t xml:space="preserve">The secondary amines do not give the isonitrile reaction.</w:t></w:r>
</w:p>
<w:p>
<w:pPr><w:pStyle w:val="Normal"/></w:pPr>
<w:r><w:t xml:space="preserve">The tertiary amines may also be of two types, the purely</w:t></w:r>
</w:p>
<w:p>
<w:pPr><w:pStyle w:val="Normal"/></w:pPr>
<w:r><w:t xml:space="preserve">aromatic and the mixed type.  The mixed tertiary amines</w:t></w:r>
</w:p>
<w:p>
<w:pPr><w:pStyle w:val="Normal"/></w:pPr>
<w:r><w:t xml:space="preserve">are produced by the action of alkyl halides on the</w:t></w:r>
</w:p>
<w:p>
<w:pPr><w:pStyle w:val="Normal"/></w:pPr>
<w:r><w:t xml:space="preserve">primary amines.  The simplest aromatic tertiary amine,</w:t></w:r>
</w:p>
<w:p>
<w:pPr><w:pStyle w:val="Normal"/></w:pPr>
<w:r><w:t xml:space="preserve">triphenylamine, is prepared by the action of brombenzene</w:t></w:r>
</w:p>
<w:p>
<w:pPr><w:pStyle w:val="Normal"/></w:pPr>
<w:r><w:t xml:space="preserve">on sodium diphenylamine (C. Heydrich, Ber., 1885, 18, p.</w:t></w:r>
</w:p>
<w:p>
<w:pPr><w:pStyle w:val="Normal"/></w:pPr>
<w:r><w:t xml:space="preserve">2156).  The simplest aromatic monamine is aniline (q.v.),</w:t></w:r>
</w:p>
<w:p>
<w:pPr><w:pStyle w:val="Normal"/></w:pPr>
<w:r><w:t xml:space="preserve">and the simplest mixed amines are mono- and di-methyl</w:t></w:r>
</w:p>
<w:p>
<w:pPr><w:pStyle w:val="Normal"/></w:pPr>
<w:r><w:t xml:space="preserve">aniline.  These substances are treated in the article ANILINE.</w:t></w:r>
</w:p>
<w:p>
<w:pPr><w:pStyle w:val="Normal"/></w:pPr>
<w:r><w:t xml:space="preserve">The aromatic amine resembling the aliphatic amines is</w:t></w:r>
</w:p>
<w:p>
<w:pPr><w:pStyle w:val="Normal"/></w:pPr>
<w:r><w:t xml:space="preserve">benzylamine, C6H5.CH2.NH2, which may be prepared by</w:t></w:r>
</w:p>
<w:p>
<w:pPr><w:pStyle w:val="Normal"/></w:pPr>
<w:r><w:t xml:space="preserve">reducing benzonitrile in alcoholic solution by means of</w:t></w:r>
</w:p>
<w:p>
<w:pPr><w:pStyle w:val="Normal"/></w:pPr>
<w:r><w:t xml:space="preserve">zinc and acetic acid (O. Mendius, Ann. 1862, 121, p. 144),</w:t></w:r>
</w:p>
<w:p>
<w:pPr><w:pStyle w:val="Normal"/></w:pPr>
<w:r><w:t xml:space="preserve">or by metallic sodium (E. Bamberger, Ber., 1887, 20, p.</w:t></w:r>
</w:p>
<w:p>
<w:pPr><w:pStyle w:val="Normal"/></w:pPr>
<w:r><w:t xml:space="preserve">1709).  It can also be obtained by the action of ammonia</w:t></w:r>
</w:p>
<w:p>
<w:pPr><w:pStyle w:val="Normal"/></w:pPr>
<w:r><w:t xml:space="preserve">on benzyl chloride (S. Cannizzaro, Ann., 1865, 134, p.</w:t></w:r>
</w:p>
<w:p>
<w:pPr><w:pStyle w:val="Normal"/></w:pPr>
<w:r><w:t xml:space="preserve">128), but di- and tri-benzylamines are simultaneously</w:t></w:r>
</w:p>
<w:p>
<w:pPr><w:pStyle w:val="Normal"/></w:pPr>
<w:r><w:t xml:space="preserve">formed.  It is a liquid, which boils at 183 deg.  C., and is</w:t></w:r>
</w:p>
<w:p>
<w:pPr><w:pStyle w:val="Normal"/></w:pPr>
<w:r><w:t xml:space="preserve">miscible in all proportions with water, alcohol and ether.  It</w:t></w:r>
</w:p>
<w:p>
<w:pPr><w:pStyle w:val="Normal"/></w:pPr>
<w:r><w:t xml:space="preserve">is basic in character, and has a strongly alkaline reaction.</w:t></w:r>
</w:p>
<w:p>
<w:pPr><w:pStyle w:val="Normal"/></w:pPr>
<w:r><w:t xml:space="preserve">Diphenylamine, (C6H5)2NH, is the simplest representative of</w:t></w:r>
</w:p>
<w:p>
<w:pPr><w:pStyle w:val="Normal"/></w:pPr>
<w:r><w:t xml:space="preserve">the true aromatic secondary amines.  It is prepared by heating</w:t></w:r>
</w:p>
<w:p>
<w:pPr><w:pStyle w:val="Normal"/></w:pPr>
<w:r><w:t xml:space="preserve">aniline and aniline hydrochloride for some hours to 210-240 deg.</w:t></w:r>
</w:p>
<w:p>
<w:pPr><w:pStyle w:val="Normal"/></w:pPr>
<w:r><w:t xml:space="preserve">C, (Ch. Girard and G. de Laire, Zeit. fur Chem., 1866, p.</w:t></w:r>
</w:p>
<w:p>
<w:pPr><w:pStyle w:val="Normal"/></w:pPr>
<w:r><w:t xml:space="preserve">438).  It crystallizes in white plates, which melt at 45 deg.</w:t></w:r>
</w:p>
<w:p>
<w:pPr><w:pStyle w:val="Heading1"/></w:pPr>
<w:r><w:t>C. and boil at 302 deg.  C. It is almost insoluble in water, but</w:t></w:r>
</w:p>
<w:p>
<w:pPr><w:pStyle w:val="Normal"/></w:pPr>
<w:r><w:t xml:space="preserve">readily volatilizes in steam.  When heated with monobasic</w:t></w:r>
</w:p>
<w:p>
<w:pPr><w:pStyle w:val="Normal"/></w:pPr>
<w:r><w:t xml:space="preserve">saturated acids and zinc chloride it yields acridines.</w:t></w:r>
</w:p>
<w:p>
<w:pPr><w:pStyle w:val="Normal"/></w:pPr>
<w:r><w:t xml:space="preserve">Aromatic Diamines.--The diamines are prepared by reducing the</w:t></w:r>
</w:p>
<w:p>
<w:pPr><w:pStyle w:val="Normal"/></w:pPr>
<w:r><w:t xml:space="preserve">nitranilines or the dinitrohydrocarbons.  They crystallize in</w:t></w:r>
</w:p>
<w:p>
<w:pPr><w:pStyle w:val="Normal"/></w:pPr>
<w:r><w:t xml:space="preserve">plates, and for the most part distil without decomposition.</w:t></w:r>
</w:p>
<w:p>
<w:pPr><w:pStyle w:val="Normal"/></w:pPr>
<w:r><w:t xml:space="preserve">Orthophenylene diamine, C6H4(NH2)2, crystallizes from</w:t></w:r>
</w:p>
<w:p>
<w:pPr><w:pStyle w:val="Normal"/></w:pPr>
<w:r><w:t xml:space="preserve">water in plates, which melt at 102-103 deg.  C. and boil at</w:t></w:r>
</w:p>
<w:p>
<w:pPr><w:pStyle w:val="Normal"/></w:pPr>
<w:r><w:t xml:space="preserve">256-258 deg.  C. When heated with 10% hydrochloric acid to 180 deg.</w:t></w:r>
</w:p>
<w:p>
<w:pPr><w:pStyle w:val="Heading1"/></w:pPr>
<w:r><w:t>C. it yields pyrocatechin (Jacob Meyer, Ber., 1897, 30, p.</w:t></w:r>
</w:p>
<w:p>
<w:pPr><w:pStyle w:val="Normal"/></w:pPr>
<w:r><w:t xml:space="preserve">2569).  The orthodiamines are characterized by the large</w:t></w:r>
</w:p>
<w:p>
<w:pPr><w:pStyle w:val="Normal"/></w:pPr>
<w:r><w:t xml:space="preserve">number of condensation products they form. (See IMIDAZOLES,</w:t></w:r>
</w:p>
<w:p>
<w:pPr><w:pStyle w:val="Normal"/></w:pPr>
<w:r><w:t xml:space="preserve">QUINOXALINES, &amp;c.).  Metaphenylene diamine crystallizes in</w:t></w:r>
</w:p>
<w:p>
<w:pPr><w:pStyle w:val="Normal"/></w:pPr>
<w:r><w:t xml:space="preserve">rhombic plates which melt at 63 deg.  C. and boil at 287 deg.  C.</w:t></w:r>
</w:p>
<w:p>
<w:pPr><w:pStyle w:val="Normal"/></w:pPr>
<w:r><w:t xml:space="preserve">It is easily soluble in water and alcohol.  When heated with</w:t></w:r>
</w:p>
<w:p>
<w:pPr><w:pStyle w:val="Normal"/></w:pPr>
<w:r><w:t xml:space="preserve">10% hydrochloric acid to 180 deg.  C. it yields resorcin (J.</w:t></w:r>
</w:p>
<w:p>
<w:pPr><w:pStyle w:val="Normal"/></w:pPr>
<w:r><w:t xml:space="preserve">Meyer).  Paraphenylene diamine may be prepared as above, and</w:t></w:r>
</w:p>
<w:p>
<w:pPr><w:pStyle w:val="Normal"/></w:pPr>
<w:r><w:t xml:space="preserve">also by the reduction of amidoazobenzene.  It crystallizes</w:t></w:r>
</w:p>
<w:p>
<w:pPr><w:pStyle w:val="Normal"/></w:pPr>
<w:r><w:t xml:space="preserve">in tables which melt at 140 deg.  C. and boil at 267 deg.  C. When</w:t></w:r>
</w:p>
<w:p>
<w:pPr><w:pStyle w:val="Normal"/></w:pPr>
<w:r><w:t xml:space="preserve">heated with 10% hydrochloric acid to 180 deg.  C. it yields</w:t></w:r>
</w:p>
<w:p>
<w:pPr><w:pStyle w:val="Normal"/></w:pPr>
<w:r><w:t xml:space="preserve">hydroquinone (J. Meyer).  Manganese dioxide and dilute sulphuric</w:t></w:r>
</w:p>
<w:p>
<w:pPr><w:pStyle w:val="Normal"/></w:pPr>
<w:r><w:t xml:space="preserve">acid oxidize it to quinone.  The three classes of diamines</w:t></w:r>
</w:p>
<w:p>
<w:pPr><w:pStyle w:val="Normal"/></w:pPr>
<w:r><w:t xml:space="preserve">may be distinguished by their behaviour towards nitrous</w:t></w:r>
</w:p>
<w:p>
<w:pPr><w:pStyle w:val="Normal"/></w:pPr>
<w:r><w:t xml:space="preserve">acid.  The ortho-compounds condense to azimido benzenes, the</w:t></w:r>
</w:p>
<w:p>
<w:pPr><w:pStyle w:val="Normal"/></w:pPr>
<w:r><w:t xml:space="preserve">metacompounds yield azo-dyestuffs, and the para- compounds</w:t></w:r>
</w:p>
<w:p>
<w:pPr><w:pStyle w:val="Normal"/></w:pPr>
<w:r><w:t xml:space="preserve">yield bis-diazo compounds of the type XN2.C6H4.N2X.</w:t></w:r>
</w:p>
<w:p>
<w:pPr><w:pStyle w:val="Normal"/></w:pPr>
<w:r><w:t xml:space="preserve">AMIOT, JEAN JOSEPH MARIE (1718-1793), French Jesuit missionary,</w:t></w:r>
</w:p>
<w:p>
<w:pPr><w:pStyle w:val="Normal"/></w:pPr>
<w:r><w:t xml:space="preserve">was born at Toulon in February 1718.  He entered the Society</w:t></w:r>
</w:p>
<w:p>
<w:pPr><w:pStyle w:val="Normal"/></w:pPr>
<w:r><w:t xml:space="preserve">of Jesus in 1737 and was sent in 1750 as a missionary to</w:t></w:r>
</w:p>
<w:p>
<w:pPr><w:pStyle w:val="Normal"/></w:pPr>
<w:r><w:t xml:space="preserve">China.  He soon won the confidence of the emperor Kien-lung</w:t></w:r>
</w:p>
<w:p>
<w:pPr><w:pStyle w:val="Normal"/></w:pPr>
<w:r><w:t xml:space="preserve">and spent the remainder of his life at Pekin, where he died</w:t></w:r>
</w:p>
<w:p>
<w:pPr><w:pStyle w:val="Normal"/></w:pPr>
<w:r><w:t xml:space="preserve">on the 9th of October 1793.  Amiot was eminently fitted to</w:t></w:r>
</w:p>
<w:p>
<w:pPr><w:pStyle w:val="Normal"/></w:pPr>
<w:r><w:t xml:space="preserve">make good use of the advantages which his situation afforded,</w:t></w:r>
</w:p>
<w:p>
<w:pPr><w:pStyle w:val="Normal"/></w:pPr>
<w:r><w:t xml:space="preserve">and his works did more than had ever been done before to make</w:t></w:r>
</w:p>
<w:p>
<w:pPr><w:pStyle w:val="Normal"/></w:pPr>
<w:r><w:t xml:space="preserve">known to the Western world the thought and life of the Far</w:t></w:r>
</w:p>
<w:p>
<w:pPr><w:pStyle w:val="Normal"/></w:pPr>
<w:r><w:t xml:space="preserve">East.  His Dictionnaire tatare-mantchou-francais (Paris,</w:t></w:r>
</w:p>
<w:p>
<w:pPr><w:pStyle w:val="Normal"/></w:pPr>
<w:r><w:t xml:space="preserve">1789) was a work of great value, the language having been</w:t></w:r>
</w:p>
<w:p>
<w:pPr><w:pStyle w:val="Normal"/></w:pPr>
<w:r><w:t xml:space="preserve">previously quite unknown in Europe.  His other writings</w:t></w:r>
</w:p>
<w:p>
<w:pPr><w:pStyle w:val="Normal"/></w:pPr>
<w:r><w:t xml:space="preserve">are to be found chiefly in the Memoires concernant</w:t></w:r>
</w:p>
<w:p>
<w:pPr><w:pStyle w:val="Normal"/></w:pPr>
<w:r><w:t xml:space="preserve">l&apos;histoire, les sciences et les arts de Chinois (15 vols.,</w:t></w:r>
</w:p>
<w:p>
<w:pPr><w:pStyle w:val="Normal"/></w:pPr>
<w:r><w:t xml:space="preserve">Paris, 1776-1791).  The Vie de Confucius, the twelfth</w:t></w:r>
</w:p>
<w:p>
<w:pPr><w:pStyle w:val="Normal"/></w:pPr>
<w:r><w:t xml:space="preserve">volume of that collection, is complete and accurate.</w:t></w:r>
</w:p>
<w:p>
<w:pPr><w:pStyle w:val="Normal"/></w:pPr>
<w:r><w:t xml:space="preserve">For full bibliography see De Backer and C. Sommervogel,</w:t></w:r>
</w:p>
<w:p>
<w:pPr><w:pStyle w:val="Normal"/></w:pPr>
<w:r><w:t xml:space="preserve">Bibliotheque de la Cie. de Jesus, i. 294-303;</w:t></w:r>
</w:p>
<w:p>
<w:pPr><w:pStyle w:val="Normal"/></w:pPr>
<w:r><w:t xml:space="preserve">for his works on Chinese music see F. J. Fetis,</w:t></w:r>
</w:p>
<w:p>
<w:pPr><w:pStyle w:val="Normal"/></w:pPr>
<w:r><w:t xml:space="preserve">Biog. univers. des musiciens (Brussels, 1837-1844).</w:t></w:r>
</w:p>
<w:p>
<w:pPr><w:pStyle w:val="Normal"/></w:pPr>
<w:r><w:t xml:space="preserve">AMIR, or AMEER (an Arabic word meaning &quot;commander,&quot;</w:t></w:r>
</w:p>
<w:p>
<w:pPr><w:pStyle w:val="Normal"/></w:pPr>
<w:r><w:t xml:space="preserve">from the root amr, &quot;commanding&quot;), a title common in the</w:t></w:r>
</w:p>
<w:p>
<w:pPr><w:pStyle w:val="Normal"/></w:pPr>
<w:r><w:t xml:space="preserve">Mahommedan East.  The form emir is also commonly employed in</w:t></w:r>
</w:p>
<w:p>
<w:pPr><w:pStyle w:val="Normal"/></w:pPr>
<w:r><w:t xml:space="preserve">English.  The word originally signified a military commander,</w:t></w:r>
</w:p>
<w:p>
<w:pPr><w:pStyle w:val="Normal"/></w:pPr>
<w:r><w:t xml:space="preserve">but very early came to be extended to anyone bearing rule,</w:t></w:r>
</w:p>
<w:p>
<w:pPr><w:pStyle w:val="Normal"/></w:pPr>
<w:r><w:t xml:space="preserve">Mahomet himself being styled by the pagan Arabs amir of</w:t></w:r>
</w:p>
<w:p>
<w:pPr><w:pStyle w:val="Normal"/></w:pPr>
<w:r><w:t xml:space="preserve">Mecca.  Thus the term gradually came to be applied to any high</w:t></w:r>
</w:p>
<w:p>
<w:pPr><w:pStyle w:val="Normal"/></w:pPr>
<w:r><w:t xml:space="preserve">office-bearer, or to any lord or chief.  The caliph has the</w:t></w:r>
</w:p>
<w:p>
<w:pPr><w:pStyle w:val="Normal"/></w:pPr>
<w:r><w:t xml:space="preserve">style of Amir ul Omara, &quot;lord of lords.&quot; The title Amir ul</w:t></w:r>
</w:p>
<w:p>
<w:pPr><w:pStyle w:val="Normal"/></w:pPr>
<w:r><w:t xml:space="preserve">Muminim, or &quot;commander of the faithful,&quot; now borne by the</w:t></w:r>
</w:p>
<w:p>
<w:pPr><w:pStyle w:val="Normal"/></w:pPr>
<w:r><w:t xml:space="preserve">sultan of Turkey, was first assumed by Abu Bekr, and was</w:t></w:r>
</w:p>
<w:p>
<w:pPr><w:pStyle w:val="Normal"/></w:pPr>
<w:r><w:t xml:space="preserve">taken by most of the various dynasties which claimed the</w:t></w:r>
</w:p>
<w:p>
<w:pPr><w:pStyle w:val="Normal"/></w:pPr>
<w:r><w:t xml:space="preserve">caliphate, including the Fatimites, the Spanish Omayyads and the</w:t></w:r>
</w:p>
<w:p>
<w:pPr><w:pStyle w:val="Normal"/></w:pPr>
<w:r><w:t xml:space="preserve">Almohades.  The Almoravides and the Merinides assumed the</w:t></w:r>
</w:p>
<w:p>
<w:pPr><w:pStyle w:val="Normal"/></w:pPr>
<w:r><w:t xml:space="preserve">style of Amir ul Muslimin, &quot;commander of the Mussulmans.&quot;</w:t></w:r>
</w:p>
<w:p>
<w:pPr><w:pStyle w:val="Normal"/></w:pPr>
<w:r><w:t xml:space="preserve">The use of the word is, in fact, closely akin to that of</w:t></w:r>
</w:p>
<w:p>
<w:pPr><w:pStyle w:val="Normal"/></w:pPr>
<w:r><w:t xml:space="preserve">the English &quot;lord,&quot; sometimes connoting office, as in Amir</w:t></w:r>
</w:p>
<w:p>
<w:pPr><w:pStyle w:val="Normal"/></w:pPr>
<w:r><w:t xml:space="preserve">ul-ahghal (minister of finance) under the Almohades (cf.</w:t></w:r>
</w:p>
<w:p>
<w:pPr><w:pStyle w:val="Normal"/></w:pPr>
<w:r><w:t xml:space="preserve">&quot;lord of the treasury&quot;), sometimes mere dignity, as in the</w:t></w:r>
</w:p>
<w:p>
<w:pPr><w:pStyle w:val="Normal"/></w:pPr>
<w:r><w:t xml:space="preserve">case of the title of honour borne by all descendants of the</w:t></w:r>
</w:p>
<w:p>
<w:pPr><w:pStyle w:val="Normal"/></w:pPr>
<w:r><w:t xml:space="preserve">Prophet, or of the title Mir assumed by men of great rank</w:t></w:r>
</w:p>
<w:p>
<w:pPr><w:pStyle w:val="Normal"/></w:pPr>
<w:r><w:t xml:space="preserve">in the Far East.  Sometimes it implies a temporary office of</w:t></w:r>
</w:p>
<w:p>
<w:pPr><w:pStyle w:val="Normal"/></w:pPr>
<w:r><w:t xml:space="preserve">dignity and command--e.g. the Amir ul-haj, &quot;commander of</w:t></w:r>
</w:p>
<w:p>
<w:pPr><w:pStyle w:val="Normal"/></w:pPr>
<w:r><w:t xml:space="preserve">the pilgrimage&quot; (to Mecca).  Sometimes again it connotes the</w:t></w:r>
</w:p>
<w:p>
<w:pPr><w:pStyle w:val="Normal"/></w:pPr>
<w:r><w:t xml:space="preserve">meaning of &quot;sovereign lord,&quot; in which sense it was early assumed</w:t></w:r>
</w:p>
<w:p>
<w:pPr><w:pStyle w:val="Normal"/></w:pPr>
<w:r><w:t xml:space="preserve">by the princes of Sind and by the rulers of Afghanistan and</w:t></w:r>
</w:p>
<w:p>
<w:pPr><w:pStyle w:val="Normal"/></w:pPr>
<w:r><w:t xml:space="preserve">Bokhara, the title implying a lesser dignity than that of</w:t></w:r>
</w:p>
<w:p>
<w:pPr><w:pStyle w:val="Normal"/></w:pPr>
<w:r><w:t xml:space="preserve">sultan.  Thus too it is very generally applied in the East</w:t></w:r>
</w:p>
<w:p>
<w:pPr><w:pStyle w:val="Normal"/></w:pPr>
<w:r><w:t xml:space="preserve">to the chiefs of independent or semi-independent tribes.</w:t></w:r>
</w:p>
<w:p>
<w:pPr><w:pStyle w:val="Normal"/></w:pPr>
<w:r><w:t xml:space="preserve">In the Lebanon both the Christian clans and the Druses are</w:t></w:r>
</w:p>
<w:p>
<w:pPr><w:pStyle w:val="Normal"/></w:pPr>
<w:r><w:t xml:space="preserve">ruled by hereditary amirs.  Finally the word (confused not</w:t></w:r>
</w:p>
<w:p>
<w:pPr><w:pStyle w:val="Normal"/></w:pPr>
<w:r><w:t xml:space="preserve">unnaturally with the particle usually attached to it) was</w:t></w:r>
</w:p>
<w:p>
<w:pPr><w:pStyle w:val="Normal"/></w:pPr>
<w:r><w:t xml:space="preserve">borrowed by the West, and is the origin of the English &quot;admiral.&quot;</w:t></w:r>
</w:p>
<w:p>
<w:pPr><w:pStyle w:val="Normal"/></w:pPr>
<w:r><w:t xml:space="preserve">AMIS ET AMILES, the title of an old French romance based</w:t></w:r>
</w:p>
<w:p>
<w:pPr><w:pStyle w:val="Normal"/></w:pPr>
<w:r><w:t xml:space="preserve">on a widespread legend of friendship and sacrifice.  In its</w:t></w:r>
</w:p>
<w:p>
<w:pPr><w:pStyle w:val="Normal"/></w:pPr>
<w:r><w:t xml:space="preserve">earlier and simpler form it is the story of two friends,</w:t></w:r>
</w:p>
<w:p>
<w:pPr><w:pStyle w:val="Normal"/></w:pPr>
<w:r><w:t xml:space="preserve">one of whom, Amis, was smitten with leprosy because he had</w:t></w:r>
</w:p>
<w:p>
<w:pPr><w:pStyle w:val="Normal"/></w:pPr>
<w:r><w:t xml:space="preserve">committed perjury to save his friend.  A vision informed him</w:t></w:r>
</w:p>
<w:p>
<w:pPr><w:pStyle w:val="Normal"/></w:pPr>
<w:r><w:t xml:space="preserve">that he could only be cured by bathing in the blood of Amiles&apos;s</w:t></w:r>
</w:p>
<w:p>
<w:pPr><w:pStyle w:val="Normal"/></w:pPr>
<w:r><w:t xml:space="preserve">children.  When Amiles learnt this he killed the children, who</w:t></w:r>
</w:p>
<w:p>
<w:pPr><w:pStyle w:val="Normal"/></w:pPr>
<w:r><w:t xml:space="preserve">were, however, miraculously restored to life after the cure of</w:t></w:r>
</w:p>
<w:p>
<w:pPr><w:pStyle w:val="Normal"/></w:pPr>
<w:r><w:t xml:space="preserve">Amis.  The tale was probably of Oriental origin, and introduced</w:t></w:r>
</w:p>
<w:p>
<w:pPr><w:pStyle w:val="Normal"/></w:pPr>
<w:r><w:t xml:space="preserve">to the West by way of Byzantium.  It found its way into</w:t></w:r>
</w:p>
<w:p>
<w:pPr><w:pStyle w:val="Normal"/></w:pPr>
<w:r><w:t xml:space="preserve">French literature through the medium of Latin, as the names</w:t></w:r>
</w:p>
<w:p>
<w:pPr><w:pStyle w:val="Normal"/></w:pPr>
<w:r><w:t xml:space="preserve">Amicus and Amellus indicate, and was eventually attached to</w:t></w:r>
</w:p>
<w:p>
<w:pPr><w:pStyle w:val="Normal"/></w:pPr>
<w:r><w:t xml:space="preserve">the Carolingian cycle in the 12th-century chanson de geste</w:t></w:r>
</w:p>
<w:p>
<w:pPr><w:pStyle w:val="Normal"/></w:pPr>
<w:r><w:t xml:space="preserve">of Amis et Amiles. This poem is written in decasyllabic</w:t></w:r>
</w:p>
<w:p>
<w:pPr><w:pStyle w:val="Normal"/></w:pPr>
<w:r><w:t xml:space="preserve">assonanced verse, each stanza being terminated by a short</w:t></w:r>
</w:p>
<w:p>
<w:pPr><w:pStyle w:val="Normal"/></w:pPr>
<w:r><w:t xml:space="preserve">line.  It belongs to the heroic period of French epic, containing</w:t></w:r>
</w:p>
<w:p>
<w:pPr><w:pStyle w:val="Normal"/></w:pPr>
<w:r><w:t xml:space="preserve">some passages of great beauty, notably the episode of the</w:t></w:r>
</w:p>
<w:p>
<w:pPr><w:pStyle w:val="Normal"/></w:pPr>
<w:r><w:t xml:space="preserve">slaying of the children, and maintains a high level of poetry</w:t></w:r>
</w:p>
<w:p>
<w:pPr><w:pStyle w:val="Normal"/></w:pPr>
<w:r><w:t xml:space="preserve">throughout.  Amis has married Lubras and become count of</w:t></w:r>
</w:p>
<w:p>
<w:pPr><w:pStyle w:val="Normal"/></w:pPr>
<w:r><w:t xml:space="preserve">Blaives (Blaye), while Amiles has become seneschal at the</w:t></w:r>
</w:p>
<w:p>
<w:pPr><w:pStyle w:val="Normal"/></w:pPr>
<w:r><w:t xml:space="preserve">court of Charlemagne, and is seduced by the emperor&apos;s daughter,</w:t></w:r>
</w:p>
<w:p>
<w:pPr><w:pStyle w:val="Normal"/></w:pPr>
<w:r><w:t xml:space="preserve">Bellisant.  The lovers are betrayed, and Amiles is unable</w:t></w:r>
</w:p>
<w:p>
<w:pPr><w:pStyle w:val="Normal"/></w:pPr>
<w:r><w:t xml:space="preserve">to find the necessary supporters to enable him to clear</w:t></w:r>
</w:p>
<w:p>
<w:pPr><w:pStyle w:val="Normal"/></w:pPr>
<w:r><w:t xml:space="preserve">himself by the ordeal of single combat, and fears, moreover,</w:t></w:r>
</w:p>
<w:p>
<w:pPr><w:pStyle w:val="Normal"/></w:pPr>
<w:r><w:t xml:space="preserve">to fight in a false cause.  He is granted a reprieve, and</w:t></w:r>
</w:p>
<w:p>
<w:pPr><w:pStyle w:val="Normal"/></w:pPr>
<w:r><w:t xml:space="preserve">goes in search of Amis, who engages to personate him in the</w:t></w:r>
</w:p>
<w:p>
<w:pPr><w:pStyle w:val="Normal"/></w:pPr>
<w:r><w:t xml:space="preserve">combat.  He thus saves his friend, but in so doing perjures</w:t></w:r>
</w:p>
<w:p>
<w:pPr><w:pStyle w:val="Normal"/></w:pPr>
<w:r><w:t xml:space="preserve">himself.  Then follows the leprosy of Amis, and, after a</w:t></w:r>
</w:p>
<w:p>
<w:pPr><w:pStyle w:val="Normal"/></w:pPr>
<w:r><w:t xml:space="preserve">lapse of years, his discovery of Amiles and cure.  There are</w:t></w:r>
</w:p>
<w:p>
<w:pPr><w:pStyle w:val="Normal"/></w:pPr>
<w:r><w:t xml:space="preserve">obvious reminiscences in this story of Damon and Pythias,</w:t></w:r>
</w:p>
<w:p>
<w:pPr><w:pStyle w:val="Normal"/></w:pPr>
<w:r><w:t xml:space="preserve">and of the classical instances of sacrifice at the divine</w:t></w:r>
</w:p>
<w:p>
<w:pPr><w:pStyle w:val="Normal"/></w:pPr>
<w:r><w:t xml:space="preserve">command.  The legend of Amis and Amiles occurs in many forms</w:t></w:r>
</w:p>
<w:p>
<w:pPr><w:pStyle w:val="Normal"/></w:pPr>
<w:r><w:t xml:space="preserve">with slight variations, the names and positions of the friends</w:t></w:r>
</w:p>
<w:p>
<w:pPr><w:pStyle w:val="Normal"/></w:pPr>
<w:r><w:t xml:space="preserve">being sometimes reversed.  The crown of martyrdom was not</w:t></w:r>
</w:p>
<w:p>
<w:pPr><w:pStyle w:val="Normal"/></w:pPr>
<w:r><w:t xml:space="preserve">lacking, for Amis and Amiles were slain by Ogier the Dane at</w:t></w:r>
</w:p>
<w:p>
<w:pPr><w:pStyle w:val="Normal"/></w:pPr>
<w:r><w:t xml:space="preserve">Novara on their way home from a pilgrimage to the Holy Land.</w:t></w:r>
</w:p>
<w:p>
<w:pPr><w:pStyle w:val="Normal"/></w:pPr>
<w:r><w:t xml:space="preserve">Jourdain de Blaives, a chanson de geste which partly</w:t></w:r>
</w:p>
<w:p>
<w:pPr><w:pStyle w:val="Normal"/></w:pPr>
<w:r><w:t xml:space="preserve">reproduces the story of Apollonius of Tyre, was attached</w:t></w:r>
</w:p>
<w:p>
<w:pPr><w:pStyle w:val="Normal"/></w:pPr>
<w:r><w:t xml:space="preserve">to the geste of Amis by making Jourdain his grandson.</w:t></w:r>
</w:p>
<w:p>
<w:pPr><w:pStyle w:val="Normal"/></w:pPr>
<w:r><w:t xml:space="preserve">The versions of Amis and Amiles include--(a) numerous Latin</w:t></w:r>
</w:p>
<w:p>
<w:pPr><w:pStyle w:val="Normal"/></w:pPr>
<w:r><w:t xml:space="preserve">recensions in prose and verse, notably that given by Vincent</w:t></w:r>
</w:p>
<w:p>
<w:pPr><w:pStyle w:val="Normal"/></w:pPr>
<w:r><w:t xml:space="preserve">de Beauvais in his Speculum historiale (lib. xxiii. cap.</w:t></w:r>
</w:p>
<w:p>
<w:pPr><w:pStyle w:val="Normal"/></w:pPr>
<w:r><w:t xml:space="preserve">162-166 and 169); (b) an Anglo-Norman version in short rhymed</w:t></w:r>
</w:p>
<w:p>
<w:pPr><w:pStyle w:val="Normal"/></w:pPr>
<w:r><w:t xml:space="preserve">couplets, which is not attached to the Charlemagne legend</w:t></w:r>
</w:p>
<w:p>
<w:pPr><w:pStyle w:val="Normal"/></w:pPr>
<w:r><w:t xml:space="preserve">and agrees fairly closely with the English Amis and Amiloun</w:t></w:r>
</w:p>
<w:p>
<w:pPr><w:pStyle w:val="Normal"/></w:pPr>
<w:r><w:t xml:space="preserve">(Midland dialect, 13th century); these with the old Norse</w:t></w:r>
</w:p>
<w:p>
<w:pPr><w:pStyle w:val="Normal"/></w:pPr>
<w:r><w:t xml:space="preserve">version are printed by E. Kolbing, Altengl.  Bibl. vol. ii.</w:t></w:r>
</w:p>
<w:p>
<w:pPr><w:pStyle w:val="Normal"/></w:pPr>
<w:r><w:t xml:space="preserve">(1889), and the English romance also in H. Weber, Metrical</w:t></w:r>
</w:p>
<w:p>
<w:pPr><w:pStyle w:val="Normal"/></w:pPr>
<w:r><w:t xml:space="preserve">Romances, vol. ii. (1810); (c) the 12th- century French</w:t></w:r>
</w:p>
<w:p>
<w:pPr><w:pStyle w:val="Normal"/></w:pPr>
<w:r><w:t xml:space="preserve">chanson de geste analysed by P. Paris in Hist. litt. de</w:t></w:r>
</w:p>
<w:p>
<w:pPr><w:pStyle w:val="Normal"/></w:pPr>
<w:r><w:t xml:space="preserve">la France (vol. xxii.), and edited by K. Hofmann (Erlangen,</w:t></w:r>
</w:p>
<w:p>
<w:pPr><w:pStyle w:val="Normal"/></w:pPr>
<w:r><w:t xml:space="preserve">1882) with the addition of Jourdain de Blaives; (d) the</w:t></w:r>
</w:p>
<w:p>
<w:pPr><w:pStyle w:val="Normal"/></w:pPr>
<w:r><w:t xml:space="preserve">Latin Vita Sanct.  Amici et Amelii (pr. by Kolbing, op.</w:t></w:r>
</w:p>
<w:p>
<w:pPr><w:pStyle w:val="Normal"/></w:pPr>
<w:r><w:t xml:space="preserve">cit.) and its Old-French translation, Li amitiez de Ami et</w:t></w:r>
</w:p>
<w:p>
<w:pPr><w:pStyle w:val="Normal"/></w:pPr>
<w:r><w:t xml:space="preserve">Amile, ed.  L. Moland and C. d&apos;Hericault in Nouvelles</w:t></w:r>
</w:p>
<w:p>
<w:pPr><w:pStyle w:val="Normal"/></w:pPr>
<w:r><w:t xml:space="preserve">... du xiiie siecle (Paris, 1856); (e) a 14th-century</w:t></w:r>
</w:p>
<w:p>
<w:pPr><w:pStyle w:val="Normal"/></w:pPr>
<w:r><w:t xml:space="preserve">drama, Un Miracle de Notre Dame d&apos;Amis et Amile, ed.  L.</w:t></w:r>
</w:p>
<w:p>
<w:pPr><w:pStyle w:val="Normal"/></w:pPr>
<w:r><w:t xml:space="preserve">J. N. Monmerque and F. Michelin Theatre fr. au moyen</w:t></w:r>
</w:p>
<w:p>
<w:pPr><w:pStyle w:val="Normal"/></w:pPr>
<w:r><w:t xml:space="preserve">age (1839); (f) old Norse, Icelandic, Danish versions,</w:t></w:r>
</w:p>
<w:p>
<w:pPr><w:pStyle w:val="Normal"/></w:pPr>
<w:r><w:t xml:space="preserve">&amp;c. (see K. Hofmann, op. cit.); (g) an imitation which</w:t></w:r>
</w:p>
<w:p>
<w:pPr><w:pStyle w:val="Normal"/></w:pPr>
<w:r><w:t xml:space="preserve">under the name of Oliver and Artus was current in many</w:t></w:r>
</w:p>
<w:p>
<w:pPr><w:pStyle w:val="Normal"/></w:pPr>
<w:r><w:t xml:space="preserve">languages and was the subject of Hans Sachs&apos;s comedy, Die</w:t></w:r>
</w:p>
<w:p>
<w:pPr><w:pStyle w:val="Normal"/></w:pPr>
<w:r><w:t xml:space="preserve">treuen Gesellen (1556); (h) Engelhart und Engeltrut, by</w:t></w:r>
</w:p>
<w:p>
<w:pPr><w:pStyle w:val="Normal"/></w:pPr>
<w:r><w:t xml:space="preserve">the minnesinger Conrad von Wurzburg (ed. M. Haupt, Leipzig,</w:t></w:r>
</w:p>
<w:p>
<w:pPr><w:pStyle w:val="Normal"/></w:pPr>
<w:r><w:t xml:space="preserve">1844, 2nd ed., 1900); (i) the late prose romances, with many</w:t></w:r>
</w:p>
<w:p>
<w:pPr><w:pStyle w:val="Normal"/></w:pPr>
<w:r><w:t xml:space="preserve">changes and additions, Milles et Amys, printed by A. Verard</w:t></w:r>
</w:p>
<w:p>
<w:pPr><w:pStyle w:val="Normal"/></w:pPr>
<w:r><w:t xml:space="preserve">(Paris, c. 1503), &amp;c., for which see G. Brunet, Manuel du</w:t></w:r>
</w:p>
<w:p>
<w:pPr><w:pStyle w:val="Normal"/></w:pPr>
<w:r><w:t xml:space="preserve">libraire, s.v. &quot;Milles.&quot; A different version of the legend is</w:t></w:r>
</w:p>
<w:p>
<w:pPr><w:pStyle w:val="Normal"/></w:pPr>
<w:r><w:t xml:space="preserve">inserted at considerable length in L&apos;Ystoire des sept sages</w:t></w:r>
</w:p>
<w:p>
<w:pPr><w:pStyle w:val="Normal"/></w:pPr>
<w:r><w:t xml:space="preserve">(ed. G. Paris, Soc. des anc. textes fr., 1876), in which</w:t></w:r>
</w:p>
<w:p>
<w:pPr><w:pStyle w:val="Normal"/></w:pPr>
<w:r><w:t xml:space="preserve">the friends are called Alexandre and Louis, and Bellisant</w:t></w:r>
</w:p>
<w:p>
<w:pPr><w:pStyle w:val="Normal"/></w:pPr>
<w:r><w:t xml:space="preserve">Florentine.  For a further bibliography see L. Gautier, Bibl.</w:t></w:r>
</w:p>
<w:p>
<w:pPr><w:pStyle w:val="Normal"/></w:pPr>
<w:r><w:t xml:space="preserve">des chansons de geste (Paris, 1897).  William Morris&apos;s version</w:t></w:r>
</w:p>
<w:p>
<w:pPr><w:pStyle w:val="Normal"/></w:pPr>
<w:r><w:t xml:space="preserve">of the French romance was printed at the Kelmscott Press in</w:t></w:r>
</w:p>
<w:p>
<w:pPr><w:pStyle w:val="Normal"/></w:pPr>
<w:r><w:t xml:space="preserve">1894.  See also the essay by W. Pater in The Renaissance, 1893.</w:t></w:r>
</w:p>
<w:p>
<w:pPr><w:pStyle w:val="Normal"/></w:pPr>
<w:r><w:t xml:space="preserve">AMITERNUM, an ancient town of the Sabines, situated about 5</w:t></w:r>
</w:p>
<w:p>
<w:pPr><w:pStyle w:val="Normal"/></w:pPr>
<w:r><w:t xml:space="preserve">m.  N. of Aquila, in the broad valley of the Aternus, from</w:t></w:r>
</w:p>
<w:p>
<w:pPr><w:pStyle w:val="Normal"/></w:pPr>
<w:r><w:t xml:space="preserve">which, according to Varro, it took its name.  It was stormed by</w:t></w:r>
</w:p>
<w:p>
<w:pPr><w:pStyle w:val="Normal"/></w:pPr>
<w:r><w:t xml:space="preserve">the Romans in 293 B.C., and though it suffered from the wars</w:t></w:r>
</w:p>
<w:p>
<w:pPr><w:pStyle w:val="Normal"/></w:pPr>
<w:r><w:t xml:space="preserve">of the Republican period, it seems to have risen to renewed</w:t></w:r>
</w:p>
<w:p>
<w:pPr><w:pStyle w:val="Normal"/></w:pPr>
<w:r><w:t xml:space="preserve">prosperity under the empire.  This it owed largely to its</w:t></w:r>
</w:p>
<w:p>
<w:pPr><w:pStyle w:val="Normal"/></w:pPr>
<w:r><w:t xml:space="preserve">position.  It lay at the point of junction of four roads--the</w:t></w:r>
</w:p>
<w:p>
<w:pPr><w:pStyle w:val="Normal"/></w:pPr>
<w:r><w:t xml:space="preserve">via Caecilia, the Via Claudia Nova and two branches of the</w:t></w:r>
</w:p>
<w:p>
<w:pPr><w:pStyle w:val="Normal"/></w:pPr>
<w:r><w:t xml:space="preserve">Via Salaria, which joined it at the 64th and 89th miles</w:t></w:r>
</w:p>
<w:p>
<w:pPr><w:pStyle w:val="Normal"/></w:pPr>
<w:r><w:t xml:space="preserve">respectively.  The fertility of its territory was also</w:t></w:r>
</w:p>
<w:p>
<w:pPr><w:pStyle w:val="Normal"/></w:pPr>
<w:r><w:t xml:space="preserve">praised by ancient authors.  There are considerable remains</w:t></w:r>
</w:p>
<w:p>
<w:pPr><w:pStyle w:val="Normal"/></w:pPr>
<w:r><w:t xml:space="preserve">of an aqueduct, an amphitheatre and a theatre (the latter</w:t></w:r>
</w:p>
<w:p>
<w:pPr><w:pStyle w:val="Normal"/></w:pPr>
<w:r><w:t xml:space="preserve">excavated in 1880--see Notizie degli scavi, 1880, 290,</w:t></w:r>
</w:p>
<w:p>
<w:pPr><w:pStyle w:val="Normal"/></w:pPr>
<w:r><w:t xml:space="preserve">350, 379), all of which belong to the imperial period, while</w:t></w:r>
</w:p>
<w:p>
<w:pPr><w:pStyle w:val="Normal"/></w:pPr>
<w:r><w:t xml:space="preserve">in the hill on which the village of S. Vittorino is built</w:t></w:r>
</w:p>
<w:p>
<w:pPr><w:pStyle w:val="Normal"/></w:pPr>
<w:r><w:t xml:space="preserve">are some Christian catacombs.  Amiternum was the birthplace</w:t></w:r>
</w:p>
<w:p>
<w:pPr><w:pStyle w:val="Normal"/></w:pPr>
<w:r><w:t xml:space="preserve">of the historian Sallust.  In a gorge 1 1/2 m. east are</w:t></w:r>
</w:p>
<w:p>
<w:pPr><w:pStyle w:val="Normal"/></w:pPr>
<w:r><w:t xml:space="preserve">massive remains of cyclopean walls (i.e. in rough blocks),</w:t></w:r>
</w:p>
<w:p>
<w:pPr><w:pStyle w:val="Normal"/></w:pPr>
<w:r><w:t xml:space="preserve">probably intended to regulate the flow of the stream (N.</w:t></w:r>
</w:p>
<w:p>
<w:pPr><w:pStyle w:val="Normal"/></w:pPr>
<w:r><w:t xml:space="preserve">Persichetti in Romische Mitteilungen, 1902, 134 seq..)</w:t></w:r>
</w:p>
<w:p>
<w:pPr><w:pStyle w:val="Normal"/></w:pPr>
<w:r><w:t xml:space="preserve">AMLWCH (llwch = &quot;lake&quot;), a market town of Anglesey, North</w:t></w:r>
</w:p>
<w:p>
<w:pPr><w:pStyle w:val="Normal"/></w:pPr>
<w:r><w:t xml:space="preserve">Wales, situated on slightly rising ground on the N. coast of the</w:t></w:r>
</w:p>
<w:p>
<w:pPr><w:pStyle w:val="Normal"/></w:pPr>
<w:r><w:t xml:space="preserve">island, 15 m.  N.W. of Beaumaris and 262 m. from London, by the</w:t></w:r>
</w:p>
<w:p>
<w:pPr><w:pStyle w:val="Normal"/></w:pPr>
<w:r><w:t xml:space="preserve">London &amp; North-Western railway.  Pop. of urban district (1901)</w:t></w:r>
</w:p>
<w:p>
<w:pPr><w:pStyle w:val="Normal"/></w:pPr>
<w:r><w:t xml:space="preserve">2994.  Originally it owed its whole importance to the copper</w:t></w:r>
</w:p>
<w:p>
<w:pPr><w:pStyle w:val="Normal"/></w:pPr>
<w:r><w:t xml:space="preserve">mines of the Parys (probably, Parry&apos;s) mountain, as, before</w:t></w:r>
</w:p>
<w:p>
<w:pPr><w:pStyle w:val="Normal"/></w:pPr>
<w:r><w:t xml:space="preserve">ore was discovered in March 1768, it was a small hamlet of</w:t></w:r>
</w:p>
<w:p>
<w:pPr><w:pStyle w:val="Normal"/></w:pPr>
<w:r><w:t xml:space="preserve">fishermen.  The mines once produced 3000 tons of metal</w:t></w:r>
</w:p>
<w:p>
<w:pPr><w:pStyle w:val="Normal"/></w:pPr>
<w:r><w:t xml:space="preserve">annually, copper smelting being largely carried on, but have</w:t></w:r>
</w:p>
<w:p>
<w:pPr><w:pStyle w:val="Normal"/></w:pPr>
<w:r><w:t xml:space="preserve">now almost ceased working.  Though apparently not mentioned by</w:t></w:r>
</w:p>
<w:p>
<w:pPr><w:pStyle w:val="Normal"/></w:pPr>
<w:r><w:t xml:space="preserve">Ptolemy, they were perhaps Roman.  Robert Parys, chamberlain</w:t></w:r>
</w:p>
<w:p>
<w:pPr><w:pStyle w:val="Normal"/></w:pPr>
<w:r><w:t xml:space="preserve">of North Wales under Henry IV., is often given as their</w:t></w:r>
</w:p>
<w:p>
<w:pPr><w:pStyle w:val="Normal"/></w:pPr>
<w:r><w:t xml:space="preserve">godfather.  The poor harbour called the &quot;port,&quot; protected</w:t></w:r>
</w:p>
<w:p>
<w:pPr><w:pStyle w:val="Normal"/></w:pPr>
<w:r><w:t xml:space="preserve">by a breakwater, has been cut out of the rock (shingle).</w:t></w:r>
</w:p>
<w:p>
<w:pPr><w:pStyle w:val="Normal"/></w:pPr>
<w:r><w:t xml:space="preserve">Amlwch is the terminus of the branch railway from Gaerwen</w:t></w:r>
</w:p>
<w:p>
<w:pPr><w:pStyle w:val="Normal"/></w:pPr>
<w:r><w:t xml:space="preserve">to Amlwch, formerly the Anglesey Central Railway Company.</w:t></w:r>
</w:p>
<w:p>
<w:pPr><w:pStyle w:val="Normal"/></w:pPr>
<w:r><w:t xml:space="preserve">Porthllechog, or Bull Bay (so called from the Bull Rock), at</w:t></w:r>
</w:p>
<w:p>
<w:pPr><w:pStyle w:val="Normal"/></w:pPr>
<w:r><w:t xml:space="preserve">a mile&apos;s distance, is a small but favourite watering-place.</w:t></w:r>
</w:p>
<w:p>
<w:pPr><w:pStyle w:val="Normal"/></w:pPr>
<w:r><w:t xml:space="preserve">Beyond, on the coast, some 3 m. distant, are the remains of</w:t></w:r>
</w:p>
<w:p>
<w:pPr><w:pStyle w:val="Normal"/></w:pPr>
<w:r><w:t xml:space="preserve">a British fort and of the Llanllaianau monastery, opposite</w:t></w:r>
</w:p>
<w:p>
<w:pPr><w:pStyle w:val="Normal"/></w:pPr>
<w:r><w:t xml:space="preserve">the Middle Mouse islet and close to Llanbadrig old church and</w:t></w:r>
</w:p>
<w:p>
<w:pPr><w:pStyle w:val="Normal"/></w:pPr>
<w:r><w:t xml:space="preserve">Cemmaes.  Industries include slate quarrying, shipbuilding,</w:t></w:r>
</w:p>
<w:p>
<w:pPr><w:pStyle w:val="Normal"/></w:pPr>
<w:r><w:t xml:space="preserve">iron and brass foundries, alum, vitriol, manure, guano and</w:t></w:r>
</w:p>
<w:p>
<w:pPr><w:pStyle w:val="Normal"/></w:pPr>
<w:r><w:t xml:space="preserve">tobacco works.  At Llanllaianau was found, in 1841, a stone</w:t></w:r>
</w:p>
<w:p>
<w:pPr><w:pStyle w:val="Normal"/></w:pPr>
<w:r><w:t xml:space="preserve">coffin, holding a well- preserved skeleton of 7 1/2 ft. in</w:t></w:r>
</w:p>
<w:p>
<w:pPr><w:pStyle w:val="Normal"/></w:pPr>
<w:r><w:t xml:space="preserve">length.  The coffin was apparently of Aberdovey (Aberdyfi)</w:t></w:r>
</w:p>
<w:p>
<w:pPr><w:pStyle w:val="Normal"/></w:pPr>
<w:r><w:t xml:space="preserve">limestone, much corroded.  At Llangefni, not far from</w:t></w:r>
</w:p>
<w:p>
<w:pPr><w:pStyle w:val="Normal"/></w:pPr>
<w:r><w:t xml:space="preserve">Amlwch, in 1829, and at Llangristiolus, 3 m. distant from</w:t></w:r>
</w:p>
<w:p>
<w:pPr><w:pStyle w:val="Normal"/></w:pPr>
<w:r><w:t xml:space="preserve">Llangefni, about 1770, were found human bones of a high</w:t></w:r>
</w:p>
<w:p>
<w:pPr><w:pStyle w:val="Normal"/></w:pPr>
<w:r><w:t xml:space="preserve">antiquity, between Glan Hwfa and Fron, and at Capel,</w:t></w:r>
</w:p>
<w:p>
<w:pPr><w:pStyle w:val="Normal"/></w:pPr>
<w:r><w:t xml:space="preserve">respectively.  The town has an old Anglican church (St Eleth&apos;s).</w:t></w:r>
</w:p>
<w:p>
<w:pPr><w:pStyle w:val="Normal"/></w:pPr>
<w:r><w:t xml:space="preserve">AMMAN, JOHANN CONRAD (1669-c. 1730), Swiss physician,</w:t></w:r>
</w:p>
<w:p>
<w:pPr><w:pStyle w:val="Normal"/></w:pPr>
<w:r><w:t xml:space="preserve">was born at Schaffhausen in 1669.  After graduating at Basel</w:t></w:r>
</w:p>
<w:p>
<w:pPr><w:pStyle w:val="Normal"/></w:pPr>
<w:r><w:t xml:space="preserve">in 1687 he began to practise at Amsterdam, where he gained</w:t></w:r>
</w:p>
<w:p>
<w:pPr><w:pStyle w:val="Normal"/></w:pPr>
<w:r><w:t xml:space="preserve">a great reputation.  He was one of the earliest writers</w:t></w:r>
</w:p>
<w:p>
<w:pPr><w:pStyle w:val="Normal"/></w:pPr>
<w:r><w:t xml:space="preserve">on the instruction of the deaf and dumb, and first called</w:t></w:r>
</w:p>
<w:p>
<w:pPr><w:pStyle w:val="Normal"/></w:pPr>
<w:r><w:t xml:space="preserve">attention to his method in his Surdus loquens (Amsterdam,</w:t></w:r>
</w:p>
<w:p>
<w:pPr><w:pStyle w:val="Normal"/></w:pPr>
<w:r><w:t xml:space="preserve">1692), which was often reprinted, and was reproduced by</w:t></w:r>
</w:p>
<w:p>
<w:pPr><w:pStyle w:val="Normal"/></w:pPr>
<w:r><w:t xml:space="preserve">John Wallis in the Philosophical Transactions (1698).  His</w:t></w:r>
</w:p>
<w:p>
<w:pPr><w:pStyle w:val="Normal"/></w:pPr>
<w:r><w:t xml:space="preserve">process consisted principally in exciting the attention of</w:t></w:r>
</w:p>
<w:p>
<w:pPr><w:pStyle w:val="Normal"/></w:pPr>
<w:r><w:t xml:space="preserve">his pupils to the motions of his lips and larynx while he</w:t></w:r>
</w:p>
<w:p>
<w:pPr><w:pStyle w:val="Normal"/></w:pPr>
<w:r><w:t xml:space="preserve">spoke, and then inducing them to imitate these movements,</w:t></w:r>
</w:p>
<w:p>
<w:pPr><w:pStyle w:val="Normal"/></w:pPr>
<w:r><w:t xml:space="preserve">till he brought them to repeat distinctly letters, syllables</w:t></w:r>
</w:p>
<w:p>
<w:pPr><w:pStyle w:val="Normal"/></w:pPr>
<w:r><w:t xml:space="preserve">and words.  The edition of Caelius Aurelianus, which was</w:t></w:r>
</w:p>
<w:p>
<w:pPr><w:pStyle w:val="Normal"/></w:pPr>
<w:r><w:t xml:space="preserve">undertaken by the Wetsteins in 1709, was superintended by</w:t></w:r>
</w:p>
<w:p>
<w:pPr><w:pStyle w:val="Normal"/></w:pPr>
<w:r><w:t xml:space="preserve">Amman.  He died about 1730 at Warmoud, near Leiden.</w:t></w:r>
</w:p>
<w:p>
<w:pPr><w:pStyle w:val="Normal"/></w:pPr>
<w:r><w:t xml:space="preserve">AMMAN, JOST (1539-1591), Swiss artist, celebrated chiefly</w:t></w:r>
</w:p>
<w:p>
<w:pPr><w:pStyle w:val="Normal"/></w:pPr>
<w:r><w:t xml:space="preserve">for his engravings on wood, was born at Zurich.  Of his</w:t></w:r>
</w:p>
<w:p>
<w:pPr><w:pStyle w:val="Normal"/></w:pPr>
<w:r><w:t xml:space="preserve">personal history little is known beyond the fact that he</w:t></w:r>
</w:p>
<w:p>
<w:pPr><w:pStyle w:val="Normal"/></w:pPr>
<w:r><w:t xml:space="preserve">removed in 1560 to Nuremberg, where he continued to reside</w:t></w:r>
</w:p>
<w:p>
<w:pPr><w:pStyle w:val="Normal"/></w:pPr>
<w:r><w:t xml:space="preserve">until his death in March 1591.  His productiveness was very</w:t></w:r>
</w:p>
<w:p>
<w:pPr><w:pStyle w:val="Normal"/></w:pPr>
<w:r><w:t xml:space="preserve">remarkable, as may be gathered from the statement of one of</w:t></w:r>
</w:p>
<w:p>
<w:pPr><w:pStyle w:val="Normal"/></w:pPr>
<w:r><w:t xml:space="preserve">his pupils, that the drawings he made during a period of four</w:t></w:r>
</w:p>
<w:p>
<w:pPr><w:pStyle w:val="Normal"/></w:pPr>
<w:r><w:t xml:space="preserve">years would have filled a hay wagon.  A large number of his</w:t></w:r>
</w:p>
<w:p>
<w:pPr><w:pStyle w:val="Normal"/></w:pPr>
<w:r><w:t xml:space="preserve">original drawings are contained in the Berlin collection of</w:t></w:r>
</w:p>
<w:p>
<w:pPr><w:pStyle w:val="Normal"/></w:pPr>
<w:r><w:t xml:space="preserve">engravings.  The genuineness of not a few of the specimens</w:t></w:r>
</w:p>
<w:p>
<w:pPr><w:pStyle w:val="Normal"/></w:pPr>
<w:r><w:t xml:space="preserve">to be seen elsewhere is at least questionable.  A series of</w:t></w:r>
</w:p>
<w:p>
<w:pPr><w:pStyle w:val="Normal"/></w:pPr>
<w:r><w:t xml:space="preserve">copperplate engravings by Amman of the kings of France, with short</w:t></w:r>
</w:p>
<w:p>
<w:pPr><w:pStyle w:val="Normal"/></w:pPr>
<w:r><w:t xml:space="preserve">biographies, appeared at Frankfort in 1576.  He also executed</w:t></w:r>
</w:p>
<w:p>
<w:pPr><w:pStyle w:val="Normal"/></w:pPr>
<w:r><w:t xml:space="preserve">many of the woodcut illustrations for the Bible published at</w:t></w:r>
</w:p>
<w:p>
<w:pPr><w:pStyle w:val="Normal"/></w:pPr>
<w:r><w:t xml:space="preserve">Frankfort by Sigismund Feierabend.  Another serial work, the</w:t></w:r>
</w:p>
<w:p>
<w:pPr><w:pStyle w:val="Normal"/></w:pPr>
<w:r><w:t xml:space="preserve">Panoplia Omnium Liberalium Mechanicarum et Sedentariarum</w:t></w:r>
</w:p>
<w:p>
<w:pPr><w:pStyle w:val="Normal"/></w:pPr>
<w:r><w:t xml:space="preserve">Artium Genera Continens, containing 115 plates, is of great</w:t></w:r>
</w:p>
<w:p>
<w:pPr><w:pStyle w:val="Normal"/></w:pPr>
<w:r><w:t xml:space="preserve">value.  Amman&apos;s drawing is correct and spirited, and his</w:t></w:r>
</w:p>
<w:p>
<w:pPr><w:pStyle w:val="Normal"/></w:pPr>
<w:r><w:t xml:space="preserve">delineation of the details of costume, &amp;c., is minute and</w:t></w:r>
</w:p>
<w:p>
<w:pPr><w:pStyle w:val="Normal"/></w:pPr>
<w:r><w:t xml:space="preserve">accurate.  He executed too much, however, to permit of his reaching</w:t></w:r>
</w:p>
<w:p>
<w:pPr><w:pStyle w:val="Normal"/></w:pPr>
<w:r><w:t xml:space="preserve">the highest style of art.  Paintings in oil and on glass are</w:t></w:r>
</w:p>
<w:p>
<w:pPr><w:pStyle w:val="Normal"/></w:pPr>
<w:r><w:t xml:space="preserve">attributed to him, but no specimen of these is known to exist.</w:t></w:r>
</w:p>
<w:p>
<w:pPr><w:pStyle w:val="Normal"/></w:pPr>
<w:r><w:t xml:space="preserve">AMMAN, PAUL (1634-1691), German physician and botanist, was</w:t></w:r>
</w:p>
<w:p>
<w:pPr><w:pStyle w:val="Normal"/></w:pPr>
<w:r><w:t xml:space="preserve">born at Breslau in 1634.  In 1662 he received the degree of</w:t></w:r>
</w:p>
<w:p>
<w:pPr><w:pStyle w:val="Normal"/></w:pPr>
<w:r><w:t xml:space="preserve">doctor of physic from the university of Leipzig, and in 1664</w:t></w:r>
</w:p>
<w:p>
<w:pPr><w:pStyle w:val="Normal"/></w:pPr>
<w:r><w:t xml:space="preserve">was admitted a member of the society Naturae Curiosorum,</w:t></w:r>
</w:p>
<w:p>
<w:pPr><w:pStyle w:val="Normal"/></w:pPr>
<w:r><w:t xml:space="preserve">under the name of Dryander.  Shortly afterwards he was chosen</w:t></w:r>
</w:p>
<w:p>
<w:pPr><w:pStyle w:val="Normal"/></w:pPr>
<w:r><w:t xml:space="preserve">extraordinary professor of medicine in the above-mentioned</w:t></w:r>
</w:p>
<w:p>
<w:pPr><w:pStyle w:val="Normal"/></w:pPr>
<w:r><w:t xml:space="preserve">university; and in 1674 he was promoted to the botanical</w:t></w:r>
</w:p>
<w:p>
<w:pPr><w:pStyle w:val="Normal"/></w:pPr>
<w:r><w:t xml:space="preserve">chair, which he again in 1682 exchanged for the physiological.</w:t></w:r>
</w:p>
<w:p>
<w:pPr><w:pStyle w:val="Normal"/></w:pPr>
<w:r><w:t xml:space="preserve">He died at Leipzig in 1691.  He seems to have been a man of</w:t></w:r>
</w:p>
<w:p>
<w:pPr><w:pStyle w:val="Normal"/></w:pPr>
<w:r><w:t xml:space="preserve">critical mind and extensive learning.  His principal works</w:t></w:r>
</w:p>
<w:p>
<w:pPr><w:pStyle w:val="Normal"/></w:pPr>
<w:r><w:t xml:space="preserve">were: Medicina Critica (1670); Paraenesis ad Docentes</w:t></w:r>
</w:p>
<w:p>
<w:pPr><w:pStyle w:val="Normal"/></w:pPr>
<w:r><w:t xml:space="preserve">occupata circa Institutionum Medicarum Emendationem (1673);</w:t></w:r>
</w:p>
<w:p>
<w:pPr><w:pStyle w:val="Normal"/></w:pPr>
<w:r><w:t xml:space="preserve">Irenicum Numae Pompilii cum Hippocrate (1689); Supellex</w:t></w:r>
</w:p>
<w:p>
<w:pPr><w:pStyle w:val="Normal"/></w:pPr>
<w:r><w:t xml:space="preserve">Botanica (1675); and Character Naturalis Plantarum (1676).</w:t></w:r>
</w:p>
<w:p>
<w:pPr><w:pStyle w:val="Normal"/></w:pPr>
<w:r><w:t xml:space="preserve">AMMANATI, BARTOLOMEO (1511-1592), Florentine architect and</w:t></w:r>
</w:p>
<w:p>
<w:pPr><w:pStyle w:val="Normal"/></w:pPr>
<w:r><w:t xml:space="preserve">sculptor.  He studied under Bandinelli and Jacopo Sansovino,</w:t></w:r>
</w:p>
<w:p>
<w:pPr><w:pStyle w:val="Normal"/></w:pPr>
<w:r><w:t xml:space="preserve">and closely imitated the style of Michelangelo.  He was more</w:t></w:r>
</w:p>
<w:p>
<w:pPr><w:pStyle w:val="Normal"/></w:pPr>
<w:r><w:t xml:space="preserve">distinguished in architecture than in sculpture.  He designed many</w:t></w:r>
</w:p>
<w:p>
<w:pPr><w:pStyle w:val="Normal"/></w:pPr>
<w:r><w:t xml:space="preserve">buildings in Rome, Lucca and Florence, an addition to the Pitti</w:t></w:r>
</w:p>
<w:p>
<w:pPr><w:pStyle w:val="Normal"/></w:pPr>
<w:r><w:t xml:space="preserve">Palace in the last- named city being one of his most celebrated</w:t></w:r>
</w:p>
<w:p>
<w:pPr><w:pStyle w:val="Normal"/></w:pPr>
<w:r><w:t xml:space="preserve">works.  He was also employed in 1569 to build the beautiful</w:t></w:r>
</w:p>
<w:p>
<w:pPr><w:pStyle w:val="Normal"/></w:pPr>
<w:r><w:t xml:space="preserve">bridge over the Arno, known as Ponte della Trinita--one of</w:t></w:r>
</w:p>
<w:p>
<w:pPr><w:pStyle w:val="Normal"/></w:pPr>
<w:r><w:t xml:space="preserve">his celebrated works.  The three arches are elliptic, and</w:t></w:r>
</w:p>
<w:p>
<w:pPr><w:pStyle w:val="Normal"/></w:pPr>
<w:r><w:t xml:space="preserve">though very light and elegant, have resisted the fury of the</w:t></w:r>
</w:p>
<w:p>
<w:pPr><w:pStyle w:val="Normal"/></w:pPr>
<w:r><w:t xml:space="preserve">river, which has swept away several other bridges at different</w:t></w:r>
</w:p>
<w:p>
<w:pPr><w:pStyle w:val="Normal"/></w:pPr>
<w:r><w:t xml:space="preserve">times.  Another of his most important works was the fountain</w:t></w:r>
</w:p>
<w:p>
<w:pPr><w:pStyle w:val="Normal"/></w:pPr>
<w:r><w:t xml:space="preserve">for the Piazza della Signoria.  In 1550 Ammanati married</w:t></w:r>
</w:p>
<w:p>
<w:pPr><w:pStyle w:val="Normal"/></w:pPr>
<w:r><w:t xml:space="preserve">Laura Battiferri, an elegant poet and an accomplished woman.</w:t></w:r>
</w:p>
<w:p>
<w:pPr><w:pStyle w:val="Normal"/></w:pPr>
<w:r><w:t xml:space="preserve">AMMIANUS, MARCELLINUS, the last Roman historian of</w:t></w:r>
</w:p>
<w:p>
<w:pPr><w:pStyle w:val="Normal"/></w:pPr>
<w:r><w:t xml:space="preserve">importance, was born about A.D. 325-330 at Antioch; the</w:t></w:r>
</w:p>
<w:p>
<w:pPr><w:pStyle w:val="Normal"/></w:pPr>
<w:r><w:t xml:space="preserve">date of his death is unknown, but he must have lived till</w:t></w:r>
</w:p>
<w:p>
<w:pPr><w:pStyle w:val="Normal"/></w:pPr>
<w:r><w:t xml:space="preserve">391, as he mentions Aurelius Victor as the city prefect</w:t></w:r>
</w:p>
<w:p>
<w:pPr><w:pStyle w:val="Normal"/></w:pPr>
<w:r><w:t xml:space="preserve">for that year.  He was a Greek, and his enrolment among the</w:t></w:r>
</w:p>
<w:p>
<w:pPr><w:pStyle w:val="Normal"/></w:pPr>
<w:r><w:t xml:space="preserve">protectores domestici (household guards) shows that he</w:t></w:r>
</w:p>
<w:p>
<w:pPr><w:pStyle w:val="Normal"/></w:pPr>
<w:r><w:t xml:space="preserve">was of noble birth.  He entered the army at an early age,</w:t></w:r>
</w:p>
<w:p>
<w:pPr><w:pStyle w:val="Normal"/></w:pPr>
<w:r><w:t xml:space="preserve">when Constantius II. was emperor of the East, and was sent</w:t></w:r>
</w:p>
<w:p>
<w:pPr><w:pStyle w:val="Normal"/></w:pPr>
<w:r><w:t xml:space="preserve">to serve under Ursicinus, governor of Nisibis and magister</w:t></w:r>
</w:p>
<w:p>
<w:pPr><w:pStyle w:val="Normal"/></w:pPr>
<w:r><w:t xml:space="preserve">militiae.  He returned to Italy with Ursicinus, when he</w:t></w:r>
</w:p>
<w:p>
<w:pPr><w:pStyle w:val="Normal"/></w:pPr>
<w:r><w:t xml:space="preserve">was recalled by Constantius, and accompanied him on the</w:t></w:r>
</w:p>
<w:p>
<w:pPr><w:pStyle w:val="Normal"/></w:pPr>
<w:r><w:t xml:space="preserve">expedition against Silvanus the Frank, who had been forced</w:t></w:r>
</w:p>
<w:p>
<w:pPr><w:pStyle w:val="Normal"/></w:pPr>
<w:r><w:t xml:space="preserve">by the unjust accusations of his enemies into proclaiming</w:t></w:r>
</w:p>
<w:p>
<w:pPr><w:pStyle w:val="Normal"/></w:pPr>
<w:r><w:t xml:space="preserve">himself emperor in Gaul.  With Ursicinus he went twice to the</w:t></w:r>
</w:p>
<w:p>
<w:pPr><w:pStyle w:val="Normal"/></w:pPr>
<w:r><w:t xml:space="preserve">East, and barely escaped with his life from Amida or Amid</w:t></w:r>
</w:p>
<w:p>
<w:pPr><w:pStyle w:val="Normal"/></w:pPr>
<w:r><w:t xml:space="preserve">(mod.  Diarbekr), when it was taken by the Persian king Shapur</w:t></w:r>
</w:p>
<w:p>
<w:pPr><w:pStyle w:val="Normal"/></w:pPr>
<w:r><w:t xml:space="preserve">(Sapor) II. When Ursicinus lost his office and the favour of</w:t></w:r>
</w:p>
<w:p>
<w:pPr><w:pStyle w:val="Normal"/></w:pPr>
<w:r><w:t xml:space="preserve">Constantius, Ammianus seems to have shared his downfall;</w:t></w:r>
</w:p>
<w:p>
<w:pPr><w:pStyle w:val="Normal"/></w:pPr>
<w:r><w:t xml:space="preserve">but under Julian, Constantius&apos;s successor, he regained his</w:t></w:r>
</w:p>
<w:p>
<w:pPr><w:pStyle w:val="Normal"/></w:pPr>
<w:r><w:t xml:space="preserve">position.  He accompanied this emperor, for whom he expresses</w:t></w:r>
</w:p>
<w:p>
<w:pPr><w:pStyle w:val="Normal"/></w:pPr>
<w:r><w:t xml:space="preserve">enthusiastic admiration, in his campaigns against the Alamanni</w:t></w:r>
</w:p>
<w:p>
<w:pPr><w:pStyle w:val="Normal"/></w:pPr>
<w:r><w:t xml:space="preserve">and the Persians; after his death he took part in the retreat</w:t></w:r>
</w:p>
<w:p>
<w:pPr><w:pStyle w:val="Normal"/></w:pPr>
<w:r><w:t xml:space="preserve">of Jovian as far as Antioch, where he was residing when the</w:t></w:r>
</w:p>
<w:p>
<w:pPr><w:pStyle w:val="Normal"/></w:pPr>
<w:r><w:t xml:space="preserve">conspiracy of Theodorus (371) was discovered and cruelly put</w:t></w:r>
</w:p>
<w:p>
<w:pPr><w:pStyle w:val="Normal"/></w:pPr>
<w:r><w:t xml:space="preserve">down.  Eventually he settled in Rome, where, at an advanced</w:t></w:r>
</w:p>
<w:p>
<w:pPr><w:pStyle w:val="Normal"/></w:pPr>
<w:r><w:t xml:space="preserve">age, he wrote (in Latin) a history of the Roman empire from</w:t></w:r>
</w:p>
<w:p>
<w:pPr><w:pStyle w:val="Normal"/></w:pPr>
<w:r><w:t xml:space="preserve">the accession of Nerva to the death of Valens (96-378), thus</w:t></w:r>
</w:p>
<w:p>
<w:pPr><w:pStyle w:val="Normal"/></w:pPr>
<w:r><w:t xml:space="preserve">forming a continuation of the work of Tacitus.  This history</w:t></w:r>
</w:p>
<w:p>
<w:pPr><w:pStyle w:val="Normal"/></w:pPr>
<w:r><w:t xml:space="preserve">(Rerum Gestarum Libri XXXI.) was originally in thirty-one</w:t></w:r>
</w:p>
<w:p>
<w:pPr><w:pStyle w:val="Normal"/></w:pPr>
<w:r><w:t xml:space="preserve">books; of these the first thirteen are lost, the eighteen</w:t></w:r>
</w:p>
<w:p>
<w:pPr><w:pStyle w:val="Normal"/></w:pPr>
<w:r><w:t xml:space="preserve">which remain cover the period from 353 to 378. As a whole</w:t></w:r>
</w:p>
<w:p>
<w:pPr><w:pStyle w:val="Normal"/></w:pPr>
<w:r><w:t xml:space="preserve">it is extremely valuable, being a clear, comprehensive and</w:t></w:r>
</w:p>
<w:p>
<w:pPr><w:pStyle w:val="Normal"/></w:pPr>
<w:r><w:t xml:space="preserve">impartial account of events by a contemporary of soldierly</w:t></w:r>
</w:p>
<w:p>
<w:pPr><w:pStyle w:val="Normal"/></w:pPr>
<w:r><w:t xml:space="preserve">honesty, independent judgment and wide reading. &quot;Ammianus is</w:t></w:r>
</w:p>
<w:p>
<w:pPr><w:pStyle w:val="Normal"/></w:pPr>
<w:r><w:t xml:space="preserve">an accurate and faithful guide, who composed the history of</w:t></w:r>
</w:p>
<w:p>
<w:pPr><w:pStyle w:val="Normal"/></w:pPr>
<w:r><w:t xml:space="preserve">his own times without indulging the prejudices and passions</w:t></w:r>
</w:p>
<w:p>
<w:pPr><w:pStyle w:val="Normal"/></w:pPr>
<w:r><w:t xml:space="preserve">which usually affect the mind of a contemporary&quot; (Gibbon).</w:t></w:r>
</w:p>
<w:p>
<w:pPr><w:pStyle w:val="Normal"/></w:pPr>
<w:r><w:t xml:space="preserve">Although Ammianus was no doubt a heathen, his attitude</w:t></w:r>
</w:p>
<w:p>
<w:pPr><w:pStyle w:val="Normal"/></w:pPr>
<w:r><w:t xml:space="preserve">towards Christianity is that of a man of the world, free from</w:t></w:r>
</w:p>
<w:p>
<w:pPr><w:pStyle w:val="Normal"/></w:pPr>
<w:r><w:t xml:space="preserve">prejudices in favour of any form of belief.  If anything he</w:t></w:r>
</w:p>
<w:p>
<w:pPr><w:pStyle w:val="Normal"/></w:pPr>
<w:r><w:t xml:space="preserve">himself inclined to neo-Platonism.  His style is generally</w:t></w:r>
</w:p>
<w:p>
<w:pPr><w:pStyle w:val="Normal"/></w:pPr>
<w:r><w:t xml:space="preserve">harsh, often pompous and extremely obscure, occasionally</w:t></w:r>
</w:p>
<w:p>
<w:pPr><w:pStyle w:val="Normal"/></w:pPr>
<w:r><w:t xml:space="preserve">even journalistic in tone, but the author&apos;s foreign origin</w:t></w:r>
</w:p>
<w:p>
<w:pPr><w:pStyle w:val="Normal"/></w:pPr>
<w:r><w:t xml:space="preserve">and his military life and training partially explain this.</w:t></w:r>
</w:p>
<w:p>
<w:pPr><w:pStyle w:val="Normal"/></w:pPr>
<w:r><w:t xml:space="preserve">Further, the work being intended for public recitation, some</w:t></w:r>
</w:p>
<w:p>
<w:pPr><w:pStyle w:val="Normal"/></w:pPr>
<w:r><w:t xml:space="preserve">rhetorical embellishment was necessary, even at the cost of</w:t></w:r>
</w:p>
<w:p>
<w:pPr><w:pStyle w:val="Normal"/></w:pPr>
<w:r><w:t xml:space="preserve">simplicity.  It is a striking fact that Ammianus, though a</w:t></w:r>
</w:p>
<w:p>
<w:pPr><w:pStyle w:val="Normal"/></w:pPr>
<w:r><w:t xml:space="preserve">professional soldier, gives excellent pictures of social and</w:t></w:r>
</w:p>
<w:p>
<w:pPr><w:pStyle w:val="Normal"/></w:pPr>
<w:r><w:t xml:space="preserve">economic problems, and in his attitude to the non-Roman peoples</w:t></w:r>
</w:p>
<w:p>
<w:pPr><w:pStyle w:val="Normal"/></w:pPr>
<w:r><w:t xml:space="preserve">of the empire he is far more broad-minded than writers like</w:t></w:r>
</w:p>
<w:p>
<w:pPr><w:pStyle w:val="Normal"/></w:pPr>
<w:r><w:t xml:space="preserve">Livy and Tacitus; his digressions on the various countries he</w:t></w:r>
</w:p>
<w:p>
<w:pPr><w:pStyle w:val="Normal"/></w:pPr>
<w:r><w:t xml:space="preserve">had visited are peculiarly interesting.  In his description</w:t></w:r>
</w:p>
<w:p>
<w:pPr><w:pStyle w:val="Normal"/></w:pPr>
<w:r><w:t xml:space="preserve">of the empire--the exhaustion produced by excessive taxation,</w:t></w:r>
</w:p>
<w:p>
<w:pPr><w:pStyle w:val="Normal"/></w:pPr>
<w:r><w:t xml:space="preserve">the financial ruin of the middle classes, the progressive</w:t></w:r>
</w:p>
<w:p>
<w:pPr><w:pStyle w:val="Normal"/></w:pPr>
<w:r><w:t xml:space="preserve">decline in the morale of the army--we find the explanation</w:t></w:r>
</w:p>
<w:p>
<w:pPr><w:pStyle w:val="Normal"/></w:pPr>
<w:r><w:t xml:space="preserve">of its fall before the Goths twenty years after his death.</w:t></w:r>
</w:p>
<w:p>
<w:pPr><w:pStyle w:val="Normal"/></w:pPr>
<w:r><w:t xml:space="preserve">The work was discovered by Poggio, who copied the original</w:t></w:r>
</w:p>
<w:p>
<w:pPr><w:pStyle w:val="Normal"/></w:pPr>
<w:r><w:t xml:space="preserve">MS. Editio princeps (bks. 14-26) by Sabinus, 1474; completed</w:t></w:r>
</w:p>
<w:p>
<w:pPr><w:pStyle w:val="Normal"/></w:pPr>
<w:r><w:t xml:space="preserve">by Accursius, 1533; with variorum notes, by Wagner-Erfurdt,</w:t></w:r>
</w:p>
<w:p>
<w:pPr><w:pStyle w:val="Normal"/></w:pPr>
<w:r><w:t xml:space="preserve">1808; latest edition of text, Gardthausen, 1874-1875.  English</w:t></w:r>
</w:p>
<w:p>
<w:pPr><w:pStyle w:val="Normal"/></w:pPr>
<w:r><w:t xml:space="preserve">translations by P. Holland, 1609; Yonge (Bohn&apos;s Classical</w:t></w:r>
</w:p>
<w:p>
<w:pPr><w:pStyle w:val="Normal"/></w:pPr>
<w:r><w:t xml:space="preserve">Library), 1862; also Max Budinger, Ammianus Marcellinus und</w:t></w:r>
</w:p>
<w:p>
<w:pPr><w:pStyle w:val="Normal"/></w:pPr>
<w:r><w:t xml:space="preserve">die Eigenart seines Geschichtswerkes (1895); F. Liesenberg,</w:t></w:r>
</w:p>
<w:p>
<w:pPr><w:pStyle w:val="Normal"/></w:pPr>
<w:r><w:t xml:space="preserve">Die Sprache des Ammianus Marcellinus (1888-1890); T. R.</w:t></w:r>
</w:p>
<w:p>
<w:pPr><w:pStyle w:val="Normal"/></w:pPr>
<w:r><w:t xml:space="preserve">Glover, Life and Letters in the Fourth Century (1901); Abbe</w:t></w:r>
</w:p>
<w:p>
<w:pPr><w:pStyle w:val="Normal"/></w:pPr>
<w:r><w:t xml:space="preserve">Gimazane, Ammianus Marcellinus, sa vie et son oeuvre (Toulouse,</w:t></w:r>
</w:p>
<w:p>
<w:pPr><w:pStyle w:val="Normal"/></w:pPr>
<w:r><w:t xml:space="preserve">1889), a work containing a number of very doubtful theories.</w:t></w:r>
</w:p>
<w:p>
<w:pPr><w:pStyle w:val="Normal"/></w:pPr>
<w:r><w:t xml:space="preserve">For a criticism of his views on Roman society see S. Dill, Roman</w:t></w:r>
</w:p>
<w:p>
<w:pPr><w:pStyle w:val="Normal"/></w:pPr>
<w:r><w:t xml:space="preserve">Society in the Last Century of the Western Empire (London, 1898).</w:t></w:r>
</w:p>
<w:p>
<w:pPr><w:pStyle w:val="Normal"/></w:pPr>
<w:r><w:t xml:space="preserve">AMMIRATO, SCIPIONE (1531-1601), Italian historian, born at</w:t></w:r>
</w:p>
<w:p>
<w:pPr><w:pStyle w:val="Normal"/></w:pPr>
<w:r><w:t xml:space="preserve">Lecce, in the kingdom of Naples.  His father, intending him</w:t></w:r>
</w:p>
<w:p>
<w:pPr><w:pStyle w:val="Normal"/></w:pPr>
<w:r><w:t xml:space="preserve">for the profession of law, sent him to study at Naples, but</w:t></w:r>
</w:p>
<w:p>
<w:pPr><w:pStyle w:val="Normal"/></w:pPr>
<w:r><w:t xml:space="preserve">his own decided preference for literature prevented him from</w:t></w:r>
</w:p>
<w:p>
<w:pPr><w:pStyle w:val="Normal"/></w:pPr>
<w:r><w:t xml:space="preserve">fulfilling his father&apos;s wishes.  Entering the church, he resided</w:t></w:r>
</w:p>
<w:p>
<w:pPr><w:pStyle w:val="Normal"/></w:pPr>
<w:r><w:t xml:space="preserve">for a time at Venice, and afterwards engaged in the service</w:t></w:r>
</w:p>
<w:p>
<w:pPr><w:pStyle w:val="Normal"/></w:pPr>
<w:r><w:t xml:space="preserve">of Pope Pius IV. In 1569 he went to Florence, where he was</w:t></w:r>
</w:p>
<w:p>
<w:pPr><w:pStyle w:val="Normal"/></w:pPr>
<w:r><w:t xml:space="preserve">fortunate in securing the patronage and support of Duke Cosimo</w:t></w:r>
</w:p>
<w:p>
<w:pPr><w:pStyle w:val="Normal"/></w:pPr>
<w:r><w:t xml:space="preserve">I., who gave him a residence at the Medici Palace and the Villa</w:t></w:r>
</w:p>
<w:p>
<w:pPr><w:pStyle w:val="Normal"/></w:pPr>
<w:r><w:t xml:space="preserve">Zopaja on the understanding that he should write his Istorie</w:t></w:r>
</w:p>
<w:p>
<w:pPr><w:pStyle w:val="Normal"/></w:pPr>
<w:r><w:t xml:space="preserve">Fiorentine (1600), the work by which he is best known.  In 1595</w:t></w:r>
</w:p>
<w:p>
<w:pPr><w:pStyle w:val="Normal"/></w:pPr>
<w:r><w:t xml:space="preserve">he was made a canon of the cathedral of Florence.  He died in</w:t></w:r>
</w:p>
<w:p>
<w:pPr><w:pStyle w:val="Normal"/></w:pPr>
<w:r><w:t xml:space="preserve">1601.  Among the other works of Ammirato, some of which were</w:t></w:r>
</w:p>
<w:p>
<w:pPr><w:pStyle w:val="Normal"/></w:pPr>
<w:r><w:t xml:space="preserve">first published after his death, may be mentioned discourses on</w:t></w:r>
</w:p>
<w:p>
<w:pPr><w:pStyle w:val="Normal"/></w:pPr>
<w:r><w:t xml:space="preserve">Tacitus and genealogies of the families of Naples and Florence.</w:t></w:r>
</w:p>
<w:p>
<w:pPr><w:pStyle w:val="Normal"/></w:pPr>
<w:r><w:t xml:space="preserve">AMMON, the Graecized name of an Egyptian deity, in the</w:t></w:r>
</w:p>
<w:p>
<w:pPr><w:pStyle w:val="Normal"/></w:pPr>
<w:r><w:t xml:space="preserve">native language Amun, connected by the priests with a root</w:t></w:r>
</w:p>
<w:p>
<w:pPr><w:pStyle w:val="Normal"/></w:pPr>
<w:r><w:t xml:space="preserve">meaning &quot;conceal.&quot; He was, to begin with, the local deity of</w:t></w:r>
</w:p>
<w:p>
<w:pPr><w:pStyle w:val="Normal"/></w:pPr>
<w:r><w:t xml:space="preserve">Thebes, when it was an unimportant town on the east bank of</w:t></w:r>
</w:p>
<w:p>
<w:pPr><w:pStyle w:val="Normal"/></w:pPr>
<w:r><w:t xml:space="preserve">the river, about the region now occupied by the temple of</w:t></w:r>
</w:p>
<w:p>
<w:pPr><w:pStyle w:val="Normal"/></w:pPr>
<w:r><w:t xml:space="preserve">Karnak.  The XIth dynasty sprang from a family in the</w:t></w:r>
</w:p>
<w:p>
<w:pPr><w:pStyle w:val="Normal"/></w:pPr>
<w:r><w:t xml:space="preserve">Hermonthite nome or perhaps at Thebes itself, and adorned</w:t></w:r>
</w:p>
<w:p>
<w:pPr><w:pStyle w:val="Normal"/></w:pPr>
<w:r><w:t xml:space="preserve">the temple of Karnak with statues.  Amenemhe, the name of</w:t></w:r>
</w:p>
<w:p>
<w:pPr><w:pStyle w:val="Normal"/></w:pPr>
<w:r><w:t xml:space="preserve">the founder of the XIIth dynasty, was compounded with that</w:t></w:r>
</w:p>
<w:p>
<w:pPr><w:pStyle w:val="Normal"/></w:pPr>
<w:r><w:t xml:space="preserve">of Amun and was borne by three of his successors.  Several</w:t></w:r>
</w:p>
<w:p>
<w:pPr><w:pStyle w:val="Normal"/></w:pPr>
<w:r><w:t xml:space="preserve">Theban kings of the later part of the Middle Kingdom adopted</w:t></w:r>
</w:p>
<w:p>
<w:pPr><w:pStyle w:val="Normal"/></w:pPr>
<w:r><w:t xml:space="preserve">the same name; and when the Theban family of the XVIIth</w:t></w:r>
</w:p>
<w:p>
<w:pPr><w:pStyle w:val="Normal"/></w:pPr>
<w:r><w:t xml:space="preserve">dynasty drove out the Hyksos, Ammon, as the god of the royal</w:t></w:r>
</w:p>
<w:p>
<w:pPr><w:pStyle w:val="Normal"/></w:pPr>
<w:r><w:t xml:space="preserve">city, was again prominent.  It was not, however, until the</w:t></w:r>
</w:p>
<w:p>
<w:pPr><w:pStyle w:val="Normal"/></w:pPr>
<w:r><w:t xml:space="preserve">rulers of the XVIIIth dynasty carried their victorious arms</w:t></w:r>
</w:p>
<w:p>
<w:pPr><w:pStyle w:val="Normal"/></w:pPr>
<w:r><w:t xml:space="preserve">beyond the Egyptian frontiers in every direction that Ammon</w:t></w:r>
</w:p>
<w:p>
<w:pPr><w:pStyle w:val="Normal"/></w:pPr>
<w:r><w:t xml:space="preserve">began to assume the proportions of a universal god for the</w:t></w:r>
</w:p>
<w:p>
<w:pPr><w:pStyle w:val="Normal"/></w:pPr>
<w:r><w:t xml:space="preserve">Egyptians, eclipsing all their other deities and asserting</w:t></w:r>
</w:p>
<w:p>
<w:pPr><w:pStyle w:val="Normal"/></w:pPr>
<w:r><w:t xml:space="preserve">his power over the gods of all foreign lands.  To Ammon the</w:t></w:r>
</w:p>
<w:p>
<w:pPr><w:pStyle w:val="Normal"/></w:pPr>
<w:r><w:t xml:space="preserve">Pharaohs attributed all their successful enterprises, and on</w:t></w:r>
</w:p>
<w:p>
<w:pPr><w:pStyle w:val="Normal"/></w:pPr>
<w:r><w:t xml:space="preserve">his temples they lavished their wealth and captured spoil.</w:t></w:r>
</w:p>
<w:p>
<w:pPr><w:pStyle w:val="Normal"/></w:pPr>
<w:r><w:t xml:space="preserve">Ammon is figured of human form, wearing on his head a plain deep</w:t></w:r>
</w:p>
<w:p>
<w:pPr><w:pStyle w:val="Normal"/></w:pPr>
<w:r><w:t xml:space="preserve">circlet from which rise two straight parallel plumes, perhaps</w:t></w:r>
</w:p>
<w:p>
<w:pPr><w:pStyle w:val="Normal"/></w:pPr>
<w:r><w:t xml:space="preserve">representing the tail feathers of a hawk.  Two main types are</w:t></w:r>
</w:p>
<w:p>
<w:pPr><w:pStyle w:val="Normal"/></w:pPr>
<w:r><w:t xml:space="preserve">seen: in the one he is seated on a throne, in the other he is</w:t></w:r>
</w:p>
<w:p>
<w:pPr><w:pStyle w:val="Normal"/></w:pPr>
<w:r><w:t xml:space="preserve">standing, ithyphallic, holding a scourge, precisely like Min,</w:t></w:r>
</w:p>
<w:p>
<w:pPr><w:pStyle w:val="Normal"/></w:pPr>
<w:r><w:t xml:space="preserve">the god of Coptos and Chemmis (Akhmim).  The latter may be</w:t></w:r>
</w:p>
<w:p>
<w:pPr><w:pStyle w:val="Normal"/></w:pPr>
<w:r><w:t xml:space="preserve">his original form, as a god of fertility, before whom the king</w:t></w:r>
</w:p>
<w:p>
<w:pPr><w:pStyle w:val="Normal"/></w:pPr>
<w:r><w:t xml:space="preserve">ceremoniously breaks up the ground for sowing or cuts the ripe</w:t></w:r>
</w:p>
<w:p>
<w:pPr><w:pStyle w:val="Normal"/></w:pPr>
<w:r><w:t xml:space="preserve">corn.  His consort was sometimes called Amaune (feminine of</w:t></w:r>
</w:p>
<w:p>
<w:pPr><w:pStyle w:val="Normal"/></w:pPr>
<w:r><w:t xml:space="preserve">Amun), but more usually Mut, &quot;mother&quot;: she was human-headed,</w:t></w:r>
</w:p>
<w:p>
<w:pPr><w:pStyle w:val="Normal"/></w:pPr>
<w:r><w:t xml:space="preserve">wearing the double crown of Upper and Lower Egypt, and their</w:t></w:r>
</w:p>
<w:p>
<w:pPr><w:pStyle w:val="Normal"/></w:pPr>
<w:r><w:t xml:space="preserve">son was Khons (Chon or Chons), a lunar god, represented as</w:t></w:r>
</w:p>
<w:p>
<w:pPr><w:pStyle w:val="Normal"/></w:pPr>
<w:r><w:t xml:space="preserve">a youth wearing the crescent and disk of the moon.  A great</w:t></w:r>
</w:p>
<w:p>
<w:pPr><w:pStyle w:val="Normal"/></w:pPr>
<w:r><w:t xml:space="preserve">temple was built to Mut at Karnak not later than the XVIIIth</w:t></w:r>
</w:p>
<w:p>
<w:pPr><w:pStyle w:val="Normal"/></w:pPr>
<w:r><w:t xml:space="preserve">dynasty, and another to Khons not later than the XXth dynasty.</w:t></w:r>
</w:p>
<w:p>
<w:pPr><w:pStyle w:val="Normal"/></w:pPr>
<w:r><w:t xml:space="preserve">The name of Re, the sun-god, was generally joined to Ammon,</w:t></w:r>
</w:p>
<w:p>
<w:pPr><w:pStyle w:val="Normal"/></w:pPr>
<w:r><w:t xml:space="preserve">especially in his title as &quot;king of the gods&quot;: the rule of</w:t></w:r>
</w:p>
<w:p>
<w:pPr><w:pStyle w:val="Normal"/></w:pPr>
<w:r><w:t xml:space="preserve">heaven belonged to the sun-god in the Egyptian cosmos, and</w:t></w:r>
</w:p>
<w:p>
<w:pPr><w:pStyle w:val="Normal"/></w:pPr>
<w:r><w:t xml:space="preserve">this identification with Re was only logical for a supreme</w:t></w:r>
</w:p>
<w:p>
<w:pPr><w:pStyle w:val="Normal"/></w:pPr>
<w:r><w:t xml:space="preserve">deity.  Ammon was entitled &quot;lord of the thrones of the two</w:t></w:r>
</w:p>
<w:p>
<w:pPr><w:pStyle w:val="Normal"/></w:pPr>
<w:r><w:t xml:space="preserve">lands,&quot; or, more proudly still, &quot;king of the gods.&quot; Such</w:t></w:r>
</w:p>
<w:p>
<w:pPr><w:pStyle w:val="Normal"/></w:pPr>
<w:r><w:t xml:space="preserve">indeed was his unquestioned position when suddenly he was</w:t></w:r>
</w:p>
<w:p>
<w:pPr><w:pStyle w:val="Normal"/></w:pPr>
<w:r><w:t xml:space="preserve">overthrown and his worship proscribed.  Not even a henotheist</w:t></w:r>
</w:p>
<w:p>
<w:pPr><w:pStyle w:val="Normal"/></w:pPr>
<w:r><w:t xml:space="preserve">fervently worshipping one of many gods, Amenophis (Amenhotp)</w:t></w:r>
</w:p>
<w:p>
<w:pPr><w:pStyle w:val="Heading1"/></w:pPr>
<w:r><w:t>IV. of the XVIIIth dynasty became the monotheist Akhenaton;</w:t></w:r>
</w:p>
<w:p>
<w:pPr><w:pStyle w:val="Normal"/></w:pPr>
<w:r><w:t xml:space="preserve">discarding all the gods of Egypt, and especially persecuting</w:t></w:r>
</w:p>
<w:p>
<w:pPr><w:pStyle w:val="Normal"/></w:pPr>
<w:r><w:t xml:space="preserve">Ammon the arch-god, he devoted himself to the purer and more</w:t></w:r>
</w:p>
<w:p>
<w:pPr><w:pStyle w:val="Normal"/></w:pPr>
<w:r><w:t xml:space="preserve">sublime worship of Aton, the sun.  But he failed to win the</w:t></w:r>
</w:p>
<w:p>
<w:pPr><w:pStyle w:val="Normal"/></w:pPr>
<w:r><w:t xml:space="preserve">permanent adhesion of the people to his reform, or to conciliate</w:t></w:r>
</w:p>
<w:p>
<w:pPr><w:pStyle w:val="Normal"/></w:pPr>
<w:r><w:t xml:space="preserve">or entirely crush the enormously powerful priesthood of</w:t></w:r>
</w:p>
<w:p>
<w:pPr><w:pStyle w:val="Normal"/></w:pPr>
<w:r><w:t xml:space="preserve">Ammon.  A few years after the reformer&apos;s death, the old cults</w:t></w:r>
</w:p>
<w:p>
<w:pPr><w:pStyle w:val="Normal"/></w:pPr>
<w:r><w:t xml:space="preserve">were re-established and the monuments of Aton studiously</w:t></w:r>
</w:p>
<w:p>
<w:pPr><w:pStyle w:val="Normal"/></w:pPr>
<w:r><w:t xml:space="preserve">defaced.  Hymns were then addressed to Amen-re, which are</w:t></w:r>
</w:p>
<w:p>
<w:pPr><w:pStyle w:val="Normal"/></w:pPr>
<w:r><w:t xml:space="preserve">almost monotheistic in expression.  The cult of the supreme</w:t></w:r>
</w:p>
<w:p>
<w:pPr><w:pStyle w:val="Normal"/></w:pPr>
<w:r><w:t xml:space="preserve">god spread throughout Egypt and was carried by the Egyptian</w:t></w:r>
</w:p>
<w:p>
<w:pPr><w:pStyle w:val="Normal"/></w:pPr>
<w:r><w:t xml:space="preserve">conquerors into other lands, Syria, Ethiopia and Libya, and</w:t></w:r>
</w:p>
<w:p>
<w:pPr><w:pStyle w:val="Normal"/></w:pPr>
<w:r><w:t xml:space="preserve">was accepted by the natives both in Ethiopia and in the Libyan</w:t></w:r>
</w:p>
<w:p>
<w:pPr><w:pStyle w:val="Normal"/></w:pPr>
<w:r><w:t xml:space="preserve">cases, where civilization was low and Egyptian influence</w:t></w:r>
</w:p>
<w:p>
<w:pPr><w:pStyle w:val="Normal"/></w:pPr>
<w:r><w:t xml:space="preserve">permanent.  After the XXth dynasty the centre of power was</w:t></w:r>
</w:p>
<w:p>
<w:pPr><w:pStyle w:val="Normal"/></w:pPr>
<w:r><w:t xml:space="preserve">removed from Thebes, and the authority of Ammon began to</w:t></w:r>
</w:p>
<w:p>
<w:pPr><w:pStyle w:val="Normal"/></w:pPr>
<w:r><w:t xml:space="preserve">wane.  In the XXIst dynasty the secondary line of priest kings</w:t></w:r>
</w:p>
<w:p>
<w:pPr><w:pStyle w:val="Normal"/></w:pPr>
<w:r><w:t xml:space="preserve">of Thebes upheld his dignity to the best of their power, and</w:t></w:r>
</w:p>
<w:p>
<w:pPr><w:pStyle w:val="Normal"/></w:pPr>
<w:r><w:t xml:space="preserve">the XXIInd dynasty favoured Thebes: but as the sovereignty</w:t></w:r>
</w:p>
<w:p>
<w:pPr><w:pStyle w:val="Normal"/></w:pPr>
<w:r><w:t xml:space="preserve">weakened the division between Upper and Lower Egypt asserted</w:t></w:r>
</w:p>
<w:p>
<w:pPr><w:pStyle w:val="Normal"/></w:pPr>
<w:r><w:t xml:space="preserve">itself, and thereafter Thebes would have rapidly decayed had</w:t></w:r>
</w:p>
<w:p>
<w:pPr><w:pStyle w:val="Normal"/></w:pPr>
<w:r><w:t xml:space="preserve">it not been for the piety of the kings of Ethiopia towards</w:t></w:r>
</w:p>
<w:p>
<w:pPr><w:pStyle w:val="Normal"/></w:pPr>
<w:r><w:t xml:space="preserve">Ammon, whose worship had long prevailed in their country.</w:t></w:r>
</w:p>
<w:p>
<w:pPr><w:pStyle w:val="Normal"/></w:pPr>
<w:r><w:t xml:space="preserve">Thebes was at first their Egyptian capital, and they honoured</w:t></w:r>
</w:p>
<w:p>
<w:pPr><w:pStyle w:val="Normal"/></w:pPr>
<w:r><w:t xml:space="preserve">Ammon greatly, although their wealth and culture were not</w:t></w:r>
</w:p>
<w:p>
<w:pPr><w:pStyle w:val="Normal"/></w:pPr>
<w:r><w:t xml:space="preserve">sufficient to effect much.  Ammon (Zeus) continued to be the</w:t></w:r>
</w:p>
<w:p>
<w:pPr><w:pStyle w:val="Normal"/></w:pPr>
<w:r><w:t xml:space="preserve">great god of Thebes in its decay, and notwithstanding that</w:t></w:r>
</w:p>
<w:p>
<w:pPr><w:pStyle w:val="Normal"/></w:pPr>
<w:r><w:t xml:space="preserve">a nome-capital in the north of the Delta and many lesser</w:t></w:r>
</w:p>
<w:p>
<w:pPr><w:pStyle w:val="Normal"/></w:pPr>
<w:r><w:t xml:space="preserve">temples, from El Hibeh in Middle Egypt to Canopus on the</w:t></w:r>
</w:p>
<w:p>
<w:pPr><w:pStyle w:val="Normal"/></w:pPr>
<w:r><w:t xml:space="preserve">sea, acknowledged Ammon as their supreme divinity, he probably</w:t></w:r>
</w:p>
<w:p>
<w:pPr><w:pStyle w:val="Normal"/></w:pPr>
<w:r><w:t xml:space="preserve">in some degree represented the national aspirations of Upper</w:t></w:r>
</w:p>
<w:p>
<w:pPr><w:pStyle w:val="Normal"/></w:pPr>
<w:r><w:t xml:space="preserve">Egypt as opposed to Middle and Lower Egypt: he also remained</w:t></w:r>
</w:p>
<w:p>
<w:pPr><w:pStyle w:val="Normal"/></w:pPr>
<w:r><w:t xml:space="preserve">the national god of Ethiopia, where his name was pronounced</w:t></w:r>
</w:p>
<w:p>
<w:pPr><w:pStyle w:val="Normal"/></w:pPr>
<w:r><w:t xml:space="preserve">Amane.  The priests of Amane at Meroe and Napata, in</w:t></w:r>
</w:p>
<w:p>
<w:pPr><w:pStyle w:val="Normal"/></w:pPr>
<w:r><w:t xml:space="preserve">fact, regulated through his oracle the whole government</w:t></w:r>
</w:p>
<w:p>
<w:pPr><w:pStyle w:val="Normal"/></w:pPr>
<w:r><w:t xml:space="preserve">of the country, choosing the king, directing his military</w:t></w:r>
</w:p>
<w:p>
<w:pPr><w:pStyle w:val="Normal"/></w:pPr>
<w:r><w:t xml:space="preserve">expeditions (and even compelling him to commit suicide,</w:t></w:r>
</w:p>
<w:p>
<w:pPr><w:pStyle w:val="Normal"/></w:pPr>
<w:r><w:t xml:space="preserve">according to Diodorus) until in the 3rd century B.C.</w:t></w:r>
</w:p>
<w:p>
<w:pPr><w:pStyle w:val="Normal"/></w:pPr>
<w:r><w:t xml:space="preserve">Arkamane (Ergamenes) broke through the bondage and slew the</w:t></w:r>
</w:p>
<w:p>
<w:pPr><w:pStyle w:val="Normal"/></w:pPr>
<w:r><w:t xml:space="preserve">priests.  Ammon had yet another outburst of glory.  There was</w:t></w:r>
</w:p>
<w:p>
<w:pPr><w:pStyle w:val="Normal"/></w:pPr>
<w:r><w:t xml:space="preserve">an oracle of Ammon established for some centuries in Libya,</w:t></w:r>
</w:p>
<w:p>
<w:pPr><w:pStyle w:val="Normal"/></w:pPr>
<w:r><w:t xml:space="preserve">in the distant oasis of Siwa.  Such was its reputation among</w:t></w:r>
</w:p>
<w:p>
<w:pPr><w:pStyle w:val="Normal"/></w:pPr>
<w:r><w:t xml:space="preserve">the Greeks that Alexander journeyed thither, after the battle</w:t></w:r>
</w:p>
<w:p>
<w:pPr><w:pStyle w:val="Normal"/></w:pPr>
<w:r><w:t xml:space="preserve">of Issus, and during his occupation of Egypt, in order to be</w:t></w:r>
</w:p>
<w:p>
<w:pPr><w:pStyle w:val="Normal"/></w:pPr>
<w:r><w:t xml:space="preserve">acknowledged the son of the god.  The Egyptian Pharaohs of</w:t></w:r>
</w:p>
<w:p>
<w:pPr><w:pStyle w:val="Normal"/></w:pPr>
<w:r><w:t xml:space="preserve">the XVIIIth dynasty had likewise been proclaimed mystically</w:t></w:r>
</w:p>
<w:p>
<w:pPr><w:pStyle w:val="Normal"/></w:pPr>
<w:r><w:t xml:space="preserve">sons of this god, who, it was asserted, had impregnated</w:t></w:r>
</w:p>
<w:p>
<w:pPr><w:pStyle w:val="Normal"/></w:pPr>
<w:r><w:t xml:space="preserve">the queen-mother; and on occasion wore the ram&apos;s horns of</w:t></w:r>
</w:p>
<w:p>
<w:pPr><w:pStyle w:val="Normal"/></w:pPr>
<w:r><w:t xml:space="preserve">Ammon, even as Alexander is represented with them on coins.</w:t></w:r>
</w:p>
<w:p>
<w:pPr><w:pStyle w:val="Normal"/></w:pPr>
<w:r><w:t xml:space="preserve">The Egyptian goose (chenalopex) is figured in the XVIIIth</w:t></w:r>
</w:p>
<w:p>
<w:pPr><w:pStyle w:val="Normal"/></w:pPr>
<w:r><w:t xml:space="preserve">dynasty as sacred to Ammon; but his most frequent and celebrated</w:t></w:r>
</w:p>
<w:p>
<w:pPr><w:pStyle w:val="Normal"/></w:pPr>
<w:r><w:t xml:space="preserve">incarnation was the woolly sheep with curved (&quot;Ammon&quot;) horns (as</w:t></w:r>
</w:p>
<w:p>
<w:pPr><w:pStyle w:val="Normal"/></w:pPr>
<w:r><w:t xml:space="preserve">opposed to the oldest native breed with long horizontal twisted</w:t></w:r>
</w:p>
<w:p>
<w:pPr><w:pStyle w:val="Normal"/></w:pPr>
<w:r><w:t xml:space="preserve">horns and hairy coat, sacred to Khnum or Chnumis).  It is found</w:t></w:r>
</w:p>
<w:p>
<w:pPr><w:pStyle w:val="Normal"/></w:pPr>
<w:r><w:t xml:space="preserve">as representing Ammon from the time of Amenophis III. onwards.</w:t></w:r>
</w:p>
<w:p>
<w:pPr><w:pStyle w:val="Normal"/></w:pPr>
<w:r><w:t xml:space="preserve">As king of the gods Ammon was identified by the Greeks with</w:t></w:r>
</w:p>
<w:p>
<w:pPr><w:pStyle w:val="Normal"/></w:pPr>
<w:r><w:t xml:space="preserve">Zeus and his consort Mut with Hera.  Khnum was likewise</w:t></w:r>
</w:p>
<w:p>
<w:pPr><w:pStyle w:val="Normal"/></w:pPr>
<w:r><w:t xml:space="preserve">identified with Zeus probably through his similarity to</w:t></w:r>
</w:p>
<w:p>
<w:pPr><w:pStyle w:val="Normal"/></w:pPr>
<w:r><w:t xml:space="preserve">Ammon; his proper animal having early become extinct, Ammon</w:t></w:r>
</w:p>
<w:p>
<w:pPr><w:pStyle w:val="Normal"/></w:pPr>
<w:r><w:t xml:space="preserve">horns in course of time were attributed to this god also.</w:t></w:r>
</w:p>
<w:p>
<w:pPr><w:pStyle w:val="Normal"/></w:pPr>
<w:r><w:t xml:space="preserve">See Erman, Handbook of Egyptian Religion (London, 1907); Ed.</w:t></w:r>
</w:p>
<w:p>
<w:pPr><w:pStyle w:val="Normal"/></w:pPr>
<w:r><w:t xml:space="preserve">Meyer, art. &quot;Ammon&quot; in Roscher&apos;s Lexikon der griechischen und</w:t></w:r>
</w:p>
<w:p>
<w:pPr><w:pStyle w:val="Normal"/></w:pPr>
<w:r><w:t xml:space="preserve">romischen Mythologie; Pietschmann, arts. &quot;Ammon,&quot; &quot;Ammoneion&quot;</w:t></w:r>
</w:p>
<w:p>
<w:pPr><w:pStyle w:val="Normal"/></w:pPr>
<w:r><w:t xml:space="preserve">in Pauly-Wissowa, Realencyclopadie; and works on Egyptian</w:t></w:r>
</w:p>
<w:p>
<w:pPr><w:pStyle w:val="Normal"/></w:pPr>
<w:r><w:t xml:space="preserve">religion quoted under EGYPT, section Religion. (F. LL. G.)</w:t></w:r>
</w:p>
<w:p>
<w:pPr><w:pStyle w:val="Normal"/></w:pPr>
<w:r><w:t xml:space="preserve">AMMON, CHRISTOPH FRIEDRICH VON (1766-1850), German theological</w:t></w:r>
</w:p>
<w:p>
<w:pPr><w:pStyle w:val="Normal"/></w:pPr>
<w:r><w:t xml:space="preserve">writer and preacher, was born at Baireuth.  He studied at</w:t></w:r>
</w:p>
<w:p>
<w:pPr><w:pStyle w:val="Normal"/></w:pPr>
<w:r><w:t xml:space="preserve">Erlangen, held various professorships in the philosophical</w:t></w:r>
</w:p>
<w:p>
<w:pPr><w:pStyle w:val="Normal"/></w:pPr>
<w:r><w:t xml:space="preserve">and theological faculties of Erlangen and Gottingen,</w:t></w:r>
</w:p>
<w:p>
<w:pPr><w:pStyle w:val="Normal"/></w:pPr>
<w:r><w:t xml:space="preserve">succeeded Franz Reinhard (1753-1812) in 1813 as court preacher</w:t></w:r>
</w:p>
<w:p>
<w:pPr><w:pStyle w:val="Normal"/></w:pPr>
<w:r><w:t xml:space="preserve">and member of the consistorial court at Dresden, retired</w:t></w:r>
</w:p>
<w:p>
<w:pPr><w:pStyle w:val="Normal"/></w:pPr>
<w:r><w:t xml:space="preserve">from these offices in 1849, and died on the 21st of May</w:t></w:r>
</w:p>
<w:p>
<w:pPr><w:pStyle w:val="Normal"/></w:pPr>
<w:r><w:t xml:space="preserve">1850.  Seeking to establish for himself a middle position</w:t></w:r>
</w:p>
<w:p>
<w:pPr><w:pStyle w:val="Normal"/></w:pPr>
<w:r><w:t xml:space="preserve">between rationalism and supernaturalism, he declared for a</w:t></w:r>
</w:p>
<w:p>
<w:pPr><w:pStyle w:val="Normal"/></w:pPr>
<w:r><w:t xml:space="preserve">&quot;rational supernaturalism,&quot; and contended that there must</w:t></w:r>
</w:p>
<w:p>
<w:pPr><w:pStyle w:val="Normal"/></w:pPr>
<w:r><w:t xml:space="preserve">be a gradual development of Christian doctrine corresponding</w:t></w:r>
</w:p>
<w:p>
<w:pPr><w:pStyle w:val="Normal"/></w:pPr>
<w:r><w:t xml:space="preserve">to the advance of knowledge and science.  But at the same</w:t></w:r>
</w:p>
<w:p>
<w:pPr><w:pStyle w:val="Normal"/></w:pPr>
<w:r><w:t xml:space="preserve">time he sought, like other representatives of this school of</w:t></w:r>
</w:p>
<w:p>
<w:pPr><w:pStyle w:val="Normal"/></w:pPr>
<w:r><w:t xml:space="preserve">thought, such as K. G. Bretschneider and Julius Wegscheider,</w:t></w:r>
</w:p>
<w:p>
<w:pPr><w:pStyle w:val="Normal"/></w:pPr>
<w:r><w:t xml:space="preserve">to keep in close touch with the historical theology of the</w:t></w:r>
</w:p>
<w:p>
<w:pPr><w:pStyle w:val="Normal"/></w:pPr>
<w:r><w:t xml:space="preserve">Protestant churches.  He was a man of great versatility and</w:t></w:r>
</w:p>
<w:p>
<w:pPr><w:pStyle w:val="Normal"/></w:pPr>
<w:r><w:t xml:space="preserve">extensive learning, a philologist and philosopher as well as</w:t></w:r>
</w:p>
<w:p>
<w:pPr><w:pStyle w:val="Normal"/></w:pPr>
<w:r><w:t xml:space="preserve">a theologian, and a very voluminous author.  His principal</w:t></w:r>
</w:p>
<w:p>
<w:pPr><w:pStyle w:val="Normal"/></w:pPr>
<w:r><w:t xml:space="preserve">theological work was the Fortbildung des Christenthums zur</w:t></w:r>
</w:p>
<w:p>
<w:pPr><w:pStyle w:val="Normal"/></w:pPr>
<w:r><w:t xml:space="preserve">Weltreligion, in 4 volumes (Leipzig, 1833-1840). Entwurf</w:t></w:r>
</w:p>
<w:p>
<w:pPr><w:pStyle w:val="Normal"/></w:pPr>
<w:r><w:t xml:space="preserve">einer reinbiblischen Theologie appeared in 1792 (2nd ed.,</w:t></w:r>
</w:p>
<w:p>
<w:pPr><w:pStyle w:val="Normal"/></w:pPr>
<w:r><w:t xml:space="preserve">1801), Summa Theologiae Christianae in 1803 (other editions,</w:t></w:r>
</w:p>
<w:p>
<w:pPr><w:pStyle w:val="Normal"/></w:pPr>
<w:r><w:t xml:space="preserve">1808, 1816, 1830); Das Leben Jesu in 1842, and Die wahre</w:t></w:r>
</w:p>
<w:p>
<w:pPr><w:pStyle w:val="Normal"/></w:pPr>
<w:r><w:t xml:space="preserve">und falsche Orthodoxie in 1849.  Von Ammon&apos;s style in</w:t></w:r>
</w:p>
<w:p>
<w:pPr><w:pStyle w:val="Normal"/></w:pPr>
<w:r><w:t xml:space="preserve">preaching was terse and lively, and some of his discourses are</w:t></w:r>
</w:p>
<w:p>
<w:pPr><w:pStyle w:val="Normal"/></w:pPr>
<w:r><w:t xml:space="preserve">regarded as models of pulpit treatment of political questions.</w:t></w:r>
</w:p>
<w:p>
<w:pPr><w:pStyle w:val="Normal"/></w:pPr>
<w:r><w:t xml:space="preserve">See Herzog-Hauck, Realencyklopadie; Otto Pfleiderer, The</w:t></w:r>
</w:p>
<w:p>
<w:pPr><w:pStyle w:val="Normal"/></w:pPr>
<w:r><w:t xml:space="preserve">Development of Theology in Germany since Kant, pp. 89 ff.</w:t></w:r>
</w:p>
<w:p>
<w:pPr><w:pStyle w:val="Normal"/></w:pPr>
<w:r><w:t xml:space="preserve">AMMONIA (NH3).  Salts of ammonia have been known from very</w:t></w:r>
</w:p>
<w:p>
<w:pPr><w:pStyle w:val="Normal"/></w:pPr>
<w:r><w:t xml:space="preserve">early times; thus the term Hammoniacus sal appears in the</w:t></w:r>
</w:p>
<w:p>
<w:pPr><w:pStyle w:val="Normal"/></w:pPr>
<w:r><w:t xml:space="preserve">writings of Pliny (Nat. Hist. xxxi. 39), although it is</w:t></w:r>
</w:p>
<w:p>
<w:pPr><w:pStyle w:val="Normal"/></w:pPr>
<w:r><w:t xml:space="preserve">not known whether the term is identical with the more modern</w:t></w:r>
</w:p>
<w:p>
<w:pPr><w:pStyle w:val="Normal"/></w:pPr>
<w:r><w:t xml:space="preserve">sal-ammoniac (q.v.).  In the form of sal-ammoniac, ammonia</w:t></w:r>
</w:p>
<w:p>
<w:pPr><w:pStyle w:val="Normal"/></w:pPr>
<w:r><w:t xml:space="preserve">was known, however, to the alchemists as early as the 13th</w:t></w:r>
</w:p>
<w:p>
<w:pPr><w:pStyle w:val="Normal"/></w:pPr>
<w:r><w:t xml:space="preserve">century, being mentioned by Albertus Magnus, whilst in the 15th</w:t></w:r>
</w:p>
<w:p>
<w:pPr><w:pStyle w:val="Normal"/></w:pPr>
<w:r><w:t xml:space="preserve">century Basil Valentine showed that ammonia could be obtained</w:t></w:r>
</w:p>
<w:p>
<w:pPr><w:pStyle w:val="Normal"/></w:pPr>
<w:r><w:t xml:space="preserve">by the action of alkalies on sal-ammoniac.  At a later period</w:t></w:r>
</w:p>
<w:p>
<w:pPr><w:pStyle w:val="Normal"/></w:pPr>
<w:r><w:t xml:space="preserve">when sal-ammoniac was obtained by distilling the hoofs and</w:t></w:r>
</w:p>
<w:p>
<w:pPr><w:pStyle w:val="Normal"/></w:pPr>
<w:r><w:t xml:space="preserve">horns of oxen, and neutralizing the resulting carbonate with</w:t></w:r>
</w:p>
<w:p>
<w:pPr><w:pStyle w:val="Normal"/></w:pPr>
<w:r><w:t xml:space="preserve">hydrochloric acid, the name spirits of hartshorn was applied to</w:t></w:r>
</w:p>
<w:p>
<w:pPr><w:pStyle w:val="Normal"/></w:pPr>
<w:r><w:t xml:space="preserve">ammonia.  Gaseous ammonia was first isolated by J. Priestley</w:t></w:r>
</w:p>
<w:p>
<w:pPr><w:pStyle w:val="Normal"/></w:pPr>
<w:r><w:t xml:space="preserve">in 1774 and was termed by him &quot;alkaline air.&quot; In 1777 K.</w:t></w:r>
</w:p>
<w:p>
<w:pPr><w:pStyle w:val="Normal"/></w:pPr>
<w:r><w:t xml:space="preserve">W. Scheele showed that it contained nitrogen, and C. L.</w:t></w:r>
</w:p>
<w:p>
<w:pPr><w:pStyle w:val="Normal"/></w:pPr>
<w:r><w:t xml:space="preserve">Berthollet, in about 1785, ascertained its composition.</w:t></w:r>
</w:p>
<w:p>
<w:pPr><w:pStyle w:val="Normal"/></w:pPr>
<w:r><w:t xml:space="preserve">Ammonia is found in small quantities as the carbonate in</w:t></w:r>
</w:p>
<w:p>
<w:pPr><w:pStyle w:val="Normal"/></w:pPr>
<w:r><w:t xml:space="preserve">the atmosphere, being produced from the putrefaction of</w:t></w:r>
</w:p>
<w:p>
<w:pPr><w:pStyle w:val="Normal"/></w:pPr>
<w:r><w:t xml:space="preserve">nitrogenous animal and vegetable matter; ammonium salts are</w:t></w:r>
</w:p>
<w:p>
<w:pPr><w:pStyle w:val="Normal"/></w:pPr>
<w:r><w:t xml:space="preserve">also found in small quantities in rain-water, whilst ammonium</w:t></w:r>
</w:p>
<w:p>
<w:pPr><w:pStyle w:val="Normal"/></w:pPr>
<w:r><w:t xml:space="preserve">chloride (sal-ammoniac) and ammonium sulphate are found in</w:t></w:r>
</w:p>
<w:p>
<w:pPr><w:pStyle w:val="Normal"/></w:pPr>
<w:r><w:t xml:space="preserve">volcanic districts; and crystals of ammonium bicarbonate</w:t></w:r>
</w:p>
<w:p>
<w:pPr><w:pStyle w:val="Normal"/></w:pPr>
<w:r><w:t xml:space="preserve">have been found in Patagonian guano.  Ammonium salts too are</w:t></w:r>
</w:p>
<w:p>
<w:pPr><w:pStyle w:val="Normal"/></w:pPr>
<w:r><w:t xml:space="preserve">found distributed through all fertile soil, in sea- water,</w:t></w:r>
</w:p>
<w:p>
<w:pPr><w:pStyle w:val="Normal"/></w:pPr>
<w:r><w:t xml:space="preserve">and in most plant and animal liquids, and also in urine.</w:t></w:r>
</w:p>
<w:p>
<w:pPr><w:pStyle w:val="Normal"/></w:pPr>
<w:r><w:t xml:space="preserve">Ammonia can be synthesized by submitting a mixture of</w:t></w:r>
</w:p>
<w:p>
<w:pPr><w:pStyle w:val="Normal"/></w:pPr>
<w:r><w:t xml:space="preserve">nitrogen and hydrogen to the action of the silent electric</w:t></w:r>
</w:p>
<w:p>
<w:pPr><w:pStyle w:val="Normal"/></w:pPr>
<w:r><w:t xml:space="preserve">discharge, the combination, however, being very imperfect.</w:t></w:r>
</w:p>
<w:p>
<w:pPr><w:pStyle w:val="Normal"/></w:pPr>
<w:r><w:t xml:space="preserve">It is obtained by the dry distillation of nitrogenous</w:t></w:r>
</w:p>
<w:p>
<w:pPr><w:pStyle w:val="Normal"/></w:pPr>
<w:r><w:t xml:space="preserve">vegetable and animal products; by the reduction of nitrous</w:t></w:r>
</w:p>
<w:p>
<w:pPr><w:pStyle w:val="Normal"/></w:pPr>
<w:r><w:t xml:space="preserve">acid and nitrites with nascent hydrogen; and also by the</w:t></w:r>
</w:p>
<w:p>
<w:pPr><w:pStyle w:val="Normal"/></w:pPr>
<w:r><w:t xml:space="preserve">decomposition of ammonium salts by alkaline hydroxides or by</w:t></w:r>
</w:p>
<w:p>
<w:pPr><w:pStyle w:val="Normal"/></w:pPr>
<w:r><w:t xml:space="preserve">slaked lime, the salt most generally used being the chloride</w:t></w:r>
</w:p>
<w:p>
<w:pPr><w:pStyle w:val="Normal"/></w:pPr>
<w:r><w:t xml:space="preserve">(sal- ammoniac, q.v.) thus 2NH4Cl + Ca(OH)2 = CaCl2</w:t></w:r>
</w:p>
<w:p>
<w:pPr><w:pStyle w:val="Normal"/></w:pPr>
<w:r><w:t xml:space="preserve">+ 2H2O + 2NH3.  It also results on decomposing magnesium</w:t></w:r>
</w:p>
<w:p>
<w:pPr><w:pStyle w:val="Normal"/></w:pPr>
<w:r><w:t xml:space="preserve">nitride (Mg3N2) with water, Mg3N2 + 6H2O = 3Mg(OH)2 +</w:t></w:r>
</w:p>
<w:p>
<w:pPr><w:pStyle w:val="Normal"/></w:pPr>
<w:r><w:t xml:space="preserve">2NH3.  Large quantities of ammonia and ammonium salts</w:t></w:r>
</w:p>
<w:p>
<w:pPr><w:pStyle w:val="Normal"/></w:pPr>
<w:r><w:t xml:space="preserve">are now obtained from the ammoniacal liquor of gas-works.</w:t></w:r>
</w:p>
<w:p>
<w:pPr><w:pStyle w:val="Normal"/></w:pPr>
<w:r><w:t xml:space="preserve">Ammonia is a colourless gas possessing a characteristic pungent</w:t></w:r>
</w:p>
<w:p>
<w:pPr><w:pStyle w:val="Normal"/></w:pPr>
<w:r><w:t xml:space="preserve">smell and a strongly alkaline reaction; it is lighter than</w:t></w:r>
</w:p>
<w:p>
<w:pPr><w:pStyle w:val="Normal"/></w:pPr>
<w:r><w:t xml:space="preserve">air, its specific gravity being 0.589 (air=1).  It is easily</w:t></w:r>
</w:p>
<w:p>
<w:pPr><w:pStyle w:val="Normal"/></w:pPr>
<w:r><w:t xml:space="preserve">liquefied and the liquid boils at -33.7 deg.  C., and solidifies</w:t></w:r>
</w:p>
<w:p>
<w:pPr><w:pStyle w:val="Normal"/></w:pPr>
<w:r><w:t xml:space="preserve">at -75 deg.  C. to a mass of white crystals.  It is extremely</w:t></w:r>
</w:p>
<w:p>
<w:pPr><w:pStyle w:val="Normal"/></w:pPr>
<w:r><w:t xml:space="preserve">soluble in water, one volume of water at 0 deg.  C. and normal</w:t></w:r>
</w:p>
<w:p>
<w:pPr><w:pStyle w:val="Normal"/></w:pPr>
<w:r><w:t xml:space="preserve">pressure absorbs 1148 volumes of ammonia (Roscoe and W.</w:t></w:r>
</w:p>
<w:p>
<w:pPr><w:pStyle w:val="Normal"/></w:pPr>
<w:r><w:t xml:space="preserve">Dittmar).  All the ammonia contained in an aqueous solution</w:t></w:r>
</w:p>
<w:p>
<w:pPr><w:pStyle w:val="Normal"/></w:pPr>
<w:r><w:t xml:space="preserve">of the gas may be expelled by boiling.  It does not support</w:t></w:r>
</w:p>
<w:p>
<w:pPr><w:pStyle w:val="Normal"/></w:pPr>
<w:r><w:t xml:space="preserve">combustion; and it does not burn readily unless mixed with</w:t></w:r>
</w:p>
<w:p>
<w:pPr><w:pStyle w:val="Normal"/></w:pPr>
<w:r><w:t xml:space="preserve">oxygen, when it burns with a pale yellowish-green flame.</w:t></w:r>
</w:p>
<w:p>
<w:pPr><w:pStyle w:val="Normal"/></w:pPr>
<w:r><w:t xml:space="preserve">Ammonia gas has the power of combining with many substances,</w:t></w:r>
</w:p>
<w:p>
<w:pPr><w:pStyle w:val="Normal"/></w:pPr>
<w:r><w:t xml:space="preserve">particularly with metallic halides; thus with calcium chloride</w:t></w:r>
</w:p>
<w:p>
<w:pPr><w:pStyle w:val="Normal"/></w:pPr>
<w:r><w:t xml:space="preserve">it forms the compound CaCl2.8NH3, and consequently calcium</w:t></w:r>
</w:p>
<w:p>
<w:pPr><w:pStyle w:val="Normal"/></w:pPr>
<w:r><w:t xml:space="preserve">chloride cannot be used for drying the gas.  With silver</w:t></w:r>
</w:p>
<w:p>
<w:pPr><w:pStyle w:val="Normal"/></w:pPr>
<w:r><w:t xml:space="preserve">chloride it forms two compounds (F. Isambert, Comptes rendus,</w:t></w:r>
</w:p>
<w:p>
<w:pPr><w:pStyle w:val="Normal"/></w:pPr>
<w:r><w:t xml:space="preserve">1868, lxvi. p. 1259)--one, AgCl.3NH3 at temperatures below</w:t></w:r>
</w:p>
<w:p>
<w:pPr><w:pStyle w:val="Normal"/></w:pPr>
<w:r><w:t xml:space="preserve">15 deg.  C.; the other, 2AgCl.3NH3 at temperatures above 20 deg.</w:t></w:r>
</w:p>
<w:p>
<w:pPr><w:pStyle w:val="Heading1"/></w:pPr>
<w:r><w:t>C. On heating these substances, ammonia is liberated and</w:t></w:r>
</w:p>
<w:p>
<w:pPr><w:pStyle w:val="Normal"/></w:pPr>
<w:r><w:t xml:space="preserve">the metallic chloride remains.  It was by the use of silver</w:t></w:r>
</w:p>
<w:p>
<w:pPr><w:pStyle w:val="Normal"/></w:pPr>
<w:r><w:t xml:space="preserve">chloride ammonia compounds that in 1823 M. Faraday was first</w:t></w:r>
</w:p>
<w:p>
<w:pPr><w:pStyle w:val="Normal"/></w:pPr>
<w:r><w:t xml:space="preserve">able to liquefy ammonia.  It can be shown by Isambert&apos;s</w:t></w:r>
</w:p>
<w:p>
<w:pPr><w:pStyle w:val="Normal"/></w:pPr>
<w:r><w:t xml:space="preserve">results that the compound AgCl.3NH3 cannot be formed above</w:t></w:r>
</w:p>
<w:p>
<w:pPr><w:pStyle w:val="Normal"/></w:pPr>
<w:r><w:t xml:space="preserve">20 deg.  C., by the action of ammonia on silver chloride at</w:t></w:r>
</w:p>
<w:p>
<w:pPr><w:pStyle w:val="Normal"/></w:pPr>
<w:r><w:t xml:space="preserve">atmospheric pressure; whilst 2AgCl.3NH3, under similar</w:t></w:r>
</w:p>
<w:p>
<w:pPr><w:pStyle w:val="Normal"/></w:pPr>
<w:r><w:t xml:space="preserve">conditions, cannot be formed above about 68 deg.  C. Liquid ammonia</w:t></w:r>
</w:p>
<w:p>
<w:pPr><w:pStyle w:val="Normal"/></w:pPr>
<w:r><w:t xml:space="preserve">is used for the artificial preparation of ice.  It readily</w:t></w:r>
</w:p>
<w:p>
<w:pPr><w:pStyle w:val="Normal"/></w:pPr>
<w:r><w:t xml:space="preserve">dissolves sodium and potassium, giving in each case a dark blue</w:t></w:r>
</w:p>
<w:p>
<w:pPr><w:pStyle w:val="Normal"/></w:pPr>
<w:r><w:t xml:space="preserve">solution.  At a red heat ammonia is easily decomposed into</w:t></w:r>
</w:p>
<w:p>
<w:pPr><w:pStyle w:val="Normal"/></w:pPr>
<w:r><w:t xml:space="preserve">its constituent elements, a similar decomposition being</w:t></w:r>
</w:p>
<w:p>
<w:pPr><w:pStyle w:val="Normal"/></w:pPr>
<w:r><w:t xml:space="preserve">brought about by the passage of electric sparks through the</w:t></w:r>
</w:p>
<w:p>
<w:pPr><w:pStyle w:val="Normal"/></w:pPr>
<w:r><w:t xml:space="preserve">gas.  Chlorine takes fire when passed into ammonia, nitrogen</w:t></w:r>
</w:p>
<w:p>
<w:pPr><w:pStyle w:val="Normal"/></w:pPr>
<w:r><w:t xml:space="preserve">and hydrochloric acid being formed, and unless the ammonia be</w:t></w:r>
</w:p>
<w:p>
<w:pPr><w:pStyle w:val="Normal"/></w:pPr>
<w:r><w:t xml:space="preserve">present in excess, the highly explosive nitrogen chloride NCl3</w:t></w:r>
</w:p>
<w:p>
<w:pPr><w:pStyle w:val="Normal"/></w:pPr>
<w:r><w:t xml:space="preserve">is also produced.  With iodine it reacts to form nitrogen</w:t></w:r>
</w:p>
<w:p>
<w:pPr><w:pStyle w:val="Normal"/></w:pPr>
<w:r><w:t xml:space="preserve">iodide.  This compound was discovered in 1812 by Bernard</w:t></w:r>
</w:p>
<w:p>
<w:pPr><w:pStyle w:val="Normal"/></w:pPr>
<w:r><w:t xml:space="preserve">Courtois, and was originally supposed to contain nitrogen</w:t></w:r>
</w:p>
<w:p>
<w:pPr><w:pStyle w:val="Normal"/></w:pPr>
<w:r><w:t xml:space="preserve">and iodine only, but in 1840 R. F. Marchand showed that it</w:t></w:r>
</w:p>
<w:p>
<w:pPr><w:pStyle w:val="Normal"/></w:pPr>
<w:r><w:t xml:space="preserve">contained hydrogen, whilst R. Bunsen showed that no oxygen was</w:t></w:r>
</w:p>
<w:p>
<w:pPr><w:pStyle w:val="Normal"/></w:pPr>
<w:r><w:t xml:space="preserve">present.  As regards its constitution, it has been given at</w:t></w:r>
</w:p>
<w:p>
<w:pPr><w:pStyle w:val="Normal"/></w:pPr>
<w:r><w:t xml:space="preserve">different times the formulae NI3, NHI2, NH2I, N2H3I3,</w:t></w:r>
</w:p>
<w:p>
<w:pPr><w:pStyle w:val="Normal"/></w:pPr>
<w:r><w:t xml:space="preserve">&amp;c., these varying results being due to the impurities in the</w:t></w:r>
</w:p>
<w:p>
<w:pPr><w:pStyle w:val="Normal"/></w:pPr>
<w:r><w:t xml:space="preserve">substance, owing to the different investigators working under</w:t></w:r>
</w:p>
<w:p>
<w:pPr><w:pStyle w:val="Normal"/></w:pPr>
<w:r><w:t xml:space="preserve">unsuitable conditions, and also to the decomposing action of</w:t></w:r>
</w:p>
<w:p>
<w:pPr><w:pStyle w:val="Normal"/></w:pPr>
<w:r><w:t xml:space="preserve">light.  F. D. Chattaway determined its composition as</w:t></w:r>
</w:p>
<w:p>
<w:pPr><w:pStyle w:val="Normal"/></w:pPr>
<w:r><w:t xml:space="preserve">N2H3I3, by the addition of excess of standard sodium sulphite</w:t></w:r>
</w:p>
<w:p>
<w:pPr><w:pStyle w:val="Normal"/></w:pPr>
<w:r><w:t xml:space="preserve">solution, in the dark, and subsequent titration of the excess</w:t></w:r>
</w:p>
<w:p>
<w:pPr><w:pStyle w:val="Normal"/></w:pPr>
<w:r><w:t xml:space="preserve">of the sulphite with standard iodine.  The constitution has</w:t></w:r>
</w:p>
<w:p>
<w:pPr><w:pStyle w:val="Normal"/></w:pPr>
<w:r><w:t xml:space="preserve">been definitely determined by O. Silberrad (Jour. of Chem.</w:t></w:r>
</w:p>
<w:p>
<w:pPr><w:pStyle w:val="Normal"/></w:pPr>
<w:r><w:t xml:space="preserve">Soc., 1905, lxxxvii. p. 55) by the interaction of nitrogen</w:t></w:r>
</w:p>
<w:p>
<w:pPr><w:pStyle w:val="Normal"/></w:pPr>
<w:r><w:t xml:space="preserve">iodide with zinc ethyl, the products of the reaction being</w:t></w:r>
</w:p>
<w:p>
<w:pPr><w:pStyle w:val="Normal"/></w:pPr>
<w:r><w:t xml:space="preserve">triethylamine and ammonia; the ammonia liberated was absorbed</w:t></w:r>
</w:p>
<w:p>
<w:pPr><w:pStyle w:val="Normal"/></w:pPr>
<w:r><w:t xml:space="preserve">in hydrochloric acid, and 95% of the theoretical amount of the</w:t></w:r>
</w:p>
<w:p>
<w:pPr><w:pStyle w:val="Normal"/></w:pPr>
<w:r><w:t xml:space="preserve">ammonium chloride was obtained.  On these grounds O. Silberrad</w:t></w:r>
</w:p>
<w:p>
<w:pPr><w:pStyle w:val="Normal"/></w:pPr>
<w:r><w:t xml:space="preserve">assigns the formula NH3.NI3 to the compound, and explains</w:t></w:r>
</w:p>
<w:p>
<w:pPr><w:pStyle w:val="Normal"/></w:pPr>
<w:r><w:t xml:space="preserve">the decomposition as taking place, 2NH3.NI3 + 6Zn(C2H5)2</w:t></w:r>
</w:p>
<w:p>
<w:pPr><w:pStyle w:val="Normal"/></w:pPr>
<w:r><w:t xml:space="preserve">= 6ZnC2H5.I + 2NH3 + 2N(C2H5)3.  The hydrogen in ammonia</w:t></w:r>
</w:p>
<w:p>
<w:pPr><w:pStyle w:val="Normal"/></w:pPr>
<w:r><w:t xml:space="preserve">is capable of replacement by metals, thus magnesium burns</w:t></w:r>
</w:p>
<w:p>
<w:pPr><w:pStyle w:val="Normal"/></w:pPr>
<w:r><w:t xml:space="preserve">in the gas with the formation of magnesium nitride Mg3N2,</w:t></w:r>
</w:p>
<w:p>
<w:pPr><w:pStyle w:val="Normal"/></w:pPr>
<w:r><w:t xml:space="preserve">and when the gas is passed over heated sodium or potassium,</w:t></w:r>
</w:p>
<w:p>
<w:pPr><w:pStyle w:val="Normal"/></w:pPr>
<w:r><w:t xml:space="preserve">sodamide, NaNH2, and potassamide, KNH2, are formed.</w:t></w:r>
</w:p>
<w:p>
<w:pPr><w:pStyle w:val="Normal"/></w:pPr>
<w:r><w:t xml:space="preserve">One of the most characteristic properties of ammonia is its</w:t></w:r>
</w:p>
<w:p>
<w:pPr><w:pStyle w:val="Normal"/></w:pPr>
<w:r><w:t xml:space="preserve">power of combining directly with acids to form salts; thus with</w:t></w:r>
</w:p>
<w:p>
<w:pPr><w:pStyle w:val="Normal"/></w:pPr>
<w:r><w:t xml:space="preserve">hydrochloric acid it forms ammonium chloride (sal-ammoniac); with</w:t></w:r>
</w:p>
<w:p>
<w:pPr><w:pStyle w:val="Normal"/></w:pPr>
<w:r><w:t xml:space="preserve">nitric acid, ammonium nitrate, &amp;c. It is to be noted that H. B.</w:t></w:r>
</w:p>
<w:p>
<w:pPr><w:pStyle w:val="Normal"/></w:pPr>
<w:r><w:t xml:space="preserve">Baker (Journal of Chem.  Soc., 1894, lxv. p. 612) has shown</w:t></w:r>
</w:p>
<w:p>
<w:pPr><w:pStyle w:val="Normal"/></w:pPr>
<w:r><w:t xml:space="preserve">that perfectly dry ammonia will not combine with perfectly dry</w:t></w:r>
</w:p>
<w:p>
<w:pPr><w:pStyle w:val="Normal"/></w:pPr>
<w:r><w:t xml:space="preserve">hydrochloric acid, moisture being necessary to bring about the</w:t></w:r>
</w:p>
<w:p>
<w:pPr><w:pStyle w:val="Normal"/></w:pPr>
<w:r><w:t xml:space="preserve">reaction.  The aqueous solution of ammonia is very basic in</w:t></w:r>
</w:p>
<w:p>
<w:pPr><w:pStyle w:val="Normal"/></w:pPr>
<w:r><w:t xml:space="preserve">its reactions, and since it is a weak electrolyte, one must</w:t></w:r>
</w:p>
<w:p>
<w:pPr><w:pStyle w:val="Normal"/></w:pPr>
<w:r><w:t xml:space="preserve">assume the solution to contain a certain amount of ammonium</w:t></w:r>
</w:p>
<w:p>
<w:pPr><w:pStyle w:val="Normal"/></w:pPr>
<w:r><w:t xml:space="preserve">hydroxide NH4OH, although it is probably chiefly composed</w:t></w:r>
</w:p>
<w:p>
<w:pPr><w:pStyle w:val="Normal"/></w:pPr>
<w:r><w:t xml:space="preserve">of a solution of ammonia in water. (On the constitution of</w:t></w:r>
</w:p>
<w:p>
<w:pPr><w:pStyle w:val="Normal"/></w:pPr>
<w:r><w:t xml:space="preserve">aqueous ammonia solutions see also Carl Frenzel, Zeit fur</w:t></w:r>
</w:p>
<w:p>
<w:pPr><w:pStyle w:val="Normal"/></w:pPr>
<w:r><w:t xml:space="preserve">angew.  Chemie, xxxii. 3, p. 319.) Ammonia finds a wide</w:t></w:r>
</w:p>
<w:p>
<w:pPr><w:pStyle w:val="Normal"/></w:pPr>
<w:r><w:t xml:space="preserve">application in organic chemistry as a synthetic reagent; it</w:t></w:r>
</w:p>
<w:p>
<w:pPr><w:pStyle w:val="Normal"/></w:pPr>
<w:r><w:t xml:space="preserve">reacts with alkyl iodides to form amines (q.v.), with esters</w:t></w:r>
</w:p>
<w:p>
<w:pPr><w:pStyle w:val="Normal"/></w:pPr>
<w:r><w:t xml:space="preserve">to form acid amides (q.v.), with halogen fatty acids to</w:t></w:r>
</w:p>
<w:p>
<w:pPr><w:pStyle w:val="Normal"/></w:pPr>
<w:r><w:t xml:space="preserve">form amino-acids; while it also combines with isocyanic esters</w:t></w:r>
</w:p>
<w:p>
<w:pPr><w:pStyle w:val="Normal"/></w:pPr>
<w:r><w:t xml:space="preserve">to form alkyl ureas and with the mustard oils to form alkyl</w:t></w:r>
</w:p>
<w:p>
<w:pPr><w:pStyle w:val="Normal"/></w:pPr>
<w:r><w:t xml:space="preserve">thioureas.  Aldehydes also combine directly with ammonia.</w:t></w:r>
</w:p>
<w:p>
<w:pPr><w:pStyle w:val="Normal"/></w:pPr>
<w:r><w:t xml:space="preserve">Liquid ammonia possesses strong ionizing powers, and solutions</w:t></w:r>
</w:p>
<w:p>
<w:pPr><w:pStyle w:val="Normal"/></w:pPr>
<w:r><w:t xml:space="preserve">of salts in liquid ammonia have been much studied.  For details</w:t></w:r>
</w:p>
<w:p>
<w:pPr><w:pStyle w:val="Normal"/></w:pPr>
<w:r><w:t xml:space="preserve">see E. C. Franklin and C. A. Kraus, Amer.  Chem.  Jour.,</w:t></w:r>
</w:p>
<w:p>
<w:pPr><w:pStyle w:val="Normal"/></w:pPr>
<w:r><w:t xml:space="preserve">1899, xxi. p. 8; 1900, xxiv. p. 83; 1902, xxviii. p. 277; also</w:t></w:r>
</w:p>
<w:p>
<w:pPr><w:pStyle w:val="Normal"/></w:pPr>
<w:r><w:t xml:space="preserve">Carl Frenzel, Zeits fur Elektrochemie, 1900, vi. p. 477.</w:t></w:r>
</w:p>
<w:p>
<w:pPr><w:pStyle w:val="Normal"/></w:pPr>
<w:r><w:t xml:space="preserve">The salts produced by the action of ammonia on acids are known</w:t></w:r>
</w:p>
<w:p>
<w:pPr><w:pStyle w:val="Normal"/></w:pPr>
<w:r><w:t xml:space="preserve">as the ammonium salts and all contain the compound radical</w:t></w:r>
</w:p>
<w:p>
<w:pPr><w:pStyle w:val="Normal"/></w:pPr>
<w:r><w:t xml:space="preserve">ammonium (NH4).  Numerous attempts have been made to isolate</w:t></w:r>
</w:p>
<w:p>
<w:pPr><w:pStyle w:val="Normal"/></w:pPr>
<w:r><w:t xml:space="preserve">this radical, but so far none have been successful.  By the</w:t></w:r>
</w:p>
<w:p>
<w:pPr><w:pStyle w:val="Normal"/></w:pPr>
<w:r><w:t xml:space="preserve">addition of sodium amalgam to a concentrated solution of</w:t></w:r>
</w:p>
<w:p>
<w:pPr><w:pStyle w:val="Normal"/></w:pPr>
<w:r><w:t xml:space="preserve">ammonium chloride, the so-called ammonium amalgam is obtained</w:t></w:r>
</w:p>
<w:p>
<w:pPr><w:pStyle w:val="Normal"/></w:pPr>
<w:r><w:t xml:space="preserve">as a spongy mass which floats on the surface of the liquid;</w:t></w:r>
</w:p>
<w:p>
<w:pPr><w:pStyle w:val="Normal"/></w:pPr>
<w:r><w:t xml:space="preserve">it decomposes readily at ordinary temperatures into ammonia</w:t></w:r>
</w:p>
<w:p>
<w:pPr><w:pStyle w:val="Normal"/></w:pPr>
<w:r><w:t xml:space="preserve">and hydrogen; it does not reduce silver and gold salts, a</w:t></w:r>
</w:p>
<w:p>
<w:pPr><w:pStyle w:val="Normal"/></w:pPr>
<w:r><w:t xml:space="preserve">behaviour which distinguishes it from the amalgams of the alkali</w:t></w:r>
</w:p>
<w:p>
<w:pPr><w:pStyle w:val="Normal"/></w:pPr>
<w:r><w:t xml:space="preserve">metals, and for this reason it is regarded by some chemists</w:t></w:r>
</w:p>
<w:p>
<w:pPr><w:pStyle w:val="Normal"/></w:pPr>
<w:r><w:t xml:space="preserve">as being merely mercury inflated by gaseous ammonia and</w:t></w:r>
</w:p>
<w:p>
<w:pPr><w:pStyle w:val="Normal"/></w:pPr>
<w:r><w:t xml:space="preserve">hydrogen.  M. le Blanc has shown, however, that the effect of</w:t></w:r>
</w:p>
<w:p>
<w:pPr><w:pStyle w:val="Normal"/></w:pPr>
<w:r><w:t xml:space="preserve">ammonium amalgam on the magnitude of polarization of a battery</w:t></w:r>
</w:p>
<w:p>
<w:pPr><w:pStyle w:val="Normal"/></w:pPr>
<w:r><w:t xml:space="preserve">is comparable with that of the amalgams of the alkali metals.</w:t></w:r>
</w:p>
<w:p>
<w:pPr><w:pStyle w:val="Normal"/></w:pPr>
<w:r><w:t xml:space="preserve">Many of the ammonium salts are made from the ammoniacal liquor of</w:t></w:r>
</w:p>
<w:p>
<w:pPr><w:pStyle w:val="Normal"/></w:pPr>
<w:r><w:t xml:space="preserve">gas- works, by heating it with milk of lime and then absorbing the</w:t></w:r>
</w:p>
<w:p>
<w:pPr><w:pStyle w:val="Normal"/></w:pPr>
<w:r><w:t xml:space="preserve">gas so liberated in a suitable acid. (See GAS: Manufacture.)</w:t></w:r>
</w:p>
<w:p>
<w:pPr><w:pStyle w:val="Normal"/></w:pPr>
<w:r><w:t xml:space="preserve">Ammonium bromide, NH4Br, can be prepared by the direct</w:t></w:r>
</w:p>
<w:p>
<w:pPr><w:pStyle w:val="Normal"/></w:pPr>
<w:r><w:t xml:space="preserve">action of bromine on ammonia.  It crystallizes in colourless</w:t></w:r>
</w:p>
<w:p>
<w:pPr><w:pStyle w:val="Normal"/></w:pPr>
<w:r><w:t xml:space="preserve">prisms, possessing a saline taste; it sublimes on heating and</w:t></w:r>
</w:p>
<w:p>
<w:pPr><w:pStyle w:val="Normal"/></w:pPr>
<w:r><w:t xml:space="preserve">is easily soluble in water.  On exposure to air it gradually</w:t></w:r>
</w:p>
<w:p>
<w:pPr><w:pStyle w:val="Normal"/></w:pPr>
<w:r><w:t xml:space="preserve">assumes a yellow colour and becomes acid in its reaction.</w:t></w:r>
</w:p>
<w:p>
<w:pPr><w:pStyle w:val="Normal"/></w:pPr>
<w:r><w:t xml:space="preserve">Ammonium chloride, NH4Cl. (See SAL-AMMONIAC.)</w:t></w:r>
</w:p>
<w:p>
<w:pPr><w:pStyle w:val="Normal"/></w:pPr>
<w:r><w:t xml:space="preserve">Ammonium fluoride, NH4F, may be obtained by neutralizing</w:t></w:r>
</w:p>
<w:p>
<w:pPr><w:pStyle w:val="Normal"/></w:pPr>
<w:r><w:t xml:space="preserve">ammonia with hydrofluoric acid.  It crystallizes in small prisms,</w:t></w:r>
</w:p>
<w:p>
<w:pPr><w:pStyle w:val="Normal"/></w:pPr>
<w:r><w:t xml:space="preserve">having a sharp saline taste, and is exceedingly soluble in</w:t></w:r>
</w:p>
<w:p>
<w:pPr><w:pStyle w:val="Normal"/></w:pPr>
<w:r><w:t xml:space="preserve">water.  It decomposes silicates on being heated with them.</w:t></w:r>
</w:p>
<w:p>
<w:pPr><w:pStyle w:val="Normal"/></w:pPr>
<w:r><w:t xml:space="preserve">Ammonium iodide, NH4I, can be prepared by the action</w:t></w:r>
</w:p>
<w:p>
<w:pPr><w:pStyle w:val="Normal"/></w:pPr>
<w:r><w:t xml:space="preserve">of hydriodic acid on ammonia.  It is easily soluble in</w:t></w:r>
</w:p>
<w:p>
<w:pPr><w:pStyle w:val="Normal"/></w:pPr>
<w:r><w:t xml:space="preserve">water, from which it crystallizes in cubes, and also in</w:t></w:r>
</w:p>
<w:p>
<w:pPr><w:pStyle w:val="Normal"/></w:pPr>
<w:r><w:t xml:space="preserve">alcohol.  It gradually turns yellow on standing in moist</w:t></w:r>
</w:p>
<w:p>
<w:pPr><w:pStyle w:val="Normal"/></w:pPr>
<w:r><w:t xml:space="preserve">air, owing to decomposition with liberation of iodine.</w:t></w:r>
</w:p>
<w:p>
<w:pPr><w:pStyle w:val="Normal"/></w:pPr>
<w:r><w:t xml:space="preserve">Ammonium chlorate, NH4ClO3, is obtained by neutralizing</w:t></w:r>
</w:p>
<w:p>
<w:pPr><w:pStyle w:val="Normal"/></w:pPr>
<w:r><w:t xml:space="preserve">chloric acid with either ammonia or ammonium carbonate, or by</w:t></w:r>
</w:p>
<w:p>
<w:pPr><w:pStyle w:val="Normal"/></w:pPr>
<w:r><w:t xml:space="preserve">precipitating barium, strontium or calcium chlorates with ammonium</w:t></w:r>
</w:p>
<w:p>
<w:pPr><w:pStyle w:val="Normal"/></w:pPr>
<w:r><w:t xml:space="preserve">carbonate.  It crystallizes in small needles, which are readily</w:t></w:r>
</w:p>
<w:p>
<w:pPr><w:pStyle w:val="Normal"/></w:pPr>
<w:r><w:t xml:space="preserve">soluble in water, and on heating, decompose at about 102 deg.  C.,</w:t></w:r>
</w:p>
<w:p>
<w:pPr><w:pStyle w:val="Normal"/></w:pPr>
<w:r><w:t xml:space="preserve">with liberation of nitrogen, chlorine and oxygen.  It is soluble</w:t></w:r>
</w:p>
<w:p>
<w:pPr><w:pStyle w:val="Normal"/></w:pPr>
<w:r><w:t xml:space="preserve">in dilute aqueous alcohol, but insoluble in strong alcohol.</w:t></w:r>
</w:p>
<w:p>
<w:pPr><w:pStyle w:val="Normal"/></w:pPr>
<w:r><w:t xml:space="preserve">Ammonium carbonates.  The commercial salt is known as</w:t></w:r>
</w:p>
<w:p>
<w:pPr><w:pStyle w:val="Normal"/></w:pPr>
<w:r><w:t xml:space="preserve">sal-volatile or salt of hartshorn and was formerly obtained</w:t></w:r>
</w:p>
<w:p>
<w:pPr><w:pStyle w:val="Normal"/></w:pPr>
<w:r><w:t xml:space="preserve">by the dry distillation of nitrogenous organic matter such</w:t></w:r>
</w:p>
<w:p>
<w:pPr><w:pStyle w:val="Normal"/></w:pPr>
<w:r><w:t xml:space="preserve">as hair, horn, decomposed urine, &amp;c., but is now obtained</w:t></w:r>
</w:p>
<w:p>
<w:pPr><w:pStyle w:val="Normal"/></w:pPr>
<w:r><w:t xml:space="preserve">by heating a mixture of sal-ammoniac, or ammonium sulphate</w:t></w:r>
</w:p>
<w:p>
<w:pPr><w:pStyle w:val="Normal"/></w:pPr>
<w:r><w:t xml:space="preserve">and chalk, to redness in iron retorts, the vapours being</w:t></w:r>
</w:p>
<w:p>
<w:pPr><w:pStyle w:val="Normal"/></w:pPr>
<w:r><w:t xml:space="preserve">condensed in leaden receivers.  The crude product is refined</w:t></w:r>
</w:p>
<w:p>
<w:pPr><w:pStyle w:val="Normal"/></w:pPr>
<w:r><w:t xml:space="preserve">by sublimation, when it is obtained as a white fibrous mass,</w:t></w:r>
</w:p>
<w:p>
<w:pPr><w:pStyle w:val="Normal"/></w:pPr>
<w:r><w:t xml:space="preserve">which consists of a mixture of hydrogen ammonium carbonate,</w:t></w:r>
</w:p>
<w:p>
<w:pPr><w:pStyle w:val="Normal"/></w:pPr>
<w:r><w:t xml:space="preserve">NH4.HCO3, and ammonium carbamate, NH2COONH4, in molecular</w:t></w:r>
</w:p>
<w:p>
<w:pPr><w:pStyle w:val="Normal"/></w:pPr>
<w:r><w:t xml:space="preserve">proportions; on account of its possessing this constitution</w:t></w:r>
</w:p>
<w:p>
<w:pPr><w:pStyle w:val="Normal"/></w:pPr>
<w:r><w:t xml:space="preserve">it is sometimes called ammonium sesquicarbonate.  It possesses</w:t></w:r>
</w:p>
<w:p>
<w:pPr><w:pStyle w:val="Normal"/></w:pPr>
<w:r><w:t xml:space="preserve">a strong ammoniacal smell, and on digestion with alcohol the</w:t></w:r>
</w:p>
<w:p>
<w:pPr><w:pStyle w:val="Normal"/></w:pPr>
<w:r><w:t xml:space="preserve">carbamate is dissolved and a residue of ammonium bicarbonate</w:t></w:r>
</w:p>
<w:p>
<w:pPr><w:pStyle w:val="Normal"/></w:pPr>
<w:r><w:t xml:space="preserve">is left; a similar decomposition taking place when the</w:t></w:r>
</w:p>
<w:p>
<w:pPr><w:pStyle w:val="Normal"/></w:pPr>
<w:r><w:t xml:space="preserve">sesquicarbonate is exposed to air.  Ammonia gas passed into</w:t></w:r>
</w:p>
<w:p>
<w:pPr><w:pStyle w:val="Normal"/></w:pPr>
<w:r><w:t xml:space="preserve">a strong aqueous solution of the sesquicarbonate converts</w:t></w:r>
</w:p>
<w:p>
<w:pPr><w:pStyle w:val="Normal"/></w:pPr>
<w:r><w:t xml:space="preserve">it into normal ammonium carbonate, (NH4)2CO3, which can</w:t></w:r>
</w:p>
<w:p>
<w:pPr><w:pStyle w:val="Normal"/></w:pPr>
<w:r><w:t xml:space="preserve">be obtained in the crystalline condition from a solution</w:t></w:r>
</w:p>
<w:p>
<w:pPr><w:pStyle w:val="Normal"/></w:pPr>
<w:r><w:t xml:space="preserve">prepared at about 30 deg.  C. This compound on exposure to air</w:t></w:r>
</w:p>
<w:p>
<w:pPr><w:pStyle w:val="Normal"/></w:pPr>
<w:r><w:t xml:space="preserve">gives off ammonia and passes back to ammonium bicarbonate.</w:t></w:r>
</w:p>
<w:p>
<w:pPr><w:pStyle w:val="Normal"/></w:pPr>
<w:r><w:t xml:space="preserve">Ammonium bicarbonate, NH4.HCO3, is formed as shown above and</w:t></w:r>
</w:p>
<w:p>
<w:pPr><w:pStyle w:val="Normal"/></w:pPr>
<w:r><w:t xml:space="preserve">also by passing carbon dioxide through a solution of the normal</w:t></w:r>
</w:p>
<w:p>
<w:pPr><w:pStyle w:val="Normal"/></w:pPr>
<w:r><w:t xml:space="preserve">compound, when it is deposited as a white powder, which has</w:t></w:r>
</w:p>
<w:p>
<w:pPr><w:pStyle w:val="Normal"/></w:pPr>
<w:r><w:t xml:space="preserve">no smell and is only slightly soluble in water.  The aqueous</w:t></w:r>
</w:p>
<w:p>
<w:pPr><w:pStyle w:val="Normal"/></w:pPr>
<w:r><w:t xml:space="preserve">solution of this salt liberates carbon dioxide on exposure</w:t></w:r>
</w:p>
<w:p>
<w:pPr><w:pStyle w:val="Normal"/></w:pPr>
<w:r><w:t xml:space="preserve">to air or on heating, and becomes alkaline in reaction.  The</w:t></w:r>
</w:p>
<w:p>
<w:pPr><w:pStyle w:val="Normal"/></w:pPr>
<w:r><w:t xml:space="preserve">aqueous solutions of all the carbonates when boiled undergo</w:t></w:r>
</w:p>
<w:p>
<w:pPr><w:pStyle w:val="Normal"/></w:pPr>
<w:r><w:t xml:space="preserve">decomposition with liberation of ammonia and of carbon dioxide.</w:t></w:r>
</w:p>
<w:p>
<w:pPr><w:pStyle w:val="Normal"/></w:pPr>
<w:r><w:t xml:space="preserve">Ammonium nitrate, NH4NO3, is prepared by neutralizing</w:t></w:r>
</w:p>
<w:p>
<w:pPr><w:pStyle w:val="Normal"/></w:pPr>
<w:r><w:t xml:space="preserve">nitric acid with ammonia, or ammonium carbonate, or by</w:t></w:r>
</w:p>
<w:p>
<w:pPr><w:pStyle w:val="Normal"/></w:pPr>
<w:r><w:t xml:space="preserve">double decomposition between potassium nitrate and ammonium</w:t></w:r>
</w:p>
<w:p>
<w:pPr><w:pStyle w:val="Normal"/></w:pPr>
<w:r><w:t xml:space="preserve">sulphate.  It can be obtained in three different crystalline</w:t></w:r>
</w:p>
<w:p>
<w:pPr><w:pStyle w:val="Normal"/></w:pPr>
<w:r><w:t xml:space="preserve">forms, the transition points of which are 35 deg.  C., 83 deg.  C. and</w:t></w:r>
</w:p>
<w:p>
<w:pPr><w:pStyle w:val="Normal"/></w:pPr>
<w:r><w:t xml:space="preserve">125 deg.  C. It is easily soluble in water, a considerable lowering</w:t></w:r>
</w:p>
<w:p>
<w:pPr><w:pStyle w:val="Normal"/></w:pPr>
<w:r><w:t xml:space="preserve">of temperature taking place during the operation; on this</w:t></w:r>
</w:p>
<w:p>
<w:pPr><w:pStyle w:val="Normal"/></w:pPr>
<w:r><w:t xml:space="preserve">account it is sometimes used in the preparation of freezing</w:t></w:r>
</w:p>
<w:p>
<w:pPr><w:pStyle w:val="Normal"/></w:pPr>
<w:r><w:t xml:space="preserve">mixtures.  On gentle heating, it is decomposed into water</w:t></w:r>
</w:p>
<w:p>
<w:pPr><w:pStyle w:val="Normal"/></w:pPr>
<w:r><w:t xml:space="preserve">and nitrous oxide.  P. E. M. Berthelot in 1883 showed that if</w:t></w:r>
</w:p>
<w:p>
<w:pPr><w:pStyle w:val="Normal"/></w:pPr>
<w:r><w:t xml:space="preserve">ammonium nitrate be rapidly heated the following reaction takes</w:t></w:r>
</w:p>
<w:p>
<w:pPr><w:pStyle w:val="Normal"/></w:pPr>
<w:r><w:t xml:space="preserve">place with explosive violence:--2NH4NO3 = 4H2O + 2N2 + O2.</w:t></w:r>
</w:p>
<w:p>
<w:pPr><w:pStyle w:val="Normal"/></w:pPr>
<w:r><w:t xml:space="preserve">Ammonium nitrite, NH4NO2, is formed by oxidizing ammonia with</w:t></w:r>
</w:p>
<w:p>
<w:pPr><w:pStyle w:val="Normal"/></w:pPr>
<w:r><w:t xml:space="preserve">ozone or hydrogen peroxide; by precipitating barium or lead</w:t></w:r>
</w:p>
<w:p>
<w:pPr><w:pStyle w:val="Normal"/></w:pPr>
<w:r><w:t xml:space="preserve">nitrites with ammonium sulphate, or silver nitrite with ammonium</w:t></w:r>
</w:p>
<w:p>
<w:pPr><w:pStyle w:val="Normal"/></w:pPr>
<w:r><w:t xml:space="preserve">chloride.  The precipitate is filtered off and the solution</w:t></w:r>
</w:p>
<w:p>
<w:pPr><w:pStyle w:val="Normal"/></w:pPr>
<w:r><w:t xml:space="preserve">concentrated.  It forms colourless crystals which are soluble in</w:t></w:r>
</w:p>
<w:p>
<w:pPr><w:pStyle w:val="Normal"/></w:pPr>
<w:r><w:t xml:space="preserve">water and decompose on heating, with the formation of nitrogen.</w:t></w:r>
</w:p>
<w:p>
<w:pPr><w:pStyle w:val="Normal"/></w:pPr>
<w:r><w:t xml:space="preserve">Ammonium phosphates.  The normal phosphate, (NH4)3PO4,is</w:t></w:r>
</w:p>
<w:p>
<w:pPr><w:pStyle w:val="Normal"/></w:pPr>
<w:r><w:t xml:space="preserve">obtained as a crystalline powder, on mixing concentrated solutions</w:t></w:r>
</w:p>
<w:p>
<w:pPr><w:pStyle w:val="Normal"/></w:pPr>
<w:r><w:t xml:space="preserve">of ammonia and phosphoric acid, or on the addition of excess of</w:t></w:r>
</w:p>
<w:p>
<w:pPr><w:pStyle w:val="Normal"/></w:pPr>
<w:r><w:t xml:space="preserve">ammonia to the acid phosphate (NH4)2HPO4.  It is soluble in</w:t></w:r>
</w:p>
<w:p>
<w:pPr><w:pStyle w:val="Normal"/></w:pPr>
<w:r><w:t xml:space="preserve">water, and the aqueous solution on boiling loses ammonia and</w:t></w:r>
</w:p>
<w:p>
<w:pPr><w:pStyle w:val="Normal"/></w:pPr>
<w:r><w:t xml:space="preserve">the acid phosphate NH4H2PO4 is formed.  Diammonium hydrogen</w:t></w:r>
</w:p>
<w:p>
<w:pPr><w:pStyle w:val="Normal"/></w:pPr>
<w:r><w:t xml:space="preserve">phosphate, (NH4)2HPO4, is formed by evaporating a solution</w:t></w:r>
</w:p>
<w:p>
<w:pPr><w:pStyle w:val="Normal"/></w:pPr>
<w:r><w:t xml:space="preserve">of phosphoric acid with excess of ammonia.  It crystallizes in</w:t></w:r>
</w:p>
<w:p>
<w:pPr><w:pStyle w:val="Normal"/></w:pPr>
<w:r><w:t xml:space="preserve">large transparent prisms, which melt on heating and decompose,</w:t></w:r>
</w:p>
<w:p>
<w:pPr><w:pStyle w:val="Normal"/></w:pPr>
<w:r><w:t xml:space="preserve">leaving a residue of metaphosphoric acid, (HPO3).  Ammonium</w:t></w:r>
</w:p>
<w:p>
<w:pPr><w:pStyle w:val="Normal"/></w:pPr>
<w:r><w:t xml:space="preserve">dihydrogen phosphate, NH4.H2PO4, is formed when a solution</w:t></w:r>
</w:p>
<w:p>
<w:pPr><w:pStyle w:val="Normal"/></w:pPr>
<w:r><w:t xml:space="preserve">of phosphoric acid is added to ammonia until the solution</w:t></w:r>
</w:p>
<w:p>
<w:pPr><w:pStyle w:val="Normal"/></w:pPr>
<w:r><w:t xml:space="preserve">is distinctly acid.  It crystallizes in quadratic prisms.</w:t></w:r>
</w:p>
<w:p>
<w:pPr><w:pStyle w:val="Normal"/></w:pPr>
<w:r><w:t xml:space="preserve">Ammonium sodium hydrogen phosphate,</w:t></w:r>
</w:p>
<w:p>
<w:pPr><w:pStyle w:val="Normal"/></w:pPr>
<w:r><w:t xml:space="preserve">NH4.NaHPO4.4H2O. (See MICROCOSMIC SALT.)</w:t></w:r>
</w:p>
<w:p>
<w:pPr><w:pStyle w:val="Normal"/></w:pPr>
<w:r><w:t xml:space="preserve">Ammonium sulphate (NH4)2SO4 is prepared commercially from</w:t></w:r>
</w:p>
<w:p>
<w:pPr><w:pStyle w:val="Normal"/></w:pPr>
<w:r><w:t xml:space="preserve">the ammoniacal liquor of gas-works (see GAS: Manufacture)</w:t></w:r>
</w:p>
<w:p>
<w:pPr><w:pStyle w:val="Normal"/></w:pPr>
<w:r><w:t xml:space="preserve">and is purified by recrystallization.  It forms large rhombic</w:t></w:r>
</w:p>
<w:p>
<w:pPr><w:pStyle w:val="Normal"/></w:pPr>
<w:r><w:t xml:space="preserve">prisms, has a somewhat saline taste and is easily soluble in</w:t></w:r>
</w:p>
<w:p>
<w:pPr><w:pStyle w:val="Normal"/></w:pPr>
<w:r><w:t xml:space="preserve">water.  The aqueous solution on boiling loses some ammonia and</w:t></w:r>
</w:p>
<w:p>
<w:pPr><w:pStyle w:val="Normal"/></w:pPr>
<w:r><w:t xml:space="preserve">forms an acid sulphate.  It is used largely as an artificial</w:t></w:r>
</w:p>
<w:p>
<w:pPr><w:pStyle w:val="Normal"/></w:pPr>
<w:r><w:t xml:space="preserve">manure, and also for the preparation of other ammonium salts.</w:t></w:r>
</w:p>
<w:p>
<w:pPr><w:pStyle w:val="Normal"/></w:pPr>
<w:r><w:t xml:space="preserve">Ammonium persulphate (NH4)2S2O8 has been prepared by</w:t></w:r>
</w:p>
<w:p>
<w:pPr><w:pStyle w:val="Normal"/></w:pPr>
<w:r><w:t xml:space="preserve">H. Marshall (Jour. of Chem.  Soc., 1891, lix. p. 777) by</w:t></w:r>
</w:p>
<w:p>
<w:pPr><w:pStyle w:val="Normal"/></w:pPr>
<w:r><w:t xml:space="preserve">the method used for the preparation of the corresponding</w:t></w:r>
</w:p>
<w:p>
<w:pPr><w:pStyle w:val="Normal"/></w:pPr>
<w:r><w:t xml:space="preserve">potassium salt (see SULPHUR).  Pure specimens are</w:t></w:r>
</w:p>
<w:p>
<w:pPr><w:pStyle w:val="Normal"/></w:pPr>
<w:r><w:t xml:space="preserve">difficult to obtain.  It is very soluble in cold water,</w:t></w:r>
</w:p>
<w:p>
<w:pPr><w:pStyle w:val="Normal"/></w:pPr>
<w:r><w:t xml:space="preserve">a large fall of temperature accompanying solution.</w:t></w:r>
</w:p>
<w:p>
<w:pPr><w:pStyle w:val="Normal"/></w:pPr>
<w:r><w:t xml:space="preserve">Ammonium sulphide, (NH4)2S, is obtained, in the form of</w:t></w:r>
</w:p>
<w:p>
<w:pPr><w:pStyle w:val="Normal"/></w:pPr>
<w:r><w:t xml:space="preserve">micaceous crystals, by passing sulphuretted hydrogen mixed with</w:t></w:r>
</w:p>
<w:p>
<w:pPr><w:pStyle w:val="Normal"/></w:pPr>
<w:r><w:t xml:space="preserve">a slight excess of ammonia through a well-cooled vessel; the</w:t></w:r>
</w:p>
<w:p>
<w:pPr><w:pStyle w:val="Normal"/></w:pPr>
<w:r><w:t xml:space="preserve">hydrosulphide NH4.HS is formed at the same time.  It dissolves</w:t></w:r>
</w:p>
<w:p>
<w:pPr><w:pStyle w:val="Normal"/></w:pPr>
<w:r><w:t xml:space="preserve">readily in water, but is probably partially dissociated in</w:t></w:r>
</w:p>
<w:p>
<w:pPr><w:pStyle w:val="Normal"/></w:pPr>
<w:r><w:t xml:space="preserve">solution.  The hydrosulphide NH4.HS can be obtained as</w:t></w:r>
</w:p>
<w:p>
<w:pPr><w:pStyle w:val="Normal"/></w:pPr>
<w:r><w:t xml:space="preserve">a white solid, by mixing well-cooled ammonia with a slight</w:t></w:r>
</w:p>
<w:p>
<w:pPr><w:pStyle w:val="Normal"/></w:pPr>
<w:r><w:t xml:space="preserve">excess of sulphuretted hydrogen.  According to W. P. Bloxam</w:t></w:r>
</w:p>
<w:p>
<w:pPr><w:pStyle w:val="Normal"/></w:pPr>
<w:r><w:t xml:space="preserve">(Jour. of Chem.  Soc., 1895, lxvii. p. 283), if sulphuretted</w:t></w:r>
</w:p>
<w:p>
<w:pPr><w:pStyle w:val="Normal"/></w:pPr>
<w:r><w:t xml:space="preserve">hydrogen is passed into strong aqueous ammonia at ordinary</w:t></w:r>
</w:p>
<w:p>
<w:pPr><w:pStyle w:val="Normal"/></w:pPr>
<w:r><w:t xml:space="preserve">temperature, the compound (NH4)2S.2NH4HS is obtained,</w:t></w:r>
</w:p>
<w:p>
<w:pPr><w:pStyle w:val="Normal"/></w:pPr>
<w:r><w:t xml:space="preserve">which, on cooling to 0 deg.  C. and passing more sulphuretted</w:t></w:r>
</w:p>
<w:p>
<w:pPr><w:pStyle w:val="Normal"/></w:pPr>
<w:r><w:t xml:space="preserve">hydrogen, forms the compound (NH4)2S.12NH4HS.  An</w:t></w:r>
</w:p>
<w:p>
<w:pPr><w:pStyle w:val="Normal"/></w:pPr>
<w:r><w:t xml:space="preserve">ice-cold solution of this substance kept at 0 deg.  C. and having</w:t></w:r>
</w:p>
<w:p>
<w:pPr><w:pStyle w:val="Normal"/></w:pPr>
<w:r><w:t xml:space="preserve">sulphuretted hydrogen continually passed through it gives the</w:t></w:r>
</w:p>
<w:p>
<w:pPr><w:pStyle w:val="Normal"/></w:pPr>
<w:r><w:t xml:space="preserve">hydrosulphide.  Several complex polysulphides of ammonium have</w:t></w:r>
</w:p>
<w:p>
<w:pPr><w:pStyle w:val="Normal"/></w:pPr>
<w:r><w:t xml:space="preserve">been isolated, for details of which see Bloxam&apos;s paper quoted</w:t></w:r>
</w:p>
<w:p>
<w:pPr><w:pStyle w:val="Normal"/></w:pPr>
<w:r><w:t xml:space="preserve">above.  Compounds are known which may be looked upon as</w:t></w:r>
</w:p>
<w:p>
<w:pPr><w:pStyle w:val="Normal"/></w:pPr>
<w:r><w:t xml:space="preserve">derived from ammonia by the replacement of its hydrogen by</w:t></w:r>
</w:p>
<w:p>
<w:pPr><w:pStyle w:val="Normal"/></w:pPr>
<w:r><w:t xml:space="preserve">the sulpho-group (HSO3); thus potassium ammon-trisulphonate,</w:t></w:r>
</w:p>
<w:p>
<w:pPr><w:pStyle w:val="Normal"/></w:pPr>
<w:r><w:t xml:space="preserve">N(SO3K)3.2H2O, is obtained as a crystalline precipitate</w:t></w:r>
</w:p>
<w:p>
<w:pPr><w:pStyle w:val="Normal"/></w:pPr>
<w:r><w:t xml:space="preserve">on the addition of excess of potassium sulphite to a</w:t></w:r>
</w:p>
<w:p>
<w:pPr><w:pStyle w:val="Normal"/></w:pPr>
<w:r><w:t xml:space="preserve">solution of potassium nitrite, KNO2 + 3K2SO3 + 2H2O =</w:t></w:r>
</w:p>
<w:p>
<w:pPr><w:pStyle w:val="Normal"/></w:pPr>
<w:r><w:t xml:space="preserve">N(SO3K)3 + 4KHO.  It can be recrystallized by solution in</w:t></w:r>
</w:p>
<w:p>
<w:pPr><w:pStyle w:val="Normal"/></w:pPr>
<w:r><w:t xml:space="preserve">alkalies.  On boiling with water, it is converted, first</w:t></w:r>
</w:p>
<w:p>
<w:pPr><w:pStyle w:val="Normal"/></w:pPr>
<w:r><w:t xml:space="preserve">into the disulphonate NH(SO3K)2 thus, N(SO3K)3 + H2O =</w:t></w:r>
</w:p>
<w:p>
<w:pPr><w:pStyle w:val="Normal"/></w:pPr>
<w:r><w:t xml:space="preserve">NH(SO3K)2 + KHSO4, and ultimately into the monosulphonate</w:t></w:r>
</w:p>
<w:p>
<w:pPr><w:pStyle w:val="Normal"/></w:pPr>
<w:r><w:t xml:space="preserve">NH2.SO3K.  The disulphonate is more readily obtained</w:t></w:r>
</w:p>
<w:p>
<w:pPr><w:pStyle w:val="Normal"/></w:pPr>
<w:r><w:t xml:space="preserve">by moistening the nitrilosulphonate with dilute sulphuric</w:t></w:r>
</w:p>
<w:p>
<w:pPr><w:pStyle w:val="Normal"/></w:pPr>
<w:r><w:t xml:space="preserve">acid and letting it stand for twenty-four hours, after</w:t></w:r>
</w:p>
<w:p>
<w:pPr><w:pStyle w:val="Normal"/></w:pPr>
<w:r><w:t xml:space="preserve">which it is recrystallized from dilute ammonia.  It forms</w:t></w:r>
</w:p>
<w:p>
<w:pPr><w:pStyle w:val="Normal"/></w:pPr>
<w:r><w:t xml:space="preserve">monosymmetric crystals which by boiling with water yield</w:t></w:r>
</w:p>
<w:p>
<w:pPr><w:pStyle w:val="Normal"/></w:pPr>
<w:r><w:t xml:space="preserve">amidosulphonic acid. (See also E. Divers, Jour. of Chem.</w:t></w:r>
</w:p>
<w:p>
<w:pPr><w:pStyle w:val="Normal"/></w:pPr>
<w:r><w:t xml:space="preserve">Soc., 1892, lxi. p. 943.) Amidosulphonic acid crystallizes in</w:t></w:r>
</w:p>
<w:p>
<w:pPr><w:pStyle w:val="Normal"/></w:pPr>
<w:r><w:t xml:space="preserve">prisms, slightly soluble in water, and is a stable compound.</w:t></w:r>
</w:p>
<w:p>
<w:pPr><w:pStyle w:val="Normal"/></w:pPr>
<w:r><w:t xml:space="preserve">Ammonia and ammonium salts can be readily detected, in very</w:t></w:r>
</w:p>
<w:p>
<w:pPr><w:pStyle w:val="Normal"/></w:pPr>
<w:r><w:t xml:space="preserve">minute traces, by the addition of Nessler&apos;s solution, which</w:t></w:r>
</w:p>
<w:p>
<w:pPr><w:pStyle w:val="Normal"/></w:pPr>
<w:r><w:t xml:space="preserve">gives a distinct yellow coloration in the presence of the least</w:t></w:r>
</w:p>
<w:p>
<w:pPr><w:pStyle w:val="Normal"/></w:pPr>
<w:r><w:t xml:space="preserve">trace of ammonia or ammonium salts.  Larger quantities can be</w:t></w:r>
</w:p>
<w:p>
<w:pPr><w:pStyle w:val="Normal"/></w:pPr>
<w:r><w:t xml:space="preserve">detected by warming the salts with a caustic alkali or with</w:t></w:r>
</w:p>
<w:p>
<w:pPr><w:pStyle w:val="Normal"/></w:pPr>
<w:r><w:t xml:space="preserve">quicklime, when the characteristic smell of ammonia will be</w:t></w:r>
</w:p>
<w:p>
<w:pPr><w:pStyle w:val="Normal"/></w:pPr>
<w:r><w:t xml:space="preserve">at once apparent.  The amount of ammonia in ammonium salts</w:t></w:r>
</w:p>
<w:p>
<w:pPr><w:pStyle w:val="Normal"/></w:pPr>
<w:r><w:t xml:space="preserve">can be estimated quantitatively by distillation of the salts</w:t></w:r>
</w:p>
<w:p>
<w:pPr><w:pStyle w:val="Normal"/></w:pPr>
<w:r><w:t xml:space="preserve">with sodium or potassium hydroxide, the ammonia evolved being</w:t></w:r>
</w:p>
<w:p>
<w:pPr><w:pStyle w:val="Normal"/></w:pPr>
<w:r><w:t xml:space="preserve">absorbed in a known volume of standard sulphuric acid and the</w:t></w:r>
</w:p>
<w:p>
<w:pPr><w:pStyle w:val="Normal"/></w:pPr>
<w:r><w:t xml:space="preserve">excess of acid then determined volumetrically; or the ammonia</w:t></w:r>
</w:p>
<w:p>
<w:pPr><w:pStyle w:val="Normal"/></w:pPr>
<w:r><w:t xml:space="preserve">may be absorbed in hydrochloric acid and the ammonium chloride so</w:t></w:r>
</w:p>
<w:p>
<w:pPr><w:pStyle w:val="Normal"/></w:pPr>
<w:r><w:t xml:space="preserve">formed precipitated as ammonium chlorplatinate, (NH4)2PtCl6.</w:t></w:r>
</w:p>
<w:p>
<w:pPr><w:pStyle w:val="Normal"/></w:pPr>
<w:r><w:t xml:space="preserve">AMMONIACUM, or GUM AMMONIAC, a gum-resin exuded from the</w:t></w:r>
</w:p>
<w:p>
<w:pPr><w:pStyle w:val="Normal"/></w:pPr>
<w:r><w:t xml:space="preserve">stem of a perennial herb (Dorema ammoniacum), natural order</w:t></w:r>
</w:p>
<w:p>
<w:pPr><w:pStyle w:val="Normal"/></w:pPr>
<w:r><w:t xml:space="preserve">Umbelliferae.  The plant grows to the height of 8 or 9 ft.,</w:t></w:r>
</w:p>
<w:p>
<w:pPr><w:pStyle w:val="Normal"/></w:pPr>
<w:r><w:t xml:space="preserve">and its whole stem is pervaded with a milky juice, which</w:t></w:r>
</w:p>
<w:p>
<w:pPr><w:pStyle w:val="Normal"/></w:pPr>
<w:r><w:t xml:space="preserve">oozes out on an incision being made at any part.  This juice</w:t></w:r>
</w:p>
<w:p>
<w:pPr><w:pStyle w:val="Normal"/></w:pPr>
<w:r><w:t xml:space="preserve">quickly hardens into round tears, forming the &quot;tear ammoniacum&quot;</w:t></w:r>
</w:p>
<w:p>
<w:pPr><w:pStyle w:val="Normal"/></w:pPr>
<w:r><w:t xml:space="preserve">of commerce. &quot;Lump ammoniacum,&quot; the other form in which the</w:t></w:r>
</w:p>
<w:p>
<w:pPr><w:pStyle w:val="Normal"/></w:pPr>
<w:r><w:t xml:space="preserve">substance is met with, consists of aggregations of tears,</w:t></w:r>
</w:p>
<w:p>
<w:pPr><w:pStyle w:val="Normal"/></w:pPr>
<w:r><w:t xml:space="preserve">frequently incorporating fragments of the plant itself, as</w:t></w:r>
</w:p>
<w:p>
<w:pPr><w:pStyle w:val="Normal"/></w:pPr>
<w:r><w:t xml:space="preserve">well as other foreign bodies.  Ammoniacum has a faintly fetid,</w:t></w:r>
</w:p>
<w:p>
<w:pPr><w:pStyle w:val="Normal"/></w:pPr>
<w:r><w:t xml:space="preserve">unpleasant odour, which becomes more distinct on heating;</w:t></w:r>
</w:p>
<w:p>
<w:pPr><w:pStyle w:val="Normal"/></w:pPr>
<w:r><w:t xml:space="preserve">externally it possesses a reddish-yellow appearance, and when</w:t></w:r>
</w:p>
<w:p>
<w:pPr><w:pStyle w:val="Normal"/></w:pPr>
<w:r><w:t xml:space="preserve">the tears or lumps are freshly fractured they exhibit a waxy</w:t></w:r>
</w:p>
<w:p>
<w:pPr><w:pStyle w:val="Normal"/></w:pPr>
<w:r><w:t xml:space="preserve">lustre.  It is chiefly collected in central Persia, and</w:t></w:r>
</w:p>
<w:p>
<w:pPr><w:pStyle w:val="Normal"/></w:pPr>
<w:r><w:t xml:space="preserve">comes to the European market by way of Bombay.  Ammoniacum</w:t></w:r>
</w:p>
<w:p>
<w:pPr><w:pStyle w:val="Normal"/></w:pPr>
<w:r><w:t xml:space="preserve">is closely related to asafetida and galbanum (from which,</w:t></w:r>
</w:p>
<w:p>
<w:pPr><w:pStyle w:val="Normal"/></w:pPr>
<w:r><w:t xml:space="preserve">however, it differs in yielding no umbelliferone) both in</w:t></w:r>
</w:p>
<w:p>
<w:pPr><w:pStyle w:val="Normal"/></w:pPr>
<w:r><w:t xml:space="preserve">regard to the plant which yields it and its therapeutical</w:t></w:r>
</w:p>
<w:p>
<w:pPr><w:pStyle w:val="Normal"/></w:pPr>
<w:r><w:t xml:space="preserve">effects.  Internally it is used in conjunction with squills</w:t></w:r>
</w:p>
<w:p>
<w:pPr><w:pStyle w:val="Normal"/></w:pPr>
<w:r><w:t xml:space="preserve">in bronchial affections; and in asthma and chronic colds it</w:t></w:r>
</w:p>
<w:p>
<w:pPr><w:pStyle w:val="Normal"/></w:pPr>
<w:r><w:t xml:space="preserve">is found useful, but it has no advantages over a number of</w:t></w:r>
</w:p>
<w:p>
<w:pPr><w:pStyle w:val="Normal"/></w:pPr>
<w:r><w:t xml:space="preserve">other substances of more constant and active properties (Sir</w:t></w:r>
</w:p>
<w:p>
<w:pPr><w:pStyle w:val="Normal"/></w:pPr>
<w:r><w:t xml:space="preserve">Thomas Fraser).  Only the &quot;tear ammoniacum&quot; is official.</w:t></w:r>
</w:p>
<w:p>
<w:pPr><w:pStyle w:val="Normal"/></w:pPr>
<w:r><w:t xml:space="preserve">African ammoniacum is the product of a plant said to be Ferula</w:t></w:r>
</w:p>
<w:p>
<w:pPr><w:pStyle w:val="Normal"/></w:pPr>
<w:r><w:t xml:space="preserve">tingitana, which grows in North Africa; it is a dark coloured</w:t></w:r>
</w:p>
<w:p>
<w:pPr><w:pStyle w:val="Normal"/></w:pPr>
<w:r><w:t xml:space="preserve">gum-resin, possessed of a very weak odour and a persistent acrid taste.</w:t></w:r>
</w:p>
<w:p>
<w:pPr><w:pStyle w:val="Normal"/></w:pPr>
<w:r><w:t xml:space="preserve">AMMONITES, or the &quot;children of Ammon,&quot; a people of east</w:t></w:r>
</w:p>
<w:p>
<w:pPr><w:pStyle w:val="Normal"/></w:pPr>
<w:r><w:t xml:space="preserve">Palestine who, like the Moabites, traced their origin to</w:t></w:r>
</w:p>
<w:p>
<w:pPr><w:pStyle w:val="Normal"/></w:pPr>
<w:r><w:t xml:space="preserve">Lot, the nephew of the patriarch Abraham, and must have been</w:t></w:r>
</w:p>
<w:p>
<w:pPr><w:pStyle w:val="Normal"/></w:pPr>
<w:r><w:t xml:space="preserve">regarded, therefore, as closely related to the Israelites and</w:t></w:r>
</w:p>
<w:p>
<w:pPr><w:pStyle w:val="Normal"/></w:pPr>
<w:r><w:t xml:space="preserve">Edomites.  Both the Ammonites and Moabites are sometimes</w:t></w:r>
</w:p>
<w:p>
<w:pPr><w:pStyle w:val="Normal"/></w:pPr>
<w:r><w:t xml:space="preserve">spoken of under the common name of the children of Lot</w:t></w:r>
</w:p>
<w:p>
<w:pPr><w:pStyle w:val="Normal"/></w:pPr>
<w:r><w:t xml:space="preserve">(Deut. ii. 19; Ps. lxxxiii. 8); and the whole history shows</w:t></w:r>
</w:p>
<w:p>
<w:pPr><w:pStyle w:val="Normal"/></w:pPr>
<w:r><w:t xml:space="preserve">that they preserved throughout the course of their national</w:t></w:r>
</w:p>
<w:p>
<w:pPr><w:pStyle w:val="Normal"/></w:pPr>
<w:r><w:t xml:space="preserve">existence a sense of the closest brotherhood.  According to the</w:t></w:r>
</w:p>
<w:p>
<w:pPr><w:pStyle w:val="Normal"/></w:pPr>
<w:r><w:t xml:space="preserve">traditions, the original territory of the two tribes was the</w:t></w:r>
</w:p>
<w:p>
<w:pPr><w:pStyle w:val="Normal"/></w:pPr>
<w:r><w:t xml:space="preserve">country lying immediately on the east of the Dead Sea, and</w:t></w:r>
</w:p>
<w:p>
<w:pPr><w:pStyle w:val="Normal"/></w:pPr>
<w:r><w:t xml:space="preserve">of the lower half of the Jordan, having the Jabbok for its</w:t></w:r>
</w:p>
<w:p>
<w:pPr><w:pStyle w:val="Normal"/></w:pPr>
<w:r><w:t xml:space="preserve">northern boundary; and of this tract the Ammonites laid claim</w:t></w:r>
</w:p>
<w:p>
<w:pPr><w:pStyle w:val="Normal"/></w:pPr>
<w:r><w:t xml:space="preserve">to the northern portion between the Arnon and the Jabbok, out</w:t></w:r>
</w:p>
<w:p>
<w:pPr><w:pStyle w:val="Normal"/></w:pPr>
<w:r><w:t xml:space="preserve">of which they had expelled the Zamzummim (Judg. xi. 13; Deut.</w:t></w:r>
</w:p>
<w:p>
<w:pPr><w:pStyle w:val="Normal"/></w:pPr>
<w:r><w:t xml:space="preserve">ii. 20 sqq.; cf.  Gen. xiv. 5), though apparently it had been</w:t></w:r>
</w:p>
<w:p>
<w:pPr><w:pStyle w:val="Normal"/></w:pPr>
<w:r><w:t xml:space="preserve">held, in part at least, conjointly with the Moabites, or</w:t></w:r>
</w:p>
<w:p>
<w:pPr><w:pStyle w:val="Normal"/></w:pPr>
<w:r><w:t xml:space="preserve">perhaps under their supremacy (Num. xxi. 26, xxii. 1; Josh.</w:t></w:r>
</w:p>
<w:p>
<w:pPr><w:pStyle w:val="Normal"/></w:pPr>
<w:r><w:t xml:space="preserve">xiii. 32). From this their original territory they had been</w:t></w:r>
</w:p>
<w:p>
<w:pPr><w:pStyle w:val="Normal"/></w:pPr>
<w:r><w:t xml:space="preserve">in their turn expelled by Sihon, king of the Amorites, who</w:t></w:r>
</w:p>
<w:p>
<w:pPr><w:pStyle w:val="Normal"/></w:pPr>
<w:r><w:t xml:space="preserve">was said to have been found by the Israelites, after their</w:t></w:r>
</w:p>
<w:p>
<w:pPr><w:pStyle w:val="Normal"/></w:pPr>
<w:r><w:t xml:space="preserve">deliverance from Egypt, in possession of both Gilead and</w:t></w:r>
</w:p>
<w:p>
<w:pPr><w:pStyle w:val="Normal"/></w:pPr>
<w:r><w:t xml:space="preserve">Bashan, that is, of the whole country on the left bank of the</w:t></w:r>
</w:p>
<w:p>
<w:pPr><w:pStyle w:val="Normal"/></w:pPr>
<w:r><w:t xml:space="preserve">Jordan, lying to the north of the Arnon (Num. xxi. 13). By</w:t></w:r>
</w:p>
<w:p>
<w:pPr><w:pStyle w:val="Normal"/></w:pPr>
<w:r><w:t xml:space="preserve">this invasion, as the Moabites were driven to the south of</w:t></w:r>
</w:p>
<w:p>
<w:pPr><w:pStyle w:val="Normal"/></w:pPr>
<w:r><w:t xml:space="preserve">the Arnon, which formed their northern boundary from that</w:t></w:r>
</w:p>
<w:p>
<w:pPr><w:pStyle w:val="Normal"/></w:pPr>
<w:r><w:t xml:space="preserve">time, so the Ammonites were driven out of Gilead across</w:t></w:r>
</w:p>
<w:p>
<w:pPr><w:pStyle w:val="Normal"/></w:pPr>
<w:r><w:t xml:space="preserve">the upper waters of the Jabbok where it flows from south to</w:t></w:r>
</w:p>
<w:p>
<w:pPr><w:pStyle w:val="Normal"/></w:pPr>
<w:r><w:t xml:space="preserve">north, which henceforth continued to be their western boundary</w:t></w:r>
</w:p>
<w:p>
<w:pPr><w:pStyle w:val="Normal"/></w:pPr>
<w:r><w:t xml:space="preserve">(Num. xxi. 24; Deut. ii. 37, iii. 16). The other limits of</w:t></w:r>
</w:p>
<w:p>
<w:pPr><w:pStyle w:val="Normal"/></w:pPr>
<w:r><w:t xml:space="preserve">the Ammonitis, or country of the Ammonites (&apos;Lmmanitis</w:t></w:r>
</w:p>
<w:p>
<w:pPr><w:pStyle w:val="Normal"/></w:pPr>
<w:r><w:t xml:space="preserve">chora, 2 Mac. iv. 26), there are no means of exactly</w:t></w:r>
</w:p>
<w:p>
<w:pPr><w:pStyle w:val="Normal"/></w:pPr>
<w:r><w:t xml:space="preserve">defining.  On the south it probably adjoined the land of</w:t></w:r>
</w:p>
<w:p>
<w:pPr><w:pStyle w:val="Normal"/></w:pPr>
<w:r><w:t xml:space="preserve">Moab; on the north it may have met that of the king of Geshur</w:t></w:r>
</w:p>
<w:p>
<w:pPr><w:pStyle w:val="Normal"/></w:pPr>
<w:r><w:t xml:space="preserve">(Josh. xii. 5); and on the east it probably melted away into</w:t></w:r>
</w:p>
<w:p>
<w:pPr><w:pStyle w:val="Normal"/></w:pPr>
<w:r><w:t xml:space="preserve">the desert peopled by Amalekites and other nomadic races.</w:t></w:r>
</w:p>
<w:p>
<w:pPr><w:pStyle w:val="Normal"/></w:pPr>
<w:r><w:t xml:space="preserve">The chief city of the country, called Rabbah, or Rabbath of</w:t></w:r>
</w:p>
<w:p>
<w:pPr><w:pStyle w:val="Normal"/></w:pPr>
<w:r><w:t xml:space="preserve">the children of Ammon, i.e. the metropolis of the Ammonites</w:t></w:r>
</w:p>
<w:p>
<w:pPr><w:pStyle w:val="Normal"/></w:pPr>
<w:r><w:t xml:space="preserve">(Deut. iii. 11), and Rabbathammana by the later Greeks</w:t></w:r>
</w:p>
<w:p>
<w:pPr><w:pStyle w:val="Normal"/></w:pPr>
<w:r><w:t xml:space="preserve">(Polyb, v. 7. 4), whose name was changed into Philadelphia</w:t></w:r>
</w:p>
<w:p>
<w:pPr><w:pStyle w:val="Normal"/></w:pPr>
<w:r><w:t xml:space="preserve">by Ptolemy Philadelphus, a large and strong city with an</w:t></w:r>
</w:p>
<w:p>
<w:pPr><w:pStyle w:val="Normal"/></w:pPr>
<w:r><w:t xml:space="preserve">acropolis, was situated on both sides of a branch of the</w:t></w:r>
</w:p>
<w:p>
<w:pPr><w:pStyle w:val="Normal"/></w:pPr>
<w:r><w:t xml:space="preserve">Jabbok, bearing at the present day the name of Nahr</w:t></w:r>
</w:p>
<w:p>
<w:pPr><w:pStyle w:val="Normal"/></w:pPr>
<w:r><w:t xml:space="preserve">`Amman, the river of Ammon, whence the designation &quot;city</w:t></w:r>
</w:p>
<w:p>
<w:pPr><w:pStyle w:val="Normal"/></w:pPr>
<w:r><w:t xml:space="preserve">of waters&quot; (2 Sam. xii. 27); see Survey of E. Pal (Pal.</w:t></w:r>
</w:p>
<w:p>
<w:pPr><w:pStyle w:val="Normal"/></w:pPr>
<w:r><w:t xml:space="preserve">Explor.  Fund), pp. 19 sqq.  The ruins called Amman by the</w:t></w:r>
</w:p>
<w:p>
<w:pPr><w:pStyle w:val="Normal"/></w:pPr>
<w:r><w:t xml:space="preserve">natives are extensive and imposing.  The country to the south</w:t></w:r>
</w:p>
<w:p>
<w:pPr><w:pStyle w:val="Normal"/></w:pPr>
<w:r><w:t xml:space="preserve">and east of Amman is distinguished by its fertility; and</w:t></w:r>
</w:p>
<w:p>
<w:pPr><w:pStyle w:val="Normal"/></w:pPr>
<w:r><w:t xml:space="preserve">ruined towns are scattered thickly over it, attesting that</w:t></w:r>
</w:p>
<w:p>
<w:pPr><w:pStyle w:val="Normal"/></w:pPr>
<w:r><w:t xml:space="preserve">it was once occupied by a population which, however fierce,</w:t></w:r>
</w:p>
<w:p>
<w:pPr><w:pStyle w:val="Normal"/></w:pPr>
<w:r><w:t xml:space="preserve">was settled and industrious, a fact indicated also by the</w:t></w:r>
</w:p>
<w:p>
<w:pPr><w:pStyle w:val="Normal"/></w:pPr>
<w:r><w:t xml:space="preserve">tribute of corn paid annually to Jotham (2 Chron. xxvii. 5).</w:t></w:r>
</w:p>
<w:p>
<w:pPr><w:pStyle w:val="Normal"/></w:pPr>
<w:r><w:t xml:space="preserve">The traditional history of Ammon as related in the Old</w:t></w:r>
</w:p>
<w:p>
<w:pPr><w:pStyle w:val="Normal"/></w:pPr>
<w:r><w:t xml:space="preserve">Testament is not free from obscurity, due to the uncertain</w:t></w:r>
</w:p>
<w:p>
<w:pPr><w:pStyle w:val="Normal"/></w:pPr>
<w:r><w:t xml:space="preserve">date of the various references and to the doubt whether the</w:t></w:r>
</w:p>
<w:p>
<w:pPr><w:pStyle w:val="Normal"/></w:pPr>
<w:r><w:t xml:space="preserve">individual details belong to the particular period to which</w:t></w:r>
</w:p>
<w:p>
<w:pPr><w:pStyle w:val="Normal"/></w:pPr>
<w:r><w:t xml:space="preserve">each is ascribed. (See further MOAB.) From the Assyrian</w:t></w:r>
</w:p>
<w:p>
<w:pPr><w:pStyle w:val="Normal"/></w:pPr>
<w:r><w:t xml:space="preserve">inscriptions we learn that the Ammonite king Ba&apos;sa (Baasha)</w:t></w:r>
</w:p>
<w:p>
<w:pPr><w:pStyle w:val="Normal"/></w:pPr>
<w:r><w:t xml:space="preserve">(son) of Ruhubi, with 1000 men joined Ahab and the Syrian</w:t></w:r>
</w:p>
<w:p>
<w:pPr><w:pStyle w:val="Normal"/></w:pPr>
<w:r><w:t xml:space="preserve">allies against Shalmaneser II. at the battle of Karkar in 854.</w:t></w:r>
</w:p>
<w:p>
<w:pPr><w:pStyle w:val="Normal"/></w:pPr>
<w:r><w:t xml:space="preserve">In 734 their king Sanip(b)u was a vassal of Tiglathpileser</w:t></w:r>
</w:p>
<w:p>
<w:pPr><w:pStyle w:val="Normal"/></w:pPr>
<w:r><w:t xml:space="preserve">IV., and his successor, P(b)udu-ilu, held the same position</w:t></w:r>
</w:p>
<w:p>
<w:pPr><w:pStyle w:val="Normal"/></w:pPr>
<w:r><w:t xml:space="preserve">under Sennacherib and Esarhaddon.  Somewhat later, their</w:t></w:r>
</w:p>
<w:p>
<w:pPr><w:pStyle w:val="Normal"/></w:pPr>
<w:r><w:t xml:space="preserve">king Amminadab was among the tributaries who suffered in the</w:t></w:r>
</w:p>
<w:p>
<w:pPr><w:pStyle w:val="Normal"/></w:pPr>
<w:r><w:t xml:space="preserve">course of the great Arabian campaign of Assurbanipal.  With</w:t></w:r>
</w:p>
<w:p>
<w:pPr><w:pStyle w:val="Normal"/></w:pPr>
<w:r><w:t xml:space="preserve">the neighbouring tribes, the Ammonites helped the Babylonian</w:t></w:r>
</w:p>
<w:p>
<w:pPr><w:pStyle w:val="Normal"/></w:pPr>
<w:r><w:t xml:space="preserve">monarch Nebuchadrezzar against Jehoiakim (2 Kings xxiv. 2);</w:t></w:r>
</w:p>
<w:p>
<w:pPr><w:pStyle w:val="Normal"/></w:pPr>
<w:r><w:t xml:space="preserve">and if they joined Zedekiah&apos;s conspiracy (Jer. xxvii. 3), and</w:t></w:r>
</w:p>
<w:p>
<w:pPr><w:pStyle w:val="Normal"/></w:pPr>
<w:r><w:t xml:space="preserve">were threatened by the Babylonian army (Ezek. xxi. 20 sqq.),</w:t></w:r>
</w:p>
<w:p>
<w:pPr><w:pStyle w:val="Normal"/></w:pPr>
<w:r><w:t xml:space="preserve">they do not appear to have suffered punishment at that period,</w:t></w:r>
</w:p>
<w:p>
<w:pPr><w:pStyle w:val="Normal"/></w:pPr>
<w:r><w:t xml:space="preserve">perhaps on account of a timely submission.  When, after the</w:t></w:r>
</w:p>
<w:p>
<w:pPr><w:pStyle w:val="Normal"/></w:pPr>
<w:r><w:t xml:space="preserve">destruction of Jerusalem, the fugitive Jews were again gathered</w:t></w:r>
</w:p>
<w:p>
<w:pPr><w:pStyle w:val="Normal"/></w:pPr>
<w:r><w:t xml:space="preserve">together, it was at the instigation of Baalis, king of Ammon,</w:t></w:r>
</w:p>
<w:p>
<w:pPr><w:pStyle w:val="Normal"/></w:pPr>
<w:r><w:t xml:space="preserve">that Gedaliah, the ruler whom Nebuchadrezzar had appointed over</w:t></w:r>
</w:p>
<w:p>
<w:pPr><w:pStyle w:val="Normal"/></w:pPr>
<w:r><w:t xml:space="preserve">them, was murdered, and new calamities were incurred (Jer.</w:t></w:r>
</w:p>
<w:p>
<w:pPr><w:pStyle w:val="Normal"/></w:pPr>
<w:r><w:t xml:space="preserve">xl. 14); and when Nehemiah prepared to rebuild the walls of</w:t></w:r>
</w:p>
<w:p>
<w:pPr><w:pStyle w:val="Normal"/></w:pPr>
<w:r><w:t xml:space="preserve">Jerusalem an Ammonite was foremost in opposition (Neh. ii.</w:t></w:r>
</w:p>
<w:p>
<w:pPr><w:pStyle w:val="Normal"/></w:pPr>
<w:r><w:t xml:space="preserve">10, 19, iv. 1-3).1 True to their antecedents, the Ammonites,</w:t></w:r>
</w:p>
<w:p>
<w:pPr><w:pStyle w:val="Normal"/></w:pPr>
<w:r><w:t xml:space="preserve">with some of the neighbouring tribes, did their utmost to</w:t></w:r>
</w:p>
<w:p>
<w:pPr><w:pStyle w:val="Normal"/></w:pPr>
<w:r><w:t xml:space="preserve">resist and check the revival of the Jewish power under Judas</w:t></w:r>
</w:p>
<w:p>
<w:pPr><w:pStyle w:val="Normal"/></w:pPr>
<w:r><w:t xml:space="preserve">Maccabaeus (1 Macc. v. 6; cf.  Jos. Ant. Jud. xii. 8. 1.).</w:t></w:r>
</w:p>
<w:p>
<w:pPr><w:pStyle w:val="Normal"/></w:pPr>
<w:r><w:t xml:space="preserve">The last notice of them is in Justin Martyr (Dial. cum Tryph.</w:t></w:r>
</w:p>
<w:p>
<w:pPr><w:pStyle w:val="Normal"/></w:pPr>
<w:r><w:t xml:space="preserve">sec.  119), where it is affirmed that they were still a numerous</w:t></w:r>
</w:p>
<w:p>
<w:pPr><w:pStyle w:val="Normal"/></w:pPr>
<w:r><w:t xml:space="preserve">people.  The few Ammonite names that have been preserved</w:t></w:r>
</w:p>
<w:p>
<w:pPr><w:pStyle w:val="Normal"/></w:pPr>
<w:r><w:t xml:space="preserve">(Nahash, Hanun, and those mentioned above, Zelek in 2 Sam.</w:t></w:r>
</w:p>
<w:p>
<w:pPr><w:pStyle w:val="Normal"/></w:pPr>
<w:r><w:t xml:space="preserve">xxiii. 37 is textually uncertain) testify, in harmony with</w:t></w:r>
</w:p>
<w:p>
<w:pPr><w:pStyle w:val="Normal"/></w:pPr>
<w:r><w:t xml:space="preserve">other considerations, that their language was Semitic, closely</w:t></w:r>
</w:p>
<w:p>
<w:pPr><w:pStyle w:val="Normal"/></w:pPr>
<w:r><w:t xml:space="preserve">allied to Hebrew and to the language of the Moabites.  Their</w:t></w:r>
</w:p>
<w:p>
<w:pPr><w:pStyle w:val="Normal"/></w:pPr>
<w:r><w:t xml:space="preserve">national deity was Moloch or Milcon. (See MOLOCH.) (S. A. C.)</w:t></w:r>
</w:p>
<w:p>
<w:pPr><w:pStyle w:val="Normal"/></w:pPr>
<w:r><w:t xml:space="preserve">1 The allusions in Jer. xlix. 1-6; Zeph. ii. 8-11; Ezek.</w:t></w:r>
</w:p>
<w:p>
<w:pPr><w:pStyle w:val="Normal"/></w:pPr>
<w:r><w:t xml:space="preserve">xxi. 28- 32; Judg. xi. 12-28, have been taken to refer to</w:t></w:r>
</w:p>
<w:p>
<w:pPr><w:pStyle w:val="Normal"/></w:pPr>
<w:r><w:t xml:space="preserve">an Ammonite occupation of Israelite territory after the</w:t></w:r>
</w:p>
<w:p>
<w:pPr><w:pStyle w:val="Normal"/></w:pPr>
<w:r><w:t xml:space="preserve">deportation of the east Jordanic Israelites in 734, but more</w:t></w:r>
</w:p>
<w:p>
<w:pPr><w:pStyle w:val="Normal"/></w:pPr>
<w:r><w:t xml:space="preserve">probably belong to a later event.  The name Chephar-Ammoni</w:t></w:r>
</w:p>
<w:p>
<w:pPr><w:pStyle w:val="Normal"/></w:pPr>
<w:r><w:t xml:space="preserve">(in Benjamin; Josh. xviii. 24) seems to imply that the</w:t></w:r>
</w:p>
<w:p>
<w:pPr><w:pStyle w:val="Normal"/></w:pPr>
<w:r><w:t xml:space="preserve">&quot;village&quot; became a settlement of &quot;Ammonites.&quot; Some light</w:t></w:r>
</w:p>
<w:p>
<w:pPr><w:pStyle w:val="Normal"/></w:pPr>
<w:r><w:t xml:space="preserve">is thrown upon the obscure history of the post-exile period</w:t></w:r>
</w:p>
<w:p>
<w:pPr><w:pStyle w:val="Normal"/></w:pPr>
<w:r><w:t xml:space="preserve">by the references to the mixed marriages which aroused the</w:t></w:r>
</w:p>
<w:p>
<w:pPr><w:pStyle w:val="Normal"/></w:pPr>
<w:r><w:t xml:space="preserve">reforming zeal of Ezra and culminated in the exclusion of</w:t></w:r>
</w:p>
<w:p>
<w:pPr><w:pStyle w:val="Normal"/></w:pPr>
<w:r><w:t xml:space="preserve">Ammon and Moab from the religious community--on the ground</w:t></w:r>
</w:p>
<w:p>
<w:pPr><w:pStyle w:val="Normal"/></w:pPr>
<w:r><w:t xml:space="preserve">of incidents which were ascribed to the time of the &quot;exodus&quot;</w:t></w:r>
</w:p>
<w:p>
<w:pPr><w:pStyle w:val="Normal"/></w:pPr>
<w:r><w:t xml:space="preserve">(Deut. xxiii. 3 sqq.; Ezr. ix. 1 sqq.; Neh. xiii. 1 sqq.).</w:t></w:r>
</w:p>
<w:p>
<w:pPr><w:pStyle w:val="Normal"/></w:pPr>
<w:r><w:t xml:space="preserve">AMMONIUS GRAMMATICUS, the supposed author of a treatise</w:t></w:r>
</w:p>
<w:p>
<w:pPr><w:pStyle w:val="Normal"/></w:pPr>
<w:r><w:t xml:space="preserve">entitled Peri omoion kai dialoron lfxeon (On the</w:t></w:r>
</w:p>
<w:p>
<w:pPr><w:pStyle w:val="Normal"/></w:pPr>
<w:r><w:t xml:space="preserve">Differences of Synonymous Expressions), of whom nothing is</w:t></w:r>
</w:p>
<w:p>
<w:pPr><w:pStyle w:val="Normal"/></w:pPr>
<w:r><w:t xml:space="preserve">known.  He was formerly identified with an Egyptian priest</w:t></w:r>
</w:p>
<w:p>
<w:pPr><w:pStyle w:val="Normal"/></w:pPr>
<w:r><w:t xml:space="preserve">who, after the destruction of the pagan temple at Alexandria</w:t></w:r>
</w:p>
<w:p>
<w:pPr><w:pStyle w:val="Normal"/></w:pPr>
<w:r><w:t xml:space="preserve">(389), fled to Constantinople, where he became the tutor of the</w:t></w:r>
</w:p>
<w:p>
<w:pPr><w:pStyle w:val="Normal"/></w:pPr>
<w:r><w:t xml:space="preserve">ecclesiastical historian Socrates.  But it seems more probable</w:t></w:r>
</w:p>
<w:p>
<w:pPr><w:pStyle w:val="Normal"/></w:pPr>
<w:r><w:t xml:space="preserve">that the real author was Herennius Philo of Byblus, who was born</w:t></w:r>
</w:p>
<w:p>
<w:pPr><w:pStyle w:val="Normal"/></w:pPr>
<w:r><w:t xml:space="preserve">during the reign of Nero and lived till the reign of Hadrian,</w:t></w:r>
</w:p>
<w:p>
<w:pPr><w:pStyle w:val="Normal"/></w:pPr>
<w:r><w:t xml:space="preserve">and that the treatise in its present form is a revision prepared</w:t></w:r>
</w:p>
<w:p>
<w:pPr><w:pStyle w:val="Normal"/></w:pPr>
<w:r><w:t xml:space="preserve">by a later Byzantine editor, whose name may have been Ammonius.</w:t></w:r>
</w:p>
<w:p>
<w:pPr><w:pStyle w:val="Normal"/></w:pPr>
<w:r><w:t xml:space="preserve">Text by Valckenaer, 1739, Schafer, 1822; Kopp, De</w:t></w:r>
</w:p>
<w:p>
<w:pPr><w:pStyle w:val="Normal"/></w:pPr>
<w:r><w:t xml:space="preserve">Ammonii . . . Distinctionibus Synonymicis, 1883.</w:t></w:r>
</w:p>
<w:p>
<w:pPr><w:pStyle w:val="Normal"/></w:pPr>
<w:r><w:t xml:space="preserve">AMMONIUS HERMIAE (5th century A.D.), Greek philosopher,</w:t></w:r>
</w:p>
<w:p>
<w:pPr><w:pStyle w:val="Normal"/></w:pPr>
<w:r><w:t xml:space="preserve">the son of Hermias or Hermeias, a fellow-pupil of</w:t></w:r>
</w:p>
<w:p>
<w:pPr><w:pStyle w:val="Normal"/></w:pPr>
<w:r><w:t xml:space="preserve">Proclus.  He taught at Alexandria, and had among his scholars</w:t></w:r>
</w:p>
<w:p>
<w:pPr><w:pStyle w:val="Normal"/></w:pPr>
<w:r><w:t xml:space="preserve">Asclepius, John Philoponus, Damascius and Simplicius.</w:t></w:r>
</w:p>
<w:p>
<w:pPr><w:pStyle w:val="Normal"/></w:pPr>
<w:r><w:t xml:space="preserve">His commentaries on Plato and Ptolemy are lost.  Those on</w:t></w:r>
</w:p>
<w:p>
<w:pPr><w:pStyle w:val="Normal"/></w:pPr>
<w:r><w:t xml:space="preserve">Aristotle are all that remain of his reputedly numerous</w:t></w:r>
</w:p>
<w:p>
<w:pPr><w:pStyle w:val="Normal"/></w:pPr>
<w:r><w:t xml:space="preserve">writings.  Of the commentaries we have--(1) one on the Isagoge</w:t></w:r>
</w:p>
<w:p>
<w:pPr><w:pStyle w:val="Normal"/></w:pPr>
<w:r><w:t xml:space="preserve">of Porphyry (Venice, 1500 fol.); (2) one on the Categories</w:t></w:r>
</w:p>
<w:p>
<w:pPr><w:pStyle w:val="Normal"/></w:pPr>
<w:r><w:t xml:space="preserve">(Venice, 1503 fol.), the authenticity of which is doubted by</w:t></w:r>
</w:p>
<w:p>
<w:pPr><w:pStyle w:val="Normal"/></w:pPr>
<w:r><w:t xml:space="preserve">Brandis; (3) one on the De Interpretatione (Venice, 1503</w:t></w:r>
</w:p>
<w:p>
<w:pPr><w:pStyle w:val="Normal"/></w:pPr>
<w:r><w:t xml:space="preserve">fol.).  They are printed in Brandis&apos;s scholia to Aristotle,</w:t></w:r>
</w:p>
<w:p>
<w:pPr><w:pStyle w:val="Normal"/></w:pPr>
<w:r><w:t xml:space="preserve">forming the fourth volume of the Berlin Aristotle; they</w:t></w:r>
</w:p>
<w:p>
<w:pPr><w:pStyle w:val="Normal"/></w:pPr>
<w:r><w:t xml:space="preserve">are also edited (1891-1899) in A. Busse&apos;s Commentaria in</w:t></w:r>
</w:p>
<w:p>
<w:pPr><w:pStyle w:val="Normal"/></w:pPr>
<w:r><w:t xml:space="preserve">Aristot.  Graeca. The special section on fate was published</w:t></w:r>
</w:p>
<w:p>
<w:pPr><w:pStyle w:val="Normal"/></w:pPr>
<w:r><w:t xml:space="preserve">separately by J. C. Orelli, Alex.  Aphrod., Ammonii, et</w:t></w:r>
</w:p>
<w:p>
<w:pPr><w:pStyle w:val="Normal"/></w:pPr>
<w:r><w:t xml:space="preserve">aliorum de Fato quae supersunt (Zurich, 1824).  A life of</w:t></w:r>
</w:p>
<w:p>
<w:pPr><w:pStyle w:val="Normal"/></w:pPr>
<w:r><w:t xml:space="preserve">Aristotle, ascribed to Ammonius, but with more accuracy to John</w:t></w:r>
</w:p>
<w:p>
<w:pPr><w:pStyle w:val="Normal"/></w:pPr>
<w:r><w:t xml:space="preserve">Philoponus, is often prefixed to editions of Aristotle.  It has</w:t></w:r>
</w:p>
<w:p>
<w:pPr><w:pStyle w:val="Normal"/></w:pPr>
<w:r><w:t xml:space="preserve">been printed separately, with Latin translation and scholia, at</w:t></w:r>
</w:p>
<w:p>
<w:pPr><w:pStyle w:val="Normal"/></w:pPr>
<w:r><w:t xml:space="preserve">Leiden, 1621, at Helmstadt, 1666, and at Paris, 1850.  Other</w:t></w:r>
</w:p>
<w:p>
<w:pPr><w:pStyle w:val="Normal"/></w:pPr>
<w:r><w:t xml:space="preserve">commentaries on the Topics and the first six books of the</w:t></w:r>
</w:p>
<w:p>
<w:pPr><w:pStyle w:val="Normal"/></w:pPr>
<w:r><w:t xml:space="preserve">Metaphysics still exist in manuscript.  Of the value of the</w:t></w:r>
</w:p>
<w:p>
<w:pPr><w:pStyle w:val="Normal"/></w:pPr>
<w:r><w:t xml:space="preserve">logical writings of Ammonius there are various opinions.  K.</w:t></w:r>
</w:p>
<w:p>
<w:pPr><w:pStyle w:val="Normal"/></w:pPr>
<w:r><w:t xml:space="preserve">Prantl speaks of them with great, but hardly merited, contempt.</w:t></w:r>
</w:p>
<w:p>
<w:pPr><w:pStyle w:val="Normal"/></w:pPr>
<w:r><w:t xml:space="preserve">For a list of his works see J. A. Fabricius, Bibliotheca Graeca,</w:t></w:r>
</w:p>
<w:p>
<w:pPr><w:pStyle w:val="Normal"/></w:pPr>
<w:r><w:t xml:space="preserve">v. 704-707: C. A. Brandis, Uber d.  Reihenf. d.  Bucher d.</w:t></w:r>
</w:p>
<w:p>
<w:pPr><w:pStyle w:val="Normal"/></w:pPr>
<w:r><w:t xml:space="preserve">Aristot.  Org., 283 f.; K. Prantl, Gesch. d.  Logik, i. 642.</w:t></w:r>
</w:p>
<w:p>
<w:pPr><w:pStyle w:val="Normal"/></w:pPr>
<w:r><w:t xml:space="preserve">AMMONIUS SACCAS (3rd century A.D.), Greek philosopher of</w:t></w:r>
</w:p>
<w:p>
<w:pPr><w:pStyle w:val="Normal"/></w:pPr>
<w:r><w:t xml:space="preserve">Alexandria, often called the founder of the neo-Platonic</w:t></w:r>
</w:p>
<w:p>
<w:pPr><w:pStyle w:val="Normal"/></w:pPr>
<w:r><w:t xml:space="preserve">school.  Of humble origin, he appears to have earned a</w:t></w:r>
</w:p>
<w:p>
<w:pPr><w:pStyle w:val="Normal"/></w:pPr>
<w:r><w:t xml:space="preserve">livelihood as a porter; hence his nickname of &quot;Sack-bearer&quot;</w:t></w:r>
</w:p>
<w:p>
<w:pPr><w:pStyle w:val="Normal"/></w:pPr>
<w:r><w:t xml:space="preserve">(Sakkas, for sakkoforos.) The details of his life are</w:t></w:r>
</w:p>
<w:p>
<w:pPr><w:pStyle w:val="Normal"/></w:pPr>
<w:r><w:t xml:space="preserve">unknown, insomuch that he has frequently been confused with</w:t></w:r>
</w:p>
<w:p>
<w:pPr><w:pStyle w:val="Normal"/></w:pPr>
<w:r><w:t xml:space="preserve">a Christian philosopher of the same name.  Eusebius (Church</w:t></w:r>
</w:p>
<w:p>
<w:pPr><w:pStyle w:val="Normal"/></w:pPr>
<w:r><w:t xml:space="preserve">History, vi. 19), who is followed by Jerome, asserts that</w:t></w:r>
</w:p>
<w:p>
<w:pPr><w:pStyle w:val="Normal"/></w:pPr>
<w:r><w:t xml:space="preserve">he was born a Christian, remained faithful to Christianity</w:t></w:r>
</w:p>
<w:p>
<w:pPr><w:pStyle w:val="Normal"/></w:pPr>
<w:r><w:t xml:space="preserve">throughout his life, and even produced two works called</w:t></w:r>
</w:p>
<w:p>
<w:pPr><w:pStyle w:val="Normal"/></w:pPr>
<w:r><w:t xml:space="preserve">The Harmony of Moses and Jesus and The Diatessaron, or</w:t></w:r>
</w:p>
<w:p>
<w:pPr><w:pStyle w:val="Normal"/></w:pPr>
<w:r><w:t xml:space="preserve">Harmony of the Four Gospels, which is said by some to exist</w:t></w:r>
</w:p>
<w:p>
<w:pPr><w:pStyle w:val="Normal"/></w:pPr>
<w:r><w:t xml:space="preserve">in a Latin version by Victor, bishop of Capua.  Porphyry,</w:t></w:r>
</w:p>
<w:p>
<w:pPr><w:pStyle w:val="Normal"/></w:pPr>
<w:r><w:t xml:space="preserve">quoted by Eusebius, ib. vi. 19. 6, however, says that</w:t></w:r>
</w:p>
<w:p>
<w:pPr><w:pStyle w:val="Normal"/></w:pPr>
<w:r><w:t xml:space="preserve">he apostatized in later life and left no writings behind</w:t></w:r>
</w:p>
<w:p>
<w:pPr><w:pStyle w:val="Normal"/></w:pPr>
<w:r><w:t xml:space="preserve">him.  There seems no reason, therefore, to doubt that Eusebius</w:t></w:r>
</w:p>
<w:p>
<w:pPr><w:pStyle w:val="Normal"/></w:pPr>
<w:r><w:t xml:space="preserve">is here referring to the Christian philosopher.  After long</w:t></w:r>
</w:p>
<w:p>
<w:pPr><w:pStyle w:val="Normal"/></w:pPr>
<w:r><w:t xml:space="preserve">study and meditation, Ammonius opened a school of philosophy in</w:t></w:r>
</w:p>
<w:p>
<w:pPr><w:pStyle w:val="Normal"/></w:pPr>
<w:r><w:t xml:space="preserve">Alexandria.  His principal pupils were Herennius, the two</w:t></w:r>
</w:p>
<w:p>
<w:pPr><w:pStyle w:val="Normal"/></w:pPr>
<w:r><w:t xml:space="preserve">Origens, Cassius Longinus and Plotinus.  As he designedly</w:t></w:r>
</w:p>
<w:p>
<w:pPr><w:pStyle w:val="Normal"/></w:pPr>
<w:r><w:t xml:space="preserve">wrote nothing, and, with the aid of his pupils, kept his</w:t></w:r>
</w:p>
<w:p>
<w:pPr><w:pStyle w:val="Normal"/></w:pPr>
<w:r><w:t xml:space="preserve">views secret, after the manner of the Pythagoreans, his</w:t></w:r>
</w:p>
<w:p>
<w:pPr><w:pStyle w:val="Normal"/></w:pPr>
<w:r><w:t xml:space="preserve">philosophy must be inferred mainly from the writings of</w:t></w:r>
</w:p>
<w:p>
<w:pPr><w:pStyle w:val="Normal"/></w:pPr>
<w:r><w:t xml:space="preserve">Plotinus.  As Zeller points out, however, there is reason</w:t></w:r>
</w:p>
<w:p>
<w:pPr><w:pStyle w:val="Normal"/></w:pPr>
<w:r><w:t xml:space="preserve">to think that his doctrines were rather those of the earlier</w:t></w:r>
</w:p>
<w:p>
<w:pPr><w:pStyle w:val="Normal"/></w:pPr>
<w:r><w:t xml:space="preserve">Platonists than those of Plotinus.  Hierocles, writing in the</w:t></w:r>
</w:p>
<w:p>
<w:pPr><w:pStyle w:val="Normal"/></w:pPr>
<w:r><w:t xml:space="preserve">5th century A.D., states that his fundamental doctrine was</w:t></w:r>
</w:p>
<w:p>
<w:pPr><w:pStyle w:val="Normal"/></w:pPr>
<w:r><w:t xml:space="preserve">an eclecticism, derived from a critical study of Plato and</w:t></w:r>
</w:p>
<w:p>
<w:pPr><w:pStyle w:val="Normal"/></w:pPr>
<w:r><w:t xml:space="preserve">Aristotle.  His admirers credited him with having reconciled</w:t></w:r>
</w:p>
<w:p>
<w:pPr><w:pStyle w:val="Normal"/></w:pPr>
<w:r><w:t xml:space="preserve">the quarrels of the two great schools.  His death is variously</w:t></w:r>
</w:p>
<w:p>
<w:pPr><w:pStyle w:val="Normal"/></w:pPr>
<w:r><w:t xml:space="preserve">given between A.D. 240 and 245. See NEO-PLATONISM, ORIGEN.</w:t></w:r>
</w:p>
<w:p>
<w:pPr><w:pStyle w:val="Normal"/></w:pPr>
<w:r><w:t xml:space="preserve">BIBLIOGRAPHY.--C.  Rosler, De commentitiis philosophiae</w:t></w:r>
</w:p>
<w:p>
<w:pPr><w:pStyle w:val="Normal"/></w:pPr>
<w:r><w:t xml:space="preserve">Ammoniaceae fraudibus et noxis (Tubingen, 1786); L. J.</w:t></w:r>
</w:p>
<w:p>
<w:pPr><w:pStyle w:val="Normal"/></w:pPr>
<w:r><w:t xml:space="preserve">Dehaut, Essai historique sur la vie et la doctrine d&apos; Ammonius</w:t></w:r>
</w:p>
<w:p>
<w:pPr><w:pStyle w:val="Normal"/></w:pPr>
<w:r><w:t xml:space="preserve">Saccas (Brussels, 1856); E. Zeller, &quot;Ammonius Saccas und</w:t></w:r>
</w:p>
<w:p>
<w:pPr><w:pStyle w:val="Normal"/></w:pPr>
<w:r><w:t xml:space="preserve">Plotinus,&quot; Arch. f.  Gesch. d.  Philos. vii., 1894, pp.</w:t></w:r>
</w:p>
<w:p>
<w:pPr><w:pStyle w:val="Normal"/></w:pPr>
<w:r><w:t xml:space="preserve">295-312; E. Vacherot, Hist. crit. de l&apos;ecole d&apos;Alexandrie</w:t></w:r>
</w:p>
<w:p>
<w:pPr><w:pStyle w:val="Normal"/></w:pPr>
<w:r><w:t xml:space="preserve">(Paris, 1846); T. Whittaker, The Neo-platonists (Camb.,</w:t></w:r>
</w:p>
<w:p>
<w:pPr><w:pStyle w:val="Normal"/></w:pPr>
<w:r><w:t xml:space="preserve">1901); Eusebius, Hist.  Eccles., trans.  A. C. M&apos;Giffert</w:t></w:r>
</w:p>
<w:p>
<w:pPr><w:pStyle w:val="Normal"/></w:pPr>
<w:r><w:t xml:space="preserve">(Oxford and New York, 1890), notes on passages quoted above.</w:t></w:r>
</w:p>
<w:p>
<w:pPr><w:pStyle w:val="Normal"/></w:pPr>
<w:r><w:t xml:space="preserve">AMMUNITION, a military term (derived, through the French,</w:t></w:r>
</w:p>
<w:p>
<w:pPr><w:pStyle w:val="Normal"/></w:pPr>
<w:r><w:t xml:space="preserve">from Lat. munire, to provide), for consumable stores used</w:t></w:r>
</w:p>
<w:p>
<w:pPr><w:pStyle w:val="Normal"/></w:pPr>
<w:r><w:t xml:space="preserve">in attack or defence, such as rifle cartridges, cartridges,</w:t></w:r>
</w:p>
<w:p>
<w:pPr><w:pStyle w:val="Normal"/></w:pPr>
<w:r><w:t xml:space="preserve">projectiles, igniting tubes and primers for ordnance, &amp;c.</w:t></w:r>
</w:p>
<w:p>
<w:pPr><w:pStyle w:val="Normal"/></w:pPr>
<w:r><w:t xml:space="preserve">The components of ammunition intended for rifles and ordnance</w:t></w:r>
</w:p>
<w:p>
<w:pPr><w:pStyle w:val="Normal"/></w:pPr>
<w:r><w:t xml:space="preserve">may be divided into (a) explosives and propellants (see</w:t></w:r>
</w:p>
<w:p>
<w:pPr><w:pStyle w:val="Normal"/></w:pPr>
<w:r><w:t xml:space="preserve">EXPLOSIVES and GUNPOWDER), (b) projectiles of all</w:t></w:r>
</w:p>
<w:p>
<w:pPr><w:pStyle w:val="Normal"/></w:pPr>
<w:r><w:t xml:space="preserve">kinds, and (c) cartridges.  The military classification</w:t></w:r>
</w:p>
<w:p>
<w:pPr><w:pStyle w:val="Normal"/></w:pPr>
<w:r><w:t xml:space="preserve">of explosives differs somewhat from that of the Explosives</w:t></w:r>
</w:p>
<w:p>
<w:pPr><w:pStyle w:val="Normal"/></w:pPr>
<w:r><w:t xml:space="preserve">Act 1875, but, broadly speaking, they are divided into two</w:t></w:r>
</w:p>
<w:p>
<w:pPr><w:pStyle w:val="Normal"/></w:pPr>
<w:r><w:t xml:space="preserve">groups.  The first of these comprises explosives in bulk,</w:t></w:r>
</w:p>
<w:p>
<w:pPr><w:pStyle w:val="Normal"/></w:pPr>
<w:r><w:t xml:space="preserve">made-up cartridges for cannon, and filled quick- firing</w:t></w:r>
</w:p>
<w:p>
<w:pPr><w:pStyle w:val="Normal"/></w:pPr>
<w:r><w:t xml:space="preserve">cartridges; Group II. contains small-arm cartridges, fuzes,</w:t></w:r>
</w:p>
<w:p>
<w:pPr><w:pStyle w:val="Normal"/></w:pPr>
<w:r><w:t xml:space="preserve">primers, tubes, filled shells (fuzed or unfuzed), &amp;c. Each</w:t></w:r>
</w:p>
<w:p>
<w:pPr><w:pStyle w:val="Normal"/></w:pPr>
<w:r><w:t xml:space="preserve">group is subdivided, and arrangements are made for storing</w:t></w:r>
</w:p>
<w:p>
<w:pPr><w:pStyle w:val="Normal"/></w:pPr>
<w:r><w:t xml:space="preserve">certain divisions of Group I. in a magazine in separate</w:t></w:r>
</w:p>
<w:p>
<w:pPr><w:pStyle w:val="Normal"/></w:pPr>
<w:r><w:t xml:space="preserve">compartments.  All the divisions of Group II. are, and the</w:t></w:r>
</w:p>
<w:p>
<w:pPr><w:pStyle w:val="Normal"/></w:pPr>
<w:r><w:t xml:space="preserve">remaining divisions of Group I. (comprising wet gun-cotton, picric</w:t></w:r>
</w:p>
<w:p>
<w:pPr><w:pStyle w:val="Normal"/></w:pPr>
<w:r><w:t xml:space="preserve">acid and Q.F. cartridges) may be, stored in ammunition stores.</w:t></w:r>
</w:p>
<w:p>
<w:pPr><w:pStyle w:val="Normal"/></w:pPr>
<w:r><w:t xml:space="preserve">These general conditions apply to the storage of ammunition in</w:t></w:r>
</w:p>
<w:p>
<w:pPr><w:pStyle w:val="Normal"/></w:pPr>
<w:r><w:t xml:space="preserve">fortresses.  Here the positions for the magazine and ammunition</w:t></w:r>
</w:p>
<w:p>
<w:pPr><w:pStyle w:val="Normal"/></w:pPr>
<w:r><w:t xml:space="preserve">stores are so chosen as to afford the best means of protection</w:t></w:r>
</w:p>
<w:p>
<w:pPr><w:pStyle w:val="Normal"/></w:pPr>
<w:r><w:t xml:space="preserve">from an enemy&apos;s fire.  Huge earth parapets cover these</w:t></w:r>
</w:p>
<w:p>
<w:pPr><w:pStyle w:val="Normal"/></w:pPr>
<w:r><w:t xml:space="preserve">buildings, which are further strengthened, where possible,</w:t></w:r>
</w:p>
<w:p>
<w:pPr><w:pStyle w:val="Normal"/></w:pPr>
<w:r><w:t xml:space="preserve">by traverses protecting the entrances.  For the purpose of</w:t></w:r>
</w:p>
<w:p>
<w:pPr><w:pStyle w:val="Normal"/></w:pPr>
<w:r><w:t xml:space="preserve">filling, emptying and examining cannon cartridges and shell,</w:t></w:r>
</w:p>
<w:p>
<w:pPr><w:pStyle w:val="Normal"/></w:pPr>
<w:r><w:t xml:space="preserve">a laboratory is generally provided at some distance from the</w:t></w:r>
</w:p>
<w:p>
<w:pPr><w:pStyle w:val="Normal"/></w:pPr>
<w:r><w:t xml:space="preserve">magazine.  The various stores for explosives are classified</w:t></w:r>
</w:p>
<w:p>
<w:pPr><w:pStyle w:val="Normal"/></w:pPr>
<w:r><w:t xml:space="preserve">into those under magazine conditions (viz. magazines,</w:t></w:r>
</w:p>
<w:p>
<w:pPr><w:pStyle w:val="Normal"/></w:pPr>
<w:r><w:t xml:space="preserve">laboratories and cartridge stores) and those with which these</w:t></w:r>
</w:p>
<w:p>
<w:pPr><w:pStyle w:val="Normal"/></w:pPr>
<w:r><w:t xml:space="preserve">restrictions need not be observed (viz. ammunition and shell</w:t></w:r>
</w:p>
<w:p>
<w:pPr><w:pStyle w:val="Normal"/></w:pPr>
<w:r><w:t xml:space="preserve">stores).  The interior walls of a magazine are lined and</w:t></w:r>
</w:p>
<w:p>
<w:pPr><w:pStyle w:val="Normal"/></w:pPr>
<w:r><w:t xml:space="preserve">the floors laid so that there may be no exposed iron or</w:t></w:r>
</w:p>
<w:p>
<w:pPr><w:pStyle w:val="Normal"/></w:pPr>
<w:r><w:t xml:space="preserve">steel.  At the entrance there is a lobby or barrier, inside</w:t></w:r>
</w:p>
<w:p>
<w:pPr><w:pStyle w:val="Normal"/></w:pPr>
<w:r><w:t xml:space="preserve">which persons about to enter the magazine change their clothes</w:t></w:r>
</w:p>
<w:p>
<w:pPr><w:pStyle w:val="Normal"/></w:pPr>
<w:r><w:t xml:space="preserve">for a special suit, and their boots for a pair made without</w:t></w:r>
</w:p>
<w:p>
<w:pPr><w:pStyle w:val="Normal"/></w:pPr>
<w:r><w:t xml:space="preserve">nails.  In an ammunition or shell store these precautions need</w:t></w:r>
</w:p>
<w:p>
<w:pPr><w:pStyle w:val="Normal"/></w:pPr>
<w:r><w:t xml:space="preserve">not be taken except where the shell store and the adjacent</w:t></w:r>
</w:p>
<w:p>
<w:pPr><w:pStyle w:val="Normal"/></w:pPr>
<w:r><w:t xml:space="preserve">cartridge store have a common entrance; persons entering may</w:t></w:r>
</w:p>
<w:p>
<w:pPr><w:pStyle w:val="Normal"/></w:pPr>
<w:r><w:t xml:space="preserve">do so in their ordinary clothes.  A large work may have a</w:t></w:r>
</w:p>
<w:p>
<w:pPr><w:pStyle w:val="Normal"/></w:pPr>
<w:r><w:t xml:space="preserve">main magazine and several subsidiary magazines, from which the</w:t></w:r>
</w:p>
<w:p>
<w:pPr><w:pStyle w:val="Normal"/></w:pPr>
<w:r><w:t xml:space="preserve">stock of cartridges is renewed in the cartridge stores attached</w:t></w:r>
</w:p>
<w:p>
<w:pPr><w:pStyle w:val="Normal"/></w:pPr>
<w:r><w:t xml:space="preserve">to each group of guns or in the expense cartridge stores and</w:t></w:r>
</w:p>
<w:p>
<w:pPr><w:pStyle w:val="Normal"/></w:pPr>
<w:r><w:t xml:space="preserve">cartridge recesses.  The same applies to main ammunition stores</w:t></w:r>
</w:p>
<w:p>
<w:pPr><w:pStyle w:val="Normal"/></w:pPr>
<w:r><w:t xml:space="preserve">which supply the shell stores, expense stores and recesses.</w:t></w:r>
</w:p>
<w:p>
<w:pPr><w:pStyle w:val="Normal"/></w:pPr>
<w:r><w:t xml:space="preserve">The supply of ammunition may be divided roughly into (a)</w:t></w:r>
</w:p>
<w:p>
<w:pPr><w:pStyle w:val="Normal"/></w:pPr>
<w:r><w:t xml:space="preserve">that for guns forming the movable armament, (b) that for</w:t></w:r>
</w:p>
<w:p>
<w:pPr><w:pStyle w:val="Normal"/></w:pPr>
<w:r><w:t xml:space="preserve">guns placed in permanent positions.  The movable armament will</w:t></w:r>
</w:p>
<w:p>
<w:pPr><w:pStyle w:val="Normal"/></w:pPr>
<w:r><w:t xml:space="preserve">consist of guns and howitzers of small and medium calibre,</w:t></w:r>
</w:p>
<w:p>
<w:pPr><w:pStyle w:val="Normal"/></w:pPr>
<w:r><w:t xml:space="preserve">and it is necessary to arrange suitable expense cartridge</w:t></w:r>
</w:p>
<w:p>
<w:pPr><w:pStyle w:val="Normal"/></w:pPr>
<w:r><w:t xml:space="preserve">stores and shell stores in close proximity to the available</w:t></w:r>
</w:p>
<w:p>
<w:pPr><w:pStyle w:val="Normal"/></w:pPr>
<w:r><w:t xml:space="preserve">positions.  They can generally be constructed to form part</w:t></w:r>
</w:p>
<w:p>
<w:pPr><w:pStyle w:val="Normal"/></w:pPr>
<w:r><w:t xml:space="preserve">of the permanent work in the projected face of traverses</w:t></w:r>
</w:p>
<w:p>
<w:pPr><w:pStyle w:val="Normal"/></w:pPr>
<w:r><w:t xml:space="preserve">or other strong formations, and should be arranged for a</w:t></w:r>
</w:p>
<w:p>
<w:pPr><w:pStyle w:val="Normal"/></w:pPr>
<w:r><w:t xml:space="preserve">twenty-four hours&apos; supply of ammunition.  These stores are</w:t></w:r>
</w:p>
<w:p>
<w:pPr><w:pStyle w:val="Normal"/></w:pPr>
<w:r><w:t xml:space="preserve">refilled from the main magazine every night under cover of</w:t></w:r>
</w:p>
<w:p>
<w:pPr><w:pStyle w:val="Normal"/></w:pPr>
<w:r><w:t xml:space="preserve">darkness.  Light railways join the various positions.  The</w:t></w:r>
</w:p>
<w:p>
<w:pPr><w:pStyle w:val="Normal"/></w:pPr>
<w:r><w:t xml:space="preserve">guns mounted in permanent emplacements are divided into</w:t></w:r>
</w:p>
<w:p>
<w:pPr><w:pStyle w:val="Normal"/></w:pPr>
<w:r><w:t xml:space="preserve">groups of two or three guns each, and usually each group</w:t></w:r>
</w:p>
<w:p>
<w:pPr><w:pStyle w:val="Normal"/></w:pPr>
<w:r><w:t xml:space="preserve">will require but one calibre of ammunition.  A cartridge</w:t></w:r>
</w:p>
<w:p>
<w:pPr><w:pStyle w:val="Normal"/></w:pPr>
<w:r><w:t xml:space="preserve">store, shell store and a general store, all well ventilated,</w:t></w:r>
</w:p>
<w:p>
<w:pPr><w:pStyle w:val="Normal"/></w:pPr>
<w:r><w:t xml:space="preserve">are arranged for the especial service of such a group of</w:t></w:r>
</w:p>
<w:p>
<w:pPr><w:pStyle w:val="Normal"/></w:pPr>
<w:r><w:t xml:space="preserve">guns.  In the cartridge store the cylinders containing the</w:t></w:r>
</w:p>
<w:p>
<w:pPr><w:pStyle w:val="Normal"/></w:pPr>
<w:r><w:t xml:space="preserve">cartridges are so placed and labelled that the required</w:t></w:r>
</w:p>
<w:p>
<w:pPr><w:pStyle w:val="Normal"/></w:pPr>
<w:r><w:t xml:space="preserve">charge, whether reduced or full, can be immediately selected.</w:t></w:r>
</w:p>
<w:p>
<w:pPr><w:pStyle w:val="Normal"/></w:pPr>
<w:r><w:t xml:space="preserve">In the shell store also for the same reason the common shell</w:t></w:r>
</w:p>
<w:p>
<w:pPr><w:pStyle w:val="Normal"/></w:pPr>
<w:r><w:t xml:space="preserve">are separated from the armour-piercing or shrapnel.  Each</w:t></w:r>
</w:p>
<w:p>
<w:pPr><w:pStyle w:val="Normal"/></w:pPr>
<w:r><w:t xml:space="preserve">nature of projectile is painted in a distinctive manner</w:t></w:r>
</w:p>
<w:p>
<w:pPr><w:pStyle w:val="Normal"/></w:pPr>
<w:r><w:t xml:space="preserve">to render identification easy.  The fuzes, tubes, &amp;c., are</w:t></w:r>
</w:p>
<w:p>
<w:pPr><w:pStyle w:val="Normal"/></w:pPr>
<w:r><w:t xml:space="preserve">placed in the general store with the tools and accessories</w:t></w:r>
</w:p>
<w:p>
<w:pPr><w:pStyle w:val="Normal"/></w:pPr>
<w:r><w:t xml:space="preserve">belonging to the guns.  The gun group is distinguished by</w:t></w:r>
</w:p>
<w:p>
<w:pPr><w:pStyle w:val="Normal"/></w:pPr>
<w:r><w:t xml:space="preserve">some letter and the guns of the group by numerals; thus,</w:t></w:r>
</w:p>
<w:p>
<w:pPr><w:pStyle w:val="Normal"/></w:pPr>
<w:r><w:t xml:space="preserve">A/1 is No. I gun of group A. The magazine and shell stores</w:t></w:r>
</w:p>
<w:p>
<w:pPr><w:pStyle w:val="Normal"/></w:pPr>
<w:r><w:t xml:space="preserve">are also indicated by the group letter, and so that mistakes,</w:t></w:r>
</w:p>
<w:p>
<w:pPr><w:pStyle w:val="Normal"/></w:pPr>
<w:r><w:t xml:space="preserve">even by those unaccustomed to the fort, may be avoided,</w:t></w:r>
</w:p>
<w:p>
<w:pPr><w:pStyle w:val="Normal"/></w:pPr>
<w:r><w:t xml:space="preserve">the passages are pointed out by finger posts and direction</w:t></w:r>
</w:p>
<w:p>
<w:pPr><w:pStyle w:val="Normal"/></w:pPr>
<w:r><w:t xml:space="preserve">boards.  For the immediate service of each gun a few cartridges</w:t></w:r>
</w:p>
<w:p>
<w:pPr><w:pStyle w:val="Normal"/></w:pPr>
<w:r><w:t xml:space="preserve">and projectiles are stored in small receptacles--called</w:t></w:r>
</w:p>
<w:p>
<w:pPr><w:pStyle w:val="Normal"/></w:pPr>
<w:r><w:t xml:space="preserve">cartridge and shell recesses respectively--built in the</w:t></w:r>
</w:p>
<w:p>
<w:pPr><w:pStyle w:val="Normal"/></w:pPr>
<w:r><w:t xml:space="preserve">parapet as near the gun position as practicable.  In some</w:t></w:r>
</w:p>
<w:p>
<w:pPr><w:pStyle w:val="Normal"/></w:pPr>
<w:r><w:t xml:space="preserve">cases a limited number of projectiles may be placed close</w:t></w:r>
</w:p>
<w:p>
<w:pPr><w:pStyle w:val="Normal"/></w:pPr>
<w:r><w:t xml:space="preserve">underneath the parapet if this is conveniently situated</w:t></w:r>
</w:p>
<w:p>
<w:pPr><w:pStyle w:val="Normal"/></w:pPr>
<w:r><w:t xml:space="preserve">near the breech of the gun and not exposed to hostile fire.</w:t></w:r>
</w:p>
<w:p>
<w:pPr><w:pStyle w:val="Normal"/></w:pPr>
<w:r><w:t xml:space="preserve">In order to supply the ammunition sufficiently rapidly for</w:t></w:r>
</w:p>
<w:p>
<w:pPr><w:pStyle w:val="Normal"/></w:pPr>
<w:r><w:t xml:space="preserve">the efficient service of modern guns, hydraulic, electric</w:t></w:r>
</w:p>
<w:p>
<w:pPr><w:pStyle w:val="Normal"/></w:pPr>
<w:r><w:t xml:space="preserve">or hand-power hoists are employed to raise the cartridges</w:t></w:r>
</w:p>
<w:p>
<w:pPr><w:pStyle w:val="Normal"/></w:pPr>
<w:r><w:t xml:space="preserve">and shell from the cartridge store and shell store to the</w:t></w:r>
</w:p>
<w:p>
<w:pPr><w:pStyle w:val="Normal"/></w:pPr>
<w:r><w:t xml:space="preserve">gun floor, whence they are transferred to a derrick or</w:t></w:r>
</w:p>
<w:p>
<w:pPr><w:pStyle w:val="Normal"/></w:pPr>
<w:r><w:t xml:space="preserve">loading tray attached to the mounting for loading the gun.</w:t></w:r>
</w:p>
<w:p>
<w:pPr><w:pStyle w:val="Normal"/></w:pPr>
<w:r><w:t xml:space="preserve">Projectiles for B.L. guns above 6-in. calibre are stored in</w:t></w:r>
</w:p>
<w:p>
<w:pPr><w:pStyle w:val="Normal"/></w:pPr>
<w:r><w:t xml:space="preserve">shell stores ready filled and fuzed standing on their bases,</w:t></w:r>
</w:p>
<w:p>
<w:pPr><w:pStyle w:val="Normal"/></w:pPr>
<w:r><w:t xml:space="preserve">except shrapnel and high-explosive shell, which are fuzed only</w:t></w:r>
</w:p>
<w:p>
<w:pPr><w:pStyle w:val="Normal"/></w:pPr>
<w:r><w:t xml:space="preserve">when about to be used.  Smaller sizes of shells are laid on</w:t></w:r>
</w:p>
<w:p>
<w:pPr><w:pStyle w:val="Normal"/></w:pPr>
<w:r><w:t xml:space="preserve">their sides in layers, each layer pointing in the opposite</w:t></w:r>
</w:p>
<w:p>
<w:pPr><w:pStyle w:val="Normal"/></w:pPr>
<w:r><w:t xml:space="preserve">direction to the one below to prevent injury to the driving</w:t></w:r>
</w:p>
<w:p>
<w:pPr><w:pStyle w:val="Normal"/></w:pPr>
<w:r><w:t xml:space="preserve">bands.  Cartridges are stored in brass corrugated cases</w:t></w:r>
</w:p>
<w:p>
<w:pPr><w:pStyle w:val="Normal"/></w:pPr>
<w:r><w:t xml:space="preserve">or in zinc cylinders.  The corrugated cases are stacked in</w:t></w:r>
</w:p>
<w:p>
<w:pPr><w:pStyle w:val="Normal"/></w:pPr>
<w:r><w:t xml:space="preserve">layers in the magazine with the mouth of the case towards</w:t></w:r>
</w:p>
<w:p>
<w:pPr><w:pStyle w:val="Normal"/></w:pPr>
<w:r><w:t xml:space="preserve">a passage between the stacks, so that it can be opened and</w:t></w:r>
</w:p>
<w:p>
<w:pPr><w:pStyle w:val="Normal"/></w:pPr>
<w:r><w:t xml:space="preserve">the cartridges removed and transferred to a leather case</w:t></w:r>
</w:p>
<w:p>
<w:pPr><w:pStyle w:val="Normal"/></w:pPr>
<w:r><w:t xml:space="preserve">when required for transport to the gun.  Cylinders are</w:t></w:r>
</w:p>
<w:p>
<w:pPr><w:pStyle w:val="Normal"/></w:pPr>
<w:r><w:t xml:space="preserve">stacked, when possible, vertically one above the other.</w:t></w:r>
</w:p>
<w:p>
<w:pPr><w:pStyle w:val="Normal"/></w:pPr>
<w:r><w:t xml:space="preserve">The charges are sent to the gun in these cylinders, and</w:t></w:r>
</w:p>
<w:p>
<w:pPr><w:pStyle w:val="Normal"/></w:pPr>
<w:r><w:t xml:space="preserve">provision is made for the rapid removal of the empty cylinders.</w:t></w:r>
</w:p>
<w:p>
<w:pPr><w:pStyle w:val="Normal"/></w:pPr>
<w:r><w:t xml:space="preserve">The number and nature of rounds allotted to any fortress</w:t></w:r>
</w:p>
<w:p>
<w:pPr><w:pStyle w:val="Normal"/></w:pPr>
<w:r><w:t xml:space="preserve">depends on questions of policy and location, the degrees</w:t></w:r>
</w:p>
<w:p>
<w:pPr><w:pStyle w:val="Normal"/></w:pPr>
<w:r><w:t xml:space="preserve">of resistance the nature of the works and personnel</w:t></w:r>
</w:p>
<w:p>
<w:pPr><w:pStyle w:val="Normal"/></w:pPr>
<w:r><w:t xml:space="preserve">could reasonably be expected to give, and finally on</w:t></w:r>
</w:p>
<w:p>
<w:pPr><w:pStyle w:val="Normal"/></w:pPr>
<w:r><w:t xml:space="preserve">the nature of the armament.  That is to say, for guns of</w:t></w:r>
</w:p>
<w:p>
<w:pPr><w:pStyle w:val="Normal"/></w:pPr>
<w:r><w:t xml:space="preserve">large calibre three hundred to four hundred rounds per gun</w:t></w:r>
</w:p>
<w:p>
<w:pPr><w:pStyle w:val="Normal"/></w:pPr>
<w:r><w:t xml:space="preserve">might be sufficient, while for light Q.F. guns it might</w:t></w:r>
</w:p>
<w:p>
<w:pPr><w:pStyle w:val="Normal"/></w:pPr>
<w:r><w:t xml:space="preserve">amount to one thousand or more rounds per gun. (A. G. H.)</w:t></w:r>
</w:p>
<w:p>
<w:pPr><w:pStyle w:val="Normal"/></w:pPr>
<w:r><w:t xml:space="preserve">Supply of ammunition in the field.</w:t></w:r>
</w:p>
<w:p>
<w:pPr><w:pStyle w:val="Normal"/></w:pPr>
<w:r><w:t xml:space="preserve">With every successive improvement in military arms there has</w:t></w:r>
</w:p>
<w:p>
<w:pPr><w:pStyle w:val="Normal"/></w:pPr>
<w:r><w:t xml:space="preserve">necessarily been a corresponding modification in the method</w:t></w:r>
</w:p>
<w:p>
<w:pPr><w:pStyle w:val="Normal"/></w:pPr>
<w:r><w:t xml:space="preserve">of supplying ammunition and in the quantity required to be</w:t></w:r>
</w:p>
<w:p>
<w:pPr><w:pStyle w:val="Normal"/></w:pPr>
<w:r><w:t xml:space="preserve">supplied.  When hand-to-hand weapons were the principal</w:t></w:r>
</w:p>
<w:p>
<w:pPr><w:pStyle w:val="Normal"/></w:pPr>
<w:r><w:t xml:space="preserve">implements of battle, there was, of course, no such need,</w:t></w:r>
</w:p>
<w:p>
<w:pPr><w:pStyle w:val="Normal"/></w:pPr>
<w:r><w:t xml:space="preserve">but even in the middle ages the archers and crossbowmen had</w:t></w:r>
</w:p>
<w:p>
<w:pPr><w:pStyle w:val="Normal"/></w:pPr>
<w:r><w:t xml:space="preserve">to replenish the shafts and bolts expended in action, and</w:t></w:r>
</w:p>
<w:p>
<w:pPr><w:pStyle w:val="Normal"/></w:pPr>
<w:r><w:t xml:space="preserve">during a siege stone bullets of great size, as well as heavy</w:t></w:r>
</w:p>
<w:p>
<w:pPr><w:pStyle w:val="Normal"/></w:pPr>
<w:r><w:t xml:space="preserve">arrows, were freely used.  The missiles of those days were,</w:t></w:r>
</w:p>
<w:p>
<w:pPr><w:pStyle w:val="Normal"/></w:pPr>
<w:r><w:t xml:space="preserve">however, interchangeable, and at the battle of Towton (1461)</w:t></w:r>
</w:p>
<w:p>
<w:pPr><w:pStyle w:val="Normal"/></w:pPr>
<w:r><w:t xml:space="preserve">the commander of the Yorkist archers, by inducing the enemy</w:t></w:r>
</w:p>
<w:p>
<w:pPr><w:pStyle w:val="Normal"/></w:pPr>
<w:r><w:t xml:space="preserve">to waste his arrows, secured a double supply of ammunition</w:t></w:r>
</w:p>
<w:p>
<w:pPr><w:pStyle w:val="Normal"/></w:pPr>
<w:r><w:t xml:space="preserve">for his own men.  This interchangeability of war material</w:t></w:r>
</w:p>
<w:p>
<w:pPr><w:pStyle w:val="Normal"/></w:pPr>
<w:r><w:t xml:space="preserve">was even possible for many centuries after the invention of</w:t></w:r>
</w:p>
<w:p>
<w:pPr><w:pStyle w:val="Normal"/></w:pPr>
<w:r><w:t xml:space="preserve">firearms.  At the battle of Liegnitz (1760) a general</w:t></w:r>
</w:p>
<w:p>
<w:pPr><w:pStyle w:val="Normal"/></w:pPr>
<w:r><w:t xml:space="preserve">officer was specially commissioned by Frederick the Great</w:t></w:r>
</w:p>
<w:p>
<w:pPr><w:pStyle w:val="Normal"/></w:pPr>
<w:r><w:t xml:space="preserve">to pack up and send away, for Prussian use, all the muskets</w:t></w:r>
</w:p>
<w:p>
<w:pPr><w:pStyle w:val="Normal"/></w:pPr>
<w:r><w:t xml:space="preserve">and ammunition left on the field of battle by the defeated</w:t></w:r>
</w:p>
<w:p>
<w:pPr><w:pStyle w:val="Normal"/></w:pPr>
<w:r><w:t xml:space="preserve">Austrians.  Captured material is, of course, utilized whenever</w:t></w:r>
</w:p>
<w:p>
<w:pPr><w:pStyle w:val="Normal"/></w:pPr>
<w:r><w:t xml:space="preserve">possible, at the present time, and in the Chino-Japanese War</w:t></w:r>
</w:p>
<w:p>
<w:pPr><w:pStyle w:val="Normal"/></w:pPr>
<w:r><w:t xml:space="preserve">the Japanese went so far as to prepare beforehand spare parts</w:t></w:r>
</w:p>
<w:p>
<w:pPr><w:pStyle w:val="Normal"/></w:pPr>
<w:r><w:t xml:space="preserve">for the Chinese guns they expected to capture (Wei-Hai-Wei,</w:t></w:r>
</w:p>
<w:p>
<w:pPr><w:pStyle w:val="Normal"/></w:pPr>
<w:r><w:t xml:space="preserve">1895), but it is rare to find a modern army trusting to</w:t></w:r>
</w:p>
<w:p>
<w:pPr><w:pStyle w:val="Normal"/></w:pPr>
<w:r><w:t xml:space="preserve">captures for arms and ammunition; almost the only instance</w:t></w:r>
</w:p>
<w:p>
<w:pPr><w:pStyle w:val="Normal"/></w:pPr>
<w:r><w:t xml:space="preserve">of the practice is that of the Chilean civil war of 1891,</w:t></w:r>
</w:p>
<w:p>
<w:pPr><w:pStyle w:val="Normal"/></w:pPr>
<w:r><w:t xml:space="preserve">in which the army of one belligerent was almost totally</w:t></w:r>
</w:p>
<w:p>
<w:pPr><w:pStyle w:val="Normal"/></w:pPr>
<w:r><w:t xml:space="preserve">dependent upon this means of replenishing stores of arms and</w:t></w:r>
</w:p>
<w:p>
<w:pPr><w:pStyle w:val="Normal"/></w:pPr>
<w:r><w:t xml:space="preserve">cartridges.  But what was possible with weapons of comparatively</w:t></w:r>
</w:p>
<w:p>
<w:pPr><w:pStyle w:val="Normal"/></w:pPr>
<w:r><w:t xml:space="preserve">rough make is no longer to be thought of in the case of</w:t></w:r>
</w:p>
<w:p>
<w:pPr><w:pStyle w:val="Normal"/></w:pPr>
<w:r><w:t xml:space="preserve">modern arms.  The Lee-Metford bullet of .303 in. diameter</w:t></w:r>
</w:p>
<w:p>
<w:pPr><w:pStyle w:val="Normal"/></w:pPr>
<w:r><w:t xml:space="preserve">can scarcely be used in a rifle of smaller calibre, and</w:t></w:r>
</w:p>
<w:p>
<w:pPr><w:pStyle w:val="Normal"/></w:pPr>
<w:r><w:t xml:space="preserve">in general the minute accuracy of parts in modern weapons</w:t></w:r>
</w:p>
<w:p>
<w:pPr><w:pStyle w:val="Normal"/></w:pPr>
<w:r><w:t xml:space="preserve">makes interchangeability almost impossible.  Further, owing</w:t></w:r>
</w:p>
<w:p>
<w:pPr><w:pStyle w:val="Normal"/></w:pPr>
<w:r><w:t xml:space="preserve">to the rapidity with which, in modern arms, ammunition is</w:t></w:r>
</w:p>
<w:p>
<w:pPr><w:pStyle w:val="Normal"/></w:pPr>
<w:r><w:t xml:space="preserve">expended, and the fact that, as battles are fought at longer</w:t></w:r>
</w:p>
<w:p>
<w:pPr><w:pStyle w:val="Normal"/></w:pPr>
<w:r><w:t xml:space="preserve">ranges than formerly, more shots have to be fired in order</w:t></w:r>
</w:p>
<w:p>
<w:pPr><w:pStyle w:val="Normal"/></w:pPr>
<w:r><w:t xml:space="preserve">to inflict heavy losses, it is necessary that the reserves</w:t></w:r>
</w:p>
<w:p>
<w:pPr><w:pStyle w:val="Normal"/></w:pPr>
<w:r><w:t xml:space="preserve">of ammunition should be as close as possible to the troops</w:t></w:r>
</w:p>
<w:p>
<w:pPr><w:pStyle w:val="Normal"/></w:pPr>
<w:r><w:t xml:space="preserve">who have to use them.  This was always the case even with</w:t></w:r>
</w:p>
<w:p>
<w:pPr><w:pStyle w:val="Normal"/></w:pPr>
<w:r><w:t xml:space="preserve">the older firearms, as, owing to the great weight of the</w:t></w:r>
</w:p>
<w:p>
<w:pPr><w:pStyle w:val="Normal"/></w:pPr>
<w:r><w:t xml:space="preserve">ammunition, the soldier could carry but few rounds on his</w:t></w:r>
</w:p>
<w:p>
<w:pPr><w:pStyle w:val="Normal"/></w:pPr>
<w:r><w:t xml:space="preserve">person.  Nevertheless it is only within the past seventy years</w:t></w:r>
</w:p>
<w:p>
<w:pPr><w:pStyle w:val="Normal"/></w:pPr>
<w:r><w:t xml:space="preserve">that there has grown up the elaborate system of ammunition</w:t></w:r>
</w:p>
<w:p>
<w:pPr><w:pStyle w:val="Normal"/></w:pPr>
<w:r><w:t xml:space="preserve">supply which now prevails in all regularly organized</w:t></w:r>
</w:p>
<w:p>
<w:pPr><w:pStyle w:val="Normal"/></w:pPr>
<w:r><w:t xml:space="preserve">armies.  That which is described in the present article is the</w:t></w:r>
</w:p>
<w:p>
<w:pPr><w:pStyle w:val="Normal"/></w:pPr>
<w:r><w:t xml:space="preserve">British, as laid down in the official Combined Training</w:t></w:r>
</w:p>
<w:p>
<w:pPr><w:pStyle w:val="Normal"/></w:pPr>
<w:r><w:t xml:space="preserve">(1905) and other manuals.  The new system designed for stronger</w:t></w:r>
</w:p>
<w:p>
<w:pPr><w:pStyle w:val="Normal"/></w:pPr>
<w:r><w:t xml:space="preserve">divisions, and others, vary only in details and nomenclature.</w:t></w:r>
</w:p>
<w:p>
<w:pPr><w:pStyle w:val="Normal"/></w:pPr>
<w:r><w:t xml:space="preserve">Infantry.--The infantry soldier generally carries, in</w:t></w:r>
</w:p>
<w:p>
<w:pPr><w:pStyle w:val="Normal"/></w:pPr>
<w:r><w:t xml:space="preserve">pouches, bandoliers, &amp;c., one hundred rounds of small-arms</w:t></w:r>
</w:p>
<w:p>
<w:pPr><w:pStyle w:val="Normal"/></w:pPr>
<w:r><w:t xml:space="preserve">ammunition (S.A.A.), and it is usual to supplement this,</w:t></w:r>
</w:p>
<w:p>
<w:pPr><w:pStyle w:val="Normal"/></w:pPr>
<w:r><w:t xml:space="preserve">when an action is imminent, from the regimental reserve (see</w:t></w:r>
</w:p>
<w:p>
<w:pPr><w:pStyle w:val="Normal"/></w:pPr>
<w:r><w:t xml:space="preserve">below).  It is to be noticed that every reduction in the</w:t></w:r>
</w:p>
<w:p>
<w:pPr><w:pStyle w:val="Normal"/></w:pPr>
<w:r><w:t xml:space="preserve">calibre of the rifle means an increase in the number of rounds</w:t></w:r>
</w:p>
<w:p>
<w:pPr><w:pStyle w:val="Normal"/></w:pPr>
<w:r><w:t xml:space="preserve">carried.  One hundred rounds of the Martini-Henry ammunition</w:t></w:r>
</w:p>
<w:p>
<w:pPr><w:pStyle w:val="Normal"/></w:pPr>
<w:r><w:t xml:space="preserve">weighed 10lb.  10 oz.; the same weight gives 155 with .303</w:t></w:r>
</w:p>
<w:p>
<w:pPr><w:pStyle w:val="Normal"/></w:pPr>
<w:r><w:t xml:space="preserve">ammunition (incl. charges), and if a .256 calibre is adopted the</w:t></w:r>
</w:p>
<w:p>
<w:pPr><w:pStyle w:val="Normal"/></w:pPr>
<w:r><w:t xml:space="preserve">number of rounds will be still greater.  It is, relatively, a</w:t></w:r>
</w:p>
<w:p>
<w:pPr><w:pStyle w:val="Normal"/></w:pPr>
<w:r><w:t xml:space="preserve">matter of indifference that the reserves of ammunition include</w:t></w:r>
</w:p>
<w:p>
<w:pPr><w:pStyle w:val="Normal"/></w:pPr>
<w:r><w:t xml:space="preserve">more rounds than formerly; it is of the highest importance</w:t></w:r>
</w:p>
<w:p>
<w:pPr><w:pStyle w:val="Normal"/></w:pPr>
<w:r><w:t xml:space="preserve">that the soldier should, as far as possible, be independent</w:t></w:r>
</w:p>
<w:p>
<w:pPr><w:pStyle w:val="Normal"/></w:pPr>
<w:r><w:t xml:space="preserve">of fresh supplies, because the bringing up of ammunition to</w:t></w:r>
</w:p>
<w:p>
<w:pPr><w:pStyle w:val="Normal"/></w:pPr>
<w:r><w:t xml:space="preserve">troops closely engaged is laborious and costly in lives.  The</w:t></w:r>
</w:p>
<w:p>
<w:pPr><w:pStyle w:val="Normal"/></w:pPr>
<w:r><w:t xml:space="preserve">regimental reserves are carried in S.A.A. carts and on pack</w:t></w:r>
</w:p>
<w:p>
<w:pPr><w:pStyle w:val="Normal"/></w:pPr>
<w:r><w:t xml:space="preserve">animals.  Of the former each battalion has six, of the latter</w:t></w:r>
</w:p>
<w:p>
<w:pPr><w:pStyle w:val="Normal"/></w:pPr>
<w:r><w:t xml:space="preserve">eight.  The six carts are distributed, one as reserve to the</w:t></w:r>
</w:p>
<w:p>
<w:pPr><w:pStyle w:val="Normal"/></w:pPr>
<w:r><w:t xml:space="preserve">machine gun, three as reserve to the battalion itself, and two</w:t></w:r>
</w:p>
<w:p>
<w:pPr><w:pStyle w:val="Normal"/></w:pPr>
<w:r><w:t xml:space="preserve">as part of the brigade reserve, which consists therefore of</w:t></w:r>
</w:p>
<w:p>
<w:pPr><w:pStyle w:val="Normal"/></w:pPr>
<w:r><w:t xml:space="preserve">eight carts.  The brigade reserve communicates directly with</w:t></w:r>
</w:p>
<w:p>
<w:pPr><w:pStyle w:val="Normal"/></w:pPr>
<w:r><w:t xml:space="preserve">the brigade ammunition columns of the artillery (see below).</w:t></w:r>
</w:p>
<w:p>
<w:pPr><w:pStyle w:val="Normal"/></w:pPr>
<w:r><w:t xml:space="preserve">The eight pack animals follow the eight companies of their</w:t></w:r>
</w:p>
<w:p>
<w:pPr><w:pStyle w:val="Normal"/></w:pPr>
<w:r><w:t xml:space="preserve">battalion.  These, with two out of the three battalion carts,</w:t></w:r>
</w:p>
<w:p>
<w:pPr><w:pStyle w:val="Normal"/></w:pPr>
<w:r><w:t xml:space="preserve">endeavour to keep close to the firing line, the remaining cart</w:t></w:r>
</w:p>
<w:p>
<w:pPr><w:pStyle w:val="Normal"/></w:pPr>
<w:r><w:t xml:space="preserve">being with the reserve companies.  Men also are employed as</w:t></w:r>
</w:p>
<w:p>
<w:pPr><w:pStyle w:val="Normal"/></w:pPr>
<w:r><w:t xml:space="preserve">carriers, and this duty is so onerous that picked men only are</w:t></w:r>
</w:p>
<w:p>
<w:pPr><w:pStyle w:val="Normal"/></w:pPr>
<w:r><w:t xml:space="preserve">detailed.  Gallantry displayed in bringing up ammunition is</w:t></w:r>
</w:p>
<w:p>
<w:pPr><w:pStyle w:val="Normal"/></w:pPr>
<w:r><w:t xml:space="preserve">considered indeed to justify special rewards.  The amount of</w:t></w:r>
</w:p>
<w:p>
<w:pPr><w:pStyle w:val="Normal"/></w:pPr>
<w:r><w:t xml:space="preserve">S.A.A. in regimental charge is 100 rounds in the possession</w:t></w:r>
</w:p>
<w:p>
<w:pPr><w:pStyle w:val="Normal"/></w:pPr>
<w:r><w:t xml:space="preserve">of each soldier, 2000 to 2200 on each pack animal, and 16,000</w:t></w:r>
</w:p>
<w:p>
<w:pPr><w:pStyle w:val="Normal"/></w:pPr>
<w:r><w:t xml:space="preserve">to 17,600 in each of four carts, with, in addition, about 4000</w:t></w:r>
</w:p>
<w:p>
<w:pPr><w:pStyle w:val="Normal"/></w:pPr>
<w:r><w:t xml:space="preserve">rounds with the machine gun and 16,000 more in the fifth cart.</w:t></w:r>
</w:p>
<w:p>
<w:pPr><w:pStyle w:val="Normal"/></w:pPr>
<w:r><w:t xml:space="preserve">Artillery.--The many vehicles which accompany batteries</w:t></w:r>
</w:p>
<w:p>
<w:pPr><w:pStyle w:val="Normal"/></w:pPr>
<w:r><w:t xml:space="preserve">(see ARTILLERY) carry a large quantity of ammunition, and</w:t></w:r>
</w:p>
<w:p>
<w:pPr><w:pStyle w:val="Normal"/></w:pPr>
<w:r><w:t xml:space="preserve">with the contents of two wagons and the limber each gun may</w:t></w:r>
</w:p>
<w:p>
<w:pPr><w:pStyle w:val="Normal"/></w:pPr>
<w:r><w:t xml:space="preserve">be considered as well supplied, more especially as fresh</w:t></w:r>
</w:p>
<w:p>
<w:pPr><w:pStyle w:val="Normal"/></w:pPr>
<w:r><w:t xml:space="preserve">rounds can be brought up with relatively small risk, owing</w:t></w:r>
</w:p>
<w:p>
<w:pPr><w:pStyle w:val="Normal"/></w:pPr>
<w:r><w:t xml:space="preserve">to the long range at which artillery fights and the use of</w:t></w:r>
</w:p>
<w:p>
<w:pPr><w:pStyle w:val="Normal"/></w:pPr>
<w:r><w:t xml:space="preserve">cover.  Each brigade of artillery has its own ammunition</w:t></w:r>
</w:p>
<w:p>
<w:pPr><w:pStyle w:val="Normal"/></w:pPr>
<w:r><w:t xml:space="preserve">column, from which it draws its reserve in the first instance.</w:t></w:r>
</w:p>
<w:p>
<w:pPr><w:pStyle w:val="Normal"/></w:pPr>
<w:r><w:t xml:space="preserve">Ammunition Columns.--An ammunition column consists of</w:t></w:r>
</w:p>
<w:p>
<w:pPr><w:pStyle w:val="Normal"/></w:pPr>
<w:r><w:t xml:space="preserve">military vehicles carrying gun and S.A. ammunition for the</w:t></w:r>
</w:p>
<w:p>
<w:pPr><w:pStyle w:val="Normal"/></w:pPr>
<w:r><w:t xml:space="preserve">combatant unit to which the column belongs.  Thus the ammunition</w:t></w:r>
</w:p>
<w:p>
<w:pPr><w:pStyle w:val="Normal"/></w:pPr>
<w:r><w:t xml:space="preserve">columns of a division, forming part of the brigades of field</w:t></w:r>
</w:p>
<w:p>
<w:pPr><w:pStyle w:val="Normal"/></w:pPr>
<w:r><w:t xml:space="preserve">artillery, carry reserve ammunition for the guns, the machine</w:t></w:r>
</w:p>
<w:p>
<w:pPr><w:pStyle w:val="Normal"/></w:pPr>
<w:r><w:t xml:space="preserve">guns of the infantry and the rifles of all arms.  Generally</w:t></w:r>
</w:p>
<w:p>
<w:pPr><w:pStyle w:val="Normal"/></w:pPr>
<w:r><w:t xml:space="preserve">speaking, the ammunition column of each of the artillery</w:t></w:r>
</w:p>
<w:p>
<w:pPr><w:pStyle w:val="Normal"/></w:pPr>
<w:r><w:t xml:space="preserve">brigades furnishes spare ammunition for its own batteries and</w:t></w:r>
</w:p>
<w:p>
<w:pPr><w:pStyle w:val="Normal"/></w:pPr>
<w:r><w:t xml:space="preserve">for one of the brigades of infantry.  All ammunition columns</w:t></w:r>
</w:p>
<w:p>
<w:pPr><w:pStyle w:val="Normal"/></w:pPr>
<w:r><w:t xml:space="preserve">are officered and manned by the Royal Artillery.  They are</w:t></w:r>
</w:p>
<w:p>
<w:pPr><w:pStyle w:val="Normal"/></w:pPr>
<w:r><w:t xml:space="preserve">not reserved exclusively to their own brigades, divisions,</w:t></w:r>
</w:p>
<w:p>
<w:pPr><w:pStyle w:val="Normal"/></w:pPr>
<w:r><w:t xml:space="preserve">&amp;c., but may be called upon to furnish ammunition to any unit</w:t></w:r>
</w:p>
<w:p>
<w:pPr><w:pStyle w:val="Normal"/></w:pPr>
<w:r><w:t xml:space="preserve">requiring it during an action.  The officers and men of the</w:t></w:r>
</w:p>
<w:p>
<w:pPr><w:pStyle w:val="Normal"/></w:pPr>
<w:r><w:t xml:space="preserve">R.A. employed with the ammunition column are, as a matter of</w:t></w:r>
</w:p>
<w:p>
<w:pPr><w:pStyle w:val="Normal"/></w:pPr>
<w:r><w:t xml:space="preserve">course, immediately available to replace casualties in the</w:t></w:r>
</w:p>
<w:p>
<w:pPr><w:pStyle w:val="Normal"/></w:pPr>
<w:r><w:t xml:space="preserve">batteries.  Teams, wagons and materiel generally are also</w:t></w:r>
</w:p>
<w:p>
<w:pPr><w:pStyle w:val="Normal"/></w:pPr>
<w:r><w:t xml:space="preserve">available for the same purpose.  The horse artillery, howitzer</w:t></w:r>
</w:p>
<w:p>
<w:pPr><w:pStyle w:val="Normal"/></w:pPr>
<w:r><w:t xml:space="preserve">and heavy brigades of artillery have each their own ammunition</w:t></w:r>
</w:p>
<w:p>
<w:pPr><w:pStyle w:val="Normal"/></w:pPr>
<w:r><w:t xml:space="preserve">columns, organized in much the same way and performing similar</w:t></w:r>
</w:p>
<w:p>
<w:pPr><w:pStyle w:val="Normal"/></w:pPr>
<w:r><w:t xml:space="preserve">duties.  The ammunition column of the heavy brigade is</w:t></w:r>
</w:p>
<w:p>
<w:pPr><w:pStyle w:val="Normal"/></w:pPr>
<w:r><w:t xml:space="preserve">divisible into three sections, so that the three batteries,</w:t></w:r>
</w:p>
<w:p>
<w:pPr><w:pStyle w:val="Normal"/></w:pPr>
<w:r><w:t xml:space="preserve">if operating independently, have each a section at hand</w:t></w:r>
</w:p>
<w:p>
<w:pPr><w:pStyle w:val="Normal"/></w:pPr>
<w:r><w:t xml:space="preserve">to replenish the ammunition expended.  The horse artillery</w:t></w:r>
</w:p>
<w:p>
<w:pPr><w:pStyle w:val="Normal"/></w:pPr>
<w:r><w:t xml:space="preserve">brigade ammunition columns carry, besides S.A.A. for all</w:t></w:r>
</w:p>
<w:p>
<w:pPr><w:pStyle w:val="Normal"/></w:pPr>
<w:r><w:t xml:space="preserve">corps troops other than artillery, the reserve of pom-pom</w:t></w:r>
</w:p>
<w:p>
<w:pPr><w:pStyle w:val="Normal"/></w:pPr>
<w:r><w:t xml:space="preserve">ammunition.  In action these columns are on the battlefield</w:t></w:r>
</w:p>
<w:p>
<w:pPr><w:pStyle w:val="Normal"/></w:pPr>
<w:r><w:t xml:space="preserve">itself.  Some miles to the rear are the divisional and corps</w:t></w:r>
</w:p>
<w:p>
<w:pPr><w:pStyle w:val="Normal"/></w:pPr>
<w:r><w:t xml:space="preserve">troops columns, which on the one hand replenish the empty</w:t></w:r>
</w:p>
<w:p>
<w:pPr><w:pStyle w:val="Normal"/></w:pPr>
<w:r><w:t xml:space="preserve">wagons of the columns in front, and on the other draw fresh</w:t></w:r>
</w:p>
<w:p>
<w:pPr><w:pStyle w:val="Normal"/></w:pPr>
<w:r><w:t xml:space="preserve">supplies from the depots on the line of communication.</w:t></w:r>
</w:p>
<w:p>
<w:pPr><w:pStyle w:val="Normal"/></w:pPr>
<w:r><w:t xml:space="preserve">These also are in artillery charge; a divisional column is</w:t></w:r>
</w:p>
<w:p>
<w:pPr><w:pStyle w:val="Normal"/></w:pPr>
<w:r><w:t xml:space="preserve">detailed to each division (i.e. to replenish each set of</w:t></w:r>
</w:p>
<w:p>
<w:pPr><w:pStyle w:val="Normal"/></w:pPr>
<w:r><w:t xml:space="preserve">brigade ammunition columns), and the corps troops column</w:t></w:r>
</w:p>
<w:p>
<w:pPr><w:pStyle w:val="Normal"/></w:pPr>
<w:r><w:t xml:space="preserve">supplies the columns attached to the heavy, howitzer and</w:t></w:r>
</w:p>
<w:p>
<w:pPr><w:pStyle w:val="Normal"/></w:pPr>
<w:r><w:t xml:space="preserve">horse artillery brigades.  The ammunition thus carried</w:t></w:r>
</w:p>
<w:p>
<w:pPr><w:pStyle w:val="Normal"/></w:pPr>
<w:r><w:t xml:space="preserve">includes ordinarily seven or eight kinds at least.  S.A.A.,</w:t></w:r>
</w:p>
<w:p>
<w:pPr><w:pStyle w:val="Normal"/></w:pPr>
<w:r><w:t xml:space="preserve">field, horse, howitzer and heavy gun shrapnel, howitzer and</w:t></w:r>
</w:p>
<w:p>
<w:pPr><w:pStyle w:val="Normal"/></w:pPr>
<w:r><w:t xml:space="preserve">heavy gun lyddite shells, cartridges for the four different</w:t></w:r>
</w:p>
<w:p>
<w:pPr><w:pStyle w:val="Normal"/></w:pPr>
<w:r><w:t xml:space="preserve">guns employed and pom-pom cartridges for the cavalry,--in</w:t></w:r>
</w:p>
<w:p>
<w:pPr><w:pStyle w:val="Normal"/></w:pPr>
<w:r><w:t xml:space="preserve">all twelve distinct types of stores would be carried for a</w:t></w:r>
</w:p>
<w:p>
<w:pPr><w:pStyle w:val="Normal"/></w:pPr>
<w:r><w:t xml:space="preserve">complete army corps.  Consequently the rounds of each kind</w:t></w:r>
</w:p>
<w:p>
<w:pPr><w:pStyle w:val="Normal"/></w:pPr>
<w:r><w:t xml:space="preserve">in charge of each ammunition column must vary in accordance</w:t></w:r>
</w:p>
<w:p>
<w:pPr><w:pStyle w:val="Normal"/></w:pPr>
<w:r><w:t xml:space="preserve">with the work expected of the combatant unit to which it</w:t></w:r>
</w:p>
<w:p>
<w:pPr><w:pStyle w:val="Normal"/></w:pPr>
<w:r><w:t xml:space="preserve">belongs.  Thus pom-pom ammunition is out of place in the</w:t></w:r>
</w:p>
<w:p>
<w:pPr><w:pStyle w:val="Normal"/></w:pPr>
<w:r><w:t xml:space="preserve">brigade ammunition columns of field artillery, and S.A.A. is</w:t></w:r>
</w:p>
<w:p>
<w:pPr><w:pStyle w:val="Normal"/></w:pPr>
<w:r><w:t xml:space="preserve">relatively unnecessary in that attached to a heavy artillery</w:t></w:r>
</w:p>
<w:p>
<w:pPr><w:pStyle w:val="Normal"/></w:pPr>
<w:r><w:t xml:space="preserve">brigade.  Under these circumstances a column may be unable to</w:t></w:r>
</w:p>
<w:p>
<w:pPr><w:pStyle w:val="Normal"/></w:pPr>
<w:r><w:t xml:space="preserve">meet the particular wants of troops engaged in the vicinity;</w:t></w:r>
</w:p>
<w:p>
<w:pPr><w:pStyle w:val="Normal"/></w:pPr>
<w:r><w:t xml:space="preserve">for instance, a cavalry regiment would send in vain to a heavy</w:t></w:r>
</w:p>
<w:p>
<w:pPr><w:pStyle w:val="Normal"/></w:pPr>
<w:r><w:t xml:space="preserve">artillery ammunition section for pom-pom cartridges.  The point</w:t></w:r>
</w:p>
<w:p>
<w:pPr><w:pStyle w:val="Normal"/></w:pPr>
<w:r><w:t xml:space="preserve">to be observed in this is that the fewer the natures of weapons</w:t></w:r>
</w:p>
<w:p>
<w:pPr><w:pStyle w:val="Normal"/></w:pPr>
<w:r><w:t xml:space="preserve">used, the more certain is the ammunition supply. (C. F. A.)</w:t></w:r>
</w:p>
<w:p>
<w:pPr><w:pStyle w:val="Normal"/></w:pPr>
<w:r><w:t xml:space="preserve">The first projectiles fired from cannon were the darts and</w:t></w:r>
</w:p>
<w:p>
<w:pPr><w:pStyle w:val="Normal"/></w:pPr>
<w:r><w:t xml:space="preserve">stone shot which had been in use with older weapons.  These</w:t></w:r>
</w:p>
<w:p>
<w:pPr><w:pStyle w:val="Normal"/></w:pPr>
<w:r><w:t xml:space="preserve">darts (&quot;garros&quot;) had iron heads or were of iron wrapped with</w:t></w:r>
</w:p>
<w:p>
<w:pPr><w:pStyle w:val="Normal"/></w:pPr>
<w:r><w:t xml:space="preserve">leather to fit the bore of small guns, and continued in use up</w:t></w:r>
</w:p>
<w:p>
<w:pPr><w:pStyle w:val="Normal"/></w:pPr>
<w:r><w:t xml:space="preserve">to nearly the end of the 16th century.  Spherical stone shot</w:t></w:r>
</w:p>
<w:p>
<w:pPr><w:pStyle w:val="Normal"/></w:pPr>
<w:r><w:t xml:space="preserve">were chosen on account of cheapness; forged iron, bronze and</w:t></w:r>
</w:p>
<w:p>
<w:pPr><w:pStyle w:val="Normal"/></w:pPr>
<w:r><w:t xml:space="preserve">lead balls were tried, but the expense prevented their general</w:t></w:r>
</w:p>
<w:p>
<w:pPr><w:pStyle w:val="Normal"/></w:pPr>
<w:r><w:t xml:space="preserve">adoption.  Further, as the heavy metal shot necessitated the</w:t></w:r>
</w:p>
<w:p>
<w:pPr><w:pStyle w:val="Normal"/></w:pPr>
<w:r><w:t xml:space="preserve">use of a correspondingly large propelling charge, too great</w:t></w:r>
</w:p>
<w:p>
<w:pPr><w:pStyle w:val="Normal"/></w:pPr>
<w:r><w:t xml:space="preserve">a demand was made on the strength of the feeble guns of the</w:t></w:r>
</w:p>
<w:p>
<w:pPr><w:pStyle w:val="Normal"/></w:pPr>
<w:r><w:t xml:space="preserve">period.  Stone shot being one-third the weight of those of</w:t></w:r>
</w:p>
<w:p>
<w:pPr><w:pStyle w:val="Normal"/></w:pPr>
<w:r><w:t xml:space="preserve">iron the powder charge was reduced in proportion, and this</w:t></w:r>
</w:p>
<w:p>
<w:pPr><w:pStyle w:val="Normal"/></w:pPr>
<w:r><w:t xml:space="preserve">also effected an economy.  Both iron and stone shot were</w:t></w:r>
</w:p>
<w:p>
<w:pPr><w:pStyle w:val="Normal"/></w:pPr>
<w:r><w:t xml:space="preserve">occasionally covered with lead, probably to preserve the interior</w:t></w:r>
</w:p>
<w:p>
<w:pPr><w:pStyle w:val="Normal"/></w:pPr>
<w:r><w:t xml:space="preserve">of the bore of the gun.  Cast iron, while known in the 14th</w:t></w:r>
</w:p>
<w:p>
<w:pPr><w:pStyle w:val="Normal"/></w:pPr>
<w:r><w:t xml:space="preserve">century, was not sufficiently common to be much used for the</w:t></w:r>
</w:p>
<w:p>
<w:pPr><w:pStyle w:val="Normal"/></w:pPr>
<w:r><w:t xml:space="preserve">manufacture of shot, although small ones were made about that</w:t></w:r>
</w:p>
<w:p>
<w:pPr><w:pStyle w:val="Normal"/></w:pPr>
<w:r><w:t xml:space="preserve">time.  They were used more frequently at the latter part of</w:t></w:r>
</w:p>
<w:p>
<w:pPr><w:pStyle w:val="Normal"/></w:pPr>
<w:r><w:t xml:space="preserve">the following century.  Towards the end of the 16th century</w:t></w:r>
</w:p>
<w:p>
<w:pPr><w:pStyle w:val="Normal"/></w:pPr>
<w:r><w:t xml:space="preserve">nearly all shot were of iron, but stone shot were still used</w:t></w:r>
</w:p>
<w:p>
<w:pPr><w:pStyle w:val="Normal"/></w:pPr>
<w:r><w:t xml:space="preserve">with guns called Petrieroes (hence the name) or Patararoes,</w:t></w:r>
</w:p>
<w:p>
<w:pPr><w:pStyle w:val="Normal"/></w:pPr>
<w:r><w:t xml:space="preserve">for attacking weak targets like ships at short range.</w:t></w:r>
</w:p>
<w:p>
<w:pPr><w:pStyle w:val="Normal"/></w:pPr>
<w:r><w:t xml:space="preserve">Case shot are very nearly as ancient as spherical shot.</w:t></w:r>
</w:p>
<w:p>
<w:pPr><w:pStyle w:val="Normal"/></w:pPr>
<w:r><w:t xml:space="preserve">They can be traced back to the early part of the 15th century,</w:t></w:r>
</w:p>
<w:p>
<w:pPr><w:pStyle w:val="Normal"/></w:pPr>
<w:r><w:t xml:space="preserve">and they have practically retained their original form up to</w:t></w:r>
</w:p>
<w:p>
<w:pPr><w:pStyle w:val="Normal"/></w:pPr>
<w:r><w:t xml:space="preserve">the present date.  They are intended for use at close quarters</w:t></w:r>
</w:p>
<w:p>
<w:pPr><w:pStyle w:val="Normal"/></w:pPr>
<w:r><w:t xml:space="preserve">when a volley of small shot is required.  With field guns they</w:t></w:r>
</w:p>
<w:p>
<w:pPr><w:pStyle w:val="Normal"/></w:pPr>
<w:r><w:t xml:space="preserve">are not of much use at ranges exceeding about four hundred</w:t></w:r>
</w:p>
<w:p>
<w:pPr><w:pStyle w:val="Normal"/></w:pPr>
<w:r><w:t xml:space="preserve">yards; those for heavy guns are effective up to one thousand</w:t></w:r>
</w:p>
<w:p>
<w:pPr><w:pStyle w:val="Normal"/></w:pPr>
<w:r><w:t xml:space="preserve">yards.  In the earlier forms lead or iron shot were packed</w:t></w:r>
</w:p>
<w:p>
<w:pPr><w:pStyle w:val="Normal"/></w:pPr>
<w:r><w:t xml:space="preserve">in wood casks or in canvas bags tied up with twine like the</w:t></w:r>
</w:p>
<w:p>
<w:pPr><w:pStyle w:val="Normal"/></w:pPr>
<w:r><w:t xml:space="preserve">later quilted shot.  In the present (fig. 2) type small shot</w:t></w:r>
</w:p>
<w:p>
<w:pPr><w:pStyle w:val="Normal"/></w:pPr>
<w:r><w:t xml:space="preserve">are placed in a cylindrical case of sheet iron, with iron</w:t></w:r>
</w:p>
<w:p>
<w:pPr><w:pStyle w:val="Normal"/></w:pPr>
<w:r><w:t xml:space="preserve">ends, one end being provided with handles.  For small guns</w:t></w:r>
</w:p>
<w:p>
<w:pPr><w:pStyle w:val="Normal"/></w:pPr>
<w:r><w:t xml:space="preserve">the bullets are made of lead and antimony--like shrapnel</w:t></w:r>
</w:p>
<w:p>
<w:pPr><w:pStyle w:val="Normal"/></w:pPr>
<w:r><w:t xml:space="preserve">bullets--while for larger calibres they are of cast iron</w:t></w:r>
</w:p>
<w:p>
<w:pPr><w:pStyle w:val="Normal"/></w:pPr>
<w:r><w:t xml:space="preserve">weighing from two ounces to three and a half pounds each.</w:t></w:r>
</w:p>
<w:p>
<w:pPr><w:pStyle w:val="Normal"/></w:pPr>
<w:r><w:t xml:space="preserve">Grape shot is now obsolete.  It consisted generally of three</w:t></w:r>
</w:p>
<w:p>
<w:pPr><w:pStyle w:val="Normal"/></w:pPr>
<w:r><w:t xml:space="preserve">tiers of cast-iron balls separated by iron plates and held in place</w:t></w:r>
</w:p>
<w:p>
<w:pPr><w:pStyle w:val="Normal"/></w:pPr>
<w:r><w:t xml:space="preserve">by an iron bolt which passed through the centre of the plates.</w:t></w:r>
</w:p>
<w:p>
<w:pPr><w:pStyle w:val="Normal"/></w:pPr>
<w:r><w:t xml:space="preserve">There was also another type called quilted shot which consisted</w:t></w:r>
</w:p>
<w:p>
<w:pPr><w:pStyle w:val="Normal"/></w:pPr>
<w:r><w:t xml:space="preserve">of a number of small shot in a canvas covering tied up by rope.</w:t></w:r>
</w:p>
<w:p>
<w:pPr><w:pStyle w:val="Normal"/></w:pPr>
<w:r><w:t xml:space="preserve">Chain shot, in the days of sailing ships, was much in favour as</w:t></w:r>
</w:p>
<w:p>
<w:pPr><w:pStyle w:val="Normal"/></w:pPr>
<w:r><w:t xml:space="preserve">a means of destroying rigging.  Two spherical shot were fastened</w:t></w:r>
</w:p>
<w:p>
<w:pPr><w:pStyle w:val="Normal"/></w:pPr>
<w:r><w:t xml:space="preserve">together by a short length of chain.  On leaving the gun they</w:t></w:r>
</w:p>
<w:p>
<w:pPr><w:pStyle w:val="Normal"/></w:pPr>
<w:r><w:t xml:space="preserve">began gyrating around each other and made a formidable missile.</w:t></w:r>
</w:p>
<w:p>
<w:pPr><w:pStyle w:val="Normal"/></w:pPr>
<w:r><w:t xml:space="preserve">Red-hot shot were invented in 1579 by Stephen Batory, king of</w:t></w:r>
</w:p>
<w:p>
<w:pPr><w:pStyle w:val="Normal"/></w:pPr>
<w:r><w:t xml:space="preserve">Poland.  They were used with great effect by the English</w:t></w:r>
</w:p>
<w:p>
<w:pPr><w:pStyle w:val="Normal"/></w:pPr>
<w:r><w:t xml:space="preserve">during the siege of Gibraltar, especially on the 13th of</w:t></w:r>
</w:p>
<w:p>
<w:pPr><w:pStyle w:val="Normal"/></w:pPr>
<w:r><w:t xml:space="preserve">September 1782, when the French floating batteries were</w:t></w:r>
</w:p>
<w:p>
<w:pPr><w:pStyle w:val="Normal"/></w:pPr>
<w:r><w:t xml:space="preserve">destroyed, together with a large part of the Spanish fleet.</w:t></w:r>
</w:p>
<w:p>
<w:pPr><w:pStyle w:val="Normal"/></w:pPr>
<w:r><w:t xml:space="preserve">Martin&apos;s shell was a modified form; here a cast-iron</w:t></w:r>
</w:p>
<w:p>
<w:pPr><w:pStyle w:val="Normal"/></w:pPr>
<w:r><w:t xml:space="preserve">shell was filled with molten cast iron and immediately</w:t></w:r>
</w:p>
<w:p>
<w:pPr><w:pStyle w:val="Normal"/></w:pPr>
<w:r><w:t xml:space="preserve">fired.  On striking the side of a ship the shell broke up,</w:t></w:r>
</w:p>
<w:p>
<w:pPr><w:pStyle w:val="Normal"/></w:pPr>
<w:r><w:t xml:space="preserve">freeing the still molten iron, which set fire to the vessel.</w:t></w:r>
</w:p>
<w:p>
<w:pPr><w:pStyle w:val="Normal"/></w:pPr>
<w:r><w:t xml:space="preserve">Rotation.--Projectiles intended for R.M.L. guns were at first</w:t></w:r>
</w:p>
<w:p>
<w:pPr><w:pStyle w:val="Normal"/></w:pPr>
<w:r><w:t xml:space="preserve">fitted with a number of gun-metal studs arranged around them</w:t></w:r>
</w:p>
<w:p>
<w:pPr><w:pStyle w:val="Normal"/></w:pPr>
<w:r><w:t xml:space="preserve">in a spiral manner corresponding to the twist of rifling.  This</w:t></w:r>
</w:p>
<w:p>
<w:pPr><w:pStyle w:val="Normal"/></w:pPr>
<w:r><w:t xml:space="preserve">was defective, as it allowed, as in the old smooth-bore guns,</w:t></w:r>
</w:p>
<w:p>
<w:pPr><w:pStyle w:val="Normal"/></w:pPr>
<w:r><w:t xml:space="preserve">the powder gas to escape by the clearance (called &quot;windage&quot;)</w:t></w:r>
</w:p>
<w:p>
<w:pPr><w:pStyle w:val="Normal"/></w:pPr>
<w:r><w:t xml:space="preserve">between the projectile and the bore, with a consequent loss</w:t></w:r>
</w:p>
<w:p>
<w:pPr><w:pStyle w:val="Normal"/></w:pPr>
<w:r><w:t xml:space="preserve">of efficiency; it also quickly eroded the bore of the larger</w:t></w:r>
</w:p>
<w:p>
<w:pPr><w:pStyle w:val="Normal"/></w:pPr>
<w:r><w:t xml:space="preserve">guns.  Later the rotation was effected by a cupped copper</w:t></w:r>
</w:p>
<w:p>
<w:pPr><w:pStyle w:val="Normal"/></w:pPr>
<w:r><w:t xml:space="preserve">disc called a &quot;gas check&quot; attached to the base end of the</w:t></w:r>
</w:p>
<w:p>
<w:pPr><w:pStyle w:val="Normal"/></w:pPr>
<w:r><w:t xml:space="preserve">projectile.  The powder gas pressure expanded the rim of</w:t></w:r>
</w:p>
<w:p>
<w:pPr><w:pStyle w:val="Normal"/></w:pPr>
<w:r><w:t xml:space="preserve">the gas check into the rifling grooves and prevented the</w:t></w:r>
</w:p>
<w:p>
<w:pPr><w:pStyle w:val="Normal"/></w:pPr>
<w:r><w:t xml:space="preserve">escape of gas; it also firmly fixed the gas check to the</w:t></w:r>
</w:p>
<w:p>
<w:pPr><w:pStyle w:val="Normal"/></w:pPr>
<w:r><w:t xml:space="preserve">projectile, thus causing it to rotate.  A more regular and</w:t></w:r>
</w:p>
<w:p>
<w:pPr><w:pStyle w:val="Normal"/></w:pPr>
<w:r><w:t xml:space="preserve">efficient action of the powder gas was thus ensured, with a</w:t></w:r>
</w:p>
<w:p>
<w:pPr><w:pStyle w:val="Normal"/></w:pPr>
<w:r><w:t xml:space="preserve">corresponding greater range and an improvement in accuracy.</w:t></w:r>
</w:p>
<w:p>
<w:pPr><w:pStyle w:val="Normal"/></w:pPr>
<w:r><w:t xml:space="preserve">With the earlier Armstrong (R.B.L.) guns the projectiles were</w:t></w:r>
</w:p>
<w:p>
<w:pPr><w:pStyle w:val="Normal"/></w:pPr>
<w:r><w:t xml:space="preserve">coated with lead (the late Lord Armstrong&apos;s system), the lead</w:t></w:r>
</w:p>
<w:p>
<w:pPr><w:pStyle w:val="Normal"/></w:pPr>
<w:r><w:t xml:space="preserve">being forced through the rifling grooves by the pressure of the</w:t></w:r>
</w:p>
<w:p>
<w:pPr><w:pStyle w:val="Normal"/></w:pPr>
<w:r><w:t xml:space="preserve">exploded powder gas.  The lead coating is, however, too soft</w:t></w:r>
</w:p>
<w:p>
<w:pPr><w:pStyle w:val="Normal"/></w:pPr>
<w:r><w:t xml:space="preserve">with the higher velocities of modern B.L. guns.  Mr Vavasseur,</w:t></w:r>
</w:p>
<w:p>
<w:pPr><w:pStyle w:val="Normal"/></w:pPr>
<w:r><w:t xml:space="preserve">C.B., devised the plan of fitting by hydraulic pressure a</w:t></w:r>
</w:p>
<w:p>
<w:pPr><w:pStyle w:val="Normal"/></w:pPr>
<w:r><w:t xml:space="preserve">copper &quot;driving band&quot; into a groove cut around the body of the</w:t></w:r>
</w:p>
<w:p>
<w:pPr><w:pStyle w:val="Normal"/></w:pPr>
<w:r><w:t xml:space="preserve">projectile.  This is now universal.  It not only fulfils the</w:t></w:r>
</w:p>
<w:p>
<w:pPr><w:pStyle w:val="Normal"/></w:pPr>
<w:r><w:t xml:space="preserve">purpose of rotating the projectile, but renders possible the</w:t></w:r>
</w:p>
<w:p>
<w:pPr><w:pStyle w:val="Normal"/></w:pPr>
<w:r><w:t xml:space="preserve">use of large charges of slow- burning explosive.  The copper</w:t></w:r>
</w:p>
<w:p>
<w:pPr><w:pStyle w:val="Normal"/></w:pPr>
<w:r><w:t xml:space="preserve">band, on being forced through the gun, gives rise to considerable</w:t></w:r>
</w:p>
<w:p>
<w:pPr><w:pStyle w:val="Normal"/></w:pPr>
<w:r><w:t xml:space="preserve">resistance, which allows the propelling charge to burn properly</w:t></w:r>
</w:p>
<w:p>
<w:pPr><w:pStyle w:val="Normal"/></w:pPr>
<w:r><w:t xml:space="preserve">and thus to exert its enormous force on the projectile.</w:t></w:r>
</w:p>
<w:p>
<w:pPr><w:pStyle w:val="Normal"/></w:pPr>
<w:r><w:t xml:space="preserve">The laws which govern the designs of projectiles are not</w:t></w:r>
</w:p>
<w:p>
<w:pPr><w:pStyle w:val="Normal"/></w:pPr>
<w:r><w:t xml:space="preserve">well defined.  Certain formulae are used which give the</w:t></w:r>
</w:p>
<w:p>
<w:pPr><w:pStyle w:val="Normal"/></w:pPr>
<w:r><w:t xml:space="preserve">thickness of the walls of the shell for a known chamber</w:t></w:r>
</w:p>
<w:p>
<w:pPr><w:pStyle w:val="Normal"/></w:pPr>
<w:r><w:t xml:space="preserve">pressure in the gun, and for a particular stress on the</w:t></w:r>
</w:p>
<w:p>
<w:pPr><w:pStyle w:val="Normal"/></w:pPr>
<w:r><w:t xml:space="preserve">material of the shell.  The exact proportions of the</w:t></w:r>
</w:p>
<w:p>
<w:pPr><w:pStyle w:val="Normal"/></w:pPr>
<w:r><w:t xml:space="preserve">shell depend, however, greatly on experimental knowledge.</w:t></w:r>
</w:p>
<w:p>
<w:pPr><w:pStyle w:val="Normal"/></w:pPr>
<w:r><w:t xml:space="preserve">Armour-piercing Shot and Shell.--On the introduction</w:t></w:r>
</w:p>
<w:p>
<w:pPr><w:pStyle w:val="Normal"/></w:pPr>
<w:r><w:t xml:space="preserve">of iron ships it was found that the ordinary cast-iron</w:t></w:r>
</w:p>
<w:p>
<w:pPr><w:pStyle w:val="Normal"/></w:pPr>
<w:r><w:t xml:space="preserve">projectile readily pierced the thin plating, and in order to</w:t></w:r>
</w:p>
<w:p>
<w:pPr><w:pStyle w:val="Normal"/></w:pPr>
<w:r><w:t xml:space="preserve">protect the vital parts of the vessel wrought-iron armour of</w:t></w:r>
</w:p>
<w:p>
<w:pPr><w:pStyle w:val="Normal"/></w:pPr>
<w:r><w:t xml:space="preserve">considerable thickness was placed on the sides.  It then became</w:t></w:r>
</w:p>
<w:p>
<w:pPr><w:pStyle w:val="Normal"/></w:pPr>
<w:r><w:t xml:space="preserve">necessary to produce a projectile which would pierce this</w:t></w:r>
</w:p>
<w:p>
<w:pPr><w:pStyle w:val="Normal"/></w:pPr>
<w:r><w:t xml:space="preserve">armour.  This was effected by Sir W. Palliser, who invented</w:t></w:r>
</w:p>
<w:p>
<w:pPr><w:pStyle w:val="Normal"/></w:pPr>
<w:r><w:t xml:space="preserve">a method of hardening the head of the pointed cast-iron</w:t></w:r>
</w:p>
<w:p>
<w:pPr><w:pStyle w:val="Normal"/></w:pPr>
<w:r><w:t xml:space="preserve">shot.  By casting the projectile point downwards and forming</w:t></w:r>
</w:p>
<w:p>
<w:pPr><w:pStyle w:val="Normal"/></w:pPr>
<w:r><w:t xml:space="preserve">the head in an iron mould, the hot metal was suddenly</w:t></w:r>
</w:p>
<w:p>
<w:pPr><w:pStyle w:val="Normal"/></w:pPr>
<w:r><w:t xml:space="preserve">chilled and became intensely hard, while the remainder</w:t></w:r>
</w:p>
<w:p>
<w:pPr><w:pStyle w:val="Normal"/></w:pPr>
<w:r><w:t xml:space="preserve">of the mould being formed of sand allowed the metal to</w:t></w:r>
</w:p>
<w:p>
<w:pPr><w:pStyle w:val="Normal"/></w:pPr>
<w:r><w:t xml:space="preserve">cool slowly and the body of the shot to be made tough.</w:t></w:r>
</w:p>
<w:p>
<w:pPr><w:pStyle w:val="Normal"/></w:pPr>
<w:r><w:t xml:space="preserve">These shot proved very effective against wrought-iron armour,</w:t></w:r>
</w:p>
<w:p>
<w:pPr><w:pStyle w:val="Normal"/></w:pPr>
<w:r><w:t xml:space="preserve">but were not serviceable against compound and steel armour.</w:t></w:r>
</w:p>
<w:p>
<w:pPr><w:pStyle w:val="Normal"/></w:pPr>
<w:r><w:t xml:space="preserve">A new departure had, therefore, to be made, and forged steel</w:t></w:r>
</w:p>
<w:p>
<w:pPr><w:pStyle w:val="Normal"/></w:pPr>
<w:r><w:t xml:space="preserve">shot with points hardened by water, &amp;c., took the place of</w:t></w:r>
</w:p>
<w:p>
<w:pPr><w:pStyle w:val="Normal"/></w:pPr>
<w:r><w:t xml:space="preserve">the Palliser shot.  At first these forged steel shot were made</w:t></w:r>
</w:p>
<w:p>
<w:pPr><w:pStyle w:val="Normal"/></w:pPr>
<w:r><w:t xml:space="preserve">of ordinary carbon steel, but as armour improved in quality</w:t></w:r>
</w:p>
<w:p>
<w:pPr><w:pStyle w:val="Normal"/></w:pPr>
<w:r><w:t xml:space="preserve">the projectiles followed suit, and, for the attack of the</w:t></w:r>
</w:p>
<w:p>
<w:pPr><w:pStyle w:val="Normal"/></w:pPr>
<w:r><w:t xml:space="preserve">latest type of cemented steel armour, the projectile is formed</w:t></w:r>
</w:p>
<w:p>
<w:pPr><w:pStyle w:val="Normal"/></w:pPr>
<w:r><w:t xml:space="preserve">of steel--either forged or cast--containing both nickel and</w:t></w:r>
</w:p>
<w:p>
<w:pPr><w:pStyle w:val="Normal"/></w:pPr>
<w:r><w:t xml:space="preserve">chromium.  Tungsten steel has also been used with success.</w:t></w:r>
</w:p>
<w:p>
<w:pPr><w:pStyle w:val="Normal"/></w:pPr>
<w:r><w:t xml:space="preserve">Armour-piercing shot or shell are generally cast from a</w:t></w:r>
</w:p>
<w:p>
<w:pPr><w:pStyle w:val="Normal"/></w:pPr>
<w:r><w:t xml:space="preserve">special mixture of chrome steel melted in pots; they are</w:t></w:r>
</w:p>
<w:p>
<w:pPr><w:pStyle w:val="Normal"/></w:pPr>
<w:r><w:t xml:space="preserve">afterwards forged into shape.  The shell is then thoroughly</w:t></w:r>
</w:p>
<w:p>
<w:pPr><w:pStyle w:val="Normal"/></w:pPr>
<w:r><w:t xml:space="preserve">annealed, the core bored and the exterior turned up in the</w:t></w:r>
</w:p>
<w:p>
<w:pPr><w:pStyle w:val="Normal"/></w:pPr>
<w:r><w:t xml:space="preserve">lathe.  The shell is finished in a similar manner to others</w:t></w:r>
</w:p>
<w:p>
<w:pPr><w:pStyle w:val="Normal"/></w:pPr>
<w:r><w:t xml:space="preserve">described below.  The final or tempering treatment is very</w:t></w:r>
</w:p>
<w:p>
<w:pPr><w:pStyle w:val="Normal"/></w:pPr>
<w:r><w:t xml:space="preserve">important, but details are kept strictly secret.  It consists</w:t></w:r>
</w:p>
<w:p>
<w:pPr><w:pStyle w:val="Normal"/></w:pPr>
<w:r><w:t xml:space="preserve">in hardening the head of the projectile and tempering it in</w:t></w:r>
</w:p>
<w:p>
<w:pPr><w:pStyle w:val="Normal"/></w:pPr>
<w:r><w:t xml:space="preserve">a special manner, the rear portion being reduced in hardness</w:t></w:r>
</w:p>
<w:p>
<w:pPr><w:pStyle w:val="Normal"/></w:pPr>
<w:r><w:t xml:space="preserve">so as to render it tough.  The cavity of these projectiles</w:t></w:r>
</w:p>
<w:p>
<w:pPr><w:pStyle w:val="Normal"/></w:pPr>
<w:r><w:t xml:space="preserve">is capable of receiving a small bursting charge of about</w:t></w:r>
</w:p>
<w:p>
<w:pPr><w:pStyle w:val="Normal"/></w:pPr>
<w:r><w:t xml:space="preserve">2% of the weight of the complete projectile, and when</w:t></w:r>
</w:p>
<w:p>
<w:pPr><w:pStyle w:val="Normal"/></w:pPr>
<w:r><w:t xml:space="preserve">this is used the projectile is called an armour-piercing</w:t></w:r>
</w:p>
<w:p>
<w:pPr><w:pStyle w:val="Normal"/></w:pPr>
<w:r><w:t xml:space="preserve">shell.  The shell, whether fuzed or unfuzed, will burst</w:t></w:r>
</w:p>
<w:p>
<w:pPr><w:pStyle w:val="Normal"/></w:pPr>
<w:r><w:t xml:space="preserve">on striking a medium thickness of armour.  Armour-piercing</w:t></w:r>
</w:p>
<w:p>
<w:pPr><w:pStyle w:val="Normal"/></w:pPr>
<w:r><w:t xml:space="preserve">shells, having a bursting charge of about 3% of the weight</w:t></w:r>
</w:p>
<w:p>
<w:pPr><w:pStyle w:val="Normal"/></w:pPr>
<w:r><w:t xml:space="preserve">of the complete projectile, are now often fitted with a soft</w:t></w:r>
</w:p>
<w:p>
<w:pPr><w:pStyle w:val="Normal"/></w:pPr>
<w:r><w:t xml:space="preserve">steel cap (fig. 3) for the perforation of hard steel armour.</w:t></w:r>
</w:p>
<w:p>
<w:pPr><w:pStyle w:val="Normal"/></w:pPr>
<w:r><w:t xml:space="preserve">For the theory of the action of the cap see ARMOUR PLATES.</w:t></w:r>
</w:p>
<w:p>
<w:pPr><w:pStyle w:val="Normal"/></w:pPr>
<w:r><w:t xml:space="preserve">Even with these improvements the projectile cannot,</w:t></w:r>
</w:p>
<w:p>
<w:pPr><w:pStyle w:val="Normal"/></w:pPr>
<w:r><w:t xml:space="preserve">with a reasonable velocity, be relied upon to pierce one</w:t></w:r>
</w:p>
<w:p>
<w:pPr><w:pStyle w:val="Normal"/></w:pPr>
<w:r><w:t xml:space="preserve">calibre in thickness of modern cemented steel armour.</w:t></w:r>
</w:p>
<w:p>
<w:pPr><w:pStyle w:val="Normal"/></w:pPr>
<w:r><w:t xml:space="preserve">Explosive shells do not appear to have been in general</w:t></w:r>
</w:p>
<w:p>
<w:pPr><w:pStyle w:val="Normal"/></w:pPr>
<w:r><w:t xml:space="preserve">use before the middle of the 16th century.  About that</w:t></w:r>
</w:p>
<w:p>
<w:pPr><w:pStyle w:val="Normal"/></w:pPr>
<w:r><w:t xml:space="preserve">time hollow balls of stone or cast iron were fired from</w:t></w:r>
</w:p>
<w:p>
<w:pPr><w:pStyle w:val="Normal"/></w:pPr>
<w:r><w:t xml:space="preserve">mortars.  The balls were nearly filled with gunpowder and the</w:t></w:r>
</w:p>
<w:p>
<w:pPr><w:pStyle w:val="Normal"/></w:pPr>
<w:r><w:t xml:space="preserve">remaining space with a slow-burning composition.  This plan</w:t></w:r>
</w:p>
<w:p>
<w:pPr><w:pStyle w:val="Normal"/></w:pPr>
<w:r><w:t xml:space="preserve">was unsatisfactory, as the composition was not always ignited</w:t></w:r>
</w:p>
<w:p>
<w:pPr><w:pStyle w:val="Normal"/></w:pPr>
<w:r><w:t xml:space="preserve">by the flash from the discharge of the gun, and moreover the</w:t></w:r>
</w:p>
<w:p>
<w:pPr><w:pStyle w:val="Normal"/></w:pPr>
<w:r><w:t xml:space="preserve">amount of composition to burn a stipulated time could not</w:t></w:r>
</w:p>
<w:p>
<w:pPr><w:pStyle w:val="Normal"/></w:pPr>
<w:r><w:t xml:space="preserve">easily be gauged.  The shell was, therefore, fitted with a</w:t></w:r>
</w:p>
<w:p>
<w:pPr><w:pStyle w:val="Normal"/></w:pPr>
<w:r><w:t xml:space="preserve">hollow forged iron or copper plug, filled with slow-burning</w:t></w:r>
</w:p>
<w:p>
<w:pPr><w:pStyle w:val="Normal"/></w:pPr>
<w:r><w:t xml:space="preserve">powder.  It was impossible to ignite with certainty this</w:t></w:r>
</w:p>
<w:p>
<w:pPr><w:pStyle w:val="Normal"/></w:pPr>
<w:r><w:t xml:space="preserve">primitive fuze simply by firing the gun; the fuze was</w:t></w:r>
</w:p>
<w:p>
<w:pPr><w:pStyle w:val="Normal"/></w:pPr>
<w:r><w:t xml:space="preserve">consequently first ignited and the gun fired immediately</w:t></w:r>
</w:p>
<w:p>
<w:pPr><w:pStyle w:val="Normal"/></w:pPr>
<w:r><w:t xml:space="preserve">afterwards.  This entailed the use of a mortar or a very short</w:t></w:r>
</w:p>
<w:p>
<w:pPr><w:pStyle w:val="Normal"/></w:pPr>
<w:r><w:t xml:space="preserve">piece, so that the fuze could be easily reached from the muzzle</w:t></w:r>
</w:p>
<w:p>
<w:pPr><w:pStyle w:val="Normal"/></w:pPr>
<w:r><w:t xml:space="preserve">without unduly endangering the gunner.  Cast-iron spherical</w:t></w:r>
</w:p>
<w:p>
<w:pPr><w:pStyle w:val="Normal"/></w:pPr>
<w:r><w:t xml:space="preserve">common shell (fig. 4) were in use up to 1871.  For guns they were</w:t></w:r>
</w:p>
<w:p>
<w:pPr><w:pStyle w:val="Normal"/></w:pPr>
<w:r><w:t xml:space="preserve">latterly fitted with a wooden disc called a sabot, attached</w:t></w:r>
</w:p>
<w:p>
<w:pPr><w:pStyle w:val="Normal"/></w:pPr>
<w:r><w:t xml:space="preserve">by a copper rivet, intended to keep the fuze central when</w:t></w:r>
</w:p>
<w:p>
<w:pPr><w:pStyle w:val="Normal"/></w:pPr>
<w:r><w:t xml:space="preserve">loading.  They were also supposed to reduce the rebounding</w:t></w:r>
</w:p>
<w:p>
<w:pPr><w:pStyle w:val="Normal"/></w:pPr>
<w:r><w:t xml:space="preserve">tendency of the shell as it travelled along the bore on</w:t></w:r>
</w:p>
<w:p>
<w:pPr><w:pStyle w:val="Normal"/></w:pPr>
<w:r><w:t xml:space="preserve">discharge.  Mortar shell (fig. 5) were not fitted with sabots.</w:t></w:r>
</w:p>
<w:p>
<w:pPr><w:pStyle w:val="Normal"/></w:pPr>
<w:r><w:t xml:space="preserve">Cast iron held its own as the most convenient material</w:t></w:r>
</w:p>
<w:p>
<w:pPr><w:pStyle w:val="Normal"/></w:pPr>
<w:r><w:t xml:space="preserve">for projectiles up to recent years, steel supplanting it,</w:t></w:r>
</w:p>
<w:p>
<w:pPr><w:pStyle w:val="Normal"/></w:pPr>
<w:r><w:t xml:space="preserve">first for projectiles intended for piercing armour, and</w:t></w:r>
</w:p>
<w:p>
<w:pPr><w:pStyle w:val="Normal"/></w:pPr>
<w:r><w:t xml:space="preserve">afterwards for common shell for high-velocity guns where the</w:t></w:r>
</w:p>
<w:p>
<w:pPr><w:pStyle w:val="Normal"/></w:pPr>
<w:r><w:t xml:space="preserve">shock of discharge has been found too severe for cast iron.</w:t></w:r>
</w:p>
<w:p>
<w:pPr><w:pStyle w:val="Normal"/></w:pPr>
<w:r><w:t xml:space="preserve">Common shell is essentially a material destructor.  Filled</w:t></w:r>
</w:p>
<w:p>
<w:pPr><w:pStyle w:val="Normal"/></w:pPr>
<w:r><w:t xml:space="preserve">with ordinary gunpowder, the larger natures are formidable</w:t></w:r>
</w:p>
<w:p>
<w:pPr><w:pStyle w:val="Normal"/></w:pPr>
<w:r><w:t xml:space="preserve">projectiles for the attack of fortifications and the</w:t></w:r>
</w:p>
<w:p>
<w:pPr><w:pStyle w:val="Normal"/></w:pPr>
<w:r><w:t xml:space="preserve">unarmoured portions of warships.  On bursting they break up</w:t></w:r>
</w:p>
<w:p>
<w:pPr><w:pStyle w:val="Normal"/></w:pPr>
<w:r><w:t xml:space="preserve">into somewhat large pieces, which carry destruction forward</w:t></w:r>
</w:p>
<w:p>
<w:pPr><w:pStyle w:val="Normal"/></w:pPr>
<w:r><w:t xml:space="preserve">to some distance from the point of burst.  For the attack of</w:t></w:r>
</w:p>
<w:p>
<w:pPr><w:pStyle w:val="Normal"/></w:pPr>
<w:r><w:t xml:space="preserve">buildings common shell are superior to shrapnel and they are</w:t></w:r>
</w:p>
<w:p>
<w:pPr><w:pStyle w:val="Normal"/></w:pPr>
<w:r><w:t xml:space="preserve">used to attack troops posted behind cover where it is impossible</w:t></w:r>
</w:p>
<w:p>
<w:pPr><w:pStyle w:val="Normal"/></w:pPr>
<w:r><w:t xml:space="preserve">for shrapnel to reach them; their effect against troops is,</w:t></w:r>
</w:p>
<w:p>
<w:pPr><w:pStyle w:val="Normal"/></w:pPr>
<w:r><w:t xml:space="preserve">however, generally insignificant.  When filled with lyddite,</w:t></w:r>
</w:p>
<w:p>
<w:pPr><w:pStyle w:val="Normal"/></w:pPr>
<w:r><w:t xml:space="preserve">melinite, &amp;c., they are called high-explosive (H.E.) shell (see</w:t></w:r>
</w:p>
<w:p>
<w:pPr><w:pStyle w:val="Normal"/></w:pPr>
<w:r><w:t xml:space="preserve">below).  Common shell for modern high-velocity guns may</w:t></w:r>
</w:p>
<w:p>
<w:pPr><w:pStyle w:val="Normal"/></w:pPr>
<w:r><w:t xml:space="preserve">be made of cast steel or forged steel; those made of cast</w:t></w:r>
</w:p>
<w:p>
<w:pPr><w:pStyle w:val="Normal"/></w:pPr>
<w:r><w:t xml:space="preserve">iron are now generally made for practice, as they are found</w:t></w:r>
</w:p>
<w:p>
<w:pPr><w:pStyle w:val="Normal"/></w:pPr>
<w:r><w:t xml:space="preserve">to break up on impact, even against earthworks, before the</w:t></w:r>
</w:p>
<w:p>
<w:pPr><w:pStyle w:val="Normal"/></w:pPr>
<w:r><w:t xml:space="preserve">fuze has time to act; the bursting charge is, therefore, not</w:t></w:r>
</w:p>
<w:p>
<w:pPr><w:pStyle w:val="Normal"/></w:pPr>
<w:r><w:t xml:space="preserve">ignited or only ignited after the shell has broken up, the</w:t></w:r>
</w:p>
<w:p>
<w:pPr><w:pStyle w:val="Normal"/></w:pPr>
<w:r><w:t xml:space="preserve">effect of the bursting charge being lost in either case.  So</w:t></w:r>
</w:p>
<w:p>
<w:pPr><w:pStyle w:val="Normal"/></w:pPr>
<w:r><w:t xml:space="preserve">long as the shell is strong enough to resist the shocks of</w:t></w:r>
</w:p>
<w:p>
<w:pPr><w:pStyle w:val="Normal"/></w:pPr>
<w:r><w:t xml:space="preserve">discharge and impact against earth or thin steel plates, it</w:t></w:r>
</w:p>
<w:p>
<w:pPr><w:pStyle w:val="Normal"/></w:pPr>
<w:r><w:t xml:space="preserve">should be designed to contain as large a bursting charge as</w:t></w:r>
</w:p>
<w:p>
<w:pPr><w:pStyle w:val="Normal"/></w:pPr>
<w:r><w:t xml:space="preserve">possible and to break up into a large number of medium-sized</w:t></w:r>
</w:p>
<w:p>
<w:pPr><w:pStyle w:val="Normal"/></w:pPr>
<w:r><w:t xml:space="preserve">pieces.  Their effect between decks is generally more</w:t></w:r>
</w:p>
<w:p>
<w:pPr><w:pStyle w:val="Normal"/></w:pPr>
<w:r><w:t xml:space="preserve">far-reaching than lyddite shell, but the purely local effect is</w:t></w:r>
</w:p>
<w:p>
<w:pPr><w:pStyle w:val="Normal"/></w:pPr>
<w:r><w:t xml:space="preserve">less.  Light structures, which, at a short distance from the</w:t></w:r>
</w:p>
<w:p>
<w:pPr><w:pStyle w:val="Normal"/></w:pPr>
<w:r><w:t xml:space="preserve">point of burst, successfully resist lyddite shell and confine</w:t></w:r>
</w:p>
<w:p>
<w:pPr><w:pStyle w:val="Normal"/></w:pPr>
<w:r><w:t xml:space="preserve">the effect of the explosion, may be destroyed by the shower</w:t></w:r>
</w:p>
<w:p>
<w:pPr><w:pStyle w:val="Normal"/></w:pPr>
<w:r><w:t xml:space="preserve">of heavy pieces produced by the burst of a large common shell.</w:t></w:r>
</w:p>
<w:p>
<w:pPr><w:pStyle w:val="Normal"/></w:pPr>
<w:r><w:t xml:space="preserve">To prevent the premature explosion of the shell, by the</w:t></w:r>
</w:p>
<w:p>
<w:pPr><w:pStyle w:val="Normal"/></w:pPr>
<w:r><w:t xml:space="preserve">friction of the grains of powder on discharge, it is heated</w:t></w:r>
</w:p>
<w:p>
<w:pPr><w:pStyle w:val="Normal"/></w:pPr>
<w:r><w:t xml:space="preserve">and coated internally with a thick lacquer, which on cooling</w:t></w:r>
</w:p>
<w:p>
<w:pPr><w:pStyle w:val="Normal"/></w:pPr>
<w:r><w:t xml:space="preserve">presents a smooth surface.  Besides this the bursting charge</w:t></w:r>
</w:p>
<w:p>
<w:pPr><w:pStyle w:val="Normal"/></w:pPr>
<w:r><w:t xml:space="preserve">of all shell of 4-in. calibre and upwards (also with all other</w:t></w:r>
</w:p>
<w:p>
<w:pPr><w:pStyle w:val="Normal"/></w:pPr>
<w:r><w:t xml:space="preserve">natures except shrapnel) is contained in a flannel or canvas</w:t></w:r>
</w:p>
<w:p>
<w:pPr><w:pStyle w:val="Normal"/></w:pPr>
<w:r><w:t xml:space="preserve">bag.  The bag is inserted through the fuze hole and the</w:t></w:r>
</w:p>
<w:p>
<w:pPr><w:pStyle w:val="Normal"/></w:pPr>
<w:r><w:t xml:space="preserve">bursting charge of pebble and fine grain powder gradually poured</w:t></w:r>
</w:p>
<w:p>
<w:pPr><w:pStyle w:val="Normal"/></w:pPr>
<w:r><w:t xml:space="preserve">in.  The shell is tapped on the outside by a wood mallet to</w:t></w:r>
</w:p>
<w:p>
<w:pPr><w:pStyle w:val="Normal"/></w:pPr>
<w:r><w:t xml:space="preserve">settle the powder down.  When all the powder has been got</w:t></w:r>
</w:p>
<w:p>
<w:pPr><w:pStyle w:val="Normal"/></w:pPr>
<w:r><w:t xml:space="preserve">in, the neck of the bag is tied and pushed through the fuze</w:t></w:r>
</w:p>
<w:p>
<w:pPr><w:pStyle w:val="Normal"/></w:pPr>
<w:r><w:t xml:space="preserve">hole.  A few small shalloon primer bags, filled with seven</w:t></w:r>
</w:p>
<w:p>
<w:pPr><w:pStyle w:val="Normal"/></w:pPr>
<w:r><w:t xml:space="preserve">drams of fine grain powder, are then inserted to fill up the</w:t></w:r>
</w:p>
<w:p>
<w:pPr><w:pStyle w:val="Normal"/></w:pPr>
<w:r><w:t xml:space="preserve">shell and carry the flash from the fuze through the burster bag.</w:t></w:r>
</w:p>
<w:p>
<w:pPr><w:pStyle w:val="Normal"/></w:pPr>
<w:r><w:t xml:space="preserve">In the United States specially long common shell called torpedo</w:t></w:r>
</w:p>
<w:p>
<w:pPr><w:pStyle w:val="Normal"/></w:pPr>
<w:r><w:t xml:space="preserve">shell, about 4.7 calibres in length, are employed with the</w:t></w:r>
</w:p>
<w:p>
<w:pPr><w:pStyle w:val="Normal"/></w:pPr>
<w:r><w:t xml:space="preserve">coast artillery 12-in. mortars.  They were made of cast steel,</w:t></w:r>
</w:p>
<w:p>
<w:pPr><w:pStyle w:val="Normal"/></w:pPr>
<w:r><w:t xml:space="preserve">but owing to a premature explosion in a mortar, supposed to</w:t></w:r>
</w:p>
<w:p>
<w:pPr><w:pStyle w:val="Normal"/></w:pPr>
<w:r><w:t xml:space="preserve">be due to weakness of the shell, they are now made of forged</w:t></w:r>
</w:p>
<w:p>
<w:pPr><w:pStyle w:val="Normal"/></w:pPr>
<w:r><w:t xml:space="preserve">steel.  The weight of the usual projectile for this mortar is 850</w:t></w:r>
</w:p>
<w:p>
<w:pPr><w:pStyle w:val="Normal"/></w:pPr>
<w:r><w:t xml:space="preserve">lb. .  The torpedo shell, however, weighs 1000 lb.  and contains</w:t></w:r>
</w:p>
<w:p>
<w:pPr><w:pStyle w:val="Normal"/></w:pPr>
<w:r><w:t xml:space="preserve">137 lb.  of high explosive; it is not intended for piercing</w:t></w:r>
</w:p>
<w:p>
<w:pPr><w:pStyle w:val="Normal"/></w:pPr>
<w:r><w:t xml:space="preserve">armour but for producing a powerful explosion on the armoured</w:t></w:r>
</w:p>
<w:p>
<w:pPr><w:pStyle w:val="Normal"/></w:pPr>
<w:r><w:t xml:space="preserve">deck of a warship.  The compression, and consequent generation</w:t></w:r>
</w:p>
<w:p>
<w:pPr><w:pStyle w:val="Normal"/></w:pPr>
<w:r><w:t xml:space="preserve">of heat on discharge of the charge in these long shell,</w:t></w:r>
</w:p>
<w:p>
<w:pPr><w:pStyle w:val="Normal"/></w:pPr>
<w:r><w:t xml:space="preserve">render them liable to premature explosion if fired with high</w:t></w:r>
</w:p>
<w:p>
<w:pPr><w:pStyle w:val="Normal"/></w:pPr>
<w:r><w:t xml:space="preserve">velocities.  Some inventors have, therefore, sought to overcome</w:t></w:r>
</w:p>
<w:p>
<w:pPr><w:pStyle w:val="Normal"/></w:pPr>
<w:r><w:t xml:space="preserve">this by dividing the shell transversely into compartments</w:t></w:r>
</w:p>
<w:p>
<w:pPr><w:pStyle w:val="Normal"/></w:pPr>
<w:r><w:t xml:space="preserve">and so making each portion of the charge comparatively short.</w:t></w:r>
</w:p>
<w:p>
<w:pPr><w:pStyle w:val="Normal"/></w:pPr>
<w:r><w:t xml:space="preserve">Cast-steel common shell (fig. 6) are cast in sand moulds head</w:t></w:r>
</w:p>
<w:p>
<w:pPr><w:pStyle w:val="Normal"/></w:pPr>
<w:r><w:t xml:space="preserve">downwards from steel of the required composition to give the</w:t></w:r>
</w:p>
<w:p>
<w:pPr><w:pStyle w:val="Normal"/></w:pPr>
<w:r><w:t xml:space="preserve">proper tenacity.  A large head, which is subsequently removed,</w:t></w:r>
</w:p>
<w:p>
<w:pPr><w:pStyle w:val="Normal"/></w:pPr>
<w:r><w:t xml:space="preserve">is cast on the base to give solidity and soundness to the</w:t></w:r>
</w:p>
<w:p>
<w:pPr><w:pStyle w:val="Normal"/></w:pPr>
<w:r><w:t xml:space="preserve">castings.  The castings are annealed by placing them in a</w:t></w:r>
</w:p>
<w:p>
<w:pPr><w:pStyle w:val="Normal"/></w:pPr>
<w:r><w:t xml:space="preserve">furnace or oven until red hot, then allowing them to cool</w:t></w:r>
</w:p>
<w:p>
<w:pPr><w:pStyle w:val="Normal"/></w:pPr>
<w:r><w:t xml:space="preserve">gradually.  The process of casting is very similar to</w:t></w:r>
</w:p>
<w:p>
<w:pPr><w:pStyle w:val="Normal"/></w:pPr>
<w:r><w:t xml:space="preserve">that for the old cast-iron common shell, which, however,</w:t></w:r>
</w:p>
<w:p>
<w:pPr><w:pStyle w:val="Normal"/></w:pPr>
<w:r><w:t xml:space="preserve">were cast base downwards.  The steel castings after being</w:t></w:r>
</w:p>
<w:p>
<w:pPr><w:pStyle w:val="Normal"/></w:pPr>
<w:r><w:t xml:space="preserve">annealed are dressed and carefully examined for defects.</w:t></w:r>
</w:p>
<w:p>
<w:pPr><w:pStyle w:val="Normal"/></w:pPr>
<w:r><w:t xml:space="preserve">The exterior of the body is generally ground by an emery</w:t></w:r>
</w:p>
<w:p>
<w:pPr><w:pStyle w:val="Normal"/></w:pPr>
<w:r><w:t xml:space="preserve">wheel or turned in a lathe; the groove for the driving band</w:t></w:r>
</w:p>
<w:p>
<w:pPr><w:pStyle w:val="Normal"/></w:pPr>
<w:r><w:t xml:space="preserve">is also turned and the fuze hole fitted with a gun-metal</w:t></w:r>
</w:p>
<w:p>
<w:pPr><w:pStyle w:val="Normal"/></w:pPr>
<w:r><w:t xml:space="preserve">bush.  Forged-steel common shell are made from solid steel</w:t></w:r>
</w:p>
<w:p>
<w:pPr><w:pStyle w:val="Normal"/></w:pPr>
<w:r><w:t xml:space="preserve">billets.  These are heated to redness and shaped by a series</w:t></w:r>
</w:p>
<w:p>
<w:pPr><w:pStyle w:val="Normal"/></w:pPr>
<w:r><w:t xml:space="preserve">of punches which force the heated metal through steel dies</w:t></w:r>
</w:p>
<w:p>
<w:pPr><w:pStyle w:val="Normal"/></w:pPr>
<w:r><w:t xml:space="preserve">by hydraulic pressure.  If the shell is intended for a</w:t></w:r>
</w:p>
<w:p>
<w:pPr><w:pStyle w:val="Normal"/></w:pPr>
<w:r><w:t xml:space="preserve">nose fuze the base end is shaped by the press and the head</w:t></w:r>
</w:p>
<w:p>
<w:pPr><w:pStyle w:val="Normal"/></w:pPr>
<w:r><w:t xml:space="preserve">subsequently formed by a properly shaped die, or, in the case</w:t></w:r>
</w:p>
<w:p>
<w:pPr><w:pStyle w:val="Normal"/></w:pPr>
<w:r><w:t xml:space="preserve">of small shell, the head can, when red hot, be spun up in a</w:t></w:r>
</w:p>
<w:p>
<w:pPr><w:pStyle w:val="Normal"/></w:pPr>
<w:r><w:t xml:space="preserve">lathe by a properly formed tool.  For a base fuze shell the</w:t></w:r>
</w:p>
<w:p>
<w:pPr><w:pStyle w:val="Normal"/></w:pPr>
<w:r><w:t xml:space="preserve">head is produced by the punches and dies, and the base is</w:t></w:r>
</w:p>
<w:p>
<w:pPr><w:pStyle w:val="Normal"/></w:pPr>
<w:r><w:t xml:space="preserve">subsequently formed by pressing in the metal to the desired</w:t></w:r>
</w:p>
<w:p>
<w:pPr><w:pStyle w:val="Normal"/></w:pPr>
<w:r><w:t xml:space="preserve">shape.  The shell is then completed as described above.</w:t></w:r>
</w:p>
<w:p>
<w:pPr><w:pStyle w:val="Normal"/></w:pPr>
<w:r><w:t xml:space="preserve">High-explosive shell (fig. 7), as used in the English service,</w:t></w:r>
</w:p>
<w:p>
<w:pPr><w:pStyle w:val="Normal"/></w:pPr>
<w:r><w:t xml:space="preserve">are simply forged-steel common shell filled with lyddite and</w:t></w:r>
</w:p>
<w:p>
<w:pPr><w:pStyle w:val="Normal"/></w:pPr>
<w:r><w:t xml:space="preserve">having a special nose fuze and exploder.  The base end of</w:t></w:r>
</w:p>
<w:p>
<w:pPr><w:pStyle w:val="Normal"/></w:pPr>
<w:r><w:t xml:space="preserve">lyddite shell is made solid to prevent the possibility of the</w:t></w:r>
</w:p>
<w:p>
<w:pPr><w:pStyle w:val="Normal"/></w:pPr>
<w:r><w:t xml:space="preserve">gas pressure in the gun producing a premature explosion.  In</w:t></w:r>
</w:p>
<w:p>
<w:pPr><w:pStyle w:val="Normal"/></w:pPr>
<w:r><w:t xml:space="preserve">filling the shell great precautions are necessary to prevent</w:t></w:r>
</w:p>
<w:p>
<w:pPr><w:pStyle w:val="Normal"/></w:pPr>
<w:r><w:t xml:space="preserve">the melted lyddite (picric acid) from coming in contact with</w:t></w:r>
</w:p>
<w:p>
<w:pPr><w:pStyle w:val="Normal"/></w:pPr>
<w:r><w:t xml:space="preserve">certain materials such as combinations of lead, soda, &amp;c.,</w:t></w:r>
</w:p>
<w:p>
<w:pPr><w:pStyle w:val="Normal"/></w:pPr>
<w:r><w:t xml:space="preserve">which produce sensitive picrates.  The shell are consequently</w:t></w:r>
</w:p>
<w:p>
<w:pPr><w:pStyle w:val="Normal"/></w:pPr>
<w:r><w:t xml:space="preserve">painted externally with a special non-lead paint and lacquered</w:t></w:r>
</w:p>
<w:p>
<w:pPr><w:pStyle w:val="Normal"/></w:pPr>
<w:r><w:t xml:space="preserve">inside with special lacquer.  The picric acid is melted in an</w:t></w:r>
</w:p>
<w:p>
<w:pPr><w:pStyle w:val="Normal"/></w:pPr>
<w:r><w:t xml:space="preserve">oven, the temperature being carefully limited.  The melted</w:t></w:r>
</w:p>
<w:p>
<w:pPr><w:pStyle w:val="Normal"/></w:pPr>
<w:r><w:t xml:space="preserve">material is poured into the shell by means of a bronze</w:t></w:r>
</w:p>
<w:p>
<w:pPr><w:pStyle w:val="Normal"/></w:pPr>
<w:r><w:t xml:space="preserve">funnel, which also forms the space for the exploder of picric</w:t></w:r>
</w:p>
<w:p>
<w:pPr><w:pStyle w:val="Normal"/></w:pPr>
<w:r><w:t xml:space="preserve">powder.  On cooling, the material solidifies into a dense, hard</w:t></w:r>
</w:p>
<w:p>
<w:pPr><w:pStyle w:val="Normal"/></w:pPr>
<w:r><w:t xml:space="preserve">mass (density 1.6), in which state it is called lyddite.</w:t></w:r>
</w:p>
<w:p>
<w:pPr><w:pStyle w:val="Normal"/></w:pPr>
<w:r><w:t xml:space="preserve">The fuze on striking ignites the exploder and in turn the</w:t></w:r>
</w:p>
<w:p>
<w:pPr><w:pStyle w:val="Normal"/></w:pPr>
<w:r><w:t xml:space="preserve">lyddite.  When properly detonated a dense black smoke is</w:t></w:r>
</w:p>
<w:p>
<w:pPr><w:pStyle w:val="Normal"/></w:pPr>
<w:r><w:t xml:space="preserve">produced and the projectile is broken up into small pieces,</w:t></w:r>
</w:p>
<w:p>
<w:pPr><w:pStyle w:val="Normal"/></w:pPr>
<w:r><w:t xml:space="preserve">some of which are almost of the fineness of grains of sand.</w:t></w:r>
</w:p>
<w:p>
<w:pPr><w:pStyle w:val="Normal"/></w:pPr>
<w:r><w:t xml:space="preserve">The radius of the explosion is about 25 yds., but the local</w:t></w:r>
</w:p>
<w:p>
<w:pPr><w:pStyle w:val="Normal"/></w:pPr>
<w:r><w:t xml:space="preserve">effect is intense, and hence on light structures in a confined</w:t></w:r>
</w:p>
<w:p>
<w:pPr><w:pStyle w:val="Normal"/></w:pPr>
<w:r><w:t xml:space="preserve">space the destruction is complete.  The shell is only of use</w:t></w:r>
</w:p>
<w:p>
<w:pPr><w:pStyle w:val="Normal"/></w:pPr>
<w:r><w:t xml:space="preserve">against thin plates; against modern armour it is ineffective.</w:t></w:r>
</w:p>
<w:p>
<w:pPr><w:pStyle w:val="Normal"/></w:pPr>
<w:r><w:t xml:space="preserve">When detonation has not been complete, as sometimes happens</w:t></w:r>
</w:p>
<w:p>
<w:pPr><w:pStyle w:val="Normal"/></w:pPr>
<w:r><w:t xml:space="preserve">with small shells, the smoke is yellowish and the pieces of the</w:t></w:r>
</w:p>
<w:p>
<w:pPr><w:pStyle w:val="Normal"/></w:pPr>
<w:r><w:t xml:space="preserve">exploded shell are as large as when a powder burster is used.</w:t></w:r>
</w:p>
<w:p>
<w:pPr><w:pStyle w:val="Normal"/></w:pPr>
<w:r><w:t xml:space="preserve">The French high-explosive shell obus torpille or obus</w:t></w:r>
</w:p>
<w:p>
<w:pPr><w:pStyle w:val="Normal"/></w:pPr>
<w:r><w:t xml:space="preserve">a melinite was adopted in 1886.  The melinite was</w:t></w:r>
</w:p>
<w:p>
<w:pPr><w:pStyle w:val="Normal"/></w:pPr>
<w:r><w:t xml:space="preserve">originally filled into the ordinary cast-iron common shell</w:t></w:r>
</w:p>
<w:p>
<w:pPr><w:pStyle w:val="Normal"/></w:pPr>
<w:r><w:t xml:space="preserve">(obus ordinaire) with thick walls, but soon afterwards a</w:t></w:r>
</w:p>
<w:p>
<w:pPr><w:pStyle w:val="Normal"/></w:pPr>
<w:r><w:t xml:space="preserve">forged-steel thin-walled shell (obus allonge) was introduced.</w:t></w:r>
</w:p>
<w:p>
<w:pPr><w:pStyle w:val="Normal"/></w:pPr>
<w:r><w:t xml:space="preserve">To explode the shell a steel receptacle (called a gaine) is</w:t></w:r>
</w:p>
<w:p>
<w:pPr><w:pStyle w:val="Normal"/></w:pPr>
<w:r><w:t xml:space="preserve">screwed into the nose of the shell.  It is filled with explosive</w:t></w:r>
</w:p>
<w:p>
<w:pPr><w:pStyle w:val="Normal"/></w:pPr>
<w:r><w:t xml:space="preserve">and fitted with a detonator which is exploded by a percussion</w:t></w:r>
</w:p>
<w:p>
<w:pPr><w:pStyle w:val="Normal"/></w:pPr>
<w:r><w:t xml:space="preserve">fuze.  Except for the means adopted to ensure detonation</w:t></w:r>
</w:p>
<w:p>
<w:pPr><w:pStyle w:val="Normal"/></w:pPr>
<w:r><w:t xml:space="preserve">this shell is practically the same as the lyddite shell.</w:t></w:r>
</w:p>
<w:p>
<w:pPr><w:pStyle w:val="Normal"/></w:pPr>
<w:r><w:t xml:space="preserve">Picric acid in some form or other is used in nearly all</w:t></w:r>
</w:p>
<w:p>
<w:pPr><w:pStyle w:val="Normal"/></w:pPr>
<w:r><w:t xml:space="preserve">countries for filling high-explosive shell.  In some the</w:t></w:r>
</w:p>
<w:p>
<w:pPr><w:pStyle w:val="Normal"/></w:pPr>
<w:r><w:t xml:space="preserve">explosive is melted and poured into cardboard cases instead</w:t></w:r>
</w:p>
<w:p>
<w:pPr><w:pStyle w:val="Normal"/></w:pPr>
<w:r><w:t xml:space="preserve">of being poured directly into the shell.  The cases are placed</w:t></w:r>
</w:p>
<w:p>
<w:pPr><w:pStyle w:val="Normal"/></w:pPr>
<w:r><w:t xml:space="preserve">in the shell either by the head of the shell unscrewing from</w:t></w:r>
</w:p>
<w:p>
<w:pPr><w:pStyle w:val="Normal"/></w:pPr>
<w:r><w:t xml:space="preserve">the body or by a removable base plug.  The French melinite</w:t></w:r>
</w:p>
<w:p>
<w:pPr><w:pStyle w:val="Normal"/></w:pPr>
<w:r><w:t xml:space="preserve">and the Italian pertite are believed to be forms of picric</w:t></w:r>
</w:p>
<w:p>
<w:pPr><w:pStyle w:val="Normal"/></w:pPr>
<w:r><w:t xml:space="preserve">acid.  Russia and the United States use compressed wet gun-cotton</w:t></w:r>
</w:p>
<w:p>
<w:pPr><w:pStyle w:val="Normal"/></w:pPr>
<w:r><w:t xml:space="preserve">(density 1.2) as the charge for their high-explosive shell.</w:t></w:r>
</w:p>
<w:p>
<w:pPr><w:pStyle w:val="Normal"/></w:pPr>
<w:r><w:t xml:space="preserve">The gun-cotton is packed in a thin zinc or copper case and is</w:t></w:r>
</w:p>
<w:p>
<w:pPr><w:pStyle w:val="Normal"/></w:pPr>
<w:r><w:t xml:space="preserve">placed in the shell either by the head or base of the shell being</w:t></w:r>
</w:p>
<w:p>
<w:pPr><w:pStyle w:val="Normal"/></w:pPr>
<w:r><w:t xml:space="preserve">removable.  The gun-cotton is detonated by a powerful exploder,</w:t></w:r>
</w:p>
<w:p>
<w:pPr><w:pStyle w:val="Normal"/></w:pPr>
<w:r><w:t xml:space="preserve">the form of which differs in each country.  Ammonal is also</w:t></w:r>
</w:p>
<w:p>
<w:pPr><w:pStyle w:val="Normal"/></w:pPr>
<w:r><w:t xml:space="preserve">used in high-explosive shell, but owing to its light density</w:t></w:r>
</w:p>
<w:p>
<w:pPr><w:pStyle w:val="Normal"/></w:pPr>
<w:r><w:t xml:space="preserve">it is not in great favour.  For field-gun and other small</w:t></w:r>
</w:p>
<w:p>
<w:pPr><w:pStyle w:val="Normal"/></w:pPr>
<w:r><w:t xml:space="preserve">high-explosive shells, ordinary smokeless powder is often used.</w:t></w:r>
</w:p>
<w:p>
<w:pPr><w:pStyle w:val="Normal"/></w:pPr>
<w:r><w:t xml:space="preserve">Double shell is a term given to a common shell which was</w:t></w:r>
</w:p>
<w:p>
<w:pPr><w:pStyle w:val="Normal"/></w:pPr>
<w:r><w:t xml:space="preserve">made abnormally long, so as to receive a large bursting</w:t></w:r>
</w:p>
<w:p>
<w:pPr><w:pStyle w:val="Normal"/></w:pPr>
<w:r><w:t xml:space="preserve">charge.  They were intended to be fired with a reduced charge</w:t></w:r>
</w:p>
<w:p>
<w:pPr><w:pStyle w:val="Normal"/></w:pPr>
<w:r><w:t xml:space="preserve">at short range.  They are now practically obsolete; their</w:t></w:r>
</w:p>
<w:p>
<w:pPr><w:pStyle w:val="Normal"/></w:pPr>
<w:r><w:t xml:space="preserve">place with modern B.L. guns has been taken by high-explosive</w:t></w:r>
</w:p>
<w:p>
<w:pPr><w:pStyle w:val="Normal"/></w:pPr>
<w:r><w:t xml:space="preserve">shell. Star shell are intended for illuminating the enemy&apos;s</w:t></w:r>
</w:p>
<w:p>
<w:pPr><w:pStyle w:val="Normal"/></w:pPr>
<w:r><w:t xml:space="preserve">position.  They are very similar to shrapnel shell,</w:t></w:r>
</w:p>
<w:p>
<w:pPr><w:pStyle w:val="Normal"/></w:pPr>
<w:r><w:t xml:space="preserve">composition stars made up in cylindrical paper cases taking</w:t></w:r>
</w:p>
<w:p>
<w:pPr><w:pStyle w:val="Normal"/></w:pPr>
<w:r><w:t xml:space="preserve">the place of the bullets.  The shell on bursting, blows</w:t></w:r>
</w:p>
<w:p>
<w:pPr><w:pStyle w:val="Normal"/></w:pPr>
<w:r><w:t xml:space="preserve">off the head and scatters the ignited stars.  This shell</w:t></w:r>
</w:p>
<w:p>
<w:pPr><w:pStyle w:val="Normal"/></w:pPr>
<w:r><w:t xml:space="preserve">is only supplied to mountain guns and howitzers, and takes</w:t></w:r>
</w:p>
<w:p>
<w:pPr><w:pStyle w:val="Normal"/></w:pPr>
<w:r><w:t xml:space="preserve">the place of the older types of illuminating shell, viz.</w:t></w:r>
</w:p>
<w:p>
<w:pPr><w:pStyle w:val="Normal"/></w:pPr>
<w:r><w:t xml:space="preserve">the ground light ball and the parachute light ball.</w:t></w:r>
</w:p>
<w:p>
<w:pPr><w:pStyle w:val="Normal"/></w:pPr>
<w:r><w:t xml:space="preserve">Hand grenades were used at the assault of entrenchments or</w:t></w:r>
</w:p>
<w:p>
<w:pPr><w:pStyle w:val="Normal"/></w:pPr>
<w:r><w:t xml:space="preserve">in boat attacks.  Although generally regarded as obsolete, they</w:t></w:r>
</w:p>
<w:p>
<w:pPr><w:pStyle w:val="Normal"/></w:pPr>
<w:r><w:t xml:space="preserve">were much used by the Japanese at the siege of Port Arthur,</w:t></w:r>
</w:p>
<w:p>
<w:pPr><w:pStyle w:val="Normal"/></w:pPr>
<w:r><w:t xml:space="preserve">1904.  In the British service they were small, thin, spherical</w:t></w:r>
</w:p>
<w:p>
<w:pPr><w:pStyle w:val="Normal"/></w:pPr>
<w:r><w:t xml:space="preserve">common shell weighing 3 lb.  for land service and 6 lb.  for sea</w:t></w:r>
</w:p>
<w:p>
<w:pPr><w:pStyle w:val="Normal"/></w:pPr>
<w:r><w:t xml:space="preserve">service, filled with powder.  They were fitted with a small</w:t></w:r>
</w:p>
<w:p>
<w:pPr><w:pStyle w:val="Normal"/></w:pPr>
<w:r><w:t xml:space="preserve">wood time fuze to burn 7.5 seconds.  The grenade was held in the</w:t></w:r>
</w:p>
<w:p>
<w:pPr><w:pStyle w:val="Normal"/></w:pPr>
<w:r><w:t xml:space="preserve">hand and the fuze lighted by a port-fire.  It was then thrown</w:t></w:r>
</w:p>
<w:p>
<w:pPr><w:pStyle w:val="Normal"/></w:pPr>
<w:r><w:t xml:space="preserve">some 20 to 30 yds. at the enemy&apos;s works or boats.  Sometimes a</w:t></w:r>
</w:p>
<w:p>
<w:pPr><w:pStyle w:val="Normal"/></w:pPr>
<w:r><w:t xml:space="preserve">number were fired from a mortar at an elevation of about 30 deg.</w:t></w:r>
</w:p>
<w:p>
<w:pPr><w:pStyle w:val="Normal"/></w:pPr>
<w:r><w:t xml:space="preserve">so that none should strike the ground too near the mortar.</w:t></w:r>
</w:p>
<w:p>
<w:pPr><w:pStyle w:val="Normal"/></w:pPr>
<w:r><w:t xml:space="preserve">New types of grenades filled with high explosives detonated by</w:t></w:r>
</w:p>
<w:p>
<w:pPr><w:pStyle w:val="Normal"/></w:pPr>
<w:r><w:t xml:space="preserve">a percussion fuze have been produced of late years, and it is</w:t></w:r>
</w:p>
<w:p>
<w:pPr><w:pStyle w:val="Normal"/></w:pPr>
<w:r><w:t xml:space="preserve">probable that they will be again introduced into most countries.</w:t></w:r>
</w:p>
<w:p>
<w:pPr><w:pStyle w:val="Normal"/></w:pPr>
<w:r><w:t xml:space="preserve">Shrapnel shell were invented by Lieutenant (afterwards</w:t></w:r>
</w:p>
<w:p>
<w:pPr><w:pStyle w:val="Normal"/></w:pPr>
<w:r><w:t xml:space="preserve">Lieutenant- General) Henry Shrapnel, R.A. (1761-1842), in</w:t></w:r>
</w:p>
<w:p>
<w:pPr><w:pStyle w:val="Normal"/></w:pPr>
<w:r><w:t xml:space="preserve">1784.  They were spherical common shell with lead bullets</w:t></w:r>
</w:p>
<w:p>
<w:pPr><w:pStyle w:val="Normal"/></w:pPr>
<w:r><w:t xml:space="preserve">mixed with the bursting charge.  Although far superior to</w:t></w:r>
</w:p>
<w:p>
<w:pPr><w:pStyle w:val="Normal"/></w:pPr>
<w:r><w:t xml:space="preserve">common shell in man-killing effect, their action was not</w:t></w:r>
</w:p>
<w:p>
<w:pPr><w:pStyle w:val="Normal"/></w:pPr>
<w:r><w:t xml:space="preserve">altogether satisfactory, as the shell on bursting projected</w:t></w:r>
</w:p>
<w:p>
<w:pPr><w:pStyle w:val="Normal"/></w:pPr>
<w:r><w:t xml:space="preserve">the bullets in all directions, and there was a liability</w:t></w:r>
</w:p>
<w:p>
<w:pPr><w:pStyle w:val="Normal"/></w:pPr>
<w:r><w:t xml:space="preserve">of premature explosion.  In order to overcome these</w:t></w:r>
</w:p>
<w:p>
<w:pPr><w:pStyle w:val="Normal"/></w:pPr>
<w:r><w:t xml:space="preserve">defects Colonel Boxer, R.A., separated the bullets from the</w:t></w:r>
</w:p>
<w:p>
<w:pPr><w:pStyle w:val="Normal"/></w:pPr>
<w:r><w:t xml:space="preserve">bursting charge by a sheet-iron diaphragm--hence the name</w:t></w:r>
</w:p>
<w:p>
<w:pPr><w:pStyle w:val="Normal"/></w:pPr>
<w:r><w:t xml:space="preserve">of &quot;diaphragm shell&quot; (fig. 8). The bullets were hardened by</w:t></w:r>
</w:p>
<w:p>
<w:pPr><w:pStyle w:val="Normal"/></w:pPr>
<w:r><w:t xml:space="preserve">the addition of antimony, and, as the bursting charge was</w:t></w:r>
</w:p>
<w:p>
<w:pPr><w:pStyle w:val="Normal"/></w:pPr>
<w:r><w:t xml:space="preserve">small, the shell was weakened by four grooves made inside</w:t></w:r>
</w:p>
<w:p>
<w:pPr><w:pStyle w:val="Normal"/></w:pPr>
<w:r><w:t xml:space="preserve">the shell extending from the fuze hole to the opposite side.</w:t></w:r>
</w:p>
<w:p>
<w:pPr><w:pStyle w:val="Normal"/></w:pPr>
<w:r><w:t xml:space="preserve">With rifled guns the form of the shell altered, but its character</w:t></w:r>
</w:p>
<w:p>
<w:pPr><w:pStyle w:val="Normal"/></w:pPr>
<w:r><w:t xml:space="preserve">remained.  The body of the shell was still made of cast iron</w:t></w:r>
</w:p>
<w:p>
<w:pPr><w:pStyle w:val="Normal"/></w:pPr>
<w:r><w:t xml:space="preserve">with a cavity at the base for the bursting charge; on this</w:t></w:r>
</w:p>
<w:p>
<w:pPr><w:pStyle w:val="Normal"/></w:pPr>
<w:r><w:t xml:space="preserve">was placed a thick steel diaphragm with a hollow brass tube</w:t></w:r>
</w:p>
<w:p>
<w:pPr><w:pStyle w:val="Normal"/></w:pPr>
<w:r><w:t xml:space="preserve">which communicated the flash from the nose fuze to the bursting</w:t></w:r>
</w:p>
<w:p>
<w:pPr><w:pStyle w:val="Normal"/></w:pPr>
<w:r><w:t xml:space="preserve">charge.  The body was filled with hard lead bullets, and</w:t></w:r>
</w:p>
<w:p>
<w:pPr><w:pStyle w:val="Normal"/></w:pPr>
<w:r><w:t xml:space="preserve">a wood head covered with sheet iron or steel surmounted it</w:t></w:r>
</w:p>
<w:p>
<w:pPr><w:pStyle w:val="Normal"/></w:pPr>
<w:r><w:t xml:space="preserve">and carried the fuze.  By making the body of toughened steel</w:t></w:r>
</w:p>
<w:p>
<w:pPr><w:pStyle w:val="Normal"/></w:pPr>
<w:r><w:t xml:space="preserve">(fig. 9) and by slightly reducing the diameter of the bullets,</w:t></w:r>
</w:p>
<w:p>
<w:pPr><w:pStyle w:val="Normal"/></w:pPr>
<w:r><w:t xml:space="preserve">the number of bullets contained was much increased.  In the</w:t></w:r>
</w:p>
<w:p>
<w:pPr><w:pStyle w:val="Normal"/></w:pPr>
<w:r><w:t xml:space="preserve">older field shrapnel, bullets of 18 and 34 to the lb.  were</w:t></w:r>
</w:p>
<w:p>
<w:pPr><w:pStyle w:val="Normal"/></w:pPr>
<w:r><w:t xml:space="preserve">used; for later patterns see table in ORDNANCE: Field</w:t></w:r>
</w:p>
<w:p>
<w:pPr><w:pStyle w:val="Normal"/></w:pPr>
<w:r><w:t xml:space="preserve">Equipments.  Thus with the cast-iron body the percentage</w:t></w:r>
</w:p>
<w:p>
<w:pPr><w:pStyle w:val="Normal"/></w:pPr>
<w:r><w:t xml:space="preserve">of useful weight, i.e. the proportion of the weight of</w:t></w:r>
</w:p>
<w:p>
<w:pPr><w:pStyle w:val="Normal"/></w:pPr>
<w:r><w:t xml:space="preserve">the bullets to the total weight of the shell, was from 26 to</w:t></w:r>
</w:p>
<w:p>
<w:pPr><w:pStyle w:val="Normal"/></w:pPr>
<w:r><w:t xml:space="preserve">28%, while with modern steel shell it is from 47 to 53%. The</w:t></w:r>
</w:p>
<w:p>
<w:pPr><w:pStyle w:val="Normal"/></w:pPr>
<w:r><w:t xml:space="preserve">limit of the forward effect of shrapnel at effective range</w:t></w:r>
</w:p>
<w:p>
<w:pPr><w:pStyle w:val="Normal"/></w:pPr>
<w:r><w:t xml:space="preserve">is about 300 yds. and the extent of front covered 25 yds.</w:t></w:r>
</w:p>
<w:p>
<w:pPr><w:pStyle w:val="Normal"/></w:pPr>
<w:r><w:t xml:space="preserve">[Fig. 10 shows in plan the different effects of (a) shrapnel</w:t></w:r>
</w:p>
<w:p>
<w:pPr><w:pStyle w:val="Normal"/></w:pPr>
<w:r><w:t xml:space="preserve">and of (b) high-explosive, burst in the air with a time</w:t></w:r>
</w:p>
<w:p>
<w:pPr><w:pStyle w:val="Normal"/></w:pPr>
<w:r><w:t xml:space="preserve">fuze in the usual way.  It will be seen that the shrapnel</w:t></w:r>
</w:p>
<w:p>
<w:pPr><w:pStyle w:val="Normal"/></w:pPr>
<w:r><w:t xml:space="preserve">bullets sweep an area of about 250 yds. by 30 yds., half</w:t></w:r>
</w:p>
<w:p>
<w:pPr><w:pStyle w:val="Normal"/></w:pPr>
<w:r><w:t xml:space="preserve">the bullets falling on the first 50 yds. of the beaten</w:t></w:r>
</w:p>
<w:p>
<w:pPr><w:pStyle w:val="Normal"/></w:pPr>
<w:r><w:t xml:space="preserve">zone.  With the high-explosive shell, however, the fragments</w:t></w:r>
</w:p>
<w:p>
<w:pPr><w:pStyle w:val="Normal"/></w:pPr>
<w:r><w:t xml:space="preserve">strike the ground closer to the point of burst and beat a</w:t></w:r>
</w:p>
<w:p>
<w:pPr><w:pStyle w:val="Normal"/></w:pPr>
<w:r><w:t xml:space="preserve">shallow, but broad, area of ground (about 7 yds. by 55</w:t></w:r>
</w:p>
<w:p>
<w:pPr><w:pStyle w:val="Normal"/></w:pPr>
<w:r><w:t xml:space="preserve">yds.).  These areas show the calculated performance of</w:t></w:r>
</w:p>
<w:p>
<w:pPr><w:pStyle w:val="Normal"/></w:pPr>
<w:r><w:t xml:space="preserve">the German field gun (96 N.A.), firing at a range of 3300</w:t></w:r>
</w:p>
<w:p>
<w:pPr><w:pStyle w:val="Normal"/></w:pPr>
<w:r><w:t xml:space="preserve">yds.  In the case of the high- explosive shell, the</w:t></w:r>
</w:p>
<w:p>
<w:pPr><w:pStyle w:val="Normal"/></w:pPr>
<w:r><w:t xml:space="preserve">concussion of the burst is highly dangerous, quite apart</w:t></w:r>
</w:p>
<w:p>
<w:pPr><w:pStyle w:val="Normal"/></w:pPr>
<w:r><w:t xml:space="preserve">from the actual distribution of the fragments of the shell.]</w:t></w:r>
</w:p>
<w:p>
<w:pPr><w:pStyle w:val="Normal"/></w:pPr>
<w:r><w:t xml:space="preserve">The term &quot;shooting shrapnel&quot; is given to certain</w:t></w:r>
</w:p>
<w:p>
<w:pPr><w:pStyle w:val="Normal"/></w:pPr>
<w:r><w:t xml:space="preserve">howitzer shrapnel, which are designed to contain a large</w:t></w:r>
</w:p>
<w:p>
<w:pPr><w:pStyle w:val="Normal"/></w:pPr>
<w:r><w:t xml:space="preserve">bursting charge for the purpose of considerably augmenting</w:t></w:r>
</w:p>
<w:p>
<w:pPr><w:pStyle w:val="Normal"/></w:pPr>
<w:r><w:t xml:space="preserve">the velocity of the bullets when the shell bursts.</w:t></w:r>
</w:p>
<w:p>
<w:pPr><w:pStyle w:val="Normal"/></w:pPr>
<w:r><w:t xml:space="preserve">High-explosive shell of a compound type have also lately</w:t></w:r>
</w:p>
<w:p>
<w:pPr><w:pStyle w:val="Normal"/></w:pPr>
<w:r><w:t xml:space="preserve">appeared.  Messrs Krupp have made a kind of ring shell with</w:t></w:r>
</w:p>
<w:p>
<w:pPr><w:pStyle w:val="Normal"/></w:pPr>
<w:r><w:t xml:space="preserve">a steel body; a central tube conveys the flash from the</w:t></w:r>
</w:p>
<w:p>
<w:pPr><w:pStyle w:val="Normal"/></w:pPr>
<w:r><w:t xml:space="preserve">fuze to a base magazine containing a smoke-producing charge,</w:t></w:r>
</w:p>
<w:p>
<w:pPr><w:pStyle w:val="Normal"/></w:pPr>
<w:r><w:t xml:space="preserve">while surrounding the central tube is a bursting charge of</w:t></w:r>
</w:p>
<w:p>
<w:pPr><w:pStyle w:val="Normal"/></w:pPr>
<w:r><w:t xml:space="preserve">ordinary smokeless nitro-powder.  A shrapnel on somewhat</w:t></w:r>
</w:p>
<w:p>
<w:pPr><w:pStyle w:val="Normal"/></w:pPr>
<w:r><w:t xml:space="preserve">similar lines has been made by Ehrhardt; in form (fig. 11) it</w:t></w:r>
</w:p>
<w:p>
<w:pPr><w:pStyle w:val="Normal"/></w:pPr>
<w:r><w:t xml:space="preserve">is an ordinary shrapnel with base burster, but near the head</w:t></w:r>
</w:p>
<w:p>
<w:pPr><w:pStyle w:val="Normal"/></w:pPr>
<w:r><w:t xml:space="preserve">is a second magazine filled with a high-explosive charge;</w:t></w:r>
</w:p>
<w:p>
<w:pPr><w:pStyle w:val="Normal"/></w:pPr>
<w:r><w:t xml:space="preserve">this is attached to the end of the fuze and is so arranged</w:t></w:r>
</w:p>
<w:p>
<w:pPr><w:pStyle w:val="Normal"/></w:pPr>
<w:r><w:t xml:space="preserve">that when the shell is burst as time shrapnel the flash</w:t></w:r>
</w:p>
<w:p>
<w:pPr><w:pStyle w:val="Normal"/></w:pPr>
<w:r><w:t xml:space="preserve">from the fuze passes clear of the high-explosive magazine</w:t></w:r>
</w:p>
<w:p>
<w:pPr><w:pStyle w:val="Normal"/></w:pPr>
<w:r><w:t xml:space="preserve">and ignites only the base magazine, the bullets being blown</w:t></w:r>
</w:p>
<w:p>
<w:pPr><w:pStyle w:val="Normal"/></w:pPr>
<w:r><w:t xml:space="preserve">out in the usual manner.  When, however, the fuze acts on</w:t></w:r>
</w:p>
<w:p>
<w:pPr><w:pStyle w:val="Normal"/></w:pPr>
<w:r><w:t xml:space="preserve">graze, the percussion part detonates the high-explosive</w:t></w:r>
</w:p>
<w:p>
<w:pPr><w:pStyle w:val="Normal"/></w:pPr>
<w:r><w:t xml:space="preserve">charge and the bullets are blown out sideways and thus reach</w:t></w:r>
</w:p>
<w:p>
<w:pPr><w:pStyle w:val="Normal"/></w:pPr>
<w:r><w:t xml:space="preserve">men behind shields, &amp;c. (fig. 10). There is some loss of</w:t></w:r>
</w:p>
<w:p>
<w:pPr><w:pStyle w:val="Normal"/></w:pPr>
<w:r><w:t xml:space="preserve">bullet capacity in this shell, and it appears likely that the</w:t></w:r>
</w:p>
<w:p>
<w:pPr><w:pStyle w:val="Normal"/></w:pPr>
<w:r><w:t xml:space="preserve">bullets will be materially deformed when detonation occurs;</w:t></w:r>
</w:p>
<w:p>
<w:pPr><w:pStyle w:val="Normal"/></w:pPr>
<w:r><w:t xml:space="preserve">the advantages may, however, counterbalance their objections.</w:t></w:r>
</w:p>
<w:p>
<w:pPr><w:pStyle w:val="Normal"/></w:pPr>
<w:r><w:t xml:space="preserve">Segment and ring shell are varieties of shrapnel, the</w:t></w:r>
</w:p>
<w:p>
<w:pPr><w:pStyle w:val="Normal"/></w:pPr>
<w:r><w:t xml:space="preserve">interior of the shell being built up of cast-iron segments</w:t></w:r>
</w:p>
<w:p>
<w:pPr><w:pStyle w:val="Normal"/></w:pPr>
<w:r><w:t xml:space="preserve">or rings (which break up into segments) about a tinned-iron</w:t></w:r>
</w:p>
<w:p>
<w:pPr><w:pStyle w:val="Normal"/></w:pPr>
<w:r><w:t xml:space="preserve">cylinder which formed the magazine of the shell.  The shell</w:t></w:r>
</w:p>
<w:p>
<w:pPr><w:pStyle w:val="Normal"/></w:pPr>
<w:r><w:t xml:space="preserve">was completed by a cast-iron body formed around the segments or</w:t></w:r>
</w:p>
<w:p>
<w:pPr><w:pStyle w:val="Normal"/></w:pPr>
<w:r><w:t xml:space="preserve">rings.  The German army in 1870 employed ring shell almost</w:t></w:r>
</w:p>
<w:p>
<w:pPr><w:pStyle w:val="Normal"/></w:pPr>
<w:r><w:t xml:space="preserve">exclusively against the French.  The French found that common</w:t></w:r>
</w:p>
<w:p>
<w:pPr><w:pStyle w:val="Normal"/></w:pPr>
<w:r><w:t xml:space="preserve">shell (obus ordinaire) when made of cast iron broke up on</w:t></w:r>
</w:p>
<w:p>
<w:pPr><w:pStyle w:val="Normal"/></w:pPr>
<w:r><w:t xml:space="preserve">bursting into a small number of irregularly shaped pieces, and</w:t></w:r>
</w:p>
<w:p>
<w:pPr><w:pStyle w:val="Normal"/></w:pPr>
<w:r><w:t xml:space="preserve">in order to obtain a systematic fragmentation for small shells</w:t></w:r>
</w:p>
<w:p>
<w:pPr><w:pStyle w:val="Normal"/></w:pPr>
<w:r><w:t xml:space="preserve">they adopted a variety of projectiles of the segment and shrapnel</w:t></w:r>
</w:p>
<w:p>
<w:pPr><w:pStyle w:val="Normal"/></w:pPr>
<w:r><w:t xml:space="preserve">types.  With the improvements made latterly these have become</w:t></w:r>
</w:p>
<w:p>
<w:pPr><w:pStyle w:val="Normal"/></w:pPr>
<w:r><w:t xml:space="preserve">obsolete, and the French system does not now materially differ</w:t></w:r>
</w:p>
<w:p>
<w:pPr><w:pStyle w:val="Normal"/></w:pPr>
<w:r><w:t xml:space="preserve">from that employed in England and other countries.  The old</w:t></w:r>
</w:p>
<w:p>
<w:pPr><w:pStyle w:val="Normal"/></w:pPr>
<w:r><w:t xml:space="preserve">shell are, however, of sufficient interest to be enumerated;</w:t></w:r>
</w:p>
<w:p>
<w:pPr><w:pStyle w:val="Normal"/></w:pPr>
<w:r><w:t xml:space="preserve">thus the &quot;double-walled shell&quot; (obus a double parol) was</w:t></w:r>
</w:p>
<w:p>
<w:pPr><w:pStyle w:val="Normal"/></w:pPr>
<w:r><w:t xml:space="preserve">built up of two shells, the internal portion had a cylindrical</w:t></w:r>
</w:p>
<w:p>
<w:pPr><w:pStyle w:val="Normal"/></w:pPr>
<w:r><w:t xml:space="preserve">chamber for the bursting charge, but on the outside it was so</w:t></w:r>
</w:p>
<w:p>
<w:pPr><w:pStyle w:val="Normal"/></w:pPr>
<w:r><w:t xml:space="preserve">shaped as to break up into well-defined pieces; the external</w:t></w:r>
</w:p>
<w:p>
<w:pPr><w:pStyle w:val="Normal"/></w:pPr>
<w:r><w:t xml:space="preserve">portion of the shell was cast around the internal part, and</w:t></w:r>
</w:p>
<w:p>
<w:pPr><w:pStyle w:val="Normal"/></w:pPr>
<w:r><w:t xml:space="preserve">also broke up into a number Of pieces; this shell was liable</w:t></w:r>
</w:p>
<w:p>
<w:pPr><w:pStyle w:val="Normal"/></w:pPr>
<w:r><w:t xml:space="preserve">to premature explosion.  The obus a couronnes de balles</w:t></w:r>
</w:p>
<w:p>
<w:pPr><w:pStyle w:val="Normal"/></w:pPr>
<w:r><w:t xml:space="preserve">(1879) was practically a segment shell with cast-iron balls</w:t></w:r>
</w:p>
<w:p>
<w:pPr><w:pStyle w:val="Normal"/></w:pPr>
<w:r><w:t xml:space="preserve">in lieu of segments; thin iron partitions separated each</w:t></w:r>
</w:p>
<w:p>
<w:pPr><w:pStyle w:val="Normal"/></w:pPr>
<w:r><w:t xml:space="preserve">layer, and the balls were flattened where they came in contact</w:t></w:r>
</w:p>
<w:p>
<w:pPr><w:pStyle w:val="Normal"/></w:pPr>
<w:r><w:t xml:space="preserve">with the plates.  The obus a balles libres, adopted in</w:t></w:r>
</w:p>
<w:p>
<w:pPr><w:pStyle w:val="Normal"/></w:pPr>
<w:r><w:t xml:space="preserve">1880, were of the same type, but there were no separating</w:t></w:r>
</w:p>
<w:p>
<w:pPr><w:pStyle w:val="Normal"/></w:pPr>
<w:r><w:t xml:space="preserve">plates.  The obus a anneaux was simply a ring shell of</w:t></w:r>
</w:p>
<w:p>
<w:pPr><w:pStyle w:val="Normal"/></w:pPr>
<w:r><w:t xml:space="preserve">the same type as used in England.  The obus a mitraille</w:t></w:r>
</w:p>
<w:p>
<w:pPr><w:pStyle w:val="Normal"/></w:pPr>
<w:r><w:t xml:space="preserve">adopted in 1883 for field and siege guns had a cast-iron</w:t></w:r>
</w:p>
<w:p>
<w:pPr><w:pStyle w:val="Normal"/></w:pPr>
<w:r><w:t xml:space="preserve">disc for its base with the body built up of segments and</w:t></w:r>
</w:p>
<w:p>
<w:pPr><w:pStyle w:val="Normal"/></w:pPr>
<w:r><w:t xml:space="preserve">steel balls; a hollow ogival head surmounted this and a thin</w:t></w:r>
</w:p>
<w:p>
<w:pPr><w:pStyle w:val="Normal"/></w:pPr>
<w:r><w:t xml:space="preserve">steel envelope bound all together.  The head was filled with</w:t></w:r>
</w:p>
<w:p>
<w:pPr><w:pStyle w:val="Normal"/></w:pPr>
<w:r><w:t xml:space="preserve">powder and fitted with a fuze; on explosion the head burst</w:t></w:r>
</w:p>
<w:p>
<w:pPr><w:pStyle w:val="Normal"/></w:pPr>
<w:r><w:t xml:space="preserve">and rupturing the envelope set free the balls and segments.</w:t></w:r>
</w:p>
<w:p>
<w:pPr><w:pStyle w:val="Normal"/></w:pPr>
<w:r><w:t xml:space="preserve">It is of importance in firing shrapnel shell that the position</w:t></w:r>
</w:p>
<w:p>
<w:pPr><w:pStyle w:val="Normal"/></w:pPr>
<w:r><w:t xml:space="preserve">of the burst shall be plainly seen.  With the larger patterns</w:t></w:r>
</w:p>
<w:p>
<w:pPr><w:pStyle w:val="Normal"/></w:pPr>
<w:r><w:t xml:space="preserve">of shell this presents no difficulty, but with the shrapnel</w:t></w:r>
</w:p>
<w:p>
<w:pPr><w:pStyle w:val="Normal"/></w:pPr>
<w:r><w:t xml:space="preserve">for field guns which contain a small bursting charge only,</w:t></w:r>
</w:p>
<w:p>
<w:pPr><w:pStyle w:val="Normal"/></w:pPr>
<w:r><w:t xml:space="preserve">and at long range in certain states of the atmosphere, the</w:t></w:r>
</w:p>
<w:p>
<w:pPr><w:pStyle w:val="Normal"/></w:pPr>
<w:r><w:t xml:space="preserve">difficulty becomes pronounced.  The problem has been solved in</w:t></w:r>
</w:p>
<w:p>
<w:pPr><w:pStyle w:val="Normal"/></w:pPr>
<w:r><w:t xml:space="preserve">some cases by packing the bullets in fine grain black powder</w:t></w:r>
</w:p>
<w:p>
<w:pPr><w:pStyle w:val="Normal"/></w:pPr>
<w:r><w:t xml:space="preserve">(instead of resin) and compressing both bullets and powder in</w:t></w:r>
</w:p>
<w:p>
<w:pPr><w:pStyle w:val="Normal"/></w:pPr>
<w:r><w:t xml:space="preserve">order to prevent the generation of heat when the bullets set</w:t></w:r>
</w:p>
<w:p>
<w:pPr><w:pStyle w:val="Normal"/></w:pPr>
<w:r><w:t xml:space="preserve">back on the discharge of the gun.  In Germany a mixture of</w:t></w:r>
</w:p>
<w:p>
<w:pPr><w:pStyle w:val="Normal"/></w:pPr>
<w:r><w:t xml:space="preserve">red amorphous phosphorus and fine grain powder is used for the</w:t></w:r>
</w:p>
<w:p>
<w:pPr><w:pStyle w:val="Normal"/></w:pPr>
<w:r><w:t xml:space="preserve">same purpose and produces a dense white cloud of smoke.  In</w:t></w:r>
</w:p>
<w:p>
<w:pPr><w:pStyle w:val="Normal"/></w:pPr>
<w:r><w:t xml:space="preserve">Russia a mixture of magnesium and antimony sulphide is used.</w:t></w:r>
</w:p>
<w:p>
<w:pPr><w:pStyle w:val="Normal"/></w:pPr>
<w:r><w:t xml:space="preserve">Fuzes.--The fuzes first used were short iron or copper</w:t></w:r>
</w:p>
<w:p>
<w:pPr><w:pStyle w:val="Normal"/></w:pPr>
<w:r><w:t xml:space="preserve">tubes filled with slow-burning composition.  They were roughly</w:t></w:r>
</w:p>
<w:p>
<w:pPr><w:pStyle w:val="Normal"/></w:pPr>
<w:r><w:t xml:space="preserve">screwed on the exterior to fit a similar thread in the fuze</w:t></w:r>
</w:p>
<w:p>
<w:pPr><w:pStyle w:val="Normal"/></w:pPr>
<w:r><w:t xml:space="preserve">hole of the shell.  There was no means of regulating the</w:t></w:r>
</w:p>
<w:p>
<w:pPr><w:pStyle w:val="Normal"/></w:pPr>
<w:r><w:t xml:space="preserve">length of time of burning, but later, about the end of the</w:t></w:r>
</w:p>
<w:p>
<w:pPr><w:pStyle w:val="Normal"/></w:pPr>
<w:r><w:t xml:space="preserve">17th century, the fuze case was made of paper or wood, so</w:t></w:r>
</w:p>
<w:p>
<w:pPr><w:pStyle w:val="Normal"/></w:pPr>
<w:r><w:t xml:space="preserve">that, by boring a hole through the outer casing into the</w:t></w:r>
</w:p>
<w:p>
<w:pPr><w:pStyle w:val="Normal"/></w:pPr>
<w:r><w:t xml:space="preserve">composition, the fuze could be made to burn approximately</w:t></w:r>
</w:p>
<w:p>
<w:pPr><w:pStyle w:val="Normal"/></w:pPr>
<w:r><w:t xml:space="preserve">for a given time before exploding the shell--or the fuze</w:t></w:r>
</w:p>
<w:p>
<w:pPr><w:pStyle w:val="Normal"/></w:pPr>
<w:r><w:t xml:space="preserve">could be cut to the correct length for the same purpose.</w:t></w:r>
</w:p>
<w:p>
<w:pPr><w:pStyle w:val="Normal"/></w:pPr>
<w:r><w:t xml:space="preserve">Early attempts to produce percussion fuzes were unsuccessful,</w:t></w:r>
</w:p>
<w:p>
<w:pPr><w:pStyle w:val="Normal"/></w:pPr>
<w:r><w:t xml:space="preserve">but the discovery of fulminate of mercury in 1799 finally</w:t></w:r>
</w:p>
<w:p>
<w:pPr><w:pStyle w:val="Normal"/></w:pPr>
<w:r><w:t xml:space="preserve">afforded the means of attaining this object.  Some fifty years,</w:t></w:r>
</w:p>
<w:p>
<w:pPr><w:pStyle w:val="Normal"/></w:pPr>
<w:r><w:t xml:space="preserve">however, elapsed before a satisfactory fuze was made.  This</w:t></w:r>
</w:p>
<w:p>
<w:pPr><w:pStyle w:val="Normal"/></w:pPr>
<w:r><w:t xml:space="preserve">was the Pettman fuze, in which a roughened ball covered with</w:t></w:r>
</w:p>
<w:p>
<w:pPr><w:pStyle w:val="Normal"/></w:pPr>
<w:r><w:t xml:space="preserve">detonating composition was released by the discharge of the</w:t></w:r>
</w:p>
<w:p>
<w:pPr><w:pStyle w:val="Normal"/></w:pPr>
<w:r><w:t xml:space="preserve">gun.  When the shell hit any object, the ball struck against</w:t></w:r>
</w:p>
<w:p>
<w:pPr><w:pStyle w:val="Normal"/></w:pPr>
<w:r><w:t xml:space="preserve">the interior walls of the fuze, the composition was exploded</w:t></w:r>
</w:p>
<w:p>
<w:pPr><w:pStyle w:val="Normal"/></w:pPr>
<w:r><w:t xml:space="preserve">and thence the bursting charge of the shell.  At present there</w:t></w:r>
</w:p>
<w:p>
<w:pPr><w:pStyle w:val="Normal"/></w:pPr>
<w:r><w:t xml:space="preserve">are three types of percussion fuzes--(1) those which depend</w:t></w:r>
</w:p>
<w:p>
<w:pPr><w:pStyle w:val="Normal"/></w:pPr>
<w:r><w:t xml:space="preserve">on the gas pressure in the gun setting the pellet of the fuze</w:t></w:r>
</w:p>
<w:p>
<w:pPr><w:pStyle w:val="Normal"/></w:pPr>
<w:r><w:t xml:space="preserve">free--this type is necessarily a base fuze; (2) those which</w:t></w:r>
</w:p>
<w:p>
<w:pPr><w:pStyle w:val="Normal"/></w:pPr>
<w:r><w:t xml:space="preserve">rely on the shock of discharge or the rotation of the shell</w:t></w:r>
</w:p>
<w:p>
<w:pPr><w:pStyle w:val="Normal"/></w:pPr>
<w:r><w:t xml:space="preserve">setting the pellet free, as in various kinds of nose and base</w:t></w:r>
</w:p>
<w:p>
<w:pPr><w:pStyle w:val="Normal"/></w:pPr>
<w:r><w:t xml:space="preserve">fuzes; (3) those relying on direct impact with the object.</w:t></w:r>
</w:p>
<w:p>
<w:pPr><w:pStyle w:val="Normal"/></w:pPr>
<w:r><w:t xml:space="preserve">The British base percussion fuze (fig. 12) illustrates</w:t></w:r>
</w:p>
<w:p>
<w:pPr><w:pStyle w:val="Normal"/></w:pPr>
<w:r><w:t xml:space="preserve">type (1). In this, before firing, the needle pellet is held</w:t></w:r>
</w:p>
<w:p>
<w:pPr><w:pStyle w:val="Normal"/></w:pPr>
<w:r><w:t xml:space="preserve">back by a central spindle with a pressure plate attached to</w:t></w:r>
</w:p>
<w:p>
<w:pPr><w:pStyle w:val="Normal"/></w:pPr>
<w:r><w:t xml:space="preserve">its rear end.  For additional safety a centrifugal bolt is</w:t></w:r>
</w:p>
<w:p>
<w:pPr><w:pStyle w:val="Normal"/></w:pPr>
<w:r><w:t xml:space="preserve">added which is released by the rotation of the shell.  On</w:t></w:r>
</w:p>
<w:p>
<w:pPr><w:pStyle w:val="Normal"/></w:pPr>
<w:r><w:t xml:space="preserve">discharge, the gas pressure pushes the pressure plate in, the</w:t></w:r>
</w:p>
<w:p>
<w:pPr><w:pStyle w:val="Normal"/></w:pPr>
<w:r><w:t xml:space="preserve">central spindle is carried forward with it and unlocks the</w:t></w:r>
</w:p>
<w:p>
<w:pPr><w:pStyle w:val="Normal"/></w:pPr>
<w:r><w:t xml:space="preserve">centrifugal bolt; this is withdrawn by the rotation of the</w:t></w:r>
</w:p>
<w:p>
<w:pPr><w:pStyle w:val="Normal"/></w:pPr>
<w:r><w:t xml:space="preserve">shell, and the needle pellet is then free to move forward</w:t></w:r>
</w:p>
<w:p>
<w:pPr><w:pStyle w:val="Normal"/></w:pPr>
<w:r><w:t xml:space="preserve">and explode the detonating cap when the shell strikes.</w:t></w:r>
</w:p>
<w:p>
<w:pPr><w:pStyle w:val="Normal"/></w:pPr>
<w:r><w:t xml:space="preserve">Type (2) is that usually adopted in small base fuzes and in</w:t></w:r>
</w:p>
<w:p>
<w:pPr><w:pStyle w:val="Normal"/></w:pPr>
<w:r><w:t xml:space="preserve">the percussion part of &quot;time and percussion&quot; fuzes.  Here the</w:t></w:r>
</w:p>
<w:p>
<w:pPr><w:pStyle w:val="Normal"/></w:pPr>
<w:r><w:t xml:space="preserve">ferrule, on shock of discharge, moves back relatively to the</w:t></w:r>
</w:p>
<w:p>
<w:pPr><w:pStyle w:val="Normal"/></w:pPr>
<w:r><w:t xml:space="preserve">percussion pellet by collapsing the stirrup spring; this leaves</w:t></w:r>
</w:p>
<w:p>
<w:pPr><w:pStyle w:val="Normal"/></w:pPr>
<w:r><w:t xml:space="preserve">the pellet free to move forward, on the shell striking, and</w:t></w:r>
</w:p>
<w:p>
<w:pPr><w:pStyle w:val="Normal"/></w:pPr>
<w:r><w:t xml:space="preserve">its detonator to strike the needle fixed in the fuze body.  A</w:t></w:r>
</w:p>
<w:p>
<w:pPr><w:pStyle w:val="Normal"/></w:pPr>
<w:r><w:t xml:space="preserve">spiral spring prevents any movement of the pellet during flight.</w:t></w:r>
</w:p>
<w:p>
<w:pPr><w:pStyle w:val="Normal"/></w:pPr>
<w:r><w:t xml:space="preserve">The direct-action or impact fuzes of type (3) are very simple</w:t></w:r>
</w:p>
<w:p>
<w:pPr><w:pStyle w:val="Normal"/></w:pPr>
<w:r><w:t xml:space="preserve">(see fig. 13 of direct-action fuze).  They are made of such</w:t></w:r>
</w:p>
<w:p>
<w:pPr><w:pStyle w:val="Normal"/></w:pPr>
<w:r><w:t xml:space="preserve">a strength that during discharge nothing happens, but on</w:t></w:r>
</w:p>
<w:p>
<w:pPr><w:pStyle w:val="Normal"/></w:pPr>
<w:r><w:t xml:space="preserve">striking an object the needle disc is crushed in and the needle</w:t></w:r>
</w:p>
<w:p>
<w:pPr><w:pStyle w:val="Normal"/></w:pPr>
<w:r><w:t xml:space="preserve">explodes the detonating composition and thence the powder.</w:t></w:r>
</w:p>
<w:p>
<w:pPr><w:pStyle w:val="Normal"/></w:pPr>
<w:r><w:t xml:space="preserve">The action of all time fuzes is started by the discharge</w:t></w:r>
</w:p>
<w:p>
<w:pPr><w:pStyle w:val="Normal"/></w:pPr>
<w:r><w:t xml:space="preserve">of the gun.  By this the pellet strikes the detonator and</w:t></w:r>
</w:p>
<w:p>
<w:pPr><w:pStyle w:val="Normal"/></w:pPr>
<w:r><w:t xml:space="preserve">so ignites a length of slow-burning composition which is</w:t></w:r>
</w:p>
<w:p>
<w:pPr><w:pStyle w:val="Normal"/></w:pPr>
<w:r><w:t xml:space="preserve">pressed into a wood tube or into a channel formed in a metal</w:t></w:r>
</w:p>
<w:p>
<w:pPr><w:pStyle w:val="Normal"/></w:pPr>
<w:r><w:t xml:space="preserve">ring.  To regulate the time of burning of the wood fuze, a</w:t></w:r>
</w:p>
<w:p>
<w:pPr><w:pStyle w:val="Normal"/></w:pPr>
<w:r><w:t xml:space="preserve">hole is bored through into the composition as before stated,</w:t></w:r>
</w:p>
<w:p>
<w:pPr><w:pStyle w:val="Normal"/></w:pPr>
<w:r><w:t xml:space="preserve">so that when it has burnt down to this hole one of the side</w:t></w:r>
</w:p>
<w:p>
<w:pPr><w:pStyle w:val="Normal"/></w:pPr>
<w:r><w:t xml:space="preserve">channels filled with powder is ignited and explodes the</w:t></w:r>
</w:p>
<w:p>
<w:pPr><w:pStyle w:val="Normal"/></w:pPr>
<w:r><w:t xml:space="preserve">shell.  Wood fuzes are now only used for R.M.L. guns.</w:t></w:r>
</w:p>
<w:p>
<w:pPr><w:pStyle w:val="Normal"/></w:pPr>
<w:r><w:t xml:space="preserve">With modern long-burning fuzes (fig. 14), two composition</w:t></w:r>
</w:p>
<w:p>
<w:pPr><w:pStyle w:val="Normal"/></w:pPr>
<w:r><w:t xml:space="preserve">time rings are used.  The lower of these rings is made movable</w:t></w:r>
</w:p>
<w:p>
<w:pPr><w:pStyle w:val="Normal"/></w:pPr>
<w:r><w:t xml:space="preserve">so that it can be turned to bring any desired place over a</w:t></w:r>
</w:p>
<w:p>
<w:pPr><w:pStyle w:val="Normal"/></w:pPr>
<w:r><w:t xml:space="preserve">hole in the body of the fuze, which is filled with powder and</w:t></w:r>
</w:p>
<w:p>
<w:pPr><w:pStyle w:val="Normal"/></w:pPr>
<w:r><w:t xml:space="preserve">communicates with the magazine.  On the gun being fired the</w:t></w:r>
</w:p>
<w:p>
<w:pPr><w:pStyle w:val="Normal"/></w:pPr>
<w:r><w:t xml:space="preserve">detonator is exploded and its flash ignites the upper time</w:t></w:r>
</w:p>
<w:p>
<w:pPr><w:pStyle w:val="Normal"/></w:pPr>
<w:r><w:t xml:space="preserve">ring.  This burns round to a passage made in the lower ring, when</w:t></w:r>
</w:p>
<w:p>
<w:pPr><w:pStyle w:val="Normal"/></w:pPr>
<w:r><w:t xml:space="preserve">the lower ring begins to burn and continues to do so until the</w:t></w:r>
</w:p>
<w:p>
<w:pPr><w:pStyle w:val="Normal"/></w:pPr>
<w:r><w:t xml:space="preserve">channel to the magazine is reached.  The gases from the ignited</w:t></w:r>
</w:p>
<w:p>
<w:pPr><w:pStyle w:val="Normal"/></w:pPr>
<w:r><w:t xml:space="preserve">composition escape from an external hole made in each time ring.</w:t></w:r>
</w:p>
<w:p>
<w:pPr><w:pStyle w:val="Normal"/></w:pPr>
<w:r><w:t xml:space="preserve">Mechanical time fuzes depending on the rotation of the shell</w:t></w:r>
</w:p>
<w:p>
<w:pPr><w:pStyle w:val="Normal"/></w:pPr>
<w:r><w:t xml:space="preserve">to give a regular motion to clockwork have been tried, but</w:t></w:r>
</w:p>
<w:p>
<w:pPr><w:pStyle w:val="Normal"/></w:pPr>
<w:r><w:t xml:space="preserve">so far no practicable form of these fuzes has been found.</w:t></w:r>
</w:p>
<w:p>
<w:pPr><w:pStyle w:val="Normal"/></w:pPr>
<w:r><w:t xml:space="preserve">It is important that all fuzes should be rigidly guarded against</w:t></w:r>
</w:p>
<w:p>
<w:pPr><w:pStyle w:val="Normal"/></w:pPr>
<w:r><w:t xml:space="preserve">dampness, which tends to lengthen their time of burning; hence</w:t></w:r>
</w:p>
<w:p>
<w:pPr><w:pStyle w:val="Normal"/></w:pPr>
<w:r><w:t xml:space="preserve">they are protected either by being kept in hermetically sealed</w:t></w:r>
</w:p>
<w:p>
<w:pPr><w:pStyle w:val="Normal"/></w:pPr>
<w:r><w:t xml:space="preserve">tins holding one or more fuzes, or by some similar means.</w:t></w:r>
</w:p>
<w:p>
<w:pPr><w:pStyle w:val="Normal"/></w:pPr>
<w:r><w:t xml:space="preserve">Tubes and Primers.--In ancient times various devices were</w:t></w:r>
</w:p>
<w:p>
<w:pPr><w:pStyle w:val="Normal"/></w:pPr>
<w:r><w:t xml:space="preserve">adopted to ignite the charge.  Small guns were fired by thrusting</w:t></w:r>
</w:p>
<w:p>
<w:pPr><w:pStyle w:val="Normal"/></w:pPr>
<w:r><w:t xml:space="preserve">a hot wire down the vent into the charge, or slow-burning</w:t></w:r>
</w:p>
<w:p>
<w:pPr><w:pStyle w:val="Normal"/></w:pPr>
<w:r><w:t xml:space="preserve">powder was poured down the vent and ignited by a hot wire.</w:t></w:r>
</w:p>
<w:p>
<w:pPr><w:pStyle w:val="Normal"/></w:pPr>
<w:r><w:t xml:space="preserve">Later the priming powder was ignited by a piece of slow match held</w:t></w:r>
</w:p>
<w:p>
<w:pPr><w:pStyle w:val="Normal"/></w:pPr>
<w:r><w:t xml:space="preserve">in a lint-stock (often called linstock).  About A.D. 1700 this</w:t></w:r>
</w:p>
<w:p>
<w:pPr><w:pStyle w:val="Normal"/></w:pPr>
<w:r><w:t xml:space="preserve">was effected by means of a port-fire (this was a paper case about</w:t></w:r>
</w:p>
<w:p>
<w:pPr><w:pStyle w:val="Normal"/></w:pPr>
<w:r><w:t xml:space="preserve">FIG. 14.--Fuze, Time and Percussion, No. 80, Mk. I</w:t></w:r>
</w:p>
<w:p>
<w:pPr><w:pStyle w:val="Normal"/></w:pPr>
<w:r><w:t xml:space="preserve">16 in. long filled with slow-burning composition which burnt</w:t></w:r>
</w:p>
<w:p>
<w:pPr><w:pStyle w:val="Normal"/></w:pPr>
<w:r><w:t xml:space="preserve">rather more than 1 in. per minute).  Later again the charge was</w:t></w:r>
</w:p>
<w:p>
<w:pPr><w:pStyle w:val="Normal"/></w:pPr>
<w:r><w:t xml:space="preserve">exploded by paper tubes (sometimes called Dutch tubes) filled with</w:t></w:r>
</w:p>
<w:p>
<w:pPr><w:pStyle w:val="Normal"/></w:pPr>
<w:r><w:t xml:space="preserve">powder and placed in the vent and ignited by a port- fire.  In</w:t></w:r>
</w:p>
<w:p>
<w:pPr><w:pStyle w:val="Normal"/></w:pPr>
<w:r><w:t xml:space="preserve">comparatively modern times friction tubes have been used, while</w:t></w:r>
</w:p>
<w:p>
<w:pPr><w:pStyle w:val="Normal"/></w:pPr>
<w:r><w:t xml:space="preserve">in the latest patterns percussion or electric tubes are employed.</w:t></w:r>
</w:p>
<w:p>
<w:pPr><w:pStyle w:val="Normal"/></w:pPr>
<w:r><w:t xml:space="preserve">In most B.L. guns it is essential to stop the erosion of the</w:t></w:r>
</w:p>
<w:p>
<w:pPr><w:pStyle w:val="Normal"/></w:pPr>
<w:r><w:t xml:space="preserve">metal of the vent by preventing the escape of gas through it</w:t></w:r>
</w:p>
<w:p>
<w:pPr><w:pStyle w:val="Normal"/></w:pPr>
<w:r><w:t xml:space="preserve">when the gun is fired.  For this purpose the charges in such</w:t></w:r>
</w:p>
<w:p>
<w:pPr><w:pStyle w:val="Normal"/></w:pPr>
<w:r><w:t xml:space="preserve">guns are ignited by ``vent-sealing tubes.&apos;&apos; For M.L. guns and</w:t></w:r>
</w:p>
<w:p>
<w:pPr><w:pStyle w:val="Normal"/></w:pPr>
<w:r><w:t xml:space="preserve">small B.L. guns radially vented, especially those using black</w:t></w:r>
</w:p>
<w:p>
<w:pPr><w:pStyle w:val="Normal"/></w:pPr>
<w:r><w:t xml:space="preserve">powder, the amount of erosion in the vent is not so serious.</w:t></w:r>
</w:p>
<w:p>
<w:pPr><w:pStyle w:val="Normal"/></w:pPr>
<w:r><w:t xml:space="preserve">The charge is fired by ordinary friction tubes, which are blown</w:t></w:r>
</w:p>
<w:p>
<w:pPr><w:pStyle w:val="Normal"/></w:pPr>
<w:r><w:t xml:space="preserve">away by the escape of gas through the vent.  In all guns axially</w:t></w:r>
</w:p>
<w:p>
<w:pPr><w:pStyle w:val="Normal"/></w:pPr>
<w:r><w:t xml:space="preserve">vented, vent- sealing tubes, which are not blown out, must be</w:t></w:r>
</w:p>
<w:p>
<w:pPr><w:pStyle w:val="Normal"/></w:pPr>
<w:r><w:t xml:space="preserve">employed so that the men serving the gun may not be injured.</w:t></w:r>
</w:p>
<w:p>
<w:pPr><w:pStyle w:val="Normal"/></w:pPr>
<w:r><w:t xml:space="preserve">The common friction tube is a copper tube, driven with powder,</w:t></w:r>
</w:p>
<w:p>
<w:pPr><w:pStyle w:val="Normal"/></w:pPr>
<w:r><w:t xml:space="preserve">having at the upper end a short branch (called a nib piece) at</w:t></w:r>
</w:p>
<w:p>
<w:pPr><w:pStyle w:val="Normal"/></w:pPr>
<w:r><w:t xml:space="preserve">right angles.  This branch is filled with friction composition</w:t></w:r>
</w:p>
<w:p>
<w:pPr><w:pStyle w:val="Normal"/></w:pPr>
<w:r><w:t xml:space="preserve">in which a friction bar is embedded.  On the friction bar being</w:t></w:r>
</w:p>
<w:p>
<w:pPr><w:pStyle w:val="Normal"/></w:pPr>
<w:r><w:t xml:space="preserve">sharply pulled out, by means of a lanyard, the composition is</w:t></w:r>
</w:p>
<w:p>
<w:pPr><w:pStyle w:val="Normal"/></w:pPr>
<w:r><w:t xml:space="preserve">ignited and sets fire to the powder in the long tube; the flash</w:t></w:r>
</w:p>
<w:p>
<w:pPr><w:pStyle w:val="Normal"/></w:pPr>
<w:r><w:t xml:space="preserve">is conveyed through the vent and explodes the gun charge.  For</w:t></w:r>
</w:p>
<w:p>
<w:pPr><w:pStyle w:val="Normal"/></w:pPr>
<w:r><w:t xml:space="preserve">FIG. 15.--T-headed Friction Tube.</w:t></w:r>
</w:p>
<w:p>
<w:pPr><w:pStyle w:val="Normal"/></w:pPr>
<w:r><w:t xml:space="preserve">naval purposes, in order that the sailors should not be cut</w:t></w:r>
</w:p>
<w:p>
<w:pPr><w:pStyle w:val="Normal"/></w:pPr>
<w:r><w:t xml:space="preserve">about the face or hurt their feet, tubes of quill instead</w:t></w:r>
</w:p>
<w:p>
<w:pPr><w:pStyle w:val="Normal"/></w:pPr>
<w:r><w:t xml:space="preserve">of copper were used.  If friction tubes are employed when</w:t></w:r>
</w:p>
<w:p>
<w:pPr><w:pStyle w:val="Normal"/></w:pPr>
<w:r><w:t xml:space="preserve">cordite or other smokeless powder charges are used, the</w:t></w:r>
</w:p>
<w:p>
<w:pPr><w:pStyle w:val="Normal"/></w:pPr>
<w:r><w:t xml:space="preserve">erosion of the vent is very rapid unless the escape of the</w:t></w:r>
</w:p>
<w:p>
<w:pPr><w:pStyle w:val="Normal"/></w:pPr>
<w:r><w:t xml:space="preserve">gas is prevented; in this case T-headed tubes (fig. 15) are</w:t></w:r>
</w:p>
<w:p>
<w:pPr><w:pStyle w:val="Normal"/></w:pPr>
<w:r><w:t xml:space="preserve">used.  They are similar in action to the ordinary type,</w:t></w:r>
</w:p>
<w:p>
<w:pPr><w:pStyle w:val="Normal"/></w:pPr>
<w:r><w:t xml:space="preserve">but are fixed to the vent by the head fitting a bayonet</w:t></w:r>
</w:p>
<w:p>
<w:pPr><w:pStyle w:val="Normal"/></w:pPr>
<w:r><w:t xml:space="preserve">joint formed with the vent.  The explosion blows a small</w:t></w:r>
</w:p>
<w:p>
<w:pPr><w:pStyle w:val="Normal"/></w:pPr>
<w:r><w:t xml:space="preserve">FIG. 16.--Electric Tube.</w:t></w:r>
</w:p>
<w:p>
<w:pPr><w:pStyle w:val="Normal"/></w:pPr>
<w:r><w:t xml:space="preserve">ball upwards and blocks the coned hole at the</w:t></w:r>
</w:p>
<w:p>
<w:pPr><w:pStyle w:val="Normal"/></w:pPr>
<w:r><w:t xml:space="preserve">top of the tube and so prevents any rush of gas.</w:t></w:r>
</w:p>
<w:p>
<w:pPr><w:pStyle w:val="Normal"/></w:pPr>
<w:r><w:t xml:space="preserve">The vent-sealing tube accurately fits into a chamber formed</w:t></w:r>
</w:p>
<w:p>
<w:pPr><w:pStyle w:val="Normal"/></w:pPr>
<w:r><w:t xml:space="preserve">at the end of the vent, and is held in place by the gun</w:t></w:r>
</w:p>
<w:p>
<w:pPr><w:pStyle w:val="Normal"/></w:pPr>
<w:r><w:t xml:space="preserve">lock or some similar means.  The force of the explosion</w:t></w:r>
</w:p>
<w:p>
<w:pPr><w:pStyle w:val="Normal"/></w:pPr>
<w:r><w:t xml:space="preserve">expands the tube against the walls of its chamber, while</w:t></w:r>
</w:p>
<w:p>
<w:pPr><w:pStyle w:val="Normal"/></w:pPr>
<w:r><w:t xml:space="preserve">the internal structure of the tube renders it gas-tight,</w:t></w:r>
</w:p>
<w:p>
<w:pPr><w:pStyle w:val="Normal"/></w:pPr>
<w:r><w:t xml:space="preserve">any escape of gas through the vent being thus prevented.</w:t></w:r>
</w:p>
<w:p>
<w:pPr><w:pStyle w:val="Normal"/></w:pPr>
<w:r><w:t xml:space="preserve">In the English service electric tubes (in the United States</w:t></w:r>
</w:p>
<w:p>
<w:pPr><w:pStyle w:val="Normal"/></w:pPr>
<w:r><w:t xml:space="preserve">called ``primers&apos;&apos;) are mostly used, but percussion or</w:t></w:r>
</w:p>
<w:p>
<w:pPr><w:pStyle w:val="Normal"/></w:pPr>
<w:r><w:t xml:space="preserve">friction tubes are in most favour on the continent, and</w:t></w:r>
</w:p>
<w:p>
<w:pPr><w:pStyle w:val="Normal"/></w:pPr>
<w:r><w:t xml:space="preserve">electric tubes are seldom or never used.  There are two types</w:t></w:r>
</w:p>
<w:p>
<w:pPr><w:pStyle w:val="Normal"/></w:pPr>
<w:r><w:t xml:space="preserve">of electric tube, one with long wires (fig. 16) for joining</w:t></w:r>
</w:p>
<w:p>
<w:pPr><w:pStyle w:val="Normal"/></w:pPr>
<w:r><w:t xml:space="preserve">FIG. 17.--Wireless Tube.</w:t></w:r>
</w:p>
<w:p>
<w:pPr><w:pStyle w:val="Normal"/></w:pPr>
<w:r><w:t xml:space="preserve">up with the electric circuit and the other without external</w:t></w:r>
</w:p>
<w:p>
<w:pPr><w:pStyle w:val="Normal"/></w:pPr>
<w:r><w:t xml:space="preserve">wires.  The first type has two insulated wires led into the</w:t></w:r>
</w:p>
<w:p>
<w:pPr><w:pStyle w:val="Normal"/></w:pPr>
<w:r><w:t xml:space="preserve">interior and attached to two insulated brass cones which are</w:t></w:r>
</w:p>
<w:p>
<w:pPr><w:pStyle w:val="Normal"/></w:pPr>
<w:r><w:t xml:space="preserve">connected by a wire ``bridge&apos;&apos; of platinum silver.  This bridge</w:t></w:r>
</w:p>
<w:p>
<w:pPr><w:pStyle w:val="Normal"/></w:pPr>
<w:r><w:t xml:space="preserve">is surrounded by a priming composition of guncotton dust and</w:t></w:r>
</w:p>
<w:p>
<w:pPr><w:pStyle w:val="Normal"/></w:pPr>
<w:r><w:t xml:space="preserve">mealed powder and the remainder of the tube is filled with</w:t></w:r>
</w:p>
<w:p>
<w:pPr><w:pStyle w:val="Normal"/></w:pPr>
<w:r><w:t xml:space="preserve">powder.  On an electric current passing, the bridge is</w:t></w:r>
</w:p>
<w:p>
<w:pPr><w:pStyle w:val="Normal"/></w:pPr>
<w:r><w:t xml:space="preserve">heated to incandescence and ignites the priming composition.</w:t></w:r>
</w:p>
<w:p>
<w:pPr><w:pStyle w:val="Normal"/></w:pPr>
<w:r><w:t xml:space="preserve">In the wireless tube (fig. 17) the lock of the gun makes the</w:t></w:r>
</w:p>
<w:p>
<w:pPr><w:pStyle w:val="Normal"/></w:pPr>
<w:r><w:t xml:space="preserve">electric contact with an insulated disc in the head of the</w:t></w:r>
</w:p>
<w:p>
<w:pPr><w:pStyle w:val="Normal"/></w:pPr>
<w:r><w:t xml:space="preserve">tube.  This disc is connected by an insulated wire to a brass</w:t></w:r>
</w:p>
<w:p>
<w:pPr><w:pStyle w:val="Normal"/></w:pPr>
<w:r><w:t xml:space="preserve">cone, also insulated, the bridge being formed from an edge of</w:t></w:r>
</w:p>
<w:p>
<w:pPr><w:pStyle w:val="Normal"/></w:pPr>
<w:r><w:t xml:space="preserve">the cone to a brass wire which is soldered to the mouth of the</w:t></w:r>
</w:p>
<w:p>
<w:pPr><w:pStyle w:val="Normal"/></w:pPr>
<w:r><w:t xml:space="preserve">tube.  Priming composition surrounds the bridge and the tube</w:t></w:r>
</w:p>
<w:p>
<w:pPr><w:pStyle w:val="Normal"/></w:pPr>
<w:r><w:t xml:space="preserve">is filled with powder.  The electric circuit passes from the</w:t></w:r>
</w:p>
<w:p>
<w:pPr><w:pStyle w:val="Normal"/></w:pPr>
<w:r><w:t xml:space="preserve">gun lock to the disc, thence through the bridge to the body of</w:t></w:r>
</w:p>
<w:p>
<w:pPr><w:pStyle w:val="Normal"/></w:pPr>
<w:r><w:t xml:space="preserve">the tube, returning through the metal of the gun and mounting.</w:t></w:r>
</w:p>
<w:p>
<w:pPr><w:pStyle w:val="Normal"/></w:pPr>
<w:r><w:t xml:space="preserve">The percussion tube (fig. 18) has a similarly shaped body to the</w:t></w:r>
</w:p>
<w:p>
<w:pPr><w:pStyle w:val="Normal"/></w:pPr>
<w:r><w:t xml:space="preserve">wireless electric tube, but the internal construction differs;</w:t></w:r>
</w:p>
<w:p>
<w:pPr><w:pStyle w:val="Normal"/></w:pPr>
<w:r><w:t xml:space="preserve">it is fitted with a striker, below which is a percussion cap</w:t></w:r>
</w:p>
<w:p>
<w:pPr><w:pStyle w:val="Normal"/></w:pPr>
<w:r><w:t xml:space="preserve">on a hollow brass anvil, and the tube is filled with powder.</w:t></w:r>
</w:p>
<w:p>
<w:pPr><w:pStyle w:val="Normal"/></w:pPr>
<w:r><w:t xml:space="preserve">With Q.F. guns (that is, strictly, those using metallic cartridge</w:t></w:r>
</w:p>
<w:p>
<w:pPr><w:pStyle w:val="Normal"/></w:pPr>
<w:r><w:t xml:space="preserve">cases) the case itself is fitted with the igniting medium;</w:t></w:r>
</w:p>
<w:p>
<w:pPr><w:pStyle w:val="Normal"/></w:pPr>
<w:r><w:t xml:space="preserve">in England these are called primers.  For small guns the case</w:t></w:r>
</w:p>
<w:p>
<w:pPr><w:pStyle w:val="Normal"/></w:pPr>
<w:r><w:t xml:space="preserve">contains a percussion primer, usually a copper cap filled with</w:t></w:r>
</w:p>
<w:p>
<w:pPr><w:pStyle w:val="Normal"/></w:pPr>
<w:r><w:t xml:space="preserve">a chlorate mixture and resting against an anvil.  The striker of</w:t></w:r>
</w:p>
<w:p>
<w:pPr><w:pStyle w:val="Normal"/></w:pPr>
<w:r><w:t xml:space="preserve">FIG. 18.--Primer.</w:t></w:r>
</w:p>
<w:p>
<w:pPr><w:pStyle w:val="Normal"/></w:pPr>
<w:r><w:t xml:space="preserve">the gun strikes the cap and fires the mixture.  For larger guns an</w:t></w:r>
</w:p>
<w:p>
<w:pPr><w:pStyle w:val="Normal"/></w:pPr>
<w:r><w:t xml:space="preserve">electric primer (fig. 19) is used, the internal construction and</w:t></w:r>
</w:p>
<w:p>
<w:pPr><w:pStyle w:val="Normal"/></w:pPr>
<w:r><w:t xml:space="preserve">action of which are precisely similar to the wireless tube already</w:t></w:r>
</w:p>
<w:p>
<w:pPr><w:pStyle w:val="Normal"/></w:pPr>
<w:r><w:t xml:space="preserve">described; the exterior is screwed for the case.  For percussion</w:t></w:r>
</w:p>
<w:p>
<w:pPr><w:pStyle w:val="Normal"/></w:pPr>
<w:r><w:t xml:space="preserve">FIG. 19.--Electric Primer.</w:t></w:r>
</w:p>
<w:p>
<w:pPr><w:pStyle w:val="Normal"/></w:pPr>
<w:r><w:t xml:space="preserve">firing an ordinary percussion tube is placed in an</w:t></w:r>
</w:p>
<w:p>
<w:pPr><w:pStyle w:val="Normal"/></w:pPr>
<w:r><w:t xml:space="preserve">adapter screwed into the case.  In some foreign services</w:t></w:r>
</w:p>
<w:p>
<w:pPr><w:pStyle w:val="Normal"/></w:pPr>
<w:r><w:t xml:space="preserve">a combined electric and percussion primer is used;</w:t></w:r>
</w:p>
<w:p>
<w:pPr><w:pStyle w:val="Normal"/></w:pPr>
<w:r><w:t xml:space="preserve">the action of this will be understood from fig. 20.</w:t></w:r>
</w:p>
<w:p>
<w:pPr><w:pStyle w:val="Normal"/></w:pPr>
<w:r><w:t xml:space="preserve">The first cartridges for cannon were made up of gunpowder</w:t></w:r>
</w:p>
<w:p>
<w:pPr><w:pStyle w:val="Normal"/></w:pPr>
<w:r><w:t xml:space="preserve">packed in a paper bag or case.  For many years after the</w:t></w:r>
</w:p>
<w:p>
<w:pPr><w:pStyle w:val="Normal"/></w:pPr>
<w:r><w:t xml:space="preserve">introduction of cannon the powder was introduced into the bore</w:t></w:r>
</w:p>
<w:p>
<w:pPr><w:pStyle w:val="Normal"/></w:pPr>
<w:r><w:t xml:space="preserve">by means of a scoop-shaped ladle fixed to the end of a long</w:t></w:r>
</w:p>
<w:p>
<w:pPr><w:pStyle w:val="Normal"/></w:pPr>
<w:r><w:t xml:space="preserve">stave.  The ladle was made of the same diameter as the shot,</w:t></w:r>
</w:p>
<w:p>
<w:pPr><w:pStyle w:val="Normal"/></w:pPr>
<w:r><w:t xml:space="preserve">and it had a definite length so that it was filled once for</w:t></w:r>
</w:p>
<w:p>
<w:pPr><w:pStyle w:val="Normal"/></w:pPr>
<w:r><w:t xml:space="preserve">the charging of small guns but for larger guns the ladle</w:t></w:r>
</w:p>
<w:p>
<w:pPr><w:pStyle w:val="Normal"/></w:pPr>
<w:r><w:t xml:space="preserve">had to be filled twice or even thrice.  The rule was to</w:t></w:r>
</w:p>
<w:p>
<w:pPr><w:pStyle w:val="Normal"/></w:pPr>
<w:r><w:t xml:space="preserve">make the powder charge the same weight as that of the shot.</w:t></w:r>
</w:p>
<w:p>
<w:pPr><w:pStyle w:val="Normal"/></w:pPr>
<w:r><w:t xml:space="preserve">Cartridges made up in paper or canvas bags were afterwards</w:t></w:r>
</w:p>
<w:p>
<w:pPr><w:pStyle w:val="Normal"/></w:pPr>
<w:r><w:t xml:space="preserve">used in forts at night-time or on board ship, so that</w:t></w:r>
</w:p>
<w:p>
<w:pPr><w:pStyle w:val="Normal"/></w:pPr>
<w:r><w:t xml:space="preserve">the guns could be more rapidly loaded and with less risk</w:t></w:r>
</w:p>
<w:p>
<w:pPr><w:pStyle w:val="Normal"/></w:pPr>
<w:r><w:t xml:space="preserve">than by using a ladle.  Before loading, a piece of the</w:t></w:r>
</w:p>
<w:p>
<w:pPr><w:pStyle w:val="Normal"/></w:pPr>
<w:r><w:t xml:space="preserve">paper or canvas covering had to be cut open immediately</w:t></w:r>
</w:p>
<w:p>
<w:pPr><w:pStyle w:val="Normal"/></w:pPr>
<w:r><w:t xml:space="preserve">under the vent; after the shot had been rammed home</w:t></w:r>
</w:p>
<w:p>
<w:pPr><w:pStyle w:val="Normal"/></w:pPr>
<w:r><w:t xml:space="preserve">FIG. 20.--Combined Primer.</w:t></w:r>
</w:p>
<w:p>
<w:pPr><w:pStyle w:val="Normal"/></w:pPr>
<w:r><w:t xml:space="preserve">the vent was filled with powder from a priming horn, and the gun</w:t></w:r>
</w:p>
<w:p>
<w:pPr><w:pStyle w:val="Normal"/></w:pPr>
<w:r><w:t xml:space="preserve">was then fired by means of a hot iron, quick match or port-fire.</w:t></w:r>
</w:p>
<w:p>
<w:pPr><w:pStyle w:val="Normal"/></w:pPr>
<w:r><w:t xml:space="preserve">The ancient breech-loading guns were not so difficult to</w:t></w:r>
</w:p>
<w:p>
<w:pPr><w:pStyle w:val="Normal"/></w:pPr>
<w:r><w:t xml:space="preserve">load, as the powder chamber of the gun was removable</w:t></w:r>
</w:p>
<w:p>
<w:pPr><w:pStyle w:val="Normal"/></w:pPr>
<w:r><w:t xml:space="preserve">and was charged by simply filling it up with powder and</w:t></w:r>
</w:p>
<w:p>
<w:pPr><w:pStyle w:val="Normal"/></w:pPr>
<w:r><w:t xml:space="preserve">ramming a wad on top to prevent the escape of the powder.</w:t></w:r>
</w:p>
<w:p>
<w:pPr><w:pStyle w:val="Normal"/></w:pPr>
<w:r><w:t xml:space="preserve">Paper, canvas and similar materials are particularly</w:t></w:r>
</w:p>
<w:p>
<w:pPr><w:pStyle w:val="Normal"/></w:pPr>
<w:r><w:t xml:space="preserve">liable to smoulder after the gun has been fired, hence</w:t></w:r>
</w:p>
<w:p>
<w:pPr><w:pStyle w:val="Normal"/></w:pPr>
<w:r><w:t xml:space="preserve">the necessity of well sponging the piece.  Even with this</w:t></w:r>
</w:p>
<w:p>
<w:pPr><w:pStyle w:val="Normal"/></w:pPr>
<w:r><w:t xml:space="preserve">precaution accidents often occurred owing to a cartridge</w:t></w:r>
</w:p>
<w:p>
<w:pPr><w:pStyle w:val="Normal"/></w:pPr>
<w:r><w:t xml:space="preserve">being ignited by the still glowing debris of the previous</w:t></w:r>
</w:p>
<w:p>
<w:pPr><w:pStyle w:val="Normal"/></w:pPr>
<w:r><w:t xml:space="preserve">round.  In order to prevent this, bags of non-smouldering</w:t></w:r>
</w:p>
<w:p>
<w:pPr><w:pStyle w:val="Normal"/></w:pPr>
<w:r><w:t xml:space="preserve">material, such as flannel, serge or silk cloth are used;</w:t></w:r>
</w:p>
<w:p>
<w:pPr><w:pStyle w:val="Normal"/></w:pPr>
<w:r><w:t xml:space="preserve">combustible material such as woven gun-cotton cloth has also</w:t></w:r>
</w:p>
<w:p>
<w:pPr><w:pStyle w:val="Normal"/></w:pPr>
<w:r><w:t xml:space="preserve">been tried, but there are certain disadvantages attending this.</w:t></w:r>
</w:p>
<w:p>
<w:pPr><w:pStyle w:val="Normal"/></w:pPr>
<w:r><w:t xml:space="preserve">All smokeless powders are somewhat difficult to ignite in a</w:t></w:r>
</w:p>
<w:p>
<w:pPr><w:pStyle w:val="Normal"/></w:pPr>
<w:r><w:t xml:space="preserve">gun, so that in order to prevent hang-fires every cartridge</w:t></w:r>
</w:p>
<w:p>
<w:pPr><w:pStyle w:val="Normal"/></w:pPr>
<w:r><w:t xml:space="preserve">has a primer or igniter, of ordinary fine grain gunpowder,</w:t></w:r>
</w:p>
<w:p>
<w:pPr><w:pStyle w:val="Normal"/></w:pPr>
<w:r><w:t xml:space="preserve">placed so as to intercept the flash from the tube; the outside</w:t></w:r>
</w:p>
<w:p>
<w:pPr><w:pStyle w:val="Normal"/></w:pPr>
<w:r><w:t xml:space="preserve">of the bag containing this igniter is made of shalloon,</w:t></w:r>
</w:p>
<w:p>
<w:pPr><w:pStyle w:val="Normal"/></w:pPr>
<w:r><w:t xml:space="preserve">to allow the flash to penetrate with ease.  The charge for</w:t></w:r>
</w:p>
<w:p>
<w:pPr><w:pStyle w:val="Normal"/></w:pPr>
<w:r><w:t xml:space="preserve">heavy guns (above 6 in.) is made up in separate cartridges</w:t></w:r>
</w:p>
<w:p>
<w:pPr><w:pStyle w:val="Normal"/></w:pPr>
<w:r><w:t xml:space="preserve">containing half and quarter charges, both for convenience</w:t></w:r>
</w:p>
<w:p>
<w:pPr><w:pStyle w:val="Normal"/></w:pPr>
<w:r><w:t xml:space="preserve">of handling, and to allow of a reduced charge being used.</w:t></w:r>
</w:p>
<w:p>
<w:pPr><w:pStyle w:val="Normal"/></w:pPr>
<w:r><w:t xml:space="preserve">The cartridges are made of a bundle of cordite,or other smokeless</w:t></w:r>
</w:p>
<w:p>
<w:pPr><w:pStyle w:val="Normal"/></w:pPr>
<w:r><w:t xml:space="preserve">powder, tightly tied with silk, placed in a silk cloth bag with</w:t></w:r>
</w:p>
<w:p>
<w:pPr><w:pStyle w:val="Normal"/></w:pPr>
<w:r><w:t xml:space="preserve">the primer or igniter stitched on the unclosed end; the exterior</w:t></w:r>
</w:p>
<w:p>
<w:pPr><w:pStyle w:val="Normal"/></w:pPr>
<w:r><w:t xml:space="preserve">is taped with silk cloth tape so as to form a stiff cartridge.  For</w:t></w:r>
</w:p>
<w:p>
<w:pPr><w:pStyle w:val="Normal"/></w:pPr>
<w:r><w:t xml:space="preserve">FIG. 21.--10-inch B.L. Gun Cartridge.</w:t></w:r>
</w:p>
<w:p>
<w:pPr><w:pStyle w:val="Normal"/></w:pPr>
<w:r><w:t xml:space="preserve">some of the longer guns, the exterior of the cartridre</w:t></w:r>
</w:p>
<w:p>
<w:pPr><w:pStyle w:val="Normal"/></w:pPr>
<w:r><w:t xml:space="preserve">is conveniently made of a coned shape, the coned form</w:t></w:r>
</w:p>
<w:p>
<w:pPr><w:pStyle w:val="Normal"/></w:pPr>
<w:r><w:t xml:space="preserve">being produced by building up layers outside a cylindrical</w:t></w:r>
</w:p>
<w:p>
<w:pPr><w:pStyle w:val="Normal"/></w:pPr>
<w:r><w:t xml:space="preserve">core.  In these large cartridges a silk cord becket runs up</w:t></w:r>
</w:p>
<w:p>
<w:pPr><w:pStyle w:val="Normal"/></w:pPr>
<w:r><w:t xml:space="preserve">the centre with a loop at the top for handling (fig. 21).</w:t></w:r>
</w:p>
<w:p>
<w:pPr><w:pStyle w:val="Normal"/></w:pPr>
<w:r><w:t xml:space="preserve">For howitzers, variable charges are used, and are made up so</w:t></w:r>
</w:p>
<w:p>
<w:pPr><w:pStyle w:val="Normal"/></w:pPr>
<w:r><w:t xml:space="preserve">that the weight can be readily altered.  The following typical</w:t></w:r>
</w:p>
<w:p>
<w:pPr><w:pStyle w:val="Normal"/></w:pPr>
<w:r><w:t xml:space="preserve">instance (fig. 22) will serve to show the general method of making</w:t></w:r>
</w:p>
<w:p>
<w:pPr><w:pStyle w:val="Normal"/></w:pPr>
<w:r><w:t xml:space="preserve">Fig. 22.--6-inch B.L. Howitzer Cartridge.</w:t></w:r>
</w:p>
<w:p>
<w:pPr><w:pStyle w:val="Normal"/></w:pPr>
<w:r><w:t xml:space="preserve">such charges, whether for B.L. or Q.F. howitzers.  Small</w:t></w:r>
</w:p>
<w:p>
<w:pPr><w:pStyle w:val="Normal"/></w:pPr>
<w:r><w:t xml:space="preserve">size cordite is used, and the charge is formed of a</w:t></w:r>
</w:p>
<w:p>
<w:pPr><w:pStyle w:val="Normal"/></w:pPr>
<w:r><w:t xml:space="preserve">mushroom-shaped core, made up in a shalloon bag; on the</w:t></w:r>
</w:p>
<w:p>
<w:pPr><w:pStyle w:val="Normal"/></w:pPr>
<w:r><w:t xml:space="preserve">stalk, so as to be easily removed, three rings of cordite are</w:t></w:r>
</w:p>
<w:p>
<w:pPr><w:pStyle w:val="Normal"/></w:pPr>
<w:r><w:t xml:space="preserve">placed.  The bottom of the core contains the primer, and</w:t></w:r>
</w:p>
<w:p>
<w:pPr><w:pStyle w:val="Normal"/></w:pPr>
<w:r><w:t xml:space="preserve">the rings can be attached to the core by two silk braids.</w:t></w:r>
</w:p>
<w:p>
<w:pPr><w:pStyle w:val="Normal"/></w:pPr>
<w:r><w:t xml:space="preserve">The weight of the rings is graduated so that by detaching</w:t></w:r>
</w:p>
<w:p>
<w:pPr><w:pStyle w:val="Normal"/></w:pPr>
<w:r><w:t xml:space="preserve">one or more the varying charges required can be obtained.</w:t></w:r>
</w:p>
<w:p>
<w:pPr><w:pStyle w:val="Normal"/></w:pPr>
<w:r><w:t xml:space="preserve">For quick-firing guns the charge is contained in a brass</w:t></w:r>
</w:p>
<w:p>
<w:pPr><w:pStyle w:val="Normal"/></w:pPr>
<w:r><w:t xml:space="preserve">case to which is fitted a primer for igniting the charge.</w:t></w:r>
</w:p>
<w:p>
<w:pPr><w:pStyle w:val="Normal"/></w:pPr>
<w:r><w:t xml:space="preserve">This case is inserted into the gun, and when fired slightly</w:t></w:r>
</w:p>
<w:p>
<w:pPr><w:pStyle w:val="Normal"/></w:pPr>
<w:r><w:t xml:space="preserve">expands and tightly fits the chamber of the gun, thus acting</w:t></w:r>
</w:p>
<w:p>
<w:pPr><w:pStyle w:val="Normal"/></w:pPr>
<w:r><w:t xml:space="preserve">as an obturator and preventing any escape of gas from the</w:t></w:r>
</w:p>
<w:p>
<w:pPr><w:pStyle w:val="Normal"/></w:pPr>
<w:r><w:t xml:space="preserve">breech.  This class of ammunition is especially useful</w:t></w:r>
</w:p>
<w:p>
<w:pPr><w:pStyle w:val="Normal"/></w:pPr>
<w:r><w:t xml:space="preserve">for the smaller calibres of guns, such as 3-pr., 6-pr. and</w:t></w:r>
</w:p>
<w:p>
<w:pPr><w:pStyle w:val="Normal"/></w:pPr>
<w:r><w:t xml:space="preserve">field guns, but Messrs Krupp also employ metallic cartridge</w:t></w:r>
</w:p>
<w:p>
<w:pPr><w:pStyle w:val="Normal"/></w:pPr>
<w:r><w:t xml:space="preserve">cases for the largest type of gun, probably on account of</w:t></w:r>
</w:p>
<w:p>
<w:pPr><w:pStyle w:val="Normal"/></w:pPr>
<w:r><w:t xml:space="preserve">the known difficulty of ensuring trustworthy obturation</w:t></w:r>
</w:p>
<w:p>
<w:pPr><w:pStyle w:val="Normal"/></w:pPr>
<w:r><w:t xml:space="preserve">by any other means practicable with sliding wedge guns.</w:t></w:r>
</w:p>
<w:p>
<w:pPr><w:pStyle w:val="Normal"/></w:pPr>
<w:r><w:t xml:space="preserve">The charges for these cases are made up in a very similar manner to</w:t></w:r>
</w:p>
<w:p>
<w:pPr><w:pStyle w:val="Normal"/></w:pPr>
<w:r><w:t xml:space="preserve">those already described for B.L. guns.  Where necessary, distance</w:t></w:r>
</w:p>
<w:p>
<w:pPr><w:pStyle w:val="Normal"/></w:pPr>
<w:r><w:t xml:space="preserve">pieces formed of papier-mache tubes and felt wads are used to</w:t></w:r>
</w:p>
<w:p>
<w:pPr><w:pStyle w:val="Normal"/></w:pPr>
<w:r><w:t xml:space="preserve">fill up the space in the case and so prevent any movement of the</w:t></w:r>
</w:p>
<w:p>
<w:pPr><w:pStyle w:val="Normal"/></w:pPr>
<w:r><w:t xml:space="preserve">charge.  The mouth of the case is closed either by the base</w:t></w:r>
</w:p>
<w:p>
<w:pPr><w:pStyle w:val="Normal"/></w:pPr>
<w:r><w:t xml:space="preserve">end of the projectile (fig. 23), in which case it is called</w:t></w:r>
</w:p>
<w:p>
<w:pPr><w:pStyle w:val="Normal"/></w:pPr>
<w:r><w:t xml:space="preserve">``fixed ammunition&apos;&apos; or ``simultaneous loading ammunition.&apos;&apos;</w:t></w:r>
</w:p>
<w:p>
<w:pPr><w:pStyle w:val="Normal"/></w:pPr>
<w:r><w:t xml:space="preserve">or by a metallic cap (fig. 24), when it is called ``separate</w:t></w:r>
</w:p>
<w:p>
<w:pPr><w:pStyle w:val="Normal"/></w:pPr>
<w:r><w:t xml:space="preserve">FIG. 24.--4.7-inch Q.F. Cartridge greatly reduced scale).</w:t></w:r>
</w:p>
<w:p>
<w:pPr><w:pStyle w:val="Normal"/></w:pPr>
<w:r><w:t xml:space="preserve">loading ammunition,&apos;&apos; projectile and charge being</w:t></w:r>
</w:p>
<w:p>
<w:pPr><w:pStyle w:val="Normal"/></w:pPr>
<w:r><w:t xml:space="preserve">thus loaded by separate operations. (A. G. H.)</w:t></w:r>
</w:p>
<w:p>
<w:pPr><w:pStyle w:val="Normal"/></w:pPr>
<w:r><w:t xml:space="preserve">The Bullet.--The original musket bullet was a spherical leaden</w:t></w:r>
</w:p>
<w:p>
<w:pPr><w:pStyle w:val="Normal"/></w:pPr>
<w:r><w:t xml:space="preserve">ball two sizes smaller than the bore, wrapped in a loosely</w:t></w:r>
</w:p>
<w:p>
<w:pPr><w:pStyle w:val="Normal"/></w:pPr>
<w:r><w:t xml:space="preserve">fitting paper patch which formed the cartridge.  The loading</w:t></w:r>
</w:p>
<w:p>
<w:pPr><w:pStyle w:val="Normal"/></w:pPr>
<w:r><w:t xml:space="preserve">was, therefore, easy with the old smooth-bore Brown Bess and</w:t></w:r>
</w:p>
<w:p>
<w:pPr><w:pStyle w:val="Normal"/></w:pPr>
<w:r><w:t xml:space="preserve">similar military muskets.  The original muzzle-loading rifle,</w:t></w:r>
</w:p>
<w:p>
<w:pPr><w:pStyle w:val="Normal"/></w:pPr>
<w:r><w:t xml:space="preserve">on the other hand, with a closely fitting ball to take the</w:t></w:r>
</w:p>
<w:p>
<w:pPr><w:pStyle w:val="Normal"/></w:pPr>
<w:r><w:t xml:space="preserve">grooves, was loaded with difficulty, particularly when foul, and</w:t></w:r>
</w:p>
<w:p>
<w:pPr><w:pStyle w:val="Normal"/></w:pPr>
<w:r><w:t xml:space="preserve">for this reason was not generally used for military purposes.</w:t></w:r>
</w:p>
<w:p>
<w:pPr><w:pStyle w:val="Normal"/></w:pPr>
<w:r><w:t xml:space="preserve">In 1826 Delirque, a French infantry officer, invented a</w:t></w:r>
</w:p>
<w:p>
<w:pPr><w:pStyle w:val="Normal"/></w:pPr>
<w:r><w:t xml:space="preserve">breech with abrupt shoulders on which the spherical bullet</w:t></w:r>
</w:p>
<w:p>
<w:pPr><w:pStyle w:val="Normal"/></w:pPr>
<w:r><w:t xml:space="preserve">was rammed down until it expanded and filled the grooves.</w:t></w:r>
</w:p>
<w:p>
<w:pPr><w:pStyle w:val="Normal"/></w:pPr>
<w:r><w:t xml:space="preserve">The objection in this case was that the deformed bullet</w:t></w:r>
</w:p>
<w:p>
<w:pPr><w:pStyle w:val="Normal"/></w:pPr>
<w:r><w:t xml:space="preserve">had an erratic flight.  The Brunswick rifle, introduced</w:t></w:r>
</w:p>
<w:p>
<w:pPr><w:pStyle w:val="Normal"/></w:pPr>
<w:r><w:t xml:space="preserve">into the British army in the reign of William IV., fired a</w:t></w:r>
</w:p>
<w:p>
<w:pPr><w:pStyle w:val="Normal"/></w:pPr>
<w:r><w:t xml:space="preserve">spherical bullet weighing 557 grs. with a belt to fit the</w:t></w:r>
</w:p>
<w:p>
<w:pPr><w:pStyle w:val="Normal"/></w:pPr>
<w:r><w:t xml:space="preserve">grooves.  The rifle was not easily loaded, and soon</w:t></w:r>
</w:p>
<w:p>
<w:pPr><w:pStyle w:val="Normal"/></w:pPr>
<w:r><w:t xml:space="preserve">fouled.  In 1835 W. Greener produced a new expansive bullet,</w:t></w:r>
</w:p>
<w:p>
<w:pPr><w:pStyle w:val="Normal"/></w:pPr>
<w:r><w:t xml:space="preserve">an oval ball, a diameter and a half in length, with a flat</w:t></w:r>
</w:p>
<w:p>
<w:pPr><w:pStyle w:val="Normal"/></w:pPr>
<w:r><w:t xml:space="preserve">end, perforated, in which a cast metallic taper plug was</w:t></w:r>
</w:p>
<w:p>
<w:pPr><w:pStyle w:val="Normal"/></w:pPr>
<w:r><w:t xml:space="preserve">inserted.  The explosion of the charge drove the plug</w:t></w:r>
</w:p>
<w:p>
<w:pPr><w:pStyle w:val="Normal"/></w:pPr>
<w:r><w:t xml:space="preserve">home, expanded the bullet, filled the grooves and prevented</w:t></w:r>
</w:p>
<w:p>
<w:pPr><w:pStyle w:val="Normal"/></w:pPr>
<w:r><w:t xml:space="preserve">windage.  A trial of the Greener bullet in August 1835, at</w:t></w:r>
</w:p>
<w:p>
<w:pPr><w:pStyle w:val="Normal"/></w:pPr>
<w:r><w:t xml:space="preserve">Tynemouth, by a party of the 60th (now King&apos;s Royal) Rifles,</w:t></w:r>
</w:p>
<w:p>
<w:pPr><w:pStyle w:val="Normal"/></w:pPr>
<w:r><w:t xml:space="preserve">proved successful.  The range and accuracy of the rifle were</w:t></w:r>
</w:p>
<w:p>
<w:pPr><w:pStyle w:val="Normal"/></w:pPr>
<w:r><w:t xml:space="preserve">retained, while the loading proved as easy as with a smooth-bore</w:t></w:r>
</w:p>
<w:p>
<w:pPr><w:pStyle w:val="Normal"/></w:pPr>
<w:r><w:t xml:space="preserve">musket.  The invention was, however, rejected by the military</w:t></w:r>
</w:p>
<w:p>
<w:pPr><w:pStyle w:val="Normal"/></w:pPr>
<w:r><w:t xml:space="preserve">authorities on the ground that the bullet was a compound one.</w:t></w:r>
</w:p>
<w:p>
<w:pPr><w:pStyle w:val="Normal"/></w:pPr>
<w:r><w:t xml:space="preserve">In 1852 the government awarded Minie, a Frenchman, L. 20,000 for</w:t></w:r>
</w:p>
<w:p>
<w:pPr><w:pStyle w:val="Normal"/></w:pPr>
<w:r><w:t xml:space="preserve">a bullet of the same principle, adopted into the British</w:t></w:r>
</w:p>
<w:p>
<w:pPr><w:pStyle w:val="Normal"/></w:pPr>
<w:r><w:t xml:space="preserve">service.  Subsequently, in 1857, Greener was also awarded</w:t></w:r>
</w:p>
<w:p>
<w:pPr><w:pStyle w:val="Heading1"/></w:pPr>
<w:r><w:t>L. 1000 for ``the first public suggestion of the principle of</w:t></w:r>
</w:p>
<w:p>
<w:pPr><w:pStyle w:val="Normal"/></w:pPr>
<w:r><w:t xml:space="preserve">expansion, commonly called the Minie principle, in 1836.&apos;&apos; The</w:t></w:r>
</w:p>
<w:p>
<w:pPr><w:pStyle w:val="Normal"/></w:pPr>
<w:r><w:t xml:space="preserve">Minie bullet contained an iron cup in a cavity in the base of</w:t></w:r>
</w:p>
<w:p>
<w:pPr><w:pStyle w:val="Normal"/></w:pPr>
<w:r><w:t xml:space="preserve">the bullet.  The form of the bullet was subsequently changed</w:t></w:r>
</w:p>
<w:p>
<w:pPr><w:pStyle w:val="Normal"/></w:pPr>
<w:r><w:t xml:space="preserve">from conoidal to cylindro-conoidal, with a hemispherical iron</w:t></w:r>
</w:p>
<w:p>
<w:pPr><w:pStyle w:val="Normal"/></w:pPr>
<w:r><w:t xml:space="preserve">cup.  This bullet was used in the Enfield rifle introduced into</w:t></w:r>
</w:p>
<w:p>
<w:pPr><w:pStyle w:val="Normal"/></w:pPr>
<w:r><w:t xml:space="preserve">the British army in 1855.  It weighed 530 grs., and was made</w:t></w:r>
</w:p>
<w:p>
<w:pPr><w:pStyle w:val="Normal"/></w:pPr>
<w:r><w:t xml:space="preserve">up into cartridges and lubricated as for the Minie rifle.  A</w:t></w:r>
</w:p>
<w:p>
<w:pPr><w:pStyle w:val="Normal"/></w:pPr>
<w:r><w:t xml:space="preserve">boxwood plug to the bullet was also used.  The bullet used in</w:t></w:r>
</w:p>
<w:p>
<w:pPr><w:pStyle w:val="Normal"/></w:pPr>
<w:r><w:t xml:space="preserve">the breech-loading Martini-Henry rifle, adopted by the British</w:t></w:r>
</w:p>
<w:p>
<w:pPr><w:pStyle w:val="Normal"/></w:pPr>
<w:r><w:t xml:space="preserve">government in 1871 in succession to the Snider-Enfield rifle,</w:t></w:r>
</w:p>
<w:p>
<w:pPr><w:pStyle w:val="Normal"/></w:pPr>
<w:r><w:t xml:space="preserve">weighed 480 grs., and was fired from an Eley-Boxer cartridge-</w:t></w:r>
</w:p>
<w:p>
<w:pPr><w:pStyle w:val="Normal"/></w:pPr>
<w:r><w:t xml:space="preserve">case with a wad of wax lubrication at the base of the bullet.</w:t></w:r>
</w:p>
<w:p>
<w:pPr><w:pStyle w:val="Normal"/></w:pPr>
<w:r><w:t xml:space="preserve">Between 1854 and 1857 Sir Joseph Whitworth conducted a long</w:t></w:r>
</w:p>
<w:p>
<w:pPr><w:pStyle w:val="Normal"/></w:pPr>
<w:r><w:t xml:space="preserve">series of rifle experiments, and proved, among other points, the</w:t></w:r>
</w:p>
<w:p>
<w:pPr><w:pStyle w:val="Normal"/></w:pPr>
<w:r><w:t xml:space="preserve">advantages of a smaller bore and, in particular, of an elongated</w:t></w:r>
</w:p>
<w:p>
<w:pPr><w:pStyle w:val="Normal"/></w:pPr>
<w:r><w:t xml:space="preserve">bullet.  The Whitworth bullet was made to fit the grooves of</w:t></w:r>
</w:p>
<w:p>
<w:pPr><w:pStyle w:val="Normal"/></w:pPr>
<w:r><w:t xml:space="preserve">the rifle mechanically.  The Whitworth rifle was never adopted</w:t></w:r>
</w:p>
<w:p>
<w:pPr><w:pStyle w:val="Normal"/></w:pPr>
<w:r><w:t xml:space="preserve">by the government, although it was used extensively for match</w:t></w:r>
</w:p>
<w:p>
<w:pPr><w:pStyle w:val="Normal"/></w:pPr>
<w:r><w:t xml:space="preserve">purposes and target practice between 1857 and 1866, when it</w:t></w:r>
</w:p>
<w:p>
<w:pPr><w:pStyle w:val="Normal"/></w:pPr>
<w:r><w:t xml:space="preserve">was gradually superseded by Metford&apos;s System mentioned below.</w:t></w:r>
</w:p>
<w:p>
<w:pPr><w:pStyle w:val="Normal"/></w:pPr>
<w:r><w:t xml:space="preserve">The next important change in the history of the rifle</w:t></w:r>
</w:p>
<w:p>
<w:pPr><w:pStyle w:val="Normal"/></w:pPr>
<w:r><w:t xml:space="preserve">bullet occurred in 1883, when Major Rubin, director of the</w:t></w:r>
</w:p>
<w:p>
<w:pPr><w:pStyle w:val="Normal"/></w:pPr>
<w:r><w:t xml:space="preserve">Swiss Laboratory at Thun, invented the small-calibre rifle,</w:t></w:r>
</w:p>
<w:p>
<w:pPr><w:pStyle w:val="Normal"/></w:pPr>
<w:r><w:t xml:space="preserve">one of whose essential features was the employment of an</w:t></w:r>
</w:p>
<w:p>
<w:pPr><w:pStyle w:val="Normal"/></w:pPr>
<w:r><w:t xml:space="preserve">elongated compound bullet, with a leaden core in a copper</w:t></w:r>
</w:p>
<w:p>
<w:pPr><w:pStyle w:val="Normal"/></w:pPr>
<w:r><w:t xml:space="preserve">envelope.  About 1862 and later, W. E. Metford had carried out</w:t></w:r>
</w:p>
<w:p>
<w:pPr><w:pStyle w:val="Normal"/></w:pPr>
<w:r><w:t xml:space="preserve">an exhaustive series of experiments on bullets and rifling,</w:t></w:r>
</w:p>
<w:p>
<w:pPr><w:pStyle w:val="Normal"/></w:pPr>
<w:r><w:t xml:space="preserve">and had invented the important system of light rifling with</w:t></w:r>
</w:p>
<w:p>
<w:pPr><w:pStyle w:val="Normal"/></w:pPr>
<w:r><w:t xml:space="preserve">increasing spiral, and a hardened bullet.  The combined</w:t></w:r>
</w:p>
<w:p>
<w:pPr><w:pStyle w:val="Normal"/></w:pPr>
<w:r><w:t xml:space="preserve">result of the above inventions was that in December 1888</w:t></w:r>
</w:p>
<w:p>
<w:pPr><w:pStyle w:val="Normal"/></w:pPr>
<w:r><w:t xml:space="preserve">the Lee-Metford small-bore .303 rifle, Mark I., was finally</w:t></w:r>
</w:p>
<w:p>
<w:pPr><w:pStyle w:val="Normal"/></w:pPr>
<w:r><w:t xml:space="preserve">adopted for the British army.  The latest development of this</w:t></w:r>
</w:p>
<w:p>
<w:pPr><w:pStyle w:val="Normal"/></w:pPr>
<w:r><w:t xml:space="preserve">rifle is now known as the .303 Lee-Enfleld, which fires a</w:t></w:r>
</w:p>
<w:p>
<w:pPr><w:pStyle w:val="Normal"/></w:pPr>
<w:r><w:t xml:space="preserve">long, thin, nickel-covered, leaden-cored bullet 1.25 in.</w:t></w:r>
</w:p>
<w:p>
<w:pPr><w:pStyle w:val="Normal"/></w:pPr>
<w:r><w:t xml:space="preserve">long, weighing only 215 grs., while the Martini-Henry bullet,</w:t></w:r>
</w:p>
<w:p>
<w:pPr><w:pStyle w:val="Normal"/></w:pPr>
<w:r><w:t xml:space="preserve">1.27 in. in length and .45 in. in diameter, weighed 480 grs.</w:t></w:r>
</w:p>
<w:p>
<w:pPr><w:pStyle w:val="Normal"/></w:pPr>
<w:r><w:t xml:space="preserve">The adoption of the smaller elongated bullet, necessitated</w:t></w:r>
</w:p>
<w:p>
<w:pPr><w:pStyle w:val="Normal"/></w:pPr>
<w:r><w:t xml:space="preserve">by the smaller calibre of the rifle, entailed some definite</w:t></w:r>
</w:p>
<w:p>
<w:pPr><w:pStyle w:val="Normal"/></w:pPr>
<w:r><w:t xml:space="preserve">disadvantages.  The lighter bullet is more affected by</w:t></w:r>
</w:p>
<w:p>
<w:pPr><w:pStyle w:val="Normal"/></w:pPr>
<w:r><w:t xml:space="preserve">wind.  Its greater relative length to diameter necessitates</w:t></w:r>
</w:p>
<w:p>
<w:pPr><w:pStyle w:val="Normal"/></w:pPr>
<w:r><w:t xml:space="preserve">a sharper pitch of rifling in order properly to revolve the</w:t></w:r>
</w:p>
<w:p>
<w:pPr><w:pStyle w:val="Normal"/></w:pPr>
<w:r><w:t xml:space="preserve">bullet (one turn in 10 in. for the .303 rifle as compared with</w:t></w:r>
</w:p>
<w:p>
<w:pPr><w:pStyle w:val="Normal"/></w:pPr>
<w:r><w:t xml:space="preserve">one turn in 22 in. for the Martini-Henry).  This, in its turn,</w:t></w:r>
</w:p>
<w:p>
<w:pPr><w:pStyle w:val="Normal"/></w:pPr>
<w:r><w:t xml:space="preserve">necessitates a hard nickel envelope for the leaden bullet in</w:t></w:r>
</w:p>
<w:p>
<w:pPr><w:pStyle w:val="Normal"/></w:pPr>
<w:r><w:t xml:space="preserve">order to prevent its ``stripping,&apos;&apos; or being forced through</w:t></w:r>
</w:p>
<w:p>
<w:pPr><w:pStyle w:val="Normal"/></w:pPr>
<w:r><w:t xml:space="preserve">the barrel without rotation.  The general result is that,</w:t></w:r>
</w:p>
<w:p>
<w:pPr><w:pStyle w:val="Normal"/></w:pPr>
<w:r><w:t xml:space="preserve">while the enveloped bullet has a much higher penetrative power</w:t></w:r>
</w:p>
<w:p>
<w:pPr><w:pStyle w:val="Normal"/></w:pPr>
<w:r><w:t xml:space="preserve">than one of lead only, it does not usually inflict so severe</w:t></w:r>
</w:p>
<w:p>
<w:pPr><w:pStyle w:val="Normal"/></w:pPr>
<w:r><w:t xml:space="preserve">a wound, nor has it such a stunning effect as the old lead</w:t></w:r>
</w:p>
<w:p>
<w:pPr><w:pStyle w:val="Normal"/></w:pPr>
<w:r><w:t xml:space="preserve">bullet.  It cuts a small clean hole, but does not deform.</w:t></w:r>
</w:p>
<w:p>
<w:pPr><w:pStyle w:val="Normal"/></w:pPr>
<w:r><w:t xml:space="preserve">This fact is of some military importance, as, for example,</w:t></w:r>
</w:p>
<w:p>
<w:pPr><w:pStyle w:val="Normal"/></w:pPr>
<w:r><w:t xml:space="preserve">in warfare with savages, in which the chief danger is usually</w:t></w:r>
</w:p>
<w:p>
<w:pPr><w:pStyle w:val="Normal"/></w:pPr>
<w:r><w:t xml:space="preserve">a rush of large numbers at close quarters.  The advantages,</w:t></w:r>
</w:p>
<w:p>
<w:pPr><w:pStyle w:val="Normal"/></w:pPr>
<w:r><w:t xml:space="preserve">however, of the smaller calibre and the lighter bullet and</w:t></w:r>
</w:p>
<w:p>
<w:pPr><w:pStyle w:val="Normal"/></w:pPr>
<w:r><w:t xml:space="preserve">ammunition are considered to outweigh the disadvantages, and</w:t></w:r>
</w:p>
<w:p>
<w:pPr><w:pStyle w:val="Normal"/></w:pPr>
<w:r><w:t xml:space="preserve">they have been universally adopted for all military rifles.</w:t></w:r>
</w:p>
<w:p>
<w:pPr><w:pStyle w:val="Normal"/></w:pPr>
<w:r><w:t xml:space="preserve">Bullets for target and sporting-rifles have, in the main,</w:t></w:r>
</w:p>
<w:p>
<w:pPr><w:pStyle w:val="Normal"/></w:pPr>
<w:r><w:t xml:space="preserve">followed, or occasionally preceded, the line of progress of</w:t></w:r>
</w:p>
<w:p>
<w:pPr><w:pStyle w:val="Normal"/></w:pPr>
<w:r><w:t xml:space="preserve">military rifle bullets.  In 1861 Henry introduced a modification</w:t></w:r>
</w:p>
<w:p>
<w:pPr><w:pStyle w:val="Normal"/></w:pPr>
<w:r><w:t xml:space="preserve">of the grooving of the cylindrical Whitworth bullet, and in</w:t></w:r>
</w:p>
<w:p>
<w:pPr><w:pStyle w:val="Normal"/></w:pPr>
<w:r><w:t xml:space="preserve">1864 and 1865 the Rigby mechanically fitting bullet was used</w:t></w:r>
</w:p>
<w:p>
<w:pPr><w:pStyle w:val="Normal"/></w:pPr>
<w:r><w:t xml:space="preserve">with success at the National Rifle Association meeting, and</w:t></w:r>
</w:p>
<w:p>
<w:pPr><w:pStyle w:val="Normal"/></w:pPr>
<w:r><w:t xml:space="preserve">in the second stage of the Queen&apos;s prize.  The bullets of</w:t></w:r>
</w:p>
<w:p>
<w:pPr><w:pStyle w:val="Normal"/></w:pPr>
<w:r><w:t xml:space="preserve">sporting rifles, and particularly those of Express rifles,</w:t></w:r>
</w:p>
<w:p>
<w:pPr><w:pStyle w:val="Normal"/></w:pPr>
<w:r><w:t xml:space="preserve">are often lighter than military bullets, and made with hollow</w:t></w:r>
</w:p>
<w:p>
<w:pPr><w:pStyle w:val="Normal"/></w:pPr>
<w:r><w:t xml:space="preserve">points to ensure the expansion of the projectile on or after</w:t></w:r>
</w:p>
<w:p>
<w:pPr><w:pStyle w:val="Normal"/></w:pPr>
<w:r><w:t xml:space="preserve">impact.  The size and shape of the hollow in the point vary</w:t></w:r>
</w:p>
<w:p>
<w:pPr><w:pStyle w:val="Normal"/></w:pPr>
<w:r><w:t xml:space="preserve">according to the purpose required and the nature of the game</w:t></w:r>
</w:p>
<w:p>
<w:pPr><w:pStyle w:val="Normal"/></w:pPr>
<w:r><w:t xml:space="preserve">hunted.  If greater penetration is needed, the leaden bullet</w:t></w:r>
</w:p>
<w:p>
<w:pPr><w:pStyle w:val="Normal"/></w:pPr>
<w:r><w:t xml:space="preserve">is hardened with mercury or tin, or the military nickel-coated</w:t></w:r>
</w:p>
<w:p>
<w:pPr><w:pStyle w:val="Normal"/></w:pPr>
<w:r><w:t xml:space="preserve">bullet is used with the small-bore, smokeless- powder rifles.</w:t></w:r>
</w:p>
<w:p>
<w:pPr><w:pStyle w:val="Normal"/></w:pPr>
<w:r><w:t xml:space="preserve">Explosive bullets filled with detonating powder were at one</w:t></w:r>
</w:p>
<w:p>
<w:pPr><w:pStyle w:val="Normal"/></w:pPr>
<w:r><w:t xml:space="preserve">time used in Express and large-bore rifles for large game.</w:t></w:r>
</w:p>
<w:p>
<w:pPr><w:pStyle w:val="Normal"/></w:pPr>
<w:r><w:t xml:space="preserve">The use of these bullets is now practically abandoned owing to</w:t></w:r>
</w:p>
<w:p>
<w:pPr><w:pStyle w:val="Normal"/></w:pPr>
<w:r><w:t xml:space="preserve">their uncertainty of action and the danger involved in handling</w:t></w:r>
</w:p>
<w:p>
<w:pPr><w:pStyle w:val="Normal"/></w:pPr>
<w:r><w:t xml:space="preserve">them.  Their use in warfare is prohibited by international law.</w:t></w:r>
</w:p>
<w:p>
<w:pPr><w:pStyle w:val="Normal"/></w:pPr>
<w:r><w:t xml:space="preserve">The nickel-covered bullet, when used in a modern small-bore</w:t></w:r>
</w:p>
<w:p>
<w:pPr><w:pStyle w:val="Normal"/></w:pPr>
<w:r><w:t xml:space="preserve">rifle for sporting purposes, is made into an expanding</w:t></w:r>
</w:p>
<w:p>
<w:pPr><w:pStyle w:val="Normal"/></w:pPr>
<w:r><w:t xml:space="preserve">bullet, either by leaving the leaden core uncovered at</w:t></w:r>
</w:p>
<w:p>
<w:pPr><w:pStyle w:val="Normal"/></w:pPr>
<w:r><w:t xml:space="preserve">the nose of the bullet, with or without a hollow point,</w:t></w:r>
</w:p>
<w:p>
<w:pPr><w:pStyle w:val="Normal"/></w:pPr>
<w:r><w:t xml:space="preserve">or by cutting transverse or longitudinal nicks of varying</w:t></w:r>
</w:p>
<w:p>
<w:pPr><w:pStyle w:val="Normal"/></w:pPr>
<w:r><w:t xml:space="preserve">depth in the point or circumference of the bullet.</w:t></w:r>
</w:p>
<w:p>
<w:pPr><w:pStyle w:val="Normal"/></w:pPr>
<w:r><w:t xml:space="preserve">A cone-shaped sharp-pointed bullet, named the Spitzer bullet,</w:t></w:r>
</w:p>
<w:p>
<w:pPr><w:pStyle w:val="Normal"/></w:pPr>
<w:r><w:t xml:space="preserve">has been tried in the United States under the auspices</w:t></w:r>
</w:p>
<w:p>
<w:pPr><w:pStyle w:val="Normal"/></w:pPr>
<w:r><w:t xml:space="preserve">of the Ordnance Department, in a Springfield rifle, which</w:t></w:r>
</w:p>
<w:p>
<w:pPr><w:pStyle w:val="Normal"/></w:pPr>
<w:r><w:t xml:space="preserve">is practically identical with the British service .303</w:t></w:r>
</w:p>
<w:p>
<w:pPr><w:pStyle w:val="Normal"/></w:pPr>
<w:r><w:t xml:space="preserve">Lee-Enfield.  This bullet is lighter than the Lee-Enfield</w:t></w:r>
</w:p>
<w:p>
<w:pPr><w:pStyle w:val="Normal"/></w:pPr>
<w:r><w:t xml:space="preserve">bullet (150 grs. as against 215 grs.), and when fired with</w:t></w:r>
</w:p>
<w:p>
<w:pPr><w:pStyle w:val="Normal"/></w:pPr>
<w:r><w:t xml:space="preserve">a heavier charge of powder (51 grs. as against 31 grs.)</w:t></w:r>
</w:p>
<w:p>
<w:pPr><w:pStyle w:val="Normal"/></w:pPr>
<w:r><w:t xml:space="preserve">gives, it is claimed, better results in muzzle-velocity,</w:t></w:r>
</w:p>
<w:p>
<w:pPr><w:pStyle w:val="Normal"/></w:pPr>
<w:r><w:t xml:space="preserve">trajectory, deflexion from wind and wear and tear of rifling,</w:t></w:r>
</w:p>
<w:p>
<w:pPr><w:pStyle w:val="Normal"/></w:pPr>
<w:r><w:t xml:space="preserve">than the present universally used cylinder-shaped bullet.</w:t></w:r>
</w:p>
<w:p>
<w:pPr><w:pStyle w:val="Normal"/></w:pPr>
<w:r><w:t xml:space="preserve">In 1906 details of its prototype, the German ``S&apos;&apos; bullet</w:t></w:r>
</w:p>
<w:p>
<w:pPr><w:pStyle w:val="Normal"/></w:pPr>
<w:r><w:t xml:space="preserve">(Spitzgeschoss), and of the French ``D&apos;&apos; bullet, were published.</w:t></w:r>
</w:p>
<w:p>
<w:pPr><w:pStyle w:val="Normal"/></w:pPr>
<w:r><w:t xml:space="preserve">The Cartridge.--The original cartridge for military small</w:t></w:r>
</w:p>
<w:p>
<w:pPr><w:pStyle w:val="Normal"/></w:pPr>
<w:r><w:t xml:space="preserve">arms dates from 1586.  It consisted of a charge of powder</w:t></w:r>
</w:p>
<w:p>
<w:pPr><w:pStyle w:val="Normal"/></w:pPr>
<w:r><w:t xml:space="preserve">and a bullet in a paper envelope.  This cartridge was used</w:t></w:r>
</w:p>
<w:p>
<w:pPr><w:pStyle w:val="Normal"/></w:pPr>
<w:r><w:t xml:space="preserve">with the muzzle- loading military firearm, the base of the</w:t></w:r>
</w:p>
<w:p>
<w:pPr><w:pStyle w:val="Normal"/></w:pPr>
<w:r><w:t xml:space="preserve">cartridge being ripped or bitten off by the soldier, the</w:t></w:r>
</w:p>
<w:p>
<w:pPr><w:pStyle w:val="Normal"/></w:pPr>
<w:r><w:t xml:space="preserve">powder poured into the barrel, and the bullet then rammed</w:t></w:r>
</w:p>
<w:p>
<w:pPr><w:pStyle w:val="Normal"/></w:pPr>
<w:r><w:t xml:space="preserve">home.  Before the invention of the firelock or flint-lock,</w:t></w:r>
</w:p>
<w:p>
<w:pPr><w:pStyle w:val="Normal"/></w:pPr>
<w:r><w:t xml:space="preserve">about 1635, the priming was originally put into the pan of</w:t></w:r>
</w:p>
<w:p>
<w:pPr><w:pStyle w:val="Normal"/></w:pPr>
<w:r><w:t xml:space="preserve">the wheel-lock and snaphance muskets from a flask containing</w:t></w:r>
</w:p>
<w:p>
<w:pPr><w:pStyle w:val="Normal"/></w:pPr>
<w:r><w:t xml:space="preserve">a fine-grained powder called serpentine powder.  Later the</w:t></w:r>
</w:p>
<w:p>
<w:pPr><w:pStyle w:val="Normal"/></w:pPr>
<w:r><w:t xml:space="preserve">pan was filled from the cartridge above described before</w:t></w:r>
</w:p>
<w:p>
<w:pPr><w:pStyle w:val="Normal"/></w:pPr>
<w:r><w:t xml:space="preserve">loading.  The mechanism of the flint-lock musket, in which the</w:t></w:r>
</w:p>
<w:p>
<w:pPr><w:pStyle w:val="Normal"/></w:pPr>
<w:r><w:t xml:space="preserve">FIG. 25.</w:t></w:r>
</w:p>
<w:p>
<w:pPr><w:pStyle w:val="Normal"/></w:pPr>
<w:r><w:t xml:space="preserve">pan was covered by the furrowed steel struck by the flint,</w:t></w:r>
</w:p>
<w:p>
<w:pPr><w:pStyle w:val="Normal"/></w:pPr>
<w:r><w:t xml:space="preserve">rendered this method of priming unnecessary, as, in loading, a</w:t></w:r>
</w:p>
<w:p>
<w:pPr><w:pStyle w:val="Normal"/></w:pPr>
<w:r><w:t xml:space="preserve">portion of the charge of powder passed from the barrel through</w:t></w:r>
</w:p>
<w:p>
<w:pPr><w:pStyle w:val="Normal"/></w:pPr>
<w:r><w:t xml:space="preserve">the vent into the pan, where it was held by the cover and hammer.</w:t></w:r>
</w:p>
<w:p>
<w:pPr><w:pStyle w:val="Normal"/></w:pPr>
<w:r><w:t xml:space="preserve">The next important advance in the method of ignition was the</w:t></w:r>
</w:p>
<w:p>
<w:pPr><w:pStyle w:val="Normal"/></w:pPr>
<w:r><w:t xml:space="preserve">introduction of the copper percussion cap.  This was only generally</w:t></w:r>
</w:p>
<w:p>
<w:pPr><w:pStyle w:val="Normal"/></w:pPr>
<w:r><w:t xml:space="preserve">applied to the British military musket (the Brown Bess) in</w:t></w:r>
</w:p>
<w:p>
<w:pPr><w:pStyle w:val="Normal"/></w:pPr>
<w:r><w:t xml:space="preserve">1842, a quarter of a century after the invention of percussion</w:t></w:r>
</w:p>
<w:p>
<w:pPr><w:pStyle w:val="Normal"/></w:pPr>
<w:r><w:t xml:space="preserve">powder and after an elaborate government test at Woolwich in</w:t></w:r>
</w:p>
<w:p>
<w:pPr><w:pStyle w:val="Normal"/></w:pPr>
<w:r><w:t xml:space="preserve">1834.  The invention which made the percussion cap possible</w:t></w:r>
</w:p>
<w:p>
<w:pPr><w:pStyle w:val="Normal"/></w:pPr>
<w:r><w:t xml:space="preserve">was patented by the Rev. A. J. Forsyth in 1807, and consisted</w:t></w:r>
</w:p>
<w:p>
<w:pPr><w:pStyle w:val="Normal"/></w:pPr>
<w:r><w:t xml:space="preserve">of priming with a fulminating powder made of chlorate of</w:t></w:r>
</w:p>
<w:p>
<w:pPr><w:pStyle w:val="Normal"/></w:pPr>
<w:r><w:t xml:space="preserve">potash, sulphur and charcoal, which exploded by concussion.</w:t></w:r>
</w:p>
<w:p>
<w:pPr><w:pStyle w:val="Normal"/></w:pPr>
<w:r><w:t xml:space="preserve">This invention was gradually developed, and used, first in a</w:t></w:r>
</w:p>
<w:p>
<w:pPr><w:pStyle w:val="Normal"/></w:pPr>
<w:r><w:t xml:space="preserve">steel cap, and then in a copper cap, by various gunmakers and</w:t></w:r>
</w:p>
<w:p>
<w:pPr><w:pStyle w:val="Normal"/></w:pPr>
<w:r><w:t xml:space="preserve">private individuals before coming into general military use</w:t></w:r>
</w:p>
<w:p>
<w:pPr><w:pStyle w:val="Normal"/></w:pPr>
<w:r><w:t xml:space="preserve">nearly thirty years later.  The alteration of the military</w:t></w:r>
</w:p>
<w:p>
<w:pPr><w:pStyle w:val="Normal"/></w:pPr>
<w:r><w:t xml:space="preserve">flint-lock to the percussion musket was easily accomplished</w:t></w:r>
</w:p>
<w:p>
<w:pPr><w:pStyle w:val="Normal"/></w:pPr>
<w:r><w:t xml:space="preserve">by replacing the powder pan by a perforated nipple, and by</w:t></w:r>
</w:p>
<w:p>
<w:pPr><w:pStyle w:val="Normal"/></w:pPr>
<w:r><w:t xml:space="preserve">replacing the cock or hammer which held the flint by a smaller</w:t></w:r>
</w:p>
<w:p>
<w:pPr><w:pStyle w:val="Normal"/></w:pPr>
<w:r><w:t xml:space="preserve">hammer with a hollow to fit on the nipple when released by the</w:t></w:r>
</w:p>
<w:p>
<w:pPr><w:pStyle w:val="Normal"/></w:pPr>
<w:r><w:t xml:space="preserve">trigger.  On the nipple was placed the copper cap containing</w:t></w:r>
</w:p>
<w:p>
<w:pPr><w:pStyle w:val="Normal"/></w:pPr>
<w:r><w:t xml:space="preserve">the detonating composition, now made of three parts of chlorate</w:t></w:r>
</w:p>
<w:p>
<w:pPr><w:pStyle w:val="Normal"/></w:pPr>
<w:r><w:t xml:space="preserve">of potash, two of fulminate of mercury and one of powdered</w:t></w:r>
</w:p>
<w:p>
<w:pPr><w:pStyle w:val="Normal"/></w:pPr>
<w:r><w:t xml:space="preserve">glass.  The detonating cap thus invented and adopted, brought</w:t></w:r>
</w:p>
<w:p>
<w:pPr><w:pStyle w:val="Normal"/></w:pPr>
<w:r><w:t xml:space="preserve">about the invention of the modern cartridge case, and rendered</w:t></w:r>
</w:p>
<w:p>
<w:pPr><w:pStyle w:val="Normal"/></w:pPr>
<w:r><w:t xml:space="preserve">possible the general adoption of the breech-loading principle</w:t></w:r>
</w:p>
<w:p>
<w:pPr><w:pStyle w:val="Normal"/></w:pPr>
<w:r><w:t xml:space="preserve">for all varieties of rifles, shot guns and pistols.  Probably</w:t></w:r>
</w:p>
<w:p>
<w:pPr><w:pStyle w:val="Normal"/></w:pPr>
<w:r><w:t xml:space="preserve">no invention connected with firearms has wrought such changes</w:t></w:r>
</w:p>
<w:p>
<w:pPr><w:pStyle w:val="Normal"/></w:pPr>
<w:r><w:t xml:space="preserve">in the principle of gun construction as those effected by</w:t></w:r>
</w:p>
<w:p>
<w:pPr><w:pStyle w:val="Normal"/></w:pPr>
<w:r><w:t xml:space="preserve">the expansive cartridge case.  This invention has completely</w:t></w:r>
</w:p>
<w:p>
<w:pPr><w:pStyle w:val="Normal"/></w:pPr>
<w:r><w:t xml:space="preserve">revolutionized the art of gunmaking, has been successfully</w:t></w:r>
</w:p>
<w:p>
<w:pPr><w:pStyle w:val="Normal"/></w:pPr>
<w:r><w:t xml:space="preserve">applied to all descriptions of firearms, and has produced a</w:t></w:r>
</w:p>
<w:p>
<w:pPr><w:pStyle w:val="Normal"/></w:pPr>
<w:r><w:t xml:space="preserve">new and important industry--that of cartridge manufacture.</w:t></w:r>
</w:p>
<w:p>
<w:pPr><w:pStyle w:val="Normal"/></w:pPr>
<w:r><w:t xml:space="preserve">Its essential feature is the prevention of all escape of</w:t></w:r>
</w:p>
<w:p>
<w:pPr><w:pStyle w:val="Normal"/></w:pPr>
<w:r><w:t xml:space="preserve">gas at the breech when the weapon is fired, by means of</w:t></w:r>
</w:p>
<w:p>
<w:pPr><w:pStyle w:val="Normal"/></w:pPr>
<w:r><w:t xml:space="preserve">an expansive cartridge case containing its own means of</w:t></w:r>
</w:p>
<w:p>
<w:pPr><w:pStyle w:val="Normal"/></w:pPr>
<w:r><w:t xml:space="preserve">ignition.  Previous to this invention shot guns and sporting</w:t></w:r>
</w:p>
<w:p>
<w:pPr><w:pStyle w:val="Normal"/></w:pPr>
<w:r><w:t xml:space="preserve">rifles were loaded by means of powder flasks and shot flasks,</w:t></w:r>
</w:p>
<w:p>
<w:pPr><w:pStyle w:val="Normal"/></w:pPr>
<w:r><w:t xml:space="preserve">bullets, wads and copper caps, all carried separately.  The</w:t></w:r>
</w:p>
<w:p>
<w:pPr><w:pStyle w:val="Normal"/></w:pPr>
<w:r><w:t xml:space="preserve">earliest efficient modern cartridge case was the pin-fire,</w:t></w:r>
</w:p>
<w:p>
<w:pPr><w:pStyle w:val="Normal"/></w:pPr>
<w:r><w:t xml:space="preserve">patented, according to some authorities, by Houiller, a Paris</w:t></w:r>
</w:p>
<w:p>
<w:pPr><w:pStyle w:val="Normal"/></w:pPr>
<w:r><w:t xml:space="preserve">gunsmith, in 1847; and, according to others, by Lefaucheux,</w:t></w:r>
</w:p>
<w:p>
<w:pPr><w:pStyle w:val="Normal"/></w:pPr>
<w:r><w:t xml:space="preserve">also a Paris gunsmith, in or about 1850.  It consisted of</w:t></w:r>
</w:p>
<w:p>
<w:pPr><w:pStyle w:val="Normal"/></w:pPr>
<w:r><w:t xml:space="preserve">thin weak shell made of brass and paper which expanded by the</w:t></w:r>
</w:p>
<w:p>
<w:pPr><w:pStyle w:val="Normal"/></w:pPr>
<w:r><w:t xml:space="preserve">force of the explosion, fitted perfectly into the barrel, and</w:t></w:r>
</w:p>
<w:p>
<w:pPr><w:pStyle w:val="Normal"/></w:pPr>
<w:r><w:t xml:space="preserve">thus formed an efficient gas check.  A small percussion cap</w:t></w:r>
</w:p>
<w:p>
<w:pPr><w:pStyle w:val="Normal"/></w:pPr>
<w:r><w:t xml:space="preserve">was placed in the middle of the base of the cartridge, and</w:t></w:r>
</w:p>
<w:p>
<w:pPr><w:pStyle w:val="Normal"/></w:pPr>
<w:r><w:t xml:space="preserve">was exploded by means of a brass pin projecting from the side</w:t></w:r>
</w:p>
<w:p>
<w:pPr><w:pStyle w:val="Normal"/></w:pPr>
<w:r><w:t xml:space="preserve">and struck by the hammer.  This pin also afforded the means of</w:t></w:r>
</w:p>
<w:p>
<w:pPr><w:pStyle w:val="Normal"/></w:pPr>
<w:r><w:t xml:space="preserve">extracting the cartridge case.  This cartridge was introduced</w:t></w:r>
</w:p>
<w:p>
<w:pPr><w:pStyle w:val="Normal"/></w:pPr>
<w:r><w:t xml:space="preserve">in England by Lang, of Cockspur Street, London, about 1855.</w:t></w:r>
</w:p>
<w:p>
<w:pPr><w:pStyle w:val="Normal"/></w:pPr>
<w:r><w:t xml:space="preserve">The central-fire cartridge was introduced into England in</w:t></w:r>
</w:p>
<w:p>
<w:pPr><w:pStyle w:val="Normal"/></w:pPr>
<w:r><w:t xml:space="preserve">1861 by Daw. It is said to have been the invention of Pottet</w:t></w:r>
</w:p>
<w:p>
<w:pPr><w:pStyle w:val="Normal"/></w:pPr>
<w:r><w:t xml:space="preserve">of Paris, improved upon by Schneider, and gave rise to</w:t></w:r>
</w:p>
<w:p>
<w:pPr><w:pStyle w:val="Normal"/></w:pPr>
<w:r><w:t xml:space="preserve">much litigation in respect of its patent rights.  Daw was</w:t></w:r>
</w:p>
<w:p>
<w:pPr><w:pStyle w:val="Normal"/></w:pPr>
<w:r><w:t xml:space="preserve">subsequently defeated in his control of the patents by Eley</w:t></w:r>
</w:p>
<w:p>
<w:pPr><w:pStyle w:val="Normal"/></w:pPr>
<w:r><w:t xml:space="preserve">Bros.  In this cartridge the cap in the centre of the</w:t></w:r>
</w:p>
<w:p>
<w:pPr><w:pStyle w:val="Normal"/></w:pPr>
<w:r><w:t xml:space="preserve">cartridge base is detonated by a striker passing through</w:t></w:r>
</w:p>
<w:p>
<w:pPr><w:pStyle w:val="Normal"/></w:pPr>
<w:r><w:t xml:space="preserve">the standing breech to the inner face, the cartridge case</w:t></w:r>
</w:p>
<w:p>
<w:pPr><w:pStyle w:val="Normal"/></w:pPr>
<w:r><w:t xml:space="preserve">being withdrawn, or, in the most modern weapons, ejected</w:t></w:r>
</w:p>
<w:p>
<w:pPr><w:pStyle w:val="Normal"/></w:pPr>
<w:r><w:t xml:space="preserve">by a sliding extractor fitted to the breech end of the</w:t></w:r>
</w:p>
<w:p>
<w:pPr><w:pStyle w:val="Normal"/></w:pPr>
<w:r><w:t xml:space="preserve">barrel, which catches the rim of the base of the cartridge.</w:t></w:r>
</w:p>
<w:p>
<w:pPr><w:pStyle w:val="Normal"/></w:pPr>
<w:r><w:t xml:space="preserve">This is practically the modern cartridge case now in universal</w:t></w:r>
</w:p>
<w:p>
<w:pPr><w:pStyle w:val="Normal"/></w:pPr>
<w:r><w:t xml:space="preserve">use.  In the case of shot guns it has been gradually inproved</w:t></w:r>
</w:p>
<w:p>
<w:pPr><w:pStyle w:val="Normal"/></w:pPr>
<w:r><w:t xml:space="preserve">in small details.  The cases are made either of paper of</w:t></w:r>
</w:p>
<w:p>
<w:pPr><w:pStyle w:val="Normal"/></w:pPr>
<w:r><w:t xml:space="preserve">various qualities with brass bases, or entirely of thin</w:t></w:r>
</w:p>
<w:p>
<w:pPr><w:pStyle w:val="Normal"/></w:pPr>
<w:r><w:t xml:space="preserve">brass.  The wadding between powder and shot has been thickened</w:t></w:r>
</w:p>
<w:p>
<w:pPr><w:pStyle w:val="Normal"/></w:pPr>
<w:r><w:t xml:space="preserve">and improved in quality; and the end of the cartridge case is</w:t></w:r>
</w:p>
<w:p>
<w:pPr><w:pStyle w:val="Normal"/></w:pPr>
<w:r><w:t xml:space="preserve">now made to fit more perfectly into the breech chamber.  These</w:t></w:r>
</w:p>
<w:p>
<w:pPr><w:pStyle w:val="Normal"/></w:pPr>
<w:r><w:t xml:space="preserve">cartridges vary in size from 32 bore up to 4 bore for shoulder</w:t></w:r>
</w:p>
<w:p>
<w:pPr><w:pStyle w:val="Normal"/></w:pPr>
<w:r><w:t xml:space="preserve">guns.  They are also made as small as .410 and .360 gauge:</w:t></w:r>
</w:p>
<w:p>
<w:pPr><w:pStyle w:val="Normal"/></w:pPr>
<w:r><w:t xml:space="preserve">their length varies from 1 3/4 in. to 4 in.  Cartridges for punt</w:t></w:r>
</w:p>
<w:p>
<w:pPr><w:pStyle w:val="Normal"/></w:pPr>
<w:r><w:t xml:space="preserve">guns are usually 1 1/2 in. in diameter and 9 3/4 in. in length.</w:t></w:r>
</w:p>
<w:p>
<w:pPr><w:pStyle w:val="Normal"/></w:pPr>
<w:r><w:t xml:space="preserve">In the case of military rifles the breech-loading cartridge</w:t></w:r>
</w:p>
<w:p>
<w:pPr><w:pStyle w:val="Normal"/></w:pPr>
<w:r><w:t xml:space="preserve">case was first adopted in principle by the Prussians about</w:t></w:r>
</w:p>
<w:p>
<w:pPr><w:pStyle w:val="Normal"/></w:pPr>
<w:r><w:t xml:space="preserve">1841 in the needle-gun (q.v.) breech-loader.  In this</w:t></w:r>
</w:p>
<w:p>
<w:pPr><w:pStyle w:val="Normal"/></w:pPr>
<w:r><w:t xml:space="preserve">a conical bullet rested on a thick wad, behind which was</w:t></w:r>
</w:p>
<w:p>
<w:pPr><w:pStyle w:val="Normal"/></w:pPr>
<w:r><w:t xml:space="preserve">the powder, the whole being enclosed in strong lubricated</w:t></w:r>
</w:p>
<w:p>
<w:pPr><w:pStyle w:val="Normal"/></w:pPr>
<w:r><w:t xml:space="preserve">paper.  The detonator was in the hinder surface of the wad,</w:t></w:r>
</w:p>
<w:p>
<w:pPr><w:pStyle w:val="Normal"/></w:pPr>
<w:r><w:t xml:space="preserve">and fired by a needle driven forward from the breech, through</w:t></w:r>
</w:p>
<w:p>
<w:pPr><w:pStyle w:val="Normal"/></w:pPr>
<w:r><w:t xml:space="preserve">the base of the cartridge and through the powder, by the action</w:t></w:r>
</w:p>
<w:p>
<w:pPr><w:pStyle w:val="Normal"/></w:pPr>
<w:r><w:t xml:space="preserve">of a spiral spring set free by the pulling of the trigger.</w:t></w:r>
</w:p>
<w:p>
<w:pPr><w:pStyle w:val="Normal"/></w:pPr>
<w:r><w:t xml:space="preserve">In 1867 the British war office adopted the Eley-Boxer</w:t></w:r>
</w:p>
<w:p>
<w:pPr><w:pStyle w:val="Normal"/></w:pPr>
<w:r><w:t xml:space="preserve">metallic central-fire cartridge case in the Enfield rifles,</w:t></w:r>
</w:p>
<w:p>
<w:pPr><w:pStyle w:val="Normal"/></w:pPr>
<w:r><w:t xml:space="preserve">which were converted to breech-loaders on the Snider</w:t></w:r>
</w:p>
<w:p>
<w:pPr><w:pStyle w:val="Normal"/></w:pPr>
<w:r><w:t xml:space="preserve">principle.  This consisted of a block opening on a hinge,</w:t></w:r>
</w:p>
<w:p>
<w:pPr><w:pStyle w:val="Normal"/></w:pPr>
<w:r><w:t xml:space="preserve">thus forming a false breech against which the cartridge</w:t></w:r>
</w:p>
<w:p>
<w:pPr><w:pStyle w:val="Normal"/></w:pPr>
<w:r><w:t xml:space="preserve">rested.  The detonating cap was in the base of the cartridge,</w:t></w:r>
</w:p>
<w:p>
<w:pPr><w:pStyle w:val="Normal"/></w:pPr>
<w:r><w:t xml:space="preserve">and was exploded by a striker passing through the breech</w:t></w:r>
</w:p>
<w:p>
<w:pPr><w:pStyle w:val="Normal"/></w:pPr>
<w:r><w:t xml:space="preserve">block.  Other European powers adopted breech-loading military</w:t></w:r>
</w:p>
<w:p>
<w:pPr><w:pStyle w:val="Normal"/></w:pPr>
<w:r><w:t xml:space="preserve">rifles from 1866 to 1868, with paper instead of metallic</w:t></w:r>
</w:p>
<w:p>
<w:pPr><w:pStyle w:val="Normal"/></w:pPr>
<w:r><w:t xml:space="preserve">cartridge cases.  The original Eley-Boxer cartridge case</w:t></w:r>
</w:p>
<w:p>
<w:pPr><w:pStyle w:val="Normal"/></w:pPr>
<w:r><w:t xml:space="preserve">was made of thin coiled brass.  Later the solid-drawn,</w:t></w:r>
</w:p>
<w:p>
<w:pPr><w:pStyle w:val="Normal"/></w:pPr>
<w:r><w:t xml:space="preserve">central-fire cartridge case, made of one entire solid piece</w:t></w:r>
</w:p>
<w:p>
<w:pPr><w:pStyle w:val="Normal"/></w:pPr>
<w:r><w:t xml:space="preserve">of tough hard metal, an alloy of copper, &amp;c., with a solid</w:t></w:r>
</w:p>
<w:p>
<w:pPr><w:pStyle w:val="Normal"/></w:pPr>
<w:r><w:t xml:space="preserve">head of thicker metal, has been generally substituted.</w:t></w:r>
</w:p>
<w:p>
<w:pPr><w:pStyle w:val="Normal"/></w:pPr>
<w:r><w:t xml:space="preserve">Central-fire cartridges with solid-drawn metallic cases</w:t></w:r>
</w:p>
<w:p>
<w:pPr><w:pStyle w:val="Normal"/></w:pPr>
<w:r><w:t xml:space="preserve">containing their own means of ignition are now universally</w:t></w:r>
</w:p>
<w:p>
<w:pPr><w:pStyle w:val="Normal"/></w:pPr>
<w:r><w:t xml:space="preserve">used in all modern varieties of military and sporting rifles</w:t></w:r>
</w:p>
<w:p>
<w:pPr><w:pStyle w:val="Normal"/></w:pPr>
<w:r><w:t xml:space="preserve">and pistols.  There is great variety in the length and</w:t></w:r>
</w:p>
<w:p>
<w:pPr><w:pStyle w:val="Normal"/></w:pPr>
<w:r><w:t xml:space="preserve">diameter of cartridges for the different kinds and calibres</w:t></w:r>
</w:p>
<w:p>
<w:pPr><w:pStyle w:val="Normal"/></w:pPr>
<w:r><w:t xml:space="preserve">of rifles and pistols.  Those for military rifies vary</w:t></w:r>
</w:p>
<w:p>
<w:pPr><w:pStyle w:val="Normal"/></w:pPr>
<w:r><w:t xml:space="preserve">from 2.2 in. to 2.25 in. in length, and from .256 to .315</w:t></w:r>
</w:p>
<w:p>
<w:pPr><w:pStyle w:val="Normal"/></w:pPr>
<w:r><w:t xml:space="preserve">gauge.  For sporting rifles from 2 1/4 in. to 3 1/2 in. in</w:t></w:r>
</w:p>
<w:p>
<w:pPr><w:pStyle w:val="Normal"/></w:pPr>
<w:r><w:t xml:space="preserve">length, and through numerous gauges from .256 in. to .600</w:t></w:r>
</w:p>
<w:p>
<w:pPr><w:pStyle w:val="Normal"/></w:pPr>
<w:r><w:t xml:space="preserve">in.  For revolvers, pistols, rook and rabbit rifles, and for</w:t></w:r>
</w:p>
<w:p>
<w:pPr><w:pStyle w:val="Normal"/></w:pPr>
<w:r><w:t xml:space="preserve">Morris tubes, cartrillges vary from .22 in. to .301 in. in</w:t></w:r>
</w:p>
<w:p>
<w:pPr><w:pStyle w:val="Normal"/></w:pPr>
<w:r><w:t xml:space="preserve">gauge.  All miniature cartridges with light charges are made</w:t></w:r>
</w:p>
<w:p>
<w:pPr><w:pStyle w:val="Normal"/></w:pPr>
<w:r><w:t xml:space="preserve">for breech adapters to enable .303 military rifles to be</w:t></w:r>
</w:p>
<w:p>
<w:pPr><w:pStyle w:val="Normal"/></w:pPr>
<w:r><w:t xml:space="preserve">used on miniature rifle ranges.  All the above cartridges are</w:t></w:r>
</w:p>
<w:p>
<w:pPr><w:pStyle w:val="Normal"/></w:pPr>
<w:r><w:t xml:space="preserve">central-fire.  Rim-fire cartridges for rifles, revolvers</w:t></w:r>
</w:p>
<w:p>
<w:pPr><w:pStyle w:val="Normal"/></w:pPr>
<w:r><w:t xml:space="preserve">and pistols vary from .22 in. to .56 in. gauge according to</w:t></w:r>
</w:p>
<w:p>
<w:pPr><w:pStyle w:val="Normal"/></w:pPr>
<w:r><w:t xml:space="preserve">the weapon for which they are required.  The cartridge for</w:t></w:r>
</w:p>
<w:p>
<w:pPr><w:pStyle w:val="Normal"/></w:pPr>
<w:r><w:t xml:space="preserve">the British war office miniature rifle is .22 calibre, with</w:t></w:r>
</w:p>
<w:p>
<w:pPr><w:pStyle w:val="Normal"/></w:pPr>
<w:r><w:t xml:space="preserve">5 grs. of powder and a bullet weighing 40 grs.  Most modern</w:t></w:r>
</w:p>
<w:p>
<w:pPr><w:pStyle w:val="Normal"/></w:pPr>
<w:r><w:t xml:space="preserve">military rifles are supplied with clip or charger loading</w:t></w:r>
</w:p>
<w:p>
<w:pPr><w:pStyle w:val="Normal"/></w:pPr>
<w:r><w:t xml:space="preserve">arrangements, whereby the magazine is filled with the required</w:t></w:r>
</w:p>
<w:p>
<w:pPr><w:pStyle w:val="Normal"/></w:pPr>
<w:r><w:t xml:space="preserve">number of cartridges in one motion.  A clip is simply a case</w:t></w:r>
</w:p>
<w:p>
<w:pPr><w:pStyle w:val="Normal"/></w:pPr>
<w:r><w:t xml:space="preserve">of cartridges which is dropped into the magazine; a charger</w:t></w:r>
</w:p>
<w:p>
<w:pPr><w:pStyle w:val="Normal"/></w:pPr>
<w:r><w:t xml:space="preserve">is a strip of metal holding the bases of the cartridges,</w:t></w:r>
</w:p>
<w:p>
<w:pPr><w:pStyle w:val="Normal"/></w:pPr>
<w:r><w:t xml:space="preserve">and is placed over the magazine, the cartridges being</w:t></w:r>
</w:p>
<w:p>
<w:pPr><w:pStyle w:val="Normal"/></w:pPr>
<w:r><w:t xml:space="preserve">pressed out into the latter.  Both clips and chargers, being</w:t></w:r>
</w:p>
<w:p>
<w:pPr><w:pStyle w:val="Normal"/></w:pPr>
<w:r><w:t xml:space="preserve">consumable stores, may be considered as ammunition. (H. S.-K.)</w:t></w:r>
</w:p>
<w:p>
<w:pPr><w:pStyle w:val="Normal"/></w:pPr>
<w:r><w:t xml:space="preserve">AMNESTY (from the Gr. amnestia, oblivion), an act of</w:t></w:r>
</w:p>
<w:p>
<w:pPr><w:pStyle w:val="Normal"/></w:pPr>
<w:r><w:t xml:space="preserve">grace by which the supreme power in a state restores those</w:t></w:r>
</w:p>
<w:p>
<w:pPr><w:pStyle w:val="Normal"/></w:pPr>
<w:r><w:t xml:space="preserve">who may have been guilty of any offence against it to the</w:t></w:r>
</w:p>
<w:p>
<w:pPr><w:pStyle w:val="Normal"/></w:pPr>
<w:r><w:t xml:space="preserve">position of innocent persons.  It includes more than pardon,</w:t></w:r>
</w:p>
<w:p>
<w:pPr><w:pStyle w:val="Normal"/></w:pPr>
<w:r><w:t xml:space="preserve">inasmuch as it obliterates all legal remembrance of the</w:t></w:r>
</w:p>
<w:p>
<w:pPr><w:pStyle w:val="Normal"/></w:pPr>
<w:r><w:t xml:space="preserve">offence.  Amnesties, which may be granted by the crown alone,</w:t></w:r>
</w:p>
<w:p>
<w:pPr><w:pStyle w:val="Normal"/></w:pPr>
<w:r><w:t xml:space="preserve">or by act of parliament, were formerly usual on coronations</w:t></w:r>
</w:p>
<w:p>
<w:pPr><w:pStyle w:val="Normal"/></w:pPr>
<w:r><w:t xml:space="preserve">and similar occasions, but are chiefly exercised towards</w:t></w:r>
</w:p>
<w:p>
<w:pPr><w:pStyle w:val="Normal"/></w:pPr>
<w:r><w:t xml:space="preserve">associations of political criminals, and are sometimes granted</w:t></w:r>
</w:p>
<w:p>
<w:pPr><w:pStyle w:val="Normal"/></w:pPr>
<w:r><w:t xml:space="preserve">absolutely, though more frequently there are certain specified</w:t></w:r>
</w:p>
<w:p>
<w:pPr><w:pStyle w:val="Normal"/></w:pPr>
<w:r><w:t xml:space="preserve">exceptions.  Thus, in the case of the earliest recorded</w:t></w:r>
</w:p>
<w:p>
<w:pPr><w:pStyle w:val="Normal"/></w:pPr>
<w:r><w:t xml:space="preserve">amnesty, that of Thrasybulus at Athens, the thirty tyrants and</w:t></w:r>
</w:p>
<w:p>
<w:pPr><w:pStyle w:val="Normal"/></w:pPr>
<w:r><w:t xml:space="preserve">a few others were expressly excluded from its operation; and</w:t></w:r>
</w:p>
<w:p>
<w:pPr><w:pStyle w:val="Normal"/></w:pPr>
<w:r><w:t xml:space="preserve">the amnesty proclaimed on the restoration of Charles II. did</w:t></w:r>
</w:p>
<w:p>
<w:pPr><w:pStyle w:val="Normal"/></w:pPr>
<w:r><w:t xml:space="preserve">not extend to those who had taken part in the execution of his</w:t></w:r>
</w:p>
<w:p>
<w:pPr><w:pStyle w:val="Normal"/></w:pPr>
<w:r><w:t xml:space="preserve">father.  Other celebrated amnesties are that proclaimed by Napoleon</w:t></w:r>
</w:p>
<w:p>
<w:pPr><w:pStyle w:val="Normal"/></w:pPr>
<w:r><w:t xml:space="preserve">on the 13th of March 1815, from which thirteen eminent persons,</w:t></w:r>
</w:p>
<w:p>
<w:pPr><w:pStyle w:val="Normal"/></w:pPr>
<w:r><w:t xml:space="preserve">including Talleyrand, were excepted; the Prussian amnesty of</w:t></w:r>
</w:p>
<w:p>
<w:pPr><w:pStyle w:val="Normal"/></w:pPr>
<w:r><w:t xml:space="preserve">the 10th of August 1840; the general amnesty proclaimed by the</w:t></w:r>
</w:p>
<w:p>
<w:pPr><w:pStyle w:val="Normal"/></w:pPr>
<w:r><w:t xml:space="preserve">emperor Francis Joseph of Austria in 1857; the general amnesty</w:t></w:r>
</w:p>
<w:p>
<w:pPr><w:pStyle w:val="Normal"/></w:pPr>
<w:r><w:t xml:space="preserve">granted by President Johnson after the Civil War in 1868; and</w:t></w:r>
</w:p>
<w:p>
<w:pPr><w:pStyle w:val="Normal"/></w:pPr>
<w:r><w:t xml:space="preserve">the French amnesty of 1905.  The last act of amnesty passed</w:t></w:r>
</w:p>
<w:p>
<w:pPr><w:pStyle w:val="Normal"/></w:pPr>
<w:r><w:t xml:space="preserve">in Great Britain was that of 1747, which proclaimed a pardon</w:t></w:r>
</w:p>
<w:p>
<w:pPr><w:pStyle w:val="Normal"/></w:pPr>
<w:r><w:t xml:space="preserve">to those who had taken part in the second Jacobite rebellion.</w:t></w:r>
</w:p>
<w:p>
<w:pPr><w:pStyle w:val="Normal"/></w:pPr>
<w:r><w:t xml:space="preserve">AMOEBA, the Greek equivalent of the name ``Amibe&apos;&apos; given</w:t></w:r>
</w:p>
<w:p>
<w:pPr><w:pStyle w:val="Normal"/></w:pPr>
<w:r><w:t xml:space="preserve">by Bery St Vincent to the Proteus animalcule of earlier</w:t></w:r>
</w:p>
<w:p>
<w:pPr><w:pStyle w:val="Normal"/></w:pPr>
<w:r><w:t xml:space="preserve">naturalists, used as a quasi-popular term for any simple naked</w:t></w:r>
</w:p>
<w:p>
<w:pPr><w:pStyle w:val="Normal"/></w:pPr>
<w:r><w:t xml:space="preserve">protist the sole external organs of which are pseudopodia,</w:t></w:r>
</w:p>
<w:p>
<w:pPr><w:pStyle w:val="Normal"/></w:pPr>
<w:r><w:t xml:space="preserve">i.e. temporary outgrowths of the clearer outer layer of the</w:t></w:r>
</w:p>
<w:p>
<w:pPr><w:pStyle w:val="Normal"/></w:pPr>
<w:r><w:t xml:space="preserve">soft protoplasmic body.  It is also used as a generic name,</w:t></w:r>
</w:p>
<w:p>
<w:pPr><w:pStyle w:val="Normal"/></w:pPr>
<w:r><w:t xml:space="preserve">and in its present limitations by E. Penard includes only</w:t></w:r>
</w:p>
<w:p>
<w:pPr><w:pStyle w:val="Normal"/></w:pPr>
<w:r><w:t xml:space="preserve">those the pseudopodia of which are constantly changing, blunt</w:t></w:r>
</w:p>
<w:p>
<w:pPr><w:pStyle w:val="Normal"/></w:pPr>
<w:r><w:t xml:space="preserve">outgrowths.  In the former wider sense, amoebae are found</w:t></w:r>
</w:p>
<w:p>
<w:pPr><w:pStyle w:val="Normal"/></w:pPr>
<w:r><w:t xml:space="preserve">in sluggish waters, fresh and salt, all over the world; they</w:t></w:r>
</w:p>
<w:p>
<w:pPr><w:pStyle w:val="Normal"/></w:pPr>
<w:r><w:t xml:space="preserve">readily make their appearance in infusions putrefying after</w:t></w:r>
</w:p>
<w:p>
<w:pPr><w:pStyle w:val="Normal"/></w:pPr>
<w:r><w:t xml:space="preserve">infection from aerially carried germs, and the leucocytes</w:t></w:r>
</w:p>
<w:p>
<w:pPr><w:pStyle w:val="Normal"/></w:pPr>
<w:r><w:t xml:space="preserve">or colourless blood corpuscles of Metazoa are essentially</w:t></w:r>
</w:p>
<w:p>
<w:pPr><w:pStyle w:val="Normal"/></w:pPr>
<w:r><w:t xml:space="preserve">amoebae in their structure and behaviour.  The protoplasm of</w:t></w:r>
</w:p>
<w:p>
<w:pPr><w:pStyle w:val="Normal"/></w:pPr>
<w:r><w:t xml:space="preserve">the individual is divided into a centrally placed body, the</w:t></w:r>
</w:p>
<w:p>
<w:pPr><w:pStyle w:val="Normal"/></w:pPr>
<w:r><w:t xml:space="preserve">nucleus, of relatively stable shape, and the cytoplasm, itself</w:t></w:r>
</w:p>
<w:p>
<w:pPr><w:pStyle w:val="Normal"/></w:pPr>
<w:r><w:t xml:space="preserve">divided into an outer, clearer ectoplasm (``ectosarc&apos;&apos;) and an</w:t></w:r>
</w:p>
<w:p>
<w:pPr><w:pStyle w:val="Normal"/></w:pPr>
<w:r><w:t xml:space="preserve">inner, more granular endoplasm (``endosarc&apos;&apos;), passing into one</w:t></w:r>
</w:p>
<w:p>
<w:pPr><w:pStyle w:val="Normal"/></w:pPr>
<w:r><w:t xml:space="preserve">another.  The movements of amoebae are of several kinds. (1)</w:t></w:r>
</w:p>
<w:p>
<w:pPr><w:pStyle w:val="Normal"/></w:pPr>
<w:r><w:t xml:space="preserve">The amoeba may grow out irregularly into blunt lobes, the</w:t></w:r>
</w:p>
<w:p>
<w:pPr><w:pStyle w:val="Normal"/></w:pPr>
<w:r><w:t xml:space="preserve">pseudopodia, some being emitted while others are retracted, and</w:t></w:r>
</w:p>
<w:p>
<w:pPr><w:pStyle w:val="Normal"/></w:pPr>
<w:r><w:t xml:space="preserve">so may advance in any direction by the emission of pseudopodia</w:t></w:r>
</w:p>
<w:p>
<w:pPr><w:pStyle w:val="Normal"/></w:pPr>
<w:r><w:t xml:space="preserve">thitherward, and the enlargement of these by the passage of</w:t></w:r>
</w:p>
<w:p>
<w:pPr><w:pStyle w:val="Normal"/></w:pPr>
<w:r><w:t xml:space="preserve">the organism into them. (2) Again, it may advance by a sort</w:t></w:r>
</w:p>
<w:p>
<w:pPr><w:pStyle w:val="Normal"/></w:pPr>
<w:r><w:t xml:space="preserve">of rolling: the lower surface, or that in contact with the</w:t></w:r>
</w:p>
<w:p>
<w:pPr><w:pStyle w:val="Normal"/></w:pPr>
<w:r><w:t xml:space="preserve">substratum over or under which it is passing, is viscid and</w:t></w:r>
</w:p>
<w:p>
<w:pPr><w:pStyle w:val="Normal"/></w:pPr>
<w:r><w:t xml:space="preserve">adheres to the substratum, the superficial dorsal layer passing</w:t></w:r>
</w:p>
<w:p>
<w:pPr><w:pStyle w:val="Normal"/></w:pPr>
<w:r><w:t xml:space="preserve">forward and bending over to the ventral side; whilst the</w:t></w:r>
</w:p>
<w:p>
<w:pPr><w:pStyle w:val="Normal"/></w:pPr>
<w:r><w:t xml:space="preserve">converse action takes place at the hinder end; (3) or again, the</w:t></w:r>
</w:p>
<w:p>
<w:pPr><w:pStyle w:val="Normal"/></w:pPr>
<w:r><w:t xml:space="preserve">pseudopodia, when long, well marked and relatively permanent,</w:t></w:r>
</w:p>
<w:p>
<w:pPr><w:pStyle w:val="Normal"/></w:pPr>
<w:r><w:t xml:space="preserve">may serve as actual limbs on which the body is supported</w:t></w:r>
</w:p>
<w:p>
<w:pPr><w:pStyle w:val="Normal"/></w:pPr>
<w:r><w:t xml:space="preserve">and on which it moves.  In the outgrowth of a pseudopod the</w:t></w:r>
</w:p>
<w:p>
<w:pPr><w:pStyle w:val="Normal"/></w:pPr>
<w:r><w:t xml:space="preserve">process may take place gradually, the ectoplasm growing as it</w:t></w:r>
</w:p>
<w:p>
<w:pPr><w:pStyle w:val="Normal"/></w:pPr>
<w:r><w:t xml:space="preserve">stretches, or it may take place by the limiting layer of the</w:t></w:r>
</w:p>
<w:p>
<w:pPr><w:pStyle w:val="Normal"/></w:pPr>
<w:r><w:t xml:space="preserve">ectosarc bursting, as it were, and a rounded prominence of</w:t></w:r>
</w:p>
<w:p>
<w:pPr><w:pStyle w:val="Normal"/></w:pPr>
<w:r><w:t xml:space="preserve">the endosarc protruding and at once forming a new ``skin&apos;, or</w:t></w:r>
</w:p>
<w:p>
<w:pPr><w:pStyle w:val="Normal"/></w:pPr>
<w:r><w:t xml:space="preserve">pellicle.  This last mode, termed ``eruptive,&apos;&apos; is common</w:t></w:r>
</w:p>
<w:p>
<w:pPr><w:pStyle w:val="Normal"/></w:pPr>
<w:r><w:t xml:space="preserve">in the case of the enormous, multinucleate amoeba termed</w:t></w:r>
</w:p>
<w:p>
<w:pPr><w:pStyle w:val="Normal"/></w:pPr>
<w:r><w:t xml:space="preserve">Pelomyxa palustris, which attains a diameter when contracted</w:t></w:r>
</w:p>
<w:p>
<w:pPr><w:pStyle w:val="Normal"/></w:pPr>
<w:r><w:t xml:space="preserve">and spherical of as much as a line (over 2 mm.).  From the</w:t></w:r>
</w:p>
<w:p>
<w:pPr><w:pStyle w:val="Normal"/></w:pPr>
<w:r><w:t xml:space="preserve">ease with which amoebae are obtained and kept alive under</w:t></w:r>
</w:p>
<w:p>
<w:pPr><w:pStyle w:val="Normal"/></w:pPr>
<w:r><w:t xml:space="preserve">the microscope, as well as from their identity in structure</w:t></w:r>
</w:p>
<w:p>
<w:pPr><w:pStyle w:val="Normal"/></w:pPr>
<w:r><w:t xml:space="preserve">with the primitive elements of Metazoa, they have always</w:t></w:r>
</w:p>
<w:p>
<w:pPr><w:pStyle w:val="Normal"/></w:pPr>
<w:r><w:t xml:space="preserve">been favourite objects of study for protoplasmic physiology</w:t></w:r>
</w:p>
<w:p>
<w:pPr><w:pStyle w:val="Normal"/></w:pPr>
<w:r><w:t xml:space="preserve">under its simplest conditions.  Among the investigators of</w:t></w:r>
</w:p>
<w:p>
<w:pPr><w:pStyle w:val="Normal"/></w:pPr>
<w:r><w:t xml:space="preserve">protoplasmic movements we may cite F. Dujardin, O. Butschli,</w:t></w:r>
</w:p>
<w:p>
<w:pPr><w:pStyle w:val="Heading1"/></w:pPr>
<w:r><w:t>L. Rhumbler and H. S. Jennings.  The opening to the exterior</w:t></w:r>
</w:p>
<w:p>
<w:pPr><w:pStyle w:val="Normal"/></w:pPr>
<w:r><w:t xml:space="preserve">of the contractile vesicle has been found here. Pelomyxa</w:t></w:r>
</w:p>
<w:p>
<w:pPr><w:pStyle w:val="Normal"/></w:pPr>
<w:r><w:t xml:space="preserve">has yielded to A. E. Dixon and M. Hartog a peptic ferment,</w:t></w:r>
</w:p>
<w:p>
<w:pPr><w:pStyle w:val="Normal"/></w:pPr>
<w:r><w:t xml:space="preserve">such as has been extracted by C. F. W. Krukenberg from the</w:t></w:r>
</w:p>
<w:p>
<w:pPr><w:pStyle w:val="Normal"/></w:pPr>
<w:r><w:t xml:space="preserve">myxomycete Fuligo (Flowers of Tan), which is the largest</w:t></w:r>
</w:p>
<w:p>
<w:pPr><w:pStyle w:val="Normal"/></w:pPr>
<w:r><w:t xml:space="preserve">known naked mass of protoplasm without cellular differentiation.</w:t></w:r>
</w:p>
<w:p>
<w:pPr><w:pStyle w:val="Normal"/></w:pPr>
<w:r><w:t xml:space="preserve">Amoeba shows also the multiplication by fission, so</w:t></w:r>
</w:p>
<w:p>
<w:pPr><w:pStyle w:val="Normal"/></w:pPr>
<w:r><w:t xml:space="preserve">characteristic of the cell: for the study of other modes of</w:t></w:r>
</w:p>
<w:p>
<w:pPr><w:pStyle w:val="Normal"/></w:pPr>
<w:r><w:t xml:space="preserve">reproduction, spore formation and syngamic (or so-called</w:t></w:r>
</w:p>
<w:p>
<w:pPr><w:pStyle w:val="Normal"/></w:pPr>
<w:r><w:t xml:space="preserve">fertilization) processes, fresh-water or salt-water amoebae</w:t></w:r>
</w:p>
<w:p>
<w:pPr><w:pStyle w:val="Normal"/></w:pPr>
<w:r><w:t xml:space="preserve">are ill suited, and up to this date we do not know the life</w:t></w:r>
</w:p>
<w:p>
<w:pPr><w:pStyle w:val="Normal"/></w:pPr>
<w:r><w:t xml:space="preserve">cycle of any free-living naked amoeba, though that of some</w:t></w:r>
</w:p>
<w:p>
<w:pPr><w:pStyle w:val="Normal"/></w:pPr>
<w:r><w:t xml:space="preserve">parasitic forms and shell-bearers have been fully made out.  Some</w:t></w:r>
</w:p>
<w:p>
<w:pPr><w:pStyle w:val="Normal"/></w:pPr>
<w:r><w:t xml:space="preserve">amoebae are certainly young states of Myxomycetes.  Encystment,</w:t></w:r>
</w:p>
<w:p>
<w:pPr><w:pStyle w:val="Normal"/></w:pPr>
<w:r><w:t xml:space="preserve">the excretion of a membrane around the cell to tide over</w:t></w:r>
</w:p>
<w:p>
<w:pPr><w:pStyle w:val="Normal"/></w:pPr>
<w:r><w:t xml:space="preserve">unfavourable circumstances, has been noted in almost all species.</w:t></w:r>
</w:p>
<w:p>
<w:pPr><w:pStyle w:val="Normal"/></w:pPr>
<w:r><w:t xml:space="preserve">Amoeba coli and A. histolytica are parasites in the gut</w:t></w:r>
</w:p>
<w:p>
<w:pPr><w:pStyle w:val="Normal"/></w:pPr>
<w:r><w:t xml:space="preserve">of man, the former relatively harmless, the latter the cause</w:t></w:r>
</w:p>
<w:p>
<w:pPr><w:pStyle w:val="Normal"/></w:pPr>
<w:r><w:t xml:space="preserve">of severe dysentery and hepatic abscess, common in India.</w:t></w:r>
</w:p>
<w:p>
<w:pPr><w:pStyle w:val="Normal"/></w:pPr>
<w:r><w:t xml:space="preserve">H. S. Jennings has recently made a full study of the movements</w:t></w:r>
</w:p>
<w:p>
<w:pPr><w:pStyle w:val="Normal"/></w:pPr>
<w:r><w:t xml:space="preserve">of Amoeba, and of its general behaviour, and found therein</w:t></w:r>
</w:p>
<w:p>
<w:pPr><w:pStyle w:val="Normal"/></w:pPr>
<w:r><w:t xml:space="preserve">many indications that these are on the whole such as we</w:t></w:r>
</w:p>
<w:p>
<w:pPr><w:pStyle w:val="Normal"/></w:pPr>
<w:r><w:t xml:space="preserve">should expect of an organism working by ``trial and error&apos;&apos;</w:t></w:r>
</w:p>
<w:p>
<w:pPr><w:pStyle w:val="Normal"/></w:pPr>
<w:r><w:t xml:space="preserve">rather than the uniform modes of non-living beings.  Thus the</w:t></w:r>
</w:p>
<w:p>
<w:pPr><w:pStyle w:val="Normal"/></w:pPr>
<w:r><w:t xml:space="preserve">operations of an amoeba ingesting a round, encysted Euglena</w:t></w:r>
</w:p>
<w:p>
<w:pPr><w:pStyle w:val="Normal"/></w:pPr>
<w:r><w:t xml:space="preserve">are summed up thus: ``One seems to see that the amoeba is</w:t></w:r>
</w:p>
<w:p>
<w:pPr><w:pStyle w:val="Normal"/></w:pPr>
<w:r><w:t xml:space="preserve">trying to obtain this cyst for food, that it shows remarkable</w:t></w:r>
</w:p>
<w:p>
<w:pPr><w:pStyle w:val="Normal"/></w:pPr>
<w:r><w:t xml:space="preserve">pertinacity in continuing its attempts to put forth efforts to</w:t></w:r>
</w:p>
<w:p>
<w:pPr><w:pStyle w:val="Normal"/></w:pPr>
<w:r><w:t xml:space="preserve">accomplish this in various ways, and that it shows remarkable</w:t></w:r>
</w:p>
<w:p>
<w:pPr><w:pStyle w:val="Normal"/></w:pPr>
<w:r><w:t xml:space="preserve">pertinacity in continuing its attempts to ingest the food</w:t></w:r>
</w:p>
<w:p>
<w:pPr><w:pStyle w:val="Normal"/></w:pPr>
<w:r><w:t xml:space="preserve">when it meets with difficulties.  Indeed the scene could be</w:t></w:r>
</w:p>
<w:p>
<w:pPr><w:pStyle w:val="Normal"/></w:pPr>
<w:r><w:t xml:space="preserve">described in a much more vivid and interesting way by the use</w:t></w:r>
</w:p>
<w:p>
<w:pPr><w:pStyle w:val="Normal"/></w:pPr>
<w:r><w:t xml:space="preserve">of terms still more anthropomorphic in tendency.&apos;&apos; (M. HA.)</w:t></w:r>
</w:p>
<w:p>
<w:pPr><w:pStyle w:val="Normal"/></w:pPr>
<w:r><w:t xml:space="preserve">AMOL, or AMUL, a town of Persia, in the province of</w:t></w:r>
</w:p>
<w:p>
<w:pPr><w:pStyle w:val="Normal"/></w:pPr>
<w:r><w:t xml:space="preserve">Mazandaran, 23 m.  W. of Barfurush, in 36 deg.  28&apos; N. Lat. and</w:t></w:r>
</w:p>
<w:p>
<w:pPr><w:pStyle w:val="Normal"/></w:pPr>
<w:r><w:t xml:space="preserve">52 deg.  23&apos; E. long.  Pop. about 10,000.  It is situated on both</w:t></w:r>
</w:p>
<w:p>
<w:pPr><w:pStyle w:val="Normal"/></w:pPr>
<w:r><w:t xml:space="preserve">banks of the Heraz, or Herhaz river, which is crossed here by</w:t></w:r>
</w:p>
<w:p>
<w:pPr><w:pStyle w:val="Normal"/></w:pPr>
<w:r><w:t xml:space="preserve">a very narrow stone bridge of twelve arches and flows into the</w:t></w:r>
</w:p>
<w:p>
<w:pPr><w:pStyle w:val="Normal"/></w:pPr>
<w:r><w:t xml:space="preserve">Caspian Sea 12 m. lower down.  Amol is not walled and is now</w:t></w:r>
</w:p>
<w:p>
<w:pPr><w:pStyle w:val="Normal"/></w:pPr>
<w:r><w:t xml:space="preserve">a place of little importance, but in and around it there are</w:t></w:r>
</w:p>
<w:p>
<w:pPr><w:pStyle w:val="Normal"/></w:pPr>
<w:r><w:t xml:space="preserve">ruins and ancient buildings which bear witness to its former</w:t></w:r>
</w:p>
<w:p>
<w:pPr><w:pStyle w:val="Normal"/></w:pPr>
<w:r><w:t xml:space="preserve">greatness.  Of these the most conspicuous is the mausoleum of</w:t></w:r>
</w:p>
<w:p>
<w:pPr><w:pStyle w:val="Normal"/></w:pPr>
<w:r><w:t xml:space="preserve">Seyed Kavvam ud-din, king of Mazandaran, who died in 1379, and</w:t></w:r>
</w:p>
<w:p>
<w:pPr><w:pStyle w:val="Normal"/></w:pPr>
<w:r><w:t xml:space="preserve">one old mosque dates from A.D. 793. The town has spacious</w:t></w:r>
</w:p>
<w:p>
<w:pPr><w:pStyle w:val="Normal"/></w:pPr>
<w:r><w:t xml:space="preserve">and well-supplied bazaars and post and telegraph offices.</w:t></w:r>
</w:p>
<w:p>
<w:pPr><w:pStyle w:val="Normal"/></w:pPr>
<w:r><w:t xml:space="preserve">AMONTONS, GUILLAUME (1663-1705), French experimental</w:t></w:r>
</w:p>
<w:p>
<w:pPr><w:pStyle w:val="Normal"/></w:pPr>
<w:r><w:t xml:space="preserve">philosopher, the son of an advocate who had left his native</w:t></w:r>
</w:p>
<w:p>
<w:pPr><w:pStyle w:val="Normal"/></w:pPr>
<w:r><w:t xml:space="preserve">province of Normandy and established himself at Paris, was</w:t></w:r>
</w:p>
<w:p>
<w:pPr><w:pStyle w:val="Normal"/></w:pPr>
<w:r><w:t xml:space="preserve">born in that city on the 31st of August 1663.  He devoted</w:t></w:r>
</w:p>
<w:p>
<w:pPr><w:pStyle w:val="Normal"/></w:pPr>
<w:r><w:t xml:space="preserve">himself particularly to the improvement of instruments</w:t></w:r>
</w:p>
<w:p>
<w:pPr><w:pStyle w:val="Normal"/></w:pPr>
<w:r><w:t xml:space="preserve">employed in physical experiments.  In 1687 he presented to</w:t></w:r>
</w:p>
<w:p>
<w:pPr><w:pStyle w:val="Normal"/></w:pPr>
<w:r><w:t xml:space="preserve">the Academy of Sciences an hygrometer of his own invention,</w:t></w:r>
</w:p>
<w:p>
<w:pPr><w:pStyle w:val="Normal"/></w:pPr>
<w:r><w:t xml:space="preserve">and in 1695 he published his only book, Remarques et</w:t></w:r>
</w:p>
<w:p>
<w:pPr><w:pStyle w:val="Normal"/></w:pPr>
<w:r><w:t xml:space="preserve">experiences physiques sur la construction d&apos;une nouvelle</w:t></w:r>
</w:p>
<w:p>
<w:pPr><w:pStyle w:val="Normal"/></w:pPr>
<w:r><w:t xml:space="preserve">clepsydre, sur les barometres, les thermometres et les</w:t></w:r>
</w:p>
<w:p>
<w:pPr><w:pStyle w:val="Normal"/></w:pPr>
<w:r><w:t xml:space="preserve">hygrometres. In 1699 he published some investigations</w:t></w:r>
</w:p>
<w:p>
<w:pPr><w:pStyle w:val="Normal"/></w:pPr>
<w:r><w:t xml:space="preserve">on friction, and in 1702-1703 two noteworthy papers on</w:t></w:r>
</w:p>
<w:p>
<w:pPr><w:pStyle w:val="Normal"/></w:pPr>
<w:r><w:t xml:space="preserve">thermometry.  He experimented with an air-thermometer, in</w:t></w:r>
</w:p>
<w:p>
<w:pPr><w:pStyle w:val="Normal"/></w:pPr>
<w:r><w:t xml:space="preserve">which the temperature was defined by measurement of the length</w:t></w:r>
</w:p>
<w:p>
<w:pPr><w:pStyle w:val="Normal"/></w:pPr>
<w:r><w:t xml:space="preserve">of a column of mercury; and he pointed out that the extreme</w:t></w:r>
</w:p>
<w:p>
<w:pPr><w:pStyle w:val="Normal"/></w:pPr>
<w:r><w:t xml:space="preserve">cold of such a thermometer would be that which reduced the</w:t></w:r>
</w:p>
<w:p>
<w:pPr><w:pStyle w:val="Normal"/></w:pPr>
<w:r><w:t xml:space="preserve">``spring&apos;&apos; of the air to nothing, thus being the first to</w:t></w:r>
</w:p>
<w:p>
<w:pPr><w:pStyle w:val="Normal"/></w:pPr>
<w:r><w:t xml:space="preserve">recognize that the use of air as a thermometric substance led</w:t></w:r>
</w:p>
<w:p>
<w:pPr><w:pStyle w:val="Normal"/></w:pPr>
<w:r><w:t xml:space="preserve">to the inference of the existence of a zero of temperature.</w:t></w:r>
</w:p>
<w:p>
<w:pPr><w:pStyle w:val="Normal"/></w:pPr>
<w:r><w:t xml:space="preserve">In 1704 he noted that barometers are affected by heat as well</w:t></w:r>
</w:p>
<w:p>
<w:pPr><w:pStyle w:val="Normal"/></w:pPr>
<w:r><w:t xml:space="preserve">as by the weight of the atmosphere, and in the following year</w:t></w:r>
</w:p>
<w:p>
<w:pPr><w:pStyle w:val="Normal"/></w:pPr>
<w:r><w:t xml:space="preserve">he described barometers without mercury, for use at sea.</w:t></w:r>
</w:p>
<w:p>
<w:pPr><w:pStyle w:val="Normal"/></w:pPr>
<w:r><w:t xml:space="preserve">Amontons, who through disease was rendered almost completely</w:t></w:r>
</w:p>
<w:p>
<w:pPr><w:pStyle w:val="Normal"/></w:pPr>
<w:r><w:t xml:space="preserve">deaf in early youth, died at Paris on the 11th of October 1705.</w:t></w:r>
</w:p>
<w:p>
<w:pPr><w:pStyle w:val="Normal"/></w:pPr>
<w:r><w:t xml:space="preserve">&apos;AMORA (Hebrew for ``speaker&apos;&apos; or ``discourser&apos;&apos;), a</w:t></w:r>
</w:p>
<w:p>
<w:pPr><w:pStyle w:val="Normal"/></w:pPr>
<w:r><w:t xml:space="preserve">title applied to the rabbis of the 2nd to 5th centuries,</w:t></w:r>
</w:p>
<w:p>
<w:pPr><w:pStyle w:val="Normal"/></w:pPr>
<w:r><w:t xml:space="preserve">i.e. to the compilers of the Talmud.  Each tana--or</w:t></w:r>
</w:p>
<w:p>
<w:pPr><w:pStyle w:val="Normal"/></w:pPr>
<w:r><w:t xml:space="preserve">rabbi of the earlier period--had a spokesman, who repeated</w:t></w:r>
</w:p>
<w:p>
<w:pPr><w:pStyle w:val="Normal"/></w:pPr>
<w:r><w:t xml:space="preserve">to large audiences the discourses of the tana.  But the</w:t></w:r>
</w:p>
<w:p>
<w:pPr><w:pStyle w:val="Normal"/></w:pPr>
<w:r><w:t xml:space="preserve">&apos;amora soon ceased to be a mere repeater, and developed</w:t></w:r>
</w:p>
<w:p>
<w:pPr><w:pStyle w:val="Normal"/></w:pPr>
<w:r><w:t xml:space="preserve">into an original expounder of scripture and tradition.</w:t></w:r>
</w:p>
<w:p>
<w:pPr><w:pStyle w:val="Normal"/></w:pPr>
<w:r><w:t xml:space="preserve">AMORITES, the name given by the Israelites to the earlier</w:t></w:r>
</w:p>
<w:p>
<w:pPr><w:pStyle w:val="Normal"/></w:pPr>
<w:r><w:t xml:space="preserve">inhabitants of Palestine.  They are regarded as a powerful</w:t></w:r>
</w:p>
<w:p>
<w:pPr><w:pStyle w:val="Normal"/></w:pPr>
<w:r><w:t xml:space="preserve">people, giants in stature ``like the height of the cedars,&apos;&apos;</w:t></w:r>
</w:p>
<w:p>
<w:pPr><w:pStyle w:val="Normal"/></w:pPr>
<w:r><w:t xml:space="preserve">who had occupied the land east and west of the Jordan.  The</w:t></w:r>
</w:p>
<w:p>
<w:pPr><w:pStyle w:val="Normal"/></w:pPr>
<w:r><w:t xml:space="preserve">Biblical usage appears to show that the terms ``Canaanites&apos;&apos;</w:t></w:r>
</w:p>
<w:p>
<w:pPr><w:pStyle w:val="Normal"/></w:pPr>
<w:r><w:t xml:space="preserve">and ``Amorites&apos;&apos; were used synonymously, the former being</w:t></w:r>
</w:p>
<w:p>
<w:pPr><w:pStyle w:val="Normal"/></w:pPr>
<w:r><w:t xml:space="preserve">characteristic of Judaean, the latter of Ephraimite and</w:t></w:r>
</w:p>
<w:p>
<w:pPr><w:pStyle w:val="Normal"/></w:pPr>
<w:r><w:t xml:space="preserve">Deuteronomic writers.  A distinction is sometimes maintained,</w:t></w:r>
</w:p>
<w:p>
<w:pPr><w:pStyle w:val="Normal"/></w:pPr>
<w:r><w:t xml:space="preserve">however, when the Amorites are spoken of as the people of</w:t></w:r>
</w:p>
<w:p>
<w:pPr><w:pStyle w:val="Normal"/></w:pPr>
<w:r><w:t xml:space="preserve">the past, whereas the Canaanites are referred to as still</w:t></w:r>
</w:p>
<w:p>
<w:pPr><w:pStyle w:val="Normal"/></w:pPr>
<w:r><w:t xml:space="preserve">surviving.  The old name is an ethnic term, evidently to be</w:t></w:r>
</w:p>
<w:p>
<w:pPr><w:pStyle w:val="Normal"/></w:pPr>
<w:r><w:t xml:space="preserve">connected with the terms Amurru and Amar, used by Assyria</w:t></w:r>
</w:p>
<w:p>
<w:pPr><w:pStyle w:val="Normal"/></w:pPr>
<w:r><w:t xml:space="preserve">and Egypt respectively.  In the spelling Mar-tu, the name</w:t></w:r>
</w:p>
<w:p>
<w:pPr><w:pStyle w:val="Normal"/></w:pPr>
<w:r><w:t xml:space="preserve">is as old as the first Babylonian dynasty, but from the</w:t></w:r>
</w:p>
<w:p>
<w:pPr><w:pStyle w:val="Normal"/></w:pPr>
<w:r><w:t xml:space="preserve">15th century B.C. and downwards its syllabic equivalent</w:t></w:r>
</w:p>
<w:p>
<w:pPr><w:pStyle w:val="Normal"/></w:pPr>
<w:r><w:t xml:space="preserve">Amurru is applied primarily to the land extending northwards</w:t></w:r>
</w:p>
<w:p>
<w:pPr><w:pStyle w:val="Normal"/></w:pPr>
<w:r><w:t xml:space="preserve">of Palestine as far as Kadesh on the Orontes.  The term</w:t></w:r>
</w:p>
<w:p>
<w:pPr><w:pStyle w:val="Normal"/></w:pPr>
<w:r><w:t xml:space="preserve">``Canaan,&apos;&apos; on the other hand, is confined more especially</w:t></w:r>
</w:p>
<w:p>
<w:pPr><w:pStyle w:val="Normal"/></w:pPr>
<w:r><w:t xml:space="preserve">to the southern district (from Gebal to the south of</w:t></w:r>
</w:p>
<w:p>
<w:pPr><w:pStyle w:val="Normal"/></w:pPr>
<w:r><w:t xml:space="preserve">Palestine).  But it is possible that the terms at an early date</w:t></w:r>
</w:p>
<w:p>
<w:pPr><w:pStyle w:val="Normal"/></w:pPr>
<w:r><w:t xml:space="preserve">were interchangeable, Canaan being geographical and Amorite</w:t></w:r>
</w:p>
<w:p>
<w:pPr><w:pStyle w:val="Normal"/></w:pPr>
<w:r><w:t xml:space="preserve">ethnical.  The wider extension of the use of Amurru by the</w:t></w:r>
</w:p>
<w:p>
<w:pPr><w:pStyle w:val="Normal"/></w:pPr>
<w:r><w:t xml:space="preserve">Babylonians and Assyrians is complicated by the fact that</w:t></w:r>
</w:p>
<w:p>
<w:pPr><w:pStyle w:val="Normal"/></w:pPr>
<w:r><w:t xml:space="preserve">it was even applied to a district in the neighbourhood of</w:t></w:r>
</w:p>
<w:p>
<w:pPr><w:pStyle w:val="Normal"/></w:pPr>
<w:r><w:t xml:space="preserve">Babylonia.  If the people of the first Babylonian dynasty</w:t></w:r>
</w:p>
<w:p>
<w:pPr><w:pStyle w:val="Normal"/></w:pPr>
<w:r><w:t xml:space="preserve">(about 21st century B.C.) called themselves ``Amorites,&apos;&apos;</w:t></w:r>
</w:p>
<w:p>
<w:pPr><w:pStyle w:val="Normal"/></w:pPr>
<w:r><w:t xml:space="preserve">as Ranke seems to have shown, it is possible that some</w:t></w:r>
</w:p>
<w:p>
<w:pPr><w:pStyle w:val="Normal"/></w:pPr>
<w:r><w:t xml:space="preserve">feeling of common origin was recognized at that early date.</w:t></w:r>
</w:p>
<w:p>
<w:pPr><w:pStyle w:val="Normal"/></w:pPr>
<w:r><w:t xml:space="preserve">See Ranke, Bab. Exped.  Pennsylvania, series D, iii. 33</w:t></w:r>
</w:p>
<w:p>
<w:pPr><w:pStyle w:val="Normal"/></w:pPr>
<w:r><w:t xml:space="preserve">sqq.; and for general information, W. M. Muller, Asien u.</w:t></w:r>
</w:p>
<w:p>
<w:pPr><w:pStyle w:val="Normal"/></w:pPr>
<w:r><w:t xml:space="preserve">Europa, 217 sqq.; Pinches, Old Testament, Index (s.v..)</w:t></w:r>
</w:p>
<w:p>
<w:pPr><w:pStyle w:val="Normal"/></w:pPr>
<w:r><w:t xml:space="preserve">The people of Amar are represented on the Egyptian monuments</w:t></w:r>
</w:p>
<w:p>
<w:pPr><w:pStyle w:val="Normal"/></w:pPr>
<w:r><w:t xml:space="preserve">with yellow skin, blue eyes, red eyebrows and beard, whence</w:t></w:r>
</w:p>
<w:p>
<w:pPr><w:pStyle w:val="Normal"/></w:pPr>
<w:r><w:t xml:space="preserve">it has been conjectured that they were akin to the Libyans</w:t></w:r>
</w:p>
<w:p>
<w:pPr><w:pStyle w:val="Normal"/></w:pPr>
<w:r><w:t xml:space="preserve">(Sayce, Expositor, July 1888).  Senir, the ``Amorite&apos;,</w:t></w:r>
</w:p>
<w:p>
<w:pPr><w:pStyle w:val="Normal"/></w:pPr>
<w:r><w:t xml:space="preserve">name of Hermon (Deut. iii. 9). appears to be identical</w:t></w:r>
</w:p>
<w:p>
<w:pPr><w:pStyle w:val="Normal"/></w:pPr>
<w:r><w:t xml:space="preserve">with Saniru in the Lebanon, mentioned by Shalmaneser Il.</w:t></w:r>
</w:p>
<w:p>
<w:pPr><w:pStyle w:val="Normal"/></w:pPr>
<w:r><w:t xml:space="preserve">In the Old Testament the chief references may be classified</w:t></w:r>
</w:p>
<w:p>
<w:pPr><w:pStyle w:val="Normal"/></w:pPr>
<w:r><w:t xml:space="preserve">as follows:--primitive inhabitants generally, Is. xvii. 9</w:t></w:r>
</w:p>
<w:p>
<w:pPr><w:pStyle w:val="Normal"/></w:pPr>
<w:r><w:t xml:space="preserve">(on text see comm.), Ezek. xvi. 3; a people W. of Jordan,</w:t></w:r>
</w:p>
<w:p>
<w:pPr><w:pStyle w:val="Normal"/></w:pPr>
<w:r><w:t xml:space="preserve">Josh. x. 5; Judg. i. 34-36; Deut. i. 7, 44; Gen. xiv. 7,</w:t></w:r>
</w:p>
<w:p>
<w:pPr><w:pStyle w:val="Normal"/></w:pPr>
<w:r><w:t xml:space="preserve">xlviii. 22: E. of Jordan, Num. xxi. 13, 21 sqq.; Josh. ii.</w:t></w:r>
</w:p>
<w:p>
<w:pPr><w:pStyle w:val="Normal"/></w:pPr>
<w:r><w:t xml:space="preserve">10, xxiv. 8; Judg. x. 8. See further CANAAN, PALESTINE.</w:t></w:r>
</w:p>
<w:p>
<w:pPr><w:pStyle w:val="Normal"/></w:pPr>
<w:r><w:t xml:space="preserve">AMORPHISM (from a, privative, and morfe, form),</w:t></w:r>
</w:p>
<w:p>
<w:pPr><w:pStyle w:val="Normal"/></w:pPr>
<w:r><w:t xml:space="preserve">a term used in chemistry and mineralogy to denote the</w:t></w:r>
</w:p>
<w:p>
<w:pPr><w:pStyle w:val="Normal"/></w:pPr>
<w:r><w:t xml:space="preserve">absence of regular or crystalline structure in a body;</w:t></w:r>
</w:p>
<w:p>
<w:pPr><w:pStyle w:val="Normal"/></w:pPr>
<w:r><w:t xml:space="preserve">the adjective ``amorphous,&apos;&apos; formless or of irregular</w:t></w:r>
</w:p>
<w:p>
<w:pPr><w:pStyle w:val="Normal"/></w:pPr>
<w:r><w:t xml:space="preserve">shape, being also used technically in biology, &amp;c.</w:t></w:r>
</w:p>
<w:p>
<w:pPr><w:pStyle w:val="Normal"/></w:pPr>
<w:r><w:t xml:space="preserve">AMORT, EUSEBIUS (1692--1775), German Catholic theologian,</w:t></w:r>
</w:p>
<w:p>
<w:pPr><w:pStyle w:val="Normal"/></w:pPr>
<w:r><w:t xml:space="preserve">was born at Bibermuhle, near Tolz, in Upper Bavaria, on</w:t></w:r>
</w:p>
<w:p>
<w:pPr><w:pStyle w:val="Normal"/></w:pPr>
<w:r><w:t xml:space="preserve">the 15th of November 1692.  He studied at Munich, and at</w:t></w:r>
</w:p>
<w:p>
<w:pPr><w:pStyle w:val="Normal"/></w:pPr>
<w:r><w:t xml:space="preserve">an early age joined the Canons Regular at Polling, where,</w:t></w:r>
</w:p>
<w:p>
<w:pPr><w:pStyle w:val="Normal"/></w:pPr>
<w:r><w:t xml:space="preserve">shortly after his ordination in 1717, he taught theology and</w:t></w:r>
</w:p>
<w:p>
<w:pPr><w:pStyle w:val="Normal"/></w:pPr>
<w:r><w:t xml:space="preserve">philosophy.  In 1733 he went to Rome as theologian to Cardinal</w:t></w:r>
</w:p>
<w:p>
<w:pPr><w:pStyle w:val="Normal"/></w:pPr>
<w:r><w:t xml:space="preserve">Niccolo Maria Lercari (d. 1757).  He returned to Polling in 1735</w:t></w:r>
</w:p>
<w:p>
<w:pPr><w:pStyle w:val="Normal"/></w:pPr>
<w:r><w:t xml:space="preserve">and devoted the rest of his life to the revival of learning in</w:t></w:r>
</w:p>
<w:p>
<w:pPr><w:pStyle w:val="Normal"/></w:pPr>
<w:r><w:t xml:space="preserve">Bavaria.  He died at Polling on the 5th of February 1775.</w:t></w:r>
</w:p>
<w:p>
<w:pPr><w:pStyle w:val="Normal"/></w:pPr>
<w:r><w:t xml:space="preserve">Amort, who had the reputation of being the most learned man</w:t></w:r>
</w:p>
<w:p>
<w:pPr><w:pStyle w:val="Normal"/></w:pPr>
<w:r><w:t xml:space="preserve">of his age, was a voluminous writer on every conceivable</w:t></w:r>
</w:p>
<w:p>
<w:pPr><w:pStyle w:val="Normal"/></w:pPr>
<w:r><w:t xml:space="preserve">subject, from poetry to astronomy, from dogmatic theology to</w:t></w:r>
</w:p>
<w:p>
<w:pPr><w:pStyle w:val="Normal"/></w:pPr>
<w:r><w:t xml:space="preserve">mysticism.  His best known works are: a manual of theology</w:t></w:r>
</w:p>
<w:p>
<w:pPr><w:pStyle w:val="Normal"/></w:pPr>
<w:r><w:t xml:space="preserve">in 4 vols., Theologia electica, moralis et scholastica</w:t></w:r>
</w:p>
<w:p>
<w:pPr><w:pStyle w:val="Normal"/></w:pPr>
<w:r><w:t xml:space="preserve">(Augsburg, 1752; revised by Benedict XIV. for the 1753</w:t></w:r>
</w:p>
<w:p>
<w:pPr><w:pStyle w:val="Normal"/></w:pPr>
<w:r><w:t xml:space="preserve">edition published at Bologna); a defence of Catholic doctrine,</w:t></w:r>
</w:p>
<w:p>
<w:pPr><w:pStyle w:val="Normal"/></w:pPr>
<w:r><w:t xml:space="preserve">entitled Demonstratio critica religionis Catholicae</w:t></w:r>
</w:p>
<w:p>
<w:pPr><w:pStyle w:val="Normal"/></w:pPr>
<w:r><w:t xml:space="preserve">(Augsburg, 1751); a work on indulgences, which has often been</w:t></w:r>
</w:p>
<w:p>
<w:pPr><w:pStyle w:val="Normal"/></w:pPr>
<w:r><w:t xml:space="preserve">criticized by Protestant writers, De Origine, Progressu,</w:t></w:r>
</w:p>
<w:p>
<w:pPr><w:pStyle w:val="Normal"/></w:pPr>
<w:r><w:t xml:space="preserve">Valore, et Fructu Indulgentiorum (Augsburg, 1735); a treatise</w:t></w:r>
</w:p>
<w:p>
<w:pPr><w:pStyle w:val="Normal"/></w:pPr>
<w:r><w:t xml:space="preserve">on mysticism, De Revelationibus et Visionibus, &amp;c. (2</w:t></w:r>
</w:p>
<w:p>
<w:pPr><w:pStyle w:val="Normal"/></w:pPr>
<w:r><w:t xml:space="preserve">vols., 1744); and the astronomical work Nova philosophiae</w:t></w:r>
</w:p>
<w:p>
<w:pPr><w:pStyle w:val="Normal"/></w:pPr>
<w:r><w:t xml:space="preserve">planetarum et artis criticae systemata (Nuremberg, 1723).</w:t></w:r>
</w:p>
<w:p>
<w:pPr><w:pStyle w:val="Normal"/></w:pPr>
<w:r><w:t xml:space="preserve">The list of his other works, including his three erudite</w:t></w:r>
</w:p>
<w:p>
<w:pPr><w:pStyle w:val="Normal"/></w:pPr>
<w:r><w:t xml:space="preserve">contributions to the question of authorship of the Imitatio</w:t></w:r>
</w:p>
<w:p>
<w:pPr><w:pStyle w:val="Normal"/></w:pPr>
<w:r><w:t xml:space="preserve">Christi, will be found in C. Toussaint&apos;s scholarly article</w:t></w:r>
</w:p>
<w:p>
<w:pPr><w:pStyle w:val="Normal"/></w:pPr>
<w:r><w:t xml:space="preserve">in A. Vacant&apos;s Dict. de theologie (1900, cols. 1115-1117).</w:t></w:r>
</w:p>
<w:p>
<w:pPr><w:pStyle w:val="Normal"/></w:pPr>
<w:r><w:t xml:space="preserve">AMORTIZATION (derived through the French from Lat. ad,</w:t></w:r>
</w:p>
<w:p>
<w:pPr><w:pStyle w:val="Normal"/></w:pPr>
<w:r><w:t xml:space="preserve">and mortem, to death), literally an extinction or doing</w:t></w:r>
</w:p>
<w:p>
<w:pPr><w:pStyle w:val="Normal"/></w:pPr>
<w:r><w:t xml:space="preserve">to death, a word formerly used of alienating lands in</w:t></w:r>
</w:p>
<w:p>
<w:pPr><w:pStyle w:val="Normal"/></w:pPr>
<w:r><w:t xml:space="preserve">mortmain, and now for the paying off of a debt, particularly</w:t></w:r>
</w:p>
<w:p>
<w:pPr><w:pStyle w:val="Normal"/></w:pPr>
<w:r><w:t xml:space="preserve">by means of a regular sinking-fund; thus ``amortization&apos;&apos;</w:t></w:r>
</w:p>
<w:p>
<w:pPr><w:pStyle w:val="Normal"/></w:pPr>
<w:r><w:t xml:space="preserve">and ``amortization fund&apos;&apos; generally refer to the latter</w:t></w:r>
</w:p>
<w:p>
<w:pPr><w:pStyle w:val="Normal"/></w:pPr>
<w:r><w:t xml:space="preserve">method of extinguishing some pecuniary liability.</w:t></w:r>
</w:p>
<w:p>
<w:pPr><w:pStyle w:val="Normal"/></w:pPr>
<w:r><w:t xml:space="preserve">AMORY, THOMAS (c. 1691-1788), British author, was born</w:t></w:r>
</w:p>
<w:p>
<w:pPr><w:pStyle w:val="Normal"/></w:pPr>
<w:r><w:t xml:space="preserve">about 1601, his father being the secretary for the forfeited</w:t></w:r>
</w:p>
<w:p>
<w:pPr><w:pStyle w:val="Normal"/></w:pPr>
<w:r><w:t xml:space="preserve">estates in Ireland.  He was an eccentric character and seems</w:t></w:r>
</w:p>
<w:p>
<w:pPr><w:pStyle w:val="Normal"/></w:pPr>
<w:r><w:t xml:space="preserve">to have lived a very secluded life.  He published Memoirs;</w:t></w:r>
</w:p>
<w:p>
<w:pPr><w:pStyle w:val="Normal"/></w:pPr>
<w:r><w:t xml:space="preserve">containing the lives of several Ladies of Great Britain; a</w:t></w:r>
</w:p>
<w:p>
<w:pPr><w:pStyle w:val="Normal"/></w:pPr>
<w:r><w:t xml:space="preserve">History of Antiquities &amp;c. (1755) and Life of John Buncle</w:t></w:r>
</w:p>
<w:p>
<w:pPr><w:pStyle w:val="Normal"/></w:pPr>
<w:r><w:t xml:space="preserve">Esq. (1756 and 1766).  Both books are an extraordinary mixture</w:t></w:r>
</w:p>
<w:p>
<w:pPr><w:pStyle w:val="Normal"/></w:pPr>
<w:r><w:t xml:space="preserve">of fiction, autobiography, scenic description and theological</w:t></w:r>
</w:p>
<w:p>
<w:pPr><w:pStyle w:val="Normal"/></w:pPr>
<w:r><w:t xml:space="preserve">discussion.  Amory died on the 25th of November 1788.</w:t></w:r>
</w:p>
<w:p>
<w:pPr><w:pStyle w:val="Normal"/></w:pPr>
<w:r><w:t xml:space="preserve">AMOS, in the Bible, an Israelitish prophet of the 8th</w:t></w:r>
</w:p>
<w:p>
<w:pPr><w:pStyle w:val="Normal"/></w:pPr>
<w:r><w:t xml:space="preserve">century B.C. He was a native of Tekoa, i.e. as most</w:t></w:r>
</w:p>
<w:p>
<w:pPr><w:pStyle w:val="Normal"/></w:pPr>
<w:r><w:t xml:space="preserve">suppose, a place which still bears the same name 6 m.  S. of</w:t></w:r>
</w:p>
<w:p>
<w:pPr><w:pStyle w:val="Normal"/></w:pPr>
<w:r><w:t xml:space="preserve">Bethlehem.  He was a shepherd, or perhaps a sheep-breeder,</w:t></w:r>
</w:p>
<w:p>
<w:pPr><w:pStyle w:val="Normal"/></w:pPr>
<w:r><w:t xml:space="preserve">but combined this occupation with that of a tender of sycomore</w:t></w:r>
</w:p>
<w:p>
<w:pPr><w:pStyle w:val="Normal"/></w:pPr>
<w:r><w:t xml:space="preserve">figs.  It is true, the Tekoa just mentioned lies too high</w:t></w:r>
</w:p>
<w:p>
<w:pPr><w:pStyle w:val="Normal"/></w:pPr>
<w:r><w:t xml:space="preserve">for sycomores; so it has been almost too ingeniously supposed</w:t></w:r>
</w:p>
<w:p>
<w:pPr><w:pStyle w:val="Normal"/></w:pPr>
<w:r><w:t xml:space="preserve">that Amos may have owned a plantation of sycomores in the</w:t></w:r>
</w:p>
<w:p>
<w:pPr><w:pStyle w:val="Normal"/></w:pPr>
<w:r><w:t xml:space="preserve">hill country leading down to Philistia, technically called</w:t></w:r>
</w:p>
<w:p>
<w:pPr><w:pStyle w:val="Normal"/></w:pPr>
<w:r><w:t xml:space="preserve">the Shephelah (R. Y., ``lowland&apos;&apos;).  Here there were</w:t></w:r>
</w:p>
<w:p>
<w:pPr><w:pStyle w:val="Normal"/></w:pPr>
<w:r><w:t xml:space="preserve">sycomores in abundance (1 Kings x. 27). That this was his</w:t></w:r>
</w:p>
<w:p>
<w:pPr><w:pStyle w:val="Normal"/></w:pPr>
<w:r><w:t xml:space="preserve">usual occupation we learn from a better source than the heading</w:t></w:r>
</w:p>
<w:p>
<w:pPr><w:pStyle w:val="Normal"/></w:pPr>
<w:r><w:t xml:space="preserve">(i. 1), viz. a narrative (vii. 10, 17), evidently of early</w:t></w:r>
</w:p>
<w:p>
<w:pPr><w:pStyle w:val="Normal"/></w:pPr>
<w:r><w:t xml:space="preserve">origin, which interrupts the series of prophetic visions on</w:t></w:r>
</w:p>
<w:p>
<w:pPr><w:pStyle w:val="Normal"/></w:pPr>
<w:r><w:t xml:space="preserve">the fall of the kingdom of Israel.  Amos, it appears, though</w:t></w:r>
</w:p>
<w:p>
<w:pPr><w:pStyle w:val="Normal"/></w:pPr>
<w:r><w:t xml:space="preserve">himself a Judahite, had been prophesying in the northern</w:t></w:r>
</w:p>
<w:p>
<w:pPr><w:pStyle w:val="Normal"/></w:pPr>
<w:r><w:t xml:space="preserve">kingdom, when his activity was brought to an abrupt close by</w:t></w:r>
</w:p>
<w:p>
<w:pPr><w:pStyle w:val="Normal"/></w:pPr>
<w:r><w:t xml:space="preserve">the head priest of the royal sanctuary at Bethel, Amaziah,</w:t></w:r>
</w:p>
<w:p>
<w:pPr><w:pStyle w:val="Normal"/></w:pPr>
<w:r><w:t xml:space="preserve">who bade him escape to the land of Judah and get his living</w:t></w:r>
</w:p>
<w:p>
<w:pPr><w:pStyle w:val="Normal"/></w:pPr>
<w:r><w:t xml:space="preserve">there.  The reply of Amos is full of instruction. ``No prophet</w:t></w:r>
</w:p>
<w:p>
<w:pPr><w:pStyle w:val="Normal"/></w:pPr>
<w:r><w:t xml:space="preserve">am I; no prophet&apos;s son am I; a shepherd am I, and one who tends</w:t></w:r>
</w:p>
<w:p>
<w:pPr><w:pStyle w:val="Normal"/></w:pPr>
<w:r><w:t xml:space="preserve">sycomore-figs.  And Yahweh took me from behind the flock; and</w:t></w:r>
</w:p>
<w:p>
<w:pPr><w:pStyle w:val="Normal"/></w:pPr>
<w:r><w:t xml:space="preserve">Yahweh said to me, Go, prophesy against my people Israel.&apos;&apos;</w:t></w:r>
</w:p>
<w:p>
<w:pPr><w:pStyle w:val="Normal"/></w:pPr>
<w:r><w:t xml:space="preserve">The following words show that a prophet in ancient Israel</w:t></w:r>
</w:p>
<w:p>
<w:pPr><w:pStyle w:val="Normal"/></w:pPr>
<w:r><w:t xml:space="preserve">had the utmost freedom of speech.  It was far otherwise</w:t></w:r>
</w:p>
<w:p>
<w:pPr><w:pStyle w:val="Normal"/></w:pPr>
<w:r><w:t xml:space="preserve">in the period of the fall of Judah. (See JEREMIAH.)</w:t></w:r>
</w:p>
<w:p>
<w:pPr><w:pStyle w:val="Normal"/></w:pPr>
<w:r><w:t xml:space="preserve">But what had Amos said that appeared so dangerous to the head</w:t></w:r>
</w:p>
<w:p>
<w:pPr><w:pStyle w:val="Normal"/></w:pPr>
<w:r><w:t xml:space="preserve">priest? Amaziah summarizes it thus, ``Jeroboam shall die by the</w:t></w:r>
</w:p>
<w:p>
<w:pPr><w:pStyle w:val="Normal"/></w:pPr>
<w:r><w:t xml:space="preserve">sword, and Israel shall go away into captivity from his own</w:t></w:r>
</w:p>
<w:p>
<w:pPr><w:pStyle w:val="Normal"/></w:pPr>
<w:r><w:t xml:space="preserve">land&apos;&apos; (vii. 11; cf. vii. 9b, v. 27, vi. 7). He omits all the</w:t></w:r>
</w:p>
<w:p>
<w:pPr><w:pStyle w:val="Normal"/></w:pPr>
<w:r><w:t xml:space="preserve">reasons for this stern prophecy.  The reasons are that the good</w:t></w:r>
</w:p>
<w:p>
<w:pPr><w:pStyle w:val="Normal"/></w:pPr>
<w:r><w:t xml:space="preserve">old Israelitish virtue of brotherliness is dying away, that</w:t></w:r>
</w:p>
<w:p>
<w:pPr><w:pStyle w:val="Normal"/></w:pPr>
<w:r><w:t xml:space="preserve">oppression and injustice are rampant (ii. 6-8, iii. 9, 10, iv.</w:t></w:r>
</w:p>
<w:p>
<w:pPr><w:pStyle w:val="Normal"/></w:pPr>
<w:r><w:t xml:space="preserve">1, v. 11, 12, viii. 4-6), and that rites are practised in the</w:t></w:r>
</w:p>
<w:p>
<w:pPr><w:pStyle w:val="Normal"/></w:pPr>
<w:r><w:t xml:space="preserve">name of religion which are abhorrent to Yahweh, because they</w:t></w:r>
</w:p>
<w:p>
<w:pPr><w:pStyle w:val="Normal"/></w:pPr>
<w:r><w:t xml:space="preserve">either have no moral meaning at all, and are mere forms (v.</w:t></w:r>
</w:p>
<w:p>
<w:pPr><w:pStyle w:val="Normal"/></w:pPr>
<w:r><w:t xml:space="preserve">21-23), or else, jndged from Amos&apos;s purified point of view,</w:t></w:r>
</w:p>
<w:p>
<w:pPr><w:pStyle w:val="Normal"/></w:pPr>
<w:r><w:t xml:space="preserve">are absolutely immoral (ii. 7; cf. viii. 14). On the details</w:t></w:r>
</w:p>
<w:p>
<w:pPr><w:pStyle w:val="Normal"/></w:pPr>
<w:r><w:t xml:space="preserve">of the captivity Amos preserves a mysterious vagueness.  The</w:t></w:r>
</w:p>
<w:p>
<w:pPr><w:pStyle w:val="Normal"/></w:pPr>
<w:r><w:t xml:space="preserve">fact, however, he puts forward with the confidence of one who</w:t></w:r>
</w:p>
<w:p>
<w:pPr><w:pStyle w:val="Normal"/></w:pPr>
<w:r><w:t xml:space="preserve">is intimate with his God (iii. 7), and most probably it was at</w:t></w:r>
</w:p>
<w:p>
<w:pPr><w:pStyle w:val="Normal"/></w:pPr>
<w:r><w:t xml:space="preserve">some great festival that he spoke the words which so perturbed</w:t></w:r>
</w:p>
<w:p>
<w:pPr><w:pStyle w:val="Normal"/></w:pPr>
<w:r><w:t xml:space="preserve">Amaziah.  The priest may not indeed himself have believed</w:t></w:r>
</w:p>
<w:p>
<w:pPr><w:pStyle w:val="Normal"/></w:pPr>
<w:r><w:t xml:space="preserve">them, but he probably feared their effect on the moral courage</w:t></w:r>
</w:p>
<w:p>
<w:pPr><w:pStyle w:val="Normal"/></w:pPr>
<w:r><w:t xml:space="preserve">of the people.  And it is perhaps not arbitrary to suppose</w:t></w:r>
</w:p>
<w:p>
<w:pPr><w:pStyle w:val="Normal"/></w:pPr>
<w:r><w:t xml:space="preserve">that the splendour of the ritual in Amos&apos;s time implies a</w:t></w:r>
</w:p>
<w:p>
<w:pPr><w:pStyle w:val="Normal"/></w:pPr>
<w:r><w:t xml:space="preserve">tremulous anxiety that Israel&apos;s seeming prosperity under</w:t></w:r>
</w:p>
<w:p>
<w:pPr><w:pStyle w:val="Normal"/></w:pPr>
<w:r><w:t xml:space="preserve">Jeroboam II. (see JEWS) may not be as secure as could be</w:t></w:r>
</w:p>
<w:p>
<w:pPr><w:pStyle w:val="Normal"/></w:pPr>
<w:r><w:t xml:space="preserve">wished.  For Amos cannot have been quite alone either in</w:t></w:r>
</w:p>
<w:p>
<w:pPr><w:pStyle w:val="Normal"/></w:pPr>
<w:r><w:t xml:space="preserve">Israel or in Judah; there must have been a little flock of</w:t></w:r>
</w:p>
<w:p>
<w:pPr><w:pStyle w:val="Normal"/></w:pPr>
<w:r><w:t xml:space="preserve">those who felt with Amos that there was small reason indeed</w:t></w:r>
</w:p>
<w:p>
<w:pPr><w:pStyle w:val="Normal"/></w:pPr>
<w:r><w:t xml:space="preserve">to ``desire the day of Yahweh&apos;&apos; (v. 18; see Harper&apos;s note).</w:t></w:r>
</w:p>
<w:p>
<w:pPr><w:pStyle w:val="Normal"/></w:pPr>
<w:r><w:t xml:space="preserve">But why did Amos so emphatically decline to be called a</w:t></w:r>
</w:p>
<w:p>
<w:pPr><w:pStyle w:val="Normal"/></w:pPr>
<w:r><w:t xml:space="preserve">prophet? A prophet in some true sense he certainly was, a</w:t></w:r>
</w:p>
<w:p>
<w:pPr><w:pStyle w:val="Normal"/></w:pPr>
<w:r><w:t xml:space="preserve">prophet who, within his own range, has not been surpassed.</w:t></w:r>
</w:p>
<w:p>
<w:pPr><w:pStyle w:val="Normal"/></w:pPr>
<w:r><w:t xml:space="preserve">He means this--that he is no mere ecstatic enthusiast or</w:t></w:r>
</w:p>
<w:p>
<w:pPr><w:pStyle w:val="Normal"/></w:pPr>
<w:r><w:t xml:space="preserve">``dervish,&apos;&apos; whose primary aim is to keep up the warlike</w:t></w:r>
</w:p>
<w:p>
<w:pPr><w:pStyle w:val="Normal"/></w:pPr>
<w:r><w:t xml:space="preserve">spirit of the people, taking for granted that Yahweh is on</w:t></w:r>
</w:p>
<w:p>
<w:pPr><w:pStyle w:val="Normal"/></w:pPr>
<w:r><w:t xml:space="preserve">the people&apos;s side, and that he is perfectly free from the</w:t></w:r>
</w:p>
<w:p>
<w:pPr><w:pStyle w:val="Normal"/></w:pPr>
<w:r><w:t xml:space="preserve">taint of selfishness, not having to support himself by his</w:t></w:r>
</w:p>
<w:p>
<w:pPr><w:pStyle w:val="Normal"/></w:pPr>
<w:r><w:t xml:space="preserve">prophesying.  He could not indeed tell Amaziah this, but it</w:t></w:r>
</w:p>
<w:p>
<w:pPr><w:pStyle w:val="Normal"/></w:pPr>
<w:r><w:t xml:space="preserve">is nevertheless true that he was the founder, or one of the</w:t></w:r>
</w:p>
<w:p>
<w:pPr><w:pStyle w:val="Normal"/></w:pPr>
<w:r><w:t xml:space="preserve">founders, of a new type of prophet.  He was also either the</w:t></w:r>
</w:p>
<w:p>
<w:pPr><w:pStyle w:val="Normal"/></w:pPr>
<w:r><w:t xml:space="preserve">first, or one of the first, to write down, or to get written</w:t></w:r>
</w:p>
<w:p>
<w:pPr><w:pStyle w:val="Normal"/></w:pPr>
<w:r><w:t xml:space="preserve">down, the substance of his spoken prophecies, and perhaps</w:t></w:r>
</w:p>
<w:p>
<w:pPr><w:pStyle w:val="Normal"/></w:pPr>
<w:r><w:t xml:space="preserve">also prophecies which he never delivered at all.  This was</w:t></w:r>
</w:p>
<w:p>
<w:pPr><w:pStyle w:val="Normal"/></w:pPr>
<w:r><w:t xml:space="preserve">the consequence of his ill success as a public preacher.</w:t></w:r>
</w:p>
<w:p>
<w:pPr><w:pStyle w:val="Normal"/></w:pPr>
<w:r><w:t xml:space="preserve">The other prophets of the same order may be presumed to have</w:t></w:r>
</w:p>
<w:p>
<w:pPr><w:pStyle w:val="Normal"/></w:pPr>
<w:r><w:t xml:space="preserve">been hardly less unsuccessful.  Hence the new phenomenon</w:t></w:r>
</w:p>
<w:p>
<w:pPr><w:pStyle w:val="Normal"/></w:pPr>
<w:r><w:t xml:space="preserve">of written prophecies.  The literary skill of Amos leads</w:t></w:r>
</w:p>
<w:p>
<w:pPr><w:pStyle w:val="Normal"/></w:pPr>
<w:r><w:t xml:space="preserve">one to suppose that he had prepared in advance for this,</w:t></w:r>
</w:p>
<w:p>
<w:pPr><w:pStyle w:val="Normal"/></w:pPr>
<w:r><w:t xml:space="preserve">perhaps we may say, not altogether unfortunate necessity.</w:t></w:r>
</w:p>
<w:p>
<w:pPr><w:pStyle w:val="Normal"/></w:pPr>
<w:r><w:t xml:space="preserve">That there are many hard problems connected with the</w:t></w:r>
</w:p>
<w:p>
<w:pPr><w:pStyle w:val="Normal"/></w:pPr>
<w:r><w:t xml:space="preserve">fascinating book of Amos cannot be denied.  The one point</w:t></w:r>
</w:p>
<w:p>
<w:pPr><w:pStyle w:val="Normal"/></w:pPr>
<w:r><w:t xml:space="preserve">on which we have indicated a doubt, viz. as to the situation</w:t></w:r>
</w:p>
<w:p>
<w:pPr><w:pStyle w:val="Normal"/></w:pPr>
<w:r><w:t xml:space="preserve">of Tekoa, ought strictly to be accompanied by others.  For</w:t></w:r>
</w:p>
<w:p>
<w:pPr><w:pStyle w:val="Normal"/></w:pPr>
<w:r><w:t xml:space="preserve">instance, how came Amos to transfer himself to northern</w:t></w:r>
</w:p>
<w:p>
<w:pPr><w:pStyle w:val="Normal"/></w:pPr>
<w:r><w:t xml:space="preserve">Israel? How hard it must have been to obtain a footing there</w:t></w:r>
</w:p>
<w:p>
<w:pPr><w:pStyle w:val="Normal"/></w:pPr>
<w:r><w:t xml:space="preserve">while he was a mere student and observer! And how came he by</w:t></w:r>
</w:p>
<w:p>
<w:pPr><w:pStyle w:val="Normal"/></w:pPr>
<w:r><w:t xml:space="preserve">his wide knowledge of people outside the limits of Israel?</w:t></w:r>
</w:p>
<w:p>
<w:pPr><w:pStyle w:val="Normal"/></w:pPr>
<w:r><w:t xml:space="preserve">The most recent and elaborate commentator even calls him an</w:t></w:r>
</w:p>
<w:p>
<w:pPr><w:pStyle w:val="Normal"/></w:pPr>
<w:r><w:t xml:space="preserve">``ethnologist.&apos;&apos; And lastly, whence came his mastery of the</w:t></w:r>
</w:p>
<w:p>
<w:pPr><w:pStyle w:val="Normal"/></w:pPr>
<w:r><w:t xml:space="preserve">poetical and literary arts? Is he really the Columbus of</w:t></w:r>
</w:p>
<w:p>
<w:pPr><w:pStyle w:val="Normal"/></w:pPr>
<w:r><w:t xml:space="preserve">written prophecy? And behind these questions is the fundamental</w:t></w:r>
</w:p>
<w:p>
<w:pPr><w:pStyle w:val="Normal"/></w:pPr>
<w:r><w:t xml:space="preserve">problem of the text, which has been somewhat too slightly</w:t></w:r>
</w:p>
<w:p>
<w:pPr><w:pStyle w:val="Normal"/></w:pPr>
<w:r><w:t xml:space="preserve">treated.  The text of Hosea may be in a much worse condition,</w:t></w:r>
</w:p>
<w:p>
<w:pPr><w:pStyle w:val="Normal"/></w:pPr>
<w:r><w:t xml:space="preserve">but a keen scrutiny discloses many an uncertainty, not to say</w:t></w:r>
</w:p>
<w:p>
<w:pPr><w:pStyle w:val="Normal"/></w:pPr>
<w:r><w:t xml:space="preserve">impossibility, in the traditional form of Amos.  That the</w:t></w:r>
</w:p>
<w:p>
<w:pPr><w:pStyle w:val="Normal"/></w:pPr>
<w:r><w:t xml:space="preserve">text has been much adapted and altered is certain; not less</w:t></w:r>
</w:p>
<w:p>
<w:pPr><w:pStyle w:val="Normal"/></w:pPr>
<w:r><w:t xml:space="preserve">obvious are the corruptions due to carelessness and accident.</w:t></w:r>
</w:p>
<w:p>
<w:pPr><w:pStyle w:val="Normal"/></w:pPr>
<w:r><w:t xml:space="preserve">The main divisions of the book are plain, viz. chaps. i.-ii.,</w:t></w:r>
</w:p>
<w:p>
<w:pPr><w:pStyle w:val="Normal"/></w:pPr>
<w:r><w:t xml:space="preserve">chaps. iii.-vi., and chaps. vii.-ix.  This arrangement,</w:t></w:r>
</w:p>
<w:p>
<w:pPr><w:pStyle w:val="Normal"/></w:pPr>
<w:r><w:t xml:space="preserve">however, is probably not due to Amos himself, or to his</w:t></w:r>
</w:p>
<w:p>
<w:pPr><w:pStyle w:val="Normal"/></w:pPr>
<w:r><w:t xml:space="preserve">immediate disciples, but to some later redactor.  A number</w:t></w:r>
</w:p>
<w:p>
<w:pPr><w:pStyle w:val="Normal"/></w:pPr>
<w:r><w:t xml:space="preserve">of passages seem to have been inserted subsequently to the</w:t></w:r>
</w:p>
<w:p>
<w:pPr><w:pStyle w:val="Normal"/></w:pPr>
<w:r><w:t xml:space="preserve">time of Amos, on which see Ency.  Bib., ``Amos,&apos;&apos; and the</w:t></w:r>
</w:p>
<w:p>
<w:pPr><w:pStyle w:val="Normal"/></w:pPr>
<w:r><w:t xml:space="preserve">introduction to Robertson Smith&apos;s Prophets of Israel(2),</w:t></w:r>
</w:p>
<w:p>
<w:pPr><w:pStyle w:val="Normal"/></w:pPr>
<w:r><w:t xml:space="preserve">though in some cases the final decision will have to be</w:t></w:r>
</w:p>
<w:p>
<w:pPr><w:pStyle w:val="Normal"/></w:pPr>
<w:r><w:t xml:space="preserve">preceded by a more thorough examination of the traditional</w:t></w:r>
</w:p>
<w:p>
<w:pPr><w:pStyle w:val="Normal"/></w:pPr>
<w:r><w:t xml:space="preserve">text.  The most obvious non-Amosian passage in the book is the</w:t></w:r>
</w:p>
<w:p>
<w:pPr><w:pStyle w:val="Normal"/></w:pPr>
<w:r><w:t xml:space="preserve">concluding passage, ix. 8-15, which has evidently supplanted</w:t></w:r>
</w:p>
<w:p>
<w:pPr><w:pStyle w:val="Normal"/></w:pPr>
<w:r><w:t xml:space="preserve">the original close of the section.  The meaning of the phrase</w:t></w:r>
</w:p>
<w:p>
<w:pPr><w:pStyle w:val="Normal"/></w:pPr>
<w:r><w:t xml:space="preserve">``the tabernacle (booth) of David that is fallen&apos;&apos; (ver. 11)</w:t></w:r>
</w:p>
<w:p>
<w:pPr><w:pStyle w:val="Normal"/></w:pPr>
<w:r><w:t xml:space="preserve">is not perfectly clear.  Beyond reasonable doubt, however,</w:t></w:r>
</w:p>
<w:p>
<w:pPr><w:pStyle w:val="Normal"/></w:pPr>
<w:r><w:t xml:space="preserve">the writer seeks to take out the sting of the preceding</w:t></w:r>
</w:p>
<w:p>
<w:pPr><w:pStyle w:val="Normal"/></w:pPr>
<w:r><w:t xml:space="preserve">passage in which Israel is devoted to utter destruction.</w:t></w:r>
</w:p>
<w:p>
<w:pPr><w:pStyle w:val="Normal"/></w:pPr>
<w:r><w:t xml:space="preserve">The penitent and God-fearing Jews of the post-exilic age</w:t></w:r>
</w:p>
<w:p>
<w:pPr><w:pStyle w:val="Normal"/></w:pPr>
<w:r><w:t xml:space="preserve">needed some softening appendix, and this the editor provided.</w:t></w:r>
</w:p>
<w:p>
<w:pPr><w:pStyle w:val="Normal"/></w:pPr>
<w:r><w:t xml:space="preserve">English readers are now well supplied with books on Amos.</w:t></w:r>
</w:p>
<w:p>
<w:pPr><w:pStyle w:val="Normal"/></w:pPr>
<w:r><w:t xml:space="preserve">Driver&apos;s Joel and Amos (see JOEL) (1897) and G. A. Smith&apos;s</w:t></w:r>
</w:p>
<w:p>
<w:pPr><w:pStyle w:val="Normal"/></w:pPr>
<w:r><w:t xml:space="preserve">Twelve Prophets, vol. i. (1896), supplement and illustrate</w:t></w:r>
</w:p>
<w:p>
<w:pPr><w:pStyle w:val="Normal"/></w:pPr>
<w:r><w:t xml:space="preserve">each other.  Harper&apos;s Amos anid Hosea (see HOSEA) (1905)</w:t></w:r>
</w:p>
<w:p>
<w:pPr><w:pStyle w:val="Normal"/></w:pPr>
<w:r><w:t xml:space="preserve">gives the cream of all the good things that have been said</w:t></w:r>
</w:p>
<w:p>
<w:pPr><w:pStyle w:val="Normal"/></w:pPr>
<w:r><w:t xml:space="preserve">before, with a generally sound judgment; it is addressed to</w:t></w:r>
</w:p>
<w:p>
<w:pPr><w:pStyle w:val="Normal"/></w:pPr>
<w:r><w:t xml:space="preserve">advanced students, and is perhaps less cautious than the two</w:t></w:r>
</w:p>
<w:p>
<w:pPr><w:pStyle w:val="Normal"/></w:pPr>
<w:r><w:t xml:space="preserve">former.  The German commentaries on the Minor Prophets by</w:t></w:r>
</w:p>
<w:p>
<w:pPr><w:pStyle w:val="Normal"/></w:pPr>
<w:r><w:t xml:space="preserve">Nowack (2nd ed., 1905) and (especially) Marti (1904) must</w:t></w:r>
</w:p>
<w:p>
<w:pPr><w:pStyle w:val="Normal"/></w:pPr>
<w:r><w:t xml:space="preserve">not, however, be neglected.  Wellhausen&apos;s briefer work (3rd</w:t></w:r>
</w:p>
<w:p>
<w:pPr><w:pStyle w:val="Normal"/></w:pPr>
<w:r><w:t xml:space="preserve">ed., 1898) is esriecially suggestive for textual criticism.</w:t></w:r>
</w:p>
<w:p>
<w:pPr><w:pStyle w:val="Normal"/></w:pPr>
<w:r><w:t xml:space="preserve">Cheyne&apos;s Critica Biblica (1904), cf. his review of Harper in</w:t></w:r>
</w:p>
<w:p>
<w:pPr><w:pStyle w:val="Normal"/></w:pPr>
<w:r><w:t xml:space="preserve">Hibbert Journal, iii. 824 fl., breaks new ground. (T. K. C.)</w:t></w:r>
</w:p>
<w:p>
<w:pPr><w:pStyle w:val="Normal"/></w:pPr>
<w:r><w:t xml:space="preserve">AMOS, SHELDON (1835-1886), English jurist, was educated</w:t></w:r>
</w:p>
<w:p>
<w:pPr><w:pStyle w:val="Normal"/></w:pPr>
<w:r><w:t xml:space="preserve">at Clare College, Cambridge, and was called to the bar</w:t></w:r>
</w:p>
<w:p>
<w:pPr><w:pStyle w:val="Normal"/></w:pPr>
<w:r><w:t xml:space="preserve">as a member of the Middle Temple in 1862.  In 1869 he was</w:t></w:r>
</w:p>
<w:p>
<w:pPr><w:pStyle w:val="Normal"/></w:pPr>
<w:r><w:t xml:space="preserve">appointed to the chair of jurisprudence in University College,</w:t></w:r>
</w:p>
<w:p>
<w:pPr><w:pStyle w:val="Normal"/></w:pPr>
<w:r><w:t xml:space="preserve">London, and in 1872 became reader under the council of legal</w:t></w:r>
</w:p>
<w:p>
<w:pPr><w:pStyle w:val="Normal"/></w:pPr>
<w:r><w:t xml:space="preserve">education and examiner in constitutional law and history</w:t></w:r>
</w:p>
<w:p>
<w:pPr><w:pStyle w:val="Normal"/></w:pPr>
<w:r><w:t xml:space="preserve">to the university of London.  Failing health led to his</w:t></w:r>
</w:p>
<w:p>
<w:pPr><w:pStyle w:val="Normal"/></w:pPr>
<w:r><w:t xml:space="preserve">resignation of those offices, and he took a voyage to the South</w:t></w:r>
</w:p>
<w:p>
<w:pPr><w:pStyle w:val="Normal"/></w:pPr>
<w:r><w:t xml:space="preserve">Seas.  He resided for a short time at Sydney, and finally</w:t></w:r>
</w:p>
<w:p>
<w:pPr><w:pStyle w:val="Normal"/></w:pPr>
<w:r><w:t xml:space="preserve">settled in Egypt, where he practised as an advocate.  After</w:t></w:r>
</w:p>
<w:p>
<w:pPr><w:pStyle w:val="Normal"/></w:pPr>
<w:r><w:t xml:space="preserve">the bombardment of Alexandria, and the reorganization of</w:t></w:r>
</w:p>
<w:p>
<w:pPr><w:pStyle w:val="Normal"/></w:pPr>
<w:r><w:t xml:space="preserve">the Egyptian judicature, he was appointed judge of the court</w:t></w:r>
</w:p>
<w:p>
<w:pPr><w:pStyle w:val="Normal"/></w:pPr>
<w:r><w:t xml:space="preserve">of appeal, but being without any previous experience of</w:t></w:r>
</w:p>
<w:p>
<w:pPr><w:pStyle w:val="Normal"/></w:pPr>
<w:r><w:t xml:space="preserve">administrative work he found the strain too great for his</w:t></w:r>
</w:p>
<w:p>
<w:pPr><w:pStyle w:val="Normal"/></w:pPr>
<w:r><w:t xml:space="preserve">health.  He came to England on leave in the autumn of 1885,</w:t></w:r>
</w:p>
<w:p>
<w:pPr><w:pStyle w:val="Normal"/></w:pPr>
<w:r><w:t xml:space="preserve">and on his return to Egypt he died suddenly at Alexandria</w:t></w:r>
</w:p>
<w:p>
<w:pPr><w:pStyle w:val="Normal"/></w:pPr>
<w:r><w:t xml:space="preserve">on the 3rd of January 1886.  His principal publications</w:t></w:r>
</w:p>
<w:p>
<w:pPr><w:pStyle w:val="Normal"/></w:pPr>
<w:r><w:t xml:space="preserve">are: Systematic View of the Science of Jurisprudence</w:t></w:r>
</w:p>
<w:p>
<w:pPr><w:pStyle w:val="Normal"/></w:pPr>
<w:r><w:t xml:space="preserve">(1872); Lectures on International Law (1873); Science</w:t></w:r>
</w:p>
<w:p>
<w:pPr><w:pStyle w:val="Normal"/></w:pPr>
<w:r><w:t xml:space="preserve">of Law (1874); Science of Politics (1883); History and</w:t></w:r>
</w:p>
<w:p>
<w:pPr><w:pStyle w:val="Normal"/></w:pPr>
<w:r><w:t xml:space="preserve">Principles of the Civil Law of Rome as Aid to the Study of</w:t></w:r>
</w:p>
<w:p>
<w:pPr><w:pStyle w:val="Normal"/></w:pPr>
<w:r><w:t xml:space="preserve">Scientific and Comparative Jurisprudence (1883), and numerous</w:t></w:r>
</w:p>
<w:p>
<w:pPr><w:pStyle w:val="Normal"/></w:pPr>
<w:r><w:t xml:space="preserve">pamphlets.  His wife, Mrs Sheldon Amos (Sarah Maclardie</w:t></w:r>
</w:p>
<w:p>
<w:pPr><w:pStyle w:val="Normal"/></w:pPr>
<w:r><w:t xml:space="preserve">Bunting), took a prominent part in Liberal Nonconformist</w:t></w:r>
</w:p>
<w:p>
<w:pPr><w:pStyle w:val="Normal"/></w:pPr>
<w:r><w:t xml:space="preserve">politics and in movements connected with the position of</w:t></w:r>
</w:p>
<w:p>
<w:pPr><w:pStyle w:val="Normal"/></w:pPr>
<w:r><w:t xml:space="preserve">women.  She died at Cairo on the 21st of January 1908.</w:t></w:r>
</w:p>
<w:p>
<w:pPr><w:pStyle w:val="Normal"/></w:pPr>
<w:r><w:t xml:space="preserve">AMOY, a city and treaty-port in the province of Fuh-kien,</w:t></w:r>
</w:p>
<w:p>
<w:pPr><w:pStyle w:val="Normal"/></w:pPr>
<w:r><w:t xml:space="preserve">China, situated on the slope of a hill, on the south coast</w:t></w:r>
</w:p>
<w:p>
<w:pPr><w:pStyle w:val="Normal"/></w:pPr>
<w:r><w:t xml:space="preserve">of a small and barren island named Hiamen, in 24 deg.  28&apos;</w:t></w:r>
</w:p>
<w:p>
<w:pPr><w:pStyle w:val="Normal"/></w:pPr>
<w:r><w:t xml:space="preserve">N. and 118 deg.  10&apos; E. It is a large and exceedingly dirty</w:t></w:r>
</w:p>
<w:p>
<w:pPr><w:pStyle w:val="Normal"/></w:pPr>
<w:r><w:t xml:space="preserve">place, about 9 m. in circumference, and is divided into two</w:t></w:r>
</w:p>
<w:p>
<w:pPr><w:pStyle w:val="Normal"/></w:pPr>
<w:r><w:t xml:space="preserve">portions, an inner and an outer town, which are separated</w:t></w:r>
</w:p>
<w:p>
<w:pPr><w:pStyle w:val="Normal"/></w:pPr>
<w:r><w:t xml:space="preserve">from each other by a ridge of hills, on which a citadel of</w:t></w:r>
</w:p>
<w:p>
<w:pPr><w:pStyle w:val="Normal"/></w:pPr>
<w:r><w:t xml:space="preserve">considerable strength has been built.  Each of these divisions</w:t></w:r>
</w:p>
<w:p>
<w:pPr><w:pStyle w:val="Normal"/></w:pPr>
<w:r><w:t xml:space="preserve">of the city possesses a large and commodious harbour, that</w:t></w:r>
</w:p>
<w:p>
<w:pPr><w:pStyle w:val="Normal"/></w:pPr>
<w:r><w:t xml:space="preserve">of the inner town, or city proper, being protected by strong</w:t></w:r>
</w:p>
<w:p>
<w:pPr><w:pStyle w:val="Normal"/></w:pPr>
<w:r><w:t xml:space="preserve">fortifications.  There are dry-docks and an excellent</w:t></w:r>
</w:p>
<w:p>
<w:pPr><w:pStyle w:val="Normal"/></w:pPr>
<w:r><w:t xml:space="preserve">anchorage.  Amoy may be regarded as the port of the inland</w:t></w:r>
</w:p>
<w:p>
<w:pPr><w:pStyle w:val="Normal"/></w:pPr>
<w:r><w:t xml:space="preserve">city of Chang-chow, with which it has river communication,</w:t></w:r>
</w:p>
<w:p>
<w:pPr><w:pStyle w:val="Normal"/></w:pPr>
<w:r><w:t xml:space="preserve">and its trade, both foreign and coastwise, is extensive and</w:t></w:r>
</w:p>
<w:p>
<w:pPr><w:pStyle w:val="Normal"/></w:pPr>
<w:r><w:t xml:space="preserve">valuable.  The chief articles imported are sugar, rice, raw</w:t></w:r>
</w:p>
<w:p>
<w:pPr><w:pStyle w:val="Normal"/></w:pPr>
<w:r><w:t xml:space="preserve">cotton and opium, as well as cotton cloths, iron goods and</w:t></w:r>
</w:p>
<w:p>
<w:pPr><w:pStyle w:val="Normal"/></w:pPr>
<w:r><w:t xml:space="preserve">other European manufactures.  The chief exports are tea,</w:t></w:r>
</w:p>
<w:p>
<w:pPr><w:pStyle w:val="Normal"/></w:pPr>
<w:r><w:t xml:space="preserve">porcelain and paper.  The trade carried on by means of Chinese</w:t></w:r>
</w:p>
<w:p>
<w:pPr><w:pStyle w:val="Normal"/></w:pPr>
<w:r><w:t xml:space="preserve">junks is said to be large, and the native merchants are</w:t></w:r>
</w:p>
<w:p>
<w:pPr><w:pStyle w:val="Normal"/></w:pPr>
<w:r><w:t xml:space="preserve">considered to be among the wealthiest and most enterprising in</w:t></w:r>
</w:p>
<w:p>
<w:pPr><w:pStyle w:val="Normal"/></w:pPr>
<w:r><w:t xml:space="preserve">China.  By other vessels the trade in 1870 was:--imports,</w:t></w:r>
</w:p>
<w:p>
<w:pPr><w:pStyle w:val="Heading1"/></w:pPr>
<w:r><w:t>L. 1,915,427; exports, L. 1,440,000.  In 1904 the figures</w:t></w:r>
</w:p>
<w:p>
<w:pPr><w:pStyle w:val="Normal"/></w:pPr>
<w:r><w:t xml:space="preserve">were:--imports, L. 2,081,494; exports, L. 384,494.  The falling</w:t></w:r>
</w:p>
<w:p>
<w:pPr><w:pStyle w:val="Normal"/></w:pPr>
<w:r><w:t xml:space="preserve">off of exports is due to the decreased demand for China</w:t></w:r>
</w:p>
<w:p>
<w:pPr><w:pStyle w:val="Normal"/></w:pPr>
<w:r><w:t xml:space="preserve">tea, for which Amoy was one of the chief centres.  The native</w:t></w:r>
</w:p>
<w:p>
<w:pPr><w:pStyle w:val="Normal"/></w:pPr>
<w:r><w:t xml:space="preserve">population is now estimated at 300,000, and the foreign</w:t></w:r>
</w:p>
<w:p>
<w:pPr><w:pStyle w:val="Normal"/></w:pPr>
<w:r><w:t xml:space="preserve">residents number about 280. A large part of the trade is</w:t></w:r>
</w:p>
<w:p>
<w:pPr><w:pStyle w:val="Normal"/></w:pPr>
<w:r><w:t xml:space="preserve">that carried on with the neighbouring Japanese island of</w:t></w:r>
</w:p>
<w:p>
<w:pPr><w:pStyle w:val="Normal"/></w:pPr>
<w:r><w:t xml:space="preserve">Formosa.  The province of Fuh-kien is claimed by the Japanese</w:t></w:r>
</w:p>
<w:p>
<w:pPr><w:pStyle w:val="Normal"/></w:pPr>
<w:r><w:t xml:space="preserve">as their particular sphere of influence.  Amoy was captured by</w:t></w:r>
</w:p>
<w:p>
<w:pPr><w:pStyle w:val="Normal"/></w:pPr>
<w:r><w:t xml:space="preserve">the British in 1841, after a determined resistance, and is one</w:t></w:r>
</w:p>
<w:p>
<w:pPr><w:pStyle w:val="Normal"/></w:pPr>
<w:r><w:t xml:space="preserve">of the five ports that were opened to British commerce by the</w:t></w:r>
</w:p>
<w:p>
<w:pPr><w:pStyle w:val="Normal"/></w:pPr>
<w:r><w:t xml:space="preserve">treaty of 1842; it is now open to the ships of all nations.</w:t></w:r>
</w:p>
<w:p>
<w:pPr><w:pStyle w:val="Normal"/></w:pPr>
<w:r><w:t xml:space="preserve">AMPELIUS, LUCIUS, possibly a tutor or schoolmaster, and</w:t></w:r>
</w:p>
<w:p>
<w:pPr><w:pStyle w:val="Normal"/></w:pPr>
<w:r><w:t xml:space="preserve">author of an extremely concise summary--a kind of index--of</w:t></w:r>
</w:p>
<w:p>
<w:pPr><w:pStyle w:val="Normal"/></w:pPr>
<w:r><w:t xml:space="preserve">universal history (Liber Memorialis) from the earliest</w:t></w:r>
</w:p>
<w:p>
<w:pPr><w:pStyle w:val="Normal"/></w:pPr>
<w:r><w:t xml:space="preserve">times to the reign of Trajan.  Its object and scope are</w:t></w:r>
</w:p>
<w:p>
<w:pPr><w:pStyle w:val="Normal"/></w:pPr>
<w:r><w:t xml:space="preserve">sufficiently indicated in the dedication to a certain Macrinus:</w:t></w:r>
</w:p>
<w:p>
<w:pPr><w:pStyle w:val="Normal"/></w:pPr>
<w:r><w:t xml:space="preserve">``Since you desire to know everything, I have written this</w:t></w:r>
</w:p>
<w:p>
<w:pPr><w:pStyle w:val="Normal"/></w:pPr>
<w:r><w:t xml:space="preserve">`book of notes,&apos; that you may learn of what the universe and</w:t></w:r>
</w:p>
<w:p>
<w:pPr><w:pStyle w:val="Normal"/></w:pPr>
<w:r><w:t xml:space="preserve">its elements consist, what the world contains, and what the</w:t></w:r>
</w:p>
<w:p>
<w:pPr><w:pStyle w:val="Normal"/></w:pPr>
<w:r><w:t xml:space="preserve">human race has done.&apos;&apos; It seems to have been intended as a</w:t></w:r>
</w:p>
<w:p>
<w:pPr><w:pStyle w:val="Normal"/></w:pPr>
<w:r><w:t xml:space="preserve">text-book to be learnt by heart.  The little work, in fifty</w:t></w:r>
</w:p>
<w:p>
<w:pPr><w:pStyle w:val="Heading1"/></w:pPr>
<w:r><w:t>chapters, gives a sketch of cosmography, geography, mythology</w:t></w:r>
</w:p>
<w:p>
<w:pPr><w:pStyle w:val="Normal"/></w:pPr>
<w:r><w:t xml:space="preserve">(chaps. i.-x.), and history (chap. x.-end).  The historical</w:t></w:r>
</w:p>
<w:p>
<w:pPr><w:pStyle w:val="Normal"/></w:pPr>
<w:r><w:t xml:space="preserve">portion, dealing mainly with the republican period, is</w:t></w:r>
</w:p>
<w:p>
<w:pPr><w:pStyle w:val="Normal"/></w:pPr>
<w:r><w:t xml:space="preserve">untrustworthy, and the text in many places corrupt; the earlier</w:t></w:r>
</w:p>
<w:p>
<w:pPr><w:pStyle w:val="Heading1"/></w:pPr>
<w:r><w:t>chapters are more valuable, and contain some interesting</w:t></w:r>
</w:p>
<w:p>
<w:pPr><w:pStyle w:val="Normal"/></w:pPr>
<w:r><w:t xml:space="preserve">information.  In chap. viii. (Miracula Mundi) occurs the</w:t></w:r>
</w:p>
<w:p>
<w:pPr><w:pStyle w:val="Normal"/></w:pPr>
<w:r><w:t xml:space="preserve">only reference in an ancient writer to the famous sculptures of</w:t></w:r>
</w:p>
<w:p>
<w:pPr><w:pStyle w:val="Normal"/></w:pPr>
<w:r><w:t xml:space="preserve">Pergamum, discovered in 1871, excavated in 1878, and now at</w:t></w:r>
</w:p>
<w:p>
<w:pPr><w:pStyle w:val="Normal"/></w:pPr>
<w:r><w:t xml:space="preserve">Berlin: ``At Pergamum there is a great marble altar, 40 ft.</w:t></w:r>
</w:p>
<w:p>
<w:pPr><w:pStyle w:val="Normal"/></w:pPr>
<w:r><w:t xml:space="preserve">high, with colossal sculptures, representing a battle of the</w:t></w:r>
</w:p>
<w:p>
<w:pPr><w:pStyle w:val="Normal"/></w:pPr>
<w:r><w:t xml:space="preserve">giants.&apos;&apos; Nothing is known of the author or of the date at</w:t></w:r>
</w:p>
<w:p>
<w:pPr><w:pStyle w:val="Normal"/></w:pPr>
<w:r><w:t xml:space="preserve">which he lived: the times of Trajan, Hadrian, Antoninus Pius,</w:t></w:r>
</w:p>
<w:p>
<w:pPr><w:pStyle w:val="Normal"/></w:pPr>
<w:r><w:t xml:space="preserve">the beginning of the 3rd century, and the age of Diocletian</w:t></w:r>
</w:p>
<w:p>
<w:pPr><w:pStyle w:val="Normal"/></w:pPr>
<w:r><w:t xml:space="preserve">and Constantine have all been suggested.  The Macrinus to whom</w:t></w:r>
</w:p>
<w:p>
<w:pPr><w:pStyle w:val="Normal"/></w:pPr>
<w:r><w:t xml:space="preserve">the work is dedicated may have been the emperor, who reigned</w:t></w:r>
</w:p>
<w:p>
<w:pPr><w:pStyle w:val="Normal"/></w:pPr>
<w:r><w:t xml:space="preserve">217-218, but the name is not uncommon, and it seems more</w:t></w:r>
</w:p>
<w:p>
<w:pPr><w:pStyle w:val="Normal"/></w:pPr>
<w:r><w:t xml:space="preserve">likely that he was a young man with a thirst for universal</w:t></w:r>
</w:p>
<w:p>
<w:pPr><w:pStyle w:val="Normal"/></w:pPr>
<w:r><w:t xml:space="preserve">knowledge, which the Liber Memorialis was compiled to satisfy.</w:t></w:r>
</w:p>
<w:p>
<w:pPr><w:pStyle w:val="Normal"/></w:pPr>
<w:r><w:t xml:space="preserve">There is no English edition or translation.  The first</w:t></w:r>
</w:p>
<w:p>
<w:pPr><w:pStyle w:val="Normal"/></w:pPr>
<w:r><w:t xml:space="preserve">edition of Ampelius was published in 1638 by Salmasius</w:t></w:r>
</w:p>
<w:p>
<w:pPr><w:pStyle w:val="Normal"/></w:pPr>
<w:r><w:t xml:space="preserve">(Saumaise) from the Dijon MS., now lost, together with</w:t></w:r>
</w:p>
<w:p>
<w:pPr><w:pStyle w:val="Normal"/></w:pPr>
<w:r><w:t xml:space="preserve">the Epitome of Florus; the latest edition is by Wolfflin</w:t></w:r>
</w:p>
<w:p>
<w:pPr><w:pStyle w:val="Normal"/></w:pPr>
<w:r><w:t xml:space="preserve">(1854), based on Salmasius&apos;s copy of the lost codex.</w:t></w:r>
</w:p>
<w:p>
<w:pPr><w:pStyle w:val="Normal"/></w:pPr>
<w:r><w:t xml:space="preserve">See Glaser, Rheinisches Museum, ii. (1843); Zink, Eos,</w:t></w:r>
</w:p>
<w:p>
<w:pPr><w:pStyle w:val="Normal"/></w:pPr>
<w:r><w:t xml:space="preserve">ii (1866); Wolfflin, De L. Ampelii Libro Memoriali (1854).</w:t></w:r>
</w:p>
<w:p>
<w:pPr><w:pStyle w:val="Normal"/></w:pPr>
<w:r><w:t xml:space="preserve">AMPELOPSIS (from Gr. ampelos, vine, and opsis, appearance,</w:t></w:r>
</w:p>
<w:p>
<w:pPr><w:pStyle w:val="Normal"/></w:pPr>
<w:r><w:t xml:space="preserve">as it resembles the grape-vine in habit), a genus of the</w:t></w:r>
</w:p>
<w:p>
<w:pPr><w:pStyle w:val="Normal"/></w:pPr>
<w:r><w:t xml:space="preserve">vine order Ampelideae and nearly allied to the grape-vine.</w:t></w:r>
</w:p>
<w:p>
<w:pPr><w:pStyle w:val="Normal"/></w:pPr>
<w:r><w:t xml:space="preserve">The plants are rapidly-growing, hardy, ornamental climbers,</w:t></w:r>
</w:p>
<w:p>
<w:pPr><w:pStyle w:val="Normal"/></w:pPr>
<w:r><w:t xml:space="preserve">which flourish in common garden soil, and are readily</w:t></w:r>
</w:p>
<w:p>
<w:pPr><w:pStyle w:val="Normal"/></w:pPr>
<w:r><w:t xml:space="preserve">propagated by cuttings.  They climb by means of tendrils.</w:t></w:r>
</w:p>
<w:p>
<w:pPr><w:pStyle w:val="Normal"/></w:pPr>
<w:r><w:t xml:space="preserve">A. quinquefolia, Virginian creeper, a native of North</w:t></w:r>
</w:p>
<w:p>
<w:pPr><w:pStyle w:val="Normal"/></w:pPr>
<w:r><w:t xml:space="preserve">America, introduced to Europe early in the 17th century, has</w:t></w:r>
</w:p>
<w:p>
<w:pPr><w:pStyle w:val="Normal"/></w:pPr>
<w:r><w:t xml:space="preserve">palmately compound leaves with three to five leaflets. A.</w:t></w:r>
</w:p>
<w:p>
<w:pPr><w:pStyle w:val="Normal"/></w:pPr>
<w:r><w:t xml:space="preserve">tricuspidata, better known as A. Veitchii, a more recent</w:t></w:r>
</w:p>
<w:p>
<w:pPr><w:pStyle w:val="Normal"/></w:pPr>
<w:r><w:t xml:space="preserve">introduction (1868) from Japan, has smaller leaves very</w:t></w:r>
</w:p>
<w:p>
<w:pPr><w:pStyle w:val="Normal"/></w:pPr>
<w:r><w:t xml:space="preserve">variable in shape; it clings readily to stone or brick work</w:t></w:r>
</w:p>
<w:p>
<w:pPr><w:pStyle w:val="Normal"/></w:pPr>
<w:r><w:t xml:space="preserve">by means of suckers at the ends of the branched tendrils.</w:t></w:r>
</w:p>
<w:p>
<w:pPr><w:pStyle w:val="Normal"/></w:pPr>
<w:r><w:t xml:space="preserve">AMPERE, ANDRE MARIE (1775-1836), French physicist,</w:t></w:r>
</w:p>
<w:p>
<w:pPr><w:pStyle w:val="Normal"/></w:pPr>
<w:r><w:t xml:space="preserve">was born at Polemieux, near Lyons, on the 22nd of January</w:t></w:r>
</w:p>
<w:p>
<w:pPr><w:pStyle w:val="Normal"/></w:pPr>
<w:r><w:t xml:space="preserve">1775.  He took a passionate delight in the pursuit of knowledge</w:t></w:r>
</w:p>
<w:p>
<w:pPr><w:pStyle w:val="Normal"/></w:pPr>
<w:r><w:t xml:space="preserve">from his very infancy, and is reported to have worked out</w:t></w:r>
</w:p>
<w:p>
<w:pPr><w:pStyle w:val="Normal"/></w:pPr>
<w:r><w:t xml:space="preserve">long arithmetical sums by means of pebbles and biscuit crumbs</w:t></w:r>
</w:p>
<w:p>
<w:pPr><w:pStyle w:val="Normal"/></w:pPr>
<w:r><w:t xml:space="preserve">before he knew the figures.  His father began to teach him</w:t></w:r>
</w:p>
<w:p>
<w:pPr><w:pStyle w:val="Normal"/></w:pPr>
<w:r><w:t xml:space="preserve">Latin, but ceased on discovering the boy&apos;s greater inclination</w:t></w:r>
</w:p>
<w:p>
<w:pPr><w:pStyle w:val="Normal"/></w:pPr>
<w:r><w:t xml:space="preserve">and aptitude for mathematical studies.  The young Ampere,</w:t></w:r>
</w:p>
<w:p>
<w:pPr><w:pStyle w:val="Normal"/></w:pPr>
<w:r><w:t xml:space="preserve">however, soon resumed his Latin lessons, to enable him to</w:t></w:r>
</w:p>
<w:p>
<w:pPr><w:pStyle w:val="Normal"/></w:pPr>
<w:r><w:t xml:space="preserve">master the works of Euler and Bernouilli.  In later life he</w:t></w:r>
</w:p>
<w:p>
<w:pPr><w:pStyle w:val="Normal"/></w:pPr>
<w:r><w:t xml:space="preserve">was accustomed to say that he knew as much about mathematics</w:t></w:r>
</w:p>
<w:p>
<w:pPr><w:pStyle w:val="Normal"/></w:pPr>
<w:r><w:t xml:space="preserve">when he was eighteen as ever he knew; but his reading embraced</w:t></w:r>
</w:p>
<w:p>
<w:pPr><w:pStyle w:val="Normal"/></w:pPr>
<w:r><w:t xml:space="preserve">nearly the whole round of knowledge--history, travels, poetry,</w:t></w:r>
</w:p>
<w:p>
<w:pPr><w:pStyle w:val="Normal"/></w:pPr>
<w:r><w:t xml:space="preserve">philosophy and the natural sciences.  When Lyons was taken</w:t></w:r>
</w:p>
<w:p>
<w:pPr><w:pStyle w:val="Normal"/></w:pPr>
<w:r><w:t xml:space="preserve">by the army of the Convention in 1793, the father of Ampere,</w:t></w:r>
</w:p>
<w:p>
<w:pPr><w:pStyle w:val="Normal"/></w:pPr>
<w:r><w:t xml:space="preserve">who, holding the office of juge de paix, had stood out</w:t></w:r>
</w:p>
<w:p>
<w:pPr><w:pStyle w:val="Normal"/></w:pPr>
<w:r><w:t xml:space="preserve">resolutely against the previous revolutionary excesses, was</w:t></w:r>
</w:p>
<w:p>
<w:pPr><w:pStyle w:val="Normal"/></w:pPr>
<w:r><w:t xml:space="preserve">at once thrown into prison, and soon after perished on the</w:t></w:r>
</w:p>
<w:p>
<w:pPr><w:pStyle w:val="Normal"/></w:pPr>
<w:r><w:t xml:space="preserve">scaffold.  This event produced a profound impression on his</w:t></w:r>
</w:p>
<w:p>
<w:pPr><w:pStyle w:val="Normal"/></w:pPr>
<w:r><w:t xml:space="preserve">susceptible mind, and for more than a year he remained sunk in</w:t></w:r>
</w:p>
<w:p>
<w:pPr><w:pStyle w:val="Normal"/></w:pPr>
<w:r><w:t xml:space="preserve">apathy.  Then his interest was aroused by some letters on</w:t></w:r>
</w:p>
<w:p>
<w:pPr><w:pStyle w:val="Normal"/></w:pPr>
<w:r><w:t xml:space="preserve">botany which fell into his hands, and from botany he turned to</w:t></w:r>
</w:p>
<w:p>
<w:pPr><w:pStyle w:val="Normal"/></w:pPr>
<w:r><w:t xml:space="preserve">the study of the classic poets, and to the writing of verses</w:t></w:r>
</w:p>
<w:p>
<w:pPr><w:pStyle w:val="Normal"/></w:pPr>
<w:r><w:t xml:space="preserve">himself.  In 1796 he met Julie Carron, and an attachment</w:t></w:r>
</w:p>
<w:p>
<w:pPr><w:pStyle w:val="Normal"/></w:pPr>
<w:r><w:t xml:space="preserve">sprang up between them, the progress of which he naively</w:t></w:r>
</w:p>
<w:p>
<w:pPr><w:pStyle w:val="Normal"/></w:pPr>
<w:r><w:t xml:space="preserve">recorded in a journal (Amorum).  In 1799 they were</w:t></w:r>
</w:p>
<w:p>
<w:pPr><w:pStyle w:val="Normal"/></w:pPr>
<w:r><w:t xml:space="preserve">married.  From about 1796 Ampere gave private lessons at</w:t></w:r>
</w:p>
<w:p>
<w:pPr><w:pStyle w:val="Normal"/></w:pPr>
<w:r><w:t xml:space="preserve">Lyons in mathematics, chemistry and languages; and in 1801</w:t></w:r>
</w:p>
<w:p>
<w:pPr><w:pStyle w:val="Normal"/></w:pPr>
<w:r><w:t xml:space="preserve">he removed to Bourg, as professor of physics and chemistry,</w:t></w:r>
</w:p>
<w:p>
<w:pPr><w:pStyle w:val="Normal"/></w:pPr>
<w:r><w:t xml:space="preserve">leaving his ailing wife and infant son at Lyons.  She died in</w:t></w:r>
</w:p>
<w:p>
<w:pPr><w:pStyle w:val="Normal"/></w:pPr>
<w:r><w:t xml:space="preserve">1804, and he never recovered from the blow.  In the same year</w:t></w:r>
</w:p>
<w:p>
<w:pPr><w:pStyle w:val="Normal"/></w:pPr>
<w:r><w:t xml:space="preserve">he was appointed professor of mathematics at the lycee of</w:t></w:r>
</w:p>
<w:p>
<w:pPr><w:pStyle w:val="Normal"/></w:pPr>
<w:r><w:t xml:space="preserve">Lyons.  His small treatise, Considerations sur la theorie</w:t></w:r>
</w:p>
<w:p>
<w:pPr><w:pStyle w:val="Normal"/></w:pPr>
<w:r><w:t xml:space="preserve">mathematique du jeu, which demonstrated that the chances of</w:t></w:r>
</w:p>
<w:p>
<w:pPr><w:pStyle w:val="Normal"/></w:pPr>
<w:r><w:t xml:space="preserve">play are decidedly against the habitual gambler, published in</w:t></w:r>
</w:p>
<w:p>
<w:pPr><w:pStyle w:val="Normal"/></w:pPr>
<w:r><w:t xml:space="preserve">1802, brought him under the notice of J. B. J. Delambre, whose</w:t></w:r>
</w:p>
<w:p>
<w:pPr><w:pStyle w:val="Normal"/></w:pPr>
<w:r><w:t xml:space="preserve">recommendation obtained for him the Lyons appointment, and</w:t></w:r>
</w:p>
<w:p>
<w:pPr><w:pStyle w:val="Normal"/></w:pPr>
<w:r><w:t xml:space="preserve">afterwards (1804) a subordinate position in the polytechnic</w:t></w:r>
</w:p>
<w:p>
<w:pPr><w:pStyle w:val="Normal"/></w:pPr>
<w:r><w:t xml:space="preserve">school at Paris, where he was elected professor of mathematics</w:t></w:r>
</w:p>
<w:p>
<w:pPr><w:pStyle w:val="Normal"/></w:pPr>
<w:r><w:t xml:space="preserve">in 1809.  Here he continued to prosecute his scientific</w:t></w:r>
</w:p>
<w:p>
<w:pPr><w:pStyle w:val="Normal"/></w:pPr>
<w:r><w:t xml:space="preserve">researches and his multifarious studies with unabated</w:t></w:r>
</w:p>
<w:p>
<w:pPr><w:pStyle w:val="Normal"/></w:pPr>
<w:r><w:t xml:space="preserve">diligence.  He was admitted a member of the Institute in</w:t></w:r>
</w:p>
<w:p>
<w:pPr><w:pStyle w:val="Normal"/></w:pPr>
<w:r><w:t xml:space="preserve">1814.  It is on the service that he rendered to science in</w:t></w:r>
</w:p>
<w:p>
<w:pPr><w:pStyle w:val="Normal"/></w:pPr>
<w:r><w:t xml:space="preserve">establishing the relations between electricity and magnetism,</w:t></w:r>
</w:p>
<w:p>
<w:pPr><w:pStyle w:val="Normal"/></w:pPr>
<w:r><w:t xml:space="preserve">and in developing the science of electromagnetism, or, as</w:t></w:r>
</w:p>
<w:p>
<w:pPr><w:pStyle w:val="Normal"/></w:pPr>
<w:r><w:t xml:space="preserve">be called it, electrodynamics, that Ampere&apos;s fame mainly</w:t></w:r>
</w:p>
<w:p>
<w:pPr><w:pStyle w:val="Normal"/></w:pPr>
<w:r><w:t xml:space="preserve">rests.  On the 11th of September 1820 he heard of H. C. Oersted&apos;s</w:t></w:r>
</w:p>
<w:p>
<w:pPr><w:pStyle w:val="Normal"/></w:pPr>
<w:r><w:t xml:space="preserve">discovery that a magnetic needle is acted on by a voltaic</w:t></w:r>
</w:p>
<w:p>
<w:pPr><w:pStyle w:val="Normal"/></w:pPr>
<w:r><w:t xml:space="preserve">current.  On the 18th of the same month he presented a paper</w:t></w:r>
</w:p>
<w:p>
<w:pPr><w:pStyle w:val="Normal"/></w:pPr>
<w:r><w:t xml:space="preserve">to the Academy, containing a far more complete exposition</w:t></w:r>
</w:p>
<w:p>
<w:pPr><w:pStyle w:val="Normal"/></w:pPr>
<w:r><w:t xml:space="preserve">of that and kindred phenomena. (See ELECTROKINETICS.) The</w:t></w:r>
</w:p>
<w:p>
<w:pPr><w:pStyle w:val="Normal"/></w:pPr>
<w:r><w:t xml:space="preserve">whole field thus opened up he explored with characteristic</w:t></w:r>
</w:p>
<w:p>
<w:pPr><w:pStyle w:val="Normal"/></w:pPr>
<w:r><w:t xml:space="preserve">industry and care, and developed a mathematical theory which</w:t></w:r>
</w:p>
<w:p>
<w:pPr><w:pStyle w:val="Normal"/></w:pPr>
<w:r><w:t xml:space="preserve">not only explained the electromagnetic phenomena already</w:t></w:r>
</w:p>
<w:p>
<w:pPr><w:pStyle w:val="Normal"/></w:pPr>
<w:r><w:t xml:space="preserve">observed but also predicted many new ones.  His original</w:t></w:r>
</w:p>
<w:p>
<w:pPr><w:pStyle w:val="Normal"/></w:pPr>
<w:r><w:t xml:space="preserve">memoirs on this subject may be found in the Ann. Chim.</w:t></w:r>
</w:p>
<w:p>
<w:pPr><w:pStyle w:val="Normal"/></w:pPr>
<w:r><w:t xml:space="preserve">Phys. between 1820 and 1828.  Late in life he prepared</w:t></w:r>
</w:p>
<w:p>
<w:pPr><w:pStyle w:val="Normal"/></w:pPr>
<w:r><w:t xml:space="preserve">a remarkable Essai sur la philosophie des sciences. In</w:t></w:r>
</w:p>
<w:p>
<w:pPr><w:pStyle w:val="Normal"/></w:pPr>
<w:r><w:t xml:space="preserve">addition, he wrote a number of scientific memoirs and papers,</w:t></w:r>
</w:p>
<w:p>
<w:pPr><w:pStyle w:val="Normal"/></w:pPr>
<w:r><w:t xml:space="preserve">including two on the integration of partial differential</w:t></w:r>
</w:p>
<w:p>
<w:pPr><w:pStyle w:val="Normal"/></w:pPr>
<w:r><w:t xml:space="preserve">equations (Jour. Ecole Polytechn. x., xi.).  He died at</w:t></w:r>
</w:p>
<w:p>
<w:pPr><w:pStyle w:val="Normal"/></w:pPr>
<w:r><w:t xml:space="preserve">Marseilles on the 10th of June 1836.  The great amiability</w:t></w:r>
</w:p>
<w:p>
<w:pPr><w:pStyle w:val="Normal"/></w:pPr>
<w:r><w:t xml:space="preserve">and childlike simplicity of Ampere&apos;s character are well</w:t></w:r>
</w:p>
<w:p>
<w:pPr><w:pStyle w:val="Normal"/></w:pPr>
<w:r><w:t xml:space="preserve">brought out in his Journal et correspondance (Paris, 1872).</w:t></w:r>
</w:p>
<w:p>
<w:pPr><w:pStyle w:val="Normal"/></w:pPr>
<w:r><w:t xml:space="preserve">AMPERE, JEAN JACQUES (1800-1864), French philologist and</w:t></w:r>
</w:p>
<w:p>
<w:pPr><w:pStyle w:val="Normal"/></w:pPr>
<w:r><w:t xml:space="preserve">man of letters, only son of Andre Marie Ampere, was born at</w:t></w:r>
</w:p>
<w:p>
<w:pPr><w:pStyle w:val="Normal"/></w:pPr>
<w:r><w:t xml:space="preserve">Lyons on the 12th of August 1800.  He studied the folk-songs</w:t></w:r>
</w:p>
<w:p>
<w:pPr><w:pStyle w:val="Normal"/></w:pPr>
<w:r><w:t xml:space="preserve">and popular poetry of the Scandinavian countries in an extended</w:t></w:r>
</w:p>
<w:p>
<w:pPr><w:pStyle w:val="Normal"/></w:pPr>
<w:r><w:t xml:space="preserve">tour in northern Europe.  Returning to France, he delivered</w:t></w:r>
</w:p>
<w:p>
<w:pPr><w:pStyle w:val="Normal"/></w:pPr>
<w:r><w:t xml:space="preserve">in 1830 a series of lectures on Scandinavian and early German</w:t></w:r>
</w:p>
<w:p>
<w:pPr><w:pStyle w:val="Normal"/></w:pPr>
<w:r><w:t xml:space="preserve">poetry at the Athenaeum in Marseilles.  The first of these</w:t></w:r>
</w:p>
<w:p>
<w:pPr><w:pStyle w:val="Normal"/></w:pPr>
<w:r><w:t xml:space="preserve">was printed as De l&apos;Histoire de la poesie (1830), and was</w:t></w:r>
</w:p>
<w:p>
<w:pPr><w:pStyle w:val="Normal"/></w:pPr>
<w:r><w:t xml:space="preserve">practically the first introduction of the French public to</w:t></w:r>
</w:p>
<w:p>
<w:pPr><w:pStyle w:val="Normal"/></w:pPr>
<w:r><w:t xml:space="preserve">the Scandinavian and German epics.  In Paris he taught at</w:t></w:r>
</w:p>
<w:p>
<w:pPr><w:pStyle w:val="Normal"/></w:pPr>
<w:r><w:t xml:space="preserve">the Sorbonne, and became professor of the history of French</w:t></w:r>
</w:p>
<w:p>
<w:pPr><w:pStyle w:val="Normal"/></w:pPr>
<w:r><w:t xml:space="preserve">literature at the College de France.  A journey in northern</w:t></w:r>
</w:p>
<w:p>
<w:pPr><w:pStyle w:val="Normal"/></w:pPr>
<w:r><w:t xml:space="preserve">Africa (1841) was followed by a tour in Greece and Italy, in</w:t></w:r>
</w:p>
<w:p>
<w:pPr><w:pStyle w:val="Normal"/></w:pPr>
<w:r><w:t xml:space="preserve">company with Prosper Merimee and others.  This bore fruit</w:t></w:r>
</w:p>
<w:p>
<w:pPr><w:pStyle w:val="Normal"/></w:pPr>
<w:r><w:t xml:space="preserve">in his Voyage dantesque (printed in his Grece, Rome et</w:t></w:r>
</w:p>
<w:p>
<w:pPr><w:pStyle w:val="Normal"/></w:pPr>
<w:r><w:t xml:space="preserve">Dante, 1848), which did much to popularize the study of Dante in</w:t></w:r>
</w:p>
<w:p>
<w:pPr><w:pStyle w:val="Normal"/></w:pPr>
<w:r><w:t xml:space="preserve">France.  In 1848 he became a member of the French Academy, and</w:t></w:r>
</w:p>
<w:p>
<w:pPr><w:pStyle w:val="Normal"/></w:pPr>
<w:r><w:t xml:space="preserve">in 1851 he visited America.  From this time he was occupied</w:t></w:r>
</w:p>
<w:p>
<w:pPr><w:pStyle w:val="Normal"/></w:pPr>
<w:r><w:t xml:space="preserve">with his chief work, L&apos;Histoire romaine a Rome (4 vols.,</w:t></w:r>
</w:p>
<w:p>
<w:pPr><w:pStyle w:val="Normal"/></w:pPr>
<w:r><w:t xml:space="preserve">1861-1864), until his death at Pau on the 27th of March 1864.</w:t></w:r>
</w:p>
<w:p>
<w:pPr><w:pStyle w:val="Normal"/></w:pPr>
<w:r><w:t xml:space="preserve">The Correspondance et souvenirs (2 vols.) of A. M. and J. J.</w:t></w:r>
</w:p>
<w:p>
<w:pPr><w:pStyle w:val="Normal"/></w:pPr>
<w:r><w:t xml:space="preserve">Ampere (1805-1854) was published in 1875.  Notices of J. J. Ampere</w:t></w:r>
</w:p>
<w:p>
<w:pPr><w:pStyle w:val="Normal"/></w:pPr>
<w:r><w:t xml:space="preserve">are to be found in Sainte-Beuve&apos;s Portraits litteraires, vol.</w:t></w:r>
</w:p>
<w:p>
<w:pPr><w:pStyle w:val="Normal"/></w:pPr>
<w:r><w:t xml:space="preserve">iv., and Nouveaux Lundis, vol. xiii.; and in P. Merimee&apos;s</w:t></w:r>
</w:p>
<w:p>
<w:pPr><w:pStyle w:val="Normal"/></w:pPr>
<w:r><w:t xml:space="preserve">Portraits historiques et litteraires (2nd ed., 1875).</w:t></w:r>
</w:p>
<w:p>
<w:pPr><w:pStyle w:val="Normal"/></w:pPr>
<w:r><w:t xml:space="preserve">AMPEREMETER, or AMMETER, an instrument for the measurement</w:t></w:r>
</w:p>
<w:p>
<w:pPr><w:pStyle w:val="Normal"/></w:pPr>
<w:r><w:t xml:space="preserve">of electric currents in terms of the unit called the ampere.</w:t></w:r>
</w:p>
<w:p>
<w:pPr><w:pStyle w:val="Normal"/></w:pPr>
<w:r><w:t xml:space="preserve">(See ELECTROKINETICS; CONDUCTION, ELECTRIC; and UNITS,</w:t></w:r>
</w:p>
<w:p>
<w:pPr><w:pStyle w:val="Normal"/></w:pPr>
<w:r><w:t xml:space="preserve">PHYSICAL.) Since electric currents may be either continuous,</w:t></w:r>
</w:p>
<w:p>
<w:pPr><w:pStyle w:val="Normal"/></w:pPr>
<w:r><w:t xml:space="preserve">i.e. unidirectional, or alternating, and the latter of high or</w:t></w:r>
</w:p>
<w:p>
<w:pPr><w:pStyle w:val="Normal"/></w:pPr>
<w:r><w:t xml:space="preserve">of low frequency, amperemeters may first be divided into those</w:t></w:r>
</w:p>
<w:p>
<w:pPr><w:pStyle w:val="Normal"/></w:pPr>
<w:r><w:t xml:space="preserve">(1) for continuous or direct currents, (2) for low frequency</w:t></w:r>
</w:p>
<w:p>
<w:pPr><w:pStyle w:val="Normal"/></w:pPr>
<w:r><w:t xml:space="preserve">alternating currents, and (3) for high frequency alternating</w:t></w:r>
</w:p>
<w:p>
<w:pPr><w:pStyle w:val="Normal"/></w:pPr>
<w:r><w:t xml:space="preserve">currents.  A continuous electric current of one ampere is</w:t></w:r>
</w:p>
<w:p>
<w:pPr><w:pStyle w:val="Normal"/></w:pPr>
<w:r><w:t xml:space="preserve">defined to be one which deposits electrolytically 0.001118 of</w:t></w:r>
</w:p>
<w:p>
<w:pPr><w:pStyle w:val="Normal"/></w:pPr>
<w:r><w:t xml:space="preserve">a gramme of silver per second from a neutral solution of silver</w:t></w:r>
</w:p>
<w:p>
<w:pPr><w:pStyle w:val="Normal"/></w:pPr>
<w:r><w:t xml:space="preserve">nitrate.1 An alternating current of one ampere is defined</w:t></w:r>
</w:p>
<w:p>
<w:pPr><w:pStyle w:val="Normal"/></w:pPr>
<w:r><w:t xml:space="preserve">to be one which produces the same heat in a second in a wire</w:t></w:r>
</w:p>
<w:p>
<w:pPr><w:pStyle w:val="Normal"/></w:pPr>
<w:r><w:t xml:space="preserve">as the unit continuous current defined as above to be one</w:t></w:r>
</w:p>
<w:p>
<w:pPr><w:pStyle w:val="Normal"/></w:pPr>
<w:r><w:t xml:space="preserve">ampere.  These definitions provide a basis on which the</w:t></w:r>
</w:p>
<w:p>
<w:pPr><w:pStyle w:val="Normal"/></w:pPr>
<w:r><w:t xml:space="preserve">calibration of amperemeters can be conducted.  Amperemeters</w:t></w:r>
</w:p>
<w:p>
<w:pPr><w:pStyle w:val="Normal"/></w:pPr>
<w:r><w:t xml:space="preserve">may then be classified according to the physical principle</w:t></w:r>
</w:p>
<w:p>
<w:pPr><w:pStyle w:val="Normal"/></w:pPr>
<w:r><w:t xml:space="preserve">on which they are constructed.  An electric current in a</w:t></w:r>
</w:p>
<w:p>
<w:pPr><w:pStyle w:val="Normal"/></w:pPr>
<w:r><w:t xml:space="preserve">conductor is recognized by its ability (a) to create heat</w:t></w:r>
</w:p>
<w:p>
<w:pPr><w:pStyle w:val="Normal"/></w:pPr>
<w:r><w:t xml:space="preserve">in a wire through which it passes, (b) to produce a magnetic</w:t></w:r>
</w:p>
<w:p>
<w:pPr><w:pStyle w:val="Normal"/></w:pPr>
<w:r><w:t xml:space="preserve">field round the conductor or wire.  The heat makes itself</w:t></w:r>
</w:p>
<w:p>
<w:pPr><w:pStyle w:val="Normal"/></w:pPr>
<w:r><w:t xml:space="preserve">evident by raising the temperature and therefore elongating</w:t></w:r>
</w:p>
<w:p>
<w:pPr><w:pStyle w:val="Normal"/></w:pPr>
<w:r><w:t xml:space="preserve">the wire, whilst the magnetic field creates mechanical forces</w:t></w:r>
</w:p>
<w:p>
<w:pPr><w:pStyle w:val="Normal"/></w:pPr>
<w:r><w:t xml:space="preserve">which act on pieces of iron or other conductors conveying</w:t></w:r>
</w:p>
<w:p>
<w:pPr><w:pStyle w:val="Normal"/></w:pPr>
<w:r><w:t xml:space="preserve">electric currents when placed in proximity to the conductor in</w:t></w:r>
</w:p>
<w:p>
<w:pPr><w:pStyle w:val="Normal"/></w:pPr>
<w:r><w:t xml:space="preserve">question.  Hence we may classify ammeters into (1) Thermal;</w:t></w:r>
</w:p>
<w:p>
<w:pPr><w:pStyle w:val="Normal"/></w:pPr>
<w:r><w:t xml:space="preserve">(2) Electromagnetic, and (3) Electrodynamic instruments.</w:t></w:r>
</w:p>
<w:p>
<w:pPr><w:pStyle w:val="Normal"/></w:pPr>
<w:r><w:t xml:space="preserve">1. Thermal Ammeters.--These instruments are also called</w:t></w:r>
</w:p>
<w:p>
<w:pPr><w:pStyle w:val="Normal"/></w:pPr>
<w:r><w:t xml:space="preserve">hot-wire ammeters.  In their simplest form they consist</w:t></w:r>
</w:p>
<w:p>
<w:pPr><w:pStyle w:val="Normal"/></w:pPr>
<w:r><w:t xml:space="preserve">of a wire through which passes the current to be measured,</w:t></w:r>
</w:p>
<w:p>
<w:pPr><w:pStyle w:val="Normal"/></w:pPr>
<w:r><w:t xml:space="preserve">some arrangement being provided for measuring the small</w:t></w:r>
</w:p>
<w:p>
<w:pPr><w:pStyle w:val="Normal"/></w:pPr>
<w:r><w:t xml:space="preserve">expansion produced by the heat generated in the wire.</w:t></w:r>
</w:p>
<w:p>
<w:pPr><w:pStyle w:val="Normal"/></w:pPr>
<w:r><w:t xml:space="preserve">This may consist simply in attaching one end of the wire</w:t></w:r>
</w:p>
<w:p>
<w:pPr><w:pStyle w:val="Normal"/></w:pPr>
<w:r><w:t xml:space="preserve">to an index lever and the other to a fixed support, or the</w:t></w:r>
</w:p>
<w:p>
<w:pPr><w:pStyle w:val="Normal"/></w:pPr>
<w:r><w:t xml:space="preserve">elongation of the wire may cause a rotation in a mirror from</w:t></w:r>
</w:p>
<w:p>
<w:pPr><w:pStyle w:val="Normal"/></w:pPr>
<w:r><w:t xml:space="preserve">which a ray of light is reflected, and the movement of this</w:t></w:r>
</w:p>
<w:p>
<w:pPr><w:pStyle w:val="Normal"/></w:pPr>
<w:r><w:t xml:space="preserve">ray over a scale will then provide, the necessary means of</w:t></w:r>
</w:p>
<w:p>
<w:pPr><w:pStyle w:val="Normal"/></w:pPr>
<w:r><w:t xml:space="preserve">indication.  It is found most convenient to make use of the</w:t></w:r>
</w:p>
<w:p>
<w:pPr><w:pStyle w:val="Normal"/></w:pPr>
<w:r><w:t xml:space="preserve">sag of the wire produced when it is stretched between two</w:t></w:r>
</w:p>
<w:p>
<w:pPr><w:pStyle w:val="Normal"/></w:pPr>
<w:r><w:t xml:space="preserve">fixed points (K1K2, fig. 1) and then heated.  To render</w:t></w:r>
</w:p>
<w:p>
<w:pPr><w:pStyle w:val="Normal"/></w:pPr>
<w:r><w:t xml:space="preserve">the elongation evident, another wire is attached to its</w:t></w:r>
</w:p>
<w:p>
<w:pPr><w:pStyle w:val="Normal"/></w:pPr>
<w:r><w:t xml:space="preserve">centre S2, this last having a thread fixed to its middle of</w:t></w:r>
</w:p>
<w:p>
<w:pPr><w:pStyle w:val="Normal"/></w:pPr>
<w:r><w:t xml:space="preserve">which the other end is twisted round the shaft of an index</w:t></w:r>
</w:p>
<w:p>
<w:pPr><w:pStyle w:val="Normal"/></w:pPr>
<w:r><w:t xml:space="preserve">needle or in some way connected to it through a multiplying</w:t></w:r>
</w:p>
<w:p>
<w:pPr><w:pStyle w:val="Normal"/></w:pPr>
<w:r><w:t xml:space="preserve">gear.  The expansion of the working wire when it is heated will</w:t></w:r>
</w:p>
<w:p>
<w:pPr><w:pStyle w:val="Normal"/></w:pPr>
<w:r><w:t xml:space="preserve">then increase or create a sag in it owing to its increase in</w:t></w:r>
</w:p>
<w:p>
<w:pPr><w:pStyle w:val="Normal"/></w:pPr>
<w:r><w:t xml:space="preserve">FIG. 1.--Diagram showing the arrangements</w:t></w:r>
</w:p>
<w:p>
<w:pPr><w:pStyle w:val="Normal"/></w:pPr>
<w:r><w:t xml:space="preserve">of Hartmann and Braun&apos;s Hotwire Ammeter.</w:t></w:r>
</w:p>
<w:p>
<w:pPr><w:pStyle w:val="Normal"/></w:pPr>
<w:r><w:t xml:space="preserve">length, and this is multiplied and rendered evident by the</w:t></w:r>
</w:p>
<w:p>
<w:pPr><w:pStyle w:val="Normal"/></w:pPr>
<w:r><w:t xml:space="preserve">movement of the index needle.  In order that this may take</w:t></w:r>
</w:p>
<w:p>
<w:pPr><w:pStyle w:val="Normal"/></w:pPr>
<w:r><w:t xml:space="preserve">place, the heated wire must be flexible and must therefore</w:t></w:r>
</w:p>
<w:p>
<w:pPr><w:pStyle w:val="Normal"/></w:pPr>
<w:r><w:t xml:space="preserve">be a single fine wire or a bundle of fine wires.  In ammeters</w:t></w:r>
</w:p>
<w:p>
<w:pPr><w:pStyle w:val="Normal"/></w:pPr>
<w:r><w:t xml:space="preserve">for small currents it is customary to pass the whole current</w:t></w:r>
</w:p>
<w:p>
<w:pPr><w:pStyle w:val="Normal"/></w:pPr>
<w:r><w:t xml:space="preserve">through the heating wire.  In instruments for larger currents</w:t></w:r>
</w:p>
<w:p>
<w:pPr><w:pStyle w:val="Normal"/></w:pPr>
<w:r><w:t xml:space="preserve">the main current passes through a metallic strip acting</w:t></w:r>
</w:p>
<w:p>
<w:pPr><w:pStyle w:val="Normal"/></w:pPr>
<w:r><w:t xml:space="preserve">as a bye-pass or shunt, and to the ends of this shunt are</w:t></w:r>
</w:p>
<w:p>
<w:pPr><w:pStyle w:val="Normal"/></w:pPr>
<w:r><w:t xml:space="preserve">attached the ends of the working wire.  A known fraction</w:t></w:r>
</w:p>
<w:p>
<w:pPr><w:pStyle w:val="Normal"/></w:pPr>
<w:r><w:t xml:space="preserve">of the current is then indicated and measured.  This shunt</w:t></w:r>
</w:p>
<w:p>
<w:pPr><w:pStyle w:val="Normal"/></w:pPr>
<w:r><w:t xml:space="preserve">is generally a strip of platinoid or constantin, and the</w:t></w:r>
</w:p>
<w:p>
<w:pPr><w:pStyle w:val="Normal"/></w:pPr>
<w:r><w:t xml:space="preserve">working wire itself is of the same metal.  There is therefore</w:t></w:r>
</w:p>
<w:p>
<w:pPr><w:pStyle w:val="Normal"/></w:pPr>
<w:r><w:t xml:space="preserve">a certain ratio in which any current passing through the</w:t></w:r>
</w:p>
<w:p>
<w:pPr><w:pStyle w:val="Normal"/></w:pPr>
<w:r><w:t xml:space="preserve">ammeter is divided between the shunt and the working wire.</w:t></w:r>
</w:p>
<w:p>
<w:pPr><w:pStyle w:val="Normal"/></w:pPr>
<w:r><w:t xml:space="preserve">Thermal ammeters recommend themselves for the following</w:t></w:r>
</w:p>
<w:p>
<w:pPr><w:pStyle w:val="Normal"/></w:pPr>
<w:r><w:t xml:space="preserve">reasons:--(1) the same instrument can be used for continuous</w:t></w:r>
</w:p>
<w:p>
<w:pPr><w:pStyle w:val="Normal"/></w:pPr>
<w:r><w:t xml:space="preserve">currents and for alternating currents of low frequency;</w:t></w:r>
</w:p>
<w:p>
<w:pPr><w:pStyle w:val="Normal"/></w:pPr>
<w:r><w:t xml:space="preserve">(2) there is no temperature correction, (3) if used with</w:t></w:r>
</w:p>
<w:p>
<w:pPr><w:pStyle w:val="Normal"/></w:pPr>
<w:r><w:t xml:space="preserve">alternating currents no correction is necessary for frequency,</w:t></w:r>
</w:p>
<w:p>
<w:pPr><w:pStyle w:val="Normal"/></w:pPr>
<w:r><w:t xml:space="preserve">unless that frequency is very high.  It is, however, requisite</w:t></w:r>
</w:p>
<w:p>
<w:pPr><w:pStyle w:val="Normal"/></w:pPr>
<w:r><w:t xml:space="preserve">to make provision for the effect of changes in atmospheric</w:t></w:r>
</w:p>
<w:p>
<w:pPr><w:pStyle w:val="Normal"/></w:pPr>
<w:r><w:t xml:space="preserve">temperature.  This is done by mounting the working wire on</w:t></w:r>
</w:p>
<w:p>
<w:pPr><w:pStyle w:val="Normal"/></w:pPr>
<w:r><w:t xml:space="preserve">a metal plate made of the same metal as the working wire</w:t></w:r>
</w:p>
<w:p>
<w:pPr><w:pStyle w:val="Normal"/></w:pPr>
<w:r><w:t xml:space="preserve">itself; thus if the working wire is of platinoid it must</w:t></w:r>
</w:p>
<w:p>
<w:pPr><w:pStyle w:val="Normal"/></w:pPr>
<w:r><w:t xml:space="preserve">be mounted on a platinoid bar, the supports which carry</w:t></w:r>
</w:p>
<w:p>
<w:pPr><w:pStyle w:val="Normal"/></w:pPr>
<w:r><w:t xml:space="preserve">the ends of the working wire being insulated from this bar</w:t></w:r>
</w:p>
<w:p>
<w:pPr><w:pStyle w:val="Normal"/></w:pPr>
<w:r><w:t xml:space="preserve">by being bushed with ivory or porcelain.  Then no changes</w:t></w:r>
</w:p>
<w:p>
<w:pPr><w:pStyle w:val="Normal"/></w:pPr>
<w:r><w:t xml:space="preserve">of external temperature can affect the sag of the wire,</w:t></w:r>
</w:p>
<w:p>
<w:pPr><w:pStyle w:val="Normal"/></w:pPr>
<w:r><w:t xml:space="preserve">and the only thing which can alter its length relatively</w:t></w:r>
</w:p>
<w:p>
<w:pPr><w:pStyle w:val="Normal"/></w:pPr>
<w:r><w:t xml:space="preserve">to the supporting bar is the passage of a current through</w:t></w:r>
</w:p>
<w:p>
<w:pPr><w:pStyle w:val="Normal"/></w:pPr>
<w:r><w:t xml:space="preserve">it.  Hot-wire ammeters are, however, liable to a shift of</w:t></w:r>
</w:p>
<w:p>
<w:pPr><w:pStyle w:val="Normal"/></w:pPr>
<w:r><w:t xml:space="preserve">zero, and means are always provided by some adjusting screw</w:t></w:r>
</w:p>
<w:p>
<w:pPr><w:pStyle w:val="Normal"/></w:pPr>
<w:r><w:t xml:space="preserve">for slightly altering the sag of the wire and so adjusting</w:t></w:r>
</w:p>
<w:p>
<w:pPr><w:pStyle w:val="Normal"/></w:pPr>
<w:r><w:t xml:space="preserve">the index needle to the zero of the scale.  Hot-wire ammeters</w:t></w:r>
</w:p>
<w:p>
<w:pPr><w:pStyle w:val="Normal"/></w:pPr>
<w:r><w:t xml:space="preserve">are open to the following objections:--The scale divisions</w:t></w:r>
</w:p>
<w:p>
<w:pPr><w:pStyle w:val="Normal"/></w:pPr>
<w:r><w:t xml:space="preserve">for equal increments of current are not equal in length,</w:t></w:r>
</w:p>
<w:p>
<w:pPr><w:pStyle w:val="Normal"/></w:pPr>
<w:r><w:t xml:space="preserve">being generally much closer together in the lower parts of the</w:t></w:r>
</w:p>
<w:p>
<w:pPr><w:pStyle w:val="Normal"/></w:pPr>
<w:r><w:t xml:space="preserve">scale.  The reason is that the heat produced in a given</w:t></w:r>
</w:p>
<w:p>
<w:pPr><w:pStyle w:val="Normal"/></w:pPr>
<w:r><w:t xml:space="preserve">time in a wire is proportional to the square of the strength</w:t></w:r>
</w:p>
<w:p>
<w:pPr><w:pStyle w:val="Normal"/></w:pPr>
<w:r><w:t xml:space="preserve">of the current passing through it, and hence the rate at</w:t></w:r>
</w:p>
<w:p>
<w:pPr><w:pStyle w:val="Normal"/></w:pPr>
<w:r><w:t xml:space="preserve">which the heat is produced in the wire, and therefore its</w:t></w:r>
</w:p>
<w:p>
<w:pPr><w:pStyle w:val="Normal"/></w:pPr>
<w:r><w:t xml:space="preserve">temperature, increases much faster than the current itself</w:t></w:r>
</w:p>
<w:p>
<w:pPr><w:pStyle w:val="Normal"/></w:pPr>
<w:r><w:t xml:space="preserve">increases.  From this it follows that hot-wire ammeters are</w:t></w:r>
</w:p>
<w:p>
<w:pPr><w:pStyle w:val="Normal"/></w:pPr>
<w:r><w:t xml:space="preserve">generally not capable of giving visible indications below a</w:t></w:r>
</w:p>
<w:p>
<w:pPr><w:pStyle w:val="Normal"/></w:pPr>
<w:r><w:t xml:space="preserve">certain minimum current for each instrument.  The instrument</w:t></w:r>
</w:p>
<w:p>
<w:pPr><w:pStyle w:val="Normal"/></w:pPr>
<w:r><w:t xml:space="preserve">therefore does not begin to read from zero current, but from</w:t></w:r>
</w:p>
<w:p>
<w:pPr><w:pStyle w:val="Normal"/></w:pPr>
<w:r><w:t xml:space="preserve">some higher limit which, generally speaking, is about one-tenth</w:t></w:r>
</w:p>
<w:p>
<w:pPr><w:pStyle w:val="Normal"/></w:pPr>
<w:r><w:t xml:space="preserve">of the maximum, so that an ammeter reading up to 10 amperes</w:t></w:r>
</w:p>
<w:p>
<w:pPr><w:pStyle w:val="Normal"/></w:pPr>
<w:r><w:t xml:space="preserve">will not give much visible indication below 1 ampere.  On</w:t></w:r>
</w:p>
<w:p>
<w:pPr><w:pStyle w:val="Normal"/></w:pPr>
<w:r><w:t xml:space="preserve">the other hand, hot-wire instruments are very ``dead-beat,&apos;&apos;</w:t></w:r>
</w:p>
<w:p>
<w:pPr><w:pStyle w:val="Normal"/></w:pPr>
<w:r><w:t xml:space="preserve">that is to say, the needle does not move much for the small</w:t></w:r>
</w:p>
<w:p>
<w:pPr><w:pStyle w:val="Normal"/></w:pPr>
<w:r><w:t xml:space="preserve">fluctuations in the current, and this quality is generally</w:t></w:r>
</w:p>
<w:p>
<w:pPr><w:pStyle w:val="Normal"/></w:pPr>
<w:r><w:t xml:space="preserve">increased by affixing to the index needle a small copper plate</w:t></w:r>
</w:p>
<w:p>
<w:pPr><w:pStyle w:val="Normal"/></w:pPr>
<w:r><w:t xml:space="preserve">which is made to move in a strong magnetic field (see fig.</w:t></w:r>
</w:p>
<w:p>
<w:pPr><w:pStyle w:val="Normal"/></w:pPr>
<w:r><w:t xml:space="preserve">2). Hot-wire instruments working on the sag principle can be</w:t></w:r>
</w:p>
<w:p>
<w:pPr><w:pStyle w:val="Normal"/></w:pPr>
<w:r><w:t xml:space="preserve">used in any position if properly constructed, and are very</w:t></w:r>
</w:p>
<w:p>
<w:pPr><w:pStyle w:val="Normal"/></w:pPr>
<w:r><w:t xml:space="preserve">portable.  In the construction of such an instrument it is</w:t></w:r>
</w:p>
<w:p>
<w:pPr><w:pStyle w:val="Normal"/></w:pPr>
<w:r><w:t xml:space="preserve">essential that the wire should be subjected to a process of</w:t></w:r>
</w:p>
<w:p>
<w:pPr><w:pStyle w:val="Normal"/></w:pPr>
<w:r><w:t xml:space="preserve">preparation or ``ageing,&apos;&apos; which consists in passing through</w:t></w:r>
</w:p>
<w:p>
<w:pPr><w:pStyle w:val="Normal"/></w:pPr>
<w:r><w:t xml:space="preserve">it a fairly strong current, at least the maximum that it will</w:t></w:r>
</w:p>
<w:p>
<w:pPr><w:pStyle w:val="Normal"/></w:pPr>
<w:r><w:t xml:space="preserve">ever have to carry, and starting and stopping this current</w:t></w:r>
</w:p>
<w:p>
<w:pPr><w:pStyle w:val="Normal"/></w:pPr>
<w:r><w:t xml:space="preserve">frequently.  The wire ought to be so treated for many hours</w:t></w:r>
</w:p>
<w:p>
<w:pPr><w:pStyle w:val="Normal"/></w:pPr>
<w:r><w:t xml:space="preserve">FIG. 2.--Hot-wire Ammeter.</w:t></w:r>
</w:p>
<w:p>
<w:pPr><w:pStyle w:val="Normal"/></w:pPr>
<w:r><w:t xml:space="preserve">before it is placed in the instrument.  It is also necessary</w:t></w:r>
</w:p>
<w:p>
<w:pPr><w:pStyle w:val="Normal"/></w:pPr>
<w:r><w:t xml:space="preserve">to notice that shunt instruments cannot be used for high</w:t></w:r>
</w:p>
<w:p>
<w:pPr><w:pStyle w:val="Normal"/></w:pPr>
<w:r><w:t xml:space="preserve">frequencies, as then the relative inductance of the shunt and wire</w:t></w:r>
</w:p>
<w:p>
<w:pPr><w:pStyle w:val="Normal"/></w:pPr>
<w:r><w:t xml:space="preserve">becomes important and affects the ratio in which the current is</w:t></w:r>
</w:p>
<w:p>
<w:pPr><w:pStyle w:val="Normal"/></w:pPr>
<w:r><w:t xml:space="preserve">divided, whereas for low frequency currents the inductance is</w:t></w:r>
</w:p>
<w:p>
<w:pPr><w:pStyle w:val="Normal"/></w:pPr>
<w:r><w:t xml:space="preserve">unimportant.  In constructing a hot-wire instrument for the</w:t></w:r>
</w:p>
<w:p>
<w:pPr><w:pStyle w:val="Normal"/></w:pPr>
<w:r><w:t xml:space="preserve">measurement of high frequency currents it is necessary to</w:t></w:r>
</w:p>
<w:p>
<w:pPr><w:pStyle w:val="Normal"/></w:pPr>
<w:r><w:t xml:space="preserve">make the working wire of a number of fine wires placed in</w:t></w:r>
</w:p>
<w:p>
<w:pPr><w:pStyle w:val="Normal"/></w:pPr>
<w:r><w:t xml:space="preserve">parallel and slightly separated from one another, and to-pass</w:t></w:r>
</w:p>
<w:p>
<w:pPr><w:pStyle w:val="Normal"/></w:pPr>
<w:r><w:t xml:space="preserve">the whole of the current to be measured through this strand.</w:t></w:r>
</w:p>
<w:p>
<w:pPr><w:pStyle w:val="Normal"/></w:pPr>
<w:r><w:t xml:space="preserve">In certain forms, hot-wire instruments are well adapted for</w:t></w:r>
</w:p>
<w:p>
<w:pPr><w:pStyle w:val="Normal"/></w:pPr>
<w:r><w:t xml:space="preserve">the measurement of very small alternating currents.  One useful</w:t></w:r>
</w:p>
<w:p>
<w:pPr><w:pStyle w:val="Normal"/></w:pPr>
<w:r><w:t xml:space="preserve">form has been made as follows:--Two fine wires of diameter</w:t></w:r>
</w:p>
<w:p>
<w:pPr><w:pStyle w:val="Normal"/></w:pPr>
<w:r><w:t xml:space="preserve">not greater than .001 in. are stretched parallel to one</w:t></w:r>
</w:p>
<w:p>
<w:pPr><w:pStyle w:val="Normal"/></w:pPr>
<w:r><w:t xml:space="preserve">another and 2 or 3 mm. apart.  At the middle of these parallel</w:t></w:r>
</w:p>
<w:p>
<w:pPr><w:pStyle w:val="Normal"/></w:pPr>
<w:r><w:t xml:space="preserve">wires, which are preferably about 1 m. in length, rests a</w:t></w:r>
</w:p>
<w:p>
<w:pPr><w:pStyle w:val="Normal"/></w:pPr>
<w:r><w:t xml:space="preserve">very light metallic bridge to which a mirror is attached,</w:t></w:r>
</w:p>
<w:p>
<w:pPr><w:pStyle w:val="Normal"/></w:pPr>
<w:r><w:t xml:space="preserve">the mirror reflecting a ray of light from a lamp upon a</w:t></w:r>
</w:p>
<w:p>
<w:pPr><w:pStyle w:val="Normal"/></w:pPr>
<w:r><w:t xml:space="preserve">screen.  If a small alternating current is passed through one</w:t></w:r>
</w:p>
<w:p>
<w:pPr><w:pStyle w:val="Normal"/></w:pPr>
<w:r><w:t xml:space="preserve">wire, it sags down, the mirror is tilted, and the spot of</w:t></w:r>
</w:p>
<w:p>
<w:pPr><w:pStyle w:val="Normal"/></w:pPr>
<w:r><w:t xml:space="preserve">light on the screen is displaced.  Changes of atmospheric</w:t></w:r>
</w:p>
<w:p>
<w:pPr><w:pStyle w:val="Normal"/></w:pPr>
<w:r><w:t xml:space="preserve">temperature affect both wires equally and do not tilt the</w:t></w:r>
</w:p>
<w:p>
<w:pPr><w:pStyle w:val="Normal"/></w:pPr>
<w:r><w:t xml:space="preserve">mirror.  The instrument can be calibrated by a continuous</w:t></w:r>
</w:p>
<w:p>
<w:pPr><w:pStyle w:val="Normal"/></w:pPr>
<w:r><w:t xml:space="preserve">current.  Another form of hot-wire ammeter is a modification</w:t></w:r>
</w:p>
<w:p>
<w:pPr><w:pStyle w:val="Normal"/></w:pPr>
<w:r><w:t xml:space="preserve">of the electric thermometer originally invented by Sir W. Snow</w:t></w:r>
</w:p>
<w:p>
<w:pPr><w:pStyle w:val="Normal"/></w:pPr>
<w:r><w:t xml:space="preserve">Harris.  It consists of a glass bulb, in which there is a loop</w:t></w:r>
</w:p>
<w:p>
<w:pPr><w:pStyle w:val="Normal"/></w:pPr>
<w:r><w:t xml:space="preserve">of fine wire, and to the bulb is attached a U-tube in which</w:t></w:r>
</w:p>
<w:p>
<w:pPr><w:pStyle w:val="Normal"/></w:pPr>
<w:r><w:t xml:space="preserve">there is some liquid.  When a current is passed through the</w:t></w:r>
</w:p>
<w:p>
<w:pPr><w:pStyle w:val="Normal"/></w:pPr>
<w:r><w:t xml:space="preserve">wire, continuous or alternating, it creates heat, which expands</w:t></w:r>
</w:p>
<w:p>
<w:pPr><w:pStyle w:val="Normal"/></w:pPr>
<w:r><w:t xml:space="preserve">the air in the bulb and forces the liquid up one side of the</w:t></w:r>
</w:p>
<w:p>
<w:pPr><w:pStyle w:val="Normal"/></w:pPr>
<w:r><w:t xml:space="preserve">U-tube to a certain position in which the rate of loss of</w:t></w:r>
</w:p>
<w:p>
<w:pPr><w:pStyle w:val="Normal"/></w:pPr>
<w:r><w:t xml:space="preserve">heat by the air is equal to the rate at which it is gaining</w:t></w:r>
</w:p>
<w:p>
<w:pPr><w:pStyle w:val="Normal"/></w:pPr>
<w:r><w:t xml:space="preserve">heat.  The instrument can be calibrated by continuous currents</w:t></w:r>
</w:p>
<w:p>
<w:pPr><w:pStyle w:val="Normal"/></w:pPr>
<w:r><w:t xml:space="preserve">and may then be used for high frequency alternating currents.</w:t></w:r>
</w:p>
<w:p>
<w:pPr><w:pStyle w:val="Normal"/></w:pPr>
<w:r><w:t xml:space="preserve">2. Electromagnetic Ammeters.--Another large class of ammeters</w:t></w:r>
</w:p>
<w:p>
<w:pPr><w:pStyle w:val="Normal"/></w:pPr>
<w:r><w:t xml:space="preserve">depend for their action upon the fact that an electric current</w:t></w:r>
</w:p>
<w:p>
<w:pPr><w:pStyle w:val="Normal"/></w:pPr>
<w:r><w:t xml:space="preserve">creates an electric field round its conductor, which varies in</w:t></w:r>
</w:p>
<w:p>
<w:pPr><w:pStyle w:val="Normal"/></w:pPr>
<w:r><w:t xml:space="preserve">strength from point to point, but is otherwise proportional to the</w:t></w:r>
</w:p>
<w:p>
<w:pPr><w:pStyle w:val="Normal"/></w:pPr>
<w:r><w:t xml:space="preserve">current.  A small piece of iron placed in this field tends to move</w:t></w:r>
</w:p>
<w:p>
<w:pPr><w:pStyle w:val="Normal"/></w:pPr>
<w:r><w:t xml:space="preserve">from weak to strong places in the field with a force depending</w:t></w:r>
</w:p>
<w:p>
<w:pPr><w:pStyle w:val="Normal"/></w:pPr>
<w:r><w:t xml:space="preserve">on the strength of the field and the rate at which the field</w:t></w:r>
</w:p>
<w:p>
<w:pPr><w:pStyle w:val="Normal"/></w:pPr>
<w:r><w:t xml:space="preserve">varies.  In its simplest form an electromagnetic ammeter consists</w:t></w:r>
</w:p>
<w:p>
<w:pPr><w:pStyle w:val="Normal"/></w:pPr>
<w:r><w:t xml:space="preserve">of a circular coil of wire in which is pivoted eccentrically</w:t></w:r>
</w:p>
<w:p>
<w:pPr><w:pStyle w:val="Normal"/></w:pPr>
<w:r><w:t xml:space="preserve">an index needle carrying at its lower end a small mass of</w:t></w:r>
</w:p>
<w:p>
<w:pPr><w:pStyle w:val="Normal"/></w:pPr>
<w:r><w:t xml:space="preserve">iron.  The needle is balanced so that gravity compels it to</w:t></w:r>
</w:p>
<w:p>
<w:pPr><w:pStyle w:val="Normal"/></w:pPr>
<w:r><w:t xml:space="preserve">take a certain position in which the fragment of iron occupies</w:t></w:r>
</w:p>
<w:p>
<w:pPr><w:pStyle w:val="Normal"/></w:pPr>
<w:r><w:t xml:space="preserve">a position in the centre of the field of the coil where it is</w:t></w:r>
</w:p>
<w:p>
<w:pPr><w:pStyle w:val="Normal"/></w:pPr>
<w:r><w:t xml:space="preserve">weakest.  When a current is passed through the coil the</w:t></w:r>
</w:p>
<w:p>
<w:pPr><w:pStyle w:val="Normal"/></w:pPr>
<w:r><w:t xml:space="preserve">iron tends to move nearer to the coil of the wire where the</w:t></w:r>
</w:p>
<w:p>
<w:pPr><w:pStyle w:val="Normal"/></w:pPr>
<w:r><w:t xml:space="preserve">field is stronger and so displaces the index needle over the</w:t></w:r>
</w:p>
<w:p>
<w:pPr><w:pStyle w:val="Normal"/></w:pPr>
<w:r><w:t xml:space="preserve">scale.  Such an instrument is called a soft-iron gravity</w:t></w:r>
</w:p>
<w:p>
<w:pPr><w:pStyle w:val="Normal"/></w:pPr>
<w:r><w:t xml:space="preserve">ammeter.  Another type of similar instrument consists of a coil</w:t></w:r>
</w:p>
<w:p>
<w:pPr><w:pStyle w:val="Normal"/></w:pPr>
<w:r><w:t xml:space="preserve">of wire having a fragment of iron wire suspended from one arm</w:t></w:r>
</w:p>
<w:p>
<w:pPr><w:pStyle w:val="Normal"/></w:pPr>
<w:r><w:t xml:space="preserve">of an index needle near the mouth of a coil.  When a current</w:t></w:r>
</w:p>
<w:p>
<w:pPr><w:pStyle w:val="Normal"/></w:pPr>
<w:r><w:t xml:space="preserve">is passed through the wire forming the coil, the fragment of</w:t></w:r>
</w:p>
<w:p>
<w:pPr><w:pStyle w:val="Normal"/></w:pPr>
<w:r><w:t xml:space="preserve">iron is drawn more into the aperture of the coil where the</w:t></w:r>
</w:p>
<w:p>
<w:pPr><w:pStyle w:val="Normal"/></w:pPr>
<w:r><w:t xml:space="preserve">field is stronger and so displaces an index needle over a</w:t></w:r>
</w:p>
<w:p>
<w:pPr><w:pStyle w:val="Normal"/></w:pPr>
<w:r><w:t xml:space="preserve">scale.  In the construction of this soft-iron instrument it</w:t></w:r>
</w:p>
<w:p>
<w:pPr><w:pStyle w:val="Normal"/></w:pPr>
<w:r><w:t xml:space="preserve">is essential that the fragment of iron should be as small and</w:t></w:r>
</w:p>
<w:p>
<w:pPr><w:pStyle w:val="Normal"/></w:pPr>
<w:r><w:t xml:space="preserve">as well annealed as possible and not touched with tools after</w:t></w:r>
</w:p>
<w:p>
<w:pPr><w:pStyle w:val="Normal"/></w:pPr>
<w:r><w:t xml:space="preserve">annealing; also it should be preferably not too elongated in shape</w:t></w:r>
</w:p>
<w:p>
<w:pPr><w:pStyle w:val="Normal"/></w:pPr>
<w:r><w:t xml:space="preserve">so that it may not acquire permanent magnetization but that its</w:t></w:r>
</w:p>
<w:p>
<w:pPr><w:pStyle w:val="Normal"/></w:pPr>
<w:r><w:t xml:space="preserve">magnetic condition may follow the changes of the current in the</w:t></w:r>
</w:p>
<w:p>
<w:pPr><w:pStyle w:val="Normal"/></w:pPr>
<w:r><w:t xml:space="preserve">coil.  If these conditions are not fulfilled sufficiently,</w:t></w:r>
</w:p>
<w:p>
<w:pPr><w:pStyle w:val="Normal"/></w:pPr>
<w:r><w:t xml:space="preserve">the ammeter will not give the same indications for the same</w:t></w:r>
</w:p>
<w:p>
<w:pPr><w:pStyle w:val="Normal"/></w:pPr>
<w:r><w:t xml:space="preserve">current if that current has been reached (a) by increasing</w:t></w:r>
</w:p>
<w:p>
<w:pPr><w:pStyle w:val="Normal"/></w:pPr>
<w:r><w:t xml:space="preserve">from a smaller current, or (b) by decreasing from a larger</w:t></w:r>
</w:p>
<w:p>
<w:pPr><w:pStyle w:val="Normal"/></w:pPr>
<w:r><w:t xml:space="preserve">current.  In this case there is said to be hysteresis in the</w:t></w:r>
</w:p>
<w:p>
<w:pPr><w:pStyle w:val="Normal"/></w:pPr>
<w:r><w:t xml:space="preserve">readings.  Although therefore most simple and cheap to construct,</w:t></w:r>
</w:p>
<w:p>
<w:pPr><w:pStyle w:val="Normal"/></w:pPr>
<w:r><w:t xml:space="preserve">such soft-iron instruments are not well adapted for accurate</w:t></w:r>
</w:p>
<w:p>
<w:pPr><w:pStyle w:val="Normal"/></w:pPr>
<w:r><w:t xml:space="preserve">work.  A much better form of electromagnetic ammeter can be</w:t></w:r>
</w:p>
<w:p>
<w:pPr><w:pStyle w:val="Normal"/></w:pPr>
<w:r><w:t xml:space="preserve">constructed on a principle now extensively employed, which</w:t></w:r>
</w:p>
<w:p>
<w:pPr><w:pStyle w:val="Normal"/></w:pPr>
<w:r><w:t xml:space="preserve">consists in pivoting in the strong field of a permanent magnet a</w:t></w:r>
</w:p>
<w:p>
<w:pPr><w:pStyle w:val="Normal"/></w:pPr>
<w:r><w:t xml:space="preserve">small coil through which a part of the current to be measured is</w:t></w:r>
</w:p>
<w:p>
<w:pPr><w:pStyle w:val="Normal"/></w:pPr>
<w:r><w:t xml:space="preserve">sent.  Such an instrument is called a shunted movable coil ammeter,</w:t></w:r>
</w:p>
<w:p>
<w:pPr><w:pStyle w:val="Normal"/></w:pPr>
<w:r><w:t xml:space="preserve">and is represented by a type of instrument shown in fig. 3. The</w:t></w:r>
</w:p>
<w:p>
<w:pPr><w:pStyle w:val="Normal"/></w:pPr>
<w:r><w:t xml:space="preserve">FIG. 3.--Shunted Movable Coil Ammeter, Isenthal &amp; Co.</w:t></w:r>
</w:p>
<w:p>
<w:pPr><w:pStyle w:val="Normal"/></w:pPr>
<w:r><w:t xml:space="preserve">construction of this instrument is as follows:--Within</w:t></w:r>
</w:p>
<w:p>
<w:pPr><w:pStyle w:val="Normal"/></w:pPr>
<w:r><w:t xml:space="preserve">the instrument is a horseshoe magnet having soft-iron</w:t></w:r>
</w:p>
<w:p>
<w:pPr><w:pStyle w:val="Normal"/></w:pPr>
<w:r><w:t xml:space="preserve">pole pieces so arranged as to produce a uniform magnetic</w:t></w:r>
</w:p>
<w:p>
<w:pPr><w:pStyle w:val="Normal"/></w:pPr>
<w:r><w:t xml:space="preserve">field.  In this magnetic field is pivoted a small circular</w:t></w:r>
</w:p>
<w:p>
<w:pPr><w:pStyle w:val="Normal"/></w:pPr>
<w:r><w:t xml:space="preserve">or rectangular coil carried in jewelled bearings, the current</w:t></w:r>
</w:p>
<w:p>
<w:pPr><w:pStyle w:val="Normal"/></w:pPr>
<w:r><w:t xml:space="preserve">being passed into and out of the movable coil by fine flexible</w:t></w:r>
</w:p>
<w:p>
<w:pPr><w:pStyle w:val="Normal"/></w:pPr>
<w:r><w:t xml:space="preserve">conductors.  The coil carries an index needle moving over a</w:t></w:r>
</w:p>
<w:p>
<w:pPr><w:pStyle w:val="Normal"/></w:pPr>
<w:r><w:t xml:space="preserve">scale, and there is generally an iron core in the interior</w:t></w:r>
</w:p>
<w:p>
<w:pPr><w:pStyle w:val="Normal"/></w:pPr>
<w:r><w:t xml:space="preserve">of the coil but fixed and independent of it.  The coil is</w:t></w:r>
</w:p>
<w:p>
<w:pPr><w:pStyle w:val="Normal"/></w:pPr>
<w:r><w:t xml:space="preserve">so situated that, in its zero position when no current is</w:t></w:r>
</w:p>
<w:p>
<w:pPr><w:pStyle w:val="Normal"/></w:pPr>
<w:r><w:t xml:space="preserve">passing through it, the plane of the coil is parallel to</w:t></w:r>
</w:p>
<w:p>
<w:pPr><w:pStyle w:val="Normal"/></w:pPr>
<w:r><w:t xml:space="preserve">the direction of the lines of force of the field.  When a</w:t></w:r>
</w:p>
<w:p>
<w:pPr><w:pStyle w:val="Normal"/></w:pPr>
<w:r><w:t xml:space="preserve">current is passed through the coil it rotates in the field</w:t></w:r>
</w:p>
<w:p>
<w:pPr><w:pStyle w:val="Normal"/></w:pPr>
<w:r><w:t xml:space="preserve">and displaces the index over the scale against the control</w:t></w:r>
</w:p>
<w:p>
<w:pPr><w:pStyle w:val="Normal"/></w:pPr>
<w:r><w:t xml:space="preserve">of a spiral spring like the hairspring of a watch.  Such</w:t></w:r>
</w:p>
<w:p>
<w:pPr><w:pStyle w:val="Normal"/></w:pPr>
<w:r><w:t xml:space="preserve">instruments can be made to have equidivisional scales and to</w:t></w:r>
</w:p>
<w:p>
<w:pPr><w:pStyle w:val="Normal"/></w:pPr>
<w:r><w:t xml:space="preserve">read from zero upwards.  It is essential that the permanent</w:t></w:r>
</w:p>
<w:p>
<w:pPr><w:pStyle w:val="Normal"/></w:pPr>
<w:r><w:t xml:space="preserve">magnet should be subjected to a process of ageing so that</w:t></w:r>
</w:p>
<w:p>
<w:pPr><w:pStyle w:val="Normal"/></w:pPr>
<w:r><w:t xml:space="preserve">its field may not be liable to change subsequently with time.</w:t></w:r>
</w:p>
<w:p>
<w:pPr><w:pStyle w:val="Normal"/></w:pPr>
<w:r><w:t xml:space="preserve">In the case of ammeters intended for very small currents, the</w:t></w:r>
</w:p>
<w:p>
<w:pPr><w:pStyle w:val="Normal"/></w:pPr>
<w:r><w:t xml:space="preserve">whole current can be sent through the coil, but for larger</w:t></w:r>
</w:p>
<w:p>
<w:pPr><w:pStyle w:val="Normal"/></w:pPr>
<w:r><w:t xml:space="preserve">currents it is necessary to provide in the instrument a</w:t></w:r>
</w:p>
<w:p>
<w:pPr><w:pStyle w:val="Normal"/></w:pPr>
<w:r><w:t xml:space="preserve">shunt which carries the main current, the movable coil being</w:t></w:r>
</w:p>
<w:p>
<w:pPr><w:pStyle w:val="Normal"/></w:pPr>
<w:r><w:t xml:space="preserve">connected to the ends of this shunt so that it takes a definite</w:t></w:r>
</w:p>
<w:p>
<w:pPr><w:pStyle w:val="Normal"/></w:pPr>
<w:r><w:t xml:space="preserve">small fraction of the current passed through the instrument.</w:t></w:r>
</w:p>
<w:p>
<w:pPr><w:pStyle w:val="Normal"/></w:pPr>
<w:r><w:t xml:space="preserve">Instruments of this type with a permanent magnetic field are</w:t></w:r>
</w:p>
<w:p>
<w:pPr><w:pStyle w:val="Normal"/></w:pPr>
<w:r><w:t xml:space="preserve">only available for the measurement of continuous currents, but</w:t></w:r>
</w:p>
<w:p>
<w:pPr><w:pStyle w:val="Normal"/></w:pPr>
<w:r><w:t xml:space="preserve">soft-iron instruments of the above-described gravity type can</w:t></w:r>
</w:p>
<w:p>
<w:pPr><w:pStyle w:val="Normal"/></w:pPr>
<w:r><w:t xml:space="preserve">be employed with certain restrictions for the measurement of</w:t></w:r>
</w:p>
<w:p>
<w:pPr><w:pStyle w:val="Normal"/></w:pPr>
<w:r><w:t xml:space="preserve">alternating currents.  Direct reading equidivisional movable</w:t></w:r>
</w:p>
<w:p>
<w:pPr><w:pStyle w:val="Normal"/></w:pPr>
<w:r><w:t xml:space="preserve">coil ammeters can be made in various portable forms, and</w:t></w:r>
</w:p>
<w:p>
<w:pPr><w:pStyle w:val="Normal"/></w:pPr>
<w:r><w:t xml:space="preserve">are very much employed as laboratory instruments and also as</w:t></w:r>
</w:p>
<w:p>
<w:pPr><w:pStyle w:val="Normal"/></w:pPr>
<w:r><w:t xml:space="preserve">ammeters for the measurement of large electric currents in</w:t></w:r>
</w:p>
<w:p>
<w:pPr><w:pStyle w:val="Normal"/></w:pPr>
<w:r><w:t xml:space="preserve">electric generating stations.  In this last case the shunt</w:t></w:r>
</w:p>
<w:p>
<w:pPr><w:pStyle w:val="Normal"/></w:pPr>
<w:r><w:t xml:space="preserve">need not be contained in the instrument itself but may be at</w:t></w:r>
</w:p>
<w:p>
<w:pPr><w:pStyle w:val="Normal"/></w:pPr>
<w:r><w:t xml:space="preserve">a considerable distance, wires being brought from the shunt</w:t></w:r>
</w:p>
<w:p>
<w:pPr><w:pStyle w:val="Normal"/></w:pPr>
<w:r><w:t xml:space="preserve">which carries the main current to the movable coil ammeter</w:t></w:r>
</w:p>
<w:p>
<w:pPr><w:pStyle w:val="Normal"/></w:pPr>
<w:r><w:t xml:space="preserve">itself, which performs the function simply of an indicator,</w:t></w:r>
</w:p>
<w:p>
<w:pPr><w:pStyle w:val="Normal"/></w:pPr>
<w:r><w:t xml:space="preserve">3. Electrodynamic Ammeters.--Instruments of the third class</w:t></w:r>
</w:p>
<w:p>
<w:pPr><w:pStyle w:val="Normal"/></w:pPr>
<w:r><w:t xml:space="preserve">depend for their action on the fact discovered by Ampere,</w:t></w:r>
</w:p>
<w:p>
<w:pPr><w:pStyle w:val="Normal"/></w:pPr>
<w:r><w:t xml:space="preserve">that mechanical forces exist between conductors carrying</w:t></w:r>
</w:p>
<w:p>
<w:pPr><w:pStyle w:val="Normal"/></w:pPr>
<w:r><w:t xml:space="preserve">electric currents when those conductors occupy certain relative</w:t></w:r>
</w:p>
<w:p>
<w:pPr><w:pStyle w:val="Normal"/></w:pPr>
<w:r><w:t xml:space="preserve">positions.  If there be two parallel wires through which</w:t></w:r>
</w:p>
<w:p>
<w:pPr><w:pStyle w:val="Normal"/></w:pPr>
<w:r><w:t xml:space="preserve">currents are passing, then these wires are drawn together</w:t></w:r>
</w:p>
<w:p>
<w:pPr><w:pStyle w:val="Normal"/></w:pPr>
<w:r><w:t xml:space="preserve">if the currents are in the same direction and pressed apart</w:t></w:r>
</w:p>
<w:p>
<w:pPr><w:pStyle w:val="Normal"/></w:pPr>
<w:r><w:t xml:space="preserve">if they are in opposite directions. (See ELECTROKINETICS.)</w:t></w:r>
</w:p>
<w:p>
<w:pPr><w:pStyle w:val="Normal"/></w:pPr>
<w:r><w:t xml:space="preserve">Instruments of this type are called Electrodynamometers, and</w:t></w:r>
</w:p>
<w:p>
<w:pPr><w:pStyle w:val="Normal"/></w:pPr>
<w:r><w:t xml:space="preserve">have been employed both as laboratory research instruments</w:t></w:r>
</w:p>
<w:p>
<w:pPr><w:pStyle w:val="Normal"/></w:pPr>
<w:r><w:t xml:space="preserve">and for technical purposes.  In one well-known form, called</w:t></w:r>
</w:p>
<w:p>
<w:pPr><w:pStyle w:val="Normal"/></w:pPr>
<w:r><w:t xml:space="preserve">a Siemens Electrodynamometer, there is a fixed coil (fig.</w:t></w:r>
</w:p>
<w:p>
<w:pPr><w:pStyle w:val="Normal"/></w:pPr>
<w:r><w:t xml:space="preserve">4), which is surrounded by another coil having its axis at</w:t></w:r>
</w:p>
<w:p>
<w:pPr><w:pStyle w:val="Normal"/></w:pPr>
<w:r><w:t xml:space="preserve">right angles to that of the fixed coil.  This second coil is</w:t></w:r>
</w:p>
<w:p>
<w:pPr><w:pStyle w:val="Normal"/></w:pPr>
<w:r><w:t xml:space="preserve">suspended by a number of silk fibres, and to the coil is also</w:t></w:r>
</w:p>
<w:p>
<w:pPr><w:pStyle w:val="Normal"/></w:pPr>
<w:r><w:t xml:space="preserve">attached a spiral spring the other end of which is fastened</w:t></w:r>
</w:p>
<w:p>
<w:pPr><w:pStyle w:val="Normal"/></w:pPr>
<w:r><w:t xml:space="preserve">to a torsion head.  If then the torsion head is twisted, the</w:t></w:r>
</w:p>
<w:p>
<w:pPr><w:pStyle w:val="Normal"/></w:pPr>
<w:r><w:t xml:space="preserve">suspended coil experiences a torque and is displaced through</w:t></w:r>
</w:p>
<w:p>
<w:pPr><w:pStyle w:val="Normal"/></w:pPr>
<w:r><w:t xml:space="preserve">FIG. 4.--Siemens Electrodynamometer. F, Fixed</w:t></w:r>
</w:p>
<w:p>
<w:pPr><w:pStyle w:val="Normal"/></w:pPr>
<w:r><w:t xml:space="preserve">coil; D, Movable coil; S, Spiral spring; T,</w:t></w:r>
</w:p>
<w:p>
<w:pPr><w:pStyle w:val="Normal"/></w:pPr>
<w:r><w:t xml:space="preserve">Torsion head; MM, Mercury cups; I, Index needle.</w:t></w:r>
</w:p>
<w:p>
<w:pPr><w:pStyle w:val="Normal"/></w:pPr>
<w:r><w:t xml:space="preserve">an angle equal to that of the torsion head.  The current can</w:t></w:r>
</w:p>
<w:p>
<w:pPr><w:pStyle w:val="Normal"/></w:pPr>
<w:r><w:t xml:space="preserve">be passed into and out of the movable coil by permitting the</w:t></w:r>
</w:p>
<w:p>
<w:pPr><w:pStyle w:val="Normal"/></w:pPr>
<w:r><w:t xml:space="preserve">ends of the coil to dip into two mercury cups.  If a current</w:t></w:r>
</w:p>
<w:p>
<w:pPr><w:pStyle w:val="Normal"/></w:pPr>
<w:r><w:t xml:space="preserve">is passed through the fixed coil and movable coil in series</w:t></w:r>
</w:p>
<w:p>
<w:pPr><w:pStyle w:val="Normal"/></w:pPr>
<w:r><w:t xml:space="preserve">with one another, the movable coil tends to displace itself so</w:t></w:r>
</w:p>
<w:p>
<w:pPr><w:pStyle w:val="Normal"/></w:pPr>
<w:r><w:t xml:space="preserve">as to bring the axes of the coils, which are normally at right</w:t></w:r>
</w:p>
<w:p>
<w:pPr><w:pStyle w:val="Normal"/></w:pPr>
<w:r><w:t xml:space="preserve">angles, more into the same direction.  This tendency can be</w:t></w:r>
</w:p>
<w:p>
<w:pPr><w:pStyle w:val="Normal"/></w:pPr>
<w:r><w:t xml:space="preserve">resisted by giving a twist to the torsion head and so applying</w:t></w:r>
</w:p>
<w:p>
<w:pPr><w:pStyle w:val="Normal"/></w:pPr>
<w:r><w:t xml:space="preserve">to the movable coil through the spring a restoring torque,</w:t></w:r>
</w:p>
<w:p>
<w:pPr><w:pStyle w:val="Normal"/></w:pPr>
<w:r><w:t xml:space="preserve">which opposes the torque due to the dynamic action of the</w:t></w:r>
</w:p>
<w:p>
<w:pPr><w:pStyle w:val="Normal"/></w:pPr>
<w:r><w:t xml:space="preserve">currents.  If then the torsion head is provided with an index</w:t></w:r>
</w:p>
<w:p>
<w:pPr><w:pStyle w:val="Normal"/></w:pPr>
<w:r><w:t xml:space="preserve">needle, and also if the movable coil is provided with an</w:t></w:r>
</w:p>
<w:p>
<w:pPr><w:pStyle w:val="Normal"/></w:pPr>
<w:r><w:t xml:space="preserve">indicating point, it is possible to measure the torsional angle</w:t></w:r>
</w:p>
<w:p>
<w:pPr><w:pStyle w:val="Normal"/></w:pPr>
<w:r><w:t xml:space="preserve">through which the head must be twisted to bring the movable</w:t></w:r>
</w:p>
<w:p>
<w:pPr><w:pStyle w:val="Normal"/></w:pPr>
<w:r><w:t xml:space="preserve">coil back to its zero position.  In these circumstances the</w:t></w:r>
</w:p>
<w:p>
<w:pPr><w:pStyle w:val="Normal"/></w:pPr>
<w:r><w:t xml:space="preserve">torsional angle becomes a measure of the torque and therefore</w:t></w:r>
</w:p>
<w:p>
<w:pPr><w:pStyle w:val="Normal"/></w:pPr>
<w:r><w:t xml:space="preserve">of the product of the strengths of the currents in the two</w:t></w:r>
</w:p>
<w:p>
<w:pPr><w:pStyle w:val="Normal"/></w:pPr>
<w:r><w:t xml:space="preserve">coils, that is to say, of the square of the strength of the</w:t></w:r>
</w:p>
<w:p>
<w:pPr><w:pStyle w:val="Normal"/></w:pPr>
<w:r><w:t xml:space="preserve">current passing through the two coils if they are joined up in</w:t></w:r>
</w:p>
<w:p>
<w:pPr><w:pStyle w:val="Normal"/></w:pPr>
<w:r><w:t xml:space="preserve">series.  The instrument can therefore be graduated by passing</w:t></w:r>
</w:p>
<w:p>
<w:pPr><w:pStyle w:val="Normal"/></w:pPr>
<w:r><w:t xml:space="preserve">through it known and measured continuous currents, and it then</w:t></w:r>
</w:p>
<w:p>
<w:pPr><w:pStyle w:val="Normal"/></w:pPr>
<w:r><w:t xml:space="preserve">becomes available for use with either continuous or alternating</w:t></w:r>
</w:p>
<w:p>
<w:pPr><w:pStyle w:val="Normal"/></w:pPr>
<w:r><w:t xml:space="preserve">currents.  The instrument can be provided with a curve or table</w:t></w:r>
</w:p>
<w:p>
<w:pPr><w:pStyle w:val="Normal"/></w:pPr>
<w:r><w:t xml:space="preserve">showing the current corresponding to each angular displacement</w:t></w:r>
</w:p>
<w:p>
<w:pPr><w:pStyle w:val="Normal"/></w:pPr>
<w:r><w:t xml:space="preserve">of the torsion head.  It has the disadvantage of not being</w:t></w:r>
</w:p>
<w:p>
<w:pPr><w:pStyle w:val="Normal"/></w:pPr>
<w:r><w:t xml:space="preserve">direct reading when made in the usual form, but can easily be</w:t></w:r>
</w:p>
<w:p>
<w:pPr><w:pStyle w:val="Normal"/></w:pPr>
<w:r><w:t xml:space="preserve">converted into a direct reading instrument by appropriately</w:t></w:r>
</w:p>
<w:p>
<w:pPr><w:pStyle w:val="Normal"/></w:pPr>
<w:r><w:t xml:space="preserve">dividing the scale over which the index of the torsion head moves.</w:t></w:r>
</w:p>
<w:p>
<w:pPr><w:pStyle w:val="Normal"/></w:pPr>
<w:r><w:t xml:space="preserve">Ampere Balance.--Very convenient and accurate instruments based</w:t></w:r>
</w:p>
<w:p>
<w:pPr><w:pStyle w:val="Normal"/></w:pPr>
<w:r><w:t xml:space="preserve">on the above principles have been devised by Lord Kelvin, and</w:t></w:r>
</w:p>
<w:p>
<w:pPr><w:pStyle w:val="Normal"/></w:pPr>
<w:r><w:t xml:space="preserve">a large variety of these ampere balances, as they are called,</w:t></w:r>
</w:p>
<w:p>
<w:pPr><w:pStyle w:val="Normal"/></w:pPr>
<w:r><w:t xml:space="preserve">suitable for measuring currents from a fraction of an ampere</w:t></w:r>
</w:p>
<w:p>
<w:pPr><w:pStyle w:val="Normal"/></w:pPr>
<w:r><w:t xml:space="preserve">up to many thousands of amperes, have been constructed by that</w:t></w:r>
</w:p>
<w:p>
<w:pPr><w:pStyle w:val="Normal"/></w:pPr>
<w:r><w:t xml:space="preserve">illustrious inventor.  The difficulty which has generally presented</w:t></w:r>
</w:p>
<w:p>
<w:pPr><w:pStyle w:val="Normal"/></w:pPr>
<w:r><w:t xml:space="preserve">itself to those who have tried to design instruments on the</w:t></w:r>
</w:p>
<w:p>
<w:pPr><w:pStyle w:val="Normal"/></w:pPr>
<w:r><w:t xml:space="preserve">FIG. 5.--Kelvin Flexible Metallic Ligament.</w:t></w:r>
</w:p>
<w:p>
<w:pPr><w:pStyle w:val="Normal"/></w:pPr>
<w:r><w:t xml:space="preserve">electrodynometer principle for use with large currents has</w:t></w:r>
</w:p>
<w:p>
<w:pPr><w:pStyle w:val="Normal"/></w:pPr>
<w:r><w:t xml:space="preserve">been that of getting the current into and out of the movable</w:t></w:r>
</w:p>
<w:p>
<w:pPr><w:pStyle w:val="Normal"/></w:pPr>
<w:r><w:t xml:space="preserve">conductor, and yet permitting that conductor to remain free to</w:t></w:r>
</w:p>
<w:p>
<w:pPr><w:pStyle w:val="Normal"/></w:pPr>
<w:r><w:t xml:space="preserve">move under very small force.  The use of mercury cups is open to</w:t></w:r>
</w:p>
<w:p>
<w:pPr><w:pStyle w:val="Normal"/></w:pPr>
<w:r><w:t xml:space="preserve">many objections on account of the fact that the mercury becomes</w:t></w:r>
</w:p>
<w:p>
<w:pPr><w:pStyle w:val="Normal"/></w:pPr>
<w:r><w:t xml:space="preserve">oxidized, and such instruments are not very convenient for</w:t></w:r>
</w:p>
<w:p>
<w:pPr><w:pStyle w:val="Normal"/></w:pPr>
<w:r><w:t xml:space="preserve">transportation.  The great novelty in the ampere balances</w:t></w:r>
</w:p>
<w:p>
<w:pPr><w:pStyle w:val="Normal"/></w:pPr>
<w:r><w:t xml:space="preserve">of Lord Kelvin was a joint or electric coupling, which is at</w:t></w:r>
</w:p>
<w:p>
<w:pPr><w:pStyle w:val="Normal"/></w:pPr>
<w:r><w:t xml:space="preserve">once exceedingly flexible and yet capable of being constructed</w:t></w:r>
</w:p>
<w:p>
<w:pPr><w:pStyle w:val="Normal"/></w:pPr>
<w:r><w:t xml:space="preserve">to carry with safety any desired current.  This he achieved</w:t></w:r>
</w:p>
<w:p>
<w:pPr><w:pStyle w:val="Normal"/></w:pPr>
<w:r><w:t xml:space="preserve">by the introduction of a device which is called a metallic</w:t></w:r>
</w:p>
<w:p>
<w:pPr><w:pStyle w:val="Normal"/></w:pPr>
<w:r><w:t xml:space="preserve">ligament.  The general principle of its construction is as</w:t></w:r>
</w:p>
<w:p>
<w:pPr><w:pStyle w:val="Normal"/></w:pPr>
<w:r><w:t xml:space="preserve">follows:--Let +A, -A (fig. 5), be a pair of semi-cylindrical</w:t></w:r>
</w:p>
<w:p>
<w:pPr><w:pStyle w:val="Normal"/></w:pPr>
<w:r><w:t xml:space="preserve">fixed trunnions which are carried on a supporting frame and</w:t></w:r>
</w:p>
<w:p>
<w:pPr><w:pStyle w:val="Normal"/></w:pPr>
<w:r><w:t xml:space="preserve">held with flat sides downwards.  Let +B, -B, be two smaller</w:t></w:r>
</w:p>
<w:p>
<w:pPr><w:pStyle w:val="Normal"/></w:pPr>
<w:r><w:t xml:space="preserve">trunnions which project out from the sides of the two strips</w:t></w:r>
</w:p>
<w:p>
<w:pPr><w:pStyle w:val="Normal"/></w:pPr>
<w:r><w:t xml:space="preserve">connecting together a pair of rings CC. The rings and the</w:t></w:r>
</w:p>
<w:p>
<w:pPr><w:pStyle w:val="Normal"/></w:pPr>
<w:r><w:t xml:space="preserve">connecting strips constitute the circuit which is to be rendered</w:t></w:r>
</w:p>
<w:p>
<w:pPr><w:pStyle w:val="Normal"/></w:pPr>
<w:r><w:t xml:space="preserve">movable.  A current entering by the trunnion + B flows round</w:t></w:r>
</w:p>
<w:p>
<w:pPr><w:pStyle w:val="Normal"/></w:pPr>
<w:r><w:t xml:space="preserve">the two halves of the circuit, as shown by the arrows, and</w:t></w:r>
</w:p>
<w:p>
<w:pPr><w:pStyle w:val="Normal"/></w:pPr>
<w:r><w:t xml:space="preserve">comes out at the trunnion -B. In fig. 5 the current is shown</w:t></w:r>
</w:p>
<w:p>
<w:pPr><w:pStyle w:val="Normal"/></w:pPr>
<w:r><w:t xml:space="preserve">dividing round the two rings; but in all the balances, except</w:t></w:r>
</w:p>
<w:p>
<w:pPr><w:pStyle w:val="Normal"/></w:pPr>
<w:r><w:t xml:space="preserve">those intended for the largest currents, the current really</w:t></w:r>
</w:p>
<w:p>
<w:pPr><w:pStyle w:val="Normal"/></w:pPr>
<w:r><w:t xml:space="preserve">circulates first round one ring and then round the other.</w:t></w:r>
</w:p>
<w:p>
<w:pPr><w:pStyle w:val="Normal"/></w:pPr>
<w:r><w:t xml:space="preserve">To make the ligament, a very large number of exceedingly fine</w:t></w:r>
</w:p>
<w:p>
<w:pPr><w:pStyle w:val="Normal"/></w:pPr>
<w:r><w:t xml:space="preserve">copper wires laid close together are soldered to the upper</w:t></w:r>
</w:p>
<w:p>
<w:pPr><w:pStyle w:val="Normal"/></w:pPr>
<w:r><w:t xml:space="preserve">surface of the upper trunnion.  The movable circuit CC thus</w:t></w:r>
</w:p>
<w:p>
<w:pPr><w:pStyle w:val="Normal"/></w:pPr>
<w:r><w:t xml:space="preserve">hangs by two ligaments which are formed of very fine copper</w:t></w:r>
</w:p>
<w:p>
<w:pPr><w:pStyle w:val="Normal"/></w:pPr>
<w:r><w:t xml:space="preserve">wires.  This mode of suspension enables the conductor CC</w:t></w:r>
</w:p>
<w:p>
<w:pPr><w:pStyle w:val="Normal"/></w:pPr>
<w:r><w:t xml:space="preserve">to vibrate freely like a balance, but at the same time very</w:t></w:r>
</w:p>
<w:p>
<w:pPr><w:pStyle w:val="Normal"/></w:pPr>
<w:r><w:t xml:space="preserve">large currents can easily be passed through this perfectly</w:t></w:r>
</w:p>
<w:p>
<w:pPr><w:pStyle w:val="Normal"/></w:pPr>
<w:r><w:t xml:space="preserve">flexible joint.  Above and below these movable coils, which</w:t></w:r>
</w:p>
<w:p>
<w:pPr><w:pStyle w:val="Normal"/></w:pPr>
<w:r><w:t xml:space="preserve">form as it were the two scale- pans of a balance, are fixed</w:t></w:r>
</w:p>
<w:p>
<w:pPr><w:pStyle w:val="Normal"/></w:pPr>
<w:r><w:t xml:space="preserve">other stationary coils, and the connexions of all these</w:t></w:r>
</w:p>
<w:p>
<w:pPr><w:pStyle w:val="Normal"/></w:pPr>
<w:r><w:t xml:space="preserve">six coils (shown in fig. 6) are such that when a current</w:t></w:r>
</w:p>
<w:p>
<w:pPr><w:pStyle w:val="Normal"/></w:pPr>
<w:r><w:t xml:space="preserve">FIG. 6.--Connexions of Kelvin Ampere Balance.</w:t></w:r>
</w:p>
<w:p>
<w:pPr><w:pStyle w:val="Normal"/></w:pPr>
<w:r><w:t xml:space="preserve">is passed through the whole of the coils in series, forces of</w:t></w:r>
</w:p>
<w:p>
<w:pPr><w:pStyle w:val="Normal"/></w:pPr>
<w:r><w:t xml:space="preserve">attraction and repulsion are brought into existence which tend</w:t></w:r>
</w:p>
<w:p>
<w:pPr><w:pStyle w:val="Normal"/></w:pPr>
<w:r><w:t xml:space="preserve">to force one movable coil upwards and the other movable coil</w:t></w:r>
</w:p>
<w:p>
<w:pPr><w:pStyle w:val="Normal"/></w:pPr>
<w:r><w:t xml:space="preserve">downwards.  This tendency is resisted by the weight of a mass of</w:t></w:r>
</w:p>
<w:p>
<w:pPr><w:pStyle w:val="Normal"/></w:pPr>
<w:r><w:t xml:space="preserve">metal, which can be caused to slide along a tray attached to</w:t></w:r>
</w:p>
<w:p>
<w:pPr><w:pStyle w:val="Normal"/></w:pPr>
<w:r><w:t xml:space="preserve">the movable coils.  The appearance of the complete instrument is</w:t></w:r>
</w:p>
<w:p>
<w:pPr><w:pStyle w:val="Normal"/></w:pPr>
<w:r><w:t xml:space="preserve">shown by fig. 7. When a current is passed through the instrument</w:t></w:r>
</w:p>
<w:p>
<w:pPr><w:pStyle w:val="Normal"/></w:pPr>
<w:r><w:t xml:space="preserve">it causes one end of the movable system to tilt downwards, and</w:t></w:r>
</w:p>
<w:p>
<w:pPr><w:pStyle w:val="Normal"/></w:pPr>
<w:r><w:t xml:space="preserve">the other end upwards; the sliding weight is then moved along</w:t></w:r>
</w:p>
<w:p>
<w:pPr><w:pStyle w:val="Normal"/></w:pPr>
<w:r><w:t xml:space="preserve">the tray by means of a silk cord until equilibrium is again</w:t></w:r>
</w:p>
<w:p>
<w:pPr><w:pStyle w:val="Normal"/></w:pPr>
<w:r><w:t xml:space="preserve">established.  The value of the current in amperes is then obtained</w:t></w:r>
</w:p>
<w:p>
<w:pPr><w:pStyle w:val="Normal"/></w:pPr>
<w:r><w:t xml:space="preserve">approximately by observing the position of the weight on the</w:t></w:r>
</w:p>
<w:p>
<w:pPr><w:pStyle w:val="Normal"/></w:pPr>
<w:r><w:t xml:space="preserve">scale, or it may be obtained more accurately in the following</w:t></w:r>
</w:p>
<w:p>
<w:pPr><w:pStyle w:val="Normal"/></w:pPr>
<w:r><w:t xml:space="preserve">FIG. 7.--Lord Kelvin&apos;s Ampere Balance.</w:t></w:r>
</w:p>
<w:p>
<w:pPr><w:pStyle w:val="Normal"/></w:pPr>
<w:r><w:t xml:space="preserve">manner:--The upper edge of the shelf on which the weights</w:t></w:r>
</w:p>
<w:p>
<w:pPr><w:pStyle w:val="Normal"/></w:pPr>
<w:r><w:t xml:space="preserve">slide (see fig. 8) is graduated into equal divisions, and the</w:t></w:r>
</w:p>
<w:p>
<w:pPr><w:pStyle w:val="Normal"/></w:pPr>
<w:r><w:t xml:space="preserve">weight is provided with a sharp tongue of metal in order that</w:t></w:r>
</w:p>
<w:p>
<w:pPr><w:pStyle w:val="Normal"/></w:pPr>
<w:r><w:t xml:space="preserve">its position on the shelf may be accurately determined.  Since</w:t></w:r>
</w:p>
<w:p>
<w:pPr><w:pStyle w:val="Normal"/></w:pPr>
<w:r><w:t xml:space="preserve">the current passing through the balance when equilibrium is</w:t></w:r>
</w:p>
<w:p>
<w:pPr><w:pStyle w:val="Normal"/></w:pPr>
<w:r><w:t xml:space="preserve">obtained with a given weight is proportional to the square</w:t></w:r>
</w:p>
<w:p>
<w:pPr><w:pStyle w:val="Normal"/></w:pPr>
<w:r><w:t xml:space="preserve">root of the couple due to this weight, it follows that the</w:t></w:r>
</w:p>
<w:p>
<w:pPr><w:pStyle w:val="Normal"/></w:pPr>
<w:r><w:t xml:space="preserve">current strength when equilibrium is obtained is proportional</w:t></w:r>
</w:p>
<w:p>
<w:pPr><w:pStyle w:val="Normal"/></w:pPr>
<w:r><w:t xml:space="preserve">to the product of the square root of the weight used</w:t></w:r>
</w:p>
<w:p>
<w:pPr><w:pStyle w:val="Normal"/></w:pPr>
<w:r><w:t xml:space="preserve">FIG. 8.--Slider of Kelvin Ampere Balance.</w:t></w:r>
</w:p>
<w:p>
<w:pPr><w:pStyle w:val="Normal"/></w:pPr>
<w:r><w:t xml:space="preserve">and the square root of the displacement distance of this</w:t></w:r>
</w:p>
<w:p>
<w:pPr><w:pStyle w:val="Normal"/></w:pPr>
<w:r><w:t xml:space="preserve">weight from its zero position.  Each instrument is accompanied</w:t></w:r>
</w:p>
<w:p>
<w:pPr><w:pStyle w:val="Normal"/></w:pPr>
<w:r><w:t xml:space="preserve">by a pair of weights and by a square root table, so that the</w:t></w:r>
</w:p>
<w:p>
<w:pPr><w:pStyle w:val="Normal"/></w:pPr>
<w:r><w:t xml:space="preserve">product of the square root of the number corresponding to the</w:t></w:r>
</w:p>
<w:p>
<w:pPr><w:pStyle w:val="Normal"/></w:pPr>
<w:r><w:t xml:space="preserve">position of the sliding weight and the ascertained constant</w:t></w:r>
</w:p>
<w:p>
<w:pPr><w:pStyle w:val="Normal"/></w:pPr>
<w:r><w:t xml:space="preserve">for each weight, gives at once the value of the current in</w:t></w:r>
</w:p>
<w:p>
<w:pPr><w:pStyle w:val="Normal"/></w:pPr>
<w:r><w:t xml:space="preserve">amperes.  Each of these balances is made to cover a certain</w:t></w:r>
</w:p>
<w:p>
<w:pPr><w:pStyle w:val="Normal"/></w:pPr>
<w:r><w:t xml:space="preserve">range of reading.  Thus the centi-ampere balance ranges from</w:t></w:r>
</w:p>
<w:p>
<w:pPr><w:pStyle w:val="Normal"/></w:pPr>
<w:r><w:t xml:space="preserve">1 to 100 centi-amperes, the deci-ampere balance from 1 to 100</w:t></w:r>
</w:p>
<w:p>
<w:pPr><w:pStyle w:val="Normal"/></w:pPr>
<w:r><w:t xml:space="preserve">deci-amperes, the ampere balance from 1 to 100 amperes, the</w:t></w:r>
</w:p>
<w:p>
<w:pPr><w:pStyle w:val="Normal"/></w:pPr>
<w:r><w:t xml:space="preserve">deka-ampere balance from 1 to 100 amperes, the hecto-ampere</w:t></w:r>
</w:p>
<w:p>
<w:pPr><w:pStyle w:val="Normal"/></w:pPr>
<w:r><w:t xml:space="preserve">balance from 6 to 600 amperes, and the kilo-ampere balance from</w:t></w:r>
</w:p>
<w:p>
<w:pPr><w:pStyle w:val="Normal"/></w:pPr>
<w:r><w:t xml:space="preserve">100 to 2500 amperes.  They are constructed for the measurement</w:t></w:r>
</w:p>
<w:p>
<w:pPr><w:pStyle w:val="Normal"/></w:pPr>
<w:r><w:t xml:space="preserve">not only of continuous or unvarying but also of alternating</w:t></w:r>
</w:p>
<w:p>
<w:pPr><w:pStyle w:val="Normal"/></w:pPr>
<w:r><w:t xml:space="preserve">currents.  In those intended for alternating currents, the</w:t></w:r>
</w:p>
<w:p>
<w:pPr><w:pStyle w:val="Normal"/></w:pPr>
<w:r><w:t xml:space="preserve">main current through the movable coil, whether consisting</w:t></w:r>
</w:p>
<w:p>
<w:pPr><w:pStyle w:val="Normal"/></w:pPr>
<w:r><w:t xml:space="preserve">of one turn or more than one turn, is carried by a wire</w:t></w:r>
</w:p>
<w:p>
<w:pPr><w:pStyle w:val="Normal"/></w:pPr>
<w:r><w:t xml:space="preserve">rope, of which each component strand is insulated by silk</w:t></w:r>
</w:p>
<w:p>
<w:pPr><w:pStyle w:val="Normal"/></w:pPr>
<w:r><w:t xml:space="preserve">covering, to prevent the inductive action from altering the</w:t></w:r>
</w:p>
<w:p>
<w:pPr><w:pStyle w:val="Normal"/></w:pPr>
<w:r><w:t xml:space="preserve">distribution of the current across the transverse section of</w:t></w:r>
</w:p>
<w:p>
<w:pPr><w:pStyle w:val="Normal"/></w:pPr>
<w:r><w:t xml:space="preserve">the conductor.  To avoid the creation of induced currents,</w:t></w:r>
</w:p>
<w:p>
<w:pPr><w:pStyle w:val="Normal"/></w:pPr>
<w:r><w:t xml:space="preserve">the coil frames and the base boards are constructed of</w:t></w:r>
</w:p>
<w:p>
<w:pPr><w:pStyle w:val="Normal"/></w:pPr>
<w:r><w:t xml:space="preserve">slate.  Kelvin ampere balances are made in two types--(1) a</w:t></w:r>
</w:p>
<w:p>
<w:pPr><w:pStyle w:val="Normal"/></w:pPr>
<w:r><w:t xml:space="preserve">variable weight type suitable for obtaining the ampere value</w:t></w:r>
</w:p>
<w:p>
<w:pPr><w:pStyle w:val="Normal"/></w:pPr>
<w:r><w:t xml:space="preserve">of any current within their range; and (2) a fixed weight</w:t></w:r>
</w:p>
<w:p>
<w:pPr><w:pStyle w:val="Normal"/></w:pPr>
<w:r><w:t xml:space="preserve">type intended to indicate when a current which can be varied</w:t></w:r>
</w:p>
<w:p>
<w:pPr><w:pStyle w:val="Normal"/></w:pPr>
<w:r><w:t xml:space="preserve">at pleasure has a certain fixed value.  An instrument of the</w:t></w:r>
</w:p>
<w:p>
<w:pPr><w:pStyle w:val="Normal"/></w:pPr>
<w:r><w:t xml:space="preserve">latter type of considerable accuracy was designed by Lord Kelvin</w:t></w:r>
</w:p>
<w:p>
<w:pPr><w:pStyle w:val="Normal"/></w:pPr>
<w:r><w:t xml:space="preserve">for the British Board of Trade Electrical Laboratory, and it</w:t></w:r>
</w:p>
<w:p>
<w:pPr><w:pStyle w:val="Normal"/></w:pPr>
<w:r><w:t xml:space="preserve">is there used as the principal standard ampere balance.  A</w:t></w:r>
</w:p>
<w:p>
<w:pPr><w:pStyle w:val="Normal"/></w:pPr>
<w:r><w:t xml:space="preserve">fixed weight is placed on one coil and the current is varied</w:t></w:r>
</w:p>
<w:p>
<w:pPr><w:pStyle w:val="Normal"/></w:pPr>
<w:r><w:t xml:space="preserve">gradually until the balance is just in equilibrium.  In these</w:t></w:r>
</w:p>
<w:p>
<w:pPr><w:pStyle w:val="Normal"/></w:pPr>
<w:r><w:t xml:space="preserve">circumstances the current is known to have a fixed value in</w:t></w:r>
</w:p>
<w:p>
<w:pPr><w:pStyle w:val="Normal"/></w:pPr>
<w:r><w:t xml:space="preserve">amperes determined by the weight attached to the instrument.</w:t></w:r>
</w:p>
<w:p>
<w:pPr><w:pStyle w:val="Normal"/></w:pPr>
<w:r><w:t xml:space="preserve">Calibration.--The calibration of ammeters is best conducted</w:t></w:r>
</w:p>
<w:p>
<w:pPr><w:pStyle w:val="Normal"/></w:pPr>
<w:r><w:t xml:space="preserve">by means of a series of standard low resistances and of a</w:t></w:r>
</w:p>
<w:p>
<w:pPr><w:pStyle w:val="Normal"/></w:pPr>
<w:r><w:t xml:space="preserve">potentiometer (q.v..) The ammeter to be calibrated is placed</w:t></w:r>
</w:p>
<w:p>
<w:pPr><w:pStyle w:val="Normal"/></w:pPr>
<w:r><w:t xml:space="preserve">in series with a suitable low resistance which may be .1</w:t></w:r>
</w:p>
<w:p>
<w:pPr><w:pStyle w:val="Normal"/></w:pPr>
<w:r><w:t xml:space="preserve">ohm, .01 ohm, .001 ohm or more as the case may be.  A steady</w:t></w:r>
</w:p>
<w:p>
<w:pPr><w:pStyle w:val="Normal"/></w:pPr>
<w:r><w:t xml:space="preserve">continuous current is then passed through the ammeter and low</w:t></w:r>
</w:p>
<w:p>
<w:pPr><w:pStyle w:val="Normal"/></w:pPr>
<w:r><w:t xml:space="preserve">resistance, placed in series with one another and adjusted</w:t></w:r>
</w:p>
<w:p>
<w:pPr><w:pStyle w:val="Normal"/></w:pPr>
<w:r><w:t xml:space="preserve">so as to give any required scale reading on the ammeter.</w:t></w:r>
</w:p>
<w:p>
<w:pPr><w:pStyle w:val="Normal"/></w:pPr>
<w:r><w:t xml:space="preserve">The potential difference of the ends of the low resistance</w:t></w:r>
</w:p>
<w:p>
<w:pPr><w:pStyle w:val="Normal"/></w:pPr>
<w:r><w:t xml:space="preserve">is at the same time measured on the potentiometer, and the</w:t></w:r>
</w:p>
<w:p>
<w:pPr><w:pStyle w:val="Normal"/></w:pPr>
<w:r><w:t xml:space="preserve">quotient of this potential difference by the known value of</w:t></w:r>
</w:p>
<w:p>
<w:pPr><w:pStyle w:val="Normal"/></w:pPr>
<w:r><w:t xml:space="preserve">the low resistance gives the true value of the current passing</w:t></w:r>
</w:p>
<w:p>
<w:pPr><w:pStyle w:val="Normal"/></w:pPr>
<w:r><w:t xml:space="preserve">through the ammeter.  This can be then compared with the</w:t></w:r>
</w:p>
<w:p>
<w:pPr><w:pStyle w:val="Normal"/></w:pPr>
<w:r><w:t xml:space="preserve">observed scale reading and the error of the ammeter noted.2</w:t></w:r>
</w:p>
<w:p>
<w:pPr><w:pStyle w:val="Normal"/></w:pPr>
<w:r><w:t xml:space="preserve">A good ammeter should comply with the following qualifications:--(1)</w:t></w:r>
</w:p>
<w:p>
<w:pPr><w:pStyle w:val="Normal"/></w:pPr>
<w:r><w:t xml:space="preserve">its readings should be the same for the same current whether</w:t></w:r>
</w:p>
<w:p>
<w:pPr><w:pStyle w:val="Normal"/></w:pPr>
<w:r><w:t xml:space="preserve">reached by increasing from a lower current or decreasing</w:t></w:r>
</w:p>
<w:p>
<w:pPr><w:pStyle w:val="Normal"/></w:pPr>
<w:r><w:t xml:space="preserve">from a higher current; (2) if used for alternating currents</w:t></w:r>
</w:p>
<w:p>
<w:pPr><w:pStyle w:val="Normal"/></w:pPr>
<w:r><w:t xml:space="preserve">its indications should not vary with the frequency within</w:t></w:r>
</w:p>
<w:p>
<w:pPr><w:pStyle w:val="Normal"/></w:pPr>
<w:r><w:t xml:space="preserve">the range of frequency for which it is likely to be used;</w:t></w:r>
</w:p>
<w:p>
<w:pPr><w:pStyle w:val="Normal"/></w:pPr>
<w:r><w:t xml:space="preserve">(3) it should not be disturbed by external magnetic fields;</w:t></w:r>
</w:p>
<w:p>
<w:pPr><w:pStyle w:val="Normal"/></w:pPr>
<w:r><w:t xml:space="preserve">(4) the scale divisions should, if possible, be equal in</w:t></w:r>
</w:p>
<w:p>
<w:pPr><w:pStyle w:val="Normal"/></w:pPr>
<w:r><w:t xml:space="preserve">length and there should be no dead part in the scale.  In</w:t></w:r>
</w:p>
<w:p>
<w:pPr><w:pStyle w:val="Normal"/></w:pPr>
<w:r><w:t xml:space="preserve">the use of ammeters in which the control is the gravity</w:t></w:r>
</w:p>
<w:p>
<w:pPr><w:pStyle w:val="Normal"/></w:pPr>
<w:r><w:t xml:space="preserve">of a weight, such as the Kelvin ampere balances and other</w:t></w:r>
</w:p>
<w:p>
<w:pPr><w:pStyle w:val="Normal"/></w:pPr>
<w:r><w:t xml:space="preserve">instruments, it should be noted that the scale reading or</w:t></w:r>
</w:p>
<w:p>
<w:pPr><w:pStyle w:val="Normal"/></w:pPr>
<w:r><w:t xml:space="preserve">indication of the instrument will vary with the latitude and</w:t></w:r>
</w:p>
<w:p>
<w:pPr><w:pStyle w:val="Normal"/></w:pPr>
<w:r><w:t xml:space="preserve">with the height of the instrument above the mean sea-level.</w:t></w:r>
</w:p>
<w:p>
<w:pPr><w:pStyle w:val="Normal"/></w:pPr>
<w:r><w:t xml:space="preserve">Since the difference between the acceleration of gravity</w:t></w:r>
</w:p>
<w:p>
<w:pPr><w:pStyle w:val="Normal"/></w:pPr>
<w:r><w:t xml:space="preserve">at the pole and at the equator is about  1/2%, the correction</w:t></w:r>
</w:p>
<w:p>
<w:pPr><w:pStyle w:val="Normal"/></w:pPr>
<w:r><w:t xml:space="preserve">for latitude will be quite sensible in an instrument which</w:t></w:r>
</w:p>
<w:p>
<w:pPr><w:pStyle w:val="Normal"/></w:pPr>
<w:r><w:t xml:space="preserve">might be used at various times in high and low latitudes.</w:t></w:r>
</w:p>
<w:p>
<w:pPr><w:pStyle w:val="Normal"/></w:pPr>
<w:r><w:t xml:space="preserve">If G is the acceleration of gravity at the equator and g</w:t></w:r>
</w:p>
<w:p>
<w:pPr><w:pStyle w:val="Normal"/></w:pPr>
<w:r><w:t xml:space="preserve">that at any latitude l, then g = G (1 + 0.00513 sin2</w:t></w:r>
</w:p>
<w:p>
<w:pPr><w:pStyle w:val="Normal"/></w:pPr>
<w:r><w:t xml:space="preserve">l).  In the case of an instrument with gravity control, the</w:t></w:r>
</w:p>
<w:p>
<w:pPr><w:pStyle w:val="Normal"/></w:pPr>
<w:r><w:t xml:space="preserve">latitude at which it is calibrated should therefore be stated.</w:t></w:r>
</w:p>
<w:p>
<w:pPr><w:pStyle w:val="Normal"/></w:pPr>
<w:r><w:t xml:space="preserve">FIG. 9.-- Edgewise Switchboard Ammeter, Kelvin &amp; James White Ltd.</w:t></w:r>
</w:p>
<w:p>
<w:pPr><w:pStyle w:val="Normal"/></w:pPr>
<w:r><w:t xml:space="preserve">Switchboard Ammeters.--For switchboard use in electric supply</w:t></w:r>
</w:p>
<w:p>
<w:pPr><w:pStyle w:val="Normal"/></w:pPr>
<w:r><w:t xml:space="preserve">stations where space is valuable, instruments of the type called</w:t></w:r>
</w:p>
<w:p>
<w:pPr><w:pStyle w:val="Normal"/></w:pPr>
<w:r><w:t xml:space="preserve">edgewise ammeters are much employed.  In these the indicating</w:t></w:r>
</w:p>
<w:p>
<w:pPr><w:pStyle w:val="Normal"/></w:pPr>
<w:r><w:t xml:space="preserve">needle moves over a graduated cylindrically shaped scale, and they</w:t></w:r>
</w:p>
<w:p>
<w:pPr><w:pStyle w:val="Normal"/></w:pPr>
<w:r><w:t xml:space="preserve">are for the most part electromagnetic instruments (see fig. 9).</w:t></w:r>
</w:p>
<w:p>
<w:pPr><w:pStyle w:val="Normal"/></w:pPr>
<w:r><w:t xml:space="preserve">BIBLIOGRAPHY.--Lord Kelvin (Sir W. Thomson), ``New</w:t></w:r>
</w:p>
<w:p>
<w:pPr><w:pStyle w:val="Normal"/></w:pPr>
<w:r><w:t xml:space="preserve">Standard and Inspectional Electrical Measuring Instruments,&apos;&apos;</w:t></w:r>
</w:p>
<w:p>
<w:pPr><w:pStyle w:val="Normal"/></w:pPr>
<w:r><w:t xml:space="preserve">Proc.  Soc. Telegraph Engineers, 1888, 17, p. 540; J. A.</w:t></w:r>
</w:p>
<w:p>
<w:pPr><w:pStyle w:val="Normal"/></w:pPr>
<w:r><w:t xml:space="preserve">Fleming, A Handbook for the Electrical Laboratory and</w:t></w:r>
</w:p>
<w:p>
<w:pPr><w:pStyle w:val="Normal"/></w:pPr>
<w:r><w:t xml:space="preserve">Testing Room (2 vols., London, 1901, 1903 ); G. D. Aspinall</w:t></w:r>
</w:p>
<w:p>
<w:pPr><w:pStyle w:val="Normal"/></w:pPr>
<w:r><w:t xml:space="preserve">Parr, Electrical Measuring Instruments (Glasgow, 1903); J.</w:t></w:r>
</w:p>
<w:p>
<w:pPr><w:pStyle w:val="Normal"/></w:pPr>
<w:r><w:t xml:space="preserve">Swinburne, ``Electric Light Measuring instruments,&apos;&apos; Proc.</w:t></w:r>
</w:p>
<w:p>
<w:pPr><w:pStyle w:val="Normal"/></w:pPr>
<w:r><w:t xml:space="preserve">Inst.  Civ. Eng., 1891-1892, 110, pt. 4; K. Edgcumbe and F.</w:t></w:r>
</w:p>
<w:p>
<w:pPr><w:pStyle w:val="Normal"/></w:pPr>
<w:r><w:t xml:space="preserve">Punga, ``Direct Reading Measuring Instruments for Switchboard</w:t></w:r>
</w:p>
<w:p>
<w:pPr><w:pStyle w:val="Normal"/></w:pPr>
<w:r><w:t xml:space="preserve">Use,&apos;&apos; Jour.  Inst.  Elec.  Eng., 1904, 33, p. 620. (J. A. F.)</w:t></w:r>
</w:p>
<w:p>
<w:pPr><w:pStyle w:val="Normal"/></w:pPr>
<w:r><w:t xml:space="preserve">1 See J. A. Fleming, A Handbook for the Electrical</w:t></w:r>
</w:p>
<w:p>
<w:pPr><w:pStyle w:val="Normal"/></w:pPr>
<w:r><w:t xml:space="preserve">Laboratory and Testing Room, vol. i. p. 341 (1901),</w:t></w:r>
</w:p>
<w:p>
<w:pPr><w:pStyle w:val="Normal"/></w:pPr>
<w:r><w:t xml:space="preserve">also A. Gray, Absolute Measurements in Electricity</w:t></w:r>
</w:p>
<w:p>
<w:pPr><w:pStyle w:val="Normal"/></w:pPr>
<w:r><w:t xml:space="preserve">and Magnetism, vol. ii. pt. ii. p. 412 (1893).</w:t></w:r>
</w:p>
<w:p>
<w:pPr><w:pStyle w:val="Normal"/></w:pPr>
<w:r><w:t xml:space="preserve">2 See ``The Electrolysis of Copper Sulphate in Standardizing</w:t></w:r>
</w:p>
<w:p>
<w:pPr><w:pStyle w:val="Normal"/></w:pPr>
<w:r><w:t xml:space="preserve">Electrical Instruments,&apos;&apos; by A. W. Meikle, read before</w:t></w:r>
</w:p>
<w:p>
<w:pPr><w:pStyle w:val="Normal"/></w:pPr>
<w:r><w:t xml:space="preserve">the Physical Society of Glasgow University on the 27th</w:t></w:r>
</w:p>
<w:p>
<w:pPr><w:pStyle w:val="Normal"/></w:pPr>
<w:r><w:t xml:space="preserve">of January 1888, or J. A. Fleming, A Handbook for the</w:t></w:r>
</w:p>
<w:p>
<w:pPr><w:pStyle w:val="Normal"/></w:pPr>
<w:r><w:t xml:space="preserve">Electrical Laboratory and Testing Room, vol. i. p. 343.</w:t></w:r>
</w:p>
<w:p>
<w:pPr><w:pStyle w:val="Normal"/></w:pPr>
<w:r><w:t xml:space="preserve">AMPERSAND (a corruption of the mixed English and Latin</w:t></w:r>
</w:p>
<w:p>
<w:pPr><w:pStyle w:val="Normal"/></w:pPr>
<w:r><w:t xml:space="preserve">phrase, ``and per se and,&apos;&apos; of which there are many dialect</w:t></w:r>
</w:p>
<w:p>
<w:pPr><w:pStyle w:val="Normal"/></w:pPr>
<w:r><w:t xml:space="preserve">forms, as ``ampussyand,&apos;&apos; or ``amperseand&apos;&apos;), the name of</w:t></w:r>
</w:p>
<w:p>
<w:pPr><w:pStyle w:val="Normal"/></w:pPr>
<w:r><w:t xml:space="preserve">the sign &amp; or &amp;, which is a combination of the letters e,</w:t></w:r>
</w:p>
<w:p>
<w:pPr><w:pStyle w:val="Normal"/></w:pPr>
<w:r><w:t xml:space="preserve">t, of the Lat. et= and.  The sign is now usually called</w:t></w:r>
</w:p>
<w:p>
<w:pPr><w:pStyle w:val="Normal"/></w:pPr>
<w:r><w:t xml:space="preserve">``short and.&apos;&apos; In old-fashioned primers and nursery books the</w:t></w:r>
</w:p>
<w:p>
<w:pPr><w:pStyle w:val="Normal"/></w:pPr>
<w:r><w:t xml:space="preserve">name and sign were always added at the end of the alphabet.</w:t></w:r>
</w:p>
<w:p>
<w:pPr><w:pStyle w:val="Normal"/></w:pPr>
<w:r><w:t xml:space="preserve">AMPHIARAUS, in Greek mythology, a celebrated seer and</w:t></w:r>
</w:p>
<w:p>
<w:pPr><w:pStyle w:val="Normal"/></w:pPr>
<w:r><w:t xml:space="preserve">prince of Argos, son of Oicles (or Apollo) and Hypermestra,</w:t></w:r>
</w:p>
<w:p>
<w:pPr><w:pStyle w:val="Normal"/></w:pPr>
<w:r><w:t xml:space="preserve">and through his father descended from the prophet Melampus</w:t></w:r>
</w:p>
<w:p>
<w:pPr><w:pStyle w:val="Normal"/></w:pPr>
<w:r><w:t xml:space="preserve">(Odyssey, xv. 244).  He took part in the voyage of the</w:t></w:r>
</w:p>
<w:p>
<w:pPr><w:pStyle w:val="Normal"/></w:pPr>
<w:r><w:t xml:space="preserve">Argonauts and in the chase of the Calydonian boar; but his</w:t></w:r>
</w:p>
<w:p>
<w:pPr><w:pStyle w:val="Normal"/></w:pPr>
<w:r><w:t xml:space="preserve">chief fame is in connexion with the expedition of the Seven</w:t></w:r>
</w:p>
<w:p>
<w:pPr><w:pStyle w:val="Normal"/></w:pPr>
<w:r><w:t xml:space="preserve">against Thebes, organized by Adrastus, the brother of his</w:t></w:r>
</w:p>
<w:p>
<w:pPr><w:pStyle w:val="Normal"/></w:pPr>
<w:r><w:t xml:space="preserve">wife Eriphyle, for the purpose of restoring Polyneices to the</w:t></w:r>
</w:p>
<w:p>
<w:pPr><w:pStyle w:val="Normal"/></w:pPr>
<w:r><w:t xml:space="preserve">throne.  Amphiaraus, foreseeing the disastrous issue of the</w:t></w:r>
</w:p>
<w:p>
<w:pPr><w:pStyle w:val="Normal"/></w:pPr>
<w:r><w:t xml:space="preserve">war, at first refused to share in it; he had, however, promised</w:t></w:r>
</w:p>
<w:p>
<w:pPr><w:pStyle w:val="Normal"/></w:pPr>
<w:r><w:t xml:space="preserve">Eriphyle when he married her that, in the event of any dispute</w:t></w:r>
</w:p>
<w:p>
<w:pPr><w:pStyle w:val="Normal"/></w:pPr>
<w:r><w:t xml:space="preserve">arising between her brother and himself, she should decide</w:t></w:r>
</w:p>
<w:p>
<w:pPr><w:pStyle w:val="Normal"/></w:pPr>
<w:r><w:t xml:space="preserve">between them; and now Eriphyle, bribed by Polyneices with the</w:t></w:r>
</w:p>
<w:p>
<w:pPr><w:pStyle w:val="Normal"/></w:pPr>
<w:r><w:t xml:space="preserve">fatal necklace given by Cadmus to Harmonia, persuaded him against</w:t></w:r>
</w:p>
<w:p>
<w:pPr><w:pStyle w:val="Normal"/></w:pPr>
<w:r><w:t xml:space="preserve">his better judgment to set out on the expedition.  Knowing his</w:t></w:r>
</w:p>
<w:p>
<w:pPr><w:pStyle w:val="Normal"/></w:pPr>
<w:r><w:t xml:space="preserve">doom, he bade his sons, Alcmaeon and Amphilochus, avenge his</w:t></w:r>
</w:p>
<w:p>
<w:pPr><w:pStyle w:val="Normal"/></w:pPr>
<w:r><w:t xml:space="preserve">death upon their mother, upon whom, as he stepped into his</w:t></w:r>
</w:p>
<w:p>
<w:pPr><w:pStyle w:val="Normal"/></w:pPr>
<w:r><w:t xml:space="preserve">chariot, he turned a look of anger.  This scene was represented</w:t></w:r>
</w:p>
<w:p>
<w:pPr><w:pStyle w:val="Normal"/></w:pPr>
<w:r><w:t xml:space="preserve">upon the chest of Cypselus described by Pausanias (v. 17).</w:t></w:r>
</w:p>
<w:p>
<w:pPr><w:pStyle w:val="Normal"/></w:pPr>
<w:r><w:t xml:space="preserve">The assault on Thebes was disastrous for the Seven; and</w:t></w:r>
</w:p>
<w:p>
<w:pPr><w:pStyle w:val="Normal"/></w:pPr>
<w:r><w:t xml:space="preserve">Amphiaraus, pursued by Periclymenus, would have been slain</w:t></w:r>
</w:p>
<w:p>
<w:pPr><w:pStyle w:val="Normal"/></w:pPr>
<w:r><w:t xml:space="preserve">with his spear, had not Zeus with a thunderbolt opened a chasm</w:t></w:r>
</w:p>
<w:p>
<w:pPr><w:pStyle w:val="Normal"/></w:pPr>
<w:r><w:t xml:space="preserve">into which the seer, with his chariot, horses and charioteer,</w:t></w:r>
</w:p>
<w:p>
<w:pPr><w:pStyle w:val="Normal"/></w:pPr>
<w:r><w:t xml:space="preserve">disappeared.  Henceforth he was numbered with the immortals and</w:t></w:r>
</w:p>
<w:p>
<w:pPr><w:pStyle w:val="Normal"/></w:pPr>
<w:r><w:t xml:space="preserve">worshipped as a god.  Near Oropus, on the supposed site of his</w:t></w:r>
</w:p>
<w:p>
<w:pPr><w:pStyle w:val="Normal"/></w:pPr>
<w:r><w:t xml:space="preserve">passing, his sanctuary arose, with healing springs, and an</w:t></w:r>
</w:p>
<w:p>
<w:pPr><w:pStyle w:val="Normal"/></w:pPr>
<w:r><w:t xml:space="preserve">oracle famous for its interpretation of dreams (Pausanias i.</w:t></w:r>
</w:p>
<w:p>
<w:pPr><w:pStyle w:val="Normal"/></w:pPr>
<w:r><w:t xml:space="preserve">34). The ruins of this temple, with inscriptions which identify</w:t></w:r>
</w:p>
<w:p>
<w:pPr><w:pStyle w:val="Normal"/></w:pPr>
<w:r><w:t xml:space="preserve">it, have been discovered and preserved at Mavrodilisi, in the</w:t></w:r>
</w:p>
<w:p>
<w:pPr><w:pStyle w:val="Normal"/></w:pPr>
<w:r><w:t xml:space="preserve">provinces of Boeotia and Attica.  There was another temple</w:t></w:r>
</w:p>
<w:p>
<w:pPr><w:pStyle w:val="Normal"/></w:pPr>
<w:r><w:t xml:space="preserve">dedicated to him on the road from Thebes to Potniae, and here</w:t></w:r>
</w:p>
<w:p>
<w:pPr><w:pStyle w:val="Normal"/></w:pPr>
<w:r><w:t xml:space="preserve">was the oracle of Amphiaraus consulted by Croesus and Mardonius.</w:t></w:r>
</w:p>
<w:p>
<w:pPr><w:pStyle w:val="Normal"/></w:pPr>
<w:r><w:t xml:space="preserve">Homer, Odyssey, xi. 326; Herodotus viii. 134; Pindar,</w:t></w:r>
</w:p>
<w:p>
<w:pPr><w:pStyle w:val="Normal"/></w:pPr>
<w:r><w:t xml:space="preserve">Olympia, vi., Nemea, ix.; Apollodorus iii. 6.</w:t></w:r>
</w:p>
<w:p>
<w:pPr><w:pStyle w:val="Normal"/></w:pPr>
<w:r><w:t xml:space="preserve">AMPHIBIA, a zoological term originally employed by Linnaeus</w:t></w:r>
</w:p>
<w:p>
<w:pPr><w:pStyle w:val="Normal"/></w:pPr>
<w:r><w:t xml:space="preserve">to denote a class of the Animal Kingdom comprising crocodiles,</w:t></w:r>
</w:p>
<w:p>
<w:pPr><w:pStyle w:val="Normal"/></w:pPr>
<w:r><w:t xml:space="preserve">lizards and salamanders, snakes and Caeciliae, tortoises</w:t></w:r>
</w:p>
<w:p>
<w:pPr><w:pStyle w:val="Normal"/></w:pPr>
<w:r><w:t xml:space="preserve">and turtles and frogs; to which, in the later editions of</w:t></w:r>
</w:p>
<w:p>
<w:pPr><w:pStyle w:val="Normal"/></w:pPr>
<w:r><w:t xml:space="preserve">the Systema Naturae he added some groups of fishes.  In</w:t></w:r>
</w:p>
<w:p>
<w:pPr><w:pStyle w:val="Normal"/></w:pPr>
<w:r><w:t xml:space="preserve">the Tableau Elementaire, published in 1795, Cuvier adopts</w:t></w:r>
</w:p>
<w:p>
<w:pPr><w:pStyle w:val="Normal"/></w:pPr>
<w:r><w:t xml:space="preserve">Linnaeus&apos;s term in its earlier sense, but uses the French</w:t></w:r>
</w:p>
<w:p>
<w:pPr><w:pStyle w:val="Normal"/></w:pPr>
<w:r><w:t xml:space="preserve">word ``Reptiles,&apos;&apos; already brought into use by Brisson, as</w:t></w:r>
</w:p>
<w:p>
<w:pPr><w:pStyle w:val="Normal"/></w:pPr>
<w:r><w:t xml:space="preserve">the equivalent of Amphibia. In addition Cuvier accepts the</w:t></w:r>
</w:p>
<w:p>
<w:pPr><w:pStyle w:val="Normal"/></w:pPr>
<w:r><w:t xml:space="preserve">Linnaean subdivisions of Amphibia-Reptilia for the tortoises,</w:t></w:r>
</w:p>
<w:p>
<w:pPr><w:pStyle w:val="Normal"/></w:pPr>
<w:r><w:t xml:space="preserve">lizards (including crocodiles), salamanders and frogs; and</w:t></w:r>
</w:p>
<w:p>
<w:pPr><w:pStyle w:val="Normal"/></w:pPr>
<w:r><w:t xml:space="preserve">Amphibia-Serpentes for the snakes, apodal lizards and Caeciliae.</w:t></w:r>
</w:p>
<w:p>
<w:pPr><w:pStyle w:val="Normal"/></w:pPr>
<w:r><w:t xml:space="preserve">In 17991 Alexandre Brongniart pointed out the wide differences</w:t></w:r>
</w:p>
<w:p>
<w:pPr><w:pStyle w:val="Normal"/></w:pPr>
<w:r><w:t xml:space="preserve">which separate the frogs and salamanders (which he terms</w:t></w:r>
</w:p>
<w:p>
<w:pPr><w:pStyle w:val="Normal"/></w:pPr>
<w:r><w:t xml:space="preserve">Batrachia) from the other reptiles; and in 1804 P. A.</w:t></w:r>
</w:p>
<w:p>
<w:pPr><w:pStyle w:val="Normal"/></w:pPr>
<w:r><w:t xml:space="preserve">Latreille,2 rightly estimating the value of these differences,</w:t></w:r>
</w:p>
<w:p>
<w:pPr><w:pStyle w:val="Normal"/></w:pPr>
<w:r><w:t xml:space="preserve">though he was not an original worker in the field of vertebrate</w:t></w:r>
</w:p>
<w:p>
<w:pPr><w:pStyle w:val="Normal"/></w:pPr>
<w:r><w:t xml:space="preserve">zoology, proposed to separate Brongniart&apos;s Batrachia from</w:t></w:r>
</w:p>
<w:p>
<w:pPr><w:pStyle w:val="Normal"/></w:pPr>
<w:r><w:t xml:space="preserve">the class of Reptilia proper, as a group of equal value,</w:t></w:r>
</w:p>
<w:p>
<w:pPr><w:pStyle w:val="Normal"/></w:pPr>
<w:r><w:t xml:space="preserve">for which he retained the Linnaean name of Amphibia.</w:t></w:r>
</w:p>
<w:p>
<w:pPr><w:pStyle w:val="Normal"/></w:pPr>
<w:r><w:t xml:space="preserve">Cuvier went no further than Brongniart, and, in the Regne</w:t></w:r>
</w:p>
<w:p>
<w:pPr><w:pStyle w:val="Normal"/></w:pPr>
<w:r><w:t xml:space="preserve">Animal, he dropped the term Amphibia, and substituted</w:t></w:r>
</w:p>
<w:p>
<w:pPr><w:pStyle w:val="Normal"/></w:pPr>
<w:r><w:t xml:space="preserve">Reptilia for it.  J. F. Meckel,3 on the other hand, while</w:t></w:r>
</w:p>
<w:p>
<w:pPr><w:pStyle w:val="Normal"/></w:pPr>
<w:r><w:t xml:space="preserve">equally accepting Brongniart&apos;s classification, retained the term</w:t></w:r>
</w:p>
<w:p>
<w:pPr><w:pStyle w:val="Normal"/></w:pPr>
<w:r><w:t xml:space="preserve">Amphibia in its earlier Linnaean sense; and his example has</w:t></w:r>
</w:p>
<w:p>
<w:pPr><w:pStyle w:val="Normal"/></w:pPr>
<w:r><w:t xml:space="preserve">been generally followed by German writers, as, for instance,</w:t></w:r>
</w:p>
<w:p>
<w:pPr><w:pStyle w:val="Normal"/></w:pPr>
<w:r><w:t xml:space="preserve">by H. Stannius, in that remarkable monument of accurate and</w:t></w:r>
</w:p>
<w:p>
<w:pPr><w:pStyle w:val="Normal"/></w:pPr>
<w:r><w:t xml:space="preserve">extensive research, the Handbuch der Zootomie (2nd ed., 1856).</w:t></w:r>
</w:p>
<w:p>
<w:pPr><w:pStyle w:val="Normal"/></w:pPr>
<w:r><w:t xml:space="preserve">In 1816, de Blainville,4 adopting Latreille&apos;s view, divided the</w:t></w:r>
</w:p>
<w:p>
<w:pPr><w:pStyle w:val="Normal"/></w:pPr>
<w:r><w:t xml:space="preserve">Linnaean Amphibia into Squamiferes and Nudipelliferes,</w:t></w:r>
</w:p>
<w:p>
<w:pPr><w:pStyle w:val="Normal"/></w:pPr>
<w:r><w:t xml:space="preserve">or Amphibiens; though he offered an alternative arrangement,</w:t></w:r>
</w:p>
<w:p>
<w:pPr><w:pStyle w:val="Normal"/></w:pPr>
<w:r><w:t xml:space="preserve">in which the class Reptiles is preserved and divided into</w:t></w:r>
</w:p>
<w:p>
<w:pPr><w:pStyle w:val="Normal"/></w:pPr>
<w:r><w:t xml:space="preserve">two subclasses, the Ornithoides and the Ichthyoides. The</w:t></w:r>
</w:p>
<w:p>
<w:pPr><w:pStyle w:val="Normal"/></w:pPr>
<w:r><w:t xml:space="preserve">latter are Brongniart&apos;s Batrachia, plus the Caeciliae,</w:t></w:r>
</w:p>
<w:p>
<w:pPr><w:pStyle w:val="Normal"/></w:pPr>
<w:r><w:t xml:space="preserve">whose true affinities had, in the meanwhile, been shown</w:t></w:r>
</w:p>
<w:p>
<w:pPr><w:pStyle w:val="Normal"/></w:pPr>
<w:r><w:t xml:space="preserve">by A. M. C. Dumeril; and, in this arrangement, the name</w:t></w:r>
</w:p>
<w:p>
<w:pPr><w:pStyle w:val="Normal"/></w:pPr>
<w:r><w:t xml:space="preserve">Amphibiens is restricted to Proteus and Siren.</w:t></w:r>
</w:p>
<w:p>
<w:pPr><w:pStyle w:val="Normal"/></w:pPr>
<w:r><w:t xml:space="preserve">B. Merrem&apos;s Pholidota and Batrachia (1820), F. S. Leuckart&apos;s</w:t></w:r>
</w:p>
<w:p>
<w:pPr><w:pStyle w:val="Normal"/></w:pPr>
<w:r><w:t xml:space="preserve">Monopnoa and Dipnoa (1821), J. Muller&apos;s Squamata and Nuda</w:t></w:r>
</w:p>
<w:p>
<w:pPr><w:pStyle w:val="Normal"/></w:pPr>
<w:r><w:t xml:space="preserve">(1832), are merely new names for de Blainville&apos;s Ornithoides</w:t></w:r>
</w:p>
<w:p>
<w:pPr><w:pStyle w:val="Normal"/></w:pPr>
<w:r><w:t xml:space="preserve">and Ichthyoides, though Muller gave far better anatomical</w:t></w:r>
</w:p>
<w:p>
<w:pPr><w:pStyle w:val="Normal"/></w:pPr>
<w:r><w:t xml:space="preserve">characters of the two groups than had previously been put forward.</w:t></w:r>
</w:p>
<w:p>
<w:pPr><w:pStyle w:val="Normal"/></w:pPr>
<w:r><w:t xml:space="preserve">Moreover, following the indications already given by K. E.</w:t></w:r>
</w:p>
<w:p>
<w:pPr><w:pStyle w:val="Normal"/></w:pPr>
<w:r><w:t xml:space="preserve">von Baer in 1828,5 Muller calls the attention of naturalists</w:t></w:r>
</w:p>
<w:p>
<w:pPr><w:pStyle w:val="Normal"/></w:pPr>
<w:r><w:t xml:space="preserve">to the important fact, that while all the Squamata possess</w:t></w:r>
</w:p>
<w:p>
<w:pPr><w:pStyle w:val="Normal"/></w:pPr>
<w:r><w:t xml:space="preserve">an amnion and an allantois, these structures are absent in</w:t></w:r>
</w:p>
<w:p>
<w:pPr><w:pStyle w:val="Normal"/></w:pPr>
<w:r><w:t xml:space="preserve">the embryos of all the Nuda. An appeal made by Muller</w:t></w:r>
</w:p>
<w:p>
<w:pPr><w:pStyle w:val="Normal"/></w:pPr>
<w:r><w:t xml:space="preserve">for observations on the development of the Caeciliae,</w:t></w:r>
</w:p>
<w:p>
<w:pPr><w:pStyle w:val="Normal"/></w:pPr>
<w:r><w:t xml:space="preserve">and of those Amphibia which retain gills or gill-clefts</w:t></w:r>
</w:p>
<w:p>
<w:pPr><w:pStyle w:val="Normal"/></w:pPr>
<w:r><w:t xml:space="preserve">throughout life, has unfortunately yielded no fruits.</w:t></w:r>
</w:p>
<w:p>
<w:pPr><w:pStyle w:val="Normal"/></w:pPr>
<w:r><w:t xml:space="preserve">In 1825 P. A. Latreille6 published a new classification of the</w:t></w:r>
</w:p>
<w:p>
<w:pPr><w:pStyle w:val="Normal"/></w:pPr>
<w:r><w:t xml:space="preserve">Vertebrata, which are primarily divided into Haematherma.</w:t></w:r>
</w:p>
<w:p>
<w:pPr><w:pStyle w:val="Normal"/></w:pPr>
<w:r><w:t xml:space="preserve">containing the three classes of Mammifera, Monotremata and</w:t></w:r>
</w:p>
<w:p>
<w:pPr><w:pStyle w:val="Normal"/></w:pPr>
<w:r><w:t xml:space="preserve">Aves; and Haemacryma, also containing three classes--</w:t></w:r>
</w:p>
<w:p>
<w:pPr><w:pStyle w:val="Normal"/></w:pPr>
<w:r><w:t xml:space="preserve">Reptilia, Amphibia and Pisces. This division of the</w:t></w:r>
</w:p>
<w:p>
<w:pPr><w:pStyle w:val="Normal"/></w:pPr>
<w:r><w:t xml:space="preserve">Vertebrata into hot and cold blooded is a curiously retrograde</w:t></w:r>
</w:p>
<w:p>
<w:pPr><w:pStyle w:val="Normal"/></w:pPr>
<w:r><w:t xml:space="preserve">step, only intelligible when we reflect that the excellent</w:t></w:r>
</w:p>
<w:p>
<w:pPr><w:pStyle w:val="Normal"/></w:pPr>
<w:r><w:t xml:space="preserve">entomologist had no real comprehension of vertebrate morphology;</w:t></w:r>
</w:p>
<w:p>
<w:pPr><w:pStyle w:val="Normal"/></w:pPr>
<w:r><w:t xml:space="preserve">but he makes some atonement for the blunder by steadily</w:t></w:r>
</w:p>
<w:p>
<w:pPr><w:pStyle w:val="Normal"/></w:pPr>
<w:r><w:t xml:space="preserve">upholding the class distinctness of the Amphibia. In this</w:t></w:r>
</w:p>
<w:p>
<w:pPr><w:pStyle w:val="Normal"/></w:pPr>
<w:r><w:t xml:space="preserve">he was followed by Dr J. E. Gray; but Dumeril and Bibron in</w:t></w:r>
</w:p>
<w:p>
<w:pPr><w:pStyle w:val="Normal"/></w:pPr>
<w:r><w:t xml:space="preserve">their great work,7 and Dr Gunther in his Catalogue, in</w:t></w:r>
</w:p>
<w:p>
<w:pPr><w:pStyle w:val="Normal"/></w:pPr>
<w:r><w:t xml:space="preserve">substance, adopted Brongniart&apos;s arrangement, the Batrachia</w:t></w:r>
</w:p>
<w:p>
<w:pPr><w:pStyle w:val="Normal"/></w:pPr>
<w:r><w:t xml:space="preserve">being simply one of the four orders of the class Reptilia.</w:t></w:r>
</w:p>
<w:p>
<w:pPr><w:pStyle w:val="Normal"/></w:pPr>
<w:r><w:t xml:space="preserve">Huxley adopted Latreille&apos;s view of the distinctness of the</w:t></w:r>
</w:p>
<w:p>
<w:pPr><w:pStyle w:val="Normal"/></w:pPr>
<w:r><w:t xml:space="preserve">Amphibia, as a class of the Vertebrata, co-ordinate with</w:t></w:r>
</w:p>
<w:p>
<w:pPr><w:pStyle w:val="Normal"/></w:pPr>
<w:r><w:t xml:space="preserve">the Mammalia, Aves, Reptilia and Pisces; and the same</w:t></w:r>
</w:p>
<w:p>
<w:pPr><w:pStyle w:val="Normal"/></w:pPr>
<w:r><w:t xml:space="preserve">arrangement was accepted by Gegenbaur and Haeckel.  In the</w:t></w:r>
</w:p>
<w:p>
<w:pPr><w:pStyle w:val="Normal"/></w:pPr>
<w:r><w:t xml:space="preserve">Hunterian lectures delivered at the Royal College of Surgeons in</w:t></w:r>
</w:p>
<w:p>
<w:pPr><w:pStyle w:val="Normal"/></w:pPr>
<w:r><w:t xml:space="preserve">1863, Huxley divided the Vertebrata into Mammals, Sauroids and</w:t></w:r>
</w:p>
<w:p>
<w:pPr><w:pStyle w:val="Normal"/></w:pPr>
<w:r><w:t xml:space="preserve">Ichthyoids, the latter division containing the Amphibia and</w:t></w:r>
</w:p>
<w:p>
<w:pPr><w:pStyle w:val="Normal"/></w:pPr>
<w:r><w:t xml:space="preserve">Pisces. Subsequently he proposed the names of Sauropsida</w:t></w:r>
</w:p>
<w:p>
<w:pPr><w:pStyle w:val="Normal"/></w:pPr>
<w:r><w:t xml:space="preserve">and Ichthyopsida for the Sauroids and Ichthyoids respectively.</w:t></w:r>
</w:p>
<w:p>
<w:pPr><w:pStyle w:val="Normal"/></w:pPr>
<w:r><w:t xml:space="preserve">Sir Richard Owen, in his work on The Anatomy of Vertebrates,</w:t></w:r>
</w:p>
<w:p>
<w:pPr><w:pStyle w:val="Normal"/></w:pPr>
<w:r><w:t xml:space="preserve">followed Latreille in dividing the Vertebrata into Haematotherma</w:t></w:r>
</w:p>
<w:p>
<w:pPr><w:pStyle w:val="Normal"/></w:pPr>
<w:r><w:t xml:space="preserve">and Haematocrya, and adopted Leuckart&apos;s term of Dipnoa</w:t></w:r>
</w:p>
<w:p>
<w:pPr><w:pStyle w:val="Normal"/></w:pPr>
<w:r><w:t xml:space="preserve">for the Amphibia. T. H. Huxley, in the ninth edition of this</w:t></w:r>
</w:p>
<w:p>
<w:pPr><w:pStyle w:val="Normal"/></w:pPr>
<w:r><w:t xml:space="preserve">Encyclopaedia, treated of Brongniart&apos;s Batrachia, under</w:t></w:r>
</w:p>
<w:p>
<w:pPr><w:pStyle w:val="Normal"/></w:pPr>
<w:r><w:t xml:space="preserve">the designation Amphibia, but this use of the word has not been</w:t></w:r>
</w:p>
<w:p>
<w:pPr><w:pStyle w:val="Normal"/></w:pPr>
<w:r><w:t xml:space="preserve">generally accepted. (See BATRACHIA.) (T. H. H.; P. C. M.)</w:t></w:r>
</w:p>
<w:p>
<w:pPr><w:pStyle w:val="Normal"/></w:pPr>
<w:r><w:t xml:space="preserve">1 Brongniart&apos;s Essai d&apos;une classification naturelle des reptiles</w:t></w:r>
</w:p>
<w:p>
<w:pPr><w:pStyle w:val="Normal"/></w:pPr>
<w:r><w:t xml:space="preserve">was not published in full till 1803.  It appears in the volume of</w:t></w:r>
</w:p>
<w:p>
<w:pPr><w:pStyle w:val="Normal"/></w:pPr>
<w:r><w:t xml:space="preserve">the Memoires presentes a l&apos;Institut par divers savans for 1805.</w:t></w:r>
</w:p>
<w:p>
<w:pPr><w:pStyle w:val="Normal"/></w:pPr>
<w:r><w:t xml:space="preserve">2 Nouveau dictionnaire d&apos;histoire naturelle, xxiv., cited</w:t></w:r>
</w:p>
<w:p>
<w:pPr><w:pStyle w:val="Normal"/></w:pPr>
<w:r><w:t xml:space="preserve">in Latreille&apos;s Fannilles naturelles du regne animal.&apos;&apos;</w:t></w:r>
</w:p>
<w:p>
<w:pPr><w:pStyle w:val="Normal"/></w:pPr>
<w:r><w:t xml:space="preserve">3 System der vergleichenden Anatomie (1821).</w:t></w:r>
</w:p>
<w:p>
<w:pPr><w:pStyle w:val="Normal"/></w:pPr>
<w:r><w:t xml:space="preserve">4 ``Prodrome d&apos;une Nouvelle Distribution du regne Animal.&apos;&apos; Bulletin</w:t></w:r>
</w:p>
<w:p>
<w:pPr><w:pStyle w:val="Normal"/></w:pPr>
<w:r><w:t xml:space="preserve">des sciences par la Societe Philomatique de Paris (1816), p. 113.</w:t></w:r>
</w:p>
<w:p>
<w:pPr><w:pStyle w:val="Normal"/></w:pPr>
<w:r><w:t xml:space="preserve">5 Entwickelungs-Geschichte der Thiere, p. 262</w:t></w:r>
</w:p>
<w:p>
<w:pPr><w:pStyle w:val="Normal"/></w:pPr>
<w:r><w:t xml:space="preserve">6 Familles naturelles du regne animal.</w:t></w:r>
</w:p>
<w:p>
<w:pPr><w:pStyle w:val="Normal"/></w:pPr>
<w:r><w:t xml:space="preserve">7 Erpetologie generale, ou histoire</w:t></w:r>
</w:p>
<w:p>
<w:pPr><w:pStyle w:val="Normal"/></w:pPr>
<w:r><w:t xml:space="preserve">naturelle complete des reptiles (1836).</w:t></w:r>
</w:p>
<w:p>
<w:pPr><w:pStyle w:val="Normal"/></w:pPr>
<w:r><w:t xml:space="preserve">AMPHIBOLE, an important group of rock-forming minerals, very</w:t></w:r>
</w:p>
<w:p>
<w:pPr><w:pStyle w:val="Normal"/></w:pPr>
<w:r><w:t xml:space="preserve">similar in chemical composition and general characters to the</w:t></w:r>
</w:p>
<w:p>
<w:pPr><w:pStyle w:val="Normal"/></w:pPr>
<w:r><w:t xml:space="preserve">pyroxenes, and like them falling into three series according to</w:t></w:r>
</w:p>
<w:p>
<w:pPr><w:pStyle w:val="Normal"/></w:pPr>
<w:r><w:t xml:space="preserve">the system of crystallization.  They differ from the pyroxenes,</w:t></w:r>
</w:p>
<w:p>
<w:pPr><w:pStyle w:val="Normal"/></w:pPr>
<w:r><w:t xml:space="preserve">however, in having an angle between the prismatic cleavage of</w:t></w:r>
</w:p>
<w:p>
<w:pPr><w:pStyle w:val="Normal"/></w:pPr>
<w:r><w:t xml:space="preserve">56 deg.  instead of 87 deg. ; they are specifically lighter than the</w:t></w:r>
</w:p>
<w:p>
<w:pPr><w:pStyle w:val="Normal"/></w:pPr>
<w:r><w:t xml:space="preserve">corresponding pyroxenes; and, in their optical characters,</w:t></w:r>
</w:p>
<w:p>
<w:pPr><w:pStyle w:val="Normal"/></w:pPr>
<w:r><w:t xml:space="preserve">they are distinguished by their stronger pleochroism and</w:t></w:r>
</w:p>
<w:p>
<w:pPr><w:pStyle w:val="Normal"/></w:pPr>
<w:r><w:t xml:space="preserve">by the wider angle of extinction on the plane of symmetry.</w:t></w:r>
</w:p>
<w:p>
<w:pPr><w:pStyle w:val="Normal"/></w:pPr>
<w:r><w:t xml:space="preserve">They are minerals of either original or secondary origin;</w:t></w:r>
</w:p>
<w:p>
<w:pPr><w:pStyle w:val="Normal"/></w:pPr>
<w:r><w:t xml:space="preserve">in the former case occurring as constituents (hornblende) of</w:t></w:r>
</w:p>
<w:p>
<w:pPr><w:pStyle w:val="Normal"/></w:pPr>
<w:r><w:t xml:space="preserve">igneous rocks, such as granite, diorite, andesite, &amp;c. Those</w:t></w:r>
</w:p>
<w:p>
<w:pPr><w:pStyle w:val="Normal"/></w:pPr>
<w:r><w:t xml:space="preserve">of secondary origin have either been developed (tremolite)</w:t></w:r>
</w:p>
<w:p>
<w:pPr><w:pStyle w:val="Normal"/></w:pPr>
<w:r><w:t xml:space="preserve">in limestones by contact-metamorphism, or have resulted</w:t></w:r>
</w:p>
<w:p>
<w:pPr><w:pStyle w:val="Normal"/></w:pPr>
<w:r><w:t xml:space="preserve">(actinolite) by the alteration of augite by dynamo-metamorphism.</w:t></w:r>
</w:p>
<w:p>
<w:pPr><w:pStyle w:val="Normal"/></w:pPr>
<w:r><w:t xml:space="preserve">Pseudomorphs of amphibole after pyroxene are known as uralite.</w:t></w:r>
</w:p>
<w:p>
<w:pPr><w:pStyle w:val="Normal"/></w:pPr>
<w:r><w:t xml:space="preserve">The name amphibole (from the Gr. amfibolos, ambiguous)</w:t></w:r>
</w:p>
<w:p>
<w:pPr><w:pStyle w:val="Normal"/></w:pPr>
<w:r><w:t xml:space="preserve">was used by R. J. Hauy to include tremolite, actinolite</w:t></w:r>
</w:p>
<w:p>
<w:pPr><w:pStyle w:val="Normal"/></w:pPr>
<w:r><w:t xml:space="preserve">and hornblende; this term has since been applied to the</w:t></w:r>
</w:p>
<w:p>
<w:pPr><w:pStyle w:val="Normal"/></w:pPr>
<w:r><w:t xml:space="preserve">whole group.  Numerous sub-species and varieties are</w:t></w:r>
</w:p>
<w:p>
<w:pPr><w:pStyle w:val="Normal"/></w:pPr>
<w:r><w:t xml:space="preserve">distinguished, the more important of which are tabulated</w:t></w:r>
</w:p>
<w:p>
<w:pPr><w:pStyle w:val="Normal"/></w:pPr>
<w:r><w:t xml:space="preserve">below in three series.  The formulae of each will be seen</w:t></w:r>
</w:p>
<w:p>
<w:pPr><w:pStyle w:val="Normal"/></w:pPr>
<w:r><w:t xml:space="preserve">to conform to the general metasilicate formula R&apos;&apos;SiO3.</w:t></w:r>
</w:p>
<w:p>
<w:pPr><w:pStyle w:val="Normal"/></w:pPr>
<w:r><w:t xml:space="preserve">ORTHORHOMBIC SERIES.</w:t></w:r>
</w:p>
<w:p>
<w:pPr><w:pStyle w:val="Normal"/></w:pPr>
<w:r><w:t xml:space="preserve">Anthophyllite . . (Mg,Fe)SiO3.</w:t></w:r>
</w:p>
<w:p>
<w:pPr><w:pStyle w:val="Normal"/></w:pPr>
<w:r><w:t xml:space="preserve">MONOCLINIC SERIES.</w:t></w:r>
</w:p>
<w:p>
<w:pPr><w:pStyle w:val="Normal"/></w:pPr>
<w:r><w:t xml:space="preserve">Tremolite . . CaMg3(SiO3)4.</w:t></w:r>
</w:p>
<w:p>
<w:pPr><w:pStyle w:val="Normal"/></w:pPr>
<w:r><w:t xml:space="preserve">Actinolire . . Ca(Mg,Fe)3(SiO3)4.</w:t></w:r>
</w:p>
<w:p>
<w:pPr><w:pStyle w:val="Normal"/></w:pPr>
<w:r><w:t xml:space="preserve">Cummingtonite . (Fe,Mg)SiO3.</w:t></w:r>
</w:p>
<w:p>
<w:pPr><w:pStyle w:val="Normal"/></w:pPr>
<w:r><w:t xml:space="preserve">Richterite . . (K2,Na2,Mg,Ca,Mn)SiO3.</w:t></w:r>
</w:p>
<w:p>
<w:pPr><w:pStyle w:val="Normal"/></w:pPr>
<w:r><w:t xml:space="preserve">Hornblende . . {Ca(Mg,Fe)3(SiO3)4 with</w:t></w:r>
</w:p>
<w:p>
<w:pPr><w:pStyle w:val="Normal"/></w:pPr>
<w:r><w:t xml:space="preserve">{NaAl(SiO3)2 and (Mg,Fe) (Al,Fe)2SiO6.</w:t></w:r>
</w:p>
<w:p>
<w:pPr><w:pStyle w:val="Normal"/></w:pPr>
<w:r><w:t xml:space="preserve">MONOCLINIC SERIES--continued.</w:t></w:r>
</w:p>
<w:p>
<w:pPr><w:pStyle w:val="Normal"/></w:pPr>
<w:r><w:t xml:space="preserve">Glaucophane . . NaAl(SiO3)2.(Fe,Mg)SiO3.</w:t></w:r>
</w:p>
<w:p>
<w:pPr><w:pStyle w:val="Normal"/></w:pPr>
<w:r><w:t xml:space="preserve">Crocidolite . . NaFe(SiO3)2.FeSiO3.</w:t></w:r>
</w:p>
<w:p>
<w:pPr><w:pStyle w:val="Normal"/></w:pPr>
<w:r><w:t xml:space="preserve">Riebeckite . . 2NaFe(SiO3)2.FeSiO3.</w:t></w:r>
</w:p>
<w:p>
<w:pPr><w:pStyle w:val="Normal"/></w:pPr>
<w:r><w:t xml:space="preserve">Arfvedsonite . . Na8(Ca,Mg)3(Fe,Mn)14(Al,Fe)2 Si21O45.</w:t></w:r>
</w:p>
<w:p>
<w:pPr><w:pStyle w:val="Normal"/></w:pPr>
<w:r><w:t xml:space="preserve">ANORTHIC SERIES.</w:t></w:r>
</w:p>
<w:p>
<w:pPr><w:pStyle w:val="Normal"/></w:pPr>
<w:r><w:t xml:space="preserve">Aenigmatite . . Na4Fe&apos;&apos;9Al Fe&apos;&apos; &apos;(Si,Ti)12O38.</w:t></w:r>
</w:p>
<w:p>
<w:pPr><w:pStyle w:val="Normal"/></w:pPr>
<w:r><w:t xml:space="preserve">Of these, tremolite, hornblende and crocidolite, as well as the</w:t></w:r>
</w:p>
<w:p>
<w:pPr><w:pStyle w:val="Normal"/></w:pPr>
<w:r><w:t xml:space="preserve">important varieties, asbestos and jade, are treated under their own</w:t></w:r>
</w:p>
<w:p>
<w:pPr><w:pStyle w:val="Normal"/></w:pPr>
<w:r><w:t xml:space="preserve">headings.  Brief mention only need be here made of some of the</w:t></w:r>
</w:p>
<w:p>
<w:pPr><w:pStyle w:val="Normal"/></w:pPr>
<w:r><w:t xml:space="preserve">others.  Naturally, on account of the wide variations in</w:t></w:r>
</w:p>
<w:p>
<w:pPr><w:pStyle w:val="Normal"/></w:pPr>
<w:r><w:t xml:space="preserve">chemical composition, the different members vary considerably</w:t></w:r>
</w:p>
<w:p>
<w:pPr><w:pStyle w:val="Normal"/></w:pPr>
<w:r><w:t xml:space="preserve">in characters and general appearance; the specific gravity, for</w:t></w:r>
</w:p>
<w:p>
<w:pPr><w:pStyle w:val="Normal"/></w:pPr>
<w:r><w:t xml:space="preserve">example, varies from 2.9 in tremolite to 3.8 in aenigmatite.</w:t></w:r>
</w:p>
<w:p>
<w:pPr><w:pStyle w:val="Normal"/></w:pPr>
<w:r><w:t xml:space="preserve">Anthophyllite occurs as brownish, fibrous or lamellar masses with</w:t></w:r>
</w:p>
<w:p>
<w:pPr><w:pStyle w:val="Normal"/></w:pPr>
<w:r><w:t xml:space="preserve">hornblende in mica-schist at Kongsberg in Norway and some other</w:t></w:r>
</w:p>
<w:p>
<w:pPr><w:pStyle w:val="Normal"/></w:pPr>
<w:r><w:t xml:space="preserve">localities.  An aluminous variety is known as gedrite, and a deep</w:t></w:r>
</w:p>
<w:p>
<w:pPr><w:pStyle w:val="Normal"/></w:pPr>
<w:r><w:t xml:space="preserve">green, Russian variety containing little iron as kupfferite.</w:t></w:r>
</w:p>
<w:p>
<w:pPr><w:pStyle w:val="Normal"/></w:pPr>
<w:r><w:t xml:space="preserve">Actinolite is an important member of the monoclinic series,</w:t></w:r>
</w:p>
<w:p>
<w:pPr><w:pStyle w:val="Normal"/></w:pPr>
<w:r><w:t xml:space="preserve">forming radiating groups of acicular crystals of a bright</w:t></w:r>
</w:p>
<w:p>
<w:pPr><w:pStyle w:val="Normal"/></w:pPr>
<w:r><w:t xml:space="preserve">green or greyish-green colour.  It occurs frequently as</w:t></w:r>
</w:p>
<w:p>
<w:pPr><w:pStyle w:val="Normal"/></w:pPr>
<w:r><w:t xml:space="preserve">a constituent of crystalline schists.  The name (from</w:t></w:r>
</w:p>
<w:p>
<w:pPr><w:pStyle w:val="Normal"/></w:pPr>
<w:r><w:t xml:space="preserve">aktis, a ray, and lithos, a stone) is a translation</w:t></w:r>
</w:p>
<w:p>
<w:pPr><w:pStyle w:val="Normal"/></w:pPr>
<w:r><w:t xml:space="preserve">of the old German word Strahlstein, radiated stone.</w:t></w:r>
</w:p>
<w:p>
<w:pPr><w:pStyle w:val="Normal"/></w:pPr>
<w:r><w:t xml:space="preserve">Glaucophane, crocidolite, riebeckite and arfvedsonite form a</w:t></w:r>
</w:p>
<w:p>
<w:pPr><w:pStyle w:val="Normal"/></w:pPr>
<w:r><w:t xml:space="preserve">somewhat special group of alkali-amphiboles.  The two former are</w:t></w:r>
</w:p>
<w:p>
<w:pPr><w:pStyle w:val="Normal"/></w:pPr>
<w:r><w:t xml:space="preserve">blue fibrous minerals occurring in crystalline schists, and are</w:t></w:r>
</w:p>
<w:p>
<w:pPr><w:pStyle w:val="Normal"/></w:pPr>
<w:r><w:t xml:space="preserve">the result of dynamo-metamorphic processes; the two latter are</w:t></w:r>
</w:p>
<w:p>
<w:pPr><w:pStyle w:val="Normal"/></w:pPr>
<w:r><w:t xml:space="preserve">dark green minerals which occur as original constituents of igneous</w:t></w:r>
</w:p>
<w:p>
<w:pPr><w:pStyle w:val="Normal"/></w:pPr>
<w:r><w:t xml:space="preserve">rocks rich in soda, such as nepheline-syenite and phonolite.</w:t></w:r>
</w:p>
<w:p>
<w:pPr><w:pStyle w:val="Normal"/></w:pPr>
<w:r><w:t xml:space="preserve">Aenigmatite and its variety cossyrite are rare</w:t></w:r>
</w:p>
<w:p>
<w:pPr><w:pStyle w:val="Normal"/></w:pPr>
<w:r><w:t xml:space="preserve">minerals forming constituents of igneous rocks of the</w:t></w:r>
</w:p>
<w:p>
<w:pPr><w:pStyle w:val="Normal"/></w:pPr>
<w:r><w:t xml:space="preserve">nepheline-syenite and phonolite groups. (L. J. S.)</w:t></w:r>
</w:p>
<w:p>
<w:pPr><w:pStyle w:val="Normal"/></w:pPr>
<w:r><w:t xml:space="preserve">AMPHIBOLITE, the name given to a rock consisting mainly of</w:t></w:r>
</w:p>
<w:p>
<w:pPr><w:pStyle w:val="Normal"/></w:pPr>
<w:r><w:t xml:space="preserve">amphibole (hornblende), the use of the term being restricted,</w:t></w:r>
</w:p>
<w:p>
<w:pPr><w:pStyle w:val="Normal"/></w:pPr>
<w:r><w:t xml:space="preserve">however, to metamorphic rocks.  Holocrystalline plutonic</w:t></w:r>
</w:p>
<w:p>
<w:pPr><w:pStyle w:val="Normal"/></w:pPr>
<w:r><w:t xml:space="preserve">igneous rocks composed essentially of hornblende are known as</w:t></w:r>
</w:p>
<w:p>
<w:pPr><w:pStyle w:val="Normal"/></w:pPr>
<w:r><w:t xml:space="preserve">hornblendites.  As is the case with most petrological terms the</w:t></w:r>
</w:p>
<w:p>
<w:pPr><w:pStyle w:val="Normal"/></w:pPr>
<w:r><w:t xml:space="preserve">exact connotation is not very strictly defined; most authors</w:t></w:r>
</w:p>
<w:p>
<w:pPr><w:pStyle w:val="Normal"/></w:pPr>
<w:r><w:t xml:space="preserve">allow that accessory minerals such as felspar, garnet, augite</w:t></w:r>
</w:p>
<w:p>
<w:pPr><w:pStyle w:val="Normal"/></w:pPr>
<w:r><w:t xml:space="preserve">and quartz may be present in variable and often considerable</w:t></w:r>
</w:p>
<w:p>
<w:pPr><w:pStyle w:val="Normal"/></w:pPr>
<w:r><w:t xml:space="preserve">amount.  A foliated or schistose structure, though often</w:t></w:r>
</w:p>
<w:p>
<w:pPr><w:pStyle w:val="Normal"/></w:pPr>
<w:r><w:t xml:space="preserve">developed in these rocks, is not universal.  The hornblende</w:t></w:r>
</w:p>
<w:p>
<w:pPr><w:pStyle w:val="Normal"/></w:pPr>
<w:r><w:t xml:space="preserve">is usually dark green (actinolite) but may be nearly black</w:t></w:r>
</w:p>
<w:p>
<w:pPr><w:pStyle w:val="Normal"/></w:pPr>
<w:r><w:t xml:space="preserve">in the hand specimen; in the microscopic slide it is commonly</w:t></w:r>
</w:p>
<w:p>
<w:pPr><w:pStyle w:val="Normal"/></w:pPr>
<w:r><w:t xml:space="preserve">green of various shades, but may be brown, blue or nearly</w:t></w:r>
</w:p>
<w:p>
<w:pPr><w:pStyle w:val="Normal"/></w:pPr>
<w:r><w:t xml:space="preserve">colourless.  It frequently occurs in elongated bladed prisms,</w:t></w:r>
</w:p>
<w:p>
<w:pPr><w:pStyle w:val="Normal"/></w:pPr>
<w:r><w:t xml:space="preserve">but rarely shows good crystal faces.  The term hornblende-schist</w:t></w:r>
</w:p>
<w:p>
<w:pPr><w:pStyle w:val="Normal"/></w:pPr>
<w:r><w:t xml:space="preserve">is employed by many writers as nearly synonymous with</w:t></w:r>
</w:p>
<w:p>
<w:pPr><w:pStyle w:val="Normal"/></w:pPr>
<w:r><w:t xml:space="preserve">amphibolite; most hornblende-schists contain felspar and iron</w:t></w:r>
</w:p>
<w:p>
<w:pPr><w:pStyle w:val="Normal"/></w:pPr>
<w:r><w:t xml:space="preserve">oxides, while sphene, rutile, quartz and apatite are rarely</w:t></w:r>
</w:p>
<w:p>
<w:pPr><w:pStyle w:val="Normal"/></w:pPr>
<w:r><w:t xml:space="preserve">absent.  Reddish garnets are often conspicuous in the rocks</w:t></w:r>
</w:p>
<w:p>
<w:pPr><w:pStyle w:val="Normal"/></w:pPr>
<w:r><w:t xml:space="preserve">of this group (garnet-amphibolites), and when in addition</w:t></w:r>
</w:p>
<w:p>
<w:pPr><w:pStyle w:val="Normal"/></w:pPr>
<w:r><w:t xml:space="preserve">a green-coloured augite occurs the rocks are intimately</w:t></w:r>
</w:p>
<w:p>
<w:pPr><w:pStyle w:val="Normal"/></w:pPr>
<w:r><w:t xml:space="preserve">allied to the hornblende-eclogites.  Epidote also, in yellow</w:t></w:r>
</w:p>
<w:p>
<w:pPr><w:pStyle w:val="Normal"/></w:pPr>
<w:r><w:t xml:space="preserve">grains, is common (epidote-amphibolites), and in these rocks</w:t></w:r>
</w:p>
<w:p>
<w:pPr><w:pStyle w:val="Normal"/></w:pPr>
<w:r><w:t xml:space="preserve">the hornblende may be of the blue and richly pleochroic</w:t></w:r>
</w:p>
<w:p>
<w:pPr><w:pStyle w:val="Normal"/></w:pPr>
<w:r><w:t xml:space="preserve">variety known as glaucophane (glaucophane-epidote-schists).</w:t></w:r>
</w:p>
<w:p>
<w:pPr><w:pStyle w:val="Normal"/></w:pPr>
<w:r><w:t xml:space="preserve">Hornblende-schists containing dark green ferriferous hornblende</w:t></w:r>
</w:p>
<w:p>
<w:pPr><w:pStyle w:val="Normal"/></w:pPr>
<w:r><w:t xml:space="preserve">(grunorite-schists) are abundant in some parts of North</w:t></w:r>
</w:p>
<w:p>
<w:pPr><w:pStyle w:val="Normal"/></w:pPr>
<w:r><w:t xml:space="preserve">America.  Tremolite-schists consist essentially of white or</w:t></w:r>
</w:p>
<w:p>
<w:pPr><w:pStyle w:val="Normal"/></w:pPr>
<w:r><w:t xml:space="preserve">very pale green amphibole; occasionally they are black from</w:t></w:r>
</w:p>
<w:p>
<w:pPr><w:pStyle w:val="Normal"/></w:pPr>
<w:r><w:t xml:space="preserve">the presence of numerous minute grains of iron oxide or of</w:t></w:r>
</w:p>
<w:p>
<w:pPr><w:pStyle w:val="Normal"/></w:pPr>
<w:r><w:t xml:space="preserve">graphite.  Many tremolite-schists contain much talc and</w:t></w:r>
</w:p>
<w:p>
<w:pPr><w:pStyle w:val="Normal"/></w:pPr>
<w:r><w:t xml:space="preserve">chlorite, and as these rocks have been derived from peridotites</w:t></w:r>
</w:p>
<w:p>
<w:pPr><w:pStyle w:val="Normal"/></w:pPr>
<w:r><w:t xml:space="preserve">they not infrequently show residual grains of olivine.</w:t></w:r>
</w:p>
<w:p>
<w:pPr><w:pStyle w:val="Normal"/></w:pPr>
<w:r><w:t xml:space="preserve">Nephrite (Gr. nefros, a kidney) is a very compact, hardly</w:t></w:r>
</w:p>
<w:p>
<w:pPr><w:pStyle w:val="Normal"/></w:pPr>
<w:r><w:t xml:space="preserve">schistose amphibolite, consisting of fine interwoven fibres of</w:t></w:r>
</w:p>
<w:p>
<w:pPr><w:pStyle w:val="Normal"/></w:pPr>
<w:r><w:t xml:space="preserve">hornblende.  Among other accessory minerals biotite, chlorite,</w:t></w:r>
</w:p>
<w:p>
<w:pPr><w:pStyle w:val="Normal"/></w:pPr>
<w:r><w:t xml:space="preserve">talc, scapolite and tourmaline may be mentioned; if abundant they</w:t></w:r>
</w:p>
<w:p>
<w:pPr><w:pStyle w:val="Normal"/></w:pPr>
<w:r><w:t xml:space="preserve">give rise to special varieties such as biotite-amphibolite, &amp;c.</w:t></w:r>
</w:p>
<w:p>
<w:pPr><w:pStyle w:val="Normal"/></w:pPr>
<w:r><w:t xml:space="preserve">The amphibolites are typical rocks of the metamorphic group</w:t></w:r>
</w:p>
<w:p>
<w:pPr><w:pStyle w:val="Normal"/></w:pPr>
<w:r><w:t xml:space="preserve">and as such attain a large development in all regions of</w:t></w:r>
</w:p>
<w:p>
<w:pPr><w:pStyle w:val="Normal"/></w:pPr>
<w:r><w:t xml:space="preserve">crystalline schists and gneisses such as the Alps, Ardennes,</w:t></w:r>
</w:p>
<w:p>
<w:pPr><w:pStyle w:val="Normal"/></w:pPr>
<w:r><w:t xml:space="preserve">Harz, Scottish Highlands, and the Lakes district of North</w:t></w:r>
</w:p>
<w:p>
<w:pPr><w:pStyle w:val="Normal"/></w:pPr>
<w:r><w:t xml:space="preserve">America.  They occur in two ways, viz. as large circular or</w:t></w:r>
</w:p>
<w:p>
<w:pPr><w:pStyle w:val="Normal"/></w:pPr>
<w:r><w:t xml:space="preserve">elliptical areas which mark the site of old plutonic stocks or</w:t></w:r>
</w:p>
<w:p>
<w:pPr><w:pStyle w:val="Normal"/></w:pPr>
<w:r><w:t xml:space="preserve">bosses of basic rock, and as long narrow strips intercalated</w:t></w:r>
</w:p>
<w:p>
<w:pPr><w:pStyle w:val="Normal"/></w:pPr>
<w:r><w:t xml:space="preserve">among outcrops of other metamorphic rocks.  Regarded from the</w:t></w:r>
</w:p>
<w:p>
<w:pPr><w:pStyle w:val="Normal"/></w:pPr>
<w:r><w:t xml:space="preserve">point of view of their origin they fall into two groups, the</w:t></w:r>
</w:p>
<w:p>
<w:pPr><w:pStyle w:val="Normal"/></w:pPr>
<w:r><w:t xml:space="preserve">ortho-amphibolites, which are modified igneous rocks, and the</w:t></w:r>
</w:p>
<w:p>
<w:pPr><w:pStyle w:val="Normal"/></w:pPr>
<w:r><w:t xml:space="preserve">para-amphibolites, which are altered sediments.  The former are</w:t></w:r>
</w:p>
<w:p>
<w:pPr><w:pStyle w:val="Normal"/></w:pPr>
<w:r><w:t xml:space="preserve">far the more common.  Igneous rocks which contain much augite</w:t></w:r>
</w:p>
<w:p>
<w:pPr><w:pStyle w:val="Normal"/></w:pPr>
<w:r><w:t xml:space="preserve">(e.g. dolerites, gabbros, diabases, pyroxenites and many</w:t></w:r>
</w:p>
<w:p>
<w:pPr><w:pStyle w:val="Normal"/></w:pPr>
<w:r><w:t xml:space="preserve">peridotites) are usually converted into amphibolites when they</w:t></w:r>
</w:p>
<w:p>
<w:pPr><w:pStyle w:val="Normal"/></w:pPr>
<w:r><w:t xml:space="preserve">are subjected to pressure and interstitial movements during</w:t></w:r>
</w:p>
<w:p>
<w:pPr><w:pStyle w:val="Normal"/></w:pPr>
<w:r><w:t xml:space="preserve">earth-folding.  If felspar be present also, epidote may</w:t></w:r>
</w:p>
<w:p>
<w:pPr><w:pStyle w:val="Normal"/></w:pPr>
<w:r><w:t xml:space="preserve">form, while part of the felspar recrystallizes as a species</w:t></w:r>
</w:p>
<w:p>
<w:pPr><w:pStyle w:val="Normal"/></w:pPr>
<w:r><w:t xml:space="preserve">of the same mineral richer in alkalies or as mica.  Olivine</w:t></w:r>
</w:p>
<w:p>
<w:pPr><w:pStyle w:val="Normal"/></w:pPr>
<w:r><w:t xml:space="preserve">and ilmenite, the other common constituents of these rocks,</w:t></w:r>
</w:p>
<w:p>
<w:pPr><w:pStyle w:val="Normal"/></w:pPr>
<w:r><w:t xml:space="preserve">may, alone or in conjunction with the above-named minerals,</w:t></w:r>
</w:p>
<w:p>
<w:pPr><w:pStyle w:val="Normal"/></w:pPr>
<w:r><w:t xml:space="preserve">yield garnet, talc, sphene, rutile, &amp;c. There is little or</w:t></w:r>
</w:p>
<w:p>
<w:pPr><w:pStyle w:val="Normal"/></w:pPr>
<w:r><w:t xml:space="preserve">no alteration in the bulk composition of the rock, but its</w:t></w:r>
</w:p>
<w:p>
<w:pPr><w:pStyle w:val="Normal"/></w:pPr>
<w:r><w:t xml:space="preserve">component elements enter into new combinations.  Chemical</w:t></w:r>
</w:p>
<w:p>
<w:pPr><w:pStyle w:val="Normal"/></w:pPr>
<w:r><w:t xml:space="preserve">analysis, accordingly, will often enable us to identify an</w:t></w:r>
</w:p>
<w:p>
<w:pPr><w:pStyle w:val="Normal"/></w:pPr>
<w:r><w:t xml:space="preserve">igneous rock (diabase, &amp;c.) under the guise of an amphibolite.</w:t></w:r>
</w:p>
<w:p>
<w:pPr><w:pStyle w:val="Normal"/></w:pPr>
<w:r><w:t xml:space="preserve">The transformation of the rock may be complete, so that no</w:t></w:r>
</w:p>
<w:p>
<w:pPr><w:pStyle w:val="Normal"/></w:pPr>
<w:r><w:t xml:space="preserve">trace is left of the original structures or minerals.  Very</w:t></w:r>
</w:p>
<w:p>
<w:pPr><w:pStyle w:val="Normal"/></w:pPr>
<w:r><w:t xml:space="preserve">often, however, it is only partial, and by obtaining a</w:t></w:r>
</w:p>
<w:p>
<w:pPr><w:pStyle w:val="Normal"/></w:pPr>
<w:r><w:t xml:space="preserve">sufficiently large number of specimens a series of intermediate</w:t></w:r>
</w:p>
<w:p>
<w:pPr><w:pStyle w:val="Normal"/></w:pPr>
<w:r><w:t xml:space="preserve">or transitional stages may be studied; these prove conclusively</w:t></w:r>
</w:p>
<w:p>
<w:pPr><w:pStyle w:val="Normal"/></w:pPr>
<w:r><w:t xml:space="preserve">the nature of the process, though its causes are less clearly</w:t></w:r>
</w:p>
<w:p>
<w:pPr><w:pStyle w:val="Normal"/></w:pPr>
<w:r><w:t xml:space="preserve">understood.  Green hornblende may be seen gradually replacing</w:t></w:r>
</w:p>
<w:p>
<w:pPr><w:pStyle w:val="Normal"/></w:pPr>
<w:r><w:t xml:space="preserve">augite, at first in needle-like crystals, for which gradually</w:t></w:r>
</w:p>
<w:p>
<w:pPr><w:pStyle w:val="Normal"/></w:pPr>
<w:r><w:t xml:space="preserve">more compact masses are substituted.  The felspar breaks up</w:t></w:r>
</w:p>
<w:p>
<w:pPr><w:pStyle w:val="Normal"/></w:pPr>
<w:r><w:t xml:space="preserve">into a mosaic in which albite, epidote or zoisite, quartz and</w:t></w:r>
</w:p>
<w:p>
<w:pPr><w:pStyle w:val="Normal"/></w:pPr>
<w:r><w:t xml:space="preserve">garnet may often be identified.  Biotite and primary hornblende</w:t></w:r>
</w:p>
<w:p>
<w:pPr><w:pStyle w:val="Normal"/></w:pPr>
<w:r><w:t xml:space="preserve">suffer comparatively little change; olivine disappears, and</w:t></w:r>
</w:p>
<w:p>
<w:pPr><w:pStyle w:val="Normal"/></w:pPr>
<w:r><w:t xml:space="preserve">garnet, talc and tremolite or anthophyllite take its place.</w:t></w:r>
</w:p>
<w:p>
<w:pPr><w:pStyle w:val="Normal"/></w:pPr>
<w:r><w:t xml:space="preserve">The original structures of this group of rocks (ophitic,</w:t></w:r>
</w:p>
<w:p>
<w:pPr><w:pStyle w:val="Normal"/></w:pPr>
<w:r><w:t xml:space="preserve">porphyritic, poikilitic, vesicular, &amp;c.) gradually fade away,</w:t></w:r>
</w:p>
<w:p>
<w:pPr><w:pStyle w:val="Normal"/></w:pPr>
<w:r><w:t xml:space="preserve">and merge into those of the metamorphic amphibolites.  Even</w:t></w:r>
</w:p>
<w:p>
<w:pPr><w:pStyle w:val="Normal"/></w:pPr>
<w:r><w:t xml:space="preserve">when the greater part of the rock mass has suffered complete</w:t></w:r>
</w:p>
<w:p>
<w:pPr><w:pStyle w:val="Normal"/></w:pPr>
<w:r><w:t xml:space="preserve">reconstruction, kernels or phacoids may remain, showing</w:t></w:r>
</w:p>
<w:p>
<w:pPr><w:pStyle w:val="Normal"/></w:pPr>
<w:r><w:t xml:space="preserve">the old igneous structures, though the minerals are greatly</w:t></w:r>
</w:p>
<w:p>
<w:pPr><w:pStyle w:val="Normal"/></w:pPr>
<w:r><w:t xml:space="preserve">altered.  The transitional stages from gabbro or diabase to</w:t></w:r>
</w:p>
<w:p>
<w:pPr><w:pStyle w:val="Normal"/></w:pPr>
<w:r><w:t xml:space="preserve">amphibolite are so common that they form a widespread and</w:t></w:r>
</w:p>
<w:p>
<w:pPr><w:pStyle w:val="Normal"/></w:pPr>
<w:r><w:t xml:space="preserve">important group of rocks, which have been described under</w:t></w:r>
</w:p>
<w:p>
<w:pPr><w:pStyle w:val="Normal"/></w:pPr>
<w:r><w:t xml:space="preserve">the names greenstone, greenstone-schist, flaser-gabbro,</w:t></w:r>
</w:p>
<w:p>
<w:pPr><w:pStyle w:val="Normal"/></w:pPr>
<w:r><w:t xml:space="preserve">saussurite- gabbro, meta-diabase, &amp;c. The ortho-amphibolites</w:t></w:r>
</w:p>
<w:p>
<w:pPr><w:pStyle w:val="Normal"/></w:pPr>
<w:r><w:t xml:space="preserve">also include a small group of igneous rocks, which have a</w:t></w:r>
</w:p>
<w:p>
<w:pPr><w:pStyle w:val="Normal"/></w:pPr>
<w:r><w:t xml:space="preserve">foliated or banded structure due to movements and pressure</w:t></w:r>
</w:p>
<w:p>
<w:pPr><w:pStyle w:val="Normal"/></w:pPr>
<w:r><w:t xml:space="preserve">during consolidation, e.g. foliated diorite or diorite-schist.</w:t></w:r>
</w:p>
<w:p>
<w:pPr><w:pStyle w:val="Normal"/></w:pPr>
<w:r><w:t xml:space="preserve">The sedimentary amphibolites or para-amphibolites, less common</w:t></w:r>
</w:p>
<w:p>
<w:pPr><w:pStyle w:val="Normal"/></w:pPr>
<w:r><w:t xml:space="preserve">than those above described, are frequent in some districts,</w:t></w:r>
</w:p>
<w:p>
<w:pPr><w:pStyle w:val="Normal"/></w:pPr>
<w:r><w:t xml:space="preserve">such as the northern Alps, southern highlands of Scotland, Green</w:t></w:r>
</w:p>
<w:p>
<w:pPr><w:pStyle w:val="Normal"/></w:pPr>
<w:r><w:t xml:space="preserve">Mountains, U.S.A.  Many of them have been ash-beds, and their</w:t></w:r>
</w:p>
<w:p>
<w:pPr><w:pStyle w:val="Normal"/></w:pPr>
<w:r><w:t xml:space="preserve">conversion into hornblende-schists follows exactly similar</w:t></w:r>
</w:p>
<w:p>
<w:pPr><w:pStyle w:val="Normal"/></w:pPr>
<w:r><w:t xml:space="preserve">stages to those exemplified by basic crystalline igneous</w:t></w:r>
</w:p>
<w:p>
<w:pPr><w:pStyle w:val="Normal"/></w:pPr>
<w:r><w:t xml:space="preserve">rocks.  Others have been greywackes of varied composition with</w:t></w:r>
</w:p>
<w:p>
<w:pPr><w:pStyle w:val="Normal"/></w:pPr>
<w:r><w:t xml:space="preserve">epidote, chlorite, felspar, quartz, iron oxides, &amp;c., and</w:t></w:r>
</w:p>
<w:p>
<w:pPr><w:pStyle w:val="Normal"/></w:pPr>
<w:r><w:t xml:space="preserve">may have been mixed with volcanic materials, or may be partly</w:t></w:r>
</w:p>
<w:p>
<w:pPr><w:pStyle w:val="Normal"/></w:pPr>
<w:r><w:t xml:space="preserve">derived from the disintegration of basic rocks.  When they are</w:t></w:r>
</w:p>
<w:p>
<w:pPr><w:pStyle w:val="Normal"/></w:pPr>
<w:r><w:t xml:space="preserve">most metamorphosed they are often very hard to distinguish from</w:t></w:r>
</w:p>
<w:p>
<w:pPr><w:pStyle w:val="Normal"/></w:pPr>
<w:r><w:t xml:space="preserve">igneous hornblende-schists; yet they rarely fail to reveal signs</w:t></w:r>
</w:p>
<w:p>
<w:pPr><w:pStyle w:val="Normal"/></w:pPr>
<w:r><w:t xml:space="preserve">of bedding, pebbly structure, sedimentary banding and gradual</w:t></w:r>
</w:p>
<w:p>
<w:pPr><w:pStyle w:val="Normal"/></w:pPr>
<w:r><w:t xml:space="preserve">transition into undoubtedly sedimentary types of gneiss and</w:t></w:r>
</w:p>
<w:p>
<w:pPr><w:pStyle w:val="Normal"/></w:pPr>
<w:r><w:t xml:space="preserve">schist.  Deposits containing dolomite and siderite also readily</w:t></w:r>
</w:p>
<w:p>
<w:pPr><w:pStyle w:val="Normal"/></w:pPr>
<w:r><w:t xml:space="preserve">yield amphibolites (tremolite-schists, grunorite-schists,</w:t></w:r>
</w:p>
<w:p>
<w:pPr><w:pStyle w:val="Normal"/></w:pPr>
<w:r><w:t xml:space="preserve">&amp;c.) especially where there has been a certain amount of</w:t></w:r>
</w:p>
<w:p>
<w:pPr><w:pStyle w:val="Normal"/></w:pPr>
<w:r><w:t xml:space="preserve">contact metamorphism by adjacent granitic masses. (J. S. F.)</w:t></w:r>
</w:p>
<w:p>
<w:pPr><w:pStyle w:val="Normal"/></w:pPr>
<w:r><w:t xml:space="preserve">AMPHIBOLOGY, or AMPHIBOLY (Gr. ampibolia), in logic,</w:t></w:r>
</w:p>
<w:p>
<w:pPr><w:pStyle w:val="Normal"/></w:pPr>
<w:r><w:t xml:space="preserve">a verbal fallacy arising from ambiguity in the grammatical</w:t></w:r>
</w:p>
<w:p>
<w:pPr><w:pStyle w:val="Normal"/></w:pPr>
<w:r><w:t xml:space="preserve">structure of a sentence (Aristot., Organon,Soph., El.,</w:t></w:r>
</w:p>
<w:p>
<w:pPr><w:pStyle w:val="Normal"/></w:pPr>
<w:r><w:t xml:space="preserve">chap. iv.).  It occurs frequently in poetry, owing to the</w:t></w:r>
</w:p>
<w:p>
<w:pPr><w:pStyle w:val="Normal"/></w:pPr>
<w:r><w:t xml:space="preserve">alteration for metrical reasons of the natural order of</w:t></w:r>
</w:p>
<w:p>
<w:pPr><w:pStyle w:val="Normal"/></w:pPr>
<w:r><w:t xml:space="preserve">words; Jevons quotes as an example Shakespeare, Henry</w:t></w:r>
</w:p>
<w:p>
<w:pPr><w:pStyle w:val="Normal"/></w:pPr>
<w:r><w:t xml:space="preserve">VI.: ``The duke yet lives that Henry shall depose.&apos;&apos;</w:t></w:r>
</w:p>
<w:p>
<w:pPr><w:pStyle w:val="Normal"/></w:pPr>
<w:r><w:t xml:space="preserve">AMPHICTYONY (Gr. amfiktuonia, i.e. a body composed</w:t></w:r>
</w:p>
<w:p>
<w:pPr><w:pStyle w:val="Normal"/></w:pPr>
<w:r><w:t xml:space="preserve">of amfiktiones, amfiktuones, ``dwellers around&apos;&apos;),</w:t></w:r>
</w:p>
<w:p>
<w:pPr><w:pStyle w:val="Normal"/></w:pPr>
<w:r><w:t xml:space="preserve">an association of ancient Greek communities centring in a</w:t></w:r>
</w:p>
<w:p>
<w:pPr><w:pStyle w:val="Normal"/></w:pPr>
<w:r><w:t xml:space="preserve">shrine.  As the extant sources do not define the term,</w:t></w:r>
</w:p>
<w:p>
<w:pPr><w:pStyle w:val="Normal"/></w:pPr>
<w:r><w:t xml:space="preserve">and as they apply it to but five or six associations, the</w:t></w:r>
</w:p>
<w:p>
<w:pPr><w:pStyle w:val="Normal"/></w:pPr>
<w:r><w:t xml:space="preserve">majority of which are little known, modern scholars are in</w:t></w:r>
</w:p>
<w:p>
<w:pPr><w:pStyle w:val="Normal"/></w:pPr>
<w:r><w:t xml:space="preserve">doubt as to the essential character of the institution, and</w:t></w:r>
</w:p>
<w:p>
<w:pPr><w:pStyle w:val="Normal"/></w:pPr>
<w:r><w:t xml:space="preserve">hesitate therefore to extend the name beyond this limited</w:t></w:r>
</w:p>
<w:p>
<w:pPr><w:pStyle w:val="Normal"/></w:pPr>
<w:r><w:t xml:space="preserve">list.  The word itself indicates that the association primarily</w:t></w:r>
</w:p>
<w:p>
<w:pPr><w:pStyle w:val="Normal"/></w:pPr>
<w:r><w:t xml:space="preserve">comprised neighbours, though the Delphic amphictyony came in</w:t></w:r>
</w:p>
<w:p>
<w:pPr><w:pStyle w:val="Normal"/></w:pPr>
<w:r><w:t xml:space="preserve">time to include relatively distant communities (Strabo ix.</w:t></w:r>
</w:p>
<w:p>
<w:pPr><w:pStyle w:val="Normal"/></w:pPr>
<w:r><w:t xml:space="preserve">3, 7). For the origin of the institution it is safe to assume</w:t></w:r>
</w:p>
<w:p>
<w:pPr><w:pStyle w:val="Normal"/></w:pPr>
<w:r><w:t xml:space="preserve">that neighbouring communities, whether tribes (ethne) or</w:t></w:r>
</w:p>
<w:p>
<w:pPr><w:pStyle w:val="Normal"/></w:pPr>
<w:r><w:t xml:space="preserve">cities, desiring friendly intercourse with one another chose</w:t></w:r>
</w:p>
<w:p>
<w:pPr><w:pStyle w:val="Normal"/></w:pPr>
<w:r><w:t xml:space="preserve">the sanctuary of some deity conveniently situated, at which</w:t></w:r>
</w:p>
<w:p>
<w:pPr><w:pStyle w:val="Normal"/></w:pPr>
<w:r><w:t xml:space="preserve">to hold their periodical festival for worship and their fair</w:t></w:r>
</w:p>
<w:p>
<w:pPr><w:pStyle w:val="Normal"/></w:pPr>
<w:r><w:t xml:space="preserve">for the interchange of goods.  If the limited use of the word</w:t></w:r>
</w:p>
<w:p>
<w:pPr><w:pStyle w:val="Normal"/></w:pPr>
<w:r><w:t xml:space="preserve">according to our sources is not purely accidental, at all</w:t></w:r>
</w:p>
<w:p>
<w:pPr><w:pStyle w:val="Normal"/></w:pPr>
<w:r><w:t xml:space="preserve">events there were many Greek leagues, not expressly termed</w:t></w:r>
</w:p>
<w:p>
<w:pPr><w:pStyle w:val="Normal"/></w:pPr>
<w:r><w:t xml:space="preserve">amphictyonies, which had the characteristics here stated.</w:t></w:r>
</w:p>
<w:p>
<w:pPr><w:pStyle w:val="Normal"/></w:pPr>
<w:r><w:t xml:space="preserve">The Delian amphictyony probably reached the height of its</w:t></w:r>
</w:p>
<w:p>
<w:pPr><w:pStyle w:val="Normal"/></w:pPr>
<w:r><w:t xml:space="preserve">splendour early in the 7th century B.C. The Hymn to the Delian</w:t></w:r>
</w:p>
<w:p>
<w:pPr><w:pStyle w:val="Normal"/></w:pPr>
<w:r><w:t xml:space="preserve">Apollo, composed about that time, celebrates the gathering</w:t></w:r>
</w:p>
<w:p>
<w:pPr><w:pStyle w:val="Normal"/></w:pPr>
<w:r><w:t xml:space="preserve">of the Ionians with their wives and children at the shrine of</w:t></w:r>
</w:p>
<w:p>
<w:pPr><w:pStyle w:val="Normal"/></w:pPr>
<w:r><w:t xml:space="preserve">their god on the island of Delos, to worship him with music,</w:t></w:r>
</w:p>
<w:p>
<w:pPr><w:pStyle w:val="Normal"/></w:pPr>
<w:r><w:t xml:space="preserve">dancing and gymnastic contests (vv. 146-164; cf.  Thuc. iii.</w:t></w:r>
</w:p>
<w:p>
<w:pPr><w:pStyle w:val="Normal"/></w:pPr>
<w:r><w:t xml:space="preserve">104).  The later misfortunes of the Ionians caused a decline of the</w:t></w:r>
</w:p>
<w:p>
<w:pPr><w:pStyle w:val="Normal"/></w:pPr>
<w:r><w:t xml:space="preserve">festival.  Peisistratus, taking possession of Delos, seems to</w:t></w:r>
</w:p>
<w:p>
<w:pPr><w:pStyle w:val="Normal"/></w:pPr>
<w:r><w:t xml:space="preserve">have used the sanctuary as a means of extending his political</w:t></w:r>
</w:p>
<w:p>
<w:pPr><w:pStyle w:val="Normal"/></w:pPr>
<w:r><w:t xml:space="preserve">influence.  When after the great war with Persia the Aegean</w:t></w:r>
</w:p>
<w:p>
<w:pPr><w:pStyle w:val="Normal"/></w:pPr>
<w:r><w:t xml:space="preserve">cities under the leadership of Athens united in a political</w:t></w:r>
</w:p>
<w:p>
<w:pPr><w:pStyle w:val="Normal"/></w:pPr>
<w:r><w:t xml:space="preserve">league (477 B.C.), they chose as its centre the temple of the</w:t></w:r>
</w:p>
<w:p>
<w:pPr><w:pStyle w:val="Normal"/></w:pPr>
<w:r><w:t xml:space="preserve">Delian Apollo, doubtless through a desire to connect the new</w:t></w:r>
</w:p>
<w:p>
<w:pPr><w:pStyle w:val="Normal"/></w:pPr>
<w:r><w:t xml:space="preserve">alliance with the associations of the old amphictyony.  How far</w:t></w:r>
</w:p>
<w:p>
<w:pPr><w:pStyle w:val="Normal"/></w:pPr>
<w:r><w:t xml:space="preserve">the council and other institutions of the Delian confederacy</w:t></w:r>
</w:p>
<w:p>
<w:pPr><w:pStyle w:val="Normal"/></w:pPr>
<w:r><w:t xml:space="preserve">were based upon the amphictyonic organization cannot be</w:t></w:r>
</w:p>
<w:p>
<w:pPr><w:pStyle w:val="Normal"/></w:pPr>
<w:r><w:t xml:space="preserve">determined.  The removal of the treasury to Athens in 454 B.C.</w:t></w:r>
</w:p>
<w:p>
<w:pPr><w:pStyle w:val="Normal"/></w:pPr>
<w:r><w:t xml:space="preserve">deprived Delos of political importance, though the amphictyony</w:t></w:r>
</w:p>
<w:p>
<w:pPr><w:pStyle w:val="Normal"/></w:pPr>
<w:r><w:t xml:space="preserve">continued.  The council gradually dwindled, and probably</w:t></w:r>
</w:p>
<w:p>
<w:pPr><w:pStyle w:val="Normal"/></w:pPr>
<w:r><w:t xml:space="preserve">came to an end without formal abolition.  In 426 B.C. the</w:t></w:r>
</w:p>
<w:p>
<w:pPr><w:pStyle w:val="Normal"/></w:pPr>
<w:r><w:t xml:space="preserve">Athenians purified the island and instituted a great festival</w:t></w:r>
</w:p>
<w:p>
<w:pPr><w:pStyle w:val="Normal"/></w:pPr>
<w:r><w:t xml:space="preserve">to be held under their presidency every four years (Thuc. iii.</w:t></w:r>
</w:p>
<w:p>
<w:pPr><w:pStyle w:val="Normal"/></w:pPr>
<w:r><w:t xml:space="preserve">104).  In 422 they expelled the Delians (Thuc. v. 1). At the</w:t></w:r>
</w:p>
<w:p>
<w:pPr><w:pStyle w:val="Normal"/></w:pPr>
<w:r><w:t xml:space="preserve">end of the Peloponnesian War Athens was deprived of Delos</w:t></w:r>
</w:p>
<w:p>
<w:pPr><w:pStyle w:val="Normal"/></w:pPr>
<w:r><w:t xml:space="preserve">along with her other possessions, but she appears to have</w:t></w:r>
</w:p>
<w:p>
<w:pPr><w:pStyle w:val="Normal"/></w:pPr>
<w:r><w:t xml:space="preserve">regained control of the island after the victory of Cnidus</w:t></w:r>
</w:p>
<w:p>
<w:pPr><w:pStyle w:val="Normal"/></w:pPr>
<w:r><w:t xml:space="preserve">(394).  An inscription of 390 B.C. proves that at this date</w:t></w:r>
</w:p>
<w:p>
<w:pPr><w:pStyle w:val="Normal"/></w:pPr>
<w:r><w:t xml:space="preserve">Athenian authority had been restored.  The affairs of the temple</w:t></w:r>
</w:p>
<w:p>
<w:pPr><w:pStyle w:val="Normal"/></w:pPr>
<w:r><w:t xml:space="preserve">were managed by a board of five Athenian amphictyons, assisted</w:t></w:r>
</w:p>
<w:p>
<w:pPr><w:pStyle w:val="Normal"/></w:pPr>
<w:r><w:t xml:space="preserve">by some Delian officials (inscrr. in Bull.  Hell. viii. 284,</w:t></w:r>
</w:p>
<w:p>
<w:pPr><w:pStyle w:val="Normal"/></w:pPr>
<w:r><w:t xml:space="preserve">304, 307 f.); and in the 4th century we again hear of a council</w:t></w:r>
</w:p>
<w:p>
<w:pPr><w:pStyle w:val="Normal"/></w:pPr>
<w:r><w:t xml:space="preserve">in addition to the board (CIG. i. 158).  At this time the</w:t></w:r>
</w:p>
<w:p>
<w:pPr><w:pStyle w:val="Normal"/></w:pPr>
<w:r><w:t xml:space="preserve">amphictyony is known to have embraced both the Athenians and</w:t></w:r>
</w:p>
<w:p>
<w:pPr><w:pStyle w:val="Normal"/></w:pPr>
<w:r><w:t xml:space="preserve">the inhabitants of the Cyclades; but a strong Delian party</w:t></w:r>
</w:p>
<w:p>
<w:pPr><w:pStyle w:val="Normal"/></w:pPr>
<w:r><w:t xml:space="preserve">bitterly opposed Athenian rule (cf. inscr. in Bull.  Hell.</w:t></w:r>
</w:p>
<w:p>
<w:pPr><w:pStyle w:val="Normal"/></w:pPr>
<w:r><w:t xml:space="preserve">iii. 473 f.), which came to an end with the supremacy of</w:t></w:r>
</w:p>
<w:p>
<w:pPr><w:pStyle w:val="Normal"/></w:pPr>
<w:r><w:t xml:space="preserve">Macedon.  The dissolution of the amphictyony soon followed.</w:t></w:r>
</w:p>
<w:p>
<w:pPr><w:pStyle w:val="Normal"/></w:pPr>
<w:r><w:t xml:space="preserve">Far more famous is the Delphic, or more strictly, the</w:t></w:r>
</w:p>
<w:p>
<w:pPr><w:pStyle w:val="Normal"/></w:pPr>
<w:r><w:t xml:space="preserve">Pylaeic-Delphic, amphictyony.  It was originally composed of</w:t></w:r>
</w:p>
<w:p>
<w:pPr><w:pStyle w:val="Normal"/></w:pPr>
<w:r><w:t xml:space="preserve">twelve tribes dwelling round Thermopylae--the Thessalians,</w:t></w:r>
</w:p>
<w:p>
<w:pPr><w:pStyle w:val="Normal"/></w:pPr>
<w:r><w:t xml:space="preserve">Boeotians, Dorians, Ionians, Perrhaebians, Magnetes, Locrians,</w:t></w:r>
</w:p>
<w:p>
<w:pPr><w:pStyle w:val="Normal"/></w:pPr>
<w:r><w:t xml:space="preserve">Oetaeans, Phthiotes, Mahans, Phocians (Aeschin. ii. 116), and</w:t></w:r>
</w:p>
<w:p>
<w:pPr><w:pStyle w:val="Normal"/></w:pPr>
<w:r><w:t xml:space="preserve">Dolopians (Paus. x. 8. 2). The name of the council (pylaea)</w:t></w:r>
</w:p>
<w:p>
<w:pPr><w:pStyle w:val="Normal"/></w:pPr>
<w:r><w:t xml:space="preserve">and of one set of deputies (pylagori), together with the</w:t></w:r>
</w:p>
<w:p>
<w:pPr><w:pStyle w:val="Normal"/></w:pPr>
<w:r><w:t xml:space="preserve">important place held in the amphictyony by the temple of Demeter</w:t></w:r>
</w:p>
<w:p>
<w:pPr><w:pStyle w:val="Normal"/></w:pPr>
<w:r><w:t xml:space="preserve">at Anthela, near Thermopylae, suggests that this shrine was</w:t></w:r>
</w:p>
<w:p>
<w:pPr><w:pStyle w:val="Normal"/></w:pPr>
<w:r><w:t xml:space="preserve">the original centre of the association.  How and when Delphi</w:t></w:r>
</w:p>
<w:p>
<w:pPr><w:pStyle w:val="Normal"/></w:pPr>
<w:r><w:t xml:space="preserve">became a second centre is quite uncertain.  The council of the</w:t></w:r>
</w:p>
<w:p>
<w:pPr><w:pStyle w:val="Normal"/></w:pPr>
<w:r><w:t xml:space="preserve">league included deputies of two different kinds--pylagori</w:t></w:r>
</w:p>
<w:p>
<w:pPr><w:pStyle w:val="Normal"/></w:pPr>
<w:r><w:t xml:space="preserve">and hieromnemones. the latter were twenty-four in number,</w:t></w:r>
</w:p>
<w:p>
<w:pPr><w:pStyle w:val="Normal"/></w:pPr>
<w:r><w:t xml:space="preserve">two from each tribe.  As the league was originally made up of</w:t></w:r>
</w:p>
<w:p>
<w:pPr><w:pStyle w:val="Normal"/></w:pPr>
<w:r><w:t xml:space="preserve">neighbours, the Dorian tribe must have comprised simply the</w:t></w:r>
</w:p>
<w:p>
<w:pPr><w:pStyle w:val="Normal"/></w:pPr>
<w:r><w:t xml:space="preserve">inhabitants of Doris; the Locrians were probably the eastern</w:t></w:r>
</w:p>
<w:p>
<w:pPr><w:pStyle w:val="Normal"/></w:pPr>
<w:r><w:t xml:space="preserve">(Opuntian) branch; and the Ionians were doubtless limited to</w:t></w:r>
</w:p>
<w:p>
<w:pPr><w:pStyle w:val="Normal"/></w:pPr>
<w:r><w:t xml:space="preserve">the adjacent island of Euboea.  Afterwards, by affiliating</w:t></w:r>
</w:p>
<w:p>
<w:pPr><w:pStyle w:val="Normal"/></w:pPr>
<w:r><w:t xml:space="preserve">themselves to Doris, the Peloponnesian Dorians gained</w:t></w:r>
</w:p>
<w:p>
<w:pPr><w:pStyle w:val="Normal"/></w:pPr>
<w:r><w:t xml:space="preserve">admission, and Athens must have entered as an Ionian city</w:t></w:r>
</w:p>
<w:p>
<w:pPr><w:pStyle w:val="Normal"/></w:pPr>
<w:r><w:t xml:space="preserve">before the first Sacred War. Henceforth Athens monopolized one</w:t></w:r>
</w:p>
<w:p>
<w:pPr><w:pStyle w:val="Normal"/></w:pPr>
<w:r><w:t xml:space="preserve">of the two Ionian votes, while the other passed in rotation</w:t></w:r>
</w:p>
<w:p>
<w:pPr><w:pStyle w:val="Normal"/></w:pPr>
<w:r><w:t xml:space="preserve">among the remaining Ionic, perhaps only among the Euboeic,</w:t></w:r>
</w:p>
<w:p>
<w:pPr><w:pStyle w:val="Normal"/></w:pPr>
<w:r><w:t xml:space="preserve">cities.  In the same way Doris held one Dorian vote and</w:t></w:r>
</w:p>
<w:p>
<w:pPr><w:pStyle w:val="Normal"/></w:pPr>
<w:r><w:t xml:space="preserve">the other passed in rotation among the Dorian cities of</w:t></w:r>
</w:p>
<w:p>
<w:pPr><w:pStyle w:val="Normal"/></w:pPr>
<w:r><w:t xml:space="preserve">Peloponnesus; and the east and west Locrians came to have one</w:t></w:r>
</w:p>
<w:p>
<w:pPr><w:pStyle w:val="Normal"/></w:pPr>
<w:r><w:t xml:space="preserve">each.  When after the second Sacred War the Phocians were</w:t></w:r>
</w:p>
<w:p>
<w:pPr><w:pStyle w:val="Normal"/></w:pPr>
<w:r><w:t xml:space="preserve">expelled, Macedon received their two votes (346 B.C.)</w:t></w:r>
</w:p>
<w:p>
<w:pPr><w:pStyle w:val="Normal"/></w:pPr>
<w:r><w:t xml:space="preserve">About the same time the Perrhaebians and the Dolopians were</w:t></w:r>
</w:p>
<w:p>
<w:pPr><w:pStyle w:val="Normal"/></w:pPr>
<w:r><w:t xml:space="preserve">deprived of half their representation, and the two votes</w:t></w:r>
</w:p>
<w:p>
<w:pPr><w:pStyle w:val="Normal"/></w:pPr>
<w:r><w:t xml:space="preserve">were transferred to the Delphians (inscrr. in N. Jahrb. f.</w:t></w:r>
</w:p>
<w:p>
<w:pPr><w:pStyle w:val="Normal"/></w:pPr>
<w:r><w:t xml:space="preserve">cl.  Philol. clv. 742, cf. 743, 753; Bull.  Hell. xxi.</w:t></w:r>
</w:p>
<w:p>
<w:pPr><w:pStyle w:val="Normal"/></w:pPr>
<w:r><w:t xml:space="preserve">322, cf. 325; Bourguet, Sanct.  Pyth. 145, 147).  In the</w:t></w:r>
</w:p>
<w:p>
<w:pPr><w:pStyle w:val="Normal"/></w:pPr>
<w:r><w:t xml:space="preserve">following century the Aetolians gained such dominance in the</w:t></w:r>
</w:p>
<w:p>
<w:pPr><w:pStyle w:val="Normal"/></w:pPr>
<w:r><w:t xml:space="preserve">amphictyony as to convert the council into an organ of their</w:t></w:r>
</w:p>
<w:p>
<w:pPr><w:pStyle w:val="Normal"/></w:pPr>
<w:r><w:t xml:space="preserve">league.  Recent research has made it appear certain (cf.</w:t></w:r>
</w:p>
<w:p>
<w:pPr><w:pStyle w:val="Normal"/></w:pPr>
<w:r><w:t xml:space="preserve">Pomptow, ib. 754 ff.) that they were never formally admitted</w:t></w:r>
</w:p>
<w:p>
<w:pPr><w:pStyle w:val="Normal"/></w:pPr>
<w:r><w:t xml:space="preserve">to membership, but that they maintained their supremacy in the</w:t></w:r>
</w:p>
<w:p>
<w:pPr><w:pStyle w:val="Normal"/></w:pPr>
<w:r><w:t xml:space="preserve">council (Livy xxxi. 32. 3; Polyb. iv. 25. 8) by controlling</w:t></w:r>
</w:p>
<w:p>
<w:pPr><w:pStyle w:val="Normal"/></w:pPr>
<w:r><w:t xml:space="preserve">the votes of their allies, who-- called Aetolians in the</w:t></w:r>
</w:p>
<w:p>
<w:pPr><w:pStyle w:val="Normal"/></w:pPr>
<w:r><w:t xml:space="preserve">inscriptions--were often in the majority.  They made no material</w:t></w:r>
</w:p>
<w:p>
<w:pPr><w:pStyle w:val="Normal"/></w:pPr>
<w:r><w:t xml:space="preserve">change in its composition, which, accordingly, after the</w:t></w:r>
</w:p>
<w:p>
<w:pPr><w:pStyle w:val="Normal"/></w:pPr>
<w:r><w:t xml:space="preserve">dissolution of their league by the Romans is found to be nearly</w:t></w:r>
</w:p>
<w:p>
<w:pPr><w:pStyle w:val="Normal"/></w:pPr>
<w:r><w:t xml:space="preserve">as it was after the second Sacred War. A few minor changes</w:t></w:r>
</w:p>
<w:p>
<w:pPr><w:pStyle w:val="Normal"/></w:pPr>
<w:r><w:t xml:space="preserve">came in under the supremacy of the Roman republic; and finally</w:t></w:r>
</w:p>
<w:p>
<w:pPr><w:pStyle w:val="Normal"/></w:pPr>
<w:r><w:t xml:space="preserve">Augustus increased the number of votes to thirty, and distributed</w:t></w:r>
</w:p>
<w:p>
<w:pPr><w:pStyle w:val="Normal"/></w:pPr>
<w:r><w:t xml:space="preserve">them according to his pleasure.  In the age of the Antonines</w:t></w:r>
</w:p>
<w:p>
<w:pPr><w:pStyle w:val="Normal"/></w:pPr>
<w:r><w:t xml:space="preserve">the association was still in existence (paus. x. 8. 4 f.).</w:t></w:r>
</w:p>
<w:p>
<w:pPr><w:pStyle w:val="Normal"/></w:pPr>
<w:r><w:t xml:space="preserve">Although the hieromnemones of the Thessalians, who held the</w:t></w:r>
</w:p>
<w:p>
<w:pPr><w:pStyle w:val="Normal"/></w:pPr>
<w:r><w:t xml:space="preserve">presidency, and perhaps of a few other communities, must have</w:t></w:r>
</w:p>
<w:p>
<w:pPr><w:pStyle w:val="Normal"/></w:pPr>
<w:r><w:t xml:space="preserve">been elected, the office was ordinarily, as at Athens, filled</w:t></w:r>
</w:p>
<w:p>
<w:pPr><w:pStyle w:val="Normal"/></w:pPr>
<w:r><w:t xml:space="preserve">by lot.  As a rule they were renewed annually (Aristoph.</w:t></w:r>
</w:p>
<w:p>
<w:pPr><w:pStyle w:val="Normal"/></w:pPr>
<w:r><w:t xml:space="preserve">Clouds, 623 f.; Foucart, in Bull.  Hell. vii. 411, 413</w:t></w:r>
</w:p>
<w:p>
<w:pPr><w:pStyle w:val="Normal"/></w:pPr>
<w:r><w:t xml:space="preserve">f.).  Each hieromnemon was accompanied by two pylagori,</w:t></w:r>
</w:p>
<w:p>
<w:pPr><w:pStyle w:val="Normal"/></w:pPr>
<w:r><w:t xml:space="preserve">elected semi-annually (Demosth. xviii. 149; Aeschin.</w:t></w:r>
</w:p>
<w:p>
<w:pPr><w:pStyle w:val="Normal"/></w:pPr>
<w:r><w:t xml:space="preserve">iii. 115; Tim. Lex. Plat., s.v. &apos;Amfiktuones), and</w:t></w:r>
</w:p>
<w:p>
<w:pPr><w:pStyle w:val="Normal"/></w:pPr>
<w:r><w:t xml:space="preserve">representing the same tribe, though not necessarily the same</w:t></w:r>
</w:p>
<w:p>
<w:pPr><w:pStyle w:val="Normal"/></w:pPr>
<w:r><w:t xml:space="preserve">city.  On one occasion Athens is known to have sent three.</w:t></w:r>
</w:p>
<w:p>
<w:pPr><w:pStyle w:val="Normal"/></w:pPr>
<w:r><w:t xml:space="preserve">The hieromnemones were formally superior, but because of the</w:t></w:r>
</w:p>
<w:p>
<w:pPr><w:pStyle w:val="Normal"/></w:pPr>
<w:r><w:t xml:space="preserve">method of appointment they were necessarily men of mediocre</w:t></w:r>
</w:p>
<w:p>
<w:pPr><w:pStyle w:val="Normal"/></w:pPr>
<w:r><w:t xml:space="preserve">ability, inexperienced in speaking and public business, and</w:t></w:r>
</w:p>
<w:p>
<w:pPr><w:pStyle w:val="Normal"/></w:pPr>
<w:r><w:t xml:space="preserve">for that reason they readily became the tools of the pylagori,</w:t></w:r>
</w:p>
<w:p>
<w:pPr><w:pStyle w:val="Normal"/></w:pPr>
<w:r><w:t xml:space="preserve">who were orators and statesmen.  In the literary sources,</w:t></w:r>
</w:p>
<w:p>
<w:pPr><w:pStyle w:val="Normal"/></w:pPr>
<w:r><w:t xml:space="preserve">accordingly, the latter are rightly given credit for the acts</w:t></w:r>
</w:p>
<w:p>
<w:pPr><w:pStyle w:val="Normal"/></w:pPr>
<w:r><w:t xml:space="preserve">of the council; it was the pylagori who set a price on the</w:t></w:r>
</w:p>
<w:p>
<w:pPr><w:pStyle w:val="Normal"/></w:pPr>
<w:r><w:t xml:space="preserve">head of the traitor Ephialtes ( Herod. vii. 213 ), and who</w:t></w:r>
</w:p>
<w:p>
<w:pPr><w:pStyle w:val="Normal"/></w:pPr>
<w:r><w:t xml:space="preserve">on the motion of Themistocles rejected the proposition of</w:t></w:r>
</w:p>
<w:p>
<w:pPr><w:pStyle w:val="Normal"/></w:pPr>
<w:r><w:t xml:space="preserve">Lacedaemon for the expulsion of the states which had sided</w:t></w:r>
</w:p>
<w:p>
<w:pPr><w:pStyle w:val="Normal"/></w:pPr>
<w:r><w:t xml:space="preserve">with Persia (Plut. Them. 20). The pylagori had a right</w:t></w:r>
</w:p>
<w:p>
<w:pPr><w:pStyle w:val="Normal"/></w:pPr>
<w:r><w:t xml:space="preserve">to propose measures and to take part in the deliberations;</w:t></w:r>
</w:p>
<w:p>
<w:pPr><w:pStyle w:val="Normal"/></w:pPr>
<w:r><w:t xml:space="preserve">they as well as the hieromnemones were required to take the</w:t></w:r>
</w:p>
<w:p>
<w:pPr><w:pStyle w:val="Normal"/></w:pPr>
<w:r><w:t xml:space="preserve">juror&apos;s oath; and the acts of the council were inscribed</w:t></w:r>
</w:p>
<w:p>
<w:pPr><w:pStyle w:val="Normal"/></w:pPr>
<w:r><w:t xml:space="preserve">officially as resolutions of the hieromnemones and pylagori</w:t></w:r>
</w:p>
<w:p>
<w:pPr><w:pStyle w:val="Normal"/></w:pPr>
<w:r><w:t xml:space="preserve">conjointly.  The hieromnemon, however, cast the vote of his</w:t></w:r>
</w:p>
<w:p>
<w:pPr><w:pStyle w:val="Normal"/></w:pPr>
<w:r><w:t xml:space="preserve">community, though in the record his two pylagori were made</w:t></w:r>
</w:p>
<w:p>
<w:pPr><w:pStyle w:val="Normal"/></w:pPr>
<w:r><w:t xml:space="preserve">equally responsible for it.  The necessary inference from these</w:t></w:r>
</w:p>
<w:p>
<w:pPr><w:pStyle w:val="Normal"/></w:pPr>
<w:r><w:t xml:space="preserve">facts is that the vote was determined by a majority of the three</w:t></w:r>
</w:p>
<w:p>
<w:pPr><w:pStyle w:val="Normal"/></w:pPr>
<w:r><w:t xml:space="preserve">deputies (inscr. in Bull.  Hell. xxvii. 106-111, A 20-33; B</w:t></w:r>
</w:p>
<w:p>
<w:pPr><w:pStyle w:val="Normal"/></w:pPr>
<w:r><w:t xml:space="preserve">1-10).  The council decided all questions which fell within its</w:t></w:r>
</w:p>
<w:p>
<w:pPr><w:pStyle w:val="Normal"/></w:pPr>
<w:r><w:t xml:space="preserve">competence.  Matters of greater importance, as the levy of an</w:t></w:r>
</w:p>
<w:p>
<w:pPr><w:pStyle w:val="Normal"/></w:pPr>
<w:r><w:t xml:space="preserve">extraordinary fine on a state or the declaration of a sacred</w:t></w:r>
</w:p>
<w:p>
<w:pPr><w:pStyle w:val="Normal"/></w:pPr>
<w:r><w:t xml:space="preserve">war, it presented in the form of a resolution to an assembly</w:t></w:r>
</w:p>
<w:p>
<w:pPr><w:pStyle w:val="Normal"/></w:pPr>
<w:r><w:t xml:space="preserve">(ekklesia), composed of the deputies, the amphictyonic</w:t></w:r>
</w:p>
<w:p>
<w:pPr><w:pStyle w:val="Normal"/></w:pPr>
<w:r><w:t xml:space="preserve">priests, and any other citizens of the league who chanced</w:t></w:r>
</w:p>
<w:p>
<w:pPr><w:pStyle w:val="Normal"/></w:pPr>
<w:r><w:t xml:space="preserve">to be present (Aeschin. iii. 124; cf.  Hyp. iv. 7, 26</w:t></w:r>
</w:p>
<w:p>
<w:pPr><w:pStyle w:val="Normal"/></w:pPr>
<w:r><w:t xml:space="preserve">f.).  This assembly was relatively unimportant, however,</w:t></w:r>
</w:p>
<w:p>
<w:pPr><w:pStyle w:val="Normal"/></w:pPr>
<w:r><w:t xml:space="preserve">and is mentioned only by the two authorities here cited.</w:t></w:r>
</w:p>
<w:p>
<w:pPr><w:pStyle w:val="Normal"/></w:pPr>
<w:r><w:t xml:space="preserve">It is now well established by epigraphic evidence (Bull.</w:t></w:r>
</w:p>
<w:p>
<w:pPr><w:pStyle w:val="Normal"/></w:pPr>
<w:r><w:t xml:space="preserve">Hell. vii. 412 f., 417; Pomptow, in N. Jahrb. f. cl.</w:t></w:r>
</w:p>
<w:p>
<w:pPr><w:pStyle w:val="Normal"/></w:pPr>
<w:r><w:t xml:space="preserve">Philol. cxlix. 826-829) that the amphictyons met both in</w:t></w:r>
</w:p>
<w:p>
<w:pPr><w:pStyle w:val="Normal"/></w:pPr>
<w:r><w:t xml:space="preserve">the spring and in the autumn at Delphi, and the literary</w:t></w:r>
</w:p>
<w:p>
<w:pPr><w:pStyle w:val="Normal"/></w:pPr>
<w:r><w:t xml:space="preserve">sources should alone be sufficient authority for meetings</w:t></w:r>
</w:p>
<w:p>
<w:pPr><w:pStyle w:val="Normal"/></w:pPr>
<w:r><w:t xml:space="preserve">in the same seasons at Thermopylae (Hyp. iv. 7, 25 ff.;</w:t></w:r>
</w:p>
<w:p>
<w:pPr><w:pStyle w:val="Normal"/></w:pPr>
<w:r><w:t xml:space="preserve">Strabo ix. 3, 7, 4, 17; Harpocration, s.v. Pulai.)</w:t></w:r>
</w:p>
<w:p>
<w:pPr><w:pStyle w:val="Normal"/></w:pPr>
<w:r><w:t xml:space="preserve">It is known, too, that the meeting at Thermopylae followed</w:t></w:r>
</w:p>
<w:p>
<w:pPr><w:pStyle w:val="Normal"/></w:pPr>
<w:r><w:t xml:space="preserve">that at Delphi (inscr. in Bull.  Hell. xxiv. 136 f.).</w:t></w:r>
</w:p>
<w:p>
<w:pPr><w:pStyle w:val="Normal"/></w:pPr>
<w:r><w:t xml:space="preserve">The primary function of the council was to administer the</w:t></w:r>
</w:p>
<w:p>
<w:pPr><w:pStyle w:val="Normal"/></w:pPr>
<w:r><w:t xml:space="preserve">temporal affairs of the two shrines, of which the sanctuary</w:t></w:r>
</w:p>
<w:p>
<w:pPr><w:pStyle w:val="Normal"/></w:pPr>
<w:r><w:t xml:space="preserve">of Apollo at Delphi claimed by far the greater share of</w:t></w:r>
</w:p>
<w:p>
<w:pPr><w:pStyle w:val="Normal"/></w:pPr>
<w:r><w:t xml:space="preserve">attention.  The hieromnemones were required periodically to</w:t></w:r>
</w:p>
<w:p>
<w:pPr><w:pStyle w:val="Normal"/></w:pPr>
<w:r><w:t xml:space="preserve">inspect the lands belonging to this god, to punish those who</w:t></w:r>
</w:p>
<w:p>
<w:pPr><w:pStyle w:val="Normal"/></w:pPr>
<w:r><w:t xml:space="preserve">encroached, and to see that the tenants rendered their quota</w:t></w:r>
</w:p>
<w:p>
<w:pPr><w:pStyle w:val="Normal"/></w:pPr>
<w:r><w:t xml:space="preserve">of produce; and the council held the states responsible for</w:t></w:r>
</w:p>
<w:p>
<w:pPr><w:pStyle w:val="Normal"/></w:pPr>
<w:r><w:t xml:space="preserve">the right performance of such duties by their respective</w:t></w:r>
</w:p>
<w:p>
<w:pPr><w:pStyle w:val="Normal"/></w:pPr>
<w:r><w:t xml:space="preserve">deputies (CIA. ii. 545; inscr. in Bull.  Hell. vii. 428</w:t></w:r>
</w:p>
<w:p>
<w:pPr><w:pStyle w:val="Normal"/></w:pPr>
<w:r><w:t xml:space="preserve">f.).  Another task of the council was to supervise the treasury,</w:t></w:r>
</w:p>
<w:p>
<w:pPr><w:pStyle w:val="Normal"/></w:pPr>
<w:r><w:t xml:space="preserve">to protect it from thieves, and by investments to increase</w:t></w:r>
</w:p>
<w:p>
<w:pPr><w:pStyle w:val="Normal"/></w:pPr>
<w:r><w:t xml:space="preserve">the capital (Strabo ix. 3, 7; Isoc. xv. 232; Demosth. xxi.</w:t></w:r>
</w:p>
<w:p>
<w:pPr><w:pStyle w:val="Normal"/></w:pPr>
<w:r><w:t xml:space="preserve">144; Plut. Sull. 12). Naturally, too, it controlled the</w:t></w:r>
</w:p>
<w:p>
<w:pPr><w:pStyle w:val="Normal"/></w:pPr>
<w:r><w:t xml:space="preserve">expenditure.  We find it, accordingly, in the 6th century</w:t></w:r>
</w:p>
<w:p>
<w:pPr><w:pStyle w:val="Normal"/></w:pPr>
<w:r><w:t xml:space="preserve">B.C. contracting for the rebuilding of the Delphic temple</w:t></w:r>
</w:p>
<w:p>
<w:pPr><w:pStyle w:val="Normal"/></w:pPr>
<w:r><w:t xml:space="preserve">after it had been destroyed by fire (Herod. v. 62; Paus. x. 5.</w:t></w:r>
</w:p>
<w:p>
<w:pPr><w:pStyle w:val="Normal"/></w:pPr>
<w:r><w:t xml:space="preserve">13), and in the 4th century creating an Hellenic college of</w:t></w:r>
</w:p>
<w:p>
<w:pPr><w:pStyle w:val="Normal"/></w:pPr>
<w:r><w:t xml:space="preserve">temple-builders for the purpose (inscrr. in Bull.  Hell.</w:t></w:r>
</w:p>
<w:p>
<w:pPr><w:pStyle w:val="Normal"/></w:pPr>
<w:r><w:t xml:space="preserve">xx. 202 f., 206, xxi. 478, xxiv. 464), adorning the interior</w:t></w:r>
</w:p>
<w:p>
<w:pPr><w:pStyle w:val="Normal"/></w:pPr>
<w:r><w:t xml:space="preserve">with statues and pictures (Diod. xvi. 33), inscribing the</w:t></w:r>
</w:p>
<w:p>
<w:pPr><w:pStyle w:val="Normal"/></w:pPr>
<w:r><w:t xml:space="preserve">proverbs of the Seven Sages on the walls (Paus. x. 24. 1),</w:t></w:r>
</w:p>
<w:p>
<w:pPr><w:pStyle w:val="Normal"/></w:pPr>
<w:r><w:t xml:space="preserve">bestowing crowns on benefactors of the god (CIG. i. 1689 b),</w:t></w:r>
</w:p>
<w:p>
<w:pPr><w:pStyle w:val="Normal"/></w:pPr>
<w:r><w:t xml:space="preserve">preparing for the Pythian games, awarding the prizes (Pind.</w:t></w:r>
</w:p>
<w:p>
<w:pPr><w:pStyle w:val="Normal"/></w:pPr>
<w:r><w:t xml:space="preserve">Pyth. iv. 66, x. 8 f.), instituting a board of treasurers</w:t></w:r>
</w:p>
<w:p>
<w:pPr><w:pStyle w:val="Normal"/></w:pPr>
<w:r><w:t xml:space="preserve">(inscr. in Bourguet, Sanct.  Pyth. 175 ff.) and issuing</w:t></w:r>
</w:p>
<w:p>
<w:pPr><w:pStyle w:val="Normal"/></w:pPr>
<w:r><w:t xml:space="preserve">coins.  It was also in the material interest of Apollo that</w:t></w:r>
</w:p>
<w:p>
<w:pPr><w:pStyle w:val="Normal"/></w:pPr>
<w:r><w:t xml:space="preserve">the council passed a law which forbade the Greeks to levy tolls</w:t></w:r>
</w:p>
<w:p>
<w:pPr><w:pStyle w:val="Normal"/></w:pPr>
<w:r><w:t xml:space="preserve">on pilgrims to the shrine (Aeschin. iii. 107; Strabo ix. 3,</w:t></w:r>
</w:p>
<w:p>
<w:pPr><w:pStyle w:val="Normal"/></w:pPr>
<w:r><w:t xml:space="preserve">4), and another requiring the amphictyonic states to keep in</w:t></w:r>
</w:p>
<w:p>
<w:pPr><w:pStyle w:val="Normal"/></w:pPr>
<w:r><w:t xml:space="preserve">repair their own roads which led towards Delphi (CIA. ii.</w:t></w:r>
</w:p>
<w:p>
<w:pPr><w:pStyle w:val="Normal"/></w:pPr>
<w:r><w:t xml:space="preserve">545).  A law of great interest, dating from the beginning</w:t></w:r>
</w:p>
<w:p>
<w:pPr><w:pStyle w:val="Normal"/></w:pPr>
<w:r><w:t xml:space="preserve">of the institution, imposed an oath upon the members of the</w:t></w:r>
</w:p>
<w:p>
<w:pPr><w:pStyle w:val="Normal"/></w:pPr>
<w:r><w:t xml:space="preserve">league not to destroy an amphictyonic city or to cut it off</w:t></w:r>
</w:p>
<w:p>
<w:pPr><w:pStyle w:val="Normal"/></w:pPr>
<w:r><w:t xml:space="preserve">from running water in war or peace; but to wage war upon</w:t></w:r>
</w:p>
<w:p>
<w:pPr><w:pStyle w:val="Normal"/></w:pPr>
<w:r><w:t xml:space="preserve">those who transgressed this ordinance, to destroy their</w:t></w:r>
</w:p>
<w:p>
<w:pPr><w:pStyle w:val="Normal"/></w:pPr>
<w:r><w:t xml:space="preserve">cities, and to punish any others who by theft or plotting</w:t></w:r>
</w:p>
<w:p>
<w:pPr><w:pStyle w:val="Normal"/></w:pPr>
<w:r><w:t xml:space="preserve">sought to injure the god (Aeschin. ii. 115).  In this</w:t></w:r>
</w:p>
<w:p>
<w:pPr><w:pStyle w:val="Normal"/></w:pPr>
<w:r><w:t xml:space="preserve">regulation, which was intended to mitigate the usages of</w:t></w:r>
</w:p>
<w:p>
<w:pPr><w:pStyle w:val="Normal"/></w:pPr>
<w:r><w:t xml:space="preserve">war amongst the members of the league, we have one of the</w:t></w:r>
</w:p>
<w:p>
<w:pPr><w:pStyle w:val="Normal"/></w:pPr>
<w:r><w:t xml:space="preserve">origins of Greek interstate law.  Though other regulations</w:t></w:r>
</w:p>
<w:p>
<w:pPr><w:pStyle w:val="Normal"/></w:pPr>
<w:r><w:t xml:space="preserve">were made to secure peace at the time of the festival</w:t></w:r>
</w:p>
<w:p>
<w:pPr><w:pStyle w:val="Normal"/></w:pPr>
<w:r><w:t xml:space="preserve">(Dion.  Hal. iv. 25. 3), and though occasionally the council</w:t></w:r>
</w:p>
<w:p>
<w:pPr><w:pStyle w:val="Normal"/></w:pPr>
<w:r><w:t xml:space="preserve">was called upon to arbitrate in a dispute (cf. Demosth.</w:t></w:r>
</w:p>
<w:p>
<w:pPr><w:pStyle w:val="Normal"/></w:pPr>
<w:r><w:t xml:space="preserve">xviii. 135), no provision was made to compel arbitration.</w:t></w:r>
</w:p>
<w:p>
<w:pPr><w:pStyle w:val="Normal"/></w:pPr>
<w:r><w:t xml:space="preserve">For the enforcement of such laws and for administrative</w:t></w:r>
</w:p>
<w:p>
<w:pPr><w:pStyle w:val="Normal"/></w:pPr>
<w:r><w:t xml:space="preserve">efficiency in general it was necessary that the council should</w:t></w:r>
</w:p>
<w:p>
<w:pPr><w:pStyle w:val="Normal"/></w:pPr>
<w:r><w:t xml:space="preserve">have judicial power.  As jurors the deputies took an oath to</w:t></w:r>
</w:p>
<w:p>
<w:pPr><w:pStyle w:val="Normal"/></w:pPr>
<w:r><w:t xml:space="preserve">decide according to written law, or in cases not covered by</w:t></w:r>
</w:p>
<w:p>
<w:pPr><w:pStyle w:val="Normal"/></w:pPr>
<w:r><w:t xml:space="preserve">law, according to their best will and judgment (CIA. ii.</w:t></w:r>
</w:p>
<w:p>
<w:pPr><w:pStyle w:val="Normal"/></w:pPr>
<w:r><w:t xml:space="preserve">545).  The earliest known amphictyonic penalty was the</w:t></w:r>
</w:p>
<w:p>
<w:pPr><w:pStyle w:val="Normal"/></w:pPr>
<w:r><w:t xml:space="preserve">destruction of Crisa for having levied tolls on pilgrims</w:t></w:r>
</w:p>
<w:p>
<w:pPr><w:pStyle w:val="Normal"/></w:pPr>
<w:r><w:t xml:space="preserve">(Aeschin. iii. 107; Strabo ix. 3, 4; cf.  Paus. x. 37.</w:t></w:r>
</w:p>
<w:p>
<w:pPr><w:pStyle w:val="Normal"/></w:pPr>
<w:r><w:t xml:space="preserve">5-8).  This offence was the cause of the first Sacred War.</w:t></w:r>
</w:p>
<w:p>
<w:pPr><w:pStyle w:val="Normal"/></w:pPr>
<w:r><w:t xml:space="preserve">The second and third Sacred Wars, fought in the 4th century</w:t></w:r>
</w:p>
<w:p>
<w:pPr><w:pStyle w:val="Normal"/></w:pPr>
<w:r><w:t xml:space="preserve">B.C., were waged by the amphictyons against the Phocians</w:t></w:r>
</w:p>
<w:p>
<w:pPr><w:pStyle w:val="Normal"/></w:pPr>
<w:r><w:t xml:space="preserve">and the Amphissaeans respectively for alleged trespassing on</w:t></w:r>
</w:p>
<w:p>
<w:pPr><w:pStyle w:val="Normal"/></w:pPr>
<w:r><w:t xml:space="preserve">the sacred lands (Aeschin. iii. 124, 128; Diod. xvi. 23, 31</w:t></w:r>
</w:p>
<w:p>
<w:pPr><w:pStyle w:val="Normal"/></w:pPr>
<w:r><w:t xml:space="preserve">f.).  In the 5th century the council fined the Dolopians for</w:t></w:r>
</w:p>
<w:p>
<w:pPr><w:pStyle w:val="Normal"/></w:pPr>
<w:r><w:t xml:space="preserve">having disturbed commerce by their piracy (Plut. Cim. 8),</w:t></w:r>
</w:p>
<w:p>
<w:pPr><w:pStyle w:val="Normal"/></w:pPr>
<w:r><w:t xml:space="preserve">and in the 4th century the Lacedaemonians for having occupied</w:t></w:r>
</w:p>
<w:p>
<w:pPr><w:pStyle w:val="Normal"/></w:pPr>
<w:r><w:t xml:space="preserve">the citadel of Thebes in time of peace (Diod. xvi. 23, 29).</w:t></w:r>
</w:p>
<w:p>
<w:pPr><w:pStyle w:val="Normal"/></w:pPr>
<w:r><w:t xml:space="preserve">The judgments of the council were sometimes considered unfair,</w:t></w:r>
</w:p>
<w:p>
<w:pPr><w:pStyle w:val="Normal"/></w:pPr>
<w:r><w:t xml:space="preserve">and were occasionally defied by the states affected.  The</w:t></w:r>
</w:p>
<w:p>
<w:pPr><w:pStyle w:val="Normal"/></w:pPr>
<w:r><w:t xml:space="preserve">Lacedaemonians refused to pay the fine above mentioned; the</w:t></w:r>
</w:p>
<w:p>
<w:pPr><w:pStyle w:val="Normal"/></w:pPr>
<w:r><w:t xml:space="preserve">Athenians protested against the treatment of Amphissa, and were</w:t></w:r>
</w:p>
<w:p>
<w:pPr><w:pStyle w:val="Normal"/></w:pPr>
<w:r><w:t xml:space="preserve">slow in accepting the decisions given under the influence of</w:t></w:r>
</w:p>
<w:p>
<w:pPr><w:pStyle w:val="Normal"/></w:pPr>
<w:r><w:t xml:space="preserve">Macedon.  The inability of the council to enforce its</w:t></w:r>
</w:p>
<w:p>
<w:pPr><w:pStyle w:val="Normal"/></w:pPr>
<w:r><w:t xml:space="preserve">resolutions was chiefly due to its composition; the majority</w:t></w:r>
</w:p>
<w:p>
<w:pPr><w:pStyle w:val="Normal"/></w:pPr>
<w:r><w:t xml:space="preserve">of the communities represented were even in combination no</w:t></w:r>
</w:p>
<w:p>
<w:pPr><w:pStyle w:val="Normal"/></w:pPr>
<w:r><w:t xml:space="preserve">match for individual cities like Athens, Sparta or Thebes.</w:t></w:r>
</w:p>
<w:p>
<w:pPr><w:pStyle w:val="Normal"/></w:pPr>
<w:r><w:t xml:space="preserve">The council was a power in politics only when manipulated by</w:t></w:r>
</w:p>
<w:p>
<w:pPr><w:pStyle w:val="Normal"/></w:pPr>
<w:r><w:t xml:space="preserve">a great state, as Thebes, Macedon or Aetolia, and in such a</w:t></w:r>
</w:p>
<w:p>
<w:pPr><w:pStyle w:val="Normal"/></w:pPr>
<w:r><w:t xml:space="preserve">case its decrees were most likely to give offence by their</w:t></w:r>
</w:p>
<w:p>
<w:pPr><w:pStyle w:val="Normal"/></w:pPr>
<w:r><w:t xml:space="preserve">partisanship.  Although the council sometimes championed</w:t></w:r>
</w:p>
<w:p>
<w:pPr><w:pStyle w:val="Normal"/></w:pPr>
<w:r><w:t xml:space="preserve">the Hellenic cause, as could any association or individual,</w:t></w:r>
</w:p>
<w:p>
<w:pPr><w:pStyle w:val="Normal"/></w:pPr>
<w:r><w:t xml:space="preserve">it never acquired a recognized authority over all Greece;</w:t></w:r>
</w:p>
<w:p>
<w:pPr><w:pStyle w:val="Normal"/></w:pPr>
<w:r><w:t xml:space="preserve">and notwithstanding its frequent participation in political</w:t></w:r>
</w:p>
<w:p>
<w:pPr><w:pStyle w:val="Normal"/></w:pPr>
<w:r><w:t xml:space="preserve">affairs, it remained essentially a religious convocation.</w:t></w:r>
</w:p>
<w:p>
<w:pPr><w:pStyle w:val="Normal"/></w:pPr>
<w:r><w:t xml:space="preserve">In addition to the three associations thus far mentioned</w:t></w:r>
</w:p>
<w:p>
<w:pPr><w:pStyle w:val="Normal"/></w:pPr>
<w:r><w:t xml:space="preserve">there was an amphictyony of Onchestus (Strabo ix. 2, 33).</w:t></w:r>
</w:p>
<w:p>
<w:pPr><w:pStyle w:val="Normal"/></w:pPr>
<w:r><w:t xml:space="preserve">It may be inferred from a comparison of Paus. iv. 5. 2 with</w:t></w:r>
</w:p>
<w:p>
<w:pPr><w:pStyle w:val="Normal"/></w:pPr>
<w:r><w:t xml:space="preserve">Herod. vi. 92 that there was an amphictyony of Argos of</w:t></w:r>
</w:p>
<w:p>
<w:pPr><w:pStyle w:val="Normal"/></w:pPr>
<w:r><w:t xml:space="preserve">which Epidaurus and Aegina were members.  An amphictyony</w:t></w:r>
</w:p>
<w:p>
<w:pPr><w:pStyle w:val="Normal"/></w:pPr>
<w:r><w:t xml:space="preserve">of Corinth has, with less justification, been assumed on</w:t></w:r>
</w:p>
<w:p>
<w:pPr><w:pStyle w:val="Normal"/></w:pPr>
<w:r><w:t xml:space="preserve">the strength of a passage in Pindar (Nem. Od. vi. 40-42).</w:t></w:r>
</w:p>
<w:p>
<w:pPr><w:pStyle w:val="Normal"/></w:pPr>
<w:r><w:t xml:space="preserve">AUTHORITIES.--Foucart, ``Amphictyones,&apos;&apos; in Daremberg and</w:t></w:r>
</w:p>
<w:p>
<w:pPr><w:pStyle w:val="Normal"/></w:pPr>
<w:r><w:t xml:space="preserve">Saglio, Dict. d. antiq. grecq. et rom. (1873) i. 235-238; F.</w:t></w:r>
</w:p>
<w:p>
<w:pPr><w:pStyle w:val="Normal"/></w:pPr>
<w:r><w:t xml:space="preserve">Qauer, ``Amphiktyonia,&apos;&apos; in Pauly-Wissowa, Realencycl. d.</w:t></w:r>
</w:p>
<w:p>
<w:pPr><w:pStyle w:val="Normal"/></w:pPr>
<w:r><w:t xml:space="preserve">cl.  Altertumswiss. (1894) i. 1904-1935; Pomptow, Fasti</w:t></w:r>
</w:p>
<w:p>
<w:pPr><w:pStyle w:val="Normal"/></w:pPr>
<w:r><w:t xml:space="preserve">Delphici, ii. in Neue Jalhrb. f. cl.  Philol. (1894) cxlix.</w:t></w:r>
</w:p>
<w:p>
<w:pPr><w:pStyle w:val="Normal"/></w:pPr>
<w:r><w:t xml:space="preserve">497-558, clv. (1897) 737-763, 783-848; E. A. Freeman, History</w:t></w:r>
</w:p>
<w:p>
<w:pPr><w:pStyle w:val="Normal"/></w:pPr>
<w:r><w:t xml:space="preserve">of Federal Government in Greece and Italy (2nd ed., London</w:t></w:r>
</w:p>
<w:p>
<w:pPr><w:pStyle w:val="Normal"/></w:pPr>
<w:r><w:t xml:space="preserve">and New York, 1895), 95-111; W. S. Ferguson, Schomann-Lipsius,</w:t></w:r>
</w:p>
<w:p>
<w:pPr><w:pStyle w:val="Normal"/></w:pPr>
<w:r><w:t xml:space="preserve">Griechische Alterthumer (1902), ii. 29-44; E. Bourguet,</w:t></w:r>
</w:p>
<w:p>
<w:pPr><w:pStyle w:val="Normal"/></w:pPr>
<w:r><w:t xml:space="preserve">L&apos;Administration financiere du sanctuaire pythioue au IVe</w:t></w:r>
</w:p>
<w:p>
<w:pPr><w:pStyle w:val="Normal"/></w:pPr>
<w:r><w:t xml:space="preserve">siecle avant J.-C (Paris, 1905).  The earlier literature</w:t></w:r>
</w:p>
<w:p>
<w:pPr><w:pStyle w:val="Normal"/></w:pPr>
<w:r><w:t xml:space="preserve">has been deprived of a great part of its value by recent</w:t></w:r>
</w:p>
<w:p>
<w:pPr><w:pStyle w:val="Normal"/></w:pPr>
<w:r><w:t xml:space="preserve">discoveries of inscriptions, many of which may be found in</w:t></w:r>
</w:p>
<w:p>
<w:pPr><w:pStyle w:val="Normal"/></w:pPr>
<w:r><w:t xml:space="preserve">the Bulletin de correspondance hellenique, iii. vii.</w:t></w:r>
</w:p>
<w:p>
<w:pPr><w:pStyle w:val="Normal"/></w:pPr>
<w:r><w:t xml:space="preserve">viii. x. xx. xxi. xxiv. xxvi. xxvii., edited with commentary</w:t></w:r>
</w:p>
<w:p>
<w:pPr><w:pStyle w:val="Normal"/></w:pPr>
<w:r><w:t xml:space="preserve">chiefly by Bourguet, Colin, Foucart and Homolle.  See also</w:t></w:r>
</w:p>
<w:p>
<w:pPr><w:pStyle w:val="Normal"/></w:pPr>
<w:r><w:t xml:space="preserve">H. Collitz, Sammlung d. griech.  Dialekt-Inschriften, ii.</w:t></w:r>
</w:p>
<w:p>
<w:pPr><w:pStyle w:val="Normal"/></w:pPr>
<w:r><w:t xml:space="preserve">p. 643 ff. and Nos. 2508 ff., edited by Baunack. (G. W. B.)</w:t></w:r>
</w:p>
<w:p>
<w:pPr><w:pStyle w:val="Normal"/></w:pPr>
<w:r><w:t xml:space="preserve">AMPHILOCHUS, in Greek legend, a famous seer, son of Amphiaraus</w:t></w:r>
</w:p>
<w:p>
<w:pPr><w:pStyle w:val="Normal"/></w:pPr>
<w:r><w:t xml:space="preserve">and Eriphyle and brother of Alcmaeon.  According to some</w:t></w:r>
</w:p>
<w:p>
<w:pPr><w:pStyle w:val="Normal"/></w:pPr>
<w:r><w:t xml:space="preserve">he assisted in the murder of Eriphyle, which, according to</w:t></w:r>
</w:p>
<w:p>
<w:pPr><w:pStyle w:val="Normal"/></w:pPr>
<w:r><w:t xml:space="preserve">others, was carried out by Alcmaeon alone (Apollodorus iii.</w:t></w:r>
</w:p>
<w:p>
<w:pPr><w:pStyle w:val="Normal"/></w:pPr>
<w:r><w:t xml:space="preserve">6, 7). He took part in the expedition of the Epigoni against</w:t></w:r>
</w:p>
<w:p>
<w:pPr><w:pStyle w:val="Normal"/></w:pPr>
<w:r><w:t xml:space="preserve">Thebes and in the Trojan War. After the fall of Troy he</w:t></w:r>
</w:p>
<w:p>
<w:pPr><w:pStyle w:val="Normal"/></w:pPr>
<w:r><w:t xml:space="preserve">founded, in conjunction with Mopsus, another famous seer,</w:t></w:r>
</w:p>
<w:p>
<w:pPr><w:pStyle w:val="Normal"/></w:pPr>
<w:r><w:t xml:space="preserve">the oracle of Mallos in Cilicia.  The two seers afterwards</w:t></w:r>
</w:p>
<w:p>
<w:pPr><w:pStyle w:val="Normal"/></w:pPr>
<w:r><w:t xml:space="preserve">fought for its possession, and both were slain in the</w:t></w:r>
</w:p>
<w:p>
<w:pPr><w:pStyle w:val="Normal"/></w:pPr>
<w:r><w:t xml:space="preserve">combat.  Amphilochus is also said to have been killed by</w:t></w:r>
</w:p>
<w:p>
<w:pPr><w:pStyle w:val="Normal"/></w:pPr>
<w:r><w:t xml:space="preserve">Apollo (Strabo xiv. 675, 676).  According to another story,</w:t></w:r>
</w:p>
<w:p>
<w:pPr><w:pStyle w:val="Normal"/></w:pPr>
<w:r><w:t xml:space="preserve">he returned to Argos from Troy, but, being dissatisfied</w:t></w:r>
</w:p>
<w:p>
<w:pPr><w:pStyle w:val="Normal"/></w:pPr>
<w:r><w:t xml:space="preserve">with the condition of things there, left it for Acarnania,</w:t></w:r>
</w:p>
<w:p>
<w:pPr><w:pStyle w:val="Normal"/></w:pPr>
<w:r><w:t xml:space="preserve">where he founded Amphilochian Argos on the Ambracian</w:t></w:r>
</w:p>
<w:p>
<w:pPr><w:pStyle w:val="Normal"/></w:pPr>
<w:r><w:t xml:space="preserve">gulf.  He was worshipped at Oropus, Athens and Sparta.</w:t></w:r>
</w:p>
<w:p>
<w:pPr><w:pStyle w:val="Normal"/></w:pPr>
<w:r><w:t xml:space="preserve">Strabo xiv. pp. 675, 676; Thucydides ii. 68; Pausanias i. 34, iii. 15.</w:t></w:r>
</w:p>
<w:p>
<w:pPr><w:pStyle w:val="Normal"/></w:pPr>
<w:r><w:t xml:space="preserve">AMPHION and ZETHUS, in ancient Greek mythology, the twin</w:t></w:r>
</w:p>
<w:p>
<w:pPr><w:pStyle w:val="Normal"/></w:pPr>
<w:r><w:t xml:space="preserve">sons of Zeus by Antiope.  When children, they were exposed</w:t></w:r>
</w:p>
<w:p>
<w:pPr><w:pStyle w:val="Normal"/></w:pPr>
<w:r><w:t xml:space="preserve">on Mount Cithaeron, but were found and brought up by a</w:t></w:r>
</w:p>
<w:p>
<w:pPr><w:pStyle w:val="Normal"/></w:pPr>
<w:r><w:t xml:space="preserve">shepherd.  Amphion became a great singer and musician, Zethus</w:t></w:r>
</w:p>
<w:p>
<w:pPr><w:pStyle w:val="Normal"/></w:pPr>
<w:r><w:t xml:space="preserve">a hunter and herdsman (Apollodorus iii. 5). After punishing</w:t></w:r>
</w:p>
<w:p>
<w:pPr><w:pStyle w:val="Normal"/></w:pPr>
<w:r><w:t xml:space="preserve">Lycus and Dirce for cruel treatment of Antiope (q.v.),</w:t></w:r>
</w:p>
<w:p>
<w:pPr><w:pStyle w:val="Normal"/></w:pPr>
<w:r><w:t xml:space="preserve">they built and fortified Thebes, huge blocks of stone forming</w:t></w:r>
</w:p>
<w:p>
<w:pPr><w:pStyle w:val="Normal"/></w:pPr>
<w:r><w:t xml:space="preserve">themselves into walls at the sound of Amphion&apos;s lyre (Horace,</w:t></w:r>
</w:p>
<w:p>
<w:pPr><w:pStyle w:val="Normal"/></w:pPr>
<w:r><w:t xml:space="preserve">Odes, iii. 11). Amphion married Niobe, and killed himself</w:t></w:r>
</w:p>
<w:p>
<w:pPr><w:pStyle w:val="Normal"/></w:pPr>
<w:r><w:t xml:space="preserve">after the loss of his wife and children (Ovid, Metam. vi.</w:t></w:r>
</w:p>
<w:p>
<w:pPr><w:pStyle w:val="Normal"/></w:pPr>
<w:r><w:t xml:space="preserve">270).  The brothers were buried in one grave and worshipped</w:t></w:r>
</w:p>
<w:p>
<w:pPr><w:pStyle w:val="Normal"/></w:pPr>
<w:r><w:t xml:space="preserve">as the Dioscuri ``with white horses&apos;&apos; (Eurip. Phoen. 609).</w:t></w:r>
</w:p>
<w:p>
<w:pPr><w:pStyle w:val="Normal"/></w:pPr>
<w:r><w:t xml:space="preserve">AMPHIOXUS, or LANCELET, the name of small, fish-like,</w:t></w:r>
</w:p>
<w:p>
<w:pPr><w:pStyle w:val="Normal"/></w:pPr>
<w:r><w:t xml:space="preserve">marine creatures, forming the class Cephalochorda, of the</w:t></w:r>
</w:p>
<w:p>
<w:pPr><w:pStyle w:val="Normal"/></w:pPr>
<w:r><w:t xml:space="preserve">phylum Vertebrata.  Lancelets are found in brackish or salt</w:t></w:r>
</w:p>
<w:p>
<w:pPr><w:pStyle w:val="Normal"/></w:pPr>
<w:r><w:t xml:space="preserve">water, generally near the coast, and have been referred to</w:t></w:r>
</w:p>
<w:p>
<w:pPr><w:pStyle w:val="Normal"/></w:pPr>
<w:r><w:t xml:space="preserve">several genera and many species.  They were first discovered</w:t></w:r>
</w:p>
<w:p>
<w:pPr><w:pStyle w:val="Normal"/></w:pPr>
<w:r><w:t xml:space="preserve">by P. S. Pallas in 1778, who took them to be slugs and</w:t></w:r>
</w:p>
<w:p>
<w:pPr><w:pStyle w:val="Normal"/></w:pPr>
<w:r><w:t xml:space="preserve">described them under the name Limax lanceolatus. The</w:t></w:r>
</w:p>
<w:p>
<w:pPr><w:pStyle w:val="Normal"/></w:pPr>
<w:r><w:t xml:space="preserve">true position in the animal kingdom was first recognized in</w:t></w:r>
</w:p>
<w:p>
<w:pPr><w:pStyle w:val="Normal"/></w:pPr>
<w:r><w:t xml:space="preserve">1834 by O. G. Costa, who named the genus Branchiostoma,</w:t></w:r>
</w:p>
<w:p>
<w:pPr><w:pStyle w:val="Normal"/></w:pPr>
<w:r><w:t xml:space="preserve">and it has since been dealt with by many writers.</w:t></w:r>
</w:p>
<w:p>
<w:pPr><w:pStyle w:val="Normal"/></w:pPr>
<w:r><w:t xml:space="preserve">The theoretical interest of Amphioxus depends upon a variety of</w:t></w:r>
</w:p>
<w:p>
<w:pPr><w:pStyle w:val="Normal"/></w:pPr>
<w:r><w:t xml:space="preserve">circumstances.  In its manner of development from the egg, and</w:t></w:r>
</w:p>
<w:p>
<w:pPr><w:pStyle w:val="Normal"/></w:pPr>
<w:r><w:t xml:space="preserve">in the constitution of its digestive, vascular, respiratory</w:t></w:r>
</w:p>
<w:p>
<w:pPr><w:pStyle w:val="Normal"/></w:pPr>
<w:r><w:t xml:space="preserve">(branchial), excretory, skeletal, nervous and muscular systems</w:t></w:r>
</w:p>
<w:p>
<w:pPr><w:pStyle w:val="Normal"/></w:pPr>
<w:r><w:t xml:space="preserve">it exhibits what appears to be a primordial condition of</w:t></w:r>
</w:p>
<w:p>
<w:pPr><w:pStyle w:val="Normal"/></w:pPr>
<w:r><w:t xml:space="preserve">vertebrate organization, a condition which is, in fact, partly</w:t></w:r>
</w:p>
<w:p>
<w:pPr><w:pStyle w:val="Normal"/></w:pPr>
<w:r><w:t xml:space="preserve">recapitulated in the course of the embryonic stages of craniate</w:t></w:r>
</w:p>
<w:p>
<w:pPr><w:pStyle w:val="Normal"/></w:pPr>
<w:r><w:t xml:space="preserve">vertebrates.  In comparative morphology it provides many</w:t></w:r>
</w:p>
<w:p>
<w:pPr><w:pStyle w:val="Normal"/></w:pPr>
<w:r><w:t xml:space="preserve">illustrations of important biological principles (such, for</w:t></w:r>
</w:p>
<w:p>
<w:pPr><w:pStyle w:val="Normal"/></w:pPr>
<w:r><w:t xml:space="preserve">example, as substitution and change of function of organs),</w:t></w:r>
</w:p>
<w:p>
<w:pPr><w:pStyle w:val="Normal"/></w:pPr>
<w:r><w:t xml:space="preserve">and throws new light upon, or at least points the way to</w:t></w:r>
</w:p>
<w:p>
<w:pPr><w:pStyle w:val="Normal"/></w:pPr>
<w:r><w:t xml:space="preserve">new ideas of, the primitive relations of different organic</w:t></w:r>
</w:p>
<w:p>
<w:pPr><w:pStyle w:val="Normal"/></w:pPr>
<w:r><w:t xml:space="preserve">systems in respect of their function and topography.  One of</w:t></w:r>
</w:p>
<w:p>
<w:pPr><w:pStyle w:val="Normal"/></w:pPr>
<w:r><w:t xml:space="preserve">the most puzzling features in its structure, and, at the same</w:t></w:r>
</w:p>
<w:p>
<w:pPr><w:pStyle w:val="Normal"/></w:pPr>
<w:r><w:t xml:space="preserve">time, one of the greatest obstacles to the view that it is</w:t></w:r>
</w:p>
<w:p>
<w:pPr><w:pStyle w:val="Normal"/></w:pPr>
<w:r><w:t xml:space="preserve">essentially primitive and not merely a degenerate creature,</w:t></w:r>
</w:p>
<w:p>
<w:pPr><w:pStyle w:val="Normal"/></w:pPr>
<w:r><w:t xml:space="preserve">is the entire absence of the paired organs of special sense,</w:t></w:r>
</w:p>
<w:p>
<w:pPr><w:pStyle w:val="Normal"/></w:pPr>
<w:r><w:t xml:space="preserve">olfactory, optic and auditory, which are so characteristic</w:t></w:r>
</w:p>
<w:p>
<w:pPr><w:pStyle w:val="Normal"/></w:pPr>
<w:r><w:t xml:space="preserve">of the higher vertebrates.  Although it is true that there</w:t></w:r>
</w:p>
<w:p>
<w:pPr><w:pStyle w:val="Normal"/></w:pPr>
<w:r><w:t xml:space="preserve">is a certain amount of gradation in the degree of development</w:t></w:r>
</w:p>
<w:p>
<w:pPr><w:pStyle w:val="Normal"/></w:pPr>
<w:r><w:t xml:space="preserve">to which these organs have attained in the various orders,</w:t></w:r>
</w:p>
<w:p>
<w:pPr><w:pStyle w:val="Normal"/></w:pPr>
<w:r><w:t xml:space="preserve">yet it is hardly sufficient to enable the imagination to</w:t></w:r>
</w:p>
<w:p>
<w:pPr><w:pStyle w:val="Normal"/></w:pPr>
<w:r><w:t xml:space="preserve">bridge over the gap which separates Amphioxus from the</w:t></w:r>
</w:p>
<w:p>
<w:pPr><w:pStyle w:val="Normal"/></w:pPr>
<w:r><w:t xml:space="preserve">lowest fishes in regard to this feature of organization.</w:t></w:r>
</w:p>
<w:p>
<w:pPr><w:pStyle w:val="Normal"/></w:pPr>
<w:r><w:t xml:space="preserve">Classification.--On account of the absence of anything in</w:t></w:r>
</w:p>
<w:p>
<w:pPr><w:pStyle w:val="Normal"/></w:pPr>
<w:r><w:t xml:space="preserve">the nature of a skull, Amphioxus has been regarded as the</w:t></w:r>
</w:p>
<w:p>
<w:pPr><w:pStyle w:val="Normal"/></w:pPr>
<w:r><w:t xml:space="preserve">type of a division, Acrania, in contrast with the Craniata</w:t></w:r>
</w:p>
<w:p>
<w:pPr><w:pStyle w:val="Normal"/></w:pPr>
<w:r><w:t xml:space="preserve">which comprise all the higher Chordata.  The ordinal name</w:t></w:r>
</w:p>
<w:p>
<w:pPr><w:pStyle w:val="Normal"/></w:pPr>
<w:r><w:t xml:space="preserve">for the genera and species of Amphioxus is Cephalochorda,</w:t></w:r>
</w:p>
<w:p>
<w:pPr><w:pStyle w:val="Normal"/></w:pPr>
<w:r><w:t xml:space="preserve">the term referring to the extension of the primary backbone</w:t></w:r>
</w:p>
<w:p>
<w:pPr><w:pStyle w:val="Normal"/></w:pPr>
<w:r><w:t xml:space="preserve">or notochord to the anterior extremity of the body; the</w:t></w:r>
</w:p>
<w:p>
<w:pPr><w:pStyle w:val="Normal"/></w:pPr>
<w:r><w:t xml:space="preserve">family name is Branchiostomidae. The amount of generic</w:t></w:r>
</w:p>
<w:p>
<w:pPr><w:pStyle w:val="Normal"/></w:pPr>
<w:r><w:t xml:space="preserve">divergence exhibited by the members of this family is not great</w:t></w:r>
</w:p>
<w:p>
<w:pPr><w:pStyle w:val="Normal"/></w:pPr>
<w:r><w:t xml:space="preserve">in the mass, but is of singular interest in detail.  There</w:t></w:r>
</w:p>
<w:p>
<w:pPr><w:pStyle w:val="Normal"/></w:pPr>
<w:r><w:t xml:space="preserve">are two principal genera--1. Branchiostoma Costa, having</w:t></w:r>
</w:p>
<w:p>
<w:pPr><w:pStyle w:val="Normal"/></w:pPr>
<w:r><w:t xml:space="preserve">paired sexual organs (gonadic pouches); 2. Heteropleuron</w:t></w:r>
</w:p>
<w:p>
<w:pPr><w:pStyle w:val="Normal"/></w:pPr>
<w:r><w:t xml:space="preserve">Kirkaldy, with unilateral gonads.  Of these, the former</w:t></w:r>
</w:p>
<w:p>
<w:pPr><w:pStyle w:val="Normal"/></w:pPr>
<w:r><w:t xml:space="preserve">includes two subgenera, Amphioxus (s. str.) Yarrell and</w:t></w:r>
</w:p>
<w:p>
<w:pPr><w:pStyle w:val="Normal"/></w:pPr>
<w:r><w:t xml:space="preserve">Dolichorhynchus Willey.  The species belonging to the</w:t></w:r>
</w:p>
<w:p>
<w:pPr><w:pStyle w:val="Normal"/></w:pPr>
<w:r><w:t xml:space="preserve">genus Heteropleuron are divided among the three subgenera</w:t></w:r>
</w:p>
<w:p>
<w:pPr><w:pStyle w:val="Normal"/></w:pPr>
<w:r><w:t xml:space="preserve">Paramphioxus Haeckel, Epigonichthys Peters, and Asymmetron</w:t></w:r>
</w:p>
<w:p>
<w:pPr><w:pStyle w:val="Normal"/></w:pPr>
<w:r><w:t xml:space="preserve">Andrews.  The generic characters are based upon definite</w:t></w:r>
</w:p>
<w:p>
<w:pPr><w:pStyle w:val="Normal"/></w:pPr>
<w:r><w:t xml:space="preserve">modifications of form which affect the entire facies of the</w:t></w:r>
</w:p>
<w:p>
<w:pPr><w:pStyle w:val="Normal"/></w:pPr>
<w:r><w:t xml:space="preserve">animals, while the specific diagnoses depend upon minor</w:t></w:r>
</w:p>
<w:p>
<w:pPr><w:pStyle w:val="Normal"/></w:pPr>
<w:r><w:t xml:space="preserve">characters, such as the number of myotomes or muscle-segments.</w:t></w:r>
</w:p>
<w:p>
<w:pPr><w:pStyle w:val="Normal"/></w:pPr>
<w:r><w:t xml:space="preserve">Habits and Distribution.--With regard to its habits, all that</w:t></w:r>
</w:p>
<w:p>
<w:pPr><w:pStyle w:val="Normal"/></w:pPr>
<w:r><w:t xml:space="preserve">need be said here is that while Amphioxus is an expert swimmer</w:t></w:r>
</w:p>
<w:p>
<w:pPr><w:pStyle w:val="Normal"/></w:pPr>
<w:r><w:t xml:space="preserve">when occasion requires, yet it spends most of its time burrowing</w:t></w:r>
</w:p>
<w:p>
<w:pPr><w:pStyle w:val="Normal"/></w:pPr>
<w:r><w:t xml:space="preserve">in the sand, in which, when at rest, it lies buried with head</w:t></w:r>
</w:p>
<w:p>
<w:pPr><w:pStyle w:val="Normal"/></w:pPr>
<w:r><w:t xml:space="preserve">protruding and mouth wide agape.  Its food consists of microscopic</w:t></w:r>
</w:p>
<w:p>
<w:pPr><w:pStyle w:val="Normal"/></w:pPr>
<w:r><w:t xml:space="preserve">organisms and organic particles; these are drawn into the mouth</w:t></w:r>
</w:p>
<w:p>
<w:pPr><w:pStyle w:val="Normal"/></w:pPr>
<w:r><w:t xml:space="preserve">FIG. 1.--Epigonichthys cultellus from below and from the left</w:t></w:r>
</w:p>
<w:p>
<w:pPr><w:pStyle w:val="Normal"/></w:pPr>
<w:r><w:t xml:space="preserve">side. (Slightly altered from Kirkaldy.) rm and lm, Right and</w:t></w:r>
</w:p>
<w:p>
<w:pPr><w:pStyle w:val="Normal"/></w:pPr>
<w:r><w:t xml:space="preserve">left metapleur; at, atriopore; an, anus; e, ``eyespot&apos;&apos;</w:t></w:r>
</w:p>
<w:p>
<w:pPr><w:pStyle w:val="Normal"/></w:pPr>
<w:r><w:t xml:space="preserve">at anterior end of neurochord projecting beyond the myotomes</w:t></w:r>
</w:p>
<w:p>
<w:pPr><w:pStyle w:val="Normal"/></w:pPr>
<w:r><w:t xml:space="preserve">(my); n, notochord; rgo, gonads of right side only showing</w:t></w:r>
</w:p>
<w:p>
<w:pPr><w:pStyle w:val="Normal"/></w:pPr>
<w:r><w:t xml:space="preserve">through by transparency; go 20, the last gonad; dfr, dorsal</w:t></w:r>
</w:p>
<w:p>
<w:pPr><w:pStyle w:val="Normal"/></w:pPr>
<w:r><w:t xml:space="preserve">fin with fin chambers and fin rays; vfc, ventral fin chambers.</w:t></w:r>
</w:p>
<w:p>
<w:pPr><w:pStyle w:val="Normal"/></w:pPr>
<w:r><w:t xml:space="preserve">together with currents of water induced by the action of the</w:t></w:r>
</w:p>
<w:p>
<w:pPr><w:pStyle w:val="Normal"/></w:pPr>
<w:r><w:t xml:space="preserve">vibratile cilia which are abundant along special tracts on</w:t></w:r>
</w:p>
<w:p>
<w:pPr><w:pStyle w:val="Normal"/></w:pPr>
<w:r><w:t xml:space="preserve">the sides and roof of the vestibule of the mouth and in the</w:t></w:r>
</w:p>
<w:p>
<w:pPr><w:pStyle w:val="Normal"/></w:pPr>
<w:r><w:t xml:space="preserve">walls of the perforated pharynx (``ciliary ingestion&apos;&apos;).</w:t></w:r>
</w:p>
<w:p>
<w:pPr><w:pStyle w:val="Normal"/></w:pPr>
<w:r><w:t xml:space="preserve">Amphioxus favours a littoral habitat, and rarely if ever</w:t></w:r>
</w:p>
<w:p>
<w:pPr><w:pStyle w:val="Normal"/></w:pPr>
<w:r><w:t xml:space="preserve">descends below the 50-fathom line.  Species occur in all</w:t></w:r>
</w:p>
<w:p>
<w:pPr><w:pStyle w:val="Normal"/></w:pPr>
<w:r><w:t xml:space="preserve">seas of the temperate, tropical and subtropical zones.  The</w:t></w:r>
</w:p>
<w:p>
<w:pPr><w:pStyle w:val="Normal"/></w:pPr>
<w:r><w:t xml:space="preserve">European species, A. lanceolatus, is found in the Black</w:t></w:r>
</w:p>
<w:p>
<w:pPr><w:pStyle w:val="Normal"/></w:pPr>
<w:r><w:t xml:space="preserve">and Mediterranean Seas, and on the coasts of France, Great</w:t></w:r>
</w:p>
<w:p>
<w:pPr><w:pStyle w:val="Normal"/></w:pPr>
<w:r><w:t xml:space="preserve">Britain and Scandinavia, while a closely allied species or</w:t></w:r>
</w:p>
<w:p>
<w:pPr><w:pStyle w:val="Normal"/></w:pPr>
<w:r><w:t xml:space="preserve">subspecies, A. caribaeus, frequents the Caribbean region</w:t></w:r>
</w:p>
<w:p>
<w:pPr><w:pStyle w:val="Normal"/></w:pPr>
<w:r><w:t xml:space="preserve">from Chesapeake to La Plata. A. californiensis occurs</w:t></w:r>
</w:p>
<w:p>
<w:pPr><w:pStyle w:val="Normal"/></w:pPr>
<w:r><w:t xml:space="preserve">on the coast of California, and A. belcheri extends its</w:t></w:r>
</w:p>
<w:p>
<w:pPr><w:pStyle w:val="Normal"/></w:pPr>
<w:r><w:t xml:space="preserve">area of distribution from Queensland through Singapore to</w:t></w:r>
</w:p>
<w:p>
<w:pPr><w:pStyle w:val="Normal"/></w:pPr>
<w:r><w:t xml:space="preserve">Japan.  A recently described species, Dolichorhynchus indicus,</w:t></w:r>
</w:p>
<w:p>
<w:pPr><w:pStyle w:val="Normal"/></w:pPr>
<w:r><w:t xml:space="preserve">characterized by the great length of the praeoral lobe or</w:t></w:r>
</w:p>
<w:p>
<w:pPr><w:pStyle w:val="Normal"/></w:pPr>
<w:r><w:t xml:space="preserve">snout, has been dredged in the Indian Ocean. Paramphioxus</w:t></w:r>
</w:p>
<w:p>
<w:pPr><w:pStyle w:val="Normal"/></w:pPr>
<w:r><w:t xml:space="preserve">bassanus occurs on the coast of Australia from Port Phillip</w:t></w:r>
</w:p>
<w:p>
<w:pPr><w:pStyle w:val="Normal"/></w:pPr>
<w:r><w:t xml:space="preserve">to Port Jackson; P. cingalensis at Ceylon. Epigonichthys</w:t></w:r>
</w:p>
<w:p>
<w:pPr><w:pStyle w:val="Normal"/></w:pPr>
<w:r><w:t xml:space="preserve">cultellus (fig. 1) inhabits Torres Strait, and has also been</w:t></w:r>
</w:p>
<w:p>
<w:pPr><w:pStyle w:val="Normal"/></w:pPr>
<w:r><w:t xml:space="preserve">FIG. 2.--Amphioxus lanceolatus, Yarrell (Branchiostoma</w:t></w:r>
</w:p>
<w:p>
<w:pPr><w:pStyle w:val="Normal"/></w:pPr>
<w:r><w:t xml:space="preserve">lubricum, Coste). (From Ray Lankester.) (1) Lateral view</w:t></w:r>
</w:p>
<w:p>
<w:pPr><w:pStyle w:val="Normal"/></w:pPr>
<w:r><w:t xml:space="preserve">of adult, to show general form, the myomeres, fin rays and</w:t></w:r>
</w:p>
<w:p>
<w:pPr><w:pStyle w:val="Normal"/></w:pPr>
<w:r><w:t xml:space="preserve">gonads.  A, Oral tentacles 28 to 32 in full-grown animals, 20</w:t></w:r>
</w:p>
<w:p>
<w:pPr><w:pStyle w:val="Normal"/></w:pPr>
<w:r><w:t xml:space="preserve">to 24 in half-grown specimens); B, praeoral hood or praeoral</w:t></w:r>
</w:p>
<w:p>
<w:pPr><w:pStyle w:val="Normal"/></w:pPr>
<w:r><w:t xml:space="preserve">epipleur; C, plicated ventral surface of atrial chamber;</w:t></w:r>
</w:p>
<w:p>
<w:pPr><w:pStyle w:val="Normal"/></w:pPr>
<w:r><w:t xml:space="preserve">D1, D17, D26, gonads, twenty-six pairs, coincident</w:t></w:r>
</w:p>
<w:p>
<w:pPr><w:pStyle w:val="Normal"/></w:pPr>
<w:r><w:t xml:space="preserve">with myotomes 10 to 36; E, metapleur or lateral ridge on</w:t></w:r>
</w:p>
<w:p>
<w:pPr><w:pStyle w:val="Normal"/></w:pPr>
<w:r><w:t xml:space="preserve">atrial epipleur; F, atripore, coincident with myotome 36;</w:t></w:r>
</w:p>
<w:p>
<w:pPr><w:pStyle w:val="Normal"/></w:pPr>
<w:r><w:t xml:space="preserve">G1, G15, G34, double ventral fin rays, extending from</w:t></w:r>
</w:p>
<w:p>
<w:pPr><w:pStyle w:val="Normal"/></w:pPr>
<w:r><w:t xml:space="preserve">myotomes 37 to 52, but having no numerical relation to</w:t></w:r>
</w:p>
<w:p>
<w:pPr><w:pStyle w:val="Normal"/></w:pPr>
<w:r><w:t xml:space="preserve">them; H, position of anus, between myotomes 51 and 52; I,</w:t></w:r>
</w:p>
<w:p>
<w:pPr><w:pStyle w:val="Normal"/></w:pPr>
<w:r><w:t xml:space="preserve">notochord, projecting beyond myotomes; K7, K27, K62,</w:t></w:r>
</w:p>
<w:p>
<w:pPr><w:pStyle w:val="Normal"/></w:pPr>
<w:r><w:t xml:space="preserve">myotomes or muscular segments of body-wall, 62 in number;</w:t></w:r>
</w:p>
<w:p>
<w:pPr><w:pStyle w:val="Normal"/></w:pPr>
<w:r><w:t xml:space="preserve">L100, L230, L253, dorsal fin rays, about 250 in</w:t></w:r>
</w:p>
<w:p>
<w:pPr><w:pStyle w:val="Normal"/></w:pPr>
<w:r><w:t xml:space="preserve">number, the hard substance of the ray being absent at the</w:t></w:r>
</w:p>
<w:p>
<w:pPr><w:pStyle w:val="Normal"/></w:pPr>
<w:r><w:t xml:space="preserve">extreme ends of the body (these have no constant numerical</w:t></w:r>
</w:p>
<w:p>
<w:pPr><w:pStyle w:val="Normal"/></w:pPr>
<w:r><w:t xml:space="preserve">relation to the myomeres); M, notochord as seen through the</w:t></w:r>
</w:p>
<w:p>
<w:pPr><w:pStyle w:val="Normal"/></w:pPr>
<w:r><w:t xml:space="preserve">transparent myotomes, the thin double-lined spaces being the</w:t></w:r>
</w:p>
<w:p>
<w:pPr><w:pStyle w:val="Normal"/></w:pPr>
<w:r><w:t xml:space="preserve">connective-tissue septa and the broader spaces the muscular</w:t></w:r>
</w:p>
<w:p>
<w:pPr><w:pStyle w:val="Normal"/></w:pPr>
<w:r><w:t xml:space="preserve">tissue of the myotomes; N, position of brown funnel of left</w:t></w:r>
</w:p>
<w:p>
<w:pPr><w:pStyle w:val="Normal"/></w:pPr>
<w:r><w:t xml:space="preserve">side (atrio-coelomic canal); O, nerve tube resting on notochord.</w:t></w:r>
</w:p>
<w:p>
<w:pPr><w:pStyle w:val="Normal"/></w:pPr>
<w:r><w:t xml:space="preserve">(2) Dissection of Amphioxus. By a horizontal incision on</w:t></w:r>
</w:p>
<w:p>
<w:pPr><w:pStyle w:val="Normal"/></w:pPr>
<w:r><w:t xml:space="preserve">each side of the body a large ventral area has been separated</w:t></w:r>
</w:p>
<w:p>
<w:pPr><w:pStyle w:val="Normal"/></w:pPr>
<w:r><w:t xml:space="preserve">and turned over, as it were on a hinge, to the animal&apos;s left</w:t></w:r>
</w:p>
<w:p>
<w:pPr><w:pStyle w:val="Normal"/></w:pPr>
<w:r><w:t xml:space="preserve">side.  The perforated pharyngeal region has then been detached</w:t></w:r>
</w:p>
<w:p>
<w:pPr><w:pStyle w:val="Normal"/></w:pPr>
<w:r><w:t xml:space="preserve">from the adherent epipleura or opercular folds (wall of atrial</w:t></w:r>
</w:p>
<w:p>
<w:pPr><w:pStyle w:val="Normal"/></w:pPr>
<w:r><w:t xml:space="preserve">or branchial chamber) by cutting the fluted pharyngo-pleural</w:t></w:r>
</w:p>
<w:p>
<w:pPr><w:pStyle w:val="Normal"/></w:pPr>
<w:r><w:t xml:space="preserve">membrane d, and separated by a vertical cut from the</w:t></w:r>
</w:p>
<w:p>
<w:pPr><w:pStyle w:val="Normal"/></w:pPr>
<w:r><w:t xml:space="preserve">intestinal region. a, Edge of groove formed by adhesion</w:t></w:r>
</w:p>
<w:p>
<w:pPr><w:pStyle w:val="Normal"/></w:pPr>
<w:r><w:t xml:space="preserve">of median dorsal surface of alimentary canal to sheath of</w:t></w:r>
</w:p>
<w:p>
<w:pPr><w:pStyle w:val="Normal"/></w:pPr>
<w:r><w:t xml:space="preserve">notochord; b, median dorsal surface of alimentary canal;</w:t></w:r>
</w:p>
<w:p>
<w:pPr><w:pStyle w:val="Normal"/></w:pPr>
<w:r><w:t xml:space="preserve">c, left dorsal aorta; cc, single dorsal aorta, formed by</w:t></w:r>
</w:p>
<w:p>
<w:pPr><w:pStyle w:val="Normal"/></w:pPr>
<w:r><w:t xml:space="preserve">union of the two anterior vessels; cc&apos;, same vessel resting</w:t></w:r>
</w:p>
<w:p>
<w:pPr><w:pStyle w:val="Normal"/></w:pPr>
<w:r><w:t xml:space="preserve">on intestine; d, cut edge of pharyngo-pleural folds of</w:t></w:r>
</w:p>
<w:p>
<w:pPr><w:pStyle w:val="Normal"/></w:pPr>
<w:r><w:t xml:space="preserve">atrial tunic, really the original outer body-wall before the</w:t></w:r>
</w:p>
<w:p>
<w:pPr><w:pStyle w:val="Normal"/></w:pPr>
<w:r><w:t xml:space="preserve">downgrowth of epipleura; d&apos;, atrial tunic (original body-wall)</w:t></w:r>
</w:p>
<w:p>
<w:pPr><w:pStyle w:val="Normal"/></w:pPr>
<w:r><w:t xml:space="preserve">at non-perforate region, cut and turned back so as to expose</w:t></w:r>
</w:p>
<w:p>
<w:pPr><w:pStyle w:val="Normal"/></w:pPr>
<w:r><w:t xml:space="preserve">peri-enteric coelom and intestine r; e&apos;, upstanding folds</w:t></w:r>
</w:p>
<w:p>
<w:pPr><w:pStyle w:val="Normal"/></w:pPr>
<w:r><w:t xml:space="preserve">of body-wall (pharyngo-pleural folds) on alternate bars of</w:t></w:r>
</w:p>
<w:p>
<w:pPr><w:pStyle w:val="Normal"/></w:pPr>
<w:r><w:t xml:space="preserve">perforate region of body; f, atrio-coelomic canals or brown</w:t></w:r>
</w:p>
<w:p>
<w:pPr><w:pStyle w:val="Normal"/></w:pPr>
<w:r><w:t xml:space="preserve">funnels (collar-pores of Balanoglossus); g, cavity of</w:t></w:r>
</w:p>
<w:p>
<w:pPr><w:pStyle w:val="Normal"/></w:pPr>
<w:r><w:t xml:space="preserve">a gonad-sac; m, cut musculature of body-wall; n, anus;</w:t></w:r>
</w:p>
<w:p>
<w:pPr><w:pStyle w:val="Normal"/></w:pPr>
<w:r><w:t xml:space="preserve">o, post-atrioporal extension of atrial chamber in form</w:t></w:r>
</w:p>
<w:p>
<w:pPr><w:pStyle w:val="Normal"/></w:pPr>
<w:r><w:t xml:space="preserve">of a tubular caecum; p, atriopore; q, hepatic caecum;</w:t></w:r>
</w:p>
<w:p>
<w:pPr><w:pStyle w:val="Normal"/></w:pPr>
<w:r><w:t xml:space="preserve">r, intestine; s, coelom; t, area of adhesion between</w:t></w:r>
</w:p>
<w:p>
<w:pPr><w:pStyle w:val="Normal"/></w:pPr>
<w:r><w:t xml:space="preserve">alimentary canal and sheath of notochord; v, atrial chamber</w:t></w:r>
</w:p>
<w:p>
<w:pPr><w:pStyle w:val="Normal"/></w:pPr>
<w:r><w:t xml:space="preserve">or branchial cavity; w, post-atrioporal portion of intestine;</w:t></w:r>
</w:p>
<w:p>
<w:pPr><w:pStyle w:val="Normal"/></w:pPr>
<w:r><w:t xml:space="preserve">x, canals of metapleura exposed by cutting; E, probe passing</w:t></w:r>
</w:p>
<w:p>
<w:pPr><w:pStyle w:val="Normal"/></w:pPr>
<w:r><w:t xml:space="preserve">through atriopore into atrial or branchial chamber; FF&apos;, probe</w:t></w:r>
</w:p>
<w:p>
<w:pPr><w:pStyle w:val="Normal"/></w:pPr>
<w:r><w:t xml:space="preserve">passing from coelom, where it expands behind the atriopore,</w:t></w:r>
</w:p>
<w:p>
<w:pPr><w:pStyle w:val="Normal"/></w:pPr>
<w:r><w:t xml:space="preserve">into narrower peri-enteric coelom of praeatrioporal region.</w:t></w:r>
</w:p>
<w:p>
<w:pPr><w:pStyle w:val="Normal"/></w:pPr>
<w:r><w:t xml:space="preserve">(3) Portion of (2) enlarged to show atrio-coelomic canals</w:t></w:r>
</w:p>
<w:p>
<w:pPr><w:pStyle w:val="Normal"/></w:pPr>
<w:r><w:t xml:space="preserve">(``brown funnels&apos;&apos; of Lankester).  Lettering as in (2).</w:t></w:r>
</w:p>
<w:p>
<w:pPr><w:pStyle w:val="Normal"/></w:pPr>
<w:r><w:t xml:space="preserve">(4)Section taken transversely through praeoral region near</w:t></w:r>
</w:p>
<w:p>
<w:pPr><w:pStyle w:val="Normal"/></w:pPr>
<w:r><w:t xml:space="preserve">termination of nerve tube. a, Olfactory ciliated pit on</w:t></w:r>
</w:p>
<w:p>
<w:pPr><w:pStyle w:val="Normal"/></w:pPr>
<w:r><w:t xml:space="preserve">animal&apos;s left side, its wall confluent with substance of</w:t></w:r>
</w:p>
<w:p>
<w:pPr><w:pStyle w:val="Normal"/></w:pPr>
<w:r><w:t xml:space="preserve">nerve tube; b, pigment spot (rudimentary eye) on anterior</w:t></w:r>
</w:p>
<w:p>
<w:pPr><w:pStyle w:val="Normal"/></w:pPr>
<w:r><w:t xml:space="preserve">termination of nerve tube; c, first pair of nerves in</w:t></w:r>
</w:p>
<w:p>
<w:pPr><w:pStyle w:val="Normal"/></w:pPr>
<w:r><w:t xml:space="preserve">section; d, fin ray; e, myotome; f, notochord; g, space</w:t></w:r>
</w:p>
<w:p>
<w:pPr><w:pStyle w:val="Normal"/></w:pPr>
<w:r><w:t xml:space="preserve">round myotome (?artifact or coelom); h, subchordal canal (?</w:t></w:r>
</w:p>
<w:p>
<w:pPr><w:pStyle w:val="Normal"/></w:pPr>
<w:r><w:t xml:space="preserve">blood-vessel); i, a symmetrical epipleura of praeoral hood.</w:t></w:r>
</w:p>
<w:p>
<w:pPr><w:pStyle w:val="Normal"/></w:pPr>
<w:r><w:t xml:space="preserve">found at Ternate. Asymmetron lucayanum is the Bahaman</w:t></w:r>
</w:p>
<w:p>
<w:pPr><w:pStyle w:val="Normal"/></w:pPr>
<w:r><w:t xml:space="preserve">representative of the family, with a subspecies, A. caudatum,</w:t></w:r>
</w:p>
<w:p>
<w:pPr><w:pStyle w:val="Normal"/></w:pPr>
<w:r><w:t xml:space="preserve">in the South Pacific from New Guinea to the Loyalty Islands.  The</w:t></w:r>
</w:p>
<w:p>
<w:pPr><w:pStyle w:val="Normal"/></w:pPr>
<w:r><w:t xml:space="preserve">Peruvian species, Branchiostoma elongatum, with nearly eighty</w:t></w:r>
</w:p>
<w:p>
<w:pPr><w:pStyle w:val="Normal"/></w:pPr>
<w:r><w:t xml:space="preserve">myotomes, cannot at present be assigned to its proper subgenus.</w:t></w:r>
</w:p>
<w:p>
<w:pPr><w:pStyle w:val="Normal"/></w:pPr>
<w:r><w:t xml:space="preserve">External Form.--The following description, unless otherwise</w:t></w:r>
</w:p>
<w:p>
<w:pPr><w:pStyle w:val="Normal"/></w:pPr>
<w:r><w:t xml:space="preserve">stated, refers to A. lanceolatus. Amphioxus is a small</w:t></w:r>
</w:p>
<w:p>
<w:pPr><w:pStyle w:val="Normal"/></w:pPr>
<w:r><w:t xml:space="preserve">fish-like creature attaining a maximum length of about 3</w:t></w:r>
</w:p>
<w:p>
<w:pPr><w:pStyle w:val="Normal"/></w:pPr>
<w:r><w:t xml:space="preserve">in., semitransparent in appearance, showing iridescent play of</w:t></w:r>
</w:p>
<w:p>
<w:pPr><w:pStyle w:val="Normal"/></w:pPr>
<w:r><w:t xml:space="preserve">colour.  The body is narrow, laterally compressed and pointed</w:t></w:r>
</w:p>
<w:p>
<w:pPr><w:pStyle w:val="Normal"/></w:pPr>
<w:r><w:t xml:space="preserve">at both ends.  The main musculature can be seen through the thin</w:t></w:r>
</w:p>
<w:p>
<w:pPr><w:pStyle w:val="Normal"/></w:pPr>
<w:r><w:t xml:space="preserve">skin to be divided into about sixty pairs of muscle-segments</w:t></w:r>
</w:p>
<w:p>
<w:pPr><w:pStyle w:val="Normal"/></w:pPr>
<w:r><w:t xml:space="preserve">(myotomes) by means of comma-shaped dissepiments, the</w:t></w:r>
</w:p>
<w:p>
<w:pPr><w:pStyle w:val="Normal"/></w:pPr>
<w:r><w:t xml:space="preserve">myocommas, which stretch between the skin and the central</w:t></w:r>
</w:p>
<w:p>
<w:pPr><w:pStyle w:val="Normal"/></w:pPr>
<w:r><w:t xml:space="preserve">skeletal axis of the body.  These myotomes enable it to swim</w:t></w:r>
</w:p>
<w:p>
<w:pPr><w:pStyle w:val="Normal"/></w:pPr>
<w:r><w:t xml:space="preserve">rapidly with characteristic serpentine undulations of the</w:t></w:r>
</w:p>
<w:p>
<w:pPr><w:pStyle w:val="Normal"/></w:pPr>
<w:r><w:t xml:space="preserve">body, the movements being effected by the alternate contraction</w:t></w:r>
</w:p>
<w:p>
<w:pPr><w:pStyle w:val="Normal"/></w:pPr>
<w:r><w:t xml:space="preserve">and relaxation of the longitudinal muscles on both sides.</w:t></w:r>
</w:p>
<w:p>
<w:pPr><w:pStyle w:val="Normal"/></w:pPr>
<w:r><w:t xml:space="preserve">Apparently correlated with this peculiar locomotion is the</w:t></w:r>
</w:p>
<w:p>
<w:pPr><w:pStyle w:val="Normal"/></w:pPr>
<w:r><w:t xml:space="preserve">anatomical fact of the alteration of the myotomes on the two</w:t></w:r>
</w:p>
<w:p>
<w:pPr><w:pStyle w:val="Normal"/></w:pPr>
<w:r><w:t xml:space="preserve">sides.  Symmetrical at their first appearance in the embryo,</w:t></w:r>
</w:p>
<w:p>
<w:pPr><w:pStyle w:val="Normal"/></w:pPr>
<w:r><w:t xml:space="preserve">the somites (from which the myotomes are derived) early undergo</w:t></w:r>
</w:p>
<w:p>
<w:pPr><w:pStyle w:val="Normal"/></w:pPr>
<w:r><w:t xml:space="preserve">a certain distortion, the effect of which is to carry the</w:t></w:r>
</w:p>
<w:p>
<w:pPr><w:pStyle w:val="Normal"/></w:pPr>
<w:r><w:t xml:space="preserve">somites of the left side forwards through the length of one</w:t></w:r>
</w:p>
<w:p>
<w:pPr><w:pStyle w:val="Normal"/></w:pPr>
<w:r><w:t xml:space="preserve">half-segment.  For example, the twenty-seventh myotome of</w:t></w:r>
</w:p>
<w:p>
<w:pPr><w:pStyle w:val="Normal"/></w:pPr>
<w:r><w:t xml:space="preserve">the left side is placed opposite to the twenty-sixth myocomma</w:t></w:r>
</w:p>
<w:p>
<w:pPr><w:pStyle w:val="Normal"/></w:pPr>
<w:r><w:t xml:space="preserve">of the right side.  The back of the body is occupied by a</w:t></w:r>
</w:p>
<w:p>
<w:pPr><w:pStyle w:val="Normal"/></w:pPr>
<w:r><w:t xml:space="preserve">crest, called the dorsal fin, consisting of a hollow ridge,</w:t></w:r>
</w:p>
<w:p>
<w:pPr><w:pStyle w:val="Normal"/></w:pPr>
<w:r><w:t xml:space="preserve">the cavity of which is divided into about 250 compartments</w:t></w:r>
</w:p>
<w:p>
<w:pPr><w:pStyle w:val="Normal"/></w:pPr>
<w:r><w:t xml:space="preserve">or fin chambers, into each of which, with the exception</w:t></w:r>
</w:p>
<w:p>
<w:pPr><w:pStyle w:val="Normal"/></w:pPr>
<w:r><w:t xml:space="preserve">of those near the anterior and posterior end of the body,</w:t></w:r>
</w:p>
<w:p>
<w:pPr><w:pStyle w:val="Normal"/></w:pPr>
<w:r><w:t xml:space="preserve">projects a stout pillar composed of characteristic laminar</w:t></w:r>
</w:p>
<w:p>
<w:pPr><w:pStyle w:val="Normal"/></w:pPr>
<w:r><w:t xml:space="preserve">tissue, the fin ray.  The dorsal crest is continued round</w:t></w:r>
</w:p>
<w:p>
<w:pPr><w:pStyle w:val="Normal"/></w:pPr>
<w:r><w:t xml:space="preserve">both extremities, becoming expanded to form the rostral</w:t></w:r>
</w:p>
<w:p>
<w:pPr><w:pStyle w:val="Normal"/></w:pPr>
<w:r><w:t xml:space="preserve">fin in front and the caudal fin behind.  Even in external</w:t></w:r>
</w:p>
<w:p>
<w:pPr><w:pStyle w:val="Normal"/></w:pPr>
<w:r><w:t xml:space="preserve">view, careful inspection will show that the body is divisible</w:t></w:r>
</w:p>
<w:p>
<w:pPr><w:pStyle w:val="Normal"/></w:pPr>
<w:r><w:t xml:space="preserve">into four regions, namely, cephalic, atrial, abdominal and</w:t></w:r>
</w:p>
<w:p>
<w:pPr><w:pStyle w:val="Normal"/></w:pPr>
<w:r><w:t xml:space="preserve">caudal.  The cephalic region includes the rostrum or praeoral</w:t></w:r>
</w:p>
<w:p>
<w:pPr><w:pStyle w:val="Normal"/></w:pPr>
<w:r><w:t xml:space="preserve">FIG.--Transverse sections of amphioxus. (From Lankester.)</w:t></w:r>
</w:p>
<w:p>
<w:pPr><w:pStyle w:val="Normal"/></w:pPr>
<w:r><w:t xml:space="preserve">A. Section through region of atrio-coelomic canal s, v.</w:t></w:r>
</w:p>
<w:p>
<w:pPr><w:pStyle w:val="Normal"/></w:pPr>
<w:r><w:t xml:space="preserve">B . Section in front of mouth; the right and left sides</w:t></w:r>
</w:p>
<w:p>
<w:pPr><w:pStyle w:val="Normal"/></w:pPr>
<w:r><w:t xml:space="preserve">are transposed. a, Cavity surrounding fin ray; a&apos;, fin</w:t></w:r>
</w:p>
<w:p>
<w:pPr><w:pStyle w:val="Normal"/></w:pPr>
<w:r><w:t xml:space="preserve">ray; b, muscular tissue of myotome; c, nerve- cord;</w:t></w:r>
</w:p>
<w:p>
<w:pPr><w:pStyle w:val="Normal"/></w:pPr>
<w:r><w:t xml:space="preserve">d, notochord; c, left aorta; f thickened ridges of</w:t></w:r>
</w:p>
<w:p>
<w:pPr><w:pStyle w:val="Normal"/></w:pPr>
<w:r><w:t xml:space="preserve">epithelium of praeoral chamber (Rader organ); g, coiled</w:t></w:r>
</w:p>
<w:p>
<w:pPr><w:pStyle w:val="Normal"/></w:pPr>
<w:r><w:t xml:space="preserve">tube lying in a coelomic space on right side of praeoral</w:t></w:r>
</w:p>
<w:p>
<w:pPr><w:pStyle w:val="Normal"/></w:pPr>
<w:r><w:t xml:space="preserve">hood, apparently an artery; h, cuticle of notochord; i,</w:t></w:r>
</w:p>
<w:p>
<w:pPr><w:pStyle w:val="Normal"/></w:pPr>
<w:r><w:t xml:space="preserve">connective-tissue sheath of notochord; k, median ridge of</w:t></w:r>
</w:p>
<w:p>
<w:pPr><w:pStyle w:val="Normal"/></w:pPr>
<w:r><w:t xml:space="preserve">skeletal canal of nerve-cord; l, skeletal canal protecting</w:t></w:r>
</w:p>
<w:p>
<w:pPr><w:pStyle w:val="Normal"/></w:pPr>
<w:r><w:t xml:space="preserve">nerve-cord; m, inter-segmental skeletal septum of myotome;</w:t></w:r>
</w:p>
<w:p>
<w:pPr><w:pStyle w:val="Normal"/></w:pPr>
<w:r><w:t xml:space="preserve">n, subcutaneous skeletal connective tissue; o, ditto of</w:t></w:r>
</w:p>
<w:p>
<w:pPr><w:pStyle w:val="Normal"/></w:pPr>
<w:r><w:t xml:space="preserve">metapleur (this should be relatively thicker than it is);</w:t></w:r>
</w:p>
<w:p>
<w:pPr><w:pStyle w:val="Normal"/></w:pPr>
<w:r><w:t xml:space="preserve">q, subcutaneous connective tissue of ventral surface of</w:t></w:r>
</w:p>
<w:p>
<w:pPr><w:pStyle w:val="Normal"/></w:pPr>
<w:r><w:t xml:space="preserve">atrial wall (not a canal, as supposed by Stieda and others);</w:t></w:r>
</w:p>
<w:p>
<w:pPr><w:pStyle w:val="Normal"/></w:pPr>
<w:r><w:t xml:space="preserve">r, epiblastic epithelium; s gonad-sac containing ova;</w:t></w:r>
</w:p>
<w:p>
<w:pPr><w:pStyle w:val="Normal"/></w:pPr>
<w:r><w:t xml:space="preserve">t, pharyngeal bar in section, one of the pharyngo-pleural</w:t></w:r>
</w:p>
<w:p>
<w:pPr><w:pStyle w:val="Normal"/></w:pPr>
<w:r><w:t xml:space="preserve">fold and coelom; v, atrio-coelomic funnel; w, so-called</w:t></w:r>
</w:p>
<w:p>
<w:pPr><w:pStyle w:val="Normal"/></w:pPr>
<w:r><w:t xml:space="preserve">``dorsal&apos;&apos; coelom; x, lymphatic space or canal of metapleur;</w:t></w:r>
</w:p>
<w:p>
<w:pPr><w:pStyle w:val="Normal"/></w:pPr>
<w:r><w:t xml:space="preserve">y, sub-pharyngeal vascular trunk; z, blood-vessel (portal</w:t></w:r>
</w:p>
<w:p>
<w:pPr><w:pStyle w:val="Normal"/></w:pPr>
<w:r><w:t xml:space="preserve">vein) on wall of hepatic caecum; aa, space of atrial or</w:t></w:r>
</w:p>
<w:p>
<w:pPr><w:pStyle w:val="Normal"/></w:pPr>
<w:r><w:t xml:space="preserve">branchial chamber; bb, ventral groove of pharynx (anteriorly</w:t></w:r>
</w:p>
<w:p>
<w:pPr><w:pStyle w:val="Normal"/></w:pPr>
<w:r><w:t xml:space="preserve">this takes the form of a ridge); cc, hyperbranchial groove</w:t></w:r>
</w:p>
<w:p>
<w:pPr><w:pStyle w:val="Normal"/></w:pPr>
<w:r><w:t xml:space="preserve">of pharynx; dd, lumen or space of hepatic caecum; ee,</w:t></w:r>
</w:p>
<w:p>
<w:pPr><w:pStyle w:val="Normal"/></w:pPr>
<w:r><w:t xml:space="preserve">narrow coelomic space surrounding hepatic caecum; ff)</w:t></w:r>
</w:p>
<w:p>
<w:pPr><w:pStyle w:val="Normal"/></w:pPr>
<w:r><w:t xml:space="preserve">lining cell-layer of hepatic caecum; gg, inner face of a</w:t></w:r>
</w:p>
<w:p>
<w:pPr><w:pStyle w:val="Normal"/></w:pPr>
<w:r><w:t xml:space="preserve">pharyngeal bar clothed with hypoblast, the outer face covered</w:t></w:r>
</w:p>
<w:p>
<w:pPr><w:pStyle w:val="Normal"/></w:pPr>
<w:r><w:t xml:space="preserve">with epiblast (represented black); hh, a main pharyngeal bar</w:t></w:r>
</w:p>
<w:p>
<w:pPr><w:pStyle w:val="Normal"/></w:pPr>
<w:r><w:t xml:space="preserve">with projecting pharyngeal fold (on which the reference line</w:t></w:r>
</w:p>
<w:p>
<w:pPr><w:pStyle w:val="Normal"/></w:pPr>
<w:r><w:t xml:space="preserve">rests) in section, showing coelomic space beneath the black</w:t></w:r>
</w:p>
<w:p>
<w:pPr><w:pStyle w:val="Normal"/></w:pPr>
<w:r><w:t xml:space="preserve">epiblast; ii, transverse ventral muscle of epipleura; kk,</w:t></w:r>
</w:p>
<w:p>
<w:pPr><w:pStyle w:val="Normal"/></w:pPr>
<w:r><w:t xml:space="preserve">raphe or plane of fusion of two down-grown epipleura; ll,</w:t></w:r>
</w:p>
<w:p>
<w:pPr><w:pStyle w:val="Normal"/></w:pPr>
<w:r><w:t xml:space="preserve">space and nucleated cells on dorsal face of notochord; mm,</w:t></w:r>
</w:p>
<w:p>
<w:pPr><w:pStyle w:val="Normal"/></w:pPr>
<w:r><w:t xml:space="preserve">similar space and cells on its ventral face. lobe and the</w:t></w:r>
</w:p>
<w:p>
<w:pPr><w:pStyle w:val="Normal"/></w:pPr>
<w:r><w:t xml:space="preserve">mouth.  As already stated, the notochord extends beyond the</w:t></w:r>
</w:p>
<w:p>
<w:pPr><w:pStyle w:val="Normal"/></w:pPr>
<w:r><w:t xml:space="preserve">mouth to the tip of the rostrum.  The mouth consists of two</w:t></w:r>
</w:p>
<w:p>
<w:pPr><w:pStyle w:val="Normal"/></w:pPr>
<w:r><w:t xml:space="preserve">portions, an outer vestibule and an inner apertura oris;</w:t></w:r>
</w:p>
<w:p>
<w:pPr><w:pStyle w:val="Normal"/></w:pPr>
<w:r><w:t xml:space="preserve">the latter is surrounded by a sphincter muscle, which forms</w:t></w:r>
</w:p>
<w:p>
<w:pPr><w:pStyle w:val="Normal"/></w:pPr>
<w:r><w:t xml:space="preserve">the so-called velum. The vestibule of the mouth is the space</w:t></w:r>
</w:p>
<w:p>
<w:pPr><w:pStyle w:val="Normal"/></w:pPr>
<w:r><w:t xml:space="preserve">bounded by the oral hood; this arises by secondary downgrowth</w:t></w:r>
</w:p>
<w:p>
<w:pPr><w:pStyle w:val="Normal"/></w:pPr>
<w:r><w:t xml:space="preserve">of lid-like folds over the true oral aperture, and is provided</w:t></w:r>
</w:p>
<w:p>
<w:pPr><w:pStyle w:val="Normal"/></w:pPr>
<w:r><w:t xml:space="preserve">with a fringe of tentacular cirri, each of which is supported</w:t></w:r>
</w:p>
<w:p>
<w:pPr><w:pStyle w:val="Normal"/></w:pPr>
<w:r><w:t xml:space="preserve">by a solid skeletal axis.  The oral hood with its cirri has a</w:t></w:r>
</w:p>
<w:p>
<w:pPr><w:pStyle w:val="Normal"/></w:pPr>
<w:r><w:t xml:space="preserve">special nerve supply and musculature by which the cirri can be</w:t></w:r>
</w:p>
<w:p>
<w:pPr><w:pStyle w:val="Normal"/></w:pPr>
<w:r><w:t xml:space="preserve">either spread out, or bent inwards so that those of one side</w:t></w:r>
</w:p>
<w:p>
<w:pPr><w:pStyle w:val="Normal"/></w:pPr>
<w:r><w:t xml:space="preserve">may interdigitate with those of the other, thus completely</w:t></w:r>
</w:p>
<w:p>
<w:pPr><w:pStyle w:val="Normal"/></w:pPr>
<w:r><w:t xml:space="preserve">closing the entrance to the mouth.  The velum is also provided</w:t></w:r>
</w:p>
<w:p>
<w:pPr><w:pStyle w:val="Normal"/></w:pPr>
<w:r><w:t xml:space="preserve">with a circlet of twelve tantacles (in some species sixteen)</w:t></w:r>
</w:p>
<w:p>
<w:pPr><w:pStyle w:val="Normal"/></w:pPr>
<w:r><w:t xml:space="preserve">which hang backwards into the pharynx; these are the velar</w:t></w:r>
</w:p>
<w:p>
<w:pPr><w:pStyle w:val="Normal"/></w:pPr>
<w:r><w:t xml:space="preserve">tentacles.  The atrial region extends from the mouth over about</w:t></w:r>
</w:p>
<w:p>
<w:pPr><w:pStyle w:val="Normal"/></w:pPr>
<w:r><w:t xml:space="preserve">two-thirds of the length of the body, terminating at a large</w:t></w:r>
</w:p>
<w:p>
<w:pPr><w:pStyle w:val="Normal"/></w:pPr>
<w:r><w:t xml:space="preserve">median ventral aperture, the atriopore; this is the excurrent</w:t></w:r>
</w:p>
<w:p>
<w:pPr><w:pStyle w:val="Normal"/></w:pPr>
<w:r><w:t xml:space="preserve">orifice for the respiratory current of water and also serves</w:t></w:r>
</w:p>
<w:p>
<w:pPr><w:pStyle w:val="Normal"/></w:pPr>
<w:r><w:t xml:space="preserve">for the evacuation of the generative products.  This region</w:t></w:r>
</w:p>
<w:p>
<w:pPr><w:pStyle w:val="Normal"/></w:pPr>
<w:r><w:t xml:space="preserve">FIG. 4.--Amphioxus lanceolatus laid open ventrally.</w:t></w:r>
</w:p>
<w:p>
<w:pPr><w:pStyle w:val="Normal"/></w:pPr>
<w:r><w:t xml:space="preserve">(After Rathke, slightly altered.) m, Mouth appearing as</w:t></w:r>
</w:p>
<w:p>
<w:pPr><w:pStyle w:val="Normal"/></w:pPr>
<w:r><w:t xml:space="preserve">an elongated slit when relaxed (as in the lamprey); p,</w:t></w:r>
</w:p>
<w:p>
<w:pPr><w:pStyle w:val="Normal"/></w:pPr>
<w:r><w:t xml:space="preserve">perforated pharynx; e, endostyle; g, gonads; l, liver;</w:t></w:r>
</w:p>
<w:p>
<w:pPr><w:pStyle w:val="Normal"/></w:pPr>
<w:r><w:t xml:space="preserve">at, level of atriopore; i, intestine; an, anus.</w:t></w:r>
</w:p>
<w:p>
<w:pPr><w:pStyle w:val="Normal"/></w:pPr>
<w:r><w:t xml:space="preserve">In this species the atrium is produced as an asymmetrical</w:t></w:r>
</w:p>
<w:p>
<w:pPr><w:pStyle w:val="Normal"/></w:pPr>
<w:r><w:t xml:space="preserve">blind pouch behind the atriopore as far as the anus.</w:t></w:r>
</w:p>
<w:p>
<w:pPr><w:pStyle w:val="Normal"/></w:pPr>
<w:r><w:t xml:space="preserve">is really the branchiogenital region, although the fact</w:t></w:r>
</w:p>
<w:p>
<w:pPr><w:pStyle w:val="Normal"/></w:pPr>
<w:r><w:t xml:space="preserve">is not apparent in external view.  The ventral side of the</w:t></w:r>
</w:p>
<w:p>
<w:pPr><w:pStyle w:val="Normal"/></w:pPr>
<w:r><w:t xml:space="preserve">body in the atrial region is broad and convex, in the atrial</w:t></w:r>
</w:p>
<w:p>
<w:pPr><w:pStyle w:val="Normal"/></w:pPr>
<w:r><w:t xml:space="preserve">region is broad and convex, so that the body presents the</w:t></w:r>
</w:p>
<w:p>
<w:pPr><w:pStyle w:val="Normal"/></w:pPr>
<w:r><w:t xml:space="preserve">appearance of a spherical triangle in transverse section, the</w:t></w:r>
</w:p>
<w:p>
<w:pPr><w:pStyle w:val="Normal"/></w:pPr>
<w:r><w:t xml:space="preserve">apex being formed by the dorsal fin and the angles bordered</w:t></w:r>
</w:p>
<w:p>
<w:pPr><w:pStyle w:val="Normal"/></w:pPr>
<w:r><w:t xml:space="preserve">by two hollow folds, the metapleural folds, each of which</w:t></w:r>
</w:p>
<w:p>
<w:pPr><w:pStyle w:val="Normal"/></w:pPr>
<w:r><w:t xml:space="preserve">contains a continuous longitudinal lymph-space, the metapleural</w:t></w:r>
</w:p>
<w:p>
<w:pPr><w:pStyle w:val="Normal"/></w:pPr>
<w:r><w:t xml:space="preserve">canal.  In the genus Branchiostoma the metapleural folds</w:t></w:r>
</w:p>
<w:p>
<w:pPr><w:pStyle w:val="Normal"/></w:pPr>
<w:r><w:t xml:space="preserve">terminate symmetrically shortly behind the atriopore, but in</w:t></w:r>
</w:p>
<w:p>
<w:pPr><w:pStyle w:val="Normal"/></w:pPr>
<w:r><w:t xml:space="preserve">Heteropleuron the right metapleur passes uninterruptedly into</w:t></w:r>
</w:p>
<w:p>
<w:pPr><w:pStyle w:val="Normal"/></w:pPr>
<w:r><w:t xml:space="preserve">the median crest of the ventral fin (fig. 1). In this connexion</w:t></w:r>
</w:p>
<w:p>
<w:pPr><w:pStyle w:val="Normal"/></w:pPr>
<w:r><w:t xml:space="preserve">it may also be mentioned that in all cases the right half of</w:t></w:r>
</w:p>
<w:p>
<w:pPr><w:pStyle w:val="Normal"/></w:pPr>
<w:r><w:t xml:space="preserve">the oral hood is directly continuous with the rostral fin (fig.</w:t></w:r>
</w:p>
<w:p>
<w:pPr><w:pStyle w:val="Normal"/></w:pPr>
<w:r><w:t xml:space="preserve">2). The abdominal region comprises a short stretch of body</w:t></w:r>
</w:p>
<w:p>
<w:pPr><w:pStyle w:val="Normal"/></w:pPr>
<w:r><w:t xml:space="preserve">between atriopore and anus, the termination of the alimentary</w:t></w:r>
</w:p>
<w:p>
<w:pPr><w:pStyle w:val="Normal"/></w:pPr>
<w:r><w:t xml:space="preserve">canal.  It is characterized by the presence of a special</w:t></w:r>
</w:p>
<w:p>
<w:pPr><w:pStyle w:val="Normal"/></w:pPr>
<w:r><w:t xml:space="preserve">development of the lophioderm or median fin-system, namely,</w:t></w:r>
</w:p>
<w:p>
<w:pPr><w:pStyle w:val="Normal"/></w:pPr>
<w:r><w:t xml:space="preserve">the ventral fin, which is composed of two portions, a lower</w:t></w:r>
</w:p>
<w:p>
<w:pPr><w:pStyle w:val="Normal"/></w:pPr>
<w:r><w:t xml:space="preserve">keel-like portion, which underlies an upper chambered portion,</w:t></w:r>
</w:p>
<w:p>
<w:pPr><w:pStyle w:val="Normal"/></w:pPr>
<w:r><w:t xml:space="preserve">each chamber containing typically a pair of gelatinous fin</w:t></w:r>
</w:p>
<w:p>
<w:pPr><w:pStyle w:val="Normal"/></w:pPr>
<w:r><w:t xml:space="preserve">rays.  Finally, the caudal region comprises the post-anal</w:t></w:r>
</w:p>
<w:p>
<w:pPr><w:pStyle w:val="Normal"/></w:pPr>
<w:r><w:t xml:space="preserve">division of the trunk.  The keel of the ventral fin is continued</w:t></w:r>
</w:p>
<w:p>
<w:pPr><w:pStyle w:val="Normal"/></w:pPr>
<w:r><w:t xml:space="preserve">past the anus into the expanded caudal fin, and so it happens</w:t></w:r>
</w:p>
<w:p>
<w:pPr><w:pStyle w:val="Normal"/></w:pPr>
<w:r><w:t xml:space="preserve">that the anal opening is displaced from the middle line to</w:t></w:r>
</w:p>
<w:p>
<w:pPr><w:pStyle w:val="Normal"/></w:pPr>
<w:r><w:t xml:space="preserve">the left side of the fin.  In Asymmetron the caudal region</w:t></w:r>
</w:p>
<w:p>
<w:pPr><w:pStyle w:val="Normal"/></w:pPr>
<w:r><w:t xml:space="preserve">is remarkable for the curious elongation of the notochord,</w:t></w:r>
</w:p>
<w:p>
<w:pPr><w:pStyle w:val="Normal"/></w:pPr>
<w:r><w:t xml:space="preserve">which is produced far beyond the last of the myotomes.</w:t></w:r>
</w:p>
<w:p>
<w:pPr><w:pStyle w:val="Normal"/></w:pPr>
<w:r><w:t xml:space="preserve">Alimentary, Respiratory and Excretory Systems.--Although</w:t></w:r>
</w:p>
<w:p>
<w:pPr><w:pStyle w:val="Normal"/></w:pPr>
<w:r><w:t xml:space="preserve">the function of the two latter systems of organs is the</w:t></w:r>
</w:p>
<w:p>
<w:pPr><w:pStyle w:val="Normal"/></w:pPr>
<w:r><w:t xml:space="preserve">purification of the blood, they are not usually considered</w:t></w:r>
</w:p>
<w:p>
<w:pPr><w:pStyle w:val="Normal"/></w:pPr>
<w:r><w:t xml:space="preserve">together, and it is therefore the more remarkable that their</w:t></w:r>
</w:p>
<w:p>
<w:pPr><w:pStyle w:val="Normal"/></w:pPr>
<w:r><w:t xml:space="preserve">close association in Amphioxus renders it necessary to</w:t></w:r>
</w:p>
<w:p>
<w:pPr><w:pStyle w:val="Normal"/></w:pPr>
<w:r><w:t xml:space="preserve">treat them in common.  The alimentary canal is a perfectly</w:t></w:r>
</w:p>
<w:p>
<w:pPr><w:pStyle w:val="Normal"/></w:pPr>
<w:r><w:t xml:space="preserve">straight tube lined throughout by ciliated epithelium.  As food</w:t></w:r>
</w:p>
<w:p>
<w:pPr><w:pStyle w:val="Normal"/></w:pPr>
<w:r><w:t xml:space="preserve">particles pass in through the mouth they become enveloped in a</w:t></w:r>
</w:p>
<w:p>
<w:pPr><w:pStyle w:val="Normal"/></w:pPr>
<w:r><w:t xml:space="preserve">slimy substance (secreted by the endostyle) and conveyed down</w:t></w:r>
</w:p>
<w:p>
<w:pPr><w:pStyle w:val="Normal"/></w:pPr>
<w:r><w:t xml:space="preserve">the gut by the action of the vibratile cilia as a continuous</w:t></w:r>
</w:p>
<w:p>
<w:pPr><w:pStyle w:val="Normal"/></w:pPr>
<w:r><w:t xml:space="preserve">food-rope, the peristaltic movements of the gut-wall being very</w:t></w:r>
</w:p>
<w:p>
<w:pPr><w:pStyle w:val="Normal"/></w:pPr>
<w:r><w:t xml:space="preserve">feeble.  The first part of the alimentary canal consists of</w:t></w:r>
</w:p>
<w:p>
<w:pPr><w:pStyle w:val="Normal"/></w:pPr>
<w:r><w:t xml:space="preserve">the pharynx or branchial sac, the side walls of which are</w:t></w:r>
</w:p>
<w:p>
<w:pPr><w:pStyle w:val="Normal"/></w:pPr>
<w:r><w:t xml:space="preserve">perforated by upwards of sixty pairs of elongated slits, the</w:t></w:r>
</w:p>
<w:p>
<w:pPr><w:pStyle w:val="Normal"/></w:pPr>
<w:r><w:t xml:space="preserve">gill-clefts.  Each primary gill-cleft becomes divided into two</w:t></w:r>
</w:p>
<w:p>
<w:pPr><w:pStyle w:val="Normal"/></w:pPr>
<w:r><w:t xml:space="preserve">by a tongue-bar which grows down secondarily from the upper</w:t></w:r>
</w:p>
<w:p>
<w:pPr><w:pStyle w:val="Normal"/></w:pPr>
<w:r><w:t xml:space="preserve">wall of the cleft and fuses with the ventral wall.  New clefts</w:t></w:r>
</w:p>
<w:p>
<w:pPr><w:pStyle w:val="Normal"/></w:pPr>
<w:r><w:t xml:space="preserve">continue to form at the posterior end of the pharynx during</w:t></w:r>
</w:p>
<w:p>
<w:pPr><w:pStyle w:val="Normal"/></w:pPr>
<w:r><w:t xml:space="preserve">the adult life of the animal.  The gill-clefts open directly</w:t></w:r>
</w:p>
<w:p>
<w:pPr><w:pStyle w:val="Normal"/></w:pPr>
<w:r><w:t xml:space="preserve">from the cavity of the pharynx into that of the atrium, and</w:t></w:r>
</w:p>
<w:p>
<w:pPr><w:pStyle w:val="Normal"/></w:pPr>
<w:r><w:t xml:space="preserve">so give egress to the respiratory current which enters the</w:t></w:r>
</w:p>
<w:p>
<w:pPr><w:pStyle w:val="Normal"/></w:pPr>
<w:r><w:t xml:space="preserve">mouth with the food (fig. 4). The atrium or atrial chamber</w:t></w:r>
</w:p>
<w:p>
<w:pPr><w:pStyle w:val="Normal"/></w:pPr>
<w:r><w:t xml:space="preserve">is a peripharyngeal cavity of secondary origin effecting</w:t></w:r>
</w:p>
<w:p>
<w:pPr><w:pStyle w:val="Normal"/></w:pPr>
<w:r><w:t xml:space="preserve">the enclosure of the gill-clefts, which in the larva opened</w:t></w:r>
</w:p>
<w:p>
<w:pPr><w:pStyle w:val="Normal"/></w:pPr>
<w:r><w:t xml:space="preserve">directly to the exterior.  The atrium is thus analogous to the</w:t></w:r>
</w:p>
<w:p>
<w:pPr><w:pStyle w:val="Normal"/></w:pPr>
<w:r><w:t xml:space="preserve">opercular cavity of fishes and tadpoles, and, as stated above,</w:t></w:r>
</w:p>
<w:p>
<w:pPr><w:pStyle w:val="Normal"/></w:pPr>
<w:r><w:t xml:space="preserve">remains in communication with the exterior by means of the</w:t></w:r>
</w:p>
<w:p>
<w:pPr><w:pStyle w:val="Normal"/></w:pPr>
<w:r><w:t xml:space="preserve">atriopore.  The primary and secondary bars which separate</w:t></w:r>
</w:p>
<w:p>
<w:pPr><w:pStyle w:val="Normal"/></w:pPr>
<w:r><w:t xml:space="preserve">and divide the successive gill-clefts from one another are</w:t></w:r>
</w:p>
<w:p>
<w:pPr><w:pStyle w:val="Normal"/></w:pPr>
<w:r><w:t xml:space="preserve">traversed by blood-vessels which run from a simple tubular</w:t></w:r>
</w:p>
<w:p>
<w:pPr><w:pStyle w:val="Normal"/></w:pPr>
<w:r><w:t xml:space="preserve">contractile ventral branchial vessel along the bars into a</w:t></w:r>
</w:p>
<w:p>
<w:pPr><w:pStyle w:val="Normal"/></w:pPr>
<w:r><w:t xml:space="preserve">dorsal aorta.  The ventral branchial vessel lies below the</w:t></w:r>
</w:p>
<w:p>
<w:pPr><w:pStyle w:val="Normal"/></w:pPr>
<w:r><w:t xml:space="preserve">hypobranchial groove or endostyle; and is the representative</w:t></w:r>
</w:p>
<w:p>
<w:pPr><w:pStyle w:val="Normal"/></w:pPr>
<w:r><w:t xml:space="preserve">of a heart.  As water for respiration streams through the</w:t></w:r>
</w:p>
<w:p>
<w:pPr><w:pStyle w:val="Normal"/></w:pPr>
<w:r><w:t xml:space="preserve">clefts, gaseous interchange takes place between the circulating</w:t></w:r>
</w:p>
<w:p>
<w:pPr><w:pStyle w:val="Normal"/></w:pPr>
<w:r><w:t xml:space="preserve">colourless blood and the percolating water.  The pharynx</w:t></w:r>
</w:p>
<w:p>
<w:pPr><w:pStyle w:val="Normal"/></w:pPr>
<w:r><w:t xml:space="preserve">projects freely into the atrium; it is surrounded at the sides</w:t></w:r>
</w:p>
<w:p>
<w:pPr><w:pStyle w:val="Normal"/></w:pPr>
<w:r><w:t xml:space="preserve">and below by the continuous atrial cavity, but dorsally it is</w:t></w:r>
</w:p>
<w:p>
<w:pPr><w:pStyle w:val="Normal"/></w:pPr>
<w:r><w:t xml:space="preserve">held in position in two ways.  First, its dorsal wall (which</w:t></w:r>
</w:p>
<w:p>
<w:pPr><w:pStyle w:val="Normal"/></w:pPr>
<w:r><w:t xml:space="preserve">is grooved to form the hyperpharyngeal groove) is closely</w:t></w:r>
</w:p>
<w:p>
<w:pPr><w:pStyle w:val="Normal"/></w:pPr>
<w:r><w:t xml:space="preserve">adherent to the sheath of the notochord; and secondly, the</w:t></w:r>
</w:p>
<w:p>
<w:pPr><w:pStyle w:val="Normal"/></w:pPr>
<w:r><w:t xml:space="preserve">pharynx is attached through the intermediation of the primary</w:t></w:r>
</w:p>
<w:p>
<w:pPr><w:pStyle w:val="Normal"/></w:pPr>
<w:r><w:t xml:space="preserve">bars.  These are suspended to the muscular body- wall by</w:t></w:r>
</w:p>
<w:p>
<w:pPr><w:pStyle w:val="Normal"/></w:pPr>
<w:r><w:t xml:space="preserve">a double membrane, called the ligamentum denticulatum,</w:t></w:r>
</w:p>
<w:p>
<w:pPr><w:pStyle w:val="Normal"/></w:pPr>
<w:r><w:t xml:space="preserve">which forms at once the roof of the atrial chamber and the</w:t></w:r>
</w:p>
<w:p>
<w:pPr><w:pStyle w:val="Normal"/></w:pPr>
<w:r><w:t xml:space="preserve">floor of a persistent portion of the original body-cavity</w:t></w:r>
</w:p>
<w:p>
<w:pPr><w:pStyle w:val="Normal"/></w:pPr>
<w:r><w:t xml:space="preserve">or coelom (the dorsal coelomic canal on each side of the</w:t></w:r>
</w:p>
<w:p>
<w:pPr><w:pStyle w:val="Normal"/></w:pPr>
<w:r><w:t xml:space="preserve">pharynx).  The ligamentum denticulatum is thus lined on</w:t></w:r>
</w:p>
<w:p>
<w:pPr><w:pStyle w:val="Normal"/></w:pPr>
<w:r><w:t xml:space="preserve">one side by the epiblastic atrial epithelium, and on the</w:t></w:r>
</w:p>
<w:p>
<w:pPr><w:pStyle w:val="Normal"/></w:pPr>
<w:r><w:t xml:space="preserve">other by mesoblastic coelomic epithelium.  Now this ligament</w:t></w:r>
</w:p>
<w:p>
<w:pPr><w:pStyle w:val="Normal"/></w:pPr>
<w:r><w:t xml:space="preserve">is inserted into the primary bars some distance below the</w:t></w:r>
</w:p>
<w:p>
<w:pPr><w:pStyle w:val="Normal"/></w:pPr>
<w:r><w:t xml:space="preserve">upper limits of the gill-clefts, and it therefore follows</w:t></w:r>
</w:p>
<w:p>
<w:pPr><w:pStyle w:val="Normal"/></w:pPr>
<w:r><w:t xml:space="preserve">that, corresponding with each tongue-bar, the atrial cavity</w:t></w:r>
</w:p>
<w:p>
<w:pPr><w:pStyle w:val="Normal"/></w:pPr>
<w:r><w:t xml:space="preserve">is produced upward beyond the insertion of the ligament into</w:t></w:r>
</w:p>
<w:p>
<w:pPr><w:pStyle w:val="Normal"/></w:pPr>
<w:r><w:t xml:space="preserve">a series of bags or pockets, which may be called the atrial</w:t></w:r>
</w:p>
<w:p>
<w:pPr><w:pStyle w:val="Normal"/></w:pPr>
<w:r><w:t xml:space="preserve">pouches.  At the top of each of these pouches there is a minute</w:t></w:r>
</w:p>
<w:p>
<w:pPr><w:pStyle w:val="Normal"/></w:pPr>
<w:r><w:t xml:space="preserve">orifice, the aperture of a small tubule lying above each pouch</w:t></w:r>
</w:p>
<w:p>
<w:pPr><w:pStyle w:val="Normal"/></w:pPr>
<w:r><w:t xml:space="preserve">in the dorsal coelom.  These tubules are the excretory tubules</w:t></w:r>
</w:p>
<w:p>
<w:pPr><w:pStyle w:val="Normal"/></w:pPr>
<w:r><w:t xml:space="preserve">or nephridia.  They communicate with the coelom by several</w:t></w:r>
</w:p>
<w:p>
<w:pPr><w:pStyle w:val="Normal"/></w:pPr>
<w:r><w:t xml:space="preserve">openings or nephrostomes, and with the atrium by a single</w:t></w:r>
</w:p>
<w:p>
<w:pPr><w:pStyle w:val="Normal"/></w:pPr>
<w:r><w:t xml:space="preserve">opening in each case, the nephridiopore.  It is important to</w:t></w:r>
</w:p>
<w:p>
<w:pPr><w:pStyle w:val="Normal"/></w:pPr>
<w:r><w:t xml:space="preserve">emphasize the fact that in Amphioxus the excretory tubules</w:t></w:r>
</w:p>
<w:p>
<w:pPr><w:pStyle w:val="Normal"/></w:pPr>
<w:r><w:t xml:space="preserve">are co-extensive with the gill-clefts.  The perforated pharynx</w:t></w:r>
</w:p>
<w:p>
<w:pPr><w:pStyle w:val="Normal"/></w:pPr>
<w:r><w:t xml:space="preserve">terminates some distance in front of the atriopore.  At the</w:t></w:r>
</w:p>
<w:p>
<w:pPr><w:pStyle w:val="Normal"/></w:pPr>
<w:r><w:t xml:space="preserve">level of its posterior end a pair of funnelashaped pouches</w:t></w:r>
</w:p>
<w:p>
<w:pPr><w:pStyle w:val="Normal"/></w:pPr>
<w:r><w:t xml:space="preserve">of the atrium are produced forwards into the dorsal coelom.</w:t></w:r>
</w:p>
<w:p>
<w:pPr><w:pStyle w:val="Normal"/></w:pPr>
<w:r><w:t xml:space="preserve">These are the atrial coelomic funnels or brown funnels, so</w:t></w:r>
</w:p>
<w:p>
<w:pPr><w:pStyle w:val="Normal"/></w:pPr>
<w:r><w:t xml:space="preserve">called on account of the characteristic pigmentation of their</w:t></w:r>
</w:p>
<w:p>
<w:pPr><w:pStyle w:val="Normal"/></w:pPr>
<w:r><w:t xml:space="preserve">walls.  There are reasons for supposing that these funnels</w:t></w:r>
</w:p>
<w:p>
<w:pPr><w:pStyle w:val="Normal"/></w:pPr>
<w:r><w:t xml:space="preserve">are vestiges of an ancient excretory system, which has</w:t></w:r>
</w:p>
<w:p>
<w:pPr><w:pStyle w:val="Normal"/></w:pPr>
<w:r><w:t xml:space="preserve">given way by substitution to the excretory tubules described</w:t></w:r>
</w:p>
<w:p>
<w:pPr><w:pStyle w:val="Normal"/></w:pPr>
<w:r><w:t xml:space="preserve">above.  In the same region of the body, namely, close behind</w:t></w:r>
</w:p>
<w:p>
<w:pPr><w:pStyle w:val="Normal"/></w:pPr>
<w:r><w:t xml:space="preserve">the pharynx, a large diverticulum is given off from the</w:t></w:r>
</w:p>
<w:p>
<w:pPr><w:pStyle w:val="Normal"/></w:pPr>
<w:r><w:t xml:space="preserve">ventral side of the gut.  This is the hepatic caecum (fig.</w:t></w:r>
</w:p>
<w:p>
<w:pPr><w:pStyle w:val="Normal"/></w:pPr>
<w:r><w:t xml:space="preserve">2,2,q, fig. 4, l), which is quite median at its first</w:t></w:r>
</w:p>
<w:p>
<w:pPr><w:pStyle w:val="Normal"/></w:pPr>
<w:r><w:t xml:space="preserve">origin, but, as it grows in length, comes to lie against</w:t></w:r>
</w:p>
<w:p>
<w:pPr><w:pStyle w:val="Normal"/></w:pPr>
<w:r><w:t xml:space="preserve">the right wall of the pharynx.  Although within the atrial</w:t></w:r>
</w:p>
<w:p>
<w:pPr><w:pStyle w:val="Normal"/></w:pPr>
<w:r><w:t xml:space="preserve">cavity, it is separated from the latter by a narrow coelomic</w:t></w:r>
</w:p>
<w:p>
<w:pPr><w:pStyle w:val="Normal"/></w:pPr>
<w:r><w:t xml:space="preserve">space, bounded towards the atrium by coelomic and atrial</w:t></w:r>
</w:p>
<w:p>
<w:pPr><w:pStyle w:val="Normal"/></w:pPr>
<w:r><w:t xml:space="preserve">epithelium.  No food passes into the hepatic caecum, which has</w:t></w:r>
</w:p>
<w:p>
<w:pPr><w:pStyle w:val="Normal"/></w:pPr>
<w:r><w:t xml:space="preserve">been de finitely shown on embryological and physiological grounds</w:t></w:r>
</w:p>
<w:p>
<w:pPr><w:pStyle w:val="Normal"/></w:pPr>
<w:r><w:t xml:space="preserve">to be the simplest persistent form of the vertebrate liver.</w:t></w:r>
</w:p>
<w:p>
<w:pPr><w:pStyle w:val="Normal"/></w:pPr>
<w:r><w:t xml:space="preserve">Nervous System.--As has already been indicated, a solid</w:t></w:r>
</w:p>
<w:p>
<w:pPr><w:pStyle w:val="Normal"/></w:pPr>
<w:r><w:t xml:space="preserve">subcylindrical elastic rod, the notochord, surrounded by</w:t></w:r>
</w:p>
<w:p>
<w:pPr><w:pStyle w:val="Normal"/></w:pPr>
<w:r><w:t xml:space="preserve">a sheath of laminar connective tissue, the cordal sheath,</w:t></w:r>
</w:p>
<w:p>
<w:pPr><w:pStyle w:val="Normal"/></w:pPr>
<w:r><w:t xml:space="preserve">lies above the alimentary canal in contact with its dorsal</w:t></w:r>
</w:p>
<w:p>
<w:pPr><w:pStyle w:val="Normal"/></w:pPr>
<w:r><w:t xml:space="preserve">wall, and extends beyond it both in front and behind to the</w:t></w:r>
</w:p>
<w:p>
<w:pPr><w:pStyle w:val="Normal"/></w:pPr>
<w:r><w:t xml:space="preserve">obtusely pointed extremities of the body.  This notochord</w:t></w:r>
</w:p>
<w:p>
<w:pPr><w:pStyle w:val="Normal"/></w:pPr>
<w:r><w:t xml:space="preserve">represents the persistent primordial skeletal axis which, in</w:t></w:r>
</w:p>
<w:p>
<w:pPr><w:pStyle w:val="Normal"/></w:pPr>
<w:r><w:t xml:space="preserve">the higher Craniata (though not so in the lower), gives way by</w:t></w:r>
</w:p>
<w:p>
<w:pPr><w:pStyle w:val="Normal"/></w:pPr>
<w:r><w:t xml:space="preserve">substitution to the segmented vertebral column.  Immediately</w:t></w:r>
</w:p>
<w:p>
<w:pPr><w:pStyle w:val="Normal"/></w:pPr>
<w:r><w:t xml:space="preserve">above the notochord there lies another subcylindrical cord,</w:t></w:r>
</w:p>
<w:p>
<w:pPr><w:pStyle w:val="Normal"/></w:pPr>
<w:r><w:t xml:space="preserve">also surrounded by a sheath of connective tissue.  This</w:t></w:r>
</w:p>
<w:p>
<w:pPr><w:pStyle w:val="Normal"/></w:pPr>
<w:r><w:t xml:space="preserve">cord is neither elastic nor solid, but consists of nerve</w:t></w:r>
</w:p>
<w:p>
<w:pPr><w:pStyle w:val="Normal"/></w:pPr>
<w:r><w:t xml:space="preserve">tissue, fibres and ganglion cells, surrounding a small central</w:t></w:r>
</w:p>
<w:p>
<w:pPr><w:pStyle w:val="Normal"/></w:pPr>
<w:r><w:t xml:space="preserve">canal.  For the sake of uniformity in nomenclature this</w:t></w:r>
</w:p>
<w:p>
<w:pPr><w:pStyle w:val="Normal"/></w:pPr>
<w:r><w:t xml:space="preserve">nerve-cord may be called the neurochord.  It is the central</w:t></w:r>
</w:p>
<w:p>
<w:pPr><w:pStyle w:val="Normal"/></w:pPr>
<w:r><w:t xml:space="preserve">nervous system, and contains within itself the elements of</w:t></w:r>
</w:p>
<w:p>
<w:pPr><w:pStyle w:val="Normal"/></w:pPr>
<w:r><w:t xml:space="preserve">the brain and spinal marrow of higher forms.  The neurochord</w:t></w:r>
</w:p>
<w:p>
<w:pPr><w:pStyle w:val="Normal"/></w:pPr>
<w:r><w:t xml:space="preserve">tapers towards its posterior end, where it is coextensive</w:t></w:r>
</w:p>
<w:p>
<w:pPr><w:pStyle w:val="Normal"/></w:pPr>
<w:r><w:t xml:space="preserve">with the notochord, but ends abruptly in front, some distance</w:t></w:r>
</w:p>
<w:p>
<w:pPr><w:pStyle w:val="Normal"/></w:pPr>
<w:r><w:t xml:space="preserve">behind the tip of the snout.  The neurochord attains its</w:t></w:r>
</w:p>
<w:p>
<w:pPr><w:pStyle w:val="Normal"/></w:pPr>
<w:r><w:t xml:space="preserve">greatest thickness not at its anterior end but some way behind</w:t></w:r>
</w:p>
<w:p>
<w:pPr><w:pStyle w:val="Normal"/></w:pPr>
<w:r><w:t xml:space="preserve">this region; but the central canal dilates at the anterior</w:t></w:r>
</w:p>
<w:p>
<w:pPr><w:pStyle w:val="Normal"/></w:pPr>
<w:r><w:t xml:space="preserve">extremity to form a thin-walled cerebral vesicle, in the</w:t></w:r>
</w:p>
<w:p>
<w:pPr><w:pStyle w:val="Normal"/></w:pPr>
<w:r><w:t xml:space="preserve">front wall of which there is an aggregation of dark pigment</w:t></w:r>
</w:p>
<w:p>
<w:pPr><w:pStyle w:val="Normal"/></w:pPr>
<w:r><w:t xml:space="preserve">cells constituting an eyespot, visible through the transparent</w:t></w:r>
</w:p>
<w:p>
<w:pPr><w:pStyle w:val="Normal"/></w:pPr>
<w:r><w:t xml:space="preserve">skin (fig. 1). There are two pairs of specialized cerebral</w:t></w:r>
</w:p>
<w:p>
<w:pPr><w:pStyle w:val="Normal"/></w:pPr>
<w:r><w:t xml:space="preserve">nerves innervating the praeoral lobe, and provided with</w:t></w:r>
</w:p>
<w:p>
<w:pPr><w:pStyle w:val="Normal"/></w:pPr>
<w:r><w:t xml:space="preserve">peripheral ganglia placed near the termination of the smaller</w:t></w:r>
</w:p>
<w:p>
<w:pPr><w:pStyle w:val="Normal"/></w:pPr>
<w:r><w:t xml:space="preserve">branches.  Corresponding with each pair of myotomes, and</w:t></w:r>
</w:p>
<w:p>
<w:pPr><w:pStyle w:val="Normal"/></w:pPr>
<w:r><w:t xml:space="preserve">subject to the same alternation, two pairs of spinal nerves</w:t></w:r>
</w:p>
<w:p>
<w:pPr><w:pStyle w:val="Normal"/></w:pPr>
<w:r><w:t xml:space="preserve">arise from the neurochord, namely, a right and left pair of</w:t></w:r>
</w:p>
<w:p>
<w:pPr><w:pStyle w:val="Normal"/></w:pPr>
<w:r><w:t xml:space="preserve">compact dorsal sensory roots without ganglionic enlargement,</w:t></w:r>
</w:p>
<w:p>
<w:pPr><w:pStyle w:val="Normal"/></w:pPr>
<w:r><w:t xml:space="preserve">and a right and left pair of ventral motor roots composed of</w:t></w:r>
</w:p>
<w:p>
<w:pPr><w:pStyle w:val="Normal"/></w:pPr>
<w:r><w:t xml:space="preserve">loose fibres issuing separately from the neurochord and passing</w:t></w:r>
</w:p>
<w:p>
<w:pPr><w:pStyle w:val="Normal"/></w:pPr>
<w:r><w:t xml:space="preserve">directly to their termination on the muscle-plates of the</w:t></w:r>
</w:p>
<w:p>
<w:pPr><w:pStyle w:val="Normal"/></w:pPr>
<w:r><w:t xml:space="preserve">myotomes.  The first dorsal spinal nerve coincides in position</w:t></w:r>
</w:p>
<w:p>
<w:pPr><w:pStyle w:val="Normal"/></w:pPr>
<w:r><w:t xml:space="preserve">with the myocomma which separates the first myotome from the</w:t></w:r>
</w:p>
<w:p>
<w:pPr><w:pStyle w:val="Normal"/></w:pPr>
<w:r><w:t xml:space="preserve">second on each side, and thereafter the successive dorsal</w:t></w:r>
</w:p>
<w:p>
<w:pPr><w:pStyle w:val="Normal"/></w:pPr>
<w:r><w:t xml:space="preserve">roots pass through the substance of the myocommata on their</w:t></w:r>
</w:p>
<w:p>
<w:pPr><w:pStyle w:val="Normal"/></w:pPr>
<w:r><w:t xml:space="preserve">way to the skin; they are therefore septal or intersegmental in</w:t></w:r>
</w:p>
<w:p>
<w:pPr><w:pStyle w:val="Normal"/></w:pPr>
<w:r><w:t xml:space="preserve">position.  The ventral roots, on the contrary, are myal or</w:t></w:r>
</w:p>
<w:p>
<w:pPr><w:pStyle w:val="Normal"/></w:pPr>
<w:r><w:t xml:space="preserve">segmental in position.  In addition to the cerebral eyespot</w:t></w:r>
</w:p>
<w:p>
<w:pPr><w:pStyle w:val="Normal"/></w:pPr>
<w:r><w:t xml:space="preserve">there are large numbers of minute black pigmented bodies beside</w:t></w:r>
</w:p>
<w:p>
<w:pPr><w:pStyle w:val="Normal"/></w:pPr>
<w:r><w:t xml:space="preserve">and below the central canal of the neurochord, commencing</w:t></w:r>
</w:p>
<w:p>
<w:pPr><w:pStyle w:val="Normal"/></w:pPr>
<w:r><w:t xml:space="preserve">from the level of the third myotome.  It has been determined</w:t></w:r>
</w:p>
<w:p>
<w:pPr><w:pStyle w:val="Normal"/></w:pPr>
<w:r><w:t xml:space="preserve">that these bodies are of the nature of eyes (Becheraugen, R.</w:t></w:r>
</w:p>
<w:p>
<w:pPr><w:pStyle w:val="Normal"/></w:pPr>
<w:r><w:t xml:space="preserve">Hesse), each consisting of two cells, a cup-shaped pigment</w:t></w:r>
</w:p>
<w:p>
<w:pPr><w:pStyle w:val="Normal"/></w:pPr>
<w:r><w:t xml:space="preserve">cell and a triangular retinal cell.  These may be called the</w:t></w:r>
</w:p>
<w:p>
<w:pPr><w:pStyle w:val="Normal"/></w:pPr>
<w:r><w:t xml:space="preserve">spinal eyes, and it is said that they are disposed in such</w:t></w:r>
</w:p>
<w:p>
<w:pPr><w:pStyle w:val="Normal"/></w:pPr>
<w:r><w:t xml:space="preserve">a way as to receive illumination preferentially from the</w:t></w:r>
</w:p>
<w:p>
<w:pPr><w:pStyle w:val="Normal"/></w:pPr>
<w:r><w:t xml:space="preserve">right side, although this fact has no relation with the side</w:t></w:r>
</w:p>
<w:p>
<w:pPr><w:pStyle w:val="Normal"/></w:pPr>
<w:r><w:t xml:space="preserve">upon which Amphioxus may lie upon the sand.  When kept in</w:t></w:r>
</w:p>
<w:p>
<w:pPr><w:pStyle w:val="Normal"/></w:pPr>
<w:r><w:t xml:space="preserve">captivity the animal often lies upon one side on the surface</w:t></w:r>
</w:p>
<w:p>
<w:pPr><w:pStyle w:val="Normal"/></w:pPr>
<w:r><w:t xml:space="preserve">of the sand, but on either side indifferently.  Over the</w:t></w:r>
</w:p>
<w:p>
<w:pPr><w:pStyle w:val="Normal"/></w:pPr>
<w:r><w:t xml:space="preserve">cerebral eye there is a small orifice placed to the left of</w:t></w:r>
</w:p>
<w:p>
<w:pPr><w:pStyle w:val="Normal"/></w:pPr>
<w:r><w:t xml:space="preserve">the base of the cephalic fin, leading into a pit which extends</w:t></w:r>
</w:p>
<w:p>
<w:pPr><w:pStyle w:val="Normal"/></w:pPr>
<w:r><w:t xml:space="preserve">from the surface of the body to the surface of the cerebral</w:t></w:r>
</w:p>
<w:p>
<w:pPr><w:pStyle w:val="Normal"/></w:pPr>
<w:r><w:t xml:space="preserve">vesicle; this is known as A. von Kolliker&apos;s olfactory pit.</w:t></w:r>
</w:p>
<w:p>
<w:pPr><w:pStyle w:val="Normal"/></w:pPr>
<w:r><w:t xml:space="preserve">Reproductive System.--The sexes are separate, and the male or female</w:t></w:r>
</w:p>
<w:p>
<w:pPr><w:pStyle w:val="Normal"/></w:pPr>
<w:r><w:t xml:space="preserve">Fig. 5.--Diagram of embryo gonads, or Amphioxus seen from above</w:t></w:r>
</w:p>
<w:p>
<w:pPr><w:pStyle w:val="Normal"/></w:pPr>
<w:r><w:t xml:space="preserve">in optical section. (Adapted from Hatschek.) pc, Praechordal</w:t></w:r>
</w:p>
<w:p>
<w:pPr><w:pStyle w:val="Normal"/></w:pPr>
<w:r><w:t xml:space="preserve">head-cavity of embryo; cc, collar-cavity (first somite); my,</w:t></w:r>
</w:p>
<w:p>
<w:pPr><w:pStyle w:val="Normal"/></w:pPr>
<w:r><w:t xml:space="preserve">mesodermic somites (myocoelomic or archenteric pouches); ch,</w:t></w:r>
</w:p>
<w:p>
<w:pPr><w:pStyle w:val="Normal"/></w:pPr>
<w:r><w:t xml:space="preserve">notochord with the neural tube (neurochord) lying upon it; np,</w:t></w:r>
</w:p>
<w:p>
<w:pPr><w:pStyle w:val="Normal"/></w:pPr>
<w:r><w:t xml:space="preserve">anterior neuropore; ne, position of posterior neurenteric canal.</w:t></w:r>
</w:p>
<w:p>
<w:pPr><w:pStyle w:val="Normal"/></w:pPr>
<w:r><w:t xml:space="preserve">gonads, which are exactly similar in outward appearance, occur</w:t></w:r>
</w:p>
<w:p>
<w:pPr><w:pStyle w:val="Normal"/></w:pPr>
<w:r><w:t xml:space="preserve">as a series of gonadic pouches projecting into the atrial cavity</w:t></w:r>
</w:p>
<w:p>
<w:pPr><w:pStyle w:val="Normal"/></w:pPr>
<w:r><w:t xml:space="preserve">at the base of the myotomes (figs. 2, 3, 4). At the breeding</w:t></w:r>
</w:p>
<w:p>
<w:pPr><w:pStyle w:val="Normal"/></w:pPr>
<w:r><w:t xml:space="preserve">season the walls of the pouches burst and the sexual elements</w:t></w:r>
</w:p>
<w:p>
<w:pPr><w:pStyle w:val="Normal"/></w:pPr>
<w:r><w:t xml:space="preserve">pass into the atrium, whence they are discharged through the</w:t></w:r>
</w:p>
<w:p>
<w:pPr><w:pStyle w:val="Normal"/></w:pPr>
<w:r><w:t xml:space="preserve">atriopore into the water, where fertilization takes place.</w:t></w:r>
</w:p>
<w:p>
<w:pPr><w:pStyle w:val="Normal"/></w:pPr>
<w:r><w:t xml:space="preserve">Development.--The development of Amphioxus possesses many</w:t></w:r>
</w:p>
<w:p>
<w:pPr><w:pStyle w:val="Normal"/></w:pPr>
<w:r><w:t xml:space="preserve">features of interest, and cannot fail to retain its importance</w:t></w:r>
</w:p>
<w:p>
<w:pPr><w:pStyle w:val="Normal"/></w:pPr>
<w:r><w:t xml:space="preserve">as an introduction to the study of embryology.  The four</w:t></w:r>
</w:p>
<w:p>
<w:pPr><w:pStyle w:val="Normal"/></w:pPr>
<w:r><w:t xml:space="preserve">principal phases in the development are: (1) Blastula, (2)</w:t></w:r>
</w:p>
<w:p>
<w:pPr><w:pStyle w:val="Normal"/></w:pPr>
<w:r><w:t xml:space="preserve">Gastrula, (3) Flagellate Embryo, (4) Larva.  The segmentation</w:t></w:r>
</w:p>
<w:p>
<w:pPr><w:pStyle w:val="Normal"/></w:pPr>
<w:r><w:t xml:space="preserve">or cleavage of the ovum which follows upon fertilization</w:t></w:r>
</w:p>
<w:p>
<w:pPr><w:pStyle w:val="Normal"/></w:pPr>
<w:r><w:t xml:space="preserve">terminates in the achievement of the blastula form, a minute</w:t></w:r>
</w:p>
<w:p>
<w:pPr><w:pStyle w:val="Normal"/></w:pPr>
<w:r><w:t xml:space="preserve">sphere of cells surrounding a central cavity.  Then follows</w:t></w:r>
</w:p>
<w:p>
<w:pPr><w:pStyle w:val="Normal"/></w:pPr>
<w:r><w:t xml:space="preserve">the phenomenon of gastrulation, by which one-half of the</w:t></w:r>
</w:p>
<w:p>
<w:pPr><w:pStyle w:val="Normal"/></w:pPr>
<w:r><w:t xml:space="preserve">blastula is invaginated into the other, so as to obliterate</w:t></w:r>
</w:p>
<w:p>
<w:pPr><w:pStyle w:val="Normal"/></w:pPr>
<w:r><w:t xml:space="preserve">the segmentation cavity.  The embryo now consists of two</w:t></w:r>
</w:p>
<w:p>
<w:pPr><w:pStyle w:val="Normal"/></w:pPr>
<w:r><w:t xml:space="preserve">layers of cells, epiblast and hypoblast, surrounding a cavity,</w:t></w:r>
</w:p>
<w:p>
<w:pPr><w:pStyle w:val="Normal"/></w:pPr>
<w:r><w:t xml:space="preserve">the archenteron, which opens to the exterior by the orifice</w:t></w:r>
</w:p>
<w:p>
<w:pPr><w:pStyle w:val="Normal"/></w:pPr>
<w:r><w:t xml:space="preserve">of invagination or blastopore.  One important fact should</w:t></w:r>
</w:p>
<w:p>
<w:pPr><w:pStyle w:val="Normal"/></w:pPr>
<w:r><w:t xml:space="preserve">FIG. 6.--Anterior region of two pelagic larvae of A.</w:t></w:r>
</w:p>
<w:p>
<w:pPr><w:pStyle w:val="Normal"/></w:pPr>
<w:r><w:t xml:space="preserve">lanceolatus obtained by the tow-net in 8-10 fathoms, showing</w:t></w:r>
</w:p>
<w:p>
<w:pPr><w:pStyle w:val="Normal"/></w:pPr>
<w:r><w:t xml:space="preserve">the asymmetry of the large lateral sinistral mouth with its</w:t></w:r>
</w:p>
<w:p>
<w:pPr><w:pStyle w:val="Normal"/></w:pPr>
<w:r><w:t xml:space="preserve">ciliated margin cm and the dextral series of simple primary</w:t></w:r>
</w:p>
<w:p>
<w:pPr><w:pStyle w:val="Normal"/></w:pPr>
<w:r><w:t xml:space="preserve">gill-slits (1ps-14ps.) The larvae swim normally like the</w:t></w:r>
</w:p>
<w:p>
<w:pPr><w:pStyle w:val="Normal"/></w:pPr>
<w:r><w:t xml:space="preserve">adult or suspend themselves by their flagella (not shown in</w:t></w:r>
</w:p>
<w:p>
<w:pPr><w:pStyle w:val="Normal"/></w:pPr>
<w:r><w:t xml:space="preserve">the figures) vertically in mid-water.  There is nothing in</w:t></w:r>
</w:p>
<w:p>
<w:pPr><w:pStyle w:val="Normal"/></w:pPr>
<w:r><w:t xml:space="preserve">their mode of life which will afford an explanation of the</w:t></w:r>
</w:p>
<w:p>
<w:pPr><w:pStyle w:val="Normal"/></w:pPr>
<w:r><w:t xml:space="preserve">asymmetry which is a developmental phenomenon. Lettering of</w:t></w:r>
</w:p>
<w:p>
<w:pPr><w:pStyle w:val="Normal"/></w:pPr>
<w:r><w:t xml:space="preserve">upper figure.--anp, Anterior neural pore; bc, rudiment</w:t></w:r>
</w:p>
<w:p>
<w:pPr><w:pStyle w:val="Normal"/></w:pPr>
<w:r><w:t xml:space="preserve">of buccal skeleton; c, cilia; cb, ciliated band; cc,</w:t></w:r>
</w:p>
<w:p>
<w:pPr><w:pStyle w:val="Normal"/></w:pPr>
<w:r><w:t xml:space="preserve">ciliated groove; cm, cilia at margin of mouth; gl, external</w:t></w:r>
</w:p>
<w:p>
<w:pPr><w:pStyle w:val="Normal"/></w:pPr>
<w:r><w:t xml:space="preserve">opening of club-shaped gland; Hn, Hatschek&apos;s nephridium;</w:t></w:r>
</w:p>
<w:p>
<w:pPr><w:pStyle w:val="Normal"/></w:pPr>
<w:r><w:t xml:space="preserve">lm, left metapleur; n, notochord; pp, praeoral pit;</w:t></w:r>
</w:p>
<w:p>
<w:pPr><w:pStyle w:val="Normal"/></w:pPr>
<w:r><w:t xml:space="preserve">ps, primary gill-slits, 1, 5, and 13; rm, right metapleur</w:t></w:r>
</w:p>
<w:p>
<w:pPr><w:pStyle w:val="Normal"/></w:pPr>
<w:r><w:t xml:space="preserve">showing through. Lettering of&apos;lower fgure.--a, Atrium;</w:t></w:r>
</w:p>
<w:p>
<w:pPr><w:pStyle w:val="Normal"/></w:pPr>
<w:r><w:t xml:space="preserve">al, alimentary canal; bp, blood-vessel; cv, cerebral</w:t></w:r>
</w:p>
<w:p>
<w:pPr><w:pStyle w:val="Normal"/></w:pPr>
<w:r><w:t xml:space="preserve">vesicle; df, dorsal section of myocoel (=fin spaces); e,</w:t></w:r>
</w:p>
<w:p>
<w:pPr><w:pStyle w:val="Normal"/></w:pPr>
<w:r><w:t xml:space="preserve">``eyespot&apos;&apos;; end, endostyle; gl, club-shaped gland; lm,</w:t></w:r>
</w:p>
<w:p>
<w:pPr><w:pStyle w:val="Normal"/></w:pPr>
<w:r><w:t xml:space="preserve">edge of left metapleur; m, lower edge of mouth; n, notochord;</w:t></w:r>
</w:p>
<w:p>
<w:pPr><w:pStyle w:val="Normal"/></w:pPr>
<w:r><w:t xml:space="preserve">nt} pigmented nerve tube; ps, primary gill-slits, 1, 9,</w:t></w:r>
</w:p>
<w:p>
<w:pPr><w:pStyle w:val="Normal"/></w:pPr>
<w:r><w:t xml:space="preserve">and 14; rc, renal cells on atrial floor; rm, edge of right</w:t></w:r>
</w:p>
<w:p>
<w:pPr><w:pStyle w:val="Normal"/></w:pPr>
<w:r><w:t xml:space="preserve">metapleur; so, sense organ opening into praeoral pit; ss,</w:t></w:r>
</w:p>
<w:p>
<w:pPr><w:pStyle w:val="Normal"/></w:pPr>
<w:r><w:t xml:space="preserve">thickenings, the rudiments of the row of secondary gill-slits.</w:t></w:r>
</w:p>
<w:p>
<w:pPr><w:pStyle w:val="Normal"/></w:pPr>
<w:r><w:t xml:space="preserve">be noted with regard to the gastrula, in which it seems to</w:t></w:r>
</w:p>
<w:p>
<w:pPr><w:pStyle w:val="Normal"/></w:pPr>
<w:r><w:t xml:space="preserve">differ from the gastrulae of invertebrata.  After invagination</w:t></w:r>
</w:p>
<w:p>
<w:pPr><w:pStyle w:val="Normal"/></w:pPr>
<w:r><w:t xml:space="preserve">is completed, the embryo begins to elongate, the blastopore</w:t></w:r>
</w:p>
<w:p>
<w:pPr><w:pStyle w:val="Normal"/></w:pPr>
<w:r><w:t xml:space="preserve">becomes narrower, and the dorsal wall of the gastrula loses its</w:t></w:r>
</w:p>
<w:p>
<w:pPr><w:pStyle w:val="Normal"/></w:pPr>
<w:r><w:t xml:space="preserve">convexity, and becomes flattened to form the dorsal plate,</w:t></w:r>
</w:p>
<w:p>
<w:pPr><w:pStyle w:val="Normal"/></w:pPr>
<w:r><w:t xml:space="preserve">the outer layer of which is the primordium of the neurochord</w:t></w:r>
</w:p>
<w:p>
<w:pPr><w:pStyle w:val="Normal"/></w:pPr>
<w:r><w:t xml:space="preserve">and the inner layer the primordium of the notochord.  While</w:t></w:r>
</w:p>
<w:p>
<w:pPr><w:pStyle w:val="Normal"/></w:pPr>
<w:r><w:t xml:space="preserve">still within the egg-membrane the epiblastic cells become</w:t></w:r>
</w:p>
<w:p>
<w:pPr><w:pStyle w:val="Normal"/></w:pPr>
<w:r><w:t xml:space="preserve">flagellated, and the gastrula rotates within the membrane.</w:t></w:r>
</w:p>
<w:p>
<w:pPr><w:pStyle w:val="Normal"/></w:pPr>
<w:r><w:t xml:space="preserve">About the eighth hour after commencement of development the</w:t></w:r>
</w:p>
<w:p>
<w:pPr><w:pStyle w:val="Normal"/></w:pPr>
<w:r><w:t xml:space="preserve">membrane ruptures and the oval embryo escapes, swimming by</w:t></w:r>
</w:p>
<w:p>
<w:pPr><w:pStyle w:val="Normal"/></w:pPr>
<w:r><w:t xml:space="preserve">means of its flagella at the surface of the sea for another</w:t></w:r>
</w:p>
<w:p>
<w:pPr><w:pStyle w:val="Normal"/></w:pPr>
<w:r><w:t xml:space="preserve">twenty-four hours, during which the principal organs are laid</w:t></w:r>
</w:p>
<w:p>
<w:pPr><w:pStyle w:val="Normal"/></w:pPr>
<w:r><w:t xml:space="preserve">down, although the mouth does not open until the close of this</w:t></w:r>
</w:p>
<w:p>
<w:pPr><w:pStyle w:val="Normal"/></w:pPr>
<w:r><w:t xml:space="preserve">period.  The primordium of the neurochord (neural or medullary</w:t></w:r>
</w:p>
<w:p>
<w:pPr><w:pStyle w:val="Normal"/></w:pPr>
<w:r><w:t xml:space="preserve">plate) referred to above becomes closed in from the surface by</w:t></w:r>
</w:p>
<w:p>
<w:pPr><w:pStyle w:val="Normal"/></w:pPr>
<w:r><w:t xml:space="preserve">the overgrowth of surrounding epiblast, and its edges also bend</w:t></w:r>
</w:p>
<w:p>
<w:pPr><w:pStyle w:val="Normal"/></w:pPr>
<w:r><w:t xml:space="preserve">up, meet, and finally fuse to form a tube, the medullary or neural</w:t></w:r>
</w:p>
<w:p>
<w:pPr><w:pStyle w:val="Normal"/></w:pPr>
<w:r><w:t xml:space="preserve">tube.  An important fact to note is that the blastopore is</w:t></w:r>
</w:p>
<w:p>
<w:pPr><w:pStyle w:val="Normal"/></w:pPr>
<w:r><w:t xml:space="preserve">included in this overgrowth of epiblast, so that the neural</w:t></w:r>
</w:p>
<w:p>
<w:pPr><w:pStyle w:val="Normal"/></w:pPr>
<w:r><w:t xml:space="preserve">tube remains for some time in open communication with the</w:t></w:r>
</w:p>
<w:p>
<w:pPr><w:pStyle w:val="Normal"/></w:pPr>
<w:r><w:t xml:space="preserve">archenteron by means of a posterior neurenteric canal.  It is</w:t></w:r>
</w:p>
<w:p>
<w:pPr><w:pStyle w:val="Normal"/></w:pPr>
<w:r><w:t xml:space="preserve">still longer before the neural tube completes its closure in</w:t></w:r>
</w:p>
<w:p>
<w:pPr><w:pStyle w:val="Normal"/></w:pPr>
<w:r><w:t xml:space="preserve">front, exhibiting a small orifice at the surface, the anterior</w:t></w:r>
</w:p>
<w:p>
<w:pPr><w:pStyle w:val="Normal"/></w:pPr>
<w:r><w:t xml:space="preserve">neuropore.  It is thus possible that the neurenteric canal</w:t></w:r>
</w:p>
<w:p>
<w:pPr><w:pStyle w:val="Normal"/></w:pPr>
<w:r><w:t xml:space="preserve">is due to the conjunction of a posterior neuropore with</w:t></w:r>
</w:p>
<w:p>
<w:pPr><w:pStyle w:val="Normal"/></w:pPr>
<w:r><w:t xml:space="preserve">the blastopore, i.e. it is a complex and not a simple</w:t></w:r>
</w:p>
<w:p>
<w:pPr><w:pStyle w:val="Normal"/></w:pPr>
<w:r><w:t xml:space="preserve">structure.  Paired archenteric pouches meanwhile appear at</w:t></w:r>
</w:p>
<w:p>
<w:pPr><w:pStyle w:val="Normal"/></w:pPr>
<w:r><w:t xml:space="preserve">the sides of the axial notochordal tract, the mesoblastic</w:t></w:r>
</w:p>
<w:p>
<w:pPr><w:pStyle w:val="Normal"/></w:pPr>
<w:r><w:t xml:space="preserve">somites.  The first of these differs in several respects from</w:t></w:r>
</w:p>
<w:p>
<w:pPr><w:pStyle w:val="Normal"/></w:pPr>
<w:r><w:t xml:space="preserve">those which succeed, and has been called the collar cavity</w:t></w:r>
</w:p>
<w:p>
<w:pPr><w:pStyle w:val="Normal"/></w:pPr>
<w:r><w:t xml:space="preserve">(MacBride).  In front of the latter there remains a portion</w:t></w:r>
</w:p>
<w:p>
<w:pPr><w:pStyle w:val="Normal"/></w:pPr>
<w:r><w:t xml:space="preserve">of the archenteron, which becomes constricted off as the head</w:t></w:r>
</w:p>
<w:p>
<w:pPr><w:pStyle w:val="Normal"/></w:pPr>
<w:r><w:t xml:space="preserve">cavity.  This becomes divided into two, the right half</w:t></w:r>
</w:p>
<w:p>
<w:pPr><w:pStyle w:val="Normal"/></w:pPr>
<w:r><w:t xml:space="preserve">forming the cavity of the rostrum, while the left acquires</w:t></w:r>
</w:p>
<w:p>
<w:pPr><w:pStyle w:val="Normal"/></w:pPr>
<w:r><w:t xml:space="preserve">an opening to the exterior, and forms the praeoral pit</w:t></w:r>
</w:p>
<w:p>
<w:pPr><w:pStyle w:val="Normal"/></w:pPr>
<w:r><w:t xml:space="preserve">of the larva, which subsequently gives rise to special</w:t></w:r>
</w:p>
<w:p>
<w:pPr><w:pStyle w:val="Normal"/></w:pPr>
<w:r><w:t xml:space="preserve">ciliated tracts in the vestibule of the mouth mentioned</w:t></w:r>
</w:p>
<w:p>
<w:pPr><w:pStyle w:val="Normal"/></w:pPr>
<w:r><w:t xml:space="preserve">above.  The larval period commences at about the thirty-sixth</w:t></w:r>
</w:p>
<w:p>
<w:pPr><w:pStyle w:val="Normal"/></w:pPr>
<w:r><w:t xml:space="preserve">hour with the perforation of the mouth, first gill-cleft and</w:t></w:r>
</w:p>
<w:p>
<w:pPr><w:pStyle w:val="Normal"/></w:pPr>
<w:r><w:t xml:space="preserve">anus.  The larva is curiously asymmetrical, as many as</w:t></w:r>
</w:p>
<w:p>
<w:pPr><w:pStyle w:val="Normal"/></w:pPr>
<w:r><w:t xml:space="preserve">fourteen gill-clefts appearing in an unpaired series on the</w:t></w:r>
</w:p>
<w:p>
<w:pPr><w:pStyle w:val="Normal"/></w:pPr>
<w:r><w:t xml:space="preserve">right side, while the mouth is a large orifice on the left</w:t></w:r>
</w:p>
<w:p>
<w:pPr><w:pStyle w:val="Normal"/></w:pPr>
<w:r><w:t xml:space="preserve">side, the anus being median.  The adult form is achieved by</w:t></w:r>
</w:p>
<w:p>
<w:pPr><w:pStyle w:val="Normal"/></w:pPr>
<w:r><w:t xml:space="preserve">metamorphosis, which cannot be further described here.</w:t></w:r>
</w:p>
<w:p>
<w:pPr><w:pStyle w:val="Normal"/></w:pPr>
<w:r><w:t xml:space="preserve">One point must not be omitted, namely, the homogeny of the</w:t></w:r>
</w:p>
<w:p>
<w:pPr><w:pStyle w:val="Normal"/></w:pPr>
<w:r><w:t xml:space="preserve">endostyle of Amphioxus and the thyroid gland of Craniata.</w:t></w:r>
</w:p>
<w:p>
<w:pPr><w:pStyle w:val="Normal"/></w:pPr>
<w:r><w:t xml:space="preserve">REFERENCES.--T.  Boveri, ``Die Nierencanalchen des</w:t></w:r>
</w:p>
<w:p>
<w:pPr><w:pStyle w:val="Normal"/></w:pPr>
<w:r><w:t xml:space="preserve">Amphioxus,&apos;&apos; Zool Jahrb.  Anat. v. (1892), p. 429; T. Felix,</w:t></w:r>
</w:p>
<w:p>
<w:pPr><w:pStyle w:val="Normal"/></w:pPr>
<w:r><w:t xml:space="preserve">``Beitrage zur Entwickelungsgeschichte der Salmoniden,&apos;&apos;</w:t></w:r>
</w:p>
<w:p>
<w:pPr><w:pStyle w:val="Normal"/></w:pPr>
<w:r><w:t xml:space="preserve">Anat.  Hefte Arb. viii. 1897; Amphioxus, p. 333; T.</w:t></w:r>
</w:p>
<w:p>
<w:pPr><w:pStyle w:val="Normal"/></w:pPr>
<w:r><w:t xml:space="preserve">Garbowski, ``Amphioxus als Grundlage der Mesodermtheorie,&apos;&apos;</w:t></w:r>
</w:p>
<w:p>
<w:pPr><w:pStyle w:val="Normal"/></w:pPr>
<w:r><w:t xml:space="preserve">Anat Anz. xiv. (1898), p. 473; R. Hesse, ``Die Sehorgane</w:t></w:r>
</w:p>
<w:p>
<w:pPr><w:pStyle w:val="Normal"/></w:pPr>
<w:r><w:t xml:space="preserve">des Amphioxus,&apos;&apos; Zeitschr. wiss.  Zool. lxiii. (1898), p</w:t></w:r>
</w:p>
<w:p>
<w:pPr><w:pStyle w:val="Normal"/></w:pPr>
<w:r><w:t xml:space="preserve">456; J. W. Kirkaldy, ``A Revision of the Genera and Species</w:t></w:r>
</w:p>
<w:p>
<w:pPr><w:pStyle w:val="Normal"/></w:pPr>
<w:r><w:t xml:space="preserve">of the Branchiostomidae,&apos;&apos; Quart.  J. Micr.  Sci. xxxvii.</w:t></w:r>
</w:p>
<w:p>
<w:pPr><w:pStyle w:val="Normal"/></w:pPr>
<w:r><w:t xml:space="preserve">(1895), p. 303; E. R. Lankester, ``Contributions to the</w:t></w:r>
</w:p>
<w:p>
<w:pPr><w:pStyle w:val="Normal"/></w:pPr>
<w:r><w:t xml:space="preserve">Knowledge of Amphioxus lanceolatus (Yarrell),&apos;&apos; op. cit.,</w:t></w:r>
</w:p>
<w:p>
<w:pPr><w:pStyle w:val="Normal"/></w:pPr>
<w:r><w:t xml:space="preserve">xxix. (1889), p. 365; Lwoff, ``Die Bildung der primaren</w:t></w:r>
</w:p>
<w:p>
<w:pPr><w:pStyle w:val="Normal"/></w:pPr>
<w:r><w:t xml:space="preserve">Keimblatter und die Entstehung der Chorda und des Mesoderms</w:t></w:r>
</w:p>
<w:p>
<w:pPr><w:pStyle w:val="Normal"/></w:pPr>
<w:r><w:t xml:space="preserve">bei den Wirbelthieren,&apos;&apos; Bull. Soc. Moscow (1894); E. W.</w:t></w:r>
</w:p>
<w:p>
<w:pPr><w:pStyle w:val="Normal"/></w:pPr>
<w:r><w:t xml:space="preserve">MacBride, ``The early Development of Amphioxus,&apos;&apos; Quart.  J.</w:t></w:r>
</w:p>
<w:p>
<w:pPr><w:pStyle w:val="Normal"/></w:pPr>
<w:r><w:t xml:space="preserve">Micr.  Sci. xl. (1897), p. 589, and xliii. (1900); T. H.</w:t></w:r>
</w:p>
<w:p>
<w:pPr><w:pStyle w:val="Normal"/></w:pPr>
<w:r><w:t xml:space="preserve">Morgan and A. P. Hazen, ``The Gastrulation of Amphioxus,&apos;&apos;</w:t></w:r>
</w:p>
<w:p>
<w:pPr><w:pStyle w:val="Normal"/></w:pPr>
<w:r><w:t xml:space="preserve">J. Morphol. xvi. (1900), p. 569; P. Sammassa, ``Studien</w:t></w:r>
</w:p>
<w:p>
<w:pPr><w:pStyle w:val="Normal"/></w:pPr>
<w:r><w:t xml:space="preserve">uber den Einfluss des Dotters auf die Gastrulation und die</w:t></w:r>
</w:p>
<w:p>
<w:pPr><w:pStyle w:val="Normal"/></w:pPr>
<w:r><w:t xml:space="preserve">Bildung der primaren Keimblatter der Wirbelthiere: iv.</w:t></w:r>
</w:p>
<w:p>
<w:pPr><w:pStyle w:val="Normal"/></w:pPr>
<w:r><w:t xml:space="preserve">Amphioxus,&apos;&apos; Arch. f. Entwick.  Mech. vii. (1898), p. 1;</w:t></w:r>
</w:p>
<w:p>
<w:pPr><w:pStyle w:val="Normal"/></w:pPr>
<w:r><w:t xml:space="preserve">G. Schneider, ``Einiges uber Resorption und Excretion bei</w:t></w:r>
</w:p>
<w:p>
<w:pPr><w:pStyle w:val="Normal"/></w:pPr>
<w:r><w:t xml:space="preserve">Amphioxus lanceolatus,&apos;&apos; Anat.  Anz. xvi. (1899), p. 601; J.</w:t></w:r>
</w:p>
<w:p>
<w:pPr><w:pStyle w:val="Normal"/></w:pPr>
<w:r><w:t xml:space="preserve">Sobotta, ``Die Reifung und Befruchtung des Eies von Amphioxus</w:t></w:r>
</w:p>
<w:p>
<w:pPr><w:pStyle w:val="Normal"/></w:pPr>
<w:r><w:t xml:space="preserve">lanceolatus,&apos;&apos; Arch. mikr.  Anat. l. (1897), p. 15; F. E. Weiss,</w:t></w:r>
</w:p>
<w:p>
<w:pPr><w:pStyle w:val="Normal"/></w:pPr>
<w:r><w:t xml:space="preserve">``Excretory tubules in Amphioxus lanceolatus,&apos;&apos; Quart.  J.</w:t></w:r>
</w:p>
<w:p>
<w:pPr><w:pStyle w:val="Normal"/></w:pPr>
<w:r><w:t xml:space="preserve">Micr.  Sci. xxxi. (1890), p. 489; A. Willey, Amphioxus</w:t></w:r>
</w:p>
<w:p>
<w:pPr><w:pStyle w:val="Normal"/></w:pPr>
<w:r><w:t xml:space="preserve">and the ancestry of the Vertebrates (1894); ``Remarks on</w:t></w:r>
</w:p>
<w:p>
<w:pPr><w:pStyle w:val="Normal"/></w:pPr>
<w:r><w:t xml:space="preserve">some recent Work on the Protochorda,&apos;&apos; Quart.  J. Micr.</w:t></w:r>
</w:p>
<w:p>
<w:pPr><w:pStyle w:val="Normal"/></w:pPr>
<w:r><w:t xml:space="preserve">Sci. xliii. (1899), p. 223; pleuron of New Zealand,&apos;&apos; ib.</w:t></w:r>
</w:p>
<w:p>
<w:pPr><w:pStyle w:val="Normal"/></w:pPr>
<w:r><w:t xml:space="preserve">(1901); E. Burchardt, ``Finer Anatomy of Amphioxus,&apos;&apos; with</w:t></w:r>
</w:p>
<w:p>
<w:pPr><w:pStyle w:val="Normal"/></w:pPr>
<w:r><w:t xml:space="preserve">bibliography, Jena Zeitschr. xxxiv. (1900), p. 719. (A. W.*)</w:t></w:r>
</w:p>
<w:p>
<w:pPr><w:pStyle w:val="Normal"/></w:pPr>
<w:r><w:t xml:space="preserve">AMPHIPOLIS (mod. Yeni Keui), an ancient city of</w:t></w:r>
</w:p>
<w:p>
<w:pPr><w:pStyle w:val="Normal"/></w:pPr>
<w:r><w:t xml:space="preserve">Macedonia, on the east bank of the river Strymon, where</w:t></w:r>
</w:p>
<w:p>
<w:pPr><w:pStyle w:val="Normal"/></w:pPr>
<w:r><w:t xml:space="preserve">it emerges from Lake Cercinitis, about 3 m. from the sea.</w:t></w:r>
</w:p>
<w:p>
<w:pPr><w:pStyle w:val="Normal"/></w:pPr>
<w:r><w:t xml:space="preserve">Originally a Thracian town, known as &apos;Ennea `Odoi (``Nine</w:t></w:r>
</w:p>
<w:p>
<w:pPr><w:pStyle w:val="Normal"/></w:pPr>
<w:r><w:t xml:space="preserve">Roads&apos;&apos;), it was colonized by Athenians with other Greeks</w:t></w:r>
</w:p>
<w:p>
<w:pPr><w:pStyle w:val="Normal"/></w:pPr>
<w:r><w:t xml:space="preserve">under Hagnon in 437 B.C., previous attempts--in 497, 476</w:t></w:r>
</w:p>
<w:p>
<w:pPr><w:pStyle w:val="Normal"/></w:pPr>
<w:r><w:t xml:space="preserve">(Schol.  Aesch. De fals. leg. 31) and 465--having been</w:t></w:r>
</w:p>
<w:p>
<w:pPr><w:pStyle w:val="Normal"/></w:pPr>
<w:r><w:t xml:space="preserve">unsuccessful.  In 424 B.C. it surrendered to the Spartan</w:t></w:r>
</w:p>
<w:p>
<w:pPr><w:pStyle w:val="Normal"/></w:pPr>
<w:r><w:t xml:space="preserve">Brasidas without resistance, owing to the gross negligence</w:t></w:r>
</w:p>
<w:p>
<w:pPr><w:pStyle w:val="Normal"/></w:pPr>
<w:r><w:t xml:space="preserve">of the historian Thucydides, who was with the fleet at</w:t></w:r>
</w:p>
<w:p>
<w:pPr><w:pStyle w:val="Normal"/></w:pPr>
<w:r><w:t xml:space="preserve">Thasos.  In 422 B.C. Cleon led an unsuccessful expedition</w:t></w:r>
</w:p>
<w:p>
<w:pPr><w:pStyle w:val="Normal"/></w:pPr>
<w:r><w:t xml:space="preserve">to recover it, in which both he and Brasidas were slain.</w:t></w:r>
</w:p>
<w:p>
<w:pPr><w:pStyle w:val="Normal"/></w:pPr>
<w:r><w:t xml:space="preserve">The importance of Amphipolis in ancient times was due to</w:t></w:r>
</w:p>
<w:p>
<w:pPr><w:pStyle w:val="Normal"/></w:pPr>
<w:r><w:t xml:space="preserve">the fact that it commanded the bridge over the Strymon, and</w:t></w:r>
</w:p>
<w:p>
<w:pPr><w:pStyle w:val="Normal"/></w:pPr>
<w:r><w:t xml:space="preserve">consequently the route from northern Greece to the Hellespont;</w:t></w:r>
</w:p>
<w:p>
<w:pPr><w:pStyle w:val="Normal"/></w:pPr>
<w:r><w:t xml:space="preserve">it was important also as a depot for the gold and silver mines</w:t></w:r>
</w:p>
<w:p>
<w:pPr><w:pStyle w:val="Normal"/></w:pPr>
<w:r><w:t xml:space="preserve">of the district, and for timber, which was largely used in</w:t></w:r>
</w:p>
<w:p>
<w:pPr><w:pStyle w:val="Normal"/></w:pPr>
<w:r><w:t xml:space="preserve">shipbuilding.  This importance is shown by the fact that, in</w:t></w:r>
</w:p>
<w:p>
<w:pPr><w:pStyle w:val="Normal"/></w:pPr>
<w:r><w:t xml:space="preserve">the peace of Nicias (421 B.C.), its restoration to Athens</w:t></w:r>
</w:p>
<w:p>
<w:pPr><w:pStyle w:val="Normal"/></w:pPr>
<w:r><w:t xml:space="preserve">is made the subject of a special provision, and that about</w:t></w:r>
</w:p>
<w:p>
<w:pPr><w:pStyle w:val="Normal"/></w:pPr>
<w:r><w:t xml:space="preserve">417, this provision not having been observed, at least one</w:t></w:r>
</w:p>
<w:p>
<w:pPr><w:pStyle w:val="Normal"/></w:pPr>
<w:r><w:t xml:space="preserve">expedition was made by Nicias with a view to its recovery.</w:t></w:r>
</w:p>
<w:p>
<w:pPr><w:pStyle w:val="Normal"/></w:pPr>
<w:r><w:t xml:space="preserve">Philip of Macedon made a special point of occupying it (357),</w:t></w:r>
</w:p>
<w:p>
<w:pPr><w:pStyle w:val="Normal"/></w:pPr>
<w:r><w:t xml:space="preserve">and under the early empire it became the headquarters of the</w:t></w:r>
</w:p>
<w:p>
<w:pPr><w:pStyle w:val="Normal"/></w:pPr>
<w:r><w:t xml:space="preserve">Roman propraetor, though it was recognized as independent.  Many</w:t></w:r>
</w:p>
<w:p>
<w:pPr><w:pStyle w:val="Normal"/></w:pPr>
<w:r><w:t xml:space="preserve">inscriptions, coins, &amp;c., have been found here, and traces of</w:t></w:r>
</w:p>
<w:p>
<w:pPr><w:pStyle w:val="Normal"/></w:pPr>
<w:r><w:t xml:space="preserve">the ancient fortifications and of a Roman aqueduct are visible.</w:t></w:r>
</w:p>
<w:p>
<w:pPr><w:pStyle w:val="Normal"/></w:pPr>
<w:r><w:t xml:space="preserve">AMPHIPROSTYLE (from the Gr. amfi, on both sides,</w:t></w:r>
</w:p>
<w:p>
<w:pPr><w:pStyle w:val="Normal"/></w:pPr>
<w:r><w:t xml:space="preserve">and prostulos, a portico), the term for a temple</w:t></w:r>
</w:p>
<w:p>
<w:pPr><w:pStyle w:val="Normal"/></w:pPr>
<w:r><w:t xml:space="preserve">(q.v.) with a portico both in the front and in the rear.</w:t></w:r>
</w:p>
<w:p>
<w:pPr><w:pStyle w:val="Normal"/></w:pPr>
<w:r><w:t xml:space="preserve">AMPHISBAENA (a Greek word, from amfis, both ways, and</w:t></w:r>
</w:p>
<w:p>
<w:pPr><w:pStyle w:val="Normal"/></w:pPr>
<w:r><w:t xml:space="preserve">bainein, to go), a serpent in ancient mythology, beginning</w:t></w:r>
</w:p>
<w:p>
<w:pPr><w:pStyle w:val="Normal"/></w:pPr>
<w:r><w:t xml:space="preserve">or ending at both head and tail alike.  Its fabled existence</w:t></w:r>
</w:p>
<w:p>
<w:pPr><w:pStyle w:val="Normal"/></w:pPr>
<w:r><w:t xml:space="preserve">has been utilized by the poets, such as Milton, Pope and</w:t></w:r>
</w:p>
<w:p>
<w:pPr><w:pStyle w:val="Normal"/></w:pPr>
<w:r><w:t xml:space="preserve">Tennyson.  In modern zoology it is the name given to the</w:t></w:r>
</w:p>
<w:p>
<w:pPr><w:pStyle w:val="Normal"/></w:pPr>
<w:r><w:t xml:space="preserve">main genus of a family of worm-shaped lizards, most of which</w:t></w:r>
</w:p>
<w:p>
<w:pPr><w:pStyle w:val="Normal"/></w:pPr>
<w:r><w:t xml:space="preserve">inhabit the tropical parts of America, the West Indies and</w:t></w:r>
</w:p>
<w:p>
<w:pPr><w:pStyle w:val="Normal"/></w:pPr>
<w:r><w:t xml:space="preserve">Africa.  The commonest species in South America and the</w:t></w:r>
</w:p>
<w:p>
<w:pPr><w:pStyle w:val="Normal"/></w:pPr>
<w:r><w:t xml:space="preserve">Antilles is the sooty or dusky A. fuliginosa. The body of</w:t></w:r>
</w:p>
<w:p>
<w:pPr><w:pStyle w:val="Normal"/></w:pPr>
<w:r><w:t xml:space="preserve">the amphisbaena, from 18 to 20 in. long, is of nearly the</w:t></w:r>
</w:p>
<w:p>
<w:pPr><w:pStyle w:val="Normal"/></w:pPr>
<w:r><w:t xml:space="preserve">same thickness throughout.  The head is small, and there can</w:t></w:r>
</w:p>
<w:p>
<w:pPr><w:pStyle w:val="Normal"/></w:pPr>
<w:r><w:t xml:space="preserve">scarcely be said to be a tail, the vent being close to the</w:t></w:r>
</w:p>
<w:p>
<w:pPr><w:pStyle w:val="Normal"/></w:pPr>
<w:r><w:t xml:space="preserve">extremity of the body.  The animal lives mostly underground,</w:t></w:r>
</w:p>
<w:p>
<w:pPr><w:pStyle w:val="Normal"/></w:pPr>
<w:r><w:t xml:space="preserve">burrowing in soft earth, and feeds on ants and other small</w:t></w:r>
</w:p>
<w:p>
<w:pPr><w:pStyle w:val="Normal"/></w:pPr>
<w:r><w:t xml:space="preserve">animals.  From its appearance, and the ease with which it</w:t></w:r>
</w:p>
<w:p>
<w:pPr><w:pStyle w:val="Normal"/></w:pPr>
<w:r><w:t xml:space="preserve">moves backwards, has arisen the popular belief that the</w:t></w:r>
</w:p>
<w:p>
<w:pPr><w:pStyle w:val="Normal"/></w:pPr>
<w:r><w:t xml:space="preserve">amphisbaena has two heads, and that when the body is cut in</w:t></w:r>
</w:p>
<w:p>
<w:pPr><w:pStyle w:val="Normal"/></w:pPr>
<w:r><w:t xml:space="preserve">two the parts seek each other out and reunite.  From this has</w:t></w:r>
</w:p>
<w:p>
<w:pPr><w:pStyle w:val="Normal"/></w:pPr>
<w:r><w:t xml:space="preserve">arisen another popular error, which attributes extraordinary</w:t></w:r>
</w:p>
<w:p>
<w:pPr><w:pStyle w:val="Normal"/></w:pPr>
<w:r><w:t xml:space="preserve">curative properties to its flesh when dried and pulverized.</w:t></w:r>
</w:p>
<w:p>
<w:pPr><w:pStyle w:val="Normal"/></w:pPr>
<w:r><w:t xml:space="preserve">AMPHITHEATRE (Gr. amfi, around, and theatron, a</w:t></w:r>
</w:p>
<w:p>
<w:pPr><w:pStyle w:val="Normal"/></w:pPr>
<w:r><w:t xml:space="preserve">place for spectators), a building in which the seats for</w:t></w:r>
</w:p>
<w:p>
<w:pPr><w:pStyle w:val="Normal"/></w:pPr>
<w:r><w:t xml:space="preserve">spectators surround the scene of the performance.  The</w:t></w:r>
</w:p>
<w:p>
<w:pPr><w:pStyle w:val="Normal"/></w:pPr>
<w:r><w:t xml:space="preserve">word was doubtless coined by the Greeks of Campania, since</w:t></w:r>
</w:p>
<w:p>
<w:pPr><w:pStyle w:val="Normal"/></w:pPr>
<w:r><w:t xml:space="preserve">it was here that the gladiatorial shows for which the</w:t></w:r>
</w:p>
<w:p>
<w:pPr><w:pStyle w:val="Normal"/></w:pPr>
<w:r><w:t xml:space="preserve">amphitheatre was primarily used were first organized as public</w:t></w:r>
</w:p>
<w:p>
<w:pPr><w:pStyle w:val="Normal"/></w:pPr>
<w:r><w:t xml:space="preserve">spectacles.  The earliest building of the kind still extant</w:t></w:r>
</w:p>
<w:p>
<w:pPr><w:pStyle w:val="Normal"/></w:pPr>
<w:r><w:t xml:space="preserve">is that at Pompeii, built after 80 B.C. It is called</w:t></w:r>
</w:p>
<w:p>
<w:pPr><w:pStyle w:val="Normal"/></w:pPr>
<w:r><w:t xml:space="preserve">spectacula in a contemporary inscription.  The word</w:t></w:r>
</w:p>
<w:p>
<w:pPr><w:pStyle w:val="Normal"/></w:pPr>
<w:r><w:t xml:space="preserve">amphitheatrum is first found in writers of the Augustan age.</w:t></w:r>
</w:p>
<w:p>
<w:pPr><w:pStyle w:val="Normal"/></w:pPr>
<w:r><w:t xml:space="preserve">In Italy, combats of gladiators at first took place in the</w:t></w:r>
</w:p>
<w:p>
<w:pPr><w:pStyle w:val="Normal"/></w:pPr>
<w:r><w:t xml:space="preserve">forums, where temporary wooden scaffoldings were erected for</w:t></w:r>
</w:p>
<w:p>
<w:pPr><w:pStyle w:val="Normal"/></w:pPr>
<w:r><w:t xml:space="preserve">the spectators; and Vitruvius gives this as the reason why in</w:t></w:r>
</w:p>
<w:p>
<w:pPr><w:pStyle w:val="Normal"/></w:pPr>
<w:r><w:t xml:space="preserve">that country the forums were in the shape of a parallelogram</w:t></w:r>
</w:p>
<w:p>
<w:pPr><w:pStyle w:val="Normal"/></w:pPr>
<w:r><w:t xml:space="preserve">instead of being squares as in Greece.  Wild beasts were</w:t></w:r>
</w:p>
<w:p>
<w:pPr><w:pStyle w:val="Normal"/></w:pPr>
<w:r><w:t xml:space="preserve">also hunted in the circus.  But towards the end of the Roman</w:t></w:r>
</w:p>
<w:p>
<w:pPr><w:pStyle w:val="Normal"/></w:pPr>
<w:r><w:t xml:space="preserve">republic, when the shows increased both in frequency and in</w:t></w:r>
</w:p>
<w:p>
<w:pPr><w:pStyle w:val="Normal"/></w:pPr>
<w:r><w:t xml:space="preserve">costliness, special buildings began to be provided for them.</w:t></w:r>
</w:p>
<w:p>
<w:pPr><w:pStyle w:val="Normal"/></w:pPr>
<w:r><w:t xml:space="preserve">The first amphitheatre at Rome was that constructed, 59 B.C.,</w:t></w:r>
</w:p>
<w:p>
<w:pPr><w:pStyle w:val="Normal"/></w:pPr>
<w:r><w:t xml:space="preserve">by C. Scribonius Curio.  Pliny tells us that Curio built two</w:t></w:r>
</w:p>
<w:p>
<w:pPr><w:pStyle w:val="Normal"/></w:pPr>
<w:r><w:t xml:space="preserve">wooden theatres, which were placed back to back, and that after</w:t></w:r>
</w:p>
<w:p>
<w:pPr><w:pStyle w:val="Normal"/></w:pPr>
<w:r><w:t xml:space="preserve">the dramatic representations were finished, they were turned</w:t></w:r>
</w:p>
<w:p>
<w:pPr><w:pStyle w:val="Normal"/></w:pPr>
<w:r><w:t xml:space="preserve">round, with all the spectators in them, so as to make one</w:t></w:r>
</w:p>
<w:p>
<w:pPr><w:pStyle w:val="Normal"/></w:pPr>
<w:r><w:t xml:space="preserve">circular theatre, in the centre of which gladiators fought;</w:t></w:r>
</w:p>
<w:p>
<w:pPr><w:pStyle w:val="Normal"/></w:pPr>
<w:r><w:t xml:space="preserve">but the story is incredible, and must have arisen from the</w:t></w:r>
</w:p>
<w:p>
<w:pPr><w:pStyle w:val="Normal"/></w:pPr>
<w:r><w:t xml:space="preserve">false translation of amfitheatron by ``double theatre.&apos;&apos;</w:t></w:r>
</w:p>
<w:p>
<w:pPr><w:pStyle w:val="Normal"/></w:pPr>
<w:r><w:t xml:space="preserve">It is uncertain whether Caesar, in 46 B.C., constructed a</w:t></w:r>
</w:p>
<w:p>
<w:pPr><w:pStyle w:val="Normal"/></w:pPr>
<w:r><w:t xml:space="preserve">temporary amphitheatre of wood for his shows of wild beasts;</w:t></w:r>
</w:p>
<w:p>
<w:pPr><w:pStyle w:val="Normal"/></w:pPr>
<w:r><w:t xml:space="preserve">at any rate, the first permanent amphitheatre was built by</w:t></w:r>
</w:p>
<w:p>
<w:pPr><w:pStyle w:val="Heading1"/></w:pPr>
<w:r><w:t>C. Statilius Taurus in 20 B.C. Probably the shell only</w:t></w:r>
</w:p>
<w:p>
<w:pPr><w:pStyle w:val="Normal"/></w:pPr>
<w:r><w:t xml:space="preserve">was of stone.  It was burnt in the great fire of A.D. 64.</w:t></w:r>
</w:p>
<w:p>
<w:pPr><w:pStyle w:val="Normal"/></w:pPr>
<w:r><w:t xml:space="preserve">We hear of an amphitheatre begun by Caligula and of a wooden</w:t></w:r>
</w:p>
<w:p>
<w:pPr><w:pStyle w:val="Normal"/></w:pPr>
<w:r><w:t xml:space="preserve">structure raised in the year A.D. 57 by Nero; but these</w:t></w:r>
</w:p>
<w:p>
<w:pPr><w:pStyle w:val="Normal"/></w:pPr>
<w:r><w:t xml:space="preserve">were superseded by the Amphitheatrum Flavium (known at</w:t></w:r>
</w:p>
<w:p>
<w:pPr><w:pStyle w:val="Normal"/></w:pPr>
<w:r><w:t xml:space="preserve">least since the 8th century as the Colosseum, from its</w:t></w:r>
</w:p>
<w:p>
<w:pPr><w:pStyle w:val="Normal"/></w:pPr>
<w:r><w:t xml:space="preserve">colossal size), which was begun by Vespasian on the site of</w:t></w:r>
</w:p>
<w:p>
<w:pPr><w:pStyle w:val="Normal"/></w:pPr>
<w:r><w:t xml:space="preserve">an artificial lake included in the Golden House of Nero, and</w:t></w:r>
</w:p>
<w:p>
<w:pPr><w:pStyle w:val="Normal"/></w:pPr>
<w:r><w:t xml:space="preserve">inaugurated by Titus in A.D. 80 with shows lasting one hundred</w:t></w:r>
</w:p>
<w:p>
<w:pPr><w:pStyle w:val="Normal"/></w:pPr>
<w:r><w:t xml:space="preserve">days.  It was several times restored by the emperors, having</w:t></w:r>
</w:p>
<w:p>
<w:pPr><w:pStyle w:val="Normal"/></w:pPr>
<w:r><w:t xml:space="preserve">been twice struck by lightning in the 3rd century and twice</w:t></w:r>
</w:p>
<w:p>
<w:pPr><w:pStyle w:val="Normal"/></w:pPr>
<w:r><w:t xml:space="preserve">damaged by earthquake in the 5th. Gladiatorial shows were</w:t></w:r>
</w:p>
<w:p>
<w:pPr><w:pStyle w:val="Normal"/></w:pPr>
<w:r><w:t xml:space="preserve">suppressed by Honorius in A.D. 404, and wild beast shows</w:t></w:r>
</w:p>
<w:p>
<w:pPr><w:pStyle w:val="Normal"/></w:pPr>
<w:r><w:t xml:space="preserve">are not recorded after the reign of Theodoric (d. A.D.</w:t></w:r>
</w:p>
<w:p>
<w:pPr><w:pStyle w:val="Normal"/></w:pPr>
<w:r><w:t xml:space="preserve">526).  In the 8th century Bede wrote Quamdiu stabit Coliseus,</w:t></w:r>
</w:p>
<w:p>
<w:pPr><w:pStyle w:val="Normal"/></w:pPr>
<w:r><w:t xml:space="preserve">stabit et Roma; quando cadet Coliseus, cadet et Roma. A</w:t></w:r>
</w:p>
<w:p>
<w:pPr><w:pStyle w:val="Normal"/></w:pPr>
<w:r><w:t xml:space="preserve">large part of the western arcades seem to have collapsed in the</w:t></w:r>
</w:p>
<w:p>
<w:pPr><w:pStyle w:val="Normal"/></w:pPr>
<w:r><w:t xml:space="preserve">earthquake of A.D. 1349, and their remains were used in the</w:t></w:r>
</w:p>
<w:p>
<w:pPr><w:pStyle w:val="Normal"/></w:pPr>
<w:r><w:t xml:space="preserve">Renaissance as a quarry for building materials (e.g. for the</w:t></w:r>
</w:p>
<w:p>
<w:pPr><w:pStyle w:val="Normal"/></w:pPr>
<w:r><w:t xml:space="preserve">Palazzo di Venezia, the Cancelleria and the Palazzo Farnese).</w:t></w:r>
</w:p>
<w:p>
<w:pPr><w:pStyle w:val="Normal"/></w:pPr>
<w:r><w:t xml:space="preserve">Rome possesses the remains of a second amphitheatre on the</w:t></w:r>
</w:p>
<w:p>
<w:pPr><w:pStyle w:val="Normal"/></w:pPr>
<w:r><w:t xml:space="preserve">Esquiline, called by the chronologist of A.D. 354 Amphitheatrum</w:t></w:r>
</w:p>
<w:p>
<w:pPr><w:pStyle w:val="Normal"/></w:pPr>
<w:r><w:t xml:space="preserve">Castrense, which probably means the ``court&apos;&apos; or ``imperial&apos;&apos;</w:t></w:r>
</w:p>
<w:p>
<w:pPr><w:pStyle w:val="Normal"/></w:pPr>
<w:r><w:t xml:space="preserve">amphitheatre.  Its fine brickwork seems to date from Trajan&apos;s</w:t></w:r>
</w:p>
<w:p>
<w:pPr><w:pStyle w:val="Normal"/></w:pPr>
<w:r><w:t xml:space="preserve">reign.  It was included by Aurelian in the circuit of his</w:t></w:r>
</w:p>
<w:p>
<w:pPr><w:pStyle w:val="Normal"/></w:pPr>
<w:r><w:t xml:space="preserve">wall.  The remains of numerous amphitheatres exist in the</w:t></w:r>
</w:p>
<w:p>
<w:pPr><w:pStyle w:val="Normal"/></w:pPr>
<w:r><w:t xml:space="preserve">various provinces of the empire.  The finest are--in Italy,</w:t></w:r>
</w:p>
<w:p>
<w:pPr><w:pStyle w:val="Normal"/></w:pPr>
<w:r><w:t xml:space="preserve">those of Verona (probably of the Flavian period), Capua (built</w:t></w:r>
</w:p>
<w:p>
<w:pPr><w:pStyle w:val="Normal"/></w:pPr>
<w:r><w:t xml:space="preserve">under Hadrian) and Pozzuoli; in France, at Nimes, Arles and</w:t></w:r>
</w:p>
<w:p>
<w:pPr><w:pStyle w:val="Normal"/></w:pPr>
<w:r><w:t xml:space="preserve">Frejus; in Spain, at Italica (near Seville); in Tunisia, at</w:t></w:r>
</w:p>
<w:p>
<w:pPr><w:pStyle w:val="Normal"/></w:pPr>
<w:r><w:t xml:space="preserve">Thysdrus (El-Jem); and at Pola, in Dalmatia.  The builders</w:t></w:r>
</w:p>
<w:p>
<w:pPr><w:pStyle w:val="Normal"/></w:pPr>
<w:r><w:t xml:space="preserve">often took advantage of natural features, such as a depression</w:t></w:r>
</w:p>
<w:p>
<w:pPr><w:pStyle w:val="Normal"/></w:pPr>
<w:r><w:t xml:space="preserve">between hills; and ruder structures, mainly consisting of</w:t></w:r>
</w:p>
<w:p>
<w:pPr><w:pStyle w:val="Normal"/></w:pPr>
<w:r><w:t xml:space="preserve">banked-up earth, are found, e.g. at Silchester (Calleva).</w:t></w:r>
</w:p>
<w:p>
<w:pPr><w:pStyle w:val="Normal"/></w:pPr>
<w:r><w:t xml:space="preserve">The amphitheatre at Pompeii (length 444ft., breadth 342 ft.,</w:t></w:r>
</w:p>
<w:p>
<w:pPr><w:pStyle w:val="Normal"/></w:pPr>
<w:r><w:t xml:space="preserve">seating capacity 20,000) is formed by a huge embankment of</w:t></w:r>
</w:p>
<w:p>
<w:pPr><w:pStyle w:val="Normal"/></w:pPr>
<w:r><w:t xml:space="preserve">earth supported by a retaining wall and high buttresses carrying</w:t></w:r>
</w:p>
<w:p>
<w:pPr><w:pStyle w:val="Normal"/></w:pPr>
<w:r><w:t xml:space="preserve">arches.  The stone seats (of which there are thirty-five rows</w:t></w:r>
</w:p>
<w:p>
<w:pPr><w:pStyle w:val="Normal"/></w:pPr>
<w:r><w:t xml:space="preserve">in three divisions) were only gradually constructed as the</w:t></w:r>
</w:p>
<w:p>
<w:pPr><w:pStyle w:val="Normal"/></w:pPr>
<w:r><w:t xml:space="preserve">means of the community allowed.  Access to the highest seats</w:t></w:r>
</w:p>
<w:p>
<w:pPr><w:pStyle w:val="Normal"/></w:pPr>
<w:r><w:t xml:space="preserve">was given by external staircases, and there was no system</w:t></w:r>
</w:p>
<w:p>
<w:pPr><w:pStyle w:val="Normal"/></w:pPr>
<w:r><w:t xml:space="preserve">of underground chambers for wild beasts, combatants, &amp;c.</w:t></w:r>
</w:p>
<w:p>
<w:pPr><w:pStyle w:val="Normal"/></w:pPr>
<w:r><w:t xml:space="preserve">In contrast to this simple structure the Colosseum represents</w:t></w:r>
</w:p>
<w:p>
<w:pPr><w:pStyle w:val="Normal"/></w:pPr>
<w:r><w:t xml:space="preserve">the most elaborate type of amphitheatre created by the architects</w:t></w:r>
</w:p>
<w:p>
<w:pPr><w:pStyle w:val="Normal"/></w:pPr>
<w:r><w:t xml:space="preserve">of the empire.  Its external elevation consisted of four</w:t></w:r>
</w:p>
<w:p>
<w:pPr><w:pStyle w:val="Normal"/></w:pPr>
<w:r><w:t xml:space="preserve">storeys.  The three lowest had arcades whose piers were</w:t></w:r>
</w:p>
<w:p>
<w:pPr><w:pStyle w:val="Normal"/></w:pPr>
<w:r><w:t xml:space="preserve">adorned with engaged columns of the three Greek orders.  The</w:t></w:r>
</w:p>
<w:p>
<w:pPr><w:pStyle w:val="Normal"/></w:pPr>
<w:r><w:t xml:space="preserve">arches numbered eighty.  Those of the basement storey served</w:t></w:r>
</w:p>
<w:p>
<w:pPr><w:pStyle w:val="Normal"/></w:pPr>
<w:r><w:t xml:space="preserve">as entrances; seventy-six were numbered and allotted to the</w:t></w:r>
</w:p>
<w:p>
<w:pPr><w:pStyle w:val="Normal"/></w:pPr>
<w:r><w:t xml:space="preserve">general body of spectators, those at the extremities of the</w:t></w:r>
</w:p>
<w:p>
<w:pPr><w:pStyle w:val="Normal"/></w:pPr>
<w:r><w:t xml:space="preserve">major axis led into the arena, and the boxes reserved for</w:t></w:r>
</w:p>
<w:p>
<w:pPr><w:pStyle w:val="Normal"/></w:pPr>
<w:r><w:t xml:space="preserve">the emperor and the presiding magistrate were approached from</w:t></w:r>
</w:p>
<w:p>
<w:pPr><w:pStyle w:val="Normal"/></w:pPr>
<w:r><w:t xml:space="preserve">the extremities of the minor axis.  The higher arcades had a</w:t></w:r>
</w:p>
<w:p>
<w:pPr><w:pStyle w:val="Normal"/></w:pPr>
<w:r><w:t xml:space="preserve">low parapet with (apparently) a statue in each arch, and gave</w:t></w:r>
</w:p>
<w:p>
<w:pPr><w:pStyle w:val="Normal"/></w:pPr>
<w:r><w:t xml:space="preserve">light and air to the passages which surrounded the building.</w:t></w:r>
</w:p>
<w:p>
<w:pPr><w:pStyle w:val="Normal"/></w:pPr>
<w:r><w:t xml:space="preserve">The openings of the arcades above the principal entrances</w:t></w:r>
</w:p>
<w:p>
<w:pPr><w:pStyle w:val="Normal"/></w:pPr>
<w:r><w:t xml:space="preserve">were larger than the rest, and were adorned with figures of</w:t></w:r>
</w:p>
<w:p>
<w:pPr><w:pStyle w:val="Normal"/></w:pPr>
<w:r><w:t xml:space="preserve">chariots.  The highest stage was composed of a continuous</w:t></w:r>
</w:p>
<w:p>
<w:pPr><w:pStyle w:val="Normal"/></w:pPr>
<w:r><w:t xml:space="preserve">wall of masonry, pierced by forty small square windows, and</w:t></w:r>
</w:p>
<w:p>
<w:pPr><w:pStyle w:val="Normal"/></w:pPr>
<w:r><w:t xml:space="preserve">adorned with Corinthian pilasters.  There was also a series of</w:t></w:r>
</w:p>
<w:p>
<w:pPr><w:pStyle w:val="Normal"/></w:pPr>
<w:r><w:t xml:space="preserve">brackets to support the poles on which the awning was stretched.</w:t></w:r>
</w:p>
<w:p>
<w:pPr><w:pStyle w:val="Normal"/></w:pPr>
<w:r><w:t xml:space="preserve">The interior may be naturally divided into the arena and the cavea</w:t></w:r>
</w:p>
<w:p>
<w:pPr><w:pStyle w:val="Normal"/></w:pPr>
<w:r><w:t xml:space="preserve">(see annexed plan, which shows the Colosseum at two different levels).</w:t></w:r>
</w:p>
<w:p>
<w:pPr><w:pStyle w:val="Normal"/></w:pPr>
<w:r><w:t xml:space="preserve">The arena was the portion assigned to the combatants,</w:t></w:r>
</w:p>
<w:p>
<w:pPr><w:pStyle w:val="Normal"/></w:pPr>
<w:r><w:t xml:space="preserve">and derived its name from the sand with which it was</w:t></w:r>
</w:p>
<w:p>
<w:pPr><w:pStyle w:val="Normal"/></w:pPr>
<w:r><w:t xml:space="preserve">strewn, to absorb the blood and prevent it from becoming</w:t></w:r>
</w:p>
<w:p>
<w:pPr><w:pStyle w:val="Normal"/></w:pPr>
<w:r><w:t xml:space="preserve">slippery.  Some of the emperors showed their prodigality</w:t></w:r>
</w:p>
<w:p>
<w:pPr><w:pStyle w:val="Normal"/></w:pPr>
<w:r><w:t xml:space="preserve">by substituting precious powders, and even gold dust, for</w:t></w:r>
</w:p>
<w:p>
<w:pPr><w:pStyle w:val="Normal"/></w:pPr>
<w:r><w:t xml:space="preserve">sand.  The arena was generally of the same shape as the</w:t></w:r>
</w:p>
<w:p>
<w:pPr><w:pStyle w:val="Normal"/></w:pPr>
<w:r><w:t xml:space="preserve">amphitheatre itself, and was separated from the spectators</w:t></w:r>
</w:p>
<w:p>
<w:pPr><w:pStyle w:val="Normal"/></w:pPr>
<w:r><w:t xml:space="preserve">by a wall built perfectly smooth, that the wild beasts might</w:t></w:r>
</w:p>
<w:p>
<w:pPr><w:pStyle w:val="Normal"/></w:pPr>
<w:r><w:t xml:space="preserve">not by any possibility climb it.  At Rome it was faced inside</w:t></w:r>
</w:p>
<w:p>
<w:pPr><w:pStyle w:val="Normal"/></w:pPr>
<w:r><w:t xml:space="preserve">with polished marble, but at Pompeii it was simply painted.</w:t></w:r>
</w:p>
<w:p>
<w:pPr><w:pStyle w:val="Normal"/></w:pPr>
<w:r><w:t xml:space="preserve">For further security, it was surrounded by a metal railing or</w:t></w:r>
</w:p>
<w:p>
<w:pPr><w:pStyle w:val="Normal"/></w:pPr>
<w:r><w:t xml:space="preserve">network, and the arena was sometimes surrounded also by a ditch</w:t></w:r>
</w:p>
<w:p>
<w:pPr><w:pStyle w:val="Normal"/></w:pPr>
<w:r><w:t xml:space="preserve">(euripus), especially on account of the elephants.  Below</w:t></w:r>
</w:p>
<w:p>
<w:pPr><w:pStyle w:val="Normal"/></w:pPr>
<w:r><w:t xml:space="preserve">the arena were subterranean chambers and passages, from which</w:t></w:r>
</w:p>
<w:p>
<w:pPr><w:pStyle w:val="Normal"/></w:pPr>
<w:r><w:t xml:space="preserve">wild beasts and gladiators were raised on movable platforms</w:t></w:r>
</w:p>
<w:p>
<w:pPr><w:pStyle w:val="Normal"/></w:pPr>
<w:r><w:t xml:space="preserve">(pegmata) through trap-doors.  Such chambers have been found</w:t></w:r>
</w:p>
<w:p>
<w:pPr><w:pStyle w:val="Normal"/></w:pPr>
<w:r><w:t xml:space="preserve">in the amphitheatres of Capua and Pozzuoli as well as in the</w:t></w:r>
</w:p>
<w:p>
<w:pPr><w:pStyle w:val="Normal"/></w:pPr>
<w:r><w:t xml:space="preserve">Colosseum.  Means were also provided by which the arena could</w:t></w:r>
</w:p>
<w:p>
<w:pPr><w:pStyle w:val="Normal"/></w:pPr>
<w:r><w:t xml:space="preserve">be flooded when a sea-fight (naumachia) was exhibited,</w:t></w:r>
</w:p>
<w:p>
<w:pPr><w:pStyle w:val="Normal"/></w:pPr>
<w:r><w:t xml:space="preserve">as was done by Titus at the inauguration of the Colosseum.</w:t></w:r>
</w:p>
<w:p>
<w:pPr><w:pStyle w:val="Normal"/></w:pPr>
<w:r><w:t xml:space="preserve">The part assigned to the spectators was called cavea. It was</w:t></w:r>
</w:p>
<w:p>
<w:pPr><w:pStyle w:val="Normal"/></w:pPr>
<w:r><w:t xml:space="preserve">divided into several galleries (maeniana) concentric with</w:t></w:r>
</w:p>
<w:p>
<w:pPr><w:pStyle w:val="Normal"/></w:pPr>
<w:r><w:t xml:space="preserve">the outer walls, and therefore, like them, of an elliptical</w:t></w:r>
</w:p>
<w:p>
<w:pPr><w:pStyle w:val="Normal"/></w:pPr>
<w:r><w:t xml:space="preserve">form.  The place of honour was the lowest of these, nearest to</w:t></w:r>
</w:p>
<w:p>
<w:pPr><w:pStyle w:val="Normal"/></w:pPr>
<w:r><w:t xml:space="preserve">the arena, and called the podium. The divisions in it were</w:t></w:r>
</w:p>
<w:p>
<w:pPr><w:pStyle w:val="Normal"/></w:pPr>
<w:r><w:t xml:space="preserve">larger, so as to be able to contain movable seats.  At Rome</w:t></w:r>
</w:p>
<w:p>
<w:pPr><w:pStyle w:val="Normal"/></w:pPr>
<w:r><w:t xml:space="preserve">it was here that the emperor sat, his box bearing the name of</w:t></w:r>
</w:p>
<w:p>
<w:pPr><w:pStyle w:val="Normal"/></w:pPr>
<w:r><w:t xml:space="preserve">suggestus, cubiculum or pulvinar. The senators, principal</w:t></w:r>
</w:p>
<w:p>
<w:pPr><w:pStyle w:val="Normal"/></w:pPr>
<w:r><w:t xml:space="preserve">magistrates, vestal virgins, the provider (editor) of the</w:t></w:r>
</w:p>
<w:p>
<w:pPr><w:pStyle w:val="Normal"/></w:pPr>
<w:r><w:t xml:space="preserve">show, and other persons of note, occupied the rest of the</w:t></w:r>
</w:p>
<w:p>
<w:pPr><w:pStyle w:val="Normal"/></w:pPr>
<w:r><w:t xml:space="preserve">podium. At Nimes, besides the high officials of the town,</w:t></w:r>
</w:p>
<w:p>
<w:pPr><w:pStyle w:val="Normal"/></w:pPr>
<w:r><w:t xml:space="preserve">the podium had places assigned to the principal gilds,</w:t></w:r>
</w:p>
<w:p>
<w:pPr><w:pStyle w:val="Normal"/></w:pPr>
<w:r><w:t xml:space="preserve">whose names are still seen inscribed upon it, with the number</w:t></w:r>
</w:p>
<w:p>
<w:pPr><w:pStyle w:val="Normal"/></w:pPr>
<w:r><w:t xml:space="preserve">of places reserved for each.  In the Colosseum there were</w:t></w:r>
</w:p>
<w:p>
<w:pPr><w:pStyle w:val="Normal"/></w:pPr>
<w:r><w:t xml:space="preserve">three maeniana above the podium, separated from each</w:t></w:r>
</w:p>
<w:p>
<w:pPr><w:pStyle w:val="Normal"/></w:pPr>
<w:r><w:t xml:space="preserve">other by terraces (praecinctiones) and walls (baltei),</w:t></w:r>
</w:p>
<w:p>
<w:pPr><w:pStyle w:val="Normal"/></w:pPr>
<w:r><w:t xml:space="preserve">and divided vertically into wedge-shaped blocks (cunei) by</w:t></w:r>
</w:p>
<w:p>
<w:pPr><w:pStyle w:val="Normal"/></w:pPr>
<w:r><w:t xml:space="preserve">stairs.  The lowest was appropriated to the equestrian</w:t></w:r>
</w:p>
<w:p>
<w:pPr><w:pStyle w:val="Normal"/></w:pPr>
<w:r><w:t xml:space="preserve">order, the highest was covered in with a portico, whose</w:t></w:r>
</w:p>
<w:p>
<w:pPr><w:pStyle w:val="Normal"/></w:pPr>
<w:r><w:t xml:space="preserve">roof formed a terrace on which spectators found standing</w:t></w:r>
</w:p>
<w:p>
<w:pPr><w:pStyle w:val="Normal"/></w:pPr>
<w:r><w:t xml:space="preserve">room.  Numerous passages (vomitoria) and small stairs</w:t></w:r>
</w:p>
<w:p>
<w:pPr><w:pStyle w:val="Normal"/></w:pPr>
<w:r><w:t xml:space="preserve">gave access to them; while long covered corridors, behind</w:t></w:r>
</w:p>
<w:p>
<w:pPr><w:pStyle w:val="Normal"/></w:pPr>
<w:r><w:t xml:space="preserve">and below them, served for shelter in the event of rain.</w:t></w:r>
</w:p>
<w:p>
<w:pPr><w:pStyle w:val="Normal"/></w:pPr>
<w:r><w:t xml:space="preserve">At Pompeii each place was numbered, and elsewhere their</w:t></w:r>
</w:p>
<w:p>
<w:pPr><w:pStyle w:val="Normal"/></w:pPr>
<w:r><w:t xml:space="preserve">extent is defined by little marks cut in the stone.  The</w:t></w:r>
</w:p>
<w:p>
<w:pPr><w:pStyle w:val="Normal"/></w:pPr>
<w:r><w:t xml:space="preserve">spectators were admitted by tickets (tesserae), and order</w:t></w:r>
</w:p>
<w:p>
<w:pPr><w:pStyle w:val="Normal"/></w:pPr>
<w:r><w:t xml:space="preserve">preserved by a staff of officers appointed for the purpose.</w:t></w:r>
</w:p>
<w:p>
<w:pPr><w:pStyle w:val="Normal"/></w:pPr>
<w:r><w:t xml:space="preserve">The height of the Colosseum is about 160 ft.; but the fourth</w:t></w:r>
</w:p>
<w:p>
<w:pPr><w:pStyle w:val="Normal"/></w:pPr>
<w:r><w:t xml:space="preserve">storey in its present form is not earlier in date than the</w:t></w:r>
</w:p>
<w:p>
<w:pPr><w:pStyle w:val="Normal"/></w:pPr>
<w:r><w:t xml:space="preserve">3rd century A.D. It seems to have been originally of wood,</w:t></w:r>
</w:p>
<w:p>
<w:pPr><w:pStyle w:val="Normal"/></w:pPr>
<w:r><w:t xml:space="preserve">since an inscription of the year A.D. 80 mentions the summum</w:t></w:r>
</w:p>
<w:p>
<w:pPr><w:pStyle w:val="Normal"/></w:pPr>
<w:r><w:t xml:space="preserve">maenianum in ligneis. It is stated in the Notitia Urbis</w:t></w:r>
</w:p>
<w:p>
<w:pPr><w:pStyle w:val="Normal"/></w:pPr>
<w:r><w:t xml:space="preserve">Romae (4th century) that the Colosseum contained 87,000</w:t></w:r>
</w:p>
<w:p>
<w:pPr><w:pStyle w:val="Normal"/></w:pPr>
<w:r><w:t xml:space="preserve">places; but Huelsen calculates that the seats would accommodate</w:t></w:r>
</w:p>
<w:p>
<w:pPr><w:pStyle w:val="Normal"/></w:pPr>
<w:r><w:t xml:space="preserve">45,000 persons at most, besides whom 5000 could find standing</w:t></w:r>
</w:p>
<w:p>
<w:pPr><w:pStyle w:val="Normal"/></w:pPr>
<w:r><w:t xml:space="preserve">room.  The exaggerated estimate is due to the fact that</w:t></w:r>
</w:p>
<w:p>
<w:pPr><w:pStyle w:val="Normal"/></w:pPr>
<w:r><w:t xml:space="preserve">space was allotted to corporate bodies, whose numbers were</w:t></w:r>
</w:p>
<w:p>
<w:pPr><w:pStyle w:val="Normal"/></w:pPr>
<w:r><w:t xml:space="preserve">taken as data.  The greatest length is about 615 ft., and</w:t></w:r>
</w:p>
<w:p>
<w:pPr><w:pStyle w:val="Normal"/></w:pPr>
<w:r><w:t xml:space="preserve">the length of the shorter axis of the ellipse about 510</w:t></w:r>
</w:p>
<w:p>
<w:pPr><w:pStyle w:val="Normal"/></w:pPr>
<w:r><w:t xml:space="preserve">ft.  The dimensions of the arena were 281 ft. by 177 ft.</w:t></w:r>
</w:p>
<w:p>
<w:pPr><w:pStyle w:val="Normal"/></w:pPr>
<w:r><w:t xml:space="preserve">The following table, giving the dimensions of some</w:t></w:r>
</w:p>
<w:p>
<w:pPr><w:pStyle w:val="Normal"/></w:pPr>
<w:r><w:t xml:space="preserve">of the principal amphitheatres, is based mainly</w:t></w:r>
</w:p>
<w:p>
<w:pPr><w:pStyle w:val="Normal"/></w:pPr>
<w:r><w:t xml:space="preserve">on the figures given by Friedlander (l.c.):--</w:t></w:r>
</w:p>
<w:p>
<w:pPr><w:pStyle w:val="Normal"/></w:pPr>
<w:r><w:t xml:space="preserve">|----------------------|---------------------|--------------------|</w:t></w:r>
</w:p>
<w:p>
<w:pPr><w:pStyle w:val="Normal"/></w:pPr>
<w:r><w:t xml:space="preserve">|                      | ENTIRE BUILDING.    |       ARENA.       |</w:t></w:r>
</w:p>
<w:p>
<w:pPr><w:pStyle w:val="Normal"/></w:pPr>
<w:r><w:t xml:space="preserve">|                      |---------|-----------|----------|---------|</w:t></w:r>
</w:p>
<w:p>
<w:pPr><w:pStyle w:val="Normal"/></w:pPr>
<w:r><w:t xml:space="preserve">|                      | Greater | Shorter   |  Greater | Shorter |</w:t></w:r>
</w:p>
<w:p>
<w:pPr><w:pStyle w:val="Normal"/></w:pPr>
<w:r><w:t xml:space="preserve">|                      | Axis.   |  Axis.    |    Axis. |   Axis. |</w:t></w:r>
</w:p>
<w:p>
<w:pPr><w:pStyle w:val="Normal"/></w:pPr>
<w:r><w:t xml:space="preserve">|                      |---------|-----------|----------|---------|</w:t></w:r>
</w:p>
<w:p>
<w:pPr><w:pStyle w:val="Normal"/></w:pPr>
<w:r><w:t xml:space="preserve">| Rome (Colosseum)     |  615    |  510 1/2  | 281      | 177     |</w:t></w:r>
</w:p>
<w:p>
<w:pPr><w:pStyle w:val="Normal"/></w:pPr>
<w:r><w:t xml:space="preserve">| Capua                |  557    |  458      | 250      | 148     |</w:t></w:r>
</w:p>
<w:p>
<w:pPr><w:pStyle w:val="Normal"/></w:pPr>
<w:r><w:t xml:space="preserve">| Julia Caesarea       |  551    |  289      | 459      | 197     |</w:t></w:r>
</w:p>
<w:p>
<w:pPr><w:pStyle w:val="Normal"/></w:pPr>
<w:r><w:t xml:space="preserve">|Italica (Seville)     |  514    |  439 1/2  | . .      | . .     |</w:t></w:r>
</w:p>
<w:p>
<w:pPr><w:pStyle w:val="Normal"/></w:pPr>
<w:r><w:t xml:space="preserve">| Verona               |  502 1/2|  403      | 248      | 145 1/2 |</w:t></w:r>
</w:p>
<w:p>
<w:pPr><w:pStyle w:val="Normal"/></w:pPr>
<w:r><w:t xml:space="preserve">| Thysdrus             |  488    |  406      | 308      | 197     |</w:t></w:r>
</w:p>
<w:p>
<w:pPr><w:pStyle w:val="Normal"/></w:pPr>
<w:r><w:t xml:space="preserve">| Tarraco              |  486    |  390      | 277      | 181     |</w:t></w:r>
</w:p>
<w:p>
<w:pPr><w:pStyle w:val="Normal"/></w:pPr>
<w:r><w:t xml:space="preserve">| Pozzuoli             |  482    |  383      | 236 1/2  | 137 3/4 |</w:t></w:r>
</w:p>
<w:p>
<w:pPr><w:pStyle w:val="Normal"/></w:pPr>
<w:r><w:t xml:space="preserve">| Tours                |  472    |  406      | 223      |  98 1/2 |</w:t></w:r>
</w:p>
<w:p>
<w:pPr><w:pStyle w:val="Normal"/></w:pPr>
<w:r><w:t xml:space="preserve">| Pola                 |  449 1/2|  367 1/2  | 230      | 144 1/2 |</w:t></w:r>
</w:p>
<w:p>
<w:pPr><w:pStyle w:val="Normal"/></w:pPr>
<w:r><w:t xml:space="preserve">| Arles                |  448    |  352      | 229      | 129     |</w:t></w:r>
</w:p>
<w:p>
<w:pPr><w:pStyle w:val="Normal"/></w:pPr>
<w:r><w:t xml:space="preserve">| Pompeii              |  444    |  342      | 218 1/2  | 115     |</w:t></w:r>
</w:p>
<w:p>
<w:pPr><w:pStyle w:val="Normal"/></w:pPr>
<w:r><w:t xml:space="preserve">| Nimes                |  440    |  336      | 227      | 126 1/2 |</w:t></w:r>
</w:p>
<w:p>
<w:pPr><w:pStyle w:val="Normal"/></w:pPr>
<w:r><w:t xml:space="preserve">|----------------------|---------|-----------|----------|---------|</w:t></w:r>
</w:p>
<w:p>
<w:pPr><w:pStyle w:val="Normal"/></w:pPr>
<w:r><w:t xml:space="preserve">BIBLIOGRPHY.--Arts. ``Amphitheatrum&apos;&apos; in Smith&apos;s Dictionary</w:t></w:r>
</w:p>
<w:p>
<w:pPr><w:pStyle w:val="Normal"/></w:pPr>
<w:r><w:t xml:space="preserve">of Greek and Roman Antiquities (3rd ed., 1890), and in Daremberg</w:t></w:r>
</w:p>
<w:p>
<w:pPr><w:pStyle w:val="Normal"/></w:pPr>
<w:r><w:t xml:space="preserve">and Saglio&apos;s Dictionnaire des antiquites; Friedlander,</w:t></w:r>
</w:p>
<w:p>
<w:pPr><w:pStyle w:val="Normal"/></w:pPr>
<w:r><w:t xml:space="preserve">Darstellungen aus der Sittengeschichte Roms (6th ed., 1888-1890),</w:t></w:r>
</w:p>
<w:p>
<w:pPr><w:pStyle w:val="Normal"/></w:pPr>
<w:r><w:t xml:space="preserve">vol. ii. pp. 551-620; Durm, Geschichte der Baukunst, II.2</w:t></w:r>
</w:p>
<w:p>
<w:pPr><w:pStyle w:val="Normal"/></w:pPr>
<w:r><w:t xml:space="preserve">(1905), 360 ff.  Of older works, J. Lipsius, De Amphitheatris</w:t></w:r>
</w:p>
<w:p>
<w:pPr><w:pStyle w:val="Normal"/></w:pPr>
<w:r><w:t xml:space="preserve">(1585): Carlo Fontana, L&apos;Anfiteatro Flavio (1725); and</w:t></w:r>
</w:p>
<w:p>
<w:pPr><w:pStyle w:val="Normal"/></w:pPr>
<w:r><w:t xml:space="preserve">Maffei, Verona Illustrata, vol. ii. (1826), are worthy of</w:t></w:r>
</w:p>
<w:p>
<w:pPr><w:pStyle w:val="Normal"/></w:pPr>
<w:r><w:t xml:space="preserve">mention.  For the amphitheatre at Pompeii, see Mau-Kelsey.</w:t></w:r>
</w:p>
<w:p>
<w:pPr><w:pStyle w:val="Normal"/></w:pPr>
<w:r><w:t xml:space="preserve">Pompeii, its Life and Art (2nd ed. 1904), chap. 30; for</w:t></w:r>
</w:p>
<w:p>
<w:pPr><w:pStyle w:val="Normal"/></w:pPr>
<w:r><w:t xml:space="preserve">the Colosseum, Middleton, Remains of Ancient Rome, ii.</w:t></w:r>
</w:p>
<w:p>
<w:pPr><w:pStyle w:val="Normal"/></w:pPr>
<w:r><w:t xml:space="preserve">pp. 78-110, and Huelsen&apos;s art. ``Flavium Amphitheatrum&apos;&apos;</w:t></w:r>
</w:p>
<w:p>
<w:pPr><w:pStyle w:val="Normal"/></w:pPr>
<w:r><w:t xml:space="preserve">in Pauly-Wossowa, Realencyclopadie. (H. S. J.)</w:t></w:r>
</w:p>
<w:p>
<w:pPr><w:pStyle w:val="Normal"/></w:pPr>
<w:r><w:t xml:space="preserve">AMPHITRITE, in ancient Greek mythology, a sea-goddess,</w:t></w:r>
</w:p>
<w:p>
<w:pPr><w:pStyle w:val="Normal"/></w:pPr>
<w:r><w:t xml:space="preserve">daughter of Nereus (or Oceanus) and wife of Poseidon.  She</w:t></w:r>
</w:p>
<w:p>
<w:pPr><w:pStyle w:val="Normal"/></w:pPr>
<w:r><w:t xml:space="preserve">was so entirely confined in her authority to the sea and</w:t></w:r>
</w:p>
<w:p>
<w:pPr><w:pStyle w:val="Normal"/></w:pPr>
<w:r><w:t xml:space="preserve">the creatures in it, that she was never associated with</w:t></w:r>
</w:p>
<w:p>
<w:pPr><w:pStyle w:val="Normal"/></w:pPr>
<w:r><w:t xml:space="preserve">her husband either for purposes of worship or in works of</w:t></w:r>
</w:p>
<w:p>
<w:pPr><w:pStyle w:val="Normal"/></w:pPr>
<w:r><w:t xml:space="preserve">art, except when he was to be distinctly regarded as the</w:t></w:r>
</w:p>
<w:p>
<w:pPr><w:pStyle w:val="Normal"/></w:pPr>
<w:r><w:t xml:space="preserve">god who controlled the sea.  She was one of the Nereids,</w:t></w:r>
</w:p>
<w:p>
<w:pPr><w:pStyle w:val="Normal"/></w:pPr>
<w:r><w:t xml:space="preserve">and distinguishable from the others only by her queenly</w:t></w:r>
</w:p>
<w:p>
<w:pPr><w:pStyle w:val="Normal"/></w:pPr>
<w:r><w:t xml:space="preserve">attributes.  It was said that Poseidon saw her first dancing</w:t></w:r>
</w:p>
<w:p>
<w:pPr><w:pStyle w:val="Normal"/></w:pPr>
<w:r><w:t xml:space="preserve">at Naxos among the other Noreids, and carried her off (Schol.</w:t></w:r>
</w:p>
<w:p>
<w:pPr><w:pStyle w:val="Normal"/></w:pPr>
<w:r><w:t xml:space="preserve">on Od. iii. 91). But in another version of the myth, she</w:t></w:r>
</w:p>
<w:p>
<w:pPr><w:pStyle w:val="Normal"/></w:pPr>
<w:r><w:t xml:space="preserve">then fled from him to the farthest ends of the sea, where</w:t></w:r>
</w:p>
<w:p>
<w:pPr><w:pStyle w:val="Normal"/></w:pPr>
<w:r><w:t xml:space="preserve">the dolphin of Poseidon found her, and was rewarded by being</w:t></w:r>
</w:p>
<w:p>
<w:pPr><w:pStyle w:val="Normal"/></w:pPr>
<w:r><w:t xml:space="preserve">placed among the stars (Eratosthenes, Catast. 31). In works</w:t></w:r>
</w:p>
<w:p>
<w:pPr><w:pStyle w:val="Normal"/></w:pPr>
<w:r><w:t xml:space="preserve">of art she is represented either enthroned beside him, or</w:t></w:r>
</w:p>
<w:p>
<w:pPr><w:pStyle w:val="Normal"/></w:pPr>
<w:r><w:t xml:space="preserve">driving with him in a chariot drawn by sea-horses or other</w:t></w:r>
</w:p>
<w:p>
<w:pPr><w:pStyle w:val="Normal"/></w:pPr>
<w:r><w:t xml:space="preserve">fabulous creatures of the deep, and attended by Tritons and</w:t></w:r>
</w:p>
<w:p>
<w:pPr><w:pStyle w:val="Normal"/></w:pPr>
<w:r><w:t xml:space="preserve">Nereids.  In poetry her name is often used for the sea.</w:t></w:r>
</w:p>
<w:p>
<w:pPr><w:pStyle w:val="Normal"/></w:pPr>
<w:r><w:t xml:space="preserve">AMPHITRYON, in Greek mythology, son of Alcaeus, king of</w:t></w:r>
</w:p>
<w:p>
<w:pPr><w:pStyle w:val="Normal"/></w:pPr>
<w:r><w:t xml:space="preserve">Tiryns in Argolis.  Having accidentally killed his uncle</w:t></w:r>
</w:p>
<w:p>
<w:pPr><w:pStyle w:val="Normal"/></w:pPr>
<w:r><w:t xml:space="preserve">Electryon, king of Mycenae, he was driven out by another uncle,</w:t></w:r>
</w:p>
<w:p>
<w:pPr><w:pStyle w:val="Normal"/></w:pPr>
<w:r><w:t xml:space="preserve">Sthenelus.  He fled with Alcmene, Electryon&apos;s daughter, to</w:t></w:r>
</w:p>
<w:p>
<w:pPr><w:pStyle w:val="Normal"/></w:pPr>
<w:r><w:t xml:space="preserve">Thebes, where he was cleansed from the guilt of blood by</w:t></w:r>
</w:p>
<w:p>
<w:pPr><w:pStyle w:val="Normal"/></w:pPr>
<w:r><w:t xml:space="preserve">Creon, his maternal uncle, king of Thebes.  Alcmene, who</w:t></w:r>
</w:p>
<w:p>
<w:pPr><w:pStyle w:val="Normal"/></w:pPr>
<w:r><w:t xml:space="preserve">had been betrothed to Amphitryon by her father, refused to</w:t></w:r>
</w:p>
<w:p>
<w:pPr><w:pStyle w:val="Normal"/></w:pPr>
<w:r><w:t xml:space="preserve">marry him until he had avenged the death of her brothers,</w:t></w:r>
</w:p>
<w:p>
<w:pPr><w:pStyle w:val="Normal"/></w:pPr>
<w:r><w:t xml:space="preserve">all of whom except one had fallen in battle against the</w:t></w:r>
</w:p>
<w:p>
<w:pPr><w:pStyle w:val="Normal"/></w:pPr>
<w:r><w:t xml:space="preserve">Taphians.  It was on his return from this expedition that</w:t></w:r>
</w:p>
<w:p>
<w:pPr><w:pStyle w:val="Normal"/></w:pPr>
<w:r><w:t xml:space="preserve">Electryon had been killed.  Amphitryon accordingly took the</w:t></w:r>
</w:p>
<w:p>
<w:pPr><w:pStyle w:val="Normal"/></w:pPr>
<w:r><w:t xml:space="preserve">field against the Taphians, accompanied by Creon, who had</w:t></w:r>
</w:p>
<w:p>
<w:pPr><w:pStyle w:val="Normal"/></w:pPr>
<w:r><w:t xml:space="preserve">agreed to assist him on condition that he slew the Teumessian</w:t></w:r>
</w:p>
<w:p>
<w:pPr><w:pStyle w:val="Normal"/></w:pPr>
<w:r><w:t xml:space="preserve">fox which had been sent by Dionysus to ravage the country.</w:t></w:r>
</w:p>
<w:p>
<w:pPr><w:pStyle w:val="Normal"/></w:pPr>
<w:r><w:t xml:space="preserve">The Taphians, however, remained invincible until Comaetho,</w:t></w:r>
</w:p>
<w:p>
<w:pPr><w:pStyle w:val="Normal"/></w:pPr>
<w:r><w:t xml:space="preserve">the king&apos;s daughter, out of love for Amphitryon cut off her</w:t></w:r>
</w:p>
<w:p>
<w:pPr><w:pStyle w:val="Normal"/></w:pPr>
<w:r><w:t xml:space="preserve">father&apos;s golden hair, the possession of which rendered him</w:t></w:r>
</w:p>
<w:p>
<w:pPr><w:pStyle w:val="Normal"/></w:pPr>
<w:r><w:t xml:space="preserve">immortal.  Having defeated the enemy, Amphitryon put Comaetho</w:t></w:r>
</w:p>
<w:p>
<w:pPr><w:pStyle w:val="Normal"/></w:pPr>
<w:r><w:t xml:space="preserve">to death and handed over the kingdom of the Taphians to</w:t></w:r>
</w:p>
<w:p>
<w:pPr><w:pStyle w:val="Normal"/></w:pPr>
<w:r><w:t xml:space="preserve">Cephalus.  On his return to Thebes he married Alcmene, who</w:t></w:r>
</w:p>
<w:p>
<w:pPr><w:pStyle w:val="Normal"/></w:pPr>
<w:r><w:t xml:space="preserve">gave birth to twin sons, Iphicles being the son of Amphitryon,</w:t></w:r>
</w:p>
<w:p>
<w:pPr><w:pStyle w:val="Normal"/></w:pPr>
<w:r><w:t xml:space="preserve">Heracles of Zeus, who had visited her during Amphitryon&apos;s</w:t></w:r>
</w:p>
<w:p>
<w:pPr><w:pStyle w:val="Normal"/></w:pPr>
<w:r><w:t xml:space="preserve">absence.  He fell in battle against the Minyans, against</w:t></w:r>
</w:p>
<w:p>
<w:pPr><w:pStyle w:val="Normal"/></w:pPr>
<w:r><w:t xml:space="preserve">whom he had undertaken an expedition, accompanied by the</w:t></w:r>
</w:p>
<w:p>
<w:pPr><w:pStyle w:val="Normal"/></w:pPr>
<w:r><w:t xml:space="preserve">youthful Heracles, to deliver Thebes from a disgraceful</w:t></w:r>
</w:p>
<w:p>
<w:pPr><w:pStyle w:val="Normal"/></w:pPr>
<w:r><w:t xml:space="preserve">tribute.  According to Euripides (Hercules Furens) he</w:t></w:r>
</w:p>
<w:p>
<w:pPr><w:pStyle w:val="Normal"/></w:pPr>
<w:r><w:t xml:space="preserve">survived this expedition, and was slain by his son in his</w:t></w:r>
</w:p>
<w:p>
<w:pPr><w:pStyle w:val="Normal"/></w:pPr>
<w:r><w:t xml:space="preserve">madness.  Amphitryon was the title of a lost tragedy of</w:t></w:r>
</w:p>
<w:p>
<w:pPr><w:pStyle w:val="Normal"/></w:pPr>
<w:r><w:t xml:space="preserve">Sophocles; the episode of Zeus and Alcmene forms the subject</w:t></w:r>
</w:p>
<w:p>
<w:pPr><w:pStyle w:val="Normal"/></w:pPr>
<w:r><w:t xml:space="preserve">of comedies by Plautus and Moliere.  From Moliere&apos;s line</w:t></w:r>
</w:p>
<w:p>
<w:pPr><w:pStyle w:val="Normal"/></w:pPr>
<w:r><w:t xml:space="preserve">``Le veritable Amphitryon est l&apos;Amphitryon ou l&apos;on dine&apos;&apos;</w:t></w:r>
</w:p>
<w:p>
<w:pPr><w:pStyle w:val="Normal"/></w:pPr>
<w:r><w:t xml:space="preserve">(Amphitryon, iii. 5), the name Amphitryon has come to be</w:t></w:r>
</w:p>
<w:p>
<w:pPr><w:pStyle w:val="Normal"/></w:pPr>
<w:r><w:t xml:space="preserve">used in the sense of a generous entertainer, a good host.</w:t></w:r>
</w:p>
<w:p>
<w:pPr><w:pStyle w:val="Normal"/></w:pPr>
<w:r><w:t xml:space="preserve">Apollodorus ii. 4; Herodotus v. 59; Pausanias viii. 14, ix,</w:t></w:r>
</w:p>
<w:p>
<w:pPr><w:pStyle w:val="Normal"/></w:pPr>
<w:r><w:t xml:space="preserve">10, 11, 17; Hesiod, Shield, 1-56; Pindar, Pythia, ix. 81.</w:t></w:r>
</w:p>
<w:p>
<w:pPr><w:pStyle w:val="Normal"/></w:pPr>
<w:r><w:t xml:space="preserve">AMPHORA (a Latin word from Gr. amforeus, derived from</w:t></w:r>
</w:p>
<w:p>
<w:pPr><w:pStyle w:val="Normal"/></w:pPr>
<w:r><w:t xml:space="preserve">amfi, on both sides, and ferein, to bear), a large</w:t></w:r>
</w:p>
<w:p>
<w:pPr><w:pStyle w:val="Normal"/></w:pPr>
<w:r><w:t xml:space="preserve">big-bellied vessel used by the ancient Greeks and Romans for</w:t></w:r>
</w:p>
<w:p>
<w:pPr><w:pStyle w:val="Normal"/></w:pPr>
<w:r><w:t xml:space="preserve">preserving wine, oil, honey, and fruits; and in later times</w:t></w:r>
</w:p>
<w:p>
<w:pPr><w:pStyle w:val="Normal"/></w:pPr>
<w:r><w:t xml:space="preserve">as a cinerary urn.  It was so named from usually having an</w:t></w:r>
</w:p>
<w:p>
<w:pPr><w:pStyle w:val="Normal"/></w:pPr>
<w:r><w:t xml:space="preserve">ear or handle on each side of the neck (diota.) It was</w:t></w:r>
</w:p>
<w:p>
<w:pPr><w:pStyle w:val="Normal"/></w:pPr>
<w:r><w:t xml:space="preserve">commonly made of earthenware, but sometimes of stone, glass</w:t></w:r>
</w:p>
<w:p>
<w:pPr><w:pStyle w:val="Normal"/></w:pPr>
<w:r><w:t xml:space="preserve">or even more costly materials.  Amphorae either rested on a</w:t></w:r>
</w:p>
<w:p>
<w:pPr><w:pStyle w:val="Normal"/></w:pPr>
<w:r><w:t xml:space="preserve">foot, or ended in a point so that they had to be fixed in the</w:t></w:r>
</w:p>
<w:p>
<w:pPr><w:pStyle w:val="Normal"/></w:pPr>
<w:r><w:t xml:space="preserve">ground.  The older amphorae were oval-shaped, such as the vases</w:t></w:r>
</w:p>
<w:p>
<w:pPr><w:pStyle w:val="Normal"/></w:pPr>
<w:r><w:t xml:space="preserve">filled with oil for prizes at the Panathenaic festival, having</w:t></w:r>
</w:p>
<w:p>
<w:pPr><w:pStyle w:val="Normal"/></w:pPr>
<w:r><w:t xml:space="preserve">on one side a figure of Athena, on the other a representation</w:t></w:r>
</w:p>
<w:p>
<w:pPr><w:pStyle w:val="Normal"/></w:pPr>
<w:r><w:t xml:space="preserve">of the contest; the latter were tall and slender, with voluted</w:t></w:r>
</w:p>
<w:p>
<w:pPr><w:pStyle w:val="Normal"/></w:pPr>
<w:r><w:t xml:space="preserve">handles.  The first class exhibits black figures on a reddish</w:t></w:r>
</w:p>
<w:p>
<w:pPr><w:pStyle w:val="Normal"/></w:pPr>
<w:r><w:t xml:space="preserve">background, the second red figures on a black ground.  The</w:t></w:r>
</w:p>
<w:p>
<w:pPr><w:pStyle w:val="Normal"/></w:pPr>
<w:r><w:t xml:space="preserve">amphora was a standard measure of capacity among both Greeks</w:t></w:r>
</w:p>
<w:p>
<w:pPr><w:pStyle w:val="Normal"/></w:pPr>
<w:r><w:t xml:space="preserve">and Romans, the Attic containing nearly nine gallons, and</w:t></w:r>
</w:p>
<w:p>
<w:pPr><w:pStyle w:val="Normal"/></w:pPr>
<w:r><w:t xml:space="preserve">the Roman about six.  In modern botany it is a technical</w:t></w:r>
</w:p>
<w:p>
<w:pPr><w:pStyle w:val="Normal"/></w:pPr>
<w:r><w:t xml:space="preserve">term sometimes denoting the lower part of the capsule called</w:t></w:r>
</w:p>
<w:p>
<w:pPr><w:pStyle w:val="Normal"/></w:pPr>
<w:r><w:t xml:space="preserve">pyxidium, attached to the flower stalk in the form of an urn.</w:t></w:r>
</w:p>
<w:p>
<w:pPr><w:pStyle w:val="Normal"/></w:pPr>
<w:r><w:t xml:space="preserve">AMPLIATIVE (from Lat. ampliare, to enlarge), an adjective</w:t></w:r>
</w:p>
<w:p>
<w:pPr><w:pStyle w:val="Normal"/></w:pPr>
<w:r><w:t xml:space="preserve">used mainly in logic, meaning ``extending,&apos; or ``adding to that</w:t></w:r>
</w:p>
<w:p>
<w:pPr><w:pStyle w:val="Normal"/></w:pPr>
<w:r><w:t xml:space="preserve">which is already known.&apos;&apos; In Norman law an ``ampliation&apos;&apos; was a</w:t></w:r>
</w:p>
<w:p>
<w:pPr><w:pStyle w:val="Normal"/></w:pPr>
<w:r><w:t xml:space="preserve">postponement of a sentence in order to obtain further evidence.</w:t></w:r>
</w:p>
<w:p>
<w:pPr><w:pStyle w:val="Normal"/></w:pPr>
<w:r><w:t xml:space="preserve">AMPLITUDE (from Lat. amplus, large), in astronomy, the</w:t></w:r>
</w:p>
<w:p>
<w:pPr><w:pStyle w:val="Normal"/></w:pPr>
<w:r><w:t xml:space="preserve">angular distance of the rising or setting sun, or other heavenly</w:t></w:r>
</w:p>
<w:p>
<w:pPr><w:pStyle w:val="Normal"/></w:pPr>
<w:r><w:t xml:space="preserve">body, from the east or west point of the horizon; used mostly</w:t></w:r>
</w:p>
<w:p>
<w:pPr><w:pStyle w:val="Normal"/></w:pPr>
<w:r><w:t xml:space="preserve">by navigators in finding the variation of the compass by the</w:t></w:r>
</w:p>
<w:p>
<w:pPr><w:pStyle w:val="Normal"/></w:pPr>
<w:r><w:t xml:space="preserve">setting sun.  In algebra, if a be a real positive quantity</w:t></w:r>
</w:p>
<w:p>
<w:pPr><w:pStyle w:val="Normal"/></w:pPr>
<w:r><w:t xml:space="preserve">and o a root of unity, then a is the amplitude of the</w:t></w:r>
</w:p>
<w:p>
<w:pPr><w:pStyle w:val="Normal"/></w:pPr>
<w:r><w:t xml:space="preserve">product ao.  In elliptic integrals, the amplitude is</w:t></w:r>
</w:p>
<w:p>
<w:pPr><w:pStyle w:val="Normal"/></w:pPr>
<w:r><w:t xml:space="preserve">the limit of integration when the integral is expressed in</w:t></w:r>
</w:p>
<w:p>
<w:pPr><w:pStyle w:val="Normal"/></w:pPr>
<w:r><w:t xml:space="preserve">the form $\int_0^\phi\sqrt{1-N^2\sin^2\phi}d\phi$. The</w:t></w:r>
</w:p>
<w:p>
<w:pPr><w:pStyle w:val="Normal"/></w:pPr>
<w:r><w:t xml:space="preserve">hyperbolic or Gudermannian amplitude of the quantity</w:t></w:r>
</w:p>
<w:p>
<w:pPr><w:pStyle w:val="Normal"/></w:pPr>
<w:r><w:t xml:space="preserve">x is tan-1 (sinh x.) In mechanics, the amplitude</w:t></w:r>
</w:p>
<w:p>
<w:pPr><w:pStyle w:val="Normal"/></w:pPr>
<w:r><w:t xml:space="preserve">of a wave is the maximum ordinate. (See WAVE.)</w:t></w:r>
</w:p>
<w:p>
<w:pPr><w:pStyle w:val="Normal"/></w:pPr>
<w:r><w:t xml:space="preserve">AMPSANCTUS, or AMSANCTUS (mod. Sorgente Mefita), a</w:t></w:r>
</w:p>
<w:p>
<w:pPr><w:pStyle w:val="Normal"/></w:pPr>
<w:r><w:t xml:space="preserve">small lake in the territory of the Hirpini, IO m.  S.E.</w:t></w:r>
</w:p>
<w:p>
<w:pPr><w:pStyle w:val="Normal"/></w:pPr>
<w:r><w:t xml:space="preserve">of Aeclanum, close to the Via Appia.  There are now two</w:t></w:r>
</w:p>
<w:p>
<w:pPr><w:pStyle w:val="Normal"/></w:pPr>
<w:r><w:t xml:space="preserve">small pools which exhale carbonic acid gas and sulphuretted</w:t></w:r>
</w:p>
<w:p>
<w:pPr><w:pStyle w:val="Normal"/></w:pPr>
<w:r><w:t xml:space="preserve">hydrogen.  Close by was a temple of the goddess Mephitis,</w:t></w:r>
</w:p>
<w:p>
<w:pPr><w:pStyle w:val="Normal"/></w:pPr>
<w:r><w:t xml:space="preserve">with a cave from which suffocating vapours rose, and for</w:t></w:r>
</w:p>
<w:p>
<w:pPr><w:pStyle w:val="Normal"/></w:pPr>
<w:r><w:t xml:space="preserve">this reason the place was brought into connexion with the</w:t></w:r>
</w:p>
<w:p>
<w:pPr><w:pStyle w:val="Normal"/></w:pPr>
<w:r><w:t xml:space="preserve">legends of the infernal regions.  Virgil&apos;s description</w:t></w:r>
</w:p>
<w:p>
<w:pPr><w:pStyle w:val="Normal"/></w:pPr>
<w:r><w:t xml:space="preserve">(Aeneid, vii. 563) is not, however, very accurate.</w:t></w:r>
</w:p>
<w:p>
<w:pPr><w:pStyle w:val="Normal"/></w:pPr>
<w:r><w:t xml:space="preserve">AMPTHILL, ODO WILLIAM LEOPOLD RUSSELL, 1ST BARON (1829-1884),</w:t></w:r>
</w:p>
<w:p>
<w:pPr><w:pStyle w:val="Normal"/></w:pPr>
<w:r><w:t xml:space="preserve">British diplomatist and ambassador, was born in Florence on</w:t></w:r>
</w:p>
<w:p>
<w:pPr><w:pStyle w:val="Normal"/></w:pPr>
<w:r><w:t xml:space="preserve">the 20th of February 1829.  He was the son of Major- General</w:t></w:r>
</w:p>
<w:p>
<w:pPr><w:pStyle w:val="Normal"/></w:pPr>
<w:r><w:t xml:space="preserve">Lord George William Russell, by Elizabeth Ann, niece of the</w:t></w:r>
</w:p>
<w:p>
<w:pPr><w:pStyle w:val="Normal"/></w:pPr>
<w:r><w:t xml:space="preserve">marquess of Hastings, who was governor-general of India during</w:t></w:r>
</w:p>
<w:p>
<w:pPr><w:pStyle w:val="Normal"/></w:pPr>
<w:r><w:t xml:space="preserve">the final struggle with the Mahrattas.  His education, like</w:t></w:r>
</w:p>
<w:p>
<w:pPr><w:pStyle w:val="Normal"/></w:pPr>
<w:r><w:t xml:space="preserve">that of his two brothers--Hastings, who became eventually</w:t></w:r>
</w:p>
<w:p>
<w:pPr><w:pStyle w:val="Normal"/></w:pPr>
<w:r><w:t xml:space="preserve">9th duke of Bedford, and Arthur, who sat for a generation in</w:t></w:r>
</w:p>
<w:p>
<w:pPr><w:pStyle w:val="Normal"/></w:pPr>
<w:r><w:t xml:space="preserve">the House of Commons as member for Tavistock--was carried on</w:t></w:r>
</w:p>
<w:p>
<w:pPr><w:pStyle w:val="Normal"/></w:pPr>
<w:r><w:t xml:space="preserve">entirely at home, under the general direction of his mother,</w:t></w:r>
</w:p>
<w:p>
<w:pPr><w:pStyle w:val="Normal"/></w:pPr>
<w:r><w:t xml:space="preserve">whose beauty was celebrated by Byron in Beppo. Lady William</w:t></w:r>
</w:p>
<w:p>
<w:pPr><w:pStyle w:val="Normal"/></w:pPr>
<w:r><w:t xml:space="preserve">Russell was as strong-willed as she was beautiful, and certainly</w:t></w:r>
</w:p>
<w:p>
<w:pPr><w:pStyle w:val="Normal"/></w:pPr>
<w:r><w:t xml:space="preserve">deserved to be described as she was by Disraeli, who said in</w:t></w:r>
</w:p>
<w:p>
<w:pPr><w:pStyle w:val="Normal"/></w:pPr>
<w:r><w:t xml:space="preserve">conversation, ``I think she is the most fortunate woman in</w:t></w:r>
</w:p>
<w:p>
<w:pPr><w:pStyle w:val="Normal"/></w:pPr>
<w:r><w:t xml:space="preserve">England, for she has the three nicest sons.&apos;&apos; If it had not</w:t></w:r>
</w:p>
<w:p>
<w:pPr><w:pStyle w:val="Normal"/></w:pPr>
<w:r><w:t xml:space="preserve">been for her strong will it is as likely as not that all</w:t></w:r>
</w:p>
<w:p>
<w:pPr><w:pStyle w:val="Normal"/></w:pPr>
<w:r><w:t xml:space="preserve">the three would have gone through the usual mill of a public</w:t></w:r>
</w:p>
<w:p>
<w:pPr><w:pStyle w:val="Normal"/></w:pPr>
<w:r><w:t xml:space="preserve">school, and have lost half their very peculiar charm.  In</w:t></w:r>
</w:p>
<w:p>
<w:pPr><w:pStyle w:val="Normal"/></w:pPr>
<w:r><w:t xml:space="preserve">March 1849 Odo was appointed by Lord Malmesbury attache at</w:t></w:r>
</w:p>
<w:p>
<w:pPr><w:pStyle w:val="Normal"/></w:pPr>
<w:r><w:t xml:space="preserve">Vienna.  From 1850 to 1852 he was temporarily employed in the</w:t></w:r>
</w:p>
<w:p>
<w:pPr><w:pStyle w:val="Normal"/></w:pPr>
<w:r><w:t xml:space="preserve">foreign office, whence he passed to Paris.  He remained there,</w:t></w:r>
</w:p>
<w:p>
<w:pPr><w:pStyle w:val="Normal"/></w:pPr>
<w:r><w:t xml:space="preserve">however, only about two months, when he was transferred to</w:t></w:r>
</w:p>
<w:p>
<w:pPr><w:pStyle w:val="Normal"/></w:pPr>
<w:r><w:t xml:space="preserve">Vienna.  In 1853 he became second paid attache at Paris,</w:t></w:r>
</w:p>
<w:p>
<w:pPr><w:pStyle w:val="Normal"/></w:pPr>
<w:r><w:t xml:space="preserve">and in August 1854 he was transferred as first paid attache</w:t></w:r>
</w:p>
<w:p>
<w:pPr><w:pStyle w:val="Normal"/></w:pPr>
<w:r><w:t xml:space="preserve">to Constantinople, where he served under Lord Stratford de</w:t></w:r>
</w:p>
<w:p>
<w:pPr><w:pStyle w:val="Normal"/></w:pPr>
<w:r><w:t xml:space="preserve">Redcliffe.  He had charge of the embassy during his chief&apos;s</w:t></w:r>
</w:p>
<w:p>
<w:pPr><w:pStyle w:val="Normal"/></w:pPr>
<w:r><w:t xml:space="preserve">two visits to the Crimea in 1855, but left the East to work</w:t></w:r>
</w:p>
<w:p>
<w:pPr><w:pStyle w:val="Normal"/></w:pPr>
<w:r><w:t xml:space="preserve">under Lord Napier at Washington in 1857.  In the following</w:t></w:r>
</w:p>
<w:p>
<w:pPr><w:pStyle w:val="Normal"/></w:pPr>
<w:r><w:t xml:space="preserve">year he became secretary of legation at Florence, but was</w:t></w:r>
</w:p>
<w:p>
<w:pPr><w:pStyle w:val="Normal"/></w:pPr>
<w:r><w:t xml:space="preserve">detached from that place to reside in Rome, where he remained</w:t></w:r>
</w:p>
<w:p>
<w:pPr><w:pStyle w:val="Normal"/></w:pPr>
<w:r><w:t xml:space="preserve">for twelve years, till August 1870.  During all that period</w:t></w:r>
</w:p>
<w:p>
<w:pPr><w:pStyle w:val="Normal"/></w:pPr>
<w:r><w:t xml:space="preserve">he was the real though unofficial representative of England</w:t></w:r>
</w:p>
<w:p>
<w:pPr><w:pStyle w:val="Normal"/></w:pPr>
<w:r><w:t xml:space="preserve">at the Vatican, and his consummate tact enabled him to do</w:t></w:r>
</w:p>
<w:p>
<w:pPr><w:pStyle w:val="Normal"/></w:pPr>
<w:r><w:t xml:space="preserve">all, and more than all, that an ordinary man could have</w:t></w:r>
</w:p>
<w:p>
<w:pPr><w:pStyle w:val="Normal"/></w:pPr>
<w:r><w:t xml:space="preserve">done in a stronger position.  A reference, however, to his</w:t></w:r>
</w:p>
<w:p>
<w:pPr><w:pStyle w:val="Normal"/></w:pPr>
<w:r><w:t xml:space="preserve">evidence before a committee of the House of Commons in 1871</w:t></w:r>
</w:p>
<w:p>
<w:pPr><w:pStyle w:val="Normal"/></w:pPr>
<w:r><w:t xml:space="preserve">will make it clear to any unprejudiced reader that those were</w:t></w:r>
</w:p>
<w:p>
<w:pPr><w:pStyle w:val="Normal"/></w:pPr>
<w:r><w:t xml:space="preserve">right who, during the early &apos;fifties, urged so strongly the</w:t></w:r>
</w:p>
<w:p>
<w:pPr><w:pStyle w:val="Normal"/></w:pPr>
<w:r><w:t xml:space="preserve">importance of having a duly accredited agent at the papal</w:t></w:r>
</w:p>
<w:p>
<w:pPr><w:pStyle w:val="Normal"/></w:pPr>
<w:r><w:t xml:space="preserve">court.  The line taken by him during the Vatican council</w:t></w:r>
</w:p>
<w:p>
<w:pPr><w:pStyle w:val="Normal"/></w:pPr>
<w:r><w:t xml:space="preserve">has been criticized, but no fault can justly be found with</w:t></w:r>
</w:p>
<w:p>
<w:pPr><w:pStyle w:val="Normal"/></w:pPr>
<w:r><w:t xml:space="preserve">it.  Abreast as he was of the best thought of his time--the</w:t></w:r>
</w:p>
<w:p>
<w:pPr><w:pStyle w:val="Normal"/></w:pPr>
<w:r><w:t xml:space="preserve">brother of Arthur Russell, who, more perhaps than any other</w:t></w:r>
</w:p>
<w:p>
<w:pPr><w:pStyle w:val="Normal"/></w:pPr>
<w:r><w:t xml:space="preserve">man, was its most ideal representative in London society--he</w:t></w:r>
</w:p>
<w:p>
<w:pPr><w:pStyle w:val="Normal"/></w:pPr>
<w:r><w:t xml:space="preserve">sympathized strongly with the views of those who laboured</w:t></w:r>
</w:p>
<w:p>
<w:pPr><w:pStyle w:val="Normal"/></w:pPr>
<w:r><w:t xml:space="preserve">to prevent the extreme partisans of papal infallibility from</w:t></w:r>
</w:p>
<w:p>
<w:pPr><w:pStyle w:val="Normal"/></w:pPr>
<w:r><w:t xml:space="preserve">having everything their own way.  But in his capacity of</w:t></w:r>
</w:p>
<w:p>
<w:pPr><w:pStyle w:val="Normal"/></w:pPr>
<w:r><w:t xml:space="preserve">clear-headed observer, whose business it was to reflect the</w:t></w:r>
</w:p>
<w:p>
<w:pPr><w:pStyle w:val="Normal"/></w:pPr>
<w:r><w:t xml:space="preserve">actual truth upon the mind of his government, he was obliged</w:t></w:r>
</w:p>
<w:p>
<w:pPr><w:pStyle w:val="Normal"/></w:pPr>
<w:r><w:t xml:space="preserve">to make it quite clear that they had no chance whatever,</w:t></w:r>
</w:p>
<w:p>
<w:pPr><w:pStyle w:val="Normal"/></w:pPr>
<w:r><w:t xml:space="preserve">and in conversing with those whose opinions were quite</w:t></w:r>
</w:p>
<w:p>
<w:pPr><w:pStyle w:val="Normal"/></w:pPr>
<w:r><w:t xml:space="preserve">unlike his own, such as Cardinal Manning, he seems to have</w:t></w:r>
</w:p>
<w:p>
<w:pPr><w:pStyle w:val="Normal"/></w:pPr>
<w:r><w:t xml:space="preserve">shown that he had no illusions about the result of the long</w:t></w:r>
</w:p>
<w:p>
<w:pPr><w:pStyle w:val="Normal"/></w:pPr>
<w:r><w:t xml:space="preserve">debate.  In 1868 Odo Russell married Lady Emily Theresa</w:t></w:r>
</w:p>
<w:p>
<w:pPr><w:pStyle w:val="Normal"/></w:pPr>
<w:r><w:t xml:space="preserve">Villiers, the daughter of Lord Clarendon.  In 1870 he was</w:t></w:r>
</w:p>
<w:p>
<w:pPr><w:pStyle w:val="Normal"/></w:pPr>
<w:r><w:t xml:space="preserve">appointed assistant under-secretary at the foreign office, and</w:t></w:r>
</w:p>
<w:p>
<w:pPr><w:pStyle w:val="Normal"/></w:pPr>
<w:r><w:t xml:space="preserve">in November of that year was sent on a special mission to the</w:t></w:r>
</w:p>
<w:p>
<w:pPr><w:pStyle w:val="Normal"/></w:pPr>
<w:r><w:t xml:space="preserve">headquarters of the German army, where he remained till 1871.</w:t></w:r>
</w:p>
<w:p>
<w:pPr><w:pStyle w:val="Normal"/></w:pPr>
<w:r><w:t xml:space="preserve">It was in connexion with this mission that an episode occurred</w:t></w:r>
</w:p>
<w:p>
<w:pPr><w:pStyle w:val="Normal"/></w:pPr>
<w:r><w:t xml:space="preserve">which at the time threw much discredit upon Gladstone&apos;s</w:t></w:r>
</w:p>
<w:p>
<w:pPr><w:pStyle w:val="Normal"/></w:pPr>
<w:r><w:t xml:space="preserve">government.  Russia had taken advantage of the collapse of</w:t></w:r>
</w:p>
<w:p>
<w:pPr><w:pStyle w:val="Normal"/></w:pPr>
<w:r><w:t xml:space="preserve">France and her own cordial relations with Prussia to denounce</w:t></w:r>
</w:p>
<w:p>
<w:pPr><w:pStyle w:val="Normal"/></w:pPr>
<w:r><w:t xml:space="preserve">the Black Sea clauses of the treaty of Paris of 1856.  Russell,</w:t></w:r>
</w:p>
<w:p>
<w:pPr><w:pStyle w:val="Normal"/></w:pPr>
<w:r><w:t xml:space="preserve">in an interview with Bismarck, pointed out that unless Russia</w:t></w:r>
</w:p>
<w:p>
<w:pPr><w:pStyle w:val="Normal"/></w:pPr>
<w:r><w:t xml:space="preserve">withdrew from an attitude which involved the destruction of</w:t></w:r>
</w:p>
<w:p>
<w:pPr><w:pStyle w:val="Normal"/></w:pPr>
<w:r><w:t xml:space="preserve">a treaty solemnly guaranteed by the powers, Great Britain</w:t></w:r>
</w:p>
<w:p>
<w:pPr><w:pStyle w:val="Normal"/></w:pPr>
<w:r><w:t xml:space="preserve">would be forced to go to war ``with or without allies.&apos;&apos; This</w:t></w:r>
</w:p>
<w:p>
<w:pPr><w:pStyle w:val="Normal"/></w:pPr>
<w:r><w:t xml:space="preserve">strong attitude was effective, and the question was ultimately</w:t></w:r>
</w:p>
<w:p>
<w:pPr><w:pStyle w:val="Normal"/></w:pPr>
<w:r><w:t xml:space="preserve">referred to and settled by the conference which met at London in</w:t></w:r>
</w:p>
<w:p>
<w:pPr><w:pStyle w:val="Normal"/></w:pPr>
<w:r><w:t xml:space="preserve">1871.  Though the result was to score a distinct diplomatic</w:t></w:r>
</w:p>
<w:p>
<w:pPr><w:pStyle w:val="Normal"/></w:pPr>
<w:r><w:t xml:space="preserve">success for the Liberal government, the bellicose method</w:t></w:r>
</w:p>
<w:p>
<w:pPr><w:pStyle w:val="Normal"/></w:pPr>
<w:r><w:t xml:space="preserve">employed wounded Liberal sentiment and threatened to create</w:t></w:r>
</w:p>
<w:p>
<w:pPr><w:pStyle w:val="Normal"/></w:pPr>
<w:r><w:t xml:space="preserve">trouble for the ministry in parliament.  On the 16th of February</w:t></w:r>
</w:p>
<w:p>
<w:pPr><w:pStyle w:val="Normal"/></w:pPr>
<w:r><w:t xml:space="preserve">1871, accordingly, Gladstone, in answer to a question, said</w:t></w:r>
</w:p>
<w:p>
<w:pPr><w:pStyle w:val="Normal"/></w:pPr>
<w:r><w:t xml:space="preserve">that ``the argument used by Mr Odo Russell was not one which</w:t></w:r>
</w:p>
<w:p>
<w:pPr><w:pStyle w:val="Normal"/></w:pPr>
<w:r><w:t xml:space="preserve">had been directed by her Majesty&apos;s government,&apos;&apos; that it was</w:t></w:r>
</w:p>
<w:p>
<w:pPr><w:pStyle w:val="Normal"/></w:pPr>
<w:r><w:t xml:space="preserve">used by him ``without any specific instructions or authority</w:t></w:r>
</w:p>
<w:p>
<w:pPr><w:pStyle w:val="Normal"/></w:pPr>
<w:r><w:t xml:space="preserve">from the government,&apos;&apos; but that, at the same time, no blame</w:t></w:r>
</w:p>
<w:p>
<w:pPr><w:pStyle w:val="Normal"/></w:pPr>
<w:r><w:t xml:space="preserve">was to be attached to him, as it was ``perfectly well known</w:t></w:r>
</w:p>
<w:p>
<w:pPr><w:pStyle w:val="Normal"/></w:pPr>
<w:r><w:t xml:space="preserve">that the duty of diplomatic agents requires them to express</w:t></w:r>
</w:p>
<w:p>
<w:pPr><w:pStyle w:val="Normal"/></w:pPr>
<w:r><w:t xml:space="preserve">themselves in that mode in which they think they can best</w:t></w:r>
</w:p>
<w:p>
<w:pPr><w:pStyle w:val="Normal"/></w:pPr>
<w:r><w:t xml:space="preserve">support and recommend the propositions of which they wish to</w:t></w:r>
</w:p>
<w:p>
<w:pPr><w:pStyle w:val="Normal"/></w:pPr>
<w:r><w:t xml:space="preserve">procure acceptance.&apos;&apos; This Gladstonian explanation was widely</w:t></w:r>
</w:p>
<w:p>
<w:pPr><w:pStyle w:val="Normal"/></w:pPr>
<w:r><w:t xml:space="preserve">criticized as an illegitimate attack on Russell.  What is</w:t></w:r>
</w:p>
<w:p>
<w:pPr><w:pStyle w:val="Normal"/></w:pPr>
<w:r><w:t xml:space="preserve">certain is that the foreign office and the country profited</w:t></w:r>
</w:p>
<w:p>
<w:pPr><w:pStyle w:val="Normal"/></w:pPr>
<w:r><w:t xml:space="preserve">by Russell&apos;s firmness. (See Morley&apos;s Gladstone, ii. 534.)</w:t></w:r>
</w:p>
<w:p>
<w:pPr><w:pStyle w:val="Normal"/></w:pPr>
<w:r><w:t xml:space="preserve">A little later in the same year he received the well-deserved</w:t></w:r>
</w:p>
<w:p>
<w:pPr><w:pStyle w:val="Normal"/></w:pPr>
<w:r><w:t xml:space="preserve">reward of his labours by being made ambassador at Berlin.</w:t></w:r>
</w:p>
<w:p>
<w:pPr><w:pStyle w:val="Normal"/></w:pPr>
<w:r><w:t xml:space="preserve">During the months he passed at the foreign office he was</w:t></w:r>
</w:p>
<w:p>
<w:pPr><w:pStyle w:val="Normal"/></w:pPr>
<w:r><w:t xml:space="preserve">examined before the committee of the House of Commons, already</w:t></w:r>
</w:p>
<w:p>
<w:pPr><w:pStyle w:val="Normal"/></w:pPr>
<w:r><w:t xml:space="preserve">alluded to, and had an opportunity of stating very distinctly</w:t></w:r>
</w:p>
<w:p>
<w:pPr><w:pStyle w:val="Normal"/></w:pPr>
<w:r><w:t xml:space="preserve">in public some of his views with regard to his profession.</w:t></w:r>
</w:p>
<w:p>
<w:pPr><w:pStyle w:val="Normal"/></w:pPr>
<w:r><w:t xml:space="preserve">``If you could only organize diplomacy properly,&apos;&apos; he said,</w:t></w:r>
</w:p>
<w:p>
<w:pPr><w:pStyle w:val="Normal"/></w:pPr>
<w:r><w:t xml:space="preserve">``you would create a body of men who might influence the</w:t></w:r>
</w:p>
<w:p>
<w:pPr><w:pStyle w:val="Normal"/></w:pPr>
<w:r><w:t xml:space="preserve">destinies of mankind and ensure the peace of the world.&apos;&apos; In</w:t></w:r>
</w:p>
<w:p>
<w:pPr><w:pStyle w:val="Normal"/></w:pPr>
<w:r><w:t xml:space="preserve">these words we have the key to the thought and habitual action</w:t></w:r>
</w:p>
<w:p>
<w:pPr><w:pStyle w:val="Normal"/></w:pPr>
<w:r><w:t xml:space="preserve">of one of the best and wisest public servants of the time.</w:t></w:r>
</w:p>
<w:p>
<w:pPr><w:pStyle w:val="Normal"/></w:pPr>
<w:r><w:t xml:space="preserve">Russell remained at Berlin, with only brief intervals of</w:t></w:r>
</w:p>
<w:p>
<w:pPr><w:pStyle w:val="Normal"/></w:pPr>
<w:r><w:t xml:space="preserve">absence, from the 16th of October 1871 till his death at Potsdam</w:t></w:r>
</w:p>
<w:p>
<w:pPr><w:pStyle w:val="Normal"/></w:pPr>
<w:r><w:t xml:space="preserve">on the 25th of August 1884.  He was third plenipotentiary at</w:t></w:r>
</w:p>
<w:p>
<w:pPr><w:pStyle w:val="Normal"/></w:pPr>
<w:r><w:t xml:space="preserve">the Berlin congress, and is generally credited with having</w:t></w:r>
</w:p>
<w:p>
<w:pPr><w:pStyle w:val="Normal"/></w:pPr>
<w:r><w:t xml:space="preserve">prevented, by his tact and good sense, the British prime</w:t></w:r>
</w:p>
<w:p>
<w:pPr><w:pStyle w:val="Normal"/></w:pPr>
<w:r><w:t xml:space="preserve">minister from making a speech in French, which he knew very</w:t></w:r>
</w:p>
<w:p>
<w:pPr><w:pStyle w:val="Normal"/></w:pPr>
<w:r><w:t xml:space="preserve">imperfectly and pronounced abominably.  In 1874 Odo Russell</w:t></w:r>
</w:p>
<w:p>
<w:pPr><w:pStyle w:val="Normal"/></w:pPr>
<w:r><w:t xml:space="preserve">received a patent of precedence raising him to the rank of a</w:t></w:r>
</w:p>
<w:p>
<w:pPr><w:pStyle w:val="Normal"/></w:pPr>
<w:r><w:t xml:space="preserve">duke&apos;s son, and after the congress of Berlin he was offered</w:t></w:r>
</w:p>
<w:p>
<w:pPr><w:pStyle w:val="Normal"/></w:pPr>
<w:r><w:t xml:space="preserve">a peerage by the Conservative government.  This he naturally</w:t></w:r>
</w:p>
<w:p>
<w:pPr><w:pStyle w:val="Normal"/></w:pPr>
<w:r><w:t xml:space="preserve">declined, but accepted the honour in 1881 when it was offered</w:t></w:r>
</w:p>
<w:p>
<w:pPr><w:pStyle w:val="Normal"/></w:pPr>
<w:r><w:t xml:space="preserve">by the Liberals, taking the title of Baron Ampthill.  He became</w:t></w:r>
</w:p>
<w:p>
<w:pPr><w:pStyle w:val="Normal"/></w:pPr>
<w:r><w:t xml:space="preserve">a privy councillor in 1872 and was made a G.C.B. somewhat</w:t></w:r>
</w:p>
<w:p>
<w:pPr><w:pStyle w:val="Normal"/></w:pPr>
<w:r><w:t xml:space="preserve">later.  At the conference about the Greek frontier, which</w:t></w:r>
</w:p>
<w:p>
<w:pPr><w:pStyle w:val="Normal"/></w:pPr>
<w:r><w:t xml:space="preserve">followed the congress of Berlin, he was the only British</w:t></w:r>
</w:p>
<w:p>
<w:pPr><w:pStyle w:val="Normal"/></w:pPr>
<w:r><w:t xml:space="preserve">representative.  During all his long sojourn in the Prussian</w:t></w:r>
</w:p>
<w:p>
<w:pPr><w:pStyle w:val="Normal"/></w:pPr>
<w:r><w:t xml:space="preserve">capital, he did everything that in him lay to bring about</w:t></w:r>
</w:p>
<w:p>
<w:pPr><w:pStyle w:val="Normal"/></w:pPr>
<w:r><w:t xml:space="preserve">close and friendly relations between Great Britain and</w:t></w:r>
</w:p>
<w:p>
<w:pPr><w:pStyle w:val="Normal"/></w:pPr>
<w:r><w:t xml:space="preserve">Germany.  He kept on the best of terms with Bismarck, carefully</w:t></w:r>
</w:p>
<w:p>
<w:pPr><w:pStyle w:val="Normal"/></w:pPr>
<w:r><w:t xml:space="preserve">avoiding everything that could give any cause of offence to</w:t></w:r>
</w:p>
<w:p>
<w:pPr><w:pStyle w:val="Normal"/></w:pPr>
<w:r><w:t xml:space="preserve">that most jealous and most unscrupulous minister, whom he,</w:t></w:r>
</w:p>
<w:p>
<w:pPr><w:pStyle w:val="Normal"/></w:pPr>
<w:r><w:t xml:space="preserve">however, did not hesitate to withstand when his unscrupulousness</w:t></w:r>
</w:p>
<w:p>
<w:pPr><w:pStyle w:val="Normal"/></w:pPr>
<w:r><w:t xml:space="preserve">went the length of deliberately attempting to deceive.</w:t></w:r>
</w:p>
<w:p>
<w:pPr><w:pStyle w:val="Normal"/></w:pPr>
<w:r><w:t xml:space="preserve">He was succeeded as 2nd baron by his son, ARTHUR OLIVER</w:t></w:r>
</w:p>
<w:p>
<w:pPr><w:pStyle w:val="Normal"/></w:pPr>
<w:r><w:t xml:space="preserve">VILLIERS RUSSELL (b. 1869), who rowed in the Oxford</w:t></w:r>
</w:p>
<w:p>
<w:pPr><w:pStyle w:val="Normal"/></w:pPr>
<w:r><w:t xml:space="preserve">eight (1889, 1890, 1891) and became a prominent Unionist</w:t></w:r>
</w:p>
<w:p>
<w:pPr><w:pStyle w:val="Normal"/></w:pPr>
<w:r><w:t xml:space="preserve">politician.  He was private secretary to Mr Chamberlain,</w:t></w:r>
</w:p>
<w:p>
<w:pPr><w:pStyle w:val="Normal"/></w:pPr>
<w:r><w:t xml:space="preserve">1895-1897, and governor of Madras, 1899-1906.  In 1904</w:t></w:r>
</w:p>
<w:p>
<w:pPr><w:pStyle w:val="Normal"/></w:pPr>
<w:r><w:t xml:space="preserve">he acted temporarily as Viceroy of India. (M. G. D.)</w:t></w:r>
</w:p>
<w:p>
<w:pPr><w:pStyle w:val="Normal"/></w:pPr>
<w:r><w:t xml:space="preserve">AMPTHILL, a market town in the northern parliamentary division</w:t></w:r>
</w:p>
<w:p>
<w:pPr><w:pStyle w:val="Normal"/></w:pPr>
<w:r><w:t xml:space="preserve">of Bedfordshire, England, 44 m.  N.N.W. of London by the Midland</w:t></w:r>
</w:p>
<w:p>
<w:pPr><w:pStyle w:val="Normal"/></w:pPr>
<w:r><w:t xml:space="preserve">railway.  Pop. of urban district (1901) 2177.  It lies on</w:t></w:r>
</w:p>
<w:p>
<w:pPr><w:pStyle w:val="Normal"/></w:pPr>
<w:r><w:t xml:space="preserve">the southern slope of a low range of hills, in a well-wooded</w:t></w:r>
</w:p>
<w:p>
<w:pPr><w:pStyle w:val="Normal"/></w:pPr>
<w:r><w:t xml:space="preserve">district.  The church of St Andrew ranges in date from Early</w:t></w:r>
</w:p>
<w:p>
<w:pPr><w:pStyle w:val="Normal"/></w:pPr>
<w:r><w:t xml:space="preserve">English to Perpendicular.  It contains a monument to Richard</w:t></w:r>
</w:p>
<w:p>
<w:pPr><w:pStyle w:val="Normal"/></w:pPr>
<w:r><w:t xml:space="preserve">Nicolls (1624-1672), who, under the patronage of the duke of</w:t></w:r>
</w:p>
<w:p>
<w:pPr><w:pStyle w:val="Normal"/></w:pPr>
<w:r><w:t xml:space="preserve">York, brother to Charles II., to whom the king had granted</w:t></w:r>
</w:p>
<w:p>
<w:pPr><w:pStyle w:val="Normal"/></w:pPr>
<w:r><w:t xml:space="preserve">the Dutch North American colony of New Netherland, received</w:t></w:r>
</w:p>
<w:p>
<w:pPr><w:pStyle w:val="Normal"/></w:pPr>
<w:r><w:t xml:space="preserve">the submission of its chief town, New Amsterdam, in 1664,</w:t></w:r>
</w:p>
<w:p>
<w:pPr><w:pStyle w:val="Normal"/></w:pPr>
<w:r><w:t xml:space="preserve">and became its first English governor, the town taking the</w:t></w:r>
</w:p>
<w:p>
<w:pPr><w:pStyle w:val="Normal"/></w:pPr>
<w:r><w:t xml:space="preserve">name of New York.  Nicolls perished in the action between</w:t></w:r>
</w:p>
<w:p>
<w:pPr><w:pStyle w:val="Normal"/></w:pPr>
<w:r><w:t xml:space="preserve">the English and Dutch fleets at Solebay, and the ball which</w:t></w:r>
</w:p>
<w:p>
<w:pPr><w:pStyle w:val="Normal"/></w:pPr>
<w:r><w:t xml:space="preserve">killed him is preserved on his tomb.  Houghton Park, in the</w:t></w:r>
</w:p>
<w:p>
<w:pPr><w:pStyle w:val="Normal"/></w:pPr>
<w:r><w:t xml:space="preserve">vicinity, contains the ruins of Houghton House, built by</w:t></w:r>
</w:p>
<w:p>
<w:pPr><w:pStyle w:val="Normal"/></w:pPr>
<w:r><w:t xml:space="preserve">Mary, countess of Pembroke, in the time of James I. To</w:t></w:r>
</w:p>
<w:p>
<w:pPr><w:pStyle w:val="Normal"/></w:pPr>
<w:r><w:t xml:space="preserve">this countess Sir Philip Sidney dedicated the Arcadia.</w:t></w:r>
</w:p>
<w:p>
<w:pPr><w:pStyle w:val="Normal"/></w:pPr>
<w:r><w:t xml:space="preserve">Ampthill Park became in 1818 the seat of that Lord Holland</w:t></w:r>
</w:p>
<w:p>
<w:pPr><w:pStyle w:val="Normal"/></w:pPr>
<w:r><w:t xml:space="preserve">in whose time Holland House, in Kensington, London, became</w:t></w:r>
</w:p>
<w:p>
<w:pPr><w:pStyle w:val="Normal"/></w:pPr>
<w:r><w:t xml:space="preserve">famous as a resort of the most distinguished intellectual</w:t></w:r>
</w:p>
<w:p>
<w:pPr><w:pStyle w:val="Normal"/></w:pPr>
<w:r><w:t xml:space="preserve">society.  In the park a cross marks the site of Ampthill</w:t></w:r>
</w:p>
<w:p>
<w:pPr><w:pStyle w:val="Normal"/></w:pPr>
<w:r><w:t xml:space="preserve">Castle, the residence of Catherine of Aragon while her divorce</w:t></w:r>
</w:p>
<w:p>
<w:pPr><w:pStyle w:val="Normal"/></w:pPr>
<w:r><w:t xml:space="preserve">from Henry VIII. was pending.  A commemorative inscription</w:t></w:r>
</w:p>
<w:p>
<w:pPr><w:pStyle w:val="Normal"/></w:pPr>
<w:r><w:t xml:space="preserve">on the cross was written by Horace Walpole.  Brewing,</w:t></w:r>
</w:p>
<w:p>
<w:pPr><w:pStyle w:val="Normal"/></w:pPr>
<w:r><w:t xml:space="preserve">straw-plaiting and lace-making are carried on in Ampthill.</w:t></w:r>
</w:p>
<w:p>
<w:pPr><w:pStyle w:val="Normal"/></w:pPr>
<w:r><w:t xml:space="preserve">AMPULLA (either a diminutive of amphora, or from Lat.</w:t></w:r>
</w:p>
<w:p>
<w:pPr><w:pStyle w:val="Normal"/></w:pPr>
<w:r><w:t xml:space="preserve">ambo, both, and olla, a pot), a small, narrow-necked,</w:t></w:r>
</w:p>
<w:p>
<w:pPr><w:pStyle w:val="Normal"/></w:pPr>
<w:r><w:t xml:space="preserve">round-bodied vase for holding liquids, especially oil and</w:t></w:r>
</w:p>
<w:p>
<w:pPr><w:pStyle w:val="Normal"/></w:pPr>
<w:r><w:t xml:space="preserve">perfumes.  It is the Latin term equivalent to the Greek</w:t></w:r>
</w:p>
<w:p>
<w:pPr><w:pStyle w:val="Normal"/></w:pPr>
<w:r><w:t xml:space="preserve">lekuthos. It was used in ancient times for toilet purposes</w:t></w:r>
</w:p>
<w:p>
<w:pPr><w:pStyle w:val="Normal"/></w:pPr>
<w:r><w:t xml:space="preserve">and anointing the bodies of the dead, being then buried with</w:t></w:r>
</w:p>
<w:p>
<w:pPr><w:pStyle w:val="Normal"/></w:pPr>
<w:r><w:t xml:space="preserve">them.  Gildas mentions the use of ampullae as established</w:t></w:r>
</w:p>
<w:p>
<w:pPr><w:pStyle w:val="Normal"/></w:pPr>
<w:r><w:t xml:space="preserve">among the Britons in his time, and St Columba is said to have</w:t></w:r>
</w:p>
<w:p>
<w:pPr><w:pStyle w:val="Normal"/></w:pPr>
<w:r><w:t xml:space="preserve">employed one in the coronation of King Aidan.  Both the name</w:t></w:r>
</w:p>
<w:p>
<w:pPr><w:pStyle w:val="Normal"/></w:pPr>
<w:r><w:t xml:space="preserve">and the function of the ampulla have survived in the Western</w:t></w:r>
</w:p>
<w:p>
<w:pPr><w:pStyle w:val="Normal"/></w:pPr>
<w:r><w:t xml:space="preserve">Church, where it still signifies the vessel containing the</w:t></w:r>
</w:p>
<w:p>
<w:pPr><w:pStyle w:val="Normal"/></w:pPr>
<w:r><w:t xml:space="preserve">oil consecrated by the bishop for ritual uses, especially in</w:t></w:r>
</w:p>
<w:p>
<w:pPr><w:pStyle w:val="Normal"/></w:pPr>
<w:r><w:t xml:space="preserve">the sacraments of Confirmation, Orders and Extreme Unction.</w:t></w:r>
</w:p>
<w:p>
<w:pPr><w:pStyle w:val="Normal"/></w:pPr>
<w:r><w:t xml:space="preserve">The word occurs repeatedly in the service of coronation of</w:t></w:r>
</w:p>
<w:p>
<w:pPr><w:pStyle w:val="Normal"/></w:pPr>
<w:r><w:t xml:space="preserve">the English sovereign in connexion with the ancient ceremony</w:t></w:r>
</w:p>
<w:p>
<w:pPr><w:pStyle w:val="Normal"/></w:pPr>
<w:r><w:t xml:space="preserve">of anointing by the archbishop of Canterbury, which is still</w:t></w:r>
</w:p>
<w:p>
<w:pPr><w:pStyle w:val="Normal"/></w:pPr>
<w:r><w:t xml:space="preserve">observed.  The ampulla of the regalia of England takes the form</w:t></w:r>
</w:p>
<w:p>
<w:pPr><w:pStyle w:val="Normal"/></w:pPr>
<w:r><w:t xml:space="preserve">of a golden eagle with outspread wings.  The most celebrated</w:t></w:r>
</w:p>
<w:p>
<w:pPr><w:pStyle w:val="Normal"/></w:pPr>
<w:r><w:t xml:space="preserve">ampulla in history was that known as la sainte ampoule, in the</w:t></w:r>
</w:p>
<w:p>
<w:pPr><w:pStyle w:val="Normal"/></w:pPr>
<w:r><w:t xml:space="preserve">abbey of St Remi at Reims, from which the kings of France were</w:t></w:r>
</w:p>
<w:p>
<w:pPr><w:pStyle w:val="Normal"/></w:pPr>
<w:r><w:t xml:space="preserve">anointed.  According to the legend it had been brought from</w:t></w:r>
</w:p>
<w:p>
<w:pPr><w:pStyle w:val="Normal"/></w:pPr>
<w:r><w:t xml:space="preserve">heaven by a dove for the coronation of Clovis, and at one period</w:t></w:r>
</w:p>
<w:p>
<w:pPr><w:pStyle w:val="Normal"/></w:pPr>
<w:r><w:t xml:space="preserve">the kings of France claimed precedence over all other sovereigns</w:t></w:r>
</w:p>
<w:p>
<w:pPr><w:pStyle w:val="Normal"/></w:pPr>
<w:r><w:t xml:space="preserve">on account of it.  It was destroyed at the Revolution.  The</w:t></w:r>
</w:p>
<w:p>
<w:pPr><w:pStyle w:val="Normal"/></w:pPr>
<w:r><w:t xml:space="preserve">word ``ampulla&apos;&apos; is used in biology, by analogy from the shape,</w:t></w:r>
</w:p>
<w:p>
<w:pPr><w:pStyle w:val="Normal"/></w:pPr>
<w:r><w:t xml:space="preserve">for a certain portion of the anatomy of a plant or animal.</w:t></w:r>
</w:p>
<w:p>
<w:pPr><w:pStyle w:val="Normal"/></w:pPr>
<w:r><w:t xml:space="preserve">AMRAM (d. 875), a famous gaon or head of the Jewish</w:t></w:r>
</w:p>
<w:p>
<w:pPr><w:pStyle w:val="Normal"/></w:pPr>
<w:r><w:t xml:space="preserve">Academy of Sura (Persia) in the 9th century.  He was author</w:t></w:r>
</w:p>
<w:p>
<w:pPr><w:pStyle w:val="Normal"/></w:pPr>
<w:r><w:t xml:space="preserve">of many ``Responsa,&apos;&apos; but his chief work was liturgical.</w:t></w:r>
</w:p>
<w:p>
<w:pPr><w:pStyle w:val="Normal"/></w:pPr>
<w:r><w:t xml:space="preserve">He was the first to arrange a complete liturgy for the</w:t></w:r>
</w:p>
<w:p>
<w:pPr><w:pStyle w:val="Normal"/></w:pPr>
<w:r><w:t xml:space="preserve">synagogue, and his Prayer-Book (Siddur Rab `Amram) was</w:t></w:r>
</w:p>
<w:p>
<w:pPr><w:pStyle w:val="Normal"/></w:pPr>
<w:r><w:t xml:space="preserve">the foundation of most of the extant rites in use among the</w:t></w:r>
</w:p>
<w:p>
<w:pPr><w:pStyle w:val="Normal"/></w:pPr>
<w:r><w:t xml:space="preserve">Jews.  The Siddur was published in Warsaw in two parts (1865).</w:t></w:r>
</w:p>
<w:p>
<w:pPr><w:pStyle w:val="Normal"/></w:pPr>
<w:r><w:t xml:space="preserve">AMRAOTI, or UMRAWATTEE, a town and district of India, in</w:t></w:r>
</w:p>
<w:p>
<w:pPr><w:pStyle w:val="Normal"/></w:pPr>
<w:r><w:t xml:space="preserve">Berar, Central Provinces.  The district was reconstituted</w:t></w:r>
</w:p>
<w:p>
<w:pPr><w:pStyle w:val="Normal"/></w:pPr>
<w:r><w:t xml:space="preserve">in 1905, when that of Ellichpur was incorporated with</w:t></w:r>
</w:p>
<w:p>
<w:pPr><w:pStyle w:val="Normal"/></w:pPr>
<w:r><w:t xml:space="preserve">it.  The town has a station 6 m. from Badnera junction on</w:t></w:r>
</w:p>
<w:p>
<w:pPr><w:pStyle w:val="Normal"/></w:pPr>
<w:r><w:t xml:space="preserve">the Great Indian Peninsula line.  Pop. (1901) 34,216, showing</w:t></w:r>
</w:p>
<w:p>
<w:pPr><w:pStyle w:val="Normal"/></w:pPr>
<w:r><w:t xml:space="preserve">an increase of 22% in the decade.  It is the richest town of</w:t></w:r>
</w:p>
<w:p>
<w:pPr><w:pStyle w:val="Normal"/></w:pPr>
<w:r><w:t xml:space="preserve">Berar, with the most numerous and substantial commercial</w:t></w:r>
</w:p>
<w:p>
<w:pPr><w:pStyle w:val="Normal"/></w:pPr>
<w:r><w:t xml:space="preserve">population.  It possesses a branch of the Bank of Bombay,</w:t></w:r>
</w:p>
<w:p>
<w:pPr><w:pStyle w:val="Normal"/></w:pPr>
<w:r><w:t xml:space="preserve">and has the largest cotton mart, where an average of 80,593</w:t></w:r>
</w:p>
<w:p>
<w:pPr><w:pStyle w:val="Normal"/></w:pPr>
<w:r><w:t xml:space="preserve">bojas of cotton are bought and sold annually.  It has also a</w:t></w:r>
</w:p>
<w:p>
<w:pPr><w:pStyle w:val="Normal"/></w:pPr>
<w:r><w:t xml:space="preserve">large grain market, cotton presses, ginning factories and oil</w:t></w:r>
</w:p>
<w:p>
<w:pPr><w:pStyle w:val="Normal"/></w:pPr>
<w:r><w:t xml:space="preserve">mills.  Amraoti raw cotton is quoted on the Liverpool Exchange.</w:t></w:r>
</w:p>
<w:p>
<w:pPr><w:pStyle w:val="Normal"/></w:pPr>
<w:r><w:t xml:space="preserve">The district of Amraoti has an area of 4754 sq. m.  In 1901</w:t></w:r>
</w:p>
<w:p>
<w:pPr><w:pStyle w:val="Normal"/></w:pPr>
<w:r><w:t xml:space="preserve">the population was 630,245, showing a decrease of 4% in the</w:t></w:r>
</w:p>
<w:p>
<w:pPr><w:pStyle w:val="Normal"/></w:pPr>
<w:r><w:t xml:space="preserve">decade; on the area as now constituted it was 809,499.  The</w:t></w:r>
</w:p>
<w:p>
<w:pPr><w:pStyle w:val="Normal"/></w:pPr>
<w:r><w:t xml:space="preserve">district is an extensive plain, about 800 ft. above sea-level,</w:t></w:r>
</w:p>
<w:p>
<w:pPr><w:pStyle w:val="Normal"/></w:pPr>
<w:r><w:t xml:space="preserve">the general flatness being only broken by a small chain of</w:t></w:r>
</w:p>
<w:p>
<w:pPr><w:pStyle w:val="Normal"/></w:pPr>
<w:r><w:t xml:space="preserve">hills, running in a north-westerly direction between Amraoti</w:t></w:r>
</w:p>
<w:p>
<w:pPr><w:pStyle w:val="Normal"/></w:pPr>
<w:r><w:t xml:space="preserve">and Chandor, with an average height from 400 to 500 ft.</w:t></w:r>
</w:p>
<w:p>
<w:pPr><w:pStyle w:val="Normal"/></w:pPr>
<w:r><w:t xml:space="preserve">above the lowlands.  The principal towns, besides Amraoti,</w:t></w:r>
</w:p>
<w:p>
<w:pPr><w:pStyle w:val="Normal"/></w:pPr>
<w:r><w:t xml:space="preserve">are Karinja, Kolapur, and Badnera, which lies on the Great</w:t></w:r>
</w:p>
<w:p>
<w:pPr><w:pStyle w:val="Normal"/></w:pPr>
<w:r><w:t xml:space="preserve">Indian Peninsula railway, the main line of which crosses the</w:t></w:r>
</w:p>
<w:p>
<w:pPr><w:pStyle w:val="Normal"/></w:pPr>
<w:r><w:t xml:space="preserve">district.  Severe drought visited Amraoti in 1899-1900.</w:t></w:r>
</w:p>
<w:p>
<w:pPr><w:pStyle w:val="Normal"/></w:pPr>
<w:r><w:t xml:space="preserve">AMRAVATI, or AMARAVATI, a ruined city of India in the</w:t></w:r>
</w:p>
<w:p>
<w:pPr><w:pStyle w:val="Normal"/></w:pPr>
<w:r><w:t xml:space="preserve">Guntur district of the Madras presidency, on the south</w:t></w:r>
</w:p>
<w:p>
<w:pPr><w:pStyle w:val="Normal"/></w:pPr>
<w:r><w:t xml:space="preserve">bank of the Kistna river, 62 m. from its mouth.  The town</w:t></w:r>
</w:p>
<w:p>
<w:pPr><w:pStyle w:val="Normal"/></w:pPr>
<w:r><w:t xml:space="preserve">is of great interest for the antiquary as one of the chief</w:t></w:r>
</w:p>
<w:p>
<w:pPr><w:pStyle w:val="Normal"/></w:pPr>
<w:r><w:t xml:space="preserve">centres of the Buddhist kingdom of Vengi, and for its stupa</w:t></w:r>
</w:p>
<w:p>
<w:pPr><w:pStyle w:val="Normal"/></w:pPr>
<w:r><w:t xml:space="preserve">(sepulchral monument).  Amravati has been identified with</w:t></w:r>
</w:p>
<w:p>
<w:pPr><w:pStyle w:val="Normal"/></w:pPr>
<w:r><w:t xml:space="preserve">Hsuan Tsang&apos;s To-na-kie-tse-kia and with the Rahmi of Arab</w:t></w:r>
</w:p>
<w:p>
<w:pPr><w:pStyle w:val="Normal"/></w:pPr>
<w:r><w:t xml:space="preserve">geographers.  Subsequent to the disappearance of Buddhism</w:t></w:r>
</w:p>
<w:p>
<w:pPr><w:pStyle w:val="Normal"/></w:pPr>
<w:r><w:t xml:space="preserve">from this region the town became a centre of the Sivaite</w:t></w:r>
</w:p>
<w:p>
<w:pPr><w:pStyle w:val="Normal"/></w:pPr>
<w:r><w:t xml:space="preserve">faith.  When Hsuan Tsang visited Amravati in A.D. 639</w:t></w:r>
</w:p>
<w:p>
<w:pPr><w:pStyle w:val="Normal"/></w:pPr>
<w:r><w:t xml:space="preserve">it had already been deserted for a century, but he speaks</w:t></w:r>
</w:p>
<w:p>
<w:pPr><w:pStyle w:val="Normal"/></w:pPr>
<w:r><w:t xml:space="preserve">in glowing terms of its magnificence and beauty.  Very</w:t></w:r>
</w:p>
<w:p>
<w:pPr><w:pStyle w:val="Normal"/></w:pPr>
<w:r><w:t xml:space="preserve">careful and artistic representations of the stupa with its</w:t></w:r>
</w:p>
<w:p>
<w:pPr><w:pStyle w:val="Normal"/></w:pPr>
<w:r><w:t xml:space="preserve">daghoba and interesting rail, pillars and sculptures will</w:t></w:r>
</w:p>
<w:p>
<w:pPr><w:pStyle w:val="Normal"/></w:pPr>
<w:r><w:t xml:space="preserve">be found in Fergusson&apos;s Tree and Serpent Worship, and in</w:t></w:r>
</w:p>
<w:p>
<w:pPr><w:pStyle w:val="Normal"/></w:pPr>
<w:r><w:t xml:space="preserve">his History of Indian Architecture (1876).  Its elaborate</w:t></w:r>
</w:p>
<w:p>
<w:pPr><w:pStyle w:val="Normal"/></w:pPr>
<w:r><w:t xml:space="preserve">carvings illustrate the life of Buddha.  Some are preserved</w:t></w:r>
</w:p>
<w:p>
<w:pPr><w:pStyle w:val="Normal"/></w:pPr>
<w:r><w:t xml:space="preserve">in the British Museum; others in the museum at Madras.</w:t></w:r>
</w:p>
<w:p>
<w:pPr><w:pStyle w:val="Normal"/></w:pPr>
<w:r><w:t xml:space="preserve">An account by Dr James Burgess was published in 1877 as one</w:t></w:r>
</w:p>
<w:p>
<w:pPr><w:pStyle w:val="Normal"/></w:pPr>
<w:r><w:t xml:space="preserve">of the volumes of the Archaeological Survey of Southern India.</w:t></w:r>
</w:p>
<w:p>
<w:pPr><w:pStyle w:val="Normal"/></w:pPr>
<w:r><w:t xml:space="preserve">`AMR-IBN-EL-ASS, or `AMR (strictly `AMR B. `AS), one</w:t></w:r>
</w:p>
<w:p>
<w:pPr><w:pStyle w:val="Normal"/></w:pPr>
<w:r><w:t xml:space="preserve">of the most famous of the first race of the Saracen leaders,</w:t></w:r>
</w:p>
<w:p>
<w:pPr><w:pStyle w:val="Normal"/></w:pPr>
<w:r><w:t xml:space="preserve">was of the tribe of Koreish (Qureish).  In his youth he was</w:t></w:r>
</w:p>
<w:p>
<w:pPr><w:pStyle w:val="Normal"/></w:pPr>
<w:r><w:t xml:space="preserve">an antagonist of Mahomet.  His zeal prompted him to undertake</w:t></w:r>
</w:p>
<w:p>
<w:pPr><w:pStyle w:val="Normal"/></w:pPr>
<w:r><w:t xml:space="preserve">an embassy to the king of Ethiopia, in order to stimulate him</w:t></w:r>
</w:p>
<w:p>
<w:pPr><w:pStyle w:val="Normal"/></w:pPr>
<w:r><w:t xml:space="preserve">against the converts whom he had taken under his protection,</w:t></w:r>
</w:p>
<w:p>
<w:pPr><w:pStyle w:val="Normal"/></w:pPr>
<w:r><w:t xml:space="preserve">but he returned a convert to the Mahommedan faith and joined</w:t></w:r>
</w:p>
<w:p>
<w:pPr><w:pStyle w:val="Normal"/></w:pPr>
<w:r><w:t xml:space="preserve">the fugitive prophet at Medina.  When Abu Bekr resolved to</w:t></w:r>
</w:p>
<w:p>
<w:pPr><w:pStyle w:val="Normal"/></w:pPr>
<w:r><w:t xml:space="preserve">invade Syria, he entrusted `Amr with a high command. `Amr soon</w:t></w:r>
</w:p>
<w:p>
<w:pPr><w:pStyle w:val="Normal"/></w:pPr>
<w:r><w:t xml:space="preserve">perceived that his troops were not sufficient for a serious</w:t></w:r>
</w:p>
<w:p>
<w:pPr><w:pStyle w:val="Normal"/></w:pPr>
<w:r><w:t xml:space="preserve">battle.  Reinforced by Khalid b. al-Walid, whom Abu Bekr</w:t></w:r>
</w:p>
<w:p>
<w:pPr><w:pStyle w:val="Normal"/></w:pPr>
<w:r><w:t xml:space="preserve">sent in all haste from Irak to Syria, he defeated the imperial</w:t></w:r>
</w:p>
<w:p>
<w:pPr><w:pStyle w:val="Normal"/></w:pPr>
<w:r><w:t xml:space="preserve">troops, commanded by Theodorus, the brother of Heraclius,</w:t></w:r>
</w:p>
<w:p>
<w:pPr><w:pStyle w:val="Normal"/></w:pPr>
<w:r><w:t xml:space="preserve">not far from Ramleh in Palestine, on the 31st of July 634.</w:t></w:r>
</w:p>
<w:p>
<w:pPr><w:pStyle w:val="Normal"/></w:pPr>
<w:r><w:t xml:space="preserve">When Omar became caliph he made Khalid chief commander of</w:t></w:r>
</w:p>
<w:p>
<w:pPr><w:pStyle w:val="Normal"/></w:pPr>
<w:r><w:t xml:space="preserve">the Syrian armies, `Amr remaining in Palestine to complete</w:t></w:r>
</w:p>
<w:p>
<w:pPr><w:pStyle w:val="Normal"/></w:pPr>
<w:r><w:t xml:space="preserve">the submission of that province.  It is not certain that `Amr</w:t></w:r>
</w:p>
<w:p>
<w:pPr><w:pStyle w:val="Normal"/></w:pPr>
<w:r><w:t xml:space="preserve">assisted Khalid in the siege of Damascus, but very probable</w:t></w:r>
</w:p>
<w:p>
<w:pPr><w:pStyle w:val="Normal"/></w:pPr>
<w:r><w:t xml:space="preserve">that he took part in the decisive battle of Yarmuk, 20th of</w:t></w:r>
</w:p>
<w:p>
<w:pPr><w:pStyle w:val="Normal"/></w:pPr>
<w:r><w:t xml:space="preserve">August 636. After this battle he laid siege to Jerusalem, in</w:t></w:r>
</w:p>
<w:p>
<w:pPr><w:pStyle w:val="Normal"/></w:pPr>
<w:r><w:t xml:space="preserve">which enterprise he was seconded a year later by Abu Obeida,</w:t></w:r>
</w:p>
<w:p>
<w:pPr><w:pStyle w:val="Normal"/></w:pPr>
<w:r><w:t xml:space="preserve">then chief commander.  After the surrender of Jerusalem `Amr</w:t></w:r>
</w:p>
<w:p>
<w:pPr><w:pStyle w:val="Normal"/></w:pPr>
<w:r><w:t xml:space="preserve">began the siege of Caesarea, which, however, was brought to</w:t></w:r>
</w:p>
<w:p>
<w:pPr><w:pStyle w:val="Normal"/></w:pPr>
<w:r><w:t xml:space="preserve">a successful end in September or October 640 by Moawiya, `Amr</w:t></w:r>
</w:p>
<w:p>
<w:pPr><w:pStyle w:val="Normal"/></w:pPr>
<w:r><w:t xml:space="preserve">having obtained Omar&apos;s sanction for an expedition against</w:t></w:r>
</w:p>
<w:p>
<w:pPr><w:pStyle w:val="Normal"/></w:pPr>
<w:r><w:t xml:space="preserve">Egypt.  Towards the end of 639 he led an army of 4000 Arabs</w:t></w:r>
</w:p>
<w:p>
<w:pPr><w:pStyle w:val="Normal"/></w:pPr>
<w:r><w:t xml:space="preserve">into that country.  During his march a messenger from Omar</w:t></w:r>
</w:p>
<w:p>
<w:pPr><w:pStyle w:val="Normal"/></w:pPr>
<w:r><w:t xml:space="preserve">arrived with a letter containing directions to return if he</w:t></w:r>
</w:p>
<w:p>
<w:pPr><w:pStyle w:val="Normal"/></w:pPr>
<w:r><w:t xml:space="preserve">should have received it in Syria, but if in Egypt to advance,</w:t></w:r>
</w:p>
<w:p>
<w:pPr><w:pStyle w:val="Normal"/></w:pPr>
<w:r><w:t xml:space="preserve">in which case all needful assistance would be instantly sent to</w:t></w:r>
</w:p>
<w:p>
<w:pPr><w:pStyle w:val="Normal"/></w:pPr>
<w:r><w:t xml:space="preserve">him.  The contents of the letter were not made known to his</w:t></w:r>
</w:p>
<w:p>
<w:pPr><w:pStyle w:val="Normal"/></w:pPr>
<w:r><w:t xml:space="preserve">officers until he was assured that the army was on Egyptian</w:t></w:r>
</w:p>
<w:p>
<w:pPr><w:pStyle w:val="Normal"/></w:pPr>
<w:r><w:t xml:space="preserve">soil, so that the expedition might be continued under the</w:t></w:r>
</w:p>
<w:p>
<w:pPr><w:pStyle w:val="Normal"/></w:pPr>
<w:r><w:t xml:space="preserve">sanction of Omar&apos;s orders.  Having taken Farama (Pelusium), he</w:t></w:r>
</w:p>
<w:p>
<w:pPr><w:pStyle w:val="Normal"/></w:pPr>
<w:r><w:t xml:space="preserve">advanced to Misr, north of the ancient Memphis, and besieged</w:t></w:r>
</w:p>
<w:p>
<w:pPr><w:pStyle w:val="Normal"/></w:pPr>
<w:r><w:t xml:space="preserve">it and the strong fortress of Babylon for seven months.</w:t></w:r>
</w:p>
<w:p>
<w:pPr><w:pStyle w:val="Normal"/></w:pPr>
<w:r><w:t xml:space="preserve">Although numerous reinforcements arrived, he would have found</w:t></w:r>
</w:p>
<w:p>
<w:pPr><w:pStyle w:val="Normal"/></w:pPr>
<w:r><w:t xml:space="preserve">it very difficult to storm the place previous to the inundation</w:t></w:r>
</w:p>
<w:p>
<w:pPr><w:pStyle w:val="Normal"/></w:pPr>
<w:r><w:t xml:space="preserve">of the Nile but for treachery within the citadel; the Greeks</w:t></w:r>
</w:p>
<w:p>
<w:pPr><w:pStyle w:val="Normal"/></w:pPr>
<w:r><w:t xml:space="preserve">who remained there were either made prisoners or put to the</w:t></w:r>
</w:p>
<w:p>
<w:pPr><w:pStyle w:val="Normal"/></w:pPr>
<w:r><w:t xml:space="preserve">sword.  On the same spot `Amr built a city named Fostat (``the</w:t></w:r>
</w:p>
<w:p>
<w:pPr><w:pStyle w:val="Normal"/></w:pPr>
<w:r><w:t xml:space="preserve">encampment&apos;&apos;), the ruins of which are known by the name of Old</w:t></w:r>
</w:p>
<w:p>
<w:pPr><w:pStyle w:val="Normal"/></w:pPr>
<w:r><w:t xml:space="preserve">Cairo.  The mosque which he erected and called by his own</w:t></w:r>
</w:p>
<w:p>
<w:pPr><w:pStyle w:val="Normal"/></w:pPr>
<w:r><w:t xml:space="preserve">name is described in Asiatic Journal (1890), p. 759. `Amr</w:t></w:r>
</w:p>
<w:p>
<w:pPr><w:pStyle w:val="Normal"/></w:pPr>
<w:r><w:t xml:space="preserve">pursued the Greeks to Alexandria, but finding that it was</w:t></w:r>
</w:p>
<w:p>
<w:pPr><w:pStyle w:val="Normal"/></w:pPr>
<w:r><w:t xml:space="preserve">impossible to take the place by storm, he contented himself with</w:t></w:r>
</w:p>
<w:p>
<w:pPr><w:pStyle w:val="Normal"/></w:pPr>
<w:r><w:t xml:space="preserve">blockading it with the greater part of his army, and reducing</w:t></w:r>
</w:p>
<w:p>
<w:pPr><w:pStyle w:val="Normal"/></w:pPr>
<w:r><w:t xml:space="preserve">the Delta to submission with the rest.  At the end of twelve</w:t></w:r>
</w:p>
<w:p>
<w:pPr><w:pStyle w:val="Normal"/></w:pPr>
<w:r><w:t xml:space="preserve">months Alexandria sued for peace, and a treaty was signed on</w:t></w:r>
</w:p>
<w:p>
<w:pPr><w:pStyle w:val="Normal"/></w:pPr>
<w:r><w:t xml:space="preserve">the 8th of November 641. To `Amr acting on Omar&apos;s command has</w:t></w:r>
</w:p>
<w:p>
<w:pPr><w:pStyle w:val="Normal"/></w:pPr>
<w:r><w:t xml:space="preserve">been attributed the burning of the famous Alexandrian library.</w:t></w:r>
</w:p>
<w:p>
<w:pPr><w:pStyle w:val="Normal"/></w:pPr>
<w:r><w:t xml:space="preserve">(See LIBRARIES and ALEXANDRIA.) Not only is this act of</w:t></w:r>
</w:p>
<w:p>
<w:pPr><w:pStyle w:val="Normal"/></w:pPr>
<w:r><w:t xml:space="preserve">barbarism inconsistent with the characters of Omar and his</w:t></w:r>
</w:p>
<w:p>
<w:pPr><w:pStyle w:val="Normal"/></w:pPr>
<w:r><w:t xml:space="preserve">general, but the earliest authority for the story is Abulfaragius</w:t></w:r>
</w:p>
<w:p>
<w:pPr><w:pStyle w:val="Normal"/></w:pPr>
<w:r><w:t xml:space="preserve">(Barhebraeus), a Christian writer, who lived six centuries</w:t></w:r>
</w:p>
<w:p>
<w:pPr><w:pStyle w:val="Normal"/></w:pPr>
<w:r><w:t xml:space="preserve">later.  After the conquest of Egypt `Amr carried his conquests</w:t></w:r>
</w:p>
<w:p>
<w:pPr><w:pStyle w:val="Normal"/></w:pPr>
<w:r><w:t xml:space="preserve">eastward along the North African coast as far as Barca and even</w:t></w:r>
</w:p>
<w:p>
<w:pPr><w:pStyle w:val="Normal"/></w:pPr>
<w:r><w:t xml:space="preserve">Tripolis.  His administration of Egypt was moderate and</w:t></w:r>
</w:p>
<w:p>
<w:pPr><w:pStyle w:val="Normal"/></w:pPr>
<w:r><w:t xml:space="preserve">statesmanlike, and under his rule the produce of the Nile</w:t></w:r>
</w:p>
<w:p>
<w:pPr><w:pStyle w:val="Normal"/></w:pPr>
<w:r><w:t xml:space="preserve">Valley was a constant source of supply to the cities of</w:t></w:r>
</w:p>
<w:p>
<w:pPr><w:pStyle w:val="Normal"/></w:pPr>
<w:r><w:t xml:space="preserve">Arabia.  He even reopened a canal at least 80 m. long</w:t></w:r>
</w:p>
<w:p>
<w:pPr><w:pStyle w:val="Normal"/></w:pPr>
<w:r><w:t xml:space="preserve">from the Nile to the Red Sea with the object of renewing</w:t></w:r>
</w:p>
<w:p>
<w:pPr><w:pStyle w:val="Normal"/></w:pPr>
<w:r><w:t xml:space="preserve">communication by sea.  Removed from his office by Othman in</w:t></w:r>
</w:p>
<w:p>
<w:pPr><w:pStyle w:val="Normal"/></w:pPr>
<w:r><w:t xml:space="preserve">647, who replaced him by Ibn abi Sarh, he sided with Moawiya</w:t></w:r>
</w:p>
<w:p>
<w:pPr><w:pStyle w:val="Normal"/></w:pPr>
<w:r><w:t xml:space="preserve">in the contest for the caliphate, and was largely responsible</w:t></w:r>
</w:p>
<w:p>
<w:pPr><w:pStyle w:val="Normal"/></w:pPr>
<w:r><w:t xml:space="preserve">for the deposition of Ali (q.v.) and the establishment of</w:t></w:r>
</w:p>
<w:p>
<w:pPr><w:pStyle w:val="Normal"/></w:pPr>
<w:r><w:t xml:space="preserve">the Omayyad dynasty. (See CALIPHATE, section B.) In 658 he</w:t></w:r>
</w:p>
<w:p>
<w:pPr><w:pStyle w:val="Normal"/></w:pPr>
<w:r><w:t xml:space="preserve">reconquered Egypt in Moawiya&apos;s interest, and governed it till</w:t></w:r>
</w:p>
<w:p>
<w:pPr><w:pStyle w:val="Normal"/></w:pPr>
<w:r><w:t xml:space="preserve">his death on the 6th of January 664. In a pathetic speech</w:t></w:r>
</w:p>
<w:p>
<w:pPr><w:pStyle w:val="Normal"/></w:pPr>
<w:r><w:t xml:space="preserve">to his children on his deathbed, he bitterly lamented his</w:t></w:r>
</w:p>
<w:p>
<w:pPr><w:pStyle w:val="Normal"/></w:pPr>
<w:r><w:t xml:space="preserve">youthful offence in opposing the prophet, although Mahomet had</w:t></w:r>
</w:p>
<w:p>
<w:pPr><w:pStyle w:val="Normal"/></w:pPr>
<w:r><w:t xml:space="preserve">forgiven him and had frequently affirmed that ``there was no</w:t></w:r>
</w:p>
<w:p>
<w:pPr><w:pStyle w:val="Normal"/></w:pPr>
<w:r><w:t xml:space="preserve">Mussulman more sincere and steadfast in the faith than `Amr.&apos;&apos;</w:t></w:r>
</w:p>
<w:p>
<w:pPr><w:pStyle w:val="Normal"/></w:pPr>
<w:r><w:t xml:space="preserve">Sir W. Muir, The Caliphate (London, 1891); E. Gibbon,s</w:t></w:r>
</w:p>
<w:p>
<w:pPr><w:pStyle w:val="Normal"/></w:pPr>
<w:r><w:t xml:space="preserve">Decline and Fall; M. J. de Goeje, Memoire sur la conquete</w:t></w:r>
</w:p>
<w:p>
<w:pPr><w:pStyle w:val="Normal"/></w:pPr>
<w:r><w:t xml:space="preserve">de la Syrie (Leiden, 1900); Butler, Arab Conquest of Egypt</w:t></w:r>
</w:p>
<w:p>
<w:pPr><w:pStyle w:val="Normal"/></w:pPr>
<w:r><w:t xml:space="preserve">(Oxford, 1902); art. EGYPT, History, Mahommedan Period.</w:t></w:r>
</w:p>
<w:p>
<w:pPr><w:pStyle w:val="Normal"/></w:pPr>
<w:r><w:t xml:space="preserve">`AMR IBN KULTHUM, Arabian poet, author of one of the</w:t></w:r>
</w:p>
<w:p>
<w:pPr><w:pStyle w:val="Normal"/></w:pPr>
<w:r><w:t xml:space="preserve">Mo`allakat.  Little or nothing is known of his life save that he</w:t></w:r>
</w:p>
<w:p>
<w:pPr><w:pStyle w:val="Normal"/></w:pPr>
<w:r><w:t xml:space="preserve">was a member of the tribe of Taghlib and that he is said to have</w:t></w:r>
</w:p>
<w:p>
<w:pPr><w:pStyle w:val="Normal"/></w:pPr>
<w:r><w:t xml:space="preserve">died of excessive wine-drinking.  Some stories of him are told</w:t></w:r>
</w:p>
<w:p>
<w:pPr><w:pStyle w:val="Normal"/></w:pPr>
<w:r><w:t xml:space="preserve">in the Book of Songs (see ABULFARAJ), vol. ix. pp. 181-185.</w:t></w:r>
</w:p>
<w:p>
<w:pPr><w:pStyle w:val="Normal"/></w:pPr>
<w:r><w:t xml:space="preserve">AMRITSAR, or UMRITSAR, a city and district of British</w:t></w:r>
</w:p>
<w:p>
<w:pPr><w:pStyle w:val="Normal"/></w:pPr>
<w:r><w:t xml:space="preserve">India, in the Lahore division of the Punjab.  The city has a</w:t></w:r>
</w:p>
<w:p>
<w:pPr><w:pStyle w:val="Normal"/></w:pPr>
<w:r><w:t xml:space="preserve">station on the North Western railway 32 m.  E. of Lahore, its</w:t></w:r>
</w:p>
<w:p>
<w:pPr><w:pStyle w:val="Normal"/></w:pPr>
<w:r><w:t xml:space="preserve">position on which has greatly assisted its development.  Amritsar</w:t></w:r>
</w:p>
<w:p>
<w:pPr><w:pStyle w:val="Normal"/></w:pPr>
<w:r><w:t xml:space="preserve">is chiefly notable as the centre of the Sikh religion and the</w:t></w:r>
</w:p>
<w:p>
<w:pPr><w:pStyle w:val="Normal"/></w:pPr>
<w:r><w:t xml:space="preserve">site of the Golden Temple, the chief worshipping place of the</w:t></w:r>
</w:p>
<w:p>
<w:pPr><w:pStyle w:val="Normal"/></w:pPr>
<w:r><w:t xml:space="preserve">Sikhs.  Ram Das, the fourth guru, laid the foundations of</w:t></w:r>
</w:p>
<w:p>
<w:pPr><w:pStyle w:val="Normal"/></w:pPr>
<w:r><w:t xml:space="preserve">the city upon a site granted by the emperor Akbar.  He also</w:t></w:r>
</w:p>
<w:p>
<w:pPr><w:pStyle w:val="Normal"/></w:pPr>
<w:r><w:t xml:space="preserve">excavated the holy tank from which the town derives its name</w:t></w:r>
</w:p>
<w:p>
<w:pPr><w:pStyle w:val="Normal"/></w:pPr>
<w:r><w:t xml:space="preserve">of Amrita Turas, or Pool of Immortality.  It is upon a small</w:t></w:r>
</w:p>
<w:p>
<w:pPr><w:pStyle w:val="Normal"/></w:pPr>
<w:r><w:t xml:space="preserve">island in the middle of this tank that the Golden Temple is now</w:t></w:r>
</w:p>
<w:p>
<w:pPr><w:pStyle w:val="Normal"/></w:pPr>
<w:r><w:t xml:space="preserve">situated.  About two centuries afterwards, in the course of</w:t></w:r>
</w:p>
<w:p>
<w:pPr><w:pStyle w:val="Normal"/></w:pPr>
<w:r><w:t xml:space="preserve">the struggle between the Sikhs and the Mahommedans, Ahmad</w:t></w:r>
</w:p>
<w:p>
<w:pPr><w:pStyle w:val="Normal"/></w:pPr>
<w:r><w:t xml:space="preserve">Shah Durani routed the Sikhs at the great battle of Panipat,</w:t></w:r>
</w:p>
<w:p>
<w:pPr><w:pStyle w:val="Normal"/></w:pPr>
<w:r><w:t xml:space="preserve">and on his homeward march he destroyed the town of Amritsar,</w:t></w:r>
</w:p>
<w:p>
<w:pPr><w:pStyle w:val="Normal"/></w:pPr>
<w:r><w:t xml:space="preserve">blew up the temple with gunpowder, filled in the sacred tank</w:t></w:r>
</w:p>
<w:p>
<w:pPr><w:pStyle w:val="Normal"/></w:pPr>
<w:r><w:t xml:space="preserve">with mud, and defiled the holy place by the slaughter of</w:t></w:r>
</w:p>
<w:p>
<w:pPr><w:pStyle w:val="Normal"/></w:pPr>
<w:r><w:t xml:space="preserve">cows.  But when Ahmad Shah returned to Kabul the Sikhs rose</w:t></w:r>
</w:p>
<w:p>
<w:pPr><w:pStyle w:val="Normal"/></w:pPr>
<w:r><w:t xml:space="preserve">once more and re-established their religion.  Finally the</w:t></w:r>
</w:p>
<w:p>
<w:pPr><w:pStyle w:val="Normal"/></w:pPr>
<w:r><w:t xml:space="preserve">city and surrounding district fell under the sway of Ranjit</w:t></w:r>
</w:p>
<w:p>
<w:pPr><w:pStyle w:val="Normal"/></w:pPr>
<w:r><w:t xml:space="preserve">Singh at Lahore, and passed with the rest of the Punjab</w:t></w:r>
</w:p>
<w:p>
<w:pPr><w:pStyle w:val="Normal"/></w:pPr>
<w:r><w:t xml:space="preserve">into the possession of the British after the second Sikh</w:t></w:r>
</w:p>
<w:p>
<w:pPr><w:pStyle w:val="Normal"/></w:pPr>
<w:r><w:t xml:space="preserve">war.  The Golden Temple is so called on account of its copper</w:t></w:r>
</w:p>
<w:p>
<w:pPr><w:pStyle w:val="Normal"/></w:pPr>
<w:r><w:t xml:space="preserve">dome, covered with gold foil, which shines brilliantly</w:t></w:r>
</w:p>
<w:p>
<w:pPr><w:pStyle w:val="Normal"/></w:pPr>
<w:r><w:t xml:space="preserve">in the rays of the Indian sun, and is reflected back from</w:t></w:r>
</w:p>
<w:p>
<w:pPr><w:pStyle w:val="Normal"/></w:pPr>
<w:r><w:t xml:space="preserve">the waters of the lake; but the building as a whole is</w:t></w:r>
</w:p>
<w:p>
<w:pPr><w:pStyle w:val="Normal"/></w:pPr>
<w:r><w:t xml:space="preserve">too squat to have much architectural merit apart from its</w:t></w:r>
</w:p>
<w:p>
<w:pPr><w:pStyle w:val="Normal"/></w:pPr>
<w:r><w:t xml:space="preserve">ornamentation.  Marble terraces and balustrades surround the</w:t></w:r>
</w:p>
<w:p>
<w:pPr><w:pStyle w:val="Normal"/></w:pPr>
<w:r><w:t xml:space="preserve">tank, and a marble causeway leads across the water to the</w:t></w:r>
</w:p>
<w:p>
<w:pPr><w:pStyle w:val="Normal"/></w:pPr>
<w:r><w:t xml:space="preserve">temple, whose gilded walls, roof, dome and cupolas, with</w:t></w:r>
</w:p>
<w:p>
<w:pPr><w:pStyle w:val="Normal"/></w:pPr>
<w:r><w:t xml:space="preserve">vivid touches of red curtains, are reflected in the still</w:t></w:r>
</w:p>
<w:p>
<w:pPr><w:pStyle w:val="Normal"/></w:pPr>
<w:r><w:t xml:space="preserve">water.  The temple was considerably enriched by the spoils</w:t></w:r>
</w:p>
<w:p>
<w:pPr><w:pStyle w:val="Normal"/></w:pPr>
<w:r><w:t xml:space="preserve">taken by Ranjit Singh in his conquests.  The population of</w:t></w:r>
</w:p>
<w:p>
<w:pPr><w:pStyle w:val="Normal"/></w:pPr>
<w:r><w:t xml:space="preserve">Amritsar in 1901 was 162,429.  A Sikh college for university</w:t></w:r>
</w:p>
<w:p>
<w:pPr><w:pStyle w:val="Normal"/></w:pPr>
<w:r><w:t xml:space="preserve">education was opened in 1897.  The other public buildings</w:t></w:r>
</w:p>
<w:p>
<w:pPr><w:pStyle w:val="Normal"/></w:pPr>
<w:r><w:t xml:space="preserve">include two churches, a town hall and a hospital.  Amritsar</w:t></w:r>
</w:p>
<w:p>
<w:pPr><w:pStyle w:val="Normal"/></w:pPr>
<w:r><w:t xml:space="preserve">is famous for its carpet-weaving industry.  It was the first</w:t></w:r>
</w:p>
<w:p>
<w:pPr><w:pStyle w:val="Normal"/></w:pPr>
<w:r><w:t xml:space="preserve">mission station of the church of England in the Punjab.</w:t></w:r>
</w:p>
<w:p>
<w:pPr><w:pStyle w:val="Normal"/></w:pPr>
<w:r><w:t xml:space="preserve">The district is bounded on the N.W. by the river Ravi, on</w:t></w:r>
</w:p>
<w:p>
<w:pPr><w:pStyle w:val="Normal"/></w:pPr>
<w:r><w:t xml:space="preserve">the S.E. by the river Beas, on the N.E. by the district of</w:t></w:r>
</w:p>
<w:p>
<w:pPr><w:pStyle w:val="Normal"/></w:pPr>
<w:r><w:t xml:space="preserve">Gurdaspur, and on the S.W. by the district of Lahore.  Amritsar</w:t></w:r>
</w:p>
<w:p>
<w:pPr><w:pStyle w:val="Normal"/></w:pPr>
<w:r><w:t xml:space="preserve">district is a nearly level plain, with a very slight slope</w:t></w:r>
</w:p>
<w:p>
<w:pPr><w:pStyle w:val="Normal"/></w:pPr>
<w:r><w:t xml:space="preserve">from east to west.  The banks of the Beas are high, and on</w:t></w:r>
</w:p>
<w:p>
<w:pPr><w:pStyle w:val="Normal"/></w:pPr>
<w:r><w:t xml:space="preserve">this side of the district well-water is not found except at</w:t></w:r>
</w:p>
<w:p>
<w:pPr><w:pStyle w:val="Normal"/></w:pPr>
<w:r><w:t xml:space="preserve">50 ft. below the surface; while towards the Ravi wells are</w:t></w:r>
</w:p>
<w:p>
<w:pPr><w:pStyle w:val="Normal"/></w:pPr>
<w:r><w:t xml:space="preserve">less than 20 ft. in depth.  The only stream passing through</w:t></w:r>
</w:p>
<w:p>
<w:pPr><w:pStyle w:val="Normal"/></w:pPr>
<w:r><w:t xml:space="preserve">the district is the Kirni or Saki, which takes its rise</w:t></w:r>
</w:p>
<w:p>
<w:pPr><w:pStyle w:val="Normal"/></w:pPr>
<w:r><w:t xml:space="preserve">in a marsh in the Gurdaspur district, and after traversing</w:t></w:r>
</w:p>
<w:p>
<w:pPr><w:pStyle w:val="Heading1"/></w:pPr>
<w:r><w:t>part of the district empties itself into the Ravi.  Numerous</w:t></w:r>
</w:p>
<w:p>
<w:pPr><w:pStyle w:val="Normal"/></w:pPr>
<w:r><w:t xml:space="preserve">canals intersect the district, affording ample means of</w:t></w:r>
</w:p>
<w:p>
<w:pPr><w:pStyle w:val="Normal"/></w:pPr>
<w:r><w:t xml:space="preserve">irrigation.  The Sind, Punjab and Delhi railway (North Western)</w:t></w:r>
</w:p>
<w:p>
<w:pPr><w:pStyle w:val="Normal"/></w:pPr>
<w:r><w:t xml:space="preserve">and Grand Trunk road, which runs parallel with it, afford</w:t></w:r>
</w:p>
<w:p>
<w:pPr><w:pStyle w:val="Normal"/></w:pPr>
<w:r><w:t xml:space="preserve">the principal means of land communication and traffic.  The</w:t></w:r>
</w:p>
<w:p>
<w:pPr><w:pStyle w:val="Normal"/></w:pPr>
<w:r><w:t xml:space="preserve">area of the district is 1601 sq. m.; pop. (1901) 1,023,828,</w:t></w:r>
</w:p>
<w:p>
<w:pPr><w:pStyle w:val="Normal"/></w:pPr>
<w:r><w:t xml:space="preserve">showing an increase of 3% on the previous decade.  It is the</w:t></w:r>
</w:p>
<w:p>
<w:pPr><w:pStyle w:val="Normal"/></w:pPr>
<w:r><w:t xml:space="preserve">headquarters of the Sikh religion, containing 264,329 Sikhs as</w:t></w:r>
</w:p>
<w:p>
<w:pPr><w:pStyle w:val="Normal"/></w:pPr>
<w:r><w:t xml:space="preserve">against 280,985 Hindus and 474,976 Mahommedans.  The principal</w:t></w:r>
</w:p>
<w:p>
<w:pPr><w:pStyle w:val="Normal"/></w:pPr>
<w:r><w:t xml:space="preserve">crops are wheat, pulse, maize, millet, with some cotton and</w:t></w:r>
</w:p>
<w:p>
<w:pPr><w:pStyle w:val="Normal"/></w:pPr>
<w:r><w:t xml:space="preserve">sugar-cane.  There are factories for ginning and pressing cotton.</w:t></w:r>
</w:p>
<w:p>
<w:pPr><w:pStyle w:val="Normal"/></w:pPr>
<w:r><w:t xml:space="preserve">AMROHA, a town of British India, in the Moradabad</w:t></w:r>
</w:p>
<w:p>
<w:pPr><w:pStyle w:val="Normal"/></w:pPr>
<w:r><w:t xml:space="preserve">district of the United Provinces.  It contains the tomb</w:t></w:r>
</w:p>
<w:p>
<w:pPr><w:pStyle w:val="Normal"/></w:pPr>
<w:r><w:t xml:space="preserve">of a Mahommedan saint, Shaikh Saddu, and has been for</w:t></w:r>
</w:p>
<w:p>
<w:pPr><w:pStyle w:val="Normal"/></w:pPr>
<w:r><w:t xml:space="preserve">many centuries a Mahommedan centre.  Pop. (1901) 40,077.</w:t></w:r>
</w:p>
<w:p>
<w:pPr><w:pStyle w:val="Normal"/></w:pPr>
<w:r><w:t xml:space="preserve">AMRUM, or AMROM, a German island in the North Sea,</w:t></w:r>
</w:p>
<w:p>
<w:pPr><w:pStyle w:val="Normal"/></w:pPr>
<w:r><w:t xml:space="preserve">off the coast of Schleswig-Holstein to the south of</w:t></w:r>
</w:p>
<w:p>
<w:pPr><w:pStyle w:val="Normal"/></w:pPr>
<w:r><w:t xml:space="preserve">Sylt.  Pop. (1900) 900. It is 6 m. long and 3 m. broad, with</w:t></w:r>
</w:p>
<w:p>
<w:pPr><w:pStyle w:val="Normal"/></w:pPr>
<w:r><w:t xml:space="preserve">an area of 10 1/2 sq. m., and is reached from the mainland</w:t></w:r>
</w:p>
<w:p>
<w:pPr><w:pStyle w:val="Normal"/></w:pPr>
<w:r><w:t xml:space="preserve">by a regular steamboat service to Wittdun, a favourite</w:t></w:r>
</w:p>
<w:p>
<w:pPr><w:pStyle w:val="Normal"/></w:pPr>
<w:r><w:t xml:space="preserve">sea-bathing resort; or at low water by carriage from</w:t></w:r>
</w:p>
<w:p>
<w:pPr><w:pStyle w:val="Normal"/></w:pPr>
<w:r><w:t xml:space="preserve">Fohr.  The larger part of Amrum consists of a treeless</w:t></w:r>
</w:p>
<w:p>
<w:pPr><w:pStyle w:val="Normal"/></w:pPr>
<w:r><w:t xml:space="preserve">sandy expanse, but a fringe of rich marshes affords good</w:t></w:r>
</w:p>
<w:p>
<w:pPr><w:pStyle w:val="Normal"/></w:pPr>
<w:r><w:t xml:space="preserve">pasture-land.  The principal place is Nebel, connected by a</w:t></w:r>
</w:p>
<w:p>
<w:pPr><w:pStyle w:val="Normal"/></w:pPr>
<w:r><w:t xml:space="preserve">light railway with Wittdun. (See also FRISIAN ISLANDS.)</w:t></w:r>
</w:p>
<w:p>
<w:pPr><w:pStyle w:val="Normal"/></w:pPr>
<w:r><w:t xml:space="preserve">AMRU&apos;-UL-QAIS, or IMRU&apos;-UL QAIS, IBN HUJR, Arabian</w:t></w:r>
</w:p>
<w:p>
<w:pPr><w:pStyle w:val="Normal"/></w:pPr>
<w:r><w:t xml:space="preserve">poet of the 6th century, the author of one of the Mo`allaat</w:t></w:r>
</w:p>
<w:p>
<w:pPr><w:pStyle w:val="Normal"/></w:pPr>
<w:r><w:t xml:space="preserve">(q.v.), was regarded by Mahomet and others as the most</w:t></w:r>
</w:p>
<w:p>
<w:pPr><w:pStyle w:val="Normal"/></w:pPr>
<w:r><w:t xml:space="preserve">distinguished poet of pre-Islamic times.  He was of the kingly</w:t></w:r>
</w:p>
<w:p>
<w:pPr><w:pStyle w:val="Normal"/></w:pPr>
<w:r><w:t xml:space="preserve">family of Kinda, and his mother was of the tribe of Taghlib.</w:t></w:r>
</w:p>
<w:p>
<w:pPr><w:pStyle w:val="Normal"/></w:pPr>
<w:r><w:t xml:space="preserve">While he was still young, his father was killed by the Bani</w:t></w:r>
</w:p>
<w:p>
<w:pPr><w:pStyle w:val="Normal"/></w:pPr>
<w:r><w:t xml:space="preserve">Asad.  After this his life was devoted to the attempt to</w:t></w:r>
</w:p>
<w:p>
<w:pPr><w:pStyle w:val="Normal"/></w:pPr>
<w:r><w:t xml:space="preserve">avenge his father&apos;s death.  He wandered from tribe to tribe</w:t></w:r>
</w:p>
<w:p>
<w:pPr><w:pStyle w:val="Normal"/></w:pPr>
<w:r><w:t xml:space="preserve">to gain assistance, but his attempts were always foiled by</w:t></w:r>
</w:p>
<w:p>
<w:pPr><w:pStyle w:val="Normal"/></w:pPr>
<w:r><w:t xml:space="preserve">the persistent following of the messengers of Mundhir of Hira</w:t></w:r>
</w:p>
<w:p>
<w:pPr><w:pStyle w:val="Normal"/></w:pPr>
<w:r><w:t xml:space="preserve">(Hira).  At last he went to the Jewish Arabian prince,</w:t></w:r>
</w:p>
<w:p>
<w:pPr><w:pStyle w:val="Normal"/></w:pPr>
<w:r><w:t xml:space="preserve">Samu`al, left his daughter and treasure with him, and</w:t></w:r>
</w:p>
<w:p>
<w:pPr><w:pStyle w:val="Normal"/></w:pPr>
<w:r><w:t xml:space="preserve">by means of Harith of Ghassan procured an introduction</w:t></w:r>
</w:p>
<w:p>
<w:pPr><w:pStyle w:val="Normal"/></w:pPr>
<w:r><w:t xml:space="preserve">to the Byzantine emperor Justinian.  After a long stay</w:t></w:r>
</w:p>
<w:p>
<w:pPr><w:pStyle w:val="Normal"/></w:pPr>
<w:r><w:t xml:space="preserve">in Constantinople he was named phylarch of Palestine, and</w:t></w:r>
</w:p>
<w:p>
<w:pPr><w:pStyle w:val="Normal"/></w:pPr>
<w:r><w:t xml:space="preserve">received a body of troops from Justin II. With these he</w:t></w:r>
</w:p>
<w:p>
<w:pPr><w:pStyle w:val="Normal"/></w:pPr>
<w:r><w:t xml:space="preserve">started on his way to Arabia.  It is said that a man of Asad,</w:t></w:r>
</w:p>
<w:p>
<w:pPr><w:pStyle w:val="Normal"/></w:pPr>
<w:r><w:t xml:space="preserve">who had followed him to Constantinople, charged him before</w:t></w:r>
</w:p>
<w:p>
<w:pPr><w:pStyle w:val="Normal"/></w:pPr>
<w:r><w:t xml:space="preserve">the emperor with the seduction of a princess, and that Justin</w:t></w:r>
</w:p>
<w:p>
<w:pPr><w:pStyle w:val="Normal"/></w:pPr>
<w:r><w:t xml:space="preserve">sent him a poisoned cloak, which caused his death at Ancyra.</w:t></w:r>
</w:p>
<w:p>
<w:pPr><w:pStyle w:val="Normal"/></w:pPr>
<w:r><w:t xml:space="preserve">His poems are contained in W. Ahlwardt&apos;s The Divans of</w:t></w:r>
</w:p>
<w:p>
<w:pPr><w:pStyle w:val="Normal"/></w:pPr>
<w:r><w:t xml:space="preserve">the six ancient Arabic Poets (London, 1870), and have</w:t></w:r>
</w:p>
<w:p>
<w:pPr><w:pStyle w:val="Normal"/></w:pPr>
<w:r><w:t xml:space="preserve">been published separately in M`G. de Slane&apos;s Le Diwan</w:t></w:r>
</w:p>
<w:p>
<w:pPr><w:pStyle w:val="Normal"/></w:pPr>
<w:r><w:t xml:space="preserve">d&apos;Amro&apos;lkais (Paris, 1837); a German version with life and</w:t></w:r>
</w:p>
<w:p>
<w:pPr><w:pStyle w:val="Normal"/></w:pPr>
<w:r><w:t xml:space="preserve">notes in F. Ruckert&apos;s Amrilkais der Dichter und Konig</w:t></w:r>
</w:p>
<w:p>
<w:pPr><w:pStyle w:val="Normal"/></w:pPr>
<w:r><w:t xml:space="preserve">(Stuttgart, 1843).  Many stories of his life are told in</w:t></w:r>
</w:p>
<w:p>
<w:pPr><w:pStyle w:val="Normal"/></w:pPr>
<w:r><w:t xml:space="preserve">the Kitab ul-Aghani, vol. viii. pp. 62-77. (G. W. T.)</w:t></w:r>
</w:p>
<w:p>
<w:pPr><w:pStyle w:val="Normal"/></w:pPr>
<w:r><w:t xml:space="preserve">AMSDORF, NICOLAUS VON (1483-1565), German Protestant</w:t></w:r>
</w:p>
<w:p>
<w:pPr><w:pStyle w:val="Normal"/></w:pPr>
<w:r><w:t xml:space="preserve">reformer, was born on the 3rd of December 1483 at Torgau, on the</w:t></w:r>
</w:p>
<w:p>
<w:pPr><w:pStyle w:val="Normal"/></w:pPr>
<w:r><w:t xml:space="preserve">Elbe.  He was educated at Leipzig, and then at Wittenberg,</w:t></w:r>
</w:p>
<w:p>
<w:pPr><w:pStyle w:val="Normal"/></w:pPr>
<w:r><w:t xml:space="preserve">where he was one of the first who matriculated (1502) in</w:t></w:r>
</w:p>
<w:p>
<w:pPr><w:pStyle w:val="Normal"/></w:pPr>
<w:r><w:t xml:space="preserve">the recently founded university.  He soon obtained various</w:t></w:r>
</w:p>
<w:p>
<w:pPr><w:pStyle w:val="Normal"/></w:pPr>
<w:r><w:t xml:space="preserve">academical honours, and became professor of theology in</w:t></w:r>
</w:p>
<w:p>
<w:pPr><w:pStyle w:val="Normal"/></w:pPr>
<w:r><w:t xml:space="preserve">1511.  Like Andreas Carlstadt, he was at first a leading</w:t></w:r>
</w:p>
<w:p>
<w:pPr><w:pStyle w:val="Normal"/></w:pPr>
<w:r><w:t xml:space="preserve">exponent of the older type of scholastic theology, but</w:t></w:r>
</w:p>
<w:p>
<w:pPr><w:pStyle w:val="Normal"/></w:pPr>
<w:r><w:t xml:space="preserve">under the influence of Luther abandoned his Aristotelian</w:t></w:r>
</w:p>
<w:p>
<w:pPr><w:pStyle w:val="Normal"/></w:pPr>
<w:r><w:t xml:space="preserve">positions for a theology based on the Augustinian doctrine of</w:t></w:r>
</w:p>
<w:p>
<w:pPr><w:pStyle w:val="Normal"/></w:pPr>
<w:r><w:t xml:space="preserve">grace.  Throughout his life he remained one of Luther&apos;s most</w:t></w:r>
</w:p>
<w:p>
<w:pPr><w:pStyle w:val="Normal"/></w:pPr>
<w:r><w:t xml:space="preserve">determined supporters; was with him at the Leipzig conference</w:t></w:r>
</w:p>
<w:p>
<w:pPr><w:pStyle w:val="Normal"/></w:pPr>
<w:r><w:t xml:space="preserve">(1519), and the diet of Worms (1521); and was in the secret</w:t></w:r>
</w:p>
<w:p>
<w:pPr><w:pStyle w:val="Normal"/></w:pPr>
<w:r><w:t xml:space="preserve">of his Wartburg seclusion.  He assisted the first efforts</w:t></w:r>
</w:p>
<w:p>
<w:pPr><w:pStyle w:val="Normal"/></w:pPr>
<w:r><w:t xml:space="preserve">of the Reformation at Magdeburg (1524), at Goslar (1531)</w:t></w:r>
</w:p>
<w:p>
<w:pPr><w:pStyle w:val="Normal"/></w:pPr>
<w:r><w:t xml:space="preserve">and at Einbeck (1534); took an active part in the debates</w:t></w:r>
</w:p>
<w:p>
<w:pPr><w:pStyle w:val="Normal"/></w:pPr>
<w:r><w:t xml:space="preserve">at Schmalkalden (1537), where he defended the use of the</w:t></w:r>
</w:p>
<w:p>
<w:pPr><w:pStyle w:val="Normal"/></w:pPr>
<w:r><w:t xml:space="preserve">sacrament by the unbelieving; and (1539) spoke out strongly</w:t></w:r>
</w:p>
<w:p>
<w:pPr><w:pStyle w:val="Normal"/></w:pPr>
<w:r><w:t xml:space="preserve">against the bigamy of the landgrave of Hesse.  After the</w:t></w:r>
</w:p>
<w:p>
<w:pPr><w:pStyle w:val="Normal"/></w:pPr>
<w:r><w:t xml:space="preserve">death of the count palatine, bishop of Naumburg-Zeitz, he was</w:t></w:r>
</w:p>
<w:p>
<w:pPr><w:pStyle w:val="Normal"/></w:pPr>
<w:r><w:t xml:space="preserve">installed there (January 20, 1542), though in opposition to the</w:t></w:r>
</w:p>
<w:p>
<w:pPr><w:pStyle w:val="Heading1"/></w:pPr>
<w:r><w:t>chapter, by the elector of Saxony and Luther.  His position</w:t></w:r>
</w:p>
<w:p>
<w:pPr><w:pStyle w:val="Normal"/></w:pPr>
<w:r><w:t xml:space="preserve">was a painful one, and he longed to get back to Magdeburg,</w:t></w:r>
</w:p>
<w:p>
<w:pPr><w:pStyle w:val="Normal"/></w:pPr>
<w:r><w:t xml:space="preserve">but was persuaded by Luther to stay.  After Luther&apos;s death</w:t></w:r>
</w:p>
<w:p>
<w:pPr><w:pStyle w:val="Normal"/></w:pPr>
<w:r><w:t xml:space="preserve">(1546) and the battle of Muhlberg (1547) he had to yield to</w:t></w:r>
</w:p>
<w:p>
<w:pPr><w:pStyle w:val="Normal"/></w:pPr>
<w:r><w:t xml:space="preserve">his rival, Julius von Pflug, and retire to the protection of</w:t></w:r>
</w:p>
<w:p>
<w:pPr><w:pStyle w:val="Normal"/></w:pPr>
<w:r><w:t xml:space="preserve">the young duke of Weimar.  Here he took part in founding Jena</w:t></w:r>
</w:p>
<w:p>
<w:pPr><w:pStyle w:val="Normal"/></w:pPr>
<w:r><w:t xml:space="preserve">University (1548); opposed the ``Augsburg Interim&apos;&apos; (1548);</w:t></w:r>
</w:p>
<w:p>
<w:pPr><w:pStyle w:val="Normal"/></w:pPr>
<w:r><w:t xml:space="preserve">superintended the publication of the Jena edition of Luther&apos;s</w:t></w:r>
</w:p>
<w:p>
<w:pPr><w:pStyle w:val="Normal"/></w:pPr>
<w:r><w:t xml:space="preserve">works; and debated on the freedom of the will, original sin,</w:t></w:r>
</w:p>
<w:p>
<w:pPr><w:pStyle w:val="Normal"/></w:pPr>
<w:r><w:t xml:space="preserve">and, more noticeably, on the Christian value of good works, in</w:t></w:r>
</w:p>
<w:p>
<w:pPr><w:pStyle w:val="Normal"/></w:pPr>
<w:r><w:t xml:space="preserve">regard to which he held that they were not only useless, but</w:t></w:r>
</w:p>
<w:p>
<w:pPr><w:pStyle w:val="Normal"/></w:pPr>
<w:r><w:t xml:space="preserve">prejudicial.  He urged the separation of the High Lutheran</w:t></w:r>
</w:p>
<w:p>
<w:pPr><w:pStyle w:val="Normal"/></w:pPr>
<w:r><w:t xml:space="preserve">party from Melanchthon (1557), got the Saxon dukes to oppose</w:t></w:r>
</w:p>
<w:p>
<w:pPr><w:pStyle w:val="Normal"/></w:pPr>
<w:r><w:t xml:space="preserve">the Frankfort Recess (1558) and continued to fight for the</w:t></w:r>
</w:p>
<w:p>
<w:pPr><w:pStyle w:val="Normal"/></w:pPr>
<w:r><w:t xml:space="preserve">purity of Lutheran doctrine.  He died at Eisenach on the</w:t></w:r>
</w:p>
<w:p>
<w:pPr><w:pStyle w:val="Normal"/></w:pPr>
<w:r><w:t xml:space="preserve">14th of May 1565, and was buried in the church of St George</w:t></w:r>
</w:p>
<w:p>
<w:pPr><w:pStyle w:val="Normal"/></w:pPr>
<w:r><w:t xml:space="preserve">there, where his effigy shows a well-knit frame and sharp-cut</w:t></w:r>
</w:p>
<w:p>
<w:pPr><w:pStyle w:val="Normal"/></w:pPr>
<w:r><w:t xml:space="preserve">features.  He was a man of strong will, of great aptitude for</w:t></w:r>
</w:p>
<w:p>
<w:pPr><w:pStyle w:val="Normal"/></w:pPr>
<w:r><w:t xml:space="preserve">controversy, and considerable learning, and thus exercised</w:t></w:r>
</w:p>
<w:p>
<w:pPr><w:pStyle w:val="Normal"/></w:pPr>
<w:r><w:t xml:space="preserve">a decided influence on the Reformation.  Many letters</w:t></w:r>
</w:p>
<w:p>
<w:pPr><w:pStyle w:val="Normal"/></w:pPr>
<w:r><w:t xml:space="preserve">and other short productions of his pen are extant in MS.,</w:t></w:r>
</w:p>
<w:p>
<w:pPr><w:pStyle w:val="Normal"/></w:pPr>
<w:r><w:t xml:space="preserve">especially five thick volumes of Amsdorfiana, in the Weimar</w:t></w:r>
</w:p>
<w:p>
<w:pPr><w:pStyle w:val="Normal"/></w:pPr>
<w:r><w:t xml:space="preserve">library.  They are a valuable source for our knowledge of</w:t></w:r>
</w:p>
<w:p>
<w:pPr><w:pStyle w:val="Normal"/></w:pPr>
<w:r><w:t xml:space="preserve">Luther.  A small sect, which adopted his opinion on good works,</w:t></w:r>
</w:p>
<w:p>
<w:pPr><w:pStyle w:val="Normal"/></w:pPr>
<w:r><w:t xml:space="preserve">was called after him; but it is now of mere historical interest.</w:t></w:r>
</w:p>
<w:p>
<w:pPr><w:pStyle w:val="Normal"/></w:pPr>
<w:r><w:t xml:space="preserve">BIBLIOGRAPHY.--Life, in Th. Pressel, Leben u. ausgewahlte</w:t></w:r>
</w:p>
<w:p>
<w:pPr><w:pStyle w:val="Normal"/></w:pPr>
<w:r><w:t xml:space="preserve">Schrift. der Vater der luth.  Kirche, vol. viii.</w:t></w:r>
</w:p>
<w:p>
<w:pPr><w:pStyle w:val="Normal"/></w:pPr>
<w:r><w:t xml:space="preserve">(published separately Elberfeld, 1862, 8vo); J. Meier in</w:t></w:r>
</w:p>
<w:p>
<w:pPr><w:pStyle w:val="Normal"/></w:pPr>
<w:r><w:t xml:space="preserve">Das Leben der Altvater der luth.  Kirche, vol, iii.</w:t></w:r>
</w:p>
<w:p>
<w:pPr><w:pStyle w:val="Normal"/></w:pPr>
<w:r><w:t xml:space="preserve">ed.  M. Meurer (1863); art. by G. Kawerau in Herzog-Hauck,</w:t></w:r>
</w:p>
<w:p>
<w:pPr><w:pStyle w:val="Normal"/></w:pPr>
<w:r><w:t xml:space="preserve">Realencyk. fur prot.  Theologie (3rd ed., Leipzig, 1896).</w:t></w:r>
</w:p>
<w:p>
<w:pPr><w:pStyle w:val="Normal"/></w:pPr>
<w:r><w:t xml:space="preserve">AMSLER, SAMUEL (1791-1849), Swiss engraver, was born at</w:t></w:r>
</w:p>
<w:p>
<w:pPr><w:pStyle w:val="Normal"/></w:pPr>
<w:r><w:t xml:space="preserve">Schinznach, in the canton of Aargau.  He studied his art</w:t></w:r>
</w:p>
<w:p>
<w:pPr><w:pStyle w:val="Normal"/></w:pPr>
<w:r><w:t xml:space="preserve">under Johan Heinrich Lips (1758-1817) and Karl Ernst Hess, at</w:t></w:r>
</w:p>
<w:p>
<w:pPr><w:pStyle w:val="Normal"/></w:pPr>
<w:r><w:t xml:space="preserve">Munich, and from 1816 pursued it in Italy, and chiefly at</w:t></w:r>
</w:p>
<w:p>
<w:pPr><w:pStyle w:val="Normal"/></w:pPr>
<w:r><w:t xml:space="preserve">Rome, till in 1829 he succeeded his former master Hess as</w:t></w:r>
</w:p>
<w:p>
<w:pPr><w:pStyle w:val="Normal"/></w:pPr>
<w:r><w:t xml:space="preserve">professor of copper engraving in the Munich academy.  The works</w:t></w:r>
</w:p>
<w:p>
<w:pPr><w:pStyle w:val="Normal"/></w:pPr>
<w:r><w:t xml:space="preserve">he designed and engraved are remarkable for the grace of the</w:t></w:r>
</w:p>
<w:p>
<w:pPr><w:pStyle w:val="Normal"/></w:pPr>
<w:r><w:t xml:space="preserve">figures, and for the wonderful skill with which he retains and</w:t></w:r>
</w:p>
<w:p>
<w:pPr><w:pStyle w:val="Normal"/></w:pPr>
<w:r><w:t xml:space="preserve">expresses the characteristics of the original paintings and</w:t></w:r>
</w:p>
<w:p>
<w:pPr><w:pStyle w:val="Normal"/></w:pPr>
<w:r><w:t xml:space="preserve">statues.  He was a passionate admirer of Raphael, and had great</w:t></w:r>
</w:p>
<w:p>
<w:pPr><w:pStyle w:val="Normal"/></w:pPr>
<w:r><w:t xml:space="preserve">success in reproducing his works.  Amsler&apos;s principal engravings</w:t></w:r>
</w:p>
<w:p>
<w:pPr><w:pStyle w:val="Normal"/></w:pPr>
<w:r><w:t xml:space="preserve">are: ``The Triumphal March of Alexander the Great,&apos;&apos; and a</w:t></w:r>
</w:p>
<w:p>
<w:pPr><w:pStyle w:val="Normal"/></w:pPr>
<w:r><w:t xml:space="preserve">full-length ``Christ,&apos;&apos; after the sculptures of Thorwaldsen and</w:t></w:r>
</w:p>
<w:p>
<w:pPr><w:pStyle w:val="Normal"/></w:pPr>
<w:r><w:t xml:space="preserve">Dannecker; the ``Entombment of Christ,&apos;&apos; and two ``Madonnas&apos;&apos;</w:t></w:r>
</w:p>
<w:p>
<w:pPr><w:pStyle w:val="Normal"/></w:pPr>
<w:r><w:t xml:space="preserve">after Raphael; and the ``Union between Religion and the Arts,&apos;&apos;</w:t></w:r>
</w:p>
<w:p>
<w:pPr><w:pStyle w:val="Normal"/></w:pPr>
<w:r><w:t xml:space="preserve">after Overbeck, his last Work, on which he spent six years.</w:t></w:r>
</w:p>
<w:p>
<w:pPr><w:pStyle w:val="Normal"/></w:pPr>
<w:r><w:t xml:space="preserve">AMSTERDAM, the chief city of Holland, in the province of</w:t></w:r>
</w:p>
<w:p>
<w:pPr><w:pStyle w:val="Normal"/></w:pPr>
<w:r><w:t xml:space="preserve">North Holland, on the south side of the Y or Ij, an arm of</w:t></w:r>
</w:p>
<w:p>
<w:pPr><w:pStyle w:val="Normal"/></w:pPr>
<w:r><w:t xml:space="preserve">the Zuider Zee, in 52 deg.  22`N. and 4 deg.  53&apos; E. Pop. (1900)</w:t></w:r>
</w:p>
<w:p>
<w:pPr><w:pStyle w:val="Normal"/></w:pPr>
<w:r><w:t xml:space="preserve">523,557.  It has communication by railway and canal in every</w:t></w:r>
</w:p>
<w:p>
<w:pPr><w:pStyle w:val="Normal"/></w:pPr>
<w:r><w:t xml:space="preserve">direction; steam-tramways connect it with Edam, Purmerend,</w:t></w:r>
</w:p>
<w:p>
<w:pPr><w:pStyle w:val="Normal"/></w:pPr>
<w:r><w:t xml:space="preserve">Alkmaar and Hilversum, and electric railways with Haarlem</w:t></w:r>
</w:p>
<w:p>
<w:pPr><w:pStyle w:val="Normal"/></w:pPr>
<w:r><w:t xml:space="preserve">and the sea-side resort of Zandvoort.  Amsterdam, the ``dam</w:t></w:r>
</w:p>
<w:p>
<w:pPr><w:pStyle w:val="Normal"/></w:pPr>
<w:r><w:t xml:space="preserve">or dyke of the Amstel&apos;&apos;, is so called from the Amstel, the</w:t></w:r>
</w:p>
<w:p>
<w:pPr><w:pStyle w:val="Normal"/></w:pPr>
<w:r><w:t xml:space="preserve">canalized river which passes through the city to the Y. Towards</w:t></w:r>
</w:p>
<w:p>
<w:pPr><w:pStyle w:val="Normal"/></w:pPr>
<w:r><w:t xml:space="preserve">the land the city is surrounded by a semicircular fosse or</w:t></w:r>
</w:p>
<w:p>
<w:pPr><w:pStyle w:val="Normal"/></w:pPr>
<w:r><w:t xml:space="preserve">canal, and was at one time regularly fortified; but the</w:t></w:r>
</w:p>
<w:p>
<w:pPr><w:pStyle w:val="Normal"/></w:pPr>
<w:r><w:t xml:space="preserve">ramparts have been demolished and are replaced by fine gardens</w:t></w:r>
</w:p>
<w:p>
<w:pPr><w:pStyle w:val="Normal"/></w:pPr>
<w:r><w:t xml:space="preserve">and houses, and only one gateway, the Muiderpoort, is still</w:t></w:r>
</w:p>
<w:p>
<w:pPr><w:pStyle w:val="Normal"/></w:pPr>
<w:r><w:t xml:space="preserve">standing.  Within the city are four similar canals (grachten)</w:t></w:r>
</w:p>
<w:p>
<w:pPr><w:pStyle w:val="Normal"/></w:pPr>
<w:r><w:t xml:space="preserve">with their ends resting on the Y, extending in the form of</w:t></w:r>
</w:p>
<w:p>
<w:pPr><w:pStyle w:val="Normal"/></w:pPr>
<w:r><w:t xml:space="preserve">polygonal crescents nearly parallel to each other and to the</w:t></w:r>
</w:p>
<w:p>
<w:pPr><w:pStyle w:val="Normal"/></w:pPr>
<w:r><w:t xml:space="preserve">outer canal.  Each of these canals marks the line of the city</w:t></w:r>
</w:p>
<w:p>
<w:pPr><w:pStyle w:val="Normal"/></w:pPr>
<w:r><w:t xml:space="preserve">walls and moat at different periods.  Lesser canals intersect</w:t></w:r>
</w:p>
<w:p>
<w:pPr><w:pStyle w:val="Normal"/></w:pPr>
<w:r><w:t xml:space="preserve">the others radially, thus virtually dividing the city into a</w:t></w:r>
</w:p>
<w:p>
<w:pPr><w:pStyle w:val="Normal"/></w:pPr>
<w:r><w:t xml:space="preserve">number of islands; whence it has been compared with Venice.</w:t></w:r>
</w:p>
<w:p>
<w:pPr><w:pStyle w:val="Normal"/></w:pPr>
<w:r><w:t xml:space="preserve">The nucleus of the town lies within the innermost crescent</w:t></w:r>
</w:p>
<w:p>
<w:pPr><w:pStyle w:val="Normal"/></w:pPr>
<w:r><w:t xml:space="preserve">canal, and, with the large square, the Dam, in the centre,</w:t></w:r>
</w:p>
<w:p>
<w:pPr><w:pStyle w:val="Normal"/></w:pPr>
<w:r><w:t xml:space="preserve">represents the area of Amsterdam about the middle of the 14th</w:t></w:r>
</w:p>
<w:p>
<w:pPr><w:pStyle w:val="Normal"/></w:pPr>
<w:r><w:t xml:space="preserve">century.  At one extremity of the enclosing canal is the</w:t></w:r>
</w:p>
<w:p>
<w:pPr><w:pStyle w:val="Normal"/></w:pPr>
<w:r><w:t xml:space="preserve">Schreijerstoren (1482) or ``Weepers&apos; Tower,&apos;&apos; so called on</w:t></w:r>
</w:p>
<w:p>
<w:pPr><w:pStyle w:val="Normal"/></w:pPr>
<w:r><w:t xml:space="preserve">account of its being at the head of the ancient harbour,</w:t></w:r>
</w:p>
<w:p>
<w:pPr><w:pStyle w:val="Normal"/></w:pPr>
<w:r><w:t xml:space="preserve">and the scene in former days of sorrowful leave-takings.</w:t></w:r>
</w:p>
<w:p>
<w:pPr><w:pStyle w:val="Normal"/></w:pPr>
<w:r><w:t xml:space="preserve">Between this and the next crescent of the Heeren Gracht sprang</w:t></w:r>
</w:p>
<w:p>
<w:pPr><w:pStyle w:val="Normal"/></w:pPr>
<w:r><w:t xml:space="preserve">up, on the east, the labyrinthine quarter where for more</w:t></w:r>
</w:p>
<w:p>
<w:pPr><w:pStyle w:val="Normal"/></w:pPr>
<w:r><w:t xml:space="preserve">than three centuries the large Jewish population has been</w:t></w:r>
</w:p>
<w:p>
<w:pPr><w:pStyle w:val="Normal"/></w:pPr>
<w:r><w:t xml:space="preserve">located, and in the middle of which the painter Rembrandt</w:t></w:r>
</w:p>
<w:p>
<w:pPr><w:pStyle w:val="Normal"/></w:pPr>
<w:r><w:t xml:space="preserve">lived (1640-1656) and the philosopher Spinoza was born</w:t></w:r>
</w:p>
<w:p>
<w:pPr><w:pStyle w:val="Normal"/></w:pPr>
<w:r><w:t xml:space="preserve">(1632).  Beyond the Heeren Gracht lie the Keizers Gracht and</w:t></w:r>
</w:p>
<w:p>
<w:pPr><w:pStyle w:val="Normal"/></w:pPr>
<w:r><w:t xml:space="preserve">the Prinsen Gracht respectively, and these three celebrated</w:t></w:r>
</w:p>
<w:p>
<w:pPr><w:pStyle w:val="Normal"/></w:pPr>
<w:r><w:t xml:space="preserve">canals, with their tree-bordered quays and plain but stately</w:t></w:r>
</w:p>
<w:p>
<w:pPr><w:pStyle w:val="Normal"/></w:pPr>
<w:r><w:t xml:space="preserve">old-fashioned houses, form the principal thoroughfares of the</w:t></w:r>
</w:p>
<w:p>
<w:pPr><w:pStyle w:val="Normal"/></w:pPr>
<w:r><w:t xml:space="preserve">city.  West of the Prinsen Gracht lies the region called</w:t></w:r>
</w:p>
<w:p>
<w:pPr><w:pStyle w:val="Normal"/></w:pPr>
<w:r><w:t xml:space="preserve">De Jordaan, a corruption of Le Jardin, the name which it</w:t></w:r>
</w:p>
<w:p>
<w:pPr><w:pStyle w:val="Normal"/></w:pPr>
<w:r><w:t xml:space="preserve">acquired from the fact of its streets being called after</w:t></w:r>
</w:p>
<w:p>
<w:pPr><w:pStyle w:val="Normal"/></w:pPr>
<w:r><w:t xml:space="preserve">various flowers.  It was formed by the settlement of</w:t></w:r>
</w:p>
<w:p>
<w:pPr><w:pStyle w:val="Normal"/></w:pPr>
<w:r><w:t xml:space="preserve">French refugees here after the revocation of the edict of</w:t></w:r>
</w:p>
<w:p>
<w:pPr><w:pStyle w:val="Normal"/></w:pPr>
<w:r><w:t xml:space="preserve">Nantes.  The outermost crescent canal is called the Singel</w:t></w:r>
</w:p>
<w:p>
<w:pPr><w:pStyle w:val="Normal"/></w:pPr>
<w:r><w:t xml:space="preserve">Gracht (girdle canal), and marks the boundary of the city</w:t></w:r>
</w:p>
<w:p>
<w:pPr><w:pStyle w:val="Normal"/></w:pPr>
<w:r><w:t xml:space="preserve">at the end of the 17th century.  The streets in the oldest</w:t></w:r>
</w:p>
<w:p>
<w:pPr><w:pStyle w:val="Heading1"/></w:pPr>
<w:r><w:t>part of Amsterdam are often narrow and irregular, and the</w:t></w:r>
</w:p>
<w:p>
<w:pPr><w:pStyle w:val="Normal"/></w:pPr>
<w:r><w:t xml:space="preserve">sky-line is picturesquely broken by fantastic gables, roofs and</w:t></w:r>
</w:p>
<w:p>
<w:pPr><w:pStyle w:val="Normal"/></w:pPr>
<w:r><w:t xml:space="preserve">towers.  The site of the city being originally a peat bog,</w:t></w:r>
</w:p>
<w:p>
<w:pPr><w:pStyle w:val="Normal"/></w:pPr>
<w:r><w:t xml:space="preserve">the foundations of the houses have to be secured by driving</w:t></w:r>
</w:p>
<w:p>
<w:pPr><w:pStyle w:val="Normal"/></w:pPr>
<w:r><w:t xml:space="preserve">long piles (4-20 yds.) into the firm clay below, the palace</w:t></w:r>
</w:p>
<w:p>
<w:pPr><w:pStyle w:val="Normal"/></w:pPr>
<w:r><w:t xml:space="preserve">on the Dam being supported on nearly 14,000 piles.  As late</w:t></w:r>
</w:p>
<w:p>
<w:pPr><w:pStyle w:val="Normal"/></w:pPr>
<w:r><w:t xml:space="preserve">as 1822, however, an overladen corn magazine sank into the</w:t></w:r>
</w:p>
<w:p>
<w:pPr><w:pStyle w:val="Normal"/></w:pPr>
<w:r><w:t xml:space="preserve">mud.  Modern Amsterdam extends southward beyond the Singel</w:t></w:r>
</w:p>
<w:p>
<w:pPr><w:pStyle w:val="Normal"/></w:pPr>
<w:r><w:t xml:space="preserve">Gracht, and here the houses are often very handsome, while</w:t></w:r>
</w:p>
<w:p>
<w:pPr><w:pStyle w:val="Normal"/></w:pPr>
<w:r><w:t xml:space="preserve">the broad streets are planted with rows of large trees.  In</w:t></w:r>
</w:p>
<w:p>
<w:pPr><w:pStyle w:val="Normal"/></w:pPr>
<w:r><w:t xml:space="preserve">the middle of this new region lies the Vondel Park, named</w:t></w:r>
</w:p>
<w:p>
<w:pPr><w:pStyle w:val="Normal"/></w:pPr>
<w:r><w:t xml:space="preserve">after the great national poet Joost van den Vondel (d. 1679),</w:t></w:r>
</w:p>
<w:p>
<w:pPr><w:pStyle w:val="Normal"/></w:pPr>
<w:r><w:t xml:space="preserve">whose statue stands in the park.  The Willems Park adjoining</w:t></w:r>
</w:p>
<w:p>
<w:pPr><w:pStyle w:val="Normal"/></w:pPr>
<w:r><w:t xml:space="preserve">was added in later times.  In the older part of the town the</w:t></w:r>
</w:p>
<w:p>
<w:pPr><w:pStyle w:val="Normal"/></w:pPr>
<w:r><w:t xml:space="preserve">chief open space is the Zoological Gardens in the north-eastern</w:t></w:r>
</w:p>
<w:p>
<w:pPr><w:pStyle w:val="Normal"/></w:pPr>
<w:r><w:t xml:space="preserve">corner.  They belong to a private society called Natura</w:t></w:r>
</w:p>
<w:p>
<w:pPr><w:pStyle w:val="Normal"/></w:pPr>
<w:r><w:t xml:space="preserve">Artis Magistra, and came into existence in 1838.  They</w:t></w:r>
</w:p>
<w:p>
<w:pPr><w:pStyle w:val="Normal"/></w:pPr>
<w:r><w:t xml:space="preserve">have, however, been much enlarged since then, and bear a high</w:t></w:r>
</w:p>
<w:p>
<w:pPr><w:pStyle w:val="Normal"/></w:pPr>
<w:r><w:t xml:space="preserve">reputation.  In connexion with the gardens there are an aquarium</w:t></w:r>
</w:p>
<w:p>
<w:pPr><w:pStyle w:val="Normal"/></w:pPr>
<w:r><w:t xml:space="preserve">(1882), a library, and an ethnographical and natural history</w:t></w:r>
</w:p>
<w:p>
<w:pPr><w:pStyle w:val="Normal"/></w:pPr>
<w:r><w:t xml:space="preserve">museum.  Concerts are given here in summer as well as in</w:t></w:r>
</w:p>
<w:p>
<w:pPr><w:pStyle w:val="Normal"/></w:pPr>
<w:r><w:t xml:space="preserve">the Vondel Park.  Close to the Zoological Gardens are the</w:t></w:r>
</w:p>
<w:p>
<w:pPr><w:pStyle w:val="Normal"/></w:pPr>
<w:r><w:t xml:space="preserve">Botanical Gardens, and a small park, also the property of</w:t></w:r>
</w:p>
<w:p>
<w:pPr><w:pStyle w:val="Normal"/></w:pPr>
<w:r><w:t xml:space="preserve">a private society, in which there is a variety theatre.</w:t></w:r>
</w:p>
<w:p>
<w:pPr><w:pStyle w:val="Normal"/></w:pPr>
<w:r><w:t xml:space="preserve">The public squares of the city include the Sophiaplein,</w:t></w:r>
</w:p>
<w:p>
<w:pPr><w:pStyle w:val="Normal"/></w:pPr>
<w:r><w:t xml:space="preserve">with the picturesque old mint-tower; the Rembrandtplein,</w:t></w:r>
</w:p>
<w:p>
<w:pPr><w:pStyle w:val="Normal"/></w:pPr>
<w:r><w:t xml:space="preserve">with a monument (1852) to the painter by Lodswyk Royer;</w:t></w:r>
</w:p>
<w:p>
<w:pPr><w:pStyle w:val="Normal"/></w:pPr>
<w:r><w:t xml:space="preserve">the Thorbeckeplein, with a monument to the statesman, J.</w:t></w:r>
</w:p>
<w:p>
<w:pPr><w:pStyle w:val="Normal"/></w:pPr>
<w:r><w:t xml:space="preserve">R. Thorbecke (1798-1872), and the Leidscheplein, with the</w:t></w:r>
</w:p>
<w:p>
<w:pPr><w:pStyle w:val="Normal"/></w:pPr>
<w:r><w:t xml:space="preserve">large town theatre, rebuilt in 1890-1894 after a fire.</w:t></w:r>
</w:p>
<w:p>
<w:pPr><w:pStyle w:val="Normal"/></w:pPr>
<w:r><w:t xml:space="preserve">Buildings and Institutions.--The Dam is the vital centre of</w:t></w:r>
</w:p>
<w:p>
<w:pPr><w:pStyle w:val="Normal"/></w:pPr>
<w:r><w:t xml:space="preserve">Amsterdam.  All the tramways meet here, and some of the busiest</w:t></w:r>
</w:p>
<w:p>
<w:pPr><w:pStyle w:val="Normal"/></w:pPr>
<w:r><w:t xml:space="preserve">streets, and here too are situated the Nieuwe Kerk and the</w:t></w:r>
</w:p>
<w:p>
<w:pPr><w:pStyle w:val="Normal"/></w:pPr>
<w:r><w:t xml:space="preserve">palace.  In the middle of the Dam stands a monument to</w:t></w:r>
</w:p>
<w:p>
<w:pPr><w:pStyle w:val="Normal"/></w:pPr>
<w:r><w:t xml:space="preserve">those who fell in the Belgian revolution of 1830-1831, and</w:t></w:r>
</w:p>
<w:p>
<w:pPr><w:pStyle w:val="Normal"/></w:pPr>
<w:r><w:t xml:space="preserve">called the Metal Cross after the war medals struck at that</w:t></w:r>
</w:p>
<w:p>
<w:pPr><w:pStyle w:val="Normal"/></w:pPr>
<w:r><w:t xml:space="preserve">time.  The palace is an imposing building in the classical</w:t></w:r>
</w:p>
<w:p>
<w:pPr><w:pStyle w:val="Normal"/></w:pPr>
<w:r><w:t xml:space="preserve">style, originally built as a town-hall in 1648-1655 by the</w:t></w:r>
</w:p>
<w:p>
<w:pPr><w:pStyle w:val="Normal"/></w:pPr>
<w:r><w:t xml:space="preserve">architect Jacob van Kempen.  It was first given up to royalty</w:t></w:r>
</w:p>
<w:p>
<w:pPr><w:pStyle w:val="Normal"/></w:pPr>
<w:r><w:t xml:space="preserve">on the occasion of the visit of the Stadtholder William V.</w:t></w:r>
</w:p>
<w:p>
<w:pPr><w:pStyle w:val="Normal"/></w:pPr>
<w:r><w:t xml:space="preserve">in 1768, and forty years later was appropriated as a royal</w:t></w:r>
</w:p>
<w:p>
<w:pPr><w:pStyle w:val="Normal"/></w:pPr>
<w:r><w:t xml:space="preserve">palace by Louis Bonaparte, king of Holland.  But King William</w:t></w:r>
</w:p>
<w:p>
<w:pPr><w:pStyle w:val="Heading1"/></w:pPr>
<w:r><w:t>I. afterwards formally returned the palace to the city, and</w:t></w:r>
</w:p>
<w:p>
<w:pPr><w:pStyle w:val="Normal"/></w:pPr>
<w:r><w:t xml:space="preserve">the sovereign is therefore actually the city&apos;s guest when</w:t></w:r>
</w:p>
<w:p>
<w:pPr><w:pStyle w:val="Normal"/></w:pPr>
<w:r><w:t xml:space="preserve">residing in it.  Beautifully decorated on the exterior with</w:t></w:r>
</w:p>
<w:p>
<w:pPr><w:pStyle w:val="Normal"/></w:pPr>
<w:r><w:t xml:space="preserve">gable reliefs by Artus Quellinus (1609-1668) of Antwerp, its</w:t></w:r>
</w:p>
<w:p>
<w:pPr><w:pStyle w:val="Normal"/></w:pPr>
<w:r><w:t xml:space="preserve">great external defect is the absence of a grand entrance.</w:t></w:r>
</w:p>
<w:p>
<w:pPr><w:pStyle w:val="Normal"/></w:pPr>
<w:r><w:t xml:space="preserve">The architectural and ornamental sculpture of the interior</w:t></w:r>
</w:p>
<w:p>
<w:pPr><w:pStyle w:val="Normal"/></w:pPr>
<w:r><w:t xml:space="preserve">is mostly by the same artist, and there are a few interesting</w:t></w:r>
</w:p>
<w:p>
<w:pPr><w:pStyle w:val="Normal"/></w:pPr>
<w:r><w:t xml:space="preserve">pictures, as well as some realistic wall paintings by the</w:t></w:r>
</w:p>
<w:p>
<w:pPr><w:pStyle w:val="Normal"/></w:pPr>
<w:r><w:t xml:space="preserve">18th century artist Jacob de Wit similar to those in the</w:t></w:r>
</w:p>
<w:p>
<w:pPr><w:pStyle w:val="Normal"/></w:pPr>
<w:r><w:t xml:space="preserve">Huis ten Bosch near the Hague.  The great hall is one of the</w:t></w:r>
</w:p>
<w:p>
<w:pPr><w:pStyle w:val="Normal"/></w:pPr>
<w:r><w:t xml:space="preserve">most splendid of its kind in Europe.  Like most of the lesser</w:t></w:r>
</w:p>
<w:p>
<w:pPr><w:pStyle w:val="Normal"/></w:pPr>
<w:r><w:t xml:space="preserve">apartments, it is lined with white Italian marble, and in</w:t></w:r>
</w:p>
<w:p>
<w:pPr><w:pStyle w:val="Normal"/></w:pPr>
<w:r><w:t xml:space="preserve">spite of its enormous dimensions the roof is unsupported by</w:t></w:r>
</w:p>
<w:p>
<w:pPr><w:pStyle w:val="Normal"/></w:pPr>
<w:r><w:t xml:space="preserve">pillars.  Ancient flags captured in war decorate the walls,</w:t></w:r>
</w:p>
<w:p>
<w:pPr><w:pStyle w:val="Normal"/></w:pPr>
<w:r><w:t xml:space="preserve">and in the middle of the marble floor is a representation</w:t></w:r>
</w:p>
<w:p>
<w:pPr><w:pStyle w:val="Normal"/></w:pPr>
<w:r><w:t xml:space="preserve">of the firmament inlaid in copper.  The Nieuwe Kerk (St</w:t></w:r>
</w:p>
<w:p>
<w:pPr><w:pStyle w:val="Normal"/></w:pPr>
<w:r><w:t xml:space="preserve">Catherine&apos;s), in which the sovereigns of Holland are crowned,</w:t></w:r>
</w:p>
<w:p>
<w:pPr><w:pStyle w:val="Normal"/></w:pPr>
<w:r><w:t xml:space="preserve">is a fine Gothic building dating from 1408.  Internally it</w:t></w:r>
</w:p>
<w:p>
<w:pPr><w:pStyle w:val="Normal"/></w:pPr>
<w:r><w:t xml:space="preserve">is remarkable for its remains of ancient stained glass, fine</w:t></w:r>
</w:p>
<w:p>
<w:pPr><w:pStyle w:val="Normal"/></w:pPr>
<w:r><w:t xml:space="preserve">carvings and interesting monuments, including one to the famous</w:t></w:r>
</w:p>
<w:p>
<w:pPr><w:pStyle w:val="Normal"/></w:pPr>
<w:r><w:t xml:space="preserve">Admiral de Ruyter (d. 1676).  A large stained-glass window</w:t></w:r>
</w:p>
<w:p>
<w:pPr><w:pStyle w:val="Normal"/></w:pPr>
<w:r><w:t xml:space="preserve">commemorates the taking of the oath by Queen Wilhelmina in</w:t></w:r>
</w:p>
<w:p>
<w:pPr><w:pStyle w:val="Normal"/></w:pPr>
<w:r><w:t xml:space="preserve">1898.  The new exchange (1901) is a striking building in red</w:t></w:r>
</w:p>
<w:p>
<w:pPr><w:pStyle w:val="Normal"/></w:pPr>
<w:r><w:t xml:space="preserve">brick and stone, and lies a short distance away between the</w:t></w:r>
</w:p>
<w:p>
<w:pPr><w:pStyle w:val="Normal"/></w:pPr>
<w:r><w:t xml:space="preserve">Dam and the fine central station (1889).  The Oude Kerk (St</w:t></w:r>
</w:p>
<w:p>
<w:pPr><w:pStyle w:val="Normal"/></w:pPr>
<w:r><w:t xml:space="preserve">Nicholaas), so called, was built about the year 1300, and</w:t></w:r>
</w:p>
<w:p>
<w:pPr><w:pStyle w:val="Normal"/></w:pPr>
<w:r><w:t xml:space="preserve">contains some beautiful stained glass of the 16th and 17th</w:t></w:r>
</w:p>
<w:p>
<w:pPr><w:pStyle w:val="Normal"/></w:pPr>
<w:r><w:t xml:space="preserve">centuries, by Pieter Aertsen of Amsterdam (1508-1575) and</w:t></w:r>
</w:p>
<w:p>
<w:pPr><w:pStyle w:val="Normal"/></w:pPr>
<w:r><w:t xml:space="preserve">others.  One window contains the arms of the burgomasters of</w:t></w:r>
</w:p>
<w:p>
<w:pPr><w:pStyle w:val="Normal"/></w:pPr>
<w:r><w:t xml:space="preserve">Amsterdam from 1578 to 1767.  Among the monuments are those</w:t></w:r>
</w:p>
<w:p>
<w:pPr><w:pStyle w:val="Normal"/></w:pPr>
<w:r><w:t xml:space="preserve">to various naval heroes, including Admirals van Heemskerk (d.</w:t></w:r>
</w:p>
<w:p>
<w:pPr><w:pStyle w:val="Normal"/></w:pPr>
<w:r><w:t xml:space="preserve">1607), Sweers (d. 1673) and van der Hulst (d. 1666).  The</w:t></w:r>
</w:p>
<w:p>
<w:pPr><w:pStyle w:val="Normal"/></w:pPr>
<w:r><w:t xml:space="preserve">North Church was the last work of the architect Hendrik de</w:t></w:r>
</w:p>
<w:p>
<w:pPr><w:pStyle w:val="Normal"/></w:pPr>
<w:r><w:t xml:space="preserve">Keyser (1565-1621) of Utrecht.  The Roman Catholic church of</w:t></w:r>
</w:p>
<w:p>
<w:pPr><w:pStyle w:val="Normal"/></w:pPr>
<w:r><w:t xml:space="preserve">St Nicholaas (1886) was built to replace the accommodation</w:t></w:r>
</w:p>
<w:p>
<w:pPr><w:pStyle w:val="Normal"/></w:pPr>
<w:r><w:t xml:space="preserve">previously afforded by a common dwelling-house, now the Museum</w:t></w:r>
</w:p>
<w:p>
<w:pPr><w:pStyle w:val="Normal"/></w:pPr>
<w:r><w:t xml:space="preserve">Amstelkring of ecclesiastical antiquities.  Among the numerous</w:t></w:r>
</w:p>
<w:p>
<w:pPr><w:pStyle w:val="Normal"/></w:pPr>
<w:r><w:t xml:space="preserve">Jewish synagogues, the largest is that of the Portuguese Jews</w:t></w:r>
</w:p>
<w:p>
<w:pPr><w:pStyle w:val="Normal"/></w:pPr>
<w:r><w:t xml:space="preserve">(1670), which is said to be an imitation of the temple of</w:t></w:r>
</w:p>
<w:p>
<w:pPr><w:pStyle w:val="Normal"/></w:pPr>
<w:r><w:t xml:space="preserve">Solomon.  Other buildings of interest are the St Antonieswaag,</w:t></w:r>
</w:p>
<w:p>
<w:pPr><w:pStyle w:val="Normal"/></w:pPr>
<w:r><w:t xml:space="preserve">built as a town gate in 1488-1585, and now containing the</w:t></w:r>
</w:p>
<w:p>
<w:pPr><w:pStyle w:val="Normal"/></w:pPr>
<w:r><w:t xml:space="preserve">city archives; the Trippenhuis, built as a private house in</w:t></w:r>
</w:p>
<w:p>
<w:pPr><w:pStyle w:val="Normal"/></w:pPr>
<w:r><w:t xml:space="preserve">1662, and now the home of the Royal Society of Science, Letters</w:t></w:r>
</w:p>
<w:p>
<w:pPr><w:pStyle w:val="Normal"/></w:pPr>
<w:r><w:t xml:space="preserve">and Fine Arts; the Netherlands Bank (1865-1869), built by the</w:t></w:r>
</w:p>
<w:p>
<w:pPr><w:pStyle w:val="Normal"/></w:pPr>
<w:r><w:t xml:space="preserve">architect W. A. Froger; the new building (1860) of the Seamen&apos;s</w:t></w:r>
</w:p>
<w:p>
<w:pPr><w:pStyle w:val="Normal"/></w:pPr>
<w:r><w:t xml:space="preserve">Institute, founded in 1785; the cellular prison; and the</w:t></w:r>
</w:p>
<w:p>
<w:pPr><w:pStyle w:val="Normal"/></w:pPr>
<w:r><w:t xml:space="preserve">so-called Paleis van Volksvlijt, an immense building of iron</w:t></w:r>
</w:p>
<w:p>
<w:pPr><w:pStyle w:val="Normal"/></w:pPr>
<w:r><w:t xml:space="preserve">and glass with a fine garden, built by Dr Samuel Sarphati, and</w:t></w:r>
</w:p>
<w:p>
<w:pPr><w:pStyle w:val="Normal"/></w:pPr>
<w:r><w:t xml:space="preserve">used for industrial exhibitions, the performance of operas,</w:t></w:r>
</w:p>
<w:p>
<w:pPr><w:pStyle w:val="Normal"/></w:pPr>
<w:r><w:t xml:space="preserve">&amp;c. The museums and picture galleries of Amsterdam are of great</w:t></w:r>
</w:p>
<w:p>
<w:pPr><w:pStyle w:val="Normal"/></w:pPr>
<w:r><w:t xml:space="preserve">interest.  The Ryks Museum, or state museum, is the first in</w:t></w:r>
</w:p>
<w:p>
<w:pPr><w:pStyle w:val="Normal"/></w:pPr>
<w:r><w:t xml:space="preserve">Holland.  It is a large, handsome and finely situated building</w:t></w:r>
</w:p>
<w:p>
<w:pPr><w:pStyle w:val="Normal"/></w:pPr>
<w:r><w:t xml:space="preserve">designed by Dr P. J. H. Cuyper in the Dutch Renaissance style,</w:t></w:r>
</w:p>
<w:p>
<w:pPr><w:pStyle w:val="Normal"/></w:pPr>
<w:r><w:t xml:space="preserve">and erected in 1876-1885.  The exterior is decorated with</w:t></w:r>
</w:p>
<w:p>
<w:pPr><w:pStyle w:val="Normal"/></w:pPr>
<w:r><w:t xml:space="preserve">sculptures and tile-work, and internally it is divided, broadly</w:t></w:r>
</w:p>
<w:p>
<w:pPr><w:pStyle w:val="Normal"/></w:pPr>
<w:r><w:t xml:space="preserve">speaking, into a museum of general antiquities below, and the</w:t></w:r>
</w:p>
<w:p>
<w:pPr><w:pStyle w:val="Normal"/></w:pPr>
<w:r><w:t xml:space="preserve">large gallery of pictures of the Dutch and Flemish schools</w:t></w:r>
</w:p>
<w:p>
<w:pPr><w:pStyle w:val="Normal"/></w:pPr>
<w:r><w:t xml:space="preserve">above.  The nucleus of this unsurpassed national collection</w:t></w:r>
</w:p>
<w:p>
<w:pPr><w:pStyle w:val="Normal"/></w:pPr>
<w:r><w:t xml:space="preserve">of pictures was formed out of the collections removed</w:t></w:r>
</w:p>
<w:p>
<w:pPr><w:pStyle w:val="Normal"/></w:pPr>
<w:r><w:t xml:space="preserve">hither from the Pavilion at Haarlem, consisting of modern</w:t></w:r>
</w:p>
<w:p>
<w:pPr><w:pStyle w:val="Normal"/></w:pPr>
<w:r><w:t xml:space="preserve">paintings, and from the town-hall, the van der Hoop Museum</w:t></w:r>
</w:p>
<w:p>
<w:pPr><w:pStyle w:val="Normal"/></w:pPr>
<w:r><w:t xml:space="preserve">and the Trippenhuis in Amsterdam.  The important van der Hoop</w:t></w:r>
</w:p>
<w:p>
<w:pPr><w:pStyle w:val="Normal"/></w:pPr>
<w:r><w:t xml:space="preserve">collection arose out of bequests by Adrian van der Hoop and</w:t></w:r>
</w:p>
<w:p>
<w:pPr><w:pStyle w:val="Normal"/></w:pPr>
<w:r><w:t xml:space="preserve">his widow in 1854 and 1880; but the most famous pictures in</w:t></w:r>
</w:p>
<w:p>
<w:pPr><w:pStyle w:val="Normal"/></w:pPr>
<w:r><w:t xml:space="preserve">the Ryks Museum are perhaps the three which come from the</w:t></w:r>
</w:p>
<w:p>
<w:pPr><w:pStyle w:val="Normal"/></w:pPr>
<w:r><w:t xml:space="preserve">Trippenhuis, namely, the so-called ``Nightwatch&apos;&apos; and the</w:t></w:r>
</w:p>
<w:p>
<w:pPr><w:pStyle w:val="Normal"/></w:pPr>
<w:r><w:t xml:space="preserve">``Syndics of the Cloth Hall&apos;&apos; by Rembrandt, andlthe ``Banquet</w:t></w:r>
</w:p>
<w:p>
<w:pPr><w:pStyle w:val="Normal"/></w:pPr>
<w:r><w:t xml:space="preserve">of the Civic Guard,&apos;&apos; by van der Helst.  The Trippenhuis gallery</w:t></w:r>
</w:p>
<w:p>
<w:pPr><w:pStyle w:val="Normal"/></w:pPr>
<w:r><w:t xml:space="preserve">consisted of the pictures brought from the Hague by Louis</w:t></w:r>
</w:p>
<w:p>
<w:pPr><w:pStyle w:val="Normal"/></w:pPr>
<w:r><w:t xml:space="preserve">Bonaparte, king of Holland, and belonging to the collection</w:t></w:r>
</w:p>
<w:p>
<w:pPr><w:pStyle w:val="Normal"/></w:pPr>
<w:r><w:t xml:space="preserve">of the Orange family dispersed during the Napoleonic period.</w:t></w:r>
</w:p>
<w:p>
<w:pPr><w:pStyle w:val="Normal"/></w:pPr>
<w:r><w:t xml:space="preserve">The municipal museum contains a collection of furniture,</w:t></w:r>
</w:p>
<w:p>
<w:pPr><w:pStyle w:val="Normal"/></w:pPr>
<w:r><w:t xml:space="preserve">paintings, &amp;c., bequeathed by Sophia Lopez-Suasso (1890), a</w:t></w:r>
</w:p>
<w:p>
<w:pPr><w:pStyle w:val="Normal"/></w:pPr>
<w:r><w:t xml:space="preserve">medico-pharmaceutical collection, and the National Guard Museum.</w:t></w:r>
</w:p>
<w:p>
<w:pPr><w:pStyle w:val="Normal"/></w:pPr>
<w:r><w:t xml:space="preserve">The Joseph Fodor Museum (1860) contains modern French and Dutch</w:t></w:r>
</w:p>
<w:p>
<w:pPr><w:pStyle w:val="Normal"/></w:pPr>
<w:r><w:t xml:space="preserve">pictures.  The private collection founded by Burgomaster</w:t></w:r>
</w:p>
<w:p>
<w:pPr><w:pStyle w:val="Normal"/></w:pPr>
<w:r><w:t xml:space="preserve">Jan Six (d. 1702), the friend and patron of Rembrandt, was</w:t></w:r>
</w:p>
<w:p>
<w:pPr><w:pStyle w:val="Normal"/></w:pPr>
<w:r><w:t xml:space="preserve">sold to the state in 1907; the pictures, except the family</w:t></w:r>
</w:p>
<w:p>
<w:pPr><w:pStyle w:val="Normal"/></w:pPr>
<w:r><w:t xml:space="preserve">Rembrandts, are in the Ryks Museum.  Close to this is the</w:t></w:r>
</w:p>
<w:p>
<w:pPr><w:pStyle w:val="Normal"/></w:pPr>
<w:r><w:t xml:space="preserve">Willet-Holthuysen Museum (1895) of furniture, porcelain, &amp;c.</w:t></w:r>
</w:p>
<w:p>
<w:pPr><w:pStyle w:val="Normal"/></w:pPr>
<w:r><w:t xml:space="preserve">Education and Charities.--There are two universities in</w:t></w:r>
</w:p>
<w:p>
<w:pPr><w:pStyle w:val="Normal"/></w:pPr>
<w:r><w:t xml:space="preserve">Amsterdam: the Free University (1880), and the more ancient</w:t></w:r>
</w:p>
<w:p>
<w:pPr><w:pStyle w:val="Normal"/></w:pPr>
<w:r><w:t xml:space="preserve">state university of Amsterdam, originally founded in 1632,</w:t></w:r>
</w:p>
<w:p>
<w:pPr><w:pStyle w:val="Normal"/></w:pPr>
<w:r><w:t xml:space="preserve">but reconstructed in 1887.  In addition to the numerous</w:t></w:r>
</w:p>
<w:p>
<w:pPr><w:pStyle w:val="Normal"/></w:pPr>
<w:r><w:t xml:space="preserve">science laboratories the state university possesses a very</w:t></w:r>
</w:p>
<w:p>
<w:pPr><w:pStyle w:val="Normal"/></w:pPr>
<w:r><w:t xml:space="preserve">fine library of about 100,000 volumes, including the Rosenthal</w:t></w:r>
</w:p>
<w:p>
<w:pPr><w:pStyle w:val="Normal"/></w:pPr>
<w:r><w:t xml:space="preserve">collection of over 8000 books on Jewish literature.  Modern</w:t></w:r>
</w:p>
<w:p>
<w:pPr><w:pStyle w:val="Normal"/></w:pPr>
<w:r><w:t xml:space="preserve">educational institutions include a school of engineering (1879),</w:t></w:r>
</w:p>
<w:p>
<w:pPr><w:pStyle w:val="Normal"/></w:pPr>
<w:r><w:t xml:space="preserve">a school for teachers (1878) and a school of industrial art</w:t></w:r>
</w:p>
<w:p>
<w:pPr><w:pStyle w:val="Normal"/></w:pPr>
<w:r><w:t xml:space="preserve">(1879).  Amsterdam is also remarkable for the number and</w:t></w:r>
</w:p>
<w:p>
<w:pPr><w:pStyle w:val="Normal"/></w:pPr>
<w:r><w:t xml:space="preserve">high character of its benevolent institutions, which are to</w:t></w:r>
</w:p>
<w:p>
<w:pPr><w:pStyle w:val="Normal"/></w:pPr>
<w:r><w:t xml:space="preserve">a large extent supported by voluntary contributions.  Among</w:t></w:r>
</w:p>
<w:p>
<w:pPr><w:pStyle w:val="Normal"/></w:pPr>
<w:r><w:t xml:space="preserve">others may be mentioned hospitals for the sick, the aged, the</w:t></w:r>
</w:p>
<w:p>
<w:pPr><w:pStyle w:val="Normal"/></w:pPr>
<w:r><w:t xml:space="preserve">infirm, the blind, the deaf, the dumb, the insane, and homes</w:t></w:r>
</w:p>
<w:p>
<w:pPr><w:pStyle w:val="Normal"/></w:pPr>
<w:r><w:t xml:space="preserve">for widows, orphans, foundlings and sailors.  The costumes</w:t></w:r>
</w:p>
<w:p>
<w:pPr><w:pStyle w:val="Normal"/></w:pPr>
<w:r><w:t xml:space="preserve">of the children educated at the different orphanages are</w:t></w:r>
</w:p>
<w:p>
<w:pPr><w:pStyle w:val="Normal"/></w:pPr>
<w:r><w:t xml:space="preserve">varied and picturesque, those of the municipal orphanage being</w:t></w:r>
</w:p>
<w:p>
<w:pPr><w:pStyle w:val="Normal"/></w:pPr>
<w:r><w:t xml:space="preserve">dressed in the city colours of red and black.  In the Walloon</w:t></w:r>
</w:p>
<w:p>
<w:pPr><w:pStyle w:val="Normal"/></w:pPr>
<w:r><w:t xml:space="preserve">orphanage are some interesting pictures by van der Helst and</w:t></w:r>
</w:p>
<w:p>
<w:pPr><w:pStyle w:val="Normal"/></w:pPr>
<w:r><w:t xml:space="preserve">others.  The Society for Public Welfare (Maatschappij tot nut</w:t></w:r>
</w:p>
<w:p>
<w:pPr><w:pStyle w:val="Normal"/></w:pPr>
<w:r><w:t xml:space="preserve">van het Algemeen), founded in 1785, has for its ob)ect the</w:t></w:r>
</w:p>
<w:p>
<w:pPr><w:pStyle w:val="Normal"/></w:pPr>
<w:r><w:t xml:space="preserve">promotion of the education and improvement of all classes, and</w:t></w:r>
</w:p>
<w:p>
<w:pPr><w:pStyle w:val="Normal"/></w:pPr>
<w:r><w:t xml:space="preserve">has branches in every part of Holland.  Among other Amsterdam</w:t></w:r>
</w:p>
<w:p>
<w:pPr><w:pStyle w:val="Normal"/></w:pPr>
<w:r><w:t xml:space="preserve">societies are the Felix Meritis (1776), and the Arti et</w:t></w:r>
</w:p>
<w:p>
<w:pPr><w:pStyle w:val="Normal"/></w:pPr>
<w:r><w:t xml:space="preserve">Amicitiae (1839), whose art exhibitions are of a high order.</w:t></w:r>
</w:p>
<w:p>
<w:pPr><w:pStyle w:val="Normal"/></w:pPr>
<w:r><w:t xml:space="preserve">Harbour and Commerce.--The first attempt which the city of</w:t></w:r>
</w:p>
<w:p>
<w:pPr><w:pStyle w:val="Normal"/></w:pPr>
<w:r><w:t xml:space="preserve">Amsterdam made to overcome the evils wrought to its trade by</w:t></w:r>
</w:p>
<w:p>
<w:pPr><w:pStyle w:val="Normal"/></w:pPr>
<w:r><w:t xml:space="preserve">the slow formation of the Pampus sandbank at the entrance to</w:t></w:r>
</w:p>
<w:p>
<w:pPr><w:pStyle w:val="Normal"/></w:pPr>
<w:r><w:t xml:space="preserve">the Y from the Zuider Zee, was the construction of the North</w:t></w:r>
</w:p>
<w:p>
<w:pPr><w:pStyle w:val="Normal"/></w:pPr>
<w:r><w:t xml:space="preserve">Holland canal to the Helder in 1825.  But the route was too</w:t></w:r>
</w:p>
<w:p>
<w:pPr><w:pStyle w:val="Normal"/></w:pPr>
<w:r><w:t xml:space="preserve">long and too intricate, and in 1876 a much larger and more</w:t></w:r>
</w:p>
<w:p>
<w:pPr><w:pStyle w:val="Normal"/></w:pPr>
<w:r><w:t xml:space="preserve">direct ship canal was built across the isthmus to the North</w:t></w:r>
</w:p>
<w:p>
<w:pPr><w:pStyle w:val="Normal"/></w:pPr>
<w:r><w:t xml:space="preserve">Sea at Ymuiden.  The serious rivalry of Rotterdam, especially</w:t></w:r>
</w:p>
<w:p>
<w:pPr><w:pStyle w:val="Normal"/></w:pPr>
<w:r><w:t xml:space="preserve">with regard to the transit trade, and the inadequacy of the</w:t></w:r>
</w:p>
<w:p>
<w:pPr><w:pStyle w:val="Normal"/></w:pPr>
<w:r><w:t xml:space="preserve">Keulsche Vaart, which connected the city with the Rhine,</w:t></w:r>
</w:p>
<w:p>
<w:pPr><w:pStyle w:val="Normal"/></w:pPr>
<w:r><w:t xml:space="preserve">led to the construction in 1892 of the Merwede canal to</w:t></w:r>
</w:p>
<w:p>
<w:pPr><w:pStyle w:val="Normal"/></w:pPr>
<w:r><w:t xml:space="preserve">Gorinchem.  Meanwhile a complete transformation took</w:t></w:r>
</w:p>
<w:p>
<w:pPr><w:pStyle w:val="Normal"/></w:pPr>
<w:r><w:t xml:space="preserve">place on the Y to suit the new requirements of the city&apos;s</w:t></w:r>
</w:p>
<w:p>
<w:pPr><w:pStyle w:val="Normal"/></w:pPr>
<w:r><w:t xml:space="preserve">trade.  The three islands built out into the river serve</w:t></w:r>
</w:p>
<w:p>
<w:pPr><w:pStyle w:val="Normal"/></w:pPr>
<w:r><w:t xml:space="preserve">to carry the railway across the front of the city, and form</w:t></w:r>
</w:p>
<w:p>
<w:pPr><w:pStyle w:val="Normal"/></w:pPr>
<w:r><w:t xml:space="preserve">a long series of quays.  On either side are the large East</w:t></w:r>
</w:p>
<w:p>
<w:pPr><w:pStyle w:val="Normal"/></w:pPr>
<w:r><w:t xml:space="preserve">and West docks (1825-1834), and beyond these stretch the</w:t></w:r>
</w:p>
<w:p>
<w:pPr><w:pStyle w:val="Normal"/></w:pPr>
<w:r><w:t xml:space="preserve">lone quays at which the American and East Indian liners are</w:t></w:r>
</w:p>
<w:p>
<w:pPr><w:pStyle w:val="Normal"/></w:pPr>
<w:r><w:t xml:space="preserve">berthed.  On the west of the West dock is the timber dock,</w:t></w:r>
</w:p>
<w:p>
<w:pPr><w:pStyle w:val="Normal"/></w:pPr>
<w:r><w:t xml:space="preserve">and east of the East dock is another series of islands joined</w:t></w:r>
</w:p>
<w:p>
<w:pPr><w:pStyle w:val="Normal"/></w:pPr>
<w:r><w:t xml:space="preserve">together so as to form basins and quays, one of which is the</w:t></w:r>
</w:p>
<w:p>
<w:pPr><w:pStyle w:val="Normal"/></w:pPr>
<w:r><w:t xml:space="preserve">State Marine dock (1790-1795) with the arsenal and admiralty</w:t></w:r>
</w:p>
<w:p>
<w:pPr><w:pStyle w:val="Normal"/></w:pPr>
<w:r><w:t xml:space="preserve">offices.  Opening out of one of the crescent canals which</w:t></w:r>
</w:p>
<w:p>
<w:pPr><w:pStyle w:val="Normal"/></w:pPr>
<w:r><w:t xml:space="preserve">penetrate the city from the Y is the State Entrepot dock</w:t></w:r>
</w:p>
<w:p>
<w:pPr><w:pStyle w:val="Normal"/></w:pPr>
<w:r><w:t xml:space="preserve">(1900), the free harbour of Amsterdam, where the produce</w:t></w:r>
</w:p>
<w:p>
<w:pPr><w:pStyle w:val="Normal"/></w:pPr>
<w:r><w:t xml:space="preserve">from the Dutch East Indies is stored.  On the north</w:t></w:r>
</w:p>
<w:p>
<w:pPr><w:pStyle w:val="Normal"/></w:pPr>
<w:r><w:t xml:space="preserve">side of the Y are the dry docks and the petroleum dock</w:t></w:r>
</w:p>
<w:p>
<w:pPr><w:pStyle w:val="Normal"/></w:pPr>
<w:r><w:t xml:space="preserve">(1880-1890).  The principal imports are timber, coal, grain,</w:t></w:r>
</w:p>
<w:p>
<w:pPr><w:pStyle w:val="Normal"/></w:pPr>
<w:r><w:t xml:space="preserve">ore, petroleum and colonial produce.  Under the last head fall</w:t></w:r>
</w:p>
<w:p>
<w:pPr><w:pStyle w:val="Normal"/></w:pPr>
<w:r><w:t xml:space="preserve">tobacco, tea, coffee, cocoa, sugar, Peruvian bark and other</w:t></w:r>
</w:p>
<w:p>
<w:pPr><w:pStyle w:val="Normal"/></w:pPr>
<w:r><w:t xml:space="preserve">drugs.  Diamond-cutting has long been practised by the Jews</w:t></w:r>
</w:p>
<w:p>
<w:pPr><w:pStyle w:val="Normal"/></w:pPr>
<w:r><w:t xml:space="preserve">and forms one of the most characteristic industries of the</w:t></w:r>
</w:p>
<w:p>
<w:pPr><w:pStyle w:val="Normal"/></w:pPr>
<w:r><w:t xml:space="preserve">city.  Other industries include sugar refineries, soap, oil,</w:t></w:r>
</w:p>
<w:p>
<w:pPr><w:pStyle w:val="Normal"/></w:pPr>
<w:r><w:t xml:space="preserve">glass, iron, dye and chemical works; distilleries, breweries,</w:t></w:r>
</w:p>
<w:p>
<w:pPr><w:pStyle w:val="Normal"/></w:pPr>
<w:r><w:t xml:space="preserve">tanneries; tobacco and snuff factories; shipbuilding and the</w:t></w:r>
</w:p>
<w:p>
<w:pPr><w:pStyle w:val="Normal"/></w:pPr>
<w:r><w:t xml:space="preserve">manufacture of machinery and stearine candles.  Although no</w:t></w:r>
</w:p>
<w:p>
<w:pPr><w:pStyle w:val="Normal"/></w:pPr>
<w:r><w:t xml:space="preserve">longer the Centre of the banking transactions of the world,</w:t></w:r>
</w:p>
<w:p>
<w:pPr><w:pStyle w:val="Normal"/></w:pPr>
<w:r><w:t xml:space="preserve">the Amsterdam exchange is still of considerable importance</w:t></w:r>
</w:p>
<w:p>
<w:pPr><w:pStyle w:val="Normal"/></w:pPr>
<w:r><w:t xml:space="preserve">in this respect.  The celebrated Bank of Amsterdam, founded</w:t></w:r>
</w:p>
<w:p>
<w:pPr><w:pStyle w:val="Normal"/></w:pPr>
<w:r><w:t xml:space="preserve">in 1609, was dissolved in 1796, and the present Bank of the</w:t></w:r>
</w:p>
<w:p>
<w:pPr><w:pStyle w:val="Normal"/></w:pPr>
<w:r><w:t xml:space="preserve">Netherlands was established in 1814 on the model of the Bank of</w:t></w:r>
</w:p>
<w:p>
<w:pPr><w:pStyle w:val="Normal"/></w:pPr>
<w:r><w:t xml:space="preserve">England.  The money market is the headquarters of companies</w:t></w:r>
</w:p>
<w:p>
<w:pPr><w:pStyle w:val="Normal"/></w:pPr>
<w:r><w:t xml:space="preserve">formed to promote the cultivation of colonial produce.</w:t></w:r>
</w:p>
<w:p>
<w:pPr><w:pStyle w:val="Normal"/></w:pPr>
<w:r><w:t xml:space="preserve">History.--In 1204, when Giesebrecht II. of Amstel built</w:t></w:r>
</w:p>
<w:p>
<w:pPr><w:pStyle w:val="Normal"/></w:pPr>
<w:r><w:t xml:space="preserve">a castle there, Amstetdam was a fishing hamlet held in fee</w:t></w:r>
</w:p>
<w:p>
<w:pPr><w:pStyle w:val="Normal"/></w:pPr>
<w:r><w:t xml:space="preserve">by the lords of Amstel of the bishops of Utrecht, for whom</w:t></w:r>
</w:p>
<w:p>
<w:pPr><w:pStyle w:val="Normal"/></w:pPr>
<w:r><w:t xml:space="preserve">they acted as bailiffs.  In 1240 Giesebrecht III., son of</w:t></w:r>
</w:p>
<w:p>
<w:pPr><w:pStyle w:val="Normal"/></w:pPr>
<w:r><w:t xml:space="preserve">the builder of the castle, constructed a dam to keep out the</w:t></w:r>
</w:p>
<w:p>
<w:pPr><w:pStyle w:val="Normal"/></w:pPr>
<w:r><w:t xml:space="preserve">sea.  To these two, then, the origin of the city may be</w:t></w:r>
</w:p>
<w:p>
<w:pPr><w:pStyle w:val="Normal"/></w:pPr>
<w:r><w:t xml:space="preserve">ascribed.  The first mention of the town is in 1275, in a charter</w:t></w:r>
</w:p>
<w:p>
<w:pPr><w:pStyle w:val="Normal"/></w:pPr>
<w:r><w:t xml:space="preserve">of Floris IV., count of Holland, exempting it from certain taxes.</w:t></w:r>
</w:p>
<w:p>
<w:pPr><w:pStyle w:val="Normal"/></w:pPr>
<w:r><w:t xml:space="preserve">In 1296 the place passed out of the hands of the lords of</w:t></w:r>
</w:p>
<w:p>
<w:pPr><w:pStyle w:val="Normal"/></w:pPr>
<w:r><w:t xml:space="preserve">Amstel, owing to the part taken by Giesebrecht IV. in</w:t></w:r>
</w:p>
<w:p>
<w:pPr><w:pStyle w:val="Normal"/></w:pPr>
<w:r><w:t xml:space="preserve">the murder of Count Floris V. of Holland.  Count John (d.</w:t></w:r>
</w:p>
<w:p>
<w:pPr><w:pStyle w:val="Normal"/></w:pPr>
<w:r><w:t xml:space="preserve">1304), after coming to an understanding with the bishop of</w:t></w:r>
</w:p>
<w:p>
<w:pPr><w:pStyle w:val="Normal"/></w:pPr>
<w:r><w:t xml:space="preserve">Utrecht, bestowed the fief on his brother, Guy of Hainaut.</w:t></w:r>
</w:p>
<w:p>
<w:pPr><w:pStyle w:val="Normal"/></w:pPr>
<w:r><w:t xml:space="preserve">Guy gave the town its first charter in 1300.  It established</w:t></w:r>
</w:p>
<w:p>
<w:pPr><w:pStyle w:val="Normal"/></w:pPr>
<w:r><w:t xml:space="preserve">the usual type of government under a bailiff (schout)</w:t></w:r>
</w:p>
<w:p>
<w:pPr><w:pStyle w:val="Normal"/></w:pPr>
<w:r><w:t xml:space="preserve">and judicial assessors (scabini, or schoppenen), the</w:t></w:r>
</w:p>
<w:p>
<w:pPr><w:pStyle w:val="Normal"/></w:pPr>
<w:r><w:t xml:space="preserve">overlord&apos;s supremacy being guarded, and an appeal lying from</w:t></w:r>
</w:p>
<w:p>
<w:pPr><w:pStyle w:val="Normal"/></w:pPr>
<w:r><w:t xml:space="preserve">the court of the scabini, in case of their disagreement, to</w:t></w:r>
</w:p>
<w:p>
<w:pPr><w:pStyle w:val="Normal"/></w:pPr>
<w:r><w:t xml:space="preserve">Utrecht.  In 1342 more extensive privileges were granted by</w:t></w:r>
</w:p>
<w:p>
<w:pPr><w:pStyle w:val="Normal"/></w:pPr>
<w:r><w:t xml:space="preserve">Count William IV., including freedom from tolls by land and</w:t></w:r>
</w:p>
<w:p>
<w:pPr><w:pStyle w:val="Normal"/></w:pPr>
<w:r><w:t xml:space="preserve">water in return for certain annual dues.  In 1482 the town</w:t></w:r>
</w:p>
<w:p>
<w:pPr><w:pStyle w:val="Normal"/></w:pPr>
<w:r><w:t xml:space="preserve">was surrounded with walls; and in the 16th century, during</w:t></w:r>
</w:p>
<w:p>
<w:pPr><w:pStyle w:val="Normal"/></w:pPr>
<w:r><w:t xml:space="preserve">the religious troubles, it received a great increase of</w:t></w:r>
</w:p>
<w:p>
<w:pPr><w:pStyle w:val="Normal"/></w:pPr>
<w:r><w:t xml:space="preserve">prosperity owing to the influx of refugees from Antwerp and</w:t></w:r>
</w:p>
<w:p>
<w:pPr><w:pStyle w:val="Normal"/></w:pPr>
<w:r><w:t xml:space="preserve">Brabant.  Amsterdam, influenced by its trading interests,</w:t></w:r>
</w:p>
<w:p>
<w:pPr><w:pStyle w:val="Normal"/></w:pPr>
<w:r><w:t xml:space="preserve">did not join the other towns in revolt against Spain until</w:t></w:r>
</w:p>
<w:p>
<w:pPr><w:pStyle w:val="Normal"/></w:pPr>
<w:r><w:t xml:space="preserve">1578.  In 1587 the earl of Leicester made an unsuccessful</w:t></w:r>
</w:p>
<w:p>
<w:pPr><w:pStyle w:val="Normal"/></w:pPr>
<w:r><w:t xml:space="preserve">attempt to seize it.  The great development of Amsterdam</w:t></w:r>
</w:p>
<w:p>
<w:pPr><w:pStyle w:val="Normal"/></w:pPr>
<w:r><w:t xml:space="preserve">was due, however, to the treaty of Westphalia in 1648, by</w:t></w:r>
</w:p>
<w:p>
<w:pPr><w:pStyle w:val="Normal"/></w:pPr>
<w:r><w:t xml:space="preserve">which its rival, Antwerp, was ruined, owing to the closing</w:t></w:r>
</w:p>
<w:p>
<w:pPr><w:pStyle w:val="Normal"/></w:pPr>
<w:r><w:t xml:space="preserve">of the Scheldt.  The city held out obstinately against</w:t></w:r>
</w:p>
<w:p>
<w:pPr><w:pStyle w:val="Normal"/></w:pPr>
<w:r><w:t xml:space="preserve">the pretensions of the stadtholders, and in 1650 opened</w:t></w:r>
</w:p>
<w:p>
<w:pPr><w:pStyle w:val="Normal"/></w:pPr>
<w:r><w:t xml:space="preserve">the dykes in order to prevent William II. from seizing</w:t></w:r>
</w:p>
<w:p>
<w:pPr><w:pStyle w:val="Normal"/></w:pPr>
<w:r><w:t xml:space="preserve">it.  The same device was successful against Louis XIV. in</w:t></w:r>
</w:p>
<w:p>
<w:pPr><w:pStyle w:val="Normal"/></w:pPr>
<w:r><w:t xml:space="preserve">1672; and Amsterdam, now reconciled with the stadtholder,</w:t></w:r>
</w:p>
<w:p>
<w:pPr><w:pStyle w:val="Normal"/></w:pPr>
<w:r><w:t xml:space="preserve">was one of the staunchest supporters of William III. against</w:t></w:r>
</w:p>
<w:p>
<w:pPr><w:pStyle w:val="Normal"/></w:pPr>
<w:r><w:t xml:space="preserve">France.  After the revocation of the edict of Nantes in 1685</w:t></w:r>
</w:p>
<w:p>
<w:pPr><w:pStyle w:val="Normal"/></w:pPr>
<w:r><w:t xml:space="preserve">it opened its gates to numerous French refugees; but this</w:t></w:r>
</w:p>
<w:p>
<w:pPr><w:pStyle w:val="Normal"/></w:pPr>
<w:r><w:t xml:space="preserve">hardly compensated it for its losses during the war.  In</w:t></w:r>
</w:p>
<w:p>
<w:pPr><w:pStyle w:val="Normal"/></w:pPr>
<w:r><w:t xml:space="preserve">1787 Amsterdam was occupied by the Prussians, and in 1795</w:t></w:r>
</w:p>
<w:p>
<w:pPr><w:pStyle w:val="Normal"/></w:pPr>
<w:r><w:t xml:space="preserve">by the French under Pichegru.  It was now made the capital</w:t></w:r>
</w:p>
<w:p>
<w:pPr><w:pStyle w:val="Normal"/></w:pPr>
<w:r><w:t xml:space="preserve">of the Batavian Republic and afterwards of the kingdom of</w:t></w:r>
</w:p>
<w:p>
<w:pPr><w:pStyle w:val="Normal"/></w:pPr>
<w:r><w:t xml:space="preserve">Holland.  When, in 1810, this was united with the French</w:t></w:r>
</w:p>
<w:p>
<w:pPr><w:pStyle w:val="Normal"/></w:pPr>
<w:r><w:t xml:space="preserve">empire, Amsterdam was recognized officially as the third</w:t></w:r>
</w:p>
<w:p>
<w:pPr><w:pStyle w:val="Normal"/></w:pPr>
<w:r><w:t xml:space="preserve">town of the empire, ranking next after Paris and Rome.</w:t></w:r>
</w:p>
<w:p>
<w:pPr><w:pStyle w:val="Normal"/></w:pPr>
<w:r><w:t xml:space="preserve">See J. ter Gouw, Geschiedeniss van Amsterdam (3 vols.,</w:t></w:r>
</w:p>
<w:p>
<w:pPr><w:pStyle w:val="Normal"/></w:pPr>
<w:r><w:t xml:space="preserve">Amsterdam, 1879-1881), a full history with documents.</w:t></w:r>
</w:p>
<w:p>
<w:pPr><w:pStyle w:val="Normal"/></w:pPr>
<w:r><w:t xml:space="preserve">AMSTERDAM (NEW AMSTERDAM), an uninhabited and almost</w:t></w:r>
</w:p>
<w:p>
<w:pPr><w:pStyle w:val="Normal"/></w:pPr>
<w:r><w:t xml:space="preserve">inaccessible island in the Indian Ocean, in 37 deg.  47&apos; S., and</w:t></w:r>
</w:p>
<w:p>
<w:pPr><w:pStyle w:val="Normal"/></w:pPr>
<w:r><w:t xml:space="preserve">77 deg.  34&apos; E., about 60 m.  N. of St Paul Island, and nearly midway</w:t></w:r>
</w:p>
<w:p>
<w:pPr><w:pStyle w:val="Normal"/></w:pPr>
<w:r><w:t xml:space="preserve">between the Cape of Good Hope and Tasmania.  It is an extinct</w:t></w:r>
</w:p>
<w:p>
<w:pPr><w:pStyle w:val="Normal"/></w:pPr>
<w:r><w:t xml:space="preserve">volcano, rising 2989 ft. from the sea.  It was discovered by</w:t></w:r>
</w:p>
<w:p>
<w:pPr><w:pStyle w:val="Normal"/></w:pPr>
<w:r><w:t xml:space="preserve">Anthony van Diemen in 1633, and annexed by France in 1893.  It</w:t></w:r>
</w:p>
<w:p>
<w:pPr><w:pStyle w:val="Normal"/></w:pPr>
<w:r><w:t xml:space="preserve">may have been sighted by the companions of Magellan returning</w:t></w:r>
</w:p>
<w:p>
<w:pPr><w:pStyle w:val="Normal"/></w:pPr>
<w:r><w:t xml:space="preserve">to Europe in 1522, and by a Dutch vessel, the ``Zeewolf,&apos;&apos; in</w:t></w:r>
</w:p>
<w:p>
<w:pPr><w:pStyle w:val="Normal"/></w:pPr>
<w:r><w:t xml:space="preserve">1617.  In 1871 the British frigate ``Megaera&apos;&apos; was wrecked here,</w:t></w:r>
</w:p>
<w:p>
<w:pPr><w:pStyle w:val="Normal"/></w:pPr>
<w:r><w:t xml:space="preserve">and most of the 400 persons on board had to remain upwards of</w:t></w:r>
</w:p>
<w:p>
<w:pPr><w:pStyle w:val="Normal"/></w:pPr>
<w:r><w:t xml:space="preserve">three months on the island.  The Memoires of a Frenchman,</w:t></w:r>
</w:p>
<w:p>
<w:pPr><w:pStyle w:val="Normal"/></w:pPr>
<w:r><w:t xml:space="preserve">Captain Francois Peron (Paris, 1824), who was marooned</w:t></w:r>
</w:p>
<w:p>
<w:pPr><w:pStyle w:val="Normal"/></w:pPr>
<w:r><w:t xml:space="preserve">three years on the island (1792-1795), are of much interest.</w:t></w:r>
</w:p>
<w:p>
<w:pPr><w:pStyle w:val="Normal"/></w:pPr>
<w:r><w:t xml:space="preserve">AMSTERDAM, a city of Montgomery county, New York, U.S.A.,</w:t></w:r>
</w:p>
<w:p>
<w:pPr><w:pStyle w:val="Normal"/></w:pPr>
<w:r><w:t xml:space="preserve">on the north bank of the Mohawk river, about 33 m.  N.W. of</w:t></w:r>
</w:p>
<w:p>
<w:pPr><w:pStyle w:val="Normal"/></w:pPr>
<w:r><w:t xml:space="preserve">Albany.  Pop. (1890) 17,336; (1900) 20,929, of whom 5575</w:t></w:r>
</w:p>
<w:p>
<w:pPr><w:pStyle w:val="Normal"/></w:pPr>
<w:r><w:t xml:space="preserve">were foreign-born; (1910) 31,267.  It is served by the New</w:t></w:r>
</w:p>
<w:p>
<w:pPr><w:pStyle w:val="Normal"/></w:pPr>
<w:r><w:t xml:space="preserve">York Central &amp; Hudson River and the West Shore railways,</w:t></w:r>
</w:p>
<w:p>
<w:pPr><w:pStyle w:val="Normal"/></w:pPr>
<w:r><w:t xml:space="preserve">and by the Erie Canal.  Hills on both sides of the river</w:t></w:r>
</w:p>
<w:p>
<w:pPr><w:pStyle w:val="Normal"/></w:pPr>
<w:r><w:t xml:space="preserve">command fine views of the Mohawk Valley.  Amsterdam has two</w:t></w:r>
</w:p>
<w:p>
<w:pPr><w:pStyle w:val="Normal"/></w:pPr>
<w:r><w:t xml:space="preserve">hospitals, a free public library and St Mary&apos;s Institute (Roman</w:t></w:r>
</w:p>
<w:p>
<w:pPr><w:pStyle w:val="Normal"/></w:pPr>
<w:r><w:t xml:space="preserve">Catholic).  Manufacturing is the most important industry,</w:t></w:r>
</w:p>
<w:p>
<w:pPr><w:pStyle w:val="Normal"/></w:pPr>
<w:r><w:t xml:space="preserve">and carpets and rugs, hosiery and knit goods are the most</w:t></w:r>
</w:p>
<w:p>
<w:pPr><w:pStyle w:val="Normal"/></w:pPr>
<w:r><w:t xml:space="preserve">important products.  In 1905 the city&apos;s factory products</w:t></w:r>
</w:p>
<w:p>
<w:pPr><w:pStyle w:val="Normal"/></w:pPr>
<w:r><w:t xml:space="preserve">were valued at $15,007,276 (an increase of 41% over their</w:t></w:r>
</w:p>
<w:p>
<w:pPr><w:pStyle w:val="Normal"/></w:pPr>
<w:r><w:t xml:space="preserve">value in 1900); carpets and rugs being valued at $5,667,742,</w:t></w:r>
</w:p>
<w:p>
<w:pPr><w:pStyle w:val="Normal"/></w:pPr>
<w:r><w:t xml:space="preserve">and hosiery and knit goods (in the manufacture of which</w:t></w:r>
</w:p>
<w:p>
<w:pPr><w:pStyle w:val="Normal"/></w:pPr>
<w:r><w:t xml:space="preserve">Amsterdam ranked third among the cities of the country) at</w:t></w:r>
</w:p>
<w:p>
<w:pPr><w:pStyle w:val="Normal"/></w:pPr>
<w:r><w:t xml:space="preserve">$4,667,022, or 3.4% of the total product of the United</w:t></w:r>
</w:p>
<w:p>
<w:pPr><w:pStyle w:val="Normal"/></w:pPr>
<w:r><w:t xml:space="preserve">States.  Among the other manufactures are brushes, brooms,</w:t></w:r>
</w:p>
<w:p>
<w:pPr><w:pStyle w:val="Normal"/></w:pPr>
<w:r><w:t xml:space="preserve">buttons, silk gloves, paper boxes, electrical supplies, dyeing</w:t></w:r>
</w:p>
<w:p>
<w:pPr><w:pStyle w:val="Normal"/></w:pPr>
<w:r><w:t xml:space="preserve">machines, cigars, and wagon and carriage springs.  Amsterdam</w:t></w:r>
</w:p>
<w:p>
<w:pPr><w:pStyle w:val="Normal"/></w:pPr>
<w:r><w:t xml:space="preserve">was settled about 1775, and was called Veedersburg until</w:t></w:r>
</w:p>
<w:p>
<w:pPr><w:pStyle w:val="Normal"/></w:pPr>
<w:r><w:t xml:space="preserve">1804, when its present name was adopted.  It was incorporated</w:t></w:r>
</w:p>
<w:p>
<w:pPr><w:pStyle w:val="Normal"/></w:pPr>
<w:r><w:t xml:space="preserve">as a village in 1830, and was chartered as a city in 1885.</w:t></w:r>
</w:p>
<w:p>
<w:pPr><w:pStyle w:val="Normal"/></w:pPr>
<w:r><w:t xml:space="preserve">AMUCK, RUNNING (or more properly AMOK), the native term</w:t></w:r>
</w:p>
<w:p>
<w:pPr><w:pStyle w:val="Normal"/></w:pPr>
<w:r><w:t xml:space="preserve">for the homicidal mania which attacks Malays.  A Malay will</w:t></w:r>
</w:p>
<w:p>
<w:pPr><w:pStyle w:val="Normal"/></w:pPr>
<w:r><w:t xml:space="preserve">suddenly and apparently without reason rush into the street</w:t></w:r>
</w:p>
<w:p>
<w:pPr><w:pStyle w:val="Normal"/></w:pPr>
<w:r><w:t xml:space="preserve">armed with a kris or other weapon, and slash and cut at</w:t></w:r>
</w:p>
<w:p>
<w:pPr><w:pStyle w:val="Normal"/></w:pPr>
<w:r><w:t xml:space="preserve">everybody he meets till he is killed.  These frenzies were</w:t></w:r>
</w:p>
<w:p>
<w:pPr><w:pStyle w:val="Normal"/></w:pPr>
<w:r><w:t xml:space="preserve">formerly regarded as due to sudden insanity.  It is now,</w:t></w:r>
</w:p>
<w:p>
<w:pPr><w:pStyle w:val="Normal"/></w:pPr>
<w:r><w:t xml:space="preserve">however, certain that the typical amok is the result of</w:t></w:r>
</w:p>
<w:p>
<w:pPr><w:pStyle w:val="Normal"/></w:pPr>
<w:r><w:t xml:space="preserve">circumstances, such as domestic jealousy or gambling losses,</w:t></w:r>
</w:p>
<w:p>
<w:pPr><w:pStyle w:val="Normal"/></w:pPr>
<w:r><w:t xml:space="preserve">which render a Malay desperate and weary of his life.  It is,</w:t></w:r>
</w:p>
<w:p>
<w:pPr><w:pStyle w:val="Normal"/></w:pPr>
<w:r><w:t xml:space="preserve">in fact, the Malay equivalent of suicide. ``The act of running</w:t></w:r>
</w:p>
<w:p>
<w:pPr><w:pStyle w:val="Normal"/></w:pPr>
<w:r><w:t xml:space="preserve">amuck is probably due to causes over which the culprit has</w:t></w:r>
</w:p>
<w:p>
<w:pPr><w:pStyle w:val="Normal"/></w:pPr>
<w:r><w:t xml:space="preserve">some amount of control, as the custom has now died out in the</w:t></w:r>
</w:p>
<w:p>
<w:pPr><w:pStyle w:val="Normal"/></w:pPr>
<w:r><w:t xml:space="preserve">British possessions in the peninsula, the offenders probably</w:t></w:r>
</w:p>
<w:p>
<w:pPr><w:pStyle w:val="Normal"/></w:pPr>
<w:r><w:t xml:space="preserve">objecting to being caught and tried in cold blood&apos;&apos; (W. W. Skeat).</w:t></w:r>
</w:p>
<w:p>
<w:pPr><w:pStyle w:val="Normal"/></w:pPr>
<w:r><w:t xml:space="preserve">Though so intimately associated with the Malay there is some</w:t></w:r>
</w:p>
<w:p>
<w:pPr><w:pStyle w:val="Normal"/></w:pPr>
<w:r><w:t xml:space="preserve">ground for believing the word to have an Indian origin, and</w:t></w:r>
</w:p>
<w:p>
<w:pPr><w:pStyle w:val="Normal"/></w:pPr>
<w:r><w:t xml:space="preserve">the act is certainly far from unknown in Indian history.</w:t></w:r>
</w:p>
<w:p>
<w:pPr><w:pStyle w:val="Normal"/></w:pPr>
<w:r><w:t xml:space="preserve">Some notable cases have occurred among the Rajputs.  Thus, in</w:t></w:r>
</w:p>
<w:p>
<w:pPr><w:pStyle w:val="Normal"/></w:pPr>
<w:r><w:t xml:space="preserve">1634, the eldest son of the raja of Jodhpur ran amuck at the</w:t></w:r>
</w:p>
<w:p>
<w:pPr><w:pStyle w:val="Normal"/></w:pPr>
<w:r><w:t xml:space="preserve">court of Shah Jahan, failing in his attack on the emperor,</w:t></w:r>
</w:p>
<w:p>
<w:pPr><w:pStyle w:val="Normal"/></w:pPr>
<w:r><w:t xml:space="preserve">but killing five of his officials.  During the 18th century,</w:t></w:r>
</w:p>
<w:p>
<w:pPr><w:pStyle w:val="Normal"/></w:pPr>
<w:r><w:t xml:space="preserve">again, at Hyderabad (Sind), two envoys, sent by the Jodhpur</w:t></w:r>
</w:p>
<w:p>
<w:pPr><w:pStyle w:val="Normal"/></w:pPr>
<w:r><w:t xml:space="preserve">chief in regard to a quarrel between the two states, stabbed the</w:t></w:r>
</w:p>
<w:p>
<w:pPr><w:pStyle w:val="Normal"/></w:pPr>
<w:r><w:t xml:space="preserve">prince and twenty-six of his suite before they themselves fell.</w:t></w:r>
</w:p>
<w:p>
<w:pPr><w:pStyle w:val="Normal"/></w:pPr>
<w:r><w:t xml:space="preserve">In Malabar there were certain professional assassins known</w:t></w:r>
</w:p>
<w:p>
<w:pPr><w:pStyle w:val="Normal"/></w:pPr>
<w:r><w:t xml:space="preserve">to old travellers as Amouchi or Amuco. The nearest modern</w:t></w:r>
</w:p>
<w:p>
<w:pPr><w:pStyle w:val="Normal"/></w:pPr>
<w:r><w:t xml:space="preserve">equivalent to these words would seem to be the Malayalim</w:t></w:r>
</w:p>
<w:p>
<w:pPr><w:pStyle w:val="Normal"/></w:pPr>
<w:r><w:t xml:space="preserve">Amar-khan, ``a warrior&apos;&apos; (from amar, ``fight&apos;&apos;). The Malayalim term</w:t></w:r>
</w:p>
<w:p>
<w:pPr><w:pStyle w:val="Normal"/></w:pPr>
<w:r><w:t xml:space="preserve">chaver applied to these ruffians meant literally those</w:t></w:r>
</w:p>
<w:p>
<w:pPr><w:pStyle w:val="Normal"/></w:pPr>
<w:r><w:t xml:space="preserve">``who devote themselves to death.&apos;&apos; In Malabar was a custom</w:t></w:r>
</w:p>
<w:p>
<w:pPr><w:pStyle w:val="Normal"/></w:pPr>
<w:r><w:t xml:space="preserve">by which the zamorin or king of Calicut had to cut his throat</w:t></w:r>
</w:p>
<w:p>
<w:pPr><w:pStyle w:val="Normal"/></w:pPr>
<w:r><w:t xml:space="preserve">in public when he had reigned twelve years.  In the 17th</w:t></w:r>
</w:p>
<w:p>
<w:pPr><w:pStyle w:val="Normal"/></w:pPr>
<w:r><w:t xml:space="preserve">century a variation in his fate was made.  He had to take his</w:t></w:r>
</w:p>
<w:p>
<w:pPr><w:pStyle w:val="Normal"/></w:pPr>
<w:r><w:t xml:space="preserve">seat, after a great feast lasting twelve days, at a national</w:t></w:r>
</w:p>
<w:p>
<w:pPr><w:pStyle w:val="Normal"/></w:pPr>
<w:r><w:t xml:space="preserve">assembly, surrounded by his armed suite, and it was lawful</w:t></w:r>
</w:p>
<w:p>
<w:pPr><w:pStyle w:val="Normal"/></w:pPr>
<w:r><w:t xml:space="preserve">for anyone to attack him, and if he succeeded in killing him</w:t></w:r>
</w:p>
<w:p>
<w:pPr><w:pStyle w:val="Normal"/></w:pPr>
<w:r><w:t xml:space="preserve">the murderer himself became zamorin (see Alex.  Hamilton, ``A</w:t></w:r>
</w:p>
<w:p>
<w:pPr><w:pStyle w:val="Normal"/></w:pPr>
<w:r><w:t xml:space="preserve">new Account of the East Indies,&apos;&apos; in Pinkerton&apos;s Voyages and</w:t></w:r>
</w:p>
<w:p>
<w:pPr><w:pStyle w:val="Normal"/></w:pPr>
<w:r><w:t xml:space="preserve">Travels, viii. 374).  In 1600 thirty would-be assassins were</w:t></w:r>
</w:p>
<w:p>
<w:pPr><w:pStyle w:val="Normal"/></w:pPr>
<w:r><w:t xml:space="preserve">killed in their attempts.  These men were called Amar-khan,</w:t></w:r>
</w:p>
<w:p>
<w:pPr><w:pStyle w:val="Normal"/></w:pPr>
<w:r><w:t xml:space="preserve">and it has been suggested that their action was ``running</w:t></w:r>
</w:p>
<w:p>
<w:pPr><w:pStyle w:val="Normal"/></w:pPr>
<w:r><w:t xml:space="preserve">amuck&apos;&apos; in the true Malay sense.  Another proposed derivation</w:t></w:r>
</w:p>
<w:p>
<w:pPr><w:pStyle w:val="Normal"/></w:pPr>
<w:r><w:t xml:space="preserve">for amouchi is Sanskrit amokshya, ``that cannot be</w:t></w:r>
</w:p>
<w:p>
<w:pPr><w:pStyle w:val="Normal"/></w:pPr>
<w:r><w:t xml:space="preserve">loosed,&apos;&apos; suggesting that the murderer was bound by a vow,</w:t></w:r>
</w:p>
<w:p>
<w:pPr><w:pStyle w:val="Normal"/></w:pPr>
<w:r><w:t xml:space="preserve">an explanation more than once advanced for the Malay amuck;</w:t></w:r>
</w:p>
<w:p>
<w:pPr><w:pStyle w:val="Normal"/></w:pPr>
<w:r><w:t xml:space="preserve">but amokshya in such a sense is unknown in Malayalim.</w:t></w:r>
</w:p>
<w:p>
<w:pPr><w:pStyle w:val="Normal"/></w:pPr>
<w:r><w:t xml:space="preserve">See Sir F. A. Swettenham, Malay Sketches (1895);</w:t></w:r>
</w:p>
<w:p>
<w:pPr><w:pStyle w:val="Normal"/></w:pPr>
<w:r><w:t xml:space="preserve">H. Clifford, Studies in Brown Humanity (1898).</w:t></w:r>
</w:p>
<w:p>
<w:pPr><w:pStyle w:val="Normal"/></w:pPr>
<w:r><w:t xml:space="preserve">AMULET (Late Lat. amuletum, origin unknown; falsely</w:t></w:r>
</w:p>
<w:p>
<w:pPr><w:pStyle w:val="Normal"/></w:pPr>
<w:r><w:t xml:space="preserve">connected with the Arab. himalah, a cord used to suspend</w:t></w:r>
</w:p>
<w:p>
<w:pPr><w:pStyle w:val="Normal"/></w:pPr>
<w:r><w:t xml:space="preserve">a small Koran from the neck), a charm, generally, but not</w:t></w:r>
</w:p>
<w:p>
<w:pPr><w:pStyle w:val="Normal"/></w:pPr>
<w:r><w:t xml:space="preserve">invariably, hung from the neck, to protect the wearer against</w:t></w:r>
</w:p>
<w:p>
<w:pPr><w:pStyle w:val="Normal"/></w:pPr>
<w:r><w:t xml:space="preserve">witchcraft, sickness, accidents, &amp;c. Amulets have been of many</w:t></w:r>
</w:p>
<w:p>
<w:pPr><w:pStyle w:val="Normal"/></w:pPr>
<w:r><w:t xml:space="preserve">different kinds, and formed of different substances,--stones,</w:t></w:r>
</w:p>
<w:p>
<w:pPr><w:pStyle w:val="Normal"/></w:pPr>
<w:r><w:t xml:space="preserve">metals, and strips of parchment being the most common, with</w:t></w:r>
</w:p>
<w:p>
<w:pPr><w:pStyle w:val="Normal"/></w:pPr>
<w:r><w:t xml:space="preserve">or without characters or legends engraved or written on</w:t></w:r>
</w:p>
<w:p>
<w:pPr><w:pStyle w:val="Normal"/></w:pPr>
<w:r><w:t xml:space="preserve">them.  Gems have often been employed and greatly prized,</w:t></w:r>
</w:p>
<w:p>
<w:pPr><w:pStyle w:val="Normal"/></w:pPr>
<w:r><w:t xml:space="preserve">serving for ornaments as well as for charms.  Certain herbs,</w:t></w:r>
</w:p>
<w:p>
<w:pPr><w:pStyle w:val="Normal"/></w:pPr>
<w:r><w:t xml:space="preserve">too, and animal preparations have been used in the same</w:t></w:r>
</w:p>
<w:p>
<w:pPr><w:pStyle w:val="Normal"/></w:pPr>
<w:r><w:t xml:space="preserve">way.  In setting them apart to their use as amulets, great</w:t></w:r>
</w:p>
<w:p>
<w:pPr><w:pStyle w:val="Normal"/></w:pPr>
<w:r><w:t xml:space="preserve">precautions have been taken that fitting times be selected,</w:t></w:r>
</w:p>
<w:p>
<w:pPr><w:pStyle w:val="Normal"/></w:pPr>
<w:r><w:t xml:space="preserve">stellar and other magic influences propitious, and everything</w:t></w:r>
</w:p>
<w:p>
<w:pPr><w:pStyle w:val="Normal"/></w:pPr>
<w:r><w:t xml:space="preserve">avoided that might be supposed to destroy or weaken the</w:t></w:r>
</w:p>
<w:p>
<w:pPr><w:pStyle w:val="Normal"/></w:pPr>
<w:r><w:t xml:space="preserve">force of the charm.  From the earliest ages the Oriental</w:t></w:r>
</w:p>
<w:p>
<w:pPr><w:pStyle w:val="Normal"/></w:pPr>
<w:r><w:t xml:space="preserve">races have had a firm belief in the prevalence of occult</w:t></w:r>
</w:p>
<w:p>
<w:pPr><w:pStyle w:val="Normal"/></w:pPr>
<w:r><w:t xml:space="preserve">evil influences, and a superstitious trust in amulets and</w:t></w:r>
</w:p>
<w:p>
<w:pPr><w:pStyle w:val="Normal"/></w:pPr>
<w:r><w:t xml:space="preserve">similar preservatives against them.  There are references</w:t></w:r>
</w:p>
<w:p>
<w:pPr><w:pStyle w:val="Normal"/></w:pPr>
<w:r><w:t xml:space="preserve">to, and apparently correctives of, these customs in the</w:t></w:r>
</w:p>
<w:p>
<w:pPr><w:pStyle w:val="Normal"/></w:pPr>
<w:r><w:t xml:space="preserve">Mosaic injunctions to bind portions of the law upon the hand</w:t></w:r>
</w:p>
<w:p>
<w:pPr><w:pStyle w:val="Normal"/></w:pPr>
<w:r><w:t xml:space="preserve">and as frontlets between the eyes, as well as write them</w:t></w:r>
</w:p>
<w:p>
<w:pPr><w:pStyle w:val="Normal"/></w:pPr>
<w:r><w:t xml:space="preserve">upon the door-posts and the gates; but, among the later Jews</w:t></w:r>
</w:p>
<w:p>
<w:pPr><w:pStyle w:val="Normal"/></w:pPr>
<w:r><w:t xml:space="preserve">especially, the original design and meaning of these usages</w:t></w:r>
</w:p>
<w:p>
<w:pPr><w:pStyle w:val="Normal"/></w:pPr>
<w:r><w:t xml:space="preserve">were lost sight of; and though it has been said that the</w:t></w:r>
</w:p>
<w:p>
<w:pPr><w:pStyle w:val="Normal"/></w:pPr>
<w:r><w:t xml:space="preserve">phylacteries were not strictly amulets, there is no doubt that</w:t></w:r>
</w:p>
<w:p>
<w:pPr><w:pStyle w:val="Normal"/></w:pPr>
<w:r><w:t xml:space="preserve">they were held in superstitious regard.  Amulets were much</w:t></w:r>
</w:p>
<w:p>
<w:pPr><w:pStyle w:val="Normal"/></w:pPr>
<w:r><w:t xml:space="preserve">used by the ancient Egyptians, and also among the Greeks and</w:t></w:r>
</w:p>
<w:p>
<w:pPr><w:pStyle w:val="Normal"/></w:pPr>
<w:r><w:t xml:space="preserve">Romans.  We find traces of them too in the early Christian</w:t></w:r>
</w:p>
<w:p>
<w:pPr><w:pStyle w:val="Normal"/></w:pPr>
<w:r><w:t xml:space="preserve">church, in the emphatic protests of Chrysostom, Augustine</w:t></w:r>
</w:p>
<w:p>
<w:pPr><w:pStyle w:val="Normal"/></w:pPr>
<w:r><w:t xml:space="preserve">and others against them.  The fish was a favourite symbol on</w:t></w:r>
</w:p>
<w:p>
<w:pPr><w:pStyle w:val="Normal"/></w:pPr>
<w:r><w:t xml:space="preserve">these charms, from the word ichthus being the initials of</w:t></w:r>
</w:p>
<w:p>
<w:pPr><w:pStyle w:val="Normal"/></w:pPr>
<w:r><w:t xml:space="preserve">&apos;Iesous Christos Theou uios soter. A firm faith in amulets</w:t></w:r>
</w:p>
<w:p>
<w:pPr><w:pStyle w:val="Normal"/></w:pPr>
<w:r><w:t xml:space="preserve">still prevails widely among Asiatic nations. Talisman, also</w:t></w:r>
</w:p>
<w:p>
<w:pPr><w:pStyle w:val="Normal"/></w:pPr>
<w:r><w:t xml:space="preserve">from the Arabic, is a word of similar meaning and use, but</w:t></w:r>
</w:p>
<w:p>
<w:pPr><w:pStyle w:val="Normal"/></w:pPr>
<w:r><w:t xml:space="preserve">some distinguish it as importing a more powerful charm.  A</w:t></w:r>
</w:p>
<w:p>
<w:pPr><w:pStyle w:val="Normal"/></w:pPr>
<w:r><w:t xml:space="preserve">talisman, whose ``virtues are still applied to for stopping</w:t></w:r>
</w:p>
<w:p>
<w:pPr><w:pStyle w:val="Normal"/></w:pPr>
<w:r><w:t xml:space="preserve">blood and in cases of canine madness,&apos;&apos; figures prominently</w:t></w:r>
</w:p>
<w:p>
<w:pPr><w:pStyle w:val="Normal"/></w:pPr>
<w:r><w:t xml:space="preserve">in, and gives name to, one of Sir Walter Scott&apos;s novels.</w:t></w:r>
</w:p>
<w:p>
<w:pPr><w:pStyle w:val="Normal"/></w:pPr>
<w:r><w:t xml:space="preserve">See also Arpe, De Prodigiis Naturae et Artis Operibus Talismanes</w:t></w:r>
</w:p>
<w:p>
<w:pPr><w:pStyle w:val="Normal"/></w:pPr>
<w:r><w:t xml:space="preserve">et Amuleta dictis (Hamburg, 1717); Ewele, Ueber Amulete (1827);</w:t></w:r>
</w:p>
<w:p>
<w:pPr><w:pStyle w:val="Normal"/></w:pPr>
<w:r><w:t xml:space="preserve">and Koop&apos;s Palaeographica Critica, vols. iii. and iv. (1829).</w:t></w:r>
</w:p>
<w:p>
<w:pPr><w:pStyle w:val="Normal"/></w:pPr>
<w:r><w:t xml:space="preserve">AMUR (known also as the Sakhalin-ula.) a river of</w:t></w:r>
</w:p>
<w:p>
<w:pPr><w:pStyle w:val="Normal"/></w:pPr>
<w:r><w:t xml:space="preserve">eastern Asia, formed by the confluence of the Argun and the</w:t></w:r>
</w:p>
<w:p>
<w:pPr><w:pStyle w:val="Normal"/></w:pPr>
<w:r><w:t xml:space="preserve">Shilka, at Ust-Stryelka, in 53 deg.  19&apos; N. lat. and 120 deg.  30&apos; E.</w:t></w:r>
</w:p>
<w:p>
<w:pPr><w:pStyle w:val="Normal"/></w:pPr>
<w:r><w:t xml:space="preserve">long.  Both these rivers come from the south-west: the Argun,</w:t></w:r>
</w:p>
<w:p>
<w:pPr><w:pStyle w:val="Normal"/></w:pPr>
<w:r><w:t xml:space="preserve">or Kerulen as it is called above Lake Kulun (Dalai-nor),</w:t></w:r>
</w:p>
<w:p>
<w:pPr><w:pStyle w:val="Normal"/></w:pPr>
<w:r><w:t xml:space="preserve">through which it flows about half way between its source and</w:t></w:r>
</w:p>
<w:p>
<w:pPr><w:pStyle w:val="Normal"/></w:pPr>
<w:r><w:t xml:space="preserve">Ust-Stryelka, rises in 49 deg.  N. lat. and 109 deg.  E. long.;</w:t></w:r>
</w:p>
<w:p>
<w:pPr><w:pStyle w:val="Normal"/></w:pPr>
<w:r><w:t xml:space="preserve">the Shilka is formed by the union of the Onon and the</w:t></w:r>
</w:p>
<w:p>
<w:pPr><w:pStyle w:val="Normal"/></w:pPr>
<w:r><w:t xml:space="preserve">Ingoda, both of which have their sources a little farther</w:t></w:r>
</w:p>
<w:p>
<w:pPr><w:pStyle w:val="Normal"/></w:pPr>
<w:r><w:t xml:space="preserve">north-east than the Kerulen (Argun).  The Amur proper flows</w:t></w:r>
</w:p>
<w:p>
<w:pPr><w:pStyle w:val="Normal"/></w:pPr>
<w:r><w:t xml:space="preserve">at first in a south-easterly direction for about 800 m.,</w:t></w:r>
</w:p>
<w:p>
<w:pPr><w:pStyle w:val="Normal"/></w:pPr>
<w:r><w:t xml:space="preserve">as far as long. 132&apos; E., separating Manchuria from the Amur</w:t></w:r>
</w:p>
<w:p>
<w:pPr><w:pStyle w:val="Normal"/></w:pPr>
<w:r><w:t xml:space="preserve">government; it then turns to the north-east, cuts its way</w:t></w:r>
</w:p>
<w:p>
<w:pPr><w:pStyle w:val="Normal"/></w:pPr>
<w:r><w:t xml:space="preserve">through the Little Khingan mountains in a gorge 2000 ft. wide</w:t></w:r>
</w:p>
<w:p>
<w:pPr><w:pStyle w:val="Normal"/></w:pPr>
<w:r><w:t xml:space="preserve">and 140 m. long, and after a total course of over 1700 m.</w:t></w:r>
</w:p>
<w:p>
<w:pPr><w:pStyle w:val="Normal"/></w:pPr>
<w:r><w:t xml:space="preserve">discharges into the Sea of Okhotsk, opposite to the island of</w:t></w:r>
</w:p>
<w:p>
<w:pPr><w:pStyle w:val="Normal"/></w:pPr>
<w:r><w:t xml:space="preserve">Sakhalin.  It is estimated to drain an area of 772,000 sq.</w:t></w:r>
</w:p>
<w:p>
<w:pPr><w:pStyle w:val="Normal"/></w:pPr>
<w:r><w:t xml:space="preserve">m.  Its principal tributaries from the south are the Sungari,</w:t></w:r>
</w:p>
<w:p>
<w:pPr><w:pStyle w:val="Normal"/></w:pPr>
<w:r><w:t xml:space="preserve">which the Chinese consider to be the true head-river of the</w:t></w:r>
</w:p>
<w:p>
<w:pPr><w:pStyle w:val="Normal"/></w:pPr>
<w:r><w:t xml:space="preserve">Amur, and the Usuri; from the north it receives the Oldoi,</w:t></w:r>
</w:p>
<w:p>
<w:pPr><w:pStyle w:val="Normal"/></w:pPr>
<w:r><w:t xml:space="preserve">Zeya, Bureya, Kur, Gorin and Amgun.  As the mouth is choked with</w:t></w:r>
</w:p>
<w:p>
<w:pPr><w:pStyle w:val="Normal"/></w:pPr>
<w:r><w:t xml:space="preserve">sandbanks, goods are disembarked at Mariinsk and carried by</w:t></w:r>
</w:p>
<w:p>
<w:pPr><w:pStyle w:val="Normal"/></w:pPr>
<w:r><w:t xml:space="preserve">train (9 m.) to Alexandrovsk at the head of the Gulf of Tartary.</w:t></w:r>
</w:p>
<w:p>
<w:pPr><w:pStyle w:val="Normal"/></w:pPr>
<w:r><w:t xml:space="preserve">Navigation on the river is open from April to early in November.</w:t></w:r>
</w:p>
<w:p>
<w:pPr><w:pStyle w:val="Normal"/></w:pPr>
<w:r><w:t xml:space="preserve">See T. W. Atkinson, Travels in the Region of the Amoor (1860);</w:t></w:r>
</w:p>
<w:p>
<w:pPr><w:pStyle w:val="Normal"/></w:pPr>
<w:r><w:t xml:space="preserve">Collins, Exploration of the Amoor (ed. 1864) and Voyage</w:t></w:r>
</w:p>
<w:p>
<w:pPr><w:pStyle w:val="Normal"/></w:pPr>
<w:r><w:t xml:space="preserve">down the Amoor (1866); Andree, Das Amurgebiet (ed. 1876);</w:t></w:r>
</w:p>
<w:p>
<w:pPr><w:pStyle w:val="Normal"/></w:pPr>
<w:r><w:t xml:space="preserve">and Grum- Grshimaylo, Accounit of the Amur (Russian, 1894).</w:t></w:r>
</w:p>
<w:p>
<w:pPr><w:pStyle w:val="Normal"/></w:pPr>
<w:r><w:t xml:space="preserve">AMUR, a government of East Siberia, stretching from the</w:t></w:r>
</w:p>
<w:p>
<w:pPr><w:pStyle w:val="Normal"/></w:pPr>
<w:r><w:t xml:space="preserve">Stanovoi (Yablonoi) mountains southwards to the left bank of</w:t></w:r>
</w:p>
<w:p>
<w:pPr><w:pStyle w:val="Normal"/></w:pPr>
<w:r><w:t xml:space="preserve">the Amur river.  It includes the basins of the Oldoi, Zeya and</w:t></w:r>
</w:p>
<w:p>
<w:pPr><w:pStyle w:val="Normal"/></w:pPr>
<w:r><w:t xml:space="preserve">Bureya, left-bank tributaries of the river Amur, and has the</w:t></w:r>
</w:p>
<w:p>
<w:pPr><w:pStyle w:val="Normal"/></w:pPr>
<w:r><w:t xml:space="preserve">governments of Transbaikalia on the W., Irkutsk and Yakutsk on</w:t></w:r>
</w:p>
<w:p>
<w:pPr><w:pStyle w:val="Normal"/></w:pPr>
<w:r><w:t xml:space="preserve">the N., the Maritime province on the E., and Manchuria on the</w:t></w:r>
</w:p>
<w:p>
<w:pPr><w:pStyle w:val="Normal"/></w:pPr>
<w:r><w:t xml:space="preserve">S.W. and S. Area, 172,848 sq. m.  Immense districts are quite</w:t></w:r>
</w:p>
<w:p>
<w:pPr><w:pStyle w:val="Normal"/></w:pPr>
<w:r><w:t xml:space="preserve">uninhabited.  All the north-western part is occupied by a high</w:t></w:r>
</w:p>
<w:p>
<w:pPr><w:pStyle w:val="Normal"/></w:pPr>
<w:r><w:t xml:space="preserve">plateau, bordered by the Great Khingan range, whose exact</w:t></w:r>
</w:p>
<w:p>
<w:pPr><w:pStyle w:val="Normal"/></w:pPr>
<w:r><w:t xml:space="preserve">position in the region is not yet definitely settled.  Next</w:t></w:r>
</w:p>
<w:p>
<w:pPr><w:pStyle w:val="Normal"/></w:pPr>
<w:r><w:t xml:space="preserve">comes a belt of fertile plateaus bounded on the east by the</w:t></w:r>
</w:p>
<w:p>
<w:pPr><w:pStyle w:val="Normal"/></w:pPr>
<w:r><w:t xml:space="preserve">Little Khingan, or Dusse-alin, a picturesque well-wooded</w:t></w:r>
</w:p>
<w:p>
<w:pPr><w:pStyle w:val="Normal"/></w:pPr>
<w:r><w:t xml:space="preserve">range, which stretches in a north-easterly direction from</w:t></w:r>
</w:p>
<w:p>
<w:pPr><w:pStyle w:val="Normal"/></w:pPr>
<w:r><w:t xml:space="preserve">Kirin across Manchuria, is pierced by the Amur, and continues</w:t></w:r>
</w:p>
<w:p>
<w:pPr><w:pStyle w:val="Normal"/></w:pPr>
<w:r><w:t xml:space="preserve">on its left bank, separating the Bureya from the Amgun.  To</w:t></w:r>
</w:p>
<w:p>
<w:pPr><w:pStyle w:val="Normal"/></w:pPr>
<w:r><w:t xml:space="preserve">the east of it stretches in the same direction a strip of</w:t></w:r>
</w:p>
<w:p>
<w:pPr><w:pStyle w:val="Normal"/></w:pPr>
<w:r><w:t xml:space="preserve">marshy lowlands.  In the ranges which rise above the high</w:t></w:r>
</w:p>
<w:p>
<w:pPr><w:pStyle w:val="Normal"/></w:pPr>
<w:r><w:t xml:space="preserve">plateau in the north-west, in the vicinity of the Stanovoi</w:t></w:r>
</w:p>
<w:p>
<w:pPr><w:pStyle w:val="Normal"/></w:pPr>
<w:r><w:t xml:space="preserve">watershed, gold mines of great richness are worked.  Coal</w:t></w:r>
</w:p>
<w:p>
<w:pPr><w:pStyle w:val="Normal"/></w:pPr>
<w:r><w:t xml:space="preserve">of inferior quality is known to exist on the Oldoi, Zeya and</w:t></w:r>
</w:p>
<w:p>
<w:pPr><w:pStyle w:val="Normal"/></w:pPr>
<w:r><w:t xml:space="preserve">Bureya.  The Russians are represented by the Amur Cossacks,</w:t></w:r>
</w:p>
<w:p>
<w:pPr><w:pStyle w:val="Normal"/></w:pPr>
<w:r><w:t xml:space="preserve">whose villages, e.g. Albazin, Kumara, Ekaterino-Nikolsk</w:t></w:r>
</w:p>
<w:p>
<w:pPr><w:pStyle w:val="Normal"/></w:pPr>
<w:r><w:t xml:space="preserve">and Mikhailo-Semenovsk, are strung at intervals of 17</w:t></w:r>
</w:p>
<w:p>
<w:pPr><w:pStyle w:val="Normal"/></w:pPr>
<w:r><w:t xml:space="preserve">to 20 m. along the whole course of the river; by peasant</w:t></w:r>
</w:p>
<w:p>
<w:pPr><w:pStyle w:val="Normal"/></w:pPr>
<w:r><w:t xml:space="preserve">immigrants, chiefly nonconformists, who are the wealthiest</w:t></w:r>
</w:p>
<w:p>
<w:pPr><w:pStyle w:val="Heading1"/></w:pPr>
<w:r><w:t>part of the population; and by a floating population of gold</w:t></w:r>
</w:p>
<w:p>
<w:pPr><w:pStyle w:val="Normal"/></w:pPr>
<w:r><w:t xml:space="preserve">miners.  Nomadic Tungus (Orochons), Manegres and Golds hunt</w:t></w:r>
</w:p>
<w:p>
<w:pPr><w:pStyle w:val="Normal"/></w:pPr>
<w:r><w:t xml:space="preserve">and fish along the rivers.  Steamers ply regularly along the</w:t></w:r>
</w:p>
<w:p>
<w:pPr><w:pStyle w:val="Normal"/></w:pPr>
<w:r><w:t xml:space="preserve">Amur for 6 1/2 months, from Khaharovsk to Stryetensk, on the</w:t></w:r>
</w:p>
<w:p>
<w:pPr><w:pStyle w:val="Normal"/></w:pPr>
<w:r><w:t xml:space="preserve">Shilka terminus of the Trans-Siberian railway; but only light</w:t></w:r>
</w:p>
<w:p>
<w:pPr><w:pStyle w:val="Normal"/></w:pPr>
<w:r><w:t xml:space="preserve">steamers with 2 to 3 ft. draught can navigate the upper Amur</w:t></w:r>
</w:p>
<w:p>
<w:pPr><w:pStyle w:val="Normal"/></w:pPr>
<w:r><w:t xml:space="preserve">and Shilka.  In the winter the frozen river is the usual</w:t></w:r>
</w:p>
<w:p>
<w:pPr><w:pStyle w:val="Normal"/></w:pPr>
<w:r><w:t xml:space="preserve">highway.  Rough roads and bridle-paths only are found in the</w:t></w:r>
</w:p>
<w:p>
<w:pPr><w:pStyle w:val="Normal"/></w:pPr>
<w:r><w:t xml:space="preserve">interior.  The great engineering difficulties in building</w:t></w:r>
</w:p>
<w:p>
<w:pPr><w:pStyle w:val="Normal"/></w:pPr>
<w:r><w:t xml:space="preserve">a railway along the Amur induced the Russian government</w:t></w:r>
</w:p>
<w:p>
<w:pPr><w:pStyle w:val="Normal"/></w:pPr>
<w:r><w:t xml:space="preserve">to obtain from China permission to build a railway through</w:t></w:r>
</w:p>
<w:p>
<w:pPr><w:pStyle w:val="Normal"/></w:pPr>
<w:r><w:t xml:space="preserve">Manchuria, but the project for a railway from Khabarovsk</w:t></w:r>
</w:p>
<w:p>
<w:pPr><w:pStyle w:val="Normal"/></w:pPr>
<w:r><w:t xml:space="preserve">to Stryetensk received imperial sanction in the summer of</w:t></w:r>
</w:p>
<w:p>
<w:pPr><w:pStyle w:val="Normal"/></w:pPr>
<w:r><w:t xml:space="preserve">1906.  The Amur government has a continental climate, the</w:t></w:r>
</w:p>
<w:p>
<w:pPr><w:pStyle w:val="Normal"/></w:pPr>
<w:r><w:t xml:space="preserve">yearly average at Blagovyeshchensk (50 deg.  N. lat.) being 30 deg.</w:t></w:r>
</w:p>
<w:p>
<w:pPr><w:pStyle w:val="Normal"/></w:pPr>
<w:r><w:t xml:space="preserve">Fahr. (January, 17 deg. ; July, 70 deg. ).  It benefits from the</w:t></w:r>
</w:p>
<w:p>
<w:pPr><w:pStyle w:val="Normal"/></w:pPr>
<w:r><w:t xml:space="preserve">influence of the monsoons.  Cold north-west winds prevail from</w:t></w:r>
</w:p>
<w:p>
<w:pPr><w:pStyle w:val="Normal"/></w:pPr>
<w:r><w:t xml:space="preserve">October to March, while in July and August torrential rains</w:t></w:r>
</w:p>
<w:p>
<w:pPr><w:pStyle w:val="Normal"/></w:pPr>
<w:r><w:t xml:space="preserve">fall, resulting in a sudden and very considerable rise in</w:t></w:r>
</w:p>
<w:p>
<w:pPr><w:pStyle w:val="Normal"/></w:pPr>
<w:r><w:t xml:space="preserve">the Amur and its right-bank tributaries.  The only town is</w:t></w:r>
</w:p>
<w:p>
<w:pPr><w:pStyle w:val="Normal"/></w:pPr>
<w:r><w:t xml:space="preserve">Blagovyeshchensk, but the centre of the administration is</w:t></w:r>
</w:p>
<w:p>
<w:pPr><w:pStyle w:val="Normal"/></w:pPr>
<w:r><w:t xml:space="preserve">Khabarovsk in the Maritime province.  The settled population</w:t></w:r>
</w:p>
<w:p>
<w:pPr><w:pStyle w:val="Normal"/></w:pPr>
<w:r><w:t xml:space="preserve">in 1897 was 119,909, of whom 31,515 lived in towns.</w:t></w:r>
</w:p>
<w:p>
<w:pPr><w:pStyle w:val="Normal"/></w:pPr>
<w:r><w:t xml:space="preserve">The governor-generalship of Amur includes this government</w:t></w:r>
</w:p>
<w:p>
<w:pPr><w:pStyle w:val="Normal"/></w:pPr>
<w:r><w:t xml:space="preserve">and the Maritime province, the total area being 888,830 sq.</w:t></w:r>
</w:p>
<w:p>
<w:pPr><w:pStyle w:val="Normal"/></w:pPr>
<w:r><w:t xml:space="preserve">m., and the total population in 1897, 339,127.  This region</w:t></w:r>
</w:p>
<w:p>
<w:pPr><w:pStyle w:val="Normal"/></w:pPr>
<w:r><w:t xml:space="preserve">became known to the Russians in 1639.  In 1649-1651 a party of</w:t></w:r>
</w:p>
<w:p>
<w:pPr><w:pStyle w:val="Normal"/></w:pPr>
<w:r><w:t xml:space="preserve">Cossacks, under Khabarov, built a fort at Albazin on the Amur</w:t></w:r>
</w:p>
<w:p>
<w:pPr><w:pStyle w:val="Normal"/></w:pPr>
<w:r><w:t xml:space="preserve">river, but in 1689 they withdrew in favour of the Chinese.</w:t></w:r>
</w:p>
<w:p>
<w:pPr><w:pStyle w:val="Normal"/></w:pPr>
<w:r><w:t xml:space="preserve">From 1847 onwards they once more turned their attention to</w:t></w:r>
</w:p>
<w:p>
<w:pPr><w:pStyle w:val="Normal"/></w:pPr>
<w:r><w:t xml:space="preserve">this region, and began to make settlements, especially after</w:t></w:r>
</w:p>
<w:p>
<w:pPr><w:pStyle w:val="Normal"/></w:pPr>
<w:r><w:t xml:space="preserve">1854, when a powerful flotilla sailed from Ust-Stryelka down</w:t></w:r>
</w:p>
<w:p>
<w:pPr><w:pStyle w:val="Normal"/></w:pPr>
<w:r><w:t xml:space="preserve">to the mouth of the river.  Four years later China ceded to</w:t></w:r>
</w:p>
<w:p>
<w:pPr><w:pStyle w:val="Normal"/></w:pPr>
<w:r><w:t xml:space="preserve">Russia the whole left bank of the Amur, and also the right</w:t></w:r>
</w:p>
<w:p>
<w:pPr><w:pStyle w:val="Normal"/></w:pPr>
<w:r><w:t xml:space="preserve">bank below the confluence of the Ussuri, and in 1860 all the</w:t></w:r>
</w:p>
<w:p>
<w:pPr><w:pStyle w:val="Normal"/></w:pPr>
<w:r><w:t xml:space="preserve">territory between the Ussuri and the Eastern Sea. (P. A. K.)</w:t></w:r>
</w:p>
<w:p>
<w:pPr><w:pStyle w:val="Normal"/></w:pPr>
<w:r><w:t xml:space="preserve">AMYGDALIN (from the Gr. amugdale, almond),</w:t></w:r>
</w:p>
<w:p>
<w:pPr><w:pStyle w:val="Normal"/></w:pPr>
<w:r><w:t xml:space="preserve">C20H27NO11, a glucoside isolated from bitter almonds</w:t></w:r>
</w:p>
<w:p>
<w:pPr><w:pStyle w:val="Normal"/></w:pPr>
<w:r><w:t xml:space="preserve">by H. E. Robiquet and A. F. Boutron-Charlard in 1830, and</w:t></w:r>
</w:p>
<w:p>
<w:pPr><w:pStyle w:val="Normal"/></w:pPr>
<w:r><w:t xml:space="preserve">subsequently investigated by Liebig and Wohler, and others.</w:t></w:r>
</w:p>
<w:p>
<w:pPr><w:pStyle w:val="Normal"/></w:pPr>
<w:r><w:t xml:space="preserve">It is extracted from almond cake by boiling alcohol; on</w:t></w:r>
</w:p>
<w:p>
<w:pPr><w:pStyle w:val="Normal"/></w:pPr>
<w:r><w:t xml:space="preserve">evaporation of the solution and the addition of ether, amygdalin</w:t></w:r>
</w:p>
<w:p>
<w:pPr><w:pStyle w:val="Normal"/></w:pPr>
<w:r><w:t xml:space="preserve">is precipitated as white minute crystals.  Sulphuric acid</w:t></w:r>
</w:p>
<w:p>
<w:pPr><w:pStyle w:val="Normal"/></w:pPr>
<w:r><w:t xml:space="preserve">decomposes it into d-glucose, benzaldehyde and prussic acid;</w:t></w:r>
</w:p>
<w:p>
<w:pPr><w:pStyle w:val="Normal"/></w:pPr>
<w:r><w:t xml:space="preserve">while hydrochloric acid gives mandelic acid, d-glucose and</w:t></w:r>
</w:p>
<w:p>
<w:pPr><w:pStyle w:val="Normal"/></w:pPr>
<w:r><w:t xml:space="preserve">ammonia.  The decomposition induced by enzymes may occur in two</w:t></w:r>
</w:p>
<w:p>
<w:pPr><w:pStyle w:val="Normal"/></w:pPr>
<w:r><w:t xml:space="preserve">ways.  Maltase partially decomposes it, giving d-glucose</w:t></w:r>
</w:p>
<w:p>
<w:pPr><w:pStyle w:val="Normal"/></w:pPr>
<w:r><w:t xml:space="preserve">and mandelic nitrile glucoside, C6H5CH(CN)O.C6H11O5;</w:t></w:r>
</w:p>
<w:p>
<w:pPr><w:pStyle w:val="Normal"/></w:pPr>
<w:r><w:t xml:space="preserve">this compound is isomeric with sambunigrin, a glucoside</w:t></w:r>
</w:p>
<w:p>
<w:pPr><w:pStyle w:val="Normal"/></w:pPr>
<w:r><w:t xml:space="preserve">found by E. E. Bourquelot and Danjou in the berries of the</w:t></w:r>
</w:p>
<w:p>
<w:pPr><w:pStyle w:val="Normal"/></w:pPr>
<w:r><w:t xml:space="preserve">common elder, Sambucus nigra. Emulsin, on the other hand,</w:t></w:r>
</w:p>
<w:p>
<w:pPr><w:pStyle w:val="Normal"/></w:pPr>
<w:r><w:t xml:space="preserve">decomposes it into benzaldehyde, prussic acid, and two molecules</w:t></w:r>
</w:p>
<w:p>
<w:pPr><w:pStyle w:val="Normal"/></w:pPr>
<w:r><w:t xml:space="preserve">of glucose; this enzyme occurs in the bitter almond, and</w:t></w:r>
</w:p>
<w:p>
<w:pPr><w:pStyle w:val="Normal"/></w:pPr>
<w:r><w:t xml:space="preserve">consequently the seeds invariably contain free prussic acid and</w:t></w:r>
</w:p>
<w:p>
<w:pPr><w:pStyle w:val="Normal"/></w:pPr>
<w:r><w:t xml:space="preserve">benzaldehyde.  An ``amorphous amygdalin&apos;&apos; is said to occur in the</w:t></w:r>
</w:p>
<w:p>
<w:pPr><w:pStyle w:val="Normal"/></w:pPr>
<w:r><w:t xml:space="preserve">cherry-laurel.  Closely related to these glucosides is dhurrin,</w:t></w:r>
</w:p>
<w:p>
<w:pPr><w:pStyle w:val="Normal"/></w:pPr>
<w:r><w:t xml:space="preserve">C14H17O7N, isolated by W. Dunstan and T. A. Henry from</w:t></w:r>
</w:p>
<w:p>
<w:pPr><w:pStyle w:val="Normal"/></w:pPr>
<w:r><w:t xml:space="preserve">the common sorghum or ``great millet,&apos;&apos; Sorghum vulgare;</w:t></w:r>
</w:p>
<w:p>
<w:pPr><w:pStyle w:val="Normal"/></w:pPr>
<w:r><w:t xml:space="preserve">this substance is decomposed by emulsin or hydrochloric acid</w:t></w:r>
</w:p>
<w:p>
<w:pPr><w:pStyle w:val="Normal"/></w:pPr>
<w:r><w:t xml:space="preserve">into d-glucose, prussic acid, and p-hydroxybenzaldehyde.</w:t></w:r>
</w:p>
<w:p>
<w:pPr><w:pStyle w:val="Normal"/></w:pPr>
<w:r><w:t xml:space="preserve">AMYGDALOID, a term meaning ``almond-shaped,&apos;&apos; used in anatomy and geology.</w:t></w:r>
</w:p>
<w:p>
<w:pPr><w:pStyle w:val="Normal"/></w:pPr>
<w:r><w:t xml:space="preserve">AMYL ALCOHOLS (C5H11OH).  Eight amyl alcohols are known:</w:t></w:r>
</w:p>
<w:p>
<w:pPr><w:pStyle w:val="Normal"/></w:pPr>
<w:r><w:t xml:space="preserve">normal amyl alcohol CH3.(CH2)4.OH, isobutyl carbinol</w:t></w:r>
</w:p>
<w:p>
<w:pPr><w:pStyle w:val="Normal"/></w:pPr>
<w:r><w:t xml:space="preserve">or isoamyl alcohol (CH3)2.CH.CH2.CH2OH, active amyl</w:t></w:r>
</w:p>
<w:p>
<w:pPr><w:pStyle w:val="Normal"/></w:pPr>
<w:r><w:t xml:space="preserve">alcohol (CH3)(C2H5):CH.CH2OH, tertiary butyl carbinol</w:t></w:r>
</w:p>
<w:p>
<w:pPr><w:pStyle w:val="Normal"/></w:pPr>
<w:r><w:t xml:space="preserve">(CH3)3C.CH2OH, diethyl carbinol (C2H5)2CH.OH, methyl (n)</w:t></w:r>
</w:p>
<w:p>
<w:pPr><w:pStyle w:val="Normal"/></w:pPr>
<w:r><w:t xml:space="preserve">propyl carbinol (CH3.CH2.CH2)(CH3):CH:OH, methyl isopropyl</w:t></w:r>
</w:p>
<w:p>
<w:pPr><w:pStyle w:val="Normal"/></w:pPr>
<w:r><w:t xml:space="preserve">carbinol (CH3)2:CH(CH3):CHOH, and dimethyl ethyl carbinol</w:t></w:r>
</w:p>
<w:p>
<w:pPr><w:pStyle w:val="Normal"/></w:pPr>
<w:r><w:t xml:space="preserve">(CH3)2.(C2H5).:C.OH.  Of these alcohols, the first</w:t></w:r>
</w:p>
<w:p>
<w:pPr><w:pStyle w:val="Normal"/></w:pPr>
<w:r><w:t xml:space="preserve">four are primary, the last one a tertiary, the other three</w:t></w:r>
</w:p>
<w:p>
<w:pPr><w:pStyle w:val="Normal"/></w:pPr>
<w:r><w:t xml:space="preserve">secondary alcohols; three of them, viz. active amyl alcohol,</w:t></w:r>
</w:p>
<w:p>
<w:pPr><w:pStyle w:val="Normal"/></w:pPr>
<w:r><w:t xml:space="preserve">methyl (n) propyl carbinol, and methyl isopropyl carbinol,</w:t></w:r>
</w:p>
<w:p>
<w:pPr><w:pStyle w:val="Normal"/></w:pPr>
<w:r><w:t xml:space="preserve">contain an asymmetric carbon atom and can consequently each</w:t></w:r>
</w:p>
<w:p>
<w:pPr><w:pStyle w:val="Normal"/></w:pPr>
<w:r><w:t xml:space="preserve">exist in two optically active, and one optically inactive form.</w:t></w:r>
</w:p>
<w:p>
<w:pPr><w:pStyle w:val="Normal"/></w:pPr>
<w:r><w:t xml:space="preserve">The most important is isobutyl carbinol, this being the chief</w:t></w:r>
</w:p>
<w:p>
<w:pPr><w:pStyle w:val="Normal"/></w:pPr>
<w:r><w:t xml:space="preserve">constituent of fermentation amyl alcohol, and consequently a</w:t></w:r>
</w:p>
<w:p>
<w:pPr><w:pStyle w:val="Normal"/></w:pPr>
<w:r><w:t xml:space="preserve">constituent of fusel (q.v.) oil.  It may be separated from</w:t></w:r>
</w:p>
<w:p>
<w:pPr><w:pStyle w:val="Normal"/></w:pPr>
<w:r><w:t xml:space="preserve">fusel oil by shaking with strong brine solution, separating the</w:t></w:r>
</w:p>
<w:p>
<w:pPr><w:pStyle w:val="Normal"/></w:pPr>
<w:r><w:t xml:space="preserve">oily layer from the brine layer and distilling it, the portion</w:t></w:r>
</w:p>
<w:p>
<w:pPr><w:pStyle w:val="Normal"/></w:pPr>
<w:r><w:t xml:space="preserve">boiling between 125 deg.  and 140 deg. C. being collected.  For further</w:t></w:r>
</w:p>
<w:p>
<w:pPr><w:pStyle w:val="Normal"/></w:pPr>
<w:r><w:t xml:space="preserve">purification it may be shaken with hot milk of lime, the oily</w:t></w:r>
</w:p>
<w:p>
<w:pPr><w:pStyle w:val="Normal"/></w:pPr>
<w:r><w:t xml:space="preserve">layer separated, dried with calcium chloride and fractionated,</w:t></w:r>
</w:p>
<w:p>
<w:pPr><w:pStyle w:val="Normal"/></w:pPr>
<w:r><w:t xml:space="preserve">the fraction boiling between 128 deg.  and 132 deg. C. only being</w:t></w:r>
</w:p>
<w:p>
<w:pPr><w:pStyle w:val="Normal"/></w:pPr>
<w:r><w:t xml:space="preserve">collected.  It may be synthetically prepared from isobutyl alcohol</w:t></w:r>
</w:p>
<w:p>
<w:pPr><w:pStyle w:val="Normal"/></w:pPr>
<w:r><w:t xml:space="preserve">by conversion into isovaleryl-aldehyde, which is subsequently</w:t></w:r>
</w:p>
<w:p>
<w:pPr><w:pStyle w:val="Normal"/></w:pPr>
<w:r><w:t xml:space="preserve">reduced to isobutyl carbinol by means of sodium amalgam.</w:t></w:r>
</w:p>
<w:p>
<w:pPr><w:pStyle w:val="Normal"/></w:pPr>
<w:r><w:t xml:space="preserve">It is a colourless liquid of specific gravity 0.8248 (0 deg. C.),</w:t></w:r>
</w:p>
<w:p>
<w:pPr><w:pStyle w:val="Normal"/></w:pPr>
<w:r><w:t xml:space="preserve">boiling at 131.6 deg. C., slightly soluble in water, easily</w:t></w:r>
</w:p>
<w:p>
<w:pPr><w:pStyle w:val="Normal"/></w:pPr>
<w:r><w:t xml:space="preserve">soluble in alcohol, ether, chloroform and benzene.  It</w:t></w:r>
</w:p>
<w:p>
<w:pPr><w:pStyle w:val="Normal"/></w:pPr>
<w:r><w:t xml:space="preserve">possesses a characteristic strong smell and a sharp burning</w:t></w:r>
</w:p>
<w:p>
<w:pPr><w:pStyle w:val="Normal"/></w:pPr>
<w:r><w:t xml:space="preserve">taste.  When perfectly pure, it is not a poison, although</w:t></w:r>
</w:p>
<w:p>
<w:pPr><w:pStyle w:val="Normal"/></w:pPr>
<w:r><w:t xml:space="preserve">the impure product is.  On passing its vapour through a</w:t></w:r>
</w:p>
<w:p>
<w:pPr><w:pStyle w:val="Normal"/></w:pPr>
<w:r><w:t xml:space="preserve">red-hot tube, it undergoes decomposition with production of</w:t></w:r>
</w:p>
<w:p>
<w:pPr><w:pStyle w:val="Normal"/></w:pPr>
<w:r><w:t xml:space="preserve">acetylene, ethylene, propylene, &amp;c. It is oxidized by chromic</w:t></w:r>
</w:p>
<w:p>
<w:pPr><w:pStyle w:val="Normal"/></w:pPr>
<w:r><w:t xml:space="preserve">acid mixture to isovaleryl-aldehyde; and it forms crystalline</w:t></w:r>
</w:p>
<w:p>
<w:pPr><w:pStyle w:val="Normal"/></w:pPr>
<w:r><w:t xml:space="preserve">addition compounds with calcium and stannic chlorides.</w:t></w:r>
</w:p>
<w:p>
<w:pPr><w:pStyle w:val="Normal"/></w:pPr>
<w:r><w:t xml:space="preserve">The other amyl alcohols may be obtained synthetically.  Of</w:t></w:r>
</w:p>
<w:p>
<w:pPr><w:pStyle w:val="Normal"/></w:pPr>
<w:r><w:t xml:space="preserve">these, tertiary butyl carbinol has been the most difficult</w:t></w:r>
</w:p>
<w:p>
<w:pPr><w:pStyle w:val="Normal"/></w:pPr>
<w:r><w:t xml:space="preserve">to obtain, its synthesis having only been accomplished in</w:t></w:r>
</w:p>
<w:p>
<w:pPr><w:pStyle w:val="Normal"/></w:pPr>
<w:r><w:t xml:space="preserve">1891, by L. Tissier (Comptes Rendus, 1891, 112, p. 1065)</w:t></w:r>
</w:p>
<w:p>
<w:pPr><w:pStyle w:val="Normal"/></w:pPr>
<w:r><w:t xml:space="preserve">by the reduction of a mixture of trimethyl acetic acid</w:t></w:r>
</w:p>
<w:p>
<w:pPr><w:pStyle w:val="Normal"/></w:pPr>
<w:r><w:t xml:space="preserve">and trimethylacetyl chloride with sodium amalgam.  It is a</w:t></w:r>
</w:p>
<w:p>
<w:pPr><w:pStyle w:val="Normal"/></w:pPr>
<w:r><w:t xml:space="preserve">solid which melts at 48 deg. -50 deg.  C. and boils at 112.3 deg.  C.</w:t></w:r>
</w:p>
<w:p>
<w:pPr><w:pStyle w:val="Normal"/></w:pPr>
<w:r><w:t xml:space="preserve">AMYL NITRITE (isoamyl nitrite), C5H11.ONO, a liquid</w:t></w:r>
</w:p>
<w:p>
<w:pPr><w:pStyle w:val="Normal"/></w:pPr>
<w:r><w:t xml:space="preserve">prepared by passing nitrous fumes (from starch and concentrated</w:t></w:r>
</w:p>
<w:p>
<w:pPr><w:pStyle w:val="Normal"/></w:pPr>
<w:r><w:t xml:space="preserve">nitric acid) into warm isoamyl alcohol; or by distilling a</w:t></w:r>
</w:p>
<w:p>
<w:pPr><w:pStyle w:val="Normal"/></w:pPr>
<w:r><w:t xml:space="preserve">mixture of 26 parts of potassium nitrite in 15 parts of water</w:t></w:r>
</w:p>
<w:p>
<w:pPr><w:pStyle w:val="Normal"/></w:pPr>
<w:r><w:t xml:space="preserve">with 30 parts of isoamyl alcohol in 30 parts of sulphuric acid</w:t></w:r>
</w:p>
<w:p>
<w:pPr><w:pStyle w:val="Normal"/></w:pPr>
<w:r><w:t xml:space="preserve">(Renard, Jahresb., 1874, p. 352).  It is a yellow-coloured</w:t></w:r>
</w:p>
<w:p>
<w:pPr><w:pStyle w:val="Normal"/></w:pPr>
<w:r><w:t xml:space="preserve">liquid of specific gravity 0.877, boiling at about 95 deg. -96 deg.</w:t></w:r>
</w:p>
<w:p>
<w:pPr><w:pStyle w:val="Heading1"/></w:pPr>
<w:r><w:t>C. It has a characteristic penetrating odour, and produces</w:t></w:r>
</w:p>
<w:p>
<w:pPr><w:pStyle w:val="Normal"/></w:pPr>
<w:r><w:t xml:space="preserve">marked effects on the system when its vapour is inhaled.</w:t></w:r>
</w:p>
<w:p>
<w:pPr><w:pStyle w:val="Normal"/></w:pPr>
<w:r><w:t xml:space="preserve">It is insoluble in water, but dissolves readily in alcohol,</w:t></w:r>
</w:p>
<w:p>
<w:pPr><w:pStyle w:val="Normal"/></w:pPr>
<w:r><w:t xml:space="preserve">ether, glacial acetic acid, chloroform and benzene.  On heating</w:t></w:r>
</w:p>
<w:p>
<w:pPr><w:pStyle w:val="Normal"/></w:pPr>
<w:r><w:t xml:space="preserve">with methyl alcohol it is converted into isoamyl alcohol,</w:t></w:r>
</w:p>
<w:p>
<w:pPr><w:pStyle w:val="Normal"/></w:pPr>
<w:r><w:t xml:space="preserve">methyl nitrite being produced at the same time; a similar</w:t></w:r>
</w:p>
<w:p>
<w:pPr><w:pStyle w:val="Normal"/></w:pPr>
<w:r><w:t xml:space="preserve">reaction takes place with ethyl alcohol, but the change is less</w:t></w:r>
</w:p>
<w:p>
<w:pPr><w:pStyle w:val="Normal"/></w:pPr>
<w:r><w:t xml:space="preserve">complete.  It is readily decomposed by nascent hydrogen, with</w:t></w:r>
</w:p>
<w:p>
<w:pPr><w:pStyle w:val="Normal"/></w:pPr>
<w:r><w:t xml:space="preserve">the formation of ammonia and isoamyl alcohol; and on hydrolysis</w:t></w:r>
</w:p>
<w:p>
<w:pPr><w:pStyle w:val="Normal"/></w:pPr>
<w:r><w:t xml:space="preserve">with caustic potash it forms potassium nitrite and isoamyl</w:t></w:r>
</w:p>
<w:p>
<w:pPr><w:pStyle w:val="Normal"/></w:pPr>
<w:r><w:t xml:space="preserve">alcohol.  When the liquid is dropped on to fused caustic</w:t></w:r>
</w:p>
<w:p>
<w:pPr><w:pStyle w:val="Normal"/></w:pPr>
<w:r><w:t xml:space="preserve">potash, it forms potassium valerate.  Amyl nitrite finds</w:t></w:r>
</w:p>
<w:p>
<w:pPr><w:pStyle w:val="Normal"/></w:pPr>
<w:r><w:t xml:space="preserve">application in medicine, and in the preparation of anhydrous</w:t></w:r>
</w:p>
<w:p>
<w:pPr><w:pStyle w:val="Normal"/></w:pPr>
<w:r><w:t xml:space="preserve">diazonium salts (E. Knoevenagel, Berichte, 1890, 23, p. 2094).</w:t></w:r>
</w:p>
<w:p>
<w:pPr><w:pStyle w:val="Normal"/></w:pPr>
<w:r><w:t xml:space="preserve">AMYMONE, in ancient Greek legend, daughter of Danaus.</w:t></w:r>
</w:p>
<w:p>
<w:pPr><w:pStyle w:val="Normal"/></w:pPr>
<w:r><w:t xml:space="preserve">With her sisters, she had been sent to look for water, the</w:t></w:r>
</w:p>
<w:p>
<w:pPr><w:pStyle w:val="Normal"/></w:pPr>
<w:r><w:t xml:space="preserve">district of Argos being then parched through the anger of</w:t></w:r>
</w:p>
<w:p>
<w:pPr><w:pStyle w:val="Normal"/></w:pPr>
<w:r><w:t xml:space="preserve">Poseidon.  Amymone having thrown her spear at a stag, missed</w:t></w:r>
</w:p>
<w:p>
<w:pPr><w:pStyle w:val="Normal"/></w:pPr>
<w:r><w:t xml:space="preserve">it, but hit a satyr asleep in the brake.  The satyr pursued</w:t></w:r>
</w:p>
<w:p>
<w:pPr><w:pStyle w:val="Normal"/></w:pPr>
<w:r><w:t xml:space="preserve">her, and she called for help on Poseidon, who appeared,</w:t></w:r>
</w:p>
<w:p>
<w:pPr><w:pStyle w:val="Normal"/></w:pPr>
<w:r><w:t xml:space="preserve">and for love of her beauty caused a spring to well up,</w:t></w:r>
</w:p>
<w:p>
<w:pPr><w:pStyle w:val="Normal"/></w:pPr>
<w:r><w:t xml:space="preserve">which received her name.  Aeschylus wrote a satyric drama</w:t></w:r>
</w:p>
<w:p>
<w:pPr><w:pStyle w:val="Normal"/></w:pPr>
<w:r><w:t xml:space="preserve">on the subject.  By the god Amymone became the mother of</w:t></w:r>
</w:p>
<w:p>
<w:pPr><w:pStyle w:val="Normal"/></w:pPr>
<w:r><w:t xml:space="preserve">Nauplius, the wrecker.  Her meeting with Poseidon at the</w:t></w:r>
</w:p>
<w:p>
<w:pPr><w:pStyle w:val="Normal"/></w:pPr>
<w:r><w:t xml:space="preserve">spring is frequently represented on ancient coins and gems.</w:t></w:r>
</w:p>
<w:p>
<w:pPr><w:pStyle w:val="Normal"/></w:pPr>
<w:r><w:t xml:space="preserve">Apollodorus ii. 1, 4; Hyginus, Fab. 169; Propertius ii. 26.</w:t></w:r>
</w:p>
<w:p>
<w:pPr><w:pStyle w:val="Normal"/></w:pPr>
<w:r><w:t xml:space="preserve">AMYNTAS I., king of Macedonia (c. 540-498 B.C.), was a</w:t></w:r>
</w:p>
<w:p>
<w:pPr><w:pStyle w:val="Normal"/></w:pPr>
<w:r><w:t xml:space="preserve">tributary vassal of Darius Hystaspes.  With him the history of</w:t></w:r>
</w:p>
<w:p>
<w:pPr><w:pStyle w:val="Normal"/></w:pPr>
<w:r><w:t xml:space="preserve">Macedonia may be said to begin.  He was the first of its rulers</w:t></w:r>
</w:p>
<w:p>
<w:pPr><w:pStyle w:val="Normal"/></w:pPr>
<w:r><w:t xml:space="preserve">to have relations with other countries; he entered into an</w:t></w:r>
</w:p>
<w:p>
<w:pPr><w:pStyle w:val="Normal"/></w:pPr>
<w:r><w:t xml:space="preserve">alliance with the Peisistratidae, and when Hippias was driven</w:t></w:r>
</w:p>
<w:p>
<w:pPr><w:pStyle w:val="Normal"/></w:pPr>
<w:r><w:t xml:space="preserve">out of Athens he offered him the territory of Anthemus on the</w:t></w:r>
</w:p>
<w:p>
<w:pPr><w:pStyle w:val="Normal"/></w:pPr>
<w:r><w:t xml:space="preserve">Thermaic Gulf, with the object of turning the Greek party</w:t></w:r>
</w:p>
<w:p>
<w:pPr><w:pStyle w:val="Normal"/></w:pPr>
<w:r><w:t xml:space="preserve">feuds to his own advantage (Herodotus v. 17, 94; Justin vii. 2;</w:t></w:r>
</w:p>
<w:p>
<w:pPr><w:pStyle w:val="Normal"/></w:pPr>
<w:r><w:t xml:space="preserve">Thucydides ii. 100; Pausanias ix. 40). See MACEDONIAN EMPIRE.</w:t></w:r>
</w:p>
<w:p>
<w:pPr><w:pStyle w:val="Normal"/></w:pPr>
<w:r><w:t xml:space="preserve">AMYNTAS II. (or III.), son of Arrhidaeus, great-grandson</w:t></w:r>
</w:p>
<w:p>
<w:pPr><w:pStyle w:val="Normal"/></w:pPr>
<w:r><w:t xml:space="preserve">of Alexander I., king of Macedonia from 393 (or 389) to 369</w:t></w:r>
</w:p>
<w:p>
<w:pPr><w:pStyle w:val="Normal"/></w:pPr>
<w:r><w:t xml:space="preserve">B.C. He came to the throne after the ten years of confusion</w:t></w:r>
</w:p>
<w:p>
<w:pPr><w:pStyle w:val="Normal"/></w:pPr>
<w:r><w:t xml:space="preserve">which followed the death of Archelaus, the patron of art and</w:t></w:r>
</w:p>
<w:p>
<w:pPr><w:pStyle w:val="Normal"/></w:pPr>
<w:r><w:t xml:space="preserve">literature, and showed the same taste for Greek culture and its</w:t></w:r>
</w:p>
<w:p>
<w:pPr><w:pStyle w:val="Normal"/></w:pPr>
<w:r><w:t xml:space="preserve">representatives.  But he had many enemies at home; in 383</w:t></w:r>
</w:p>
<w:p>
<w:pPr><w:pStyle w:val="Normal"/></w:pPr>
<w:r><w:t xml:space="preserve">he was driven out by the Illyrians, but in the following</w:t></w:r>
</w:p>
<w:p>
<w:pPr><w:pStyle w:val="Normal"/></w:pPr>
<w:r><w:t xml:space="preserve">year, with the aid of the Thessalians, he recovered his</w:t></w:r>
</w:p>
<w:p>
<w:pPr><w:pStyle w:val="Normal"/></w:pPr>
<w:r><w:t xml:space="preserve">kingdom.  He concluded a treaty with the Spartans, who</w:t></w:r>
</w:p>
<w:p>
<w:pPr><w:pStyle w:val="Normal"/></w:pPr>
<w:r><w:t xml:space="preserve">assisted him to reduce Olynthus (379).  He also entered into</w:t></w:r>
</w:p>
<w:p>
<w:pPr><w:pStyle w:val="Normal"/></w:pPr>
<w:r><w:t xml:space="preserve">a league with Jason of Pherae, and assiduously cultivated the</w:t></w:r>
</w:p>
<w:p>
<w:pPr><w:pStyle w:val="Normal"/></w:pPr>
<w:r><w:t xml:space="preserve">friendship of Athens.  By his wife, Eurydice, he had three</w:t></w:r>
</w:p>
<w:p>
<w:pPr><w:pStyle w:val="Normal"/></w:pPr>
<w:r><w:t xml:space="preserve">sons, the youngest of whom was the famous Philip of Macedon.</w:t></w:r>
</w:p>
<w:p>
<w:pPr><w:pStyle w:val="Normal"/></w:pPr>
<w:r><w:t xml:space="preserve">Diodorus xiv. 89, xv. 19, 60; Xenophon, Hellenica, v. 2; Justin vii. 4.</w:t></w:r>
</w:p>
<w:p>
<w:pPr><w:pStyle w:val="Normal"/></w:pPr>
<w:r><w:t xml:space="preserve">AMYOT, JACQUES (1513-1593), French writer, was born of poor</w:t></w:r>
</w:p>
<w:p>
<w:pPr><w:pStyle w:val="Normal"/></w:pPr>
<w:r><w:t xml:space="preserve">parents, at Melun, on the 30th of October 1513.  He found his</w:t></w:r>
</w:p>
<w:p>
<w:pPr><w:pStyle w:val="Normal"/></w:pPr>
<w:r><w:t xml:space="preserve">way to the university of Paris, where he supported himself by</w:t></w:r>
</w:p>
<w:p>
<w:pPr><w:pStyle w:val="Normal"/></w:pPr>
<w:r><w:t xml:space="preserve">serving some of the richer students.  He was nineteen when he</w:t></w:r>
</w:p>
<w:p>
<w:pPr><w:pStyle w:val="Normal"/></w:pPr>
<w:r><w:t xml:space="preserve">became M.A. at Paris, and later he graduated doctor of civil</w:t></w:r>
</w:p>
<w:p>
<w:pPr><w:pStyle w:val="Normal"/></w:pPr>
<w:r><w:t xml:space="preserve">law at Bourges.  Through Jacques Colure (or Colin), abbot of</w:t></w:r>
</w:p>
<w:p>
<w:pPr><w:pStyle w:val="Normal"/></w:pPr>
<w:r><w:t xml:space="preserve">St Ambrose in Bourges, he obtained a tutorship in the family</w:t></w:r>
</w:p>
<w:p>
<w:pPr><w:pStyle w:val="Normal"/></w:pPr>
<w:r><w:t xml:space="preserve">of a secretary of state.  By the secretary he was recommended</w:t></w:r>
</w:p>
<w:p>
<w:pPr><w:pStyle w:val="Normal"/></w:pPr>
<w:r><w:t xml:space="preserve">to Marguerite de Valois, and through her influence was made</w:t></w:r>
</w:p>
<w:p>
<w:pPr><w:pStyle w:val="Normal"/></w:pPr>
<w:r><w:t xml:space="preserve">professor of Greek and Latin at Bourges.  Here he translated</w:t></w:r>
</w:p>
<w:p>
<w:pPr><w:pStyle w:val="Normal"/></w:pPr>
<w:r><w:t xml:space="preserve">Theagene et Chariclee from Heliodorus (1547 fol.),</w:t></w:r>
</w:p>
<w:p>
<w:pPr><w:pStyle w:val="Normal"/></w:pPr>
<w:r><w:t xml:space="preserve">for which he was rewarded by Francis I. with the abbey of</w:t></w:r>
</w:p>
<w:p>
<w:pPr><w:pStyle w:val="Normal"/></w:pPr>
<w:r><w:t xml:space="preserve">Bellozane.  He was thus enabled to go to Italy to study the</w:t></w:r>
</w:p>
<w:p>
<w:pPr><w:pStyle w:val="Normal"/></w:pPr>
<w:r><w:t xml:space="preserve">Vatican text of Plutarch, on the translation on whose Lives</w:t></w:r>
</w:p>
<w:p>
<w:pPr><w:pStyle w:val="Normal"/></w:pPr>
<w:r><w:t xml:space="preserve">(1559; 1565) he had been some time engaged.  On the way he</w:t></w:r>
</w:p>
<w:p>
<w:pPr><w:pStyle w:val="Normal"/></w:pPr>
<w:r><w:t xml:space="preserve">turned aside on a mission to the council of Trent.  Returning</w:t></w:r>
</w:p>
<w:p>
<w:pPr><w:pStyle w:val="Normal"/></w:pPr>
<w:r><w:t xml:space="preserve">home, he was appointed tutor to the sons of Henry II., by one</w:t></w:r>
</w:p>
<w:p>
<w:pPr><w:pStyle w:val="Normal"/></w:pPr>
<w:r><w:t xml:space="preserve">of whom (Charles IX.) he was afterwards made grand almoner</w:t></w:r>
</w:p>
<w:p>
<w:pPr><w:pStyle w:val="Normal"/></w:pPr>
<w:r><w:t xml:space="preserve">(1561) and by the other (Henry III.) was appointed, in spite</w:t></w:r>
</w:p>
<w:p>
<w:pPr><w:pStyle w:val="Normal"/></w:pPr>
<w:r><w:t xml:space="preserve">of his plebeian origin, commander of the order of the Holy</w:t></w:r>
</w:p>
<w:p>
<w:pPr><w:pStyle w:val="Normal"/></w:pPr>
<w:r><w:t xml:space="preserve">Ghost.  Pius I. promoted him to the bishopric of Auxerre, and</w:t></w:r>
</w:p>
<w:p>
<w:pPr><w:pStyle w:val="Normal"/></w:pPr>
<w:r><w:t xml:space="preserve">here he continued to live in comparative quiet, repairing his</w:t></w:r>
</w:p>
<w:p>
<w:pPr><w:pStyle w:val="Normal"/></w:pPr>
<w:r><w:t xml:space="preserve">cathedral and perfecting his translations, for the rest of his</w:t></w:r>
</w:p>
<w:p>
<w:pPr><w:pStyle w:val="Normal"/></w:pPr>
<w:r><w:t xml:space="preserve">days, though troubled towards the close by the insubordination</w:t></w:r>
</w:p>
<w:p>
<w:pPr><w:pStyle w:val="Normal"/></w:pPr>
<w:r><w:t xml:space="preserve">and revolts of his clergy.  He was a devout and conscientious</w:t></w:r>
</w:p>
<w:p>
<w:pPr><w:pStyle w:val="Normal"/></w:pPr>
<w:r><w:t xml:space="preserve">churchman, and had the courage to stand by his principles.</w:t></w:r>
</w:p>
<w:p>
<w:pPr><w:pStyle w:val="Normal"/></w:pPr>
<w:r><w:t xml:space="preserve">It is said that he advised the chaplain of Henry III. to</w:t></w:r>
</w:p>
<w:p>
<w:pPr><w:pStyle w:val="Normal"/></w:pPr>
<w:r><w:t xml:space="preserve">refuse absolution to the king after the murder of the Guise</w:t></w:r>
</w:p>
<w:p>
<w:pPr><w:pStyle w:val="Normal"/></w:pPr>
<w:r><w:t xml:space="preserve">princes.  He was, nevertheless, suspected of approving the</w:t></w:r>
</w:p>
<w:p>
<w:pPr><w:pStyle w:val="Normal"/></w:pPr>
<w:r><w:t xml:space="preserve">crime.  His house was plundered, and he was compelled to leave</w:t></w:r>
</w:p>
<w:p>
<w:pPr><w:pStyle w:val="Normal"/></w:pPr>
<w:r><w:t xml:space="preserve">Auxerre for some time.  He died on the 6th of February 1593,</w:t></w:r>
</w:p>
<w:p>
<w:pPr><w:pStyle w:val="Normal"/></w:pPr>
<w:r><w:t xml:space="preserve">bequeathing, it is said, 1200 crowns to the hospital at Orleans</w:t></w:r>
</w:p>
<w:p>
<w:pPr><w:pStyle w:val="Normal"/></w:pPr>
<w:r><w:t xml:space="preserve">for the twelve ``deniers&apos;&apos; he received there when ``poor and</w:t></w:r>
</w:p>
<w:p>
<w:pPr><w:pStyle w:val="Normal"/></w:pPr>
<w:r><w:t xml:space="preserve">naked&apos;&apos; on his way to Paris.  He translated seven books of</w:t></w:r>
</w:p>
<w:p>
<w:pPr><w:pStyle w:val="Normal"/></w:pPr>
<w:r><w:t xml:space="preserve">Diodorus (1554), the Daphnis et Chloe of Longus (1559) and</w:t></w:r>
</w:p>
<w:p>
<w:pPr><w:pStyle w:val="Normal"/></w:pPr>
<w:r><w:t xml:space="preserve">the Opera Moralia of Plutarch (1572).  His vigorous and</w:t></w:r>
</w:p>
<w:p>
<w:pPr><w:pStyle w:val="Normal"/></w:pPr>
<w:r><w:t xml:space="preserve">idiomatic version of Plutarch, Vies des hommes illustres,</w:t></w:r>
</w:p>
<w:p>
<w:pPr><w:pStyle w:val="Normal"/></w:pPr>
<w:r><w:t xml:space="preserve">was translated into English by Sir Thomas North, and supplied</w:t></w:r>
</w:p>
<w:p>
<w:pPr><w:pStyle w:val="Normal"/></w:pPr>
<w:r><w:t xml:space="preserve">Shakespeare with materials for his Roman plays.  Montaigne</w:t></w:r>
</w:p>
<w:p>
<w:pPr><w:pStyle w:val="Normal"/></w:pPr>
<w:r><w:t xml:space="preserve">said of him,``I give the palm to Jacques Amyot over all our</w:t></w:r>
</w:p>
<w:p>
<w:pPr><w:pStyle w:val="Normal"/></w:pPr>
<w:r><w:t xml:space="preserve">French writers, not only for the simplicity and purity of his</w:t></w:r>
</w:p>
<w:p>
<w:pPr><w:pStyle w:val="Normal"/></w:pPr>
<w:r><w:t xml:space="preserve">language in which he surpasses all others, nor for his constancy</w:t></w:r>
</w:p>
<w:p>
<w:pPr><w:pStyle w:val="Normal"/></w:pPr>
<w:r><w:t xml:space="preserve">to so long an undertaking, nor for his profound learning .</w:t></w:r>
</w:p>
<w:p>
<w:pPr><w:pStyle w:val="Normal"/></w:pPr>
<w:r><w:t xml:space="preserve">. . but I am grateful to him especially for his wisdom in</w:t></w:r>
</w:p>
<w:p>
<w:pPr><w:pStyle w:val="Normal"/></w:pPr>
<w:r><w:t xml:space="preserve">choosing so valuable a work.&apos;&apos; It was indeed to Plutarch that</w:t></w:r>
</w:p>
<w:p>
<w:pPr><w:pStyle w:val="Normal"/></w:pPr>
<w:r><w:t xml:space="preserve">Amyot devoted his attention.  His other translations were</w:t></w:r>
</w:p>
<w:p>
<w:pPr><w:pStyle w:val="Normal"/></w:pPr>
<w:r><w:t xml:space="preserve">subsidiary.  The version of Diodorus he did not publish,</w:t></w:r>
</w:p>
<w:p>
<w:pPr><w:pStyle w:val="Normal"/></w:pPr>
<w:r><w:t xml:space="preserve">although the manuscript had been discovered by himself.  Amyot</w:t></w:r>
</w:p>
<w:p>
<w:pPr><w:pStyle w:val="Normal"/></w:pPr>
<w:r><w:t xml:space="preserve">took great pains to find and interpret correctly the best</w:t></w:r>
</w:p>
<w:p>
<w:pPr><w:pStyle w:val="Normal"/></w:pPr>
<w:r><w:t xml:space="preserve">authorities, but the interest of his books to-day lies in the</w:t></w:r>
</w:p>
<w:p>
<w:pPr><w:pStyle w:val="Normal"/></w:pPr>
<w:r><w:t xml:space="preserve">style.  His translation reads like an original work.  The</w:t></w:r>
</w:p>
<w:p>
<w:pPr><w:pStyle w:val="Normal"/></w:pPr>
<w:r><w:t xml:space="preserve">personal method of Plutarch appealed to a generation addicted to</w:t></w:r>
</w:p>
<w:p>
<w:pPr><w:pStyle w:val="Normal"/></w:pPr>
<w:r><w:t xml:space="preserve">memoirs and incapable of any general theory of history.  Amyot&apos;s</w:t></w:r>
</w:p>
<w:p>
<w:pPr><w:pStyle w:val="Normal"/></w:pPr>
<w:r><w:t xml:space="preserve">book, therefore, obtained an immense popularity, and exercised</w:t></w:r>
</w:p>
<w:p>
<w:pPr><w:pStyle w:val="Normal"/></w:pPr>
<w:r><w:t xml:space="preserve">great influence over successive generations of French writers.</w:t></w:r>
</w:p>
<w:p>
<w:pPr><w:pStyle w:val="Normal"/></w:pPr>
<w:r><w:t xml:space="preserve">There is a good edition of the works of Amyot from the firm of Didot</w:t></w:r>
</w:p>
<w:p>
<w:pPr><w:pStyle w:val="Normal"/></w:pPr>
<w:r><w:t xml:space="preserve">(25 vols., 1818-1821) . See also Augnste de Blignieres, Essai sur</w:t></w:r>
</w:p>
<w:p>
<w:pPr><w:pStyle w:val="Normal"/></w:pPr>
<w:r><w:t xml:space="preserve">Amyot et les traducteurs francais au xvie siecle (Paris, 1851).</w:t></w:r>
</w:p>
<w:p>
<w:pPr><w:pStyle w:val="Normal"/></w:pPr>
<w:r><w:t xml:space="preserve">AMYRAUT, MOSES (1596-1664), also known as AMYRALDUS,</w:t></w:r>
</w:p>
<w:p>
<w:pPr><w:pStyle w:val="Normal"/></w:pPr>
<w:r><w:t xml:space="preserve">French Protestant theologian and metaphysician, was born at</w:t></w:r>
</w:p>
<w:p>
<w:pPr><w:pStyle w:val="Normal"/></w:pPr>
<w:r><w:t xml:space="preserve">Bourgueil, in the valley of Anjou, in 1306.  His father was a</w:t></w:r>
</w:p>
<w:p>
<w:pPr><w:pStyle w:val="Normal"/></w:pPr>
<w:r><w:t xml:space="preserve">lawyer, and, designing Moses for his own profession, sent him</w:t></w:r>
</w:p>
<w:p>
<w:pPr><w:pStyle w:val="Normal"/></w:pPr>
<w:r><w:t xml:space="preserve">on the completion of his study of the humanities at Orleans</w:t></w:r>
</w:p>
<w:p>
<w:pPr><w:pStyle w:val="Normal"/></w:pPr>
<w:r><w:t xml:space="preserve">to the university of Poitiers.  Here he took the degree of</w:t></w:r>
</w:p>
<w:p>
<w:pPr><w:pStyle w:val="Normal"/></w:pPr>
<w:r><w:t xml:space="preserve">licentiate (B.A.) of laws.  On his way home from the university</w:t></w:r>
</w:p>
<w:p>
<w:pPr><w:pStyle w:val="Normal"/></w:pPr>
<w:r><w:t xml:space="preserve">he passed through Saumur, and, having visited the pastor of the</w:t></w:r>
</w:p>
<w:p>
<w:pPr><w:pStyle w:val="Normal"/></w:pPr>
<w:r><w:t xml:space="preserve">Protestant church there, was introduced by him to Philippe de</w:t></w:r>
</w:p>
<w:p>
<w:pPr><w:pStyle w:val="Normal"/></w:pPr>
<w:r><w:t xml:space="preserve">Mornay, governor of the city.  Struck with young Amyraut&apos;s</w:t></w:r>
</w:p>
<w:p>
<w:pPr><w:pStyle w:val="Normal"/></w:pPr>
<w:r><w:t xml:space="preserve">ability and culture, they both urged him to change from law to</w:t></w:r>
</w:p>
<w:p>
<w:pPr><w:pStyle w:val="Normal"/></w:pPr>
<w:r><w:t xml:space="preserve">theology.  His father advised him to revise his philological and</w:t></w:r>
</w:p>
<w:p>
<w:pPr><w:pStyle w:val="Normal"/></w:pPr>
<w:r><w:t xml:space="preserve">philosophical studies, and read over Calvin&apos;s Institutions,</w:t></w:r>
</w:p>
<w:p>
<w:pPr><w:pStyle w:val="Normal"/></w:pPr>
<w:r><w:t xml:space="preserve">before finally determining.  He did so, and decided for</w:t></w:r>
</w:p>
<w:p>
<w:pPr><w:pStyle w:val="Normal"/></w:pPr>
<w:r><w:t xml:space="preserve">theology.  He thereupon removed to Saumur--destined to be for</w:t></w:r>
</w:p>
<w:p>
<w:pPr><w:pStyle w:val="Normal"/></w:pPr>
<w:r><w:t xml:space="preserve">ever associated with his name--and studied under J. Cameron,</w:t></w:r>
</w:p>
<w:p>
<w:pPr><w:pStyle w:val="Normal"/></w:pPr>
<w:r><w:t xml:space="preserve">who ultimately regarded him as his greatest scholar.  He</w:t></w:r>
</w:p>
<w:p>
<w:pPr><w:pStyle w:val="Normal"/></w:pPr>
<w:r><w:t xml:space="preserve">had a brilliant course, and was in due time licensed as a</w:t></w:r>
</w:p>
<w:p>
<w:pPr><w:pStyle w:val="Normal"/></w:pPr>
<w:r><w:t xml:space="preserve">minister of the French Protestant Church.  The contemporary</w:t></w:r>
</w:p>
<w:p>
<w:pPr><w:pStyle w:val="Normal"/></w:pPr>
<w:r><w:t xml:space="preserve">civil wars and excitements hindered his advancement.  His</w:t></w:r>
</w:p>
<w:p>
<w:pPr><w:pStyle w:val="Normal"/></w:pPr>
<w:r><w:t xml:space="preserve">first church was in St Aignan, in the province of Maine.</w:t></w:r>
</w:p>
<w:p>
<w:pPr><w:pStyle w:val="Normal"/></w:pPr>
<w:r><w:t xml:space="preserve">There he remained two years.  The eminent theologian, Jean</w:t></w:r>
</w:p>
<w:p>
<w:pPr><w:pStyle w:val="Normal"/></w:pPr>
<w:r><w:t xml:space="preserve">Daille, being then removed to Paris, advised the church at</w:t></w:r>
</w:p>
<w:p>
<w:pPr><w:pStyle w:val="Normal"/></w:pPr>
<w:r><w:t xml:space="preserve">Saumur to secure Amyraut as his successor, praising him ``as</w:t></w:r>
</w:p>
<w:p>
<w:pPr><w:pStyle w:val="Normal"/></w:pPr>
<w:r><w:t xml:space="preserve">above himself.&apos;&apos; The university of Saumur at the same time</w:t></w:r>
</w:p>
<w:p>
<w:pPr><w:pStyle w:val="Normal"/></w:pPr>
<w:r><w:t xml:space="preserve">had fixed its eyes on him as professor of theology.  The great</w:t></w:r>
</w:p>
<w:p>
<w:pPr><w:pStyle w:val="Normal"/></w:pPr>
<w:r><w:t xml:space="preserve">churches of Paris and Rouen also contended for him, and to</w:t></w:r>
</w:p>
<w:p>
<w:pPr><w:pStyle w:val="Normal"/></w:pPr>
<w:r><w:t xml:space="preserve">win him sent their deputies to the provincial synod of Anjou.</w:t></w:r>
</w:p>
<w:p>
<w:pPr><w:pStyle w:val="Normal"/></w:pPr>
<w:r><w:t xml:space="preserve">Amyraut had left the choice to the synod.  He was appointed</w:t></w:r>
</w:p>
<w:p>
<w:pPr><w:pStyle w:val="Normal"/></w:pPr>
<w:r><w:t xml:space="preserve">to Saumur in 1633, and to the professor&apos;s chair along with the</w:t></w:r>
</w:p>
<w:p>
<w:pPr><w:pStyle w:val="Normal"/></w:pPr>
<w:r><w:t xml:space="preserve">pastorate.  On the occasion of his inauguration he maintained</w:t></w:r>
</w:p>
<w:p>
<w:pPr><w:pStyle w:val="Normal"/></w:pPr>
<w:r><w:t xml:space="preserve">for thesis De Sacerdotio Christi. His co-professors were</w:t></w:r>
</w:p>
<w:p>
<w:pPr><w:pStyle w:val="Normal"/></w:pPr>
<w:r><w:t xml:space="preserve">Louis Cappel and Josue de la Place, who also were Cameron&apos;s</w:t></w:r>
</w:p>
<w:p>
<w:pPr><w:pStyle w:val="Normal"/></w:pPr>
<w:r><w:t xml:space="preserve">pupils.  Very beautiful was the lifelong friendship of</w:t></w:r>
</w:p>
<w:p>
<w:pPr><w:pStyle w:val="Normal"/></w:pPr>
<w:r><w:t xml:space="preserve">these three remarkable men, who collaborated in the Theses</w:t></w:r>
</w:p>
<w:p>
<w:pPr><w:pStyle w:val="Normal"/></w:pPr>
<w:r><w:t xml:space="preserve">Salmurienses, a collection of theses propounded by candidates</w:t></w:r>
</w:p>
<w:p>
<w:pPr><w:pStyle w:val="Normal"/></w:pPr>
<w:r><w:t xml:space="preserve">in theology prefaced by the inaugural addresses of the three</w:t></w:r>
</w:p>
<w:p>
<w:pPr><w:pStyle w:val="Normal"/></w:pPr>
<w:r><w:t xml:space="preserve">professors.  Full of energy, Amyraut very speedily gave</w:t></w:r>
</w:p>
<w:p>
<w:pPr><w:pStyle w:val="Normal"/></w:pPr>
<w:r><w:t xml:space="preserve">to French Protestantism a new force.  In 1631 he published</w:t></w:r>
</w:p>
<w:p>
<w:pPr><w:pStyle w:val="Normal"/></w:pPr>
<w:r><w:t xml:space="preserve">his Traite des religions, a book that still lives;</w:t></w:r>
</w:p>
<w:p>
<w:pPr><w:pStyle w:val="Normal"/></w:pPr>
<w:r><w:t xml:space="preserve">and from this year onward he was a foremost man in the</w:t></w:r>
</w:p>
<w:p>
<w:pPr><w:pStyle w:val="Normal"/></w:pPr>
<w:r><w:t xml:space="preserve">church.  Chosen to represent the provincial synod of Anjou,</w:t></w:r>
</w:p>
<w:p>
<w:pPr><w:pStyle w:val="Normal"/></w:pPr>
<w:r><w:t xml:space="preserve">Touraine and Maine at the national synod held in 1631 at</w:t></w:r>
</w:p>
<w:p>
<w:pPr><w:pStyle w:val="Normal"/></w:pPr>
<w:r><w:t xml:space="preserve">Charenton, he was appointed as orator to present to the</w:t></w:r>
</w:p>
<w:p>
<w:pPr><w:pStyle w:val="Normal"/></w:pPr>
<w:r><w:t xml:space="preserve">king ``The Copy of their Complaints and Grievances for the</w:t></w:r>
</w:p>
<w:p>
<w:pPr><w:pStyle w:val="Normal"/></w:pPr>
<w:r><w:t xml:space="preserve">Infractions and Violations of the Edict of Nantes.&apos;&apos; Previous</w:t></w:r>
</w:p>
<w:p>
<w:pPr><w:pStyle w:val="Normal"/></w:pPr>
<w:r><w:t xml:space="preserve">deputies had addressed the king on their bended knees, whereas</w:t></w:r>
</w:p>
<w:p>
<w:pPr><w:pStyle w:val="Normal"/></w:pPr>
<w:r><w:t xml:space="preserve">the representatives of the Catholics had been permitted to</w:t></w:r>
</w:p>
<w:p>
<w:pPr><w:pStyle w:val="Normal"/></w:pPr>
<w:r><w:t xml:space="preserve">stand.  Amyraut consented to be orator only if the assembly</w:t></w:r>
</w:p>
<w:p>
<w:pPr><w:pStyle w:val="Normal"/></w:pPr>
<w:r><w:t xml:space="preserve">authorized him to stand.  There was intense resistance.</w:t></w:r>
</w:p>
<w:p>
<w:pPr><w:pStyle w:val="Normal"/></w:pPr>
<w:r><w:t xml:space="preserve">Cardinal Richelieu himself, preceded by lesser dignitaries,</w:t></w:r>
</w:p>
<w:p>
<w:pPr><w:pStyle w:val="Normal"/></w:pPr>
<w:r><w:t xml:space="preserve">condescended to visit Amyraut privately, to persuade him to</w:t></w:r>
</w:p>
<w:p>
<w:pPr><w:pStyle w:val="Normal"/></w:pPr>
<w:r><w:t xml:space="preserve">kneel; but Amyraut held resolutely to his point and carried</w:t></w:r>
</w:p>
<w:p>
<w:pPr><w:pStyle w:val="Normal"/></w:pPr>
<w:r><w:t xml:space="preserve">it.  His ``oration&apos;&apos; on this occasion, which was immediately</w:t></w:r>
</w:p>
<w:p>
<w:pPr><w:pStyle w:val="Normal"/></w:pPr>
<w:r><w:t xml:space="preserve">published in the French Mercury, remains a striking landmark</w:t></w:r>
</w:p>
<w:p>
<w:pPr><w:pStyle w:val="Normal"/></w:pPr>
<w:r><w:t xml:space="preserve">in the history of French Protestantism.  During his absence</w:t></w:r>
</w:p>
<w:p>
<w:pPr><w:pStyle w:val="Normal"/></w:pPr>
<w:r><w:t xml:space="preserve">on this matter the assembly debated ``Whether the Lutherans</w:t></w:r>
</w:p>
<w:p>
<w:pPr><w:pStyle w:val="Normal"/></w:pPr>
<w:r><w:t xml:space="preserve">who desired it, might be admitted into communion with the</w:t></w:r>
</w:p>
<w:p>
<w:pPr><w:pStyle w:val="Normal"/></w:pPr>
<w:r><w:t xml:space="preserve">Reformed Churches of France at the Lord&apos;s Table.&apos;&apos; It was</w:t></w:r>
</w:p>
<w:p>
<w:pPr><w:pStyle w:val="Normal"/></w:pPr>
<w:r><w:t xml:space="preserve">decided in the affirmative previous to his return; but he</w:t></w:r>
</w:p>
<w:p>
<w:pPr><w:pStyle w:val="Normal"/></w:pPr>
<w:r><w:t xml:space="preserve">approved with astonishing eloquence, and thereafter was ever</w:t></w:r>
</w:p>
<w:p>
<w:pPr><w:pStyle w:val="Normal"/></w:pPr>
<w:r><w:t xml:space="preserve">in the front rank in maintaining intercommunication between</w:t></w:r>
</w:p>
<w:p>
<w:pPr><w:pStyle w:val="Normal"/></w:pPr>
<w:r><w:t xml:space="preserve">all churches holding the main doctrines of the Reformation.</w:t></w:r>
</w:p>
<w:p>
<w:pPr><w:pStyle w:val="Normal"/></w:pPr>
<w:r><w:t xml:space="preserve">P. Bayle recounts the title-pages of no fewer than thirty-two</w:t></w:r>
</w:p>
<w:p>
<w:pPr><w:pStyle w:val="Normal"/></w:pPr>
<w:r><w:t xml:space="preserve">books of which Amyraut was the author.  These show that he</w:t></w:r>
</w:p>
<w:p>
<w:pPr><w:pStyle w:val="Normal"/></w:pPr>
<w:r><w:t xml:space="preserve">took part in all the great controversies on predestination</w:t></w:r>
</w:p>
<w:p>
<w:pPr><w:pStyle w:val="Normal"/></w:pPr>
<w:r><w:t xml:space="preserve">and Arminianism which then so agitated and harassed all</w:t></w:r>
</w:p>
<w:p>
<w:pPr><w:pStyle w:val="Normal"/></w:pPr>
<w:r><w:t xml:space="preserve">Europe.  Substantially he held fast the Calvinism of his</w:t></w:r>
</w:p>
<w:p>
<w:pPr><w:pStyle w:val="Normal"/></w:pPr>
<w:r><w:t xml:space="preserve">preceptor Cameron; but, like Richard Baxter in England, by</w:t></w:r>
</w:p>
<w:p>
<w:pPr><w:pStyle w:val="Normal"/></w:pPr>
<w:r><w:t xml:space="preserve">his breadth and charity he exposed himself to all manner of</w:t></w:r>
</w:p>
<w:p>
<w:pPr><w:pStyle w:val="Normal"/></w:pPr>
<w:r><w:t xml:space="preserve">misconstruction.  In 1634 he published his Traite de la</w:t></w:r>
</w:p>
<w:p>
<w:pPr><w:pStyle w:val="Normal"/></w:pPr>
<w:r><w:t xml:space="preserve">predestination, in which he tried to mitigate the harsh</w:t></w:r>
</w:p>
<w:p>
<w:pPr><w:pStyle w:val="Normal"/></w:pPr>
<w:r><w:t xml:space="preserve">features of predestination by his ``Universalismus hypotheticus.&apos;&apos;</w:t></w:r>
</w:p>
<w:p>
<w:pPr><w:pStyle w:val="Normal"/></w:pPr>
<w:r><w:t xml:space="preserve">God, he taught, predestines all men to happiness on condition</w:t></w:r>
</w:p>
<w:p>
<w:pPr><w:pStyle w:val="Normal"/></w:pPr>
<w:r><w:t xml:space="preserve">of their having faith.  This gave rise to a charge of</w:t></w:r>
</w:p>
<w:p>
<w:pPr><w:pStyle w:val="Normal"/></w:pPr>
<w:r><w:t xml:space="preserve">heresy, of which he was acquitted at the national synod held</w:t></w:r>
</w:p>
<w:p>
<w:pPr><w:pStyle w:val="Normal"/></w:pPr>
<w:r><w:t xml:space="preserve">at Alencon in 1637, and presided over by Benjamin Basnage</w:t></w:r>
</w:p>
<w:p>
<w:pPr><w:pStyle w:val="Normal"/></w:pPr>
<w:r><w:t xml:space="preserve">(1580-1652).  The charge was brought up again at the national</w:t></w:r>
</w:p>
<w:p>
<w:pPr><w:pStyle w:val="Normal"/></w:pPr>
<w:r><w:t xml:space="preserve">synod of Charenton in 1644, when he was again acquitted.  A</w:t></w:r>
</w:p>
<w:p>
<w:pPr><w:pStyle w:val="Normal"/></w:pPr>
<w:r><w:t xml:space="preserve">third attack at the synod of Loudun in 1659 met with no better</w:t></w:r>
</w:p>
<w:p>
<w:pPr><w:pStyle w:val="Normal"/></w:pPr>
<w:r><w:t xml:space="preserve">success.  The university of Saumur became the university</w:t></w:r>
</w:p>
<w:p>
<w:pPr><w:pStyle w:val="Normal"/></w:pPr>
<w:r><w:t xml:space="preserve">of French Protestantism.  Amyraut had as many as a hundred</w:t></w:r>
</w:p>
<w:p>
<w:pPr><w:pStyle w:val="Normal"/></w:pPr>
<w:r><w:t xml:space="preserve">students in attendance upon his prelections.  Another historic</w:t></w:r>
</w:p>
<w:p>
<w:pPr><w:pStyle w:val="Heading1"/></w:pPr>
<w:r><w:t>part filled by Amyraut was in the negotiations originated by</w:t></w:r>
</w:p>
<w:p>
<w:pPr><w:pStyle w:val="Normal"/></w:pPr>
<w:r><w:t xml:space="preserve">Pierre le Gouz de la Berchere (1600-1653), first president</w:t></w:r>
</w:p>
<w:p>
<w:pPr><w:pStyle w:val="Normal"/></w:pPr>
<w:r><w:t xml:space="preserve">of the parlement of Grenoble, when exiled to Saumur, for a</w:t></w:r>
</w:p>
<w:p>
<w:pPr><w:pStyle w:val="Normal"/></w:pPr>
<w:r><w:t xml:space="preserve">reconciliation and reunion of the Catholics of France with</w:t></w:r>
</w:p>
<w:p>
<w:pPr><w:pStyle w:val="Normal"/></w:pPr>
<w:r><w:t xml:space="preserve">the French Protestants.  Very large were the concessions made</w:t></w:r>
</w:p>
<w:p>
<w:pPr><w:pStyle w:val="Normal"/></w:pPr>
<w:r><w:t xml:space="preserve">by Richelieu in his personal interviews with Amyraut; but, as</w:t></w:r>
</w:p>
<w:p>
<w:pPr><w:pStyle w:val="Normal"/></w:pPr>
<w:r><w:t xml:space="preserve">with the Worcester House negotiations in England between the</w:t></w:r>
</w:p>
<w:p>
<w:pPr><w:pStyle w:val="Normal"/></w:pPr>
<w:r><w:t xml:space="preserve">Church of England and nonconformists, they inevitably fell</w:t></w:r>
</w:p>
<w:p>
<w:pPr><w:pStyle w:val="Normal"/></w:pPr>
<w:r><w:t xml:space="preserve">through.  On all sides the statesmanship and eloquence of</w:t></w:r>
</w:p>
<w:p>
<w:pPr><w:pStyle w:val="Normal"/></w:pPr>
<w:r><w:t xml:space="preserve">Amyraut were conceded.  His De l&apos;elevation de la foy et</w:t></w:r>
</w:p>
<w:p>
<w:pPr><w:pStyle w:val="Normal"/></w:pPr>
<w:r><w:t xml:space="preserve">de l&apos;abaissement de la raison en la creance des mysteres</w:t></w:r>
</w:p>
<w:p>
<w:pPr><w:pStyle w:val="Normal"/></w:pPr>
<w:r><w:t xml:space="preserve">de la religion (1641) gave him early a high place as a</w:t></w:r>
</w:p>
<w:p>
<w:pPr><w:pStyle w:val="Normal"/></w:pPr>
<w:r><w:t xml:space="preserve">metaphysician.  Exclusive of his controversial writings,</w:t></w:r>
</w:p>
<w:p>
<w:pPr><w:pStyle w:val="Normal"/></w:pPr>
<w:r><w:t xml:space="preserve">he left behind him a very voluminous series of practical</w:t></w:r>
</w:p>
<w:p>
<w:pPr><w:pStyle w:val="Normal"/></w:pPr>
<w:r><w:t xml:space="preserve">evangelical books, which have long remained the fireside</w:t></w:r>
</w:p>
<w:p>
<w:pPr><w:pStyle w:val="Normal"/></w:pPr>
<w:r><w:t xml:space="preserve">favourites of the peasantry of French Protestantism.</w:t></w:r>
</w:p>
<w:p>
<w:pPr><w:pStyle w:val="Normal"/></w:pPr>
<w:r><w:t xml:space="preserve">Amongst these are Estat Jes fideles apres la mort; Sur</w:t></w:r>
</w:p>
<w:p>
<w:pPr><w:pStyle w:val="Normal"/></w:pPr>
<w:r><w:t xml:space="preserve">l&apos;oraison dominicale; Du merite des oeuvres; Traite de la</w:t></w:r>
</w:p>
<w:p>
<w:pPr><w:pStyle w:val="Normal"/></w:pPr>
<w:r><w:t xml:space="preserve">justification; and paraphrases of books of the Old and New</w:t></w:r>
</w:p>
<w:p>
<w:pPr><w:pStyle w:val="Normal"/></w:pPr>
<w:r><w:t xml:space="preserve">Testament.  His closing years were weakened by a severe fall</w:t></w:r>
</w:p>
<w:p>
<w:pPr><w:pStyle w:val="Normal"/></w:pPr>
<w:r><w:t xml:space="preserve">he met with in 1657.  He died on the 18th of January 1664.</w:t></w:r>
</w:p>
<w:p>
<w:pPr><w:pStyle w:val="Normal"/></w:pPr>
<w:r><w:t xml:space="preserve">See Edm. Saigey, Moses Amyraut, sa vie et ses ecrits (1849);</w:t></w:r>
</w:p>
<w:p>
<w:pPr><w:pStyle w:val="Normal"/></w:pPr>
<w:r><w:t xml:space="preserve">Alex.  Schweizer in Tub. theol.  Jahrbb., 1852, pp. 41 ff. 155</w:t></w:r>
</w:p>
<w:p>
<w:pPr><w:pStyle w:val="Normal"/></w:pPr>
<w:r><w:t xml:space="preserve">ff., Protestant. Central-Dogmen (1854 ff.), ii. 225 ff., and in</w:t></w:r>
</w:p>
<w:p>
<w:pPr><w:pStyle w:val="Normal"/></w:pPr>
<w:r><w:t xml:space="preserve">Herzog-Hauck, Realencyklopadie; Bayle, s.v.; Biog.  Univ.,</w:t></w:r>
</w:p>
<w:p>
<w:pPr><w:pStyle w:val="Normal"/></w:pPr>
<w:r><w:t xml:space="preserve">s.v.; John Quick&apos;s Synod. in Gall.  Reform. pp. 352-357;</w:t></w:r>
</w:p>
<w:p>
<w:pPr><w:pStyle w:val="Normal"/></w:pPr>
<w:r><w:t xml:space="preserve">Ibid.  MS. Icones Sacrae Gallicanae: Life of Cameron.</w:t></w:r>
</w:p>
<w:p>
<w:pPr><w:pStyle w:val="Normal"/></w:pPr>
<w:r><w:t xml:space="preserve">ANA, a Latin neuter plural termination appropriated to</w:t></w:r>
</w:p>
<w:p>
<w:pPr><w:pStyle w:val="Normal"/></w:pPr>
<w:r><w:t xml:space="preserve">various collections of the observations and criticisms</w:t></w:r>
</w:p>
<w:p>
<w:pPr><w:pStyle w:val="Normal"/></w:pPr>
<w:r><w:t xml:space="preserve">of eminent men, delivered in conversation and recorded by</w:t></w:r>
</w:p>
<w:p>
<w:pPr><w:pStyle w:val="Normal"/></w:pPr>
<w:r><w:t xml:space="preserve">their friends, or discovered among their papers after their</w:t></w:r>
</w:p>
<w:p>
<w:pPr><w:pStyle w:val="Normal"/></w:pPr>
<w:r><w:t xml:space="preserve">decease.  Though the term Ana is of comparatively modern</w:t></w:r>
</w:p>
<w:p>
<w:pPr><w:pStyle w:val="Normal"/></w:pPr>
<w:r><w:t xml:space="preserve">origin, the introduction of this species of composition is not</w:t></w:r>
</w:p>
<w:p>
<w:pPr><w:pStyle w:val="Normal"/></w:pPr>
<w:r><w:t xml:space="preserve">of recent date.  It appears, from d&apos;Herbelot&apos;s Bibliotheque</w:t></w:r>
</w:p>
<w:p>
<w:pPr><w:pStyle w:val="Normal"/></w:pPr>
<w:r><w:t xml:space="preserve">Orientale, that from the earliest periods the Eastern</w:t></w:r>
</w:p>
<w:p>
<w:pPr><w:pStyle w:val="Normal"/></w:pPr>
<w:r><w:t xml:space="preserve">nations were in the habit of preserving the maxims of their</w:t></w:r>
</w:p>
<w:p>
<w:pPr><w:pStyle w:val="Normal"/></w:pPr>
<w:r><w:t xml:space="preserve">sages.  From them the practice passed to the Greeks and</w:t></w:r>
</w:p>
<w:p>
<w:pPr><w:pStyle w:val="Normal"/></w:pPr>
<w:r><w:t xml:space="preserve">Romans.  Plato and Xenophon treasured up and recorded the</w:t></w:r>
</w:p>
<w:p>
<w:pPr><w:pStyle w:val="Normal"/></w:pPr>
<w:r><w:t xml:space="preserve">sayings of their master Socrates; and Arrian, in the concluding</w:t></w:r>
</w:p>
<w:p>
<w:pPr><w:pStyle w:val="Normal"/></w:pPr>
<w:r><w:t xml:space="preserve">books of his Enchiridion, now lost, collected the casual</w:t></w:r>
</w:p>
<w:p>
<w:pPr><w:pStyle w:val="Normal"/></w:pPr>
<w:r><w:t xml:space="preserve">observations of Epictetus.  The numerous apophthegms scattered</w:t></w:r>
</w:p>
<w:p>
<w:pPr><w:pStyle w:val="Normal"/></w:pPr>
<w:r><w:t xml:space="preserve">in Plutarch, Diogenes Laertius and other writers, show that</w:t></w:r>
</w:p>
<w:p>
<w:pPr><w:pStyle w:val="Normal"/></w:pPr>
<w:r><w:t xml:space="preserve">it was customary in Greece to preserve the colloquially</w:t></w:r>
</w:p>
<w:p>
<w:pPr><w:pStyle w:val="Normal"/></w:pPr>
<w:r><w:t xml:space="preserve">expressed ideas of illustrious men.  It appears that Julius</w:t></w:r>
</w:p>
<w:p>
<w:pPr><w:pStyle w:val="Normal"/></w:pPr>
<w:r><w:t xml:space="preserve">Caesar compiled a book of apophthegms, in which he related</w:t></w:r>
</w:p>
<w:p>
<w:pPr><w:pStyle w:val="Normal"/></w:pPr>
<w:r><w:t xml:space="preserve">the bons mots of Cicero; and Quintilian informs us that</w:t></w:r>
</w:p>
<w:p>
<w:pPr><w:pStyle w:val="Normal"/></w:pPr>
<w:r><w:t xml:space="preserve">a freedman of that celebrated wit and orator composed three</w:t></w:r>
</w:p>
<w:p>
<w:pPr><w:pStyle w:val="Normal"/></w:pPr>
<w:r><w:t xml:space="preserve">books of a work entitled De Jocis Ciceronis. We are told</w:t></w:r>
</w:p>
<w:p>
<w:pPr><w:pStyle w:val="Normal"/></w:pPr>
<w:r><w:t xml:space="preserve">by Suetonius that Caius Melissus, originally the slave but</w:t></w:r>
</w:p>
<w:p>
<w:pPr><w:pStyle w:val="Normal"/></w:pPr>
<w:r><w:t xml:space="preserve">afterwards the freedman and librarian of Maecenas, collected</w:t></w:r>
</w:p>
<w:p>
<w:pPr><w:pStyle w:val="Normal"/></w:pPr>
<w:r><w:t xml:space="preserve">the sayings of his master; and Aulus Gellius has filled his</w:t></w:r>
</w:p>
<w:p>
<w:pPr><w:pStyle w:val="Normal"/></w:pPr>
<w:r><w:t xml:space="preserve">Noctes Atticae with anecdotes which he heard from the eminent</w:t></w:r>
</w:p>
<w:p>
<w:pPr><w:pStyle w:val="Normal"/></w:pPr>
<w:r><w:t xml:space="preserve">scholars and critics whose society he frequented in Rome.</w:t></w:r>
</w:p>
<w:p>
<w:pPr><w:pStyle w:val="Normal"/></w:pPr>
<w:r><w:t xml:space="preserve">But though vestiges of Ana may be traced in the classical</w:t></w:r>
</w:p>
<w:p>
<w:pPr><w:pStyle w:val="Normal"/></w:pPr>
<w:r><w:t xml:space="preserve">ages, it is only in modern times that they have come to be</w:t></w:r>
</w:p>
<w:p>
<w:pPr><w:pStyle w:val="Normal"/></w:pPr>
<w:r><w:t xml:space="preserve">regarded as constituting a distinct species of composition,</w:t></w:r>
</w:p>
<w:p>
<w:pPr><w:pStyle w:val="Normal"/></w:pPr>
<w:r><w:t xml:space="preserve">comprising literary anecdotes, critical reflexions, and</w:t></w:r>
</w:p>
<w:p>
<w:pPr><w:pStyle w:val="Normal"/></w:pPr>
<w:r><w:t xml:space="preserve">historical incidents, mingled with the detail of bons</w:t></w:r>
</w:p>
<w:p>
<w:pPr><w:pStyle w:val="Normal"/></w:pPr>
<w:r><w:t xml:space="preserve">mots and ludicrous tales.  The term Ana seems to have been</w:t></w:r>
</w:p>
<w:p>
<w:pPr><w:pStyle w:val="Normal"/></w:pPr>
<w:r><w:t xml:space="preserve">applied to such collections as far back as the beginning</w:t></w:r>
</w:p>
<w:p>
<w:pPr><w:pStyle w:val="Normal"/></w:pPr>
<w:r><w:t xml:space="preserve">of the 15th century.  Francesco Barbaro, in a letter to</w:t></w:r>
</w:p>
<w:p>
<w:pPr><w:pStyle w:val="Normal"/></w:pPr>
<w:r><w:t xml:space="preserve">Poggio, says that the information and anecdotes which Poggio</w:t></w:r>
</w:p>
<w:p>
<w:pPr><w:pStyle w:val="Normal"/></w:pPr>
<w:r><w:t xml:space="preserve">and Bartolommeo of Montepulciano had picked up during a</w:t></w:r>
</w:p>
<w:p>
<w:pPr><w:pStyle w:val="Normal"/></w:pPr>
<w:r><w:t xml:space="preserve">literary excursion through Germany will be called Ana:</w:t></w:r>
</w:p>
<w:p>
<w:pPr><w:pStyle w:val="Normal"/></w:pPr>
<w:r><w:t xml:space="preserve">``Quemadmodum mala ab Appio e Claudia gente Appiana, et</w:t></w:r>
</w:p>
<w:p>
<w:pPr><w:pStyle w:val="Normal"/></w:pPr>
<w:r><w:t xml:space="preserve">pira a Mallio Malliana cognominata sunt, sic haec literarum</w:t></w:r>
</w:p>
<w:p>
<w:pPr><w:pStyle w:val="Normal"/></w:pPr>
<w:r><w:t xml:space="preserve">quae vestra ope et opera Germania in Italiam deferentur,</w:t></w:r>
</w:p>
<w:p>
<w:pPr><w:pStyle w:val="Normal"/></w:pPr>
<w:r><w:t xml:space="preserve">aliquando et Poggiana et Montepolitiana vocabuntur.&apos;&apos;</w:t></w:r>
</w:p>
<w:p>
<w:pPr><w:pStyle w:val="Normal"/></w:pPr>
<w:r><w:t xml:space="preserve">Poggio Bracciolini, to whom this letter is addressed, and to</w:t></w:r>
</w:p>
<w:p>
<w:pPr><w:pStyle w:val="Normal"/></w:pPr>
<w:r><w:t xml:space="preserve">whom the world is indebted for the preservation of so many</w:t></w:r>
</w:p>
<w:p>
<w:pPr><w:pStyle w:val="Normal"/></w:pPr>
<w:r><w:t xml:space="preserve">classical remains, is the first eminent person of modern</w:t></w:r>
</w:p>
<w:p>
<w:pPr><w:pStyle w:val="Normal"/></w:pPr>
<w:r><w:t xml:space="preserve">times whose jests and opinions have been transmitted to</w:t></w:r>
</w:p>
<w:p>
<w:pPr><w:pStyle w:val="Normal"/></w:pPr>
<w:r><w:t xml:space="preserve">posterity.  Poggio was secretary to five successive popes.</w:t></w:r>
</w:p>
<w:p>
<w:pPr><w:pStyle w:val="Normal"/></w:pPr>
<w:r><w:t xml:space="preserve">During the pontificate of Martin V., who was chosen in 1417,</w:t></w:r>
</w:p>
<w:p>
<w:pPr><w:pStyle w:val="Normal"/></w:pPr>
<w:r><w:t xml:space="preserve">Poggio and other members of the Roman chancery were in the</w:t></w:r>
</w:p>
<w:p>
<w:pPr><w:pStyle w:val="Normal"/></w:pPr>
<w:r><w:t xml:space="preserve">habit of assembling in a common hall adjoining the Vatican, in</w:t></w:r>
</w:p>
<w:p>
<w:pPr><w:pStyle w:val="Normal"/></w:pPr>
<w:r><w:t xml:space="preserve">order to converse freely on all subjects.  Being more studious</w:t></w:r>
</w:p>
<w:p>
<w:pPr><w:pStyle w:val="Normal"/></w:pPr>
<w:r><w:t xml:space="preserve">of wit than of truth, they termed this apartment Buggiale,</w:t></w:r>
</w:p>
<w:p>
<w:pPr><w:pStyle w:val="Normal"/></w:pPr>
<w:r><w:t xml:space="preserve">a word which Poggio himself interprets Mendaciorum Officina.</w:t></w:r>
</w:p>
<w:p>
<w:pPr><w:pStyle w:val="Normal"/></w:pPr>
<w:r><w:t xml:space="preserve">Here Poggio and his friends discussed the news and scandal</w:t></w:r>
</w:p>
<w:p>
<w:pPr><w:pStyle w:val="Normal"/></w:pPr>
<w:r><w:t xml:space="preserve">of the day; communicated entertaining anecdotes; attacked</w:t></w:r>
</w:p>
<w:p>
<w:pPr><w:pStyle w:val="Normal"/></w:pPr>
<w:r><w:t xml:space="preserve">what they did not approve (and they approved of little); and</w:t></w:r>
</w:p>
<w:p>
<w:pPr><w:pStyle w:val="Normal"/></w:pPr>
<w:r><w:t xml:space="preserve">indulged in the utmost latitude of satiric remark, not sparing</w:t></w:r>
</w:p>
<w:p>
<w:pPr><w:pStyle w:val="Normal"/></w:pPr>
<w:r><w:t xml:space="preserve">even the pope and cardinals.  The jests and stories which</w:t></w:r>
</w:p>
<w:p>
<w:pPr><w:pStyle w:val="Normal"/></w:pPr>
<w:r><w:t xml:space="preserve">occurred in these unrestrained conversations were collected by</w:t></w:r>
</w:p>
<w:p>
<w:pPr><w:pStyle w:val="Normal"/></w:pPr>
<w:r><w:t xml:space="preserve">Poggio, and formed the chief materials of his Facetiae, first</w:t></w:r>
</w:p>
<w:p>
<w:pPr><w:pStyle w:val="Normal"/></w:pPr>
<w:r><w:t xml:space="preserve">printed, according to de Bure, in 1470.  This collection,</w:t></w:r>
</w:p>
<w:p>
<w:pPr><w:pStyle w:val="Normal"/></w:pPr>
<w:r><w:t xml:space="preserve">which forms a principal part of the Poggiana, is chiefly</w:t></w:r>
</w:p>
<w:p>
<w:pPr><w:pStyle w:val="Normal"/></w:pPr>
<w:r><w:t xml:space="preserve">valuable as recording interesting anecdotes of eminent men</w:t></w:r>
</w:p>
<w:p>
<w:pPr><w:pStyle w:val="Normal"/></w:pPr>
<w:r><w:t xml:space="preserve">of the 14th and 15th centuries.  It also contains a number</w:t></w:r>
</w:p>
<w:p>
<w:pPr><w:pStyle w:val="Normal"/></w:pPr>
<w:r><w:t xml:space="preserve">of quibbles or jeux de mots, and a still greater number of</w:t></w:r>
</w:p>
<w:p>
<w:pPr><w:pStyle w:val="Normal"/></w:pPr>
<w:r><w:t xml:space="preserve">facetiae, idle and licentious stories.  These Facetiae</w:t></w:r>
</w:p>
<w:p>
<w:pPr><w:pStyle w:val="Normal"/></w:pPr>
<w:r><w:t xml:space="preserve">form, upon the whole, the most amusing and interesting part</w:t></w:r>
</w:p>
<w:p>
<w:pPr><w:pStyle w:val="Normal"/></w:pPr>
<w:r><w:t xml:space="preserve">of the Poggiana printed at Amsterdam in 1720; but this</w:t></w:r>
</w:p>
<w:p>
<w:pPr><w:pStyle w:val="Normal"/></w:pPr>
<w:r><w:t xml:space="preserve">collection also comprehends additional anecdotes of Poggio&apos;s</w:t></w:r>
</w:p>
<w:p>
<w:pPr><w:pStyle w:val="Normal"/></w:pPr>
<w:r><w:t xml:space="preserve">life, and a few extracts from his graver compositions.</w:t></w:r>
</w:p>
<w:p>
<w:pPr><w:pStyle w:val="Normal"/></w:pPr>
<w:r><w:t xml:space="preserve">Though Poggio was the first person whose remarks and bons</w:t></w:r>
</w:p>
<w:p>
<w:pPr><w:pStyle w:val="Normal"/></w:pPr>
<w:r><w:t xml:space="preserve">mots were collected under the name of Ana, the Scaligerana,</w:t></w:r>
</w:p>
<w:p>
<w:pPr><w:pStyle w:val="Normal"/></w:pPr>
<w:r><w:t xml:space="preserve">which contains the opinions of Joseph Scaliger, was the first</w:t></w:r>
</w:p>
<w:p>
<w:pPr><w:pStyle w:val="Normal"/></w:pPr>
<w:r><w:t xml:space="preserve">worked published under that appellation, and accordingly</w:t></w:r>
</w:p>
<w:p>
<w:pPr><w:pStyle w:val="Normal"/></w:pPr>
<w:r><w:t xml:space="preserve">may be regarded as having led the way to that class of</w:t></w:r>
</w:p>
<w:p>
<w:pPr><w:pStyle w:val="Normal"/></w:pPr>
<w:r><w:t xml:space="preserve">publications.  There are two collections of Scaligerana--the</w:t></w:r>
</w:p>
<w:p>
<w:pPr><w:pStyle w:val="Normal"/></w:pPr>
<w:r><w:t xml:space="preserve">Prima and Secunda. The first was compiled by a physician</w:t></w:r>
</w:p>
<w:p>
<w:pPr><w:pStyle w:val="Normal"/></w:pPr>
<w:r><w:t xml:space="preserve">named Francois Vertunien, sieur de Lavau, who attended a</w:t></w:r>
</w:p>
<w:p>
<w:pPr><w:pStyle w:val="Normal"/></w:pPr>
<w:r><w:t xml:space="preserve">family with whom Joseph Scaliger resided.  He, in consequence,</w:t></w:r>
</w:p>
<w:p>
<w:pPr><w:pStyle w:val="Normal"/></w:pPr>
<w:r><w:t xml:space="preserve">had frequent opportunities of meeting the celebrated</w:t></w:r>
</w:p>
<w:p>
<w:pPr><w:pStyle w:val="Normal"/></w:pPr>
<w:r><w:t xml:space="preserve">critic, and was in the custom of committing to writing</w:t></w:r>
</w:p>
<w:p>
<w:pPr><w:pStyle w:val="Normal"/></w:pPr>
<w:r><w:t xml:space="preserve">the observations which dropped from him in the course of</w:t></w:r>
</w:p>
<w:p>
<w:pPr><w:pStyle w:val="Normal"/></w:pPr>
<w:r><w:t xml:space="preserve">conversation, to which he occasionally added remarks of his</w:t></w:r>
</w:p>
<w:p>
<w:pPr><w:pStyle w:val="Normal"/></w:pPr>
<w:r><w:t xml:space="preserve">own.  This collection, which was chiefly Latin, remained</w:t></w:r>
</w:p>
<w:p>
<w:pPr><w:pStyle w:val="Normal"/></w:pPr>
<w:r><w:t xml:space="preserve">in manuscript many years after the death of the compiler.</w:t></w:r>
</w:p>
<w:p>
<w:pPr><w:pStyle w:val="Normal"/></w:pPr>
<w:r><w:t xml:space="preserve">It was at length purchased by M. de Sigogne, who published</w:t></w:r>
</w:p>
<w:p>
<w:pPr><w:pStyle w:val="Normal"/></w:pPr>
<w:r><w:t xml:space="preserve">it in 1669, under the title of Prima Scaligerana, nusquam</w:t></w:r>
</w:p>
<w:p>
<w:pPr><w:pStyle w:val="Normal"/></w:pPr>
<w:r><w:t xml:space="preserve">antehac edita, calling it prima in order to preserve</w:t></w:r>
</w:p>
<w:p>
<w:pPr><w:pStyle w:val="Normal"/></w:pPr>
<w:r><w:t xml:space="preserve">its claim of priority over another Scaligerana, which,</w:t></w:r>
</w:p>
<w:p>
<w:pPr><w:pStyle w:val="Normal"/></w:pPr>
<w:r><w:t xml:space="preserve">though published three years before, had been more recently</w:t></w:r>
</w:p>
<w:p>
<w:pPr><w:pStyle w:val="Normal"/></w:pPr>
<w:r><w:t xml:space="preserve">compiled.  This second work, known as Secunda Scaligerana,</w:t></w:r>
</w:p>
<w:p>
<w:pPr><w:pStyle w:val="Normal"/></w:pPr>
<w:r><w:t xml:space="preserve">was collected by two brothers of the name of Vassan, students</w:t></w:r>
</w:p>
<w:p>
<w:pPr><w:pStyle w:val="Normal"/></w:pPr>
<w:r><w:t xml:space="preserve">of the university of Leiden, of which Scaliger was one of the</w:t></w:r>
</w:p>
<w:p>
<w:pPr><w:pStyle w:val="Normal"/></w:pPr>
<w:r><w:t xml:space="preserve">professors.  Being particularly recommended to Scaliger, they</w:t></w:r>
</w:p>
<w:p>
<w:pPr><w:pStyle w:val="Normal"/></w:pPr>
<w:r><w:t xml:space="preserve">were received in his house, and enjoyed his conversation.</w:t></w:r>
</w:p>
<w:p>
<w:pPr><w:pStyle w:val="Normal"/></w:pPr>
<w:r><w:t xml:space="preserve">Writing down what they had heard, particularly on historical</w:t></w:r>
</w:p>
<w:p>
<w:pPr><w:pStyle w:val="Normal"/></w:pPr>
<w:r><w:t xml:space="preserve">and critical subjects, they soon made up a large manuscript</w:t></w:r>
</w:p>
<w:p>
<w:pPr><w:pStyle w:val="Normal"/></w:pPr>
<w:r><w:t xml:space="preserve">volume, in which, however, there was neither connexion</w:t></w:r>
</w:p>
<w:p>
<w:pPr><w:pStyle w:val="Normal"/></w:pPr>
<w:r><w:t xml:space="preserve">nor arrangement of any description.  After passing through</w:t></w:r>
</w:p>
<w:p>
<w:pPr><w:pStyle w:val="Normal"/></w:pPr>
<w:r><w:t xml:space="preserve">various hands this manuscript came into the possession of M.</w:t></w:r>
</w:p>
<w:p>
<w:pPr><w:pStyle w:val="Normal"/></w:pPr>
<w:r><w:t xml:space="preserve">Daille, who for his own use arranged in alphabetical order</w:t></w:r>
</w:p>
<w:p>
<w:pPr><w:pStyle w:val="Normal"/></w:pPr>
<w:r><w:t xml:space="preserve">the articles which it contained.  Isaac Vossius, obtaining</w:t></w:r>
</w:p>
<w:p>
<w:pPr><w:pStyle w:val="Normal"/></w:pPr>
<w:r><w:t xml:space="preserve">the manuscript in loan from M. Daille, transcribed it, and</w:t></w:r>
</w:p>
<w:p>
<w:pPr><w:pStyle w:val="Normal"/></w:pPr>
<w:r><w:t xml:space="preserve">afterwards published it at the Hague, under the title of</w:t></w:r>
</w:p>
<w:p>
<w:pPr><w:pStyle w:val="Normal"/></w:pPr>
<w:r><w:t xml:space="preserve">Scaligerana, sive Excerpta ex Ore Josephi Scaligeri. This</w:t></w:r>
</w:p>
<w:p>
<w:pPr><w:pStyle w:val="Normal"/></w:pPr>
<w:r><w:t xml:space="preserve">edition was full of inaccuracies and blunders, and a more</w:t></w:r>
</w:p>
<w:p>
<w:pPr><w:pStyle w:val="Normal"/></w:pPr>
<w:r><w:t xml:space="preserve">correct impression was afterwards published by M. Daille,</w:t></w:r>
</w:p>
<w:p>
<w:pPr><w:pStyle w:val="Normal"/></w:pPr>
<w:r><w:t xml:space="preserve">with a preface complaining of the use that Vossius had made</w:t></w:r>
</w:p>
<w:p>
<w:pPr><w:pStyle w:val="Normal"/></w:pPr>
<w:r><w:t xml:space="preserve">of the manuscript, which he declares was never intended for</w:t></w:r>
</w:p>
<w:p>
<w:pPr><w:pStyle w:val="Normal"/></w:pPr>
<w:r><w:t xml:space="preserve">publication, and was not of a nature to be given to the</w:t></w:r>
</w:p>
<w:p>
<w:pPr><w:pStyle w:val="Normal"/></w:pPr>
<w:r><w:t xml:space="preserve">world.  Indeed, most literary men in that age conceived</w:t></w:r>
</w:p>
<w:p>
<w:pPr><w:pStyle w:val="Normal"/></w:pPr>
<w:r><w:t xml:space="preserve">that the Scaligerana, particularly the second, detracted</w:t></w:r>
</w:p>
<w:p>
<w:pPr><w:pStyle w:val="Normal"/></w:pPr>
<w:r><w:t xml:space="preserve">considerably from the reputation of the great scholar.</w:t></w:r>
</w:p>
<w:p>
<w:pPr><w:pStyle w:val="Normal"/></w:pPr>
<w:r><w:t xml:space="preserve">Joseph Scaliger, with more extensive erudition, but, as some</w:t></w:r>
</w:p>
<w:p>
<w:pPr><w:pStyle w:val="Normal"/></w:pPr>
<w:r><w:t xml:space="preserve">think, less genius than his father Julius Caesar Scaliger,</w:t></w:r>
</w:p>
<w:p>
<w:pPr><w:pStyle w:val="Normal"/></w:pPr>
<w:r><w:t xml:space="preserve">had inherited his vanity and dogmatical spirit.  Conversing</w:t></w:r>
</w:p>
<w:p>
<w:pPr><w:pStyle w:val="Normal"/></w:pPr>
<w:r><w:t xml:space="preserve">with two young students, he would probably be but little</w:t></w:r>
</w:p>
<w:p>
<w:pPr><w:pStyle w:val="Normal"/></w:pPr>
<w:r><w:t xml:space="preserve">cautious in the opinions he expressed, as his literary errors</w:t></w:r>
</w:p>
<w:p>
<w:pPr><w:pStyle w:val="Normal"/></w:pPr>
<w:r><w:t xml:space="preserve">could not be detected or exposed.  Unfortunately the blind</w:t></w:r>
</w:p>
<w:p>
<w:pPr><w:pStyle w:val="Normal"/></w:pPr>
<w:r><w:t xml:space="preserve">admiration of his pupils led them to regard his opinions as</w:t></w:r>
</w:p>
<w:p>
<w:pPr><w:pStyle w:val="Normal"/></w:pPr>
<w:r><w:t xml:space="preserve">the responses of an oracle, and his most unmerited censures</w:t></w:r>
</w:p>
<w:p>
<w:pPr><w:pStyle w:val="Normal"/></w:pPr>
<w:r><w:t xml:space="preserve">as just condemnations.  The Scaligerana, accordingly,</w:t></w:r>
</w:p>
<w:p>
<w:pPr><w:pStyle w:val="Normal"/></w:pPr>
<w:r><w:t xml:space="preserve">contains many falsehoods, with much unworthy personal</w:t></w:r>
</w:p>
<w:p>
<w:pPr><w:pStyle w:val="Normal"/></w:pPr>
<w:r><w:t xml:space="preserve">abuse of the most distinguished characters of the age.</w:t></w:r>
</w:p>
<w:p>
<w:pPr><w:pStyle w:val="Normal"/></w:pPr>
<w:r><w:t xml:space="preserve">In imitation of the Scaligerana, a prodigious number of</w:t></w:r>
</w:p>
<w:p>
<w:pPr><w:pStyle w:val="Normal"/></w:pPr>
<w:r><w:t xml:space="preserve">similar works appeared in France towards the end of the 17th and</w:t></w:r>
</w:p>
<w:p>
<w:pPr><w:pStyle w:val="Normal"/></w:pPr>
<w:r><w:t xml:space="preserve">beginning of the 18th century.  At first these collections were</w:t></w:r>
</w:p>
<w:p>
<w:pPr><w:pStyle w:val="Normal"/></w:pPr>
<w:r><w:t xml:space="preserve">confined to what had fallen from eminent men in conversation;</w:t></w:r>
</w:p>
<w:p>
<w:pPr><w:pStyle w:val="Normal"/></w:pPr>
<w:r><w:t xml:space="preserve">but they were afterwards made to embrace fragments found among</w:t></w:r>
</w:p>
<w:p>
<w:pPr><w:pStyle w:val="Normal"/></w:pPr>
<w:r><w:t xml:space="preserve">their papers, and even passages extracted from their works and</w:t></w:r>
</w:p>
<w:p>
<w:pPr><w:pStyle w:val="Normal"/></w:pPr>
<w:r><w:t xml:space="preserve">correspondence.  Of those which merely record the conversations</w:t></w:r>
</w:p>
<w:p>
<w:pPr><w:pStyle w:val="Normal"/></w:pPr>
<w:r><w:t xml:space="preserve">of eminent men, the best known and most valuable is the</w:t></w:r>
</w:p>
<w:p>
<w:pPr><w:pStyle w:val="Normal"/></w:pPr>
<w:r><w:t xml:space="preserve">Menagiana. Gilles Menage was a person of good sense, of</w:t></w:r>
</w:p>
<w:p>
<w:pPr><w:pStyle w:val="Normal"/></w:pPr>
<w:r><w:t xml:space="preserve">various and extensive information and of a most communicative</w:t></w:r>
</w:p>
<w:p>
<w:pPr><w:pStyle w:val="Normal"/></w:pPr>
<w:r><w:t xml:space="preserve">disposition.  A collection of his oral opinions was published</w:t></w:r>
</w:p>
<w:p>
<w:pPr><w:pStyle w:val="Normal"/></w:pPr>
<w:r><w:t xml:space="preserve">in 1693, soon after his death; and this collection, which was</w:t></w:r>
</w:p>
<w:p>
<w:pPr><w:pStyle w:val="Normal"/></w:pPr>
<w:r><w:t xml:space="preserve">entitled Menagiana, was afterwards corrected and enlarged by</w:t></w:r>
</w:p>
<w:p>
<w:pPr><w:pStyle w:val="Normal"/></w:pPr>
<w:r><w:t xml:space="preserve">Bernard de la Monnoye, in an edition published by him in 1715.</w:t></w:r>
</w:p>
<w:p>
<w:pPr><w:pStyle w:val="Normal"/></w:pPr>
<w:r><w:t xml:space="preserve">The Perroniana, which exhibits the opinions of Cardinal du</w:t></w:r>
</w:p>
<w:p>
<w:pPr><w:pStyle w:val="Normal"/></w:pPr>
<w:r><w:t xml:space="preserve">Perron, was compiled from his conversation by C. Dupuy, and</w:t></w:r>
</w:p>
<w:p>
<w:pPr><w:pStyle w:val="Normal"/></w:pPr>
<w:r><w:t xml:space="preserve">published by Vossius in 1666, by the same contrivance which</w:t></w:r>
</w:p>
<w:p>
<w:pPr><w:pStyle w:val="Normal"/></w:pPr>
<w:r><w:t xml:space="preserve">put him in possession of the Scaligerana. The Thuana,</w:t></w:r>
</w:p>
<w:p>
<w:pPr><w:pStyle w:val="Normal"/></w:pPr>
<w:r><w:t xml:space="preserve">or observations of the president de Thou, have usually been</w:t></w:r>
</w:p>
<w:p>
<w:pPr><w:pStyle w:val="Normal"/></w:pPr>
<w:r><w:t xml:space="preserve">published along with the Perroniana, but first appeared in 1669.</w:t></w:r>
</w:p>
<w:p>
<w:pPr><w:pStyle w:val="Normal"/></w:pPr>
<w:r><w:t xml:space="preserve">The Valesiana is a collection of the literary opinions</w:t></w:r>
</w:p>
<w:p>
<w:pPr><w:pStyle w:val="Normal"/></w:pPr>
<w:r><w:t xml:space="preserve">of the historiographer Adrien de Valois, published by his</w:t></w:r>
</w:p>
<w:p>
<w:pPr><w:pStyle w:val="Normal"/></w:pPr>
<w:r><w:t xml:space="preserve">son.  M. de Valois was a great student of history, and the</w:t></w:r>
</w:p>
<w:p>
<w:pPr><w:pStyle w:val="Normal"/></w:pPr>
<w:r><w:t xml:space="preserve">Valesiana accordingly comprehends many valuable historical</w:t></w:r>
</w:p>
<w:p>
<w:pPr><w:pStyle w:val="Normal"/></w:pPr>
<w:r><w:t xml:space="preserve">observations, particularly on the works of du Cange.</w:t></w:r>
</w:p>
<w:p>
<w:pPr><w:pStyle w:val="Normal"/></w:pPr>
<w:r><w:t xml:space="preserve">The Fureteriana (1696) contains the bone mots of</w:t></w:r>
</w:p>
<w:p>
<w:pPr><w:pStyle w:val="Normal"/></w:pPr>
<w:r><w:t xml:space="preserve">Antoine Furetiere, the Academician, the stories which</w:t></w:r>
</w:p>
<w:p>
<w:pPr><w:pStyle w:val="Normal"/></w:pPr>
<w:r><w:t xml:space="preserve">he was in the habit of telling, and a number of anecdotes</w:t></w:r>
</w:p>
<w:p>
<w:pPr><w:pStyle w:val="Normal"/></w:pPr>
<w:r><w:t xml:space="preserve">and remarks found in his papers after his decease.</w:t></w:r>
</w:p>
<w:p>
<w:pPr><w:pStyle w:val="Normal"/></w:pPr>
<w:r><w:t xml:space="preserve">The chevraeana (1697), so called from Urbain Chevreau, is</w:t></w:r>
</w:p>
<w:p>
<w:pPr><w:pStyle w:val="Normal"/></w:pPr>
<w:r><w:t xml:space="preserve">more scholarly than most works of a similar description, and</w:t></w:r>
</w:p>
<w:p>
<w:pPr><w:pStyle w:val="Normal"/></w:pPr>
<w:r><w:t xml:space="preserve">probably more accurate, as it differs from the Ana proper, of</w:t></w:r>
</w:p>
<w:p>
<w:pPr><w:pStyle w:val="Normal"/></w:pPr>
<w:r><w:t xml:space="preserve">which the works described above are instances, in having been</w:t></w:r>
</w:p>
<w:p>
<w:pPr><w:pStyle w:val="Normal"/></w:pPr>
<w:r><w:t xml:space="preserve">published during the life of the author and revised by himself.</w:t></w:r>
</w:p>
<w:p>
<w:pPr><w:pStyle w:val="Normal"/></w:pPr>
<w:r><w:t xml:space="preserve">Parrhasiana (1699-1701) is the work of Jean le Clerc, a</w:t></w:r>
</w:p>
<w:p>
<w:pPr><w:pStyle w:val="Normal"/></w:pPr>
<w:r><w:t xml:space="preserve">professor of Amsterdam, who bestowed this appellation on</w:t></w:r>
</w:p>
<w:p>
<w:pPr><w:pStyle w:val="Normal"/></w:pPr>
<w:r><w:t xml:space="preserve">his miscellaneous productions with the view of discussing</w:t></w:r>
</w:p>
<w:p>
<w:pPr><w:pStyle w:val="Normal"/></w:pPr>
<w:r><w:t xml:space="preserve">various topics of philosophy and politics with more</w:t></w:r>
</w:p>
<w:p>
<w:pPr><w:pStyle w:val="Normal"/></w:pPr>
<w:r><w:t xml:space="preserve">freedom than he could have employed under his own name.</w:t></w:r>
</w:p>
<w:p>
<w:pPr><w:pStyle w:val="Normal"/></w:pPr>
<w:r><w:t xml:space="preserve">The Huetiana contains the detached thoughts and criticisms</w:t></w:r>
</w:p>
<w:p>
<w:pPr><w:pStyle w:val="Normal"/></w:pPr>
<w:r><w:t xml:space="preserve">of P. D. Huet. bishop of Avranches, which he himself committed</w:t></w:r>
</w:p>
<w:p>
<w:pPr><w:pStyle w:val="Normal"/></w:pPr>
<w:r><w:t xml:space="preserve">to writing when he was far advanced in life.  Huet was born in</w:t></w:r>
</w:p>
<w:p>
<w:pPr><w:pStyle w:val="Normal"/></w:pPr>
<w:r><w:t xml:space="preserve">1630, and in 1712 he was attacked by a malady which impaired</w:t></w:r>
</w:p>
<w:p>
<w:pPr><w:pStyle w:val="Normal"/></w:pPr>
<w:r><w:t xml:space="preserve">his memory, and rendered him incapable of the sustained</w:t></w:r>
</w:p>
<w:p>
<w:pPr><w:pStyle w:val="Normal"/></w:pPr>
<w:r><w:t xml:space="preserve">attention necessary for the completion of a long or laborious</w:t></w:r>
</w:p>
<w:p>
<w:pPr><w:pStyle w:val="Normal"/></w:pPr>
<w:r><w:t xml:space="preserve">work.  In this situation he employed himself in putting</w:t></w:r>
</w:p>
<w:p>
<w:pPr><w:pStyle w:val="Normal"/></w:pPr>
<w:r><w:t xml:space="preserve">his detached observations on paper.  These were published</w:t></w:r>
</w:p>
<w:p>
<w:pPr><w:pStyle w:val="Normal"/></w:pPr>
<w:r><w:t xml:space="preserve">by the Abbe d&apos;Olivet the year after his death (1722).</w:t></w:r>
</w:p>
<w:p>
<w:pPr><w:pStyle w:val="Normal"/></w:pPr>
<w:r><w:t xml:space="preserve">The Casauboniana presents us with the miscellaneous</w:t></w:r>
</w:p>
<w:p>
<w:pPr><w:pStyle w:val="Normal"/></w:pPr>
<w:r><w:t xml:space="preserve">observations, chiefly philological, of the celebrated Isaac</w:t></w:r>
</w:p>
<w:p>
<w:pPr><w:pStyle w:val="Normal"/></w:pPr>
<w:r><w:t xml:space="preserve">Casaubon.  During the course of a long life that eminent</w:t></w:r>
</w:p>
<w:p>
<w:pPr><w:pStyle w:val="Normal"/></w:pPr>
<w:r><w:t xml:space="preserve">commentator was in the daily practice of committing to paper</w:t></w:r>
</w:p>
<w:p>
<w:pPr><w:pStyle w:val="Normal"/></w:pPr>
<w:r><w:t xml:space="preserve">anything remarkable which he heard in conversation with his</w:t></w:r>
</w:p>
<w:p>
<w:pPr><w:pStyle w:val="Normal"/></w:pPr>
<w:r><w:t xml:space="preserve">friends, especially if it bore on the studies in which he was</w:t></w:r>
</w:p>
<w:p>
<w:pPr><w:pStyle w:val="Normal"/></w:pPr>
<w:r><w:t xml:space="preserve">engaged.  He also made annotations from day to day on the</w:t></w:r>
</w:p>
<w:p>
<w:pPr><w:pStyle w:val="Normal"/></w:pPr>
<w:r><w:t xml:space="preserve">works he read, with which he connected his judgments concerning</w:t></w:r>
</w:p>
<w:p>
<w:pPr><w:pStyle w:val="Normal"/></w:pPr>
<w:r><w:t xml:space="preserve">the authors and their writings.  This compilation was styled</w:t></w:r>
</w:p>
<w:p>
<w:pPr><w:pStyle w:val="Normal"/></w:pPr>
<w:r><w:t xml:space="preserve">Ephemerides. His Adversaria, and materials amassed for a</w:t></w:r>
</w:p>
<w:p>
<w:pPr><w:pStyle w:val="Normal"/></w:pPr>
<w:r><w:t xml:space="preserve">refutation of the Ecclesiastical Annals of Baronius, were</w:t></w:r>
</w:p>
<w:p>
<w:pPr><w:pStyle w:val="Normal"/></w:pPr>
<w:r><w:t xml:space="preserve">bequeathed by his son Meric Casaubon to the Bodleian Library at</w:t></w:r>
</w:p>
<w:p>
<w:pPr><w:pStyle w:val="Normal"/></w:pPr>
<w:r><w:t xml:space="preserve">Oxford.  These were shown to J. C. Wolf during a visit which</w:t></w:r>
</w:p>
<w:p>
<w:pPr><w:pStyle w:val="Normal"/></w:pPr>
<w:r><w:t xml:space="preserve">he paid to that university; and having been transcribed by</w:t></w:r>
</w:p>
<w:p>
<w:pPr><w:pStyle w:val="Normal"/></w:pPr>
<w:r><w:t xml:space="preserve">him, were published in 1710 under the title of Casauboniana.</w:t></w:r>
</w:p>
<w:p>
<w:pPr><w:pStyle w:val="Normal"/></w:pPr>
<w:r><w:t xml:space="preserve">Besides the above a great many works under the title of Ana</w:t></w:r>
</w:p>
<w:p>
<w:pPr><w:pStyle w:val="Normal"/></w:pPr>
<w:r><w:t xml:space="preserve">appeared in France about the same period.  Thus, the opinions</w:t></w:r>
</w:p>
<w:p>
<w:pPr><w:pStyle w:val="Normal"/></w:pPr>
<w:r><w:t xml:space="preserve">and conversation of Charpentier, Colomesius and St Evremond</w:t></w:r>
</w:p>
<w:p>
<w:pPr><w:pStyle w:val="Normal"/></w:pPr>
<w:r><w:t xml:space="preserve">were recorded in the Carpenteriana, Colomesiana and St</w:t></w:r>
</w:p>
<w:p>
<w:pPr><w:pStyle w:val="Normal"/></w:pPr>
<w:r><w:t xml:space="preserve">Evremoniana; and those of Segrais in the Segraisiana,--a</w:t></w:r>
</w:p>
<w:p>
<w:pPr><w:pStyle w:val="Normal"/></w:pPr>
<w:r><w:t xml:space="preserve">collection formed by a person stationed behind the tapestry in</w:t></w:r>
</w:p>
<w:p>
<w:pPr><w:pStyle w:val="Normal"/></w:pPr>
<w:r><w:t xml:space="preserve">a house where Segrais was accustomed to visit, of which Voltaire</w:t></w:r>
</w:p>
<w:p>
<w:pPr><w:pStyle w:val="Normal"/></w:pPr>
<w:r><w:t xml:space="preserve">declared, ``que de tous les Ana c&apos;est celui qui merite le plus</w:t></w:r>
</w:p>
<w:p>
<w:pPr><w:pStyle w:val="Normal"/></w:pPr>
<w:r><w:t xml:space="preserve">d&apos;etre mis au rang des mensonges imprimes, et surtout des</w:t></w:r>
</w:p>
<w:p>
<w:pPr><w:pStyle w:val="Normal"/></w:pPr>
<w:r><w:t xml:space="preserve">mensonges insipides.&apos;&apos; The Ana, indeed, from the popularity</w:t></w:r>
</w:p>
<w:p>
<w:pPr><w:pStyle w:val="Normal"/></w:pPr>
<w:r><w:t xml:space="preserve">which they now enjoyed, were compiled in such numbers and with</w:t></w:r>
</w:p>
<w:p>
<w:pPr><w:pStyle w:val="Normal"/></w:pPr>
<w:r><w:t xml:space="preserve">so little care that they became almost proverbial for inaccuracy.</w:t></w:r>
</w:p>
<w:p>
<w:pPr><w:pStyle w:val="Normal"/></w:pPr>
<w:r><w:t xml:space="preserve">In 1743 the Abbe d&apos;Olivet spoke indignantly of ``ces ana, dont</w:t></w:r>
</w:p>
<w:p>
<w:pPr><w:pStyle w:val="Normal"/></w:pPr>
<w:r><w:t xml:space="preserve">le nombre se multiple impunement tous les jours a la honte de</w:t></w:r>
</w:p>
<w:p>
<w:pPr><w:pStyle w:val="Normal"/></w:pPr>
<w:r><w:t xml:space="preserve">notre siecle.&apos;&apos; About the middle of the 18th century, too, they</w:t></w:r>
</w:p>
<w:p>
<w:pPr><w:pStyle w:val="Normal"/></w:pPr>
<w:r><w:t xml:space="preserve">were sometimes made the vehicles of revolutionary and heretical</w:t></w:r>
</w:p>
<w:p>
<w:pPr><w:pStyle w:val="Normal"/></w:pPr>
<w:r><w:t xml:space="preserve">opinions.  Thus the evil naturally began to cure itself, and by</w:t></w:r>
</w:p>
<w:p>
<w:pPr><w:pStyle w:val="Normal"/></w:pPr>
<w:r><w:t xml:space="preserve">a reaction the French Ana sank in public esteem as much below</w:t></w:r>
</w:p>
<w:p>
<w:pPr><w:pStyle w:val="Normal"/></w:pPr>
<w:r><w:t xml:space="preserve">their intrinsic value as they had formerly been exalted above it.</w:t></w:r>
</w:p>
<w:p>
<w:pPr><w:pStyle w:val="Normal"/></w:pPr>
<w:r><w:t xml:space="preserve">Of the examples England has produced of this species of</w:t></w:r>
</w:p>
<w:p>
<w:pPr><w:pStyle w:val="Normal"/></w:pPr>
<w:r><w:t xml:space="preserve">composition, perhaps the most interesting is the Walpoliana,</w:t></w:r>
</w:p>
<w:p>
<w:pPr><w:pStyle w:val="Normal"/></w:pPr>
<w:r><w:t xml:space="preserve">a transcript of the literary conversation of Horace Walpole,</w:t></w:r>
</w:p>
<w:p>
<w:pPr><w:pStyle w:val="Normal"/></w:pPr>
<w:r><w:t xml:space="preserve">earl of Orford.  Most other works which in England have been</w:t></w:r>
</w:p>
<w:p>
<w:pPr><w:pStyle w:val="Normal"/></w:pPr>
<w:r><w:t xml:space="preserve">published under the name of Ana, as Baconiana, Atterburyana,</w:t></w:r>
</w:p>
<w:p>
<w:pPr><w:pStyle w:val="Normal"/></w:pPr>
<w:r><w:t xml:space="preserve">&amp;c., are rather extracts from the writings and correspondence</w:t></w:r>
</w:p>
<w:p>
<w:pPr><w:pStyle w:val="Normal"/></w:pPr>
<w:r><w:t xml:space="preserve">of eminent men than memorials of their conversation.</w:t></w:r>
</w:p>
<w:p>
<w:pPr><w:pStyle w:val="Normal"/></w:pPr>
<w:r><w:t xml:space="preserve">There are some works which, though they do not bear the</w:t></w:r>
</w:p>
<w:p>
<w:pPr><w:pStyle w:val="Normal"/></w:pPr>
<w:r><w:t xml:space="preserve">title, belong more strictly to the class of Ana than many</w:t></w:r>
</w:p>
<w:p>
<w:pPr><w:pStyle w:val="Normal"/></w:pPr>
<w:r><w:t xml:space="preserve">of the collections which are known under that appellation.</w:t></w:r>
</w:p>
<w:p>
<w:pPr><w:pStyle w:val="Normal"/></w:pPr>
<w:r><w:t xml:space="preserve">Such are the Melanges d&apos;histoire et de litterature,</w:t></w:r>
</w:p>
<w:p>
<w:pPr><w:pStyle w:val="Normal"/></w:pPr>
<w:r><w:t xml:space="preserve">published under the name of Vigneul Marville, though the</w:t></w:r>
</w:p>
<w:p>
<w:pPr><w:pStyle w:val="Normal"/></w:pPr>
<w:r><w:t xml:space="preserve">work of a Benedictine, d&apos;Argonne; and the Locorum Communium</w:t></w:r>
</w:p>
<w:p>
<w:pPr><w:pStyle w:val="Normal"/></w:pPr>
<w:r><w:t xml:space="preserve">Collectanea, ex Lectionibus Philippi Melanchthonis,--a</w:t></w:r>
</w:p>
<w:p>
<w:pPr><w:pStyle w:val="Normal"/></w:pPr>
<w:r><w:t xml:space="preserve">work of considerable reputation on account of its theological</w:t></w:r>
</w:p>
<w:p>
<w:pPr><w:pStyle w:val="Normal"/></w:pPr>
<w:r><w:t xml:space="preserve">learning, and the information it communicates concerning the</w:t></w:r>
</w:p>
<w:p>
<w:pPr><w:pStyle w:val="Normal"/></w:pPr>
<w:r><w:t xml:space="preserve">early state of the Reformed Church.  But of those productions</w:t></w:r>
</w:p>
<w:p>
<w:pPr><w:pStyle w:val="Normal"/></w:pPr>
<w:r><w:t xml:space="preserve">which belong to the class, though they do not bear the name,</w:t></w:r>
</w:p>
<w:p>
<w:pPr><w:pStyle w:val="Normal"/></w:pPr>
<w:r><w:t xml:space="preserve">of Ana, the most celebrated are the Colloquia Mensalia of</w:t></w:r>
</w:p>
<w:p>
<w:pPr><w:pStyle w:val="Normal"/></w:pPr>
<w:r><w:t xml:space="preserve">Luther and Selden&apos;s Table-Talk. The former, which comprehends</w:t></w:r>
</w:p>
<w:p>
<w:pPr><w:pStyle w:val="Normal"/></w:pPr>
<w:r><w:t xml:space="preserve">the conversation of Luther with his friends and coadjutors</w:t></w:r>
</w:p>
<w:p>
<w:pPr><w:pStyle w:val="Normal"/></w:pPr>
<w:r><w:t xml:space="preserve">in the great work of the Reformation, was first published in</w:t></w:r>
</w:p>
<w:p>
<w:pPr><w:pStyle w:val="Normal"/></w:pPr>
<w:r><w:t xml:space="preserve">1566.  Captain H. Bell, who translated it into English in</w:t></w:r>
</w:p>
<w:p>
<w:pPr><w:pStyle w:val="Normal"/></w:pPr>
<w:r><w:t xml:space="preserve">the time of the Commonwealth, informs us that, an edict</w:t></w:r>
</w:p>
<w:p>
<w:pPr><w:pStyle w:val="Normal"/></w:pPr>
<w:r><w:t xml:space="preserve">having been promulgated commanding the works of Luther to be</w:t></w:r>
</w:p>
<w:p>
<w:pPr><w:pStyle w:val="Normal"/></w:pPr>
<w:r><w:t xml:space="preserve">destroyed, it was for some time supposed that all the copies</w:t></w:r>
</w:p>
<w:p>
<w:pPr><w:pStyle w:val="Normal"/></w:pPr>
<w:r><w:t xml:space="preserve">of the Colloquia Mensalia had been burned; but in 1626,</w:t></w:r>
</w:p>
<w:p>
<w:pPr><w:pStyle w:val="Normal"/></w:pPr>
<w:r><w:t xml:space="preserve">on the foundation of a house being removed, a printed copy</w:t></w:r>
</w:p>
<w:p>
<w:pPr><w:pStyle w:val="Normal"/></w:pPr>
<w:r><w:t xml:space="preserve">was found lying in a deep hole and wrapped up in a linen</w:t></w:r>
</w:p>
<w:p>
<w:pPr><w:pStyle w:val="Normal"/></w:pPr>
<w:r><w:t xml:space="preserve">cloth.  The book, translated by Bell, and again by the</w:t></w:r>
</w:p>
<w:p>
<w:pPr><w:pStyle w:val="Normal"/></w:pPr>
<w:r><w:t xml:space="preserve">younger Hazlitt in 1847, was originally collected by Dr Anton</w:t></w:r>
</w:p>
<w:p>
<w:pPr><w:pStyle w:val="Normal"/></w:pPr>
<w:r><w:t xml:space="preserve">Lauterbach (1502-1569) ``out of the holy mouth of Luther.&apos;&apos; It</w:t></w:r>
</w:p>
<w:p>
<w:pPr><w:pStyle w:val="Normal"/></w:pPr>
<w:r><w:t xml:space="preserve">consists chiefly of observations and discussions on idolatry,</w:t></w:r>
</w:p>
<w:p>
<w:pPr><w:pStyle w:val="Normal"/></w:pPr>
<w:r><w:t xml:space="preserve">auricular confession, the mass, excommunication, clerical</w:t></w:r>
</w:p>
<w:p>
<w:pPr><w:pStyle w:val="Normal"/></w:pPr>
<w:r><w:t xml:space="preserve">jurisdiction, general councils, and all the points agitated by</w:t></w:r>
</w:p>
<w:p>
<w:pPr><w:pStyle w:val="Normal"/></w:pPr>
<w:r><w:t xml:space="preserve">the reformed church in those early periods.  The Table-Talk</w:t></w:r>
</w:p>
<w:p>
<w:pPr><w:pStyle w:val="Normal"/></w:pPr>
<w:r><w:t xml:space="preserve">of Selden contains a more genuine and undisguised expression</w:t></w:r>
</w:p>
<w:p>
<w:pPr><w:pStyle w:val="Normal"/></w:pPr>
<w:r><w:t xml:space="preserve">of the sentiments of that eminent man than we find in his</w:t></w:r>
</w:p>
<w:p>
<w:pPr><w:pStyle w:val="Normal"/></w:pPr>
<w:r><w:t xml:space="preserve">more studied productions.  It was published after his death</w:t></w:r>
</w:p>
<w:p>
<w:pPr><w:pStyle w:val="Normal"/></w:pPr>
<w:r><w:t xml:space="preserve">by Richard Milward, his amanuensis, who affirms that for</w:t></w:r>
</w:p>
<w:p>
<w:pPr><w:pStyle w:val="Normal"/></w:pPr>
<w:r><w:t xml:space="preserve">twenty years he enjoyed the opportunity of daily hearing his</w:t></w:r>
</w:p>
<w:p>
<w:pPr><w:pStyle w:val="Normal"/></w:pPr>
<w:r><w:t xml:space="preserve">discourse, and made it his practice faithfully to commit to</w:t></w:r>
</w:p>
<w:p>
<w:pPr><w:pStyle w:val="Normal"/></w:pPr>
<w:r><w:t xml:space="preserve">writing ``the excellent things that usually fell from him.&apos;&apos;</w:t></w:r>
</w:p>
<w:p>
<w:pPr><w:pStyle w:val="Normal"/></w:pPr>
<w:r><w:t xml:space="preserve">The most remarkable collection of Ana in the English</w:t></w:r>
</w:p>
<w:p>
<w:pPr><w:pStyle w:val="Normal"/></w:pPr>
<w:r><w:t xml:space="preserve">language--and, indeed, in any language--is to be found</w:t></w:r>
</w:p>
<w:p>
<w:pPr><w:pStyle w:val="Normal"/></w:pPr>
<w:r><w:t xml:space="preserve">in a work which does not correspond to the normal type</w:t></w:r>
</w:p>
<w:p>
<w:pPr><w:pStyle w:val="Normal"/></w:pPr>
<w:r><w:t xml:space="preserve">either in name or in form.  In his Life of Samuel Johnson,</w:t></w:r>
</w:p>
<w:p>
<w:pPr><w:pStyle w:val="Normal"/></w:pPr>
<w:r><w:t xml:space="preserve">LL.D., Boswell relates that to his remark, a propos</w:t></w:r>
</w:p>
<w:p>
<w:pPr><w:pStyle w:val="Normal"/></w:pPr>
<w:r><w:t xml:space="preserve">of French literature, ``Their Ana are good,&apos;&apos; Johnson</w:t></w:r>
</w:p>
<w:p>
<w:pPr><w:pStyle w:val="Normal"/></w:pPr>
<w:r><w:t xml:space="preserve">replied, ``A few of them are good; but we have one book of</w:t></w:r>
</w:p>
<w:p>
<w:pPr><w:pStyle w:val="Normal"/></w:pPr>
<w:r><w:t xml:space="preserve">that kind better than any of them--Selden&apos;s Table-Talk.&apos;&apos;</w:t></w:r>
</w:p>
<w:p>
<w:pPr><w:pStyle w:val="Normal"/></w:pPr>
<w:r><w:t xml:space="preserve">Boswell&apos;s own work, however, is incomparably superior to all.</w:t></w:r>
</w:p>
<w:p>
<w:pPr><w:pStyle w:val="Normal"/></w:pPr>
<w:r><w:t xml:space="preserve">J. C. Wolf has given a history of the Ana in a preliminary</w:t></w:r>
</w:p>
<w:p>
<w:pPr><w:pStyle w:val="Normal"/></w:pPr>
<w:r><w:t xml:space="preserve">discourse to his edition of the Casauboniana, published in</w:t></w:r>
</w:p>
<w:p>
<w:pPr><w:pStyle w:val="Normal"/></w:pPr>
<w:r><w:t xml:space="preserve">1710.  In the Repertoire de bibliographies speciales, curieuses,</w:t></w:r>
</w:p>
<w:p>
<w:pPr><w:pStyle w:val="Normal"/></w:pPr>
<w:r><w:t xml:space="preserve">et instructives, by Peignot, there is a Notice bibliographique</w:t></w:r>
</w:p>
<w:p>
<w:pPr><w:pStyle w:val="Normal"/></w:pPr>
<w:r><w:t xml:space="preserve">of these collections; but many of the books there enumerated</w:t></w:r>
</w:p>
<w:p>
<w:pPr><w:pStyle w:val="Normal"/></w:pPr>
<w:r><w:t xml:space="preserve">consist of mere extracts from the writings of popular authors.</w:t></w:r>
</w:p>
<w:p>
<w:pPr><w:pStyle w:val="Normal"/></w:pPr>
<w:r><w:t xml:space="preserve">ANABAPTISTS (``re-baptizers,&apos;&apos; from Gr. ana and baptizo),</w:t></w:r>
</w:p>
<w:p>
<w:pPr><w:pStyle w:val="Normal"/></w:pPr>
<w:r><w:t xml:space="preserve">a name given by their enemies to various sects which on the occasion</w:t></w:r>
</w:p>
<w:p>
<w:pPr><w:pStyle w:val="Normal"/></w:pPr>
<w:r><w:t xml:space="preserve">of Luther&apos;s revolt from Romanism denied the validity of infant</w:t></w:r>
</w:p>
<w:p>
<w:pPr><w:pStyle w:val="Normal"/></w:pPr>
<w:r><w:t xml:space="preserve">baptism, and therefore baptized those whom they quite logically</w:t></w:r>
</w:p>
<w:p>
<w:pPr><w:pStyle w:val="Normal"/></w:pPr>
<w:r><w:t xml:space="preserve">regarded as not having received any Christian initiation at all.</w:t></w:r>
</w:p>
<w:p>
<w:pPr><w:pStyle w:val="Normal"/></w:pPr>
<w:r><w:t xml:space="preserve">On the 27th of December 1521 three ``prophets&apos;&apos; appeared in</w:t></w:r>
</w:p>
<w:p>
<w:pPr><w:pStyle w:val="Normal"/></w:pPr>
<w:r><w:t xml:space="preserve">Wittenberg from Zwickau, Thomas Munzer, Nicolas Storch and Mark</w:t></w:r>
</w:p>
<w:p>
<w:pPr><w:pStyle w:val="Normal"/></w:pPr>
<w:r><w:t xml:space="preserve">Thomas Stubner.  Luther&apos;s reform was not thorough enough for</w:t></w:r>
</w:p>
<w:p>
<w:pPr><w:pStyle w:val="Normal"/></w:pPr>
<w:r><w:t xml:space="preserve">them.  He professed to rest all upon Scripture, yet accepted</w:t></w:r>
</w:p>
<w:p>
<w:pPr><w:pStyle w:val="Normal"/></w:pPr>
<w:r><w:t xml:space="preserve">from the Babylon of Rome a baptism neither scriptural nor</w:t></w:r>
</w:p>
<w:p>
<w:pPr><w:pStyle w:val="Normal"/></w:pPr>
<w:r><w:t xml:space="preserve">primitive, nor fulfilling the chief conditions of admission</w:t></w:r>
</w:p>
<w:p>
<w:pPr><w:pStyle w:val="Normal"/></w:pPr>
<w:r><w:t xml:space="preserve">into a visible brotherhood of saints, to wit, repentance,</w:t></w:r>
</w:p>
<w:p>
<w:pPr><w:pStyle w:val="Normal"/></w:pPr>
<w:r><w:t xml:space="preserve">faith, spiritual illumination and free surrender of self to</w:t></w:r>
</w:p>
<w:p>
<w:pPr><w:pStyle w:val="Normal"/></w:pPr>
<w:r><w:t xml:space="preserve">Christ.  Melanchthon, powerless against the enthusiasts</w:t></w:r>
</w:p>
<w:p>
<w:pPr><w:pStyle w:val="Normal"/></w:pPr>
<w:r><w:t xml:space="preserve">with whom his co-reformer Carlstadt sympathized, appealed to</w:t></w:r>
</w:p>
<w:p>
<w:pPr><w:pStyle w:val="Normal"/></w:pPr>
<w:r><w:t xml:space="preserve">Luther, still concealed in the Wartburg.  He had written to</w:t></w:r>
</w:p>
<w:p>
<w:pPr><w:pStyle w:val="Normal"/></w:pPr>
<w:r><w:t xml:space="preserve">the Waldenses that it is better not to baptize at all than</w:t></w:r>
</w:p>
<w:p>
<w:pPr><w:pStyle w:val="Normal"/></w:pPr>
<w:r><w:t xml:space="preserve">to baptize little children; now he was cautious, would not</w:t></w:r>
</w:p>
<w:p>
<w:pPr><w:pStyle w:val="Normal"/></w:pPr>
<w:r><w:t xml:space="preserve">condemn the new prophecy off-hand; but advised Melanchthon</w:t></w:r>
</w:p>
<w:p>
<w:pPr><w:pStyle w:val="Normal"/></w:pPr>
<w:r><w:t xml:space="preserve">to treat them gently and to prove their spirits, less</w:t></w:r>
</w:p>
<w:p>
<w:pPr><w:pStyle w:val="Normal"/></w:pPr>
<w:r><w:t xml:space="preserve">they be of God. There was confusion in Wittenberg, where</w:t></w:r>
</w:p>
<w:p>
<w:pPr><w:pStyle w:val="Normal"/></w:pPr>
<w:r><w:t xml:space="preserve">schools and university sided with the ``prophets&apos;&apos; and were</w:t></w:r>
</w:p>
<w:p>
<w:pPr><w:pStyle w:val="Normal"/></w:pPr>
<w:r><w:t xml:space="preserve">closed.  Hence the charge that Anabaptists were enemies</w:t></w:r>
</w:p>
<w:p>
<w:pPr><w:pStyle w:val="Normal"/></w:pPr>
<w:r><w:t xml:space="preserve">of learning, which is sufficiently rebutted by the fact</w:t></w:r>
</w:p>
<w:p>
<w:pPr><w:pStyle w:val="Normal"/></w:pPr>
<w:r><w:t xml:space="preserve">that the first German translation of the Hebrew prophets</w:t></w:r>
</w:p>
<w:p>
<w:pPr><w:pStyle w:val="Normal"/></w:pPr>
<w:r><w:t xml:space="preserve">was made and printed by two of them, Hetzer and Denk, in</w:t></w:r>
</w:p>
<w:p>
<w:pPr><w:pStyle w:val="Normal"/></w:pPr>
<w:r><w:t xml:space="preserve">1527.  The first leaders of the movement in Zurich--Grebel,</w:t></w:r>
</w:p>
<w:p>
<w:pPr><w:pStyle w:val="Normal"/></w:pPr>
<w:r><w:t xml:space="preserve">Manz, Blaurock, Hubmaier--were men learned in Greek, Latin and</w:t></w:r>
</w:p>
<w:p>
<w:pPr><w:pStyle w:val="Normal"/></w:pPr>
<w:r><w:t xml:space="preserve">Hebrew.  On the 6th of March Luther returned, interviewed</w:t></w:r>
</w:p>
<w:p>
<w:pPr><w:pStyle w:val="Normal"/></w:pPr>
<w:r><w:t xml:space="preserve">the prophets, scorned their ``spirits,&apos;&apos; forbade them the</w:t></w:r>
</w:p>
<w:p>
<w:pPr><w:pStyle w:val="Normal"/></w:pPr>
<w:r><w:t xml:space="preserve">city, and had their adherents ejected from Zwickau and</w:t></w:r>
</w:p>
<w:p>
<w:pPr><w:pStyle w:val="Normal"/></w:pPr>
<w:r><w:t xml:space="preserve">Erfurt.  Denied access to the churches, the latter preached</w:t></w:r>
</w:p>
<w:p>
<w:pPr><w:pStyle w:val="Normal"/></w:pPr>
<w:r><w:t xml:space="preserve">and celebrated the sacrament in private houses.  Driven from</w:t></w:r>
</w:p>
<w:p>
<w:pPr><w:pStyle w:val="Normal"/></w:pPr>
<w:r><w:t xml:space="preserve">the cities they swarmed over the countryside.  Compelled to</w:t></w:r>
</w:p>
<w:p>
<w:pPr><w:pStyle w:val="Normal"/></w:pPr>
<w:r><w:t xml:space="preserve">leave Zwickau, Munzer visited Bohemia, resided two years</w:t></w:r>
</w:p>
<w:p>
<w:pPr><w:pStyle w:val="Normal"/></w:pPr>
<w:r><w:t xml:space="preserve">at Alltstedt in Thuringia, and in 1524 spent some time in</w:t></w:r>
</w:p>
<w:p>
<w:pPr><w:pStyle w:val="Normal"/></w:pPr>
<w:r><w:t xml:space="preserve">Switzerland.  During this period he proclaimed his revolutionary</w:t></w:r>
</w:p>
<w:p>
<w:pPr><w:pStyle w:val="Normal"/></w:pPr>
<w:r><w:t xml:space="preserve">doctrines in religion and politics with growing vehemence,</w:t></w:r>
</w:p>
<w:p>
<w:pPr><w:pStyle w:val="Normal"/></w:pPr>
<w:r><w:t xml:space="preserve">and, so far as the lower orders were concerned, with growing</w:t></w:r>
</w:p>
<w:p>
<w:pPr><w:pStyle w:val="Normal"/></w:pPr>
<w:r><w:t xml:space="preserve">success.  The crisis came in the so-called Peasants&apos; War in</w:t></w:r>
</w:p>
<w:p>
<w:pPr><w:pStyle w:val="Normal"/></w:pPr>
<w:r><w:t xml:space="preserve">South Germany in 1525.  In its origin a revolt against feudal</w:t></w:r>
</w:p>
<w:p>
<w:pPr><w:pStyle w:val="Normal"/></w:pPr>
<w:r><w:t xml:space="preserve">oppression, it became, under the leadership of Munzer, a</w:t></w:r>
</w:p>
<w:p>
<w:pPr><w:pStyle w:val="Normal"/></w:pPr>
<w:r><w:t xml:space="preserve">war against all constituted authorities, and an attempt to</w:t></w:r>
</w:p>
<w:p>
<w:pPr><w:pStyle w:val="Normal"/></w:pPr>
<w:r><w:t xml:space="preserve">establish by force his ideal Christian commonwealth, with</w:t></w:r>
</w:p>
<w:p>
<w:pPr><w:pStyle w:val="Normal"/></w:pPr>
<w:r><w:t xml:space="preserve">absolute equality and the community of goods.  The total</w:t></w:r>
</w:p>
<w:p>
<w:pPr><w:pStyle w:val="Normal"/></w:pPr>
<w:r><w:t xml:space="preserve">defeat of the insurgents at Frankenhausen (May 15, 1525),</w:t></w:r>
</w:p>
<w:p>
<w:pPr><w:pStyle w:val="Normal"/></w:pPr>
<w:r><w:t xml:space="preserve">followed as it was by the execution of Munzer and several</w:t></w:r>
</w:p>
<w:p>
<w:pPr><w:pStyle w:val="Normal"/></w:pPr>
<w:r><w:t xml:space="preserve">other leaders, proved only a temporary check to the Anabaptist</w:t></w:r>
</w:p>
<w:p>
<w:pPr><w:pStyle w:val="Normal"/></w:pPr>
<w:r><w:t xml:space="preserve">movement.  Here and there throughout Germany, Switzerland</w:t></w:r>
</w:p>
<w:p>
<w:pPr><w:pStyle w:val="Normal"/></w:pPr>
<w:r><w:t xml:space="preserve">and the Netherlands there were zealous propagandists, through</w:t></w:r>
</w:p>
<w:p>
<w:pPr><w:pStyle w:val="Normal"/></w:pPr>
<w:r><w:t xml:space="preserve">whose teaching many were prepared to follow as soon as another</w:t></w:r>
</w:p>
<w:p>
<w:pPr><w:pStyle w:val="Normal"/></w:pPr>
<w:r><w:t xml:space="preserve">leader should arise.  A second and more determined attempt</w:t></w:r>
</w:p>
<w:p>
<w:pPr><w:pStyle w:val="Normal"/></w:pPr>
<w:r><w:t xml:space="preserve">to establish a theocracy was made at Munster, in Westphalia</w:t></w:r>
</w:p>
<w:p>
<w:pPr><w:pStyle w:val="Normal"/></w:pPr>
<w:r><w:t xml:space="preserve">(1532-1535).  Here the sect had gained considerable</w:t></w:r>
</w:p>
<w:p>
<w:pPr><w:pStyle w:val="Normal"/></w:pPr>
<w:r><w:t xml:space="preserve">influence, through the adhesion of Rothmann, the Lutheran</w:t></w:r>
</w:p>
<w:p>
<w:pPr><w:pStyle w:val="Normal"/></w:pPr>
<w:r><w:t xml:space="preserve">pastor, and several prominent citizens; and the leaders,</w:t></w:r>
</w:p>
<w:p>
<w:pPr><w:pStyle w:val="Normal"/></w:pPr>
<w:r><w:t xml:space="preserve">Johann Matthyszoon or Matthiesen, a baker of Haarlem, and</w:t></w:r>
</w:p>
<w:p>
<w:pPr><w:pStyle w:val="Normal"/></w:pPr>
<w:r><w:t xml:space="preserve">Johann Bockholdt, a tailor of Leiden, had little difficulty</w:t></w:r>
</w:p>
<w:p>
<w:pPr><w:pStyle w:val="Normal"/></w:pPr>
<w:r><w:t xml:space="preserve">in obtaining possession of the town and deposing the</w:t></w:r>
</w:p>
<w:p>
<w:pPr><w:pStyle w:val="Normal"/></w:pPr>
<w:r><w:t xml:space="preserve">magistrates.  Vigorous preparations were at once made, not</w:t></w:r>
</w:p>
<w:p>
<w:pPr><w:pStyle w:val="Normal"/></w:pPr>
<w:r><w:t xml:space="preserve">only to hold what had been gained, but to proceed from Munster</w:t></w:r>
</w:p>
<w:p>
<w:pPr><w:pStyle w:val="Normal"/></w:pPr>
<w:r><w:t xml:space="preserve">as a centre to the conquest of the world.  The town being</w:t></w:r>
</w:p>
<w:p>
<w:pPr><w:pStyle w:val="Normal"/></w:pPr>
<w:r><w:t xml:space="preserve">besieged by Francis of Waldeck, its expelled bishop (April</w:t></w:r>
</w:p>
<w:p>
<w:pPr><w:pStyle w:val="Normal"/></w:pPr>
<w:r><w:t xml:space="preserve">1534), Matthiesen, who was first in command, made a sally</w:t></w:r>
</w:p>
<w:p>
<w:pPr><w:pStyle w:val="Normal"/></w:pPr>
<w:r><w:t xml:space="preserve">with only thirty followers, under the fanatical idea that he</w:t></w:r>
</w:p>
<w:p>
<w:pPr><w:pStyle w:val="Normal"/></w:pPr>
<w:r><w:t xml:space="preserve">was a second Gideon, and was cut off with his entire band.</w:t></w:r>
</w:p>
<w:p>
<w:pPr><w:pStyle w:val="Normal"/></w:pPr>
<w:r><w:t xml:space="preserve">Bockholdt, better known in history as John of Leiden, was now</w:t></w:r>
</w:p>
<w:p>
<w:pPr><w:pStyle w:val="Normal"/></w:pPr>
<w:r><w:t xml:space="preserve">supreme.  Giving himself out as the successor of David, he</w:t></w:r>
</w:p>
<w:p>
<w:pPr><w:pStyle w:val="Normal"/></w:pPr>
<w:r><w:t xml:space="preserve">claimed royal honours and absolute power in the new ``Zion.&apos;&apos;</w:t></w:r>
</w:p>
<w:p>
<w:pPr><w:pStyle w:val="Normal"/></w:pPr>
<w:r><w:t xml:space="preserve">He justified the most arbitrary and extravagant measures by</w:t></w:r>
</w:p>
<w:p>
<w:pPr><w:pStyle w:val="Normal"/></w:pPr>
<w:r><w:t xml:space="preserve">the authority of visions from heaven, as others have done</w:t></w:r>
</w:p>
<w:p>
<w:pPr><w:pStyle w:val="Normal"/></w:pPr>
<w:r><w:t xml:space="preserve">in similar circumstances.  With this pretended sanction he</w:t></w:r>
</w:p>
<w:p>
<w:pPr><w:pStyle w:val="Normal"/></w:pPr>
<w:r><w:t xml:space="preserve">legalized polygamy, and himself took four wives, one of whom</w:t></w:r>
</w:p>
<w:p>
<w:pPr><w:pStyle w:val="Normal"/></w:pPr>
<w:r><w:t xml:space="preserve">he beheaded with his own hand in the market-place in a fit of</w:t></w:r>
</w:p>
<w:p>
<w:pPr><w:pStyle w:val="Normal"/></w:pPr>
<w:r><w:t xml:space="preserve">frenzy.  As a natural consequence of such licence, Munster</w:t></w:r>
</w:p>
<w:p>
<w:pPr><w:pStyle w:val="Normal"/></w:pPr>
<w:r><w:t xml:space="preserve">was for twelve months a scene of unbridled profligacy.  After</w:t></w:r>
</w:p>
<w:p>
<w:pPr><w:pStyle w:val="Normal"/></w:pPr>
<w:r><w:t xml:space="preserve">an obstinate resistance the town was taken by the besiegers</w:t></w:r>
</w:p>
<w:p>
<w:pPr><w:pStyle w:val="Normal"/></w:pPr>
<w:r><w:t xml:space="preserve">on the 24th of June 1535, and in January 1536 Bockholdt and</w:t></w:r>
</w:p>
<w:p>
<w:pPr><w:pStyle w:val="Normal"/></w:pPr>
<w:r><w:t xml:space="preserve">some of his more prominent followers, after being cruelly</w:t></w:r>
</w:p>
<w:p>
<w:pPr><w:pStyle w:val="Normal"/></w:pPr>
<w:r><w:t xml:space="preserve">tortured, were executed in the market-place.  The outbreak at</w:t></w:r>
</w:p>
<w:p>
<w:pPr><w:pStyle w:val="Normal"/></w:pPr>
<w:r><w:t xml:space="preserve">Munster was the crisis of the Anabaptist movement.  It never</w:t></w:r>
</w:p>
<w:p>
<w:pPr><w:pStyle w:val="Normal"/></w:pPr>
<w:r><w:t xml:space="preserve">again had the opportunity of assuming political importance,</w:t></w:r>
</w:p>
<w:p>
<w:pPr><w:pStyle w:val="Normal"/></w:pPr>
<w:r><w:t xml:space="preserve">the civil powers naturally adopting the most stringent measures</w:t></w:r>
</w:p>
<w:p>
<w:pPr><w:pStyle w:val="Normal"/></w:pPr>
<w:r><w:t xml:space="preserve">to suppress an agitation whose avowed object was to suppress</w:t></w:r>
</w:p>
<w:p>
<w:pPr><w:pStyle w:val="Normal"/></w:pPr>
<w:r><w:t xml:space="preserve">them.  It is difficult to trace the subsequent history of the</w:t></w:r>
</w:p>
<w:p>
<w:pPr><w:pStyle w:val="Normal"/></w:pPr>
<w:r><w:t xml:space="preserve">sect as a religious body.  The fact that, after the Munster</w:t></w:r>
</w:p>
<w:p>
<w:pPr><w:pStyle w:val="Normal"/></w:pPr>
<w:r><w:t xml:space="preserve">insurrection the very name Anabaptist was proscribed in Europe,</w:t></w:r>
</w:p>
<w:p>
<w:pPr><w:pStyle w:val="Normal"/></w:pPr>
<w:r><w:t xml:space="preserve">is a source of twofold confusion.  The enforced adoption</w:t></w:r>
</w:p>
<w:p>
<w:pPr><w:pStyle w:val="Normal"/></w:pPr>
<w:r><w:t xml:space="preserve">of new names makes it easy to lose the historical identity</w:t></w:r>
</w:p>
<w:p>
<w:pPr><w:pStyle w:val="Normal"/></w:pPr>
<w:r><w:t xml:space="preserve">of many who really belonged to the Munster Anabaptists,</w:t></w:r>
</w:p>
<w:p>
<w:pPr><w:pStyle w:val="Normal"/></w:pPr>
<w:r><w:t xml:space="preserve">and, on the other hand, has led to the classification of</w:t></w:r>
</w:p>
<w:p>
<w:pPr><w:pStyle w:val="Normal"/></w:pPr>
<w:r><w:t xml:space="preserve">many with the Munster sect who had no real connexion with</w:t></w:r>
</w:p>
<w:p>
<w:pPr><w:pStyle w:val="Normal"/></w:pPr>
<w:r><w:t xml:space="preserve">it.  The latter mistake, it is to be noted, has been much more</w:t></w:r>
</w:p>
<w:p>
<w:pPr><w:pStyle w:val="Normal"/></w:pPr>
<w:r><w:t xml:space="preserve">common than the former.  The Mennonites, for example, have</w:t></w:r>
</w:p>
<w:p>
<w:pPr><w:pStyle w:val="Normal"/></w:pPr>
<w:r><w:t xml:space="preserve">been identified with the earlier Anabaptists, on the ground</w:t></w:r>
</w:p>
<w:p>
<w:pPr><w:pStyle w:val="Normal"/></w:pPr>
<w:r><w:t xml:space="preserve">that they included among their number many of the fanatics of</w:t></w:r>
</w:p>
<w:p>
<w:pPr><w:pStyle w:val="Normal"/></w:pPr>
<w:r><w:t xml:space="preserve">Munster.  But the continuity of a sect is to be traced in</w:t></w:r>
</w:p>
<w:p>
<w:pPr><w:pStyle w:val="Normal"/></w:pPr>
<w:r><w:t xml:space="preserve">its principles, and not in its adherents, and it must be</w:t></w:r>
</w:p>
<w:p>
<w:pPr><w:pStyle w:val="Normal"/></w:pPr>
<w:r><w:t xml:space="preserve">remembered that Menno and his followers expressly repudiated</w:t></w:r>
</w:p>
<w:p>
<w:pPr><w:pStyle w:val="Normal"/></w:pPr>
<w:r><w:t xml:space="preserve">the distinctive doctrines of the Munster Anabaptists.  They</w:t></w:r>
</w:p>
<w:p>
<w:pPr><w:pStyle w:val="Normal"/></w:pPr>
<w:r><w:t xml:space="preserve">have never aimed at any social or political revolution, and</w:t></w:r>
</w:p>
<w:p>
<w:pPr><w:pStyle w:val="Normal"/></w:pPr>
<w:r><w:t xml:space="preserve">have been as remarkable for sobriety of conduct as the Munster</w:t></w:r>
</w:p>
<w:p>
<w:pPr><w:pStyle w:val="Normal"/></w:pPr>
<w:r><w:t xml:space="preserve">sect was for its fanaticism (see MENNONITES.) In English</w:t></w:r>
</w:p>
<w:p>
<w:pPr><w:pStyle w:val="Normal"/></w:pPr>
<w:r><w:t xml:space="preserve">history frequent reference is made to the Anabaptists during</w:t></w:r>
</w:p>
<w:p>
<w:pPr><w:pStyle w:val="Normal"/></w:pPr>
<w:r><w:t xml:space="preserve">the 16th and 17th centuries, but there is no evidence that</w:t></w:r>
</w:p>
<w:p>
<w:pPr><w:pStyle w:val="Normal"/></w:pPr>
<w:r><w:t xml:space="preserve">any considerable number of native Englishmen ever adopted the</w:t></w:r>
</w:p>
<w:p>
<w:pPr><w:pStyle w:val="Normal"/></w:pPr>
<w:r><w:t xml:space="preserve">principles of the Munster sect.  Many of the followers of</w:t></w:r>
</w:p>
<w:p>
<w:pPr><w:pStyle w:val="Normal"/></w:pPr>
<w:r><w:t xml:space="preserve">Munzer and Bockholdt seem to have fled from persecution in</w:t></w:r>
</w:p>
<w:p>
<w:pPr><w:pStyle w:val="Normal"/></w:pPr>
<w:r><w:t xml:space="preserve">Germany and the Netherlands to be subjected to a persecution</w:t></w:r>
</w:p>
<w:p>
<w:pPr><w:pStyle w:val="Normal"/></w:pPr>
<w:r><w:t xml:space="preserve">scarcely less severe in England.  The mildest measure adopted</w:t></w:r>
</w:p>
<w:p>
<w:pPr><w:pStyle w:val="Normal"/></w:pPr>
<w:r><w:t xml:space="preserve">towards these refugees was banishment from the kingdom, and</w:t></w:r>
</w:p>
<w:p>
<w:pPr><w:pStyle w:val="Normal"/></w:pPr>
<w:r><w:t xml:space="preserve">a large number suffered at the stake.  It was easier to burn</w:t></w:r>
</w:p>
<w:p>
<w:pPr><w:pStyle w:val="Normal"/></w:pPr>
<w:r><w:t xml:space="preserve">Anabaptists than to refute their arguments, and contemporary</w:t></w:r>
</w:p>
<w:p>
<w:pPr><w:pStyle w:val="Normal"/></w:pPr>
<w:r><w:t xml:space="preserve">writers were struck with the intrepidity and number of their</w:t></w:r>
</w:p>
<w:p>
<w:pPr><w:pStyle w:val="Normal"/></w:pPr>
<w:r><w:t xml:space="preserve">martyrs.  Thus Stanislaus Hosius (1504-1579), a Polish cardinal</w:t></w:r>
</w:p>
<w:p>
<w:pPr><w:pStyle w:val="Normal"/></w:pPr>
<w:r><w:t xml:space="preserve">and bishop of Warmie, wrote (Opera, Venice, 1573, p. 202):--</w:t></w:r>
</w:p>
<w:p>
<w:pPr><w:pStyle w:val="Normal"/></w:pPr>
<w:r><w:t xml:space="preserve">``They are far readier than followers of Luther and Zwingli</w:t></w:r>
</w:p>
<w:p>
<w:pPr><w:pStyle w:val="Normal"/></w:pPr>
<w:r><w:t xml:space="preserve">to meet death, and bear the harshest tortures for their</w:t></w:r>
</w:p>
<w:p>
<w:pPr><w:pStyle w:val="Normal"/></w:pPr>
<w:r><w:t xml:space="preserve">faith.  For they run to suffer punishments, no matter how</w:t></w:r>
</w:p>
<w:p>
<w:pPr><w:pStyle w:val="Normal"/></w:pPr>
<w:r><w:t xml:space="preserve">horrible, as if to a banquet; so that if you take that as a</w:t></w:r>
</w:p>
<w:p>
<w:pPr><w:pStyle w:val="Normal"/></w:pPr>
<w:r><w:t xml:space="preserve">test either of the truth of doctrine or of their certitude of</w:t></w:r>
</w:p>
<w:p>
<w:pPr><w:pStyle w:val="Normal"/></w:pPr>
<w:r><w:t xml:space="preserve">grace, you would easily conclude that in no other sect is to be</w:t></w:r>
</w:p>
<w:p>
<w:pPr><w:pStyle w:val="Normal"/></w:pPr>
<w:r><w:t xml:space="preserve">found a faith so true or grace so certain.  But as Paul wrote:</w:t></w:r>
</w:p>
<w:p>
<w:pPr><w:pStyle w:val="Normal"/></w:pPr>
<w:r><w:t xml:space="preserve">``Even if I give my body to to be burned and have not charity,</w:t></w:r>
</w:p>
<w:p>
<w:pPr><w:pStyle w:val="Normal"/></w:pPr>
<w:r><w:t xml:space="preserve">it avails me naught.  But he has not charity who divides the</w:t></w:r>
</w:p>
<w:p>
<w:pPr><w:pStyle w:val="Normal"/></w:pPr>
<w:r><w:t xml:space="preserve">unity. . . . He cannot be a martyr who is not in the Church.&apos;&apos;</w:t></w:r>
</w:p>
<w:p>
<w:pPr><w:pStyle w:val="Normal"/></w:pPr>
<w:r><w:t xml:space="preserve">The excesses of John of Leiden, the Brigham Young of that</w:t></w:r>
</w:p>
<w:p>
<w:pPr><w:pStyle w:val="Normal"/></w:pPr>
<w:r><w:t xml:space="preserve">age, cast an unjust stigma on the Baptists, of whom the vast</w:t></w:r>
</w:p>
<w:p>
<w:pPr><w:pStyle w:val="Normal"/></w:pPr>
<w:r><w:t xml:space="preserve">majority were good, quiet people who merely carried out in,</w:t></w:r>
</w:p>
<w:p>
<w:pPr><w:pStyle w:val="Normal"/></w:pPr>
<w:r><w:t xml:space="preserve">practice the early Christian ideals of which their persecutors</w:t></w:r>
</w:p>
<w:p>
<w:pPr><w:pStyle w:val="Normal"/></w:pPr>
<w:r><w:t xml:space="preserve">prated.  They have been reckoned an extreme left wing of the</w:t></w:r>
</w:p>
<w:p>
<w:pPr><w:pStyle w:val="Normal"/></w:pPr>
<w:r><w:t xml:space="preserve">Reformation, because for a time they followed Luther and</w:t></w:r>
</w:p>
<w:p>
<w:pPr><w:pStyle w:val="Normal"/></w:pPr>
<w:r><w:t xml:space="preserve">Zwingli.  Yet their Christology and negative attitude towards</w:t></w:r>
</w:p>
<w:p>
<w:pPr><w:pStyle w:val="Normal"/></w:pPr>
<w:r><w:t xml:space="preserve">the state rather indicate, as in the case of Wicklif, Hus and</w:t></w:r>
</w:p>
<w:p>
<w:pPr><w:pStyle w:val="Normal"/></w:pPr>
<w:r><w:t xml:space="preserve">the Fraticelli, an affinity to the Cathari and other medieval</w:t></w:r>
</w:p>
<w:p>
<w:pPr><w:pStyle w:val="Normal"/></w:pPr>
<w:r><w:t xml:space="preserve">sects.  But this affiliation is hard to establish.  The earliest</w:t></w:r>
</w:p>
<w:p>
<w:pPr><w:pStyle w:val="Normal"/></w:pPr>
<w:r><w:t xml:space="preserve">Anabaptists of Zurich allowed that the Picardi or Waldensians</w:t></w:r>
</w:p>
<w:p>
<w:pPr><w:pStyle w:val="Normal"/></w:pPr>
<w:r><w:t xml:space="preserve">had, in contrast with Rome and the Reformers, truth on their</w:t></w:r>
</w:p>
<w:p>
<w:pPr><w:pStyle w:val="Normal"/></w:pPr>
<w:r><w:t xml:space="preserve">side, yet did not claim to be in their succession; nor can</w:t></w:r>
</w:p>
<w:p>
<w:pPr><w:pStyle w:val="Normal"/></w:pPr>
<w:r><w:t xml:space="preserve">it be shown that their adult baptism derived from any of the</w:t></w:r>
</w:p>
<w:p>
<w:pPr><w:pStyle w:val="Normal"/></w:pPr>
<w:r><w:t xml:space="preserve">older Baptist sects, which undoubtedly lingered in parts of</w:t></w:r>
</w:p>
<w:p>
<w:pPr><w:pStyle w:val="Normal"/></w:pPr>
<w:r><w:t xml:space="preserve">Europe.  Later on Hermann Schyn claimed descent for the peaceful</w:t></w:r>
</w:p>
<w:p>
<w:pPr><w:pStyle w:val="Normal"/></w:pPr>
<w:r><w:t xml:space="preserve">Baptists from the Waldensians, who certainly, as the records</w:t></w:r>
</w:p>
<w:p>
<w:pPr><w:pStyle w:val="Normal"/></w:pPr>
<w:r><w:t xml:space="preserve">of the Flemish inquisition, collected by P. Fredericq, prove,</w:t></w:r>
</w:p>
<w:p>
<w:pPr><w:pStyle w:val="Normal"/></w:pPr>
<w:r><w:t xml:space="preserve">were wide-spread during the 15th century over north France and</w:t></w:r>
</w:p>
<w:p>
<w:pPr><w:pStyle w:val="Normal"/></w:pPr>
<w:r><w:t xml:space="preserve">Flanders.  It would appear from the way in which Anabaptism</w:t></w:r>
</w:p>
<w:p>
<w:pPr><w:pStyle w:val="Normal"/></w:pPr>
<w:r><w:t xml:space="preserve">sprang up everywhere independently, as if more than one ancient</w:t></w:r>
</w:p>
<w:p>
<w:pPr><w:pStyle w:val="Normal"/></w:pPr>
<w:r><w:t xml:space="preserve">sect took in and through it a new lease of life.  Ritschl</w:t></w:r>
</w:p>
<w:p>
<w:pPr><w:pStyle w:val="Normal"/></w:pPr>
<w:r><w:t xml:space="preserve">discerned in it the leaven of the Fraticelli or Franciscan</w:t></w:r>
</w:p>
<w:p>
<w:pPr><w:pStyle w:val="Normal"/></w:pPr>
<w:r><w:t xml:space="preserve">Tertiaries.  In Moravia, if what Alex.  Rost related be</w:t></w:r>
</w:p>
<w:p>
<w:pPr><w:pStyle w:val="Normal"/></w:pPr>
<w:r><w:t xml:space="preserve">true, namely that they called themselves Apostolici, and</w:t></w:r>
</w:p>
<w:p>
<w:pPr><w:pStyle w:val="Normal"/></w:pPr>
<w:r><w:t xml:space="preserve">went barefooted healing the sick, they must have at least</w:t></w:r>
</w:p>
<w:p>
<w:pPr><w:pStyle w:val="Normal"/></w:pPr>
<w:r><w:t xml:space="preserve">absorbed into themselves a sect of whom we hear in the 12th</w:t></w:r>
</w:p>
<w:p>
<w:pPr><w:pStyle w:val="Normal"/></w:pPr>
<w:r><w:t xml:space="preserve">century in the north of Europe as deferring baptism to the</w:t></w:r>
</w:p>
<w:p>
<w:pPr><w:pStyle w:val="Normal"/></w:pPr>
<w:r><w:t xml:space="preserve">age of 30, and rejecting oaths, prayers for the dead, relics</w:t></w:r>
</w:p>
<w:p>
<w:pPr><w:pStyle w:val="Normal"/></w:pPr>
<w:r><w:t xml:space="preserve">and invocation of saints.  The Moravian Anabaptists, says</w:t></w:r>
</w:p>
<w:p>
<w:pPr><w:pStyle w:val="Normal"/></w:pPr>
<w:r><w:t xml:space="preserve">Rost, went bare-footed, washed each other&apos;s feet (like the</w:t></w:r>
</w:p>
<w:p>
<w:pPr><w:pStyle w:val="Normal"/></w:pPr>
<w:r><w:t xml:space="preserve">Fraticelli), had all goods in common, worked everyone at a</w:t></w:r>
</w:p>
<w:p>
<w:pPr><w:pStyle w:val="Normal"/></w:pPr>
<w:r><w:t xml:space="preserve">handicraft, had a spiritual father who prayed with them every</w:t></w:r>
</w:p>
<w:p>
<w:pPr><w:pStyle w:val="Normal"/></w:pPr>
<w:r><w:t xml:space="preserve">morning and taught them, dressed in black and had long graces</w:t></w:r>
</w:p>
<w:p>
<w:pPr><w:pStyle w:val="Normal"/></w:pPr>
<w:r><w:t xml:space="preserve">before and after meals.  Zeiler also in his German Itinerary</w:t></w:r>
</w:p>
<w:p>
<w:pPr><w:pStyle w:val="Normal"/></w:pPr>
<w:r><w:t xml:space="preserve">(1618) describes their way of life.  The Lord&apos;s Supper, or</w:t></w:r>
</w:p>
<w:p>
<w:pPr><w:pStyle w:val="Normal"/></w:pPr>
<w:r><w:t xml:space="preserve">bread-breaking, was a commemoration of the Passion, held once a</w:t></w:r>
</w:p>
<w:p>
<w:pPr><w:pStyle w:val="Normal"/></w:pPr>
<w:r><w:t xml:space="preserve">year.  They sat at long tables, the elders read the words of</w:t></w:r>
</w:p>
<w:p>
<w:pPr><w:pStyle w:val="Normal"/></w:pPr>
<w:r><w:t xml:space="preserve">institution and prayed, and passed a loaf round from which</w:t></w:r>
</w:p>
<w:p>
<w:pPr><w:pStyle w:val="Normal"/></w:pPr>
<w:r><w:t xml:space="preserve">each broke off a bit and ate, the wine being handed round in</w:t></w:r>
</w:p>
<w:p>
<w:pPr><w:pStyle w:val="Normal"/></w:pPr>
<w:r><w:t xml:space="preserve">flagons.  Children in their colonies were separated from the</w:t></w:r>
</w:p>
<w:p>
<w:pPr><w:pStyle w:val="Normal"/></w:pPr>
<w:r><w:t xml:space="preserve">parents, and lived in the school, each having his bed and</w:t></w:r>
</w:p>
<w:p>
<w:pPr><w:pStyle w:val="Normal"/></w:pPr>
<w:r><w:t xml:space="preserve">blanket.  They were taught reading, writing and summing,</w:t></w:r>
</w:p>
<w:p>
<w:pPr><w:pStyle w:val="Normal"/></w:pPr>
<w:r><w:t xml:space="preserve">cleanliness, truthfulness and industry, and the girls married</w:t></w:r>
</w:p>
<w:p>
<w:pPr><w:pStyle w:val="Normal"/></w:pPr>
<w:r><w:t xml:space="preserve">the men chosen for them.  In the following points Anabaptists</w:t></w:r>
</w:p>
<w:p>
<w:pPr><w:pStyle w:val="Normal"/></w:pPr>
<w:r><w:t xml:space="preserve">resembled the medieval dissenters:--(1) They taught that Jesus</w:t></w:r>
</w:p>
<w:p>
<w:pPr><w:pStyle w:val="Normal"/></w:pPr>
<w:r><w:t xml:space="preserve">did not take the flesh from his mother, but either brought his</w:t></w:r>
</w:p>
<w:p>
<w:pPr><w:pStyle w:val="Normal"/></w:pPr>
<w:r><w:t xml:space="preserve">body from heaven or had one made for him by the Word.  Some</w:t></w:r>
</w:p>
<w:p>
<w:pPr><w:pStyle w:val="Normal"/></w:pPr>
<w:r><w:t xml:space="preserve">even said that he passed through his mother, as water through</w:t></w:r>
</w:p>
<w:p>
<w:pPr><w:pStyle w:val="Normal"/></w:pPr>
<w:r><w:t xml:space="preserve">a pipe, into the world.  In pictures and sculptures of the</w:t></w:r>
</w:p>
<w:p>
<w:pPr><w:pStyle w:val="Normal"/></w:pPr>
<w:r><w:t xml:space="preserve">15th century and earlier, we often find represented this idea,</w:t></w:r>
</w:p>
<w:p>
<w:pPr><w:pStyle w:val="Normal"/></w:pPr>
<w:r><w:t xml:space="preserve">originated by Marcion in the 2nd century.  The Anabaptists</w:t></w:r>
</w:p>
<w:p>
<w:pPr><w:pStyle w:val="Normal"/></w:pPr>
<w:r><w:t xml:space="preserve">were accused of denying the Incarnation of Christ: they</w:t></w:r>
</w:p>
<w:p>
<w:pPr><w:pStyle w:val="Normal"/></w:pPr>
<w:r><w:t xml:space="preserve">did, but not in the sense that he was not divine; they rather</w:t></w:r>
</w:p>
<w:p>
<w:pPr><w:pStyle w:val="Normal"/></w:pPr>
<w:r><w:t xml:space="preserve">denied him to be human. (2) They condemned oaths, and also</w:t></w:r>
</w:p>
<w:p>
<w:pPr><w:pStyle w:val="Normal"/></w:pPr>
<w:r><w:t xml:space="preserve">the reference of disputes between believers to law-courts. (3)</w:t></w:r>
</w:p>
<w:p>
<w:pPr><w:pStyle w:val="Normal"/></w:pPr>
<w:r><w:t xml:space="preserve">The believer must not bear arms or offer forcible resistance</w:t></w:r>
</w:p>
<w:p>
<w:pPr><w:pStyle w:val="Normal"/></w:pPr>
<w:r><w:t xml:space="preserve">to wrongdoers, nor wield the sword.  No Christian has the</w:t></w:r>
</w:p>
<w:p>
<w:pPr><w:pStyle w:val="Normal"/></w:pPr>
<w:r><w:t xml:space="preserve">jus gladii. (4) Civil government belongs to the world, is</w:t></w:r>
</w:p>
<w:p>
<w:pPr><w:pStyle w:val="Normal"/></w:pPr>
<w:r><w:t xml:space="preserve">Caesar.  The believer who belongs to God&apos;s kingdom must not</w:t></w:r>
</w:p>
<w:p>
<w:pPr><w:pStyle w:val="Normal"/></w:pPr>
<w:r><w:t xml:space="preserve">fill any office, nor hold any rank under government, which is</w:t></w:r>
</w:p>
<w:p>
<w:pPr><w:pStyle w:val="Normal"/></w:pPr>
<w:r><w:t xml:space="preserve">to be passively obeyed. (5) Sinners or unfaithful ones are to</w:t></w:r>
</w:p>
<w:p>
<w:pPr><w:pStyle w:val="Normal"/></w:pPr>
<w:r><w:t xml:space="preserve">be excommunicated, and excluded from the sacraments and from</w:t></w:r>
</w:p>
<w:p>
<w:pPr><w:pStyle w:val="Normal"/></w:pPr>
<w:r><w:t xml:space="preserve">intercourse with believers unless they repent, according to</w:t></w:r>
</w:p>
<w:p>
<w:pPr><w:pStyle w:val="Normal"/></w:pPr>
<w:r><w:t xml:space="preserve">Matt. xviii. 15 seq. But no force is to be used towards them.</w:t></w:r>
</w:p>
<w:p>
<w:pPr><w:pStyle w:val="Normal"/></w:pPr>
<w:r><w:t xml:space="preserve">Some sects calling themselves Spirituales or Perfecti</w:t></w:r>
</w:p>
<w:p>
<w:pPr><w:pStyle w:val="Normal"/></w:pPr>
<w:r><w:t xml:space="preserve">also held that the baptized cannot sin, a very ancient tenet.</w:t></w:r>
</w:p>
<w:p>
<w:pPr><w:pStyle w:val="Normal"/></w:pPr>
<w:r><w:t xml:space="preserve">They seem to have preserved among them the primitive manual</w:t></w:r>
</w:p>
<w:p>
<w:pPr><w:pStyle w:val="Normal"/></w:pPr>
<w:r><w:t xml:space="preserve">called the Teaching of the Apostles, for Bishop Longland</w:t></w:r>
</w:p>
<w:p>
<w:pPr><w:pStyle w:val="Normal"/></w:pPr>
<w:r><w:t xml:space="preserve">in England condemned an Anabaptist for repeating one of</w:t></w:r>
</w:p>
<w:p>
<w:pPr><w:pStyle w:val="Normal"/></w:pPr>
<w:r><w:t xml:space="preserve">its maxims ``that alms should not be given before they did</w:t></w:r>
</w:p>
<w:p>
<w:pPr><w:pStyle w:val="Normal"/></w:pPr>
<w:r><w:t xml:space="preserve">sweat in a man&apos;s hand.&apos;&apos; This was between 1518 and 1521.</w:t></w:r>
</w:p>
<w:p>
<w:pPr><w:pStyle w:val="Normal"/></w:pPr>
<w:r><w:t xml:space="preserve">On the 12th of April 1549, certain London Anabaptists</w:t></w:r>
</w:p>
<w:p>
<w:pPr><w:pStyle w:val="Normal"/></w:pPr>
<w:r><w:t xml:space="preserve">brought before a commission of bishops asserted7--</w:t></w:r>
</w:p>
<w:p>
<w:pPr><w:pStyle w:val="Normal"/></w:pPr>
<w:r><w:t xml:space="preserve">``That a man regenerate could not sin; that though the</w:t></w:r>
</w:p>
<w:p>
<w:pPr><w:pStyle w:val="Normal"/></w:pPr>
<w:r><w:t xml:space="preserve">outward man sinned, the inward man sinned not; that there was</w:t></w:r>
</w:p>
<w:p>
<w:pPr><w:pStyle w:val="Normal"/></w:pPr>
<w:r><w:t xml:space="preserve">no Trinity of Persons; that Christ was only a holy prophet</w:t></w:r>
</w:p>
<w:p>
<w:pPr><w:pStyle w:val="Normal"/></w:pPr>
<w:r><w:t xml:space="preserve">and not at all God; that all we had by Christ was that he</w:t></w:r>
</w:p>
<w:p>
<w:pPr><w:pStyle w:val="Normal"/></w:pPr>
<w:r><w:t xml:space="preserve">taught us the way to heaven; that he took no flesh of the</w:t></w:r>
</w:p>
<w:p>
<w:pPr><w:pStyle w:val="Normal"/></w:pPr>
<w:r><w:t xml:space="preserve">Virgin, and that the baptism of infants was not profitable.&apos;&apos;</w:t></w:r>
</w:p>
<w:p>
<w:pPr><w:pStyle w:val="Normal"/></w:pPr>
<w:r><w:t xml:space="preserve">The Anabaptists were great readers of Revelation and of the</w:t></w:r>
</w:p>
<w:p>
<w:pPr><w:pStyle w:val="Normal"/></w:pPr>
<w:r><w:t xml:space="preserve">Epistle of James, the latter perhaps by way of counteracting</w:t></w:r>
</w:p>
<w:p>
<w:pPr><w:pStyle w:val="Normal"/></w:pPr>
<w:r><w:t xml:space="preserve">Luther&apos;s one-sided teaching of justification by faith</w:t></w:r>
</w:p>
<w:p>
<w:pPr><w:pStyle w:val="Normal"/></w:pPr>
<w:r><w:t xml:space="preserve">alone.  Luther feebly rejected this scripture as ``a right</w:t></w:r>
</w:p>
<w:p>
<w:pPr><w:pStyle w:val="Normal"/></w:pPr>
<w:r><w:t xml:space="preserve">strawy epistle.&apos;&apos; English Anabaptists often knew it by</w:t></w:r>
</w:p>
<w:p>
<w:pPr><w:pStyle w:val="Normal"/></w:pPr>
<w:r><w:t xml:space="preserve">heart.  Excessive reading of Revelation seems to have been</w:t></w:r>
</w:p>
<w:p>
<w:pPr><w:pStyle w:val="Normal"/></w:pPr>
<w:r><w:t xml:space="preserve">the chief cause of the aberrations of the Munster fanatics.</w:t></w:r>
</w:p>
<w:p>
<w:pPr><w:pStyle w:val="Normal"/></w:pPr>
<w:r><w:t xml:space="preserve">In Poland and Holland certain of the Baptists denied the Trinity,</w:t></w:r>
</w:p>
<w:p>
<w:pPr><w:pStyle w:val="Normal"/></w:pPr>
<w:r><w:t xml:space="preserve">hence the saying that a Socinian was a learned Baptist (see SOCINUS.)</w:t></w:r>
</w:p>
<w:p>
<w:pPr><w:pStyle w:val="Normal"/></w:pPr>
<w:r><w:t xml:space="preserve">With these Menno and his followers refused to hold communion.</w:t></w:r>
</w:p>
<w:p>
<w:pPr><w:pStyle w:val="Normal"/></w:pPr>
<w:r><w:t xml:space="preserve">One of the most notable features of the early Anabaptists</w:t></w:r>
</w:p>
<w:p>
<w:pPr><w:pStyle w:val="Normal"/></w:pPr>
<w:r><w:t xml:space="preserve">is that they regarded any true religious reform as involving</w:t></w:r>
</w:p>
<w:p>
<w:pPr><w:pStyle w:val="Normal"/></w:pPr>
<w:r><w:t xml:space="preserve">social amelioration.  The socialism of the 16th century was</w:t></w:r>
</w:p>
<w:p>
<w:pPr><w:pStyle w:val="Normal"/></w:pPr>
<w:r><w:t xml:space="preserve">necessarily Christian and Anabaptist.  Lutheranism was more</w:t></w:r>
</w:p>
<w:p>
<w:pPr><w:pStyle w:val="Normal"/></w:pPr>
<w:r><w:t xml:space="preserve">attractive to grand-ducal patriots and well-to-do burghers</w:t></w:r>
</w:p>
<w:p>
<w:pPr><w:pStyle w:val="Normal"/></w:pPr>
<w:r><w:t xml:space="preserve">than to the poor and oppressed and disinherited.  The</w:t></w:r>
</w:p>
<w:p>
<w:pPr><w:pStyle w:val="Normal"/></w:pPr>
<w:r><w:t xml:space="preserve">Lutherans and Zwinglians never converted the Anabaptists.</w:t></w:r>
</w:p>
<w:p>
<w:pPr><w:pStyle w:val="Normal"/></w:pPr>
<w:r><w:t xml:space="preserve">Those who yielded to stress of persecution fell back into</w:t></w:r>
</w:p>
<w:p>
<w:pPr><w:pStyle w:val="Normal"/></w:pPr>
<w:r><w:t xml:space="preserve">Papalism and went to swell the tide of the Catholic reaction.</w:t></w:r>
</w:p>
<w:p>
<w:pPr><w:pStyle w:val="Normal"/></w:pPr>
<w:r><w:t xml:space="preserve">AUTHORITIES.--Fussli, Kirchen- und Ketzerhistorie der mittlern</w:t></w:r>
</w:p>
<w:p>
<w:pPr><w:pStyle w:val="Normal"/></w:pPr>
<w:r><w:t xml:space="preserve">Zeit (contains Bullinger); Zwinglius, In catabaptistarum</w:t></w:r>
</w:p>
<w:p>
<w:pPr><w:pStyle w:val="Normal"/></w:pPr>
<w:r><w:t xml:space="preserve">strophas elenchus (1527) (Opera iii. 351); Bullinger,</w:t></w:r>
</w:p>
<w:p>
<w:pPr><w:pStyle w:val="Normal"/></w:pPr>
<w:r><w:t xml:space="preserve">Der Wiedertaafsr Ursprung (1560); Gieseler, Ecclesiastical</w:t></w:r>
</w:p>
<w:p>
<w:pPr><w:pStyle w:val="Normal"/></w:pPr>
<w:r><w:t xml:space="preserve">History, Engl. tr. v. 344; Spanheim, De origine Anabapt.</w:t></w:r>
</w:p>
<w:p>
<w:pPr><w:pStyle w:val="Normal"/></w:pPr>
<w:r><w:t xml:space="preserve">(Lugd. 1643); Ranke&apos;s History of the, Reformation;</w:t></w:r>
</w:p>
<w:p>
<w:pPr><w:pStyle w:val="Normal"/></w:pPr>
<w:r><w:t xml:space="preserve">Melanchthon, Die Historic von Th. Muntzer (1525) (in</w:t></w:r>
</w:p>
<w:p>
<w:pPr><w:pStyle w:val="Normal"/></w:pPr>
<w:r><w:t xml:space="preserve">Luthers Werke, ed.  Walch, xvi. 199); Strobel, Leben Th.</w:t></w:r>
</w:p>
<w:p>
<w:pPr><w:pStyle w:val="Normal"/></w:pPr>
<w:r><w:t xml:space="preserve">Muntzers (1795); C. A. Cornelius, Die niederlandischen</w:t></w:r>
</w:p>
<w:p>
<w:pPr><w:pStyle w:val="Normal"/></w:pPr>
<w:r><w:t xml:space="preserve">Wiedertaufer, in publications of Bavarian Academy (1869);</w:t></w:r>
</w:p>
<w:p>
<w:pPr><w:pStyle w:val="Normal"/></w:pPr>
<w:r><w:t xml:space="preserve">J. G. Walch, Hist. u. theolog.  Einleitung (Jena, 1733);</w:t></w:r>
</w:p>
<w:p>
<w:pPr><w:pStyle w:val="Normal"/></w:pPr>
<w:r><w:t xml:space="preserve">Mosheim, Ecclesiastical History; Gerbert, Gesch. d.</w:t></w:r>
</w:p>
<w:p>
<w:pPr><w:pStyle w:val="Normal"/></w:pPr>
<w:r><w:t xml:space="preserve">Strassb.  Sektenbewegung (Strassburg, 1889); W. Moeller,</w:t></w:r>
</w:p>
<w:p>
<w:pPr><w:pStyle w:val="Normal"/></w:pPr>
<w:r><w:t xml:space="preserve">History of the Christian Church, tr. by Freese, 1900; Jos.</w:t></w:r>
</w:p>
<w:p>
<w:pPr><w:pStyle w:val="Normal"/></w:pPr>
<w:r><w:t xml:space="preserve">v.  Beck, Die Geschichtsbucher der Wiedertaufer in</w:t></w:r>
</w:p>
<w:p>
<w:pPr><w:pStyle w:val="Normal"/></w:pPr>
<w:r><w:t xml:space="preserve">Osterr.-Ung. (Wien, 1883), (Fontes rerum Austr. II. xliii.,</w:t></w:r>
</w:p>
<w:p>
<w:pPr><w:pStyle w:val="Normal"/></w:pPr>
<w:r><w:t xml:space="preserve">a valuable history of the sect from their own early documents);</w:t></w:r>
</w:p>
<w:p>
<w:pPr><w:pStyle w:val="Normal"/></w:pPr>
<w:r><w:t xml:space="preserve">Ritschl, Geschichte des Pietismus, vol. i. (Bonn, 1880);</w:t></w:r>
</w:p>
<w:p>
<w:pPr><w:pStyle w:val="Normal"/></w:pPr>
<w:r><w:t xml:space="preserve">Loserth, B. Hubmaier und die Anfange der Wiedertaufer</w:t></w:r>
</w:p>
<w:p>
<w:pPr><w:pStyle w:val="Normal"/></w:pPr>
<w:r><w:t xml:space="preserve">in Mahren (Brunn, 1893); Kolde, in Kirchengesch.  Studien</w:t></w:r>
</w:p>
<w:p>
<w:pPr><w:pStyle w:val="Normal"/></w:pPr>
<w:r><w:t xml:space="preserve">(Leipzig, 1888); Kessler, Sabbata; Leendertz and Zur Linden,</w:t></w:r>
</w:p>
<w:p>
<w:pPr><w:pStyle w:val="Normal"/></w:pPr>
<w:r><w:t xml:space="preserve">M.. Hofmann (Haarlem, 1883-1885); Erbkam, Gesch. der</w:t></w:r>
</w:p>
<w:p>
<w:pPr><w:pStyle w:val="Normal"/></w:pPr>
<w:r><w:t xml:space="preserve">prot.  Sekten der Reform. (1848); Justus Menius, Der</w:t></w:r>
</w:p>
<w:p>
<w:pPr><w:pStyle w:val="Normal"/></w:pPr>
<w:r><w:t xml:space="preserve">Weidertaufer Lehre (Wittenberg, 1534); Johann Cloppenburg</w:t></w:r>
</w:p>
<w:p>
<w:pPr><w:pStyle w:val="Normal"/></w:pPr>
<w:r><w:t xml:space="preserve">and Fred.  Spanheim, Gangraena theologiae Anabaptisticae</w:t></w:r>
</w:p>
<w:p>
<w:pPr><w:pStyle w:val="Normal"/></w:pPr>
<w:r><w:t xml:space="preserve">(Franekerd, 1656); Balthasar Lydius, Waldensia, id est</w:t></w:r>
</w:p>
<w:p>
<w:pPr><w:pStyle w:val="Normal"/></w:pPr>
<w:r><w:t xml:space="preserve">conservatio verae Ecclesiae (Rotterdam, 1616); Herman</w:t></w:r>
</w:p>
<w:p>
<w:pPr><w:pStyle w:val="Normal"/></w:pPr>
<w:r><w:t xml:space="preserve">Schyn, Historiae Mennonitarum (Amsterdam, 1729); John.</w:t></w:r>
</w:p>
<w:p>
<w:pPr><w:pStyle w:val="Normal"/></w:pPr>
<w:r><w:t xml:space="preserve">Henr.  Ottius, Annales Anabaptistici (Basileae. 1772);</w:t></w:r>
</w:p>
<w:p>
<w:pPr><w:pStyle w:val="Normal"/></w:pPr>
<w:r><w:t xml:space="preserve">Karl Rembert, Die Wiedertaufer in Herzogtum Julich</w:t></w:r>
</w:p>
<w:p>
<w:pPr><w:pStyle w:val="Normal"/></w:pPr>
<w:r><w:t xml:space="preserve">(Munster, 1873); Universal Lexicon, art. ``Wiedertaufer&apos;&apos;</w:t></w:r>
</w:p>
<w:p>
<w:pPr><w:pStyle w:val="Normal"/></w:pPr>
<w:r><w:t xml:space="preserve">(Leipzig. 1748); Tielmann Janssen van Bracht, Martyrologia</w:t></w:r>
</w:p>
<w:p>
<w:pPr><w:pStyle w:val="Normal"/></w:pPr>
<w:r><w:t xml:space="preserve">Mennonitarum (Haarlem. 1615-1631); John.  Gastii,</w:t></w:r>
</w:p>
<w:p>
<w:pPr><w:pStyle w:val="Normal"/></w:pPr>
<w:r><w:t xml:space="preserve">Tractat. de Anabapt.  Exordio (Basel, 1545); Jehring,</w:t></w:r>
</w:p>
<w:p>
<w:pPr><w:pStyle w:val="Normal"/></w:pPr>
<w:r><w:t xml:space="preserve">History of the Baptists; Auss Bundt, or hymns written</w:t></w:r>
</w:p>
<w:p>
<w:pPr><w:pStyle w:val="Normal"/></w:pPr>
<w:r><w:t xml:space="preserve">by and of the Baptist martyrs from 1526-1620, first printed</w:t></w:r>
</w:p>
<w:p>
<w:pPr><w:pStyle w:val="Normal"/></w:pPr>
<w:r><w:t xml:space="preserve">without date or place, reprinted Basel, 1838. (F. C. C.)</w:t></w:r>
</w:p>
<w:p>
<w:pPr><w:pStyle w:val="Normal"/></w:pPr>
<w:r><w:t xml:space="preserve">ANABASIS (anabasis, a march up country), the</w:t></w:r>
</w:p>
<w:p>
<w:pPr><w:pStyle w:val="Normal"/></w:pPr>
<w:r><w:t xml:space="preserve">title given by Xenophon (q.v.) to his narrative of</w:t></w:r>
</w:p>
<w:p>
<w:pPr><w:pStyle w:val="Normal"/></w:pPr>
<w:r><w:t xml:space="preserve">the expedition of Cyrus the younger against his brother,</w:t></w:r>
</w:p>
<w:p>
<w:pPr><w:pStyle w:val="Normal"/></w:pPr>
<w:r><w:t xml:space="preserve">Artaxerxes of Persia, 401 B.C., and adopted by Arrian</w:t></w:r>
</w:p>
<w:p>
<w:pPr><w:pStyle w:val="Normal"/></w:pPr>
<w:r><w:t xml:space="preserve">for his history of the expedition of Alexander the Great.</w:t></w:r>
</w:p>
<w:p>
<w:pPr><w:pStyle w:val="Normal"/></w:pPr>
<w:r><w:t xml:space="preserve">ANABOLISM (Gr. ana, up, bole, a throw), the biological</w:t></w:r>
</w:p>
<w:p>
<w:pPr><w:pStyle w:val="Normal"/></w:pPr>
<w:r><w:t xml:space="preserve">term for the building up in an organism of more complex from</w:t></w:r>
</w:p>
<w:p>
<w:pPr><w:pStyle w:val="Normal"/></w:pPr>
<w:r><w:t xml:space="preserve">simpler substances, constructive metabolism. (See PHYSIOLOGY.)</w:t></w:r>
</w:p>
<w:p>
<w:pPr><w:pStyle w:val="Normal"/></w:pPr>
<w:r><w:t xml:space="preserve">ANACHARSIS, a Scythian philosopher, who lived about 600</w:t></w:r>
</w:p>
<w:p>
<w:pPr><w:pStyle w:val="Normal"/></w:pPr>
<w:r><w:t xml:space="preserve">B.C. He was the son of Gnurus, chief of a nomadic tribe</w:t></w:r>
</w:p>
<w:p>
<w:pPr><w:pStyle w:val="Normal"/></w:pPr>
<w:r><w:t xml:space="preserve">of the Euxine shores, and a Greek woman.  Instructed in the</w:t></w:r>
</w:p>
<w:p>
<w:pPr><w:pStyle w:val="Normal"/></w:pPr>
<w:r><w:t xml:space="preserve">Greek language by his mother, he prevailed upon the king to</w:t></w:r>
</w:p>
<w:p>
<w:pPr><w:pStyle w:val="Normal"/></w:pPr>
<w:r><w:t xml:space="preserve">entrust him with an embassy to Athens about 589 B.C. He</w:t></w:r>
</w:p>
<w:p>
<w:pPr><w:pStyle w:val="Normal"/></w:pPr>
<w:r><w:t xml:space="preserve">became acquainted with Solon, from whom he rapidly acquired</w:t></w:r>
</w:p>
<w:p>
<w:pPr><w:pStyle w:val="Normal"/></w:pPr>
<w:r><w:t xml:space="preserve">a knowledge of the wisdom and learning of Greece, and by</w:t></w:r>
</w:p>
<w:p>
<w:pPr><w:pStyle w:val="Normal"/></w:pPr>
<w:r><w:t xml:space="preserve">whose influence he was introduced to the principal persons in</w:t></w:r>
</w:p>
<w:p>
<w:pPr><w:pStyle w:val="Normal"/></w:pPr>
<w:r><w:t xml:space="preserve">Athens.  He was the first stranger who received the privileges</w:t></w:r>
</w:p>
<w:p>
<w:pPr><w:pStyle w:val="Normal"/></w:pPr>
<w:r><w:t xml:space="preserve">of citizenship.  He was reckoned one of the Seven Sages,</w:t></w:r>
</w:p>
<w:p>
<w:pPr><w:pStyle w:val="Normal"/></w:pPr>
<w:r><w:t xml:space="preserve">and it is said that he was initiated into the Eleusinian</w:t></w:r>
</w:p>
<w:p>
<w:pPr><w:pStyle w:val="Normal"/></w:pPr>
<w:r><w:t xml:space="preserve">mysteries.  After he had resided several years at Athens,</w:t></w:r>
</w:p>
<w:p>
<w:pPr><w:pStyle w:val="Normal"/></w:pPr>
<w:r><w:t xml:space="preserve">he travelled through different countries in quest of</w:t></w:r>
</w:p>
<w:p>
<w:pPr><w:pStyle w:val="Normal"/></w:pPr>
<w:r><w:t xml:space="preserve">knowledge, and returned home filled with the desire of</w:t></w:r>
</w:p>
<w:p>
<w:pPr><w:pStyle w:val="Normal"/></w:pPr>
<w:r><w:t xml:space="preserve">instructing his countrymen in the laws and the religion of the</w:t></w:r>
</w:p>
<w:p>
<w:pPr><w:pStyle w:val="Normal"/></w:pPr>
<w:r><w:t xml:space="preserve">Greeks.  According to Herodotus he was killed by his brother</w:t></w:r>
</w:p>
<w:p>
<w:pPr><w:pStyle w:val="Normal"/></w:pPr>
<w:r><w:t xml:space="preserve">Saulius while he was performing sacrifice to the goddess</w:t></w:r>
</w:p>
<w:p>
<w:pPr><w:pStyle w:val="Normal"/></w:pPr>
<w:r><w:t xml:space="preserve">Cybele.  It was he who compared laws to spiders&apos; webs, which</w:t></w:r>
</w:p>
<w:p>
<w:pPr><w:pStyle w:val="Normal"/></w:pPr>
<w:r><w:t xml:space="preserve">catch small flies and allow bigger ones to escape.  His</w:t></w:r>
</w:p>
<w:p>
<w:pPr><w:pStyle w:val="Normal"/></w:pPr>
<w:r><w:t xml:space="preserve">simple and forcible mode of expressing himself gave birth</w:t></w:r>
</w:p>
<w:p>
<w:pPr><w:pStyle w:val="Normal"/></w:pPr>
<w:r><w:t xml:space="preserve">to the proverbial expression ``Scythian eloquence,&apos;&apos; but his</w:t></w:r>
</w:p>
<w:p>
<w:pPr><w:pStyle w:val="Normal"/></w:pPr>
<w:r><w:t xml:space="preserve">epigrams are as unauthentic as the letters which are often</w:t></w:r>
</w:p>
<w:p>
<w:pPr><w:pStyle w:val="Normal"/></w:pPr>
<w:r><w:t xml:space="preserve">attributed to him.  According to Strabo he was the first</w:t></w:r>
</w:p>
<w:p>
<w:pPr><w:pStyle w:val="Normal"/></w:pPr>
<w:r><w:t xml:space="preserve">to invent an anchor with two flukes.  Barthelemy borrows</w:t></w:r>
</w:p>
<w:p>
<w:pPr><w:pStyle w:val="Normal"/></w:pPr>
<w:r><w:t xml:space="preserve">his name as the title for his Anacharsis en Grece.</w:t></w:r>
</w:p>
<w:p>
<w:pPr><w:pStyle w:val="Normal"/></w:pPr>
<w:r><w:t xml:space="preserve">Herodotus iv. 76; Lucian, Scytha; Cicero,</w:t></w:r>
</w:p>
<w:p>
<w:pPr><w:pStyle w:val="Normal"/></w:pPr>
<w:r><w:t xml:space="preserve">Tusc.  Disp. v. 32; Diog.  Laert. i. 101.</w:t></w:r>
</w:p>
<w:p>
<w:pPr><w:pStyle w:val="Normal"/></w:pPr>
<w:r><w:t xml:space="preserve">ANACHRONISM (from ana, back, and chronos, time), a</w:t></w:r>
</w:p>
<w:p>
<w:pPr><w:pStyle w:val="Normal"/></w:pPr>
<w:r><w:t xml:space="preserve">neglect or falsification, whether wilful or undesigned, of</w:t></w:r>
</w:p>
<w:p>
<w:pPr><w:pStyle w:val="Normal"/></w:pPr>
<w:r><w:t xml:space="preserve">chronological relation.  Its commonest use restricts it to</w:t></w:r>
</w:p>
<w:p>
<w:pPr><w:pStyle w:val="Normal"/></w:pPr>
<w:r><w:t xml:space="preserve">the ante-dating of events, circumstances or customs; in other</w:t></w:r>
</w:p>
<w:p>
<w:pPr><w:pStyle w:val="Normal"/></w:pPr>
<w:r><w:t xml:space="preserve">words, to the introduction, especially in works of imagination</w:t></w:r>
</w:p>
<w:p>
<w:pPr><w:pStyle w:val="Normal"/></w:pPr>
<w:r><w:t xml:space="preserve">that rest on a historical basis, of details borrowed from</w:t></w:r>
</w:p>
<w:p>
<w:pPr><w:pStyle w:val="Normal"/></w:pPr>
<w:r><w:t xml:space="preserve">a later age.  Anachronisms may be committed in many ways,</w:t></w:r>
</w:p>
<w:p>
<w:pPr><w:pStyle w:val="Normal"/></w:pPr>
<w:r><w:t xml:space="preserve">originating, for instance, in disregard of the different modes</w:t></w:r>
</w:p>
<w:p>
<w:pPr><w:pStyle w:val="Normal"/></w:pPr>
<w:r><w:t xml:space="preserve">of life and thought that characterize different periods, or</w:t></w:r>
</w:p>
<w:p>
<w:pPr><w:pStyle w:val="Normal"/></w:pPr>
<w:r><w:t xml:space="preserve">in ignorance of the progress of the arts and sciences and the</w:t></w:r>
</w:p>
<w:p>
<w:pPr><w:pStyle w:val="Normal"/></w:pPr>
<w:r><w:t xml:space="preserve">other ascertained facts of history, and may vary from glaring</w:t></w:r>
</w:p>
<w:p>
<w:pPr><w:pStyle w:val="Normal"/></w:pPr>
<w:r><w:t xml:space="preserve">inconsistency to scarcely perceptible misrepresentation.  Much</w:t></w:r>
</w:p>
<w:p>
<w:pPr><w:pStyle w:val="Normal"/></w:pPr>
<w:r><w:t xml:space="preserve">of the thought entertained about the past is so deficient in</w:t></w:r>
</w:p>
<w:p>
<w:pPr><w:pStyle w:val="Normal"/></w:pPr>
<w:r><w:t xml:space="preserve">historical perspective as to be little better than a continuous</w:t></w:r>
</w:p>
<w:p>
<w:pPr><w:pStyle w:val="Normal"/></w:pPr>
<w:r><w:t xml:space="preserve">anachronism.  It is only since the close of the 18th century</w:t></w:r>
</w:p>
<w:p>
<w:pPr><w:pStyle w:val="Normal"/></w:pPr>
<w:r><w:t xml:space="preserve">that this kind of untruthfulness has jarred on the general</w:t></w:r>
</w:p>
<w:p>
<w:pPr><w:pStyle w:val="Normal"/></w:pPr>
<w:r><w:t xml:space="preserve">intelligence.  Anachronisms abound in the works of Raphael and</w:t></w:r>
</w:p>
<w:p>
<w:pPr><w:pStyle w:val="Normal"/></w:pPr>
<w:r><w:t xml:space="preserve">Shakespeare, as well as in those of the meanest daubers and</w:t></w:r>
</w:p>
<w:p>
<w:pPr><w:pStyle w:val="Normal"/></w:pPr>
<w:r><w:t xml:space="preserve">playwrights of earlier times.  In particular, the artists, on</w:t></w:r>
</w:p>
<w:p>
<w:pPr><w:pStyle w:val="Normal"/></w:pPr>
<w:r><w:t xml:space="preserve">the stage and on the canvas, in story and in song, assimilated</w:t></w:r>
</w:p>
<w:p>
<w:pPr><w:pStyle w:val="Normal"/></w:pPr>
<w:r><w:t xml:space="preserve">their dramatis personae to their own nationality and their own</w:t></w:r>
</w:p>
<w:p>
<w:pPr><w:pStyle w:val="Normal"/></w:pPr>
<w:r><w:t xml:space="preserve">time.  The Virgin was represented here as an Italian contadina,</w:t></w:r>
</w:p>
<w:p>
<w:pPr><w:pStyle w:val="Normal"/></w:pPr>
<w:r><w:t xml:space="preserve">and there as a Flemish frow; Alexander the Great appeared</w:t></w:r>
</w:p>
<w:p>
<w:pPr><w:pStyle w:val="Normal"/></w:pPr>
<w:r><w:t xml:space="preserve">on the French stage in the full costume of Louis XIV. down</w:t></w:r>
</w:p>
<w:p>
<w:pPr><w:pStyle w:val="Normal"/></w:pPr>
<w:r><w:t xml:space="preserve">to the time of Voltaire; and in England the contemporaries</w:t></w:r>
</w:p>
<w:p>
<w:pPr><w:pStyle w:val="Normal"/></w:pPr>
<w:r><w:t xml:space="preserve">of Addison could behold, without any suspicion of burlesque,</w:t></w:r>
</w:p>
<w:p>
<w:pPr><w:pStyle w:val="Normal"/></w:pPr>
<w:r><w:t xml:space="preserve">``Cato&apos;s long wig, flower&apos;d gown, and lacquer&apos;d chair.&apos;&apos;</w:t></w:r>
</w:p>
<w:p>
<w:pPr><w:pStyle w:val="Normal"/></w:pPr>
<w:r><w:t xml:space="preserve">Modern realism, the progress of archaeological research,</w:t></w:r>
</w:p>
<w:p>
<w:pPr><w:pStyle w:val="Normal"/></w:pPr>
<w:r><w:t xml:space="preserve">and the more scientific spirit of history, have made an</w:t></w:r>
</w:p>
<w:p>
<w:pPr><w:pStyle w:val="Normal"/></w:pPr>
<w:r><w:t xml:space="preserve">anachronism an offence, where our ancestors saw none.</w:t></w:r>
</w:p>
<w:p>
<w:pPr><w:pStyle w:val="Normal"/></w:pPr>
<w:r><w:t xml:space="preserve">ANACOLUTHON (Gr. for ``not following on&apos;&apos;), a grammatical</w:t></w:r>
</w:p>
<w:p>
<w:pPr><w:pStyle w:val="Normal"/></w:pPr>
<w:r><w:t xml:space="preserve">term, given to a defectively constructed sentence which does</w:t></w:r>
</w:p>
<w:p>
<w:pPr><w:pStyle w:val="Normal"/></w:pPr>
<w:r><w:t xml:space="preserve">not run on as a continuous whole; this may occur either, in</w:t></w:r>
</w:p>
<w:p>
<w:pPr><w:pStyle w:val="Normal"/></w:pPr>
<w:r><w:t xml:space="preserve">a text, by some corruption, or, in the case of a writer or</w:t></w:r>
</w:p>
<w:p>
<w:pPr><w:pStyle w:val="Normal"/></w:pPr>
<w:r><w:t xml:space="preserve">speaker, simply through his forgetting the way in which he</w:t></w:r>
</w:p>
<w:p>
<w:pPr><w:pStyle w:val="Normal"/></w:pPr>
<w:r><w:t xml:space="preserve">started.  In the case of a man who is full of his subject,</w:t></w:r>
</w:p>
<w:p>
<w:pPr><w:pStyle w:val="Normal"/></w:pPr>
<w:r><w:t xml:space="preserve">or who is carried along by the passion of the moment, such</w:t></w:r>
</w:p>
<w:p>
<w:pPr><w:pStyle w:val="Normal"/></w:pPr>
<w:r><w:t xml:space="preserve">inconsequents are very apt to occur.  Of Niebuhr it is told</w:t></w:r>
</w:p>
<w:p>
<w:pPr><w:pStyle w:val="Normal"/></w:pPr>
<w:r><w:t xml:space="preserve">that his oral lectures consisted almost entirely of anacoluthic</w:t></w:r>
</w:p>
<w:p>
<w:pPr><w:pStyle w:val="Normal"/></w:pPr>
<w:r><w:t xml:space="preserve">constructions.  To this kind of licence some languages,</w:t></w:r>
</w:p>
<w:p>
<w:pPr><w:pStyle w:val="Normal"/></w:pPr>
<w:r><w:t xml:space="preserve">as Greek and English, readily lend themselves; while the</w:t></w:r>
</w:p>
<w:p>
<w:pPr><w:pStyle w:val="Normal"/></w:pPr>
<w:r><w:t xml:space="preserve">grammatical rigidity of others, as Latin and French, admits</w:t></w:r>
</w:p>
<w:p>
<w:pPr><w:pStyle w:val="Normal"/></w:pPr>
<w:r><w:t xml:space="preserve">of it but sparingly.  In Herodotus, Thucydides, Aeschylus,</w:t></w:r>
</w:p>
<w:p>
<w:pPr><w:pStyle w:val="Normal"/></w:pPr>
<w:r><w:t xml:space="preserve">Pindar and Plato, abundant specimens are to be found; and</w:t></w:r>
</w:p>
<w:p>
<w:pPr><w:pStyle w:val="Normal"/></w:pPr>
<w:r><w:t xml:space="preserve">the same is true of the writers of the Elizabethan age in</w:t></w:r>
</w:p>
<w:p>
<w:pPr><w:pStyle w:val="Normal"/></w:pPr>
<w:r><w:t xml:space="preserve">English.  The following is an example:--``And he charged him</w:t></w:r>
</w:p>
<w:p>
<w:pPr><w:pStyle w:val="Normal"/></w:pPr>
<w:r><w:t xml:space="preserve">to tell no man; but go show thyself,&apos;&apos; &amp;c. (Luke v. 14).</w:t></w:r>
</w:p>
<w:p>
<w:pPr><w:pStyle w:val="Normal"/></w:pPr>
<w:r><w:t xml:space="preserve">ANACONDA, a city and the county-seat of Deer Lodge county,</w:t></w:r>
</w:p>
<w:p>
<w:pPr><w:pStyle w:val="Normal"/></w:pPr>
<w:r><w:t xml:space="preserve">Montana, U.S.A., situated in the mountains on the W. side of</w:t></w:r>
</w:p>
<w:p>
<w:pPr><w:pStyle w:val="Normal"/></w:pPr>
<w:r><w:t xml:space="preserve">Deer Lodge Valley, in the S.W. part of the state, about 26</w:t></w:r>
</w:p>
<w:p>
<w:pPr><w:pStyle w:val="Normal"/></w:pPr>
<w:r><w:t xml:space="preserve">m.  N.W. of Butte, and at an altitude of about 5300 ft.  Pop.</w:t></w:r>
</w:p>
<w:p>
<w:pPr><w:pStyle w:val="Normal"/></w:pPr>
<w:r><w:t xml:space="preserve">(1890) 3075; (1900) 9453, of whom 3478 were foreign-born;</w:t></w:r>
</w:p>
<w:p>
<w:pPr><w:pStyle w:val="Normal"/></w:pPr>
<w:r><w:t xml:space="preserve">(1910, census) 10,134.  It is connected with Butte by the</w:t></w:r>
</w:p>
<w:p>
<w:pPr><w:pStyle w:val="Normal"/></w:pPr>
<w:r><w:t xml:space="preserve">Butte, Anaconda &amp; Pacific railroad.  Among its public buildings</w:t></w:r>
</w:p>
<w:p>
<w:pPr><w:pStyle w:val="Normal"/></w:pPr>
<w:r><w:t xml:space="preserve">are the county court-house and the Hearst free public library</w:t></w:r>
</w:p>
<w:p>
<w:pPr><w:pStyle w:val="Normal"/></w:pPr>
<w:r><w:t xml:space="preserve">(1898).  Industrially, Anaconda is essentially a smelting</w:t></w:r>
</w:p>
<w:p>
<w:pPr><w:pStyle w:val="Normal"/></w:pPr>
<w:r><w:t xml:space="preserve">camp for the copper ores from the Butte mines, probably the</w:t></w:r>
</w:p>
<w:p>
<w:pPr><w:pStyle w:val="Normal"/></w:pPr>
<w:r><w:t xml:space="preserve">largest copper- smelter in the world being located here;</w:t></w:r>
</w:p>
<w:p>
<w:pPr><w:pStyle w:val="Normal"/></w:pPr>
<w:r><w:t xml:space="preserve">the principal copper-mine at Butte--one of the most famous</w:t></w:r>
</w:p>
<w:p>
<w:pPr><w:pStyle w:val="Normal"/></w:pPr>
<w:r><w:t xml:space="preserve">copper-mines in the world--is called the Anaconda.  In 1905</w:t></w:r>
</w:p>
<w:p>
<w:pPr><w:pStyle w:val="Normal"/></w:pPr>
<w:r><w:t xml:space="preserve">the capital invested in manufacturing was $13,728,456, and</w:t></w:r>
</w:p>
<w:p>
<w:pPr><w:pStyle w:val="Normal"/></w:pPr>
<w:r><w:t xml:space="preserve">the factory product was valued at $28,581,530.  Electric</w:t></w:r>
</w:p>
<w:p>
<w:pPr><w:pStyle w:val="Normal"/></w:pPr>
<w:r><w:t xml:space="preserve">power generated at the Helena Power Transmission Company&apos;s</w:t></w:r>
</w:p>
<w:p>
<w:pPr><w:pStyle w:val="Normal"/></w:pPr>
<w:r><w:t xml:space="preserve">plant on the Missouri river, 18 m. from Helena, comes to</w:t></w:r>
</w:p>
<w:p>
<w:pPr><w:pStyle w:val="Normal"/></w:pPr>
<w:r><w:t xml:space="preserve">Anaconda over 110 m. of wire at 70,000 voltage.  Anaconda</w:t></w:r>
</w:p>
<w:p>
<w:pPr><w:pStyle w:val="Normal"/></w:pPr>
<w:r><w:t xml:space="preserve">is to a large degree the market and trading-place of the</w:t></w:r>
</w:p>
<w:p>
<w:pPr><w:pStyle w:val="Normal"/></w:pPr>
<w:r><w:t xml:space="preserve">Big Hole Basin cattle country in the north-western part of</w:t></w:r>
</w:p>
<w:p>
<w:pPr><w:pStyle w:val="Normal"/></w:pPr>
<w:r><w:t xml:space="preserve">Beaverhead county; with Wisdom, in the Big Hole Basin, it was</w:t></w:r>
</w:p>
<w:p>
<w:pPr><w:pStyle w:val="Normal"/></w:pPr>
<w:r><w:t xml:space="preserve">connected in 1905 by a 65 m. telephone line.  Anaconda was</w:t></w:r>
</w:p>
<w:p>
<w:pPr><w:pStyle w:val="Normal"/></w:pPr>
<w:r><w:t xml:space="preserve">first settled in 1884 and was chartered as a city in 1888.</w:t></w:r>
</w:p>
<w:p>
<w:pPr><w:pStyle w:val="Normal"/></w:pPr>
<w:r><w:t xml:space="preserve">ANACONDA, an aquatic boa, inhabiting the swamps and rivers</w:t></w:r>
</w:p>
<w:p>
<w:pPr><w:pStyle w:val="Normal"/></w:pPr>
<w:r><w:t xml:space="preserve">of the dense forests of tropical South America.  It is the</w:t></w:r>
</w:p>
<w:p>
<w:pPr><w:pStyle w:val="Normal"/></w:pPr>
<w:r><w:t xml:space="preserve">largest of all modern snakes, said to attain over 30 ft. in</w:t></w:r>
</w:p>
<w:p>
<w:pPr><w:pStyle w:val="Normal"/></w:pPr>
<w:r><w:t xml:space="preserve">length.  The Eunectes murinus (formerly called Boa</w:t></w:r>
</w:p>
<w:p>
<w:pPr><w:pStyle w:val="Normal"/></w:pPr>
<w:r><w:t xml:space="preserve">murina) differs from Boa by the snout being covered with</w:t></w:r>
</w:p>
<w:p>
<w:pPr><w:pStyle w:val="Normal"/></w:pPr>
<w:r><w:t xml:space="preserve">shields instead of small scales, the inner of the three nasal</w:t></w:r>
</w:p>
<w:p>
<w:pPr><w:pStyle w:val="Normal"/></w:pPr>
<w:r><w:t xml:space="preserve">shields being in contact with that of the other side.  The</w:t></w:r>
</w:p>
<w:p>
<w:pPr><w:pStyle w:val="Normal"/></w:pPr>
<w:r><w:t xml:space="preserve">general colour is dark olive-brown, with large oval black</w:t></w:r>
</w:p>
<w:p>
<w:pPr><w:pStyle w:val="Normal"/></w:pPr>
<w:r><w:t xml:space="preserve">spots arranged in two alternating rows along the back, and</w:t></w:r>
</w:p>
<w:p>
<w:pPr><w:pStyle w:val="Normal"/></w:pPr>
<w:r><w:t xml:space="preserve">with smaller white-eyed spots along the sides.  The belly</w:t></w:r>
</w:p>
<w:p>
<w:pPr><w:pStyle w:val="Normal"/></w:pPr>
<w:r><w:t xml:space="preserve">is whitish, spotted with black.  The anaconda combines an</w:t></w:r>
</w:p>
<w:p>
<w:pPr><w:pStyle w:val="Normal"/></w:pPr>
<w:r><w:t xml:space="preserve">arboreal with an aquatic life, and feeds chiefly upon birds and</w:t></w:r>
</w:p>
<w:p>
<w:pPr><w:pStyle w:val="Normal"/></w:pPr>
<w:r><w:t xml:space="preserve">mammals, mostly during the night.  It lies submerged in the</w:t></w:r>
</w:p>
<w:p>
<w:pPr><w:pStyle w:val="Normal"/></w:pPr>
<w:r><w:t xml:space="preserve">water, with only a small part of its head above the surface,</w:t></w:r>
</w:p>
<w:p>
<w:pPr><w:pStyle w:val="Normal"/></w:pPr>
<w:r><w:t xml:space="preserve">waiting for any suitable prey, or it establishes itself upon</w:t></w:r>
</w:p>
<w:p>
<w:pPr><w:pStyle w:val="Normal"/></w:pPr>
<w:r><w:t xml:space="preserve">the branches of a tree which overhangs the water or the track of</w:t></w:r>
</w:p>
<w:p>
<w:pPr><w:pStyle w:val="Normal"/></w:pPr>
<w:r><w:t xml:space="preserve">game.  Being eminently aquatic this snake is viviparous.</w:t></w:r>
</w:p>
<w:p>
<w:pPr><w:pStyle w:val="Normal"/></w:pPr>
<w:r><w:t xml:space="preserve">It is the only large boa which is decidedly ill-tempered.</w:t></w:r>
</w:p>
<w:p>
<w:pPr><w:pStyle w:val="Normal"/></w:pPr>
<w:r><w:t xml:space="preserve">ANACREON, Greek lyric poet, was born about 560 B.C., at</w:t></w:r>
</w:p>
<w:p>
<w:pPr><w:pStyle w:val="Normal"/></w:pPr>
<w:r><w:t xml:space="preserve">Teos, an Ionian city on the coast of Asia Minor.  Little</w:t></w:r>
</w:p>
<w:p>
<w:pPr><w:pStyle w:val="Normal"/></w:pPr>
<w:r><w:t xml:space="preserve">is known of his life, except a few scattered notices, not</w:t></w:r>
</w:p>
<w:p>
<w:pPr><w:pStyle w:val="Normal"/></w:pPr>
<w:r><w:t xml:space="preserve">in all cases certainly authentic.  He probably shared the</w:t></w:r>
</w:p>
<w:p>
<w:pPr><w:pStyle w:val="Normal"/></w:pPr>
<w:r><w:t xml:space="preserve">voluntary exile of the mass of his fellow-townsmen, who,</w:t></w:r>
</w:p>
<w:p>
<w:pPr><w:pStyle w:val="Normal"/></w:pPr>
<w:r><w:t xml:space="preserve">when Cyrus the Great was besieging the Greek cities of Asia</w:t></w:r>
</w:p>
<w:p>
<w:pPr><w:pStyle w:val="Normal"/></w:pPr>
<w:r><w:t xml:space="preserve">(545), rather than surrender their city to his general</w:t></w:r>
</w:p>
<w:p>
<w:pPr><w:pStyle w:val="Normal"/></w:pPr>
<w:r><w:t xml:space="preserve">Harpagus, sailed to Abdera in Thrace, where they founded a</w:t></w:r>
</w:p>
<w:p>
<w:pPr><w:pStyle w:val="Normal"/></w:pPr>
<w:r><w:t xml:space="preserve">colony.  Anacreon seems to have taken part in the fighting, in</w:t></w:r>
</w:p>
<w:p>
<w:pPr><w:pStyle w:val="Normal"/></w:pPr>
<w:r><w:t xml:space="preserve">which, on his own admission, he did not distinguish himself,</w:t></w:r>
</w:p>
<w:p>
<w:pPr><w:pStyle w:val="Normal"/></w:pPr>
<w:r><w:t xml:space="preserve">but, like Alcaeus and Horace, threw away his shield and</w:t></w:r>
</w:p>
<w:p>
<w:pPr><w:pStyle w:val="Normal"/></w:pPr>
<w:r><w:t xml:space="preserve">fled.  From Thrace he removed to the court of Polycrates of</w:t></w:r>
</w:p>
<w:p>
<w:pPr><w:pStyle w:val="Normal"/></w:pPr>
<w:r><w:t xml:space="preserve">Samos, one of the best of those old ``tyrants&apos;&apos;&apos; who by no</w:t></w:r>
</w:p>
<w:p>
<w:pPr><w:pStyle w:val="Normal"/></w:pPr>
<w:r><w:t xml:space="preserve">means deserved the name in its worst sense.  He is said to</w:t></w:r>
</w:p>
<w:p>
<w:pPr><w:pStyle w:val="Normal"/></w:pPr>
<w:r><w:t xml:space="preserve">have acted as tutor to Polycrates; that he enjoyed the tyrant&apos;s</w:t></w:r>
</w:p>
<w:p>
<w:pPr><w:pStyle w:val="Normal"/></w:pPr>
<w:r><w:t xml:space="preserve">confidence we learn on the authority of Herodotus (iii. 121),</w:t></w:r>
</w:p>
<w:p>
<w:pPr><w:pStyle w:val="Normal"/></w:pPr>
<w:r><w:t xml:space="preserve">who represents the poet as sitting in the royal chamber when</w:t></w:r>
</w:p>
<w:p>
<w:pPr><w:pStyle w:val="Normal"/></w:pPr>
<w:r><w:t xml:space="preserve">audience was given to the Persian herald.  In return for his</w:t></w:r>
</w:p>
<w:p>
<w:pPr><w:pStyle w:val="Normal"/></w:pPr>
<w:r><w:t xml:space="preserve">favour and protection, Anacreon wrote many complimentary odes</w:t></w:r>
</w:p>
<w:p>
<w:pPr><w:pStyle w:val="Normal"/></w:pPr>
<w:r><w:t xml:space="preserve">upon his patron.  Like his fellow-lyrist, Horace, who was</w:t></w:r>
</w:p>
<w:p>
<w:pPr><w:pStyle w:val="Normal"/></w:pPr>
<w:r><w:t xml:space="preserve">one of his great admirers, and in many respects of a kindred</w:t></w:r>
</w:p>
<w:p>
<w:pPr><w:pStyle w:val="Normal"/></w:pPr>
<w:r><w:t xml:space="preserve">spirit, Anacreon seems to have been made for the society of</w:t></w:r>
</w:p>
<w:p>
<w:pPr><w:pStyle w:val="Normal"/></w:pPr>
<w:r><w:t xml:space="preserve">courts.  On the death of Polycrates, Hipparchus, who was then</w:t></w:r>
</w:p>
<w:p>
<w:pPr><w:pStyle w:val="Normal"/></w:pPr>
<w:r><w:t xml:space="preserve">in power at Athens and inherited the literary tastes of his</w:t></w:r>
</w:p>
<w:p>
<w:pPr><w:pStyle w:val="Normal"/></w:pPr>
<w:r><w:t xml:space="preserve">father Peisistratus, sent a special embassy to fetch the popular</w:t></w:r>
</w:p>
<w:p>
<w:pPr><w:pStyle w:val="Normal"/></w:pPr>
<w:r><w:t xml:space="preserve">poet to Athens in a galley of fifty oars.  Here he became</w:t></w:r>
</w:p>
<w:p>
<w:pPr><w:pStyle w:val="Normal"/></w:pPr>
<w:r><w:t xml:space="preserve">acquainted with the poet Simonides, and other members of the</w:t></w:r>
</w:p>
<w:p>
<w:pPr><w:pStyle w:val="Normal"/></w:pPr>
<w:r><w:t xml:space="preserve">brilliant circle which had gathered round Hipparchus.  When</w:t></w:r>
</w:p>
<w:p>
<w:pPr><w:pStyle w:val="Normal"/></w:pPr>
<w:r><w:t xml:space="preserve">this circle was broken up by the assassination of Hipparchus,</w:t></w:r>
</w:p>
<w:p>
<w:pPr><w:pStyle w:val="Normal"/></w:pPr>
<w:r><w:t xml:space="preserve">Anacreon seems to have returned to his native town of Teos,</w:t></w:r>
</w:p>
<w:p>
<w:pPr><w:pStyle w:val="Normal"/></w:pPr>
<w:r><w:t xml:space="preserve">where, according to a metrical epitaph ascribed to his friend</w:t></w:r>
</w:p>
<w:p>
<w:pPr><w:pStyle w:val="Normal"/></w:pPr>
<w:r><w:t xml:space="preserve">Simonides, he died and was buried.  According to others,</w:t></w:r>
</w:p>
<w:p>
<w:pPr><w:pStyle w:val="Normal"/></w:pPr>
<w:r><w:t xml:space="preserve">before returning to Teos, he accompanied Simonides to the</w:t></w:r>
</w:p>
<w:p>
<w:pPr><w:pStyle w:val="Normal"/></w:pPr>
<w:r><w:t xml:space="preserve">court of Echecrates, a Thessalian dynast of the house of the</w:t></w:r>
</w:p>
<w:p>
<w:pPr><w:pStyle w:val="Normal"/></w:pPr>
<w:r><w:t xml:space="preserve">Aleuadae.  Lucian mentions Anacreon amongst his instances of</w:t></w:r>
</w:p>
<w:p>
<w:pPr><w:pStyle w:val="Normal"/></w:pPr>
<w:r><w:t xml:space="preserve">the longevity of eminent men, as having completed eighty-five</w:t></w:r>
</w:p>
<w:p>
<w:pPr><w:pStyle w:val="Normal"/></w:pPr>
<w:r><w:t xml:space="preserve">years.  If an anecdote given by Pliny (Nat. Hist. vii. 7) is</w:t></w:r>
</w:p>
<w:p>
<w:pPr><w:pStyle w:val="Normal"/></w:pPr>
<w:r><w:t xml:space="preserve">to be trusted, he was choked at last by a grape-stone, but the</w:t></w:r>
</w:p>
<w:p>
<w:pPr><w:pStyle w:val="Normal"/></w:pPr>
<w:r><w:t xml:space="preserve">story has an air of mythical adaptation to the poet&apos;s habits,</w:t></w:r>
</w:p>
<w:p>
<w:pPr><w:pStyle w:val="Normal"/></w:pPr>
<w:r><w:t xml:space="preserve">which makes it somewhat apocryphal.  Anacreon was for a long</w:t></w:r>
</w:p>
<w:p>
<w:pPr><w:pStyle w:val="Normal"/></w:pPr>
<w:r><w:t xml:space="preserve">time popular at Athens, where his statue was to be seen on the</w:t></w:r>
</w:p>
<w:p>
<w:pPr><w:pStyle w:val="Normal"/></w:pPr>
<w:r><w:t xml:space="preserve">Acropolis, together with that of his friend Xanthippus, the</w:t></w:r>
</w:p>
<w:p>
<w:pPr><w:pStyle w:val="Normal"/></w:pPr>
<w:r><w:t xml:space="preserve">father of Pericles.  On several coins of Teos he is represented,</w:t></w:r>
</w:p>
<w:p>
<w:pPr><w:pStyle w:val="Normal"/></w:pPr>
<w:r><w:t xml:space="preserve">holding a lyre in his hand, sometimes sitting, sometimes</w:t></w:r>
</w:p>
<w:p>
<w:pPr><w:pStyle w:val="Normal"/></w:pPr>
<w:r><w:t xml:space="preserve">standing.  A marble statue found in 1835 in the Sabine</w:t></w:r>
</w:p>
<w:p>
<w:pPr><w:pStyle w:val="Normal"/></w:pPr>
<w:r><w:t xml:space="preserve">district, and now in the Villa Borghese, is said to represent</w:t></w:r>
</w:p>
<w:p>
<w:pPr><w:pStyle w:val="Normal"/></w:pPr>
<w:r><w:t xml:space="preserve">Anacreon.  Anacreon had a reputation as a composer of hymns,</w:t></w:r>
</w:p>
<w:p>
<w:pPr><w:pStyle w:val="Normal"/></w:pPr>
<w:r><w:t xml:space="preserve">as well as of those bacchanalian and amatory lyrics which</w:t></w:r>
</w:p>
<w:p>
<w:pPr><w:pStyle w:val="Normal"/></w:pPr>
<w:r><w:t xml:space="preserve">are commonly associated with his name.  Two short hymns to</w:t></w:r>
</w:p>
<w:p>
<w:pPr><w:pStyle w:val="Normal"/></w:pPr>
<w:r><w:t xml:space="preserve">Artemis and Dionysus, consisting of eight and eleven lines</w:t></w:r>
</w:p>
<w:p>
<w:pPr><w:pStyle w:val="Normal"/></w:pPr>
<w:r><w:t xml:space="preserve">respectively, stand first amongst his few undisputed remains,</w:t></w:r>
</w:p>
<w:p>
<w:pPr><w:pStyle w:val="Normal"/></w:pPr>
<w:r><w:t xml:space="preserve">as printed by recent editors.  But pagan hymns, especially when</w:t></w:r>
</w:p>
<w:p>
<w:pPr><w:pStyle w:val="Normal"/></w:pPr>
<w:r><w:t xml:space="preserve">addressed to such deities as Aphrodite, Eros and Dionysus, are</w:t></w:r>
</w:p>
<w:p>
<w:pPr><w:pStyle w:val="Normal"/></w:pPr>
<w:r><w:t xml:space="preserve">not so very unlike what we call ``Anacreontic&apos;&apos; poetry as to</w:t></w:r>
</w:p>
<w:p>
<w:pPr><w:pStyle w:val="Normal"/></w:pPr>
<w:r><w:t xml:space="preserve">make the contrast of style as great as the word might seem to</w:t></w:r>
</w:p>
<w:p>
<w:pPr><w:pStyle w:val="Normal"/></w:pPr>
<w:r><w:t xml:space="preserve">imply.  The tone of Anacreon&apos;s lyric effusions has probably</w:t></w:r>
</w:p>
<w:p>
<w:pPr><w:pStyle w:val="Normal"/></w:pPr>
<w:r><w:t xml:space="preserve">led to an unjust estimate, by both ancients and moderns, of</w:t></w:r>
</w:p>
<w:p>
<w:pPr><w:pStyle w:val="Normal"/></w:pPr>
<w:r><w:t xml:space="preserve">the poet&apos;s personal character.  The ``triple worship&apos;&apos; of the</w:t></w:r>
</w:p>
<w:p>
<w:pPr><w:pStyle w:val="Normal"/></w:pPr>
<w:r><w:t xml:space="preserve">Muses, Wine and Love, ascribed to him as his religion in an</w:t></w:r>
</w:p>
<w:p>
<w:pPr><w:pStyle w:val="Normal"/></w:pPr>
<w:r><w:t xml:space="preserve">old Greek epigram (Anthol. iii. 25, 51), may have been as</w:t></w:r>
</w:p>
<w:p>
<w:pPr><w:pStyle w:val="Normal"/></w:pPr>
<w:r><w:t xml:space="preserve">purely professional in the two last cases as in the first,</w:t></w:r>
</w:p>
<w:p>
<w:pPr><w:pStyle w:val="Normal"/></w:pPr>
<w:r><w:t xml:space="preserve">and his private character on such points was probably neither</w:t></w:r>
</w:p>
<w:p>
<w:pPr><w:pStyle w:val="Normal"/></w:pPr>
<w:r><w:t xml:space="preserve">much better nor worse than that of his contemporaries.</w:t></w:r>
</w:p>
<w:p>
<w:pPr><w:pStyle w:val="Normal"/></w:pPr>
<w:r><w:t xml:space="preserve">Athenaeus remarks acutely that he seems at least to have</w:t></w:r>
</w:p>
<w:p>
<w:pPr><w:pStyle w:val="Normal"/></w:pPr>
<w:r><w:t xml:space="preserve">been sober when he wrote; and he himself strongly repudiates,</w:t></w:r>
</w:p>
<w:p>
<w:pPr><w:pStyle w:val="Normal"/></w:pPr>
<w:r><w:t xml:space="preserve">as Horace does, the brutal characteristics of intoxication</w:t></w:r>
</w:p>
<w:p>
<w:pPr><w:pStyle w:val="Normal"/></w:pPr>
<w:r><w:t xml:space="preserve">as fit only for barbarians and Scythians (Fr. 64). Of the</w:t></w:r>
</w:p>
<w:p>
<w:pPr><w:pStyle w:val="Normal"/></w:pPr>
<w:r><w:t xml:space="preserve">five books of lyrical pieces by Anacreon which Suidas and</w:t></w:r>
</w:p>
<w:p>
<w:pPr><w:pStyle w:val="Normal"/></w:pPr>
<w:r><w:t xml:space="preserve">Athenaeus mention as extant in their time, we have now but</w:t></w:r>
</w:p>
<w:p>
<w:pPr><w:pStyle w:val="Normal"/></w:pPr>
<w:r><w:t xml:space="preserve">the merest fragments, collected from the citations of later</w:t></w:r>
</w:p>
<w:p>
<w:pPr><w:pStyle w:val="Normal"/></w:pPr>
<w:r><w:t xml:space="preserve">writers.  Those graceful little poems (most of them first</w:t></w:r>
</w:p>
<w:p>
<w:pPr><w:pStyle w:val="Normal"/></w:pPr>
<w:r><w:t xml:space="preserve">printed from the MSS. by Henry Stephens in 1554), which long</w:t></w:r>
</w:p>
<w:p>
<w:pPr><w:pStyle w:val="Normal"/></w:pPr>
<w:r><w:t xml:space="preserve">passed among the learned for the songs of Anacreon, and which</w:t></w:r>
</w:p>
<w:p>
<w:pPr><w:pStyle w:val="Normal"/></w:pPr>
<w:r><w:t xml:space="preserve">are well-known to many English readers in the translations</w:t></w:r>
</w:p>
<w:p>
<w:pPr><w:pStyle w:val="Normal"/></w:pPr>
<w:r><w:t xml:space="preserve">of Cowley and Moore, are really of much later date, though</w:t></w:r>
</w:p>
<w:p>
<w:pPr><w:pStyle w:val="Normal"/></w:pPr>
<w:r><w:t xml:space="preserve">possibly here and there genuine fragments of the poet are</w:t></w:r>
</w:p>
<w:p>
<w:pPr><w:pStyle w:val="Normal"/></w:pPr>
<w:r><w:t xml:space="preserve">included.  Modern critics, however, regard the entire collection</w:t></w:r>
</w:p>
<w:p>
<w:pPr><w:pStyle w:val="Normal"/></w:pPr>
<w:r><w:t xml:space="preserve">as imitations belonging to different periods--the oldest probably</w:t></w:r>
</w:p>
<w:p>
<w:pPr><w:pStyle w:val="Normal"/></w:pPr>
<w:r><w:t xml:space="preserve">to Alexandrian times, the most recent to the last days of</w:t></w:r>
</w:p>
<w:p>
<w:pPr><w:pStyle w:val="Normal"/></w:pPr>
<w:r><w:t xml:space="preserve">paganism.  They will always retain a certain popularity</w:t></w:r>
</w:p>
<w:p>
<w:pPr><w:pStyle w:val="Normal"/></w:pPr>
<w:r><w:t xml:space="preserve">from their lightness and elegance, and some of them are fair</w:t></w:r>
</w:p>
<w:p>
<w:pPr><w:pStyle w:val="Normal"/></w:pPr>
<w:r><w:t xml:space="preserve">copies of Anacreon&apos;s style, which would lend itself readily</w:t></w:r>
</w:p>
<w:p>
<w:pPr><w:pStyle w:val="Normal"/></w:pPr>
<w:r><w:t xml:space="preserve">enough to a clever imitator.  A strong argument against their</w:t></w:r>
</w:p>
<w:p>
<w:pPr><w:pStyle w:val="Normal"/></w:pPr>
<w:r><w:t xml:space="preserve">genuineness lies in the fact that the peculiar forms of the</w:t></w:r>
</w:p>
<w:p>
<w:pPr><w:pStyle w:val="Normal"/></w:pPr>
<w:r><w:t xml:space="preserve">Ionic Greek, in which Anacreon wrote, are not to be found in</w:t></w:r>
</w:p>
<w:p>
<w:pPr><w:pStyle w:val="Normal"/></w:pPr>
<w:r><w:t xml:space="preserve">these reputed odes, while the fragments of his poems quoted</w:t></w:r>
</w:p>
<w:p>
<w:pPr><w:pStyle w:val="Normal"/></w:pPr>
<w:r><w:t xml:space="preserve">by ancient writers are full of Ionicisms.  Again, only one</w:t></w:r>
</w:p>
<w:p>
<w:pPr><w:pStyle w:val="Normal"/></w:pPr>
<w:r><w:t xml:space="preserve">of the quotations from Anacreon in ancient writers is to be</w:t></w:r>
</w:p>
<w:p>
<w:pPr><w:pStyle w:val="Normal"/></w:pPr>
<w:r><w:t xml:space="preserve">found in these poems, which further contain no references</w:t></w:r>
</w:p>
<w:p>
<w:pPr><w:pStyle w:val="Normal"/></w:pPr>
<w:r><w:t xml:space="preserve">to contemporaries, whereas Strabo (xiv. p. 638) expressly</w:t></w:r>
</w:p>
<w:p>
<w:pPr><w:pStyle w:val="Normal"/></w:pPr>
<w:r><w:t xml:space="preserve">states that Anacreon&apos;s poems included numerous allusions to</w:t></w:r>
</w:p>
<w:p>
<w:pPr><w:pStyle w:val="Normal"/></w:pPr>
<w:r><w:t xml:space="preserve">Polycrates.  The character of Love as a mischievous little</w:t></w:r>
</w:p>
<w:p>
<w:pPr><w:pStyle w:val="Normal"/></w:pPr>
<w:r><w:t xml:space="preserve">boy is quite different from that given by Anacreon, who</w:t></w:r>
</w:p>
<w:p>
<w:pPr><w:pStyle w:val="Normal"/></w:pPr>
<w:r><w:t xml:space="preserve">describes him as ``striking with a mighty axe, like a smith,&apos;&apos;</w:t></w:r>
</w:p>
<w:p>
<w:pPr><w:pStyle w:val="Normal"/></w:pPr>
<w:r><w:t xml:space="preserve">and is more akin to the conceptions of later literature.</w:t></w:r>
</w:p>
<w:p>
<w:pPr><w:pStyle w:val="Normal"/></w:pPr>
<w:r><w:t xml:space="preserve">The best edition of the genuine fragments of Anacreon, as well</w:t></w:r>
</w:p>
<w:p>
<w:pPr><w:pStyle w:val="Normal"/></w:pPr>
<w:r><w:t xml:space="preserve">as of the Anacreontea, is by Bergk (Poetae lyrici graeci,</w:t></w:r>
</w:p>
<w:p>
<w:pPr><w:pStyle w:val="Normal"/></w:pPr>
<w:r><w:t xml:space="preserve">1882).  He includes in an appendix a similar collection</w:t></w:r>
</w:p>
<w:p>
<w:pPr><w:pStyle w:val="Normal"/></w:pPr>
<w:r><w:t xml:space="preserve">of imitations from the Anecdota graeca of P. Matranga</w:t></w:r>
</w:p>
<w:p>
<w:pPr><w:pStyle w:val="Normal"/></w:pPr>
<w:r><w:t xml:space="preserve">(1850), which had their origin in the beginning of the middle</w:t></w:r>
</w:p>
<w:p>
<w:pPr><w:pStyle w:val="Normal"/></w:pPr>
<w:r><w:t xml:space="preserve">ages, and resemble the Christian anacreontics of Sophronius.</w:t></w:r>
</w:p>
<w:p>
<w:pPr><w:pStyle w:val="Normal"/></w:pPr>
<w:r><w:t xml:space="preserve">ANACREONTICS (from the name of the Greek poet Anacreon),</w:t></w:r>
</w:p>
<w:p>
<w:pPr><w:pStyle w:val="Normal"/></w:pPr>
<w:r><w:t xml:space="preserve">the title given to short lyrical pieces, of an easy kind,</w:t></w:r>
</w:p>
<w:p>
<w:pPr><w:pStyle w:val="Normal"/></w:pPr>
<w:r><w:t xml:space="preserve">dealing with love and wine.  The English word appears to</w:t></w:r>
</w:p>
<w:p>
<w:pPr><w:pStyle w:val="Normal"/></w:pPr>
<w:r><w:t xml:space="preserve">have been first used in 1656 by Abraham Cowley, who called</w:t></w:r>
</w:p>
<w:p>
<w:pPr><w:pStyle w:val="Normal"/></w:pPr>
<w:r><w:t xml:space="preserve">a section of his poems ``anacreontiques,&apos;&apos; because they</w:t></w:r>
</w:p>
<w:p>
<w:pPr><w:pStyle w:val="Normal"/></w:pPr>
<w:r><w:t xml:space="preserve">were paraphrased out of the so-called writings of Anacreon</w:t></w:r>
</w:p>
<w:p>
<w:pPr><w:pStyle w:val="Normal"/></w:pPr>
<w:r><w:t xml:space="preserve">into a familiar measure which was supposed to represent the</w:t></w:r>
</w:p>
<w:p>
<w:pPr><w:pStyle w:val="Normal"/></w:pPr>
<w:r><w:t xml:space="preserve">metre of the Greek.  Half a century later, when the form</w:t></w:r>
</w:p>
<w:p>
<w:pPr><w:pStyle w:val="Normal"/></w:pPr>
<w:r><w:t xml:space="preserve">had been much cultivated, John Phillips (1631-1706) laid</w:t></w:r>
</w:p>
<w:p>
<w:pPr><w:pStyle w:val="Normal"/></w:pPr>
<w:r><w:t xml:space="preserve">down the arbitrary rule that an anacreontic line ``consists</w:t></w:r>
</w:p>
<w:p>
<w:pPr><w:pStyle w:val="Normal"/></w:pPr>
<w:r><w:t xml:space="preserve">of seven syllables, without being tied to any certain law</w:t></w:r>
</w:p>
<w:p>
<w:pPr><w:pStyle w:val="Normal"/></w:pPr>
<w:r><w:t xml:space="preserve">of quantity.&apos;&apos; In the 18th century, the antiquary William</w:t></w:r>
</w:p>
<w:p>
<w:pPr><w:pStyle w:val="Normal"/></w:pPr>
<w:r><w:t xml:space="preserve">Oldys (1696-1761) was the author of a little piece which</w:t></w:r>
</w:p>
<w:p>
<w:pPr><w:pStyle w:val="Normal"/></w:pPr>
<w:r><w:t xml:space="preserve">is the perfect type of an anacreontic: this begins:--</w:t></w:r>
</w:p>
<w:p>
<w:pPr><w:pStyle w:val="Normal"/></w:pPr>
<w:r><w:t xml:space="preserve">``Busy, curious, thirsty fly,</w:t></w:r>
</w:p>
<w:p>
<w:pPr><w:pStyle w:val="Normal"/></w:pPr>
<w:r><w:t xml:space="preserve">Drink with me, and drink as I;</w:t></w:r>
</w:p>
<w:p>
<w:pPr><w:pStyle w:val="Normal"/></w:pPr>
<w:r><w:t xml:space="preserve">Freely welcome to my cup,</w:t></w:r>
</w:p>
<w:p>
<w:pPr><w:pStyle w:val="Normal"/></w:pPr>
<w:r><w:t xml:space="preserve">Could&apos;st thou sip and sip it up.</w:t></w:r>
</w:p>
<w:p>
<w:pPr><w:pStyle w:val="Normal"/></w:pPr>
<w:r><w:t xml:space="preserve">Make the most of life you may;</w:t></w:r>
</w:p>
<w:p>
<w:pPr><w:pStyle w:val="Normal"/></w:pPr>
<w:r><w:t xml:space="preserve">Life is short and wears away.&apos;&apos;</w:t></w:r>
</w:p>
<w:p>
<w:pPr><w:pStyle w:val="Normal"/></w:pPr>
<w:r><w:t xml:space="preserve">In 1800 Tom Moore published a collection of erotic anacreontics</w:t></w:r>
</w:p>
<w:p>
<w:pPr><w:pStyle w:val="Normal"/></w:pPr>
<w:r><w:t xml:space="preserve">which are also typical in form; Moore speaks of the necessity of</w:t></w:r>
</w:p>
<w:p>
<w:pPr><w:pStyle w:val="Normal"/></w:pPr>
<w:r><w:t xml:space="preserve">catching ``the careless facility with which Anacreon appears to</w:t></w:r>
</w:p>
<w:p>
<w:pPr><w:pStyle w:val="Normal"/></w:pPr>
<w:r><w:t xml:space="preserve">have trifled,&apos;&apos; as a reason why anacreontics are often tame and</w:t></w:r>
</w:p>
<w:p>
<w:pPr><w:pStyle w:val="Normal"/></w:pPr>
<w:r><w:t xml:space="preserve">worthless.  He dwells, moreover, on the absurdity of writing</w:t></w:r>
</w:p>
<w:p>
<w:pPr><w:pStyle w:val="Normal"/></w:pPr>
<w:r><w:t xml:space="preserve">``pious anacreontics,&apos;&apos; a feat, however, which was performed</w:t></w:r>
</w:p>
<w:p>
<w:pPr><w:pStyle w:val="Normal"/></w:pPr>
<w:r><w:t xml:space="preserve">by several of the Greek Christian poets, and in particular</w:t></w:r>
</w:p>
<w:p>
<w:pPr><w:pStyle w:val="Normal"/></w:pPr>
<w:r><w:t xml:space="preserve">by Gregory of Nazianzus and John of Damascus. (E. G.)</w:t></w:r>
</w:p>
<w:p>
<w:pPr><w:pStyle w:val="Normal"/></w:pPr>
<w:r><w:t xml:space="preserve">ANADYOMENE (&apos;Anaduoene), an epithet of Aphrodite</w:t></w:r>
</w:p>
<w:p>
<w:pPr><w:pStyle w:val="Normal"/></w:pPr>
<w:r><w:t xml:space="preserve">(Venus), expressive of her having sprung from the foam of the</w:t></w:r>
</w:p>
<w:p>
<w:pPr><w:pStyle w:val="Normal"/></w:pPr>
<w:r><w:t xml:space="preserve">sea.  In a famous picture by Apelles she was represented</w:t></w:r>
</w:p>
<w:p>
<w:pPr><w:pStyle w:val="Normal"/></w:pPr>
<w:r><w:t xml:space="preserve">under this title as if just emerged from the sea and in the</w:t></w:r>
</w:p>
<w:p>
<w:pPr><w:pStyle w:val="Normal"/></w:pPr>
<w:r><w:t xml:space="preserve">act of wringing her tresses.  This painting was executed</w:t></w:r>
</w:p>
<w:p>
<w:pPr><w:pStyle w:val="Normal"/></w:pPr>
<w:r><w:t xml:space="preserve">for the temple of Asclepius at Cos, from which it was taken</w:t></w:r>
</w:p>
<w:p>
<w:pPr><w:pStyle w:val="Normal"/></w:pPr>
<w:r><w:t xml:space="preserve">to Rome by Augustus in part payment of tribute, and set</w:t></w:r>
</w:p>
<w:p>
<w:pPr><w:pStyle w:val="Normal"/></w:pPr>
<w:r><w:t xml:space="preserve">up in the temple of Caesar.  In the time of Nero, owing to</w:t></w:r>
</w:p>
<w:p>
<w:pPr><w:pStyle w:val="Normal"/></w:pPr>
<w:r><w:t xml:space="preserve">its dilapidated condition, it was replaced by a copy made</w:t></w:r>
</w:p>
<w:p>
<w:pPr><w:pStyle w:val="Normal"/></w:pPr>
<w:r><w:t xml:space="preserve">by the painter Dorotheus (Pliny, Nat. Hist. xxxv. 36).</w:t></w:r>
</w:p>
<w:p>
<w:pPr><w:pStyle w:val="Normal"/></w:pPr>
<w:r><w:t xml:space="preserve">There are several epigrams on it in the Greek anthology.</w:t></w:r>
</w:p>
<w:p>
<w:pPr><w:pStyle w:val="Normal"/></w:pPr>
<w:r><w:t xml:space="preserve">ANADYR, (1) a gulf, and (2) a river, in the extreme N.E. of</w:t></w:r>
</w:p>
<w:p>
<w:pPr><w:pStyle w:val="Normal"/></w:pPr>
<w:r><w:t xml:space="preserve">Siberia, in the Maritime Province.  The gulf extends from Cape</w:t></w:r>
</w:p>
<w:p>
<w:pPr><w:pStyle w:val="Normal"/></w:pPr>
<w:r><w:t xml:space="preserve">Chukchi on the north to Cape Navarin on the south, forming part</w:t></w:r>
</w:p>
<w:p>
<w:pPr><w:pStyle w:val="Normal"/></w:pPr>
<w:r><w:t xml:space="preserve">of the Bering Sea. The river, taking its rise in the Stanovoi</w:t></w:r>
</w:p>
<w:p>
<w:pPr><w:pStyle w:val="Normal"/></w:pPr>
<w:r><w:t xml:space="preserve">mountains as the Ivashki or Ivachno, about 67 deg.  N. lat. and</w:t></w:r>
</w:p>
<w:p>
<w:pPr><w:pStyle w:val="Normal"/></w:pPr>
<w:r><w:t xml:space="preserve">173 deg.  E. long., flows through the Chukchi country, at first</w:t></w:r>
</w:p>
<w:p>
<w:pPr><w:pStyle w:val="Normal"/></w:pPr>
<w:r><w:t xml:space="preserve">south-west and then east, and enters the Gulf of Anadyr after</w:t></w:r>
</w:p>
<w:p>
<w:pPr><w:pStyle w:val="Normal"/></w:pPr>
<w:r><w:t xml:space="preserve">a course of about 500 m.  The country through which it passes</w:t></w:r>
</w:p>
<w:p>
<w:pPr><w:pStyle w:val="Normal"/></w:pPr>
<w:r><w:t xml:space="preserve">is thinly populated, barren and desolate.  For nine months of</w:t></w:r>
</w:p>
<w:p>
<w:pPr><w:pStyle w:val="Normal"/></w:pPr>
<w:r><w:t xml:space="preserve">the year the ground is covered with snow.  Reindeer, upon which</w:t></w:r>
</w:p>
<w:p>
<w:pPr><w:pStyle w:val="Normal"/></w:pPr>
<w:r><w:t xml:space="preserve">the inhabitants subsist, are found in considerable numbers.</w:t></w:r>
</w:p>
<w:p>
<w:pPr><w:pStyle w:val="Normal"/></w:pPr>
<w:r><w:t xml:space="preserve">ANAEMIA (from Gr. an-, privative, and aima, blood),</w:t></w:r>
</w:p>
<w:p>
<w:pPr><w:pStyle w:val="Normal"/></w:pPr>
<w:r><w:t xml:space="preserve">literally ``want of blood,&apos;&apos; a word used as a generic</w:t></w:r>
</w:p>
<w:p>
<w:pPr><w:pStyle w:val="Normal"/></w:pPr>
<w:r><w:t xml:space="preserve">term for various forms of disease characterized by a</w:t></w:r>
</w:p>
<w:p>
<w:pPr><w:pStyle w:val="Normal"/></w:pPr>
<w:r><w:t xml:space="preserve">defective constitution of the blood.  For different types</w:t></w:r>
</w:p>
<w:p>
<w:pPr><w:pStyle w:val="Normal"/></w:pPr>
<w:r><w:t xml:space="preserve">of anaemia see the article BLOOD, section Pathology.</w:t></w:r>
</w:p>
<w:p>
<w:pPr><w:pStyle w:val="Normal"/></w:pPr>
<w:r><w:t xml:space="preserve">ANAESTHESIA and ANAESTHETICS (Gr. anaisthesia, from</w:t></w:r>
</w:p>
<w:p>
<w:pPr><w:pStyle w:val="Normal"/></w:pPr>
<w:r><w:t xml:space="preserve">an-, privative, and aisthesis, sensation), terms</w:t></w:r>
</w:p>
<w:p>
<w:pPr><w:pStyle w:val="Normal"/></w:pPr>
<w:r><w:t xml:space="preserve">used in medicine to describe a state of local or general</w:t></w:r>
</w:p>
<w:p>
<w:pPr><w:pStyle w:val="Normal"/></w:pPr>
<w:r><w:t xml:space="preserve">insensibility to external impressions, and the substances</w:t></w:r>
</w:p>
<w:p>
<w:pPr><w:pStyle w:val="Normal"/></w:pPr>
<w:r><w:t xml:space="preserve">used for inducing this state.  In diseases of the brain or</w:t></w:r>
</w:p>
<w:p>
<w:pPr><w:pStyle w:val="Normal"/></w:pPr>
<w:r><w:t xml:space="preserve">spinal cord anaesthesia is an occasional symptom, but in such</w:t></w:r>
</w:p>
<w:p>
<w:pPr><w:pStyle w:val="Normal"/></w:pPr>
<w:r><w:t xml:space="preserve">cases it is usually limited in extent, involving a limb or</w:t></w:r>
</w:p>
<w:p>
<w:pPr><w:pStyle w:val="Normal"/></w:pPr>
<w:r><w:t xml:space="preserve">a definite area of the body&apos;s surface.  Complete anaesthesia</w:t></w:r>
</w:p>
<w:p>
<w:pPr><w:pStyle w:val="Normal"/></w:pPr>
<w:r><w:t xml:space="preserve">occurs in a state of catalepsy or trance-- conditions</w:t></w:r>
</w:p>
<w:p>
<w:pPr><w:pStyle w:val="Normal"/></w:pPr>
<w:r><w:t xml:space="preserve">associated with no definite lesion of the nervous system.</w:t></w:r>
</w:p>
<w:p>
<w:pPr><w:pStyle w:val="Normal"/></w:pPr>
<w:r><w:t xml:space="preserve">The artificial induction of anaesthesia has come to occupy</w:t></w:r>
</w:p>
<w:p>
<w:pPr><w:pStyle w:val="Normal"/></w:pPr>
<w:r><w:t xml:space="preserve">a foremost place in modern medicine, but there is abundant</w:t></w:r>
</w:p>
<w:p>
<w:pPr><w:pStyle w:val="Normal"/></w:pPr>
<w:r><w:t xml:space="preserve">evidence to show that it is a practice of great antiquity.</w:t></w:r>
</w:p>
<w:p>
<w:pPr><w:pStyle w:val="Normal"/></w:pPr>
<w:r><w:t xml:space="preserve">Besides the mention by Homer of the anaesthetic effects of</w:t></w:r>
</w:p>
<w:p>
<w:pPr><w:pStyle w:val="Normal"/></w:pPr>
<w:r><w:t xml:space="preserve">nepenthe, and the reference by Herodotus to the practice of</w:t></w:r>
</w:p>
<w:p>
<w:pPr><w:pStyle w:val="Normal"/></w:pPr>
<w:r><w:t xml:space="preserve">the Scythians of inhaling the vapours of a certain kind of</w:t></w:r>
</w:p>
<w:p>
<w:pPr><w:pStyle w:val="Normal"/></w:pPr>
<w:r><w:t xml:space="preserve">hemp to produce intoxication, the employment of anaesthetics</w:t></w:r>
</w:p>
<w:p>
<w:pPr><w:pStyle w:val="Normal"/></w:pPr>
<w:r><w:t xml:space="preserve">in surgery by the use of mandragora is particularly alluded</w:t></w:r>
</w:p>
<w:p>
<w:pPr><w:pStyle w:val="Normal"/></w:pPr>
<w:r><w:t xml:space="preserve">to by Dioscorides and Pliny.  It also appears, from an old</w:t></w:r>
</w:p>
<w:p>
<w:pPr><w:pStyle w:val="Normal"/></w:pPr>
<w:r><w:t xml:space="preserve">Chinese manuscript laid before the French Academy by Stanislas</w:t></w:r>
</w:p>
<w:p>
<w:pPr><w:pStyle w:val="Normal"/></w:pPr>
<w:r><w:t xml:space="preserve">Julien, that a physician named Hoa-tho, who lived in the 3rd</w:t></w:r>
</w:p>
<w:p>
<w:pPr><w:pStyle w:val="Normal"/></w:pPr>
<w:r><w:t xml:space="preserve">century, gave his patients a preparation of hemp, whereby</w:t></w:r>
</w:p>
<w:p>
<w:pPr><w:pStyle w:val="Normal"/></w:pPr>
<w:r><w:t xml:space="preserve">they were rendered insensible during the performance of</w:t></w:r>
</w:p>
<w:p>
<w:pPr><w:pStyle w:val="Normal"/></w:pPr>
<w:r><w:t xml:space="preserve">surgical operations.  Mandragora was extensively used as</w:t></w:r>
</w:p>
<w:p>
<w:pPr><w:pStyle w:val="Normal"/></w:pPr>
<w:r><w:t xml:space="preserve">an anaesthetic by Hugo de Lucca, who practised in the 13th</w:t></w:r>
</w:p>
<w:p>
<w:pPr><w:pStyle w:val="Normal"/></w:pPr>
<w:r><w:t xml:space="preserve">century.  The soporific effects of mandrake are alluded to by</w:t></w:r>
</w:p>
<w:p>
<w:pPr><w:pStyle w:val="Normal"/></w:pPr>
<w:r><w:t xml:space="preserve">Shakespeare, who also makes frequent mention of anaesthetizing</w:t></w:r>
</w:p>
<w:p>
<w:pPr><w:pStyle w:val="Normal"/></w:pPr>
<w:r><w:t xml:space="preserve">draughts, the composition of which is not specified.</w:t></w:r>
</w:p>
<w:p>
<w:pPr><w:pStyle w:val="Normal"/></w:pPr>
<w:r><w:t xml:space="preserve">In the Medical Gazette, vol. xii. p. 515, Dr Sylvester, quoting</w:t></w:r>
</w:p>
<w:p>
<w:pPr><w:pStyle w:val="Normal"/></w:pPr>
<w:r><w:t xml:space="preserve">from a German work by Meissner, published in 1782, mentions</w:t></w:r>
</w:p>
<w:p>
<w:pPr><w:pStyle w:val="Normal"/></w:pPr>
<w:r><w:t xml:space="preserve">the case of Augustus, king of Poland, who underwent amputation</w:t></w:r>
</w:p>
<w:p>
<w:pPr><w:pStyle w:val="Normal"/></w:pPr>
<w:r><w:t xml:space="preserve">while rendered insensible by a narcotic.  But the practice</w:t></w:r>
</w:p>
<w:p>
<w:pPr><w:pStyle w:val="Normal"/></w:pPr>
<w:r><w:t xml:space="preserve">of anaesthesia never became general, and surgeons appear to</w:t></w:r>
</w:p>
<w:p>
<w:pPr><w:pStyle w:val="Normal"/></w:pPr>
<w:r><w:t xml:space="preserve">have usually regarded it with disfavour.  When, towards the</w:t></w:r>
</w:p>
<w:p>
<w:pPr><w:pStyle w:val="Normal"/></w:pPr>
<w:r><w:t xml:space="preserve">close of the 18th century, the discoveries of Priestley gave</w:t></w:r>
</w:p>
<w:p>
<w:pPr><w:pStyle w:val="Normal"/></w:pPr>
<w:r><w:t xml:space="preserve">an impetus to chemical research, the properties of gases and</w:t></w:r>
</w:p>
<w:p>
<w:pPr><w:pStyle w:val="Normal"/></w:pPr>
<w:r><w:t xml:space="preserve">vapours began to be more closely investigated, and the belief</w:t></w:r>
</w:p>
<w:p>
<w:pPr><w:pStyle w:val="Normal"/></w:pPr>
<w:r><w:t xml:space="preserve">was then entertained that many of them would become of great</w:t></w:r>
</w:p>
<w:p>
<w:pPr><w:pStyle w:val="Normal"/></w:pPr>
<w:r><w:t xml:space="preserve">medicinal value.  In 1800, Sir Humphry Davy, experimenting</w:t></w:r>
</w:p>
<w:p>
<w:pPr><w:pStyle w:val="Normal"/></w:pPr>
<w:r><w:t xml:space="preserve">on nitrous oxide (the so-called ``laughing gas&apos;&apos;), discovered</w:t></w:r>
</w:p>
<w:p>
<w:pPr><w:pStyle w:val="Normal"/></w:pPr>
<w:r><w:t xml:space="preserve">its anaesthetic properties, and described the effects it</w:t></w:r>
</w:p>
<w:p>
<w:pPr><w:pStyle w:val="Normal"/></w:pPr>
<w:r><w:t xml:space="preserve">had on himself when inhaled with the view of relieving local</w:t></w:r>
</w:p>
<w:p>
<w:pPr><w:pStyle w:val="Normal"/></w:pPr>
<w:r><w:t xml:space="preserve">pain.  He suggested its employment in surgery in the following</w:t></w:r>
</w:p>
<w:p>
<w:pPr><w:pStyle w:val="Normal"/></w:pPr>
<w:r><w:t xml:space="preserve">words:--``As nitrous oxide, in its extensive operation,</w:t></w:r>
</w:p>
<w:p>
<w:pPr><w:pStyle w:val="Normal"/></w:pPr>
<w:r><w:t xml:space="preserve">seems capable of destroying physical pain, it may probably be</w:t></w:r>
</w:p>
<w:p>
<w:pPr><w:pStyle w:val="Normal"/></w:pPr>
<w:r><w:t xml:space="preserve">used with advantage in surgical operations in which no great</w:t></w:r>
</w:p>
<w:p>
<w:pPr><w:pStyle w:val="Normal"/></w:pPr>
<w:r><w:t xml:space="preserve">effusion of blood takes place.&apos;&apos; His suggestion, however,</w:t></w:r>
</w:p>
<w:p>
<w:pPr><w:pStyle w:val="Normal"/></w:pPr>
<w:r><w:t xml:space="preserve">remained unheeded for nearly half a century.  The inhalation</w:t></w:r>
</w:p>
<w:p>
<w:pPr><w:pStyle w:val="Normal"/></w:pPr>
<w:r><w:t xml:space="preserve">of sulphuric ether for the relief of asthma and other lung</w:t></w:r>
</w:p>
<w:p>
<w:pPr><w:pStyle w:val="Normal"/></w:pPr>
<w:r><w:t xml:space="preserve">affections had been employed by Dr Pearson of Birmingham as early</w:t></w:r>
</w:p>
<w:p>
<w:pPr><w:pStyle w:val="Normal"/></w:pPr>
<w:r><w:t xml:space="preserve">as 1785; and in 1805 Dr J. C. Warren of Boston, U.S.A., used</w:t></w:r>
</w:p>
<w:p>
<w:pPr><w:pStyle w:val="Normal"/></w:pPr>
<w:r><w:t xml:space="preserve">this treatment in the later stages of pulmonary consumption.</w:t></w:r>
</w:p>
<w:p>
<w:pPr><w:pStyle w:val="Normal"/></w:pPr>
<w:r><w:t xml:space="preserve">In 1818 Faraday showed that the inhalation of the vapour of ether</w:t></w:r>
</w:p>
<w:p>
<w:pPr><w:pStyle w:val="Normal"/></w:pPr>
<w:r><w:t xml:space="preserve">produced anaesthetic effects similar to those of nitrous oxide; and</w:t></w:r>
</w:p>
<w:p>
<w:pPr><w:pStyle w:val="Normal"/></w:pPr>
<w:r><w:t xml:space="preserve">this property of ether was also shown by the American physicians,</w:t></w:r>
</w:p>
<w:p>
<w:pPr><w:pStyle w:val="Normal"/></w:pPr>
<w:r><w:t xml:space="preserve">John D. Godman (1822), James Jackson (1833), Wood and Bache (1834).</w:t></w:r>
</w:p>
<w:p>
<w:pPr><w:pStyle w:val="Normal"/></w:pPr>
<w:r><w:t xml:space="preserve">These observations, however, appear to have been regarded</w:t></w:r>
</w:p>
<w:p>
<w:pPr><w:pStyle w:val="Normal"/></w:pPr>
<w:r><w:t xml:space="preserve">in the light of mere scientific curiosities and subjects for</w:t></w:r>
</w:p>
<w:p>
<w:pPr><w:pStyle w:val="Normal"/></w:pPr>
<w:r><w:t xml:space="preserve">lecture- room experiment, rather than as facts capable of</w:t></w:r>
</w:p>
<w:p>
<w:pPr><w:pStyle w:val="Normal"/></w:pPr>
<w:r><w:t xml:space="preserve">being applied practically in the treatment of disease, till</w:t></w:r>
</w:p>
<w:p>
<w:pPr><w:pStyle w:val="Normal"/></w:pPr>
<w:r><w:t xml:space="preserve">December 1844, when Dr Horace Wells, a dentist of Hartford,</w:t></w:r>
</w:p>
<w:p>
<w:pPr><w:pStyle w:val="Normal"/></w:pPr>
<w:r><w:t xml:space="preserve">Connecticut, underwent in his own person the operation</w:t></w:r>
</w:p>
<w:p>
<w:pPr><w:pStyle w:val="Normal"/></w:pPr>
<w:r><w:t xml:space="preserve">of tooth-extraction while rendered insensible by nitrous</w:t></w:r>
</w:p>
<w:p>
<w:pPr><w:pStyle w:val="Normal"/></w:pPr>
<w:r><w:t xml:space="preserve">oxide.  Satisfied, from further experience, that teeth could</w:t></w:r>
</w:p>
<w:p>
<w:pPr><w:pStyle w:val="Normal"/></w:pPr>
<w:r><w:t xml:space="preserve">be extracted in this way without pain, Dr Wells proposed</w:t></w:r>
</w:p>
<w:p>
<w:pPr><w:pStyle w:val="Normal"/></w:pPr>
<w:r><w:t xml:space="preserve">to establish the practice of painless dentistry under the</w:t></w:r>
</w:p>
<w:p>
<w:pPr><w:pStyle w:val="Normal"/></w:pPr>
<w:r><w:t xml:space="preserve">influence of the gas; but in consequence of an unfortunate</w:t></w:r>
</w:p>
<w:p>
<w:pPr><w:pStyle w:val="Normal"/></w:pPr>
<w:r><w:t xml:space="preserve">failure in an experiment at Boston he abandoned the project.</w:t></w:r>
</w:p>
<w:p>
<w:pPr><w:pStyle w:val="Normal"/></w:pPr>
<w:r><w:t xml:space="preserve">On the 30th of September 1846 Dr W. T. G. Morton, a dentist</w:t></w:r>
</w:p>
<w:p>
<w:pPr><w:pStyle w:val="Normal"/></w:pPr>
<w:r><w:t xml:space="preserve">of Boston, employed the vapour of ether to procure general</w:t></w:r>
</w:p>
<w:p>
<w:pPr><w:pStyle w:val="Normal"/></w:pPr>
<w:r><w:t xml:space="preserve">anaesthesia in a case of tooth-extraction, and thereafter</w:t></w:r>
</w:p>
<w:p>
<w:pPr><w:pStyle w:val="Normal"/></w:pPr>
<w:r><w:t xml:space="preserve">administered it in cases requiring surgical operation with</w:t></w:r>
</w:p>
<w:p>
<w:pPr><w:pStyle w:val="Normal"/></w:pPr>
<w:r><w:t xml:space="preserve">complete success.  This great achievement marked a new era in</w:t></w:r>
</w:p>
<w:p>
<w:pPr><w:pStyle w:val="Normal"/></w:pPr>
<w:r><w:t xml:space="preserve">surgery.  Operations were performed in America in numerous</w:t></w:r>
</w:p>
<w:p>
<w:pPr><w:pStyle w:val="Normal"/></w:pPr>
<w:r><w:t xml:space="preserve">instances under ether inhalation, the result being only to</w:t></w:r>
</w:p>
<w:p>
<w:pPr><w:pStyle w:val="Normal"/></w:pPr>
<w:r><w:t xml:space="preserve">establish more firmly its value as a successful anaesthetic.</w:t></w:r>
</w:p>
<w:p>
<w:pPr><w:pStyle w:val="Normal"/></w:pPr>
<w:r><w:t xml:space="preserve">The news of the discovery reached England on the 17th of December</w:t></w:r>
</w:p>
<w:p>
<w:pPr><w:pStyle w:val="Normal"/></w:pPr>
<w:r><w:t xml:space="preserve">1840.  On the 19th of December Mr Robinson, a dentist in</w:t></w:r>
</w:p>
<w:p>
<w:pPr><w:pStyle w:val="Normal"/></w:pPr>
<w:r><w:t xml:space="preserve">London, and on the 21st Robert Liston, the eminent surgeon,</w:t></w:r>
</w:p>
<w:p>
<w:pPr><w:pStyle w:val="Normal"/></w:pPr>
<w:r><w:t xml:space="preserve">operated on patients anaesthetized by ether; and the practice</w:t></w:r>
</w:p>
<w:p>
<w:pPr><w:pStyle w:val="Normal"/></w:pPr>
<w:r><w:t xml:space="preserve">soon became general both in Great Britain and on the continent.</w:t></w:r>
</w:p>
<w:p>
<w:pPr><w:pStyle w:val="Normal"/></w:pPr>
<w:r><w:t xml:space="preserve">Sir James Simpson was the first to apply anaesthesia by</w:t></w:r>
</w:p>
<w:p>
<w:pPr><w:pStyle w:val="Normal"/></w:pPr>
<w:r><w:t xml:space="preserve">ether to midwifery practice; this he did in 1847, and</w:t></w:r>
</w:p>
<w:p>
<w:pPr><w:pStyle w:val="Normal"/></w:pPr>
<w:r><w:t xml:space="preserve">found that the pains of labour could be abolished without</w:t></w:r>
</w:p>
<w:p>
<w:pPr><w:pStyle w:val="Normal"/></w:pPr>
<w:r><w:t xml:space="preserve">interference with uterine contractions or injury to the</w:t></w:r>
</w:p>
<w:p>
<w:pPr><w:pStyle w:val="Normal"/></w:pPr>
<w:r><w:t xml:space="preserve">child.  On the 8th of March 1847 M. J. P. Flourens read a</w:t></w:r>
</w:p>
<w:p>
<w:pPr><w:pStyle w:val="Normal"/></w:pPr>
<w:r><w:t xml:space="preserve">paper before the Academie des Sciences on the effect of</w:t></w:r>
</w:p>
<w:p>
<w:pPr><w:pStyle w:val="Normal"/></w:pPr>
<w:r><w:t xml:space="preserve">chloroform on the lower animals, but no notice was taken</w:t></w:r>
</w:p>
<w:p>
<w:pPr><w:pStyle w:val="Normal"/></w:pPr>
<w:r><w:t xml:space="preserve">of what has since proved to be a discovery of epoch-making</w:t></w:r>
</w:p>
<w:p>
<w:pPr><w:pStyle w:val="Normal"/></w:pPr>
<w:r><w:t xml:space="preserve">importance.  In November of the same year Simpson announced</w:t></w:r>
</w:p>
<w:p>
<w:pPr><w:pStyle w:val="Normal"/></w:pPr>
<w:r><w:t xml:space="preserve">his discovery of the anaesthetic properties of chloroform, the</w:t></w:r>
</w:p>
<w:p>
<w:pPr><w:pStyle w:val="Normal"/></w:pPr>
<w:r><w:t xml:space="preserve">trial of which had been suggested to him by Waldie, a chemist of</w:t></w:r>
</w:p>
<w:p>
<w:pPr><w:pStyle w:val="Normal"/></w:pPr>
<w:r><w:t xml:space="preserve">Liverpool.  As the result, chloroform came to be widely used</w:t></w:r>
</w:p>
<w:p>
<w:pPr><w:pStyle w:val="Normal"/></w:pPr>
<w:r><w:t xml:space="preserve">instead of ether, though it was found by several casualties</w:t></w:r>
</w:p>
<w:p>
<w:pPr><w:pStyle w:val="Normal"/></w:pPr>
<w:r><w:t xml:space="preserve">that it was not the absolutely safe anaesthetic that had</w:t></w:r>
</w:p>
<w:p>
<w:pPr><w:pStyle w:val="Normal"/></w:pPr>
<w:r><w:t xml:space="preserve">at first been hoped.  It, however, remained the drug that</w:t></w:r>
</w:p>
<w:p>
<w:pPr><w:pStyle w:val="Normal"/></w:pPr>
<w:r><w:t xml:space="preserve">was chiefly used till Dr J. T. Clover (1825-1882) of London</w:t></w:r>
</w:p>
<w:p>
<w:pPr><w:pStyle w:val="Normal"/></w:pPr>
<w:r><w:t xml:space="preserve">introduced his regulating ether-inhaler in 1876, embodying</w:t></w:r>
</w:p>
<w:p>
<w:pPr><w:pStyle w:val="Normal"/></w:pPr>
<w:r><w:t xml:space="preserve">a new principle--that of limiting the quantity of air during</w:t></w:r>
</w:p>
<w:p>
<w:pPr><w:pStyle w:val="Normal"/></w:pPr>
<w:r><w:t xml:space="preserve">etherization and regulating the strength of the vapour.</w:t></w:r>
</w:p>
<w:p>
<w:pPr><w:pStyle w:val="Normal"/></w:pPr>
<w:r><w:t xml:space="preserve">During the intervening period, as the results of the labours of</w:t></w:r>
</w:p>
<w:p>
<w:pPr><w:pStyle w:val="Normal"/></w:pPr>
<w:r><w:t xml:space="preserve">John Snow, Sir Benjamin Ward Richardson, Thomas Nunnely, and Colton</w:t></w:r>
</w:p>
<w:p>
<w:pPr><w:pStyle w:val="Normal"/></w:pPr>
<w:r><w:t xml:space="preserve">amongst others, several drugs were found to possess anaesthetic</w:t></w:r>
</w:p>
<w:p>
<w:pPr><w:pStyle w:val="Normal"/></w:pPr>
<w:r><w:t xml:space="preserve">properties.  Of these one, ethyl chloride, which was speedily</w:t></w:r>
</w:p>
<w:p>
<w:pPr><w:pStyle w:val="Normal"/></w:pPr>
<w:r><w:t xml:space="preserve">given up, has come into deserved prominence at the present time;</w:t></w:r>
</w:p>
<w:p>
<w:pPr><w:pStyle w:val="Normal"/></w:pPr>
<w:r><w:t xml:space="preserve">and another, nitrous oxide, which had been lost sight of since</w:t></w:r>
</w:p>
<w:p>
<w:pPr><w:pStyle w:val="Normal"/></w:pPr>
<w:r><w:t xml:space="preserve">Wells&apos;s failure at Boston, was reintroduced, and it became and</w:t></w:r>
</w:p>
<w:p>
<w:pPr><w:pStyle w:val="Normal"/></w:pPr>
<w:r><w:t xml:space="preserve">has remained the most popular anaesthetic in dental practice.</w:t></w:r>
</w:p>
<w:p>
<w:pPr><w:pStyle w:val="Normal"/></w:pPr>
<w:r><w:t xml:space="preserve">Since 1876 no new drugs have been introduced; the progress</w:t></w:r>
</w:p>
<w:p>
<w:pPr><w:pStyle w:val="Normal"/></w:pPr>
<w:r><w:t xml:space="preserve">has been in the direction of improvements in the technique of</w:t></w:r>
</w:p>
<w:p>
<w:pPr><w:pStyle w:val="Normal"/></w:pPr>
<w:r><w:t xml:space="preserve">anaesthetization.  The most important of these is the</w:t></w:r>
</w:p>
<w:p>
<w:pPr><w:pStyle w:val="Normal"/></w:pPr>
<w:r><w:t xml:space="preserve">administration of oxygen with nitrous oxide, resulting from</w:t></w:r>
</w:p>
<w:p>
<w:pPr><w:pStyle w:val="Normal"/></w:pPr>
<w:r><w:t xml:space="preserve">the recognition of the fact that this drug does not owe its</w:t></w:r>
</w:p>
<w:p>
<w:pPr><w:pStyle w:val="Normal"/></w:pPr>
<w:r><w:t xml:space="preserve">anaesthetic properties to partial asphyxia, as was thought</w:t></w:r>
</w:p>
<w:p>
<w:pPr><w:pStyle w:val="Normal"/></w:pPr>
<w:r><w:t xml:space="preserve">till the contrary was shown by Edmund Andrews of Chicago in</w:t></w:r>
</w:p>
<w:p>
<w:pPr><w:pStyle w:val="Normal"/></w:pPr>
<w:r><w:t xml:space="preserve">1868.  It was not till twenty years later that this knowledge</w:t></w:r>
</w:p>
<w:p>
<w:pPr><w:pStyle w:val="Normal"/></w:pPr>
<w:r><w:t xml:space="preserve">was put to practical use, when F. W. Hewett introduced</w:t></w:r>
</w:p>
<w:p>
<w:pPr><w:pStyle w:val="Normal"/></w:pPr>
<w:r><w:t xml:space="preserve">his regulating stopcock, which enabled the anaesthetist to</w:t></w:r>
</w:p>
<w:p>
<w:pPr><w:pStyle w:val="Normal"/></w:pPr>
<w:r><w:t xml:space="preserve">exhibit the nitrous oxide and oxygen in such proportions as</w:t></w:r>
</w:p>
<w:p>
<w:pPr><w:pStyle w:val="Normal"/></w:pPr>
<w:r><w:t xml:space="preserve">were demanded by the patient&apos;s condition.  At the present</w:t></w:r>
</w:p>
<w:p>
<w:pPr><w:pStyle w:val="Normal"/></w:pPr>
<w:r><w:t xml:space="preserve">time the anaesthetics in common use are the following:--</w:t></w:r>
</w:p>
<w:p>
<w:pPr><w:pStyle w:val="Normal"/></w:pPr>
<w:r><w:t xml:space="preserve">(1) Nitrous oxide gas, or laughing gas, N2O.  This is a</w:t></w:r>
</w:p>
<w:p>
<w:pPr><w:pStyle w:val="Normal"/></w:pPr>
<w:r><w:t xml:space="preserve">colourless, odourless gas, which for convenience is carried</w:t></w:r>
</w:p>
<w:p>
<w:pPr><w:pStyle w:val="Normal"/></w:pPr>
<w:r><w:t xml:space="preserve">about in liquid form in iron cylinders.  When about to be used,</w:t></w:r>
</w:p>
<w:p>
<w:pPr><w:pStyle w:val="Normal"/></w:pPr>
<w:r><w:t xml:space="preserve">it is allowed to escape into a large rubber bag, connected</w:t></w:r>
</w:p>
<w:p>
<w:pPr><w:pStyle w:val="Normal"/></w:pPr>
<w:r><w:t xml:space="preserve">with a closely- fitting face-piece, which covers up the nose</w:t></w:r>
</w:p>
<w:p>
<w:pPr><w:pStyle w:val="Normal"/></w:pPr>
<w:r><w:t xml:space="preserve">and mouth, and allows of inspiration only from the bag of</w:t></w:r>
</w:p>
<w:p>
<w:pPr><w:pStyle w:val="Normal"/></w:pPr>
<w:r><w:t xml:space="preserve">gas, expiration being into the air.  When thus given the</w:t></w:r>
</w:p>
<w:p>
<w:pPr><w:pStyle w:val="Normal"/></w:pPr>
<w:r><w:t xml:space="preserve">patient is exposed to a certain degree of asphyxia.  This</w:t></w:r>
</w:p>
<w:p>
<w:pPr><w:pStyle w:val="Normal"/></w:pPr>
<w:r><w:t xml:space="preserve">asphyxia is not only not necessary but is harmful, and may</w:t></w:r>
</w:p>
<w:p>
<w:pPr><w:pStyle w:val="Normal"/></w:pPr>
<w:r><w:t xml:space="preserve">be obviated by giving oxygen in small amounts simultaneously</w:t></w:r>
</w:p>
<w:p>
<w:pPr><w:pStyle w:val="Normal"/></w:pPr>
<w:r><w:t xml:space="preserve">by means of Hewett&apos;s regulating stopcock.  This drug is used</w:t></w:r>
</w:p>
<w:p>
<w:pPr><w:pStyle w:val="Normal"/></w:pPr>
<w:r><w:t xml:space="preserve">chiefly for dental operations, and for minor surgery where</w:t></w:r>
</w:p>
<w:p>
<w:pPr><w:pStyle w:val="Normal"/></w:pPr>
<w:r><w:t xml:space="preserve">absolute muscular relaxation is not required.  When mixed</w:t></w:r>
</w:p>
<w:p>
<w:pPr><w:pStyle w:val="Normal"/></w:pPr>
<w:r><w:t xml:space="preserve">with oxygen, it can he given if necessary for an hour or</w:t></w:r>
</w:p>
<w:p>
<w:pPr><w:pStyle w:val="Normal"/></w:pPr>
<w:r><w:t xml:space="preserve">longer.  It has an induction period of a few breaths only,</w:t></w:r>
</w:p>
<w:p>
<w:pPr><w:pStyle w:val="Normal"/></w:pPr>
<w:r><w:t xml:space="preserve">and the recovery is as a rule unaccompanied by excitement or</w:t></w:r>
</w:p>
<w:p>
<w:pPr><w:pStyle w:val="Normal"/></w:pPr>
<w:r><w:t xml:space="preserve">nausea.  It is also used as a preliminary to ether; the gas</w:t></w:r>
</w:p>
<w:p>
<w:pPr><w:pStyle w:val="Normal"/></w:pPr>
<w:r><w:t xml:space="preserve">is given till unconsciousness is reached, the unpleasant</w:t></w:r>
</w:p>
<w:p>
<w:pPr><w:pStyle w:val="Normal"/></w:pPr>
<w:r><w:t xml:space="preserve">taste of the ether being thus avoided and the induction</w:t></w:r>
</w:p>
<w:p>
<w:pPr><w:pStyle w:val="Normal"/></w:pPr>
<w:r><w:t xml:space="preserve">period shortened.  The mortality from nitrous oxide is</w:t></w:r>
</w:p>
<w:p>
<w:pPr><w:pStyle w:val="Normal"/></w:pPr>
<w:r><w:t xml:space="preserve">small, and from the gas and oxygen in expert hands nil.</w:t></w:r>
</w:p>
<w:p>
<w:pPr><w:pStyle w:val="Normal"/></w:pPr>
<w:r><w:t xml:space="preserve">(2) Ethyl chloride, C2H5Cl, a colourless liquid of a pleasant</w:t></w:r>
</w:p>
<w:p>
<w:pPr><w:pStyle w:val="Normal"/></w:pPr>
<w:r><w:t xml:space="preserve">odour, boiling at 12.5 deg.  C. It is used in the same class</w:t></w:r>
</w:p>
<w:p>
<w:pPr><w:pStyle w:val="Normal"/></w:pPr>
<w:r><w:t xml:space="preserve">of operations as the last anaesthetic.  It is best given in</w:t></w:r>
</w:p>
<w:p>
<w:pPr><w:pStyle w:val="Normal"/></w:pPr>
<w:r><w:t xml:space="preserve">an apparatus that consists of a mask closely adapted to the</w:t></w:r>
</w:p>
<w:p>
<w:pPr><w:pStyle w:val="Normal"/></w:pPr>
<w:r><w:t xml:space="preserve">face, and a rubber bag of small capacity, with which is</w:t></w:r>
</w:p>
<w:p>
<w:pPr><w:pStyle w:val="Normal"/></w:pPr>
<w:r><w:t xml:space="preserve">connected the bottle containing the ethyl chloride.  The vapour</w:t></w:r>
</w:p>
<w:p>
<w:pPr><w:pStyle w:val="Normal"/></w:pPr>
<w:r><w:t xml:space="preserve">supplied from the bottle is breathed backwards and forwards</w:t></w:r>
</w:p>
<w:p>
<w:pPr><w:pStyle w:val="Normal"/></w:pPr>
<w:r><w:t xml:space="preserve">from the bag, fresh air being admitted in small quantities</w:t></w:r>
</w:p>
<w:p>
<w:pPr><w:pStyle w:val="Normal"/></w:pPr>
<w:r><w:t xml:space="preserve">only.  The period of induction is shorter than in the case of</w:t></w:r>
</w:p>
<w:p>
<w:pPr><w:pStyle w:val="Normal"/></w:pPr>
<w:r><w:t xml:space="preserve">nitrous oxide, the patient losing consciousness in two or three</w:t></w:r>
</w:p>
<w:p>
<w:pPr><w:pStyle w:val="Normal"/></w:pPr>
<w:r><w:t xml:space="preserve">breaths; the stage of recovery is not so uniformly pleasant,</w:t></w:r>
</w:p>
<w:p>
<w:pPr><w:pStyle w:val="Normal"/></w:pPr>
<w:r><w:t xml:space="preserve">headache, nausea and vomiting occurring not infrequently.</w:t></w:r>
</w:p>
<w:p>
<w:pPr><w:pStyle w:val="Normal"/></w:pPr>
<w:r><w:t xml:space="preserve">It is difficult at present to estimate the mortality, as</w:t></w:r>
</w:p>
<w:p>
<w:pPr><w:pStyle w:val="Normal"/></w:pPr>
<w:r><w:t xml:space="preserve">it has only recently come into general use, but it seems to</w:t></w:r>
</w:p>
<w:p>
<w:pPr><w:pStyle w:val="Normal"/></w:pPr>
<w:r><w:t xml:space="preserve">occupy an intermediate position between ether and chloroform.</w:t></w:r>
</w:p>
<w:p>
<w:pPr><w:pStyle w:val="Normal"/></w:pPr>
<w:r><w:t xml:space="preserve">(3) Ether, or ethyl oxide, (C2H5)2O, a colourless, volatile</w:t></w:r>
</w:p>
<w:p>
<w:pPr><w:pStyle w:val="Normal"/></w:pPr>
<w:r><w:t xml:space="preserve">liquid, boiling at 36.5 deg.  C. It has a pungent odour.  It is best</w:t></w:r>
</w:p>
<w:p>
<w:pPr><w:pStyle w:val="Normal"/></w:pPr>
<w:r><w:t xml:space="preserve">administered, as in the case of ethyl chloride, by limiting the</w:t></w:r>
</w:p>
<w:p>
<w:pPr><w:pStyle w:val="Normal"/></w:pPr>
<w:r><w:t xml:space="preserve">amount of air during inhalation.  The induction is much slower</w:t></w:r>
</w:p>
<w:p>
<w:pPr><w:pStyle w:val="Normal"/></w:pPr>
<w:r><w:t xml:space="preserve">than in the case of the last two drugs, and it is accompanied</w:t></w:r>
</w:p>
<w:p>
<w:pPr><w:pStyle w:val="Normal"/></w:pPr>
<w:r><w:t xml:space="preserve">by a feeling of suffocation, owing to the pungent odour of the</w:t></w:r>
</w:p>
<w:p>
<w:pPr><w:pStyle w:val="Normal"/></w:pPr>
<w:r><w:t xml:space="preserve">ether.  On that account the anaesthetic is best started with</w:t></w:r>
</w:p>
<w:p>
<w:pPr><w:pStyle w:val="Normal"/></w:pPr>
<w:r><w:t xml:space="preserve">nitrous oxide or ethyl chloride.  The recovery is always</w:t></w:r>
</w:p>
<w:p>
<w:pPr><w:pStyle w:val="Normal"/></w:pPr>
<w:r><w:t xml:space="preserve">marked by some nausea and very frequently by vomiting.  The</w:t></w:r>
</w:p>
<w:p>
<w:pPr><w:pStyle w:val="Normal"/></w:pPr>
<w:r><w:t xml:space="preserve">mortality is small during the actual operation, but fatalities</w:t></w:r>
</w:p>
<w:p>
<w:pPr><w:pStyle w:val="Normal"/></w:pPr>
<w:r><w:t xml:space="preserve">from respiratory complications later on are not uncommon.</w:t></w:r>
</w:p>
<w:p>
<w:pPr><w:pStyle w:val="Normal"/></w:pPr>
<w:r><w:t xml:space="preserve">(4) Chloroform, CHCl3, a colourless liquid of a penetrating</w:t></w:r>
</w:p>
<w:p>
<w:pPr><w:pStyle w:val="Normal"/></w:pPr>
<w:r><w:t xml:space="preserve">odour, boiling at 63 deg.  C. It is administered in such a way</w:t></w:r>
</w:p>
<w:p>
<w:pPr><w:pStyle w:val="Normal"/></w:pPr>
<w:r><w:t xml:space="preserve">as to ensure the free admixture of air.  To secure this</w:t></w:r>
</w:p>
<w:p>
<w:pPr><w:pStyle w:val="Normal"/></w:pPr>
<w:r><w:t xml:space="preserve">the face-piece must be loosely-fitting, and the strength of</w:t></w:r>
</w:p>
<w:p>
<w:pPr><w:pStyle w:val="Normal"/></w:pPr>
<w:r><w:t xml:space="preserve">the vapour so gradually increased that the patient is never</w:t></w:r>
</w:p>
<w:p>
<w:pPr><w:pStyle w:val="Normal"/></w:pPr>
<w:r><w:t xml:space="preserve">inconvenienced or impelled to hold the breath.  The induction</w:t></w:r>
</w:p>
<w:p>
<w:pPr><w:pStyle w:val="Normal"/></w:pPr>
<w:r><w:t xml:space="preserve">is slow, occupying two or more minutes, but it is not at all</w:t></w:r>
</w:p>
<w:p>
<w:pPr><w:pStyle w:val="Normal"/></w:pPr>
<w:r><w:t xml:space="preserve">unpleasant; nausea and vomiting during recovery are rarer</w:t></w:r>
</w:p>
<w:p>
<w:pPr><w:pStyle w:val="Normal"/></w:pPr>
<w:r><w:t xml:space="preserve">than in the case of ether, but if they do occur they last</w:t></w:r>
</w:p>
<w:p>
<w:pPr><w:pStyle w:val="Normal"/></w:pPr>
<w:r><w:t xml:space="preserve">longer.  The mortality on the table is about 1 in 2500.</w:t></w:r>
</w:p>
<w:p>
<w:pPr><w:pStyle w:val="Normal"/></w:pPr>
<w:r><w:t xml:space="preserve">The question as to which is the better anaesthetic, ether</w:t></w:r>
</w:p>
<w:p>
<w:pPr><w:pStyle w:val="Normal"/></w:pPr>
<w:r><w:t xml:space="preserve">or chloroform, for long operations, is a moot point.  In</w:t></w:r>
</w:p>
<w:p>
<w:pPr><w:pStyle w:val="Normal"/></w:pPr>
<w:r><w:t xml:space="preserve">the hands of an experienced anaesthetist there is probably</w:t></w:r>
</w:p>
<w:p>
<w:pPr><w:pStyle w:val="Normal"/></w:pPr>
<w:r><w:t xml:space="preserve">nothing to choose as regards safety, and the anaesthetic</w:t></w:r>
</w:p>
<w:p>
<w:pPr><w:pStyle w:val="Normal"/></w:pPr>
<w:r><w:t xml:space="preserve">advantages of the latter are incontestable.  In the hands of</w:t></w:r>
</w:p>
<w:p>
<w:pPr><w:pStyle w:val="Normal"/></w:pPr>
<w:r><w:t xml:space="preserve">the less-experienced anaesthetist, ether is the more suitable</w:t></w:r>
</w:p>
<w:p>
<w:pPr><w:pStyle w:val="Normal"/></w:pPr>
<w:r><w:t xml:space="preserve">drug.  At the extremes of life, chloroform is well taken,</w:t></w:r>
</w:p>
<w:p>
<w:pPr><w:pStyle w:val="Normal"/></w:pPr>
<w:r><w:t xml:space="preserve">as it is also by women in labour, and it is indicated where</w:t></w:r>
</w:p>
<w:p>
<w:pPr><w:pStyle w:val="Normal"/></w:pPr>
<w:r><w:t xml:space="preserve">there has been recent inflammation of the air passages.  In</w:t></w:r>
</w:p>
<w:p>
<w:pPr><w:pStyle w:val="Normal"/></w:pPr>
<w:r><w:t xml:space="preserve">operations, too, about the mouth, chloroform must be the drug</w:t></w:r>
</w:p>
<w:p>
<w:pPr><w:pStyle w:val="Normal"/></w:pPr>
<w:r><w:t xml:space="preserve">used, as a closely-fitting mask is obviously impossible.</w:t></w:r>
</w:p>
<w:p>
<w:pPr><w:pStyle w:val="Normal"/></w:pPr>
<w:r><w:t xml:space="preserve">The introduction by inhalation of any of the above drugs into</w:t></w:r>
</w:p>
<w:p>
<w:pPr><w:pStyle w:val="Normal"/></w:pPr>
<w:r><w:t xml:space="preserve">the organism produces an anaesthesia, the degree of which at</w:t></w:r>
</w:p>
<w:p>
<w:pPr><w:pStyle w:val="Normal"/></w:pPr>
<w:r><w:t xml:space="preserve">any moment varies directly as the amount or tension of the</w:t></w:r>
</w:p>
<w:p>
<w:pPr><w:pStyle w:val="Normal"/></w:pPr>
<w:r><w:t xml:space="preserve">vapour in the blood, and therefore also as the tension of</w:t></w:r>
</w:p>
<w:p>
<w:pPr><w:pStyle w:val="Normal"/></w:pPr>
<w:r><w:t xml:space="preserve">the vapour in the inspired air.  The organism in this case</w:t></w:r>
</w:p>
<w:p>
<w:pPr><w:pStyle w:val="Normal"/></w:pPr>
<w:r><w:t xml:space="preserve">may be compared to an electric lamp, of which the voltage</w:t></w:r>
</w:p>
<w:p>
<w:pPr><w:pStyle w:val="Normal"/></w:pPr>
<w:r><w:t xml:space="preserve">is, say 100; a current of any less voltage will only produce</w:t></w:r>
</w:p>
<w:p>
<w:pPr><w:pStyle w:val="Normal"/></w:pPr>
<w:r><w:t xml:space="preserve">a red heat, however many amperes are forced through; with</w:t></w:r>
</w:p>
<w:p>
<w:pPr><w:pStyle w:val="Normal"/></w:pPr>
<w:r><w:t xml:space="preserve">the voltage at 100 the filament will be white hot, at over</w:t></w:r>
</w:p>
<w:p>
<w:pPr><w:pStyle w:val="Normal"/></w:pPr>
<w:r><w:t xml:space="preserve">100 the filament will fuse.  So with these drugs: with the</w:t></w:r>
</w:p>
<w:p>
<w:pPr><w:pStyle w:val="Normal"/></w:pPr>
<w:r><w:t xml:space="preserve">vapour at a low tension a certain low depth of anaesthesia</w:t></w:r>
</w:p>
<w:p>
<w:pPr><w:pStyle w:val="Normal"/></w:pPr>
<w:r><w:t xml:space="preserve">is obtained; if the administrator increases the tension,</w:t></w:r>
</w:p>
<w:p>
<w:pPr><w:pStyle w:val="Normal"/></w:pPr>
<w:r><w:t xml:space="preserve">true surgical anaesthesia is produced; if he increases it</w:t></w:r>
</w:p>
<w:p>
<w:pPr><w:pStyle w:val="Normal"/></w:pPr>
<w:r><w:t xml:space="preserve">again, the filament fuses and the patient dies.  This is the</w:t></w:r>
</w:p>
<w:p>
<w:pPr><w:pStyle w:val="Normal"/></w:pPr>
<w:r><w:t xml:space="preserve">principle which guides the anaesthetist; it is the quality of</w:t></w:r>
</w:p>
<w:p>
<w:pPr><w:pStyle w:val="Normal"/></w:pPr>
<w:r><w:t xml:space="preserve">the vapour that decides the depth of the anaesthesia, not the</w:t></w:r>
</w:p>
<w:p>
<w:pPr><w:pStyle w:val="Normal"/></w:pPr>
<w:r><w:t xml:space="preserve">quantity.  An infinite quantity of chloroform may be absorbed</w:t></w:r>
</w:p>
<w:p>
<w:pPr><w:pStyle w:val="Normal"/></w:pPr>
<w:r><w:t xml:space="preserve">with impunity if the tension be low, but a few drops will</w:t></w:r>
</w:p>
<w:p>
<w:pPr><w:pStyle w:val="Normal"/></w:pPr>
<w:r><w:t xml:space="preserve">kill if the tension be high.  For practical purposes four</w:t></w:r>
</w:p>
<w:p>
<w:pPr><w:pStyle w:val="Normal"/></w:pPr>
<w:r><w:t xml:space="preserve">degrees of anaesthesia are described, through which a patient</w:t></w:r>
</w:p>
<w:p>
<w:pPr><w:pStyle w:val="Normal"/></w:pPr>
<w:r><w:t xml:space="preserve">passes from unconsciousness to (in the last resort) death:--</w:t></w:r>
</w:p>
<w:p>
<w:pPr><w:pStyle w:val="Normal"/></w:pPr>
<w:r><w:t xml:space="preserve">(1) A state of disordered consciousness, with analgesia;</w:t></w:r>
</w:p>
<w:p>
<w:pPr><w:pStyle w:val="Normal"/></w:pPr>
<w:r><w:t xml:space="preserve">the patient&apos;s ideas are confused, the special senses are</w:t></w:r>
</w:p>
<w:p>
<w:pPr><w:pStyle w:val="Normal"/></w:pPr>
<w:r><w:t xml:space="preserve">disturbed, and though the application of stimuli to the</w:t></w:r>
</w:p>
<w:p>
<w:pPr><w:pStyle w:val="Normal"/></w:pPr>
<w:r><w:t xml:space="preserve">skin causes no mental impression, yet in response to</w:t></w:r>
</w:p>
<w:p>
<w:pPr><w:pStyle w:val="Normal"/></w:pPr>
<w:r><w:t xml:space="preserve">them there may be what look like purposeful movements.</w:t></w:r>
</w:p>
<w:p>
<w:pPr><w:pStyle w:val="Normal"/></w:pPr>
<w:r><w:t xml:space="preserve">(2) In the second stage there is complete loss of consciousness;</w:t></w:r>
</w:p>
<w:p>
<w:pPr><w:pStyle w:val="Normal"/></w:pPr>
<w:r><w:t xml:space="preserve">and though the reflexes persist, the movements in response to</w:t></w:r>
</w:p>
<w:p>
<w:pPr><w:pStyle w:val="Normal"/></w:pPr>
<w:r><w:t xml:space="preserve">the stimuli are purposeless.  The muscles generally act strongly.</w:t></w:r>
</w:p>
<w:p>
<w:pPr><w:pStyle w:val="Normal"/></w:pPr>
<w:r><w:t xml:space="preserve">(3) The stage of surgical anaesthesia; there is a</w:t></w:r>
</w:p>
<w:p>
<w:pPr><w:pStyle w:val="Normal"/></w:pPr>
<w:r><w:t xml:space="preserve">general muscular relaxation, with the loss of many of the</w:t></w:r>
</w:p>
<w:p>
<w:pPr><w:pStyle w:val="Normal"/></w:pPr>
<w:r><w:t xml:space="preserve">reflexes, i.e. an operation may be performed without</w:t></w:r>
</w:p>
<w:p>
<w:pPr><w:pStyle w:val="Normal"/></w:pPr>
<w:r><w:t xml:space="preserve">evoking any movement on the part of the patient, while</w:t></w:r>
</w:p>
<w:p>
<w:pPr><w:pStyle w:val="Normal"/></w:pPr>
<w:r><w:t xml:space="preserve">the vital reflexes and the vital centres in the medulla</w:t></w:r>
</w:p>
<w:p>
<w:pPr><w:pStyle w:val="Normal"/></w:pPr>
<w:r><w:t xml:space="preserve">are still active, and the heart muscle is not paralysed.</w:t></w:r>
</w:p>
<w:p>
<w:pPr><w:pStyle w:val="Normal"/></w:pPr>
<w:r><w:t xml:space="preserve">(4) Finally, the stage of paralysis of the medulla, when</w:t></w:r>
</w:p>
<w:p>
<w:pPr><w:pStyle w:val="Normal"/></w:pPr>
<w:r><w:t xml:space="preserve">the respiratory and circulatory centres are paralysed,</w:t></w:r>
</w:p>
<w:p>
<w:pPr><w:pStyle w:val="Normal"/></w:pPr>
<w:r><w:t xml:space="preserve">and the heart muscle itself is poisoned and death ensues.</w:t></w:r>
</w:p>
<w:p>
<w:pPr><w:pStyle w:val="Normal"/></w:pPr>
<w:r><w:t xml:space="preserve">The aim of the anaesthetist is to keep the patient in the</w:t></w:r>
</w:p>
<w:p>
<w:pPr><w:pStyle w:val="Normal"/></w:pPr>
<w:r><w:t xml:space="preserve">third degree of anaesthesia, thus avoiding the movements</w:t></w:r>
</w:p>
<w:p>
<w:pPr><w:pStyle w:val="Normal"/></w:pPr>
<w:r><w:t xml:space="preserve">of the second and the dangers of the fourth; he therefore</w:t></w:r>
</w:p>
<w:p>
<w:pPr><w:pStyle w:val="Normal"/></w:pPr>
<w:r><w:t xml:space="preserve">keeps the patient under close observation, and by watching</w:t></w:r>
</w:p>
<w:p>
<w:pPr><w:pStyle w:val="Normal"/></w:pPr>
<w:r><w:t xml:space="preserve">the respiration, pulse and facial aspect, is able to judge</w:t></w:r>
</w:p>
<w:p>
<w:pPr><w:pStyle w:val="Normal"/></w:pPr>
<w:r><w:t xml:space="preserve">the condition of the respiration and circulation.  He has</w:t></w:r>
</w:p>
<w:p>
<w:pPr><w:pStyle w:val="Normal"/></w:pPr>
<w:r><w:t xml:space="preserve">a further guide in the lid- reflex, i.e. the movement of</w:t></w:r>
</w:p>
<w:p>
<w:pPr><w:pStyle w:val="Normal"/></w:pPr>
<w:r><w:t xml:space="preserve">the eyelid when the globe is touched; this and the size of</w:t></w:r>
</w:p>
<w:p>
<w:pPr><w:pStyle w:val="Normal"/></w:pPr>
<w:r><w:t xml:space="preserve">the pupil tell him to what extent the central nervous system</w:t></w:r>
</w:p>
<w:p>
<w:pPr><w:pStyle w:val="Normal"/></w:pPr>
<w:r><w:t xml:space="preserve">is depressed and complete the information he requires.</w:t></w:r>
</w:p>
<w:p>
<w:pPr><w:pStyle w:val="Normal"/></w:pPr>
<w:r><w:t xml:space="preserve">It will have been observed that the administration of</w:t></w:r>
</w:p>
<w:p>
<w:pPr><w:pStyle w:val="Normal"/></w:pPr>
<w:r><w:t xml:space="preserve">the above drugs is by inhalation, and has to be continued</w:t></w:r>
</w:p>
<w:p>
<w:pPr><w:pStyle w:val="Normal"/></w:pPr>
<w:r><w:t xml:space="preserve">throughout the operation, the reason being that all the drugs</w:t></w:r>
</w:p>
<w:p>
<w:pPr><w:pStyle w:val="Normal"/></w:pPr>
<w:r><w:t xml:space="preserve">are as rapidly excreted as they are absorbed, especially</w:t></w:r>
</w:p>
<w:p>
<w:pPr><w:pStyle w:val="Normal"/></w:pPr>
<w:r><w:t xml:space="preserve">by the lungs, and therefore no other method would be of any</w:t></w:r>
</w:p>
<w:p>
<w:pPr><w:pStyle w:val="Normal"/></w:pPr>
<w:r><w:t xml:space="preserve">avail.  That there are drugs which are sufficiently slowly</w:t></w:r>
</w:p>
<w:p>
<w:pPr><w:pStyle w:val="Normal"/></w:pPr>
<w:r><w:t xml:space="preserve">eliminated to allow of an operation being performed between</w:t></w:r>
</w:p>
<w:p>
<w:pPr><w:pStyle w:val="Normal"/></w:pPr>
<w:r><w:t xml:space="preserve">the moment of induction and that of recovery, cannot be</w:t></w:r>
</w:p>
<w:p>
<w:pPr><w:pStyle w:val="Normal"/></w:pPr>
<w:r><w:t xml:space="preserve">doubted, and their discovery and use can only be a matter of</w:t></w:r>
</w:p>
<w:p>
<w:pPr><w:pStyle w:val="Normal"/></w:pPr>
<w:r><w:t xml:space="preserve">time.  Even at the present time there is one, urethane,</w:t></w:r>
</w:p>
<w:p>
<w:pPr><w:pStyle w:val="Normal"/></w:pPr>
<w:r><w:t xml:space="preserve">which, if injected with a hypodermic needle, soon produces</w:t></w:r>
</w:p>
<w:p>
<w:pPr><w:pStyle w:val="Normal"/></w:pPr>
<w:r><w:t xml:space="preserve">a profound general anaesthesia.  It has only been used</w:t></w:r>
</w:p>
<w:p>
<w:pPr><w:pStyle w:val="Normal"/></w:pPr>
<w:r><w:t xml:space="preserve">on the lower animals, as its depressing effect on the</w:t></w:r>
</w:p>
<w:p>
<w:pPr><w:pStyle w:val="Normal"/></w:pPr>
<w:r><w:t xml:space="preserve">respiratory centre contra-indicates its use in human beings.</w:t></w:r>
</w:p>
<w:p>
<w:pPr><w:pStyle w:val="Normal"/></w:pPr>
<w:r><w:t xml:space="preserve">Local Anaesthesia.--Much attention has recently been devoted</w:t></w:r>
</w:p>
<w:p>
<w:pPr><w:pStyle w:val="Normal"/></w:pPr>
<w:r><w:t xml:space="preserve">to the discovery of methods by which the insensibility may be</w:t></w:r>
</w:p>
<w:p>
<w:pPr><w:pStyle w:val="Normal"/></w:pPr>
<w:r><w:t xml:space="preserve">confined to the area of operation and the loss of consciousness</w:t></w:r>
</w:p>
<w:p>
<w:pPr><w:pStyle w:val="Normal"/></w:pPr>
<w:r><w:t xml:space="preserve">avoided.  Such a procedure has been common for many years</w:t></w:r>
</w:p>
<w:p>
<w:pPr><w:pStyle w:val="Normal"/></w:pPr>
<w:r><w:t xml:space="preserve">for small operations, but it is only lately that it has</w:t></w:r>
</w:p>
<w:p>
<w:pPr><w:pStyle w:val="Normal"/></w:pPr>
<w:r><w:t xml:space="preserve">been successfully applied to the severer ones.  It is very</w:t></w:r>
</w:p>
<w:p>
<w:pPr><w:pStyle w:val="Normal"/></w:pPr>
<w:r><w:t xml:space="preserve">doubtful whether local anaesthesia will ever replace general</w:t></w:r>
</w:p>
<w:p>
<w:pPr><w:pStyle w:val="Normal"/></w:pPr>
<w:r><w:t xml:space="preserve">in the latter class.  Though the preliminary starvation is</w:t></w:r>
</w:p>
<w:p>
<w:pPr><w:pStyle w:val="Normal"/></w:pPr>
<w:r><w:t xml:space="preserve">avoided, and the patient has the shock of operation alone to</w:t></w:r>
</w:p>
<w:p>
<w:pPr><w:pStyle w:val="Normal"/></w:pPr>
<w:r><w:t xml:space="preserve">recover from, without the cardiac depression resulting from</w:t></w:r>
</w:p>
<w:p>
<w:pPr><w:pStyle w:val="Normal"/></w:pPr>
<w:r><w:t xml:space="preserve">the anaesthetic during the operation, the patient, unless</w:t></w:r>
</w:p>
<w:p>
<w:pPr><w:pStyle w:val="Normal"/></w:pPr>
<w:r><w:t xml:space="preserve">of a very apathetic temperament, is in that state of severe</w:t></w:r>
</w:p>
<w:p>
<w:pPr><w:pStyle w:val="Normal"/></w:pPr>
<w:r><w:t xml:space="preserve">nervous strain, when any unexpected movement or remark, or</w:t></w:r>
</w:p>
<w:p>
<w:pPr><w:pStyle w:val="Normal"/></w:pPr>
<w:r><w:t xml:space="preserve">sight of a soiled instrument, may produce an alarming or fatal</w:t></w:r>
</w:p>
<w:p>
<w:pPr><w:pStyle w:val="Normal"/></w:pPr>
<w:r><w:t xml:space="preserve">syncope.  The earliest local anaesthetic was cold, produced</w:t></w:r>
</w:p>
<w:p>
<w:pPr><w:pStyle w:val="Normal"/></w:pPr>
<w:r><w:t xml:space="preserve">by a mixture of ice and salt.  In place of this cumbersome</w:t></w:r>
</w:p>
<w:p>
<w:pPr><w:pStyle w:val="Normal"/></w:pPr>
<w:r><w:t xml:space="preserve">method, the skin is now frozen by means of a fine spray of</w:t></w:r>
</w:p>
<w:p>
<w:pPr><w:pStyle w:val="Normal"/></w:pPr>
<w:r><w:t xml:space="preserve">ether or ethyl chloride directed upon it.  The spraying is</w:t></w:r>
</w:p>
<w:p>
<w:pPr><w:pStyle w:val="Normal"/></w:pPr>
<w:r><w:t xml:space="preserve">discontinued when the skin becomes white, and it is then</w:t></w:r>
</w:p>
<w:p>
<w:pPr><w:pStyle w:val="Normal"/></w:pPr>
<w:r><w:t xml:space="preserve">allowed to regain its colour.  The moment this occurs the</w:t></w:r>
</w:p>
<w:p>
<w:pPr><w:pStyle w:val="Normal"/></w:pPr>
<w:r><w:t xml:space="preserve">incision is made and will be quite painless.  The recovery,</w:t></w:r>
</w:p>
<w:p>
<w:pPr><w:pStyle w:val="Normal"/></w:pPr>
<w:r><w:t xml:space="preserve">like that from any other frost-bite, is very painful, and</w:t></w:r>
</w:p>
<w:p>
<w:pPr><w:pStyle w:val="Normal"/></w:pPr>
<w:r><w:t xml:space="preserve">the time during which an operation can be done is very short;</w:t></w:r>
</w:p>
<w:p>
<w:pPr><w:pStyle w:val="Normal"/></w:pPr>
<w:r><w:t xml:space="preserve">consequently this method has been very largely superseded by</w:t></w:r>
</w:p>
<w:p>
<w:pPr><w:pStyle w:val="Normal"/></w:pPr>
<w:r><w:t xml:space="preserve">the use of drugs.  The drugs chiefly used are cocaine and its</w:t></w:r>
</w:p>
<w:p>
<w:pPr><w:pStyle w:val="Normal"/></w:pPr>
<w:r><w:t xml:space="preserve">derivatives.  Cocaine has by far the highest anaesthetic</w:t></w:r>
</w:p>
<w:p>
<w:pPr><w:pStyle w:val="Normal"/></w:pPr>
<w:r><w:t xml:space="preserve">properties; it is, however, in certain individuals a most</w:t></w:r>
</w:p>
<w:p>
<w:pPr><w:pStyle w:val="Normal"/></w:pPr>
<w:r><w:t xml:space="preserve">powerful cardiac depressant and has caused numerous fatalities,</w:t></w:r>
</w:p>
<w:p>
<w:pPr><w:pStyle w:val="Normal"/></w:pPr>
<w:r><w:t xml:space="preserve">and further, it cannot be sterilized by heat, as it undergoes</w:t></w:r>
</w:p>
<w:p>
<w:pPr><w:pStyle w:val="Normal"/></w:pPr>
<w:r><w:t xml:space="preserve">decomposition.  Eucaine has now largely taken its place,</w:t></w:r>
</w:p>
<w:p>
<w:pPr><w:pStyle w:val="Normal"/></w:pPr>
<w:r><w:t xml:space="preserve">though its anaesthetic properties are less; it is, however,</w:t></w:r>
</w:p>
<w:p>
<w:pPr><w:pStyle w:val="Normal"/></w:pPr>
<w:r><w:t xml:space="preserve">less toxic, and can be sterilized by heat.  In combination</w:t></w:r>
</w:p>
<w:p>
<w:pPr><w:pStyle w:val="Normal"/></w:pPr>
<w:r><w:t xml:space="preserve">with these drugs there is usually given some of the extract</w:t></w:r>
</w:p>
<w:p>
<w:pPr><w:pStyle w:val="Normal"/></w:pPr>
<w:r><w:t xml:space="preserve">of the suprarenal body of the sheep; this substance increases</w:t></w:r>
</w:p>
<w:p>
<w:pPr><w:pStyle w:val="Normal"/></w:pPr>
<w:r><w:t xml:space="preserve">and prolongs the anaesthetic effect by constricting the</w:t></w:r>
</w:p>
<w:p>
<w:pPr><w:pStyle w:val="Normal"/></w:pPr>
<w:r><w:t xml:space="preserve">blood-vessels, the result of which is to reduce the haemorrhage,</w:t></w:r>
</w:p>
<w:p>
<w:pPr><w:pStyle w:val="Normal"/></w:pPr>
<w:r><w:t xml:space="preserve">and also to prevent the too rapid absorption of the drug into</w:t></w:r>
</w:p>
<w:p>
<w:pPr><w:pStyle w:val="Normal"/></w:pPr>
<w:r><w:t xml:space="preserve">the general system, confining it to the area of operation.</w:t></w:r>
</w:p>
<w:p>
<w:pPr><w:pStyle w:val="Normal"/></w:pPr>
<w:r><w:t xml:space="preserve">The chief methods of bringing about local anaesthesia are as follows:--</w:t></w:r>
</w:p>
<w:p>
<w:pPr><w:pStyle w:val="Normal"/></w:pPr>
<w:r><w:t xml:space="preserve">(1) Painting or spraying a solution of the drugs</w:t></w:r>
</w:p>
<w:p>
<w:pPr><w:pStyle w:val="Normal"/></w:pPr>
<w:r><w:t xml:space="preserve">on to the area on which it is proposed to operate.</w:t></w:r>
</w:p>
<w:p>
<w:pPr><w:pStyle w:val="Normal"/></w:pPr>
<w:r><w:t xml:space="preserve">(2) Injection by means of a needle of the</w:t></w:r>
</w:p>
<w:p>
<w:pPr><w:pStyle w:val="Normal"/></w:pPr>
<w:r><w:t xml:space="preserve">solution into the skin and the deeper structures.</w:t></w:r>
</w:p>
<w:p>
<w:pPr><w:pStyle w:val="Normal"/></w:pPr>
<w:r><w:t xml:space="preserve">(3) Spinal analgesia.  The method of inducing analgesia by injecting</w:t></w:r>
</w:p>
<w:p>
<w:pPr><w:pStyle w:val="Normal"/></w:pPr>
<w:r><w:t xml:space="preserve">solutions into the sheath surrounding the spinal cord was devised</w:t></w:r>
</w:p>
<w:p>
<w:pPr><w:pStyle w:val="Normal"/></w:pPr>
<w:r><w:t xml:space="preserve">by Bier in 1898, and for the purpose he employed a solution of</w:t></w:r>
</w:p>
<w:p>
<w:pPr><w:pStyle w:val="Normal"/></w:pPr>
<w:r><w:t xml:space="preserve">cocaine.  It was found, however, that there was considerable</w:t></w:r>
</w:p>
<w:p>
<w:pPr><w:pStyle w:val="Normal"/></w:pPr>
<w:r><w:t xml:space="preserve">danger with this drug, so the method was not adopted to any</w:t></w:r>
</w:p>
<w:p>
<w:pPr><w:pStyle w:val="Normal"/></w:pPr>
<w:r><w:t xml:space="preserve">great extent, until Fourneau discovered stovaine in 1904.</w:t></w:r>
</w:p>
<w:p>
<w:pPr><w:pStyle w:val="Normal"/></w:pPr>
<w:r><w:t xml:space="preserve">The principle involved in spinal anaesthesia is this: that a</w:t></w:r>
</w:p>
<w:p>
<w:pPr><w:pStyle w:val="Normal"/></w:pPr>
<w:r><w:t xml:space="preserve">substance in solution is injected into the sac containing the</w:t></w:r>
</w:p>
<w:p>
<w:pPr><w:pStyle w:val="Normal"/></w:pPr>
<w:r><w:t xml:space="preserve">spinal cord in the lumbar region.  The spinal cord as such</w:t></w:r>
</w:p>
<w:p>
<w:pPr><w:pStyle w:val="Normal"/></w:pPr>
<w:r><w:t xml:space="preserve">ends at the level of the first lumbar vertebra in a leash of</w:t></w:r>
</w:p>
<w:p>
<w:pPr><w:pStyle w:val="Normal"/></w:pPr>
<w:r><w:t xml:space="preserve">nerves termed the cauda equina. When giving an injection</w:t></w:r>
</w:p>
<w:p>
<w:pPr><w:pStyle w:val="Normal"/></w:pPr>
<w:r><w:t xml:space="preserve">there is little danger of injuring these nerves because in</w:t></w:r>
</w:p>
<w:p>
<w:pPr><w:pStyle w:val="Normal"/></w:pPr>
<w:r><w:t xml:space="preserve">this situation there is a space filled with fluid between the</w:t></w:r>
</w:p>
<w:p>
<w:pPr><w:pStyle w:val="Normal"/></w:pPr>
<w:r><w:t xml:space="preserve">wall of the sac and the nerves.  The substances injected, by</w:t></w:r>
</w:p>
<w:p>
<w:pPr><w:pStyle w:val="Normal"/></w:pPr>
<w:r><w:t xml:space="preserve">virtue of their specific action on nervous tissues, cause loss</w:t></w:r>
</w:p>
<w:p>
<w:pPr><w:pStyle w:val="Normal"/></w:pPr>
<w:r><w:t xml:space="preserve">of painful sensations in the lower limbs and for a variable</w:t></w:r>
</w:p>
<w:p>
<w:pPr><w:pStyle w:val="Normal"/></w:pPr>
<w:r><w:t xml:space="preserve">distance up the trunk.  It has been found that the specific</w:t></w:r>
</w:p>
<w:p>
<w:pPr><w:pStyle w:val="Normal"/></w:pPr>
<w:r><w:t xml:space="preserve">gravity of the solution injected has some influence on the</w:t></w:r>
</w:p>
<w:p>
<w:pPr><w:pStyle w:val="Normal"/></w:pPr>
<w:r><w:t xml:space="preserve">height to which the analgesia will extend up the trunk, and this</w:t></w:r>
</w:p>
<w:p>
<w:pPr><w:pStyle w:val="Normal"/></w:pPr>
<w:r><w:t xml:space="preserve">distance can also be controlled by altering the position of the</w:t></w:r>
</w:p>
<w:p>
<w:pPr><w:pStyle w:val="Normal"/></w:pPr>
<w:r><w:t xml:space="preserve">patient.  The canal in which the cord is situated is not a</w:t></w:r>
</w:p>
<w:p>
<w:pPr><w:pStyle w:val="Normal"/></w:pPr>
<w:r><w:t xml:space="preserve">straight tube, but is curved backwards in the sacral and upper</w:t></w:r>
</w:p>
<w:p>
<w:pPr><w:pStyle w:val="Normal"/></w:pPr>
<w:r><w:t xml:space="preserve">dorsal regions, and forwards in the lower dorsal and lumbar</w:t></w:r>
</w:p>
<w:p>
<w:pPr><w:pStyle w:val="Normal"/></w:pPr>
<w:r><w:t xml:space="preserve">regions.  Therefore with the patient lying on his back, any</w:t></w:r>
</w:p>
<w:p>
<w:pPr><w:pStyle w:val="Normal"/></w:pPr>
<w:r><w:t xml:space="preserve">solution injected that has a greater specific gravity than</w:t></w:r>
</w:p>
<w:p>
<w:pPr><w:pStyle w:val="Normal"/></w:pPr>
<w:r><w:t xml:space="preserve">that of the cerebrospinal fluid which bathes the cord, tends</w:t></w:r>
</w:p>
<w:p>
<w:pPr><w:pStyle w:val="Normal"/></w:pPr>
<w:r><w:t xml:space="preserve">to gravitate towards the sacral and upper dorsal regions;</w:t></w:r>
</w:p>
<w:p>
<w:pPr><w:pStyle w:val="Normal"/></w:pPr>
<w:r><w:t xml:space="preserve">and, conversely, any solution of lower specific gravity than</w:t></w:r>
</w:p>
<w:p>
<w:pPr><w:pStyle w:val="Normal"/></w:pPr>
<w:r><w:t xml:space="preserve">that of the cerebrospinal fluid tends to rise and produce</w:t></w:r>
</w:p>
<w:p>
<w:pPr><w:pStyle w:val="Normal"/></w:pPr>
<w:r><w:t xml:space="preserve">analgesia at a still higher level.  In this way the situation</w:t></w:r>
</w:p>
<w:p>
<w:pPr><w:pStyle w:val="Normal"/></w:pPr>
<w:r><w:t xml:space="preserve">of the fluid producing analgesia can be controlled to some</w:t></w:r>
</w:p>
<w:p>
<w:pPr><w:pStyle w:val="Normal"/></w:pPr>
<w:r><w:t xml:space="preserve">extent.  It has been found that a very serious danger exists</w:t></w:r>
</w:p>
<w:p>
<w:pPr><w:pStyle w:val="Normal"/></w:pPr>
<w:r><w:t xml:space="preserve">if the solution passes up to the brain, or even if it passes</w:t></w:r>
</w:p>
<w:p>
<w:pPr><w:pStyle w:val="Normal"/></w:pPr>
<w:r><w:t xml:space="preserve">higher than the sixth cervical nerve.  It is important that</w:t></w:r>
</w:p>
<w:p>
<w:pPr><w:pStyle w:val="Normal"/></w:pPr>
<w:r><w:t xml:space="preserve">the osmotic pressure of the solutions employed should be as</w:t></w:r>
</w:p>
<w:p>
<w:pPr><w:pStyle w:val="Normal"/></w:pPr>
<w:r><w:t xml:space="preserve">nearly as possible that of the cerebrospinal fluid, that is to</w:t></w:r>
</w:p>
<w:p>
<w:pPr><w:pStyle w:val="Normal"/></w:pPr>
<w:r><w:t xml:space="preserve">say, the nearer the solution is isotonic with the cerebrospinal</w:t></w:r>
</w:p>
<w:p>
<w:pPr><w:pStyle w:val="Normal"/></w:pPr>
<w:r><w:t xml:space="preserve">fluid, the better will be the analgesia, and the less will</w:t></w:r>
</w:p>
<w:p>
<w:pPr><w:pStyle w:val="Normal"/></w:pPr>
<w:r><w:t xml:space="preserve">be the harmful effects.  At present it has not been found</w:t></w:r>
</w:p>
<w:p>
<w:pPr><w:pStyle w:val="Normal"/></w:pPr>
<w:r><w:t xml:space="preserve">possible to separate in any of the substances employed the</w:t></w:r>
</w:p>
<w:p>
<w:pPr><w:pStyle w:val="Normal"/></w:pPr>
<w:r><w:t xml:space="preserve">radicle which produces motor effects from that which blocks</w:t></w:r>
</w:p>
<w:p>
<w:pPr><w:pStyle w:val="Normal"/></w:pPr>
<w:r><w:t xml:space="preserve">the advent of sensory stimuli.  Although both effects last</w:t></w:r>
</w:p>
<w:p>
<w:pPr><w:pStyle w:val="Normal"/></w:pPr>
<w:r><w:t xml:space="preserve">only a short time there seems to be a certain risk due to</w:t></w:r>
</w:p>
<w:p>
<w:pPr><w:pStyle w:val="Normal"/></w:pPr>
<w:r><w:t xml:space="preserve">the temporary muscular paralysis, and in a patient with a</w:t></w:r>
</w:p>
<w:p>
<w:pPr><w:pStyle w:val="Normal"/></w:pPr>
<w:r><w:t xml:space="preserve">tendency to bronchitis this is a matter of considerable moment.</w:t></w:r>
</w:p>
<w:p>
<w:pPr><w:pStyle w:val="Normal"/></w:pPr>
<w:r><w:t xml:space="preserve">The fluid is injected in the following manner.  A puncture</w:t></w:r>
</w:p>
<w:p>
<w:pPr><w:pStyle w:val="Normal"/></w:pPr>
<w:r><w:t xml:space="preserve">is made with a special trocar and canula in the lumbar region</w:t></w:r>
</w:p>
<w:p>
<w:pPr><w:pStyle w:val="Normal"/></w:pPr>
<w:r><w:t xml:space="preserve">between the second and third or third and fourth lumbar</w:t></w:r>
</w:p>
<w:p>
<w:pPr><w:pStyle w:val="Normal"/></w:pPr>
<w:r><w:t xml:space="preserve">spines.  The sheath of the sac having been entered, as is</w:t></w:r>
</w:p>
<w:p>
<w:pPr><w:pStyle w:val="Normal"/></w:pPr>
<w:r><w:t xml:space="preserve">evidenced by the loss of resistance to the point of the</w:t></w:r>
</w:p>
<w:p>
<w:pPr><w:pStyle w:val="Normal"/></w:pPr>
<w:r><w:t xml:space="preserve">trocar, and by the fact that cerebrospinal fluid escapes</w:t></w:r>
</w:p>
<w:p>
<w:pPr><w:pStyle w:val="Normal"/></w:pPr>
<w:r><w:t xml:space="preserve">when the trocar is withdrawn, the dose of the fluid selected</w:t></w:r>
</w:p>
<w:p>
<w:pPr><w:pStyle w:val="Normal"/></w:pPr>
<w:r><w:t xml:space="preserve">is injected through the canula, which is then withdrawn.</w:t></w:r>
</w:p>
<w:p>
<w:pPr><w:pStyle w:val="Normal"/></w:pPr>
<w:r><w:t xml:space="preserve">An important point is that the operation must be absolutely</w:t></w:r>
</w:p>
<w:p>
<w:pPr><w:pStyle w:val="Normal"/></w:pPr>
<w:r><w:t xml:space="preserve">aseptic; great care is taken to sterilize thoroughly the</w:t></w:r>
</w:p>
<w:p>
<w:pPr><w:pStyle w:val="Normal"/></w:pPr>
<w:r><w:t xml:space="preserve">instruments, site of operation and fluid used.  The patient</w:t></w:r>
</w:p>
<w:p>
<w:pPr><w:pStyle w:val="Normal"/></w:pPr>
<w:r><w:t xml:space="preserve">is placed in that position which will yield the best and</w:t></w:r>
</w:p>
<w:p>
<w:pPr><w:pStyle w:val="Normal"/></w:pPr>
<w:r><w:t xml:space="preserve">safest analgesia for the operation; it is essential, however,</w:t></w:r>
</w:p>
<w:p>
<w:pPr><w:pStyle w:val="Normal"/></w:pPr>
<w:r><w:t xml:space="preserve">that the patient&apos;s head be raised well above the level of the</w:t></w:r>
</w:p>
<w:p>
<w:pPr><w:pStyle w:val="Normal"/></w:pPr>
<w:r><w:t xml:space="preserve">spine.  The injection is followed very quickly, generally</w:t></w:r>
</w:p>
<w:p>
<w:pPr><w:pStyle w:val="Normal"/></w:pPr>
<w:r><w:t xml:space="preserve">within three to five minutes, by the production of analgesia,</w:t></w:r>
</w:p>
<w:p>
<w:pPr><w:pStyle w:val="Normal"/></w:pPr>
<w:r><w:t xml:space="preserve">which lasts for a period varying from half an hour to two</w:t></w:r>
</w:p>
<w:p>
<w:pPr><w:pStyle w:val="Normal"/></w:pPr>
<w:r><w:t xml:space="preserve">hours.  Various substances have been used for the injection,</w:t></w:r>
</w:p>
<w:p>
<w:pPr><w:pStyle w:val="Normal"/></w:pPr>
<w:r><w:t xml:space="preserve">of which the following are the chief --tropacocaine, stovaine,</w:t></w:r>
</w:p>
<w:p>
<w:pPr><w:pStyle w:val="Normal"/></w:pPr>
<w:r><w:t xml:space="preserve">novocaine, cocaine, eucaine and alypin.  All of these have</w:t></w:r>
</w:p>
<w:p>
<w:pPr><w:pStyle w:val="Normal"/></w:pPr>
<w:r><w:t xml:space="preserve">been combined with adrenalin hydrochloride with a view to</w:t></w:r>
</w:p>
<w:p>
<w:pPr><w:pStyle w:val="Normal"/></w:pPr>
<w:r><w:t xml:space="preserve">limiting their action in one degree or another; and also</w:t></w:r>
</w:p>
<w:p>
<w:pPr><w:pStyle w:val="Normal"/></w:pPr>
<w:r><w:t xml:space="preserve">with other inert substances in such quantity as will produce</w:t></w:r>
</w:p>
<w:p>
<w:pPr><w:pStyle w:val="Normal"/></w:pPr>
<w:r><w:t xml:space="preserve">isotonic solutions of relatively high specific gravity.</w:t></w:r>
</w:p>
<w:p>
<w:pPr><w:pStyle w:val="Normal"/></w:pPr>
<w:r><w:t xml:space="preserve">The points in favour of this method of producing analgesia are</w:t></w:r>
</w:p>
<w:p>
<w:pPr><w:pStyle w:val="Normal"/></w:pPr>
<w:r><w:t xml:space="preserve">as follows: (a) The patient is not rendered unconscious, and</w:t></w:r>
</w:p>
<w:p>
<w:pPr><w:pStyle w:val="Normal"/></w:pPr>
<w:r><w:t xml:space="preserve">is often able to assist at his own operation, such as by coughing</w:t></w:r>
</w:p>
<w:p>
<w:pPr><w:pStyle w:val="Normal"/></w:pPr>
<w:r><w:t xml:space="preserve">or moving his limbs in any way as may be desired. (b) There</w:t></w:r>
</w:p>
<w:p>
<w:pPr><w:pStyle w:val="Normal"/></w:pPr>
<w:r><w:t xml:space="preserve">are no troublesome after-effects, such as nausea, vomiting and</w:t></w:r>
</w:p>
<w:p>
<w:pPr><w:pStyle w:val="Normal"/></w:pPr>
<w:r><w:t xml:space="preserve">thirst. (c) The formation of haematoma is less frequent. (d)</w:t></w:r>
</w:p>
<w:p>
<w:pPr><w:pStyle w:val="Normal"/></w:pPr>
<w:r><w:t xml:space="preserve">Surgical shock is considerably lessened, especially in such</w:t></w:r>
</w:p>
<w:p>
<w:pPr><w:pStyle w:val="Normal"/></w:pPr>
<w:r><w:t xml:space="preserve">operations as amputations and severe abdominal emergencies.</w:t></w:r>
</w:p>
<w:p>
<w:pPr><w:pStyle w:val="Normal"/></w:pPr>
<w:r><w:t xml:space="preserve">(e) The risk attending a general anaesthetic is avoided.</w:t></w:r>
</w:p>
<w:p>
<w:pPr><w:pStyle w:val="Normal"/></w:pPr>
<w:r><w:t xml:space="preserve">The disadvantages at present attending the method are:</w:t></w:r>
</w:p>
<w:p>
<w:pPr><w:pStyle w:val="Normal"/></w:pPr>
<w:r><w:t xml:space="preserve">(a) A severe form of headache may sometimes follow, but</w:t></w:r>
</w:p>
<w:p>
<w:pPr><w:pStyle w:val="Normal"/></w:pPr>
<w:r><w:t xml:space="preserve">this has seemed to depend on the kind of fluid injected,</w:t></w:r>
</w:p>
<w:p>
<w:pPr><w:pStyle w:val="Normal"/></w:pPr>
<w:r><w:t xml:space="preserve">and in the recent cases has not been so frequent as in the</w:t></w:r>
</w:p>
<w:p>
<w:pPr><w:pStyle w:val="Normal"/></w:pPr>
<w:r><w:t xml:space="preserve">early ones. (b) The paralysis of muscles.  In a very few</w:t></w:r>
</w:p>
<w:p>
<w:pPr><w:pStyle w:val="Normal"/></w:pPr>
<w:r><w:t xml:space="preserve">cases this has been permanent.  The temporary paralysis of</w:t></w:r>
</w:p>
<w:p>
<w:pPr><w:pStyle w:val="Normal"/></w:pPr>
<w:r><w:t xml:space="preserve">the muscles of respiration is apt to be a serious matter.</w:t></w:r>
</w:p>
<w:p>
<w:pPr><w:pStyle w:val="Normal"/></w:pPr>
<w:r><w:t xml:space="preserve">(c) Occasionally incontinence of urine and faeces occurs;</w:t></w:r>
</w:p>
<w:p>
<w:pPr><w:pStyle w:val="Normal"/></w:pPr>
<w:r><w:t xml:space="preserve">this, however, has not been permanent except in a few of the</w:t></w:r>
</w:p>
<w:p>
<w:pPr><w:pStyle w:val="Normal"/></w:pPr>
<w:r><w:t xml:space="preserve">earlier cases. (d) The uncertainty of the method, so that</w:t></w:r>
</w:p>
<w:p>
<w:pPr><w:pStyle w:val="Normal"/></w:pPr>
<w:r><w:t xml:space="preserve">the analgesia is not always as complete as is desirable.</w:t></w:r>
</w:p>
<w:p>
<w:pPr><w:pStyle w:val="Normal"/></w:pPr>
<w:r><w:t xml:space="preserve">(e) The analgesia for safety must be limited to a line</w:t></w:r>
</w:p>
<w:p>
<w:pPr><w:pStyle w:val="Normal"/></w:pPr>
<w:r><w:t xml:space="preserve">below the level of the second rib in front. (f) The use of</w:t></w:r>
</w:p>
<w:p>
<w:pPr><w:pStyle w:val="Normal"/></w:pPr>
<w:r><w:t xml:space="preserve">the Trendelenburgh position is impossible, or indeed the use</w:t></w:r>
</w:p>
<w:p>
<w:pPr><w:pStyle w:val="Normal"/></w:pPr>
<w:r><w:t xml:space="preserve">of any position which involves lowering the patient&apos;s head.</w:t></w:r>
</w:p>
<w:p>
<w:pPr><w:pStyle w:val="Normal"/></w:pPr>
<w:r><w:t xml:space="preserve">It would appear that the method undoubtedly has its uses, and that</w:t></w:r>
</w:p>
<w:p>
<w:pPr><w:pStyle w:val="Normal"/></w:pPr>
<w:r><w:t xml:space="preserve">it will take its place in surgery and find its proper level.  A</w:t></w:r>
</w:p>
<w:p>
<w:pPr><w:pStyle w:val="Normal"/></w:pPr>
<w:r><w:t xml:space="preserve">large amount of work is being done on the subject, with a view</w:t></w:r>
</w:p>
<w:p>
<w:pPr><w:pStyle w:val="Normal"/></w:pPr>
<w:r><w:t xml:space="preserve">of determining the limitations and possibilities of the method,</w:t></w:r>
</w:p>
<w:p>
<w:pPr><w:pStyle w:val="Normal"/></w:pPr>
<w:r><w:t xml:space="preserve">the best kind of substance to use and the proper dose to employ.</w:t></w:r>
</w:p>
<w:p>
<w:pPr><w:pStyle w:val="Normal"/></w:pPr>
<w:r><w:t xml:space="preserve">Finally, a large number of operations have been performed under</w:t></w:r>
</w:p>
<w:p>
<w:pPr><w:pStyle w:val="Normal"/></w:pPr>
<w:r><w:t xml:space="preserve">a local anaesthesia produced by hypnotism (q.v.), but this</w:t></w:r>
</w:p>
<w:p>
<w:pPr><w:pStyle w:val="Normal"/></w:pPr>
<w:r><w:t xml:space="preserve">is a method that can only be used on selected cases. (H. C. C.)</w:t></w:r>
</w:p>
<w:p>
<w:pPr><w:pStyle w:val="Normal"/></w:pPr>
<w:r><w:t xml:space="preserve">ANAGNIA [mod. Anagni; pop. (1901) 10,059], an ancient</w:t></w:r>
</w:p>
<w:p>
<w:pPr><w:pStyle w:val="Normal"/></w:pPr>
<w:r><w:t xml:space="preserve">town of the Hernici, situated on a hill (1558 ft.) above the</w:t></w:r>
</w:p>
<w:p>
<w:pPr><w:pStyle w:val="Normal"/></w:pPr>
<w:r><w:t xml:space="preserve">valley of the Trerus and the Via Labicana (the post-station</w:t></w:r>
</w:p>
<w:p>
<w:pPr><w:pStyle w:val="Normal"/></w:pPr>
<w:r><w:t xml:space="preserve">3 m. below the town, from which a branch road ascended to</w:t></w:r>
</w:p>
<w:p>
<w:pPr><w:pStyle w:val="Normal"/></w:pPr>
<w:r><w:t xml:space="preserve">it, was Compitum Anagninum, which was 40 m.  E.S.E. of Rome:</w:t></w:r>
</w:p>
<w:p>
<w:pPr><w:pStyle w:val="Normal"/></w:pPr>
<w:r><w:t xml:space="preserve">see T. Ashby, in Papers of the British School at Rome, i.</w:t></w:r>
</w:p>
<w:p>
<w:pPr><w:pStyle w:val="Normal"/></w:pPr>
<w:r><w:t xml:space="preserve">215).  In 1880 a pre-Aryan grave was found between the town</w:t></w:r>
</w:p>
<w:p>
<w:pPr><w:pStyle w:val="Normal"/></w:pPr>
<w:r><w:t xml:space="preserve">and the river, with a skeleton painted red, stone implements</w:t></w:r>
</w:p>
<w:p>
<w:pPr><w:pStyle w:val="Normal"/></w:pPr>
<w:r><w:t xml:space="preserve">and a bronze dagger.  After the Italian immigration, its</w:t></w:r>
</w:p>
<w:p>
<w:pPr><w:pStyle w:val="Normal"/></w:pPr>
<w:r><w:t xml:space="preserve">position in a fertile district soon gave it importance,</w:t></w:r>
</w:p>
<w:p>
<w:pPr><w:pStyle w:val="Normal"/></w:pPr>
<w:r><w:t xml:space="preserve">and it became the seat of the assembly of the Hernican</w:t></w:r>
</w:p>
<w:p>
<w:pPr><w:pStyle w:val="Normal"/></w:pPr>
<w:r><w:t xml:space="preserve">towns.  In the War of 306 B.C. it was conquered by Q.</w:t></w:r>
</w:p>
<w:p>
<w:pPr><w:pStyle w:val="Normal"/></w:pPr>
<w:r><w:t xml:space="preserve">Marcius Tremulus and lost its independence.  Its inhabitants</w:t></w:r>
</w:p>
<w:p>
<w:pPr><w:pStyle w:val="Normal"/></w:pPr>
<w:r><w:t xml:space="preserve">had certainly acquired Roman citizenship before the Social</w:t></w:r>
</w:p>
<w:p>
<w:pPr><w:pStyle w:val="Normal"/></w:pPr>
<w:r><w:t xml:space="preserve">War and it continued to be a municipium throughout the Roman</w:t></w:r>
</w:p>
<w:p>
<w:pPr><w:pStyle w:val="Normal"/></w:pPr>
<w:r><w:t xml:space="preserve">period.  It was besieged by the Saracens in 877, but in the</w:t></w:r>
</w:p>
<w:p>
<w:pPr><w:pStyle w:val="Normal"/></w:pPr>
<w:r><w:t xml:space="preserve">11th century was a place of considerable importance, the</w:t></w:r>
</w:p>
<w:p>
<w:pPr><w:pStyle w:val="Normal"/></w:pPr>
<w:r><w:t xml:space="preserve">Conti and Gaetani being the chief families; Pope Boniface</w:t></w:r>
</w:p>
<w:p>
<w:pPr><w:pStyle w:val="Normal"/></w:pPr>
<w:r><w:t xml:space="preserve">VIII., a member of the latter, was there made prisoner in</w:t></w:r>
</w:p>
<w:p>
<w:pPr><w:pStyle w:val="Normal"/></w:pPr>
<w:r><w:t xml:space="preserve">1303.  The ancient city walls are in some points still</w:t></w:r>
</w:p>
<w:p>
<w:pPr><w:pStyle w:val="Normal"/></w:pPr>
<w:r><w:t xml:space="preserve">existing, in others they have been much restored; they are</w:t></w:r>
</w:p>
<w:p>
<w:pPr><w:pStyle w:val="Normal"/></w:pPr>
<w:r><w:t xml:space="preserve">built of rectangular blocks of porous limestone about 1 1/2ft.</w:t></w:r>
</w:p>
<w:p>
<w:pPr><w:pStyle w:val="Normal"/></w:pPr>
<w:r><w:t xml:space="preserve">high.  On the north of the town they are especially</w:t></w:r>
</w:p>
<w:p>
<w:pPr><w:pStyle w:val="Normal"/></w:pPr>
<w:r><w:t xml:space="preserve">well-preserved, and at one point the area within them is</w:t></w:r>
</w:p>
<w:p>
<w:pPr><w:pStyle w:val="Normal"/></w:pPr>
<w:r><w:t xml:space="preserve">slightly extended by a terrace supported by three lofty</w:t></w:r>
</w:p>
<w:p>
<w:pPr><w:pStyle w:val="Normal"/></w:pPr>
<w:r><w:t xml:space="preserve">pillars.  Within the city there are no ancient remains, except</w:t></w:r>
</w:p>
<w:p>
<w:pPr><w:pStyle w:val="Normal"/></w:pPr>
<w:r><w:t xml:space="preserve">some massive substruction walls which supported buildings on the</w:t></w:r>
</w:p>
<w:p>
<w:pPr><w:pStyle w:val="Normal"/></w:pPr>
<w:r><w:t xml:space="preserve">hillside.  The present town still preserves in parts its</w:t></w:r>
</w:p>
<w:p>
<w:pPr><w:pStyle w:val="Normal"/></w:pPr>
<w:r><w:t xml:space="preserve">medieval aspect.  The cathedral, constructed in 1074 at the</w:t></w:r>
</w:p>
<w:p>
<w:pPr><w:pStyle w:val="Normal"/></w:pPr>
<w:r><w:t xml:space="preserve">summit of the hill, is externally plain; it has a fine Gothic</w:t></w:r>
</w:p>
<w:p>
<w:pPr><w:pStyle w:val="Normal"/></w:pPr>
<w:r><w:t xml:space="preserve">interior, somewhat spoilt by restoration, with a good Cosmati</w:t></w:r>
</w:p>
<w:p>
<w:pPr><w:pStyle w:val="Normal"/></w:pPr>
<w:r><w:t xml:space="preserve">pavement, and a canopy and paschal candlestick in the same</w:t></w:r>
</w:p>
<w:p>
<w:pPr><w:pStyle w:val="Normal"/></w:pPr>
<w:r><w:t xml:space="preserve">style.  The crypt contains frescoes of the 13th century,</w:t></w:r>
</w:p>
<w:p>
<w:pPr><w:pStyle w:val="Normal"/></w:pPr>
<w:r><w:t xml:space="preserve">and in the treasury are valuable vestments.  Lower down</w:t></w:r>
</w:p>
<w:p>
<w:pPr><w:pStyle w:val="Normal"/></w:pPr>
<w:r><w:t xml:space="preserve">is the Palazzo Civico, belonging to the 11th or early 12th</w:t></w:r>
</w:p>
<w:p>
<w:pPr><w:pStyle w:val="Normal"/></w:pPr>
<w:r><w:t xml:space="preserve">century, which is supported on arches of a single span, under</w:t></w:r>
</w:p>
<w:p>
<w:pPr><w:pStyle w:val="Normal"/></w:pPr>
<w:r><w:t xml:space="preserve">which the road passes.  Its posterior facade is fine.  Pope</w:t></w:r>
</w:p>
<w:p>
<w:pPr><w:pStyle w:val="Normal"/></w:pPr>
<w:r><w:t xml:space="preserve">Adrian IV. (Nicholas Breakspeare) died here, and there is</w:t></w:r>
</w:p>
<w:p>
<w:pPr><w:pStyle w:val="Normal"/></w:pPr>
<w:r><w:t xml:space="preserve">a chapel of St Thomas Becket in the crypt of the cathedral.</w:t></w:r>
</w:p>
<w:p>
<w:pPr><w:pStyle w:val="Normal"/></w:pPr>
<w:r><w:t xml:space="preserve">See L. Pigorini, in Bullettino di Paletnologia Italiana (1880,</w:t></w:r>
</w:p>
<w:p>
<w:pPr><w:pStyle w:val="Normal"/></w:pPr>
<w:r><w:t xml:space="preserve">8 seq.); J. Kulakowski, in Atti del Congresso Internazionale</w:t></w:r>
</w:p>
<w:p>
<w:pPr><w:pStyle w:val="Normal"/></w:pPr>
<w:r><w:t xml:space="preserve">di Scienze Storiche (Rome, 1904), v. 673 seq. (T. As.)</w:t></w:r>
</w:p>
<w:p>
<w:pPr><w:pStyle w:val="Normal"/></w:pPr>
<w:r><w:t xml:space="preserve">ANAGRAM (Gr. ana, back, and grafein, to write), the</w:t></w:r>
</w:p>
<w:p>
<w:pPr><w:pStyle w:val="Normal"/></w:pPr>
<w:r><w:t xml:space="preserve">result of transposing the letters of a word or words in such</w:t></w:r>
</w:p>
<w:p>
<w:pPr><w:pStyle w:val="Normal"/></w:pPr>
<w:r><w:t xml:space="preserve">a manner as to produce other words that possess meaning.  The</w:t></w:r>
</w:p>
<w:p>
<w:pPr><w:pStyle w:val="Normal"/></w:pPr>
<w:r><w:t xml:space="preserve">construction of anagrams is an amusement of great antiquity,</w:t></w:r>
</w:p>
<w:p>
<w:pPr><w:pStyle w:val="Normal"/></w:pPr>
<w:r><w:t xml:space="preserve">its invention being ascribed without authority to the Jews,</w:t></w:r>
</w:p>
<w:p>
<w:pPr><w:pStyle w:val="Normal"/></w:pPr>
<w:r><w:t xml:space="preserve">probably because the later Hebrew writers, particularly the</w:t></w:r>
</w:p>
<w:p>
<w:pPr><w:pStyle w:val="Normal"/></w:pPr>
<w:r><w:t xml:space="preserve">Kabbalists, were fond of it, asserting that ``secret mysteries</w:t></w:r>
</w:p>
<w:p>
<w:pPr><w:pStyle w:val="Normal"/></w:pPr>
<w:r><w:t xml:space="preserve">are woven in the numbers of letters.&apos;&apos; Anagrams were known to</w:t></w:r>
</w:p>
<w:p>
<w:pPr><w:pStyle w:val="Normal"/></w:pPr>
<w:r><w:t xml:space="preserve">the Greeks and also to the Romans, although the known Latin</w:t></w:r>
</w:p>
<w:p>
<w:pPr><w:pStyle w:val="Normal"/></w:pPr>
<w:r><w:t xml:space="preserve">examples of words of more than one syllable are nearly all</w:t></w:r>
</w:p>
<w:p>
<w:pPr><w:pStyle w:val="Normal"/></w:pPr>
<w:r><w:t xml:space="preserve">imperfect.  They were popular throughout Europe during the</w:t></w:r>
</w:p>
<w:p>
<w:pPr><w:pStyle w:val="Normal"/></w:pPr>
<w:r><w:t xml:space="preserve">middle ages and later, particularly in France, where a certain</w:t></w:r>
</w:p>
<w:p>
<w:pPr><w:pStyle w:val="Normal"/></w:pPr>
<w:r><w:t xml:space="preserve">Thomas Billon was appointed ``anagrammatist to the king&apos;&apos;</w:t></w:r>
</w:p>
<w:p>
<w:pPr><w:pStyle w:val="Normal"/></w:pPr>
<w:r><w:t xml:space="preserve">by Louis XIII.  W. Camden (Remains, 7th ed., 1674) defines</w:t></w:r>
</w:p>
<w:p>
<w:pPr><w:pStyle w:val="Normal"/></w:pPr>
<w:r><w:t xml:space="preserve">``Anagrammatisme&apos;&apos; as ``a dissolution of a name truly written</w:t></w:r>
</w:p>
<w:p>
<w:pPr><w:pStyle w:val="Normal"/></w:pPr>
<w:r><w:t xml:space="preserve">into his letters, as his elements, and a new connection of it</w:t></w:r>
</w:p>
<w:p>
<w:pPr><w:pStyle w:val="Normal"/></w:pPr>
<w:r><w:t xml:space="preserve">by artificial transposition, without addition, subtraction or</w:t></w:r>
</w:p>
<w:p>
<w:pPr><w:pStyle w:val="Normal"/></w:pPr>
<w:r><w:t xml:space="preserve">change of any letter, into different words, making some perfect</w:t></w:r>
</w:p>
<w:p>
<w:pPr><w:pStyle w:val="Normal"/></w:pPr>
<w:r><w:t xml:space="preserve">sence applyable to the person named.&apos;&apos; Dryden disdainfully</w:t></w:r>
</w:p>
<w:p>
<w:pPr><w:pStyle w:val="Normal"/></w:pPr>
<w:r><w:t xml:space="preserve">called the pastime the ``torturing of one poor word ten</w:t></w:r>
</w:p>
<w:p>
<w:pPr><w:pStyle w:val="Normal"/></w:pPr>
<w:r><w:t xml:space="preserve">thousand ways,&apos;&apos; but many men and women of note have found</w:t></w:r>
</w:p>
<w:p>
<w:pPr><w:pStyle w:val="Normal"/></w:pPr>
<w:r><w:t xml:space="preserve">amusement in it.  A well-known anagram is the change of Ave</w:t></w:r>
</w:p>
<w:p>
<w:pPr><w:pStyle w:val="Normal"/></w:pPr>
<w:r><w:t xml:space="preserve">Maria, gratia plena, Dominus tecum into Virgo serena, pia,</w:t></w:r>
</w:p>
<w:p>
<w:pPr><w:pStyle w:val="Normal"/></w:pPr>
<w:r><w:t xml:space="preserve">munda et immaculata. Among others are the anagrammatic</w:t></w:r>
</w:p>
<w:p>
<w:pPr><w:pStyle w:val="Normal"/></w:pPr>
<w:r><w:t xml:space="preserve">answer to Pilate&apos;s question, ``Quid est veritas&apos;&apos;--namely,</w:t></w:r>
</w:p>
<w:p>
<w:pPr><w:pStyle w:val="Normal"/></w:pPr>
<w:r><w:t xml:space="preserve">``Est vir qui adest&apos;&apos;; and the transposition of ``Horatio</w:t></w:r>
</w:p>
<w:p>
<w:pPr><w:pStyle w:val="Normal"/></w:pPr>
<w:r><w:t xml:space="preserve">Nelson&apos;&apos; into ``Honor est a Nilo&apos;&apos;; and of ``Florence</w:t></w:r>
</w:p>
<w:p>
<w:pPr><w:pStyle w:val="Normal"/></w:pPr>
<w:r><w:t xml:space="preserve">Nightingale&apos;&apos; into ``Flit on, cheering angel.&apos;&apos; James I.&apos;s</w:t></w:r>
</w:p>
<w:p>
<w:pPr><w:pStyle w:val="Normal"/></w:pPr>
<w:r><w:t xml:space="preserve">courtiers discovered in ``James Stuart&apos;&apos; ``A just master,&apos;&apos;</w:t></w:r>
</w:p>
<w:p>
<w:pPr><w:pStyle w:val="Normal"/></w:pPr>
<w:r><w:t xml:space="preserve">and converted ``Charles James Stuart&apos;&apos; into ``Claimes Arthur&apos;s</w:t></w:r>
</w:p>
<w:p>
<w:pPr><w:pStyle w:val="Normal"/></w:pPr>
<w:r><w:t xml:space="preserve">seat.&apos;&apos; ``Eleanor Audeley,&apos;&apos; wife of Sir John Davies, is said</w:t></w:r>
</w:p>
<w:p>
<w:pPr><w:pStyle w:val="Normal"/></w:pPr>
<w:r><w:t xml:space="preserve">to have been brought before the High Commission in 1634 for</w:t></w:r>
</w:p>
<w:p>
<w:pPr><w:pStyle w:val="Normal"/></w:pPr>
<w:r><w:t xml:space="preserve">extravagances, stimulated by the discovery that her name could</w:t></w:r>
</w:p>
<w:p>
<w:pPr><w:pStyle w:val="Normal"/></w:pPr>
<w:r><w:t xml:space="preserve">be transposed to ``Reveale, O Daniel,&apos;&apos; and to have been laughed</w:t></w:r>
</w:p>
<w:p>
<w:pPr><w:pStyle w:val="Normal"/></w:pPr>
<w:r><w:t xml:space="preserve">out of court by another anagram submitted by the dean of the</w:t></w:r>
</w:p>
<w:p>
<w:pPr><w:pStyle w:val="Normal"/></w:pPr>
<w:r><w:t xml:space="preserve">Arches, ``Dame Eleanor Davies,&apos;&apos; ``Never soe mad a ladie.&apos;&apos;</w:t></w:r>
</w:p>
<w:p>
<w:pPr><w:pStyle w:val="Normal"/></w:pPr>
<w:r><w:t xml:space="preserve">There must be few names that could furnish so many anagrams</w:t></w:r>
</w:p>
<w:p>
<w:pPr><w:pStyle w:val="Normal"/></w:pPr>
<w:r><w:t xml:space="preserve">as that of ``Augustus de Morgan,&apos;&apos; who tells that a friend</w:t></w:r>
</w:p>
<w:p>
<w:pPr><w:pStyle w:val="Normal"/></w:pPr>
<w:r><w:t xml:space="preserve">had constructed about 800 on his name, specimens of which</w:t></w:r>
</w:p>
<w:p>
<w:pPr><w:pStyle w:val="Normal"/></w:pPr>
<w:r><w:t xml:space="preserve">are given in his Budget of Paradoxes, P. 82. The pseudonyms</w:t></w:r>
</w:p>
<w:p>
<w:pPr><w:pStyle w:val="Normal"/></w:pPr>
<w:r><w:t xml:space="preserve">adopted by authors are often transposed forms, more or less</w:t></w:r>
</w:p>
<w:p>
<w:pPr><w:pStyle w:val="Normal"/></w:pPr>
<w:r><w:t xml:space="preserve">exact, of their names; thus ``Calvinus&apos;&apos; becomes ``Alcuinus&apos;&apos;;</w:t></w:r>
</w:p>
<w:p>
<w:pPr><w:pStyle w:val="Normal"/></w:pPr>
<w:r><w:t xml:space="preserve">``Francois Rabelais,&apos;&apos; ``Alcofribas Nasier&apos;&apos;; ``Bryan Waller</w:t></w:r>
</w:p>
<w:p>
<w:pPr><w:pStyle w:val="Normal"/></w:pPr>
<w:r><w:t xml:space="preserve">Proctor,&apos;&apos; ``Barry Cornwall, poet&apos;&apos;; ``Henry Rogers,&apos;&apos; ``R.</w:t></w:r>
</w:p>
<w:p>
<w:pPr><w:pStyle w:val="Normal"/></w:pPr>
<w:r><w:t xml:space="preserve">E. H. Greyson,&apos;&apos; &amp;c. It is to be noted that the last two</w:t></w:r>
</w:p>
<w:p>
<w:pPr><w:pStyle w:val="Normal"/></w:pPr>
<w:r><w:t xml:space="preserve">are impure anagrams, an ``r&apos;&apos; being left out in both cases.</w:t></w:r>
</w:p>
<w:p>
<w:pPr><w:pStyle w:val="Normal"/></w:pPr>
<w:r><w:t xml:space="preserve">``Telliamed,&apos;&apos; a simple reversal, is the title of a well</w:t></w:r>
</w:p>
<w:p>
<w:pPr><w:pStyle w:val="Normal"/></w:pPr>
<w:r><w:t xml:space="preserve">known work by ``De Maillet.&apos;&apos; The most remarkable pseudonym</w:t></w:r>
</w:p>
<w:p>
<w:pPr><w:pStyle w:val="Normal"/></w:pPr>
<w:r><w:t xml:space="preserve">of this class is the name ``Voltaire,&apos;&apos; which the celebrated</w:t></w:r>
</w:p>
<w:p>
<w:pPr><w:pStyle w:val="Normal"/></w:pPr>
<w:r><w:t xml:space="preserve">philosopher assumed instead of his family name, ``Francois</w:t></w:r>
</w:p>
<w:p>
<w:pPr><w:pStyle w:val="Normal"/></w:pPr>
<w:r><w:t xml:space="preserve">Marie Arouet,&apos;&apos; and which is now generally allowed to be an</w:t></w:r>
</w:p>
<w:p>
<w:pPr><w:pStyle w:val="Normal"/></w:pPr>
<w:r><w:t xml:space="preserve">anagram of ``Arouet, l.j.,&apos;&apos; that is, Arouet the younger.</w:t></w:r>
</w:p>
<w:p>
<w:pPr><w:pStyle w:val="Normal"/></w:pPr>
<w:r><w:t xml:space="preserve">Perhaps the only practical use to which anagrams have been</w:t></w:r>
</w:p>
<w:p>
<w:pPr><w:pStyle w:val="Normal"/></w:pPr>
<w:r><w:t xml:space="preserve">turned is to be found in the transpositions in which some of</w:t></w:r>
</w:p>
<w:p>
<w:pPr><w:pStyle w:val="Normal"/></w:pPr>
<w:r><w:t xml:space="preserve">the astronomers of the 17th century embodied their discoveries</w:t></w:r>
</w:p>
<w:p>
<w:pPr><w:pStyle w:val="Normal"/></w:pPr>
<w:r><w:t xml:space="preserve">with the design apparently of avoiding the risk that, while</w:t></w:r>
</w:p>
<w:p>
<w:pPr><w:pStyle w:val="Normal"/></w:pPr>
<w:r><w:t xml:space="preserve">they were engaged in further verification, the credit of what</w:t></w:r>
</w:p>
<w:p>
<w:pPr><w:pStyle w:val="Normal"/></w:pPr>
<w:r><w:t xml:space="preserve">they had found out might be claimed by others.  Thus Galileo</w:t></w:r>
</w:p>
<w:p>
<w:pPr><w:pStyle w:val="Normal"/></w:pPr>
<w:r><w:t xml:space="preserve">announced his discovery that Venus had phases like the moon in</w:t></w:r>
</w:p>
<w:p>
<w:pPr><w:pStyle w:val="Normal"/></w:pPr>
<w:r><w:t xml:space="preserve">the form, ``Haec immatura a me jam feustra leguntur--oy,&apos;&apos;</w:t></w:r>
</w:p>
<w:p>
<w:pPr><w:pStyle w:val="Normal"/></w:pPr>
<w:r><w:t xml:space="preserve">that is, ``Cynthiae figuras aemulatur Mater Amorum.&apos;&apos;</w:t></w:r>
</w:p>
<w:p>
<w:pPr><w:pStyle w:val="Normal"/></w:pPr>
<w:r><w:t xml:space="preserve">Another species of anagram, called ``palindrome&apos;&apos; (Cr. palin,</w:t></w:r>
</w:p>
<w:p>
<w:pPr><w:pStyle w:val="Normal"/></w:pPr>
<w:r><w:t xml:space="preserve">back, and dromos, running), is a word or sentence which</w:t></w:r>
</w:p>
<w:p>
<w:pPr><w:pStyle w:val="Normal"/></w:pPr>
<w:r><w:t xml:space="preserve">may be read backwards as well as forwards, letter by letter,</w:t></w:r>
</w:p>
<w:p>
<w:pPr><w:pStyle w:val="Normal"/></w:pPr>
<w:r><w:t xml:space="preserve">while preserving the same meaning; for example, the words</w:t></w:r>
</w:p>
<w:p>
<w:pPr><w:pStyle w:val="Normal"/></w:pPr>
<w:r><w:t xml:space="preserve">``Anna,&apos;&apos; ``noon,&apos;&apos; ``tenet,&apos;&apos; or the sentence with which Adam</w:t></w:r>
</w:p>
<w:p>
<w:pPr><w:pStyle w:val="Normal"/></w:pPr>
<w:r><w:t xml:space="preserve">is humorously supposed to have greeted Eve: ``Madam, I&apos;m Adam!&apos;&apos;</w:t></w:r>
</w:p>
<w:p>
<w:pPr><w:pStyle w:val="Normal"/></w:pPr>
<w:r><w:t xml:space="preserve">A still more complicated variety is the ``logogram&apos;&apos; (Gr.</w:t></w:r>
</w:p>
<w:p>
<w:pPr><w:pStyle w:val="Normal"/></w:pPr>
<w:r><w:t xml:space="preserve">logos, word), a versified puzzle containing several</w:t></w:r>
</w:p>
<w:p>
<w:pPr><w:pStyle w:val="Normal"/></w:pPr>
<w:r><w:t xml:space="preserve">words derived from recombining the letters of the original</w:t></w:r>
</w:p>
<w:p>
<w:pPr><w:pStyle w:val="Normal"/></w:pPr>
<w:r><w:t xml:space="preserve">word, the difficulty lying in the fact that synonyms of the</w:t></w:r>
</w:p>
<w:p>
<w:pPr><w:pStyle w:val="Normal"/></w:pPr>
<w:r><w:t xml:space="preserve">derived words may be used.  Thus, if the original word be</w:t></w:r>
</w:p>
<w:p>
<w:pPr><w:pStyle w:val="Normal"/></w:pPr>
<w:r><w:t xml:space="preserve">``curtain,&apos;&apos; the word ``dog&apos;&apos; may be used instead of ``cur.&apos;&apos;</w:t></w:r>
</w:p>
<w:p>
<w:pPr><w:pStyle w:val="Normal"/></w:pPr>
<w:r><w:t xml:space="preserve">ANAH, or `ANA, a town on the Euphrates, about mid-way</w:t></w:r>
</w:p>
<w:p>
<w:pPr><w:pStyle w:val="Normal"/></w:pPr>
<w:r><w:t xml:space="preserve">between the Gulf of Alexandretta and the Persian Gulf.  It</w:t></w:r>
</w:p>
<w:p>
<w:pPr><w:pStyle w:val="Normal"/></w:pPr>
<w:r><w:t xml:space="preserve">is called Hanat in a Babylonian letter (about 2200 B.C.),</w:t></w:r>
</w:p>
<w:p>
<w:pPr><w:pStyle w:val="Normal"/></w:pPr>
<w:r><w:t xml:space="preserve">and An-at by the scribe of Assur-nasir-pal (879 B.C.),</w:t></w:r>
</w:p>
<w:p>
<w:pPr><w:pStyle w:val="Normal"/></w:pPr>
<w:r><w:t xml:space="preserve">&apos;Anatho (Isidore Charax), Anatha (Ammianus Marcellinus) by</w:t></w:r>
</w:p>
<w:p>
<w:pPr><w:pStyle w:val="Normal"/></w:pPr>
<w:r><w:t xml:space="preserve">Greek and Latin writers in the early Christian centuries,</w:t></w:r>
</w:p>
<w:p>
<w:pPr><w:pStyle w:val="Normal"/></w:pPr>
<w:r><w:t xml:space="preserve">`ANA (sometimes, as if plural, `Anat) by Arabic</w:t></w:r>
</w:p>
<w:p>
<w:pPr><w:pStyle w:val="Normal"/></w:pPr>
<w:r><w:t xml:space="preserve">writers.  The name has been connected with that of the deity</w:t></w:r>
</w:p>
<w:p>
<w:pPr><w:pStyle w:val="Normal"/></w:pPr>
<w:r><w:t xml:space="preserve">Anat.  Whilst `Ana has thus retained its name for forty-one</w:t></w:r>
</w:p>
<w:p>
<w:pPr><w:pStyle w:val="Normal"/></w:pPr>
<w:r><w:t xml:space="preserve">centuries the site is variously described.  Most early writers</w:t></w:r>
</w:p>
<w:p>
<w:pPr><w:pStyle w:val="Normal"/></w:pPr>
<w:r><w:t xml:space="preserve">concur in placing it on an island; so Assurnasir-pal, Isidore,</w:t></w:r>
</w:p>
<w:p>
<w:pPr><w:pStyle w:val="Normal"/></w:pPr>
<w:r><w:t xml:space="preserve">Ammianus Marcellinus, Ibn Serapion, al- Istakri, Abulfeda and</w:t></w:r>
</w:p>
<w:p>
<w:pPr><w:pStyle w:val="Normal"/></w:pPr>
<w:r><w:t xml:space="preserve">al-Karamani.  Ammianus (lib. 24, c. 2) calls it a</w:t></w:r>
</w:p>
<w:p>
<w:pPr><w:pStyle w:val="Normal"/></w:pPr>
<w:r><w:t xml:space="preserve">munimentum, Theophylactus Simocatta (iv. 10, v. 1, 2) to</w:t></w:r>
</w:p>
<w:p>
<w:pPr><w:pStyle w:val="Normal"/></w:pPr>
<w:r><w:t xml:space="preserve">&apos;Anathon frourion, Zosimus (iii. 14) a frourion, opp.</w:t></w:r>
</w:p>
<w:p>
<w:pPr><w:pStyle w:val="Normal"/></w:pPr>
<w:r><w:t xml:space="preserve">Fathusai, which may be the Beth(th)ina of Ptolemy (v. 19).1</w:t></w:r>
</w:p>
<w:p>
<w:pPr><w:pStyle w:val="Normal"/></w:pPr>
<w:r><w:t xml:space="preserve">Leonhart Rauwolff, in A.D. 1574, found it ``divided . .</w:t></w:r>
</w:p>
<w:p>
<w:pPr><w:pStyle w:val="Normal"/></w:pPr>
<w:r><w:t xml:space="preserve">. into two towns,&apos;&apos; the one ``Turkish,&apos;&apos; ``so surrounded by</w:t></w:r>
</w:p>
<w:p>
<w:pPr><w:pStyle w:val="Normal"/></w:pPr>
<w:r><w:t xml:space="preserve">the river, that you cannot go into it but by boats,&apos;&apos; the</w:t></w:r>
</w:p>
<w:p>
<w:pPr><w:pStyle w:val="Normal"/></w:pPr>
<w:r><w:t xml:space="preserve">other, much larger, on the Arabian side of the river.2 G.</w:t></w:r>
</w:p>
<w:p>
<w:pPr><w:pStyle w:val="Normal"/></w:pPr>
<w:r><w:t xml:space="preserve">A. Olivier in the beginning of the 19th century describes</w:t></w:r>
</w:p>
<w:p>
<w:pPr><w:pStyle w:val="Normal"/></w:pPr>
<w:r><w:t xml:space="preserve">it as a long street (5 or 6 m. long), parallel to the right</w:t></w:r>
</w:p>
<w:p>
<w:pPr><w:pStyle w:val="Normal"/></w:pPr>
<w:r><w:t xml:space="preserve">bank of the Euphrates--some 100 yards from the water&apos;s edge</w:t></w:r>
</w:p>
<w:p>
<w:pPr><w:pStyle w:val="Normal"/></w:pPr>
<w:r><w:t xml:space="preserve">and 300 to 400 paces from the rocky barrier of the Arabian</w:t></w:r>
</w:p>
<w:p>
<w:pPr><w:pStyle w:val="Normal"/></w:pPr>
<w:r><w:t xml:space="preserve">desert--with, over against its lower part, an island</w:t></w:r>
</w:p>
<w:p>
<w:pPr><w:pStyle w:val="Normal"/></w:pPr>
<w:r><w:t xml:space="preserve">bearing at its north end the ruins of a fortress (p. 451).</w:t></w:r>
</w:p>
<w:p>
<w:pPr><w:pStyle w:val="Normal"/></w:pPr>
<w:r><w:t xml:space="preserve">This southernmost town of Mesopotamia proper (Gezira)</w:t></w:r>
</w:p>
<w:p>
<w:pPr><w:pStyle w:val="Normal"/></w:pPr>
<w:r><w:t xml:space="preserve">must have shared the chequered history of that land (see</w:t></w:r>
</w:p>
<w:p>
<w:pPr><w:pStyle w:val="Normal"/></w:pPr>
<w:r><w:t xml:space="preserve">MESOPOTAMIA.) Of `Ana&apos;s fortunes under the early Babylonian</w:t></w:r>
</w:p>
<w:p>
<w:pPr><w:pStyle w:val="Normal"/></w:pPr>
<w:r><w:t xml:space="preserve">empire the records have not yet been unearthed; but in a letter</w:t></w:r>
</w:p>
<w:p>
<w:pPr><w:pStyle w:val="Normal"/></w:pPr>
<w:r><w:t xml:space="preserve">dating from the third millennium B.C., six men of Hanat</w:t></w:r>
</w:p>
<w:p>
<w:pPr><w:pStyle w:val="Normal"/></w:pPr>
<w:r><w:t xml:space="preserve">(Ha-na-atK1) are mentioned in a statement as to certain</w:t></w:r>
</w:p>
<w:p>
<w:pPr><w:pStyle w:val="Normal"/></w:pPr>
<w:r><w:t xml:space="preserve">disturbances which had occurred in the sphere of the Babylonian</w:t></w:r>
</w:p>
<w:p>
<w:pPr><w:pStyle w:val="Normal"/></w:pPr>
<w:r><w:t xml:space="preserve">Resident of Suhi, which would include the district of `Ana.</w:t></w:r>
</w:p>
<w:p>
<w:pPr><w:pStyle w:val="Normal"/></w:pPr>
<w:r><w:t xml:space="preserve">How `Ana fared at the hands of the Mitanni and others is</w:t></w:r>
</w:p>
<w:p>
<w:pPr><w:pStyle w:val="Normal"/></w:pPr>
<w:r><w:t xml:space="preserve">unknown.  The suggestion that Amenophis (Amenhotep) I.</w:t></w:r>
</w:p>
<w:p>
<w:pPr><w:pStyle w:val="Normal"/></w:pPr>
<w:r><w:t xml:space="preserve">(16th century B.C.) refers to it is improbable; but we</w:t></w:r>
</w:p>
<w:p>
<w:pPr><w:pStyle w:val="Normal"/></w:pPr>
<w:r><w:t xml:space="preserve">seem to be justified in holding `Ana to be the town ``in</w:t></w:r>
</w:p>
<w:p>
<w:pPr><w:pStyle w:val="Normal"/></w:pPr>
<w:r><w:t xml:space="preserve">the middle of the Euphrates&apos;&apos; opposite (ina put) to which</w:t></w:r>
</w:p>
<w:p>
<w:pPr><w:pStyle w:val="Normal"/></w:pPr>
<w:r><w:t xml:space="preserve">Assur-nasir-pal halted in his campaign of 879 B.C. The</w:t></w:r>
</w:p>
<w:p>
<w:pPr><w:pStyle w:val="Normal"/></w:pPr>
<w:r><w:t xml:space="preserve">supposed reference to `Ana in the speech put into the mouth</w:t></w:r>
</w:p>
<w:p>
<w:pPr><w:pStyle w:val="Normal"/></w:pPr>
<w:r><w:t xml:space="preserve">of Sennacherib&apos;s messengers to Hezekiah (2 Kings xix. 13,</w:t></w:r>
</w:p>
<w:p>
<w:pPr><w:pStyle w:val="Normal"/></w:pPr>
<w:r><w:t xml:space="preserve">Is. xxxvii. 13) is exceedingly improbable.  The town may be</w:t></w:r>
</w:p>
<w:p>
<w:pPr><w:pStyle w:val="Normal"/></w:pPr>
<w:r><w:t xml:space="preserve">mentioned, however, in four 7th century documents edited by C.</w:t></w:r>
</w:p>
<w:p>
<w:pPr><w:pStyle w:val="Normal"/></w:pPr>
<w:r><w:t xml:space="preserve">H. W. Johns.3 It was at&apos;Ana that the emperor Julian met the</w:t></w:r>
</w:p>
<w:p>
<w:pPr><w:pStyle w:val="Normal"/></w:pPr>
<w:r><w:t xml:space="preserve">first opposition on his disastrous expedition against Persia</w:t></w:r>
</w:p>
<w:p>
<w:pPr><w:pStyle w:val="Normal"/></w:pPr>
<w:r><w:t xml:space="preserve">(363), when he got possession of the place and transported</w:t></w:r>
</w:p>
<w:p>
<w:pPr><w:pStyle w:val="Normal"/></w:pPr>
<w:r><w:t xml:space="preserve">the people; and there that Ziyad and Shureih with the</w:t></w:r>
</w:p>
<w:p>
<w:pPr><w:pStyle w:val="Normal"/></w:pPr>
<w:r><w:t xml:space="preserve">advanced guard of `Ali&apos;s army were refused passage across</w:t></w:r>
</w:p>
<w:p>
<w:pPr><w:pStyle w:val="Normal"/></w:pPr>
<w:r><w:t xml:space="preserve">the Euphrates (36/657) to join `Ali in Mesopotamia (Tabari i.</w:t></w:r>
</w:p>
<w:p>
<w:pPr><w:pStyle w:val="Normal"/></w:pPr>
<w:r><w:t xml:space="preserve">3261).  Later `Ana was the place of exile of the caliph</w:t></w:r>
</w:p>
<w:p>
<w:pPr><w:pStyle w:val="Normal"/></w:pPr>
<w:r><w:t xml:space="preserve">Qaim (al-qaim bi-amr-illah) when Basisiri was in power</w:t></w:r>
</w:p>
<w:p>
<w:pPr><w:pStyle w:val="Normal"/></w:pPr>
<w:r><w:t xml:space="preserve">(450/1058.) In the 14th century `Ana was the seat of a</w:t></w:r>
</w:p>
<w:p>
<w:pPr><w:pStyle w:val="Normal"/></w:pPr>
<w:r><w:t xml:space="preserve">Catholicos, primate of the Persians (Marin Sanuto).  In</w:t></w:r>
</w:p>
<w:p>
<w:pPr><w:pStyle w:val="Normal"/></w:pPr>
<w:r><w:t xml:space="preserve">1610 Della Valle found a Scot, George Strachan, resident</w:t></w:r>
</w:p>
<w:p>
<w:pPr><w:pStyle w:val="Normal"/></w:pPr>
<w:r><w:t xml:space="preserve">at `Ana (to study Arabic) as physician to the amir (i.</w:t></w:r>
</w:p>
<w:p>
<w:pPr><w:pStyle w:val="Normal"/></w:pPr>
<w:r><w:t xml:space="preserve">671-681).  In 1835 the steamer ``Tigris&apos;&apos; of the English</w:t></w:r>
</w:p>
<w:p>
<w:pPr><w:pStyle w:val="Normal"/></w:pPr>
<w:r><w:t xml:space="preserve">Euphrates expedition went down in a hurricane just above</w:t></w:r>
</w:p>
<w:p>
<w:pPr><w:pStyle w:val="Normal"/></w:pPr>
<w:r><w:t xml:space="preserve">`Ana, near where Julian&apos;s force had suffered from a similar</w:t></w:r>
</w:p>
<w:p>
<w:pPr><w:pStyle w:val="Normal"/></w:pPr>
<w:r><w:t xml:space="preserve">storm.  Della Valle described `Ana as the chief Arab town on the</w:t></w:r>
</w:p>
<w:p>
<w:pPr><w:pStyle w:val="Normal"/></w:pPr>
<w:r><w:t xml:space="preserve">Euphrates, an importance which it owes to its position on one</w:t></w:r>
</w:p>
<w:p>
<w:pPr><w:pStyle w:val="Normal"/></w:pPr>
<w:r><w:t xml:space="preserve">of the routes from the west to Bagdad; Texeira said that the</w:t></w:r>
</w:p>
<w:p>
<w:pPr><w:pStyle w:val="Normal"/></w:pPr>
<w:r><w:t xml:space="preserve">power of its amir extended to Palmyra (early 17th century);</w:t></w:r>
</w:p>
<w:p>
<w:pPr><w:pStyle w:val="Normal"/></w:pPr>
<w:r><w:t xml:space="preserve">but Olivier found the ruling prince with only twenty-five</w:t></w:r>
</w:p>
<w:p>
<w:pPr><w:pStyle w:val="Normal"/></w:pPr>
<w:r><w:t xml:space="preserve">men in his service, the town becoming more depopulated every</w:t></w:r>
</w:p>
<w:p>
<w:pPr><w:pStyle w:val="Normal"/></w:pPr>
<w:r><w:t xml:space="preserve">day from lack of protection from the Arabs of the desert.</w:t></w:r>
</w:p>
<w:p>
<w:pPr><w:pStyle w:val="Normal"/></w:pPr>
<w:r><w:t xml:space="preserve">Von Oppenheim (1893) reported that Turkish troops having</w:t></w:r>
</w:p>
<w:p>
<w:pPr><w:pStyle w:val="Normal"/></w:pPr>
<w:r><w:t xml:space="preserve">been recently stationed at the place, it had no longer to pay</w:t></w:r>
</w:p>
<w:p>
<w:pPr><w:pStyle w:val="Normal"/></w:pPr>
<w:r><w:t xml:space="preserve">blackmail (huwwa) to the Arabs.  F. R. Chesney reported some</w:t></w:r>
</w:p>
<w:p>
<w:pPr><w:pStyle w:val="Normal"/></w:pPr>
<w:r><w:t xml:space="preserve">1800 houses, 2 mosques and 16 water-wheels; W. F. Ainsworth</w:t></w:r>
</w:p>
<w:p>
<w:pPr><w:pStyle w:val="Normal"/></w:pPr>
<w:r><w:t xml:space="preserve">(1835) reported the Arabs as inhabiting the N.W. part of the</w:t></w:r>
</w:p>
<w:p>
<w:pPr><w:pStyle w:val="Normal"/></w:pPr>
<w:r><w:t xml:space="preserve">town, the Christians the centre, and the Jews the S.E.;</w:t></w:r>
</w:p>
<w:p>
<w:pPr><w:pStyle w:val="Normal"/></w:pPr>
<w:r><w:t xml:space="preserve">Della Valle (1610) found some sun-worshippers still there.</w:t></w:r>
</w:p>
<w:p>
<w:pPr><w:pStyle w:val="Normal"/></w:pPr>
<w:r><w:t xml:space="preserve">Modern `Ana lies from W. to E. on the right bank along</w:t></w:r>
</w:p>
<w:p>
<w:pPr><w:pStyle w:val="Normal"/></w:pPr>
<w:r><w:t xml:space="preserve">a bend of the river just before it turns S. towards Hit,</w:t></w:r>
</w:p>
<w:p>
<w:pPr><w:pStyle w:val="Normal"/></w:pPr>
<w:r><w:t xml:space="preserve">and presents an attractive appearance.  It extends, chiefly</w:t></w:r>
</w:p>
<w:p>
<w:pPr><w:pStyle w:val="Normal"/></w:pPr>
<w:r><w:t xml:space="preserve">as a single street, for several miles along a narrow strip</w:t></w:r>
</w:p>
<w:p>
<w:pPr><w:pStyle w:val="Normal"/></w:pPr>
<w:r><w:t xml:space="preserve">of land between the river and a ridge of rocky hills.  The</w:t></w:r>
</w:p>
<w:p>
<w:pPr><w:pStyle w:val="Normal"/></w:pPr>
<w:r><w:t xml:space="preserve">houses are separated from one another by fruit gardens.</w:t></w:r>
</w:p>
<w:p>
<w:pPr><w:pStyle w:val="Normal"/></w:pPr>
<w:r><w:t xml:space="preserve">`Ana marks the boundary between the olive (N.) and the date</w:t></w:r>
</w:p>
<w:p>
<w:pPr><w:pStyle w:val="Normal"/></w:pPr>
<w:r><w:t xml:space="preserve">(S.).  Arab poets celebrated its wine (Yuqut, iii. 593</w:t></w:r>
</w:p>
<w:p>
<w:pPr><w:pStyle w:val="Normal"/></w:pPr>
<w:r><w:t xml:space="preserve">f.), and Mustaufi (8/14th century) tells of the fame of its</w:t></w:r>
</w:p>
<w:p>
<w:pPr><w:pStyle w:val="Normal"/></w:pPr>
<w:r><w:t xml:space="preserve">palm-groves.  In the river, facing the town, is a succession</w:t></w:r>
</w:p>
<w:p>
<w:pPr><w:pStyle w:val="Normal"/></w:pPr>
<w:r><w:t xml:space="preserve">of equally productive islands.  The most easterly contains</w:t></w:r>
</w:p>
<w:p>
<w:pPr><w:pStyle w:val="Normal"/></w:pPr>
<w:r><w:t xml:space="preserve">the ruins of the old castle, whilst the remains of the</w:t></w:r>
</w:p>
<w:p>
<w:pPr><w:pStyle w:val="Normal"/></w:pPr>
<w:r><w:t xml:space="preserve">ancient Anatho extend from this island for about 2 m. down</w:t></w:r>
</w:p>
<w:p>
<w:pPr><w:pStyle w:val="Normal"/></w:pPr>
<w:r><w:t xml:space="preserve">the left bank.  Coarse cloth is almost the only manufacture.</w:t></w:r>
</w:p>
<w:p>
<w:pPr><w:pStyle w:val="Normal"/></w:pPr>
<w:r><w:t xml:space="preserve">BIBLIOGRAPHY.--in addition to the authorities cited above</w:t></w:r>
</w:p>
<w:p>
<w:pPr><w:pStyle w:val="Normal"/></w:pPr>
<w:r><w:t xml:space="preserve">may be mentioned: G. A. Olivier, Voyage dans l&apos;empire</w:t></w:r>
</w:p>
<w:p>
<w:pPr><w:pStyle w:val="Normal"/></w:pPr>
<w:r><w:t xml:space="preserve">othoman, &amp;c., iii. 450-459 (1807); Carl Ritter, Erdkunde</w:t></w:r>
</w:p>
<w:p>
<w:pPr><w:pStyle w:val="Normal"/></w:pPr>
<w:r><w:t xml:space="preserve">von Asien, vii. b., pp. 716- 726 (1844); W. F. Ainsworth,</w:t></w:r>
</w:p>
<w:p>
<w:pPr><w:pStyle w:val="Normal"/></w:pPr>
<w:r><w:t xml:space="preserve">Euphrates Expedition, i. 401-418 (1888).  For a map see</w:t></w:r>
</w:p>
<w:p>
<w:pPr><w:pStyle w:val="Normal"/></w:pPr>
<w:r><w:t xml:space="preserve">sheet 5 of the atlas accompanying Chesney&apos;s work. (H. W. H.)</w:t></w:r>
</w:p>
<w:p>
<w:pPr><w:pStyle w:val="Normal"/></w:pPr>
<w:r><w:t xml:space="preserve">1 Steph.  Byz. (sub Turos) says that Arrian calls Anatha Turos.</w:t></w:r>
</w:p>
<w:p>
<w:pPr><w:pStyle w:val="Normal"/></w:pPr>
<w:r><w:t xml:space="preserve">2 Texeira (1610) says that ``Anna&apos;&apos; lay on both</w:t></w:r>
</w:p>
<w:p>
<w:pPr><w:pStyle w:val="Normal"/></w:pPr>
<w:r><w:t xml:space="preserve">banks of the river, and so Della Valle (i. 671).</w:t></w:r>
</w:p>
<w:p>
<w:pPr><w:pStyle w:val="Normal"/></w:pPr>
<w:r><w:t xml:space="preserve">3 Ass. Deeds and Doc. nos. 23, 168, 228, 385.The</w:t></w:r>
</w:p>
<w:p>
<w:pPr><w:pStyle w:val="Normal"/></w:pPr>
<w:r><w:t xml:space="preserve">characters used are DIS TU, which may mean Ana-tu.</w:t></w:r>
</w:p>
<w:p>
<w:pPr><w:pStyle w:val="Normal"/></w:pPr>
<w:r><w:t xml:space="preserve">ANAHEIM, a city of Orange county, California, U.S.A., about 14</w:t></w:r>
</w:p>
<w:p>
<w:pPr><w:pStyle w:val="Normal"/></w:pPr>
<w:r><w:t xml:space="preserve">m.  S.E. of Los Angeles, about 12 m. from the Pacific Ocean,</w:t></w:r>
</w:p>
<w:p>
<w:pPr><w:pStyle w:val="Normal"/></w:pPr>
<w:r><w:t xml:space="preserve">and about 3 m. from the Santa Ana river. (1900) 1456; (1910)</w:t></w:r>
</w:p>
<w:p>
<w:pPr><w:pStyle w:val="Normal"/></w:pPr>
<w:r><w:t xml:space="preserve">2628.  It is served by the Atchison, Topeka &amp; Santa Fe, and</w:t></w:r>
</w:p>
<w:p>
<w:pPr><w:pStyle w:val="Normal"/></w:pPr>
<w:r><w:t xml:space="preserve">the Southern Pacific railways.  It lies in a fine fruit region,</w:t></w:r>
</w:p>
<w:p>
<w:pPr><w:pStyle w:val="Normal"/></w:pPr>
<w:r><w:t xml:space="preserve">in which oranges, lemons, apricots, grapes and walnuts are</w:t></w:r>
</w:p>
<w:p>
<w:pPr><w:pStyle w:val="Normal"/></w:pPr>
<w:r><w:t xml:space="preserve">raised.  The plain on which it is laid out, now fertile and</w:t></w:r>
</w:p>
<w:p>
<w:pPr><w:pStyle w:val="Normal"/></w:pPr>
<w:r><w:t xml:space="preserve">well-watered, was originally an arid waste.  Water for irrigation</w:t></w:r>
</w:p>
<w:p>
<w:pPr><w:pStyle w:val="Normal"/></w:pPr>
<w:r><w:t xml:space="preserve">is obtained from the Santa Ana river, about 15 m. above the</w:t></w:r>
</w:p>
<w:p>
<w:pPr><w:pStyle w:val="Normal"/></w:pPr>
<w:r><w:t xml:space="preserve">nearest point along the river to the city.  The city itself</w:t></w:r>
</w:p>
<w:p>
<w:pPr><w:pStyle w:val="Normal"/></w:pPr>
<w:r><w:t xml:space="preserve">has an area of only 1 1/2 sq. m., and in 1908 the population</w:t></w:r>
</w:p>
<w:p>
<w:pPr><w:pStyle w:val="Normal"/></w:pPr>
<w:r><w:t xml:space="preserve">of the district, including that of the city, was estimated at</w:t></w:r>
</w:p>
<w:p>
<w:pPr><w:pStyle w:val="Normal"/></w:pPr>
<w:r><w:t xml:space="preserve">5000.  The principal manufactures are dried and canned fruits,</w:t></w:r>
</w:p>
<w:p>
<w:pPr><w:pStyle w:val="Normal"/></w:pPr>
<w:r><w:t xml:space="preserve">wine, beer, and agricultural implements.  Anaheim is of</w:t></w:r>
</w:p>
<w:p>
<w:pPr><w:pStyle w:val="Normal"/></w:pPr>
<w:r><w:t xml:space="preserve">particular interest as the earliest of various settlements in</w:t></w:r>
</w:p>
<w:p>
<w:pPr><w:pStyle w:val="Normal"/></w:pPr>
<w:r><w:t xml:space="preserve">southern California in which co-operation has made possible</w:t></w:r>
</w:p>
<w:p>
<w:pPr><w:pStyle w:val="Normal"/></w:pPr>
<w:r><w:t xml:space="preserve">the establishment of intensive fruit culture in semi-desert</w:t></w:r>
</w:p>
<w:p>
<w:pPr><w:pStyle w:val="Normal"/></w:pPr>
<w:r><w:t xml:space="preserve">regions.  In 1857 fifty Germans (mostly mechanics) organized</w:t></w:r>
</w:p>
<w:p>
<w:pPr><w:pStyle w:val="Normal"/></w:pPr>
<w:r><w:t xml:space="preserve">in San Francisco the Los Angeles Vineyard Association and</w:t></w:r>
</w:p>
<w:p>
<w:pPr><w:pStyle w:val="Normal"/></w:pPr>
<w:r><w:t xml:space="preserve">bought 1165 acres of land here which could be irrigated from</w:t></w:r>
</w:p>
<w:p>
<w:pPr><w:pStyle w:val="Normal"/></w:pPr>
<w:r><w:t xml:space="preserve">the Santa Ana river; each member took possession of a 20</w:t></w:r>
</w:p>
<w:p>
<w:pPr><w:pStyle w:val="Normal"/></w:pPr>
<w:r><w:t xml:space="preserve">acre share only when gradual improvement had made everything</w:t></w:r>
</w:p>
<w:p>
<w:pPr><w:pStyle w:val="Normal"/></w:pPr>
<w:r><w:t xml:space="preserve">ready for occupancy and the tracts had been distributed by</w:t></w:r>
</w:p>
<w:p>
<w:pPr><w:pStyle w:val="Normal"/></w:pPr>
<w:r><w:t xml:space="preserve">lot, with bonuses or rebates to equalize them in value to</w:t></w:r>
</w:p>
<w:p>
<w:pPr><w:pStyle w:val="Normal"/></w:pPr>
<w:r><w:t xml:space="preserve">the drawers.  This ended the co-operative feature of the</w:t></w:r>
</w:p>
<w:p>
<w:pPr><w:pStyle w:val="Normal"/></w:pPr>
<w:r><w:t xml:space="preserve">enterprise, which was never communistic except that its</w:t></w:r>
</w:p>
<w:p>
<w:pPr><w:pStyle w:val="Normal"/></w:pPr>
<w:r><w:t xml:space="preserve">irrigating canal remained common property.  The settlement was</w:t></w:r>
</w:p>
<w:p>
<w:pPr><w:pStyle w:val="Normal"/></w:pPr>
<w:r><w:t xml:space="preserve">uninterruptedly successful, and was influential as a pioneer</w:t></w:r>
</w:p>
<w:p>
<w:pPr><w:pStyle w:val="Normal"/></w:pPr>
<w:r><w:t xml:space="preserve">experiment.  Anaheim was incorporated as a town in 1870;</w:t></w:r>
</w:p>
<w:p>
<w:pPr><w:pStyle w:val="Normal"/></w:pPr>
<w:r><w:t xml:space="preserve">this incorporation was revoked in 1872; in 1878 the town was</w:t></w:r>
</w:p>
<w:p>
<w:pPr><w:pStyle w:val="Normal"/></w:pPr>
<w:r><w:t xml:space="preserve">incorporated again; and in 1888 Anaheim received a city charter.</w:t></w:r>
</w:p>
<w:p>
<w:pPr><w:pStyle w:val="Normal"/></w:pPr>
<w:r><w:t xml:space="preserve">ANAHUAC, a geographical district of Mexico, limited by the</w:t></w:r>
</w:p>
<w:p>
<w:pPr><w:pStyle w:val="Normal"/></w:pPr>
<w:r><w:t xml:space="preserve">traditional and vaguely defined boundaries of an ancient Indian</w:t></w:r>
</w:p>
<w:p>
<w:pPr><w:pStyle w:val="Normal"/></w:pPr>
<w:r><w:t xml:space="preserve">empire or confederation of that name previous to the Spanish</w:t></w:r>
</w:p>
<w:p>
<w:pPr><w:pStyle w:val="Normal"/></w:pPr>
<w:r><w:t xml:space="preserve">conquest.  The word is said to signify ``country by the</w:t></w:r>
</w:p>
<w:p>
<w:pPr><w:pStyle w:val="Normal"/></w:pPr>
<w:r><w:t xml:space="preserve">waters&apos;&apos; in the old Aztec language; hence the theory that</w:t></w:r>
</w:p>
<w:p>
<w:pPr><w:pStyle w:val="Normal"/></w:pPr>
<w:r><w:t xml:space="preserve">Anahuac was located on the sea coast.  One of the theories</w:t></w:r>
</w:p>
<w:p>
<w:pPr><w:pStyle w:val="Normal"/></w:pPr>
<w:r><w:t xml:space="preserve">relating to the location of Anahuac describes it as all the</w:t></w:r>
</w:p>
<w:p>
<w:pPr><w:pStyle w:val="Normal"/></w:pPr>
<w:r><w:t xml:space="preserve">plateau region of Mexico, with an area equal to three-fourths</w:t></w:r>
</w:p>
<w:p>
<w:pPr><w:pStyle w:val="Normal"/></w:pPr>
<w:r><w:t xml:space="preserve">of the republic, and extending between the eastern and</w:t></w:r>
</w:p>
<w:p>
<w:pPr><w:pStyle w:val="Normal"/></w:pPr>
<w:r><w:t xml:space="preserve">western coast ranges from Rio Grande to the isthmus of</w:t></w:r>
</w:p>
<w:p>
<w:pPr><w:pStyle w:val="Normal"/></w:pPr>
<w:r><w:t xml:space="preserve">Tehuantepec.  A more exact description, however, limits it</w:t></w:r>
</w:p>
<w:p>
<w:pPr><w:pStyle w:val="Normal"/></w:pPr>
<w:r><w:t xml:space="preserve">to the great plateau valley in which the city of Mexico is</w:t></w:r>
</w:p>
<w:p>
<w:pPr><w:pStyle w:val="Normal"/></w:pPr>
<w:r><w:t xml:space="preserve">located, between 18 deg.  40&apos; and 20 deg.  30&apos; N. lat., about 200 m.</w:t></w:r>
</w:p>
<w:p>
<w:pPr><w:pStyle w:val="Normal"/></w:pPr>
<w:r><w:t xml:space="preserve">long by 75 m. wide, with an average elevation of 7500 ft.,</w:t></w:r>
</w:p>
<w:p>
<w:pPr><w:pStyle w:val="Normal"/></w:pPr>
<w:r><w:t xml:space="preserve">and a mean temperature of 62 deg. .  The accepted meaning of the</w:t></w:r>
</w:p>
<w:p>
<w:pPr><w:pStyle w:val="Normal"/></w:pPr>
<w:r><w:t xml:space="preserve">name fits this region as well as any on the sea coast, as</w:t></w:r>
</w:p>
<w:p>
<w:pPr><w:pStyle w:val="Normal"/></w:pPr>
<w:r><w:t xml:space="preserve">the lakes of this valley formerly covered one-tenth of its</w:t></w:r>
</w:p>
<w:p>
<w:pPr><w:pStyle w:val="Normal"/></w:pPr>
<w:r><w:t xml:space="preserve">area.  The existence of the name in southern Utah, United States,</w:t></w:r>
</w:p>
<w:p>
<w:pPr><w:pStyle w:val="Normal"/></w:pPr>
<w:r><w:t xml:space="preserve">and on the gulf coast of Mexico, has given rise to theories</w:t></w:r>
</w:p>
<w:p>
<w:pPr><w:pStyle w:val="Normal"/></w:pPr>
<w:r><w:t xml:space="preserve">of other locations and wider bounds for the old Indian empire.</w:t></w:r>
</w:p>
<w:p>
<w:pPr><w:pStyle w:val="Normal"/></w:pPr>
<w:r><w:t xml:space="preserve">ANALCITE, a commonly occurring mineral of the zeolite</w:t></w:r>
</w:p>
<w:p>
<w:pPr><w:pStyle w:val="Normal"/></w:pPr>
<w:r><w:t xml:space="preserve">group.  It crystallizes in the cubic system, the common form</w:t></w:r>
</w:p>
<w:p>
<w:pPr><w:pStyle w:val="Normal"/></w:pPr>
<w:r><w:t xml:space="preserve">being the icositetrahedron (211), either alone (fig. 1) or in</w:t></w:r>
</w:p>
<w:p>
<w:pPr><w:pStyle w:val="Normal"/></w:pPr>
<w:r><w:t xml:space="preserve">combination with the cube (100); sometimes the faces of the</w:t></w:r>
</w:p>
<w:p>
<w:pPr><w:pStyle w:val="Normal"/></w:pPr>
<w:r><w:t xml:space="preserve">cube predominate in size, and its corners are each replaced by</w:t></w:r>
</w:p>
<w:p>
<w:pPr><w:pStyle w:val="Normal"/></w:pPr>
<w:r><w:t xml:space="preserve">three small triangular faces representing the icositetrahedron</w:t></w:r>
</w:p>
<w:p>
<w:pPr><w:pStyle w:val="Normal"/></w:pPr>
<w:r><w:t xml:space="preserve">(fig. 2). Although cubic in form, analcite usually shows</w:t></w:r>
</w:p>
<w:p>
<w:pPr><w:pStyle w:val="Normal"/></w:pPr>
<w:r><w:t xml:space="preserve">feeble double refraction, and is thus optically anomalous.</w:t></w:r>
</w:p>
<w:p>
<w:pPr><w:pStyle w:val="Normal"/></w:pPr>
<w:r><w:t xml:space="preserve">This feature of analcite has been much studied, Sir David</w:t></w:r>
</w:p>
<w:p>
<w:pPr><w:pStyle w:val="Normal"/></w:pPr>
<w:r><w:t xml:space="preserve">Brewster in 1826 being the earliest investigator.  Crystals of</w:t></w:r>
</w:p>
<w:p>
<w:pPr><w:pStyle w:val="Normal"/></w:pPr>
<w:r><w:t xml:space="preserve">analcite are often perfectly colourless and transparent with</w:t></w:r>
</w:p>
<w:p>
<w:pPr><w:pStyle w:val="Normal"/></w:pPr>
<w:r><w:t xml:space="preserve">a brilliant glassy lustre, but some are opaque and white or</w:t></w:r>
</w:p>
<w:p>
<w:pPr><w:pStyle w:val="Normal"/></w:pPr>
<w:r><w:t xml:space="preserve">pinkish-white.  The hardness of the mineral is 5 to 5 1/2,</w:t></w:r>
</w:p>
<w:p>
<w:pPr><w:pStyle w:val="Normal"/></w:pPr>
<w:r><w:t xml:space="preserve">and its specific gravity is 2.25.  Chemically, analcite</w:t></w:r>
</w:p>
<w:p>
<w:pPr><w:pStyle w:val="Normal"/></w:pPr>
<w:r><w:t xml:space="preserve">is a hydrated sodium and aluminium silicate, NaAlSi2O6 +</w:t></w:r>
</w:p>
<w:p>
<w:pPr><w:pStyle w:val="Normal"/></w:pPr>
<w:r><w:t xml:space="preserve">H2O; small amounts of the sodium being sometimes replaced</w:t></w:r>
</w:p>
<w:p>
<w:pPr><w:pStyle w:val="Normal"/></w:pPr>
<w:r><w:t xml:space="preserve">by calcium or by potassium.  The water of crystallization is</w:t></w:r>
</w:p>
<w:p>
<w:pPr><w:pStyle w:val="Normal"/></w:pPr>
<w:r><w:t xml:space="preserve">readily expelled by heat, with modification of the optical</w:t></w:r>
</w:p>
<w:p>
<w:pPr><w:pStyle w:val="Normal"/></w:pPr>
<w:r><w:t xml:space="preserve">characters of the crystals.  Before the blowpipe the mineral</w:t></w:r>
</w:p>
<w:p>
<w:pPr><w:pStyle w:val="Normal"/></w:pPr>
<w:r><w:t xml:space="preserve">readily fuses with intumescence to a colourless glass.  It</w:t></w:r>
</w:p>
<w:p>
<w:pPr><w:pStyle w:val="Normal"/></w:pPr>
<w:r><w:t xml:space="preserve">is decomposed by acids with separation of gelatinous silica.</w:t></w:r>
</w:p>
<w:p>
<w:pPr><w:pStyle w:val="Normal"/></w:pPr>
<w:r><w:t xml:space="preserve">FIG. 1. FIG. 2.</w:t></w:r>
</w:p>
<w:p>
<w:pPr><w:pStyle w:val="Normal"/></w:pPr>
<w:r><w:t xml:space="preserve">Analcite usually occurs, associated with other zeolitic</w:t></w:r>
</w:p>
<w:p>
<w:pPr><w:pStyle w:val="Normal"/></w:pPr>
<w:r><w:t xml:space="preserve">minerals, lining amygdaloidal cavities in basic volcanic</w:t></w:r>
</w:p>
<w:p>
<w:pPr><w:pStyle w:val="Normal"/></w:pPr>
<w:r><w:t xml:space="preserve">rocks such as basalt and melaphyre, and especially in such as</w:t></w:r>
</w:p>
<w:p>
<w:pPr><w:pStyle w:val="Normal"/></w:pPr>
<w:r><w:t xml:space="preserve">have undergone alteration by weathering; the Tertiary basalts</w:t></w:r>
</w:p>
<w:p>
<w:pPr><w:pStyle w:val="Normal"/></w:pPr>
<w:r><w:t xml:space="preserve">of the north of Ireland frequently contain cavities lined</w:t></w:r>
</w:p>
<w:p>
<w:pPr><w:pStyle w:val="Normal"/></w:pPr>
<w:r><w:t xml:space="preserve">with small brilliant crystals of analcite.  Larger crystals</w:t></w:r>
</w:p>
<w:p>
<w:pPr><w:pStyle w:val="Normal"/></w:pPr>
<w:r><w:t xml:space="preserve">of the same kind are found in the basalt of the Cyclopean</w:t></w:r>
</w:p>
<w:p>
<w:pPr><w:pStyle w:val="Normal"/></w:pPr>
<w:r><w:t xml:space="preserve">Islands (Scogli de&apos; Ciclopi or Faraglioni) N.E. of Catania,</w:t></w:r>
</w:p>
<w:p>
<w:pPr><w:pStyle w:val="Normal"/></w:pPr>
<w:r><w:t xml:space="preserve">Sicily.  Large opaque crystals of the pinkish-white colour</w:t></w:r>
</w:p>
<w:p>
<w:pPr><w:pStyle w:val="Normal"/></w:pPr>
<w:r><w:t xml:space="preserve">are found in cavities in melaphyre at the Seisser Alpe near</w:t></w:r>
</w:p>
<w:p>
<w:pPr><w:pStyle w:val="Normal"/></w:pPr>
<w:r><w:t xml:space="preserve">Schlern in southern Tirol.  In all such cases the mineral</w:t></w:r>
</w:p>
<w:p>
<w:pPr><w:pStyle w:val="Normal"/></w:pPr>
<w:r><w:t xml:space="preserve">is clearly of secondary origin, but of late years another</w:t></w:r>
</w:p>
<w:p>
<w:pPr><w:pStyle w:val="Normal"/></w:pPr>
<w:r><w:t xml:space="preserve">mode of occurrence has been recognized, analcite having been</w:t></w:r>
</w:p>
<w:p>
<w:pPr><w:pStyle w:val="Normal"/></w:pPr>
<w:r><w:t xml:space="preserve">found as a primary constituent of certain igneous rocks such</w:t></w:r>
</w:p>
<w:p>
<w:pPr><w:pStyle w:val="Normal"/></w:pPr>
<w:r><w:t xml:space="preserve">as monchiquite and some basalts.  The irregular grains, of</w:t></w:r>
</w:p>
<w:p>
<w:pPr><w:pStyle w:val="Normal"/></w:pPr>
<w:r><w:t xml:space="preserve">which it has the form, had previously been mistaken for glass.</w:t></w:r>
</w:p>
<w:p>
<w:pPr><w:pStyle w:val="Normal"/></w:pPr>
<w:r><w:t xml:space="preserve">Owing to the fact that analcite often crystallizes in cubes,</w:t></w:r>
</w:p>
<w:p>
<w:pPr><w:pStyle w:val="Normal"/></w:pPr>
<w:r><w:t xml:space="preserve">it was long known as cubic zeolite or as cuboite.  The name</w:t></w:r>
</w:p>
<w:p>
<w:pPr><w:pStyle w:val="Normal"/></w:pPr>
<w:r><w:t xml:space="preserve">now in use was proposed in 1797 in the form analcime, by R. J.</w:t></w:r>
</w:p>
<w:p>
<w:pPr><w:pStyle w:val="Normal"/></w:pPr>
<w:r><w:t xml:space="preserve">Hauy, in allusion to the weak (analkis) electrification</w:t></w:r>
</w:p>
<w:p>
<w:pPr><w:pStyle w:val="Normal"/></w:pPr>
<w:r><w:t xml:space="preserve">of the mineral produced by friction.  Euthallite is a compact,</w:t></w:r>
</w:p>
<w:p>
<w:pPr><w:pStyle w:val="Normal"/></w:pPr>
<w:r><w:t xml:space="preserve">greenish analcite, produced by the alteration of elaeolite at</w:t></w:r>
</w:p>
<w:p>
<w:pPr><w:pStyle w:val="Normal"/></w:pPr>
<w:r><w:t xml:space="preserve">various localities in the Langesund-fjord in southern Norway.</w:t></w:r>
</w:p>
<w:p>
<w:pPr><w:pStyle w:val="Normal"/></w:pPr>
<w:r><w:t xml:space="preserve">Eudnophite, from the same region, was originally described as</w:t></w:r>
</w:p>
<w:p>
<w:pPr><w:pStyle w:val="Normal"/></w:pPr>
<w:r><w:t xml:space="preserve">an orthorhombic mineral dimorphous with analcite, but has since</w:t></w:r>
</w:p>
<w:p>
<w:pPr><w:pStyle w:val="Normal"/></w:pPr>
<w:r><w:t xml:space="preserve">been found to be identical with it.  Cluthalite, from the Clyde</w:t></w:r>
</w:p>
<w:p>
<w:pPr><w:pStyle w:val="Normal"/></w:pPr>
<w:r><w:t xml:space="preserve">(Clutha) valley, is an altered form of the mineral. (L. J. S.)</w:t></w:r>
</w:p>
<w:p>
<w:pPr><w:pStyle w:val="Normal"/></w:pPr>
<w:r><w:t xml:space="preserve">ANALOGY (Gr. analogia, proportion), a term signifying,</w:t></w:r>
</w:p>
<w:p>
<w:pPr><w:pStyle w:val="Normal"/></w:pPr>
<w:r><w:t xml:space="preserve">(1) in general, resemblance which falls short of absolute</w:t></w:r>
</w:p>
<w:p>
<w:pPr><w:pStyle w:val="Normal"/></w:pPr>
<w:r><w:t xml:space="preserve">similarity or identity.  Thus by analogy, the word ``loud,&apos;&apos;</w:t></w:r>
</w:p>
<w:p>
<w:pPr><w:pStyle w:val="Normal"/></w:pPr>
<w:r><w:t xml:space="preserve">originally applied to sounds, is used of garments which obtrude</w:t></w:r>
</w:p>
<w:p>
<w:pPr><w:pStyle w:val="Normal"/></w:pPr>
<w:r><w:t xml:space="preserve">themselves on the attention; all metaphor is thus a kind of</w:t></w:r>
</w:p>
<w:p>
<w:pPr><w:pStyle w:val="Normal"/></w:pPr>
<w:r><w:t xml:space="preserve">analogy. (2) Euclid used the term for proportionate equality;</w:t></w:r>
</w:p>
<w:p>
<w:pPr><w:pStyle w:val="Normal"/></w:pPr>
<w:r><w:t xml:space="preserve">but in mathematics it is now obsolete except in the phrase,</w:t></w:r>
</w:p>
<w:p>
<w:pPr><w:pStyle w:val="Normal"/></w:pPr>
<w:r><w:t xml:space="preserve">``Napier&apos;s Analogies&apos;&apos; in spherical trigonometry (see NAPIER,</w:t></w:r>
</w:p>
<w:p>
<w:pPr><w:pStyle w:val="Normal"/></w:pPr>
<w:r><w:t xml:space="preserve">JOHN.) (3) In grammar, it signifies similarity in the dominant</w:t></w:r>
</w:p>
<w:p>
<w:pPr><w:pStyle w:val="Normal"/></w:pPr>
<w:r><w:t xml:space="preserve">characteristics of a language, derivation, orthography and so</w:t></w:r>
</w:p>
<w:p>
<w:pPr><w:pStyle w:val="Normal"/></w:pPr>
<w:r><w:t xml:space="preserve">on. (4) In logic, it is used of arguments by inference from</w:t></w:r>
</w:p>
<w:p>
<w:pPr><w:pStyle w:val="Normal"/></w:pPr>
<w:r><w:t xml:space="preserve">resemblances between known particulars to other particulars</w:t></w:r>
</w:p>
<w:p>
<w:pPr><w:pStyle w:val="Normal"/></w:pPr>
<w:r><w:t xml:space="preserve">which are not observed.  Under the name of ``example&apos;&apos;</w:t></w:r>
</w:p>
<w:p>
<w:pPr><w:pStyle w:val="Normal"/></w:pPr>
<w:r><w:t xml:space="preserve">(paradeigma) the process is explained by Aristotle (Prior</w:t></w:r>
</w:p>
<w:p>
<w:pPr><w:pStyle w:val="Normal"/></w:pPr>
<w:r><w:t xml:space="preserve">Anal. ii. 4) as an inference which differs from induction</w:t></w:r>
</w:p>
<w:p>
<w:pPr><w:pStyle w:val="Normal"/></w:pPr>
<w:r><w:t xml:space="preserve">(q.v.) in havinga particular, not a general, conclusion;</w:t></w:r>
</w:p>
<w:p>
<w:pPr><w:pStyle w:val="Normal"/></w:pPr>
<w:r><w:t xml:space="preserve">i.e. if A is demonstrably like B in certain respects, it may</w:t></w:r>
</w:p>
<w:p>
<w:pPr><w:pStyle w:val="Normal"/></w:pPr>
<w:r><w:t xml:space="preserve">be assumed to be like it in another, though the latter is not</w:t></w:r>
</w:p>
<w:p>
<w:pPr><w:pStyle w:val="Normal"/></w:pPr>
<w:r><w:t xml:space="preserve">demonstrated.  Kant and his followers state the distinction</w:t></w:r>
</w:p>
<w:p>
<w:pPr><w:pStyle w:val="Normal"/></w:pPr>
<w:r><w:t xml:space="preserve">otherwise, i.e. induction argues from the possession of an</w:t></w:r>
</w:p>
<w:p>
<w:pPr><w:pStyle w:val="Normal"/></w:pPr>
<w:r><w:t xml:space="preserve">attribute by many members of a class that all members of the</w:t></w:r>
</w:p>
<w:p>
<w:pPr><w:pStyle w:val="Normal"/></w:pPr>
<w:r><w:t xml:space="preserve">class possess it, while analogy argues that, because A has</w:t></w:r>
</w:p>
<w:p>
<w:pPr><w:pStyle w:val="Normal"/></w:pPr>
<w:r><w:t xml:space="preserve">some of B&apos;s qualities, it must have them all (cf. Sir Wm.</w:t></w:r>
</w:p>
<w:p>
<w:pPr><w:pStyle w:val="Normal"/></w:pPr>
<w:r><w:t xml:space="preserve">Hamilton, Lectures on Logic, ii. 165-174, for a slight</w:t></w:r>
</w:p>
<w:p>
<w:pPr><w:pStyle w:val="Normal"/></w:pPr>
<w:r><w:t xml:space="preserve">modification of this view).  J. S. Mill very properly rejects</w:t></w:r>
</w:p>
<w:p>
<w:pPr><w:pStyle w:val="Normal"/></w:pPr>
<w:r><w:t xml:space="preserve">this artificial distinction, which is in practice no distinction</w:t></w:r>
</w:p>
<w:p>
<w:pPr><w:pStyle w:val="Normal"/></w:pPr>
<w:r><w:t xml:space="preserve">at all; he regards induction and analogy as generically the</w:t></w:r>
</w:p>
<w:p>
<w:pPr><w:pStyle w:val="Normal"/></w:pPr>
<w:r><w:t xml:space="preserve">same, though differing in the demonstrative validity of</w:t></w:r>
</w:p>
<w:p>
<w:pPr><w:pStyle w:val="Normal"/></w:pPr>
<w:r><w:t xml:space="preserve">their evidence, i.e. induction proceeds on the basis of</w:t></w:r>
</w:p>
<w:p>
<w:pPr><w:pStyle w:val="Normal"/></w:pPr>
<w:r><w:t xml:space="preserve">scientific, causal connexion, while analogy, in absence of</w:t></w:r>
</w:p>
<w:p>
<w:pPr><w:pStyle w:val="Normal"/></w:pPr>
<w:r><w:t xml:space="preserve">proof, temporarily accepts a probable hypothesis.  In this</w:t></w:r>
</w:p>
<w:p>
<w:pPr><w:pStyle w:val="Normal"/></w:pPr>
<w:r><w:t xml:space="preserve">sense, analogy may obviously have a universal conclusion.</w:t></w:r>
</w:p>
<w:p>
<w:pPr><w:pStyle w:val="Normal"/></w:pPr>
<w:r><w:t xml:space="preserve">This type of inference is of the greatest value in physical</w:t></w:r>
</w:p>
<w:p>
<w:pPr><w:pStyle w:val="Normal"/></w:pPr>
<w:r><w:t xml:space="preserve">science, which has frequently and quite legitimately used</w:t></w:r>
</w:p>
<w:p>
<w:pPr><w:pStyle w:val="Normal"/></w:pPr>
<w:r><w:t xml:space="preserve">such conclusions until a negative instance has disproved or</w:t></w:r>
</w:p>
<w:p>
<w:pPr><w:pStyle w:val="Normal"/></w:pPr>
<w:r><w:t xml:space="preserve">further evidence confirmed them (for a list of typical cases</w:t></w:r>
</w:p>
<w:p>
<w:pPr><w:pStyle w:val="Normal"/></w:pPr>
<w:r><w:t xml:space="preserve">see T. Fowler&apos;s edition of Bacon&apos;s Nov. Org. Aph. ii. 27</w:t></w:r>
</w:p>
<w:p>
<w:pPr><w:pStyle w:val="Normal"/></w:pPr>
<w:r><w:t xml:space="preserve">note).  The value of such inferences depends on the nature</w:t></w:r>
</w:p>
<w:p>
<w:pPr><w:pStyle w:val="Normal"/></w:pPr>
<w:r><w:t xml:space="preserve">of the resemblances on which they are based and on that of</w:t></w:r>
</w:p>
<w:p>
<w:pPr><w:pStyle w:val="Normal"/></w:pPr>
<w:r><w:t xml:space="preserve">the differences which they disregard.  If the resemblances</w:t></w:r>
</w:p>
<w:p>
<w:pPr><w:pStyle w:val="Normal"/></w:pPr>
<w:r><w:t xml:space="preserve">are small and unimportant and the differences great and</w:t></w:r>
</w:p>
<w:p>
<w:pPr><w:pStyle w:val="Normal"/></w:pPr>
<w:r><w:t xml:space="preserve">fundamental, the argument is known as ``False Analogy.&apos;&apos; The</w:t></w:r>
</w:p>
<w:p>
<w:pPr><w:pStyle w:val="Normal"/></w:pPr>
<w:r><w:t xml:space="preserve">subject is dealt with in Francis Bacon&apos;s Novum Organum,</w:t></w:r>
</w:p>
<w:p>
<w:pPr><w:pStyle w:val="Normal"/></w:pPr>
<w:r><w:t xml:space="preserve">especially ii. 27 (see T. H. Fowler&apos;s notes) under the head</w:t></w:r>
</w:p>
<w:p>
<w:pPr><w:pStyle w:val="Normal"/></w:pPr>
<w:r><w:t xml:space="preserve">of Instantiae conformes sive proportionatae. Strictly</w:t></w:r>
</w:p>
<w:p>
<w:pPr><w:pStyle w:val="Normal"/></w:pPr>
<w:r><w:t xml:space="preserve">the argument by analogy is based on similarity of relations</w:t></w:r>
</w:p>
<w:p>
<w:pPr><w:pStyle w:val="Normal"/></w:pPr>
<w:r><w:t xml:space="preserve">between things, not on the similarity of things, though it</w:t></w:r>
</w:p>
<w:p>
<w:pPr><w:pStyle w:val="Normal"/></w:pPr>
<w:r><w:t xml:space="preserve">is, in general, extended to cover the latter.  See works on</w:t></w:r>
</w:p>
<w:p>
<w:pPr><w:pStyle w:val="Normal"/></w:pPr>
<w:r><w:t xml:space="preserve">Logic, e.g. J. S. Mill, T. H. Fowler, W. S. Jevons.  For</w:t></w:r>
</w:p>
<w:p>
<w:pPr><w:pStyle w:val="Normal"/></w:pPr>
<w:r><w:t xml:space="preserve">Butler&apos;s Analogy and its method see BUTLER, JOSEPH.</w:t></w:r>
</w:p>
<w:p>
<w:pPr><w:pStyle w:val="Normal"/></w:pPr>
<w:r><w:t xml:space="preserve">The term was used in a special sense by Kant in his phrase,</w:t></w:r>
</w:p>
<w:p>
<w:pPr><w:pStyle w:val="Normal"/></w:pPr>
<w:r><w:t xml:space="preserve">``Analogies of Experience,&apos;&apos; the third and most important group</w:t></w:r>
</w:p>
<w:p>
<w:pPr><w:pStyle w:val="Normal"/></w:pPr>
<w:r><w:t xml:space="preserve">in his classification of the a priori elements of knowledge.</w:t></w:r>
</w:p>
<w:p>
<w:pPr><w:pStyle w:val="Normal"/></w:pPr>
<w:r><w:t xml:space="preserve">By it he understood the fundamental laws of pure natural science</w:t></w:r>
</w:p>
<w:p>
<w:pPr><w:pStyle w:val="Normal"/></w:pPr>
<w:r><w:t xml:space="preserve">under the three heads, substantiality, causality, reciprocity</w:t></w:r>
</w:p>
<w:p>
<w:pPr><w:pStyle w:val="Normal"/></w:pPr>
<w:r><w:t xml:space="preserve">(see F. Paulsen, I. Kant, Eng. trans. 1902, pp. 188 ff.).</w:t></w:r>
</w:p>
<w:p>
<w:pPr><w:pStyle w:val="Normal"/></w:pPr>
<w:r><w:t xml:space="preserve">ANALYSIS (Gr. ana and luein, to break up into parts), in</w:t></w:r>
</w:p>
<w:p>
<w:pPr><w:pStyle w:val="Normal"/></w:pPr>
<w:r><w:t xml:space="preserve">general, the resolution of a whole into its component elements;</w:t></w:r>
</w:p>
<w:p>
<w:pPr><w:pStyle w:val="Normal"/></w:pPr>
<w:r><w:t xml:space="preserve">opposed to synthesis, the combining of separate elements or</w:t></w:r>
</w:p>
<w:p>
<w:pPr><w:pStyle w:val="Normal"/></w:pPr>
<w:r><w:t xml:space="preserve">minor wholes into an inclusive unity.  It differs from mere</w:t></w:r>
</w:p>
<w:p>
<w:pPr><w:pStyle w:val="Normal"/></w:pPr>
<w:r><w:t xml:space="preserve">``disintegration&apos;, in proceeding on a definite scientific</w:t></w:r>
</w:p>
<w:p>
<w:pPr><w:pStyle w:val="Normal"/></w:pPr>
<w:r><w:t xml:space="preserve">plan.  In grammar, analysis is the breaking up of a sentence</w:t></w:r>
</w:p>
<w:p>
<w:pPr><w:pStyle w:val="Normal"/></w:pPr>
<w:r><w:t xml:space="preserve">into subject, predicate, object, &amp;c. (an exercise introduced</w:t></w:r>
</w:p>
<w:p>
<w:pPr><w:pStyle w:val="Normal"/></w:pPr>
<w:r><w:t xml:space="preserve">into English schools by J. D. Morell about 1852); so the</w:t></w:r>
</w:p>
<w:p>
<w:pPr><w:pStyle w:val="Normal"/></w:pPr>
<w:r><w:t xml:space="preserve">analysis of a book or a lecture is a synopsis of the main</w:t></w:r>
</w:p>
<w:p>
<w:pPr><w:pStyle w:val="Normal"/></w:pPr>
<w:r><w:t xml:space="preserve">points.  The chief technical uses of the word, which</w:t></w:r>
</w:p>
<w:p>
<w:pPr><w:pStyle w:val="Normal"/></w:pPr>
<w:r><w:t xml:space="preserve">retains practically the same meaning in all the sciences,</w:t></w:r>
</w:p>
<w:p>
<w:pPr><w:pStyle w:val="Normal"/></w:pPr>
<w:r><w:t xml:space="preserve">are in (1) philosophy, (2) mathematics, (3) chemistry.</w:t></w:r>
</w:p>
<w:p>
<w:pPr><w:pStyle w:val="Normal"/></w:pPr>
<w:r><w:t xml:space="preserve">(1) Logical analysis is the process of examining into the</w:t></w:r>
</w:p>
<w:p>
<w:pPr><w:pStyle w:val="Normal"/></w:pPr>
<w:r><w:t xml:space="preserve">connotation of a concept or idea, and separating the attributes</w:t></w:r>
</w:p>
<w:p>
<w:pPr><w:pStyle w:val="Normal"/></w:pPr>
<w:r><w:t xml:space="preserve">from the whole and each other.  It, therefore, does not increase</w:t></w:r>
</w:p>
<w:p>
<w:pPr><w:pStyle w:val="Normal"/></w:pPr>
<w:r><w:t xml:space="preserve">knowledge, but merely clarifies and tests it.  In this sense</w:t></w:r>
</w:p>
<w:p>
<w:pPr><w:pStyle w:val="Normal"/></w:pPr>
<w:r><w:t xml:space="preserve">Kant distinguished an analytic from a synthetic judgment, as</w:t></w:r>
</w:p>
<w:p>
<w:pPr><w:pStyle w:val="Normal"/></w:pPr>
<w:r><w:t xml:space="preserve">one in which the predicate is involved in the essence of the</w:t></w:r>
</w:p>
<w:p>
<w:pPr><w:pStyle w:val="Normal"/></w:pPr>
<w:r><w:t xml:space="preserve">subject.  Such judgments are also known as verbal, as</w:t></w:r>
</w:p>
<w:p>
<w:pPr><w:pStyle w:val="Normal"/></w:pPr>
<w:r><w:t xml:space="preserve">opposed to real or ampliative judgments.  The processes of</w:t></w:r>
</w:p>
<w:p>
<w:pPr><w:pStyle w:val="Normal"/></w:pPr>
<w:r><w:t xml:space="preserve">synthesis and analysis though formally contradictory are</w:t></w:r>
</w:p>
<w:p>
<w:pPr><w:pStyle w:val="Normal"/></w:pPr>
<w:r><w:t xml:space="preserve">practically supplementary; thus to analyse the connotation is</w:t></w:r>
</w:p>
<w:p>
<w:pPr><w:pStyle w:val="Normal"/></w:pPr>
<w:r><w:t xml:space="preserve">to synthesize the denotation of a term, and vice versa; the</w:t></w:r>
</w:p>
<w:p>
<w:pPr><w:pStyle w:val="Normal"/></w:pPr>
<w:r><w:t xml:space="preserve">process of knowledge involves the two methods, analysis being</w:t></w:r>
</w:p>
<w:p>
<w:pPr><w:pStyle w:val="Normal"/></w:pPr>
<w:r><w:t xml:space="preserve">the corrective of synthetic empiricism.  In a wider sense the</w:t></w:r>
</w:p>
<w:p>
<w:pPr><w:pStyle w:val="Normal"/></w:pPr>
<w:r><w:t xml:space="preserve">whole of formal logic is precisely the analysis of the laws of</w:t></w:r>
</w:p>
<w:p>
<w:pPr><w:pStyle w:val="Normal"/></w:pPr>
<w:r><w:t xml:space="preserve">thought.  Analytical psychology is distinguished from genetic</w:t></w:r>
</w:p>
<w:p>
<w:pPr><w:pStyle w:val="Normal"/></w:pPr>
<w:r><w:t xml:space="preserve">and empirical psychology inasmuch as it proceeds by the method</w:t></w:r>
</w:p>
<w:p>
<w:pPr><w:pStyle w:val="Normal"/></w:pPr>
<w:r><w:t xml:space="preserve">of introspective investigation of mental phenomena instead</w:t></w:r>
</w:p>
<w:p>
<w:pPr><w:pStyle w:val="Normal"/></w:pPr>
<w:r><w:t xml:space="preserve">of by physiological or psycho-physical experiment.  For the</w:t></w:r>
</w:p>
<w:p>
<w:pPr><w:pStyle w:val="Normal"/></w:pPr>
<w:r><w:t xml:space="preserve">relation between analysis and synthesis on the one hand,</w:t></w:r>
</w:p>
<w:p>
<w:pPr><w:pStyle w:val="Normal"/></w:pPr>
<w:r><w:t xml:space="preserve">and deduction and induction on the other, see INDUCTION.</w:t></w:r>
</w:p>
<w:p>
<w:pPr><w:pStyle w:val="Normal"/></w:pPr>
<w:r><w:t xml:space="preserve">(2) In mathematics, analysis has two distinct meanings, conveniently</w:t></w:r>
</w:p>
<w:p>
<w:pPr><w:pStyle w:val="Normal"/></w:pPr>
<w:r><w:t xml:space="preserve">termed ancient and modern.  Ancient analysis, as described by</w:t></w:r>
</w:p>
<w:p>
<w:pPr><w:pStyle w:val="Normal"/></w:pPr>
<w:r><w:t xml:space="preserve">Pappus, related chiefly to geometrical problems, and is the</w:t></w:r>
</w:p>
<w:p>
<w:pPr><w:pStyle w:val="Normal"/></w:pPr>
<w:r><w:t xml:space="preserve">method of reasoning from the solution, as taken for granted,</w:t></w:r>
</w:p>
<w:p>
<w:pPr><w:pStyle w:val="Normal"/></w:pPr>
<w:r><w:t xml:space="preserve">to consequences which are known to be true, whereas synthesis</w:t></w:r>
</w:p>
<w:p>
<w:pPr><w:pStyle w:val="Normal"/></w:pPr>
<w:r><w:t xml:space="preserve">reasons from known data to the solution. (See GEOMETRY.)</w:t></w:r>
</w:p>
<w:p>
<w:pPr><w:pStyle w:val="Normal"/></w:pPr>
<w:r><w:t xml:space="preserve">Modern analysis is practically coeval with Descartes, the</w:t></w:r>
</w:p>
<w:p>
<w:pPr><w:pStyle w:val="Normal"/></w:pPr>
<w:r><w:t xml:space="preserve">founder of ``analytical geometry,&apos;&apos; although the calculus of</w:t></w:r>
</w:p>
<w:p>
<w:pPr><w:pStyle w:val="Normal"/></w:pPr>
<w:r><w:t xml:space="preserve">general quantities had previously been termed analysis.  Many</w:t></w:r>
</w:p>
<w:p>
<w:pPr><w:pStyle w:val="Normal"/></w:pPr>
<w:r><w:t xml:space="preserve">mathematical subjects are now included under this name, and</w:t></w:r>
</w:p>
<w:p>
<w:pPr><w:pStyle w:val="Normal"/></w:pPr>
<w:r><w:t xml:space="preserve">are treated in the following articles:--GEOMETRY, ANALYTICAL;</w:t></w:r>
</w:p>
<w:p>
<w:pPr><w:pStyle w:val="Normal"/></w:pPr>
<w:r><w:t xml:space="preserve">INFINITESIMAL CALCULUS; DIFFERENTIAL EQUATION; VARIATIONS,</w:t></w:r>
</w:p>
<w:p>
<w:pPr><w:pStyle w:val="Normal"/></w:pPr>
<w:r><w:t xml:space="preserve">CALCULUS OF; CURVE; SURFACE; FUNCTION; SPHERICAL HARMONICS;</w:t></w:r>
</w:p>
<w:p>
<w:pPr><w:pStyle w:val="Normal"/></w:pPr>
<w:r><w:t xml:space="preserve">SERIES; FOURIER&apos;S SERIES; GROUPS, THEORY OF; PROBABILITY.</w:t></w:r>
</w:p>
<w:p>
<w:pPr><w:pStyle w:val="Normal"/></w:pPr>
<w:r><w:t xml:space="preserve">(3) In Chemistry, the word analysis was introduced</w:t></w:r>
</w:p>
<w:p>
<w:pPr><w:pStyle w:val="Normal"/></w:pPr>
<w:r><w:t xml:space="preserve">by Robert Boyle to denote the determination of the</w:t></w:r>
</w:p>
<w:p>
<w:pPr><w:pStyle w:val="Normal"/></w:pPr>
<w:r><w:t xml:space="preserve">composition of substances. (See CHEMISTRY, Analytical.)</w:t></w:r>
</w:p>
<w:p>
<w:pPr><w:pStyle w:val="Normal"/></w:pPr>
<w:r><w:t xml:space="preserve">ANALYST, in modern times, a person professionally skilled in</w:t></w:r>
</w:p>
<w:p>
<w:pPr><w:pStyle w:val="Normal"/></w:pPr>
<w:r><w:t xml:space="preserve">chemical analysis.  He may be called upon, in the discharge of his</w:t></w:r>
</w:p>
<w:p>
<w:pPr><w:pStyle w:val="Normal"/></w:pPr>
<w:r><w:t xml:space="preserve">profession, to analyse a wide range of substances.  Apart from</w:t></w:r>
</w:p>
<w:p>
<w:pPr><w:pStyle w:val="Normal"/></w:pPr>
<w:r><w:t xml:space="preserve">private practitioners and those engaged in large manufacturing</w:t></w:r>
</w:p>
<w:p>
<w:pPr><w:pStyle w:val="Normal"/></w:pPr>
<w:r><w:t xml:space="preserve">concerns, analysts employed by public bodies are termed public</w:t></w:r>
</w:p>
<w:p>
<w:pPr><w:pStyle w:val="Normal"/></w:pPr>
<w:r><w:t xml:space="preserve">analysts.  In most large manufacturing establishments there</w:t></w:r>
</w:p>
<w:p>
<w:pPr><w:pStyle w:val="Normal"/></w:pPr>
<w:r><w:t xml:space="preserve">is usually a staff of analysts, whose duty it is primarily</w:t></w:r>
</w:p>
<w:p>
<w:pPr><w:pStyle w:val="Normal"/></w:pPr>
<w:r><w:t xml:space="preserve">to exercise constant watchfulness over the processes of</w:t></w:r>
</w:p>
<w:p>
<w:pPr><w:pStyle w:val="Normal"/></w:pPr>
<w:r><w:t xml:space="preserve">manufacture, to test the purity of the substances used, as</w:t></w:r>
</w:p>
<w:p>
<w:pPr><w:pStyle w:val="Normal"/></w:pPr>
<w:r><w:t xml:space="preserve">well as that of the final products.  The services of analysts</w:t></w:r>
</w:p>
<w:p>
<w:pPr><w:pStyle w:val="Normal"/></w:pPr>
<w:r><w:t xml:space="preserve">are constantly required in judicial enquiries, sometimes</w:t></w:r>
</w:p>
<w:p>
<w:pPr><w:pStyle w:val="Normal"/></w:pPr>
<w:r><w:t xml:space="preserve">in purely criminal cases, sometimes in civil proceedings,</w:t></w:r>
</w:p>
<w:p>
<w:pPr><w:pStyle w:val="Normal"/></w:pPr>
<w:r><w:t xml:space="preserve">such as offences against the customs or excise or under the</w:t></w:r>
</w:p>
<w:p>
<w:pPr><w:pStyle w:val="Normal"/></w:pPr>
<w:r><w:t xml:space="preserve">various British Food and Drugs Acts.  In the case of criminal</w:t></w:r>
</w:p>
<w:p>
<w:pPr><w:pStyle w:val="Normal"/></w:pPr>
<w:r><w:t xml:space="preserve">proceedings, the services of the official analyst attached</w:t></w:r>
</w:p>
<w:p>
<w:pPr><w:pStyle w:val="Normal"/></w:pPr>
<w:r><w:t xml:space="preserve">to the British Home Office are employed.  The inland revenue</w:t></w:r>
</w:p>
<w:p>
<w:pPr><w:pStyle w:val="Normal"/></w:pPr>
<w:r><w:t xml:space="preserve">department has a laboratory at Somerset House, with a staff of</w:t></w:r>
</w:p>
<w:p>
<w:pPr><w:pStyle w:val="Normal"/></w:pPr>
<w:r><w:t xml:space="preserve">analysts, who are engaged in analysing for excise and other</w:t></w:r>
</w:p>
<w:p>
<w:pPr><w:pStyle w:val="Normal"/></w:pPr>
<w:r><w:t xml:space="preserve">purposes.  Under the Fertilizers and Feeding Stuffs Act 1893,</w:t></w:r>
</w:p>
<w:p>
<w:pPr><w:pStyle w:val="Normal"/></w:pPr>
<w:r><w:t xml:space="preserve">the Board of Agriculture employs an agricultural chemist,</w:t></w:r>
</w:p>
<w:p>
<w:pPr><w:pStyle w:val="Normal"/></w:pPr>
<w:r><w:t xml:space="preserve">whose duty is the analysis of fertilizers and feeding stuffs.</w:t></w:r>
</w:p>
<w:p>
<w:pPr><w:pStyle w:val="Normal"/></w:pPr>
<w:r><w:t xml:space="preserve">A ``public analyst&apos;&apos; is an analyst appointed by a local authority</w:t></w:r>
</w:p>
<w:p>
<w:pPr><w:pStyle w:val="Normal"/></w:pPr>
<w:r><w:t xml:space="preserve">for the purposes of the Sale of Food and Drugs Acts.  He must be</w:t></w:r>
</w:p>
<w:p>
<w:pPr><w:pStyle w:val="Normal"/></w:pPr>
<w:r><w:t xml:space="preserve">possessed of competent medical, chemical and microscopical knowledge</w:t></w:r>
</w:p>
<w:p>
<w:pPr><w:pStyle w:val="Normal"/></w:pPr>
<w:r><w:t xml:space="preserve">to analyse all articles of food and drink (see ADULTERATION).</w:t></w:r>
</w:p>
<w:p>
<w:pPr><w:pStyle w:val="Normal"/></w:pPr>
<w:r><w:t xml:space="preserve">ANALYTIC (the adjective of ``analysis&apos;&apos;&apos; q.v.), according</w:t></w:r>
</w:p>
<w:p>
<w:pPr><w:pStyle w:val="Normal"/></w:pPr>
<w:r><w:t xml:space="preserve">with, or consisting in, the method of separating a whole</w:t></w:r>
</w:p>
<w:p>
<w:pPr><w:pStyle w:val="Normal"/></w:pPr>
<w:r><w:t xml:space="preserve">into its parts, the opposite of synthetic.  For analytic</w:t></w:r>
</w:p>
<w:p>
<w:pPr><w:pStyle w:val="Normal"/></w:pPr>
<w:r><w:t xml:space="preserve">chemistry, analytic language, &amp;c., see the articles</w:t></w:r>
</w:p>
<w:p>
<w:pPr><w:pStyle w:val="Normal"/></w:pPr>
<w:r><w:t xml:space="preserve">under the noun-headings.  The title of analutika or</w:t></w:r>
</w:p>
<w:p>
<w:pPr><w:pStyle w:val="Normal"/></w:pPr>
<w:r><w:t xml:space="preserve">Analytics was given by Aristotle to his treatises on logic.</w:t></w:r>
</w:p>
<w:p>
<w:pPr><w:pStyle w:val="Normal"/></w:pPr>
<w:r><w:t xml:space="preserve">ANAMALAI HILLS, a range of mountains in southern India,</w:t></w:r>
</w:p>
<w:p>
<w:pPr><w:pStyle w:val="Normal"/></w:pPr>
<w:r><w:t xml:space="preserve">in the Coimbatore district of Madras, lying between 10 deg.  13&apos;</w:t></w:r>
</w:p>
<w:p>
<w:pPr><w:pStyle w:val="Normal"/></w:pPr>
<w:r><w:t xml:space="preserve">and 10 deg.  31&apos; N. lat., and between 76 deg.  52&apos; and 77 deg.  23&apos; E.</w:t></w:r>
</w:p>
<w:p>
<w:pPr><w:pStyle w:val="Normal"/></w:pPr>
<w:r><w:t xml:space="preserve">long., forming a portion of the Western Ghats, after this</w:t></w:r>
</w:p>
<w:p>
<w:pPr><w:pStyle w:val="Normal"/></w:pPr>
<w:r><w:t xml:space="preserve">range has been broken by the Palghat Pass, south of the</w:t></w:r>
</w:p>
<w:p>
<w:pPr><w:pStyle w:val="Normal"/></w:pPr>
<w:r><w:t xml:space="preserve">Nilgiris.  They really consist of a forest-clad and grassy</w:t></w:r>
</w:p>
<w:p>
<w:pPr><w:pStyle w:val="Normal"/></w:pPr>
<w:r><w:t xml:space="preserve">tableland, with summits rising about 8000 ft.; the Anaimudi</w:t></w:r>
</w:p>
<w:p>
<w:pPr><w:pStyle w:val="Normal"/></w:pPr>
<w:r><w:t xml:space="preserve">mountain, which is the highest in southern India, having an</w:t></w:r>
</w:p>
<w:p>
<w:pPr><w:pStyle w:val="Normal"/></w:pPr>
<w:r><w:t xml:space="preserve">altitude of 8850 ft.  Their geological formation is metamorphic</w:t></w:r>
</w:p>
<w:p>
<w:pPr><w:pStyle w:val="Normal"/></w:pPr>
<w:r><w:t xml:space="preserve">gneiss, veined with felspar and quartz, and interspersed</w:t></w:r>
</w:p>
<w:p>
<w:pPr><w:pStyle w:val="Normal"/></w:pPr>
<w:r><w:t xml:space="preserve">with reddish porphyrite.  The lower slopes yield valuable</w:t></w:r>
</w:p>
<w:p>
<w:pPr><w:pStyle w:val="Normal"/></w:pPr>
<w:r><w:t xml:space="preserve">teak and other timber; and some land has been taken up</w:t></w:r>
</w:p>
<w:p>
<w:pPr><w:pStyle w:val="Normal"/></w:pPr>
<w:r><w:t xml:space="preserve">for coffee planting.  The only inhabitants are a few wild</w:t></w:r>
</w:p>
<w:p>
<w:pPr><w:pStyle w:val="Normal"/></w:pPr>
<w:r><w:t xml:space="preserve">tribes who live by hunting and collecting jungle produce.</w:t></w:r>
</w:p>
<w:p>
<w:pPr><w:pStyle w:val="Normal"/></w:pPr>
<w:r><w:t xml:space="preserve">ANAMORPHOSIS (a Gr. word, derived from ana, back,</w:t></w:r>
</w:p>
<w:p>
<w:pPr><w:pStyle w:val="Normal"/></w:pPr>
<w:r><w:t xml:space="preserve">and morpe, form: the second o in the Greek is long,</w:t></w:r>
</w:p>
<w:p>
<w:pPr><w:pStyle w:val="Normal"/></w:pPr>
<w:r><w:t xml:space="preserve">but in English the Pronunciation varies), a deformation or</w:t></w:r>
</w:p>
<w:p>
<w:pPr><w:pStyle w:val="Normal"/></w:pPr>
<w:r><w:t xml:space="preserve">distortion of appearance; in drawing, the representation of</w:t></w:r>
</w:p>
<w:p>
<w:pPr><w:pStyle w:val="Normal"/></w:pPr>
<w:r><w:t xml:space="preserve">an object as seen, for instance, altered by reflexion in a</w:t></w:r>
</w:p>
<w:p>
<w:pPr><w:pStyle w:val="Normal"/></w:pPr>
<w:r><w:t xml:space="preserve">mirror; in botany, e.g. in the case of fungi or lichens, an</w:t></w:r>
</w:p>
<w:p>
<w:pPr><w:pStyle w:val="Normal"/></w:pPr>
<w:r><w:t xml:space="preserve">abnormal change giving the appearance of a different species.</w:t></w:r>
</w:p>
<w:p>
<w:pPr><w:pStyle w:val="Normal"/></w:pPr>
<w:r><w:t xml:space="preserve">`ANAN BEN DAVID, a Persian Jew of the 8th century, and founder</w:t></w:r>
</w:p>
<w:p>
<w:pPr><w:pStyle w:val="Normal"/></w:pPr>
<w:r><w:t xml:space="preserve">within Judaism of the sect of Qaraites (Karaites) which set</w:t></w:r>
</w:p>
<w:p>
<w:pPr><w:pStyle w:val="Normal"/></w:pPr>
<w:r><w:t xml:space="preserve">itself in opposition to the rabbinic tradition. `Anan was an</w:t></w:r>
</w:p>
<w:p>
<w:pPr><w:pStyle w:val="Normal"/></w:pPr>
<w:r><w:t xml:space="preserve">unsuccessful candidate for the dignity of Exilarch, and thus</w:t></w:r>
</w:p>
<w:p>
<w:pPr><w:pStyle w:val="Normal"/></w:pPr>
<w:r><w:t xml:space="preserve">his opposition to the rabbanite Jews was political as well as</w:t></w:r>
</w:p>
<w:p>
<w:pPr><w:pStyle w:val="Normal"/></w:pPr>
<w:r><w:t xml:space="preserve">theological.  His secession occurred at a moment when the time</w:t></w:r>
</w:p>
<w:p>
<w:pPr><w:pStyle w:val="Normal"/></w:pPr>
<w:r><w:t xml:space="preserve">was ripe for a reaction against rabbinism, and `Anan became the</w:t></w:r>
</w:p>
<w:p>
<w:pPr><w:pStyle w:val="Normal"/></w:pPr>
<w:r><w:t xml:space="preserve">rallying point for many opponents of tradition. (See QARAITES.)</w:t></w:r>
</w:p>
<w:p>
<w:pPr><w:pStyle w:val="Normal"/></w:pPr>
<w:r><w:t xml:space="preserve">ANANDA, one of the principal disciples of the Buddha</w:t></w:r>
</w:p>
<w:p>
<w:pPr><w:pStyle w:val="Normal"/></w:pPr>
<w:r><w:t xml:space="preserve">(q.v..) He has been called the beloved disciple of the</w:t></w:r>
</w:p>
<w:p>
<w:pPr><w:pStyle w:val="Normal"/></w:pPr>
<w:r><w:t xml:space="preserve">Buddhist story.  He was the first cousin of the Buddha, and</w:t></w:r>
</w:p>
<w:p>
<w:pPr><w:pStyle w:val="Normal"/></w:pPr>
<w:r><w:t xml:space="preserve">was devotedly attached to him.  Ananda entered the Order</w:t></w:r>
</w:p>
<w:p>
<w:pPr><w:pStyle w:val="Normal"/></w:pPr>
<w:r><w:t xml:space="preserve">in the second year of the Buddha&apos;s ministry, and became one</w:t></w:r>
</w:p>
<w:p>
<w:pPr><w:pStyle w:val="Normal"/></w:pPr>
<w:r><w:t xml:space="preserve">of his personal attendants, accompanying him on most of his</w:t></w:r>
</w:p>
<w:p>
<w:pPr><w:pStyle w:val="Normal"/></w:pPr>
<w:r><w:t xml:space="preserve">wanderings and being the interlocutor in many of the recorded</w:t></w:r>
</w:p>
<w:p>
<w:pPr><w:pStyle w:val="Normal"/></w:pPr>
<w:r><w:t xml:space="preserve">dialogues.  He is the subject of a special panegyric delivered</w:t></w:r>
</w:p>
<w:p>
<w:pPr><w:pStyle w:val="Normal"/></w:pPr>
<w:r><w:t xml:space="preserve">by the Buddha just before his death (Book of the Great</w:t></w:r>
</w:p>
<w:p>
<w:pPr><w:pStyle w:val="Normal"/></w:pPr>
<w:r><w:t xml:space="preserve">Decease, v. 38); but it is the panegyric of an unselfish</w:t></w:r>
</w:p>
<w:p>
<w:pPr><w:pStyle w:val="Normal"/></w:pPr>
<w:r><w:t xml:space="preserve">man, kindly, thoughtful for others and popular; not of the</w:t></w:r>
</w:p>
<w:p>
<w:pPr><w:pStyle w:val="Normal"/></w:pPr>
<w:r><w:t xml:space="preserve">intellectual man, versed in the theory and practice of the</w:t></w:r>
</w:p>
<w:p>
<w:pPr><w:pStyle w:val="Normal"/></w:pPr>
<w:r><w:t xml:space="preserve">Buddhist system of self-culture.  So in the long list of</w:t></w:r>
</w:p>
<w:p>
<w:pPr><w:pStyle w:val="Normal"/></w:pPr>
<w:r><w:t xml:space="preserve">the disciples given in the Anguttara (i. xiv.) where each</w:t></w:r>
</w:p>
<w:p>
<w:pPr><w:pStyle w:val="Normal"/></w:pPr>
<w:r><w:t xml:space="preserve">of them is declared to be the chief in some gift, Ananda is</w:t></w:r>
</w:p>
<w:p>
<w:pPr><w:pStyle w:val="Normal"/></w:pPr>
<w:r><w:t xml:space="preserve">mentioned five times (which is more often than any other),</w:t></w:r>
</w:p>
<w:p>
<w:pPr><w:pStyle w:val="Normal"/></w:pPr>
<w:r><w:t xml:space="preserve">but it is as chief in conduct and in service to others and</w:t></w:r>
</w:p>
<w:p>
<w:pPr><w:pStyle w:val="Normal"/></w:pPr>
<w:r><w:t xml:space="preserve">in power of memory, not in any of the intellectual powers</w:t></w:r>
</w:p>
<w:p>
<w:pPr><w:pStyle w:val="Normal"/></w:pPr>
<w:r><w:t xml:space="preserve">so highly prized in the community.  This explains why he had</w:t></w:r>
</w:p>
<w:p>
<w:pPr><w:pStyle w:val="Normal"/></w:pPr>
<w:r><w:t xml:space="preserve">not attained to arahatship; and in the earliest account of</w:t></w:r>
</w:p>
<w:p>
<w:pPr><w:pStyle w:val="Normal"/></w:pPr>
<w:r><w:t xml:space="preserve">the convocation said to have been held by five hundred of</w:t></w:r>
</w:p>
<w:p>
<w:pPr><w:pStyle w:val="Normal"/></w:pPr>
<w:r><w:t xml:space="preserve">the principal disciples immediately after the Buddha&apos;s death,</w:t></w:r>
</w:p>
<w:p>
<w:pPr><w:pStyle w:val="Normal"/></w:pPr>
<w:r><w:t xml:space="preserve">he was the only one who was not an arahat (Cullavagga,</w:t></w:r>
</w:p>
<w:p>
<w:pPr><w:pStyle w:val="Normal"/></w:pPr>
<w:r><w:t xml:space="preserve">book xi.).  In later accounts this incident is explained</w:t></w:r>
</w:p>
<w:p>
<w:pPr><w:pStyle w:val="Normal"/></w:pPr>
<w:r><w:t xml:space="preserve">away.  Thirty-three verses ascribed to Ananda are preserved</w:t></w:r>
</w:p>
<w:p>
<w:pPr><w:pStyle w:val="Normal"/></w:pPr>
<w:r><w:t xml:space="preserve">in a collection of lyrics by the principal male and female</w:t></w:r>
</w:p>
<w:p>
<w:pPr><w:pStyle w:val="Normal"/></w:pPr>
<w:r><w:t xml:space="preserve">members of the order (Thera Gatha, 1017-1050).  They</w:t></w:r>
</w:p>
<w:p>
<w:pPr><w:pStyle w:val="Normal"/></w:pPr>
<w:r><w:t xml:space="preserve">show a gentle and reverent but simple spirit. (T. W. R. D.)</w:t></w:r>
</w:p>
<w:p>
<w:pPr><w:pStyle w:val="Normal"/></w:pPr>
<w:r><w:t xml:space="preserve">ANANIAS, the Gr. form of Hananiah, or Ananiah, a name</w:t></w:r>
</w:p>
<w:p>
<w:pPr><w:pStyle w:val="Normal"/></w:pPr>
<w:r><w:t xml:space="preserve">occurring several times in the Old Testament and Apocrypha</w:t></w:r>
</w:p>
<w:p>
<w:pPr><w:pStyle w:val="Normal"/></w:pPr>
<w:r><w:t xml:space="preserve">(Neh. iii. 23, 1 Ch. xxv. 23, Tob. v. 12. &amp;c.), and three</w:t></w:r>
</w:p>
<w:p>
<w:pPr><w:pStyle w:val="Normal"/></w:pPr>
<w:r><w:t xml:space="preserve">times in the New Testament.  Special mention need be made</w:t></w:r>
</w:p>
<w:p>
<w:pPr><w:pStyle w:val="Normal"/></w:pPr>
<w:r><w:t xml:space="preserve">only of the bearers of the name in the New Testament. (1) A</w:t></w:r>
</w:p>
<w:p>
<w:pPr><w:pStyle w:val="Normal"/></w:pPr>
<w:r><w:t xml:space="preserve">member of the first Christian community, who, with his wife</w:t></w:r>
</w:p>
<w:p>
<w:pPr><w:pStyle w:val="Normal"/></w:pPr>
<w:r><w:t xml:space="preserve">Sapphira, was miraculously punished by Peter with sudden death</w:t></w:r>
</w:p>
<w:p>
<w:pPr><w:pStyle w:val="Normal"/></w:pPr>
<w:r><w:t xml:space="preserve">for hypocrisy and falsehood (Acts v. 1-10; cf.  Josh. vii.</w:t></w:r>
</w:p>
<w:p>
<w:pPr><w:pStyle w:val="Normal"/></w:pPr>
<w:r><w:t xml:space="preserve">1 ff.). (2) A disciple at Damascus who figures in the story</w:t></w:r>
</w:p>
<w:p>
<w:pPr><w:pStyle w:val="Normal"/></w:pPr>
<w:r><w:t xml:space="preserve">of the conversion and baptism of Paul (Acts ix. 10-17, xxh.</w:t></w:r>
</w:p>
<w:p>
<w:pPr><w:pStyle w:val="Normal"/></w:pPr>
<w:r><w:t xml:space="preserve">12-16.) (3) Son of Nedebaios (Jos. Ant. xx. 5. 2), a high</w:t></w:r>
</w:p>
<w:p>
<w:pPr><w:pStyle w:val="Normal"/></w:pPr>
<w:r><w:t xml:space="preserve">priest who presided during the trial of Paul at Jerusalem and</w:t></w:r>
</w:p>
<w:p>
<w:pPr><w:pStyle w:val="Normal"/></w:pPr>
<w:r><w:t xml:space="preserve">Caesarea (Acts xxiii. 2, xxiv. 1-5).  He officiated as high</w:t></w:r>
</w:p>
<w:p>
<w:pPr><w:pStyle w:val="Normal"/></w:pPr>
<w:r><w:t xml:space="preserve">priest from about A.D. 47 to 59. Quadratus, governor of</w:t></w:r>
</w:p>
<w:p>
<w:pPr><w:pStyle w:val="Normal"/></w:pPr>
<w:r><w:t xml:space="preserve">Syria, accused him of being responsible for acts of violence.</w:t></w:r>
</w:p>
<w:p>
<w:pPr><w:pStyle w:val="Normal"/></w:pPr>
<w:r><w:t xml:space="preserve">He was sent to Rome for trial (A.D. 52), but was acquitted</w:t></w:r>
</w:p>
<w:p>
<w:pPr><w:pStyle w:val="Normal"/></w:pPr>
<w:r><w:t xml:space="preserve">by the emperor Claudius.  Being a friend of the Romans, he</w:t></w:r>
</w:p>
<w:p>
<w:pPr><w:pStyle w:val="Normal"/></w:pPr>
<w:r><w:t xml:space="preserve">was murdered by the people at the beginning of the Jewish war.</w:t></w:r>
</w:p>
<w:p>
<w:pPr><w:pStyle w:val="Normal"/></w:pPr>
<w:r><w:t xml:space="preserve">ANANTAPUR, a town and district of India, in the Madras</w:t></w:r>
</w:p>
<w:p>
<w:pPr><w:pStyle w:val="Normal"/></w:pPr>
<w:r><w:t xml:space="preserve">presidency.  The town has a station on the Madras</w:t></w:r>
</w:p>
<w:p>
<w:pPr><w:pStyle w:val="Normal"/></w:pPr>
<w:r><w:t xml:space="preserve">railway, 62 m.  S.E. from Bellary.  Pop. (1901) 7938.</w:t></w:r>
</w:p>
<w:p>
<w:pPr><w:pStyle w:val="Normal"/></w:pPr>
<w:r><w:t xml:space="preserve">The district of Anantapur was constituted in 1882 out of</w:t></w:r>
</w:p>
<w:p>
<w:pPr><w:pStyle w:val="Normal"/></w:pPr>
<w:r><w:t xml:space="preserve">the unwieldy district of Bellary.  It has an area of 5557</w:t></w:r>
</w:p>
<w:p>
<w:pPr><w:pStyle w:val="Normal"/></w:pPr>
<w:r><w:t xml:space="preserve">sq. m., and in its northern and central portions is a high</w:t></w:r>
</w:p>
<w:p>
<w:pPr><w:pStyle w:val="Normal"/></w:pPr>
<w:r><w:t xml:space="preserve">plateau, generally undulating, with large granite rocks or</w:t></w:r>
</w:p>
<w:p>
<w:pPr><w:pStyle w:val="Normal"/></w:pPr>
<w:r><w:t xml:space="preserve">low hill ranges rising here and there above its surface.</w:t></w:r>
</w:p>
<w:p>
<w:pPr><w:pStyle w:val="Normal"/></w:pPr>
<w:r><w:t xml:space="preserve">In the southern portion of the district the surface is</w:t></w:r>
</w:p>
<w:p>
<w:pPr><w:pStyle w:val="Normal"/></w:pPr>
<w:r><w:t xml:space="preserve">more hilly, the plateau there rising to 2600 ft. above the</w:t></w:r>
</w:p>
<w:p>
<w:pPr><w:pStyle w:val="Normal"/></w:pPr>
<w:r><w:t xml:space="preserve">sea.  There is a remarkable fortress rock at Gooty, 2171 ft.</w:t></w:r>
</w:p>
<w:p>
<w:pPr><w:pStyle w:val="Normal"/></w:pPr>
<w:r><w:t xml:space="preserve">above the sea, and a similar but larger rock at Penukonda,</w:t></w:r>
</w:p>
<w:p>
<w:pPr><w:pStyle w:val="Normal"/></w:pPr>
<w:r><w:t xml:space="preserve">with an elevation equal to that of Bangalore, about 3100</w:t></w:r>
</w:p>
<w:p>
<w:pPr><w:pStyle w:val="Normal"/></w:pPr>
<w:r><w:t xml:space="preserve">ft.  Gooty fortress was a stronghold of the Mahrattas,</w:t></w:r>
</w:p>
<w:p>
<w:pPr><w:pStyle w:val="Normal"/></w:pPr>
<w:r><w:t xml:space="preserve">but was taken from them by Hyder Ali. In 1789 it was ceded</w:t></w:r>
</w:p>
<w:p>
<w:pPr><w:pStyle w:val="Normal"/></w:pPr>
<w:r><w:t xml:space="preserve">by Tippoo to the nizam, and in 1800 the nizam ceded the</w:t></w:r>
</w:p>
<w:p>
<w:pPr><w:pStyle w:val="Normal"/></w:pPr>
<w:r><w:t xml:space="preserve">district of Anantapur with others to the British in payment</w:t></w:r>
</w:p>
<w:p>
<w:pPr><w:pStyle w:val="Normal"/></w:pPr>
<w:r><w:t xml:space="preserve">for a subsidiary British force.  The population in 1901 was</w:t></w:r>
</w:p>
<w:p>
<w:pPr><w:pStyle w:val="Normal"/></w:pPr>
<w:r><w:t xml:space="preserve">788,254, showing an increase of 8% in the decade.  The</w:t></w:r>
</w:p>
<w:p>
<w:pPr><w:pStyle w:val="Normal"/></w:pPr>
<w:r><w:t xml:space="preserve">principal crops are millet, rice, other food grains, pulse,</w:t></w:r>
</w:p>
<w:p>
<w:pPr><w:pStyle w:val="Normal"/></w:pPr>
<w:r><w:t xml:space="preserve">oil seeds and cotton.  There are several steam factories</w:t></w:r>
</w:p>
<w:p>
<w:pPr><w:pStyle w:val="Normal"/></w:pPr>
<w:r><w:t xml:space="preserve">for pressing cotton.  Two railways traverse the district.</w:t></w:r>
</w:p>
<w:p>
<w:pPr><w:pStyle w:val="Normal"/></w:pPr>
<w:r><w:t xml:space="preserve">ANAPA, a seaport town of Russia, in the government of Kuban,</w:t></w:r>
</w:p>
<w:p>
<w:pPr><w:pStyle w:val="Normal"/></w:pPr>
<w:r><w:t xml:space="preserve">on the N. coast of the Black Sea, 45 m.  S.E. from the Strait</w:t></w:r>
</w:p>
<w:p>
<w:pPr><w:pStyle w:val="Normal"/></w:pPr>
<w:r><w:t xml:space="preserve">of Yenikale or Kerch, giving access to the Sea of Azov.  It was</w:t></w:r>
</w:p>
<w:p>
<w:pPr><w:pStyle w:val="Normal"/></w:pPr>
<w:r><w:t xml:space="preserve">originally built in 1781 as a frontier fortress of the Turks</w:t></w:r>
</w:p>
<w:p>
<w:pPr><w:pStyle w:val="Normal"/></w:pPr>
<w:r><w:t xml:space="preserve">against Russia.  Three times captured by the Russians, in 1791,</w:t></w:r>
</w:p>
<w:p>
<w:pPr><w:pStyle w:val="Normal"/></w:pPr>
<w:r><w:t xml:space="preserve">1807 and 1828, and twice restored by them, in 1792 and 1812,</w:t></w:r>
</w:p>
<w:p>
<w:pPr><w:pStyle w:val="Normal"/></w:pPr>
<w:r><w:t xml:space="preserve">it was finally left in their hands by the treaty of Adrianople</w:t></w:r>
</w:p>
<w:p>
<w:pPr><w:pStyle w:val="Normal"/></w:pPr>
<w:r><w:t xml:space="preserve">in 1829.  During the Crimean War its fortifications were</w:t></w:r>
</w:p>
<w:p>
<w:pPr><w:pStyle w:val="Normal"/></w:pPr>
<w:r><w:t xml:space="preserve">destroyed (1855) by the Russians themselves.  Pop. (1897) 6676.</w:t></w:r>
</w:p>
<w:p>
<w:pPr><w:pStyle w:val="Normal"/></w:pPr>
<w:r><w:t xml:space="preserve">ANAPAEST (from Gr. anapaistos, reversed), a metrical</w:t></w:r>
</w:p>
<w:p>
<w:pPr><w:pStyle w:val="Normal"/></w:pPr>
<w:r><w:t xml:space="preserve">foot consisting of three syllables, the first two short</w:t></w:r>
</w:p>
<w:p>
<w:pPr><w:pStyle w:val="Normal"/></w:pPr>
<w:r><w:t xml:space="preserve">and the third long and accented; so called as the reverse</w:t></w:r>
</w:p>
<w:p>
<w:pPr><w:pStyle w:val="Normal"/></w:pPr>
<w:r><w:t xml:space="preserve">of a dactyl, which has the first a long syllable, followed</w:t></w:r>
</w:p>
<w:p>
<w:pPr><w:pStyle w:val="Normal"/></w:pPr>
<w:r><w:t xml:space="preserve">by two short ones.  An anapaestic verse is one which</w:t></w:r>
</w:p>
<w:p>
<w:pPr><w:pStyle w:val="Normal"/></w:pPr>
<w:r><w:t xml:space="preserve">only contains, or is mostly made up of, anapaestic feet.</w:t></w:r>
</w:p>
<w:p>
<w:pPr><w:pStyle w:val="Normal"/></w:pPr>
<w:r><w:t xml:space="preserve">ANARCHISM (from the Gr. an-, and arche, contrary</w:t></w:r>
</w:p>
<w:p>
<w:pPr><w:pStyle w:val="Normal"/></w:pPr>
<w:r><w:t xml:space="preserve">to authority), the name given to a principle or theory of</w:t></w:r>
</w:p>
<w:p>
<w:pPr><w:pStyle w:val="Normal"/></w:pPr>
<w:r><w:t xml:space="preserve">life and conduct under which society is conceived without</w:t></w:r>
</w:p>
<w:p>
<w:pPr><w:pStyle w:val="Normal"/></w:pPr>
<w:r><w:t xml:space="preserve">government --harmony in such a society being obtained, not</w:t></w:r>
</w:p>
<w:p>
<w:pPr><w:pStyle w:val="Normal"/></w:pPr>
<w:r><w:t xml:space="preserve">by submission to law, or by obedience to any authority, but</w:t></w:r>
</w:p>
<w:p>
<w:pPr><w:pStyle w:val="Normal"/></w:pPr>
<w:r><w:t xml:space="preserve">by free agreements concluded between the various groups,</w:t></w:r>
</w:p>
<w:p>
<w:pPr><w:pStyle w:val="Normal"/></w:pPr>
<w:r><w:t xml:space="preserve">territorial and professional, freely constituted for the sake</w:t></w:r>
</w:p>
<w:p>
<w:pPr><w:pStyle w:val="Normal"/></w:pPr>
<w:r><w:t xml:space="preserve">of production and consumption, as also for the satisfaction of</w:t></w:r>
</w:p>
<w:p>
<w:pPr><w:pStyle w:val="Normal"/></w:pPr>
<w:r><w:t xml:space="preserve">the infinite variety of needs and aspirations of a civilized</w:t></w:r>
</w:p>
<w:p>
<w:pPr><w:pStyle w:val="Normal"/></w:pPr>
<w:r><w:t xml:space="preserve">being.  In a society developed on these lines, the voluntary</w:t></w:r>
</w:p>
<w:p>
<w:pPr><w:pStyle w:val="Normal"/></w:pPr>
<w:r><w:t xml:space="preserve">associations which already now begin to cover all the fields</w:t></w:r>
</w:p>
<w:p>
<w:pPr><w:pStyle w:val="Normal"/></w:pPr>
<w:r><w:t xml:space="preserve">of human activity would take a still greater extension</w:t></w:r>
</w:p>
<w:p>
<w:pPr><w:pStyle w:val="Normal"/></w:pPr>
<w:r><w:t xml:space="preserve">so as to substitute themselves for the state in all its</w:t></w:r>
</w:p>
<w:p>
<w:pPr><w:pStyle w:val="Normal"/></w:pPr>
<w:r><w:t xml:space="preserve">functions.  They would represent an interwoven network,</w:t></w:r>
</w:p>
<w:p>
<w:pPr><w:pStyle w:val="Normal"/></w:pPr>
<w:r><w:t xml:space="preserve">composed of an infinite variety of groups and federations</w:t></w:r>
</w:p>
<w:p>
<w:pPr><w:pStyle w:val="Normal"/></w:pPr>
<w:r><w:t xml:space="preserve">of all sizes and degrees, local, regional, national and</w:t></w:r>
</w:p>
<w:p>
<w:pPr><w:pStyle w:val="Normal"/></w:pPr>
<w:r><w:t xml:space="preserve">international-- temporary or more or less permanent--for</w:t></w:r>
</w:p>
<w:p>
<w:pPr><w:pStyle w:val="Normal"/></w:pPr>
<w:r><w:t xml:space="preserve">all possible purposes: production, consumption and exchange,</w:t></w:r>
</w:p>
<w:p>
<w:pPr><w:pStyle w:val="Normal"/></w:pPr>
<w:r><w:t xml:space="preserve">communications, sanitary arrangements, education, mutual</w:t></w:r>
</w:p>
<w:p>
<w:pPr><w:pStyle w:val="Normal"/></w:pPr>
<w:r><w:t xml:space="preserve">protection, defence of the territory, and so on; and, on</w:t></w:r>
</w:p>
<w:p>
<w:pPr><w:pStyle w:val="Normal"/></w:pPr>
<w:r><w:t xml:space="preserve">the other side, for the satisfaction of an ever-increasing</w:t></w:r>
</w:p>
<w:p>
<w:pPr><w:pStyle w:val="Normal"/></w:pPr>
<w:r><w:t xml:space="preserve">number of scientific, artistic, literary and sociable</w:t></w:r>
</w:p>
<w:p>
<w:pPr><w:pStyle w:val="Normal"/></w:pPr>
<w:r><w:t xml:space="preserve">needs.  Moreover, such a society would represent nothing</w:t></w:r>
</w:p>
<w:p>
<w:pPr><w:pStyle w:val="Normal"/></w:pPr>
<w:r><w:t xml:space="preserve">immutable.  On the contrary--as is seen in organic life</w:t></w:r>
</w:p>
<w:p>
<w:pPr><w:pStyle w:val="Normal"/></w:pPr>
<w:r><w:t xml:space="preserve">at large--harmony would (it is contended) result from an</w:t></w:r>
</w:p>
<w:p>
<w:pPr><w:pStyle w:val="Normal"/></w:pPr>
<w:r><w:t xml:space="preserve">ever-changing adjustment and readjustment of equilibrium</w:t></w:r>
</w:p>
<w:p>
<w:pPr><w:pStyle w:val="Normal"/></w:pPr>
<w:r><w:t xml:space="preserve">between the multitudes of forces and influences, and this</w:t></w:r>
</w:p>
<w:p>
<w:pPr><w:pStyle w:val="Normal"/></w:pPr>
<w:r><w:t xml:space="preserve">adjustment would be the easier to obtain as none of the</w:t></w:r>
</w:p>
<w:p>
<w:pPr><w:pStyle w:val="Normal"/></w:pPr>
<w:r><w:t xml:space="preserve">forces would enjoy a special protection from the state.</w:t></w:r>
</w:p>
<w:p>
<w:pPr><w:pStyle w:val="Normal"/></w:pPr>
<w:r><w:t xml:space="preserve">If, it is contended, society were organized on these principles,</w:t></w:r>
</w:p>
<w:p>
<w:pPr><w:pStyle w:val="Normal"/></w:pPr>
<w:r><w:t xml:space="preserve">man would not be limited in the free exercise of his powers</w:t></w:r>
</w:p>
<w:p>
<w:pPr><w:pStyle w:val="Normal"/></w:pPr>
<w:r><w:t xml:space="preserve">in productive work by a capitalist monopoly, maintained</w:t></w:r>
</w:p>
<w:p>
<w:pPr><w:pStyle w:val="Normal"/></w:pPr>
<w:r><w:t xml:space="preserve">by the state; nor would he be limited in the exercise of</w:t></w:r>
</w:p>
<w:p>
<w:pPr><w:pStyle w:val="Normal"/></w:pPr>
<w:r><w:t xml:space="preserve">his will by a fear of punishment, or by obedience towards</w:t></w:r>
</w:p>
<w:p>
<w:pPr><w:pStyle w:val="Normal"/></w:pPr>
<w:r><w:t xml:space="preserve">individuals or metaphysical entities, which both lead to</w:t></w:r>
</w:p>
<w:p>
<w:pPr><w:pStyle w:val="Normal"/></w:pPr>
<w:r><w:t xml:space="preserve">depression of initiative and servility of mind.  He would</w:t></w:r>
</w:p>
<w:p>
<w:pPr><w:pStyle w:val="Normal"/></w:pPr>
<w:r><w:t xml:space="preserve">be guided in his actions by his own understanding, which</w:t></w:r>
</w:p>
<w:p>
<w:pPr><w:pStyle w:val="Normal"/></w:pPr>
<w:r><w:t xml:space="preserve">necessarily would bear the impression of a free action and</w:t></w:r>
</w:p>
<w:p>
<w:pPr><w:pStyle w:val="Normal"/></w:pPr>
<w:r><w:t xml:space="preserve">reaction between his own self and the ethical conceptions</w:t></w:r>
</w:p>
<w:p>
<w:pPr><w:pStyle w:val="Normal"/></w:pPr>
<w:r><w:t xml:space="preserve">of his surroundings.  Man would thus be enabled to obtain</w:t></w:r>
</w:p>
<w:p>
<w:pPr><w:pStyle w:val="Normal"/></w:pPr>
<w:r><w:t xml:space="preserve">the full development of all his faculties, intellectual,</w:t></w:r>
</w:p>
<w:p>
<w:pPr><w:pStyle w:val="Normal"/></w:pPr>
<w:r><w:t xml:space="preserve">artistic and moral, without being hampered by overwork for</w:t></w:r>
</w:p>
<w:p>
<w:pPr><w:pStyle w:val="Normal"/></w:pPr>
<w:r><w:t xml:space="preserve">the monopolists, or by the servility and inertia of mind</w:t></w:r>
</w:p>
<w:p>
<w:pPr><w:pStyle w:val="Normal"/></w:pPr>
<w:r><w:t xml:space="preserve">of the great number.  He would thus be able to reach full</w:t></w:r>
</w:p>
<w:p>
<w:pPr><w:pStyle w:val="Normal"/></w:pPr>
<w:r><w:t xml:space="preserve">individualization, which is not possible either under the</w:t></w:r>
</w:p>
<w:p>
<w:pPr><w:pStyle w:val="Normal"/></w:pPr>
<w:r><w:t xml:space="preserve">present system of individualism, or under any system of</w:t></w:r>
</w:p>
<w:p>
<w:pPr><w:pStyle w:val="Normal"/></w:pPr>
<w:r><w:t xml:space="preserve">state- socialism in the so-called Volkstaat (popular state).</w:t></w:r>
</w:p>
<w:p>
<w:pPr><w:pStyle w:val="Normal"/></w:pPr>
<w:r><w:t xml:space="preserve">The Anarchist writers consider, moreover, that their conception</w:t></w:r>
</w:p>
<w:p>
<w:pPr><w:pStyle w:val="Normal"/></w:pPr>
<w:r><w:t xml:space="preserve">is not a Utopia, constructed on the a priori method,</w:t></w:r>
</w:p>
<w:p>
<w:pPr><w:pStyle w:val="Normal"/></w:pPr>
<w:r><w:t xml:space="preserve">after a few desiderata have been taken as postulates.  It is</w:t></w:r>
</w:p>
<w:p>
<w:pPr><w:pStyle w:val="Normal"/></w:pPr>
<w:r><w:t xml:space="preserve">derived, they maintain, from an analysis of tendencies that</w:t></w:r>
</w:p>
<w:p>
<w:pPr><w:pStyle w:val="Normal"/></w:pPr>
<w:r><w:t xml:space="preserve">are at work already, even though state socialism may find a</w:t></w:r>
</w:p>
<w:p>
<w:pPr><w:pStyle w:val="Normal"/></w:pPr>
<w:r><w:t xml:space="preserve">temporary favour with the reformers.  The progress of modern</w:t></w:r>
</w:p>
<w:p>
<w:pPr><w:pStyle w:val="Normal"/></w:pPr>
<w:r><w:t xml:space="preserve">technics, which wonderfully simplifies the production of all</w:t></w:r>
</w:p>
<w:p>
<w:pPr><w:pStyle w:val="Normal"/></w:pPr>
<w:r><w:t xml:space="preserve">the necessaries of life; the growing spirit of independence,</w:t></w:r>
</w:p>
<w:p>
<w:pPr><w:pStyle w:val="Normal"/></w:pPr>
<w:r><w:t xml:space="preserve">and the rapid spread of free initiative and free understanding</w:t></w:r>
</w:p>
<w:p>
<w:pPr><w:pStyle w:val="Normal"/></w:pPr>
<w:r><w:t xml:space="preserve">in all branches of activity--including those which formerly</w:t></w:r>
</w:p>
<w:p>
<w:pPr><w:pStyle w:val="Normal"/></w:pPr>
<w:r><w:t xml:space="preserve">were considered as the proper attribution of church and</w:t></w:r>
</w:p>
<w:p>
<w:pPr><w:pStyle w:val="Normal"/></w:pPr>
<w:r><w:t xml:space="preserve">state--are steadily reinforcing the no-government tendency.</w:t></w:r>
</w:p>
<w:p>
<w:pPr><w:pStyle w:val="Normal"/></w:pPr>
<w:r><w:t xml:space="preserve">As to their economical conceptions, the Anarchists, in common</w:t></w:r>
</w:p>
<w:p>
<w:pPr><w:pStyle w:val="Normal"/></w:pPr>
<w:r><w:t xml:space="preserve">with all Socialists, of whom they constitute the left wing,</w:t></w:r>
</w:p>
<w:p>
<w:pPr><w:pStyle w:val="Normal"/></w:pPr>
<w:r><w:t xml:space="preserve">maintain that the now prevailing system of private ownership in</w:t></w:r>
</w:p>
<w:p>
<w:pPr><w:pStyle w:val="Normal"/></w:pPr>
<w:r><w:t xml:space="preserve">land, and our capitalist production for the sake of profits,</w:t></w:r>
</w:p>
<w:p>
<w:pPr><w:pStyle w:val="Normal"/></w:pPr>
<w:r><w:t xml:space="preserve">represent a monopoly which runs against both the principles</w:t></w:r>
</w:p>
<w:p>
<w:pPr><w:pStyle w:val="Normal"/></w:pPr>
<w:r><w:t xml:space="preserve">of justice and the dictates of utility.  They are the main</w:t></w:r>
</w:p>
<w:p>
<w:pPr><w:pStyle w:val="Normal"/></w:pPr>
<w:r><w:t xml:space="preserve">obstacle which prevents the successes of modern technics from</w:t></w:r>
</w:p>
<w:p>
<w:pPr><w:pStyle w:val="Normal"/></w:pPr>
<w:r><w:t xml:space="preserve">being brought into the service of all, so as to produce general</w:t></w:r>
</w:p>
<w:p>
<w:pPr><w:pStyle w:val="Normal"/></w:pPr>
<w:r><w:t xml:space="preserve">well-being.  The Anarchists consider the wage-system and</w:t></w:r>
</w:p>
<w:p>
<w:pPr><w:pStyle w:val="Normal"/></w:pPr>
<w:r><w:t xml:space="preserve">capitalist production altogether as an obstacle to progress.</w:t></w:r>
</w:p>
<w:p>
<w:pPr><w:pStyle w:val="Normal"/></w:pPr>
<w:r><w:t xml:space="preserve">But they point out also that the state was, and continues to</w:t></w:r>
</w:p>
<w:p>
<w:pPr><w:pStyle w:val="Normal"/></w:pPr>
<w:r><w:t xml:space="preserve">be, the chief instrument for permitting the few to monopolize</w:t></w:r>
</w:p>
<w:p>
<w:pPr><w:pStyle w:val="Normal"/></w:pPr>
<w:r><w:t xml:space="preserve">the land, and the capitalists to appropriate for themselves</w:t></w:r>
</w:p>
<w:p>
<w:pPr><w:pStyle w:val="Normal"/></w:pPr>
<w:r><w:t xml:space="preserve">a quite disproportionate share of the yearly accumulated</w:t></w:r>
</w:p>
<w:p>
<w:pPr><w:pStyle w:val="Normal"/></w:pPr>
<w:r><w:t xml:space="preserve">surplus of production.  Consequently, while combating the</w:t></w:r>
</w:p>
<w:p>
<w:pPr><w:pStyle w:val="Normal"/></w:pPr>
<w:r><w:t xml:space="preserve">present monopolization of land, and capitalism altogether,</w:t></w:r>
</w:p>
<w:p>
<w:pPr><w:pStyle w:val="Normal"/></w:pPr>
<w:r><w:t xml:space="preserve">the Anarchists combat with the same energy the state, as</w:t></w:r>
</w:p>
<w:p>
<w:pPr><w:pStyle w:val="Normal"/></w:pPr>
<w:r><w:t xml:space="preserve">the main support of that system.  Not this or that special</w:t></w:r>
</w:p>
<w:p>
<w:pPr><w:pStyle w:val="Normal"/></w:pPr>
<w:r><w:t xml:space="preserve">form, but the state altogether, whether it be a monarchy</w:t></w:r>
</w:p>
<w:p>
<w:pPr><w:pStyle w:val="Normal"/></w:pPr>
<w:r><w:t xml:space="preserve">or even a republic governed by means of the referendum.</w:t></w:r>
</w:p>
<w:p>
<w:pPr><w:pStyle w:val="Normal"/></w:pPr>
<w:r><w:t xml:space="preserve">The state organization, having always been, both in ancient and</w:t></w:r>
</w:p>
<w:p>
<w:pPr><w:pStyle w:val="Normal"/></w:pPr>
<w:r><w:t xml:space="preserve">modern history (Macedonian empire, Roman empire, modern European</w:t></w:r>
</w:p>
<w:p>
<w:pPr><w:pStyle w:val="Normal"/></w:pPr>
<w:r><w:t xml:space="preserve">states grown up on the ruins of the autonomous cities), the</w:t></w:r>
</w:p>
<w:p>
<w:pPr><w:pStyle w:val="Normal"/></w:pPr>
<w:r><w:t xml:space="preserve">instrument for establishing monopolies in favour of the ruling</w:t></w:r>
</w:p>
<w:p>
<w:pPr><w:pStyle w:val="Normal"/></w:pPr>
<w:r><w:t xml:space="preserve">minorities, cannot be made to work for the destruction of these</w:t></w:r>
</w:p>
<w:p>
<w:pPr><w:pStyle w:val="Normal"/></w:pPr>
<w:r><w:t xml:space="preserve">monopolies.  The Anarchists consider, therefore, that to hand</w:t></w:r>
</w:p>
<w:p>
<w:pPr><w:pStyle w:val="Normal"/></w:pPr>
<w:r><w:t xml:space="preserve">over to the state all the main sources of economical life--the</w:t></w:r>
</w:p>
<w:p>
<w:pPr><w:pStyle w:val="Normal"/></w:pPr>
<w:r><w:t xml:space="preserve">land, the mines, the railways, banking, insurance, and so</w:t></w:r>
</w:p>
<w:p>
<w:pPr><w:pStyle w:val="Normal"/></w:pPr>
<w:r><w:t xml:space="preserve">on--as also the management of all the main branches of industry,</w:t></w:r>
</w:p>
<w:p>
<w:pPr><w:pStyle w:val="Normal"/></w:pPr>
<w:r><w:t xml:space="preserve">in addition to all the functions already accumulated in its</w:t></w:r>
</w:p>
<w:p>
<w:pPr><w:pStyle w:val="Normal"/></w:pPr>
<w:r><w:t xml:space="preserve">hands (education, state-supported religions, defence of the</w:t></w:r>
</w:p>
<w:p>
<w:pPr><w:pStyle w:val="Normal"/></w:pPr>
<w:r><w:t xml:space="preserve">territory, &amp;c.), would mean to create a new instrument of</w:t></w:r>
</w:p>
<w:p>
<w:pPr><w:pStyle w:val="Normal"/></w:pPr>
<w:r><w:t xml:space="preserve">tyranny.  State capitalism would only increase the powers of</w:t></w:r>
</w:p>
<w:p>
<w:pPr><w:pStyle w:val="Normal"/></w:pPr>
<w:r><w:t xml:space="preserve">bureaucracy and capitalism.  True progress lies in the direction</w:t></w:r>
</w:p>
<w:p>
<w:pPr><w:pStyle w:val="Normal"/></w:pPr>
<w:r><w:t xml:space="preserve">of decentralization, both territorial and functional, in</w:t></w:r>
</w:p>
<w:p>
<w:pPr><w:pStyle w:val="Normal"/></w:pPr>
<w:r><w:t xml:space="preserve">the development of the spirit of local and personal initiative,</w:t></w:r>
</w:p>
<w:p>
<w:pPr><w:pStyle w:val="Normal"/></w:pPr>
<w:r><w:t xml:space="preserve">and of free federation from the simple to the compound, in</w:t></w:r>
</w:p>
<w:p>
<w:pPr><w:pStyle w:val="Normal"/></w:pPr>
<w:r><w:t xml:space="preserve">lieu of the present hierarchy from the centre to the periphery.</w:t></w:r>
</w:p>
<w:p>
<w:pPr><w:pStyle w:val="Normal"/></w:pPr>
<w:r><w:t xml:space="preserve">In common with most Socialists, the Anarchists recognize</w:t></w:r>
</w:p>
<w:p>
<w:pPr><w:pStyle w:val="Normal"/></w:pPr>
<w:r><w:t xml:space="preserve">that, like all evolution in nature, the slow evolution of</w:t></w:r>
</w:p>
<w:p>
<w:pPr><w:pStyle w:val="Normal"/></w:pPr>
<w:r><w:t xml:space="preserve">society is followed from time to time by periods of accelerated</w:t></w:r>
</w:p>
<w:p>
<w:pPr><w:pStyle w:val="Normal"/></w:pPr>
<w:r><w:t xml:space="preserve">evolution which are called revolutions; and they think that</w:t></w:r>
</w:p>
<w:p>
<w:pPr><w:pStyle w:val="Normal"/></w:pPr>
<w:r><w:t xml:space="preserve">the era of revolutions is not yet closed.  Periods of rapid</w:t></w:r>
</w:p>
<w:p>
<w:pPr><w:pStyle w:val="Normal"/></w:pPr>
<w:r><w:t xml:space="preserve">changes will follow the periods of slow evolution, and these</w:t></w:r>
</w:p>
<w:p>
<w:pPr><w:pStyle w:val="Normal"/></w:pPr>
<w:r><w:t xml:space="preserve">periods must be taken advantage of--not for increasing and</w:t></w:r>
</w:p>
<w:p>
<w:pPr><w:pStyle w:val="Normal"/></w:pPr>
<w:r><w:t xml:space="preserve">widening the powers of the state, but for reducing them,</w:t></w:r>
</w:p>
<w:p>
<w:pPr><w:pStyle w:val="Normal"/></w:pPr>
<w:r><w:t xml:space="preserve">through the organization in every township or commune of the</w:t></w:r>
</w:p>
<w:p>
<w:pPr><w:pStyle w:val="Normal"/></w:pPr>
<w:r><w:t xml:space="preserve">local groups of producers and consumers, as also the regional,</w:t></w:r>
</w:p>
<w:p>
<w:pPr><w:pStyle w:val="Normal"/></w:pPr>
<w:r><w:t xml:space="preserve">and eventually the international, federations of these groups.</w:t></w:r>
</w:p>
<w:p>
<w:pPr><w:pStyle w:val="Normal"/></w:pPr>
<w:r><w:t xml:space="preserve">In virtue of the above principles the Anarchists refuse to</w:t></w:r>
</w:p>
<w:p>
<w:pPr><w:pStyle w:val="Normal"/></w:pPr>
<w:r><w:t xml:space="preserve">be party to the present state organization and to support</w:t></w:r>
</w:p>
<w:p>
<w:pPr><w:pStyle w:val="Normal"/></w:pPr>
<w:r><w:t xml:space="preserve">it by infusing fresh blood into it.  They do not seek to</w:t></w:r>
</w:p>
<w:p>
<w:pPr><w:pStyle w:val="Normal"/></w:pPr>
<w:r><w:t xml:space="preserve">constitute, and invite the working men not to constitute,</w:t></w:r>
</w:p>
<w:p>
<w:pPr><w:pStyle w:val="Normal"/></w:pPr>
<w:r><w:t xml:space="preserve">political parties in the parliaments.  Accordingly,</w:t></w:r>
</w:p>
<w:p>
<w:pPr><w:pStyle w:val="Normal"/></w:pPr>
<w:r><w:t xml:space="preserve">since the foundation of the International Working Men&apos;s</w:t></w:r>
</w:p>
<w:p>
<w:pPr><w:pStyle w:val="Normal"/></w:pPr>
<w:r><w:t xml:space="preserve">Association in 1864-1866, they have endeavoured to promote</w:t></w:r>
</w:p>
<w:p>
<w:pPr><w:pStyle w:val="Normal"/></w:pPr>
<w:r><w:t xml:space="preserve">their ideas directly amongst the labour organizations and</w:t></w:r>
</w:p>
<w:p>
<w:pPr><w:pStyle w:val="Normal"/></w:pPr>
<w:r><w:t xml:space="preserve">to induce those unions to a direct struggle against capital,</w:t></w:r>
</w:p>
<w:p>
<w:pPr><w:pStyle w:val="Normal"/></w:pPr>
<w:r><w:t xml:space="preserve">without placing their faith in parliamentary legislation.</w:t></w:r>
</w:p>
<w:p>
<w:pPr><w:pStyle w:val="Normal"/></w:pPr>
<w:r><w:t xml:space="preserve">The Historical Development of Anarchism.--The conception of</w:t></w:r>
</w:p>
<w:p>
<w:pPr><w:pStyle w:val="Normal"/></w:pPr>
<w:r><w:t xml:space="preserve">society just sketched, and the tendency which is its dynamic</w:t></w:r>
</w:p>
<w:p>
<w:pPr><w:pStyle w:val="Normal"/></w:pPr>
<w:r><w:t xml:space="preserve">expression, have always existed in mankind, in opposition to</w:t></w:r>
</w:p>
<w:p>
<w:pPr><w:pStyle w:val="Normal"/></w:pPr>
<w:r><w:t xml:space="preserve">the governing hierarchic conception and tendency--now the one</w:t></w:r>
</w:p>
<w:p>
<w:pPr><w:pStyle w:val="Normal"/></w:pPr>
<w:r><w:t xml:space="preserve">and now the other taking the upper hand at different periods of</w:t></w:r>
</w:p>
<w:p>
<w:pPr><w:pStyle w:val="Normal"/></w:pPr>
<w:r><w:t xml:space="preserve">history.  To the former tendency we owe the evolution, by</w:t></w:r>
</w:p>
<w:p>
<w:pPr><w:pStyle w:val="Normal"/></w:pPr>
<w:r><w:t xml:space="preserve">the masses themselves, of those institutions--the clan,</w:t></w:r>
</w:p>
<w:p>
<w:pPr><w:pStyle w:val="Normal"/></w:pPr>
<w:r><w:t xml:space="preserve">the village community, the gild, the free medieval city--by</w:t></w:r>
</w:p>
<w:p>
<w:pPr><w:pStyle w:val="Normal"/></w:pPr>
<w:r><w:t xml:space="preserve">means of which the masses resisted the encroachments of</w:t></w:r>
</w:p>
<w:p>
<w:pPr><w:pStyle w:val="Normal"/></w:pPr>
<w:r><w:t xml:space="preserve">the conquerors and the power-seeking minorities.  The same</w:t></w:r>
</w:p>
<w:p>
<w:pPr><w:pStyle w:val="Normal"/></w:pPr>
<w:r><w:t xml:space="preserve">tendency asserted itself with great energy in the great</w:t></w:r>
</w:p>
<w:p>
<w:pPr><w:pStyle w:val="Normal"/></w:pPr>
<w:r><w:t xml:space="preserve">religious movements of medieval times, especially in the early</w:t></w:r>
</w:p>
<w:p>
<w:pPr><w:pStyle w:val="Normal"/></w:pPr>
<w:r><w:t xml:space="preserve">movements of the reform and its forerunners.  At the same</w:t></w:r>
</w:p>
<w:p>
<w:pPr><w:pStyle w:val="Normal"/></w:pPr>
<w:r><w:t xml:space="preserve">time it evidently found its expression in the writings of</w:t></w:r>
</w:p>
<w:p>
<w:pPr><w:pStyle w:val="Normal"/></w:pPr>
<w:r><w:t xml:space="preserve">some thinkers, since the times of Lao-tsze, although, owing</w:t></w:r>
</w:p>
<w:p>
<w:pPr><w:pStyle w:val="Normal"/></w:pPr>
<w:r><w:t xml:space="preserve">to its non-scholastic and popular origin, it obviously found</w:t></w:r>
</w:p>
<w:p>
<w:pPr><w:pStyle w:val="Normal"/></w:pPr>
<w:r><w:t xml:space="preserve">less sympathy among the scholars than the opposed tendency.</w:t></w:r>
</w:p>
<w:p>
<w:pPr><w:pStyle w:val="Normal"/></w:pPr>
<w:r><w:t xml:space="preserve">As has been pointed out by Prof.  Adler in his Geschichte</w:t></w:r>
</w:p>
<w:p>
<w:pPr><w:pStyle w:val="Normal"/></w:pPr>
<w:r><w:t xml:space="preserve">der Sozialismus und Kommunismus, Aristippus (b. c. 430</w:t></w:r>
</w:p>
<w:p>
<w:pPr><w:pStyle w:val="Normal"/></w:pPr>
<w:r><w:t xml:space="preserve">B.C.), one of the founders of the Cyrenaic school, already</w:t></w:r>
</w:p>
<w:p>
<w:pPr><w:pStyle w:val="Normal"/></w:pPr>
<w:r><w:t xml:space="preserve">taught that the wise must not give up their liberty to the</w:t></w:r>
</w:p>
<w:p>
<w:pPr><w:pStyle w:val="Normal"/></w:pPr>
<w:r><w:t xml:space="preserve">state, and in reply to a question by Socrates he said that he</w:t></w:r>
</w:p>
<w:p>
<w:pPr><w:pStyle w:val="Normal"/></w:pPr>
<w:r><w:t xml:space="preserve">did not desire to belong either to the governing or the governed</w:t></w:r>
</w:p>
<w:p>
<w:pPr><w:pStyle w:val="Normal"/></w:pPr>
<w:r><w:t xml:space="preserve">class.  Such an attitude, however, seems to have been dictated</w:t></w:r>
</w:p>
<w:p>
<w:pPr><w:pStyle w:val="Normal"/></w:pPr>
<w:r><w:t xml:space="preserve">merely by an Epicurean attitude towards the life of the masses.</w:t></w:r>
</w:p>
<w:p>
<w:pPr><w:pStyle w:val="Normal"/></w:pPr>
<w:r><w:t xml:space="preserve">The best exponent of Anarchist philosophy in ancient Greece</w:t></w:r>
</w:p>
<w:p>
<w:pPr><w:pStyle w:val="Normal"/></w:pPr>
<w:r><w:t xml:space="preserve">was Zeno (342-267 or 270 B.C.), from Crete, the founder of</w:t></w:r>
</w:p>
<w:p>
<w:pPr><w:pStyle w:val="Normal"/></w:pPr>
<w:r><w:t xml:space="preserve">the Stoic philosophy, who distinctly opposed his conception</w:t></w:r>
</w:p>
<w:p>
<w:pPr><w:pStyle w:val="Normal"/></w:pPr>
<w:r><w:t xml:space="preserve">of a free community without government to the state-Utopia of</w:t></w:r>
</w:p>
<w:p>
<w:pPr><w:pStyle w:val="Normal"/></w:pPr>
<w:r><w:t xml:space="preserve">Plato.  He repudiated the omnipotence of the state, its</w:t></w:r>
</w:p>
<w:p>
<w:pPr><w:pStyle w:val="Normal"/></w:pPr>
<w:r><w:t xml:space="preserve">intervention and regimentation, and proclaimed the sovereignty</w:t></w:r>
</w:p>
<w:p>
<w:pPr><w:pStyle w:val="Normal"/></w:pPr>
<w:r><w:t xml:space="preserve">of the moral law of the individual--remarking already that,</w:t></w:r>
</w:p>
<w:p>
<w:pPr><w:pStyle w:val="Normal"/></w:pPr>
<w:r><w:t xml:space="preserve">while the necessary instinct of self-preservation leads man to</w:t></w:r>
</w:p>
<w:p>
<w:pPr><w:pStyle w:val="Normal"/></w:pPr>
<w:r><w:t xml:space="preserve">egotism, nature has supplied a corrective to it by providing</w:t></w:r>
</w:p>
<w:p>
<w:pPr><w:pStyle w:val="Normal"/></w:pPr>
<w:r><w:t xml:space="preserve">man with another instinct--that of sociability.  When men are</w:t></w:r>
</w:p>
<w:p>
<w:pPr><w:pStyle w:val="Normal"/></w:pPr>
<w:r><w:t xml:space="preserve">reasonable enough to follow their natural instincts, they will</w:t></w:r>
</w:p>
<w:p>
<w:pPr><w:pStyle w:val="Normal"/></w:pPr>
<w:r><w:t xml:space="preserve">unite across the frontiers and constitute the Cosmos.  They</w:t></w:r>
</w:p>
<w:p>
<w:pPr><w:pStyle w:val="Normal"/></w:pPr>
<w:r><w:t xml:space="preserve">will have no need of law-courts or police, will have no temples</w:t></w:r>
</w:p>
<w:p>
<w:pPr><w:pStyle w:val="Normal"/></w:pPr>
<w:r><w:t xml:space="preserve">and no public worship, and use no money--free gifts taking the</w:t></w:r>
</w:p>
<w:p>
<w:pPr><w:pStyle w:val="Normal"/></w:pPr>
<w:r><w:t xml:space="preserve">place of the exchanges.  Unfortunately, the writings of Zeno</w:t></w:r>
</w:p>
<w:p>
<w:pPr><w:pStyle w:val="Normal"/></w:pPr>
<w:r><w:t xml:space="preserve">have not reached us and are only known through fragmentary</w:t></w:r>
</w:p>
<w:p>
<w:pPr><w:pStyle w:val="Normal"/></w:pPr>
<w:r><w:t xml:space="preserve">quotations.  However, the fact that his very wording is</w:t></w:r>
</w:p>
<w:p>
<w:pPr><w:pStyle w:val="Normal"/></w:pPr>
<w:r><w:t xml:space="preserve">similar to the wording now in use, shows how deeply is laid</w:t></w:r>
</w:p>
<w:p>
<w:pPr><w:pStyle w:val="Normal"/></w:pPr>
<w:r><w:t xml:space="preserve">the tendency of human nature of which he was the mouth-piece.</w:t></w:r>
</w:p>
<w:p>
<w:pPr><w:pStyle w:val="Normal"/></w:pPr>
<w:r><w:t xml:space="preserve">In medieval times we find the same views on the state expressed</w:t></w:r>
</w:p>
<w:p>
<w:pPr><w:pStyle w:val="Normal"/></w:pPr>
<w:r><w:t xml:space="preserve">by the illustrious bishop of Alba, Marco Girolamo Vida, in his</w:t></w:r>
</w:p>
<w:p>
<w:pPr><w:pStyle w:val="Normal"/></w:pPr>
<w:r><w:t xml:space="preserve">first dialogue De dignitate reipublicae (Ferd.  Cavalli, in</w:t></w:r>
</w:p>
<w:p>
<w:pPr><w:pStyle w:val="Normal"/></w:pPr>
<w:r><w:t xml:space="preserve">Mem. dell&apos; Istituto Veneto, xiii.; Dr E. Nys, Researches in</w:t></w:r>
</w:p>
<w:p>
<w:pPr><w:pStyle w:val="Normal"/></w:pPr>
<w:r><w:t xml:space="preserve">the History of Economics.) But it is especially in several</w:t></w:r>
</w:p>
<w:p>
<w:pPr><w:pStyle w:val="Normal"/></w:pPr>
<w:r><w:t xml:space="preserve">early Christian movements, beginning with the 9th century</w:t></w:r>
</w:p>
<w:p>
<w:pPr><w:pStyle w:val="Normal"/></w:pPr>
<w:r><w:t xml:space="preserve">in Armenia, and in the preachings of the early Hussites,</w:t></w:r>
</w:p>
<w:p>
<w:pPr><w:pStyle w:val="Normal"/></w:pPr>
<w:r><w:t xml:space="preserve">particularly Chojecki, and the early Anabaptists, especially</w:t></w:r>
</w:p>
<w:p>
<w:pPr><w:pStyle w:val="Normal"/></w:pPr>
<w:r><w:t xml:space="preserve">Hans Denk (cf. Keller, Ein Apostel der Wiedertaufer),</w:t></w:r>
</w:p>
<w:p>
<w:pPr><w:pStyle w:val="Normal"/></w:pPr>
<w:r><w:t xml:space="preserve">that one finds the same ideas forcibly expressed--special</w:t></w:r>
</w:p>
<w:p>
<w:pPr><w:pStyle w:val="Normal"/></w:pPr>
<w:r><w:t xml:space="preserve">stress being laid of course on their moral aspects.</w:t></w:r>
</w:p>
<w:p>
<w:pPr><w:pStyle w:val="Normal"/></w:pPr>
<w:r><w:t xml:space="preserve">Rabelais and Fenelon, in their Utopias, have also expressed</w:t></w:r>
</w:p>
<w:p>
<w:pPr><w:pStyle w:val="Normal"/></w:pPr>
<w:r><w:t xml:space="preserve">similar ideas, and they were also current in the 18th</w:t></w:r>
</w:p>
<w:p>
<w:pPr><w:pStyle w:val="Normal"/></w:pPr>
<w:r><w:t xml:space="preserve">century amongst the French Encyclopaedists, as may be</w:t></w:r>
</w:p>
<w:p>
<w:pPr><w:pStyle w:val="Normal"/></w:pPr>
<w:r><w:t xml:space="preserve">concluded from separate expressions occasionally met with</w:t></w:r>
</w:p>
<w:p>
<w:pPr><w:pStyle w:val="Normal"/></w:pPr>
<w:r><w:t xml:space="preserve">in the writings of Rousseau, from Diderot&apos;s Preface to</w:t></w:r>
</w:p>
<w:p>
<w:pPr><w:pStyle w:val="Normal"/></w:pPr>
<w:r><w:t xml:space="preserve">the Voyage of Bougainville, and so on.  However, in all</w:t></w:r>
</w:p>
<w:p>
<w:pPr><w:pStyle w:val="Normal"/></w:pPr>
<w:r><w:t xml:space="preserve">probability such ideas could not be developed then, owing</w:t></w:r>
</w:p>
<w:p>
<w:pPr><w:pStyle w:val="Normal"/></w:pPr>
<w:r><w:t xml:space="preserve">to the rigorous censorship of the Roman Catholic Church.</w:t></w:r>
</w:p>
<w:p>
<w:pPr><w:pStyle w:val="Normal"/></w:pPr>
<w:r><w:t xml:space="preserve">These ideas found their expression later during the great French</w:t></w:r>
</w:p>
<w:p>
<w:pPr><w:pStyle w:val="Normal"/></w:pPr>
<w:r><w:t xml:space="preserve">Revolution.  While the Jacobins did all in their power to</w:t></w:r>
</w:p>
<w:p>
<w:pPr><w:pStyle w:val="Normal"/></w:pPr>
<w:r><w:t xml:space="preserve">centralize everything in the hands of the government, it appears</w:t></w:r>
</w:p>
<w:p>
<w:pPr><w:pStyle w:val="Normal"/></w:pPr>
<w:r><w:t xml:space="preserve">now, from recently published documents, that the masses of the</w:t></w:r>
</w:p>
<w:p>
<w:pPr><w:pStyle w:val="Normal"/></w:pPr>
<w:r><w:t xml:space="preserve">people, in their municipalities and ``sections,&apos;&apos; accomplished</w:t></w:r>
</w:p>
<w:p>
<w:pPr><w:pStyle w:val="Normal"/></w:pPr>
<w:r><w:t xml:space="preserve">a considerable constructive work.  They appropriated for</w:t></w:r>
</w:p>
<w:p>
<w:pPr><w:pStyle w:val="Normal"/></w:pPr>
<w:r><w:t xml:space="preserve">themselves the election of the judges, the organization</w:t></w:r>
</w:p>
<w:p>
<w:pPr><w:pStyle w:val="Normal"/></w:pPr>
<w:r><w:t xml:space="preserve">of supplies and equipment for the army, as also for the</w:t></w:r>
</w:p>
<w:p>
<w:pPr><w:pStyle w:val="Normal"/></w:pPr>
<w:r><w:t xml:space="preserve">large cities, work for the unemployed, the management of</w:t></w:r>
</w:p>
<w:p>
<w:pPr><w:pStyle w:val="Normal"/></w:pPr>
<w:r><w:t xml:space="preserve">charities, and so on.  They even tried to establish a direct</w:t></w:r>
</w:p>
<w:p>
<w:pPr><w:pStyle w:val="Normal"/></w:pPr>
<w:r><w:t xml:space="preserve">correspondence between the 36,000 communes of France through</w:t></w:r>
</w:p>
<w:p>
<w:pPr><w:pStyle w:val="Normal"/></w:pPr>
<w:r><w:t xml:space="preserve">the intermediary of a special board, outside the National</w:t></w:r>
</w:p>
<w:p>
<w:pPr><w:pStyle w:val="Normal"/></w:pPr>
<w:r><w:t xml:space="preserve">Assembly (cf. Sigismund Lacroix, Actes de la commune de Paris.)</w:t></w:r>
</w:p>
<w:p>
<w:pPr><w:pStyle w:val="Normal"/></w:pPr>
<w:r><w:t xml:space="preserve">It was Godwin, in his Enquiry concerning Political Justice</w:t></w:r>
</w:p>
<w:p>
<w:pPr><w:pStyle w:val="Normal"/></w:pPr>
<w:r><w:t xml:space="preserve">(2 vols., 1793), who was the first to formulate the political</w:t></w:r>
</w:p>
<w:p>
<w:pPr><w:pStyle w:val="Normal"/></w:pPr>
<w:r><w:t xml:space="preserve">and economical conceptions of Anarchism, even though he did</w:t></w:r>
</w:p>
<w:p>
<w:pPr><w:pStyle w:val="Normal"/></w:pPr>
<w:r><w:t xml:space="preserve">not give that name to the ideas developed in his remarkable</w:t></w:r>
</w:p>
<w:p>
<w:pPr><w:pStyle w:val="Normal"/></w:pPr>
<w:r><w:t xml:space="preserve">work.  Laws, he wrote, are not a product of the wisdom</w:t></w:r>
</w:p>
<w:p>
<w:pPr><w:pStyle w:val="Normal"/></w:pPr>
<w:r><w:t xml:space="preserve">of our ancestors: they are the product of their passions,</w:t></w:r>
</w:p>
<w:p>
<w:pPr><w:pStyle w:val="Normal"/></w:pPr>
<w:r><w:t xml:space="preserve">their timidity, their jealousies and their ambition.  The</w:t></w:r>
</w:p>
<w:p>
<w:pPr><w:pStyle w:val="Normal"/></w:pPr>
<w:r><w:t xml:space="preserve">remedy they offer is worse than the evils they pretend to</w:t></w:r>
</w:p>
<w:p>
<w:pPr><w:pStyle w:val="Normal"/></w:pPr>
<w:r><w:t xml:space="preserve">cure.  If and only if all laws and courts were abolished, and</w:t></w:r>
</w:p>
<w:p>
<w:pPr><w:pStyle w:val="Normal"/></w:pPr>
<w:r><w:t xml:space="preserve">the decisions in the arising contests were left to reasonable</w:t></w:r>
</w:p>
<w:p>
<w:pPr><w:pStyle w:val="Normal"/></w:pPr>
<w:r><w:t xml:space="preserve">men chosen for that purpose, real justice would gradually be</w:t></w:r>
</w:p>
<w:p>
<w:pPr><w:pStyle w:val="Normal"/></w:pPr>
<w:r><w:t xml:space="preserve">evolved.  As to the state, Godwin frankly claimed its abolition.</w:t></w:r>
</w:p>
<w:p>
<w:pPr><w:pStyle w:val="Normal"/></w:pPr>
<w:r><w:t xml:space="preserve">A society, he wrote, can perfectly well exist without any</w:t></w:r>
</w:p>
<w:p>
<w:pPr><w:pStyle w:val="Normal"/></w:pPr>
<w:r><w:t xml:space="preserve">government: only the communities should be small and perfectly</w:t></w:r>
</w:p>
<w:p>
<w:pPr><w:pStyle w:val="Normal"/></w:pPr>
<w:r><w:t xml:space="preserve">autonomous.  Speaking of property, he stated that the rights</w:t></w:r>
</w:p>
<w:p>
<w:pPr><w:pStyle w:val="Normal"/></w:pPr>
<w:r><w:t xml:space="preserve">of every one ``to every substance capable of contributing to</w:t></w:r>
</w:p>
<w:p>
<w:pPr><w:pStyle w:val="Normal"/></w:pPr>
<w:r><w:t xml:space="preserve">the benefit of a human being&apos;&apos; must be regulated by justice</w:t></w:r>
</w:p>
<w:p>
<w:pPr><w:pStyle w:val="Normal"/></w:pPr>
<w:r><w:t xml:space="preserve">alone: the substance must go ``to him who most wants it.&apos;&apos;</w:t></w:r>
</w:p>
<w:p>
<w:pPr><w:pStyle w:val="Normal"/></w:pPr>
<w:r><w:t xml:space="preserve">His conclusion was Communism.  Godwin, however, had not the</w:t></w:r>
</w:p>
<w:p>
<w:pPr><w:pStyle w:val="Normal"/></w:pPr>
<w:r><w:t xml:space="preserve">courage to maintain his opinions.  He entirely rewrote later</w:t></w:r>
</w:p>
<w:p>
<w:pPr><w:pStyle w:val="Normal"/></w:pPr>
<w:r><w:t xml:space="preserve">on his chapter on property and mitigated his Communist views</w:t></w:r>
</w:p>
<w:p>
<w:pPr><w:pStyle w:val="Normal"/></w:pPr>
<w:r><w:t xml:space="preserve">in the second edition of Political Justice (8vo, 1796).</w:t></w:r>
</w:p>
<w:p>
<w:pPr><w:pStyle w:val="Normal"/></w:pPr>
<w:r><w:t xml:space="preserve">Proudhon was the first to use, in 1840 (Qu&apos;est-ce que</w:t></w:r>
</w:p>
<w:p>
<w:pPr><w:pStyle w:val="Normal"/></w:pPr>
<w:r><w:t xml:space="preserve">la propriete? first memoir), the name of Anarchy with</w:t></w:r>
</w:p>
<w:p>
<w:pPr><w:pStyle w:val="Normal"/></w:pPr>
<w:r><w:t xml:space="preserve">application to the no-government state of society.  The name</w:t></w:r>
</w:p>
<w:p>
<w:pPr><w:pStyle w:val="Normal"/></w:pPr>
<w:r><w:t xml:space="preserve">of ``Anarchists&apos;&apos; had been freely applied during the French</w:t></w:r>
</w:p>
<w:p>
<w:pPr><w:pStyle w:val="Normal"/></w:pPr>
<w:r><w:t xml:space="preserve">Revolution by the Girondists to those revolutionaries who did</w:t></w:r>
</w:p>
<w:p>
<w:pPr><w:pStyle w:val="Normal"/></w:pPr>
<w:r><w:t xml:space="preserve">not consider that the task of the Revolution was accomplished</w:t></w:r>
</w:p>
<w:p>
<w:pPr><w:pStyle w:val="Normal"/></w:pPr>
<w:r><w:t xml:space="preserve">with the overthrow of Louis XVI., and insisted upon a series of</w:t></w:r>
</w:p>
<w:p>
<w:pPr><w:pStyle w:val="Normal"/></w:pPr>
<w:r><w:t xml:space="preserve">economical measures being taken (the abolition of feudal rights</w:t></w:r>
</w:p>
<w:p>
<w:pPr><w:pStyle w:val="Normal"/></w:pPr>
<w:r><w:t xml:space="preserve">without redemption, the return to the village communities of</w:t></w:r>
</w:p>
<w:p>
<w:pPr><w:pStyle w:val="Normal"/></w:pPr>
<w:r><w:t xml:space="preserve">the communal lands enclosed since 1669, the limitation of landed</w:t></w:r>
</w:p>
<w:p>
<w:pPr><w:pStyle w:val="Normal"/></w:pPr>
<w:r><w:t xml:space="preserve">property to 120 acres, progressive income-tax, the national</w:t></w:r>
</w:p>
<w:p>
<w:pPr><w:pStyle w:val="Normal"/></w:pPr>
<w:r><w:t xml:space="preserve">organization of exchanges on a just value basis, which already</w:t></w:r>
</w:p>
<w:p>
<w:pPr><w:pStyle w:val="Normal"/></w:pPr>
<w:r><w:t xml:space="preserve">received a beginning of practical realization, and so on).</w:t></w:r>
</w:p>
<w:p>
<w:pPr><w:pStyle w:val="Normal"/></w:pPr>
<w:r><w:t xml:space="preserve">Now Proudhon advocated a society without government, and used</w:t></w:r>
</w:p>
<w:p>
<w:pPr><w:pStyle w:val="Normal"/></w:pPr>
<w:r><w:t xml:space="preserve">the word Anarchy to describe it.  Proudhon repudiated, as is</w:t></w:r>
</w:p>
<w:p>
<w:pPr><w:pStyle w:val="Normal"/></w:pPr>
<w:r><w:t xml:space="preserve">known, all schemes of Communism, according to which mankind</w:t></w:r>
</w:p>
<w:p>
<w:pPr><w:pStyle w:val="Normal"/></w:pPr>
<w:r><w:t xml:space="preserve">would be driven into communistic monasteries or barracks, as</w:t></w:r>
</w:p>
<w:p>
<w:pPr><w:pStyle w:val="Normal"/></w:pPr>
<w:r><w:t xml:space="preserve">also all the schemes of state or state-aided Socialism which</w:t></w:r>
</w:p>
<w:p>
<w:pPr><w:pStyle w:val="Normal"/></w:pPr>
<w:r><w:t xml:space="preserve">were advocated by Louis Blanc and the Collectivists.  When</w:t></w:r>
</w:p>
<w:p>
<w:pPr><w:pStyle w:val="Normal"/></w:pPr>
<w:r><w:t xml:space="preserve">he proclaimed in his first memoir on property that ``Property</w:t></w:r>
</w:p>
<w:p>
<w:pPr><w:pStyle w:val="Normal"/></w:pPr>
<w:r><w:t xml:space="preserve">is theft,&apos;&apos; he meant only property in its present, Roman-law,</w:t></w:r>
</w:p>
<w:p>
<w:pPr><w:pStyle w:val="Normal"/></w:pPr>
<w:r><w:t xml:space="preserve">sense of ``right of use and abuse&apos;&apos;; in property-rights, on the</w:t></w:r>
</w:p>
<w:p>
<w:pPr><w:pStyle w:val="Normal"/></w:pPr>
<w:r><w:t xml:space="preserve">other hand, understood in the limited sense of possession,</w:t></w:r>
</w:p>
<w:p>
<w:pPr><w:pStyle w:val="Normal"/></w:pPr>
<w:r><w:t xml:space="preserve">he saw the best protection against the encroachments of the</w:t></w:r>
</w:p>
<w:p>
<w:pPr><w:pStyle w:val="Normal"/></w:pPr>
<w:r><w:t xml:space="preserve">state.  At the same time he did not want violently to dispossess</w:t></w:r>
</w:p>
<w:p>
<w:pPr><w:pStyle w:val="Normal"/></w:pPr>
<w:r><w:t xml:space="preserve">the present owners of land, dwelling-houses, mines, factories</w:t></w:r>
</w:p>
<w:p>
<w:pPr><w:pStyle w:val="Normal"/></w:pPr>
<w:r><w:t xml:space="preserve">and so on.  He preferred to attain the same end by rendering</w:t></w:r>
</w:p>
<w:p>
<w:pPr><w:pStyle w:val="Normal"/></w:pPr>
<w:r><w:t xml:space="preserve">capital incapable of earning interest; and this he proposed</w:t></w:r>
</w:p>
<w:p>
<w:pPr><w:pStyle w:val="Normal"/></w:pPr>
<w:r><w:t xml:space="preserve">to obtain by means of a national bank, based on the mutual</w:t></w:r>
</w:p>
<w:p>
<w:pPr><w:pStyle w:val="Normal"/></w:pPr>
<w:r><w:t xml:space="preserve">confidence of all those who are engaged in production, who</w:t></w:r>
</w:p>
<w:p>
<w:pPr><w:pStyle w:val="Normal"/></w:pPr>
<w:r><w:t xml:space="preserve">would agree to exchange among themselves their produces at</w:t></w:r>
</w:p>
<w:p>
<w:pPr><w:pStyle w:val="Normal"/></w:pPr>
<w:r><w:t xml:space="preserve">cost-value, by means of labour cheques representing the hours</w:t></w:r>
</w:p>
<w:p>
<w:pPr><w:pStyle w:val="Normal"/></w:pPr>
<w:r><w:t xml:space="preserve">of labour required to produce every given commodity.  Under</w:t></w:r>
</w:p>
<w:p>
<w:pPr><w:pStyle w:val="Normal"/></w:pPr>
<w:r><w:t xml:space="preserve">such a system, which Proudhon described as ``Mutuellisme,&apos;&apos;</w:t></w:r>
</w:p>
<w:p>
<w:pPr><w:pStyle w:val="Normal"/></w:pPr>
<w:r><w:t xml:space="preserve">all the exchanges of services would be strictly equivalent.</w:t></w:r>
</w:p>
<w:p>
<w:pPr><w:pStyle w:val="Normal"/></w:pPr>
<w:r><w:t xml:space="preserve">Besides, such a bank would be enabled to lend money without</w:t></w:r>
</w:p>
<w:p>
<w:pPr><w:pStyle w:val="Normal"/></w:pPr>
<w:r><w:t xml:space="preserve">interest, levying only something like 1%, or even less, for</w:t></w:r>
</w:p>
<w:p>
<w:pPr><w:pStyle w:val="Normal"/></w:pPr>
<w:r><w:t xml:space="preserve">covering the cost of administration.  Every one being thus</w:t></w:r>
</w:p>
<w:p>
<w:pPr><w:pStyle w:val="Normal"/></w:pPr>
<w:r><w:t xml:space="preserve">enabled to borrow the money that would be required to buy a</w:t></w:r>
</w:p>
<w:p>
<w:pPr><w:pStyle w:val="Normal"/></w:pPr>
<w:r><w:t xml:space="preserve">house, nobody would agree to pay any more a yearly rent</w:t></w:r>
</w:p>
<w:p>
<w:pPr><w:pStyle w:val="Normal"/></w:pPr>
<w:r><w:t xml:space="preserve">for the use of it.  A general ``social liquidation&apos;&apos; would</w:t></w:r>
</w:p>
<w:p>
<w:pPr><w:pStyle w:val="Normal"/></w:pPr>
<w:r><w:t xml:space="preserve">thus be rendered easy, without violent expropriation.</w:t></w:r>
</w:p>
<w:p>
<w:pPr><w:pStyle w:val="Normal"/></w:pPr>
<w:r><w:t xml:space="preserve">The same applied to mines, railways, factories and so on.</w:t></w:r>
</w:p>
<w:p>
<w:pPr><w:pStyle w:val="Normal"/></w:pPr>
<w:r><w:t xml:space="preserve">In a society of this type the state would be useless.  The chief</w:t></w:r>
</w:p>
<w:p>
<w:pPr><w:pStyle w:val="Normal"/></w:pPr>
<w:r><w:t xml:space="preserve">relations between citizens would be based on free agreement and</w:t></w:r>
</w:p>
<w:p>
<w:pPr><w:pStyle w:val="Normal"/></w:pPr>
<w:r><w:t xml:space="preserve">regulated by mere account keeping.  The contests might be settled</w:t></w:r>
</w:p>
<w:p>
<w:pPr><w:pStyle w:val="Normal"/></w:pPr>
<w:r><w:t xml:space="preserve">by arbitration.  A penetrating criticism of the state and all</w:t></w:r>
</w:p>
<w:p>
<w:pPr><w:pStyle w:val="Normal"/></w:pPr>
<w:r><w:t xml:space="preserve">possible forms of government, and a deep insight into all economic</w:t></w:r>
</w:p>
<w:p>
<w:pPr><w:pStyle w:val="Normal"/></w:pPr>
<w:r><w:t xml:space="preserve">problems, were well-known characteristics of Proudhon&apos;s work.</w:t></w:r>
</w:p>
<w:p>
<w:pPr><w:pStyle w:val="Normal"/></w:pPr>
<w:r><w:t xml:space="preserve">It is worth noticing that French mutualism had its precursor</w:t></w:r>
</w:p>
<w:p>
<w:pPr><w:pStyle w:val="Normal"/></w:pPr>
<w:r><w:t xml:space="preserve">in England, in William Thompson, who began by mutualism</w:t></w:r>
</w:p>
<w:p>
<w:pPr><w:pStyle w:val="Normal"/></w:pPr>
<w:r><w:t xml:space="preserve">before he became a Communist, and in his followers John</w:t></w:r>
</w:p>
<w:p>
<w:pPr><w:pStyle w:val="Normal"/></w:pPr>
<w:r><w:t xml:space="preserve">Gray (A Lecture on Human Happiness, 1825; The Social</w:t></w:r>
</w:p>
<w:p>
<w:pPr><w:pStyle w:val="Normal"/></w:pPr>
<w:r><w:t xml:space="preserve">System, 1831) and J. F. Bray (Labour&apos;s Wrongs and</w:t></w:r>
</w:p>
<w:p>
<w:pPr><w:pStyle w:val="Normal"/></w:pPr>
<w:r><w:t xml:space="preserve">Labour&apos;s Remedy, 1839).  It had also its precursor in</w:t></w:r>
</w:p>
<w:p>
<w:pPr><w:pStyle w:val="Normal"/></w:pPr>
<w:r><w:t xml:space="preserve">America.  Josiah Warren, who was born in 1708 (cf. W. Bailie,</w:t></w:r>
</w:p>
<w:p>
<w:pPr><w:pStyle w:val="Normal"/></w:pPr>
<w:r><w:t xml:space="preserve">Josiah Warren, the First American Anarchist, Boston,</w:t></w:r>
</w:p>
<w:p>
<w:pPr><w:pStyle w:val="Normal"/></w:pPr>
<w:r><w:t xml:space="preserve">1900), and belonged to Owen&apos;s ``New Harmony,&apos;&apos; considered</w:t></w:r>
</w:p>
<w:p>
<w:pPr><w:pStyle w:val="Normal"/></w:pPr>
<w:r><w:t xml:space="preserve">that the failure of this enterprise was chiefly due to the</w:t></w:r>
</w:p>
<w:p>
<w:pPr><w:pStyle w:val="Normal"/></w:pPr>
<w:r><w:t xml:space="preserve">suppression of individuality and the lack of initiative and</w:t></w:r>
</w:p>
<w:p>
<w:pPr><w:pStyle w:val="Normal"/></w:pPr>
<w:r><w:t xml:space="preserve">responsibility.  These defects, he taught, were inherent</w:t></w:r>
</w:p>
<w:p>
<w:pPr><w:pStyle w:val="Normal"/></w:pPr>
<w:r><w:t xml:space="preserve">to every scheme based upon authority and the community of</w:t></w:r>
</w:p>
<w:p>
<w:pPr><w:pStyle w:val="Normal"/></w:pPr>
<w:r><w:t xml:space="preserve">goods.  He advocated, therefore, complete individual liberty.</w:t></w:r>
</w:p>
<w:p>
<w:pPr><w:pStyle w:val="Normal"/></w:pPr>
<w:r><w:t xml:space="preserve">In 1827 he opened in Cincinnati a little country store which</w:t></w:r>
</w:p>
<w:p>
<w:pPr><w:pStyle w:val="Normal"/></w:pPr>
<w:r><w:t xml:space="preserve">was the first ``Equity Store,&apos;&apos; and which the people called</w:t></w:r>
</w:p>
<w:p>
<w:pPr><w:pStyle w:val="Normal"/></w:pPr>
<w:r><w:t xml:space="preserve">``Time Store,&apos;&apos; because it was based on labour being exchanged</w:t></w:r>
</w:p>
<w:p>
<w:pPr><w:pStyle w:val="Normal"/></w:pPr>
<w:r><w:t xml:space="preserve">hour for hour in all sorts of produce. ``Cost--the limit of</w:t></w:r>
</w:p>
<w:p>
<w:pPr><w:pStyle w:val="Normal"/></w:pPr>
<w:r><w:t xml:space="preserve">price,&apos;&apos; and consequently ``no interest,&apos;&apos; was the motto of his</w:t></w:r>
</w:p>
<w:p>
<w:pPr><w:pStyle w:val="Normal"/></w:pPr>
<w:r><w:t xml:space="preserve">store, and later on of his ``Equity Village,&apos;&apos; near New York,</w:t></w:r>
</w:p>
<w:p>
<w:pPr><w:pStyle w:val="Normal"/></w:pPr>
<w:r><w:t xml:space="preserve">which was still in existence in 1865.  Mr Keith&apos;s ``House of</w:t></w:r>
</w:p>
<w:p>
<w:pPr><w:pStyle w:val="Normal"/></w:pPr>
<w:r><w:t xml:space="preserve">Equity&apos;&apos; at Boston, founded in 1855, is also worthy of notice.</w:t></w:r>
</w:p>
<w:p>
<w:pPr><w:pStyle w:val="Normal"/></w:pPr>
<w:r><w:t xml:space="preserve">While the economical, and especially the mutual-banking,</w:t></w:r>
</w:p>
<w:p>
<w:pPr><w:pStyle w:val="Normal"/></w:pPr>
<w:r><w:t xml:space="preserve">ideas of Proudhon found supporters and even a practical</w:t></w:r>
</w:p>
<w:p>
<w:pPr><w:pStyle w:val="Normal"/></w:pPr>
<w:r><w:t xml:space="preserve">application in the United States, his political conception of</w:t></w:r>
</w:p>
<w:p>
<w:pPr><w:pStyle w:val="Normal"/></w:pPr>
<w:r><w:t xml:space="preserve">Anarchy found but little echo in France, where the Christian</w:t></w:r>
</w:p>
<w:p>
<w:pPr><w:pStyle w:val="Normal"/></w:pPr>
<w:r><w:t xml:space="preserve">Socialism of Lamennais and the Fourierists, and the State</w:t></w:r>
</w:p>
<w:p>
<w:pPr><w:pStyle w:val="Normal"/></w:pPr>
<w:r><w:t xml:space="preserve">Socialism of Louis Blanc and the followers of Saint-Simon, were</w:t></w:r>
</w:p>
<w:p>
<w:pPr><w:pStyle w:val="Normal"/></w:pPr>
<w:r><w:t xml:space="preserve">dominating.  These ideas found, however, some temporary</w:t></w:r>
</w:p>
<w:p>
<w:pPr><w:pStyle w:val="Normal"/></w:pPr>
<w:r><w:t xml:space="preserve">support among the left-wing Hegelians in Germany, Moses Hess</w:t></w:r>
</w:p>
<w:p>
<w:pPr><w:pStyle w:val="Normal"/></w:pPr>
<w:r><w:t xml:space="preserve">in 1843, and Karl Grun in 1845, who advocated Anarchism.</w:t></w:r>
</w:p>
<w:p>
<w:pPr><w:pStyle w:val="Normal"/></w:pPr>
<w:r><w:t xml:space="preserve">Besides, the authoritarian Communism of Wilhelm Weitling</w:t></w:r>
</w:p>
<w:p>
<w:pPr><w:pStyle w:val="Normal"/></w:pPr>
<w:r><w:t xml:space="preserve">having given origin to opposition amongst the Swiss working</w:t></w:r>
</w:p>
<w:p>
<w:pPr><w:pStyle w:val="Normal"/></w:pPr>
<w:r><w:t xml:space="preserve">men, Wilhelm Marr gave expression to it in the &apos;forties.</w:t></w:r>
</w:p>
<w:p>
<w:pPr><w:pStyle w:val="Normal"/></w:pPr>
<w:r><w:t xml:space="preserve">On the other side, Individualist Anarchism found, also in Germany,</w:t></w:r>
</w:p>
<w:p>
<w:pPr><w:pStyle w:val="Normal"/></w:pPr>
<w:r><w:t xml:space="preserve">its fullest expression in Max Stirner (Kaspar Schmidt), whose</w:t></w:r>
</w:p>
<w:p>
<w:pPr><w:pStyle w:val="Normal"/></w:pPr>
<w:r><w:t xml:space="preserve">remarkable works (Der Einzige und sein Eigenthum and articles</w:t></w:r>
</w:p>
<w:p>
<w:pPr><w:pStyle w:val="Normal"/></w:pPr>
<w:r><w:t xml:space="preserve">contributed to the Rheinische Zeitung) remained quite overlooked</w:t></w:r>
</w:p>
<w:p>
<w:pPr><w:pStyle w:val="Normal"/></w:pPr>
<w:r><w:t xml:space="preserve">until they were brought into prominence by John Henry Mackay.</w:t></w:r>
</w:p>
<w:p>
<w:pPr><w:pStyle w:val="Normal"/></w:pPr>
<w:r><w:t xml:space="preserve">Prof.  V. Basch, in a very able introduction to his interesting</w:t></w:r>
</w:p>
<w:p>
<w:pPr><w:pStyle w:val="Normal"/></w:pPr>
<w:r><w:t xml:space="preserve">book, L&apos;Individualisme anarchiste: Max Stirner (1904), has</w:t></w:r>
</w:p>
<w:p>
<w:pPr><w:pStyle w:val="Normal"/></w:pPr>
<w:r><w:t xml:space="preserve">shown how the development of the German philosophy from Kant to</w:t></w:r>
</w:p>
<w:p>
<w:pPr><w:pStyle w:val="Normal"/></w:pPr>
<w:r><w:t xml:space="preserve">Hegel, and ``the absolute&apos;&apos; of Schelling and the Geist of</w:t></w:r>
</w:p>
<w:p>
<w:pPr><w:pStyle w:val="Normal"/></w:pPr>
<w:r><w:t xml:space="preserve">Hegel, necessarily provoked, when the anti-Hegelian revolt</w:t></w:r>
</w:p>
<w:p>
<w:pPr><w:pStyle w:val="Normal"/></w:pPr>
<w:r><w:t xml:space="preserve">began, the preaching of the same ``absolute&apos;&apos; in the camp</w:t></w:r>
</w:p>
<w:p>
<w:pPr><w:pStyle w:val="Normal"/></w:pPr>
<w:r><w:t xml:space="preserve">of the rebels.  This was done by Stirner, who advocated,</w:t></w:r>
</w:p>
<w:p>
<w:pPr><w:pStyle w:val="Normal"/></w:pPr>
<w:r><w:t xml:space="preserve">not only a complete revolt against the state and against the</w:t></w:r>
</w:p>
<w:p>
<w:pPr><w:pStyle w:val="Normal"/></w:pPr>
<w:r><w:t xml:space="preserve">servitude which authoritarian Communism would impose upon</w:t></w:r>
</w:p>
<w:p>
<w:pPr><w:pStyle w:val="Normal"/></w:pPr>
<w:r><w:t xml:space="preserve">men, but also the full liberation of the individual from all</w:t></w:r>
</w:p>
<w:p>
<w:pPr><w:pStyle w:val="Normal"/></w:pPr>
<w:r><w:t xml:space="preserve">social and moral bonds--the rehabilitation of the ``I,&apos;&apos; the</w:t></w:r>
</w:p>
<w:p>
<w:pPr><w:pStyle w:val="Normal"/></w:pPr>
<w:r><w:t xml:space="preserve">supremacy of the individual, complete ``a-moralism,&apos;&apos; and the</w:t></w:r>
</w:p>
<w:p>
<w:pPr><w:pStyle w:val="Normal"/></w:pPr>
<w:r><w:t xml:space="preserve">``association of the egotists.&apos;&apos; The final conclusion of that</w:t></w:r>
</w:p>
<w:p>
<w:pPr><w:pStyle w:val="Normal"/></w:pPr>
<w:r><w:t xml:space="preserve">sort of Individual Anarchism has been indicated by Prof.</w:t></w:r>
</w:p>
<w:p>
<w:pPr><w:pStyle w:val="Normal"/></w:pPr>
<w:r><w:t xml:space="preserve">Basch.  It maintains that the aim of all superior civilization</w:t></w:r>
</w:p>
<w:p>
<w:pPr><w:pStyle w:val="Normal"/></w:pPr>
<w:r><w:t xml:space="preserve">is, not to permit all members of the community to develop in</w:t></w:r>
</w:p>
<w:p>
<w:pPr><w:pStyle w:val="Normal"/></w:pPr>
<w:r><w:t xml:space="preserve">a normal way, but to permit certain better endowed individuals</w:t></w:r>
</w:p>
<w:p>
<w:pPr><w:pStyle w:val="Normal"/></w:pPr>
<w:r><w:t xml:space="preserve">``fully to develop,&apos;&apos; even at the cost of the happiness and</w:t></w:r>
</w:p>
<w:p>
<w:pPr><w:pStyle w:val="Normal"/></w:pPr>
<w:r><w:t xml:space="preserve">the very existence of the mass of mankind.  It is thus a</w:t></w:r>
</w:p>
<w:p>
<w:pPr><w:pStyle w:val="Normal"/></w:pPr>
<w:r><w:t xml:space="preserve">return towards the most common individualism, advocated by</w:t></w:r>
</w:p>
<w:p>
<w:pPr><w:pStyle w:val="Normal"/></w:pPr>
<w:r><w:t xml:space="preserve">all the would-be superior minorities, to which indeed man</w:t></w:r>
</w:p>
<w:p>
<w:pPr><w:pStyle w:val="Normal"/></w:pPr>
<w:r><w:t xml:space="preserve">owes in his history precisely the state and the rest, which</w:t></w:r>
</w:p>
<w:p>
<w:pPr><w:pStyle w:val="Normal"/></w:pPr>
<w:r><w:t xml:space="preserve">these individualists combat.  Their individualism goes so far</w:t></w:r>
</w:p>
<w:p>
<w:pPr><w:pStyle w:val="Normal"/></w:pPr>
<w:r><w:t xml:space="preserve">as to end in a negation of their own starting-point,--to say</w:t></w:r>
</w:p>
<w:p>
<w:pPr><w:pStyle w:val="Normal"/></w:pPr>
<w:r><w:t xml:space="preserve">nothing of the impossibility for the individual to attain a</w:t></w:r>
</w:p>
<w:p>
<w:pPr><w:pStyle w:val="Normal"/></w:pPr>
<w:r><w:t xml:space="preserve">really full development in the conditions of oppression of</w:t></w:r>
</w:p>
<w:p>
<w:pPr><w:pStyle w:val="Normal"/></w:pPr>
<w:r><w:t xml:space="preserve">the masses by the ``beautiful aristocracies.&apos;&apos; His development</w:t></w:r>
</w:p>
<w:p>
<w:pPr><w:pStyle w:val="Normal"/></w:pPr>
<w:r><w:t xml:space="preserve">would remain uni-lateral.  This is why this direction of</w:t></w:r>
</w:p>
<w:p>
<w:pPr><w:pStyle w:val="Normal"/></w:pPr>
<w:r><w:t xml:space="preserve">thought, notwithstanding its undoubtedly correct and useful</w:t></w:r>
</w:p>
<w:p>
<w:pPr><w:pStyle w:val="Normal"/></w:pPr>
<w:r><w:t xml:space="preserve">advocacy of the full development of each individuality, finds</w:t></w:r>
</w:p>
<w:p>
<w:pPr><w:pStyle w:val="Normal"/></w:pPr>
<w:r><w:t xml:space="preserve">a hearing only in limited artistic and literary circles.</w:t></w:r>
</w:p>
<w:p>
<w:pPr><w:pStyle w:val="Normal"/></w:pPr>
<w:r><w:t xml:space="preserve">Anarchism in the International Working Men&apos;s Association.--A</w:t></w:r>
</w:p>
<w:p>
<w:pPr><w:pStyle w:val="Normal"/></w:pPr>
<w:r><w:t xml:space="preserve">general depression in the propaganda of all fractions of</w:t></w:r>
</w:p>
<w:p>
<w:pPr><w:pStyle w:val="Normal"/></w:pPr>
<w:r><w:t xml:space="preserve">Socialism followed, as is known, after the defeat of the uprising</w:t></w:r>
</w:p>
<w:p>
<w:pPr><w:pStyle w:val="Normal"/></w:pPr>
<w:r><w:t xml:space="preserve">of the Paris working men in June 1848 and the fall of the</w:t></w:r>
</w:p>
<w:p>
<w:pPr><w:pStyle w:val="Normal"/></w:pPr>
<w:r><w:t xml:space="preserve">Republic.  All the Socialist press was gagged during the reaction</w:t></w:r>
</w:p>
<w:p>
<w:pPr><w:pStyle w:val="Normal"/></w:pPr>
<w:r><w:t xml:space="preserve">period, which lasted fully twenty years.  Nevertheless, even</w:t></w:r>
</w:p>
<w:p>
<w:pPr><w:pStyle w:val="Normal"/></w:pPr>
<w:r><w:t xml:space="preserve">Anarchist thought began to make some progress, namely in</w:t></w:r>
</w:p>
<w:p>
<w:pPr><w:pStyle w:val="Normal"/></w:pPr>
<w:r><w:t xml:space="preserve">the writings of Bellegarrique (Coeurderoy), and especially</w:t></w:r>
</w:p>
<w:p>
<w:pPr><w:pStyle w:val="Normal"/></w:pPr>
<w:r><w:t xml:space="preserve">Joseph Dejacque (Les Lazareennes, L&apos;Humanisphere,</w:t></w:r>
</w:p>
<w:p>
<w:pPr><w:pStyle w:val="Normal"/></w:pPr>
<w:r><w:t xml:space="preserve">an Anarchist-Communist Utopia, lately discovered and</w:t></w:r>
</w:p>
<w:p>
<w:pPr><w:pStyle w:val="Normal"/></w:pPr>
<w:r><w:t xml:space="preserve">reprinted).  The Socialist movement revived only after 1864,</w:t></w:r>
</w:p>
<w:p>
<w:pPr><w:pStyle w:val="Normal"/></w:pPr>
<w:r><w:t xml:space="preserve">when some French working men, all ``mutualists,&apos;&apos; meeting in</w:t></w:r>
</w:p>
<w:p>
<w:pPr><w:pStyle w:val="Normal"/></w:pPr>
<w:r><w:t xml:space="preserve">London during the Universal Exhibition with English followers</w:t></w:r>
</w:p>
<w:p>
<w:pPr><w:pStyle w:val="Normal"/></w:pPr>
<w:r><w:t xml:space="preserve">of Robert Owen, founded the International Working Men&apos;s</w:t></w:r>
</w:p>
<w:p>
<w:pPr><w:pStyle w:val="Normal"/></w:pPr>
<w:r><w:t xml:space="preserve">Association.  This association developed very rapidly and</w:t></w:r>
</w:p>
<w:p>
<w:pPr><w:pStyle w:val="Normal"/></w:pPr>
<w:r><w:t xml:space="preserve">adopted a policy of direct economical struggle against</w:t></w:r>
</w:p>
<w:p>
<w:pPr><w:pStyle w:val="Normal"/></w:pPr>
<w:r><w:t xml:space="preserve">capitalism, without interfering in the political parliamentary</w:t></w:r>
</w:p>
<w:p>
<w:pPr><w:pStyle w:val="Normal"/></w:pPr>
<w:r><w:t xml:space="preserve">agitation, and this policy was followed until 1871.  However,</w:t></w:r>
</w:p>
<w:p>
<w:pPr><w:pStyle w:val="Normal"/></w:pPr>
<w:r><w:t xml:space="preserve">after the Franco-German War, when the International Association</w:t></w:r>
</w:p>
<w:p>
<w:pPr><w:pStyle w:val="Normal"/></w:pPr>
<w:r><w:t xml:space="preserve">was prohibited in France after the uprising of the Commune,</w:t></w:r>
</w:p>
<w:p>
<w:pPr><w:pStyle w:val="Normal"/></w:pPr>
<w:r><w:t xml:space="preserve">the German working men, who had received manhood suffrage for</w:t></w:r>
</w:p>
<w:p>
<w:pPr><w:pStyle w:val="Normal"/></w:pPr>
<w:r><w:t xml:space="preserve">elections to the newly constituted imperial parliament, insisted</w:t></w:r>
</w:p>
<w:p>
<w:pPr><w:pStyle w:val="Normal"/></w:pPr>
<w:r><w:t xml:space="preserve">upon modifying the tactics of the International, and began to</w:t></w:r>
</w:p>
<w:p>
<w:pPr><w:pStyle w:val="Normal"/></w:pPr>
<w:r><w:t xml:space="preserve">build up a Social-Democratic political party.  This soon led</w:t></w:r>
</w:p>
<w:p>
<w:pPr><w:pStyle w:val="Normal"/></w:pPr>
<w:r><w:t xml:space="preserve">to a division in the Working Men&apos;s Association, and the Latin</w:t></w:r>
</w:p>
<w:p>
<w:pPr><w:pStyle w:val="Normal"/></w:pPr>
<w:r><w:t xml:space="preserve">federations, Spanish, Italian, Belgian and Jurassic (France</w:t></w:r>
</w:p>
<w:p>
<w:pPr><w:pStyle w:val="Normal"/></w:pPr>
<w:r><w:t xml:space="preserve">could not be represented), constituted among themselves a</w:t></w:r>
</w:p>
<w:p>
<w:pPr><w:pStyle w:val="Normal"/></w:pPr>
<w:r><w:t xml:space="preserve">Federal union which broke entirely with the Marxist general</w:t></w:r>
</w:p>
<w:p>
<w:pPr><w:pStyle w:val="Normal"/></w:pPr>
<w:r><w:t xml:space="preserve">council of the International.  Within these federations</w:t></w:r>
</w:p>
<w:p>
<w:pPr><w:pStyle w:val="Normal"/></w:pPr>
<w:r><w:t xml:space="preserve">developed now what may be described as modern Anarchism.</w:t></w:r>
</w:p>
<w:p>
<w:pPr><w:pStyle w:val="Normal"/></w:pPr>
<w:r><w:t xml:space="preserve">After the names of ``Federalists&apos;&apos; and ``Anti-authoritarians&apos;&apos;</w:t></w:r>
</w:p>
<w:p>
<w:pPr><w:pStyle w:val="Normal"/></w:pPr>
<w:r><w:t xml:space="preserve">had been used for some time by these federations the name</w:t></w:r>
</w:p>
<w:p>
<w:pPr><w:pStyle w:val="Normal"/></w:pPr>
<w:r><w:t xml:space="preserve">of ``Anarchists,&apos;&apos; which their adversaries insisted upon</w:t></w:r>
</w:p>
<w:p>
<w:pPr><w:pStyle w:val="Normal"/></w:pPr>
<w:r><w:t xml:space="preserve">applying to them, prevailed, and finally it was revindicated.</w:t></w:r>
</w:p>
<w:p>
<w:pPr><w:pStyle w:val="Normal"/></w:pPr>
<w:r><w:t xml:space="preserve">Bakunin (q.v.) soon became the leading spirit among these</w:t></w:r>
</w:p>
<w:p>
<w:pPr><w:pStyle w:val="Normal"/></w:pPr>
<w:r><w:t xml:space="preserve">Latin federations for the development of the principles of</w:t></w:r>
</w:p>
<w:p>
<w:pPr><w:pStyle w:val="Normal"/></w:pPr>
<w:r><w:t xml:space="preserve">Anarchism, which he did in a number of writings, pamphlets and</w:t></w:r>
</w:p>
<w:p>
<w:pPr><w:pStyle w:val="Normal"/></w:pPr>
<w:r><w:t xml:space="preserve">letters.  He demanded the complete abolition of the state,</w:t></w:r>
</w:p>
<w:p>
<w:pPr><w:pStyle w:val="Normal"/></w:pPr>
<w:r><w:t xml:space="preserve">which--he wrote--is a product of religion, belongs to a lower</w:t></w:r>
</w:p>
<w:p>
<w:pPr><w:pStyle w:val="Normal"/></w:pPr>
<w:r><w:t xml:space="preserve">state of civilization, represents the negation of liberty, and</w:t></w:r>
</w:p>
<w:p>
<w:pPr><w:pStyle w:val="Normal"/></w:pPr>
<w:r><w:t xml:space="preserve">spoils even that which it undertakes to do for the sake of general</w:t></w:r>
</w:p>
<w:p>
<w:pPr><w:pStyle w:val="Normal"/></w:pPr>
<w:r><w:t xml:space="preserve">well-being.  The state was an historically necessary evil,</w:t></w:r>
</w:p>
<w:p>
<w:pPr><w:pStyle w:val="Normal"/></w:pPr>
<w:r><w:t xml:space="preserve">but its complete extinction will be, sooner or later, equally</w:t></w:r>
</w:p>
<w:p>
<w:pPr><w:pStyle w:val="Normal"/></w:pPr>
<w:r><w:t xml:space="preserve">necessary.  Repudiating all legislation, even when issuing</w:t></w:r>
</w:p>
<w:p>
<w:pPr><w:pStyle w:val="Normal"/></w:pPr>
<w:r><w:t xml:space="preserve">from universal suffrage, Bakunin claimed for each nation,</w:t></w:r>
</w:p>
<w:p>
<w:pPr><w:pStyle w:val="Normal"/></w:pPr>
<w:r><w:t xml:space="preserve">each region and each commune, full autonomy, so long as it</w:t></w:r>
</w:p>
<w:p>
<w:pPr><w:pStyle w:val="Normal"/></w:pPr>
<w:r><w:t xml:space="preserve">is not a menace to its neighbours, and full independence</w:t></w:r>
</w:p>
<w:p>
<w:pPr><w:pStyle w:val="Normal"/></w:pPr>
<w:r><w:t xml:space="preserve">for the individual, adding that one becomes really free</w:t></w:r>
</w:p>
<w:p>
<w:pPr><w:pStyle w:val="Normal"/></w:pPr>
<w:r><w:t xml:space="preserve">only when, and in proportion as, all others are free.  Free</w:t></w:r>
</w:p>
<w:p>
<w:pPr><w:pStyle w:val="Normal"/></w:pPr>
<w:r><w:t xml:space="preserve">federations of the communes would constitute free nations.</w:t></w:r>
</w:p>
<w:p>
<w:pPr><w:pStyle w:val="Normal"/></w:pPr>
<w:r><w:t xml:space="preserve">As to his economical conceptions, Bakunin described himself,</w:t></w:r>
</w:p>
<w:p>
<w:pPr><w:pStyle w:val="Normal"/></w:pPr>
<w:r><w:t xml:space="preserve">in common with his Federalist comrades of the International</w:t></w:r>
</w:p>
<w:p>
<w:pPr><w:pStyle w:val="Normal"/></w:pPr>
<w:r><w:t xml:space="preserve">(Cesar De Paepe, James Guillaume Schwitzguebel), a</w:t></w:r>
</w:p>
<w:p>
<w:pPr><w:pStyle w:val="Normal"/></w:pPr>
<w:r><w:t xml:space="preserve">``Collectivist Anarchist&apos;&apos;--not in the sense of Vidal and</w:t></w:r>
</w:p>
<w:p>
<w:pPr><w:pStyle w:val="Normal"/></w:pPr>
<w:r><w:t xml:space="preserve">Pecqueur in the &apos;forties, or of their modern Social-Democratic</w:t></w:r>
</w:p>
<w:p>
<w:pPr><w:pStyle w:val="Normal"/></w:pPr>
<w:r><w:t xml:space="preserve">followers, but to express a state of things in which all</w:t></w:r>
</w:p>
<w:p>
<w:pPr><w:pStyle w:val="Normal"/></w:pPr>
<w:r><w:t xml:space="preserve">necessaries for production are owned in common by the Labour</w:t></w:r>
</w:p>
<w:p>
<w:pPr><w:pStyle w:val="Normal"/></w:pPr>
<w:r><w:t xml:space="preserve">groups and the free communes, while the ways of retribution</w:t></w:r>
</w:p>
<w:p>
<w:pPr><w:pStyle w:val="Normal"/></w:pPr>
<w:r><w:t xml:space="preserve">of labour, Communist or otherwise, would be settled by each</w:t></w:r>
</w:p>
<w:p>
<w:pPr><w:pStyle w:val="Normal"/></w:pPr>
<w:r><w:t xml:space="preserve">group for itself.  Social revolution, the near approach of</w:t></w:r>
</w:p>
<w:p>
<w:pPr><w:pStyle w:val="Normal"/></w:pPr>
<w:r><w:t xml:space="preserve">which was foretold at that time by all Socialists, would</w:t></w:r>
</w:p>
<w:p>
<w:pPr><w:pStyle w:val="Normal"/></w:pPr>
<w:r><w:t xml:space="preserve">be the means of bringing into life the new conditions.</w:t></w:r>
</w:p>
<w:p>
<w:pPr><w:pStyle w:val="Normal"/></w:pPr>
<w:r><w:t xml:space="preserve">The Jurassic, the Spanish, and the Italian federations and</w:t></w:r>
</w:p>
<w:p>
<w:pPr><w:pStyle w:val="Normal"/></w:pPr>
<w:r><w:t xml:space="preserve">sections of the International Working Men&apos;s Association, as</w:t></w:r>
</w:p>
<w:p>
<w:pPr><w:pStyle w:val="Normal"/></w:pPr>
<w:r><w:t xml:space="preserve">also the French, the German and the American Anarchist groups,</w:t></w:r>
</w:p>
<w:p>
<w:pPr><w:pStyle w:val="Normal"/></w:pPr>
<w:r><w:t xml:space="preserve">were for the next years the chief centres of Anarchist thought</w:t></w:r>
</w:p>
<w:p>
<w:pPr><w:pStyle w:val="Normal"/></w:pPr>
<w:r><w:t xml:space="preserve">and propaganda.  They refrained from any participation in</w:t></w:r>
</w:p>
<w:p>
<w:pPr><w:pStyle w:val="Normal"/></w:pPr>
<w:r><w:t xml:space="preserve">parliamentary politics, and always kept in close contact with</w:t></w:r>
</w:p>
<w:p>
<w:pPr><w:pStyle w:val="Normal"/></w:pPr>
<w:r><w:t xml:space="preserve">the Labour organizations.  However, in the second half of the</w:t></w:r>
</w:p>
<w:p>
<w:pPr><w:pStyle w:val="Normal"/></w:pPr>
<w:r><w:t xml:space="preserve">&apos;eighties and the early &apos;nineties of the 19th century, when</w:t></w:r>
</w:p>
<w:p>
<w:pPr><w:pStyle w:val="Normal"/></w:pPr>
<w:r><w:t xml:space="preserve">the influence of the Anarchists began to be felt in strikes,</w:t></w:r>
</w:p>
<w:p>
<w:pPr><w:pStyle w:val="Normal"/></w:pPr>
<w:r><w:t xml:space="preserve">in the 1st of May demonstrations, where they promoted the</w:t></w:r>
</w:p>
<w:p>
<w:pPr><w:pStyle w:val="Normal"/></w:pPr>
<w:r><w:t xml:space="preserve">idea of a general strike for an eight hours&apos; day, and in the</w:t></w:r>
</w:p>
<w:p>
<w:pPr><w:pStyle w:val="Normal"/></w:pPr>
<w:r><w:t xml:space="preserve">anti-militarist propaganda in the army, violent prosecutions</w:t></w:r>
</w:p>
<w:p>
<w:pPr><w:pStyle w:val="Normal"/></w:pPr>
<w:r><w:t xml:space="preserve">were directed against them, especially in the Latin countries</w:t></w:r>
</w:p>
<w:p>
<w:pPr><w:pStyle w:val="Normal"/></w:pPr>
<w:r><w:t xml:space="preserve">(including physical torture in the Barcelona Castle) and the</w:t></w:r>
</w:p>
<w:p>
<w:pPr><w:pStyle w:val="Normal"/></w:pPr>
<w:r><w:t xml:space="preserve">United States (the execution of five Chicago Anarchists in</w:t></w:r>
</w:p>
<w:p>
<w:pPr><w:pStyle w:val="Normal"/></w:pPr>
<w:r><w:t xml:space="preserve">1887).  Against these prosecutions the Anarchists retaliated</w:t></w:r>
</w:p>
<w:p>
<w:pPr><w:pStyle w:val="Normal"/></w:pPr>
<w:r><w:t xml:space="preserve">by acts of violence which in their turn were followed by</w:t></w:r>
</w:p>
<w:p>
<w:pPr><w:pStyle w:val="Normal"/></w:pPr>
<w:r><w:t xml:space="preserve">more executions from above, and new acts of revenge from</w:t></w:r>
</w:p>
<w:p>
<w:pPr><w:pStyle w:val="Normal"/></w:pPr>
<w:r><w:t xml:space="preserve">below.  This created in the general public the impression</w:t></w:r>
</w:p>
<w:p>
<w:pPr><w:pStyle w:val="Normal"/></w:pPr>
<w:r><w:t xml:space="preserve">that violence is the substance of Anarchism, a view repudiated</w:t></w:r>
</w:p>
<w:p>
<w:pPr><w:pStyle w:val="Normal"/></w:pPr>
<w:r><w:t xml:space="preserve">by its supporters, who hold that in reality violence is</w:t></w:r>
</w:p>
<w:p>
<w:pPr><w:pStyle w:val="Normal"/></w:pPr>
<w:r><w:t xml:space="preserve">resorted to by all parties in proportion as their open</w:t></w:r>
</w:p>
<w:p>
<w:pPr><w:pStyle w:val="Normal"/></w:pPr>
<w:r><w:t xml:space="preserve">action is obstructed by repression, and exceptional laws</w:t></w:r>
</w:p>
<w:p>
<w:pPr><w:pStyle w:val="Normal"/></w:pPr>
<w:r><w:t xml:space="preserve">render them outlaws. (Cf. Anarchism and Outrage, by C. M.</w:t></w:r>
</w:p>
<w:p>
<w:pPr><w:pStyle w:val="Normal"/></w:pPr>
<w:r><w:t xml:space="preserve">Wilson, and Report of the Spanish Atrocities Committee,</w:t></w:r>
</w:p>
<w:p>
<w:pPr><w:pStyle w:val="Normal"/></w:pPr>
<w:r><w:t xml:space="preserve">in ``Freedom Pamphlets&apos;&apos;; A Concise History of the Great</w:t></w:r>
</w:p>
<w:p>
<w:pPr><w:pStyle w:val="Normal"/></w:pPr>
<w:r><w:t xml:space="preserve">Trial of the Chicago Anarchists, by Dyer Lum (New</w:t></w:r>
</w:p>
<w:p>
<w:pPr><w:pStyle w:val="Normal"/></w:pPr>
<w:r><w:t xml:space="preserve">York, 1886); The Chicago Martyrs: Speeches, &amp;c.).1</w:t></w:r>
</w:p>
<w:p>
<w:pPr><w:pStyle w:val="Normal"/></w:pPr>
<w:r><w:t xml:space="preserve">Anarchism continued to develop, partly in the direction</w:t></w:r>
</w:p>
<w:p>
<w:pPr><w:pStyle w:val="Normal"/></w:pPr>
<w:r><w:t xml:space="preserve">of Proudhonian ``Mutuellisme,&apos;&apos; but chiefly as Communist-</w:t></w:r>
</w:p>
<w:p>
<w:pPr><w:pStyle w:val="Normal"/></w:pPr>
<w:r><w:t xml:space="preserve">Anarchism, to which a third direction, Christian-Anarchism, was</w:t></w:r>
</w:p>
<w:p>
<w:pPr><w:pStyle w:val="Normal"/></w:pPr>
<w:r><w:t xml:space="preserve">added by Leo Tolstoy, and a fourth, which might be ascribed as</w:t></w:r>
</w:p>
<w:p>
<w:pPr><w:pStyle w:val="Normal"/></w:pPr>
<w:r><w:t xml:space="preserve">literary-Anarchism, began amongst some prominent modern writers.</w:t></w:r>
</w:p>
<w:p>
<w:pPr><w:pStyle w:val="Normal"/></w:pPr>
<w:r><w:t xml:space="preserve">The ideas of Proudhon, especially as regards mutual</w:t></w:r>
</w:p>
<w:p>
<w:pPr><w:pStyle w:val="Normal"/></w:pPr>
<w:r><w:t xml:space="preserve">banking, corresponding with those of Josiah Warren, found</w:t></w:r>
</w:p>
<w:p>
<w:pPr><w:pStyle w:val="Normal"/></w:pPr>
<w:r><w:t xml:space="preserve">a considerable following in the United States, creating</w:t></w:r>
</w:p>
<w:p>
<w:pPr><w:pStyle w:val="Normal"/></w:pPr>
<w:r><w:t xml:space="preserve">quite a school, of which the main writers are Stephen Pearl</w:t></w:r>
</w:p>
<w:p>
<w:pPr><w:pStyle w:val="Normal"/></w:pPr>
<w:r><w:t xml:space="preserve">Andrews, William Grene, Lysander Spooner (who began to</w:t></w:r>
</w:p>
<w:p>
<w:pPr><w:pStyle w:val="Normal"/></w:pPr>
<w:r><w:t xml:space="preserve">write in 1850, and whose unfinished work, Natural Law,</w:t></w:r>
</w:p>
<w:p>
<w:pPr><w:pStyle w:val="Normal"/></w:pPr>
<w:r><w:t xml:space="preserve">was full of promise), and several others, whose names will</w:t></w:r>
</w:p>
<w:p>
<w:pPr><w:pStyle w:val="Normal"/></w:pPr>
<w:r><w:t xml:space="preserve">be found in Dr Nettlan&apos;s Bibliographie de l&apos;anarchie.</w:t></w:r>
</w:p>
<w:p>
<w:pPr><w:pStyle w:val="Normal"/></w:pPr>
<w:r><w:t xml:space="preserve">A prominent position among the Individualist Anarchists</w:t></w:r>
</w:p>
<w:p>
<w:pPr><w:pStyle w:val="Normal"/></w:pPr>
<w:r><w:t xml:space="preserve">in America has been occupied by Benjamin R. Tucker, whose</w:t></w:r>
</w:p>
<w:p>
<w:pPr><w:pStyle w:val="Normal"/></w:pPr>
<w:r><w:t xml:space="preserve">journal Liberty was started in 1881 and whose conceptions</w:t></w:r>
</w:p>
<w:p>
<w:pPr><w:pStyle w:val="Normal"/></w:pPr>
<w:r><w:t xml:space="preserve">are a combination of those of Proudhon with those of Herbert</w:t></w:r>
</w:p>
<w:p>
<w:pPr><w:pStyle w:val="Normal"/></w:pPr>
<w:r><w:t xml:space="preserve">Spencer.  Starting from the statement that Anarchists are</w:t></w:r>
</w:p>
<w:p>
<w:pPr><w:pStyle w:val="Normal"/></w:pPr>
<w:r><w:t xml:space="preserve">egotists, strictly speaking, and that every group of</w:t></w:r>
</w:p>
<w:p>
<w:pPr><w:pStyle w:val="Normal"/></w:pPr>
<w:r><w:t xml:space="preserve">individuals, be it a secret league of a few persons, or the</w:t></w:r>
</w:p>
<w:p>
<w:pPr><w:pStyle w:val="Normal"/></w:pPr>
<w:r><w:t xml:space="preserve">Congress of the United States, has the right to oppress all</w:t></w:r>
</w:p>
<w:p>
<w:pPr><w:pStyle w:val="Normal"/></w:pPr>
<w:r><w:t xml:space="preserve">mankind, provided it has the power to do so, that equal liberty</w:t></w:r>
</w:p>
<w:p>
<w:pPr><w:pStyle w:val="Normal"/></w:pPr>
<w:r><w:t xml:space="preserve">for all and absolute equality ought to be the law, and ``mind</w:t></w:r>
</w:p>
<w:p>
<w:pPr><w:pStyle w:val="Normal"/></w:pPr>
<w:r><w:t xml:space="preserve">every one your own business&apos;&apos; is the unique moral law of</w:t></w:r>
</w:p>
<w:p>
<w:pPr><w:pStyle w:val="Normal"/></w:pPr>
<w:r><w:t xml:space="preserve">Anarchism, Tucker goes on to prove that a general and thorough</w:t></w:r>
</w:p>
<w:p>
<w:pPr><w:pStyle w:val="Normal"/></w:pPr>
<w:r><w:t xml:space="preserve">application of these principles would be beneficial and would</w:t></w:r>
</w:p>
<w:p>
<w:pPr><w:pStyle w:val="Normal"/></w:pPr>
<w:r><w:t xml:space="preserve">offer no danger, because the powers of every individual would</w:t></w:r>
</w:p>
<w:p>
<w:pPr><w:pStyle w:val="Normal"/></w:pPr>
<w:r><w:t xml:space="preserve">be limited by the exercise of the equal rights of all others.</w:t></w:r>
</w:p>
<w:p>
<w:pPr><w:pStyle w:val="Normal"/></w:pPr>
<w:r><w:t xml:space="preserve">He further indicated (following H. Spencer) the difference</w:t></w:r>
</w:p>
<w:p>
<w:pPr><w:pStyle w:val="Normal"/></w:pPr>
<w:r><w:t xml:space="preserve">which exists between the encroachment on somebody&apos;s rights</w:t></w:r>
</w:p>
<w:p>
<w:pPr><w:pStyle w:val="Normal"/></w:pPr>
<w:r><w:t xml:space="preserve">and resistance to such an encroachment; between domination</w:t></w:r>
</w:p>
<w:p>
<w:pPr><w:pStyle w:val="Normal"/></w:pPr>
<w:r><w:t xml:space="preserve">and defence: the former being equally condemnable, whether</w:t></w:r>
</w:p>
<w:p>
<w:pPr><w:pStyle w:val="Normal"/></w:pPr>
<w:r><w:t xml:space="preserve">it be encroachment of a criminal upon an individual, or the</w:t></w:r>
</w:p>
<w:p>
<w:pPr><w:pStyle w:val="Normal"/></w:pPr>
<w:r><w:t xml:space="preserve">encroachment of one upon all others, or of all others upon one;</w:t></w:r>
</w:p>
<w:p>
<w:pPr><w:pStyle w:val="Normal"/></w:pPr>
<w:r><w:t xml:space="preserve">while resistance to encroachment is defensible and necessary.</w:t></w:r>
</w:p>
<w:p>
<w:pPr><w:pStyle w:val="Normal"/></w:pPr>
<w:r><w:t xml:space="preserve">For their self-defence, both the citizen and the group have</w:t></w:r>
</w:p>
<w:p>
<w:pPr><w:pStyle w:val="Normal"/></w:pPr>
<w:r><w:t xml:space="preserve">the right to any violence, including capital punishment.</w:t></w:r>
</w:p>
<w:p>
<w:pPr><w:pStyle w:val="Normal"/></w:pPr>
<w:r><w:t xml:space="preserve">Violence is also justified for enforcing the duty of keeping an</w:t></w:r>
</w:p>
<w:p>
<w:pPr><w:pStyle w:val="Normal"/></w:pPr>
<w:r><w:t xml:space="preserve">agreement.  Tucker thus follows Spencer, and, like him, opens</w:t></w:r>
</w:p>
<w:p>
<w:pPr><w:pStyle w:val="Normal"/></w:pPr>
<w:r><w:t xml:space="preserve">(in the present writer&apos;s opinion) the way for reconstituting</w:t></w:r>
</w:p>
<w:p>
<w:pPr><w:pStyle w:val="Normal"/></w:pPr>
<w:r><w:t xml:space="preserve">under the heading of ``defence&apos;&apos; all the functions of the</w:t></w:r>
</w:p>
<w:p>
<w:pPr><w:pStyle w:val="Normal"/></w:pPr>
<w:r><w:t xml:space="preserve">state.  His criticism of the present state is very searching,</w:t></w:r>
</w:p>
<w:p>
<w:pPr><w:pStyle w:val="Normal"/></w:pPr>
<w:r><w:t xml:space="preserve">and his defence of the rights of the individual very powerful.</w:t></w:r>
</w:p>
<w:p>
<w:pPr><w:pStyle w:val="Normal"/></w:pPr>
<w:r><w:t xml:space="preserve">As regards his economical views B. R. Tucker follows Proudhon.</w:t></w:r>
</w:p>
<w:p>
<w:pPr><w:pStyle w:val="Normal"/></w:pPr>
<w:r><w:t xml:space="preserve">The Individualist Anarchism of the American Proudhonians finds,</w:t></w:r>
</w:p>
<w:p>
<w:pPr><w:pStyle w:val="Normal"/></w:pPr>
<w:r><w:t xml:space="preserve">however, but little sympathy amongst the working masses.</w:t></w:r>
</w:p>
<w:p>
<w:pPr><w:pStyle w:val="Normal"/></w:pPr>
<w:r><w:t xml:space="preserve">Those who profess it--they are chiefly ``intellectuals&apos;&apos;--soon</w:t></w:r>
</w:p>
<w:p>
<w:pPr><w:pStyle w:val="Normal"/></w:pPr>
<w:r><w:t xml:space="preserve">realize that the individualization they so highly praise</w:t></w:r>
</w:p>
<w:p>
<w:pPr><w:pStyle w:val="Normal"/></w:pPr>
<w:r><w:t xml:space="preserve">is not attainable by individual efforts, and either abandon</w:t></w:r>
</w:p>
<w:p>
<w:pPr><w:pStyle w:val="Normal"/></w:pPr>
<w:r><w:t xml:space="preserve">the ranks of the Anarchists, and are driven into the Liberal</w:t></w:r>
</w:p>
<w:p>
<w:pPr><w:pStyle w:val="Normal"/></w:pPr>
<w:r><w:t xml:space="preserve">individualism of the classical economists, or they retire</w:t></w:r>
</w:p>
<w:p>
<w:pPr><w:pStyle w:val="Normal"/></w:pPr>
<w:r><w:t xml:space="preserve">into a sort of Epicurean a-moralism, or super-man-theory,</w:t></w:r>
</w:p>
<w:p>
<w:pPr><w:pStyle w:val="Normal"/></w:pPr>
<w:r><w:t xml:space="preserve">similar to that of Stirner and Nietzsche.  The great bulk of</w:t></w:r>
</w:p>
<w:p>
<w:pPr><w:pStyle w:val="Normal"/></w:pPr>
<w:r><w:t xml:space="preserve">the Anarchist working men prefer the Anarchist-Communist ideas</w:t></w:r>
</w:p>
<w:p>
<w:pPr><w:pStyle w:val="Normal"/></w:pPr>
<w:r><w:t xml:space="preserve">which have gradually evolved out of the Anarchist Collectivism</w:t></w:r>
</w:p>
<w:p>
<w:pPr><w:pStyle w:val="Normal"/></w:pPr>
<w:r><w:t xml:space="preserve">of the International Working Men&apos;s Association.  To this</w:t></w:r>
</w:p>
<w:p>
<w:pPr><w:pStyle w:val="Normal"/></w:pPr>
<w:r><w:t xml:space="preserve">direction belong--to name only the better known exponents of</w:t></w:r>
</w:p>
<w:p>
<w:pPr><w:pStyle w:val="Normal"/></w:pPr>
<w:r><w:t xml:space="preserve">Anarchism--Elisee Reclus, Jean Grave, Sebastien Faure, Emile</w:t></w:r>
</w:p>
<w:p>
<w:pPr><w:pStyle w:val="Normal"/></w:pPr>
<w:r><w:t xml:space="preserve">Pouget in France; Enrico Malatesta and Covelli in Italy; R.</w:t></w:r>
</w:p>
<w:p>
<w:pPr><w:pStyle w:val="Normal"/></w:pPr>
<w:r><w:t xml:space="preserve">Mella, A. Lorenzo, and the mostly unknown authors of many</w:t></w:r>
</w:p>
<w:p>
<w:pPr><w:pStyle w:val="Normal"/></w:pPr>
<w:r><w:t xml:space="preserve">excellent manifestos in Spain; John Most amongst the Germans;</w:t></w:r>
</w:p>
<w:p>
<w:pPr><w:pStyle w:val="Normal"/></w:pPr>
<w:r><w:t xml:space="preserve">Spies, Parsons and their followers in the United States,</w:t></w:r>
</w:p>
<w:p>
<w:pPr><w:pStyle w:val="Normal"/></w:pPr>
<w:r><w:t xml:space="preserve">and so on; while Domela Nieuwenhuis occupies an intermediate</w:t></w:r>
</w:p>
<w:p>
<w:pPr><w:pStyle w:val="Normal"/></w:pPr>
<w:r><w:t xml:space="preserve">position in Holland.  The chief Anarchist papers which have</w:t></w:r>
</w:p>
<w:p>
<w:pPr><w:pStyle w:val="Normal"/></w:pPr>
<w:r><w:t xml:space="preserve">been published since 1880 also belong to that direction;</w:t></w:r>
</w:p>
<w:p>
<w:pPr><w:pStyle w:val="Normal"/></w:pPr>
<w:r><w:t xml:space="preserve">while a number of Anarchists of this direction have joined</w:t></w:r>
</w:p>
<w:p>
<w:pPr><w:pStyle w:val="Normal"/></w:pPr>
<w:r><w:t xml:space="preserve">the so-called Syndicalist movement--the French name for the</w:t></w:r>
</w:p>
<w:p>
<w:pPr><w:pStyle w:val="Normal"/></w:pPr>
<w:r><w:t xml:space="preserve">non-political Labour movement, devoted to direct struggle with</w:t></w:r>
</w:p>
<w:p>
<w:pPr><w:pStyle w:val="Normal"/></w:pPr>
<w:r><w:t xml:space="preserve">capitalism, which has lately become so prominent in Europe.</w:t></w:r>
</w:p>
<w:p>
<w:pPr><w:pStyle w:val="Normal"/></w:pPr>
<w:r><w:t xml:space="preserve">As one of the Anarchist-Communist direction, the present</w:t></w:r>
</w:p>
<w:p>
<w:pPr><w:pStyle w:val="Normal"/></w:pPr>
<w:r><w:t xml:space="preserve">writer for many years endeavoured to develop the following</w:t></w:r>
</w:p>
<w:p>
<w:pPr><w:pStyle w:val="Normal"/></w:pPr>
<w:r><w:t xml:space="preserve">ideas: to show the intimate, logical connexion which exists</w:t></w:r>
</w:p>
<w:p>
<w:pPr><w:pStyle w:val="Normal"/></w:pPr>
<w:r><w:t xml:space="preserve">between the modern philosophy of natural sciences and</w:t></w:r>
</w:p>
<w:p>
<w:pPr><w:pStyle w:val="Normal"/></w:pPr>
<w:r><w:t xml:space="preserve">anarchism; to put Anarchism on a scientific basis by the</w:t></w:r>
</w:p>
<w:p>
<w:pPr><w:pStyle w:val="Normal"/></w:pPr>
<w:r><w:t xml:space="preserve">study of the tendencies that are apparent now in society and</w:t></w:r>
</w:p>
<w:p>
<w:pPr><w:pStyle w:val="Normal"/></w:pPr>
<w:r><w:t xml:space="preserve">may indicate its further evolution; and to work out the basis</w:t></w:r>
</w:p>
<w:p>
<w:pPr><w:pStyle w:val="Normal"/></w:pPr>
<w:r><w:t xml:space="preserve">of Anarchist ethics.  As regards the substance of Anarchism</w:t></w:r>
</w:p>
<w:p>
<w:pPr><w:pStyle w:val="Normal"/></w:pPr>
<w:r><w:t xml:space="preserve">itself, it was Kropotkin&apos;s aim to prove that Communism--at</w:t></w:r>
</w:p>
<w:p>
<w:pPr><w:pStyle w:val="Normal"/></w:pPr>
<w:r><w:t xml:space="preserve">least partial--has more chances of being established than</w:t></w:r>
</w:p>
<w:p>
<w:pPr><w:pStyle w:val="Normal"/></w:pPr>
<w:r><w:t xml:space="preserve">Collectivism, especially in communes taking the lead, and that</w:t></w:r>
</w:p>
<w:p>
<w:pPr><w:pStyle w:val="Normal"/></w:pPr>
<w:r><w:t xml:space="preserve">Free, or Anarchist- Communism is the only form of Communism</w:t></w:r>
</w:p>
<w:p>
<w:pPr><w:pStyle w:val="Normal"/></w:pPr>
<w:r><w:t xml:space="preserve">that has any chance of being accepted in civilized societies;</w:t></w:r>
</w:p>
<w:p>
<w:pPr><w:pStyle w:val="Normal"/></w:pPr>
<w:r><w:t xml:space="preserve">Communism and Anarchy are therefore two terms of evolution which</w:t></w:r>
</w:p>
<w:p>
<w:pPr><w:pStyle w:val="Normal"/></w:pPr>
<w:r><w:t xml:space="preserve">complete each other, the one rendering the other possible and</w:t></w:r>
</w:p>
<w:p>
<w:pPr><w:pStyle w:val="Normal"/></w:pPr>
<w:r><w:t xml:space="preserve">acceptable.  He has tried, moreover, to indicate how, during</w:t></w:r>
</w:p>
<w:p>
<w:pPr><w:pStyle w:val="Normal"/></w:pPr>
<w:r><w:t xml:space="preserve">a revolutionary period, a large city--if its inhabitants</w:t></w:r>
</w:p>
<w:p>
<w:pPr><w:pStyle w:val="Normal"/></w:pPr>
<w:r><w:t xml:space="preserve">have accepted the idea--could organize itself on the lines</w:t></w:r>
</w:p>
<w:p>
<w:pPr><w:pStyle w:val="Normal"/></w:pPr>
<w:r><w:t xml:space="preserve">of Free Communism; the city guaranteeing to every inhabitant</w:t></w:r>
</w:p>
<w:p>
<w:pPr><w:pStyle w:val="Normal"/></w:pPr>
<w:r><w:t xml:space="preserve">dwelling, food and clothing to an extent corresponding to</w:t></w:r>
</w:p>
<w:p>
<w:pPr><w:pStyle w:val="Normal"/></w:pPr>
<w:r><w:t xml:space="preserve">the comfort now available to the middle classes only, in</w:t></w:r>
</w:p>
<w:p>
<w:pPr><w:pStyle w:val="Normal"/></w:pPr>
<w:r><w:t xml:space="preserve">exchange for a half-day&apos;s, or a five-hours&apos; work; and how</w:t></w:r>
</w:p>
<w:p>
<w:pPr><w:pStyle w:val="Normal"/></w:pPr>
<w:r><w:t xml:space="preserve">all those things which would be considered as luxuries might</w:t></w:r>
</w:p>
<w:p>
<w:pPr><w:pStyle w:val="Normal"/></w:pPr>
<w:r><w:t xml:space="preserve">be obtained by every one if he joins for the other half of</w:t></w:r>
</w:p>
<w:p>
<w:pPr><w:pStyle w:val="Normal"/></w:pPr>
<w:r><w:t xml:space="preserve">the day all sorts of free associations pursuing all possible</w:t></w:r>
</w:p>
<w:p>
<w:pPr><w:pStyle w:val="Normal"/></w:pPr>
<w:r><w:t xml:space="preserve">aims--educational, literary, scientific, artistic, sports and so</w:t></w:r>
</w:p>
<w:p>
<w:pPr><w:pStyle w:val="Normal"/></w:pPr>
<w:r><w:t xml:space="preserve">on.  In order to prove the first of these assertions he has</w:t></w:r>
</w:p>
<w:p>
<w:pPr><w:pStyle w:val="Normal"/></w:pPr>
<w:r><w:t xml:space="preserve">analysed the possibilities of agriculture and industrial</w:t></w:r>
</w:p>
<w:p>
<w:pPr><w:pStyle w:val="Normal"/></w:pPr>
<w:r><w:t xml:space="preserve">work, both being combined with brain work.  And in order</w:t></w:r>
</w:p>
<w:p>
<w:pPr><w:pStyle w:val="Normal"/></w:pPr>
<w:r><w:t xml:space="preserve">to elucidate the main factors of human evolution, he has</w:t></w:r>
</w:p>
<w:p>
<w:pPr><w:pStyle w:val="Normal"/></w:pPr>
<w:r><w:t xml:space="preserve">analysed the part played in history by the popular constructive</w:t></w:r>
</w:p>
<w:p>
<w:pPr><w:pStyle w:val="Normal"/></w:pPr>
<w:r><w:t xml:space="preserve">agencies of mutual aid and the historical role of the state.</w:t></w:r>
</w:p>
<w:p>
<w:pPr><w:pStyle w:val="Normal"/></w:pPr>
<w:r><w:t xml:space="preserve">Without naming himself an Anarchist, Leo Tolstoy, like his</w:t></w:r>
</w:p>
<w:p>
<w:pPr><w:pStyle w:val="Normal"/></w:pPr>
<w:r><w:t xml:space="preserve">predecessors in the popular religious movements of the 15th</w:t></w:r>
</w:p>
<w:p>
<w:pPr><w:pStyle w:val="Normal"/></w:pPr>
<w:r><w:t xml:space="preserve">and 16th centuries, Chojecki, Denk and many others, took</w:t></w:r>
</w:p>
<w:p>
<w:pPr><w:pStyle w:val="Normal"/></w:pPr>
<w:r><w:t xml:space="preserve">the Anarchist position as regards the state and property</w:t></w:r>
</w:p>
<w:p>
<w:pPr><w:pStyle w:val="Normal"/></w:pPr>
<w:r><w:t xml:space="preserve">rights, deducing his conclusions from the general spirit of</w:t></w:r>
</w:p>
<w:p>
<w:pPr><w:pStyle w:val="Normal"/></w:pPr>
<w:r><w:t xml:space="preserve">the teachings of the Christ and from the necessary dictates of</w:t></w:r>
</w:p>
<w:p>
<w:pPr><w:pStyle w:val="Normal"/></w:pPr>
<w:r><w:t xml:space="preserve">reason.  With all the might of his talent he made (especially</w:t></w:r>
</w:p>
<w:p>
<w:pPr><w:pStyle w:val="Normal"/></w:pPr>
<w:r><w:t xml:space="preserve">in The Kingdom of God in Yourselves) a powerful criticism</w:t></w:r>
</w:p>
<w:p>
<w:pPr><w:pStyle w:val="Normal"/></w:pPr>
<w:r><w:t xml:space="preserve">of the church, the state and law altogether, and especially</w:t></w:r>
</w:p>
<w:p>
<w:pPr><w:pStyle w:val="Normal"/></w:pPr>
<w:r><w:t xml:space="preserve">of the present property laws.  He describes the state as the</w:t></w:r>
</w:p>
<w:p>
<w:pPr><w:pStyle w:val="Normal"/></w:pPr>
<w:r><w:t xml:space="preserve">domination of the wicked ones, supported by brutal force.</w:t></w:r>
</w:p>
<w:p>
<w:pPr><w:pStyle w:val="Normal"/></w:pPr>
<w:r><w:t xml:space="preserve">Robbers, he says, are far less dangerous than a well-organized</w:t></w:r>
</w:p>
<w:p>
<w:pPr><w:pStyle w:val="Normal"/></w:pPr>
<w:r><w:t xml:space="preserve">government.  He makes a searching criticism of the prejudices</w:t></w:r>
</w:p>
<w:p>
<w:pPr><w:pStyle w:val="Normal"/></w:pPr>
<w:r><w:t xml:space="preserve">which are current now concerning the benefits conferred upon</w:t></w:r>
</w:p>
<w:p>
<w:pPr><w:pStyle w:val="Normal"/></w:pPr>
<w:r><w:t xml:space="preserve">men by the church, the state and the existing distribution of</w:t></w:r>
</w:p>
<w:p>
<w:pPr><w:pStyle w:val="Normal"/></w:pPr>
<w:r><w:t xml:space="preserve">property, and from the teachings of the Christ he deduces the</w:t></w:r>
</w:p>
<w:p>
<w:pPr><w:pStyle w:val="Normal"/></w:pPr>
<w:r><w:t xml:space="preserve">rule of non-resistance and the absolute condemnation of all</w:t></w:r>
</w:p>
<w:p>
<w:pPr><w:pStyle w:val="Normal"/></w:pPr>
<w:r><w:t xml:space="preserve">wars.  His religious arguments are, however, so well combined</w:t></w:r>
</w:p>
<w:p>
<w:pPr><w:pStyle w:val="Normal"/></w:pPr>
<w:r><w:t xml:space="preserve">with arguments borrowed from a dispassionate observation of</w:t></w:r>
</w:p>
<w:p>
<w:pPr><w:pStyle w:val="Normal"/></w:pPr>
<w:r><w:t xml:space="preserve">the present evils, that the anarchist portions of his works</w:t></w:r>
</w:p>
<w:p>
<w:pPr><w:pStyle w:val="Normal"/></w:pPr>
<w:r><w:t xml:space="preserve">appeal to the religious and the non-religious reader alike.</w:t></w:r>
</w:p>
<w:p>
<w:pPr><w:pStyle w:val="Normal"/></w:pPr>
<w:r><w:t xml:space="preserve">It would be impossible to represent here, in a short sketch,</w:t></w:r>
</w:p>
<w:p>
<w:pPr><w:pStyle w:val="Normal"/></w:pPr>
<w:r><w:t xml:space="preserve">the penetration, on the one hand, of Anarchist ideas into</w:t></w:r>
</w:p>
<w:p>
<w:pPr><w:pStyle w:val="Normal"/></w:pPr>
<w:r><w:t xml:space="preserve">modern literature, and the influence, on the other hand, which</w:t></w:r>
</w:p>
<w:p>
<w:pPr><w:pStyle w:val="Normal"/></w:pPr>
<w:r><w:t xml:space="preserve">the libertarian ideas of the best comtemporary writers have</w:t></w:r>
</w:p>
<w:p>
<w:pPr><w:pStyle w:val="Normal"/></w:pPr>
<w:r><w:t xml:space="preserve">exercised upon the development of Anarchism.  One ought to</w:t></w:r>
</w:p>
<w:p>
<w:pPr><w:pStyle w:val="Normal"/></w:pPr>
<w:r><w:t xml:space="preserve">consult the ten big volumes of the Supplement litteraire</w:t></w:r>
</w:p>
<w:p>
<w:pPr><w:pStyle w:val="Normal"/></w:pPr>
<w:r><w:t xml:space="preserve">to the paper La revolte and later the Temps nouveaux,</w:t></w:r>
</w:p>
<w:p>
<w:pPr><w:pStyle w:val="Normal"/></w:pPr>
<w:r><w:t xml:space="preserve">which contain reproductions from the works of hundreds of</w:t></w:r>
</w:p>
<w:p>
<w:pPr><w:pStyle w:val="Normal"/></w:pPr>
<w:r><w:t xml:space="preserve">modern authors expressing Anarchist ideas, in order to realize</w:t></w:r>
</w:p>
<w:p>
<w:pPr><w:pStyle w:val="Normal"/></w:pPr>
<w:r><w:t xml:space="preserve">how closely Anarchism is connected with all the intellectual</w:t></w:r>
</w:p>
<w:p>
<w:pPr><w:pStyle w:val="Normal"/></w:pPr>
<w:r><w:t xml:space="preserve">movement of our own times.  J. S. Mill&apos;s Liberty, Spencer&apos;s</w:t></w:r>
</w:p>
<w:p>
<w:pPr><w:pStyle w:val="Normal"/></w:pPr>
<w:r><w:t xml:space="preserve">Individual versus The State, Marc Guyau&apos;s Morality</w:t></w:r>
</w:p>
<w:p>
<w:pPr><w:pStyle w:val="Normal"/></w:pPr>
<w:r><w:t xml:space="preserve">without Obligation or Sanction, and Fouillee&apos;s La morale,</w:t></w:r>
</w:p>
<w:p>
<w:pPr><w:pStyle w:val="Normal"/></w:pPr>
<w:r><w:t xml:space="preserve">l&apos;art et la religion, the works of Multatuli (E. Douwes</w:t></w:r>
</w:p>
<w:p>
<w:pPr><w:pStyle w:val="Normal"/></w:pPr>
<w:r><w:t xml:space="preserve">Dekker), Richard Wagner&apos;s Art and Revolution, the works of</w:t></w:r>
</w:p>
<w:p>
<w:pPr><w:pStyle w:val="Normal"/></w:pPr>
<w:r><w:t xml:space="preserve">Nietzsche, Emerson, W. Lloyd Garrison, Thoreau, Alexander</w:t></w:r>
</w:p>
<w:p>
<w:pPr><w:pStyle w:val="Normal"/></w:pPr>
<w:r><w:t xml:space="preserve">Herzen, Edward Carpenter and so on; and in the domain of</w:t></w:r>
</w:p>
<w:p>
<w:pPr><w:pStyle w:val="Normal"/></w:pPr>
<w:r><w:t xml:space="preserve">fiction, the dramas of Ibsen, the poetry of Walt Whitman,</w:t></w:r>
</w:p>
<w:p>
<w:pPr><w:pStyle w:val="Normal"/></w:pPr>
<w:r><w:t xml:space="preserve">Tolstoy&apos;s War and Peace, Zola&apos;s Paris and Le travail,</w:t></w:r>
</w:p>
<w:p>
<w:pPr><w:pStyle w:val="Normal"/></w:pPr>
<w:r><w:t xml:space="preserve">the latest works of Merezhkovsky, and an infinity of works of</w:t></w:r>
</w:p>
<w:p>
<w:pPr><w:pStyle w:val="Normal"/></w:pPr>
<w:r><w:t xml:space="preserve">less known authors,--are full of ideas which show how closely</w:t></w:r>
</w:p>
<w:p>
<w:pPr><w:pStyle w:val="Normal"/></w:pPr>
<w:r><w:t xml:space="preserve">Anarchism is interwoven with the work that is going on in modern</w:t></w:r>
</w:p>
<w:p>
<w:pPr><w:pStyle w:val="Normal"/></w:pPr>
<w:r><w:t xml:space="preserve">thought in the same direction of enfranchisement of man from</w:t></w:r>
</w:p>
<w:p>
<w:pPr><w:pStyle w:val="Normal"/></w:pPr>
<w:r><w:t xml:space="preserve">the bonds of the state as well as from those of capitalism.</w:t></w:r>
</w:p>
<w:p>
<w:pPr><w:pStyle w:val="Normal"/></w:pPr>
<w:r><w:t xml:space="preserve">BIBLIOGRAPHY.--William Godwin, An Enquiry concerning</w:t></w:r>
</w:p>
<w:p>
<w:pPr><w:pStyle w:val="Normal"/></w:pPr>
<w:r><w:t xml:space="preserve">Political Justice and its Influence on General Virtue and</w:t></w:r>
</w:p>
<w:p>
<w:pPr><w:pStyle w:val="Normal"/></w:pPr>
<w:r><w:t xml:space="preserve">Happiness, 1st edition, 2 vols. (1793).  Mutualism:--John</w:t></w:r>
</w:p>
<w:p>
<w:pPr><w:pStyle w:val="Normal"/></w:pPr>
<w:r><w:t xml:space="preserve">Gray, A Lecture on Human Happiness (1825); The Social</w:t></w:r>
</w:p>
<w:p>
<w:pPr><w:pStyle w:val="Normal"/></w:pPr>
<w:r><w:t xml:space="preserve">System, a Treatise on the Principles of Exchange (1831);</w:t></w:r>
</w:p>
<w:p>
<w:pPr><w:pStyle w:val="Normal"/></w:pPr>
<w:r><w:t xml:space="preserve">Proudhon, Qu&apos;est-ce que la propriete 11er memoire</w:t></w:r>
</w:p>
<w:p>
<w:pPr><w:pStyle w:val="Normal"/></w:pPr>
<w:r><w:t xml:space="preserve">(1840) (Eng. trans. by B. Tucker); Idee generale sur</w:t></w:r>
</w:p>
<w:p>
<w:pPr><w:pStyle w:val="Normal"/></w:pPr>
<w:r><w:t xml:space="preserve">la revolution (1851);. Confession d&apos;un revolutionnaire</w:t></w:r>
</w:p>
<w:p>
<w:pPr><w:pStyle w:val="Normal"/></w:pPr>
<w:r><w:t xml:space="preserve">(1849); Contradictions economiques (1846); Josiah</w:t></w:r>
</w:p>
<w:p>
<w:pPr><w:pStyle w:val="Normal"/></w:pPr>
<w:r><w:t xml:space="preserve">Warren, Practicable Details of Equitable Commerce (New</w:t></w:r>
</w:p>
<w:p>
<w:pPr><w:pStyle w:val="Normal"/></w:pPr>
<w:r><w:t xml:space="preserve">York, 1852); True Civilizaltion (Boston, 1863); Stephen</w:t></w:r>
</w:p>
<w:p>
<w:pPr><w:pStyle w:val="Normal"/></w:pPr>
<w:r><w:t xml:space="preserve">Pearl Andrews, The Science of Society (1851); Cost, the</w:t></w:r>
</w:p>
<w:p>
<w:pPr><w:pStyle w:val="Normal"/></w:pPr>
<w:r><w:t xml:space="preserve">Limit of Price; Moses Hess, ``Sozialismus und Communismus,</w:t></w:r>
</w:p>
<w:p>
<w:pPr><w:pStyle w:val="Normal"/></w:pPr>
<w:r><w:t xml:space="preserve">Philosophie der That&apos;&apos; (on Herwegh&apos;s Ein-und-Zwanzip Bogen</w:t></w:r>
</w:p>
<w:p>
<w:pPr><w:pStyle w:val="Normal"/></w:pPr>
<w:r><w:t xml:space="preserve">aus der Schweiz, 1843); Karl Grun, Die soziale Bewegung</w:t></w:r>
</w:p>
<w:p>
<w:pPr><w:pStyle w:val="Normal"/></w:pPr>
<w:r><w:t xml:space="preserve">in Frankreich und Belgien (1845); W. Marr, Das junge</w:t></w:r>
</w:p>
<w:p>
<w:pPr><w:pStyle w:val="Normal"/></w:pPr>
<w:r><w:t xml:space="preserve">Deutschland (1845).  Anarchist Individualism:--Max Stirner</w:t></w:r>
</w:p>
<w:p>
<w:pPr><w:pStyle w:val="Normal"/></w:pPr>
<w:r><w:t xml:space="preserve">(J. K. Schmidt), Der Einzige und sein Eigenthum (1845) (Fr.</w:t></w:r>
</w:p>
<w:p>
<w:pPr><w:pStyle w:val="Normal"/></w:pPr>
<w:r><w:t xml:space="preserve">trans., 1900); J. H. Mackay, Max Stirner, sein Leben und</w:t></w:r>
</w:p>
<w:p>
<w:pPr><w:pStyle w:val="Normal"/></w:pPr>
<w:r><w:t xml:space="preserve">sein Werk (1898): V. Basch, L&apos;Individualisme anarchists</w:t></w:r>
</w:p>
<w:p>
<w:pPr><w:pStyle w:val="Normal"/></w:pPr>
<w:r><w:t xml:space="preserve">(1904).  Transition period:--J.  Dejacque, Les Lazareennes</w:t></w:r>
</w:p>
<w:p>
<w:pPr><w:pStyle w:val="Normal"/></w:pPr>
<w:r><w:t xml:space="preserve">rj85I); Le Libertaire, weekly, New York, 1858--1861,</w:t></w:r>
</w:p>
<w:p>
<w:pPr><w:pStyle w:val="Normal"/></w:pPr>
<w:r><w:t xml:space="preserve">containing Anarchist Collectivism of the International:--The</w:t></w:r>
</w:p>
<w:p>
<w:pPr><w:pStyle w:val="Normal"/></w:pPr>
<w:r><w:t xml:space="preserve">papers Egalite, Progres (Locle), Solidaritet; James</w:t></w:r>
</w:p>
<w:p>
<w:pPr><w:pStyle w:val="Normal"/></w:pPr>
<w:r><w:t xml:space="preserve">Guillaume, Idees sur l&apos;organisation seciale (1876);</w:t></w:r>
</w:p>
<w:p>
<w:pPr><w:pStyle w:val="Normal"/></w:pPr>
<w:r><w:t xml:space="preserve">Bulletin de la .federation jurassienne (1872-1879); A.</w:t></w:r>
</w:p>
<w:p>
<w:pPr><w:pStyle w:val="Normal"/></w:pPr>
<w:r><w:t xml:space="preserve">Schwitzguebel, OEuvres; Paul Brousse, Le Suffrage</w:t></w:r>
</w:p>
<w:p>
<w:pPr><w:pStyle w:val="Normal"/></w:pPr>
<w:r><w:t xml:space="preserve">universel (1874); L&apos;Etat a Versailles et dans l&apos;association</w:t></w:r>
</w:p>
<w:p>
<w:pPr><w:pStyle w:val="Normal"/></w:pPr>
<w:r><w:t xml:space="preserve">internationale (1874); newspaper L&apos;Avant-garde (suppressed</w:t></w:r>
</w:p>
<w:p>
<w:pPr><w:pStyle w:val="Normal"/></w:pPr>
<w:r><w:t xml:space="preserve">1878); Arthur Arnould, L&apos;Etat et la revolution (1877);</w:t></w:r>
</w:p>
<w:p>
<w:pPr><w:pStyle w:val="Normal"/></w:pPr>
<w:r><w:t xml:space="preserve">Histoire populaire de la commune (3 vols., 1878); Cesar de</w:t></w:r>
</w:p>
<w:p>
<w:pPr><w:pStyle w:val="Normal"/></w:pPr>
<w:r><w:t xml:space="preserve">Paepe, in Rive gauche and La liberte (1867-1883).  Many</w:t></w:r>
</w:p>
<w:p>
<w:pPr><w:pStyle w:val="Normal"/></w:pPr>
<w:r><w:t xml:space="preserve">others are in the Comptes rendus of the congresses of the</w:t></w:r>
</w:p>
<w:p>
<w:pPr><w:pStyle w:val="Normal"/></w:pPr>
<w:r><w:t xml:space="preserve">International Working Men&apos;s Association.  All these ideas,</w:t></w:r>
</w:p>
<w:p>
<w:pPr><w:pStyle w:val="Normal"/></w:pPr>
<w:r><w:t xml:space="preserve">conceived as a whole, may be found in Bakunin&apos;s Federalisme,</w:t></w:r>
</w:p>
<w:p>
<w:pPr><w:pStyle w:val="Normal"/></w:pPr>
<w:r><w:t xml:space="preserve">socialisme et anti-theologisme, published first in portions</w:t></w:r>
</w:p>
<w:p>
<w:pPr><w:pStyle w:val="Normal"/></w:pPr>
<w:r><w:t xml:space="preserve">under the names of L&apos;Empire knouto-germanique, Dieu et</w:t></w:r>
</w:p>
<w:p>
<w:pPr><w:pStyle w:val="Normal"/></w:pPr>
<w:r><w:t xml:space="preserve">l&apos;etat, The State-Idea and Anarchy (Russian), and only</w:t></w:r>
</w:p>
<w:p>
<w:pPr><w:pStyle w:val="Normal"/></w:pPr>
<w:r><w:t xml:space="preserve">now reproduced in full in his OEuvres (Paris, 1905 and</w:t></w:r>
</w:p>
<w:p>
<w:pPr><w:pStyle w:val="Normal"/></w:pPr>
<w:r><w:t xml:space="preserve">seq.); Sozialpolitischer Briefwechsel (1894); Statuts de</w:t></w:r>
</w:p>
<w:p>
<w:pPr><w:pStyle w:val="Normal"/></w:pPr>
<w:r><w:t xml:space="preserve">l&apos;alliance internationale (1868); Proposition motivee au</w:t></w:r>
</w:p>
<w:p>
<w:pPr><w:pStyle w:val="Normal"/></w:pPr>
<w:r><w:t xml:space="preserve">comite central de la ligue de la paix et de la llberte</w:t></w:r>
</w:p>
<w:p>
<w:pPr><w:pStyle w:val="Normal"/></w:pPr>
<w:r><w:t xml:space="preserve">(1868.) The famous Revolutionary Catechism attributed to</w:t></w:r>
</w:p>
<w:p>
<w:pPr><w:pStyle w:val="Normal"/></w:pPr>
<w:r><w:t xml:space="preserve">Bakunin, was not his work. Biographie von Michael Bakunin,</w:t></w:r>
</w:p>
<w:p>
<w:pPr><w:pStyle w:val="Normal"/></w:pPr>
<w:r><w:t xml:space="preserve">by Dr M. Nettlan, 3 large vols., contains masses of letters,</w:t></w:r>
</w:p>
<w:p>
<w:pPr><w:pStyle w:val="Normal"/></w:pPr>
<w:r><w:t xml:space="preserve">&amp;c. (hectographed in 50 copies; in all chief libraries).</w:t></w:r>
</w:p>
<w:p>
<w:pPr><w:pStyle w:val="Normal"/></w:pPr>
<w:r><w:t xml:space="preserve">MODERN ANARCHISM.--The best sources are the collections of</w:t></w:r>
</w:p>
<w:p>
<w:pPr><w:pStyle w:val="Normal"/></w:pPr>
<w:r><w:t xml:space="preserve">newspapers which, although compelled sometimes to change their</w:t></w:r>
</w:p>
<w:p>
<w:pPr><w:pStyle w:val="Normal"/></w:pPr>
<w:r><w:t xml:space="preserve">names, were run for considerable lengths of time and are appearing</w:t></w:r>
</w:p>
<w:p>
<w:pPr><w:pStyle w:val="Normal"/></w:pPr>
<w:r><w:t xml:space="preserve">still: J. Most, Freiheit, since 1878; Le Revolte--La</w:t></w:r>
</w:p>
<w:p>
<w:pPr><w:pStyle w:val="Normal"/></w:pPr>
<w:r><w:t xml:space="preserve">Revolte--Temps nouveaux, since 1878; Domela Nieuwenhuis,</w:t></w:r>
</w:p>
<w:p>
<w:pPr><w:pStyle w:val="Normal"/></w:pPr>
<w:r><w:t xml:space="preserve">Recht voor Allen, since 1878; Freedom, since 1886; Le</w:t></w:r>
</w:p>
<w:p>
<w:pPr><w:pStyle w:val="Normal"/></w:pPr>
<w:r><w:t xml:space="preserve">Libertaire; Pouget&apos;s Pere Pesuard; Reveil-Risveglio;</w:t></w:r>
</w:p>
<w:p>
<w:pPr><w:pStyle w:val="Normal"/></w:pPr>
<w:r><w:t xml:space="preserve">see Nettlan&apos;s Bibliographie. These papers and a great</w:t></w:r>
</w:p>
<w:p>
<w:pPr><w:pStyle w:val="Normal"/></w:pPr>
<w:r><w:t xml:space="preserve">number of pamphlets are indispensable for those who intend to</w:t></w:r>
</w:p>
<w:p>
<w:pPr><w:pStyle w:val="Normal"/></w:pPr>
<w:r><w:t xml:space="preserve">know anarchism, as the works published in book form are not</w:t></w:r>
</w:p>
<w:p>
<w:pPr><w:pStyle w:val="Normal"/></w:pPr>
<w:r><w:t xml:space="preserve">numerous.  Of the latter only a few will be mentioned:--Elisee</w:t></w:r>
</w:p>
<w:p>
<w:pPr><w:pStyle w:val="Normal"/></w:pPr>
<w:r><w:t xml:space="preserve">Reclus, Evolution and Revolution, many editions in all</w:t></w:r>
</w:p>
<w:p>
<w:pPr><w:pStyle w:val="Normal"/></w:pPr>
<w:r><w:t xml:space="preserve">languages; ``Anarchy by an Anarchist,&apos;&apos; in Contemp.  Review</w:t></w:r>
</w:p>
<w:p>
<w:pPr><w:pStyle w:val="Normal"/></w:pPr>
<w:r><w:t xml:space="preserve">(May, 1884); The Ideal and Youth (1895); Jean Grave, La</w:t></w:r>
</w:p>
<w:p>
<w:pPr><w:pStyle w:val="Normal"/></w:pPr>
<w:r><w:t xml:space="preserve">Societe au lendemain de la revolution, many editions</w:t></w:r>
</w:p>
<w:p>
<w:pPr><w:pStyle w:val="Normal"/></w:pPr>
<w:r><w:t xml:space="preserve">since 1882; La Societe mourante et l&apos;anarchie (1893);</w:t></w:r>
</w:p>
<w:p>
<w:pPr><w:pStyle w:val="Normal"/></w:pPr>
<w:r><w:t xml:space="preserve">L&apos;Autonomie selon la science (1882); La Societe future</w:t></w:r>
</w:p>
<w:p>
<w:pPr><w:pStyle w:val="Normal"/></w:pPr>
<w:r><w:t xml:space="preserve">(1895); L&apos;Anarchie, son but, ses moyens; Sebastien Faure,</w:t></w:r>
</w:p>
<w:p>
<w:pPr><w:pStyle w:val="Normal"/></w:pPr>
<w:r><w:t xml:space="preserve">La Douleur universelle (1892); A. Hamon, Les Hemmes</w:t></w:r>
</w:p>
<w:p>
<w:pPr><w:pStyle w:val="Normal"/></w:pPr>
<w:r><w:t xml:space="preserve">et les theories de l&apos;anarchie (1893); Psychologie de</w:t></w:r>
</w:p>
<w:p>
<w:pPr><w:pStyle w:val="Normal"/></w:pPr>
<w:r><w:t xml:space="preserve">l&apos;anarchiste-socialiste (1895); Enrico Malatesta, Fra</w:t></w:r>
</w:p>
<w:p>
<w:pPr><w:pStyle w:val="Normal"/></w:pPr>
<w:r><w:t xml:space="preserve">Contadini, transl. in all languages--Eng. trans. A Talk</w:t></w:r>
</w:p>
<w:p>
<w:pPr><w:pStyle w:val="Normal"/></w:pPr>
<w:r><w:t xml:space="preserve">about Anarchist Communism, in ``Freedom Pamphlets&apos;&apos; (1891);</w:t></w:r>
</w:p>
<w:p>
<w:pPr><w:pStyle w:val="Normal"/></w:pPr>
<w:r><w:t xml:space="preserve">Anarchy (do. 1892); Au cafe; and many other Italian</w:t></w:r>
</w:p>
<w:p>
<w:pPr><w:pStyle w:val="Normal"/></w:pPr>
<w:r><w:t xml:space="preserve">pamphlets, as also several papers started at various times</w:t></w:r>
</w:p>
<w:p>
<w:pPr><w:pStyle w:val="Normal"/></w:pPr>
<w:r><w:t xml:space="preserve">in Italy under different names: F. S. Merlino, Socialismo</w:t></w:r>
</w:p>
<w:p>
<w:pPr><w:pStyle w:val="Normal"/></w:pPr>
<w:r><w:t xml:space="preserve">o Menopolismo (1887).  Pamphlets, reviews and papers by</w:t></w:r>
</w:p>
<w:p>
<w:pPr><w:pStyle w:val="Normal"/></w:pPr>
<w:r><w:t xml:space="preserve">P. Gori, L. Molinari, E. Covelli, &amp;c. The manifestos of the</w:t></w:r>
</w:p>
<w:p>
<w:pPr><w:pStyle w:val="Normal"/></w:pPr>
<w:r><w:t xml:space="preserve">Spanish Federations contain excellent expositions of Anarchism;</w:t></w:r>
</w:p>
<w:p>
<w:pPr><w:pStyle w:val="Normal"/></w:pPr>
<w:r><w:t xml:space="preserve">cf. also many books, pamphlets and papers by J. Llunas y</w:t></w:r>
</w:p>
<w:p>
<w:pPr><w:pStyle w:val="Normal"/></w:pPr>
<w:r><w:t xml:space="preserve">Pujals, J. Serrano y Oteiza, Ricardo Mella, A. Lorenzo, &amp;c.</w:t></w:r>
</w:p>
<w:p>
<w:pPr><w:pStyle w:val="Normal"/></w:pPr>
<w:r><w:t xml:space="preserve">John Most, the paper Freiheit, of which a few articles</w:t></w:r>
</w:p>
<w:p>
<w:pPr><w:pStyle w:val="Normal"/></w:pPr>
<w:r><w:t xml:space="preserve">only have been reprinted as pamphlets in the Internationale</w:t></w:r>
</w:p>
<w:p>
<w:pPr><w:pStyle w:val="Normal"/></w:pPr>
<w:r><w:t xml:space="preserve">Bibliothek (``The Deistic Pestilence,&apos;&apos; ``The Beast of</w:t></w:r>
</w:p>
<w:p>
<w:pPr><w:pStyle w:val="Normal"/></w:pPr>
<w:r><w:t xml:space="preserve">Property&apos;&apos; in English); Memoiren, 3 fascicules. F. Domela</w:t></w:r>
</w:p>
<w:p>
<w:pPr><w:pStyle w:val="Normal"/></w:pPr>
<w:r><w:t xml:space="preserve">Nieuwenhuis, Le Socialisme en danger (1895); C. Malato,</w:t></w:r>
</w:p>
<w:p>
<w:pPr><w:pStyle w:val="Normal"/></w:pPr>
<w:r><w:t xml:space="preserve">Philosophie de l&apos;anarchie (1890); Charlotte Wilson, Anarchism</w:t></w:r>
</w:p>
<w:p>
<w:pPr><w:pStyle w:val="Normal"/></w:pPr>
<w:r><w:t xml:space="preserve">(``Fabian Tracts,&apos;&apos; 4); Anarchism and Violence (``Freedom</w:t></w:r>
</w:p>
<w:p>
<w:pPr><w:pStyle w:val="Normal"/></w:pPr>
<w:r><w:t xml:space="preserve">Pamphlets&apos;&apos;); Albert Parsons, Anarchism, its Philosophy and</w:t></w:r>
</w:p>
<w:p>
<w:pPr><w:pStyle w:val="Normal"/></w:pPr>
<w:r><w:t xml:space="preserve">Scientific Basis (Chicago, 1888); The Chicago Martyrs:</w:t></w:r>
</w:p>
<w:p>
<w:pPr><w:pStyle w:val="Normal"/></w:pPr>
<w:r><w:t xml:space="preserve">Speeches in Court; P. Kropotkin, Paroles d&apos;un revolte</w:t></w:r>
</w:p>
<w:p>
<w:pPr><w:pStyle w:val="Normal"/></w:pPr>
<w:r><w:t xml:space="preserve">(1884); Conquest of Bread (1906) (1st French ed. in 1890);</w:t></w:r>
</w:p>
<w:p>
<w:pPr><w:pStyle w:val="Normal"/></w:pPr>
<w:r><w:t xml:space="preserve">Anarchist Morality; Anarchy, its Philosophy and Ideals;</w:t></w:r>
</w:p>
<w:p>
<w:pPr><w:pStyle w:val="Normal"/></w:pPr>
<w:r><w:t xml:space="preserve">Anarchist Communism; The State, its Historic Role; and other</w:t></w:r>
</w:p>
<w:p>
<w:pPr><w:pStyle w:val="Normal"/></w:pPr>
<w:r><w:t xml:space="preserve">``Freedom Pamphlets&apos;&apos;; Fields, Factories and Workshops (5th</w:t></w:r>
</w:p>
<w:p>
<w:pPr><w:pStyle w:val="Normal"/></w:pPr>
<w:r><w:t xml:space="preserve">popular edition, 1807); Mutual Aid: a Factor of Evolution</w:t></w:r>
</w:p>
<w:p>
<w:pPr><w:pStyle w:val="Normal"/></w:pPr>
<w:r><w:t xml:space="preserve">(1904).  Modern Individualist Anarchists:--B.  Tucker, the</w:t></w:r>
</w:p>
<w:p>
<w:pPr><w:pStyle w:val="Normal"/></w:pPr>
<w:r><w:t xml:space="preserve">paper Liberty (1892 sqq.); Instead of a Book, by one too</w:t></w:r>
</w:p>
<w:p>
<w:pPr><w:pStyle w:val="Normal"/></w:pPr>
<w:r><w:t xml:space="preserve">busy to write one (Boston, 1893); Dyer Lum, Social Problems</w:t></w:r>
</w:p>
<w:p>
<w:pPr><w:pStyle w:val="Normal"/></w:pPr>
<w:r><w:t xml:space="preserve">(1883); Lysander Spooner, Natural Law, or the Science of</w:t></w:r>
</w:p>
<w:p>
<w:pPr><w:pStyle w:val="Normal"/></w:pPr>
<w:r><w:t xml:space="preserve">Justice (Boston, 1891).  Religious Anarchists:--Leo Tolstoy,</w:t></w:r>
</w:p>
<w:p>
<w:pPr><w:pStyle w:val="Normal"/></w:pPr>
<w:r><w:t xml:space="preserve">The Kingdom of God in Yourselves; My Faith; Confession; &amp;c.</w:t></w:r>
</w:p>
<w:p>
<w:pPr><w:pStyle w:val="Normal"/></w:pPr>
<w:r><w:t xml:space="preserve">The best work on Anarchism, and in fact the only one</w:t></w:r>
</w:p>
<w:p>
<w:pPr><w:pStyle w:val="Normal"/></w:pPr>
<w:r><w:t xml:space="preserve">written with full knowledge of the Anarchist literature,</w:t></w:r>
</w:p>
<w:p>
<w:pPr><w:pStyle w:val="Normal"/></w:pPr>
<w:r><w:t xml:space="preserve">and quite fairly, is by a German judge Dr Paul Eltzbacher,</w:t></w:r>
</w:p>
<w:p>
<w:pPr><w:pStyle w:val="Normal"/></w:pPr>
<w:r><w:t xml:space="preserve">Anarchismus (transl. in all chief European languages,</w:t></w:r>
</w:p>
<w:p>
<w:pPr><w:pStyle w:val="Normal"/></w:pPr>
<w:r><w:t xml:space="preserve">except English).  Prof.  Adler&apos;s article ``Anarchismus&apos;&apos; in</w:t></w:r>
</w:p>
<w:p>
<w:pPr><w:pStyle w:val="Normal"/></w:pPr>
<w:r><w:t xml:space="preserve">Conrad&apos;s Handworterbuch der Staatswissenschaften, vol.</w:t></w:r>
</w:p>
<w:p>
<w:pPr><w:pStyle w:val="Normal"/></w:pPr>
<w:r><w:t xml:space="preserve">i., is less accurate for modern times than for the earlier</w:t></w:r>
</w:p>
<w:p>
<w:pPr><w:pStyle w:val="Normal"/></w:pPr>
<w:r><w:t xml:space="preserve">periods.  G. v.  Zenker, Der Anarchismus (1895); and</w:t></w:r>
</w:p>
<w:p>
<w:pPr><w:pStyle w:val="Normal"/></w:pPr>
<w:r><w:t xml:space="preserve">Prof.  Edmund Bernatzik, ``Der Anarchismus,&apos;&apos; in Schmoller&apos;s</w:t></w:r>
</w:p>
<w:p>
<w:pPr><w:pStyle w:val="Normal"/></w:pPr>
<w:r><w:t xml:space="preserve">Jahrbuch, may also be mentioned--the remainder being</w:t></w:r>
</w:p>
<w:p>
<w:pPr><w:pStyle w:val="Normal"/></w:pPr>
<w:r><w:t xml:space="preserve">written with absolute want of knowledge of the subject.</w:t></w:r>
</w:p>
<w:p>
<w:pPr><w:pStyle w:val="Normal"/></w:pPr>
<w:r><w:t xml:space="preserve">A most important work is the reasoned Bibliographie de l&apos;anarchie,</w:t></w:r>
</w:p>
<w:p>
<w:pPr><w:pStyle w:val="Normal"/></w:pPr>
<w:r><w:t xml:space="preserve">by Dr M. Nettlan (Brussels, 1897, 8vo, 294 ff.), written with a</w:t></w:r>
</w:p>
<w:p>
<w:pPr><w:pStyle w:val="Normal"/></w:pPr>
<w:r><w:t xml:space="preserve">full knowledge of the subject and its immense literature. (P. A. K.)</w:t></w:r>
</w:p>
<w:p>
<w:pPr><w:pStyle w:val="Normal"/></w:pPr>
<w:r><w:t xml:space="preserve">1 It is imoortant to remember that the term ``Anarchist&apos;, is</w:t></w:r>
</w:p>
<w:p>
<w:pPr><w:pStyle w:val="Normal"/></w:pPr>
<w:r><w:t xml:space="preserve">inevitably rather loosely used in public, in connexion with</w:t></w:r>
</w:p>
<w:p>
<w:pPr><w:pStyle w:val="Normal"/></w:pPr>
<w:r><w:t xml:space="preserve">the authors of a certain class of murderous outrages, and</w:t></w:r>
</w:p>
<w:p>
<w:pPr><w:pStyle w:val="Normal"/></w:pPr>
<w:r><w:t xml:space="preserve">that the same looseness of definition often applies to the</w:t></w:r>
</w:p>
<w:p>
<w:pPr><w:pStyle w:val="Normal"/></w:pPr>
<w:r><w:t xml:space="preserve">professions of ``Anarchism&apos;&apos; made by such persons.  As stated</w:t></w:r>
</w:p>
<w:p>
<w:pPr><w:pStyle w:val="Normal"/></w:pPr>
<w:r><w:t xml:space="preserve">above, a philosophic Anarchist would repudiate the connexion.</w:t></w:r>
</w:p>
<w:p>
<w:pPr><w:pStyle w:val="Normal"/></w:pPr>
<w:r><w:t xml:space="preserve">And the general public view which regards Anarchist doctrines</w:t></w:r>
</w:p>
<w:p>
<w:pPr><w:pStyle w:val="Normal"/></w:pPr>
<w:r><w:t xml:space="preserve">indiscriminately is to that extent a confusion of terms.  But the</w:t></w:r>
</w:p>
<w:p>
<w:pPr><w:pStyle w:val="Normal"/></w:pPr>
<w:r><w:t xml:space="preserve">following resume of the chief modern so-called ``Anarchist&apos;&apos;</w:t></w:r>
</w:p>
<w:p>
<w:pPr><w:pStyle w:val="Normal"/></w:pPr>
<w:r><w:t xml:space="preserve">incidents is appended for convenience in stating the facts</w:t></w:r>
</w:p>
<w:p>
<w:pPr><w:pStyle w:val="Normal"/></w:pPr>
<w:r><w:t xml:space="preserve">under the heading where a reader would expect to find them.</w:t></w:r>
</w:p>
<w:p>
<w:pPr><w:pStyle w:val="Normal"/></w:pPr>
<w:r><w:t xml:space="preserve">Between 1852 and 1886, in France, Prince Kropotkin, Louise</w:t></w:r>
</w:p>
<w:p>
<w:pPr><w:pStyle w:val="Normal"/></w:pPr>
<w:r><w:t xml:space="preserve">Michel and others were imprisoned.  In England, Most, one of</w:t></w:r>
</w:p>
<w:p>
<w:pPr><w:pStyle w:val="Normal"/></w:pPr>
<w:r><w:t xml:space="preserve">the German Anarchist leaders, founded Die Freiheit, and,</w:t></w:r>
</w:p>
<w:p>
<w:pPr><w:pStyle w:val="Normal"/></w:pPr>
<w:r><w:t xml:space="preserve">for defending in it the assassination of Alexander II. at St</w:t></w:r>
</w:p>
<w:p>
<w:pPr><w:pStyle w:val="Normal"/></w:pPr>
<w:r><w:t xml:space="preserve">Petersburg, was sentenced to eighteen months&apos; imprisonment</w:t></w:r>
</w:p>
<w:p>
<w:pPr><w:pStyle w:val="Normal"/></w:pPr>
<w:r><w:t xml:space="preserve">with hard labour.  After this he moved to the United States,</w:t></w:r>
</w:p>
<w:p>
<w:pPr><w:pStyle w:val="Normal"/></w:pPr>
<w:r><w:t xml:space="preserve">and re-established his paper there in New York, in May</w:t></w:r>
</w:p>
<w:p>
<w:pPr><w:pStyle w:val="Normal"/></w:pPr>
<w:r><w:t xml:space="preserve">1886.  During this period there were several Anarchist</w:t></w:r>
</w:p>
<w:p>
<w:pPr><w:pStyle w:val="Normal"/></w:pPr>
<w:r><w:t xml:space="preserve">congresses in the United States.  In one at Albany, in 1878,</w:t></w:r>
</w:p>
<w:p>
<w:pPr><w:pStyle w:val="Normal"/></w:pPr>
<w:r><w:t xml:space="preserve">the revolutionary element, led by Justus Schwab, broke away</w:t></w:r>
</w:p>
<w:p>
<w:pPr><w:pStyle w:val="Normal"/></w:pPr>
<w:r><w:t xml:space="preserve">from the others; at Allegheny City, in 1879, again there</w:t></w:r>
</w:p>
<w:p>
<w:pPr><w:pStyle w:val="Normal"/></w:pPr>
<w:r><w:t xml:space="preserve">was a rupture between the peaceful and the revolutionary</w:t></w:r>
</w:p>
<w:p>
<w:pPr><w:pStyle w:val="Normal"/></w:pPr>
<w:r><w:t xml:space="preserve">sections. The Voice of the People at St Louis, the</w:t></w:r>
</w:p>
<w:p>
<w:pPr><w:pStyle w:val="Normal"/></w:pPr>
<w:r><w:t xml:space="preserve">Arbeiter Zeitung at Chicago, and the Anarchist at Boston,</w:t></w:r>
</w:p>
<w:p>
<w:pPr><w:pStyle w:val="Normal"/></w:pPr>
<w:r><w:t xml:space="preserve">were the organs of the revolutionary element.  In 1883, at</w:t></w:r>
</w:p>
<w:p>
<w:pPr><w:pStyle w:val="Normal"/></w:pPr>
<w:r><w:t xml:space="preserve">Pittsburg, a congress of twenty-eight delegates, representing</w:t></w:r>
</w:p>
<w:p>
<w:pPr><w:pStyle w:val="Normal"/></w:pPr>
<w:r><w:t xml:space="preserve">twenty-two towns, drew up an address to the working men of</w:t></w:r>
</w:p>
<w:p>
<w:pPr><w:pStyle w:val="Normal"/></w:pPr>
<w:r><w:t xml:space="preserve">America.  The programme it proposed was as follows:--</w:t></w:r>
</w:p>
<w:p>
<w:pPr><w:pStyle w:val="Normal"/></w:pPr>
<w:r><w:t xml:space="preserve">First, Destruction of the existing class rule by all means, i.e.</w:t></w:r>
</w:p>
<w:p>
<w:pPr><w:pStyle w:val="Normal"/></w:pPr>
<w:r><w:t xml:space="preserve">energetic, relentless, revolutionary and international action.</w:t></w:r>
</w:p>
<w:p>
<w:pPr><w:pStyle w:val="Normal"/></w:pPr>
<w:r><w:t xml:space="preserve">Second, Establishment of a free society, based</w:t></w:r>
</w:p>
<w:p>
<w:pPr><w:pStyle w:val="Normal"/></w:pPr>
<w:r><w:t xml:space="preserve">upon co-operative organization of production.</w:t></w:r>
</w:p>
<w:p>
<w:pPr><w:pStyle w:val="Normal"/></w:pPr>
<w:r><w:t xml:space="preserve">Third, Free exchange of equivalent products by and between the</w:t></w:r>
</w:p>
<w:p>
<w:pPr><w:pStyle w:val="Normal"/></w:pPr>
<w:r><w:t xml:space="preserve">productive organizations, without commerce and profit-mongery.</w:t></w:r>
</w:p>
<w:p>
<w:pPr><w:pStyle w:val="Normal"/></w:pPr>
<w:r><w:t xml:space="preserve">Fourth, Organization of education on a secular,</w:t></w:r>
</w:p>
<w:p>
<w:pPr><w:pStyle w:val="Normal"/></w:pPr>
<w:r><w:t xml:space="preserve">scientific and equal basis for both sexes.</w:t></w:r>
</w:p>
<w:p>
<w:pPr><w:pStyle w:val="Normal"/></w:pPr>
<w:r><w:t xml:space="preserve">Fifth, Equal rights for all, without distinction</w:t></w:r>
</w:p>
<w:p>
<w:pPr><w:pStyle w:val="Normal"/></w:pPr>
<w:r><w:t xml:space="preserve">of sex or race. the autonomous (independent) communes</w:t></w:r>
</w:p>
<w:p>
<w:pPr><w:pStyle w:val="Normal"/></w:pPr>
<w:r><w:t xml:space="preserve">and associations, resting on a federalistic basis.</w:t></w:r>
</w:p>
<w:p>
<w:pPr><w:pStyle w:val="Normal"/></w:pPr>
<w:r><w:t xml:space="preserve">This, together with an appeal to the working men to organize,</w:t></w:r>
</w:p>
<w:p>
<w:pPr><w:pStyle w:val="Normal"/></w:pPr>
<w:r><w:t xml:space="preserve">was published in Chicago, November 1883, by a local committee</w:t></w:r>
</w:p>
<w:p>
<w:pPr><w:pStyle w:val="Normal"/></w:pPr>
<w:r><w:t xml:space="preserve">of four, representing French, Bohemian, German and English</w:t></w:r>
</w:p>
<w:p>
<w:pPr><w:pStyle w:val="Normal"/></w:pPr>
<w:r><w:t xml:space="preserve">sections, the head of the last being August Spies, who was</w:t></w:r>
</w:p>
<w:p>
<w:pPr><w:pStyle w:val="Normal"/></w:pPr>
<w:r><w:t xml:space="preserve">hanged in 1887 for participation in the Haymarket affair in</w:t></w:r>
</w:p>
<w:p>
<w:pPr><w:pStyle w:val="Normal"/></w:pPr>
<w:r><w:t xml:space="preserve">Chicago, 4th May 1886.  This affair was the culmination of a</w:t></w:r>
</w:p>
<w:p>
<w:pPr><w:pStyle w:val="Normal"/></w:pPr>
<w:r><w:t xml:space="preserve">series of encounters between the Chicago working men and the</w:t></w:r>
</w:p>
<w:p>
<w:pPr><w:pStyle w:val="Normal"/></w:pPr>
<w:r><w:t xml:space="preserve">police, which had covered several years.  The meeting of 4th</w:t></w:r>
</w:p>
<w:p>
<w:pPr><w:pStyle w:val="Normal"/></w:pPr>
<w:r><w:t xml:space="preserve">May was called by Spies and others to protest against the</w:t></w:r>
</w:p>
<w:p>
<w:pPr><w:pStyle w:val="Normal"/></w:pPr>
<w:r><w:t xml:space="preserve">action of the police, by whom several working men had been</w:t></w:r>
</w:p>
<w:p>
<w:pPr><w:pStyle w:val="Normal"/></w:pPr>
<w:r><w:t xml:space="preserve">killed in collisions growing out of the efforts to introduce</w:t></w:r>
</w:p>
<w:p>
<w:pPr><w:pStyle w:val="Normal"/></w:pPr>
<w:r><w:t xml:space="preserve">the eight hours&apos; day.  The mayor of the city attended the</w:t></w:r>
</w:p>
<w:p>
<w:pPr><w:pStyle w:val="Normal"/></w:pPr>
<w:r><w:t xml:space="preserve">meeting, but, finding it peaceful, went home.  The meeting was</w:t></w:r>
</w:p>
<w:p>
<w:pPr><w:pStyle w:val="Normal"/></w:pPr>
<w:r><w:t xml:space="preserve">subsequently entered by the police and commanded to disperse.</w:t></w:r>
</w:p>
<w:p>
<w:pPr><w:pStyle w:val="Normal"/></w:pPr>
<w:r><w:t xml:space="preserve">A bomb was thrown, several policemen being killed and a number</w:t></w:r>
</w:p>
<w:p>
<w:pPr><w:pStyle w:val="Normal"/></w:pPr>
<w:r><w:t xml:space="preserve">wounded.  For this crime eight men were tried in one panel and</w:t></w:r>
</w:p>
<w:p>
<w:pPr><w:pStyle w:val="Normal"/></w:pPr>
<w:r><w:t xml:space="preserve">condemned, seven--Spies, Parsons, Engel, Fischer, Fielden,</w:t></w:r>
</w:p>
<w:p>
<w:pPr><w:pStyle w:val="Normal"/></w:pPr>
<w:r><w:t xml:space="preserve">Schwab, and Ling--to death, and one--Neebe--to imprisonment</w:t></w:r>
</w:p>
<w:p>
<w:pPr><w:pStyle w:val="Normal"/></w:pPr>
<w:r><w:t xml:space="preserve">for fifteen years.  The sentences on Fielden and Schwab were</w:t></w:r>
</w:p>
<w:p>
<w:pPr><w:pStyle w:val="Normal"/></w:pPr>
<w:r><w:t xml:space="preserve">commuted by Governor Oglesby to imprisonment for life, on</w:t></w:r>
</w:p>
<w:p>
<w:pPr><w:pStyle w:val="Normal"/></w:pPr>
<w:r><w:t xml:space="preserve">the recommendation of the presiding judge and the prosecuting</w:t></w:r>
</w:p>
<w:p>
<w:pPr><w:pStyle w:val="Normal"/></w:pPr>
<w:r><w:t xml:space="preserve">attorney.  Ling committed suicide in jail, and Spies, Parsons,</w:t></w:r>
</w:p>
<w:p>
<w:pPr><w:pStyle w:val="Normal"/></w:pPr>
<w:r><w:t xml:space="preserve">Engel and Fischer were hanged, 11th November 1887.  On 26th</w:t></w:r>
</w:p>
<w:p>
<w:pPr><w:pStyle w:val="Normal"/></w:pPr>
<w:r><w:t xml:space="preserve">June 1893 an unconditional pardon was granted the survivors,</w:t></w:r>
</w:p>
<w:p>
<w:pPr><w:pStyle w:val="Normal"/></w:pPr>
<w:r><w:t xml:space="preserve">Fielden, Schwab and Neebe, by Governor Altgeld.  The reasons</w:t></w:r>
</w:p>
<w:p>
<w:pPr><w:pStyle w:val="Normal"/></w:pPr>
<w:r><w:t xml:space="preserve">for the pardon were stated by the governor to be that, upon</w:t></w:r>
</w:p>
<w:p>
<w:pPr><w:pStyle w:val="Normal"/></w:pPr>
<w:r><w:t xml:space="preserve">an examination of the records he found that the jury had not</w:t></w:r>
</w:p>
<w:p>
<w:pPr><w:pStyle w:val="Normal"/></w:pPr>
<w:r><w:t xml:space="preserve">been drawn in the usual manner, but by a special bailiff, who</w:t></w:r>
</w:p>
<w:p>
<w:pPr><w:pStyle w:val="Normal"/></w:pPr>
<w:r><w:t xml:space="preserve">made his own selection and had summoned a ``prejudiced jury&apos;&apos;;</w:t></w:r>
</w:p>
<w:p>
<w:pPr><w:pStyle w:val="Normal"/></w:pPr>
<w:r><w:t xml:space="preserve">that the ``state had never discovered who it was that threw</w:t></w:r>
</w:p>
<w:p>
<w:pPr><w:pStyle w:val="Normal"/></w:pPr>
<w:r><w:t xml:space="preserve">ihe bomb which killed the policemen, and the evidence does</w:t></w:r>
</w:p>
<w:p>
<w:pPr><w:pStyle w:val="Normal"/></w:pPr>
<w:r><w:t xml:space="preserve">not show any connexion whatever between the defendants and the</w:t></w:r>
</w:p>
<w:p>
<w:pPr><w:pStyle w:val="Normal"/></w:pPr>
<w:r><w:t xml:space="preserve">man who did throw it,&apos;&apos; . . . or that this man ``ever heard</w:t></w:r>
</w:p>
<w:p>
<w:pPr><w:pStyle w:val="Normal"/></w:pPr>
<w:r><w:t xml:space="preserve">or read a word coming from the defendants, and consequently</w:t></w:r>
</w:p>
<w:p>
<w:pPr><w:pStyle w:val="Normal"/></w:pPr>
<w:r><w:t xml:space="preserve">fails to show that he acted on any advice given by them.&apos;&apos;</w:t></w:r>
</w:p>
<w:p>
<w:pPr><w:pStyle w:val="Normal"/></w:pPr>
<w:r><w:t xml:space="preserve">Judge Gary, the judge at the trial, published a defence of</w:t></w:r>
</w:p>
<w:p>
<w:pPr><w:pStyle w:val="Normal"/></w:pPr>
<w:r><w:t xml:space="preserve">its procedure in the Century Magazine, vol. xxiii p. 803.</w:t></w:r>
</w:p>
<w:p>
<w:pPr><w:pStyle w:val="Normal"/></w:pPr>
<w:r><w:t xml:space="preserve">A number of outbreaks in later years were attributed to the</w:t></w:r>
</w:p>
<w:p>
<w:pPr><w:pStyle w:val="Normal"/></w:pPr>
<w:r><w:t xml:space="preserve">propaganda of reform by revolution, like those in Spain and</w:t></w:r>
</w:p>
<w:p>
<w:pPr><w:pStyle w:val="Normal"/></w:pPr>
<w:r><w:t xml:space="preserve">France in 1892, in which Ravachol was a prominent figure.  In</w:t></w:r>
</w:p>
<w:p>
<w:pPr><w:pStyle w:val="Normal"/></w:pPr>
<w:r><w:t xml:space="preserve">1893 a bomb was exploded in the French Chamber of Deputies by</w:t></w:r>
</w:p>
<w:p>
<w:pPr><w:pStyle w:val="Normal"/></w:pPr>
<w:r><w:t xml:space="preserve">Vaillant.  The spirit of these men is well illustrated by the</w:t></w:r>
</w:p>
<w:p>
<w:pPr><w:pStyle w:val="Normal"/></w:pPr>
<w:r><w:t xml:space="preserve">reply which Vaillant made to the judge who reproached him for</w:t></w:r>
</w:p>
<w:p>
<w:pPr><w:pStyle w:val="Normal"/></w:pPr>
<w:r><w:t xml:space="preserve">endangering the lives of innocent men and women: ``There can</w:t></w:r>
</w:p>
<w:p>
<w:pPr><w:pStyle w:val="Normal"/></w:pPr>
<w:r><w:t xml:space="preserve">be no innocent bourgeois.&apos;&apos; In 1894 there was an explosion in</w:t></w:r>
</w:p>
<w:p>
<w:pPr><w:pStyle w:val="Normal"/></w:pPr>
<w:r><w:t xml:space="preserve">a Parisian cafe, and another in a theatre at Barcelona.  For</w:t></w:r>
</w:p>
<w:p>
<w:pPr><w:pStyle w:val="Normal"/></w:pPr>
<w:r><w:t xml:space="preserve">the latter outrage six men were executed.  President Carnot</w:t></w:r>
</w:p>
<w:p>
<w:pPr><w:pStyle w:val="Normal"/></w:pPr>
<w:r><w:t xml:space="preserve">of the French Republic was assassinated by an Italian at</w:t></w:r>
</w:p>
<w:p>
<w:pPr><w:pStyle w:val="Normal"/></w:pPr>
<w:r><w:t xml:space="preserve">Lyons in the same year.  The empress Elizabeth of Austria was</w:t></w:r>
</w:p>
<w:p>
<w:pPr><w:pStyle w:val="Normal"/></w:pPr>
<w:r><w:t xml:space="preserve">assassinated in September 1898.  These events, all associated</w:t></w:r>
</w:p>
<w:p>
<w:pPr><w:pStyle w:val="Normal"/></w:pPr>
<w:r><w:t xml:space="preserve">by the public with ``Anarchism,&apos;&apos; led to the passage by the</w:t></w:r>
</w:p>
<w:p>
<w:pPr><w:pStyle w:val="Normal"/></w:pPr>
<w:r><w:t xml:space="preserve">Uniied States Congress of a law, in 1894, to keep out foreign</w:t></w:r>
</w:p>
<w:p>
<w:pPr><w:pStyle w:val="Normal"/></w:pPr>
<w:r><w:t xml:space="preserve">Anarchists, and to deport any who might be found in the country,</w:t></w:r>
</w:p>
<w:p>
<w:pPr><w:pStyle w:val="Normal"/></w:pPr>
<w:r><w:t xml:space="preserve">and also to the assemblage of an international conference in</w:t></w:r>
</w:p>
<w:p>
<w:pPr><w:pStyle w:val="Normal"/></w:pPr>
<w:r><w:t xml:space="preserve">Rome, in 1898, to agree upon some plan for dealing with these</w:t></w:r>
</w:p>
<w:p>
<w:pPr><w:pStyle w:val="Normal"/></w:pPr>
<w:r><w:t xml:space="preserve">revolutionists.  It was proposed that their offences should</w:t></w:r>
</w:p>
<w:p>
<w:pPr><w:pStyle w:val="Normal"/></w:pPr>
<w:r><w:t xml:space="preserve">no longer be classed as political, but as common-law crimes,</w:t></w:r>
</w:p>
<w:p>
<w:pPr><w:pStyle w:val="Normal"/></w:pPr>
<w:r><w:t xml:space="preserve">and be made subject to extradition.  The suppression of the</w:t></w:r>
</w:p>
<w:p>
<w:pPr><w:pStyle w:val="Normal"/></w:pPr>
<w:r><w:t xml:space="preserve">revolutionary press and the international co-operation of the</w:t></w:r>
</w:p>
<w:p>
<w:pPr><w:pStyle w:val="Normal"/></w:pPr>
<w:r><w:t xml:space="preserve">police were also suggested.  The results of the conference</w:t></w:r>
</w:p>
<w:p>
<w:pPr><w:pStyle w:val="Normal"/></w:pPr>
<w:r><w:t xml:space="preserve">were not, however, published; and the question of how to</w:t></w:r>
</w:p>
<w:p>
<w:pPr><w:pStyle w:val="Normal"/></w:pPr>
<w:r><w:t xml:space="preserve">deal with the campaign against society fell for a while into</w:t></w:r>
</w:p>
<w:p>
<w:pPr><w:pStyle w:val="Normal"/></w:pPr>
<w:r><w:t xml:space="preserve">abeyance.  The attempt made by the youth Sipido on the (then)</w:t></w:r>
</w:p>
<w:p>
<w:pPr><w:pStyle w:val="Normal"/></w:pPr>
<w:r><w:t xml:space="preserve">prince of Wales at Brussels in 1900 recalled attention to the</w:t></w:r>
</w:p>
<w:p>
<w:pPr><w:pStyle w:val="Normal"/></w:pPr>
<w:r><w:t xml:space="preserve">subject.  The acquittal of Sipido, and the failure of the</w:t></w:r>
</w:p>
<w:p>
<w:pPr><w:pStyle w:val="Normal"/></w:pPr>
<w:r><w:t xml:space="preserve">Belgian government to see that justice was done in an affair of</w:t></w:r>
</w:p>
<w:p>
<w:pPr><w:pStyle w:val="Normal"/></w:pPr>
<w:r><w:t xml:space="preserve">such international importance, excited considerable feeling in</w:t></w:r>
</w:p>
<w:p>
<w:pPr><w:pStyle w:val="Normal"/></w:pPr>
<w:r><w:t xml:space="preserve">England, and was the occasion of a strongly-worded note from</w:t></w:r>
</w:p>
<w:p>
<w:pPr><w:pStyle w:val="Normal"/></w:pPr>
<w:r><w:t xml:space="preserve">the British to the Belgian government.  The murder of King</w:t></w:r>
</w:p>
<w:p>
<w:pPr><w:pStyle w:val="Normal"/></w:pPr>
<w:r><w:t xml:space="preserve">Humbert of Italy in July 1900 renewed the outcry against Italian</w:t></w:r>
</w:p>
<w:p>
<w:pPr><w:pStyle w:val="Normal"/></w:pPr>
<w:r><w:t xml:space="preserve">Anarchists.  Even greater horror and indignation were excited</w:t></w:r>
</w:p>
<w:p>
<w:pPr><w:pStyle w:val="Normal"/></w:pPr>
<w:r><w:t xml:space="preserve">by the assassination of President McKinley by Czolgoscz on the</w:t></w:r>
</w:p>
<w:p>
<w:pPr><w:pStyle w:val="Normal"/></w:pPr>
<w:r><w:t xml:space="preserve">6th of September 1901, at Buffalo, U.S.A.  And a particularly</w:t></w:r>
</w:p>
<w:p>
<w:pPr><w:pStyle w:val="Normal"/></w:pPr>
<w:r><w:t xml:space="preserve">dastardly attempt was made to blow up the young king and</w:t></w:r>
</w:p>
<w:p>
<w:pPr><w:pStyle w:val="Normal"/></w:pPr>
<w:r><w:t xml:space="preserve">queen of Spain on their wedding-day in 1906. (ED. E.B.)</w:t></w:r>
</w:p>
<w:p>
<w:pPr><w:pStyle w:val="Normal"/></w:pPr>
<w:r><w:t xml:space="preserve">ANASTASIUS, the name of four popes. ANASTASIUS I.,</w:t></w:r>
</w:p>
<w:p>
<w:pPr><w:pStyle w:val="Normal"/></w:pPr>
<w:r><w:t xml:space="preserve">pope from 399-401.  He it was who condemned the writings</w:t></w:r>
</w:p>
<w:p>
<w:pPr><w:pStyle w:val="Normal"/></w:pPr>
<w:r><w:t xml:space="preserve">of Origen shortly after their translation into Latin.</w:t></w:r>
</w:p>
<w:p>
<w:pPr><w:pStyle w:val="Normal"/></w:pPr>
<w:r><w:t xml:space="preserve">ANASTASIUS II., pope from 496-498.  He lived in the time of</w:t></w:r>
</w:p>
<w:p>
<w:pPr><w:pStyle w:val="Normal"/></w:pPr>
<w:r><w:t xml:space="preserve">the schism of Acacius of Constantinople.  He showed some tendency</w:t></w:r>
</w:p>
<w:p>
<w:pPr><w:pStyle w:val="Normal"/></w:pPr>
<w:r><w:t xml:space="preserve">towards conciliation, and thus brought upon himself the lively</w:t></w:r>
</w:p>
<w:p>
<w:pPr><w:pStyle w:val="Normal"/></w:pPr>
<w:r><w:t xml:space="preserve">reproaches of the author of the Liber pontificalis. On the</w:t></w:r>
</w:p>
<w:p>
<w:pPr><w:pStyle w:val="Normal"/></w:pPr>
<w:r><w:t xml:space="preserve">strength of this tradition, Dante has placed this pope in hell.</w:t></w:r>
</w:p>
<w:p>
<w:pPr><w:pStyle w:val="Normal"/></w:pPr>
<w:r><w:t xml:space="preserve">ANASTASIUS III., pope from 911-913, was a Roman by birth.</w:t></w:r>
</w:p>
<w:p>
<w:pPr><w:pStyle w:val="Normal"/></w:pPr>
<w:r><w:t xml:space="preserve">Practically nothing is recorded of him, his pontificate falling</w:t></w:r>
</w:p>
<w:p>
<w:pPr><w:pStyle w:val="Normal"/></w:pPr>
<w:r><w:t xml:space="preserve">in the period when Rome was in the power of the Roman nobles.</w:t></w:r>
</w:p>
<w:p>
<w:pPr><w:pStyle w:val="Normal"/></w:pPr>
<w:r><w:t xml:space="preserve">ANASTASIUS IV. was pope from 1153 to 1154.  He was a Roman</w:t></w:r>
</w:p>
<w:p>
<w:pPr><w:pStyle w:val="Normal"/></w:pPr>
<w:r><w:t xml:space="preserve">named Conrad, son of Benedictus, and at the time of his</w:t></w:r>
</w:p>
<w:p>
<w:pPr><w:pStyle w:val="Normal"/></w:pPr>
<w:r><w:t xml:space="preserve">election, on the 9th of July 1153, was cardinal bishop of</w:t></w:r>
</w:p>
<w:p>
<w:pPr><w:pStyle w:val="Normal"/></w:pPr>
<w:r><w:t xml:space="preserve">Sabina.  He had taken part in the double election of 1130,</w:t></w:r>
</w:p>
<w:p>
<w:pPr><w:pStyle w:val="Normal"/></w:pPr>
<w:r><w:t xml:space="preserve">had been one of the most determined opponents of Anacletus II.</w:t></w:r>
</w:p>
<w:p>
<w:pPr><w:pStyle w:val="Normal"/></w:pPr>
<w:r><w:t xml:space="preserve">and, when Innocent II. fled to France, had been left behind</w:t></w:r>
</w:p>
<w:p>
<w:pPr><w:pStyle w:val="Normal"/></w:pPr>
<w:r><w:t xml:space="preserve">as his vicar in Italy.  During his short pontificate, however,</w:t></w:r>
</w:p>
<w:p>
<w:pPr><w:pStyle w:val="Normal"/></w:pPr>
<w:r><w:t xml:space="preserve">he played the part of a peacemaker; he came to terms with the</w:t></w:r>
</w:p>
<w:p>
<w:pPr><w:pStyle w:val="Normal"/></w:pPr>
<w:r><w:t xml:space="preserve">emperor Frederick I. in the vexed question of the appointment</w:t></w:r>
</w:p>
<w:p>
<w:pPr><w:pStyle w:val="Normal"/></w:pPr>
<w:r><w:t xml:space="preserve">to the see of Magdeburg and closed the long quarrel, which</w:t></w:r>
</w:p>
<w:p>
<w:pPr><w:pStyle w:val="Normal"/></w:pPr>
<w:r><w:t xml:space="preserve">had raged through four pontificates, about the appointment of</w:t></w:r>
</w:p>
<w:p>
<w:pPr><w:pStyle w:val="Normal"/></w:pPr>
<w:r><w:t xml:space="preserve">William Fitzherbert (d. 1154)--commonly known as St William</w:t></w:r>
</w:p>
<w:p>
<w:pPr><w:pStyle w:val="Normal"/></w:pPr>
<w:r><w:t xml:space="preserve">of York--to the see of York, by sending him the pallium, in</w:t></w:r>
</w:p>
<w:p>
<w:pPr><w:pStyle w:val="Normal"/></w:pPr>
<w:r><w:t xml:space="preserve">spite of the continued opposition of the powerful Cistercian</w:t></w:r>
</w:p>
<w:p>
<w:pPr><w:pStyle w:val="Normal"/></w:pPr>
<w:r><w:t xml:space="preserve">order.  Anastasius died on the 3rd of December 1154, and</w:t></w:r>
</w:p>
<w:p>
<w:pPr><w:pStyle w:val="Normal"/></w:pPr>
<w:r><w:t xml:space="preserve">was succeeded by Cardinal Nicholas of Albano as Adrian IV.</w:t></w:r>
</w:p>
<w:p>
<w:pPr><w:pStyle w:val="Normal"/></w:pPr>
<w:r><w:t xml:space="preserve">ANASTASIUS I. (c. 430-518), Roman emperor, was born at</w:t></w:r>
</w:p>
<w:p>
<w:pPr><w:pStyle w:val="Normal"/></w:pPr>
<w:r><w:t xml:space="preserve">Dyrrhachium not later than A.D. 430. At the time of the death</w:t></w:r>
</w:p>
<w:p>
<w:pPr><w:pStyle w:val="Normal"/></w:pPr>
<w:r><w:t xml:space="preserve">of Zeno (491), Anastasius, a palace official (silentiarius),</w:t></w:r>
</w:p>
<w:p>
<w:pPr><w:pStyle w:val="Normal"/></w:pPr>
<w:r><w:t xml:space="preserve">held a very high character, and was raised to the throne</w:t></w:r>
</w:p>
<w:p>
<w:pPr><w:pStyle w:val="Normal"/></w:pPr>
<w:r><w:t xml:space="preserve">of the Roman empire of the East, through the choice of</w:t></w:r>
</w:p>
<w:p>
<w:pPr><w:pStyle w:val="Normal"/></w:pPr>
<w:r><w:t xml:space="preserve">Ariadne, Zeno&apos;s widow, who married him shortly after his</w:t></w:r>
</w:p>
<w:p>
<w:pPr><w:pStyle w:val="Normal"/></w:pPr>
<w:r><w:t xml:space="preserve">accession.  His reign, though afterwards disturbed by foreign</w:t></w:r>
</w:p>
<w:p>
<w:pPr><w:pStyle w:val="Normal"/></w:pPr>
<w:r><w:t xml:space="preserve">and intestine wars and religious distractions, commenced</w:t></w:r>
</w:p>
<w:p>
<w:pPr><w:pStyle w:val="Normal"/></w:pPr>
<w:r><w:t xml:space="preserve">auspiciously.  He gained the popular favour by a judicious</w:t></w:r>
</w:p>
<w:p>
<w:pPr><w:pStyle w:val="Normal"/></w:pPr>
<w:r><w:t xml:space="preserve">remission of taxation, and displayed great vigour and energy</w:t></w:r>
</w:p>
<w:p>
<w:pPr><w:pStyle w:val="Normal"/></w:pPr>
<w:r><w:t xml:space="preserve">in administering the affairs of the empire.  The principal</w:t></w:r>
</w:p>
<w:p>
<w:pPr><w:pStyle w:val="Normal"/></w:pPr>
<w:r><w:t xml:space="preserve">wars in which Anastasius was engaged were those known as</w:t></w:r>
</w:p>
<w:p>
<w:pPr><w:pStyle w:val="Normal"/></w:pPr>
<w:r><w:t xml:space="preserve">the Isaurian and the Persian.  The former (492-496) was</w:t></w:r>
</w:p>
<w:p>
<w:pPr><w:pStyle w:val="Normal"/></w:pPr>
<w:r><w:t xml:space="preserve">stirred up by the supporters of Longinus, the brother of</w:t></w:r>
</w:p>
<w:p>
<w:pPr><w:pStyle w:val="Normal"/></w:pPr>
<w:r><w:t xml:space="preserve">Zeno.  The victory of Cotyaeum in 493 ``broke the back&apos;&apos; of</w:t></w:r>
</w:p>
<w:p>
<w:pPr><w:pStyle w:val="Normal"/></w:pPr>
<w:r><w:t xml:space="preserve">the revolt, but a guerilla warfare continued in the Isaurian</w:t></w:r>
</w:p>
<w:p>
<w:pPr><w:pStyle w:val="Normal"/></w:pPr>
<w:r><w:t xml:space="preserve">mountains for some years longer.  In the war with Persia</w:t></w:r>
</w:p>
<w:p>
<w:pPr><w:pStyle w:val="Normal"/></w:pPr>
<w:r><w:t xml:space="preserve">(502-505), Theodosiopolis and Amida were captured by the</w:t></w:r>
</w:p>
<w:p>
<w:pPr><w:pStyle w:val="Normal"/></w:pPr>
<w:r><w:t xml:space="preserve">enemy, but the Persian provinces also suffered severely</w:t></w:r>
</w:p>
<w:p>
<w:pPr><w:pStyle w:val="Normal"/></w:pPr>
<w:r><w:t xml:space="preserve">and the Romans recovered Amida.  Both adversaries were</w:t></w:r>
</w:p>
<w:p>
<w:pPr><w:pStyle w:val="Normal"/></w:pPr>
<w:r><w:t xml:space="preserve">exhausted when peace was made (506) on the basis of status</w:t></w:r>
</w:p>
<w:p>
<w:pPr><w:pStyle w:val="Normal"/></w:pPr>
<w:r><w:t xml:space="preserve">quo. Anastasius afterwards built the strong fortress of</w:t></w:r>
</w:p>
<w:p>
<w:pPr><w:pStyle w:val="Normal"/></w:pPr>
<w:r><w:t xml:space="preserve">Daras to hold Nisibis in check.  The Balkan provinces were</w:t></w:r>
</w:p>
<w:p>
<w:pPr><w:pStyle w:val="Normal"/></w:pPr>
<w:r><w:t xml:space="preserve">devastated by invasions of Slavs and Bulgarians; to protect</w:t></w:r>
</w:p>
<w:p>
<w:pPr><w:pStyle w:val="Normal"/></w:pPr>
<w:r><w:t xml:space="preserve">Constantinople and its vicinity against them he built the</w:t></w:r>
</w:p>
<w:p>
<w:pPr><w:pStyle w:val="Normal"/></w:pPr>
<w:r><w:t xml:space="preserve">``Anastasian wall,&apos;&apos; extending from the Propontis to the</w:t></w:r>
</w:p>
<w:p>
<w:pPr><w:pStyle w:val="Normal"/></w:pPr>
<w:r><w:t xml:space="preserve">Euxine.  The emperor was a convinced Monophysite, but his</w:t></w:r>
</w:p>
<w:p>
<w:pPr><w:pStyle w:val="Normal"/></w:pPr>
<w:r><w:t xml:space="preserve">ecclesiastical policy was moderate; he endeavoured to maintain</w:t></w:r>
</w:p>
<w:p>
<w:pPr><w:pStyle w:val="Normal"/></w:pPr>
<w:r><w:t xml:space="preserve">the principle of the Henotikon of Zeno and the peace of the</w:t></w:r>
</w:p>
<w:p>
<w:pPr><w:pStyle w:val="Normal"/></w:pPr>
<w:r><w:t xml:space="preserve">church.  It was the uncompromising attitude of the orthodox</w:t></w:r>
</w:p>
<w:p>
<w:pPr><w:pStyle w:val="Normal"/></w:pPr>
<w:r><w:t xml:space="preserve">extremists, and the rebellious demonstrations of the Byzantine</w:t></w:r>
</w:p>
<w:p>
<w:pPr><w:pStyle w:val="Normal"/></w:pPr>
<w:r><w:t xml:space="preserve">populace, that drove him in 512 to abandon this policy and</w:t></w:r>
</w:p>
<w:p>
<w:pPr><w:pStyle w:val="Normal"/></w:pPr>
<w:r><w:t xml:space="preserve">adopt a monophysitic programme.  His consequent unpopularity</w:t></w:r>
</w:p>
<w:p>
<w:pPr><w:pStyle w:val="Normal"/></w:pPr>
<w:r><w:t xml:space="preserve">in the European provinces was utilized by an ambitious</w:t></w:r>
</w:p>
<w:p>
<w:pPr><w:pStyle w:val="Normal"/></w:pPr>
<w:r><w:t xml:space="preserve">man, named Vitalian, to organize a dangerous rebellion, in</w:t></w:r>
</w:p>
<w:p>
<w:pPr><w:pStyle w:val="Normal"/></w:pPr>
<w:r><w:t xml:space="preserve">which he was assisted by a horde of ``Huns&apos;&apos; (514-515); it</w:t></w:r>
</w:p>
<w:p>
<w:pPr><w:pStyle w:val="Normal"/></w:pPr>
<w:r><w:t xml:space="preserve">was finally suppressed by a naval victory won by the general</w:t></w:r>
</w:p>
<w:p>
<w:pPr><w:pStyle w:val="Normal"/></w:pPr>
<w:r><w:t xml:space="preserve">Marinus.  The financial policy of Anastasius was so prudent</w:t></w:r>
</w:p>
<w:p>
<w:pPr><w:pStyle w:val="Normal"/></w:pPr>
<w:r><w:t xml:space="preserve">and economical that it gained him a reputation for avarice</w:t></w:r>
</w:p>
<w:p>
<w:pPr><w:pStyle w:val="Normal"/></w:pPr>
<w:r><w:t xml:space="preserve">and contributed to his unpopularity.  He died in 518.</w:t></w:r>
</w:p>
<w:p>
<w:pPr><w:pStyle w:val="Normal"/></w:pPr>
<w:r><w:t xml:space="preserve">AUTHORITIES.--Sources: Joshua the Stylite, Chronicle,</w:t></w:r>
</w:p>
<w:p>
<w:pPr><w:pStyle w:val="Normal"/></w:pPr>
<w:r><w:t xml:space="preserve">ed.  Wright, with English translation, Cambridge, 1882;</w:t></w:r>
</w:p>
<w:p>
<w:pPr><w:pStyle w:val="Normal"/></w:pPr>
<w:r><w:t xml:space="preserve">Marcellinus, Chronicle; Zachariah of Mytilene, Chronicle</w:t></w:r>
</w:p>
<w:p>
<w:pPr><w:pStyle w:val="Normal"/></w:pPr>
<w:r><w:t xml:space="preserve">(Eng. trans. by Hamilton and Brooks, London, 1899); Evagrius,</w:t></w:r>
</w:p>
<w:p>
<w:pPr><w:pStyle w:val="Normal"/></w:pPr>
<w:r><w:t xml:space="preserve">Ecclesiastical History; John Lydus, De Magistratibus; John</w:t></w:r>
</w:p>
<w:p>
<w:pPr><w:pStyle w:val="Normal"/></w:pPr>
<w:r><w:t xml:space="preserve">Malalas, Chronicle. Modern works: Gibbon, Decline and Fall,</w:t></w:r>
</w:p>
<w:p>
<w:pPr><w:pStyle w:val="Normal"/></w:pPr>
<w:r><w:t xml:space="preserve">vol. iv. (ed. Bury); Bury, Later Roman Empire, vol. i.</w:t></w:r>
</w:p>
<w:p>
<w:pPr><w:pStyle w:val="Normal"/></w:pPr>
<w:r><w:t xml:space="preserve">ANASTASIUS II. (d. 721), Roman emperor in the East, whose</w:t></w:r>
</w:p>
<w:p>
<w:pPr><w:pStyle w:val="Normal"/></w:pPr>
<w:r><w:t xml:space="preserve">original name was Artemius, was raised to the throne of</w:t></w:r>
</w:p>
<w:p>
<w:pPr><w:pStyle w:val="Normal"/></w:pPr>
<w:r><w:t xml:space="preserve">Constantinople by the voice of the senate and people in A.D.</w:t></w:r>
</w:p>
<w:p>
<w:pPr><w:pStyle w:val="Normal"/></w:pPr>
<w:r><w:t xml:space="preserve">713, on the deposition of Philippicus, whom he had served in</w:t></w:r>
</w:p>
<w:p>
<w:pPr><w:pStyle w:val="Normal"/></w:pPr>
<w:r><w:t xml:space="preserve">the capacity of secretary.  The empire was threatened by the</w:t></w:r>
</w:p>
<w:p>
<w:pPr><w:pStyle w:val="Normal"/></w:pPr>
<w:r><w:t xml:space="preserve">Saracens both by land and sea, and Anastasius sent an army</w:t></w:r>
</w:p>
<w:p>
<w:pPr><w:pStyle w:val="Normal"/></w:pPr>
<w:r><w:t xml:space="preserve">under Leo the Isaurian, afterwards emperor, to defend Syria;</w:t></w:r>
</w:p>
<w:p>
<w:pPr><w:pStyle w:val="Normal"/></w:pPr>
<w:r><w:t xml:space="preserve">adopted wise and resolute measures for the defence of his</w:t></w:r>
</w:p>
<w:p>
<w:pPr><w:pStyle w:val="Normal"/></w:pPr>
<w:r><w:t xml:space="preserve">capital; attempted to reorganize the discipline of the army;</w:t></w:r>
</w:p>
<w:p>
<w:pPr><w:pStyle w:val="Normal"/></w:pPr>
<w:r><w:t xml:space="preserve">and equipped and despatched to Rhodes a formidable naval</w:t></w:r>
</w:p>
<w:p>
<w:pPr><w:pStyle w:val="Normal"/></w:pPr>
<w:r><w:t xml:space="preserve">force, with orders not only to resist the approach of the</w:t></w:r>
</w:p>
<w:p>
<w:pPr><w:pStyle w:val="Normal"/></w:pPr>
<w:r><w:t xml:space="preserve">enemy, but to destroy their naval stores.  The troops of the</w:t></w:r>
</w:p>
<w:p>
<w:pPr><w:pStyle w:val="Normal"/></w:pPr>
<w:r><w:t xml:space="preserve">Opsikian province, resenting the emperor&apos;s strict measures,</w:t></w:r>
</w:p>
<w:p>
<w:pPr><w:pStyle w:val="Normal"/></w:pPr>
<w:r><w:t xml:space="preserve">mutinied, slew the admiral, and proclaimed Theodosius, a</w:t></w:r>
</w:p>
<w:p>
<w:pPr><w:pStyle w:val="Normal"/></w:pPr>
<w:r><w:t xml:space="preserve">person of low extraction, emperor.  After a six months&apos; siege,</w:t></w:r>
</w:p>
<w:p>
<w:pPr><w:pStyle w:val="Normal"/></w:pPr>
<w:r><w:t xml:space="preserve">Constantinople was taken by Theodosius; and Anastasius, who</w:t></w:r>
</w:p>
<w:p>
<w:pPr><w:pStyle w:val="Normal"/></w:pPr>
<w:r><w:t xml:space="preserve">had fled to Nicaea, was compelled to submit to the new emperor,</w:t></w:r>
</w:p>
<w:p>
<w:pPr><w:pStyle w:val="Normal"/></w:pPr>
<w:r><w:t xml:space="preserve">and, retiring to Thessalonica, became a monk (716).  In 721</w:t></w:r>
</w:p>
<w:p>
<w:pPr><w:pStyle w:val="Normal"/></w:pPr>
<w:r><w:t xml:space="preserve">he headed a revolt against Leo, who had succeeded Theodosius,</w:t></w:r>
</w:p>
<w:p>
<w:pPr><w:pStyle w:val="Normal"/></w:pPr>
<w:r><w:t xml:space="preserve">and receiving a considerable amount of support, laid siege</w:t></w:r>
</w:p>
<w:p>
<w:pPr><w:pStyle w:val="Normal"/></w:pPr>
<w:r><w:t xml:space="preserve">to Constantinople; but the enterprise failed, and Anastasius,</w:t></w:r>
</w:p>
<w:p>
<w:pPr><w:pStyle w:val="Normal"/></w:pPr>
<w:r><w:t xml:space="preserve">falling into Leo&apos;s hands, was put to death by his orders.</w:t></w:r>
</w:p>
<w:p>
<w:pPr><w:pStyle w:val="Normal"/></w:pPr>
<w:r><w:t xml:space="preserve">AUTHORITIES.--Sources: Theophanes, Chronicle: Nicephorus</w:t></w:r>
</w:p>
<w:p>
<w:pPr><w:pStyle w:val="Normal"/></w:pPr>
<w:r><w:t xml:space="preserve">Patriarches, Breviarium. Modern works: Gibbon, Decline and</w:t></w:r>
</w:p>
<w:p>
<w:pPr><w:pStyle w:val="Normal"/></w:pPr>
<w:r><w:t xml:space="preserve">Fall, vol. v. (ed. Bury); Bury, Later Roman Empire, vol. ii.</w:t></w:r>
</w:p>
<w:p>
<w:pPr><w:pStyle w:val="Normal"/></w:pPr>
<w:r><w:t xml:space="preserve">ANASTOMOSIS (a Greek word in which the second o is long,</w:t></w:r>
</w:p>
<w:p>
<w:pPr><w:pStyle w:val="Normal"/></w:pPr>
<w:r><w:t xml:space="preserve">from anastomoun, to furnish with a mouth or outlet),</w:t></w:r>
</w:p>
<w:p>
<w:pPr><w:pStyle w:val="Normal"/></w:pPr>
<w:r><w:t xml:space="preserve">the intercommunication between two vessels; a word used in</w:t></w:r>
</w:p>
<w:p>
<w:pPr><w:pStyle w:val="Normal"/></w:pPr>
<w:r><w:t xml:space="preserve">vegetable and animal anatomy for the communication between</w:t></w:r>
</w:p>
<w:p>
<w:pPr><w:pStyle w:val="Normal"/></w:pPr>
<w:r><w:t xml:space="preserve">channels (arteries and veins) containing fluid, and also for</w:t></w:r>
</w:p>
<w:p>
<w:pPr><w:pStyle w:val="Normal"/></w:pPr>
<w:r><w:t xml:space="preserve">the crossing between the veins or branches of leaves, trees,</w:t></w:r>
</w:p>
<w:p>
<w:pPr><w:pStyle w:val="Normal"/></w:pPr>
<w:r><w:t xml:space="preserve">insect-wings or river-connexions, and by analogy in art-design.</w:t></w:r>
</w:p>
<w:p>
<w:pPr><w:pStyle w:val="Normal"/></w:pPr>
<w:r><w:t xml:space="preserve">ANATASE, one of the three mineral forms of titanium dioxide.</w:t></w:r>
</w:p>
<w:p>
<w:pPr><w:pStyle w:val="Normal"/></w:pPr>
<w:r><w:t xml:space="preserve">It is always found as small, isolated and sharply developed</w:t></w:r>
</w:p>
<w:p>
<w:pPr><w:pStyle w:val="Normal"/></w:pPr>
<w:r><w:t xml:space="preserve">crystals, and like rutile, a more commonly occurring modification</w:t></w:r>
</w:p>
<w:p>
<w:pPr><w:pStyle w:val="Normal"/></w:pPr>
<w:r><w:t xml:space="preserve">of titanium dioxide, it crystallizes in the tetragonal system;</w:t></w:r>
</w:p>
<w:p>
<w:pPr><w:pStyle w:val="Normal"/></w:pPr>
<w:r><w:t xml:space="preserve">but, although the degree of symmetry is the same for both,</w:t></w:r>
</w:p>
<w:p>
<w:pPr><w:pStyle w:val="Normal"/></w:pPr>
<w:r><w:t xml:space="preserve">there is no relation between the interfacial angles of the two</w:t></w:r>
</w:p>
<w:p>
<w:pPr><w:pStyle w:val="Normal"/></w:pPr>
<w:r><w:t xml:space="preserve">minerals, except, of course, in the prism-zone of 45 deg.  and</w:t></w:r>
</w:p>
<w:p>
<w:pPr><w:pStyle w:val="Normal"/></w:pPr>
<w:r><w:t xml:space="preserve">90 deg. .  The common pyramid {111} (fig. 1) of anatase,1 parallel</w:t></w:r>
</w:p>
<w:p>
<w:pPr><w:pStyle w:val="Normal"/></w:pPr>
<w:r><w:t xml:space="preserve">to the faces of which there are perfect cleavages, has an angle</w:t></w:r>
</w:p>
<w:p>
<w:pPr><w:pStyle w:val="Normal"/></w:pPr>
<w:r><w:t xml:space="preserve">over the polar edge of 82 deg.  9&apos;, the corresponding angle (111):</w:t></w:r>
</w:p>
<w:p>
<w:pPr><w:pStyle w:val="Normal"/></w:pPr>
<w:r><w:t xml:space="preserve">(111) of rutile being 56 deg.  52 1/2&apos;.  It was on account of this</w:t></w:r>
</w:p>
<w:p>
<w:pPr><w:pStyle w:val="Normal"/></w:pPr>
<w:r><w:t xml:space="preserve">steeper pyramid of anatase that the mineral was named, by R.</w:t></w:r>
</w:p>
<w:p>
<w:pPr><w:pStyle w:val="Normal"/></w:pPr>
<w:r><w:t xml:space="preserve">J. Hauy in 1801, from the Gr. anatasis, ``extension,&apos;&apos;</w:t></w:r>
</w:p>
<w:p>
<w:pPr><w:pStyle w:val="Normal"/></w:pPr>
<w:r><w:t xml:space="preserve">the vertical axis of the crystals being longer than in rutile.</w:t></w:r>
</w:p>
<w:p>
<w:pPr><w:pStyle w:val="Normal"/></w:pPr>
<w:r><w:t xml:space="preserve">There are also important differences between the physical</w:t></w:r>
</w:p>
<w:p>
<w:pPr><w:pStyle w:val="Normal"/></w:pPr>
<w:r><w:t xml:space="preserve">characters of anatase and rutile; the former is not quite</w:t></w:r>
</w:p>
<w:p>
<w:pPr><w:pStyle w:val="Normal"/></w:pPr>
<w:r><w:t xml:space="preserve">so hard (H= 5 1/2-6) or dense (sp. gr. = 3.9); it is optically</w:t></w:r>
</w:p>
<w:p>
<w:pPr><w:pStyle w:val="Normal"/></w:pPr>
<w:r><w:t xml:space="preserve">negative, rutile being positive; and its lustre is even more</w:t></w:r>
</w:p>
<w:p>
<w:pPr><w:pStyle w:val="Normal"/></w:pPr>
<w:r><w:t xml:space="preserve">strongly adamantine or metallic-adamantine than that of rutile.</w:t></w:r>
</w:p>
<w:p>
<w:pPr><w:pStyle w:val="Normal"/></w:pPr>
<w:r><w:t xml:space="preserve">Two types or habits of anatase crystals may be distinguished.</w:t></w:r>
</w:p>
<w:p>
<w:pPr><w:pStyle w:val="Normal"/></w:pPr>
<w:r><w:t xml:space="preserve">The commoner occurs as simple acute double pyramids {111}</w:t></w:r>
</w:p>
<w:p>
<w:pPr><w:pStyle w:val="Normal"/></w:pPr>
<w:r><w:t xml:space="preserve">(fig. 1) with an indigo-blue to black colour and steely</w:t></w:r>
</w:p>
<w:p>
<w:pPr><w:pStyle w:val="Normal"/></w:pPr>
<w:r><w:t xml:space="preserve">lustre.  Crystals of this kind are abundant at Le Bourg</w:t></w:r>
</w:p>
<w:p>
<w:pPr><w:pStyle w:val="Normal"/></w:pPr>
<w:r><w:t xml:space="preserve">d&apos;Oisans in Dauphine, where they are associated with</w:t></w:r>
</w:p>
<w:p>
<w:pPr><w:pStyle w:val="Normal"/></w:pPr>
<w:r><w:t xml:space="preserve">rock-crystal, felspar and axinite in crevices in granite and</w:t></w:r>
</w:p>
<w:p>
<w:pPr><w:pStyle w:val="Normal"/></w:pPr>
<w:r><w:t xml:space="preserve">mica-schist.  Similar crystals, but of microscopic size,</w:t></w:r>
</w:p>
<w:p>
<w:pPr><w:pStyle w:val="Normal"/></w:pPr>
<w:r><w:t xml:space="preserve">are widely distributed in sedimentary rocks, such as</w:t></w:r>
</w:p>
<w:p>
<w:pPr><w:pStyle w:val="Normal"/></w:pPr>
<w:r><w:t xml:space="preserve">sandstones, clays and slates, from which they may be separated</w:t></w:r>
</w:p>
<w:p>
<w:pPr><w:pStyle w:val="Normal"/></w:pPr>
<w:r><w:t xml:space="preserve">by washing away the lighter constituents of the powdered</w:t></w:r>
</w:p>
<w:p>
<w:pPr><w:pStyle w:val="Normal"/></w:pPr>
<w:r><w:t xml:space="preserve">rock.  Crystals of the second type have numerous pyramidal</w:t></w:r>
</w:p>
<w:p>
<w:pPr><w:pStyle w:val="Normal"/></w:pPr>
<w:r><w:t xml:space="preserve">faces developed, and they are usually flatter or sometimes</w:t></w:r>
</w:p>
<w:p>
<w:pPr><w:pStyle w:val="Normal"/></w:pPr>
<w:r><w:t xml:space="preserve">prismatic in habit (fig. 2); the colour is honey-yellow to</w:t></w:r>
</w:p>
<w:p>
<w:pPr><w:pStyle w:val="Normal"/></w:pPr>
<w:r><w:t xml:space="preserve">FIG. 1. FIG. 2.</w:t></w:r>
</w:p>
<w:p>
<w:pPr><w:pStyle w:val="Normal"/></w:pPr>
<w:r><w:t xml:space="preserve">brown.  Such crystals closely resemble xenotine in appearance</w:t></w:r>
</w:p>
<w:p>
<w:pPr><w:pStyle w:val="Normal"/></w:pPr>
<w:r><w:t xml:space="preserve">and, indeed, were for a long time supposed to belong to</w:t></w:r>
</w:p>
<w:p>
<w:pPr><w:pStyle w:val="Normal"/></w:pPr>
<w:r><w:t xml:space="preserve">this species, the special name wiserine being applied to</w:t></w:r>
</w:p>
<w:p>
<w:pPr><w:pStyle w:val="Normal"/></w:pPr>
<w:r><w:t xml:space="preserve">them.  They occur attached to the walls of crevices in</w:t></w:r>
</w:p>
<w:p>
<w:pPr><w:pStyle w:val="Normal"/></w:pPr>
<w:r><w:t xml:space="preserve">the gneisses of the Alps, the Binnenthal near Brieg in</w:t></w:r>
</w:p>
<w:p>
<w:pPr><w:pStyle w:val="Normal"/></w:pPr>
<w:r><w:t xml:space="preserve">canton Valais, Switzerland, being a well-known locality.</w:t></w:r>
</w:p>
<w:p>
<w:pPr><w:pStyle w:val="Normal"/></w:pPr>
<w:r><w:t xml:space="preserve">When strongly heated, anatase is converted into rutile, changing</w:t></w:r>
</w:p>
<w:p>
<w:pPr><w:pStyle w:val="Normal"/></w:pPr>
<w:r><w:t xml:space="preserve">in specific gravity to 4.1; naturally occurring pseudomorphs of</w:t></w:r>
</w:p>
<w:p>
<w:pPr><w:pStyle w:val="Normal"/></w:pPr>
<w:r><w:t xml:space="preserve">rutile after anatase are also known.  Crystals of anatase have</w:t></w:r>
</w:p>
<w:p>
<w:pPr><w:pStyle w:val="Normal"/></w:pPr>
<w:r><w:t xml:space="preserve">been artificially prepared by several methods; for instance,</w:t></w:r>
</w:p>
<w:p>
<w:pPr><w:pStyle w:val="Normal"/></w:pPr>
<w:r><w:t xml:space="preserve">by the interaction of steam and titanium chloride or fluoride.</w:t></w:r>
</w:p>
<w:p>
<w:pPr><w:pStyle w:val="Normal"/></w:pPr>
<w:r><w:t xml:space="preserve">Another name commonly in use for this mineral is octahedrite,</w:t></w:r>
</w:p>
<w:p>
<w:pPr><w:pStyle w:val="Normal"/></w:pPr>
<w:r><w:t xml:space="preserve">a name which, indeed, is earlier than anatase, and given</w:t></w:r>
</w:p>
<w:p>
<w:pPr><w:pStyle w:val="Normal"/></w:pPr>
<w:r><w:t xml:space="preserve">because of the common (acute) octahedral habit of the</w:t></w:r>
</w:p>
<w:p>
<w:pPr><w:pStyle w:val="Normal"/></w:pPr>
<w:r><w:t xml:space="preserve">crystals.  Other names, now obsolete, are oisanite and</w:t></w:r>
</w:p>
<w:p>
<w:pPr><w:pStyle w:val="Normal"/></w:pPr>
<w:r><w:t xml:space="preserve">dauphinite, from the well-known French locality. (L. J. S.)</w:t></w:r>
</w:p>
<w:p>
<w:pPr><w:pStyle w:val="Normal"/></w:pPr>
<w:r><w:t xml:space="preserve">1 For the notation see CRYSTALLOGRAPHY.</w:t></w:r>
</w:p>
<w:p>
<w:pPr><w:pStyle w:val="Normal"/></w:pPr>
<w:r><w:t xml:space="preserve">ANATHEMA (from Gr. anatithenai, to lift up), literally</w:t></w:r>
</w:p>
<w:p>
<w:pPr><w:pStyle w:val="Normal"/></w:pPr>
<w:r><w:t xml:space="preserve">an offering, a thing set aside.  The classical Greek form</w:t></w:r>
</w:p>
<w:p>
<w:pPr><w:pStyle w:val="Normal"/></w:pPr>
<w:r><w:t xml:space="preserve">anathema (Lat. anathema) was the technical term for</w:t></w:r>
</w:p>
<w:p>
<w:pPr><w:pStyle w:val="Normal"/></w:pPr>
<w:r><w:t xml:space="preserve">a gift (cf. donarium, oblatio) made to a god either in</w:t></w:r>
</w:p>
<w:p>
<w:pPr><w:pStyle w:val="Normal"/></w:pPr>
<w:r><w:t xml:space="preserve">gratitude or with a view to propitiation.  Thus at Athens</w:t></w:r>
</w:p>
<w:p>
<w:pPr><w:pStyle w:val="Normal"/></w:pPr>
<w:r><w:t xml:space="preserve">the Thesmothetae (perhaps all the archons) made a vow that,</w:t></w:r>
</w:p>
<w:p>
<w:pPr><w:pStyle w:val="Normal"/></w:pPr>
<w:r><w:t xml:space="preserve">should they break any law, they would dedicate a life-size</w:t></w:r>
</w:p>
<w:p>
<w:pPr><w:pStyle w:val="Normal"/></w:pPr>
<w:r><w:t xml:space="preserve">gilt statue in the temple at Delphi.  Similarly, of spoils</w:t></w:r>
</w:p>
<w:p>
<w:pPr><w:pStyle w:val="Normal"/></w:pPr>
<w:r><w:t xml:space="preserve">taken in war, a part, generally a tenth, was dedicated to the</w:t></w:r>
</w:p>
<w:p>
<w:pPr><w:pStyle w:val="Normal"/></w:pPr>
<w:r><w:t xml:space="preserve">god of the city (e.g. to Athena); to this class probably</w:t></w:r>
</w:p>
<w:p>
<w:pPr><w:pStyle w:val="Normal"/></w:pPr>
<w:r><w:t xml:space="preserve">belong the trophies erected by the victors on the field of</w:t></w:r>
</w:p>
<w:p>
<w:pPr><w:pStyle w:val="Normal"/></w:pPr>
<w:r><w:t xml:space="preserve">battle; sometimes a captured ship was placed upon a hill as</w:t></w:r>
</w:p>
<w:p>
<w:pPr><w:pStyle w:val="Normal"/></w:pPr>
<w:r><w:t xml:space="preserve">an offering to Poseidon (Neptune).  Persons who had recovered</w:t></w:r>
</w:p>
<w:p>
<w:pPr><w:pStyle w:val="Normal"/></w:pPr>
<w:r><w:t xml:space="preserve">from an illness offered anathemata in the temples of</w:t></w:r>
</w:p>
<w:p>
<w:pPr><w:pStyle w:val="Normal"/></w:pPr>
<w:r><w:t xml:space="preserve">Asclepius (Aesculapius); those who had escaped from shipwreck</w:t></w:r>
</w:p>
<w:p>
<w:pPr><w:pStyle w:val="Normal"/></w:pPr>
<w:r><w:t xml:space="preserve">offered their clothes, or, if these had been lost, a lock of</w:t></w:r>
</w:p>
<w:p>
<w:pPr><w:pStyle w:val="Normal"/></w:pPr>
<w:r><w:t xml:space="preserve">hair, to Neptune (Hor. Odes, i. 5. 13; Virg. Aeneid, xii.</w:t></w:r>
</w:p>
<w:p>
<w:pPr><w:pStyle w:val="Normal"/></w:pPr>
<w:r><w:t xml:space="preserve">768).  The latter offering was very commonly made by young</w:t></w:r>
</w:p>
<w:p>
<w:pPr><w:pStyle w:val="Normal"/></w:pPr>
<w:r><w:t xml:space="preserve">men and girls, especially young brides.  Works of art of</w:t></w:r>
</w:p>
<w:p>
<w:pPr><w:pStyle w:val="Normal"/></w:pPr>
<w:r><w:t xml:space="preserve">all kinds and the implements of a craftsman giving up his</w:t></w:r>
</w:p>
<w:p>
<w:pPr><w:pStyle w:val="Normal"/></w:pPr>
<w:r><w:t xml:space="preserve">work were likewise dedicated.  Such presents were far more</w:t></w:r>
</w:p>
<w:p>
<w:pPr><w:pStyle w:val="Normal"/></w:pPr>
<w:r><w:t xml:space="preserve">common, as also more valuable, among the Greeks than among the</w:t></w:r>
</w:p>
<w:p>
<w:pPr><w:pStyle w:val="Normal"/></w:pPr>
<w:r><w:t xml:space="preserve">Romans.  Similar practices were prevalent, to an extent hardly</w:t></w:r>
</w:p>
<w:p>
<w:pPr><w:pStyle w:val="Normal"/></w:pPr>
<w:r><w:t xml:space="preserve">realized, among the Christians up to the middle ages and even</w:t></w:r>
</w:p>
<w:p>
<w:pPr><w:pStyle w:val="Normal"/></w:pPr>
<w:r><w:t xml:space="preserve">later.  Just as the ancients hung their offerings on trees,</w:t></w:r>
</w:p>
<w:p>
<w:pPr><w:pStyle w:val="Normal"/></w:pPr>
<w:r><w:t xml:space="preserve">temple columns and the images of the gods, so offerings were</w:t></w:r>
</w:p>
<w:p>
<w:pPr><w:pStyle w:val="Normal"/></w:pPr>
<w:r><w:t xml:space="preserve">made to the Cross, to the Virgin Mary and on altars generally.</w:t></w:r>
</w:p>
<w:p>
<w:pPr><w:pStyle w:val="Normal"/></w:pPr>
<w:r><w:t xml:space="preserve">In the form anathema, the word is used in the Septuagint,</w:t></w:r>
</w:p>
<w:p>
<w:pPr><w:pStyle w:val="Normal"/></w:pPr>
<w:r><w:t xml:space="preserve">the New Testament and ecclesiastical writers as the equivalent</w:t></w:r>
</w:p>
<w:p>
<w:pPr><w:pStyle w:val="Normal"/></w:pPr>
<w:r><w:t xml:space="preserve">of the Hebrew herem, which is commonly translated</w:t></w:r>
</w:p>
<w:p>
<w:pPr><w:pStyle w:val="Normal"/></w:pPr>
<w:r><w:t xml:space="preserve">``accursed thing&apos;&apos; (A.V.) or ``devoted thing&apos;&apos; (R.V.; cf.</w:t></w:r>
</w:p>
<w:p>
<w:pPr><w:pStyle w:val="Normal"/></w:pPr>
<w:r><w:t xml:space="preserve">the Roman devotio.) In Hebrew the root h-r-m means</w:t></w:r>
</w:p>
<w:p>
<w:pPr><w:pStyle w:val="Normal"/></w:pPr>
<w:r><w:t xml:space="preserve">to ``set apart,&apos;&apos; ``devote to Yahweh,&apos;&apos; for destruction;</w:t></w:r>
</w:p>
<w:p>
<w:pPr><w:pStyle w:val="Normal"/></w:pPr>
<w:r><w:t xml:space="preserve">but in Arabic it means simply to separate or seclude (cf.</w:t></w:r>
</w:p>
<w:p>
<w:pPr><w:pStyle w:val="Normal"/></w:pPr>
<w:r><w:t xml:space="preserve">``harem&apos;&apos;).  The idea of destruction or perdition is thus</w:t></w:r>
</w:p>
<w:p>
<w:pPr><w:pStyle w:val="Normal"/></w:pPr>
<w:r><w:t xml:space="preserve">a secondary meaning of the Word, which gradually lost its</w:t></w:r>
</w:p>
<w:p>
<w:pPr><w:pStyle w:val="Normal"/></w:pPr>
<w:r><w:t xml:space="preserve">primary sense of consecration.  In the New Testament, though</w:t></w:r>
</w:p>
<w:p>
<w:pPr><w:pStyle w:val="Normal"/></w:pPr>
<w:r><w:t xml:space="preserve">it is used in the sense of ``offering&apos;&apos; (Luke xxi. 5), it</w:t></w:r>
</w:p>
<w:p>
<w:pPr><w:pStyle w:val="Normal"/></w:pPr>
<w:r><w:t xml:space="preserve">generally signifies ``separated&apos;&apos; from the church, i.e.</w:t></w:r>
</w:p>
<w:p>
<w:pPr><w:pStyle w:val="Normal"/></w:pPr>
<w:r><w:t xml:space="preserve">``accursed&apos;&apos; (cf. Gal. i. 8 ff.; 1 Cor. xvi. 22), and it became</w:t></w:r>
</w:p>
<w:p>
<w:pPr><w:pStyle w:val="Normal"/></w:pPr>
<w:r><w:t xml:space="preserve">the regular formula of excommunication from the time of the</w:t></w:r>
</w:p>
<w:p>
<w:pPr><w:pStyle w:val="Normal"/></w:pPr>
<w:r><w:t xml:space="preserve">council of Chalcedon in 451, especially against heretics,</w:t></w:r>
</w:p>
<w:p>
<w:pPr><w:pStyle w:val="Normal"/></w:pPr>
<w:r><w:t xml:space="preserve">e.g. in the canons of the council of Trent and those of</w:t></w:r>
</w:p>
<w:p>
<w:pPr><w:pStyle w:val="Normal"/></w:pPr>
<w:r><w:t xml:space="preserve">the Vatican council of 1870.  See EXCOMMUNICATION; PENANCE.</w:t></w:r>
</w:p>
<w:p>
<w:pPr><w:pStyle w:val="Normal"/></w:pPr>
<w:r><w:t xml:space="preserve">The expression maranatha (``the Lord cometh&apos;&apos;), which</w:t></w:r>
</w:p>
<w:p>
<w:pPr><w:pStyle w:val="Normal"/></w:pPr>
<w:r><w:t xml:space="preserve">follows anathema in 1 Cor. xvi. 22, is often erroneously</w:t></w:r>
</w:p>
<w:p>
<w:pPr><w:pStyle w:val="Normal"/></w:pPr>
<w:r><w:t xml:space="preserve">quoted as though it were an amplification of the curse.</w:t></w:r>
</w:p>
<w:p>
<w:pPr><w:pStyle w:val="Normal"/></w:pPr>
<w:r><w:t xml:space="preserve">ANATOLI, JACOB (c. 1194-1256), Hebrew translator from the</w:t></w:r>
</w:p>
<w:p>
<w:pPr><w:pStyle w:val="Normal"/></w:pPr>
<w:r><w:t xml:space="preserve">Arabic.  He was invited to Naples by the enlightened ruler Frederick</w:t></w:r>
</w:p>
<w:p>
<w:pPr><w:pStyle w:val="Normal"/></w:pPr>
<w:r><w:t xml:space="preserve">II., and under this royal patronage and in association with Michael</w:t></w:r>
</w:p>
<w:p>
<w:pPr><w:pStyle w:val="Normal"/></w:pPr>
<w:r><w:t xml:space="preserve">Scot, made Arabic learning accessible to Western readers.  Among</w:t></w:r>
</w:p>
<w:p>
<w:pPr><w:pStyle w:val="Normal"/></w:pPr>
<w:r><w:t xml:space="preserve">his most important services were translations of works by Averroes.</w:t></w:r>
</w:p>
<w:p>
<w:pPr><w:pStyle w:val="Normal"/></w:pPr>
<w:r><w:t xml:space="preserve">ANATOLIA (Gr. anatole, sunrise, i.e. eastern land), in</w:t></w:r>
</w:p>
<w:p>
<w:pPr><w:pStyle w:val="Normal"/></w:pPr>
<w:r><w:t xml:space="preserve">ancient geography, the country east of the Aegean, i.e. Asia</w:t></w:r>
</w:p>
<w:p>
<w:pPr><w:pStyle w:val="Normal"/></w:pPr>
<w:r><w:t xml:space="preserve">Minor.  It was the name of one of the three themes (provinces)</w:t></w:r>
</w:p>
<w:p>
<w:pPr><w:pStyle w:val="Normal"/></w:pPr>
<w:r><w:t xml:space="preserve">into which Phrygia was divided in the military reorganization</w:t></w:r>
</w:p>
<w:p>
<w:pPr><w:pStyle w:val="Normal"/></w:pPr>
<w:r><w:t xml:space="preserve">of the East Roman empire.  It is now used (by the Turks in</w:t></w:r>
</w:p>
<w:p>
<w:pPr><w:pStyle w:val="Normal"/></w:pPr>
<w:r><w:t xml:space="preserve">the form (Anadoli) to denote a division of the Turkish</w:t></w:r>
</w:p>
<w:p>
<w:pPr><w:pStyle w:val="Normal"/></w:pPr>
<w:r><w:t xml:space="preserve">empire, practically coincident with Asia Minor (q.v..)</w:t></w:r>
</w:p>
<w:p>
<w:pPr><w:pStyle w:val="Normal"/></w:pPr>
<w:r><w:t xml:space="preserve">ANATOMY (Gr. anatome, from ana-temnein, to cut up),</w:t></w:r>
</w:p>
<w:p>
<w:pPr><w:pStyle w:val="Normal"/></w:pPr>
<w:r><w:t xml:space="preserve">literally dissection or cutting asunder, a term always used</w:t></w:r>
</w:p>
<w:p>
<w:pPr><w:pStyle w:val="Normal"/></w:pPr>
<w:r><w:t xml:space="preserve">to denote the study of the structure of living things; thus</w:t></w:r>
</w:p>
<w:p>
<w:pPr><w:pStyle w:val="Normal"/></w:pPr>
<w:r><w:t xml:space="preserve">there is animal anatomy (zootomy) and vegetable anatomy</w:t></w:r>
</w:p>
<w:p>
<w:pPr><w:pStyle w:val="Normal"/></w:pPr>
<w:r><w:t xml:space="preserve">(phytotomy).  Animal anatomy may include the study of the</w:t></w:r>
</w:p>
<w:p>
<w:pPr><w:pStyle w:val="Normal"/></w:pPr>
<w:r><w:t xml:space="preserve">structure of different animals, when it is called comparative</w:t></w:r>
</w:p>
<w:p>
<w:pPr><w:pStyle w:val="Normal"/></w:pPr>
<w:r><w:t xml:space="preserve">anatomy or animal morphology, or it may be limited to</w:t></w:r>
</w:p>
<w:p>
<w:pPr><w:pStyle w:val="Normal"/></w:pPr>
<w:r><w:t xml:space="preserve">one animal only, in which case it is spoken of as special</w:t></w:r>
</w:p>
<w:p>
<w:pPr><w:pStyle w:val="Normal"/></w:pPr>
<w:r><w:t xml:space="preserve">anatomy. From a utilitarian point of view the study of Man</w:t></w:r>
</w:p>
<w:p>
<w:pPr><w:pStyle w:val="Normal"/></w:pPr>
<w:r><w:t xml:space="preserve">is the most important division of special anatomy, and this</w:t></w:r>
</w:p>
<w:p>
<w:pPr><w:pStyle w:val="Normal"/></w:pPr>
<w:r><w:t xml:space="preserve">human anatomy may be approached from different points of</w:t></w:r>
</w:p>
<w:p>
<w:pPr><w:pStyle w:val="Normal"/></w:pPr>
<w:r><w:t xml:space="preserve">view.  From that of the medical man it consists of a knowledge</w:t></w:r>
</w:p>
<w:p>
<w:pPr><w:pStyle w:val="Normal"/></w:pPr>
<w:r><w:t xml:space="preserve">of the exact form, position, size and relationship of the various</w:t></w:r>
</w:p>
<w:p>
<w:pPr><w:pStyle w:val="Normal"/></w:pPr>
<w:r><w:t xml:space="preserve">structures of the human body in health, and to this study the</w:t></w:r>
</w:p>
<w:p>
<w:pPr><w:pStyle w:val="Normal"/></w:pPr>
<w:r><w:t xml:space="preserve">term descriptive or topographical human anatomy is given,</w:t></w:r>
</w:p>
<w:p>
<w:pPr><w:pStyle w:val="Normal"/></w:pPr>
<w:r><w:t xml:space="preserve">though it is often, less happily, spoken of as Anthropotomy.</w:t></w:r>
</w:p>
<w:p>
<w:pPr><w:pStyle w:val="Normal"/></w:pPr>
<w:r><w:t xml:space="preserve">An accurate knowledge of all the details of the human body takes</w:t></w:r>
</w:p>
<w:p>
<w:pPr><w:pStyle w:val="Normal"/></w:pPr>
<w:r><w:t xml:space="preserve">years of patient observation to gain and is possessed by only a</w:t></w:r>
</w:p>
<w:p>
<w:pPr><w:pStyle w:val="Normal"/></w:pPr>
<w:r><w:t xml:space="preserve">few.  So intricate is man&apos;s body that only a small number of</w:t></w:r>
</w:p>
<w:p>
<w:pPr><w:pStyle w:val="Normal"/></w:pPr>
<w:r><w:t xml:space="preserve">professional human anatomists are complete masters of all its</w:t></w:r>
</w:p>
<w:p>
<w:pPr><w:pStyle w:val="Normal"/></w:pPr>
<w:r><w:t xml:space="preserve">details, and most of them specialize on certain parts, such</w:t></w:r>
</w:p>
<w:p>
<w:pPr><w:pStyle w:val="Normal"/></w:pPr>
<w:r><w:t xml:space="preserve">as the brain, viscera, &amp;c.; contenting themselves with a</w:t></w:r>
</w:p>
<w:p>
<w:pPr><w:pStyle w:val="Normal"/></w:pPr>
<w:r><w:t xml:space="preserve">good working knowledge of the rest.  Topographical anatomy</w:t></w:r>
</w:p>
<w:p>
<w:pPr><w:pStyle w:val="Normal"/></w:pPr>
<w:r><w:t xml:space="preserve">must be learned by each person for himself by the repeated</w:t></w:r>
</w:p>
<w:p>
<w:pPr><w:pStyle w:val="Normal"/></w:pPr>
<w:r><w:t xml:space="preserve">dissection and inspection of the dead human body.  It is no</w:t></w:r>
</w:p>
<w:p>
<w:pPr><w:pStyle w:val="Normal"/></w:pPr>
<w:r><w:t xml:space="preserve">more a science than a pilot&apos;s knowledge is, and, like that</w:t></w:r>
</w:p>
<w:p>
<w:pPr><w:pStyle w:val="Normal"/></w:pPr>
<w:r><w:t xml:space="preserve">knowledge, must be exact and available in moments of emergency.</w:t></w:r>
</w:p>
<w:p>
<w:pPr><w:pStyle w:val="Normal"/></w:pPr>
<w:r><w:t xml:space="preserve">From the morphological point of view, however, human anatomy</w:t></w:r>
</w:p>
<w:p>
<w:pPr><w:pStyle w:val="Normal"/></w:pPr>
<w:r><w:t xml:space="preserve">is a scientific and fascinating study, having for its object</w:t></w:r>
</w:p>
<w:p>
<w:pPr><w:pStyle w:val="Normal"/></w:pPr>
<w:r><w:t xml:space="preserve">the discovery of the causes which have brought about the</w:t></w:r>
</w:p>
<w:p>
<w:pPr><w:pStyle w:val="Normal"/></w:pPr>
<w:r><w:t xml:space="preserve">existing structure of Man, and needing a knowledge of the allied</w:t></w:r>
</w:p>
<w:p>
<w:pPr><w:pStyle w:val="Normal"/></w:pPr>
<w:r><w:t xml:space="preserve">sciences of embryology or ontogeny, phylogeny and histology.</w:t></w:r>
</w:p>
<w:p>
<w:pPr><w:pStyle w:val="Normal"/></w:pPr>
<w:r><w:t xml:space="preserve">Pathological or morbid anatomy is the study of diseased</w:t></w:r>
</w:p>
<w:p>
<w:pPr><w:pStyle w:val="Normal"/></w:pPr>
<w:r><w:t xml:space="preserve">organs, while sections of normal anatomy, applied to various</w:t></w:r>
</w:p>
<w:p>
<w:pPr><w:pStyle w:val="Normal"/></w:pPr>
<w:r><w:t xml:space="preserve">purposes, receive special names such as medical, surgical,</w:t></w:r>
</w:p>
<w:p>
<w:pPr><w:pStyle w:val="Normal"/></w:pPr>
<w:r><w:t xml:space="preserve">gynaecological, artistic and superficial anatomy.  The</w:t></w:r>
</w:p>
<w:p>
<w:pPr><w:pStyle w:val="Normal"/></w:pPr>
<w:r><w:t xml:space="preserve">comparison of the anatomy of different races of mankind is</w:t></w:r>
</w:p>
<w:p>
<w:pPr><w:pStyle w:val="Heading1"/></w:pPr>
<w:r><w:t>part of the science of physical anthropology or anthropological</w:t></w:r>
</w:p>
<w:p>
<w:pPr><w:pStyle w:val="Normal"/></w:pPr>
<w:r><w:t xml:space="preserve">anatomy.  In the present edition of this work the subject of</w:t></w:r>
</w:p>
<w:p>
<w:pPr><w:pStyle w:val="Normal"/></w:pPr>
<w:r><w:t xml:space="preserve">anatomy is treated systematically rather than topographically.</w:t></w:r>
</w:p>
<w:p>
<w:pPr><w:pStyle w:val="Normal"/></w:pPr>
<w:r><w:t xml:space="preserve">Each anatomical article contains first a description of the</w:t></w:r>
</w:p>
<w:p>
<w:pPr><w:pStyle w:val="Normal"/></w:pPr>
<w:r><w:t xml:space="preserve">structures of an organ or system (such as nerves, arteries,</w:t></w:r>
</w:p>
<w:p>
<w:pPr><w:pStyle w:val="Normal"/></w:pPr>
<w:r><w:t xml:space="preserve">heart, &amp;c.), as it is found in Man; and this is followed by</w:t></w:r>
</w:p>
<w:p>
<w:pPr><w:pStyle w:val="Normal"/></w:pPr>
<w:r><w:t xml:space="preserve">an account of the development or embryology and comparative</w:t></w:r>
</w:p>
<w:p>
<w:pPr><w:pStyle w:val="Normal"/></w:pPr>
<w:r><w:t xml:space="preserve">anatomy or morphology, as far as vertebrate animals are</w:t></w:r>
</w:p>
<w:p>
<w:pPr><w:pStyle w:val="Normal"/></w:pPr>
<w:r><w:t xml:space="preserve">concerned; but only those parts of the lower animals which</w:t></w:r>
</w:p>
<w:p>
<w:pPr><w:pStyle w:val="Normal"/></w:pPr>
<w:r><w:t xml:space="preserve">are of interest in explaining Man&apos;s structure are here dealt</w:t></w:r>
</w:p>
<w:p>
<w:pPr><w:pStyle w:val="Normal"/></w:pPr>
<w:r><w:t xml:space="preserve">with.  The articles have a twofold purpose; first, to give</w:t></w:r>
</w:p>
<w:p>
<w:pPr><w:pStyle w:val="Normal"/></w:pPr>
<w:r><w:t xml:space="preserve">enough details of man&apos;s structure to make the articles on</w:t></w:r>
</w:p>
<w:p>
<w:pPr><w:pStyle w:val="Normal"/></w:pPr>
<w:r><w:t xml:space="preserve">physiology, surgery, medicine and pathology intelligible;</w:t></w:r>
</w:p>
<w:p>
<w:pPr><w:pStyle w:val="Normal"/></w:pPr>
<w:r><w:t xml:space="preserve">and, secondly, to give the non-expert inquirer, or the</w:t></w:r>
</w:p>
<w:p>
<w:pPr><w:pStyle w:val="Normal"/></w:pPr>
<w:r><w:t xml:space="preserve">worker in some other branch of science, the chief theories on</w:t></w:r>
</w:p>
<w:p>
<w:pPr><w:pStyle w:val="Normal"/></w:pPr>
<w:r><w:t xml:space="preserve">which the modern scientific groundwork of anatomy is built.</w:t></w:r>
</w:p>
<w:p>
<w:pPr><w:pStyle w:val="Normal"/></w:pPr>
<w:r><w:t xml:space="preserve">The following separate anatomical articles</w:t></w:r>
</w:p>
<w:p>
<w:pPr><w:pStyle w:val="Normal"/></w:pPr>
<w:r><w:t xml:space="preserve">will be found under their own headings:--</w:t></w:r>
</w:p>
<w:p>
<w:pPr><w:pStyle w:val="Normal"/></w:pPr>
<w:r><w:t xml:space="preserve">Alimentary canal.                   Nervous system.</w:t></w:r>
</w:p>
<w:p>
<w:pPr><w:pStyle w:val="Normal"/></w:pPr>
<w:r><w:t xml:space="preserve">Arteries.                           Nerve.</w:t></w:r>
</w:p>
<w:p>
<w:pPr><w:pStyle w:val="Normal"/></w:pPr>
<w:r><w:t xml:space="preserve">Brain.                              Olfactory system.</w:t></w:r>
</w:p>
<w:p>
<w:pPr><w:pStyle w:val="Normal"/></w:pPr>
<w:r><w:t xml:space="preserve">Coelom and serous membranes.        Pharynx.</w:t></w:r>
</w:p>
<w:p>
<w:pPr><w:pStyle w:val="Normal"/></w:pPr>
<w:r><w:t xml:space="preserve">Connective tissues.                 Pancreas.</w:t></w:r>
</w:p>
<w:p>
<w:pPr><w:pStyle w:val="Normal"/></w:pPr>
<w:r><w:t xml:space="preserve">Diaphragm.                          Placenta.</w:t></w:r>
</w:p>
<w:p>
<w:pPr><w:pStyle w:val="Normal"/></w:pPr>
<w:r><w:t xml:space="preserve">Ductless glands.                    Reproductive system.</w:t></w:r>
</w:p>
<w:p>
<w:pPr><w:pStyle w:val="Normal"/></w:pPr>
<w:r><w:t xml:space="preserve">Ear.                                Respiratory system.</w:t></w:r>
</w:p>
<w:p>
<w:pPr><w:pStyle w:val="Normal"/></w:pPr>
<w:r><w:t xml:space="preserve">Epithelial, endothelial and         Scalp.</w:t></w:r>
</w:p>
<w:p>
<w:pPr><w:pStyle w:val="Normal"/></w:pPr>
<w:r><w:t xml:space="preserve">glandular tissues.               Skeleton.</w:t></w:r>
</w:p>
<w:p>
<w:pPr><w:pStyle w:val="Normal"/></w:pPr>
<w:r><w:t xml:space="preserve">Eye.                                Skin and Exoskeleton.</w:t></w:r>
</w:p>
<w:p>
<w:pPr><w:pStyle w:val="Normal"/></w:pPr>
<w:r><w:t xml:space="preserve">Heart.                              Skull.</w:t></w:r>
</w:p>
<w:p>
<w:pPr><w:pStyle w:val="Normal"/></w:pPr>
<w:r><w:t xml:space="preserve">Joints.                             Spinal cord.</w:t></w:r>
</w:p>
<w:p>
<w:pPr><w:pStyle w:val="Normal"/></w:pPr>
<w:r><w:t xml:space="preserve">Liver.                              Teeth.</w:t></w:r>
</w:p>
<w:p>
<w:pPr><w:pStyle w:val="Normal"/></w:pPr>
<w:r><w:t xml:space="preserve">Lymphatic system.                   Tongue.</w:t></w:r>
</w:p>
<w:p>
<w:pPr><w:pStyle w:val="Normal"/></w:pPr>
<w:r><w:t xml:space="preserve">Mammary gland.                      Urinary system.</w:t></w:r>
</w:p>
<w:p>
<w:pPr><w:pStyle w:val="Normal"/></w:pPr>
<w:r><w:t xml:space="preserve">Mouth and salivary glands.          Vascular system.</w:t></w:r>
</w:p>
<w:p>
<w:pPr><w:pStyle w:val="Normal"/></w:pPr>
<w:r><w:t xml:space="preserve">Muscular system.                    Veins.</w:t></w:r>
</w:p>
<w:p>
<w:pPr><w:pStyle w:val="Normal"/></w:pPr>
<w:r><w:t xml:space="preserve">HISTORY OF ANATOMY1 In tracing the history of the origin</w:t></w:r>
</w:p>
<w:p>
<w:pPr><w:pStyle w:val="Normal"/></w:pPr>
<w:r><w:t xml:space="preserve">of anatomy, it may be justly said that more learning than</w:t></w:r>
</w:p>
<w:p>
<w:pPr><w:pStyle w:val="Normal"/></w:pPr>
<w:r><w:t xml:space="preserve">judgment has been displayed.  Some writers claim for it the</w:t></w:r>
</w:p>
<w:p>
<w:pPr><w:pStyle w:val="Normal"/></w:pPr>
<w:r><w:t xml:space="preserve">highest antiquity, and pretend to find its first rudiments</w:t></w:r>
</w:p>
<w:p>
<w:pPr><w:pStyle w:val="Normal"/></w:pPr>
<w:r><w:t xml:space="preserve">alternately in the animal sacrifices of the shepherd kings,</w:t></w:r>
</w:p>
<w:p>
<w:pPr><w:pStyle w:val="Normal"/></w:pPr>
<w:r><w:t xml:space="preserve">the Jews and other ancient nations, and in the art of embalming</w:t></w:r>
</w:p>
<w:p>
<w:pPr><w:pStyle w:val="Normal"/></w:pPr>
<w:r><w:t xml:space="preserve">as practised by the Egyptian priests.2 Even the descriptions</w:t></w:r>
</w:p>
<w:p>
<w:pPr><w:pStyle w:val="Normal"/></w:pPr>
<w:r><w:t xml:space="preserve">of wounds in the Iliad have been supposed adequate to</w:t></w:r>
</w:p>
<w:p>
<w:pPr><w:pStyle w:val="Normal"/></w:pPr>
<w:r><w:t xml:space="preserve">prove that in the time of Homer mankind had distinct notions</w:t></w:r>
</w:p>
<w:p>
<w:pPr><w:pStyle w:val="Normal"/></w:pPr>
<w:r><w:t xml:space="preserve">of the structure of the human body.  Of the first it may</w:t></w:r>
</w:p>
<w:p>
<w:pPr><w:pStyle w:val="Normal"/></w:pPr>
<w:r><w:t xml:space="preserve">be said that the rude information obtained by the slaughter</w:t></w:r>
</w:p>
<w:p>
<w:pPr><w:pStyle w:val="Normal"/></w:pPr>
<w:r><w:t xml:space="preserve">of animals for sacrifice does not imply profound anatomical</w:t></w:r>
</w:p>
<w:p>
<w:pPr><w:pStyle w:val="Normal"/></w:pPr>
<w:r><w:t xml:space="preserve">knowledge; and those who adduce the second as evidence are</w:t></w:r>
</w:p>
<w:p>
<w:pPr><w:pStyle w:val="Normal"/></w:pPr>
<w:r><w:t xml:space="preserve">deceived by the language of the poet of the Trojan War, which,</w:t></w:r>
</w:p>
<w:p>
<w:pPr><w:pStyle w:val="Normal"/></w:pPr>
<w:r><w:t xml:space="preserve">distinguishing certain parts by their ordinary Greek epithets,</w:t></w:r>
</w:p>
<w:p>
<w:pPr><w:pStyle w:val="Normal"/></w:pPr>
<w:r><w:t xml:space="preserve">as afterwards used by Hippocrates, Galen and all anatomists,</w:t></w:r>
</w:p>
<w:p>
<w:pPr><w:pStyle w:val="Normal"/></w:pPr>
<w:r><w:t xml:space="preserve">has been rather too easily supposed to prove that the poet</w:t></w:r>
</w:p>
<w:p>
<w:pPr><w:pStyle w:val="Normal"/></w:pPr>
<w:r><w:t xml:space="preserve">had studied systematically the structure of the human frame.</w:t></w:r>
</w:p>
<w:p>
<w:pPr><w:pStyle w:val="Normal"/></w:pPr>
<w:r><w:t xml:space="preserve">Hippocrates.</w:t></w:r>
</w:p>
<w:p>
<w:pPr><w:pStyle w:val="Normal"/></w:pPr>
<w:r><w:t xml:space="preserve">With not much greater justice has the cultivation of anatomical</w:t></w:r>
</w:p>
<w:p>
<w:pPr><w:pStyle w:val="Normal"/></w:pPr>
<w:r><w:t xml:space="preserve">knowledge been ascribed to Hippocrates, who, because he is</w:t></w:r>
</w:p>
<w:p>
<w:pPr><w:pStyle w:val="Normal"/></w:pPr>
<w:r><w:t xml:space="preserve">universally allowed to be the father of medicine, has also</w:t></w:r>
</w:p>
<w:p>
<w:pPr><w:pStyle w:val="Normal"/></w:pPr>
<w:r><w:t xml:space="preserve">been thought to be the creator of the science of anatomy.</w:t></w:r>
</w:p>
<w:p>
<w:pPr><w:pStyle w:val="Normal"/></w:pPr>
<w:r><w:t xml:space="preserve">Of the seven individuals of the family of the Heracleidae</w:t></w:r>
</w:p>
<w:p>
<w:pPr><w:pStyle w:val="Normal"/></w:pPr>
<w:r><w:t xml:space="preserve">who bore this celebrated name, the second, who was the</w:t></w:r>
</w:p>
<w:p>
<w:pPr><w:pStyle w:val="Normal"/></w:pPr>
<w:r><w:t xml:space="preserve">son of Heraclides and Phenarita, and grandson of the first</w:t></w:r>
</w:p>
<w:p>
<w:pPr><w:pStyle w:val="Normal"/></w:pPr>
<w:r><w:t xml:space="preserve">Hippocrates, was indeed distinguished as a physician of great</w:t></w:r>
</w:p>
<w:p>
<w:pPr><w:pStyle w:val="Normal"/></w:pPr>
<w:r><w:t xml:space="preserve">observation and experience, and the first who appreciated</w:t></w:r>
</w:p>
<w:p>
<w:pPr><w:pStyle w:val="Normal"/></w:pPr>
<w:r><w:t xml:space="preserve">the value of studying accurately the phenomena, effects</w:t></w:r>
</w:p>
<w:p>
<w:pPr><w:pStyle w:val="Normal"/></w:pPr>
<w:r><w:t xml:space="preserve">and terminations of disease.  It does not appear, however,</w:t></w:r>
</w:p>
<w:p>
<w:pPr><w:pStyle w:val="Normal"/></w:pPr>
<w:r><w:t xml:space="preserve">notwithstanding the vague and general panegyrics of J. Riolan,</w:t></w:r>
</w:p>
<w:p>
<w:pPr><w:pStyle w:val="Normal"/></w:pPr>
<w:r><w:t xml:space="preserve">Bartholin, D. le Clerc, and A. Portal, that the anatomical</w:t></w:r>
</w:p>
<w:p>
<w:pPr><w:pStyle w:val="Normal"/></w:pPr>
<w:r><w:t xml:space="preserve">knowledge of this illustrious person was either accurate or</w:t></w:r>
</w:p>
<w:p>
<w:pPr><w:pStyle w:val="Normal"/></w:pPr>
<w:r><w:t xml:space="preserve">profound.  Of the works ascribed to Hippocrates, five only are</w:t></w:r>
</w:p>
<w:p>
<w:pPr><w:pStyle w:val="Normal"/></w:pPr>
<w:r><w:t xml:space="preserve">genuine.  Most of them were written either by subsequent</w:t></w:r>
</w:p>
<w:p>
<w:pPr><w:pStyle w:val="Normal"/></w:pPr>
<w:r><w:t xml:space="preserve">authors of the same name, or by one or other of the numerous</w:t></w:r>
</w:p>
<w:p>
<w:pPr><w:pStyle w:val="Normal"/></w:pPr>
<w:r><w:t xml:space="preserve">impostors who took advantage of the zealous munificence of</w:t></w:r>
</w:p>
<w:p>
<w:pPr><w:pStyle w:val="Normal"/></w:pPr>
<w:r><w:t xml:space="preserve">the Ptolemies, by fabricating works under that illustrious</w:t></w:r>
</w:p>
<w:p>
<w:pPr><w:pStyle w:val="Normal"/></w:pPr>
<w:r><w:t xml:space="preserve">name.  Of the few which are genuine, there is none expressly</w:t></w:r>
</w:p>
<w:p>
<w:pPr><w:pStyle w:val="Normal"/></w:pPr>
<w:r><w:t xml:space="preserve">devoted to anatomy; and of his knowledge on this subject</w:t></w:r>
</w:p>
<w:p>
<w:pPr><w:pStyle w:val="Normal"/></w:pPr>
<w:r><w:t xml:space="preserve">the only proofs are to be found in the exposition of</w:t></w:r>
</w:p>
<w:p>
<w:pPr><w:pStyle w:val="Normal"/></w:pPr>
<w:r><w:t xml:space="preserve">his physiological opinions, and his medical or surgical</w:t></w:r>
</w:p>
<w:p>
<w:pPr><w:pStyle w:val="Normal"/></w:pPr>
<w:r><w:t xml:space="preserve">instructions.  From these it appears that Hippocrates had some</w:t></w:r>
</w:p>
<w:p>
<w:pPr><w:pStyle w:val="Normal"/></w:pPr>
<w:r><w:t xml:space="preserve">accurate notions on osteology, but that of the structure of the</w:t></w:r>
</w:p>
<w:p>
<w:pPr><w:pStyle w:val="Normal"/></w:pPr>
<w:r><w:t xml:space="preserve">human body in general his ideas were at once superficial and</w:t></w:r>
</w:p>
<w:p>
<w:pPr><w:pStyle w:val="Normal"/></w:pPr>
<w:r><w:t xml:space="preserve">erroneous.  In his book on injuries of the head, and in that on</w:t></w:r>
</w:p>
<w:p>
<w:pPr><w:pStyle w:val="Normal"/></w:pPr>
<w:r><w:t xml:space="preserve">fractures, he shows that he knew the sutures of the cranium</w:t></w:r>
</w:p>
<w:p>
<w:pPr><w:pStyle w:val="Normal"/></w:pPr>
<w:r><w:t xml:space="preserve">and the relative situation of the bones, and that he had some</w:t></w:r>
</w:p>
<w:p>
<w:pPr><w:pStyle w:val="Normal"/></w:pPr>
<w:r><w:t xml:space="preserve">notion of the shape of the bones in general and of their mutual</w:t></w:r>
</w:p>
<w:p>
<w:pPr><w:pStyle w:val="Normal"/></w:pPr>
<w:r><w:t xml:space="preserve">connexions.  Of the muscles, of the soft parts in general, and</w:t></w:r>
</w:p>
<w:p>
<w:pPr><w:pStyle w:val="Normal"/></w:pPr>
<w:r><w:t xml:space="preserve">of the internal organs, his ideas are confused, indistinct and</w:t></w:r>
</w:p>
<w:p>
<w:pPr><w:pStyle w:val="Normal"/></w:pPr>
<w:r><w:t xml:space="preserve">erroneous.  The term fleps he seems, in imitation of the</w:t></w:r>
</w:p>
<w:p>
<w:pPr><w:pStyle w:val="Normal"/></w:pPr>
<w:r><w:t xml:space="preserve">colloquial Greek, to have used generally to signify a blood-vessel,</w:t></w:r>
</w:p>
<w:p>
<w:pPr><w:pStyle w:val="Normal"/></w:pPr>
<w:r><w:t xml:space="preserve">without being aware of the distinction of vein and artery;</w:t></w:r>
</w:p>
<w:p>
<w:pPr><w:pStyle w:val="Normal"/></w:pPr>
<w:r><w:t xml:space="preserve">and the term arteria, or air-holder, is restricted to the</w:t></w:r>
</w:p>
<w:p>
<w:pPr><w:pStyle w:val="Normal"/></w:pPr>
<w:r><w:t xml:space="preserve">windpipe.  He appears to have been unaware of the existence</w:t></w:r>
</w:p>
<w:p>
<w:pPr><w:pStyle w:val="Normal"/></w:pPr>
<w:r><w:t xml:space="preserve">of the nervous chords; and the term nerve is used by him,</w:t></w:r>
</w:p>
<w:p>
<w:pPr><w:pStyle w:val="Normal"/></w:pPr>
<w:r><w:t xml:space="preserve">as by Grecian authors in general, to signify a sinew or</w:t></w:r>
</w:p>
<w:p>
<w:pPr><w:pStyle w:val="Normal"/></w:pPr>
<w:r><w:t xml:space="preserve">tendon. On other points his views are so much combined with</w:t></w:r>
</w:p>
<w:p>
<w:pPr><w:pStyle w:val="Normal"/></w:pPr>
<w:r><w:t xml:space="preserve">peculiar physiological doctrines, that it is impossible to</w:t></w:r>
</w:p>
<w:p>
<w:pPr><w:pStyle w:val="Normal"/></w:pPr>
<w:r><w:t xml:space="preserve">assign them the character of anatomical facts; and even the</w:t></w:r>
</w:p>
<w:p>
<w:pPr><w:pStyle w:val="Normal"/></w:pPr>
<w:r><w:t xml:space="preserve">works in which these doctrines are contained are with little</w:t></w:r>
</w:p>
<w:p>
<w:pPr><w:pStyle w:val="Normal"/></w:pPr>
<w:r><w:t xml:space="preserve">probability to be ascribed to the second Hippocrates.  If,</w:t></w:r>
</w:p>
<w:p>
<w:pPr><w:pStyle w:val="Normal"/></w:pPr>
<w:r><w:t xml:space="preserve">however, we overlook this difficulty, and admit what is contained</w:t></w:r>
</w:p>
<w:p>
<w:pPr><w:pStyle w:val="Normal"/></w:pPr>
<w:r><w:t xml:space="preserve">in the genuine Hippocratic writings to represent at least the</w:t></w:r>
</w:p>
<w:p>
<w:pPr><w:pStyle w:val="Normal"/></w:pPr>
<w:r><w:t xml:space="preserve">sum of knowledge possessed by Hippocrates and his immediate</w:t></w:r>
</w:p>
<w:p>
<w:pPr><w:pStyle w:val="Normal"/></w:pPr>
<w:r><w:t xml:space="preserve">descendants, we find that he represents the brain as a gland,</w:t></w:r>
</w:p>
<w:p>
<w:pPr><w:pStyle w:val="Normal"/></w:pPr>
<w:r><w:t xml:space="preserve">from which exudes a viscid fluid; that the heart is muscular</w:t></w:r>
</w:p>
<w:p>
<w:pPr><w:pStyle w:val="Normal"/></w:pPr>
<w:r><w:t xml:space="preserve">and of pyramidal shape, and has two ventricles separated by a</w:t></w:r>
</w:p>
<w:p>
<w:pPr><w:pStyle w:val="Normal"/></w:pPr>
<w:r><w:t xml:space="preserve">partition, the fountains of life--and two auricles, receptacles</w:t></w:r>
</w:p>
<w:p>
<w:pPr><w:pStyle w:val="Normal"/></w:pPr>
<w:r><w:t xml:space="preserve">of air; that the lungs consist of five ash-coloured lobes,</w:t></w:r>
</w:p>
<w:p>
<w:pPr><w:pStyle w:val="Normal"/></w:pPr>
<w:r><w:t xml:space="preserve">the substance of which is cellular and spongy, naturally</w:t></w:r>
</w:p>
<w:p>
<w:pPr><w:pStyle w:val="Normal"/></w:pPr>
<w:r><w:t xml:space="preserve">dry, but refreshed by the air; and that the kidneys are</w:t></w:r>
</w:p>
<w:p>
<w:pPr><w:pStyle w:val="Normal"/></w:pPr>
<w:r><w:t xml:space="preserve">glands, but possess an attractive faculty, by virtue of which</w:t></w:r>
</w:p>
<w:p>
<w:pPr><w:pStyle w:val="Normal"/></w:pPr>
<w:r><w:t xml:space="preserve">the moisture of the drink is separated and descends into the</w:t></w:r>
</w:p>
<w:p>
<w:pPr><w:pStyle w:val="Normal"/></w:pPr>
<w:r><w:t xml:space="preserve">bladder.  He distinguishes the bowels into colon and rectum</w:t></w:r>
</w:p>
<w:p>
<w:pPr><w:pStyle w:val="Normal"/></w:pPr>
<w:r><w:t xml:space="preserve">(o</w:t></w:r>
</w:p>
<w:p>
<w:pPr><w:pStyle w:val="Normal"/></w:pPr>
<w:r><w:t xml:space="preserve">***Many errors here***</w:t></w:r>
</w:p>
<w:p>
<w:pPr><w:pStyle w:val="Normal"/></w:pPr>
<w:r><w:t xml:space="preserve">The knowledge possessed by the second Eippochrates was transmitted</w:t></w:r>
</w:p>
<w:p>
<w:pPr><w:pStyle w:val="Normal"/></w:pPr>
<w:r><w:t xml:space="preserve">in various degrees of purity to the descendants and pupils,</w:t></w:r>
</w:p>
<w:p>
<w:pPr><w:pStyle w:val="Normal"/></w:pPr>
<w:r><w:t xml:space="preserve">cheifly of the familys of the Eerachleidae, who succeeded</w:t></w:r>
</w:p>
<w:p>
<w:pPr><w:pStyle w:val="Normal"/></w:pPr>
<w:r><w:t xml:space="preserve">him.  Several of these, with feelings of grateful affection,</w:t></w:r>
</w:p>
<w:p>
<w:pPr><w:pStyle w:val="Normal"/></w:pPr>
<w:r><w:t xml:space="preserve">appear to have studied to preserve the written memorpy of his</w:t></w:r>
</w:p>
<w:p>
<w:pPr><w:pStyle w:val="Normal"/></w:pPr>
<w:r><w:t xml:space="preserve">instructions, and in this manner to have contributed to form</w:t></w:r>
</w:p>
<w:p>
<w:pPr><w:pStyle w:val="Heading1"/></w:pPr>
<w:r><w:t>part of that collection of treatises which have long been</w:t></w:r>
</w:p>
<w:p>
<w:pPr><w:pStyle w:val="Normal"/></w:pPr>
<w:r><w:t xml:space="preserve">known to hee learned world under the general name of the</w:t></w:r>
</w:p>
<w:p>
<w:pPr><w:pStyle w:val="Normal"/></w:pPr>
<w:r><w:t xml:space="preserve">Hippocratic writings. Though composed, like the genuine</w:t></w:r>
</w:p>
<w:p>
<w:pPr><w:pStyle w:val="Normal"/></w:pPr>
<w:r><w:t xml:space="preserve">remains of the physician of Cos, in the Ionian dialect, all</w:t></w:r>
</w:p>
<w:p>
<w:pPr><w:pStyle w:val="Normal"/></w:pPr>
<w:r><w:t xml:space="preserve">of them differ from these in being more diffuse in style, more</w:t></w:r>
</w:p>
<w:p>
<w:pPr><w:pStyle w:val="Normal"/></w:pPr>
<w:r><w:t xml:space="preserve">elaborate in form, and in studying to invest their anatomical</w:t></w:r>
</w:p>
<w:p>
<w:pPr><w:pStyle w:val="Normal"/></w:pPr>
<w:r><w:t xml:space="preserve">and medical matter with the fanciful ornaments of the Platonic</w:t></w:r>
</w:p>
<w:p>
<w:pPr><w:pStyle w:val="Normal"/></w:pPr>
<w:r><w:t xml:space="preserve">philosophy.  Hippocrates had the merit of early recognizing</w:t></w:r>
</w:p>
<w:p>
<w:pPr><w:pStyle w:val="Normal"/></w:pPr>
<w:r><w:t xml:space="preserve">the value of facts apart from opinions, and of those facts</w:t></w:r>
</w:p>
<w:p>
<w:pPr><w:pStyle w:val="Normal"/></w:pPr>
<w:r><w:t xml:space="preserve">especially which lead to general results; and in the few genuine</w:t></w:r>
</w:p>
<w:p>
<w:pPr><w:pStyle w:val="Normal"/></w:pPr>
<w:r><w:t xml:space="preserve">writings which are now extant it is easy to perceive that he</w:t></w:r>
</w:p>
<w:p>
<w:pPr><w:pStyle w:val="Normal"/></w:pPr>
<w:r><w:t xml:space="preserve">has recourse to the simplest language, expresses himself in</w:t></w:r>
</w:p>
<w:p>
<w:pPr><w:pStyle w:val="Normal"/></w:pPr>
<w:r><w:t xml:space="preserve">terms which, though short and pithy, are always precise and</w:t></w:r>
</w:p>
<w:p>
<w:pPr><w:pStyle w:val="Normal"/></w:pPr>
<w:r><w:t xml:space="preserve">perspicuous, and is averse to the introduction of philosophical</w:t></w:r>
</w:p>
<w:p>
<w:pPr><w:pStyle w:val="Normal"/></w:pPr>
<w:r><w:t xml:space="preserve">dogmas.  Of the greater part of the writings collected</w:t></w:r>
</w:p>
<w:p>
<w:pPr><w:pStyle w:val="Normal"/></w:pPr>
<w:r><w:t xml:space="preserve">under his name, on the contrary the general character is</w:t></w:r>
</w:p>
<w:p>
<w:pPr><w:pStyle w:val="Normal"/></w:pPr>
<w:r><w:t xml:space="preserve">verboseness, prolixity and a great tendency to speculative</w:t></w:r>
</w:p>
<w:p>
<w:pPr><w:pStyle w:val="Normal"/></w:pPr>
<w:r><w:t xml:space="preserve">opinions.  For these reasons, as well as for others derived</w:t></w:r>
</w:p>
<w:p>
<w:pPr><w:pStyle w:val="Normal"/></w:pPr>
<w:r><w:t xml:space="preserve">from internal evidence, while the Aphorisms, the Epidemics and</w:t></w:r>
</w:p>
<w:p>
<w:pPr><w:pStyle w:val="Normal"/></w:pPr>
<w:r><w:t xml:space="preserve">the works above mentioned, bear distinct marks of being the</w:t></w:r>
</w:p>
<w:p>
<w:pPr><w:pStyle w:val="Normal"/></w:pPr>
<w:r><w:t xml:space="preserve">genuine remains of Hippocrates, it is impossible to regard the</w:t></w:r>
</w:p>
<w:p>
<w:pPr><w:pStyle w:val="Normal"/></w:pPr>
<w:r><w:t xml:space="preserve">book Peri fusios anthropou as entirely the composition</w:t></w:r>
</w:p>
<w:p>
<w:pPr><w:pStyle w:val="Normal"/></w:pPr>
<w:r><w:t xml:space="preserve">of that physician; and it appears more reasonable to view</w:t></w:r>
</w:p>
<w:p>
<w:pPr><w:pStyle w:val="Normal"/></w:pPr>
<w:r><w:t xml:space="preserve">it as the work of some one of the numerous disciples to whom</w:t></w:r>
</w:p>
<w:p>
<w:pPr><w:pStyle w:val="Normal"/></w:pPr>
<w:r><w:t xml:space="preserve">the author had communicated the results of his observation,</w:t></w:r>
</w:p>
<w:p>
<w:pPr><w:pStyle w:val="Normal"/></w:pPr>
<w:r><w:t xml:space="preserve">which they unwisely attempted to combine with the philosophy</w:t></w:r>
</w:p>
<w:p>
<w:pPr><w:pStyle w:val="Normal"/></w:pPr>
<w:r><w:t xml:space="preserve">of the Platonic school and their own mysterious opinions.</w:t></w:r>
</w:p>
<w:p>
<w:pPr><w:pStyle w:val="Normal"/></w:pPr>
<w:r><w:t xml:space="preserve">Polybus.</w:t></w:r>
</w:p>
<w:p>
<w:pPr><w:pStyle w:val="Normal"/></w:pPr>
<w:r><w:t xml:space="preserve">Among those who aimed at this distinction, the most fortunate</w:t></w:r>
</w:p>
<w:p>
<w:pPr><w:pStyle w:val="Normal"/></w:pPr>
<w:r><w:t xml:space="preserve">in the preservation of his name is Polybus, the son-in-law of</w:t></w:r>
</w:p>
<w:p>
<w:pPr><w:pStyle w:val="Normal"/></w:pPr>
<w:r><w:t xml:space="preserve">the physician of Cos. This person, who must not be confounded</w:t></w:r>
</w:p>
<w:p>
<w:pPr><w:pStyle w:val="Normal"/></w:pPr>
<w:r><w:t xml:space="preserve">with the monarch of Corinth, immortalized by Sophocles in the</w:t></w:r>
</w:p>
<w:p>
<w:pPr><w:pStyle w:val="Normal"/></w:pPr>
<w:r><w:t xml:space="preserve">tragic story of Oedipus, is represented as a recluse, severed</w:t></w:r>
</w:p>
<w:p>
<w:pPr><w:pStyle w:val="Normal"/></w:pPr>
<w:r><w:t xml:space="preserve">from the world and its enjoyments, and devoting himself to</w:t></w:r>
</w:p>
<w:p>
<w:pPr><w:pStyle w:val="Normal"/></w:pPr>
<w:r><w:t xml:space="preserve">the study of anatomy and physiology, and to the composition of</w:t></w:r>
</w:p>
<w:p>
<w:pPr><w:pStyle w:val="Normal"/></w:pPr>
<w:r><w:t xml:space="preserve">works on these subjects.  To him has been ascribed the whole</w:t></w:r>
</w:p>
<w:p>
<w:pPr><w:pStyle w:val="Normal"/></w:pPr>
<w:r><w:t xml:space="preserve">of the book on the Nature of the Child and most of that On</w:t></w:r>
</w:p>
<w:p>
<w:pPr><w:pStyle w:val="Normal"/></w:pPr>
<w:r><w:t xml:space="preserve">Man; both physiological treatises interspersed with anatomical</w:t></w:r>
</w:p>
<w:p>
<w:pPr><w:pStyle w:val="Normal"/></w:pPr>
<w:r><w:t xml:space="preserve">sketches.  His anatomical information, with which we are</w:t></w:r>
</w:p>
<w:p>
<w:pPr><w:pStyle w:val="Normal"/></w:pPr>
<w:r><w:t xml:space="preserve">specially concerned, appears to have been rude and inaccurate,</w:t></w:r>
</w:p>
<w:p>
<w:pPr><w:pStyle w:val="Normal"/></w:pPr>
<w:r><w:t xml:space="preserve">like that of his preceptor.  He represents the large vessels</w:t></w:r>
</w:p>
<w:p>
<w:pPr><w:pStyle w:val="Normal"/></w:pPr>
<w:r><w:t xml:space="preserve">of the body as consisting of four pairs; the first proceeding</w:t></w:r>
</w:p>
<w:p>
<w:pPr><w:pStyle w:val="Normal"/></w:pPr>
<w:r><w:t xml:space="preserve">from the head by the back of the neck and spinal cord to the</w:t></w:r>
</w:p>
<w:p>
<w:pPr><w:pStyle w:val="Normal"/></w:pPr>
<w:r><w:t xml:space="preserve">hips, lower extremities and outer ankle; the second, consisting</w:t></w:r>
</w:p>
<w:p>
<w:pPr><w:pStyle w:val="Normal"/></w:pPr>
<w:r><w:t xml:space="preserve">of the jugular vessels (ai sfagitides), proceeding to the</w:t></w:r>
</w:p>
<w:p>
<w:pPr><w:pStyle w:val="Normal"/></w:pPr>
<w:r><w:t xml:space="preserve">loins, thighs, hams and inner ankle; the third proceeding from</w:t></w:r>
</w:p>
<w:p>
<w:pPr><w:pStyle w:val="Normal"/></w:pPr>
<w:r><w:t xml:space="preserve">the temples by the neck to the scapula and lungs, and thence</w:t></w:r>
</w:p>
<w:p>
<w:pPr><w:pStyle w:val="Normal"/></w:pPr>
<w:r><w:t xml:space="preserve">by mutual intercrossings to the spleen and left kidney, and</w:t></w:r>
</w:p>
<w:p>
<w:pPr><w:pStyle w:val="Normal"/></w:pPr>
<w:r><w:t xml:space="preserve">the liver and right kidney, and finally to the rectum; and the</w:t></w:r>
</w:p>
<w:p>
<w:pPr><w:pStyle w:val="Normal"/></w:pPr>
<w:r><w:t xml:space="preserve">fourth from the fore-part of the neck to the upper extremities,</w:t></w:r>
</w:p>
<w:p>
<w:pPr><w:pStyle w:val="Normal"/></w:pPr>
<w:r><w:t xml:space="preserve">the fore-part of the trunk, and the organs of generation.</w:t></w:r>
</w:p>
<w:p>
<w:pPr><w:pStyle w:val="Normal"/></w:pPr>
<w:r><w:t xml:space="preserve">This specimen of the anatomical knowledge of one of the most</w:t></w:r>
</w:p>
<w:p>
<w:pPr><w:pStyle w:val="Normal"/></w:pPr>
<w:r><w:t xml:space="preserve">illustrious of the Hippocratic disciples differs not essentially</w:t></w:r>
</w:p>
<w:p>
<w:pPr><w:pStyle w:val="Normal"/></w:pPr>
<w:r><w:t xml:space="preserve">from that of Syennesis, the physician of Cyprus, and Diogenes,</w:t></w:r>
</w:p>
<w:p>
<w:pPr><w:pStyle w:val="Normal"/></w:pPr>
<w:r><w:t xml:space="preserve">the philosopher of Apollonia, two authors for the preservation</w:t></w:r>
</w:p>
<w:p>
<w:pPr><w:pStyle w:val="Normal"/></w:pPr>
<w:r><w:t xml:space="preserve">of whose opinions we are indebted to Aristotle.  They may be</w:t></w:r>
</w:p>
<w:p>
<w:pPr><w:pStyle w:val="Normal"/></w:pPr>
<w:r><w:t xml:space="preserve">admitted as representing the state of anatomical knowledge</w:t></w:r>
</w:p>
<w:p>
<w:pPr><w:pStyle w:val="Normal"/></w:pPr>
<w:r><w:t xml:space="preserve">among the most enlightened men at that time, and they only</w:t></w:r>
</w:p>
<w:p>
<w:pPr><w:pStyle w:val="Normal"/></w:pPr>
<w:r><w:t xml:space="preserve">show how rude and erroneous were their ideas on the structure</w:t></w:r>
</w:p>
<w:p>
<w:pPr><w:pStyle w:val="Normal"/></w:pPr>
<w:r><w:t xml:space="preserve">of the animal body.  It may indeed, without injustice, be</w:t></w:r>
</w:p>
<w:p>
<w:pPr><w:pStyle w:val="Normal"/></w:pPr>
<w:r><w:t xml:space="preserve">said that the anatomy of the Hippocratic school is not only</w:t></w:r>
</w:p>
<w:p>
<w:pPr><w:pStyle w:val="Normal"/></w:pPr>
<w:r><w:t xml:space="preserve">erroneous, but fanciful and imaginary in often substituting</w:t></w:r>
</w:p>
<w:p>
<w:pPr><w:pStyle w:val="Normal"/></w:pPr>
<w:r><w:t xml:space="preserve">mere supposition and assertion for what ought to be matter of</w:t></w:r>
</w:p>
<w:p>
<w:pPr><w:pStyle w:val="Normal"/></w:pPr>
<w:r><w:t xml:space="preserve">fact.  From this censure it is impossible to exempt even the</w:t></w:r>
</w:p>
<w:p>
<w:pPr><w:pStyle w:val="Normal"/></w:pPr>
<w:r><w:t xml:space="preserve">name of Plato himself, for whom some notices in the Timaeus on</w:t></w:r>
</w:p>
<w:p>
<w:pPr><w:pStyle w:val="Normal"/></w:pPr>
<w:r><w:t xml:space="preserve">the structure of the animal body, as taught by Hippocrates and</w:t></w:r>
</w:p>
<w:p>
<w:pPr><w:pStyle w:val="Normal"/></w:pPr>
<w:r><w:t xml:space="preserve">Polybus, have procured a place in the history of the science.</w:t></w:r>
</w:p>
<w:p>
<w:pPr><w:pStyle w:val="Normal"/></w:pPr>
<w:r><w:t xml:space="preserve">Aristotle.</w:t></w:r>
</w:p>
<w:p>
<w:pPr><w:pStyle w:val="Normal"/></w:pPr>
<w:r><w:t xml:space="preserve">Amidst the general obscurity in which the early history of</w:t></w:r>
</w:p>
<w:p>
<w:pPr><w:pStyle w:val="Normal"/></w:pPr>
<w:r><w:t xml:space="preserve">anatomy is involved, only two leading facts may be admitted</w:t></w:r>
</w:p>
<w:p>
<w:pPr><w:pStyle w:val="Normal"/></w:pPr>
<w:r><w:t xml:space="preserve">with certainty.  The first is, that previous to the time of</w:t></w:r>
</w:p>
<w:p>
<w:pPr><w:pStyle w:val="Normal"/></w:pPr>
<w:r><w:t xml:space="preserve">Aristotle there was no accurate knowledge of anatomy; and</w:t></w:r>
</w:p>
<w:p>
<w:pPr><w:pStyle w:val="Normal"/></w:pPr>
<w:r><w:t xml:space="preserve">the second, that all that was known was derived from the</w:t></w:r>
</w:p>
<w:p>
<w:pPr><w:pStyle w:val="Normal"/></w:pPr>
<w:r><w:t xml:space="preserve">dissection of the lower animals only.  By the appearance</w:t></w:r>
</w:p>
<w:p>
<w:pPr><w:pStyle w:val="Normal"/></w:pPr>
<w:r><w:t xml:space="preserve">of Aristotle this species of knowledge, which was hitherto</w:t></w:r>
</w:p>
<w:p>
<w:pPr><w:pStyle w:val="Normal"/></w:pPr>
<w:r><w:t xml:space="preserve">acquired in a desultory and irregular manner, began to be</w:t></w:r>
</w:p>
<w:p>
<w:pPr><w:pStyle w:val="Normal"/></w:pPr>
<w:r><w:t xml:space="preserve">cultivated systematically and with a definite object; and</w:t></w:r>
</w:p>
<w:p>
<w:pPr><w:pStyle w:val="Normal"/></w:pPr>
<w:r><w:t xml:space="preserve">among the services which the philosopher of Stagira rendered</w:t></w:r>
</w:p>
<w:p>
<w:pPr><w:pStyle w:val="Normal"/></w:pPr>
<w:r><w:t xml:space="preserve">to mankind, one of the greatest and most substantial is,</w:t></w:r>
</w:p>
<w:p>
<w:pPr><w:pStyle w:val="Normal"/></w:pPr>
<w:r><w:t xml:space="preserve">that he was the founder of Comparative Anatomy, and was the</w:t></w:r>
</w:p>
<w:p>
<w:pPr><w:pStyle w:val="Normal"/></w:pPr>
<w:r><w:t xml:space="preserve">first to apply its facts to the elucidation of zoology.  The</w:t></w:r>
</w:p>
<w:p>
<w:pPr><w:pStyle w:val="Normal"/></w:pPr>
<w:r><w:t xml:space="preserve">works of this ardent and original naturalist show that his</w:t></w:r>
</w:p>
<w:p>
<w:pPr><w:pStyle w:val="Normal"/></w:pPr>
<w:r><w:t xml:space="preserve">zootomical knowledge was extensive and often accurate; and</w:t></w:r>
</w:p>
<w:p>
<w:pPr><w:pStyle w:val="Normal"/></w:pPr>
<w:r><w:t xml:space="preserve">from several of his descriptions it is impossible to doubt</w:t></w:r>
</w:p>
<w:p>
<w:pPr><w:pStyle w:val="Normal"/></w:pPr>
<w:r><w:t xml:space="preserve">that they were derived from frequent personal dissection.</w:t></w:r>
</w:p>
<w:p>
<w:pPr><w:pStyle w:val="Normal"/></w:pPr>
<w:r><w:t xml:space="preserve">Aristotle, who was born 384 years before the Christian era,</w:t></w:r>
</w:p>
<w:p>
<w:pPr><w:pStyle w:val="Normal"/></w:pPr>
<w:r><w:t xml:space="preserve">or in the first year of the 99th Olympiad, was at the age of</w:t></w:r>
</w:p>
<w:p>
<w:pPr><w:pStyle w:val="Normal"/></w:pPr>
<w:r><w:t xml:space="preserve">thirty-nine requested by Philip to undertake the education</w:t></w:r>
</w:p>
<w:p>
<w:pPr><w:pStyle w:val="Normal"/></w:pPr>
<w:r><w:t xml:space="preserve">of his son Alexander.  During this period it is said he</w:t></w:r>
</w:p>
<w:p>
<w:pPr><w:pStyle w:val="Normal"/></w:pPr>
<w:r><w:t xml:space="preserve">composed several works on anatomy, which, however, are now</w:t></w:r>
</w:p>
<w:p>
<w:pPr><w:pStyle w:val="Normal"/></w:pPr>
<w:r><w:t xml:space="preserve">lost.  The military expedition of his royal pupil into Asia,</w:t></w:r>
</w:p>
<w:p>
<w:pPr><w:pStyle w:val="Normal"/></w:pPr>
<w:r><w:t xml:space="preserve">by laying open the animal stores of that vast and little-known</w:t></w:r>
</w:p>
<w:p>
<w:pPr><w:pStyle w:val="Normal"/></w:pPr>
<w:r><w:t xml:space="preserve">continent, furnished Aristotle with the means of extending</w:t></w:r>
</w:p>
<w:p>
<w:pPr><w:pStyle w:val="Normal"/></w:pPr>
<w:r><w:t xml:space="preserve">his knowledge, not only of the animal tribes, but of their</w:t></w:r>
</w:p>
<w:p>
<w:pPr><w:pStyle w:val="Normal"/></w:pPr>
<w:r><w:t xml:space="preserve">structure, and of communicating more accurate and distinct</w:t></w:r>
</w:p>
<w:p>
<w:pPr><w:pStyle w:val="Normal"/></w:pPr>
<w:r><w:t xml:space="preserve">notions than were yet accessible to the world.  A sum of 800</w:t></w:r>
</w:p>
<w:p>
<w:pPr><w:pStyle w:val="Normal"/></w:pPr>
<w:r><w:t xml:space="preserve">talents, and the concurrent aid of numerous intelligent</w:t></w:r>
</w:p>
<w:p>
<w:pPr><w:pStyle w:val="Normal"/></w:pPr>
<w:r><w:t xml:space="preserve">assistants in Greece and Asia, were intended to facilitate</w:t></w:r>
</w:p>
<w:p>
<w:pPr><w:pStyle w:val="Normal"/></w:pPr>
<w:r><w:t xml:space="preserve">his researches in composing a system of zoological knowledge;</w:t></w:r>
</w:p>
<w:p>
<w:pPr><w:pStyle w:val="Normal"/></w:pPr>
<w:r><w:t xml:space="preserve">but it has been observed that the number of instances in</w:t></w:r>
</w:p>
<w:p>
<w:pPr><w:pStyle w:val="Normal"/></w:pPr>
<w:r><w:t xml:space="preserve">which he was thus compelled to trust to the testimony of</w:t></w:r>
</w:p>
<w:p>
<w:pPr><w:pStyle w:val="Normal"/></w:pPr>
<w:r><w:t xml:space="preserve">other observers led him to commit errors in description</w:t></w:r>
</w:p>
<w:p>
<w:pPr><w:pStyle w:val="Normal"/></w:pPr>
<w:r><w:t xml:space="preserve">which personal observation might have enabled him to avoid.</w:t></w:r>
</w:p>
<w:p>
<w:pPr><w:pStyle w:val="Normal"/></w:pPr>
<w:r><w:t xml:space="preserve">The first three books of the History of Animals, a</w:t></w:r>
</w:p>
<w:p>
<w:pPr><w:pStyle w:val="Normal"/></w:pPr>
<w:r><w:t xml:space="preserve">treatise consisting of ten books, and the four books on the</w:t></w:r>
</w:p>
<w:p>
<w:pPr><w:pStyle w:val="Normal"/></w:pPr>
<w:r><w:t xml:space="preserve">Parts of Animals, constitute the great monument of the</w:t></w:r>
</w:p>
<w:p>
<w:pPr><w:pStyle w:val="Normal"/></w:pPr>
<w:r><w:t xml:space="preserve">Aristotelian Anatomy. From these we find that Aristotle</w:t></w:r>
</w:p>
<w:p>
<w:pPr><w:pStyle w:val="Normal"/></w:pPr>
<w:r><w:t xml:space="preserve">was the first who corrected the erroneous statements of</w:t></w:r>
</w:p>
<w:p>
<w:pPr><w:pStyle w:val="Normal"/></w:pPr>
<w:r><w:t xml:space="preserve">Polybus, Syennesis and Diogenes regarding the blood-vessels,</w:t></w:r>
</w:p>
<w:p>
<w:pPr><w:pStyle w:val="Normal"/></w:pPr>
<w:r><w:t xml:space="preserve">which they made, as we have seen, to arise from the head and</w:t></w:r>
</w:p>
<w:p>
<w:pPr><w:pStyle w:val="Normal"/></w:pPr>
<w:r><w:t xml:space="preserve">brain.  These he represents to be two in number, placed before</w:t></w:r>
</w:p>
<w:p>
<w:pPr><w:pStyle w:val="Normal"/></w:pPr>
<w:r><w:t xml:space="preserve">the spinal column, the larger on the right, the smaller on</w:t></w:r>
</w:p>
<w:p>
<w:pPr><w:pStyle w:val="Normal"/></w:pPr>
<w:r><w:t xml:space="preserve">the left, which, he also remarks, is by some called aorta</w:t></w:r>
</w:p>
<w:p>
<w:pPr><w:pStyle w:val="Normal"/></w:pPr>
<w:r><w:t xml:space="preserve">(aorte), the first time we observe that this epithet</w:t></w:r>
</w:p>
<w:p>
<w:pPr><w:pStyle w:val="Normal"/></w:pPr>
<w:r><w:t xml:space="preserve">occurs in the history.  Both he represents to arise from the</w:t></w:r>
</w:p>
<w:p>
<w:pPr><w:pStyle w:val="Normal"/></w:pPr>
<w:r><w:t xml:space="preserve">heart, the larger from the largest upper cavity, the smaller</w:t></w:r>
</w:p>
<w:p>
<w:pPr><w:pStyle w:val="Normal"/></w:pPr>
<w:r><w:t xml:space="preserve">or aorta from the middle cavity, but in a different manner</w:t></w:r>
</w:p>
<w:p>
<w:pPr><w:pStyle w:val="Normal"/></w:pPr>
<w:r><w:t xml:space="preserve">and forming a narrower canal.  He also distinguishes the</w:t></w:r>
</w:p>
<w:p>
<w:pPr><w:pStyle w:val="Normal"/></w:pPr>
<w:r><w:t xml:space="preserve">thick, firm and more tendinous structure of the aorta from</w:t></w:r>
</w:p>
<w:p>
<w:pPr><w:pStyle w:val="Normal"/></w:pPr>
<w:r><w:t xml:space="preserve">the thin and membranous structure of vein.  In describing</w:t></w:r>
</w:p>
<w:p>
<w:pPr><w:pStyle w:val="Normal"/></w:pPr>
<w:r><w:t xml:space="preserve">the distribution of the latter, however, he confounds the</w:t></w:r>
</w:p>
<w:p>
<w:pPr><w:pStyle w:val="Normal"/></w:pPr>
<w:r><w:t xml:space="preserve">vena cava and pulmonary artery, and, as might be expected,</w:t></w:r>
</w:p>
<w:p>
<w:pPr><w:pStyle w:val="Normal"/></w:pPr>
<w:r><w:t xml:space="preserve">he confounds the ramifications of the former with those of</w:t></w:r>
</w:p>
<w:p>
<w:pPr><w:pStyle w:val="Normal"/></w:pPr>
<w:r><w:t xml:space="preserve">the arterial tubes in general.  While he represents the lung</w:t></w:r>
</w:p>
<w:p>
<w:pPr><w:pStyle w:val="Normal"/></w:pPr>
<w:r><w:t xml:space="preserve">to be liberally supplied with blood, he describes the brain</w:t></w:r>
</w:p>
<w:p>
<w:pPr><w:pStyle w:val="Normal"/></w:pPr>
<w:r><w:t xml:space="preserve">as an organ almost destitute of this fluid.  His account</w:t></w:r>
</w:p>
<w:p>
<w:pPr><w:pStyle w:val="Normal"/></w:pPr>
<w:r><w:t xml:space="preserve">of the distribution of the aorta is wonderfully correct.</w:t></w:r>
</w:p>
<w:p>
<w:pPr><w:pStyle w:val="Normal"/></w:pPr>
<w:r><w:t xml:space="preserve">Though he does not notice the coeliac, and remarks that the</w:t></w:r>
</w:p>
<w:p>
<w:pPr><w:pStyle w:val="Normal"/></w:pPr>
<w:r><w:t xml:space="preserve">aorta sends no direct branches to the liver and spleen, he</w:t></w:r>
</w:p>
<w:p>
<w:pPr><w:pStyle w:val="Normal"/></w:pPr>
<w:r><w:t xml:space="preserve">had observed the mesenteric, the renal and the common iliac</w:t></w:r>
</w:p>
<w:p>
<w:pPr><w:pStyle w:val="Normal"/></w:pPr>
<w:r><w:t xml:space="preserve">arteries.  It is nevertheless singular that though he remarks</w:t></w:r>
</w:p>
<w:p>
<w:pPr><w:pStyle w:val="Normal"/></w:pPr>
<w:r><w:t xml:space="preserve">particularly that the renal branches of the aorta go to the</w:t></w:r>
</w:p>
<w:p>
<w:pPr><w:pStyle w:val="Normal"/></w:pPr>
<w:r><w:t xml:space="preserve">substance and not the pelvis (koilia) of the kidney, he</w:t></w:r>
</w:p>
<w:p>
<w:pPr><w:pStyle w:val="Normal"/></w:pPr>
<w:r><w:t xml:space="preserve">appears to mistake the ureters for branches of the aorta.</w:t></w:r>
</w:p>
<w:p>
<w:pPr><w:pStyle w:val="Normal"/></w:pPr>
<w:r><w:t xml:space="preserve">Of the nerves (neura) he appears to have the most confused</w:t></w:r>
</w:p>
<w:p>
<w:pPr><w:pStyle w:val="Normal"/></w:pPr>
<w:r><w:t xml:space="preserve">notions.  Making them arise from the heart, which he says</w:t></w:r>
</w:p>
<w:p>
<w:pPr><w:pStyle w:val="Normal"/></w:pPr>
<w:r><w:t xml:space="preserve">has nerves (tendons) in its largest cavity, he represents the</w:t></w:r>
</w:p>
<w:p>
<w:pPr><w:pStyle w:val="Normal"/></w:pPr>
<w:r><w:t xml:space="preserve">aorta to be a nervous or tendinous vein (neuroder fleps.)</w:t></w:r>
</w:p>
<w:p>
<w:pPr><w:pStyle w:val="Normal"/></w:pPr>
<w:r><w:t xml:space="preserve">By and by, afterwards saying that all the articulated bones</w:t></w:r>
</w:p>
<w:p>
<w:pPr><w:pStyle w:val="Normal"/></w:pPr>
<w:r><w:t xml:space="preserve">are connected by nerves, he makes them the same as ligaments.</w:t></w:r>
</w:p>
<w:p>
<w:pPr><w:pStyle w:val="Normal"/></w:pPr>
<w:r><w:t xml:space="preserve">He distinguishes the windpipe or air-holder (arteria) from</w:t></w:r>
</w:p>
<w:p>
<w:pPr><w:pStyle w:val="Normal"/></w:pPr>
<w:r><w:t xml:space="preserve">the oesophagus, because it is placed before the latter, because</w:t></w:r>
</w:p>
<w:p>
<w:pPr><w:pStyle w:val="Normal"/></w:pPr>
<w:r><w:t xml:space="preserve">food or drink passing into it causes distressing cough and</w:t></w:r>
</w:p>
<w:p>
<w:pPr><w:pStyle w:val="Normal"/></w:pPr>
<w:r><w:t xml:space="preserve">suffocation, and because there is no passage from the lung to the</w:t></w:r>
</w:p>
<w:p>
<w:pPr><w:pStyle w:val="Normal"/></w:pPr>
<w:r><w:t xml:space="preserve">stomach.  He knew the situation and use of the epiglottis, seems</w:t></w:r>
</w:p>
<w:p>
<w:pPr><w:pStyle w:val="Normal"/></w:pPr>
<w:r><w:t xml:space="preserve">to have had some indistinct notions of the larynx, represents</w:t></w:r>
</w:p>
<w:p>
<w:pPr><w:pStyle w:val="Normal"/></w:pPr>
<w:r><w:t xml:space="preserve">the windpipe to be necessary to convey air to and from the</w:t></w:r>
</w:p>
<w:p>
<w:pPr><w:pStyle w:val="Normal"/></w:pPr>
<w:r><w:t xml:space="preserve">lungs, and appears to have a tolerable understanding of the</w:t></w:r>
</w:p>
<w:p>
<w:pPr><w:pStyle w:val="Normal"/></w:pPr>
<w:r><w:t xml:space="preserve">structure of the lungs.  He repeatedly represents the heart,</w:t></w:r>
</w:p>
<w:p>
<w:pPr><w:pStyle w:val="Normal"/></w:pPr>
<w:r><w:t xml:space="preserve">the shape and site of which he describes accurately, to be the</w:t></w:r>
</w:p>
<w:p>
<w:pPr><w:pStyle w:val="Normal"/></w:pPr>
<w:r><w:t xml:space="preserve">origin of the blood-vessels, in opposition to those who made</w:t></w:r>
</w:p>
<w:p>
<w:pPr><w:pStyle w:val="Normal"/></w:pPr>
<w:r><w:t xml:space="preserve">them descend from the head; yet, though he represents it as</w:t></w:r>
</w:p>
<w:p>
<w:pPr><w:pStyle w:val="Normal"/></w:pPr>
<w:r><w:t xml:space="preserve">full of blood and the source and fountain of that fluid, and</w:t></w:r>
</w:p>
<w:p>
<w:pPr><w:pStyle w:val="Normal"/></w:pPr>
<w:r><w:t xml:space="preserve">even speaks of the blood flowing from the heart to the veins,</w:t></w:r>
</w:p>
<w:p>
<w:pPr><w:pStyle w:val="Normal"/></w:pPr>
<w:r><w:t xml:space="preserve">and thence to every part of the body, he says nothing of the</w:t></w:r>
</w:p>
<w:p>
<w:pPr><w:pStyle w:val="Normal"/></w:pPr>
<w:r><w:t xml:space="preserve">circular motion of the blood.  The diaphragm he distinguishes</w:t></w:r>
</w:p>
<w:p>
<w:pPr><w:pStyle w:val="Normal"/></w:pPr>
<w:r><w:t xml:space="preserve">by the name diazoma, and upozoma. With the liver</w:t></w:r>
</w:p>
<w:p>
<w:pPr><w:pStyle w:val="Normal"/></w:pPr>
<w:r><w:t xml:space="preserve">and spleen, and the whole alimentary canal, he seems well</w:t></w:r>
</w:p>
<w:p>
<w:pPr><w:pStyle w:val="Normal"/></w:pPr>
<w:r><w:t xml:space="preserve">acquainted.  The several parts of the quadruple stomach of</w:t></w:r>
</w:p>
<w:p>
<w:pPr><w:pStyle w:val="Normal"/></w:pPr>
<w:r><w:t xml:space="preserve">the ruminating animals are distinguished and named; and he</w:t></w:r>
</w:p>
<w:p>
<w:pPr><w:pStyle w:val="Normal"/></w:pPr>
<w:r><w:t xml:space="preserve">even traces the relations between the teeth and the several</w:t></w:r>
</w:p>
<w:p>
<w:pPr><w:pStyle w:val="Normal"/></w:pPr>
<w:r><w:t xml:space="preserve">forms of stomach, and the length or brevity, the simplicity or</w:t></w:r>
</w:p>
<w:p>
<w:pPr><w:pStyle w:val="Normal"/></w:pPr>
<w:r><w:t xml:space="preserve">complication of the intestinal tube.  Upon the same principles</w:t></w:r>
</w:p>
<w:p>
<w:pPr><w:pStyle w:val="Normal"/></w:pPr>
<w:r><w:t xml:space="preserve">distinguishes the jejunum (e nestis), or the empty portion</w:t></w:r>
</w:p>
<w:p>
<w:pPr><w:pStyle w:val="Normal"/></w:pPr>
<w:r><w:t xml:space="preserve">of the small intestines in animals (to enteron lepton),</w:t></w:r>
</w:p>
<w:p>
<w:pPr><w:pStyle w:val="Normal"/></w:pPr>
<w:r><w:t xml:space="preserve">the caecum (tuflon ti kai ogkodes), the colon</w:t></w:r>
</w:p>
<w:p>
<w:pPr><w:pStyle w:val="Normal"/></w:pPr>
<w:r><w:t xml:space="preserve">(to kolon), and the sigmoid flexure (stenoteron kai</w:t></w:r>
</w:p>
<w:p>
<w:pPr><w:pStyle w:val="Normal"/></w:pPr>
<w:r><w:t xml:space="preserve">eligmenon.) The modern epithet of rectum is the literal</w:t></w:r>
</w:p>
<w:p>
<w:pPr><w:pStyle w:val="Normal"/></w:pPr>
<w:r><w:t xml:space="preserve">translation of his description of the straight progress</w:t></w:r>
</w:p>
<w:p>
<w:pPr><w:pStyle w:val="Normal"/></w:pPr>
<w:r><w:t xml:space="preserve">(euthu) of the bowel to the anus (proktos.) He knew the</w:t></w:r>
</w:p>
<w:p>
<w:pPr><w:pStyle w:val="Normal"/></w:pPr>
<w:r><w:t xml:space="preserve">nasal cavities and the passage from the tympanal cavity of</w:t></w:r>
</w:p>
<w:p>
<w:pPr><w:pStyle w:val="Normal"/></w:pPr>
<w:r><w:t xml:space="preserve">the ear to the palate, afterwards described by B. Eustachius.</w:t></w:r>
</w:p>
<w:p>
<w:pPr><w:pStyle w:val="Normal"/></w:pPr>
<w:r><w:t xml:space="preserve">He distinguishes as ``partes similares&apos;&apos; those structures,</w:t></w:r>
</w:p>
<w:p>
<w:pPr><w:pStyle w:val="Normal"/></w:pPr>
<w:r><w:t xml:space="preserve">such as bone, cartilage, vessels, sinews, blood, lymph, fat,</w:t></w:r>
</w:p>
<w:p>
<w:pPr><w:pStyle w:val="Normal"/></w:pPr>
<w:r><w:t xml:space="preserve">flesh, which, not confined to one locality, but distributed</w:t></w:r>
</w:p>
<w:p>
<w:pPr><w:pStyle w:val="Normal"/></w:pPr>
<w:r><w:t xml:space="preserve">throughout the body generally, we now term the tissues or</w:t></w:r>
</w:p>
<w:p>
<w:pPr><w:pStyle w:val="Normal"/></w:pPr>
<w:r><w:t xml:space="preserve">textures, whilst he applies the term ``partes dissimilares&apos;&apos;</w:t></w:r>
</w:p>
<w:p>
<w:pPr><w:pStyle w:val="Normal"/></w:pPr>
<w:r><w:t xml:space="preserve">to the regions of the head, neck, trunk and extremities.</w:t></w:r>
</w:p>
<w:p>
<w:pPr><w:pStyle w:val="Normal"/></w:pPr>
<w:r><w:t xml:space="preserve">Next to Aristotle occur the names of Diocles of Carystus</w:t></w:r>
</w:p>
<w:p>
<w:pPr><w:pStyle w:val="Normal"/></w:pPr>
<w:r><w:t xml:space="preserve">and Praxagoras of Cos, the last of the family of the</w:t></w:r>
</w:p>
<w:p>
<w:pPr><w:pStyle w:val="Normal"/></w:pPr>
<w:r><w:t xml:space="preserve">Asclepiadae.  The latter is remarkable for being the first</w:t></w:r>
</w:p>
<w:p>
<w:pPr><w:pStyle w:val="Normal"/></w:pPr>
<w:r><w:t xml:space="preserve">who distinguished the arteries from the veins, and the</w:t></w:r>
</w:p>
<w:p>
<w:pPr><w:pStyle w:val="Normal"/></w:pPr>
<w:r><w:t xml:space="preserve">author of the opinion that the former were air-vessels.</w:t></w:r>
</w:p>
<w:p>
<w:pPr><w:pStyle w:val="Normal"/></w:pPr>
<w:r><w:t xml:space="preserve">Alexandrian school.</w:t></w:r>
</w:p>
<w:p>
<w:pPr><w:pStyle w:val="Normal"/></w:pPr>
<w:r><w:t xml:space="preserve">Hitherto anatomical inquiry was confined to the examination</w:t></w:r>
</w:p>
<w:p>
<w:pPr><w:pStyle w:val="Normal"/></w:pPr>
<w:r><w:t xml:space="preserve">of the bodies of brute animals.  We have, indeed, no</w:t></w:r>
</w:p>
<w:p>
<w:pPr><w:pStyle w:val="Normal"/></w:pPr>
<w:r><w:t xml:space="preserve">testimony of the human body being submitted to examination</w:t></w:r>
</w:p>
<w:p>
<w:pPr><w:pStyle w:val="Normal"/></w:pPr>
<w:r><w:t xml:space="preserve">previous to the time of Erasistratus and Herophilus; and</w:t></w:r>
</w:p>
<w:p>
<w:pPr><w:pStyle w:val="Normal"/></w:pPr>
<w:r><w:t xml:space="preserve">it is vain to look for authentic facts on this point before</w:t></w:r>
</w:p>
<w:p>
<w:pPr><w:pStyle w:val="Normal"/></w:pPr>
<w:r><w:t xml:space="preserve">the foundation of the Ptolemaic dynasty of sovereigns in</w:t></w:r>
</w:p>
<w:p>
<w:pPr><w:pStyle w:val="Normal"/></w:pPr>
<w:r><w:t xml:space="preserve">Egypt.  This event, which, as is generally known, succeeded</w:t></w:r>
</w:p>
<w:p>
<w:pPr><w:pStyle w:val="Normal"/></w:pPr>
<w:r><w:t xml:space="preserve">the death of Alexander, 320 years before the Christian era,</w:t></w:r>
</w:p>
<w:p>
<w:pPr><w:pStyle w:val="Normal"/></w:pPr>
<w:r><w:t xml:space="preserve">collected into one spot the scattered embers of literature and</w:t></w:r>
</w:p>
<w:p>
<w:pPr><w:pStyle w:val="Normal"/></w:pPr>
<w:r><w:t xml:space="preserve">science, which were beginning to languish in Greece under</w:t></w:r>
</w:p>
<w:p>
<w:pPr><w:pStyle w:val="Normal"/></w:pPr>
<w:r><w:t xml:space="preserve">a weak and distracted government and an unsettled state of</w:t></w:r>
</w:p>
<w:p>
<w:pPr><w:pStyle w:val="Normal"/></w:pPr>
<w:r><w:t xml:space="preserve">society.  The children of her divided states, whom domestic</w:t></w:r>
</w:p>
<w:p>
<w:pPr><w:pStyle w:val="Normal"/></w:pPr>
<w:r><w:t xml:space="preserve">discord and the uncertainties of war rendered unhappy at</w:t></w:r>
</w:p>
<w:p>
<w:pPr><w:pStyle w:val="Normal"/></w:pPr>
<w:r><w:t xml:space="preserve">home, wandered into Egypt, and found, under the fostering</w:t></w:r>
</w:p>
<w:p>
<w:pPr><w:pStyle w:val="Normal"/></w:pPr>
<w:r><w:t xml:space="preserve">hand of the Alexandrian monarchs, the means of cultivating</w:t></w:r>
</w:p>
<w:p>
<w:pPr><w:pStyle w:val="Normal"/></w:pPr>
<w:r><w:t xml:space="preserve">the sciences, and repaying with interest to the country of</w:t></w:r>
</w:p>
<w:p>
<w:pPr><w:pStyle w:val="Normal"/></w:pPr>
<w:r><w:t xml:space="preserve">Thoth and Osiris the benefits which had been conferred on</w:t></w:r>
</w:p>
<w:p>
<w:pPr><w:pStyle w:val="Normal"/></w:pPr>
<w:r><w:t xml:space="preserve">the infancy of Greece by Thales and Pythagoras.  Alexandria</w:t></w:r>
</w:p>
<w:p>
<w:pPr><w:pStyle w:val="Normal"/></w:pPr>
<w:r><w:t xml:space="preserve">became in this manner the repository of all the learning and</w:t></w:r>
</w:p>
<w:p>
<w:pPr><w:pStyle w:val="Normal"/></w:pPr>
<w:r><w:t xml:space="preserve">knowledge of the civilized world; and while other nations were</w:t></w:r>
</w:p>
<w:p>
<w:pPr><w:pStyle w:val="Normal"/></w:pPr>
<w:r><w:t xml:space="preserve">sinking under the effects of internal animosities and mutual</w:t></w:r>
</w:p>
<w:p>
<w:pPr><w:pStyle w:val="Normal"/></w:pPr>
<w:r><w:t xml:space="preserve">dissensions, or ravaging the earth with the evils of war,</w:t></w:r>
</w:p>
<w:p>
<w:pPr><w:pStyle w:val="Normal"/></w:pPr>
<w:r><w:t xml:space="preserve">the Egyptian Greeks kept alive the sacred flame of science,</w:t></w:r>
</w:p>
<w:p>
<w:pPr><w:pStyle w:val="Normal"/></w:pPr>
<w:r><w:t xml:space="preserve">and preserved mankind from relapsing into their original</w:t></w:r>
</w:p>
<w:p>
<w:pPr><w:pStyle w:val="Normal"/></w:pPr>
<w:r><w:t xml:space="preserve">barbarism.  These happy effects are to be ascribed in an eminent</w:t></w:r>
</w:p>
<w:p>
<w:pPr><w:pStyle w:val="Normal"/></w:pPr>
<w:r><w:t xml:space="preserve">degree to the enlightened government and liberal opinions of</w:t></w:r>
</w:p>
<w:p>
<w:pPr><w:pStyle w:val="Normal"/></w:pPr>
<w:r><w:t xml:space="preserve">Ptolemy Soter, and his immediate successors Philadelphus and</w:t></w:r>
</w:p>
<w:p>
<w:pPr><w:pStyle w:val="Normal"/></w:pPr>
<w:r><w:t xml:space="preserve">Euergetes.  The two latter princes, whose authority was equalled</w:t></w:r>
</w:p>
<w:p>
<w:pPr><w:pStyle w:val="Normal"/></w:pPr>
<w:r><w:t xml:space="preserve">only by the zeal with which they patronized science and its</w:t></w:r>
</w:p>
<w:p>
<w:pPr><w:pStyle w:val="Normal"/></w:pPr>
<w:r><w:t xml:space="preserve">professors, were the first who enabled physicians to dissect</w:t></w:r>
</w:p>
<w:p>
<w:pPr><w:pStyle w:val="Normal"/></w:pPr>
<w:r><w:t xml:space="preserve">the human body, and prevented the prejudices of ignorance</w:t></w:r>
</w:p>
<w:p>
<w:pPr><w:pStyle w:val="Normal"/></w:pPr>
<w:r><w:t xml:space="preserve">and superstition from compromising the welfare of the human</w:t></w:r>
</w:p>
<w:p>
<w:pPr><w:pStyle w:val="Normal"/></w:pPr>
<w:r><w:t xml:space="preserve">race.  To this happy circumstance Herophilus and Erasistratus</w:t></w:r>
</w:p>
<w:p>
<w:pPr><w:pStyle w:val="Normal"/></w:pPr>
<w:r><w:t xml:space="preserve">are indebted for the distinction of being known to posterity as</w:t></w:r>
</w:p>
<w:p>
<w:pPr><w:pStyle w:val="Normal"/></w:pPr>
<w:r><w:t xml:space="preserve">the first anatomists who dissected and described the parts of</w:t></w:r>
</w:p>
<w:p>
<w:pPr><w:pStyle w:val="Normal"/></w:pPr>
<w:r><w:t xml:space="preserve">the human body.  Both these physicians flourished under Ptolemy</w:t></w:r>
</w:p>
<w:p>
<w:pPr><w:pStyle w:val="Normal"/></w:pPr>
<w:r><w:t xml:space="preserve">Soter, and probably Ptolemy Philadelphus, and were indeed the</w:t></w:r>
</w:p>
<w:p>
<w:pPr><w:pStyle w:val="Normal"/></w:pPr>
<w:r><w:t xml:space="preserve">principal supports of what has been named in medical history</w:t></w:r>
</w:p>
<w:p>
<w:pPr><w:pStyle w:val="Normal"/></w:pPr>
<w:r><w:t xml:space="preserve">the Alexandrian School, to which their reputation seems to</w:t></w:r>
</w:p>
<w:p>
<w:pPr><w:pStyle w:val="Normal"/></w:pPr>
<w:r><w:t xml:space="preserve">have attracted numerous pupils.  But though the concurrent</w:t></w:r>
</w:p>
<w:p>
<w:pPr><w:pStyle w:val="Normal"/></w:pPr>
<w:r><w:t xml:space="preserve">testimony of antiquity assigns to these physicians the merit</w:t></w:r>
</w:p>
<w:p>
<w:pPr><w:pStyle w:val="Normal"/></w:pPr>
<w:r><w:t xml:space="preserve">of dissecting the human body, time, which wages endless war</w:t></w:r>
</w:p>
<w:p>
<w:pPr><w:pStyle w:val="Normal"/></w:pPr>
<w:r><w:t xml:space="preserve">with the vanity and ambition of man, has dealt hardly with</w:t></w:r>
</w:p>
<w:p>
<w:pPr><w:pStyle w:val="Normal"/></w:pPr>
<w:r><w:t xml:space="preserve">the monuments of their labours.  As the works of neither</w:t></w:r>
</w:p>
<w:p>
<w:pPr><w:pStyle w:val="Normal"/></w:pPr>
<w:r><w:t xml:space="preserve">have been preserved, great uncertainty prevails as to the</w:t></w:r>
</w:p>
<w:p>
<w:pPr><w:pStyle w:val="Normal"/></w:pPr>
<w:r><w:t xml:space="preserve">respective merits of these ancient anatomists; and all that is</w:t></w:r>
</w:p>
<w:p>
<w:pPr><w:pStyle w:val="Normal"/></w:pPr>
<w:r><w:t xml:space="preserve">now known of their anatomical researches is obtained from the</w:t></w:r>
</w:p>
<w:p>
<w:pPr><w:pStyle w:val="Normal"/></w:pPr>
<w:r><w:t xml:space="preserve">occasional notices of Galen, Oribasius and some other writers.</w:t></w:r>
</w:p>
<w:p>
<w:pPr><w:pStyle w:val="Normal"/></w:pPr>
<w:r><w:t xml:space="preserve">Erasistratus.</w:t></w:r>
</w:p>
<w:p>
<w:pPr><w:pStyle w:val="Normal"/></w:pPr>
<w:r><w:t xml:space="preserve">From these it appears that Erasistratus recognized the</w:t></w:r>
</w:p>
<w:p>
<w:pPr><w:pStyle w:val="Normal"/></w:pPr>
<w:r><w:t xml:space="preserve">valves of the heart. and distinguished them by the names of</w:t></w:r>
</w:p>
<w:p>
<w:pPr><w:pStyle w:val="Normal"/></w:pPr>
<w:r><w:t xml:space="preserve">tricuspid and sigmoid; that he studied particularly the</w:t></w:r>
</w:p>
<w:p>
<w:pPr><w:pStyle w:val="Normal"/></w:pPr>
<w:r><w:t xml:space="preserve">shape and structure of the brain, and its divisions, and</w:t></w:r>
</w:p>
<w:p>
<w:pPr><w:pStyle w:val="Normal"/></w:pPr>
<w:r><w:t xml:space="preserve">cavities, and membranes, and likened the convolutions to</w:t></w:r>
</w:p>
<w:p>
<w:pPr><w:pStyle w:val="Normal"/></w:pPr>
<w:r><w:t xml:space="preserve">the folds of the jejunum; that he first formed a distinct</w:t></w:r>
</w:p>
<w:p>
<w:pPr><w:pStyle w:val="Normal"/></w:pPr>
<w:r><w:t xml:space="preserve">idea of the nature of the nerves, which he made issue from</w:t></w:r>
</w:p>
<w:p>
<w:pPr><w:pStyle w:val="Normal"/></w:pPr>
<w:r><w:t xml:space="preserve">the brain; and that he discovered lymphatic vessels in the</w:t></w:r>
</w:p>
<w:p>
<w:pPr><w:pStyle w:val="Normal"/></w:pPr>
<w:r><w:t xml:space="preserve">mesentery, first in brute animals, and afterwards, it is</w:t></w:r>
</w:p>
<w:p>
<w:pPr><w:pStyle w:val="Normal"/></w:pPr>
<w:r><w:t xml:space="preserve">said, in man.  He appears also to have distinguished</w:t></w:r>
</w:p>
<w:p>
<w:pPr><w:pStyle w:val="Normal"/></w:pPr>
<w:r><w:t xml:space="preserve">the nerves into those of sensation and those of motion.</w:t></w:r>
</w:p>
<w:p>
<w:pPr><w:pStyle w:val="Normal"/></w:pPr>
<w:r><w:t xml:space="preserve">Herophilus.</w:t></w:r>
</w:p>
<w:p>
<w:pPr><w:pStyle w:val="Normal"/></w:pPr>
<w:r><w:t xml:space="preserve">Of Herophilus it is said that he had extensive anatomical</w:t></w:r>
</w:p>
<w:p>
<w:pPr><w:pStyle w:val="Normal"/></w:pPr>
<w:r><w:t xml:space="preserve">knowledge, acquired by dissecting not only brutes but human</w:t></w:r>
</w:p>
<w:p>
<w:pPr><w:pStyle w:val="Normal"/></w:pPr>
<w:r><w:t xml:space="preserve">bodies.  Of these he probably dissected more than any</w:t></w:r>
</w:p>
<w:p>
<w:pPr><w:pStyle w:val="Normal"/></w:pPr>
<w:r><w:t xml:space="preserve">of his predecessors or contemporaries.  Devoted to the</w:t></w:r>
</w:p>
<w:p>
<w:pPr><w:pStyle w:val="Normal"/></w:pPr>
<w:r><w:t xml:space="preserve">assiduous cultivation of anatomy, he appears, to have studied</w:t></w:r>
</w:p>
<w:p>
<w:pPr><w:pStyle w:val="Normal"/></w:pPr>
<w:r><w:t xml:space="preserve">with particular attention those parts which were least</w:t></w:r>
</w:p>
<w:p>
<w:pPr><w:pStyle w:val="Normal"/></w:pPr>
<w:r><w:t xml:space="preserve">understood.  He recognized the nature of the pulmonary</w:t></w:r>
</w:p>
<w:p>
<w:pPr><w:pStyle w:val="Normal"/></w:pPr>
<w:r><w:t xml:space="preserve">artery, which he denominates arterious vein; he knew the</w:t></w:r>
</w:p>
<w:p>
<w:pPr><w:pStyle w:val="Normal"/></w:pPr>
<w:r><w:t xml:space="preserve">vessels of the mesentery, and showed that they did not go</w:t></w:r>
</w:p>
<w:p>
<w:pPr><w:pStyle w:val="Normal"/></w:pPr>
<w:r><w:t xml:space="preserve">to the vena portae, but to certain glandular bodies;</w:t></w:r>
</w:p>
<w:p>
<w:pPr><w:pStyle w:val="Normal"/></w:pPr>
<w:r><w:t xml:space="preserve">and he first applied the name of twelve-inch or duodenum</w:t></w:r>
</w:p>
<w:p>
<w:pPr><w:pStyle w:val="Normal"/></w:pPr>
<w:r><w:t xml:space="preserve">(dodekadaktulos) to that part of the alimentary canal</w:t></w:r>
</w:p>
<w:p>
<w:pPr><w:pStyle w:val="Normal"/></w:pPr>
<w:r><w:t xml:space="preserve">which is next to the stomach.  Like Erasistratus, he appears</w:t></w:r>
</w:p>
<w:p>
<w:pPr><w:pStyle w:val="Normal"/></w:pPr>
<w:r><w:t xml:space="preserve">to have studied carefully the configuration of the brain; and</w:t></w:r>
</w:p>
<w:p>
<w:pPr><w:pStyle w:val="Normal"/></w:pPr>
<w:r><w:t xml:space="preserve">though, like him, he distinguishes the nerves into those</w:t></w:r>
</w:p>
<w:p>
<w:pPr><w:pStyle w:val="Normal"/></w:pPr>
<w:r><w:t xml:space="preserve">of sensation and those of voluntary motion, he adds to them</w:t></w:r>
</w:p>
<w:p>
<w:pPr><w:pStyle w:val="Normal"/></w:pPr>
<w:r><w:t xml:space="preserve">the ligaments and tendons.  A tolerable description of the</w:t></w:r>
</w:p>
<w:p>
<w:pPr><w:pStyle w:val="Normal"/></w:pPr>
<w:r><w:t xml:space="preserve">liver by this anatomist is preserved in the writings of</w:t></w:r>
</w:p>
<w:p>
<w:pPr><w:pStyle w:val="Normal"/></w:pPr>
<w:r><w:t xml:space="preserve">Galen.  He first applied the name of choroid or vascular</w:t></w:r>
</w:p>
<w:p>
<w:pPr><w:pStyle w:val="Normal"/></w:pPr>
<w:r><w:t xml:space="preserve">membrane to that which is found in the cerebral ventricles;</w:t></w:r>
</w:p>
<w:p>
<w:pPr><w:pStyle w:val="Normal"/></w:pPr>
<w:r><w:t xml:space="preserve">he knew the straight venous sinus which still bears his name;</w:t></w:r>
</w:p>
<w:p>
<w:pPr><w:pStyle w:val="Normal"/></w:pPr>
<w:r><w:t xml:space="preserve">and to him the linear furrow at the bottom of the fourth</w:t></w:r>
</w:p>
<w:p>
<w:pPr><w:pStyle w:val="Normal"/></w:pPr>
<w:r><w:t xml:space="preserve">ventricle is indebted for its name of calamus scriptorius.</w:t></w:r>
</w:p>
<w:p>
<w:pPr><w:pStyle w:val="Normal"/></w:pPr>
<w:r><w:t xml:space="preserve">The celebrity of these two great anatomists appears to have</w:t></w:r>
</w:p>
<w:p>
<w:pPr><w:pStyle w:val="Normal"/></w:pPr>
<w:r><w:t xml:space="preserve">thrown into the shade for a long period the names of all other</w:t></w:r>
</w:p>
<w:p>
<w:pPr><w:pStyle w:val="Normal"/></w:pPr>
<w:r><w:t xml:space="preserve">inquirers; for, among their numerous and rather celebrated</w:t></w:r>
</w:p>
<w:p>
<w:pPr><w:pStyle w:val="Normal"/></w:pPr>
<w:r><w:t xml:space="preserve">successors in the Alexandrian school, it is impossible to</w:t></w:r>
</w:p>
<w:p>
<w:pPr><w:pStyle w:val="Normal"/></w:pPr>
<w:r><w:t xml:space="preserve">recognize a name which is entitled to distinction in the</w:t></w:r>
</w:p>
<w:p>
<w:pPr><w:pStyle w:val="Normal"/></w:pPr>
<w:r><w:t xml:space="preserve">history of anatomy.  In a chasm so wide it is not uninteresting</w:t></w:r>
</w:p>
<w:p>
<w:pPr><w:pStyle w:val="Normal"/></w:pPr>
<w:r><w:t xml:space="preserve">to find, in one who combined the characters of the greatest</w:t></w:r>
</w:p>
<w:p>
<w:pPr><w:pStyle w:val="Normal"/></w:pPr>
<w:r><w:t xml:space="preserve">orator and philosopher of Rome, the most distinct traces of</w:t></w:r>
</w:p>
<w:p>
<w:pPr><w:pStyle w:val="Normal"/></w:pPr>
<w:r><w:t xml:space="preserve">attention to anatomical knowledge.  Cicero, in his treatise</w:t></w:r>
</w:p>
<w:p>
<w:pPr><w:pStyle w:val="Normal"/></w:pPr>
<w:r><w:t xml:space="preserve">De A&apos;atura Deorum, in a short sketch of physiology, such</w:t></w:r>
</w:p>
<w:p>
<w:pPr><w:pStyle w:val="Normal"/></w:pPr>
<w:r><w:t xml:space="preserve">as it was taught by Aristotle and his disciples, introduces</w:t></w:r>
</w:p>
<w:p>
<w:pPr><w:pStyle w:val="Normal"/></w:pPr>
<w:r><w:t xml:space="preserve">various anatomical notices, from which the classical</w:t></w:r>
</w:p>
<w:p>
<w:pPr><w:pStyle w:val="Normal"/></w:pPr>
<w:r><w:t xml:space="preserve">reader may form some idea of the state of anatomy at that</w:t></w:r>
</w:p>
<w:p>
<w:pPr><w:pStyle w:val="Normal"/></w:pPr>
<w:r><w:t xml:space="preserve">time.  The Roman orator appears to have formed a pretty</w:t></w:r>
</w:p>
<w:p>
<w:pPr><w:pStyle w:val="Normal"/></w:pPr>
<w:r><w:t xml:space="preserve">distinct idea of the shape and connexions of the windpipe</w:t></w:r>
</w:p>
<w:p>
<w:pPr><w:pStyle w:val="Normal"/></w:pPr>
<w:r><w:t xml:space="preserve">and lungs; and though he informs his readers that he knows</w:t></w:r>
</w:p>
<w:p>
<w:pPr><w:pStyle w:val="Normal"/></w:pPr>
<w:r><w:t xml:space="preserve">the alimentary canal, he omits the details through motives of</w:t></w:r>
</w:p>
<w:p>
<w:pPr><w:pStyle w:val="Normal"/></w:pPr>
<w:r><w:t xml:space="preserve">delicacy.  In imitation of Aristotle, he talks of the blood</w:t></w:r>
</w:p>
<w:p>
<w:pPr><w:pStyle w:val="Normal"/></w:pPr>
<w:r><w:t xml:space="preserve">being conveyed by the veins (venae), that is, blood-vessels,</w:t></w:r>
</w:p>
<w:p>
<w:pPr><w:pStyle w:val="Normal"/></w:pPr>
<w:r><w:t xml:space="preserve">through the body at large; and, like Praxagoras, of the air</w:t></w:r>
</w:p>
<w:p>
<w:pPr><w:pStyle w:val="Normal"/></w:pPr>
<w:r><w:t xml:space="preserve">inhaled by the lungs being conveyed through the arteries.</w:t></w:r>
</w:p>
<w:p>
<w:pPr><w:pStyle w:val="Normal"/></w:pPr>
<w:r><w:t xml:space="preserve">Aretaeus, though chiefly known as a medical author, makes</w:t></w:r>
</w:p>
<w:p>
<w:pPr><w:pStyle w:val="Normal"/></w:pPr>
<w:r><w:t xml:space="preserve">some observations on the lung and the pleura, maintains</w:t></w:r>
</w:p>
<w:p>
<w:pPr><w:pStyle w:val="Normal"/></w:pPr>
<w:r><w:t xml:space="preserve">the glandular structure of the kidney, and describes the</w:t></w:r>
</w:p>
<w:p>
<w:pPr><w:pStyle w:val="Normal"/></w:pPr>
<w:r><w:t xml:space="preserve">anastomoses or communications of the capillary extremities</w:t></w:r>
</w:p>
<w:p>
<w:pPr><w:pStyle w:val="Normal"/></w:pPr>
<w:r><w:t xml:space="preserve">of the vena cava with those of the portal vein.</w:t></w:r>
</w:p>
<w:p>
<w:pPr><w:pStyle w:val="Normal"/></w:pPr>
<w:r><w:t xml:space="preserve">Celsus.</w:t></w:r>
</w:p>
<w:p>
<w:pPr><w:pStyle w:val="Normal"/></w:pPr>
<w:r><w:t xml:space="preserve">The most valuable depository of the anatomical knowledge of</w:t></w:r>
</w:p>
<w:p>
<w:pPr><w:pStyle w:val="Normal"/></w:pPr>
<w:r><w:t xml:space="preserve">these times is the work of Celsus, one of the most judicious</w:t></w:r>
</w:p>
<w:p>
<w:pPr><w:pStyle w:val="Normal"/></w:pPr>
<w:r><w:t xml:space="preserve">medical authors of antiquity.  He left, indeed, no express</w:t></w:r>
</w:p>
<w:p>
<w:pPr><w:pStyle w:val="Normal"/></w:pPr>
<w:r><w:t xml:space="preserve">anatomical treatise; but from the introductions to the 4th</w:t></w:r>
</w:p>
<w:p>
<w:pPr><w:pStyle w:val="Normal"/></w:pPr>
<w:r><w:t xml:space="preserve">and 8th books of his work, De Medicina, with incidental</w:t></w:r>
</w:p>
<w:p>
<w:pPr><w:pStyle w:val="Normal"/></w:pPr>
<w:r><w:t xml:space="preserve">remarks in the 7th, the modern reader may form very just</w:t></w:r>
</w:p>
<w:p>
<w:pPr><w:pStyle w:val="Normal"/></w:pPr>
<w:r><w:t xml:space="preserve">ideas of his anatomical attainments.  From these it appears</w:t></w:r>
</w:p>
<w:p>
<w:pPr><w:pStyle w:val="Normal"/></w:pPr>
<w:r><w:t xml:space="preserve">that Celsus was well acquainted with the windpipe and lungs</w:t></w:r>
</w:p>
<w:p>
<w:pPr><w:pStyle w:val="Normal"/></w:pPr>
<w:r><w:t xml:space="preserve">and the heart; with the difference between the windpipe</w:t></w:r>
</w:p>
<w:p>
<w:pPr><w:pStyle w:val="Normal"/></w:pPr>
<w:r><w:t xml:space="preserve">and oesophagus (stomachus), which leads to the stomach</w:t></w:r>
</w:p>
<w:p>
<w:pPr><w:pStyle w:val="Normal"/></w:pPr>
<w:r><w:t xml:space="preserve">(ventriculus); and with the shape, situation and relations</w:t></w:r>
</w:p>
<w:p>
<w:pPr><w:pStyle w:val="Normal"/></w:pPr>
<w:r><w:t xml:space="preserve">of the diaphragm.  He enumerates also the principal facts</w:t></w:r>
</w:p>
<w:p>
<w:pPr><w:pStyle w:val="Normal"/></w:pPr>
<w:r><w:t xml:space="preserve">relating to the situation of the liver, the spleen, the</w:t></w:r>
</w:p>
<w:p>
<w:pPr><w:pStyle w:val="Normal"/></w:pPr>
<w:r><w:t xml:space="preserve">kidneys and the stomach.  He appears, however, to have been</w:t></w:r>
</w:p>
<w:p>
<w:pPr><w:pStyle w:val="Normal"/></w:pPr>
<w:r><w:t xml:space="preserve">unaware of the distinction of duodenum or twelve-inch</w:t></w:r>
</w:p>
<w:p>
<w:pPr><w:pStyle w:val="Normal"/></w:pPr>
<w:r><w:t xml:space="preserve">bowel, already admitted by Herophilus, and represents the</w:t></w:r>
</w:p>
<w:p>
<w:pPr><w:pStyle w:val="Normal"/></w:pPr>
<w:r><w:t xml:space="preserve">stomach as directly connected by means of the pylorus</w:t></w:r>
</w:p>
<w:p>
<w:pPr><w:pStyle w:val="Normal"/></w:pPr>
<w:r><w:t xml:space="preserve">with the jejunum or upper part of the small intestine.</w:t></w:r>
</w:p>
<w:p>
<w:pPr><w:pStyle w:val="Normal"/></w:pPr>
<w:r><w:t xml:space="preserve">The 7th and 8th books, which are devoted to the consideration</w:t></w:r>
</w:p>
<w:p>
<w:pPr><w:pStyle w:val="Normal"/></w:pPr>
<w:r><w:t xml:space="preserve">of those diseases which are treated by manual operation,</w:t></w:r>
</w:p>
<w:p>
<w:pPr><w:pStyle w:val="Normal"/></w:pPr>
<w:r><w:t xml:space="preserve">contain sundry anatomical notices necessary to explain the</w:t></w:r>
</w:p>
<w:p>
<w:pPr><w:pStyle w:val="Normal"/></w:pPr>
<w:r><w:t xml:space="preserve">nature of the diseases or mode of treatment.  Of these,</w:t></w:r>
</w:p>
<w:p>
<w:pPr><w:pStyle w:val="Normal"/></w:pPr>
<w:r><w:t xml:space="preserve">indeed, the merit is unequal; and it is not wonderful that</w:t></w:r>
</w:p>
<w:p>
<w:pPr><w:pStyle w:val="Normal"/></w:pPr>
<w:r><w:t xml:space="preserve">the ignorance of the day prevented Celsus from understanding</w:t></w:r>
</w:p>
<w:p>
<w:pPr><w:pStyle w:val="Normal"/></w:pPr>
<w:r><w:t xml:space="preserve">rightly the mechanism of the pathology of hernia.  He appears,</w:t></w:r>
</w:p>
<w:p>
<w:pPr><w:pStyle w:val="Normal"/></w:pPr>
<w:r><w:t xml:space="preserve">however, to have formed a tolerably just idea of the mode of</w:t></w:r>
</w:p>
<w:p>
<w:pPr><w:pStyle w:val="Normal"/></w:pPr>
<w:r><w:t xml:space="preserve">cutting into the urinary bladder; and even his obstetrical</w:t></w:r>
</w:p>
<w:p>
<w:pPr><w:pStyle w:val="Normal"/></w:pPr>
<w:r><w:t xml:space="preserve">instructions show that his knowledge of the uterus, vagina</w:t></w:r>
</w:p>
<w:p>
<w:pPr><w:pStyle w:val="Normal"/></w:pPr>
<w:r><w:t xml:space="preserve">and appendages was not contemptible.  It is in osteology,</w:t></w:r>
</w:p>
<w:p>
<w:pPr><w:pStyle w:val="Normal"/></w:pPr>
<w:r><w:t xml:space="preserve">however, that the information of Celsus is chiefly conspicuous.</w:t></w:r>
</w:p>
<w:p>
<w:pPr><w:pStyle w:val="Normal"/></w:pPr>
<w:r><w:t xml:space="preserve">He enumerates the sutures and several of the holes of the</w:t></w:r>
</w:p>
<w:p>
<w:pPr><w:pStyle w:val="Normal"/></w:pPr>
<w:r><w:t xml:space="preserve">cranium, and describes at great length the superior and inferior</w:t></w:r>
</w:p>
<w:p>
<w:pPr><w:pStyle w:val="Normal"/></w:pPr>
<w:r><w:t xml:space="preserve">maxillary bones and the teeth.  With a good deal of care he</w:t></w:r>
</w:p>
<w:p>
<w:pPr><w:pStyle w:val="Normal"/></w:pPr>
<w:r><w:t xml:space="preserve">describes the vertebrae and the ribs, and gives very briefly</w:t></w:r>
</w:p>
<w:p>
<w:pPr><w:pStyle w:val="Normal"/></w:pPr>
<w:r><w:t xml:space="preserve">the situation and shape of the scapula, humerus, radius and</w:t></w:r>
</w:p>
<w:p>
<w:pPr><w:pStyle w:val="Normal"/></w:pPr>
<w:r><w:t xml:space="preserve">ulna, and even of the carpal and metacarpal bones, and then</w:t></w:r>
</w:p>
<w:p>
<w:pPr><w:pStyle w:val="Normal"/></w:pPr>
<w:r><w:t xml:space="preserve">of the different bones of the pelvis and lower extremities.</w:t></w:r>
</w:p>
<w:p>
<w:pPr><w:pStyle w:val="Normal"/></w:pPr>
<w:r><w:t xml:space="preserve">He had formed a just idea of the articular connexions, and</w:t></w:r>
</w:p>
<w:p>
<w:pPr><w:pStyle w:val="Normal"/></w:pPr>
<w:r><w:t xml:space="preserve">is desirous to impress the fact that none is formed without</w:t></w:r>
</w:p>
<w:p>
<w:pPr><w:pStyle w:val="Normal"/></w:pPr>
<w:r><w:t xml:space="preserve">cartilage.  From his mention of many minute holes (multa et</w:t></w:r>
</w:p>
<w:p>
<w:pPr><w:pStyle w:val="Normal"/></w:pPr>
<w:r><w:t xml:space="preserve">tenuia foramina) in the recess of the nasal cavities, it is</w:t></w:r>
</w:p>
<w:p>
<w:pPr><w:pStyle w:val="Normal"/></w:pPr>
<w:r><w:t xml:space="preserve">evident that he was acquainted with the perforated plate of</w:t></w:r>
</w:p>
<w:p>
<w:pPr><w:pStyle w:val="Normal"/></w:pPr>
<w:r><w:t xml:space="preserve">the ethmoid bone; and from saying that the straight part of</w:t></w:r>
</w:p>
<w:p>
<w:pPr><w:pStyle w:val="Normal"/></w:pPr>
<w:r><w:t xml:space="preserve">the auditory canal becomes flexuous and terminates in numerous</w:t></w:r>
</w:p>
<w:p>
<w:pPr><w:pStyle w:val="Normal"/></w:pPr>
<w:r><w:t xml:space="preserve">minute cavities (multa et tenuia foramina diducitur), it</w:t></w:r>
</w:p>
<w:p>
<w:pPr><w:pStyle w:val="Normal"/></w:pPr>
<w:r><w:t xml:space="preserve">is inferred by Portal that he knew the semicircular canals.</w:t></w:r>
</w:p>
<w:p>
<w:pPr><w:pStyle w:val="Normal"/></w:pPr>
<w:r><w:t xml:space="preserve">Though the writings of Celsus show that he cultivated anatomical</w:t></w:r>
</w:p>
<w:p>
<w:pPr><w:pStyle w:val="Normal"/></w:pPr>
<w:r><w:t xml:space="preserve">knowledge, it does not appear that the science was much studied</w:t></w:r>
</w:p>
<w:p>
<w:pPr><w:pStyle w:val="Normal"/></w:pPr>
<w:r><w:t xml:space="preserve">by the Romans; and there is reason to believe that, after the</w:t></w:r>
</w:p>
<w:p>
<w:pPr><w:pStyle w:val="Normal"/></w:pPr>
<w:r><w:t xml:space="preserve">decay of the school of Alexandria, it languished in neglect and</w:t></w:r>
</w:p>
<w:p>
<w:pPr><w:pStyle w:val="Normal"/></w:pPr>
<w:r><w:t xml:space="preserve">obscurity.  It is at least certain that the appearance of</w:t></w:r>
</w:p>
<w:p>
<w:pPr><w:pStyle w:val="Normal"/></w:pPr>
<w:r><w:t xml:space="preserve">Marinus during the reign of Nero is mentioned by authors</w:t></w:r>
</w:p>
<w:p>
<w:pPr><w:pStyle w:val="Normal"/></w:pPr>
<w:r><w:t xml:space="preserve">as an era remarkable for anatomical inquiry, and that this</w:t></w:r>
</w:p>
<w:p>
<w:pPr><w:pStyle w:val="Normal"/></w:pPr>
<w:r><w:t xml:space="preserve">person is distinguished by Galen as the restorer of a branch</w:t></w:r>
</w:p>
<w:p>
<w:pPr><w:pStyle w:val="Normal"/></w:pPr>
<w:r><w:t xml:space="preserve">of knowledge which had been before him suffered to fall into</w:t></w:r>
</w:p>
<w:p>
<w:pPr><w:pStyle w:val="Normal"/></w:pPr>
<w:r><w:t xml:space="preserve">undeserved neglect.  From Galen also we learn that Marinus</w:t></w:r>
</w:p>
<w:p>
<w:pPr><w:pStyle w:val="Normal"/></w:pPr>
<w:r><w:t xml:space="preserve">gave an accurate account of the muscles, that he studied</w:t></w:r>
</w:p>
<w:p>
<w:pPr><w:pStyle w:val="Normal"/></w:pPr>
<w:r><w:t xml:space="preserve">particularly the glands, and that he discovered those of the</w:t></w:r>
</w:p>
<w:p>
<w:pPr><w:pStyle w:val="Normal"/></w:pPr>
<w:r><w:t xml:space="preserve">mesentery.  He fixed the number of nerves at seven; he observed</w:t></w:r>
</w:p>
<w:p>
<w:pPr><w:pStyle w:val="Normal"/></w:pPr>
<w:r><w:t xml:space="preserve">the palatine nerves, which he rated as the fourth pair;</w:t></w:r>
</w:p>
<w:p>
<w:pPr><w:pStyle w:val="Normal"/></w:pPr>
<w:r><w:t xml:space="preserve">and described as the fifth the auditory and facial, which</w:t></w:r>
</w:p>
<w:p>
<w:pPr><w:pStyle w:val="Normal"/></w:pPr>
<w:r><w:t xml:space="preserve">he regards as one pair, and the hypoglossal as the sixth.</w:t></w:r>
</w:p>
<w:p>
<w:pPr><w:pStyle w:val="Normal"/></w:pPr>
<w:r><w:t xml:space="preserve">Rufus.</w:t></w:r>
</w:p>
<w:p>
<w:pPr><w:pStyle w:val="Normal"/></w:pPr>
<w:r><w:t xml:space="preserve">Not long after Marinus appeared Rufus (or Ruffus) of</w:t></w:r>
</w:p>
<w:p>
<w:pPr><w:pStyle w:val="Normal"/></w:pPr>
<w:r><w:t xml:space="preserve">Ephesus, a Greek physician, who in the reign of Trajan was</w:t></w:r>
</w:p>
<w:p>
<w:pPr><w:pStyle w:val="Normal"/></w:pPr>
<w:r><w:t xml:space="preserve">much attached to physiology, and as a means of cultivating</w:t></w:r>
</w:p>
<w:p>
<w:pPr><w:pStyle w:val="Normal"/></w:pPr>
<w:r><w:t xml:space="preserve">this science studied Comparative Anatomy and made sundry</w:t></w:r>
</w:p>
<w:p>
<w:pPr><w:pStyle w:val="Normal"/></w:pPr>
<w:r><w:t xml:space="preserve">experiments on living animals.  Of the anatomical writings</w:t></w:r>
</w:p>
<w:p>
<w:pPr><w:pStyle w:val="Normal"/></w:pPr>
<w:r><w:t xml:space="preserve">of this author there remains only a list or catalogue of</w:t></w:r>
</w:p>
<w:p>
<w:pPr><w:pStyle w:val="Normal"/></w:pPr>
<w:r><w:t xml:space="preserve">names of different regions and parts of the animal body.  He</w:t></w:r>
</w:p>
<w:p>
<w:pPr><w:pStyle w:val="Normal"/></w:pPr>
<w:r><w:t xml:space="preserve">appears, however, to have directed attention particularly</w:t></w:r>
</w:p>
<w:p>
<w:pPr><w:pStyle w:val="Normal"/></w:pPr>
<w:r><w:t xml:space="preserve">to the tortuous course of the uterine vessels, and to have</w:t></w:r>
</w:p>
<w:p>
<w:pPr><w:pStyle w:val="Normal"/></w:pPr>
<w:r><w:t xml:space="preserve">recognized even at this early period the Fallopian tube.  He</w:t></w:r>
</w:p>
<w:p>
<w:pPr><w:pStyle w:val="Normal"/></w:pPr>
<w:r><w:t xml:space="preserve">distinguishes the nerves into those of sensation and those of</w:t></w:r>
</w:p>
<w:p>
<w:pPr><w:pStyle w:val="Normal"/></w:pPr>
<w:r><w:t xml:space="preserve">motion.  He knew the recurrent nerve.  His name is further</w:t></w:r>
</w:p>
<w:p>
<w:pPr><w:pStyle w:val="Normal"/></w:pPr>
<w:r><w:t xml:space="preserve">associated with the ancient experiment of compressing in</w:t></w:r>
</w:p>
<w:p>
<w:pPr><w:pStyle w:val="Normal"/></w:pPr>
<w:r><w:t xml:space="preserve">the situation of the carotid arteries the pneumogastric</w:t></w:r>
</w:p>
<w:p>
<w:pPr><w:pStyle w:val="Normal"/></w:pPr>
<w:r><w:t xml:space="preserve">nerve, and thereby inducing insensibility and loss of voice.</w:t></w:r>
</w:p>
<w:p>
<w:pPr><w:pStyle w:val="Normal"/></w:pPr>
<w:r><w:t xml:space="preserve">Galen.</w:t></w:r>
</w:p>
<w:p>
<w:pPr><w:pStyle w:val="Normal"/></w:pPr>
<w:r><w:t xml:space="preserve">Of all the authors of antiquity, however, none possesses so</w:t></w:r>
</w:p>
<w:p>
<w:pPr><w:pStyle w:val="Normal"/></w:pPr>
<w:r><w:t xml:space="preserve">just a claim to the title of anatomist as Claudius Galenus,</w:t></w:r>
</w:p>
<w:p>
<w:pPr><w:pStyle w:val="Normal"/></w:pPr>
<w:r><w:t xml:space="preserve">the celebrated physician of Pergamum, who was born about the</w:t></w:r>
</w:p>
<w:p>
<w:pPr><w:pStyle w:val="Normal"/></w:pPr>
<w:r><w:t xml:space="preserve">130th year of the Christian era, and lived under the reigns of</w:t></w:r>
</w:p>
<w:p>
<w:pPr><w:pStyle w:val="Normal"/></w:pPr>
<w:r><w:t xml:space="preserve">Hadrian, the Antonines, Commodus and Severus.  He was trained</w:t></w:r>
</w:p>
<w:p>
<w:pPr><w:pStyle w:val="Normal"/></w:pPr>
<w:r><w:t xml:space="preserve">by his father Nicon (whose memory he embalms as an eminent</w:t></w:r>
</w:p>
<w:p>
<w:pPr><w:pStyle w:val="Normal"/></w:pPr>
<w:r><w:t xml:space="preserve">mathematician, architect and astronomer) in all the learning</w:t></w:r>
</w:p>
<w:p>
<w:pPr><w:pStyle w:val="Normal"/></w:pPr>
<w:r><w:t xml:space="preserve">of the day, and initiated particularly into the mysteries of</w:t></w:r>
</w:p>
<w:p>
<w:pPr><w:pStyle w:val="Normal"/></w:pPr>
<w:r><w:t xml:space="preserve">the Aristotelian philosophy.  In an order somewhat whimsical</w:t></w:r>
</w:p>
<w:p>
<w:pPr><w:pStyle w:val="Normal"/></w:pPr>
<w:r><w:t xml:space="preserve">he afterwards studied philosophy successively in the schools</w:t></w:r>
</w:p>
<w:p>
<w:pPr><w:pStyle w:val="Normal"/></w:pPr>
<w:r><w:t xml:space="preserve">of the Stoics, the Academics, the Peripatetics and the</w:t></w:r>
</w:p>
<w:p>
<w:pPr><w:pStyle w:val="Normal"/></w:pPr>
<w:r><w:t xml:space="preserve">Epicureans.  When he was seventeen years of age, his father,</w:t></w:r>
</w:p>
<w:p>
<w:pPr><w:pStyle w:val="Normal"/></w:pPr>
<w:r><w:t xml:space="preserve">he informs us, was admonished by a dream to devote his son</w:t></w:r>
</w:p>
<w:p>
<w:pPr><w:pStyle w:val="Normal"/></w:pPr>
<w:r><w:t xml:space="preserve">to the study of medicine; but it was fully two years after</w:t></w:r>
</w:p>
<w:p>
<w:pPr><w:pStyle w:val="Normal"/></w:pPr>
<w:r><w:t xml:space="preserve">that Galen entered on this pursuit, under the auspices of</w:t></w:r>
</w:p>
<w:p>
<w:pPr><w:pStyle w:val="Normal"/></w:pPr>
<w:r><w:t xml:space="preserve">an instructor whose name he has thought proper to conceal.</w:t></w:r>
</w:p>
<w:p>
<w:pPr><w:pStyle w:val="Normal"/></w:pPr>
<w:r><w:t xml:space="preserve">Shortly after he betook himself to the study of anatomy under</w:t></w:r>
</w:p>
<w:p>
<w:pPr><w:pStyle w:val="Normal"/></w:pPr>
<w:r><w:t xml:space="preserve">Satyrus, a pupil of Quintus, and of medicine under Stratonicus,</w:t></w:r>
</w:p>
<w:p>
<w:pPr><w:pStyle w:val="Normal"/></w:pPr>
<w:r><w:t xml:space="preserve">a Hippocratic physician, and Aeschrion, an empiric.  He had</w:t></w:r>
</w:p>
<w:p>
<w:pPr><w:pStyle w:val="Normal"/></w:pPr>
<w:r><w:t xml:space="preserve">scarcely attained the age of twenty when he had occasion to</w:t></w:r>
</w:p>
<w:p>
<w:pPr><w:pStyle w:val="Normal"/></w:pPr>
<w:r><w:t xml:space="preserve">deplore the loss of the first and most affectionate guide of</w:t></w:r>
</w:p>
<w:p>
<w:pPr><w:pStyle w:val="Normal"/></w:pPr>
<w:r><w:t xml:space="preserve">his studies; and soon after he proceeded to Smyrna to obtain</w:t></w:r>
</w:p>
<w:p>
<w:pPr><w:pStyle w:val="Normal"/></w:pPr>
<w:r><w:t xml:space="preserve">the anatomical instructions of Pelops, who, though mystified</w:t></w:r>
</w:p>
<w:p>
<w:pPr><w:pStyle w:val="Normal"/></w:pPr>
<w:r><w:t xml:space="preserve">by some of the errors of Hippocrates, is commemorated by his</w:t></w:r>
</w:p>
<w:p>
<w:pPr><w:pStyle w:val="Normal"/></w:pPr>
<w:r><w:t xml:space="preserve">pupil as a skilful anatomist.  After this he appears to have</w:t></w:r>
</w:p>
<w:p>
<w:pPr><w:pStyle w:val="Normal"/></w:pPr>
<w:r><w:t xml:space="preserve">visited various cities distinguished for philosophical or</w:t></w:r>
</w:p>
<w:p>
<w:pPr><w:pStyle w:val="Normal"/></w:pPr>
<w:r><w:t xml:space="preserve">medical teachers; and, finally, to have gone to Alexandria</w:t></w:r>
</w:p>
<w:p>
<w:pPr><w:pStyle w:val="Normal"/></w:pPr>
<w:r><w:t xml:space="preserve">with the view of cultivating more accurately and intimately</w:t></w:r>
</w:p>
<w:p>
<w:pPr><w:pStyle w:val="Normal"/></w:pPr>
<w:r><w:t xml:space="preserve">the study of anatomy under Heraclianus.  Here he remained till</w:t></w:r>
</w:p>
<w:p>
<w:pPr><w:pStyle w:val="Normal"/></w:pPr>
<w:r><w:t xml:space="preserve">his twenty-eighth year, when he regarded himself as possessed</w:t></w:r>
</w:p>
<w:p>
<w:pPr><w:pStyle w:val="Normal"/></w:pPr>
<w:r><w:t xml:space="preserve">of all the knowledge then attainable through the medium of</w:t></w:r>
</w:p>
<w:p>
<w:pPr><w:pStyle w:val="Normal"/></w:pPr>
<w:r><w:t xml:space="preserve">teachers.  He now returned to Pergamum to exercise the art</w:t></w:r>
</w:p>
<w:p>
<w:pPr><w:pStyle w:val="Normal"/></w:pPr>
<w:r><w:t xml:space="preserve">which he had so anxiously studied, and received, in his</w:t></w:r>
</w:p>
<w:p>
<w:pPr><w:pStyle w:val="Normal"/></w:pPr>
<w:r><w:t xml:space="preserve">twenty-ninth year, an unequivocal testimony of the confidence</w:t></w:r>
</w:p>
<w:p>
<w:pPr><w:pStyle w:val="Normal"/></w:pPr>
<w:r><w:t xml:space="preserve">which his fellow-citizens reposed in his skill, by being</w:t></w:r>
</w:p>
<w:p>
<w:pPr><w:pStyle w:val="Normal"/></w:pPr>
<w:r><w:t xml:space="preserve">intrusted with the treatment of the wounded gladiators;</w:t></w:r>
</w:p>
<w:p>
<w:pPr><w:pStyle w:val="Normal"/></w:pPr>
<w:r><w:t xml:space="preserve">and in this capacity he is said to have treated wounds with</w:t></w:r>
</w:p>
<w:p>
<w:pPr><w:pStyle w:val="Normal"/></w:pPr>
<w:r><w:t xml:space="preserve">success which were fatal under former treatment.  A seditious</w:t></w:r>
</w:p>
<w:p>
<w:pPr><w:pStyle w:val="Normal"/></w:pPr>
<w:r><w:t xml:space="preserve">tumult appears to have caused him to form the resolution</w:t></w:r>
</w:p>
<w:p>
<w:pPr><w:pStyle w:val="Normal"/></w:pPr>
<w:r><w:t xml:space="preserve">of quitting Pergamum and proceeding to Rome at the age of</w:t></w:r>
</w:p>
<w:p>
<w:pPr><w:pStyle w:val="Normal"/></w:pPr>
<w:r><w:t xml:space="preserve">thirty-two.  Here, however, he remained only five years; and</w:t></w:r>
</w:p>
<w:p>
<w:pPr><w:pStyle w:val="Normal"/></w:pPr>
<w:r><w:t xml:space="preserve">returning once more to Pergamum, after travelling for some</w:t></w:r>
</w:p>
<w:p>
<w:pPr><w:pStyle w:val="Normal"/></w:pPr>
<w:r><w:t xml:space="preserve">time, finally settled in Rome as physician to the emperor</w:t></w:r>
</w:p>
<w:p>
<w:pPr><w:pStyle w:val="Normal"/></w:pPr>
<w:r><w:t xml:space="preserve">Commodus.  The anatomical writings ascribed to Galen, which</w:t></w:r>
</w:p>
<w:p>
<w:pPr><w:pStyle w:val="Normal"/></w:pPr>
<w:r><w:t xml:space="preserve">are numerous, are to be viewed not merely as the result</w:t></w:r>
</w:p>
<w:p>
<w:pPr><w:pStyle w:val="Normal"/></w:pPr>
<w:r><w:t xml:space="preserve">of personal research and information, but as the common</w:t></w:r>
</w:p>
<w:p>
<w:pPr><w:pStyle w:val="Normal"/></w:pPr>
<w:r><w:t xml:space="preserve">depository of the anatomical knowledge of the day, and as</w:t></w:r>
</w:p>
<w:p>
<w:pPr><w:pStyle w:val="Normal"/></w:pPr>
<w:r><w:t xml:space="preserve">combining all that he had learnt from the several teachers</w:t></w:r>
</w:p>
<w:p>
<w:pPr><w:pStyle w:val="Normal"/></w:pPr>
<w:r><w:t xml:space="preserve">under whom he successively studied with whatever personal</w:t></w:r>
</w:p>
<w:p>
<w:pPr><w:pStyle w:val="Normal"/></w:pPr>
<w:r><w:t xml:space="preserve">investigation enabled him to acquire.  It is on this account</w:t></w:r>
</w:p>
<w:p>
<w:pPr><w:pStyle w:val="Normal"/></w:pPr>
<w:r><w:t xml:space="preserve">not always easy to distinguish what Galen had himself</w:t></w:r>
</w:p>
<w:p>
<w:pPr><w:pStyle w:val="Normal"/></w:pPr>
<w:r><w:t xml:space="preserve">ascertained by personal research from that which was known</w:t></w:r>
</w:p>
<w:p>
<w:pPr><w:pStyle w:val="Normal"/></w:pPr>
<w:r><w:t xml:space="preserve">by other anatomists.  This, however, though of moment to the</w:t></w:r>
</w:p>
<w:p>
<w:pPr><w:pStyle w:val="Normal"/></w:pPr>
<w:r><w:t xml:space="preserve">history of Galen as an anatomist, is of little consequence</w:t></w:r>
</w:p>
<w:p>
<w:pPr><w:pStyle w:val="Normal"/></w:pPr>
<w:r><w:t xml:space="preserve">to the science itself; and from the anatomical remains of</w:t></w:r>
</w:p>
<w:p>
<w:pPr><w:pStyle w:val="Normal"/></w:pPr>
<w:r><w:t xml:space="preserve">this author a pretty just idea may be formed both of the</w:t></w:r>
</w:p>
<w:p>
<w:pPr><w:pStyle w:val="Normal"/></w:pPr>
<w:r><w:t xml:space="preserve">progress and of the actual state of the science at that time.</w:t></w:r>
</w:p>
<w:p>
<w:pPr><w:pStyle w:val="Normal"/></w:pPr>
<w:r><w:t xml:space="preserve">The osteology of Galen is undoubtedly the most perfect of</w:t></w:r>
</w:p>
<w:p>
<w:pPr><w:pStyle w:val="Normal"/></w:pPr>
<w:r><w:t xml:space="preserve">the departments of the anatomy of the ancients.  He names</w:t></w:r>
</w:p>
<w:p>
<w:pPr><w:pStyle w:val="Normal"/></w:pPr>
<w:r><w:t xml:space="preserve">and distinguishes the bones and sutures of the cranium nearly</w:t></w:r>
</w:p>
<w:p>
<w:pPr><w:pStyle w:val="Normal"/></w:pPr>
<w:r><w:t xml:space="preserve">in the same manner as at present.  Thus, he notices the</w:t></w:r>
</w:p>
<w:p>
<w:pPr><w:pStyle w:val="Normal"/></w:pPr>
<w:r><w:t xml:space="preserve">quadrilateral shape of the parietal bones; he distinguishes the</w:t></w:r>
</w:p>
<w:p>
<w:pPr><w:pStyle w:val="Normal"/></w:pPr>
<w:r><w:t xml:space="preserve">squamous, the styloid, the mastoid and the petrous portions</w:t></w:r>
</w:p>
<w:p>
<w:pPr><w:pStyle w:val="Normal"/></w:pPr>
<w:r><w:t xml:space="preserve">of the temporal bones; and he remarks the peculiar situation</w:t></w:r>
</w:p>
<w:p>
<w:pPr><w:pStyle w:val="Normal"/></w:pPr>
<w:r><w:t xml:space="preserve">and shape of the sphenoid bone.  Of the ethmoid, which he</w:t></w:r>
</w:p>
<w:p>
<w:pPr><w:pStyle w:val="Normal"/></w:pPr>
<w:r><w:t xml:space="preserve">omits at first, he afterwards speaks more at large in another</w:t></w:r>
</w:p>
<w:p>
<w:pPr><w:pStyle w:val="Normal"/></w:pPr>
<w:r><w:t xml:space="preserve">treatise.  The malar he notices under the name of zygomatic</w:t></w:r>
</w:p>
<w:p>
<w:pPr><w:pStyle w:val="Normal"/></w:pPr>
<w:r><w:t xml:space="preserve">bone; and he describes at length the upper maxillary and</w:t></w:r>
</w:p>
<w:p>
<w:pPr><w:pStyle w:val="Normal"/></w:pPr>
<w:r><w:t xml:space="preserve">nasal bones, and the connexion of the former with the</w:t></w:r>
</w:p>
<w:p>
<w:pPr><w:pStyle w:val="Normal"/></w:pPr>
<w:r><w:t xml:space="preserve">sphenoid.  He gives the first clear account of the number and</w:t></w:r>
</w:p>
<w:p>
<w:pPr><w:pStyle w:val="Normal"/></w:pPr>
<w:r><w:t xml:space="preserve">situation of the vertebrae, which he divides into cervical,</w:t></w:r>
</w:p>
<w:p>
<w:pPr><w:pStyle w:val="Normal"/></w:pPr>
<w:r><w:t xml:space="preserve">dorsal and lumbar, and distinguishes from the sacrum and</w:t></w:r>
</w:p>
<w:p>
<w:pPr><w:pStyle w:val="Normal"/></w:pPr>
<w:r><w:t xml:space="preserve">coccyx.  Under the head Bones of the Thorax, he enumerates the</w:t></w:r>
</w:p>
<w:p>
<w:pPr><w:pStyle w:val="Normal"/></w:pPr>
<w:r><w:t xml:space="preserve">sternum, the ribs (ai pleurai), and the dorsal vertebrae,</w:t></w:r>
</w:p>
<w:p>
<w:pPr><w:pStyle w:val="Normal"/></w:pPr>
<w:r><w:t xml:space="preserve">the connexion of which with the former he designates as a</w:t></w:r>
</w:p>
<w:p>
<w:pPr><w:pStyle w:val="Normal"/></w:pPr>
<w:r><w:t xml:space="preserve">variety of diarthrosis. The description of the bones of the</w:t></w:r>
</w:p>
<w:p>
<w:pPr><w:pStyle w:val="Normal"/></w:pPr>
<w:r><w:t xml:space="preserve">extremities and their articulations concludes the treatise.</w:t></w:r>
</w:p>
<w:p>
<w:pPr><w:pStyle w:val="Normal"/></w:pPr>
<w:r><w:t xml:space="preserve">Though in myology Galen appears to less advantage than in</w:t></w:r>
</w:p>
<w:p>
<w:pPr><w:pStyle w:val="Normal"/></w:pPr>
<w:r><w:t xml:space="preserve">osteology, he nevertheless had carried this part of anatomical</w:t></w:r>
</w:p>
<w:p>
<w:pPr><w:pStyle w:val="Normal"/></w:pPr>
<w:r><w:t xml:space="preserve">knowledge to greater perfection than any of his predecessors.</w:t></w:r>
</w:p>
<w:p>
<w:pPr><w:pStyle w:val="Normal"/></w:pPr>
<w:r><w:t xml:space="preserve">He describes a frontal muscle, the six muscles of the eye</w:t></w:r>
</w:p>
<w:p>
<w:pPr><w:pStyle w:val="Normal"/></w:pPr>
<w:r><w:t xml:space="preserve">and a seventh proper to animals; a muscle to each ala nasi,</w:t></w:r>
</w:p>
<w:p>
<w:pPr><w:pStyle w:val="Normal"/></w:pPr>
<w:r><w:t xml:space="preserve">four muscles of the lips, the thin cutaneous muscle of the</w:t></w:r>
</w:p>
<w:p>
<w:pPr><w:pStyle w:val="Normal"/></w:pPr>
<w:r><w:t xml:space="preserve">neck, which he first termed platysma myoides or muscular</w:t></w:r>
</w:p>
<w:p>
<w:pPr><w:pStyle w:val="Normal"/></w:pPr>
<w:r><w:t xml:space="preserve">expansion, two muscles of the eyelids, and four pairs of</w:t></w:r>
</w:p>
<w:p>
<w:pPr><w:pStyle w:val="Normal"/></w:pPr>
<w:r><w:t xml:space="preserve">muscles of the lower jaw--the temporal to raise, the masseter</w:t></w:r>
</w:p>
<w:p>
<w:pPr><w:pStyle w:val="Normal"/></w:pPr>
<w:r><w:t xml:space="preserve">to draw to one side, and two depressors, corresponding to the</w:t></w:r>
</w:p>
<w:p>
<w:pPr><w:pStyle w:val="Normal"/></w:pPr>
<w:r><w:t xml:space="preserve">digastric and internal pterygoid muscles.  After speaking of</w:t></w:r>
</w:p>
<w:p>
<w:pPr><w:pStyle w:val="Normal"/></w:pPr>
<w:r><w:t xml:space="preserve">the muscles which move the head and the scapula, he adverts</w:t></w:r>
</w:p>
<w:p>
<w:pPr><w:pStyle w:val="Normal"/></w:pPr>
<w:r><w:t xml:space="preserve">to those by which the windpipe is opened and shut, and the</w:t></w:r>
</w:p>
<w:p>
<w:pPr><w:pStyle w:val="Normal"/></w:pPr>
<w:r><w:t xml:space="preserve">intrinsic or proper muscles of the larynx and hyoid bone.</w:t></w:r>
</w:p>
<w:p>
<w:pPr><w:pStyle w:val="Normal"/></w:pPr>
<w:r><w:t xml:space="preserve">Then follow those of the tongue, pharynx and neck, those of</w:t></w:r>
</w:p>
<w:p>
<w:pPr><w:pStyle w:val="Normal"/></w:pPr>
<w:r><w:t xml:space="preserve">the upper extremities, the trunk and the lower extremities</w:t></w:r>
</w:p>
<w:p>
<w:pPr><w:pStyle w:val="Normal"/></w:pPr>
<w:r><w:t xml:space="preserve">successively; and in the course of this description he swerves</w:t></w:r>
</w:p>
<w:p>
<w:pPr><w:pStyle w:val="Normal"/></w:pPr>
<w:r><w:t xml:space="preserve">so little from the actual facts that most of the names by</w:t></w:r>
</w:p>
<w:p>
<w:pPr><w:pStyle w:val="Normal"/></w:pPr>
<w:r><w:t xml:space="preserve">which he distinguishes the principal muscles have been retained</w:t></w:r>
</w:p>
<w:p>
<w:pPr><w:pStyle w:val="Normal"/></w:pPr>
<w:r><w:t xml:space="preserve">by the best modern anatomists.  It is chiefly in the minute</w:t></w:r>
</w:p>
<w:p>
<w:pPr><w:pStyle w:val="Normal"/></w:pPr>
<w:r><w:t xml:space="preserve">account of these organs, and especially in reference to the</w:t></w:r>
</w:p>
<w:p>
<w:pPr><w:pStyle w:val="Normal"/></w:pPr>
<w:r><w:t xml:space="preserve">minuter muscles, that he appears inferior to the moderns.</w:t></w:r>
</w:p>
<w:p>
<w:pPr><w:pStyle w:val="Normal"/></w:pPr>
<w:r><w:t xml:space="preserve">The angiological knowledge of Galen, though vitiated by</w:t></w:r>
</w:p>
<w:p>
<w:pPr><w:pStyle w:val="Normal"/></w:pPr>
<w:r><w:t xml:space="preserve">the erroneous physiology of the times and ignorance of the</w:t></w:r>
</w:p>
<w:p>
<w:pPr><w:pStyle w:val="Normal"/></w:pPr>
<w:r><w:t xml:space="preserve">separate uses of arteries and veins, exhibits, nevertheless,</w:t></w:r>
</w:p>
<w:p>
<w:pPr><w:pStyle w:val="Normal"/></w:pPr>
<w:r><w:t xml:space="preserve">some accurate facts which show the diligence of the author in</w:t></w:r>
</w:p>
<w:p>
<w:pPr><w:pStyle w:val="Normal"/></w:pPr>
<w:r><w:t xml:space="preserve">dissection.  Though, in opposition to the opinions of Praxagoras</w:t></w:r>
</w:p>
<w:p>
<w:pPr><w:pStyle w:val="Normal"/></w:pPr>
<w:r><w:t xml:space="preserve">and Erasistratus, he proved that the arteries in the living</w:t></w:r>
</w:p>
<w:p>
<w:pPr><w:pStyle w:val="Normal"/></w:pPr>
<w:r><w:t xml:space="preserve">animal contain not air but blood, it does not appear to have</w:t></w:r>
</w:p>
<w:p>
<w:pPr><w:pStyle w:val="Normal"/></w:pPr>
<w:r><w:t xml:space="preserve">occurred to him to determine in what direction the blood flows,</w:t></w:r>
</w:p>
<w:p>
<w:pPr><w:pStyle w:val="Normal"/></w:pPr>
<w:r><w:t xml:space="preserve">or whether it was movable or stationary.  Representing the left</w:t></w:r>
</w:p>
<w:p>
<w:pPr><w:pStyle w:val="Normal"/></w:pPr>
<w:r><w:t xml:space="preserve">ventricle of the heart as the common origin of all the arteries,</w:t></w:r>
</w:p>
<w:p>
<w:pPr><w:pStyle w:val="Normal"/></w:pPr>
<w:r><w:t xml:space="preserve">though he is misled by the pulmonary artery, he nevertheless</w:t></w:r>
</w:p>
<w:p>
<w:pPr><w:pStyle w:val="Normal"/></w:pPr>
<w:r><w:t xml:space="preserve">traces the distribution of the branches of the aorta with some</w:t></w:r>
</w:p>
<w:p>
<w:pPr><w:pStyle w:val="Normal"/></w:pPr>
<w:r><w:t xml:space="preserve">accuracy.  The vena azygos also, and the jugular veins,</w:t></w:r>
</w:p>
<w:p>
<w:pPr><w:pStyle w:val="Normal"/></w:pPr>
<w:r><w:t xml:space="preserve">have contributed to add to the confusion of his description,</w:t></w:r>
</w:p>
<w:p>
<w:pPr><w:pStyle w:val="Normal"/></w:pPr>
<w:r><w:t xml:space="preserve">and to render his angiology the most imperfect of his works.</w:t></w:r>
</w:p>
<w:p>
<w:pPr><w:pStyle w:val="Normal"/></w:pPr>
<w:r><w:t xml:space="preserve">In neurology we find him to be the author of the dogma that</w:t></w:r>
</w:p>
<w:p>
<w:pPr><w:pStyle w:val="Normal"/></w:pPr>
<w:r><w:t xml:space="preserve">the brain is the origin of the nerves of sensation, and the</w:t></w:r>
</w:p>
<w:p>
<w:pPr><w:pStyle w:val="Normal"/></w:pPr>
<w:r><w:t xml:space="preserve">spinal cord of those of motion; and he distinguishes the</w:t></w:r>
</w:p>
<w:p>
<w:pPr><w:pStyle w:val="Normal"/></w:pPr>
<w:r><w:t xml:space="preserve">former from the latter by their greater softness or less</w:t></w:r>
</w:p>
<w:p>
<w:pPr><w:pStyle w:val="Normal"/></w:pPr>
<w:r><w:t xml:space="preserve">consistence.  Though he admits only seven cerebral pairs, he</w:t></w:r>
</w:p>
<w:p>
<w:pPr><w:pStyle w:val="Normal"/></w:pPr>
<w:r><w:t xml:space="preserve">has the merit of distinguishing and tracing the distribution</w:t></w:r>
</w:p>
<w:p>
<w:pPr><w:pStyle w:val="Normal"/></w:pPr>
<w:r><w:t xml:space="preserve">of the greater part of both classes of nerves with great</w:t></w:r>
</w:p>
<w:p>
<w:pPr><w:pStyle w:val="Normal"/></w:pPr>
<w:r><w:t xml:space="preserve">accuracy.  His description of the brain is derived from</w:t></w:r>
</w:p>
<w:p>
<w:pPr><w:pStyle w:val="Normal"/></w:pPr>
<w:r><w:t xml:space="preserve">dissection of the lower animals, and his distinctions of</w:t></w:r>
</w:p>
<w:p>
<w:pPr><w:pStyle w:val="Normal"/></w:pPr>
<w:r><w:t xml:space="preserve">the several parts of the organ have been retained by modern</w:t></w:r>
</w:p>
<w:p>
<w:pPr><w:pStyle w:val="Normal"/></w:pPr>
<w:r><w:t xml:space="preserve">anatomists.  His mode of demonstrating this organ, which</w:t></w:r>
</w:p>
<w:p>
<w:pPr><w:pStyle w:val="Normal"/></w:pPr>
<w:r><w:t xml:space="preserve">indeed is clearly described, consists of five different</w:t></w:r>
</w:p>
<w:p>
<w:pPr><w:pStyle w:val="Normal"/></w:pPr>
<w:r><w:t xml:space="preserve">steps.  In the first the bisecting membrane--i.e. the falx</w:t></w:r>
</w:p>
<w:p>
<w:pPr><w:pStyle w:val="Normal"/></w:pPr>
<w:r><w:t xml:space="preserve">(menigx dichotomousa)--and the connecting blood-vessels</w:t></w:r>
</w:p>
<w:p>
<w:pPr><w:pStyle w:val="Normal"/></w:pPr>
<w:r><w:t xml:space="preserve">are removed; and the dissector, commencing at the anterior</w:t></w:r>
</w:p>
<w:p>
<w:pPr><w:pStyle w:val="Normal"/></w:pPr>
<w:r><w:t xml:space="preserve">extremity of the great fissure, separates the hemispheres gently</w:t></w:r>
</w:p>
<w:p>
<w:pPr><w:pStyle w:val="Normal"/></w:pPr>
<w:r><w:t xml:space="preserve">as far as the torcular, and exposes a smooth surface (ten</w:t></w:r>
</w:p>
<w:p>
<w:pPr><w:pStyle w:val="Normal"/></w:pPr>
<w:r><w:t xml:space="preserve">choran tulode pos ousan), the mesolobe of the moderns,</w:t></w:r>
</w:p>
<w:p>
<w:pPr><w:pStyle w:val="Normal"/></w:pPr>
<w:r><w:t xml:space="preserve">or the middle band.  In the second he exposes by successive</w:t></w:r>
</w:p>
<w:p>
<w:pPr><w:pStyle w:val="Normal"/></w:pPr>
<w:r><w:t xml:space="preserve">sections the ventricles, the choroid plexus and the middle</w:t></w:r>
</w:p>
<w:p>
<w:pPr><w:pStyle w:val="Normal"/></w:pPr>
<w:r><w:t xml:space="preserve">partition.  The third exhibits the pineal body (soma</w:t></w:r>
</w:p>
<w:p>
<w:pPr><w:pStyle w:val="Normal"/></w:pPr>
<w:r><w:t xml:space="preserve">konoeides) or conarium, concealed by a membrane with numerous</w:t></w:r>
</w:p>
<w:p>
<w:pPr><w:pStyle w:val="Normal"/></w:pPr>
<w:r><w:t xml:space="preserve">veins, meaning that part of the plexus which is now known by</w:t></w:r>
</w:p>
<w:p>
<w:pPr><w:pStyle w:val="Normal"/></w:pPr>
<w:r><w:t xml:space="preserve">the name of velum interpositum, and a complete view of the</w:t></w:r>
</w:p>
<w:p>
<w:pPr><w:pStyle w:val="Normal"/></w:pPr>
<w:r><w:t xml:space="preserve">ventricles.  The fourth unfolds the third ventricle (tis</w:t></w:r>
</w:p>
<w:p>
<w:pPr><w:pStyle w:val="Normal"/></w:pPr>
<w:r><w:t xml:space="preserve">alle trite koilia), the communication between the two</w:t></w:r>
</w:p>
<w:p>
<w:pPr><w:pStyle w:val="Normal"/></w:pPr>
<w:r><w:t xml:space="preserve">lateral ones, the arch-like body (soma psalidoeides)</w:t></w:r>
</w:p>
<w:p>
<w:pPr><w:pStyle w:val="Normal"/></w:pPr>
<w:r><w:t xml:space="preserve">fornix, and the passage from the third to the fourth</w:t></w:r>
</w:p>
<w:p>
<w:pPr><w:pStyle w:val="Normal"/></w:pPr>
<w:r><w:t xml:space="preserve">ventricle.  In the fifth he gives an accurate description</w:t></w:r>
</w:p>
<w:p>
<w:pPr><w:pStyle w:val="Normal"/></w:pPr>
<w:r><w:t xml:space="preserve">of the relations of the third and fourth ventricle, of the</w:t></w:r>
</w:p>
<w:p>
<w:pPr><w:pStyle w:val="Normal"/></w:pPr>
<w:r><w:t xml:space="preserve">situation of the two pairs of eminences, nates (glouta)</w:t></w:r>
</w:p>
<w:p>
<w:pPr><w:pStyle w:val="Normal"/></w:pPr>
<w:r><w:t xml:space="preserve">and testes (didumia or orcheis), the scolecoid or</w:t></w:r>
</w:p>
<w:p>
<w:pPr><w:pStyle w:val="Normal"/></w:pPr>
<w:r><w:t xml:space="preserve">worm-like process, anterior and posterior, and lastly the</w:t></w:r>
</w:p>
<w:p>
<w:pPr><w:pStyle w:val="Normal"/></w:pPr>
<w:r><w:t xml:space="preserve">linear furrow, called by Herophilus calamus scriptorius.</w:t></w:r>
</w:p>
<w:p>
<w:pPr><w:pStyle w:val="Normal"/></w:pPr>
<w:r><w:t xml:space="preserve">In the account of the thoracic organs equal accuracy may be</w:t></w:r>
</w:p>
<w:p>
<w:pPr><w:pStyle w:val="Normal"/></w:pPr>
<w:r><w:t xml:space="preserve">recognized.  He distinguishes the pleura by the name of</w:t></w:r>
</w:p>
<w:p>
<w:pPr><w:pStyle w:val="Normal"/></w:pPr>
<w:r><w:t xml:space="preserve">inclosing membrane (umen upezokos, membrana succingens),</w:t></w:r>
</w:p>
<w:p>
<w:pPr><w:pStyle w:val="Normal"/></w:pPr>
<w:r><w:t xml:space="preserve">and remarks its similitude in structure to that of the</w:t></w:r>
</w:p>
<w:p>
<w:pPr><w:pStyle w:val="Normal"/></w:pPr>
<w:r><w:t xml:space="preserve">peritoneum, and the covering which it affords to all the</w:t></w:r>
</w:p>
<w:p>
<w:pPr><w:pStyle w:val="Normal"/></w:pPr>
<w:r><w:t xml:space="preserve">organs.  The pericardium also he describes as a membranous</w:t></w:r>
</w:p>
<w:p>
<w:pPr><w:pStyle w:val="Normal"/></w:pPr>
<w:r><w:t xml:space="preserve">sac with a circular basis corresponding to the base of</w:t></w:r>
</w:p>
<w:p>
<w:pPr><w:pStyle w:val="Normal"/></w:pPr>
<w:r><w:t xml:space="preserve">the heart and a conical apex; and after an account of the</w:t></w:r>
</w:p>
<w:p>
<w:pPr><w:pStyle w:val="Normal"/></w:pPr>
<w:r><w:t xml:space="preserve">tunics of the arteries and veins, he speaks shortly of the</w:t></w:r>
</w:p>
<w:p>
<w:pPr><w:pStyle w:val="Normal"/></w:pPr>
<w:r><w:t xml:space="preserve">lung, and more at length of the heart, which, however, he</w:t></w:r>
</w:p>
<w:p>
<w:pPr><w:pStyle w:val="Normal"/></w:pPr>
<w:r><w:t xml:space="preserve">takes somepains to prove not to be muscular, because it is</w:t></w:r>
</w:p>
<w:p>
<w:pPr><w:pStyle w:val="Normal"/></w:pPr>
<w:r><w:t xml:space="preserve">harder, its fibres are differently arranged, and its action</w:t></w:r>
</w:p>
<w:p>
<w:pPr><w:pStyle w:val="Normal"/></w:pPr>
<w:r><w:t xml:space="preserve">is incessant, whereas that of muscle alternates with the</w:t></w:r>
</w:p>
<w:p>
<w:pPr><w:pStyle w:val="Normal"/></w:pPr>
<w:r><w:t xml:space="preserve">state of rest; he gives a good account of the valves and of</w:t></w:r>
</w:p>
<w:p>
<w:pPr><w:pStyle w:val="Normal"/></w:pPr>
<w:r><w:t xml:space="preserve">the vessels; and notices especially the bony ring formed in</w:t></w:r>
</w:p>
<w:p>
<w:pPr><w:pStyle w:val="Normal"/></w:pPr>
<w:r><w:t xml:space="preserve">the heart of the horse, elephant and other large animals.</w:t></w:r>
</w:p>
<w:p>
<w:pPr><w:pStyle w:val="Normal"/></w:pPr>
<w:r><w:t xml:space="preserve">The description of the abdominal organs, and of the kidneys</w:t></w:r>
</w:p>
<w:p>
<w:pPr><w:pStyle w:val="Normal"/></w:pPr>
<w:r><w:t xml:space="preserve">and urinary apparatus, is still more minute, and in general</w:t></w:r>
</w:p>
<w:p>
<w:pPr><w:pStyle w:val="Normal"/></w:pPr>
<w:r><w:t xml:space="preserve">accurate.  Our limits, however, do not permit us to give</w:t></w:r>
</w:p>
<w:p>
<w:pPr><w:pStyle w:val="Normal"/></w:pPr>
<w:r><w:t xml:space="preserve">any abstract of them; and it is sufficient in general to</w:t></w:r>
</w:p>
<w:p>
<w:pPr><w:pStyle w:val="Normal"/></w:pPr>
<w:r><w:t xml:space="preserve">say that Galen gives correct views of the arrangement of</w:t></w:r>
</w:p>
<w:p>
<w:pPr><w:pStyle w:val="Normal"/></w:pPr>
<w:r><w:t xml:space="preserve">the peritoneum and omentum, and distinguishes accurately the</w:t></w:r>
</w:p>
<w:p>
<w:pPr><w:pStyle w:val="Normal"/></w:pPr>
<w:r><w:t xml:space="preserve">several divisions of the alimentary canal and its component</w:t></w:r>
</w:p>
<w:p>
<w:pPr><w:pStyle w:val="Normal"/></w:pPr>
<w:r><w:t xml:space="preserve">tissues.  In the liver, which he allows to receive an</w:t></w:r>
</w:p>
<w:p>
<w:pPr><w:pStyle w:val="Normal"/></w:pPr>
<w:r><w:t xml:space="preserve">envelope from the peritoneum, he admits, in imitation of</w:t></w:r>
</w:p>
<w:p>
<w:pPr><w:pStyle w:val="Normal"/></w:pPr>
<w:r><w:t xml:space="preserve">Erasistratus, a proper substance or parenchyma, interposed</w:t></w:r>
</w:p>
<w:p>
<w:pPr><w:pStyle w:val="Normal"/></w:pPr>
<w:r><w:t xml:space="preserve">between the vessels, and capable of removal by suitable</w:t></w:r>
</w:p>
<w:p>
<w:pPr><w:pStyle w:val="Normal"/></w:pPr>
<w:r><w:t xml:space="preserve">dissection.  His description of the organs of generation</w:t></w:r>
</w:p>
<w:p>
<w:pPr><w:pStyle w:val="Normal"/></w:pPr>
<w:r><w:t xml:space="preserve">is rather brief, and is, like most of his anatomical</w:t></w:r>
</w:p>
<w:p>
<w:pPr><w:pStyle w:val="Normal"/></w:pPr>
<w:r><w:t xml:space="preserve">sketches, too much blended with physiological dogmas.</w:t></w:r>
</w:p>
<w:p>
<w:pPr><w:pStyle w:val="Normal"/></w:pPr>
<w:r><w:t xml:space="preserve">This short sketch may communicate some idea of the condition</w:t></w:r>
</w:p>
<w:p>
<w:pPr><w:pStyle w:val="Normal"/></w:pPr>
<w:r><w:t xml:space="preserve">of anatomical knowledge in the days of Galen, who indeed</w:t></w:r>
</w:p>
<w:p>
<w:pPr><w:pStyle w:val="Normal"/></w:pPr>
<w:r><w:t xml:space="preserve">is justly entitled to the character of rectifying and</w:t></w:r>
</w:p>
<w:p>
<w:pPr><w:pStyle w:val="Normal"/></w:pPr>
<w:r><w:t xml:space="preserve">digesting, if not of creating, the science of anatomy among the</w:t></w:r>
</w:p>
<w:p>
<w:pPr><w:pStyle w:val="Normal"/></w:pPr>
<w:r><w:t xml:space="preserve">ancients.  Though evidently confined, perhaps entirely by</w:t></w:r>
</w:p>
<w:p>
<w:pPr><w:pStyle w:val="Normal"/></w:pPr>
<w:r><w:t xml:space="preserve">the circumstances of the times, to the dissection of brute</w:t></w:r>
</w:p>
<w:p>
<w:pPr><w:pStyle w:val="Normal"/></w:pPr>
<w:r><w:t xml:space="preserve">animals, so indefatigable and judicious was he in the mode of</w:t></w:r>
</w:p>
<w:p>
<w:pPr><w:pStyle w:val="Normal"/></w:pPr>
<w:r><w:t xml:space="preserve">acquiring knowledge, that many of his names and distinctions</w:t></w:r>
</w:p>
<w:p>
<w:pPr><w:pStyle w:val="Normal"/></w:pPr>
<w:r><w:t xml:space="preserve">are still retained with advantage in the writings of the</w:t></w:r>
</w:p>
<w:p>
<w:pPr><w:pStyle w:val="Normal"/></w:pPr>
<w:r><w:t xml:space="preserve">moderns.  Galen was a practical anatomist, and not only</w:t></w:r>
</w:p>
<w:p>
<w:pPr><w:pStyle w:val="Normal"/></w:pPr>
<w:r><w:t xml:space="preserve">describes the organs of the animal body from actual</w:t></w:r>
</w:p>
<w:p>
<w:pPr><w:pStyle w:val="Normal"/></w:pPr>
<w:r><w:t xml:space="preserve">dissection, but gives ample instructions for the proper mode of</w:t></w:r>
</w:p>
<w:p>
<w:pPr><w:pStyle w:val="Normal"/></w:pPr>
<w:r><w:t xml:space="preserve">exposition.  His language is in general clear, his style as</w:t></w:r>
</w:p>
<w:p>
<w:pPr><w:pStyle w:val="Normal"/></w:pPr>
<w:r><w:t xml:space="preserve">correct as in most of the authors of the same period, and</w:t></w:r>
</w:p>
<w:p>
<w:pPr><w:pStyle w:val="Normal"/></w:pPr>
<w:r><w:t xml:space="preserve">his manner is animated.  Few passages in early science are</w:t></w:r>
</w:p>
<w:p>
<w:pPr><w:pStyle w:val="Normal"/></w:pPr>
<w:r><w:t xml:space="preserve">indeed so interesting as the description of the process for</w:t></w:r>
</w:p>
<w:p>
<w:pPr><w:pStyle w:val="Normal"/></w:pPr>
<w:r><w:t xml:space="preserve">demonstrating the brain and other internal organs which is</w:t></w:r>
</w:p>
<w:p>
<w:pPr><w:pStyle w:val="Normal"/></w:pPr>
<w:r><w:t xml:space="preserve">given by this patient and enthusiastic observer of nature.</w:t></w:r>
</w:p>
<w:p>
<w:pPr><w:pStyle w:val="Normal"/></w:pPr>
<w:r><w:t xml:space="preserve">To some it may appear absurd to speak of anything like good</w:t></w:r>
</w:p>
<w:p>
<w:pPr><w:pStyle w:val="Normal"/></w:pPr>
<w:r><w:t xml:space="preserve">anatomical description in an author who writes in the Greek</w:t></w:r>
</w:p>
<w:p>
<w:pPr><w:pStyle w:val="Normal"/></w:pPr>
<w:r><w:t xml:space="preserve">language, or anything like an interesting and correct manner</w:t></w:r>
</w:p>
<w:p>
<w:pPr><w:pStyle w:val="Normal"/></w:pPr>
<w:r><w:t xml:space="preserve">in a writer who flourished at a period when taste was depraved</w:t></w:r>
</w:p>
<w:p>
<w:pPr><w:pStyle w:val="Normal"/></w:pPr>
<w:r><w:t xml:space="preserve">or extinct and literature corrupted--when the philosophy of</w:t></w:r>
</w:p>
<w:p>
<w:pPr><w:pStyle w:val="Normal"/></w:pPr>
<w:r><w:t xml:space="preserve">Antoninus and the mild virtues of Aurelius could do little</w:t></w:r>
</w:p>
<w:p>
<w:pPr><w:pStyle w:val="Normal"/></w:pPr>
<w:r><w:t xml:space="preserve">to soften the iron sway of Lucius Verus and Commodus; but</w:t></w:r>
</w:p>
<w:p>
<w:pPr><w:pStyle w:val="Normal"/></w:pPr>
<w:r><w:t xml:space="preserve">the habit of faithful observation in Galen seems to have</w:t></w:r>
</w:p>
<w:p>
<w:pPr><w:pStyle w:val="Normal"/></w:pPr>
<w:r><w:t xml:space="preserve">been so powerful that in the description of material objects,</w:t></w:r>
</w:p>
<w:p>
<w:pPr><w:pStyle w:val="Normal"/></w:pPr>
<w:r><w:t xml:space="preserve">his genius invariably rises above the circumstances of his</w:t></w:r>
</w:p>
<w:p>
<w:pPr><w:pStyle w:val="Normal"/></w:pPr>
<w:r><w:t xml:space="preserve">age.  Though not so directly connected with this subject,</w:t></w:r>
</w:p>
<w:p>
<w:pPr><w:pStyle w:val="Normal"/></w:pPr>
<w:r><w:t xml:space="preserve">it is nevertheless proper to mention that he appears to</w:t></w:r>
</w:p>
<w:p>
<w:pPr><w:pStyle w:val="Normal"/></w:pPr>
<w:r><w:t xml:space="preserve">have been the first anatomist who can be said, on authentic</w:t></w:r>
</w:p>
<w:p>
<w:pPr><w:pStyle w:val="Normal"/></w:pPr>
<w:r><w:t xml:space="preserve">grounds, to have attempted to discover the uses of organs</w:t></w:r>
</w:p>
<w:p>
<w:pPr><w:pStyle w:val="Normal"/></w:pPr>
<w:r><w:t xml:space="preserve">by vivisection and experiments on living animals.  In this</w:t></w:r>
</w:p>
<w:p>
<w:pPr><w:pStyle w:val="Normal"/></w:pPr>
<w:r><w:t xml:space="preserve">manner he ascertained the position and demonstrated the action</w:t></w:r>
</w:p>
<w:p>
<w:pPr><w:pStyle w:val="Normal"/></w:pPr>
<w:r><w:t xml:space="preserve">of the heart; and he mentions two instances in which, in</w:t></w:r>
</w:p>
<w:p>
<w:pPr><w:pStyle w:val="Normal"/></w:pPr>
<w:r><w:t xml:space="preserve">consequence of disease or injury, he had an opportunity of</w:t></w:r>
</w:p>
<w:p>
<w:pPr><w:pStyle w:val="Normal"/></w:pPr>
<w:r><w:t xml:space="preserve">observing the motions of this organ in the human body.  In</w:t></w:r>
</w:p>
<w:p>
<w:pPr><w:pStyle w:val="Normal"/></w:pPr>
<w:r><w:t xml:space="preserve">short, without eulogizing an ancient author at the expense of</w:t></w:r>
</w:p>
<w:p>
<w:pPr><w:pStyle w:val="Normal"/></w:pPr>
<w:r><w:t xml:space="preserve">critical justice, or commending his anatomical descriptions</w:t></w:r>
</w:p>
<w:p>
<w:pPr><w:pStyle w:val="Normal"/></w:pPr>
<w:r><w:t xml:space="preserve">as superior to those of the moderns, it must be admitted</w:t></w:r>
</w:p>
<w:p>
<w:pPr><w:pStyle w:val="Normal"/></w:pPr>
<w:r><w:t xml:space="preserve">that the anatomical writings of the physician of Pergamum</w:t></w:r>
</w:p>
<w:p>
<w:pPr><w:pStyle w:val="Normal"/></w:pPr>
<w:r><w:t xml:space="preserve">form a remarkable era in the history of the science; and</w:t></w:r>
</w:p>
<w:p>
<w:pPr><w:pStyle w:val="Normal"/></w:pPr>
<w:r><w:t xml:space="preserve">that by diligence in dissection and accuracy in description</w:t></w:r>
</w:p>
<w:p>
<w:pPr><w:pStyle w:val="Normal"/></w:pPr>
<w:r><w:t xml:space="preserve">he gave the science a degree of importance and stability</w:t></w:r>
</w:p>
<w:p>
<w:pPr><w:pStyle w:val="Normal"/></w:pPr>
<w:r><w:t xml:space="preserve">which it has retained through a lapse of many centuries.</w:t></w:r>
</w:p>
<w:p>
<w:pPr><w:pStyle w:val="Normal"/></w:pPr>
<w:r><w:t xml:space="preserve">The death of Galen, which took place at Pergamum in the</w:t></w:r>
</w:p>
<w:p>
<w:pPr><w:pStyle w:val="Normal"/></w:pPr>
<w:r><w:t xml:space="preserve">seventieth year of his age and the 200th of the Christian</w:t></w:r>
</w:p>
<w:p>
<w:pPr><w:pStyle w:val="Normal"/></w:pPr>
<w:r><w:t xml:space="preserve">era, may be regarded as the downfall of anatomy in ancient</w:t></w:r>
</w:p>
<w:p>
<w:pPr><w:pStyle w:val="Normal"/></w:pPr>
<w:r><w:t xml:space="preserve">times.  After this period we recognize only two names of any</w:t></w:r>
</w:p>
<w:p>
<w:pPr><w:pStyle w:val="Normal"/></w:pPr>
<w:r><w:t xml:space="preserve">celebrity in the history of the science--those of Soranus and</w:t></w:r>
</w:p>
<w:p>
<w:pPr><w:pStyle w:val="Normal"/></w:pPr>
<w:r><w:t xml:space="preserve">Oribasius, with the more obscure ones of Meletius and Theophilus,</w:t></w:r>
</w:p>
<w:p>
<w:pPr><w:pStyle w:val="Normal"/></w:pPr>
<w:r><w:t xml:space="preserve">the latter the chief of the imperial guard of Heraclius.</w:t></w:r>
</w:p>
<w:p>
<w:pPr><w:pStyle w:val="Normal"/></w:pPr>
<w:r><w:t xml:space="preserve">Soranus, who was an Ephesian, and flourished under the</w:t></w:r>
</w:p>
<w:p>
<w:pPr><w:pStyle w:val="Normal"/></w:pPr>
<w:r><w:t xml:space="preserve">emperors Trajan and Hadrian, distinguished himself by his</w:t></w:r>
</w:p>
<w:p>
<w:pPr><w:pStyle w:val="Normal"/></w:pPr>
<w:r><w:t xml:space="preserve">researches on the female organs of generation.  He appears</w:t></w:r>
</w:p>
<w:p>
<w:pPr><w:pStyle w:val="Normal"/></w:pPr>
<w:r><w:t xml:space="preserve">to have dissected the human subject; and this perhaps is one</w:t></w:r>
</w:p>
<w:p>
<w:pPr><w:pStyle w:val="Normal"/></w:pPr>
<w:r><w:t xml:space="preserve">reason why his descriptions of these parts are more copious</w:t></w:r>
</w:p>
<w:p>
<w:pPr><w:pStyle w:val="Normal"/></w:pPr>
<w:r><w:t xml:space="preserve">and more accurate than those of Galen, who derived his</w:t></w:r>
</w:p>
<w:p>
<w:pPr><w:pStyle w:val="Normal"/></w:pPr>
<w:r><w:t xml:space="preserve">knowledge from the bodies of the lower animals.  He denies</w:t></w:r>
</w:p>
<w:p>
<w:pPr><w:pStyle w:val="Normal"/></w:pPr>
<w:r><w:t xml:space="preserve">the existence of the hymen, but describes accurately the</w:t></w:r>
</w:p>
<w:p>
<w:pPr><w:pStyle w:val="Normal"/></w:pPr>
<w:r><w:t xml:space="preserve">clitoris.  Soranus the anatomist must be distinguished from</w:t></w:r>
</w:p>
<w:p>
<w:pPr><w:pStyle w:val="Normal"/></w:pPr>
<w:r><w:t xml:space="preserve">the physician of that name, who was also a native of Ephesus.</w:t></w:r>
</w:p>
<w:p>
<w:pPr><w:pStyle w:val="Normal"/></w:pPr>
<w:r><w:t xml:space="preserve">Oribasius.</w:t></w:r>
</w:p>
<w:p>
<w:pPr><w:pStyle w:val="Normal"/></w:pPr>
<w:r><w:t xml:space="preserve">Oribasius, who was born at Pergamum, is said to have been</w:t></w:r>
</w:p>
<w:p>
<w:pPr><w:pStyle w:val="Normal"/></w:pPr>
<w:r><w:t xml:space="preserve">at once the friend and physician of the emperor Julian, and</w:t></w:r>
</w:p>
<w:p>
<w:pPr><w:pStyle w:val="Normal"/></w:pPr>
<w:r><w:t xml:space="preserve">to have contributed to the elevation of that apostate to the</w:t></w:r>
</w:p>
<w:p>
<w:pPr><w:pStyle w:val="Normal"/></w:pPr>
<w:r><w:t xml:space="preserve">imperial throne.  For this he appears to have suffered the</w:t></w:r>
</w:p>
<w:p>
<w:pPr><w:pStyle w:val="Normal"/></w:pPr>
<w:r><w:t xml:space="preserve">punishment of a temporary exile under Valens and Valentinian;</w:t></w:r>
</w:p>
<w:p>
<w:pPr><w:pStyle w:val="Normal"/></w:pPr>
<w:r><w:t xml:space="preserve">but was soon recalled, and lived in great honour till</w:t></w:r>
</w:p>
<w:p>
<w:pPr><w:pStyle w:val="Normal"/></w:pPr>
<w:r><w:t xml:space="preserve">the period of his death (387).  By le Clerc, Oribasius is</w:t></w:r>
</w:p>
<w:p>
<w:pPr><w:pStyle w:val="Normal"/></w:pPr>
<w:r><w:t xml:space="preserve">regarded as a compiler; and indeed his anatomical writings</w:t></w:r>
</w:p>
<w:p>
<w:pPr><w:pStyle w:val="Normal"/></w:pPr>
<w:r><w:t xml:space="preserve">bear so close a correspondence with those of Galen that the</w:t></w:r>
</w:p>
<w:p>
<w:pPr><w:pStyle w:val="Normal"/></w:pPr>
<w:r><w:t xml:space="preserve">character is not altogether groundless.  In various points,</w:t></w:r>
</w:p>
<w:p>
<w:pPr><w:pStyle w:val="Normal"/></w:pPr>
<w:r><w:t xml:space="preserve">nevertheless, he has rendered the Galenian anatomy more</w:t></w:r>
</w:p>
<w:p>
<w:pPr><w:pStyle w:val="Normal"/></w:pPr>
<w:r><w:t xml:space="preserve">accurate; and he has distinguished himself by a good account</w:t></w:r>
</w:p>
<w:p>
<w:pPr><w:pStyle w:val="Normal"/></w:pPr>
<w:r><w:t xml:space="preserve">of the salivary glands, which were overlooked by Galen.</w:t></w:r>
</w:p>
<w:p>
<w:pPr><w:pStyle w:val="Normal"/></w:pPr>
<w:r><w:t xml:space="preserve">To the same period generally is referred the Anatomical Introduction</w:t></w:r>
</w:p>
<w:p>
<w:pPr><w:pStyle w:val="Normal"/></w:pPr>
<w:r><w:t xml:space="preserve">of an anonymous author, first published in 1618 by Lauremberg, and</w:t></w:r>
</w:p>
<w:p>
<w:pPr><w:pStyle w:val="Normal"/></w:pPr>
<w:r><w:t xml:space="preserve">afterwards by C. Bernard.  It is to be regarded as a compilation</w:t></w:r>
</w:p>
<w:p>
<w:pPr><w:pStyle w:val="Normal"/></w:pPr>
<w:r><w:t xml:space="preserve">formed on the model of Galen and Oribasius.  The same character</w:t></w:r>
</w:p>
<w:p>
<w:pPr><w:pStyle w:val="Normal"/></w:pPr>
<w:r><w:t xml:space="preserve">is applicable to the treatises of Meletius and Theophilus.</w:t></w:r>
</w:p>
<w:p>
<w:pPr><w:pStyle w:val="Normal"/></w:pPr>
<w:r><w:t xml:space="preserve">The decline indicated by these languid efforts soon sank</w:t></w:r>
</w:p>
<w:p>
<w:pPr><w:pStyle w:val="Normal"/></w:pPr>
<w:r><w:t xml:space="preserve">into a state of total inactivity; and the unsettled state</w:t></w:r>
</w:p>
<w:p>
<w:pPr><w:pStyle w:val="Normal"/></w:pPr>
<w:r><w:t xml:space="preserve">of society during the latter ages of the Roman empire was</w:t></w:r>
</w:p>
<w:p>
<w:pPr><w:pStyle w:val="Normal"/></w:pPr>
<w:r><w:t xml:space="preserve">extremely unfavourable to the successful cultivation of</w:t></w:r>
</w:p>
<w:p>
<w:pPr><w:pStyle w:val="Normal"/></w:pPr>
<w:r><w:t xml:space="preserve">science.  The sanguinary conflicts in which the southern</w:t></w:r>
</w:p>
<w:p>
<w:pPr><w:pStyle w:val="Normal"/></w:pPr>
<w:r><w:t xml:space="preserve">countries of Europe were repeatedly engaged with their northern</w:t></w:r>
</w:p>
<w:p>
<w:pPr><w:pStyle w:val="Normal"/></w:pPr>
<w:r><w:t xml:space="preserve">neighbours between the 2nd and 8th centuries tended gradually</w:t></w:r>
</w:p>
<w:p>
<w:pPr><w:pStyle w:val="Normal"/></w:pPr>
<w:r><w:t xml:space="preserve">to estrange their minds from scientific pursuits; and the</w:t></w:r>
</w:p>
<w:p>
<w:pPr><w:pStyle w:val="Normal"/></w:pPr>
<w:r><w:t xml:space="preserve">hordes of barbarians by which the Roman empire was latterly</w:t></w:r>
</w:p>
<w:p>
<w:pPr><w:pStyle w:val="Normal"/></w:pPr>
<w:r><w:t xml:space="preserve">overrun, while they urged them to the necessity of making</w:t></w:r>
</w:p>
<w:p>
<w:pPr><w:pStyle w:val="Normal"/></w:pPr>
<w:r><w:t xml:space="preserve">hostile resistance, and adopting means of self-defence,</w:t></w:r>
</w:p>
<w:p>
<w:pPr><w:pStyle w:val="Normal"/></w:pPr>
<w:r><w:t xml:space="preserve">introduced such habits of ignorance and barbarism, that science</w:t></w:r>
</w:p>
<w:p>
<w:pPr><w:pStyle w:val="Normal"/></w:pPr>
<w:r><w:t xml:space="preserve">was almost universally forgotten.  While the art of healing</w:t></w:r>
</w:p>
<w:p>
<w:pPr><w:pStyle w:val="Normal"/></w:pPr>
<w:r><w:t xml:space="preserve">was professed only by some few ecclesiastics or by itinerant</w:t></w:r>
</w:p>
<w:p>
<w:pPr><w:pStyle w:val="Normal"/></w:pPr>
<w:r><w:t xml:space="preserve">practitioners, anatomy was utterly neglected; and no name</w:t></w:r>
</w:p>
<w:p>
<w:pPr><w:pStyle w:val="Normal"/></w:pPr>
<w:r><w:t xml:space="preserve">of anatomical celebrity occurs to diversify the long and</w:t></w:r>
</w:p>
<w:p>
<w:pPr><w:pStyle w:val="Normal"/></w:pPr>
<w:r><w:t xml:space="preserve">uninteresting period commonly distinguished as the dark ages.</w:t></w:r>
</w:p>
<w:p>
<w:pPr><w:pStyle w:val="Normal"/></w:pPr>
<w:r><w:t xml:space="preserve">Arabian Physicians.</w:t></w:r>
</w:p>
<w:p>
<w:pPr><w:pStyle w:val="Normal"/></w:pPr>
<w:r><w:t xml:space="preserve">Anatomical learning, thus neglected by European nations, is</w:t></w:r>
</w:p>
<w:p>
<w:pPr><w:pStyle w:val="Normal"/></w:pPr>
<w:r><w:t xml:space="preserve">believed to have received a temporary cultivation from the</w:t></w:r>
</w:p>
<w:p>
<w:pPr><w:pStyle w:val="Normal"/></w:pPr>
<w:r><w:t xml:space="preserve">Asiatics.  Of these, several nomadic tribes, known to Europeans</w:t></w:r>
</w:p>
<w:p>
<w:pPr><w:pStyle w:val="Normal"/></w:pPr>
<w:r><w:t xml:space="preserve">under the general denomination of Arabs and Saracens, had</w:t></w:r>
</w:p>
<w:p>
<w:pPr><w:pStyle w:val="Normal"/></w:pPr>
<w:r><w:t xml:space="preserve">gradually coalesced under various leaders; and by their</w:t></w:r>
</w:p>
<w:p>
<w:pPr><w:pStyle w:val="Normal"/></w:pPr>
<w:r><w:t xml:space="preserve">habits of endurance, as well as of enthusiastic valour in</w:t></w:r>
</w:p>
<w:p>
<w:pPr><w:pStyle w:val="Normal"/></w:pPr>
<w:r><w:t xml:space="preserve">successive expeditions against the eastern division of the Roman</w:t></w:r>
</w:p>
<w:p>
<w:pPr><w:pStyle w:val="Normal"/></w:pPr>
<w:r><w:t xml:space="preserve">empire, had acquired such military reputation as to render</w:t></w:r>
</w:p>
<w:p>
<w:pPr><w:pStyle w:val="Normal"/></w:pPr>
<w:r><w:t xml:space="preserve">them formidable wherever they appeared.  After a century and</w:t></w:r>
</w:p>
<w:p>
<w:pPr><w:pStyle w:val="Normal"/></w:pPr>
<w:r><w:t xml:space="preserve">a half of foreign warfare or internal animosity, under the</w:t></w:r>
</w:p>
<w:p>
<w:pPr><w:pStyle w:val="Normal"/></w:pPr>
<w:r><w:t xml:space="preserve">successive dynasties of the Omayyads and Abbasids, in which</w:t></w:r>
</w:p>
<w:p>
<w:pPr><w:pStyle w:val="Normal"/></w:pPr>
<w:r><w:t xml:space="preserve">the propagation of Islam was the pretext for the extinction</w:t></w:r>
</w:p>
<w:p>
<w:pPr><w:pStyle w:val="Normal"/></w:pPr>
<w:r><w:t xml:space="preserve">of learning and civilization, and the most remorseless system</w:t></w:r>
</w:p>
<w:p>
<w:pPr><w:pStyle w:val="Normal"/></w:pPr>
<w:r><w:t xml:space="preserve">of rapine and destruction, the Saracens began, under the</w:t></w:r>
</w:p>
<w:p>
<w:pPr><w:pStyle w:val="Normal"/></w:pPr>
<w:r><w:t xml:space="preserve">latter dynasty of princes, to recognize the value of science,</w:t></w:r>
</w:p>
<w:p>
<w:pPr><w:pStyle w:val="Normal"/></w:pPr>
<w:r><w:t xml:space="preserve">and especially of that which prolongs life, heals disease</w:t></w:r>
</w:p>
<w:p>
<w:pPr><w:pStyle w:val="Normal"/></w:pPr>
<w:r><w:t xml:space="preserve">and alleviates the pain of wounds and injuries.  The caliph</w:t></w:r>
</w:p>
<w:p>
<w:pPr><w:pStyle w:val="Normal"/></w:pPr>
<w:r><w:t xml:space="preserve">Mansur combined with his official knowledge of Moslem law the</w:t></w:r>
</w:p>
<w:p>
<w:pPr><w:pStyle w:val="Normal"/></w:pPr>
<w:r><w:t xml:space="preserve">successful cultivation of astronomy; but to his grandson Mamun,</w:t></w:r>
</w:p>
<w:p>
<w:pPr><w:pStyle w:val="Normal"/></w:pPr>
<w:r><w:t xml:space="preserve">the seventh prince of the line of the Abbasids, belongs the</w:t></w:r>
</w:p>
<w:p>
<w:pPr><w:pStyle w:val="Normal"/></w:pPr>
<w:r><w:t xml:space="preserve">merit of undertaking to render his subjects philosophers and</w:t></w:r>
</w:p>
<w:p>
<w:pPr><w:pStyle w:val="Normal"/></w:pPr>
<w:r><w:t xml:space="preserve">physicians.  By the directions of this prince the works of</w:t></w:r>
</w:p>
<w:p>
<w:pPr><w:pStyle w:val="Normal"/></w:pPr>
<w:r><w:t xml:space="preserve">the Greek and Roman authors were translated into Arabic;</w:t></w:r>
</w:p>
<w:p>
<w:pPr><w:pStyle w:val="Normal"/></w:pPr>
<w:r><w:t xml:space="preserve">and the favour and munificence with which literature and its</w:t></w:r>
</w:p>
<w:p>
<w:pPr><w:pStyle w:val="Normal"/></w:pPr>
<w:r><w:t xml:space="preserve">professors were patronized speedily raised a succession of</w:t></w:r>
</w:p>
<w:p>
<w:pPr><w:pStyle w:val="Normal"/></w:pPr>
<w:r><w:t xml:space="preserve">learned Arabians.  The residue of the rival family of the</w:t></w:r>
</w:p>
<w:p>
<w:pPr><w:pStyle w:val="Normal"/></w:pPr>
<w:r><w:t xml:space="preserve">Omayyads, already settled in Spain, was prompted by motives</w:t></w:r>
</w:p>
<w:p>
<w:pPr><w:pStyle w:val="Normal"/></w:pPr>
<w:r><w:t xml:space="preserve">of rivalry or honourable ambition to adopt the same course;</w:t></w:r>
</w:p>
<w:p>
<w:pPr><w:pStyle w:val="Normal"/></w:pPr>
<w:r><w:t xml:space="preserve">and while the academy, hospitals and library of Bagdad bore</w:t></w:r>
</w:p>
<w:p>
<w:pPr><w:pStyle w:val="Normal"/></w:pPr>
<w:r><w:t xml:space="preserve">testimony to the zeal and liberality of the Abbasids, the</w:t></w:r>
</w:p>
<w:p>
<w:pPr><w:pStyle w:val="Normal"/></w:pPr>
<w:r><w:t xml:space="preserve">munificence of the Omayyads was not less conspicuous in</w:t></w:r>
</w:p>
<w:p>
<w:pPr><w:pStyle w:val="Normal"/></w:pPr>
<w:r><w:t xml:space="preserve">the literary institutions of Cordova, Seville and Toledo.</w:t></w:r>
</w:p>
<w:p>
<w:pPr><w:pStyle w:val="Normal"/></w:pPr>
<w:r><w:t xml:space="preserve">Notwithstanding the efforts of the Arabian princes, however,</w:t></w:r>
</w:p>
<w:p>
<w:pPr><w:pStyle w:val="Normal"/></w:pPr>
<w:r><w:t xml:space="preserve">and the diligence of the Arabian physicians, little was</w:t></w:r>
</w:p>
<w:p>
<w:pPr><w:pStyle w:val="Normal"/></w:pPr>
<w:r><w:t xml:space="preserve">done for anatomy, and the science made no substantial</w:t></w:r>
</w:p>
<w:p>
<w:pPr><w:pStyle w:val="Normal"/></w:pPr>
<w:r><w:t xml:space="preserve">acquisition.  The Koran denounces as unclean the person</w:t></w:r>
</w:p>
<w:p>
<w:pPr><w:pStyle w:val="Normal"/></w:pPr>
<w:r><w:t xml:space="preserve">who touches a corpse; the rules of Islam forbid dissection;</w:t></w:r>
</w:p>
<w:p>
<w:pPr><w:pStyle w:val="Normal"/></w:pPr>
<w:r><w:t xml:space="preserve">and whatever their instructors taught was borrowed from the</w:t></w:r>
</w:p>
<w:p>
<w:pPr><w:pStyle w:val="Normal"/></w:pPr>
<w:r><w:t xml:space="preserve">Greeks.  Abu-Bekr Al-Rasi, Abu-Ali Ibn-Sina, Abul-Qasim and</w:t></w:r>
</w:p>
<w:p>
<w:pPr><w:pStyle w:val="Normal"/></w:pPr>
<w:r><w:t xml:space="preserve">Abul Walid ibn Rushd, the Rhazes, Avicenna, Abulcasis and</w:t></w:r>
</w:p>
<w:p>
<w:pPr><w:pStyle w:val="Normal"/></w:pPr>
<w:r><w:t xml:space="preserve">Averroes of European authors, are their most celebrated names</w:t></w:r>
</w:p>
<w:p>
<w:pPr><w:pStyle w:val="Normal"/></w:pPr>
<w:r><w:t xml:space="preserve">in medicine; yet to none of these can the historian with</w:t></w:r>
</w:p>
<w:p>
<w:pPr><w:pStyle w:val="Normal"/></w:pPr>
<w:r><w:t xml:space="preserve">justice ascribe any anatomical merit.  Rhazes has indeed</w:t></w:r>
</w:p>
<w:p>
<w:pPr><w:pStyle w:val="Normal"/></w:pPr>
<w:r><w:t xml:space="preserve">left descriptions of the eye, of the ear and its meatus,</w:t></w:r>
</w:p>
<w:p>
<w:pPr><w:pStyle w:val="Normal"/></w:pPr>
<w:r><w:t xml:space="preserve">and of the heart; and Avicenna, Abul-Qasim and Averroes give</w:t></w:r>
</w:p>
<w:p>
<w:pPr><w:pStyle w:val="Normal"/></w:pPr>
<w:r><w:t xml:space="preserve">anatomical descriptions of the parts of the human body.  But</w:t></w:r>
</w:p>
<w:p>
<w:pPr><w:pStyle w:val="Normal"/></w:pPr>
<w:r><w:t xml:space="preserve">of these the general character is, that they are copies from</w:t></w:r>
</w:p>
<w:p>
<w:pPr><w:pStyle w:val="Normal"/></w:pPr>
<w:r><w:t xml:space="preserve">Galen, sometimes not very just, and in all instances mystified</w:t></w:r>
</w:p>
<w:p>
<w:pPr><w:pStyle w:val="Normal"/></w:pPr>
<w:r><w:t xml:space="preserve">with a large proportion of the fanciful and absurd imagery</w:t></w:r>
</w:p>
<w:p>
<w:pPr><w:pStyle w:val="Normal"/></w:pPr>
<w:r><w:t xml:space="preserve">and inflated style of the Arabian writers.  The chief reason</w:t></w:r>
</w:p>
<w:p>
<w:pPr><w:pStyle w:val="Normal"/></w:pPr>
<w:r><w:t xml:space="preserve">of their obtaining a place in anatomical history is, that by</w:t></w:r>
</w:p>
<w:p>
<w:pPr><w:pStyle w:val="Normal"/></w:pPr>
<w:r><w:t xml:space="preserve">the influence which their medical authority enabled them to</w:t></w:r>
</w:p>
<w:p>
<w:pPr><w:pStyle w:val="Normal"/></w:pPr>
<w:r><w:t xml:space="preserve">exercise in the European schools, the nomenclature which they</w:t></w:r>
</w:p>
<w:p>
<w:pPr><w:pStyle w:val="Normal"/></w:pPr>
<w:r><w:t xml:space="preserve">employed was adopted by European anatomists, and continued</w:t></w:r>
</w:p>
<w:p>
<w:pPr><w:pStyle w:val="Normal"/></w:pPr>
<w:r><w:t xml:space="preserve">till the revival of ancient learning restored the original</w:t></w:r>
</w:p>
<w:p>
<w:pPr><w:pStyle w:val="Normal"/></w:pPr>
<w:r><w:t xml:space="preserve">nomenclature of the Greek physicians.  Thus, the cervix,</w:t></w:r>
</w:p>
<w:p>
<w:pPr><w:pStyle w:val="Normal"/></w:pPr>
<w:r><w:t xml:space="preserve">or nape of the neck, is nucha; the oesophagus is meri;</w:t></w:r>
</w:p>
<w:p>
<w:pPr><w:pStyle w:val="Normal"/></w:pPr>
<w:r><w:t xml:space="preserve">the umbilical region is sumen or sumac; the abdomen is</w:t></w:r>
</w:p>
<w:p>
<w:pPr><w:pStyle w:val="Normal"/></w:pPr>
<w:r><w:t xml:space="preserve">myrach; the peritoneum is siphac; and the omentum, zirbus.</w:t></w:r>
</w:p>
<w:p>
<w:pPr><w:pStyle w:val="Normal"/></w:pPr>
<w:r><w:t xml:space="preserve">From the general character now given justice requires that</w:t></w:r>
</w:p>
<w:p>
<w:pPr><w:pStyle w:val="Normal"/></w:pPr>
<w:r><w:t xml:space="preserve">we except Abdallatif, the annalist of Egyptian affairs.  This</w:t></w:r>
</w:p>
<w:p>
<w:pPr><w:pStyle w:val="Normal"/></w:pPr>
<w:r><w:t xml:space="preserve">author, who maintains that it is impossible to learn anatomy</w:t></w:r>
</w:p>
<w:p>
<w:pPr><w:pStyle w:val="Normal"/></w:pPr>
<w:r><w:t xml:space="preserve">from books, and that the authority of Galen must yield to</w:t></w:r>
</w:p>
<w:p>
<w:pPr><w:pStyle w:val="Normal"/></w:pPr>
<w:r><w:t xml:space="preserve">personal inspection, informs us that the Moslem doctors did</w:t></w:r>
</w:p>
<w:p>
<w:pPr><w:pStyle w:val="Normal"/></w:pPr>
<w:r><w:t xml:space="preserve">not neglect opportunities of studying the bones of the human</w:t></w:r>
</w:p>
<w:p>
<w:pPr><w:pStyle w:val="Normal"/></w:pPr>
<w:r><w:t xml:space="preserve">body in cemeteries; and that he himself, by once examining a</w:t></w:r>
</w:p>
<w:p>
<w:pPr><w:pStyle w:val="Normal"/></w:pPr>
<w:r><w:t xml:space="preserve">collection of bones in this manner, ascertained that the lower</w:t></w:r>
</w:p>
<w:p>
<w:pPr><w:pStyle w:val="Normal"/></w:pPr>
<w:r><w:t xml:space="preserve">jaw is formed of one piece; that the sacrum, though sometimes</w:t></w:r>
</w:p>
<w:p>
<w:pPr><w:pStyle w:val="Normal"/></w:pPr>
<w:r><w:t xml:space="preserve">composed of several, is most generally of one; and that Galen</w:t></w:r>
</w:p>
<w:p>
<w:pPr><w:pStyle w:val="Normal"/></w:pPr>
<w:r><w:t xml:space="preserve">is mistaken when he asserts that these bones are not single.</w:t></w:r>
</w:p>
<w:p>
<w:pPr><w:pStyle w:val="Normal"/></w:pPr>
<w:r><w:t xml:space="preserve">School of Bologna.</w:t></w:r>
</w:p>
<w:p>
<w:pPr><w:pStyle w:val="Normal"/></w:pPr>
<w:r><w:t xml:space="preserve">The era of Saracen learning extends to the 13th century; and</w:t></w:r>
</w:p>
<w:p>
<w:pPr><w:pStyle w:val="Normal"/></w:pPr>
<w:r><w:t xml:space="preserve">after this we begin to approach happier times.  The university</w:t></w:r>
</w:p>
<w:p>
<w:pPr><w:pStyle w:val="Normal"/></w:pPr>
<w:r><w:t xml:space="preserve">of Bologna, which, as a school of literature and law, was</w:t></w:r>
</w:p>
<w:p>
<w:pPr><w:pStyle w:val="Normal"/></w:pPr>
<w:r><w:t xml:space="preserve">already celebrated in the 12th century, became, in the course</w:t></w:r>
</w:p>
<w:p>
<w:pPr><w:pStyle w:val="Normal"/></w:pPr>
<w:r><w:t xml:space="preserve">of the following one, not less distinguished for its medical</w:t></w:r>
</w:p>
<w:p>
<w:pPr><w:pStyle w:val="Normal"/></w:pPr>
<w:r><w:t xml:space="preserve">teachers.  Though the misgovernment of the municipal rulers</w:t></w:r>
</w:p>
<w:p>
<w:pPr><w:pStyle w:val="Normal"/></w:pPr>
<w:r><w:t xml:space="preserve">of Bologna had disgusted both teachers and students, and given</w:t></w:r>
</w:p>
<w:p>
<w:pPr><w:pStyle w:val="Normal"/></w:pPr>
<w:r><w:t xml:space="preserve">rise to the foundation of similar institutions in Padua and</w:t></w:r>
</w:p>
<w:p>
<w:pPr><w:pStyle w:val="Normal"/></w:pPr>
<w:r><w:t xml:space="preserve">Naples,--and though the school of Salerno, in the territory</w:t></w:r>
</w:p>
<w:p>
<w:pPr><w:pStyle w:val="Normal"/></w:pPr>
<w:r><w:t xml:space="preserve">of the latter, was still in high repute,--it appears, from</w:t></w:r>
</w:p>
<w:p>
<w:pPr><w:pStyle w:val="Normal"/></w:pPr>
<w:r><w:t xml:space="preserve">the testimony of M. Sarti, that medicine was in the highest</w:t></w:r>
</w:p>
<w:p>
<w:pPr><w:pStyle w:val="Normal"/></w:pPr>
<w:r><w:t xml:space="preserve">esteem in Bologna, and that it was in such perfection as</w:t></w:r>
</w:p>
<w:p>
<w:pPr><w:pStyle w:val="Normal"/></w:pPr>
<w:r><w:t xml:space="preserve">to require a division of its professors into physicians,</w:t></w:r>
</w:p>
<w:p>
<w:pPr><w:pStyle w:val="Normal"/></w:pPr>
<w:r><w:t xml:space="preserve">surgeons, physicians for wounds, barber-surgeons, oculists</w:t></w:r>
</w:p>
<w:p>
<w:pPr><w:pStyle w:val="Normal"/></w:pPr>
<w:r><w:t xml:space="preserve">and even some others.  Notwithstanding these indications</w:t></w:r>
</w:p>
<w:p>
<w:pPr><w:pStyle w:val="Normal"/></w:pPr>
<w:r><w:t xml:space="preserve">of refinement, however, anatomy was manifestly cultivated</w:t></w:r>
</w:p>
<w:p>
<w:pPr><w:pStyle w:val="Normal"/></w:pPr>
<w:r><w:t xml:space="preserve">rather as an appendage of surgery than a branch of medical</w:t></w:r>
</w:p>
<w:p>
<w:pPr><w:pStyle w:val="Normal"/></w:pPr>
<w:r><w:t xml:space="preserve">science; and according to the testimony of Guy de Chauliac,</w:t></w:r>
</w:p>
<w:p>
<w:pPr><w:pStyle w:val="Normal"/></w:pPr>
<w:r><w:t xml:space="preserve">the cultivation of anatomical knowledge was confined to</w:t></w:r>
</w:p>
<w:p>
<w:pPr><w:pStyle w:val="Normal"/></w:pPr>
<w:r><w:t xml:space="preserve">Roger of Parma, Roland, Jamerio, Bruno, and Lanfranc or</w:t></w:r>
</w:p>
<w:p>
<w:pPr><w:pStyle w:val="Normal"/></w:pPr>
<w:r><w:t xml:space="preserve">Lanfranchi of Milan; and this they borrowed chiefly from Galen.</w:t></w:r>
</w:p>
<w:p>
<w:pPr><w:pStyle w:val="Normal"/></w:pPr>
<w:r><w:t xml:space="preserve">Mondino.</w:t></w:r>
</w:p>
<w:p>
<w:pPr><w:pStyle w:val="Normal"/></w:pPr>
<w:r><w:t xml:space="preserve">In this state matters appear to have proceeded with the</w:t></w:r>
</w:p>
<w:p>
<w:pPr><w:pStyle w:val="Normal"/></w:pPr>
<w:r><w:t xml:space="preserve">medical school of Bologna till the commencement of the 14th</w:t></w:r>
</w:p>
<w:p>
<w:pPr><w:pStyle w:val="Normal"/></w:pPr>
<w:r><w:t xml:space="preserve">century, when the circumstance of possessing a teacher of</w:t></w:r>
</w:p>
<w:p>
<w:pPr><w:pStyle w:val="Normal"/></w:pPr>
<w:r><w:t xml:space="preserve">originality enabled this university to be the agent of as</w:t></w:r>
</w:p>
<w:p>
<w:pPr><w:pStyle w:val="Normal"/></w:pPr>
<w:r><w:t xml:space="preserve">great an improvement in medical science as she had already</w:t></w:r>
</w:p>
<w:p>
<w:pPr><w:pStyle w:val="Normal"/></w:pPr>
<w:r><w:t xml:space="preserve">effected in jurisprudence.  This era, indeed, is distinguished</w:t></w:r>
</w:p>
<w:p>
<w:pPr><w:pStyle w:val="Normal"/></w:pPr>
<w:r><w:t xml:space="preserve">for the appearance of Mondino (Mundinus), under whose</w:t></w:r>
</w:p>
<w:p>
<w:pPr><w:pStyle w:val="Normal"/></w:pPr>
<w:r><w:t xml:space="preserve">zealous cultivation the science first began to rise from the</w:t></w:r>
</w:p>
<w:p>
<w:pPr><w:pStyle w:val="Normal"/></w:pPr>
<w:r><w:t xml:space="preserve">ashes in which it had been buried.  This father of modern</w:t></w:r>
</w:p>
<w:p>
<w:pPr><w:pStyle w:val="Normal"/></w:pPr>
<w:r><w:t xml:space="preserve">anatomy, who taught in Bologna about the year 1315, quickly</w:t></w:r>
</w:p>
<w:p>
<w:pPr><w:pStyle w:val="Normal"/></w:pPr>
<w:r><w:t xml:space="preserve">drew the curiosity of the medical profession by well-ordered</w:t></w:r>
</w:p>
<w:p>
<w:pPr><w:pStyle w:val="Normal"/></w:pPr>
<w:r><w:t xml:space="preserve">demonstrations of the different parts of the human body.  In</w:t></w:r>
</w:p>
<w:p>
<w:pPr><w:pStyle w:val="Normal"/></w:pPr>
<w:r><w:t xml:space="preserve">1315 he dissected and demonstrated the parts of the human body</w:t></w:r>
</w:p>
<w:p>
<w:pPr><w:pStyle w:val="Normal"/></w:pPr>
<w:r><w:t xml:space="preserve">in two female subjects; and in the course of the following</w:t></w:r>
</w:p>
<w:p>
<w:pPr><w:pStyle w:val="Normal"/></w:pPr>
<w:r><w:t xml:space="preserve">year he accomplished the same task on the person of a single</w:t></w:r>
</w:p>
<w:p>
<w:pPr><w:pStyle w:val="Normal"/></w:pPr>
<w:r><w:t xml:space="preserve">female.  But while he seems to have had sufficient original</w:t></w:r>
</w:p>
<w:p>
<w:pPr><w:pStyle w:val="Normal"/></w:pPr>
<w:r><w:t xml:space="preserve">force of intellect to direct his own route, J. Riolan accuses</w:t></w:r>
</w:p>
<w:p>
<w:pPr><w:pStyle w:val="Normal"/></w:pPr>
<w:r><w:t xml:space="preserve">him of copying Galen; and it is certain that his descriptions</w:t></w:r>
</w:p>
<w:p>
<w:pPr><w:pStyle w:val="Normal"/></w:pPr>
<w:r><w:t xml:space="preserve">are corrupted by the barbarous leaven of the Arabian schools,</w:t></w:r>
</w:p>
<w:p>
<w:pPr><w:pStyle w:val="Normal"/></w:pPr>
<w:r><w:t xml:space="preserve">and his Latin defaced by the exotic nomenclature of Avicenna</w:t></w:r>
</w:p>
<w:p>
<w:pPr><w:pStyle w:val="Normal"/></w:pPr>
<w:r><w:t xml:space="preserve">and Rhazes.  He died, according to G. Tiraboschi, in 1325.</w:t></w:r>
</w:p>
<w:p>
<w:pPr><w:pStyle w:val="Normal"/></w:pPr>
<w:r><w:t xml:space="preserve">Mondino divides the body into three cavities (ventres), the</w:t></w:r>
</w:p>
<w:p>
<w:pPr><w:pStyle w:val="Normal"/></w:pPr>
<w:r><w:t xml:space="preserve">upper containing the animal members, as the head, the lower</w:t></w:r>
</w:p>
<w:p>
<w:pPr><w:pStyle w:val="Normal"/></w:pPr>
<w:r><w:t xml:space="preserve">containing the natural members, and the middle containing the</w:t></w:r>
</w:p>
<w:p>
<w:pPr><w:pStyle w:val="Normal"/></w:pPr>
<w:r><w:t xml:space="preserve">spiritual members.  He first describes the anatomy of the lower</w:t></w:r>
</w:p>
<w:p>
<w:pPr><w:pStyle w:val="Normal"/></w:pPr>
<w:r><w:t xml:space="preserve">cavity or the abdomen, then proceeds to the middle or thoracic</w:t></w:r>
</w:p>
<w:p>
<w:pPr><w:pStyle w:val="Normal"/></w:pPr>
<w:r><w:t xml:space="preserve">organs, and concludes with the upper, comprising the head and</w:t></w:r>
</w:p>
<w:p>
<w:pPr><w:pStyle w:val="Normal"/></w:pPr>
<w:r><w:t xml:space="preserve">its contents and appendages.  His general manner is to notice</w:t></w:r>
</w:p>
<w:p>
<w:pPr><w:pStyle w:val="Normal"/></w:pPr>
<w:r><w:t xml:space="preserve">shortly the situation and shape or distribution of textures or</w:t></w:r>
</w:p>
<w:p>
<w:pPr><w:pStyle w:val="Normal"/></w:pPr>
<w:r><w:t xml:space="preserve">membranes, and then to mention the disorders to which they are</w:t></w:r>
</w:p>
<w:p>
<w:pPr><w:pStyle w:val="Normal"/></w:pPr>
<w:r><w:t xml:space="preserve">subject.  The peritoneum he describes under the name of</w:t></w:r>
</w:p>
<w:p>
<w:pPr><w:pStyle w:val="Normal"/></w:pPr>
<w:r><w:t xml:space="preserve">siphac, in imitation of the Arabians, the omentum under that</w:t></w:r>
</w:p>
<w:p>
<w:pPr><w:pStyle w:val="Normal"/></w:pPr>
<w:r><w:t xml:space="preserve">of zirbus, and the mesentery or eucharus as distinct from</w:t></w:r>
</w:p>
<w:p>
<w:pPr><w:pStyle w:val="Normal"/></w:pPr>
<w:r><w:t xml:space="preserve">both.  In speaking of the intestines he treats first of the</w:t></w:r>
</w:p>
<w:p>
<w:pPr><w:pStyle w:val="Normal"/></w:pPr>
<w:r><w:t xml:space="preserve">rectum, then the colon, the left or sigmoid flexure of</w:t></w:r>
</w:p>
<w:p>
<w:pPr><w:pStyle w:val="Normal"/></w:pPr>
<w:r><w:t xml:space="preserve">which, as well as the transverse arch and its connexion with</w:t></w:r>
</w:p>
<w:p>
<w:pPr><w:pStyle w:val="Normal"/></w:pPr>
<w:r><w:t xml:space="preserve">the stomach, he particularly remarks; then the caecum or</w:t></w:r>
</w:p>
<w:p>
<w:pPr><w:pStyle w:val="Normal"/></w:pPr>
<w:r><w:t xml:space="preserve">monoculus, after this the small intestines in general under</w:t></w:r>
</w:p>
<w:p>
<w:pPr><w:pStyle w:val="Normal"/></w:pPr>
<w:r><w:t xml:space="preserve">the heads of ileum and jejunum, and latterly the duodenum,</w:t></w:r>
</w:p>
<w:p>
<w:pPr><w:pStyle w:val="Normal"/></w:pPr>
<w:r><w:t xml:space="preserve">making in all six bowels.  The liver and its vessels are</w:t></w:r>
</w:p>
<w:p>
<w:pPr><w:pStyle w:val="Normal"/></w:pPr>
<w:r><w:t xml:space="preserve">minutely, if not accurately, examined; and the cava, under</w:t></w:r>
</w:p>
<w:p>
<w:pPr><w:pStyle w:val="Normal"/></w:pPr>
<w:r><w:t xml:space="preserve">the name chilis, a corruption from the Greek koile,</w:t></w:r>
</w:p>
<w:p>
<w:pPr><w:pStyle w:val="Normal"/></w:pPr>
<w:r><w:t xml:space="preserve">is trcated at length, with the emulgents and kidneys.  His</w:t></w:r>
</w:p>
<w:p>
<w:pPr><w:pStyle w:val="Normal"/></w:pPr>
<w:r><w:t xml:space="preserve">anatomy of the heart is wonderfully accurate; and it is a</w:t></w:r>
</w:p>
<w:p>
<w:pPr><w:pStyle w:val="Normal"/></w:pPr>
<w:r><w:t xml:space="preserve">remarkable fact, which seems to be omitted by all subsequent</w:t></w:r>
</w:p>
<w:p>
<w:pPr><w:pStyle w:val="Normal"/></w:pPr>
<w:r><w:t xml:space="preserve">authors, that his description contains the rudiments of the</w:t></w:r>
</w:p>
<w:p>
<w:pPr><w:pStyle w:val="Normal"/></w:pPr>
<w:r><w:t xml:space="preserve">circulation of the blood. ``Postea vero versus pulmonem est</w:t></w:r>
</w:p>
<w:p>
<w:pPr><w:pStyle w:val="Normal"/></w:pPr>
<w:r><w:t xml:space="preserve">aliud orificium venae arterialis, quae portat sanguinem ad</w:t></w:r>
</w:p>
<w:p>
<w:pPr><w:pStyle w:val="Normal"/></w:pPr>
<w:r><w:t xml:space="preserve">pulmonem a corde; quia cum pulmo deserviat cordi secundum modum</w:t></w:r>
</w:p>
<w:p>
<w:pPr><w:pStyle w:val="Normal"/></w:pPr>
<w:r><w:t xml:space="preserve">dictum, ut ei recompenset, cor ei transmittit sanguinem</w:t></w:r>
</w:p>
<w:p>
<w:pPr><w:pStyle w:val="Normal"/></w:pPr>
<w:r><w:t xml:space="preserve">per hanc venam, quae vocatur vena arterialis; est vena, quia</w:t></w:r>
</w:p>
<w:p>
<w:pPr><w:pStyle w:val="Normal"/></w:pPr>
<w:r><w:t xml:space="preserve">portat sanguinem, et arterialis, quia habet duas tunicas; et</w:t></w:r>
</w:p>
<w:p>
<w:pPr><w:pStyle w:val="Normal"/></w:pPr>
<w:r><w:t xml:space="preserve">habet duas tunicas, primo quia vadit ad membrum quod existit</w:t></w:r>
</w:p>
<w:p>
<w:pPr><w:pStyle w:val="Normal"/></w:pPr>
<w:r><w:t xml:space="preserve">in continuo motu, et secundo quia portat sanguinem valde</w:t></w:r>
</w:p>
<w:p>
<w:pPr><w:pStyle w:val="Normal"/></w:pPr>
<w:r><w:t xml:space="preserve">subtilem et cholericum.&apos;&apos; The merit of these distinctions,</w:t></w:r>
</w:p>
<w:p>
<w:pPr><w:pStyle w:val="Normal"/></w:pPr>
<w:r><w:t xml:space="preserve">however, he afterwards destroys by repeating the old assertion</w:t></w:r>
</w:p>
<w:p>
<w:pPr><w:pStyle w:val="Normal"/></w:pPr>
<w:r><w:t xml:space="preserve">that the left ventricle ought to contain spirit or air, which</w:t></w:r>
</w:p>
<w:p>
<w:pPr><w:pStyle w:val="Normal"/></w:pPr>
<w:r><w:t xml:space="preserve">it generates from the blood.  His osteology of the skull is</w:t></w:r>
</w:p>
<w:p>
<w:pPr><w:pStyle w:val="Normal"/></w:pPr>
<w:r><w:t xml:space="preserve">erroneous.  In his account of the cerebral membranes, though</w:t></w:r>
</w:p>
<w:p>
<w:pPr><w:pStyle w:val="Normal"/></w:pPr>
<w:r><w:t xml:space="preserve">short, he notices the principal characters of the dura mater.</w:t></w:r>
</w:p>
<w:p>
<w:pPr><w:pStyle w:val="Normal"/></w:pPr>
<w:r><w:t xml:space="preserve">He describes shortly the lateral ventricles, with their anterior</w:t></w:r>
</w:p>
<w:p>
<w:pPr><w:pStyle w:val="Normal"/></w:pPr>
<w:r><w:t xml:space="preserve">and posterior cornua, and the choroid plexus as a blood-red</w:t></w:r>
</w:p>
<w:p>
<w:pPr><w:pStyle w:val="Normal"/></w:pPr>
<w:r><w:t xml:space="preserve">substance like a long worm.  He then speaks of the third or</w:t></w:r>
</w:p>
<w:p>
<w:pPr><w:pStyle w:val="Normal"/></w:pPr>
<w:r><w:t xml:space="preserve">middle ventricle, and one posterior, which seems to correspond</w:t></w:r>
</w:p>
<w:p>
<w:pPr><w:pStyle w:val="Normal"/></w:pPr>
<w:r><w:t xml:space="preserve">with the fourth; and describes the infundibulum under the</w:t></w:r>
</w:p>
<w:p>
<w:pPr><w:pStyle w:val="Normal"/></w:pPr>
<w:r><w:t xml:space="preserve">names of lacuna and emboton. In the base of the organ he</w:t></w:r>
</w:p>
<w:p>
<w:pPr><w:pStyle w:val="Normal"/></w:pPr>
<w:r><w:t xml:space="preserve">remarks, first, two mammillary caruncles, the optic nerves,</w:t></w:r>
</w:p>
<w:p>
<w:pPr><w:pStyle w:val="Normal"/></w:pPr>
<w:r><w:t xml:space="preserve">which he reckons the first pair; the oculomuscular, which he</w:t></w:r>
</w:p>
<w:p>
<w:pPr><w:pStyle w:val="Normal"/></w:pPr>
<w:r><w:t xml:space="preserve">accounts the second; the third, which appears to be sixth of the</w:t></w:r>
</w:p>
<w:p>
<w:pPr><w:pStyle w:val="Normal"/></w:pPr>
<w:r><w:t xml:space="preserve">moderns; the fourth; the fifth, evidently the seventh; a sixth,</w:t></w:r>
</w:p>
<w:p>
<w:pPr><w:pStyle w:val="Normal"/></w:pPr>
<w:r><w:t xml:space="preserve">the nervus vagus; and a seventh, which is the ninth of the</w:t></w:r>
</w:p>
<w:p>
<w:pPr><w:pStyle w:val="Normal"/></w:pPr>
<w:r><w:t xml:space="preserve">moderns.  Notwithstanding the misrepresentations into which</w:t></w:r>
</w:p>
<w:p>
<w:pPr><w:pStyle w:val="Normal"/></w:pPr>
<w:r><w:t xml:space="preserve">this early anatomist was betrayed, his book is valuable, and has</w:t></w:r>
</w:p>
<w:p>
<w:pPr><w:pStyle w:val="Normal"/></w:pPr>
<w:r><w:t xml:space="preserve">been illustrated by the successive commentaries of Alessandro</w:t></w:r>
</w:p>
<w:p>
<w:pPr><w:pStyle w:val="Normal"/></w:pPr>
<w:r><w:t xml:space="preserve">Achillini, Jacopo Berengario and Johann Dryander (1500-1560).</w:t></w:r>
</w:p>
<w:p>
<w:pPr><w:pStyle w:val="Normal"/></w:pPr>
<w:r><w:t xml:space="preserve">Matthew de Gradibus, a native of Gradi, a town in Friuli,</w:t></w:r>
</w:p>
<w:p>
<w:pPr><w:pStyle w:val="Normal"/></w:pPr>
<w:r><w:t xml:space="preserve">near Milan, distinguished himself by composing a series of</w:t></w:r>
</w:p>
<w:p>
<w:pPr><w:pStyle w:val="Normal"/></w:pPr>
<w:r><w:t xml:space="preserve">treatises on the anatomy of various parts of the human body</w:t></w:r>
</w:p>
<w:p>
<w:pPr><w:pStyle w:val="Normal"/></w:pPr>
<w:r><w:t xml:space="preserve">(1480).  He is the first who represents the ovaries of the</w:t></w:r>
</w:p>
<w:p>
<w:pPr><w:pStyle w:val="Normal"/></w:pPr>
<w:r><w:t xml:space="preserve">female in the correct light in which they were subsequently</w:t></w:r>
</w:p>
<w:p>
<w:pPr><w:pStyle w:val="Normal"/></w:pPr>
<w:r><w:t xml:space="preserve">regarded by Nicolas Steno or Stensen (1638-1687).</w:t></w:r>
</w:p>
<w:p>
<w:pPr><w:pStyle w:val="Normal"/></w:pPr>
<w:r><w:t xml:space="preserve">Objections similar to those already urged in speaking</w:t></w:r>
</w:p>
<w:p>
<w:pPr><w:pStyle w:val="Normal"/></w:pPr>
<w:r><w:t xml:space="preserve">of Mondino apply to another eminent anatomist of those</w:t></w:r>
</w:p>
<w:p>
<w:pPr><w:pStyle w:val="Normal"/></w:pPr>
<w:r><w:t xml:space="preserve">times.  Gabriel de Zerbis, who flourished at Verona towards</w:t></w:r>
</w:p>
<w:p>
<w:pPr><w:pStyle w:val="Normal"/></w:pPr>
<w:r><w:t xml:space="preserve">the conclusion of the 15th century, is celebrated as the</w:t></w:r>
</w:p>
<w:p>
<w:pPr><w:pStyle w:val="Normal"/></w:pPr>
<w:r><w:t xml:space="preserve">author of a system in which he is obviously more anxious</w:t></w:r>
</w:p>
<w:p>
<w:pPr><w:pStyle w:val="Normal"/></w:pPr>
<w:r><w:t xml:space="preserve">to astonish his readers by the wonders of a verbose and</w:t></w:r>
</w:p>
<w:p>
<w:pPr><w:pStyle w:val="Normal"/></w:pPr>
<w:r><w:t xml:space="preserve">complicated style than to instruct by precise and faithful</w:t></w:r>
</w:p>
<w:p>
<w:pPr><w:pStyle w:val="Normal"/></w:pPr>
<w:r><w:t xml:space="preserve">description.  In the vanity of his heart he assumed the title</w:t></w:r>
</w:p>
<w:p>
<w:pPr><w:pStyle w:val="Normal"/></w:pPr>
<w:r><w:t xml:space="preserve">of Medicus Theoricus; but though, like Mondino, he derived</w:t></w:r>
</w:p>
<w:p>
<w:pPr><w:pStyle w:val="Normal"/></w:pPr>
<w:r><w:t xml:space="preserve">his information from the dissection of the human subject,</w:t></w:r>
</w:p>
<w:p>
<w:pPr><w:pStyle w:val="Normal"/></w:pPr>
<w:r><w:t xml:space="preserve">he is not entitled to the merit either of describing truly</w:t></w:r>
</w:p>
<w:p>
<w:pPr><w:pStyle w:val="Normal"/></w:pPr>
<w:r><w:t xml:space="preserve">or of adding to the knowledge previously acquired.  He is</w:t></w:r>
</w:p>
<w:p>
<w:pPr><w:pStyle w:val="Normal"/></w:pPr>
<w:r><w:t xml:space="preserve">superior to Mondina, however, in knowing the olfactory nerves.</w:t></w:r>
</w:p>
<w:p>
<w:pPr><w:pStyle w:val="Normal"/></w:pPr>
<w:r><w:t xml:space="preserve">Achillini.</w:t></w:r>
</w:p>
<w:p>
<w:pPr><w:pStyle w:val="Normal"/></w:pPr>
<w:r><w:t xml:space="preserve">Eminent in the history of the science, and more distinguished</w:t></w:r>
</w:p>
<w:p>
<w:pPr><w:pStyle w:val="Normal"/></w:pPr>
<w:r><w:t xml:space="preserve">than any of this age in the history of cerebral anatomy, Achillini</w:t></w:r>
</w:p>
<w:p>
<w:pPr><w:pStyle w:val="Normal"/></w:pPr>
<w:r><w:t xml:space="preserve">of Bologna (1463-1512), the pupil and commentator of Mondino,</w:t></w:r>
</w:p>
<w:p>
<w:pPr><w:pStyle w:val="Normal"/></w:pPr>
<w:r><w:t xml:space="preserve">appeared at the close of the 15th century.  Though a follower</w:t></w:r>
</w:p>
<w:p>
<w:pPr><w:pStyle w:val="Normal"/></w:pPr>
<w:r><w:t xml:space="preserve">of the Arabian school, the assiduity with which he cultivated</w:t></w:r>
</w:p>
<w:p>
<w:pPr><w:pStyle w:val="Normal"/></w:pPr>
<w:r><w:t xml:space="preserve">anatomy has rescued his name from the inglorious obscurity</w:t></w:r>
</w:p>
<w:p>
<w:pPr><w:pStyle w:val="Normal"/></w:pPr>
<w:r><w:t xml:space="preserve">in which the Arabian doctors have in general slumbered.  He</w:t></w:r>
</w:p>
<w:p>
<w:pPr><w:pStyle w:val="Normal"/></w:pPr>
<w:r><w:t xml:space="preserve">is known in the history of anatomical discovery as the first</w:t></w:r>
</w:p>
<w:p>
<w:pPr><w:pStyle w:val="Normal"/></w:pPr>
<w:r><w:t xml:space="preserve">who described the two tympanal bones, termed malleus and</w:t></w:r>
</w:p>
<w:p>
<w:pPr><w:pStyle w:val="Normal"/></w:pPr>
<w:r><w:t xml:space="preserve">incus. In 1503 he showed that the tarsus consists of seven</w:t></w:r>
</w:p>
<w:p>
<w:pPr><w:pStyle w:val="Normal"/></w:pPr>
<w:r><w:t xml:space="preserve">bones; he rediscovered the fornix and the infundibulum; and</w:t></w:r>
</w:p>
<w:p>
<w:pPr><w:pStyle w:val="Normal"/></w:pPr>
<w:r><w:t xml:space="preserve">he was fortunate enough to observe the course of the cerebral</w:t></w:r>
</w:p>
<w:p>
<w:pPr><w:pStyle w:val="Normal"/></w:pPr>
<w:r><w:t xml:space="preserve">cavities into the inferior cornua, and to remark peculiarities</w:t></w:r>
</w:p>
<w:p>
<w:pPr><w:pStyle w:val="Normal"/></w:pPr>
<w:r><w:t xml:space="preserve">to which the anatomists of a future age did not advert.  He</w:t></w:r>
</w:p>
<w:p>
<w:pPr><w:pStyle w:val="Normal"/></w:pPr>
<w:r><w:t xml:space="preserve">mentions the orifices of the ducts, afterwards described by</w:t></w:r>
</w:p>
<w:p>
<w:pPr><w:pStyle w:val="Normal"/></w:pPr>
<w:r><w:t xml:space="preserve">Thomas Wharton (1610-1673).  He knew the ileo-caecal valve;</w:t></w:r>
</w:p>
<w:p>
<w:pPr><w:pStyle w:val="Normal"/></w:pPr>
<w:r><w:t xml:space="preserve">and his description of the duodenum, ileum and colon shows</w:t></w:r>
</w:p>
<w:p>
<w:pPr><w:pStyle w:val="Normal"/></w:pPr>
<w:r><w:t xml:space="preserve">that he was better acquainted with the site and disposition of</w:t></w:r>
</w:p>
<w:p>
<w:pPr><w:pStyle w:val="Normal"/></w:pPr>
<w:r><w:t xml:space="preserve">these bowels than any of his predecessors or contemporaries.</w:t></w:r>
</w:p>
<w:p>
<w:pPr><w:pStyle w:val="Normal"/></w:pPr>
<w:r><w:t xml:space="preserve">Berenger.</w:t></w:r>
</w:p>
<w:p>
<w:pPr><w:pStyle w:val="Normal"/></w:pPr>
<w:r><w:t xml:space="preserve">Not long after, the science boasts of one of its most</w:t></w:r>
</w:p>
<w:p>
<w:pPr><w:pStyle w:val="Normal"/></w:pPr>
<w:r><w:t xml:space="preserve">distinguished founders.  Berengario, commonly called Berenger</w:t></w:r>
</w:p>
<w:p>
<w:pPr><w:pStyle w:val="Normal"/></w:pPr>
<w:r><w:t xml:space="preserve">of Carpi, in the Modenese territory, flourished at Bologna</w:t></w:r>
</w:p>
<w:p>
<w:pPr><w:pStyle w:val="Normal"/></w:pPr>
<w:r><w:t xml:space="preserve">at the beginning of the 16th century.  In the annals of</w:t></w:r>
</w:p>
<w:p>
<w:pPr><w:pStyle w:val="Normal"/></w:pPr>
<w:r><w:t xml:space="preserve">medicine his name will be remembered not only as the most</w:t></w:r>
</w:p>
<w:p>
<w:pPr><w:pStyle w:val="Normal"/></w:pPr>
<w:r><w:t xml:space="preserve">zealous and eminent in cultivating the anatomy of the human</w:t></w:r>
</w:p>
<w:p>
<w:pPr><w:pStyle w:val="Normal"/></w:pPr>
<w:r><w:t xml:space="preserve">body, but as the first physician who was fortunate enough</w:t></w:r>
</w:p>
<w:p>
<w:pPr><w:pStyle w:val="Normal"/></w:pPr>
<w:r><w:t xml:space="preserve">to calm the alarms of Europe, suffering under the ravages</w:t></w:r>
</w:p>
<w:p>
<w:pPr><w:pStyle w:val="Normal"/></w:pPr>
<w:r><w:t xml:space="preserve">of syphilis, then raging with uncontrollable virulence.</w:t></w:r>
</w:p>
<w:p>
<w:pPr><w:pStyle w:val="Normal"/></w:pPr>
<w:r><w:t xml:space="preserve">In the former character he surpassed both predecessors and</w:t></w:r>
</w:p>
<w:p>
<w:pPr><w:pStyle w:val="Normal"/></w:pPr>
<w:r><w:t xml:space="preserve">contemporaries; and it was long before the anatomists of the</w:t></w:r>
</w:p>
<w:p>
<w:pPr><w:pStyle w:val="Normal"/></w:pPr>
<w:r><w:t xml:space="preserve">following age could boast of equalling him.  His assiduity</w:t></w:r>
</w:p>
<w:p>
<w:pPr><w:pStyle w:val="Normal"/></w:pPr>
<w:r><w:t xml:space="preserve">was indefatigable; and he declares that he dissected above one</w:t></w:r>
</w:p>
<w:p>
<w:pPr><w:pStyle w:val="Normal"/></w:pPr>
<w:r><w:t xml:space="preserve">hundred human bodies.  He is the author of a compendium, of</w:t></w:r>
</w:p>
<w:p>
<w:pPr><w:pStyle w:val="Normal"/></w:pPr>
<w:r><w:t xml:space="preserve">several treatises which he names Introductions (Isagogae),</w:t></w:r>
</w:p>
<w:p>
<w:pPr><w:pStyle w:val="Normal"/></w:pPr>
<w:r><w:t xml:space="preserve">and of commentaries on the treatise of Mondino, in which</w:t></w:r>
</w:p>
<w:p>
<w:pPr><w:pStyle w:val="Normal"/></w:pPr>
<w:r><w:t xml:space="preserve">he not only rectifies the mistakes of that anatomist, but</w:t></w:r>
</w:p>
<w:p>
<w:pPr><w:pStyle w:val="Normal"/></w:pPr>
<w:r><w:t xml:space="preserve">gives minute and in general accurate anatomical descriptions.</w:t></w:r>
</w:p>
<w:p>
<w:pPr><w:pStyle w:val="Normal"/></w:pPr>
<w:r><w:t xml:space="preserve">He is the first who undertakes a systematic view of the</w:t></w:r>
</w:p>
<w:p>
<w:pPr><w:pStyle w:val="Normal"/></w:pPr>
<w:r><w:t xml:space="preserve">several textures of which the human body is composed; and</w:t></w:r>
</w:p>
<w:p>
<w:pPr><w:pStyle w:val="Normal"/></w:pPr>
<w:r><w:t xml:space="preserve">in a preliminary commentary he treats successively of the</w:t></w:r>
</w:p>
<w:p>
<w:pPr><w:pStyle w:val="Normal"/></w:pPr>
<w:r><w:t xml:space="preserve">anatomical characters and properties of fat, of membrane in</w:t></w:r>
</w:p>
<w:p>
<w:pPr><w:pStyle w:val="Normal"/></w:pPr>
<w:r><w:t xml:space="preserve">general (panniculus), of flesh, of nerve, of villus or fibre</w:t></w:r>
</w:p>
<w:p>
<w:pPr><w:pStyle w:val="Normal"/></w:pPr>
<w:r><w:t xml:space="preserve">(filum), of ligament, of sinew or tendon, and of muscle in</w:t></w:r>
</w:p>
<w:p>
<w:pPr><w:pStyle w:val="Normal"/></w:pPr>
<w:r><w:t xml:space="preserve">general.  He then proceeds to describe with considerable</w:t></w:r>
</w:p>
<w:p>
<w:pPr><w:pStyle w:val="Normal"/></w:pPr>
<w:r><w:t xml:space="preserve">precision the muscles of the abdomen, and illustrates their</w:t></w:r>
</w:p>
<w:p>
<w:pPr><w:pStyle w:val="Normal"/></w:pPr>
<w:r><w:t xml:space="preserve">site and connexions by woodcuts which, though rude, are</w:t></w:r>
</w:p>
<w:p>
<w:pPr><w:pStyle w:val="Normal"/></w:pPr>
<w:r><w:t xml:space="preserve">spirited, and show that anatomical drawing was in that early age</w:t></w:r>
</w:p>
<w:p>
<w:pPr><w:pStyle w:val="Normal"/></w:pPr>
<w:r><w:t xml:space="preserve">beginning to be understood.  In his account of the peritoneum</w:t></w:r>
</w:p>
<w:p>
<w:pPr><w:pStyle w:val="Normal"/></w:pPr>
<w:r><w:t xml:space="preserve">he admits only the intestinal division of that membrane, and</w:t></w:r>
</w:p>
<w:p>
<w:pPr><w:pStyle w:val="Normal"/></w:pPr>
<w:r><w:t xml:space="preserve">is at some pains to prove that Gentilis Fulgineus, who justly</w:t></w:r>
</w:p>
<w:p>
<w:pPr><w:pStyle w:val="Normal"/></w:pPr>
<w:r><w:t xml:space="preserve">admits the muscular division also, is in error.  In his account</w:t></w:r>
</w:p>
<w:p>
<w:pPr><w:pStyle w:val="Normal"/></w:pPr>
<w:r><w:t xml:space="preserve">of the intestines he is the first who mentions the vermiform</w:t></w:r>
</w:p>
<w:p>
<w:pPr><w:pStyle w:val="Normal"/></w:pPr>
<w:r><w:t xml:space="preserve">process of the caecum; he remarks the yellow tint communicated</w:t></w:r>
</w:p>
<w:p>
<w:pPr><w:pStyle w:val="Normal"/></w:pPr>
<w:r><w:t xml:space="preserve">to the duodenum by the gall-bladder; and he recognizes the</w:t></w:r>
</w:p>
<w:p>
<w:pPr><w:pStyle w:val="Normal"/></w:pPr>
<w:r><w:t xml:space="preserve">opening of the common biliary duct into the duodenum (quidam</w:t></w:r>
</w:p>
<w:p>
<w:pPr><w:pStyle w:val="Normal"/></w:pPr>
<w:r><w:t xml:space="preserve">porus portans choleram.) In the account of the stomach he</w:t></w:r>
</w:p>
<w:p>
<w:pPr><w:pStyle w:val="Normal"/></w:pPr>
<w:r><w:t xml:space="preserve">describes the several tissues of which that organ is composed,</w:t></w:r>
</w:p>
<w:p>
<w:pPr><w:pStyle w:val="Normal"/></w:pPr>
<w:r><w:t xml:space="preserve">and which he represents to be three, and a fourth from the</w:t></w:r>
</w:p>
<w:p>
<w:pPr><w:pStyle w:val="Normal"/></w:pPr>
<w:r><w:t xml:space="preserve">peritoneum; and afterwards notices the rugae of its villous</w:t></w:r>
</w:p>
<w:p>
<w:pPr><w:pStyle w:val="Normal"/></w:pPr>
<w:r><w:t xml:space="preserve">surface.  He is at considerable pains to explain the organs</w:t></w:r>
</w:p>
<w:p>
<w:pPr><w:pStyle w:val="Normal"/></w:pPr>
<w:r><w:t xml:space="preserve">of generation in both sexes, and gives a long account of the</w:t></w:r>
</w:p>
<w:p>
<w:pPr><w:pStyle w:val="Normal"/></w:pPr>
<w:r><w:t xml:space="preserve">anatomy of the foetus.  He was the first who recognized the</w:t></w:r>
</w:p>
<w:p>
<w:pPr><w:pStyle w:val="Normal"/></w:pPr>
<w:r><w:t xml:space="preserve">larger proportional size of the chest in the male than in the</w:t></w:r>
</w:p>
<w:p>
<w:pPr><w:pStyle w:val="Normal"/></w:pPr>
<w:r><w:t xml:space="preserve">female, and conversely the greater capacity of the female</w:t></w:r>
</w:p>
<w:p>
<w:pPr><w:pStyle w:val="Normal"/></w:pPr>
<w:r><w:t xml:space="preserve">than of the male pelvis.  In the larynx he discovered the two</w:t></w:r>
</w:p>
<w:p>
<w:pPr><w:pStyle w:val="Normal"/></w:pPr>
<w:r><w:t xml:space="preserve">arytenoid cartilages.  He gives the first good description</w:t></w:r>
</w:p>
<w:p>
<w:pPr><w:pStyle w:val="Normal"/></w:pPr>
<w:r><w:t xml:space="preserve">of the thymus; distinguishes the oblique situation of the</w:t></w:r>
</w:p>
<w:p>
<w:pPr><w:pStyle w:val="Normal"/></w:pPr>
<w:r><w:t xml:space="preserve">heart; describes the pericardium, and maintains the uniform</w:t></w:r>
</w:p>
<w:p>
<w:pPr><w:pStyle w:val="Normal"/></w:pPr>
<w:r><w:t xml:space="preserve">presence of pericardial liquor.  He then describes the</w:t></w:r>
</w:p>
<w:p>
<w:pPr><w:pStyle w:val="Normal"/></w:pPr>
<w:r><w:t xml:space="preserve">cavities of the heart; but perplexes himself, as did all</w:t></w:r>
</w:p>
<w:p>
<w:pPr><w:pStyle w:val="Normal"/></w:pPr>
<w:r><w:t xml:space="preserve">the anatomists of that age, about the spirit supposed to be</w:t></w:r>
</w:p>
<w:p>
<w:pPr><w:pStyle w:val="Normal"/></w:pPr>
<w:r><w:t xml:space="preserve">contained.  The aorta he properly makes to arise from the left</w:t></w:r>
</w:p>
<w:p>
<w:pPr><w:pStyle w:val="Normal"/></w:pPr>
<w:r><w:t xml:space="preserve">ventricle; but confuses himself with the arteria venalis,</w:t></w:r>
</w:p>
<w:p>
<w:pPr><w:pStyle w:val="Normal"/></w:pPr>
<w:r><w:t xml:space="preserve">the pulmonary vein, and the vena arterialis, the pulmonary</w:t></w:r>
</w:p>
<w:p>
<w:pPr><w:pStyle w:val="Normal"/></w:pPr>
<w:r><w:t xml:space="preserve">artery.  His account of the brain is better.  He gives a minute</w:t></w:r>
</w:p>
<w:p>
<w:pPr><w:pStyle w:val="Normal"/></w:pPr>
<w:r><w:t xml:space="preserve">and clear account of the ventricles, remarks the corpus</w:t></w:r>
</w:p>
<w:p>
<w:pPr><w:pStyle w:val="Normal"/></w:pPr>
<w:r><w:t xml:space="preserve">striatum, and has the sagacity to perceive that the choroid</w:t></w:r>
</w:p>
<w:p>
<w:pPr><w:pStyle w:val="Normal"/></w:pPr>
<w:r><w:t xml:space="preserve">plexus consists of veins and arteries; he then describes the</w:t></w:r>
</w:p>
<w:p>
<w:pPr><w:pStyle w:val="Normal"/></w:pPr>
<w:r><w:t xml:space="preserve">middle or third ventricle, the infundibulum or lacuna of</w:t></w:r>
</w:p>
<w:p>
<w:pPr><w:pStyle w:val="Normal"/></w:pPr>
<w:r><w:t xml:space="preserve">Mondino, and the pituitary gland; and lastly, the passage</w:t></w:r>
</w:p>
<w:p>
<w:pPr><w:pStyle w:val="Normal"/></w:pPr>
<w:r><w:t xml:space="preserve">to the fourth ventricle, the conarium or pineal gland, and</w:t></w:r>
</w:p>
<w:p>
<w:pPr><w:pStyle w:val="Normal"/></w:pPr>
<w:r><w:t xml:space="preserve">the fourth or posterior ventricle itself, the relations of</w:t></w:r>
</w:p>
<w:p>
<w:pPr><w:pStyle w:val="Normal"/></w:pPr>
<w:r><w:t xml:space="preserve">which he had studied accurately.  He rectifies the mistake</w:t></w:r>
</w:p>
<w:p>
<w:pPr><w:pStyle w:val="Normal"/></w:pPr>
<w:r><w:t xml:space="preserve">of Mondino as to the olfactory or first pair of nerves, gives</w:t></w:r>
</w:p>
<w:p>
<w:pPr><w:pStyle w:val="Normal"/></w:pPr>
<w:r><w:t xml:space="preserve">a good account of the optic and others, and is entitled to</w:t></w:r>
</w:p>
<w:p>
<w:pPr><w:pStyle w:val="Normal"/></w:pPr>
<w:r><w:t xml:space="preserve">the praise of originality in being the first observer who</w:t></w:r>
</w:p>
<w:p>
<w:pPr><w:pStyle w:val="Normal"/></w:pPr>
<w:r><w:t xml:space="preserve">contradicts the fiction of the wonderful net and indicates the</w:t></w:r>
</w:p>
<w:p>
<w:pPr><w:pStyle w:val="Normal"/></w:pPr>
<w:r><w:t xml:space="preserve">principal divisions of the carotid arteries.  He enumerates</w:t></w:r>
</w:p>
<w:p>
<w:pPr><w:pStyle w:val="Normal"/></w:pPr>
<w:r><w:t xml:space="preserve">the tunics and humours of the eye, and gives an account of the</w:t></w:r>
</w:p>
<w:p>
<w:pPr><w:pStyle w:val="Normal"/></w:pPr>
<w:r><w:t xml:space="preserve">internal ear, in which he notices the malleus and incus.</w:t></w:r>
</w:p>
<w:p>
<w:pPr><w:pStyle w:val="Normal"/></w:pPr>
<w:r><w:t xml:space="preserve">French school.</w:t></w:r>
</w:p>
<w:p>
<w:pPr><w:pStyle w:val="Normal"/></w:pPr>
<w:r><w:t xml:space="preserve">Italy long retained the distinction of giving birth to the</w:t></w:r>
</w:p>
<w:p>
<w:pPr><w:pStyle w:val="Normal"/></w:pPr>
<w:r><w:t xml:space="preserve">first eminent anatomists in Europe, and the glory she acquired</w:t></w:r>
</w:p>
<w:p>
<w:pPr><w:pStyle w:val="Normal"/></w:pPr>
<w:r><w:t xml:space="preserve">in the names of Mondino, Achillini, Berenger and N. Massa,</w:t></w:r>
</w:p>
<w:p>
<w:pPr><w:pStyle w:val="Normal"/></w:pPr>
<w:r><w:t xml:space="preserve">was destined to become more conspicuous in the labours of R.</w:t></w:r>
</w:p>
<w:p>
<w:pPr><w:pStyle w:val="Normal"/></w:pPr>
<w:r><w:t xml:space="preserve">Columbus, G. Fallopius and Eustachius.  While Italy, however,</w:t></w:r>
</w:p>
<w:p>
<w:pPr><w:pStyle w:val="Normal"/></w:pPr>
<w:r><w:t xml:space="preserve">was thus advancing the progress of science, the other nations</w:t></w:r>
</w:p>
<w:p>
<w:pPr><w:pStyle w:val="Normal"/></w:pPr>
<w:r><w:t xml:space="preserve">of Europe were either in profound ignorance or in the most</w:t></w:r>
</w:p>
<w:p>
<w:pPr><w:pStyle w:val="Normal"/></w:pPr>
<w:r><w:t xml:space="preserve">supine indifference to the brilliant career of their zealous</w:t></w:r>
</w:p>
<w:p>
<w:pPr><w:pStyle w:val="Normal"/></w:pPr>
<w:r><w:t xml:space="preserve">neighbours.  The 16th century had commenced before France</w:t></w:r>
</w:p>
<w:p>
<w:pPr><w:pStyle w:val="Normal"/></w:pPr>
<w:r><w:t xml:space="preserve">began to acquire anatomical distinction in the names of Jacques</w:t></w:r>
</w:p>
<w:p>
<w:pPr><w:pStyle w:val="Normal"/></w:pPr>
<w:r><w:t xml:space="preserve">Dubois, Jean Fernel and Charles Etienne; and even these</w:t></w:r>
</w:p>
<w:p>
<w:pPr><w:pStyle w:val="Normal"/></w:pPr>
<w:r><w:t xml:space="preserve">celebrated teachers were less solicitous in the personal study</w:t></w:r>
</w:p>
<w:p>
<w:pPr><w:pStyle w:val="Normal"/></w:pPr>
<w:r><w:t xml:space="preserve">of the animal body than in the faithful explanation of the</w:t></w:r>
</w:p>
<w:p>
<w:pPr><w:pStyle w:val="Normal"/></w:pPr>
<w:r><w:t xml:space="preserve">anatomical writings of Galen.  The infancy of the French school</w:t></w:r>
</w:p>
<w:p>
<w:pPr><w:pStyle w:val="Normal"/></w:pPr>
<w:r><w:t xml:space="preserve">had to contend with other difficulties.  The small portion</w:t></w:r>
</w:p>
<w:p>
<w:pPr><w:pStyle w:val="Normal"/></w:pPr>
<w:r><w:t xml:space="preserve">of knowledge which had been hitherto diffused in the country</w:t></w:r>
</w:p>
<w:p>
<w:pPr><w:pStyle w:val="Normal"/></w:pPr>
<w:r><w:t xml:space="preserve">was so inadequate to eradicate the prejudices of ignorance,</w:t></w:r>
</w:p>
<w:p>
<w:pPr><w:pStyle w:val="Normal"/></w:pPr>
<w:r><w:t xml:space="preserve">that it was either difficult or absolutely impossible to</w:t></w:r>
</w:p>
<w:p>
<w:pPr><w:pStyle w:val="Normal"/></w:pPr>
<w:r><w:t xml:space="preserve">procure human bodies for the purposes of science; and we are</w:t></w:r>
</w:p>
<w:p>
<w:pPr><w:pStyle w:val="Normal"/></w:pPr>
<w:r><w:t xml:space="preserve">assured, on the testimony of A. Vesalius and other competent</w:t></w:r>
</w:p>
<w:p>
<w:pPr><w:pStyle w:val="Normal"/></w:pPr>
<w:r><w:t xml:space="preserve">authorities, that the practical part of anatomical instruction</w:t></w:r>
</w:p>
<w:p>
<w:pPr><w:pStyle w:val="Normal"/></w:pPr>
<w:r><w:t xml:space="preserve">was obtained entirely from the bodies of the lower animals.</w:t></w:r>
</w:p>
<w:p>
<w:pPr><w:pStyle w:val="Normal"/></w:pPr>
<w:r><w:t xml:space="preserve">The works of the Italian anatomists were unknown; and it is a</w:t></w:r>
</w:p>
<w:p>
<w:pPr><w:pStyle w:val="Normal"/></w:pPr>
<w:r><w:t xml:space="preserve">proof of the tardy communication of knowledge that, while the</w:t></w:r>
</w:p>
<w:p>
<w:pPr><w:pStyle w:val="Normal"/></w:pPr>
<w:r><w:t xml:space="preserve">structure of the human body had been taught in Italy for more</w:t></w:r>
</w:p>
<w:p>
<w:pPr><w:pStyle w:val="Normal"/></w:pPr>
<w:r><w:t xml:space="preserve">than a century by Mondino and his followers, these anatomists</w:t></w:r>
</w:p>
<w:p>
<w:pPr><w:pStyle w:val="Normal"/></w:pPr>
<w:r><w:t xml:space="preserve">are never mentioned by Etienne, who flourished long after.</w:t></w:r>
</w:p>
<w:p>
<w:pPr><w:pStyle w:val="Normal"/></w:pPr>
<w:r><w:t xml:space="preserve">Dubois.</w:t></w:r>
</w:p>
<w:p>
<w:pPr><w:pStyle w:val="Normal"/></w:pPr>
<w:r><w:t xml:space="preserve">Such was the aspect of the times at the appearance of Jacques</w:t></w:r>
</w:p>
<w:p>
<w:pPr><w:pStyle w:val="Normal"/></w:pPr>
<w:r><w:t xml:space="preserve">Dubois (1478-1555), who, under the Romanized name of Jacobus</w:t></w:r>
</w:p>
<w:p>
<w:pPr><w:pStyle w:val="Normal"/></w:pPr>
<w:r><w:t xml:space="preserve">Sylvius, according to the fashion of the day, has been fortunate</w:t></w:r>
</w:p>
<w:p>
<w:pPr><w:pStyle w:val="Normal"/></w:pPr>
<w:r><w:t xml:space="preserve">in acquiring a reputation to which his researches do not entitle</w:t></w:r>
</w:p>
<w:p>
<w:pPr><w:pStyle w:val="Normal"/></w:pPr>
<w:r><w:t xml:space="preserve">him.  For the name of Dubois the history of anatomy, it is said,</w:t></w:r>
</w:p>
<w:p>
<w:pPr><w:pStyle w:val="Normal"/></w:pPr>
<w:r><w:t xml:space="preserve">is indebted to his inordinate love of money.  At the instance</w:t></w:r>
</w:p>
<w:p>
<w:pPr><w:pStyle w:val="Normal"/></w:pPr>
<w:r><w:t xml:space="preserve">of his brother Francis, who was professor of eloquence in the</w:t></w:r>
</w:p>
<w:p>
<w:pPr><w:pStyle w:val="Normal"/></w:pPr>
<w:r><w:t xml:space="preserve">college of Tournay at Paris, he devoted himself to the study</w:t></w:r>
</w:p>
<w:p>
<w:pPr><w:pStyle w:val="Normal"/></w:pPr>
<w:r><w:t xml:space="preserve">of the learned languages and mathematics; but discovering that</w:t></w:r>
</w:p>
<w:p>
<w:pPr><w:pStyle w:val="Normal"/></w:pPr>
<w:r><w:t xml:space="preserve">these elegant accomplishments do not invariably reward their</w:t></w:r>
</w:p>
<w:p>
<w:pPr><w:pStyle w:val="Normal"/></w:pPr>
<w:r><w:t xml:space="preserve">cultivators with the goods of fortune, Dubois betook himself to</w:t></w:r>
</w:p>
<w:p>
<w:pPr><w:pStyle w:val="Normal"/></w:pPr>
<w:r><w:t xml:space="preserve">medicine.  After the acquisition of a medical degree in</w:t></w:r>
</w:p>
<w:p>
<w:pPr><w:pStyle w:val="Normal"/></w:pPr>
<w:r><w:t xml:space="preserve">the university of Montpellier, at the ripe age of fifty-one</w:t></w:r>
</w:p>
<w:p>
<w:pPr><w:pStyle w:val="Normal"/></w:pPr>
<w:r><w:t xml:space="preserve">Dubois returned to Paris to resume a course of anatomical</w:t></w:r>
</w:p>
<w:p>
<w:pPr><w:pStyle w:val="Normal"/></w:pPr>
<w:r><w:t xml:space="preserve">instruction.  Here he taught anatomy to a numerous audience in</w:t></w:r>
</w:p>
<w:p>
<w:pPr><w:pStyle w:val="Normal"/></w:pPr>
<w:r><w:t xml:space="preserve">the college of Trinquet; and on the departure of Vidus Vidius</w:t></w:r>
</w:p>
<w:p>
<w:pPr><w:pStyle w:val="Normal"/></w:pPr>
<w:r><w:t xml:space="preserve">for Italy was appointed to succeed that physician as professor</w:t></w:r>
</w:p>
<w:p>
<w:pPr><w:pStyle w:val="Normal"/></w:pPr>
<w:r><w:t xml:space="preserve">of surgery to the Royal College.  His character is easily</w:t></w:r>
</w:p>
<w:p>
<w:pPr><w:pStyle w:val="Normal"/></w:pPr>
<w:r><w:t xml:space="preserve">estimated.  With greater coarseness in his manners and language</w:t></w:r>
</w:p>
<w:p>
<w:pPr><w:pStyle w:val="Normal"/></w:pPr>
<w:r><w:t xml:space="preserve">than even the rude state of society in his times can palliate,</w:t></w:r>
</w:p>
<w:p>
<w:pPr><w:pStyle w:val="Normal"/></w:pPr>
<w:r><w:t xml:space="preserve">with much varied learning and considerable eloquence, he was a</w:t></w:r>
</w:p>
<w:p>
<w:pPr><w:pStyle w:val="Normal"/></w:pPr>
<w:r><w:t xml:space="preserve">blind, indiscriminate and irrational admirer of Galen, and</w:t></w:r>
</w:p>
<w:p>
<w:pPr><w:pStyle w:val="Normal"/></w:pPr>
<w:r><w:t xml:space="preserve">interpreted the anatomical and physiological writings of</w:t></w:r>
</w:p>
<w:p>
<w:pPr><w:pStyle w:val="Normal"/></w:pPr>
<w:r><w:t xml:space="preserve">that author in preference to giving demonstrations from the</w:t></w:r>
</w:p>
<w:p>
<w:pPr><w:pStyle w:val="Normal"/></w:pPr>
<w:r><w:t xml:space="preserve">subject.  Without talent for original research or discovery</w:t></w:r>
</w:p>
<w:p>
<w:pPr><w:pStyle w:val="Normal"/></w:pPr>
<w:r><w:t xml:space="preserve">himself, his envy and jealousy made him detest every one</w:t></w:r>
</w:p>
<w:p>
<w:pPr><w:pStyle w:val="Normal"/></w:pPr>
<w:r><w:t xml:space="preserve">who gave proofs of either.  We are assured by Vesalius, who</w:t></w:r>
</w:p>
<w:p>
<w:pPr><w:pStyle w:val="Normal"/></w:pPr>
<w:r><w:t xml:space="preserve">was some time his pupil, that his manner of teaching was</w:t></w:r>
</w:p>
<w:p>
<w:pPr><w:pStyle w:val="Normal"/></w:pPr>
<w:r><w:t xml:space="preserve">calculated neither to advance the science nor to rectify the</w:t></w:r>
</w:p>
<w:p>
<w:pPr><w:pStyle w:val="Normal"/></w:pPr>
<w:r><w:t xml:space="preserve">mistakes of his predecessors.  A human body was never seen in</w:t></w:r>
</w:p>
<w:p>
<w:pPr><w:pStyle w:val="Normal"/></w:pPr>
<w:r><w:t xml:space="preserve">the theatre of Dubois; the carcases of dogs and other animals</w:t></w:r>
</w:p>
<w:p>
<w:pPr><w:pStyle w:val="Normal"/></w:pPr>
<w:r><w:t xml:space="preserve">were the materials from which he taught; and so difficult even</w:t></w:r>
</w:p>
<w:p>
<w:pPr><w:pStyle w:val="Normal"/></w:pPr>
<w:r><w:t xml:space="preserve">was it to obtain human bones, that unless Vesalius and his</w:t></w:r>
</w:p>
<w:p>
<w:pPr><w:pStyle w:val="Normal"/></w:pPr>
<w:r><w:t xml:space="preserve">fellow-students had collected assiduously from the Innocents</w:t></w:r>
</w:p>
<w:p>
<w:pPr><w:pStyle w:val="Normal"/></w:pPr>
<w:r><w:t xml:space="preserve">and other cemeteries, they must have committed numerous</w:t></w:r>
</w:p>
<w:p>
<w:pPr><w:pStyle w:val="Normal"/></w:pPr>
<w:r><w:t xml:space="preserve">errors in acquiring the first principles.  This assertion,</w:t></w:r>
</w:p>
<w:p>
<w:pPr><w:pStyle w:val="Normal"/></w:pPr>
<w:r><w:t xml:space="preserve">however, is contradicted by J. Riolan, and afterwards by K. P.</w:t></w:r>
</w:p>
<w:p>
<w:pPr><w:pStyle w:val="Normal"/></w:pPr>
<w:r><w:t xml:space="preserve">J. Sprengel and T. Lauth, the last of whom decidedly censures</w:t></w:r>
</w:p>
<w:p>
<w:pPr><w:pStyle w:val="Normal"/></w:pPr>
<w:r><w:t xml:space="preserve">Vesalius for this ungrateful treatment of his instructor.</w:t></w:r>
</w:p>
<w:p>
<w:pPr><w:pStyle w:val="Normal"/></w:pPr>
<w:r><w:t xml:space="preserve">It is certain that opportunities of inspecting the human body</w:t></w:r>
</w:p>
<w:p>
<w:pPr><w:pStyle w:val="Normal"/></w:pPr>
<w:r><w:t xml:space="preserve">were by no means so frequent as to facilitate the study of the</w:t></w:r>
</w:p>
<w:p>
<w:pPr><w:pStyle w:val="Normal"/></w:pPr>
<w:r><w:t xml:space="preserve">science.  Though his mention of injections has led some to</w:t></w:r>
</w:p>
<w:p>
<w:pPr><w:pStyle w:val="Normal"/></w:pPr>
<w:r><w:t xml:space="preserve">suppose him the discoverer of that art, he appears to have</w:t></w:r>
</w:p>
<w:p>
<w:pPr><w:pStyle w:val="Normal"/></w:pPr>
<w:r><w:t xml:space="preserve">made no substantial addition to the information already</w:t></w:r>
</w:p>
<w:p>
<w:pPr><w:pStyle w:val="Normal"/></w:pPr>
<w:r><w:t xml:space="preserve">acquired; and the first acknowledged professor of anatomy to</w:t></w:r>
</w:p>
<w:p>
<w:pPr><w:pStyle w:val="Normal"/></w:pPr>
<w:r><w:t xml:space="preserve">the university of Paris appears in history as one who lived</w:t></w:r>
</w:p>
<w:p>
<w:pPr><w:pStyle w:val="Normal"/></w:pPr>
<w:r><w:t xml:space="preserve">without true honour and died without just celebrity.  He</w:t></w:r>
</w:p>
<w:p>
<w:pPr><w:pStyle w:val="Normal"/></w:pPr>
<w:r><w:t xml:space="preserve">must not be confounded with Franciscus Sylvius (de le Boe),</w:t></w:r>
</w:p>
<w:p>
<w:pPr><w:pStyle w:val="Normal"/></w:pPr>
<w:r><w:t xml:space="preserve">who is mentioned by F. Ruysch and M. V. G. Malacarne as the</w:t></w:r>
</w:p>
<w:p>
<w:pPr><w:pStyle w:val="Normal"/></w:pPr>
<w:r><w:t xml:space="preserve">author of a particular method of demonstrating the brain.</w:t></w:r>
</w:p>
<w:p>
<w:pPr><w:pStyle w:val="Normal"/></w:pPr>
<w:r><w:t xml:space="preserve">Etienne.</w:t></w:r>
</w:p>
<w:p>
<w:pPr><w:pStyle w:val="Normal"/></w:pPr>
<w:r><w:t xml:space="preserve">Almost coeval may be placed Charles Etienne (1503-1564), a</w:t></w:r>
</w:p>
<w:p>
<w:pPr><w:pStyle w:val="Normal"/></w:pPr>
<w:r><w:t xml:space="preserve">younger brother of the celebrated printers, and son to Henry,</w:t></w:r>
</w:p>
<w:p>
<w:pPr><w:pStyle w:val="Normal"/></w:pPr>
<w:r><w:t xml:space="preserve">who Hellenized the family name by the classical appellation</w:t></w:r>
</w:p>
<w:p>
<w:pPr><w:pStyle w:val="Normal"/></w:pPr>
<w:r><w:t xml:space="preserve">of Stephen (Stefanos.) It is uncertain whether he taught</w:t></w:r>
</w:p>
<w:p>
<w:pPr><w:pStyle w:val="Normal"/></w:pPr>
<w:r><w:t xml:space="preserve">publicly.  But his tranquillity was disturbed, and his pursuits</w:t></w:r>
</w:p>
<w:p>
<w:pPr><w:pStyle w:val="Normal"/></w:pPr>
<w:r><w:t xml:space="preserve">interrupted, by the oppressive persecutions in which their</w:t></w:r>
</w:p>
<w:p>
<w:pPr><w:pStyle w:val="Normal"/></w:pPr>
<w:r><w:t xml:space="preserve">religious opinions involved the family; and Charles Etienne</w:t></w:r>
</w:p>
<w:p>
<w:pPr><w:pStyle w:val="Normal"/></w:pPr>
<w:r><w:t xml:space="preserve">drew the last breath of a miserable life in a dungeon in</w:t></w:r>
</w:p>
<w:p>
<w:pPr><w:pStyle w:val="Normal"/></w:pPr>
<w:r><w:t xml:space="preserve">1564.  Etienne, though sprung of a family whose classical</w:t></w:r>
</w:p>
<w:p>
<w:pPr><w:pStyle w:val="Normal"/></w:pPr>
<w:r><w:t xml:space="preserve">taste has been their principal glory, does not betray the same</w:t></w:r>
</w:p>
<w:p>
<w:pPr><w:pStyle w:val="Normal"/></w:pPr>
<w:r><w:t xml:space="preserve">servile imitation of the Galenian anatomy with which Dubois is</w:t></w:r>
</w:p>
<w:p>
<w:pPr><w:pStyle w:val="Normal"/></w:pPr>
<w:r><w:t xml:space="preserve">charged.  He appears to have been the first to detect valves</w:t></w:r>
</w:p>
<w:p>
<w:pPr><w:pStyle w:val="Normal"/></w:pPr>
<w:r><w:t xml:space="preserve">in the orifice of the hepatic veins.  He was ignorant,</w:t></w:r>
</w:p>
<w:p>
<w:pPr><w:pStyle w:val="Normal"/></w:pPr>
<w:r><w:t xml:space="preserve">however, of the researches of the Italian anatomists; and his</w:t></w:r>
</w:p>
<w:p>
<w:pPr><w:pStyle w:val="Normal"/></w:pPr>
<w:r><w:t xml:space="preserve">description of the brain is inferior to that given sixty years</w:t></w:r>
</w:p>
<w:p>
<w:pPr><w:pStyle w:val="Normal"/></w:pPr>
<w:r><w:t xml:space="preserve">before by Achillini.  His comparison of the cerebral cavities</w:t></w:r>
</w:p>
<w:p>
<w:pPr><w:pStyle w:val="Normal"/></w:pPr>
<w:r><w:t xml:space="preserve">to the human ear has persuaded F. Portal that he knew the</w:t></w:r>
</w:p>
<w:p>
<w:pPr><w:pStyle w:val="Normal"/></w:pPr>
<w:r><w:t xml:space="preserve">inferior cornua, the hippocampus and its prolongations;</w:t></w:r>
</w:p>
<w:p>
<w:pPr><w:pStyle w:val="Normal"/></w:pPr>
<w:r><w:t xml:space="preserve">but this is no reason for giving him that honour to the</w:t></w:r>
</w:p>
<w:p>
<w:pPr><w:pStyle w:val="Normal"/></w:pPr>
<w:r><w:t xml:space="preserve">detriment of the reputation of Achillini, to whom, so far as</w:t></w:r>
</w:p>
<w:p>
<w:pPr><w:pStyle w:val="Normal"/></w:pPr>
<w:r><w:t xml:space="preserve">historical testimony goes, the first knowledge of this fact is</w:t></w:r>
</w:p>
<w:p>
<w:pPr><w:pStyle w:val="Normal"/></w:pPr>
<w:r><w:t xml:space="preserve">due.  The researches of Etienne into the structure of the</w:t></w:r>
</w:p>
<w:p>
<w:pPr><w:pStyle w:val="Normal"/></w:pPr>
<w:r><w:t xml:space="preserve">nervous system are, however, neither useless nor inglorious;</w:t></w:r>
</w:p>
<w:p>
<w:pPr><w:pStyle w:val="Normal"/></w:pPr>
<w:r><w:t xml:space="preserve">and the circumstance of demonstrating a canal through the</w:t></w:r>
</w:p>
<w:p>
<w:pPr><w:pStyle w:val="Normal"/></w:pPr>
<w:r><w:t xml:space="preserve">entire length of the spinal cord, which had neither been</w:t></w:r>
</w:p>
<w:p>
<w:pPr><w:pStyle w:val="Normal"/></w:pPr>
<w:r><w:t xml:space="preserve">suspected by contemporaries nor noticed by successors</w:t></w:r>
</w:p>
<w:p>
<w:pPr><w:pStyle w:val="Normal"/></w:pPr>
<w:r><w:t xml:space="preserve">till J. B. Senac (1693-1770) made it known, is sufficient</w:t></w:r>
</w:p>
<w:p>
<w:pPr><w:pStyle w:val="Normal"/></w:pPr>
<w:r><w:t xml:space="preserve">to place him high in the rank of anatomical discoverers.</w:t></w:r>
</w:p>
<w:p>
<w:pPr><w:pStyle w:val="Normal"/></w:pPr>
<w:r><w:t xml:space="preserve">Vesalius.</w:t></w:r>
</w:p>
<w:p>
<w:pPr><w:pStyle w:val="Normal"/></w:pPr>
<w:r><w:t xml:space="preserve">The French anatomy of the 16th century was distinguished</w:t></w:r>
</w:p>
<w:p>
<w:pPr><w:pStyle w:val="Normal"/></w:pPr>
<w:r><w:t xml:space="preserve">by two circumstances unfavourable to the advancement of</w:t></w:r>
</w:p>
<w:p>
<w:pPr><w:pStyle w:val="Normal"/></w:pPr>
<w:r><w:t xml:space="preserve">the science --extravagant admiration of antiquity, with</w:t></w:r>
</w:p>
<w:p>
<w:pPr><w:pStyle w:val="Normal"/></w:pPr>
<w:r><w:t xml:space="preserve">excessive confidence in the writings of Galen, and the general</w:t></w:r>
</w:p>
<w:p>
<w:pPr><w:pStyle w:val="Normal"/></w:pPr>
<w:r><w:t xml:space="preserve">practice of dissecting principally the bodies of the lower</w:t></w:r>
</w:p>
<w:p>
<w:pPr><w:pStyle w:val="Normal"/></w:pPr>
<w:r><w:t xml:space="preserve">animals.  Both these errors were much amended, if not entirely</w:t></w:r>
</w:p>
<w:p>
<w:pPr><w:pStyle w:val="Normal"/></w:pPr>
<w:r><w:t xml:space="preserve">removed, by the exertions of a young Fleming, whose appearance</w:t></w:r>
</w:p>
<w:p>
<w:pPr><w:pStyle w:val="Normal"/></w:pPr>
<w:r><w:t xml:space="preserve">forms a conspicuous era in the history of anatomy.  Andreas</w:t></w:r>
</w:p>
<w:p>
<w:pPr><w:pStyle w:val="Normal"/></w:pPr>
<w:r><w:t xml:space="preserve">Vesalius (1514-1564), a native of Brussels, after acquiring at</w:t></w:r>
</w:p>
<w:p>
<w:pPr><w:pStyle w:val="Normal"/></w:pPr>
<w:r><w:t xml:space="preserve">Louvain the ordinary classical attainments of the day, began</w:t></w:r>
</w:p>
<w:p>
<w:pPr><w:pStyle w:val="Normal"/></w:pPr>
<w:r><w:t xml:space="preserve">at the age of fourteen to study anatomy under the auspices of</w:t></w:r>
</w:p>
<w:p>
<w:pPr><w:pStyle w:val="Normal"/></w:pPr>
<w:r><w:t xml:space="preserve">Dubois.  Though the originality of his mind soon led him</w:t></w:r>
</w:p>
<w:p>
<w:pPr><w:pStyle w:val="Normal"/></w:pPr>
<w:r><w:t xml:space="preserve">to abandon the prejudices by which he was environed, and</w:t></w:r>
</w:p>
<w:p>
<w:pPr><w:pStyle w:val="Normal"/></w:pPr>
<w:r><w:t xml:space="preserve">take the most direct course for attaining a knowledge of</w:t></w:r>
</w:p>
<w:p>
<w:pPr><w:pStyle w:val="Normal"/></w:pPr>
<w:r><w:t xml:space="preserve">the structure of the human frame, he neither underrated the</w:t></w:r>
</w:p>
<w:p>
<w:pPr><w:pStyle w:val="Normal"/></w:pPr>
<w:r><w:t xml:space="preserve">Galenian anatomy nor was indolent in the dissection of brute</w:t></w:r>
</w:p>
<w:p>
<w:pPr><w:pStyle w:val="Normal"/></w:pPr>
<w:r><w:t xml:space="preserve">animals.  The difficulties, however, with which the practical</w:t></w:r>
</w:p>
<w:p>
<w:pPr><w:pStyle w:val="Normal"/></w:pPr>
<w:r><w:t xml:space="preserve">pursuit of human anatomy was beset in France, and the dangers</w:t></w:r>
</w:p>
<w:p>
<w:pPr><w:pStyle w:val="Normal"/></w:pPr>
<w:r><w:t xml:space="preserve">with which he had to contend, made him look to Italy as a</w:t></w:r>
</w:p>
<w:p>
<w:pPr><w:pStyle w:val="Normal"/></w:pPr>
<w:r><w:t xml:space="preserve">suitable field for the cultivation of the science: and in</w:t></w:r>
</w:p>
<w:p>
<w:pPr><w:pStyle w:val="Normal"/></w:pPr>
<w:r><w:t xml:space="preserve">1536 we find him at Venice, at once pursuing the study of</w:t></w:r>
</w:p>
<w:p>
<w:pPr><w:pStyle w:val="Normal"/></w:pPr>
<w:r><w:t xml:space="preserve">human anatomy with the utmost zeal, and requested, ere he had</w:t></w:r>
</w:p>
<w:p>
<w:pPr><w:pStyle w:val="Normal"/></w:pPr>
<w:r><w:t xml:space="preserve">attained his twenty-second year, to demonstrate publicly in the</w:t></w:r>
</w:p>
<w:p>
<w:pPr><w:pStyle w:val="Normal"/></w:pPr>
<w:r><w:t xml:space="preserve">university of Padua.  After remaining here about seven years,</w:t></w:r>
</w:p>
<w:p>
<w:pPr><w:pStyle w:val="Normal"/></w:pPr>
<w:r><w:t xml:space="preserve">Vesalius went by express invitation to Bologna, and shortly</w:t></w:r>
</w:p>
<w:p>
<w:pPr><w:pStyle w:val="Normal"/></w:pPr>
<w:r><w:t xml:space="preserve">afterwards to Pisa; and thus professor in three universities,</w:t></w:r>
</w:p>
<w:p>
<w:pPr><w:pStyle w:val="Normal"/></w:pPr>
<w:r><w:t xml:space="preserve">he appears to have carried on his anatomical investigations</w:t></w:r>
</w:p>
<w:p>
<w:pPr><w:pStyle w:val="Normal"/></w:pPr>
<w:r><w:t xml:space="preserve">and instructions alternately at Padua, Bologna and Pisa, in</w:t></w:r>
</w:p>
<w:p>
<w:pPr><w:pStyle w:val="Normal"/></w:pPr>
<w:r><w:t xml:space="preserve">the course of the same winter.  It is on this account that</w:t></w:r>
</w:p>
<w:p>
<w:pPr><w:pStyle w:val="Normal"/></w:pPr>
<w:r><w:t xml:space="preserve">Vesalius, though a Fleming by birth and trained originally in</w:t></w:r>
</w:p>
<w:p>
<w:pPr><w:pStyle w:val="Normal"/></w:pPr>
<w:r><w:t xml:space="preserve">the French school, belongs, as an anatomist, to the Italian, and</w:t></w:r>
</w:p>
<w:p>
<w:pPr><w:pStyle w:val="Normal"/></w:pPr>
<w:r><w:t xml:space="preserve">may be viewed as the first of an illustrious line of teachers</w:t></w:r>
</w:p>
<w:p>
<w:pPr><w:pStyle w:val="Normal"/></w:pPr>
<w:r><w:t xml:space="preserve">by whom the anatomical reputation of that country was in the</w:t></w:r>
</w:p>
<w:p>
<w:pPr><w:pStyle w:val="Normal"/></w:pPr>
<w:r><w:t xml:space="preserve">course of the 16th century raised to the greatest eminence.</w:t></w:r>
</w:p>
<w:p>
<w:pPr><w:pStyle w:val="Normal"/></w:pPr>
<w:r><w:t xml:space="preserve">Vesalius is known as the first author of a comprehensive and</w:t></w:r>
</w:p>
<w:p>
<w:pPr><w:pStyle w:val="Normal"/></w:pPr>
<w:r><w:t xml:space="preserve">systematic view of human anatomy.  The knowledge with which</w:t></w:r>
</w:p>
<w:p>
<w:pPr><w:pStyle w:val="Normal"/></w:pPr>
<w:r><w:t xml:space="preserve">his dissections had furnished him proved how many errors</w:t></w:r>
</w:p>
<w:p>
<w:pPr><w:pStyle w:val="Normal"/></w:pPr>
<w:r><w:t xml:space="preserve">were daily taught and learned under the broad mantle of</w:t></w:r>
</w:p>
<w:p>
<w:pPr><w:pStyle w:val="Normal"/></w:pPr>
<w:r><w:t xml:space="preserve">Galenian authority; and he perceived the necessity of a new</w:t></w:r>
</w:p>
<w:p>
<w:pPr><w:pStyle w:val="Normal"/></w:pPr>
<w:r><w:t xml:space="preserve">system of anatomical instruction, divested of the omissions</w:t></w:r>
</w:p>
<w:p>
<w:pPr><w:pStyle w:val="Normal"/></w:pPr>
<w:r><w:t xml:space="preserve">of ignorance and the misrepresentations of prejudice and</w:t></w:r>
</w:p>
<w:p>
<w:pPr><w:pStyle w:val="Normal"/></w:pPr>
<w:r><w:t xml:space="preserve">fancy.  The early age at which he effected this object</w:t></w:r>
</w:p>
<w:p>
<w:pPr><w:pStyle w:val="Normal"/></w:pPr>
<w:r><w:t xml:space="preserve">has been to his biographers the theme of boundless</w:t></w:r>
</w:p>
<w:p>
<w:pPr><w:pStyle w:val="Normal"/></w:pPr>
<w:r><w:t xml:space="preserve">commendation; and we are told that he began at the age of</w:t></w:r>
</w:p>
<w:p>
<w:pPr><w:pStyle w:val="Normal"/></w:pPr>
<w:r><w:t xml:space="preserve">twenty-five to arrange the materials he had collected, and</w:t></w:r>
</w:p>
<w:p>
<w:pPr><w:pStyle w:val="Normal"/></w:pPr>
<w:r><w:t xml:space="preserve">accomplished his task ere he had completed his 28th year.</w:t></w:r>
</w:p>
<w:p>
<w:pPr><w:pStyle w:val="Normal"/></w:pPr>
<w:r><w:t xml:space="preserve">Soon after this period we find him invited as imperial</w:t></w:r>
</w:p>
<w:p>
<w:pPr><w:pStyle w:val="Normal"/></w:pPr>
<w:r><w:t xml:space="preserve">physician to the court of Charles V., where he was occupied</w:t></w:r>
</w:p>
<w:p>
<w:pPr><w:pStyle w:val="Normal"/></w:pPr>
<w:r><w:t xml:space="preserve">in the duties of practice and answering the various charges</w:t></w:r>
</w:p>
<w:p>
<w:pPr><w:pStyle w:val="Normal"/></w:pPr>
<w:r><w:t xml:space="preserve">which were unceasingly brought against him by the disciples of</w:t></w:r>
</w:p>
<w:p>
<w:pPr><w:pStyle w:val="Normal"/></w:pPr>
<w:r><w:t xml:space="preserve">Galen.  After the abdication of Charles he continued at</w:t></w:r>
</w:p>
<w:p>
<w:pPr><w:pStyle w:val="Normal"/></w:pPr>
<w:r><w:t xml:space="preserve">court in great favour with his son Philip II. To this</w:t></w:r>
</w:p>
<w:p>
<w:pPr><w:pStyle w:val="Normal"/></w:pPr>
<w:r><w:t xml:space="preserve">he seems to have been led principally by the troublesome</w:t></w:r>
</w:p>
<w:p>
<w:pPr><w:pStyle w:val="Normal"/></w:pPr>
<w:r><w:t xml:space="preserve">controversies in which his anatomical writings had involved</w:t></w:r>
</w:p>
<w:p>
<w:pPr><w:pStyle w:val="Normal"/></w:pPr>
<w:r><w:t xml:space="preserve">him.  It is painful to think, however, that even imperial</w:t></w:r>
</w:p>
<w:p>
<w:pPr><w:pStyle w:val="Normal"/></w:pPr>
<w:r><w:t xml:space="preserve">patronage bestowed on eminent talents does not ensure immunity</w:t></w:r>
</w:p>
<w:p>
<w:pPr><w:pStyle w:val="Normal"/></w:pPr>
<w:r><w:t xml:space="preserve">from popular prejudice; and the fate of Vesalius will be a</w:t></w:r>
</w:p>
<w:p>
<w:pPr><w:pStyle w:val="Normal"/></w:pPr>
<w:r><w:t xml:space="preserve">lasting example of the barbarism of the times, and of the</w:t></w:r>
</w:p>
<w:p>
<w:pPr><w:pStyle w:val="Normal"/></w:pPr>
<w:r><w:t xml:space="preserve">precarious tenure of the safety even of a great physician.</w:t></w:r>
</w:p>
<w:p>
<w:pPr><w:pStyle w:val="Normal"/></w:pPr>
<w:r><w:t xml:space="preserve">On the preliminary circumstances authors are not agreed;</w:t></w:r>
</w:p>
<w:p>
<w:pPr><w:pStyle w:val="Normal"/></w:pPr>
<w:r><w:t xml:space="preserve">but the most general account states that when Vesalius was</w:t></w:r>
</w:p>
<w:p>
<w:pPr><w:pStyle w:val="Normal"/></w:pPr>
<w:r><w:t xml:space="preserve">dissecting, with the consent of his kinsmen, the body of a</w:t></w:r>
</w:p>
<w:p>
<w:pPr><w:pStyle w:val="Normal"/></w:pPr>
<w:r><w:t xml:space="preserve">Spanish grandee, it was observed that the heart still gave some</w:t></w:r>
</w:p>
<w:p>
<w:pPr><w:pStyle w:val="Normal"/></w:pPr>
<w:r><w:t xml:space="preserve">feeble palpitations when divided by the knife.  The immediate</w:t></w:r>
</w:p>
<w:p>
<w:pPr><w:pStyle w:val="Normal"/></w:pPr>
<w:r><w:t xml:space="preserve">effects of this outrage to human feelings were the denunciation</w:t></w:r>
</w:p>
<w:p>
<w:pPr><w:pStyle w:val="Normal"/></w:pPr>
<w:r><w:t xml:space="preserve">of the anatomist to the Inquisition; and Vesalius escaped the</w:t></w:r>
</w:p>
<w:p>
<w:pPr><w:pStyle w:val="Normal"/></w:pPr>
<w:r><w:t xml:space="preserve">severe treatment of that tribunal only by the influence of the</w:t></w:r>
</w:p>
<w:p>
<w:pPr><w:pStyle w:val="Normal"/></w:pPr>
<w:r><w:t xml:space="preserve">king, and by promising to perform a pilgrimage to the Holy</w:t></w:r>
</w:p>
<w:p>
<w:pPr><w:pStyle w:val="Normal"/></w:pPr>
<w:r><w:t xml:space="preserve">Land.  He forthwith proceeded to Venice, from which he</w:t></w:r>
</w:p>
<w:p>
<w:pPr><w:pStyle w:val="Normal"/></w:pPr>
<w:r><w:t xml:space="preserve">sailed with the Venetian fleet, under James Malatesta, for</w:t></w:r>
</w:p>
<w:p>
<w:pPr><w:pStyle w:val="Normal"/></w:pPr>
<w:r><w:t xml:space="preserve">Cyprus.  When he reached Jerusalem, he received from the</w:t></w:r>
</w:p>
<w:p>
<w:pPr><w:pStyle w:val="Normal"/></w:pPr>
<w:r><w:t xml:space="preserve">Venetian senate a message requesting him again to accept the</w:t></w:r>
</w:p>
<w:p>
<w:pPr><w:pStyle w:val="Normal"/></w:pPr>
<w:r><w:t xml:space="preserve">Paduan professorship, which had become vacant by the death of</w:t></w:r>
</w:p>
<w:p>
<w:pPr><w:pStyle w:val="Normal"/></w:pPr>
<w:r><w:t xml:space="preserve">his friend and pupil Fallopius.  His destiny, however, which</w:t></w:r>
</w:p>
<w:p>
<w:pPr><w:pStyle w:val="Normal"/></w:pPr>
<w:r><w:t xml:space="preserve">pursued him fast, suffered him not again to breathe the Italian</w:t></w:r>
</w:p>
<w:p>
<w:pPr><w:pStyle w:val="Normal"/></w:pPr>
<w:r><w:t xml:space="preserve">air.  After struggling for many days with the adverse winds</w:t></w:r>
</w:p>
<w:p>
<w:pPr><w:pStyle w:val="Normal"/></w:pPr>
<w:r><w:t xml:space="preserve">in the Ionian Sea, he was wrecked on the island of Zante,</w:t></w:r>
</w:p>
<w:p>
<w:pPr><w:pStyle w:val="Normal"/></w:pPr>
<w:r><w:t xml:space="preserve">where he quickly breathed his last in such penury that</w:t></w:r>
</w:p>
<w:p>
<w:pPr><w:pStyle w:val="Normal"/></w:pPr>
<w:r><w:t xml:space="preserve">unless a liberal goldsmith had defrayed the funeral charges,</w:t></w:r>
</w:p>
<w:p>
<w:pPr><w:pStyle w:val="Normal"/></w:pPr>
<w:r><w:t xml:space="preserve">his remains must have been devoured by beasts of prey.  At</w:t></w:r>
</w:p>
<w:p>
<w:pPr><w:pStyle w:val="Normal"/></w:pPr>
<w:r><w:t xml:space="preserve">the time of his death he was scarcely fifty years of age.</w:t></w:r>
</w:p>
<w:p>
<w:pPr><w:pStyle w:val="Normal"/></w:pPr>
<w:r><w:t xml:space="preserve">To form a correct estimate of the character and merits of</w:t></w:r>
</w:p>
<w:p>
<w:pPr><w:pStyle w:val="Normal"/></w:pPr>
<w:r><w:t xml:space="preserve">Vesalius, we must not compare him, in the spirit of modern</w:t></w:r>
</w:p>
<w:p>
<w:pPr><w:pStyle w:val="Normal"/></w:pPr>
<w:r><w:t xml:space="preserve">perfection, with the anatomical authors either of later times</w:t></w:r>
</w:p>
<w:p>
<w:pPr><w:pStyle w:val="Normal"/></w:pPr>
<w:r><w:t xml:space="preserve">or of the present day.  Whoever would frame a just idea of</w:t></w:r>
</w:p>
<w:p>
<w:pPr><w:pStyle w:val="Normal"/></w:pPr>
<w:r><w:t xml:space="preserve">this anatomist must imagine, not a bold innovator without</w:t></w:r>
</w:p>
<w:p>
<w:pPr><w:pStyle w:val="Normal"/></w:pPr>
<w:r><w:t xml:space="preserve">academical learning, not a genius coming from a foreign country,</w:t></w:r>
</w:p>
<w:p>
<w:pPr><w:pStyle w:val="Normal"/></w:pPr>
<w:r><w:t xml:space="preserve">unused to the forms and habits of Catholic Europe, nor a wild</w:t></w:r>
</w:p>
<w:p>
<w:pPr><w:pStyle w:val="Normal"/></w:pPr>
<w:r><w:t xml:space="preserve">reformer, blaming indiscriminately everything which accorded</w:t></w:r>
</w:p>
<w:p>
<w:pPr><w:pStyle w:val="Normal"/></w:pPr>
<w:r><w:t xml:space="preserve">not with his opinion; but a young student scarcely emancipated</w:t></w:r>
</w:p>
<w:p>
<w:pPr><w:pStyle w:val="Normal"/></w:pPr>
<w:r><w:t xml:space="preserve">from the authority of instructors, whose intellect was still</w:t></w:r>
</w:p>
<w:p>
<w:pPr><w:pStyle w:val="Normal"/></w:pPr>
<w:r><w:t xml:space="preserve">influenced by the doctrines with which it had been originally</w:t></w:r>
</w:p>
<w:p>
<w:pPr><w:pStyle w:val="Normal"/></w:pPr>
<w:r><w:t xml:space="preserve">imbued,--a scholar strictly trained in the opinions of the</w:t></w:r>
</w:p>
<w:p>
<w:pPr><w:pStyle w:val="Normal"/></w:pPr>
<w:r><w:t xml:space="preserve">time, living amidst men who venerated Galen as the oracle of</w:t></w:r>
</w:p>
<w:p>
<w:pPr><w:pStyle w:val="Normal"/></w:pPr>
<w:r><w:t xml:space="preserve">anatomy and the divinity of medicine,--exercising his reason</w:t></w:r>
</w:p>
<w:p>
<w:pPr><w:pStyle w:val="Normal"/></w:pPr>
<w:r><w:t xml:space="preserve">to estimate the soundness of the instructions then in use, and</w:t></w:r>
</w:p>
<w:p>
<w:pPr><w:pStyle w:val="Normal"/></w:pPr>
<w:r><w:t xml:space="preserve">proceeding, in the way least likely to offend authority and</w:t></w:r>
</w:p>
<w:p>
<w:pPr><w:pStyle w:val="Normal"/></w:pPr>
<w:r><w:t xml:space="preserve">wound prejudice, to rectify errors, and to establish on the</w:t></w:r>
</w:p>
<w:p>
<w:pPr><w:pStyle w:val="Normal"/></w:pPr>
<w:r><w:t xml:space="preserve">solid basis of observation the true elements of anatomical</w:t></w:r>
</w:p>
<w:p>
<w:pPr><w:pStyle w:val="Normal"/></w:pPr>
<w:r><w:t xml:space="preserve">science.  Vesalius has been denominated the founder of human</w:t></w:r>
</w:p>
<w:p>
<w:pPr><w:pStyle w:val="Normal"/></w:pPr>
<w:r><w:t xml:space="preserve">anatomy; and though we have seen that in this career he was</w:t></w:r>
</w:p>
<w:p>
<w:pPr><w:pStyle w:val="Normal"/></w:pPr>
<w:r><w:t xml:space="preserve">preceded with honour by Mondino and Berenger, still the small</w:t></w:r>
</w:p>
<w:p>
<w:pPr><w:pStyle w:val="Normal"/></w:pPr>
<w:r><w:t xml:space="preserve">proportion of correct observation which their reverence for</w:t></w:r>
</w:p>
<w:p>
<w:pPr><w:pStyle w:val="Normal"/></w:pPr>
<w:r><w:t xml:space="preserve">Galen and Arabian doctrines allowed them to communicate,</w:t></w:r>
</w:p>
<w:p>
<w:pPr><w:pStyle w:val="Normal"/></w:pPr>
<w:r><w:t xml:space="preserve">will not in a material degree impair the original merits of</w:t></w:r>
</w:p>
<w:p>
<w:pPr><w:pStyle w:val="Normal"/></w:pPr>
<w:r><w:t xml:space="preserve">Vesalius.  The errors which he rectified and the additions</w:t></w:r>
</w:p>
<w:p>
<w:pPr><w:pStyle w:val="Normal"/></w:pPr>
<w:r><w:t xml:space="preserve">which he made are so numerous, that it is impossible, in such</w:t></w:r>
</w:p>
<w:p>
<w:pPr><w:pStyle w:val="Normal"/></w:pPr>
<w:r><w:t xml:space="preserve">a sketch as the present, to communicate a just idea of them.</w:t></w:r>
</w:p>
<w:p>
<w:pPr><w:pStyle w:val="Normal"/></w:pPr>
<w:r><w:t xml:space="preserve">Besides the first good description of the sphenoid bone, he</w:t></w:r>
</w:p>
<w:p>
<w:pPr><w:pStyle w:val="Normal"/></w:pPr>
<w:r><w:t xml:space="preserve">showed that the sternum consists of three portions and the</w:t></w:r>
</w:p>
<w:p>
<w:pPr><w:pStyle w:val="Normal"/></w:pPr>
<w:r><w:t xml:space="preserve">sacrum of five or six; and described accurately the vestibule</w:t></w:r>
</w:p>
<w:p>
<w:pPr><w:pStyle w:val="Normal"/></w:pPr>
<w:r><w:t xml:space="preserve">in the interior of the temporal bone.  He not only verified</w:t></w:r>
</w:p>
<w:p>
<w:pPr><w:pStyle w:val="Normal"/></w:pPr>
<w:r><w:t xml:space="preserve">the observation of Etienne on the valves of the hepatic</w:t></w:r>
</w:p>
<w:p>
<w:pPr><w:pStyle w:val="Normal"/></w:pPr>
<w:r><w:t xml:space="preserve">veins, but he described well the vena azygos, and discovered</w:t></w:r>
</w:p>
<w:p>
<w:pPr><w:pStyle w:val="Normal"/></w:pPr>
<w:r><w:t xml:space="preserve">the canal which passes in the foetus between the umbilical</w:t></w:r>
</w:p>
<w:p>
<w:pPr><w:pStyle w:val="Normal"/></w:pPr>
<w:r><w:t xml:space="preserve">vein and the vena cava, since named ductus venosus. He</w:t></w:r>
</w:p>
<w:p>
<w:pPr><w:pStyle w:val="Normal"/></w:pPr>
<w:r><w:t xml:space="preserve">described the omentum, and its connexions with the stomach,</w:t></w:r>
</w:p>
<w:p>
<w:pPr><w:pStyle w:val="Normal"/></w:pPr>
<w:r><w:t xml:space="preserve">the spleen and the colon; gave the first correct views of</w:t></w:r>
</w:p>
<w:p>
<w:pPr><w:pStyle w:val="Normal"/></w:pPr>
<w:r><w:t xml:space="preserve">the structure of the pylorus; remarked the small size of the</w:t></w:r>
</w:p>
<w:p>
<w:pPr><w:pStyle w:val="Normal"/></w:pPr>
<w:r><w:t xml:space="preserve">caecal appendix in man; gave the first good account of the</w:t></w:r>
</w:p>
<w:p>
<w:pPr><w:pStyle w:val="Normal"/></w:pPr>
<w:r><w:t xml:space="preserve">mediastinum and pleura and the fullest description of the</w:t></w:r>
</w:p>
<w:p>
<w:pPr><w:pStyle w:val="Normal"/></w:pPr>
<w:r><w:t xml:space="preserve">anatomy of the brain yet advanced.  He appears, however, not</w:t></w:r>
</w:p>
<w:p>
<w:pPr><w:pStyle w:val="Normal"/></w:pPr>
<w:r><w:t xml:space="preserve">to have understood well the inferior recesses; and his account</w:t></w:r>
</w:p>
<w:p>
<w:pPr><w:pStyle w:val="Normal"/></w:pPr>
<w:r><w:t xml:space="preserve">of the nerves is confused by regarding the optic as the first</w:t></w:r>
</w:p>
<w:p>
<w:pPr><w:pStyle w:val="Normal"/></w:pPr>
<w:r><w:t xml:space="preserve">pair, the third as the fifth and the fifth as the seventh.</w:t></w:r>
</w:p>
<w:p>
<w:pPr><w:pStyle w:val="Normal"/></w:pPr>
<w:r><w:t xml:space="preserve">The labours of Vesalius were not limited to the immediate effect</w:t></w:r>
</w:p>
<w:p>
<w:pPr><w:pStyle w:val="Normal"/></w:pPr>
<w:r><w:t xml:space="preserve">produced by his own writings.  His instructions and examples</w:t></w:r>
</w:p>
<w:p>
<w:pPr><w:pStyle w:val="Normal"/></w:pPr>
<w:r><w:t xml:space="preserve">produced a multitude of anatomical inquirers of different</w:t></w:r>
</w:p>
<w:p>
<w:pPr><w:pStyle w:val="Normal"/></w:pPr>
<w:r><w:t xml:space="preserve">characters and varied celebrity, by whom the science was</w:t></w:r>
</w:p>
<w:p>
<w:pPr><w:pStyle w:val="Normal"/></w:pPr>
<w:r><w:t xml:space="preserve">extended and rectified.  Of these we cannot speak in detail;</w:t></w:r>
</w:p>
<w:p>
<w:pPr><w:pStyle w:val="Normal"/></w:pPr>
<w:r><w:t xml:space="preserve">but historical justice requires us to notice shortly those to</w:t></w:r>
</w:p>
<w:p>
<w:pPr><w:pStyle w:val="Normal"/></w:pPr>
<w:r><w:t xml:space="preserve">whose exertions the science of anatomy has been most indebted.</w:t></w:r>
</w:p>
<w:p>
<w:pPr><w:pStyle w:val="Normal"/></w:pPr>
<w:r><w:t xml:space="preserve">Eustachius.</w:t></w:r>
</w:p>
<w:p>
<w:pPr><w:pStyle w:val="Normal"/></w:pPr>
<w:r><w:t xml:space="preserve">The first that claims attention on this account is Bartolomeo</w:t></w:r>
</w:p>
<w:p>
<w:pPr><w:pStyle w:val="Normal"/></w:pPr>
<w:r><w:t xml:space="preserve">Eustachi of San Severino, near Salerno, who though greatly</w:t></w:r>
</w:p>
<w:p>
<w:pPr><w:pStyle w:val="Normal"/></w:pPr>
<w:r><w:t xml:space="preserve">less fortunate in reputation than his contemporary Vesalius,</w:t></w:r>
</w:p>
<w:p>
<w:pPr><w:pStyle w:val="Normal"/></w:pPr>
<w:r><w:t xml:space="preserve">divides with him the merit of creating the science of human</w:t></w:r>
</w:p>
<w:p>
<w:pPr><w:pStyle w:val="Normal"/></w:pPr>
<w:r><w:t xml:space="preserve">anatomy.  He extended the knowledge of the internal ear by</w:t></w:r>
</w:p>
<w:p>
<w:pPr><w:pStyle w:val="Normal"/></w:pPr>
<w:r><w:t xml:space="preserve">rediscovering and describing correctly the tube which bears</w:t></w:r>
</w:p>
<w:p>
<w:pPr><w:pStyle w:val="Normal"/></w:pPr>
<w:r><w:t xml:space="preserve">his name; and if we admit that G. F. Ingrassias anticipated him</w:t></w:r>
</w:p>
<w:p>
<w:pPr><w:pStyle w:val="Normal"/></w:pPr>
<w:r><w:t xml:space="preserve">in the knowledge of the third bone of the tympanal cavity, the</w:t></w:r>
</w:p>
<w:p>
<w:pPr><w:pStyle w:val="Normal"/></w:pPr>
<w:r><w:t xml:space="preserve">stapes, he is still the first who described the internal and</w:t></w:r>
</w:p>
<w:p>
<w:pPr><w:pStyle w:val="Normal"/></w:pPr>
<w:r><w:t xml:space="preserve">anterior muscles of the malleus, as also the stapedius, and</w:t></w:r>
</w:p>
<w:p>
<w:pPr><w:pStyle w:val="Normal"/></w:pPr>
<w:r><w:t xml:space="preserve">the complicated figure of the cochlea. He is the first who</w:t></w:r>
</w:p>
<w:p>
<w:pPr><w:pStyle w:val="Normal"/></w:pPr>
<w:r><w:t xml:space="preserve">studied accurately the anatomy of the teeth, and the phenomena</w:t></w:r>
</w:p>
<w:p>
<w:pPr><w:pStyle w:val="Normal"/></w:pPr>
<w:r><w:t xml:space="preserve">of the first and second dentition.  The work, however, which</w:t></w:r>
</w:p>
<w:p>
<w:pPr><w:pStyle w:val="Normal"/></w:pPr>
<w:r><w:t xml:space="preserve">demonstrates at once the great merit and the unhappy fate</w:t></w:r>
</w:p>
<w:p>
<w:pPr><w:pStyle w:val="Normal"/></w:pPr>
<w:r><w:t xml:space="preserve">of Eustachius is his Anatomical Engravings, which, though</w:t></w:r>
</w:p>
<w:p>
<w:pPr><w:pStyle w:val="Normal"/></w:pPr>
<w:r><w:t xml:space="preserve">completed in 1552, nine years after the impression of the</w:t></w:r>
</w:p>
<w:p>
<w:pPr><w:pStyle w:val="Normal"/></w:pPr>
<w:r><w:t xml:space="preserve">work of Vesalius, the author was unable to publish.  First</w:t></w:r>
</w:p>
<w:p>
<w:pPr><w:pStyle w:val="Normal"/></w:pPr>
<w:r><w:t xml:space="preserve">communicated to the world in 1714 by G. M. Lancisi, afterwards</w:t></w:r>
</w:p>
<w:p>
<w:pPr><w:pStyle w:val="Normal"/></w:pPr>
<w:r><w:t xml:space="preserve">in 1744 by Cajetan Petrioli, again in 1744 by B. S. Albinus,</w:t></w:r>
</w:p>
<w:p>
<w:pPr><w:pStyle w:val="Normal"/></w:pPr>
<w:r><w:t xml:space="preserve">and subsequently at Bonn in 1790, the engravings show that</w:t></w:r>
</w:p>
<w:p>
<w:pPr><w:pStyle w:val="Normal"/></w:pPr>
<w:r><w:t xml:space="preserve">Eustachius had dissected with the greatest care and diligence,</w:t></w:r>
</w:p>
<w:p>
<w:pPr><w:pStyle w:val="Normal"/></w:pPr>
<w:r><w:t xml:space="preserve">and taken the utmost pains to give just views of the shape,</w:t></w:r>
</w:p>
<w:p>
<w:pPr><w:pStyle w:val="Normal"/></w:pPr>
<w:r><w:t xml:space="preserve">size and relative position of the organs of the human body.</w:t></w:r>
</w:p>
<w:p>
<w:pPr><w:pStyle w:val="Normal"/></w:pPr>
<w:r><w:t xml:space="preserve">The first seven plates illustrate the history of the kidneys</w:t></w:r>
</w:p>
<w:p>
<w:pPr><w:pStyle w:val="Normal"/></w:pPr>
<w:r><w:t xml:space="preserve">and some of the facts relating to the structure of the</w:t></w:r>
</w:p>
<w:p>
<w:pPr><w:pStyle w:val="Normal"/></w:pPr>
<w:r><w:t xml:space="preserve">ear.  The eighth represents the heart, the ramifications of</w:t></w:r>
</w:p>
<w:p>
<w:pPr><w:pStyle w:val="Normal"/></w:pPr>
<w:r><w:t xml:space="preserve">the vena azygos, and the valve of the vena cava, named</w:t></w:r>
</w:p>
<w:p>
<w:pPr><w:pStyle w:val="Normal"/></w:pPr>
<w:r><w:t xml:space="preserve">from the author.  In the seven subsequent plates is given a</w:t></w:r>
</w:p>
<w:p>
<w:pPr><w:pStyle w:val="Normal"/></w:pPr>
<w:r><w:t xml:space="preserve">succession of different views of the viscera of the chest and</w:t></w:r>
</w:p>
<w:p>
<w:pPr><w:pStyle w:val="Normal"/></w:pPr>
<w:r><w:t xml:space="preserve">abdomen.  The seventeenth contains the brain and spinal</w:t></w:r>
</w:p>
<w:p>
<w:pPr><w:pStyle w:val="Normal"/></w:pPr>
<w:r><w:t xml:space="preserve">cord; and the eighteenth more accurate views of the origin,</w:t></w:r>
</w:p>
<w:p>
<w:pPr><w:pStyle w:val="Normal"/></w:pPr>
<w:r><w:t xml:space="preserve">course and distribution of the nerves than had been given</w:t></w:r>
</w:p>
<w:p>
<w:pPr><w:pStyle w:val="Normal"/></w:pPr>
<w:r><w:t xml:space="preserve">before.  Fourteen plates are devoted to the muscles.</w:t></w:r>
</w:p>
<w:p>
<w:pPr><w:pStyle w:val="Normal"/></w:pPr>
<w:r><w:t xml:space="preserve">Eustachius did not confine his researches to the study of</w:t></w:r>
</w:p>
<w:p>
<w:pPr><w:pStyle w:val="Normal"/></w:pPr>
<w:r><w:t xml:space="preserve">relative anatomy.  He investigated the intimate structure</w:t></w:r>
</w:p>
<w:p>
<w:pPr><w:pStyle w:val="Normal"/></w:pPr>
<w:r><w:t xml:space="preserve">of organs with assiduity and success.  What was too minute</w:t></w:r>
</w:p>
<w:p>
<w:pPr><w:pStyle w:val="Normal"/></w:pPr>
<w:r><w:t xml:space="preserve">for unassisted vision he inspected by means of glasses.</w:t></w:r>
</w:p>
<w:p>
<w:pPr><w:pStyle w:val="Normal"/></w:pPr>
<w:r><w:t xml:space="preserve">Structure which could not be understood in the recent</w:t></w:r>
</w:p>
<w:p>
<w:pPr><w:pStyle w:val="Normal"/></w:pPr>
<w:r><w:t xml:space="preserve">state, he unfolded by maceration in different fluids, or</w:t></w:r>
</w:p>
<w:p>
<w:pPr><w:pStyle w:val="Normal"/></w:pPr>
<w:r><w:t xml:space="preserve">rendered more distinct by injection and exsiccation.  The</w:t></w:r>
</w:p>
<w:p>
<w:pPr><w:pStyle w:val="Normal"/></w:pPr>
<w:r><w:t xml:space="preserve">facts unfolded in these figures are so important that it is</w:t></w:r>
</w:p>
<w:p>
<w:pPr><w:pStyle w:val="Normal"/></w:pPr>
<w:r><w:t xml:space="preserve">justly remarked by Lauth, that if the author himself had been</w:t></w:r>
</w:p>
<w:p>
<w:pPr><w:pStyle w:val="Normal"/></w:pPr>
<w:r><w:t xml:space="preserve">fortunate enough to publish them, anatomy would have attained</w:t></w:r>
</w:p>
<w:p>
<w:pPr><w:pStyle w:val="Normal"/></w:pPr>
<w:r><w:t xml:space="preserve">the perfection of the 18th century two centuries earlier at</w:t></w:r>
</w:p>
<w:p>
<w:pPr><w:pStyle w:val="Normal"/></w:pPr>
<w:r><w:t xml:space="preserve">least.  Their seclusion for that period in the papal library</w:t></w:r>
</w:p>
<w:p>
<w:pPr><w:pStyle w:val="Normal"/></w:pPr>
<w:r><w:t xml:space="preserve">has given celebrity to many names which would have been known</w:t></w:r>
</w:p>
<w:p>
<w:pPr><w:pStyle w:val="Normal"/></w:pPr>
<w:r><w:t xml:space="preserve">only in the verification of the discoveries of Eustachius.</w:t></w:r>
</w:p>
<w:p>
<w:pPr><w:pStyle w:val="Normal"/></w:pPr>
<w:r><w:t xml:space="preserve">Columbus.</w:t></w:r>
</w:p>
<w:p>
<w:pPr><w:pStyle w:val="Normal"/></w:pPr>
<w:r><w:t xml:space="preserve">M. R. Columbus and G. Fallopius were pupils of Vesalius.</w:t></w:r>
</w:p>
<w:p>
<w:pPr><w:pStyle w:val="Normal"/></w:pPr>
<w:r><w:t xml:space="preserve">Columbus, as his immediate successor in Padua, and afterwards</w:t></w:r>
</w:p>
<w:p>
<w:pPr><w:pStyle w:val="Normal"/></w:pPr>
<w:r><w:t xml:space="preserve">professor at Rome, distinguished himself by rectifying</w:t></w:r>
</w:p>
<w:p>
<w:pPr><w:pStyle w:val="Normal"/></w:pPr>
<w:r><w:t xml:space="preserve">and improving the anatomy of the bones; by giving correct</w:t></w:r>
</w:p>
<w:p>
<w:pPr><w:pStyle w:val="Normal"/></w:pPr>
<w:r><w:t xml:space="preserve">accounts of the shape and cavities of the heart, of the</w:t></w:r>
</w:p>
<w:p>
<w:pPr><w:pStyle w:val="Normal"/></w:pPr>
<w:r><w:t xml:space="preserve">pulmonary artery and aorta and their valves, and tracing</w:t></w:r>
</w:p>
<w:p>
<w:pPr><w:pStyle w:val="Normal"/></w:pPr>
<w:r><w:t xml:space="preserve">the course of the blood from the right to the left side</w:t></w:r>
</w:p>
<w:p>
<w:pPr><w:pStyle w:val="Normal"/></w:pPr>
<w:r><w:t xml:space="preserve">of the heart; by a good description of the brain and its</w:t></w:r>
</w:p>
<w:p>
<w:pPr><w:pStyle w:val="Normal"/></w:pPr>
<w:r><w:t xml:space="preserve">vessels, and by correct understanding of the internal ear,</w:t></w:r>
</w:p>
<w:p>
<w:pPr><w:pStyle w:val="Normal"/></w:pPr>
<w:r><w:t xml:space="preserve">and the first good account of the ventricles of the larynx.</w:t></w:r>
</w:p>
<w:p>
<w:pPr><w:pStyle w:val="Normal"/></w:pPr>
<w:r><w:t xml:space="preserve">Fallopius.</w:t></w:r>
</w:p>
<w:p>
<w:pPr><w:pStyle w:val="Normal"/></w:pPr>
<w:r><w:t xml:space="preserve">Fallopius, who, after being professor at Pisa in 1548, and at</w:t></w:r>
</w:p>
<w:p>
<w:pPr><w:pStyle w:val="Normal"/></w:pPr>
<w:r><w:t xml:space="preserve">Padua in 1551, died at the age of forty, studied the general</w:t></w:r>
</w:p>
<w:p>
<w:pPr><w:pStyle w:val="Normal"/></w:pPr>
<w:r><w:t xml:space="preserve">anatomy of the bones; described better than heretofore the</w:t></w:r>
</w:p>
<w:p>
<w:pPr><w:pStyle w:val="Normal"/></w:pPr>
<w:r><w:t xml:space="preserve">the internal ear, especially the tympanum and its osseous</w:t></w:r>
</w:p>
<w:p>
<w:pPr><w:pStyle w:val="Normal"/></w:pPr>
<w:r><w:t xml:space="preserve">ring, the two fenestrae and their communication with the</w:t></w:r>
</w:p>
<w:p>
<w:pPr><w:pStyle w:val="Normal"/></w:pPr>
<w:r><w:t xml:space="preserve">vestibule and cochlea; and gave the first good account of</w:t></w:r>
</w:p>
<w:p>
<w:pPr><w:pStyle w:val="Normal"/></w:pPr>
<w:r><w:t xml:space="preserve">the stylo-mastoid hole and canal, of the ethmoid bone and</w:t></w:r>
</w:p>
<w:p>
<w:pPr><w:pStyle w:val="Normal"/></w:pPr>
<w:r><w:t xml:space="preserve">cells, and of the lacrymal passages.  In myology he rectified</w:t></w:r>
</w:p>
<w:p>
<w:pPr><w:pStyle w:val="Normal"/></w:pPr>
<w:r><w:t xml:space="preserve">several mistakes of Vesalius.  He also devoted attention</w:t></w:r>
</w:p>
<w:p>
<w:pPr><w:pStyle w:val="Normal"/></w:pPr>
<w:r><w:t xml:space="preserve">to the organs of generation in both sexes, and discovered</w:t></w:r>
</w:p>
<w:p>
<w:pPr><w:pStyle w:val="Normal"/></w:pPr>
<w:r><w:t xml:space="preserve">the utero-peritoneal canal which still bears his name.</w:t></w:r>
</w:p>
<w:p>
<w:pPr><w:pStyle w:val="Normal"/></w:pPr>
<w:r><w:t xml:space="preserve">Ingrassias.</w:t></w:r>
</w:p>
<w:p>
<w:pPr><w:pStyle w:val="Normal"/></w:pPr>
<w:r><w:t xml:space="preserve">Osteology nearly at the same time found an assiduous cultivator</w:t></w:r>
</w:p>
<w:p>
<w:pPr><w:pStyle w:val="Normal"/></w:pPr>
<w:r><w:t xml:space="preserve">in Giovanni Filippo Ingrassias ( 1545-1580), a learned Sicilian</w:t></w:r>
</w:p>
<w:p>
<w:pPr><w:pStyle w:val="Normal"/></w:pPr>
<w:r><w:t xml:space="preserve">physician, who, in a skilful commentary on the osteology</w:t></w:r>
</w:p>
<w:p>
<w:pPr><w:pStyle w:val="Normal"/></w:pPr>
<w:r><w:t xml:space="preserve">of Galen, corrected numerous mistakes.  He gave the first</w:t></w:r>
</w:p>
<w:p>
<w:pPr><w:pStyle w:val="Normal"/></w:pPr>
<w:r><w:t xml:space="preserve">distinct account of the true configuration of the sphenoid</w:t></w:r>
</w:p>
<w:p>
<w:pPr><w:pStyle w:val="Normal"/></w:pPr>
<w:r><w:t xml:space="preserve">and ethmoid bones, and has the merit of first describing</w:t></w:r>
</w:p>
<w:p>
<w:pPr><w:pStyle w:val="Normal"/></w:pPr>
<w:r><w:t xml:space="preserve">(1546) the third bone of the tympanum, called stapes,</w:t></w:r>
</w:p>
<w:p>
<w:pPr><w:pStyle w:val="Normal"/></w:pPr>
<w:r><w:t xml:space="preserve">though this is also claimed by Eustachius and Fallopius.</w:t></w:r>
</w:p>
<w:p>
<w:pPr><w:pStyle w:val="Normal"/></w:pPr>
<w:r><w:t xml:space="preserve">Aranzi.</w:t></w:r>
</w:p>
<w:p>
<w:pPr><w:pStyle w:val="Normal"/></w:pPr>
<w:r><w:t xml:space="preserve">The anatomical descriptions of Vesalius underwent the</w:t></w:r>
</w:p>
<w:p>
<w:pPr><w:pStyle w:val="Normal"/></w:pPr>
<w:r><w:t xml:space="preserve">scrutiny of various inquirers.  Those most distinguished</w:t></w:r>
</w:p>
<w:p>
<w:pPr><w:pStyle w:val="Normal"/></w:pPr>
<w:r><w:t xml:space="preserve">by the importance and accuracy of their researches, as</w:t></w:r>
</w:p>
<w:p>
<w:pPr><w:pStyle w:val="Normal"/></w:pPr>
<w:r><w:t xml:space="preserve">well as the temperate tone of their observations, were</w:t></w:r>
</w:p>
<w:p>
<w:pPr><w:pStyle w:val="Normal"/></w:pPr>
<w:r><w:t xml:space="preserve">Julius Caesar Aranzi (1530-1589), anatomical professor for</w:t></w:r>
</w:p>
<w:p>
<w:pPr><w:pStyle w:val="Normal"/></w:pPr>
<w:r><w:t xml:space="preserve">thirty-two years in the university of Bologna, and Constantio</w:t></w:r>
</w:p>
<w:p>
<w:pPr><w:pStyle w:val="Normal"/></w:pPr>
<w:r><w:t xml:space="preserve">Varoli, physician to Pope Gregory XIII.  To the former we</w:t></w:r>
</w:p>
<w:p>
<w:pPr><w:pStyle w:val="Normal"/></w:pPr>
<w:r><w:t xml:space="preserve">are indebted for the first correct account of the anatomical</w:t></w:r>
</w:p>
<w:p>
<w:pPr><w:pStyle w:val="Normal"/></w:pPr>
<w:r><w:t xml:space="preserve">peculiarities of the foetus, and he was the first to show</w:t></w:r>
</w:p>
<w:p>
<w:pPr><w:pStyle w:val="Normal"/></w:pPr>
<w:r><w:t xml:space="preserve">that the muscles of the eye do not, as was falsely imagined,</w:t></w:r>
</w:p>
<w:p>
<w:pPr><w:pStyle w:val="Normal"/></w:pPr>
<w:r><w:t xml:space="preserve">arise from the dura mater but from the margin of the optic</w:t></w:r>
</w:p>
<w:p>
<w:pPr><w:pStyle w:val="Normal"/></w:pPr>
<w:r><w:t xml:space="preserve">hole.  He also, after considering the anatomical relations</w:t></w:r>
</w:p>
<w:p>
<w:pPr><w:pStyle w:val="Normal"/></w:pPr>
<w:r><w:t xml:space="preserve">of the cavities of the heart, the valves and the great</w:t></w:r>
</w:p>
<w:p>
<w:pPr><w:pStyle w:val="Normal"/></w:pPr>
<w:r><w:t xml:space="preserve">vessels, corroborates the views of Columbus regarding the</w:t></w:r>
</w:p>
<w:p>
<w:pPr><w:pStyle w:val="Normal"/></w:pPr>
<w:r><w:t xml:space="preserve">course which the blood follows in passing from the right to</w:t></w:r>
</w:p>
<w:p>
<w:pPr><w:pStyle w:val="Normal"/></w:pPr>
<w:r><w:t xml:space="preserve">the left side of the heart.  Aranzi is the first anatomist</w:t></w:r>
</w:p>
<w:p>
<w:pPr><w:pStyle w:val="Normal"/></w:pPr>
<w:r><w:t xml:space="preserve">who describes distinctly the inferior cornua of the ventricles</w:t></w:r>
</w:p>
<w:p>
<w:pPr><w:pStyle w:val="Normal"/></w:pPr>
<w:r><w:t xml:space="preserve">of the cerebrum, who recognizes the objects by which they are</w:t></w:r>
</w:p>
<w:p>
<w:pPr><w:pStyle w:val="Normal"/></w:pPr>
<w:r><w:t xml:space="preserve">distinguished, and who gives them the name by which they are</w:t></w:r>
</w:p>
<w:p>
<w:pPr><w:pStyle w:val="Normal"/></w:pPr>
<w:r><w:t xml:space="preserve">still known (hippocampus); and his account is more minute</w:t></w:r>
</w:p>
<w:p>
<w:pPr><w:pStyle w:val="Normal"/></w:pPr>
<w:r><w:t xml:space="preserve">and perspicuous than that of the authors of the subsequent</w:t></w:r>
</w:p>
<w:p>
<w:pPr><w:pStyle w:val="Normal"/></w:pPr>
<w:r><w:t xml:space="preserve">century.  He speaks at large of the choroid plexus, and gives a</w:t></w:r>
</w:p>
<w:p>
<w:pPr><w:pStyle w:val="Normal"/></w:pPr>
<w:r><w:t xml:space="preserve">particular description of the fourth ventricle, under the name</w:t></w:r>
</w:p>
<w:p>
<w:pPr><w:pStyle w:val="Normal"/></w:pPr>
<w:r><w:t xml:space="preserve">of cistern of the cerebellum, as a discovery of his own.</w:t></w:r>
</w:p>
<w:p>
<w:pPr><w:pStyle w:val="Normal"/></w:pPr>
<w:r><w:t xml:space="preserve">Varollus.</w:t></w:r>
</w:p>
<w:p>
<w:pPr><w:pStyle w:val="Normal"/></w:pPr>
<w:r><w:t xml:space="preserve">Italy, though rich in anatomical talent, has probably few</w:t></w:r>
</w:p>
<w:p>
<w:pPr><w:pStyle w:val="Normal"/></w:pPr>
<w:r><w:t xml:space="preserve">greater names than that of Constantio Varoli (b. 1543) of</w:t></w:r>
</w:p>
<w:p>
<w:pPr><w:pStyle w:val="Normal"/></w:pPr>
<w:r><w:t xml:space="preserve">Bologna.  Though he died at the early age of thirty-two, he</w:t></w:r>
</w:p>
<w:p>
<w:pPr><w:pStyle w:val="Normal"/></w:pPr>
<w:r><w:t xml:space="preserve">acquired a reputation not inferior to that of the most eminent</w:t></w:r>
</w:p>
<w:p>
<w:pPr><w:pStyle w:val="Normal"/></w:pPr>
<w:r><w:t xml:space="preserve">of his contemporaries.  He is now known chiefly as the author</w:t></w:r>
</w:p>
<w:p>
<w:pPr><w:pStyle w:val="Normal"/></w:pPr>
<w:r><w:t xml:space="preserve">of an epistle, inscribed to Hieronymo Mercuriali, on the optic</w:t></w:r>
</w:p>
<w:p>
<w:pPr><w:pStyle w:val="Normal"/></w:pPr>
<w:r><w:t xml:space="preserve">nerves, in which he describes a new method of dissecting the</w:t></w:r>
</w:p>
<w:p>
<w:pPr><w:pStyle w:val="Normal"/></w:pPr>
<w:r><w:t xml:space="preserve">brain, and communicates many interesting particulars relating</w:t></w:r>
</w:p>
<w:p>
<w:pPr><w:pStyle w:val="Normal"/></w:pPr>
<w:r><w:t xml:space="preserve">to the anatomy of the organ.  He observes the threefold</w:t></w:r>
</w:p>
<w:p>
<w:pPr><w:pStyle w:val="Normal"/></w:pPr>
<w:r><w:t xml:space="preserve">division of the inferior surface or base, defines the limits</w:t></w:r>
</w:p>
<w:p>
<w:pPr><w:pStyle w:val="Normal"/></w:pPr>
<w:r><w:t xml:space="preserve">of the anterior, middle and posterior eminences, as marked</w:t></w:r>
</w:p>
<w:p>
<w:pPr><w:pStyle w:val="Normal"/></w:pPr>
<w:r><w:t xml:space="preserve">by the compartments of the skull, and justly remarks that the</w:t></w:r>
</w:p>
<w:p>
<w:pPr><w:pStyle w:val="Normal"/></w:pPr>
<w:r><w:t xml:space="preserve">cerebral cavities are capacious, communicate with each other,</w:t></w:r>
</w:p>
<w:p>
<w:pPr><w:pStyle w:val="Normal"/></w:pPr>
<w:r><w:t xml:space="preserve">extending first backward and then forward, near the angle</w:t></w:r>
</w:p>
<w:p>
<w:pPr><w:pStyle w:val="Normal"/></w:pPr>
<w:r><w:t xml:space="preserve">of the pyramidal portion of the temporal bone, and that they</w:t></w:r>
</w:p>
<w:p>
<w:pPr><w:pStyle w:val="Normal"/></w:pPr>
<w:r><w:t xml:space="preserve">are folded on themselves, and finally lost above the middle</w:t></w:r>
</w:p>
<w:p>
<w:pPr><w:pStyle w:val="Normal"/></w:pPr>
<w:r><w:t xml:space="preserve">and inferior eminence of the brain.  He appears to have been</w:t></w:r>
</w:p>
<w:p>
<w:pPr><w:pStyle w:val="Normal"/></w:pPr>
<w:r><w:t xml:space="preserve">aware that at this point they communicate with the exterior</w:t></w:r>
</w:p>
<w:p>
<w:pPr><w:pStyle w:val="Normal"/></w:pPr>
<w:r><w:t xml:space="preserve">or convoluted surface.  He recognized the impropriety of the</w:t></w:r>
</w:p>
<w:p>
<w:pPr><w:pStyle w:val="Normal"/></w:pPr>
<w:r><w:t xml:space="preserve">term corpus callosum, seems to have known the communication</w:t></w:r>
</w:p>
<w:p>
<w:pPr><w:pStyle w:val="Normal"/></w:pPr>
<w:r><w:t xml:space="preserve">called afterwards foramen Monroianum, and describes the</w:t></w:r>
</w:p>
<w:p>
<w:pPr><w:pStyle w:val="Normal"/></w:pPr>
<w:r><w:t xml:space="preserve">hippocampus more minutely than had been previously done.</w:t></w:r>
</w:p>
<w:p>
<w:pPr><w:pStyle w:val="Normal"/></w:pPr>
<w:r><w:t xml:space="preserve">Among the anatomists of the Italian school, as a pupil of</w:t></w:r>
</w:p>
<w:p>
<w:pPr><w:pStyle w:val="Normal"/></w:pPr>
<w:r><w:t xml:space="preserve">Fallopius, Eustachius and U. Aldrovandus, is generally</w:t></w:r>
</w:p>
<w:p>
<w:pPr><w:pStyle w:val="Normal"/></w:pPr>
<w:r><w:t xml:space="preserve">enumerated Volcher Coiter (b. 1534) of Groningen.  He</w:t></w:r>
</w:p>
<w:p>
<w:pPr><w:pStyle w:val="Normal"/></w:pPr>
<w:r><w:t xml:space="preserve">distinguished himself by accurate researches on the cartilages,</w:t></w:r>
</w:p>
<w:p>
<w:pPr><w:pStyle w:val="Normal"/></w:pPr>
<w:r><w:t xml:space="preserve">the bones and the nerves, recognized the value of morbid</w:t></w:r>
</w:p>
<w:p>
<w:pPr><w:pStyle w:val="Normal"/></w:pPr>
<w:r><w:t xml:space="preserve">anatomy, and made experiments on living animals to ascertain</w:t></w:r>
</w:p>
<w:p>
<w:pPr><w:pStyle w:val="Normal"/></w:pPr>
<w:r><w:t xml:space="preserve">the action of the heart and the influence of the brain.</w:t></w:r>
</w:p>
<w:p>
<w:pPr><w:pStyle w:val="Normal"/></w:pPr>
<w:r><w:t xml:space="preserve">The Frutefull and Necessary Briefo Worke of John Halle3</w:t></w:r>
</w:p>
<w:p>
<w:pPr><w:pStyle w:val="Normal"/></w:pPr>
<w:r><w:t xml:space="preserve">(1565) and The Englisheman&apos;s Treasure by Master Thomas Vicary</w:t></w:r>
</w:p>
<w:p>
<w:pPr><w:pStyle w:val="Normal"/></w:pPr>
<w:r><w:t xml:space="preserve">(1586),4 English works published at this time, are tolerable</w:t></w:r>
</w:p>
<w:p>
<w:pPr><w:pStyle w:val="Normal"/></w:pPr>
<w:r><w:t xml:space="preserve">compilations from former authors, much tinged by Galenian and</w:t></w:r>
</w:p>
<w:p>
<w:pPr><w:pStyle w:val="Normal"/></w:pPr>
<w:r><w:t xml:space="preserve">Arabian distinctions.  A more valuable compendium than either is,</w:t></w:r>
</w:p>
<w:p>
<w:pPr><w:pStyle w:val="Normal"/></w:pPr>
<w:r><w:t xml:space="preserve">however, that of John Banister (1578), entitled The Historie of</w:t></w:r>
</w:p>
<w:p>
<w:pPr><w:pStyle w:val="Normal"/></w:pPr>
<w:r><w:t xml:space="preserve">Man, from the most approved Anathomistes in this Present Age.</w:t></w:r>
</w:p>
<w:p>
<w:pPr><w:pStyle w:val="Normal"/></w:pPr>
<w:r><w:t xml:space="preserve">Fabricius.</w:t></w:r>
</w:p>
<w:p>
<w:pPr><w:pStyle w:val="Normal"/></w:pPr>
<w:r><w:t xml:space="preserve">The celebrity of the anatomical school of Italy was worthily</w:t></w:r>
</w:p>
<w:p>
<w:pPr><w:pStyle w:val="Normal"/></w:pPr>
<w:r><w:t xml:space="preserve">maintained by Hieronymo Fabricio of Acquapendente, who,</w:t></w:r>
</w:p>
<w:p>
<w:pPr><w:pStyle w:val="Normal"/></w:pPr>
<w:r><w:t xml:space="preserve">in imitation of his master Fallopius, laboured to render</w:t></w:r>
</w:p>
<w:p>
<w:pPr><w:pStyle w:val="Normal"/></w:pPr>
<w:r><w:t xml:space="preserve">anatomical knowledge more precise by repeated dissections,</w:t></w:r>
</w:p>
<w:p>
<w:pPr><w:pStyle w:val="Normal"/></w:pPr>
<w:r><w:t xml:space="preserve">and to illustrate the obscure by researches on the structure</w:t></w:r>
</w:p>
<w:p>
<w:pPr><w:pStyle w:val="Normal"/></w:pPr>
<w:r><w:t xml:space="preserve">of animals in general.  In this manner he investigated the</w:t></w:r>
</w:p>
<w:p>
<w:pPr><w:pStyle w:val="Normal"/></w:pPr>
<w:r><w:t xml:space="preserve">formation of the foetus, the structure of the oesophagus,</w:t></w:r>
</w:p>
<w:p>
<w:pPr><w:pStyle w:val="Normal"/></w:pPr>
<w:r><w:t xml:space="preserve">stomach and bowels, and the peculiarities of the eye, the</w:t></w:r>
</w:p>
<w:p>
<w:pPr><w:pStyle w:val="Normal"/></w:pPr>
<w:r><w:t xml:space="preserve">ear and the larynx.  The discovery, however, on which his</w:t></w:r>
</w:p>
<w:p>
<w:pPr><w:pStyle w:val="Normal"/></w:pPr>
<w:r><w:t xml:space="preserve">surest claims to eminence rest is that of the membranous</w:t></w:r>
</w:p>
<w:p>
<w:pPr><w:pStyle w:val="Normal"/></w:pPr>
<w:r><w:t xml:space="preserve">folds, which he names valves, in the interior of veins.</w:t></w:r>
</w:p>
<w:p>
<w:pPr><w:pStyle w:val="Normal"/></w:pPr>
<w:r><w:t xml:space="preserve">Several of these folds had been observed by Fernel, Sylvius</w:t></w:r>
</w:p>
<w:p>
<w:pPr><w:pStyle w:val="Normal"/></w:pPr>
<w:r><w:t xml:space="preserve">and Vesalius; and in 1547 G. B. Canani observed those of</w:t></w:r>
</w:p>
<w:p>
<w:pPr><w:pStyle w:val="Normal"/></w:pPr>
<w:r><w:t xml:space="preserve">the vena azygos; but no one appears to have offered any</w:t></w:r>
</w:p>
<w:p>
<w:pPr><w:pStyle w:val="Normal"/></w:pPr>
<w:r><w:t xml:space="preserve">rational conjecture on their use, or to have traced them</w:t></w:r>
</w:p>
<w:p>
<w:pPr><w:pStyle w:val="Normal"/></w:pPr>
<w:r><w:t xml:space="preserve">through the venous system at large, until Fabricius in</w:t></w:r>
</w:p>
<w:p>
<w:pPr><w:pStyle w:val="Normal"/></w:pPr>
<w:r><w:t xml:space="preserve">1574, upon this hypothesis, demonstrated the presence of</w:t></w:r>
</w:p>
<w:p>
<w:pPr><w:pStyle w:val="Normal"/></w:pPr>
<w:r><w:t xml:space="preserve">these valvular folds in all the veins of the extremities.</w:t></w:r>
</w:p>
<w:p>
<w:pPr><w:pStyle w:val="Normal"/></w:pPr>
<w:r><w:t xml:space="preserve">Fabricius, though succeeded by his pupil Julius Casserius of</w:t></w:r>
</w:p>
<w:p>
<w:pPr><w:pStyle w:val="Normal"/></w:pPr>
<w:r><w:t xml:space="preserve">Placenza, may be regarded as the last of that illustrious</w:t></w:r>
</w:p>
<w:p>
<w:pPr><w:pStyle w:val="Normal"/></w:pPr>
<w:r><w:t xml:space="preserve">line of anatomical teachers by whom the science was so</w:t></w:r>
</w:p>
<w:p>
<w:pPr><w:pStyle w:val="Normal"/></w:pPr>
<w:r><w:t xml:space="preserve">successfully studied and taught in the universities of</w:t></w:r>
</w:p>
<w:p>
<w:pPr><w:pStyle w:val="Normal"/></w:pPr>
<w:r><w:t xml:space="preserve">Italy.  The discoveries which each made, and the errors which</w:t></w:r>
</w:p>
<w:p>
<w:pPr><w:pStyle w:val="Normal"/></w:pPr>
<w:r><w:t xml:space="preserve">their successive labours rectified, tended gradually to give</w:t></w:r>
</w:p>
<w:p>
<w:pPr><w:pStyle w:val="Normal"/></w:pPr>
<w:r><w:t xml:space="preserve">anatomy the character of a useful as well as an accurate</w:t></w:r>
</w:p>
<w:p>
<w:pPr><w:pStyle w:val="Normal"/></w:pPr>
<w:r><w:t xml:space="preserve">science, and to pave the way for a discovery which, though</w:t></w:r>
</w:p>
<w:p>
<w:pPr><w:pStyle w:val="Normal"/></w:pPr>
<w:r><w:t xml:space="preserve">not anatomical but physiological, is so intimately connected</w:t></w:r>
</w:p>
<w:p>
<w:pPr><w:pStyle w:val="Normal"/></w:pPr>
<w:r><w:t xml:space="preserve">with correct knowledge of the shape and situation of parts,</w:t></w:r>
</w:p>
<w:p>
<w:pPr><w:pStyle w:val="Normal"/></w:pPr>
<w:r><w:t xml:space="preserve">that it exercised the most powerful influence on the future</w:t></w:r>
</w:p>
<w:p>
<w:pPr><w:pStyle w:val="Normal"/></w:pPr>
<w:r><w:t xml:space="preserve">progress of anatomical inquiry.  This was the knowledge</w:t></w:r>
</w:p>
<w:p>
<w:pPr><w:pStyle w:val="Normal"/></w:pPr>
<w:r><w:t xml:space="preserve">of the circular motion of the blood--a fact which though</w:t></w:r>
</w:p>
<w:p>
<w:pPr><w:pStyle w:val="Normal"/></w:pPr>
<w:r><w:t xml:space="preserve">obscurely conjectured by Aristotle, Nemesius, Mondino and</w:t></w:r>
</w:p>
<w:p>
<w:pPr><w:pStyle w:val="Normal"/></w:pPr>
<w:r><w:t xml:space="preserve">Berenger, and partially taught by Servetus, Columbus, Andreas</w:t></w:r>
</w:p>
<w:p>
<w:pPr><w:pStyle w:val="Normal"/></w:pPr>
<w:r><w:t xml:space="preserve">Caesalpinus and Fabricius, it was nevertheless reserved</w:t></w:r>
</w:p>
<w:p>
<w:pPr><w:pStyle w:val="Normal"/></w:pPr>
<w:r><w:t xml:space="preserve">to William Harvey fully and satisfactorily to demonstrate.</w:t></w:r>
</w:p>
<w:p>
<w:pPr><w:pStyle w:val="Normal"/></w:pPr>
<w:r><w:t xml:space="preserve">Mondino believed that the blood proceeds from the heart</w:t></w:r>
</w:p>
<w:p>
<w:pPr><w:pStyle w:val="Normal"/></w:pPr>
<w:r><w:t xml:space="preserve">to the lungs through the vena arterialis or pulmonary</w:t></w:r>
</w:p>
<w:p>
<w:pPr><w:pStyle w:val="Normal"/></w:pPr>
<w:r><w:t xml:space="preserve">artery, and that the aorta conveys the spirit into the</w:t></w:r>
</w:p>
<w:p>
<w:pPr><w:pStyle w:val="Normal"/></w:pPr>
<w:r><w:t xml:space="preserve">blood through all parts of the body.  This doctrine was</w:t></w:r>
</w:p>
<w:p>
<w:pPr><w:pStyle w:val="Normal"/></w:pPr>
<w:r><w:t xml:space="preserve">adopted with little modification by Berenger, who further</w:t></w:r>
</w:p>
<w:p>
<w:pPr><w:pStyle w:val="Normal"/></w:pPr>
<w:r><w:t xml:space="preserve">demonstrated the existence and operation of the tricuspid</w:t></w:r>
</w:p>
<w:p>
<w:pPr><w:pStyle w:val="Normal"/></w:pPr>
<w:r><w:t xml:space="preserve">valves in the right ventricle, and of the sigmoid valves at</w:t></w:r>
</w:p>
<w:p>
<w:pPr><w:pStyle w:val="Normal"/></w:pPr>
<w:r><w:t xml:space="preserve">the beginning of the pulmonary artery and aorta, and that</w:t></w:r>
</w:p>
<w:p>
<w:pPr><w:pStyle w:val="Normal"/></w:pPr>
<w:r><w:t xml:space="preserve">there were only two ventricles separated by a solid impervious</w:t></w:r>
</w:p>
<w:p>
<w:pPr><w:pStyle w:val="Normal"/></w:pPr>
<w:r><w:t xml:space="preserve">septum.  These were afterwards described in greater detail by</w:t></w:r>
</w:p>
<w:p>
<w:pPr><w:pStyle w:val="Normal"/></w:pPr>
<w:r><w:t xml:space="preserve">Vesalius, who nevertheless appears not to have been aware</w:t></w:r>
</w:p>
<w:p>
<w:pPr><w:pStyle w:val="Normal"/></w:pPr>
<w:r><w:t xml:space="preserve">of the important use which might be made of this knowledge.</w:t></w:r>
</w:p>
<w:p>
<w:pPr><w:pStyle w:val="Normal"/></w:pPr>
<w:r><w:t xml:space="preserve">Servetus.</w:t></w:r>
</w:p>
<w:p>
<w:pPr><w:pStyle w:val="Normal"/></w:pPr>
<w:r><w:t xml:space="preserve">It was the Spaniard Michael Servet or Servetus (born in</w:t></w:r>
</w:p>
<w:p>
<w:pPr><w:pStyle w:val="Normal"/></w:pPr>
<w:r><w:t xml:space="preserve">1509, burnt in 1553) who in his treatise De Trinitatis</w:t></w:r>
</w:p>
<w:p>
<w:pPr><w:pStyle w:val="Normal"/></w:pPr>
<w:r><w:t xml:space="preserve">Erroribus, published at Haguenau in 1531, first</w:t></w:r>
</w:p>
<w:p>
<w:pPr><w:pStyle w:val="Normal"/></w:pPr>
<w:r><w:t xml:space="preserve">maintained the imperviousness of the septum, and the</w:t></w:r>
</w:p>
<w:p>
<w:pPr><w:pStyle w:val="Normal"/></w:pPr>
<w:r><w:t xml:space="preserve">transition of the blood by what he terms an unknown route, namely,</w:t></w:r>
</w:p>
<w:p>
<w:pPr><w:pStyle w:val="Normal"/></w:pPr>
<w:r><w:t xml:space="preserve">from the right ventricle by the vena arteriosa (pulmonary</w:t></w:r>
</w:p>
<w:p>
<w:pPr><w:pStyle w:val="Normal"/></w:pPr>
<w:r><w:t xml:space="preserve">artery) to the lungs, and thence into the arteria venosa or</w:t></w:r>
</w:p>
<w:p>
<w:pPr><w:pStyle w:val="Normal"/></w:pPr>
<w:r><w:t xml:space="preserve">pulmonary vein and left auricle and ventricle, from which, he adds</w:t></w:r>
</w:p>
<w:p>
<w:pPr><w:pStyle w:val="Normal"/></w:pPr>
<w:r><w:t xml:space="preserve">afterwards, it is conveyed by the aorta to all parts of the body.5</w:t></w:r>
</w:p>
<w:p>
<w:pPr><w:pStyle w:val="Normal"/></w:pPr>
<w:r><w:t xml:space="preserve">Though the leading outlines, not only of the pulmonary</w:t></w:r>
</w:p>
<w:p>
<w:pPr><w:pStyle w:val="Normal"/></w:pPr>
<w:r><w:t xml:space="preserve">or small but even of the great circulation, were sketched</w:t></w:r>
</w:p>
<w:p>
<w:pPr><w:pStyle w:val="Normal"/></w:pPr>
<w:r><w:t xml:space="preserve">thus early by one who, though a philosopher, was attached</w:t></w:r>
</w:p>
<w:p>
<w:pPr><w:pStyle w:val="Normal"/></w:pPr>
<w:r><w:t xml:space="preserve">to the church, it was only in his work De Re Anatomica,</w:t></w:r>
</w:p>
<w:p>
<w:pPr><w:pStyle w:val="Normal"/></w:pPr>
<w:r><w:t xml:space="preserve">published at Venice in 1559, that Columbus formally and</w:t></w:r>
</w:p>
<w:p>
<w:pPr><w:pStyle w:val="Normal"/></w:pPr>
<w:r><w:t xml:space="preserve">distinctly announced the circular course of the blood as</w:t></w:r>
</w:p>
<w:p>
<w:pPr><w:pStyle w:val="Normal"/></w:pPr>
<w:r><w:t xml:space="preserve">a discovery of his own; and maintained, in addition to the</w:t></w:r>
</w:p>
<w:p>
<w:pPr><w:pStyle w:val="Normal"/></w:pPr>
<w:r><w:t xml:space="preserve">imperviousness of the septum, the fact that the arteria</w:t></w:r>
</w:p>
<w:p>
<w:pPr><w:pStyle w:val="Normal"/></w:pPr>
<w:r><w:t xml:space="preserve">venalis (pulmonary vein) contains, not air, but blood</w:t></w:r>
</w:p>
<w:p>
<w:pPr><w:pStyle w:val="Normal"/></w:pPr>
<w:r><w:t xml:space="preserve">mixed with air brought from the lungs to the left ventricle</w:t></w:r>
</w:p>
<w:p>
<w:pPr><w:pStyle w:val="Normal"/></w:pPr>
<w:r><w:t xml:space="preserve">of the heart, to be distributed through the body at large.</w:t></w:r>
</w:p>
<w:p>
<w:pPr><w:pStyle w:val="Normal"/></w:pPr>
<w:r><w:t xml:space="preserve">Caesalpinus.</w:t></w:r>
</w:p>
<w:p>
<w:pPr><w:pStyle w:val="Normal"/></w:pPr>
<w:r><w:t xml:space="preserve">Soon after, views still more complete of the small or pulmonary</w:t></w:r>
</w:p>
<w:p>
<w:pPr><w:pStyle w:val="Normal"/></w:pPr>
<w:r><w:t xml:space="preserve">circulation were given by Andreas Caesalpinus (1519-1603)</w:t></w:r>
</w:p>
<w:p>
<w:pPr><w:pStyle w:val="Normal"/></w:pPr>
<w:r><w:t xml:space="preserve">of Arezzo, who not only maintained the analogy between the</w:t></w:r>
</w:p>
<w:p>
<w:pPr><w:pStyle w:val="Normal"/></w:pPr>
<w:r><w:t xml:space="preserve">structure of the arterious vein or pulmonary artery and the</w:t></w:r>
</w:p>
<w:p>
<w:pPr><w:pStyle w:val="Normal"/></w:pPr>
<w:r><w:t xml:space="preserve">aorta, and that between the venous artery or pulmonary veins</w:t></w:r>
</w:p>
<w:p>
<w:pPr><w:pStyle w:val="Normal"/></w:pPr>
<w:r><w:t xml:space="preserve">and veins in general, but was the first to remark the swelling</w:t></w:r>
</w:p>
<w:p>
<w:pPr><w:pStyle w:val="Normal"/></w:pPr>
<w:r><w:t xml:space="preserve">of veins below ligatures, and to infer from it a refluent</w:t></w:r>
</w:p>
<w:p>
<w:pPr><w:pStyle w:val="Normal"/></w:pPr>
<w:r><w:t xml:space="preserve">motion of blood in these vessels.  The discoveries of Aranzi</w:t></w:r>
</w:p>
<w:p>
<w:pPr><w:pStyle w:val="Normal"/></w:pPr>
<w:r><w:t xml:space="preserve">and Eustachius in the vessels of the foetus tended at first</w:t></w:r>
</w:p>
<w:p>
<w:pPr><w:pStyle w:val="Normal"/></w:pPr>
<w:r><w:t xml:space="preserve">to perplex and afterwards to elucidate some of these notions.</w:t></w:r>
</w:p>
<w:p>
<w:pPr><w:pStyle w:val="Normal"/></w:pPr>
<w:r><w:t xml:space="preserve">Harvey.</w:t></w:r>
</w:p>
<w:p>
<w:pPr><w:pStyle w:val="Normal"/></w:pPr>
<w:r><w:t xml:space="preserve">At length it happened that, between the years 1598 and 1600,</w:t></w:r>
</w:p>
<w:p>
<w:pPr><w:pStyle w:val="Normal"/></w:pPr>
<w:r><w:t xml:space="preserve">a young Englishman, William Harvey, pursuing his anatomical</w:t></w:r>
</w:p>
<w:p>
<w:pPr><w:pStyle w:val="Normal"/></w:pPr>
<w:r><w:t xml:space="preserve">studies at Padua under Fabricius, learnt from that anatomist</w:t></w:r>
</w:p>
<w:p>
<w:pPr><w:pStyle w:val="Normal"/></w:pPr>
<w:r><w:t xml:space="preserve">the existance of the valves in the veins of the extremities,</w:t></w:r>
</w:p>
<w:p>
<w:pPr><w:pStyle w:val="Normal"/></w:pPr>
<w:r><w:t xml:space="preserve">and undertook to ascertain the use of these valves by</w:t></w:r>
</w:p>
<w:p>
<w:pPr><w:pStyle w:val="Normal"/></w:pPr>
<w:r><w:t xml:space="preserve">experimental inquiry.  It is uncertain whether he learnt</w:t></w:r>
</w:p>
<w:p>
<w:pPr><w:pStyle w:val="Normal"/></w:pPr>
<w:r><w:t xml:space="preserve">from the writings of Caesalpinus the fact observed by that</w:t></w:r>
</w:p>
<w:p>
<w:pPr><w:pStyle w:val="Normal"/></w:pPr>
<w:r><w:t xml:space="preserve">author of the tumescence of a vein below the ligature, but he</w:t></w:r>
</w:p>
<w:p>
<w:pPr><w:pStyle w:val="Normal"/></w:pPr>
<w:r><w:t xml:space="preserve">could not fail to be aware, and indeed he shows that he was</w:t></w:r>
</w:p>
<w:p>
<w:pPr><w:pStyle w:val="Normal"/></w:pPr>
<w:r><w:t xml:space="preserve">aware, of the small circulation as taught by Servetus and</w:t></w:r>
</w:p>
<w:p>
<w:pPr><w:pStyle w:val="Normal"/></w:pPr>
<w:r><w:t xml:space="preserve">Columbus.  Combining these facts already known, he, by a</w:t></w:r>
</w:p>
<w:p>
<w:pPr><w:pStyle w:val="Normal"/></w:pPr>
<w:r><w:t xml:space="preserve">series of well-executed experiments, demonstrated clearly</w:t></w:r>
</w:p>
<w:p>
<w:pPr><w:pStyle w:val="Normal"/></w:pPr>
<w:r><w:t xml:space="preserve">the existence, not only of the small, but of a general</w:t></w:r>
</w:p>
<w:p>
<w:pPr><w:pStyle w:val="Normal"/></w:pPr>
<w:r><w:t xml:space="preserve">circulation from the left side of the heart by the aorta</w:t></w:r>
</w:p>
<w:p>
<w:pPr><w:pStyle w:val="Normal"/></w:pPr>
<w:r><w:t xml:space="preserve">and its subdivisions, to the right side by the veins.</w:t></w:r>
</w:p>
<w:p>
<w:pPr><w:pStyle w:val="Normal"/></w:pPr>
<w:r><w:t xml:space="preserve">This memorable truth was first announced in the year 1619.</w:t></w:r>
</w:p>
<w:p>
<w:pPr><w:pStyle w:val="Normal"/></w:pPr>
<w:r><w:t xml:space="preserve">It is unnecessary here to consider the arguments and facts by</w:t></w:r>
</w:p>
<w:p>
<w:pPr><w:pStyle w:val="Normal"/></w:pPr>
<w:r><w:t xml:space="preserve">which Harvey defended his theory, or to notice the numerous</w:t></w:r>
</w:p>
<w:p>
<w:pPr><w:pStyle w:val="Normal"/></w:pPr>
<w:r><w:t xml:space="preserve">assaults to which he was exposed, and the controversies in</w:t></w:r>
</w:p>
<w:p>
<w:pPr><w:pStyle w:val="Normal"/></w:pPr>
<w:r><w:t xml:space="preserve">which his opponents wished to involve him.  It is sufficient</w:t></w:r>
</w:p>
<w:p>
<w:pPr><w:pStyle w:val="Normal"/></w:pPr>
<w:r><w:t xml:space="preserve">to say that, after the temporary ebullitions of spleen and</w:t></w:r>
</w:p>
<w:p>
<w:pPr><w:pStyle w:val="Normal"/></w:pPr>
<w:r><w:t xml:space="preserve">envy had subsided, the doctrine of the circular motion of</w:t></w:r>
</w:p>
<w:p>
<w:pPr><w:pStyle w:val="Normal"/></w:pPr>
<w:r><w:t xml:space="preserve">the blood was admitted by all enlightened and unprejudiced</w:t></w:r>
</w:p>
<w:p>
<w:pPr><w:pStyle w:val="Normal"/></w:pPr>
<w:r><w:t xml:space="preserve">persons, and finally was universally adopted as affording</w:t></w:r>
</w:p>
<w:p>
<w:pPr><w:pStyle w:val="Normal"/></w:pPr>
<w:r><w:t xml:space="preserve">the most satisfactory explanation of many facts in anatomical</w:t></w:r>
</w:p>
<w:p>
<w:pPr><w:pStyle w:val="Normal"/></w:pPr>
<w:r><w:t xml:space="preserve">structure which were either misunderstood or entirely</w:t></w:r>
</w:p>
<w:p>
<w:pPr><w:pStyle w:val="Normal"/></w:pPr>
<w:r><w:t xml:space="preserve">overlooked.  The inquiries to which the investigation of</w:t></w:r>
</w:p>
<w:p>
<w:pPr><w:pStyle w:val="Normal"/></w:pPr>
<w:r><w:t xml:space="preserve">the doctrine gave rise produced numerous researches on the</w:t></w:r>
</w:p>
<w:p>
<w:pPr><w:pStyle w:val="Normal"/></w:pPr>
<w:r><w:t xml:space="preserve">shape and structure of the heart and its divisions, of the</w:t></w:r>
</w:p>
<w:p>
<w:pPr><w:pStyle w:val="Normal"/></w:pPr>
<w:r><w:t xml:space="preserve">lungs, and of the blood-vessels and their distribution.  Of</w:t></w:r>
</w:p>
<w:p>
<w:pPr><w:pStyle w:val="Normal"/></w:pPr>
<w:r><w:t xml:space="preserve">this description were the researches of Nicolas Steno on the</w:t></w:r>
</w:p>
<w:p>
<w:pPr><w:pStyle w:val="Normal"/></w:pPr>
<w:r><w:t xml:space="preserve">structure of the heart, the classical work of Richard Lower,</w:t></w:r>
</w:p>
<w:p>
<w:pPr><w:pStyle w:val="Normal"/></w:pPr>
<w:r><w:t xml:space="preserve">the dissertation of J. N. Pechlin, the treatise of Raymond</w:t></w:r>
</w:p>
<w:p>
<w:pPr><w:pStyle w:val="Normal"/></w:pPr>
<w:r><w:t xml:space="preserve">Vieussens, the work of Marcello Malpighi on the structure of</w:t></w:r>
</w:p>
<w:p>
<w:pPr><w:pStyle w:val="Normal"/></w:pPr>
<w:r><w:t xml:space="preserve">the lungs, several sketches in the writings of John Mayow,</w:t></w:r>
</w:p>
<w:p>
<w:pPr><w:pStyle w:val="Normal"/></w:pPr>
<w:r><w:t xml:space="preserve">and other treatises of less moment.  Systematic treatises</w:t></w:r>
</w:p>
<w:p>
<w:pPr><w:pStyle w:val="Normal"/></w:pPr>
<w:r><w:t xml:space="preserve">of anatomy began to assume a more instructive form, and to</w:t></w:r>
</w:p>
<w:p>
<w:pPr><w:pStyle w:val="Normal"/></w:pPr>
<w:r><w:t xml:space="preserve">breathe a more philosophical spirit.  The great work of Adrian</w:t></w:r>
</w:p>
<w:p>
<w:pPr><w:pStyle w:val="Normal"/></w:pPr>
<w:r><w:t xml:space="preserve">Spigelius, which appeared in 1627, two years after the death</w:t></w:r>
</w:p>
<w:p>
<w:pPr><w:pStyle w:val="Normal"/></w:pPr>
<w:r><w:t xml:space="preserve">of the author, contains indeed no proof that he was aware of</w:t></w:r>
</w:p>
<w:p>
<w:pPr><w:pStyle w:val="Normal"/></w:pPr>
<w:r><w:t xml:space="preserve">the valuable generalization of Harvey; but in the institutions</w:t></w:r>
</w:p>
<w:p>
<w:pPr><w:pStyle w:val="Normal"/></w:pPr>
<w:r><w:t xml:space="preserve">of Caspar Bartholinus, as republished and improved by his son</w:t></w:r>
</w:p>
<w:p>
<w:pPr><w:pStyle w:val="Normal"/></w:pPr>
<w:r><w:t xml:space="preserve">Thomas in 1651, the anatomical descriptions and explanations</w:t></w:r>
</w:p>
<w:p>
<w:pPr><w:pStyle w:val="Normal"/></w:pPr>
<w:r><w:t xml:space="preserve">are given with reference to the new doctrine.  A still more</w:t></w:r>
</w:p>
<w:p>
<w:pPr><w:pStyle w:val="Normal"/></w:pPr>
<w:r><w:t xml:space="preserve">unequivocal proof of the progress of correct anatomical</w:t></w:r>
</w:p>
<w:p>
<w:pPr><w:pStyle w:val="Normal"/></w:pPr>
<w:r><w:t xml:space="preserve">knowledge was given in the lectures delivered by Peter</w:t></w:r>
</w:p>
<w:p>
<w:pPr><w:pStyle w:val="Normal"/></w:pPr>
<w:r><w:t xml:space="preserve">Dionis, at the Jardin Royal of Paris, in 1673 and the seven</w:t></w:r>
</w:p>
<w:p>
<w:pPr><w:pStyle w:val="Normal"/></w:pPr>
<w:r><w:t xml:space="preserve">following years, in which that intelligent surgeon gave most</w:t></w:r>
</w:p>
<w:p>
<w:pPr><w:pStyle w:val="Normal"/></w:pPr>
<w:r><w:t xml:space="preserve">accurate demonstrations of all the parts composing the human</w:t></w:r>
</w:p>
<w:p>
<w:pPr><w:pStyle w:val="Normal"/></w:pPr>
<w:r><w:t xml:space="preserve">frame, and especially of the heart, its auricles, ventricles</w:t></w:r>
</w:p>
<w:p>
<w:pPr><w:pStyle w:val="Normal"/></w:pPr>
<w:r><w:t xml:space="preserve">and valves, and the large vessels connected with it and the</w:t></w:r>
</w:p>
<w:p>
<w:pPr><w:pStyle w:val="Normal"/></w:pPr>
<w:r><w:t xml:space="preserve">lungs.  These demonstrations, first published in 1690, were</w:t></w:r>
</w:p>
<w:p>
<w:pPr><w:pStyle w:val="Normal"/></w:pPr>
<w:r><w:t xml:space="preserve">so much esteemed that they passed through seven editions in</w:t></w:r>
</w:p>
<w:p>
<w:pPr><w:pStyle w:val="Normal"/></w:pPr>
<w:r><w:t xml:space="preserve">the space of thirty years, and were translated into English.</w:t></w:r>
</w:p>
<w:p>
<w:pPr><w:pStyle w:val="Normal"/></w:pPr>
<w:r><w:t xml:space="preserve">Aselli.</w:t></w:r>
</w:p>
<w:p>
<w:pPr><w:pStyle w:val="Normal"/></w:pPr>
<w:r><w:t xml:space="preserve">The progress of anatomical discovery continued in the mean-time</w:t></w:r>
</w:p>
<w:p>
<w:pPr><w:pStyle w:val="Normal"/></w:pPr>
<w:r><w:t xml:space="preserve">to advance.  In the course of the 16th century Eustachius,</w:t></w:r>
</w:p>
<w:p>
<w:pPr><w:pStyle w:val="Normal"/></w:pPr>
<w:r><w:t xml:space="preserve">in studying minutely the structure of the vena azygos, had</w:t></w:r>
</w:p>
<w:p>
<w:pPr><w:pStyle w:val="Normal"/></w:pPr>
<w:r><w:t xml:space="preserve">recognized in the horse a white vessel full of watery fluid,</w:t></w:r>
</w:p>
<w:p>
<w:pPr><w:pStyle w:val="Normal"/></w:pPr>
<w:r><w:t xml:space="preserve">connected with the internal jugular vein, on the left side of</w:t></w:r>
</w:p>
<w:p>
<w:pPr><w:pStyle w:val="Normal"/></w:pPr>
<w:r><w:t xml:space="preserve">the vertebral column, corresponding accurately with the vessel</w:t></w:r>
</w:p>
<w:p>
<w:pPr><w:pStyle w:val="Normal"/></w:pPr>
<w:r><w:t xml:space="preserve">since named thoracic duct. Fallopius also described vessels</w:t></w:r>
</w:p>
<w:p>
<w:pPr><w:pStyle w:val="Normal"/></w:pPr>
<w:r><w:t xml:space="preserve">belonging to the liver distinct from arteries and veins; and</w:t></w:r>
</w:p>
<w:p>
<w:pPr><w:pStyle w:val="Normal"/></w:pPr>
<w:r><w:t xml:space="preserve">similar vessels appear to have been noticed by Nicolaus Massa</w:t></w:r>
</w:p>
<w:p>
<w:pPr><w:pStyle w:val="Normal"/></w:pPr>
<w:r><w:t xml:space="preserve">(1499-1569).  The nature and properties of these vessels</w:t></w:r>
</w:p>
<w:p>
<w:pPr><w:pStyle w:val="Normal"/></w:pPr>
<w:r><w:t xml:space="preserve">were, however, entirely unknown.  On the 23rd of July 1622</w:t></w:r>
</w:p>
<w:p>
<w:pPr><w:pStyle w:val="Normal"/></w:pPr>
<w:r><w:t xml:space="preserve">Gaspar Aselli, professor of anatomy at Pavia, while engaged</w:t></w:r>
</w:p>
<w:p>
<w:pPr><w:pStyle w:val="Normal"/></w:pPr>
<w:r><w:t xml:space="preserve">in demonstrating the recurrent nerves in a living dog, first</w:t></w:r>
</w:p>
<w:p>
<w:pPr><w:pStyle w:val="Normal"/></w:pPr>
<w:r><w:t xml:space="preserve">observed numerous white delicate filaments crossing the</w:t></w:r>
</w:p>
<w:p>
<w:pPr><w:pStyle w:val="Normal"/></w:pPr>
<w:r><w:t xml:space="preserve">mesentery in all directions; and though he took them at first</w:t></w:r>
</w:p>
<w:p>
<w:pPr><w:pStyle w:val="Normal"/></w:pPr>
<w:r><w:t xml:space="preserve">for nerves, the opaque white fluid which they shed quickly</w:t></w:r>
</w:p>
<w:p>
<w:pPr><w:pStyle w:val="Normal"/></w:pPr>
<w:r><w:t xml:space="preserve">convinced him that they were a new order of vessels.  The</w:t></w:r>
</w:p>
<w:p>
<w:pPr><w:pStyle w:val="Normal"/></w:pPr>
<w:r><w:t xml:space="preserve">repetition of the experiment the following day showed that</w:t></w:r>
</w:p>
<w:p>
<w:pPr><w:pStyle w:val="Normal"/></w:pPr>
<w:r><w:t xml:space="preserve">these vessels were best seen in animals recently fed; and as</w:t></w:r>
</w:p>
<w:p>
<w:pPr><w:pStyle w:val="Normal"/></w:pPr>
<w:r><w:t xml:space="preserve">he traced them from the villous membrane of the intestines,</w:t></w:r>
</w:p>
<w:p>
<w:pPr><w:pStyle w:val="Normal"/></w:pPr>
<w:r><w:t xml:space="preserve">and observed the valves with which they were liberally</w:t></w:r>
</w:p>
<w:p>
<w:pPr><w:pStyle w:val="Normal"/></w:pPr>
<w:r><w:t xml:space="preserve">supplied, he inferred that they were genuine chyliferous</w:t></w:r>
</w:p>
<w:p>
<w:pPr><w:pStyle w:val="Normal"/></w:pPr>
<w:r><w:t xml:space="preserve">vessels.  By confounding them with the lymphatics, he made</w:t></w:r>
</w:p>
<w:p>
<w:pPr><w:pStyle w:val="Normal"/></w:pPr>
<w:r><w:t xml:space="preserve">them proceed to the pancreas and liver--a mistake which</w:t></w:r>
</w:p>
<w:p>
<w:pPr><w:pStyle w:val="Normal"/></w:pPr>
<w:r><w:t xml:space="preserve">appears to have been first rectified by Francis de le Boe. The</w:t></w:r>
</w:p>
<w:p>
<w:pPr><w:pStyle w:val="Normal"/></w:pPr>
<w:r><w:t xml:space="preserve">discovery of Aselli was announced in 1627; and the following</w:t></w:r>
</w:p>
<w:p>
<w:pPr><w:pStyle w:val="Normal"/></w:pPr>
<w:r><w:t xml:space="preserve">year, by means of the zealous efforts of Nicolas Peiresc, a</w:t></w:r>
</w:p>
<w:p>
<w:pPr><w:pStyle w:val="Normal"/></w:pPr>
<w:r><w:t xml:space="preserve">liberal senator of Aix, the vessels were seen in the person</w:t></w:r>
</w:p>
<w:p>
<w:pPr><w:pStyle w:val="Normal"/></w:pPr>
<w:r><w:t xml:space="preserve">of a felon who had eaten copiously before execution, and</w:t></w:r>
</w:p>
<w:p>
<w:pPr><w:pStyle w:val="Normal"/></w:pPr>
<w:r><w:t xml:space="preserve">whose body was inspected an hour and a half after.  In 1629</w:t></w:r>
</w:p>
<w:p>
<w:pPr><w:pStyle w:val="Normal"/></w:pPr>
<w:r><w:t xml:space="preserve">they were publicly demonstrated at Copenhagen by Simon Pauli,</w:t></w:r>
</w:p>
<w:p>
<w:pPr><w:pStyle w:val="Normal"/></w:pPr>
<w:r><w:t xml:space="preserve">and the same year the thoracic duct was observed by Jacques</w:t></w:r>
</w:p>
<w:p>
<w:pPr><w:pStyle w:val="Normal"/></w:pPr>
<w:r><w:t xml:space="preserve">Mentel (1599-1670) for the first time since it was described by</w:t></w:r>
</w:p>
<w:p>
<w:pPr><w:pStyle w:val="Normal"/></w:pPr>
<w:r><w:t xml:space="preserve">Eustachius.  Five years after (1634), John Wesling, professor</w:t></w:r>
</w:p>
<w:p>
<w:pPr><w:pStyle w:val="Normal"/></w:pPr>
<w:r><w:t xml:space="preserve">of anatomy and surgery at Venice, gave the first delineation of</w:t></w:r>
</w:p>
<w:p>
<w:pPr><w:pStyle w:val="Normal"/></w:pPr>
<w:r><w:t xml:space="preserve">the lacteals from the human subject, and evinced more accurate</w:t></w:r>
</w:p>
<w:p>
<w:pPr><w:pStyle w:val="Normal"/></w:pPr>
<w:r><w:t xml:space="preserve">knowledge than his predecessors of the thoracic duct and the</w:t></w:r>
</w:p>
<w:p>
<w:pPr><w:pStyle w:val="Normal"/></w:pPr>
<w:r><w:t xml:space="preserve">lymphatics.  Nathaniel Highmore6 in 1637 demonstrated</w:t></w:r>
</w:p>
<w:p>
<w:pPr><w:pStyle w:val="Normal"/></w:pPr>
<w:r><w:t xml:space="preserve">unequivocally the difference between the lacteals and the</w:t></w:r>
</w:p>
<w:p>
<w:pPr><w:pStyle w:val="Normal"/></w:pPr>
<w:r><w:t xml:space="preserve">mesenteric veins; and though some perplexity was occasioned</w:t></w:r>
</w:p>
<w:p>
<w:pPr><w:pStyle w:val="Normal"/></w:pPr>
<w:r><w:t xml:space="preserve">by the discovery of the pancreatic duct by Christopher</w:t></w:r>
</w:p>
<w:p>
<w:pPr><w:pStyle w:val="Normal"/></w:pPr>
<w:r><w:t xml:space="preserve">Wirsung, this mistake was corrected by Thomas Bartholinus;</w:t></w:r>
</w:p>
<w:p>
<w:pPr><w:pStyle w:val="Normal"/></w:pPr>
<w:r><w:t xml:space="preserve">and the discovery by Jean Pecquet in 1647 of the common trunk</w:t></w:r>
</w:p>
<w:p>
<w:pPr><w:pStyle w:val="Normal"/></w:pPr>
<w:r><w:t xml:space="preserve">of the lacteals and lymphatics, and of the course which the</w:t></w:r>
</w:p>
<w:p>
<w:pPr><w:pStyle w:val="Normal"/></w:pPr>
<w:r><w:t xml:space="preserve">chyle follows to reach the blood, may be regarded as the</w:t></w:r>
</w:p>
<w:p>
<w:pPr><w:pStyle w:val="Normal"/></w:pPr>
<w:r><w:t xml:space="preserve">last of the series of isolated facts by the generalization</w:t></w:r>
</w:p>
<w:p>
<w:pPr><w:pStyle w:val="Normal"/></w:pPr>
<w:r><w:t xml:space="preserve">of which the extent, distribution and uses of the most</w:t></w:r>
</w:p>
<w:p>
<w:pPr><w:pStyle w:val="Normal"/></w:pPr>
<w:r><w:t xml:space="preserve">important organs of the animal body were at length developed.</w:t></w:r>
</w:p>
<w:p>
<w:pPr><w:pStyle w:val="Normal"/></w:pPr>
<w:r><w:t xml:space="preserve">Joyliffe.</w:t></w:r>
</w:p>
<w:p>
<w:pPr><w:pStyle w:val="Normal"/></w:pPr>
<w:r><w:t xml:space="preserve">To complete the history of this part of anatomical science</w:t></w:r>
</w:p>
<w:p>
<w:pPr><w:pStyle w:val="Normal"/></w:pPr>
<w:r><w:t xml:space="preserve">one step yet remained--the distinction between the lacteals</w:t></w:r>
</w:p>
<w:p>
<w:pPr><w:pStyle w:val="Normal"/></w:pPr>
<w:r><w:t xml:space="preserve">and lymphatics, and the discovery of the termination of the</w:t></w:r>
</w:p>
<w:p>
<w:pPr><w:pStyle w:val="Normal"/></w:pPr>
<w:r><w:t xml:space="preserve">latter order of vessels.  The honour of this discovery is</w:t></w:r>
</w:p>
<w:p>
<w:pPr><w:pStyle w:val="Normal"/></w:pPr>
<w:r><w:t xml:space="preserve">divided between George Joyliffe (1621--1658), an English</w:t></w:r>
</w:p>
<w:p>
<w:pPr><w:pStyle w:val="Normal"/></w:pPr>
<w:r><w:t xml:space="preserve">anatomist, and Olaus Rudbeck (1630-1702), a young Swede.  The</w:t></w:r>
</w:p>
<w:p>
<w:pPr><w:pStyle w:val="Normal"/></w:pPr>
<w:r><w:t xml:space="preserve">former, according to the testimony of Francis Glisson and</w:t></w:r>
</w:p>
<w:p>
<w:pPr><w:pStyle w:val="Normal"/></w:pPr>
<w:r><w:t xml:space="preserve">Thomas Wharton, was aware of the distinct existence of the</w:t></w:r>
</w:p>
<w:p>
<w:pPr><w:pStyle w:val="Normal"/></w:pPr>
<w:r><w:t xml:space="preserve">lymphatics in 1650, and demonstrated them as such in 1652.</w:t></w:r>
</w:p>
<w:p>
<w:pPr><w:pStyle w:val="Normal"/></w:pPr>
<w:r><w:t xml:space="preserve">It is nevertheless doubtful whether he knew them much before</w:t></w:r>
</w:p>
<w:p>
<w:pPr><w:pStyle w:val="Normal"/></w:pPr>
<w:r><w:t xml:space="preserve">the latter period; and it is certain that Rudbeck observed</w:t></w:r>
</w:p>
<w:p>
<w:pPr><w:pStyle w:val="Normal"/></w:pPr>
<w:r><w:t xml:space="preserve">the lymphatics of the large intestines, and traced them to</w:t></w:r>
</w:p>
<w:p>
<w:pPr><w:pStyle w:val="Normal"/></w:pPr>
<w:r><w:t xml:space="preserve">glands, on the 27th of January 1651, after he had, in the</w:t></w:r>
</w:p>
<w:p>
<w:pPr><w:pStyle w:val="Normal"/></w:pPr>
<w:r><w:t xml:space="preserve">course of 1650, made various erroneous conjectures regarding</w:t></w:r>
</w:p>
<w:p>
<w:pPr><w:pStyle w:val="Normal"/></w:pPr>
<w:r><w:t xml:space="preserve">them, and, like others, attempted to trace them to the</w:t></w:r>
</w:p>
<w:p>
<w:pPr><w:pStyle w:val="Normal"/></w:pPr>
<w:r><w:t xml:space="preserve">liver.  The following year he demonstrated them in presence</w:t></w:r>
</w:p>
<w:p>
<w:pPr><w:pStyle w:val="Normal"/></w:pPr>
<w:r><w:t xml:space="preserve">of Queen Christina, and traced them to the thoracic duct,</w:t></w:r>
</w:p>
<w:p>
<w:pPr><w:pStyle w:val="Normal"/></w:pPr>
<w:r><w:t xml:space="preserve">and the latter to the subclavian vein.  Their course and</w:t></w:r>
</w:p>
<w:p>
<w:pPr><w:pStyle w:val="Normal"/></w:pPr>
<w:r><w:t xml:space="preserve">distribution were still more fully investigated by Thomas</w:t></w:r>
</w:p>
<w:p>
<w:pPr><w:pStyle w:val="Normal"/></w:pPr>
<w:r><w:t xml:space="preserve">Bartholinus, Wharton, J. Swammerdam and G. Blaes, the last two</w:t></w:r>
</w:p>
<w:p>
<w:pPr><w:pStyle w:val="Normal"/></w:pPr>
<w:r><w:t xml:space="preserve">of whom recognized the existence of valves; while Antony Nuck</w:t></w:r>
</w:p>
<w:p>
<w:pPr><w:pStyle w:val="Normal"/></w:pPr>
<w:r><w:t xml:space="preserve">of Leiden, by rectifying various errors of his predecessors,</w:t></w:r>
</w:p>
<w:p>
<w:pPr><w:pStyle w:val="Normal"/></w:pPr>
<w:r><w:t xml:space="preserve">and adding several new and valuable observations, rendered</w:t></w:r>
</w:p>
<w:p>
<w:pPr><w:pStyle w:val="Normal"/></w:pPr>
<w:r><w:t xml:space="preserve">this part of anatomy much more precise than formerly.</w:t></w:r>
</w:p>
<w:p>
<w:pPr><w:pStyle w:val="Normal"/></w:pPr>
<w:r><w:t xml:space="preserve">After this period anatomists began to study more minutely the</w:t></w:r>
</w:p>
<w:p>
<w:pPr><w:pStyle w:val="Normal"/></w:pPr>
<w:r><w:t xml:space="preserve">organs and textures.  Francis Glisson7 distinguished himself</w:t></w:r>
</w:p>
<w:p>
<w:pPr><w:pStyle w:val="Normal"/></w:pPr>
<w:r><w:t xml:space="preserve">by a minute description of the liver (1654), and a clearer</w:t></w:r>
</w:p>
<w:p>
<w:pPr><w:pStyle w:val="Normal"/></w:pPr>
<w:r><w:t xml:space="preserve">account of the stomach and intestines, than had yet been</w:t></w:r>
</w:p>
<w:p>
<w:pPr><w:pStyle w:val="Normal"/></w:pPr>
<w:r><w:t xml:space="preserve">given.  Thomas Wharton8 investigated the structure of</w:t></w:r>
</w:p>
<w:p>
<w:pPr><w:pStyle w:val="Normal"/></w:pPr>
<w:r><w:t xml:space="preserve">the glands with particular care; and though rather prone</w:t></w:r>
</w:p>
<w:p>
<w:pPr><w:pStyle w:val="Normal"/></w:pPr>
<w:r><w:t xml:space="preserve">to indulge in fanciful generalization, he developed some</w:t></w:r>
</w:p>
<w:p>
<w:pPr><w:pStyle w:val="Normal"/></w:pPr>
<w:r><w:t xml:space="preserve">interesting views of these organs; while Walter Charleton</w:t></w:r>
</w:p>
<w:p>
<w:pPr><w:pStyle w:val="Normal"/></w:pPr>
<w:r><w:t xml:space="preserve">(1619-1707), who appears to have been a person of great</w:t></w:r>
</w:p>
<w:p>
<w:pPr><w:pStyle w:val="Normal"/></w:pPr>
<w:r><w:t xml:space="preserve">genius, though addicted to hypothesis, made some good</w:t></w:r>
</w:p>
<w:p>
<w:pPr><w:pStyle w:val="Normal"/></w:pPr>
<w:r><w:t xml:space="preserve">remarks on the communication of the arteries with the veins,</w:t></w:r>
</w:p>
<w:p>
<w:pPr><w:pStyle w:val="Normal"/></w:pPr>
<w:r><w:t xml:space="preserve">the foetal circulation and the course of the lymphatics.</w:t></w:r>
</w:p>
<w:p>
<w:pPr><w:pStyle w:val="Normal"/></w:pPr>
<w:r><w:t xml:space="preserve">Willis.</w:t></w:r>
</w:p>
<w:p>
<w:pPr><w:pStyle w:val="Normal"/></w:pPr>
<w:r><w:t xml:space="preserve">But the circumstance which chiefly distinguished the history</w:t></w:r>
</w:p>
<w:p>
<w:pPr><w:pStyle w:val="Normal"/></w:pPr>
<w:r><w:t xml:space="preserve">of anatomy at the beginning of the 17th century was the</w:t></w:r>
</w:p>
<w:p>
<w:pPr><w:pStyle w:val="Normal"/></w:pPr>
<w:r><w:t xml:space="preserve">appearance of Thomas Willis9 (1621-1675), who rendered</w:t></w:r>
</w:p>
<w:p>
<w:pPr><w:pStyle w:val="Normal"/></w:pPr>
<w:r><w:t xml:space="preserve">himself eminent not only by good researches on the brain and</w:t></w:r>
</w:p>
<w:p>
<w:pPr><w:pStyle w:val="Normal"/></w:pPr>
<w:r><w:t xml:space="preserve">nerves, but by many judicious observations on the structure</w:t></w:r>
</w:p>
<w:p>
<w:pPr><w:pStyle w:val="Normal"/></w:pPr>
<w:r><w:t xml:space="preserve">of the lungs, the intestines, the blood-vessels and the</w:t></w:r>
</w:p>
<w:p>
<w:pPr><w:pStyle w:val="Normal"/></w:pPr>
<w:r><w:t xml:space="preserve">glands.  His anatomy of the brain and nerves is so minute</w:t></w:r>
</w:p>
<w:p>
<w:pPr><w:pStyle w:val="Normal"/></w:pPr>
<w:r><w:t xml:space="preserve">and elaborate, and abounds so much in new information,</w:t></w:r>
</w:p>
<w:p>
<w:pPr><w:pStyle w:val="Normal"/></w:pPr>
<w:r><w:t xml:space="preserve">that the reader is struck by the immense chasm between the</w:t></w:r>
</w:p>
<w:p>
<w:pPr><w:pStyle w:val="Normal"/></w:pPr>
<w:r><w:t xml:space="preserve">vague and meagre notices of his predecessors and the ample</w:t></w:r>
</w:p>
<w:p>
<w:pPr><w:pStyle w:val="Normal"/></w:pPr>
<w:r><w:t xml:space="preserve">and correct descriptions of Willis.  This excellent work,</w:t></w:r>
</w:p>
<w:p>
<w:pPr><w:pStyle w:val="Normal"/></w:pPr>
<w:r><w:t xml:space="preserve">however, is not the result of his own personal and unaided</w:t></w:r>
</w:p>
<w:p>
<w:pPr><w:pStyle w:val="Normal"/></w:pPr>
<w:r><w:t xml:space="preserve">exertions; and the character of Willis derives additional</w:t></w:r>
</w:p>
<w:p>
<w:pPr><w:pStyle w:val="Normal"/></w:pPr>
<w:r><w:t xml:space="preserve">lustre from the candid avowal of his obligations to Sir</w:t></w:r>
</w:p>
<w:p>
<w:pPr><w:pStyle w:val="Normal"/></w:pPr>
<w:r><w:t xml:space="preserve">Christopher Wren and Thomas Millington, and, above all, to</w:t></w:r>
</w:p>
<w:p>
<w:pPr><w:pStyle w:val="Normal"/></w:pPr>
<w:r><w:t xml:space="preserve">the diligent researches of his fellow-anatomist Richard Lower.</w:t></w:r>
</w:p>
<w:p>
<w:pPr><w:pStyle w:val="Normal"/></w:pPr>
<w:r><w:t xml:space="preserve">Willis was the first who numbered the cranial nerves in the</w:t></w:r>
</w:p>
<w:p>
<w:pPr><w:pStyle w:val="Normal"/></w:pPr>
<w:r><w:t xml:space="preserve">order in which they are now usually enumerated by anatomists.</w:t></w:r>
</w:p>
<w:p>
<w:pPr><w:pStyle w:val="Normal"/></w:pPr>
<w:r><w:t xml:space="preserve">His observation of the connexion of the eighth pair with the</w:t></w:r>
</w:p>
<w:p>
<w:pPr><w:pStyle w:val="Normal"/></w:pPr>
<w:r><w:t xml:space="preserve">slender nerve which issues from the beginning of the spinal</w:t></w:r>
</w:p>
<w:p>
<w:pPr><w:pStyle w:val="Normal"/></w:pPr>
<w:r><w:t xml:space="preserve">cord is known to all.  He remarked the parallel lines of the</w:t></w:r>
</w:p>
<w:p>
<w:pPr><w:pStyle w:val="Normal"/></w:pPr>
<w:r><w:t xml:space="preserve">mesolobe, afterwards minutely described by Felix Vicq d&apos;Azyr</w:t></w:r>
</w:p>
<w:p>
<w:pPr><w:pStyle w:val="Normal"/></w:pPr>
<w:r><w:t xml:space="preserve">(1748-1794).  He seems to have recognized the communication</w:t></w:r>
</w:p>
<w:p>
<w:pPr><w:pStyle w:val="Normal"/></w:pPr>
<w:r><w:t xml:space="preserve">of the convoluted surface of the brain and that between</w:t></w:r>
</w:p>
<w:p>
<w:pPr><w:pStyle w:val="Normal"/></w:pPr>
<w:r><w:t xml:space="preserve">the lateral cavities beneath the fornix.  He described the</w:t></w:r>
</w:p>
<w:p>
<w:pPr><w:pStyle w:val="Normal"/></w:pPr>
<w:r><w:t xml:space="preserve">corpora striata and optic thalami; the four orbicular</w:t></w:r>
</w:p>
<w:p>
<w:pPr><w:pStyle w:val="Normal"/></w:pPr>
<w:r><w:t xml:space="preserve">eminences, with the bridge, which he first named annular</w:t></w:r>
</w:p>
<w:p>
<w:pPr><w:pStyle w:val="Normal"/></w:pPr>
<w:r><w:t xml:space="preserve">protuberance; and the white mammillary eminences, behind the</w:t></w:r>
</w:p>
<w:p>
<w:pPr><w:pStyle w:val="Normal"/></w:pPr>
<w:r><w:t xml:space="preserve">infundibulum.  In the cerebellum he remarks the arborescent</w:t></w:r>
</w:p>
<w:p>
<w:pPr><w:pStyle w:val="Normal"/></w:pPr>
<w:r><w:t xml:space="preserve">arrangement of the white and grey matter, and gives a good</w:t></w:r>
</w:p>
<w:p>
<w:pPr><w:pStyle w:val="Normal"/></w:pPr>
<w:r><w:t xml:space="preserve">account of the internal carotids, and the communications</w:t></w:r>
</w:p>
<w:p>
<w:pPr><w:pStyle w:val="Normal"/></w:pPr>
<w:r><w:t xml:space="preserve">which they make with the branches of the basilar artery.</w:t></w:r>
</w:p>
<w:p>
<w:pPr><w:pStyle w:val="Normal"/></w:pPr>
<w:r><w:t xml:space="preserve">Malpighi.</w:t></w:r>
</w:p>
<w:p>
<w:pPr><w:pStyle w:val="Normal"/></w:pPr>
<w:r><w:t xml:space="preserve">About the middle of the 17th century R. Hooke and Nehemiah</w:t></w:r>
</w:p>
<w:p>
<w:pPr><w:pStyle w:val="Normal"/></w:pPr>
<w:r><w:t xml:space="preserve">Grew employed the simple microscope in the minute examination</w:t></w:r>
</w:p>
<w:p>
<w:pPr><w:pStyle w:val="Normal"/></w:pPr>
<w:r><w:t xml:space="preserve">of plants and animals; and the Dutch philosopher A.</w:t></w:r>
</w:p>
<w:p>
<w:pPr><w:pStyle w:val="Normal"/></w:pPr>
<w:r><w:t xml:space="preserve">Leeuwenhoek with great acuteness examined microscopically</w:t></w:r>
</w:p>
<w:p>
<w:pPr><w:pStyle w:val="Normal"/></w:pPr>
<w:r><w:t xml:space="preserve">the solids and fluids of the body, recognized the presence</w:t></w:r>
</w:p>
<w:p>
<w:pPr><w:pStyle w:val="Normal"/></w:pPr>
<w:r><w:t xml:space="preserve">of scales in the cuticle, and discovered the corpuscles</w:t></w:r>
</w:p>
<w:p>
<w:pPr><w:pStyle w:val="Normal"/></w:pPr>
<w:r><w:t xml:space="preserve">in the blood and milk, and the spermatozoa in the seminal</w:t></w:r>
</w:p>
<w:p>
<w:pPr><w:pStyle w:val="Normal"/></w:pPr>
<w:r><w:t xml:space="preserve">fluid.  The researches of Malpighi also tended greatly to</w:t></w:r>
</w:p>
<w:p>
<w:pPr><w:pStyle w:val="Normal"/></w:pPr>
<w:r><w:t xml:space="preserve">improve the knowledge of minute structure.  He gave the first</w:t></w:r>
</w:p>
<w:p>
<w:pPr><w:pStyle w:val="Normal"/></w:pPr>
<w:r><w:t xml:space="preserve">distinct ideas on the organization of the lung, and the mode</w:t></w:r>
</w:p>
<w:p>
<w:pPr><w:pStyle w:val="Normal"/></w:pPr>
<w:r><w:t xml:space="preserve">in which the bronchial tubes and vessels terminate in that</w:t></w:r>
</w:p>
<w:p>
<w:pPr><w:pStyle w:val="Normal"/></w:pPr>
<w:r><w:t xml:space="preserve">organ.  By the microscope he traced the transition of the</w:t></w:r>
</w:p>
<w:p>
<w:pPr><w:pStyle w:val="Normal"/></w:pPr>
<w:r><w:t xml:space="preserve">arteries into the veins, and saw the movements of the blood</w:t></w:r>
</w:p>
<w:p>
<w:pPr><w:pStyle w:val="Normal"/></w:pPr>
<w:r><w:t xml:space="preserve">corpuscles in the capillaries.  He endeavoured to unfold, by</w:t></w:r>
</w:p>
<w:p>
<w:pPr><w:pStyle w:val="Normal"/></w:pPr>
<w:r><w:t xml:space="preserve">dissection and microscopic observation, the minute structure</w:t></w:r>
</w:p>
<w:p>
<w:pPr><w:pStyle w:val="Normal"/></w:pPr>
<w:r><w:t xml:space="preserve">of the brain.  He studied the structure of bone, he traced</w:t></w:r>
</w:p>
<w:p>
<w:pPr><w:pStyle w:val="Normal"/></w:pPr>
<w:r><w:t xml:space="preserve">the formation and explained the structure of the teeth; and</w:t></w:r>
</w:p>
<w:p>
<w:pPr><w:pStyle w:val="Normal"/></w:pPr>
<w:r><w:t xml:space="preserve">his name is to this day associated with the discovery of</w:t></w:r>
</w:p>
<w:p>
<w:pPr><w:pStyle w:val="Normal"/></w:pPr>
<w:r><w:t xml:space="preserve">the deeper layer of the cuticle and the Malpighian bodies</w:t></w:r>
</w:p>
<w:p>
<w:pPr><w:pStyle w:val="Normal"/></w:pPr>
<w:r><w:t xml:space="preserve">in the spleen and kidney.  In these difficult inquiries</w:t></w:r>
</w:p>
<w:p>
<w:pPr><w:pStyle w:val="Normal"/></w:pPr>
<w:r><w:t xml:space="preserve">the observations of Malpighi are in general faithful, and</w:t></w:r>
</w:p>
<w:p>
<w:pPr><w:pStyle w:val="Normal"/></w:pPr>
<w:r><w:t xml:space="preserve">he may be regarded as the founder of histological anatomy.</w:t></w:r>
</w:p>
<w:p>
<w:pPr><w:pStyle w:val="Normal"/></w:pPr>
<w:r><w:t xml:space="preserve">Nicolas Steno, or Stensen, described with accuracy (1660)</w:t></w:r>
</w:p>
<w:p>
<w:pPr><w:pStyle w:val="Normal"/></w:pPr>
<w:r><w:t xml:space="preserve">the lacrymal gland and passages, and rediscovered the parotid</w:t></w:r>
</w:p>
<w:p>
<w:pPr><w:pStyle w:val="Normal"/></w:pPr>
<w:r><w:t xml:space="preserve">duct.  L. Bellini studied the structure of the kidneys,</w:t></w:r>
</w:p>
<w:p>
<w:pPr><w:pStyle w:val="Normal"/></w:pPr>
<w:r><w:t xml:space="preserve">and described the tongue and tonsils with some care; and</w:t></w:r>
</w:p>
<w:p>
<w:pPr><w:pStyle w:val="Normal"/></w:pPr>
<w:r><w:t xml:space="preserve">Charles Drelincourt laboured to investigate the changes</w:t></w:r>
</w:p>
<w:p>
<w:pPr><w:pStyle w:val="Normal"/></w:pPr>
<w:r><w:t xml:space="preserve">effected on the uterus by impregnation, and to elucidate the</w:t></w:r>
</w:p>
<w:p>
<w:pPr><w:pStyle w:val="Normal"/></w:pPr>
<w:r><w:t xml:space="preserve">formation of the foetus.  The science might have derived still</w:t></w:r>
</w:p>
<w:p>
<w:pPr><w:pStyle w:val="Normal"/></w:pPr>
<w:r><w:t xml:space="preserve">greater advantages from the genius of Regnier de Graaf, who</w:t></w:r>
</w:p>
<w:p>
<w:pPr><w:pStyle w:val="Normal"/></w:pPr>
<w:r><w:t xml:space="preserve">investigated with accuracy the structure of the pancreas and</w:t></w:r>
</w:p>
<w:p>
<w:pPr><w:pStyle w:val="Normal"/></w:pPr>
<w:r><w:t xml:space="preserve">of the organs of generation in both sexes, had he not been</w:t></w:r>
</w:p>
<w:p>
<w:pPr><w:pStyle w:val="Normal"/></w:pPr>
<w:r><w:t xml:space="preserve">cut off at the early age of thirty-two.  Lastly, Wepfer,</w:t></w:r>
</w:p>
<w:p>
<w:pPr><w:pStyle w:val="Normal"/></w:pPr>
<w:r><w:t xml:space="preserve">though more devoted to morbid anatomy, made, nevertheless,</w:t></w:r>
</w:p>
<w:p>
<w:pPr><w:pStyle w:val="Normal"/></w:pPr>
<w:r><w:t xml:space="preserve">some just observations on the anatomical disposition of</w:t></w:r>
</w:p>
<w:p>
<w:pPr><w:pStyle w:val="Normal"/></w:pPr>
<w:r><w:t xml:space="preserve">the cerebral vessels, the glandular structure of the liver,</w:t></w:r>
</w:p>
<w:p>
<w:pPr><w:pStyle w:val="Normal"/></w:pPr>
<w:r><w:t xml:space="preserve">and the termination of the common duct in the duodenum.</w:t></w:r>
</w:p>
<w:p>
<w:pPr><w:pStyle w:val="Normal"/></w:pPr>
<w:r><w:t xml:space="preserve">Ruysch.</w:t></w:r>
</w:p>
<w:p>
<w:pPr><w:pStyle w:val="Normal"/></w:pPr>
<w:r><w:t xml:space="preserve">The appearance of Frederic Ruysch, who was born in 1638,</w:t></w:r>
</w:p>
<w:p>
<w:pPr><w:pStyle w:val="Normal"/></w:pPr>
<w:r><w:t xml:space="preserve">became professor of anatomy at Amsterdam in 1665 and died in</w:t></w:r>
</w:p>
<w:p>
<w:pPr><w:pStyle w:val="Normal"/></w:pPr>
<w:r><w:t xml:space="preserve">that city in 1731, gave a new impulse to anatomical research,</w:t></w:r>
</w:p>
<w:p>
<w:pPr><w:pStyle w:val="Normal"/></w:pPr>
<w:r><w:t xml:space="preserve">and tended not only to give the science greater precision,</w:t></w:r>
</w:p>
<w:p>
<w:pPr><w:pStyle w:val="Normal"/></w:pPr>
<w:r><w:t xml:space="preserve">but to extend its limits in every direction.  The talents</w:t></w:r>
</w:p>
<w:p>
<w:pPr><w:pStyle w:val="Normal"/></w:pPr>
<w:r><w:t xml:space="preserve">of Ruysch are said to have been developed by accident.  To</w:t></w:r>
</w:p>
<w:p>
<w:pPr><w:pStyle w:val="Normal"/></w:pPr>
<w:r><w:t xml:space="preserve">repel the audacious and calumnious aspersions with which Louis</w:t></w:r>
</w:p>
<w:p>
<w:pPr><w:pStyle w:val="Normal"/></w:pPr>
<w:r><w:t xml:space="preserve">de Bils attacked de le Boe and van Horne, Ruysch published</w:t></w:r>
</w:p>
<w:p>
<w:pPr><w:pStyle w:val="Normal"/></w:pPr>
<w:r><w:t xml:space="preserve">his tract on the valves of the lymphatics, which completely</w:t></w:r>
</w:p>
<w:p>
<w:pPr><w:pStyle w:val="Normal"/></w:pPr>
<w:r><w:t xml:space="preserve">established his character as an anatomist of originality and</w:t></w:r>
</w:p>
<w:p>
<w:pPr><w:pStyle w:val="Normal"/></w:pPr>
<w:r><w:t xml:space="preserve">research.  This, however, is the smallest of his services to the</w:t></w:r>
</w:p>
<w:p>
<w:pPr><w:pStyle w:val="Normal"/></w:pPr>
<w:r><w:t xml:space="preserve">science.  The art of injecting, which had been originally</w:t></w:r>
</w:p>
<w:p>
<w:pPr><w:pStyle w:val="Normal"/></w:pPr>
<w:r><w:t xml:space="preserve">attempted by Eustachi and Varoli, and was afterwards rudely</w:t></w:r>
</w:p>
<w:p>
<w:pPr><w:pStyle w:val="Normal"/></w:pPr>
<w:r><w:t xml:space="preserve">practised by Glisson, Bellini and Willis, was at length carried</w:t></w:r>
</w:p>
<w:p>
<w:pPr><w:pStyle w:val="Normal"/></w:pPr>
<w:r><w:t xml:space="preserve">to greater perfection by de Graaf and Swammerdam, the former of</w:t></w:r>
</w:p>
<w:p>
<w:pPr><w:pStyle w:val="Normal"/></w:pPr>
<w:r><w:t xml:space="preserve">whom injected the spermatic vessels with mercury and variously</w:t></w:r>
</w:p>
<w:p>
<w:pPr><w:pStyle w:val="Normal"/></w:pPr>
<w:r><w:t xml:space="preserve">coloured liquors; while the latter, by employing melted wax with</w:t></w:r>
</w:p>
<w:p>
<w:pPr><w:pStyle w:val="Normal"/></w:pPr>
<w:r><w:t xml:space="preserve">other ingredients, made the first approach to the refinements</w:t></w:r>
</w:p>
<w:p>
<w:pPr><w:pStyle w:val="Normal"/></w:pPr>
<w:r><w:t xml:space="preserve">of modern anatomy.  By improving this idea of using substances</w:t></w:r>
</w:p>
<w:p>
<w:pPr><w:pStyle w:val="Normal"/></w:pPr>
<w:r><w:t xml:space="preserve">which, though solid, may be rendered fluid at the period of</w:t></w:r>
</w:p>
<w:p>
<w:pPr><w:pStyle w:val="Normal"/></w:pPr>
<w:r><w:t xml:space="preserve">injecting, Ruysch carried this art to the highest perfection.</w:t></w:r>
</w:p>
<w:p>
<w:pPr><w:pStyle w:val="Normal"/></w:pPr>
<w:r><w:t xml:space="preserve">By the application of this happy contrivance he was enabled</w:t></w:r>
</w:p>
<w:p>
<w:pPr><w:pStyle w:val="Normal"/></w:pPr>
<w:r><w:t xml:space="preserve">to demonstrate the arrangement of minute vessels in the</w:t></w:r>
</w:p>
<w:p>
<w:pPr><w:pStyle w:val="Normal"/></w:pPr>
<w:r><w:t xml:space="preserve">interior of organs which had escaped the scrutiny of previous</w:t></w:r>
</w:p>
<w:p>
<w:pPr><w:pStyle w:val="Normal"/></w:pPr>
<w:r><w:t xml:space="preserve">anatomists.  Scarcely a part of the human body eluded the</w:t></w:r>
</w:p>
<w:p>
<w:pPr><w:pStyle w:val="Normal"/></w:pPr>
<w:r><w:t xml:space="preserve">penetration of his syringe; and his discoveries were proportionally</w:t></w:r>
</w:p>
<w:p>
<w:pPr><w:pStyle w:val="Normal"/></w:pPr>
<w:r><w:t xml:space="preserve">great.  His account of the valves of the lymphatics, of</w:t></w:r>
</w:p>
<w:p>
<w:pPr><w:pStyle w:val="Normal"/></w:pPr>
<w:r><w:t xml:space="preserve">the vessels of the lungs, and their minute structure; his</w:t></w:r>
</w:p>
<w:p>
<w:pPr><w:pStyle w:val="Normal"/></w:pPr>
<w:r><w:t xml:space="preserve">researches on the vascular structure of the skin, of the</w:t></w:r>
</w:p>
<w:p>
<w:pPr><w:pStyle w:val="Normal"/></w:pPr>
<w:r><w:t xml:space="preserve">bones, and their epiphyses, and their mode of growth and</w:t></w:r>
</w:p>
<w:p>
<w:pPr><w:pStyle w:val="Normal"/></w:pPr>
<w:r><w:t xml:space="preserve">union; his observations on the spleen, the glans penis, the</w:t></w:r>
</w:p>
<w:p>
<w:pPr><w:pStyle w:val="Normal"/></w:pPr>
<w:r><w:t xml:space="preserve">clitoris, and the womb impregnated and unimpregnated, were</w:t></w:r>
</w:p>
<w:p>
<w:pPr><w:pStyle w:val="Normal"/></w:pPr>
<w:r><w:t xml:space="preserve">but a limited part of his anatomical labours.  He studied</w:t></w:r>
</w:p>
<w:p>
<w:pPr><w:pStyle w:val="Normal"/></w:pPr>
<w:r><w:t xml:space="preserve">the minute structure of the brain; he demonstrated the</w:t></w:r>
</w:p>
<w:p>
<w:pPr><w:pStyle w:val="Normal"/></w:pPr>
<w:r><w:t xml:space="preserve">organization of the choroid plexus; he described the state</w:t></w:r>
</w:p>
<w:p>
<w:pPr><w:pStyle w:val="Normal"/></w:pPr>
<w:r><w:t xml:space="preserve">of the hair when affected with Polish plait; he proved the</w:t></w:r>
</w:p>
<w:p>
<w:pPr><w:pStyle w:val="Normal"/></w:pPr>
<w:r><w:t xml:space="preserve">vascular structure of the teeth; he injected the dura mater,</w:t></w:r>
</w:p>
<w:p>
<w:pPr><w:pStyle w:val="Normal"/></w:pPr>
<w:r><w:t xml:space="preserve">the pleura, the pericardium and peritoneum; he unfolded the</w:t></w:r>
</w:p>
<w:p>
<w:pPr><w:pStyle w:val="Normal"/></w:pPr>
<w:r><w:t xml:space="preserve">minute structure of the conglomerate glands; he investigated</w:t></w:r>
</w:p>
<w:p>
<w:pPr><w:pStyle w:val="Normal"/></w:pPr>
<w:r><w:t xml:space="preserve">that of the synovial apparatus placed in the interior of the</w:t></w:r>
</w:p>
<w:p>
<w:pPr><w:pStyle w:val="Normal"/></w:pPr>
<w:r><w:t xml:space="preserve">joints; and he discovered several curious particulars relating</w:t></w:r>
</w:p>
<w:p>
<w:pPr><w:pStyle w:val="Normal"/></w:pPr>
<w:r><w:t xml:space="preserve">to the lacteals, the lymphatics and the lymphatic glands.</w:t></w:r>
</w:p>
<w:p>
<w:pPr><w:pStyle w:val="Normal"/></w:pPr>
<w:r><w:t xml:space="preserve">Meanwhile, H. Meibomius rediscovered (1670) the palpebral</w:t></w:r>
</w:p>
<w:p>
<w:pPr><w:pStyle w:val="Normal"/></w:pPr>
<w:r><w:t xml:space="preserve">glands, which were known to Casserius; Swammerdam studied</w:t></w:r>
</w:p>
<w:p>
<w:pPr><w:pStyle w:val="Normal"/></w:pPr>
<w:r><w:t xml:space="preserve">the action of the lungs, described the structure of the human</w:t></w:r>
</w:p>
<w:p>
<w:pPr><w:pStyle w:val="Normal"/></w:pPr>
<w:r><w:t xml:space="preserve">uterus, and made numerous valuable observations on the coeca</w:t></w:r>
</w:p>
<w:p>
<w:pPr><w:pStyle w:val="Normal"/></w:pPr>
<w:r><w:t xml:space="preserve">and pancreatoid organs of fishes; and Th. Kerckring laid the</w:t></w:r>
</w:p>
<w:p>
<w:pPr><w:pStyle w:val="Normal"/></w:pPr>
<w:r><w:t xml:space="preserve">foundation of a knowledge of the process of ossification.</w:t></w:r>
</w:p>
<w:p>
<w:pPr><w:pStyle w:val="Normal"/></w:pPr>
<w:r><w:t xml:space="preserve">John Conrad Brunner, in the course of experiments on the</w:t></w:r>
</w:p>
<w:p>
<w:pPr><w:pStyle w:val="Normal"/></w:pPr>
<w:r><w:t xml:space="preserve">pancreas, discovered (1687) the glands of the duodenum named</w:t></w:r>
</w:p>
<w:p>
<w:pPr><w:pStyle w:val="Normal"/></w:pPr>
<w:r><w:t xml:space="preserve">after him, and J. Conrad Peyer (1677-1681) described the</w:t></w:r>
</w:p>
<w:p>
<w:pPr><w:pStyle w:val="Normal"/></w:pPr>
<w:r><w:t xml:space="preserve">solitary and agminated glands of the intestinal canal.  Leonard</w:t></w:r>
</w:p>
<w:p>
<w:pPr><w:pStyle w:val="Normal"/></w:pPr>
<w:r><w:t xml:space="preserve">Tassin, distinguished for original observation, rendered</w:t></w:r>
</w:p>
<w:p>
<w:pPr><w:pStyle w:val="Normal"/></w:pPr>
<w:r><w:t xml:space="preserve">the anatomical history of the brain more accurate than</w:t></w:r>
</w:p>
<w:p>
<w:pPr><w:pStyle w:val="Normal"/></w:pPr>
<w:r><w:t xml:space="preserve">heretofore, and gave particular accounts of the intestinal</w:t></w:r>
</w:p>
<w:p>
<w:pPr><w:pStyle w:val="Normal"/></w:pPr>
<w:r><w:t xml:space="preserve">tube, the pancreatic duct and the hepatic ligaments (1678).</w:t></w:r>
</w:p>
<w:p>
<w:pPr><w:pStyle w:val="Normal"/></w:pPr>
<w:r><w:t xml:space="preserve">Duverney.</w:t></w:r>
</w:p>
<w:p>
<w:pPr><w:pStyle w:val="Normal"/></w:pPr>
<w:r><w:t xml:space="preserve">That France might not be without participation in the glory of</w:t></w:r>
</w:p>
<w:p>
<w:pPr><w:pStyle w:val="Normal"/></w:pPr>
<w:r><w:t xml:space="preserve">advancing the progress of anatomical knowledge, the names of</w:t></w:r>
</w:p>
<w:p>
<w:pPr><w:pStyle w:val="Normal"/></w:pPr>
<w:r><w:t xml:space="preserve">Joseph Guichard Duverney and Vieussens are commemorated with</w:t></w:r>
</w:p>
<w:p>
<w:pPr><w:pStyle w:val="Normal"/></w:pPr>
<w:r><w:t xml:space="preserve">distinction.  Duverney, born in 1648, and first introduced</w:t></w:r>
</w:p>
<w:p>
<w:pPr><w:pStyle w:val="Normal"/></w:pPr>
<w:r><w:t xml:space="preserve">into public life in 1676 in the Royal Academy of Sciences,</w:t></w:r>
</w:p>
<w:p>
<w:pPr><w:pStyle w:val="Normal"/></w:pPr>
<w:r><w:t xml:space="preserve">decorated with the honorary title of professor of anatomy to</w:t></w:r>
</w:p>
<w:p>
<w:pPr><w:pStyle w:val="Normal"/></w:pPr>
<w:r><w:t xml:space="preserve">the dauphin, and appointed in 1679 professor at the Jardin</w:t></w:r>
</w:p>
<w:p>
<w:pPr><w:pStyle w:val="Normal"/></w:pPr>
<w:r><w:t xml:space="preserve">Royal, distinguished himself by the first accurate account</w:t></w:r>
</w:p>
<w:p>
<w:pPr><w:pStyle w:val="Normal"/></w:pPr>
<w:r><w:t xml:space="preserve">of the organ of hearing, and by his dissections of several</w:t></w:r>
</w:p>
<w:p>
<w:pPr><w:pStyle w:val="Normal"/></w:pPr>
<w:r><w:t xml:space="preserve">animals at the academy supplied valuable materials for the</w:t></w:r>
</w:p>
<w:p>
<w:pPr><w:pStyle w:val="Normal"/></w:pPr>
<w:r><w:t xml:space="preserve">anatomical details of the natural history of animals published</w:t></w:r>
</w:p>
<w:p>
<w:pPr><w:pStyle w:val="Normal"/></w:pPr>
<w:r><w:t xml:space="preserve">by that learned body.  He appears to have been the first who</w:t></w:r>
</w:p>
<w:p>
<w:pPr><w:pStyle w:val="Normal"/></w:pPr>
<w:r><w:t xml:space="preserve">demonstrated the fact that the cerebral sinuses open into the</w:t></w:r>
</w:p>
<w:p>
<w:pPr><w:pStyle w:val="Normal"/></w:pPr>
<w:r><w:t xml:space="preserve">jugular veins, and to have been aware that the former receives</w:t></w:r>
</w:p>
<w:p>
<w:pPr><w:pStyle w:val="Normal"/></w:pPr>
<w:r><w:t xml:space="preserve">the veins of the brain and are the venous receptacles of the</w:t></w:r>
</w:p>
<w:p>
<w:pPr><w:pStyle w:val="Normal"/></w:pPr>
<w:r><w:t xml:space="preserve">organ.  He understood the cerebral cavities and their mode</w:t></w:r>
</w:p>
<w:p>
<w:pPr><w:pStyle w:val="Normal"/></w:pPr>
<w:r><w:t xml:space="preserve">of communication; distinguishes the posterior pillars of</w:t></w:r>
</w:p>
<w:p>
<w:pPr><w:pStyle w:val="Normal"/></w:pPr>
<w:r><w:t xml:space="preserve">the vault from the pedes hippocampi; recognizes the two</w:t></w:r>
</w:p>
<w:p>
<w:pPr><w:pStyle w:val="Normal"/></w:pPr>
<w:r><w:t xml:space="preserve">plates of the septum lucidum; and, what is still more</w:t></w:r>
</w:p>
<w:p>
<w:pPr><w:pStyle w:val="Normal"/></w:pPr>
<w:r><w:t xml:space="preserve">remarkable, he first indicates distinctly the discussation</w:t></w:r>
</w:p>
<w:p>
<w:pPr><w:pStyle w:val="Normal"/></w:pPr>
<w:r><w:t xml:space="preserve">of the anterior pyramids of the medulla oblongata--a fact</w:t></w:r>
</w:p>
<w:p>
<w:pPr><w:pStyle w:val="Normal"/></w:pPr>
<w:r><w:t xml:space="preserve">afterwards verified by the researches of Mistichelli, F.</w:t></w:r>
</w:p>
<w:p>
<w:pPr><w:pStyle w:val="Normal"/></w:pPr>
<w:r><w:t xml:space="preserve">P. du Petit and G.D. Santorini.  He studied the ganglions</w:t></w:r>
</w:p>
<w:p>
<w:pPr><w:pStyle w:val="Normal"/></w:pPr>
<w:r><w:t xml:space="preserve">attentively, and gives the first distinct account of the</w:t></w:r>
</w:p>
<w:p>
<w:pPr><w:pStyle w:val="Normal"/></w:pPr>
<w:r><w:t xml:space="preserve">formation, connexions and distribution of the intercostal</w:t></w:r>
</w:p>
<w:p>
<w:pPr><w:pStyle w:val="Normal"/></w:pPr>
<w:r><w:t xml:space="preserve">nerves.  It is interesting to remark that his statement that</w:t></w:r>
</w:p>
<w:p>
<w:pPr><w:pStyle w:val="Normal"/></w:pPr>
<w:r><w:t xml:space="preserve">the veins or sinuses of the spinal cord terminate in the</w:t></w:r>
</w:p>
<w:p>
<w:pPr><w:pStyle w:val="Normal"/></w:pPr>
<w:r><w:t xml:space="preserve">vena azygos was verified by the subsequent researches of</w:t></w:r>
</w:p>
<w:p>
<w:pPr><w:pStyle w:val="Normal"/></w:pPr>
<w:r><w:t xml:space="preserve">G. Dupuytren (1777-1835) and G. Breschet (1784-1845), which</w:t></w:r>
</w:p>
<w:p>
<w:pPr><w:pStyle w:val="Normal"/></w:pPr>
<w:r><w:t xml:space="preserve">showed that the vertebral veins communicate by means of the</w:t></w:r>
</w:p>
<w:p>
<w:pPr><w:pStyle w:val="Normal"/></w:pPr>
<w:r><w:t xml:space="preserve">intercostal and superior lumbar veins with the azygos and</w:t></w:r>
</w:p>
<w:p>
<w:pPr><w:pStyle w:val="Normal"/></w:pPr>
<w:r><w:t xml:space="preserve">hemi-azygos.  His account of the structure of bones and of the</w:t></w:r>
</w:p>
<w:p>
<w:pPr><w:pStyle w:val="Normal"/></w:pPr>
<w:r><w:t xml:space="preserve">progress of ossification is valuable.  He recognized the vascular</w:t></w:r>
</w:p>
<w:p>
<w:pPr><w:pStyle w:val="Normal"/></w:pPr>
<w:r><w:t xml:space="preserve">structure of the spleen, and described the excretory ducts of</w:t></w:r>
</w:p>
<w:p>
<w:pPr><w:pStyle w:val="Normal"/></w:pPr>
<w:r><w:t xml:space="preserve">the prostate gland, the verumontanum, and the anteprostates.</w:t></w:r>
</w:p>
<w:p>
<w:pPr><w:pStyle w:val="Normal"/></w:pPr>
<w:r><w:t xml:space="preserve">One of the circumstances which at this time tended</w:t></w:r>
</w:p>
<w:p>
<w:pPr><w:pStyle w:val="Normal"/></w:pPr>
<w:r><w:t xml:space="preserve">considerably to the improvement of anatomical science was the</w:t></w:r>
</w:p>
<w:p>
<w:pPr><w:pStyle w:val="Normal"/></w:pPr>
<w:r><w:t xml:space="preserve">attention with which Comparative Anatomy was beginning to be</w:t></w:r>
</w:p>
<w:p>
<w:pPr><w:pStyle w:val="Normal"/></w:pPr>
<w:r><w:t xml:space="preserve">cultivated.  In ancient times, and at the revival of letters,</w:t></w:r>
</w:p>
<w:p>
<w:pPr><w:pStyle w:val="Normal"/></w:pPr>
<w:r><w:t xml:space="preserve">the dissection of the lower animals was substituted for</w:t></w:r>
</w:p>
<w:p>
<w:pPr><w:pStyle w:val="Normal"/></w:pPr>
<w:r><w:t xml:space="preserve">that of the human body; and the descriptions of the organs</w:t></w:r>
</w:p>
<w:p>
<w:pPr><w:pStyle w:val="Normal"/></w:pPr>
<w:r><w:t xml:space="preserve">of the latter were too often derived from the former.  The</w:t></w:r>
</w:p>
<w:p>
<w:pPr><w:pStyle w:val="Normal"/></w:pPr>
<w:r><w:t xml:space="preserve">obloquy and contempt in which this abuse involved the study</w:t></w:r>
</w:p>
<w:p>
<w:pPr><w:pStyle w:val="Normal"/></w:pPr>
<w:r><w:t xml:space="preserve">of animal anatomy caused it to be neglected, or pursued with</w:t></w:r>
</w:p>
<w:p>
<w:pPr><w:pStyle w:val="Normal"/></w:pPr>
<w:r><w:t xml:space="preserve">indifference, for more than two centuries, during which</w:t></w:r>
</w:p>
<w:p>
<w:pPr><w:pStyle w:val="Normal"/></w:pPr>
<w:r><w:t xml:space="preserve">anatomists confined their descriptions, at least very much,</w:t></w:r>
</w:p>
<w:p>
<w:pPr><w:pStyle w:val="Normal"/></w:pPr>
<w:r><w:t xml:space="preserve">to the parts of the human body.  At this period, however,</w:t></w:r>
</w:p>
<w:p>
<w:pPr><w:pStyle w:val="Normal"/></w:pPr>
<w:r><w:t xml:space="preserve">the prejudice against Comparative Anatomy began to subside;</w:t></w:r>
</w:p>
<w:p>
<w:pPr><w:pStyle w:val="Normal"/></w:pPr>
<w:r><w:t xml:space="preserve">and animal dissection, though not substituted for that of</w:t></w:r>
</w:p>
<w:p>
<w:pPr><w:pStyle w:val="Normal"/></w:pPr>
<w:r><w:t xml:space="preserve">the human body, was employed, as it ought always to have</w:t></w:r>
</w:p>
<w:p>
<w:pPr><w:pStyle w:val="Normal"/></w:pPr>
<w:r><w:t xml:space="preserve">been, to illustrate obscurities, to determine doubts and to</w:t></w:r>
</w:p>
<w:p>
<w:pPr><w:pStyle w:val="Normal"/></w:pPr>
<w:r><w:t xml:space="preserve">explain difficulties, and, in short, to enlarge and rectify</w:t></w:r>
</w:p>
<w:p>
<w:pPr><w:pStyle w:val="Normal"/></w:pPr>
<w:r><w:t xml:space="preserve">the knowledge of the structure of animal bodies generally.</w:t></w:r>
</w:p>
<w:p>
<w:pPr><w:pStyle w:val="Normal"/></w:pPr>
<w:r><w:t xml:space="preserve">For this revolution in its favour, Comparative Anatomy was in</w:t></w:r>
</w:p>
<w:p>
<w:pPr><w:pStyle w:val="Normal"/></w:pPr>
<w:r><w:t xml:space="preserve">a great measure indebted to the learned societies which were</w:t></w:r>
</w:p>
<w:p>
<w:pPr><w:pStyle w:val="Normal"/></w:pPr>
<w:r><w:t xml:space="preserve">established about this time in the different countries of</w:t></w:r>
</w:p>
<w:p>
<w:pPr><w:pStyle w:val="Normal"/></w:pPr>
<w:r><w:t xml:space="preserve">Europe.  Among these, the Royal Society of London, embodied</w:t></w:r>
</w:p>
<w:p>
<w:pPr><w:pStyle w:val="Normal"/></w:pPr>
<w:r><w:t xml:space="preserve">by charter by Charles II. in 1662, and the Academy of Sciences</w:t></w:r>
</w:p>
<w:p>
<w:pPr><w:pStyle w:val="Normal"/></w:pPr>
<w:r><w:t xml:space="preserve">of Paris, founded in 1666 by J. B. Colbert, are undoubtedly</w:t></w:r>
</w:p>
<w:p>
<w:pPr><w:pStyle w:val="Normal"/></w:pPr>
<w:r><w:t xml:space="preserve">entitled to the first rank.  Though later in establishment,</w:t></w:r>
</w:p>
<w:p>
<w:pPr><w:pStyle w:val="Normal"/></w:pPr>
<w:r><w:t xml:space="preserve">the latter institution was distinguished by making the first</w:t></w:r>
</w:p>
<w:p>
<w:pPr><w:pStyle w:val="Normal"/></w:pPr>
<w:r><w:t xml:space="preserve">great efforts in favour of Comparative Anatomy; and Claude</w:t></w:r>
</w:p>
<w:p>
<w:pPr><w:pStyle w:val="Normal"/></w:pPr>
<w:r><w:t xml:space="preserve">Perrault, Pecquet, Duverney and Jean Mery, by the dissections</w:t></w:r>
</w:p>
<w:p>
<w:pPr><w:pStyle w:val="Normal"/></w:pPr>
<w:r><w:t xml:space="preserve">of rare animals obtained from the royal menagerie, speedily</w:t></w:r>
</w:p>
<w:p>
<w:pPr><w:pStyle w:val="Normal"/></w:pPr>
<w:r><w:t xml:space="preserve">supplied valuable materials for the anatomical naturalist.</w:t></w:r>
</w:p>
<w:p>
<w:pPr><w:pStyle w:val="Normal"/></w:pPr>
<w:r><w:t xml:space="preserve">Collins.</w:t></w:r>
</w:p>
<w:p>
<w:pPr><w:pStyle w:val="Normal"/></w:pPr>
<w:r><w:t xml:space="preserve">In England, Nehemiah Grew, Edward Tyson10 and Samuel</w:t></w:r>
</w:p>
<w:p>
<w:pPr><w:pStyle w:val="Normal"/></w:pPr>
<w:r><w:t xml:space="preserve">Collins11 cultivated the same department with diligence and</w:t></w:r>
</w:p>
<w:p>
<w:pPr><w:pStyle w:val="Normal"/></w:pPr>
<w:r><w:t xml:space="preserve">success.  Grew has left an interesting account of the</w:t></w:r>
</w:p>
<w:p>
<w:pPr><w:pStyle w:val="Normal"/></w:pPr>
<w:r><w:t xml:space="preserve">anatomical peculiarities of the intestinal canal in various</w:t></w:r>
</w:p>
<w:p>
<w:pPr><w:pStyle w:val="Normal"/></w:pPr>
<w:r><w:t xml:space="preserve">animals; Tyson, in the dissection of a porpoise, an opossum</w:t></w:r>
</w:p>
<w:p>
<w:pPr><w:pStyle w:val="Normal"/></w:pPr>
<w:r><w:t xml:space="preserve">and an orang outang, adduces some valuable illustrations</w:t></w:r>
</w:p>
<w:p>
<w:pPr><w:pStyle w:val="Normal"/></w:pPr>
<w:r><w:t xml:space="preserve">of the comparative differences between the structure of the</w:t></w:r>
</w:p>
<w:p>
<w:pPr><w:pStyle w:val="Normal"/></w:pPr>
<w:r><w:t xml:space="preserve">human body and that of the lower animals; Collins has the</w:t></w:r>
</w:p>
<w:p>
<w:pPr><w:pStyle w:val="Normal"/></w:pPr>
<w:r><w:t xml:space="preserve">merit of conceiving, and executing on an enlarged plan, a</w:t></w:r>
</w:p>
<w:p>
<w:pPr><w:pStyle w:val="Normal"/></w:pPr>
<w:r><w:t xml:space="preserve">comprehensive system, embodying all the information then extant</w:t></w:r>
</w:p>
<w:p>
<w:pPr><w:pStyle w:val="Normal"/></w:pPr>
<w:r><w:t xml:space="preserve">(1685).  With the aid of Tyson and his own researches, which</w:t></w:r>
</w:p>
<w:p>
<w:pPr><w:pStyle w:val="Normal"/></w:pPr>
<w:r><w:t xml:space="preserve">were both extensive and accurate, he composed a system of</w:t></w:r>
</w:p>
<w:p>
<w:pPr><w:pStyle w:val="Normal"/></w:pPr>
<w:r><w:t xml:space="preserve">anatomical knowledge in which he not only gives ample and</w:t></w:r>
</w:p>
<w:p>
<w:pPr><w:pStyle w:val="Normal"/></w:pPr>
<w:r><w:t xml:space="preserve">accurate descriptions of the structure of the human body, and</w:t></w:r>
</w:p>
<w:p>
<w:pPr><w:pStyle w:val="Normal"/></w:pPr>
<w:r><w:t xml:space="preserve">the various morbid changes to which the organs are liable, but</w:t></w:r>
</w:p>
<w:p>
<w:pPr><w:pStyle w:val="Normal"/></w:pPr>
<w:r><w:t xml:space="preserve">illustrates the whole by accurate and interesting sketches of</w:t></w:r>
</w:p>
<w:p>
<w:pPr><w:pStyle w:val="Normal"/></w:pPr>
<w:r><w:t xml:space="preserve">the peculiarities of the lower animals.  The matter of this</w:t></w:r>
</w:p>
<w:p>
<w:pPr><w:pStyle w:val="Normal"/></w:pPr>
<w:r><w:t xml:space="preserve">work is so excellent that it can only be ascribed to ignorance</w:t></w:r>
</w:p>
<w:p>
<w:pPr><w:pStyle w:val="Normal"/></w:pPr>
<w:r><w:t xml:space="preserve">that it has received so little attention.  Though regarded</w:t></w:r>
</w:p>
<w:p>
<w:pPr><w:pStyle w:val="Normal"/></w:pPr>
<w:r><w:t xml:space="preserve">as a compilation, and though indeed much of the human anatomy</w:t></w:r>
</w:p>
<w:p>
<w:pPr><w:pStyle w:val="Normal"/></w:pPr>
<w:r><w:t xml:space="preserve">is derived from Vesalius, it has the advantage of the works</w:t></w:r>
</w:p>
<w:p>
<w:pPr><w:pStyle w:val="Normal"/></w:pPr>
<w:r><w:t xml:space="preserve">published on the continent at that time, that it embodies</w:t></w:r>
</w:p>
<w:p>
<w:pPr><w:pStyle w:val="Normal"/></w:pPr>
<w:r><w:t xml:space="preserve">most of the valuable facts derived from Malpighi, Willis and</w:t></w:r>
</w:p>
<w:p>
<w:pPr><w:pStyle w:val="Normal"/></w:pPr>
<w:r><w:t xml:space="preserve">Vieussens.  The Comparative Anatomy is almost all original, the</w:t></w:r>
</w:p>
<w:p>
<w:pPr><w:pStyle w:val="Normal"/></w:pPr>
<w:r><w:t xml:space="preserve">result of personal research and dissection; and the pathological</w:t></w:r>
</w:p>
<w:p>
<w:pPr><w:pStyle w:val="Normal"/></w:pPr>
<w:r><w:t xml:space="preserve">observations, though occasionally tinged with the spirit of the</w:t></w:r>
</w:p>
<w:p>
<w:pPr><w:pStyle w:val="Normal"/></w:pPr>
<w:r><w:t xml:space="preserve">times, show the author to have been endowed with the powers</w:t></w:r>
</w:p>
<w:p>
<w:pPr><w:pStyle w:val="Normal"/></w:pPr>
<w:r><w:t xml:space="preserve">of observation and judicious reflexion in no ordinary degree.</w:t></w:r>
</w:p>
<w:p>
<w:pPr><w:pStyle w:val="Normal"/></w:pPr>
<w:r><w:t xml:space="preserve">About this time also we recognize the first attempts</w:t></w:r>
</w:p>
<w:p>
<w:pPr><w:pStyle w:val="Normal"/></w:pPr>
<w:r><w:t xml:space="preserve">to study the minute constitution of the tissues, by the</w:t></w:r>
</w:p>
<w:p>
<w:pPr><w:pStyle w:val="Normal"/></w:pPr>
<w:r><w:t xml:space="preserve">combination of the microscope and the effects of chemical</w:t></w:r>
</w:p>
<w:p>
<w:pPr><w:pStyle w:val="Normal"/></w:pPr>
<w:r><w:t xml:space="preserve">agents.  Bone furnished the first instance in which this</w:t></w:r>
</w:p>
<w:p>
<w:pPr><w:pStyle w:val="Normal"/></w:pPr>
<w:r><w:t xml:space="preserve">method was put in use; and though Gagliardi, who undertook the</w:t></w:r>
</w:p>
<w:p>
<w:pPr><w:pStyle w:val="Normal"/></w:pPr>
<w:r><w:t xml:space="preserve">inquiry, had fallen into some mistakes which it required the</w:t></w:r>
</w:p>
<w:p>
<w:pPr><w:pStyle w:val="Normal"/></w:pPr>
<w:r><w:t xml:space="preserve">observation of Malpighi to rectify, this did not deter Clopton</w:t></w:r>
</w:p>
<w:p>
<w:pPr><w:pStyle w:val="Normal"/></w:pPr>
<w:r><w:t xml:space="preserve">Havers12 and Nesbitt,13 in England, and Courtial, H. L.</w:t></w:r>
</w:p>
<w:p>
<w:pPr><w:pStyle w:val="Normal"/></w:pPr>
<w:r><w:t xml:space="preserve">Duhamel-Dumonceau and Delasone, and afterwards Herissant,</w:t></w:r>
</w:p>
<w:p>
<w:pPr><w:pStyle w:val="Normal"/></w:pPr>
<w:r><w:t xml:space="preserve">in France, from resuming the same train of investigation.</w:t></w:r>
</w:p>
<w:p>
<w:pPr><w:pStyle w:val="Normal"/></w:pPr>
<w:r><w:t xml:space="preserve">The mistakes into which these anatomists fell belong to the</w:t></w:r>
</w:p>
<w:p>
<w:pPr><w:pStyle w:val="Normal"/></w:pPr>
<w:r><w:t xml:space="preserve">imperfect method of inquiry.  The facts which they ascertained</w:t></w:r>
</w:p>
<w:p>
<w:pPr><w:pStyle w:val="Normal"/></w:pPr>
<w:r><w:t xml:space="preserve">have been verified by recent experiment, and constitute no</w:t></w:r>
</w:p>
<w:p>
<w:pPr><w:pStyle w:val="Normal"/></w:pPr>
<w:r><w:t xml:space="preserve">unessential part of our knowledge of the structure of bone.</w:t></w:r>
</w:p>
<w:p>
<w:pPr><w:pStyle w:val="Normal"/></w:pPr>
<w:r><w:t xml:space="preserve">Ten years after the publication of the work of Collins,</w:t></w:r>
</w:p>
<w:p>
<w:pPr><w:pStyle w:val="Normal"/></w:pPr>
<w:r><w:t xml:space="preserve">Ridley,14 another English anatomist, distinguished</w:t></w:r>
</w:p>
<w:p>
<w:pPr><w:pStyle w:val="Normal"/></w:pPr>
<w:r><w:t xml:space="preserve">himself by a monograph (1695) on the brain, which, though</w:t></w:r>
</w:p>
<w:p>
<w:pPr><w:pStyle w:val="Normal"/></w:pPr>
<w:r><w:t xml:space="preserve">not free from errors, contains, nevertheless, some valuable</w:t></w:r>
</w:p>
<w:p>
<w:pPr><w:pStyle w:val="Normal"/></w:pPr>
<w:r><w:t xml:space="preserve">observations.  Ridley is the first who distinguishes by</w:t></w:r>
</w:p>
<w:p>
<w:pPr><w:pStyle w:val="Normal"/></w:pPr>
<w:r><w:t xml:space="preserve">name the restiform processes, or the posterior pyramidal</w:t></w:r>
</w:p>
<w:p>
<w:pPr><w:pStyle w:val="Normal"/></w:pPr>
<w:r><w:t xml:space="preserve">eminences.  He recognized the figure of the four eminences</w:t></w:r>
</w:p>
<w:p>
<w:pPr><w:pStyle w:val="Normal"/></w:pPr>
<w:r><w:t xml:space="preserve">in the human subject; he remarked the mammillary bodies;</w:t></w:r>
</w:p>
<w:p>
<w:pPr><w:pStyle w:val="Normal"/></w:pPr>
<w:r><w:t xml:space="preserve">and he discovered the sinus which passes under his name.</w:t></w:r>
</w:p>
<w:p>
<w:pPr><w:pStyle w:val="Normal"/></w:pPr>
<w:r><w:t xml:space="preserve">Vieussens.</w:t></w:r>
</w:p>
<w:p>
<w:pPr><w:pStyle w:val="Normal"/></w:pPr>
<w:r><w:t xml:space="preserve">Raymond Vieussens, by the publication of his great work on</w:t></w:r>
</w:p>
<w:p>
<w:pPr><w:pStyle w:val="Normal"/></w:pPr>
<w:r><w:t xml:space="preserve">neurography in 1684, threw new light on the configuration</w:t></w:r>
</w:p>
<w:p>
<w:pPr><w:pStyle w:val="Normal"/></w:pPr>
<w:r><w:t xml:space="preserve">and structure of the brain, the spinal cord and the nerves;</w:t></w:r>
</w:p>
<w:p>
<w:pPr><w:pStyle w:val="Normal"/></w:pPr>
<w:r><w:t xml:space="preserve">and gave a description of the arrangement and distribution</w:t></w:r>
</w:p>
<w:p>
<w:pPr><w:pStyle w:val="Normal"/></w:pPr>
<w:r><w:t xml:space="preserve">of the latter more precise than heretofore.  Of the formation</w:t></w:r>
</w:p>
<w:p>
<w:pPr><w:pStyle w:val="Normal"/></w:pPr>
<w:r><w:t xml:space="preserve">and connexions of the sympathetic nerve especially he</w:t></w:r>
</w:p>
<w:p>
<w:pPr><w:pStyle w:val="Normal"/></w:pPr>
<w:r><w:t xml:space="preserve">gave views which have been generally adopted by subsequent</w:t></w:r>
</w:p>
<w:p>
<w:pPr><w:pStyle w:val="Normal"/></w:pPr>
<w:r><w:t xml:space="preserve">anatomists.  His new arrangement of the vessels, published in</w:t></w:r>
</w:p>
<w:p>
<w:pPr><w:pStyle w:val="Normal"/></w:pPr>
<w:r><w:t xml:space="preserve">1705, contains several curious opinions.  His observations on</w:t></w:r>
</w:p>
<w:p>
<w:pPr><w:pStyle w:val="Normal"/></w:pPr>
<w:r><w:t xml:space="preserve">the structure of the heart, published in 1706, and enlarged</w:t></w:r>
</w:p>
<w:p>
<w:pPr><w:pStyle w:val="Normal"/></w:pPr>
<w:r><w:t xml:space="preserve">in 1715, exhibit the first correct views of the intimate</w:t></w:r>
</w:p>
<w:p>
<w:pPr><w:pStyle w:val="Normal"/></w:pPr>
<w:r><w:t xml:space="preserve">structure of an organ which afterwards was most fully</w:t></w:r>
</w:p>
<w:p>
<w:pPr><w:pStyle w:val="Normal"/></w:pPr>
<w:r><w:t xml:space="preserve">developed by the labours of G. M. Lancisi and J. B. Senac.</w:t></w:r>
</w:p>
<w:p>
<w:pPr><w:pStyle w:val="Normal"/></w:pPr>
<w:r><w:t xml:space="preserve">To the same period (1685-1697) belong the rival publications of</w:t></w:r>
</w:p>
<w:p>
<w:pPr><w:pStyle w:val="Normal"/></w:pPr>
<w:r><w:t xml:space="preserve">G. Bidloo15 and Wilham Cowper, the latter of whom, however,</w:t></w:r>
</w:p>
<w:p>
<w:pPr><w:pStyle w:val="Normal"/></w:pPr>
<w:r><w:t xml:space="preserve">stained a reputation otherwise good by publishing as his own the</w:t></w:r>
</w:p>
<w:p>
<w:pPr><w:pStyle w:val="Normal"/></w:pPr>
<w:r><w:t xml:space="preserve">engravings of the former.  Cowper further distinguished himself</w:t></w:r>
</w:p>
<w:p>
<w:pPr><w:pStyle w:val="Normal"/></w:pPr>
<w:r><w:t xml:space="preserve">by a minute account of the urethral glands, already known to</w:t></w:r>
</w:p>
<w:p>
<w:pPr><w:pStyle w:val="Normal"/></w:pPr>
<w:r><w:t xml:space="preserve">Columbus and Mery; by a good description of the intestinal</w:t></w:r>
</w:p>
<w:p>
<w:pPr><w:pStyle w:val="Normal"/></w:pPr>
<w:r><w:t xml:space="preserve">glands, discovered by Brunner and Peyer; and by demonstrating</w:t></w:r>
</w:p>
<w:p>
<w:pPr><w:pStyle w:val="Normal"/></w:pPr>
<w:r><w:t xml:space="preserve">the communication of the arteries and veins of the mesentery.</w:t></w:r>
</w:p>
<w:p>
<w:pPr><w:pStyle w:val="Normal"/></w:pPr>
<w:r><w:t xml:space="preserve">The anatomical genius of Italy, which had slumbered since</w:t></w:r>
</w:p>
<w:p>
<w:pPr><w:pStyle w:val="Normal"/></w:pPr>
<w:r><w:t xml:space="preserve">the death of Malpighi, was destined once more to revive in</w:t></w:r>
</w:p>
<w:p>
<w:pPr><w:pStyle w:val="Normal"/></w:pPr>
<w:r><w:t xml:space="preserve">Lancisi, A. M. Valsalva, and his illustrious pupils G. D.</w:t></w:r>
</w:p>
<w:p>
<w:pPr><w:pStyle w:val="Normal"/></w:pPr>
<w:r><w:t xml:space="preserve">Santorini and J. B. Morgagni.  Valsalva especially distinguished</w:t></w:r>
</w:p>
<w:p>
<w:pPr><w:pStyle w:val="Normal"/></w:pPr>
<w:r><w:t xml:space="preserve">himself by his description of the structure of the ear,</w:t></w:r>
</w:p>
<w:p>
<w:pPr><w:pStyle w:val="Normal"/></w:pPr>
<w:r><w:t xml:space="preserve">which, in possessing still greater precision and minuteness</w:t></w:r>
</w:p>
<w:p>
<w:pPr><w:pStyle w:val="Normal"/></w:pPr>
<w:r><w:t xml:space="preserve">than that of Duverney, is valuable in setting the example</w:t></w:r>
</w:p>
<w:p>
<w:pPr><w:pStyle w:val="Normal"/></w:pPr>
<w:r><w:t xml:space="preserve">of rendering anatomy altogether a science of description.</w:t></w:r>
</w:p>
<w:p>
<w:pPr><w:pStyle w:val="Normal"/></w:pPr>
<w:r><w:t xml:space="preserve">Santorini.</w:t></w:r>
</w:p>
<w:p>
<w:pPr><w:pStyle w:val="Normal"/></w:pPr>
<w:r><w:t xml:space="preserve">Santorini, who was professor at Venice, was no unworthy friend</w:t></w:r>
</w:p>
<w:p>
<w:pPr><w:pStyle w:val="Normal"/></w:pPr>
<w:r><w:t xml:space="preserve">of Valsalva and Morgagni.  His anatomical observations, which</w:t></w:r>
</w:p>
<w:p>
<w:pPr><w:pStyle w:val="Normal"/></w:pPr>
<w:r><w:t xml:space="preserve">relate to the muscles of the face, the brain and several</w:t></w:r>
</w:p>
<w:p>
<w:pPr><w:pStyle w:val="Normal"/></w:pPr>
<w:r><w:t xml:space="preserve">of the nerves, the ducts of the lachrymal gland, the nose</w:t></w:r>
</w:p>
<w:p>
<w:pPr><w:pStyle w:val="Normal"/></w:pPr>
<w:r><w:t xml:space="preserve">and its cavities, the larynx, the viscera of the chest and</w:t></w:r>
</w:p>
<w:p>
<w:pPr><w:pStyle w:val="Normal"/></w:pPr>
<w:r><w:t xml:space="preserve">belly, and the organs of generation in the two sexes, furnish</w:t></w:r>
</w:p>
<w:p>
<w:pPr><w:pStyle w:val="Normal"/></w:pPr>
<w:r><w:t xml:space="preserve">beautiful models of essays, distinguished for perspicuity,</w:t></w:r>
</w:p>
<w:p>
<w:pPr><w:pStyle w:val="Normal"/></w:pPr>
<w:r><w:t xml:space="preserve">precision and novelty, above anything which had then</w:t></w:r>
</w:p>
<w:p>
<w:pPr><w:pStyle w:val="Normal"/></w:pPr>
<w:r><w:t xml:space="preserve">appeared.  These observations, indeed, which bear the impress</w:t></w:r>
</w:p>
<w:p>
<w:pPr><w:pStyle w:val="Normal"/></w:pPr>
<w:r><w:t xml:space="preserve">of accurate observation and clear conception, may be safely</w:t></w:r>
</w:p>
<w:p>
<w:pPr><w:pStyle w:val="Normal"/></w:pPr>
<w:r><w:t xml:space="preserve">compared with any anatomical writings which have appeared</w:t></w:r>
</w:p>
<w:p>
<w:pPr><w:pStyle w:val="Normal"/></w:pPr>
<w:r><w:t xml:space="preserve">since.  Those on the brain are particularly interesting.</w:t></w:r>
</w:p>
<w:p>
<w:pPr><w:pStyle w:val="Normal"/></w:pPr>
<w:r><w:t xml:space="preserve">Morgagni.</w:t></w:r>
</w:p>
<w:p>
<w:pPr><w:pStyle w:val="Normal"/></w:pPr>
<w:r><w:t xml:space="preserve">Morgagni, though chiefly known as a pathological anatomist,</w:t></w:r>
</w:p>
<w:p>
<w:pPr><w:pStyle w:val="Normal"/></w:pPr>
<w:r><w:t xml:space="preserve">did not neglect the healthy structure.  His Adversaria, which</w:t></w:r>
</w:p>
<w:p>
<w:pPr><w:pStyle w:val="Normal"/></w:pPr>
<w:r><w:t xml:space="preserve">appeared between 1706 and 1719, and his Epistles, published in</w:t></w:r>
</w:p>
<w:p>
<w:pPr><w:pStyle w:val="Normal"/></w:pPr>
<w:r><w:t xml:space="preserve">1728, contain a series of observations to rectify the mistakes</w:t></w:r>
</w:p>
<w:p>
<w:pPr><w:pStyle w:val="Normal"/></w:pPr>
<w:r><w:t xml:space="preserve">of previous anatomists, and to determine the characters of</w:t></w:r>
</w:p>
<w:p>
<w:pPr><w:pStyle w:val="Normal"/></w:pPr>
<w:r><w:t xml:space="preserve">the healthy structure of many parts of the human body.  Many</w:t></w:r>
</w:p>
<w:p>
<w:pPr><w:pStyle w:val="Normal"/></w:pPr>
<w:r><w:t xml:space="preserve">parts he describes anew, and indicates facts not previously</w:t></w:r>
</w:p>
<w:p>
<w:pPr><w:pStyle w:val="Normal"/></w:pPr>
<w:r><w:t xml:space="preserve">observed.  All his remarks show how well he knew what true</w:t></w:r>
</w:p>
<w:p>
<w:pPr><w:pStyle w:val="Normal"/></w:pPr>
<w:r><w:t xml:space="preserve">anatomical description ought to be.  In this respect, indeed, the</w:t></w:r>
</w:p>
<w:p>
<w:pPr><w:pStyle w:val="Normal"/></w:pPr>
<w:r><w:t xml:space="preserve">three anatomists now mentioned may be said to have anticipated</w:t></w:r>
</w:p>
<w:p>
<w:pPr><w:pStyle w:val="Normal"/></w:pPr>
<w:r><w:t xml:space="preserve">their contemporaries nearly a century; for, while other authors</w:t></w:r>
</w:p>
<w:p>
<w:pPr><w:pStyle w:val="Normal"/></w:pPr>
<w:r><w:t xml:space="preserve">were satisfied with giving loose and inaccurate or meagre</w:t></w:r>
</w:p>
<w:p>
<w:pPr><w:pStyle w:val="Normal"/></w:pPr>
<w:r><w:t xml:space="preserve">notices of parts, with much fanciful supposition, Valsalva,</w:t></w:r>
</w:p>
<w:p>
<w:pPr><w:pStyle w:val="Normal"/></w:pPr>
<w:r><w:t xml:space="preserve">Santorini and Morgagni laboured to determine with precision</w:t></w:r>
</w:p>
<w:p>
<w:pPr><w:pStyle w:val="Normal"/></w:pPr>
<w:r><w:t xml:space="preserve">the anatomical characters of the parts which they describe.</w:t></w:r>
</w:p>
<w:p>
<w:pPr><w:pStyle w:val="Normal"/></w:pPr>
<w:r><w:t xml:space="preserve">Winslow.</w:t></w:r>
</w:p>
<w:p>
<w:pPr><w:pStyle w:val="Normal"/></w:pPr>
<w:r><w:t xml:space="preserve">The same character is due to J. B. Winslow (1669-1760),</w:t></w:r>
</w:p>
<w:p>
<w:pPr><w:pStyle w:val="Normal"/></w:pPr>
<w:r><w:t xml:space="preserve">a native of Denmark, but, as pupil and successor of</w:t></w:r>
</w:p>
<w:p>
<w:pPr><w:pStyle w:val="Normal"/></w:pPr>
<w:r><w:t xml:space="preserve">Duverney, as well as a convert to Catholicism, naturalized</w:t></w:r>
</w:p>
<w:p>
<w:pPr><w:pStyle w:val="Normal"/></w:pPr>
<w:r><w:t xml:space="preserve">in France, and finally professor of anatomy at the Royal</w:t></w:r>
</w:p>
<w:p>
<w:pPr><w:pStyle w:val="Normal"/></w:pPr>
<w:r><w:t xml:space="preserve">Gardens.  His exposition of the structure of the human body</w:t></w:r>
</w:p>
<w:p>
<w:pPr><w:pStyle w:val="Normal"/></w:pPr>
<w:r><w:t xml:space="preserve">is distinguished for being not only the first treatise of</w:t></w:r>
</w:p>
<w:p>
<w:pPr><w:pStyle w:val="Normal"/></w:pPr>
<w:r><w:t xml:space="preserve">descriptive anatomy, divested of physiological details and</w:t></w:r>
</w:p>
<w:p>
<w:pPr><w:pStyle w:val="Normal"/></w:pPr>
<w:r><w:t xml:space="preserve">hypothetical explanations foreign to the subject, but for</w:t></w:r>
</w:p>
<w:p>
<w:pPr><w:pStyle w:val="Normal"/></w:pPr>
<w:r><w:t xml:space="preserve">being a close description derived from actual objects, without</w:t></w:r>
</w:p>
<w:p>
<w:pPr><w:pStyle w:val="Normal"/></w:pPr>
<w:r><w:t xml:space="preserve">reference to the writings of previous anatomists.  About the</w:t></w:r>
</w:p>
<w:p>
<w:pPr><w:pStyle w:val="Normal"/></w:pPr>
<w:r><w:t xml:space="preserve">same time W. Cheselden in London, the first Alexander Monro in</w:t></w:r>
</w:p>
<w:p>
<w:pPr><w:pStyle w:val="Normal"/></w:pPr>
<w:r><w:t xml:space="preserve">Edinburgh, and B. S. Albinus in Leiden, contributed by their</w:t></w:r>
</w:p>
<w:p>
<w:pPr><w:pStyle w:val="Normal"/></w:pPr>
<w:r><w:t xml:space="preserve">several treatises to render anatomy still more precise as a</w:t></w:r>
</w:p>
<w:p>
<w:pPr><w:pStyle w:val="Normal"/></w:pPr>
<w:r><w:t xml:space="preserve">descriptive science.  The Osteographia of the first-mentioned</w:t></w:r>
</w:p>
<w:p>
<w:pPr><w:pStyle w:val="Normal"/></w:pPr>
<w:r><w:t xml:space="preserve">was of much use in directing attention to the study of</w:t></w:r>
</w:p>
<w:p>
<w:pPr><w:pStyle w:val="Normal"/></w:pPr>
<w:r><w:t xml:space="preserve">the skeleton and the morbid changes to which it is liable.</w:t></w:r>
</w:p>
<w:p>
<w:pPr><w:pStyle w:val="Normal"/></w:pPr>
<w:r><w:t xml:space="preserve">Albinus.</w:t></w:r>
</w:p>
<w:p>
<w:pPr><w:pStyle w:val="Normal"/></w:pPr>
<w:r><w:t xml:space="preserve">This work, however, magnificent as it was, was excelled by</w:t></w:r>
</w:p>
<w:p>
<w:pPr><w:pStyle w:val="Normal"/></w:pPr>
<w:r><w:t xml:space="preserve">that of Albinus, who in 1747 published engravings, executed</w:t></w:r>
</w:p>
<w:p>
<w:pPr><w:pStyle w:val="Normal"/></w:pPr>
<w:r><w:t xml:space="preserve">by Jan Wandelaar (1691-1759), of the bones and muscles, which</w:t></w:r>
</w:p>
<w:p>
<w:pPr><w:pStyle w:val="Normal"/></w:pPr>
<w:r><w:t xml:space="preserve">had never been surpassed in accuracy of outline or beauty of</w:t></w:r>
</w:p>
<w:p>
<w:pPr><w:pStyle w:val="Normal"/></w:pPr>
<w:r><w:t xml:space="preserve">execution.  The several labours of Albinus, indeed, constitute</w:t></w:r>
</w:p>
<w:p>
<w:pPr><w:pStyle w:val="Normal"/></w:pPr>
<w:r><w:t xml:space="preserve">an important era in the history of the science.  He was the</w:t></w:r>
</w:p>
<w:p>
<w:pPr><w:pStyle w:val="Normal"/></w:pPr>
<w:r><w:t xml:space="preserve">first who classified and exhibited the muscles in a proper</w:t></w:r>
</w:p>
<w:p>
<w:pPr><w:pStyle w:val="Normal"/></w:pPr>
<w:r><w:t xml:space="preserve">arrangement, and applied to them a nomenclature which is</w:t></w:r>
</w:p>
<w:p>
<w:pPr><w:pStyle w:val="Normal"/></w:pPr>
<w:r><w:t xml:space="preserve">still retained by the consent of the best anatomists.  He</w:t></w:r>
</w:p>
<w:p>
<w:pPr><w:pStyle w:val="Normal"/></w:pPr>
<w:r><w:t xml:space="preserve">gives a luminous account of the arteries and veins of the</w:t></w:r>
</w:p>
<w:p>
<w:pPr><w:pStyle w:val="Normal"/></w:pPr>
<w:r><w:t xml:space="preserve">intestines, represents with singular fidelity and beauty the</w:t></w:r>
</w:p>
<w:p>
<w:pPr><w:pStyle w:val="Normal"/></w:pPr>
<w:r><w:t xml:space="preserve">bones of the foetus, inquires into the structure of the skin</w:t></w:r>
</w:p>
<w:p>
<w:pPr><w:pStyle w:val="Normal"/></w:pPr>
<w:r><w:t xml:space="preserve">and the cause of its colour in different races; represents</w:t></w:r>
</w:p>
<w:p>
<w:pPr><w:pStyle w:val="Normal"/></w:pPr>
<w:r><w:t xml:space="preserve">the changes incident to the womb in different periods of</w:t></w:r>
</w:p>
<w:p>
<w:pPr><w:pStyle w:val="Normal"/></w:pPr>
<w:r><w:t xml:space="preserve">pregnancy, and describes the relations of the thoracic duct</w:t></w:r>
</w:p>
<w:p>
<w:pPr><w:pStyle w:val="Normal"/></w:pPr>
<w:r><w:t xml:space="preserve">and the vena azygos with the contiguous parts.  Besides</w:t></w:r>
</w:p>
<w:p>
<w:pPr><w:pStyle w:val="Normal"/></w:pPr>
<w:r><w:t xml:space="preserve">these large and magnificent works, illustrated by the most</w:t></w:r>
</w:p>
<w:p>
<w:pPr><w:pStyle w:val="Normal"/></w:pPr>
<w:r><w:t xml:space="preserve">beautiful engravings, six books of Academical Annotations</w:t></w:r>
</w:p>
<w:p>
<w:pPr><w:pStyle w:val="Normal"/></w:pPr>
<w:r><w:t xml:space="preserve">were the fruits of his long and assiduous cultivation of</w:t></w:r>
</w:p>
<w:p>
<w:pPr><w:pStyle w:val="Normal"/></w:pPr>
<w:r><w:t xml:space="preserve">anatomy.  These contain valuable remarks on the second structure</w:t></w:r>
</w:p>
<w:p>
<w:pPr><w:pStyle w:val="Normal"/></w:pPr>
<w:r><w:t xml:space="preserve">and morbid deviations of numerous parts of the human body.</w:t></w:r>
</w:p>
<w:p>
<w:pPr><w:pStyle w:val="Normal"/></w:pPr>
<w:r><w:t xml:space="preserve">Haller.</w:t></w:r>
</w:p>
<w:p>
<w:pPr><w:pStyle w:val="Normal"/></w:pPr>
<w:r><w:t xml:space="preserve">Albinus found a worthy successor in his pupil Albert von Haller</w:t></w:r>
</w:p>
<w:p>
<w:pPr><w:pStyle w:val="Normal"/></w:pPr>
<w:r><w:t xml:space="preserve">(1708-1777), who, with a mind imbued with every department</w:t></w:r>
</w:p>
<w:p>
<w:pPr><w:pStyle w:val="Normal"/></w:pPr>
<w:r><w:t xml:space="preserve">of literature and science, directed his chief attention,</w:t></w:r>
</w:p>
<w:p>
<w:pPr><w:pStyle w:val="Normal"/></w:pPr>
<w:r><w:t xml:space="preserve">nevertheless, to the cultivation of anatomical and physiological</w:t></w:r>
</w:p>
<w:p>
<w:pPr><w:pStyle w:val="Normal"/></w:pPr>
<w:r><w:t xml:space="preserve">knowledge.  Having undertaken at an early age (twenty-one) to</w:t></w:r>
</w:p>
<w:p>
<w:pPr><w:pStyle w:val="Normal"/></w:pPr>
<w:r><w:t xml:space="preserve">illustrate, with commentaries, the physiological prelections</w:t></w:r>
</w:p>
<w:p>
<w:pPr><w:pStyle w:val="Normal"/></w:pPr>
<w:r><w:t xml:space="preserve">of his preceptor H. Boerhaave, he devoted himself assiduously</w:t></w:r>
</w:p>
<w:p>
<w:pPr><w:pStyle w:val="Normal"/></w:pPr>
<w:r><w:t xml:space="preserve">to the perusal of every work which could tend to facilitate</w:t></w:r>
</w:p>
<w:p>
<w:pPr><w:pStyle w:val="Normal"/></w:pPr>
<w:r><w:t xml:space="preserve">his purpose; and, as he found numerous erroneous or imperfect</w:t></w:r>
</w:p>
<w:p>
<w:pPr><w:pStyle w:val="Normal"/></w:pPr>
<w:r><w:t xml:space="preserve">statements, and many deficiencies to supply, he undertook an</w:t></w:r>
</w:p>
<w:p>
<w:pPr><w:pStyle w:val="Normal"/></w:pPr>
<w:r><w:t xml:space="preserve">extensive course of dissection of human and animal bodies to</w:t></w:r>
</w:p>
<w:p>
<w:pPr><w:pStyle w:val="Normal"/></w:pPr>
<w:r><w:t xml:space="preserve">obtain the requisite information.  During the seventeen years</w:t></w:r>
</w:p>
<w:p>
<w:pPr><w:pStyle w:val="Normal"/></w:pPr>
<w:r><w:t xml:space="preserve">he was professor at Gottingen, he dissected 400 bodies, and</w:t></w:r>
</w:p>
<w:p>
<w:pPr><w:pStyle w:val="Normal"/></w:pPr>
<w:r><w:t xml:space="preserve">inspected their organs with the utmost care.  The result of</w:t></w:r>
</w:p>
<w:p>
<w:pPr><w:pStyle w:val="Normal"/></w:pPr>
<w:r><w:t xml:space="preserve">these assiduous labours appeared at intervals in the form of</w:t></w:r>
</w:p>
<w:p>
<w:pPr><w:pStyle w:val="Normal"/></w:pPr>
<w:r><w:t xml:space="preserve">dissertations by himself, or under the name of some one of</w:t></w:r>
</w:p>
<w:p>
<w:pPr><w:pStyle w:val="Normal"/></w:pPr>
<w:r><w:t xml:space="preserve">his pupils, finally published in a collected shape between</w:t></w:r>
</w:p>
<w:p>
<w:pPr><w:pStyle w:val="Normal"/></w:pPr>
<w:r><w:t xml:space="preserve">1746 and 1751 (Disputationes Anatomicae Selectiores), and</w:t></w:r>
</w:p>
<w:p>
<w:pPr><w:pStyle w:val="Normal"/></w:pPr>
<w:r><w:t xml:space="preserve">in eight numbers of most accurate and beautiful engravings,</w:t></w:r>
</w:p>
<w:p>
<w:pPr><w:pStyle w:val="Normal"/></w:pPr>
<w:r><w:t xml:space="preserve">representing the most important parts of the human body, e.g.</w:t></w:r>
</w:p>
<w:p>
<w:pPr><w:pStyle w:val="Normal"/></w:pPr>
<w:r><w:t xml:space="preserve">the diaphragm, the uterus, ovaries and vagina, the arteries</w:t></w:r>
</w:p>
<w:p>
<w:pPr><w:pStyle w:val="Normal"/></w:pPr>
<w:r><w:t xml:space="preserve">of the different regions and organs, with learned and critical</w:t></w:r>
</w:p>
<w:p>
<w:pPr><w:pStyle w:val="Normal"/></w:pPr>
<w:r><w:t xml:space="preserve">explanatory observations.  He verified the observations that</w:t></w:r>
</w:p>
<w:p>
<w:pPr><w:pStyle w:val="Normal"/></w:pPr>
<w:r><w:t xml:space="preserve">in the foetus the testicles lie in the abdomen, and showed</w:t></w:r>
</w:p>
<w:p>
<w:pPr><w:pStyle w:val="Normal"/></w:pPr>
<w:r><w:t xml:space="preserve">that their descent into the scrotum may be complicated with the</w:t></w:r>
</w:p>
<w:p>
<w:pPr><w:pStyle w:val="Normal"/></w:pPr>
<w:r><w:t xml:space="preserve">formation of congenital hernia.  Some years after, when he had</w:t></w:r>
</w:p>
<w:p>
<w:pPr><w:pStyle w:val="Normal"/></w:pPr>
<w:r><w:t xml:space="preserve">retired from his academical duties at Gottingen, he published</w:t></w:r>
</w:p>
<w:p>
<w:pPr><w:pStyle w:val="Normal"/></w:pPr>
<w:r><w:t xml:space="preserve">between 1757 and 1765 the large and elaborate work which, with</w:t></w:r>
</w:p>
<w:p>
<w:pPr><w:pStyle w:val="Normal"/></w:pPr>
<w:r><w:t xml:space="preserve">singular modesty, he styled Elements of Physiology. This</w:t></w:r>
</w:p>
<w:p>
<w:pPr><w:pStyle w:val="Normal"/></w:pPr>
<w:r><w:t xml:space="preserve">work, though professedly devoted to physiology, rendered,</w:t></w:r>
</w:p>
<w:p>
<w:pPr><w:pStyle w:val="Normal"/></w:pPr>
<w:r><w:t xml:space="preserve">nevertheless, the most essentially services to anatomy.</w:t></w:r>
</w:p>
<w:p>
<w:pPr><w:pStyle w:val="Normal"/></w:pPr>
<w:r><w:t xml:space="preserve">Haller, drawing an accurate line of distinction between the</w:t></w:r>
</w:p>
<w:p>
<w:pPr><w:pStyle w:val="Normal"/></w:pPr>
<w:r><w:t xml:space="preserve">two, gave the most clear, precise and complete descriptions</w:t></w:r>
</w:p>
<w:p>
<w:pPr><w:pStyle w:val="Normal"/></w:pPr>
<w:r><w:t xml:space="preserve">of the situation, position, figure, component parts and minute</w:t></w:r>
</w:p>
<w:p>
<w:pPr><w:pStyle w:val="Normal"/></w:pPr>
<w:r><w:t xml:space="preserve">structure of the different organs and their appendages.  The</w:t></w:r>
</w:p>
<w:p>
<w:pPr><w:pStyle w:val="Normal"/></w:pPr>
<w:r><w:t xml:space="preserve">results of previous and coeval inquiry, obtained by extensive</w:t></w:r>
</w:p>
<w:p>
<w:pPr><w:pStyle w:val="Normal"/></w:pPr>
<w:r><w:t xml:space="preserve">reading, he sedulously verified by personal observation; and</w:t></w:r>
</w:p>
<w:p>
<w:pPr><w:pStyle w:val="Normal"/></w:pPr>
<w:r><w:t xml:space="preserve">though he never rejected facts stated on credible authorities,</w:t></w:r>
</w:p>
<w:p>
<w:pPr><w:pStyle w:val="Normal"/></w:pPr>
<w:r><w:t xml:space="preserve">he in all cases laboured to ascertain their real value by</w:t></w:r>
</w:p>
<w:p>
<w:pPr><w:pStyle w:val="Normal"/></w:pPr>
<w:r><w:t xml:space="preserve">experiment.  The anatomical descriptions are on this account</w:t></w:r>
</w:p>
<w:p>
<w:pPr><w:pStyle w:val="Normal"/></w:pPr>
<w:r><w:t xml:space="preserve">not only the most valuable part of his work, but the most</w:t></w:r>
</w:p>
<w:p>
<w:pPr><w:pStyle w:val="Normal"/></w:pPr>
<w:r><w:t xml:space="preserve">valuable that had then or for a long time after appeared.  It</w:t></w:r>
</w:p>
<w:p>
<w:pPr><w:pStyle w:val="Normal"/></w:pPr>
<w:r><w:t xml:space="preserve">is painful, nevertheless, to think that the very form in which</w:t></w:r>
</w:p>
<w:p>
<w:pPr><w:pStyle w:val="Normal"/></w:pPr>
<w:r><w:t xml:space="preserve">this work is composed, with copious and scrupulous reference to</w:t></w:r>
</w:p>
<w:p>
<w:pPr><w:pStyle w:val="Normal"/></w:pPr>
<w:r><w:t xml:space="preserve">authorities, made it be regarded as a compilation only; and</w:t></w:r>
</w:p>
<w:p>
<w:pPr><w:pStyle w:val="Normal"/></w:pPr>
<w:r><w:t xml:space="preserve">that the author was compelled to show, by a list of his personal</w:t></w:r>
</w:p>
<w:p>
<w:pPr><w:pStyle w:val="Normal"/></w:pPr>
<w:r><w:t xml:space="preserve">researches, that the most learned work ever given to the</w:t></w:r>
</w:p>
<w:p>
<w:pPr><w:pStyle w:val="Normal"/></w:pPr>
<w:r><w:t xml:space="preserve">physiologist was also the most abundant in original information.</w:t></w:r>
</w:p>
<w:p>
<w:pPr><w:pStyle w:val="Normal"/></w:pPr>
<w:r><w:t xml:space="preserve">With the researches of Haller it is proper to notice those of</w:t></w:r>
</w:p>
<w:p>
<w:pPr><w:pStyle w:val="Normal"/></w:pPr>
<w:r><w:t xml:space="preserve">his contemporaries, John Frederick Meckel, J. N. Lieberkuhn,</w:t></w:r>
</w:p>
<w:p>
<w:pPr><w:pStyle w:val="Normal"/></w:pPr>
<w:r><w:t xml:space="preserve">and his pupil John Godfrey Zinn.  The first, who was professor</w:t></w:r>
</w:p>
<w:p>
<w:pPr><w:pStyle w:val="Normal"/></w:pPr>
<w:r><w:t xml:space="preserve">of anatomy at Berlin, described the Casserian ganglion, the</w:t></w:r>
</w:p>
<w:p>
<w:pPr><w:pStyle w:val="Normal"/></w:pPr>
<w:r><w:t xml:space="preserve">first pair of nerves and its distribution and that of the</w:t></w:r>
</w:p>
<w:p>
<w:pPr><w:pStyle w:val="Normal"/></w:pPr>
<w:r><w:t xml:space="preserve">facial nerves generally, and discovered the spheno-palatine</w:t></w:r>
</w:p>
<w:p>
<w:pPr><w:pStyle w:val="Normal"/></w:pPr>
<w:r><w:t xml:space="preserve">ganglion (1748-1751).  He made some original and judicious</w:t></w:r>
</w:p>
<w:p>
<w:pPr><w:pStyle w:val="Normal"/></w:pPr>
<w:r><w:t xml:space="preserve">observations on the tissue of the skin and the mucous net</w:t></w:r>
</w:p>
<w:p>
<w:pPr><w:pStyle w:val="Normal"/></w:pPr>
<w:r><w:t xml:space="preserve">(1753-1757); and above all, he recognized the connexion of</w:t></w:r>
</w:p>
<w:p>
<w:pPr><w:pStyle w:val="Normal"/></w:pPr>
<w:r><w:t xml:space="preserve">the lymphatic vessels with the veins--a doctrine which, after</w:t></w:r>
</w:p>
<w:p>
<w:pPr><w:pStyle w:val="Normal"/></w:pPr>
<w:r><w:t xml:space="preserve">long neglect, was revived by Vincent Fohmann (1794-1837) and</w:t></w:r>
</w:p>
<w:p>
<w:pPr><w:pStyle w:val="Normal"/></w:pPr>
<w:r><w:t xml:space="preserve">Lippi.  He also collected several valuable observations on the</w:t></w:r>
</w:p>
<w:p>
<w:pPr><w:pStyle w:val="Normal"/></w:pPr>
<w:r><w:t xml:space="preserve">morbid states of the heart and brain.  Lieberkuhn published</w:t></w:r>
</w:p>
<w:p>
<w:pPr><w:pStyle w:val="Normal"/></w:pPr>
<w:r><w:t xml:space="preserve">in 1745 a dissertation on the villi and glands of the small</w:t></w:r>
</w:p>
<w:p>
<w:pPr><w:pStyle w:val="Normal"/></w:pPr>
<w:r><w:t xml:space="preserve">intestines.  Zinn, who was professor of medicine at Gottingen,</w:t></w:r>
</w:p>
<w:p>
<w:pPr><w:pStyle w:val="Normal"/></w:pPr>
<w:r><w:t xml:space="preserve">published a classical treatise on the eye (1755), which</w:t></w:r>
</w:p>
<w:p>
<w:pPr><w:pStyle w:val="Normal"/></w:pPr>
<w:r><w:t xml:space="preserve">demonstrated at once the defects of previous inquiries, and</w:t></w:r>
</w:p>
<w:p>
<w:pPr><w:pStyle w:val="Normal"/></w:pPr>
<w:r><w:t xml:space="preserve">how much it was possible to elucidate, by accurate research</w:t></w:r>
</w:p>
<w:p>
<w:pPr><w:pStyle w:val="Normal"/></w:pPr>
<w:r><w:t xml:space="preserve">and precise description, the structure of one of the most</w:t></w:r>
</w:p>
<w:p>
<w:pPr><w:pStyle w:val="Normal"/></w:pPr>
<w:r><w:t xml:space="preserve">important organs of the human frame.  It was republished</w:t></w:r>
</w:p>
<w:p>
<w:pPr><w:pStyle w:val="Normal"/></w:pPr>
<w:r><w:t xml:space="preserve">after his death by H. A. Wrisberg (1780).  About the same</w:t></w:r>
</w:p>
<w:p>
<w:pPr><w:pStyle w:val="Normal"/></w:pPr>
<w:r><w:t xml:space="preserve">time J. Weitbrecht gave a copious and minute account of the</w:t></w:r>
</w:p>
<w:p>
<w:pPr><w:pStyle w:val="Normal"/></w:pPr>
<w:r><w:t xml:space="preserve">ligaments, and J. Lieutaud (1703-1780), who had already laboured</w:t></w:r>
</w:p>
<w:p>
<w:pPr><w:pStyle w:val="Normal"/></w:pPr>
<w:r><w:t xml:space="preserve">to rectify many errors in anatomy, described with care the</w:t></w:r>
</w:p>
<w:p>
<w:pPr><w:pStyle w:val="Normal"/></w:pPr>
<w:r><w:t xml:space="preserve">structure and relations of the heart and its cavities, and</w:t></w:r>
</w:p>
<w:p>
<w:pPr><w:pStyle w:val="Normal"/></w:pPr>
<w:r><w:t xml:space="preserve">rendered the anatomy of the bladder very precise, by describing</w:t></w:r>
</w:p>
<w:p>
<w:pPr><w:pStyle w:val="Normal"/></w:pPr>
<w:r><w:t xml:space="preserve">the triangular space and the mammillary eminence at its neck.</w:t></w:r>
</w:p>
<w:p>
<w:pPr><w:pStyle w:val="Normal"/></w:pPr>
<w:r><w:t xml:space="preserve">The study of the minute anatomy of the tissues, which had</w:t></w:r>
</w:p>
<w:p>
<w:pPr><w:pStyle w:val="Normal"/></w:pPr>
<w:r><w:t xml:space="preserve">originally been commenced by Leeuwenhoek, Malpighi and</w:t></w:r>
</w:p>
<w:p>
<w:pPr><w:pStyle w:val="Normal"/></w:pPr>
<w:r><w:t xml:space="preserve">Ruysch, began at this period to attract more general</w:t></w:r>
</w:p>
<w:p>
<w:pPr><w:pStyle w:val="Normal"/></w:pPr>
<w:r><w:t xml:space="preserve">attention.  Karl August von Bergen had already demonstrated</w:t></w:r>
</w:p>
<w:p>
<w:pPr><w:pStyle w:val="Normal"/></w:pPr>
<w:r><w:t xml:space="preserve">(1732) the general distribution of cellular membrane, and</w:t></w:r>
</w:p>
<w:p>
<w:pPr><w:pStyle w:val="Normal"/></w:pPr>
<w:r><w:t xml:space="preserve">showed that it not only incloses every part of the animal</w:t></w:r>
</w:p>
<w:p>
<w:pPr><w:pStyle w:val="Normal"/></w:pPr>
<w:r><w:t xml:space="preserve">frame, but forms the basis of every organ--a doctrine</w:t></w:r>
</w:p>
<w:p>
<w:pPr><w:pStyle w:val="Normal"/></w:pPr>
<w:r><w:t xml:space="preserve">which was adopted and still more fully expanded (1757) by</w:t></w:r>
</w:p>
<w:p>
<w:pPr><w:pStyle w:val="Normal"/></w:pPr>
<w:r><w:t xml:space="preserve">his friend Haller, in opposition to what was asserted by</w:t></w:r>
</w:p>
<w:p>
<w:pPr><w:pStyle w:val="Normal"/></w:pPr>
<w:r><w:t xml:space="preserve">Albinus, who maintains that each part has a proper tissue.</w:t></w:r>
</w:p>
<w:p>
<w:pPr><w:pStyle w:val="Normal"/></w:pPr>
<w:r><w:t xml:space="preserve">W. Hunter.</w:t></w:r>
</w:p>
<w:p>
<w:pPr><w:pStyle w:val="Normal"/></w:pPr>
<w:r><w:t xml:space="preserve">William Hunter at the same time gave a clear and ingenious</w:t></w:r>
</w:p>
<w:p>
<w:pPr><w:pStyle w:val="Normal"/></w:pPr>
<w:r><w:t xml:space="preserve">statement of the difference between cellular membrane</w:t></w:r>
</w:p>
<w:p>
<w:pPr><w:pStyle w:val="Normal"/></w:pPr>
<w:r><w:t xml:space="preserve">and adipose tissue (1757), in which he maintained the</w:t></w:r>
</w:p>
<w:p>
<w:pPr><w:pStyle w:val="Normal"/></w:pPr>
<w:r><w:t xml:space="preserve">general distribution of the former, and represented it</w:t></w:r>
</w:p>
<w:p>
<w:pPr><w:pStyle w:val="Normal"/></w:pPr>
<w:r><w:t xml:space="preserve">as forming the serous membranes, and regulating their</w:t></w:r>
</w:p>
<w:p>
<w:pPr><w:pStyle w:val="Normal"/></w:pPr>
<w:r><w:t xml:space="preserve">physiological and pathological properties--doctrines which</w:t></w:r>
</w:p>
<w:p>
<w:pPr><w:pStyle w:val="Normal"/></w:pPr>
<w:r><w:t xml:space="preserve">were afterwards confirmed by his brother John Hunter.</w:t></w:r>
</w:p>
<w:p>
<w:pPr><w:pStyle w:val="Normal"/></w:pPr>
<w:r><w:t xml:space="preserve">A. Bonn.</w:t></w:r>
</w:p>
<w:p>
<w:pPr><w:pStyle w:val="Normal"/></w:pPr>
<w:r><w:t xml:space="preserve">A few years after, the department of general anatomy first</w:t></w:r>
</w:p>
<w:p>
<w:pPr><w:pStyle w:val="Normal"/></w:pPr>
<w:r><w:t xml:space="preserve">assumed a substantial form in the systematic view of the</w:t></w:r>
</w:p>
<w:p>
<w:pPr><w:pStyle w:val="Normal"/></w:pPr>
<w:r><w:t xml:space="preserve">membranes and their mutual connexions traced by Andrew Bonn of</w:t></w:r>
</w:p>
<w:p>
<w:pPr><w:pStyle w:val="Normal"/></w:pPr>
<w:r><w:t xml:space="preserve">Amsterdam.  In his inaugural dissertation De Continuationibus</w:t></w:r>
</w:p>
<w:p>
<w:pPr><w:pStyle w:val="Normal"/></w:pPr>
<w:r><w:t xml:space="preserve">Membranarum, published at Leiden in 1763, this author, after</w:t></w:r>
</w:p>
<w:p>
<w:pPr><w:pStyle w:val="Normal"/></w:pPr>
<w:r><w:t xml:space="preserve">some preliminary observations on membranes in general and</w:t></w:r>
</w:p>
<w:p>
<w:pPr><w:pStyle w:val="Normal"/></w:pPr>
<w:r><w:t xml:space="preserve">their structure, and an exposition of that of the skin, traces</w:t></w:r>
</w:p>
<w:p>
<w:pPr><w:pStyle w:val="Normal"/></w:pPr>
<w:r><w:t xml:space="preserve">its transition into the mucous membranes and their several</w:t></w:r>
</w:p>
<w:p>
<w:pPr><w:pStyle w:val="Normal"/></w:pPr>
<w:r><w:t xml:space="preserve">divisions.  He then explains the distribution of the cellular</w:t></w:r>
</w:p>
<w:p>
<w:pPr><w:pStyle w:val="Normal"/></w:pPr>
<w:r><w:t xml:space="preserve">membrane, the aponeurotic expansions, and the periosteum and</w:t></w:r>
</w:p>
<w:p>
<w:pPr><w:pStyle w:val="Normal"/></w:pPr>
<w:r><w:t xml:space="preserve">perichondrium, by either of which, he shows, every bone of the</w:t></w:r>
</w:p>
<w:p>
<w:pPr><w:pStyle w:val="Normal"/></w:pPr>
<w:r><w:t xml:space="preserve">skeleton is invested and connected.  He finally gives a very</w:t></w:r>
</w:p>
<w:p>
<w:pPr><w:pStyle w:val="Normal"/></w:pPr>
<w:r><w:t xml:space="preserve">distinct view of the arrangement of the internal membranes of</w:t></w:r>
</w:p>
<w:p>
<w:pPr><w:pStyle w:val="Normal"/></w:pPr>
<w:r><w:t xml:space="preserve">cavities, those named serous and fibro-serous, and the manner</w:t></w:r>
</w:p>
<w:p>
<w:pPr><w:pStyle w:val="Normal"/></w:pPr>
<w:r><w:t xml:space="preserve">of their distribution over the contained organs.  This essay,</w:t></w:r>
</w:p>
<w:p>
<w:pPr><w:pStyle w:val="Normal"/></w:pPr>
<w:r><w:t xml:space="preserve">which is a happy example of generalization, is remarkable</w:t></w:r>
</w:p>
<w:p>
<w:pPr><w:pStyle w:val="Normal"/></w:pPr>
<w:r><w:t xml:space="preserve">for the interesting general views of the structure of the</w:t></w:r>
</w:p>
<w:p>
<w:pPr><w:pStyle w:val="Normal"/></w:pPr>
<w:r><w:t xml:space="preserve">animal body which it exhibits; and to Bonn belongs the merit</w:t></w:r>
</w:p>
<w:p>
<w:pPr><w:pStyle w:val="Normal"/></w:pPr>
<w:r><w:t xml:space="preserve">of sketching the first outlines of that system which it was</w:t></w:r>
</w:p>
<w:p>
<w:pPr><w:pStyle w:val="Normal"/></w:pPr>
<w:r><w:t xml:space="preserve">reserved for the genius of M. F. X. Bichat to complete and</w:t></w:r>
</w:p>
<w:p>
<w:pPr><w:pStyle w:val="Normal"/></w:pPr>
<w:r><w:t xml:space="preserve">embellish.  Lastly, T. de Bordeu, in an elaborate essay</w:t></w:r>
</w:p>
<w:p>
<w:pPr><w:pStyle w:val="Normal"/></w:pPr>
<w:r><w:t xml:space="preserve">(1767) on the mucous tissue, or celluar organ, as he</w:t></w:r>
</w:p>
<w:p>
<w:pPr><w:pStyle w:val="Normal"/></w:pPr>
<w:r><w:t xml:space="preserve">terms it, brought forward some interesting views of the</w:t></w:r>
</w:p>
<w:p>
<w:pPr><w:pStyle w:val="Normal"/></w:pPr>
<w:r><w:t xml:space="preserve">constitution, nature and extent of the cellular membrane.</w:t></w:r>
</w:p>
<w:p>
<w:pPr><w:pStyle w:val="Normal"/></w:pPr>
<w:r><w:t xml:space="preserve">Though anatomy was hitherto cultivated with much success as</w:t></w:r>
</w:p>
<w:p>
<w:pPr><w:pStyle w:val="Normal"/></w:pPr>
<w:r><w:t xml:space="preserve">illustrating the natural history and morbid states of the</w:t></w:r>
</w:p>
<w:p>
<w:pPr><w:pStyle w:val="Normal"/></w:pPr>
<w:r><w:t xml:space="preserve">human body, yet little had been done for the elucidation</w:t></w:r>
</w:p>
<w:p>
<w:pPr><w:pStyle w:val="Normal"/></w:pPr>
<w:r><w:t xml:space="preserve">of local diseases, and the surgical means by which they may</w:t></w:r>
</w:p>
<w:p>
<w:pPr><w:pStyle w:val="Normal"/></w:pPr>
<w:r><w:t xml:space="preserve">be successfully treated.  The idea of applying anatomical</w:t></w:r>
</w:p>
<w:p>
<w:pPr><w:pStyle w:val="Normal"/></w:pPr>
<w:r><w:t xml:space="preserve">knowledge directly to this puroose appears to have originated</w:t></w:r>
</w:p>
<w:p>
<w:pPr><w:pStyle w:val="Normal"/></w:pPr>
<w:r><w:t xml:space="preserve">with Bernardin Genga, a Roman surgeon, who published in 1672,</w:t></w:r>
</w:p>
<w:p>
<w:pPr><w:pStyle w:val="Normal"/></w:pPr>
<w:r><w:t xml:space="preserve">at Rome, a work entitled Surgical Anatomy, or the Anatomical</w:t></w:r>
</w:p>
<w:p>
<w:pPr><w:pStyle w:val="Normal"/></w:pPr>
<w:r><w:t xml:space="preserve">History of the Bones and Muscles of the Human Body, with</w:t></w:r>
</w:p>
<w:p>
<w:pPr><w:pStyle w:val="Normal"/></w:pPr>
<w:r><w:t xml:space="preserve">the Description of the Blood- vessels. This work, which</w:t></w:r>
</w:p>
<w:p>
<w:pPr><w:pStyle w:val="Normal"/></w:pPr>
<w:r><w:t xml:space="preserve">reached a second edition in 1687, is highly creditable to the</w:t></w:r>
</w:p>
<w:p>
<w:pPr><w:pStyle w:val="Normal"/></w:pPr>
<w:r><w:t xml:space="preserve">author, who appears to have studied intimately the mutual</w:t></w:r>
</w:p>
<w:p>
<w:pPr><w:pStyle w:val="Normal"/></w:pPr>
<w:r><w:t xml:space="preserve">relations of different parts.  It is not improbable that</w:t></w:r>
</w:p>
<w:p>
<w:pPr><w:pStyle w:val="Normal"/></w:pPr>
<w:r><w:t xml:space="preserve">the example of Genga led J. Palfyn, a surgeon at Ghent, to</w:t></w:r>
</w:p>
<w:p>
<w:pPr><w:pStyle w:val="Normal"/></w:pPr>
<w:r><w:t xml:space="preserve">undertake a similar task about thirty years after (1718-</w:t></w:r>
</w:p>
<w:p>
<w:pPr><w:pStyle w:val="Normal"/></w:pPr>
<w:r><w:t xml:space="preserve">1726).  For this, however, he was by no means well qualified;</w:t></w:r>
</w:p>
<w:p>
<w:pPr><w:pStyle w:val="Normal"/></w:pPr>
<w:r><w:t xml:space="preserve">and the work of Palfyn, though bearing the name of Surgical</w:t></w:r>
</w:p>
<w:p>
<w:pPr><w:pStyle w:val="Normal"/></w:pPr>
<w:r><w:t xml:space="preserve">Anatomy, is a miserable compilation, meagre in details,</w:t></w:r>
</w:p>
<w:p>
<w:pPr><w:pStyle w:val="Normal"/></w:pPr>
<w:r><w:t xml:space="preserve">inaccurate in description, and altogether unworthy of the honour</w:t></w:r>
</w:p>
<w:p>
<w:pPr><w:pStyle w:val="Normal"/></w:pPr>
<w:r><w:t xml:space="preserve">of being republished, as it afterwards was by Antony Petit.</w:t></w:r>
</w:p>
<w:p>
<w:pPr><w:pStyle w:val="Normal"/></w:pPr>
<w:r><w:t xml:space="preserve">While these two authors, however, were usefully employed</w:t></w:r>
</w:p>
<w:p>
<w:pPr><w:pStyle w:val="Normal"/></w:pPr>
<w:r><w:t xml:space="preserve">in showing what was wanted for the surgeon, others were</w:t></w:r>
</w:p>
<w:p>
<w:pPr><w:pStyle w:val="Normal"/></w:pPr>
<w:r><w:t xml:space="preserve">occupied in the collection of new and more accurate facts.</w:t></w:r>
</w:p>
<w:p>
<w:pPr><w:pStyle w:val="Normal"/></w:pPr>
<w:r><w:t xml:space="preserve">Albinus, indeed, ever assiduous, had, in his account of the</w:t></w:r>
</w:p>
<w:p>
<w:pPr><w:pStyle w:val="Normal"/></w:pPr>
<w:r><w:t xml:space="preserve">operations of Rau, given some good sketches of the relative</w:t></w:r>
</w:p>
<w:p>
<w:pPr><w:pStyle w:val="Normal"/></w:pPr>
<w:r><w:t xml:space="preserve">anatomy of the bladder and urethra; and Cheselden had</w:t></w:r>
</w:p>
<w:p>
<w:pPr><w:pStyle w:val="Normal"/></w:pPr>
<w:r><w:t xml:space="preserve">already, in his mode of cutting into the urinary bladder,</w:t></w:r>
</w:p>
<w:p>
<w:pPr><w:pStyle w:val="Normal"/></w:pPr>
<w:r><w:t xml:space="preserve">shown the necessity of an exact knowledge of the relations</w:t></w:r>
</w:p>
<w:p>
<w:pPr><w:pStyle w:val="Normal"/></w:pPr>
<w:r><w:t xml:space="preserve">of contiguous parts.  The first decided application,</w:t></w:r>
</w:p>
<w:p>
<w:pPr><w:pStyle w:val="Normal"/></w:pPr>
<w:r><w:t xml:space="preserve">however, of this species of anatomical research it was</w:t></w:r>
</w:p>
<w:p>
<w:pPr><w:pStyle w:val="Normal"/></w:pPr>
<w:r><w:t xml:space="preserve">reserved for a Dutch anatomist of the 18th century to make.</w:t></w:r>
</w:p>
<w:p>
<w:pPr><w:pStyle w:val="Normal"/></w:pPr>
<w:r><w:t xml:space="preserve">Camper.</w:t></w:r>
</w:p>
<w:p>
<w:pPr><w:pStyle w:val="Normal"/></w:pPr>
<w:r><w:t xml:space="preserve">Peter Camper, professor of anatomy at Amsterdam, published</w:t></w:r>
</w:p>
<w:p>
<w:pPr><w:pStyle w:val="Normal"/></w:pPr>
<w:r><w:t xml:space="preserve">in 1760 and 1762 his anatomico- pathological demonstrations</w:t></w:r>
</w:p>
<w:p>
<w:pPr><w:pStyle w:val="Normal"/></w:pPr>
<w:r><w:t xml:space="preserve">of the parts of the human arm and pelvis, of the diseases</w:t></w:r>
</w:p>
<w:p>
<w:pPr><w:pStyle w:val="Normal"/></w:pPr>
<w:r><w:t xml:space="preserve">incident to them, and the mode of relieving them by operation,</w:t></w:r>
</w:p>
<w:p>
<w:pPr><w:pStyle w:val="Normal"/></w:pPr>
<w:r><w:t xml:space="preserve">and explained with great clearness the situation of the</w:t></w:r>
</w:p>
<w:p>
<w:pPr><w:pStyle w:val="Normal"/></w:pPr>
<w:r><w:t xml:space="preserve">blood-vessels, nerves and important muscles.  His remarks on</w:t></w:r>
</w:p>
<w:p>
<w:pPr><w:pStyle w:val="Normal"/></w:pPr>
<w:r><w:t xml:space="preserve">the lateral operation of lithotomy, which contain all that</w:t></w:r>
</w:p>
<w:p>
<w:pPr><w:pStyle w:val="Normal"/></w:pPr>
<w:r><w:t xml:space="preserve">was then known on the subject, are exceedingly interesting</w:t></w:r>
</w:p>
<w:p>
<w:pPr><w:pStyle w:val="Normal"/></w:pPr>
<w:r><w:t xml:space="preserve">and valuable to the surgeon.  It appears, further, that he</w:t></w:r>
</w:p>
<w:p>
<w:pPr><w:pStyle w:val="Normal"/></w:pPr>
<w:r><w:t xml:space="preserve">was the first who examined anatomically the mechanism of</w:t></w:r>
</w:p>
<w:p>
<w:pPr><w:pStyle w:val="Normal"/></w:pPr>
<w:r><w:t xml:space="preserve">ruptures, his delineations of which were published in 1801</w:t></w:r>
</w:p>
<w:p>
<w:pPr><w:pStyle w:val="Normal"/></w:pPr>
<w:r><w:t xml:space="preserve">by S. T. Sommerring.  Camper also wrote some important</w:t></w:r>
</w:p>
<w:p>
<w:pPr><w:pStyle w:val="Normal"/></w:pPr>
<w:r><w:t xml:space="preserve">memoirs on Comparative Anatomy, and he was the author of a</w:t></w:r>
</w:p>
<w:p>
<w:pPr><w:pStyle w:val="Normal"/></w:pPr>
<w:r><w:t xml:space="preserve">well-known work on the Relations of Anatomy to the Fine Arts.</w:t></w:r>
</w:p>
<w:p>
<w:pPr><w:pStyle w:val="Normal"/></w:pPr>
<w:r><w:t xml:space="preserve">The attention of anatomists was now directed to the elucidation</w:t></w:r>
</w:p>
<w:p>
<w:pPr><w:pStyle w:val="Normal"/></w:pPr>
<w:r><w:t xml:space="preserve">of the most obscure and least explored parts of the human</w:t></w:r>
</w:p>
<w:p>
<w:pPr><w:pStyle w:val="Normal"/></w:pPr>
<w:r><w:t xml:space="preserve">frame--the lymphatic vessels and the nerves.  Although, since</w:t></w:r>
</w:p>
<w:p>
<w:pPr><w:pStyle w:val="Normal"/></w:pPr>
<w:r><w:t xml:space="preserve">the first discovery of the former by Aselli, Rudbeck and Pecquet.</w:t></w:r>
</w:p>
<w:p>
<w:pPr><w:pStyle w:val="Normal"/></w:pPr>
<w:r><w:t xml:space="preserve">much had been done, especially by Ruysch, Nuck, Meckel and</w:t></w:r>
</w:p>
<w:p>
<w:pPr><w:pStyle w:val="Normal"/></w:pPr>
<w:r><w:t xml:space="preserve">Haller, many points, notwithstanding, relating to their origin</w:t></w:r>
</w:p>
<w:p>
<w:pPr><w:pStyle w:val="Normal"/></w:pPr>
<w:r><w:t xml:space="preserve">and distribution in particular organs, and in the several classes</w:t></w:r>
</w:p>
<w:p>
<w:pPr><w:pStyle w:val="Normal"/></w:pPr>
<w:r><w:t xml:space="preserve">of animals, were imperfectly ascertained or entirely unknown.</w:t></w:r>
</w:p>
<w:p>
<w:pPr><w:pStyle w:val="Normal"/></w:pPr>
<w:r><w:t xml:space="preserve">W. and J. Hunter.</w:t></w:r>
</w:p>
<w:p>
<w:pPr><w:pStyle w:val="Normal"/></w:pPr>
<w:r><w:t xml:space="preserve">William Hunter investigated their arrangement, and proposed</w:t></w:r>
</w:p>
<w:p>
<w:pPr><w:pStyle w:val="Normal"/></w:pPr>
<w:r><w:t xml:space="preserve">the doctrine that they are absorbents; and John Hunter, who</w:t></w:r>
</w:p>
<w:p>
<w:pPr><w:pStyle w:val="Normal"/></w:pPr>
<w:r><w:t xml:space="preserve">undertook to demonstrate the truth of this hypothesis by</w:t></w:r>
</w:p>
<w:p>
<w:pPr><w:pStyle w:val="Normal"/></w:pPr>
<w:r><w:t xml:space="preserve">experiment, discovered, in 1758, lymphatics in the neck in birds.</w:t></w:r>
</w:p>
<w:p>
<w:pPr><w:pStyle w:val="Normal"/></w:pPr>
<w:r><w:t xml:space="preserve">Hewson.</w:t></w:r>
</w:p>
<w:p>
<w:pPr><w:pStyle w:val="Normal"/></w:pPr>
<w:r><w:t xml:space="preserve">As the doctrine required the existence of this order of</w:t></w:r>
</w:p>
<w:p>
<w:pPr><w:pStyle w:val="Normal"/></w:pPr>
<w:r><w:t xml:space="preserve">vessels, not only in quadrupeds and birds but in reptiles and</w:t></w:r>
</w:p>
<w:p>
<w:pPr><w:pStyle w:val="Normal"/></w:pPr>
<w:r><w:t xml:space="preserve">fishes, the inquiry attracted attention among the pupils of</w:t></w:r>
</w:p>
<w:p>
<w:pPr><w:pStyle w:val="Normal"/></w:pPr>
<w:r><w:t xml:space="preserve">Hunter; and William Hewson16 at length communicated, in</w:t></w:r>
</w:p>
<w:p>
<w:pPr><w:pStyle w:val="Normal"/></w:pPr>
<w:r><w:t xml:space="preserve">December 1768, to the Royal Society of London an account of the</w:t></w:r>
</w:p>
<w:p>
<w:pPr><w:pStyle w:val="Normal"/></w:pPr>
<w:r><w:t xml:space="preserve">lacteals and lymphatics in birds, fishes and reptiles, as he</w:t></w:r>
</w:p>
<w:p>
<w:pPr><w:pStyle w:val="Normal"/></w:pPr>
<w:r><w:t xml:space="preserve">had discovered and demonstrated them.  The subject was about</w:t></w:r>
</w:p>
<w:p>
<w:pPr><w:pStyle w:val="Normal"/></w:pPr>
<w:r><w:t xml:space="preserve">the same time investigated by the second Alexander Monro, who</w:t></w:r>
</w:p>
<w:p>
<w:pPr><w:pStyle w:val="Normal"/></w:pPr>
<w:r><w:t xml:space="preserve">indeed claimed the merit of discovering these vessels in the</w:t></w:r>
</w:p>
<w:p>
<w:pPr><w:pStyle w:val="Normal"/></w:pPr>
<w:r><w:t xml:space="preserve">classes of animals now mentioned.  But whatever researches</w:t></w:r>
</w:p>
<w:p>
<w:pPr><w:pStyle w:val="Normal"/></w:pPr>
<w:r><w:t xml:space="preserve">this anatomist may have instituted, Hewson, by communicating</w:t></w:r>
</w:p>
<w:p>
<w:pPr><w:pStyle w:val="Normal"/></w:pPr>
<w:r><w:t xml:space="preserve">his observations to the Royal Society, must be allowed</w:t></w:r>
</w:p>
<w:p>
<w:pPr><w:pStyle w:val="Normal"/></w:pPr>
<w:r><w:t xml:space="preserve">to possess the strongest as well as the clearest claim to</w:t></w:r>
</w:p>
<w:p>
<w:pPr><w:pStyle w:val="Normal"/></w:pPr>
<w:r><w:t xml:space="preserve">discovery.  The same author, in 1774, gave the first complete</w:t></w:r>
</w:p>
<w:p>
<w:pPr><w:pStyle w:val="Normal"/></w:pPr>
<w:r><w:t xml:space="preserve">account of the anatomical peculiarities of the lymphatic</w:t></w:r>
</w:p>
<w:p>
<w:pPr><w:pStyle w:val="Normal"/></w:pPr>
<w:r><w:t xml:space="preserve">system in man and other animals, and thereby supplied an</w:t></w:r>
</w:p>
<w:p>
<w:pPr><w:pStyle w:val="Normal"/></w:pPr>
<w:r><w:t xml:space="preserve">important gap in this department.  Hewson is the first who</w:t></w:r>
</w:p>
<w:p>
<w:pPr><w:pStyle w:val="Normal"/></w:pPr>
<w:r><w:t xml:space="preserve">distinguishes the lymphatics into two orders--the superficial</w:t></w:r>
</w:p>
<w:p>
<w:pPr><w:pStyle w:val="Normal"/></w:pPr>
<w:r><w:t xml:space="preserve">and the deep--both in the extremities and in the internal</w:t></w:r>
</w:p>
<w:p>
<w:pPr><w:pStyle w:val="Normal"/></w:pPr>
<w:r><w:t xml:space="preserve">organs.  He also studied the structure of the intestinal</w:t></w:r>
</w:p>
<w:p>
<w:pPr><w:pStyle w:val="Normal"/></w:pPr>
<w:r><w:t xml:space="preserve">villi, in which he verified the observations of Lieberkuhn;</w:t></w:r>
</w:p>
<w:p>
<w:pPr><w:pStyle w:val="Normal"/></w:pPr>
<w:r><w:t xml:space="preserve">and he made many important observations on the corpuscles</w:t></w:r>
</w:p>
<w:p>
<w:pPr><w:pStyle w:val="Normal"/></w:pPr>
<w:r><w:t xml:space="preserve">of the lymph and blood.  He finally applied his anatomical</w:t></w:r>
</w:p>
<w:p>
<w:pPr><w:pStyle w:val="Normal"/></w:pPr>
<w:r><w:t xml:space="preserve">discoveries to explain many of the physiological and</w:t></w:r>
</w:p>
<w:p>
<w:pPr><w:pStyle w:val="Normal"/></w:pPr>
<w:r><w:t xml:space="preserve">pathological phenomena of the animal body.  Ten years after,</w:t></w:r>
</w:p>
<w:p>
<w:pPr><w:pStyle w:val="Normal"/></w:pPr>
<w:r><w:t xml:space="preserve">John Sheldon, another pupil of Hunter, gave a second history</w:t></w:r>
</w:p>
<w:p>
<w:pPr><w:pStyle w:val="Normal"/></w:pPr>
<w:r><w:t xml:space="preserve">and description of the lymphatics, which, though divested of</w:t></w:r>
</w:p>
<w:p>
<w:pPr><w:pStyle w:val="Normal"/></w:pPr>
<w:r><w:t xml:space="preserve">the charm of novelty, contains many interesting anatomical</w:t></w:r>
</w:p>
<w:p>
<w:pPr><w:pStyle w:val="Normal"/></w:pPr>
<w:r><w:t xml:space="preserve">facts.  He also examined the structure of the villi.</w:t></w:r>
</w:p>
<w:p>
<w:pPr><w:pStyle w:val="Normal"/></w:pPr>
<w:r><w:t xml:space="preserve">Cruikshank.</w:t></w:r>
</w:p>
<w:p>
<w:pPr><w:pStyle w:val="Normal"/></w:pPr>
<w:r><w:t xml:space="preserve">Lastly, Cruikshank,17 in 1786, published a valuable history</w:t></w:r>
</w:p>
<w:p>
<w:pPr><w:pStyle w:val="Normal"/></w:pPr>
<w:r><w:t xml:space="preserve">of the anatomy of the lymphatic system, in which he maintains</w:t></w:r>
</w:p>
<w:p>
<w:pPr><w:pStyle w:val="Normal"/></w:pPr>
<w:r><w:t xml:space="preserve">the accuracy of the Hunterian doctrine, that the lymphatics are</w:t></w:r>
</w:p>
<w:p>
<w:pPr><w:pStyle w:val="Normal"/></w:pPr>
<w:r><w:t xml:space="preserve">the only absorbents; gave a more minute account than heretofore</w:t></w:r>
</w:p>
<w:p>
<w:pPr><w:pStyle w:val="Normal"/></w:pPr>
<w:r><w:t xml:space="preserve">of these vessels, of their coats and valves; and explained</w:t></w:r>
</w:p>
<w:p>
<w:pPr><w:pStyle w:val="Normal"/></w:pPr>
<w:r><w:t xml:space="preserve">the structure of the lymphatic glands.  He also injected the</w:t></w:r>
</w:p>
<w:p>
<w:pPr><w:pStyle w:val="Normal"/></w:pPr>
<w:r><w:t xml:space="preserve">villi, and examined them microscopically, verifying most of the</w:t></w:r>
</w:p>
<w:p>
<w:pPr><w:pStyle w:val="Normal"/></w:pPr>
<w:r><w:t xml:space="preserve">observations of Lieberkuhn . The origin of the lymphatics he</w:t></w:r>
</w:p>
<w:p>
<w:pPr><w:pStyle w:val="Normal"/></w:pPr>
<w:r><w:t xml:space="preserve">maintains rather by inference than direct demonstration.  To</w:t></w:r>
</w:p>
<w:p>
<w:pPr><w:pStyle w:val="Normal"/></w:pPr>
<w:r><w:t xml:space="preserve">these three works, though in other respects very excellent, it</w:t></w:r>
</w:p>
<w:p>
<w:pPr><w:pStyle w:val="Normal"/></w:pPr>
<w:r><w:t xml:space="preserve">is a considerable objection that the anatomical descriptions</w:t></w:r>
</w:p>
<w:p>
<w:pPr><w:pStyle w:val="Normal"/></w:pPr>
<w:r><w:t xml:space="preserve">are much mixed with hypothetical speculation and reasonings</w:t></w:r>
</w:p>
<w:p>
<w:pPr><w:pStyle w:val="Normal"/></w:pPr>
<w:r><w:t xml:space="preserve">on properties, and that the facts are by no means always</w:t></w:r>
</w:p>
<w:p>
<w:pPr><w:pStyle w:val="Normal"/></w:pPr>
<w:r><w:t xml:space="preserve">distinguished from mere matters of opinion.  At the same time</w:t></w:r>
</w:p>
<w:p>
<w:pPr><w:pStyle w:val="Normal"/></w:pPr>
<w:r><w:t xml:space="preserve">J. G. Haase published an account of the lymphatics of the</w:t></w:r>
</w:p>
<w:p>
<w:pPr><w:pStyle w:val="Normal"/></w:pPr>
<w:r><w:t xml:space="preserve">skin and intestines, and the plexiform nets of the pelvis.</w:t></w:r>
</w:p>
<w:p>
<w:pPr><w:pStyle w:val="Normal"/></w:pPr>
<w:r><w:t xml:space="preserve">Mascagni.</w:t></w:r>
</w:p>
<w:p>
<w:pPr><w:pStyle w:val="Normal"/></w:pPr>
<w:r><w:t xml:space="preserve">To complete this sketch of the history of the anatomy of</w:t></w:r>
</w:p>
<w:p>
<w:pPr><w:pStyle w:val="Normal"/></w:pPr>
<w:r><w:t xml:space="preserve">the lymphatic system, it may be added that Paolo Mascagni,</w:t></w:r>
</w:p>
<w:p>
<w:pPr><w:pStyle w:val="Normal"/></w:pPr>
<w:r><w:t xml:space="preserve">who had been engaged from the year 1777 to 1781 in the same</w:t></w:r>
</w:p>
<w:p>
<w:pPr><w:pStyle w:val="Normal"/></w:pPr>
<w:r><w:t xml:space="preserve">train of investigation, first demonstrated to his pupils</w:t></w:r>
</w:p>
<w:p>
<w:pPr><w:pStyle w:val="Normal"/></w:pPr>
<w:r><w:t xml:space="preserve">several curious facts relating to the anatomy of the lymphatic</w:t></w:r>
</w:p>
<w:p>
<w:pPr><w:pStyle w:val="Normal"/></w:pPr>
<w:r><w:t xml:space="preserve">system.  When at Florence in 1782 he made several preparations,</w:t></w:r>
</w:p>
<w:p>
<w:pPr><w:pStyle w:val="Normal"/></w:pPr>
<w:r><w:t xml:space="preserve">at the request of Peter Leopold, grand duke of Tuscany;</w:t></w:r>
</w:p>
<w:p>
<w:pPr><w:pStyle w:val="Normal"/></w:pPr>
<w:r><w:t xml:space="preserve">and when the Royal Academy of Sciences at Paris announced</w:t></w:r>
</w:p>
<w:p>
<w:pPr><w:pStyle w:val="Normal"/></w:pPr>
<w:r><w:t xml:space="preserve">the anatomy of this system for their prize essay appointed</w:t></w:r>
</w:p>
<w:p>
<w:pPr><w:pStyle w:val="Normal"/></w:pPr>
<w:r><w:t xml:space="preserve">for March 1784, Mascagni resolved on communicating to the</w:t></w:r>
</w:p>
<w:p>
<w:pPr><w:pStyle w:val="Normal"/></w:pPr>
<w:r><w:t xml:space="preserve">public the results of his researches--the first part of his</w:t></w:r>
</w:p>
<w:p>
<w:pPr><w:pStyle w:val="Normal"/></w:pPr>
<w:r><w:t xml:space="preserve">commentary, with four engravings.  Anxiety, however, to complete</w:t></w:r>
</w:p>
<w:p>
<w:pPr><w:pStyle w:val="Normal"/></w:pPr>
<w:r><w:t xml:space="preserve">his preparations detained him at Florence till the close</w:t></w:r>
</w:p>
<w:p>
<w:pPr><w:pStyle w:val="Normal"/></w:pPr>
<w:r><w:t xml:space="preserve">of 1785; and from these causes his work did not appear till</w:t></w:r>
</w:p>
<w:p>
<w:pPr><w:pStyle w:val="Normal"/></w:pPr>
<w:r><w:t xml:space="preserve">1787.  These delays, however, unfavourable as they were to</w:t></w:r>
</w:p>
<w:p>
<w:pPr><w:pStyle w:val="Normal"/></w:pPr>
<w:r><w:t xml:space="preserve">his claims of priority to Sheldon and Cruikshank, were on</w:t></w:r>
</w:p>
<w:p>
<w:pPr><w:pStyle w:val="Normal"/></w:pPr>
<w:r><w:t xml:space="preserve">the whole advantageous to the perfection of his work, which</w:t></w:r>
</w:p>
<w:p>
<w:pPr><w:pStyle w:val="Normal"/></w:pPr>
<w:r><w:t xml:space="preserve">is not only the most magnificent, but also the most complete</w:t></w:r>
</w:p>
<w:p>
<w:pPr><w:pStyle w:val="Normal"/></w:pPr>
<w:r><w:t xml:space="preserve">that ever was published on the lymphatics.  In his account</w:t></w:r>
</w:p>
<w:p>
<w:pPr><w:pStyle w:val="Normal"/></w:pPr>
<w:r><w:t xml:space="preserve">of the vessels and their valves he confirms some of Hewson&apos;s</w:t></w:r>
</w:p>
<w:p>
<w:pPr><w:pStyle w:val="Normal"/></w:pPr>
<w:r><w:t xml:space="preserve">observations and rectifies others.  Their origin he proves</w:t></w:r>
</w:p>
<w:p>
<w:pPr><w:pStyle w:val="Normal"/></w:pPr>
<w:r><w:t xml:space="preserve">by inference much in the same manner as Cruikshank; but he</w:t></w:r>
</w:p>
<w:p>
<w:pPr><w:pStyle w:val="Normal"/></w:pPr>
<w:r><w:t xml:space="preserve">anticipates this author in the account of the glands, and he</w:t></w:r>
</w:p>
<w:p>
<w:pPr><w:pStyle w:val="Normal"/></w:pPr>
<w:r><w:t xml:space="preserve">gives the most minute description of the superficial and deep</w:t></w:r>
</w:p>
<w:p>
<w:pPr><w:pStyle w:val="Normal"/></w:pPr>
<w:r><w:t xml:space="preserve">lymphatics, both in the members and in the internal organs.</w:t></w:r>
</w:p>
<w:p>
<w:pPr><w:pStyle w:val="Normal"/></w:pPr>
<w:r><w:t xml:space="preserve">General accounts of the nerves had been given with various</w:t></w:r>
</w:p>
<w:p>
<w:pPr><w:pStyle w:val="Normal"/></w:pPr>
<w:r><w:t xml:space="preserve">degrees of accuracy by Willis, Vieussens, Winslow, and the first</w:t></w:r>
</w:p>
<w:p>
<w:pPr><w:pStyle w:val="Normal"/></w:pPr>
<w:r><w:t xml:space="preserve">Monro; and the subject had been much rectified and improved</w:t></w:r>
</w:p>
<w:p>
<w:pPr><w:pStyle w:val="Normal"/></w:pPr>
<w:r><w:t xml:space="preserve">by the indefatigable Haller.  The first example of minute</w:t></w:r>
</w:p>
<w:p>
<w:pPr><w:pStyle w:val="Normal"/></w:pPr>
<w:r><w:t xml:space="preserve">descriptive neurography was given in 1748 by John Frederick</w:t></w:r>
</w:p>
<w:p>
<w:pPr><w:pStyle w:val="Normal"/></w:pPr>
<w:r><w:t xml:space="preserve">Meckel, whose account of the fifth pair and of the nerves</w:t></w:r>
</w:p>
<w:p>
<w:pPr><w:pStyle w:val="Normal"/></w:pPr>
<w:r><w:t xml:space="preserve">of the face will long remain a lasting proof of accuracy and</w:t></w:r>
</w:p>
<w:p>
<w:pPr><w:pStyle w:val="Normal"/></w:pPr>
<w:r><w:t xml:space="preserve">research.  The same subject was investigated in 1765 by Hirsch</w:t></w:r>
</w:p>
<w:p>
<w:pPr><w:pStyle w:val="Normal"/></w:pPr>
<w:r><w:t xml:space="preserve">and in 1777 by Wrisberg.  In 1766 Metzger examined the origin,</w:t></w:r>
</w:p>
<w:p>
<w:pPr><w:pStyle w:val="Normal"/></w:pPr>
<w:r><w:t xml:space="preserve">distribution and termination of the first pair--a point which</w:t></w:r>
</w:p>
<w:p>
<w:pPr><w:pStyle w:val="Normal"/></w:pPr>
<w:r><w:t xml:space="preserve">was afterwards very minutely treated by A. Scarpa18 in his</w:t></w:r>
</w:p>
<w:p>
<w:pPr><w:pStyle w:val="Normal"/></w:pPr>
<w:r><w:t xml:space="preserve">anatomical disquisitions, published in 1780; and the internal</w:t></w:r>
</w:p>
<w:p>
<w:pPr><w:pStyle w:val="Normal"/></w:pPr>
<w:r><w:t xml:space="preserve">nerves of the nostrils were examined in 1791 by Haase.  The</w:t></w:r>
</w:p>
<w:p>
<w:pPr><w:pStyle w:val="Normal"/></w:pPr>
<w:r><w:t xml:space="preserve">optic nerve, which had been studied originally by Varoli, and</w:t></w:r>
</w:p>
<w:p>
<w:pPr><w:pStyle w:val="Normal"/></w:pPr>
<w:r><w:t xml:space="preserve">afterwards by Mery, Duverney, J. F. Henkel, Moeller, Hein</w:t></w:r>
</w:p>
<w:p>
<w:pPr><w:pStyle w:val="Normal"/></w:pPr>
<w:r><w:t xml:space="preserve">and Kaldschmid, was examined with extreme accuracy, with the</w:t></w:r>
</w:p>
<w:p>
<w:pPr><w:pStyle w:val="Normal"/></w:pPr>
<w:r><w:t xml:space="preserve">other nerves of the organ of vision, by Zinn in his elaborate</w:t></w:r>
</w:p>
<w:p>
<w:pPr><w:pStyle w:val="Normal"/></w:pPr>
<w:r><w:t xml:space="preserve">treatise.  The phrenic nerves and the oesophageal branches of</w:t></w:r>
</w:p>
<w:p>
<w:pPr><w:pStyle w:val="Normal"/></w:pPr>
<w:r><w:t xml:space="preserve">the vagus were studied by Haase; the phrenic, the abdominal</w:t></w:r>
</w:p>
<w:p>
<w:pPr><w:pStyle w:val="Normal"/></w:pPr>
<w:r><w:t xml:space="preserve">and the pharyngeal nerves, by Wrisberg; those of the heart</w:t></w:r>
</w:p>
<w:p>
<w:pPr><w:pStyle w:val="Normal"/></w:pPr>
<w:r><w:t xml:space="preserve">most minutely by Andersch; and the origins, formation and</w:t></w:r>
</w:p>
<w:p>
<w:pPr><w:pStyle w:val="Normal"/></w:pPr>
<w:r><w:t xml:space="preserve">distribution of the intercostal nerves, by Iwanov, C. G.</w:t></w:r>
</w:p>
<w:p>
<w:pPr><w:pStyle w:val="Normal"/></w:pPr>
<w:r><w:t xml:space="preserve">Ludwig, and Girardi.  The labours of these anatomists, however,</w:t></w:r>
</w:p>
<w:p>
<w:pPr><w:pStyle w:val="Normal"/></w:pPr>
<w:r><w:t xml:space="preserve">were eclipsed by the splendid works of Walter (1783) on the</w:t></w:r>
</w:p>
<w:p>
<w:pPr><w:pStyle w:val="Normal"/></w:pPr>
<w:r><w:t xml:space="preserve">nerves of the chest and belly; and those of Scarpa (1794) on</w:t></w:r>
</w:p>
<w:p>
<w:pPr><w:pStyle w:val="Normal"/></w:pPr>
<w:r><w:t xml:space="preserve">the distribution of the eighth pair and splanchnic nerves in</w:t></w:r>
</w:p>
<w:p>
<w:pPr><w:pStyle w:val="Normal"/></w:pPr>
<w:r><w:t xml:space="preserve">general.  In minuteness of description and in beauty of engraving</w:t></w:r>
</w:p>
<w:p>
<w:pPr><w:pStyle w:val="Normal"/></w:pPr>
<w:r><w:t xml:space="preserve">these works have not yet been equalled, and will never perhaps be</w:t></w:r>
</w:p>
<w:p>
<w:pPr><w:pStyle w:val="Normal"/></w:pPr>
<w:r><w:t xml:space="preserve">surpassed.  About the same time, Scarpa, so distinguished in</w:t></w:r>
</w:p>
<w:p>
<w:pPr><w:pStyle w:val="Normal"/></w:pPr>
<w:r><w:t xml:space="preserve">every branch of anatomical research, investigated the minute</w:t></w:r>
</w:p>
<w:p>
<w:pPr><w:pStyle w:val="Normal"/></w:pPr>
<w:r><w:t xml:space="preserve">structure of the ganglions and plexuses.  The anatomy of the</w:t></w:r>
</w:p>
<w:p>
<w:pPr><w:pStyle w:val="Normal"/></w:pPr>
<w:r><w:t xml:space="preserve">brain itself was also studied (1780) with great attention</w:t></w:r>
</w:p>
<w:p>
<w:pPr><w:pStyle w:val="Normal"/></w:pPr>
<w:r><w:t xml:space="preserve">by the second Monro, M. V. G. Malacarne and Vicq d&apos;Azyr.</w:t></w:r>
</w:p>
<w:p>
<w:pPr><w:pStyle w:val="Normal"/></w:pPr>
<w:r><w:t xml:space="preserve">Lastly, the anatomy of the gravid uterus, which had been originally</w:t></w:r>
</w:p>
<w:p>
<w:pPr><w:pStyle w:val="Normal"/></w:pPr>
<w:r><w:t xml:space="preserve">studied by Albinus, Roederer and Smellie, was again illustrated</w:t></w:r>
</w:p>
<w:p>
<w:pPr><w:pStyle w:val="Normal"/></w:pPr>
<w:r><w:t xml:space="preserve">(1774) most completely by William Hunter, whose engravings will</w:t></w:r>
</w:p>
<w:p>
<w:pPr><w:pStyle w:val="Normal"/></w:pPr>
<w:r><w:t xml:space="preserve">remain a lasting memorial of scientific zeal and artistic talent.</w:t></w:r>
</w:p>
<w:p>
<w:pPr><w:pStyle w:val="Normal"/></w:pPr>
<w:r><w:t xml:space="preserve">19th century.</w:t></w:r>
</w:p>
<w:p>
<w:pPr><w:pStyle w:val="Normal"/></w:pPr>
<w:r><w:t xml:space="preserve">The perfection which anatomical science attained in the last</w:t></w:r>
</w:p>
<w:p>
<w:pPr><w:pStyle w:val="Normal"/></w:pPr>
<w:r><w:t xml:space="preserve">ten years of the 18th and during the 19th century is evinced</w:t></w:r>
</w:p>
<w:p>
<w:pPr><w:pStyle w:val="Normal"/></w:pPr>
<w:r><w:t xml:space="preserve">not only in the improved character of the systems published by</w:t></w:r>
</w:p>
<w:p>
<w:pPr><w:pStyle w:val="Normal"/></w:pPr>
<w:r><w:t xml:space="preserve">anatomists, but in the enormous advance which has taken place in</w:t></w:r>
</w:p>
<w:p>
<w:pPr><w:pStyle w:val="Normal"/></w:pPr>
<w:r><w:t xml:space="preserve">the knowledge of the minute structure of the animal tissues, of</w:t></w:r>
</w:p>
<w:p>
<w:pPr><w:pStyle w:val="Normal"/></w:pPr>
<w:r><w:t xml:space="preserve">the development of the tissues and organs, and of the modifications</w:t></w:r>
</w:p>
<w:p>
<w:pPr><w:pStyle w:val="Normal"/></w:pPr>
<w:r><w:t xml:space="preserve">in form and structure exhibited by various groups of animals.</w:t></w:r>
</w:p>
<w:p>
<w:pPr><w:pStyle w:val="Normal"/></w:pPr>
<w:r><w:t xml:space="preserve">Sommering.</w:t></w:r>
</w:p>
<w:p>
<w:pPr><w:pStyle w:val="Normal"/></w:pPr>
<w:r><w:t xml:space="preserve">The first who gave a good modern system was R. B. Sabatier;</w:t></w:r>
</w:p>
<w:p>
<w:pPr><w:pStyle w:val="Normal"/></w:pPr>
<w:r><w:t xml:space="preserve">but his work was speedily eclipsed by the superior merits of</w:t></w:r>
</w:p>
<w:p>
<w:pPr><w:pStyle w:val="Normal"/></w:pPr>
<w:r><w:t xml:space="preserve">the treatises of Sommerring, Bichat and Portal.  The excellent</w:t></w:r>
</w:p>
<w:p>
<w:pPr><w:pStyle w:val="Normal"/></w:pPr>
<w:r><w:t xml:space="preserve">work by Samuel Thomas Sommerring, originally published in</w:t></w:r>
</w:p>
<w:p>
<w:pPr><w:pStyle w:val="Normal"/></w:pPr>
<w:r><w:t xml:space="preserve">the German languaae. between the years 1791 and 1796; then</w:t></w:r>
</w:p>
<w:p>
<w:pPr><w:pStyle w:val="Normal"/></w:pPr>
<w:r><w:t xml:space="preserve">in the Latin language, between the years 1794 and 1800;</w:t></w:r>
</w:p>
<w:p>
<w:pPr><w:pStyle w:val="Normal"/></w:pPr>
<w:r><w:t xml:space="preserve">and in a second edition in the German language in 1800 and</w:t></w:r>
</w:p>
<w:p>
<w:pPr><w:pStyle w:val="Normal"/></w:pPr>
<w:r><w:t xml:space="preserve">1801, maintaining the high character which it first possessed</w:t></w:r>
</w:p>
<w:p>
<w:pPr><w:pStyle w:val="Normal"/></w:pPr>
<w:r><w:t xml:space="preserve">for clear arrangement, accurate description and general</w:t></w:r>
</w:p>
<w:p>
<w:pPr><w:pStyle w:val="Normal"/></w:pPr>
<w:r><w:t xml:space="preserve">precision, was, between the years 1841 and 1844 republished</w:t></w:r>
</w:p>
<w:p>
<w:pPr><w:pStyle w:val="Normal"/></w:pPr>
<w:r><w:t xml:space="preserve">in eight volumes at Leipzig by Th. L. W. Bischoff, F. G. J.</w:t></w:r>
</w:p>
<w:p>
<w:pPr><w:pStyle w:val="Normal"/></w:pPr>
<w:r><w:t xml:space="preserve">Henle, E. H. Huschke, Theile, G. G. Valentin, Vogel, and R.</w:t></w:r>
</w:p>
<w:p>
<w:pPr><w:pStyle w:val="Normal"/></w:pPr>
<w:r><w:t xml:space="preserve">Wagner, with suitable additions, and a large amount of new</w:t></w:r>
</w:p>
<w:p>
<w:pPr><w:pStyle w:val="Normal"/></w:pPr>
<w:r><w:t xml:space="preserve">and accurate information.  In this edition Rudolph Wagner</w:t></w:r>
</w:p>
<w:p>
<w:pPr><w:pStyle w:val="Normal"/></w:pPr>
<w:r><w:t xml:space="preserve">gives, in the first division of the first volume, the life,</w:t></w:r>
</w:p>
<w:p>
<w:pPr><w:pStyle w:val="Normal"/></w:pPr>
<w:r><w:t xml:space="preserve">correspondence and literary writings of Sommerring; and in</w:t></w:r>
</w:p>
<w:p>
<w:pPr><w:pStyle w:val="Normal"/></w:pPr>
<w:r><w:t xml:space="preserve">the second volume the anatomy of the bones and ligaments.</w:t></w:r>
</w:p>
<w:p>
<w:pPr><w:pStyle w:val="Normal"/></w:pPr>
<w:r><w:t xml:space="preserve">The third volume contains the anatomy of the muscles and</w:t></w:r>
</w:p>
<w:p>
<w:pPr><w:pStyle w:val="Normal"/></w:pPr>
<w:r><w:t xml:space="preserve">the vascular system by Theile.  G. G. Valentin devotes one</w:t></w:r>
</w:p>
<w:p>
<w:pPr><w:pStyle w:val="Normal"/></w:pPr>
<w:r><w:t xml:space="preserve">volume, the fourth, to the minute anatomy of the nervous</w:t></w:r>
</w:p>
<w:p>
<w:pPr><w:pStyle w:val="Normal"/></w:pPr>
<w:r><w:t xml:space="preserve">system and its parts, as disclosed by careful examination by</w:t></w:r>
</w:p>
<w:p>
<w:pPr><w:pStyle w:val="Normal"/></w:pPr>
<w:r><w:t xml:space="preserve">the microscope; and it must be allowed that the author has</w:t></w:r>
</w:p>
<w:p>
<w:pPr><w:pStyle w:val="Normal"/></w:pPr>
<w:r><w:t xml:space="preserve">been at great pains to present just views of the true anatomy</w:t></w:r>
</w:p>
<w:p>
<w:pPr><w:pStyle w:val="Normal"/></w:pPr>
<w:r><w:t xml:space="preserve">of the brain, the spinal cord, the nervous branches and the</w:t></w:r>
</w:p>
<w:p>
<w:pPr><w:pStyle w:val="Normal"/></w:pPr>
<w:r><w:t xml:space="preserve">ganglia.  In the fifth volume, E. H. Huschke of Jena gives</w:t></w:r>
</w:p>
<w:p>
<w:pPr><w:pStyle w:val="Normal"/></w:pPr>
<w:r><w:t xml:space="preserve">the anatomical history of the viscera and the organs of the</w:t></w:r>
</w:p>
<w:p>
<w:pPr><w:pStyle w:val="Normal"/></w:pPr>
<w:r><w:t xml:space="preserve">senses, a department which had been left in some degree</w:t></w:r>
</w:p>
<w:p>
<w:pPr><w:pStyle w:val="Normal"/></w:pPr>
<w:r><w:t xml:space="preserve">incomplete in the original, but for one division of which the</w:t></w:r>
</w:p>
<w:p>
<w:pPr><w:pStyle w:val="Normal"/></w:pPr>
<w:r><w:t xml:space="preserve">author had left useful materials in his large figures already</w:t></w:r>
</w:p>
<w:p>
<w:pPr><w:pStyle w:val="Normal"/></w:pPr>
<w:r><w:t xml:space="preserve">mentioned.  In the sixth volume, an entire and complete system</w:t></w:r>
</w:p>
<w:p>
<w:pPr><w:pStyle w:val="Normal"/></w:pPr>
<w:r><w:t xml:space="preserve">of general anatomy, deduced from personal observation and that</w:t></w:r>
</w:p>
<w:p>
<w:pPr><w:pStyle w:val="Normal"/></w:pPr>
<w:r><w:t xml:space="preserve">of other careful observers, the materials being in general</w:t></w:r>
</w:p>
<w:p>
<w:pPr><w:pStyle w:val="Normal"/></w:pPr>
<w:r><w:t xml:space="preserve">new, and in all instances confirmed and rectified, is given</w:t></w:r>
</w:p>
<w:p>
<w:pPr><w:pStyle w:val="Normal"/></w:pPr>
<w:r><w:t xml:space="preserve">by F. G. J. Henle.  The seventh volume contains the history of</w:t></w:r>
</w:p>
<w:p>
<w:pPr><w:pStyle w:val="Normal"/></w:pPr>
<w:r><w:t xml:space="preserve">the process of development in mammalia and man, by Th. L. W.</w:t></w:r>
</w:p>
<w:p>
<w:pPr><w:pStyle w:val="Normal"/></w:pPr>
<w:r><w:t xml:space="preserve">Bischoff.  The eighth volume treats of the pathological</w:t></w:r>
</w:p>
<w:p>
<w:pPr><w:pStyle w:val="Normal"/></w:pPr>
<w:r><w:t xml:space="preserve">anatomy of the human body, by Julius Vogel, but contains</w:t></w:r>
</w:p>
<w:p>
<w:pPr><w:pStyle w:val="Normal"/></w:pPr>
<w:r><w:t xml:space="preserve">only the first division, relating to the generalities of the</w:t></w:r>
</w:p>
<w:p>
<w:pPr><w:pStyle w:val="Normal"/></w:pPr>
<w:r><w:t xml:space="preserve">subject.  This, which is probably the most accurate as</w:t></w:r>
</w:p>
<w:p>
<w:pPr><w:pStyle w:val="Normal"/></w:pPr>
<w:r><w:t xml:space="preserve">it is the most elaborate system of anatomical knowledge</w:t></w:r>
</w:p>
<w:p>
<w:pPr><w:pStyle w:val="Normal"/></w:pPr>
<w:r><w:t xml:space="preserve">up to the date of its publication in 1844, was translated</w:t></w:r>
</w:p>
<w:p>
<w:pPr><w:pStyle w:val="Normal"/></w:pPr>
<w:r><w:t xml:space="preserve">into the French language by Jourdan, and published in 1846</w:t></w:r>
</w:p>
<w:p>
<w:pPr><w:pStyle w:val="Normal"/></w:pPr>
<w:r><w:t xml:space="preserve">under the name of Encyclopedie anatomique. The eighth</w:t></w:r>
</w:p>
<w:p>
<w:pPr><w:pStyle w:val="Normal"/></w:pPr>
<w:r><w:t xml:space="preserve">volume was translated into English in the year 1847.</w:t></w:r>
</w:p>
<w:p>
<w:pPr><w:pStyle w:val="Normal"/></w:pPr>
<w:r><w:t xml:space="preserve">Bichat.</w:t></w:r>
</w:p>
<w:p>
<w:pPr><w:pStyle w:val="Normal"/></w:pPr>
<w:r><w:t xml:space="preserve">The Anatomie generale of M. F. X. Bichat is a monument</w:t></w:r>
</w:p>
<w:p>
<w:pPr><w:pStyle w:val="Normal"/></w:pPr>
<w:r><w:t xml:space="preserve">of his philosophical genius which will last as long as the</w:t></w:r>
</w:p>
<w:p>
<w:pPr><w:pStyle w:val="Normal"/></w:pPr>
<w:r><w:t xml:space="preserve">structure and functions of the human body are objects of</w:t></w:r>
</w:p>
<w:p>
<w:pPr><w:pStyle w:val="Normal"/></w:pPr>
<w:r><w:t xml:space="preserve">interest.  His Anatomie descriptive is distinguished by clear</w:t></w:r>
</w:p>
<w:p>
<w:pPr><w:pStyle w:val="Normal"/></w:pPr>
<w:r><w:t xml:space="preserve">and natural arrangement, precise and accurate description,</w:t></w:r>
</w:p>
<w:p>
<w:pPr><w:pStyle w:val="Normal"/></w:pPr>
<w:r><w:t xml:space="preserve">and the general ingenuity with which the subject is treated.</w:t></w:r>
</w:p>
<w:p>
<w:pPr><w:pStyle w:val="Normal"/></w:pPr>
<w:r><w:t xml:space="preserve">The physiological observations are in general correct, often</w:t></w:r>
</w:p>
<w:p>
<w:pPr><w:pStyle w:val="Normal"/></w:pPr>
<w:r><w:t xml:space="preserve">novel, and always highly interesting.  It is unfortunate,</w:t></w:r>
</w:p>
<w:p>
<w:pPr><w:pStyle w:val="Normal"/></w:pPr>
<w:r><w:t xml:space="preserve">however, that the ingenious author was cut off prematurely during</w:t></w:r>
</w:p>
<w:p>
<w:pPr><w:pStyle w:val="Normal"/></w:pPr>
<w:r><w:t xml:space="preserve">the preparation of the third volume.  The later volumes are,</w:t></w:r>
</w:p>
<w:p>
<w:pPr><w:pStyle w:val="Normal"/></w:pPr>
<w:r><w:t xml:space="preserve">however, pervaded with the general spirit by which the others</w:t></w:r>
</w:p>
<w:p>
<w:pPr><w:pStyle w:val="Normal"/></w:pPr>
<w:r><w:t xml:space="preserve">are impressed, and are highly creditable to the learning, the</w:t></w:r>
</w:p>
<w:p>
<w:pPr><w:pStyle w:val="Normal"/></w:pPr>
<w:r><w:t xml:space="preserve">judgment and the diligence of P. J. Roux and M. F. R. Buisson.</w:t></w:r>
</w:p>
<w:p>
<w:pPr><w:pStyle w:val="Normal"/></w:pPr>
<w:r><w:t xml:space="preserve">French systematic anatomists.</w:t></w:r>
</w:p>
<w:p>
<w:pPr><w:pStyle w:val="Normal"/></w:pPr>
<w:r><w:t xml:space="preserve">The system of A. Portal is a valuable and correct digest</w:t></w:r>
</w:p>
<w:p>
<w:pPr><w:pStyle w:val="Normal"/></w:pPr>
<w:r><w:t xml:space="preserve">of anatomical and pathological knowledge, which, in exact</w:t></w:r>
</w:p>
<w:p>
<w:pPr><w:pStyle w:val="Normal"/></w:pPr>
<w:r><w:t xml:space="preserve">literary information, is worthy of the author of the Histoire</w:t></w:r>
</w:p>
<w:p>
<w:pPr><w:pStyle w:val="Normal"/></w:pPr>
<w:r><w:t xml:space="preserve">de l&apos;anatomie et de la chirurgie, and, in accuracy of</w:t></w:r>
</w:p>
<w:p>
<w:pPr><w:pStyle w:val="Normal"/></w:pPr>
<w:r><w:t xml:space="preserve">descriptive details, shows that Portal trusted not to the</w:t></w:r>
</w:p>
<w:p>
<w:pPr><w:pStyle w:val="Normal"/></w:pPr>
<w:r><w:t xml:space="preserve">labours of his predecessors only.  A. Boyer published in</w:t></w:r>
</w:p>
<w:p>
<w:pPr><w:pStyle w:val="Normal"/></w:pPr>
<w:r><w:t xml:space="preserve">1803 a complete treatise on descriptive anatomy.  H. Cloquet</w:t></w:r>
</w:p>
<w:p>
<w:pPr><w:pStyle w:val="Normal"/></w:pPr>
<w:r><w:t xml:space="preserve">formed, on the model of the Anatomie descriptive of Bichat,</w:t></w:r>
</w:p>
<w:p>
<w:pPr><w:pStyle w:val="Normal"/></w:pPr>
<w:r><w:t xml:space="preserve">a system in which he avails himself of the literature and</w:t></w:r>
</w:p>
<w:p>
<w:pPr><w:pStyle w:val="Normal"/></w:pPr>
<w:r><w:t xml:space="preserve">precision of Sommerring and the details of Portal.  An</w:t></w:r>
</w:p>
<w:p>
<w:pPr><w:pStyle w:val="Normal"/></w:pPr>
<w:r><w:t xml:space="preserve">English translation of this work was prepared by Dr Robert</w:t></w:r>
</w:p>
<w:p>
<w:pPr><w:pStyle w:val="Normal"/></w:pPr>
<w:r><w:t xml:space="preserve">Knox.  Jean Cruveilhier published in 1834-1835 a good</w:t></w:r>
</w:p>
<w:p>
<w:pPr><w:pStyle w:val="Normal"/></w:pPr>
<w:r><w:t xml:space="preserve">general treatise on descriptive anatomy, which was translated</w:t></w:r>
</w:p>
<w:p>
<w:pPr><w:pStyle w:val="Normal"/></w:pPr>
<w:r><w:t xml:space="preserve">into English, and published as a part of The Library of</w:t></w:r>
</w:p>
<w:p>
<w:pPr><w:pStyle w:val="Normal"/></w:pPr>
<w:r><w:t xml:space="preserve">Medicine. Cruveilhier&apos;s treatise has passed through several</w:t></w:r>
</w:p>
<w:p>
<w:pPr><w:pStyle w:val="Normal"/></w:pPr>
<w:r><w:t xml:space="preserve">editions.  The most elaborate work of the French school is</w:t></w:r>
</w:p>
<w:p>
<w:pPr><w:pStyle w:val="Normal"/></w:pPr>
<w:r><w:t xml:space="preserve">the great treatise of M. J. Bourgery, consisting of four</w:t></w:r>
</w:p>
<w:p>
<w:pPr><w:pStyle w:val="Normal"/></w:pPr>
<w:r><w:t xml:space="preserve">divisions, on descriptive, general, surgical and philosophical</w:t></w:r>
</w:p>
<w:p>
<w:pPr><w:pStyle w:val="Normal"/></w:pPr>
<w:r><w:t xml:space="preserve">anatomy (1832-1854).  These are beautifully illustrated.</w:t></w:r>
</w:p>
<w:p>
<w:pPr><w:pStyle w:val="Normal"/></w:pPr>
<w:r><w:t xml:space="preserve">MODERN HUMAN ANATOMY (Anthropotomy)</w:t></w:r>
</w:p>
<w:p>
<w:pPr><w:pStyle w:val="Normal"/></w:pPr>
<w:r><w:t xml:space="preserve">The history of modern human anatomy in Great Britain begins with</w:t></w:r>
</w:p>
<w:p>
<w:pPr><w:pStyle w:val="Normal"/></w:pPr>
<w:r><w:t xml:space="preserve">the time at which the dissection of the human body became part</w:t></w:r>
</w:p>
<w:p>
<w:pPr><w:pStyle w:val="Normal"/></w:pPr>
<w:r><w:t xml:space="preserve">of the training of students of medicine, and this is one of the</w:t></w:r>
</w:p>
<w:p>
<w:pPr><w:pStyle w:val="Normal"/></w:pPr>
<w:r><w:t xml:space="preserve">greatest debts, though by no means the best recognized, of the</w:t></w:r>
</w:p>
<w:p>
<w:pPr><w:pStyle w:val="Normal"/></w:pPr>
<w:r><w:t xml:space="preserve">many which medical science owes to that remarkable man William</w:t></w:r>
</w:p>
<w:p>
<w:pPr><w:pStyle w:val="Normal"/></w:pPr>
<w:r><w:t xml:space="preserve">Hunter.  Before his time the anatomy professors of the most</w:t></w:r>
</w:p>
<w:p>
<w:pPr><w:pStyle w:val="Normal"/></w:pPr>
<w:r><w:t xml:space="preserve">celebrated schools both at home and abroad used one or at</w:t></w:r>
</w:p>
<w:p>
<w:pPr><w:pStyle w:val="Normal"/></w:pPr>
<w:r><w:t xml:space="preserve">most two subjects to illustrate their courses of lectures,</w:t></w:r>
</w:p>
<w:p>
<w:pPr><w:pStyle w:val="Normal"/></w:pPr>
<w:r><w:t xml:space="preserve">and were in the habit of demonstrating the performance of</w:t></w:r>
</w:p>
<w:p>
<w:pPr><w:pStyle w:val="Normal"/></w:pPr>
<w:r><w:t xml:space="preserve">surgical operations not on human bodies but on those of lower</w:t></w:r>
</w:p>
<w:p>
<w:pPr><w:pStyle w:val="Normal"/></w:pPr>
<w:r><w:t xml:space="preserve">animals.  Few students dissected the human body, because for</w:t></w:r>
</w:p>
<w:p>
<w:pPr><w:pStyle w:val="Normal"/></w:pPr>
<w:r><w:t xml:space="preserve">such dissection they had no opportunities.  The English law,</w:t></w:r>
</w:p>
<w:p>
<w:pPr><w:pStyle w:val="Normal"/></w:pPr>
<w:r><w:t xml:space="preserve">since the time of Henry VIII., allowed only the bodies of</w:t></w:r>
</w:p>
<w:p>
<w:pPr><w:pStyle w:val="Normal"/></w:pPr>
<w:r><w:t xml:space="preserve">persons executed for murder to be dissected, and the supply</w:t></w:r>
</w:p>
<w:p>
<w:pPr><w:pStyle w:val="Normal"/></w:pPr>
<w:r><w:t xml:space="preserve">seems to have been sufficient for the humble needs of the</w:t></w:r>
</w:p>
<w:p>
<w:pPr><w:pStyle w:val="Normal"/></w:pPr>
<w:r><w:t xml:space="preserve">time.  The reformation of this antiquated and imperfect</w:t></w:r>
</w:p>
<w:p>
<w:pPr><w:pStyle w:val="Normal"/></w:pPr>
<w:r><w:t xml:space="preserve">system took place in 1747, when Hunter established complete</w:t></w:r>
</w:p>
<w:p>
<w:pPr><w:pStyle w:val="Normal"/></w:pPr>
<w:r><w:t xml:space="preserve">courses of anatomical lectures and opened a school for</w:t></w:r>
</w:p>
<w:p>
<w:pPr><w:pStyle w:val="Normal"/></w:pPr>
<w:r><w:t xml:space="preserve">dissection.  The practice of dissection grew so rapidly that</w:t></w:r>
</w:p>
<w:p>
<w:pPr><w:pStyle w:val="Normal"/></w:pPr>
<w:r><w:t xml:space="preserve">by about 1793 there were 200 regular anatomy students in</w:t></w:r>
</w:p>
<w:p>
<w:pPr><w:pStyle w:val="Normal"/></w:pPr>
<w:r><w:t xml:space="preserve">London, while in 1823 their number was computed at about</w:t></w:r>
</w:p>
<w:p>
<w:pPr><w:pStyle w:val="Normal"/></w:pPr>
<w:r><w:t xml:space="preserve">1000.  Of course the supply of murderers was not enough for</w:t></w:r>
</w:p>
<w:p>
<w:pPr><w:pStyle w:val="Normal"/></w:pPr>
<w:r><w:t xml:space="preserve">all these students, and the very fact that only murderers</w:t></w:r>
</w:p>
<w:p>
<w:pPr><w:pStyle w:val="Normal"/></w:pPr>
<w:r><w:t xml:space="preserve">were allowed for this purpose made people bitterly hostile to</w:t></w:r>
</w:p>
<w:p>
<w:pPr><w:pStyle w:val="Normal"/></w:pPr>
<w:r><w:t xml:space="preserve">the bodies of their relations and friends being dissected.</w:t></w:r>
</w:p>
<w:p>
<w:pPr><w:pStyle w:val="Normal"/></w:pPr>
<w:r><w:t xml:space="preserve">In accounting for the great aversion which there has always</w:t></w:r>
</w:p>
<w:p>
<w:pPr><w:pStyle w:val="Normal"/></w:pPr>
<w:r><w:t xml:space="preserve">been from dissection in England, it should be remembered</w:t></w:r>
</w:p>
<w:p>
<w:pPr><w:pStyle w:val="Normal"/></w:pPr>
<w:r><w:t xml:space="preserve">that, although capital punishment was the penalty for very</w:t></w:r>
</w:p>
<w:p>
<w:pPr><w:pStyle w:val="Normal"/></w:pPr>
<w:r><w:t xml:space="preserve">many offences at the beginning of the 19th century, only</w:t></w:r>
</w:p>
<w:p>
<w:pPr><w:pStyle w:val="Normal"/></w:pPr>
<w:r><w:t xml:space="preserve">the bodies of murderers were handed over to the anatomists.</w:t></w:r>
</w:p>
<w:p>
<w:pPr><w:pStyle w:val="Normal"/></w:pPr>
<w:r><w:t xml:space="preserve">When once the absolute necessity of a surgeon&apos;s having a</w:t></w:r>
</w:p>
<w:p>
<w:pPr><w:pStyle w:val="Normal"/></w:pPr>
<w:r><w:t xml:space="preserve">good knowledge of anatomy was realized, bodies had to be</w:t></w:r>
</w:p>
<w:p>
<w:pPr><w:pStyle w:val="Normal"/></w:pPr>
<w:r><w:t xml:space="preserve">procured at any hazard, and the chief method was to dig them</w:t></w:r>
</w:p>
<w:p>
<w:pPr><w:pStyle w:val="Normal"/></w:pPr>
<w:r><w:t xml:space="preserve">up as soon as possible after their burial.  This practice</w:t></w:r>
</w:p>
<w:p>
<w:pPr><w:pStyle w:val="Normal"/></w:pPr>
<w:r><w:t xml:space="preserve">of exhumation or ``body-snatching&apos;&apos; on a large scale seems</w:t></w:r>
</w:p>
<w:p>
<w:pPr><w:pStyle w:val="Normal"/></w:pPr>
<w:r><w:t xml:space="preserve">to have been peculiar to Great Britain and America, and not</w:t></w:r>
</w:p>
<w:p>
<w:pPr><w:pStyle w:val="Normal"/></w:pPr>
<w:r><w:t xml:space="preserve">to have been needed on the continent of Europe.  In France,</w:t></w:r>
</w:p>
<w:p>
<w:pPr><w:pStyle w:val="Normal"/></w:pPr>
<w:r><w:t xml:space="preserve">Italy, Portugal and Austria no popular objection was raised</w:t></w:r>
</w:p>
<w:p>
<w:pPr><w:pStyle w:val="Normal"/></w:pPr>
<w:r><w:t xml:space="preserve">to the bodies of friendless people, who died in hospitals,</w:t></w:r>
</w:p>
<w:p>
<w:pPr><w:pStyle w:val="Normal"/></w:pPr>
<w:r><w:t xml:space="preserve">or of those whose burial was paid for by the state, being</w:t></w:r>
</w:p>
<w:p>
<w:pPr><w:pStyle w:val="Normal"/></w:pPr>
<w:r><w:t xml:space="preserve">dissected, provided a proper religious service was held over</w:t></w:r>
</w:p>
<w:p>
<w:pPr><w:pStyle w:val="Normal"/></w:pPr>
<w:r><w:t xml:space="preserve">them.  In Germany it was obligatory that the bodies of all</w:t></w:r>
</w:p>
<w:p>
<w:pPr><w:pStyle w:val="Normal"/></w:pPr>
<w:r><w:t xml:space="preserve">people unable to pay for their burials, all dying in prisons,</w:t></w:r>
</w:p>
<w:p>
<w:pPr><w:pStyle w:val="Normal"/></w:pPr>
<w:r><w:t xml:space="preserve">all suicides and public women should be given up.  In all these</w:t></w:r>
</w:p>
<w:p>
<w:pPr><w:pStyle w:val="Normal"/></w:pPr>
<w:r><w:t xml:space="preserve">countries the supply was most ample, exhumation was unknown,</w:t></w:r>
</w:p>
<w:p>
<w:pPr><w:pStyle w:val="Normal"/></w:pPr>
<w:r><w:t xml:space="preserve">and the cost of learning anatomy to the students was very</w:t></w:r>
</w:p>
<w:p>
<w:pPr><w:pStyle w:val="Normal"/></w:pPr>
<w:r><w:t xml:space="preserve">moderate.  In Great Britain the earlier exhumations seem</w:t></w:r>
</w:p>
<w:p>
<w:pPr><w:pStyle w:val="Normal"/></w:pPr>
<w:r><w:t xml:space="preserve">to have caused very little popular concern; Hunter, it is</w:t></w:r>
</w:p>
<w:p>
<w:pPr><w:pStyle w:val="Normal"/></w:pPr>
<w:r><w:t xml:space="preserve">said, could manage to get the body of any person he wanted,</w:t></w:r>
</w:p>
<w:p>
<w:pPr><w:pStyle w:val="Normal"/></w:pPr>
<w:r><w:t xml:space="preserve">were it that of giant, dwarf, hunchback or lord, but later,</w:t></w:r>
</w:p>
<w:p>
<w:pPr><w:pStyle w:val="Normal"/></w:pPr>
<w:r><w:t xml:space="preserve">when the number of students increased very rapidly, the</w:t></w:r>
</w:p>
<w:p>
<w:pPr><w:pStyle w:val="Normal"/></w:pPr>
<w:r><w:t xml:space="preserve">trade of ``resurrection man&apos;&apos; became commoner, and attracted</w:t></w:r>
</w:p>
<w:p>
<w:pPr><w:pStyle w:val="Normal"/></w:pPr>
<w:r><w:t xml:space="preserve">the lowest dregs of the vicious classes.  It is computed</w:t></w:r>
</w:p>
<w:p>
<w:pPr><w:pStyle w:val="Normal"/></w:pPr>
<w:r><w:t xml:space="preserve">that in 1828 about 200 people were engaged in it in London</w:t></w:r>
</w:p>
<w:p>
<w:pPr><w:pStyle w:val="Normal"/></w:pPr>
<w:r><w:t xml:space="preserve">alone, though only a few gained their entire livelihood by</w:t></w:r>
</w:p>
<w:p>
<w:pPr><w:pStyle w:val="Normal"/></w:pPr>
<w:r><w:t xml:space="preserve">it.  In the first half of the 18th century, and for some time</w:t></w:r>
</w:p>
<w:p>
<w:pPr><w:pStyle w:val="Normal"/></w:pPr>
<w:r><w:t xml:space="preserve">afterwards, the few dissections which were undertaken were</w:t></w:r>
</w:p>
<w:p>
<w:pPr><w:pStyle w:val="Normal"/></w:pPr>
<w:r><w:t xml:space="preserve">carried out in the private houses of medical men.  In 1702 a</w:t></w:r>
</w:p>
<w:p>
<w:pPr><w:pStyle w:val="Normal"/></w:pPr>
<w:r><w:t xml:space="preserve">rule was passed at St Thomas&apos;s Hospital preventing the surgeons</w:t></w:r>
</w:p>
<w:p>
<w:pPr><w:pStyle w:val="Normal"/></w:pPr>
<w:r><w:t xml:space="preserve">or pupils from dissecting bodies there without the express</w:t></w:r>
</w:p>
<w:p>
<w:pPr><w:pStyle w:val="Normal"/></w:pPr>
<w:r><w:t xml:space="preserve">permission of the treasurer, but by 1780 this rule seems to</w:t></w:r>
</w:p>
<w:p>
<w:pPr><w:pStyle w:val="Normal"/></w:pPr>
<w:r><w:t xml:space="preserve">have lapsed, and a definite dissecting-room was established, an</w:t></w:r>
</w:p>
<w:p>
<w:pPr><w:pStyle w:val="Normal"/></w:pPr>
<w:r><w:t xml:space="preserve">example which was soon followed by Guy&apos;s and St Bartholomew&apos;s.</w:t></w:r>
</w:p>
<w:p>
<w:pPr><w:pStyle w:val="Normal"/></w:pPr>
<w:r><w:t xml:space="preserve">In the early years of the 19th century the number of</w:t></w:r>
</w:p>
<w:p>
<w:pPr><w:pStyle w:val="Normal"/></w:pPr>
<w:r><w:t xml:space="preserve">students increased so rapidly that a good many private</w:t></w:r>
</w:p>
<w:p>
<w:pPr><w:pStyle w:val="Normal"/></w:pPr>
<w:r><w:t xml:space="preserve">anatomy schools grew up, and in 1828 we find that the total</w:t></w:r>
</w:p>
<w:p>
<w:pPr><w:pStyle w:val="Normal"/></w:pPr>
<w:r><w:t xml:space="preserve">list of London dissecting rooms comprised those of Guy&apos;s,</w:t></w:r>
</w:p>
<w:p>
<w:pPr><w:pStyle w:val="Normal"/></w:pPr>
<w:r><w:t xml:space="preserve">London, St Bartholomew&apos;s and St Thomas&apos;s hospitals, the Webb</w:t></w:r>
</w:p>
<w:p>
<w:pPr><w:pStyle w:val="Normal"/></w:pPr>
<w:r><w:t xml:space="preserve">Street school of Mr Grainger, the Aldersgate school of Mr</w:t></w:r>
</w:p>
<w:p>
<w:pPr><w:pStyle w:val="Normal"/></w:pPr>
<w:r><w:t xml:space="preserve">Tyrrell, the Windmill Street school where Caesar Hawkins and</w:t></w:r>
</w:p>
<w:p>
<w:pPr><w:pStyle w:val="Normal"/></w:pPr>
<w:r><w:t xml:space="preserve">Herbert Mayo lectured, and the schools of Messrs.  Bennett,</w:t></w:r>
</w:p>
<w:p>
<w:pPr><w:pStyle w:val="Normal"/></w:pPr>
<w:r><w:t xml:space="preserve">Carpue, Dermott and Sleigh.  These schools needed and, it</w:t></w:r>
</w:p>
<w:p>
<w:pPr><w:pStyle w:val="Normal"/></w:pPr>
<w:r><w:t xml:space="preserve">seems, obtained nearly 800 bodies a year in the years about</w:t></w:r>
</w:p>
<w:p>
<w:pPr><w:pStyle w:val="Normal"/></w:pPr>
<w:r><w:t xml:space="preserve">1823, when there were nearly 1000 students in London, and it</w:t></w:r>
</w:p>
<w:p>
<w:pPr><w:pStyle w:val="Normal"/></w:pPr>
<w:r><w:t xml:space="preserve">is recorded that bodies were even sent to Edinburgh and Oxford.</w:t></w:r>
</w:p>
<w:p>
<w:pPr><w:pStyle w:val="Normal"/></w:pPr>
<w:r><w:t xml:space="preserve">When it is realized that the greater number of these were</w:t></w:r>
</w:p>
<w:p>
<w:pPr><w:pStyle w:val="Normal"/></w:pPr>
<w:r><w:t xml:space="preserve">exhumed, it is easy to understand how hostile the public</w:t></w:r>
</w:p>
<w:p>
<w:pPr><w:pStyle w:val="Normal"/></w:pPr>
<w:r><w:t xml:space="preserve">feeling became to the body-snatchers or ``resurrection men,&apos;&apos;</w:t></w:r>
</w:p>
<w:p>
<w:pPr><w:pStyle w:val="Normal"/></w:pPr>
<w:r><w:t xml:space="preserve">and also in a modified form to the teachers of anatomy and</w:t></w:r>
</w:p>
<w:p>
<w:pPr><w:pStyle w:val="Normal"/></w:pPr>
<w:r><w:t xml:space="preserve">medical students.  This was increased by the fact that it</w:t></w:r>
</w:p>
<w:p>
<w:pPr><w:pStyle w:val="Normal"/></w:pPr>
<w:r><w:t xml:space="preserve">soon became well known that many of the so-called resurrection</w:t></w:r>
</w:p>
<w:p>
<w:pPr><w:pStyle w:val="Normal"/></w:pPr>
<w:r><w:t xml:space="preserve">men only used their calling as a cloak for robbery, because,</w:t></w:r>
</w:p>
<w:p>
<w:pPr><w:pStyle w:val="Normal"/></w:pPr>
<w:r><w:t xml:space="preserve">if they were stopped with a horse and cart by the watch at</w:t></w:r>
</w:p>
<w:p>
<w:pPr><w:pStyle w:val="Normal"/></w:pPr>
<w:r><w:t xml:space="preserve">night, the presence of a body on the top of stolen goods was</w:t></w:r>
</w:p>
<w:p>
<w:pPr><w:pStyle w:val="Normal"/></w:pPr>
<w:r><w:t xml:space="preserve">sufficient to avert suspicion and search.  It is in many places</w:t></w:r>
</w:p>
<w:p>
<w:pPr><w:pStyle w:val="Normal"/></w:pPr>
<w:r><w:t xml:space="preserve">suggested, though not definitely stated, that the Home Office</w:t></w:r>
</w:p>
<w:p>
<w:pPr><w:pStyle w:val="Normal"/></w:pPr>
<w:r><w:t xml:space="preserve">authorities understood how absolutely necessary it was that</w:t></w:r>
</w:p>
<w:p>
<w:pPr><w:pStyle w:val="Normal"/></w:pPr>
<w:r><w:t xml:space="preserve">medical students should learn the details of the human body,</w:t></w:r>
</w:p>
<w:p>
<w:pPr><w:pStyle w:val="Normal"/></w:pPr>
<w:r><w:t xml:space="preserve">on which they would be called to operate, and that the police</w:t></w:r>
</w:p>
<w:p>
<w:pPr><w:pStyle w:val="Normal"/></w:pPr>
<w:r><w:t xml:space="preserve">had instructions not to interfere more than was necessary with</w:t></w:r>
</w:p>
<w:p>
<w:pPr><w:pStyle w:val="Normal"/></w:pPr>
<w:r><w:t xml:space="preserve">the only method by which that education could be supplied,</w:t></w:r>
</w:p>
<w:p>
<w:pPr><w:pStyle w:val="Normal"/></w:pPr>
<w:r><w:t xml:space="preserve">however unlawful it might be.  So emboldened and careless did</w:t></w:r>
</w:p>
<w:p>
<w:pPr><w:pStyle w:val="Normal"/></w:pPr>
<w:r><w:t xml:space="preserve">these body-snatchers become, and so great was the demand for</w:t></w:r>
</w:p>
<w:p>
<w:pPr><w:pStyle w:val="Normal"/></w:pPr>
<w:r><w:t xml:space="preserve">bodies, that they no longer confined themselves to pauper</w:t></w:r>
</w:p>
<w:p>
<w:pPr><w:pStyle w:val="Normal"/></w:pPr>
<w:r><w:t xml:space="preserve">graves, but took the remains of the wealthier classes, who</w:t></w:r>
</w:p>
<w:p>
<w:pPr><w:pStyle w:val="Normal"/></w:pPr>
<w:r><w:t xml:space="preserve">were in a position to resent it more effectually; often</w:t></w:r>
</w:p>
<w:p>
<w:pPr><w:pStyle w:val="Normal"/></w:pPr>
<w:r><w:t xml:space="preserve">they did not even take the trouble to fill in the graves</w:t></w:r>
</w:p>
<w:p>
<w:pPr><w:pStyle w:val="Normal"/></w:pPr>
<w:r><w:t xml:space="preserve">after rifling their contents, and, in consequence, many</w:t></w:r>
</w:p>
<w:p>
<w:pPr><w:pStyle w:val="Normal"/></w:pPr>
<w:r><w:t xml:space="preserve">sextons, who no doubt had been bribed, lost their posts, and</w:t></w:r>
</w:p>
<w:p>
<w:pPr><w:pStyle w:val="Normal"/></w:pPr>
<w:r><w:t xml:space="preserve">men armed with firearms watched the London burial-places at</w:t></w:r>
</w:p>
<w:p>
<w:pPr><w:pStyle w:val="Normal"/></w:pPr>
<w:r><w:t xml:space="preserve">night.  The result of this was that the ``resurrection men&apos;&apos;</w:t></w:r>
</w:p>
<w:p>
<w:pPr><w:pStyle w:val="Normal"/></w:pPr>
<w:r><w:t xml:space="preserve">had to go farther afield, and their occupation was attended</w:t></w:r>
</w:p>
<w:p>
<w:pPr><w:pStyle w:val="Normal"/></w:pPr>
<w:r><w:t xml:space="preserve">with considerable danger, so that the price of a body gradually</w:t></w:r>
</w:p>
<w:p>
<w:pPr><w:pStyle w:val="Normal"/></w:pPr>
<w:r><w:t xml:space="preserve">rose from L. 2 to about L. 14, which seems the maximum ever</w:t></w:r>
</w:p>
<w:p>
<w:pPr><w:pStyle w:val="Normal"/></w:pPr>
<w:r><w:t xml:space="preserve">paid.  In addition to this heavy sum the anatomical teachers</w:t></w:r>
</w:p>
<w:p>
<w:pPr><w:pStyle w:val="Normal"/></w:pPr>
<w:r><w:t xml:space="preserve">had to pay the fines of the exhumers when they were caught,</w:t></w:r>
</w:p>
<w:p>
<w:pPr><w:pStyle w:val="Normal"/></w:pPr>
<w:r><w:t xml:space="preserve">or to support their families when they were imprisoned.  By</w:t></w:r>
</w:p>
<w:p>
<w:pPr><w:pStyle w:val="Normal"/></w:pPr>
<w:r><w:t xml:space="preserve">1828 the annual supply of bodies had dropped to about 450,</w:t></w:r>
</w:p>
<w:p>
<w:pPr><w:pStyle w:val="Normal"/></w:pPr>
<w:r><w:t xml:space="preserve">and about 200 English students were forced each year to go</w:t></w:r>
</w:p>
<w:p>
<w:pPr><w:pStyle w:val="Normal"/></w:pPr>
<w:r><w:t xml:space="preserve">to Paris for their anatomical instruction.  There they could</w:t></w:r>
</w:p>
<w:p>
<w:pPr><w:pStyle w:val="Normal"/></w:pPr>
<w:r><w:t xml:space="preserve">get a body for about seven francs and could also be taught by</w:t></w:r>
</w:p>
<w:p>
<w:pPr><w:pStyle w:val="Normal"/></w:pPr>
<w:r><w:t xml:space="preserve">English anatomists who settled in that city for the purpose.</w:t></w:r>
</w:p>
<w:p>
<w:pPr><w:pStyle w:val="Normal"/></w:pPr>
<w:r><w:t xml:space="preserve">As early as about 1810 an anatomical society was formed, to impress</w:t></w:r>
</w:p>
<w:p>
<w:pPr><w:pStyle w:val="Normal"/></w:pPr>
<w:r><w:t xml:space="preserve">on the government the necessity for an alteration in the law, and</w:t></w:r>
</w:p>
<w:p>
<w:pPr><w:pStyle w:val="Normal"/></w:pPr>
<w:r><w:t xml:space="preserve">among the members we find the names of John Abernethy, Charles</w:t></w:r>
</w:p>
<w:p>
<w:pPr><w:pStyle w:val="Normal"/></w:pPr>
<w:r><w:t xml:space="preserve">Bell, Everard Home, Benjamin Brodie, Astley Cooper and Henry</w:t></w:r>
</w:p>
<w:p>
<w:pPr><w:pStyle w:val="Normal"/></w:pPr>
<w:r><w:t xml:space="preserve">Cline.  It was owing to the exertions of this body that in 1828</w:t></w:r>
</w:p>
<w:p>
<w:pPr><w:pStyle w:val="Normal"/></w:pPr>
<w:r><w:t xml:space="preserve">a select committee was appointed by the government to report</w:t></w:r>
</w:p>
<w:p>
<w:pPr><w:pStyle w:val="Normal"/></w:pPr>
<w:r><w:t xml:space="preserve">on the whole question, and to the minutes of evidence taken</w:t></w:r>
</w:p>
<w:p>
<w:pPr><w:pStyle w:val="Normal"/></w:pPr>
<w:r><w:t xml:space="preserve">before this body the reader is referred for further details.</w:t></w:r>
</w:p>
<w:p>
<w:pPr><w:pStyle w:val="Normal"/></w:pPr>
<w:r><w:t xml:space="preserve">The report of this committee led to the Anatomy Act of</w:t></w:r>
</w:p>
<w:p>
<w:pPr><w:pStyle w:val="Normal"/></w:pPr>
<w:r><w:t xml:space="preserve">1832, but there can be little doubt that its passage</w:t></w:r>
</w:p>
<w:p>
<w:pPr><w:pStyle w:val="Normal"/></w:pPr>
<w:r><w:t xml:space="preserve">through the House was expedited by the recent discovery</w:t></w:r>
</w:p>
<w:p>
<w:pPr><w:pStyle w:val="Normal"/></w:pPr>
<w:r><w:t xml:space="preserve">and arrest of the infamous William Burke and William Hare,</w:t></w:r>
</w:p>
<w:p>
<w:pPr><w:pStyle w:val="Normal"/></w:pPr>
<w:r><w:t xml:space="preserve">who, owing to the extreme difficulty of procuring subjects</w:t></w:r>
</w:p>
<w:p>
<w:pPr><w:pStyle w:val="Normal"/></w:pPr>
<w:r><w:t xml:space="preserve">for dissection in Edinburgh and the high price paid for</w:t></w:r>
</w:p>
<w:p>
<w:pPr><w:pStyle w:val="Normal"/></w:pPr>
<w:r><w:t xml:space="preserve">them, had made a practice of enticing men to their lodgings</w:t></w:r>
</w:p>
<w:p>
<w:pPr><w:pStyle w:val="Normal"/></w:pPr>
<w:r><w:t xml:space="preserve">and then drugging and suffocating them in order to sell</w:t></w:r>
</w:p>
<w:p>
<w:pPr><w:pStyle w:val="Normal"/></w:pPr>
<w:r><w:t xml:space="preserve">their bodies to Dr Knox.  Hare turned king&apos;s evidence but</w:t></w:r>
</w:p>
<w:p>
<w:pPr><w:pStyle w:val="Normal"/></w:pPr>
<w:r><w:t xml:space="preserve">Burke was executed. (See MacGregor&apos;s History of Burke and</w:t></w:r>
</w:p>
<w:p>
<w:pPr><w:pStyle w:val="Normal"/></w:pPr>
<w:r><w:t xml:space="preserve">Hare, 1884, Lonsdale&apos;s Life and Writings of Robert Knox,</w:t></w:r>
</w:p>
<w:p>
<w:pPr><w:pStyle w:val="Normal"/></w:pPr>
<w:r><w:t xml:space="preserve">1870.  Many further details connected with the condition of</w:t></w:r>
</w:p>
<w:p>
<w:pPr><w:pStyle w:val="Normal"/></w:pPr>
<w:r><w:t xml:space="preserve">anatomy, especially in Dublin, before the passing of the</w:t></w:r>
</w:p>
<w:p>
<w:pPr><w:pStyle w:val="Normal"/></w:pPr>
<w:r><w:t xml:space="preserve">Anatomy Act, will be found in Memoirs of James Macartney</w:t></w:r>
</w:p>
<w:p>
<w:pPr><w:pStyle w:val="Normal"/></w:pPr>
<w:r><w:t xml:space="preserve">by Professor A. Macalister, F.R.S.) The bill to legalize and</w:t></w:r>
</w:p>
<w:p>
<w:pPr><w:pStyle w:val="Normal"/></w:pPr>
<w:r><w:t xml:space="preserve">regulate the supply of subjects for dissection did not pass</w:t></w:r>
</w:p>
<w:p>
<w:pPr><w:pStyle w:val="Normal"/></w:pPr>
<w:r><w:t xml:space="preserve">without considerable opposition.  In 1829 the College of</w:t></w:r>
</w:p>
<w:p>
<w:pPr><w:pStyle w:val="Normal"/></w:pPr>
<w:r><w:t xml:space="preserve">Surgeons petitioned against it, and it was withdrawn in the</w:t></w:r>
</w:p>
<w:p>
<w:pPr><w:pStyle w:val="Normal"/></w:pPr>
<w:r><w:t xml:space="preserve">House of Lords owing to the opposition of the archbishop of</w:t></w:r>
</w:p>
<w:p>
<w:pPr><w:pStyle w:val="Normal"/></w:pPr>
<w:r><w:t xml:space="preserve">Canterbury, but in 1832 a new Anatomy Bill was introduced,</w:t></w:r>
</w:p>
<w:p>
<w:pPr><w:pStyle w:val="Normal"/></w:pPr>
<w:r><w:t xml:space="preserve">which, though violently opposed by Messrs Hunt, Sadler</w:t></w:r>
</w:p>
<w:p>
<w:pPr><w:pStyle w:val="Normal"/></w:pPr>
<w:r><w:t xml:space="preserve">and Vyvyan, was supported by Macaulay and O&apos;Connell, and</w:t></w:r>
</w:p>
<w:p>
<w:pPr><w:pStyle w:val="Normal"/></w:pPr>
<w:r><w:t xml:space="preserve">finally passed the House of Lords on the 19th of July 1832.</w:t></w:r>
</w:p>
<w:p>
<w:pPr><w:pStyle w:val="Normal"/></w:pPr>
<w:r><w:t xml:space="preserve">This is the act which governs the practice of anatomy in the</w:t></w:r>
</w:p>
<w:p>
<w:pPr><w:pStyle w:val="Normal"/></w:pPr>
<w:r><w:t xml:space="preserve">British Isles up to the present day, and which has only been</w:t></w:r>
</w:p>
<w:p>
<w:pPr><w:pStyle w:val="Normal"/></w:pPr>
<w:r><w:t xml:space="preserve">slightly modified as to the time during which bodies may be kept</w:t></w:r>
</w:p>
<w:p>
<w:pPr><w:pStyle w:val="Normal"/></w:pPr>
<w:r><w:t xml:space="preserve">unburied in the schools.  It provides that any one intending</w:t></w:r>
</w:p>
<w:p>
<w:pPr><w:pStyle w:val="Normal"/></w:pPr>
<w:r><w:t xml:space="preserve">to practise anatomy must obtain a licence from the home</w:t></w:r>
</w:p>
<w:p>
<w:pPr><w:pStyle w:val="Normal"/></w:pPr>
<w:r><w:t xml:space="preserve">secretary.  As a matter of fact only one or two teachers in</w:t></w:r>
</w:p>
<w:p>
<w:pPr><w:pStyle w:val="Normal"/></w:pPr>
<w:r><w:t xml:space="preserve">each institution take out this licence and are known as licensed</w:t></w:r>
</w:p>
<w:p>
<w:pPr><w:pStyle w:val="Normal"/></w:pPr>
<w:r><w:t xml:space="preserve">teachers, but they accept the whole responsibility for the</w:t></w:r>
</w:p>
<w:p>
<w:pPr><w:pStyle w:val="Normal"/></w:pPr>
<w:r><w:t xml:space="preserve">proper treatment of all bodies dissected in the building for</w:t></w:r>
</w:p>
<w:p>
<w:pPr><w:pStyle w:val="Normal"/></w:pPr>
<w:r><w:t xml:space="preserve">which their licence is granted.  Watching over these licensed</w:t></w:r>
</w:p>
<w:p>
<w:pPr><w:pStyle w:val="Normal"/></w:pPr>
<w:r><w:t xml:space="preserve">teachers, and receiving constant reports from them, are</w:t></w:r>
</w:p>
<w:p>
<w:pPr><w:pStyle w:val="Normal"/></w:pPr>
<w:r><w:t xml:space="preserve">four inspectors of anatomy, one each for England, Scotland,</w:t></w:r>
</w:p>
<w:p>
<w:pPr><w:pStyle w:val="Normal"/></w:pPr>
<w:r><w:t xml:space="preserve">Ireland and London, who report to the home secretary and</w:t></w:r>
</w:p>
<w:p>
<w:pPr><w:pStyle w:val="Normal"/></w:pPr>
<w:r><w:t xml:space="preserve">know the whereabouts of every body which is being dissected.</w:t></w:r>
</w:p>
<w:p>
<w:pPr><w:pStyle w:val="Normal"/></w:pPr>
<w:r><w:t xml:space="preserve">The main clause of the act is the seventh, which says that</w:t></w:r>
</w:p>
<w:p>
<w:pPr><w:pStyle w:val="Normal"/></w:pPr>
<w:r><w:t xml:space="preserve">a person having lawful possession of a body may permit it to</w:t></w:r>
</w:p>
<w:p>
<w:pPr><w:pStyle w:val="Normal"/></w:pPr>
<w:r><w:t xml:space="preserve">undergo anatomical examination provided no relative objects;</w:t></w:r>
</w:p>
<w:p>
<w:pPr><w:pStyle w:val="Normal"/></w:pPr>
<w:r><w:t xml:space="preserve">the other clauses are subsidiary and detail the methods of</w:t></w:r>
</w:p>
<w:p>
<w:pPr><w:pStyle w:val="Normal"/></w:pPr>
<w:r><w:t xml:space="preserve">carrying this into effect.  In clause 16, however, the old</w:t></w:r>
</w:p>
<w:p>
<w:pPr><w:pStyle w:val="Normal"/></w:pPr>
<w:r><w:t xml:space="preserve">act of Henry VIII. is repealed and the bodies of murderers</w:t></w:r>
</w:p>
<w:p>
<w:pPr><w:pStyle w:val="Normal"/></w:pPr>
<w:r><w:t xml:space="preserve">are no longer to be given up for dissection after execution.</w:t></w:r>
</w:p>
<w:p>
<w:pPr><w:pStyle w:val="Normal"/></w:pPr>
<w:r><w:t xml:space="preserve">There can be little doubt that this act has worked well</w:t></w:r>
</w:p>
<w:p>
<w:pPr><w:pStyle w:val="Normal"/></w:pPr>
<w:r><w:t xml:space="preserve">and with a minimum of friction; it at once did away with</w:t></w:r>
</w:p>
<w:p>
<w:pPr><w:pStyle w:val="Normal"/></w:pPr>
<w:r><w:t xml:space="preserve">body-snatching and crimes like those of Burke and Hare.  No</w:t></w:r>
</w:p>
<w:p>
<w:pPr><w:pStyle w:val="Normal"/></w:pPr>
<w:r><w:t xml:space="preserve">licensed teacher now could or would receive a body without</w:t></w:r>
</w:p>
<w:p>
<w:pPr><w:pStyle w:val="Normal"/></w:pPr>
<w:r><w:t xml:space="preserve">a medical certificate and a warrant from the inspector of</w:t></w:r>
</w:p>
<w:p>
<w:pPr><w:pStyle w:val="Normal"/></w:pPr>
<w:r><w:t xml:space="preserve">anatomy, and, when the bodies are buried, a proper religious</w:t></w:r>
</w:p>
<w:p>
<w:pPr><w:pStyle w:val="Normal"/></w:pPr>
<w:r><w:t xml:space="preserve">service, according to the creed professed during life, is</w:t></w:r>
</w:p>
<w:p>
<w:pPr><w:pStyle w:val="Normal"/></w:pPr>
<w:r><w:t xml:space="preserve">provided.  The great majority of bodies are those of</w:t></w:r>
</w:p>
<w:p>
<w:pPr><w:pStyle w:val="Normal"/></w:pPr>
<w:r><w:t xml:space="preserve">unclaimed poor in the workhouse infirmaries, but a few are</w:t></w:r>
</w:p>
<w:p>
<w:pPr><w:pStyle w:val="Normal"/></w:pPr>
<w:r><w:t xml:space="preserve">obtained each year from the general hospitals.  Occasionally</w:t></w:r>
</w:p>
<w:p>
<w:pPr><w:pStyle w:val="Normal"/></w:pPr>
<w:r><w:t xml:space="preserve">a well-to-do person, following the example of Jeremy</w:t></w:r>
</w:p>
<w:p>
<w:pPr><w:pStyle w:val="Normal"/></w:pPr>
<w:r><w:t xml:space="preserve">Bentham, leaves his body for the advancement of science,</w:t></w:r>
</w:p>
<w:p>
<w:pPr><w:pStyle w:val="Normal"/></w:pPr>
<w:r><w:t xml:space="preserve">but even then, if his relatives object, it is not received.</w:t></w:r>
</w:p>
<w:p>
<w:pPr><w:pStyle w:val="Normal"/></w:pPr>
<w:r><w:t xml:space="preserve">The ample supply of subjects obtained by legitimate means</w:t></w:r>
</w:p>
<w:p>
<w:pPr><w:pStyle w:val="Normal"/></w:pPr>
<w:r><w:t xml:space="preserve">which the anatomy act provided was followed by the opening of</w:t></w:r>
</w:p>
<w:p>
<w:pPr><w:pStyle w:val="Normal"/></w:pPr>
<w:r><w:t xml:space="preserve">anatomical schools at all the great London hospitals and the</w:t></w:r>
</w:p>
<w:p>
<w:pPr><w:pStyle w:val="Normal"/></w:pPr>
<w:r><w:t xml:space="preserve">universities, with the result that anatomical research was</w:t></w:r>
</w:p>
<w:p>
<w:pPr><w:pStyle w:val="Normal"/></w:pPr>
<w:r><w:t xml:space="preserve">stimulated and text-books embodying the latest discoveries were</w:t></w:r>
</w:p>
<w:p>
<w:pPr><w:pStyle w:val="Normal"/></w:pPr>
<w:r><w:t xml:space="preserve">brought out.  It is wonderful, however, how much descriptive</w:t></w:r>
</w:p>
<w:p>
<w:pPr><w:pStyle w:val="Normal"/></w:pPr>
<w:r><w:t xml:space="preserve">anatomy was taught in the days before text-books were common</w:t></w:r>
</w:p>
<w:p>
<w:pPr><w:pStyle w:val="Normal"/></w:pPr>
<w:r><w:t xml:space="preserve">and how much of what is essential to the study of surgery and</w:t></w:r>
</w:p>
<w:p>
<w:pPr><w:pStyle w:val="Normal"/></w:pPr>
<w:r><w:t xml:space="preserve">medicine the students knew.  In looking through an old book of</w:t></w:r>
</w:p>
<w:p>
<w:pPr><w:pStyle w:val="Normal"/></w:pPr>
<w:r><w:t xml:space="preserve">anatomical questions and answers dated 1812, one is struck by</w:t></w:r>
</w:p>
<w:p>
<w:pPr><w:pStyle w:val="Normal"/></w:pPr>
<w:r><w:t xml:space="preserve">the fact that any one working through them with the body would</w:t></w:r>
</w:p>
<w:p>
<w:pPr><w:pStyle w:val="Normal"/></w:pPr>
<w:r><w:t xml:space="preserve">probably pass an average modern anatomical examination to-day.</w:t></w:r>
</w:p>
<w:p>
<w:pPr><w:pStyle w:val="Normal"/></w:pPr>
<w:r><w:t xml:space="preserve">The various phases which anatomy in the British Isles has</w:t></w:r>
</w:p>
<w:p>
<w:pPr><w:pStyle w:val="Normal"/></w:pPr>
<w:r><w:t xml:space="preserve">passed through have also been experienced in America, though</w:t></w:r>
</w:p>
<w:p>
<w:pPr><w:pStyle w:val="Normal"/></w:pPr>
<w:r><w:t xml:space="preserve">it is difficult to compare the two countries owing to the</w:t></w:r>
</w:p>
<w:p>
<w:pPr><w:pStyle w:val="Normal"/></w:pPr>
<w:r><w:t xml:space="preserve">fact that each state in the Union makes its own laws as to</w:t></w:r>
</w:p>
<w:p>
<w:pPr><w:pStyle w:val="Normal"/></w:pPr>
<w:r><w:t xml:space="preserve">dissection, and that these vary considerably.  The first</w:t></w:r>
</w:p>
<w:p>
<w:pPr><w:pStyle w:val="Normal"/></w:pPr>
<w:r><w:t xml:space="preserve">anatomy act worthy of the name was that of Massachusetts, and</w:t></w:r>
</w:p>
<w:p>
<w:pPr><w:pStyle w:val="Normal"/></w:pPr>
<w:r><w:t xml:space="preserve">was passed in 1831, one year before the British act.  There</w:t></w:r>
</w:p>
<w:p>
<w:pPr><w:pStyle w:val="Normal"/></w:pPr>
<w:r><w:t xml:space="preserve">is reason to believe, however, that, in some states, all the</w:t></w:r>
</w:p>
<w:p>
<w:pPr><w:pStyle w:val="Normal"/></w:pPr>
<w:r><w:t xml:space="preserve">evils of body-snatching existed up to the end of the 19th</w:t></w:r>
</w:p>
<w:p>
<w:pPr><w:pStyle w:val="Normal"/></w:pPr>
<w:r><w:t xml:space="preserve">century.  In some more enlightened states, such as Pennsylvania</w:t></w:r>
</w:p>
<w:p>
<w:pPr><w:pStyle w:val="Normal"/></w:pPr>
<w:r><w:t xml:space="preserve">and Massachusetts, the modern acts are in advance of the</w:t></w:r>
</w:p>
<w:p>
<w:pPr><w:pStyle w:val="Normal"/></w:pPr>
<w:r><w:t xml:space="preserve">British in that they are mandatory instead of permissive,</w:t></w:r>
</w:p>
<w:p>
<w:pPr><w:pStyle w:val="Normal"/></w:pPr>
<w:r><w:t xml:space="preserve">and their compulsory nature is found rather to reduce than</w:t></w:r>
</w:p>
<w:p>
<w:pPr><w:pStyle w:val="Normal"/></w:pPr>
<w:r><w:t xml:space="preserve">to increase public opposition to dissection.  A study of</w:t></w:r>
</w:p>
<w:p>
<w:pPr><w:pStyle w:val="Normal"/></w:pPr>
<w:r><w:t xml:space="preserve">the history of anatomy in the United States during the 19th</w:t></w:r>
</w:p>
<w:p>
<w:pPr><w:pStyle w:val="Normal"/></w:pPr>
<w:r><w:t xml:space="preserve">century furnishes an instructive lesson on the futility</w:t></w:r>
</w:p>
<w:p>
<w:pPr><w:pStyle w:val="Normal"/></w:pPr>
<w:r><w:t xml:space="preserve">of attempting to suppress dissection by legislation and on</w:t></w:r>
</w:p>
<w:p>
<w:pPr><w:pStyle w:val="Normal"/></w:pPr>
<w:r><w:t xml:space="preserve">the serious and sometimes terrible crimes to which any such</w:t></w:r>
</w:p>
<w:p>
<w:pPr><w:pStyle w:val="Normal"/></w:pPr>
<w:r><w:t xml:space="preserve">attempt naturally leads.  It also teaches that, when unclaimed</w:t></w:r>
</w:p>
<w:p>
<w:pPr><w:pStyle w:val="Normal"/></w:pPr>
<w:r><w:t xml:space="preserve">bodies must be given up and must be treated reverently</w:t></w:r>
</w:p>
<w:p>
<w:pPr><w:pStyle w:val="Normal"/></w:pPr>
<w:r><w:t xml:space="preserve">and buried decently, there is less friction than when public</w:t></w:r>
</w:p>
<w:p>
<w:pPr><w:pStyle w:val="Normal"/></w:pPr>
<w:r><w:t xml:space="preserve">boards have the right of arbitrarily refusing to allow their</w:t></w:r>
</w:p>
<w:p>
<w:pPr><w:pStyle w:val="Normal"/></w:pPr>
<w:r><w:t xml:space="preserve">unclaimed dead to be used for the service of the living.</w:t></w:r>
</w:p>
<w:p>
<w:pPr><w:pStyle w:val="Normal"/></w:pPr>
<w:r><w:t xml:space="preserve">In all the important countries of Europe, with the exception</w:t></w:r>
</w:p>
<w:p>
<w:pPr><w:pStyle w:val="Normal"/></w:pPr>
<w:r><w:t xml:space="preserve">of Russia and Turkey, anatomy acts exist.  They almost all</w:t></w:r>
</w:p>
<w:p>
<w:pPr><w:pStyle w:val="Normal"/></w:pPr>
<w:r><w:t xml:space="preserve">differ from the British act in being mandatory instead of</w:t></w:r>
</w:p>
<w:p>
<w:pPr><w:pStyle w:val="Normal"/></w:pPr>
<w:r><w:t xml:space="preserve">permissive; in other words, certain unclaimed bodies must be</w:t></w:r>
</w:p>
<w:p>
<w:pPr><w:pStyle w:val="Normal"/></w:pPr>
<w:r><w:t xml:space="preserve">given up to the schools of anatomy.  As a rule these come from</w:t></w:r>
</w:p>
<w:p>
<w:pPr><w:pStyle w:val="Normal"/></w:pPr>
<w:r><w:t xml:space="preserve">the general hospitals, but sometimes, as in Germany, Austria</w:t></w:r>
</w:p>
<w:p>
<w:pPr><w:pStyle w:val="Normal"/></w:pPr>
<w:r><w:t xml:space="preserve">and Sweden, suicides are received and form a considerable</w:t></w:r>
</w:p>
<w:p>
<w:pPr><w:pStyle w:val="Heading1"/></w:pPr>
<w:r><w:t>part of the whole number.  Even where executed criminals are</w:t></w:r>
</w:p>
<w:p>
<w:pPr><w:pStyle w:val="Normal"/></w:pPr>
<w:r><w:t xml:space="preserve">available they nowadays form a negligible contribution, but</w:t></w:r>
</w:p>
<w:p>
<w:pPr><w:pStyle w:val="Normal"/></w:pPr>
<w:r><w:t xml:space="preserve">the unclaimed bodies of people dying in prison are provided</w:t></w:r>
</w:p>
<w:p>
<w:pPr><w:pStyle w:val="Normal"/></w:pPr>
<w:r><w:t xml:space="preserve">for in the French, Belgian, Norwegian, Swedish, German and</w:t></w:r>
</w:p>
<w:p>
<w:pPr><w:pStyle w:val="Normal"/></w:pPr>
<w:r><w:t xml:space="preserve">Italian regulations, and in Paris they form an important</w:t></w:r>
</w:p>
<w:p>
<w:pPr><w:pStyle w:val="Normal"/></w:pPr>
<w:r><w:t xml:space="preserve">element of the supply.  In Russia several attempts to gain</w:t></w:r>
</w:p>
<w:p>
<w:pPr><w:pStyle w:val="Normal"/></w:pPr>
<w:r><w:t xml:space="preserve">an anatomy act have been made, but have always been opposed</w:t></w:r>
</w:p>
<w:p>
<w:pPr><w:pStyle w:val="Normal"/></w:pPr>
<w:r><w:t xml:space="preserve">by those in authority, and there is good reason to believe</w:t></w:r>
</w:p>
<w:p>
<w:pPr><w:pStyle w:val="Normal"/></w:pPr>
<w:r><w:t xml:space="preserve">that bodies are procured by bribing hospital and mortuary</w:t></w:r>
</w:p>
<w:p>
<w:pPr><w:pStyle w:val="Normal"/></w:pPr>
<w:r><w:t xml:space="preserve">attendants.  It is said that the army contributes a large</w:t></w:r>
</w:p>
<w:p>
<w:pPr><w:pStyle w:val="Normal"/></w:pPr>
<w:r><w:t xml:space="preserve">percentage of the total number.  In Turkey no facilities for</w:t></w:r>
</w:p>
<w:p>
<w:pPr><w:pStyle w:val="Normal"/></w:pPr>
<w:r><w:t xml:space="preserve">dissecting the dead body exist, as the practice is against</w:t></w:r>
</w:p>
<w:p>
<w:pPr><w:pStyle w:val="Normal"/></w:pPr>
<w:r><w:t xml:space="preserve">the Mahommedan religion; the German pathologists in Turkey,</w:t></w:r>
</w:p>
<w:p>
<w:pPr><w:pStyle w:val="Normal"/></w:pPr>
<w:r><w:t xml:space="preserve">however, insist on making post mortem examinations.  In</w:t></w:r>
</w:p>
<w:p>
<w:pPr><w:pStyle w:val="Normal"/></w:pPr>
<w:r><w:t xml:space="preserve">the British colonies anatomical regulations vary a good deal;</w:t></w:r>
</w:p>
<w:p>
<w:pPr><w:pStyle w:val="Normal"/></w:pPr>
<w:r><w:t xml:space="preserve">sometimes, as in New South Wales, the act is founded on that of</w:t></w:r>
</w:p>
<w:p>
<w:pPr><w:pStyle w:val="Normal"/></w:pPr>
<w:r><w:t xml:space="preserve">Great Britain and is permissive, but in Victoria the minister</w:t></w:r>
</w:p>
<w:p>
<w:pPr><w:pStyle w:val="Normal"/></w:pPr>
<w:r><w:t xml:space="preserve">may authorize the medical officer of any public institution</w:t></w:r>
</w:p>
<w:p>
<w:pPr><w:pStyle w:val="Normal"/></w:pPr>
<w:r><w:t xml:space="preserve">supported wholly or in part by funds from the general revenue</w:t></w:r>
</w:p>
<w:p>
<w:pPr><w:pStyle w:val="Normal"/></w:pPr>
<w:r><w:t xml:space="preserve">to permit unclaimed bodies to be dissected, provided the</w:t></w:r>
</w:p>
<w:p>
<w:pPr><w:pStyle w:val="Normal"/></w:pPr>
<w:r><w:t xml:space="preserve">persons, during life had not expressed a wish against</w:t></w:r>
</w:p>
<w:p>
<w:pPr><w:pStyle w:val="Normal"/></w:pPr>
<w:r><w:t xml:space="preserve">it.  This act in its working is equivalent to a mandatory</w:t></w:r>
</w:p>
<w:p>
<w:pPr><w:pStyle w:val="Normal"/></w:pPr>
<w:r><w:t xml:space="preserve">one, since the power of refusing bodies is not left in the</w:t></w:r>
</w:p>
<w:p>
<w:pPr><w:pStyle w:val="Normal"/></w:pPr>
<w:r><w:t xml:space="preserve">hands of, in this respect, uneducated poor law guardians.</w:t></w:r>
</w:p>
<w:p>
<w:pPr><w:pStyle w:val="Normal"/></w:pPr>
<w:r><w:t xml:space="preserve">In the early years of the 19th century Sir Charles Bell&apos;s work</w:t></w:r>
</w:p>
<w:p>
<w:pPr><w:pStyle w:val="Normal"/></w:pPr>
<w:r><w:t xml:space="preserve">on human anatomy is by far the most important in the British</w:t></w:r>
</w:p>
<w:p>
<w:pPr><w:pStyle w:val="Normal"/></w:pPr>
<w:r><w:t xml:space="preserve">Isles.  He wrote the article on the nerves in his brother John</w:t></w:r>
</w:p>
<w:p>
<w:pPr><w:pStyle w:val="Normal"/></w:pPr>
<w:r><w:t xml:space="preserve">Bell&apos;s work on the anatomy of the human body, as well as his</w:t></w:r>
</w:p>
<w:p>
<w:pPr><w:pStyle w:val="Normal"/></w:pPr>
<w:r><w:t xml:space="preserve">own classical works on the anatomy of expression, the hand</w:t></w:r>
</w:p>
<w:p>
<w:pPr><w:pStyle w:val="Normal"/></w:pPr>
<w:r><w:t xml:space="preserve">and the arteries; but his chief work was the discovery of the</w:t></w:r>
</w:p>
<w:p>
<w:pPr><w:pStyle w:val="Normal"/></w:pPr>
<w:r><w:t xml:space="preserve">difference between motor and sensory nerves.  Sir Astley Cooper</w:t></w:r>
</w:p>
<w:p>
<w:pPr><w:pStyle w:val="Normal"/></w:pPr>
<w:r><w:t xml:space="preserve">brought out his beautifully illustrated monograph on hernia in</w:t></w:r>
</w:p>
<w:p>
<w:pPr><w:pStyle w:val="Normal"/></w:pPr>
<w:r><w:t xml:space="preserve">1807.  Besides these, the Edinburgh school had contributed</w:t></w:r>
</w:p>
<w:p>
<w:pPr><w:pStyle w:val="Normal"/></w:pPr>
<w:r><w:t xml:space="preserve">the systematic treatises of Andrew Fyfe, John Bell, the third</w:t></w:r>
</w:p>
<w:p>
<w:pPr><w:pStyle w:val="Normal"/></w:pPr>
<w:r><w:t xml:space="preserve">Monro and John Gordon.  In 1828 appeared the first edition of</w:t></w:r>
</w:p>
<w:p>
<w:pPr><w:pStyle w:val="Normal"/></w:pPr>
<w:r><w:t xml:space="preserve">Quain&apos;s Anatomy, written by Jones Quain.  This monumental</w:t></w:r>
</w:p>
<w:p>
<w:pPr><w:pStyle w:val="Normal"/></w:pPr>
<w:r><w:t xml:space="preserve">work, which is still among the very first of English text-books,</w:t></w:r>
</w:p>
<w:p>
<w:pPr><w:pStyle w:val="Normal"/></w:pPr>
<w:r><w:t xml:space="preserve">has run through ten editions, and is of even greater value</w:t></w:r>
</w:p>
<w:p>
<w:pPr><w:pStyle w:val="Normal"/></w:pPr>
<w:r><w:t xml:space="preserve">to the teacher and researcher than to the medical student,</w:t></w:r>
</w:p>
<w:p>
<w:pPr><w:pStyle w:val="Normal"/></w:pPr>
<w:r><w:t xml:space="preserve">because of its excellent bibliographies and the way in which</w:t></w:r>
</w:p>
<w:p>
<w:pPr><w:pStyle w:val="Normal"/></w:pPr>
<w:r><w:t xml:space="preserve">it has been kept abreast of modern morphological knowledge</w:t></w:r>
</w:p>
<w:p>
<w:pPr><w:pStyle w:val="Normal"/></w:pPr>
<w:r><w:t xml:space="preserve">by its various editors.  Hardly any of the original work now</w:t></w:r>
</w:p>
<w:p>
<w:pPr><w:pStyle w:val="Normal"/></w:pPr>
<w:r><w:t xml:space="preserve">remains.  In 1858 another famous text-book on systematic</w:t></w:r>
</w:p>
<w:p>
<w:pPr><w:pStyle w:val="Normal"/></w:pPr>
<w:r><w:t xml:space="preserve">anatomy appeared, written by Henry Gray, and this has</w:t></w:r>
</w:p>
<w:p>
<w:pPr><w:pStyle w:val="Normal"/></w:pPr>
<w:r><w:t xml:space="preserve">always been particularly popular with students both in</w:t></w:r>
</w:p>
<w:p>
<w:pPr><w:pStyle w:val="Normal"/></w:pPr>
<w:r><w:t xml:space="preserve">Great Britain and in America; it pays more attention to the</w:t></w:r>
</w:p>
<w:p>
<w:pPr><w:pStyle w:val="Normal"/></w:pPr>
<w:r><w:t xml:space="preserve">surgical applications of anatomy than to the scientific and</w:t></w:r>
</w:p>
<w:p>
<w:pPr><w:pStyle w:val="Normal"/></w:pPr>
<w:r><w:t xml:space="preserve">morphological side, and has reached its sixteenth edition.</w:t></w:r>
</w:p>
<w:p>
<w:pPr><w:pStyle w:val="Normal"/></w:pPr>
<w:r><w:t xml:space="preserve">The Cyclopedia of Anatomy and Physiology, edited by Dr Robert</w:t></w:r>
</w:p>
<w:p>
<w:pPr><w:pStyle w:val="Normal"/></w:pPr>
<w:r><w:t xml:space="preserve">Todd from 1835 to 1859, which contained articles on both human</w:t></w:r>
</w:p>
<w:p>
<w:pPr><w:pStyle w:val="Normal"/></w:pPr>
<w:r><w:t xml:space="preserve">and comparative anatomy, is now somewhat out of date, but</w:t></w:r>
</w:p>
<w:p>
<w:pPr><w:pStyle w:val="Normal"/></w:pPr>
<w:r><w:t xml:space="preserve">did much for the advancement of the science when it appeared.</w:t></w:r>
</w:p>
<w:p>
<w:pPr><w:pStyle w:val="Normal"/></w:pPr>
<w:r><w:t xml:space="preserve">In 1893 a text-book written by several authors and edited by</w:t></w:r>
</w:p>
<w:p>
<w:pPr><w:pStyle w:val="Normal"/></w:pPr>
<w:r><w:t xml:space="preserve">Henry Morris appeared.  It has run through three editions and</w:t></w:r>
</w:p>
<w:p>
<w:pPr><w:pStyle w:val="Normal"/></w:pPr>
<w:r><w:t xml:space="preserve">is especially popular in America.  The latest English systematic</w:t></w:r>
</w:p>
<w:p>
<w:pPr><w:pStyle w:val="Normal"/></w:pPr>
<w:r><w:t xml:space="preserve">work of first-rate importance is the splendid compilation</w:t></w:r>
</w:p>
<w:p>
<w:pPr><w:pStyle w:val="Normal"/></w:pPr>
<w:r><w:t xml:space="preserve">edited by D. J. Cunningham (1902) and written, with one or two</w:t></w:r>
</w:p>
<w:p>
<w:pPr><w:pStyle w:val="Normal"/></w:pPr>
<w:r><w:t xml:space="preserve">exceptions, by pupils of the veteran anatomist Sir William</w:t></w:r>
</w:p>
<w:p>
<w:pPr><w:pStyle w:val="Normal"/></w:pPr>
<w:r><w:t xml:space="preserve">Turner.  It is dedicated to him and will long serve as a</w:t></w:r>
</w:p>
<w:p>
<w:pPr><w:pStyle w:val="Normal"/></w:pPr>
<w:r><w:t xml:space="preserve">memento of the work which he has done in training anatomists</w:t></w:r>
</w:p>
<w:p>
<w:pPr><w:pStyle w:val="Normal"/></w:pPr>
<w:r><w:t xml:space="preserve">for the whole of the British empire.  Besides these systematic</w:t></w:r>
</w:p>
<w:p>
<w:pPr><w:pStyle w:val="Normal"/></w:pPr>
<w:r><w:t xml:space="preserve">treatises, many dissecting manuals have been published.  The</w:t></w:r>
</w:p>
<w:p>
<w:pPr><w:pStyle w:val="Normal"/></w:pPr>
<w:r><w:t xml:space="preserve">earliest were the Dublin Dissector and the London Dissector;</w:t></w:r>
</w:p>
<w:p>
<w:pPr><w:pStyle w:val="Normal"/></w:pPr>
<w:r><w:t xml:space="preserve">others still in use are those of G. V. Ellis, C. Heath, D. J.</w:t></w:r>
</w:p>
<w:p>
<w:pPr><w:pStyle w:val="Normal"/></w:pPr>
<w:r><w:t xml:space="preserve">Cunningham, and J. Cleland and J. Mackay.  In 1889 Professor</w:t></w:r>
</w:p>
<w:p>
<w:pPr><w:pStyle w:val="Normal"/></w:pPr>
<w:r><w:t xml:space="preserve">A. Macalister published a book on anatomy, which combined the</w:t></w:r>
</w:p>
<w:p>
<w:pPr><w:pStyle w:val="Normal"/></w:pPr>
<w:r><w:t xml:space="preserve">advantages of a text-book with those of a dissecting guide.</w:t></w:r>
</w:p>
<w:p>
<w:pPr><w:pStyle w:val="Normal"/></w:pPr>
<w:r><w:t xml:space="preserve">In America the English text-books are largely used in addition to that</w:t></w:r>
</w:p>
<w:p>
<w:pPr><w:pStyle w:val="Normal"/></w:pPr>
<w:r><w:t xml:space="preserve">edited by F. H. Gerrish.  There is a special American edition of Gray.</w:t></w:r>
</w:p>
<w:p>
<w:pPr><w:pStyle w:val="Normal"/></w:pPr>
<w:r><w:t xml:space="preserve">Many systematic works on modern anatomy have come from</w:t></w:r>
</w:p>
<w:p>
<w:pPr><w:pStyle w:val="Normal"/></w:pPr>
<w:r><w:t xml:space="preserve">Germany.  J. F. Meckel, J. C. Rosenmuller, C. F. Krause,</w:t></w:r>
</w:p>
<w:p>
<w:pPr><w:pStyle w:val="Normal"/></w:pPr>
<w:r><w:t xml:space="preserve">G. F. Hildebrandt, J. Hyrtl, H. Luschka and A. Meyer have</w:t></w:r>
</w:p>
<w:p>
<w:pPr><w:pStyle w:val="Normal"/></w:pPr>
<w:r><w:t xml:space="preserve">all published works which have made their mark, but by far</w:t></w:r>
</w:p>
<w:p>
<w:pPr><w:pStyle w:val="Normal"/></w:pPr>
<w:r><w:t xml:space="preserve">the most important, and, as some consider, still the best</w:t></w:r>
</w:p>
<w:p>
<w:pPr><w:pStyle w:val="Normal"/></w:pPr>
<w:r><w:t xml:space="preserve">of all anatomical text-books, is that of F. G. J. Henle,</w:t></w:r>
</w:p>
<w:p>
<w:pPr><w:pStyle w:val="Normal"/></w:pPr>
<w:r><w:t xml:space="preserve">professor of anatomy in Gottingen, which was comlpleted in</w:t></w:r>
</w:p>
<w:p>
<w:pPr><w:pStyle w:val="Normal"/></w:pPr>
<w:r><w:t xml:space="preserve">1873.  The beautiful illustrations of frozen specimens of</w:t></w:r>
</w:p>
<w:p>
<w:pPr><w:pStyle w:val="Normal"/></w:pPr>
<w:r><w:t xml:space="preserve">the body brought out by W. Braune added a great deal to</w:t></w:r>
</w:p>
<w:p>
<w:pPr><w:pStyle w:val="Normal"/></w:pPr>
<w:r><w:t xml:space="preserve">the student&apos;s opportunities of learning the relations of</w:t></w:r>
</w:p>
<w:p>
<w:pPr><w:pStyle w:val="Normal"/></w:pPr>
<w:r><w:t xml:space="preserve">the various structures, and are largely used all over the</w:t></w:r>
</w:p>
<w:p>
<w:pPr><w:pStyle w:val="Normal"/></w:pPr>
<w:r><w:t xml:space="preserve">world.  Rudinger&apos;s Anatomy also contains many plates showing</w:t></w:r>
</w:p>
<w:p>
<w:pPr><w:pStyle w:val="Normal"/></w:pPr>
<w:r><w:t xml:space="preserve">various sections, but the most complete text-book in the German</w:t></w:r>
</w:p>
<w:p>
<w:pPr><w:pStyle w:val="Normal"/></w:pPr>
<w:r><w:t xml:space="preserve">language is that by Prof.  Karl von Bardeleben of Jena; this is</w:t></w:r>
</w:p>
<w:p>
<w:pPr><w:pStyle w:val="Normal"/></w:pPr>
<w:r><w:t xml:space="preserve">in eight volumes and contains notices of the latest literature</w:t></w:r>
</w:p>
<w:p>
<w:pPr><w:pStyle w:val="Normal"/></w:pPr>
<w:r><w:t xml:space="preserve">on descriptive and morphological anatomy by the most prominent</w:t></w:r>
</w:p>
<w:p>
<w:pPr><w:pStyle w:val="Normal"/></w:pPr>
<w:r><w:t xml:space="preserve">German anatomists.  In addition to these W. Spalteholz and</w:t></w:r>
</w:p>
<w:p>
<w:pPr><w:pStyle w:val="Heading1"/></w:pPr>
<w:r><w:t>C. Toldt have brought out valuable atlases.  In France J.</w:t></w:r>
</w:p>
<w:p>
<w:pPr><w:pStyle w:val="Normal"/></w:pPr>
<w:r><w:t xml:space="preserve">Testut&apos;s and Poirier&apos;s anatomies, both of great excellence</w:t></w:r>
</w:p>
<w:p>
<w:pPr><w:pStyle w:val="Normal"/></w:pPr>
<w:r><w:t xml:space="preserve">and beautifully illustrated, are the ones in common use.</w:t></w:r>
</w:p>
<w:p>
<w:pPr><w:pStyle w:val="Normal"/></w:pPr>
<w:r><w:t xml:space="preserve">There are two epoch-making dates in the history of modern</w:t></w:r>
</w:p>
<w:p>
<w:pPr><w:pStyle w:val="Normal"/></w:pPr>
<w:r><w:t xml:space="preserve">English anatomy besides that of the passing of the Anatomy</w:t></w:r>
</w:p>
<w:p>
<w:pPr><w:pStyle w:val="Normal"/></w:pPr>
<w:r><w:t xml:space="preserve">Act in 1832.  The first of these is 1867, when the first</w:t></w:r>
</w:p>
<w:p>
<w:pPr><w:pStyle w:val="Normal"/></w:pPr>
<w:r><w:t xml:space="preserve">volume of the Journal of Anatomy and Physiology appeared.</w:t></w:r>
</w:p>
<w:p>
<w:pPr><w:pStyle w:val="Normal"/></w:pPr>
<w:r><w:t xml:space="preserve">This afforded a medium for English anatomists to publish</w:t></w:r>
</w:p>
<w:p>
<w:pPr><w:pStyle w:val="Normal"/></w:pPr>
<w:r><w:t xml:space="preserve">their original work, besides containing valuable reviews</w:t></w:r>
</w:p>
<w:p>
<w:pPr><w:pStyle w:val="Normal"/></w:pPr>
<w:r><w:t xml:space="preserve">and notices of books and work published abroad; it has</w:t></w:r>
</w:p>
<w:p>
<w:pPr><w:pStyle w:val="Normal"/></w:pPr>
<w:r><w:t xml:space="preserve">appeared quarterly without a break since that time, and was</w:t></w:r>
</w:p>
<w:p>
<w:pPr><w:pStyle w:val="Normal"/></w:pPr>
<w:r><w:t xml:space="preserve">long under the immediate direction of Sir William Turner.</w:t></w:r>
</w:p>
<w:p>
<w:pPr><w:pStyle w:val="Normal"/></w:pPr>
<w:r><w:t xml:space="preserve">The second date is 1887, when the Anatomical Society</w:t></w:r>
</w:p>
<w:p>
<w:pPr><w:pStyle w:val="Normal"/></w:pPr>
<w:r><w:t xml:space="preserve">of Great Britain and Ireland was founded through the</w:t></w:r>
</w:p>
<w:p>
<w:pPr><w:pStyle w:val="Normal"/></w:pPr>
<w:r><w:t xml:space="preserve">exertions of Mr C. B. Lockwood.  It meets three times a</w:t></w:r>
</w:p>
<w:p>
<w:pPr><w:pStyle w:val="Normal"/></w:pPr>
<w:r><w:t xml:space="preserve">year in London and once, in the summer, at some provincial</w:t></w:r>
</w:p>
<w:p>
<w:pPr><w:pStyle w:val="Normal"/></w:pPr>
<w:r><w:t xml:space="preserve">school.  It numbers some one hundred and fifty members, and</w:t></w:r>
</w:p>
<w:p>
<w:pPr><w:pStyle w:val="Normal"/></w:pPr>
<w:r><w:t xml:space="preserve">enables anatomists from the whole British empire to meet one</w:t></w:r>
</w:p>
<w:p>
<w:pPr><w:pStyle w:val="Normal"/></w:pPr>
<w:r><w:t xml:space="preserve">another and discuss subjects of common interest.  Its first</w:t></w:r>
</w:p>
<w:p>
<w:pPr><w:pStyle w:val="Normal"/></w:pPr>
<w:r><w:t xml:space="preserve">president was Prof.  Murray Humphry of Cambridge, and its</w:t></w:r>
</w:p>
<w:p>
<w:pPr><w:pStyle w:val="Normal"/></w:pPr>
<w:r><w:t xml:space="preserve">official organ is the Journal of Anatomy and Physiology.</w:t></w:r>
</w:p>
<w:p>
<w:pPr><w:pStyle w:val="Normal"/></w:pPr>
<w:r><w:t xml:space="preserve">No account of modern anatomical work would be complete without</w:t></w:r>
</w:p>
<w:p>
<w:pPr><w:pStyle w:val="Normal"/></w:pPr>
<w:r><w:t xml:space="preserve">drawing attention to the great mass of special periodical</w:t></w:r>
</w:p>
<w:p>
<w:pPr><w:pStyle w:val="Normal"/></w:pPr>
<w:r><w:t xml:space="preserve">literature containing the records of original work which are</w:t></w:r>
</w:p>
<w:p>
<w:pPr><w:pStyle w:val="Normal"/></w:pPr>
<w:r><w:t xml:space="preserve">being published.  It is said that some three or four thousand</w:t></w:r>
</w:p>
<w:p>
<w:pPr><w:pStyle w:val="Normal"/></w:pPr>
<w:r><w:t xml:space="preserve">articles on anatomy appear in six hundred journals each</w:t></w:r>
</w:p>
<w:p>
<w:pPr><w:pStyle w:val="Normal"/></w:pPr>
<w:r><w:t xml:space="preserve">year.  To mention a few of these, in addition to the British</w:t></w:r>
</w:p>
<w:p>
<w:pPr><w:pStyle w:val="Normal"/></w:pPr>
<w:r><w:t xml:space="preserve">Journal of Anatomy and Physiology there is an American</w:t></w:r>
</w:p>
<w:p>
<w:pPr><w:pStyle w:val="Normal"/></w:pPr>
<w:r><w:t xml:space="preserve">Journal of Anatomy, the French Bulletin et memoires de la</w:t></w:r>
</w:p>
<w:p>
<w:pPr><w:pStyle w:val="Normal"/></w:pPr>
<w:r><w:t xml:space="preserve">societe anatomique, and La journal de l&apos;anatomie et de la</w:t></w:r>
</w:p>
<w:p>
<w:pPr><w:pStyle w:val="Normal"/></w:pPr>
<w:r><w:t xml:space="preserve">physiologie, and the German Internationale Monatschrift fur</w:t></w:r>
</w:p>
<w:p>
<w:pPr><w:pStyle w:val="Normal"/></w:pPr>
<w:r><w:t xml:space="preserve">Anatomie und Physiologie, Anatomischer Anzeiger, Waldeyer&apos;s</w:t></w:r>
</w:p>
<w:p>
<w:pPr><w:pStyle w:val="Normal"/></w:pPr>
<w:r><w:t xml:space="preserve">Archiv fur Anatomie und Physiologie, Schwalbe&apos;s Zeitschrift</w:t></w:r>
</w:p>
<w:p>
<w:pPr><w:pStyle w:val="Normal"/></w:pPr>
<w:r><w:t xml:space="preserve">fur Morphologie und Anthropologie, Gegenbaur&apos;s Morphologisches</w:t></w:r>
</w:p>
<w:p>
<w:pPr><w:pStyle w:val="Normal"/></w:pPr>
<w:r><w:t xml:space="preserve">Jahrbuch, edited by Ruge, and Merkel&apos;s Anatomische Hefte.</w:t></w:r>
</w:p>
<w:p>
<w:pPr><w:pStyle w:val="Normal"/></w:pPr>
<w:r><w:t xml:space="preserve">Unfortunately the outlook of anatomy in Great Britain is not</w:t></w:r>
</w:p>
<w:p>
<w:pPr><w:pStyle w:val="Normal"/></w:pPr>
<w:r><w:t xml:space="preserve">altogether satisfactory.  The number of subjects for dissection</w:t></w:r>
</w:p>
<w:p>
<w:pPr><w:pStyle w:val="Normal"/></w:pPr>
<w:r><w:t xml:space="preserve">has since 1895 been steadily diminishing, especially in</w:t></w:r>
</w:p>
<w:p>
<w:pPr><w:pStyle w:val="Normal"/></w:pPr>
<w:r><w:t xml:space="preserve">London.  This is due partly to the modern system of</w:t></w:r>
</w:p>
<w:p>
<w:pPr><w:pStyle w:val="Normal"/></w:pPr>
<w:r><w:t xml:space="preserve">insuring lives for small sums and so decreasing the number</w:t></w:r>
</w:p>
<w:p>
<w:pPr><w:pStyle w:val="Normal"/></w:pPr>
<w:r><w:t xml:space="preserve">of unclaimed bodies, and partly to the fact that, owing to</w:t></w:r>
</w:p>
<w:p>
<w:pPr><w:pStyle w:val="Normal"/></w:pPr>
<w:r><w:t xml:space="preserve">the permissive nature of the British Anatomy Act, several</w:t></w:r>
</w:p>
<w:p>
<w:pPr><w:pStyle w:val="Normal"/></w:pPr>
<w:r><w:t xml:space="preserve">boards of guardians will not allow even unclaimed bodies</w:t></w:r>
</w:p>
<w:p>
<w:pPr><w:pStyle w:val="Normal"/></w:pPr>
<w:r><w:t xml:space="preserve">to be used for dissection and for the teaching of operative</w:t></w:r>
</w:p>
<w:p>
<w:pPr><w:pStyle w:val="Normal"/></w:pPr>
<w:r><w:t xml:space="preserve">surgery.  It is not popularly understood that a dearth of</w:t></w:r>
</w:p>
<w:p>
<w:pPr><w:pStyle w:val="Normal"/></w:pPr>
<w:r><w:t xml:space="preserve">bodies means not only a check to abstract science, but a serious</w:t></w:r>
</w:p>
<w:p>
<w:pPr><w:pStyle w:val="Normal"/></w:pPr>
<w:r><w:t xml:space="preserve">handicap to medical education, which must react more upon</w:t></w:r>
</w:p>
<w:p>
<w:pPr><w:pStyle w:val="Normal"/></w:pPr>
<w:r><w:t xml:space="preserve">the poor than upon the rich, since the latter can afford to</w:t></w:r>
</w:p>
<w:p>
<w:pPr><w:pStyle w:val="Normal"/></w:pPr>
<w:r><w:t xml:space="preserve">pay for the services of medical men educated abroad, where no</w:t></w:r>
</w:p>
<w:p>
<w:pPr><w:pStyle w:val="Normal"/></w:pPr>
<w:r><w:t xml:space="preserve">difficulties are placed in the way of their learning fully the</w:t></w:r>
</w:p>
<w:p>
<w:pPr><w:pStyle w:val="Normal"/></w:pPr>
<w:r><w:t xml:space="preserve">structure of the body they have to treat in disease. (F. G. P.)</w:t></w:r>
</w:p>
<w:p>
<w:pPr><w:pStyle w:val="Normal"/></w:pPr>
<w:r><w:t xml:space="preserve">SUPERFICIAL AND ARTISTIC</w:t></w:r>
</w:p>
<w:p>
<w:pPr><w:pStyle w:val="Normal"/></w:pPr>
<w:r><w:t xml:space="preserve">The objects of the study of superficial anatomy are to</w:t></w:r>
</w:p>
<w:p>
<w:pPr><w:pStyle w:val="Normal"/></w:pPr>
<w:r><w:t xml:space="preserve">show, first, the form and proportions of the human body and,</w:t></w:r>
</w:p>
<w:p>
<w:pPr><w:pStyle w:val="Normal"/></w:pPr>
<w:r><w:t xml:space="preserve">second, the surface landmarks which correspond to deeper</w:t></w:r>
</w:p>
<w:p>
<w:pPr><w:pStyle w:val="Normal"/></w:pPr>
<w:r><w:t xml:space="preserve">structures hidden from view.  This study blends imperceptibly</w:t></w:r>
</w:p>
<w:p>
<w:pPr><w:pStyle w:val="Normal"/></w:pPr>
<w:r><w:t xml:space="preserve">with others, such as physical anthropology, physiognomy,</w:t></w:r>
</w:p>
<w:p>
<w:pPr><w:pStyle w:val="Normal"/></w:pPr>
<w:r><w:t xml:space="preserve">phrenology and palmistry, but whereas these deal chiefly with</w:t></w:r>
</w:p>
<w:p>
<w:pPr><w:pStyle w:val="Normal"/></w:pPr>
<w:r><w:t xml:space="preserve">variations, superficial anatomy is concerned with the type.</w:t></w:r>
</w:p>
<w:p>
<w:pPr><w:pStyle w:val="Normal"/></w:pPr>
<w:r><w:t xml:space="preserve">With regard to the proportions of the body the artist and</w:t></w:r>
</w:p>
<w:p>
<w:pPr><w:pStyle w:val="Normal"/></w:pPr>
<w:r><w:t xml:space="preserve">anatomist approach the subject from a slightly different</w:t></w:r>
</w:p>
<w:p>
<w:pPr><w:pStyle w:val="Normal"/></w:pPr>
<w:r><w:t xml:space="preserve">point of view.  The former, by a process of artistic</w:t></w:r>
</w:p>
<w:p>
<w:pPr><w:pStyle w:val="Normal"/></w:pPr>
<w:r><w:t xml:space="preserve">selection, seeks the ideal and adopts the proportions which</w:t></w:r>
</w:p>
<w:p>
<w:pPr><w:pStyle w:val="Normal"/></w:pPr>
<w:r><w:t xml:space="preserve">give the most pleasing effect, while the latter desires</w:t></w:r>
</w:p>
<w:p>
<w:pPr><w:pStyle w:val="Normal"/></w:pPr>
<w:r><w:t xml:space="preserve">to know only the mean of a large series of measurements.</w:t></w:r>
</w:p>
<w:p>
<w:pPr><w:pStyle w:val="Normal"/></w:pPr>
<w:r><w:t xml:space="preserve">The scheme which Dr Paul Richer suggests( Anatomie artistique,</w:t></w:r>
</w:p>
<w:p>
<w:pPr><w:pStyle w:val="Normal"/></w:pPr>
<w:r><w:t xml:space="preserve">Paris, 1890), and Professor Arthur Thomson approves (Anatomy</w:t></w:r>
</w:p>
<w:p>
<w:pPr><w:pStyle w:val="Normal"/></w:pPr>
<w:r><w:t xml:space="preserve">for Art Students, 1896), is to divide the whole body</w:t></w:r>
</w:p>
<w:p>
<w:pPr><w:pStyle w:val="Normal"/></w:pPr>
<w:r><w:t xml:space="preserve">into head-lengths, of which seven and a half make up the</w:t></w:r>
</w:p>
<w:p>
<w:pPr><w:pStyle w:val="Normal"/></w:pPr>
<w:r><w:t xml:space="preserve">stature.  Four of these are above the fork and three and a</w:t></w:r>
</w:p>
<w:p>
<w:pPr><w:pStyle w:val="Normal"/></w:pPr>
<w:r><w:t xml:space="preserve">half below (see figs. 1 and 2). Of the four above, one forms</w:t></w:r>
</w:p>
<w:p>
<w:pPr><w:pStyle w:val="Normal"/></w:pPr>
<w:r><w:t xml:space="preserve">the head and face, the second reaches from the chin to the</w:t></w:r>
</w:p>
<w:p>
<w:pPr><w:pStyle w:val="Normal"/></w:pPr>
<w:r><w:t xml:space="preserve">level of the nipples, the third from the nipples to the navel,</w:t></w:r>
</w:p>
<w:p>
<w:pPr><w:pStyle w:val="Normal"/></w:pPr>
<w:r><w:t xml:space="preserve">and the fourth from there to the fork.  By dividing these</w:t></w:r>
</w:p>
<w:p>
<w:pPr><w:pStyle w:val="Normal"/></w:pPr>
<w:r><w:t xml:space="preserve">into half-heads other points can be determined; for instance</w:t></w:r>
</w:p>
<w:p>
<w:pPr><w:pStyle w:val="Normal"/></w:pPr>
<w:r><w:t xml:space="preserve">the middle of the first head-length corresponds to the eyes,</w:t></w:r>
</w:p>
<w:p>
<w:pPr><w:pStyle w:val="Normal"/></w:pPr>
<w:r><w:t xml:space="preserve">the middle of the second to the shoulder, of the fourth to</w:t></w:r>
</w:p>
<w:p>
<w:pPr><w:pStyle w:val="Normal"/></w:pPr>
<w:r><w:t xml:space="preserve">the top of the hip-joint, and of the fifth to the knee-joint.</w:t></w:r>
</w:p>
<w:p>
<w:pPr><w:pStyle w:val="Normal"/></w:pPr>
<w:r><w:t xml:space="preserve">The elbow-joint, when the arms are by the side, is a little</w:t></w:r>
</w:p>
<w:p>
<w:pPr><w:pStyle w:val="Normal"/></w:pPr>
<w:r><w:t xml:space="preserve">above the lower limit of the third head-length, whilst the</w:t></w:r>
</w:p>
<w:p>
<w:pPr><w:pStyle w:val="Normal"/></w:pPr>
<w:r><w:t xml:space="preserve">wrist is opposite the very centre of the stature, three</w:t></w:r>
</w:p>
<w:p>
<w:pPr><w:pStyle w:val="Normal"/></w:pPr>
<w:r><w:t xml:space="preserve">head-lengths and three-quarters from the crown or the soles.</w:t></w:r>
</w:p>
<w:p>
<w:pPr><w:pStyle w:val="Normal"/></w:pPr>
<w:r><w:t xml:space="preserve">The tips of the fingers reach a little below the middle of the</w:t></w:r>
</w:p>
<w:p>
<w:pPr><w:pStyle w:val="Normal"/></w:pPr>
<w:r><w:t xml:space="preserve">fifth head-length. (In fig. 1 the fingers are bent.) By making</w:t></w:r>
</w:p>
<w:p>
<w:pPr><w:pStyle w:val="Normal"/></w:pPr>
<w:r><w:t xml:space="preserve">the stature eight head-lengths instead of seven and a half</w:t></w:r>
</w:p>
<w:p>
<w:pPr><w:pStyle w:val="Normal"/></w:pPr>
<w:r><w:t xml:space="preserve">the artistic effect is increased, as it is also by slightly</w:t></w:r>
</w:p>
<w:p>
<w:pPr><w:pStyle w:val="Normal"/></w:pPr>
<w:r><w:t xml:space="preserve">lengthening the legs in proportion to the body.  Approximate</w:t></w:r>
</w:p>
<w:p>
<w:pPr><w:pStyle w:val="Normal"/></w:pPr>
<w:r><w:t xml:space="preserve">average breadth measurements are two heads for the greatest</w:t></w:r>
</w:p>
<w:p>
<w:pPr><w:pStyle w:val="Normal"/></w:pPr>
<w:r><w:t xml:space="preserve">width of the shoulders, one and a half for the greatest width</w:t></w:r>
</w:p>
<w:p>
<w:pPr><w:pStyle w:val="Normal"/></w:pPr>
<w:r><w:t xml:space="preserve">of the hips, one for the narrowest part of the waist, and</w:t></w:r>
</w:p>
<w:p>
<w:pPr><w:pStyle w:val="Normal"/></w:pPr>
<w:r><w:t xml:space="preserve">three-quarters for the breadth of the head on a level with the eyes.</w:t></w:r>
</w:p>
<w:p>
<w:pPr><w:pStyle w:val="Normal"/></w:pPr>
<w:r><w:t xml:space="preserve">The relation of superficial landmarks to deep structures cannot</w:t></w:r>
</w:p>
<w:p>
<w:pPr><w:pStyle w:val="Normal"/></w:pPr>
<w:r><w:t xml:space="preserve">be treated here in full detail, but the chief points may be</w:t></w:r>
</w:p>
<w:p>
<w:pPr><w:pStyle w:val="Normal"/></w:pPr>
<w:r><w:t xml:space="preserve">indicated.  Certain parts of the head may easily be felt through</w:t></w:r>
</w:p>
<w:p>
<w:pPr><w:pStyle w:val="Normal"/></w:pPr>
<w:r><w:t xml:space="preserve">the skin.  If the finger is run along the upper margin of the</w:t></w:r>
</w:p>
<w:p>
<w:pPr><w:pStyle w:val="Normal"/></w:pPr>
<w:r><w:t xml:space="preserve">orbit, the notch for the supraorbital nerve may usually be</w:t></w:r>
</w:p>
<w:p>
<w:pPr><w:pStyle w:val="Normal"/></w:pPr>
<w:r><w:t xml:space="preserve">felt at the junction of the inner and middle thirds.  At the</w:t></w:r>
</w:p>
<w:p>
<w:pPr><w:pStyle w:val="Normal"/></w:pPr>
<w:r><w:t xml:space="preserve">outer end of the margin is its junction with the malar bone,</w:t></w:r>
</w:p>
<w:p>
<w:pPr><w:pStyle w:val="Normal"/></w:pPr>
<w:r><w:t xml:space="preserve">and this easily felt point is known as the external angular</w:t></w:r>
</w:p>
<w:p>
<w:pPr><w:pStyle w:val="Normal"/></w:pPr>
<w:r><w:t xml:space="preserve">process.  The junction of the frontal and nasal bones at the</w:t></w:r>
</w:p>
<w:p>
<w:pPr><w:pStyle w:val="Normal"/></w:pPr>
<w:r><w:t xml:space="preserve">root of the nose is the nasion, while at the back of the skull</w:t></w:r>
</w:p>
<w:p>
<w:pPr><w:pStyle w:val="Normal"/></w:pPr>
<w:r><w:t xml:space="preserve">the external occipital protuberance or inion is felt and marks</w:t></w:r>
</w:p>
<w:p>
<w:pPr><w:pStyle w:val="Normal"/></w:pPr>
<w:r><w:t xml:space="preserve">the position of the torcular Herophili, where the venous sinuses</w:t></w:r>
</w:p>
<w:p>
<w:pPr><w:pStyle w:val="Normal"/></w:pPr>
<w:r><w:t xml:space="preserve">meet.  The zygoma may be felt running back from the malar bone</w:t></w:r>
</w:p>
<w:p>
<w:pPr><w:pStyle w:val="Normal"/></w:pPr>
<w:r><w:t xml:space="preserve">to just in front of the ear, and two fingers&apos; breadth above</w:t></w:r>
</w:p>
<w:p>
<w:pPr><w:pStyle w:val="Normal"/></w:pPr>
<w:r><w:t xml:space="preserve">the middle of it marks the pterion, a very important point in</w:t></w:r>
</w:p>
<w:p>
<w:pPr><w:pStyle w:val="Normal"/></w:pPr>
<w:r><w:t xml:space="preserve">the localization of intracranial structures.  It corresponds</w:t></w:r>
</w:p>
<w:p>
<w:pPr><w:pStyle w:val="Normal"/></w:pPr>
<w:r><w:t xml:space="preserve">to the anterior branch of the middle meningeal artery, to the</w:t></w:r>
</w:p>
<w:p>
<w:pPr><w:pStyle w:val="Normal"/></w:pPr>
<w:r><w:t xml:space="preserve">Sylvian point where the three limbs of the fissure of Sylvius</w:t></w:r>
</w:p>
<w:p>
<w:pPr><w:pStyle w:val="Normal"/></w:pPr>
<w:r><w:t xml:space="preserve">diverge, to the middle cerebral artery, the central lobe of the</w:t></w:r>
</w:p>
<w:p>
<w:pPr><w:pStyle w:val="Normal"/></w:pPr>
<w:r><w:t xml:space="preserve">brain or island of Reil, and the anterior part of the corpus</w:t></w:r>
</w:p>
<w:p>
<w:pPr><w:pStyle w:val="Normal"/></w:pPr>
<w:r><w:t xml:space="preserve">striatum.  The fissure of Sylvius can be marked out by drawing</w:t></w:r>
</w:p>
<w:p>
<w:pPr><w:pStyle w:val="Normal"/></w:pPr>
<w:r><w:t xml:space="preserve">a line from the external angular process back through the</w:t></w:r>
</w:p>
<w:p>
<w:pPr><w:pStyle w:val="Normal"/></w:pPr>
<w:r><w:t xml:space="preserve">Sylvian point to the lower part of the parietal eminence.</w:t></w:r>
</w:p>
<w:p>
<w:pPr><w:pStyle w:val="Normal"/></w:pPr>
<w:r><w:t xml:space="preserve">Fig. 1.                               Fig. 2.</w:t></w:r>
</w:p>
<w:p>
<w:pPr><w:pStyle w:val="Normal"/></w:pPr>
<w:r><w:t xml:space="preserve">a, Serratus magnus.         b, Dimple over posterior superior</w:t></w:r>
</w:p>
<w:p>
<w:pPr><w:pStyle w:val="Normal"/></w:pPr>
<w:r><w:t xml:space="preserve">b, Deltoid.                           spine of ilium.</w:t></w:r>
</w:p>
<w:p>
<w:pPr><w:pStyle w:val="Normal"/></w:pPr>
<w:r><w:t xml:space="preserve">g, Biceps.                  g, Lower angle of scapula.</w:t></w:r>
</w:p>
<w:p>
<w:pPr><w:pStyle w:val="Normal"/></w:pPr>
<w:r><w:t xml:space="preserve">d, Poupart&apos;s ligament.      d, External head of triceps.</w:t></w:r>
</w:p>
<w:p>
<w:pPr><w:pStyle w:val="Normal"/></w:pPr>
<w:r><w:t xml:space="preserve">e, Patella.                 e, Depression over the great</w:t></w:r>
</w:p>
<w:p>
<w:pPr><w:pStyle w:val="Normal"/></w:pPr>
<w:r><w:t xml:space="preserve">T.P. Transpyloric plane.                   trochanter.</w:t></w:r>
</w:p>
<w:p>
<w:pPr><w:pStyle w:val="Normal"/></w:pPr>
<w:r><w:t xml:space="preserve">S.C. Subcostal plane.            z, Popliteal space.</w:t></w:r>
</w:p>
<w:p>
<w:pPr><w:pStyle w:val="Normal"/></w:pPr>
<w:r><w:t xml:space="preserve">I.T. Intertubercular plane.      e, Gastrocnemius.</w:t></w:r>
</w:p>
<w:p>
<w:pPr><w:pStyle w:val="Normal"/></w:pPr>
<w:r><w:t xml:space="preserve">The scale between the figures represents head-lengths.</w:t></w:r>
</w:p>
<w:p>
<w:pPr><w:pStyle w:val="Normal"/></w:pPr>
<w:r><w:t xml:space="preserve">The position of the sulcus of Rolando is important because</w:t></w:r>
</w:p>
<w:p>
<w:pPr><w:pStyle w:val="Normal"/></w:pPr>
<w:r><w:t xml:space="preserve">of the numerous cortical centres which lie close to it.</w:t></w:r>
</w:p>
<w:p>
<w:pPr><w:pStyle w:val="Normal"/></w:pPr>
<w:r><w:t xml:space="preserve">For practical purposes it may be mapped out by taking the</w:t></w:r>
</w:p>
<w:p>
<w:pPr><w:pStyle w:val="Normal"/></w:pPr>
<w:r><w:t xml:space="preserve">superior Rolandic point,  1/2 in. behind the bisection of a</w:t></w:r>
</w:p>
<w:p>
<w:pPr><w:pStyle w:val="Normal"/></w:pPr>
<w:r><w:t xml:space="preserve">line drawn from the nasion to the inion over the vault of the</w:t></w:r>
</w:p>
<w:p>
<w:pPr><w:pStyle w:val="Normal"/></w:pPr>
<w:r><w:t xml:space="preserve">skull, and joining that to the inferior Rolandic point, which</w:t></w:r>
</w:p>
<w:p>
<w:pPr><w:pStyle w:val="Normal"/></w:pPr>
<w:r><w:t xml:space="preserve">is just above the line of the fissure of Sylvius and 1 in.</w:t></w:r>
</w:p>
<w:p>
<w:pPr><w:pStyle w:val="Normal"/></w:pPr>
<w:r><w:t xml:space="preserve">behind the Sylvian point.  The external parieto-occipital</w:t></w:r>
</w:p>
<w:p>
<w:pPr><w:pStyle w:val="Normal"/></w:pPr>
<w:r><w:t xml:space="preserve">fissure, which forms the boundary between the parietal and</w:t></w:r>
</w:p>
<w:p>
<w:pPr><w:pStyle w:val="Normal"/></w:pPr>
<w:r><w:t xml:space="preserve">occipital lobes of the brain, is situated practically at</w:t></w:r>
</w:p>
<w:p>
<w:pPr><w:pStyle w:val="Normal"/></w:pPr>
<w:r><w:t xml:space="preserve">the lambda, which is a hand&apos;s breadth (2 3/4 in.) above the</w:t></w:r>
</w:p>
<w:p>
<w:pPr><w:pStyle w:val="Normal"/></w:pPr>
<w:r><w:t xml:space="preserve">inion.  The lateral sinus can be mapped out by joining the</w:t></w:r>
</w:p>
<w:p>
<w:pPr><w:pStyle w:val="Normal"/></w:pPr>
<w:r><w:t xml:space="preserve">inion to the asterion, a point two-thirds of the distance from</w:t></w:r>
</w:p>
<w:p>
<w:pPr><w:pStyle w:val="Normal"/></w:pPr>
<w:r><w:t xml:space="preserve">the lambda to the tip of the mastoid process; thence the sinus</w:t></w:r>
</w:p>
<w:p>
<w:pPr><w:pStyle w:val="Normal"/></w:pPr>
<w:r><w:t xml:space="preserve">curves downward and forward toward the tip of the mastoid</w:t></w:r>
</w:p>
<w:p>
<w:pPr><w:pStyle w:val="Normal"/></w:pPr>
<w:r><w:t xml:space="preserve">process.  A point 1 in. horizontally backward from the</w:t></w:r>
</w:p>
<w:p>
<w:pPr><w:pStyle w:val="Normal"/></w:pPr>
<w:r><w:t xml:space="preserve">top of the external auditory meatus will always strike it.</w:t></w:r>
</w:p>
<w:p>
<w:pPr><w:pStyle w:val="Normal"/></w:pPr>
<w:r><w:t xml:space="preserve">Cranio-cerebral topography has been dealt with by Broca,</w:t></w:r>
</w:p>
<w:p>
<w:pPr><w:pStyle w:val="Normal"/></w:pPr>
<w:r><w:t xml:space="preserve">Bischoff, Turner, Fere, Pozzi, Giacomini, Ecker, Hefftler and</w:t></w:r>
</w:p>
<w:p>
<w:pPr><w:pStyle w:val="Normal"/></w:pPr>
<w:r><w:t xml:space="preserve">Hare.  Among the more recent papers are those of R. W.</w:t></w:r>
</w:p>
<w:p>
<w:pPr><w:pStyle w:val="Normal"/></w:pPr>
<w:r><w:t xml:space="preserve">Reid (Lancet, 27th September 1884), W. Anderson and G.</w:t></w:r>
</w:p>
<w:p>
<w:pPr><w:pStyle w:val="Normal"/></w:pPr>
<w:r><w:t xml:space="preserve">Makins (Lancet, 13th July 1889), Prof.  Chiene (detailed</w:t></w:r>
</w:p>
<w:p>
<w:pPr><w:pStyle w:val="Normal"/></w:pPr>
<w:r><w:t xml:space="preserve">in Cunningham&apos;s Text-Book of Anatomy), V. Horsley (Am.</w:t></w:r>
</w:p>
<w:p>
<w:pPr><w:pStyle w:val="Normal"/></w:pPr>
<w:r><w:t xml:space="preserve">Journal Med. Sci., 1887), G. Thane and R. Godlee (Quain&apos;s</w:t></w:r>
</w:p>
<w:p>
<w:pPr><w:pStyle w:val="Normal"/></w:pPr>
<w:r><w:t xml:space="preserve">Anatomy--appendix to 10th edition).  D. J. Cunningham</w:t></w:r>
</w:p>
<w:p>
<w:pPr><w:pStyle w:val="Normal"/></w:pPr>
<w:r><w:t xml:space="preserve">discusses the whole question in his ``Contribution to the</w:t></w:r>
</w:p>
<w:p>
<w:pPr><w:pStyle w:val="Normal"/></w:pPr>
<w:r><w:t xml:space="preserve">Surface Anatomy of the Cerebral Hemispheres&apos;&apos; (Cunningham</w:t></w:r>
</w:p>
<w:p>
<w:pPr><w:pStyle w:val="Normal"/></w:pPr>
<w:r><w:t xml:space="preserve">Memoirs, No. vii.  R. Irish Academy, Dublin, 1892),</w:t></w:r>
</w:p>
<w:p>
<w:pPr><w:pStyle w:val="Normal"/></w:pPr>
<w:r><w:t xml:space="preserve">and he has prepared a series of casts to illustrate it.</w:t></w:r>
</w:p>
<w:p>
<w:pPr><w:pStyle w:val="Normal"/></w:pPr>
<w:r><w:t xml:space="preserve">The Face.--On the front of the face a line drawn down from</w:t></w:r>
</w:p>
<w:p>
<w:pPr><w:pStyle w:val="Normal"/></w:pPr>
<w:r><w:t xml:space="preserve">the supraorbital notch between the bicuspid teeth to the</w:t></w:r>
</w:p>
<w:p>
<w:pPr><w:pStyle w:val="Normal"/></w:pPr>
<w:r><w:t xml:space="preserve">side of the chin will cut the exit of the second division</w:t></w:r>
</w:p>
<w:p>
<w:pPr><w:pStyle w:val="Normal"/></w:pPr>
<w:r><w:t xml:space="preserve">of the fifth nerve from the infraorbital foramen, a quarter</w:t></w:r>
</w:p>
<w:p>
<w:pPr><w:pStyle w:val="Normal"/></w:pPr>
<w:r><w:t xml:space="preserve">of an inch below the infraorbital margin, and also the exit</w:t></w:r>
</w:p>
<w:p>
<w:pPr><w:pStyle w:val="Normal"/></w:pPr>
<w:r><w:t xml:space="preserve">of the third division of the fifth at the mental foramen,</w:t></w:r>
</w:p>
<w:p>
<w:pPr><w:pStyle w:val="Normal"/></w:pPr>
<w:r><w:t xml:space="preserve">midway between the upper and lower margins of the body of the</w:t></w:r>
</w:p>
<w:p>
<w:pPr><w:pStyle w:val="Normal"/></w:pPr>
<w:r><w:t xml:space="preserve">jaw.  In practice it will be found that the angle of the</w:t></w:r>
</w:p>
<w:p>
<w:pPr><w:pStyle w:val="Normal"/></w:pPr>
<w:r><w:t xml:space="preserve">mouth at rest usually corresponds to the interval between</w:t></w:r>
</w:p>
<w:p>
<w:pPr><w:pStyle w:val="Normal"/></w:pPr>
<w:r><w:t xml:space="preserve">the bicuspid teeth.  The skin of the eyelids is very thin,</w:t></w:r>
</w:p>
<w:p>
<w:pPr><w:pStyle w:val="Normal"/></w:pPr>
<w:r><w:t xml:space="preserve">and is separated from the subjacent fibrous tarsal plates</w:t></w:r>
</w:p>
<w:p>
<w:pPr><w:pStyle w:val="Normal"/></w:pPr>
<w:r><w:t xml:space="preserve">by the orbicularis palpebrarum muscle.  On everting the lids</w:t></w:r>
</w:p>
<w:p>
<w:pPr><w:pStyle w:val="Normal"/></w:pPr>
<w:r><w:t xml:space="preserve">the delicate conjunctival membrane is seen, and between this</w:t></w:r>
</w:p>
<w:p>
<w:pPr><w:pStyle w:val="Normal"/></w:pPr>
<w:r><w:t xml:space="preserve">and the tarsal plates lie the meibomian glands, which can</w:t></w:r>
</w:p>
<w:p>
<w:pPr><w:pStyle w:val="Normal"/></w:pPr>
<w:r><w:t xml:space="preserve">be faintly seen as yellowish streaks.  From the free edges</w:t></w:r>
</w:p>
<w:p>
<w:pPr><w:pStyle w:val="Normal"/></w:pPr>
<w:r><w:t xml:space="preserve">of the eyelids come the eyelashes, between which many large</w:t></w:r>
</w:p>
<w:p>
<w:pPr><w:pStyle w:val="Normal"/></w:pPr>
<w:r><w:t xml:space="preserve">sweat- glands open, and when one of these is inflamed it</w:t></w:r>
</w:p>
<w:p>
<w:pPr><w:pStyle w:val="Normal"/></w:pPr>
<w:r><w:t xml:space="preserve">causes a ``stye.&apos;&apos; Internally the two eyelids form a little</w:t></w:r>
</w:p>
<w:p>
<w:pPr><w:pStyle w:val="Normal"/></w:pPr>
<w:r><w:t xml:space="preserve">recess called the internal canthus, occupied by a small</w:t></w:r>
</w:p>
<w:p>
<w:pPr><w:pStyle w:val="Normal"/></w:pPr>
<w:r><w:t xml:space="preserve">red eminence, the caruncula lachrymalis, just external to</w:t></w:r>
</w:p>
<w:p>
<w:pPr><w:pStyle w:val="Normal"/></w:pPr>
<w:r><w:t xml:space="preserve">which a small vertical fold of conjunctiva may often be</w:t></w:r>
</w:p>
<w:p>
<w:pPr><w:pStyle w:val="Normal"/></w:pPr>
<w:r><w:t xml:space="preserve">seen, called the plica semilunaris, representing the third</w:t></w:r>
</w:p>
<w:p>
<w:pPr><w:pStyle w:val="Normal"/></w:pPr>
<w:r><w:t xml:space="preserve">eyelid of birds and many mammals.  By gently drawing down</w:t></w:r>
</w:p>
<w:p>
<w:pPr><w:pStyle w:val="Normal"/></w:pPr>
<w:r><w:t xml:space="preserve">the lower eyelid the lower punctum may be seen close to the</w:t></w:r>
</w:p>
<w:p>
<w:pPr><w:pStyle w:val="Normal"/></w:pPr>
<w:r><w:t xml:space="preserve">caruncula; it is the pinhole opening into the lower of the two</w:t></w:r>
</w:p>
<w:p>
<w:pPr><w:pStyle w:val="Normal"/></w:pPr>
<w:r><w:t xml:space="preserve">canaliculi which carry away the tears to the lachrymal sac and</w:t></w:r>
</w:p>
<w:p>
<w:pPr><w:pStyle w:val="Normal"/></w:pPr>
<w:r><w:t xml:space="preserve">duct.  On the side of the face the facial artery may be felt</w:t></w:r>
</w:p>
<w:p>
<w:pPr><w:pStyle w:val="Normal"/></w:pPr>
<w:r><w:t xml:space="preserve">pulsating about an inch in front of the angle of the jaw;</w:t></w:r>
</w:p>
<w:p>
<w:pPr><w:pStyle w:val="Normal"/></w:pPr>
<w:r><w:t xml:space="preserve">it runs a tortuous course to near the angle of the mouth,</w:t></w:r>
</w:p>
<w:p>
<w:pPr><w:pStyle w:val="Normal"/></w:pPr>
<w:r><w:t xml:space="preserve">the angle of the nose and the inner angle of the eye; in the</w:t></w:r>
</w:p>
<w:p>
<w:pPr><w:pStyle w:val="Normal"/></w:pPr>
<w:r><w:t xml:space="preserve">greater part of its course its vein lies some distance behind</w:t></w:r>
</w:p>
<w:p>
<w:pPr><w:pStyle w:val="Normal"/></w:pPr>
<w:r><w:t xml:space="preserve">it.  The parotid gland lies between the ramus of the jaw</w:t></w:r>
</w:p>
<w:p>
<w:pPr><w:pStyle w:val="Normal"/></w:pPr>
<w:r><w:t xml:space="preserve">and the mastoid process; anteriorly it overlaps the masseter</w:t></w:r>
</w:p>
<w:p>
<w:pPr><w:pStyle w:val="Normal"/></w:pPr>
<w:r><w:t xml:space="preserve">to form the socia parotidis, and just below this its duct,</w:t></w:r>
</w:p>
<w:p>
<w:pPr><w:pStyle w:val="Normal"/></w:pPr>
<w:r><w:t xml:space="preserve">the duct of Stensen, runs forward to pierce the buccinator</w:t></w:r>
</w:p>
<w:p>
<w:pPr><w:pStyle w:val="Normal"/></w:pPr>
<w:r><w:t xml:space="preserve">and open into the mouth opposite the second upper molar</w:t></w:r>
</w:p>
<w:p>
<w:pPr><w:pStyle w:val="Normal"/></w:pPr>
<w:r><w:t xml:space="preserve">tooth.  The line of this duct may be marked out by joining</w:t></w:r>
</w:p>
<w:p>
<w:pPr><w:pStyle w:val="Normal"/></w:pPr>
<w:r><w:t xml:space="preserve">the lower margin of the tragus to a point midway between</w:t></w:r>
</w:p>
<w:p>
<w:pPr><w:pStyle w:val="Normal"/></w:pPr>
<w:r><w:t xml:space="preserve">the lower limit of the nose and the mouth.  The facial or</w:t></w:r>
</w:p>
<w:p>
<w:pPr><w:pStyle w:val="Normal"/></w:pPr>
<w:r><w:t xml:space="preserve">seventh nerve emerges from the skull at the stylomastoid</w:t></w:r>
</w:p>
<w:p>
<w:pPr><w:pStyle w:val="Normal"/></w:pPr>
<w:r><w:t xml:space="preserve">foramen just in front of the root of the mastoid process;</w:t></w:r>
</w:p>
<w:p>
<w:pPr><w:pStyle w:val="Normal"/></w:pPr>
<w:r><w:t xml:space="preserve">in the parotid gland it forms a network called the pes</w:t></w:r>
</w:p>
<w:p>
<w:pPr><w:pStyle w:val="Normal"/></w:pPr>
<w:r><w:t xml:space="preserve">anserinus, after which it divides into six branches which</w:t></w:r>
</w:p>
<w:p>
<w:pPr><w:pStyle w:val="Normal"/></w:pPr>
<w:r><w:t xml:space="preserve">radiate over the face to supply the muscles of expression.</w:t></w:r>
</w:p>
<w:p>
<w:pPr><w:pStyle w:val="Normal"/></w:pPr>
<w:r><w:t xml:space="preserve">The Neck.--In the middle line below the chin can be felt the</w:t></w:r>
</w:p>
<w:p>
<w:pPr><w:pStyle w:val="Normal"/></w:pPr>
<w:r><w:t xml:space="preserve">body of the hyoid bone, just below which is the prominence of</w:t></w:r>
</w:p>
<w:p>
<w:pPr><w:pStyle w:val="Normal"/></w:pPr>
<w:r><w:t xml:space="preserve">the thyroid cartilage called ``Adam&apos;s apple,&apos;&apos; better marked</w:t></w:r>
</w:p>
<w:p>
<w:pPr><w:pStyle w:val="Normal"/></w:pPr>
<w:r><w:t xml:space="preserve">in men than in women.  Still lower the cricoid cartilage is</w:t></w:r>
</w:p>
<w:p>
<w:pPr><w:pStyle w:val="Normal"/></w:pPr>
<w:r><w:t xml:space="preserve">easily felt, while between this and the suprasternal notch</w:t></w:r>
</w:p>
<w:p>
<w:pPr><w:pStyle w:val="Normal"/></w:pPr>
<w:r><w:t xml:space="preserve">the trachea and isthmus of the thyroid gland may be made</w:t></w:r>
</w:p>
<w:p>
<w:pPr><w:pStyle w:val="Normal"/></w:pPr>
<w:r><w:t xml:space="preserve">out.  At the side the outline of the sterno-mastoid muscle</w:t></w:r>
</w:p>
<w:p>
<w:pPr><w:pStyle w:val="Normal"/></w:pPr>
<w:r><w:t xml:space="preserve">is the most striking mark; it divides the anterior triangle</w:t></w:r>
</w:p>
<w:p>
<w:pPr><w:pStyle w:val="Normal"/></w:pPr>
<w:r><w:t xml:space="preserve">of the neck from the posterior.  The upper part of the former</w:t></w:r>
</w:p>
<w:p>
<w:pPr><w:pStyle w:val="Normal"/></w:pPr>
<w:r><w:t xml:space="preserve">contains the submaxillary gland, which lies just below the</w:t></w:r>
</w:p>
<w:p>
<w:pPr><w:pStyle w:val="Normal"/></w:pPr>
<w:r><w:t xml:space="preserve">posterior half of the body of the jaw.  The line of the</w:t></w:r>
</w:p>
<w:p>
<w:pPr><w:pStyle w:val="Normal"/></w:pPr>
<w:r><w:t xml:space="preserve">common and the external carotid arteries may be marked by</w:t></w:r>
</w:p>
<w:p>
<w:pPr><w:pStyle w:val="Normal"/></w:pPr>
<w:r><w:t xml:space="preserve">joining the sterno-clavicular articulation to the angle of the</w:t></w:r>
</w:p>
<w:p>
<w:pPr><w:pStyle w:val="Normal"/></w:pPr>
<w:r><w:t xml:space="preserve">jaw.  The eleventh or spinal accessory nerve corresponds</w:t></w:r>
</w:p>
<w:p>
<w:pPr><w:pStyle w:val="Normal"/></w:pPr>
<w:r><w:t xml:space="preserve">to a line drawn from a point midway between the angle</w:t></w:r>
</w:p>
<w:p>
<w:pPr><w:pStyle w:val="Normal"/></w:pPr>
<w:r><w:t xml:space="preserve">of the jaw and the mastoid process to the middle of the</w:t></w:r>
</w:p>
<w:p>
<w:pPr><w:pStyle w:val="Normal"/></w:pPr>
<w:r><w:t xml:space="preserve">posterior border of the sterno-mastoid muscle and thence</w:t></w:r>
</w:p>
<w:p>
<w:pPr><w:pStyle w:val="Normal"/></w:pPr>
<w:r><w:t xml:space="preserve">across the posterior triangle to the deep surface of the</w:t></w:r>
</w:p>
<w:p>
<w:pPr><w:pStyle w:val="Normal"/></w:pPr>
<w:r><w:t xml:space="preserve">trapezius.  The external jugular vein can usually be seen</w:t></w:r>
</w:p>
<w:p>
<w:pPr><w:pStyle w:val="Normal"/></w:pPr>
<w:r><w:t xml:space="preserve">through the skin; it runs in a line drawn from the angle of</w:t></w:r>
</w:p>
<w:p>
<w:pPr><w:pStyle w:val="Normal"/></w:pPr>
<w:r><w:t xml:space="preserve">the jaw to the middle of the clavicle, and close to it are</w:t></w:r>
</w:p>
<w:p>
<w:pPr><w:pStyle w:val="Normal"/></w:pPr>
<w:r><w:t xml:space="preserve">some small lymphatic glands.  The anterior jugular vein is</w:t></w:r>
</w:p>
<w:p>
<w:pPr><w:pStyle w:val="Normal"/></w:pPr>
<w:r><w:t xml:space="preserve">smaller, and runs down about half an inch from the middle</w:t></w:r>
</w:p>
<w:p>
<w:pPr><w:pStyle w:val="Normal"/></w:pPr>
<w:r><w:t xml:space="preserve">line of the neck.  The clavicle or collar-bone forms the</w:t></w:r>
</w:p>
<w:p>
<w:pPr><w:pStyle w:val="Normal"/></w:pPr>
<w:r><w:t xml:space="preserve">lower limit of the neck, and laterally the outward slope of</w:t></w:r>
</w:p>
<w:p>
<w:pPr><w:pStyle w:val="Normal"/></w:pPr>
<w:r><w:t xml:space="preserve">the neck to the shoulder is caused by the trapezius muscle.</w:t></w:r>
</w:p>
<w:p>
<w:pPr><w:pStyle w:val="Normal"/></w:pPr>
<w:r><w:t xml:space="preserve">The Chest.--It is important to realize that the shape of</w:t></w:r>
</w:p>
<w:p>
<w:pPr><w:pStyle w:val="Normal"/></w:pPr>
<w:r><w:t xml:space="preserve">the chest does not correspond to that of the bony thorax</w:t></w:r>
</w:p>
<w:p>
<w:pPr><w:pStyle w:val="Normal"/></w:pPr>
<w:r><w:t xml:space="preserve">which encloses the heart and lungs; all the breadth of the</w:t></w:r>
</w:p>
<w:p>
<w:pPr><w:pStyle w:val="Normal"/></w:pPr>
<w:r><w:t xml:space="preserve">shoulders is due to the shoulder girdle, and contains the</w:t></w:r>
</w:p>
<w:p>
<w:pPr><w:pStyle w:val="Normal"/></w:pPr>
<w:r><w:t xml:space="preserve">axilla and the head of the humerus.  In the middle line the</w:t></w:r>
</w:p>
<w:p>
<w:pPr><w:pStyle w:val="Normal"/></w:pPr>
<w:r><w:t xml:space="preserve">suprasternal notch is seen above, while about three fingers&apos;</w:t></w:r>
</w:p>
<w:p>
<w:pPr><w:pStyle w:val="Normal"/></w:pPr>
<w:r><w:t xml:space="preserve">breadth below it a transverse ridge can be felt, which is</w:t></w:r>
</w:p>
<w:p>
<w:pPr><w:pStyle w:val="Normal"/></w:pPr>
<w:r><w:t xml:space="preserve">known as Ludovic&apos;s angle and marks the junction between the</w:t></w:r>
</w:p>
<w:p>
<w:pPr><w:pStyle w:val="Normal"/></w:pPr>
<w:r><w:t xml:space="preserve">manubrium and gladiolus of the sternum.  Level with this line</w:t></w:r>
</w:p>
<w:p>
<w:pPr><w:pStyle w:val="Normal"/></w:pPr>
<w:r><w:t xml:space="preserve">the second ribs join the sternum, and when these are found</w:t></w:r>
</w:p>
<w:p>
<w:pPr><w:pStyle w:val="Normal"/></w:pPr>
<w:r><w:t xml:space="preserve">the lower ribs may be easily counted in a moderately thin</w:t></w:r>
</w:p>
<w:p>
<w:pPr><w:pStyle w:val="Normal"/></w:pPr>
<w:r><w:t xml:space="preserve">subject.  At the lower part of the sternum, where the seventh</w:t></w:r>
</w:p>
<w:p>
<w:pPr><w:pStyle w:val="Normal"/></w:pPr>
<w:r><w:t xml:space="preserve">or last true ribs join it, the ensiform cartilage begins,</w:t></w:r>
</w:p>
<w:p>
<w:pPr><w:pStyle w:val="Normal"/></w:pPr>
<w:r><w:t xml:space="preserve">and over this there is often a depression popularly known as</w:t></w:r>
</w:p>
<w:p>
<w:pPr><w:pStyle w:val="Normal"/></w:pPr>
<w:r><w:t xml:space="preserve">the pit of the stomach.  The nipple in the male is situated</w:t></w:r>
</w:p>
<w:p>
<w:pPr><w:pStyle w:val="Normal"/></w:pPr>
<w:r><w:t xml:space="preserve">in front of the fourth rib or a little below; vertically it</w:t></w:r>
</w:p>
<w:p>
<w:pPr><w:pStyle w:val="Normal"/></w:pPr>
<w:r><w:t xml:space="preserve">lies a little external to a line drawn down from the middle of</w:t></w:r>
</w:p>
<w:p>
<w:pPr><w:pStyle w:val="Normal"/></w:pPr>
<w:r><w:t xml:space="preserve">the clavicle; in the female it is not so constant.  A little</w:t></w:r>
</w:p>
<w:p>
<w:pPr><w:pStyle w:val="Normal"/></w:pPr>
<w:r><w:t xml:space="preserve">below it the lower limit of the great pectoral muscle is seen</w:t></w:r>
</w:p>
<w:p>
<w:pPr><w:pStyle w:val="Normal"/></w:pPr>
<w:r><w:t xml:space="preserve">running upward and outward to the axilla; in the female this</w:t></w:r>
</w:p>
<w:p>
<w:pPr><w:pStyle w:val="Normal"/></w:pPr>
<w:r><w:t xml:space="preserve">is obscured by the breast, which extends from the second to</w:t></w:r>
</w:p>
<w:p>
<w:pPr><w:pStyle w:val="Normal"/></w:pPr>
<w:r><w:t xml:space="preserve">the sixth rib vertically and from the edge of the sternum</w:t></w:r>
</w:p>
<w:p>
<w:pPr><w:pStyle w:val="Normal"/></w:pPr>
<w:r><w:t xml:space="preserve">to the mid-axillary line laterally.  The female nipple is</w:t></w:r>
</w:p>
<w:p>
<w:pPr><w:pStyle w:val="Normal"/></w:pPr>
<w:r><w:t xml:space="preserve">surrounded for half an inch by a more or less pigmented disc,</w:t></w:r>
</w:p>
<w:p>
<w:pPr><w:pStyle w:val="Normal"/></w:pPr>
<w:r><w:t xml:space="preserve">the areola.  The apex of a normal heart is in the fifth left</w:t></w:r>
</w:p>
<w:p>
<w:pPr><w:pStyle w:val="Normal"/></w:pPr>
<w:r><w:t xml:space="preserve">intercostal space, three and a half inches from the mid-line.</w:t></w:r>
</w:p>
<w:p>
<w:pPr><w:pStyle w:val="Normal"/></w:pPr>
<w:r><w:t xml:space="preserve">The Abdomen.--In the mid-line a slight furrow extends</w:t></w:r>
</w:p>
<w:p>
<w:pPr><w:pStyle w:val="Normal"/></w:pPr>
<w:r><w:t xml:space="preserve">from the ensiform cartilage above to the symphysis pubis</w:t></w:r>
</w:p>
<w:p>
<w:pPr><w:pStyle w:val="Normal"/></w:pPr>
<w:r><w:t xml:space="preserve">below; this marks the linea alba in the abdominal wall, and</w:t></w:r>
</w:p>
<w:p>
<w:pPr><w:pStyle w:val="Normal"/></w:pPr>
<w:r><w:t xml:space="preserve">about its middle point is the umbilicus or navel.  On each</w:t></w:r>
</w:p>
<w:p>
<w:pPr><w:pStyle w:val="Normal"/></w:pPr>
<w:r><w:t xml:space="preserve">side of it the broad recti muscles can be seen in muscular</w:t></w:r>
</w:p>
<w:p>
<w:pPr><w:pStyle w:val="Normal"/></w:pPr>
<w:r><w:t xml:space="preserve">people.  The outline of these muscles is interrupted by</w:t></w:r>
</w:p>
<w:p>
<w:pPr><w:pStyle w:val="Normal"/></w:pPr>
<w:r><w:t xml:space="preserve">three or more transverse depressions indicating the lineae</w:t></w:r>
</w:p>
<w:p>
<w:pPr><w:pStyle w:val="Normal"/></w:pPr>
<w:r><w:t xml:space="preserve">transversae in the recti; there is usually one about the</w:t></w:r>
</w:p>
<w:p>
<w:pPr><w:pStyle w:val="Normal"/></w:pPr>
<w:r><w:t xml:space="preserve">ensiform cartilage, one at the umbilicus, and one between;</w:t></w:r>
</w:p>
<w:p>
<w:pPr><w:pStyle w:val="Normal"/></w:pPr>
<w:r><w:t xml:space="preserve">sometimes a fourth is present below the umbilicus.  The upper</w:t></w:r>
</w:p>
<w:p>
<w:pPr><w:pStyle w:val="Normal"/></w:pPr>
<w:r><w:t xml:space="preserve">lateral limit of the abdomen is the subcostal margin formed</w:t></w:r>
</w:p>
<w:p>
<w:pPr><w:pStyle w:val="Normal"/></w:pPr>
<w:r><w:t xml:space="preserve">by the cartilages of the false ribs (8, 9, 10) joining one</w:t></w:r>
</w:p>
<w:p>
<w:pPr><w:pStyle w:val="Normal"/></w:pPr>
<w:r><w:t xml:space="preserve">another; the lower lateral limit is the anterior part of the</w:t></w:r>
</w:p>
<w:p>
<w:pPr><w:pStyle w:val="Normal"/></w:pPr>
<w:r><w:t xml:space="preserve">crest of the ilium and Poupart&apos;s ligament running from the</w:t></w:r>
</w:p>
<w:p>
<w:pPr><w:pStyle w:val="Normal"/></w:pPr>
<w:r><w:t xml:space="preserve">anterior superior spine of the ilium to the spine of the pubis</w:t></w:r>
</w:p>
<w:p>
<w:pPr><w:pStyle w:val="Normal"/></w:pPr>
<w:r><w:t xml:space="preserve">(see fig. 1, d); these lower limits are marked by definite</w:t></w:r>
</w:p>
<w:p>
<w:pPr><w:pStyle w:val="Normal"/></w:pPr>
<w:r><w:t xml:space="preserve">grooves.  Just above the pubic spine is the external abdominal</w:t></w:r>
</w:p>
<w:p>
<w:pPr><w:pStyle w:val="Normal"/></w:pPr>
<w:r><w:t xml:space="preserve">ring, an opening in the muscular wall of the abdomen for</w:t></w:r>
</w:p>
<w:p>
<w:pPr><w:pStyle w:val="Normal"/></w:pPr>
<w:r><w:t xml:space="preserve">the spermatic cord to emerge in the male.  The most modern</w:t></w:r>
</w:p>
<w:p>
<w:pPr><w:pStyle w:val="Normal"/></w:pPr>
<w:r><w:t xml:space="preserve">method of marking out the abdominal contents is to draw</w:t></w:r>
</w:p>
<w:p>
<w:pPr><w:pStyle w:val="Normal"/></w:pPr>
<w:r><w:t xml:space="preserve">three horizontal and two vertical lines; the highest of the</w:t></w:r>
</w:p>
<w:p>
<w:pPr><w:pStyle w:val="Normal"/></w:pPr>
<w:r><w:t xml:space="preserve">former is the transpyloric line of C. Addison (fig. 1, T.P.</w:t></w:r>
</w:p>
<w:p>
<w:pPr><w:pStyle w:val="Normal"/></w:pPr>
<w:r><w:t xml:space="preserve">), which is situated half-way between the suprasternal</w:t></w:r>
</w:p>
<w:p>
<w:pPr><w:pStyle w:val="Normal"/></w:pPr>
<w:r><w:t xml:space="preserve">notch and the top of the symphysis pubis; it often cuts the</w:t></w:r>
</w:p>
<w:p>
<w:pPr><w:pStyle w:val="Normal"/></w:pPr>
<w:r><w:t xml:space="preserve">pyloric opening of the stomach an inch to the right of the</w:t></w:r>
</w:p>
<w:p>
<w:pPr><w:pStyle w:val="Normal"/></w:pPr>
<w:r><w:t xml:space="preserve">mid-line.  The hilum of each kidney is a little below it,</w:t></w:r>
</w:p>
<w:p>
<w:pPr><w:pStyle w:val="Normal"/></w:pPr>
<w:r><w:t xml:space="preserve">while its left end approximately touches the lower limit</w:t></w:r>
</w:p>
<w:p>
<w:pPr><w:pStyle w:val="Normal"/></w:pPr>
<w:r><w:t xml:space="preserve">of the spleen.  It corresponds to the first lumbar vertebra</w:t></w:r>
</w:p>
<w:p>
<w:pPr><w:pStyle w:val="Normal"/></w:pPr>
<w:r><w:t xml:space="preserve">behind.  The second line is the subcostal (fig. 1, S.C.),</w:t></w:r>
</w:p>
<w:p>
<w:pPr><w:pStyle w:val="Normal"/></w:pPr>
<w:r><w:t xml:space="preserve">drawn from the lowest point of the subcostal arch (tenth</w:t></w:r>
</w:p>
<w:p>
<w:pPr><w:pStyle w:val="Normal"/></w:pPr>
<w:r><w:t xml:space="preserve">rib); it corresponds to the upper part of the third lumbar</w:t></w:r>
</w:p>
<w:p>
<w:pPr><w:pStyle w:val="Normal"/></w:pPr>
<w:r><w:t xml:space="preserve">vertebra, and is an inch or so above the umbilicus; it indicates</w:t></w:r>
</w:p>
<w:p>
<w:pPr><w:pStyle w:val="Normal"/></w:pPr>
<w:r><w:t xml:space="preserve">roughly the transverse colon, the lower ends of the kidneys,</w:t></w:r>
</w:p>
<w:p>
<w:pPr><w:pStyle w:val="Normal"/></w:pPr>
<w:r><w:t xml:space="preserve">and the upper limit of the transverse (3rd) part of the</w:t></w:r>
</w:p>
<w:p>
<w:pPr><w:pStyle w:val="Normal"/></w:pPr>
<w:r><w:t xml:space="preserve">duodenum.  The third line is called the intertubercular</w:t></w:r>
</w:p>
<w:p>
<w:pPr><w:pStyle w:val="Normal"/></w:pPr>
<w:r><w:t xml:space="preserve">(fig. 1, I.T.), and runs across between the two rough</w:t></w:r>
</w:p>
<w:p>
<w:pPr><w:pStyle w:val="Normal"/></w:pPr>
<w:r><w:t xml:space="preserve">tubercles, which can be felt on the outer lip of the crest</w:t></w:r>
</w:p>
<w:p>
<w:pPr><w:pStyle w:val="Normal"/></w:pPr>
<w:r><w:t xml:space="preserve">of the ilium about two and a half inches from the anterior</w:t></w:r>
</w:p>
<w:p>
<w:pPr><w:pStyle w:val="Normal"/></w:pPr>
<w:r><w:t xml:space="preserve">superior spine.  This line corresponds to the body of the</w:t></w:r>
</w:p>
<w:p>
<w:pPr><w:pStyle w:val="Normal"/></w:pPr>
<w:r><w:t xml:space="preserve">fifth lumbar vertebra, and passes through or just above</w:t></w:r>
</w:p>
<w:p>
<w:pPr><w:pStyle w:val="Normal"/></w:pPr>
<w:r><w:t xml:space="preserve">the ileo-caecal valve where the small intestine joins the</w:t></w:r>
</w:p>
<w:p>
<w:pPr><w:pStyle w:val="Normal"/></w:pPr>
<w:r><w:t xml:space="preserve">large.  The two vertical or mid-Poupart lines are drawn from</w:t></w:r>
</w:p>
<w:p>
<w:pPr><w:pStyle w:val="Normal"/></w:pPr>
<w:r><w:t xml:space="preserve">the point midway between the anterior superior spine and the</w:t></w:r>
</w:p>
<w:p>
<w:pPr><w:pStyle w:val="Normal"/></w:pPr>
<w:r><w:t xml:space="preserve">pubic symphysis on each side vertically upward to the costal</w:t></w:r>
</w:p>
<w:p>
<w:pPr><w:pStyle w:val="Normal"/></w:pPr>
<w:r><w:t xml:space="preserve">margin.  The right one is the most valuable, as the ileo-caecal</w:t></w:r>
</w:p>
<w:p>
<w:pPr><w:pStyle w:val="Normal"/></w:pPr>
<w:r><w:t xml:space="preserve">valve is situated where it cuts the intertubercular line,</w:t></w:r>
</w:p>
<w:p>
<w:pPr><w:pStyle w:val="Normal"/></w:pPr>
<w:r><w:t xml:space="preserve">while the orifice of the vermiform appendix is an inch lower</w:t></w:r>
</w:p>
<w:p>
<w:pPr><w:pStyle w:val="Normal"/></w:pPr>
<w:r><w:t xml:space="preserve">down.  At its upper part it meets the transpyloric line at</w:t></w:r>
</w:p>
<w:p>
<w:pPr><w:pStyle w:val="Normal"/></w:pPr>
<w:r><w:t xml:space="preserve">the lower margin of the ribs, usually the ninth, and here</w:t></w:r>
</w:p>
<w:p>
<w:pPr><w:pStyle w:val="Normal"/></w:pPr>
<w:r><w:t xml:space="preserve">the gallbladder is situated.  The left mid-Poupart line</w:t></w:r>
</w:p>
<w:p>
<w:pPr><w:pStyle w:val="Normal"/></w:pPr>
<w:r><w:t xml:space="preserve">corresponds in its upper three-quarters to the inner edge of</w:t></w:r>
</w:p>
<w:p>
<w:pPr><w:pStyle w:val="Normal"/></w:pPr>
<w:r><w:t xml:space="preserve">the descending colon.  The right subcostal margin corresponds</w:t></w:r>
</w:p>
<w:p>
<w:pPr><w:pStyle w:val="Normal"/></w:pPr>
<w:r><w:t xml:space="preserve">to the lower limit of the liver, while the right nipple is</w:t></w:r>
</w:p>
<w:p>
<w:pPr><w:pStyle w:val="Normal"/></w:pPr>
<w:r><w:t xml:space="preserve">about half an inch above the upper limit of this viscus.</w:t></w:r>
</w:p>
<w:p>
<w:pPr><w:pStyle w:val="Normal"/></w:pPr>
<w:r><w:t xml:space="preserve">The Back.--There is a well-marked furrow stretching all</w:t></w:r>
</w:p>
<w:p>
<w:pPr><w:pStyle w:val="Normal"/></w:pPr>
<w:r><w:t xml:space="preserve">the way down the middle line of the back from the external</w:t></w:r>
</w:p>
<w:p>
<w:pPr><w:pStyle w:val="Normal"/></w:pPr>
<w:r><w:t xml:space="preserve">occipital protuberance to the cleft of the buttocks.  In this</w:t></w:r>
</w:p>
<w:p>
<w:pPr><w:pStyle w:val="Normal"/></w:pPr>
<w:r><w:t xml:space="preserve">the spinous processes of the vertebrae can be felt, especially</w:t></w:r>
</w:p>
<w:p>
<w:pPr><w:pStyle w:val="Normal"/></w:pPr>
<w:r><w:t xml:space="preserve">if the model bend forward.  The cervical spines are difficult to</w:t></w:r>
</w:p>
<w:p>
<w:pPr><w:pStyle w:val="Normal"/></w:pPr>
<w:r><w:t xml:space="preserve">feel, except the seventh and sometimes the second, and although</w:t></w:r>
</w:p>
<w:p>
<w:pPr><w:pStyle w:val="Normal"/></w:pPr>
<w:r><w:t xml:space="preserve">the former is called the vertebra prominens, its spine is less</w:t></w:r>
</w:p>
<w:p>
<w:pPr><w:pStyle w:val="Normal"/></w:pPr>
<w:r><w:t xml:space="preserve">easily felt than is that of the first thoracic.  In practice</w:t></w:r>
</w:p>
<w:p>
<w:pPr><w:pStyle w:val="Normal"/></w:pPr>
<w:r><w:t xml:space="preserve">it is not very easy to identify any one spine with certainty:</w:t></w:r>
</w:p>
<w:p>
<w:pPr><w:pStyle w:val="Normal"/></w:pPr>
<w:r><w:t xml:space="preserve">one method is to start from the prominent first thoracic and</w:t></w:r>
</w:p>
<w:p>
<w:pPr><w:pStyle w:val="Normal"/></w:pPr>
<w:r><w:t xml:space="preserve">to count down; another is to join the lower angles of the two</w:t></w:r>
</w:p>
<w:p>
<w:pPr><w:pStyle w:val="Normal"/></w:pPr>
<w:r><w:t xml:space="preserve">scapulae (fig. 2, g) when the arms are hanging down, and to</w:t></w:r>
</w:p>
<w:p>
<w:pPr><w:pStyle w:val="Normal"/></w:pPr>
<w:r><w:t xml:space="preserve">take the spine through which the line passes as the seventh.</w:t></w:r>
</w:p>
<w:p>
<w:pPr><w:pStyle w:val="Normal"/></w:pPr>
<w:r><w:t xml:space="preserve">The spinal furrow is caused by the prominence of the erector</w:t></w:r>
</w:p>
<w:p>
<w:pPr><w:pStyle w:val="Normal"/></w:pPr>
<w:r><w:t xml:space="preserve">spinae muscles on each side; these become less well marked</w:t></w:r>
</w:p>
<w:p>
<w:pPr><w:pStyle w:val="Normal"/></w:pPr>
<w:r><w:t xml:space="preserve">as they run upward.  The outlines of the scapulae can be</w:t></w:r>
</w:p>
<w:p>
<w:pPr><w:pStyle w:val="Normal"/></w:pPr>
<w:r><w:t xml:space="preserve">well seen; they cover the ribs from the second to the seventh</w:t></w:r>
</w:p>
<w:p>
<w:pPr><w:pStyle w:val="Normal"/></w:pPr>
<w:r><w:t xml:space="preserve">inclusive.  The scapular spine is quite subcutaneous, and can</w:t></w:r>
</w:p>
<w:p>
<w:pPr><w:pStyle w:val="Normal"/></w:pPr>
<w:r><w:t xml:space="preserve">be followed upward and outward from the level of the third</w:t></w:r>
</w:p>
<w:p>
<w:pPr><w:pStyle w:val="Normal"/></w:pPr>
<w:r><w:t xml:space="preserve">thoracic spine to the acromion, and so to the outer end of the</w:t></w:r>
</w:p>
<w:p>
<w:pPr><w:pStyle w:val="Normal"/></w:pPr>
<w:r><w:t xml:space="preserve">clavicle.  On the lower margin of the acromion is a little</w:t></w:r>
</w:p>
<w:p>
<w:pPr><w:pStyle w:val="Normal"/></w:pPr>
<w:r><w:t xml:space="preserve">tubercle known as the metacromial process or acromial angle,</w:t></w:r>
</w:p>
<w:p>
<w:pPr><w:pStyle w:val="Normal"/></w:pPr>
<w:r><w:t xml:space="preserve">which is very useful for taking measurements from.  The</w:t></w:r>
</w:p>
<w:p>
<w:pPr><w:pStyle w:val="Normal"/></w:pPr>
<w:r><w:t xml:space="preserve">tip of the twelfth rib may usually be felt about two inches</w:t></w:r>
</w:p>
<w:p>
<w:pPr><w:pStyle w:val="Normal"/></w:pPr>
<w:r><w:t xml:space="preserve">above the middle of the iliac crest, but this rib is very</w:t></w:r>
</w:p>
<w:p>
<w:pPr><w:pStyle w:val="Normal"/></w:pPr>
<w:r><w:t xml:space="preserve">variable in length.  The highest point of the iliac crest</w:t></w:r>
</w:p>
<w:p>
<w:pPr><w:pStyle w:val="Normal"/></w:pPr>
<w:r><w:t xml:space="preserve">corresponds to the fourth lumbar spine, while the posterior</w:t></w:r>
</w:p>
<w:p>
<w:pPr><w:pStyle w:val="Normal"/></w:pPr>
<w:r><w:t xml:space="preserve">superior iliac spine is on a level with the second sacral</w:t></w:r>
</w:p>
<w:p>
<w:pPr><w:pStyle w:val="Normal"/></w:pPr>
<w:r><w:t xml:space="preserve">vertebra.  This posterior superior spine is not easily felt,</w:t></w:r>
</w:p>
<w:p>
<w:pPr><w:pStyle w:val="Normal"/></w:pPr>
<w:r><w:t xml:space="preserve">owing to the ligaments attached to it, but there is usually a</w:t></w:r>
</w:p>
<w:p>
<w:pPr><w:pStyle w:val="Normal"/></w:pPr>
<w:r><w:t xml:space="preserve">little dimple in the skin over it (fig. 2, b) . By drawing</w:t></w:r>
</w:p>
<w:p>
<w:pPr><w:pStyle w:val="Normal"/></w:pPr>
<w:r><w:t xml:space="preserve">horizontal lines through the 1st, 3rd and 5th lumbar spines, the</w:t></w:r>
</w:p>
<w:p>
<w:pPr><w:pStyle w:val="Normal"/></w:pPr>
<w:r><w:t xml:space="preserve">transpyloric, subcostal and intertubercular lines or planes</w:t></w:r>
</w:p>
<w:p>
<w:pPr><w:pStyle w:val="Normal"/></w:pPr>
<w:r><w:t xml:space="preserve">may be reproduced behind and the same viscera localized.</w:t></w:r>
</w:p>
<w:p>
<w:pPr><w:pStyle w:val="Normal"/></w:pPr>
<w:r><w:t xml:space="preserve">The Arm.--Running downward and outward from the inner</w:t></w:r>
</w:p>
<w:p>
<w:pPr><w:pStyle w:val="Normal"/></w:pPr>
<w:r><w:t xml:space="preserve">half of the clavicle, where that bone is convex forward, is</w:t></w:r>
</w:p>
<w:p>
<w:pPr><w:pStyle w:val="Normal"/></w:pPr>
<w:r><w:t xml:space="preserve">the clavicular part of the pectoralis major, while from the</w:t></w:r>
</w:p>
<w:p>
<w:pPr><w:pStyle w:val="Normal"/></w:pPr>
<w:r><w:t xml:space="preserve">outer third of the bone, where it is concave forward, is the</w:t></w:r>
</w:p>
<w:p>
<w:pPr><w:pStyle w:val="Normal"/></w:pPr>
<w:r><w:t xml:space="preserve">clavicular part of the deltoid; between these two muscles is</w:t></w:r>
</w:p>
<w:p>
<w:pPr><w:pStyle w:val="Normal"/></w:pPr>
<w:r><w:t xml:space="preserve">an elongated triangular gap with its base at the clavicle,</w:t></w:r>
</w:p>
<w:p>
<w:pPr><w:pStyle w:val="Normal"/></w:pPr>
<w:r><w:t xml:space="preserve">and here the skin is somewhat depressed, while the cephalic</w:t></w:r>
</w:p>
<w:p>
<w:pPr><w:pStyle w:val="Normal"/></w:pPr>
<w:r><w:t xml:space="preserve">vein sinks between the two muscles to join the axillary</w:t></w:r>
</w:p>
<w:p>
<w:pPr><w:pStyle w:val="Normal"/></w:pPr>
<w:r><w:t xml:space="preserve">vein.  The tip of the coracoid process is situated just under</w:t></w:r>
</w:p>
<w:p>
<w:pPr><w:pStyle w:val="Normal"/></w:pPr>
<w:r><w:t xml:space="preserve">cover of the inner edge of the deltoid, one inch below the</w:t></w:r>
</w:p>
<w:p>
<w:pPr><w:pStyle w:val="Normal"/></w:pPr>
<w:r><w:t xml:space="preserve">junction between the outer and middle thirds of the clavicle.</w:t></w:r>
</w:p>
<w:p>
<w:pPr><w:pStyle w:val="Normal"/></w:pPr>
<w:r><w:t xml:space="preserve">The deltoid muscle (fig. 1, b) forms the prominence of the</w:t></w:r>
</w:p>
<w:p>
<w:pPr><w:pStyle w:val="Normal"/></w:pPr>
<w:r><w:t xml:space="preserve">shoulder, and its convex outline is due to the presence of</w:t></w:r>
</w:p>
<w:p>
<w:pPr><w:pStyle w:val="Normal"/></w:pPr>
<w:r><w:t xml:space="preserve">the head of the humerus deep to it; when this is dislocated</w:t></w:r>
</w:p>
<w:p>
<w:pPr><w:pStyle w:val="Normal"/></w:pPr>
<w:r><w:t xml:space="preserve">the shoulder becomes flattened.  The pectoralis major forms</w:t></w:r>
</w:p>
<w:p>
<w:pPr><w:pStyle w:val="Normal"/></w:pPr>
<w:r><w:t xml:space="preserve">the anterior fold of the axilla or armpit, the posterior being</w:t></w:r>
</w:p>
<w:p>
<w:pPr><w:pStyle w:val="Normal"/></w:pPr>
<w:r><w:t xml:space="preserve">formed by the latissimus dorsi and teres major muscles.  The</w:t></w:r>
</w:p>
<w:p>
<w:pPr><w:pStyle w:val="Normal"/></w:pPr>
<w:r><w:t xml:space="preserve">skin of the . floor of this space is covered with hair in the</w:t></w:r>
</w:p>
<w:p>
<w:pPr><w:pStyle w:val="Normal"/></w:pPr>
<w:r><w:t xml:space="preserve">adult, and contains many large sweat glands.  The axillary</w:t></w:r>
</w:p>
<w:p>
<w:pPr><w:pStyle w:val="Normal"/></w:pPr>
<w:r><w:t xml:space="preserve">vessels and brachial plexus of nerves lie in the outer wall,</w:t></w:r>
</w:p>
<w:p>
<w:pPr><w:pStyle w:val="Normal"/></w:pPr>
<w:r><w:t xml:space="preserve">while on the inner wall are the serrations of the serratus</w:t></w:r>
</w:p>
<w:p>
<w:pPr><w:pStyle w:val="Normal"/></w:pPr>
<w:r><w:t xml:space="preserve">magnus muscle, the outlines of some of which are seen on the</w:t></w:r>
</w:p>
<w:p>
<w:pPr><w:pStyle w:val="Normal"/></w:pPr>
<w:r><w:t xml:space="preserve">side of the thorax, through the skin, when the arm is raised</w:t></w:r>
</w:p>
<w:p>
<w:pPr><w:pStyle w:val="Normal"/></w:pPr>
<w:r><w:t xml:space="preserve">(fig. 1, a) . Below the edge of the pectoralis major, the</w:t></w:r>
</w:p>
<w:p>
<w:pPr><w:pStyle w:val="Normal"/></w:pPr>
<w:r><w:t xml:space="preserve">swelling of the biceps (fig. 1, g) begins to be visible,</w:t></w:r>
</w:p>
<w:p>
<w:pPr><w:pStyle w:val="Normal"/></w:pPr>
<w:r><w:t xml:space="preserve">and this can easily be traced into its tendon of insertion,</w:t></w:r>
</w:p>
<w:p>
<w:pPr><w:pStyle w:val="Normal"/></w:pPr>
<w:r><w:t xml:space="preserve">which reaches below the level of the elbow joint.  On each side</w:t></w:r>
</w:p>
<w:p>
<w:pPr><w:pStyle w:val="Normal"/></w:pPr>
<w:r><w:t xml:space="preserve">of the biceps is the external and internal bicipital furrow,</w:t></w:r>
</w:p>
<w:p>
<w:pPr><w:pStyle w:val="Normal"/></w:pPr>
<w:r><w:t xml:space="preserve">in the latter of which the brachial artery may be felt and</w:t></w:r>
</w:p>
<w:p>
<w:pPr><w:pStyle w:val="Normal"/></w:pPr>
<w:r><w:t xml:space="preserve">compressed.  The median nerve is here in close relation to the</w:t></w:r>
</w:p>
<w:p>
<w:pPr><w:pStyle w:val="Normal"/></w:pPr>
<w:r><w:t xml:space="preserve">artery.  At the bend of the elbow the two condyles of the</w:t></w:r>
</w:p>
<w:p>
<w:pPr><w:pStyle w:val="Normal"/></w:pPr>
<w:r><w:t xml:space="preserve">humerus may be felt; the inner one projects beneath the</w:t></w:r>
</w:p>
<w:p>
<w:pPr><w:pStyle w:val="Normal"/></w:pPr>
<w:r><w:t xml:space="preserve">skin, but the outer one is obscured by the rounded outline</w:t></w:r>
</w:p>
<w:p>
<w:pPr><w:pStyle w:val="Normal"/></w:pPr>
<w:r><w:t xml:space="preserve">of the brachio-radialis muscle.  The superficial veins at</w:t></w:r>
</w:p>
<w:p>
<w:pPr><w:pStyle w:val="Normal"/></w:pPr>
<w:r><w:t xml:space="preserve">the bend of the elbow are very conspicuous; they vary a good</w:t></w:r>
</w:p>
<w:p>
<w:pPr><w:pStyle w:val="Normal"/></w:pPr>
<w:r><w:t xml:space="preserve">deal, but the typical arrangement is an M, of which the radial</w:t></w:r>
</w:p>
<w:p>
<w:pPr><w:pStyle w:val="Normal"/></w:pPr>
<w:r><w:t xml:space="preserve">and ulnar veins form the uprights, while the outer oblique</w:t></w:r>
</w:p>
<w:p>
<w:pPr><w:pStyle w:val="Normal"/></w:pPr>
<w:r><w:t xml:space="preserve">bar is the median cephalic and the inner oblique the median</w:t></w:r>
</w:p>
<w:p>
<w:pPr><w:pStyle w:val="Normal"/></w:pPr>
<w:r><w:t xml:space="preserve">basilic vein.  At the divergence of these two the median</w:t></w:r>
</w:p>
<w:p>
<w:pPr><w:pStyle w:val="Normal"/></w:pPr>
<w:r><w:t xml:space="preserve">vein comes up from the front of the forearm, while the two</w:t></w:r>
</w:p>
<w:p>
<w:pPr><w:pStyle w:val="Normal"/></w:pPr>
<w:r><w:t xml:space="preserve">vertical limbs are continued up the arm as the cephalic and</w:t></w:r>
</w:p>
<w:p>
<w:pPr><w:pStyle w:val="Normal"/></w:pPr>
<w:r><w:t xml:space="preserve">basilic, the former on the outer side, the latter on the</w:t></w:r>
</w:p>
<w:p>
<w:pPr><w:pStyle w:val="Normal"/></w:pPr>
<w:r><w:t xml:space="preserve">inner.  On the back of the arm the three heads of the triceps</w:t></w:r>
</w:p>
<w:p>
<w:pPr><w:pStyle w:val="Normal"/></w:pPr>
<w:r><w:t xml:space="preserve">are distinguishable, the external forming a marked oblique</w:t></w:r>
</w:p>
<w:p>
<w:pPr><w:pStyle w:val="Normal"/></w:pPr>
<w:r><w:t xml:space="preserve">swelling when the forearm is forcibly extended and internally</w:t></w:r>
</w:p>
<w:p>
<w:pPr><w:pStyle w:val="Normal"/></w:pPr>
<w:r><w:t xml:space="preserve">rotated (fig. 2, d.) In the upper part of the front of</w:t></w:r>
</w:p>
<w:p>
<w:pPr><w:pStyle w:val="Normal"/></w:pPr>
<w:r><w:t xml:space="preserve">the forearm the antecubital fossa or triangle is seen;</w:t></w:r>
</w:p>
<w:p>
<w:pPr><w:pStyle w:val="Normal"/></w:pPr>
<w:r><w:t xml:space="preserve">its outer boundary is the brachio-radialis, its inner the</w:t></w:r>
</w:p>
<w:p>
<w:pPr><w:pStyle w:val="Normal"/></w:pPr>
<w:r><w:t xml:space="preserve">pronator radii teres, and where these two join below is the</w:t></w:r>
</w:p>
<w:p>
<w:pPr><w:pStyle w:val="Normal"/></w:pPr>
<w:r><w:t xml:space="preserve">apex.  In this space are three vertical structures--externally</w:t></w:r>
</w:p>
<w:p>
<w:pPr><w:pStyle w:val="Normal"/></w:pPr>
<w:r><w:t xml:space="preserve">the tendon of the biceps, just internal to this the</w:t></w:r>
</w:p>
<w:p>
<w:pPr><w:pStyle w:val="Normal"/></w:pPr>
<w:r><w:t xml:space="preserve">brachial artery, and still more internally the median</w:t></w:r>
</w:p>
<w:p>
<w:pPr><w:pStyle w:val="Normal"/></w:pPr>
<w:r><w:t xml:space="preserve">nerve.  Coming from the inner side of the biceps tendon the</w:t></w:r>
</w:p>
<w:p>
<w:pPr><w:pStyle w:val="Normal"/></w:pPr>
<w:r><w:t xml:space="preserve">semi-lunar fascia may be felt; it passes deep to the median</w:t></w:r>
</w:p>
<w:p>
<w:pPr><w:pStyle w:val="Normal"/></w:pPr>
<w:r><w:t xml:space="preserve">basilic vein and superficial to the brachial artery, and</w:t></w:r>
</w:p>
<w:p>
<w:pPr><w:pStyle w:val="Normal"/></w:pPr>
<w:r><w:t xml:space="preserve">in former days was a valuable protection to the artery when</w:t></w:r>
</w:p>
<w:p>
<w:pPr><w:pStyle w:val="Normal"/></w:pPr>
<w:r><w:t xml:space="preserve">unskilful operators were bleeding from the median basilic</w:t></w:r>
</w:p>
<w:p>
<w:pPr><w:pStyle w:val="Normal"/></w:pPr>
<w:r><w:t xml:space="preserve">vein.  About the middle of the forearm the fleshy parts of</w:t></w:r>
</w:p>
<w:p>
<w:pPr><w:pStyle w:val="Normal"/></w:pPr>
<w:r><w:t xml:space="preserve">the superficial flexor muscles cease, and only the tendons</w:t></w:r>
</w:p>
<w:p>
<w:pPr><w:pStyle w:val="Normal"/></w:pPr>
<w:r><w:t xml:space="preserve">remain, so that the limb narrows rapidly.  In front of the</w:t></w:r>
</w:p>
<w:p>
<w:pPr><w:pStyle w:val="Normal"/></w:pPr>
<w:r><w:t xml:space="preserve">wrist there is a superficial plexus of veins, while deep to</w:t></w:r>
</w:p>
<w:p>
<w:pPr><w:pStyle w:val="Normal"/></w:pPr>
<w:r><w:t xml:space="preserve">this two tendons can usually be made to start up if the wrist</w:t></w:r>
</w:p>
<w:p>
<w:pPr><w:pStyle w:val="Normal"/></w:pPr>
<w:r><w:t xml:space="preserve">be forcibly flexed; the outer of these is the flexor carpi</w:t></w:r>
</w:p>
<w:p>
<w:pPr><w:pStyle w:val="Normal"/></w:pPr>
<w:r><w:t xml:space="preserve">radialis, which is the physician&apos;s guide to the radial artery</w:t></w:r>
</w:p>
<w:p>
<w:pPr><w:pStyle w:val="Normal"/></w:pPr>
<w:r><w:t xml:space="preserve">where the pulse is felt.  If the finger is slipped to the</w:t></w:r>
</w:p>
<w:p>
<w:pPr><w:pStyle w:val="Normal"/></w:pPr>
<w:r><w:t xml:space="preserve">outer side of this tendon, the artery, which here is very</w:t></w:r>
</w:p>
<w:p>
<w:pPr><w:pStyle w:val="Normal"/></w:pPr>
<w:r><w:t xml:space="preserve">superficial, can be felt beating.  The inner of the two tendons</w:t></w:r>
</w:p>
<w:p>
<w:pPr><w:pStyle w:val="Normal"/></w:pPr>
<w:r><w:t xml:space="preserve">is the palmaris longus, though it is not always present.  On</w:t></w:r>
</w:p>
<w:p>
<w:pPr><w:pStyle w:val="Normal"/></w:pPr>
<w:r><w:t xml:space="preserve">cutting down between these two the median nerve is reached.</w:t></w:r>
</w:p>
<w:p>
<w:pPr><w:pStyle w:val="Normal"/></w:pPr>
<w:r><w:t xml:space="preserve">The wrist joint may be marked out by feeling the styloid process</w:t></w:r>
</w:p>
<w:p>
<w:pPr><w:pStyle w:val="Normal"/></w:pPr>
<w:r><w:t xml:space="preserve">of the radius on the outer side, and the styloid process of the</w:t></w:r>
</w:p>
<w:p>
<w:pPr><w:pStyle w:val="Normal"/></w:pPr>
<w:r><w:t xml:space="preserve">ulna on the inner side behind, and joining these two by a line</w:t></w:r>
</w:p>
<w:p>
<w:pPr><w:pStyle w:val="Normal"/></w:pPr>
<w:r><w:t xml:space="preserve">convex upward.  The superficial appearance of the palm of the</w:t></w:r>
</w:p>
<w:p>
<w:pPr><w:pStyle w:val="Normal"/></w:pPr>
<w:r><w:t xml:space="preserve">hand is described in the article on PALMISTRY; with regard</w:t></w:r>
</w:p>
<w:p>
<w:pPr><w:pStyle w:val="Normal"/></w:pPr>
<w:r><w:t xml:space="preserve">to anatomical landmarks the superficial palmar arterial arch</w:t></w:r>
</w:p>
<w:p>
<w:pPr><w:pStyle w:val="Normal"/></w:pPr>
<w:r><w:t xml:space="preserve">is situated in the line of the abducted thumb, while the deep</w:t></w:r>
</w:p>
<w:p>
<w:pPr><w:pStyle w:val="Normal"/></w:pPr>
<w:r><w:t xml:space="preserve">arch is an inch nearer the wrist.  The digital nerves correspond</w:t></w:r>
</w:p>
<w:p>
<w:pPr><w:pStyle w:val="Normal"/></w:pPr>
<w:r><w:t xml:space="preserve">to lines drawn from the clefts of the fingers toward the</w:t></w:r>
</w:p>
<w:p>
<w:pPr><w:pStyle w:val="Normal"/></w:pPr>
<w:r><w:t xml:space="preserve">wrist.  On the back of the forearm the olecranon process of</w:t></w:r>
</w:p>
<w:p>
<w:pPr><w:pStyle w:val="Normal"/></w:pPr>
<w:r><w:t xml:space="preserve">the ulna is quite subcutaneous, and during extension of the</w:t></w:r>
</w:p>
<w:p>
<w:pPr><w:pStyle w:val="Normal"/></w:pPr>
<w:r><w:t xml:space="preserve">elbow is in a line with the two condyles, while between it and</w:t></w:r>
</w:p>
<w:p>
<w:pPr><w:pStyle w:val="Normal"/></w:pPr>
<w:r><w:t xml:space="preserve">the inner condyle lies the ulnar nerve, here known popularly</w:t></w:r>
</w:p>
<w:p>
<w:pPr><w:pStyle w:val="Normal"/></w:pPr>
<w:r><w:t xml:space="preserve">as the ``funny bone.&apos;&apos; From the olecranon process the finger</w:t></w:r>
</w:p>
<w:p>
<w:pPr><w:pStyle w:val="Normal"/></w:pPr>
<w:r><w:t xml:space="preserve">may be run down the posterior border of the ulna, which</w:t></w:r>
</w:p>
<w:p>
<w:pPr><w:pStyle w:val="Normal"/></w:pPr>
<w:r><w:t xml:space="preserve">is subcutaneous as far as the styloid process at the lower</w:t></w:r>
</w:p>
<w:p>
<w:pPr><w:pStyle w:val="Normal"/></w:pPr>
<w:r><w:t xml:space="preserve">end.  On the dorsum of the hand is a plexus of veins, deep</w:t></w:r>
</w:p>
<w:p>
<w:pPr><w:pStyle w:val="Normal"/></w:pPr>
<w:r><w:t xml:space="preserve">to which the extensor tendons are seen on extending the</w:t></w:r>
</w:p>
<w:p>
<w:pPr><w:pStyle w:val="Normal"/></w:pPr>
<w:r><w:t xml:space="preserve">fingers.  When the thumb is extended, two tendons stand out</w:t></w:r>
</w:p>
<w:p>
<w:pPr><w:pStyle w:val="Normal"/></w:pPr>
<w:r><w:t xml:space="preserve">very prominently, and enclose a triangular space between them</w:t></w:r>
</w:p>
<w:p>
<w:pPr><w:pStyle w:val="Normal"/></w:pPr>
<w:r><w:t xml:space="preserve">which is sometimes known as the ``anatomical snuff box&apos;&apos;;</w:t></w:r>
</w:p>
<w:p>
<w:pPr><w:pStyle w:val="Normal"/></w:pPr>
<w:r><w:t xml:space="preserve">the outer of these is the tendon of the extensor brevis,</w:t></w:r>
</w:p>
<w:p>
<w:pPr><w:pStyle w:val="Normal"/></w:pPr>
<w:r><w:t xml:space="preserve">the inner of the extensor longus pollicis.  Situated deeply</w:t></w:r>
</w:p>
<w:p>
<w:pPr><w:pStyle w:val="Normal"/></w:pPr>
<w:r><w:t xml:space="preserve">in the space is the radial artery, covered by the radial</w:t></w:r>
</w:p>
<w:p>
<w:pPr><w:pStyle w:val="Normal"/></w:pPr>
<w:r><w:t xml:space="preserve">vein.  On the dorsum of the hand there is a plexus of</w:t></w:r>
</w:p>
<w:p>
<w:pPr><w:pStyle w:val="Normal"/></w:pPr>
<w:r><w:t xml:space="preserve">veins, and deep to these the tendons of the extensor longus</w:t></w:r>
</w:p>
<w:p>
<w:pPr><w:pStyle w:val="Normal"/></w:pPr>
<w:r><w:t xml:space="preserve">digitorum stand out when the wrist and fingers are extended.</w:t></w:r>
</w:p>
<w:p>
<w:pPr><w:pStyle w:val="Normal"/></w:pPr>
<w:r><w:t xml:space="preserve">The Leg.--Just below Poupart&apos;s ligament (fig. 1, d), a</w:t></w:r>
</w:p>
<w:p>
<w:pPr><w:pStyle w:val="Normal"/></w:pPr>
<w:r><w:t xml:space="preserve">triangular depression with its apex downward may be seen in</w:t></w:r>
</w:p>
<w:p>
<w:pPr><w:pStyle w:val="Normal"/></w:pPr>
<w:r><w:t xml:space="preserve">muscular subjects; it corresponds to Scarpa&apos;s triangle, and</w:t></w:r>
</w:p>
<w:p>
<w:pPr><w:pStyle w:val="Normal"/></w:pPr>
<w:r><w:t xml:space="preserve">its inner border is the tendon of the adductor longus, which</w:t></w:r>
</w:p>
<w:p>
<w:pPr><w:pStyle w:val="Normal"/></w:pPr>
<w:r><w:t xml:space="preserve">is easily felt if the model forcibly adducts the thigh.  In</w:t></w:r>
</w:p>
<w:p>
<w:pPr><w:pStyle w:val="Normal"/></w:pPr>
<w:r><w:t xml:space="preserve">this triangle the superficial inguinal glands may be made out.</w:t></w:r>
</w:p>
<w:p>
<w:pPr><w:pStyle w:val="Normal"/></w:pPr>
<w:r><w:t xml:space="preserve">The head of the femur lies just below the centre of Poupart&apos;s</w:t></w:r>
</w:p>
<w:p>
<w:pPr><w:pStyle w:val="Normal"/></w:pPr>
<w:r><w:t xml:space="preserve">ligament.  The sartorius muscle forms the outer boundary of</w:t></w:r>
</w:p>
<w:p>
<w:pPr><w:pStyle w:val="Normal"/></w:pPr>
<w:r><w:t xml:space="preserve">the triangle, and may be traced from the anterior superior</w:t></w:r>
</w:p>
<w:p>
<w:pPr><w:pStyle w:val="Normal"/></w:pPr>
<w:r><w:t xml:space="preserve">spine obliquely downward and inward, across the front of the</w:t></w:r>
</w:p>
<w:p>
<w:pPr><w:pStyle w:val="Normal"/></w:pPr>
<w:r><w:t xml:space="preserve">thigh, to the inner side of the knee.  The two vasti muscles</w:t></w:r>
</w:p>
<w:p>
<w:pPr><w:pStyle w:val="Normal"/></w:pPr>
<w:r><w:t xml:space="preserve">are well marked, the internal being the lower and forming with</w:t></w:r>
</w:p>
<w:p>
<w:pPr><w:pStyle w:val="Normal"/></w:pPr>
<w:r><w:t xml:space="preserve">the sartorius the rounded bulging above the inner side of the</w:t></w:r>
</w:p>
<w:p>
<w:pPr><w:pStyle w:val="Normal"/></w:pPr>
<w:r><w:t xml:space="preserve">knee.  The internal saphenous vein runs superficially up the</w:t></w:r>
</w:p>
<w:p>
<w:pPr><w:pStyle w:val="Normal"/></w:pPr>
<w:r><w:t xml:space="preserve">inner side of the thigh from behind the internal condyle to</w:t></w:r>
</w:p>
<w:p>
<w:pPr><w:pStyle w:val="Normal"/></w:pPr>
<w:r><w:t xml:space="preserve">the femur to the saphenous opening in the deep fascia, the top</w:t></w:r>
</w:p>
<w:p>
<w:pPr><w:pStyle w:val="Normal"/></w:pPr>
<w:r><w:t xml:space="preserve">of which is an inch horizontally outward from the spine of the</w:t></w:r>
</w:p>
<w:p>
<w:pPr><w:pStyle w:val="Normal"/></w:pPr>
<w:r><w:t xml:space="preserve">pubis.  On the other side of the thigh a groove runs down</w:t></w:r>
</w:p>
<w:p>
<w:pPr><w:pStyle w:val="Normal"/></w:pPr>
<w:r><w:t xml:space="preserve">which corresponds to the ilio-tibial hand, a thickening of</w:t></w:r>
</w:p>
<w:p>
<w:pPr><w:pStyle w:val="Normal"/></w:pPr>
<w:r><w:t xml:space="preserve">the fascia lata or deep fascia; the lower end of this leads to</w:t></w:r>
</w:p>
<w:p>
<w:pPr><w:pStyle w:val="Normal"/></w:pPr>
<w:r><w:t xml:space="preserve">the head of the fibula.  On the front of the thigh, below the</w:t></w:r>
</w:p>
<w:p>
<w:pPr><w:pStyle w:val="Normal"/></w:pPr>
<w:r><w:t xml:space="preserve">sartorius, the rectus muscle makes a prominence which leads</w:t></w:r>
</w:p>
<w:p>
<w:pPr><w:pStyle w:val="Normal"/></w:pPr>
<w:r><w:t xml:space="preserve">down to the patella, the outlines of which bone are very</w:t></w:r>
</w:p>
<w:p>
<w:pPr><w:pStyle w:val="Normal"/></w:pPr>
<w:r><w:t xml:space="preserve">evident (fig. 1, e.) The only part of the femur besides</w:t></w:r>
</w:p>
<w:p>
<w:pPr><w:pStyle w:val="Normal"/></w:pPr>
<w:r><w:t xml:space="preserve">the great trochanter which is superficial is the lower end,</w:t></w:r>
</w:p>
<w:p>
<w:pPr><w:pStyle w:val="Normal"/></w:pPr>
<w:r><w:t xml:space="preserve">and this forms the two condyles for articulation with the</w:t></w:r>
</w:p>
<w:p>
<w:pPr><w:pStyle w:val="Normal"/></w:pPr>
<w:r><w:t xml:space="preserve">tibia.  If the posterior part of the inner condyle be joined</w:t></w:r>
</w:p>
<w:p>
<w:pPr><w:pStyle w:val="Normal"/></w:pPr>
<w:r><w:t xml:space="preserve">to the mid-point between the anterior superior spine and the</w:t></w:r>
</w:p>
<w:p>
<w:pPr><w:pStyle w:val="Normal"/></w:pPr>
<w:r><w:t xml:space="preserve">symphysis pubis, when the thigh is externally rotated, the</w:t></w:r>
</w:p>
<w:p>
<w:pPr><w:pStyle w:val="Normal"/></w:pPr>
<w:r><w:t xml:space="preserve">line will correspond in its upper two-thirds to that of the</w:t></w:r>
</w:p>
<w:p>
<w:pPr><w:pStyle w:val="Normal"/></w:pPr>
<w:r><w:t xml:space="preserve">common and superficial femoral arteries, the former occupying</w:t></w:r>
</w:p>
<w:p>
<w:pPr><w:pStyle w:val="Normal"/></w:pPr>
<w:r><w:t xml:space="preserve">the upper inch and a half.  The common femoral vein lies just</w:t></w:r>
</w:p>
<w:p>
<w:pPr><w:pStyle w:val="Normal"/></w:pPr>
<w:r><w:t xml:space="preserve">internal to its artery, while the anterior crural nerve is a</w:t></w:r>
</w:p>
<w:p>
<w:pPr><w:pStyle w:val="Normal"/></w:pPr>
<w:r><w:t xml:space="preserve">quarter of an inch external to the latter.  The rounded mass</w:t></w:r>
</w:p>
<w:p>
<w:pPr><w:pStyle w:val="Normal"/></w:pPr>
<w:r><w:t xml:space="preserve">of the buttock is formed by the gluteus maximus muscle covered</w:t></w:r>
</w:p>
<w:p>
<w:pPr><w:pStyle w:val="Normal"/></w:pPr>
<w:r><w:t xml:space="preserve">by fat; the lower horizontal boundary is called the fold of the</w:t></w:r>
</w:p>
<w:p>
<w:pPr><w:pStyle w:val="Normal"/></w:pPr>
<w:r><w:t xml:space="preserve">nates, and does not correspond exactly to the lower edge of the</w:t></w:r>
</w:p>
<w:p>
<w:pPr><w:pStyle w:val="Normal"/></w:pPr>
<w:r><w:t xml:space="preserve">muscle.  At the side of the buttock is a depression (fig. 2,</w:t></w:r>
</w:p>
<w:p>
<w:pPr><w:pStyle w:val="Normal"/></w:pPr>
<w:r><w:t xml:space="preserve">e) where the great trochanter of the femur can be felt; a</w:t></w:r>
</w:p>
<w:p>
<w:pPr><w:pStyle w:val="Normal"/></w:pPr>
<w:r><w:t xml:space="preserve">line, named after Nelaton, drawn from the anterior superior</w:t></w:r>
</w:p>
<w:p>
<w:pPr><w:pStyle w:val="Normal"/></w:pPr>
<w:r><w:t xml:space="preserve">spine to the tuberosity of the ischium, passes through the top of</w:t></w:r>
</w:p>
<w:p>
<w:pPr><w:pStyle w:val="Normal"/></w:pPr>
<w:r><w:t xml:space="preserve">this.  On the back of the thigh the hamstrings form a distinct</w:t></w:r>
</w:p>
<w:p>
<w:pPr><w:pStyle w:val="Normal"/></w:pPr>
<w:r><w:t xml:space="preserve">swelling; below the middle these separate to enclose the</w:t></w:r>
</w:p>
<w:p>
<w:pPr><w:pStyle w:val="Normal"/></w:pPr>
<w:r><w:t xml:space="preserve">diamond-shaped popliteal space (fig. 2, z), the outer hamstrings</w:t></w:r>
</w:p>
<w:p>
<w:pPr><w:pStyle w:val="Normal"/></w:pPr>
<w:r><w:t xml:space="preserve">or biceps being specially evident, while, on the inner side,</w:t></w:r>
</w:p>
<w:p>
<w:pPr><w:pStyle w:val="Normal"/></w:pPr>
<w:r><w:t xml:space="preserve">the tendons of the semi-tendinosus and semi-membranosus can be</w:t></w:r>
</w:p>
<w:p>
<w:pPr><w:pStyle w:val="Normal"/></w:pPr>
<w:r><w:t xml:space="preserve">distinguished.  The external popliteal nerve may be felt</w:t></w:r>
</w:p>
<w:p>
<w:pPr><w:pStyle w:val="Normal"/></w:pPr>
<w:r><w:t xml:space="preserve">just behind the biceps tendon above the head of the fibula.</w:t></w:r>
</w:p>
<w:p>
<w:pPr><w:pStyle w:val="Normal"/></w:pPr>
<w:r><w:t xml:space="preserve">On the front of the leg, below the knee, the ligamentum</w:t></w:r>
</w:p>
<w:p>
<w:pPr><w:pStyle w:val="Normal"/></w:pPr>
<w:r><w:t xml:space="preserve">patellae is evident, leading down from the patella (fig. 1,</w:t></w:r>
</w:p>
<w:p>
<w:pPr><w:pStyle w:val="Normal"/></w:pPr>
<w:r><w:t xml:space="preserve">e) to the tubercle of the tibia.  From this point downward</w:t></w:r>
</w:p>
<w:p>
<w:pPr><w:pStyle w:val="Normal"/></w:pPr>
<w:r><w:t xml:space="preserve">the anterior border of the tibia or shin is subcutaneous, as is</w:t></w:r>
</w:p>
<w:p>
<w:pPr><w:pStyle w:val="Normal"/></w:pPr>
<w:r><w:t xml:space="preserve">also the internal surface of the tibia.  Internal to the skin</w:t></w:r>
</w:p>
<w:p>
<w:pPr><w:pStyle w:val="Normal"/></w:pPr>
<w:r><w:t xml:space="preserve">is the fleshy mass made by the tibialis anticus and extensor</w:t></w:r>
</w:p>
<w:p>
<w:pPr><w:pStyle w:val="Normal"/></w:pPr>
<w:r><w:t xml:space="preserve">longus digitorum muscles.  At the inner side of the ankle the</w:t></w:r>
</w:p>
<w:p>
<w:pPr><w:pStyle w:val="Normal"/></w:pPr>
<w:r><w:t xml:space="preserve">internal malleolus is subcutaneous, while on the outer side</w:t></w:r>
</w:p>
<w:p>
<w:pPr><w:pStyle w:val="Normal"/></w:pPr>
<w:r><w:t xml:space="preserve">the tip of the external malleolus is rather lower and farther</w:t></w:r>
</w:p>
<w:p>
<w:pPr><w:pStyle w:val="Normal"/></w:pPr>
<w:r><w:t xml:space="preserve">back.  Both this malleolus and the lower quarter of the shaft</w:t></w:r>
</w:p>
<w:p>
<w:pPr><w:pStyle w:val="Normal"/></w:pPr>
<w:r><w:t xml:space="preserve">of the fibula are subcutaneous, and this area, if traced upward,</w:t></w:r>
</w:p>
<w:p>
<w:pPr><w:pStyle w:val="Normal"/></w:pPr>
<w:r><w:t xml:space="preserve">is continuous with a furrow on the outer side of the leg which</w:t></w:r>
</w:p>
<w:p>
<w:pPr><w:pStyle w:val="Normal"/></w:pPr>
<w:r><w:t xml:space="preserve">separates the anterior tibial from the peroneal groups of</w:t></w:r>
</w:p>
<w:p>
<w:pPr><w:pStyle w:val="Normal"/></w:pPr>
<w:r><w:t xml:space="preserve">muscles, and eventually leads to the subcutaneous head of the</w:t></w:r>
</w:p>
<w:p>
<w:pPr><w:pStyle w:val="Normal"/></w:pPr>
<w:r><w:t xml:space="preserve">fibula.  At the back of the leg the two heads of the gastrocnemius</w:t></w:r>
</w:p>
<w:p>
<w:pPr><w:pStyle w:val="Normal"/></w:pPr>
<w:r><w:t xml:space="preserve">form the calf, the inner one (fig. 2, e) being larger than the</w:t></w:r>
</w:p>
<w:p>
<w:pPr><w:pStyle w:val="Normal"/></w:pPr>
<w:r><w:t xml:space="preserve">outer.  Between the two, in the mid-line of the calf, the</w:t></w:r>
</w:p>
<w:p>
<w:pPr><w:pStyle w:val="Normal"/></w:pPr>
<w:r><w:t xml:space="preserve">external saphenous vein and nerve lie, while lower down they</w:t></w:r>
</w:p>
<w:p>
<w:pPr><w:pStyle w:val="Normal"/></w:pPr>
<w:r><w:t xml:space="preserve">pass behind the external malleolus to the outer side of the</w:t></w:r>
</w:p>
<w:p>
<w:pPr><w:pStyle w:val="Normal"/></w:pPr>
<w:r><w:t xml:space="preserve">foot.  The internal saphenous vein and nerve lie just behind</w:t></w:r>
</w:p>
<w:p>
<w:pPr><w:pStyle w:val="Normal"/></w:pPr>
<w:r><w:t xml:space="preserve">the internal border of the tibia, and below pass in front</w:t></w:r>
</w:p>
<w:p>
<w:pPr><w:pStyle w:val="Normal"/></w:pPr>
<w:r><w:t xml:space="preserve">of the internal malleolus.  At the level of the ankle-joint</w:t></w:r>
</w:p>
<w:p>
<w:pPr><w:pStyle w:val="Normal"/></w:pPr>
<w:r><w:t xml:space="preserve">the tibialis posticus and flexor longus digitorum tendons</w:t></w:r>
</w:p>
<w:p>
<w:pPr><w:pStyle w:val="Normal"/></w:pPr>
<w:r><w:t xml:space="preserve">lie just behind the internal malleolus, while the peroneus</w:t></w:r>
</w:p>
<w:p>
<w:pPr><w:pStyle w:val="Normal"/></w:pPr>
<w:r><w:t xml:space="preserve">longus and brevis are behind the external.  Running down to</w:t></w:r>
</w:p>
<w:p>
<w:pPr><w:pStyle w:val="Normal"/></w:pPr>
<w:r><w:t xml:space="preserve">the heel is the tendo Achillis with the plantaris on its inner</w:t></w:r>
</w:p>
<w:p>
<w:pPr><w:pStyle w:val="Normal"/></w:pPr>
<w:r><w:t xml:space="preserve">side.  On the dorsum of the foot the musculo-cutaneous nerve</w:t></w:r>
</w:p>
<w:p>
<w:pPr><w:pStyle w:val="Normal"/></w:pPr>
<w:r><w:t xml:space="preserve">may be seen through the skin in thin people when the toes are</w:t></w:r>
</w:p>
<w:p>
<w:pPr><w:pStyle w:val="Normal"/></w:pPr>
<w:r><w:t xml:space="preserve">depressed; it runs from the anterior peroneal furrow, already</w:t></w:r>
</w:p>
<w:p>
<w:pPr><w:pStyle w:val="Normal"/></w:pPr>
<w:r><w:t xml:space="preserve">described, to all the toes, except the cleft between the</w:t></w:r>
</w:p>
<w:p>
<w:pPr><w:pStyle w:val="Normal"/></w:pPr>
<w:r><w:t xml:space="preserve">two inner ones.  There is also a venous arch to be seen, the</w:t></w:r>
</w:p>
<w:p>
<w:pPr><w:pStyle w:val="Normal"/></w:pPr>
<w:r><w:t xml:space="preserve">two extremities of which pass respectively into the external</w:t></w:r>
</w:p>
<w:p>
<w:pPr><w:pStyle w:val="Normal"/></w:pPr>
<w:r><w:t xml:space="preserve">and internal saphenous veins.  The long axis of the great</w:t></w:r>
</w:p>
<w:p>
<w:pPr><w:pStyle w:val="Normal"/></w:pPr>
<w:r><w:t xml:space="preserve">toe, even in races unaccustomed to boots, runs forward and</w:t></w:r>
</w:p>
<w:p>
<w:pPr><w:pStyle w:val="Normal"/></w:pPr>
<w:r><w:t xml:space="preserve">outward, away from the mid-line between the two feet, so</w:t></w:r>
</w:p>
<w:p>
<w:pPr><w:pStyle w:val="Normal"/></w:pPr>
<w:r><w:t xml:space="preserve">that perfectly straight inner sides to boots are not really</w:t></w:r>
</w:p>
<w:p>
<w:pPr><w:pStyle w:val="Normal"/></w:pPr>
<w:r><w:t xml:space="preserve">anatomical.  The second toe in classical statues is often</w:t></w:r>
</w:p>
<w:p>
<w:pPr><w:pStyle w:val="Normal"/></w:pPr>
<w:r><w:t xml:space="preserve">longer than the first, but this is seldom seen in Englishmen.</w:t></w:r>
</w:p>
<w:p>
<w:pPr><w:pStyle w:val="Normal"/></w:pPr>
<w:r><w:t xml:space="preserve">On the outer side of the sole the skin is often in contact</w:t></w:r>
</w:p>
<w:p>
<w:pPr><w:pStyle w:val="Normal"/></w:pPr>
<w:r><w:t xml:space="preserve">with the ground all along, but on the inner side the arch</w:t></w:r>
</w:p>
<w:p>
<w:pPr><w:pStyle w:val="Normal"/></w:pPr>
<w:r><w:t xml:space="preserve">is more marked, and, except in flat-footed people, there is</w:t></w:r>
</w:p>
<w:p>
<w:pPr><w:pStyle w:val="Normal"/></w:pPr>
<w:r><w:t xml:space="preserve">an area in which the sole does not touch the ground at all.</w:t></w:r>
</w:p>
<w:p>
<w:pPr><w:pStyle w:val="Normal"/></w:pPr>
<w:r><w:t xml:space="preserve">For further details of surface anatomy see Anatomy for Art</w:t></w:r>
</w:p>
<w:p>
<w:pPr><w:pStyle w:val="Normal"/></w:pPr>
<w:r><w:t xml:space="preserve">Students, by A. Thomson (Oxford, 1896); Harold Stiles&apos;s</w:t></w:r>
</w:p>
<w:p>
<w:pPr><w:pStyle w:val="Normal"/></w:pPr>
<w:r><w:t xml:space="preserve">article in Cunningham&apos;s Text-Book of Anatomy (Young J.</w:t></w:r>
</w:p>
<w:p>
<w:pPr><w:pStyle w:val="Normal"/></w:pPr>
<w:r><w:t xml:space="preserve">Pentland, 1902); G. Thane and R. Godlee&apos;s Appendix to</w:t></w:r>
</w:p>
<w:p>
<w:pPr><w:pStyle w:val="Normal"/></w:pPr>
<w:r><w:t xml:space="preserve">Quain&apos;s Anatomy (Longmans, Green &amp; Co., 1896); Surface</w:t></w:r>
</w:p>
<w:p>
<w:pPr><w:pStyle w:val="Normal"/></w:pPr>
<w:r><w:t xml:space="preserve">Anatomy, by B. Windle and Manners Smith (H. K. Lewis, 1896);</w:t></w:r>
</w:p>
<w:p>
<w:pPr><w:pStyle w:val="Normal"/></w:pPr>
<w:r><w:t xml:space="preserve">Landmarks and Surface Markings of the Human Body, by</w:t></w:r>
</w:p>
<w:p>
<w:pPr><w:pStyle w:val="Heading1"/></w:pPr>
<w:r><w:t>L. B. Rawling (H. K. Lewis, 1906); Surface Anatomy, by</w:t></w:r>
</w:p>
<w:p>
<w:pPr><w:pStyle w:val="Normal"/></w:pPr>
<w:r><w:t xml:space="preserve">T. G. Moorhead (Bailliere, Tindall &amp; Cox, 1903).  No one</w:t></w:r>
</w:p>
<w:p>
<w:pPr><w:pStyle w:val="Normal"/></w:pPr>
<w:r><w:t xml:space="preserve">interesred in the subject should omit to read an article</w:t></w:r>
</w:p>
<w:p>
<w:pPr><w:pStyle w:val="Normal"/></w:pPr>
<w:r><w:t xml:space="preserve">on ``Art in its relation to Anatomy,&apos;&apos; by W. Anderson,</w:t></w:r>
</w:p>
<w:p>
<w:pPr><w:pStyle w:val="Normal"/></w:pPr>
<w:r><w:t xml:space="preserve">British Medical Journal, 10th August 1895. (F. G. P.)</w:t></w:r>
</w:p>
<w:p>
<w:pPr><w:pStyle w:val="Normal"/></w:pPr>
<w:r><w:t xml:space="preserve">1 The article in the 9th edition of this Encyclopaedia,</w:t></w:r>
</w:p>
<w:p>
<w:pPr><w:pStyle w:val="Normal"/></w:pPr>
<w:r><w:t xml:space="preserve">dealing with the history of anatomy, and written by the late</w:t></w:r>
</w:p>
<w:p>
<w:pPr><w:pStyle w:val="Normal"/></w:pPr>
<w:r><w:t xml:space="preserve">Dr Craigie of Edinburgh, has gained such a just reputation</w:t></w:r>
</w:p>
<w:p>
<w:pPr><w:pStyle w:val="Normal"/></w:pPr>
<w:r><w:t xml:space="preserve">as the classical work on the subject in the English language</w:t></w:r>
</w:p>
<w:p>
<w:pPr><w:pStyle w:val="Normal"/></w:pPr>
<w:r><w:t xml:space="preserve">that it is substantially reproduced.  Here and there points</w:t></w:r>
</w:p>
<w:p>
<w:pPr><w:pStyle w:val="Normal"/></w:pPr>
<w:r><w:t xml:space="preserve">of special or biographical interest are drawn attention to</w:t></w:r>
</w:p>
<w:p>
<w:pPr><w:pStyle w:val="Normal"/></w:pPr>
<w:r><w:t xml:space="preserve">in the shape of footnotes, but any reader interested in the</w:t></w:r>
</w:p>
<w:p>
<w:pPr><w:pStyle w:val="Normal"/></w:pPr>
<w:r><w:t xml:space="preserve">subject would do well to consult, with this article, the work</w:t></w:r>
</w:p>
<w:p>
<w:pPr><w:pStyle w:val="Normal"/></w:pPr>
<w:r><w:t xml:space="preserve">of R. R. von Toply, Studien zur Geschichte der Anatomie im</w:t></w:r>
</w:p>
<w:p>
<w:pPr><w:pStyle w:val="Normal"/></w:pPr>
<w:r><w:t xml:space="preserve">Mittelalter (Leipzig, 1898).  In addition to this Professor</w:t></w:r>
</w:p>
<w:p>
<w:pPr><w:pStyle w:val="Normal"/></w:pPr>
<w:r><w:t xml:space="preserve">A. Macalister has published a series of articles, under</w:t></w:r>
</w:p>
<w:p>
<w:pPr><w:pStyle w:val="Normal"/></w:pPr>
<w:r><w:t xml:space="preserve">the head of ``Archaeologia Anatomica,&apos;&apos; in the Journal of</w:t></w:r>
</w:p>
<w:p>
<w:pPr><w:pStyle w:val="Normal"/></w:pPr>
<w:r><w:t xml:space="preserve">Anatomy and Physiology. These are written from a structural</w:t></w:r>
</w:p>
<w:p>
<w:pPr><w:pStyle w:val="Normal"/></w:pPr>
<w:r><w:t xml:space="preserve">rather than a biblioraphical point of view, and will be found</w:t></w:r>
</w:p>
<w:p>
<w:pPr><w:pStyle w:val="Normal"/></w:pPr>
<w:r><w:t xml:space="preserve">under the following headings: ``Atlas and Epistropheus,&apos;&apos;</w:t></w:r>
</w:p>
<w:p>
<w:pPr><w:pStyle w:val="Normal"/></w:pPr>
<w:r><w:t xml:space="preserve">J. Anat. vol. xxxiii. p. 204; ``Veins of Forearm,&apos;&apos; vol.</w:t></w:r>
</w:p>
<w:p>
<w:pPr><w:pStyle w:val="Normal"/></w:pPr>
<w:r><w:t xml:space="preserve">xxxiii. p. 343; ``Poupart&apos;s Ligament,&apos;&apos; vol. xxxiii. p.</w:t></w:r>
</w:p>
<w:p>
<w:pPr><w:pStyle w:val="Normal"/></w:pPr>
<w:r><w:t xml:space="preserve">493; ``Tendo-Achillis,&apos;&apos; vol. xxxiii. p. 676; ``Parotid,&apos;&apos;</w:t></w:r>
</w:p>
<w:p>
<w:pPr><w:pStyle w:val="Normal"/></w:pPr>
<w:r><w:t xml:space="preserve">vol. xxxv. p. 117; ``Trochanter,&apos;&apos; vol. xxxv. p. 269.</w:t></w:r>
</w:p>
<w:p>
<w:pPr><w:pStyle w:val="Normal"/></w:pPr>
<w:r><w:t xml:space="preserve">2The oldest anatomical treatise extant is an Egyptian papyrus</w:t></w:r>
</w:p>
<w:p>
<w:pPr><w:pStyle w:val="Normal"/></w:pPr>
<w:r><w:t xml:space="preserve">probably written sixteen centuries before our era.  It shows</w:t></w:r>
</w:p>
<w:p>
<w:pPr><w:pStyle w:val="Normal"/></w:pPr>
<w:r><w:t xml:space="preserve">that the heart, vessels, liver, spleen, kidneys, ureters and</w:t></w:r>
</w:p>
<w:p>
<w:pPr><w:pStyle w:val="Normal"/></w:pPr>
<w:r><w:t xml:space="preserve">bladder were recognized, and that the blood-vessels were known</w:t></w:r>
</w:p>
<w:p>
<w:pPr><w:pStyle w:val="Normal"/></w:pPr>
<w:r><w:t xml:space="preserve">to come from the heart.  Other vessels are described, some</w:t></w:r>
</w:p>
<w:p>
<w:pPr><w:pStyle w:val="Normal"/></w:pPr>
<w:r><w:t xml:space="preserve">carrying air, some mucus, while two to the right ear are said to</w:t></w:r>
</w:p>
<w:p>
<w:pPr><w:pStyle w:val="Normal"/></w:pPr>
<w:r><w:t xml:space="preserve">carry the breath of life, and two to the left ear the breath of</w:t></w:r>
</w:p>
<w:p>
<w:pPr><w:pStyle w:val="Normal"/></w:pPr>
<w:r><w:t xml:space="preserve">death.  See A. Macalister, ``Archaeologia Anatomica,&apos;&apos; J. Anat.</w:t></w:r>
</w:p>
<w:p>
<w:pPr><w:pStyle w:val="Normal"/></w:pPr>
<w:r><w:t xml:space="preserve">and Phys. vol. xxxii. p. 775. But see also the article OMEN.</w:t></w:r>
</w:p>
<w:p>
<w:pPr><w:pStyle w:val="Normal"/></w:pPr>
<w:r><w:t xml:space="preserve">3 An interesting article on the character and work of the</w:t></w:r>
</w:p>
<w:p>
<w:pPr><w:pStyle w:val="Normal"/></w:pPr>
<w:r><w:t xml:space="preserve">Maidstone surgeon, John Halle, by E. Barclay Smith, will</w:t></w:r>
</w:p>
<w:p>
<w:pPr><w:pStyle w:val="Normal"/></w:pPr>
<w:r><w:t xml:space="preserve">be found in the J. Anat. and Phys. vol. xxxiv. p. 275.</w:t></w:r>
</w:p>
<w:p>
<w:pPr><w:pStyle w:val="Normal"/></w:pPr>
<w:r><w:t xml:space="preserve">4 It has been pointed out by Dr J. F. Payne that Vicary&apos;s</w:t></w:r>
</w:p>
<w:p>
<w:pPr><w:pStyle w:val="Normal"/></w:pPr>
<w:r><w:t xml:space="preserve">work is merely an abridged copy of an unpublished English</w:t></w:r>
</w:p>
<w:p>
<w:pPr><w:pStyle w:val="Normal"/></w:pPr>
<w:r><w:t xml:space="preserve">anatomical treatise of the 14th century.  The name of the</w:t></w:r>
</w:p>
<w:p>
<w:pPr><w:pStyle w:val="Normal"/></w:pPr>
<w:r><w:t xml:space="preserve">author is unknown, but internal evidence shows that he was</w:t></w:r>
</w:p>
<w:p>
<w:pPr><w:pStyle w:val="Normal"/></w:pPr>
<w:r><w:t xml:space="preserve">a London surgeon.  The manuscript was written in English in</w:t></w:r>
</w:p>
<w:p>
<w:pPr><w:pStyle w:val="Normal"/></w:pPr>
<w:r><w:t xml:space="preserve">1392.  See British Medical Journal, January 25, 1896.</w:t></w:r>
</w:p>
<w:p>
<w:pPr><w:pStyle w:val="Normal"/></w:pPr>
<w:r><w:t xml:space="preserve">5 The passage of Servetus is so interesting that our readers</w:t></w:r>
</w:p>
<w:p>
<w:pPr><w:pStyle w:val="Normal"/></w:pPr>
<w:r><w:t xml:space="preserve">may feel some curiosity in perusing it in the language of</w:t></w:r>
</w:p>
<w:p>
<w:pPr><w:pStyle w:val="Normal"/></w:pPr>
<w:r><w:t xml:space="preserve">the author; and it is not unimportant to remark that Servetus</w:t></w:r>
</w:p>
<w:p>
<w:pPr><w:pStyle w:val="Normal"/></w:pPr>
<w:r><w:t xml:space="preserve">appears to have been led to think of the course of the blood</w:t></w:r>
</w:p>
<w:p>
<w:pPr><w:pStyle w:val="Normal"/></w:pPr>
<w:r><w:t xml:space="preserve">by the desire of explaining the manner in which the animal</w:t></w:r>
</w:p>
<w:p>
<w:pPr><w:pStyle w:val="Normal"/></w:pPr>
<w:r><w:t xml:space="preserve">spirits were supposed to be generated:-- ``Vitalis spiritus</w:t></w:r>
</w:p>
<w:p>
<w:pPr><w:pStyle w:val="Normal"/></w:pPr>
<w:r><w:t xml:space="preserve">in sinistro cordis ventriculo suam originem habet, juvantibus</w:t></w:r>
</w:p>
<w:p>
<w:pPr><w:pStyle w:val="Normal"/></w:pPr>
<w:r><w:t xml:space="preserve">maxime pulmonibus ad ipsius perfectionem.  Est spiritus tenuis,</w:t></w:r>
</w:p>
<w:p>
<w:pPr><w:pStyle w:val="Normal"/></w:pPr>
<w:r><w:t xml:space="preserve">caloris vi elaboratus, flavo colore, ignea potentia, ut sit quasi</w:t></w:r>
</w:p>
<w:p>
<w:pPr><w:pStyle w:val="Normal"/></w:pPr>
<w:r><w:t xml:space="preserve">ex puriore sanguine lucens, vapor substantiam continens aquae,</w:t></w:r>
</w:p>
<w:p>
<w:pPr><w:pStyle w:val="Normal"/></w:pPr>
<w:r><w:t xml:space="preserve">aeris, et ignis.  Generatur ex facta in pulmone commixtione</w:t></w:r>
</w:p>
<w:p>
<w:pPr><w:pStyle w:val="Normal"/></w:pPr>
<w:r><w:t xml:space="preserve">inspirati aeris cum elaborato subtili sanguine, quem dexter</w:t></w:r>
</w:p>
<w:p>
<w:pPr><w:pStyle w:val="Normal"/></w:pPr>
<w:r><w:t xml:space="preserve">ventriculus sinistro communicat.  Fit autem communicatio</w:t></w:r>
</w:p>
<w:p>
<w:pPr><w:pStyle w:val="Normal"/></w:pPr>
<w:r><w:t xml:space="preserve">haec, non per parietem cordis medium, ut vulgo creditur, sed</w:t></w:r>
</w:p>
<w:p>
<w:pPr><w:pStyle w:val="Normal"/></w:pPr>
<w:r><w:t xml:space="preserve">magno artificio a dextro cordis ventrioulo, longo per pulmones</w:t></w:r>
</w:p>
<w:p>
<w:pPr><w:pStyle w:val="Normal"/></w:pPr>
<w:r><w:t xml:space="preserve">ductu agitatur sanguis subtilis; a pulmonibus praeparatur,</w:t></w:r>
</w:p>
<w:p>
<w:pPr><w:pStyle w:val="Normal"/></w:pPr>
<w:r><w:t xml:space="preserve">flavus efficitur, et a vena arteriosa in arteriam venosam</w:t></w:r>
</w:p>
<w:p>
<w:pPr><w:pStyle w:val="Normal"/></w:pPr>
<w:r><w:t xml:space="preserve">transfunditur.  Deinde in ipsa arteria venosa, inspirato aeri</w:t></w:r>
</w:p>
<w:p>
<w:pPr><w:pStyle w:val="Normal"/></w:pPr>
<w:r><w:t xml:space="preserve">miscetur et exspiratione a fuligine expurgatur; aique ita</w:t></w:r>
</w:p>
<w:p>
<w:pPr><w:pStyle w:val="Normal"/></w:pPr>
<w:r><w:t xml:space="preserve">tandem a sinistro cordis ventriculo totum mixtum per diastolen</w:t></w:r>
</w:p>
<w:p>
<w:pPr><w:pStyle w:val="Normal"/></w:pPr>
<w:r><w:t xml:space="preserve">attrahitur, apta supellex, ut fiat spiritus vitalis.  Quod ita</w:t></w:r>
</w:p>
<w:p>
<w:pPr><w:pStyle w:val="Normal"/></w:pPr>
<w:r><w:t xml:space="preserve">per pulmones fiat communicatio et praeparatio, docet conjunctio</w:t></w:r>
</w:p>
<w:p>
<w:pPr><w:pStyle w:val="Normal"/></w:pPr>
<w:r><w:t xml:space="preserve">varia, et communicatio venae arteriosae cum arteria venosa in</w:t></w:r>
</w:p>
<w:p>
<w:pPr><w:pStyle w:val="Normal"/></w:pPr>
<w:r><w:t xml:space="preserve">pulmonibus.  Confirmat hoc magnitudo insignis venae arteriosae,</w:t></w:r>
</w:p>
<w:p>
<w:pPr><w:pStyle w:val="Normal"/></w:pPr>
<w:r><w:t xml:space="preserve">quae nec talis nec tanta esset facta, nec tantam a corde ipso</w:t></w:r>
</w:p>
<w:p>
<w:pPr><w:pStyle w:val="Normal"/></w:pPr>
<w:r><w:t xml:space="preserve">vim purissimi sanguinis in pulmones emitteret, ob solum eorum</w:t></w:r>
</w:p>
<w:p>
<w:pPr><w:pStyle w:val="Normal"/></w:pPr>
<w:r><w:t xml:space="preserve">nutrimentum; nec cor pulmonibus hac ratione serviret, cum</w:t></w:r>
</w:p>
<w:p>
<w:pPr><w:pStyle w:val="Normal"/></w:pPr>
<w:r><w:t xml:space="preserve">praesertim antea in embryone solerent pulmones ipsi aliunde</w:t></w:r>
</w:p>
<w:p>
<w:pPr><w:pStyle w:val="Normal"/></w:pPr>
<w:r><w:t xml:space="preserve">nutriri, ob membranulas illas seu valvulas cordis, usque ad</w:t></w:r>
</w:p>
<w:p>
<w:pPr><w:pStyle w:val="Normal"/></w:pPr>
<w:r><w:t xml:space="preserve">horum nativitatem; ut docet Galenus, &amp;c. Itaque ille spiritus</w:t></w:r>
</w:p>
<w:p>
<w:pPr><w:pStyle w:val="Normal"/></w:pPr>
<w:r><w:t xml:space="preserve">a sinistro cordis ventriculo arterias totius corporis deinde</w:t></w:r>
</w:p>
<w:p>
<w:pPr><w:pStyle w:val="Normal"/></w:pPr>
<w:r><w:t xml:space="preserve">transfunditur, ita ut qui tenuior est, superiora petit, ubi</w:t></w:r>
</w:p>
<w:p>
<w:pPr><w:pStyle w:val="Normal"/></w:pPr>
<w:r><w:t xml:space="preserve">magis elaboratur, praecipue in plexu retiformi, sub basi</w:t></w:r>
</w:p>
<w:p>
<w:pPr><w:pStyle w:val="Normal"/></w:pPr>
<w:r><w:t xml:space="preserve">cerebri sito, ubi ex vitali fieri incipit animalis, ad propriam</w:t></w:r>
</w:p>
<w:p>
<w:pPr><w:pStyle w:val="Normal"/></w:pPr>
<w:r><w:t xml:space="preserve">rationalis animae rationem accedens.&apos;&apos;-- De Trinitate, lib. v.</w:t></w:r>
</w:p>
<w:p>
<w:pPr><w:pStyle w:val="Normal"/></w:pPr>
<w:r><w:t xml:space="preserve">6 Highmore was a physician practising at Sherborne all his life (1613-1685).</w:t></w:r>
</w:p>
<w:p>
<w:pPr><w:pStyle w:val="Normal"/></w:pPr>
<w:r><w:t xml:space="preserve">7 Glisson was for forty years professor of physic at Cambridge.</w:t></w:r>
</w:p>
<w:p>
<w:pPr><w:pStyle w:val="Normal"/></w:pPr>
<w:r><w:t xml:space="preserve">8 Wharton was a graduate both of Oxford and</w:t></w:r>
</w:p>
<w:p>
<w:pPr><w:pStyle w:val="Normal"/></w:pPr>
<w:r><w:t xml:space="preserve">Cambridge, and physician to St Thomas&apos;s Hospital.</w:t></w:r>
</w:p>
<w:p>
<w:pPr><w:pStyle w:val="Normal"/></w:pPr>
<w:r><w:t xml:space="preserve">9 Willis was Sedleian professor of natural philosophy</w:t></w:r>
</w:p>
<w:p>
<w:pPr><w:pStyle w:val="Normal"/></w:pPr>
<w:r><w:t xml:space="preserve">in Oxford in 1660.  Later he practised in London.</w:t></w:r>
</w:p>
<w:p>
<w:pPr><w:pStyle w:val="Normal"/></w:pPr>
<w:r><w:t xml:space="preserve">10 Tyson was a graduate both of Oxford and Cambridge.</w:t></w:r>
</w:p>
<w:p>
<w:pPr><w:pStyle w:val="Normal"/></w:pPr>
<w:r><w:t xml:space="preserve">He was reader of anatomy at Surgeons&apos; Hall, London.</w:t></w:r>
</w:p>
<w:p>
<w:pPr><w:pStyle w:val="Normal"/></w:pPr>
<w:r><w:t xml:space="preserve">11 Collins was an M. D. of Padua, Oxford and</w:t></w:r>
</w:p>
<w:p>
<w:pPr><w:pStyle w:val="Normal"/></w:pPr>
<w:r><w:t xml:space="preserve">Cambridge.  He was physician in ordinary to Charles II.</w:t></w:r>
</w:p>
<w:p>
<w:pPr><w:pStyle w:val="Normal"/></w:pPr>
<w:r><w:t xml:space="preserve">12 Havers was a London physician, and died in 1702.</w:t></w:r>
</w:p>
<w:p>
<w:pPr><w:pStyle w:val="Normal"/></w:pPr>
<w:r><w:t xml:space="preserve">13 Robert Nesbitt (d. 1761) studied at</w:t></w:r>
</w:p>
<w:p>
<w:pPr><w:pStyle w:val="Normal"/></w:pPr>
<w:r><w:t xml:space="preserve">Leiden and practised as a physician in London.</w:t></w:r>
</w:p>
<w:p>
<w:pPr><w:pStyle w:val="Normal"/></w:pPr>
<w:r><w:t xml:space="preserve">14 Humphrey Ridley (1653-1708) was a London physician who studied at Leiden.</w:t></w:r>
</w:p>
<w:p>
<w:pPr><w:pStyle w:val="Normal"/></w:pPr>
<w:r><w:t xml:space="preserve">15 Bidloo was a Dutch anatomist and Cowper a London surgeon.</w:t></w:r>
</w:p>
<w:p>
<w:pPr><w:pStyle w:val="Normal"/></w:pPr>
<w:r><w:t xml:space="preserve">16 Hewson was a partner with William Hunter</w:t></w:r>
</w:p>
<w:p>
<w:pPr><w:pStyle w:val="Normal"/></w:pPr>
<w:r><w:t xml:space="preserve">in the Windmill Street School of Anatomy.</w:t></w:r>
</w:p>
<w:p>
<w:pPr><w:pStyle w:val="Normal"/></w:pPr>
<w:r><w:t xml:space="preserve">17 Cruikshank followed W. Hunter as lecturer at the Windmill Street school.</w:t></w:r>
</w:p>
<w:p>
<w:pPr><w:pStyle w:val="Normal"/></w:pPr>
<w:r><w:t xml:space="preserve">18 Scarpa was professor of anatomy at Modena and Pavia.</w:t></w:r>
</w:p>
<w:p>
<w:pPr><w:pStyle w:val="Normal"/></w:pPr>
<w:r><w:t xml:space="preserve">ANATTO (possibly a native American name, with many</w:t></w:r>
</w:p>
<w:p>
<w:pPr><w:pStyle w:val="Normal"/></w:pPr>
<w:r><w:t xml:space="preserve">variants such as annatto, arnotto), a colouring matter</w:t></w:r>
</w:p>
<w:p>
<w:pPr><w:pStyle w:val="Normal"/></w:pPr>
<w:r><w:t xml:space="preserve">produced from the seeds of Bixa orellana (natural order</w:t></w:r>
</w:p>
<w:p>
<w:pPr><w:pStyle w:val="Normal"/></w:pPr>
<w:r><w:t xml:space="preserve">Flacourtiaceae), a small tree which grows in Central and</w:t></w:r>
</w:p>
<w:p>
<w:pPr><w:pStyle w:val="Normal"/></w:pPr>
<w:r><w:t xml:space="preserve">South America.  The seeds are surrounded with a thin coating</w:t></w:r>
</w:p>
<w:p>
<w:pPr><w:pStyle w:val="Normal"/></w:pPr>
<w:r><w:t xml:space="preserve">of a waxy pulp, which is separated from them by washing in</w:t></w:r>
</w:p>
<w:p>
<w:pPr><w:pStyle w:val="Normal"/></w:pPr>
<w:r><w:t xml:space="preserve">water, passing the liquid through a sieve and allowing the</w:t></w:r>
</w:p>
<w:p>
<w:pPr><w:pStyle w:val="Normal"/></w:pPr>
<w:r><w:t xml:space="preserve">suspended pulp to deposit.  The water is then drained away</w:t></w:r>
</w:p>
<w:p>
<w:pPr><w:pStyle w:val="Normal"/></w:pPr>
<w:r><w:t xml:space="preserve">and the paste dried, till it is a thick, stiff, unctuous</w:t></w:r>
</w:p>
<w:p>
<w:pPr><w:pStyle w:val="Normal"/></w:pPr>
<w:r><w:t xml:space="preserve">mass.  In this state it has a dark orange-red colour and is</w:t></w:r>
</w:p>
<w:p>
<w:pPr><w:pStyle w:val="Normal"/></w:pPr>
<w:r><w:t xml:space="preserve">known as ``roll&apos;&apos; or ``flag&apos;&apos; arnotto, according to the form</w:t></w:r>
</w:p>
<w:p>
<w:pPr><w:pStyle w:val="Normal"/></w:pPr>
<w:r><w:t xml:space="preserve">in which it is put up, but when further dried it is called</w:t></w:r>
</w:p>
<w:p>
<w:pPr><w:pStyle w:val="Normal"/></w:pPr>
<w:r><w:t xml:space="preserve">``cake&apos;&apos; arnotto.  Arnotto is much used by South American</w:t></w:r>
</w:p>
<w:p>
<w:pPr><w:pStyle w:val="Normal"/></w:pPr>
<w:r><w:t xml:space="preserve">Indians for painting their bodies; among civilized communities</w:t></w:r>
</w:p>
<w:p>
<w:pPr><w:pStyle w:val="Normal"/></w:pPr>
<w:r><w:t xml:space="preserve">its principal use is for colouring butter, cheese and</w:t></w:r>
</w:p>
<w:p>
<w:pPr><w:pStyle w:val="Normal"/></w:pPr>
<w:r><w:t xml:space="preserve">varnishes.  It yields a fugitive bright orange colour, and</w:t></w:r>
</w:p>
<w:p>
<w:pPr><w:pStyle w:val="Normal"/></w:pPr>
<w:r><w:t xml:space="preserve">is to some extent used alone, or in conjunction with other</w:t></w:r>
</w:p>
<w:p>
<w:pPr><w:pStyle w:val="Normal"/></w:pPr>
<w:r><w:t xml:space="preserve">dyes, in the dyeing of silks and in calico printing.  It</w:t></w:r>
</w:p>
<w:p>
<w:pPr><w:pStyle w:val="Normal"/></w:pPr>
<w:r><w:t xml:space="preserve">contains a yellow colouring matter, bixin, C16H26O2.</w:t></w:r>
</w:p>
<w:p>
<w:pPr><w:pStyle w:val="Normal"/></w:pPr>
<w:r><w:t xml:space="preserve">ANAXAGORAS, Greek philosopher, was born probably about</w:t></w:r>
</w:p>
<w:p>
<w:pPr><w:pStyle w:val="Normal"/></w:pPr>
<w:r><w:t xml:space="preserve">the year 500 B.C. (Apollodorus ap. Diog.  Laert. ii. 7.)</w:t></w:r>
</w:p>
<w:p>
<w:pPr><w:pStyle w:val="Normal"/></w:pPr>
<w:r><w:t xml:space="preserve">At his native town of Clazomenae in Asia Minor, he had, it</w:t></w:r>
</w:p>
<w:p>
<w:pPr><w:pStyle w:val="Normal"/></w:pPr>
<w:r><w:t xml:space="preserve">appears, some amount of property and prospects of political</w:t></w:r>
</w:p>
<w:p>
<w:pPr><w:pStyle w:val="Normal"/></w:pPr>
<w:r><w:t xml:space="preserve">influence, both of which he surrendered, from a fear that</w:t></w:r>
</w:p>
<w:p>
<w:pPr><w:pStyle w:val="Normal"/></w:pPr>
<w:r><w:t xml:space="preserve">they would hinder his search after knowledge.  Nothing is</w:t></w:r>
</w:p>
<w:p>
<w:pPr><w:pStyle w:val="Normal"/></w:pPr>
<w:r><w:t xml:space="preserve">known of his teachers; there is no reason for the theory</w:t></w:r>
</w:p>
<w:p>
<w:pPr><w:pStyle w:val="Normal"/></w:pPr>
<w:r><w:t xml:space="preserve">that he studied under Hermotimus of Clazomenae, the ancient</w:t></w:r>
</w:p>
<w:p>
<w:pPr><w:pStyle w:val="Normal"/></w:pPr>
<w:r><w:t xml:space="preserve">miracle-worker.  In early manhood (c. 464-462 B.C.) he</w:t></w:r>
</w:p>
<w:p>
<w:pPr><w:pStyle w:val="Normal"/></w:pPr>
<w:r><w:t xml:space="preserve">went to Athens, which was rapidly becoming the headquarters of</w:t></w:r>
</w:p>
<w:p>
<w:pPr><w:pStyle w:val="Normal"/></w:pPr>
<w:r><w:t xml:space="preserve">Greek culture.  There he is said to have remained for thirty</w:t></w:r>
</w:p>
<w:p>
<w:pPr><w:pStyle w:val="Normal"/></w:pPr>
<w:r><w:t xml:space="preserve">years.  Pericles learned to love and admire him and the poet</w:t></w:r>
</w:p>
<w:p>
<w:pPr><w:pStyle w:val="Normal"/></w:pPr>
<w:r><w:t xml:space="preserve">Euripides derived from him an enthusiasm for science and</w:t></w:r>
</w:p>
<w:p>
<w:pPr><w:pStyle w:val="Normal"/></w:pPr>
<w:r><w:t xml:space="preserve">humanity.  Some authorities assert that even Socrates was</w:t></w:r>
</w:p>
<w:p>
<w:pPr><w:pStyle w:val="Normal"/></w:pPr>
<w:r><w:t xml:space="preserve">among his disciples.  His influence was due partly to his</w:t></w:r>
</w:p>
<w:p>
<w:pPr><w:pStyle w:val="Normal"/></w:pPr>
<w:r><w:t xml:space="preserve">astronomical and mathematical eminence, but still more to the</w:t></w:r>
</w:p>
<w:p>
<w:pPr><w:pStyle w:val="Normal"/></w:pPr>
<w:r><w:t xml:space="preserve">ascetic dignity of his nature and his superiority to ordinary</w:t></w:r>
</w:p>
<w:p>
<w:pPr><w:pStyle w:val="Normal"/></w:pPr>
<w:r><w:t xml:space="preserve">weaknesses--traits which legend has embalmed.  It was he</w:t></w:r>
</w:p>
<w:p>
<w:pPr><w:pStyle w:val="Normal"/></w:pPr>
<w:r><w:t xml:space="preserve">who brought philosophy and the spirit of scientific inquiry</w:t></w:r>
</w:p>
<w:p>
<w:pPr><w:pStyle w:val="Normal"/></w:pPr>
<w:r><w:t xml:space="preserve">from Ionia to Athens.  His observations of the celestial</w:t></w:r>
</w:p>
<w:p>
<w:pPr><w:pStyle w:val="Normal"/></w:pPr>
<w:r><w:t xml:space="preserve">bodies led him to form new theories of the universal order,</w:t></w:r>
</w:p>
<w:p>
<w:pPr><w:pStyle w:val="Normal"/></w:pPr>
<w:r><w:t xml:space="preserve">and brought him into collision with the popular faith.  He</w:t></w:r>
</w:p>
<w:p>
<w:pPr><w:pStyle w:val="Normal"/></w:pPr>
<w:r><w:t xml:space="preserve">attempted, not without success, to give a scientific account of</w:t></w:r>
</w:p>
<w:p>
<w:pPr><w:pStyle w:val="Normal"/></w:pPr>
<w:r><w:t xml:space="preserve">eclipses, meteors, rainbows and the sun, which he described</w:t></w:r>
</w:p>
<w:p>
<w:pPr><w:pStyle w:val="Normal"/></w:pPr>
<w:r><w:t xml:space="preserve">as a mass of blazing metal, larger than the Peloponnesus;</w:t></w:r>
</w:p>
<w:p>
<w:pPr><w:pStyle w:val="Normal"/></w:pPr>
<w:r><w:t xml:space="preserve">the heavenly bodies were masses of stone torn from the earth</w:t></w:r>
</w:p>
<w:p>
<w:pPr><w:pStyle w:val="Normal"/></w:pPr>
<w:r><w:t xml:space="preserve">and ignited by rapid rotation.  The ignorant polytheism of</w:t></w:r>
</w:p>
<w:p>
<w:pPr><w:pStyle w:val="Normal"/></w:pPr>
<w:r><w:t xml:space="preserve">the time could not tolerate such explanation, and the enemies</w:t></w:r>
</w:p>
<w:p>
<w:pPr><w:pStyle w:val="Normal"/></w:pPr>
<w:r><w:t xml:space="preserve">of Pericles used the superstitions of their countrymen</w:t></w:r>
</w:p>
<w:p>
<w:pPr><w:pStyle w:val="Normal"/></w:pPr>
<w:r><w:t xml:space="preserve">as a means of attacking him in the person of his friend.</w:t></w:r>
</w:p>
<w:p>
<w:pPr><w:pStyle w:val="Normal"/></w:pPr>
<w:r><w:t xml:space="preserve">Anaxagoras was arrested on a charge of contravening the</w:t></w:r>
</w:p>
<w:p>
<w:pPr><w:pStyle w:val="Normal"/></w:pPr>
<w:r><w:t xml:space="preserve">established dogmas of religion (some say the charge was one</w:t></w:r>
</w:p>
<w:p>
<w:pPr><w:pStyle w:val="Normal"/></w:pPr>
<w:r><w:t xml:space="preserve">of Medism), and it required all the eloquence of Pericles</w:t></w:r>
</w:p>
<w:p>
<w:pPr><w:pStyle w:val="Normal"/></w:pPr>
<w:r><w:t xml:space="preserve">to secure his acquittal.  Even so he was forced to retire</w:t></w:r>
</w:p>
<w:p>
<w:pPr><w:pStyle w:val="Normal"/></w:pPr>
<w:r><w:t xml:space="preserve">from Athens to Lampsacus (434-433 B.C. ), where he died</w:t></w:r>
</w:p>
<w:p>
<w:pPr><w:pStyle w:val="Normal"/></w:pPr>
<w:r><w:t xml:space="preserve">about 428 B.C., honoured and respected by the whole city.</w:t></w:r>
</w:p>
<w:p>
<w:pPr><w:pStyle w:val="Normal"/></w:pPr>
<w:r><w:t xml:space="preserve">It is difficult to present the cosmical theory of Anaxagoras</w:t></w:r>
</w:p>
<w:p>
<w:pPr><w:pStyle w:val="Normal"/></w:pPr>
<w:r><w:t xml:space="preserve">in an intelligible scheme.  All things have existed in</w:t></w:r>
</w:p>
<w:p>
<w:pPr><w:pStyle w:val="Normal"/></w:pPr>
<w:r><w:t xml:space="preserve">a sort of way from the beginning.  But originally they</w:t></w:r>
</w:p>
<w:p>
<w:pPr><w:pStyle w:val="Normal"/></w:pPr>
<w:r><w:t xml:space="preserve">existed in infinitesimally small fragments of themselves,</w:t></w:r>
</w:p>
<w:p>
<w:pPr><w:pStyle w:val="Normal"/></w:pPr>
<w:r><w:t xml:space="preserve">endless in number and inextricably combined throughout the</w:t></w:r>
</w:p>
<w:p>
<w:pPr><w:pStyle w:val="Normal"/></w:pPr>
<w:r><w:t xml:space="preserve">universe.  All things existed in this mass, but in a confused</w:t></w:r>
</w:p>
<w:p>
<w:pPr><w:pStyle w:val="Normal"/></w:pPr>
<w:r><w:t xml:space="preserve">and indistinguishable form.  There were the seeds (spermata)</w:t></w:r>
</w:p>
<w:p>
<w:pPr><w:pStyle w:val="Normal"/></w:pPr>
<w:r><w:t xml:space="preserve">or miniatures of corn and flesh and gold in the primitive</w:t></w:r>
</w:p>
<w:p>
<w:pPr><w:pStyle w:val="Normal"/></w:pPr>
<w:r><w:t xml:space="preserve">mixture; but these parts, of like nature with their wholes</w:t></w:r>
</w:p>
<w:p>
<w:pPr><w:pStyle w:val="Normal"/></w:pPr>
<w:r><w:t xml:space="preserve">(the omoiomere of Aristotle), had to be eliminated from</w:t></w:r>
</w:p>
<w:p>
<w:pPr><w:pStyle w:val="Normal"/></w:pPr>
<w:r><w:t xml:space="preserve">the complex mass before they could receive a definite name and</w:t></w:r>
</w:p>
<w:p>
<w:pPr><w:pStyle w:val="Normal"/></w:pPr>
<w:r><w:t xml:space="preserve">character.  The existing species of things having thus been</w:t></w:r>
</w:p>
<w:p>
<w:pPr><w:pStyle w:val="Normal"/></w:pPr>
<w:r><w:t xml:space="preserve">transferred, with all their specialities, to the prehistoric</w:t></w:r>
</w:p>
<w:p>
<w:pPr><w:pStyle w:val="Normal"/></w:pPr>
<w:r><w:t xml:space="preserve">stage, they were multiplied endlessly in number, by reducing</w:t></w:r>
</w:p>
<w:p>
<w:pPr><w:pStyle w:val="Normal"/></w:pPr>
<w:r><w:t xml:space="preserve">their size through continued subdivision; at the same time</w:t></w:r>
</w:p>
<w:p>
<w:pPr><w:pStyle w:val="Normal"/></w:pPr>
<w:r><w:t xml:space="preserve">each one thing is so indissolubly connected with every</w:t></w:r>
</w:p>
<w:p>
<w:pPr><w:pStyle w:val="Normal"/></w:pPr>
<w:r><w:t xml:space="preserve">other that the keenest analysis can never completely sever</w:t></w:r>
</w:p>
<w:p>
<w:pPr><w:pStyle w:val="Normal"/></w:pPr>
<w:r><w:t xml:space="preserve">them.  The work of arrangement, the segregation of like</w:t></w:r>
</w:p>
<w:p>
<w:pPr><w:pStyle w:val="Normal"/></w:pPr>
<w:r><w:t xml:space="preserve">from unlike and the summation of the omoiomere into</w:t></w:r>
</w:p>
<w:p>
<w:pPr><w:pStyle w:val="Normal"/></w:pPr>
<w:r><w:t xml:space="preserve">totals of the same name, was the work of Mind or Reason;</w:t></w:r>
</w:p>
<w:p>
<w:pPr><w:pStyle w:val="Normal"/></w:pPr>
<w:r><w:t xml:space="preserve">panta chremata en omou . eita nous elthon auta</w:t></w:r>
</w:p>
<w:p>
<w:pPr><w:pStyle w:val="Normal"/></w:pPr>
<w:r><w:t xml:space="preserve">diekosmese. This peculiar thing, called Mind (nous),</w:t></w:r>
</w:p>
<w:p>
<w:pPr><w:pStyle w:val="Normal"/></w:pPr>
<w:r><w:t xml:space="preserve">was no less illimitable than the chaotic mass, but, unlike</w:t></w:r>
</w:p>
<w:p>
<w:pPr><w:pStyle w:val="Normal"/></w:pPr>
<w:r><w:t xml:space="preserve">the Intelligence of Heraclitus (q.v.), it stood pure and</w:t></w:r>
</w:p>
<w:p>
<w:pPr><w:pStyle w:val="Normal"/></w:pPr>
<w:r><w:t xml:space="preserve">independent (mounos ef eoutou), a thing of finer</w:t></w:r>
</w:p>
<w:p>
<w:pPr><w:pStyle w:val="Normal"/></w:pPr>
<w:r><w:t xml:space="preserve">texture, alike in all its manifestations and everywhere the</w:t></w:r>
</w:p>
<w:p>
<w:pPr><w:pStyle w:val="Normal"/></w:pPr>
<w:r><w:t xml:space="preserve">same.  This subtle agent, possessed of all knowledge and</w:t></w:r>
</w:p>
<w:p>
<w:pPr><w:pStyle w:val="Normal"/></w:pPr>
<w:r><w:t xml:space="preserve">power, is especially seen ruling in all the forms of life.</w:t></w:r>
</w:p>
<w:p>
<w:pPr><w:pStyle w:val="Normal"/></w:pPr>
<w:r><w:t xml:space="preserve">Its first appearance, and the only manifestation of it which</w:t></w:r>
</w:p>
<w:p>
<w:pPr><w:pStyle w:val="Normal"/></w:pPr>
<w:r><w:t xml:space="preserve">Anaxagoras describes, is Motion.  It originated a rotatory</w:t></w:r>
</w:p>
<w:p>
<w:pPr><w:pStyle w:val="Normal"/></w:pPr>
<w:r><w:t xml:space="preserve">movement in the mass (a movement far exceeding the most rapid</w:t></w:r>
</w:p>
<w:p>
<w:pPr><w:pStyle w:val="Normal"/></w:pPr>
<w:r><w:t xml:space="preserve">in the world as we know it), which, arising in one corner or</w:t></w:r>
</w:p>
<w:p>
<w:pPr><w:pStyle w:val="Normal"/></w:pPr>
<w:r><w:t xml:space="preserve">point, gradually extended till it gave distinctness and reality</w:t></w:r>
</w:p>
<w:p>
<w:pPr><w:pStyle w:val="Normal"/></w:pPr>
<w:r><w:t xml:space="preserve">to the aggregates of like parts.  But even after it has done</w:t></w:r>
</w:p>
<w:p>
<w:pPr><w:pStyle w:val="Normal"/></w:pPr>
<w:r><w:t xml:space="preserve">its best, the original intermixture of things is not wholly</w:t></w:r>
</w:p>
<w:p>
<w:pPr><w:pStyle w:val="Normal"/></w:pPr>
<w:r><w:t xml:space="preserve">overcome.  No one thing in the world is ever abruptly</w:t></w:r>
</w:p>
<w:p>
<w:pPr><w:pStyle w:val="Normal"/></w:pPr>
<w:r><w:t xml:space="preserve">separated, as by the blow of an axe, from the rest of things.</w:t></w:r>
</w:p>
<w:p>
<w:pPr><w:pStyle w:val="Normal"/></w:pPr>
<w:r><w:t xml:space="preserve">The name given to it signifies merely that in that congeries</w:t></w:r>
</w:p>
<w:p>
<w:pPr><w:pStyle w:val="Normal"/></w:pPr>
<w:r><w:t xml:space="preserve">of fragments the particular ``seed&apos;&apos; is preponderant.  Every</w:t></w:r>
</w:p>
<w:p>
<w:pPr><w:pStyle w:val="Normal"/></w:pPr>
<w:r><w:t xml:space="preserve">a of this present universe is only a by a majority, and</w:t></w:r>
</w:p>
<w:p>
<w:pPr><w:pStyle w:val="Normal"/></w:pPr>
<w:r><w:t xml:space="preserve">is also in lesser number b, c, d. It is noteworthy that</w:t></w:r>
</w:p>
<w:p>
<w:pPr><w:pStyle w:val="Normal"/></w:pPr>
<w:r><w:t xml:space="preserve">Aristotle accuses Anaxagoras of failing to differentiate</w:t></w:r>
</w:p>
<w:p>
<w:pPr><w:pStyle w:val="Normal"/></w:pPr>
<w:r><w:t xml:space="preserve">between nous and psuche, while Socrates (Plato, Phaedo,</w:t></w:r>
</w:p>
<w:p>
<w:pPr><w:pStyle w:val="Normal"/></w:pPr>
<w:r><w:t xml:space="preserve">98 B) objects that his nous is merely a deus ex machina</w:t></w:r>
</w:p>
<w:p>
<w:pPr><w:pStyle w:val="Normal"/></w:pPr>
<w:r><w:t xml:space="preserve">to Which he refuses to attribute design and knowledge.</w:t></w:r>
</w:p>
<w:p>
<w:pPr><w:pStyle w:val="Normal"/></w:pPr>
<w:r><w:t xml:space="preserve">Anaxagoras proceeded to give some account of the stages in</w:t></w:r>
</w:p>
<w:p>
<w:pPr><w:pStyle w:val="Normal"/></w:pPr>
<w:r><w:t xml:space="preserve">the process from original chaos to present arrangements.</w:t></w:r>
</w:p>
<w:p>
<w:pPr><w:pStyle w:val="Normal"/></w:pPr>
<w:r><w:t xml:space="preserve">The division into cold mist and warm ether first broke the</w:t></w:r>
</w:p>
<w:p>
<w:pPr><w:pStyle w:val="Normal"/></w:pPr>
<w:r><w:t xml:space="preserve">spell of confusion.  With increasing cold, the former gave</w:t></w:r>
</w:p>
<w:p>
<w:pPr><w:pStyle w:val="Normal"/></w:pPr>
<w:r><w:t xml:space="preserve">rise to water, earth and stones.  The seeds of life which</w:t></w:r>
</w:p>
<w:p>
<w:pPr><w:pStyle w:val="Normal"/></w:pPr>
<w:r><w:t xml:space="preserve">continued floating in the air were carried down with the</w:t></w:r>
</w:p>
<w:p>
<w:pPr><w:pStyle w:val="Normal"/></w:pPr>
<w:r><w:t xml:space="preserve">rains and produced vegetation.  Animals, including man,</w:t></w:r>
</w:p>
<w:p>
<w:pPr><w:pStyle w:val="Normal"/></w:pPr>
<w:r><w:t xml:space="preserve">sprang from the warm and moist clay.  If these things be</w:t></w:r>
</w:p>
<w:p>
<w:pPr><w:pStyle w:val="Normal"/></w:pPr>
<w:r><w:t xml:space="preserve">so, then the evidence of the senses must be held in slight</w:t></w:r>
</w:p>
<w:p>
<w:pPr><w:pStyle w:val="Normal"/></w:pPr>
<w:r><w:t xml:space="preserve">esteem.  We seem to see things coming into being and passing</w:t></w:r>
</w:p>
<w:p>
<w:pPr><w:pStyle w:val="Normal"/></w:pPr>
<w:r><w:t xml:space="preserve">from it; but reflection tells us that decease and growth</w:t></w:r>
</w:p>
<w:p>
<w:pPr><w:pStyle w:val="Normal"/></w:pPr>
<w:r><w:t xml:space="preserve">only mean a new aggregation (sugkrisis) and disruption</w:t></w:r>
</w:p>
<w:p>
<w:pPr><w:pStyle w:val="Normal"/></w:pPr>
<w:r><w:t xml:space="preserve">(diakrisis.) Thus Anaxagoras distrusted the senses, and</w:t></w:r>
</w:p>
<w:p>
<w:pPr><w:pStyle w:val="Normal"/></w:pPr>
<w:r><w:t xml:space="preserve">gave the preference to the conclusions of reflection.  Thus he</w:t></w:r>
</w:p>
<w:p>
<w:pPr><w:pStyle w:val="Normal"/></w:pPr>
<w:r><w:t xml:space="preserve">maintained that there must be blackness as well as whiteness</w:t></w:r>
</w:p>
<w:p>
<w:pPr><w:pStyle w:val="Normal"/></w:pPr>
<w:r><w:t xml:space="preserve">in snow; how otherwise could it be turned into dark water?</w:t></w:r>
</w:p>
<w:p>
<w:pPr><w:pStyle w:val="Normal"/></w:pPr>
<w:r><w:t xml:space="preserve">Anaxagoras marks a turning-point in the history of philosophy.</w:t></w:r>
</w:p>
<w:p>
<w:pPr><w:pStyle w:val="Normal"/></w:pPr>
<w:r><w:t xml:space="preserve">With him speculation passed from the colonies of Greece to</w:t></w:r>
</w:p>
<w:p>
<w:pPr><w:pStyle w:val="Normal"/></w:pPr>
<w:r><w:t xml:space="preserve">settle at Athens.  By the theory of minute constituents of</w:t></w:r>
</w:p>
<w:p>
<w:pPr><w:pStyle w:val="Normal"/></w:pPr>
<w:r><w:t xml:space="preserve">things, and his emphasis on mechanical processes in the</w:t></w:r>
</w:p>
<w:p>
<w:pPr><w:pStyle w:val="Normal"/></w:pPr>
<w:r><w:t xml:space="preserve">formation of order, he paved the way for the atomic theory.</w:t></w:r>
</w:p>
<w:p>
<w:pPr><w:pStyle w:val="Normal"/></w:pPr>
<w:r><w:t xml:space="preserve">By his enunciation of the order that comes from reason, on</w:t></w:r>
</w:p>
<w:p>
<w:pPr><w:pStyle w:val="Normal"/></w:pPr>
<w:r><w:t xml:space="preserve">the other hand, he suggested, though he seems not to have</w:t></w:r>
</w:p>
<w:p>
<w:pPr><w:pStyle w:val="Normal"/></w:pPr>
<w:r><w:t xml:space="preserve">stated explicitly, the theory that nature is the work of</w:t></w:r>
</w:p>
<w:p>
<w:pPr><w:pStyle w:val="Normal"/></w:pPr>
<w:r><w:t xml:space="preserve">design.  The conception of reason in the world passed</w:t></w:r>
</w:p>
<w:p>
<w:pPr><w:pStyle w:val="Normal"/></w:pPr>
<w:r><w:t xml:space="preserve">from him to Aristotle, to whom it seemed the dawn of sober</w:t></w:r>
</w:p>
<w:p>
<w:pPr><w:pStyle w:val="Normal"/></w:pPr>
<w:r><w:t xml:space="preserve">thought after a night of disordered dreams.  From Aristotle</w:t></w:r>
</w:p>
<w:p>
<w:pPr><w:pStyle w:val="Normal"/></w:pPr>
<w:r><w:t xml:space="preserve">it descended to his commentators, and under the influence</w:t></w:r>
</w:p>
<w:p>
<w:pPr><w:pStyle w:val="Normal"/></w:pPr>
<w:r><w:t xml:space="preserve">of Averroes became the engrossing topic of speculation.</w:t></w:r>
</w:p>
<w:p>
<w:pPr><w:pStyle w:val="Normal"/></w:pPr>
<w:r><w:t xml:space="preserve">AUTHORITIES.--The fragments of Anaxagoras have been collected</w:t></w:r>
</w:p>
<w:p>
<w:pPr><w:pStyle w:val="Normal"/></w:pPr>
<w:r><w:t xml:space="preserve">by E. Schaubach (Leipzig, 1827), and W. Schorn (Bonn, 1829);</w:t></w:r>
</w:p>
<w:p>
<w:pPr><w:pStyle w:val="Normal"/></w:pPr>
<w:r><w:t xml:space="preserve">see also F. W. A. Mullach, Fragmenta Philos.  Graec. i.</w:t></w:r>
</w:p>
<w:p>
<w:pPr><w:pStyle w:val="Normal"/></w:pPr>
<w:r><w:t xml:space="preserve">243-252; A. Fairbanks, The First Philosophers of Greece</w:t></w:r>
</w:p>
<w:p>
<w:pPr><w:pStyle w:val="Normal"/></w:pPr>
<w:r><w:t xml:space="preserve">(1898).  For criticism see, T. Gomperz, Greek Thinkers (Eng.</w:t></w:r>
</w:p>
<w:p>
<w:pPr><w:pStyle w:val="Normal"/></w:pPr>
<w:r><w:t xml:space="preserve">trans., L. Magnus, 1901), bk. ii. chap. 4; E. Bersot, De</w:t></w:r>
</w:p>
<w:p>
<w:pPr><w:pStyle w:val="Normal"/></w:pPr>
<w:r><w:t xml:space="preserve">controversis quibusdam Anaxagorae doctrinis (Paris, 1844); E.</w:t></w:r>
</w:p>
<w:p>
<w:pPr><w:pStyle w:val="Normal"/></w:pPr>
<w:r><w:t xml:space="preserve">Zeller, Die Philosophie der Griechen (Eng. trans., S. F.</w:t></w:r>
</w:p>
<w:p>
<w:pPr><w:pStyle w:val="Normal"/></w:pPr>
<w:r><w:t xml:space="preserve">Alleyne, 2 vols., London, 1881); J. M. Robertson, Short</w:t></w:r>
</w:p>
<w:p>
<w:pPr><w:pStyle w:val="Normal"/></w:pPr>
<w:r><w:t xml:space="preserve">History of Freethought (London, 1906); W. Windelband,</w:t></w:r>
</w:p>
<w:p>
<w:pPr><w:pStyle w:val="Normal"/></w:pPr>
<w:r><w:t xml:space="preserve">History of Philosophy (Eng. trans., J. H. Tufts, 1893);</w:t></w:r>
</w:p>
<w:p>
<w:pPr><w:pStyle w:val="Normal"/></w:pPr>
<w:r><w:t xml:space="preserve">J. I. Beare, Greek Theories of Elementary Cognition</w:t></w:r>
</w:p>
<w:p>
<w:pPr><w:pStyle w:val="Normal"/></w:pPr>
<w:r><w:t xml:space="preserve">(1906); L. Parmentier, Euripide et Anaxagore (1892); F.</w:t></w:r>
</w:p>
<w:p>
<w:pPr><w:pStyle w:val="Normal"/></w:pPr>
<w:r><w:t xml:space="preserve">Lortzing, ``Bericht uber die griechischen Philosophen</w:t></w:r>
</w:p>
<w:p>
<w:pPr><w:pStyle w:val="Normal"/></w:pPr>
<w:r><w:t xml:space="preserve">vor Sokrates&apos;&apos; (for the years 1876-1897) in Bursian&apos;s</w:t></w:r>
</w:p>
<w:p>
<w:pPr><w:pStyle w:val="Normal"/></w:pPr>
<w:r><w:t xml:space="preserve">Jahresbericht uber die Fortschritte der classischen</w:t></w:r>
</w:p>
<w:p>
<w:pPr><w:pStyle w:val="Normal"/></w:pPr>
<w:r><w:t xml:space="preserve">Altertumswissenschaft, cxvi. (1904), with references</w:t></w:r>
</w:p>
<w:p>
<w:pPr><w:pStyle w:val="Normal"/></w:pPr>
<w:r><w:t xml:space="preserve">to important articles in periodicals. (W. W.; J. M. M.)</w:t></w:r>
</w:p>
<w:p>
<w:pPr><w:pStyle w:val="Normal"/></w:pPr>
<w:r><w:t xml:space="preserve">ANAXARCHUS (c. 340 B.C. a Greek philosopher of the</w:t></w:r>
</w:p>
<w:p>
<w:pPr><w:pStyle w:val="Normal"/></w:pPr>
<w:r><w:t xml:space="preserve">school of Democritus, was born at Abdera.  He was the</w:t></w:r>
</w:p>
<w:p>
<w:pPr><w:pStyle w:val="Normal"/></w:pPr>
<w:r><w:t xml:space="preserve">companion and friend of Alexander in his Asiatic campaigns.</w:t></w:r>
</w:p>
<w:p>
<w:pPr><w:pStyle w:val="Normal"/></w:pPr>
<w:r><w:t xml:space="preserve">He checked the vainglory of Alexander, when he aspired to</w:t></w:r>
</w:p>
<w:p>
<w:pPr><w:pStyle w:val="Normal"/></w:pPr>
<w:r><w:t xml:space="preserve">the honours of divinity, by pointing to his wounded finger,</w:t></w:r>
</w:p>
<w:p>
<w:pPr><w:pStyle w:val="Normal"/></w:pPr>
<w:r><w:t xml:space="preserve">saying, ``See the blood of a mortal, not of a god.&apos;&apos; The story</w:t></w:r>
</w:p>
<w:p>
<w:pPr><w:pStyle w:val="Normal"/></w:pPr>
<w:r><w:t xml:space="preserve">that at Bactra in 327 B.C. in a public speech he advised</w:t></w:r>
</w:p>
<w:p>
<w:pPr><w:pStyle w:val="Normal"/></w:pPr>
<w:r><w:t xml:space="preserve">all to worship Alexander as a god even during his lifetime,</w:t></w:r>
</w:p>
<w:p>
<w:pPr><w:pStyle w:val="Normal"/></w:pPr>
<w:r><w:t xml:space="preserve">is with greater probability attributed to the Sicilian</w:t></w:r>
</w:p>
<w:p>
<w:pPr><w:pStyle w:val="Normal"/></w:pPr>
<w:r><w:t xml:space="preserve">Cleon.  It is said that Nicocreon, tyrant of Cyprus, commanded</w:t></w:r>
</w:p>
<w:p>
<w:pPr><w:pStyle w:val="Normal"/></w:pPr>
<w:r><w:t xml:space="preserve">him to be pounded to death in a mortar, and that he endured</w:t></w:r>
</w:p>
<w:p>
<w:pPr><w:pStyle w:val="Normal"/></w:pPr>
<w:r><w:t xml:space="preserve">this torture with fortitude; but the story is doubtful,</w:t></w:r>
</w:p>
<w:p>
<w:pPr><w:pStyle w:val="Normal"/></w:pPr>
<w:r><w:t xml:space="preserve">having no earlier authority than Cicero.  His philosophical</w:t></w:r>
</w:p>
<w:p>
<w:pPr><w:pStyle w:val="Normal"/></w:pPr>
<w:r><w:t xml:space="preserve">doctrines are not known, though some have inferred from the</w:t></w:r>
</w:p>
<w:p>
<w:pPr><w:pStyle w:val="Normal"/></w:pPr>
<w:r><w:t xml:space="preserve">epithet eudaimonikos (``fortunate&apos;&apos;), usually applied</w:t></w:r>
</w:p>
<w:p>
<w:pPr><w:pStyle w:val="Normal"/></w:pPr>
<w:r><w:t xml:space="preserve">to him, that he held the end of life to be eudaimonia.</w:t></w:r>
</w:p>
<w:p>
<w:pPr><w:pStyle w:val="Normal"/></w:pPr>
<w:r><w:t xml:space="preserve">ANAXILAUS, of Larissa, a physician and Pythagorean philosopher,</w:t></w:r>
</w:p>
<w:p>
<w:pPr><w:pStyle w:val="Normal"/></w:pPr>
<w:r><w:t xml:space="preserve">who was banished from Rome by Augustus, B.C. 28, on the charge</w:t></w:r>
</w:p>
<w:p>
<w:pPr><w:pStyle w:val="Normal"/></w:pPr>
<w:r><w:t xml:space="preserve">of practising the magic art.  This accusation appears to have</w:t></w:r>
</w:p>
<w:p>
<w:pPr><w:pStyle w:val="Normal"/></w:pPr>
<w:r><w:t xml:space="preserve">originated in his superior skill in natural philosophy, by</w:t></w:r>
</w:p>
<w:p>
<w:pPr><w:pStyle w:val="Normal"/></w:pPr>
<w:r><w:t xml:space="preserve">which he produced effects that the ignorant attributed to magic.</w:t></w:r>
</w:p>
<w:p>
<w:pPr><w:pStyle w:val="Normal"/></w:pPr>
<w:r><w:t xml:space="preserve">Euseb., Chron. ad Olymp. clxxxviii.; St Iren. i. 13;</w:t></w:r>
</w:p>
<w:p>
<w:pPr><w:pStyle w:val="Normal"/></w:pPr>
<w:r><w:t xml:space="preserve">Pliny xix. 4, xxv. 95, xxviii. 49, xxxii. 52, xxxv. 50.</w:t></w:r>
</w:p>
<w:p>
<w:pPr><w:pStyle w:val="Normal"/></w:pPr>
<w:r><w:t xml:space="preserve">ANAXIMANDER, the second of the physical philosophers of</w:t></w:r>
</w:p>
<w:p>
<w:pPr><w:pStyle w:val="Normal"/></w:pPr>
<w:r><w:t xml:space="preserve">Ionia, was a citizen of Miletus and a companion or pupil of</w:t></w:r>
</w:p>
<w:p>
<w:pPr><w:pStyle w:val="Normal"/></w:pPr>
<w:r><w:t xml:space="preserve">Thales.  Little is known of his life.  Aelian makes him the</w:t></w:r>
</w:p>
<w:p>
<w:pPr><w:pStyle w:val="Normal"/></w:pPr>
<w:r><w:t xml:space="preserve">leader of the Milesian colony to Amphipolis, and hence some</w:t></w:r>
</w:p>
<w:p>
<w:pPr><w:pStyle w:val="Normal"/></w:pPr>
<w:r><w:t xml:space="preserve">have inferred that he was a prominent citizen.  The computations</w:t></w:r>
</w:p>
<w:p>
<w:pPr><w:pStyle w:val="Normal"/></w:pPr>
<w:r><w:t xml:space="preserve">of Apollodorus have fixed his birth in 611, and his death</w:t></w:r>
</w:p>
<w:p>
<w:pPr><w:pStyle w:val="Normal"/></w:pPr>
<w:r><w:t xml:space="preserve">shortly after 547 B.C. Tradition, probably correct in its</w:t></w:r>
</w:p>
<w:p>
<w:pPr><w:pStyle w:val="Normal"/></w:pPr>
<w:r><w:t xml:space="preserve">general estimate, represents him as a successful student of</w:t></w:r>
</w:p>
<w:p>
<w:pPr><w:pStyle w:val="Normal"/></w:pPr>
<w:r><w:t xml:space="preserve">astronomy and geography, and as one of the pioneers of exact</w:t></w:r>
</w:p>
<w:p>
<w:pPr><w:pStyle w:val="Normal"/></w:pPr>
<w:r><w:t xml:space="preserve">science among the Greeks.  He taught, if he did not discover,</w:t></w:r>
</w:p>
<w:p>
<w:pPr><w:pStyle w:val="Normal"/></w:pPr>
<w:r><w:t xml:space="preserve">the obliquity of the ecliptic, is said to have introduced</w:t></w:r>
</w:p>
<w:p>
<w:pPr><w:pStyle w:val="Normal"/></w:pPr>
<w:r><w:t xml:space="preserve">into Greece the gnomon (for determining the solstices) and</w:t></w:r>
</w:p>
<w:p>
<w:pPr><w:pStyle w:val="Normal"/></w:pPr>
<w:r><w:t xml:space="preserve">the sundial, and to have invented some kind of geographical</w:t></w:r>
</w:p>
<w:p>
<w:pPr><w:pStyle w:val="Normal"/></w:pPr>
<w:r><w:t xml:space="preserve">map.  But his reputation is due mainly to his work on nature,</w:t></w:r>
</w:p>
<w:p>
<w:pPr><w:pStyle w:val="Normal"/></w:pPr>
<w:r><w:t xml:space="preserve">few words of which remain.  From these fragments we learn</w:t></w:r>
</w:p>
<w:p>
<w:pPr><w:pStyle w:val="Normal"/></w:pPr>
<w:r><w:t xml:space="preserve">that the beginning or first principle (arche, a word</w:t></w:r>
</w:p>
<w:p>
<w:pPr><w:pStyle w:val="Normal"/></w:pPr>
<w:r><w:t xml:space="preserve">which, it is said, he was the first to use) was an endless,</w:t></w:r>
</w:p>
<w:p>
<w:pPr><w:pStyle w:val="Normal"/></w:pPr>
<w:r><w:t xml:space="preserve">unlimited mass (apeiron), subject to neither old age nor</w:t></w:r>
</w:p>
<w:p>
<w:pPr><w:pStyle w:val="Normal"/></w:pPr>
<w:r><w:t xml:space="preserve">decay, and perpetually yielding fresh materials for the</w:t></w:r>
</w:p>
<w:p>
<w:pPr><w:pStyle w:val="Normal"/></w:pPr>
<w:r><w:t xml:space="preserve">series of beings which issued from it.  He never defined</w:t></w:r>
</w:p>
<w:p>
<w:pPr><w:pStyle w:val="Normal"/></w:pPr>
<w:r><w:t xml:space="preserve">this principle precisely, and it has generally (e.g. by</w:t></w:r>
</w:p>
<w:p>
<w:pPr><w:pStyle w:val="Normal"/></w:pPr>
<w:r><w:t xml:space="preserve">Aristotle and Augustine) been understood as a sort of primal</w:t></w:r>
</w:p>
<w:p>
<w:pPr><w:pStyle w:val="Normal"/></w:pPr>
<w:r><w:t xml:space="preserve">chaos.  It embraced everything, and directed the movement</w:t></w:r>
</w:p>
<w:p>
<w:pPr><w:pStyle w:val="Normal"/></w:pPr>
<w:r><w:t xml:space="preserve">of things, by which there grew up a host of shapes and</w:t></w:r>
</w:p>
<w:p>
<w:pPr><w:pStyle w:val="Normal"/></w:pPr>
<w:r><w:t xml:space="preserve">differences.  Out of the vague and limitless body there</w:t></w:r>
</w:p>
<w:p>
<w:pPr><w:pStyle w:val="Normal"/></w:pPr>
<w:r><w:t xml:space="preserve">sprung a central mass,--this earth of ours, cylindrical in</w:t></w:r>
</w:p>
<w:p>
<w:pPr><w:pStyle w:val="Normal"/></w:pPr>
<w:r><w:t xml:space="preserve">shape, poised equidistant from surrounding orbs of fire,</w:t></w:r>
</w:p>
<w:p>
<w:pPr><w:pStyle w:val="Normal"/></w:pPr>
<w:r><w:t xml:space="preserve">which had originally clung to it like the bark round a</w:t></w:r>
</w:p>
<w:p>
<w:pPr><w:pStyle w:val="Normal"/></w:pPr>
<w:r><w:t xml:space="preserve">tree, until their continuity was severed, and they parted</w:t></w:r>
</w:p>
<w:p>
<w:pPr><w:pStyle w:val="Normal"/></w:pPr>
<w:r><w:t xml:space="preserve">into several wheel-shaped and fire-filled bubbles of</w:t></w:r>
</w:p>
<w:p>
<w:pPr><w:pStyle w:val="Normal"/></w:pPr>
<w:r><w:t xml:space="preserve">air.  Man himself and the animals had come into being by like</w:t></w:r>
</w:p>
<w:p>
<w:pPr><w:pStyle w:val="Normal"/></w:pPr>
<w:r><w:t xml:space="preserve">transmutations.  Mankind was supposed by Anaximander to</w:t></w:r>
</w:p>
<w:p>
<w:pPr><w:pStyle w:val="Normal"/></w:pPr>
<w:r><w:t xml:space="preserve">have sprung from some other species of animals, probably</w:t></w:r>
</w:p>
<w:p>
<w:pPr><w:pStyle w:val="Normal"/></w:pPr>
<w:r><w:t xml:space="preserve">aquatic.  But as the measureless and endless had been the</w:t></w:r>
</w:p>
<w:p>
<w:pPr><w:pStyle w:val="Normal"/></w:pPr>
<w:r><w:t xml:space="preserve">prime cause of the motion into separate existences and</w:t></w:r>
</w:p>
<w:p>
<w:pPr><w:pStyle w:val="Normal"/></w:pPr>
<w:r><w:t xml:space="preserve">individual forms, so also, according to the just award of</w:t></w:r>
</w:p>
<w:p>
<w:pPr><w:pStyle w:val="Normal"/></w:pPr>
<w:r><w:t xml:space="preserve">destiny, these forms would at an appointed season suffer the</w:t></w:r>
</w:p>
<w:p>
<w:pPr><w:pStyle w:val="Normal"/></w:pPr>
<w:r><w:t xml:space="preserve">vengeance due to their earlier act of separation, and return</w:t></w:r>
</w:p>
<w:p>
<w:pPr><w:pStyle w:val="Normal"/></w:pPr>
<w:r><w:t xml:space="preserve">into the vague immensity whence they had issued.  Thus the</w:t></w:r>
</w:p>
<w:p>
<w:pPr><w:pStyle w:val="Normal"/></w:pPr>
<w:r><w:t xml:space="preserve">world, and all definite existences contained in it, would lose</w:t></w:r>
</w:p>
<w:p>
<w:pPr><w:pStyle w:val="Normal"/></w:pPr>
<w:r><w:t xml:space="preserve">their independence and disappear in the ``indeterminate.&apos;&apos;</w:t></w:r>
</w:p>
<w:p>
<w:pPr><w:pStyle w:val="Normal"/></w:pPr>
<w:r><w:t xml:space="preserve">The blazing orbs, which have drawn off from the cold earth and</w:t></w:r>
</w:p>
<w:p>
<w:pPr><w:pStyle w:val="Normal"/></w:pPr>
<w:r><w:t xml:space="preserve">water, are the temporary gods of the world, clustering round the</w:t></w:r>
</w:p>
<w:p>
<w:pPr><w:pStyle w:val="Normal"/></w:pPr>
<w:r><w:t xml:space="preserve">earth, which, to the ancient thinker, is the central figure.</w:t></w:r>
</w:p>
<w:p>
<w:pPr><w:pStyle w:val="Normal"/></w:pPr>
<w:r><w:t xml:space="preserve">See Histories of the Ionian School by Ritten, Mallet;</w:t></w:r>
</w:p>
<w:p>
<w:pPr><w:pStyle w:val="Normal"/></w:pPr>
<w:r><w:t xml:space="preserve">Schleiercher, ``Dissert. sur la philosophie d&apos;Anaximandre,&apos;&apos;</w:t></w:r>
</w:p>
<w:p>
<w:pPr><w:pStyle w:val="Normal"/></w:pPr>
<w:r><w:t xml:space="preserve">in the M.emoires de l&apos;acad. des sciences de Berlin (1815);</w:t></w:r>
</w:p>
<w:p>
<w:pPr><w:pStyle w:val="Normal"/></w:pPr>
<w:r><w:t xml:space="preserve">J. Burnet, Early Greek Philosophy (Lond. 1892);.  A. W.</w:t></w:r>
</w:p>
<w:p>
<w:pPr><w:pStyle w:val="Normal"/></w:pPr>
<w:r><w:t xml:space="preserve">Benn, Greek Philosophers (Lond. 1883 foll.); A. Fairbanks,</w:t></w:r>
</w:p>
<w:p>
<w:pPr><w:pStyle w:val="Normal"/></w:pPr>
<w:r><w:t xml:space="preserve">First Philosophers of Greece (Lond. 1898); Ritter and</w:t></w:r>
</w:p>
<w:p>
<w:pPr><w:pStyle w:val="Normal"/></w:pPr>
<w:r><w:t xml:space="preserve">Preller, Historia Phil. sec. sec.  17-22; Mullach, Fragmenta</w:t></w:r>
</w:p>
<w:p>
<w:pPr><w:pStyle w:val="Normal"/></w:pPr>
<w:r><w:t xml:space="preserve">Phil.  Graec. i. 237-240, and IONIAN SCHOOL OF PHILOSOPHY.</w:t></w:r>
</w:p>
<w:p>
<w:pPr><w:pStyle w:val="Normal"/></w:pPr>
<w:r><w:t xml:space="preserve">ANAXIMENES, of Lampsacus (fl. 380-320 B.C.), Greek</w:t></w:r>
</w:p>
<w:p>
<w:pPr><w:pStyle w:val="Normal"/></w:pPr>
<w:r><w:t xml:space="preserve">rhetorician and historian, was a favourite of Alexander the</w:t></w:r>
</w:p>
<w:p>
<w:pPr><w:pStyle w:val="Normal"/></w:pPr>
<w:r><w:t xml:space="preserve">Great, whom he accompanied in his Persian campaigns.  He</w:t></w:r>
</w:p>
<w:p>
<w:pPr><w:pStyle w:val="Normal"/></w:pPr>
<w:r><w:t xml:space="preserve">wrote histories of Greece and of Philip, and an epic on</w:t></w:r>
</w:p>
<w:p>
<w:pPr><w:pStyle w:val="Normal"/></w:pPr>
<w:r><w:t xml:space="preserve">Alexander (fragments in Muller, Scriptores Rerum Alexandri</w:t></w:r>
</w:p>
<w:p>
<w:pPr><w:pStyle w:val="Normal"/></w:pPr>
<w:r><w:t xml:space="preserve">Magni.) As a rhetorician, he was a determined opponent of</w:t></w:r>
</w:p>
<w:p>
<w:pPr><w:pStyle w:val="Normal"/></w:pPr>
<w:r><w:t xml:space="preserve">Isocrates and his school.  The Rhetorica ad Alexandrum,</w:t></w:r>
</w:p>
<w:p>
<w:pPr><w:pStyle w:val="Normal"/></w:pPr>
<w:r><w:t xml:space="preserve">usually included among the works of Aristotle, is now</w:t></w:r>
</w:p>
<w:p>
<w:pPr><w:pStyle w:val="Normal"/></w:pPr>
<w:r><w:t xml:space="preserve">generally admitted to be by Anaximenes, although some consider</w:t></w:r>
</w:p>
<w:p>
<w:pPr><w:pStyle w:val="Normal"/></w:pPr>
<w:r><w:t xml:space="preserve">it a much later production (edition by Spengel, 1847).</w:t></w:r>
</w:p>
<w:p>
<w:pPr><w:pStyle w:val="Normal"/></w:pPr>
<w:r><w:t xml:space="preserve">See P. Wendland, Anax. von Lampsakos (1905); also RHETORIC.</w:t></w:r>
</w:p>
<w:p>
<w:pPr><w:pStyle w:val="Normal"/></w:pPr>
<w:r><w:t xml:space="preserve">ANAXIMENES, of Miletus, Greek philosopher in the latter</w:t></w:r>
</w:p>
<w:p>
<w:pPr><w:pStyle w:val="Normal"/></w:pPr>
<w:r><w:t xml:space="preserve">half of the 6th century, was probably a younger contemporary</w:t></w:r>
</w:p>
<w:p>
<w:pPr><w:pStyle w:val="Normal"/></w:pPr>
<w:r><w:t xml:space="preserve">of Anaximander, whose pupil or friend he is said to have</w:t></w:r>
</w:p>
<w:p>
<w:pPr><w:pStyle w:val="Normal"/></w:pPr>
<w:r><w:t xml:space="preserve">been.  He held that the air, with its variety of contents, its</w:t></w:r>
</w:p>
<w:p>
<w:pPr><w:pStyle w:val="Normal"/></w:pPr>
<w:r><w:t xml:space="preserve">universal presence, its vague associations in popular fancy</w:t></w:r>
</w:p>
<w:p>
<w:pPr><w:pStyle w:val="Normal"/></w:pPr>
<w:r><w:t xml:space="preserve">with the phenomena of life and growth, is the source of all that</w:t></w:r>
</w:p>
<w:p>
<w:pPr><w:pStyle w:val="Normal"/></w:pPr>
<w:r><w:t xml:space="preserve">exists.  Everything is air at different degrees of density, and</w:t></w:r>
</w:p>
<w:p>
<w:pPr><w:pStyle w:val="Normal"/></w:pPr>
<w:r><w:t xml:space="preserve">under the influence of heat, which expands, and of cold, which</w:t></w:r>
</w:p>
<w:p>
<w:pPr><w:pStyle w:val="Normal"/></w:pPr>
<w:r><w:t xml:space="preserve">contracts its volume, it gives rise to the several phases of</w:t></w:r>
</w:p>
<w:p>
<w:pPr><w:pStyle w:val="Normal"/></w:pPr>
<w:r><w:t xml:space="preserve">existence.  The process is gradual, and takes place in two</w:t></w:r>
</w:p>
<w:p>
<w:pPr><w:pStyle w:val="Normal"/></w:pPr>
<w:r><w:t xml:space="preserve">directions, as heat or cold predominates.  In this way was</w:t></w:r>
</w:p>
<w:p>
<w:pPr><w:pStyle w:val="Normal"/></w:pPr>
<w:r><w:t xml:space="preserve">formed a broad disk of earth, floating on the circumambient air.</w:t></w:r>
</w:p>
<w:p>
<w:pPr><w:pStyle w:val="Normal"/></w:pPr>
<w:r><w:t xml:space="preserve">Similar condensations produced the sun and stars; and the flaming</w:t></w:r>
</w:p>
<w:p>
<w:pPr><w:pStyle w:val="Normal"/></w:pPr>
<w:r><w:t xml:space="preserve">state of these bodies is due to the velocity of their motions.</w:t></w:r>
</w:p>
<w:p>
<w:pPr><w:pStyle w:val="Normal"/></w:pPr>
<w:r><w:t xml:space="preserve">See Schmidt, Dissertatio de Anaximensis psychologia (Jena, 1869);</w:t></w:r>
</w:p>
<w:p>
<w:pPr><w:pStyle w:val="Normal"/></w:pPr>
<w:r><w:t xml:space="preserve">Ritter and Preller, Historia Phil. sec. sec.  23-27; A. Fairbanks,</w:t></w:r>
</w:p>
<w:p>
<w:pPr><w:pStyle w:val="Normal"/></w:pPr>
<w:r><w:t xml:space="preserve">First Philosophers of Greece (1898); Mullach, Fragmenta Phil.</w:t></w:r>
</w:p>
<w:p>
<w:pPr><w:pStyle w:val="Normal"/></w:pPr>
<w:r><w:t xml:space="preserve">Graec. i. 241-243; also IONIAN SCHOOL OF PHILOSOPHY; EVOLUTION.</w:t></w:r>
</w:p>
<w:p>
<w:pPr><w:pStyle w:val="Normal"/></w:pPr>
<w:r><w:t xml:space="preserve">ANAZARBUS (med. Ain Zarba; mod. Navarza.) an ancient</w:t></w:r>
</w:p>
<w:p>
<w:pPr><w:pStyle w:val="Normal"/></w:pPr>
<w:r><w:t xml:space="preserve">Cilician city, situated in the Aleian plain about 10</w:t></w:r>
</w:p>
<w:p>
<w:pPr><w:pStyle w:val="Normal"/></w:pPr>
<w:r><w:t xml:space="preserve">m.  W. of the main stream of the Pyramus (Jihun) and near its</w:t></w:r>
</w:p>
<w:p>
<w:pPr><w:pStyle w:val="Normal"/></w:pPr>
<w:r><w:t xml:space="preserve">tributary the Sempas Su. A lofty isolated ridge formed its</w:t></w:r>
</w:p>
<w:p>
<w:pPr><w:pStyle w:val="Normal"/></w:pPr>
<w:r><w:t xml:space="preserve">acropolis.  Though some of the masonry in the ruins is</w:t></w:r>
</w:p>
<w:p>
<w:pPr><w:pStyle w:val="Normal"/></w:pPr>
<w:r><w:t xml:space="preserve">certainly pre-Roman, Suidas&apos;s identification of it with</w:t></w:r>
</w:p>
<w:p>
<w:pPr><w:pStyle w:val="Normal"/></w:pPr>
<w:r><w:t xml:space="preserve">Cyinda, famous as a treasure city in the wars of Eumenes of</w:t></w:r>
</w:p>
<w:p>
<w:pPr><w:pStyle w:val="Normal"/></w:pPr>
<w:r><w:t xml:space="preserve">Cardia, cannot be accepted in the face of Strabo&apos;s express</w:t></w:r>
</w:p>
<w:p>
<w:pPr><w:pStyle w:val="Normal"/></w:pPr>
<w:r><w:t xml:space="preserve">location of Cyinda in western Cilicia.  Under the early</w:t></w:r>
</w:p>
<w:p>
<w:pPr><w:pStyle w:val="Normal"/></w:pPr>
<w:r><w:t xml:space="preserve">Roman empire the place was known as Caesarea, and was</w:t></w:r>
</w:p>
<w:p>
<w:pPr><w:pStyle w:val="Normal"/></w:pPr>
<w:r><w:t xml:space="preserve">the metropolis of Cilicia Secunda.  Rebuilt by the emperor</w:t></w:r>
</w:p>
<w:p>
<w:pPr><w:pStyle w:val="Normal"/></w:pPr>
<w:r><w:t xml:space="preserve">Justin after an earthquake, it became Justinopolis (A.D.</w:t></w:r>
</w:p>
<w:p>
<w:pPr><w:pStyle w:val="Normal"/></w:pPr>
<w:r><w:t xml:space="preserve">525); but the old native name persisted, and when Thoros</w:t></w:r>
</w:p>
<w:p>
<w:pPr><w:pStyle w:val="Normal"/></w:pPr>
<w:r><w:t xml:space="preserve">I., king of Lesser Armenia, made it his capital early in the</w:t></w:r>
</w:p>
<w:p>
<w:pPr><w:pStyle w:val="Normal"/></w:pPr>
<w:r><w:t xml:space="preserve">12th century, it was known as Anazarva.  Its great natural</w:t></w:r>
</w:p>
<w:p>
<w:pPr><w:pStyle w:val="Normal"/></w:pPr>
<w:r><w:t xml:space="preserve">strength and situation, not far from the mouth of the Sis</w:t></w:r>
</w:p>
<w:p>
<w:pPr><w:pStyle w:val="Normal"/></w:pPr>
<w:r><w:t xml:space="preserve">pass, and near the great road which debouched from the</w:t></w:r>
</w:p>
<w:p>
<w:pPr><w:pStyle w:val="Normal"/></w:pPr>
<w:r><w:t xml:space="preserve">Cilician gates, made Anazarbus play a considerable part in the</w:t></w:r>
</w:p>
<w:p>
<w:pPr><w:pStyle w:val="Normal"/></w:pPr>
<w:r><w:t xml:space="preserve">struggles between the Byzantine empire and the early Moslem</w:t></w:r>
</w:p>
<w:p>
<w:pPr><w:pStyle w:val="Normal"/></w:pPr>
<w:r><w:t xml:space="preserve">invaders.  It had been rebuilt by Harun al-Rashid in 796</w:t></w:r>
</w:p>
<w:p>
<w:pPr><w:pStyle w:val="Normal"/></w:pPr>
<w:r><w:t xml:space="preserve">A.D., refortified at great expense by Saif addaula, the</w:t></w:r>
</w:p>
<w:p>
<w:pPr><w:pStyle w:val="Normal"/></w:pPr>
<w:r><w:t xml:space="preserve">Hamdanid (10th century) and Saiked, and ruined by the crusaders.</w:t></w:r>
</w:p>
<w:p>
<w:pPr><w:pStyle w:val="Normal"/></w:pPr>
<w:r><w:t xml:space="preserve">The present wall of the lower city is of late construction, probably</w:t></w:r>
</w:p>
<w:p>
<w:pPr><w:pStyle w:val="Normal"/></w:pPr>
<w:r><w:t xml:space="preserve">Armenian.  It encloses a mass of ruins conspicuous in which</w:t></w:r>
</w:p>
<w:p>
<w:pPr><w:pStyle w:val="Normal"/></w:pPr>
<w:r><w:t xml:space="preserve">are a fine triumphal arch, the colonnades of two streets, a</w:t></w:r>
</w:p>
<w:p>
<w:pPr><w:pStyle w:val="Normal"/></w:pPr>
<w:r><w:t xml:space="preserve">gymnasium, &amp;c. A stadium and a theatre lie outside on the south.</w:t></w:r>
</w:p>
<w:p>
<w:pPr><w:pStyle w:val="Normal"/></w:pPr>
<w:r><w:t xml:space="preserve">The remains of the acropolis fortifications are very interesting,</w:t></w:r>
</w:p>
<w:p>
<w:pPr><w:pStyle w:val="Normal"/></w:pPr>
<w:r><w:t xml:space="preserve">including roads and ditches hewn in the rock; but beyond ruins</w:t></w:r>
</w:p>
<w:p>
<w:pPr><w:pStyle w:val="Normal"/></w:pPr>
<w:r><w:t xml:space="preserve">of two churches and a fine tower built by Thoros I. there are</w:t></w:r>
</w:p>
<w:p>
<w:pPr><w:pStyle w:val="Normal"/></w:pPr>
<w:r><w:t xml:space="preserve">no notable structures in the upper town.  For picturesqueness</w:t></w:r>
</w:p>
<w:p>
<w:pPr><w:pStyle w:val="Normal"/></w:pPr>
<w:r><w:t xml:space="preserve">the site is not equalled in Cilicia, and it is worth while to</w:t></w:r>
</w:p>
<w:p>
<w:pPr><w:pStyle w:val="Normal"/></w:pPr>
<w:r><w:t xml:space="preserve">trace the three fine aqueducts to their sources. (D. G. H.)</w:t></w:r>
</w:p>
<w:p>
<w:pPr><w:pStyle w:val="Normal"/></w:pPr>
<w:r><w:t xml:space="preserve">ANBAR, originally called FIRUZ SHAPUR, or PERISAPORA, a</w:t></w:r>
</w:p>
<w:p>
<w:pPr><w:pStyle w:val="Normal"/></w:pPr>
<w:r><w:t xml:space="preserve">town founded about A.D. 350 by Shapur (Sapor) II. Sassanid,</w:t></w:r>
</w:p>
<w:p>
<w:pPr><w:pStyle w:val="Normal"/></w:pPr>
<w:r><w:t xml:space="preserve">king of Persia, on the east bank of the Euphrates, just</w:t></w:r>
</w:p>
<w:p>
<w:pPr><w:pStyle w:val="Normal"/></w:pPr>
<w:r><w:t xml:space="preserve">south of the Nahr Isa, or Sakhlawieh canal, the northernmost</w:t></w:r>
</w:p>
<w:p>
<w:pPr><w:pStyle w:val="Normal"/></w:pPr>
<w:r><w:t xml:space="preserve">of the canals connecting that river with the Tigris, in</w:t></w:r>
</w:p>
<w:p>
<w:pPr><w:pStyle w:val="Normal"/></w:pPr>
<w:r><w:t xml:space="preserve">lat. 33 deg.  22&apos; N., long. 43 deg.  49&apos; E. It was captured and</w:t></w:r>
</w:p>
<w:p>
<w:pPr><w:pStyle w:val="Normal"/></w:pPr>
<w:r><w:t xml:space="preserve">destroyed by the emperor Julian in A.D. 363, but speedily</w:t></w:r>
</w:p>
<w:p>
<w:pPr><w:pStyle w:val="Normal"/></w:pPr>
<w:r><w:t xml:space="preserve">rebuilt.  It became a refuge for the Christian and Jewish</w:t></w:r>
</w:p>
<w:p>
<w:pPr><w:pStyle w:val="Normal"/></w:pPr>
<w:r><w:t xml:space="preserve">colonies of that region, and there are said to have been</w:t></w:r>
</w:p>
<w:p>
<w:pPr><w:pStyle w:val="Normal"/></w:pPr>
<w:r><w:t xml:space="preserve">90,000 Jews in the place at the time of its capture by Ali</w:t></w:r>
</w:p>
<w:p>
<w:pPr><w:pStyle w:val="Normal"/></w:pPr>
<w:r><w:t xml:space="preserve">in 657. The Arabs changed the name of the town to Anbar</w:t></w:r>
</w:p>
<w:p>
<w:pPr><w:pStyle w:val="Normal"/></w:pPr>
<w:r><w:t xml:space="preserve">(``granaries&apos;&apos;).  Abu,l-&apos;Abbas as-Saffah, the founder</w:t></w:r>
</w:p>
<w:p>
<w:pPr><w:pStyle w:val="Normal"/></w:pPr>
<w:r><w:t xml:space="preserve">of the Abbasid caliphate, made it his capital, and such it</w:t></w:r>
</w:p>
<w:p>
<w:pPr><w:pStyle w:val="Normal"/></w:pPr>
<w:r><w:t xml:space="preserve">remained until the founding of Bagdad in 762. It continued</w:t></w:r>
</w:p>
<w:p>
<w:pPr><w:pStyle w:val="Normal"/></w:pPr>
<w:r><w:t xml:space="preserve">to be a place of much importance throughout the Abbasid</w:t></w:r>
</w:p>
<w:p>
<w:pPr><w:pStyle w:val="Normal"/></w:pPr>
<w:r><w:t xml:space="preserve">period.  It is now entirely deserted.  The site is occupied</w:t></w:r>
</w:p>
<w:p>
<w:pPr><w:pStyle w:val="Normal"/></w:pPr>
<w:r><w:t xml:space="preserve">only by ruin mounds, as yet unexplored.  Their great extent</w:t></w:r>
</w:p>
<w:p>
<w:pPr><w:pStyle w:val="Normal"/></w:pPr>
<w:r><w:t xml:space="preserve">indicates the former importance of the city. (J. P. PE.)</w:t></w:r>
</w:p>
<w:p>
<w:pPr><w:pStyle w:val="Normal"/></w:pPr>
<w:r><w:t xml:space="preserve">ANCACHS, a coast province of central Peru, lying between</w:t></w:r>
</w:p>
<w:p>
<w:pPr><w:pStyle w:val="Normal"/></w:pPr>
<w:r><w:t xml:space="preserve">the departments of Lima and Libertad, and W. of the Maranon</w:t></w:r>
</w:p>
<w:p>
<w:pPr><w:pStyle w:val="Normal"/></w:pPr>
<w:r><w:t xml:space="preserve">river.  Area, 16,562 sq. m.; pop. (1896) 428,703.  The department</w:t></w:r>
</w:p>
<w:p>
<w:pPr><w:pStyle w:val="Normal"/></w:pPr>
<w:r><w:t xml:space="preserve">was created in 1835, and received its present name in 1839,</w:t></w:r>
</w:p>
<w:p>
<w:pPr><w:pStyle w:val="Normal"/></w:pPr>
<w:r><w:t xml:space="preserve">and its last accession of territory in 1861.  Lying partly on</w:t></w:r>
</w:p>
<w:p>
<w:pPr><w:pStyle w:val="Normal"/></w:pPr>
<w:r><w:t xml:space="preserve">the arid coast, partly in the high Cordilleras and partly in</w:t></w:r>
</w:p>
<w:p>
<w:pPr><w:pStyle w:val="Normal"/></w:pPr>
<w:r><w:t xml:space="preserve">the valley of the Maranon, it has every variety of climate and</w:t></w:r>
</w:p>
<w:p>
<w:pPr><w:pStyle w:val="Normal"/></w:pPr>
<w:r><w:t xml:space="preserve">productions.  Rice, cotton, sugar-cane, yucas (Manihot aipi)</w:t></w:r>
</w:p>
<w:p>
<w:pPr><w:pStyle w:val="Normal"/></w:pPr>
<w:r><w:t xml:space="preserve">and tropical fruits are produced in the irrigated valleys of</w:t></w:r>
</w:p>
<w:p>
<w:pPr><w:pStyle w:val="Normal"/></w:pPr>
<w:r><w:t xml:space="preserve">the coast, and wheat, Indian corn, barley, potatoes, coffee,</w:t></w:r>
</w:p>
<w:p>
<w:pPr><w:pStyle w:val="Normal"/></w:pPr>
<w:r><w:t xml:space="preserve">coca, &amp;c., in the upland regions.  Cattle and sheep are also</w:t></w:r>
</w:p>
<w:p>
<w:pPr><w:pStyle w:val="Normal"/></w:pPr>
<w:r><w:t xml:space="preserve">raised for the coast markets.  Mining is likewise an important</w:t></w:r>
</w:p>
<w:p>
<w:pPr><w:pStyle w:val="Normal"/></w:pPr>
<w:r><w:t xml:space="preserve">industry.  The capital, Huaraz (est. pop. 8000 in 1896),</w:t></w:r>
</w:p>
<w:p>
<w:pPr><w:pStyle w:val="Normal"/></w:pPr>
<w:r><w:t xml:space="preserve">on the Rio Santa or Huaraz, is a large mining centre in the</w:t></w:r>
</w:p>
<w:p>
<w:pPr><w:pStyle w:val="Normal"/></w:pPr>
<w:r><w:t xml:space="preserve">sierras, 9931 ft. above sea-level, from which a railway</w:t></w:r>
</w:p>
<w:p>
<w:pPr><w:pStyle w:val="Normal"/></w:pPr>
<w:r><w:t xml:space="preserve">runs to the small seaports of Santa and Chimbote, 172 m.</w:t></w:r>
</w:p>
<w:p>
<w:pPr><w:pStyle w:val="Normal"/></w:pPr>
<w:r><w:t xml:space="preserve">distant.  Other noteworthy towns are Caraz (6000) and Carhuaz</w:t></w:r>
</w:p>
<w:p>
<w:pPr><w:pStyle w:val="Normal"/></w:pPr>
<w:r><w:t xml:space="preserve">(5000) in the sierra region, and Huarmey (1500) on the coast.</w:t></w:r>
</w:p>
<w:p>
<w:pPr><w:pStyle w:val="Normal"/></w:pPr>
<w:r><w:t xml:space="preserve">ANCAEUS, in Greek legend, son of Zeus or Poseidon, king of</w:t></w:r>
</w:p>
<w:p>
<w:pPr><w:pStyle w:val="Normal"/></w:pPr>
<w:r><w:t xml:space="preserve">the Leleges of Samos.  In the Argonautic expedition, after</w:t></w:r>
</w:p>
<w:p>
<w:pPr><w:pStyle w:val="Normal"/></w:pPr>
<w:r><w:t xml:space="preserve">the death of Tiphys, helmsman of the ``Argo,&apos;&apos; he took his</w:t></w:r>
</w:p>
<w:p>
<w:pPr><w:pStyle w:val="Normal"/></w:pPr>
<w:r><w:t xml:space="preserve">place.  It is said that, while planting a vineyard, he was</w:t></w:r>
</w:p>
<w:p>
<w:pPr><w:pStyle w:val="Normal"/></w:pPr>
<w:r><w:t xml:space="preserve">told by a soothsayer that he would never drink of its wine.</w:t></w:r>
</w:p>
<w:p>
<w:pPr><w:pStyle w:val="Normal"/></w:pPr>
<w:r><w:t xml:space="preserve">As soon as the grapes were ripe, he squeezed the juice into a</w:t></w:r>
</w:p>
<w:p>
<w:pPr><w:pStyle w:val="Normal"/></w:pPr>
<w:r><w:t xml:space="preserve">cup, and, raising it to his lips, mocked the seer, who retorted</w:t></w:r>
</w:p>
<w:p>
<w:pPr><w:pStyle w:val="Normal"/></w:pPr>
<w:r><w:t xml:space="preserve">with the words, Polla metaxu pelei kulikos kai cheileos</w:t></w:r>
</w:p>
<w:p>
<w:pPr><w:pStyle w:val="Normal"/></w:pPr>
<w:r><w:t xml:space="preserve">akrou (``there is many a slip between the cup and the</w:t></w:r>
</w:p>
<w:p>
<w:pPr><w:pStyle w:val="Normal"/></w:pPr>
<w:r><w:t xml:space="preserve">lip&apos;&apos;).  At that moment it was announced that a wild boar</w:t></w:r>
</w:p>
<w:p>
<w:pPr><w:pStyle w:val="Normal"/></w:pPr>
<w:r><w:t xml:space="preserve">was ravaging the land.  Ancaeus set down the cup, leaving</w:t></w:r>
</w:p>
<w:p>
<w:pPr><w:pStyle w:val="Normal"/></w:pPr>
<w:r><w:t xml:space="preserve">the wine untasted, hurried out, and was killed by the boar.</w:t></w:r>
</w:p>
<w:p>
<w:pPr><w:pStyle w:val="Normal"/></w:pPr>
<w:r><w:t xml:space="preserve">Apollonius Rhodius, i. 188 (and Scholiast), ii. 867-900.</w:t></w:r>
</w:p>
<w:p>
<w:pPr><w:pStyle w:val="Normal"/></w:pPr>
<w:r><w:t xml:space="preserve">ANCASTER AND KESTEVEN, DUKE OF, an English title borne by</w:t></w:r>
</w:p>
<w:p>
<w:pPr><w:pStyle w:val="Normal"/></w:pPr>
<w:r><w:t xml:space="preserve">the well-known Lincolnshire family of Bertie from 1715 to 1809.</w:t></w:r>
</w:p>
<w:p>
<w:pPr><w:pStyle w:val="Normal"/></w:pPr>
<w:r><w:t xml:space="preserve">ROBERT BERTIE (1660-1723), son and heir of Robert, third</w:t></w:r>
</w:p>
<w:p>
<w:pPr><w:pStyle w:val="Normal"/></w:pPr>
<w:r><w:t xml:space="preserve">earl of Lindsey (d. 1701), who succeeded his father as lord</w:t></w:r>
</w:p>
<w:p>
<w:pPr><w:pStyle w:val="Normal"/></w:pPr>
<w:r><w:t xml:space="preserve">great chamberlain of England, was created marquess of Lindsey</w:t></w:r>
</w:p>
<w:p>
<w:pPr><w:pStyle w:val="Normal"/></w:pPr>
<w:r><w:t xml:space="preserve">in 1706, being made duke of Ancaster and Kesteven in July</w:t></w:r>
</w:p>
<w:p>
<w:pPr><w:pStyle w:val="Normal"/></w:pPr>
<w:r><w:t xml:space="preserve">1715.  His eldest surviving son, PEREGRINE (1686-1742),</w:t></w:r>
</w:p>
<w:p>
<w:pPr><w:pStyle w:val="Normal"/></w:pPr>
<w:r><w:t xml:space="preserve">who had been a member of parliament for Lincolnshire from</w:t></w:r>
</w:p>
<w:p>
<w:pPr><w:pStyle w:val="Normal"/></w:pPr>
<w:r><w:t xml:space="preserve">1708 to 1714, succeeded to the dukedom and also to the</w:t></w:r>
</w:p>
<w:p>
<w:pPr><w:pStyle w:val="Normal"/></w:pPr>
<w:r><w:t xml:space="preserve">lord-lieutenancy of Lincolnshire, which had been held by his</w:t></w:r>
</w:p>
<w:p>
<w:pPr><w:pStyle w:val="Normal"/></w:pPr>
<w:r><w:t xml:space="preserve">father.  His son and successor, PEREGRINE (1714-1778),</w:t></w:r>
</w:p>
<w:p>
<w:pPr><w:pStyle w:val="Normal"/></w:pPr>
<w:r><w:t xml:space="preserve">who was also lord great chamberlain and lord-lieutenant of</w:t></w:r>
</w:p>
<w:p>
<w:pPr><w:pStyle w:val="Normal"/></w:pPr>
<w:r><w:t xml:space="preserve">Lincolnshire, attained the rank of general in the British</w:t></w:r>
</w:p>
<w:p>
<w:pPr><w:pStyle w:val="Normal"/></w:pPr>
<w:r><w:t xml:space="preserve">army.  The fourth duke was ROBERT (1756-1779), son of the</w:t></w:r>
</w:p>
<w:p>
<w:pPr><w:pStyle w:val="Normal"/></w:pPr>
<w:r><w:t xml:space="preserve">third duke, who died in July 1779, when his barony of Willoughby</w:t></w:r>
</w:p>
<w:p>
<w:pPr><w:pStyle w:val="Normal"/></w:pPr>
<w:r><w:t xml:space="preserve">de Eresby and the hereditary office of lord great chamberlain</w:t></w:r>
</w:p>
<w:p>
<w:pPr><w:pStyle w:val="Normal"/></w:pPr>
<w:r><w:t xml:space="preserve">fell into abeyance until 1780.  The dukedom, however, and</w:t></w:r>
</w:p>
<w:p>
<w:pPr><w:pStyle w:val="Normal"/></w:pPr>
<w:r><w:t xml:space="preserve">other honours came to his uncle BROWNLOW (1729-1809), on</w:t></w:r>
</w:p>
<w:p>
<w:pPr><w:pStyle w:val="Normal"/></w:pPr>
<w:r><w:t xml:space="preserve">whose death in February 1809 the dukedom of Ancaster and</w:t></w:r>
</w:p>
<w:p>
<w:pPr><w:pStyle w:val="Normal"/></w:pPr>
<w:r><w:t xml:space="preserve">Kesteven became extinct; but the earldom of Lindsey descended</w:t></w:r>
</w:p>
<w:p>
<w:pPr><w:pStyle w:val="Normal"/></w:pPr>
<w:r><w:t xml:space="preserve">to a distant kinsman, Albemarle Bertie (1744-1818).  After a</w:t></w:r>
</w:p>
<w:p>
<w:pPr><w:pStyle w:val="Normal"/></w:pPr>
<w:r><w:t xml:space="preserve">second period of abeyance the barony of Willoughby de Eresby</w:t></w:r>
</w:p>
<w:p>
<w:pPr><w:pStyle w:val="Normal"/></w:pPr>
<w:r><w:t xml:space="preserve">was revived in 1871 in favour of Clementina Elizabeth (d.</w:t></w:r>
</w:p>
<w:p>
<w:pPr><w:pStyle w:val="Normal"/></w:pPr>
<w:r><w:t xml:space="preserve">1888), a descendant of the Berties, who was the widow of Gilbert</w:t></w:r>
</w:p>
<w:p>
<w:pPr><w:pStyle w:val="Normal"/></w:pPr>
<w:r><w:t xml:space="preserve">John Heathcote, 1st Baron Aveland (d. 1867).  Her son and</w:t></w:r>
</w:p>
<w:p>
<w:pPr><w:pStyle w:val="Normal"/></w:pPr>
<w:r><w:t xml:space="preserve">successor, GILBERT HENRY HEATHCOTE-DRUMMOND-WILLOUGHBY (b.</w:t></w:r>
</w:p>
<w:p>
<w:pPr><w:pStyle w:val="Normal"/></w:pPr>
<w:r><w:t xml:space="preserve">1830), 23rd Baron Willoughby de Eresby, and joint hereditary</w:t></w:r>
</w:p>
<w:p>
<w:pPr><w:pStyle w:val="Normal"/></w:pPr>
<w:r><w:t xml:space="preserve">lord great chamberlain, was created earl of Ancaster in 1898.</w:t></w:r>
</w:p>
<w:p>
<w:pPr><w:pStyle w:val="Normal"/></w:pPr>
<w:r><w:t xml:space="preserve">ANCELOT, JACQUES ARSENE FRANCOIS POLYCARPE (1794-1854),</w:t></w:r>
</w:p>
<w:p>
<w:pPr><w:pStyle w:val="Normal"/></w:pPr>
<w:r><w:t xml:space="preserve">French dramatist and litterateur, was born at Havre,</w:t></w:r>
</w:p>
<w:p>
<w:pPr><w:pStyle w:val="Normal"/></w:pPr>
<w:r><w:t xml:space="preserve">on the 9th of February 1794.  He became a clerk in the</w:t></w:r>
</w:p>
<w:p>
<w:pPr><w:pStyle w:val="Normal"/></w:pPr>
<w:r><w:t xml:space="preserve">admiralty, and retained his position until the revolution of</w:t></w:r>
</w:p>
<w:p>
<w:pPr><w:pStyle w:val="Normal"/></w:pPr>
<w:r><w:t xml:space="preserve">1830.  In 1816 his play Warwick was accepted by the Theatre</w:t></w:r>
</w:p>
<w:p>
<w:pPr><w:pStyle w:val="Normal"/></w:pPr>
<w:r><w:t xml:space="preserve">Francais, but never produced, and three years later a five-act</w:t></w:r>
</w:p>
<w:p>
<w:pPr><w:pStyle w:val="Normal"/></w:pPr>
<w:r><w:t xml:space="preserve">tragedy, Louis IX., was staged.  Three editions of the play</w:t></w:r>
</w:p>
<w:p>
<w:pPr><w:pStyle w:val="Normal"/></w:pPr>
<w:r><w:t xml:space="preserve">were speedily exhausted; it had a run of fifty representations,</w:t></w:r>
</w:p>
<w:p>
<w:pPr><w:pStyle w:val="Normal"/></w:pPr>
<w:r><w:t xml:space="preserve">and brought him a pension of 2000 francs from Louis XVIII.</w:t></w:r>
</w:p>
<w:p>
<w:pPr><w:pStyle w:val="Normal"/></w:pPr>
<w:r><w:t xml:space="preserve">His next work, Le Maire du palais, was played in 1825</w:t></w:r>
</w:p>
<w:p>
<w:pPr><w:pStyle w:val="Normal"/></w:pPr>
<w:r><w:t xml:space="preserve">with less success; but for it he received the cross of the</w:t></w:r>
</w:p>
<w:p>
<w:pPr><w:pStyle w:val="Normal"/></w:pPr>
<w:r><w:t xml:space="preserve">legion of honour.  In 1824 he produced Fiesque, a clever</w:t></w:r>
</w:p>
<w:p>
<w:pPr><w:pStyle w:val="Normal"/></w:pPr>
<w:r><w:t xml:space="preserve">adaptation of Schiller&apos;s Fiesco. In 1828 appeared Olga, ou</w:t></w:r>
</w:p>
<w:p>
<w:pPr><w:pStyle w:val="Normal"/></w:pPr>
<w:r><w:t xml:space="preserve">l&apos;orpheline russe, the plot of which had been inspired by a</w:t></w:r>
</w:p>
<w:p>
<w:pPr><w:pStyle w:val="Normal"/></w:pPr>
<w:r><w:t xml:space="preserve">voyage he made to Russia in 1826.  About the same period he</w:t></w:r>
</w:p>
<w:p>
<w:pPr><w:pStyle w:val="Normal"/></w:pPr>
<w:r><w:t xml:space="preserve">produced in succession Marie de Brabant (1825), a poem</w:t></w:r>
</w:p>
<w:p>
<w:pPr><w:pStyle w:val="Normal"/></w:pPr>
<w:r><w:t xml:space="preserve">in six cantos; L&apos;Homme du monde (1827), a novel in four</w:t></w:r>
</w:p>
<w:p>
<w:pPr><w:pStyle w:val="Normal"/></w:pPr>
<w:r><w:t xml:space="preserve">volumes, afterwards dramatized with success; and in 1829 a</w:t></w:r>
</w:p>
<w:p>
<w:pPr><w:pStyle w:val="Normal"/></w:pPr>
<w:r><w:t xml:space="preserve">play, Elisabeth d&apos;Angleterre. By the revolution of July</w:t></w:r>
</w:p>
<w:p>
<w:pPr><w:pStyle w:val="Normal"/></w:pPr>
<w:r><w:t xml:space="preserve">1830 he lost at once his royal pension and his office as</w:t></w:r>
</w:p>
<w:p>
<w:pPr><w:pStyle w:val="Normal"/></w:pPr>
<w:r><w:t xml:space="preserve">librarian at Meudon; and he was chiefly employed during the</w:t></w:r>
</w:p>
<w:p>
<w:pPr><w:pStyle w:val="Normal"/></w:pPr>
<w:r><w:t xml:space="preserve">next ten years in writing vaudevilles and light dramas and</w:t></w:r>
</w:p>
<w:p>
<w:pPr><w:pStyle w:val="Normal"/></w:pPr>
<w:r><w:t xml:space="preserve">comedies.  A tragedy, Maria Padilla (1838), gained him</w:t></w:r>
</w:p>
<w:p>
<w:pPr><w:pStyle w:val="Normal"/></w:pPr>
<w:r><w:t xml:space="preserve">admission to the French Academy in 1841.  Ancelot was sent by</w:t></w:r>
</w:p>
<w:p>
<w:pPr><w:pStyle w:val="Normal"/></w:pPr>
<w:r><w:t xml:space="preserve">the French government in 1849 to Turin, Florence, Brussels and</w:t></w:r>
</w:p>
<w:p>
<w:pPr><w:pStyle w:val="Normal"/></w:pPr>
<w:r><w:t xml:space="preserve">other capitals, to negotiate on the subject of international</w:t></w:r>
</w:p>
<w:p>
<w:pPr><w:pStyle w:val="Normal"/></w:pPr>
<w:r><w:t xml:space="preserve">copyright; and the treaties which were concluded soon after were</w:t></w:r>
</w:p>
<w:p>
<w:pPr><w:pStyle w:val="Normal"/></w:pPr>
<w:r><w:t xml:space="preserve">the result, in a great measure, of his tact and intelligence.</w:t></w:r>
</w:p>
<w:p>
<w:pPr><w:pStyle w:val="Normal"/></w:pPr>
<w:r><w:t xml:space="preserve">ANCESTOR-WORSHIP, a general name for the cult of deceased</w:t></w:r>
</w:p>
<w:p>
<w:pPr><w:pStyle w:val="Normal"/></w:pPr>
<w:r><w:t xml:space="preserve">parents and forefathers.  Aristotle in his Ethics stigmatizes</w:t></w:r>
</w:p>
<w:p>
<w:pPr><w:pStyle w:val="Normal"/></w:pPr>
<w:r><w:t xml:space="preserve">as ``extremely unloving&apos;&apos; (lian afilon) the denial that</w:t></w:r>
</w:p>
<w:p>
<w:pPr><w:pStyle w:val="Normal"/></w:pPr>
<w:r><w:t xml:space="preserve">ancestors are interested in or affected by the fortunes of</w:t></w:r>
</w:p>
<w:p>
<w:pPr><w:pStyle w:val="Normal"/></w:pPr>
<w:r><w:t xml:space="preserve">their descendants; and in effect ancestor-worship is the</w:t></w:r>
</w:p>
<w:p>
<w:pPr><w:pStyle w:val="Normal"/></w:pPr>
<w:r><w:t xml:space="preserve">staple of most religions, ancient or modern, civilized or</w:t></w:r>
</w:p>
<w:p>
<w:pPr><w:pStyle w:val="Normal"/></w:pPr>
<w:r><w:t xml:space="preserve">savage.  The ancient Jews were a striking exception; for</w:t></w:r>
</w:p>
<w:p>
<w:pPr><w:pStyle w:val="Normal"/></w:pPr>
<w:r><w:t xml:space="preserve">though the frequent mention of ancestral graves on hilltops</w:t></w:r>
</w:p>
<w:p>
<w:pPr><w:pStyle w:val="Normal"/></w:pPr>
<w:r><w:t xml:space="preserve">or in caves, and in connexion with sacred trees and pillars,</w:t></w:r>
</w:p>
<w:p>
<w:pPr><w:pStyle w:val="Normal"/></w:pPr>
<w:r><w:t xml:space="preserve">and the resemblance of the ``elohim&apos;&apos; in Exod. xxi. 4-6 to</w:t></w:r>
</w:p>
<w:p>
<w:pPr><w:pStyle w:val="Normal"/></w:pPr>
<w:r><w:t xml:space="preserve">household gods, may suggest that cults of the dead preceded</w:t></w:r>
</w:p>
<w:p>
<w:pPr><w:pStyle w:val="Normal"/></w:pPr>
<w:r><w:t xml:space="preserve">that of Yahweh, nevertheless in the classical age of their</w:t></w:r>
</w:p>
<w:p>
<w:pPr><w:pStyle w:val="Normal"/></w:pPr>
<w:r><w:t xml:space="preserve">religion (see HEBREW RELIGION) as reflected in the Old</w:t></w:r>
</w:p>
<w:p>
<w:pPr><w:pStyle w:val="Normal"/></w:pPr>
<w:r><w:t xml:space="preserve">Testament, ancestor-worship has already vanished. ``The Semitic</w:t></w:r>
</w:p>
<w:p>
<w:pPr><w:pStyle w:val="Normal"/></w:pPr>
<w:r><w:t xml:space="preserve">nomads,&apos;&apos; remarks Renan in his History of Israel (tome 1,</w:t></w:r>
</w:p>
<w:p>
<w:pPr><w:pStyle w:val="Normal"/></w:pPr>
<w:r><w:t xml:space="preserve">p. 50), ``were the religious race par excellence, because</w:t></w:r>
</w:p>
<w:p>
<w:pPr><w:pStyle w:val="Normal"/></w:pPr>
<w:r><w:t xml:space="preserve">in fact they were the least superstitious of the families of</w:t></w:r>
</w:p>
<w:p>
<w:pPr><w:pStyle w:val="Normal"/></w:pPr>
<w:r><w:t xml:space="preserve">mankind, the least duped by the dream of a beyond, by the</w:t></w:r>
</w:p>
<w:p>
<w:pPr><w:pStyle w:val="Normal"/></w:pPr>
<w:r><w:t xml:space="preserve">phantasmagory of a double or a shadow surviving in the nether</w:t></w:r>
</w:p>
<w:p>
<w:pPr><w:pStyle w:val="Normal"/></w:pPr>
<w:r><w:t xml:space="preserve">regions. . . . They suppressed the chimeras which went with</w:t></w:r>
</w:p>
<w:p>
<w:pPr><w:pStyle w:val="Normal"/></w:pPr>
<w:r><w:t xml:space="preserve">belief in a complete survival after death, chimeras which</w:t></w:r>
</w:p>
<w:p>
<w:pPr><w:pStyle w:val="Normal"/></w:pPr>
<w:r><w:t xml:space="preserve">were homicidal at the time, in so far as they robbed man of</w:t></w:r>
</w:p>
<w:p>
<w:pPr><w:pStyle w:val="Normal"/></w:pPr>
<w:r><w:t xml:space="preserve">the true notion of death and led him to multiply murders.&apos;&apos;</w:t></w:r>
</w:p>
<w:p>
<w:pPr><w:pStyle w:val="Normal"/></w:pPr>
<w:r><w:t xml:space="preserve">Renan here refers to the burial rite of an ancient Scythian</w:t></w:r>
</w:p>
<w:p>
<w:pPr><w:pStyle w:val="Normal"/></w:pPr>
<w:r><w:t xml:space="preserve">king (as described by Herodotus, iv. 71), at whose tomb were</w:t></w:r>
</w:p>
<w:p>
<w:pPr><w:pStyle w:val="Normal"/></w:pPr>
<w:r><w:t xml:space="preserve">strangled his concubine, cup-bearer, cook, groom, lackey,</w:t></w:r>
</w:p>
<w:p>
<w:pPr><w:pStyle w:val="Normal"/></w:pPr>
<w:r><w:t xml:space="preserve">envoy, and several of his horses.  Such cruel customs were,</w:t></w:r>
</w:p>
<w:p>
<w:pPr><w:pStyle w:val="Normal"/></w:pPr>
<w:r><w:t xml:space="preserve">of course, and still are associated in many lands with the</w:t></w:r>
</w:p>
<w:p>
<w:pPr><w:pStyle w:val="Normal"/></w:pPr>
<w:r><w:t xml:space="preserve">cult of the dead; but, on the other hand, there are gentler</w:t></w:r>
</w:p>
<w:p>
<w:pPr><w:pStyle w:val="Normal"/></w:pPr>
<w:r><w:t xml:space="preserve">and more beneficial aspects observable to-day in China and</w:t></w:r>
</w:p>
<w:p>
<w:pPr><w:pStyle w:val="Normal"/></w:pPr>
<w:r><w:t xml:space="preserve">Japan.  There the mighty dead are present with the living,</w:t></w:r>
</w:p>
<w:p>
<w:pPr><w:pStyle w:val="Normal"/></w:pPr>
<w:r><w:t xml:space="preserve">protect them and their houses and crops, are their strength</w:t></w:r>
</w:p>
<w:p>
<w:pPr><w:pStyle w:val="Normal"/></w:pPr>
<w:r><w:t xml:space="preserve">in battle, and teach their hands to war and their fingers to</w:t></w:r>
</w:p>
<w:p>
<w:pPr><w:pStyle w:val="Normal"/></w:pPr>
<w:r><w:t xml:space="preserve">fight.  In the Russo-Japanese War in 1904-5 the greatest</w:t></w:r>
</w:p>
<w:p>
<w:pPr><w:pStyle w:val="Normal"/></w:pPr>
<w:r><w:t xml:space="preserve">incentive to deeds of patriotic valour was for Japanese</w:t></w:r>
</w:p>
<w:p>
<w:pPr><w:pStyle w:val="Normal"/></w:pPr>
<w:r><w:t xml:space="preserve">soldiers the belief that the spirits of their ancestors were</w:t></w:r>
</w:p>
<w:p>
<w:pPr><w:pStyle w:val="Normal"/></w:pPr>
<w:r><w:t xml:space="preserve">watching them; and in China it is not the man himself that is</w:t></w:r>
</w:p>
<w:p>
<w:pPr><w:pStyle w:val="Normal"/></w:pPr>
<w:r><w:t xml:space="preserve">ennobled for his philanthropic virtues or learning, but his</w:t></w:r>
</w:p>
<w:p>
<w:pPr><w:pStyle w:val="Normal"/></w:pPr>
<w:r><w:t xml:space="preserve">ancestor.  No more solemn duty weighs upon the Chinaman than that</w:t></w:r>
</w:p>
<w:p>
<w:pPr><w:pStyle w:val="Normal"/></w:pPr>
<w:r><w:t xml:space="preserve">of tending the spirits of his dead forefathers.  Confucius, it</w:t></w:r>
</w:p>
<w:p>
<w:pPr><w:pStyle w:val="Normal"/></w:pPr>
<w:r><w:t xml:space="preserve">is recorded, sacrificed to the dead, as if they were present,</w:t></w:r>
</w:p>
<w:p>
<w:pPr><w:pStyle w:val="Normal"/></w:pPr>
<w:r><w:t xml:space="preserve">and to the spirits, as if they were there.  In view of such</w:t></w:r>
</w:p>
<w:p>
<w:pPr><w:pStyle w:val="Normal"/></w:pPr>
<w:r><w:t xml:space="preserve">Chinese sacrifices the names of the dead are inscribed on</w:t></w:r>
</w:p>
<w:p>
<w:pPr><w:pStyle w:val="Normal"/></w:pPr>
<w:r><w:t xml:space="preserve">wooden plaques called spirit-tablets, into which the spirits</w:t></w:r>
</w:p>
<w:p>
<w:pPr><w:pStyle w:val="Normal"/></w:pPr>
<w:r><w:t xml:space="preserve">are during the ceremony supposed to enter, having quitted</w:t></w:r>
</w:p>
<w:p>
<w:pPr><w:pStyle w:val="Normal"/></w:pPr>
<w:r><w:t xml:space="preserve">the very heaven and presence of God in order to commune with</w:t></w:r>
</w:p>
<w:p>
<w:pPr><w:pStyle w:val="Normal"/></w:pPr>
<w:r><w:t xml:space="preserve">posterity.  Twice a year, in spring and autumn,1 a Chinese</w:t></w:r>
</w:p>
<w:p>
<w:pPr><w:pStyle w:val="Normal"/></w:pPr>
<w:r><w:t xml:space="preserve">ruler goes in state to the imperial college in Pekin, and</w:t></w:r>
</w:p>
<w:p>
<w:pPr><w:pStyle w:val="Normal"/></w:pPr>
<w:r><w:t xml:space="preserve">presents the appointed offerings before the spirit-tablets of</w:t></w:r>
</w:p>
<w:p>
<w:pPr><w:pStyle w:val="Normal"/></w:pPr>
<w:r><w:t xml:space="preserve">Confucius and of the worthies who have been associated with</w:t></w:r>
</w:p>
<w:p>
<w:pPr><w:pStyle w:val="Normal"/></w:pPr>
<w:r><w:t xml:space="preserve">him in his temples.  He greets the sage&apos;s spirit with this</w:t></w:r>
</w:p>
<w:p>
<w:pPr><w:pStyle w:val="Normal"/></w:pPr>
<w:r><w:t xml:space="preserve">prayer:-- ``This year, in this month, on this day, I, the</w:t></w:r>
</w:p>
<w:p>
<w:pPr><w:pStyle w:val="Normal"/></w:pPr>
<w:r><w:t xml:space="preserve">emperor, offer sacrifice to the philosopher K&apos;ung, the ancient</w:t></w:r>
</w:p>
<w:p>
<w:pPr><w:pStyle w:val="Normal"/></w:pPr>
<w:r><w:t xml:space="preserve">teacher, the perfect sage, and say, O teacher, in virtue equal</w:t></w:r>
</w:p>
<w:p>
<w:pPr><w:pStyle w:val="Normal"/></w:pPr>
<w:r><w:t xml:space="preserve">to heaven and earth. . . Now in this second month of spring,</w:t></w:r>
</w:p>
<w:p>
<w:pPr><w:pStyle w:val="Normal"/></w:pPr>
<w:r><w:t xml:space="preserve">in reverent observance of the old statutes, with victims,</w:t></w:r>
</w:p>
<w:p>
<w:pPr><w:pStyle w:val="Normal"/></w:pPr>
<w:r><w:t xml:space="preserve">silks, spirits, and fruits, I offer sacrifice to thee.&apos;&apos;</w:t></w:r>
</w:p>
<w:p>
<w:pPr><w:pStyle w:val="Normal"/></w:pPr>
<w:r><w:t xml:space="preserve">In ancient Rome painted wax images of ancestors who had served</w:t></w:r>
</w:p>
<w:p>
<w:pPr><w:pStyle w:val="Normal"/></w:pPr>
<w:r><w:t xml:space="preserve">the state in its highest offices were preserved in the atria</w:t></w:r>
</w:p>
<w:p>
<w:pPr><w:pStyle w:val="Normal"/></w:pPr>
<w:r><w:t xml:space="preserve">or halls of their descendants, inscribed, like the Chinese</w:t></w:r>
</w:p>
<w:p>
<w:pPr><w:pStyle w:val="Normal"/></w:pPr>
<w:r><w:t xml:space="preserve">tablets, with titles recording their dignity and exploits.</w:t></w:r>
</w:p>
<w:p>
<w:pPr><w:pStyle w:val="Normal"/></w:pPr>
<w:r><w:t xml:space="preserve">Whether the departed spirits tenanted them according to the</w:t></w:r>
</w:p>
<w:p>
<w:pPr><w:pStyle w:val="Normal"/></w:pPr>
<w:r><w:t xml:space="preserve">Chinese belief is not recorded; though it probably was so, for</w:t></w:r>
</w:p>
<w:p>
<w:pPr><w:pStyle w:val="Normal"/></w:pPr>
<w:r><w:t xml:space="preserve">at funerals they might be carried, like the images of the gods</w:t></w:r>
</w:p>
<w:p>
<w:pPr><w:pStyle w:val="Normal"/></w:pPr>
<w:r><w:t xml:space="preserve">in Lectisternia (see IMAGE WORSHIP), on couches before the</w:t></w:r>
</w:p>
<w:p>
<w:pPr><w:pStyle w:val="Normal"/></w:pPr>
<w:r><w:t xml:space="preserve">corpse.  Oftener, however, they were mere masques worn at</w:t></w:r>
</w:p>
<w:p>
<w:pPr><w:pStyle w:val="Normal"/></w:pPr>
<w:r><w:t xml:space="preserve">funerals by men who personated the ancestors and wore their</w:t></w:r>
</w:p>
<w:p>
<w:pPr><w:pStyle w:val="Normal"/></w:pPr>
<w:r><w:t xml:space="preserve">robes of office.  Perhaps the vulgar regarded these men as</w:t></w:r>
</w:p>
<w:p>
<w:pPr><w:pStyle w:val="Normal"/></w:pPr>
<w:r><w:t xml:space="preserve">temporary reincarnations of those whom they thus represented.</w:t></w:r>
</w:p>
<w:p>
<w:pPr><w:pStyle w:val="Normal"/></w:pPr>
<w:r><w:t xml:space="preserve">The word Manes signified the friendly ancestral ghosts of a</w:t></w:r>
</w:p>
<w:p>
<w:pPr><w:pStyle w:val="Normal"/></w:pPr>
<w:r><w:t xml:space="preserve">Roman household.  To them, under the name of Lares, it was</w:t></w:r>
</w:p>
<w:p>
<w:pPr><w:pStyle w:val="Normal"/></w:pPr>
<w:r><w:t xml:space="preserve">the solemn preoccupation of male descendants to offer food and</w:t></w:r>
</w:p>
<w:p>
<w:pPr><w:pStyle w:val="Normal"/></w:pPr>
<w:r><w:t xml:space="preserve">sacrifice and to keep alight the hearth fire which cooked the</w:t></w:r>
</w:p>
<w:p>
<w:pPr><w:pStyle w:val="Normal"/></w:pPr>
<w:r><w:t xml:space="preserve">offerings.  Small waxen images of the Manes called Lares,</w:t></w:r>
</w:p>
<w:p>
<w:pPr><w:pStyle w:val="Normal"/></w:pPr>
<w:r><w:t xml:space="preserve">clothed in dogskin, and on feast days crowned with garlands,</w:t></w:r>
</w:p>
<w:p>
<w:pPr><w:pStyle w:val="Normal"/></w:pPr>
<w:r><w:t xml:space="preserve">stood round the family hearth of which they were the unseen</w:t></w:r>
</w:p>
<w:p>
<w:pPr><w:pStyle w:val="Normal"/></w:pPr>
<w:r><w:t xml:space="preserve">guardians (but see LARES.) To lack such care and tendance</w:t></w:r>
</w:p>
<w:p>
<w:pPr><w:pStyle w:val="Normal"/></w:pPr>
<w:r><w:t xml:space="preserve">was--along with want of regular burial--the most dreadful fate</w:t></w:r>
</w:p>
<w:p>
<w:pPr><w:pStyle w:val="Normal"/></w:pPr>
<w:r><w:t xml:space="preserve">that could overtake an ancient; and a Roman, like a Hindu, in</w:t></w:r>
</w:p>
<w:p>
<w:pPr><w:pStyle w:val="Normal"/></w:pPr>
<w:r><w:t xml:space="preserve">case he was childless, adopted a male child whose duty it would</w:t></w:r>
</w:p>
<w:p>
<w:pPr><w:pStyle w:val="Normal"/></w:pPr>
<w:r><w:t xml:space="preserve">be, as if his own son, to continue after his death the family</w:t></w:r>
</w:p>
<w:p>
<w:pPr><w:pStyle w:val="Normal"/></w:pPr>
<w:r><w:t xml:space="preserve">rites or sacra. On this side the ancestor-worship of the</w:t></w:r>
</w:p>
<w:p>
<w:pPr><w:pStyle w:val="Normal"/></w:pPr>
<w:r><w:t xml:space="preserve">Aryans has been productive of the most important institutions</w:t></w:r>
</w:p>
<w:p>
<w:pPr><w:pStyle w:val="Normal"/></w:pPr>
<w:r><w:t xml:space="preserve">of adoption and will or testament.  Sir Henry Maine (Ancient</w:t></w:r>
</w:p>
<w:p>
<w:pPr><w:pStyle w:val="Normal"/></w:pPr>
<w:r><w:t xml:space="preserve">Law, ch. v.) has justly observed that ``the history of political</w:t></w:r>
</w:p>
<w:p>
<w:pPr><w:pStyle w:val="Normal"/></w:pPr>
<w:r><w:t xml:space="preserve">ideas begins with the assumption that kinship in blood is the</w:t></w:r>
</w:p>
<w:p>
<w:pPr><w:pStyle w:val="Normal"/></w:pPr>
<w:r><w:t xml:space="preserve">sole possible ground of community in political functions,&apos;&apos;</w:t></w:r>
</w:p>
<w:p>
<w:pPr><w:pStyle w:val="Normal"/></w:pPr>
<w:r><w:t xml:space="preserve">and that in early commonwealths ``citizens considered all</w:t></w:r>
</w:p>
<w:p>
<w:pPr><w:pStyle w:val="Normal"/></w:pPr>
<w:r><w:t xml:space="preserve">the groups in which they claimed membership to be founded</w:t></w:r>
</w:p>
<w:p>
<w:pPr><w:pStyle w:val="Normal"/></w:pPr>
<w:r><w:t xml:space="preserve">on common lineage.&apos;&apos; A man only shared in house, tribe and</w:t></w:r>
</w:p>
<w:p>
<w:pPr><w:pStyle w:val="Normal"/></w:pPr>
<w:r><w:t xml:space="preserve">state, so far as he was descended from particular ancestors</w:t></w:r>
</w:p>
<w:p>
<w:pPr><w:pStyle w:val="Normal"/></w:pPr>
<w:r><w:t xml:space="preserve">and eponymous heroes, and due cult of these illustrious dead</w:t></w:r>
</w:p>
<w:p>
<w:pPr><w:pStyle w:val="Normal"/></w:pPr>
<w:r><w:t xml:space="preserve">was the condition of his enjoying any rights or inheriting</w:t></w:r>
</w:p>
<w:p>
<w:pPr><w:pStyle w:val="Normal"/></w:pPr>
<w:r><w:t xml:space="preserve">any property.  Yet if society was to grow, men of alien</w:t></w:r>
</w:p>
<w:p>
<w:pPr><w:pStyle w:val="Normal"/></w:pPr>
<w:r><w:t xml:space="preserve">descent had to be admitted into the original brotherhood and</w:t></w:r>
</w:p>
<w:p>
<w:pPr><w:pStyle w:val="Normal"/></w:pPr>
<w:r><w:t xml:space="preserve">amalgamated therewith. ``Adverting to Rome singly,&apos;&apos; adds</w:t></w:r>
</w:p>
<w:p>
<w:pPr><w:pStyle w:val="Normal"/></w:pPr>
<w:r><w:t xml:space="preserve">the same author, ``we perceive that the primary group, the</w:t></w:r>
</w:p>
<w:p>
<w:pPr><w:pStyle w:val="Normal"/></w:pPr>
<w:r><w:t xml:space="preserve">family, was being constantly adulterated by the practice of</w:t></w:r>
</w:p>
<w:p>
<w:pPr><w:pStyle w:val="Normal"/></w:pPr>
<w:r><w:t xml:space="preserve">adoption.&apos;&apos; Thus transition was made possible from an agnatic</w:t></w:r>
</w:p>
<w:p>
<w:pPr><w:pStyle w:val="Normal"/></w:pPr>
<w:r><w:t xml:space="preserve">society based on blood ties to one based on contiguity.</w:t></w:r>
</w:p>
<w:p>
<w:pPr><w:pStyle w:val="Normal"/></w:pPr>
<w:r><w:t xml:space="preserve">In the worship of the Lares the head of a Roman household</w:t></w:r>
</w:p>
<w:p>
<w:pPr><w:pStyle w:val="Normal"/></w:pPr>
<w:r><w:t xml:space="preserve">commemorated and reinforced the blood tie which made one flesh</w:t></w:r>
</w:p>
<w:p>
<w:pPr><w:pStyle w:val="Normal"/></w:pPr>
<w:r><w:t xml:space="preserve">of all its members living and dead.  The gens in turn was</w:t></w:r>
</w:p>
<w:p>
<w:pPr><w:pStyle w:val="Normal"/></w:pPr>
<w:r><w:t xml:space="preserve">regarded as an expansion of the family, as was the state of</w:t></w:r>
</w:p>
<w:p>
<w:pPr><w:pStyle w:val="Normal"/></w:pPr>
<w:r><w:t xml:space="preserve">the gens; and members of these larger units by worship of</w:t></w:r>
</w:p>
<w:p>
<w:pPr><w:pStyle w:val="Normal"/></w:pPr>
<w:r><w:t xml:space="preserve">common ancestors--usually mythical--kept alive the feeling</w:t></w:r>
</w:p>
<w:p>
<w:pPr><w:pStyle w:val="Normal"/></w:pPr>
<w:r><w:t xml:space="preserve">that they were a single organic whole animated by a common soul</w:t></w:r>
</w:p>
<w:p>
<w:pPr><w:pStyle w:val="Normal"/></w:pPr>
<w:r><w:t xml:space="preserve">and joined in consanguinity.  Outcasts alone, the offspring</w:t></w:r>
</w:p>
<w:p>
<w:pPr><w:pStyle w:val="Normal"/></w:pPr>
<w:r><w:t xml:space="preserve">of irregular unions, could be ignorant of the blood which ran</w:t></w:r>
</w:p>
<w:p>
<w:pPr><w:pStyle w:val="Normal"/></w:pPr>
<w:r><w:t xml:space="preserve">in their veins, of the unseen ancestors to be fed and tended</w:t></w:r>
</w:p>
<w:p>
<w:pPr><w:pStyle w:val="Normal"/></w:pPr>
<w:r><w:t xml:space="preserve">in family and gentile rites.2 Such considerations help us</w:t></w:r>
</w:p>
<w:p>
<w:pPr><w:pStyle w:val="Normal"/></w:pPr>
<w:r><w:t xml:space="preserve">to understand the enormous importance attached in ancient</w:t></w:r>
</w:p>
<w:p>
<w:pPr><w:pStyle w:val="Normal"/></w:pPr>
<w:r><w:t xml:space="preserve">societies to the right of intermarriage, as also to grasp</w:t></w:r>
</w:p>
<w:p>
<w:pPr><w:pStyle w:val="Normal"/></w:pPr>
<w:r><w:t xml:space="preserve">the origin of wills and testaments.  For a will was to begin</w:t></w:r>
</w:p>
<w:p>
<w:pPr><w:pStyle w:val="Normal"/></w:pPr>
<w:r><w:t xml:space="preserve">with but a mode of indicating (not necessarily in writing)</w:t></w:r>
</w:p>
<w:p>
<w:pPr><w:pStyle w:val="Normal"/></w:pPr>
<w:r><w:t xml:space="preserve">on whom devolved the duty of conducting a parent&apos;s funeral,</w:t></w:r>
</w:p>
<w:p>
<w:pPr><w:pStyle w:val="Normal"/></w:pPr>
<w:r><w:t xml:space="preserve">and together with that duty the right of inheriting his</w:t></w:r>
</w:p>
<w:p>
<w:pPr><w:pStyle w:val="Normal"/></w:pPr>
<w:r><w:t xml:space="preserve">property.  The due performance of funeral rites re-created the</w:t></w:r>
</w:p>
<w:p>
<w:pPr><w:pStyle w:val="Normal"/></w:pPr>
<w:r><w:t xml:space="preserve">blood tie and renewed the kinship of living and dead at the</w:t></w:r>
</w:p>
<w:p>
<w:pPr><w:pStyle w:val="Normal"/></w:pPr>
<w:r><w:t xml:space="preserve">moment when death seemed specially to endanger it by removal</w:t></w:r>
</w:p>
<w:p>
<w:pPr><w:pStyle w:val="Normal"/></w:pPr>
<w:r><w:t xml:space="preserve">of that representative of the household whose special duty</w:t></w:r>
</w:p>
<w:p>
<w:pPr><w:pStyle w:val="Normal"/></w:pPr>
<w:r><w:t xml:space="preserve">it had been to keep up the family sacra. In Hindostan, as</w:t></w:r>
</w:p>
<w:p>
<w:pPr><w:pStyle w:val="Normal"/></w:pPr>
<w:r><w:t xml:space="preserve">Maine remarks (op. cit. ch. vi.), we have a parallel to the</w:t></w:r>
</w:p>
<w:p>
<w:pPr><w:pStyle w:val="Normal"/></w:pPr>
<w:r><w:t xml:space="preserve">Roman system; for there ``the right to inherit a dead man&apos;s</w:t></w:r>
</w:p>
<w:p>
<w:pPr><w:pStyle w:val="Normal"/></w:pPr>
<w:r><w:t xml:space="preserve">property is exactly co-extensive with the duty of performing his</w:t></w:r>
</w:p>
<w:p>
<w:pPr><w:pStyle w:val="Normal"/></w:pPr>
<w:r><w:t xml:space="preserve">obsequies.  If the rites are not properly performed or not</w:t></w:r>
</w:p>
<w:p>
<w:pPr><w:pStyle w:val="Normal"/></w:pPr>
<w:r><w:t xml:space="preserve">performed by the proper person, no relation is considered as</w:t></w:r>
</w:p>
<w:p>
<w:pPr><w:pStyle w:val="Normal"/></w:pPr>
<w:r><w:t xml:space="preserve">established between the deceased and anybody surviving him;</w:t></w:r>
</w:p>
<w:p>
<w:pPr><w:pStyle w:val="Normal"/></w:pPr>
<w:r><w:t xml:space="preserve">the law of succession does not apply, and nobody can inherit</w:t></w:r>
</w:p>
<w:p>
<w:pPr><w:pStyle w:val="Normal"/></w:pPr>
<w:r><w:t xml:space="preserve">the property.  Every great event in the life of a Hindu</w:t></w:r>
</w:p>
<w:p>
<w:pPr><w:pStyle w:val="Normal"/></w:pPr>
<w:r><w:t xml:space="preserve">seems to be regarded as leading up to and bearing on these</w:t></w:r>
</w:p>
<w:p>
<w:pPr><w:pStyle w:val="Normal"/></w:pPr>
<w:r><w:t xml:space="preserve">solemnities.  If he marries, it is to have children who</w:t></w:r>
</w:p>
<w:p>
<w:pPr><w:pStyle w:val="Normal"/></w:pPr>
<w:r><w:t xml:space="preserve">may celebrate them after his death; if he has no children,</w:t></w:r>
</w:p>
<w:p>
<w:pPr><w:pStyle w:val="Normal"/></w:pPr>
<w:r><w:t xml:space="preserve">he lies under the strongest obligation to adopt them from</w:t></w:r>
</w:p>
<w:p>
<w:pPr><w:pStyle w:val="Normal"/></w:pPr>
<w:r><w:t xml:space="preserve">another family, `with a view,&apos; writes the Hindu doctor, `to</w:t></w:r>
</w:p>
<w:p>
<w:pPr><w:pStyle w:val="Normal"/></w:pPr>
<w:r><w:t xml:space="preserve">the funeral cake, the water and the solemn sacrifice.&apos;&apos;&apos;</w:t></w:r>
</w:p>
<w:p>
<w:pPr><w:pStyle w:val="Normal"/></w:pPr>
<w:r><w:t xml:space="preserve">``May there be born in our lineage,&apos;&apos; so the Indian Manes are</w:t></w:r>
</w:p>
<w:p>
<w:pPr><w:pStyle w:val="Normal"/></w:pPr>
<w:r><w:t xml:space="preserve">supposed to say, ``a man to offer to us, on the thirteenth</w:t></w:r>
</w:p>
<w:p>
<w:pPr><w:pStyle w:val="Normal"/></w:pPr>
<w:r><w:t xml:space="preserve">day of the moon, rice boiled in milk, honey and ghee.&apos;&apos;3</w:t></w:r>
</w:p>
<w:p>
<w:pPr><w:pStyle w:val="Normal"/></w:pPr>
<w:r><w:t xml:space="preserve">It is then in connexion with the history of inheritance and</w:t></w:r>
</w:p>
<w:p>
<w:pPr><w:pStyle w:val="Normal"/></w:pPr>
<w:r><w:t xml:space="preserve">adoption, and of the gradual evolution from societies held</w:t></w:r>
</w:p>
<w:p>
<w:pPr><w:pStyle w:val="Normal"/></w:pPr>
<w:r><w:t xml:space="preserve">together only by blood-kinship to societies consolidated</w:t></w:r>
</w:p>
<w:p>
<w:pPr><w:pStyle w:val="Normal"/></w:pPr>
<w:r><w:t xml:space="preserve">on other, bases, especially on that of local contiguity,</w:t></w:r>
</w:p>
<w:p>
<w:pPr><w:pStyle w:val="Normal"/></w:pPr>
<w:r><w:t xml:space="preserve">that ancestor-worship chiefly calls for investigation.</w:t></w:r>
</w:p>
<w:p>
<w:pPr><w:pStyle w:val="Normal"/></w:pPr>
<w:r><w:t xml:space="preserve">We must now pass on to other aspects of it less important for</w:t></w:r>
</w:p>
<w:p>
<w:pPr><w:pStyle w:val="Normal"/></w:pPr>
<w:r><w:t xml:space="preserve">the student of ancient law, but interesting to the folklorist.</w:t></w:r>
</w:p>
<w:p>
<w:pPr><w:pStyle w:val="Normal"/></w:pPr>
<w:r><w:t xml:space="preserve">In ancient Rome the Di manes, or as we should say the</w:t></w:r>
</w:p>
<w:p>
<w:pPr><w:pStyle w:val="Normal"/></w:pPr>
<w:r><w:t xml:space="preserve">blessed dead, who reposed in their necropolis outside the</w:t></w:r>
</w:p>
<w:p>
<w:pPr><w:pStyle w:val="Normal"/></w:pPr>
<w:r><w:t xml:space="preserve">walls, were specially commemorated on the dies parentales</w:t></w:r>
</w:p>
<w:p>
<w:pPr><w:pStyle w:val="Normal"/></w:pPr>
<w:r><w:t xml:space="preserve">or days of placating them (placandis Manibus.) These</w:t></w:r>
</w:p>
<w:p>
<w:pPr><w:pStyle w:val="Normal"/></w:pPr>
<w:r><w:t xml:space="preserve">began on the 13th of February and ended on the 22nd with the</w:t></w:r>
</w:p>
<w:p>
<w:pPr><w:pStyle w:val="Normal"/></w:pPr>
<w:r><w:t xml:space="preserve">Caristia or feast of Cara Cognatio. The family have on</w:t></w:r>
</w:p>
<w:p>
<w:pPr><w:pStyle w:val="Normal"/></w:pPr>
<w:r><w:t xml:space="preserve">the preceding days solemnly visited the grave, and offered</w:t></w:r>
</w:p>
<w:p>
<w:pPr><w:pStyle w:val="Normal"/></w:pPr>
<w:r><w:t xml:space="preserve">to the shades gifts of water, wine, milk, honey, oil, and</w:t></w:r>
</w:p>
<w:p>
<w:pPr><w:pStyle w:val="Normal"/></w:pPr>
<w:r><w:t xml:space="preserve">the blood of black victims; they have decked the tomb with</w:t></w:r>
</w:p>
<w:p>
<w:pPr><w:pStyle w:val="Normal"/></w:pPr>
<w:r><w:t xml:space="preserve">flowers, have renewed the feast and farewell of the funeral,</w:t></w:r>
</w:p>
<w:p>
<w:pPr><w:pStyle w:val="Normal"/></w:pPr>
<w:r><w:t xml:space="preserve">and have prayed to the ancestors to watch over their welfare.</w:t></w:r>
</w:p>
<w:p>
<w:pPr><w:pStyle w:val="Normal"/></w:pPr>
<w:r><w:t xml:space="preserve">Now the survivors return home and hold a love-feast, in which</w:t></w:r>
</w:p>
<w:p>
<w:pPr><w:pStyle w:val="Normal"/></w:pPr>
<w:r><w:t xml:space="preserve">all quarrels are healed, all trespasses forgiven.  The Lares</w:t></w:r>
</w:p>
<w:p>
<w:pPr><w:pStyle w:val="Normal"/></w:pPr>
<w:r><w:t xml:space="preserve">are brought out to preside over this solemn feast, and for the</w:t></w:r>
</w:p>
<w:p>
<w:pPr><w:pStyle w:val="Normal"/></w:pPr>
<w:r><w:t xml:space="preserve">occasion are incincti or clothed in tunics girt at the loins.</w:t></w:r>
</w:p>
<w:p>
<w:pPr><w:pStyle w:val="Normal"/></w:pPr>
<w:r><w:t xml:space="preserve">It is doubtful whether we should dignify by the name of</w:t></w:r>
</w:p>
<w:p>
<w:pPr><w:pStyle w:val="Normal"/></w:pPr>
<w:r><w:t xml:space="preserve">ancestor-worship the older Roman festival of the Lemuria, which</w:t></w:r>
</w:p>
<w:p>
<w:pPr><w:pStyle w:val="Normal"/></w:pPr>
<w:r><w:t xml:space="preserve">was held on the 9th, 11th and 13th of May. For the lemures</w:t></w:r>
</w:p>
<w:p>
<w:pPr><w:pStyle w:val="Normal"/></w:pPr>
<w:r><w:t xml:space="preserve">were, like our unlaid ghosts, unburied, mischievous or inimical</w:t></w:r>
</w:p>
<w:p>
<w:pPr><w:pStyle w:val="Normal"/></w:pPr>
<w:r><w:t xml:space="preserve">spirits, and these three days were nefasti or unlucky,</w:t></w:r>
</w:p>
<w:p>
<w:pPr><w:pStyle w:val="Normal"/></w:pPr>
<w:r><w:t xml:space="preserve">because their malign influence was abroad.  The ghosts had to</w:t></w:r>
</w:p>
<w:p>
<w:pPr><w:pStyle w:val="Normal"/></w:pPr>
<w:r><w:t xml:space="preserve">be driven out of the house, and Ovid (Fasti, v. 432) relates</w:t></w:r>
</w:p>
<w:p>
<w:pPr><w:pStyle w:val="Normal"/></w:pPr>
<w:r><w:t xml:space="preserve">how the head of the family arose at midnight, and with feet</w:t></w:r>
</w:p>
<w:p>
<w:pPr><w:pStyle w:val="Normal"/></w:pPr>
<w:r><w:t xml:space="preserve">unfettered by shoon or sandals, and with washen hands traversed</w:t></w:r>
</w:p>
<w:p>
<w:pPr><w:pStyle w:val="Normal"/></w:pPr>
<w:r><w:t xml:space="preserve">his house beckoning against the ghosts with fingers joined to</w:t></w:r>
</w:p>
<w:p>
<w:pPr><w:pStyle w:val="Normal"/></w:pPr>
<w:r><w:t xml:space="preserve">thumb.  Nine times with averted glance he spat a black bean out</w:t></w:r>
</w:p>
<w:p>
<w:pPr><w:pStyle w:val="Normal"/></w:pPr>
<w:r><w:t xml:space="preserve">of his mouth and cried: ``With these I redeem me and mine.&apos;&apos;</w:t></w:r>
</w:p>
<w:p>
<w:pPr><w:pStyle w:val="Normal"/></w:pPr>
<w:r><w:t xml:space="preserve">The ghosts followed and picked up, or perhaps entered into the</w:t></w:r>
</w:p>
<w:p>
<w:pPr><w:pStyle w:val="Normal"/></w:pPr>
<w:r><w:t xml:space="preserve">beans.  Then he washed afresh, and rattled his brass vessels,</w:t></w:r>
</w:p>
<w:p>
<w:pPr><w:pStyle w:val="Normal"/></w:pPr>
<w:r><w:t xml:space="preserve">and nine times over bade them begone with the polite formula,</w:t></w:r>
</w:p>
<w:p>
<w:pPr><w:pStyle w:val="Normal"/></w:pPr>
<w:r><w:t xml:space="preserve">Manes exite paterni, ``Go forth, O paternal manes.&apos;&apos;</w:t></w:r>
</w:p>
<w:p>
<w:pPr><w:pStyle w:val="Normal"/></w:pPr>
<w:r><w:t xml:space="preserve">The gesture described was probably the same as that with</w:t></w:r>
</w:p>
<w:p>
<w:pPr><w:pStyle w:val="Normal"/></w:pPr>
<w:r><w:t xml:space="preserve">which a Christian priest averts demonic influences from the</w:t></w:r>
</w:p>
<w:p>
<w:pPr><w:pStyle w:val="Normal"/></w:pPr>
<w:r><w:t xml:space="preserve">heads of his congregation in the act of blessing them.  The</w:t></w:r>
</w:p>
<w:p>
<w:pPr><w:pStyle w:val="Normal"/></w:pPr>
<w:r><w:t xml:space="preserve">many hands of Zeus Sabazios turned up in ancient excavations</w:t></w:r>
</w:p>
<w:p>
<w:pPr><w:pStyle w:val="Normal"/></w:pPr>
<w:r><w:t xml:space="preserve">observe a similar gesture.  All over the earth we meet with</w:t></w:r>
</w:p>
<w:p>
<w:pPr><w:pStyle w:val="Normal"/></w:pPr>
<w:r><w:t xml:space="preserve">such periodically recurrent ceremonies of expelling demons and</w:t></w:r>
</w:p>
<w:p>
<w:pPr><w:pStyle w:val="Normal"/></w:pPr>
<w:r><w:t xml:space="preserve">ghosts, who usually are given a meal before being hunted back</w:t></w:r>
</w:p>
<w:p>
<w:pPr><w:pStyle w:val="Normal"/></w:pPr>
<w:r><w:t xml:space="preserve">into their graves.  But an account of such ceremonies belongs</w:t></w:r>
</w:p>
<w:p>
<w:pPr><w:pStyle w:val="Normal"/></w:pPr>
<w:r><w:t xml:space="preserve">rather to demonology than to the history of the worship of</w:t></w:r>
</w:p>
<w:p>
<w:pPr><w:pStyle w:val="Normal"/></w:pPr>
<w:r><w:t xml:space="preserve">Manes, which are peaceful, well-conducted and beneficent</w:t></w:r>
</w:p>
<w:p>
<w:pPr><w:pStyle w:val="Normal"/></w:pPr>
<w:r><w:t xml:space="preserve">beings, endowed and, so to speak on the foundation, like</w:t></w:r>
</w:p>
<w:p>
<w:pPr><w:pStyle w:val="Normal"/></w:pPr>
<w:r><w:t xml:space="preserve">the Christian souls for whose masses money has been left.</w:t></w:r>
</w:p>
<w:p>
<w:pPr><w:pStyle w:val="Normal"/></w:pPr>
<w:r><w:t xml:space="preserve">Ancestor-worship has its parallels in Christian cults of the</w:t></w:r>
</w:p>
<w:p>
<w:pPr><w:pStyle w:val="Normal"/></w:pPr>
<w:r><w:t xml:space="preserve">dead and of the saints; it must be remembered, however, that</w:t></w:r>
</w:p>
<w:p>
<w:pPr><w:pStyle w:val="Normal"/></w:pPr>
<w:r><w:t xml:space="preserve">a saint is not as a rule an ancestor, and that his cult is</w:t></w:r>
</w:p>
<w:p>
<w:pPr><w:pStyle w:val="Normal"/></w:pPr>
<w:r><w:t xml:space="preserve">not based upon family feeling and love of kinsmen, nor tends</w:t></w:r>
</w:p>
<w:p>
<w:pPr><w:pStyle w:val="Normal"/></w:pPr>
<w:r><w:t xml:space="preserve">to stimulate and encourage the same.  Such cults have never</w:t></w:r>
</w:p>
<w:p>
<w:pPr><w:pStyle w:val="Normal"/></w:pPr>
<w:r><w:t xml:space="preserve">prevented those who participated in them from fighting one</w:t></w:r>
</w:p>
<w:p>
<w:pPr><w:pStyle w:val="Normal"/></w:pPr>
<w:r><w:t xml:space="preserve">another.  Ancestor-worship on this side is also in strong</w:t></w:r>
</w:p>
<w:p>
<w:pPr><w:pStyle w:val="Normal"/></w:pPr>
<w:r><w:t xml:space="preserve">contrast with the teaching of the Gospel, for it is an</w:t></w:r>
</w:p>
<w:p>
<w:pPr><w:pStyle w:val="Normal"/></w:pPr>
<w:r><w:t xml:space="preserve">apotheosis of family affections and supplies a real cement</w:t></w:r>
</w:p>
<w:p>
<w:pPr><w:pStyle w:val="Normal"/></w:pPr>
<w:r><w:t xml:space="preserve">wherewith to bind society together; whereas the Christian</w:t></w:r>
</w:p>
<w:p>
<w:pPr><w:pStyle w:val="Normal"/></w:pPr>
<w:r><w:t xml:space="preserve">Messiah, taught that, ``If any cometh to me, and hateth not</w:t></w:r>
</w:p>
<w:p>
<w:pPr><w:pStyle w:val="Normal"/></w:pPr>
<w:r><w:t xml:space="preserve">his father and his mother, and his wife and his children,</w:t></w:r>
</w:p>
<w:p>
<w:pPr><w:pStyle w:val="Normal"/></w:pPr>
<w:r><w:t xml:space="preserve">and his brethren and his sister, yea, and his own life also,</w:t></w:r>
</w:p>
<w:p>
<w:pPr><w:pStyle w:val="Normal"/></w:pPr>
<w:r><w:t xml:space="preserve">he cannot be my disciple.&apos;&apos; To the ordinary good citizen of</w:t></w:r>
</w:p>
<w:p>
<w:pPr><w:pStyle w:val="Normal"/></w:pPr>
<w:r><w:t xml:space="preserve">antiquity, whose religion was the consecration of family</w:t></w:r>
</w:p>
<w:p>
<w:pPr><w:pStyle w:val="Normal"/></w:pPr>
<w:r><w:t xml:space="preserve">ties, such a precept was no less scandalous than it is to a</w:t></w:r>
</w:p>
<w:p>
<w:pPr><w:pStyle w:val="Normal"/></w:pPr>
<w:r><w:t xml:space="preserve">Chinaman or Hindu of to-day.  Was not the duty of following</w:t></w:r>
</w:p>
<w:p>
<w:pPr><w:pStyle w:val="Normal"/></w:pPr>
<w:r><w:t xml:space="preserve">the Messiah to supersede even that of burying one&apos;s parents,</w:t></w:r>
</w:p>
<w:p>
<w:pPr><w:pStyle w:val="Normal"/></w:pPr>
<w:r><w:t xml:space="preserve">the most sacred of all ancient obligations? The Church when</w:t></w:r>
</w:p>
<w:p>
<w:pPr><w:pStyle w:val="Normal"/></w:pPr>
<w:r><w:t xml:space="preserve">it had once conquered the world allowed such precepts to</w:t></w:r>
</w:p>
<w:p>
<w:pPr><w:pStyle w:val="Normal"/></w:pPr>
<w:r><w:t xml:space="preserve">lapse and fall into the background, and no one save monks or</w:t></w:r>
</w:p>
<w:p>
<w:pPr><w:pStyle w:val="Normal"/></w:pPr>
<w:r><w:t xml:space="preserve">Manichaean heretics remembered them any more; indeed modern</w:t></w:r>
</w:p>
<w:p>
<w:pPr><w:pStyle w:val="Normal"/></w:pPr>
<w:r><w:t xml:space="preserve">divines affect to believe that marriage rites and family ties</w:t></w:r>
</w:p>
<w:p>
<w:pPr><w:pStyle w:val="Normal"/></w:pPr>
<w:r><w:t xml:space="preserve">were the peculiar concern of the Church from the very first;</w:t></w:r>
</w:p>
<w:p>
<w:pPr><w:pStyle w:val="Normal"/></w:pPr>
<w:r><w:t xml:space="preserve">and few moderns will fail to sympathize with the misgivings</w:t></w:r>
</w:p>
<w:p>
<w:pPr><w:pStyle w:val="Normal"/></w:pPr>
<w:r><w:t xml:space="preserve">of the barbarian chief who, having been converted and being</w:t></w:r>
</w:p>
<w:p>
<w:pPr><w:pStyle w:val="Normal"/></w:pPr>
<w:r><w:t xml:space="preserve">about to receive Christian baptism, paused as he stepped</w:t></w:r>
</w:p>
<w:p>
<w:pPr><w:pStyle w:val="Normal"/></w:pPr>
<w:r><w:t xml:space="preserve">down into the font, and asked the priests if in the heaven</w:t></w:r>
</w:p>
<w:p>
<w:pPr><w:pStyle w:val="Normal"/></w:pPr>
<w:r><w:t xml:space="preserve">to which their rites admitted him he would meet and converse</w:t></w:r>
</w:p>
<w:p>
<w:pPr><w:pStyle w:val="Normal"/></w:pPr>
<w:r><w:t xml:space="preserve">with his pagan ancestors.  On being assured that he would not,</w:t></w:r>
</w:p>
<w:p>
<w:pPr><w:pStyle w:val="Normal"/></w:pPr>
<w:r><w:t xml:space="preserve">he stepped out again and declined their methods of salvation.</w:t></w:r>
</w:p>
<w:p>
<w:pPr><w:pStyle w:val="Normal"/></w:pPr>
<w:r><w:t xml:space="preserve">In the above paragraphs we have drawn examples only from</w:t></w:r>
</w:p>
<w:p>
<w:pPr><w:pStyle w:val="Normal"/></w:pPr>
<w:r><w:t xml:space="preserve">races organized on a patriarchal basis among whom the headship</w:t></w:r>
</w:p>
<w:p>
<w:pPr><w:pStyle w:val="Normal"/></w:pPr>
<w:r><w:t xml:space="preserve">passes from father to son.  But many primitive societies do</w:t></w:r>
</w:p>
<w:p>
<w:pPr><w:pStyle w:val="Normal"/></w:pPr>
<w:r><w:t xml:space="preserve">not trace descent through males and yet may be said to worship</w:t></w:r>
</w:p>
<w:p>
<w:pPr><w:pStyle w:val="Normal"/></w:pPr>
<w:r><w:t xml:space="preserve">ancestors.  The aborigines of Australia furnish an example.</w:t></w:r>
</w:p>
<w:p>
<w:pPr><w:pStyle w:val="Normal"/></w:pPr>
<w:r><w:t xml:space="preserve">The Aruntas among them are said to have no idea of paternity,</w:t></w:r>
</w:p>
<w:p>
<w:pPr><w:pStyle w:val="Normal"/></w:pPr>
<w:r><w:t xml:space="preserve">but believe that local spirits of tree, rock or stream enter</w:t></w:r>
</w:p>
<w:p>
<w:pPr><w:pStyle w:val="Normal"/></w:pPr>
<w:r><w:t xml:space="preserve">women as they pass by their haunts.  In doing so they drop</w:t></w:r>
</w:p>
<w:p>
<w:pPr><w:pStyle w:val="Normal"/></w:pPr>
<w:r><w:t xml:space="preserve">a wooden soul-token called a Churinga. This the elders of</w:t></w:r>
</w:p>
<w:p>
<w:pPr><w:pStyle w:val="Normal"/></w:pPr>
<w:r><w:t xml:space="preserve">the tribe pick up or pretend to find, and carefully store</w:t></w:r>
</w:p>
<w:p>
<w:pPr><w:pStyle w:val="Normal"/></w:pPr>
<w:r><w:t xml:space="preserve">up in a cleft of the hills or in a cave which no woman may</w:t></w:r>
</w:p>
<w:p>
<w:pPr><w:pStyle w:val="Normal"/></w:pPr>
<w:r><w:t xml:space="preserve">approach.  The souls of members of the tribe who have died</w:t></w:r>
</w:p>
<w:p>
<w:pPr><w:pStyle w:val="Normal"/></w:pPr>
<w:r><w:t xml:space="preserve">survive in these slips of wood, which are treasured up for long</w:t></w:r>
</w:p>
<w:p>
<w:pPr><w:pStyle w:val="Normal"/></w:pPr>
<w:r><w:t xml:space="preserve">generations and repaired if they decay.  They are carried into</w:t></w:r>
</w:p>
<w:p>
<w:pPr><w:pStyle w:val="Normal"/></w:pPr>
<w:r><w:t xml:space="preserve">battle to assist the tribe, are regularly anointed, fondled</w:t></w:r>
</w:p>
<w:p>
<w:pPr><w:pStyle w:val="Normal"/></w:pPr>
<w:r><w:t xml:space="preserve">and invoked; for it is believed that the souls present in</w:t></w:r>
</w:p>
<w:p>
<w:pPr><w:pStyle w:val="Normal"/></w:pPr>
<w:r><w:t xml:space="preserve">them are powerful to work weal and woe to friend and enemy</w:t></w:r>
</w:p>
<w:p>
<w:pPr><w:pStyle w:val="Normal"/></w:pPr>
<w:r><w:t xml:space="preserve">respectively.  They thus resemble the Chinese spirit tablet.</w:t></w:r>
</w:p>
<w:p>
<w:pPr><w:pStyle w:val="Normal"/></w:pPr>
<w:r><w:t xml:space="preserve">Reference has been made above to the possibility that the</w:t></w:r>
</w:p>
<w:p>
<w:pPr><w:pStyle w:val="Normal"/></w:pPr>
<w:r><w:t xml:space="preserve">Roman imago of an ancestor actually embodied his ghost,</w:t></w:r>
</w:p>
<w:p>
<w:pPr><w:pStyle w:val="Normal"/></w:pPr>
<w:r><w:t xml:space="preserve">at least on solemn occasions.  The custom of providing a</w:t></w:r>
</w:p>
<w:p>
<w:pPr><w:pStyle w:val="Normal"/></w:pPr>
<w:r><w:t xml:space="preserve">material abode or nidus for the ghost is found all over</w:t></w:r>
</w:p>
<w:p>
<w:pPr><w:pStyle w:val="Normal"/></w:pPr>
<w:r><w:t xml:space="preserve">the earth; e.g. in New Ireland a carved chalk figure of the</w:t></w:r>
</w:p>
<w:p>
<w:pPr><w:pStyle w:val="Normal"/></w:pPr>
<w:r><w:t xml:space="preserve">deceased, indicating the sex, is procured, and entrusted</w:t></w:r>
</w:p>
<w:p>
<w:pPr><w:pStyle w:val="Normal"/></w:pPr>
<w:r><w:t xml:space="preserve">to the chief of a village, who sets it up in a funeral</w:t></w:r>
</w:p>
<w:p>
<w:pPr><w:pStyle w:val="Normal"/></w:pPr>
<w:r><w:t xml:space="preserve">hut in the middle of a large taboo house adorned with</w:t></w:r>
</w:p>
<w:p>
<w:pPr><w:pStyle w:val="Normal"/></w:pPr>
<w:r><w:t xml:space="preserve">plants.  The survivors believe that the ghostly ogre, being</w:t></w:r>
</w:p>
<w:p>
<w:pPr><w:pStyle w:val="Normal"/></w:pPr>
<w:r><w:t xml:space="preserve">so well provided for, will abstain from haunting them.</w:t></w:r>
</w:p>
<w:p>
<w:pPr><w:pStyle w:val="Normal"/></w:pPr>
<w:r><w:t xml:space="preserve">The Romans, as we remarked above, distinguished between the</w:t></w:r>
</w:p>
<w:p>
<w:pPr><w:pStyle w:val="Normal"/></w:pPr>
<w:r><w:t xml:space="preserve">Lemures or wandering mischievous ghosts and the Manes snugly</w:t></w:r>
</w:p>
<w:p>
<w:pPr><w:pStyle w:val="Normal"/></w:pPr>
<w:r><w:t xml:space="preserve">interred and tended in the, cemetery which was part of every</w:t></w:r>
</w:p>
<w:p>
<w:pPr><w:pStyle w:val="Normal"/></w:pPr>
<w:r><w:t xml:space="preserve">Italian settlement.  The distinction, however, is one for which</w:t></w:r>
</w:p>
<w:p>
<w:pPr><w:pStyle w:val="Normal"/></w:pPr>
<w:r><w:t xml:space="preserve">survivors alone are responsible and not one inherent in the</w:t></w:r>
</w:p>
<w:p>
<w:pPr><w:pStyle w:val="Normal"/></w:pPr>
<w:r><w:t xml:space="preserve">nature of ghosts.  No race at all, it would seem, except the</w:t></w:r>
</w:p>
<w:p>
<w:pPr><w:pStyle w:val="Normal"/></w:pPr>
<w:r><w:t xml:space="preserve">Jews, has ever been able to regard a man&apos;s death as the end</w:t></w:r>
</w:p>
<w:p>
<w:pPr><w:pStyle w:val="Normal"/></w:pPr>
<w:r><w:t xml:space="preserve">of him; and except in the higher forms of Christianity the</w:t></w:r>
</w:p>
<w:p>
<w:pPr><w:pStyle w:val="Normal"/></w:pPr>
<w:r><w:t xml:space="preserve">dead are everywhere supposed to need the same sort of food,</w:t></w:r>
</w:p>
<w:p>
<w:pPr><w:pStyle w:val="Normal"/></w:pPr>
<w:r><w:t xml:space="preserve">equipment, tenement and gear which they enjoyed in life, and to</w:t></w:r>
</w:p>
<w:p>
<w:pPr><w:pStyle w:val="Normal"/></w:pPr>
<w:r><w:t xml:space="preserve">molest the living unless they obtain it.  It may be affection,</w:t></w:r>
</w:p>
<w:p>
<w:pPr><w:pStyle w:val="Normal"/></w:pPr>
<w:r><w:t xml:space="preserve">or it may be fear, which prompts the survivor to feed and tend</w:t></w:r>
</w:p>
<w:p>
<w:pPr><w:pStyle w:val="Normal"/></w:pPr>
<w:r><w:t xml:space="preserve">his dead; in general no doubt it is a mixture of both feelings.</w:t></w:r>
</w:p>
<w:p>
<w:pPr><w:pStyle w:val="Normal"/></w:pPr>
<w:r><w:t xml:space="preserve">In Africa and other savage countries a third motive sometimes</w:t></w:r>
</w:p>
<w:p>
<w:pPr><w:pStyle w:val="Normal"/></w:pPr>
<w:r><w:t xml:space="preserve">operates, namely the desire to consult the dead--as Odysseus,</w:t></w:r>
</w:p>
<w:p>
<w:pPr><w:pStyle w:val="Normal"/></w:pPr>
<w:r><w:t xml:space="preserve">anxious about his return home, was constrained to do--or to use</w:t></w:r>
</w:p>
<w:p>
<w:pPr><w:pStyle w:val="Normal"/></w:pPr>
<w:r><w:t xml:space="preserve">them against the living; for negro magicians are reputed even</w:t></w:r>
</w:p>
<w:p>
<w:pPr><w:pStyle w:val="Normal"/></w:pPr>
<w:r><w:t xml:space="preserve">to murder remarkable individuals in order to possess themselves</w:t></w:r>
</w:p>
<w:p>
<w:pPr><w:pStyle w:val="Normal"/></w:pPr>
<w:r><w:t xml:space="preserve">of their power and to be able to use them as familiar spirits.</w:t></w:r>
</w:p>
<w:p>
<w:pPr><w:pStyle w:val="Normal"/></w:pPr>
<w:r><w:t xml:space="preserve">The question has often been raised, what is the relation of</w:t></w:r>
</w:p>
<w:p>
<w:pPr><w:pStyle w:val="Normal"/></w:pPr>
<w:r><w:t xml:space="preserve">private cults of ancestors to public religion? Do men after</w:t></w:r>
</w:p>
<w:p>
<w:pPr><w:pStyle w:val="Normal"/></w:pPr>
<w:r><w:t xml:space="preserve">death become gods? Euhemerus of Messenia tried of old to</w:t></w:r>
</w:p>
<w:p>
<w:pPr><w:pStyle w:val="Normal"/></w:pPr>
<w:r><w:t xml:space="preserve">rationalize the Greek myths by supposing that the Olympian</w:t></w:r>
</w:p>
<w:p>
<w:pPr><w:pStyle w:val="Normal"/></w:pPr>
<w:r><w:t xml:space="preserve">gods were deified men.  Such a theory, like its modern rival</w:t></w:r>
</w:p>
<w:p>
<w:pPr><w:pStyle w:val="Normal"/></w:pPr>
<w:r><w:t xml:space="preserve">of the sun-myth, may of course be pushed till it becomes</w:t></w:r>
</w:p>
<w:p>
<w:pPr><w:pStyle w:val="Normal"/></w:pPr>
<w:r><w:t xml:space="preserve">absurd; yet in India critical observers, like Sir Alfred C.</w:t></w:r>
</w:p>
<w:p>
<w:pPr><w:pStyle w:val="Normal"/></w:pPr>
<w:r><w:t xml:space="preserve">Lyall, attest innumerable examples of the gradual elevation</w:t></w:r>
</w:p>
<w:p>
<w:pPr><w:pStyle w:val="Normal"/></w:pPr>
<w:r><w:t xml:space="preserve">into gods of human beings, the process even beginning in their</w:t></w:r>
</w:p>
<w:p>
<w:pPr><w:pStyle w:val="Normal"/></w:pPr>
<w:r><w:t xml:space="preserve">lifetime.  There a man wins local fame as an ascetic with</w:t></w:r>
</w:p>
<w:p>
<w:pPr><w:pStyle w:val="Normal"/></w:pPr>
<w:r><w:t xml:space="preserve">abnormal powers, or a wife, because Alcestis-like she</w:t></w:r>
</w:p>
<w:p>
<w:pPr><w:pStyle w:val="Normal"/></w:pPr>
<w:r><w:t xml:space="preserve">sacrificed herself for her husband and immolated herself on his</w:t></w:r>
</w:p>
<w:p>
<w:pPr><w:pStyle w:val="Normal"/></w:pPr>
<w:r><w:t xml:space="preserve">pyre.  Miracles occur at their shrines, and the surviving</w:t></w:r>
</w:p>
<w:p>
<w:pPr><w:pStyle w:val="Normal"/></w:pPr>
<w:r><w:t xml:space="preserve">relatives who guard them wax rich off the offerings brought.</w:t></w:r>
</w:p>
<w:p>
<w:pPr><w:pStyle w:val="Normal"/></w:pPr>
<w:r><w:t xml:space="preserve">``In the course of a very few years, as the recollection</w:t></w:r>
</w:p>
<w:p>
<w:pPr><w:pStyle w:val="Normal"/></w:pPr>
<w:r><w:t xml:space="preserve">of the man&apos;s personality becomes misty, his origin grows</w:t></w:r>
</w:p>
<w:p>
<w:pPr><w:pStyle w:val="Normal"/></w:pPr>
<w:r><w:t xml:space="preserve">mysterious, his career takes a legendary hue, his birth and</w:t></w:r>
</w:p>
<w:p>
<w:pPr><w:pStyle w:val="Normal"/></w:pPr>
<w:r><w:t xml:space="preserve">death were both supernatural; in the next generation the names</w:t></w:r>
</w:p>
<w:p>
<w:pPr><w:pStyle w:val="Normal"/></w:pPr>
<w:r><w:t xml:space="preserve">of the elder gods get introduced into the story, and so the</w:t></w:r>
</w:p>
<w:p>
<w:pPr><w:pStyle w:val="Normal"/></w:pPr>
<w:r><w:t xml:space="preserve">marvellous tradition works itself into a myth, until nothing</w:t></w:r>
</w:p>
<w:p>
<w:pPr><w:pStyle w:val="Normal"/></w:pPr>
<w:r><w:t xml:space="preserve">but a personal incarnation can account for such a series of</w:t></w:r>
</w:p>
<w:p>
<w:pPr><w:pStyle w:val="Normal"/></w:pPr>
<w:r><w:t xml:space="preserve">prodigies.  The man was an Avatar of Vishnu or Siva; his</w:t></w:r>
</w:p>
<w:p>
<w:pPr><w:pStyle w:val="Normal"/></w:pPr>
<w:r><w:t xml:space="preserve">supreme apotheosis is now complete, and the Brahmins feel warranted</w:t></w:r>
</w:p>
<w:p>
<w:pPr><w:pStyle w:val="Normal"/></w:pPr>
<w:r><w:t xml:space="preserve">in providing for him a niche in the orthodox pantheon.&apos;&apos;4</w:t></w:r>
</w:p>
<w:p>
<w:pPr><w:pStyle w:val="Normal"/></w:pPr>
<w:r><w:t xml:space="preserve">AUTHORITIES.--H.  S. Maine, Ancient Law (London, 1906);</w:t></w:r>
</w:p>
<w:p>
<w:pPr><w:pStyle w:val="Normal"/></w:pPr>
<w:r><w:t xml:space="preserve">E. B. Tylor, Primitive Culture (London, 1903); and article</w:t></w:r>
</w:p>
<w:p>
<w:pPr><w:pStyle w:val="Normal"/></w:pPr>
<w:r><w:t xml:space="preserve">on the ``Matriarchal Family System,&apos;&apos; in the Nineteenth</w:t></w:r>
</w:p>
<w:p>
<w:pPr><w:pStyle w:val="Normal"/></w:pPr>
<w:r><w:t xml:space="preserve">Century, xl. 81 (1896); de Coulanges, La Cite antique</w:t></w:r>
</w:p>
<w:p>
<w:pPr><w:pStyle w:val="Normal"/></w:pPr>
<w:r><w:t xml:space="preserve">(17th ed., 1900); L. Andre, Le Culte des morts chez</w:t></w:r>
</w:p>
<w:p>
<w:pPr><w:pStyle w:val="Normal"/></w:pPr>
<w:r><w:t xml:space="preserve">les Hebreux (1895); C. Gruneisen, Der Ahnenkultus und</w:t></w:r>
</w:p>
<w:p>
<w:pPr><w:pStyle w:val="Normal"/></w:pPr>
<w:r><w:t xml:space="preserve">die Urreligion Israels (Halle, 1900); Grant Allen, The</w:t></w:r>
</w:p>
<w:p>
<w:pPr><w:pStyle w:val="Normal"/></w:pPr>
<w:r><w:t xml:space="preserve">Evolution of the Idea of God (London, 1897); F. B. Jevons,</w:t></w:r>
</w:p>
<w:p>
<w:pPr><w:pStyle w:val="Normal"/></w:pPr>
<w:r><w:t xml:space="preserve">Introduction to the History of Religion (London, 1896); Sir</w:t></w:r>
</w:p>
<w:p>
<w:pPr><w:pStyle w:val="Normal"/></w:pPr>
<w:r><w:t xml:space="preserve">A. C. Lyall, Asiatic Studies (London, 1899 and 1907); D. G.</w:t></w:r>
</w:p>
<w:p>
<w:pPr><w:pStyle w:val="Normal"/></w:pPr>
<w:r><w:t xml:space="preserve">Brinton, Religions of Primitive Peoples (New York, 1897); H.</w:t></w:r>
</w:p>
<w:p>
<w:pPr><w:pStyle w:val="Normal"/></w:pPr>
<w:r><w:t xml:space="preserve">Oldenberg, Die religion des Veda (Berlin, 1894). (F. C. C.)</w:t></w:r>
</w:p>
<w:p>
<w:pPr><w:pStyle w:val="Normal"/></w:pPr>
<w:r><w:t xml:space="preserve">1 Prof.  J. Legge, in Religious Systems of the World, London, 1892, p. 72.</w:t></w:r>
</w:p>
<w:p>
<w:pPr><w:pStyle w:val="Normal"/></w:pPr>
<w:r><w:t xml:space="preserve">2 Livy iv. 2:--``Quam enim aliam vim connubia promiscua habere,</w:t></w:r>
</w:p>
<w:p>
<w:pPr><w:pStyle w:val="Normal"/></w:pPr>
<w:r><w:t xml:space="preserve">nisi ut ferarum prope ritu vulgentur concubitus plebis Patrumque?</w:t></w:r>
</w:p>
<w:p>
<w:pPr><w:pStyle w:val="Normal"/></w:pPr>
<w:r><w:t xml:space="preserve">ut qui natus sit, ignoret, cujus sanguinis, quorum sacrorum sit.&apos;&apos;</w:t></w:r>
</w:p>
<w:p>
<w:pPr><w:pStyle w:val="Normal"/></w:pPr>
<w:r><w:t xml:space="preserve">3 E. B. Tylor, Primitive Culture, ii. p. 119.</w:t></w:r>
</w:p>
<w:p>
<w:pPr><w:pStyle w:val="Normal"/></w:pPr>
<w:r><w:t xml:space="preserve">4 A. C. Lyall, Asiatic Studies (reprinted</w:t></w:r>
</w:p>
<w:p>
<w:pPr><w:pStyle w:val="Normal"/></w:pPr>
<w:r><w:t xml:space="preserve">by Watts and Co., London, 1907), p. 19.</w:t></w:r>
</w:p>
<w:p>
<w:pPr><w:pStyle w:val="Normal"/></w:pPr>
<w:r><w:t xml:space="preserve">ANCHISES, in Greek legend, Trojan hero, son of Capys and</w:t></w:r>
</w:p>
<w:p>
<w:pPr><w:pStyle w:val="Normal"/></w:pPr>
<w:r><w:t xml:space="preserve">Themis, grandson (according to Hyginus, son) of Assaracus,</w:t></w:r>
</w:p>
<w:p>
<w:pPr><w:pStyle w:val="Normal"/></w:pPr>
<w:r><w:t xml:space="preserve">connected on both sides with the royal family of Troy, was</w:t></w:r>
</w:p>
<w:p>
<w:pPr><w:pStyle w:val="Normal"/></w:pPr>
<w:r><w:t xml:space="preserve">king of Dardanus on Mt. Ida. Here Aphrodite met him and,</w:t></w:r>
</w:p>
<w:p>
<w:pPr><w:pStyle w:val="Normal"/></w:pPr>
<w:r><w:t xml:space="preserve">enamoured of his beauty, bore him Aeneas.  For revealing the</w:t></w:r>
</w:p>
<w:p>
<w:pPr><w:pStyle w:val="Normal"/></w:pPr>
<w:r><w:t xml:space="preserve">name of the child&apos;s mother, in spite of the warnings of the</w:t></w:r>
</w:p>
<w:p>
<w:pPr><w:pStyle w:val="Normal"/></w:pPr>
<w:r><w:t xml:space="preserve">goddess, he was killed or struck blind by lightning (Hyginus,</w:t></w:r>
</w:p>
<w:p>
<w:pPr><w:pStyle w:val="Normal"/></w:pPr>
<w:r><w:t xml:space="preserve">Fab. 94). In the more recent legend, adopted by Virgil in</w:t></w:r>
</w:p>
<w:p>
<w:pPr><w:pStyle w:val="Normal"/></w:pPr>
<w:r><w:t xml:space="preserve">the Aeneid, he was conveyed out of Troy on the shoulders</w:t></w:r>
</w:p>
<w:p>
<w:pPr><w:pStyle w:val="Normal"/></w:pPr>
<w:r><w:t xml:space="preserve">of his son Aeneas, whose wanderings he followed as far as</w:t></w:r>
</w:p>
<w:p>
<w:pPr><w:pStyle w:val="Normal"/></w:pPr>
<w:r><w:t xml:space="preserve">Sicily, where he died and was buried on Mt. Eryx.  On the other</w:t></w:r>
</w:p>
<w:p>
<w:pPr><w:pStyle w:val="Normal"/></w:pPr>
<w:r><w:t xml:space="preserve">hand, there was a grave on Mt. Ida at Troy pointed out as</w:t></w:r>
</w:p>
<w:p>
<w:pPr><w:pStyle w:val="Normal"/></w:pPr>
<w:r><w:t xml:space="preserve">his.  From the name Assaracus, from the intercourse between</w:t></w:r>
</w:p>
<w:p>
<w:pPr><w:pStyle w:val="Normal"/></w:pPr>
<w:r><w:t xml:space="preserve">the Phoenicians and the early inhabitants of the Troad, and</w:t></w:r>
</w:p>
<w:p>
<w:pPr><w:pStyle w:val="Normal"/></w:pPr>
<w:r><w:t xml:space="preserve">from the connexion of Aphrodite, the protecting goddess of the</w:t></w:r>
</w:p>
<w:p>
<w:pPr><w:pStyle w:val="Normal"/></w:pPr>
<w:r><w:t xml:space="preserve">Phoenicians, with Anchises, it has been inferred that his family</w:t></w:r>
</w:p>
<w:p>
<w:pPr><w:pStyle w:val="Normal"/></w:pPr>
<w:r><w:t xml:space="preserve">was originally of Assyrian origin.  His flight on the shoulders</w:t></w:r>
</w:p>
<w:p>
<w:pPr><w:pStyle w:val="Normal"/></w:pPr>
<w:r><w:t xml:space="preserve">of Aeneas is frequently represented on engraved gems of the</w:t></w:r>
</w:p>
<w:p>
<w:pPr><w:pStyle w:val="Normal"/></w:pPr>
<w:r><w:t xml:space="preserve">Roman period; and his visit from Aphrodite is rendered in a</w:t></w:r>
</w:p>
<w:p>
<w:pPr><w:pStyle w:val="Normal"/></w:pPr>
<w:r><w:t xml:space="preserve">beautiful bronze relief, engraved in Millingen&apos;s Unedited Gems.</w:t></w:r>
</w:p>
<w:p>
<w:pPr><w:pStyle w:val="Normal"/></w:pPr>
<w:r><w:t xml:space="preserve">ANCHOR (from the Greek agkura, which Vossius considers</w:t></w:r>
</w:p>
<w:p>
<w:pPr><w:pStyle w:val="Normal"/></w:pPr>
<w:r><w:t xml:space="preserve">is from ogke, a crook or hook), an instrument of iron</w:t></w:r>
</w:p>
<w:p>
<w:pPr><w:pStyle w:val="Normal"/></w:pPr>
<w:r><w:t xml:space="preserve">or other heavy material used for holding ships or boats in</w:t></w:r>
</w:p>
<w:p>
<w:pPr><w:pStyle w:val="Normal"/></w:pPr>
<w:r><w:t xml:space="preserve">any locality required, and preventing them from drifting by</w:t></w:r>
</w:p>
<w:p>
<w:pPr><w:pStyle w:val="Normal"/></w:pPr>
<w:r><w:t xml:space="preserve">winds, tides, currents or other causes.  This is done by the</w:t></w:r>
</w:p>
<w:p>
<w:pPr><w:pStyle w:val="Normal"/></w:pPr>
<w:r><w:t xml:space="preserve">anchor, after it is let go from the ship by means of the cable,</w:t></w:r>
</w:p>
<w:p>
<w:pPr><w:pStyle w:val="Normal"/></w:pPr>
<w:r><w:t xml:space="preserve">fixing itself in the ground and there holding the vessel fast.</w:t></w:r>
</w:p>
<w:p>
<w:pPr><w:pStyle w:val="Normal"/></w:pPr>
<w:r><w:t xml:space="preserve">The word ``anchor&apos;&apos; is also used figuratively for anything which</w:t></w:r>
</w:p>
<w:p>
<w:pPr><w:pStyle w:val="Normal"/></w:pPr>
<w:r><w:t xml:space="preserve">gives security, or for any ornament or appendage which takes</w:t></w:r>
</w:p>
<w:p>
<w:pPr><w:pStyle w:val="Normal"/></w:pPr>
<w:r><w:t xml:space="preserve">the same form.  Owing to a vessel&apos;s safety depending upon the</w:t></w:r>
</w:p>
<w:p>
<w:pPr><w:pStyle w:val="Normal"/></w:pPr>
<w:r><w:t xml:space="preserve">anchor, it is obviously an appliance of great importance, and</w:t></w:r>
</w:p>
<w:p>
<w:pPr><w:pStyle w:val="Normal"/></w:pPr>
<w:r><w:t xml:space="preserve">too much care cannot be expended on its manufacture and proper</w:t></w:r>
</w:p>
<w:p>
<w:pPr><w:pStyle w:val="Normal"/></w:pPr>
<w:r><w:t xml:space="preserve">construction.  The most ancient anchors consisted of large</w:t></w:r>
</w:p>
<w:p>
<w:pPr><w:pStyle w:val="Normal"/></w:pPr>
<w:r><w:t xml:space="preserve">stones, baskets full of stones, sacks filled with sand, or</w:t></w:r>
</w:p>
<w:p>
<w:pPr><w:pStyle w:val="Normal"/></w:pPr>
<w:r><w:t xml:space="preserve">logs of wood loaded with lead.  Of this kind were the anchors</w:t></w:r>
</w:p>
<w:p>
<w:pPr><w:pStyle w:val="Normal"/></w:pPr>
<w:r><w:t xml:space="preserve">of the ancient Greeks, which, according to Apollonius Rhodius</w:t></w:r>
</w:p>
<w:p>
<w:pPr><w:pStyle w:val="Normal"/></w:pPr>
<w:r><w:t xml:space="preserve">and Stephen of Byzantium, were formed of stone; and Athenaeus</w:t></w:r>
</w:p>
<w:p>
<w:pPr><w:pStyle w:val="Normal"/></w:pPr>
<w:r><w:t xml:space="preserve">states that they were sometimes made of wood.  Such anchors</w:t></w:r>
</w:p>
<w:p>
<w:pPr><w:pStyle w:val="Normal"/></w:pPr>
<w:r><w:t xml:space="preserve">held the vessel merely by their weight and by the friction</w:t></w:r>
</w:p>
<w:p>
<w:pPr><w:pStyle w:val="Normal"/></w:pPr>
<w:r><w:t xml:space="preserve">along the bottom.  Iron was afterwards introduced for the</w:t></w:r>
</w:p>
<w:p>
<w:pPr><w:pStyle w:val="Normal"/></w:pPr>
<w:r><w:t xml:space="preserve">construction of anchors, and an improvement was made by</w:t></w:r>
</w:p>
<w:p>
<w:pPr><w:pStyle w:val="Normal"/></w:pPr>
<w:r><w:t xml:space="preserve">forming them with teeth or ``flukes&apos;&apos; to fasten themselves</w:t></w:r>
</w:p>
<w:p>
<w:pPr><w:pStyle w:val="Normal"/></w:pPr>
<w:r><w:t xml:space="preserve">into the bottom; whence the words odontes and dentes</w:t></w:r>
</w:p>
<w:p>
<w:pPr><w:pStyle w:val="Normal"/></w:pPr>
<w:r><w:t xml:space="preserve">are frequently taken for anchors in the Greek and Latin</w:t></w:r>
</w:p>
<w:p>
<w:pPr><w:pStyle w:val="Normal"/></w:pPr>
<w:r><w:t xml:space="preserve">poets.  The invention of the teeth is ascribed by Pliny to</w:t></w:r>
</w:p>
<w:p>
<w:pPr><w:pStyle w:val="Normal"/></w:pPr>
<w:r><w:t xml:space="preserve">the Tuscans; but Pausanias gives the credit to Midas, king of</w:t></w:r>
</w:p>
<w:p>
<w:pPr><w:pStyle w:val="Normal"/></w:pPr>
<w:r><w:t xml:space="preserve">Phrygia.  Originally there was only one fluke or tooth, whence</w:t></w:r>
</w:p>
<w:p>
<w:pPr><w:pStyle w:val="Normal"/></w:pPr>
<w:r><w:t xml:space="preserve">anchors were called eterostomoi; but a second was added,</w:t></w:r>
</w:p>
<w:p>
<w:pPr><w:pStyle w:val="Normal"/></w:pPr>
<w:r><w:t xml:space="preserve">according to Pliny, by Eupalamus, or, according to Strabo,</w:t></w:r>
</w:p>
<w:p>
<w:pPr><w:pStyle w:val="Normal"/></w:pPr>
<w:r><w:t xml:space="preserve">by Anacharsis, the Scythian philosopher.  The anchors with</w:t></w:r>
</w:p>
<w:p>
<w:pPr><w:pStyle w:val="Normal"/></w:pPr>
<w:r><w:t xml:space="preserve">two teeth were called amfiboloi or amfistomoi, and</w:t></w:r>
</w:p>
<w:p>
<w:pPr><w:pStyle w:val="Normal"/></w:pPr>
<w:r><w:t xml:space="preserve">from ancient monuments appear to have resembled generally</w:t></w:r>
</w:p>
<w:p>
<w:pPr><w:pStyle w:val="Normal"/></w:pPr>
<w:r><w:t xml:space="preserve">those used in modern days, except that the stock is absent</w:t></w:r>
</w:p>
<w:p>
<w:pPr><w:pStyle w:val="Normal"/></w:pPr>
<w:r><w:t xml:space="preserve">from them all.  Every ship had several anchors; the largest,</w:t></w:r>
</w:p>
<w:p>
<w:pPr><w:pStyle w:val="Normal"/></w:pPr>
<w:r><w:t xml:space="preserve">FIG. 1.--Rodger&apos;s Anchor. FIG. 2.--lmproved Martin Anchor.</w:t></w:r>
</w:p>
<w:p>
<w:pPr><w:pStyle w:val="Normal"/></w:pPr>
<w:r><w:t xml:space="preserve">corresponding to our sheet anchor, was only used in extreme danger,</w:t></w:r>
</w:p>
<w:p>
<w:pPr><w:pStyle w:val="Normal"/></w:pPr>
<w:r><w:t xml:space="preserve">and was hence peculiarly termed iera or sacra, whence the</w:t></w:r>
</w:p>
<w:p>
<w:pPr><w:pStyle w:val="Normal"/></w:pPr>
<w:r><w:t xml:space="preserve">proverb sacram anchoram solvere, as flying to the last refuge.</w:t></w:r>
</w:p>
<w:p>
<w:pPr><w:pStyle w:val="Normal"/></w:pPr>
<w:r><w:t xml:space="preserve">Until the beginning of the 19th century anchors were of</w:t></w:r>
</w:p>
<w:p>
<w:pPr><w:pStyle w:val="Normal"/></w:pPr>
<w:r><w:t xml:space="preserve">imperfect manufacture, the means of effecting good and efficient</w:t></w:r>
</w:p>
<w:p>
<w:pPr><w:pStyle w:val="Normal"/></w:pPr>
<w:r><w:t xml:space="preserve">welding being absent and the iron poor, whilst the arms,</w:t></w:r>
</w:p>
<w:p>
<w:pPr><w:pStyle w:val="Normal"/></w:pPr>
<w:r><w:t xml:space="preserve">being straight, generally parted at the crown, when weighing</w:t></w:r>
</w:p>
<w:p>
<w:pPr><w:pStyle w:val="Normal"/></w:pPr>
<w:r><w:t xml:space="preserve">from good holding-ground.  A clerk in Plymouth Yard, named</w:t></w:r>
</w:p>
<w:p>
<w:pPr><w:pStyle w:val="Normal"/></w:pPr>
<w:r><w:t xml:space="preserve">Pering, in the early part of that century (1813) introduced</w:t></w:r>
</w:p>
<w:p>
<w:pPr><w:pStyle w:val="Normal"/></w:pPr>
<w:r><w:t xml:space="preserve">curved arms; and after 1852 the Admiralty anchor, under the</w:t></w:r>
</w:p>
<w:p>
<w:pPr><w:pStyle w:val="Normal"/></w:pPr>
<w:r><w:t xml:space="preserve">direction of the Board, was supplied to H.M. ships, followed</w:t></w:r>
</w:p>
<w:p>
<w:pPr><w:pStyle w:val="Normal"/></w:pPr>
<w:r><w:t xml:space="preserve">by Lieutenant (afterwards Captain) Rodger&apos;s anchor (fig.</w:t></w:r>
</w:p>
<w:p>
<w:pPr><w:pStyle w:val="Normal"/></w:pPr>
<w:r><w:t xml:space="preserve">1). This marked a great departure from the form of previous</w:t></w:r>
</w:p>
<w:p>
<w:pPr><w:pStyle w:val="Normal"/></w:pPr>
<w:r><w:t xml:space="preserve">anchors.  The arms, de, df were formed in one piece, and were</w:t></w:r>
</w:p>
<w:p>
<w:pPr><w:pStyle w:val="Normal"/></w:pPr>
<w:r><w:t xml:space="preserve">pivoted at the crown d on a bolt passing through the forked</w:t></w:r>
</w:p>
<w:p>
<w:pPr><w:pStyle w:val="Normal"/></w:pPr>
<w:r><w:t xml:space="preserve">shank ab. The points or pees e, f, to the palms g were</w:t></w:r>
</w:p>
<w:p>
<w:pPr><w:pStyle w:val="Normal"/></w:pPr>
<w:r><w:t xml:space="preserve">blunt.  This anchor had an excellent reputation amongst</w:t></w:r>
</w:p>
<w:p>
<w:pPr><w:pStyle w:val="Normal"/></w:pPr>
<w:r><w:t xml:space="preserve">nautical men of that period, and by the committee on anchors,</w:t></w:r>
</w:p>
<w:p>
<w:pPr><w:pStyle w:val="Normal"/></w:pPr>
<w:r><w:t xml:space="preserve">appointed by the admiralty in 1852, it was placed second</w:t></w:r>
</w:p>
<w:p>
<w:pPr><w:pStyle w:val="Normal"/></w:pPr>
<w:r><w:t xml:space="preserve">only to the anchor of Trotman.  Later came the self-canting</w:t></w:r>
</w:p>
<w:p>
<w:pPr><w:pStyle w:val="Normal"/></w:pPr>
<w:r><w:t xml:space="preserve">anchor, which, passing through successive improvements,</w:t></w:r>
</w:p>
<w:p>
<w:pPr><w:pStyle w:val="Normal"/></w:pPr>
<w:r><w:t xml:space="preserve">became the improved Martin anchor (fig. 2) made of forged</w:t></w:r>
</w:p>
<w:p>
<w:pPr><w:pStyle w:val="Normal"/></w:pPr>
<w:r><w:t xml:space="preserve">iron.  A projection in the centre of the arms works in a recess</w:t></w:r>
</w:p>
<w:p>
<w:pPr><w:pStyle w:val="Normal"/></w:pPr>
<w:r><w:t xml:space="preserve">at the hub of the shank: the vacancies outside the shank are</w:t></w:r>
</w:p>
<w:p>
<w:pPr><w:pStyle w:val="Normal"/></w:pPr>
<w:r><w:t xml:space="preserve">filled by blocks bolted through on each side, and are flush</w:t></w:r>
</w:p>
<w:p>
<w:pPr><w:pStyle w:val="Normal"/></w:pPr>
<w:r><w:t xml:space="preserve">with the side plates, which keep the flukes in position.</w:t></w:r>
</w:p>
<w:p>
<w:pPr><w:pStyle w:val="Normal"/></w:pPr>
<w:r><w:t xml:space="preserve">FIG. 3.--Improved Martin-Adelphi Anchor.</w:t></w:r>
</w:p>
<w:p>
<w:pPr><w:pStyle w:val="Normal"/></w:pPr>
<w:r><w:t xml:space="preserve">The introduction of cast steel in 1894 led to the improved</w:t></w:r>
</w:p>
<w:p>
<w:pPr><w:pStyle w:val="Normal"/></w:pPr>
<w:r><w:t xml:space="preserve">Martin-Adelphi pattern (fig. 3), in which the crown and arms</w:t></w:r>
</w:p>
<w:p>
<w:pPr><w:pStyle w:val="Normal"/></w:pPr>
<w:r><w:t xml:space="preserve">are cast in one, and, with the stock, are made of cast steel,</w:t></w:r>
</w:p>
<w:p>
<w:pPr><w:pStyle w:val="Normal"/></w:pPr>
<w:r><w:t xml:space="preserve">the shank remaining of forged iron.  A projection in the crown</w:t></w:r>
</w:p>
<w:p>
<w:pPr><w:pStyle w:val="Normal"/></w:pPr>
<w:r><w:t xml:space="preserve">works in a recess (right, fig. 3), and is secured in its place</w:t></w:r>
</w:p>
<w:p>
<w:pPr><w:pStyle w:val="Normal"/></w:pPr>
<w:r><w:t xml:space="preserve">by a forged steel pin, fitted with a nut and washer, which</w:t></w:r>
</w:p>
<w:p>
<w:pPr><w:pStyle w:val="Normal"/></w:pPr>
<w:r><w:t xml:space="preserve">passes through the crown and the heel of the shank.  All the</w:t></w:r>
</w:p>
<w:p>
<w:pPr><w:pStyle w:val="Normal"/></w:pPr>
<w:r><w:t xml:space="preserve">above anchors were provided with a stock (fig. 1, hk), the</w:t></w:r>
</w:p>
<w:p>
<w:pPr><w:pStyle w:val="Normal"/></w:pPr>
<w:r><w:t xml:space="preserve">use of which is to ``cant&apos;&apos; the anchor.  If it falls on the</w:t></w:r>
</w:p>
<w:p>
<w:pPr><w:pStyle w:val="Normal"/></w:pPr>
<w:r><w:t xml:space="preserve">ground, resting on one arm and one stock, when a strain is</w:t></w:r>
</w:p>
<w:p>
<w:pPr><w:pStyle w:val="Normal"/></w:pPr>
<w:r><w:t xml:space="preserve">brought on the cable, the stock cants the anchor, causing the</w:t></w:r>
</w:p>
<w:p>
<w:pPr><w:pStyle w:val="Normal"/></w:pPr>
<w:r><w:t xml:space="preserve">arms to lie at a downward angle to the holding ground; and the</w:t></w:r>
</w:p>
<w:p>
<w:pPr><w:pStyle w:val="Normal"/></w:pPr>
<w:r><w:t xml:space="preserve">pees enter and bury themselves below the surface of the soil.</w:t></w:r>
</w:p>
<w:p>
<w:pPr><w:pStyle w:val="Normal"/></w:pPr>
<w:r><w:t xml:space="preserve">To stow a stocked anchor on the forecastle, it is hove up close</w:t></w:r>
</w:p>
<w:p>
<w:pPr><w:pStyle w:val="Normal"/></w:pPr>
<w:r><w:t xml:space="preserve">to the forefoot, and by means of a ground chain (secured to a</w:t></w:r>
</w:p>
<w:p>
<w:pPr><w:pStyle w:val="Normal"/></w:pPr>
<w:r><w:t xml:space="preserve">balancing or gravity band on the anchor), which is joined to a</w:t></w:r>
</w:p>
<w:p>
<w:pPr><w:pStyle w:val="Normal"/></w:pPr>
<w:r><w:t xml:space="preserve">catting chain rove through a cat davit, the anchor is hove up</w:t></w:r>
</w:p>
<w:p>
<w:pPr><w:pStyle w:val="Normal"/></w:pPr>
<w:r><w:t xml:space="preserve">FIG. 4.--Anchor Crane.</w:t></w:r>
</w:p>
<w:p>
<w:pPr><w:pStyle w:val="Normal"/></w:pPr>
<w:r><w:t xml:space="preserve">horizontally and placed on its bed, where it is secured by</w:t></w:r>
</w:p>
<w:p>
<w:pPr><w:pStyle w:val="Normal"/></w:pPr>
<w:r><w:t xml:space="preserve">chains passing over a rod fitted with a lever for ``letting</w:t></w:r>
</w:p>
<w:p>
<w:pPr><w:pStyle w:val="Normal"/></w:pPr>
<w:r><w:t xml:space="preserve">go.&apos;&apos; The cat davit is hinged at its base, and can be laid flat</w:t></w:r>
</w:p>
<w:p>
<w:pPr><w:pStyle w:val="Normal"/></w:pPr>
<w:r><w:t xml:space="preserve">on the deck for right ahead fire or when at sea.  Ground and</w:t></w:r>
</w:p>
<w:p>
<w:pPr><w:pStyle w:val="Normal"/></w:pPr>
<w:r><w:t xml:space="preserve">catting chains have been superseded in some ships by a wire</w:t></w:r>
</w:p>
<w:p>
<w:pPr><w:pStyle w:val="Normal"/></w:pPr>
<w:r><w:t xml:space="preserve">pendant and cat hook; the anchor is then hove close up to the</w:t></w:r>
</w:p>
<w:p>
<w:pPr><w:pStyle w:val="Normal"/></w:pPr>
<w:r><w:t xml:space="preserve">hawse-pipe.  To avoid cutting away a portion of the forecastle,</w:t></w:r>
</w:p>
<w:p>
<w:pPr><w:pStyle w:val="Normal"/></w:pPr>
<w:r><w:t xml:space="preserve">in the ``Cressy,&apos;&apos; ``Terrible&apos;&apos; and ``Diadem&apos;&apos; classes of</w:t></w:r>
</w:p>
<w:p>
<w:pPr><w:pStyle w:val="Normal"/></w:pPr>
<w:r><w:t xml:space="preserve">the British navy, the anchors, secured by chains, are stowed</w:t></w:r>
</w:p>
<w:p>
<w:pPr><w:pStyle w:val="Normal"/></w:pPr>
<w:r><w:t xml:space="preserve">a-cock-bill, outside the ship, with their crowns resting on</w:t></w:r>
</w:p>
<w:p>
<w:pPr><w:pStyle w:val="Normal"/></w:pPr>
<w:r><w:t xml:space="preserve">iron shoes secured to the ship&apos;s side and the flukes fore and</w:t></w:r>
</w:p>
<w:p>
<w:pPr><w:pStyle w:val="Normal"/></w:pPr>
<w:r><w:t xml:space="preserve">aft.  A difficulty is experienced in stowing the anchors when</w:t></w:r>
</w:p>
<w:p>
<w:pPr><w:pStyle w:val="Normal"/></w:pPr>
<w:r><w:t xml:space="preserve">the ship is pitching or rolling heavily.  Fig. 4 illustrates</w:t></w:r>
</w:p>
<w:p>
<w:pPr><w:pStyle w:val="Normal"/></w:pPr>
<w:r><w:t xml:space="preserve">an anchor with cat davit or anchor crane used in the P.</w:t></w:r>
</w:p>
<w:p>
<w:pPr><w:pStyle w:val="Normal"/></w:pPr>
<w:r><w:t xml:space="preserve">and O. Company&apos;s steamers (``India&apos;&apos; class, 8000 tons);</w:t></w:r>
</w:p>
<w:p>
<w:pPr><w:pStyle w:val="Normal"/></w:pPr>
<w:r><w:t xml:space="preserve">for sea the anchor is stowed on board by the anchor crane.</w:t></w:r>
</w:p>
<w:p>
<w:pPr><w:pStyle w:val="Normal"/></w:pPr>
<w:r><w:t xml:space="preserve">Stockless anchors have been extensively used in the British</w:t></w:r>
</w:p>
<w:p>
<w:pPr><w:pStyle w:val="Normal"/></w:pPr>
<w:r><w:t xml:space="preserve">mercantile marine and in some foreign navies.  In 1903 they</w:t></w:r>
</w:p>
<w:p>
<w:pPr><w:pStyle w:val="Normal"/></w:pPr>
<w:r><w:t xml:space="preserve">FIG. 5.--Hall&apos;s Improved FIG. 6.--W.  L.</w:t></w:r>
</w:p>
<w:p>
<w:pPr><w:pStyle w:val="Normal"/></w:pPr>
<w:r><w:t xml:space="preserve">Byer&apos;s Stockless Anchor.  Stockless Anchor.</w:t></w:r>
</w:p>
<w:p>
<w:pPr><w:pStyle w:val="Normal"/></w:pPr>
<w:r><w:t xml:space="preserve">were adopted generally for the British navy, after extensive</w:t></w:r>
</w:p>
<w:p>
<w:pPr><w:pStyle w:val="Normal"/></w:pPr>
<w:r><w:t xml:space="preserve">anchor trials, begun in 1885.  Their advantages are:--handiness</w:t></w:r>
</w:p>
<w:p>
<w:pPr><w:pStyle w:val="Normal"/></w:pPr>
<w:r><w:t xml:space="preserve">combined with a saving of time and labour; absence of davits,</w:t></w:r>
</w:p>
<w:p>
<w:pPr><w:pStyle w:val="Normal"/></w:pPr>
<w:r><w:t xml:space="preserve">anchor-beds and other gear, with a resulting reduction in</w:t></w:r>
</w:p>
<w:p>
<w:pPr><w:pStyle w:val="Normal"/></w:pPr>
<w:r><w:t xml:space="preserve">weight; and a clear forecastle for ``right ahead&apos;&apos; gun fire</w:t></w:r>
</w:p>
<w:p>
<w:pPr><w:pStyle w:val="Normal"/></w:pPr>
<w:r><w:t xml:space="preserve">or for working ship.  On the other hand a larger hawse-pipe is</w:t></w:r>
</w:p>
<w:p>
<w:pPr><w:pStyle w:val="Normal"/></w:pPr>
<w:r><w:t xml:space="preserve">required, and there appears to be a consensus of opinion that</w:t></w:r>
</w:p>
<w:p>
<w:pPr><w:pStyle w:val="Normal"/></w:pPr>
<w:r><w:t xml:space="preserve">a stockless anchor when ``let go&apos;&apos; does not hold so quickly</w:t></w:r>
</w:p>
<w:p>
<w:pPr><w:pStyle w:val="Normal"/></w:pPr>
<w:r><w:t xml:space="preserve">as a stocked one, is more uncertain in its action over uneven</w:t></w:r>
</w:p>
<w:p>
<w:pPr><w:pStyle w:val="Normal"/></w:pPr>
<w:r><w:t xml:space="preserve">ground, and is more liable to ``come home,&apos; (drag).  The</w:t></w:r>
</w:p>
<w:p>
<w:pPr><w:pStyle w:val="Normal"/></w:pPr>
<w:r><w:t xml:space="preserve">stockless anchors principally in use in the British navy are</w:t></w:r>
</w:p>
<w:p>
<w:pPr><w:pStyle w:val="Normal"/></w:pPr>
<w:r><w:t xml:space="preserve">Hall&apos;s improved, Byer&apos;s, and Wasteneys Smith&apos;s.  In Hall&apos;s</w:t></w:r>
</w:p>
<w:p>
<w:pPr><w:pStyle w:val="Normal"/></w:pPr>
<w:r><w:t xml:space="preserve">improved (fig. 5) the arms and crown of cast steel are in one</w:t></w:r>
</w:p>
<w:p>
<w:pPr><w:pStyle w:val="Normal"/></w:pPr>
<w:r><w:t xml:space="preserve">piece, and the shank of forged steel passes up through an</w:t></w:r>
</w:p>
<w:p>
<w:pPr><w:pStyle w:val="Normal"/></w:pPr>
<w:r><w:t xml:space="preserve">aperture in the crown to which it is secured by two cross</w:t></w:r>
</w:p>
<w:p>
<w:pPr><w:pStyle w:val="Normal"/></w:pPr>
<w:r><w:t xml:space="preserve">bolts.  Two trunnions or lugs are forged to the lower end of the</w:t></w:r>
</w:p>
<w:p>
<w:pPr><w:pStyle w:val="Normal"/></w:pPr>
<w:r><w:t xml:space="preserve">shank.  In Byer&apos;s plan (fig. 6) the flukes and crown consist</w:t></w:r>
</w:p>
<w:p>
<w:pPr><w:pStyle w:val="Normal"/></w:pPr>
<w:r><w:t xml:space="preserve">of a steel-casting secured to a forged shank by a through bolt</w:t></w:r>
</w:p>
<w:p>
<w:pPr><w:pStyle w:val="Normal"/></w:pPr>
<w:r><w:t xml:space="preserve">of mild steel, the axis of which is parallel to the points</w:t></w:r>
</w:p>
<w:p>
<w:pPr><w:pStyle w:val="Normal"/></w:pPr>
<w:r><w:t xml:space="preserve">of the flukes; one end of the bolt has a head, but the other</w:t></w:r>
</w:p>
<w:p>
<w:pPr><w:pStyle w:val="Normal"/></w:pPr>
<w:r><w:t xml:space="preserve">is screwed and fitted with a phosphor bronze nut to allow the</w:t></w:r>
</w:p>
<w:p>
<w:pPr><w:pStyle w:val="Normal"/></w:pPr>
<w:r><w:t xml:space="preserve">bolt to be withdrawn for examination.  A palm is cast on each</w:t></w:r>
</w:p>
<w:p>
<w:pPr><w:pStyle w:val="Normal"/></w:pPr>
<w:r><w:t xml:space="preserve">side of the crown to trip the flukes when the anchor is on the</w:t></w:r>
</w:p>
<w:p>
<w:pPr><w:pStyle w:val="Normal"/></w:pPr>
<w:r><w:t xml:space="preserve">ground, and for bringing them snug against the ship&apos;s side when</w:t></w:r>
</w:p>
<w:p>
<w:pPr><w:pStyle w:val="Normal"/></w:pPr>
<w:r><w:t xml:space="preserve">weighing.  Wasteneys Smith&apos;s anchor (fig. 7) is composed of</w:t></w:r>
</w:p>
<w:p>
<w:pPr><w:pStyle w:val="Normal"/></w:pPr>
<w:r><w:t xml:space="preserve">Fig. 7.--Wasteneys Smith&apos;s Stockless anchor.</w:t></w:r>
</w:p>
<w:p>
<w:pPr><w:pStyle w:val="Normal"/></w:pPr>
<w:r><w:t xml:space="preserve">three main parts, the shank and crown which form one forging,</w:t></w:r>
</w:p>
<w:p>
<w:pPr><w:pStyle w:val="Normal"/></w:pPr>
<w:r><w:t xml:space="preserve">and the two flukes or arms which are separate castings.  A bolt</w:t></w:r>
</w:p>
<w:p>
<w:pPr><w:pStyle w:val="Normal"/></w:pPr>
<w:r><w:t xml:space="preserve">passes through the crown of the anchor, connecting the flukes</w:t></w:r>
</w:p>
<w:p>
<w:pPr><w:pStyle w:val="Normal"/></w:pPr>
<w:r><w:t xml:space="preserve">to it; to prevent the flukes working off the connecting through</w:t></w:r>
</w:p>
<w:p>
<w:pPr><w:pStyle w:val="Normal"/></w:pPr>
<w:r><w:t xml:space="preserve">bolt, two smaller bolts pass through the flukes at right angles</w:t></w:r>
</w:p>
<w:p>
<w:pPr><w:pStyle w:val="Normal"/></w:pPr>
<w:r><w:t xml:space="preserve">to the through bolt and are recessed half their diameter into it.</w:t></w:r>
</w:p>
<w:p>
<w:pPr><w:pStyle w:val="Normal"/></w:pPr>
<w:r><w:t xml:space="preserve">Fig. 8 represents the starboard bow of H.M.S. ``New Zealand&apos;&apos;</w:t></w:r>
</w:p>
<w:p>
<w:pPr><w:pStyle w:val="Normal"/></w:pPr>
<w:r><w:t xml:space="preserve">FIG. 8.--Starboard Bow of H.M.S. ``New Zealand.&apos;&apos;</w:t></w:r>
</w:p>
<w:p>
<w:pPr><w:pStyle w:val="Normal"/></w:pPr>
<w:r><w:t xml:space="preserve">(16,350 tons) with lower and sheet (spare) anchors stowed.</w:t></w:r>
</w:p>
<w:p>
<w:pPr><w:pStyle w:val="Normal"/></w:pPr>
<w:r><w:t xml:space="preserve">To let go a stockless anchor (fig. 9) the cable or capstan</w:t></w:r>
</w:p>
<w:p>
<w:pPr><w:pStyle w:val="Normal"/></w:pPr>
<w:r><w:t xml:space="preserve">holder C is unscrewed, and in practice it is found desirable</w:t></w:r>
</w:p>
<w:p>
<w:pPr><w:pStyle w:val="Normal"/></w:pPr>
<w:r><w:t xml:space="preserve">to knock off the bottle screw-slip A, allowing the weight</w:t></w:r>
</w:p>
<w:p>
<w:pPr><w:pStyle w:val="Normal"/></w:pPr>
<w:r><w:t xml:space="preserve">of the anchor to be taken by the inner slip A&apos; (Blake&apos;s</w:t></w:r>
</w:p>
<w:p>
<w:pPr><w:pStyle w:val="Normal"/></w:pPr>
<w:r><w:t xml:space="preserve">stopper).  Stern, stream and kedge anchors are usually</w:t></w:r>
</w:p>
<w:p>
<w:pPr><w:pStyle w:val="Normal"/></w:pPr>
<w:r><w:t xml:space="preserve">stowed with special davits.  A portable anchor suitable for</w:t></w:r>
</w:p>
<w:p>
<w:pPr><w:pStyle w:val="Normal"/></w:pPr>
<w:r><w:t xml:space="preserve">small yachts is the invention of Mr Louis Moore; the shank</w:t></w:r>
</w:p>
<w:p>
<w:pPr><w:pStyle w:val="Normal"/></w:pPr>
<w:r><w:t xml:space="preserve">passes through the crown of the anchor like the handle of</w:t></w:r>
</w:p>
<w:p>
<w:pPr><w:pStyle w:val="Normal"/></w:pPr>
<w:r><w:t xml:space="preserve">a pickaxe and the stock over the head of the shank.  At</w:t></w:r>
</w:p>
<w:p>
<w:pPr><w:pStyle w:val="Normal"/></w:pPr>
<w:r><w:t xml:space="preserve">the end of the stock are loose pawls.  There are no keys or</w:t></w:r>
</w:p>
<w:p>
<w:pPr><w:pStyle w:val="Normal"/></w:pPr>
<w:r><w:t xml:space="preserve">bolts, and the only fastening is for the cable.  The anchor</w:t></w:r>
</w:p>
<w:p>
<w:pPr><w:pStyle w:val="Normal"/></w:pPr>
<w:r><w:t xml:space="preserve">takes to pieces readily and stows snugly.  In 1890 Colonel</w:t></w:r>
</w:p>
<w:p>
<w:pPr><w:pStyle w:val="Normal"/></w:pPr>
<w:r><w:t xml:space="preserve">Bucknill also invented a portable anchor for small yachts.</w:t></w:r>
</w:p>
<w:p>
<w:pPr><w:pStyle w:val="Normal"/></w:pPr>
<w:r><w:t xml:space="preserve">Iron buoy-sinkers (fig. 10), as used by the London Trinity</w:t></w:r>
</w:p>
<w:p>
<w:pPr><w:pStyle w:val="Normal"/></w:pPr>
<w:r><w:t xml:space="preserve">House Corporation, weigh from 8 to 40 cwt.; the specified</w:t></w:r>
</w:p>
<w:p>
<w:pPr><w:pStyle w:val="Normal"/></w:pPr>
<w:r><w:t xml:space="preserve">weight is cast on them in large raised figures, and the</w:t></w:r>
</w:p>
<w:p>
<w:pPr><w:pStyle w:val="Normal"/></w:pPr>
<w:r><w:t xml:space="preserve">cast and wrought irons used are of special quality, of which</w:t></w:r>
</w:p>
<w:p>
<w:pPr><w:pStyle w:val="Normal"/></w:pPr>
<w:r><w:t xml:space="preserve">samples are previously submitted to the engineer-in-chief.</w:t></w:r>
</w:p>
<w:p>
<w:pPr><w:pStyle w:val="Normal"/></w:pPr>
<w:r><w:t xml:space="preserve">The anchors supplied to ships of the British navy are reqaired</w:t></w:r>
</w:p>
<w:p>
<w:pPr><w:pStyle w:val="Normal"/></w:pPr>
<w:r><w:t xml:space="preserve">FIG. 9.--Forecastle of H.M.S. ``New Zealand.,&apos; A.</w:t></w:r>
</w:p>
<w:p>
<w:pPr><w:pStyle w:val="Normal"/></w:pPr>
<w:r><w:t xml:space="preserve">Bottle or screw-slip.  B. Deck or navel pices.  A&apos;. Slip</w:t></w:r>
</w:p>
<w:p>
<w:pPr><w:pStyle w:val="Normal"/></w:pPr>
<w:r><w:t xml:space="preserve">or Blake&apos;s stopper.  F. Fairleads for wire hawsers.  D.</w:t></w:r>
</w:p>
<w:p>
<w:pPr><w:pStyle w:val="Normal"/></w:pPr>
<w:r><w:t xml:space="preserve">Bitts.  H. Hawse-pipes.  C. Cable or Capstan-holders.  S.</w:t></w:r>
</w:p>
<w:p>
<w:pPr><w:pStyle w:val="Normal"/></w:pPr>
<w:r><w:t xml:space="preserve">Stopoer-bolts.  C&apos;. Centre line capstan.  R. Rollers.</w:t></w:r>
</w:p>
<w:p>
<w:pPr><w:pStyle w:val="Normal"/></w:pPr>
<w:r><w:t xml:space="preserve">to withstand a certain tensile strain, expressed in tons,</w:t></w:r>
</w:p>
<w:p>
<w:pPr><w:pStyle w:val="Normal"/></w:pPr>
<w:r><w:t xml:space="preserve">proportionate to their weights in cwts.  New anchors are</w:t></w:r>
</w:p>
<w:p>
<w:pPr><w:pStyle w:val="Normal"/></w:pPr>
<w:r><w:t xml:space="preserve">supplied by contractors, but repairs are made in H.M. dockyards,</w:t></w:r>
</w:p>
<w:p>
<w:pPr><w:pStyle w:val="Normal"/></w:pPr>
<w:r><w:t xml:space="preserve">a record of its repairs being stamped on each anchor.  In</w:t></w:r>
</w:p>
<w:p>
<w:pPr><w:pStyle w:val="Normal"/></w:pPr>
<w:r><w:t xml:space="preserve">the Anchors and Cables Act 1899 a list is given of authorized</w:t></w:r>
</w:p>
<w:p>
<w:pPr><w:pStyle w:val="Normal"/></w:pPr>
<w:r><w:t xml:space="preserve">testing-establishments, with their distinctive marks and</w:t></w:r>
</w:p>
<w:p>
<w:pPr><w:pStyle w:val="Normal"/></w:pPr>
<w:r><w:t xml:space="preserve">charges, and testing- houses for foreign-owned vessels are</w:t></w:r>
</w:p>
<w:p>
<w:pPr><w:pStyle w:val="Normal"/></w:pPr>
<w:r><w:t xml:space="preserve">Fig. 10.--Iron Buoy- Sinker.</w:t></w:r>
</w:p>
<w:p>
<w:pPr><w:pStyle w:val="Normal"/></w:pPr>
<w:r><w:t xml:space="preserve">enumerated in Table 22 of Lloyd&apos;s Register of British and</w:t></w:r>
</w:p>
<w:p>
<w:pPr><w:pStyle w:val="Normal"/></w:pPr>
<w:r><w:t xml:space="preserve">Foreign Shipping. Cast-steel anchors, in addition to the</w:t></w:r>
</w:p>
<w:p>
<w:pPr><w:pStyle w:val="Normal"/></w:pPr>
<w:r><w:t xml:space="preserve">statutory tests, are subjected to percussive, hammering and</w:t></w:r>
</w:p>
<w:p>
<w:pPr><w:pStyle w:val="Normal"/></w:pPr>
<w:r><w:t xml:space="preserve">bending tests, and are stamped ``annealed steel.&apos;&apos; (J. W. D.)</w:t></w:r>
</w:p>
<w:p>
<w:pPr><w:pStyle w:val="Normal"/></w:pPr>
<w:r><w:t xml:space="preserve">ANCHOVY (Engraulis encrasicholus), a fish of the herring</w:t></w:r>
</w:p>
<w:p>
<w:pPr><w:pStyle w:val="Normal"/></w:pPr>
<w:r><w:t xml:space="preserve">family, easily distinguished by its deeply-cleft mouth,</w:t></w:r>
</w:p>
<w:p>
<w:pPr><w:pStyle w:val="Normal"/></w:pPr>
<w:r><w:t xml:space="preserve">the angle of the gape being behind the eyes.  The pointed</w:t></w:r>
</w:p>
<w:p>
<w:pPr><w:pStyle w:val="Normal"/></w:pPr>
<w:r><w:t xml:space="preserve">snout extends beyond the lower jaw.  The fish resembles a</w:t></w:r>
</w:p>
<w:p>
<w:pPr><w:pStyle w:val="Normal"/></w:pPr>
<w:r><w:t xml:space="preserve">sprat in having a forked tail and a single dorsal fin, but</w:t></w:r>
</w:p>
<w:p>
<w:pPr><w:pStyle w:val="Normal"/></w:pPr>
<w:r><w:t xml:space="preserve">the body is round and slender.  The maximum length is 8 1/8</w:t></w:r>
</w:p>
<w:p>
<w:pPr><w:pStyle w:val="Normal"/></w:pPr>
<w:r><w:t xml:space="preserve">in.  Anchovies are abundant in the Mediterranean, and are</w:t></w:r>
</w:p>
<w:p>
<w:pPr><w:pStyle w:val="Normal"/></w:pPr>
<w:r><w:t xml:space="preserve">regularly caught on the coasts of Sicily, Italy, France and</w:t></w:r>
</w:p>
<w:p>
<w:pPr><w:pStyle w:val="Normal"/></w:pPr>
<w:r><w:t xml:space="preserve">Spain.  The range of the species also extends along the</w:t></w:r>
</w:p>
<w:p>
<w:pPr><w:pStyle w:val="Normal"/></w:pPr>
<w:r><w:t xml:space="preserve">Atlantic coast of Europe to the south of Norway.  In winter</w:t></w:r>
</w:p>
<w:p>
<w:pPr><w:pStyle w:val="Normal"/></w:pPr>
<w:r><w:t xml:space="preserve">it is common off Devon and Cornwall, but has not hitherto been</w:t></w:r>
</w:p>
<w:p>
<w:pPr><w:pStyle w:val="Normal"/></w:pPr>
<w:r><w:t xml:space="preserve">caught in such numbers as to be of commercial importance.  Off</w:t></w:r>
</w:p>
<w:p>
<w:pPr><w:pStyle w:val="Normal"/></w:pPr>
<w:r><w:t xml:space="preserve">the coast of Holland in summer it is more plentiful, entering</w:t></w:r>
</w:p>
<w:p>
<w:pPr><w:pStyle w:val="Normal"/></w:pPr>
<w:r><w:t xml:space="preserve">the Zuider Zee in such numbers as to give rise to a regular</w:t></w:r>
</w:p>
<w:p>
<w:pPr><w:pStyle w:val="Normal"/></w:pPr>
<w:r><w:t xml:space="preserve">and valuable fishery.  It is also taken in the estuary of the</w:t></w:r>
</w:p>
<w:p>
<w:pPr><w:pStyle w:val="Normal"/></w:pPr>
<w:r><w:t xml:space="preserve">Scheldt.  There is reason to believe that the anchovies found</w:t></w:r>
</w:p>
<w:p>
<w:pPr><w:pStyle w:val="Normal"/></w:pPr>
<w:r><w:t xml:space="preserve">at the western end of the English Channel in November and</w:t></w:r>
</w:p>
<w:p>
<w:pPr><w:pStyle w:val="Normal"/></w:pPr>
<w:r><w:t xml:space="preserve">December are those which annually migrate from the Zuider</w:t></w:r>
</w:p>
<w:p>
<w:pPr><w:pStyle w:val="Normal"/></w:pPr>
<w:r><w:t xml:space="preserve">Zee and Scheldt in autumn, returning thither in the following</w:t></w:r>
</w:p>
<w:p>
<w:pPr><w:pStyle w:val="Normal"/></w:pPr>
<w:r><w:t xml:space="preserve">spring; they must be held to form an isolated stock, for</w:t></w:r>
</w:p>
<w:p>
<w:pPr><w:pStyle w:val="Normal"/></w:pPr>
<w:r><w:t xml:space="preserve">none come up from the south in summer to occupy the English</w:t></w:r>
</w:p>
<w:p>
<w:pPr><w:pStyle w:val="Normal"/></w:pPr>
<w:r><w:t xml:space="preserve">Channel, though the species is resident on the coast of</w:t></w:r>
</w:p>
<w:p>
<w:pPr><w:pStyle w:val="Normal"/></w:pPr>
<w:r><w:t xml:space="preserve">Portugal.  The explanation appears to be that the shallow</w:t></w:r>
</w:p>
<w:p>
<w:pPr><w:pStyle w:val="Normal"/></w:pPr>
<w:r><w:t xml:space="preserve">and landlocked waters of the Zuider Zee, as well as the sea</w:t></w:r>
</w:p>
<w:p>
<w:pPr><w:pStyle w:val="Normal"/></w:pPr>
<w:r><w:t xml:space="preserve">on the Dutch coast, become raised to a higher temperature</w:t></w:r>
</w:p>
<w:p>
<w:pPr><w:pStyle w:val="Normal"/></w:pPr>
<w:r><w:t xml:space="preserve">in summer than any part of the sea about the British coasts,</w:t></w:r>
</w:p>
<w:p>
<w:pPr><w:pStyle w:val="Normal"/></w:pPr>
<w:r><w:t xml:space="preserve">and that therefore anchovies are able to spawn and maintain</w:t></w:r>
</w:p>
<w:p>
<w:pPr><w:pStyle w:val="Normal"/></w:pPr>
<w:r><w:t xml:space="preserve">their numbers in these waters.  Their reproduction and</w:t></w:r>
</w:p>
<w:p>
<w:pPr><w:pStyle w:val="Normal"/></w:pPr>
<w:r><w:t xml:space="preserve">development were first described by a Dutch naturalist from</w:t></w:r>
</w:p>
<w:p>
<w:pPr><w:pStyle w:val="Normal"/></w:pPr>
<w:r><w:t xml:space="preserve">observations made on the shores of the Zuider Zee. Spawning</w:t></w:r>
</w:p>
<w:p>
<w:pPr><w:pStyle w:val="Normal"/></w:pPr>
<w:r><w:t xml:space="preserve">takes place in June and July, and the eggs, like those of</w:t></w:r>
</w:p>
<w:p>
<w:pPr><w:pStyle w:val="Normal"/></w:pPr>
<w:r><w:t xml:space="preserve">the majority of marine fishes, are buoyant and transparent,</w:t></w:r>
</w:p>
<w:p>
<w:pPr><w:pStyle w:val="Normal"/></w:pPr>
<w:r><w:t xml:space="preserve">but they are peculiar in having an elongated, sausage-like</w:t></w:r>
</w:p>
<w:p>
<w:pPr><w:pStyle w:val="Normal"/></w:pPr>
<w:r><w:t xml:space="preserve">shape, instead of being globular.  They resemble those of</w:t></w:r>
</w:p>
<w:p>
<w:pPr><w:pStyle w:val="Normal"/></w:pPr>
<w:r><w:t xml:space="preserve">the sprat and pilchard in having a segmented yolk and there</w:t></w:r>
</w:p>
<w:p>
<w:pPr><w:pStyle w:val="Normal"/></w:pPr>
<w:r><w:t xml:space="preserve">is no oil globule.  The larva is batched two or three days</w:t></w:r>
</w:p>
<w:p>
<w:pPr><w:pStyle w:val="Normal"/></w:pPr>
<w:r><w:t xml:space="preserve">after the fertilization of the egg, and is very minute and</w:t></w:r>
</w:p>
<w:p>
<w:pPr><w:pStyle w:val="Normal"/></w:pPr>
<w:r><w:t xml:space="preserve">transparent.  In August young specimens 1 1/2 to 3 1/2 in. in</w:t></w:r>
</w:p>
<w:p>
<w:pPr><w:pStyle w:val="Normal"/></w:pPr>
<w:r><w:t xml:space="preserve">length have been taken in the Zuider Zee, and these must be</w:t></w:r>
</w:p>
<w:p>
<w:pPr><w:pStyle w:val="Normal"/></w:pPr>
<w:r><w:t xml:space="preserve">held to have been derived from the spawning of the previous</w:t></w:r>
</w:p>
<w:p>
<w:pPr><w:pStyle w:val="Normal"/></w:pPr>
<w:r><w:t xml:space="preserve">summer.  There is no evidence to decide the question whether</w:t></w:r>
</w:p>
<w:p>
<w:pPr><w:pStyle w:val="Normal"/></w:pPr>
<w:r><w:t xml:space="preserve">all the young anchovies as well as the adults leave the Zuider</w:t></w:r>
</w:p>
<w:p>
<w:pPr><w:pStyle w:val="Normal"/></w:pPr>
<w:r><w:t xml:space="preserve">Zee in autumn, but, considering the winter temperature there,</w:t></w:r>
</w:p>
<w:p>
<w:pPr><w:pStyle w:val="Normal"/></w:pPr>
<w:r><w:t xml:space="preserve">it is probable that they do.  The eggs have also been obtained</w:t></w:r>
</w:p>
<w:p>
<w:pPr><w:pStyle w:val="Normal"/></w:pPr>
<w:r><w:t xml:space="preserve">from the Bay of Naples, and near Marseilles, also off the coast</w:t></w:r>
</w:p>
<w:p>
<w:pPr><w:pStyle w:val="Normal"/></w:pPr>
<w:r><w:t xml:space="preserve">of Holland, and once at least off the coast of Lancashire.</w:t></w:r>
</w:p>
<w:p>
<w:pPr><w:pStyle w:val="Normal"/></w:pPr>
<w:r><w:t xml:space="preserve">The occurrence of anchovies in the English Channel has been</w:t></w:r>
</w:p>
<w:p>
<w:pPr><w:pStyle w:val="Normal"/></w:pPr>
<w:r><w:t xml:space="preserve">carefully studied at the laboratory of the Marine Biological</w:t></w:r>
</w:p>
<w:p>
<w:pPr><w:pStyle w:val="Normal"/></w:pPr>
<w:r><w:t xml:space="preserve">Association at Plymouth.  They were most abundant in 1889 and</w:t></w:r>
</w:p>
<w:p>
<w:pPr><w:pStyle w:val="Normal"/></w:pPr>
<w:r><w:t xml:space="preserve">1890.  In the former year considerable numbers were taken</w:t></w:r>
</w:p>
<w:p>
<w:pPr><w:pStyle w:val="Normal"/></w:pPr>
<w:r><w:t xml:space="preserve">off Dover in drift nets of small mesh used for the capture of</w:t></w:r>
</w:p>
<w:p>
<w:pPr><w:pStyle w:val="Normal"/></w:pPr>
<w:r><w:t xml:space="preserve">sprats.  In the following December large numbers were taken</w:t></w:r>
</w:p>
<w:p>
<w:pPr><w:pStyle w:val="Normal"/></w:pPr>
<w:r><w:t xml:space="preserve">together with sprats at Torquay.  In November 1890 a thousand</w:t></w:r>
</w:p>
<w:p>
<w:pPr><w:pStyle w:val="Normal"/></w:pPr>
<w:r><w:t xml:space="preserve">of the fish were obtained in two days from the pilchard boats</w:t></w:r>
</w:p>
<w:p>
<w:pPr><w:pStyle w:val="Normal"/></w:pPr>
<w:r><w:t xml:space="preserve">fishing near Plymouth; these were caught near the Eddystone.</w:t></w:r>
</w:p>
<w:p>
<w:pPr><w:pStyle w:val="Normal"/></w:pPr>
<w:r><w:t xml:space="preserve">When taken in British waters anchovies are either thrown away</w:t></w:r>
</w:p>
<w:p>
<w:pPr><w:pStyle w:val="Normal"/></w:pPr>
<w:r><w:t xml:space="preserve">or sent to the market fresh with the sprats.  If salted in</w:t></w:r>
</w:p>
<w:p>
<w:pPr><w:pStyle w:val="Normal"/></w:pPr>
<w:r><w:t xml:space="preserve">the proper way, they would doubtless be in all respects equal</w:t></w:r>
</w:p>
<w:p>
<w:pPr><w:pStyle w:val="Normal"/></w:pPr>
<w:r><w:t xml:space="preserve">to Dutch anchovies, if not to those imported from Italy.  The</w:t></w:r>
</w:p>
<w:p>
<w:pPr><w:pStyle w:val="Normal"/></w:pPr>
<w:r><w:t xml:space="preserve">supply, however, is small and inconstant, and for this reason</w:t></w:r>
</w:p>
<w:p>
<w:pPr><w:pStyle w:val="Normal"/></w:pPr>
<w:r><w:t xml:space="preserve">English fish-curers have not learnt the proper way of preparing</w:t></w:r>
</w:p>
<w:p>
<w:pPr><w:pStyle w:val="Normal"/></w:pPr>
<w:r><w:t xml:space="preserve">them.  The so-called ``Norwegian anchovies&apos;&apos; imported into</w:t></w:r>
</w:p>
<w:p>
<w:pPr><w:pStyle w:val="Normal"/></w:pPr>
<w:r><w:t xml:space="preserve">England in little wooden kegs are nothing but sprats pickled</w:t></w:r>
</w:p>
<w:p>
<w:pPr><w:pStyle w:val="Normal"/></w:pPr>
<w:r><w:t xml:space="preserve">in brine with bay-leaves and whole pepper. (J. T. C.)</w:t></w:r>
</w:p>
<w:p>
<w:pPr><w:pStyle w:val="Normal"/></w:pPr>
<w:r><w:t xml:space="preserve">ANCIEN REGIME, THE, a French phrase commonly used, even</w:t></w:r>
</w:p>
<w:p>
<w:pPr><w:pStyle w:val="Normal"/></w:pPr>
<w:r><w:t xml:space="preserve">by English writers, to denote the social and political system</w:t></w:r>
</w:p>
<w:p>
<w:pPr><w:pStyle w:val="Normal"/></w:pPr>
<w:r><w:t xml:space="preserve">established in France under the old monarchy, which was swept</w:t></w:r>
</w:p>
<w:p>
<w:pPr><w:pStyle w:val="Normal"/></w:pPr>
<w:r><w:t xml:space="preserve">away by the Revolution of 1789.  The phrase is generally</w:t></w:r>
</w:p>
<w:p>
<w:pPr><w:pStyle w:val="Normal"/></w:pPr>
<w:r><w:t xml:space="preserve">applicable only to France, for in no other country, with perhaps</w:t></w:r>
</w:p>
<w:p>
<w:pPr><w:pStyle w:val="Normal"/></w:pPr>
<w:r><w:t xml:space="preserve">the exception of Japan, has there been in modern times so</w:t></w:r>
</w:p>
<w:p>
<w:pPr><w:pStyle w:val="Normal"/></w:pPr>
<w:r><w:t xml:space="preserve">clearly marked a division between ``the old order&apos;&apos; and the new.</w:t></w:r>
</w:p>
<w:p>
<w:pPr><w:pStyle w:val="Normal"/></w:pPr>
<w:r><w:t xml:space="preserve">ANCIENT (also spelt ANTIENT; derived, through the Fr.</w:t></w:r>
</w:p>
<w:p>
<w:pPr><w:pStyle w:val="Normal"/></w:pPr>
<w:r><w:t xml:space="preserve">ancien, old, from the late Lat. anitianum, from ante,</w:t></w:r>
</w:p>
<w:p>
<w:pPr><w:pStyle w:val="Normal"/></w:pPr>
<w:r><w:t xml:space="preserve">before), old or in olden times. ``Ancient history&apos;&apos; is</w:t></w:r>
</w:p>
<w:p>
<w:pPr><w:pStyle w:val="Normal"/></w:pPr>
<w:r><w:t xml:space="preserve">distinguished from medieval and modern, generally as meaning</w:t></w:r>
</w:p>
<w:p>
<w:pPr><w:pStyle w:val="Normal"/></w:pPr>
<w:r><w:t xml:space="preserve">before the fall of the western Roman empire.  In English legal</w:t></w:r>
</w:p>
<w:p>
<w:pPr><w:pStyle w:val="Normal"/></w:pPr>
<w:r><w:t xml:space="preserve">history, ``ancient&apos;&apos; tenure or demesne refers to what was</w:t></w:r>
</w:p>
<w:p>
<w:pPr><w:pStyle w:val="Normal"/></w:pPr>
<w:r><w:t xml:space="preserve">crown property in the time of Edward the Confessor or William</w:t></w:r>
</w:p>
<w:p>
<w:pPr><w:pStyle w:val="Normal"/></w:pPr>
<w:r><w:t xml:space="preserve">the Conqueror. ``The Ancient of days&apos;&apos; is a Biblical phrase</w:t></w:r>
</w:p>
<w:p>
<w:pPr><w:pStyle w:val="Normal"/></w:pPr>
<w:r><w:t xml:space="preserve">for God. In the London Inns of Court the senior barristers</w:t></w:r>
</w:p>
<w:p>
<w:pPr><w:pStyle w:val="Normal"/></w:pPr>
<w:r><w:t xml:space="preserve">used to be called ``ancients.&apos;&apos; From the 16th to the 18th</w:t></w:r>
</w:p>
<w:p>
<w:pPr><w:pStyle w:val="Normal"/></w:pPr>
<w:r><w:t xml:space="preserve">century the word was also used, by confusion with ``ensign,&apos;&apos;</w:t></w:r>
</w:p>
<w:p>
<w:pPr><w:pStyle w:val="Normal"/></w:pPr>
<w:r><w:t xml:space="preserve">i.e; flag or standard-bearer, for that military title, as</w:t></w:r>
</w:p>
<w:p>
<w:pPr><w:pStyle w:val="Normal"/></w:pPr>
<w:r><w:t xml:space="preserve">in the case of Shakespeare&apos;s ``ancient Pistol&apos;&apos;; but this</w:t></w:r>
</w:p>
<w:p>
<w:pPr><w:pStyle w:val="Normal"/></w:pPr>
<w:r><w:t xml:space="preserve">use has nothing to do with ``ancient&apos;&apos; meaning ``old.&apos;&apos;</w:t></w:r>
</w:p>
<w:p>
<w:pPr><w:pStyle w:val="Normal"/></w:pPr>
<w:r><w:t xml:space="preserve">ANCIENT LIGHTS, a phrase in English law for a negative</w:t></w:r>
</w:p>
<w:p>
<w:pPr><w:pStyle w:val="Normal"/></w:pPr>
<w:r><w:t xml:space="preserve">easement (q.v.) consisting in the right to prevent the</w:t></w:r>
</w:p>
<w:p>
<w:pPr><w:pStyle w:val="Normal"/></w:pPr>
<w:r><w:t xml:space="preserve">owner or occupier of an adjoining tenement from building</w:t></w:r>
</w:p>
<w:p>
<w:pPr><w:pStyle w:val="Normal"/></w:pPr>
<w:r><w:t xml:space="preserve">or placing on his own land anything which has the effect of</w:t></w:r>
</w:p>
<w:p>
<w:pPr><w:pStyle w:val="Normal"/></w:pPr>
<w:r><w:t xml:space="preserve">illegally obstructing or obscuring the light of the dominant</w:t></w:r>
</w:p>
<w:p>
<w:pPr><w:pStyle w:val="Normal"/></w:pPr>
<w:r><w:t xml:space="preserve">tenement.  At common law a person, who opens a window in his</w:t></w:r>
</w:p>
<w:p>
<w:pPr><w:pStyle w:val="Normal"/></w:pPr>
<w:r><w:t xml:space="preserve">house, has a natural right to receive the flow of light</w:t></w:r>
</w:p>
<w:p>
<w:pPr><w:pStyle w:val="Normal"/></w:pPr>
<w:r><w:t xml:space="preserve">that passes through it.  But his neighbour is not debarred</w:t></w:r>
</w:p>
<w:p>
<w:pPr><w:pStyle w:val="Normal"/></w:pPr>
<w:r><w:t xml:space="preserve">thereby from building on his own land even though the</w:t></w:r>
</w:p>
<w:p>
<w:pPr><w:pStyle w:val="Normal"/></w:pPr>
<w:r><w:t xml:space="preserve">effect of his action is to obstruct the flow of light thus</w:t></w:r>
</w:p>
<w:p>
<w:pPr><w:pStyle w:val="Normal"/></w:pPr>
<w:r><w:t xml:space="preserve">obtained.  Where, however, a window had been opened for so</w:t></w:r>
</w:p>
<w:p>
<w:pPr><w:pStyle w:val="Normal"/></w:pPr>
<w:r><w:t xml:space="preserve">long a time as to constitute immemorial usage in law, the</w:t></w:r>
</w:p>
<w:p>
<w:pPr><w:pStyle w:val="Normal"/></w:pPr>
<w:r><w:t xml:space="preserve">light became an ``ancient light&apos;&apos; which the law protected from</w:t></w:r>
</w:p>
<w:p>
<w:pPr><w:pStyle w:val="Normal"/></w:pPr>
<w:r><w:t xml:space="preserve">disturbance.  The Prescription Act 1832 created a statutory</w:t></w:r>
</w:p>
<w:p>
<w:pPr><w:pStyle w:val="Normal"/></w:pPr>
<w:r><w:t xml:space="preserve">prescription for light.  It provided (s. 3) that ``when the</w:t></w:r>
</w:p>
<w:p>
<w:pPr><w:pStyle w:val="Normal"/></w:pPr>
<w:r><w:t xml:space="preserve">access and use of light to and for&apos;&apos; (any building) ``shall</w:t></w:r>
</w:p>
<w:p>
<w:pPr><w:pStyle w:val="Normal"/></w:pPr>
<w:r><w:t xml:space="preserve">have been actually enjoyed therewith for the full period of</w:t></w:r>
</w:p>
<w:p>
<w:pPr><w:pStyle w:val="Normal"/></w:pPr>
<w:r><w:t xml:space="preserve">20 years without interruption, the right thereto shall be</w:t></w:r>
</w:p>
<w:p>
<w:pPr><w:pStyle w:val="Normal"/></w:pPr>
<w:r><w:t xml:space="preserve">deemed absolute and indefeasible, any local usage or custom</w:t></w:r>
</w:p>
<w:p>
<w:pPr><w:pStyle w:val="Normal"/></w:pPr>
<w:r><w:t xml:space="preserve">to the contrary notwithstanding, unless it shall appear that</w:t></w:r>
</w:p>
<w:p>
<w:pPr><w:pStyle w:val="Normal"/></w:pPr>
<w:r><w:t xml:space="preserve">the same was enjoyed by some consent or agreement, expressly</w:t></w:r>
</w:p>
<w:p>
<w:pPr><w:pStyle w:val="Normal"/></w:pPr>
<w:r><w:t xml:space="preserve">made or given for that purpose by deed or writing.&apos;&apos; The</w:t></w:r>
</w:p>
<w:p>
<w:pPr><w:pStyle w:val="Normal"/></w:pPr>
<w:r><w:t xml:space="preserve">statute does not create an absolute or indefeasible right</w:t></w:r>
</w:p>
<w:p>
<w:pPr><w:pStyle w:val="Normal"/></w:pPr>
<w:r><w:t xml:space="preserve">immediately on the expiration of twenty years.  Unless and</w:t></w:r>
</w:p>
<w:p>
<w:pPr><w:pStyle w:val="Normal"/></w:pPr>
<w:r><w:t xml:space="preserve">until the dominant owner&apos;s claim is brought into question</w:t></w:r>
</w:p>
<w:p>
<w:pPr><w:pStyle w:val="Normal"/></w:pPr>
<w:r><w:t xml:space="preserve">(s.4) no absolute or indefeasible title can arise under the</w:t></w:r>
</w:p>
<w:p>
<w:pPr><w:pStyle w:val="Normal"/></w:pPr>
<w:r><w:t xml:space="preserve">act.  The dominant owner has only an inchoate right to avail</w:t></w:r>
</w:p>
<w:p>
<w:pPr><w:pStyle w:val="Normal"/></w:pPr>
<w:r><w:t xml:space="preserve">himself under the act of the twenty years&apos; uninterrupted</w:t></w:r>
</w:p>
<w:p>
<w:pPr><w:pStyle w:val="Normal"/></w:pPr>
<w:r><w:t xml:space="preserve">enjoyment, if his claim is brought into question.  But in the</w:t></w:r>
</w:p>
<w:p>
<w:pPr><w:pStyle w:val="Normal"/></w:pPr>
<w:r><w:t xml:space="preserve">meantime, however long the enjoyment may have been, his right</w:t></w:r>
</w:p>
<w:p>
<w:pPr><w:pStyle w:val="Normal"/></w:pPr>
<w:r><w:t xml:space="preserve">is just the same, and the origin of his right is just the</w:t></w:r>
</w:p>
<w:p>
<w:pPr><w:pStyle w:val="Normal"/></w:pPr>
<w:r><w:t xml:space="preserve">same as if the act had never been passed.  These principles</w:t></w:r>
</w:p>
<w:p>
<w:pPr><w:pStyle w:val="Normal"/></w:pPr>
<w:r><w:t xml:space="preserve">were laid down in 1904 by the House of Lords in the leading</w:t></w:r>
</w:p>
<w:p>
<w:pPr><w:pStyle w:val="Normal"/></w:pPr>
<w:r><w:t xml:space="preserve">case of Colls v. Home &amp; Colonial Stores Ltd. (1904 A.C.</w:t></w:r>
</w:p>
<w:p>
<w:pPr><w:pStyle w:val="Normal"/></w:pPr>
<w:r><w:t xml:space="preserve">179).  They overrule an earlier view propounded by Lord</w:t></w:r>
</w:p>
<w:p>
<w:pPr><w:pStyle w:val="Normal"/></w:pPr>
<w:r><w:t xml:space="preserve">Westbury in 1865 (Tapling v. Jones, 11 H.L.C. 290) that the</w:t></w:r>
</w:p>
<w:p>
<w:pPr><w:pStyle w:val="Normal"/></w:pPr>
<w:r><w:t xml:space="preserve">Prescription Act 1832 had abrogated the common law prescription</w:t></w:r>
</w:p>
<w:p>
<w:pPr><w:pStyle w:val="Normal"/></w:pPr>
<w:r><w:t xml:space="preserve">as to light, that the right to ``ancient lights&apos;&apos; now depends</w:t></w:r>
</w:p>
<w:p>
<w:pPr><w:pStyle w:val="Normal"/></w:pPr>
<w:r><w:t xml:space="preserve">upon positive enactment alone, and does not require, and</w:t></w:r>
</w:p>
<w:p>
<w:pPr><w:pStyle w:val="Normal"/></w:pPr>
<w:r><w:t xml:space="preserve">ought not to be rested on, any fiction of a ``lost grant&apos;&apos;</w:t></w:r>
</w:p>
<w:p>
<w:pPr><w:pStyle w:val="Normal"/></w:pPr>
<w:r><w:t xml:space="preserve">(see EASEMENT.) There has been much difference of judicial</w:t></w:r>
</w:p>
<w:p>
<w:pPr><w:pStyle w:val="Normal"/></w:pPr>
<w:r><w:t xml:space="preserve">opinion as to what constitutes an actionable interference</w:t></w:r>
</w:p>
<w:p>
<w:pPr><w:pStyle w:val="Normal"/></w:pPr>
<w:r><w:t xml:space="preserve">with ``ancient lights.&apos;&apos; On the one hand, the test has</w:t></w:r>
</w:p>
<w:p>
<w:pPr><w:pStyle w:val="Normal"/></w:pPr>
<w:r><w:t xml:space="preserve">been prescribed that if an angle of 45 deg. --uninterrupted sky</w:t></w:r>
</w:p>
<w:p>
<w:pPr><w:pStyle w:val="Normal"/></w:pPr>
<w:r><w:t xml:space="preserve">light--was left, the easement was not interfered with, and,</w:t></w:r>
</w:p>
<w:p>
<w:pPr><w:pStyle w:val="Normal"/></w:pPr>
<w:r><w:t xml:space="preserve">while this is not a rule of law, it is a good rough working</w:t></w:r>
</w:p>
<w:p>
<w:pPr><w:pStyle w:val="Normal"/></w:pPr>
<w:r><w:t xml:space="preserve">criterion.  On the other hand, it was held in effect by the</w:t></w:r>
</w:p>
<w:p>
<w:pPr><w:pStyle w:val="Normal"/></w:pPr>
<w:r><w:t xml:space="preserve">Court of Appeal in the case of Colls v. Home &amp; Colonial</w:t></w:r>
</w:p>
<w:p>
<w:pPr><w:pStyle w:val="Normal"/></w:pPr>
<w:r><w:t xml:space="preserve">Stores Ltd. (1902; 1 Ch. 302) that to constitute an actionable</w:t></w:r>
</w:p>
<w:p>
<w:pPr><w:pStyle w:val="Normal"/></w:pPr>
<w:r><w:t xml:space="preserve">obstruction of ancient lights it was sufficient if the light</w:t></w:r>
</w:p>
<w:p>
<w:pPr><w:pStyle w:val="Normal"/></w:pPr>
<w:r><w:t xml:space="preserve">was sensibly less than it was before.  The House of Lords,</w:t></w:r>
</w:p>
<w:p>
<w:pPr><w:pStyle w:val="Normal"/></w:pPr>
<w:r><w:t xml:space="preserve">however, in the same case (1904 A. C. 179) overruled this</w:t></w:r>
</w:p>
<w:p>
<w:pPr><w:pStyle w:val="Normal"/></w:pPr>
<w:r><w:t xml:space="preserve">view, and held that there must be a substantial privation</w:t></w:r>
</w:p>
<w:p>
<w:pPr><w:pStyle w:val="Normal"/></w:pPr>
<w:r><w:t xml:space="preserve">of light enough to render the occupation of the house or</w:t></w:r>
</w:p>
<w:p>
<w:pPr><w:pStyle w:val="Normal"/></w:pPr>
<w:r><w:t xml:space="preserve">building uncomfortable according to the ordinary notions of</w:t></w:r>
</w:p>
<w:p>
<w:pPr><w:pStyle w:val="Normal"/></w:pPr>
<w:r><w:t xml:space="preserve">mankind and (in the case of business premises) to prevent the</w:t></w:r>
</w:p>
<w:p>
<w:pPr><w:pStyle w:val="Normal"/></w:pPr>
<w:r><w:t xml:space="preserve">plaintiff from carrying on his business as beneficially as</w:t></w:r>
</w:p>
<w:p>
<w:pPr><w:pStyle w:val="Normal"/></w:pPr>
<w:r><w:t xml:space="preserve">before.  See also Kine v. Jolly (1905; 1 Ch. 480).</w:t></w:r>
</w:p>
<w:p>
<w:pPr><w:pStyle w:val="Normal"/></w:pPr>
<w:r><w:t xml:space="preserve">There is, in Scots law, no special doctrine as to ``ancient</w:t></w:r>
</w:p>
<w:p>
<w:pPr><w:pStyle w:val="Normal"/></w:pPr>
<w:r><w:t xml:space="preserve">lights.&apos;&apos; The servitude of light in Scotland is simply the</w:t></w:r>
</w:p>
<w:p>
<w:pPr><w:pStyle w:val="Normal"/></w:pPr>
<w:r><w:t xml:space="preserve">Roman servitude non officiendi luminibus vel prospectui (see</w:t></w:r>
</w:p>
<w:p>
<w:pPr><w:pStyle w:val="Normal"/></w:pPr>
<w:r><w:t xml:space="preserve">EASEMENT and ROMAN LAW).  The same observation applies</w:t></w:r>
</w:p>
<w:p>
<w:pPr><w:pStyle w:val="Normal"/></w:pPr>
<w:r><w:t xml:space="preserve">to the Code Civil and other European Codes based on it.  The</w:t></w:r>
</w:p>
<w:p>
<w:pPr><w:pStyle w:val="Normal"/></w:pPr>
<w:r><w:t xml:space="preserve">doctrine as to ancient lights does not prevail generally in</w:t></w:r>
</w:p>
<w:p>
<w:pPr><w:pStyle w:val="Normal"/></w:pPr>
<w:r><w:t xml:space="preserve">the United States (consult Rulinig Cases, under ``Air&apos;&apos;).</w:t></w:r>
</w:p>
<w:p>
<w:pPr><w:pStyle w:val="Normal"/></w:pPr>
<w:r><w:t xml:space="preserve">ANCILLARY (from the Lat. anicilla, a handmaid), an</w:t></w:r>
</w:p>
<w:p>
<w:pPr><w:pStyle w:val="Normal"/></w:pPr>
<w:r><w:t xml:space="preserve">adjective meaning ``subordinate to&apos;&apos; or ``merely helping,&apos;&apos;</w:t></w:r>
</w:p>
<w:p>
<w:pPr><w:pStyle w:val="Normal"/></w:pPr>
<w:r><w:t xml:space="preserve">as opposed to ``essential.&apos;&apos; By Thackeray and some other</w:t></w:r>
</w:p>
<w:p>
<w:pPr><w:pStyle w:val="Normal"/></w:pPr>
<w:r><w:t xml:space="preserve">writers it is also employed rather affectedly in its</w:t></w:r>
</w:p>
<w:p>
<w:pPr><w:pStyle w:val="Normal"/></w:pPr>
<w:r><w:t xml:space="preserve">primary meaning of ``pertaining to a maid-servant.&apos;&apos;</w:t></w:r>
</w:p>
<w:p>
<w:pPr><w:pStyle w:val="Normal"/></w:pPr>
<w:r><w:t xml:space="preserve">ANCILLON, CHARLES (1659--1715), one of a distinguished family</w:t></w:r>
</w:p>
<w:p>
<w:pPr><w:pStyle w:val="Normal"/></w:pPr>
<w:r><w:t xml:space="preserve">of French Protestants, was born on the 28th of July 1659, at</w:t></w:r>
</w:p>
<w:p>
<w:pPr><w:pStyle w:val="Normal"/></w:pPr>
<w:r><w:t xml:space="preserve">Metz.  His father, David Ancillon (1617-1692), was obliged</w:t></w:r>
</w:p>
<w:p>
<w:pPr><w:pStyle w:val="Normal"/></w:pPr>
<w:r><w:t xml:space="preserve">to leave France on the revocation of the edict of Nantes,</w:t></w:r>
</w:p>
<w:p>
<w:pPr><w:pStyle w:val="Normal"/></w:pPr>
<w:r><w:t xml:space="preserve">and became pastor of the French Protestant community in</w:t></w:r>
</w:p>
<w:p>
<w:pPr><w:pStyle w:val="Normal"/></w:pPr>
<w:r><w:t xml:space="preserve">Berlin.  Charles Ancillon studied law at Marburg, Geneva, and</w:t></w:r>
</w:p>
<w:p>
<w:pPr><w:pStyle w:val="Normal"/></w:pPr>
<w:r><w:t xml:space="preserve">Paris, where he was called to the bar.  At the request of the</w:t></w:r>
</w:p>
<w:p>
<w:pPr><w:pStyle w:val="Normal"/></w:pPr>
<w:r><w:t xml:space="preserve">Huguenots at Metz, he pleaded its cause at the court of Louis</w:t></w:r>
</w:p>
<w:p>
<w:pPr><w:pStyle w:val="Normal"/></w:pPr>
<w:r><w:t xml:space="preserve">XIV., urging that it should be excepted in the revocation of</w:t></w:r>
</w:p>
<w:p>
<w:pPr><w:pStyle w:val="Normal"/></w:pPr>
<w:r><w:t xml:space="preserve">the edict of Nantes, but his efforts were unsuccessful, and</w:t></w:r>
</w:p>
<w:p>
<w:pPr><w:pStyle w:val="Normal"/></w:pPr>
<w:r><w:t xml:space="preserve">he joined his father in Berlin.  He was at once appointed</w:t></w:r>
</w:p>
<w:p>
<w:pPr><w:pStyle w:val="Normal"/></w:pPr>
<w:r><w:t xml:space="preserve">by the elector Frederick ``juge et directeur de colonic</w:t></w:r>
</w:p>
<w:p>
<w:pPr><w:pStyle w:val="Normal"/></w:pPr>
<w:r><w:t xml:space="preserve">de Berlin.&apos;&apos; He had before this published several works on</w:t></w:r>
</w:p>
<w:p>
<w:pPr><w:pStyle w:val="Normal"/></w:pPr>
<w:r><w:t xml:space="preserve">the revocation of the edict of Nantes and its consequences,</w:t></w:r>
</w:p>
<w:p>
<w:pPr><w:pStyle w:val="Normal"/></w:pPr>
<w:r><w:t xml:space="preserve">but his literary capacity was mediocre, his style stiff and</w:t></w:r>
</w:p>
<w:p>
<w:pPr><w:pStyle w:val="Normal"/></w:pPr>
<w:r><w:t xml:space="preserve">cold, and it was his personal character rather than his</w:t></w:r>
</w:p>
<w:p>
<w:pPr><w:pStyle w:val="Normal"/></w:pPr>
<w:r><w:t xml:space="preserve">reputation as a writer that earned him the confidence of the</w:t></w:r>
</w:p>
<w:p>
<w:pPr><w:pStyle w:val="Normal"/></w:pPr>
<w:r><w:t xml:space="preserve">elector.  In 1687 he was appointed head of the so-called</w:t></w:r>
</w:p>
<w:p>
<w:pPr><w:pStyle w:val="Normal"/></w:pPr>
<w:r><w:t xml:space="preserve">Academie des nobles, the principal educational establishment</w:t></w:r>
</w:p>
<w:p>
<w:pPr><w:pStyle w:val="Normal"/></w:pPr>
<w:r><w:t xml:space="preserve">of the state; later on, as councillor of embassy, he took</w:t></w:r>
</w:p>
<w:p>
<w:pPr><w:pStyle w:val="Heading1"/></w:pPr>
<w:r><w:t>part in the negotiations which led to the assumption of</w:t></w:r>
</w:p>
<w:p>
<w:pPr><w:pStyle w:val="Normal"/></w:pPr>
<w:r><w:t xml:space="preserve">the title of king by the elector.  In 1699 he succeeded</w:t></w:r>
</w:p>
<w:p>
<w:pPr><w:pStyle w:val="Normal"/></w:pPr>
<w:r><w:t xml:space="preserve">Pufendorf as historiographer to the elector, and the same</w:t></w:r>
</w:p>
<w:p>
<w:pPr><w:pStyle w:val="Normal"/></w:pPr>
<w:r><w:t xml:space="preserve">year replaced his uncle Joseph Ancillon as judge of all the</w:t></w:r>
</w:p>
<w:p>
<w:pPr><w:pStyle w:val="Normal"/></w:pPr>
<w:r><w:t xml:space="preserve">French refugees in Brandenburg.  He died on the 5th of July</w:t></w:r>
</w:p>
<w:p>
<w:pPr><w:pStyle w:val="Normal"/></w:pPr>
<w:r><w:t xml:space="preserve">1715.  Ancillon&apos;s chief claim to remembrance is the work</w:t></w:r>
</w:p>
<w:p>
<w:pPr><w:pStyle w:val="Normal"/></w:pPr>
<w:r><w:t xml:space="preserve">that he did for education in Prussia, and the share he took,</w:t></w:r>
</w:p>
<w:p>
<w:pPr><w:pStyle w:val="Normal"/></w:pPr>
<w:r><w:t xml:space="preserve">in co-operation with Leibnitz, in founding the Academy of</w:t></w:r>
</w:p>
<w:p>
<w:pPr><w:pStyle w:val="Normal"/></w:pPr>
<w:r><w:t xml:space="preserve">Berlin.  Of his fairly numerous works the only one still</w:t></w:r>
</w:p>
<w:p>
<w:pPr><w:pStyle w:val="Normal"/></w:pPr>
<w:r><w:t xml:space="preserve">of value is the Histoire de l&apos;etablissement des Francais</w:t></w:r>
</w:p>
<w:p>
<w:pPr><w:pStyle w:val="Normal"/></w:pPr>
<w:r><w:t xml:space="preserve">refugies dans les etats de Brandebourg (Berlin, 1690).</w:t></w:r>
</w:p>
<w:p>
<w:pPr><w:pStyle w:val="Normal"/></w:pPr>
<w:r><w:t xml:space="preserve">ANCILLON, JOHANN PETER FRIEDRICH (1766-1837), Prussian</w:t></w:r>
</w:p>
<w:p>
<w:pPr><w:pStyle w:val="Normal"/></w:pPr>
<w:r><w:t xml:space="preserve">historian and statesman, great-grandson of Charles Ancillon,</w:t></w:r>
</w:p>
<w:p>
<w:pPr><w:pStyle w:val="Normal"/></w:pPr>
<w:r><w:t xml:space="preserve">was born at Berlin on the 30th of April 1766.  He studied</w:t></w:r>
</w:p>
<w:p>
<w:pPr><w:pStyle w:val="Normal"/></w:pPr>
<w:r><w:t xml:space="preserve">theology at Geneva, and after finishing his course was</w:t></w:r>
</w:p>
<w:p>
<w:pPr><w:pStyle w:val="Normal"/></w:pPr>
<w:r><w:t xml:space="preserve">appointed minister to the French community at Berlin.</w:t></w:r>
</w:p>
<w:p>
<w:pPr><w:pStyle w:val="Normal"/></w:pPr>
<w:r><w:t xml:space="preserve">At the same time his reputation as a historical scholar</w:t></w:r>
</w:p>
<w:p>
<w:pPr><w:pStyle w:val="Normal"/></w:pPr>
<w:r><w:t xml:space="preserve">secured him the post of professor of history at the military</w:t></w:r>
</w:p>
<w:p>
<w:pPr><w:pStyle w:val="Normal"/></w:pPr>
<w:r><w:t xml:space="preserve">academy.  In 1793 he visited Switzerland, and in 1796 France,</w:t></w:r>
</w:p>
<w:p>
<w:pPr><w:pStyle w:val="Normal"/></w:pPr>
<w:r><w:t xml:space="preserve">and published the impressions gathered during his travels</w:t></w:r>
</w:p>
<w:p>
<w:pPr><w:pStyle w:val="Normal"/></w:pPr>
<w:r><w:t xml:space="preserve">in a series of articles which he afterwards collected under</w:t></w:r>
</w:p>
<w:p>
<w:pPr><w:pStyle w:val="Normal"/></w:pPr>
<w:r><w:t xml:space="preserve">the title of Melanges de litterature et de philosophie</w:t></w:r>
</w:p>
<w:p>
<w:pPr><w:pStyle w:val="Normal"/></w:pPr>
<w:r><w:t xml:space="preserve">(1801).  Ancillon took rank among the most famous historians</w:t></w:r>
</w:p>
<w:p>
<w:pPr><w:pStyle w:val="Normal"/></w:pPr>
<w:r><w:t xml:space="preserve">of his day by his next work, Tableau des revolutions</w:t></w:r>
</w:p>
<w:p>
<w:pPr><w:pStyle w:val="Normal"/></w:pPr>
<w:r><w:t xml:space="preserve">du systeme politique de l&apos;Europe depuis le XVe siecle</w:t></w:r>
</w:p>
<w:p>
<w:pPr><w:pStyle w:val="Normal"/></w:pPr>
<w:r><w:t xml:space="preserve">(1803, 4 vols.; new ed., 1824), which gained him the eulogium</w:t></w:r>
</w:p>
<w:p>
<w:pPr><w:pStyle w:val="Normal"/></w:pPr>
<w:r><w:t xml:space="preserve">of the Institute of France, and admission to the Academy of</w:t></w:r>
</w:p>
<w:p>
<w:pPr><w:pStyle w:val="Normal"/></w:pPr>
<w:r><w:t xml:space="preserve">Berlin.  It was the first attempt to recognize psychological</w:t></w:r>
</w:p>
<w:p>
<w:pPr><w:pStyle w:val="Normal"/></w:pPr>
<w:r><w:t xml:space="preserve">factors in historical movements, but otherwise its importance was</w:t></w:r>
</w:p>
<w:p>
<w:pPr><w:pStyle w:val="Normal"/></w:pPr>
<w:r><w:t xml:space="preserve">exaggerated.  Its ``sugary optimism, unctuous phraseology and</w:t></w:r>
</w:p>
<w:p>
<w:pPr><w:pStyle w:val="Normal"/></w:pPr>
<w:r><w:t xml:space="preserve">pulpit logic&apos;&apos; appealed, however, to the reviving pietism of</w:t></w:r>
</w:p>
<w:p>
<w:pPr><w:pStyle w:val="Normal"/></w:pPr>
<w:r><w:t xml:space="preserve">the age succeeding the Revolution, and these qualities, as well</w:t></w:r>
</w:p>
<w:p>
<w:pPr><w:pStyle w:val="Normal"/></w:pPr>
<w:r><w:t xml:space="preserve">as his eloquence as a preacher, early brought Ancillon into</w:t></w:r>
</w:p>
<w:p>
<w:pPr><w:pStyle w:val="Normal"/></w:pPr>
<w:r><w:t xml:space="preserve">notice at court.  In 1808 he was appointed tutor to the royal</w:t></w:r>
</w:p>
<w:p>
<w:pPr><w:pStyle w:val="Normal"/></w:pPr>
<w:r><w:t xml:space="preserve">princes, in 1809 councillor of state in the department of</w:t></w:r>
</w:p>
<w:p>
<w:pPr><w:pStyle w:val="Normal"/></w:pPr>
<w:r><w:t xml:space="preserve">religion, and in 1810 tutor of the crown prince (afterwards</w:t></w:r>
</w:p>
<w:p>
<w:pPr><w:pStyle w:val="Normal"/></w:pPr>
<w:r><w:t xml:space="preserve">Frederick William IV.), on whose sensitive and dreamy</w:t></w:r>
</w:p>
<w:p>
<w:pPr><w:pStyle w:val="Normal"/></w:pPr>
<w:r><w:t xml:space="preserve">nature he was to exercise a powerful but far from wholesome</w:t></w:r>
</w:p>
<w:p>
<w:pPr><w:pStyle w:val="Normal"/></w:pPr>
<w:r><w:t xml:space="preserve">influence.  In October 1814, when his pupil came of age, Ancillon</w:t></w:r>
</w:p>
<w:p>
<w:pPr><w:pStyle w:val="Normal"/></w:pPr>
<w:r><w:t xml:space="preserve">was included by Prince Hardenberg in the ministry, as privy</w:t></w:r>
</w:p>
<w:p>
<w:pPr><w:pStyle w:val="Normal"/></w:pPr>
<w:r><w:t xml:space="preserve">councillor of legation in the department of foreign affairs,</w:t></w:r>
</w:p>
<w:p>
<w:pPr><w:pStyle w:val="Normal"/></w:pPr>
<w:r><w:t xml:space="preserve">with a view to utilizing his supposed gifts as a philosophical</w:t></w:r>
</w:p>
<w:p>
<w:pPr><w:pStyle w:val="Normal"/></w:pPr>
<w:r><w:t xml:space="preserve">historian in the preparation of the projected Prussian</w:t></w:r>
</w:p>
<w:p>
<w:pPr><w:pStyle w:val="Normal"/></w:pPr>
<w:r><w:t xml:space="preserve">constitution.  But Ancillon&apos;s reputed liberalism was of too</w:t></w:r>
</w:p>
<w:p>
<w:pPr><w:pStyle w:val="Normal"/></w:pPr>
<w:r><w:t xml:space="preserve">invertebrate a type to survive the trial of actual contact with</w:t></w:r>
</w:p>
<w:p>
<w:pPr><w:pStyle w:val="Normal"/></w:pPr>
<w:r><w:t xml:space="preserve">affairs.  The practical difficulty of the constitutional problem</w:t></w:r>
</w:p>
<w:p>
<w:pPr><w:pStyle w:val="Normal"/></w:pPr>
<w:r><w:t xml:space="preserve">gave the ``court parson&apos;&apos;--as Gneisenau had contemptuously</w:t></w:r>
</w:p>
<w:p>
<w:pPr><w:pStyle w:val="Normal"/></w:pPr>
<w:r><w:t xml:space="preserve">called him--excuse enough for a change of front which,</w:t></w:r>
</w:p>
<w:p>
<w:pPr><w:pStyle w:val="Normal"/></w:pPr>
<w:r><w:t xml:space="preserve">incidentally, would please his exalted patrons.  He covered</w:t></w:r>
</w:p>
<w:p>
<w:pPr><w:pStyle w:val="Normal"/></w:pPr>
<w:r><w:t xml:space="preserve">his defection from Hardenberg&apos;s liberal constitutionalism</w:t></w:r>
</w:p>
<w:p>
<w:pPr><w:pStyle w:val="Normal"/></w:pPr>
<w:r><w:t xml:space="preserve">by a series of ``philosophical&apos;&apos; treatises on the nature of</w:t></w:r>
</w:p>
<w:p>
<w:pPr><w:pStyle w:val="Normal"/></w:pPr>
<w:r><w:t xml:space="preserve">the state and of man, and became the soul of the reactionary</w:t></w:r>
</w:p>
<w:p>
<w:pPr><w:pStyle w:val="Normal"/></w:pPr>
<w:r><w:t xml:space="preserve">movement at the Berlin court, and the faithful henchman of</w:t></w:r>
</w:p>
<w:p>
<w:pPr><w:pStyle w:val="Normal"/></w:pPr>
<w:r><w:t xml:space="preserve">Metternich in the general politics of Germany and of Europe.</w:t></w:r>
</w:p>
<w:p>
<w:pPr><w:pStyle w:val="Normal"/></w:pPr>
<w:r><w:t xml:space="preserve">In 1817 Ancillon became a councillor of state, and in 1818</w:t></w:r>
</w:p>
<w:p>
<w:pPr><w:pStyle w:val="Normal"/></w:pPr>
<w:r><w:t xml:space="preserve">director of the political section of the ministry for foreign</w:t></w:r>
</w:p>
<w:p>
<w:pPr><w:pStyle w:val="Normal"/></w:pPr>
<w:r><w:t xml:space="preserve">affairs under Count Bernstorff.  In his chief&apos;s most important</w:t></w:r>
</w:p>
<w:p>
<w:pPr><w:pStyle w:val="Normal"/></w:pPr>
<w:r><w:t xml:space="preserve">work, the establishment of the Prussian Zollverein, Ancillon</w:t></w:r>
</w:p>
<w:p>
<w:pPr><w:pStyle w:val="Normal"/></w:pPr>
<w:r><w:t xml:space="preserve">had no share, while the entirely subordinate role played</w:t></w:r>
</w:p>
<w:p>
<w:pPr><w:pStyle w:val="Normal"/></w:pPr>
<w:r><w:t xml:space="preserve">by Prussia in Europe during this period, together with the</w:t></w:r>
</w:p>
<w:p>
<w:pPr><w:pStyle w:val="Normal"/></w:pPr>
<w:r><w:t xml:space="preserve">personal part taken by the sovereign in the various congresses,</w:t></w:r>
</w:p>
<w:p>
<w:pPr><w:pStyle w:val="Normal"/></w:pPr>
<w:r><w:t xml:space="preserve">gave him little scope for the display of any diplomatic</w:t></w:r>
</w:p>
<w:p>
<w:pPr><w:pStyle w:val="Normal"/></w:pPr>
<w:r><w:t xml:space="preserve">talents he may have possessed.  During this time he found</w:t></w:r>
</w:p>
<w:p>
<w:pPr><w:pStyle w:val="Normal"/></w:pPr>
<w:r><w:t xml:space="preserve">plentiful leisure to write a series of works on political</w:t></w:r>
</w:p>
<w:p>
<w:pPr><w:pStyle w:val="Normal"/></w:pPr>
<w:r><w:t xml:space="preserve">philosophy, such as the Nouveaux essais de politique et</w:t></w:r>
</w:p>
<w:p>
<w:pPr><w:pStyle w:val="Normal"/></w:pPr>
<w:r><w:t xml:space="preserve">de philosophie (Paris, 1824).  In May 1831 he was made an</w:t></w:r>
</w:p>
<w:p>
<w:pPr><w:pStyle w:val="Normal"/></w:pPr>
<w:r><w:t xml:space="preserve">active privy councillor, was appointed chief of the department</w:t></w:r>
</w:p>
<w:p>
<w:pPr><w:pStyle w:val="Normal"/></w:pPr>
<w:r><w:t xml:space="preserve">for the principality of Neuchatel, in July became secretary</w:t></w:r>
</w:p>
<w:p>
<w:pPr><w:pStyle w:val="Normal"/></w:pPr>
<w:r><w:t xml:space="preserve">of state for foreign affairs, and in the spring of 1832, on</w:t></w:r>
</w:p>
<w:p>
<w:pPr><w:pStyle w:val="Normal"/></w:pPr>
<w:r><w:t xml:space="preserve">Bernstorff&apos;s retirement, succeeded him as head of the ministry.</w:t></w:r>
</w:p>
<w:p>
<w:pPr><w:pStyle w:val="Normal"/></w:pPr>
<w:r><w:t xml:space="preserve">By the German public, to whom Ancillon was known only through</w:t></w:r>
</w:p>
<w:p>
<w:pPr><w:pStyle w:val="Normal"/></w:pPr>
<w:r><w:t xml:space="preserve">his earlier writings and some isolated protests against the</w:t></w:r>
</w:p>
<w:p>
<w:pPr><w:pStyle w:val="Normal"/></w:pPr>
<w:r><w:t xml:space="preserve">``demagogue-hunting&apos;&apos; in fashion at Berlin, his advent to</w:t></w:r>
</w:p>
<w:p>
<w:pPr><w:pStyle w:val="Normal"/></w:pPr>
<w:r><w:t xml:space="preserve">power was hailed as a triumph of liberalism.  They were soon</w:t></w:r>
</w:p>
<w:p>
<w:pPr><w:pStyle w:val="Normal"/></w:pPr>
<w:r><w:t xml:space="preserve">undeceived.  Ancillon had convinced himself that the rigid class</w:t></w:r>
</w:p>
<w:p>
<w:pPr><w:pStyle w:val="Normal"/></w:pPr>
<w:r><w:t xml:space="preserve">distinctions of the Prussian system were the philosophically</w:t></w:r>
</w:p>
<w:p>
<w:pPr><w:pStyle w:val="Normal"/></w:pPr>
<w:r><w:t xml:space="preserve">ideal basis of the state, and that representation ``by estates&apos;&apos;</w:t></w:r>
</w:p>
<w:p>
<w:pPr><w:pStyle w:val="Normal"/></w:pPr>
<w:r><w:t xml:space="preserve">was the only sound constitutional principle; his last and indeed</w:t></w:r>
</w:p>
<w:p>
<w:pPr><w:pStyle w:val="Normal"/></w:pPr>
<w:r><w:t xml:space="preserve">only act of importance as minister was his collaboration with</w:t></w:r>
</w:p>
<w:p>
<w:pPr><w:pStyle w:val="Normal"/></w:pPr>
<w:r><w:t xml:space="preserve">Metternich in the Vienna Final Act of the 12th of June 1834,</w:t></w:r>
</w:p>
<w:p>
<w:pPr><w:pStyle w:val="Normal"/></w:pPr>
<w:r><w:t xml:space="preserve">the object of which was to rivet this system upon Germany for</w:t></w:r>
</w:p>
<w:p>
<w:pPr><w:pStyle w:val="Normal"/></w:pPr>
<w:r><w:t xml:space="preserve">ever.  He died on the 19th of April 1837, the last of his</w:t></w:r>
</w:p>
<w:p>
<w:pPr><w:pStyle w:val="Normal"/></w:pPr>
<w:r><w:t xml:space="preserve">family.  His historical importance lies neither in his</w:t></w:r>
</w:p>
<w:p>
<w:pPr><w:pStyle w:val="Normal"/></w:pPr>
<w:r><w:t xml:space="preserve">writings nor in his political activity, but in his personal</w:t></w:r>
</w:p>
<w:p>
<w:pPr><w:pStyle w:val="Normal"/></w:pPr>
<w:r><w:t xml:space="preserve">influence at the Prussian court, and especially in its</w:t></w:r>
</w:p>
<w:p>
<w:pPr><w:pStyle w:val="Normal"/></w:pPr>
<w:r><w:t xml:space="preserve">lasting effect on the character of Frederick William IV.</w:t></w:r>
</w:p>
<w:p>
<w:pPr><w:pStyle w:val="Normal"/></w:pPr>
<w:r><w:t xml:space="preserve">See C. A. L. P. Varnhagen von Ense, Blatter aus der</w:t></w:r>
</w:p>
<w:p>
<w:pPr><w:pStyle w:val="Normal"/></w:pPr>
<w:r><w:t xml:space="preserve">preussischen Geschichte, 5 vols. (Leipzig, 1868-1869);</w:t></w:r>
</w:p>
<w:p>
<w:pPr><w:pStyle w:val="Normal"/></w:pPr>
<w:r><w:t xml:space="preserve">ib.  Tagebucher, vol. i. (Leipzig, 1861); H. O. Treitschke,</w:t></w:r>
</w:p>
<w:p>
<w:pPr><w:pStyle w:val="Normal"/></w:pPr>
<w:r><w:t xml:space="preserve">Deutsche Geschichte (Leipzig, 1879-1894), and essay</w:t></w:r>
</w:p>
<w:p>
<w:pPr><w:pStyle w:val="Normal"/></w:pPr>
<w:r><w:t xml:space="preserve">on Ancillon in Preussiche Jahrbucher for April 1872;</w:t></w:r>
</w:p>
<w:p>
<w:pPr><w:pStyle w:val="Normal"/></w:pPr>
<w:r><w:t xml:space="preserve">Allgemeine Deutsche Biographie, s.v. (Leipzig, 1875).</w:t></w:r>
</w:p>
<w:p>
<w:pPr><w:pStyle w:val="Normal"/></w:pPr>
<w:r><w:t xml:space="preserve">ANCON, a small village and bathing-place on the coast</w:t></w:r>
</w:p>
<w:p>
<w:pPr><w:pStyle w:val="Normal"/></w:pPr>
<w:r><w:t xml:space="preserve">of Peru, 22 m.  N. of Lima by rail.  The bay is formed</w:t></w:r>
</w:p>
<w:p>
<w:pPr><w:pStyle w:val="Normal"/></w:pPr>
<w:r><w:t xml:space="preserve">by two projecting headlands and is one of the best on the</w:t></w:r>
</w:p>
<w:p>
<w:pPr><w:pStyle w:val="Normal"/></w:pPr>
<w:r><w:t xml:space="preserve">coast.  It has a gently sloping beach of fine sand and has</w:t></w:r>
</w:p>
<w:p>
<w:pPr><w:pStyle w:val="Normal"/></w:pPr>
<w:r><w:t xml:space="preserve">been a popular bathing-place since the time of President</w:t></w:r>
</w:p>
<w:p>
<w:pPr><w:pStyle w:val="Normal"/></w:pPr>
<w:r><w:t xml:space="preserve">Balta, although the country behind it is arid and absolutely</w:t></w:r>
</w:p>
<w:p>
<w:pPr><w:pStyle w:val="Normal"/></w:pPr>
<w:r><w:t xml:space="preserve">barren.  At some time previous to the discovery of America,</w:t></w:r>
</w:p>
<w:p>
<w:pPr><w:pStyle w:val="Normal"/></w:pPr>
<w:r><w:t xml:space="preserve">Ancon had a large aboriginal population.  Traces of</w:t></w:r>
</w:p>
<w:p>
<w:pPr><w:pStyle w:val="Normal"/></w:pPr>
<w:r><w:t xml:space="preserve">terraces on the southern headland can still be seen, and the</w:t></w:r>
</w:p>
<w:p>
<w:pPr><w:pStyle w:val="Normal"/></w:pPr>
<w:r><w:t xml:space="preserve">sand-covered hills and slopes overlooking the bay contain</w:t></w:r>
</w:p>
<w:p>
<w:pPr><w:pStyle w:val="Normal"/></w:pPr>
<w:r><w:t xml:space="preserve">extensive burial-grounds which were systematically explored</w:t></w:r>
</w:p>
<w:p>
<w:pPr><w:pStyle w:val="Normal"/></w:pPr>
<w:r><w:t xml:space="preserve">in 1875 by Messrs W. Reiss and A. Stubel (see Reiss and</w:t></w:r>
</w:p>
<w:p>
<w:pPr><w:pStyle w:val="Normal"/></w:pPr>
<w:r><w:t xml:space="preserve">Stubel&apos;s The Necropolis of Anicon in Peru, translated by</w:t></w:r>
</w:p>
<w:p>
<w:pPr><w:pStyle w:val="Normal"/></w:pPr>
<w:r><w:t xml:space="preserve">A. H. Keane, 3 vols., Berlin, 1880-1887).  In modern times</w:t></w:r>
</w:p>
<w:p>
<w:pPr><w:pStyle w:val="Normal"/></w:pPr>
<w:r><w:t xml:space="preserve">Ancon has been the scene of several important historical</w:t></w:r>
</w:p>
<w:p>
<w:pPr><w:pStyle w:val="Normal"/></w:pPr>
<w:r><w:t xml:space="preserve">events.  Its anchorage was used by Lord Cochrane in 1820</w:t></w:r>
</w:p>
<w:p>
<w:pPr><w:pStyle w:val="Normal"/></w:pPr>
<w:r><w:t xml:space="preserve">during his attacks on Callao; it was the landing-place of</w:t></w:r>
</w:p>
<w:p>
<w:pPr><w:pStyle w:val="Normal"/></w:pPr>
<w:r><w:t xml:space="preserve">an invading Chilean army in 1838; it was bombarded by the</w:t></w:r>
</w:p>
<w:p>
<w:pPr><w:pStyle w:val="Normal"/></w:pPr>
<w:r><w:t xml:space="preserve">Chileans in 1880; and in 1883 it was the meeting-place</w:t></w:r>
</w:p>
<w:p>
<w:pPr><w:pStyle w:val="Normal"/></w:pPr>
<w:r><w:t xml:space="preserve">of the Chilean and Peruvian commissioners who drew up the</w:t></w:r>
</w:p>
<w:p>
<w:pPr><w:pStyle w:val="Normal"/></w:pPr>
<w:r><w:t xml:space="preserve">treaty of Ancon, which ended the war between Chile and Peru.</w:t></w:r>
</w:p>
<w:p>
<w:pPr><w:pStyle w:val="Normal"/></w:pPr>
<w:r><w:t xml:space="preserve">ANCON (from the Gr. agkon), the anatomical name for</w:t></w:r>
</w:p>
<w:p>
<w:pPr><w:pStyle w:val="Normal"/></w:pPr>
<w:r><w:t xml:space="preserve">``elbow&apos;&apos;; ``ancones&apos;&apos; in architecture are the projecting</w:t></w:r>
</w:p>
<w:p>
<w:pPr><w:pStyle w:val="Normal"/></w:pPr>
<w:r><w:t xml:space="preserve">bosses left on stone blocks or on drums of columns, to allow</w:t></w:r>
</w:p>
<w:p>
<w:pPr><w:pStyle w:val="Normal"/></w:pPr>
<w:r><w:t xml:space="preserve">of their being either hoisted aloft or rubbed backwards and</w:t></w:r>
</w:p>
<w:p>
<w:pPr><w:pStyle w:val="Normal"/></w:pPr>
<w:r><w:t xml:space="preserve">forwards to obtain a fine joint; the term is also given by</w:t></w:r>
</w:p>
<w:p>
<w:pPr><w:pStyle w:val="Normal"/></w:pPr>
<w:r><w:t xml:space="preserve">Vitruvius to the trusses or console brackets on each side</w:t></w:r>
</w:p>
<w:p>
<w:pPr><w:pStyle w:val="Normal"/></w:pPr>
<w:r><w:t xml:space="preserve">of the doorway of a Greek or Roman building which support</w:t></w:r>
</w:p>
<w:p>
<w:pPr><w:pStyle w:val="Normal"/></w:pPr>
<w:r><w:t xml:space="preserve">the cornice over the same.  A particular sort of sheep,</w:t></w:r>
</w:p>
<w:p>
<w:pPr><w:pStyle w:val="Normal"/></w:pPr>
<w:r><w:t xml:space="preserve">with short crooked forelegs, is called ``ancon&apos;&apos; sheep.</w:t></w:r>
</w:p>
<w:p>
<w:pPr><w:pStyle w:val="Normal"/></w:pPr>
<w:r><w:t xml:space="preserve">ANCONA, ALESSANDRO (1835- ), Italian critic and man of</w:t></w:r>
</w:p>
<w:p>
<w:pPr><w:pStyle w:val="Normal"/></w:pPr>
<w:r><w:t xml:space="preserve">letters, was born at Pisa on the 20th of February 1835, of</w:t></w:r>
</w:p>
<w:p>
<w:pPr><w:pStyle w:val="Normal"/></w:pPr>
<w:r><w:t xml:space="preserve">a wealthy Jewish family, and educated in Florence; at the</w:t></w:r>
</w:p>
<w:p>
<w:pPr><w:pStyle w:val="Normal"/></w:pPr>
<w:r><w:t xml:space="preserve">age of eighteen he published his essay on the life and work</w:t></w:r>
</w:p>
<w:p>
<w:pPr><w:pStyle w:val="Normal"/></w:pPr>
<w:r><w:t xml:space="preserve">of the philosopher Tommaso Campanella.  In 1855 Ancona went</w:t></w:r>
</w:p>
<w:p>
<w:pPr><w:pStyle w:val="Normal"/></w:pPr>
<w:r><w:t xml:space="preserve">to Turin, nominally to study law, but in reality to act as</w:t></w:r>
</w:p>
<w:p>
<w:pPr><w:pStyle w:val="Normal"/></w:pPr>
<w:r><w:t xml:space="preserve">intermediary between the Tuscan Liberals and Cavour; he was an</w:t></w:r>
</w:p>
<w:p>
<w:pPr><w:pStyle w:val="Normal"/></w:pPr>
<w:r><w:t xml:space="preserve">intimate friend of Luigi Carlo Farini (q.v.) and represented</w:t></w:r>
</w:p>
<w:p>
<w:pPr><w:pStyle w:val="Normal"/></w:pPr>
<w:r><w:t xml:space="preserve">Tuscany in the Societa Nazionale.  On the fall of the Austrian</w:t></w:r>
</w:p>
<w:p>
<w:pPr><w:pStyle w:val="Normal"/></w:pPr>
<w:r><w:t xml:space="preserve">dynasty in Tuscany (April 27, 1859) he returned to Florence,</w:t></w:r>
</w:p>
<w:p>
<w:pPr><w:pStyle w:val="Normal"/></w:pPr>
<w:r><w:t xml:space="preserve">where he edited the newly founded newspaper La Nazionie.</w:t></w:r>
</w:p>
<w:p>
<w:pPr><w:pStyle w:val="Normal"/></w:pPr>
<w:r><w:t xml:space="preserve">In 1861 he was appointed professor of Italian literature at</w:t></w:r>
</w:p>
<w:p>
<w:pPr><w:pStyle w:val="Normal"/></w:pPr>
<w:r><w:t xml:space="preserve">the university of Pisa.  Among his works the following may</w:t></w:r>
</w:p>
<w:p>
<w:pPr><w:pStyle w:val="Normal"/></w:pPr>
<w:r><w:t xml:space="preserve">be mentioned: Operadi Tommaso Campanella, 2 vols. (Turin,</w:t></w:r>
</w:p>
<w:p>
<w:pPr><w:pStyle w:val="Normal"/></w:pPr>
<w:r><w:t xml:space="preserve">1854); Sacre Rappresentazioni dei secoli XIV., XV., e XVI.</w:t></w:r>
</w:p>
<w:p>
<w:pPr><w:pStyle w:val="Normal"/></w:pPr>
<w:r><w:t xml:space="preserve">(3 vols., Florence, 1872); Origini del Teatro in Italia (2</w:t></w:r>
</w:p>
<w:p>
<w:pPr><w:pStyle w:val="Normal"/></w:pPr>
<w:r><w:t xml:space="preserve">vols., Florence, 1877); La Poesia popolare italiana (Livorno,</w:t></w:r>
</w:p>
<w:p>
<w:pPr><w:pStyle w:val="Normal"/></w:pPr>
<w:r><w:t xml:space="preserve">1878), besides several volumes of literary essays, editions</w:t></w:r>
</w:p>
<w:p>
<w:pPr><w:pStyle w:val="Normal"/></w:pPr>
<w:r><w:t xml:space="preserve">of the works of Dante and other early Italian writers, &amp;c.</w:t></w:r>
</w:p>
<w:p>
<w:pPr><w:pStyle w:val="Normal"/></w:pPr>
<w:r><w:t xml:space="preserve">ANCONA, a seaport and episcopal see of the Marches, Italy,</w:t></w:r>
</w:p>
<w:p>
<w:pPr><w:pStyle w:val="Normal"/></w:pPr>
<w:r><w:t xml:space="preserve">capital of the province of Ancona, situated on the N.E. coast of</w:t></w:r>
</w:p>
<w:p>
<w:pPr><w:pStyle w:val="Normal"/></w:pPr>
<w:r><w:t xml:space="preserve">Italy, 185 m.  N.E. of Rome by rail and 132 m. direct, and 127</w:t></w:r>
</w:p>
<w:p>
<w:pPr><w:pStyle w:val="Normal"/></w:pPr>
<w:r><w:t xml:space="preserve">m.  S.E. of Bologna.  Pop. (1901) 56,835.  The town is finely</w:t></w:r>
</w:p>
<w:p>
<w:pPr><w:pStyle w:val="Normal"/></w:pPr>
<w:r><w:t xml:space="preserve">situated on and between the slopes of the two extremities</w:t></w:r>
</w:p>
<w:p>
<w:pPr><w:pStyle w:val="Normal"/></w:pPr>
<w:r><w:t xml:space="preserve">of the promontory of Monte Conero, Monte Astagno to the S.,</w:t></w:r>
</w:p>
<w:p>
<w:pPr><w:pStyle w:val="Normal"/></w:pPr>
<w:r><w:t xml:space="preserve">occupied by the citadel, and Monte Guasco to the N., on which</w:t></w:r>
</w:p>
<w:p>
<w:pPr><w:pStyle w:val="Normal"/></w:pPr>
<w:r><w:t xml:space="preserve">the cathedral stands (300 ft.).  The latter, dedicated to S.</w:t></w:r>
</w:p>
<w:p>
<w:pPr><w:pStyle w:val="Normal"/></w:pPr>
<w:r><w:t xml:space="preserve">Ciriaco, is said to occupy the site of a temple of Venus, who</w:t></w:r>
</w:p>
<w:p>
<w:pPr><w:pStyle w:val="Normal"/></w:pPr>
<w:r><w:t xml:space="preserve">is mentioned by Catullus and Juvenal as the tutelary deity</w:t></w:r>
</w:p>
<w:p>
<w:pPr><w:pStyle w:val="Normal"/></w:pPr>
<w:r><w:t xml:space="preserve">of the place.  It was consecrated in 1128 and completed in</w:t></w:r>
</w:p>
<w:p>
<w:pPr><w:pStyle w:val="Normal"/></w:pPr>
<w:r><w:t xml:space="preserve">1189.  Some writers suppose that the original church was in</w:t></w:r>
</w:p>
<w:p>
<w:pPr><w:pStyle w:val="Normal"/></w:pPr>
<w:r><w:t xml:space="preserve">the form of a Latin cross and belonged to the 8th century.</w:t></w:r>
</w:p>
<w:p>
<w:pPr><w:pStyle w:val="Normal"/></w:pPr>
<w:r><w:t xml:space="preserve">An early restoration was completed in 1234.  It is a fine</w:t></w:r>
</w:p>
<w:p>
<w:pPr><w:pStyle w:val="Normal"/></w:pPr>
<w:r><w:t xml:space="preserve">Romanesque building in grey stone, built in the form of a Greek</w:t></w:r>
</w:p>
<w:p>
<w:pPr><w:pStyle w:val="Normal"/></w:pPr>
<w:r><w:t xml:space="preserve">cross, with a dodecagonal dome over the centre slightly altered</w:t></w:r>
</w:p>
<w:p>
<w:pPr><w:pStyle w:val="Normal"/></w:pPr>
<w:r><w:t xml:space="preserve">by Margaritone d&apos; Arezzo in 1270.  The facade has a Gothic</w:t></w:r>
</w:p>
<w:p>
<w:pPr><w:pStyle w:val="Normal"/></w:pPr>
<w:r><w:t xml:space="preserve">portal, ascribed to Giorgio da Como (1228), which was intended</w:t></w:r>
</w:p>
<w:p>
<w:pPr><w:pStyle w:val="Normal"/></w:pPr>
<w:r><w:t xml:space="preserve">to have a lateral arch on each side.  The interior, which has</w:t></w:r>
</w:p>
<w:p>
<w:pPr><w:pStyle w:val="Normal"/></w:pPr>
<w:r><w:t xml:space="preserve">a crypt in each transept, in the main preserves its original</w:t></w:r>
</w:p>
<w:p>
<w:pPr><w:pStyle w:val="Normal"/></w:pPr>
<w:r><w:t xml:space="preserve">character.  It has ten columns which are attributed to the</w:t></w:r>
</w:p>
<w:p>
<w:pPr><w:pStyle w:val="Normal"/></w:pPr>
<w:r><w:t xml:space="preserve">temple of Venus, and there are good screens of the 12th</w:t></w:r>
</w:p>
<w:p>
<w:pPr><w:pStyle w:val="Normal"/></w:pPr>
<w:r><w:t xml:space="preserve">century, and other sculptures.  In the dilapidated episcopal</w:t></w:r>
</w:p>
<w:p>
<w:pPr><w:pStyle w:val="Normal"/></w:pPr>
<w:r><w:t xml:space="preserve">palace Pope Pius II. died in 1464.  An interesting church</w:t></w:r>
</w:p>
<w:p>
<w:pPr><w:pStyle w:val="Normal"/></w:pPr>
<w:r><w:t xml:space="preserve">is S. Maria della Piazza, with an elaborate arcaded facade</w:t></w:r>
</w:p>
<w:p>
<w:pPr><w:pStyle w:val="Normal"/></w:pPr>
<w:r><w:t xml:space="preserve">(1210).  The Palazzo del Comune, with its lofty arched</w:t></w:r>
</w:p>
<w:p>
<w:pPr><w:pStyle w:val="Normal"/></w:pPr>
<w:r><w:t xml:space="preserve">substructures at the back, was the work of Margaritone d&apos;</w:t></w:r>
</w:p>
<w:p>
<w:pPr><w:pStyle w:val="Normal"/></w:pPr>
<w:r><w:t xml:space="preserve">Arezzo, but has been since twice restored.  There are also</w:t></w:r>
</w:p>
<w:p>
<w:pPr><w:pStyle w:val="Normal"/></w:pPr>
<w:r><w:t xml:space="preserve">several fine late Gothic buildings, among them the churches</w:t></w:r>
</w:p>
<w:p>
<w:pPr><w:pStyle w:val="Normal"/></w:pPr>
<w:r><w:t xml:space="preserve">of S. Francesco and S. Agostino, the Palazzo Benincasa, and</w:t></w:r>
</w:p>
<w:p>
<w:pPr><w:pStyle w:val="Normal"/></w:pPr>
<w:r><w:t xml:space="preserve">the Loggia dei Mercanti, all by Giorgio Orsini, usually called</w:t></w:r>
</w:p>
<w:p>
<w:pPr><w:pStyle w:val="Normal"/></w:pPr>
<w:r><w:t xml:space="preserve">da Sebenico (who worked much at Sebenico, though he was not</w:t></w:r>
</w:p>
<w:p>
<w:pPr><w:pStyle w:val="Normal"/></w:pPr>
<w:r><w:t xml:space="preserve">a native of it), and the prefecture, which has Renaissance</w:t></w:r>
</w:p>
<w:p>
<w:pPr><w:pStyle w:val="Normal"/></w:pPr>
<w:r><w:t xml:space="preserve">additions.  The portal of S. Maria della Misericordia is an</w:t></w:r>
</w:p>
<w:p>
<w:pPr><w:pStyle w:val="Normal"/></w:pPr>
<w:r><w:t xml:space="preserve">ornate example of early Renaissance work.  The archaeological</w:t></w:r>
</w:p>
<w:p>
<w:pPr><w:pStyle w:val="Normal"/></w:pPr>
<w:r><w:t xml:space="preserve">museum contains interesting pre-Roman objects from tombs in</w:t></w:r>
</w:p>
<w:p>
<w:pPr><w:pStyle w:val="Normal"/></w:pPr>
<w:r><w:t xml:space="preserve">the district, and two Roman beds with fine decorations in</w:t></w:r>
</w:p>
<w:p>
<w:pPr><w:pStyle w:val="Normal"/></w:pPr>
<w:r><w:t xml:space="preserve">ivory (E. Brizio, in Notizie degli scavi, 1902, 437, 478).</w:t></w:r>
</w:p>
<w:p>
<w:pPr><w:pStyle w:val="Normal"/></w:pPr>
<w:r><w:t xml:space="preserve">To the east of the town is the harbour, now an oval basin of</w:t></w:r>
</w:p>
<w:p>
<w:pPr><w:pStyle w:val="Normal"/></w:pPr>
<w:r><w:t xml:space="preserve">990 by 880 yards, the finest harbour on the S. W. coast of the</w:t></w:r>
</w:p>
<w:p>
<w:pPr><w:pStyle w:val="Normal"/></w:pPr>
<w:r><w:t xml:space="preserve">Adriatic, and one of the best in Italy.  It was originally</w:t></w:r>
</w:p>
<w:p>
<w:pPr><w:pStyle w:val="Normal"/></w:pPr>
<w:r><w:t xml:space="preserve">protected only by the promontory on the N., from the elbow-like</w:t></w:r>
</w:p>
<w:p>
<w:pPr><w:pStyle w:val="Normal"/></w:pPr>
<w:r><w:t xml:space="preserve">shape of which (Gk. agkon) the ancient town, founded by</w:t></w:r>
</w:p>
<w:p>
<w:pPr><w:pStyle w:val="Normal"/></w:pPr>
<w:r><w:t xml:space="preserve">Syracusan refugees about 390 B.C., took the name which it still</w:t></w:r>
</w:p>
<w:p>
<w:pPr><w:pStyle w:val="Normal"/></w:pPr>
<w:r><w:t xml:space="preserve">holds.  Greek merchants established a purple factory here</w:t></w:r>
</w:p>
<w:p>
<w:pPr><w:pStyle w:val="Normal"/></w:pPr>
<w:r><w:t xml:space="preserve">(Sil.  Ital. viii. 438).  Even in Roman times it kept its</w:t></w:r>
</w:p>
<w:p>
<w:pPr><w:pStyle w:val="Normal"/></w:pPr>
<w:r><w:t xml:space="preserve">own coinage with the punning device of the bent arm holding</w:t></w:r>
</w:p>
<w:p>
<w:pPr><w:pStyle w:val="Normal"/></w:pPr>
<w:r><w:t xml:space="preserve">a palm branch, and the head of Aphrodite on the reverse, and</w:t></w:r>
</w:p>
<w:p>
<w:pPr><w:pStyle w:val="Normal"/></w:pPr>
<w:r><w:t xml:space="preserve">continued the use of the Greek language.  When it became a</w:t></w:r>
</w:p>
<w:p>
<w:pPr><w:pStyle w:val="Normal"/></w:pPr>
<w:r><w:t xml:space="preserve">Roman colony is doubtful.1 It was occupied as a naval station</w:t></w:r>
</w:p>
<w:p>
<w:pPr><w:pStyle w:val="Normal"/></w:pPr>
<w:r><w:t xml:space="preserve">in the Illyrian war of 178 B.C. (Liv. xli. 1). Caesar took</w:t></w:r>
</w:p>
<w:p>
<w:pPr><w:pStyle w:val="Normal"/></w:pPr>
<w:r><w:t xml:space="preserve">possession of it immediately after crossing the Rubicon.  Its</w:t></w:r>
</w:p>
<w:p>
<w:pPr><w:pStyle w:val="Normal"/></w:pPr>
<w:r><w:t xml:space="preserve">harbour was of considerable importance in imperial times, as</w:t></w:r>
</w:p>
<w:p>
<w:pPr><w:pStyle w:val="Normal"/></w:pPr>
<w:r><w:t xml:space="preserve">the nearest to Dalmatia,2 and was enlarged by Trajan, who</w:t></w:r>
</w:p>
<w:p>
<w:pPr><w:pStyle w:val="Normal"/></w:pPr>
<w:r><w:t xml:space="preserve">constructed the north quay, his architect being Apollodorus of</w:t></w:r>
</w:p>
<w:p>
<w:pPr><w:pStyle w:val="Normal"/></w:pPr>
<w:r><w:t xml:space="preserve">Damascus.  At the beginning of it stands the marble triumphal</w:t></w:r>
</w:p>
<w:p>
<w:pPr><w:pStyle w:val="Normal"/></w:pPr>
<w:r><w:t xml:space="preserve">arch with a single opening, and without bas-reliefs, erected</w:t></w:r>
</w:p>
<w:p>
<w:pPr><w:pStyle w:val="Normal"/></w:pPr>
<w:r><w:t xml:space="preserve">in his honour in A.D. 115 by the senate and people.  Pope</w:t></w:r>
</w:p>
<w:p>
<w:pPr><w:pStyle w:val="Normal"/></w:pPr>
<w:r><w:t xml:space="preserve">Clement II. prolonged the quay, and an inferior imitation of</w:t></w:r>
</w:p>
<w:p>
<w:pPr><w:pStyle w:val="Normal"/></w:pPr>
<w:r><w:t xml:space="preserve">Trajan&apos;s arch was set up; he also erected a lazaretto at the</w:t></w:r>
</w:p>
<w:p>
<w:pPr><w:pStyle w:val="Normal"/></w:pPr>
<w:r><w:t xml:space="preserve">south end of the harbour, now a sugar refinery, Vanvitelli</w:t></w:r>
</w:p>
<w:p>
<w:pPr><w:pStyle w:val="Normal"/></w:pPr>
<w:r><w:t xml:space="preserve">being the architect-in-chief.  The southern quay was built</w:t></w:r>
</w:p>
<w:p>
<w:pPr><w:pStyle w:val="Normal"/></w:pPr>
<w:r><w:t xml:space="preserve">in 1880, and the harbour is now protected by forts on the</w:t></w:r>
</w:p>
<w:p>
<w:pPr><w:pStyle w:val="Normal"/></w:pPr>
<w:r><w:t xml:space="preserve">heights, while the place is the seat of the 7th army corps.</w:t></w:r>
</w:p>
<w:p>
<w:pPr><w:pStyle w:val="Normal"/></w:pPr>
<w:r><w:t xml:space="preserve">The port of Ancona was entered in 1904 by 869 steamships</w:t></w:r>
</w:p>
<w:p>
<w:pPr><w:pStyle w:val="Normal"/></w:pPr>
<w:r><w:t xml:space="preserve">and 600 sailing vessels, with a total tonnage of 961,612</w:t></w:r>
</w:p>
<w:p>
<w:pPr><w:pStyle w:val="Normal"/></w:pPr>
<w:r><w:t xml:space="preserve">tons.  The main imports were coal, timber, metals,</w:t></w:r>
</w:p>
<w:p>
<w:pPr><w:pStyle w:val="Normal"/></w:pPr>
<w:r><w:t xml:space="preserve">jute.  The main exports were asphalt and calcium</w:t></w:r>
</w:p>
<w:p>
<w:pPr><w:pStyle w:val="Normal"/></w:pPr>
<w:r><w:t xml:space="preserve">carbide.  Sugar refining and shipbuilding are carried on.</w:t></w:r>
</w:p>
<w:p>
<w:pPr><w:pStyle w:val="Normal"/></w:pPr>
<w:r><w:t xml:space="preserve">Ancona is situated on the railway between Bologna and Brindisi,</w:t></w:r>
</w:p>
<w:p>
<w:pPr><w:pStyle w:val="Normal"/></w:pPr>
<w:r><w:t xml:space="preserve">and is also connected by rail with Rome, via Foligno and Orte.</w:t></w:r>
</w:p>
<w:p>
<w:pPr><w:pStyle w:val="Normal"/></w:pPr>
<w:r><w:t xml:space="preserve">After the fall of the Roman empire Ancona was successively</w:t></w:r>
</w:p>
<w:p>
<w:pPr><w:pStyle w:val="Normal"/></w:pPr>
<w:r><w:t xml:space="preserve">attacked by the Goths, Lombards and Saracens, but recovered</w:t></w:r>
</w:p>
<w:p>
<w:pPr><w:pStyle w:val="Normal"/></w:pPr>
<w:r><w:t xml:space="preserve">its strength and importance.  It was one of the cities of</w:t></w:r>
</w:p>
<w:p>
<w:pPr><w:pStyle w:val="Normal"/></w:pPr>
<w:r><w:t xml:space="preserve">the Pentapolis under the exarchate of Ravenna, the other four</w:t></w:r>
</w:p>
<w:p>
<w:pPr><w:pStyle w:val="Normal"/></w:pPr>
<w:r><w:t xml:space="preserve">being Fano, Pesaro, Senigallia and Rimini, and eventually</w:t></w:r>
</w:p>
<w:p>
<w:pPr><w:pStyle w:val="Normal"/></w:pPr>
<w:r><w:t xml:space="preserve">became a semi-independent republic under the protection of</w:t></w:r>
</w:p>
<w:p>
<w:pPr><w:pStyle w:val="Normal"/></w:pPr>
<w:r><w:t xml:space="preserve">the popes, until Gonzaga took possession of it for Clement</w:t></w:r>
</w:p>
<w:p>
<w:pPr><w:pStyle w:val="Heading1"/></w:pPr>
<w:r><w:t>VII. in 1532.  From 1797 onwards, when the French took it,</w:t></w:r>
</w:p>
<w:p>
<w:pPr><w:pStyle w:val="Normal"/></w:pPr>
<w:r><w:t xml:space="preserve">it frequently appears in history as an important fortress,</w:t></w:r>
</w:p>
<w:p>
<w:pPr><w:pStyle w:val="Normal"/></w:pPr>
<w:r><w:t xml:space="preserve">until Lamoriciere capitulated here on the 29th of September</w:t></w:r>
</w:p>
<w:p>
<w:pPr><w:pStyle w:val="Normal"/></w:pPr>
<w:r><w:t xml:space="preserve">1860, eleven days after his defeat at Castelfidardo. (T. As.)</w:t></w:r>
</w:p>
<w:p>
<w:pPr><w:pStyle w:val="Normal"/></w:pPr>
<w:r><w:t xml:space="preserve">1 Scanty remains of the ancient town walls, of a gymnasium</w:t></w:r>
</w:p>
<w:p>
<w:pPr><w:pStyle w:val="Normal"/></w:pPr>
<w:r><w:t xml:space="preserve">near the harbour and of the amphitheatre are still extant.</w:t></w:r>
</w:p>
<w:p>
<w:pPr><w:pStyle w:val="Normal"/></w:pPr>
<w:r><w:t xml:space="preserve">2 It was connected by a road with the Via</w:t></w:r>
</w:p>
<w:p>
<w:pPr><w:pStyle w:val="Normal"/></w:pPr>
<w:r><w:t xml:space="preserve">Flaminia at Nuceria (Norcera), a distance of 70 m.</w:t></w:r>
</w:p>
<w:p>
<w:pPr><w:pStyle w:val="Normal"/></w:pPr>
<w:r><w:t xml:space="preserve">ANCREN RIWLE, a Middle English prose treatise written for</w:t></w:r>
</w:p>
<w:p>
<w:pPr><w:pStyle w:val="Normal"/></w:pPr>
<w:r><w:t xml:space="preserve">a small community of three religious women and their servants</w:t></w:r>
</w:p>
<w:p>
<w:pPr><w:pStyle w:val="Normal"/></w:pPr>
<w:r><w:t xml:space="preserve">at Tarent Kaines (Tarrant Crawford), at the junction of the</w:t></w:r>
</w:p>
<w:p>
<w:pPr><w:pStyle w:val="Normal"/></w:pPr>
<w:r><w:t xml:space="preserve">Stour and the Tarrant, Dorset.  It was generally supposed to</w:t></w:r>
</w:p>
<w:p>
<w:pPr><w:pStyle w:val="Normal"/></w:pPr>
<w:r><w:t xml:space="preserve">date from the first quarter of the 13th century, but Professor</w:t></w:r>
</w:p>
<w:p>
<w:pPr><w:pStyle w:val="Normal"/></w:pPr>
<w:r><w:t xml:space="preserve">E. Kolbing is inclined to place the Corpus Christi MS.</w:t></w:r>
</w:p>
<w:p>
<w:pPr><w:pStyle w:val="Normal"/></w:pPr>
<w:r><w:t xml:space="preserve">about the middle of the 12th century.  The house of Tarrant</w:t></w:r>
</w:p>
<w:p>
<w:pPr><w:pStyle w:val="Normal"/></w:pPr>
<w:r><w:t xml:space="preserve">was founded by Ralph de Kahaines, and greatly enriched about</w:t></w:r>
</w:p>
<w:p>
<w:pPr><w:pStyle w:val="Normal"/></w:pPr>
<w:r><w:t xml:space="preserve">1230 by Richard Poor, bishop successively of Chichester,</w:t></w:r>
</w:p>
<w:p>
<w:pPr><w:pStyle w:val="Normal"/></w:pPr>
<w:r><w:t xml:space="preserve">Salisbury and Durham, who was born at Tarrant and died there in</w:t></w:r>
</w:p>
<w:p>
<w:pPr><w:pStyle w:val="Normal"/></w:pPr>
<w:r><w:t xml:space="preserve">1237.  At the time when the Ancren Riwle was addressed to</w:t></w:r>
</w:p>
<w:p>
<w:pPr><w:pStyle w:val="Normal"/></w:pPr>
<w:r><w:t xml:space="preserve">them the anchoresses did not belong to any of the monastic</w:t></w:r>
</w:p>
<w:p>
<w:pPr><w:pStyle w:val="Normal"/></w:pPr>
<w:r><w:t xml:space="preserve">orders, but the monastery was under the Cistercian rule before</w:t></w:r>
</w:p>
<w:p>
<w:pPr><w:pStyle w:val="Normal"/></w:pPr>
<w:r><w:t xml:space="preserve">1266.1 There are extant seven English MSS. of the work, and</w:t></w:r>
</w:p>
<w:p>
<w:pPr><w:pStyle w:val="Normal"/></w:pPr>
<w:r><w:t xml:space="preserve">one Latin, the Latin version being generally supposed to be a</w:t></w:r>
</w:p>
<w:p>
<w:pPr><w:pStyle w:val="Normal"/></w:pPr>
<w:r><w:t xml:space="preserve">translation.  The Latin MS., Regula Anachoritarum sive de vita</w:t></w:r>
</w:p>
<w:p>
<w:pPr><w:pStyle w:val="Normal"/></w:pPr>
<w:r><w:t xml:space="preserve">solitaria ( Magdalen College, Oxford, No. 67, fol. 50) has</w:t></w:r>
</w:p>
<w:p>
<w:pPr><w:pStyle w:val="Normal"/></w:pPr>
<w:r><w:t xml:space="preserve">a prefatory note:-- Hic incipit prohemium venerabilis patris</w:t></w:r>
</w:p>
<w:p>
<w:pPr><w:pStyle w:val="Normal"/></w:pPr>
<w:r><w:t xml:space="preserve">magistri Simonis de Gandavo, episcopi Sarum, in librum de</w:t></w:r>
</w:p>
<w:p>
<w:pPr><w:pStyle w:val="Normal"/></w:pPr>
<w:r><w:t xml:space="preserve">vita solitaria, qaem scripsit sororibus suis anachoritis</w:t></w:r>
</w:p>
<w:p>
<w:pPr><w:pStyle w:val="Normal"/></w:pPr>
<w:r><w:t xml:space="preserve">apud Tarente. But Bishop Simon of Ghent, who died in 1315,</w:t></w:r>
</w:p>
<w:p>
<w:pPr><w:pStyle w:val="Normal"/></w:pPr>
<w:r><w:t xml:space="preserve">could not have written the book, if it dates, at latest, from</w:t></w:r>
</w:p>
<w:p>
<w:pPr><w:pStyle w:val="Normal"/></w:pPr>
<w:r><w:t xml:space="preserve">the early 13th century.  It has been tentatively attributed</w:t></w:r>
</w:p>
<w:p>
<w:pPr><w:pStyle w:val="Normal"/></w:pPr>
<w:r><w:t xml:space="preserve">to Richard Poor, who was connected with Tarrant, and was</w:t></w:r>
</w:p>
<w:p>
<w:pPr><w:pStyle w:val="Normal"/></w:pPr>
<w:r><w:t xml:space="preserve">actually a benefactor of the monastery.  But the adoption of</w:t></w:r>
</w:p>
<w:p>
<w:pPr><w:pStyle w:val="Normal"/></w:pPr>
<w:r><w:t xml:space="preserve">Prof.  Kolbing&apos;s early date would almost destroy Poor&apos;s claim.</w:t></w:r>
</w:p>
<w:p>
<w:pPr><w:pStyle w:val="Normal"/></w:pPr>
<w:r><w:t xml:space="preserve">The Ancren Riwle is written in a simple, non-rhetorical</w:t></w:r>
</w:p>
<w:p>
<w:pPr><w:pStyle w:val="Normal"/></w:pPr>
<w:r><w:t xml:space="preserve">style.  The severity of the doctrine of self-renunciation</w:t></w:r>
</w:p>
<w:p>
<w:pPr><w:pStyle w:val="Normal"/></w:pPr>
<w:r><w:t xml:space="preserve">is softened by the affectionate tone in which it is</w:t></w:r>
</w:p>
<w:p>
<w:pPr><w:pStyle w:val="Normal"/></w:pPr>
<w:r><w:t xml:space="preserve">inculcated.  The book contains rules for the conduct of the</w:t></w:r>
</w:p>
<w:p>
<w:pPr><w:pStyle w:val="Normal"/></w:pPr>
<w:r><w:t xml:space="preserve">anchoresses, and gives liturgical directions for divine</w:t></w:r>
</w:p>
<w:p>
<w:pPr><w:pStyle w:val="Normal"/></w:pPr>
<w:r><w:t xml:space="preserve">service; but the greater part of it is taken up with the</w:t></w:r>
</w:p>
<w:p>
<w:pPr><w:pStyle w:val="Normal"/></w:pPr>
<w:r><w:t xml:space="preserve">purely spiritual side of religion.  The rules for the</w:t></w:r>
</w:p>
<w:p>
<w:pPr><w:pStyle w:val="Normal"/></w:pPr>
<w:r><w:t xml:space="preserve">restraint of the senses, for Confession and penance, are</w:t></w:r>
</w:p>
<w:p>
<w:pPr><w:pStyle w:val="Normal"/></w:pPr>
<w:r><w:t xml:space="preserve">subordinated to the central idea of the supreme importance</w:t></w:r>
</w:p>
<w:p>
<w:pPr><w:pStyle w:val="Normal"/></w:pPr>
<w:r><w:t xml:space="preserve">of purity of heart and the love of Christ.  The last chapter</w:t></w:r>
</w:p>
<w:p>
<w:pPr><w:pStyle w:val="Normal"/></w:pPr>
<w:r><w:t xml:space="preserve">deals with the domestic affairs and administration of the</w:t></w:r>
</w:p>
<w:p>
<w:pPr><w:pStyle w:val="Normal"/></w:pPr>
<w:r><w:t xml:space="preserve">monastery.  Incidentally the writer gives a picture of the</w:t></w:r>
</w:p>
<w:p>
<w:pPr><w:pStyle w:val="Normal"/></w:pPr>
<w:r><w:t xml:space="preserve">manners and ideas of the time, and provides an account of</w:t></w:r>
</w:p>
<w:p>
<w:pPr><w:pStyle w:val="Normal"/></w:pPr>
<w:r><w:t xml:space="preserve">the doctrine then generally accepted in the English church.</w:t></w:r>
</w:p>
<w:p>
<w:pPr><w:pStyle w:val="Normal"/></w:pPr>
<w:r><w:t xml:space="preserve">Ancren Riwale was edited for the Camden Society by the Rev.</w:t></w:r>
</w:p>
<w:p>
<w:pPr><w:pStyle w:val="Normal"/></w:pPr>
<w:r><w:t xml:space="preserve">James Morton in 1843 from the Cotton MS. (Nero A xiv.).  A</w:t></w:r>
</w:p>
<w:p>
<w:pPr><w:pStyle w:val="Normal"/></w:pPr>
<w:r><w:t xml:space="preserve">collation of this text with the MS. by E. Kolbing is printed</w:t></w:r>
</w:p>
<w:p>
<w:pPr><w:pStyle w:val="Normal"/></w:pPr>
<w:r><w:t xml:space="preserve">in the Jahrbuch fur romanische u. engl.  Spr. und Lit.</w:t></w:r>
</w:p>
<w:p>
<w:pPr><w:pStyle w:val="Normal"/></w:pPr>
<w:r><w:t xml:space="preserve">xv. 180 seq. (1876).  The Ancren Riwle (ed. Abbot F. A.</w:t></w:r>
</w:p>
<w:p>
<w:pPr><w:pStyle w:val="Normal"/></w:pPr>
<w:r><w:t xml:space="preserve">Gasquet, 1905) is available for the ordinary reader in The</w:t></w:r>
</w:p>
<w:p>
<w:pPr><w:pStyle w:val="Normal"/></w:pPr>
<w:r><w:t xml:space="preserve">King&apos;s Classics. There are three English MSS. of Ancren</w:t></w:r>
</w:p>
<w:p>
<w:pPr><w:pStyle w:val="Normal"/></w:pPr>
<w:r><w:t xml:space="preserve">Riwle in the Cottonian collection in the British Museum,</w:t></w:r>
</w:p>
<w:p>
<w:pPr><w:pStyle w:val="Normal"/></w:pPr>
<w:r><w:t xml:space="preserve">numbered Nero A xiv., Titus D xviii., and Cleopatra C vi.  Nero</w:t></w:r>
</w:p>
<w:p>
<w:pPr><w:pStyle w:val="Normal"/></w:pPr>
<w:r><w:t xml:space="preserve">A xiv. is written in pure south-western dialect.  Portions of</w:t></w:r>
</w:p>
<w:p>
<w:pPr><w:pStyle w:val="Normal"/></w:pPr>
<w:r><w:t xml:space="preserve">this text are printed in Henry Sweet&apos;s First Middle English</w:t></w:r>
</w:p>
<w:p>
<w:pPr><w:pStyle w:val="Normal"/></w:pPr>
<w:r><w:t xml:space="preserve">Primer (Oxford, 2nd ed., 1895), which contains a grammatical</w:t></w:r>
</w:p>
<w:p>
<w:pPr><w:pStyle w:val="Normal"/></w:pPr>
<w:r><w:t xml:space="preserve">introduction.  MS. 402 in the library of Corpus Christi</w:t></w:r>
</w:p>
<w:p>
<w:pPr><w:pStyle w:val="Normal"/></w:pPr>
<w:r><w:t xml:space="preserve">College, Cambridge, contains the earliest version of Ancren</w:t></w:r>
</w:p>
<w:p>
<w:pPr><w:pStyle w:val="Normal"/></w:pPr>
<w:r><w:t xml:space="preserve">Riwle, entitled Ancren Wisse, and dating (according to E.</w:t></w:r>
</w:p>
<w:p>
<w:pPr><w:pStyle w:val="Normal"/></w:pPr>
<w:r><w:t xml:space="preserve">Kolbing in Englische Studien, 1886, vol. ix. 116) from about</w:t></w:r>
</w:p>
<w:p>
<w:pPr><w:pStyle w:val="Normal"/></w:pPr>
<w:r><w:t xml:space="preserve">1150.  The language shows considerable traces of the Midland</w:t></w:r>
</w:p>
<w:p>
<w:pPr><w:pStyle w:val="Normal"/></w:pPr>
<w:r><w:t xml:space="preserve">dialect.  MS. 234 in Caius College, Cambridge, contains a</w:t></w:r>
</w:p>
<w:p>
<w:pPr><w:pStyle w:val="Normal"/></w:pPr>
<w:r><w:t xml:space="preserve">considerable portion of the Ancren Riwle, but does not</w:t></w:r>
</w:p>
<w:p>
<w:pPr><w:pStyle w:val="Normal"/></w:pPr>
<w:r><w:t xml:space="preserve">follow the order of the other MSS. For its exact contents</w:t></w:r>
</w:p>
<w:p>
<w:pPr><w:pStyle w:val="Normal"/></w:pPr>
<w:r><w:t xml:space="preserve">see Kolbing, in Englische Studien, iii. 533 (1880).</w:t></w:r>
</w:p>
<w:p>
<w:pPr><w:pStyle w:val="Normal"/></w:pPr>
<w:r><w:t xml:space="preserve">A more recently discovered version in Magdalene College,</w:t></w:r>
</w:p>
<w:p>
<w:pPr><w:pStyle w:val="Normal"/></w:pPr>
<w:r><w:t xml:space="preserve">Cambridge, in MS. Pepys 2498, is entitled The Recluse, and</w:t></w:r>
</w:p>
<w:p>
<w:pPr><w:pStyle w:val="Normal"/></w:pPr>
<w:r><w:t xml:space="preserve">is abridged and differently arranged.  It ir written in English</w:t></w:r>
</w:p>
<w:p>
<w:pPr><w:pStyle w:val="Normal"/></w:pPr>
<w:r><w:t xml:space="preserve">of the latter half of the 14th century (see A. C. Paues in</w:t></w:r>
</w:p>
<w:p>
<w:pPr><w:pStyle w:val="Normal"/></w:pPr>
<w:r><w:t xml:space="preserve">Englische Studien, xxx. 344-346, 1902).  A Latin version</w:t></w:r>
</w:p>
<w:p>
<w:pPr><w:pStyle w:val="Normal"/></w:pPr>
<w:r><w:t xml:space="preserve">(Cotton MS. Vitellins E vii.), and a French copy (ibid.</w:t></w:r>
</w:p>
<w:p>
<w:pPr><w:pStyle w:val="Normal"/></w:pPr>
<w:r><w:t xml:space="preserve">F vii.) were seriously damaged in the fire at Ashburnham</w:t></w:r>
</w:p>
<w:p>
<w:pPr><w:pStyle w:val="Normal"/></w:pPr>
<w:r><w:t xml:space="preserve">House, but both MSS. have been recently restored.  The Latin</w:t></w:r>
</w:p>
<w:p>
<w:pPr><w:pStyle w:val="Normal"/></w:pPr>
<w:r><w:t xml:space="preserve">MS. (Codex lxvii.) at Magdalen College, Oxford, is probably</w:t></w:r>
</w:p>
<w:p>
<w:pPr><w:pStyle w:val="Normal"/></w:pPr>
<w:r><w:t xml:space="preserve">a copy of another Latin text, for it contains obvious slips.</w:t></w:r>
</w:p>
<w:p>
<w:pPr><w:pStyle w:val="Normal"/></w:pPr>
<w:r><w:t xml:space="preserve">See also R. Wulker, ``Uber die Sprache der Ancren Riwle</w:t></w:r>
</w:p>
<w:p>
<w:pPr><w:pStyle w:val="Normal"/></w:pPr>
<w:r><w:t xml:space="preserve">und die der Homilie: Halli Meidenhad,&apos;&apos; in Beitrage zur</w:t></w:r>
</w:p>
<w:p>
<w:pPr><w:pStyle w:val="Normal"/></w:pPr>
<w:r><w:t xml:space="preserve">Geschichte der deutschen Sprache und Literatur (Halle,</w:t></w:r>
</w:p>
<w:p>
<w:pPr><w:pStyle w:val="Normal"/></w:pPr>
<w:r><w:t xml:space="preserve">1874, i. 209), giving an analysis of the differences in</w:t></w:r>
</w:p>
<w:p>
<w:pPr><w:pStyle w:val="Normal"/></w:pPr>
<w:r><w:t xml:space="preserve">dialect between the two works; and Edgar Elliott Bramlette,</w:t></w:r>
</w:p>
<w:p>
<w:pPr><w:pStyle w:val="Normal"/></w:pPr>
<w:r><w:t xml:space="preserve">``The Original Language of the Ancren Riwle,&apos;&apos; in</w:t></w:r>
</w:p>
<w:p>
<w:pPr><w:pStyle w:val="Normal"/></w:pPr>
<w:r><w:t xml:space="preserve">Anglia, xv. 478-498, arguing in favour of a Latin original.</w:t></w:r>
</w:p>
<w:p>
<w:pPr><w:pStyle w:val="Normal"/></w:pPr>
<w:r><w:t xml:space="preserve">1 For information on the subject of Tarent Kaines see Sir W.</w:t></w:r>
</w:p>
<w:p>
<w:pPr><w:pStyle w:val="Normal"/></w:pPr>
<w:r><w:t xml:space="preserve">Dugdale, Monasticon Anglicanum (new ed., 1846), vol. v. 619 et seq.</w:t></w:r>
</w:p>
<w:p>
<w:pPr><w:pStyle w:val="Normal"/></w:pPr>
<w:r><w:t xml:space="preserve">ANCRUM, a village on Ale or Alne Water (a tributary of the</w:t></w:r>
</w:p>
<w:p>
<w:pPr><w:pStyle w:val="Normal"/></w:pPr>
<w:r><w:t xml:space="preserve">Teviot), Roxburghshire, Scotland, 2 m.  W. of Jedfoot Bridge</w:t></w:r>
</w:p>
<w:p>
<w:pPr><w:pStyle w:val="Normal"/></w:pPr>
<w:r><w:t xml:space="preserve">station on the Roxburgh-Jedburgh branch of the North British</w:t></w:r>
</w:p>
<w:p>
<w:pPr><w:pStyle w:val="Normal"/></w:pPr>
<w:r><w:t xml:space="preserve">railway.  Pop. (1901) 973. The earlier forms of the name,</w:t></w:r>
</w:p>
<w:p>
<w:pPr><w:pStyle w:val="Normal"/></w:pPr>
<w:r><w:t xml:space="preserve">``Alnecrumba,&apos;&apos; ``Ankrom&apos;&apos; and ``Alnecrom,&apos;&apos; indicate its</w:t></w:r>
</w:p>
<w:p>
<w:pPr><w:pStyle w:val="Normal"/></w:pPr>
<w:r><w:t xml:space="preserve">Gaelic derivation from crom, ``crooked&apos;&apos;--``the crook or</w:t></w:r>
</w:p>
<w:p>
<w:pPr><w:pStyle w:val="Normal"/></w:pPr>
<w:r><w:t xml:space="preserve">bend of the Alne.&apos;&apos; The village is of considerable antiquity,</w:t></w:r>
</w:p>
<w:p>
<w:pPr><w:pStyle w:val="Normal"/></w:pPr>
<w:r><w:t xml:space="preserve">and was formerly held by the see of Glasgow.  Its cross,</w:t></w:r>
</w:p>
<w:p>
<w:pPr><w:pStyle w:val="Normal"/></w:pPr>
<w:r><w:t xml:space="preserve">said to date from the time of David I., is one of the best</w:t></w:r>
</w:p>
<w:p>
<w:pPr><w:pStyle w:val="Normal"/></w:pPr>
<w:r><w:t xml:space="preserve">preserved crosses in the Border counties.  Ancrum Moor, 2</w:t></w:r>
</w:p>
<w:p>
<w:pPr><w:pStyle w:val="Normal"/></w:pPr>
<w:r><w:t xml:space="preserve">m.  N.W., was the scene of the battle in which, on the 17th</w:t></w:r>
</w:p>
<w:p>
<w:pPr><w:pStyle w:val="Normal"/></w:pPr>
<w:r><w:t xml:space="preserve">of February 1545, the Scots under the earl of Angus, Sir</w:t></w:r>
</w:p>
<w:p>
<w:pPr><w:pStyle w:val="Normal"/></w:pPr>
<w:r><w:t xml:space="preserve">Walter Scott of Buccleuch, and Norman Leslie, defeated 5000</w:t></w:r>
</w:p>
<w:p>
<w:pPr><w:pStyle w:val="Normal"/></w:pPr>
<w:r><w:t xml:space="preserve">English, whose leaders, Sir Ralph Evers or Eure and Sir</w:t></w:r>
</w:p>
<w:p>
<w:pPr><w:pStyle w:val="Normal"/></w:pPr>
<w:r><w:t xml:space="preserve">Brian Latoun or Layton, were slain.  A Roman road, 24 ft.</w:t></w:r>
</w:p>
<w:p>
<w:pPr><w:pStyle w:val="Normal"/></w:pPr>
<w:r><w:t xml:space="preserve">broad, forms the N.E. boundary of the parish of Ancrum.</w:t></w:r>
</w:p>
<w:p>
<w:pPr><w:pStyle w:val="Normal"/></w:pPr>
<w:r><w:t xml:space="preserve">ANCUS MARCIUS (640-616 B.C.), fourth legendary king of</w:t></w:r>
</w:p>
<w:p>
<w:pPr><w:pStyle w:val="Normal"/></w:pPr>
<w:r><w:t xml:space="preserve">Rome.  Like Numa, his reputed grandfather, he was a friend of</w:t></w:r>
</w:p>
<w:p>
<w:pPr><w:pStyle w:val="Normal"/></w:pPr>
<w:r><w:t xml:space="preserve">peace and religion, but was obliged to make war to defend his</w:t></w:r>
</w:p>
<w:p>
<w:pPr><w:pStyle w:val="Normal"/></w:pPr>
<w:r><w:t xml:space="preserve">territories.  He conquered the Latins, and a number of them he</w:t></w:r>
</w:p>
<w:p>
<w:pPr><w:pStyle w:val="Normal"/></w:pPr>
<w:r><w:t xml:space="preserve">settled on the Aventine formed the origin of the Plebeians.  He</w:t></w:r>
</w:p>
<w:p>
<w:pPr><w:pStyle w:val="Normal"/></w:pPr>
<w:r><w:t xml:space="preserve">fortified the Janiculum, threw a wooden bridge across the Tiber,</w:t></w:r>
</w:p>
<w:p>
<w:pPr><w:pStyle w:val="Normal"/></w:pPr>
<w:r><w:t xml:space="preserve">founded the port of Ostia, established salt-works and built a prison.</w:t></w:r>
</w:p>
<w:p>
<w:pPr><w:pStyle w:val="Normal"/></w:pPr>
<w:r><w:t xml:space="preserve">Ancus Marcius is merely a duplicate of Numa, as is shown by</w:t></w:r>
</w:p>
<w:p>
<w:pPr><w:pStyle w:val="Normal"/></w:pPr>
<w:r><w:t xml:space="preserve">his second name, Numa Marcius, the confidant and pontifex of</w:t></w:r>
</w:p>
<w:p>
<w:pPr><w:pStyle w:val="Normal"/></w:pPr>
<w:r><w:t xml:space="preserve">Numa, being no other than Numa Pompilius himself, represented as</w:t></w:r>
</w:p>
<w:p>
<w:pPr><w:pStyle w:val="Normal"/></w:pPr>
<w:r><w:t xml:space="preserve">priest.  The identification with Ancus is shown by the legend</w:t></w:r>
</w:p>
<w:p>
<w:pPr><w:pStyle w:val="Normal"/></w:pPr>
<w:r><w:t xml:space="preserve">which makes the latter a bridge-builder (pontifex), the</w:t></w:r>
</w:p>
<w:p>
<w:pPr><w:pStyle w:val="Normal"/></w:pPr>
<w:r><w:t xml:space="preserve">constructor of the first wooden bridge over the Tiber.  It is</w:t></w:r>
</w:p>
<w:p>
<w:pPr><w:pStyle w:val="Normal"/></w:pPr>
<w:r><w:t xml:space="preserve">in the exercise of his priestly functions that the resemblance</w:t></w:r>
</w:p>
<w:p>
<w:pPr><w:pStyle w:val="Normal"/></w:pPr>
<w:r><w:t xml:space="preserve">is most clearly shown.  Like Numa, Ancus died a natural death.</w:t></w:r>
</w:p>
<w:p>
<w:pPr><w:pStyle w:val="Normal"/></w:pPr>
<w:r><w:t xml:space="preserve">See Livy i. 32, 33; Dion Halic. iii. 36-45; Cicero, De</w:t></w:r>
</w:p>
<w:p>
<w:pPr><w:pStyle w:val="Normal"/></w:pPr>
<w:r><w:t xml:space="preserve">Republica, ii. 18. For a critical examination of the story</w:t></w:r>
</w:p>
<w:p>
<w:pPr><w:pStyle w:val="Normal"/></w:pPr>
<w:r><w:t xml:space="preserve">see Schwegler, Romische Geschichte, bk. xiii.; Sir G.</w:t></w:r>
</w:p>
<w:p>
<w:pPr><w:pStyle w:val="Normal"/></w:pPr>
<w:r><w:t xml:space="preserve">Cornewall kewis, Credibility of Early Roman History,</w:t></w:r>
</w:p>
<w:p>
<w:pPr><w:pStyle w:val="Normal"/></w:pPr>
<w:r><w:t xml:space="preserve">ch. xi.; W. Ihne, History of Rome, i.; R. Pais, Storia di</w:t></w:r>
</w:p>
<w:p>
<w:pPr><w:pStyle w:val="Normal"/></w:pPr>
<w:r><w:t xml:space="preserve">Roma, i. (1898), who considers that the name points to the</w:t></w:r>
</w:p>
<w:p>
<w:pPr><w:pStyle w:val="Normal"/></w:pPr>
<w:r><w:t xml:space="preserve">personification of the cult of Mars, and that the military</w:t></w:r>
</w:p>
<w:p>
<w:pPr><w:pStyle w:val="Normal"/></w:pPr>
<w:r><w:t xml:space="preserve">achievements of Ancus are anticipations of later events.</w:t></w:r>
</w:p>
<w:p>
<w:pPr><w:pStyle w:val="Normal"/></w:pPr>
<w:r><w:t xml:space="preserve">ANCYLOPODA, or ANCYLODACTYLA, an apparently primitive extinct</w:t></w:r>
</w:p>
<w:p>
<w:pPr><w:pStyle w:val="Normal"/></w:pPr>
<w:r><w:t xml:space="preserve">subordinal group of Ungulata showing certain resemblances to</w:t></w:r>
</w:p>
<w:p>
<w:pPr><w:pStyle w:val="Normal"/></w:pPr>
<w:r><w:t xml:space="preserve">the Perissodactyla, both as regards the cheek-teeth and the</w:t></w:r>
</w:p>
<w:p>
<w:pPr><w:pStyle w:val="Normal"/></w:pPr>
<w:r><w:t xml:space="preserve">skeleton, but broadly distinguished by the feet being of</w:t></w:r>
</w:p>
<w:p>
<w:pPr><w:pStyle w:val="Normal"/></w:pPr>
<w:r><w:t xml:space="preserve">an edentate type, carrying long curved and cleft terminal</w:t></w:r>
</w:p>
<w:p>
<w:pPr><w:pStyle w:val="Normal"/></w:pPr>
<w:r><w:t xml:space="preserve">claws.  From this peculiar structure of the feet it would</w:t></w:r>
</w:p>
<w:p>
<w:pPr><w:pStyle w:val="Normal"/></w:pPr>
<w:r><w:t xml:space="preserve">seem that the weight of the body was mainly carried on their</w:t></w:r>
</w:p>
<w:p>
<w:pPr><w:pStyle w:val="Normal"/></w:pPr>
<w:r><w:t xml:space="preserve">outer sides, as in Edentates.  The group is typified by</w:t></w:r>
</w:p>
<w:p>
<w:pPr><w:pStyle w:val="Normal"/></w:pPr>
<w:r><w:t xml:space="preserve">Chalicotherium, of which the original species was discovered</w:t></w:r>
</w:p>
<w:p>
<w:pPr><w:pStyle w:val="Normal"/></w:pPr>
<w:r><w:t xml:space="preserve">in the Lower Pliocene strata of Eppelsheim, Hesse-Darmstadt,</w:t></w:r>
</w:p>
<w:p>
<w:pPr><w:pStyle w:val="Normal"/></w:pPr>
<w:r><w:t xml:space="preserve">in 1825, and named on the evidence of the teeth, the limbs</w:t></w:r>
</w:p>
<w:p>
<w:pPr><w:pStyle w:val="Normal"/></w:pPr>
<w:r><w:t xml:space="preserve">being subsequently described as Macrotherium. The skull</w:t></w:r>
</w:p>
<w:p>
<w:pPr><w:pStyle w:val="Normal"/></w:pPr>
<w:r><w:t xml:space="preserve">is short, with a dental formula of i. 3/3, c. 0/1, p. 3/3,</w:t></w:r>
</w:p>
<w:p>
<w:pPr><w:pStyle w:val="Normal"/></w:pPr>
<w:r><w:t xml:space="preserve">m. 3/3, but in fully adult animals most of the front teeth were</w:t></w:r>
</w:p>
<w:p>
<w:pPr><w:pStyle w:val="Normal"/></w:pPr>
<w:r><w:t xml:space="preserve">shed.  The molar teeth recall those of Palaeosyops (see</w:t></w:r>
</w:p>
<w:p>
<w:pPr><w:pStyle w:val="Normal"/></w:pPr>
<w:r><w:t xml:space="preserve">TITANOTHERIIDAE.) Remains referred to Chalicotherium</w:t></w:r>
</w:p>
<w:p>
<w:pPr><w:pStyle w:val="Normal"/></w:pPr>
<w:r><w:t xml:space="preserve">have been also obtained from the Lower Pliocene and Upper</w:t></w:r>
</w:p>
<w:p>
<w:pPr><w:pStyle w:val="Normal"/></w:pPr>
<w:r><w:t xml:space="preserve">Miocene strata of Greece, Hungary, India, China and North</w:t></w:r>
</w:p>
<w:p>
<w:pPr><w:pStyle w:val="Normal"/></w:pPr>
<w:r><w:t xml:space="preserve">America.  A skull from Pikermi, near Mt. Pentelikon,</w:t></w:r>
</w:p>
<w:p>
<w:pPr><w:pStyle w:val="Normal"/></w:pPr>
<w:r><w:t xml:space="preserve">Attica, shows the absence in the adult state of upper and</w:t></w:r>
</w:p>
<w:p>
<w:pPr><w:pStyle w:val="Normal"/></w:pPr>
<w:r><w:t xml:space="preserve">lower incisors and upper canines, much the same condition</w:t></w:r>
</w:p>
<w:p>
<w:pPr><w:pStyle w:val="Normal"/></w:pPr>
<w:r><w:t xml:space="preserve">being indicated in an Indian skull.  There were three toes</w:t></w:r>
</w:p>
<w:p>
<w:pPr><w:pStyle w:val="Normal"/></w:pPr>
<w:r><w:t xml:space="preserve">to each foot, and the femur lacked a third trochanter.</w:t></w:r>
</w:p>
<w:p>
<w:pPr><w:pStyle w:val="Normal"/></w:pPr>
<w:r><w:t xml:space="preserve">Macrotherium, which is typically from the Middle Miocene</w:t></w:r>
</w:p>
<w:p>
<w:pPr><w:pStyle w:val="Normal"/></w:pPr>
<w:r><w:t xml:space="preserve">of Sansan, in Gers, France, may indicate a distinct genus.</w:t></w:r>
</w:p>
<w:p>
<w:pPr><w:pStyle w:val="Normal"/></w:pPr>
<w:r><w:t xml:space="preserve">Limb-bones nearly resembling those of Macrotherium, but</w:t></w:r>
</w:p>
<w:p>
<w:pPr><w:pStyle w:val="Normal"/></w:pPr>
<w:r><w:t xml:space="preserve">relatively stouter, have been described from the Pliocene beds</w:t></w:r>
</w:p>
<w:p>
<w:pPr><w:pStyle w:val="Normal"/></w:pPr>
<w:r><w:t xml:space="preserve">of Attica and Samos as Ancylotherium. In America the names</w:t></w:r>
</w:p>
<w:p>
<w:pPr><w:pStyle w:val="Normal"/></w:pPr>
<w:r><w:t xml:space="preserve">Morothorium and Moropus have been applied to similar bones,</w:t></w:r>
</w:p>
<w:p>
<w:pPr><w:pStyle w:val="Normal"/></w:pPr>
<w:r><w:t xml:space="preserve">on the belief that they indicated edentates. Macrotherium</w:t></w:r>
</w:p>
<w:p>
<w:pPr><w:pStyle w:val="Normal"/></w:pPr>
<w:r><w:t xml:space="preserve">magnum must have been an animal of about 9 ft. in length.</w:t></w:r>
</w:p>
<w:p>
<w:pPr><w:pStyle w:val="Normal"/></w:pPr>
<w:r><w:t xml:space="preserve">The South American genus Homalodontotherium is often placed</w:t></w:r>
</w:p>
<w:p>
<w:pPr><w:pStyle w:val="Normal"/></w:pPr>
<w:r><w:t xml:space="preserve">in the Ancylopoda, but reasons against this view are given in</w:t></w:r>
</w:p>
<w:p>
<w:pPr><w:pStyle w:val="Normal"/></w:pPr>
<w:r><w:t xml:space="preserve">the article LITOPTERNA. Professor H. F. Osborn considers that</w:t></w:r>
</w:p>
<w:p>
<w:pPr><w:pStyle w:val="Normal"/></w:pPr>
<w:r><w:t xml:space="preserve">the Ancylopoda are directly descended from the Condylarthra.</w:t></w:r>
</w:p>
<w:p>
<w:pPr><w:pStyle w:val="Normal"/></w:pPr>
<w:r><w:t xml:space="preserve">See also H. F. Osborn, ``The Ancylopoda Chalicotherium and Artionyx,&apos;&apos;</w:t></w:r>
</w:p>
<w:p>
<w:pPr><w:pStyle w:val="Normal"/></w:pPr>
<w:r><w:t xml:space="preserve">Amer.  Nat. (1893), p. 118, and ``Artionyx, a New Genus of</w:t></w:r>
</w:p>
<w:p>
<w:pPr><w:pStyle w:val="Normal"/></w:pPr>
<w:r><w:t xml:space="preserve">Ancylopoda,&apos;&apos; Bull.  Amer.  Mus. vol. v. p. 1 (1893). (N.B.--</w:t></w:r>
</w:p>
<w:p>
<w:pPr><w:pStyle w:val="Normal"/></w:pPr>
<w:r><w:t xml:space="preserve">Artionyx was subsequently found to be an Artiodactyle.] (R. L.*)</w:t></w:r>
</w:p>
<w:p>
<w:pPr><w:pStyle w:val="Normal"/></w:pPr>
<w:r><w:t xml:space="preserve">ANCYRA (mod. Angora, q.v.), an ancient city of Galatia</w:t></w:r>
</w:p>
<w:p>
<w:pPr><w:pStyle w:val="Normal"/></w:pPr>
<w:r><w:t xml:space="preserve">in Asia Minor, situated on a tributary of the Sangarius.</w:t></w:r>
</w:p>
<w:p>
<w:pPr><w:pStyle w:val="Normal"/></w:pPr>
<w:r><w:t xml:space="preserve">Originally a large and prosperous Phrygian city on the Persian</w:t></w:r>
</w:p>
<w:p>
<w:pPr><w:pStyle w:val="Normal"/></w:pPr>
<w:r><w:t xml:space="preserve">Royal Road, Ancyra became the centre of the Tectosages,</w:t></w:r>
</w:p>
<w:p>
<w:pPr><w:pStyle w:val="Normal"/></w:pPr>
<w:r><w:t xml:space="preserve">one of the three Gaulish tribes that settled permanently in</w:t></w:r>
</w:p>
<w:p>
<w:pPr><w:pStyle w:val="Normal"/></w:pPr>
<w:r><w:t xml:space="preserve">Galatia about 232 B.C. The barbarian occupation dislocated</w:t></w:r>
</w:p>
<w:p>
<w:pPr><w:pStyle w:val="Normal"/></w:pPr>
<w:r><w:t xml:space="preserve">civilization, and the town sank to a mere village inhabited</w:t></w:r>
</w:p>
<w:p>
<w:pPr><w:pStyle w:val="Normal"/></w:pPr>
<w:r><w:t xml:space="preserve">chiefly by the old native population who carried on the</w:t></w:r>
</w:p>
<w:p>
<w:pPr><w:pStyle w:val="Normal"/></w:pPr>
<w:r><w:t xml:space="preserve">arts and crafts of peaceful life, while the Gauls devoted</w:t></w:r>
</w:p>
<w:p>
<w:pPr><w:pStyle w:val="Normal"/></w:pPr>
<w:r><w:t xml:space="preserve">themselves to war and pastoral life (see GALATIA.) In 189</w:t></w:r>
</w:p>
<w:p>
<w:pPr><w:pStyle w:val="Normal"/></w:pPr>
<w:r><w:t xml:space="preserve">B.C. Ancyra was occupied by Cn. Manlius Vulso, who made</w:t></w:r>
</w:p>
<w:p>
<w:pPr><w:pStyle w:val="Normal"/></w:pPr>
<w:r><w:t xml:space="preserve">it his headquarters in his operations against the tribe.</w:t></w:r>
</w:p>
<w:p>
<w:pPr><w:pStyle w:val="Normal"/></w:pPr>
<w:r><w:t xml:space="preserve">In 63 B.C. Pompey placed it (together with the Tectosagan</w:t></w:r>
</w:p>
<w:p>
<w:pPr><w:pStyle w:val="Normal"/></w:pPr>
<w:r><w:t xml:space="preserve">territory) under one chief, and it continued under native rule</w:t></w:r>
</w:p>
<w:p>
<w:pPr><w:pStyle w:val="Normal"/></w:pPr>
<w:r><w:t xml:space="preserve">till it became the capital of the Roman province of Galatia</w:t></w:r>
</w:p>
<w:p>
<w:pPr><w:pStyle w:val="Normal"/></w:pPr>
<w:r><w:t xml:space="preserve">in 25 B.C. By this time the population included Greeks,</w:t></w:r>
</w:p>
<w:p>
<w:pPr><w:pStyle w:val="Normal"/></w:pPr>
<w:r><w:t xml:space="preserve">Jews, Romans and Romanized Gauls, but the town was not yet</w:t></w:r>
</w:p>
<w:p>
<w:pPr><w:pStyle w:val="Normal"/></w:pPr>
<w:r><w:t xml:space="preserve">Hellenized, though Greek was spoken.  Strabo (c. A.D. 19)</w:t></w:r>
</w:p>
<w:p>
<w:pPr><w:pStyle w:val="Normal"/></w:pPr>
<w:r><w:t xml:space="preserve">calls it not a city, but a fortress, implying that it had none</w:t></w:r>
</w:p>
<w:p>
<w:pPr><w:pStyle w:val="Normal"/></w:pPr>
<w:r><w:t xml:space="preserve">of the institutions of the Graeco-Roman city.  Inscriptions</w:t></w:r>
</w:p>
<w:p>
<w:pPr><w:pStyle w:val="Normal"/></w:pPr>
<w:r><w:t xml:space="preserve">and coins show that its civilization consisted of a layer</w:t></w:r>
</w:p>
<w:p>
<w:pPr><w:pStyle w:val="Normal"/></w:pPr>
<w:r><w:t xml:space="preserve">of Roman ideas and customs superimposed on Celtic tribal</w:t></w:r>
</w:p>
<w:p>
<w:pPr><w:pStyle w:val="Normal"/></w:pPr>
<w:r><w:t xml:space="preserve">characteristics, and that it is not until c. A.D. 150 that</w:t></w:r>
</w:p>
<w:p>
<w:pPr><w:pStyle w:val="Normal"/></w:pPr>
<w:r><w:t xml:space="preserve">the true Hellenic spirit begins to appear.  Christianity was</w:t></w:r>
</w:p>
<w:p>
<w:pPr><w:pStyle w:val="Normal"/></w:pPr>
<w:r><w:t xml:space="preserve">introduced (from the N. or N.W.) perhaps as early as the 1st</w:t></w:r>
</w:p>
<w:p>
<w:pPr><w:pStyle w:val="Normal"/></w:pPr>
<w:r><w:t xml:space="preserve">century, but there is no shred of evidence that the Ancyran</w:t></w:r>
</w:p>
<w:p>
<w:pPr><w:pStyle w:val="Normal"/></w:pPr>
<w:r><w:t xml:space="preserve">Church (first mentioned A.D. 192) was founded by St Paul</w:t></w:r>
</w:p>
<w:p>
<w:pPr><w:pStyle w:val="Normal"/></w:pPr>
<w:r><w:t xml:space="preserve">or that he ever visited northern Galatia.  The real greatness</w:t></w:r>
</w:p>
<w:p>
<w:pPr><w:pStyle w:val="Normal"/></w:pPr>
<w:r><w:t xml:space="preserve">of the town dates from the time when Constantinople became</w:t></w:r>
</w:p>
<w:p>
<w:pPr><w:pStyle w:val="Normal"/></w:pPr>
<w:r><w:t xml:space="preserve">the metropolis of the Roman world: then its geographical</w:t></w:r>
</w:p>
<w:p>
<w:pPr><w:pStyle w:val="Normal"/></w:pPr>
<w:r><w:t xml:space="preserve">situation raised it to a position of importance which it</w:t></w:r>
</w:p>
<w:p>
<w:pPr><w:pStyle w:val="Normal"/></w:pPr>
<w:r><w:t xml:space="preserve">retained throughout the middle ages.  See further ANGORA (1).</w:t></w:r>
</w:p>
<w:p>
<w:pPr><w:pStyle w:val="Normal"/></w:pPr>
<w:r><w:t xml:space="preserve">The modern town contains many remains of the Roman and Byzantine</w:t></w:r>
</w:p>
<w:p>
<w:pPr><w:pStyle w:val="Normal"/></w:pPr>
<w:r><w:t xml:space="preserve">periods.  The most important monument is the Augusteum,</w:t></w:r>
</w:p>
<w:p>
<w:pPr><w:pStyle w:val="Normal"/></w:pPr>
<w:r><w:t xml:space="preserve">a temple of white marble erected to ``Rome and Augustus&apos;&apos;</w:t></w:r>
</w:p>
<w:p>
<w:pPr><w:pStyle w:val="Normal"/></w:pPr>
<w:r><w:t xml:space="preserve">during the lifetime of that emperor by the common council</w:t></w:r>
</w:p>
<w:p>
<w:pPr><w:pStyle w:val="Normal"/></w:pPr>
<w:r><w:t xml:space="preserve">or diet of the three Galatian tribes.  The temple was</w:t></w:r>
</w:p>
<w:p>
<w:pPr><w:pStyle w:val="Normal"/></w:pPr>
<w:r><w:t xml:space="preserve">afterwards converted into a church, and in the 16th century</w:t></w:r>
</w:p>
<w:p>
<w:pPr><w:pStyle w:val="Normal"/></w:pPr>
<w:r><w:t xml:space="preserve">a fine mosque was built against its S. face.  On the walls</w:t></w:r>
</w:p>
<w:p>
<w:pPr><w:pStyle w:val="Normal"/></w:pPr>
<w:r><w:t xml:space="preserve">of the temple is engraved the famous Monumentum Ancyranum,</w:t></w:r>
</w:p>
<w:p>
<w:pPr><w:pStyle w:val="Normal"/></w:pPr>
<w:r><w:t xml:space="preserve">a long inscription in Latin and Greek describing the Res</w:t></w:r>
</w:p>
<w:p>
<w:pPr><w:pStyle w:val="Normal"/></w:pPr>
<w:r><w:t xml:space="preserve">gestae divi Augusti; the Latin portion being inscribed on</w:t></w:r>
</w:p>
<w:p>
<w:pPr><w:pStyle w:val="Normal"/></w:pPr>
<w:r><w:t xml:space="preserve">the inner left-hand wall of the pronaos, the Greek on the</w:t></w:r>
</w:p>
<w:p>
<w:pPr><w:pStyle w:val="Normal"/></w:pPr>
<w:r><w:t xml:space="preserve">outside wall of the naos (cella.) The inscription is a</w:t></w:r>
</w:p>
<w:p>
<w:pPr><w:pStyle w:val="Normal"/></w:pPr>
<w:r><w:t xml:space="preserve">grave and majestic narrative of the public life and work of</w:t></w:r>
</w:p>
<w:p>
<w:pPr><w:pStyle w:val="Normal"/></w:pPr>
<w:r><w:t xml:space="preserve">Augustus.  The original was written by the emperor in</w:t></w:r>
</w:p>
<w:p>
<w:pPr><w:pStyle w:val="Normal"/></w:pPr>
<w:r><w:t xml:space="preserve">his 76th year (A.D. 13-14) to be engraved on two bronze</w:t></w:r>
</w:p>
<w:p>
<w:pPr><w:pStyle w:val="Normal"/></w:pPr>
<w:r><w:t xml:space="preserve">tablets placed in front of his mausoleum in Rome, and as a</w:t></w:r>
</w:p>
<w:p>
<w:pPr><w:pStyle w:val="Normal"/></w:pPr>
<w:r><w:t xml:space="preserve">mark of respect to his memory a copy was inscribed on the</w:t></w:r>
</w:p>
<w:p>
<w:pPr><w:pStyle w:val="Normal"/></w:pPr>
<w:r><w:t xml:space="preserve">temple walls by the council of the Galatians.  Thus has been</w:t></w:r>
</w:p>
<w:p>
<w:pPr><w:pStyle w:val="Normal"/></w:pPr>
<w:r><w:t xml:space="preserve">preserved an absolutely unique historical document of great</w:t></w:r>
</w:p>
<w:p>
<w:pPr><w:pStyle w:val="Normal"/></w:pPr>
<w:r><w:t xml:space="preserve">importance, recounting (1) the numerous public offices</w:t></w:r>
</w:p>
<w:p>
<w:pPr><w:pStyle w:val="Normal"/></w:pPr>
<w:r><w:t xml:space="preserve">and honours conferred on him, (2) his various benefactions</w:t></w:r>
</w:p>
<w:p>
<w:pPr><w:pStyle w:val="Normal"/></w:pPr>
<w:r><w:t xml:space="preserve">to the state, to the plebs and to his soldiers, and (3)</w:t></w:r>
</w:p>
<w:p>
<w:pPr><w:pStyle w:val="Normal"/></w:pPr>
<w:r><w:t xml:space="preserve">his military and administrative services to the empire.</w:t></w:r>
</w:p>
<w:p>
<w:pPr><w:pStyle w:val="Normal"/></w:pPr>
<w:r><w:t xml:space="preserve">BIBLIOGRAPHY.--C.  Ritter, Erdkunde von Asien, vol.</w:t></w:r>
</w:p>
<w:p>
<w:pPr><w:pStyle w:val="Normal"/></w:pPr>
<w:r><w:t xml:space="preserve">xviii. (1837- 1859); Hamilton, Researches in A. M. (1842);</w:t></w:r>
</w:p>
<w:p>
<w:pPr><w:pStyle w:val="Normal"/></w:pPr>
<w:r><w:t xml:space="preserve">Texier, Descrip. de l&apos;Asie Min. (1839-1849); Perrot,</w:t></w:r>
</w:p>
<w:p>
<w:pPr><w:pStyle w:val="Normal"/></w:pPr>
<w:r><w:t xml:space="preserve">Explor. de la Galatie (1862): Humann and Puchstein,</w:t></w:r>
</w:p>
<w:p>
<w:pPr><w:pStyle w:val="Normal"/></w:pPr>
<w:r><w:t xml:space="preserve">Reisen in Kleinasien (1890).  For Mon. Ancyr., Mommsen,</w:t></w:r>
</w:p>
<w:p>
<w:pPr><w:pStyle w:val="Normal"/></w:pPr>
<w:r><w:t xml:space="preserve">Res gestae divi Augusti (1883); and Inscr. graecae ad</w:t></w:r>
</w:p>
<w:p>
<w:pPr><w:pStyle w:val="Normal"/></w:pPr>
<w:r><w:t xml:space="preserve">res Romanas pertinentes, iii. (1902).  For coins, Brit.</w:t></w:r>
</w:p>
<w:p>
<w:pPr><w:pStyle w:val="Normal"/></w:pPr>
<w:r><w:t xml:space="preserve">Museum Catal., Galatia (1899); Babelon-Reinach, Recueil</w:t></w:r>
</w:p>
<w:p>
<w:pPr><w:pStyle w:val="Normal"/></w:pPr>
<w:r><w:t xml:space="preserve">general d, A. M. See also under GALATIA. (J. G. C. A.)</w:t></w:r>
</w:p>
<w:p>
<w:pPr><w:pStyle w:val="Normal"/></w:pPr>
<w:r><w:t xml:space="preserve">SYNOD OF ANCYRA.--An important ecclesiastical synod was held at</w:t></w:r>
</w:p>
<w:p>
<w:pPr><w:pStyle w:val="Normal"/></w:pPr>
<w:r><w:t xml:space="preserve">Ancyra, the seat of the Roman administration for the province of</w:t></w:r>
</w:p>
<w:p>
<w:pPr><w:pStyle w:val="Normal"/></w:pPr>
<w:r><w:t xml:space="preserve">Galatia, in A.D. 314. The season was soon after Easter; the</w:t></w:r>
</w:p>
<w:p>
<w:pPr><w:pStyle w:val="Normal"/></w:pPr>
<w:r><w:t xml:space="preserve">year may be safely deduced from the fact that the first nine</w:t></w:r>
</w:p>
<w:p>
<w:pPr><w:pStyle w:val="Normal"/></w:pPr>
<w:r><w:t xml:space="preserve">canons are intended to repair havoc wrought in the church by</w:t></w:r>
</w:p>
<w:p>
<w:pPr><w:pStyle w:val="Normal"/></w:pPr>
<w:r><w:t xml:space="preserve">persecution, which ceased after the overthrow of Maximinus in</w:t></w:r>
</w:p>
<w:p>
<w:pPr><w:pStyle w:val="Normal"/></w:pPr>
<w:r><w:t xml:space="preserve">313. The tenth canon tolerates the marriages of deacons who</w:t></w:r>
</w:p>
<w:p>
<w:pPr><w:pStyle w:val="Normal"/></w:pPr>
<w:r><w:t xml:space="preserve">previous to ordination had reserved the right to take a wife;</w:t></w:r>
</w:p>
<w:p>
<w:pPr><w:pStyle w:val="Normal"/></w:pPr>
<w:r><w:t xml:space="preserve">the thirteenth forbids chorepiscopi to ordain presbyters or</w:t></w:r>
</w:p>
<w:p>
<w:pPr><w:pStyle w:val="Normal"/></w:pPr>
<w:r><w:t xml:space="preserve">deacons; the eighteenth safeguards the right of the people in</w:t></w:r>
</w:p>
<w:p>
<w:pPr><w:pStyle w:val="Normal"/></w:pPr>
<w:r><w:t xml:space="preserve">objecting to the appointment of a bishop whom they do not wish.</w:t></w:r>
</w:p>
<w:p>
<w:pPr><w:pStyle w:val="Normal"/></w:pPr>
<w:r><w:t xml:space="preserve">See Mansi, ii. 514 ff.  The critical text of R. B. Rackham</w:t></w:r>
</w:p>
<w:p>
<w:pPr><w:pStyle w:val="Normal"/></w:pPr>
<w:r><w:t xml:space="preserve">(Oxford, 1891), Studia Biblica et ecclesiastica,</w:t></w:r>
</w:p>
<w:p>
<w:pPr><w:pStyle w:val="Normal"/></w:pPr>
<w:r><w:t xml:space="preserve">iii. 139 ff., is conveniently reprinted in Lauchert 29</w:t></w:r>
</w:p>
<w:p>
<w:pPr><w:pStyle w:val="Normal"/></w:pPr>
<w:r><w:t xml:space="preserve">ff.  H. R. Percival translates and comments on an old</w:t></w:r>
</w:p>
<w:p>
<w:pPr><w:pStyle w:val="Normal"/></w:pPr>
<w:r><w:t xml:space="preserve">text in the Nicene and Post-Nicene Fathers (2nd series),</w:t></w:r>
</w:p>
<w:p>
<w:pPr><w:pStyle w:val="Normal"/></w:pPr>
<w:r><w:t xml:space="preserve">xiv. 61 ff.  An elaborate discussion is found in Hefele,</w:t></w:r>
</w:p>
<w:p>
<w:pPr><w:pStyle w:val="Normal"/></w:pPr>
<w:r><w:t xml:space="preserve">Concilien- geschichte (2nd ed.), i. 219 ff. (English</w:t></w:r>
</w:p>
<w:p>
<w:pPr><w:pStyle w:val="Normal"/></w:pPr>
<w:r><w:t xml:space="preserve">translation, i. 199 ff.); more briefly in Herzog-Hauck (3rd</w:t></w:r>
</w:p>
<w:p>
<w:pPr><w:pStyle w:val="Normal"/></w:pPr>
<w:r><w:t xml:space="preserve">ed.), i. 497. For full titles see COUNCIL. (W. W. R.*)</w:t></w:r>
</w:p>
<w:p>
<w:pPr><w:pStyle w:val="Normal"/></w:pPr>
<w:r><w:t xml:space="preserve">ANDALUSIA, or ANDALUCIA, a captaincy-general, and</w:t></w:r>
</w:p>
<w:p>
<w:pPr><w:pStyle w:val="Normal"/></w:pPr>
<w:r><w:t xml:space="preserve">formerly a province, of southern Spain; bounded on the</w:t></w:r>
</w:p>
<w:p>
<w:pPr><w:pStyle w:val="Normal"/></w:pPr>
<w:r><w:t xml:space="preserve">N. by Estremadura and New Castile, E. by Murcia and the</w:t></w:r>
</w:p>
<w:p>
<w:pPr><w:pStyle w:val="Normal"/></w:pPr>
<w:r><w:t xml:space="preserve">Mediterranean Sea, S. by the Mediterranean and Atlantic,</w:t></w:r>
</w:p>
<w:p>
<w:pPr><w:pStyle w:val="Normal"/></w:pPr>
<w:r><w:t xml:space="preserve">and W. by Portugal.  Pop. (1900) 3,563,606; area, 33,777 sq.</w:t></w:r>
</w:p>
<w:p>
<w:pPr><w:pStyle w:val="Normal"/></w:pPr>
<w:r><w:t xml:space="preserve">m.  Andalusia was divided in 1833 into the eight provinces of</w:t></w:r>
</w:p>
<w:p>
<w:pPr><w:pStyle w:val="Normal"/></w:pPr>
<w:r><w:t xml:space="preserve">Almeria, Cadiz, Cordova, Granada, Jaen, Huelva, Malaga and</w:t></w:r>
</w:p>
<w:p>
<w:pPr><w:pStyle w:val="Normal"/></w:pPr>
<w:r><w:t xml:space="preserve">Seville, which are described in separate articles.  Its</w:t></w:r>
</w:p>
<w:p>
<w:pPr><w:pStyle w:val="Normal"/></w:pPr>
<w:r><w:t xml:space="preserve">ancient name, though no longer used officially, except to</w:t></w:r>
</w:p>
<w:p>
<w:pPr><w:pStyle w:val="Normal"/></w:pPr>
<w:r><w:t xml:space="preserve">designate a military district, has not been superseded in</w:t></w:r>
</w:p>
<w:p>
<w:pPr><w:pStyle w:val="Normal"/></w:pPr>
<w:r><w:t xml:space="preserve">popular speech by the names of the eight modern divisions.</w:t></w:r>
</w:p>
<w:p>
<w:pPr><w:pStyle w:val="Normal"/></w:pPr>
<w:r><w:t xml:space="preserve">Andalusia consists of a great plain, the valley of the</w:t></w:r>
</w:p>
<w:p>
<w:pPr><w:pStyle w:val="Normal"/></w:pPr>
<w:r><w:t xml:space="preserve">Guadalquivir, shut in by mountain ranges on every side except</w:t></w:r>
</w:p>
<w:p>
<w:pPr><w:pStyle w:val="Normal"/></w:pPr>
<w:r><w:t xml:space="preserve">the S.W., where it descends to the Atlantic.  This lowland,</w:t></w:r>
</w:p>
<w:p>
<w:pPr><w:pStyle w:val="Normal"/></w:pPr>
<w:r><w:t xml:space="preserve">which is known as Andalucia Baja, or Lower Andalusia,</w:t></w:r>
</w:p>
<w:p>
<w:pPr><w:pStyle w:val="Normal"/></w:pPr>
<w:r><w:t xml:space="preserve">resembles the valley of the Ebro in its slight elevation above</w:t></w:r>
</w:p>
<w:p>
<w:pPr><w:pStyle w:val="Normal"/></w:pPr>
<w:r><w:t xml:space="preserve">sea-level (300-400 ft.), and in the number of brackish lakes</w:t></w:r>
</w:p>
<w:p>
<w:pPr><w:pStyle w:val="Normal"/></w:pPr>
<w:r><w:t xml:space="preserve">or fens, and waste lands (despoblados) impregnated with</w:t></w:r>
</w:p>
<w:p>
<w:pPr><w:pStyle w:val="Normal"/></w:pPr>
<w:r><w:t xml:space="preserve">salt, which seem to indicate that the whole surface was covered</w:t></w:r>
</w:p>
<w:p>
<w:pPr><w:pStyle w:val="Normal"/></w:pPr>
<w:r><w:t xml:space="preserve">by the sea at no distant geological date.  The barren tracts</w:t></w:r>
</w:p>
<w:p>
<w:pPr><w:pStyle w:val="Normal"/></w:pPr>
<w:r><w:t xml:space="preserve">are, however, exceptional and a far larger area is richly</w:t></w:r>
</w:p>
<w:p>
<w:pPr><w:pStyle w:val="Normal"/></w:pPr>
<w:r><w:t xml:space="preserve">fertile.  Some districts, indeed, such as the Vega of Granada,</w:t></w:r>
</w:p>
<w:p>
<w:pPr><w:pStyle w:val="Normal"/></w:pPr>
<w:r><w:t xml:space="preserve">are famous for the luxuriance of their vegetation.  The</w:t></w:r>
</w:p>
<w:p>
<w:pPr><w:pStyle w:val="Normal"/></w:pPr>
<w:r><w:t xml:space="preserve">Guadalquivir (q.v.) rises among the mountains of Jaen and</w:t></w:r>
</w:p>
<w:p>
<w:pPr><w:pStyle w:val="Normal"/></w:pPr>
<w:r><w:t xml:space="preserve">flows in a south-westerly direction to the Gulf of Cadiz,</w:t></w:r>
</w:p>
<w:p>
<w:pPr><w:pStyle w:val="Normal"/></w:pPr>
<w:r><w:t xml:space="preserve">receiving many considerable tributaries on its way.  On the</w:t></w:r>
</w:p>
<w:p>
<w:pPr><w:pStyle w:val="Normal"/></w:pPr>
<w:r><w:t xml:space="preserve">north, its valley is bounded by the wild Sierra Morena; on the</w:t></w:r>
</w:p>
<w:p>
<w:pPr><w:pStyle w:val="Normal"/></w:pPr>
<w:r><w:t xml:space="preserve">south, by the mountains of the Mediterranean littoral, among</w:t></w:r>
</w:p>
<w:p>
<w:pPr><w:pStyle w:val="Normal"/></w:pPr>
<w:r><w:t xml:space="preserve">which the Sierra Nevada (q.v.), with its peaks of Mulhacen</w:t></w:r>
</w:p>
<w:p>
<w:pPr><w:pStyle w:val="Normal"/></w:pPr>
<w:r><w:t xml:space="preserve">(11,421 ft.)and Veleta(11,148 ft.), is the most conspicuous.</w:t></w:r>
</w:p>
<w:p>
<w:pPr><w:pStyle w:val="Normal"/></w:pPr>
<w:r><w:t xml:space="preserve">These highlands, with the mountains of Jaen and Almeria on</w:t></w:r>
</w:p>
<w:p>
<w:pPr><w:pStyle w:val="Normal"/></w:pPr>
<w:r><w:t xml:space="preserve">the east, constitute Anidalucia Alta or Upper Andalusia.</w:t></w:r>
</w:p>
<w:p>
<w:pPr><w:pStyle w:val="Normal"/></w:pPr>
<w:r><w:t xml:space="preserve">No part of Spain has greater natural riches.  The sherry</w:t></w:r>
</w:p>
<w:p>
<w:pPr><w:pStyle w:val="Normal"/></w:pPr>
<w:r><w:t xml:space="preserve">produced near Jerez de la Frontera, the copper of the Rio</w:t></w:r>
</w:p>
<w:p>
<w:pPr><w:pStyle w:val="Normal"/></w:pPr>
<w:r><w:t xml:space="preserve">Tinto mines and the lead of Almeria are famous.  But the</w:t></w:r>
</w:p>
<w:p>
<w:pPr><w:pStyle w:val="Normal"/></w:pPr>
<w:r><w:t xml:space="preserve">most noteworthy characteristics of the province are, perhaps,</w:t></w:r>
</w:p>
<w:p>
<w:pPr><w:pStyle w:val="Normal"/></w:pPr>
<w:r><w:t xml:space="preserve">the brilliancy of its climate, the beauty of its scenery</w:t></w:r>
</w:p>
<w:p>
<w:pPr><w:pStyle w:val="Normal"/></w:pPr>
<w:r><w:t xml:space="preserve">(which ranges in character from the alpine to the tropical),</w:t></w:r>
</w:p>
<w:p>
<w:pPr><w:pStyle w:val="Normal"/></w:pPr>
<w:r><w:t xml:space="preserve">and the interest of its art and antiquities.  The climate</w:t></w:r>
</w:p>
<w:p>
<w:pPr><w:pStyle w:val="Normal"/></w:pPr>
<w:r><w:t xml:space="preserve">necessarily varies widely with the altitude.  Some of the</w:t></w:r>
</w:p>
<w:p>
<w:pPr><w:pStyle w:val="Normal"/></w:pPr>
<w:r><w:t xml:space="preserve">higher mountains are covered with perpetual snow, a luxury</w:t></w:r>
</w:p>
<w:p>
<w:pPr><w:pStyle w:val="Normal"/></w:pPr>
<w:r><w:t xml:space="preserve">which is highly prized by the inhabitants of the valleys,</w:t></w:r>
</w:p>
<w:p>
<w:pPr><w:pStyle w:val="Normal"/></w:pPr>
<w:r><w:t xml:space="preserve">where the summer is usually extremely hot, and in winter the</w:t></w:r>
</w:p>
<w:p>
<w:pPr><w:pStyle w:val="Normal"/></w:pPr>
<w:r><w:t xml:space="preserve">snow falls only to melt when it reaches the ground.  Here the</w:t></w:r>
</w:p>
<w:p>
<w:pPr><w:pStyle w:val="Normal"/></w:pPr>
<w:r><w:t xml:space="preserve">more common European plants and trees give place to the wild</w:t></w:r>
</w:p>
<w:p>
<w:pPr><w:pStyle w:val="Normal"/></w:pPr>
<w:r><w:t xml:space="preserve">olive, the caper bush, the aloe, the cactus, the evergreen</w:t></w:r>
</w:p>
<w:p>
<w:pPr><w:pStyle w:val="Normal"/></w:pPr>
<w:r><w:t xml:space="preserve">oak, the orange, the lemon, the palm and other productions</w:t></w:r>
</w:p>
<w:p>
<w:pPr><w:pStyle w:val="Normal"/></w:pPr>
<w:r><w:t xml:space="preserve">of a tropical climate.  On the coasts of the Mediterranean</w:t></w:r>
</w:p>
<w:p>
<w:pPr><w:pStyle w:val="Normal"/></w:pPr>
<w:r><w:t xml:space="preserve">about Marbella and Malaga, the sugar-cane is successfully</w:t></w:r>
</w:p>
<w:p>
<w:pPr><w:pStyle w:val="Normal"/></w:pPr>
<w:r><w:t xml:space="preserve">cultivated.  Silk is produced in the same region.  Agriculture</w:t></w:r>
</w:p>
<w:p>
<w:pPr><w:pStyle w:val="Normal"/></w:pPr>
<w:r><w:t xml:space="preserve">is in a very backward state and the implements used are</w:t></w:r>
</w:p>
<w:p>
<w:pPr><w:pStyle w:val="Normal"/></w:pPr>
<w:r><w:t xml:space="preserve">most primitive.  The chief towns are Seville (pop. 1900,</w:t></w:r>
</w:p>
<w:p>
<w:pPr><w:pStyle w:val="Normal"/></w:pPr>
<w:r><w:t xml:space="preserve">148,315), which may be regarded as the capital, Malaga</w:t></w:r>
</w:p>
<w:p>
<w:pPr><w:pStyle w:val="Normal"/></w:pPr>
<w:r><w:t xml:space="preserve">(130,109), Granada (75,900), Cadiz (69,382), Jerez de la</w:t></w:r>
</w:p>
<w:p>
<w:pPr><w:pStyle w:val="Normal"/></w:pPr>
<w:r><w:t xml:space="preserve">Frontera (63,473), Cordova (58,275) and Almeria (47,326).</w:t></w:r>
</w:p>
<w:p>
<w:pPr><w:pStyle w:val="Normal"/></w:pPr>
<w:r><w:t xml:space="preserve">Andalusia has never been, like Castile or Aragon, a separate</w:t></w:r>
</w:p>
<w:p>
<w:pPr><w:pStyle w:val="Normal"/></w:pPr>
<w:r><w:t xml:space="preserve">kingdom.  Its history is largely a record of commercial and</w:t></w:r>
</w:p>
<w:p>
<w:pPr><w:pStyle w:val="Normal"/></w:pPr>
<w:r><w:t xml:space="preserve">artistic development.  The Guadalquivir valley is often,</w:t></w:r>
</w:p>
<w:p>
<w:pPr><w:pStyle w:val="Normal"/></w:pPr>
<w:r><w:t xml:space="preserve">in part at least, identified with the biblical Tarshish</w:t></w:r>
</w:p>
<w:p>
<w:pPr><w:pStyle w:val="Normal"/></w:pPr>
<w:r><w:t xml:space="preserve">and the classical Tartessus, a famous Phoenician mart.</w:t></w:r>
</w:p>
<w:p>
<w:pPr><w:pStyle w:val="Normal"/></w:pPr>
<w:r><w:t xml:space="preserve">The port of Agadir or Gaddir, now Cadiz, was founded as</w:t></w:r>
</w:p>
<w:p>
<w:pPr><w:pStyle w:val="Normal"/></w:pPr>
<w:r><w:t xml:space="preserve">early as 1100 B.C. Later Carthaginian invaders came from</w:t></w:r>
</w:p>
<w:p>
<w:pPr><w:pStyle w:val="Normal"/></w:pPr>
<w:r><w:t xml:space="preserve">their advanced settlements in the Balearic Islands, about</w:t></w:r>
</w:p>
<w:p>
<w:pPr><w:pStyle w:val="Normal"/></w:pPr>
<w:r><w:t xml:space="preserve">516 B.C. Greek merchants also visited the coasts.  The</w:t></w:r>
</w:p>
<w:p>
<w:pPr><w:pStyle w:val="Normal"/></w:pPr>
<w:r><w:t xml:space="preserve">products of the interior were conveved by the native Iberians</w:t></w:r>
</w:p>
<w:p>
<w:pPr><w:pStyle w:val="Normal"/></w:pPr>
<w:r><w:t xml:space="preserve">to the maritime colonies, such as Abdera (Adra), Calpe</w:t></w:r>
</w:p>
<w:p>
<w:pPr><w:pStyle w:val="Normal"/></w:pPr>
<w:r><w:t xml:space="preserve">(Gibraltar) or Malaca (Malaga), founded by the foreign</w:t></w:r>
</w:p>
<w:p>
<w:pPr><w:pStyle w:val="Normal"/></w:pPr>
<w:r><w:t xml:space="preserve">merchants.  The Punic wars transferred the supreme power from</w:t></w:r>
</w:p>
<w:p>
<w:pPr><w:pStyle w:val="Normal"/></w:pPr>
<w:r><w:t xml:space="preserve">Carthage to Rome, and Latin civilization was established firmly</w:t></w:r>
</w:p>
<w:p>
<w:pPr><w:pStyle w:val="Normal"/></w:pPr>
<w:r><w:t xml:space="preserve">when, in 27 B.C., Andalusia became the Roman province of</w:t></w:r>
</w:p>
<w:p>
<w:pPr><w:pStyle w:val="Normal"/></w:pPr>
<w:r><w:t xml:space="preserve">Baetica--so called after its great waterway, the Baetis</w:t></w:r>
</w:p>
<w:p>
<w:pPr><w:pStyle w:val="Normal"/></w:pPr>
<w:r><w:t xml:space="preserve">(Guadalquivir).  In the 5th century the province was overrun</w:t></w:r>
</w:p>
<w:p>
<w:pPr><w:pStyle w:val="Normal"/></w:pPr>
<w:r><w:t xml:space="preserve">by successive invaders--Vandals, Suevi and Visigoths-- from</w:t></w:r>
</w:p>
<w:p>
<w:pPr><w:pStyle w:val="Normal"/></w:pPr>
<w:r><w:t xml:space="preserve">the first of whom it may possibly derive its name.  The forms</w:t></w:r>
</w:p>
<w:p>
<w:pPr><w:pStyle w:val="Normal"/></w:pPr>
<w:r><w:t xml:space="preserve">Vandalusia and Vandalitia are undoubtedly ancient; many</w:t></w:r>
</w:p>
<w:p>
<w:pPr><w:pStyle w:val="Normal"/></w:pPr>
<w:r><w:t xml:space="preserve">authorities, however, maintain that the name is derived from</w:t></w:r>
</w:p>
<w:p>
<w:pPr><w:pStyle w:val="Normal"/></w:pPr>
<w:r><w:t xml:space="preserve">the Moorish Andalus or Andalosh, ``Land of the West.&apos;&apos;</w:t></w:r>
</w:p>
<w:p>
<w:pPr><w:pStyle w:val="Normal"/></w:pPr>
<w:r><w:t xml:space="preserve">The Moors first entered the province in 711, and only in 1492</w:t></w:r>
</w:p>
<w:p>
<w:pPr><w:pStyle w:val="Normal"/></w:pPr>
<w:r><w:t xml:space="preserve">was their power finally broken by the capture of Granada.</w:t></w:r>
</w:p>
<w:p>
<w:pPr><w:pStyle w:val="Normal"/></w:pPr>
<w:r><w:t xml:space="preserve">Their four Andalusian kingdoms, Seville, Jaen, Cordova and</w:t></w:r>
</w:p>
<w:p>
<w:pPr><w:pStyle w:val="Normal"/></w:pPr>
<w:r><w:t xml:space="preserve">Granada, developed a civilization unsurpassed at the time in</w:t></w:r>
</w:p>
<w:p>
<w:pPr><w:pStyle w:val="Normal"/></w:pPr>
<w:r><w:t xml:space="preserve">Europe.  An extensive literature, scientific, philosophical and</w:t></w:r>
</w:p>
<w:p>
<w:pPr><w:pStyle w:val="Normal"/></w:pPr>
<w:r><w:t xml:space="preserve">historical, with four world-famous buildings--the Giralda and</w:t></w:r>
</w:p>
<w:p>
<w:pPr><w:pStyle w:val="Normal"/></w:pPr>
<w:r><w:t xml:space="preserve">Alcazar of Seville, the Mezquita or cathedral of Cordova and the</w:t></w:r>
</w:p>
<w:p>
<w:pPr><w:pStyle w:val="Normal"/></w:pPr>
<w:r><w:t xml:space="preserve">Alhambra at Granada--are its chief monuments.  In the 16th and</w:t></w:r>
</w:p>
<w:p>
<w:pPr><w:pStyle w:val="Normal"/></w:pPr>
<w:r><w:t xml:space="preserve">17th centuries, painting replaced architecture as the distinctive</w:t></w:r>
</w:p>
<w:p>
<w:pPr><w:pStyle w:val="Normal"/></w:pPr>
<w:r><w:t xml:space="preserve">art of Andalusia; and many of the foremost Spanish painters,</w:t></w:r>
</w:p>
<w:p>
<w:pPr><w:pStyle w:val="Normal"/></w:pPr>
<w:r><w:t xml:space="preserve">including Velazquez and Murillo, were natives of this province.</w:t></w:r>
</w:p>
<w:p>
<w:pPr><w:pStyle w:val="Normal"/></w:pPr>
<w:r><w:t xml:space="preserve">Centuries of alien domination have left their mark upon the</w:t></w:r>
</w:p>
<w:p>
<w:pPr><w:pStyle w:val="Normal"/></w:pPr>
<w:r><w:t xml:space="preserve">character and appearance of the Andalusians, a mixed race,</w:t></w:r>
</w:p>
<w:p>
<w:pPr><w:pStyle w:val="Normal"/></w:pPr>
<w:r><w:t xml:space="preserve">who contrast strongly with the true Spaniards and possess</w:t></w:r>
</w:p>
<w:p>
<w:pPr><w:pStyle w:val="Normal"/></w:pPr>
<w:r><w:t xml:space="preserve">many oriental traits.  It is impossible to estimate the</w:t></w:r>
</w:p>
<w:p>
<w:pPr><w:pStyle w:val="Normal"/></w:pPr>
<w:r><w:t xml:space="preserve">influence of the elder conquerors, Greek, Carthaginian and</w:t></w:r>
</w:p>
<w:p>
<w:pPr><w:pStyle w:val="Normal"/></w:pPr>
<w:r><w:t xml:space="preserve">Roman; but there are clear traces of Moorish blood, with</w:t></w:r>
</w:p>
<w:p>
<w:pPr><w:pStyle w:val="Normal"/></w:pPr>
<w:r><w:t xml:space="preserve">a less well-defined Jewish and gipsy strain.  The men are</w:t></w:r>
</w:p>
<w:p>
<w:pPr><w:pStyle w:val="Normal"/></w:pPr>
<w:r><w:t xml:space="preserve">tall, handsome and well-made, and the women are among the most</w:t></w:r>
</w:p>
<w:p>
<w:pPr><w:pStyle w:val="Normal"/></w:pPr>
<w:r><w:t xml:space="preserve">beautiful in Spain; while the dark complexion and hair of both</w:t></w:r>
</w:p>
<w:p>
<w:pPr><w:pStyle w:val="Normal"/></w:pPr>
<w:r><w:t xml:space="preserve">sexes, and their peculiar dialect of Spanish, so distasteful</w:t></w:r>
</w:p>
<w:p>
<w:pPr><w:pStyle w:val="Normal"/></w:pPr>
<w:r><w:t xml:space="preserve">to pure Castilians, are indisputable evidence of Moorish</w:t></w:r>
</w:p>
<w:p>
<w:pPr><w:pStyle w:val="Normal"/></w:pPr>
<w:r><w:t xml:space="preserve">descent.  Their music, dances and many customs, come from the</w:t></w:r>
</w:p>
<w:p>
<w:pPr><w:pStyle w:val="Normal"/></w:pPr>
<w:r><w:t xml:space="preserve">East.  In general, the people are lively, good-humoured</w:t></w:r>
</w:p>
<w:p>
<w:pPr><w:pStyle w:val="Normal"/></w:pPr>
<w:r><w:t xml:space="preserve">and ready-witted, fond of pleasure, lazy and extremely</w:t></w:r>
</w:p>
<w:p>
<w:pPr><w:pStyle w:val="Normal"/></w:pPr>
<w:r><w:t xml:space="preserve">superstitious.  In the literature and drama of his country,</w:t></w:r>
</w:p>
<w:p>
<w:pPr><w:pStyle w:val="Normal"/></w:pPr>
<w:r><w:t xml:space="preserve">the Andalusian is traditionally represented as the Gascon of</w:t></w:r>
</w:p>
<w:p>
<w:pPr><w:pStyle w:val="Normal"/></w:pPr>
<w:r><w:t xml:space="preserve">Spain, ever boastful and mercurial; or else as a picaresque</w:t></w:r>
</w:p>
<w:p>
<w:pPr><w:pStyle w:val="Normal"/></w:pPr>
<w:r><w:t xml:space="preserve">hero, bull-fighter, brigand or smuggler.  Andalusia is</w:t></w:r>
</w:p>
<w:p>
<w:pPr><w:pStyle w:val="Normal"/></w:pPr>
<w:r><w:t xml:space="preserve">still famous for its bull-fighters; and every outlying</w:t></w:r>
</w:p>
<w:p>
<w:pPr><w:pStyle w:val="Normal"/></w:pPr>
<w:r><w:t xml:space="preserve">hamlet has its legends of highwaymen and contraband.</w:t></w:r>
</w:p>
<w:p>
<w:pPr><w:pStyle w:val="Normal"/></w:pPr>
<w:r><w:t xml:space="preserve">In addition to the numerous works cited under the heading</w:t></w:r>
</w:p>
<w:p>
<w:pPr><w:pStyle w:val="Normal"/></w:pPr>
<w:r><w:t xml:space="preserve">SPAIN, see Curiosidades historicas de Andalucia, by N.</w:t></w:r>
</w:p>
<w:p>
<w:pPr><w:pStyle w:val="Normal"/></w:pPr>
<w:r><w:t xml:space="preserve">Diaz de Escovar (Malaga, 1900): Histoire de la conquete de</w:t></w:r>
</w:p>
<w:p>
<w:pPr><w:pStyle w:val="Normal"/></w:pPr>
<w:r><w:t xml:space="preserve">l&apos;Andalousie, by O. Houdas (Paris, 1889); Andalousie et Portugal</w:t></w:r>
</w:p>
<w:p>
<w:pPr><w:pStyle w:val="Normal"/></w:pPr>
<w:r><w:t xml:space="preserve">(Paris, 1886); El. Folk-Lore Andaluz (Seville, 1883); and</w:t></w:r>
</w:p>
<w:p>
<w:pPr><w:pStyle w:val="Normal"/></w:pPr>
<w:r><w:t xml:space="preserve">Nobleza de Andalucia, by G. Argote de Molina (Seville, 1588).</w:t></w:r>
</w:p>
<w:p>
<w:pPr><w:pStyle w:val="Normal"/></w:pPr>
<w:r><w:t xml:space="preserve">ANDALUSITE, a mineral with the same chemical composition</w:t></w:r>
</w:p>
<w:p>
<w:pPr><w:pStyle w:val="Normal"/></w:pPr>
<w:r><w:t xml:space="preserve">as cyanite and sillimanite, being a basic aluminium silicate,</w:t></w:r>
</w:p>
<w:p>
<w:pPr><w:pStyle w:val="Normal"/></w:pPr>
<w:r><w:t xml:space="preserve">Al2SiO5.  As in sillimanite, its crystalline form is</w:t></w:r>
</w:p>
<w:p>
<w:pPr><w:pStyle w:val="Normal"/></w:pPr>
<w:r><w:t xml:space="preserve">referable to the orthorhombic system.  Crystals of andalusite</w:t></w:r>
</w:p>
<w:p>
<w:pPr><w:pStyle w:val="Normal"/></w:pPr>
<w:r><w:t xml:space="preserve">have the form of almost square prisms, the prism-angle</w:t></w:r>
</w:p>
<w:p>
<w:pPr><w:pStyle w:val="Normal"/></w:pPr>
<w:r><w:t xml:space="preserve">being 89 deg.  12&apos;; they are terminated by a basal plane and</w:t></w:r>
</w:p>
<w:p>
<w:pPr><w:pStyle w:val="Normal"/></w:pPr>
<w:r><w:t xml:space="preserve">sometimes by small dome-faces.  As a rule the crystals are</w:t></w:r>
</w:p>
<w:p>
<w:pPr><w:pStyle w:val="Normal"/></w:pPr>
<w:r><w:t xml:space="preserve">roughly developed and rude columnar masses are common, these</w:t></w:r>
</w:p>
<w:p>
<w:pPr><w:pStyle w:val="Normal"/></w:pPr>
<w:r><w:t xml:space="preserve">being frequently altered partially to kaolin or mica.  Such</w:t></w:r>
</w:p>
<w:p>
<w:pPr><w:pStyle w:val="Normal"/></w:pPr>
<w:r><w:t xml:space="preserve">FIG. 1.</w:t></w:r>
</w:p>
<w:p>
<w:pPr><w:pStyle w:val="Normal"/></w:pPr>
<w:r><w:t xml:space="preserve">crystals, opaque, and of a greyish or brownish colour, occur</w:t></w:r>
</w:p>
<w:p>
<w:pPr><w:pStyle w:val="Normal"/></w:pPr>
<w:r><w:t xml:space="preserve">abundantly in the mica-schist of the Lisens Alp near Innsbruck</w:t></w:r>
</w:p>
<w:p>
<w:pPr><w:pStyle w:val="Normal"/></w:pPr>
<w:r><w:t xml:space="preserve">in Tirol, while the first noted of the many localities of the</w:t></w:r>
</w:p>
<w:p>
<w:pPr><w:pStyle w:val="Normal"/></w:pPr>
<w:r><w:t xml:space="preserve">mineral is in Andalusia, from which place the mineral derives its</w:t></w:r>
</w:p>
<w:p>
<w:pPr><w:pStyle w:val="Normal"/></w:pPr>
<w:r><w:t xml:space="preserve">name.  The unaltered mineral is found as transparent pebbles</w:t></w:r>
</w:p>
<w:p>
<w:pPr><w:pStyle w:val="Normal"/></w:pPr>
<w:r><w:t xml:space="preserve">with topaz in the gem-gravels of the Minas Novas district,</w:t></w:r>
</w:p>
<w:p>
<w:pPr><w:pStyle w:val="Normal"/></w:pPr>
<w:r><w:t xml:space="preserve">in Minas Geraes, Brazil.  These pebbles are usually green</w:t></w:r>
</w:p>
<w:p>
<w:pPr><w:pStyle w:val="Normal"/></w:pPr>
<w:r><w:t xml:space="preserve">but sometimes reddish-brown in colour, and are remarkable for</w:t></w:r>
</w:p>
<w:p>
<w:pPr><w:pStyle w:val="Normal"/></w:pPr>
<w:r><w:t xml:space="preserve">their very strong dichroism, the same pebble appearing green</w:t></w:r>
</w:p>
<w:p>
<w:pPr><w:pStyle w:val="Normal"/></w:pPr>
<w:r><w:t xml:space="preserve">or reddish-brown according to the direction in which it is</w:t></w:r>
</w:p>
<w:p>
<w:pPr><w:pStyle w:val="Normal"/></w:pPr>
<w:r><w:t xml:space="preserve">viewed.  Such specimens make very effective gem-stones,</w:t></w:r>
</w:p>
<w:p>
<w:pPr><w:pStyle w:val="Normal"/></w:pPr>
<w:r><w:t xml:space="preserve">the degree of hardness of the mineral (H.= 7 1/2) being quite</w:t></w:r>
</w:p>
<w:p>
<w:pPr><w:pStyle w:val="Normal"/></w:pPr>
<w:r><w:t xml:space="preserve">sufficient for this purpose.  Its specific gravity is 3.18; it</w:t></w:r>
</w:p>
<w:p>
<w:pPr><w:pStyle w:val="Normal"/></w:pPr>
<w:r><w:t xml:space="preserve">is unattacked by acids and is infusible before the blowpipe.</w:t></w:r>
</w:p>
<w:p>
<w:pPr><w:pStyle w:val="Normal"/></w:pPr>
<w:r><w:t xml:space="preserve">FIG. 2.--Transverse sections of a crystal of Chiastolite.</w:t></w:r>
</w:p>
<w:p>
<w:pPr><w:pStyle w:val="Normal"/></w:pPr>
<w:r><w:t xml:space="preserve">Andalusite is typically a mineral of metamorphic origin,</w:t></w:r>
</w:p>
<w:p>
<w:pPr><w:pStyle w:val="Normal"/></w:pPr>
<w:r><w:t xml:space="preserve">occurring most frequently in altered clay-slates and crystalline</w:t></w:r>
</w:p>
<w:p>
<w:pPr><w:pStyle w:val="Normal"/></w:pPr>
<w:r><w:t xml:space="preserve">schists, near the junction of these with masses of intrusive</w:t></w:r>
</w:p>
<w:p>
<w:pPr><w:pStyle w:val="Normal"/></w:pPr>
<w:r><w:t xml:space="preserve">igneous rocks such as granite.  It has been recognized</w:t></w:r>
</w:p>
<w:p>
<w:pPr><w:pStyle w:val="Normal"/></w:pPr>
<w:r><w:t xml:space="preserve">also, however, as a primary constituent of granite itself.</w:t></w:r>
</w:p>
<w:p>
<w:pPr><w:pStyle w:val="Normal"/></w:pPr>
<w:r><w:t xml:space="preserve">A curious variety of andalusite known as chiastolite is</w:t></w:r>
</w:p>
<w:p>
<w:pPr><w:pStyle w:val="Normal"/></w:pPr>
<w:r><w:t xml:space="preserve">specially characteristic of clay-slates near a contact with</w:t></w:r>
</w:p>
<w:p>
<w:pPr><w:pStyle w:val="Normal"/></w:pPr>
<w:r><w:t xml:space="preserve">granite.  The elongated prismatic crystals enclose symmetrically</w:t></w:r>
</w:p>
<w:p>
<w:pPr><w:pStyle w:val="Normal"/></w:pPr>
<w:r><w:t xml:space="preserve">arranged wedges of carbonaceous material, and in cross-section</w:t></w:r>
</w:p>
<w:p>
<w:pPr><w:pStyle w:val="Normal"/></w:pPr>
<w:r><w:t xml:space="preserve">show a black cross on a greyish ground.  Cross-sections of such</w:t></w:r>
</w:p>
<w:p>
<w:pPr><w:pStyle w:val="Normal"/></w:pPr>
<w:r><w:t xml:space="preserve">crystals are polished and worn as amulets or charms.  Crystals</w:t></w:r>
</w:p>
<w:p>
<w:pPr><w:pStyle w:val="Normal"/></w:pPr>
<w:r><w:t xml:space="preserve">of a size suitable for this purpose are found in Brittany and</w:t></w:r>
</w:p>
<w:p>
<w:pPr><w:pStyle w:val="Normal"/></w:pPr>
<w:r><w:t xml:space="preserve">the Pyrenees, while still larger specimens have been found</w:t></w:r>
</w:p>
<w:p>
<w:pPr><w:pStyle w:val="Normal"/></w:pPr>
<w:r><w:t xml:space="preserve">recently in South Australia.  The name chiastolite is derived</w:t></w:r>
</w:p>
<w:p>
<w:pPr><w:pStyle w:val="Normal"/></w:pPr>
<w:r><w:t xml:space="preserve">from the Greek chiastos, crossed or marked with the latter ch:</w:t></w:r>
</w:p>
<w:p>
<w:pPr><w:pStyle w:val="Normal"/></w:pPr>
<w:r><w:t xml:space="preserve">cross-stone and macle are earlier names, the latter having</w:t></w:r>
</w:p>
<w:p>
<w:pPr><w:pStyle w:val="Normal"/></w:pPr>
<w:r><w:t xml:space="preserve">been given on account of the resemblance the cross-section of</w:t></w:r>
</w:p>
<w:p>
<w:pPr><w:pStyle w:val="Normal"/></w:pPr>
<w:r><w:t xml:space="preserve">the stone bears to the heraldic macula or mascle. (L. J. S.)</w:t></w:r>
</w:p>
<w:p>
<w:pPr><w:pStyle w:val="Normal"/></w:pPr>
<w:r><w:t xml:space="preserve">ANDAMAN ISLANDS, a group of islands in the Bay of Bengal.</w:t></w:r>
</w:p>
<w:p>
<w:pPr><w:pStyle w:val="Normal"/></w:pPr>
<w:r><w:t xml:space="preserve">Large and small, they number 204, and lie 590 m. from the mouth</w:t></w:r>
</w:p>
<w:p>
<w:pPr><w:pStyle w:val="Normal"/></w:pPr>
<w:r><w:t xml:space="preserve">of the Hugli, 120 m. from Cape Negrais in Burma, the nearest</w:t></w:r>
</w:p>
<w:p>
<w:pPr><w:pStyle w:val="Normal"/></w:pPr>
<w:r><w:t xml:space="preserve">point of the mainland, and 340 m. from the northern extremity of</w:t></w:r>
</w:p>
<w:p>
<w:pPr><w:pStyle w:val="Normal"/></w:pPr>
<w:r><w:t xml:space="preserve">Sumatra.  Between the Andamans and Cape Negrais intervene two</w:t></w:r>
</w:p>
<w:p>
<w:pPr><w:pStyle w:val="Normal"/></w:pPr>
<w:r><w:t xml:space="preserve">small groups, Preparis and Cocos; between the Andamans and</w:t></w:r>
</w:p>
<w:p>
<w:pPr><w:pStyle w:val="Normal"/></w:pPr>
<w:r><w:t xml:space="preserve">Sumatra lie the Nicobar Islands, the whole group stretching</w:t></w:r>
</w:p>
<w:p>
<w:pPr><w:pStyle w:val="Normal"/></w:pPr>
<w:r><w:t xml:space="preserve">in a curve, to which the meridian forms a tangent between Cape</w:t></w:r>
</w:p>
<w:p>
<w:pPr><w:pStyle w:val="Normal"/></w:pPr>
<w:r><w:t xml:space="preserve">Negrais and Sumatra; and though this curved line measures 700</w:t></w:r>
</w:p>
<w:p>
<w:pPr><w:pStyle w:val="Normal"/></w:pPr>
<w:r><w:t xml:space="preserve">m., the widest sea space is about 91 m.  The extreme length</w:t></w:r>
</w:p>
<w:p>
<w:pPr><w:pStyle w:val="Normal"/></w:pPr>
<w:r><w:t xml:space="preserve">of the Andaman group is 219 m. with an extreme width of 32</w:t></w:r>
</w:p>
<w:p>
<w:pPr><w:pStyle w:val="Normal"/></w:pPr>
<w:r><w:t xml:space="preserve">m.  The main part of it consists of a band of five chief islands,</w:t></w:r>
</w:p>
<w:p>
<w:pPr><w:pStyle w:val="Normal"/></w:pPr>
<w:r><w:t xml:space="preserve">so closely adjoining and overlapping each other that they have</w:t></w:r>
</w:p>
<w:p>
<w:pPr><w:pStyle w:val="Normal"/></w:pPr>
<w:r><w:t xml:space="preserve">long been known collectively as ``the great Andaman.&apos;&apos; The</w:t></w:r>
</w:p>
<w:p>
<w:pPr><w:pStyle w:val="Normal"/></w:pPr>
<w:r><w:t xml:space="preserve">axis of this band, almost a meadian line, is 156 statute miles</w:t></w:r>
</w:p>
<w:p>
<w:pPr><w:pStyle w:val="Normal"/></w:pPr>
<w:r><w:t xml:space="preserve">long.  The five islands are in order from north to south: North</w:t></w:r>
</w:p>
<w:p>
<w:pPr><w:pStyle w:val="Normal"/></w:pPr>
<w:r><w:t xml:space="preserve">Andaman (51 m. long); Middle Andaman (59 m.); South Andaman</w:t></w:r>
</w:p>
<w:p>
<w:pPr><w:pStyle w:val="Normal"/></w:pPr>
<w:r><w:t xml:space="preserve">(49 m.); Baratang, running parallel to the east of the South</w:t></w:r>
</w:p>
<w:p>
<w:pPr><w:pStyle w:val="Normal"/></w:pPr>
<w:r><w:t xml:space="preserve">Andaman for 17 m. from the Middle Andaman; and Rutland Island (11</w:t></w:r>
</w:p>
<w:p>
<w:pPr><w:pStyle w:val="Normal"/></w:pPr>
<w:r><w:t xml:space="preserve">m.).  Four narrow straits part these islands: Austin Strait,</w:t></w:r>
</w:p>
<w:p>
<w:pPr><w:pStyle w:val="Normal"/></w:pPr>
<w:r><w:t xml:space="preserve">between North and Middle Andaman; Homfray&apos;s Strait between</w:t></w:r>
</w:p>
<w:p>
<w:pPr><w:pStyle w:val="Normal"/></w:pPr>
<w:r><w:t xml:space="preserve">Middle Andaman and Baratang, and the north extremity of South</w:t></w:r>
</w:p>
<w:p>
<w:pPr><w:pStyle w:val="Normal"/></w:pPr>
<w:r><w:t xml:space="preserve">Andaman; Middle (or Andaman) Strait between Baratang and South</w:t></w:r>
</w:p>
<w:p>
<w:pPr><w:pStyle w:val="Normal"/></w:pPr>
<w:r><w:t xml:space="preserve">Andaman; and Macpherson Strait between South Andaman and Rutland</w:t></w:r>
</w:p>
<w:p>
<w:pPr><w:pStyle w:val="Normal"/></w:pPr>
<w:r><w:t xml:space="preserve">Island.  Of these only the last is navigable by ocean-going</w:t></w:r>
</w:p>
<w:p>
<w:pPr><w:pStyle w:val="Normal"/></w:pPr>
<w:r><w:t xml:space="preserve">vessels.  Attached to the chief islands are, on the extreme</w:t></w:r>
</w:p>
<w:p>
<w:pPr><w:pStyle w:val="Normal"/></w:pPr>
<w:r><w:t xml:space="preserve">N., Landfall Islands, separated by the navigable Cleugh</w:t></w:r>
</w:p>
<w:p>
<w:pPr><w:pStyle w:val="Normal"/></w:pPr>
<w:r><w:t xml:space="preserve">Passage; Interview Island, separated by the very narrow but</w:t></w:r>
</w:p>
<w:p>
<w:pPr><w:pStyle w:val="Normal"/></w:pPr>
<w:r><w:t xml:space="preserve">navigable Interview Passage, off the W. coast of the Middle</w:t></w:r>
</w:p>
<w:p>
<w:pPr><w:pStyle w:val="Normal"/></w:pPr>
<w:r><w:t xml:space="preserve">Andaman; the Labyrinth Island off the S.W. coast of the South</w:t></w:r>
</w:p>
<w:p>
<w:pPr><w:pStyle w:val="Normal"/></w:pPr>
<w:r><w:t xml:space="preserve">Andaman, through which is the safe navigable Elphinstone</w:t></w:r>
</w:p>
<w:p>
<w:pPr><w:pStyle w:val="Normal"/></w:pPr>
<w:r><w:t xml:space="preserve">Passage; Ritchie&apos;s (or the Andaman) Archipelago off the E.</w:t></w:r>
</w:p>
<w:p>
<w:pPr><w:pStyle w:val="Normal"/></w:pPr>
<w:r><w:t xml:space="preserve">coast of the South Andaman and Baratang, separated by the wide</w:t></w:r>
</w:p>
<w:p>
<w:pPr><w:pStyle w:val="Normal"/></w:pPr>
<w:r><w:t xml:space="preserve">and safe Diligent Strait and intersected by Kwangtung Strait</w:t></w:r>
</w:p>
<w:p>
<w:pPr><w:pStyle w:val="Normal"/></w:pPr>
<w:r><w:t xml:space="preserve">and the Tadma Juru (Strait).  Little Andaman, roughly 26 m. by</w:t></w:r>
</w:p>
<w:p>
<w:pPr><w:pStyle w:val="Normal"/></w:pPr>
<w:r><w:t xml:space="preserve">16, forms the southern extremity of the whole group and lies 31</w:t></w:r>
</w:p>
<w:p>
<w:pPr><w:pStyle w:val="Normal"/></w:pPr>
<w:r><w:t xml:space="preserve">m.  S. of Rutland Island across Duncan Passage, in which lie</w:t></w:r>
</w:p>
<w:p>
<w:pPr><w:pStyle w:val="Normal"/></w:pPr>
<w:r><w:t xml:space="preserve">the Cinque and other islands, forming Manners Strait, the</w:t></w:r>
</w:p>
<w:p>
<w:pPr><w:pStyle w:val="Normal"/></w:pPr>
<w:r><w:t xml:space="preserve">main commercial highway between the Andamans and the Madras</w:t></w:r>
</w:p>
<w:p>
<w:pPr><w:pStyle w:val="Normal"/></w:pPr>
<w:r><w:t xml:space="preserve">coast.  Besides these are a great number of islets lying off</w:t></w:r>
</w:p>
<w:p>
<w:pPr><w:pStyle w:val="Normal"/></w:pPr>
<w:r><w:t xml:space="preserve">the shores of the main islands.  The principal outlying islands</w:t></w:r>
</w:p>
<w:p>
<w:pPr><w:pStyle w:val="Normal"/></w:pPr>
<w:r><w:t xml:space="preserve">are the North Sentinel, a dangerous island of about 28 sq. m.,</w:t></w:r>
</w:p>
<w:p>
<w:pPr><w:pStyle w:val="Normal"/></w:pPr>
<w:r><w:t xml:space="preserve">lying about 18 m. off the W. coast of the South Andaman; the</w:t></w:r>
</w:p>
<w:p>
<w:pPr><w:pStyle w:val="Normal"/></w:pPr>
<w:r><w:t xml:space="preserve">remarkable marine volcano, Barren Idand (1150 ft.), quiescent</w:t></w:r>
</w:p>
<w:p>
<w:pPr><w:pStyle w:val="Normal"/></w:pPr>
<w:r><w:t xml:space="preserve">for more than a century, 71 m.  N.E. of Port Blair; and the</w:t></w:r>
</w:p>
<w:p>
<w:pPr><w:pStyle w:val="Normal"/></w:pPr>
<w:r><w:t xml:space="preserve">equally curious isolated mountain, the extinct volcano of</w:t></w:r>
</w:p>
<w:p>
<w:pPr><w:pStyle w:val="Normal"/></w:pPr>
<w:r><w:t xml:space="preserve">Narcondam, rising 2330 ft. out of the sea, 71 m.  E. of the North</w:t></w:r>
</w:p>
<w:p>
<w:pPr><w:pStyle w:val="Normal"/></w:pPr>
<w:r><w:t xml:space="preserve">Andaman.  The land area of the Andaman Idands is 2508 sq.</w:t></w:r>
</w:p>
<w:p>
<w:pPr><w:pStyle w:val="Normal"/></w:pPr>
<w:r><w:t xml:space="preserve">m.  About 18 m. to the W. of the Andamans are the dangerous</w:t></w:r>
</w:p>
<w:p>
<w:pPr><w:pStyle w:val="Normal"/></w:pPr>
<w:r><w:t xml:space="preserve">Western Banks and Dalrymple Bank, rising to within a few fathoms</w:t></w:r>
</w:p>
<w:p>
<w:pPr><w:pStyle w:val="Normal"/></w:pPr>
<w:r><w:t xml:space="preserve">of the surface of the sea and forming, with the two Sentinel</w:t></w:r>
</w:p>
<w:p>
<w:pPr><w:pStyle w:val="Normal"/></w:pPr>
<w:r><w:t xml:space="preserve">Islands, the tops of a line of submarine hills parallel to the</w:t></w:r>
</w:p>
<w:p>
<w:pPr><w:pStyle w:val="Normal"/></w:pPr>
<w:r><w:t xml:space="preserve">Andamans.  Some 40 m. distant to the E. is the Invisible Bank,</w:t></w:r>
</w:p>
<w:p>
<w:pPr><w:pStyle w:val="Normal"/></w:pPr>
<w:r><w:t xml:space="preserve">with one rock just awash; and 34 m.  S.E. of Narcondam is a</w:t></w:r>
</w:p>
<w:p>
<w:pPr><w:pStyle w:val="Normal"/></w:pPr>
<w:r><w:t xml:space="preserve">submarine hill rising to 377 fathoms below the surface of the</w:t></w:r>
</w:p>
<w:p>
<w:pPr><w:pStyle w:val="Normal"/></w:pPr>
<w:r><w:t xml:space="preserve">sea.  Narcondam, Barren Island and the Invisible Bank, a</w:t></w:r>
</w:p>
<w:p>
<w:pPr><w:pStyle w:val="Normal"/></w:pPr>
<w:r><w:t xml:space="preserve">great danger of these seas, are in a line almost parallel</w:t></w:r>
</w:p>
<w:p>
<w:pPr><w:pStyle w:val="Normal"/></w:pPr>
<w:r><w:t xml:space="preserve">to the Andamans inclining towards them from north to south.</w:t></w:r>
</w:p>
<w:p>
<w:pPr><w:pStyle w:val="Normal"/></w:pPr>
<w:r><w:t xml:space="preserve">Topography.--The islands forming Great Andaman consist of a</w:t></w:r>
</w:p>
<w:p>
<w:pPr><w:pStyle w:val="Normal"/></w:pPr>
<w:r><w:t xml:space="preserve">mass of hills enclosing very narrow valleys, the whole covered</w:t></w:r>
</w:p>
<w:p>
<w:pPr><w:pStyle w:val="Normal"/></w:pPr>
<w:r><w:t xml:space="preserve">by an exceedingly dense tropical jungle.  The hills rise,</w:t></w:r>
</w:p>
<w:p>
<w:pPr><w:pStyle w:val="Normal"/></w:pPr>
<w:r><w:t xml:space="preserve">especially on the east coast, to a considerable elevation:</w:t></w:r>
</w:p>
<w:p>
<w:pPr><w:pStyle w:val="Normal"/></w:pPr>
<w:r><w:t xml:space="preserve">the chief heights being in the North Andaman, Saddle Peak</w:t></w:r>
</w:p>
<w:p>
<w:pPr><w:pStyle w:val="Normal"/></w:pPr>
<w:r><w:t xml:space="preserve">(2400 ft.); in the Middle Andaman, Mount Diavolo behind</w:t></w:r>
</w:p>
<w:p>
<w:pPr><w:pStyle w:val="Normal"/></w:pPr>
<w:r><w:t xml:space="preserve">Cuthbert Bay (1678 ft.); in the South Andaman, Koiob (1505</w:t></w:r>
</w:p>
<w:p>
<w:pPr><w:pStyle w:val="Normal"/></w:pPr>
<w:r><w:t xml:space="preserve">ft.), Mount Harriet (1193 ft.) and the Cholunga range (1063</w:t></w:r>
</w:p>
<w:p>
<w:pPr><w:pStyle w:val="Normal"/></w:pPr>
<w:r><w:t xml:space="preserve">ft.); and in Rutland Island, Ford&apos;s Peak (1422 ft.).  Little</w:t></w:r>
</w:p>
<w:p>
<w:pPr><w:pStyle w:val="Normal"/></w:pPr>
<w:r><w:t xml:space="preserve">Andaman, with the exception of the extreme north, is practically</w:t></w:r>
</w:p>
<w:p>
<w:pPr><w:pStyle w:val="Normal"/></w:pPr>
<w:r><w:t xml:space="preserve">flat.  There are no rivers and few perennial streams in the</w:t></w:r>
</w:p>
<w:p>
<w:pPr><w:pStyle w:val="Normal"/></w:pPr>
<w:r><w:t xml:space="preserve">islands.  The scenery is everywhere strikingly beautiful and</w:t></w:r>
</w:p>
<w:p>
<w:pPr><w:pStyle w:val="Normal"/></w:pPr>
<w:r><w:t xml:space="preserve">varied, and the coral beds of the more secluded bays in</w:t></w:r>
</w:p>
<w:p>
<w:pPr><w:pStyle w:val="Normal"/></w:pPr>
<w:r><w:t xml:space="preserve">its harbours are conspicuous for their exquisite colouring.</w:t></w:r>
</w:p>
<w:p>
<w:pPr><w:pStyle w:val="Normal"/></w:pPr>
<w:r><w:t xml:space="preserve">Harbours.--The coasts of the Andamans are deeply indented,</w:t></w:r>
</w:p>
<w:p>
<w:pPr><w:pStyle w:val="Normal"/></w:pPr>
<w:r><w:t xml:space="preserve">giving existence to a number of safe harbours and tidal creeks,</w:t></w:r>
</w:p>
<w:p>
<w:pPr><w:pStyle w:val="Normal"/></w:pPr>
<w:r><w:t xml:space="preserve">which are often surrounded by mangrove swamps.  The chief</w:t></w:r>
</w:p>
<w:p>
<w:pPr><w:pStyle w:val="Normal"/></w:pPr>
<w:r><w:t xml:space="preserve">harbours, some of which are very capacious, are (starting</w:t></w:r>
</w:p>
<w:p>
<w:pPr><w:pStyle w:val="Normal"/></w:pPr>
<w:r><w:t xml:space="preserve">northwards from Port Blair, the great harbour of South</w:t></w:r>
</w:p>
<w:p>
<w:pPr><w:pStyle w:val="Normal"/></w:pPr>
<w:r><w:t xml:space="preserve">Andaman) on the E. coast: Port Meadows, Colebrooke Passage,</w:t></w:r>
</w:p>
<w:p>
<w:pPr><w:pStyle w:val="Normal"/></w:pPr>
<w:r><w:t xml:space="preserve">Elphinstone Harbour (Homfray&apos;s Strait), Stewart Sound and Port</w:t></w:r>
</w:p>
<w:p>
<w:pPr><w:pStyle w:val="Normal"/></w:pPr>
<w:r><w:t xml:space="preserve">Cornwallis.  The last three are very large.  On the W. coast:</w:t></w:r>
</w:p>
<w:p>
<w:pPr><w:pStyle w:val="Normal"/></w:pPr>
<w:r><w:t xml:space="preserve">Temple Sound, Interview Passage, Port Anson or Kwangtung Harbour</w:t></w:r>
</w:p>
<w:p>
<w:pPr><w:pStyle w:val="Normal"/></w:pPr>
<w:r><w:t xml:space="preserve">(large), Port Campbell (large), Port Mouat and Macpherson</w:t></w:r>
</w:p>
<w:p>
<w:pPr><w:pStyle w:val="Normal"/></w:pPr>
<w:r><w:t xml:space="preserve">Strait.  There are besides many other safe anchorages about</w:t></w:r>
</w:p>
<w:p>
<w:pPr><w:pStyle w:val="Normal"/></w:pPr>
<w:r><w:t xml:space="preserve">the coast, notably Shoal Bay and Kotara Anchorage in the</w:t></w:r>
</w:p>
<w:p>
<w:pPr><w:pStyle w:val="Normal"/></w:pPr>
<w:r><w:t xml:space="preserve">South Andaman; Cadell Bay and the Turtle Islands in the</w:t></w:r>
</w:p>
<w:p>
<w:pPr><w:pStyle w:val="Normal"/></w:pPr>
<w:r><w:t xml:space="preserve">North Andaman; and Outram Harbour and Kwangtung Strait in the</w:t></w:r>
</w:p>
<w:p>
<w:pPr><w:pStyle w:val="Normal"/></w:pPr>
<w:r><w:t xml:space="preserve">archipelago.  The whole of the Andamans and the outlying</w:t></w:r>
</w:p>
<w:p>
<w:pPr><w:pStyle w:val="Normal"/></w:pPr>
<w:r><w:t xml:space="preserve">islands were completely surveyed topographically by the Indian</w:t></w:r>
</w:p>
<w:p>
<w:pPr><w:pStyle w:val="Normal"/></w:pPr>
<w:r><w:t xml:space="preserve">Survey Department under Colonel Hobday in 1883-1886, and the</w:t></w:r>
</w:p>
<w:p>
<w:pPr><w:pStyle w:val="Normal"/></w:pPr>
<w:r><w:t xml:space="preserve">surrounding seas were charted by Commander Carpenter in 1888-1889.</w:t></w:r>
</w:p>
<w:p>
<w:pPr><w:pStyle w:val="Normal"/></w:pPr>
<w:r><w:t xml:space="preserve">Geology.--The Andaman Islands, in conjunction with the</w:t></w:r>
</w:p>
<w:p>
<w:pPr><w:pStyle w:val="Normal"/></w:pPr>
<w:r><w:t xml:space="preserve">other groups mentioned above, form part of a lofty range</w:t></w:r>
</w:p>
<w:p>
<w:pPr><w:pStyle w:val="Normal"/></w:pPr>
<w:r><w:t xml:space="preserve">of submarine mountains, 700 m. long, running from Cape</w:t></w:r>
</w:p>
<w:p>
<w:pPr><w:pStyle w:val="Normal"/></w:pPr>
<w:r><w:t xml:space="preserve">Negrais in the Arakan Yoma range of Burma, to Achin Head in</w:t></w:r>
</w:p>
<w:p>
<w:pPr><w:pStyle w:val="Normal"/></w:pPr>
<w:r><w:t xml:space="preserve">Sumatra.  This range separates the Bay of Bengal from the</w:t></w:r>
</w:p>
<w:p>
<w:pPr><w:pStyle w:val="Normal"/></w:pPr>
<w:r><w:t xml:space="preserve">Andaman Sea; and it contains much that is geologically</w:t></w:r>
</w:p>
<w:p>
<w:pPr><w:pStyle w:val="Normal"/></w:pPr>
<w:r><w:t xml:space="preserve">characteristic of the Arakan Yoma, and formations common also</w:t></w:r>
</w:p>
<w:p>
<w:pPr><w:pStyle w:val="Normal"/></w:pPr>
<w:r><w:t xml:space="preserve">to the Nicobars and to Sumatra and the adjacent islands.  The</w:t></w:r>
</w:p>
<w:p>
<w:pPr><w:pStyle w:val="Normal"/></w:pPr>
<w:r><w:t xml:space="preserve">older rocks are early Tertiary or late Cretaceous but there</w:t></w:r>
</w:p>
<w:p>
<w:pPr><w:pStyle w:val="Normal"/></w:pPr>
<w:r><w:t xml:space="preserve">are no fossils to indicate age.  The newer rocks, common also</w:t></w:r>
</w:p>
<w:p>
<w:pPr><w:pStyle w:val="Normal"/></w:pPr>
<w:r><w:t xml:space="preserve">to the Nicobars and Sumatra, are in Ritchie&apos;s Archipelago</w:t></w:r>
</w:p>
<w:p>
<w:pPr><w:pStyle w:val="Normal"/></w:pPr>
<w:r><w:t xml:space="preserve">chiefly and contain radiolarians and foraminifera.  There is</w:t></w:r>
</w:p>
<w:p>
<w:pPr><w:pStyle w:val="Normal"/></w:pPr>
<w:r><w:t xml:space="preserve">coral along the coasts everywhere, and the Sentinel Islands</w:t></w:r>
</w:p>
<w:p>
<w:pPr><w:pStyle w:val="Normal"/></w:pPr>
<w:r><w:t xml:space="preserve">are composed of the newer rocks with a superstructure of</w:t></w:r>
</w:p>
<w:p>
<w:pPr><w:pStyle w:val="Normal"/></w:pPr>
<w:r><w:t xml:space="preserve">coral.  A theory of a still continuing subsidence of the</w:t></w:r>
</w:p>
<w:p>
<w:pPr><w:pStyle w:val="Normal"/></w:pPr>
<w:r><w:t xml:space="preserve">islanda was formed by Kurz in 1866 and confirmed by Oldham in</w:t></w:r>
</w:p>
<w:p>
<w:pPr><w:pStyle w:val="Normal"/></w:pPr>
<w:r><w:t xml:space="preserve">1884.  Signs of its continuance are found on the east coast</w:t></w:r>
</w:p>
<w:p>
<w:pPr><w:pStyle w:val="Normal"/></w:pPr>
<w:r><w:t xml:space="preserve">in several places.  Barren Island is a volcano of the general</w:t></w:r>
</w:p>
<w:p>
<w:pPr><w:pStyle w:val="Normal"/></w:pPr>
<w:r><w:t xml:space="preserve">Sunda group which includes also the Pegu group to which</w:t></w:r>
</w:p>
<w:p>
<w:pPr><w:pStyle w:val="Normal"/></w:pPr>
<w:r><w:t xml:space="preserve">Narcondam belongs.  Barren Island was last in eruption in</w:t></w:r>
</w:p>
<w:p>
<w:pPr><w:pStyle w:val="Normal"/></w:pPr>
<w:r><w:t xml:space="preserve">1803, but there is still a thin column of steam from a</w:t></w:r>
</w:p>
<w:p>
<w:pPr><w:pStyle w:val="Normal"/></w:pPr>
<w:r><w:t xml:space="preserve">sulphur bed at the top and a variable hot spring at the</w:t></w:r>
</w:p>
<w:p>
<w:pPr><w:pStyle w:val="Normal"/></w:pPr>
<w:r><w:t xml:space="preserve">point where the last outburst of lava flowed into the sea.</w:t></w:r>
</w:p>
<w:p>
<w:pPr><w:pStyle w:val="Normal"/></w:pPr>
<w:r><w:t xml:space="preserve">Climate.--Rarely affected by a cyclone, though within</w:t></w:r>
</w:p>
<w:p>
<w:pPr><w:pStyle w:val="Normal"/></w:pPr>
<w:r><w:t xml:space="preserve">the influence of practically every one that blows in the</w:t></w:r>
</w:p>
<w:p>
<w:pPr><w:pStyle w:val="Normal"/></w:pPr>
<w:r><w:t xml:space="preserve">Bay of Bengal, the Andamans are of the greatest importance</w:t></w:r>
</w:p>
<w:p>
<w:pPr><w:pStyle w:val="Normal"/></w:pPr>
<w:r><w:t xml:space="preserve">because of the accurate information relating to the</w:t></w:r>
</w:p>
<w:p>
<w:pPr><w:pStyle w:val="Normal"/></w:pPr>
<w:r><w:t xml:space="preserve">direction and intensity of storms which can be communicated</w:t></w:r>
</w:p>
<w:p>
<w:pPr><w:pStyle w:val="Normal"/></w:pPr>
<w:r><w:t xml:space="preserve">from them better than from any other point in the bay,</w:t></w:r>
</w:p>
<w:p>
<w:pPr><w:pStyle w:val="Normal"/></w:pPr>
<w:r><w:t xml:space="preserve">to the vast amount of shipping in this part of the Indian</w:t></w:r>
</w:p>
<w:p>
<w:pPr><w:pStyle w:val="Normal"/></w:pPr>
<w:r><w:t xml:space="preserve">Ocean.  Trustworthy information also regarding the weather</w:t></w:r>
</w:p>
<w:p>
<w:pPr><w:pStyle w:val="Normal"/></w:pPr>
<w:r><w:t xml:space="preserve">which may be expected in the north and east of India, is</w:t></w:r>
</w:p>
<w:p>
<w:pPr><w:pStyle w:val="Normal"/></w:pPr>
<w:r><w:t xml:space="preserve">obtained at the islands, and this proves of the utmost value</w:t></w:r>
</w:p>
<w:p>
<w:pPr><w:pStyle w:val="Normal"/></w:pPr>
<w:r><w:t xml:space="preserve">to the controllers of the great trades dependent upon the</w:t></w:r>
</w:p>
<w:p>
<w:pPr><w:pStyle w:val="Normal"/></w:pPr>
<w:r><w:t xml:space="preserve">rainfall.  A well-appointed meteorological station has been</w:t></w:r>
</w:p>
<w:p>
<w:pPr><w:pStyle w:val="Normal"/></w:pPr>
<w:r><w:t xml:space="preserve">established at Port Blair since 1868.  Speaking generally,</w:t></w:r>
</w:p>
<w:p>
<w:pPr><w:pStyle w:val="Normal"/></w:pPr>
<w:r><w:t xml:space="preserve">the climate of the Andamans themselves may be described as</w:t></w:r>
</w:p>
<w:p>
<w:pPr><w:pStyle w:val="Normal"/></w:pPr>
<w:r><w:t xml:space="preserve">normal for tropical islands of similar latitude.  It is warm</w:t></w:r>
</w:p>
<w:p>
<w:pPr><w:pStyle w:val="Normal"/></w:pPr>
<w:r><w:t xml:space="preserve">always, but tempered by pleasant sea-breezes; very hot when</w:t></w:r>
</w:p>
<w:p>
<w:pPr><w:pStyle w:val="Normal"/></w:pPr>
<w:r><w:t xml:space="preserve">the sun is northing; irregular rainfall, but usually dry</w:t></w:r>
</w:p>
<w:p>
<w:pPr><w:pStyle w:val="Normal"/></w:pPr>
<w:r><w:t xml:space="preserve">during the north-east, and very wet during the south-west</w:t></w:r>
</w:p>
<w:p>
<w:pPr><w:pStyle w:val="Normal"/></w:pPr>
<w:r><w:t xml:space="preserve">monsoon.  Not only does the rainfall at one place vary from</w:t></w:r>
</w:p>
<w:p>
<w:pPr><w:pStyle w:val="Normal"/></w:pPr>
<w:r><w:t xml:space="preserve">year to year, but there is an extraordinary difference in the</w:t></w:r>
</w:p>
<w:p>
<w:pPr><w:pStyle w:val="Normal"/></w:pPr>
<w:r><w:t xml:space="preserve">returns for places quite close to one another.  The official</w:t></w:r>
</w:p>
<w:p>
<w:pPr><w:pStyle w:val="Normal"/></w:pPr>
<w:r><w:t xml:space="preserve">figures in inches for the station at Port Blair, which is</w:t></w:r>
</w:p>
<w:p>
<w:pPr><w:pStyle w:val="Normal"/></w:pPr>
<w:r><w:t xml:space="preserve">situated in by far the driest part of the settlement, were:--</w:t></w:r>
</w:p>
<w:p>
<w:pPr><w:pStyle w:val="Normal"/></w:pPr>
<w:r><w:t xml:space="preserve">_______________________________________________________________________</w:t></w:r>
</w:p>
<w:p>
<w:pPr><w:pStyle w:val="Normal"/></w:pPr>
<w:r><w:t xml:space="preserve">|  1895.  |  1896.  |  1897.  |  1898.  |  1899.  |  1900.  |  1901.  |</w:t></w:r>
</w:p>
<w:p>
<w:pPr><w:pStyle w:val="Normal"/></w:pPr>
<w:r><w:t xml:space="preserve">-----------------------------------------------------------------------</w:t></w:r>
</w:p>
<w:p>
<w:pPr><w:pStyle w:val="Normal"/></w:pPr>
<w:r><w:t xml:space="preserve">|  125.64 |  107.28 |  136.41 |  127.22 |  87.01  |  83.28  |  132.50 |</w:t></w:r>
</w:p>
<w:p>
<w:pPr><w:pStyle w:val="Normal"/></w:pPr>
<w:r><w:t xml:space="preserve">-----------------------------------------------------------------------</w:t></w:r>
</w:p>
<w:p>
<w:pPr><w:pStyle w:val="Normal"/></w:pPr>
<w:r><w:t xml:space="preserve">A tidal observatory has also been maintained at Port Blair since 1880.</w:t></w:r>
</w:p>
<w:p>
<w:pPr><w:pStyle w:val="Normal"/></w:pPr>
<w:r><w:t xml:space="preserve">Flora.--A section of the Forest Department of India has</w:t></w:r>
</w:p>
<w:p>
<w:pPr><w:pStyle w:val="Normal"/></w:pPr>
<w:r><w:t xml:space="preserve">been established in the Andamans since 1883, and in the</w:t></w:r>
</w:p>
<w:p>
<w:pPr><w:pStyle w:val="Normal"/></w:pPr>
<w:r><w:t xml:space="preserve">neighbourhood of Port Blair 156 sq. m. have been set apart</w:t></w:r>
</w:p>
<w:p>
<w:pPr><w:pStyle w:val="Normal"/></w:pPr>
<w:r><w:t xml:space="preserve">for regular forest operations which are carried on by convict</w:t></w:r>
</w:p>
<w:p>
<w:pPr><w:pStyle w:val="Normal"/></w:pPr>
<w:r><w:t xml:space="preserve">labour.  The chief timber of indigenous growth is padouk</w:t></w:r>
</w:p>
<w:p>
<w:pPr><w:pStyle w:val="Normal"/></w:pPr>
<w:r><w:t xml:space="preserve">(Pterocarpus dalbergioides) used for buildings, boats,</w:t></w:r>
</w:p>
<w:p>
<w:pPr><w:pStyle w:val="Normal"/></w:pPr>
<w:r><w:t xml:space="preserve">furniture, fine joinery and all purposes to which teak,</w:t></w:r>
</w:p>
<w:p>
<w:pPr><w:pStyle w:val="Normal"/></w:pPr>
<w:r><w:t xml:space="preserve">mahogany, hickory, oak and ash are applied.  This tree</w:t></w:r>
</w:p>
<w:p>
<w:pPr><w:pStyle w:val="Normal"/></w:pPr>
<w:r><w:t xml:space="preserve">is widely spread and forms a valuable export to European</w:t></w:r>
</w:p>
<w:p>
<w:pPr><w:pStyle w:val="Normal"/></w:pPr>
<w:r><w:t xml:space="preserve">markets.  Other first-class timbers are koko (Albizzia</w:t></w:r>
</w:p>
<w:p>
<w:pPr><w:pStyle w:val="Normal"/></w:pPr>
<w:r><w:t xml:space="preserve">lebbek), white chuglam (Terminalia bialata), black</w:t></w:r>
</w:p>
<w:p>
<w:pPr><w:pStyle w:val="Normal"/></w:pPr>
<w:r><w:t xml:space="preserve">chugiam (Myristica irya), marble or zebra wood (Diospyros</w:t></w:r>
</w:p>
<w:p>
<w:pPr><w:pStyle w:val="Normal"/></w:pPr>
<w:r><w:t xml:space="preserve">kurzii) and satin-wood (Murraya exotica), which differs</w:t></w:r>
</w:p>
<w:p>
<w:pPr><w:pStyle w:val="Normal"/></w:pPr>
<w:r><w:t xml:space="preserve">from the satin-wood of Ceylon (Chloroxylon swietenia.)</w:t></w:r>
</w:p>
<w:p>
<w:pPr><w:pStyle w:val="Normal"/></w:pPr>
<w:r><w:t xml:space="preserve">All of these timbers are used for furniture and similar</w:t></w:r>
</w:p>
<w:p>
<w:pPr><w:pStyle w:val="Normal"/></w:pPr>
<w:r><w:t xml:space="preserve">purposes.  In addition there are a number of second-and</w:t></w:r>
</w:p>
<w:p>
<w:pPr><w:pStyle w:val="Normal"/></w:pPr>
<w:r><w:t xml:space="preserve">third-class timbers, which are used locally and for export to</w:t></w:r>
</w:p>
<w:p>
<w:pPr><w:pStyle w:val="Normal"/></w:pPr>
<w:r><w:t xml:space="preserve">Calcutta.  Gangaw (Messua ferrea) the Assam iron-wood, is</w:t></w:r>
</w:p>
<w:p>
<w:pPr><w:pStyle w:val="Normal"/></w:pPr>
<w:r><w:t xml:space="preserve">suitable for sleepers; and didu (Bombax insigne) is used</w:t></w:r>
</w:p>
<w:p>
<w:pPr><w:pStyle w:val="Normal"/></w:pPr>
<w:r><w:t xml:space="preserve">for tea-boxes and packing-cases.  Among the imported flora</w:t></w:r>
</w:p>
<w:p>
<w:pPr><w:pStyle w:val="Normal"/></w:pPr>
<w:r><w:t xml:space="preserve">are tea, Siberian coffee, cocoa, Ceara rubber (which has</w:t></w:r>
</w:p>
<w:p>
<w:pPr><w:pStyle w:val="Normal"/></w:pPr>
<w:r><w:t xml:space="preserve">not done well), Manila hemp, teak, cocoanut and a number</w:t></w:r>
</w:p>
<w:p>
<w:pPr><w:pStyle w:val="Normal"/></w:pPr>
<w:r><w:t xml:space="preserve">of ornamental trees, fruit-trees, vegetables and garden</w:t></w:r>
</w:p>
<w:p>
<w:pPr><w:pStyle w:val="Normal"/></w:pPr>
<w:r><w:t xml:space="preserve">plants.  Tea is grown in considerable quantities and the</w:t></w:r>
</w:p>
<w:p>
<w:pPr><w:pStyle w:val="Normal"/></w:pPr>
<w:r><w:t xml:space="preserve">cultivation is under a department of the penal settlement.</w:t></w:r>
</w:p>
<w:p>
<w:pPr><w:pStyle w:val="Normal"/></w:pPr>
<w:r><w:t xml:space="preserve">The general character of the forests is Burmese with an</w:t></w:r>
</w:p>
<w:p>
<w:pPr><w:pStyle w:val="Normal"/></w:pPr>
<w:r><w:t xml:space="preserve">admixture of Malay types.  Great mangrove swamps supply</w:t></w:r>
</w:p>
<w:p>
<w:pPr><w:pStyle w:val="Normal"/></w:pPr>
<w:r><w:t xml:space="preserve">unlimited fire-wood of the best quality.  The great peculiarity</w:t></w:r>
</w:p>
<w:p>
<w:pPr><w:pStyle w:val="Normal"/></w:pPr>
<w:r><w:t xml:space="preserve">of Andaman flora is that, with the exception of the Cocos</w:t></w:r>
</w:p>
<w:p>
<w:pPr><w:pStyle w:val="Normal"/></w:pPr>
<w:r><w:t xml:space="preserve">islands, no cocoanut palms are found in the archipelago.</w:t></w:r>
</w:p>
<w:p>
<w:pPr><w:pStyle w:val="Normal"/></w:pPr>
<w:r><w:t xml:space="preserve">Fauna.--Animal life is generally deficient throughout the</w:t></w:r>
</w:p>
<w:p>
<w:pPr><w:pStyle w:val="Normal"/></w:pPr>
<w:r><w:t xml:space="preserve">Andamans, especially as regards mammalia, of which there</w:t></w:r>
</w:p>
<w:p>
<w:pPr><w:pStyle w:val="Normal"/></w:pPr>
<w:r><w:t xml:space="preserve">are only nineteen separate species in all, twelve of these</w:t></w:r>
</w:p>
<w:p>
<w:pPr><w:pStyle w:val="Normal"/></w:pPr>
<w:r><w:t xml:space="preserve">being peculiar to the islands.  There is a small pig (Sus</w:t></w:r>
</w:p>
<w:p>
<w:pPr><w:pStyle w:val="Normal"/></w:pPr>
<w:r><w:t xml:space="preserve">andamanensis), important to the food of the people, and a wild</w:t></w:r>
</w:p>
<w:p>
<w:pPr><w:pStyle w:val="Normal"/></w:pPr>
<w:r><w:t xml:space="preserve">cat (Paradoxurus tytleri); but the bats (sixteen species) and</w:t></w:r>
</w:p>
<w:p>
<w:pPr><w:pStyle w:val="Normal"/></w:pPr>
<w:r><w:t xml:space="preserve">rats (thirteen species) constitute nearly three-fourths of the</w:t></w:r>
</w:p>
<w:p>
<w:pPr><w:pStyle w:val="Normal"/></w:pPr>
<w:r><w:t xml:space="preserve">known mammals.  This paucity of animal life seems inconsistent</w:t></w:r>
</w:p>
<w:p>
<w:pPr><w:pStyle w:val="Normal"/></w:pPr>
<w:r><w:t xml:space="preserve">with the theory that the islands were once connected with the</w:t></w:r>
</w:p>
<w:p>
<w:pPr><w:pStyle w:val="Normal"/></w:pPr>
<w:r><w:t xml:space="preserve">mainland.  Most of the birds also are derived from the distant</w:t></w:r>
</w:p>
<w:p>
<w:pPr><w:pStyle w:val="Normal"/></w:pPr>
<w:r><w:t xml:space="preserve">Indian region, while the Indo-Burmese and Indo-Malayan regions</w:t></w:r>
</w:p>
<w:p>
<w:pPr><w:pStyle w:val="Normal"/></w:pPr>
<w:r><w:t xml:space="preserve">are represented to a far less degree.  Rasorial birds, such as</w:t></w:r>
</w:p>
<w:p>
<w:pPr><w:pStyle w:val="Normal"/></w:pPr>
<w:r><w:t xml:space="preserve">peafowl, junglefowl, pheasants and partridges, though well</w:t></w:r>
</w:p>
<w:p>
<w:pPr><w:pStyle w:val="Normal"/></w:pPr>
<w:r><w:t xml:space="preserve">represented in the Arakan hills, are rare in the islands; while</w:t></w:r>
</w:p>
<w:p>
<w:pPr><w:pStyle w:val="Normal"/></w:pPr>
<w:r><w:t xml:space="preserve">a third of the different species found are peculiar to the</w:t></w:r>
</w:p>
<w:p>
<w:pPr><w:pStyle w:val="Normal"/></w:pPr>
<w:r><w:t xml:space="preserve">Andamans.  Moreover, the Andaman species differ from those</w:t></w:r>
</w:p>
<w:p>
<w:pPr><w:pStyle w:val="Normal"/></w:pPr>
<w:r><w:t xml:space="preserve">of the adjacent Nicobar Islands.  Each group has its distinct</w:t></w:r>
</w:p>
<w:p>
<w:pPr><w:pStyle w:val="Normal"/></w:pPr>
<w:r><w:t xml:space="preserve">harrier-eagle, red-cheeked paroquet, oriole, sun- bird and</w:t></w:r>
</w:p>
<w:p>
<w:pPr><w:pStyle w:val="Normal"/></w:pPr>
<w:r><w:t xml:space="preserve">bulbul.  Fish are very numerous and many species are peculiar to</w:t></w:r>
</w:p>
<w:p>
<w:pPr><w:pStyle w:val="Normal"/></w:pPr>
<w:r><w:t xml:space="preserve">the Andaman seas.  Turtles are abundant and supply the Calcutta</w:t></w:r>
</w:p>
<w:p>
<w:pPr><w:pStyle w:val="Normal"/></w:pPr>
<w:r><w:t xml:space="preserve">market.  Of imported animals, cattle, goats, asses and dogs</w:t></w:r>
</w:p>
<w:p>
<w:pPr><w:pStyle w:val="Normal"/></w:pPr>
<w:r><w:t xml:space="preserve">thrive well, ponies and horses indifferently, and sheep</w:t></w:r>
</w:p>
<w:p>
<w:pPr><w:pStyle w:val="Normal"/></w:pPr>
<w:r><w:t xml:space="preserve">badly, though some success has been achieved in breeding them.</w:t></w:r>
</w:p>
<w:p>
<w:pPr><w:pStyle w:val="Normal"/></w:pPr>
<w:r><w:t xml:space="preserve">Population.--The Andaman Islands, so near countries that</w:t></w:r>
</w:p>
<w:p>
<w:pPr><w:pStyle w:val="Normal"/></w:pPr>
<w:r><w:t xml:space="preserve">have for ages attained considerable civilization and have</w:t></w:r>
</w:p>
<w:p>
<w:pPr><w:pStyle w:val="Normal"/></w:pPr>
<w:r><w:t xml:space="preserve">been the seat of great empires, and close to the track of a</w:t></w:r>
</w:p>
<w:p>
<w:pPr><w:pStyle w:val="Normal"/></w:pPr>
<w:r><w:t xml:space="preserve">great commerce which has gone on at least 2000 years, are the</w:t></w:r>
</w:p>
<w:p>
<w:pPr><w:pStyle w:val="Normal"/></w:pPr>
<w:r><w:t xml:space="preserve">abode of savages as low in civilization as almost any known on</w:t></w:r>
</w:p>
<w:p>
<w:pPr><w:pStyle w:val="Normal"/></w:pPr>
<w:r><w:t xml:space="preserve">earth.  Our earliest notice of them is in a remarkable</w:t></w:r>
</w:p>
<w:p>
<w:pPr><w:pStyle w:val="Normal"/></w:pPr>
<w:r><w:t xml:space="preserve">collection of early Arab notes on India and China (A.D.</w:t></w:r>
</w:p>
<w:p>
<w:pPr><w:pStyle w:val="Normal"/></w:pPr>
<w:r><w:t xml:space="preserve">851) which accurately represents the view entertained of this</w:t></w:r>
</w:p>
<w:p>
<w:pPr><w:pStyle w:val="Normal"/></w:pPr>
<w:r><w:t xml:space="preserve">people by mariners down to modern times. ``The inhabitants</w:t></w:r>
</w:p>
<w:p>
<w:pPr><w:pStyle w:val="Normal"/></w:pPr>
<w:r><w:t xml:space="preserve">of these islands eat men alive.  They are black, with</w:t></w:r>
</w:p>
<w:p>
<w:pPr><w:pStyle w:val="Normal"/></w:pPr>
<w:r><w:t xml:space="preserve">woolly hair, and in their eyes and countenances there is</w:t></w:r>
</w:p>
<w:p>
<w:pPr><w:pStyle w:val="Normal"/></w:pPr>
<w:r><w:t xml:space="preserve">something quite frightful. . . . They go naked and have no</w:t></w:r>
</w:p>
<w:p>
<w:pPr><w:pStyle w:val="Normal"/></w:pPr>
<w:r><w:t xml:space="preserve">boats.  If they had, they would devour all who passed near</w:t></w:r>
</w:p>
<w:p>
<w:pPr><w:pStyle w:val="Normal"/></w:pPr>
<w:r><w:t xml:space="preserve">them.  Sometimes ships that are windbound and have exhausted</w:t></w:r>
</w:p>
<w:p>
<w:pPr><w:pStyle w:val="Normal"/></w:pPr>
<w:r><w:t xml:space="preserve">their provision of water, touch here and apply to the natives</w:t></w:r>
</w:p>
<w:p>
<w:pPr><w:pStyle w:val="Normal"/></w:pPr>
<w:r><w:t xml:space="preserve">for it; in such cases the crews sometimes fall into the</w:t></w:r>
</w:p>
<w:p>
<w:pPr><w:pStyle w:val="Normal"/></w:pPr>
<w:r><w:t xml:space="preserve">hands of the latter and most of them are massacred.&apos;&apos; The</w:t></w:r>
</w:p>
<w:p>
<w:pPr><w:pStyle w:val="Normal"/></w:pPr>
<w:r><w:t xml:space="preserve">traditional charge of cannibalism has been very persistent;</w:t></w:r>
</w:p>
<w:p>
<w:pPr><w:pStyle w:val="Normal"/></w:pPr>
<w:r><w:t xml:space="preserve">but it is entirely denied by the islanders themselves, and is</w:t></w:r>
</w:p>
<w:p>
<w:pPr><w:pStyle w:val="Normal"/></w:pPr>
<w:r><w:t xml:space="preserve">now and probably always has been untrue.  Of their massacres</w:t></w:r>
</w:p>
<w:p>
<w:pPr><w:pStyle w:val="Normal"/></w:pPr>
<w:r><w:t xml:space="preserve">of shipwrecked crews, even in quite modern times, there is no</w:t></w:r>
</w:p>
<w:p>
<w:pPr><w:pStyle w:val="Normal"/></w:pPr>
<w:r><w:t xml:space="preserve">doubt, but the policy of conciliation unremittingly pursued</w:t></w:r>
</w:p>
<w:p>
<w:pPr><w:pStyle w:val="Normal"/></w:pPr>
<w:r><w:t xml:space="preserve">for the last forty years has now secured a friendly reception</w:t></w:r>
</w:p>
<w:p>
<w:pPr><w:pStyle w:val="Normal"/></w:pPr>
<w:r><w:t xml:space="preserve">for shipwrecked crews at any port of the islands except the</w:t></w:r>
</w:p>
<w:p>
<w:pPr><w:pStyle w:val="Normal"/></w:pPr>
<w:r><w:t xml:space="preserve">south and west of Little Andaman and North Sentinel Island.</w:t></w:r>
</w:p>
<w:p>
<w:pPr><w:pStyle w:val="Normal"/></w:pPr>
<w:r><w:t xml:space="preserve">The Andamanese are probably the relics of a negro race that</w:t></w:r>
</w:p>
<w:p>
<w:pPr><w:pStyle w:val="Normal"/></w:pPr>
<w:r><w:t xml:space="preserve">once inhabited the S.E. portion of Asia and its outlying</w:t></w:r>
</w:p>
<w:p>
<w:pPr><w:pStyle w:val="Normal"/></w:pPr>
<w:r><w:t xml:space="preserve">islands, representatives of which are also still to be found</w:t></w:r>
</w:p>
<w:p>
<w:pPr><w:pStyle w:val="Normal"/></w:pPr>
<w:r><w:t xml:space="preserve">in the Malay Peninsula and the Philippines.  Their antiquity</w:t></w:r>
</w:p>
<w:p>
<w:pPr><w:pStyle w:val="Normal"/></w:pPr>
<w:r><w:t xml:space="preserve">and their stagnation are attested by the remains found in their</w:t></w:r>
</w:p>
<w:p>
<w:pPr><w:pStyle w:val="Normal"/></w:pPr>
<w:r><w:t xml:space="preserve">kitchen-middens.  These are of great age, and rise sometimes to</w:t></w:r>
</w:p>
<w:p>
<w:pPr><w:pStyle w:val="Normal"/></w:pPr>
<w:r><w:t xml:space="preserve">a height exceeding 15 ft.  The fossil shells, pottery and rude</w:t></w:r>
</w:p>
<w:p>
<w:pPr><w:pStyle w:val="Normal"/></w:pPr>
<w:r><w:t xml:space="preserve">stone implements, found alike at the base and at the surface</w:t></w:r>
</w:p>
<w:p>
<w:pPr><w:pStyle w:val="Normal"/></w:pPr>
<w:r><w:t xml:space="preserve">of these middens, prove that the habits of the islanders have</w:t></w:r>
</w:p>
<w:p>
<w:pPr><w:pStyle w:val="Normal"/></w:pPr>
<w:r><w:t xml:space="preserve">not varied since a remote past, and lead to the belief that</w:t></w:r>
</w:p>
<w:p>
<w:pPr><w:pStyle w:val="Normal"/></w:pPr>
<w:r><w:t xml:space="preserve">the Andamans were settled by their present inhabitants some</w:t></w:r>
</w:p>
<w:p>
<w:pPr><w:pStyle w:val="Normal"/></w:pPr>
<w:r><w:t xml:space="preserve">time during the Pleistocene period, and certainly no later</w:t></w:r>
</w:p>
<w:p>
<w:pPr><w:pStyle w:val="Normal"/></w:pPr>
<w:r><w:t xml:space="preserve">than the Neolithic age.  The population is not susceptible</w:t></w:r>
</w:p>
<w:p>
<w:pPr><w:pStyle w:val="Normal"/></w:pPr>
<w:r><w:t xml:space="preserve">of accurate computation, but probably it has always been</w:t></w:r>
</w:p>
<w:p>
<w:pPr><w:pStyle w:val="Normal"/></w:pPr>
<w:r><w:t xml:space="preserve">small.  The estimated total at a census taken in 1901 was</w:t></w:r>
</w:p>
<w:p>
<w:pPr><w:pStyle w:val="Normal"/></w:pPr>
<w:r><w:t xml:space="preserve">only 2000.  Though all descended from one stock, there are</w:t></w:r>
</w:p>
<w:p>
<w:pPr><w:pStyle w:val="Normal"/></w:pPr>
<w:r><w:t xml:space="preserve">twelve distinct tribes of the Andamanese, each with its own</w:t></w:r>
</w:p>
<w:p>
<w:pPr><w:pStyle w:val="Normal"/></w:pPr>
<w:r><w:t xml:space="preserve">clearly-defined locality, its own distinct variety of the one</w:t></w:r>
</w:p>
<w:p>
<w:pPr><w:pStyle w:val="Normal"/></w:pPr>
<w:r><w:t xml:space="preserve">fundamental language and to a certain extent its own separate</w:t></w:r>
</w:p>
<w:p>
<w:pPr><w:pStyle w:val="Normal"/></w:pPr>
<w:r><w:t xml:space="preserve">habits.  Every tribe is divided into septs fairly well</w:t></w:r>
</w:p>
<w:p>
<w:pPr><w:pStyle w:val="Normal"/></w:pPr>
<w:r><w:t xml:space="preserve">defined.  The tribal feeling may be expressed as friendly within</w:t></w:r>
</w:p>
<w:p>
<w:pPr><w:pStyle w:val="Normal"/></w:pPr>
<w:r><w:t xml:space="preserve">the tribe, courteous to other Andamanese if known, hostile</w:t></w:r>
</w:p>
<w:p>
<w:pPr><w:pStyle w:val="Normal"/></w:pPr>
<w:r><w:t xml:space="preserve">to every stranger, Andamanese or other.  Another division</w:t></w:r>
</w:p>
<w:p>
<w:pPr><w:pStyle w:val="Normal"/></w:pPr>
<w:r><w:t xml:space="preserve">of the natives is into Aryauto or long-shore-men, and the</w:t></w:r>
</w:p>
<w:p>
<w:pPr><w:pStyle w:val="Normal"/></w:pPr>
<w:r><w:t xml:space="preserve">Eremtaga or jungle-dwellers.  The habits and capacities of</w:t></w:r>
</w:p>
<w:p>
<w:pPr><w:pStyle w:val="Normal"/></w:pPr>
<w:r><w:t xml:space="preserve">these two differ, owing to surroundings, irrespectively of</w:t></w:r>
</w:p>
<w:p>
<w:pPr><w:pStyle w:val="Normal"/></w:pPr>
<w:r><w:t xml:space="preserve">tribe.  Yet again the Andamanese can be grouped according to</w:t></w:r>
</w:p>
<w:p>
<w:pPr><w:pStyle w:val="Normal"/></w:pPr>
<w:r><w:t xml:space="preserve">certain salient characteristics: the forms of the bows and</w:t></w:r>
</w:p>
<w:p>
<w:pPr><w:pStyle w:val="Normal"/></w:pPr>
<w:r><w:t xml:space="preserve">arrows, of the canoes, of ornaments and utensils, of tattooing</w:t></w:r>
</w:p>
<w:p>
<w:pPr><w:pStyle w:val="Normal"/></w:pPr>
<w:r><w:t xml:space="preserve">and of language.  The average height of males is 4 ft. 10 1/2</w:t></w:r>
</w:p>
<w:p>
<w:pPr><w:pStyle w:val="Normal"/></w:pPr>
<w:r><w:t xml:space="preserve">in.; of females, 4 ft. 6 in.  Being accustomed to gratify</w:t></w:r>
</w:p>
<w:p>
<w:pPr><w:pStyle w:val="Normal"/></w:pPr>
<w:r><w:t xml:space="preserve">every sensation as it arises, they endure thirst, hunger,</w:t></w:r>
</w:p>
<w:p>
<w:pPr><w:pStyle w:val="Normal"/></w:pPr>
<w:r><w:t xml:space="preserve">want of food and bodily discomfort badly.  The skin varies in</w:t></w:r>
</w:p>
<w:p>
<w:pPr><w:pStyle w:val="Normal"/></w:pPr>
<w:r><w:t xml:space="preserve">colour from an intense sheeny black to a reddish-blown on the</w:t></w:r>
</w:p>
<w:p>
<w:pPr><w:pStyle w:val="Normal"/></w:pPr>
<w:r><w:t xml:space="preserve">collar-bones, cheeks and other parts of the body.  The hair</w:t></w:r>
</w:p>
<w:p>
<w:pPr><w:pStyle w:val="Normal"/></w:pPr>
<w:r><w:t xml:space="preserve">varies from a sooty black to dark and light brown and red.  It</w:t></w:r>
</w:p>
<w:p>
<w:pPr><w:pStyle w:val="Normal"/></w:pPr>
<w:r><w:t xml:space="preserve">grows in small rings, which give it the appearance of growing</w:t></w:r>
</w:p>
<w:p>
<w:pPr><w:pStyle w:val="Normal"/></w:pPr>
<w:r><w:t xml:space="preserve">in tufts, though it is really closely and evenly distributed</w:t></w:r>
</w:p>
<w:p>
<w:pPr><w:pStyle w:val="Normal"/></w:pPr>
<w:r><w:t xml:space="preserve">over the whole scalp.  The figures of the men are muscular and</w:t></w:r>
</w:p>
<w:p>
<w:pPr><w:pStyle w:val="Normal"/></w:pPr>
<w:r><w:t xml:space="preserve">well-formed and generally pleasing; a straight, well-formed</w:t></w:r>
</w:p>
<w:p>
<w:pPr><w:pStyle w:val="Normal"/></w:pPr>
<w:r><w:t xml:space="preserve">nose and jaw are by no means rare, and the young men are often</w:t></w:r>
</w:p>
<w:p>
<w:pPr><w:pStyle w:val="Normal"/></w:pPr>
<w:r><w:t xml:space="preserve">distinctly good-looking.  The only artificial deformity is</w:t></w:r>
</w:p>
<w:p>
<w:pPr><w:pStyle w:val="Normal"/></w:pPr>
<w:r><w:t xml:space="preserve">a depression of the skull, chiefly among one of the southern</w:t></w:r>
</w:p>
<w:p>
<w:pPr><w:pStyle w:val="Normal"/></w:pPr>
<w:r><w:t xml:space="preserve">tribes, caused by the pressure of a strap used for carrying</w:t></w:r>
</w:p>
<w:p>
<w:pPr><w:pStyle w:val="Normal"/></w:pPr>
<w:r><w:t xml:space="preserve">loads.  The pleasing appearance natural to the men is not</w:t></w:r>
</w:p>
<w:p>
<w:pPr><w:pStyle w:val="Normal"/></w:pPr>
<w:r><w:t xml:space="preserve">a characteristic of the women, who early have a tendency to</w:t></w:r>
</w:p>
<w:p>
<w:pPr><w:pStyle w:val="Normal"/></w:pPr>
<w:r><w:t xml:space="preserve">stoutness and ungainliness of figure, and sometimes to pronounced</w:t></w:r>
</w:p>
<w:p>
<w:pPr><w:pStyle w:val="Normal"/></w:pPr>
<w:r><w:t xml:space="preserve">prognathism.  They are, however, always bright and merry, are</w:t></w:r>
</w:p>
<w:p>
<w:pPr><w:pStyle w:val="Normal"/></w:pPr>
<w:r><w:t xml:space="preserve">under no special social restrictions and have considerable</w:t></w:r>
</w:p>
<w:p>
<w:pPr><w:pStyle w:val="Normal"/></w:pPr>
<w:r><w:t xml:space="preserve">influence.  The women&apos;s heads are shaved entirely and the</w:t></w:r>
</w:p>
<w:p>
<w:pPr><w:pStyle w:val="Normal"/></w:pPr>
<w:r><w:t xml:space="preserve">men&apos;s into fantastic patterns.  Yellow and red ochre mixed</w:t></w:r>
</w:p>
<w:p>
<w:pPr><w:pStyle w:val="Normal"/></w:pPr>
<w:r><w:t xml:space="preserve">with grease are coarsely smeared over the bodies, grey in</w:t></w:r>
</w:p>
<w:p>
<w:pPr><w:pStyle w:val="Normal"/></w:pPr>
<w:r><w:t xml:space="preserve">coarse patterns and white in fine patterns resembling tattoo</w:t></w:r>
</w:p>
<w:p>
<w:pPr><w:pStyle w:val="Normal"/></w:pPr>
<w:r><w:t xml:space="preserve">marks.  Tattooing is of two distinct varieties.  In the south</w:t></w:r>
</w:p>
<w:p>
<w:pPr><w:pStyle w:val="Normal"/></w:pPr>
<w:r><w:t xml:space="preserve">the body is slightly cut by women with small flakes of glass</w:t></w:r>
</w:p>
<w:p>
<w:pPr><w:pStyle w:val="Normal"/></w:pPr>
<w:r><w:t xml:space="preserve">or quartz in zigzag or lineal patterns downwards.  In the north</w:t></w:r>
</w:p>
<w:p>
<w:pPr><w:pStyle w:val="Normal"/></w:pPr>
<w:r><w:t xml:space="preserve">it is deeply cut by men with pig-arrows in lines across the</w:t></w:r>
</w:p>
<w:p>
<w:pPr><w:pStyle w:val="Normal"/></w:pPr>
<w:r><w:t xml:space="preserve">body.  The male matures when about fifteen years of age,</w:t></w:r>
</w:p>
<w:p>
<w:pPr><w:pStyle w:val="Normal"/></w:pPr>
<w:r><w:t xml:space="preserve">marries when about twenty-six, begins to age when about</w:t></w:r>
</w:p>
<w:p>
<w:pPr><w:pStyle w:val="Normal"/></w:pPr>
<w:r><w:t xml:space="preserve">forty, and lives onto sixty or sixty-five if he reaches old</w:t></w:r>
</w:p>
<w:p>
<w:pPr><w:pStyle w:val="Normal"/></w:pPr>
<w:r><w:t xml:space="preserve">age.  Except as to the marrying age, these figures fairly</w:t></w:r>
</w:p>
<w:p>
<w:pPr><w:pStyle w:val="Normal"/></w:pPr>
<w:r><w:t xml:space="preserve">apply to women.  Before marriage free intercourse between the</w:t></w:r>
</w:p>
<w:p>
<w:pPr><w:pStyle w:val="Normal"/></w:pPr>
<w:r><w:t xml:space="preserve">sexes is the rule, though certain conventional precautions</w:t></w:r>
</w:p>
<w:p>
<w:pPr><w:pStyle w:val="Normal"/></w:pPr>
<w:r><w:t xml:space="preserve">are taken to prevent it.  Marriages rarely produce more</w:t></w:r>
</w:p>
<w:p>
<w:pPr><w:pStyle w:val="Normal"/></w:pPr>
<w:r><w:t xml:space="preserve">than three children and often none at all.  Divorce is rare,</w:t></w:r>
</w:p>
<w:p>
<w:pPr><w:pStyle w:val="Normal"/></w:pPr>
<w:r><w:t xml:space="preserve">unfaithfulness after marriage not common and incest unknown.</w:t></w:r>
</w:p>
<w:p>
<w:pPr><w:pStyle w:val="Normal"/></w:pPr>
<w:r><w:t xml:space="preserve">By preference the Andamanese are exogamous as regards sept</w:t></w:r>
</w:p>
<w:p>
<w:pPr><w:pStyle w:val="Normal"/></w:pPr>
<w:r><w:t xml:space="preserve">and endogamous as regards tribe.  The children are possessed</w:t></w:r>
</w:p>
<w:p>
<w:pPr><w:pStyle w:val="Normal"/></w:pPr>
<w:r><w:t xml:space="preserve">of a bright intelligence, which, however, soon reaches its</w:t></w:r>
</w:p>
<w:p>
<w:pPr><w:pStyle w:val="Normal"/></w:pPr>
<w:r><w:t xml:space="preserve">climax, and the adult may be compared in this respect with</w:t></w:r>
</w:p>
<w:p>
<w:pPr><w:pStyle w:val="Normal"/></w:pPr>
<w:r><w:t xml:space="preserve">the civilized child of ten or twelve.  The Andamanese are,</w:t></w:r>
</w:p>
<w:p>
<w:pPr><w:pStyle w:val="Normal"/></w:pPr>
<w:r><w:t xml:space="preserve">indeed, bright and merry companions, busy in their own pursuits,</w:t></w:r>
</w:p>
<w:p>
<w:pPr><w:pStyle w:val="Normal"/></w:pPr>
<w:r><w:t xml:space="preserve">keen sportsmen, naturally independent and not lustful, but</w:t></w:r>
</w:p>
<w:p>
<w:pPr><w:pStyle w:val="Normal"/></w:pPr>
<w:r><w:t xml:space="preserve">when angered, cruel, jealous, treacherous and vindictive,</w:t></w:r>
</w:p>
<w:p>
<w:pPr><w:pStyle w:val="Normal"/></w:pPr>
<w:r><w:t xml:space="preserve">and always unstable--in fact, a people to like but not to</w:t></w:r>
</w:p>
<w:p>
<w:pPr><w:pStyle w:val="Normal"/></w:pPr>
<w:r><w:t xml:space="preserve">trust.  There is no idea of government, but in each sept</w:t></w:r>
</w:p>
<w:p>
<w:pPr><w:pStyle w:val="Normal"/></w:pPr>
<w:r><w:t xml:space="preserve">there is a head, who has attained that position by degrees on</w:t></w:r>
</w:p>
<w:p>
<w:pPr><w:pStyle w:val="Normal"/></w:pPr>
<w:r><w:t xml:space="preserve">account of some tacitly admitted superiority and commands a</w:t></w:r>
</w:p>
<w:p>
<w:pPr><w:pStyle w:val="Normal"/></w:pPr>
<w:r><w:t xml:space="preserve">limited respect and some obedience.  The young are deferential</w:t></w:r>
</w:p>
<w:p>
<w:pPr><w:pStyle w:val="Normal"/></w:pPr>
<w:r><w:t xml:space="preserve">to their elders.  Offences are punished by the aggrieved</w:t></w:r>
</w:p>
<w:p>
<w:pPr><w:pStyle w:val="Normal"/></w:pPr>
<w:r><w:t xml:space="preserve">party.  Property is communal and theft is only recognized as to</w:t></w:r>
</w:p>
<w:p>
<w:pPr><w:pStyle w:val="Normal"/></w:pPr>
<w:r><w:t xml:space="preserve">things of absolute necessity, such as arrows, pigs&apos; flesh and</w:t></w:r>
</w:p>
<w:p>
<w:pPr><w:pStyle w:val="Normal"/></w:pPr>
<w:r><w:t xml:space="preserve">fire.  Fire is the one thing they are really careful about,</w:t></w:r>
</w:p>
<w:p>
<w:pPr><w:pStyle w:val="Normal"/></w:pPr>
<w:r><w:t xml:space="preserve">not knowing how to renew it.  A very rude barter exists between</w:t></w:r>
</w:p>
<w:p>
<w:pPr><w:pStyle w:val="Normal"/></w:pPr>
<w:r><w:t xml:space="preserve">tribes of the same group in regard to articles not locally</w:t></w:r>
</w:p>
<w:p>
<w:pPr><w:pStyle w:val="Normal"/></w:pPr>
<w:r><w:t xml:space="preserve">obtainable.  The religion consists of fear of the spirits of the</w:t></w:r>
</w:p>
<w:p>
<w:pPr><w:pStyle w:val="Normal"/></w:pPr>
<w:r><w:t xml:space="preserve">wood, the sea, disease and ancestors, and of avoidance of acts</w:t></w:r>
</w:p>
<w:p>
<w:pPr><w:pStyle w:val="Normal"/></w:pPr>
<w:r><w:t xml:space="preserve">traditionally displeasing to them.  There is neither worship</w:t></w:r>
</w:p>
<w:p>
<w:pPr><w:pStyle w:val="Normal"/></w:pPr>
<w:r><w:t xml:space="preserve">nor propitiation.  An anthropomorphic deity, Puluga, is the</w:t></w:r>
</w:p>
<w:p>
<w:pPr><w:pStyle w:val="Normal"/></w:pPr>
<w:r><w:t xml:space="preserve">cause of all things, but it is not necessary to propitiate</w:t></w:r>
</w:p>
<w:p>
<w:pPr><w:pStyle w:val="Normal"/></w:pPr>
<w:r><w:t xml:space="preserve">him.  There is a vague idea that the ``soul&apos;&apos; will go somewhere</w:t></w:r>
</w:p>
<w:p>
<w:pPr><w:pStyle w:val="Normal"/></w:pPr>
<w:r><w:t xml:space="preserve">after death, but there is no heaven nor hell, nor idea of</w:t></w:r>
</w:p>
<w:p>
<w:pPr><w:pStyle w:val="Normal"/></w:pPr>
<w:r><w:t xml:space="preserve">a corporeal resurrection.  There is much faith in dreams,</w:t></w:r>
</w:p>
<w:p>
<w:pPr><w:pStyle w:val="Normal"/></w:pPr>
<w:r><w:t xml:space="preserve">and in the utterances of certain ``wise men,&apos;&apos; who practise</w:t></w:r>
</w:p>
<w:p>
<w:pPr><w:pStyle w:val="Normal"/></w:pPr>
<w:r><w:t xml:space="preserve">an embryonic magic and witchcraft.  The great amusement of</w:t></w:r>
</w:p>
<w:p>
<w:pPr><w:pStyle w:val="Normal"/></w:pPr>
<w:r><w:t xml:space="preserve">the Andamanese is a formal night dance, but they are also</w:t></w:r>
</w:p>
<w:p>
<w:pPr><w:pStyle w:val="Normal"/></w:pPr>
<w:r><w:t xml:space="preserve">fond of simple games.  The bows differ altogether with each</w:t></w:r>
</w:p>
<w:p>
<w:pPr><w:pStyle w:val="Normal"/></w:pPr>
<w:r><w:t xml:space="preserve">group, but the same two kinds of arrows are in general use:</w:t></w:r>
</w:p>
<w:p>
<w:pPr><w:pStyle w:val="Normal"/></w:pPr>
<w:r><w:t xml:space="preserve">(1) long and ordinary for fishing and other purposes; (2)</w:t></w:r>
</w:p>
<w:p>
<w:pPr><w:pStyle w:val="Normal"/></w:pPr>
<w:r><w:t xml:space="preserve">short with a detachable head fastened to the shaft by a thong,</w:t></w:r>
</w:p>
<w:p>
<w:pPr><w:pStyle w:val="Normal"/></w:pPr>
<w:r><w:t xml:space="preserve">which quickly brings pigs up short when shot in the thick</w:t></w:r>
</w:p>
<w:p>
<w:pPr><w:pStyle w:val="Normal"/></w:pPr>
<w:r><w:t xml:space="preserve">jungle.  Bark provides material for string, while baskets and</w:t></w:r>
</w:p>
<w:p>
<w:pPr><w:pStyle w:val="Normal"/></w:pPr>
<w:r><w:t xml:space="preserve">mats are neatly and stoutly made from canes and buckets out</w:t></w:r>
</w:p>
<w:p>
<w:pPr><w:pStyle w:val="Normal"/></w:pPr>
<w:r><w:t xml:space="preserve">of bamboo and wood.  None of the tribes ever ventures out of</w:t></w:r>
</w:p>
<w:p>
<w:pPr><w:pStyle w:val="Normal"/></w:pPr>
<w:r><w:t xml:space="preserve">sight of land, and they have no idea of steering by sun or</w:t></w:r>
</w:p>
<w:p>
<w:pPr><w:pStyle w:val="Normal"/></w:pPr>
<w:r><w:t xml:space="preserve">stars.  Their canoes are simply hollowed out of trunks with the</w:t></w:r>
</w:p>
<w:p>
<w:pPr><w:pStyle w:val="Normal"/></w:pPr>
<w:r><w:t xml:space="preserve">adze and in no other way, and it is the smaller ones which are</w:t></w:r>
</w:p>
<w:p>
<w:pPr><w:pStyle w:val="Normal"/></w:pPr>
<w:r><w:t xml:space="preserve">outrigged; they do not last long and are not good sea-boats,</w:t></w:r>
</w:p>
<w:p>
<w:pPr><w:pStyle w:val="Normal"/></w:pPr>
<w:r><w:t xml:space="preserve">and the story of raids on Car Nicobar, out of sight across a</w:t></w:r>
</w:p>
<w:p>
<w:pPr><w:pStyle w:val="Normal"/></w:pPr>
<w:r><w:t xml:space="preserve">stormy and sea-rippled channel, must be discredited.  Honour</w:t></w:r>
</w:p>
<w:p>
<w:pPr><w:pStyle w:val="Normal"/></w:pPr>
<w:r><w:t xml:space="preserve">is shown to an adult when he dies, by wrapping him in a cloth</w:t></w:r>
</w:p>
<w:p>
<w:pPr><w:pStyle w:val="Normal"/></w:pPr>
<w:r><w:t xml:space="preserve">and placing him on a platform in a tree instead of burying</w:t></w:r>
</w:p>
<w:p>
<w:pPr><w:pStyle w:val="Normal"/></w:pPr>
<w:r><w:t xml:space="preserve">him.  At such a time the encampment is deserted for three</w:t></w:r>
</w:p>
<w:p>
<w:pPr><w:pStyle w:val="Normal"/></w:pPr>
<w:r><w:t xml:space="preserve">months.  The Andaman languages are extremely interesting</w:t></w:r>
</w:p>
<w:p>
<w:pPr><w:pStyle w:val="Normal"/></w:pPr>
<w:r><w:t xml:space="preserve">from the philological standpoint.  They are agglutinative in</w:t></w:r>
</w:p>
<w:p>
<w:pPr><w:pStyle w:val="Normal"/></w:pPr>
<w:r><w:t xml:space="preserve">nature, show hardly any signs of syntactical growth though</w:t></w:r>
</w:p>
<w:p>
<w:pPr><w:pStyle w:val="Normal"/></w:pPr>
<w:r><w:t xml:space="preserve">every indication of long etymological growth, give expression</w:t></w:r>
</w:p>
<w:p>
<w:pPr><w:pStyle w:val="Normal"/></w:pPr>
<w:r><w:t xml:space="preserve">to only the most direct and the simplest thought, and are purely</w:t></w:r>
</w:p>
<w:p>
<w:pPr><w:pStyle w:val="Normal"/></w:pPr>
<w:r><w:t xml:space="preserve">colloquial and wanting in the modifications always necessary</w:t></w:r>
</w:p>
<w:p>
<w:pPr><w:pStyle w:val="Normal"/></w:pPr>
<w:r><w:t xml:space="preserve">for communication by writing.  The sense is largely eked out by</w:t></w:r>
</w:p>
<w:p>
<w:pPr><w:pStyle w:val="Normal"/></w:pPr>
<w:r><w:t xml:space="preserve">manner and action. Mincopie is the first word in Colebrooke&apos;s</w:t></w:r>
</w:p>
<w:p>
<w:pPr><w:pStyle w:val="Normal"/></w:pPr>
<w:r><w:t xml:space="preserve">vocabulary for ``Andaman Island, or native country,&apos;&apos; and</w:t></w:r>
</w:p>
<w:p>
<w:pPr><w:pStyle w:val="Normal"/></w:pPr>
<w:r><w:t xml:space="preserve">the term--though probably a mishearing on Colebrooke&apos;s part</w:t></w:r>
</w:p>
<w:p>
<w:pPr><w:pStyle w:val="Normal"/></w:pPr>
<w:r><w:t xml:space="preserve">for Mongebe (``I am an Onge,&apos;&apos; i.e. a member of the</w:t></w:r>
</w:p>
<w:p>
<w:pPr><w:pStyle w:val="Normal"/></w:pPr>
<w:r><w:t xml:space="preserve">Onge tribe)--has thus become a persistent book-name for the</w:t></w:r>
</w:p>
<w:p>
<w:pPr><w:pStyle w:val="Normal"/></w:pPr>
<w:r><w:t xml:space="preserve">people.  Attempts to civilize the Andamanese have met with</w:t></w:r>
</w:p>
<w:p>
<w:pPr><w:pStyle w:val="Normal"/></w:pPr>
<w:r><w:t xml:space="preserve">little success either among adults or children.  The home</w:t></w:r>
</w:p>
<w:p>
<w:pPr><w:pStyle w:val="Normal"/></w:pPr>
<w:r><w:t xml:space="preserve">established near Port Blair is used as a sort of free asylum</w:t></w:r>
</w:p>
<w:p>
<w:pPr><w:pStyle w:val="Normal"/></w:pPr>
<w:r><w:t xml:space="preserve">which the native visits according to his pleasure.  The</w:t></w:r>
</w:p>
<w:p>
<w:pPr><w:pStyle w:val="Normal"/></w:pPr>
<w:r><w:t xml:space="preserve">policy of the government is to leave the Andamanese alone,</w:t></w:r>
</w:p>
<w:p>
<w:pPr><w:pStyle w:val="Normal"/></w:pPr>
<w:r><w:t xml:space="preserve">while doing what is possible to ameliorate their condition.</w:t></w:r>
</w:p>
<w:p>
<w:pPr><w:pStyle w:val="Normal"/></w:pPr>
<w:r><w:t xml:space="preserve">Penal Setllement.--The point of enduring interest as regards</w:t></w:r>
</w:p>
<w:p>
<w:pPr><w:pStyle w:val="Normal"/></w:pPr>
<w:r><w:t xml:space="preserve">the Andamans is the penal system, the object of which is to turn</w:t></w:r>
</w:p>
<w:p>
<w:pPr><w:pStyle w:val="Normal"/></w:pPr>
<w:r><w:t xml:space="preserve">the life-sentence and few long-sentence convicts, who alone are</w:t></w:r>
</w:p>
<w:p>
<w:pPr><w:pStyle w:val="Normal"/></w:pPr>
<w:r><w:t xml:space="preserve">sent to the settlement, into honest, self-respecting men and</w:t></w:r>
</w:p>
<w:p>
<w:pPr><w:pStyle w:val="Normal"/></w:pPr>
<w:r><w:t xml:space="preserve">women, by leading them along a continuous course of practice</w:t></w:r>
</w:p>
<w:p>
<w:pPr><w:pStyle w:val="Normal"/></w:pPr>
<w:r><w:t xml:space="preserve">in self-help and self-restraint, and by offering them every</w:t></w:r>
</w:p>
<w:p>
<w:pPr><w:pStyle w:val="Normal"/></w:pPr>
<w:r><w:t xml:space="preserve">inducement to take advantage of that practice.  After ten years&apos;</w:t></w:r>
</w:p>
<w:p>
<w:pPr><w:pStyle w:val="Normal"/></w:pPr>
<w:r><w:t xml:space="preserve">graduated labour the convict is given a ticket-of-leave and</w:t></w:r>
</w:p>
<w:p>
<w:pPr><w:pStyle w:val="Normal"/></w:pPr>
<w:r><w:t xml:space="preserve">becomes self-supporting.  He can farm, keep cattle, and marry</w:t></w:r>
</w:p>
<w:p>
<w:pPr><w:pStyle w:val="Normal"/></w:pPr>
<w:r><w:t xml:space="preserve">or send for his family, but he cannot leave the settlement or be</w:t></w:r>
</w:p>
<w:p>
<w:pPr><w:pStyle w:val="Normal"/></w:pPr>
<w:r><w:t xml:space="preserve">idle.  With approved conduct, however, he may be absolutely</w:t></w:r>
</w:p>
<w:p>
<w:pPr><w:pStyle w:val="Normal"/></w:pPr>
<w:r><w:t xml:space="preserve">released after twenty to twenty-five years in the settlement;</w:t></w:r>
</w:p>
<w:p>
<w:pPr><w:pStyle w:val="Normal"/></w:pPr>
<w:r><w:t xml:space="preserve">and throughout that time, though possessing no civil rights,</w:t></w:r>
</w:p>
<w:p>
<w:pPr><w:pStyle w:val="Normal"/></w:pPr>
<w:r><w:t xml:space="preserve">a quasi-judicial procedure controls all punishments inflicted</w:t></w:r>
</w:p>
<w:p>
<w:pPr><w:pStyle w:val="Normal"/></w:pPr>
<w:r><w:t xml:space="preserve">upon him, and he is as secure of obtaining justice as if</w:t></w:r>
</w:p>
<w:p>
<w:pPr><w:pStyle w:val="Normal"/></w:pPr>
<w:r><w:t xml:space="preserve">free.  There is an unlimited variety of work for the labouring</w:t></w:r>
</w:p>
<w:p>
<w:pPr><w:pStyle w:val="Normal"/></w:pPr>
<w:r><w:t xml:space="preserve">convicts, and some of the establishments are on a large</w:t></w:r>
</w:p>
<w:p>
<w:pPr><w:pStyle w:val="Normal"/></w:pPr>
<w:r><w:t xml:space="preserve">scale.  Very few experts are employed in supervision;</w:t></w:r>
</w:p>
<w:p>
<w:pPr><w:pStyle w:val="Normal"/></w:pPr>
<w:r><w:t xml:space="preserve">practically everything is directed by the officials, who</w:t></w:r>
</w:p>
<w:p>
<w:pPr><w:pStyle w:val="Normal"/></w:pPr>
<w:r><w:t xml:space="preserve">themselves have first to learn each trade.  Under the chief</w:t></w:r>
</w:p>
<w:p>
<w:pPr><w:pStyle w:val="Normal"/></w:pPr>
<w:r><w:t xml:space="preserve">commissioner, who is the supreme head of the settlement,</w:t></w:r>
</w:p>
<w:p>
<w:pPr><w:pStyle w:val="Normal"/></w:pPr>
<w:r><w:t xml:space="preserve">are a deputy and a staff of assistant superintendents and</w:t></w:r>
</w:p>
<w:p>
<w:pPr><w:pStyle w:val="Normal"/></w:pPr>
<w:r><w:t xml:space="preserve">overseers, almost all Europeans, and sub-overseers, who are</w:t></w:r>
</w:p>
<w:p>
<w:pPr><w:pStyle w:val="Normal"/></w:pPr>
<w:r><w:t xml:space="preserve">natives of India.  All the petty supervising establishments</w:t></w:r>
</w:p>
<w:p>
<w:pPr><w:pStyle w:val="Normal"/></w:pPr>
<w:r><w:t xml:space="preserve">are composed of convicts.  The garrison consists of 140</w:t></w:r>
</w:p>
<w:p>
<w:pPr><w:pStyle w:val="Normal"/></w:pPr>
<w:r><w:t xml:space="preserve">British and 300 Indian troops, with a few local European</w:t></w:r>
</w:p>
<w:p>
<w:pPr><w:pStyle w:val="Normal"/></w:pPr>
<w:r><w:t xml:space="preserve">volunteers.  The police are organized as a military battalion</w:t></w:r>
</w:p>
<w:p>
<w:pPr><w:pStyle w:val="Normal"/></w:pPr>
<w:r><w:t xml:space="preserve">643 strong.  The number of convicts has somewhat diminished</w:t></w:r>
</w:p>
<w:p>
<w:pPr><w:pStyle w:val="Normal"/></w:pPr>
<w:r><w:t xml:space="preserve">of late years and in 1901 stood at 11,947.  The total</w:t></w:r>
</w:p>
<w:p>
<w:pPr><w:pStyle w:val="Normal"/></w:pPr>
<w:r><w:t xml:space="preserve">population of the settlement, consisting of convicts, their</w:t></w:r>
</w:p>
<w:p>
<w:pPr><w:pStyle w:val="Normal"/></w:pPr>
<w:r><w:t xml:space="preserve">guards, the supervising, clerical and departmental staff,</w:t></w:r>
</w:p>
<w:p>
<w:pPr><w:pStyle w:val="Normal"/></w:pPr>
<w:r><w:t xml:space="preserve">with the families of the latter, also a certain number of</w:t></w:r>
</w:p>
<w:p>
<w:pPr><w:pStyle w:val="Normal"/></w:pPr>
<w:r><w:t xml:space="preserve">ex-convicts and trading settlers and their families, numbered</w:t></w:r>
</w:p>
<w:p>
<w:pPr><w:pStyle w:val="Normal"/></w:pPr>
<w:r><w:t xml:space="preserve">16,106.  The labouring convicts are distributed among four</w:t></w:r>
</w:p>
<w:p>
<w:pPr><w:pStyle w:val="Normal"/></w:pPr>
<w:r><w:t xml:space="preserve">jails and nineteen stations; the self-supporters in thirty-eight</w:t></w:r>
</w:p>
<w:p>
<w:pPr><w:pStyle w:val="Normal"/></w:pPr>
<w:r><w:t xml:space="preserve">villages.  The elementary education of the convicts&apos; children</w:t></w:r>
</w:p>
<w:p>
<w:pPr><w:pStyle w:val="Normal"/></w:pPr>
<w:r><w:t xml:space="preserve">is compulsory.  There are four hospitals, each under a</w:t></w:r>
</w:p>
<w:p>
<w:pPr><w:pStyle w:val="Normal"/></w:pPr>
<w:r><w:t xml:space="preserve">resident medical officer, under the general supervision of</w:t></w:r>
</w:p>
<w:p>
<w:pPr><w:pStyle w:val="Normal"/></w:pPr>
<w:r><w:t xml:space="preserve">a senior officer of the Indian medical service, and medical</w:t></w:r>
</w:p>
<w:p>
<w:pPr><w:pStyle w:val="Normal"/></w:pPr>
<w:r><w:t xml:space="preserve">aid is given free to the whole population.  The net annual</w:t></w:r>
</w:p>
<w:p>
<w:pPr><w:pStyle w:val="Normal"/></w:pPr>
<w:r><w:t xml:space="preserve">cost of the settlement to the government is about L. 6 per</w:t></w:r>
</w:p>
<w:p>
<w:pPr><w:pStyle w:val="Normal"/></w:pPr>
<w:r><w:t xml:space="preserve">convict.  The harbour of Port Blair is well supplied with</w:t></w:r>
</w:p>
<w:p>
<w:pPr><w:pStyle w:val="Normal"/></w:pPr>
<w:r><w:t xml:space="preserve">buoys and harbour lights, and is crossed by ferries at fixed</w:t></w:r>
</w:p>
<w:p>
<w:pPr><w:pStyle w:val="Normal"/></w:pPr>
<w:r><w:t xml:space="preserve">intervals, while there are several launches for hauling local</w:t></w:r>
</w:p>
<w:p>
<w:pPr><w:pStyle w:val="Normal"/></w:pPr>
<w:r><w:t xml:space="preserve">traffic.  On Ross Island there is a lighthouse visible for 19</w:t></w:r>
</w:p>
<w:p>
<w:pPr><w:pStyle w:val="Normal"/></w:pPr>
<w:r><w:t xml:space="preserve">m.  A complete system of signalling by night and day on</w:t></w:r>
</w:p>
<w:p>
<w:pPr><w:pStyle w:val="Normal"/></w:pPr>
<w:r><w:t xml:space="preserve">the Morse system is worked by the police.  Local posts are</w:t></w:r>
</w:p>
<w:p>
<w:pPr><w:pStyle w:val="Normal"/></w:pPr>
<w:r><w:t xml:space="preserve">frequent, but there is no telegraph and the mails are irregular.</w:t></w:r>
</w:p>
<w:p>
<w:pPr><w:pStyle w:val="Normal"/></w:pPr>
<w:r><w:t xml:space="preserve">History.--It is uncertain whether any of the names of the</w:t></w:r>
</w:p>
<w:p>
<w:pPr><w:pStyle w:val="Normal"/></w:pPr>
<w:r><w:t xml:space="preserve">islands given by Ptolemy ought to be attached to the Andamans;</w:t></w:r>
</w:p>
<w:p>
<w:pPr><w:pStyle w:val="Normal"/></w:pPr>
<w:r><w:t xml:space="preserve">yet it is probable that his name itself is traceable in the</w:t></w:r>
</w:p>
<w:p>
<w:pPr><w:pStyle w:val="Normal"/></w:pPr>
<w:r><w:t xml:space="preserve">Alexandrian geographer.  Andaman first appears distinctly</w:t></w:r>
</w:p>
<w:p>
<w:pPr><w:pStyle w:val="Normal"/></w:pPr>
<w:r><w:t xml:space="preserve">in the Arab notices of the 9th century, already quoted.  But</w:t></w:r>
</w:p>
<w:p>
<w:pPr><w:pStyle w:val="Normal"/></w:pPr>
<w:r><w:t xml:space="preserve">it seems possible that the tradition of marine nomenclature</w:t></w:r>
</w:p>
<w:p>
<w:pPr><w:pStyle w:val="Normal"/></w:pPr>
<w:r><w:t xml:space="preserve">had never perished; that the &apos;Agathou daimonos nesos</w:t></w:r>
</w:p>
<w:p>
<w:pPr><w:pStyle w:val="Normal"/></w:pPr>
<w:r><w:t xml:space="preserve">was really a misunderstanding of some form like Agdaman,</w:t></w:r>
</w:p>
<w:p>
<w:pPr><w:pStyle w:val="Normal"/></w:pPr>
<w:r><w:t xml:space="preserve">while Nesoi Baroussai survived as Lanka Balus, the</w:t></w:r>
</w:p>
<w:p>
<w:pPr><w:pStyle w:val="Normal"/></w:pPr>
<w:r><w:t xml:space="preserve">name applied by the Arabs to the Nicobars.  The islands</w:t></w:r>
</w:p>
<w:p>
<w:pPr><w:pStyle w:val="Normal"/></w:pPr>
<w:r><w:t xml:space="preserve">are briefly noticed by Marco Polo, who probably saw without</w:t></w:r>
</w:p>
<w:p>
<w:pPr><w:pStyle w:val="Normal"/></w:pPr>
<w:r><w:t xml:space="preserve">visiting them, under the name Angamanain, seemingly an</w:t></w:r>
</w:p>
<w:p>
<w:pPr><w:pStyle w:val="Normal"/></w:pPr>
<w:r><w:t xml:space="preserve">Arabic dual, ``The two Angamans,&apos;&apos; with the exaggerated</w:t></w:r>
</w:p>
<w:p>
<w:pPr><w:pStyle w:val="Normal"/></w:pPr>
<w:r><w:t xml:space="preserve">but not unnatural picture of the natives, long current,</w:t></w:r>
</w:p>
<w:p>
<w:pPr><w:pStyle w:val="Normal"/></w:pPr>
<w:r><w:t xml:space="preserve">as dog-faced Anthropophagi.  Another notice occurs in the</w:t></w:r>
</w:p>
<w:p>
<w:pPr><w:pStyle w:val="Normal"/></w:pPr>
<w:r><w:t xml:space="preserve">story of Nicolo Conti (c. 1440), who explains the name to</w:t></w:r>
</w:p>
<w:p>
<w:pPr><w:pStyle w:val="Normal"/></w:pPr>
<w:r><w:t xml:space="preserve">mean ``Island of Gold,&apos;&apos; and speaks of a lake with peculiar</w:t></w:r>
</w:p>
<w:p>
<w:pPr><w:pStyle w:val="Normal"/></w:pPr>
<w:r><w:t xml:space="preserve">virtues as existing in it.  The name is probably derived</w:t></w:r>
</w:p>
<w:p>
<w:pPr><w:pStyle w:val="Normal"/></w:pPr>
<w:r><w:t xml:space="preserve">from the Malay Handuman, coming from the ancient Hanuman</w:t></w:r>
</w:p>
<w:p>
<w:pPr><w:pStyle w:val="Normal"/></w:pPr>
<w:r><w:t xml:space="preserve">(monkey).  Later travellers repeat the stories, too well</w:t></w:r>
</w:p>
<w:p>
<w:pPr><w:pStyle w:val="Normal"/></w:pPr>
<w:r><w:t xml:space="preserve">founded, of the ferocious hostility of the people; of whom we</w:t></w:r>
</w:p>
<w:p>
<w:pPr><w:pStyle w:val="Normal"/></w:pPr>
<w:r><w:t xml:space="preserve">may instance Cesare Federici (1569), whose narrative is given</w:t></w:r>
</w:p>
<w:p>
<w:pPr><w:pStyle w:val="Normal"/></w:pPr>
<w:r><w:t xml:space="preserve">in Ramusio, vol. iii. (only in the later editions), and in</w:t></w:r>
</w:p>
<w:p>
<w:pPr><w:pStyle w:val="Normal"/></w:pPr>
<w:r><w:t xml:space="preserve">Purchas.  A good deal is also told of them in the vulgar and</w:t></w:r>
</w:p>
<w:p>
<w:pPr><w:pStyle w:val="Normal"/></w:pPr>
<w:r><w:t xml:space="preserve">gossiping but useful work of Captain A. Hamilton (1727).</w:t></w:r>
</w:p>
<w:p>
<w:pPr><w:pStyle w:val="Normal"/></w:pPr>
<w:r><w:t xml:space="preserve">In 1788-1789 the government of Bengal sought to establish</w:t></w:r>
</w:p>
<w:p>
<w:pPr><w:pStyle w:val="Normal"/></w:pPr>
<w:r><w:t xml:space="preserve">in the Andamans a penal colony, associated with a harbour of</w:t></w:r>
</w:p>
<w:p>
<w:pPr><w:pStyle w:val="Normal"/></w:pPr>
<w:r><w:t xml:space="preserve">refuge.  Two able officers, Colebrooke of the Bengal Engineers,</w:t></w:r>
</w:p>
<w:p>
<w:pPr><w:pStyle w:val="Normal"/></w:pPr>
<w:r><w:t xml:space="preserve">and Blair of the sea service, were sent to survey and</w:t></w:r>
</w:p>
<w:p>
<w:pPr><w:pStyle w:val="Normal"/></w:pPr>
<w:r><w:t xml:space="preserve">report.  In the sequel the settlement was established by Captain</w:t></w:r>
</w:p>
<w:p>
<w:pPr><w:pStyle w:val="Normal"/></w:pPr>
<w:r><w:t xml:space="preserve">Blair, in September 1789, on Chatham Island, in the S.E. bay</w:t></w:r>
</w:p>
<w:p>
<w:pPr><w:pStyle w:val="Normal"/></w:pPr>
<w:r><w:t xml:space="preserve">of the Great Andaman, now called Port Blair, but then Port</w:t></w:r>
</w:p>
<w:p>
<w:pPr><w:pStyle w:val="Normal"/></w:pPr>
<w:r><w:t xml:space="preserve">Cornwallis.  There was much sickness, and after two years,</w:t></w:r>
</w:p>
<w:p>
<w:pPr><w:pStyle w:val="Normal"/></w:pPr>
<w:r><w:t xml:space="preserve">urged by Admiral Cornwallis, the government transferred</w:t></w:r>
</w:p>
<w:p>
<w:pPr><w:pStyle w:val="Normal"/></w:pPr>
<w:r><w:t xml:space="preserve">the colony to the N.E. part of Great Andaman, where a naval</w:t></w:r>
</w:p>
<w:p>
<w:pPr><w:pStyle w:val="Normal"/></w:pPr>
<w:r><w:t xml:space="preserve">arsenal was to be established.  With the colony the name also</w:t></w:r>
</w:p>
<w:p>
<w:pPr><w:pStyle w:val="Normal"/></w:pPr>
<w:r><w:t xml:space="preserve">of Port Cornwallis was transferred to this new locality.</w:t></w:r>
</w:p>
<w:p>
<w:pPr><w:pStyle w:val="Normal"/></w:pPr>
<w:r><w:t xml:space="preserve">The scheme did ill; and in 1796 the government put an end to</w:t></w:r>
</w:p>
<w:p>
<w:pPr><w:pStyle w:val="Normal"/></w:pPr>
<w:r><w:t xml:space="preserve">it, owing to the great mortality and the embarrassments of</w:t></w:r>
</w:p>
<w:p>
<w:pPr><w:pStyle w:val="Normal"/></w:pPr>
<w:r><w:t xml:space="preserve">maintenance.  The settlers were finally removed in May</w:t></w:r>
</w:p>
<w:p>
<w:pPr><w:pStyle w:val="Normal"/></w:pPr>
<w:r><w:t xml:space="preserve">1796.  In 1824 Port Cornwallis was the rendezvous of the fleet</w:t></w:r>
</w:p>
<w:p>
<w:pPr><w:pStyle w:val="Normal"/></w:pPr>
<w:r><w:t xml:space="preserve">carrying the army to the first Burmese war.  In 1839, Dr Helfer,</w:t></w:r>
</w:p>
<w:p>
<w:pPr><w:pStyle w:val="Normal"/></w:pPr>
<w:r><w:t xml:space="preserve">a German savant employed by the Indian government, having</w:t></w:r>
</w:p>
<w:p>
<w:pPr><w:pStyle w:val="Normal"/></w:pPr>
<w:r><w:t xml:space="preserve">landed in the islands, was attacked and killed.  In 1844 the</w:t></w:r>
</w:p>
<w:p>
<w:pPr><w:pStyle w:val="Normal"/></w:pPr>
<w:r><w:t xml:space="preserve">troop-ships ``Briton&apos;&apos; and ``Runnymede&apos;&apos; were driven ashore</w:t></w:r>
</w:p>
<w:p>
<w:pPr><w:pStyle w:val="Normal"/></w:pPr>
<w:r><w:t xml:space="preserve">here, almost close together.  The natives showed their usual</w:t></w:r>
</w:p>
<w:p>
<w:pPr><w:pStyle w:val="Normal"/></w:pPr>
<w:r><w:t xml:space="preserve">hostility, killing all stragglers.  Outrages on shipwrecked</w:t></w:r>
</w:p>
<w:p>
<w:pPr><w:pStyle w:val="Normal"/></w:pPr>
<w:r><w:t xml:space="preserve">crews continued so rife that the question of occupation had</w:t></w:r>
</w:p>
<w:p>
<w:pPr><w:pStyle w:val="Normal"/></w:pPr>
<w:r><w:t xml:space="preserve">to be taken up again; and in 1855 a project was formed for</w:t></w:r>
</w:p>
<w:p>
<w:pPr><w:pStyle w:val="Normal"/></w:pPr>
<w:r><w:t xml:space="preserve">such a settlement, embracing a convict establishment.  This</w:t></w:r>
</w:p>
<w:p>
<w:pPr><w:pStyle w:val="Normal"/></w:pPr>
<w:r><w:t xml:space="preserve">was interrupted by the Indian Mutiny of 1857, but as soon</w:t></w:r>
</w:p>
<w:p>
<w:pPr><w:pStyle w:val="Normal"/></w:pPr>
<w:r><w:t xml:space="preserve">as the neck of that revolt was broken, it became more urgent</w:t></w:r>
</w:p>
<w:p>
<w:pPr><w:pStyle w:val="Normal"/></w:pPr>
<w:r><w:t xml:space="preserve">than ever to provide such a resource, on account of the great</w:t></w:r>
</w:p>
<w:p>
<w:pPr><w:pStyle w:val="Normal"/></w:pPr>
<w:r><w:t xml:space="preserve">number of prisoners falling into British hands.  Lord Canning,</w:t></w:r>
</w:p>
<w:p>
<w:pPr><w:pStyle w:val="Normal"/></w:pPr>
<w:r><w:t xml:space="preserve">therefore, in November 1857, sent a commission, headed by</w:t></w:r>
</w:p>
<w:p>
<w:pPr><w:pStyle w:val="Normal"/></w:pPr>
<w:r><w:t xml:space="preserve">Dr F. Mouat, to examine and report.  The commission reported</w:t></w:r>
</w:p>
<w:p>
<w:pPr><w:pStyle w:val="Normal"/></w:pPr>
<w:r><w:t xml:space="preserve">favourably, selecting as a site Blair&apos;s original Port</w:t></w:r>
</w:p>
<w:p>
<w:pPr><w:pStyle w:val="Normal"/></w:pPr>
<w:r><w:t xml:space="preserve">Cornwallis, but pointing out and avoiding the vicinity of a</w:t></w:r>
</w:p>
<w:p>
<w:pPr><w:pStyle w:val="Normal"/></w:pPr>
<w:r><w:t xml:space="preserve">salt swamp which seemed to have been pernicious to the old</w:t></w:r>
</w:p>
<w:p>
<w:pPr><w:pStyle w:val="Normal"/></w:pPr>
<w:r><w:t xml:space="preserve">colony.  To avoid confusion, the name of Port Blair was given</w:t></w:r>
</w:p>
<w:p>
<w:pPr><w:pStyle w:val="Normal"/></w:pPr>
<w:r><w:t xml:space="preserve">to the new settlement, which was established in the beginning of</w:t></w:r>
</w:p>
<w:p>
<w:pPr><w:pStyle w:val="Normal"/></w:pPr>
<w:r><w:t xml:space="preserve">1858.  For some time sickness and mortality were excessively</w:t></w:r>
</w:p>
<w:p>
<w:pPr><w:pStyle w:val="Normal"/></w:pPr>
<w:r><w:t xml:space="preserve">large, but the reclamation of swamp and clearance of jungle</w:t></w:r>
</w:p>
<w:p>
<w:pPr><w:pStyle w:val="Normal"/></w:pPr>
<w:r><w:t xml:space="preserve">on an extensive scale by Colonel Henry Man when in charge</w:t></w:r>
</w:p>
<w:p>
<w:pPr><w:pStyle w:val="Normal"/></w:pPr>
<w:r><w:t xml:space="preserve">(1868-1870), had a most beneficial effect, and the health of</w:t></w:r>
</w:p>
<w:p>
<w:pPr><w:pStyle w:val="Normal"/></w:pPr>
<w:r><w:t xml:space="preserve">the settlement has since been notable.  The Andaman colony</w:t></w:r>
</w:p>
<w:p>
<w:pPr><w:pStyle w:val="Normal"/></w:pPr>
<w:r><w:t xml:space="preserve">obtained a tragical notoriety from the murder of the viceroy,</w:t></w:r>
</w:p>
<w:p>
<w:pPr><w:pStyle w:val="Normal"/></w:pPr>
<w:r><w:t xml:space="preserve">the earl of Mayo, by a Mahommedan convict, when on a visit</w:t></w:r>
</w:p>
<w:p>
<w:pPr><w:pStyle w:val="Normal"/></w:pPr>
<w:r><w:t xml:space="preserve">to the settlement on the 8th of February 1872.  In the same</w:t></w:r>
</w:p>
<w:p>
<w:pPr><w:pStyle w:val="Normal"/></w:pPr>
<w:r><w:t xml:space="preserve">year the two groups, Andaman and Nicobar, the occupation of</w:t></w:r>
</w:p>
<w:p>
<w:pPr><w:pStyle w:val="Normal"/></w:pPr>
<w:r><w:t xml:space="preserve">the latter also having been forced on the British government</w:t></w:r>
</w:p>
<w:p>
<w:pPr><w:pStyle w:val="Normal"/></w:pPr>
<w:r><w:t xml:space="preserve">(in 1869) by the continuance of outrage upon vessels, were</w:t></w:r>
</w:p>
<w:p>
<w:pPr><w:pStyle w:val="Normal"/></w:pPr>
<w:r><w:t xml:space="preserve">united under a chief commissioner residing at Port Blair.</w:t></w:r>
</w:p>
<w:p>
<w:pPr><w:pStyle w:val="Normal"/></w:pPr>
<w:r><w:t xml:space="preserve">See Sir Richard Temple, The Andaman and Nicobar Islands</w:t></w:r>
</w:p>
<w:p>
<w:pPr><w:pStyle w:val="Normal"/></w:pPr>
<w:r><w:t xml:space="preserve">(Indian Census, 1901); C. B. Kloss, In the Andamans and</w:t></w:r>
</w:p>
<w:p>
<w:pPr><w:pStyle w:val="Normal"/></w:pPr>
<w:r><w:t xml:space="preserve">Nicobars (1903); E. H. Man, Aboriginal Inhabitants of</w:t></w:r>
</w:p>
<w:p>
<w:pPr><w:pStyle w:val="Normal"/></w:pPr>
<w:r><w:t xml:space="preserve">the Andaman Islands (1883); M. V. Portman, Record of the</w:t></w:r>
</w:p>
<w:p>
<w:pPr><w:pStyle w:val="Normal"/></w:pPr>
<w:r><w:t xml:space="preserve">Andamanese (11 volumes MS. in India Office, London, and</w:t></w:r>
</w:p>
<w:p>
<w:pPr><w:pStyle w:val="Normal"/></w:pPr>
<w:r><w:t xml:space="preserve">Home Department, Calcutta), 1893- 1898, Andamanese Monual</w:t></w:r>
</w:p>
<w:p>
<w:pPr><w:pStyle w:val="Normal"/></w:pPr>
<w:r><w:t xml:space="preserve">(1887), Notes on the Languages of the South Andaman Group</w:t></w:r>
</w:p>
<w:p>
<w:pPr><w:pStyle w:val="Normal"/></w:pPr>
<w:r><w:t xml:space="preserve">of Tribes (1898), and History of our Relations with</w:t></w:r>
</w:p>
<w:p>
<w:pPr><w:pStyle w:val="Normal"/></w:pPr>
<w:r><w:t xml:space="preserve">the Andamanese (1899); S. Kurz, Vegetation of the Andamans</w:t></w:r>
</w:p>
<w:p>
<w:pPr><w:pStyle w:val="Normal"/></w:pPr>
<w:r><w:t xml:space="preserve">(1867); G. S. Miller, Mammals of the Andaman and Nicobar</w:t></w:r>
</w:p>
<w:p>
<w:pPr><w:pStyle w:val="Normal"/></w:pPr>
<w:r><w:t xml:space="preserve">Islands (vol. xxiv. of the Proceedings of the National</w:t></w:r>
</w:p>
<w:p>
<w:pPr><w:pStyle w:val="Normal"/></w:pPr>
<w:r><w:t xml:space="preserve">Museum, U.S.A.); A. L. Butler, ``Birds of the Andamans and</w:t></w:r>
</w:p>
<w:p>
<w:pPr><w:pStyle w:val="Normal"/></w:pPr>
<w:r><w:t xml:space="preserve">Nicobars&apos;&apos; (Proc. Bombay Nat. Hist.  Soc., vols. xii. and</w:t></w:r>
</w:p>
<w:p>
<w:pPr><w:pStyle w:val="Normal"/></w:pPr>
<w:r><w:t xml:space="preserve">xiii.); and A. Alcock, A Naturalist in Indian Seas (1902).</w:t></w:r>
</w:p>
<w:p>
<w:pPr><w:pStyle w:val="Normal"/></w:pPr>
<w:r><w:t xml:space="preserve">ANDANTE (Ital. for ``moving slowly,&apos;&apos; from andare, to</w:t></w:r>
</w:p>
<w:p>
<w:pPr><w:pStyle w:val="Normal"/></w:pPr>
<w:r><w:t xml:space="preserve">go), a musical term to indicate pace, coming between adagio</w:t></w:r>
</w:p>
<w:p>
<w:pPr><w:pStyle w:val="Normal"/></w:pPr>
<w:r><w:t xml:space="preserve">and allegro; it is also used of an independent piece of</w:t></w:r>
</w:p>
<w:p>
<w:pPr><w:pStyle w:val="Normal"/></w:pPr>
<w:r><w:t xml:space="preserve">music or of the slow movement in a sonata, symphony, &amp;c.</w:t></w:r>
</w:p>
<w:p>
<w:pPr><w:pStyle w:val="Normal"/></w:pPr>
<w:r><w:t xml:space="preserve">ANDERIDA, an ancient Roman fort at Pevensey, near Eastbourne</w:t></w:r>
</w:p>
<w:p>
<w:pPr><w:pStyle w:val="Normal"/></w:pPr>
<w:r><w:t xml:space="preserve">in Sussex (England), built about A.D. 300 as part of a scheme</w:t></w:r>
</w:p>
<w:p>
<w:pPr><w:pStyle w:val="Normal"/></w:pPr>
<w:r><w:t xml:space="preserve">of land-defence against the Saxon pirates; repaired, probably</w:t></w:r>
</w:p>
<w:p>
<w:pPr><w:pStyle w:val="Normal"/></w:pPr>
<w:r><w:t xml:space="preserve">by the great Stilicho, about A.D. 400; and after the Norman</w:t></w:r>
</w:p>
<w:p>
<w:pPr><w:pStyle w:val="Normal"/></w:pPr>
<w:r><w:t xml:space="preserve">Conquest utilized by William the Conqueror for a Norman castle.</w:t></w:r>
</w:p>
<w:p>
<w:pPr><w:pStyle w:val="Normal"/></w:pPr>
<w:r><w:t xml:space="preserve">Its massive Roman enceinte still stands but little damaged.</w:t></w:r>
</w:p>
<w:p>
<w:pPr><w:pStyle w:val="Normal"/></w:pPr>
<w:r><w:t xml:space="preserve">ANDERNACH, a town of Germany, in the Prussian Rhine province,</w:t></w:r>
</w:p>
<w:p>
<w:pPr><w:pStyle w:val="Normal"/></w:pPr>
<w:r><w:t xml:space="preserve">on the left bank of the Rhine, 10 m.  N.W. of Coblenz by</w:t></w:r>
</w:p>
<w:p>
<w:pPr><w:pStyle w:val="Normal"/></w:pPr>
<w:r><w:t xml:space="preserve">the main line to Cologne.  Pop. (1900) 7889.  Viewed from</w:t></w:r>
</w:p>
<w:p>
<w:pPr><w:pStyle w:val="Normal"/></w:pPr>
<w:r><w:t xml:space="preserve">the river it makes a somewhat gloomy, though picturesque,</w:t></w:r>
</w:p>
<w:p>
<w:pPr><w:pStyle w:val="Normal"/></w:pPr>
<w:r><w:t xml:space="preserve">impression, with its parish church (a basilica dating from</w:t></w:r>
</w:p>
<w:p>
<w:pPr><w:pStyle w:val="Normal"/></w:pPr>
<w:r><w:t xml:space="preserve">the 12th century, with four towers), the round watch-tower</w:t></w:r>
</w:p>
<w:p>
<w:pPr><w:pStyle w:val="Normal"/></w:pPr>
<w:r><w:t xml:space="preserve">on the Rhine, old walls in places 15 ft. thick, and a famous</w:t></w:r>
</w:p>
<w:p>
<w:pPr><w:pStyle w:val="Normal"/></w:pPr>
<w:r><w:t xml:space="preserve">crane (erected 1554) for lading merchandise.  Among other</w:t></w:r>
</w:p>
<w:p>
<w:pPr><w:pStyle w:val="Normal"/></w:pPr>
<w:r><w:t xml:space="preserve">buildings are a Gothic Minorite church (now Protestant), a town</w:t></w:r>
</w:p>
<w:p>
<w:pPr><w:pStyle w:val="Normal"/></w:pPr>
<w:r><w:t xml:space="preserve">hall, and a prison, formerly the castle of the archbishops of</w:t></w:r>
</w:p>
<w:p>
<w:pPr><w:pStyle w:val="Normal"/></w:pPr>
<w:r><w:t xml:space="preserve">Cologne.  Andernach has considerable industries, brewing and</w:t></w:r>
</w:p>
<w:p>
<w:pPr><w:pStyle w:val="Normal"/></w:pPr>
<w:r><w:t xml:space="preserve">manufactures of chemicals and perfumes, and has also a trade</w:t></w:r>
</w:p>
<w:p>
<w:pPr><w:pStyle w:val="Normal"/></w:pPr>
<w:r><w:t xml:space="preserve">in corn and wine.  But its most notable article of commerce</w:t></w:r>
</w:p>
<w:p>
<w:pPr><w:pStyle w:val="Normal"/></w:pPr>
<w:r><w:t xml:space="preserve">is that of mill-stones, made of lava and tufa-stone, a product</w:t></w:r>
</w:p>
<w:p>
<w:pPr><w:pStyle w:val="Normal"/></w:pPr>
<w:r><w:t xml:space="preserve">much used by the Dutch in the construction of their dykes.</w:t></w:r>
</w:p>
<w:p>
<w:pPr><w:pStyle w:val="Normal"/></w:pPr>
<w:r><w:t xml:space="preserve">Andernach (Antunnacum) is the old Roman Castellum ante</w:t></w:r>
</w:p>
<w:p>
<w:pPr><w:pStyle w:val="Normal"/></w:pPr>
<w:r><w:t xml:space="preserve">Nacum, founded by Drusus and fortified in the 3rd century</w:t></w:r>
</w:p>
<w:p>
<w:pPr><w:pStyle w:val="Normal"/></w:pPr>
<w:r><w:t xml:space="preserve">A.D. In 1109 Andernach received civic rights, passed in 1167</w:t></w:r>
</w:p>
<w:p>
<w:pPr><w:pStyle w:val="Normal"/></w:pPr>
<w:r><w:t xml:space="preserve">to the electors of Cologne, in 1253 joined the confederation</w:t></w:r>
</w:p>
<w:p>
<w:pPr><w:pStyle w:val="Normal"/></w:pPr>
<w:r><w:t xml:space="preserve">of the Rhine cities and was the most southern member of the</w:t></w:r>
</w:p>
<w:p>
<w:pPr><w:pStyle w:val="Normal"/></w:pPr>
<w:r><w:t xml:space="preserve">Hanseatic league.  Here in 1474 a treaty was signed between</w:t></w:r>
</w:p>
<w:p>
<w:pPr><w:pStyle w:val="Normal"/></w:pPr>
<w:r><w:t xml:space="preserve">the emperor Frederick III., the four electors of the Rhine and</w:t></w:r>
</w:p>
<w:p>
<w:pPr><w:pStyle w:val="Normal"/></w:pPr>
<w:r><w:t xml:space="preserve">France.  In 1794 Andernach passed to France, but in 1815 was</w:t></w:r>
</w:p>
<w:p>
<w:pPr><w:pStyle w:val="Normal"/></w:pPr>
<w:r><w:t xml:space="preserve">ceded, together with the left bank of the Rhine, to Prussia.</w:t></w:r>
</w:p>
<w:p>
<w:pPr><w:pStyle w:val="Normal"/></w:pPr>
<w:r><w:t xml:space="preserve">ANDERSEN, HANS CHRISTIAN (1805-1875), Danish poet and</w:t></w:r>
</w:p>
<w:p>
<w:pPr><w:pStyle w:val="Normal"/></w:pPr>
<w:r><w:t xml:space="preserve">fabulist, was born at Odense, in Funen, on the 2nd of April</w:t></w:r>
</w:p>
<w:p>
<w:pPr><w:pStyle w:val="Normal"/></w:pPr>
<w:r><w:t xml:space="preserve">1805.  He was the son of a sickly young shoemaker of</w:t></w:r>
</w:p>
<w:p>
<w:pPr><w:pStyle w:val="Normal"/></w:pPr>
<w:r><w:t xml:space="preserve">twenty-two, and his still younger wife: the whole family lived</w:t></w:r>
</w:p>
<w:p>
<w:pPr><w:pStyle w:val="Normal"/></w:pPr>
<w:r><w:t xml:space="preserve">and slept in one little room.  Andersen very early showed</w:t></w:r>
</w:p>
<w:p>
<w:pPr><w:pStyle w:val="Normal"/></w:pPr>
<w:r><w:t xml:space="preserve">signs of imaginative temperament, which was fostered by the</w:t></w:r>
</w:p>
<w:p>
<w:pPr><w:pStyle w:val="Normal"/></w:pPr>
<w:r><w:t xml:space="preserve">indulgence and superstition of his parents.  In 1816 the</w:t></w:r>
</w:p>
<w:p>
<w:pPr><w:pStyle w:val="Normal"/></w:pPr>
<w:r><w:t xml:space="preserve">shoe-maker died and the child was left entirely to his own</w:t></w:r>
</w:p>
<w:p>
<w:pPr><w:pStyle w:val="Normal"/></w:pPr>
<w:r><w:t xml:space="preserve">devices.  He ceased to go to school; he built himself a little</w:t></w:r>
</w:p>
<w:p>
<w:pPr><w:pStyle w:val="Normal"/></w:pPr>
<w:r><w:t xml:space="preserve">toy-theatre and sat at home making clothes for his puppets,</w:t></w:r>
</w:p>
<w:p>
<w:pPr><w:pStyle w:val="Normal"/></w:pPr>
<w:r><w:t xml:space="preserve">and reading all the plays that he could borrow; among them</w:t></w:r>
</w:p>
<w:p>
<w:pPr><w:pStyle w:val="Normal"/></w:pPr>
<w:r><w:t xml:space="preserve">were those of Holberg and Shakespeare.  At Easter 1819 he</w:t></w:r>
</w:p>
<w:p>
<w:pPr><w:pStyle w:val="Normal"/></w:pPr>
<w:r><w:t xml:space="preserve">was confirmed at the church of St Kund, Odense, and began to</w:t></w:r>
</w:p>
<w:p>
<w:pPr><w:pStyle w:val="Normal"/></w:pPr>
<w:r><w:t xml:space="preserve">turn his thoughts to the future.  It was thought that he was</w:t></w:r>
</w:p>
<w:p>
<w:pPr><w:pStyle w:val="Normal"/></w:pPr>
<w:r><w:t xml:space="preserve">best fitted to be a tailor; but as nothing was settled, and</w:t></w:r>
</w:p>
<w:p>
<w:pPr><w:pStyle w:val="Normal"/></w:pPr>
<w:r><w:t xml:space="preserve">as Andersen wished to be an opera-singer, he took matters</w:t></w:r>
</w:p>
<w:p>
<w:pPr><w:pStyle w:val="Normal"/></w:pPr>
<w:r><w:t xml:space="preserve">into his own hand and started for Copenhagen in September</w:t></w:r>
</w:p>
<w:p>
<w:pPr><w:pStyle w:val="Normal"/></w:pPr>
<w:r><w:t xml:space="preserve">1819.  There he was taken for a lunatic, snubbed at the theatres,</w:t></w:r>
</w:p>
<w:p>
<w:pPr><w:pStyle w:val="Normal"/></w:pPr>
<w:r><w:t xml:space="preserve">and nearly reduced to starvation, but he was befriended by</w:t></w:r>
</w:p>
<w:p>
<w:pPr><w:pStyle w:val="Normal"/></w:pPr>
<w:r><w:t xml:space="preserve">the musicians Christoph Weyse and Siboni, and afterwards by</w:t></w:r>
</w:p>
<w:p>
<w:pPr><w:pStyle w:val="Normal"/></w:pPr>
<w:r><w:t xml:space="preserve">the poet Frederik Hoegh Guldberg (1771-1852).  His voice</w:t></w:r>
</w:p>
<w:p>
<w:pPr><w:pStyle w:val="Normal"/></w:pPr>
<w:r><w:t xml:space="preserve">failed, but he was admitted as a dancing pupil at the Royal</w:t></w:r>
</w:p>
<w:p>
<w:pPr><w:pStyle w:val="Normal"/></w:pPr>
<w:r><w:t xml:space="preserve">Theatre.  He grew idle, and lost the favour of Guldberg,</w:t></w:r>
</w:p>
<w:p>
<w:pPr><w:pStyle w:val="Normal"/></w:pPr>
<w:r><w:t xml:space="preserve">but a new patron appeared in the person of Jonas Collin, the</w:t></w:r>
</w:p>
<w:p>
<w:pPr><w:pStyle w:val="Normal"/></w:pPr>
<w:r><w:t xml:space="preserve">director of the Royal Theatre, who became Andersen&apos;s life-long</w:t></w:r>
</w:p>
<w:p>
<w:pPr><w:pStyle w:val="Normal"/></w:pPr>
<w:r><w:t xml:space="preserve">friend.  King Frederick VI. was interested in the strange</w:t></w:r>
</w:p>
<w:p>
<w:pPr><w:pStyle w:val="Normal"/></w:pPr>
<w:r><w:t xml:space="preserve">boy and sent him for some years, free of charge, to the great</w:t></w:r>
</w:p>
<w:p>
<w:pPr><w:pStyle w:val="Normal"/></w:pPr>
<w:r><w:t xml:space="preserve">grammar-school at Slagelse.  Before he started for school he</w:t></w:r>
</w:p>
<w:p>
<w:pPr><w:pStyle w:val="Normal"/></w:pPr>
<w:r><w:t xml:space="preserve">published his first volume, The Ghost at Palnatoke&apos;s Grave</w:t></w:r>
</w:p>
<w:p>
<w:pPr><w:pStyle w:val="Normal"/></w:pPr>
<w:r><w:t xml:space="preserve">(1822).  Andersen, a very backward and unwilling pupil, actually</w:t></w:r>
</w:p>
<w:p>
<w:pPr><w:pStyle w:val="Normal"/></w:pPr>
<w:r><w:t xml:space="preserve">remained at Slagelse and at another school in Elsinore until</w:t></w:r>
</w:p>
<w:p>
<w:pPr><w:pStyle w:val="Normal"/></w:pPr>
<w:r><w:t xml:space="preserve">1827; these years, he says, were the darkest and bitterest in his</w:t></w:r>
</w:p>
<w:p>
<w:pPr><w:pStyle w:val="Normal"/></w:pPr>
<w:r><w:t xml:space="preserve">life.  Collin at length consented to consider him educated, and</w:t></w:r>
</w:p>
<w:p>
<w:pPr><w:pStyle w:val="Normal"/></w:pPr>
<w:r><w:t xml:space="preserve">Andersen came to Copenhagen.  In 1829 he made a considerable</w:t></w:r>
</w:p>
<w:p>
<w:pPr><w:pStyle w:val="Normal"/></w:pPr>
<w:r><w:t xml:space="preserve">success with a fantastic volume entitled A Journey on Foot</w:t></w:r>
</w:p>
<w:p>
<w:pPr><w:pStyle w:val="Normal"/></w:pPr>
<w:r><w:t xml:space="preserve">from Holman&apos;s Canal to the East Point of Amager, and he</w:t></w:r>
</w:p>
<w:p>
<w:pPr><w:pStyle w:val="Normal"/></w:pPr>
<w:r><w:t xml:space="preserve">published in the same season a farce and a book of poems.  He</w:t></w:r>
</w:p>
<w:p>
<w:pPr><w:pStyle w:val="Normal"/></w:pPr>
<w:r><w:t xml:space="preserve">thus suddenly came into request at the moment when his friends</w:t></w:r>
</w:p>
<w:p>
<w:pPr><w:pStyle w:val="Normal"/></w:pPr>
<w:r><w:t xml:space="preserve">had decided that no good thing would ever come out of his early</w:t></w:r>
</w:p>
<w:p>
<w:pPr><w:pStyle w:val="Normal"/></w:pPr>
<w:r><w:t xml:space="preserve">eccentricity and vivacity.  He made little further progress,</w:t></w:r>
</w:p>
<w:p>
<w:pPr><w:pStyle w:val="Normal"/></w:pPr>
<w:r><w:t xml:space="preserve">however, until 1833, when he received a small travelling</w:t></w:r>
</w:p>
<w:p>
<w:pPr><w:pStyle w:val="Normal"/></w:pPr>
<w:r><w:t xml:space="preserve">stipend from the king, and made the first of his long European</w:t></w:r>
</w:p>
<w:p>
<w:pPr><w:pStyle w:val="Normal"/></w:pPr>
<w:r><w:t xml:space="preserve">journeys.  At Le Locle, in the Jura, he wrote Agnate and</w:t></w:r>
</w:p>
<w:p>
<w:pPr><w:pStyle w:val="Normal"/></w:pPr>
<w:r><w:t xml:space="preserve">the Merman; and in October 1834 he arrived in Rome.  Early</w:t></w:r>
</w:p>
<w:p>
<w:pPr><w:pStyle w:val="Normal"/></w:pPr>
<w:r><w:t xml:space="preserve">in 1835 Andersen&apos;s novel, The Improvisatore, appeared, and</w:t></w:r>
</w:p>
<w:p>
<w:pPr><w:pStyle w:val="Normal"/></w:pPr>
<w:r><w:t xml:space="preserve">achieved a real success; the poet&apos;s troubles were at an end at</w:t></w:r>
</w:p>
<w:p>
<w:pPr><w:pStyle w:val="Normal"/></w:pPr>
<w:r><w:t xml:space="preserve">last.  In the same year, 1835, the earliest instalment of</w:t></w:r>
</w:p>
<w:p>
<w:pPr><w:pStyle w:val="Normal"/></w:pPr>
<w:r><w:t xml:space="preserve">Andersen&apos;s immortal Fairy Tales (Eventyr) was published in</w:t></w:r>
</w:p>
<w:p>
<w:pPr><w:pStyle w:val="Normal"/></w:pPr>
<w:r><w:t xml:space="preserve">Copenhagen.  Other parts, completing the first volume, appeared</w:t></w:r>
</w:p>
<w:p>
<w:pPr><w:pStyle w:val="Normal"/></w:pPr>
<w:r><w:t xml:space="preserve">in 1836 and 1837.  The value of these stories was not at first</w:t></w:r>
</w:p>
<w:p>
<w:pPr><w:pStyle w:val="Normal"/></w:pPr>
<w:r><w:t xml:space="preserve">perceived, and they sold slowly.  Andersen was more successful</w:t></w:r>
</w:p>
<w:p>
<w:pPr><w:pStyle w:val="Normal"/></w:pPr>
<w:r><w:t xml:space="preserve">for the time being with a novel, O.T., and a volume of</w:t></w:r>
</w:p>
<w:p>
<w:pPr><w:pStyle w:val="Normal"/></w:pPr>
<w:r><w:t xml:space="preserve">sketches, In Sweden; in 1837 he produced the best of his</w:t></w:r>
</w:p>
<w:p>
<w:pPr><w:pStyle w:val="Normal"/></w:pPr>
<w:r><w:t xml:space="preserve">romances, Only a Fiddler. He now turned his attention,</w:t></w:r>
</w:p>
<w:p>
<w:pPr><w:pStyle w:val="Normal"/></w:pPr>
<w:r><w:t xml:space="preserve">with but ephemeral success, to the theatre, but was recalled</w:t></w:r>
</w:p>
<w:p>
<w:pPr><w:pStyle w:val="Normal"/></w:pPr>
<w:r><w:t xml:space="preserve">to his true genius in the charming miscellanies of 1840 and</w:t></w:r>
</w:p>
<w:p>
<w:pPr><w:pStyle w:val="Normal"/></w:pPr>
<w:r><w:t xml:space="preserve">1842, the Picture-Book without Pictures, and A Poet&apos;s</w:t></w:r>
</w:p>
<w:p>
<w:pPr><w:pStyle w:val="Normal"/></w:pPr>
<w:r><w:t xml:space="preserve">Bazaar. Meanwhile the fame of his Fairy Tales had been</w:t></w:r>
</w:p>
<w:p>
<w:pPr><w:pStyle w:val="Normal"/></w:pPr>
<w:r><w:t xml:space="preserve">steadily rising; a second series began in 1838, a third in</w:t></w:r>
</w:p>
<w:p>
<w:pPr><w:pStyle w:val="Normal"/></w:pPr>
<w:r><w:t xml:space="preserve">1845.  Andersen was now celebrated throughout Europe, although</w:t></w:r>
</w:p>
<w:p>
<w:pPr><w:pStyle w:val="Normal"/></w:pPr>
<w:r><w:t xml:space="preserve">in Denmark itself there was still some resistance to his</w:t></w:r>
</w:p>
<w:p>
<w:pPr><w:pStyle w:val="Normal"/></w:pPr>
<w:r><w:t xml:space="preserve">pretensions.  In June 1847 he paid his first visit to</w:t></w:r>
</w:p>
<w:p>
<w:pPr><w:pStyle w:val="Normal"/></w:pPr>
<w:r><w:t xml:space="preserve">England, and enjoyed a triumphal social success; when he</w:t></w:r>
</w:p>
<w:p>
<w:pPr><w:pStyle w:val="Normal"/></w:pPr>
<w:r><w:t xml:space="preserve">left, Charles Dickens saw him off from Ramsgate pier.  After</w:t></w:r>
</w:p>
<w:p>
<w:pPr><w:pStyle w:val="Normal"/></w:pPr>
<w:r><w:t xml:space="preserve">this Andersen continued to publish much; he still desired to</w:t></w:r>
</w:p>
<w:p>
<w:pPr><w:pStyle w:val="Normal"/></w:pPr>
<w:r><w:t xml:space="preserve">excel as a novelist and a dramatist, which he could not do,</w:t></w:r>
</w:p>
<w:p>
<w:pPr><w:pStyle w:val="Normal"/></w:pPr>
<w:r><w:t xml:space="preserve">and he still disdained the enchanting Fairy Tales, in the</w:t></w:r>
</w:p>
<w:p>
<w:pPr><w:pStyle w:val="Normal"/></w:pPr>
<w:r><w:t xml:space="preserve">composition of which his unique genius lay.  Nevertheless he</w:t></w:r>
</w:p>
<w:p>
<w:pPr><w:pStyle w:val="Normal"/></w:pPr>
<w:r><w:t xml:space="preserve">continued to write them, and in 1847 and 1848 two fresh volumes</w:t></w:r>
</w:p>
<w:p>
<w:pPr><w:pStyle w:val="Normal"/></w:pPr>
<w:r><w:t xml:space="preserve">appeared.  After a long silence Andersen published in 1857</w:t></w:r>
</w:p>
<w:p>
<w:pPr><w:pStyle w:val="Normal"/></w:pPr>
<w:r><w:t xml:space="preserve">another romance, To be or not to be. In 1863, after a</w:t></w:r>
</w:p>
<w:p>
<w:pPr><w:pStyle w:val="Normal"/></w:pPr>
<w:r><w:t xml:space="preserve">very interesting journey, he issued one of the best of his</w:t></w:r>
</w:p>
<w:p>
<w:pPr><w:pStyle w:val="Normal"/></w:pPr>
<w:r><w:t xml:space="preserve">travel-books, In Spain. His Fairy Tales continued to</w:t></w:r>
</w:p>
<w:p>
<w:pPr><w:pStyle w:val="Normal"/></w:pPr>
<w:r><w:t xml:space="preserve">appear, in instalments, until 1872, when, at Christmas, the</w:t></w:r>
</w:p>
<w:p>
<w:pPr><w:pStyle w:val="Normal"/></w:pPr>
<w:r><w:t xml:space="preserve">last stories were published.  In the spring of that year</w:t></w:r>
</w:p>
<w:p>
<w:pPr><w:pStyle w:val="Normal"/></w:pPr>
<w:r><w:t xml:space="preserve">Andersen had an awkward accident, falling out of bed and</w:t></w:r>
</w:p>
<w:p>
<w:pPr><w:pStyle w:val="Normal"/></w:pPr>
<w:r><w:t xml:space="preserve">severely hurting himself.  He was never again quite well,</w:t></w:r>
</w:p>
<w:p>
<w:pPr><w:pStyle w:val="Normal"/></w:pPr>
<w:r><w:t xml:space="preserve">but he lived till the 4th of August 1875, when he died very</w:t></w:r>
</w:p>
<w:p>
<w:pPr><w:pStyle w:val="Normal"/></w:pPr>
<w:r><w:t xml:space="preserve">peacefully in the house called Rolighed, near Copenhagen. (E. G.)</w:t></w:r>
</w:p>
<w:p>
<w:pPr><w:pStyle w:val="Normal"/></w:pPr>
<w:r><w:t xml:space="preserve">ANDERSON, ADAM (1692--1765), Scottish economist, was born in</w:t></w:r>
</w:p>
<w:p>
<w:pPr><w:pStyle w:val="Normal"/></w:pPr>
<w:r><w:t xml:space="preserve">1692, and died in London on the 10th of January 1765.  He was a</w:t></w:r>
</w:p>
<w:p>
<w:pPr><w:pStyle w:val="Normal"/></w:pPr>
<w:r><w:t xml:space="preserve">clerk for forty years in the South Sea House, where he published</w:t></w:r>
</w:p>
<w:p>
<w:pPr><w:pStyle w:val="Normal"/></w:pPr>
<w:r><w:t xml:space="preserve">a work entitled Historical and Chronological Deduction</w:t></w:r>
</w:p>
<w:p>
<w:pPr><w:pStyle w:val="Normal"/></w:pPr>
<w:r><w:t xml:space="preserve">of the Origin of Commerce from the Earliest Accounts to the</w:t></w:r>
</w:p>
<w:p>
<w:pPr><w:pStyle w:val="Normal"/></w:pPr>
<w:r><w:t xml:space="preserve">Present Time, containing a History of the Great Commercial</w:t></w:r>
</w:p>
<w:p>
<w:pPr><w:pStyle w:val="Normal"/></w:pPr>
<w:r><w:t xml:space="preserve">Interests of the British Empire (1762, 2 vols. fol.).</w:t></w:r>
</w:p>
<w:p>
<w:pPr><w:pStyle w:val="Normal"/></w:pPr>
<w:r><w:t xml:space="preserve">ANDERSON, ALEXANDER (c. 1582-1620?), Scottish mathematician,</w:t></w:r>
</w:p>
<w:p>
<w:pPr><w:pStyle w:val="Normal"/></w:pPr>
<w:r><w:t xml:space="preserve">was born at Aberdeen.  In his youth he went to the continent</w:t></w:r>
</w:p>
<w:p>
<w:pPr><w:pStyle w:val="Normal"/></w:pPr>
<w:r><w:t xml:space="preserve">and taught mathematics at Paris, where he published or</w:t></w:r>
</w:p>
<w:p>
<w:pPr><w:pStyle w:val="Normal"/></w:pPr>
<w:r><w:t xml:space="preserve">edited, between the years 1612 and 1619, various geometrical</w:t></w:r>
</w:p>
<w:p>
<w:pPr><w:pStyle w:val="Normal"/></w:pPr>
<w:r><w:t xml:space="preserve">and algebraical tracts, which are conspicuous for their</w:t></w:r>
</w:p>
<w:p>
<w:pPr><w:pStyle w:val="Normal"/></w:pPr>
<w:r><w:t xml:space="preserve">ingenuity and elegance.  He was selected by the executors of</w:t></w:r>
</w:p>
<w:p>
<w:pPr><w:pStyle w:val="Normal"/></w:pPr>
<w:r><w:t xml:space="preserve">Franciscus Vieta to revise and edit his manuscript works, a</w:t></w:r>
</w:p>
<w:p>
<w:pPr><w:pStyle w:val="Normal"/></w:pPr>
<w:r><w:t xml:space="preserve">task which he discharged with great ability.  The works of</w:t></w:r>
</w:p>
<w:p>
<w:pPr><w:pStyle w:val="Normal"/></w:pPr>
<w:r><w:t xml:space="preserve">Anderson amount to six thin 4to volumes, and as the last of</w:t></w:r>
</w:p>
<w:p>
<w:pPr><w:pStyle w:val="Normal"/></w:pPr>
<w:r><w:t xml:space="preserve">them was published in 1619, it is probable that the author</w:t></w:r>
</w:p>
<w:p>
<w:pPr><w:pStyle w:val="Normal"/></w:pPr>
<w:r><w:t xml:space="preserve">died soon after that year, but the precise date is unknown.</w:t></w:r>
</w:p>
<w:p>
<w:pPr><w:pStyle w:val="Normal"/></w:pPr>
<w:r><w:t xml:space="preserve">ANDERSON, SIR EDMUND (1530-1605), English lawyer, descended</w:t></w:r>
</w:p>
<w:p>
<w:pPr><w:pStyle w:val="Normal"/></w:pPr>
<w:r><w:t xml:space="preserve">from a Scottish family settled in Lincolnshire, was born</w:t></w:r>
</w:p>
<w:p>
<w:pPr><w:pStyle w:val="Normal"/></w:pPr>
<w:r><w:t xml:space="preserve">in 1530 at Flixborough or Broughton in that county.  After</w:t></w:r>
</w:p>
<w:p>
<w:pPr><w:pStyle w:val="Normal"/></w:pPr>
<w:r><w:t xml:space="preserve">studying for a short time at Lincoln College, Oxford, he</w:t></w:r>
</w:p>
<w:p>
<w:pPr><w:pStyle w:val="Normal"/></w:pPr>
<w:r><w:t xml:space="preserve">became in 1550 a student of the Inner Temple.  In 1579 he</w:t></w:r>
</w:p>
<w:p>
<w:pPr><w:pStyle w:val="Normal"/></w:pPr>
<w:r><w:t xml:space="preserve">was appointed serjeant-at-law to Queen Elizabeth, and also</w:t></w:r>
</w:p>
<w:p>
<w:pPr><w:pStyle w:val="Normal"/></w:pPr>
<w:r><w:t xml:space="preserve">an assistant judge on circuit.  As a reward for his services</w:t></w:r>
</w:p>
<w:p>
<w:pPr><w:pStyle w:val="Normal"/></w:pPr>
<w:r><w:t xml:space="preserve">in the trial of Edmund Campian and his followers (1581), he</w:t></w:r>
</w:p>
<w:p>
<w:pPr><w:pStyle w:val="Normal"/></w:pPr>
<w:r><w:t xml:space="preserve">was, on the death of Sir James Dyer, appointed lord chief</w:t></w:r>
</w:p>
<w:p>
<w:pPr><w:pStyle w:val="Normal"/></w:pPr>
<w:r><w:t xml:space="preserve">justice of the Common Pleas (1582), and was knighted.  He</w:t></w:r>
</w:p>
<w:p>
<w:pPr><w:pStyle w:val="Normal"/></w:pPr>
<w:r><w:t xml:space="preserve">took part in all the leading state trials which agitated</w:t></w:r>
</w:p>
<w:p>
<w:pPr><w:pStyle w:val="Normal"/></w:pPr>
<w:r><w:t xml:space="preserve">England during the latter years of Elizabeth&apos;s reign.  Though</w:t></w:r>
</w:p>
<w:p>
<w:pPr><w:pStyle w:val="Normal"/></w:pPr>
<w:r><w:t xml:space="preserve">a great lawyer and thoroughly impartial in civil cases, he</w:t></w:r>
</w:p>
<w:p>
<w:pPr><w:pStyle w:val="Normal"/></w:pPr>
<w:r><w:t xml:space="preserve">became notorious by his excessive severity and harshness when</w:t></w:r>
</w:p>
<w:p>
<w:pPr><w:pStyle w:val="Normal"/></w:pPr>
<w:r><w:t xml:space="preserve">presiding over the trials of catholics and nonconformists; more</w:t></w:r>
</w:p>
<w:p>
<w:pPr><w:pStyle w:val="Normal"/></w:pPr>
<w:r><w:t xml:space="preserve">markedly so in those of Sir John Perrot, Sir Walter Raleigh,</w:t></w:r>
</w:p>
<w:p>
<w:pPr><w:pStyle w:val="Normal"/></w:pPr>
<w:r><w:t xml:space="preserve">and John Udall the puritan minister.  Anderson was also one</w:t></w:r>
</w:p>
<w:p>
<w:pPr><w:pStyle w:val="Normal"/></w:pPr>
<w:r><w:t xml:space="preserve">of the commissioners appointed to try Mary queen of Scots in</w:t></w:r>
</w:p>
<w:p>
<w:pPr><w:pStyle w:val="Normal"/></w:pPr>
<w:r><w:t xml:space="preserve">1586.  He died on the 1st of August 1605 at Eyworth in</w:t></w:r>
</w:p>
<w:p>
<w:pPr><w:pStyle w:val="Normal"/></w:pPr>
<w:r><w:t xml:space="preserve">Bedfordshire.  In addition to Reports of Many Principal</w:t></w:r>
</w:p>
<w:p>
<w:pPr><w:pStyle w:val="Normal"/></w:pPr>
<w:r><w:t xml:space="preserve">Cases Argued and Adjudged in the Time of Queen Elizabeth</w:t></w:r>
</w:p>
<w:p>
<w:pPr><w:pStyle w:val="Normal"/></w:pPr>
<w:r><w:t xml:space="preserve">in the Common Bench, published after his death, he drew</w:t></w:r>
</w:p>
<w:p>
<w:pPr><w:pStyle w:val="Normal"/></w:pPr>
<w:r><w:t xml:space="preserve">up several expositions of statutes enacted in Elizabeth&apos;s</w:t></w:r>
</w:p>
<w:p>
<w:pPr><w:pStyle w:val="Normal"/></w:pPr>
<w:r><w:t xml:space="preserve">reign which remain in manuscript in the British Museum.</w:t></w:r>
</w:p>
<w:p>
<w:pPr><w:pStyle w:val="Normal"/></w:pPr>
<w:r><w:t xml:space="preserve">ANDERSON, ELIZABETH GARRETT (1836- ), English medical</w:t></w:r>
</w:p>
<w:p>
<w:pPr><w:pStyle w:val="Normal"/></w:pPr>
<w:r><w:t xml:space="preserve">practitioner, daughter of Newson Garrett, of Aldeburgh,</w:t></w:r>
</w:p>
<w:p>
<w:pPr><w:pStyle w:val="Normal"/></w:pPr>
<w:r><w:t xml:space="preserve">Suffolk, was born in 1836, and educated at home and at a private</w:t></w:r>
</w:p>
<w:p>
<w:pPr><w:pStyle w:val="Normal"/></w:pPr>
<w:r><w:t xml:space="preserve">school.  In 1860 she resolved to study medicine, an unheard-of</w:t></w:r>
</w:p>
<w:p>
<w:pPr><w:pStyle w:val="Normal"/></w:pPr>
<w:r><w:t xml:space="preserve">thing for a woman in those days, and one which was regarded</w:t></w:r>
</w:p>
<w:p>
<w:pPr><w:pStyle w:val="Normal"/></w:pPr>
<w:r><w:t xml:space="preserve">by old-fashioned people as almost indecent.  Miss Garrett</w:t></w:r>
</w:p>
<w:p>
<w:pPr><w:pStyle w:val="Normal"/></w:pPr>
<w:r><w:t xml:space="preserve">managed to obtain some more or less irregular instruction at</w:t></w:r>
</w:p>
<w:p>
<w:pPr><w:pStyle w:val="Normal"/></w:pPr>
<w:r><w:t xml:space="preserve">the Middlesex hospital, London, but was refused admission as a</w:t></w:r>
</w:p>
<w:p>
<w:pPr><w:pStyle w:val="Normal"/></w:pPr>
<w:r><w:t xml:space="preserve">full student both there and at many other schools to which she</w:t></w:r>
</w:p>
<w:p>
<w:pPr><w:pStyle w:val="Normal"/></w:pPr>
<w:r><w:t xml:space="preserve">applied.  Finally she studied anatomy privately at the London</w:t></w:r>
</w:p>
<w:p>
<w:pPr><w:pStyle w:val="Normal"/></w:pPr>
<w:r><w:t xml:space="preserve">hospital, and with some of the professors at St Andrews</w:t></w:r>
</w:p>
<w:p>
<w:pPr><w:pStyle w:val="Normal"/></w:pPr>
<w:r><w:t xml:space="preserve">University, and at the Edinburgh Extra-Mural school.  She</w:t></w:r>
</w:p>
<w:p>
<w:pPr><w:pStyle w:val="Normal"/></w:pPr>
<w:r><w:t xml:space="preserve">had no less difficulty in gaining a qualifying diploma to</w:t></w:r>
</w:p>
<w:p>
<w:pPr><w:pStyle w:val="Normal"/></w:pPr>
<w:r><w:t xml:space="preserve">practise medicine.  London University, the Royal Colleges</w:t></w:r>
</w:p>
<w:p>
<w:pPr><w:pStyle w:val="Normal"/></w:pPr>
<w:r><w:t xml:space="preserve">of Physicians and Surgeons, and many other examining bodies</w:t></w:r>
</w:p>
<w:p>
<w:pPr><w:pStyle w:val="Normal"/></w:pPr>
<w:r><w:t xml:space="preserve">refused to admit her to their examinations; but in the end</w:t></w:r>
</w:p>
<w:p>
<w:pPr><w:pStyle w:val="Normal"/></w:pPr>
<w:r><w:t xml:space="preserve">the Society of Apothecaries, London, allowed her to enter</w:t></w:r>
</w:p>
<w:p>
<w:pPr><w:pStyle w:val="Normal"/></w:pPr>
<w:r><w:t xml:space="preserve">for the License of Apothecaries&apos; Hall, which she obtained in</w:t></w:r>
</w:p>
<w:p>
<w:pPr><w:pStyle w:val="Normal"/></w:pPr>
<w:r><w:t xml:space="preserve">1865.  In 1866 she was appointed general medical attendant to</w:t></w:r>
</w:p>
<w:p>
<w:pPr><w:pStyle w:val="Normal"/></w:pPr>
<w:r><w:t xml:space="preserve">St Mary&apos;s dispensary, a London institution started to enable</w:t></w:r>
</w:p>
<w:p>
<w:pPr><w:pStyle w:val="Normal"/></w:pPr>
<w:r><w:t xml:space="preserve">poor women to obtain medical help from qualified practitioners</w:t></w:r>
</w:p>
<w:p>
<w:pPr><w:pStyle w:val="Normal"/></w:pPr>
<w:r><w:t xml:space="preserve">of their own sex.  The dispensary soon developed into the</w:t></w:r>
</w:p>
<w:p>
<w:pPr><w:pStyle w:val="Normal"/></w:pPr>
<w:r><w:t xml:space="preserve">New hospital for women, and there she worked for over twenty</w:t></w:r>
</w:p>
<w:p>
<w:pPr><w:pStyle w:val="Normal"/></w:pPr>
<w:r><w:t xml:space="preserve">years.  In 1870 she obtained the Paris degree of M.D. The</w:t></w:r>
</w:p>
<w:p>
<w:pPr><w:pStyle w:val="Normal"/></w:pPr>
<w:r><w:t xml:space="preserve">same year she was elected to the first London School Board,</w:t></w:r>
</w:p>
<w:p>
<w:pPr><w:pStyle w:val="Normal"/></w:pPr>
<w:r><w:t xml:space="preserve">at the head of the poll for Marylebone, and was also made one</w:t></w:r>
</w:p>
<w:p>
<w:pPr><w:pStyle w:val="Normal"/></w:pPr>
<w:r><w:t xml:space="preserve">of the visiting physicians of the East London hospital for</w:t></w:r>
</w:p>
<w:p>
<w:pPr><w:pStyle w:val="Normal"/></w:pPr>
<w:r><w:t xml:space="preserve">children; but the duties of these two positions she found to</w:t></w:r>
</w:p>
<w:p>
<w:pPr><w:pStyle w:val="Normal"/></w:pPr>
<w:r><w:t xml:space="preserve">be incompatible with her principal work, and she soon resigned</w:t></w:r>
</w:p>
<w:p>
<w:pPr><w:pStyle w:val="Normal"/></w:pPr>
<w:r><w:t xml:space="preserve">them.  In 1871 she married Mr J. G. S. Anderson (d. 1907), a</w:t></w:r>
</w:p>
<w:p>
<w:pPr><w:pStyle w:val="Normal"/></w:pPr>
<w:r><w:t xml:space="preserve">London shipowner, but did not give up practice.  She worked</w:t></w:r>
</w:p>
<w:p>
<w:pPr><w:pStyle w:val="Normal"/></w:pPr>
<w:r><w:t xml:space="preserve">steadily at the development of the New hospital, and (from</w:t></w:r>
</w:p>
<w:p>
<w:pPr><w:pStyle w:val="Normal"/></w:pPr>
<w:r><w:t xml:space="preserve">1874) at the creation of a complete school of medicine in</w:t></w:r>
</w:p>
<w:p>
<w:pPr><w:pStyle w:val="Normal"/></w:pPr>
<w:r><w:t xml:space="preserve">London for women.  Both institutions have since been handsomely</w:t></w:r>
</w:p>
<w:p>
<w:pPr><w:pStyle w:val="Normal"/></w:pPr>
<w:r><w:t xml:space="preserve">and suitably housed and equipped, the New hospital (in the</w:t></w:r>
</w:p>
<w:p>
<w:pPr><w:pStyle w:val="Normal"/></w:pPr>
<w:r><w:t xml:space="preserve">Euston Road) being worked entirely by medical women, and the</w:t></w:r>
</w:p>
<w:p>
<w:pPr><w:pStyle w:val="Normal"/></w:pPr>
<w:r><w:t xml:space="preserve">schools (in Hunter Street, W.C.) having over 200 students,</w:t></w:r>
</w:p>
<w:p>
<w:pPr><w:pStyle w:val="Normal"/></w:pPr>
<w:r><w:t xml:space="preserve">most of them preparing for the medical degree of London</w:t></w:r>
</w:p>
<w:p>
<w:pPr><w:pStyle w:val="Normal"/></w:pPr>
<w:r><w:t xml:space="preserve">University, which was opened to women in 1877.  In 1897 Mrs</w:t></w:r>
</w:p>
<w:p>
<w:pPr><w:pStyle w:val="Normal"/></w:pPr>
<w:r><w:t xml:space="preserve">Garrett Anderson was elected president of the East Anglian</w:t></w:r>
</w:p>
<w:p>
<w:pPr><w:pStyle w:val="Normal"/></w:pPr>
<w:r><w:t xml:space="preserve">branch of the British Medical Association.  In 1908 she was</w:t></w:r>
</w:p>
<w:p>
<w:pPr><w:pStyle w:val="Normal"/></w:pPr>
<w:r><w:t xml:space="preserve">elected (the first lady) mayor of Aldeburgh.  The movement</w:t></w:r>
</w:p>
<w:p>
<w:pPr><w:pStyle w:val="Normal"/></w:pPr>
<w:r><w:t xml:space="preserve">for the admission of women to the medical profession, of</w:t></w:r>
</w:p>
<w:p>
<w:pPr><w:pStyle w:val="Normal"/></w:pPr>
<w:r><w:t xml:space="preserve">which she was the indefatigable pioneer in England, has</w:t></w:r>
</w:p>
<w:p>
<w:pPr><w:pStyle w:val="Normal"/></w:pPr>
<w:r><w:t xml:space="preserve">extended to every civilized country except Spain and Turkey.</w:t></w:r>
</w:p>
<w:p>
<w:pPr><w:pStyle w:val="Normal"/></w:pPr>
<w:r><w:t xml:space="preserve">ANDERSON, JAMES (1662-1728), Scottish genealogist, antiquary</w:t></w:r>
</w:p>
<w:p>
<w:pPr><w:pStyle w:val="Normal"/></w:pPr>
<w:r><w:t xml:space="preserve">and historian, was born at Edinburgh on the 5th of August</w:t></w:r>
</w:p>
<w:p>
<w:pPr><w:pStyle w:val="Normal"/></w:pPr>
<w:r><w:t xml:space="preserve">1662.  He was educated for the law, and became a writer to</w:t></w:r>
</w:p>
<w:p>
<w:pPr><w:pStyle w:val="Normal"/></w:pPr>
<w:r><w:t xml:space="preserve">the signet in 1691.  His profession gave him the opportunity</w:t></w:r>
</w:p>
<w:p>
<w:pPr><w:pStyle w:val="Normal"/></w:pPr>
<w:r><w:t xml:space="preserve">of gratifying his taste for the study of ancient documents;</w:t></w:r>
</w:p>
<w:p>
<w:pPr><w:pStyle w:val="Normal"/></w:pPr>
<w:r><w:t xml:space="preserve">and just before the union the Scottish parliament commissioned</w:t></w:r>
</w:p>
<w:p>
<w:pPr><w:pStyle w:val="Normal"/></w:pPr>
<w:r><w:t xml:space="preserve">him to prepare for publication what remained of the public</w:t></w:r>
</w:p>
<w:p>
<w:pPr><w:pStyle w:val="Normal"/></w:pPr>
<w:r><w:t xml:space="preserve">records of the kingdom, and in their last session voted a sum</w:t></w:r>
</w:p>
<w:p>
<w:pPr><w:pStyle w:val="Normal"/></w:pPr>
<w:r><w:t xml:space="preserve">of L. 1940 sterling to defray his expenses.  At this work he</w:t></w:r>
</w:p>
<w:p>
<w:pPr><w:pStyle w:val="Normal"/></w:pPr>
<w:r><w:t xml:space="preserve">laboured for several years with great judgment and perseverance;</w:t></w:r>
</w:p>
<w:p>
<w:pPr><w:pStyle w:val="Normal"/></w:pPr>
<w:r><w:t xml:space="preserve">but it was not completed at his death in 1728.  The book was</w:t></w:r>
</w:p>
<w:p>
<w:pPr><w:pStyle w:val="Normal"/></w:pPr>
<w:r><w:t xml:space="preserve">published posthumously in 1739, edited by Thomas Ruddiman,</w:t></w:r>
</w:p>
<w:p>
<w:pPr><w:pStyle w:val="Normal"/></w:pPr>
<w:r><w:t xml:space="preserve">under the title Selectus Diplomatum et Numismatum Scotiae</w:t></w:r>
</w:p>
<w:p>
<w:pPr><w:pStyle w:val="Normal"/></w:pPr>
<w:r><w:t xml:space="preserve">Thesaurus. The preparation of this great national work involved</w:t></w:r>
</w:p>
<w:p>
<w:pPr><w:pStyle w:val="Normal"/></w:pPr>
<w:r><w:t xml:space="preserve">the author in considerable pecuniary loss; and soon after his</w:t></w:r>
</w:p>
<w:p>
<w:pPr><w:pStyle w:val="Normal"/></w:pPr>
<w:r><w:t xml:space="preserve">death, the numerous plates, engraved by Sturt, were sold for</w:t></w:r>
</w:p>
<w:p>
<w:pPr><w:pStyle w:val="Heading1"/></w:pPr>
<w:r><w:t>L. 530.  These plates are now lost, and the book has become</w:t></w:r>
</w:p>
<w:p>
<w:pPr><w:pStyle w:val="Normal"/></w:pPr>
<w:r><w:t xml:space="preserve">exceedingly scarce.  After the union of the crowns, Anderson</w:t></w:r>
</w:p>
<w:p>
<w:pPr><w:pStyle w:val="Normal"/></w:pPr>
<w:r><w:t xml:space="preserve">was appointed in 1715 postmaster-general for Scotland, as</w:t></w:r>
</w:p>
<w:p>
<w:pPr><w:pStyle w:val="Normal"/></w:pPr>
<w:r><w:t xml:space="preserve">some compensation for his labours; but in the political</w:t></w:r>
</w:p>
<w:p>
<w:pPr><w:pStyle w:val="Normal"/></w:pPr>
<w:r><w:t xml:space="preserve">struggles of 1717 he was deprived of this office, and never</w:t></w:r>
</w:p>
<w:p>
<w:pPr><w:pStyle w:val="Normal"/></w:pPr>
<w:r><w:t xml:space="preserve">again obtained any reward for his services.  He died on the</w:t></w:r>
</w:p>
<w:p>
<w:pPr><w:pStyle w:val="Normal"/></w:pPr>
<w:r><w:t xml:space="preserve">3rd of April 1728.  He published, during the controversy</w:t></w:r>
</w:p>
<w:p>
<w:pPr><w:pStyle w:val="Normal"/></w:pPr>
<w:r><w:t xml:space="preserve">about the union, An Historical Essay showing that the Crown</w:t></w:r>
</w:p>
<w:p>
<w:pPr><w:pStyle w:val="Normal"/></w:pPr>
<w:r><w:t xml:space="preserve">and Kingdom of Scotland is Imperial and Independent (Edin.,</w:t></w:r>
</w:p>
<w:p>
<w:pPr><w:pStyle w:val="Normal"/></w:pPr>
<w:r><w:t xml:space="preserve">1705,), and later Collections relating to the History of</w:t></w:r>
</w:p>
<w:p>
<w:pPr><w:pStyle w:val="Normal"/></w:pPr>
<w:r><w:t xml:space="preserve">Mary Queen of Scotland (in 4 vols., Edin., 1727-1728).</w:t></w:r>
</w:p>
<w:p>
<w:pPr><w:pStyle w:val="Normal"/></w:pPr>
<w:r><w:t xml:space="preserve">ANDERSON, JAMES (1739-1808), Scottish agriculturist and</w:t></w:r>
</w:p>
<w:p>
<w:pPr><w:pStyle w:val="Normal"/></w:pPr>
<w:r><w:t xml:space="preserve">economist, was born at Hermiston, near Edinburgh, in</w:t></w:r>
</w:p>
<w:p>
<w:pPr><w:pStyle w:val="Normal"/></w:pPr>
<w:r><w:t xml:space="preserve">1739.  While still a boy he undertook the working of a farm</w:t></w:r>
</w:p>
<w:p>
<w:pPr><w:pStyle w:val="Normal"/></w:pPr>
<w:r><w:t xml:space="preserve">in Mid- Lothian which his family had occupied for several</w:t></w:r>
</w:p>
<w:p>
<w:pPr><w:pStyle w:val="Normal"/></w:pPr>
<w:r><w:t xml:space="preserve">generations, and later he rented in Aberdeenshire a farm</w:t></w:r>
</w:p>
<w:p>
<w:pPr><w:pStyle w:val="Normal"/></w:pPr>
<w:r><w:t xml:space="preserve">of 1300 acres of unimproved land.  In 1783 he settled in</w:t></w:r>
</w:p>
<w:p>
<w:pPr><w:pStyle w:val="Normal"/></w:pPr>
<w:r><w:t xml:space="preserve">Edinburgh, where in 1791 he projected a weekly publication</w:t></w:r>
</w:p>
<w:p>
<w:pPr><w:pStyle w:val="Normal"/></w:pPr>
<w:r><w:t xml:space="preserve">called The Bee, which was largely written by himself, and</w:t></w:r>
</w:p>
<w:p>
<w:pPr><w:pStyle w:val="Normal"/></w:pPr>
<w:r><w:t xml:space="preserve">of which eighteen volumes were published.  In 1797 he began</w:t></w:r>
</w:p>
<w:p>
<w:pPr><w:pStyle w:val="Normal"/></w:pPr>
<w:r><w:t xml:space="preserve">to reside at Isleworth, and from 1799 to 1802 he produced</w:t></w:r>
</w:p>
<w:p>
<w:pPr><w:pStyle w:val="Normal"/></w:pPr>
<w:r><w:t xml:space="preserve">a monthly publication, Recreations in Agriculture,</w:t></w:r>
</w:p>
<w:p>
<w:pPr><w:pStyle w:val="Normal"/></w:pPr>
<w:r><w:t xml:space="preserve">Natural History, Arts and Miscellaneous Literature. He</w:t></w:r>
</w:p>
<w:p>
<w:pPr><w:pStyle w:val="Normal"/></w:pPr>
<w:r><w:t xml:space="preserve">was also the author of many pamphlets on agricultural and</w:t></w:r>
</w:p>
<w:p>
<w:pPr><w:pStyle w:val="Normal"/></w:pPr>
<w:r><w:t xml:space="preserve">economical topics.  He died on the 15th of October 1808.</w:t></w:r>
</w:p>
<w:p>
<w:pPr><w:pStyle w:val="Normal"/></w:pPr>
<w:r><w:t xml:space="preserve">ANDERSON, JOHN (1726-1796), Scottish natural philosopher,</w:t></w:r>
</w:p>
<w:p>
<w:pPr><w:pStyle w:val="Normal"/></w:pPr>
<w:r><w:t xml:space="preserve">was born at Roseneath, Dumbartonshire, in 1726.  In 1756 he</w:t></w:r>
</w:p>
<w:p>
<w:pPr><w:pStyle w:val="Normal"/></w:pPr>
<w:r><w:t xml:space="preserve">became professor of oriental languages in the university of</w:t></w:r>
</w:p>
<w:p>
<w:pPr><w:pStyle w:val="Normal"/></w:pPr>
<w:r><w:t xml:space="preserve">Glasgow, where he had finished his education; and in 1760</w:t></w:r>
</w:p>
<w:p>
<w:pPr><w:pStyle w:val="Normal"/></w:pPr>
<w:r><w:t xml:space="preserve">he was appointed to the more congenial post of professor of</w:t></w:r>
</w:p>
<w:p>
<w:pPr><w:pStyle w:val="Normal"/></w:pPr>
<w:r><w:t xml:space="preserve">natural philosophy.  He devoted himself particularly to the</w:t></w:r>
</w:p>
<w:p>
<w:pPr><w:pStyle w:val="Normal"/></w:pPr>
<w:r><w:t xml:space="preserve">application of science to industry, instituting courses of</w:t></w:r>
</w:p>
<w:p>
<w:pPr><w:pStyle w:val="Normal"/></w:pPr>
<w:r><w:t xml:space="preserve">lectures intended especially for artisans, and he bequeathed</w:t></w:r>
</w:p>
<w:p>
<w:pPr><w:pStyle w:val="Normal"/></w:pPr>
<w:r><w:t xml:space="preserve">his property for the foundation of an institution for</w:t></w:r>
</w:p>
<w:p>
<w:pPr><w:pStyle w:val="Normal"/></w:pPr>
<w:r><w:t xml:space="preserve">the furtherance of technical and scientific education in</w:t></w:r>
</w:p>
<w:p>
<w:pPr><w:pStyle w:val="Normal"/></w:pPr>
<w:r><w:t xml:space="preserve">Glasgow, Anderson&apos;s College, now merged in the Glasgow and</w:t></w:r>
</w:p>
<w:p>
<w:pPr><w:pStyle w:val="Normal"/></w:pPr>
<w:r><w:t xml:space="preserve">West of Scotland Technical College.  He died in Glasgow on</w:t></w:r>
</w:p>
<w:p>
<w:pPr><w:pStyle w:val="Normal"/></w:pPr>
<w:r><w:t xml:space="preserve">the 13th of January 1796.  His Institutes of Physics,</w:t></w:r>
</w:p>
<w:p>
<w:pPr><w:pStyle w:val="Normal"/></w:pPr>
<w:r><w:t xml:space="preserve">published in 1786, went through five editions in ten years.</w:t></w:r>
</w:p>
<w:p>
<w:pPr><w:pStyle w:val="Normal"/></w:pPr>
<w:r><w:t xml:space="preserve">ANDERSON, MARY (1859- ), American actress, was born at</w:t></w:r>
</w:p>
<w:p>
<w:pPr><w:pStyle w:val="Normal"/></w:pPr>
<w:r><w:t xml:space="preserve">Sacramento, California, on the 28th of July 1859.  Her father,</w:t></w:r>
</w:p>
<w:p>
<w:pPr><w:pStyle w:val="Normal"/></w:pPr>
<w:r><w:t xml:space="preserve">an officer in the Confederate service in the Civil War, died in</w:t></w:r>
</w:p>
<w:p>
<w:pPr><w:pStyle w:val="Normal"/></w:pPr>
<w:r><w:t xml:space="preserve">1863.  She was educated in various Roman Catholic institutions,</w:t></w:r>
</w:p>
<w:p>
<w:pPr><w:pStyle w:val="Normal"/></w:pPr>
<w:r><w:t xml:space="preserve">and at the age of thirteen, with the advice of Charlotte</w:t></w:r>
</w:p>
<w:p>
<w:pPr><w:pStyle w:val="Normal"/></w:pPr>
<w:r><w:t xml:space="preserve">Cushman, began to study for the stage, making her first</w:t></w:r>
</w:p>
<w:p>
<w:pPr><w:pStyle w:val="Normal"/></w:pPr>
<w:r><w:t xml:space="preserve">appearance at Louisville, Kentucky, as Juliet in 1875.  Her</w:t></w:r>
</w:p>
<w:p>
<w:pPr><w:pStyle w:val="Normal"/></w:pPr>
<w:r><w:t xml:space="preserve">remarkable beauty created an immediate success, and she played</w:t></w:r>
</w:p>
<w:p>
<w:pPr><w:pStyle w:val="Normal"/></w:pPr>
<w:r><w:t xml:space="preserve">in all the large cities of the United States with increasing</w:t></w:r>
</w:p>
<w:p>
<w:pPr><w:pStyle w:val="Normal"/></w:pPr>
<w:r><w:t xml:space="preserve">popularity.  Between 1883 and 1889 she had several seasons in</w:t></w:r>
</w:p>
<w:p>
<w:pPr><w:pStyle w:val="Normal"/></w:pPr>
<w:r><w:t xml:space="preserve">London, and was the Rosalind in the performance of As You</w:t></w:r>
</w:p>
<w:p>
<w:pPr><w:pStyle w:val="Normal"/></w:pPr>
<w:r><w:t xml:space="preserve">Like It which opened the Shakespeare Memorial theatre at</w:t></w:r>
</w:p>
<w:p>
<w:pPr><w:pStyle w:val="Normal"/></w:pPr>
<w:r><w:t xml:space="preserve">Stratford-on-Avon.  Among her chief parts were Galatea (in W.</w:t></w:r>
</w:p>
<w:p>
<w:pPr><w:pStyle w:val="Normal"/></w:pPr>
<w:r><w:t xml:space="preserve">S. Gilbert&apos;s Pygmalion and Galatea), Clarice (in his Comedy</w:t></w:r>
</w:p>
<w:p>
<w:pPr><w:pStyle w:val="Normal"/></w:pPr>
<w:r><w:t xml:space="preserve">and Tragedy, written for her), Hermione, Perdita, and Julia</w:t></w:r>
</w:p>
<w:p>
<w:pPr><w:pStyle w:val="Normal"/></w:pPr>
<w:r><w:t xml:space="preserve">(in The Hunchback.) In 1889 she retired from the stage and</w:t></w:r>
</w:p>
<w:p>
<w:pPr><w:pStyle w:val="Normal"/></w:pPr>
<w:r><w:t xml:space="preserve">in 1890 married Antonio de Navarro, and settled in England.</w:t></w:r>
</w:p>
<w:p>
<w:pPr><w:pStyle w:val="Normal"/></w:pPr>
<w:r><w:t xml:space="preserve">See William Winter&apos;s Stage Life of Mary Anderson (New</w:t></w:r>
</w:p>
<w:p>
<w:pPr><w:pStyle w:val="Normal"/></w:pPr>
<w:r><w:t xml:space="preserve">York, 1886), and her own A Few Momories (New York, 1896).</w:t></w:r>
</w:p>
<w:p>
<w:pPr><w:pStyle w:val="Normal"/></w:pPr>
<w:r><w:t xml:space="preserve">ANDERSON, RICHARD HENRY (1821-1879), American soldier, was</w:t></w:r>
</w:p>
<w:p>
<w:pPr><w:pStyle w:val="Normal"/></w:pPr>
<w:r><w:t xml:space="preserve">born in South Carolina on the 7th of October 1821.  Graduating</w:t></w:r>
</w:p>
<w:p>
<w:pPr><w:pStyle w:val="Normal"/></w:pPr>
<w:r><w:t xml:space="preserve">at West Point in 1842, he served in the Mexican War (in which</w:t></w:r>
</w:p>
<w:p>
<w:pPr><w:pStyle w:val="Normal"/></w:pPr>
<w:r><w:t xml:space="preserve">he won the brevet of first lieutenant) and in the Kansas</w:t></w:r>
</w:p>
<w:p>
<w:pPr><w:pStyle w:val="Normal"/></w:pPr>
<w:r><w:t xml:space="preserve">troubles of 1856-1857, becoming first lieutenant in 1848 and</w:t></w:r>
</w:p>
<w:p>
<w:pPr><w:pStyle w:val="Normal"/></w:pPr>
<w:r><w:t xml:space="preserve">captain in 1855.  At the outbreak of the Civil War in 1861</w:t></w:r>
</w:p>
<w:p>
<w:pPr><w:pStyle w:val="Normal"/></w:pPr>
<w:r><w:t xml:space="preserve">he resigned his commission in the U.S. army, and entered the</w:t></w:r>
</w:p>
<w:p>
<w:pPr><w:pStyle w:val="Normal"/></w:pPr>
<w:r><w:t xml:space="preserve">Confederate service as a brigadier-general, being promoted</w:t></w:r>
</w:p>
<w:p>
<w:pPr><w:pStyle w:val="Normal"/></w:pPr>
<w:r><w:t xml:space="preserve">major-general in August 1862 and lieutenant-general in May</w:t></w:r>
</w:p>
<w:p>
<w:pPr><w:pStyle w:val="Normal"/></w:pPr>
<w:r><w:t xml:space="preserve">1864.  With the exception of a few months spent with the army</w:t></w:r>
</w:p>
<w:p>
<w:pPr><w:pStyle w:val="Normal"/></w:pPr>
<w:r><w:t xml:space="preserve">under Bragg in 1862, Anderson&apos;s service was wholly in the Army</w:t></w:r>
</w:p>
<w:p>
<w:pPr><w:pStyle w:val="Normal"/></w:pPr>
<w:r><w:t xml:space="preserve">of Northern Virginia.  Under Lee and Longstreet he served as</w:t></w:r>
</w:p>
<w:p>
<w:pPr><w:pStyle w:val="Normal"/></w:pPr>
<w:r><w:t xml:space="preserve">a divisional commander in nearly every battle from 1862 to</w:t></w:r>
</w:p>
<w:p>
<w:pPr><w:pStyle w:val="Normal"/></w:pPr>
<w:r><w:t xml:space="preserve">1864, winning especial distinction at Chancellorsville and</w:t></w:r>
</w:p>
<w:p>
<w:pPr><w:pStyle w:val="Normal"/></w:pPr>
<w:r><w:t xml:space="preserve">Gettysburg.  When Longstreet was wounded at the battle of</w:t></w:r>
</w:p>
<w:p>
<w:pPr><w:pStyle w:val="Normal"/></w:pPr>
<w:r><w:t xml:space="preserve">the Wilderness, Anderson succeeded him in command of the</w:t></w:r>
</w:p>
<w:p>
<w:pPr><w:pStyle w:val="Normal"/></w:pPr>
<w:r><w:t xml:space="preserve">1st corps, which he led in the subsequent battles.  His</w:t></w:r>
</w:p>
<w:p>
<w:pPr><w:pStyle w:val="Normal"/></w:pPr>
<w:r><w:t xml:space="preserve">services at the battle of Spottsylvania (q.v.) were most</w:t></w:r>
</w:p>
<w:p>
<w:pPr><w:pStyle w:val="Normal"/></w:pPr>
<w:r><w:t xml:space="preserve">important.  He remained with the army, as a corps commander,</w:t></w:r>
</w:p>
<w:p>
<w:pPr><w:pStyle w:val="Normal"/></w:pPr>
<w:r><w:t xml:space="preserve">to the close of the war, after which he retired into private</w:t></w:r>
</w:p>
<w:p>
<w:pPr><w:pStyle w:val="Normal"/></w:pPr>
<w:r><w:t xml:space="preserve">life.  He died at Beaufort S.C. on the 26th of June 1879.</w:t></w:r>
</w:p>
<w:p>
<w:pPr><w:pStyle w:val="Normal"/></w:pPr>
<w:r><w:t xml:space="preserve">ANDERSON, ROBERT (1750-1830), Scottish author and critic,</w:t></w:r>
</w:p>
<w:p>
<w:pPr><w:pStyle w:val="Normal"/></w:pPr>
<w:r><w:t xml:space="preserve">was born at Carnwath, Lanarkshire, on the 7th of January</w:t></w:r>
</w:p>
<w:p>
<w:pPr><w:pStyle w:val="Normal"/></w:pPr>
<w:r><w:t xml:space="preserve">1750.  He studied first divinity and then medicine at the</w:t></w:r>
</w:p>
<w:p>
<w:pPr><w:pStyle w:val="Normal"/></w:pPr>
<w:r><w:t xml:space="preserve">university of Edinburgh, and subsequently, after some experience</w:t></w:r>
</w:p>
<w:p>
<w:pPr><w:pStyle w:val="Normal"/></w:pPr>
<w:r><w:t xml:space="preserve">as a surgeon, took the degree of M.D. at St Andrews in 1778.</w:t></w:r>
</w:p>
<w:p>
<w:pPr><w:pStyle w:val="Normal"/></w:pPr>
<w:r><w:t xml:space="preserve">He began to practise as a physician at Alnwick, but he became</w:t></w:r>
</w:p>
<w:p>
<w:pPr><w:pStyle w:val="Normal"/></w:pPr>
<w:r><w:t xml:space="preserve">financially independent by his marriage with the daughter of Mr</w:t></w:r>
</w:p>
<w:p>
<w:pPr><w:pStyle w:val="Normal"/></w:pPr>
<w:r><w:t xml:space="preserve">John Gray, and abandoned his profession for a literary life in</w:t></w:r>
</w:p>
<w:p>
<w:pPr><w:pStyle w:val="Normal"/></w:pPr>
<w:r><w:t xml:space="preserve">Edinburgh.  For several years his attention was occupied</w:t></w:r>
</w:p>
<w:p>
<w:pPr><w:pStyle w:val="Normal"/></w:pPr>
<w:r><w:t xml:space="preserve">with his edition of The Works of the British Poets, with</w:t></w:r>
</w:p>
<w:p>
<w:pPr><w:pStyle w:val="Normal"/></w:pPr>
<w:r><w:t xml:space="preserve">Prefaces Biographical and Critical (14 vols. 8vo, Edin.,</w:t></w:r>
</w:p>
<w:p>
<w:pPr><w:pStyle w:val="Normal"/></w:pPr>
<w:r><w:t xml:space="preserve">1792-1807).  His other publications were, The Miscellaneous</w:t></w:r>
</w:p>
<w:p>
<w:pPr><w:pStyle w:val="Normal"/></w:pPr>
<w:r><w:t xml:space="preserve">Works of Tobias Smollett, M.D., with Memoirs of his Life</w:t></w:r>
</w:p>
<w:p>
<w:pPr><w:pStyle w:val="Normal"/></w:pPr>
<w:r><w:t xml:space="preserve">and Writings (Edin., 1796); Life of Samuel Johnson, LL.D.,</w:t></w:r>
</w:p>
<w:p>
<w:pPr><w:pStyle w:val="Normal"/></w:pPr>
<w:r><w:t xml:space="preserve">with Critical Observations on his Works (Edin., 1815);</w:t></w:r>
</w:p>
<w:p>
<w:pPr><w:pStyle w:val="Normal"/></w:pPr>
<w:r><w:t xml:space="preserve">The Works of John Moore, M.D., with Memoirs of his Life</w:t></w:r>
</w:p>
<w:p>
<w:pPr><w:pStyle w:val="Normal"/></w:pPr>
<w:r><w:t xml:space="preserve">and Writings (Edin., 7 vols., 1820); and The Grave and other</w:t></w:r>
</w:p>
<w:p>
<w:pPr><w:pStyle w:val="Normal"/></w:pPr>
<w:r><w:t xml:space="preserve">Poems, by Robert Blair; to which are prefixed some Account</w:t></w:r>
</w:p>
<w:p>
<w:pPr><w:pStyle w:val="Normal"/></w:pPr>
<w:r><w:t xml:space="preserve">of his Life and Observations on his Writings (Edin., 1826).</w:t></w:r>
</w:p>
<w:p>
<w:pPr><w:pStyle w:val="Normal"/></w:pPr>
<w:r><w:t xml:space="preserve">Dr Anderson died at Edinburgh on the 20th of February 1830.</w:t></w:r>
</w:p>
<w:p>
<w:pPr><w:pStyle w:val="Normal"/></w:pPr>
<w:r><w:t xml:space="preserve">ANDERSON, a city and the county-seat of Madison county, Indiana,</w:t></w:r>
</w:p>
<w:p>
<w:pPr><w:pStyle w:val="Normal"/></w:pPr>
<w:r><w:t xml:space="preserve">U.S.A., situated on the west fork of the White river, about 35</w:t></w:r>
</w:p>
<w:p>
<w:pPr><w:pStyle w:val="Normal"/></w:pPr>
<w:r><w:t xml:space="preserve">m.  N.E. of Indianapolis.  Pop. (1880) 4126; (1890) 10,741;</w:t></w:r>
</w:p>
<w:p>
<w:pPr><w:pStyle w:val="Normal"/></w:pPr>
<w:r><w:t xml:space="preserve">(1900) 20,178, of whom 1081 were foreign-born; (1910, census)</w:t></w:r>
</w:p>
<w:p>
<w:pPr><w:pStyle w:val="Normal"/></w:pPr>
<w:r><w:t xml:space="preserve">22,476.  It is served by the Central Indiana, the Cleveland,</w:t></w:r>
</w:p>
<w:p>
<w:pPr><w:pStyle w:val="Normal"/></w:pPr>
<w:r><w:t xml:space="preserve">Cincinnati, Chicago &amp; St Louis, and the Pittsburg, Chicago &amp; St</w:t></w:r>
</w:p>
<w:p>
<w:pPr><w:pStyle w:val="Normal"/></w:pPr>
<w:r><w:t xml:space="preserve">Louis railways, and also by the Indiana Union Traction System</w:t></w:r>
</w:p>
<w:p>
<w:pPr><w:pStyle w:val="Normal"/></w:pPr>
<w:r><w:t xml:space="preserve">(electric), the general offices and central power plant of</w:t></w:r>
</w:p>
<w:p>
<w:pPr><w:pStyle w:val="Normal"/></w:pPr>
<w:r><w:t xml:space="preserve">which are situated there.  Its importance as a manufacturing</w:t></w:r>
</w:p>
<w:p>
<w:pPr><w:pStyle w:val="Normal"/></w:pPr>
<w:r><w:t xml:space="preserve">centre is due to its location in the natural gas region.  In</w:t></w:r>
</w:p>
<w:p>
<w:pPr><w:pStyle w:val="Normal"/></w:pPr>
<w:r><w:t xml:space="preserve">1905 Anderson ranked first among the cities of the state in</w:t></w:r>
</w:p>
<w:p>
<w:pPr><w:pStyle w:val="Normal"/></w:pPr>
<w:r><w:t xml:space="preserve">the manufacture of carriage and wagon material, and iron and</w:t></w:r>
</w:p>
<w:p>
<w:pPr><w:pStyle w:val="Normal"/></w:pPr>
<w:r><w:t xml:space="preserve">steel.  Among its many other manufactures are glass and</w:t></w:r>
</w:p>
<w:p>
<w:pPr><w:pStyle w:val="Normal"/></w:pPr>
<w:r><w:t xml:space="preserve">glassware, paper, strawboards, crockery and tiles.  In 1905</w:t></w:r>
</w:p>
<w:p>
<w:pPr><w:pStyle w:val="Normal"/></w:pPr>
<w:r><w:t xml:space="preserve">the total factory product was valued at $8,314,760.  There is a</w:t></w:r>
</w:p>
<w:p>
<w:pPr><w:pStyle w:val="Normal"/></w:pPr>
<w:r><w:t xml:space="preserve">good public library; much attention has been devoted to public</w:t></w:r>
</w:p>
<w:p>
<w:pPr><w:pStyle w:val="Normal"/></w:pPr>
<w:r><w:t xml:space="preserve">improvements; and the water works and the electric lighting</w:t></w:r>
</w:p>
<w:p>
<w:pPr><w:pStyle w:val="Normal"/></w:pPr>
<w:r><w:t xml:space="preserve">plants are owned and operated by the city.  In connexion</w:t></w:r>
</w:p>
<w:p>
<w:pPr><w:pStyle w:val="Normal"/></w:pPr>
<w:r><w:t xml:space="preserve">with the water works there is a good filtration plant.</w:t></w:r>
</w:p>
<w:p>
<w:pPr><w:pStyle w:val="Normal"/></w:pPr>
<w:r><w:t xml:space="preserve">First settled about 1822, Anderson was incorporated in 1865.</w:t></w:r>
</w:p>
<w:p>
<w:pPr><w:pStyle w:val="Normal"/></w:pPr>
<w:r><w:t xml:space="preserve">ANDERSONVILLE, a village of Sumter county, Georgia, U.S.A.,</w:t></w:r>
</w:p>
<w:p>
<w:pPr><w:pStyle w:val="Normal"/></w:pPr>
<w:r><w:t xml:space="preserve">in the S.W. part of the state, about 60 m.  S.W. of Macon,</w:t></w:r>
</w:p>
<w:p>
<w:pPr><w:pStyle w:val="Normal"/></w:pPr>
<w:r><w:t xml:space="preserve">on the Central of Georgia railway.  Pop. (1910) 174. From</w:t></w:r>
</w:p>
<w:p>
<w:pPr><w:pStyle w:val="Normal"/></w:pPr>
<w:r><w:t xml:space="preserve">November 1863 until the close of the Civil War it was the seat</w:t></w:r>
</w:p>
<w:p>
<w:pPr><w:pStyle w:val="Normal"/></w:pPr>
<w:r><w:t xml:space="preserve">of a Confederate military prison.  A tract of 16 1/2 acres of</w:t></w:r>
</w:p>
<w:p>
<w:pPr><w:pStyle w:val="Normal"/></w:pPr>
<w:r><w:t xml:space="preserve">land near the village was cleared of trees and enclosed with a</w:t></w:r>
</w:p>
<w:p>
<w:pPr><w:pStyle w:val="Normal"/></w:pPr>
<w:r><w:t xml:space="preserve">stockade.  Prisoners began to arrive in February 1864, before</w:t></w:r>
</w:p>
<w:p>
<w:pPr><w:pStyle w:val="Normal"/></w:pPr>
<w:r><w:t xml:space="preserve">the prison was completed and before adequate supplies had</w:t></w:r>
</w:p>
<w:p>
<w:pPr><w:pStyle w:val="Normal"/></w:pPr>
<w:r><w:t xml:space="preserve">been received, and in May their number amounted to about</w:t></w:r>
</w:p>
<w:p>
<w:pPr><w:pStyle w:val="Normal"/></w:pPr>
<w:r><w:t xml:space="preserve">12,000.  In June the stockade was enlarged so as to include</w:t></w:r>
</w:p>
<w:p>
<w:pPr><w:pStyle w:val="Normal"/></w:pPr>
<w:r><w:t xml:space="preserve">26 1/2 acres, but the congestion was only temporarily relieved,</w:t></w:r>
</w:p>
<w:p>
<w:pPr><w:pStyle w:val="Normal"/></w:pPr>
<w:r><w:t xml:space="preserve">and in August the number of prisoners exceeded 32,000.  No</w:t></w:r>
</w:p>
<w:p>
<w:pPr><w:pStyle w:val="Normal"/></w:pPr>
<w:r><w:t xml:space="preserve">shelter had been provided for the inmates: the first arrivals</w:t></w:r>
</w:p>
<w:p>
<w:pPr><w:pStyle w:val="Normal"/></w:pPr>
<w:r><w:t xml:space="preserve">made rude sheds from the debris of the stockade; the others</w:t></w:r>
</w:p>
<w:p>
<w:pPr><w:pStyle w:val="Normal"/></w:pPr>
<w:r><w:t xml:space="preserve">made tents of blankets and other available pieces of cloth,</w:t></w:r>
</w:p>
<w:p>
<w:pPr><w:pStyle w:val="Normal"/></w:pPr>
<w:r><w:t xml:space="preserve">or dug pits in the ground.  Owing to the slender resources</w:t></w:r>
</w:p>
<w:p>
<w:pPr><w:pStyle w:val="Normal"/></w:pPr>
<w:r><w:t xml:space="preserve">of the Confederacy, the prison was frequently short of</w:t></w:r>
</w:p>
<w:p>
<w:pPr><w:pStyle w:val="Normal"/></w:pPr>
<w:r><w:t xml:space="preserve">food, and even when this was sufficient in quantity it was</w:t></w:r>
</w:p>
<w:p>
<w:pPr><w:pStyle w:val="Normal"/></w:pPr>
<w:r><w:t xml:space="preserve">of a poor quality and poorly prepared on account of the lack</w:t></w:r>
</w:p>
<w:p>
<w:pPr><w:pStyle w:val="Normal"/></w:pPr>
<w:r><w:t xml:space="preserve">of cooking utensils.  The water supply, deemed ample when</w:t></w:r>
</w:p>
<w:p>
<w:pPr><w:pStyle w:val="Normal"/></w:pPr>
<w:r><w:t xml:space="preserve">the prison was planned, became polluted under the congested</w:t></w:r>
</w:p>
<w:p>
<w:pPr><w:pStyle w:val="Normal"/></w:pPr>
<w:r><w:t xml:space="preserve">conditions.  During the summer of 1864 the prisoners</w:t></w:r>
</w:p>
<w:p>
<w:pPr><w:pStyle w:val="Normal"/></w:pPr>
<w:r><w:t xml:space="preserve">suffered greatly from hunger, exposure and disease, and in</w:t></w:r>
</w:p>
<w:p>
<w:pPr><w:pStyle w:val="Normal"/></w:pPr>
<w:r><w:t xml:space="preserve">seven months about a third of them died.  In the autumn,</w:t></w:r>
</w:p>
<w:p>
<w:pPr><w:pStyle w:val="Normal"/></w:pPr>
<w:r><w:t xml:space="preserve">after the capture of Atlanta, all the prisoners who could</w:t></w:r>
</w:p>
<w:p>
<w:pPr><w:pStyle w:val="Normal"/></w:pPr>
<w:r><w:t xml:space="preserve">be moved were sent to Millen, Georgia and Florence, South</w:t></w:r>
</w:p>
<w:p>
<w:pPr><w:pStyle w:val="Normal"/></w:pPr>
<w:r><w:t xml:space="preserve">Carolina.  At Millen better arrangements prevailed, and when,</w:t></w:r>
</w:p>
<w:p>
<w:pPr><w:pStyle w:val="Normal"/></w:pPr>
<w:r><w:t xml:space="preserve">after Sherman began his march to the sea, the prisoners were</w:t></w:r>
</w:p>
<w:p>
<w:pPr><w:pStyle w:val="Normal"/></w:pPr>
<w:r><w:t xml:space="preserve">returned to Andersonville, the conditions there were somewhat</w:t></w:r>
</w:p>
<w:p>
<w:pPr><w:pStyle w:val="Normal"/></w:pPr>
<w:r><w:t xml:space="preserve">improved.  During the war 49,485 prisoners were received at</w:t></w:r>
</w:p>
<w:p>
<w:pPr><w:pStyle w:val="Normal"/></w:pPr>
<w:r><w:t xml:space="preserve">the Andersonville prison, and of these about 13,000 died.</w:t></w:r>
</w:p>
<w:p>
<w:pPr><w:pStyle w:val="Normal"/></w:pPr>
<w:r><w:t xml:space="preserve">The terrible conditions obtaining there were due to the lack</w:t></w:r>
</w:p>
<w:p>
<w:pPr><w:pStyle w:val="Normal"/></w:pPr>
<w:r><w:t xml:space="preserve">of food supplies in the Confederate States, the incompetence</w:t></w:r>
</w:p>
<w:p>
<w:pPr><w:pStyle w:val="Normal"/></w:pPr>
<w:r><w:t xml:space="preserve">of the prison officials, and the refusal of the Federal</w:t></w:r>
</w:p>
<w:p>
<w:pPr><w:pStyle w:val="Normal"/></w:pPr>
<w:r><w:t xml:space="preserve">authorities in 1864 to make exchanges of prisoners, thus filling</w:t></w:r>
</w:p>
<w:p>
<w:pPr><w:pStyle w:val="Normal"/></w:pPr>
<w:r><w:t xml:space="preserve">the stockade with unlooked-for numbers.  After the war Henry</w:t></w:r>
</w:p>
<w:p>
<w:pPr><w:pStyle w:val="Normal"/></w:pPr>
<w:r><w:t xml:space="preserve">Wirz, the superintendent, was tried by a court-martial, and</w:t></w:r>
</w:p>
<w:p>
<w:pPr><w:pStyle w:val="Normal"/></w:pPr>
<w:r><w:t xml:space="preserve">on the 10th of November 1865 was hanged, and the revelation</w:t></w:r>
</w:p>
<w:p>
<w:pPr><w:pStyle w:val="Normal"/></w:pPr>
<w:r><w:t xml:space="preserve">of the sufferings of the prisoners was one of the factors</w:t></w:r>
</w:p>
<w:p>
<w:pPr><w:pStyle w:val="Normal"/></w:pPr>
<w:r><w:t xml:space="preserve">that shaped public opinion regarding the South in the Northern</w:t></w:r>
</w:p>
<w:p>
<w:pPr><w:pStyle w:val="Normal"/></w:pPr>
<w:r><w:t xml:space="preserve">states, after the close of the Civil War. The prisoners&apos; burial</w:t></w:r>
</w:p>
<w:p>
<w:pPr><w:pStyle w:val="Normal"/></w:pPr>
<w:r><w:t xml:space="preserve">ground at Andersonville has been made a national cemetery, and</w:t></w:r>
</w:p>
<w:p>
<w:pPr><w:pStyle w:val="Normal"/></w:pPr>
<w:r><w:t xml:space="preserve">contains 13,714 graves of which 921 are marked ``unknown.&apos;&apos;</w:t></w:r>
</w:p>
<w:p>
<w:pPr><w:pStyle w:val="Normal"/></w:pPr>
<w:r><w:t xml:space="preserve">There is an impartial account of the Andersonville prison</w:t></w:r>
</w:p>
<w:p>
<w:pPr><w:pStyle w:val="Normal"/></w:pPr>
<w:r><w:t xml:space="preserve">in James F. Rhodes, History of the United States (vol.</w:t></w:r>
</w:p>
<w:p>
<w:pPr><w:pStyle w:val="Normal"/></w:pPr>
<w:r><w:t xml:space="preserve">v., New York, 1904).  The partisan accounts are numerous;</w:t></w:r>
</w:p>
<w:p>
<w:pPr><w:pStyle w:val="Normal"/></w:pPr>
<w:r><w:t xml:space="preserve">see, for instance, A. C. Hamlin, Martyria; or, Andersonville</w:t></w:r>
</w:p>
<w:p>
<w:pPr><w:pStyle w:val="Normal"/></w:pPr>
<w:r><w:t xml:space="preserve">Prison (Boston, 1866); and R. R. Stevenson, The Southern</w:t></w:r>
</w:p>
<w:p>
<w:pPr><w:pStyle w:val="Normal"/></w:pPr>
<w:r><w:t xml:space="preserve">Side; or, Andersonville Prison (Baltimore, 1876).</w:t></w:r>
</w:p>
<w:p>
<w:pPr><w:pStyle w:val="Normal"/></w:pPr>
<w:r><w:t xml:space="preserve">ANDES, a vast mountain system forming a continuous chain</w:t></w:r>
</w:p>
<w:p>
<w:pPr><w:pStyle w:val="Normal"/></w:pPr>
<w:r><w:t xml:space="preserve">of highland along the western coast of South America.  It is</w:t></w:r>
</w:p>
<w:p>
<w:pPr><w:pStyle w:val="Normal"/></w:pPr>
<w:r><w:t xml:space="preserve">roughly 4400 m. long, 100 m. wide in some parts, and of an</w:t></w:r>
</w:p>
<w:p>
<w:pPr><w:pStyle w:val="Normal"/></w:pPr>
<w:r><w:t xml:space="preserve">average height of 13,000 ft.1 The connexion of this system</w:t></w:r>
</w:p>
<w:p>
<w:pPr><w:pStyle w:val="Normal"/></w:pPr>
<w:r><w:t xml:space="preserve">with that of the Rocky Mountains, which has been pointed out</w:t></w:r>
</w:p>
<w:p>
<w:pPr><w:pStyle w:val="Normal"/></w:pPr>
<w:r><w:t xml:space="preserve">by many writers, has received much support from the discovery</w:t></w:r>
</w:p>
<w:p>
<w:pPr><w:pStyle w:val="Normal"/></w:pPr>
<w:r><w:t xml:space="preserve">of the extensive eruptions of granite during Tertiary times,</w:t></w:r>
</w:p>
<w:p>
<w:pPr><w:pStyle w:val="Normal"/></w:pPr>
<w:r><w:t xml:space="preserve">extending from the southern extremity of South America to</w:t></w:r>
</w:p>
<w:p>
<w:pPr><w:pStyle w:val="Normal"/></w:pPr>
<w:r><w:t xml:space="preserve">Alaska.  The Andean range is composed of two great principal</w:t></w:r>
</w:p>
<w:p>
<w:pPr><w:pStyle w:val="Normal"/></w:pPr>
<w:r><w:t xml:space="preserve">chains with a deep intermediate depression, in which, and at</w:t></w:r>
</w:p>
<w:p>
<w:pPr><w:pStyle w:val="Normal"/></w:pPr>
<w:r><w:t xml:space="preserve">the sides of the great chains, arise other chains of minor</w:t></w:r>
</w:p>
<w:p>
<w:pPr><w:pStyle w:val="Normal"/></w:pPr>
<w:r><w:t xml:space="preserve">importance, the chief of which is that called the Cordillera</w:t></w:r>
</w:p>
<w:p>
<w:pPr><w:pStyle w:val="Normal"/></w:pPr>
<w:r><w:t xml:space="preserve">de la Costa of Chile.  This starts from the southern extremity</w:t></w:r>
</w:p>
<w:p>
<w:pPr><w:pStyle w:val="Normal"/></w:pPr>
<w:r><w:t xml:space="preserve">of the continent, and runs in a northerly direction, parallel</w:t></w:r>
</w:p>
<w:p>
<w:pPr><w:pStyle w:val="Normal"/></w:pPr>
<w:r><w:t xml:space="preserve">with the coast, being broken up at its beginning into a number</w:t></w:r>
</w:p>
<w:p>
<w:pPr><w:pStyle w:val="Normal"/></w:pPr>
<w:r><w:t xml:space="preserve">of islands, and afterwards forming the western boundary of</w:t></w:r>
</w:p>
<w:p>
<w:pPr><w:pStyle w:val="Normal"/></w:pPr>
<w:r><w:t xml:space="preserve">the great central valley of Chile.  To the north this coastal</w:t></w:r>
</w:p>
<w:p>
<w:pPr><w:pStyle w:val="Normal"/></w:pPr>
<w:r><w:t xml:space="preserve">chain continues in small ridges or isolated hills along the</w:t></w:r>
</w:p>
<w:p>
<w:pPr><w:pStyle w:val="Normal"/></w:pPr>
<w:r><w:t xml:space="preserve">Pacific as far as Colombia, always leaving the same valley</w:t></w:r>
</w:p>
<w:p>
<w:pPr><w:pStyle w:val="Normal"/></w:pPr>
<w:r><w:t xml:space="preserve">more or less visible to the west of the western great chain.</w:t></w:r>
</w:p>
<w:p>
<w:pPr><w:pStyle w:val="Normal"/></w:pPr>
<w:r><w:t xml:space="preserve">Tierra del Fuego.</w:t></w:r>
</w:p>
<w:p>
<w:pPr><w:pStyle w:val="Normal"/></w:pPr>
<w:r><w:t xml:space="preserve">Of the two principal chains the eastern is generally called Los</w:t></w:r>
</w:p>
<w:p>
<w:pPr><w:pStyle w:val="Normal"/></w:pPr>
<w:r><w:t xml:space="preserve">Andes, and the western La Cordillera, in Colombia, Peru and</w:t></w:r>
</w:p>
<w:p>
<w:pPr><w:pStyle w:val="Normal"/></w:pPr>
<w:r><w:t xml:space="preserve">Bolivia, where the eastern is likewise known as Cordillera Real</w:t></w:r>
</w:p>
<w:p>
<w:pPr><w:pStyle w:val="Normal"/></w:pPr>
<w:r><w:t xml:space="preserve">de los Andes, while to the south of parallel 23 deg.  S. lat. in</w:t></w:r>
</w:p>
<w:p>
<w:pPr><w:pStyle w:val="Normal"/></w:pPr>
<w:r><w:t xml:space="preserve">Chile and Argentina, the western is called Cordillera de los</w:t></w:r>
</w:p>
<w:p>
<w:pPr><w:pStyle w:val="Normal"/></w:pPr>
<w:r><w:t xml:space="preserve">Andes.  The eastern disappears in the centre of Argentina,</w:t></w:r>
</w:p>
<w:p>
<w:pPr><w:pStyle w:val="Normal"/></w:pPr>
<w:r><w:t xml:space="preserve">and it is therefore only the Cordillera de los Andes that</w:t></w:r>
</w:p>
<w:p>
<w:pPr><w:pStyle w:val="Normal"/></w:pPr>
<w:r><w:t xml:space="preserve">is prolonged as far as the south-eastern extremity of the</w:t></w:r>
</w:p>
<w:p>
<w:pPr><w:pStyle w:val="Normal"/></w:pPr>
<w:r><w:t xml:space="preserve">continent.  The Cordillera de la Costa begins near Cape</w:t></w:r>
</w:p>
<w:p>
<w:pPr><w:pStyle w:val="Normal"/></w:pPr>
<w:r><w:t xml:space="preserve">Horn, which is composed principally of crystalline rocks,</w:t></w:r>
</w:p>
<w:p>
<w:pPr><w:pStyle w:val="Normal"/></w:pPr>
<w:r><w:t xml:space="preserve">and its heights are inconsiderable when compared with</w:t></w:r>
</w:p>
<w:p>
<w:pPr><w:pStyle w:val="Normal"/></w:pPr>
<w:r><w:t xml:space="preserve">those of the true Cordillera of the Andes.  The latter,</w:t></w:r>
</w:p>
<w:p>
<w:pPr><w:pStyle w:val="Normal"/></w:pPr>
<w:r><w:t xml:space="preserve">as regards its main chain, is on the northern coast of the</w:t></w:r>
</w:p>
<w:p>
<w:pPr><w:pStyle w:val="Normal"/></w:pPr>
<w:r><w:t xml:space="preserve">Beagle Channel, in Tierra del Fuego, bounded on the north</w:t></w:r>
</w:p>
<w:p>
<w:pPr><w:pStyle w:val="Normal"/></w:pPr>
<w:r><w:t xml:space="preserve">by the deep depression of Lake Fagnano and of Admiralty</w:t></w:r>
</w:p>
<w:p>
<w:pPr><w:pStyle w:val="Normal"/></w:pPr>
<w:r><w:t xml:space="preserve">Sound.  Staten Island appears to be the termination to the</w:t></w:r>
</w:p>
<w:p>
<w:pPr><w:pStyle w:val="Normal"/></w:pPr>
<w:r><w:t xml:space="preserve">east.  The Cordillera of the Andes in Tierra del Fuego is</w:t></w:r>
</w:p>
<w:p>
<w:pPr><w:pStyle w:val="Normal"/></w:pPr>
<w:r><w:t xml:space="preserve">formed of crystalline schists, and culminates in the snow-capped</w:t></w:r>
</w:p>
<w:p>
<w:pPr><w:pStyle w:val="Normal"/></w:pPr>
<w:r><w:t xml:space="preserve">peaks of Mount Darwin and Mount Sarmiento (7200 ft.), which</w:t></w:r>
</w:p>
<w:p>
<w:pPr><w:pStyle w:val="Normal"/></w:pPr>
<w:r><w:t xml:space="preserve">contains glaciers of greater extent than those of Mont</w:t></w:r>
</w:p>
<w:p>
<w:pPr><w:pStyle w:val="Normal"/></w:pPr>
<w:r><w:t xml:space="preserve">Blanc.  The extent of the glaciers is considerable in this</w:t></w:r>
</w:p>
<w:p>
<w:pPr><w:pStyle w:val="Normal"/></w:pPr>
<w:r><w:t xml:space="preserve">region, which, geographically, is more complex than was formerly</w:t></w:r>
</w:p>
<w:p>
<w:pPr><w:pStyle w:val="Normal"/></w:pPr>
<w:r><w:t xml:space="preserve">supposed.  Although, in the explored portion of the Fuegian</w:t></w:r>
</w:p>
<w:p>
<w:pPr><w:pStyle w:val="Normal"/></w:pPr>
<w:r><w:t xml:space="preserve">chain, the volcanoes which have been mentioned from time to</w:t></w:r>
</w:p>
<w:p>
<w:pPr><w:pStyle w:val="Normal"/></w:pPr>
<w:r><w:t xml:space="preserve">time have not been met with, there seem to have existed to the</w:t></w:r>
</w:p>
<w:p>
<w:pPr><w:pStyle w:val="Normal"/></w:pPr>
<w:r><w:t xml:space="preserve">south, on the islands, many neo-volcanic rocks, some of which</w:t></w:r>
</w:p>
<w:p>
<w:pPr><w:pStyle w:val="Normal"/></w:pPr>
<w:r><w:t xml:space="preserve">appear to be contemporaneous with the basaltic sheet that covers</w:t></w:r>
</w:p>
<w:p>
<w:pPr><w:pStyle w:val="Normal"/></w:pPr>
<w:r><w:t xml:space="preserve">a part of eastern Patagonia.  The insular region between Mount</w:t></w:r>
</w:p>
<w:p>
<w:pPr><w:pStyle w:val="Normal"/></w:pPr>
<w:r><w:t xml:space="preserve">Sarmiento and the Cordillera de los Andes, properly so called,</w:t></w:r>
</w:p>
<w:p>
<w:pPr><w:pStyle w:val="Normal"/></w:pPr>
<w:r><w:t xml:space="preserve">i.e. that which extends from Magellan Strait northwards, is</w:t></w:r>
</w:p>
<w:p>
<w:pPr><w:pStyle w:val="Normal"/></w:pPr>
<w:r><w:t xml:space="preserve">not fully explored, and all that is known of it is that it is</w:t></w:r>
</w:p>
<w:p>
<w:pPr><w:pStyle w:val="Normal"/></w:pPr>
<w:r><w:t xml:space="preserve">principally composed of the same rocks as the Fuegian section,</w:t></w:r>
</w:p>
<w:p>
<w:pPr><w:pStyle w:val="Normal"/></w:pPr>
<w:r><w:t xml:space="preserve">and that the greater part of its upper valleys is occupied</w:t></w:r>
</w:p>
<w:p>
<w:pPr><w:pStyle w:val="Normal"/></w:pPr>
<w:r><w:t xml:space="preserve">by glaciers that reach down to the sea amid dense forest.</w:t></w:r>
</w:p>
<w:p>
<w:pPr><w:pStyle w:val="Normal"/></w:pPr>
<w:r><w:t xml:space="preserve">Chile-Argentina, 52 deg. -38 deg.  S.</w:t></w:r>
</w:p>
<w:p>
<w:pPr><w:pStyle w:val="Normal"/></w:pPr>
<w:r><w:t xml:space="preserve">As Admiralty Sound and Lake Fagnano bound the Cordillera to</w:t></w:r>
</w:p>
<w:p>
<w:pPr><w:pStyle w:val="Normal"/></w:pPr>
<w:r><w:t xml:space="preserve">the north in Tierra del Fuego, so at the eastern side of the</w:t></w:r>
</w:p>
<w:p>
<w:pPr><w:pStyle w:val="Normal"/></w:pPr>
<w:r><w:t xml:space="preserve">Cordillera in the southernmost part of the continent there is</w:t></w:r>
</w:p>
<w:p>
<w:pPr><w:pStyle w:val="Normal"/></w:pPr>
<w:r><w:t xml:space="preserve">a longitudinal depression which separates the Andes from some</w:t></w:r>
</w:p>
<w:p>
<w:pPr><w:pStyle w:val="Normal"/></w:pPr>
<w:r><w:t xml:space="preserve">independent ridges pertaining to a secondary parallel broken</w:t></w:r>
</w:p>
<w:p>
<w:pPr><w:pStyle w:val="Normal"/></w:pPr>
<w:r><w:t xml:space="preserve">chain called the pre-Cordillera.  This depression is occupied</w:t></w:r>
</w:p>
<w:p>
<w:pPr><w:pStyle w:val="Normal"/></w:pPr>
<w:r><w:t xml:space="preserve">in great part by a series of lakes, some of these filling</w:t></w:r>
</w:p>
<w:p>
<w:pPr><w:pStyle w:val="Normal"/></w:pPr>
<w:r><w:t xml:space="preserve">transversal breaches in the range, whilst others are remains</w:t></w:r>
</w:p>
<w:p>
<w:pPr><w:pStyle w:val="Normal"/></w:pPr>
<w:r><w:t xml:space="preserve">of glacial reservoirs, bordered by morainic dams, extending</w:t></w:r>
</w:p>
<w:p>
<w:pPr><w:pStyle w:val="Normal"/></w:pPr>
<w:r><w:t xml:space="preserve">as far as the eastern tableland and corresponding in these</w:t></w:r>
</w:p>
<w:p>
<w:pPr><w:pStyle w:val="Normal"/></w:pPr>
<w:r><w:t xml:space="preserve">cases with transversal depressions which reach the Atlantic</w:t></w:r>
</w:p>
<w:p>
<w:pPr><w:pStyle w:val="Normal"/></w:pPr>
<w:r><w:t xml:space="preserve">Ocean.  Between the larger lakes, fed by the Andine glaciers</w:t></w:r>
</w:p>
<w:p>
<w:pPr><w:pStyle w:val="Normal"/></w:pPr>
<w:r><w:t xml:space="preserve">of the eastern slope of the Southern Andes, are Lakes</w:t></w:r>
</w:p>
<w:p>
<w:pPr><w:pStyle w:val="Normal"/></w:pPr>
<w:r><w:t xml:space="preserve">Maravilla, 100 sq. m., and Sarmiento, 26 sq. m., 51 deg.  S.</w:t></w:r>
</w:p>
<w:p>
<w:pPr><w:pStyle w:val="Normal"/></w:pPr>
<w:r><w:t xml:space="preserve">lat., which overflow into Last Hope Inlet; Argentino, 570 sq.</w:t></w:r>
</w:p>
<w:p>
<w:pPr><w:pStyle w:val="Normal"/></w:pPr>
<w:r><w:t xml:space="preserve">m., 50 deg.  S. lat.; and Viedma, 450 sq; m., 49 deg.  30&apos; S. lat.,</w:t></w:r>
</w:p>
<w:p>
<w:pPr><w:pStyle w:val="Normal"/></w:pPr>
<w:r><w:t xml:space="preserve">which empty into the river Santa Cruz; the fjordian Lake San</w:t></w:r>
</w:p>
<w:p>
<w:pPr><w:pStyle w:val="Normal"/></w:pPr>
<w:r><w:t xml:space="preserve">Martin, 49 deg.  S. lat;, and Lakes Nansen, 18 sq. m.; Azara,</w:t></w:r>
</w:p>
<w:p>
<w:pPr><w:pStyle w:val="Normal"/></w:pPr>
<w:r><w:t xml:space="preserve">8 sq. m.; and Belgrano, 18 sq. m., which are dependents of</w:t></w:r>
</w:p>
<w:p>
<w:pPr><w:pStyle w:val="Normal"/></w:pPr>
<w:r><w:t xml:space="preserve">Lake San Martin (380sq. m.), and Lakes Pueyrredon (98 sq. m.)</w:t></w:r>
</w:p>
<w:p>
<w:pPr><w:pStyle w:val="Normal"/></w:pPr>
<w:r><w:t xml:space="preserve">and Buenos Aires (700 sq. m.), which now overflow into the</w:t></w:r>
</w:p>
<w:p>
<w:pPr><w:pStyle w:val="Normal"/></w:pPr>
<w:r><w:t xml:space="preserve">Pacific, through one of the remarkable inlets that are found</w:t></w:r>
</w:p>
<w:p>
<w:pPr><w:pStyle w:val="Normal"/></w:pPr>
<w:r><w:t xml:space="preserve">throughout the Cordillera, the Calen Inlet, which is the</w:t></w:r>
</w:p>
<w:p>
<w:pPr><w:pStyle w:val="Normal"/></w:pPr>
<w:r><w:t xml:space="preserve">largest western fjord of Patagonia.  To the north of Lake</w:t></w:r>
</w:p>
<w:p>
<w:pPr><w:pStyle w:val="Normal"/></w:pPr>
<w:r><w:t xml:space="preserve">Buenos Aires there is Lake Elizalde, which, while situated</w:t></w:r>
</w:p>
<w:p>
<w:pPr><w:pStyle w:val="Normal"/></w:pPr>
<w:r><w:t xml:space="preserve">on the eastern slope, sends its waters to the Pacific Ocean,</w:t></w:r>
</w:p>
<w:p>
<w:pPr><w:pStyle w:val="Normal"/></w:pPr>
<w:r><w:t xml:space="preserve">and Lakes Fontana (30 sq. m.) and La Plata (34 sq. m.), 45 deg.</w:t></w:r>
</w:p>
<w:p>
<w:pPr><w:pStyle w:val="Normal"/></w:pPr>
<w:r><w:t xml:space="preserve">S. lat., which feed the river Senguerr, which flows to the</w:t></w:r>
</w:p>
<w:p>
<w:pPr><w:pStyle w:val="Normal"/></w:pPr>
<w:r><w:t xml:space="preserve">Atlantic.  Lake General Paz (66 sq. m.) on the eastern slope</w:t></w:r>
</w:p>
<w:p>
<w:pPr><w:pStyle w:val="Normal"/></w:pPr>
<w:r><w:t xml:space="preserve">of the Andes, at 44 deg.  S. lat., is the principal source of</w:t></w:r>
</w:p>
<w:p>
<w:pPr><w:pStyle w:val="Normal"/></w:pPr>
<w:r><w:t xml:space="preserve">the Palena river, which cuts all the Cordillera, while Lakes</w:t></w:r>
</w:p>
<w:p>
<w:pPr><w:pStyle w:val="Normal"/></w:pPr>
<w:r><w:t xml:space="preserve">Fetalauquen (20 sq. m.) Menendez (28 sq. m.), Rivadavia (10</w:t></w:r>
</w:p>
<w:p>
<w:pPr><w:pStyle w:val="Normal"/></w:pPr>
<w:r><w:t xml:space="preserve">sq. m.), and other smaller lakes, also situated between 43 deg.</w:t></w:r>
</w:p>
<w:p>
<w:pPr><w:pStyle w:val="Normal"/></w:pPr>
<w:r><w:t xml:space="preserve">30&apos;, and 42 deg.  30&apos; S. lat. on the eastern slope send their</w:t></w:r>
</w:p>
<w:p>
<w:pPr><w:pStyle w:val="Normal"/></w:pPr>
<w:r><w:t xml:space="preserve">waters to the Pacific by the river Fetaleufu which cuts</w:t></w:r>
</w:p>
<w:p>
<w:pPr><w:pStyle w:val="Normal"/></w:pPr>
<w:r><w:t xml:space="preserve">through the Andes by a narrow gorge.  The waters of Lake</w:t></w:r>
</w:p>
<w:p>
<w:pPr><w:pStyle w:val="Normal"/></w:pPr>
<w:r><w:t xml:space="preserve">Puelo (18 sq. m.) likewise flow into the same ocean through</w:t></w:r>
</w:p>
<w:p>
<w:pPr><w:pStyle w:val="Normal"/></w:pPr>
<w:r><w:t xml:space="preserve">the river of that name, which also cuts the Cordillera, and</w:t></w:r>
</w:p>
<w:p>
<w:pPr><w:pStyle w:val="Normal"/></w:pPr>
<w:r><w:t xml:space="preserve">of which the principal affluent likewise drains the waters</w:t></w:r>
</w:p>
<w:p>
<w:pPr><w:pStyle w:val="Normal"/></w:pPr>
<w:r><w:t xml:space="preserve">of a system of small lakes, the largest of which, Lake</w:t></w:r>
</w:p>
<w:p>
<w:pPr><w:pStyle w:val="Normal"/></w:pPr>
<w:r><w:t xml:space="preserve">Mascardi, measures 17 sq. m., which in comparatively recent</w:t></w:r>
</w:p>
<w:p>
<w:pPr><w:pStyle w:val="Normal"/></w:pPr>
<w:r><w:t xml:space="preserve">times formed part of the basin of Lake Nahuel Huapi (207 sq.</w:t></w:r>
</w:p>
<w:p>
<w:pPr><w:pStyle w:val="Normal"/></w:pPr>
<w:r><w:t xml:space="preserve">m.), 41 deg.  S. lat.  An extensive area of glacial deposits</w:t></w:r>
</w:p>
<w:p>
<w:pPr><w:pStyle w:val="Normal"/></w:pPr>
<w:r><w:t xml:space="preserve">shows that a sheet of ice formerly covered the whole eastern</w:t></w:r>
</w:p>
<w:p>
<w:pPr><w:pStyle w:val="Normal"/></w:pPr>
<w:r><w:t xml:space="preserve">slope to a great distance from the mountains.  To the west</w:t></w:r>
</w:p>
<w:p>
<w:pPr><w:pStyle w:val="Normal"/></w:pPr>
<w:r><w:t xml:space="preserve">another sheet reached at the same time the Pacific Ocean.</w:t></w:r>
</w:p>
<w:p>
<w:pPr><w:pStyle w:val="Normal"/></w:pPr>
<w:r><w:t xml:space="preserve">From the Strait of Magellan up to 52 deg.  S. lat., the western</w:t></w:r>
</w:p>
<w:p>
<w:pPr><w:pStyle w:val="Normal"/></w:pPr>
<w:r><w:t xml:space="preserve">slope of the Cordillera does not, properly speaking, exist.</w:t></w:r>
</w:p>
<w:p>
<w:pPr><w:pStyle w:val="Normal"/></w:pPr>
<w:r><w:t xml:space="preserve">Abrupt walls overlook the Pacific, and great longitudinal and</w:t></w:r>
</w:p>
<w:p>
<w:pPr><w:pStyle w:val="Normal"/></w:pPr>
<w:r><w:t xml:space="preserve">transversal channels and fjords run right through the heart of the</w:t></w:r>
</w:p>
<w:p>
<w:pPr><w:pStyle w:val="Normal"/></w:pPr>
<w:r><w:t xml:space="preserve">range, cutting it generally in a direction more or less oblique</w:t></w:r>
</w:p>
<w:p>
<w:pPr><w:pStyle w:val="Normal"/></w:pPr>
<w:r><w:t xml:space="preserve">to its axis, the result of movements of the earth&apos;s crust.</w:t></w:r>
</w:p>
<w:p>
<w:pPr><w:pStyle w:val="Normal"/></w:pPr>
<w:r><w:t xml:space="preserve">The mountains forming the Cordillera between Magellan Strait</w:t></w:r>
</w:p>
<w:p>
<w:pPr><w:pStyle w:val="Normal"/></w:pPr>
<w:r><w:t xml:space="preserve">and 41 deg.  S. lat. are higher than those previously mentioned</w:t></w:r>
</w:p>
<w:p>
<w:pPr><w:pStyle w:val="Normal"/></w:pPr>
<w:r><w:t xml:space="preserve">in Tierra del Fuego.  Generally composed of granite, gneiss</w:t></w:r>
</w:p>
<w:p>
<w:pPr><w:pStyle w:val="Normal"/></w:pPr>
<w:r><w:t xml:space="preserve">and Palaeozoic rocks, covered in many parts by rugged masses</w:t></w:r>
</w:p>
<w:p>
<w:pPr><w:pStyle w:val="Normal"/></w:pPr>
<w:r><w:t xml:space="preserve">of volcanic origin, their general height is not less than</w:t></w:r>
</w:p>
<w:p>
<w:pPr><w:pStyle w:val="Normal"/></w:pPr>
<w:r><w:t xml:space="preserve">6500 ft., while Mount Geikie is 7500 ft. and Mount Stokes</w:t></w:r>
</w:p>
<w:p>
<w:pPr><w:pStyle w:val="Normal"/></w:pPr>
<w:r><w:t xml:space="preserve">7100ft.  To the north are Mounts Mayo (7600 ft.), Agassiz</w:t></w:r>
</w:p>
<w:p>
<w:pPr><w:pStyle w:val="Normal"/></w:pPr>
<w:r><w:t xml:space="preserve">(10,600 ft.), and Fitzroy, in 49 deg.  S. lat. (11,120 ft.).  The</w:t></w:r>
</w:p>
<w:p>
<w:pPr><w:pStyle w:val="Normal"/></w:pPr>
<w:r><w:t xml:space="preserve">section from 52 deg.  to 48 deg.  S. lat. is a continuous ice-capped</w:t></w:r>
</w:p>
<w:p>
<w:pPr><w:pStyle w:val="Normal"/></w:pPr>
<w:r><w:t xml:space="preserve">mountain range, and some of the glaciers extend from the</w:t></w:r>
</w:p>
<w:p>
<w:pPr><w:pStyle w:val="Normal"/></w:pPr>
<w:r><w:t xml:space="preserve">eastern lakes to the western channels, where they reach the</w:t></w:r>
</w:p>
<w:p>
<w:pPr><w:pStyle w:val="Normal"/></w:pPr>
<w:r><w:t xml:space="preserve">sea-level.  The level of the lakes begins at 130 ft. at Lake</w:t></w:r>
</w:p>
<w:p>
<w:pPr><w:pStyle w:val="Normal"/></w:pPr>
<w:r><w:t xml:space="preserve">Maravilla and gradually ascends to nearly 700 ft. at Lake San</w:t></w:r>
</w:p>
<w:p>
<w:pPr><w:pStyle w:val="Normal"/></w:pPr>
<w:r><w:t xml:space="preserve">Martin.  Passing the breach through which Lake San Martin</w:t></w:r>
</w:p>
<w:p>
<w:pPr><w:pStyle w:val="Normal"/></w:pPr>
<w:r><w:t xml:space="preserve">empties itself into Calen Inlet, in 48 deg.  S. lat., is found a wide</w:t></w:r>
</w:p>
<w:p>
<w:pPr><w:pStyle w:val="Normal"/></w:pPr>
<w:r><w:t xml:space="preserve">oblique opening in the range, through which flows the river Las</w:t></w:r>
</w:p>
<w:p>
<w:pPr><w:pStyle w:val="Normal"/></w:pPr>
<w:r><w:t xml:space="preserve">Heras, fed by Lake Pueyrredon, which is only 410 ft. above the</w:t></w:r>
</w:p>
<w:p>
<w:pPr><w:pStyle w:val="Normal"/></w:pPr>
<w:r><w:t xml:space="preserve">sea-level to the east of the Andes, while Lake Buenos Aires,</w:t></w:r>
</w:p>
<w:p>
<w:pPr><w:pStyle w:val="Normal"/></w:pPr>
<w:r><w:t xml:space="preserve">immediately to the north, is 710 ft.  The Andes continue to be</w:t></w:r>
</w:p>
<w:p>
<w:pPr><w:pStyle w:val="Normal"/></w:pPr>
<w:r><w:t xml:space="preserve">to the west an enormous rugged mass of ice and snow of an average</w:t></w:r>
</w:p>
<w:p>
<w:pPr><w:pStyle w:val="Normal"/></w:pPr>
<w:r><w:t xml:space="preserve">height of 9000 ft., sending glaciers to all the eastern fjords.</w:t></w:r>
</w:p>
<w:p>
<w:pPr><w:pStyle w:val="Normal"/></w:pPr>
<w:r><w:t xml:space="preserve">Mount San Lorenzo, detached from the main chain in the</w:t></w:r>
</w:p>
<w:p>
<w:pPr><w:pStyle w:val="Normal"/></w:pPr>
<w:r><w:t xml:space="preserve">Pre-Cordillera, is 11,800 ft. high.  Mount San Valentin</w:t></w:r>
</w:p>
<w:p>
<w:pPr><w:pStyle w:val="Normal"/></w:pPr>
<w:r><w:t xml:space="preserve">(12,700 ft.) is the culminating point of the Andes in the</w:t></w:r>
</w:p>
<w:p>
<w:pPr><w:pStyle w:val="Normal"/></w:pPr>
<w:r><w:t xml:space="preserve">region extending from 49 deg.  to 46 deg.  S. lat., a little north of</w:t></w:r>
</w:p>
<w:p>
<w:pPr><w:pStyle w:val="Normal"/></w:pPr>
<w:r><w:t xml:space="preserve">which is the river Huemules which is followed by the breach</w:t></w:r>
</w:p>
<w:p>
<w:pPr><w:pStyle w:val="Normal"/></w:pPr>
<w:r><w:t xml:space="preserve">of the river Aisen.  These two rivers have emptied a large</w:t></w:r>
</w:p>
<w:p>
<w:pPr><w:pStyle w:val="Normal"/></w:pPr>
<w:r><w:t xml:space="preserve">system of lakes, which in pre-Glacial times occupied the</w:t></w:r>
</w:p>
<w:p>
<w:pPr><w:pStyle w:val="Normal"/></w:pPr>
<w:r><w:t xml:space="preserve">eastern zone, thus forming a region suitable for colonization</w:t></w:r>
</w:p>
<w:p>
<w:pPr><w:pStyle w:val="Normal"/></w:pPr>
<w:r><w:t xml:space="preserve">in the broad valleys and hollows, where the rivers, as in</w:t></w:r>
</w:p>
<w:p>
<w:pPr><w:pStyle w:val="Normal"/></w:pPr>
<w:r><w:t xml:space="preserve">the case with those in the north, cut through the Andes by</w:t></w:r>
</w:p>
<w:p>
<w:pPr><w:pStyle w:val="Normal"/></w:pPr>
<w:r><w:t xml:space="preserve">narrow gaps, forming cataracts and rapids between the snowy</w:t></w:r>
</w:p>
<w:p>
<w:pPr><w:pStyle w:val="Normal"/></w:pPr>
<w:r><w:t xml:space="preserve">peaks.  Volcanic action is still going on in these latitudes,</w:t></w:r>
</w:p>
<w:p>
<w:pPr><w:pStyle w:val="Normal"/></w:pPr>
<w:r><w:t xml:space="preserve">as the glaciers are at times covered by ashes, but the</w:t></w:r>
</w:p>
<w:p>
<w:pPr><w:pStyle w:val="Normal"/></w:pPr>
<w:r><w:t xml:space="preserve">predominant rocks to the east are the Tertiary granite,</w:t></w:r>
</w:p>
<w:p>
<w:pPr><w:pStyle w:val="Normal"/></w:pPr>
<w:r><w:t xml:space="preserve">while to the west gneiss, older granite and Palaeozoic rocks</w:t></w:r>
</w:p>
<w:p>
<w:pPr><w:pStyle w:val="Normal"/></w:pPr>
<w:r><w:t xml:space="preserve">prevail.  The highest peaks, however, seem to be of volcanic</w:t></w:r>
</w:p>
<w:p>
<w:pPr><w:pStyle w:val="Normal"/></w:pPr>
<w:r><w:t xml:space="preserve">origin.  Farther north, up to 41 deg.  S. lat., the water gaps are</w:t></w:r>
</w:p>
<w:p>
<w:pPr><w:pStyle w:val="Normal"/></w:pPr>
<w:r><w:t xml:space="preserve">situated at a lesser distance one from the other, owing mainly</w:t></w:r>
</w:p>
<w:p>
<w:pPr><w:pStyle w:val="Normal"/></w:pPr>
<w:r><w:t xml:space="preserve">to more continuous erosion, this section of the continent</w:t></w:r>
</w:p>
<w:p>
<w:pPr><w:pStyle w:val="Normal"/></w:pPr>
<w:r><w:t xml:space="preserve">being the region of the maximum rainfall on the western</w:t></w:r>
</w:p>
<w:p>
<w:pPr><w:pStyle w:val="Normal"/></w:pPr>
<w:r><w:t xml:space="preserve">coast to the south of the equator.  Between the gaps of the</w:t></w:r>
</w:p>
<w:p>
<w:pPr><w:pStyle w:val="Normal"/></w:pPr>
<w:r><w:t xml:space="preserve">river Aisen and river Cisnes or Frias, which also pierces the</w:t></w:r>
</w:p>
<w:p>
<w:pPr><w:pStyle w:val="Normal"/></w:pPr>
<w:r><w:t xml:space="preserve">chain, is found a huge mountain mass, in which is situated</w:t></w:r>
</w:p>
<w:p>
<w:pPr><w:pStyle w:val="Normal"/></w:pPr>
<w:r><w:t xml:space="preserve">Mount la Torre (7150 ft.).  These form the continental</w:t></w:r>
</w:p>
<w:p>
<w:pPr><w:pStyle w:val="Normal"/></w:pPr>
<w:r><w:t xml:space="preserve">watershed, but in this region erosion is taking place so</w:t></w:r>
</w:p>
<w:p>
<w:pPr><w:pStyle w:val="Normal"/></w:pPr>
<w:r><w:t xml:space="preserve">rapidly that the day is not far distant when Lakes La Plata and</w:t></w:r>
</w:p>
<w:p>
<w:pPr><w:pStyle w:val="Normal"/></w:pPr>
<w:r><w:t xml:space="preserve">Fontana, situated to the east at a height of 3000 ft. and now</w:t></w:r>
</w:p>
<w:p>
<w:pPr><w:pStyle w:val="Normal"/></w:pPr>
<w:r><w:t xml:space="preserve">tributaries of the Atlantic, may become tributaries of the</w:t></w:r>
</w:p>
<w:p>
<w:pPr><w:pStyle w:val="Normal"/></w:pPr>
<w:r><w:t xml:space="preserve">Pacific.  Already filtrations from the former go to feed</w:t></w:r>
</w:p>
<w:p>
<w:pPr><w:pStyle w:val="Normal"/></w:pPr>
<w:r><w:t xml:space="preserve">western affluents through the granitic masses.  To the north</w:t></w:r>
</w:p>
<w:p>
<w:pPr><w:pStyle w:val="Normal"/></w:pPr>
<w:r><w:t xml:space="preserve">of Mount la Torre flows in the river Cisnes, 44 deg.  48&apos; S. lat.,</w:t></w:r>
</w:p>
<w:p>
<w:pPr><w:pStyle w:val="Normal"/></w:pPr>
<w:r><w:t xml:space="preserve">across another water gap, continuing the range to the north</w:t></w:r>
</w:p>
<w:p>
<w:pPr><w:pStyle w:val="Normal"/></w:pPr>
<w:r><w:t xml:space="preserve">with high peaks, as Alto Nevado (7350 ft.) and Cacique (7000</w:t></w:r>
</w:p>
<w:p>
<w:pPr><w:pStyle w:val="Normal"/></w:pPr>
<w:r><w:t xml:space="preserve">ft.).  The glaciers reach almost the western channels, as is</w:t></w:r>
</w:p>
<w:p>
<w:pPr><w:pStyle w:val="Normal"/></w:pPr>
<w:r><w:t xml:space="preserve">the case at the river Quelal.  The northern glaciers, descending</w:t></w:r>
</w:p>
<w:p>
<w:pPr><w:pStyle w:val="Normal"/></w:pPr>
<w:r><w:t xml:space="preserve">nearly to sea- level, are situated at 43 deg.  40&apos; S. lat.  To</w:t></w:r>
</w:p>
<w:p>
<w:pPr><w:pStyle w:val="Normal"/></w:pPr>
<w:r><w:t xml:space="preserve">the north 45 deg.  S. lat. a well-defined western longitudinal</w:t></w:r>
</w:p>
<w:p>
<w:pPr><w:pStyle w:val="Normal"/></w:pPr>
<w:r><w:t xml:space="preserve">valley, at some recent time occupied by lakes and rivers,</w:t></w:r>
</w:p>
<w:p>
<w:pPr><w:pStyle w:val="Normal"/></w:pPr>
<w:r><w:t xml:space="preserve">divides the Cordillera into two chains, the eastern being</w:t></w:r>
</w:p>
<w:p>
<w:pPr><w:pStyle w:val="Normal"/></w:pPr>
<w:r><w:t xml:space="preserve">the main chain, to which belong Mounts Alto Nevado, Cacique,</w:t></w:r>
</w:p>
<w:p>
<w:pPr><w:pStyle w:val="Normal"/></w:pPr>
<w:r><w:t xml:space="preserve">Dentista, Maldonado, Serrano, each over 7000 ft. high; and</w:t></w:r>
</w:p>
<w:p>
<w:pPr><w:pStyle w:val="Normal"/></w:pPr>
<w:r><w:t xml:space="preserve">Torrecillas (7400 ft.), Ventisquero (7500 ft.), and Tronador</w:t></w:r>
</w:p>
<w:p>
<w:pPr><w:pStyle w:val="Normal"/></w:pPr>
<w:r><w:t xml:space="preserve">(11,180 ft.); while the western chain, broken into imposing</w:t></w:r>
</w:p>
<w:p>
<w:pPr><w:pStyle w:val="Normal"/></w:pPr>
<w:r><w:t xml:space="preserve">blocks, contains several high volcanic peaks such as Mounts</w:t></w:r>
</w:p>
<w:p>
<w:pPr><w:pStyle w:val="Normal"/></w:pPr>
<w:r><w:t xml:space="preserve">Tanteles, Corcovado, Minchimahuida, Hornopiren and Yates.  The</w:t></w:r>
</w:p>
<w:p>
<w:pPr><w:pStyle w:val="Normal"/></w:pPr>
<w:r><w:t xml:space="preserve">rivers Palena, with its two branches, Pico and Carrenleufu,</w:t></w:r>
</w:p>
<w:p>
<w:pPr><w:pStyle w:val="Normal"/></w:pPr>
<w:r><w:t xml:space="preserve">Fetaleufu, Puelo and Manso cut the two chains, while the rivers</w:t></w:r>
</w:p>
<w:p>
<w:pPr><w:pStyle w:val="Normal"/></w:pPr>
<w:r><w:t xml:space="preserve">Renihue, Bodadahue and Cochamo have their sources in the main</w:t></w:r>
</w:p>
<w:p>
<w:pPr><w:pStyle w:val="Normal"/></w:pPr>
<w:r><w:t xml:space="preserve">eastern ridge.  Mention has been made of active volcanoes in</w:t></w:r>
</w:p>
<w:p>
<w:pPr><w:pStyle w:val="Normal"/></w:pPr>
<w:r><w:t xml:space="preserve">51 deg. , 49 deg.  and 47 deg.  S. lat., but these have not been properly</w:t></w:r>
</w:p>
<w:p>
<w:pPr><w:pStyle w:val="Normal"/></w:pPr>
<w:r><w:t xml:space="preserve">located.  The active volcanoes south of 41 deg. , concerning</w:t></w:r>
</w:p>
<w:p>
<w:pPr><w:pStyle w:val="Normal"/></w:pPr>
<w:r><w:t xml:space="preserve">which no doubt exists, are the Huequen, in 43 deg.  lat., and the</w:t></w:r>
</w:p>
<w:p>
<w:pPr><w:pStyle w:val="Normal"/></w:pPr>
<w:r><w:t xml:space="preserve">Calbuco, both of which have been in eruption in modern times.</w:t></w:r>
</w:p>
<w:p>
<w:pPr><w:pStyle w:val="Normal"/></w:pPr>
<w:r><w:t xml:space="preserve">The surroundings of Mount Tronador, consisting of Tertiary</w:t></w:r>
</w:p>
<w:p>
<w:pPr><w:pStyle w:val="Normal"/></w:pPr>
<w:r><w:t xml:space="preserve">granite and basalt, form one of the most interesting regions</w:t></w:r>
</w:p>
<w:p>
<w:pPr><w:pStyle w:val="Normal"/></w:pPr>
<w:r><w:t xml:space="preserve">in the Pataronian Andes for the mountaineers of the future.  To</w:t></w:r>
</w:p>
<w:p>
<w:pPr><w:pStyle w:val="Normal"/></w:pPr>
<w:r><w:t xml:space="preserve">the east extends the large and picturesque lake of Nahuel-Huapi,</w:t></w:r>
</w:p>
<w:p>
<w:pPr><w:pStyle w:val="Normal"/></w:pPr>
<w:r><w:t xml:space="preserve">to the west is Lake Todos Los Santos (50 sq. m.), to which</w:t></w:r>
</w:p>
<w:p>
<w:pPr><w:pStyle w:val="Normal"/></w:pPr>
<w:r><w:t xml:space="preserve">the access is easy and of which the scenery is of surpassing</w:t></w:r>
</w:p>
<w:p>
<w:pPr><w:pStyle w:val="Normal"/></w:pPr>
<w:r><w:t xml:space="preserve">beauty.  Between 41 deg.  and 38 deg.  S. lat., among other smaller</w:t></w:r>
</w:p>
<w:p>
<w:pPr><w:pStyle w:val="Normal"/></w:pPr>
<w:r><w:t xml:space="preserve">lakes, are Lakes Traful (45 sq. m.), Lacar (32 sq. m.),</w:t></w:r>
</w:p>
<w:p>
<w:pPr><w:pStyle w:val="Normal"/></w:pPr>
<w:r><w:t xml:space="preserve">which, properly belonging to the system of Atlantic lakes,</w:t></w:r>
</w:p>
<w:p>
<w:pPr><w:pStyle w:val="Normal"/></w:pPr>
<w:r><w:t xml:space="preserve">empties itself by the only water gap that occurs in this zone</w:t></w:r>
</w:p>
<w:p>
<w:pPr><w:pStyle w:val="Normal"/></w:pPr>
<w:r><w:t xml:space="preserve">of the Cordillera into the river Valdivia, a tributary of</w:t></w:r>
</w:p>
<w:p>
<w:pPr><w:pStyle w:val="Normal"/></w:pPr>
<w:r><w:t xml:space="preserve">the Pacific, Lake Lolog (15 sq. m.), Huechu-lafquen (45 sq.</w:t></w:r>
</w:p>
<w:p>
<w:pPr><w:pStyle w:val="Normal"/></w:pPr>
<w:r><w:t xml:space="preserve">m.), and Lake Alumine (21 sq. m.).  The volcanoes of Lanin</w:t></w:r>
</w:p>
<w:p>
<w:pPr><w:pStyle w:val="Normal"/></w:pPr>
<w:r><w:t xml:space="preserve">(12,140 ft.), Quetropillan (9180 ft.), Villarica (10,400 ft.),</w:t></w:r>
</w:p>
<w:p>
<w:pPr><w:pStyle w:val="Normal"/></w:pPr>
<w:r><w:t xml:space="preserve">Yaimas and Tolhuaca are all more or less active; the first</w:t></w:r>
</w:p>
<w:p>
<w:pPr><w:pStyle w:val="Normal"/></w:pPr>
<w:r><w:t xml:space="preserve">is in the main chain, while the others are on the western</w:t></w:r>
</w:p>
<w:p>
<w:pPr><w:pStyle w:val="Normal"/></w:pPr>
<w:r><w:t xml:space="preserve">slope.  The scenery in the neighbourhood is magnificent, the</w:t></w:r>
</w:p>
<w:p>
<w:pPr><w:pStyle w:val="Normal"/></w:pPr>
<w:r><w:t xml:space="preserve">snowy cones rising from amidst woods of araucaria, and being</w:t></w:r>
</w:p>
<w:p>
<w:pPr><w:pStyle w:val="Normal"/></w:pPr>
<w:r><w:t xml:space="preserve">surrounded by blue lakes.  While the scenery of the western</w:t></w:r>
</w:p>
<w:p>
<w:pPr><w:pStyle w:val="Normal"/></w:pPr>
<w:r><w:t xml:space="preserve">slope of the Andes is exceedingly grand, with its deep fjords,</w:t></w:r>
</w:p>
<w:p>
<w:pPr><w:pStyle w:val="Normal"/></w:pPr>
<w:r><w:t xml:space="preserve">glaciers and woods, yet the severity of its climate detracts</w:t></w:r>
</w:p>
<w:p>
<w:pPr><w:pStyle w:val="Normal"/></w:pPr>
<w:r><w:t xml:space="preserve">considerably from its charm.  The climate of the eastern</w:t></w:r>
</w:p>
<w:p>
<w:pPr><w:pStyle w:val="Normal"/></w:pPr>
<w:r><w:t xml:space="preserve">slope, however, is milder, the landscapes are magnificent, with</w:t></w:r>
</w:p>
<w:p>
<w:pPr><w:pStyle w:val="Normal"/></w:pPr>
<w:r><w:t xml:space="preserve">wooded valleys and beautiful lakes.  The valleys are already</w:t></w:r>
</w:p>
<w:p>
<w:pPr><w:pStyle w:val="Normal"/></w:pPr>
<w:r><w:t xml:space="preserve">partly settled by colonists.  Between 52 deg.  and 40 deg.  S. lat.</w:t></w:r>
</w:p>
<w:p>
<w:pPr><w:pStyle w:val="Normal"/></w:pPr>
<w:r><w:t xml:space="preserve">erosion has carried the watershed of the continent from the</w:t></w:r>
</w:p>
<w:p>
<w:pPr><w:pStyle w:val="Normal"/></w:pPr>
<w:r><w:t xml:space="preserve">summit of the Cordillera to the eastern plains of Patagonia.</w:t></w:r>
</w:p>
<w:p>
<w:pPr><w:pStyle w:val="Normal"/></w:pPr>
<w:r><w:t xml:space="preserve">From 40 deg.  S. southward the Chile-Argentine Boundary Commission</w:t></w:r>
</w:p>
<w:p>
<w:pPr><w:pStyle w:val="Normal"/></w:pPr>
<w:r><w:t xml:space="preserve">under Sir T. H. Holdich carried out important investigations in</w:t></w:r>
</w:p>
<w:p>
<w:pPr><w:pStyle w:val="Normal"/></w:pPr>
<w:r><w:t xml:space="preserve">1902; and between 38 deg.  and 33 deg.  S. lat. the Andes were somewhat</w:t></w:r>
</w:p>
<w:p>
<w:pPr><w:pStyle w:val="Normal"/></w:pPr>
<w:r><w:t xml:space="preserve">extensively explored about the close of the 19th century by</w:t></w:r>
</w:p>
<w:p>
<w:pPr><w:pStyle w:val="Normal"/></w:pPr>
<w:r><w:t xml:space="preserve">Argentine and Chilean Commissions.  The highest peaks in the</w:t></w:r>
</w:p>
<w:p>
<w:pPr><w:pStyle w:val="Normal"/></w:pPr>
<w:r><w:t xml:space="preserve">latter section are volcanic and their eruptions have sensibly</w:t></w:r>
</w:p>
<w:p>
<w:pPr><w:pStyle w:val="Normal"/></w:pPr>
<w:r><w:t xml:space="preserve">modified the character of the primitive ridges.  Outflows</w:t></w:r>
</w:p>
<w:p>
<w:pPr><w:pStyle w:val="Normal"/></w:pPr>
<w:r><w:t xml:space="preserve">of lava and tufa cover the mountain sides and fill up the</w:t></w:r>
</w:p>
<w:p>
<w:pPr><w:pStyle w:val="Normal"/></w:pPr>
<w:r><w:t xml:space="preserve">valleys.  The Jurassic and Cretaceous formations, which in</w:t></w:r>
</w:p>
<w:p>
<w:pPr><w:pStyle w:val="Normal"/></w:pPr>
<w:r><w:t xml:space="preserve">the Southern Cordillera are situated outside of the range</w:t></w:r>
</w:p>
<w:p>
<w:pPr><w:pStyle w:val="Normal"/></w:pPr>
<w:r><w:t xml:space="preserve">to the east, form to a considerable extent the mass of the</w:t></w:r>
</w:p>
<w:p>
<w:pPr><w:pStyle w:val="Normal"/></w:pPr>
<w:r><w:t xml:space="preserve">great range, together with quartz porphyry, the Tertiary,</w:t></w:r>
</w:p>
<w:p>
<w:pPr><w:pStyle w:val="Normal"/></w:pPr>
<w:r><w:t xml:space="preserve">granite and other eruptive rocks, which have been observed</w:t></w:r>
</w:p>
<w:p>
<w:pPr><w:pStyle w:val="Normal"/></w:pPr>
<w:r><w:t xml:space="preserve">along all the chain in South America up to Alaska in the</w:t></w:r>
</w:p>
<w:p>
<w:pPr><w:pStyle w:val="Normal"/></w:pPr>
<w:r><w:t xml:space="preserve">north.  Gneiss is seldom met with, but there are crystalline</w:t></w:r>
</w:p>
<w:p>
<w:pPr><w:pStyle w:val="Normal"/></w:pPr>
<w:r><w:t xml:space="preserve">rocks, belonging chiefly to the pre-Cordillera of the eastern</w:t></w:r>
</w:p>
<w:p>
<w:pPr><w:pStyle w:val="Normal"/></w:pPr>
<w:r><w:t xml:space="preserve">and to the Cordillera de la Costa on the western side.</w:t></w:r>
</w:p>
<w:p>
<w:pPr><w:pStyle w:val="Normal"/></w:pPr>
<w:r><w:t xml:space="preserve">Chile-Argentina from 38 deg.  S. northward.</w:t></w:r>
</w:p>
<w:p>
<w:pPr><w:pStyle w:val="Normal"/></w:pPr>
<w:r><w:t xml:space="preserve">About 38 deg.  S. the Andes take a great transversal extension;</w:t></w:r>
</w:p>
<w:p>
<w:pPr><w:pStyle w:val="Normal"/></w:pPr>
<w:r><w:t xml:space="preserve">there are no wide intermediate valleys between the different</w:t></w:r>
</w:p>
<w:p>
<w:pPr><w:pStyle w:val="Normal"/></w:pPr>
<w:r><w:t xml:space="preserve">ridges but the main ridge is perfectly defined.  Volcanic</w:t></w:r>
</w:p>
<w:p>
<w:pPr><w:pStyle w:val="Normal"/></w:pPr>
<w:r><w:t xml:space="preserve">cones continue to predominate, the old crystalline rocks</w:t></w:r>
</w:p>
<w:p>
<w:pPr><w:pStyle w:val="Normal"/></w:pPr>
<w:r><w:t xml:space="preserve">almost disappear, while the Mesozoic rocks are most</w:t></w:r>
</w:p>
<w:p>
<w:pPr><w:pStyle w:val="Normal"/></w:pPr>
<w:r><w:t xml:space="preserve">common.  The higher peaks are in the main chain, while</w:t></w:r>
</w:p>
<w:p>
<w:pPr><w:pStyle w:val="Normal"/></w:pPr>
<w:r><w:t xml:space="preserve">the Domuyo (15,317 ft.) belongs to a lateral eastern</w:t></w:r>
</w:p>
<w:p>
<w:pPr><w:pStyle w:val="Normal"/></w:pPr>
<w:r><w:t xml:space="preserve">ridge.  The principal peaks between this and Mount Tupungato</w:t></w:r>
</w:p>
<w:p>
<w:pPr><w:pStyle w:val="Normal"/></w:pPr>
<w:r><w:t xml:space="preserve">at 33 deg.  S. lat. are: Mount Cochico (8255 ft.), Campanario,</w:t></w:r>
</w:p>
<w:p>
<w:pPr><w:pStyle w:val="Normal"/></w:pPr>
<w:r><w:t xml:space="preserve">(13,140 ft.), Peteroa (13,297 ft.), Tinguiririca, Castillo</w:t></w:r>
</w:p>
<w:p>
<w:pPr><w:pStyle w:val="Normal"/></w:pPr>
<w:r><w:t xml:space="preserve">(16,535 ft.), Volcano Maipu (17,576 ft.), Alvarado (14,600</w:t></w:r>
</w:p>
<w:p>
<w:pPr><w:pStyle w:val="Normal"/></w:pPr>
<w:r><w:t xml:space="preserve">ft.), Amarillo (15,321 ft.), Volcano San Jose (19,849 ft.),</w:t></w:r>
</w:p>
<w:p>
<w:pPr><w:pStyle w:val="Normal"/></w:pPr>
<w:r><w:t xml:space="preserve">Piuquenes (17,815 ft.), and Volcano Bravard (19,619 ft.).</w:t></w:r>
</w:p>
<w:p>
<w:pPr><w:pStyle w:val="Normal"/></w:pPr>
<w:r><w:t xml:space="preserve">North of Maipu volcano, ascended by R. P. Gussfeldt in</w:t></w:r>
</w:p>
<w:p>
<w:pPr><w:pStyle w:val="Normal"/></w:pPr>
<w:r><w:t xml:space="preserve">1883, the Cordillera is composed of two huge principal ridges</w:t></w:r>
</w:p>
<w:p>
<w:pPr><w:pStyle w:val="Normal"/></w:pPr>
<w:r><w:t xml:space="preserve">which unite and terminate in the neighbourhood of Mount</w:t></w:r>
</w:p>
<w:p>
<w:pPr><w:pStyle w:val="Normal"/></w:pPr>
<w:r><w:t xml:space="preserve">Tupungato.  The valley between them is 9000 ft. high; and in</w:t></w:r>
</w:p>
<w:p>
<w:pPr><w:pStyle w:val="Normal"/></w:pPr>
<w:r><w:t xml:space="preserve">that part of the Cordillera are situated the highest passes</w:t></w:r>
</w:p>
<w:p>
<w:pPr><w:pStyle w:val="Normal"/></w:pPr>
<w:r><w:t xml:space="preserve">south of 33 deg.  S. lat., one of which, the Piuquenes Pass,</w:t></w:r>
</w:p>
<w:p>
<w:pPr><w:pStyle w:val="Normal"/></w:pPr>
<w:r><w:t xml:space="preserve">reaches 13,333 ft., whilst the easiest of transit and almost</w:t></w:r>
</w:p>
<w:p>
<w:pPr><w:pStyle w:val="Normal"/></w:pPr>
<w:r><w:t xml:space="preserve">the lowest is that of Pichachen (6505 ft.), which is the most</w:t></w:r>
</w:p>
<w:p>
<w:pPr><w:pStyle w:val="Normal"/></w:pPr>
<w:r><w:t xml:space="preserve">frequented during winter.  Mount Tupungato reaches 22,329</w:t></w:r>
</w:p>
<w:p>
<w:pPr><w:pStyle w:val="Normal"/></w:pPr>
<w:r><w:t xml:space="preserve">ft., according to Argentine measurement.  To the north of this</w:t></w:r>
</w:p>
<w:p>
<w:pPr><w:pStyle w:val="Normal"/></w:pPr>
<w:r><w:t xml:space="preserve">mountain, situated at the watershed of the Andes, extends</w:t></w:r>
</w:p>
<w:p>
<w:pPr><w:pStyle w:val="Normal"/></w:pPr>
<w:r><w:t xml:space="preserve">a lofty region comprising peaks such as Chimbote (18,645</w:t></w:r>
</w:p>
<w:p>
<w:pPr><w:pStyle w:val="Normal"/></w:pPr>
<w:r><w:t xml:space="preserve">ft.) and Mount Polleras (20,266 ft.).  The Pircas Pass is</w:t></w:r>
</w:p>
<w:p>
<w:pPr><w:pStyle w:val="Normal"/></w:pPr>
<w:r><w:t xml:space="preserve">situated at a height of 16,962 ft.  The gaps of Bermejo and</w:t></w:r>
</w:p>
<w:p>
<w:pPr><w:pStyle w:val="Normal"/></w:pPr>
<w:r><w:t xml:space="preserve">Iglesia, in the Uspallata road, the best known of all the</w:t></w:r>
</w:p>
<w:p>
<w:pPr><w:pStyle w:val="Normal"/></w:pPr>
<w:r><w:t xml:space="preserve">passes between Argentina and Chile, are at 13,025 ft. and</w:t></w:r>
</w:p>
<w:p>
<w:pPr><w:pStyle w:val="Normal"/></w:pPr>
<w:r><w:t xml:space="preserve">13,412 ft. altitude respectively, while the nearest peaks,</w:t></w:r>
</w:p>
<w:p>
<w:pPr><w:pStyle w:val="Normal"/></w:pPr>
<w:r><w:t xml:space="preserve">those of Juncal and Tolorsa, are 19,358 and 20,140 ft. high.</w:t></w:r>
</w:p>
<w:p>
<w:pPr><w:pStyle w:val="Normal"/></w:pPr>
<w:r><w:t xml:space="preserve">Mounts Tupungato, Aconcagua (23,393 ft.) and Mercedario</w:t></w:r>
</w:p>
<w:p>
<w:pPr><w:pStyle w:val="Normal"/></w:pPr>
<w:r><w:t xml:space="preserve">A. Alluvium G. Upper Jurassic Gypsum</w:t></w:r>
</w:p>
<w:p>
<w:pPr><w:pStyle w:val="Heading1"/></w:pPr>
<w:r><w:t>C. Cretaceous (including upper &amp; lower)         YV. Younger Volcanic Rocks</w:t></w:r>
</w:p>
<w:p>
<w:pPr><w:pStyle w:val="Normal"/></w:pPr>
<w:r><w:t xml:space="preserve">M. Upper Jurassic (Malm)    }                   OV. Older Volcanic Rocks</w:t></w:r>
</w:p>
<w:p>
<w:pPr><w:pStyle w:val="Normal"/></w:pPr>
<w:r><w:t xml:space="preserve">D. Middle Jurassic (Dogger) }mostly porphyrite  Di. Dioritic Rocks</w:t></w:r>
</w:p>
<w:p>
<w:pPr><w:pStyle w:val="Heading1"/></w:pPr>
<w:r><w:t>L. Liassic                  }porphyritic        X. Change of bearing in the</w:t></w:r>
</w:p>
<w:p>
<w:pPr><w:pStyle w:val="Normal"/></w:pPr>
<w:r><w:t xml:space="preserve">conglomerate          Sections</w:t></w:r>
</w:p>
<w:p>
<w:pPr><w:pStyle w:val="Normal"/></w:pPr>
<w:r><w:t xml:space="preserve">(21,982 ft.) are the highest peaks of the central Argentine-Chilean</w:t></w:r>
</w:p>
<w:p>
<w:pPr><w:pStyle w:val="Normal"/></w:pPr>
<w:r><w:t xml:space="preserve">Andes.  These three peaks are formed of eruptive rocks,</w:t></w:r>
</w:p>
<w:p>
<w:pPr><w:pStyle w:val="Normal"/></w:pPr>
<w:r><w:t xml:space="preserve">surrounded by Jurassic beds which have undergone a thorough</w:t></w:r>
</w:p>
<w:p>
<w:pPr><w:pStyle w:val="Normal"/></w:pPr>
<w:r><w:t xml:space="preserve">metamorphosis.  While in the west of the Andes, from the</w:t></w:r>
</w:p>
<w:p>
<w:pPr><w:pStyle w:val="Normal"/></w:pPr>
<w:r><w:t xml:space="preserve">latitude of Aconcagua, the central valley of Chile runs</w:t></w:r>
</w:p>
<w:p>
<w:pPr><w:pStyle w:val="Normal"/></w:pPr>
<w:r><w:t xml:space="preserve">without any notable interruption to the south end of the</w:t></w:r>
</w:p>
<w:p>
<w:pPr><w:pStyle w:val="Normal"/></w:pPr>
<w:r><w:t xml:space="preserve">continent, a valley which almost disappears to the north,</w:t></w:r>
</w:p>
<w:p>
<w:pPr><w:pStyle w:val="Normal"/></w:pPr>
<w:r><w:t xml:space="preserve">leaving only some rare inflexions which are considered by</w:t></w:r>
</w:p>
<w:p>
<w:pPr><w:pStyle w:val="Normal"/></w:pPr>
<w:r><w:t xml:space="preserve">Chilean geographers and geologists to be a continuation of</w:t></w:r>
</w:p>
<w:p>
<w:pPr><w:pStyle w:val="Normal"/></w:pPr>
<w:r><w:t xml:space="preserve">the same valley; to the east in Argentina a longitudinal</w:t></w:r>
</w:p>
<w:p>
<w:pPr><w:pStyle w:val="Normal"/></w:pPr>
<w:r><w:t xml:space="preserve">valley, perfectly characterized, runs along the eastern</w:t></w:r>
</w:p>
<w:p>
<w:pPr><w:pStyle w:val="Normal"/></w:pPr>
<w:r><w:t xml:space="preserve">foot of the Cordillera, separating this from the pre-</w:t></w:r>
</w:p>
<w:p>
<w:pPr><w:pStyle w:val="Normal"/></w:pPr>
<w:r><w:t xml:space="preserve">Cordillera, which is parallel to the Cordillera de la Costa of</w:t></w:r>
</w:p>
<w:p>
<w:pPr><w:pStyle w:val="Normal"/></w:pPr>
<w:r><w:t xml:space="preserve">Chile.  Between Aconcagua and Mercedario are the passes of</w:t></w:r>
</w:p>
<w:p>
<w:pPr><w:pStyle w:val="Normal"/></w:pPr>
<w:r><w:t xml:space="preserve">Espinacito (14,803 ft.) and Los Patos or Valle Hermoso (11,736</w:t></w:r>
</w:p>
<w:p>
<w:pPr><w:pStyle w:val="Normal"/></w:pPr>
<w:r><w:t xml:space="preserve">ft.), chosen by the Argentine General San Martin, when he</w:t></w:r>
</w:p>
<w:p>
<w:pPr><w:pStyle w:val="Normal"/></w:pPr>
<w:r><w:t xml:space="preserve">made his memorable passage across the chain during the War of</w:t></w:r>
</w:p>
<w:p>
<w:pPr><w:pStyle w:val="Normal"/></w:pPr>
<w:r><w:t xml:space="preserve">Independence.  North of Valle Hermoso the Andean ridges,</w:t></w:r>
</w:p>
<w:p>
<w:pPr><w:pStyle w:val="Normal"/></w:pPr>
<w:r><w:t xml:space="preserve">while very high, are not abrupt, and the passes are more</w:t></w:r>
</w:p>
<w:p>
<w:pPr><w:pStyle w:val="Normal"/></w:pPr>
<w:r><w:t xml:space="preserve">numerous than in the south; some of them descending 10,000</w:t></w:r>
</w:p>
<w:p>
<w:pPr><w:pStyle w:val="Normal"/></w:pPr>
<w:r><w:t xml:space="preserve">ft., but most of them between 13,000 and 14,000 ft.  The pass</w:t></w:r>
</w:p>
<w:p>
<w:pPr><w:pStyle w:val="Normal"/></w:pPr>
<w:r><w:t xml:space="preserve">of Quebrada Grande is 12,468 ft. in altitude; Cencerro, 12,944</w:t></w:r>
</w:p>
<w:p>
<w:pPr><w:pStyle w:val="Normal"/></w:pPr>
<w:r><w:t xml:space="preserve">ft.; Mercedario, 13,206 ft.; Ojota, 14,304 ft.; Pachon, 14,485</w:t></w:r>
</w:p>
<w:p>
<w:pPr><w:pStyle w:val="Normal"/></w:pPr>
<w:r><w:t xml:space="preserve">ft.; while Gordito is 10,318 ft.  Farther north the passes are</w:t></w:r>
</w:p>
<w:p>
<w:pPr><w:pStyle w:val="Normal"/></w:pPr>
<w:r><w:t xml:space="preserve">higher.  Barahona Pass is 15,092 ft.; Ternera, 15,912 ft.;</w:t></w:r>
</w:p>
<w:p>
<w:pPr><w:pStyle w:val="Normal"/></w:pPr>
<w:r><w:t xml:space="preserve">San Lorenzo, 16,420 ft., while the peak of the volcano</w:t></w:r>
</w:p>
<w:p>
<w:pPr><w:pStyle w:val="Normal"/></w:pPr>
<w:r><w:t xml:space="preserve">reaches 18,143 ft.; Mount Olivares, 20,472 ft.; Porongos,</w:t></w:r>
</w:p>
<w:p>
<w:pPr><w:pStyle w:val="Normal"/></w:pPr>
<w:r><w:t xml:space="preserve">19,488 ft.; Tortolas, 20,121 ft.; and Potro, 19,357 ft.</w:t></w:r>
</w:p>
<w:p>
<w:pPr><w:pStyle w:val="Normal"/></w:pPr>
<w:r><w:t xml:space="preserve">Bolivia.</w:t></w:r>
</w:p>
<w:p>
<w:pPr><w:pStyle w:val="Normal"/></w:pPr>
<w:r><w:t xml:space="preserve">As far as 28 deg.  S. lat. the Cordillera de los Andes has been</w:t></w:r>
</w:p>
<w:p>
<w:pPr><w:pStyle w:val="Normal"/></w:pPr>
<w:r><w:t xml:space="preserve">principally formed by two well-defined ridges, but to the</w:t></w:r>
</w:p>
<w:p>
<w:pPr><w:pStyle w:val="Normal"/></w:pPr>
<w:r><w:t xml:space="preserve">north, recent volcanic action has greatly modified its</w:t></w:r>
</w:p>
<w:p>
<w:pPr><w:pStyle w:val="Normal"/></w:pPr>
<w:r><w:t xml:space="preserve">orography.  Only a single line of passes characterizes the</w:t></w:r>
</w:p>
<w:p>
<w:pPr><w:pStyle w:val="Normal"/></w:pPr>
<w:r><w:t xml:space="preserve">main ridge, and amongst them are the passes of Ollita (15,026</w:t></w:r>
</w:p>
<w:p>
<w:pPr><w:pStyle w:val="Normal"/></w:pPr>
<w:r><w:t xml:space="preserve">ft.), Penas Negras (14,435 ft.), Pircas Negras (13,615 ft.),</w:t></w:r>
</w:p>
<w:p>
<w:pPr><w:pStyle w:val="Normal"/></w:pPr>
<w:r><w:t xml:space="preserve">La Gallina (I6,240 ft.), Tres Quebradas (15,535 ft.), and</w:t></w:r>
</w:p>
<w:p>
<w:pPr><w:pStyle w:val="Normal"/></w:pPr>
<w:r><w:t xml:space="preserve">Aguita (15,485 ft.).  To the north of Mount Potro the peaks</w:t></w:r>
</w:p>
<w:p>
<w:pPr><w:pStyle w:val="Normal"/></w:pPr>
<w:r><w:t xml:space="preserve">in the Cordillera are not very prominent as far as the great</w:t></w:r>
</w:p>
<w:p>
<w:pPr><w:pStyle w:val="Normal"/></w:pPr>
<w:r><w:t xml:space="preserve">mass of Tres Quebradas, but here are to be met with some</w:t></w:r>
</w:p>
<w:p>
<w:pPr><w:pStyle w:val="Normal"/></w:pPr>
<w:r><w:t xml:space="preserve">that may he considered as amongst the highest of the whole</w:t></w:r>
</w:p>
<w:p>
<w:pPr><w:pStyle w:val="Normal"/></w:pPr>
<w:r><w:t xml:space="preserve">range.  Mount Aguita is 20,600 ft., and the culminating</w:t></w:r>
</w:p>
<w:p>
<w:pPr><w:pStyle w:val="Normal"/></w:pPr>
<w:r><w:t xml:space="preserve">peak of those of Tres Cruces reaches 226,58 ft.  To the</w:t></w:r>
</w:p>
<w:p>
<w:pPr><w:pStyle w:val="Normal"/></w:pPr>
<w:r><w:t xml:space="preserve">east of the eastern longitudinal valley, at 27 deg.  S. lat.,</w:t></w:r>
</w:p>
<w:p>
<w:pPr><w:pStyle w:val="Normal"/></w:pPr>
<w:r><w:t xml:space="preserve">begins a high volcanic plateau between the Cordillera and</w:t></w:r>
</w:p>
<w:p>
<w:pPr><w:pStyle w:val="Normal"/></w:pPr>
<w:r><w:t xml:space="preserve">the southern prolongation of the Bolivian Cordillera Real,</w:t></w:r>
</w:p>
<w:p>
<w:pPr><w:pStyle w:val="Normal"/></w:pPr>
<w:r><w:t xml:space="preserve">which contains lofty summits, such as Mount Veladero ( 20,998</w:t></w:r>
</w:p>
<w:p>
<w:pPr><w:pStyle w:val="Normal"/></w:pPr>
<w:r><w:t xml:space="preserve">ft.), Mount Bonete (21,980), Mount Reclus (20,670), Mount</w:t></w:r>
</w:p>
<w:p>
<w:pPr><w:pStyle w:val="Normal"/></w:pPr>
<w:r><w:t xml:space="preserve">Pissis (22,146), Mount Ojo del Salado (21,653), and Incahuasi</w:t></w:r>
</w:p>
<w:p>
<w:pPr><w:pStyle w:val="Normal"/></w:pPr>
<w:r><w:t xml:space="preserve">(21,719).  To the north of Tres Cruces is a transversal</w:t></w:r>
</w:p>
<w:p>
<w:pPr><w:pStyle w:val="Normal"/></w:pPr>
<w:r><w:t xml:space="preserve">depression in the Cordillera, which is considered to be</w:t></w:r>
</w:p>
<w:p>
<w:pPr><w:pStyle w:val="Normal"/></w:pPr>
<w:r><w:t xml:space="preserve">the southern termination of the high plateau of the Puna de</w:t></w:r>
</w:p>
<w:p>
<w:pPr><w:pStyle w:val="Normal"/></w:pPr>
<w:r><w:t xml:space="preserve">Atacama.  The Cordillera of the Andes borders the Puna to the</w:t></w:r>
</w:p>
<w:p>
<w:pPr><w:pStyle w:val="Normal"/></w:pPr>
<w:r><w:t xml:space="preserve">west, while the Bolivian Cordillera Real bounds it to the</w:t></w:r>
</w:p>
<w:p>
<w:pPr><w:pStyle w:val="Normal"/></w:pPr>
<w:r><w:t xml:space="preserve">east.  In that region the Cordillera of the Andes is of</w:t></w:r>
</w:p>
<w:p>
<w:pPr><w:pStyle w:val="Normal"/></w:pPr>
<w:r><w:t xml:space="preserve">comparatively recent origin, being principally constituted</w:t></w:r>
</w:p>
<w:p>
<w:pPr><w:pStyle w:val="Normal"/></w:pPr>
<w:r><w:t xml:space="preserve">by a line of high volcanoes, the chief summits being those of</w:t></w:r>
</w:p>
<w:p>
<w:pPr><w:pStyle w:val="Normal"/></w:pPr>
<w:r><w:t xml:space="preserve">Juncal, Panteon de Aliste, Azufre or Listarria (18,636 ft.),</w:t></w:r>
</w:p>
<w:p>
<w:pPr><w:pStyle w:val="Normal"/></w:pPr>
<w:r><w:t xml:space="preserve">Llullaillaco (21,720), Miniques (19,357), Socompa (19,948),</w:t></w:r>
</w:p>
<w:p>
<w:pPr><w:pStyle w:val="Normal"/></w:pPr>
<w:r><w:t xml:space="preserve">Licancaur (19,685), Viscachuelas (20,605), Tapaquilcha (19,520),</w:t></w:r>
</w:p>
<w:p>
<w:pPr><w:pStyle w:val="Normal"/></w:pPr>
<w:r><w:t xml:space="preserve">Oyahua (19,242), Ancaquilcha (20,275), Olca (19,150), Mino</w:t></w:r>
</w:p>
<w:p>
<w:pPr><w:pStyle w:val="Normal"/></w:pPr>
<w:r><w:t xml:space="preserve">(20,112), Sillilica (21,100), Perinacota (20,918), Sagama</w:t></w:r>
</w:p>
<w:p>
<w:pPr><w:pStyle w:val="Normal"/></w:pPr>
<w:r><w:t xml:space="preserve">(22,339), Tacona (19,740), Misti (19,029); to the east</w:t></w:r>
</w:p>
<w:p>
<w:pPr><w:pStyle w:val="Normal"/></w:pPr>
<w:r><w:t xml:space="preserve">closes in the intermediary high plateau which begins at 28 deg.</w:t></w:r>
</w:p>
<w:p>
<w:pPr><w:pStyle w:val="Normal"/></w:pPr>
<w:r><w:t xml:space="preserve">S. lat. in Argentina.  The principal peaks of the Bolivian</w:t></w:r>
</w:p>
<w:p>
<w:pPr><w:pStyle w:val="Normal"/></w:pPr>
<w:r><w:t xml:space="preserve">Andes and its prolongation from south to north, are Famatina,</w:t></w:r>
</w:p>
<w:p>
<w:pPr><w:pStyle w:val="Normal"/></w:pPr>
<w:r><w:t xml:space="preserve">in the centre of Argentina, (20,340 ft.), Languna Blanca</w:t></w:r>
</w:p>
<w:p>
<w:pPr><w:pStyle w:val="Normal"/></w:pPr>
<w:r><w:t xml:space="preserve">(18,307), Diamante (18,045), (Cachi (20,000), Granadas, Lipez</w:t></w:r>
</w:p>
<w:p>
<w:pPr><w:pStyle w:val="Normal"/></w:pPr>
<w:r><w:t xml:space="preserve">(19,680), Guadalupe (18,910), Chorolque (18,480), Cuzco</w:t></w:r>
</w:p>
<w:p>
<w:pPr><w:pStyle w:val="Normal"/></w:pPr>
<w:r><w:t xml:space="preserve">(17,930), Enriaca (18,716), Junari (16,200), Michiga (17,410),</w:t></w:r>
</w:p>
<w:p>
<w:pPr><w:pStyle w:val="Normal"/></w:pPr>
<w:r><w:t xml:space="preserve">Quimza-Cruz (18,280), Illimani (21,190) and Sorata (21,490).</w:t></w:r>
</w:p>
<w:p>
<w:pPr><w:pStyle w:val="Normal"/></w:pPr>
<w:r><w:t xml:space="preserve">While the western range of the Cordillera is principally</w:t></w:r>
</w:p>
<w:p>
<w:pPr><w:pStyle w:val="Normal"/></w:pPr>
<w:r><w:t xml:space="preserve">formed by volcanic rocks, the eastern (to the east of the</w:t></w:r>
</w:p>
<w:p>
<w:pPr><w:pStyle w:val="Normal"/></w:pPr>
<w:r><w:t xml:space="preserve">range is Cerro Potosi, 15,400 ft.) Andes of Bolivia are chiefly</w:t></w:r>
</w:p>
<w:p>
<w:pPr><w:pStyle w:val="Normal"/></w:pPr>
<w:r><w:t xml:space="preserve">composed of old crystalline rocks.  Between the ranges in the</w:t></w:r>
</w:p>
<w:p>
<w:pPr><w:pStyle w:val="Normal"/></w:pPr>
<w:r><w:t xml:space="preserve">high plateau north to 27 deg.  are numerous isolated volcanoes</w:t></w:r>
</w:p>
<w:p>
<w:pPr><w:pStyle w:val="Normal"/></w:pPr>
<w:r><w:t xml:space="preserve">which have been in activity in recent times, such as Peinado</w:t></w:r>
</w:p>
<w:p>
<w:pPr><w:pStyle w:val="Normal"/></w:pPr>
<w:r><w:t xml:space="preserve">(18,898 ft.), San Pedro (18,701), Antuco (19,029), Antofalla</w:t></w:r>
</w:p>
<w:p>
<w:pPr><w:pStyle w:val="Normal"/></w:pPr>
<w:r><w:t xml:space="preserve">(20,014), Rincon (17,881), Pastos Grandes (17,553), Zapalegui</w:t></w:r>
</w:p>
<w:p>
<w:pPr><w:pStyle w:val="Normal"/></w:pPr>
<w:r><w:t xml:space="preserve">(17,553), Suniguira (19,258), Tahue (17,458); volcanoes which</w:t></w:r>
</w:p>
<w:p>
<w:pPr><w:pStyle w:val="Normal"/></w:pPr>
<w:r><w:t xml:space="preserve">have been elevated from a lncustrine basin, which very recently</w:t></w:r>
</w:p>
<w:p>
<w:pPr><w:pStyle w:val="Normal"/></w:pPr>
<w:r><w:t xml:space="preserve">occupied the whole extension, and the remains of which are,</w:t></w:r>
</w:p>
<w:p>
<w:pPr><w:pStyle w:val="Normal"/></w:pPr>
<w:r><w:t xml:space="preserve">in the south, the Laguna Verde, at 28 deg. , and in the north Lake</w:t></w:r>
</w:p>
<w:p>
<w:pPr><w:pStyle w:val="Normal"/></w:pPr>
<w:r><w:t xml:space="preserve">Titicaca.  The discovery of great Pampean mammals in the</w:t></w:r>
</w:p>
<w:p>
<w:pPr><w:pStyle w:val="Normal"/></w:pPr>
<w:r><w:t xml:space="preserve">Pleistocene beds of that region shows that this upheaval of the</w:t></w:r>
</w:p>
<w:p>
<w:pPr><w:pStyle w:val="Normal"/></w:pPr>
<w:r><w:t xml:space="preserve">latter is very recent, for in the heart of the Cordillera, as</w:t></w:r>
</w:p>
<w:p>
<w:pPr><w:pStyle w:val="Normal"/></w:pPr>
<w:r><w:t xml:space="preserve">well as on the west coast of Bolivia and Peru, there have been</w:t></w:r>
</w:p>
<w:p>
<w:pPr><w:pStyle w:val="Normal"/></w:pPr>
<w:r><w:t xml:space="preserve">discovered, in very recent deposits, the remains of some mammals</w:t></w:r>
</w:p>
<w:p>
<w:pPr><w:pStyle w:val="Normal"/></w:pPr>
<w:r><w:t xml:space="preserve">which cannot have crossed the high range as it now exists.</w:t></w:r>
</w:p>
<w:p>
<w:pPr><w:pStyle w:val="Normal"/></w:pPr>
<w:r><w:t xml:space="preserve">Peru-Ecuador.</w:t></w:r>
</w:p>
<w:p>
<w:pPr><w:pStyle w:val="Normal"/></w:pPr>
<w:r><w:t xml:space="preserve">The two Cordilleras that formed the Andes to the north of</w:t></w:r>
</w:p>
<w:p>
<w:pPr><w:pStyle w:val="Normal"/></w:pPr>
<w:r><w:t xml:space="preserve">28 deg.  S. lat. are continued in Peru.  The western, which</w:t></w:r>
</w:p>
<w:p>
<w:pPr><w:pStyle w:val="Normal"/></w:pPr>
<w:r><w:t xml:space="preserve">reaches an altitude of about 10,000 ft., then ceases to</w:t></w:r>
</w:p>
<w:p>
<w:pPr><w:pStyle w:val="Normal"/></w:pPr>
<w:r><w:t xml:space="preserve">exist as a continuous chain, there remaining only a short,</w:t></w:r>
</w:p>
<w:p>
<w:pPr><w:pStyle w:val="Normal"/></w:pPr>
<w:r><w:t xml:space="preserve">high ridge, called by Edward Whymper the ``Pacific range of</w:t></w:r>
</w:p>
<w:p>
<w:pPr><w:pStyle w:val="Normal"/></w:pPr>
<w:r><w:t xml:space="preserve">the equator,&apos;&apos; and between this ridge and the crystalline</w:t></w:r>
</w:p>
<w:p>
<w:pPr><w:pStyle w:val="Normal"/></w:pPr>
<w:r><w:t xml:space="preserve">Andean axis, the ``avenue of volcanoes,&apos;&apos; to use his words,</w:t></w:r>
</w:p>
<w:p>
<w:pPr><w:pStyle w:val="Normal"/></w:pPr>
<w:r><w:t xml:space="preserve">arises amidst majestic scenery.  Chimborazo, which is not</w:t></w:r>
</w:p>
<w:p>
<w:pPr><w:pStyle w:val="Normal"/></w:pPr>
<w:r><w:t xml:space="preserve">in the main chain, reaches 20,517 ft.; Cotopaxi (19,580),</w:t></w:r>
</w:p>
<w:p>
<w:pPr><w:pStyle w:val="Normal"/></w:pPr>
<w:r><w:t xml:space="preserve">Antisana (19,260), Coyambo (19,200) are in the eastern range,</w:t></w:r>
</w:p>
<w:p>
<w:pPr><w:pStyle w:val="Normal"/></w:pPr>
<w:r><w:t xml:space="preserve">with many other peaks over 16,000 ft. which still contain</w:t></w:r>
</w:p>
<w:p>
<w:pPr><w:pStyle w:val="Normal"/></w:pPr>
<w:r><w:t xml:space="preserve">glaciers.  Sangay (17,380 ft.), under the equator, according</w:t></w:r>
</w:p>
<w:p>
<w:pPr><w:pStyle w:val="Normal"/></w:pPr>
<w:r><w:t xml:space="preserve">to Wolff, appears to be the most active volcano in the</w:t></w:r>
</w:p>
<w:p>
<w:pPr><w:pStyle w:val="Normal"/></w:pPr>
<w:r><w:t xml:space="preserve">world.  Pichincha (15,804 ft.) and Cotocachi (16,297 ft.) are</w:t></w:r>
</w:p>
<w:p>
<w:pPr><w:pStyle w:val="Normal"/></w:pPr>
<w:r><w:t xml:space="preserve">the loftiest volcanoes of the western range.  In Colombia the</w:t></w:r>
</w:p>
<w:p>
<w:pPr><w:pStyle w:val="Normal"/></w:pPr>
<w:r><w:t xml:space="preserve">three principal chains are continuations of those under the</w:t></w:r>
</w:p>
<w:p>
<w:pPr><w:pStyle w:val="Normal"/></w:pPr>
<w:r><w:t xml:space="preserve">equator, and show very slight traces of volcanic action,</w:t></w:r>
</w:p>
<w:p>
<w:pPr><w:pStyle w:val="Normal"/></w:pPr>
<w:r><w:t xml:space="preserve">Columbia.</w:t></w:r>
</w:p>
<w:p>
<w:pPr><w:pStyle w:val="Normal"/></w:pPr>
<w:r><w:t xml:space="preserve">In the western chain, which is remarkable for its regularity,</w:t></w:r>
</w:p>
<w:p>
<w:pPr><w:pStyle w:val="Normal"/></w:pPr>
<w:r><w:t xml:space="preserve">the highest peak is 11,150 ft., and the lowest pass 6725</w:t></w:r>
</w:p>
<w:p>
<w:pPr><w:pStyle w:val="Normal"/></w:pPr>
<w:r><w:t xml:space="preserve">ft.  The central chain, separated from the western chain by</w:t></w:r>
</w:p>
<w:p>
<w:pPr><w:pStyle w:val="Normal"/></w:pPr>
<w:r><w:t xml:space="preserve">the valley of the Cauca and from the eastern by the valley</w:t></w:r>
</w:p>
<w:p>
<w:pPr><w:pStyle w:val="Normal"/></w:pPr>
<w:r><w:t xml:space="preserve">of the Magdalena, is unbroken; it is the more important</w:t></w:r>
</w:p>
<w:p>
<w:pPr><w:pStyle w:val="Normal"/></w:pPr>
<w:r><w:t xml:space="preserve">owing to its greater altitudes and is of volcanic character.</w:t></w:r>
</w:p>
<w:p>
<w:pPr><w:pStyle w:val="Normal"/></w:pPr>
<w:r><w:t xml:space="preserve">To the south, near the equator, are Mounts Arapul (13,360</w:t></w:r>
</w:p>
<w:p>
<w:pPr><w:pStyle w:val="Normal"/></w:pPr>
<w:r><w:t xml:space="preserve">ft.) and Chumbul (15,720 ft.).  The volcanoes Campainero</w:t></w:r>
</w:p>
<w:p>
<w:pPr><w:pStyle w:val="Normal"/></w:pPr>
<w:r><w:t xml:space="preserve">(12,470 ft.) and Pasto (14,000 ft.) are also in that zone.</w:t></w:r>
</w:p>
<w:p>
<w:pPr><w:pStyle w:val="Normal"/></w:pPr>
<w:r><w:t xml:space="preserve">Farther north is the volcano Purace, which presents a height</w:t></w:r>
</w:p>
<w:p>
<w:pPr><w:pStyle w:val="Normal"/></w:pPr>
<w:r><w:t xml:space="preserve">of 16,000 ft.; then come Huila (18,000), Santa Catalina</w:t></w:r>
</w:p>
<w:p>
<w:pPr><w:pStyle w:val="Normal"/></w:pPr>
<w:r><w:t xml:space="preserve">(16,170), and Tolima (18,400), Santa Isabel (16,760), Ruiz</w:t></w:r>
</w:p>
<w:p>
<w:pPr><w:pStyle w:val="Normal"/></w:pPr>
<w:r><w:t xml:space="preserve">(17,390) and Hervas (18,340).  The eastern chain begins north</w:t></w:r>
</w:p>
<w:p>
<w:pPr><w:pStyle w:val="Normal"/></w:pPr>
<w:r><w:t xml:space="preserve">of the equator at 6000 ft., gradually rises to the height</w:t></w:r>
</w:p>
<w:p>
<w:pPr><w:pStyle w:val="Normal"/></w:pPr>
<w:r><w:t xml:space="preserve">of Nevado (14,146 ft.), Pan de Azucar (12,140 ft.), and in</w:t></w:r>
</w:p>
<w:p>
<w:pPr><w:pStyle w:val="Normal"/></w:pPr>
<w:r><w:t xml:space="preserve">the Sierra Nevada de Cochi attains to peaks of 16,700 ft.</w:t></w:r>
</w:p>
<w:p>
<w:pPr><w:pStyle w:val="Normal"/></w:pPr>
<w:r><w:t xml:space="preserve">The snow-line of the Andes is highest in parts of Peru</w:t></w:r>
</w:p>
<w:p>
<w:pPr><w:pStyle w:val="Normal"/></w:pPr>
<w:r><w:t xml:space="preserve">where it lies at about 16,500 ft.  Its general range</w:t></w:r>
</w:p>
<w:p>
<w:pPr><w:pStyle w:val="Normal"/></w:pPr>
<w:r><w:t xml:space="preserve">from the extreme north to Patagonia is 14,000 to 15,500</w:t></w:r>
</w:p>
<w:p>
<w:pPr><w:pStyle w:val="Normal"/></w:pPr>
<w:r><w:t xml:space="preserve">ft., but along the Patagonian frontier it sinks rapidly,</w:t></w:r>
</w:p>
<w:p>
<w:pPr><w:pStyle w:val="Normal"/></w:pPr>
<w:r><w:t xml:space="preserve">until in Tierra del Fuego it lies at about 4900 ft.</w:t></w:r>
</w:p>
<w:p>
<w:pPr><w:pStyle w:val="Normal"/></w:pPr>
<w:r><w:t xml:space="preserve">Structure.--The structure of the Andes is least complex</w:t></w:r>
</w:p>
<w:p>
<w:pPr><w:pStyle w:val="Normal"/></w:pPr>
<w:r><w:t xml:space="preserve">in the southern portion of the range.  Between 33 deg.  and 36 deg.</w:t></w:r>
</w:p>
<w:p>
<w:pPr><w:pStyle w:val="Normal"/></w:pPr>
<w:r><w:t xml:space="preserve">S. the chain consists broadly of a series of simple folds of</w:t></w:r>
</w:p>
<w:p>
<w:pPr><w:pStyle w:val="Normal"/></w:pPr>
<w:r><w:t xml:space="preserve">Jurassic and Cretaceous beds.  It is probably separated on</w:t></w:r>
</w:p>
<w:p>
<w:pPr><w:pStyle w:val="Normal"/></w:pPr>
<w:r><w:t xml:space="preserve">the east from the recent deposits of the pampas by a great</w:t></w:r>
</w:p>
<w:p>
<w:pPr><w:pStyle w:val="Normal"/></w:pPr>
<w:r><w:t xml:space="preserve">fault, which, however, is always concealed by an enormous</w:t></w:r>
</w:p>
<w:p>
<w:pPr><w:pStyle w:val="Normal"/></w:pPr>
<w:r><w:t xml:space="preserve">mass of scree material.  The Cretaceous beds lie in a broad</w:t></w:r>
</w:p>
<w:p>
<w:pPr><w:pStyle w:val="Normal"/></w:pPr>
<w:r><w:t xml:space="preserve">synclinal upon the eastern flank, but the greater part of</w:t></w:r>
</w:p>
<w:p>
<w:pPr><w:pStyle w:val="Normal"/></w:pPr>
<w:r><w:t xml:space="preserve">the chain is formed of Jurassic beds, through which, on the</w:t></w:r>
</w:p>
<w:p>
<w:pPr><w:pStyle w:val="Normal"/></w:pPr>
<w:r><w:t xml:space="preserve">western margin, rise the numerous andesitic volcanic centres.</w:t></w:r>
</w:p>
<w:p>
<w:pPr><w:pStyle w:val="Normal"/></w:pPr>
<w:r><w:t xml:space="preserve">There is no continuous band of ancient gneiss, nor indeed</w:t></w:r>
</w:p>
<w:p>
<w:pPr><w:pStyle w:val="Normal"/></w:pPr>
<w:r><w:t xml:space="preserve">of any beds older than the Jurassic.  There is very little</w:t></w:r>
</w:p>
<w:p>
<w:pPr><w:pStyle w:val="Normal"/></w:pPr>
<w:r><w:t xml:space="preserve">over-folding or faulting, and the structure is that of the</w:t></w:r>
</w:p>
<w:p>
<w:pPr><w:pStyle w:val="Normal"/></w:pPr>
<w:r><w:t xml:space="preserve">Jura mountains rather than of the Alps.  The inner or eastern</w:t></w:r>
</w:p>
<w:p>
<w:pPr><w:pStyle w:val="Normal"/></w:pPr>
<w:r><w:t xml:space="preserve">ridge farther north of Argentina consists of crystalline rocks</w:t></w:r>
</w:p>
<w:p>
<w:pPr><w:pStyle w:val="Normal"/></w:pPr>
<w:r><w:t xml:space="preserve">with infolded Ordovician and Cambrian beds, often overlaid</w:t></w:r>
</w:p>
<w:p>
<w:pPr><w:pStyle w:val="Normal"/></w:pPr>
<w:r><w:t xml:space="preserve">unconformably by a sandstone with plant-remains (chiefly</w:t></w:r>
</w:p>
<w:p>
<w:pPr><w:pStyle w:val="Normal"/></w:pPr>
<w:r><w:t xml:space="preserve">Rhaetic).  In Bolivia this eastern ridge, separated from the</w:t></w:r>
</w:p>
<w:p>
<w:pPr><w:pStyle w:val="Normal"/></w:pPr>
<w:r><w:t xml:space="preserve">western Cordillera by the longitudinal valley in which Lake</w:t></w:r>
</w:p>
<w:p>
<w:pPr><w:pStyle w:val="Normal"/></w:pPr>
<w:r><w:t xml:space="preserve">Titicaca lies, is formed chiefly of Archaean and Palaeozoic</w:t></w:r>
</w:p>
<w:p>
<w:pPr><w:pStyle w:val="Normal"/></w:pPr>
<w:r><w:t xml:space="preserve">rocks.  All the geological systems, from the Cambrian to the</w:t></w:r>
</w:p>
<w:p>
<w:pPr><w:pStyle w:val="Normal"/></w:pPr>
<w:r><w:t xml:space="preserve">Carboniferous, are represented and they are all strongly</w:t></w:r>
</w:p>
<w:p>
<w:pPr><w:pStyle w:val="Normal"/></w:pPr>
<w:r><w:t xml:space="preserve">folded, the folds leaning over towards the west.  West of the</w:t></w:r>
</w:p>
<w:p>
<w:pPr><w:pStyle w:val="Normal"/></w:pPr>
<w:r><w:t xml:space="preserve">great valley the range is composed of Mesozoic beds, together</w:t></w:r>
</w:p>
<w:p>
<w:pPr><w:pStyle w:val="Normal"/></w:pPr>
<w:r><w:t xml:space="preserve">with Tertiary volcanic rocks. (The Cordillera of Argentina</w:t></w:r>
</w:p>
<w:p>
<w:pPr><w:pStyle w:val="Normal"/></w:pPr>
<w:r><w:t xml:space="preserve">and Chile is clearly the continuation of the western chain</w:t></w:r>
</w:p>
<w:p>
<w:pPr><w:pStyle w:val="Normal"/></w:pPr>
<w:r><w:t xml:space="preserve">alone.) In Ecuador there is still an inner chain of ancient</w:t></w:r>
</w:p>
<w:p>
<w:pPr><w:pStyle w:val="Normal"/></w:pPr>
<w:r><w:t xml:space="preserve">gneisses and schists and an outer chain composed of Mesozoic</w:t></w:r>
</w:p>
<w:p>
<w:pPr><w:pStyle w:val="Normal"/></w:pPr>
<w:r><w:t xml:space="preserve">beds.  The longitudinal valley which separates them is</w:t></w:r>
</w:p>
<w:p>
<w:pPr><w:pStyle w:val="Normal"/></w:pPr>
<w:r><w:t xml:space="preserve">occupied mainly by volcanic deposits.  North of Ecuador the</w:t></w:r>
</w:p>
<w:p>
<w:pPr><w:pStyle w:val="Normal"/></w:pPr>
<w:r><w:t xml:space="preserve">structure becomes more complex.  Of the three main chains</w:t></w:r>
</w:p>
<w:p>
<w:pPr><w:pStyle w:val="Normal"/></w:pPr>
<w:r><w:t xml:space="preserve">into which the mountains are now divided, the western</w:t></w:r>
</w:p>
<w:p>
<w:pPr><w:pStyle w:val="Normal"/></w:pPr>
<w:r><w:t xml:space="preserve">branch is formed mostly of Cretaceous beds; but the inner</w:t></w:r>
</w:p>
<w:p>
<w:pPr><w:pStyle w:val="Normal"/></w:pPr>
<w:r><w:t xml:space="preserve">chains no longer consist exclusively of the older rocks, and</w:t></w:r>
</w:p>
<w:p>
<w:pPr><w:pStyle w:val="Normal"/></w:pPr>
<w:r><w:t xml:space="preserve">Cretaceous beds take a considerable share in their formation.</w:t></w:r>
</w:p>
<w:p>
<w:pPr><w:pStyle w:val="Normal"/></w:pPr>
<w:r><w:t xml:space="preserve">The great volcanoes, active and extinct, are not confined</w:t></w:r>
</w:p>
<w:p>
<w:pPr><w:pStyle w:val="Normal"/></w:pPr>
<w:r><w:t xml:space="preserve">to any one zone.  Sometimes they rise from the Mesozoic</w:t></w:r>
</w:p>
<w:p>
<w:pPr><w:pStyle w:val="Normal"/></w:pPr>
<w:r><w:t xml:space="preserve">zone of the western Cordillera, sometimes from the ancient</w:t></w:r>
</w:p>
<w:p>
<w:pPr><w:pStyle w:val="Normal"/></w:pPr>
<w:r><w:t xml:space="preserve">rocks of the eastern zone.  But they all he within the</w:t></w:r>
</w:p>
<w:p>
<w:pPr><w:pStyle w:val="Normal"/></w:pPr>
<w:r><w:t xml:space="preserve">range itself and do not, as in the Carpathians and the</w:t></w:r>
</w:p>
<w:p>
<w:pPr><w:pStyle w:val="Normal"/></w:pPr>
<w:r><w:t xml:space="preserve">Apennines, form a fringe upon the inner border of the chain.</w:t></w:r>
</w:p>
<w:p>
<w:pPr><w:pStyle w:val="Normal"/></w:pPr>
<w:r><w:t xml:space="preserve">The curvature of the range around the Brazilian massif,</w:t></w:r>
</w:p>
<w:p>
<w:pPr><w:pStyle w:val="Normal"/></w:pPr>
<w:r><w:t xml:space="preserve">and the position of the zone of older rocks upon the eastern</w:t></w:r>
</w:p>
<w:p>
<w:pPr><w:pStyle w:val="Normal"/></w:pPr>
<w:r><w:t xml:space="preserve">flank, led Suess to the conclusion that the Andes owe their</w:t></w:r>
</w:p>
<w:p>
<w:pPr><w:pStyle w:val="Normal"/></w:pPr>
<w:r><w:t xml:space="preserve">origin to an overthrust from east to west, and that the</w:t></w:r>
</w:p>
<w:p>
<w:pPr><w:pStyle w:val="Normal"/></w:pPr>
<w:r><w:t xml:space="preserve">Vorland lies beneath the Pacific.  In the south Wehrli</w:t></w:r>
</w:p>
<w:p>
<w:pPr><w:pStyle w:val="Normal"/></w:pPr>
<w:r><w:t xml:space="preserve">and Burckhardt maintain that the thrust came from the</w:t></w:r>
</w:p>
<w:p>
<w:pPr><w:pStyle w:val="Normal"/></w:pPr>
<w:r><w:t xml:space="preserve">west, and they look upon the ancient rocks of Argentina</w:t></w:r>
</w:p>
<w:p>
<w:pPr><w:pStyle w:val="Normal"/></w:pPr>
<w:r><w:t xml:space="preserve">as the Vorland. In this part of the chain, however,</w:t></w:r>
</w:p>
<w:p>
<w:pPr><w:pStyle w:val="Normal"/></w:pPr>
<w:r><w:t xml:space="preserve">there is but little evidence of overthrusting of any kind.</w:t></w:r>
</w:p>
<w:p>
<w:pPr><w:pStyle w:val="Normal"/></w:pPr>
<w:r><w:t xml:space="preserve">AUTHORITIES.--John B. Minchin, ``Journey in the Andean Tableland</w:t></w:r>
</w:p>
<w:p>
<w:pPr><w:pStyle w:val="Normal"/></w:pPr>
<w:r><w:t xml:space="preserve">of Bolivia,&apos;&apos; Proceedings of Geographical Society (1882);</w:t></w:r>
</w:p>
<w:p>
<w:pPr><w:pStyle w:val="Normal"/></w:pPr>
<w:r><w:t xml:space="preserve">Paul Gussfeldt, Reise in den centralen chileno-argentinischen</w:t></w:r>
</w:p>
<w:p>
<w:pPr><w:pStyle w:val="Normal"/></w:pPr>
<w:r><w:t xml:space="preserve">Andes (Berlin, 1884); John Ball, Notes of a Naturalist in</w:t></w:r>
</w:p>
<w:p>
<w:pPr><w:pStyle w:val="Normal"/></w:pPr>
<w:r><w:t xml:space="preserve">South America (London, 1887); Alfred Hettner, Reisen in den</w:t></w:r>
</w:p>
<w:p>
<w:pPr><w:pStyle w:val="Normal"/></w:pPr>
<w:r><w:t xml:space="preserve">colombianischen Andeen (Leipzig, 1888); ``Die Kordillere</w:t></w:r>
</w:p>
<w:p>
<w:pPr><w:pStyle w:val="Normal"/></w:pPr>
<w:r><w:t xml:space="preserve">von Bogota,&apos;&apos; Peterm. Mitteilungen, civ. (1892); Edward</w:t></w:r>
</w:p>
<w:p>
<w:pPr><w:pStyle w:val="Normal"/></w:pPr>
<w:r><w:t xml:space="preserve">Whymper, Travels amongst the Great Andes of the Equator</w:t></w:r>
</w:p>
<w:p>
<w:pPr><w:pStyle w:val="Normal"/></w:pPr>
<w:r><w:t xml:space="preserve">(London, 1892); Teodoro Wolff, Geografia y Geologia del</w:t></w:r>
</w:p>
<w:p>
<w:pPr><w:pStyle w:val="Normal"/></w:pPr>
<w:r><w:t xml:space="preserve">Ecuador (Leipzig, 1892); E. A. Fitzgerald, The Highest</w:t></w:r>
</w:p>
<w:p>
<w:pPr><w:pStyle w:val="Normal"/></w:pPr>
<w:r><w:t xml:space="preserve">Andes (London, 1899); Sir Martin Conway, ``Explorations</w:t></w:r>
</w:p>
<w:p>
<w:pPr><w:pStyle w:val="Normal"/></w:pPr>
<w:r><w:t xml:space="preserve">in the Bolivian Andes,&apos;&apos; Geogr.  Journ. xiv. (London,</w:t></w:r>
</w:p>
<w:p>
<w:pPr><w:pStyle w:val="Normal"/></w:pPr>
<w:r><w:t xml:space="preserve">1899); The Bolivian Andes (London and New York, 1901);</w:t></w:r>
</w:p>
<w:p>
<w:pPr><w:pStyle w:val="Normal"/></w:pPr>
<w:r><w:t xml:space="preserve">Carl Burckhardt, Expedition geologique dans la region</w:t></w:r>
</w:p>
<w:p>
<w:pPr><w:pStyle w:val="Normal"/></w:pPr>
<w:r><w:t xml:space="preserve">Andine, 38 deg. --39 deg.  S. lat.; Leo Wehrli, ``Cordillere</w:t></w:r>
</w:p>
<w:p>
<w:pPr><w:pStyle w:val="Normal"/></w:pPr>
<w:r><w:t xml:space="preserve">argentino-chilienne, 40 deg.  et 41 deg.  S. lat.&apos;&apos; Revista del</w:t></w:r>
</w:p>
<w:p>
<w:pPr><w:pStyle w:val="Normal"/></w:pPr>
<w:r><w:t xml:space="preserve">Museo de La Plata (1899); F. P. Moreno, ``Explorations</w:t></w:r>
</w:p>
<w:p>
<w:pPr><w:pStyle w:val="Normal"/></w:pPr>
<w:r><w:t xml:space="preserve">in Patagonia,&apos;&apos; Geogr.  Journ. xvi. (1900); Hans Steffen,</w:t></w:r>
</w:p>
<w:p>
<w:pPr><w:pStyle w:val="Normal"/></w:pPr>
<w:r><w:t xml:space="preserve">``The Patagonian Cordillera and its Main Rivers, between 41 deg.</w:t></w:r>
</w:p>
<w:p>
<w:pPr><w:pStyle w:val="Normal"/></w:pPr>
<w:r><w:t xml:space="preserve">and 48 deg. S. lat.,&apos;&apos; Geogr. Journ. (London, 1900); Paul</w:t></w:r>
</w:p>
<w:p>
<w:pPr><w:pStyle w:val="Normal"/></w:pPr>
<w:r><w:t xml:space="preserve">Kruger, Die chilenische Renihue Expedition (Berlin,</w:t></w:r>
</w:p>
<w:p>
<w:pPr><w:pStyle w:val="Normal"/></w:pPr>
<w:r><w:t xml:space="preserve">1900); Carl Burckhardt, ``Profils geologiques transversaux</w:t></w:r>
</w:p>
<w:p>
<w:pPr><w:pStyle w:val="Normal"/></w:pPr>
<w:r><w:t xml:space="preserve">de la Cordillera argentino-chilienne,&apos;&apos; Anales del Museo</w:t></w:r>
</w:p>
<w:p>
<w:pPr><w:pStyle w:val="Normal"/></w:pPr>
<w:r><w:t xml:space="preserve">de La Plata (1900); Argentine-Chilian Boundaries in the</w:t></w:r>
</w:p>
<w:p>
<w:pPr><w:pStyle w:val="Normal"/></w:pPr>
<w:r><w:t xml:space="preserve">Cordillera de los Andes, Argentine Evidence (London,</w:t></w:r>
</w:p>
<w:p>
<w:pPr><w:pStyle w:val="Normal"/></w:pPr>
<w:r><w:t xml:space="preserve">1900); ``South America; Outline of its Physical Geography,&apos;&apos;</w:t></w:r>
</w:p>
<w:p>
<w:pPr><w:pStyle w:val="Normal"/></w:pPr>
<w:r><w:t xml:space="preserve">Geogr.  Journ. xvii. (1901); Maps of Cordillera de los</w:t></w:r>
</w:p>
<w:p>
<w:pPr><w:pStyle w:val="Normal"/></w:pPr>
<w:r><w:t xml:space="preserve">Andes, Surveys of Argentine Boundary Commission; L. R. Patron,</w:t></w:r>
</w:p>
<w:p>
<w:pPr><w:pStyle w:val="Normal"/></w:pPr>
<w:r><w:t xml:space="preserve">Cordillera de los Andes (Republica de Chile, Oficina des</w:t></w:r>
</w:p>
<w:p>
<w:pPr><w:pStyle w:val="Normal"/></w:pPr>
<w:r><w:t xml:space="preserve">Limites) Santiago (Chile), 1903 et seq.); Sir T. H. Holdich,</w:t></w:r>
</w:p>
<w:p>
<w:pPr><w:pStyle w:val="Normal"/></w:pPr>
<w:r><w:t xml:space="preserve">``The Patagonian Andes,&apos;&apos; Geogr.  Journ. xxiii: (1904).</w:t></w:r>
</w:p>
<w:p>
<w:pPr><w:pStyle w:val="Normal"/></w:pPr>
<w:r><w:t xml:space="preserve">1 As to the specific elevations of many of the peaks mentioned in</w:t></w:r>
</w:p>
<w:p>
<w:pPr><w:pStyle w:val="Normal"/></w:pPr>
<w:r><w:t xml:space="preserve">this article, various authorities differ, and it is impossible in</w:t></w:r>
</w:p>
<w:p>
<w:pPr><w:pStyle w:val="Normal"/></w:pPr>
<w:r><w:t xml:space="preserve">many cases to rate one estimate as of greater value than another.</w:t></w:r>
</w:p>
<w:p>
<w:pPr><w:pStyle w:val="Normal"/></w:pPr>
<w:r><w:t xml:space="preserve">ANDESINE, a member of the group of minerals known as</w:t></w:r>
</w:p>
<w:p>
<w:pPr><w:pStyle w:val="Normal"/></w:pPr>
<w:r><w:t xml:space="preserve">plagioclase felspars, occupying a position in the isomorphous</w:t></w:r>
</w:p>
<w:p>
<w:pPr><w:pStyle w:val="Normal"/></w:pPr>
<w:r><w:t xml:space="preserve">series about midway between albite (NaAlSi3O8) and anorthite</w:t></w:r>
</w:p>
<w:p>
<w:pPr><w:pStyle w:val="Normal"/></w:pPr>
<w:r><w:t xml:space="preserve">(CaAl2Si2O8); its chemical composition and physical characters</w:t></w:r>
</w:p>
<w:p>
<w:pPr><w:pStyle w:val="Normal"/></w:pPr>
<w:r><w:t xml:space="preserve">are therefore intermediate between those of the two extremes</w:t></w:r>
</w:p>
<w:p>
<w:pPr><w:pStyle w:val="Normal"/></w:pPr>
<w:r><w:t xml:space="preserve">of the series.  Distinctly developed crystals or crystallized</w:t></w:r>
</w:p>
<w:p>
<w:pPr><w:pStyle w:val="Normal"/></w:pPr>
<w:r><w:t xml:space="preserve">specimens are rarely met with, the mineral usually occurring as</w:t></w:r>
</w:p>
<w:p>
<w:pPr><w:pStyle w:val="Normal"/></w:pPr>
<w:r><w:t xml:space="preserve">embedded crystals and grains in the igneous and gneissic rocks,</w:t></w:r>
</w:p>
<w:p>
<w:pPr><w:pStyle w:val="Normal"/></w:pPr>
<w:r><w:t xml:space="preserve">of which it forms a component part.  It occurs, for example,</w:t></w:r>
</w:p>
<w:p>
<w:pPr><w:pStyle w:val="Normal"/></w:pPr>
<w:r><w:t xml:space="preserve">in the andesite of the Andes, from whence it derives its name.</w:t></w:r>
</w:p>
<w:p>
<w:pPr><w:pStyle w:val="Normal"/></w:pPr>
<w:r><w:t xml:space="preserve">ANDESITE, a name first applied by C. L. von Buch to a series</w:t></w:r>
</w:p>
<w:p>
<w:pPr><w:pStyle w:val="Normal"/></w:pPr>
<w:r><w:t xml:space="preserve">of lavas investigated by him from the Andes, which has passed</w:t></w:r>
</w:p>
<w:p>
<w:pPr><w:pStyle w:val="Normal"/></w:pPr>
<w:r><w:t xml:space="preserve">into general acceptance as the designation of a great family</w:t></w:r>
</w:p>
<w:p>
<w:pPr><w:pStyle w:val="Normal"/></w:pPr>
<w:r><w:t xml:space="preserve">of rocks playing an important part in the geology of most of</w:t></w:r>
</w:p>
<w:p>
<w:pPr><w:pStyle w:val="Normal"/></w:pPr>
<w:r><w:t xml:space="preserve">the volcanic areas of the globe.  Not only the Andes but most</w:t></w:r>
</w:p>
<w:p>
<w:pPr><w:pStyle w:val="Normal"/></w:pPr>
<w:r><w:t xml:space="preserve">of the Cordillera of Central and North America consist very</w:t></w:r>
</w:p>
<w:p>
<w:pPr><w:pStyle w:val="Normal"/></w:pPr>
<w:r><w:t xml:space="preserve">largely of andesites; they occur also in great numbers in</w:t></w:r>
</w:p>
<w:p>
<w:pPr><w:pStyle w:val="Normal"/></w:pPr>
<w:r><w:t xml:space="preserve">Japan, the Philippines, Java and New Zealand.  They belong to</w:t></w:r>
</w:p>
<w:p>
<w:pPr><w:pStyle w:val="Normal"/></w:pPr>
<w:r><w:t xml:space="preserve">all geological epochs, and are frequent among the Silurian and</w:t></w:r>
</w:p>
<w:p>
<w:pPr><w:pStyle w:val="Normal"/></w:pPr>
<w:r><w:t xml:space="preserve">Devonian rocks of Britain, forming the ranges of the Cheviots,</w:t></w:r>
</w:p>
<w:p>
<w:pPr><w:pStyle w:val="Normal"/></w:pPr>
<w:r><w:t xml:space="preserve">Ochils, Breidden Hills, and part of the Lake district.  The</w:t></w:r>
</w:p>
<w:p>
<w:pPr><w:pStyle w:val="Normal"/></w:pPr>
<w:r><w:t xml:space="preserve">well-known volcanoes, Montagne Pelee, the Soufriere of St</w:t></w:r>
</w:p>
<w:p>
<w:pPr><w:pStyle w:val="Normal"/></w:pPr>
<w:r><w:t xml:space="preserve">Vincent, Krakatoa, Tarawera and Bandaisan have within recent</w:t></w:r>
</w:p>
<w:p>
<w:pPr><w:pStyle w:val="Normal"/></w:pPr>
<w:r><w:t xml:space="preserve">years emitted great quantities of andesitic rocks with disastrous</w:t></w:r>
</w:p>
<w:p>
<w:pPr><w:pStyle w:val="Normal"/></w:pPr>
<w:r><w:t xml:space="preserve">violence.  No group of lavas is more widespread and more</w:t></w:r>
</w:p>
<w:p>
<w:pPr><w:pStyle w:val="Normal"/></w:pPr>
<w:r><w:t xml:space="preserve">important from a geographical standpoint than the andesites.</w:t></w:r>
</w:p>
<w:p>
<w:pPr><w:pStyle w:val="Normal"/></w:pPr>
<w:r><w:t xml:space="preserve">They are typical intermediate rocks, containing on an average</w:t></w:r>
</w:p>
<w:p>
<w:pPr><w:pStyle w:val="Normal"/></w:pPr>
<w:r><w:t xml:space="preserve">about 60% of silica, but showing a considerable range of</w:t></w:r>
</w:p>
<w:p>
<w:pPr><w:pStyle w:val="Normal"/></w:pPr>
<w:r><w:t xml:space="preserve">composition.  Most of them correspond to the plutonic diorites,</w:t></w:r>
</w:p>
<w:p>
<w:pPr><w:pStyle w:val="Normal"/></w:pPr>
<w:r><w:t xml:space="preserve">but others more nearly represent the gabbros.  Their essential</w:t></w:r>
</w:p>
<w:p>
<w:pPr><w:pStyle w:val="Normal"/></w:pPr>
<w:r><w:t xml:space="preserve">distinguishing features are mineralogical and consist in the</w:t></w:r>
</w:p>
<w:p>
<w:pPr><w:pStyle w:val="Normal"/></w:pPr>
<w:r><w:t xml:space="preserve">presence of much soda-lime felspar (ranging from oligoclase</w:t></w:r>
</w:p>
<w:p>
<w:pPr><w:pStyle w:val="Normal"/></w:pPr>
<w:r><w:t xml:space="preserve">to bytownite and even anorthite), along with one or more of</w:t></w:r>
</w:p>
<w:p>
<w:pPr><w:pStyle w:val="Normal"/></w:pPr>
<w:r><w:t xml:space="preserve">the ferro-magnesian minerals, biotite, hornblende, augite and</w:t></w:r>
</w:p>
<w:p>
<w:pPr><w:pStyle w:val="Normal"/></w:pPr>
<w:r><w:t xml:space="preserve">hypersthene.  Both olivine and quartz are typically absent,</w:t></w:r>
</w:p>
<w:p>
<w:pPr><w:pStyle w:val="Normal"/></w:pPr>
<w:r><w:t xml:space="preserve">though in some varieties they occur in small quantity.</w:t></w:r>
</w:p>
<w:p>
<w:pPr><w:pStyle w:val="Normal"/></w:pPr>
<w:r><w:t xml:space="preserve">Orthoclase is more common than these two, but is never very</w:t></w:r>
</w:p>
<w:p>
<w:pPr><w:pStyle w:val="Normal"/></w:pPr>
<w:r><w:t xml:space="preserve">abundant.  The andesites have mostly a porphyritic structure,</w:t></w:r>
</w:p>
<w:p>
<w:pPr><w:pStyle w:val="Normal"/></w:pPr>
<w:r><w:t xml:space="preserve">and the larger felspars and ferro-magnesian minerals are</w:t></w:r>
</w:p>
<w:p>
<w:pPr><w:pStyle w:val="Normal"/></w:pPr>
<w:r><w:t xml:space="preserve">often visible to the naked eye, lying in a finer groundmass,</w:t></w:r>
</w:p>
<w:p>
<w:pPr><w:pStyle w:val="Normal"/></w:pPr>
<w:r><w:t xml:space="preserve">usually crystalline, but sometimes to a large extent</w:t></w:r>
</w:p>
<w:p>
<w:pPr><w:pStyle w:val="Normal"/></w:pPr>
<w:r><w:t xml:space="preserve">vitreous.  When very fresh they are dark-coloured if they</w:t></w:r>
</w:p>
<w:p>
<w:pPr><w:pStyle w:val="Normal"/></w:pPr>
<w:r><w:t xml:space="preserve">contain much glass, but paler in colour, red, grey or</w:t></w:r>
</w:p>
<w:p>
<w:pPr><w:pStyle w:val="Normal"/></w:pPr>
<w:r><w:t xml:space="preserve">pinkish when more thoroughly crystallized.  They weather to</w:t></w:r>
</w:p>
<w:p>
<w:pPr><w:pStyle w:val="Normal"/></w:pPr>
<w:r><w:t xml:space="preserve">various shades of dark brown, reddish-brown, green, grey and</w:t></w:r>
</w:p>
<w:p>
<w:pPr><w:pStyle w:val="Normal"/></w:pPr>
<w:r><w:t xml:space="preserve">yellow.  Many of them are highly vesicular or amygdaloidal.</w:t></w:r>
</w:p>
<w:p>
<w:pPr><w:pStyle w:val="Normal"/></w:pPr>
<w:r><w:t xml:space="preserve">The older (pre-Tertiary) andesites are grouped together by many</w:t></w:r>
</w:p>
<w:p>
<w:pPr><w:pStyle w:val="Normal"/></w:pPr>
<w:r><w:t xml:space="preserve">German, and formerly by British petrologists, under the term</w:t></w:r>
</w:p>
<w:p>
<w:pPr><w:pStyle w:val="Normal"/></w:pPr>
<w:r><w:t xml:space="preserve">porphyrites, but are distinguished only by being, as a rule,</w:t></w:r>
</w:p>
<w:p>
<w:pPr><w:pStyle w:val="Normal"/></w:pPr>
<w:r><w:t xml:space="preserve">in a less fresh condition.  Apart from this there are three</w:t></w:r>
</w:p>
<w:p>
<w:pPr><w:pStyle w:val="Normal"/></w:pPr>
<w:r><w:t xml:space="preserve">great subdivisions of this family of rocks, the quartz-andesites</w:t></w:r>
</w:p>
<w:p>
<w:pPr><w:pStyle w:val="Normal"/></w:pPr>
<w:r><w:t xml:space="preserve">or dacites, the hornblende-and biotite-andesites, and the</w:t></w:r>
</w:p>
<w:p>
<w:pPr><w:pStyle w:val="Normal"/></w:pPr>
<w:r><w:t xml:space="preserve">augite and hypersthene-andesites (or pyroxene-andesites).  The</w:t></w:r>
</w:p>
<w:p>
<w:pPr><w:pStyle w:val="Normal"/></w:pPr>
<w:r><w:t xml:space="preserve">dacites, a term first applied by Karl Heinrich Hektor Guido</w:t></w:r>
</w:p>
<w:p>
<w:pPr><w:pStyle w:val="Normal"/></w:pPr>
<w:r><w:t xml:space="preserve">Stache (b. 1833 ) to quartz-bearing andesite of Transylvania</w:t></w:r>
</w:p>
<w:p>
<w:pPr><w:pStyle w:val="Normal"/></w:pPr>
<w:r><w:t xml:space="preserve">or Dacia, contain primary quartz, and are the most siliceous</w:t></w:r>
</w:p>
<w:p>
<w:pPr><w:pStyle w:val="Normal"/></w:pPr>
<w:r><w:t xml:space="preserve">members of the family; their quartz may appear in small blebs</w:t></w:r>
</w:p>
<w:p>
<w:pPr><w:pStyle w:val="Normal"/></w:pPr>
<w:r><w:t xml:space="preserve">(or phenocrysts), or may occur only as minute interstitial</w:t></w:r>
</w:p>
<w:p>
<w:pPr><w:pStyle w:val="Normal"/></w:pPr>
<w:r><w:t xml:space="preserve">grains in the groundmass; other dacites are very vitreous</w:t></w:r>
</w:p>
<w:p>
<w:pPr><w:pStyle w:val="Normal"/></w:pPr>
<w:r><w:t xml:space="preserve">(dacitic-pitchstones).  In many of their structural peculiarities</w:t></w:r>
</w:p>
<w:p>
<w:pPr><w:pStyle w:val="Normal"/></w:pPr>
<w:r><w:t xml:space="preserve">they closely simulate the rhyolites, from which they differ in</w:t></w:r>
</w:p>
<w:p>
<w:pPr><w:pStyle w:val="Normal"/></w:pPr>
<w:r><w:t xml:space="preserve">containing less potash and more soda, and in consequence less</w:t></w:r>
</w:p>
<w:p>
<w:pPr><w:pStyle w:val="Normal"/></w:pPr>
<w:r><w:t xml:space="preserve">orthoclase felspar and more plagioclase.  The hornblende- and</w:t></w:r>
</w:p>
<w:p>
<w:pPr><w:pStyle w:val="Normal"/></w:pPr>
<w:r><w:t xml:space="preserve">biotite-andesites, like the dacites, have in most cases a pale</w:t></w:r>
</w:p>
<w:p>
<w:pPr><w:pStyle w:val="Normal"/></w:pPr>
<w:r><w:t xml:space="preserve">colour (pink, yellow or grey), being comparatively rich in</w:t></w:r>
</w:p>
<w:p>
<w:pPr><w:pStyle w:val="Normal"/></w:pPr>
<w:r><w:t xml:space="preserve">felspar.  They resemble the trachytes both in appearance and</w:t></w:r>
</w:p>
<w:p>
<w:pPr><w:pStyle w:val="Normal"/></w:pPr>
<w:r><w:t xml:space="preserve">in structure, but their felspar is mostly plagioclase, not</w:t></w:r>
</w:p>
<w:p>
<w:pPr><w:pStyle w:val="Normal"/></w:pPr>
<w:r><w:t xml:space="preserve">sanidine.  The biotite and hornblende have much the same</w:t></w:r>
</w:p>
<w:p>
<w:pPr><w:pStyle w:val="Normal"/></w:pPr>
<w:r><w:t xml:space="preserve">characters in both of these groups of rocks, and are often</w:t></w:r>
</w:p>
<w:p>
<w:pPr><w:pStyle w:val="Normal"/></w:pPr>
<w:r><w:t xml:space="preserve">surrounded by black borders produced by corrosion and partial</w:t></w:r>
</w:p>
<w:p>
<w:pPr><w:pStyle w:val="Normal"/></w:pPr>
<w:r><w:t xml:space="preserve">resorption by the magma.  A pale green augite is common in</w:t></w:r>
</w:p>
<w:p>
<w:pPr><w:pStyle w:val="Normal"/></w:pPr>
<w:r><w:t xml:space="preserve">these andesites, but bronzite or hypersthene is comparatively</w:t></w:r>
</w:p>
<w:p>
<w:pPr><w:pStyle w:val="Normal"/></w:pPr>
<w:r><w:t xml:space="preserve">rare.  The pyroxene-andesites are darker, more basic rocks, with</w:t></w:r>
</w:p>
<w:p>
<w:pPr><w:pStyle w:val="Normal"/></w:pPr>
<w:r><w:t xml:space="preserve">a higher specific gravity, and approach closely to the basalts</w:t></w:r>
</w:p>
<w:p>
<w:pPr><w:pStyle w:val="Normal"/></w:pPr>
<w:r><w:t xml:space="preserve">and dolerites, especially when they contain a small amount of</w:t></w:r>
</w:p>
<w:p>
<w:pPr><w:pStyle w:val="Normal"/></w:pPr>
<w:r><w:t xml:space="preserve">olivine.  They are probably the commonest types of andesite,</w:t></w:r>
</w:p>
<w:p>
<w:pPr><w:pStyle w:val="Normal"/></w:pPr>
<w:r><w:t xml:space="preserve">both at the present time and in former geological periods.  Often</w:t></w:r>
</w:p>
<w:p>
<w:pPr><w:pStyle w:val="Normal"/></w:pPr>
<w:r><w:t xml:space="preserve">their groundmass consists of brownish glass, filled with small</w:t></w:r>
</w:p>
<w:p>
<w:pPr><w:pStyle w:val="Normal"/></w:pPr>
<w:r><w:t xml:space="preserve">microliths of augite and felspar, and having a velvety, glistening</w:t></w:r>
</w:p>
<w:p>
<w:pPr><w:pStyle w:val="Normal"/></w:pPr>
<w:r><w:t xml:space="preserve">lustre when observed in a good light (hyalopilitic structure).</w:t></w:r>
</w:p>
<w:p>
<w:pPr><w:pStyle w:val="Normal"/></w:pPr>
<w:r><w:t xml:space="preserve">In addition to the accessory minerals, zircon, apatite and iron</w:t></w:r>
</w:p>
<w:p>
<w:pPr><w:pStyle w:val="Normal"/></w:pPr>
<w:r><w:t xml:space="preserve">oxides, which are practically never absent, certain others occur</w:t></w:r>
</w:p>
<w:p>
<w:pPr><w:pStyle w:val="Normal"/></w:pPr>
<w:r><w:t xml:space="preserve">which, on account of their rarity and importance, are of special</w:t></w:r>
</w:p>
<w:p>
<w:pPr><w:pStyle w:val="Normal"/></w:pPr>
<w:r><w:t xml:space="preserve">interest.  Sharply-formed little crystals of cordierite are</w:t></w:r>
</w:p>
<w:p>
<w:pPr><w:pStyle w:val="Normal"/></w:pPr>
<w:r><w:t xml:space="preserve">occasionally found in andesites (Japan, Spain, St Vincent,</w:t></w:r>
</w:p>
<w:p>
<w:pPr><w:pStyle w:val="Normal"/></w:pPr>
<w:r><w:t xml:space="preserve">Cumberland); they seem to depend on more or less complete</w:t></w:r>
</w:p>
<w:p>
<w:pPr><w:pStyle w:val="Normal"/></w:pPr>
<w:r><w:t xml:space="preserve">digestion of fragments of gneiss and other rocks in the molten</w:t></w:r>
</w:p>
<w:p>
<w:pPr><w:pStyle w:val="Normal"/></w:pPr>
<w:r><w:t xml:space="preserve">lava.  Garnet and sapphire have also been found in andesites,</w:t></w:r>
</w:p>
<w:p>
<w:pPr><w:pStyle w:val="Normal"/></w:pPr>
<w:r><w:t xml:space="preserve">and perhaps have the same signification; a rose-red variety</w:t></w:r>
</w:p>
<w:p>
<w:pPr><w:pStyle w:val="Normal"/></w:pPr>
<w:r><w:t xml:space="preserve">of epidote (withamite) is known as a secondary product in</w:t></w:r>
</w:p>
<w:p>
<w:pPr><w:pStyle w:val="Normal"/></w:pPr>
<w:r><w:t xml:space="preserve">certain andesites (Glencoe, Scotland), and the famous red</w:t></w:r>
</w:p>
<w:p>
<w:pPr><w:pStyle w:val="Normal"/></w:pPr>
<w:r><w:t xml:space="preserve">porphyry (porfido rosso) of the ancients is a rock of this</w:t></w:r>
</w:p>
<w:p>
<w:pPr><w:pStyle w:val="Normal"/></w:pPr>
<w:r><w:t xml:space="preserve">type.  Ore deposits very frequently occur in connexion with</w:t></w:r>
</w:p>
<w:p>
<w:pPr><w:pStyle w:val="Normal"/></w:pPr>
<w:r><w:t xml:space="preserve">andesitic rocks (Nevada, California, Hungary, Borneo, &amp;c.),</w:t></w:r>
</w:p>
<w:p>
<w:pPr><w:pStyle w:val="Normal"/></w:pPr>
<w:r><w:t xml:space="preserve">especially those of gold and silver.  They have been laid</w:t></w:r>
</w:p>
<w:p>
<w:pPr><w:pStyle w:val="Normal"/></w:pPr>
<w:r><w:t xml:space="preserve">down in fissures as veins of quartz, and the surrounding</w:t></w:r>
</w:p>
<w:p>
<w:pPr><w:pStyle w:val="Normal"/></w:pPr>
<w:r><w:t xml:space="preserve">igneous rocks are frequently altered and decomposed</w:t></w:r>
</w:p>
<w:p>
<w:pPr><w:pStyle w:val="Normal"/></w:pPr>
<w:r><w:t xml:space="preserve">in a peculiar way by the hot ascending metalliferous</w:t></w:r>
</w:p>
<w:p>
<w:pPr><w:pStyle w:val="Normal"/></w:pPr>
<w:r><w:t xml:space="preserve">solutions.  Andesites affected in this manner are known as</w:t></w:r>
</w:p>
<w:p>
<w:pPr><w:pStyle w:val="Normal"/></w:pPr>
<w:r><w:t xml:space="preserve">propylites.  The alteration is one of those post-volcanic,</w:t></w:r>
</w:p>
<w:p>
<w:pPr><w:pStyle w:val="Normal"/></w:pPr>
<w:r><w:t xml:space="preserve">pneumatolytic processes, so frequent in volcanic districts.</w:t></w:r>
</w:p>
<w:p>
<w:pPr><w:pStyle w:val="Normal"/></w:pPr>
<w:r><w:t xml:space="preserve">Propylitization consists in the replacement of the original</w:t></w:r>
</w:p>
<w:p>
<w:pPr><w:pStyle w:val="Normal"/></w:pPr>
<w:r><w:t xml:space="preserve">minerals of the andesite by secondary products such as</w:t></w:r>
</w:p>
<w:p>
<w:pPr><w:pStyle w:val="Normal"/></w:pPr>
<w:r><w:t xml:space="preserve">kaolin, epidote, mica, chlorite, quartz and chalcedony, often</w:t></w:r>
</w:p>
<w:p>
<w:pPr><w:pStyle w:val="Normal"/></w:pPr>
<w:r><w:t xml:space="preserve">with the retention of the igneous structures of the rocks.</w:t></w:r>
</w:p>
<w:p>
<w:pPr><w:pStyle w:val="Normal"/></w:pPr>
<w:r><w:t xml:space="preserve">In microscopic characters the andesites present considerable</w:t></w:r>
</w:p>
<w:p>
<w:pPr><w:pStyle w:val="Normal"/></w:pPr>
<w:r><w:t xml:space="preserve">variety; their porphyritic felspars are usually of tabular</w:t></w:r>
</w:p>
<w:p>
<w:pPr><w:pStyle w:val="Normal"/></w:pPr>
<w:r><w:t xml:space="preserve">shape with good crystalline outlines, but often filled</w:t></w:r>
</w:p>
<w:p>
<w:pPr><w:pStyle w:val="Normal"/></w:pPr>
<w:r><w:t xml:space="preserve">with glass enclosures.  Zonal structure is exceedingly</w:t></w:r>
</w:p>
<w:p>
<w:pPr><w:pStyle w:val="Normal"/></w:pPr>
<w:r><w:t xml:space="preserve">common, and the central parts of the crystals are more basic</w:t></w:r>
</w:p>
<w:p>
<w:pPr><w:pStyle w:val="Normal"/></w:pPr>
<w:r><w:t xml:space="preserve">(bytownite, &amp;c.) than the edges (oligoclase).  Sanidine occurs</w:t></w:r>
</w:p>
<w:p>
<w:pPr><w:pStyle w:val="Normal"/></w:pPr>
<w:r><w:t xml:space="preserve">with considerable frequency, but not in notable amount.</w:t></w:r>
</w:p>
<w:p>
<w:pPr><w:pStyle w:val="Normal"/></w:pPr>
<w:r><w:t xml:space="preserve">The biotite and hornblende are yellow or brown and richly</w:t></w:r>
</w:p>
<w:p>
<w:pPr><w:pStyle w:val="Normal"/></w:pPr>
<w:r><w:t xml:space="preserve">pleochroic.  The hypersthene is nearly always idiomorphic,</w:t></w:r>
</w:p>
<w:p>
<w:pPr><w:pStyle w:val="Normal"/></w:pPr>
<w:r><w:t xml:space="preserve">with a distinct pleochroism ranging from salmon-pink to</w:t></w:r>
</w:p>
<w:p>
<w:pPr><w:pStyle w:val="Normal"/></w:pPr>
<w:r><w:t xml:space="preserve">green.  Augite may be green in the more acid andesites, but</w:t></w:r>
</w:p>
<w:p>
<w:pPr><w:pStyle w:val="Normal"/></w:pPr>
<w:r><w:t xml:space="preserve">is pale brown in the pyroxene-andesites.  The apatite is</w:t></w:r>
</w:p>
<w:p>
<w:pPr><w:pStyle w:val="Normal"/></w:pPr>
<w:r><w:t xml:space="preserve">often filled with minute dust-like enclosures.  In the dacites</w:t></w:r>
</w:p>
<w:p>
<w:pPr><w:pStyle w:val="Normal"/></w:pPr>
<w:r><w:t xml:space="preserve">felsitic groundmasses are by no means rare, but microcrystalline</w:t></w:r>
</w:p>
<w:p>
<w:pPr><w:pStyle w:val="Normal"/></w:pPr>
<w:r><w:t xml:space="preserve">types consisting of plagioclase and sanidine with quartz</w:t></w:r>
</w:p>
<w:p>
<w:pPr><w:pStyle w:val="Normal"/></w:pPr>
<w:r><w:t xml:space="preserve">are more prevalent.  The hornblende- and mica-andesites have</w:t></w:r>
</w:p>
<w:p>
<w:pPr><w:pStyle w:val="Normal"/></w:pPr>
<w:r><w:t xml:space="preserve">groundmasses composed mainly of acid plagioclase with little</w:t></w:r>
</w:p>
<w:p>
<w:pPr><w:pStyle w:val="Normal"/></w:pPr>
<w:r><w:t xml:space="preserve">orthoclase or glassy base (pilotaxitic groundmass).  Clear</w:t></w:r>
</w:p>
<w:p>
<w:pPr><w:pStyle w:val="Normal"/></w:pPr>
<w:r><w:t xml:space="preserve">brown glass with many small crystals of plagioclase and pale</w:t></w:r>
</w:p>
<w:p>
<w:pPr><w:pStyle w:val="Normal"/></w:pPr>
<w:r><w:t xml:space="preserve">brown augite (hyalopilitic groundmass) is very frequent in</w:t></w:r>
</w:p>
<w:p>
<w:pPr><w:pStyle w:val="Normal"/></w:pPr>
<w:r><w:t xml:space="preserve">pyroxene-andesites.  Vitreous rocks belonging to all of the</w:t></w:r>
</w:p>
<w:p>
<w:pPr><w:pStyle w:val="Normal"/></w:pPr>
<w:r><w:t xml:space="preserve">above groups are well known though not very common, and exhibit</w:t></w:r>
</w:p>
<w:p>
<w:pPr><w:pStyle w:val="Normal"/></w:pPr>
<w:r><w:t xml:space="preserve">the perlitic, pumiceous, spherulitic and other structures,</w:t></w:r>
</w:p>
<w:p>
<w:pPr><w:pStyle w:val="Normal"/></w:pPr>
<w:r><w:t xml:space="preserve">characteristic to volcanic obsidians and pitchstones. (J. S. F.)</w:t></w:r>
</w:p>
<w:p>
<w:pPr><w:pStyle w:val="Normal"/></w:pPr>
<w:r><w:t xml:space="preserve">ANDIJAN, a town of Russian Turkestan, Province of Ferghana.</w:t></w:r>
</w:p>
<w:p>
<w:pPr><w:pStyle w:val="Normal"/></w:pPr>
<w:r><w:t xml:space="preserve">eastern terminus of the Transcaspian railway, 84 m. by rail</w:t></w:r>
</w:p>
<w:p>
<w:pPr><w:pStyle w:val="Normal"/></w:pPr>
<w:r><w:t xml:space="preserve">E.N.E. of Khokand, on the left bank of the upper Syr-darya.</w:t></w:r>
</w:p>
<w:p>
<w:pPr><w:pStyle w:val="Normal"/></w:pPr>
<w:r><w:t xml:space="preserve">Altitude 1630 ft.  Pop. (1900) 49,682.  It was formerly the</w:t></w:r>
</w:p>
<w:p>
<w:pPr><w:pStyle w:val="Normal"/></w:pPr>
<w:r><w:t xml:space="preserve">residence of the khans of Khokand, and has beautiful gardens</w:t></w:r>
</w:p>
<w:p>
<w:pPr><w:pStyle w:val="Normal"/></w:pPr>
<w:r><w:t xml:space="preserve">and a large park in the middle of the town.  Andijan is a centre</w:t></w:r>
</w:p>
<w:p>
<w:pPr><w:pStyle w:val="Normal"/></w:pPr>
<w:r><w:t xml:space="preserve">for the trade in raw cotton and has cotton factories.  All over</w:t></w:r>
</w:p>
<w:p>
<w:pPr><w:pStyle w:val="Normal"/></w:pPr>
<w:r><w:t xml:space="preserve">Central Asia, West Turkestan merchants are known generally as</w:t></w:r>
</w:p>
<w:p>
<w:pPr><w:pStyle w:val="Normal"/></w:pPr>
<w:r><w:t xml:space="preserve">Andijani.  The town was destroyed by an earthquake on the</w:t></w:r>
</w:p>
<w:p>
<w:pPr><w:pStyle w:val="Normal"/></w:pPr>
<w:r><w:t xml:space="preserve">16th-17th of December 1902, when 5000 persons perished and</w:t></w:r>
</w:p>
<w:p>
<w:pPr><w:pStyle w:val="Normal"/></w:pPr>
<w:r><w:t xml:space="preserve">16,000 houses were demolished.  It has since been rebuilt.</w:t></w:r>
</w:p>
<w:p>
<w:pPr><w:pStyle w:val="Normal"/></w:pPr>
<w:r><w:t xml:space="preserve">ANDIRON (older form anderne; med.  Lat. andena, anderia),</w:t></w:r>
</w:p>
<w:p>
<w:pPr><w:pStyle w:val="Normal"/></w:pPr>
<w:r><w:t xml:space="preserve">a horizontal iron bar, or bars, upon which logs are laid</w:t></w:r>
</w:p>
<w:p>
<w:pPr><w:pStyle w:val="Normal"/></w:pPr>
<w:r><w:t xml:space="preserve">for burning in an open fireplace.  Andirons stand upon short</w:t></w:r>
</w:p>
<w:p>
<w:pPr><w:pStyle w:val="Normal"/></w:pPr>
<w:r><w:t xml:space="preserve">legs and are usually connected with an upright guard.  This</w:t></w:r>
</w:p>
<w:p>
<w:pPr><w:pStyle w:val="Normal"/></w:pPr>
<w:r><w:t xml:space="preserve">guard, which may be of iron, steel, copper, bronze, or even</w:t></w:r>
</w:p>
<w:p>
<w:pPr><w:pStyle w:val="Normal"/></w:pPr>
<w:r><w:t xml:space="preserve">silver, is often elaborately ornamented with conventional</w:t></w:r>
</w:p>
<w:p>
<w:pPr><w:pStyle w:val="Normal"/></w:pPr>
<w:r><w:t xml:space="preserve">patterns or heraldic ornaments, such as the fleur-de-lys,</w:t></w:r>
</w:p>
<w:p>
<w:pPr><w:pStyle w:val="Normal"/></w:pPr>
<w:r><w:t xml:space="preserve">with sphinxes, grotesque animals, mythological statuettes or</w:t></w:r>
</w:p>
<w:p>
<w:pPr><w:pStyle w:val="Normal"/></w:pPr>
<w:r><w:t xml:space="preserve">caryatides supporting heroic figures or emblems.  Previously</w:t></w:r>
</w:p>
<w:p>
<w:pPr><w:pStyle w:val="Normal"/></w:pPr>
<w:r><w:t xml:space="preserve">to the Italian Renaissance, andirons were almost invariably</w:t></w:r>
</w:p>
<w:p>
<w:pPr><w:pStyle w:val="Normal"/></w:pPr>
<w:r><w:t xml:space="preserve">made entirely of iron and comparatively plain, but when the</w:t></w:r>
</w:p>
<w:p>
<w:pPr><w:pStyle w:val="Normal"/></w:pPr>
<w:r><w:t xml:space="preserve">ordinary objects of the household became the care of the artist,</w:t></w:r>
</w:p>
<w:p>
<w:pPr><w:pStyle w:val="Normal"/></w:pPr>
<w:r><w:t xml:space="preserve">the metal-worker lavished skill and taste upon them, and even</w:t></w:r>
</w:p>
<w:p>
<w:pPr><w:pStyle w:val="Normal"/></w:pPr>
<w:r><w:t xml:space="preserve">such a man as Jean Berain, whose fancy was most especially</w:t></w:r>
</w:p>
<w:p>
<w:pPr><w:pStyle w:val="Normal"/></w:pPr>
<w:r><w:t xml:space="preserve">applied to the ornamentation of Boulle furniture, sometimes</w:t></w:r>
</w:p>
<w:p>
<w:pPr><w:pStyle w:val="Normal"/></w:pPr>
<w:r><w:t xml:space="preserve">designed them.  Indeed the fire-dog or chenet reached its</w:t></w:r>
</w:p>
<w:p>
<w:pPr><w:pStyle w:val="Normal"/></w:pPr>
<w:r><w:t xml:space="preserve">most artistic development under Louis XIV. of France, and the</w:t></w:r>
</w:p>
<w:p>
<w:pPr><w:pStyle w:val="Normal"/></w:pPr>
<w:r><w:t xml:space="preserve">first extant examples--often of cast-iron--are to be found</w:t></w:r>
</w:p>
<w:p>
<w:pPr><w:pStyle w:val="Normal"/></w:pPr>
<w:r><w:t xml:space="preserve">in French museums and royal palaces.  Fire-dogs, with little</w:t></w:r>
</w:p>
<w:p>
<w:pPr><w:pStyle w:val="Normal"/></w:pPr>
<w:r><w:t xml:space="preserve">or no ornament, were also used in kitchens, with ratcheted</w:t></w:r>
</w:p>
<w:p>
<w:pPr><w:pStyle w:val="Normal"/></w:pPr>
<w:r><w:t xml:space="preserve">uprights for the spits.  Very often these uprights branched</w:t></w:r>
</w:p>
<w:p>
<w:pPr><w:pStyle w:val="Normal"/></w:pPr>
<w:r><w:t xml:space="preserve">out into arms or hobs for stewing or keeping the viands hot.</w:t></w:r>
</w:p>
<w:p>
<w:pPr><w:pStyle w:val="Normal"/></w:pPr>
<w:r><w:t xml:space="preserve">ANDKHUI, a town and khanate in Afghan Turkestan.  The town</w:t></w:r>
</w:p>
<w:p>
<w:pPr><w:pStyle w:val="Normal"/></w:pPr>
<w:r><w:t xml:space="preserve">(said to have been founded by Alexander the Great) stands</w:t></w:r>
</w:p>
<w:p>
<w:pPr><w:pStyle w:val="Normal"/></w:pPr>
<w:r><w:t xml:space="preserve">between the northern spurs of the Paropamisus and the Oxus;</w:t></w:r>
</w:p>
<w:p>
<w:pPr><w:pStyle w:val="Normal"/></w:pPr>
<w:r><w:t xml:space="preserve">it is 100 m. due west of Balkh on the edge of the Turkman</w:t></w:r>
</w:p>
<w:p>
<w:pPr><w:pStyle w:val="Normal"/></w:pPr>
<w:r><w:t xml:space="preserve">desert.  The khanate is of importance as being one of the</w:t></w:r>
</w:p>
<w:p>
<w:pPr><w:pStyle w:val="Normal"/></w:pPr>
<w:r><w:t xml:space="preserve">most northern in Afghanistan, on the Russian border.  Until</w:t></w:r>
</w:p>
<w:p>
<w:pPr><w:pStyle w:val="Normal"/></w:pPr>
<w:r><w:t xml:space="preserve">1820 it was subject to Bokhara, but in that year Mahmud</w:t></w:r>
</w:p>
<w:p>
<w:pPr><w:pStyle w:val="Normal"/></w:pPr>
<w:r><w:t xml:space="preserve">Khan besieged it for four months, took it by storm and</w:t></w:r>
</w:p>
<w:p>
<w:pPr><w:pStyle w:val="Normal"/></w:pPr>
<w:r><w:t xml:space="preserve">left it a heap of ruins.  To preserve himself from utter</w:t></w:r>
</w:p>
<w:p>
<w:pPr><w:pStyle w:val="Normal"/></w:pPr>
<w:r><w:t xml:space="preserve">destruction the khan threw himself into the arms of the</w:t></w:r>
</w:p>
<w:p>
<w:pPr><w:pStyle w:val="Normal"/></w:pPr>
<w:r><w:t xml:space="preserve">Afghans.  The tract in which Andkhui stands is fertile, but</w:t></w:r>
</w:p>
<w:p>
<w:pPr><w:pStyle w:val="Normal"/></w:pPr>
<w:r><w:t xml:space="preserve">proverbially unhealthy; the Persians account it ``a hell</w:t></w:r>
</w:p>
<w:p>
<w:pPr><w:pStyle w:val="Normal"/></w:pPr>
<w:r><w:t xml:space="preserve">upon earth&apos;&apos; by reason of its scorching sands, brackish</w:t></w:r>
</w:p>
<w:p>
<w:pPr><w:pStyle w:val="Normal"/></w:pPr>
<w:r><w:t xml:space="preserve">water, flies and scorpions.  The population, estimated at</w:t></w:r>
</w:p>
<w:p>
<w:pPr><w:pStyle w:val="Normal"/></w:pPr>
<w:r><w:t xml:space="preserve">15,000, consists principally of Turkmans with a mixture</w:t></w:r>
</w:p>
<w:p>
<w:pPr><w:pStyle w:val="Normal"/></w:pPr>
<w:r><w:t xml:space="preserve">of Uzbegs and a few Tajiks.  The district was allotted to</w:t></w:r>
</w:p>
<w:p>
<w:pPr><w:pStyle w:val="Normal"/></w:pPr>
<w:r><w:t xml:space="preserve">Afghanistan by the Russo- Afghan boundary commission of 1885.</w:t></w:r>
</w:p>
<w:p>
<w:pPr><w:pStyle w:val="Normal"/></w:pPr>
<w:r><w:t xml:space="preserve">ANDOCIDES, one of the ``ten&apos;&apos; Attic orators, was born</w:t></w:r>
</w:p>
<w:p>
<w:pPr><w:pStyle w:val="Normal"/></w:pPr>
<w:r><w:t xml:space="preserve">about 440 B.C. Implicated in the mutilation of the Hermae</w:t></w:r>
</w:p>
<w:p>
<w:pPr><w:pStyle w:val="Normal"/></w:pPr>
<w:r><w:t xml:space="preserve">(415), although he saved his life by turning informer, he</w:t></w:r>
</w:p>
<w:p>
<w:pPr><w:pStyle w:val="Normal"/></w:pPr>
<w:r><w:t xml:space="preserve">was condemned to partial loss of civil rights and went into</w:t></w:r>
</w:p>
<w:p>
<w:pPr><w:pStyle w:val="Normal"/></w:pPr>
<w:r><w:t xml:space="preserve">exile.  He engaged in commercial pursuits, and after two</w:t></w:r>
</w:p>
<w:p>
<w:pPr><w:pStyle w:val="Normal"/></w:pPr>
<w:r><w:t xml:space="preserve">unsuccessful attempts returned to Athens under the general</w:t></w:r>
</w:p>
<w:p>
<w:pPr><w:pStyle w:val="Normal"/></w:pPr>
<w:r><w:t xml:space="preserve">amnesty that followed the restoration of the democracy (403),</w:t></w:r>
</w:p>
<w:p>
<w:pPr><w:pStyle w:val="Normal"/></w:pPr>
<w:r><w:t xml:space="preserve">and filled some important offices.  In 391 he was one of the</w:t></w:r>
</w:p>
<w:p>
<w:pPr><w:pStyle w:val="Normal"/></w:pPr>
<w:r><w:t xml:space="preserve">ambassadors sent to Sparta to discuss peace terms, but the</w:t></w:r>
</w:p>
<w:p>
<w:pPr><w:pStyle w:val="Normal"/></w:pPr>
<w:r><w:t xml:space="preserve">negotiations failed, and after this time we hear no more of</w:t></w:r>
</w:p>
<w:p>
<w:pPr><w:pStyle w:val="Normal"/></w:pPr>
<w:r><w:t xml:space="preserve">him.  Oligarchical in his sympathies, he offended his own party</w:t></w:r>
</w:p>
<w:p>
<w:pPr><w:pStyle w:val="Normal"/></w:pPr>
<w:r><w:t xml:space="preserve">and was distrusted by the democrats.  Andocides was no professional</w:t></w:r>
</w:p>
<w:p>
<w:pPr><w:pStyle w:val="Normal"/></w:pPr>
<w:r><w:t xml:space="preserve">orator; his style is simple and lively, natural but inartistic.</w:t></w:r>
</w:p>
<w:p>
<w:pPr><w:pStyle w:val="Normal"/></w:pPr>
<w:r><w:t xml:space="preserve">Speeches extant:--De Reditu, plea for his return and</w:t></w:r>
</w:p>
<w:p>
<w:pPr><w:pStyle w:val="Normal"/></w:pPr>
<w:r><w:t xml:space="preserve">removal of civil disabilities; De Mysteriis, defence</w:t></w:r>
</w:p>
<w:p>
<w:pPr><w:pStyle w:val="Normal"/></w:pPr>
<w:r><w:t xml:space="preserve">against the charge of impiety in attending the Eleusinian</w:t></w:r>
</w:p>
<w:p>
<w:pPr><w:pStyle w:val="Normal"/></w:pPr>
<w:r><w:t xml:space="preserve">mysteries; De Pace, advocating peace with Sparta; Contra</w:t></w:r>
</w:p>
<w:p>
<w:pPr><w:pStyle w:val="Normal"/></w:pPr>
<w:r><w:t xml:space="preserve">Alcibiadem, generally considered spurious.  Text:--Blass,</w:t></w:r>
</w:p>
<w:p>
<w:pPr><w:pStyle w:val="Normal"/></w:pPr>
<w:r><w:t xml:space="preserve">1880, Lipsius, 1888; De Myst., with notes by Hickie, 1885;</w:t></w:r>
</w:p>
<w:p>
<w:pPr><w:pStyle w:val="Normal"/></w:pPr>
<w:r><w:t xml:space="preserve">De Red. and De Myst., with notes by Marchant, 1889; see</w:t></w:r>
</w:p>
<w:p>
<w:pPr><w:pStyle w:val="Normal"/></w:pPr>
<w:r><w:t xml:space="preserve">Jebb, Attic Orators; L. L. Forman, Index Andocideus, 1897.</w:t></w:r>
</w:p>
<w:p>
<w:pPr><w:pStyle w:val="Normal"/></w:pPr>
<w:r><w:t xml:space="preserve">ANDORRA, or ANDORRE, a small, neutral, autonomous, and</w:t></w:r>
</w:p>
<w:p>
<w:pPr><w:pStyle w:val="Normal"/></w:pPr>
<w:r><w:t xml:space="preserve">semi-independent state, on the Franco-Spanish frontier, and</w:t></w:r>
</w:p>
<w:p>
<w:pPr><w:pStyle w:val="Normal"/></w:pPr>
<w:r><w:t xml:space="preserve">chiefly on the peninsular side of the eastern Pyrenees.</w:t></w:r>
</w:p>
<w:p>
<w:pPr><w:pStyle w:val="Normal"/></w:pPr>
<w:r><w:t xml:space="preserve">Pop. (1900) about 5500; area about 175 sq. m.  Andorra is</w:t></w:r>
</w:p>
<w:p>
<w:pPr><w:pStyle w:val="Normal"/></w:pPr>
<w:r><w:t xml:space="preserve">surrounded by mountains, and comprises one main valley,</w:t></w:r>
</w:p>
<w:p>
<w:pPr><w:pStyle w:val="Normal"/></w:pPr>
<w:r><w:t xml:space="preserve">watered by the Gran Balira, Valira or Balire, a tributary</w:t></w:r>
</w:p>
<w:p>
<w:pPr><w:pStyle w:val="Normal"/></w:pPr>
<w:r><w:t xml:space="preserve">of the Segre, which itself flows into the Ebro; with several</w:t></w:r>
</w:p>
<w:p>
<w:pPr><w:pStyle w:val="Normal"/></w:pPr>
<w:r><w:t xml:space="preserve">smaller valleys, the most important being that of the Balira</w:t></w:r>
</w:p>
<w:p>
<w:pPr><w:pStyle w:val="Normal"/></w:pPr>
<w:r><w:t xml:space="preserve">del Orien, which joins the Gran Balira on the left.  The</w:t></w:r>
</w:p>
<w:p>
<w:pPr><w:pStyle w:val="Normal"/></w:pPr>
<w:r><w:t xml:space="preserve">territory was once densely wooded, and is said to derive</w:t></w:r>
</w:p>
<w:p>
<w:pPr><w:pStyle w:val="Normal"/></w:pPr>
<w:r><w:t xml:space="preserve">its name from the Moorish Aldarra, ``the place thick with</w:t></w:r>
</w:p>
<w:p>
<w:pPr><w:pStyle w:val="Normal"/></w:pPr>
<w:r><w:t xml:space="preserve">trees&apos;&apos;; but almost all the forests have been destroyed for</w:t></w:r>
</w:p>
<w:p>
<w:pPr><w:pStyle w:val="Normal"/></w:pPr>
<w:r><w:t xml:space="preserve">fuel.  The climate is generally cold, with very severe</w:t></w:r>
</w:p>
<w:p>
<w:pPr><w:pStyle w:val="Normal"/></w:pPr>
<w:r><w:t xml:space="preserve">winters.  The land is chiefly devoted to pasture for the</w:t></w:r>
</w:p>
<w:p>
<w:pPr><w:pStyle w:val="Normal"/></w:pPr>
<w:r><w:t xml:space="preserve">numerous flocks and herds; but on the more sheltered southern</w:t></w:r>
</w:p>
<w:p>
<w:pPr><w:pStyle w:val="Normal"/></w:pPr>
<w:r><w:t xml:space="preserve">slopes it is carefully cultivated, and produces grain,</w:t></w:r>
</w:p>
<w:p>
<w:pPr><w:pStyle w:val="Normal"/></w:pPr>
<w:r><w:t xml:space="preserve">potatoes, fruit and tobacco.  Game and trout are plentiful;</w:t></w:r>
</w:p>
<w:p>
<w:pPr><w:pStyle w:val="Normal"/></w:pPr>
<w:r><w:t xml:space="preserve">milk, butter, hams, hides and wool are exported, principally to</w:t></w:r>
</w:p>
<w:p>
<w:pPr><w:pStyle w:val="Normal"/></w:pPr>
<w:r><w:t xml:space="preserve">France.  The local industries are of the most primitive</w:t></w:r>
</w:p>
<w:p>
<w:pPr><w:pStyle w:val="Normal"/></w:pPr>
<w:r><w:t xml:space="preserve">kind, merely domestic, as in the middle ages.  Lack of</w:t></w:r>
</w:p>
<w:p>
<w:pPr><w:pStyle w:val="Normal"/></w:pPr>
<w:r><w:t xml:space="preserve">capital, of coal, and of good means of communication prevents</w:t></w:r>
</w:p>
<w:p>
<w:pPr><w:pStyle w:val="Normal"/></w:pPr>
<w:r><w:t xml:space="preserve">the inhabitants from making use of the iron and lead in</w:t></w:r>
</w:p>
<w:p>
<w:pPr><w:pStyle w:val="Normal"/></w:pPr>
<w:r><w:t xml:space="preserve">their mountains.  During the coldest winter months their</w:t></w:r>
</w:p>
<w:p>
<w:pPr><w:pStyle w:val="Normal"/></w:pPr>
<w:r><w:t xml:space="preserve">communications are much easier with Spain than through the</w:t></w:r>
</w:p>
<w:p>
<w:pPr><w:pStyle w:val="Normal"/></w:pPr>
<w:r><w:t xml:space="preserve">snow-clad passes leading into Ariege.  The only roads are</w:t></w:r>
</w:p>
<w:p>
<w:pPr><w:pStyle w:val="Normal"/></w:pPr>
<w:r><w:t xml:space="preserve">bridle-paths, and one municipal road by the Balira valley,</w:t></w:r>
</w:p>
<w:p>
<w:pPr><w:pStyle w:val="Normal"/></w:pPr>
<w:r><w:t xml:space="preserve">connecting Andorra with the high road to Seo de Urgel and</w:t></w:r>
</w:p>
<w:p>
<w:pPr><w:pStyle w:val="Normal"/></w:pPr>
<w:r><w:t xml:space="preserve">Manresa; but in 1904 France and Spain agreed to build a railway</w:t></w:r>
</w:p>
<w:p>
<w:pPr><w:pStyle w:val="Normal"/></w:pPr>
<w:r><w:t xml:space="preserve">from Ax to Ripoll, which would greatly facilitate traffic.</w:t></w:r>
</w:p>
<w:p>
<w:pPr><w:pStyle w:val="Normal"/></w:pPr>
<w:r><w:t xml:space="preserve">The Andorrans are a robust and well-proportioned race, of an</w:t></w:r>
</w:p>
<w:p>
<w:pPr><w:pStyle w:val="Normal"/></w:pPr>
<w:r><w:t xml:space="preserve">independent spirit, simple and severe in their manners.  They</w:t></w:r>
</w:p>
<w:p>
<w:pPr><w:pStyle w:val="Normal"/></w:pPr>
<w:r><w:t xml:space="preserve">are all Roman Catholics.  Apart from the wealthier landowners,</w:t></w:r>
</w:p>
<w:p>
<w:pPr><w:pStyle w:val="Normal"/></w:pPr>
<w:r><w:t xml:space="preserve">who speak French fluently, and send their children to be</w:t></w:r>
</w:p>
<w:p>
<w:pPr><w:pStyle w:val="Normal"/></w:pPr>
<w:r><w:t xml:space="preserve">educated in France, they use the Catalan dialect of Spanish.</w:t></w:r>
</w:p>
<w:p>
<w:pPr><w:pStyle w:val="Normal"/></w:pPr>
<w:r><w:t xml:space="preserve">Andorra comprises the six parishes or communes of Andorra</w:t></w:r>
</w:p>
<w:p>
<w:pPr><w:pStyle w:val="Normal"/></w:pPr>
<w:r><w:t xml:space="preserve">Vicilla, Canillo, Encamp, La Massana, Ordino and San Julian de</w:t></w:r>
</w:p>
<w:p>
<w:pPr><w:pStyle w:val="Normal"/></w:pPr>
<w:r><w:t xml:space="preserve">Loria, which are subdivided into fifty-two hamlets or pueblos.</w:t></w:r>
</w:p>
<w:p>
<w:pPr><w:pStyle w:val="Normal"/></w:pPr>
<w:r><w:t xml:space="preserve">Preserved from innovations by the mutual jealousy of rival</w:t></w:r>
</w:p>
<w:p>
<w:pPr><w:pStyle w:val="Normal"/></w:pPr>
<w:r><w:t xml:space="preserve">potentates, as well as by the conservative temper of a</w:t></w:r>
</w:p>
<w:p>
<w:pPr><w:pStyle w:val="Normal"/></w:pPr>
<w:r><w:t xml:space="preserve">pastoral population, Andorra has kept its medieval usages and</w:t></w:r>
</w:p>
<w:p>
<w:pPr><w:pStyle w:val="Normal"/></w:pPr>
<w:r><w:t xml:space="preserve">institutions almost unchanged.  In each parish two consuls,</w:t></w:r>
</w:p>
<w:p>
<w:pPr><w:pStyle w:val="Normal"/></w:pPr>
<w:r><w:t xml:space="preserve">assisted by a local council, decide matters relating to roads,</w:t></w:r>
</w:p>
<w:p>
<w:pPr><w:pStyle w:val="Normal"/></w:pPr>
<w:r><w:t xml:space="preserve">police, taxes, the division of pastures, the right to collect</w:t></w:r>
</w:p>
<w:p>
<w:pPr><w:pStyle w:val="Normal"/></w:pPr>
<w:r><w:t xml:space="preserve">wood, &amp;c. Such matters, as well as the general internal</w:t></w:r>
</w:p>
<w:p>
<w:pPr><w:pStyle w:val="Normal"/></w:pPr>
<w:r><w:t xml:space="preserve">administration of the territory, are finally regulated by a</w:t></w:r>
</w:p>
<w:p>
<w:pPr><w:pStyle w:val="Normal"/></w:pPr>
<w:r><w:t xml:space="preserve">Council General of 24 members (4 to each parish), elected since</w:t></w:r>
</w:p>
<w:p>
<w:pPr><w:pStyle w:val="Normal"/></w:pPr>
<w:r><w:t xml:space="preserve">1866 by the suffrages of all heads of families, but previously</w:t></w:r>
</w:p>
<w:p>
<w:pPr><w:pStyle w:val="Normal"/></w:pPr>
<w:r><w:t xml:space="preserve">confined to an aristocracy composed of the richest and oldest</w:t></w:r>
</w:p>
<w:p>
<w:pPr><w:pStyle w:val="Normal"/></w:pPr>
<w:r><w:t xml:space="preserve">families, whose supremacy had been preserved by the principle of</w:t></w:r>
</w:p>
<w:p>
<w:pPr><w:pStyle w:val="Normal"/></w:pPr>
<w:r><w:t xml:space="preserve">primogeniture.  A general syndic, with two inferior syndics,</w:t></w:r>
</w:p>
<w:p>
<w:pPr><w:pStyle w:val="Normal"/></w:pPr>
<w:r><w:t xml:space="preserve">chosen by the Council General, constitutes the supreme</w:t></w:r>
</w:p>
<w:p>
<w:pPr><w:pStyle w:val="Normal"/></w:pPr>
<w:r><w:t xml:space="preserve">executive of the state.  Two viguiers--one nominated by</w:t></w:r>
</w:p>
<w:p>
<w:pPr><w:pStyle w:val="Normal"/></w:pPr>
<w:r><w:t xml:space="preserve">France, and the other by the bishop of Urgel--command the</w:t></w:r>
</w:p>
<w:p>
<w:pPr><w:pStyle w:val="Normal"/></w:pPr>
<w:r><w:t xml:space="preserve">militia, which consists of about 600 men, although all capable</w:t></w:r>
</w:p>
<w:p>
<w:pPr><w:pStyle w:val="Normal"/></w:pPr>
<w:r><w:t xml:space="preserve">of bearing arms are liable to be called out.  This force is</w:t></w:r>
</w:p>
<w:p>
<w:pPr><w:pStyle w:val="Normal"/></w:pPr>
<w:r><w:t xml:space="preserve">exempt from all foreign service, and the chief office of the</w:t></w:r>
</w:p>
<w:p>
<w:pPr><w:pStyle w:val="Normal"/></w:pPr>
<w:r><w:t xml:space="preserve">viguiers is the administration of criminal justice, in which</w:t></w:r>
</w:p>
<w:p>
<w:pPr><w:pStyle w:val="Normal"/></w:pPr>
<w:r><w:t xml:space="preserve">their decisions, given simply according to their judgment and</w:t></w:r>
</w:p>
<w:p>
<w:pPr><w:pStyle w:val="Normal"/></w:pPr>
<w:r><w:t xml:space="preserve">conscience, there being no written laws, are final.  Civil</w:t></w:r>
</w:p>
<w:p>
<w:pPr><w:pStyle w:val="Normal"/></w:pPr>
<w:r><w:t xml:space="preserve">cases, on the other hand, are tried in the first instance</w:t></w:r>
</w:p>
<w:p>
<w:pPr><w:pStyle w:val="Normal"/></w:pPr>
<w:r><w:t xml:space="preserve">before one of the two aldermen, who act as deputies of the</w:t></w:r>
</w:p>
<w:p>
<w:pPr><w:pStyle w:val="Normal"/></w:pPr>
<w:r><w:t xml:space="preserve">viguiers; the judgment of this court may be set aside by</w:t></w:r>
</w:p>
<w:p>
<w:pPr><w:pStyle w:val="Normal"/></w:pPr>
<w:r><w:t xml:space="preserve">the civil judge of appeal, an officer nominated by France and</w:t></w:r>
</w:p>
<w:p>
<w:pPr><w:pStyle w:val="Normal"/></w:pPr>
<w:r><w:t xml:space="preserve">the bishop of Urgel alternately; the final appeal is either to</w:t></w:r>
</w:p>
<w:p>
<w:pPr><w:pStyle w:val="Normal"/></w:pPr>
<w:r><w:t xml:space="preserve">the Court of Cassation at Paris or to the Episcopal College at</w:t></w:r>
</w:p>
<w:p>
<w:pPr><w:pStyle w:val="Normal"/></w:pPr>
<w:r><w:t xml:space="preserve">Urgel.  The French viguier is taken from the French department</w:t></w:r>
</w:p>
<w:p>
<w:pPr><w:pStyle w:val="Normal"/></w:pPr>
<w:r><w:t xml:space="preserve">of Ariege and appointed for life, but the viguier of the</w:t></w:r>
</w:p>
<w:p>
<w:pPr><w:pStyle w:val="Normal"/></w:pPr>
<w:r><w:t xml:space="preserve">bishop must be an Andorran, holding office for three years and</w:t></w:r>
</w:p>
<w:p>
<w:pPr><w:pStyle w:val="Normal"/></w:pPr>
<w:r><w:t xml:space="preserve">re-eligible.  There are notaries and clerks, auditors for each</w:t></w:r>
</w:p>
<w:p>
<w:pPr><w:pStyle w:val="Normal"/></w:pPr>
<w:r><w:t xml:space="preserve">parish elected by the heads of families, police agents and</w:t></w:r>
</w:p>
<w:p>
<w:pPr><w:pStyle w:val="Normal"/></w:pPr>
<w:r><w:t xml:space="preserve">bailiffs, chosen and sworn in, like all the above officers,</w:t></w:r>
</w:p>
<w:p>
<w:pPr><w:pStyle w:val="Normal"/></w:pPr>
<w:r><w:t xml:space="preserve">by the Council General.  The archives are mostly kept in the</w:t></w:r>
</w:p>
<w:p>
<w:pPr><w:pStyle w:val="Normal"/></w:pPr>
<w:r><w:t xml:space="preserve">``house of the valley&apos;&apos; in the capital, Andorra Vicilla, a</w:t></w:r>
</w:p>
<w:p>
<w:pPr><w:pStyle w:val="Normal"/></w:pPr>
<w:r><w:t xml:space="preserve">struggling village of 600 inhabitants.  In this government</w:t></w:r>
</w:p>
<w:p>
<w:pPr><w:pStyle w:val="Normal"/></w:pPr>
<w:r><w:t xml:space="preserve">house the Council General meets and has a chapel.  Here</w:t></w:r>
</w:p>
<w:p>
<w:pPr><w:pStyle w:val="Normal"/></w:pPr>
<w:r><w:t xml:space="preserve">also the aldermen, viguiers and judge of appeal administer</w:t></w:r>
</w:p>
<w:p>
<w:pPr><w:pStyle w:val="Normal"/></w:pPr>
<w:r><w:t xml:space="preserve">justice and assemble for all purposes of administration.  Two</w:t></w:r>
</w:p>
<w:p>
<w:pPr><w:pStyle w:val="Normal"/></w:pPr>
<w:r><w:t xml:space="preserve">magistrates, styled rahanadores, are appointed by the Council</w:t></w:r>
</w:p>
<w:p>
<w:pPr><w:pStyle w:val="Normal"/></w:pPr>
<w:r><w:t xml:space="preserve">General to see that viguiers and judges preserve the customs</w:t></w:r>
</w:p>
<w:p>
<w:pPr><w:pStyle w:val="Normal"/></w:pPr>
<w:r><w:t xml:space="preserve">and privileges of Andorra.  The parishes have a permanent</w:t></w:r>
</w:p>
<w:p>
<w:pPr><w:pStyle w:val="Normal"/></w:pPr>
<w:r><w:t xml:space="preserve">patrol of six armed men besides the militia.  Spain and the</w:t></w:r>
</w:p>
<w:p>
<w:pPr><w:pStyle w:val="Normal"/></w:pPr>
<w:r><w:t xml:space="preserve">bishop of Urgel are very jealous of French encroachments, and</w:t></w:r>
</w:p>
<w:p>
<w:pPr><w:pStyle w:val="Normal"/></w:pPr>
<w:r><w:t xml:space="preserve">claim to have a better right ultimately to annex the little</w:t></w:r>
</w:p>
<w:p>
<w:pPr><w:pStyle w:val="Normal"/></w:pPr>
<w:r><w:t xml:space="preserve">state.  In the meanwhile it continues to pay each of the</w:t></w:r>
</w:p>
<w:p>
<w:pPr><w:pStyle w:val="Normal"/></w:pPr>
<w:r><w:t xml:space="preserve">suzerain powers L. 40 a year, levied by a tax on pastures.</w:t></w:r>
</w:p>
<w:p>
<w:pPr><w:pStyle w:val="Normal"/></w:pPr>
<w:r><w:t xml:space="preserve">Andorra is the sole surviving specimen of the independence</w:t></w:r>
</w:p>
<w:p>
<w:pPr><w:pStyle w:val="Normal"/></w:pPr>
<w:r><w:t xml:space="preserve">possessed in medieval times by the warlike inhabitants of</w:t></w:r>
</w:p>
<w:p>
<w:pPr><w:pStyle w:val="Normal"/></w:pPr>
<w:r><w:t xml:space="preserve">many Pyrenean valleys.  Its privileges have remained intact,</w:t></w:r>
</w:p>
<w:p>
<w:pPr><w:pStyle w:val="Normal"/></w:pPr>
<w:r><w:t xml:space="preserve">because the suzerainty of the district became equally and</w:t></w:r>
</w:p>
<w:p>
<w:pPr><w:pStyle w:val="Normal"/></w:pPr>
<w:r><w:t xml:space="preserve">indivisibly shared in 1278 between the bishops of Urgel and</w:t></w:r>
</w:p>
<w:p>
<w:pPr><w:pStyle w:val="Normal"/></w:pPr>
<w:r><w:t xml:space="preserve">the counts of Foix, the divided suzerainty being now inherited</w:t></w:r>
</w:p>
<w:p>
<w:pPr><w:pStyle w:val="Normal"/></w:pPr>
<w:r><w:t xml:space="preserve">by the French crown and the present bishop of Urgel; and</w:t></w:r>
</w:p>
<w:p>
<w:pPr><w:pStyle w:val="Normal"/></w:pPr>
<w:r><w:t xml:space="preserve">the two powers have mutually checked innovations, while the</w:t></w:r>
</w:p>
<w:p>
<w:pPr><w:pStyle w:val="Normal"/></w:pPr>
<w:r><w:t xml:space="preserve">insignificant territory has not been worth a dispute.  Thus</w:t></w:r>
</w:p>
<w:p>
<w:pPr><w:pStyle w:val="Normal"/></w:pPr>
<w:r><w:t xml:space="preserve">Andorra is not a republic, but is designated in official</w:t></w:r>
</w:p>
<w:p>
<w:pPr><w:pStyle w:val="Normal"/></w:pPr>
<w:r><w:t xml:space="preserve">documents as the Vallees et Suzerainetes. Before 1278</w:t></w:r>
</w:p>
<w:p>
<w:pPr><w:pStyle w:val="Normal"/></w:pPr>
<w:r><w:t xml:space="preserve">it was under the suzerainty of the neighbouring counts of</w:t></w:r>
</w:p>
<w:p>
<w:pPr><w:pStyle w:val="Normal"/></w:pPr>
<w:r><w:t xml:space="preserve">Castelbo, to whom it had been ceded in 1170 by the counts of</w:t></w:r>
</w:p>
<w:p>
<w:pPr><w:pStyle w:val="Normal"/></w:pPr>
<w:r><w:t xml:space="preserve">Urgel.  A marriage between the heiress of Castelbo and Roger</w:t></w:r>
</w:p>
<w:p>
<w:pPr><w:pStyle w:val="Normal"/></w:pPr>
<w:r><w:t xml:space="preserve">Bernard, count of Foix, carried the rights of the above-named</w:t></w:r>
</w:p>
<w:p>
<w:pPr><w:pStyle w:val="Normal"/></w:pPr>
<w:r><w:t xml:space="preserve">Spanish counts into the house of Foix, and hence subsequently</w:t></w:r>
</w:p>
<w:p>
<w:pPr><w:pStyle w:val="Normal"/></w:pPr>
<w:r><w:t xml:space="preserve">to the crown of France, when the heritage of the feudal</w:t></w:r>
</w:p>
<w:p>
<w:pPr><w:pStyle w:val="Normal"/></w:pPr>
<w:r><w:t xml:space="preserve">system was absorbed by the sovereign; but the bishops of</w:t></w:r>
</w:p>
<w:p>
<w:pPr><w:pStyle w:val="Normal"/></w:pPr>
<w:r><w:t xml:space="preserve">Urgel claimed certain rights, which after long disputes were</w:t></w:r>
</w:p>
<w:p>
<w:pPr><w:pStyle w:val="Normal"/></w:pPr>
<w:r><w:t xml:space="preserve">satisfied by the ``Act of Division&apos;&apos; executed in 1278.  The</w:t></w:r>
</w:p>
<w:p>
<w:pPr><w:pStyle w:val="Normal"/></w:pPr>
<w:r><w:t xml:space="preserve">claims of the bishopric dated from Carolingian times, and the</w:t></w:r>
</w:p>
<w:p>
<w:pPr><w:pStyle w:val="Normal"/></w:pPr>
<w:r><w:t xml:space="preserve">independence of Andorra, like most other Pyrenean anomalies,</w:t></w:r>
</w:p>
<w:p>
<w:pPr><w:pStyle w:val="Normal"/></w:pPr>
<w:r><w:t xml:space="preserve">has been traditionally ascribed to Charlemagne (742-814).</w:t></w:r>
</w:p>
<w:p>
<w:pPr><w:pStyle w:val="Normal"/></w:pPr>
<w:r><w:t xml:space="preserve">AUTHORITIES.--With the exception of Etudes geographiques</w:t></w:r>
</w:p>
<w:p>
<w:pPr><w:pStyle w:val="Normal"/></w:pPr>
<w:r><w:t xml:space="preserve">sur la vallee d&apos;Andorre, by J. Blade (Paris, 1875), the</w:t></w:r>
</w:p>
<w:p>
<w:pPr><w:pStyle w:val="Normal"/></w:pPr>
<w:r><w:t xml:space="preserve">standard books on Andorra deal mainly with its history and</w:t></w:r>
</w:p>
<w:p>
<w:pPr><w:pStyle w:val="Normal"/></w:pPr>
<w:r><w:t xml:space="preserve">institutions.  They comprise the following:--The Valley of</w:t></w:r>
</w:p>
<w:p>
<w:pPr><w:pStyle w:val="Normal"/></w:pPr>
<w:r><w:t xml:space="preserve">Andorra, translated from the French of E. B. Berthet by F.</w:t></w:r>
</w:p>
<w:p>
<w:pPr><w:pStyle w:val="Normal"/></w:pPr>
<w:r><w:t xml:space="preserve">H. Deverell (Bristol, 1886); J. Aviles Arnau, El Pallas y</w:t></w:r>
</w:p>
<w:p>
<w:pPr><w:pStyle w:val="Normal"/></w:pPr>
<w:r><w:t xml:space="preserve">Andorra (Barcelona, 1893); L. Dalmau de Baquer, Historia</w:t></w:r>
</w:p>
<w:p>
<w:pPr><w:pStyle w:val="Normal"/></w:pPr>
<w:r><w:t xml:space="preserve">de la Republica de Andorra (Barcelona, 1849): C. Baudon</w:t></w:r>
</w:p>
<w:p>
<w:pPr><w:pStyle w:val="Normal"/></w:pPr>
<w:r><w:t xml:space="preserve">de Mony, Origines historiques de la question d&apos;Andorre</w:t></w:r>
</w:p>
<w:p>
<w:pPr><w:pStyle w:val="Normal"/></w:pPr>
<w:r><w:t xml:space="preserve">(in the Bibliotheque de l&apos;Ecole des Chartes, vol.</w:t></w:r>
</w:p>
<w:p>
<w:pPr><w:pStyle w:val="Normal"/></w:pPr>
<w:r><w:t xml:space="preserve">46, Paris, 1885).  See also C. Baudon de Mony, Relations</w:t></w:r>
</w:p>
<w:p>
<w:pPr><w:pStyle w:val="Normal"/></w:pPr>
<w:r><w:t xml:space="preserve">politiques des comtes de Foix avec la Catalogue, jusqu&apos;au</w:t></w:r>
</w:p>
<w:p>
<w:pPr><w:pStyle w:val="Normal"/></w:pPr>
<w:r><w:t xml:space="preserve">commencement du XIVe siecle (Paris, 1896).  A fair</w:t></w:r>
</w:p>
<w:p>
<w:pPr><w:pStyle w:val="Normal"/></w:pPr>
<w:r><w:t xml:space="preserve">map was published by A. Hartleben, of Vienna, in 1898.</w:t></w:r>
</w:p>
<w:p>
<w:pPr><w:pStyle w:val="Normal"/></w:pPr>
<w:r><w:t xml:space="preserve">ANDOVER, a market-town and municipal borough in the Andover</w:t></w:r>
</w:p>
<w:p>
<w:pPr><w:pStyle w:val="Normal"/></w:pPr>
<w:r><w:t xml:space="preserve">parliamentary division of Hampshire, England, 67 m.  W.S.W.</w:t></w:r>
</w:p>
<w:p>
<w:pPr><w:pStyle w:val="Normal"/></w:pPr>
<w:r><w:t xml:space="preserve">of London by the London &amp; South Western railway, served also</w:t></w:r>
</w:p>
<w:p>
<w:pPr><w:pStyle w:val="Normal"/></w:pPr>
<w:r><w:t xml:space="preserve">by the Midland &amp; South Western Junction railway.  Area 8663</w:t></w:r>
</w:p>
<w:p>
<w:pPr><w:pStyle w:val="Normal"/></w:pPr>
<w:r><w:t xml:space="preserve">acres.  Pop. (1901) 6509.  It is pleasantly situated</w:t></w:r>
</w:p>
<w:p>
<w:pPr><w:pStyle w:val="Normal"/></w:pPr>
<w:r><w:t xml:space="preserve">on the river Anton, a tributary of the Test, in a hilly</w:t></w:r>
</w:p>
<w:p>
<w:pPr><w:pStyle w:val="Normal"/></w:pPr>
<w:r><w:t xml:space="preserve">district.  The church of St Mary replaced an ancient one</w:t></w:r>
</w:p>
<w:p>
<w:pPr><w:pStyle w:val="Normal"/></w:pPr>
<w:r><w:t xml:space="preserve">in 1848; a Norman doorway is preserved from the original</w:t></w:r>
</w:p>
<w:p>
<w:pPr><w:pStyle w:val="Normal"/></w:pPr>
<w:r><w:t xml:space="preserve">structure.  The site of a Norman priory can be traced.  Several</w:t></w:r>
</w:p>
<w:p>
<w:pPr><w:pStyle w:val="Normal"/></w:pPr>
<w:r><w:t xml:space="preserve">early earthworks are seen in the vicinity, among which the</w:t></w:r>
</w:p>
<w:p>
<w:pPr><w:pStyle w:val="Normal"/></w:pPr>
<w:r><w:t xml:space="preserve">circular camp on Bury Hill, S.W. of the town, is a very fine</w:t></w:r>
</w:p>
<w:p>
<w:pPr><w:pStyle w:val="Normal"/></w:pPr>
<w:r><w:t xml:space="preserve">example.  It is probably of British origin.  Andover is</w:t></w:r>
</w:p>
<w:p>
<w:pPr><w:pStyle w:val="Normal"/></w:pPr>
<w:r><w:t xml:space="preserve">the centre of a large agricultural district.  Malting</w:t></w:r>
</w:p>
<w:p>
<w:pPr><w:pStyle w:val="Normal"/></w:pPr>
<w:r><w:t xml:space="preserve">is carried on and there is a large iron-foundry; but the</w:t></w:r>
</w:p>
<w:p>
<w:pPr><w:pStyle w:val="Normal"/></w:pPr>
<w:r><w:t xml:space="preserve">silk manufactures, once prosperous, are now extinct.  The</w:t></w:r>
</w:p>
<w:p>
<w:pPr><w:pStyle w:val="Normal"/></w:pPr>
<w:r><w:t xml:space="preserve">corporation consists of a mayor, 4 aldermen and 12 councillors.</w:t></w:r>
</w:p>
<w:p>
<w:pPr><w:pStyle w:val="Normal"/></w:pPr>
<w:r><w:t xml:space="preserve">There are numerous Roman villas in the district, but Andover</w:t></w:r>
</w:p>
<w:p>
<w:pPr><w:pStyle w:val="Normal"/></w:pPr>
<w:r><w:t xml:space="preserve">itself is not a Roman site.  The town, the name of which</w:t></w:r>
</w:p>
<w:p>
<w:pPr><w:pStyle w:val="Normal"/></w:pPr>
<w:r><w:t xml:space="preserve">appears in the forms Andefeian, Andieura and Andover, probably</w:t></w:r>
</w:p>
<w:p>
<w:pPr><w:pStyle w:val="Normal"/></w:pPr>
<w:r><w:t xml:space="preserve">owes much of its importance to the neighbourhood of the</w:t></w:r>
</w:p>
<w:p>
<w:pPr><w:pStyle w:val="Normal"/></w:pPr>
<w:r><w:t xml:space="preserve">Roman road from Silchester to Old Sarum.  It is mentioned</w:t></w:r>
</w:p>
<w:p>
<w:pPr><w:pStyle w:val="Normal"/></w:pPr>
<w:r><w:t xml:space="preserve">in King Edred&apos;s will, a document of doubtful authenticity,</w:t></w:r>
</w:p>
<w:p>
<w:pPr><w:pStyle w:val="Normal"/></w:pPr>
<w:r><w:t xml:space="preserve">dated c. 955. Later the Witenagemot met here, and it is the</w:t></w:r>
</w:p>
<w:p>
<w:pPr><w:pStyle w:val="Normal"/></w:pPr>
<w:r><w:t xml:space="preserve">traditional scene of the meeting of AEthelred and Olaf the</w:t></w:r>
</w:p>
<w:p>
<w:pPr><w:pStyle w:val="Normal"/></w:pPr>
<w:r><w:t xml:space="preserve">Dane.  Andover existed as a borough before 1176, and Henry II.</w:t></w:r>
</w:p>
<w:p>
<w:pPr><w:pStyle w:val="Normal"/></w:pPr>
<w:r><w:t xml:space="preserve">exempted its inhabitants from toll and passage.  In 1201 King</w:t></w:r>
</w:p>
<w:p>
<w:pPr><w:pStyle w:val="Normal"/></w:pPr>
<w:r><w:t xml:space="preserve">John increased the farm paid by the burgesses, while Henry</w:t></w:r>
</w:p>
<w:p>
<w:pPr><w:pStyle w:val="Heading1"/></w:pPr>
<w:r><w:t>III. granted them return of writs, probate of wills and other</w:t></w:r>
</w:p>
<w:p>
<w:pPr><w:pStyle w:val="Normal"/></w:pPr>
<w:r><w:t xml:space="preserve">privileges.  The corporation was reconstituted in 1599 and</w:t></w:r>
</w:p>
<w:p>
<w:pPr><w:pStyle w:val="Normal"/></w:pPr>
<w:r><w:t xml:space="preserve">again in 1682.  From 1295 till 1305 the burgesses returned</w:t></w:r>
</w:p>
<w:p>
<w:pPr><w:pStyle w:val="Normal"/></w:pPr>
<w:r><w:t xml:space="preserve">two members to parliament but then ceased to do so till</w:t></w:r>
</w:p>
<w:p>
<w:pPr><w:pStyle w:val="Normal"/></w:pPr>
<w:r><w:t xml:space="preserve">1586.  After the reform of 1867 they returned only one member</w:t></w:r>
</w:p>
<w:p>
<w:pPr><w:pStyle w:val="Normal"/></w:pPr>
<w:r><w:t xml:space="preserve">and in 1885 the borough was disfranchised.  A gild merchant is</w:t></w:r>
</w:p>
<w:p>
<w:pPr><w:pStyle w:val="Normal"/></w:pPr>
<w:r><w:t xml:space="preserve">mentioned as early as 1175.  The cattle-market was granted in</w:t></w:r>
</w:p>
<w:p>
<w:pPr><w:pStyle w:val="Normal"/></w:pPr>
<w:r><w:t xml:space="preserve">1682, and there is an ancient corn-market, probably held by</w:t></w:r>
</w:p>
<w:p>
<w:pPr><w:pStyle w:val="Normal"/></w:pPr>
<w:r><w:t xml:space="preserve">prescription.  The November sheep-fair dates from 1205, and the</w:t></w:r>
</w:p>
<w:p>
<w:pPr><w:pStyle w:val="Normal"/></w:pPr>
<w:r><w:t xml:space="preserve">neighbouring fair at Weyhill: (since 1599 a part of the borough)</w:t></w:r>
</w:p>
<w:p>
<w:pPr><w:pStyle w:val="Normal"/></w:pPr>
<w:r><w:t xml:space="preserve">was formerly among the most important in England.  The town</w:t></w:r>
</w:p>
<w:p>
<w:pPr><w:pStyle w:val="Normal"/></w:pPr>
<w:r><w:t xml:space="preserve">possessed an iron-market early m the 14th century.  At that date</w:t></w:r>
</w:p>
<w:p>
<w:pPr><w:pStyle w:val="Normal"/></w:pPr>
<w:r><w:t xml:space="preserve">the wool-trade also was very prosperous, and the manufactures of</w:t></w:r>
</w:p>
<w:p>
<w:pPr><w:pStyle w:val="Normal"/></w:pPr>
<w:r><w:t xml:space="preserve">silk and parchment are among the extinct industries of the town.</w:t></w:r>
</w:p>
<w:p>
<w:pPr><w:pStyle w:val="Normal"/></w:pPr>
<w:r><w:t xml:space="preserve">ANDOVER, a township of Essex county, Massachusetts,</w:t></w:r>
</w:p>
<w:p>
<w:pPr><w:pStyle w:val="Normal"/></w:pPr>
<w:r><w:t xml:space="preserve">U.S.A., pleasantly situated on the S. side of the Merrimac</w:t></w:r>
</w:p>
<w:p>
<w:pPr><w:pStyle w:val="Normal"/></w:pPr>
<w:r><w:t xml:space="preserve">Valley.  Pop. (1890) 6142; (1900) 6813; (1910 U.S. census)</w:t></w:r>
</w:p>
<w:p>
<w:pPr><w:pStyle w:val="Normal"/></w:pPr>
<w:r><w:t xml:space="preserve">7301.  The Shawsheen river supplies power for a considerable</w:t></w:r>
</w:p>
<w:p>
<w:pPr><w:pStyle w:val="Normal"/></w:pPr>
<w:r><w:t xml:space="preserve">manufacturing industry (twine, woollens and rubber goods being</w:t></w:r>
</w:p>
<w:p>
<w:pPr><w:pStyle w:val="Normal"/></w:pPr>
<w:r><w:t xml:space="preserve">manufactured) in the villages of Andover, Ballardville and</w:t></w:r>
</w:p>
<w:p>
<w:pPr><w:pStyle w:val="Normal"/></w:pPr>
<w:r><w:t xml:space="preserve">Frye.  Andover, the principal village, is about 23 m.  N. of</w:t></w:r>
</w:p>
<w:p>
<w:pPr><w:pStyle w:val="Normal"/></w:pPr>
<w:r><w:t xml:space="preserve">Boston and is served by the western division of the Boston</w:t></w:r>
</w:p>
<w:p>
<w:pPr><w:pStyle w:val="Normal"/></w:pPr>
<w:r><w:t xml:space="preserve">&amp; Maine railway and by interurban electric railways.  The</w:t></w:r>
</w:p>
<w:p>
<w:pPr><w:pStyle w:val="Normal"/></w:pPr>
<w:r><w:t xml:space="preserve">township is noteworthy for its educational institutions.  Abbot</w:t></w:r>
</w:p>
<w:p>
<w:pPr><w:pStyle w:val="Normal"/></w:pPr>
<w:r><w:t xml:space="preserve">Academy, opened in 1829, is said to be the oldest existing</w:t></w:r>
</w:p>
<w:p>
<w:pPr><w:pStyle w:val="Normal"/></w:pPr>
<w:r><w:t xml:space="preserve">academy in the United States incorporated for the education of</w:t></w:r>
</w:p>
<w:p>
<w:pPr><w:pStyle w:val="Normal"/></w:pPr>
<w:r><w:t xml:space="preserve">girls alone; an art gallery, given to the academy by Mrs John</w:t></w:r>
</w:p>
<w:p>
<w:pPr><w:pStyle w:val="Normal"/></w:pPr>
<w:r><w:t xml:space="preserve">Byers, was opened in 1907.  Phillips Academy, opened in 1778</w:t></w:r>
</w:p>
<w:p>
<w:pPr><w:pStyle w:val="Normal"/></w:pPr>
<w:r><w:t xml:space="preserve">(incorporated in 1780), was the first incorporated academy</w:t></w:r>
</w:p>
<w:p>
<w:pPr><w:pStyle w:val="Normal"/></w:pPr>
<w:r><w:t xml:space="preserve">of the state; it was founded through the efforts of Samuel</w:t></w:r>
</w:p>
<w:p>
<w:pPr><w:pStyle w:val="Normal"/></w:pPr>
<w:r><w:t xml:space="preserve">Phillips (1752-1802, president of the Massachusetts senate</w:t></w:r>
</w:p>
<w:p>
<w:pPr><w:pStyle w:val="Normal"/></w:pPr>
<w:r><w:t xml:space="preserve">in 1785-1787 and in 1788-1801, and lieutenant-governor of</w:t></w:r>
</w:p>
<w:p>
<w:pPr><w:pStyle w:val="Normal"/></w:pPr>
<w:r><w:t xml:space="preserve">Massachusetts in 1801-1802), by his father, Samuel Phillips</w:t></w:r>
</w:p>
<w:p>
<w:pPr><w:pStyle w:val="Normal"/></w:pPr>
<w:r><w:t xml:space="preserve">(1715-1790), and his uncle, John Phillips (1719-1795), ``for</w:t></w:r>
</w:p>
<w:p>
<w:pPr><w:pStyle w:val="Normal"/></w:pPr>
<w:r><w:t xml:space="preserve">the purpose of instructing youth, not only in English and Latin</w:t></w:r>
</w:p>
<w:p>
<w:pPr><w:pStyle w:val="Normal"/></w:pPr>
<w:r><w:t xml:space="preserve">grammar, writing, arithmetic and those sciences wherein they</w:t></w:r>
</w:p>
<w:p>
<w:pPr><w:pStyle w:val="Normal"/></w:pPr>
<w:r><w:t xml:space="preserve">are commonly taught, but more especially to learn them the great</w:t></w:r>
</w:p>
<w:p>
<w:pPr><w:pStyle w:val="Normal"/></w:pPr>
<w:r><w:t xml:space="preserve">end and real business of living.&apos;&apos; It is one of the largest</w:t></w:r>
</w:p>
<w:p>
<w:pPr><w:pStyle w:val="Normal"/></w:pPr>
<w:r><w:t xml:space="preserve">secondary schools in New England and enjoys a wide and high</w:t></w:r>
</w:p>
<w:p>
<w:pPr><w:pStyle w:val="Normal"/></w:pPr>
<w:r><w:t xml:space="preserve">reputation.  An archaeological department, with an important</w:t></w:r>
</w:p>
<w:p>
<w:pPr><w:pStyle w:val="Normal"/></w:pPr>
<w:r><w:t xml:space="preserve">collection in American archaeology, was founded by Robert S.</w:t></w:r>
</w:p>
<w:p>
<w:pPr><w:pStyle w:val="Normal"/></w:pPr>
<w:r><w:t xml:space="preserve">Peabody and his wife in 1901.  The Academy grounds include</w:t></w:r>
</w:p>
<w:p>
<w:pPr><w:pStyle w:val="Normal"/></w:pPr>
<w:r><w:t xml:space="preserve">those occupied in 1808-1909 by the Andover Theological Seminary</w:t></w:r>
</w:p>
<w:p>
<w:pPr><w:pStyle w:val="Normal"/></w:pPr>
<w:r><w:t xml:space="preserve">before its removal to Cambridge (q.v..) Andover was settled</w:t></w:r>
</w:p>
<w:p>
<w:pPr><w:pStyle w:val="Normal"/></w:pPr>
<w:r><w:t xml:space="preserve">about 1643 and was incorporated in 1646, being named from the</w:t></w:r>
</w:p>
<w:p>
<w:pPr><w:pStyle w:val="Normal"/></w:pPr>
<w:r><w:t xml:space="preserve">English town of Andover, Hampshire, whence some of the chief</w:t></w:r>
</w:p>
<w:p>
<w:pPr><w:pStyle w:val="Normal"/></w:pPr>
<w:r><w:t xml:space="preserve">settlers had migrated; the first settlement was made in what</w:t></w:r>
</w:p>
<w:p>
<w:pPr><w:pStyle w:val="Normal"/></w:pPr>
<w:r><w:t xml:space="preserve">is now the township of North Andover (pop. 5529 in 1910),</w:t></w:r>
</w:p>
<w:p>
<w:pPr><w:pStyle w:val="Normal"/></w:pPr>
<w:r><w:t xml:space="preserve">which was separated from Andover in 1885.  Simon Bradstreet</w:t></w:r>
</w:p>
<w:p>
<w:pPr><w:pStyle w:val="Normal"/></w:pPr>
<w:r><w:t xml:space="preserve">(1603-1697), important among the early men of Massachusetts,</w:t></w:r>
</w:p>
<w:p>
<w:pPr><w:pStyle w:val="Normal"/></w:pPr>
<w:r><w:t xml:space="preserve">was one of the founders; and his wife, Anne Dudley Bradstreet</w:t></w:r>
</w:p>
<w:p>
<w:pPr><w:pStyle w:val="Normal"/></w:pPr>
<w:r><w:t xml:space="preserve">(1612-1672), was the first woman versifier of America; the</w:t></w:r>
</w:p>
<w:p>
<w:pPr><w:pStyle w:val="Normal"/></w:pPr>
<w:r><w:t xml:space="preserve">Bradstreet house in North Andover, said to have been built about</w:t></w:r>
</w:p>
<w:p>
<w:pPr><w:pStyle w:val="Normal"/></w:pPr>
<w:r><w:t xml:space="preserve">1667, is still standing.  Andover was a prominent centre in</w:t></w:r>
</w:p>
<w:p>
<w:pPr><w:pStyle w:val="Normal"/></w:pPr>
<w:r><w:t xml:space="preserve">the witchcraft trials of 1692.  Elizabeth Stuart Phelps-Ward</w:t></w:r>
</w:p>
<w:p>
<w:pPr><w:pStyle w:val="Normal"/></w:pPr>
<w:r><w:t xml:space="preserve">was born and lived for many years in Andover, and Harriet</w:t></w:r>
</w:p>
<w:p>
<w:pPr><w:pStyle w:val="Normal"/></w:pPr>
<w:r><w:t xml:space="preserve">Beecher Stowe lived here from 1852 to 1864 and is buried here.</w:t></w:r>
</w:p>
<w:p>
<w:pPr><w:pStyle w:val="Normal"/></w:pPr>
<w:r><w:t xml:space="preserve">See S. L. Bailey, Historical Sketches of Anidover (Boston, 1880);</w:t></w:r>
</w:p>
<w:p>
<w:pPr><w:pStyle w:val="Normal"/></w:pPr>
<w:r><w:t xml:space="preserve">John L. Taylor, Memoir of Samuel Phillips (Boston, 1856); and</w:t></w:r>
</w:p>
<w:p>
<w:pPr><w:pStyle w:val="Normal"/></w:pPr>
<w:r><w:t xml:space="preserve">Philena and Phebe F. M`Keen, History of Abbot Academy (Andover, 1880).</w:t></w:r>
</w:p>
<w:p>
<w:pPr><w:pStyle w:val="Normal"/></w:pPr>
<w:r><w:t xml:space="preserve">ANDRADA, DIEGO DE PAIVA DE (1528-1575), Portuguese</w:t></w:r>
</w:p>
<w:p>
<w:pPr><w:pStyle w:val="Normal"/></w:pPr>
<w:r><w:t xml:space="preserve">theologian, was born at Coimbra, son of the grand treasurer</w:t></w:r>
</w:p>
<w:p>
<w:pPr><w:pStyle w:val="Normal"/></w:pPr>
<w:r><w:t xml:space="preserve">of John III. His original bent was towards foreign mission.</w:t></w:r>
</w:p>
<w:p>
<w:pPr><w:pStyle w:val="Normal"/></w:pPr>
<w:r><w:t xml:space="preserve">He earned distinction in 1562 at the council of Trent as</w:t></w:r>
</w:p>
<w:p>
<w:pPr><w:pStyle w:val="Normal"/></w:pPr>
<w:r><w:t xml:space="preserve">envoy of King Sebastian.  Between 1562 and 1567 he published</w:t></w:r>
</w:p>
<w:p>
<w:pPr><w:pStyle w:val="Normal"/></w:pPr>
<w:r><w:t xml:space="preserve">many controversial tracts, especially against the Lutheran,</w:t></w:r>
</w:p>
<w:p>
<w:pPr><w:pStyle w:val="Normal"/></w:pPr>
<w:r><w:t xml:space="preserve">Martin Chemnitz (q.v..) His first tract, De Societatis</w:t></w:r>
</w:p>
<w:p>
<w:pPr><w:pStyle w:val="Normal"/></w:pPr>
<w:r><w:t xml:space="preserve">Jesu Origine, led to his being erroneously presumed a</w:t></w:r>
</w:p>
<w:p>
<w:pPr><w:pStyle w:val="Normal"/></w:pPr>
<w:r><w:t xml:space="preserve">Jesuit (P. Alegambe, Biblioth.  Scriptorum S. J., 1676, p.</w:t></w:r>
</w:p>
<w:p>
<w:pPr><w:pStyle w:val="Normal"/></w:pPr>
<w:r><w:t xml:space="preserve">177).  His De Conciliorum Auctoritate was welcomed</w:t></w:r>
</w:p>
<w:p>
<w:pPr><w:pStyle w:val="Normal"/></w:pPr>
<w:r><w:t xml:space="preserve">at Rome as exalting the papal authority.  Posthumous were</w:t></w:r>
</w:p>
<w:p>
<w:pPr><w:pStyle w:val="Normal"/></w:pPr>
<w:r><w:t xml:space="preserve">his Defensio Tridentinae Fidei, 1578 (remarkable for its</w:t></w:r>
</w:p>
<w:p>
<w:pPr><w:pStyle w:val="Normal"/></w:pPr>
<w:r><w:t xml:space="preserve">learned statement of various opinions regarding the Immaculate</w:t></w:r>
</w:p>
<w:p>
<w:pPr><w:pStyle w:val="Normal"/></w:pPr>
<w:r><w:t xml:space="preserve">Conception), and three sets of his sermons in Portuguese.</w:t></w:r>
</w:p>
<w:p>
<w:pPr><w:pStyle w:val="Normal"/></w:pPr>
<w:r><w:t xml:space="preserve">His nephew, DIEGO, the younger (1586-1660), produced Chauleidos</w:t></w:r>
</w:p>
<w:p>
<w:pPr><w:pStyle w:val="Normal"/></w:pPr>
<w:r><w:t xml:space="preserve">(1628) and other Latin poems, including sacred dramas; a novel,</w:t></w:r>
</w:p>
<w:p>
<w:pPr><w:pStyle w:val="Normal"/></w:pPr>
<w:r><w:t xml:space="preserve">Casamento Perfeito (1630); and shone as a historical critic.</w:t></w:r>
</w:p>
<w:p>
<w:pPr><w:pStyle w:val="Normal"/></w:pPr>
<w:r><w:t xml:space="preserve">See Bibliographie Universelle (1811); N. Antonio, Biblioth.</w:t></w:r>
</w:p>
<w:p>
<w:pPr><w:pStyle w:val="Normal"/></w:pPr>
<w:r><w:t xml:space="preserve">Hisp. Nova (1783), i. 304; and for the nephew, life</w:t></w:r>
</w:p>
<w:p>
<w:pPr><w:pStyle w:val="Normal"/></w:pPr>
<w:r><w:t xml:space="preserve">by A. Dos Reys in Corp.  Illust Poet.  Lat. (1745) iii.</w:t></w:r>
</w:p>
<w:p>
<w:pPr><w:pStyle w:val="Normal"/></w:pPr>
<w:r><w:t xml:space="preserve">ANDRADA E SYLVA, BONIFACIO JOZE D&apos;, (1765-1838), Brazilian</w:t></w:r>
</w:p>
<w:p>
<w:pPr><w:pStyle w:val="Normal"/></w:pPr>
<w:r><w:t xml:space="preserve">statesman and naturalist, was born at Villa de Santos, near Rio</w:t></w:r>
</w:p>
<w:p>
<w:pPr><w:pStyle w:val="Normal"/></w:pPr>
<w:r><w:t xml:space="preserve">Janeiro.  In 1800 he was appointed professor of geology at</w:t></w:r>
</w:p>
<w:p>
<w:pPr><w:pStyle w:val="Normal"/></w:pPr>
<w:r><w:t xml:space="preserve">Coimbra, and soon after inspector-general of the Portuguese mines;</w:t></w:r>
</w:p>
<w:p>
<w:pPr><w:pStyle w:val="Normal"/></w:pPr>
<w:r><w:t xml:space="preserve">and in 1812 he was made perpetual secretary of the Academy of</w:t></w:r>
</w:p>
<w:p>
<w:pPr><w:pStyle w:val="Normal"/></w:pPr>
<w:r><w:t xml:space="preserve">Lisbon.  Returning to Brazil in 1819, he urged Dom Pedro to</w:t></w:r>
</w:p>
<w:p>
<w:pPr><w:pStyle w:val="Normal"/></w:pPr>
<w:r><w:t xml:space="preserve">resist the recall of the Lisbon court, and was appointed one</w:t></w:r>
</w:p>
<w:p>
<w:pPr><w:pStyle w:val="Normal"/></w:pPr>
<w:r><w:t xml:space="preserve">of his ministers in 1821.  When the independence of Brazil was</w:t></w:r>
</w:p>
<w:p>
<w:pPr><w:pStyle w:val="Normal"/></w:pPr>
<w:r><w:t xml:space="preserve">declared, Andrada was made minister of the interior and of</w:t></w:r>
</w:p>
<w:p>
<w:pPr><w:pStyle w:val="Normal"/></w:pPr>
<w:r><w:t xml:space="preserve">foreign affairs; and when it was established, he was again</w:t></w:r>
</w:p>
<w:p>
<w:pPr><w:pStyle w:val="Normal"/></w:pPr>
<w:r><w:t xml:space="preserve">elected by the Constituent Assembly, but his democratic</w:t></w:r>
</w:p>
<w:p>
<w:pPr><w:pStyle w:val="Normal"/></w:pPr>
<w:r><w:t xml:space="preserve">principles resulted in his dismissal from office, July</w:t></w:r>
</w:p>
<w:p>
<w:pPr><w:pStyle w:val="Normal"/></w:pPr>
<w:r><w:t xml:space="preserve">1823.  On the dissolution of the Assembly in November, he</w:t></w:r>
</w:p>
<w:p>
<w:pPr><w:pStyle w:val="Normal"/></w:pPr>
<w:r><w:t xml:space="preserve">was arrested and banished to France, where he lived in exile</w:t></w:r>
</w:p>
<w:p>
<w:pPr><w:pStyle w:val="Normal"/></w:pPr>
<w:r><w:t xml:space="preserve">near Bordeaux till, in 1829, he was permitted to return to</w:t></w:r>
</w:p>
<w:p>
<w:pPr><w:pStyle w:val="Normal"/></w:pPr>
<w:r><w:t xml:space="preserve">Brazil.  But being again arrested in 1833, and tried for</w:t></w:r>
</w:p>
<w:p>
<w:pPr><w:pStyle w:val="Normal"/></w:pPr>
<w:r><w:t xml:space="preserve">intriguing on behalf of Dom Pedro I., he passed the rest of</w:t></w:r>
</w:p>
<w:p>
<w:pPr><w:pStyle w:val="Normal"/></w:pPr>
<w:r><w:t xml:space="preserve">his days in retirement till he died at Nictheroy in 1838.</w:t></w:r>
</w:p>
<w:p>
<w:pPr><w:pStyle w:val="Normal"/></w:pPr>
<w:r><w:t xml:space="preserve">ANDRASSY, JULIUS (GYULA), COUNT (1823-1890), Hungarian</w:t></w:r>
</w:p>
<w:p>
<w:pPr><w:pStyle w:val="Normal"/></w:pPr>
<w:r><w:t xml:space="preserve">statesman, the son of Count Karoly Andrassy and Etelka</w:t></w:r>
</w:p>
<w:p>
<w:pPr><w:pStyle w:val="Normal"/></w:pPr>
<w:r><w:t xml:space="preserve">Szapary, was born at Kassa in Hungary on the 8th of March</w:t></w:r>
</w:p>
<w:p>
<w:pPr><w:pStyle w:val="Normal"/></w:pPr>
<w:r><w:t xml:space="preserve">1823.  The son of a Liberal father, who belonged to the</w:t></w:r>
</w:p>
<w:p>
<w:pPr><w:pStyle w:val="Normal"/></w:pPr>
<w:r><w:t xml:space="preserve">Opposition at a time when to be in opposition was to be in</w:t></w:r>
</w:p>
<w:p>
<w:pPr><w:pStyle w:val="Normal"/></w:pPr>
<w:r><w:t xml:space="preserve">danger, Andrassy at a very early age threw himself into</w:t></w:r>
</w:p>
<w:p>
<w:pPr><w:pStyle w:val="Normal"/></w:pPr>
<w:r><w:t xml:space="preserve">the political struggles of the day, adopting at the outset</w:t></w:r>
</w:p>
<w:p>
<w:pPr><w:pStyle w:val="Normal"/></w:pPr>
<w:r><w:t xml:space="preserve">the patriotic side.  Count Istvan Szechenyi was the first</w:t></w:r>
</w:p>
<w:p>
<w:pPr><w:pStyle w:val="Normal"/></w:pPr>
<w:r><w:t xml:space="preserve">adequately to appreciate his capacity, when in 1845 the young</w:t></w:r>
</w:p>
<w:p>
<w:pPr><w:pStyle w:val="Normal"/></w:pPr>
<w:r><w:t xml:space="preserve">man first began his public career as president of the society</w:t></w:r>
</w:p>
<w:p>
<w:pPr><w:pStyle w:val="Normal"/></w:pPr>
<w:r><w:t xml:space="preserve">for the regulation of the waters of the Upper Theiss.  In</w:t></w:r>
</w:p>
<w:p>
<w:pPr><w:pStyle w:val="Normal"/></w:pPr>
<w:r><w:t xml:space="preserve">1846 he attracted attention by his bitter articles against</w:t></w:r>
</w:p>
<w:p>
<w:pPr><w:pStyle w:val="Normal"/></w:pPr>
<w:r><w:t xml:space="preserve">the government in Kossuth&apos;s paper, the Pesti Hirlap, and</w:t></w:r>
</w:p>
<w:p>
<w:pPr><w:pStyle w:val="Normal"/></w:pPr>
<w:r><w:t xml:space="preserve">was returned as one of the Radical candidates to the diet of</w:t></w:r>
</w:p>
<w:p>
<w:pPr><w:pStyle w:val="Normal"/></w:pPr>
<w:r><w:t xml:space="preserve">1848, where his generous, impulsive nature made him one of the</w:t></w:r>
</w:p>
<w:p>
<w:pPr><w:pStyle w:val="Normal"/></w:pPr>
<w:r><w:t xml:space="preserve">most thorough-going of the patriots.  When the Croats under</w:t></w:r>
</w:p>
<w:p>
<w:pPr><w:pStyle w:val="Normal"/></w:pPr>
<w:r><w:t xml:space="preserve">Jellachich invaded Hungary, Andrassy placed himself at the head</w:t></w:r>
</w:p>
<w:p>
<w:pPr><w:pStyle w:val="Normal"/></w:pPr>
<w:r><w:t xml:space="preserve">of the gentry of his county, and served with distinction at the</w:t></w:r>
</w:p>
<w:p>
<w:pPr><w:pStyle w:val="Normal"/></w:pPr>
<w:r><w:t xml:space="preserve">battles of Pakozd and Schwechat, as Gorgei&apos;s adjutant (Sept.</w:t></w:r>
</w:p>
<w:p>
<w:pPr><w:pStyle w:val="Normal"/></w:pPr>
<w:r><w:t xml:space="preserve">1848).  Towards the end of the war Andrassy was sent to</w:t></w:r>
</w:p>
<w:p>
<w:pPr><w:pStyle w:val="Normal"/></w:pPr>
<w:r><w:t xml:space="preserve">Constantinople by the revolutionary government to obtain at</w:t></w:r>
</w:p>
<w:p>
<w:pPr><w:pStyle w:val="Normal"/></w:pPr>
<w:r><w:t xml:space="preserve">least the neutrality of Turkey during the struggle.  After the</w:t></w:r>
</w:p>
<w:p>
<w:pPr><w:pStyle w:val="Normal"/></w:pPr>
<w:r><w:t xml:space="preserve">catastrophe of Vilagos he migrated first to London and then to</w:t></w:r>
</w:p>
<w:p>
<w:pPr><w:pStyle w:val="Normal"/></w:pPr>
<w:r><w:t xml:space="preserve">Paris.  On the 21st of September 1851 he was hanged in effigy</w:t></w:r>
</w:p>
<w:p>
<w:pPr><w:pStyle w:val="Normal"/></w:pPr>
<w:r><w:t xml:space="preserve">by the Austrian government for his share in the Hungarian</w:t></w:r>
</w:p>
<w:p>
<w:pPr><w:pStyle w:val="Normal"/></w:pPr>
<w:r><w:t xml:space="preserve">revolt.  He employed his ten years of exile in studying</w:t></w:r>
</w:p>
<w:p>
<w:pPr><w:pStyle w:val="Normal"/></w:pPr>
<w:r><w:t xml:space="preserve">politics in what was then the centre of European diplomacy,</w:t></w:r>
</w:p>
<w:p>
<w:pPr><w:pStyle w:val="Normal"/></w:pPr>
<w:r><w:t xml:space="preserve">and it is memorable that his keen eye detected the inherent</w:t></w:r>
</w:p>
<w:p>
<w:pPr><w:pStyle w:val="Normal"/></w:pPr>
<w:r><w:t xml:space="preserve">weakness of the second French empire beneath its imposing</w:t></w:r>
</w:p>
<w:p>
<w:pPr><w:pStyle w:val="Normal"/></w:pPr>
<w:r><w:t xml:space="preserve">exterior.  Andrassy returned home from exile in 1858, but</w:t></w:r>
</w:p>
<w:p>
<w:pPr><w:pStyle w:val="Normal"/></w:pPr>
<w:r><w:t xml:space="preserve">his position was very difficult.  He had never petitioned</w:t></w:r>
</w:p>
<w:p>
<w:pPr><w:pStyle w:val="Normal"/></w:pPr>
<w:r><w:t xml:space="preserve">for an amnesty, steadily rejected all the overtures both</w:t></w:r>
</w:p>
<w:p>
<w:pPr><w:pStyle w:val="Normal"/></w:pPr>
<w:r><w:t xml:space="preserve">of the Austrian government and of the Magyar Conservatives</w:t></w:r>
</w:p>
<w:p>
<w:pPr><w:pStyle w:val="Normal"/></w:pPr>
<w:r><w:t xml:space="preserve">(who would have accepted something short of full autonomy),</w:t></w:r>
</w:p>
<w:p>
<w:pPr><w:pStyle w:val="Normal"/></w:pPr>
<w:r><w:t xml:space="preserve">and clung enthusiastically to the Deak party.  On the 21st</w:t></w:r>
</w:p>
<w:p>
<w:pPr><w:pStyle w:val="Normal"/></w:pPr>
<w:r><w:t xml:space="preserve">of December 1865 he was chosen vice-president of the diet,</w:t></w:r>
</w:p>
<w:p>
<w:pPr><w:pStyle w:val="Normal"/></w:pPr>
<w:r><w:t xml:space="preserve">and in March 1866 became president of the sub-committee</w:t></w:r>
</w:p>
<w:p>
<w:pPr><w:pStyle w:val="Normal"/></w:pPr>
<w:r><w:t xml:space="preserve">appointed by the parliamentary commission to draw up the</w:t></w:r>
</w:p>
<w:p>
<w:pPr><w:pStyle w:val="Normal"/></w:pPr>
<w:r><w:t xml:space="preserve">Composition (commonly known as the Ausgleich) between</w:t></w:r>
</w:p>
<w:p>
<w:pPr><w:pStyle w:val="Normal"/></w:pPr>
<w:r><w:t xml:space="preserve">Austria and Hungary, of which the central idea, that of the</w:t></w:r>
</w:p>
<w:p>
<w:pPr><w:pStyle w:val="Normal"/></w:pPr>
<w:r><w:t xml:space="preserve">``Delegations,&apos;&apos; originated with him.  It was said at that</w:t></w:r>
</w:p>
<w:p>
<w:pPr><w:pStyle w:val="Normal"/></w:pPr>
<w:r><w:t xml:space="preserve">time that he was the only member of the commission who could</w:t></w:r>
</w:p>
<w:p>
<w:pPr><w:pStyle w:val="Normal"/></w:pPr>
<w:r><w:t xml:space="preserve">persuade the court of the justice of the national claims.</w:t></w:r>
</w:p>
<w:p>
<w:pPr><w:pStyle w:val="Normal"/></w:pPr>
<w:r><w:t xml:space="preserve">After Koniggratz he was formally consulted by the emperor</w:t></w:r>
</w:p>
<w:p>
<w:pPr><w:pStyle w:val="Normal"/></w:pPr>
<w:r><w:t xml:space="preserve">for the first time.  He advised the re-establishment of the</w:t></w:r>
</w:p>
<w:p>
<w:pPr><w:pStyle w:val="Normal"/></w:pPr>
<w:r><w:t xml:space="preserve">constitution and the appointment of a responsible ministry.</w:t></w:r>
</w:p>
<w:p>
<w:pPr><w:pStyle w:val="Normal"/></w:pPr>
<w:r><w:t xml:space="preserve">On the 17th of February 1867 the king appointed him the first</w:t></w:r>
</w:p>
<w:p>
<w:pPr><w:pStyle w:val="Normal"/></w:pPr>
<w:r><w:t xml:space="preserve">constitutional Hungarian premier.  It was on this occasion</w:t></w:r>
</w:p>
<w:p>
<w:pPr><w:pStyle w:val="Normal"/></w:pPr>
<w:r><w:t xml:space="preserve">that Deak called him ``the providential statesman given</w:t></w:r>
</w:p>
<w:p>
<w:pPr><w:pStyle w:val="Normal"/></w:pPr>
<w:r><w:t xml:space="preserve">to Hungary by the grace of God.&apos;&apos; As premier, Andrassy by</w:t></w:r>
</w:p>
<w:p>
<w:pPr><w:pStyle w:val="Normal"/></w:pPr>
<w:r><w:t xml:space="preserve">his firmness, amiability and dexterity as a debater, soon</w:t></w:r>
</w:p>
<w:p>
<w:pPr><w:pStyle w:val="Normal"/></w:pPr>
<w:r><w:t xml:space="preserve">won for himself a commanding position.  Yet his position</w:t></w:r>
</w:p>
<w:p>
<w:pPr><w:pStyle w:val="Normal"/></w:pPr>
<w:r><w:t xml:space="preserve">continued to be difficult, inasmuch as the authority of Deak</w:t></w:r>
</w:p>
<w:p>
<w:pPr><w:pStyle w:val="Normal"/></w:pPr>
<w:r><w:t xml:space="preserve">dwarfed that of all the party leaders, however eminent.</w:t></w:r>
</w:p>
<w:p>
<w:pPr><w:pStyle w:val="Normal"/></w:pPr>
<w:r><w:t xml:space="preserve">Andrassy chose for himself the departments of war and foreign</w:t></w:r>
</w:p>
<w:p>
<w:pPr><w:pStyle w:val="Normal"/></w:pPr>
<w:r><w:t xml:space="preserve">affairs.  It was he who reorganized the Honved system, and</w:t></w:r>
</w:p>
<w:p>
<w:pPr><w:pStyle w:val="Normal"/></w:pPr>
<w:r><w:t xml:space="preserve">he used often to say that the regulation of the military</w:t></w:r>
</w:p>
<w:p>
<w:pPr><w:pStyle w:val="Normal"/></w:pPr>
<w:r><w:t xml:space="preserve">border districts was the most difficult labour of his life.</w:t></w:r>
</w:p>
<w:p>
<w:pPr><w:pStyle w:val="Normal"/></w:pPr>
<w:r><w:t xml:space="preserve">On the outbreak of the Franco-German War of 1870, Andrassy</w:t></w:r>
</w:p>
<w:p>
<w:pPr><w:pStyle w:val="Normal"/></w:pPr>
<w:r><w:t xml:space="preserve">resolutely defended the neutrality of the Austrian monarchy,</w:t></w:r>
</w:p>
<w:p>
<w:pPr><w:pStyle w:val="Normal"/></w:pPr>
<w:r><w:t xml:space="preserve">and in his speech on the 28th of July 1870 warmly protested</w:t></w:r>
</w:p>
<w:p>
<w:pPr><w:pStyle w:val="Normal"/></w:pPr>
<w:r><w:t xml:space="preserve">against the assumption that it was in the interests of Austria</w:t></w:r>
</w:p>
<w:p>
<w:pPr><w:pStyle w:val="Normal"/></w:pPr>
<w:r><w:t xml:space="preserve">to seek to recover the position she had held in Germany before</w:t></w:r>
</w:p>
<w:p>
<w:pPr><w:pStyle w:val="Normal"/></w:pPr>
<w:r><w:t xml:space="preserve">1863.  On the fall of Beust (6th of November 1871), Andrassy</w:t></w:r>
</w:p>
<w:p>
<w:pPr><w:pStyle w:val="Normal"/></w:pPr>
<w:r><w:t xml:space="preserve">stepped into his place.  His tenure of the chancellorship was</w:t></w:r>
</w:p>
<w:p>
<w:pPr><w:pStyle w:val="Normal"/></w:pPr>
<w:r><w:t xml:space="preserve">epoch-making.  Hitherto the empire of the Habsburgs had</w:t></w:r>
</w:p>
<w:p>
<w:pPr><w:pStyle w:val="Normal"/></w:pPr>
<w:r><w:t xml:space="preserve">never been able to dissociate itself from its Holy Roman</w:t></w:r>
</w:p>
<w:p>
<w:pPr><w:pStyle w:val="Normal"/></w:pPr>
<w:r><w:t xml:space="preserve">traditions.  But its loss of influence in Italy and Germany,</w:t></w:r>
</w:p>
<w:p>
<w:pPr><w:pStyle w:val="Normal"/></w:pPr>
<w:r><w:t xml:space="preserve">and the consequent formation of the Dual State, had at length</w:t></w:r>
</w:p>
<w:p>
<w:pPr><w:pStyle w:val="Normal"/></w:pPr>
<w:r><w:t xml:space="preserve">indicated the proper, and, indeed, the only field for its</w:t></w:r>
</w:p>
<w:p>
<w:pPr><w:pStyle w:val="Normal"/></w:pPr>
<w:r><w:t xml:space="preserve">diplomacy in the future--the near East, where the process of the</w:t></w:r>
</w:p>
<w:p>
<w:pPr><w:pStyle w:val="Normal"/></w:pPr>
<w:r><w:t xml:space="preserve">crystallization of the Balkan peoples into nationalities was still</w:t></w:r>
</w:p>
<w:p>
<w:pPr><w:pStyle w:val="Normal"/></w:pPr>
<w:r><w:t xml:space="preserve">incomplete.  The question was whether these nationalities</w:t></w:r>
</w:p>
<w:p>
<w:pPr><w:pStyle w:val="Normal"/></w:pPr>
<w:r><w:t xml:space="preserve">were to be allowed to become independent or were only to</w:t></w:r>
</w:p>
<w:p>
<w:pPr><w:pStyle w:val="Normal"/></w:pPr>
<w:r><w:t xml:space="preserve">exchange the tyranny of the sultan for the tyranny of the</w:t></w:r>
</w:p>
<w:p>
<w:pPr><w:pStyle w:val="Normal"/></w:pPr>
<w:r><w:t xml:space="preserve">tsar.  Hitherto Austria had been content either to keep out the</w:t></w:r>
</w:p>
<w:p>
<w:pPr><w:pStyle w:val="Normal"/></w:pPr>
<w:r><w:t xml:space="preserve">Russians or share the booty with them.  She was now, moreover, in</w:t></w:r>
</w:p>
<w:p>
<w:pPr><w:pStyle w:val="Normal"/></w:pPr>
<w:r><w:t xml:space="preserve">consequence of her misfortunes deprived of most of her influence</w:t></w:r>
</w:p>
<w:p>
<w:pPr><w:pStyle w:val="Normal"/></w:pPr>
<w:r><w:t xml:space="preserve">in the councils of Europe.  It was Andrassy who recovered</w:t></w:r>
</w:p>
<w:p>
<w:pPr><w:pStyle w:val="Normal"/></w:pPr>
<w:r><w:t xml:space="preserve">for her her proper place in the European concert.  First he</w:t></w:r>
</w:p>
<w:p>
<w:pPr><w:pStyle w:val="Normal"/></w:pPr>
<w:r><w:t xml:space="preserve">approached the German emperor; then more friendly relations</w:t></w:r>
</w:p>
<w:p>
<w:pPr><w:pStyle w:val="Normal"/></w:pPr>
<w:r><w:t xml:space="preserve">were established with the courts of Italy and Russia by means</w:t></w:r>
</w:p>
<w:p>
<w:pPr><w:pStyle w:val="Normal"/></w:pPr>
<w:r><w:t xml:space="preserve">of conferences at Berlin, Vienna, St Petersburg and Venice.</w:t></w:r>
</w:p>
<w:p>
<w:pPr><w:pStyle w:val="Normal"/></w:pPr>
<w:r><w:t xml:space="preserve">The ``Andrassy Note.&apos;&apos;</w:t></w:r>
</w:p>
<w:p>
<w:pPr><w:pStyle w:val="Normal"/></w:pPr>
<w:r><w:t xml:space="preserve">The recovered influence of Austria was evident in the negotiations</w:t></w:r>
</w:p>
<w:p>
<w:pPr><w:pStyle w:val="Normal"/></w:pPr>
<w:r><w:t xml:space="preserve">which followed the outbreak of serious disturbances in Bosnia in</w:t></w:r>
</w:p>
<w:p>
<w:pPr><w:pStyle w:val="Normal"/></w:pPr>
<w:r><w:t xml:space="preserve">1875.  The three courts of Vienna, Berlin and St Petersburg</w:t></w:r>
</w:p>
<w:p>
<w:pPr><w:pStyle w:val="Normal"/></w:pPr>
<w:r><w:t xml:space="preserve">had come to an understanding as to their attitude in the</w:t></w:r>
</w:p>
<w:p>
<w:pPr><w:pStyle w:val="Normal"/></w:pPr>
<w:r><w:t xml:space="preserve">Eastern question, and their views were embodied in the</w:t></w:r>
</w:p>
<w:p>
<w:pPr><w:pStyle w:val="Normal"/></w:pPr>
<w:r><w:t xml:space="preserve">dispatch, known as the ``Andrassy Note,&apos;&apos; addressed on the</w:t></w:r>
</w:p>
<w:p>
<w:pPr><w:pStyle w:val="Normal"/></w:pPr>
<w:r><w:t xml:space="preserve">30th of December 1875 by Count Andrassy to Count Beust,</w:t></w:r>
</w:p>
<w:p>
<w:pPr><w:pStyle w:val="Normal"/></w:pPr>
<w:r><w:t xml:space="preserve">now Austrian ambassador to the court of St James&apos;s.  In it</w:t></w:r>
</w:p>
<w:p>
<w:pPr><w:pStyle w:val="Normal"/></w:pPr>
<w:r><w:t xml:space="preserve">he pointed out that the efforts of the powers to localize</w:t></w:r>
</w:p>
<w:p>
<w:pPr><w:pStyle w:val="Normal"/></w:pPr>
<w:r><w:t xml:space="preserve">the revolt seemed in danger of failure, that the rebels were</w:t></w:r>
</w:p>
<w:p>
<w:pPr><w:pStyle w:val="Normal"/></w:pPr>
<w:r><w:t xml:space="preserve">still holding their own, and that the Ottoman promises of</w:t></w:r>
</w:p>
<w:p>
<w:pPr><w:pStyle w:val="Normal"/></w:pPr>
<w:r><w:t xml:space="preserve">reform, embodied in various firmans, were no more than</w:t></w:r>
</w:p>
<w:p>
<w:pPr><w:pStyle w:val="Normal"/></w:pPr>
<w:r><w:t xml:space="preserve">vague statements of principle which had never had, and were</w:t></w:r>
</w:p>
<w:p>
<w:pPr><w:pStyle w:val="Normal"/></w:pPr>
<w:r><w:t xml:space="preserve">probably not intended to have, any local application.  In</w:t></w:r>
</w:p>
<w:p>
<w:pPr><w:pStyle w:val="Normal"/></w:pPr>
<w:r><w:t xml:space="preserve">order to avert the risk of a general conflagration, therefore,</w:t></w:r>
</w:p>
<w:p>
<w:pPr><w:pStyle w:val="Normal"/></w:pPr>
<w:r><w:t xml:space="preserve">he urged that the time had come for concerted action of the</w:t></w:r>
</w:p>
<w:p>
<w:pPr><w:pStyle w:val="Normal"/></w:pPr>
<w:r><w:t xml:space="preserve">powers for the purpose of pressing the Porte to fulfil its</w:t></w:r>
</w:p>
<w:p>
<w:pPr><w:pStyle w:val="Normal"/></w:pPr>
<w:r><w:t xml:space="preserve">promises.  A sketch of the more essential reforms followed:</w:t></w:r>
</w:p>
<w:p>
<w:pPr><w:pStyle w:val="Normal"/></w:pPr>
<w:r><w:t xml:space="preserve">the recognition rather than the toleration of the Christian</w:t></w:r>
</w:p>
<w:p>
<w:pPr><w:pStyle w:val="Normal"/></w:pPr>
<w:r><w:t xml:space="preserve">religion; the abolition of the system of farming the taxes;</w:t></w:r>
</w:p>
<w:p>
<w:pPr><w:pStyle w:val="Normal"/></w:pPr>
<w:r><w:t xml:space="preserve">and, in Bosnia and Herzegovina, where the religious was</w:t></w:r>
</w:p>
<w:p>
<w:pPr><w:pStyle w:val="Normal"/></w:pPr>
<w:r><w:t xml:space="preserve">complicated by an agrarian question, the conversion of the</w:t></w:r>
</w:p>
<w:p>
<w:pPr><w:pStyle w:val="Normal"/></w:pPr>
<w:r><w:t xml:space="preserve">Christian peasants into free proprietors, to rescue them from</w:t></w:r>
</w:p>
<w:p>
<w:pPr><w:pStyle w:val="Normal"/></w:pPr>
<w:r><w:t xml:space="preserve">their double subjection to the great Mussulman landowners.  In</w:t></w:r>
</w:p>
<w:p>
<w:pPr><w:pStyle w:val="Normal"/></w:pPr>
<w:r><w:t xml:space="preserve">Bosnia and Herzegovina also elected provincial councils were</w:t></w:r>
</w:p>
<w:p>
<w:pPr><w:pStyle w:val="Normal"/></w:pPr>
<w:r><w:t xml:space="preserve">to be established, irremovable judges appointed and individual</w:t></w:r>
</w:p>
<w:p>
<w:pPr><w:pStyle w:val="Normal"/></w:pPr>
<w:r><w:t xml:space="preserve">liberty guaranteed.  Finally, a mixed commission of Mussulmans</w:t></w:r>
</w:p>
<w:p>
<w:pPr><w:pStyle w:val="Normal"/></w:pPr>
<w:r><w:t xml:space="preserve">and Christians was to be empowered to watch over the carrying</w:t></w:r>
</w:p>
<w:p>
<w:pPr><w:pStyle w:val="Normal"/></w:pPr>
<w:r><w:t xml:space="preserve">out of these reforms.  The fact that the sultan would be</w:t></w:r>
</w:p>
<w:p>
<w:pPr><w:pStyle w:val="Normal"/></w:pPr>
<w:r><w:t xml:space="preserve">responsible to Europe for the realization of his promises would</w:t></w:r>
</w:p>
<w:p>
<w:pPr><w:pStyle w:val="Normal"/></w:pPr>
<w:r><w:t xml:space="preserve">serve to allay the natural suspicions of the insurgents.1</w:t></w:r>
</w:p>
<w:p>
<w:pPr><w:pStyle w:val="Normal"/></w:pPr>
<w:r><w:t xml:space="preserve">To this plan both Great Britain and France gave a general</w:t></w:r>
</w:p>
<w:p>
<w:pPr><w:pStyle w:val="Normal"/></w:pPr>
<w:r><w:t xml:space="preserve">assent, and the Andrassy Note was adopted as the basis of</w:t></w:r>
</w:p>
<w:p>
<w:pPr><w:pStyle w:val="Normal"/></w:pPr>
<w:r><w:t xml:space="preserve">negotiations.  When war became inevitable between Russia and</w:t></w:r>
</w:p>
<w:p>
<w:pPr><w:pStyle w:val="Normal"/></w:pPr>
<w:r><w:t xml:space="preserve">the Porte, Andrassy arranged with the Russian court that, in</w:t></w:r>
</w:p>
<w:p>
<w:pPr><w:pStyle w:val="Normal"/></w:pPr>
<w:r><w:t xml:space="preserve">case Russia prevailed, the status quo should not be changed</w:t></w:r>
</w:p>
<w:p>
<w:pPr><w:pStyle w:val="Normal"/></w:pPr>
<w:r><w:t xml:space="preserve">to the detriment of the Austrian monarchy.  When, however,</w:t></w:r>
</w:p>
<w:p>
<w:pPr><w:pStyle w:val="Normal"/></w:pPr>
<w:r><w:t xml:space="preserve">the treaty of San Stefano threatened a Russian hegemony in</w:t></w:r>
</w:p>
<w:p>
<w:pPr><w:pStyle w:val="Normal"/></w:pPr>
<w:r><w:t xml:space="preserve">the near East, Andrassy concurred with the German and British</w:t></w:r>
</w:p>
<w:p>
<w:pPr><w:pStyle w:val="Normal"/></w:pPr>
<w:r><w:t xml:space="preserve">courts that the final adjustment of matters must be submitted</w:t></w:r>
</w:p>
<w:p>
<w:pPr><w:pStyle w:val="Normal"/></w:pPr>
<w:r><w:t xml:space="preserve">to a European congress.  At the Berlin Congress in 1878 he</w:t></w:r>
</w:p>
<w:p>
<w:pPr><w:pStyle w:val="Normal"/></w:pPr>
<w:r><w:t xml:space="preserve">was the principal Austrian plenipotentiary, and directed his</w:t></w:r>
</w:p>
<w:p>
<w:pPr><w:pStyle w:val="Normal"/></w:pPr>
<w:r><w:t xml:space="preserve">efforts to diminish the gains of Russia and aggrandize the Dual</w:t></w:r>
</w:p>
<w:p>
<w:pPr><w:pStyle w:val="Normal"/></w:pPr>
<w:r><w:t xml:space="preserve">Monarchy.  The latter object was gained by the occupation of</w:t></w:r>
</w:p>
<w:p>
<w:pPr><w:pStyle w:val="Normal"/></w:pPr>
<w:r><w:t xml:space="preserve">Bosnia-Herzegovina under a mandate from the congress.  This</w:t></w:r>
</w:p>
<w:p>
<w:pPr><w:pStyle w:val="Normal"/></w:pPr>
<w:r><w:t xml:space="preserve">occupation was most unpopular in Hungary, both for financial</w:t></w:r>
</w:p>
<w:p>
<w:pPr><w:pStyle w:val="Normal"/></w:pPr>
<w:r><w:t xml:space="preserve">reasons and because of the strong philo-Turk sentiments of the</w:t></w:r>
</w:p>
<w:p>
<w:pPr><w:pStyle w:val="Normal"/></w:pPr>
<w:r><w:t xml:space="preserve">Magyars, but the result brilliantly justified Andrassy&apos;s</w:t></w:r>
</w:p>
<w:p>
<w:pPr><w:pStyle w:val="Normal"/></w:pPr>
<w:r><w:t xml:space="preserve">policy.  Nevertheless he felt constrained to bow before the</w:t></w:r>
</w:p>
<w:p>
<w:pPr><w:pStyle w:val="Normal"/></w:pPr>
<w:r><w:t xml:space="preserve">storm, and placed his resignation in the emperor&apos;s hands (8th</w:t></w:r>
</w:p>
<w:p>
<w:pPr><w:pStyle w:val="Normal"/></w:pPr>
<w:r><w:t xml:space="preserve">of October 1879).  The day before his retirement he signed the</w:t></w:r>
</w:p>
<w:p>
<w:pPr><w:pStyle w:val="Normal"/></w:pPr>
<w:r><w:t xml:space="preserve">offensive-defensive alliance with Germany, which placed the</w:t></w:r>
</w:p>
<w:p>
<w:pPr><w:pStyle w:val="Normal"/></w:pPr>
<w:r><w:t xml:space="preserve">foreign relations of Austria-Hungary once more on a stable footing.</w:t></w:r>
</w:p>
<w:p>
<w:pPr><w:pStyle w:val="Normal"/></w:pPr>
<w:r><w:t xml:space="preserve">After his retirement, Andrassy continued to take an active</w:t></w:r>
</w:p>
<w:p>
<w:pPr><w:pStyle w:val="Heading1"/></w:pPr>
<w:r><w:t>part in public affairs both in the Delegations and in the Upper</w:t></w:r>
</w:p>
<w:p>
<w:pPr><w:pStyle w:val="Normal"/></w:pPr>
<w:r><w:t xml:space="preserve">House.  In 1885 he warmly supported the project for the reform</w:t></w:r>
</w:p>
<w:p>
<w:pPr><w:pStyle w:val="Normal"/></w:pPr>
<w:r><w:t xml:space="preserve">of the House of Magnates, but on the other hand he jealously</w:t></w:r>
</w:p>
<w:p>
<w:pPr><w:pStyle w:val="Normal"/></w:pPr>
<w:r><w:t xml:space="preserve">defended the inviolability of the Composition of 1867, and on</w:t></w:r>
</w:p>
<w:p>
<w:pPr><w:pStyle w:val="Normal"/></w:pPr>
<w:r><w:t xml:space="preserve">the 5th of March 1889 in his place in the Upper House spoke</w:t></w:r>
</w:p>
<w:p>
<w:pPr><w:pStyle w:val="Normal"/></w:pPr>
<w:r><w:t xml:space="preserve">against any particularist tampering with the common army.  In</w:t></w:r>
</w:p>
<w:p>
<w:pPr><w:pStyle w:val="Normal"/></w:pPr>
<w:r><w:t xml:space="preserve">the last years of his life he regained his popularity, and his</w:t></w:r>
</w:p>
<w:p>
<w:pPr><w:pStyle w:val="Normal"/></w:pPr>
<w:r><w:t xml:space="preserve">death on the 18th of February 1890 was universally mourned as</w:t></w:r>
</w:p>
<w:p>
<w:pPr><w:pStyle w:val="Normal"/></w:pPr>
<w:r><w:t xml:space="preserve">a national calamity.  He was the first Magyar statesman who,</w:t></w:r>
</w:p>
<w:p>
<w:pPr><w:pStyle w:val="Normal"/></w:pPr>
<w:r><w:t xml:space="preserve">for centuries, had occupied a European position.  Breadth of</w:t></w:r>
</w:p>
<w:p>
<w:pPr><w:pStyle w:val="Normal"/></w:pPr>
<w:r><w:t xml:space="preserve">view, swift resourcefulness, and an intimate knowledge of men</w:t></w:r>
</w:p>
<w:p>
<w:pPr><w:pStyle w:val="Normal"/></w:pPr>
<w:r><w:t xml:space="preserve">and things were his distinguishing qualities as a statesman.</w:t></w:r>
</w:p>
<w:p>
<w:pPr><w:pStyle w:val="Normal"/></w:pPr>
<w:r><w:t xml:space="preserve">Personally he was the most amiable of men; it has been well said</w:t></w:r>
</w:p>
<w:p>
<w:pPr><w:pStyle w:val="Normal"/></w:pPr>
<w:r><w:t xml:space="preserve">that he united in himself the Magyar magnate with the modern</w:t></w:r>
</w:p>
<w:p>
<w:pPr><w:pStyle w:val="Normal"/></w:pPr>
<w:r><w:t xml:space="preserve">gentleman.  His motto was: ``It is hard to promise, but it</w:t></w:r>
</w:p>
<w:p>
<w:pPr><w:pStyle w:val="Normal"/></w:pPr>
<w:r><w:t xml:space="preserve">is easy to perform.&apos;&apos; If Deak was the architect, Andrassy</w:t></w:r>
</w:p>
<w:p>
<w:pPr><w:pStyle w:val="Normal"/></w:pPr>
<w:r><w:t xml:space="preserve">certainly was the master-builder of the modern Hungarian state.</w:t></w:r>
</w:p>
<w:p>
<w:pPr><w:pStyle w:val="Normal"/></w:pPr>
<w:r><w:t xml:space="preserve">By his wife, the countess Katinka Kendeffy, whom he</w:t></w:r>
</w:p>
<w:p>
<w:pPr><w:pStyle w:val="Normal"/></w:pPr>
<w:r><w:t xml:space="preserve">married in Paris in 1856, Count Andrassy left two sons,</w:t></w:r>
</w:p>
<w:p>
<w:pPr><w:pStyle w:val="Normal"/></w:pPr>
<w:r><w:t xml:space="preserve">and one daughter, Ilona (b. 1859), who married Count Lajos</w:t></w:r>
</w:p>
<w:p>
<w:pPr><w:pStyle w:val="Normal"/></w:pPr>
<w:r><w:t xml:space="preserve">Batthyany.  Both the sons gained distinction in Hungarian</w:t></w:r>
</w:p>
<w:p>
<w:pPr><w:pStyle w:val="Normal"/></w:pPr>
<w:r><w:t xml:space="preserve">politics.  The eldest, Tivador (Theodore) Andreas (b. 10th of</w:t></w:r>
</w:p>
<w:p>
<w:pPr><w:pStyle w:val="Normal"/></w:pPr>
<w:r><w:t xml:space="preserve">July 1857), was elected vice-president of the Lower House of</w:t></w:r>
</w:p>
<w:p>
<w:pPr><w:pStyle w:val="Normal"/></w:pPr>
<w:r><w:t xml:space="preserve">the Hungarian parliament in 1890.  The younger, Gyula (Julius,</w:t></w:r>
</w:p>
<w:p>
<w:pPr><w:pStyle w:val="Normal"/></w:pPr>
<w:r><w:t xml:space="preserve">b. 30th of June 1860), became under-secretary in the Wekerle</w:t></w:r>
</w:p>
<w:p>
<w:pPr><w:pStyle w:val="Normal"/></w:pPr>
<w:r><w:t xml:space="preserve">ministry in 1892; in 1893 he became minister of education,</w:t></w:r>
</w:p>
<w:p>
<w:pPr><w:pStyle w:val="Normal"/></w:pPr>
<w:r><w:t xml:space="preserve">and in June 1894 was appointed minister in attendance on the</w:t></w:r>
</w:p>
<w:p>
<w:pPr><w:pStyle w:val="Normal"/></w:pPr>
<w:r><w:t xml:space="preserve">king, retiring in 1895 with Wekerle; in 1898, with his elder</w:t></w:r>
</w:p>
<w:p>
<w:pPr><w:pStyle w:val="Normal"/></w:pPr>
<w:r><w:t xml:space="preserve">brother, he left the Liberal party, but returned to it again</w:t></w:r>
</w:p>
<w:p>
<w:pPr><w:pStyle w:val="Normal"/></w:pPr>
<w:r><w:t xml:space="preserve">after the fall of the Banffy ministry; he is the author of</w:t></w:r>
</w:p>
<w:p>
<w:pPr><w:pStyle w:val="Normal"/></w:pPr>
<w:r><w:t xml:space="preserve">Ungarns Ausgleich mit Osterreich vom Jahre 1867 (Ger.</w:t></w:r>
</w:p>
<w:p>
<w:pPr><w:pStyle w:val="Normal"/></w:pPr>
<w:r><w:t xml:space="preserve">ed., Leipzig, 1897), and a work in Hungarian on the origins</w:t></w:r>
</w:p>
<w:p>
<w:pPr><w:pStyle w:val="Normal"/></w:pPr>
<w:r><w:t xml:space="preserve">of the Hungarian state and constitution (Budapest, 1901).</w:t></w:r>
</w:p>
<w:p>
<w:pPr><w:pStyle w:val="Normal"/></w:pPr>
<w:r><w:t xml:space="preserve">See Andrassy&apos;s Speeches (Hung.) edited by Bela Lederer</w:t></w:r>
</w:p>
<w:p>
<w:pPr><w:pStyle w:val="Normal"/></w:pPr>
<w:r><w:t xml:space="preserve">(Budapest, 1891); Memoir (Hung.) by Benjamin Kallay</w:t></w:r>
</w:p>
<w:p>
<w:pPr><w:pStyle w:val="Normal"/></w:pPr>
<w:r><w:t xml:space="preserve">(Budapest, 1891); Necrology (Hung.) in the Akad.  Ertesito,</w:t></w:r>
</w:p>
<w:p>
<w:pPr><w:pStyle w:val="Normal"/></w:pPr>
<w:r><w:t xml:space="preserve">Evf. 14 (Budapest, 1891; Recollections of Count Andrassy</w:t></w:r>
</w:p>
<w:p>
<w:pPr><w:pStyle w:val="Normal"/></w:pPr>
<w:r><w:t xml:space="preserve">(Hung.), by Mano Konyi (Budapest, 1891). (R. N. B.)</w:t></w:r>
</w:p>
<w:p>
<w:pPr><w:pStyle w:val="Normal"/></w:pPr>
<w:r><w:t xml:space="preserve">1 Hertslet, Map of Europe by Treaty, No. 456, vol. iv. p. 2418.</w:t></w:r>
</w:p>
<w:p>
<w:pPr><w:pStyle w:val="Normal"/></w:pPr>
<w:r><w:t xml:space="preserve">ANDRE, JOHN (1751-1780), British soldier, was born in London</w:t></w:r>
</w:p>
<w:p>
<w:pPr><w:pStyle w:val="Normal"/></w:pPr>
<w:r><w:t xml:space="preserve">in 1751 of Genevese parents.  Accident brought him in 1769 to</w:t></w:r>
</w:p>
<w:p>
<w:pPr><w:pStyle w:val="Normal"/></w:pPr>
<w:r><w:t xml:space="preserve">Lichfield, where, in the house of the Rev. Thomas Seward, whose</w:t></w:r>
</w:p>
<w:p>
<w:pPr><w:pStyle w:val="Normal"/></w:pPr>
<w:r><w:t xml:space="preserve">daughter Anna was the centre of a literary circle, he met the</w:t></w:r>
</w:p>
<w:p>
<w:pPr><w:pStyle w:val="Normal"/></w:pPr>
<w:r><w:t xml:space="preserve">beautiful Miss Honora Sneyd.  A strong attachment sprang up</w:t></w:r>
</w:p>
<w:p>
<w:pPr><w:pStyle w:val="Normal"/></w:pPr>
<w:r><w:t xml:space="preserve">between the two, but their marriage was disapproved of by Miss</w:t></w:r>
</w:p>
<w:p>
<w:pPr><w:pStyle w:val="Normal"/></w:pPr>
<w:r><w:t xml:space="preserve">Sneyd&apos;s family, and Andre was sent to cool his love in his</w:t></w:r>
</w:p>
<w:p>
<w:pPr><w:pStyle w:val="Normal"/></w:pPr>
<w:r><w:t xml:space="preserve">father&apos;s counting-house in London and on a business tour to the</w:t></w:r>
</w:p>
<w:p>
<w:pPr><w:pStyle w:val="Normal"/></w:pPr>
<w:r><w:t xml:space="preserve">continent.  Commerce was, however, too tame an occupation for</w:t></w:r>
</w:p>
<w:p>
<w:pPr><w:pStyle w:val="Normal"/></w:pPr>
<w:r><w:t xml:space="preserve">his ambitious spirit, and in March 1771 he obtained a commission</w:t></w:r>
</w:p>
<w:p>
<w:pPr><w:pStyle w:val="Normal"/></w:pPr>
<w:r><w:t xml:space="preserve">in the Seventh (Royal Fusiliers), which, after travel in</w:t></w:r>
</w:p>
<w:p>
<w:pPr><w:pStyle w:val="Normal"/></w:pPr>
<w:r><w:t xml:space="preserve">Germany, he joined in Canada in 1774.  Here his character,</w:t></w:r>
</w:p>
<w:p>
<w:pPr><w:pStyle w:val="Normal"/></w:pPr>
<w:r><w:t xml:space="preserve">conduct and accomplishments gained him rapid promotion.</w:t></w:r>
</w:p>
<w:p>
<w:pPr><w:pStyle w:val="Normal"/></w:pPr>
<w:r><w:t xml:space="preserve">Miss Sneyd in 1773 married R. L. Edgeworth, the father of the</w:t></w:r>
</w:p>
<w:p>
<w:pPr><w:pStyle w:val="Normal"/></w:pPr>
<w:r><w:t xml:space="preserve">novelist, Maria Edgeworth, having previously refused Thomas</w:t></w:r>
</w:p>
<w:p>
<w:pPr><w:pStyle w:val="Normal"/></w:pPr>
<w:r><w:t xml:space="preserve">Day, the author of Sanford and Merton; but Andre remained</w:t></w:r>
</w:p>
<w:p>
<w:pPr><w:pStyle w:val="Normal"/></w:pPr>
<w:r><w:t xml:space="preserve">faithful to his love for her.  In a letter to Anna Seward,</w:t></w:r>
</w:p>
<w:p>
<w:pPr><w:pStyle w:val="Normal"/></w:pPr>
<w:r><w:t xml:space="preserve">written shortly after being taken prisoner by the Americans</w:t></w:r>
</w:p>
<w:p>
<w:pPr><w:pStyle w:val="Normal"/></w:pPr>
<w:r><w:t xml:space="preserve">at the capitulation of St John&apos;s on the 3rd of November 1775,</w:t></w:r>
</w:p>
<w:p>
<w:pPr><w:pStyle w:val="Normal"/></w:pPr>
<w:r><w:t xml:space="preserve">he states that he has been ``stripped of everything except the</w:t></w:r>
</w:p>
<w:p>
<w:pPr><w:pStyle w:val="Normal"/></w:pPr>
<w:r><w:t xml:space="preserve">picture of Honora, which I concealed in my mouth.  Preserving</w:t></w:r>
</w:p>
<w:p>
<w:pPr><w:pStyle w:val="Normal"/></w:pPr>
<w:r><w:t xml:space="preserve">this I yet think myself fortunate.&apos;&apos; Exchanged towards the</w:t></w:r>
</w:p>
<w:p>
<w:pPr><w:pStyle w:val="Normal"/></w:pPr>
<w:r><w:t xml:space="preserve">close of 1776, Andre became in succession aide-de-camp to</w:t></w:r>
</w:p>
<w:p>
<w:pPr><w:pStyle w:val="Normal"/></w:pPr>
<w:r><w:t xml:space="preserve">General Grey and to the commander-in-chief of the British</w:t></w:r>
</w:p>
<w:p>
<w:pPr><w:pStyle w:val="Normal"/></w:pPr>
<w:r><w:t xml:space="preserve">forces, Sir Henry Clinton, who raised him to the rank of</w:t></w:r>
</w:p>
<w:p>
<w:pPr><w:pStyle w:val="Normal"/></w:pPr>
<w:r><w:t xml:space="preserve">major and appointed him adjutant- general of the forces in</w:t></w:r>
</w:p>
<w:p>
<w:pPr><w:pStyle w:val="Normal"/></w:pPr>
<w:r><w:t xml:space="preserve">1778.  Early in 1780 the American general, Benedict Arnold (q</w:t></w:r>
</w:p>
<w:p>
<w:pPr><w:pStyle w:val="Normal"/></w:pPr>
<w:r><w:t xml:space="preserve">.v.), thinking himself injuriously treated by his colleagues,</w:t></w:r>
</w:p>
<w:p>
<w:pPr><w:pStyle w:val="Normal"/></w:pPr>
<w:r><w:t xml:space="preserve">made overtures to the British to betray to them the important</w:t></w:r>
</w:p>
<w:p>
<w:pPr><w:pStyle w:val="Normal"/></w:pPr>
<w:r><w:t xml:space="preserve">fortress of West Point on the Hudson river, the key of the</w:t></w:r>
</w:p>
<w:p>
<w:pPr><w:pStyle w:val="Normal"/></w:pPr>
<w:r><w:t xml:space="preserve">American position, of which he was commandant.  This seemed</w:t></w:r>
</w:p>
<w:p>
<w:pPr><w:pStyle w:val="Normal"/></w:pPr>
<w:r><w:t xml:space="preserve">to Sir Henry Clinton a favourable opportunity for concluding</w:t></w:r>
</w:p>
<w:p>
<w:pPr><w:pStyle w:val="Normal"/></w:pPr>
<w:r><w:t xml:space="preserve">the war, and Major Andre was appointed to negotiate with</w:t></w:r>
</w:p>
<w:p>
<w:pPr><w:pStyle w:val="Normal"/></w:pPr>
<w:r><w:t xml:space="preserve">Arnold.  For this purpose he landed from a vessel bearing a</w:t></w:r>
</w:p>
<w:p>
<w:pPr><w:pStyle w:val="Normal"/></w:pPr>
<w:r><w:t xml:space="preserve">flag of truce and had an interview with Arnold, who delivered</w:t></w:r>
</w:p>
<w:p>
<w:pPr><w:pStyle w:val="Normal"/></w:pPr>
<w:r><w:t xml:space="preserve">to him full particulars and plans of the fortress of West</w:t></w:r>
</w:p>
<w:p>
<w:pPr><w:pStyle w:val="Normal"/></w:pPr>
<w:r><w:t xml:space="preserve">Point, and arranged with him to co-operate with the British</w:t></w:r>
</w:p>
<w:p>
<w:pPr><w:pStyle w:val="Normal"/></w:pPr>
<w:r><w:t xml:space="preserve">during an attack which was to be made in a few days.</w:t></w:r>
</w:p>
<w:p>
<w:pPr><w:pStyle w:val="Normal"/></w:pPr>
<w:r><w:t xml:space="preserve">Unfortunately for Andre, the British vessel was fired on before</w:t></w:r>
</w:p>
<w:p>
<w:pPr><w:pStyle w:val="Normal"/></w:pPr>
<w:r><w:t xml:space="preserve">the negotiations were finished and obliged to drop down the</w:t></w:r>
</w:p>
<w:p>
<w:pPr><w:pStyle w:val="Normal"/></w:pPr>
<w:r><w:t xml:space="preserve">river.  Andre, therefore, could not return by the way he</w:t></w:r>
</w:p>
<w:p>
<w:pPr><w:pStyle w:val="Normal"/></w:pPr>
<w:r><w:t xml:space="preserve">came and was compelled to pass the night within the American</w:t></w:r>
</w:p>
<w:p>
<w:pPr><w:pStyle w:val="Normal"/></w:pPr>
<w:r><w:t xml:space="preserve">lines.  After making the fatal mistake of exchanging his</w:t></w:r>
</w:p>
<w:p>
<w:pPr><w:pStyle w:val="Normal"/></w:pPr>
<w:r><w:t xml:space="preserve">uniform for a civilian disguise, he set out next day by</w:t></w:r>
</w:p>
<w:p>
<w:pPr><w:pStyle w:val="Normal"/></w:pPr>
<w:r><w:t xml:space="preserve">land for New York, provided by Arnold with a passport,</w:t></w:r>
</w:p>
<w:p>
<w:pPr><w:pStyle w:val="Normal"/></w:pPr>
<w:r><w:t xml:space="preserve">and succeeded in passing the regular American outposts</w:t></w:r>
</w:p>
<w:p>
<w:pPr><w:pStyle w:val="Normal"/></w:pPr>
<w:r><w:t xml:space="preserve">undetected.  Next day, however, just when all danger seemed</w:t></w:r>
</w:p>
<w:p>
<w:pPr><w:pStyle w:val="Normal"/></w:pPr>
<w:r><w:t xml:space="preserve">to be over, Andre was stopped by three American militiamen,</w:t></w:r>
</w:p>
<w:p>
<w:pPr><w:pStyle w:val="Normal"/></w:pPr>
<w:r><w:t xml:space="preserve">to whom he gave such contradictory answers that, in spite of</w:t></w:r>
</w:p>
<w:p>
<w:pPr><w:pStyle w:val="Normal"/></w:pPr>
<w:r><w:t xml:space="preserve">Arnold&apos;s pass, they searched him and discovered in his boots</w:t></w:r>
</w:p>
<w:p>
<w:pPr><w:pStyle w:val="Normal"/></w:pPr>
<w:r><w:t xml:space="preserve">the fatal proofs of his negotiations for the betrayal of West</w:t></w:r>
</w:p>
<w:p>
<w:pPr><w:pStyle w:val="Normal"/></w:pPr>
<w:r><w:t xml:space="preserve">Point.  Notwithstanding his offer of a large sum for his</w:t></w:r>
</w:p>
<w:p>
<w:pPr><w:pStyle w:val="Normal"/></w:pPr>
<w:r><w:t xml:space="preserve">release, his captors delivered him up to the nearest American</w:t></w:r>
</w:p>
<w:p>
<w:pPr><w:pStyle w:val="Normal"/></w:pPr>
<w:r><w:t xml:space="preserve">officer.  Washington, although admitting that Andre was ``more</w:t></w:r>
</w:p>
<w:p>
<w:pPr><w:pStyle w:val="Normal"/></w:pPr>
<w:r><w:t xml:space="preserve">unfortunate than criminal,&apos;&apos; sent him before a court-martial,</w:t></w:r>
</w:p>
<w:p>
<w:pPr><w:pStyle w:val="Normal"/></w:pPr>
<w:r><w:t xml:space="preserve">by which, notwithstanding a spirited defence, he was, in</w:t></w:r>
</w:p>
<w:p>
<w:pPr><w:pStyle w:val="Normal"/></w:pPr>
<w:r><w:t xml:space="preserve">consequence of his own admissions, condemned to death as a</w:t></w:r>
</w:p>
<w:p>
<w:pPr><w:pStyle w:val="Normal"/></w:pPr>
<w:r><w:t xml:space="preserve">spy.  In spite of the protests and entreaties of Sir Henry</w:t></w:r>
</w:p>
<w:p>
<w:pPr><w:pStyle w:val="Normal"/></w:pPr>
<w:r><w:t xml:space="preserve">Clinton and the threats of Arnold he was hanged at Tappan on</w:t></w:r>
</w:p>
<w:p>
<w:pPr><w:pStyle w:val="Normal"/></w:pPr>
<w:r><w:t xml:space="preserve">the 2nd of October 1780.  Arnold, warned by the unfortunate</w:t></w:r>
</w:p>
<w:p>
<w:pPr><w:pStyle w:val="Normal"/></w:pPr>
<w:r><w:t xml:space="preserve">Andre, escaped by flight the punishment he so richly merited.</w:t></w:r>
</w:p>
<w:p>
<w:pPr><w:pStyle w:val="Normal"/></w:pPr>
<w:r><w:t xml:space="preserve">The justice of Andre&apos;s execution has been a fruitful theme for</w:t></w:r>
</w:p>
<w:p>
<w:pPr><w:pStyle w:val="Normal"/></w:pPr>
<w:r><w:t xml:space="preserve">discussion, but both British and American military writers</w:t></w:r>
</w:p>
<w:p>
<w:pPr><w:pStyle w:val="Normal"/></w:pPr>
<w:r><w:t xml:space="preserve">are agreed that he undoubtedly acted in the character of a</w:t></w:r>
</w:p>
<w:p>
<w:pPr><w:pStyle w:val="Normal"/></w:pPr>
<w:r><w:t xml:space="preserve">spy, although under orders and entirely contrary to his own</w:t></w:r>
</w:p>
<w:p>
<w:pPr><w:pStyle w:val="Normal"/></w:pPr>
<w:r><w:t xml:space="preserve">feelings.  Washington&apos;s apparent harshness in refusing</w:t></w:r>
</w:p>
<w:p>
<w:pPr><w:pStyle w:val="Normal"/></w:pPr>
<w:r><w:t xml:space="preserve">the condemned man a soldier&apos;s death by shooting has also</w:t></w:r>
</w:p>
<w:p>
<w:pPr><w:pStyle w:val="Normal"/></w:pPr>
<w:r><w:t xml:space="preserve">been censured, but it is evident that no other course was</w:t></w:r>
</w:p>
<w:p>
<w:pPr><w:pStyle w:val="Normal"/></w:pPr>
<w:r><w:t xml:space="preserve">open to the American commander, since a mitigation of the</w:t></w:r>
</w:p>
<w:p>
<w:pPr><w:pStyle w:val="Normal"/></w:pPr>
<w:r><w:t xml:space="preserve">sentence would have implied a doubt as to its justice.</w:t></w:r>
</w:p>
<w:p>
<w:pPr><w:pStyle w:val="Normal"/></w:pPr>
<w:r><w:t xml:space="preserve">Besides courage and distinguished military talents, Major</w:t></w:r>
</w:p>
<w:p>
<w:pPr><w:pStyle w:val="Normal"/></w:pPr>
<w:r><w:t xml:space="preserve">Andre was a proficient in drawing and in music, and showed</w:t></w:r>
</w:p>
<w:p>
<w:pPr><w:pStyle w:val="Normal"/></w:pPr>
<w:r><w:t xml:space="preserve">considerable poetic talent in his humorous Cow-chase, a</w:t></w:r>
</w:p>
<w:p>
<w:pPr><w:pStyle w:val="Normal"/></w:pPr>
<w:r><w:t xml:space="preserve">kind of parody on Chevy-chase, which appeared in three</w:t></w:r>
</w:p>
<w:p>
<w:pPr><w:pStyle w:val="Normal"/></w:pPr>
<w:r><w:t xml:space="preserve">successive parts at New York, the last on the very day of his</w:t></w:r>
</w:p>
<w:p>
<w:pPr><w:pStyle w:val="Normal"/></w:pPr>
<w:r><w:t xml:space="preserve">capture.  His fate excited universal sympathy both in America</w:t></w:r>
</w:p>
<w:p>
<w:pPr><w:pStyle w:val="Normal"/></w:pPr>
<w:r><w:t xml:space="preserve">and Europe, and the whole British army went into mourning for</w:t></w:r>
</w:p>
<w:p>
<w:pPr><w:pStyle w:val="Normal"/></w:pPr>
<w:r><w:t xml:space="preserve">him.  A mural sculptured monument to his memory was erected</w:t></w:r>
</w:p>
<w:p>
<w:pPr><w:pStyle w:val="Normal"/></w:pPr>
<w:r><w:t xml:space="preserve">in Westminster Abbey by the British government when his</w:t></w:r>
</w:p>
<w:p>
<w:pPr><w:pStyle w:val="Normal"/></w:pPr>
<w:r><w:t xml:space="preserve">remains were brought over and interred there in 1821; and</w:t></w:r>
</w:p>
<w:p>
<w:pPr><w:pStyle w:val="Normal"/></w:pPr>
<w:r><w:t xml:space="preserve">a memorial has been erected to him by Americans on the spot</w:t></w:r>
</w:p>
<w:p>
<w:pPr><w:pStyle w:val="Normal"/></w:pPr>
<w:r><w:t xml:space="preserve">where he was taken.  Andre&apos;s military journal, giving an</w:t></w:r>
</w:p>
<w:p>
<w:pPr><w:pStyle w:val="Normal"/></w:pPr>
<w:r><w:t xml:space="preserve">interesting account of the British movements in America from</w:t></w:r>
</w:p>
<w:p>
<w:pPr><w:pStyle w:val="Normal"/></w:pPr>
<w:r><w:t xml:space="preserve">June 1777 to the close of 1778, was taken to England in 1782</w:t></w:r>
</w:p>
<w:p>
<w:pPr><w:pStyle w:val="Normal"/></w:pPr>
<w:r><w:t xml:space="preserve">by General Grey, whose descendant, Earl Grey, discovered</w:t></w:r>
</w:p>
<w:p>
<w:pPr><w:pStyle w:val="Normal"/></w:pPr>
<w:r><w:t xml:space="preserve">it in 1902 and disposed of it to an American gentleman.</w:t></w:r>
</w:p>
<w:p>
<w:pPr><w:pStyle w:val="Normal"/></w:pPr>
<w:r><w:t xml:space="preserve">See The Life and Career of Major John Andre, &amp;c., by</w:t></w:r>
</w:p>
<w:p>
<w:pPr><w:pStyle w:val="Normal"/></w:pPr>
<w:r><w:t xml:space="preserve">Winthrop Sargent (new ed., New Vork, 1902); Andre&apos;s</w:t></w:r>
</w:p>
<w:p>
<w:pPr><w:pStyle w:val="Normal"/></w:pPr>
<w:r><w:t xml:space="preserve">Journal (Boston, Mass., The Bibliophile Society, 1904).</w:t></w:r>
</w:p>
<w:p>
<w:pPr><w:pStyle w:val="Normal"/></w:pPr>
<w:r><w:t xml:space="preserve">ANDREA, GIOVANNI (1275-1348), Italian canonist, was born at</w:t></w:r>
</w:p>
<w:p>
<w:pPr><w:pStyle w:val="Normal"/></w:pPr>
<w:r><w:t xml:space="preserve">Mugello, near Florence, about 1275.  He studied canon law at</w:t></w:r>
</w:p>
<w:p>
<w:pPr><w:pStyle w:val="Normal"/></w:pPr>
<w:r><w:t xml:space="preserve">Bologna, where he distinguished himself in this subject so</w:t></w:r>
</w:p>
<w:p>
<w:pPr><w:pStyle w:val="Normal"/></w:pPr>
<w:r><w:t xml:space="preserve">much that he was made professor at Padua, and later at Pisa</w:t></w:r>
</w:p>
<w:p>
<w:pPr><w:pStyle w:val="Normal"/></w:pPr>
<w:r><w:t xml:space="preserve">and Bologna, rapidly acquiring a high reputation for his</w:t></w:r>
</w:p>
<w:p>
<w:pPr><w:pStyle w:val="Normal"/></w:pPr>
<w:r><w:t xml:space="preserve">learning and his moral character.  Curious stories are told</w:t></w:r>
</w:p>
<w:p>
<w:pPr><w:pStyle w:val="Normal"/></w:pPr>
<w:r><w:t xml:space="preserve">of him; for instance, that by way of self-mortification he</w:t></w:r>
</w:p>
<w:p>
<w:pPr><w:pStyle w:val="Normal"/></w:pPr>
<w:r><w:t xml:space="preserve">lay every night for twenty years on the bare ground with only</w:t></w:r>
</w:p>
<w:p>
<w:pPr><w:pStyle w:val="Normal"/></w:pPr>
<w:r><w:t xml:space="preserve">a bear&apos;s skin for a covering; that in an audience he had with</w:t></w:r>
</w:p>
<w:p>
<w:pPr><w:pStyle w:val="Normal"/></w:pPr>
<w:r><w:t xml:space="preserve">Pope Boniface VIII. his extraordinary shortness of stature</w:t></w:r>
</w:p>
<w:p>
<w:pPr><w:pStyle w:val="Normal"/></w:pPr>
<w:r><w:t xml:space="preserve">led the pope to believe he was kneeling, and to ask him three</w:t></w:r>
</w:p>
<w:p>
<w:pPr><w:pStyle w:val="Normal"/></w:pPr>
<w:r><w:t xml:space="preserve">times to rise, to the immense merriment of the cardinals;</w:t></w:r>
</w:p>
<w:p>
<w:pPr><w:pStyle w:val="Normal"/></w:pPr>
<w:r><w:t xml:space="preserve">and that he had a daughter, Novella, so accomplished in law</w:t></w:r>
</w:p>
<w:p>
<w:pPr><w:pStyle w:val="Normal"/></w:pPr>
<w:r><w:t xml:space="preserve">as to be able to read her father&apos;s lectures in his absence,</w:t></w:r>
</w:p>
<w:p>
<w:pPr><w:pStyle w:val="Normal"/></w:pPr>
<w:r><w:t xml:space="preserve">and so beautiful, that she had to read behind a curtain lest</w:t></w:r>
</w:p>
<w:p>
<w:pPr><w:pStyle w:val="Normal"/></w:pPr>
<w:r><w:t xml:space="preserve">her face should distract the attention of the students.  He</w:t></w:r>
</w:p>
<w:p>
<w:pPr><w:pStyle w:val="Normal"/></w:pPr>
<w:r><w:t xml:space="preserve">is said to have died at Bologna of the plague in 1348, and</w:t></w:r>
</w:p>
<w:p>
<w:pPr><w:pStyle w:val="Normal"/></w:pPr>
<w:r><w:t xml:space="preserve">an epitaph in the church of the Dominicans in which he was</w:t></w:r>
</w:p>
<w:p>
<w:pPr><w:pStyle w:val="Normal"/></w:pPr>
<w:r><w:t xml:space="preserve">buried, calling him Rabbi Doctorum, Lux, Censor, Normaque</w:t></w:r>
</w:p>
<w:p>
<w:pPr><w:pStyle w:val="Normal"/></w:pPr>
<w:r><w:t xml:space="preserve">Morum, testifies to the public estimation of his character.</w:t></w:r>
</w:p>
<w:p>
<w:pPr><w:pStyle w:val="Normal"/></w:pPr>
<w:r><w:t xml:space="preserve">Andrea wrote a Gloss on the Sixth Book of the Decretals,</w:t></w:r>
</w:p>
<w:p>
<w:pPr><w:pStyle w:val="Normal"/></w:pPr>
<w:r><w:t xml:space="preserve">Closses on the Clementines and a Commentary on the Rules of</w:t></w:r>
</w:p>
<w:p>
<w:pPr><w:pStyle w:val="Normal"/></w:pPr>
<w:r><w:t xml:space="preserve">Sextus. His additions to the Speculum of Durando are a mere</w:t></w:r>
</w:p>
<w:p>
<w:pPr><w:pStyle w:val="Normal"/></w:pPr>
<w:r><w:t xml:space="preserve">adaptation from the Consilia of Oldradus, as is also the</w:t></w:r>
</w:p>
<w:p>
<w:pPr><w:pStyle w:val="Normal"/></w:pPr>
<w:r><w:t xml:space="preserve">book De Sponsalibus et Matrimonio, from J. Anguisciola.</w:t></w:r>
</w:p>
<w:p>
<w:pPr><w:pStyle w:val="Normal"/></w:pPr>
<w:r><w:t xml:space="preserve">ANDREA DEL SARTO (1487-1531).  This celebrated painter of</w:t></w:r>
</w:p>
<w:p>
<w:pPr><w:pStyle w:val="Normal"/></w:pPr>
<w:r><w:t xml:space="preserve">the Florentine school was born in Gualfonda, Florence, in</w:t></w:r>
</w:p>
<w:p>
<w:pPr><w:pStyle w:val="Normal"/></w:pPr>
<w:r><w:t xml:space="preserve">1487, or perhaps 1486, his father Agnolo being a tailor</w:t></w:r>
</w:p>
<w:p>
<w:pPr><w:pStyle w:val="Normal"/></w:pPr>
<w:r><w:t xml:space="preserve">(sarto): hence the nickname by which the son is constantly</w:t></w:r>
</w:p>
<w:p>
<w:pPr><w:pStyle w:val="Normal"/></w:pPr>
<w:r><w:t xml:space="preserve">designated.  There were four other children.  The family,</w:t></w:r>
</w:p>
<w:p>
<w:pPr><w:pStyle w:val="Normal"/></w:pPr>
<w:r><w:t xml:space="preserve">though of no distinction, can be traced back into the 14th</w:t></w:r>
</w:p>
<w:p>
<w:pPr><w:pStyle w:val="Normal"/></w:pPr>
<w:r><w:t xml:space="preserve">century.  Vannucchi has since 1677 been constantly given as</w:t></w:r>
</w:p>
<w:p>
<w:pPr><w:pStyle w:val="Normal"/></w:pPr>
<w:r><w:t xml:space="preserve">the surname--according to some modern writers, without any</w:t></w:r>
</w:p>
<w:p>
<w:pPr><w:pStyle w:val="Normal"/></w:pPr>
<w:r><w:t xml:space="preserve">authority.  It has recently been said that the true name</w:t></w:r>
</w:p>
<w:p>
<w:pPr><w:pStyle w:val="Normal"/></w:pPr>
<w:r><w:t xml:space="preserve">is Andrea d&apos;Agnolo di Francesco di Luca di Paolo del</w:t></w:r>
</w:p>
<w:p>
<w:pPr><w:pStyle w:val="Normal"/></w:pPr>
<w:r><w:t xml:space="preserve">Migliore.  But this only gives, along with our painter&apos;s</w:t></w:r>
</w:p>
<w:p>
<w:pPr><w:pStyle w:val="Normal"/></w:pPr>
<w:r><w:t xml:space="preserve">Christian name, the Christian names of his antecessors for</w:t></w:r>
</w:p>
<w:p>
<w:pPr><w:pStyle w:val="Normal"/></w:pPr>
<w:r><w:t xml:space="preserve">five generations, and is in no way his own surname.  In 1494</w:t></w:r>
</w:p>
<w:p>
<w:pPr><w:pStyle w:val="Normal"/></w:pPr>
<w:r><w:t xml:space="preserve">Andrea was put to work under a goldsmith.  This occupation he</w:t></w:r>
</w:p>
<w:p>
<w:pPr><w:pStyle w:val="Normal"/></w:pPr>
<w:r><w:t xml:space="preserve">disliked.  He took to drawing from his master&apos;s models, and</w:t></w:r>
</w:p>
<w:p>
<w:pPr><w:pStyle w:val="Normal"/></w:pPr>
<w:r><w:t xml:space="preserve">was soon transferred to a skilful woodcarver and inferior</w:t></w:r>
</w:p>
<w:p>
<w:pPr><w:pStyle w:val="Normal"/></w:pPr>
<w:r><w:t xml:space="preserve">painter named Gian Barile, with whom he remained until</w:t></w:r>
</w:p>
<w:p>
<w:pPr><w:pStyle w:val="Normal"/></w:pPr>
<w:r><w:t xml:space="preserve">1498.  Barile, though a coarse-grained man enough, would not</w:t></w:r>
</w:p>
<w:p>
<w:pPr><w:pStyle w:val="Normal"/></w:pPr>
<w:r><w:t xml:space="preserve">stand in the way of the advancement of his promising pupil,</w:t></w:r>
</w:p>
<w:p>
<w:pPr><w:pStyle w:val="Normal"/></w:pPr>
<w:r><w:t xml:space="preserve">so he recommended him to Piero di Cosimo as draughtsman and</w:t></w:r>
</w:p>
<w:p>
<w:pPr><w:pStyle w:val="Normal"/></w:pPr>
<w:r><w:t xml:space="preserve">colourist.  Piero retained Andrea for some years, allowing</w:t></w:r>
</w:p>
<w:p>
<w:pPr><w:pStyle w:val="Normal"/></w:pPr>
<w:r><w:t xml:space="preserve">him to study from the famous cartoons of Leonardo da Vinci</w:t></w:r>
</w:p>
<w:p>
<w:pPr><w:pStyle w:val="Normal"/></w:pPr>
<w:r><w:t xml:space="preserve">and Michelangelo.  Finally Andrea agreed with his friend</w:t></w:r>
</w:p>
<w:p>
<w:pPr><w:pStyle w:val="Normal"/></w:pPr>
<w:r><w:t xml:space="preserve">Franciabigio, who was somewhat his senior, that they would</w:t></w:r>
</w:p>
<w:p>
<w:pPr><w:pStyle w:val="Normal"/></w:pPr>
<w:r><w:t xml:space="preserve">open a joint shop; at a date not precisely defined they took a</w:t></w:r>
</w:p>
<w:p>
<w:pPr><w:pStyle w:val="Normal"/></w:pPr>
<w:r><w:t xml:space="preserve">lodging together in the Piazza del Grano.  Their first work in</w:t></w:r>
</w:p>
<w:p>
<w:pPr><w:pStyle w:val="Normal"/></w:pPr>
<w:r><w:t xml:space="preserve">partnership may probably have been the ``Baptism of Christ,&apos;&apos;</w:t></w:r>
</w:p>
<w:p>
<w:pPr><w:pStyle w:val="Normal"/></w:pPr>
<w:r><w:t xml:space="preserve">for the Florentine Compagnia dello Scalzo, a performance of no</w:t></w:r>
</w:p>
<w:p>
<w:pPr><w:pStyle w:val="Normal"/></w:pPr>
<w:r><w:t xml:space="preserve">great merit, the beginning of a series, all the extant items</w:t></w:r>
</w:p>
<w:p>
<w:pPr><w:pStyle w:val="Normal"/></w:pPr>
<w:r><w:t xml:space="preserve">of which are in monochrome chiaroscuro.  Soon afterwards the</w:t></w:r>
</w:p>
<w:p>
<w:pPr><w:pStyle w:val="Normal"/></w:pPr>
<w:r><w:t xml:space="preserve">partnership was dissolved.  From 1509 to 1514 the brotherhood</w:t></w:r>
</w:p>
<w:p>
<w:pPr><w:pStyle w:val="Normal"/></w:pPr>
<w:r><w:t xml:space="preserve">of the Servites employed Andrea, as well as Franciabigio and</w:t></w:r>
</w:p>
<w:p>
<w:pPr><w:pStyle w:val="Normal"/></w:pPr>
<w:r><w:t xml:space="preserve">Andrea Feltrini, the first- named undertaking in the portico</w:t></w:r>
</w:p>
<w:p>
<w:pPr><w:pStyle w:val="Normal"/></w:pPr>
<w:r><w:t xml:space="preserve">of the Annunziata three frescoes illustrating the life of the</w:t></w:r>
</w:p>
<w:p>
<w:pPr><w:pStyle w:val="Normal"/></w:pPr>
<w:r><w:t xml:space="preserve">Servite saint Filippo Benizzi (d. 1285).  He executed them in</w:t></w:r>
</w:p>
<w:p>
<w:pPr><w:pStyle w:val="Normal"/></w:pPr>
<w:r><w:t xml:space="preserve">a few months, being endowed by nature with remarkable readiness</w:t></w:r>
</w:p>
<w:p>
<w:pPr><w:pStyle w:val="Normal"/></w:pPr>
<w:r><w:t xml:space="preserve">and certainty of hand and unhesitating firmness in his work,</w:t></w:r>
</w:p>
<w:p>
<w:pPr><w:pStyle w:val="Normal"/></w:pPr>
<w:r><w:t xml:space="preserve">although in the general mould of his mind he was timid and</w:t></w:r>
</w:p>
<w:p>
<w:pPr><w:pStyle w:val="Normal"/></w:pPr>
<w:r><w:t xml:space="preserve">diffident.  The subjects are the saint sharing his cloak with a</w:t></w:r>
</w:p>
<w:p>
<w:pPr><w:pStyle w:val="Normal"/></w:pPr>
<w:r><w:t xml:space="preserve">leper, cursing some gamblers, and restoring a girl possessed</w:t></w:r>
</w:p>
<w:p>
<w:pPr><w:pStyle w:val="Normal"/></w:pPr>
<w:r><w:t xml:space="preserve">with a devil.  The second and third works excel the first,</w:t></w:r>
</w:p>
<w:p>
<w:pPr><w:pStyle w:val="Normal"/></w:pPr>
<w:r><w:t xml:space="preserve">and are impulsive and able performances.  These paintings</w:t></w:r>
</w:p>
<w:p>
<w:pPr><w:pStyle w:val="Normal"/></w:pPr>
<w:r><w:t xml:space="preserve">met with merited applause, and gained for their author</w:t></w:r>
</w:p>
<w:p>
<w:pPr><w:pStyle w:val="Normal"/></w:pPr>
<w:r><w:t xml:space="preserve">the pre-eminent title ``Andrea senza errori&apos;&apos; (Andrew the</w:t></w:r>
</w:p>
<w:p>
<w:pPr><w:pStyle w:val="Normal"/></w:pPr>
<w:r><w:t xml:space="preserve">unerring)--the correctness of the contours being particularly</w:t></w:r>
</w:p>
<w:p>
<w:pPr><w:pStyle w:val="Normal"/></w:pPr>
<w:r><w:t xml:space="preserve">admired.  After these subjects the painter proceeded with</w:t></w:r>
</w:p>
<w:p>
<w:pPr><w:pStyle w:val="Normal"/></w:pPr>
<w:r><w:t xml:space="preserve">two others--the death of S. Filippo and the children cured</w:t></w:r>
</w:p>
<w:p>
<w:pPr><w:pStyle w:val="Normal"/></w:pPr>
<w:r><w:t xml:space="preserve">by touching his garment,--all the five works being completed</w:t></w:r>
</w:p>
<w:p>
<w:pPr><w:pStyle w:val="Normal"/></w:pPr>
<w:r><w:t xml:space="preserve">before the close of 1510.  The youth of twenty-three was</w:t></w:r>
</w:p>
<w:p>
<w:pPr><w:pStyle w:val="Normal"/></w:pPr>
<w:r><w:t xml:space="preserve">already in technique about the best fresco-painter of central</w:t></w:r>
</w:p>
<w:p>
<w:pPr><w:pStyle w:val="Normal"/></w:pPr>
<w:r><w:t xml:space="preserve">Italy, barely rivalled by Raphael, who was the elder by four</w:t></w:r>
</w:p>
<w:p>
<w:pPr><w:pStyle w:val="Normal"/></w:pPr>
<w:r><w:t xml:space="preserve">years.  Michelangelo&apos;s Sixtine frescoes were then only in</w:t></w:r>
</w:p>
<w:p>
<w:pPr><w:pStyle w:val="Normal"/></w:pPr>
<w:r><w:t xml:space="preserve">a preliminary stage.  Andrea always worked in the simplest,</w:t></w:r>
</w:p>
<w:p>
<w:pPr><w:pStyle w:val="Normal"/></w:pPr>
<w:r><w:t xml:space="preserve">most typical and most trying method of fresco--that of</w:t></w:r>
</w:p>
<w:p>
<w:pPr><w:pStyle w:val="Normal"/></w:pPr>
<w:r><w:t xml:space="preserve">painting the thing once and for all, without any subsequent</w:t></w:r>
</w:p>
<w:p>
<w:pPr><w:pStyle w:val="Normal"/></w:pPr>
<w:r><w:t xml:space="preserve">dry-touching.  He now received many commissions.  The</w:t></w:r>
</w:p>
<w:p>
<w:pPr><w:pStyle w:val="Normal"/></w:pPr>
<w:r><w:t xml:space="preserve">brotherhood of the Servites engaged him to do two more</w:t></w:r>
</w:p>
<w:p>
<w:pPr><w:pStyle w:val="Normal"/></w:pPr>
<w:r><w:t xml:space="preserve">frescoes in the Annunziata at a higher price; he also painted,</w:t></w:r>
</w:p>
<w:p>
<w:pPr><w:pStyle w:val="Normal"/></w:pPr>
<w:r><w:t xml:space="preserve">towards 1512, an Annunciation in the monastery of S. Gallo.</w:t></w:r>
</w:p>
<w:p>
<w:pPr><w:pStyle w:val="Normal"/></w:pPr>
<w:r><w:t xml:space="preserve">The ``Tailor&apos;s Andrew&apos;&apos; appears to have been an easy-going</w:t></w:r>
</w:p>
<w:p>
<w:pPr><w:pStyle w:val="Normal"/></w:pPr>
<w:r><w:t xml:space="preserve">plebeian, to whom a modest position in life and scanty gains</w:t></w:r>
</w:p>
<w:p>
<w:pPr><w:pStyle w:val="Normal"/></w:pPr>
<w:r><w:t xml:space="preserve">were no grievances.  As an artist he must have known his own</w:t></w:r>
</w:p>
<w:p>
<w:pPr><w:pStyle w:val="Normal"/></w:pPr>
<w:r><w:t xml:space="preserve">value; but he probably rested content in the sense of his</w:t></w:r>
</w:p>
<w:p>
<w:pPr><w:pStyle w:val="Normal"/></w:pPr>
<w:r><w:t xml:space="preserve">superlative powers as an executant, and did not aspire to the</w:t></w:r>
</w:p>
<w:p>
<w:pPr><w:pStyle w:val="Normal"/></w:pPr>
<w:r><w:t xml:space="preserve">rank of a great inventor or leader, for which, indeed, he had no</w:t></w:r>
</w:p>
<w:p>
<w:pPr><w:pStyle w:val="Normal"/></w:pPr>
<w:r><w:t xml:space="preserve">vocation.  He led a social sort of life among his compeers of</w:t></w:r>
</w:p>
<w:p>
<w:pPr><w:pStyle w:val="Normal"/></w:pPr>
<w:r><w:t xml:space="preserve">the art, was intimate with the sculptor Rustici, and joined</w:t></w:r>
</w:p>
<w:p>
<w:pPr><w:pStyle w:val="Normal"/></w:pPr>
<w:r><w:t xml:space="preserve">a jolly dining-club at his house named the Company of the</w:t></w:r>
</w:p>
<w:p>
<w:pPr><w:pStyle w:val="Normal"/></w:pPr>
<w:r><w:t xml:space="preserve">Kettle, also a second club named the Trowel.  At one time,</w:t></w:r>
</w:p>
<w:p>
<w:pPr><w:pStyle w:val="Normal"/></w:pPr>
<w:r><w:t xml:space="preserve">Franciabigio being then the chairman of the Kettle-men, Andrea</w:t></w:r>
</w:p>
<w:p>
<w:pPr><w:pStyle w:val="Normal"/></w:pPr>
<w:r><w:t xml:space="preserve">recited, and is by some regarded as having composed, a comic</w:t></w:r>
</w:p>
<w:p>
<w:pPr><w:pStyle w:val="Normal"/></w:pPr>
<w:r><w:t xml:space="preserve">epic, ``The Battle of the Frogs and Mice&apos;&apos;--a rechauffe, as</w:t></w:r>
</w:p>
<w:p>
<w:pPr><w:pStyle w:val="Normal"/></w:pPr>
<w:r><w:t xml:space="preserve">one may surmise, of the Greek Batrachomyomachia, popularly</w:t></w:r>
</w:p>
<w:p>
<w:pPr><w:pStyle w:val="Normal"/></w:pPr>
<w:r><w:t xml:space="preserve">ascribed to Homer.  He fell in love with Lucrezia (del Fede),</w:t></w:r>
</w:p>
<w:p>
<w:pPr><w:pStyle w:val="Normal"/></w:pPr>
<w:r><w:t xml:space="preserve">wife of a hatter named Carlo Recanati; the hatter dying</w:t></w:r>
</w:p>
<w:p>
<w:pPr><w:pStyle w:val="Normal"/></w:pPr>
<w:r><w:t xml:space="preserve">opportunely, the tailor&apos;s son married her on the 26th of</w:t></w:r>
</w:p>
<w:p>
<w:pPr><w:pStyle w:val="Normal"/></w:pPr>
<w:r><w:t xml:space="preserve">December 1512.  She was a very handsome woman and has come</w:t></w:r>
</w:p>
<w:p>
<w:pPr><w:pStyle w:val="Normal"/></w:pPr>
<w:r><w:t xml:space="preserve">down to us treated with great suavity in many a picture of</w:t></w:r>
</w:p>
<w:p>
<w:pPr><w:pStyle w:val="Normal"/></w:pPr>
<w:r><w:t xml:space="preserve">her lover-husband, who constantly painted her as a Madonna</w:t></w:r>
</w:p>
<w:p>
<w:pPr><w:pStyle w:val="Normal"/></w:pPr>
<w:r><w:t xml:space="preserve">and otherwise; and even in painting other women he made them</w:t></w:r>
</w:p>
<w:p>
<w:pPr><w:pStyle w:val="Normal"/></w:pPr>
<w:r><w:t xml:space="preserve">resemble Lucrezia in general type.  She has been much less</w:t></w:r>
</w:p>
<w:p>
<w:pPr><w:pStyle w:val="Normal"/></w:pPr>
<w:r><w:t xml:space="preserve">gently handled by Vasari and other biographers.  Vasari, who</w:t></w:r>
</w:p>
<w:p>
<w:pPr><w:pStyle w:val="Normal"/></w:pPr>
<w:r><w:t xml:space="preserve">was at one time a pupil of Andrea, describes her as faithless,</w:t></w:r>
</w:p>
<w:p>
<w:pPr><w:pStyle w:val="Normal"/></w:pPr>
<w:r><w:t xml:space="preserve">jealous, overbearing and vixenish with the apprentices.</w:t></w:r>
</w:p>
<w:p>
<w:pPr><w:pStyle w:val="Normal"/></w:pPr>
<w:r><w:t xml:space="preserve">She lived to a great age, surviving her husband forty years.</w:t></w:r>
</w:p>
<w:p>
<w:pPr><w:pStyle w:val="Normal"/></w:pPr>
<w:r><w:t xml:space="preserve">By 1514 Andrea had finished his last two frescoes in the</w:t></w:r>
</w:p>
<w:p>
<w:pPr><w:pStyle w:val="Normal"/></w:pPr>
<w:r><w:t xml:space="preserve">court of the Servites, than which none of his works was more</w:t></w:r>
</w:p>
<w:p>
<w:pPr><w:pStyle w:val="Normal"/></w:pPr>
<w:r><w:t xml:space="preserve">admired-- the ``Nativity of the Virgin,&apos;&apos; which shows the</w:t></w:r>
</w:p>
<w:p>
<w:pPr><w:pStyle w:val="Normal"/></w:pPr>
<w:r><w:t xml:space="preserve">influence of Leonardo, Domenico Ghirlandajo and Fra Bartolommeo,</w:t></w:r>
</w:p>
<w:p>
<w:pPr><w:pStyle w:val="Normal"/></w:pPr>
<w:r><w:t xml:space="preserve">in effective fusion, and the ``Procession of the Magi,&apos;&apos;</w:t></w:r>
</w:p>
<w:p>
<w:pPr><w:pStyle w:val="Normal"/></w:pPr>
<w:r><w:t xml:space="preserve">intended as an amplification of a work by Baldovinetti; in</w:t></w:r>
</w:p>
<w:p>
<w:pPr><w:pStyle w:val="Normal"/></w:pPr>
<w:r><w:t xml:space="preserve">this fresco is a portrait of Andrea himself.  He also executed</w:t></w:r>
</w:p>
<w:p>
<w:pPr><w:pStyle w:val="Normal"/></w:pPr>
<w:r><w:t xml:space="preserve">at some date a much-praised head of Christ over the high</w:t></w:r>
</w:p>
<w:p>
<w:pPr><w:pStyle w:val="Normal"/></w:pPr>
<w:r><w:t xml:space="preserve">altar.  By November 1515 he had finished at the Scalzo the</w:t></w:r>
</w:p>
<w:p>
<w:pPr><w:pStyle w:val="Normal"/></w:pPr>
<w:r><w:t xml:space="preserve">allegory of Justice, and the ``Baptist preaching in the</w:t></w:r>
</w:p>
<w:p>
<w:pPr><w:pStyle w:val="Normal"/></w:pPr>
<w:r><w:t xml:space="preserve">desert,&apos;&apos;--followed in 1517 by ``John baptizing,&apos;&apos; and other</w:t></w:r>
</w:p>
<w:p>
<w:pPr><w:pStyle w:val="Normal"/></w:pPr>
<w:r><w:t xml:space="preserve">subjects.  Before the end of 1516 a ``Pieta&apos;&apos; of his</w:t></w:r>
</w:p>
<w:p>
<w:pPr><w:pStyle w:val="Normal"/></w:pPr>
<w:r><w:t xml:space="preserve">composition, and afterwards a Madonna, were sent to the French</w:t></w:r>
</w:p>
<w:p>
<w:pPr><w:pStyle w:val="Normal"/></w:pPr>
<w:r><w:t xml:space="preserve">court.  These were received with applause; and the art-loving</w:t></w:r>
</w:p>
<w:p>
<w:pPr><w:pStyle w:val="Normal"/></w:pPr>
<w:r><w:t xml:space="preserve">monarch Francis I. suggested in 1518 that Andrea should come to</w:t></w:r>
</w:p>
<w:p>
<w:pPr><w:pStyle w:val="Normal"/></w:pPr>
<w:r><w:t xml:space="preserve">Paris.  He journeyed thither towards June of that year,</w:t></w:r>
</w:p>
<w:p>
<w:pPr><w:pStyle w:val="Normal"/></w:pPr>
<w:r><w:t xml:space="preserve">along with his pupil Andrea Sguazzella, leaving his wife</w:t></w:r>
</w:p>
<w:p>
<w:pPr><w:pStyle w:val="Normal"/></w:pPr>
<w:r><w:t xml:space="preserve">in Florence, and was very cordially received, and for the</w:t></w:r>
</w:p>
<w:p>
<w:pPr><w:pStyle w:val="Normal"/></w:pPr>
<w:r><w:t xml:space="preserve">first and only time in his life was handsomely remunerated.</w:t></w:r>
</w:p>
<w:p>
<w:pPr><w:pStyle w:val="Normal"/></w:pPr>
<w:r><w:t xml:space="preserve">Lucrezia, however, wrote urging his return to Italy.  The king</w:t></w:r>
</w:p>
<w:p>
<w:pPr><w:pStyle w:val="Normal"/></w:pPr>
<w:r><w:t xml:space="preserve">assented, but only on the understanding that his absence from</w:t></w:r>
</w:p>
<w:p>
<w:pPr><w:pStyle w:val="Normal"/></w:pPr>
<w:r><w:t xml:space="preserve">France was to be short; and he entrusted Andrea with a sum of</w:t></w:r>
</w:p>
<w:p>
<w:pPr><w:pStyle w:val="Normal"/></w:pPr>
<w:r><w:t xml:space="preserve">money to be expended in purchasing works of art for his royal</w:t></w:r>
</w:p>
<w:p>
<w:pPr><w:pStyle w:val="Normal"/></w:pPr>
<w:r><w:t xml:space="preserve">patron.  The temptation of having a goodly amount of pelf</w:t></w:r>
</w:p>
<w:p>
<w:pPr><w:pStyle w:val="Normal"/></w:pPr>
<w:r><w:t xml:space="preserve">in hand proved too much for Andrea&apos;s virtue.  He spent the</w:t></w:r>
</w:p>
<w:p>
<w:pPr><w:pStyle w:val="Normal"/></w:pPr>
<w:r><w:t xml:space="preserve">king&apos;s money and some of his own in building a house for</w:t></w:r>
</w:p>
<w:p>
<w:pPr><w:pStyle w:val="Normal"/></w:pPr>
<w:r><w:t xml:space="preserve">himself in Florence.  This necessarily brought him into</w:t></w:r>
</w:p>
<w:p>
<w:pPr><w:pStyle w:val="Normal"/></w:pPr>
<w:r><w:t xml:space="preserve">bad odour with Francis, who refused to be appeased by some</w:t></w:r>
</w:p>
<w:p>
<w:pPr><w:pStyle w:val="Normal"/></w:pPr>
<w:r><w:t xml:space="preserve">endeavours which the painter afterwards made to reingratiate</w:t></w:r>
</w:p>
<w:p>
<w:pPr><w:pStyle w:val="Normal"/></w:pPr>
<w:r><w:t xml:space="preserve">himself.  No serious punishment, however, and apparently no</w:t></w:r>
</w:p>
<w:p>
<w:pPr><w:pStyle w:val="Normal"/></w:pPr>
<w:r><w:t xml:space="preserve">grave loss of professional reputation befell the defaulter.</w:t></w:r>
</w:p>
<w:p>
<w:pPr><w:pStyle w:val="Normal"/></w:pPr>
<w:r><w:t xml:space="preserve">In 1520 he resumed work in Florence, and executed the ``Faith&apos;&apos;</w:t></w:r>
</w:p>
<w:p>
<w:pPr><w:pStyle w:val="Normal"/></w:pPr>
<w:r><w:t xml:space="preserve">and ``Charity&apos;&apos; in the cloister of the Scalzo.  These were</w:t></w:r>
</w:p>
<w:p>
<w:pPr><w:pStyle w:val="Normal"/></w:pPr>
<w:r><w:t xml:space="preserve">succeeded by the ``Dance of the Daughter of Herodias,&apos;&apos; the</w:t></w:r>
</w:p>
<w:p>
<w:pPr><w:pStyle w:val="Normal"/></w:pPr>
<w:r><w:t xml:space="preserve">``Beheading of the Baptist,&apos;&apos; the ``Presentation of his head</w:t></w:r>
</w:p>
<w:p>
<w:pPr><w:pStyle w:val="Normal"/></w:pPr>
<w:r><w:t xml:space="preserve">to Herod,&apos;&apos; an allegory of Hope, the ``Apparition of the Angel</w:t></w:r>
</w:p>
<w:p>
<w:pPr><w:pStyle w:val="Normal"/></w:pPr>
<w:r><w:t xml:space="preserve">to Zacharias&apos;&apos; (1523), and the monochrome of the Visitation.</w:t></w:r>
</w:p>
<w:p>
<w:pPr><w:pStyle w:val="Normal"/></w:pPr>
<w:r><w:t xml:space="preserve">This last was painted in the autumn of 1524, after Andrea had</w:t></w:r>
</w:p>
<w:p>
<w:pPr><w:pStyle w:val="Normal"/></w:pPr>
<w:r><w:t xml:space="preserve">returned from Luco in Mugello,--to which place an outbreak of</w:t></w:r>
</w:p>
<w:p>
<w:pPr><w:pStyle w:val="Normal"/></w:pPr>
<w:r><w:t xml:space="preserve">plague in Florence had driven him, his wife, his step-daughter</w:t></w:r>
</w:p>
<w:p>
<w:pPr><w:pStyle w:val="Normal"/></w:pPr>
<w:r><w:t xml:space="preserve">and other relatives.  In 1525 he painted the very famous fresco</w:t></w:r>
</w:p>
<w:p>
<w:pPr><w:pStyle w:val="Normal"/></w:pPr>
<w:r><w:t xml:space="preserve">named the ``Madonna del Sacco,&apos;&apos; a lunette in the cloisters of</w:t></w:r>
</w:p>
<w:p>
<w:pPr><w:pStyle w:val="Normal"/></w:pPr>
<w:r><w:t xml:space="preserve">the Servites; this picture (named after a sack against which</w:t></w:r>
</w:p>
<w:p>
<w:pPr><w:pStyle w:val="Normal"/></w:pPr>
<w:r><w:t xml:space="preserve">Joseph is represented propped) is generally accounted his</w:t></w:r>
</w:p>
<w:p>
<w:pPr><w:pStyle w:val="Normal"/></w:pPr>
<w:r><w:t xml:space="preserve">masterpiece.  His final work at the Scalzo was the ``Birth of</w:t></w:r>
</w:p>
<w:p>
<w:pPr><w:pStyle w:val="Normal"/></w:pPr>
<w:r><w:t xml:space="preserve">the Baptist&apos;&apos; (1526), executed with some enhanced elevation of</w:t></w:r>
</w:p>
<w:p>
<w:pPr><w:pStyle w:val="Normal"/></w:pPr>
<w:r><w:t xml:space="preserve">style after Andrea had been diligently studying Michelangelo&apos;s</w:t></w:r>
</w:p>
<w:p>
<w:pPr><w:pStyle w:val="Normal"/></w:pPr>
<w:r><w:t xml:space="preserve">figures in the sacristy of S. Lorenzo.  In the following</w:t></w:r>
</w:p>
<w:p>
<w:pPr><w:pStyle w:val="Normal"/></w:pPr>
<w:r><w:t xml:space="preserve">year he completed at S. Salvi, near Florence, a celebrated</w:t></w:r>
</w:p>
<w:p>
<w:pPr><w:pStyle w:val="Normal"/></w:pPr>
<w:r><w:t xml:space="preserve">``Last Supper,&apos;&apos; in which all the personages seem to be</w:t></w:r>
</w:p>
<w:p>
<w:pPr><w:pStyle w:val="Normal"/></w:pPr>
<w:r><w:t xml:space="preserve">portraits.  This also is a very fine example of his style,</w:t></w:r>
</w:p>
<w:p>
<w:pPr><w:pStyle w:val="Normal"/></w:pPr>
<w:r><w:t xml:space="preserve">though the conception of the subject is not exalted.  It</w:t></w:r>
</w:p>
<w:p>
<w:pPr><w:pStyle w:val="Normal"/></w:pPr>
<w:r><w:t xml:space="preserve">is the last monumental work of importance which Andrea del</w:t></w:r>
</w:p>
<w:p>
<w:pPr><w:pStyle w:val="Normal"/></w:pPr>
<w:r><w:t xml:space="preserve">Sarto lived to execute.  He dwelt in Florence throughout the</w:t></w:r>
</w:p>
<w:p>
<w:pPr><w:pStyle w:val="Normal"/></w:pPr>
<w:r><w:t xml:space="preserve">memorable siege, which was soon followed by an infectious</w:t></w:r>
</w:p>
<w:p>
<w:pPr><w:pStyle w:val="Normal"/></w:pPr>
<w:r><w:t xml:space="preserve">pestilence.  He caught the malady, struggled against it with</w:t></w:r>
</w:p>
<w:p>
<w:pPr><w:pStyle w:val="Normal"/></w:pPr>
<w:r><w:t xml:space="preserve">little or no tending from his wife, who held aloof, and he</w:t></w:r>
</w:p>
<w:p>
<w:pPr><w:pStyle w:val="Normal"/></w:pPr>
<w:r><w:t xml:space="preserve">died, no one knowing much about it at the moment, on the 22nd</w:t></w:r>
</w:p>
<w:p>
<w:pPr><w:pStyle w:val="Normal"/></w:pPr>
<w:r><w:t xml:space="preserve">of January 1531, at the comparatively early age of forty-three.</w:t></w:r>
</w:p>
<w:p>
<w:pPr><w:pStyle w:val="Normal"/></w:pPr>
<w:r><w:t xml:space="preserve">He was buried unceremoniously in the church of the Servites.</w:t></w:r>
</w:p>
<w:p>
<w:pPr><w:pStyle w:val="Normal"/></w:pPr>
<w:r><w:t xml:space="preserve">Various portraits painted by Andrea are regarded as likenesses</w:t></w:r>
</w:p>
<w:p>
<w:pPr><w:pStyle w:val="Normal"/></w:pPr>
<w:r><w:t xml:space="preserve">of himself, but this is not free from some doubt.  One is in</w:t></w:r>
</w:p>
<w:p>
<w:pPr><w:pStyle w:val="Normal"/></w:pPr>
<w:r><w:t xml:space="preserve">London, in the National Gallery, an admirable half-figure,</w:t></w:r>
</w:p>
<w:p>
<w:pPr><w:pStyle w:val="Normal"/></w:pPr>
<w:r><w:t xml:space="preserve">purchased in 1862.  Another is at Alnwick Castle, a young</w:t></w:r>
</w:p>
<w:p>
<w:pPr><w:pStyle w:val="Normal"/></w:pPr>
<w:r><w:t xml:space="preserve">man about twenty years of age, with his elbow on a table.</w:t></w:r>
</w:p>
<w:p>
<w:pPr><w:pStyle w:val="Normal"/></w:pPr>
<w:r><w:t xml:space="preserve">Another at Panshanger may perhaps represent in reality his</w:t></w:r>
</w:p>
<w:p>
<w:pPr><w:pStyle w:val="Normal"/></w:pPr>
<w:r><w:t xml:space="preserve">pupil Domenico Conti.  Another youthful portrait is in the</w:t></w:r>
</w:p>
<w:p>
<w:pPr><w:pStyle w:val="Normal"/></w:pPr>
<w:r><w:t xml:space="preserve">Uffizi Gallery, and the Pitti Gallery contains more than</w:t></w:r>
</w:p>
<w:p>
<w:pPr><w:pStyle w:val="Normal"/></w:pPr>
<w:r><w:t xml:space="preserve">one.  Among his more renowned works not already specified</w:t></w:r>
</w:p>
<w:p>
<w:pPr><w:pStyle w:val="Normal"/></w:pPr>
<w:r><w:t xml:space="preserve">are the following.  The Virgin and Child, with St Francis</w:t></w:r>
</w:p>
<w:p>
<w:pPr><w:pStyle w:val="Normal"/></w:pPr>
<w:r><w:t xml:space="preserve">and St John the Evangelist and two angels, now in the</w:t></w:r>
</w:p>
<w:p>
<w:pPr><w:pStyle w:val="Normal"/></w:pPr>
<w:r><w:t xml:space="preserve">Uifizi, painted for the church of S. Francesco in Florence;</w:t></w:r>
</w:p>
<w:p>
<w:pPr><w:pStyle w:val="Normal"/></w:pPr>
<w:r><w:t xml:space="preserve">this is termed the ``Madonna di S. Francesco,&apos;&apos; or ``Madonna</w:t></w:r>
</w:p>
<w:p>
<w:pPr><w:pStyle w:val="Normal"/></w:pPr>
<w:r><w:t xml:space="preserve">delle Arpie,&apos;&apos; from certain figures of harpies which are</w:t></w:r>
</w:p>
<w:p>
<w:pPr><w:pStyle w:val="Normal"/></w:pPr>
<w:r><w:t xml:space="preserve">decoratively introduced, and is rated as Andrea&apos;s masterpiece in</w:t></w:r>
</w:p>
<w:p>
<w:pPr><w:pStyle w:val="Normal"/></w:pPr>
<w:r><w:t xml:space="preserve">oil-painting.  The altar-piece in the Uffizi, painted for</w:t></w:r>
</w:p>
<w:p>
<w:pPr><w:pStyle w:val="Normal"/></w:pPr>
<w:r><w:t xml:space="preserve">the monastery of S. Gallo, the ``Fathers disputing on the</w:t></w:r>
</w:p>
<w:p>
<w:pPr><w:pStyle w:val="Normal"/></w:pPr>
<w:r><w:t xml:space="preserve">doctrine of the Trinity&apos;&apos;--SS.  Augustine, Dominic, Francis,</w:t></w:r>
</w:p>
<w:p>
<w:pPr><w:pStyle w:val="Normal"/></w:pPr>
<w:r><w:t xml:space="preserve">Lawrence, Sebastian and Mary Magdalene--a very energetic</w:t></w:r>
</w:p>
<w:p>
<w:pPr><w:pStyle w:val="Normal"/></w:pPr>
<w:r><w:t xml:space="preserve">work.  Both these pictures are comparatively early--towards</w:t></w:r>
</w:p>
<w:p>
<w:pPr><w:pStyle w:val="Normal"/></w:pPr>
<w:r><w:t xml:space="preserve">1517.  The ``Charity&apos;&apos; now in the Louvre (perhaps the</w:t></w:r>
</w:p>
<w:p>
<w:pPr><w:pStyle w:val="Normal"/></w:pPr>
<w:r><w:t xml:space="preserve">only painting which Andrea executed while in France).  The</w:t></w:r>
</w:p>
<w:p>
<w:pPr><w:pStyle w:val="Normal"/></w:pPr>
<w:r><w:t xml:space="preserve">``Pieta,&apos;&apos; in the Belvedere of Vienna; this work, as well as</w:t></w:r>
</w:p>
<w:p>
<w:pPr><w:pStyle w:val="Normal"/></w:pPr>
<w:r><w:t xml:space="preserve">the ``Charity,&apos;&apos; shows a strong Michelangelesque influence.  At</w:t></w:r>
</w:p>
<w:p>
<w:pPr><w:pStyle w:val="Normal"/></w:pPr>
<w:r><w:t xml:space="preserve">Poggio a Caiano a celebrated fresco (1521) representing Julius</w:t></w:r>
</w:p>
<w:p>
<w:pPr><w:pStyle w:val="Normal"/></w:pPr>
<w:r><w:t xml:space="preserve">Caesar receiving tribute, various figures bringing animals</w:t></w:r>
</w:p>
<w:p>
<w:pPr><w:pStyle w:val="Normal"/></w:pPr>
<w:r><w:t xml:space="preserve">from foreign lands--a striking perspective arrangement; it</w:t></w:r>
</w:p>
<w:p>
<w:pPr><w:pStyle w:val="Normal"/></w:pPr>
<w:r><w:t xml:space="preserve">was left unfinished by Andrea and was completed by Alessandro</w:t></w:r>
</w:p>
<w:p>
<w:pPr><w:pStyle w:val="Normal"/></w:pPr>
<w:r><w:t xml:space="preserve">Allori.  Two very remarkable paintings (1523) containing</w:t></w:r>
</w:p>
<w:p>
<w:pPr><w:pStyle w:val="Normal"/></w:pPr>
<w:r><w:t xml:space="preserve">various incidents in the life of the patriarch Joseph, executed</w:t></w:r>
</w:p>
<w:p>
<w:pPr><w:pStyle w:val="Normal"/></w:pPr>
<w:r><w:t xml:space="preserve">for the Borgherini family.  In the Pitti Gallery two separate</w:t></w:r>
</w:p>
<w:p>
<w:pPr><w:pStyle w:val="Normal"/></w:pPr>
<w:r><w:t xml:space="preserve">compositions of the ``Assumption of the Virgin,&apos;&apos; also a fine</w:t></w:r>
</w:p>
<w:p>
<w:pPr><w:pStyle w:val="Normal"/></w:pPr>
<w:r><w:t xml:space="preserve">``Pieta.&apos;&apos; In the Madrid museum the ``Virgin and Child,&apos;&apos;</w:t></w:r>
</w:p>
<w:p>
<w:pPr><w:pStyle w:val="Normal"/></w:pPr>
<w:r><w:t xml:space="preserve">with Joseph, Elizabeth, the infant Baptist and an Archangel.</w:t></w:r>
</w:p>
<w:p>
<w:pPr><w:pStyle w:val="Normal"/></w:pPr>
<w:r><w:t xml:space="preserve">In the Louvre the ``Holy Family,&apos;&apos; the Baptist pointing</w:t></w:r>
</w:p>
<w:p>
<w:pPr><w:pStyle w:val="Normal"/></w:pPr>
<w:r><w:t xml:space="preserve">upwards.  In Berlin a portrait of his wife.  In Panshanger</w:t></w:r>
</w:p>
<w:p>
<w:pPr><w:pStyle w:val="Normal"/></w:pPr>
<w:r><w:t xml:space="preserve">a fine portrait named ``Laura.&apos;&apos; The second picture in the</w:t></w:r>
</w:p>
<w:p>
<w:pPr><w:pStyle w:val="Normal"/></w:pPr>
<w:r><w:t xml:space="preserve">National Gallery ascribed to Andrea, a ``Holy Family,&apos;&apos; is</w:t></w:r>
</w:p>
<w:p>
<w:pPr><w:pStyle w:val="Normal"/></w:pPr>
<w:r><w:t xml:space="preserve">by some critics regarded as the work rather of one of his</w:t></w:r>
</w:p>
<w:p>
<w:pPr><w:pStyle w:val="Normal"/></w:pPr>
<w:r><w:t xml:space="preserve">scholars--we hardly know why.  A very noticeable incident in</w:t></w:r>
</w:p>
<w:p>
<w:pPr><w:pStyle w:val="Normal"/></w:pPr>
<w:r><w:t xml:space="preserve">the life of Andrea del Sarto relates to the copy, which he</w:t></w:r>
</w:p>
<w:p>
<w:pPr><w:pStyle w:val="Normal"/></w:pPr>
<w:r><w:t xml:space="preserve">produced in 1523, of the portrait group of Leo X. by Raphael;</w:t></w:r>
</w:p>
<w:p>
<w:pPr><w:pStyle w:val="Normal"/></w:pPr>
<w:r><w:t xml:space="preserve">it is now in the Naples Museum, the original being in the Pitti</w:t></w:r>
</w:p>
<w:p>
<w:pPr><w:pStyle w:val="Normal"/></w:pPr>
<w:r><w:t xml:space="preserve">Gallery.  Ottaviano de&apos; Medici, the owner of the original, was</w:t></w:r>
</w:p>
<w:p>
<w:pPr><w:pStyle w:val="Normal"/></w:pPr>
<w:r><w:t xml:space="preserve">solicited by Frederick II., duke of Mantua, to present it to</w:t></w:r>
</w:p>
<w:p>
<w:pPr><w:pStyle w:val="Normal"/></w:pPr>
<w:r><w:t xml:space="preserve">him.  Unwilling to part with so great a pictorial prize and</w:t></w:r>
</w:p>
<w:p>
<w:pPr><w:pStyle w:val="Normal"/></w:pPr>
<w:r><w:t xml:space="preserve">unwilling also to disoblige the duke, Ottaviano got Andrea to</w:t></w:r>
</w:p>
<w:p>
<w:pPr><w:pStyle w:val="Normal"/></w:pPr>
<w:r><w:t xml:space="preserve">make the copy, which was consigned to the duke as being the</w:t></w:r>
</w:p>
<w:p>
<w:pPr><w:pStyle w:val="Normal"/></w:pPr>
<w:r><w:t xml:space="preserve">original.  So deceptive was the imitation that even Giulio</w:t></w:r>
</w:p>
<w:p>
<w:pPr><w:pStyle w:val="Normal"/></w:pPr>
<w:r><w:t xml:space="preserve">Romano, who had himself manipulated the original to some</w:t></w:r>
</w:p>
<w:p>
<w:pPr><w:pStyle w:val="Normal"/></w:pPr>
<w:r><w:t xml:space="preserve">extent, was completely taken in; and, on showing the</w:t></w:r>
</w:p>
<w:p>
<w:pPr><w:pStyle w:val="Normal"/></w:pPr>
<w:r><w:t xml:space="preserve">supposed Raphael years afterwards to Vasari, who knew the</w:t></w:r>
</w:p>
<w:p>
<w:pPr><w:pStyle w:val="Normal"/></w:pPr>
<w:r><w:t xml:space="preserve">facts, he could only be undeceived when, a private mark on</w:t></w:r>
</w:p>
<w:p>
<w:pPr><w:pStyle w:val="Normal"/></w:pPr>
<w:r><w:t xml:space="preserve">the canvas was named to him by Vasari and brought under his</w:t></w:r>
</w:p>
<w:p>
<w:pPr><w:pStyle w:val="Normal"/></w:pPr>
<w:r><w:t xml:space="preserve">eye.  It was Michelangelo who had introduced Vasari in 1524</w:t></w:r>
</w:p>
<w:p>
<w:pPr><w:pStyle w:val="Normal"/></w:pPr>
<w:r><w:t xml:space="preserve">to Andrea&apos;s studio.  He is said to have thought very highly</w:t></w:r>
</w:p>
<w:p>
<w:pPr><w:pStyle w:val="Normal"/></w:pPr>
<w:r><w:t xml:space="preserve">of Andrea&apos;s powers, saying on one occasion to Raphael,</w:t></w:r>
</w:p>
<w:p>
<w:pPr><w:pStyle w:val="Normal"/></w:pPr>
<w:r><w:t xml:space="preserve">``There is a little fellow in Florence who will bring</w:t></w:r>
</w:p>
<w:p>
<w:pPr><w:pStyle w:val="Normal"/></w:pPr>
<w:r><w:t xml:space="preserve">sweat to your brow if ever he is engaged in great works.&apos;&apos;</w:t></w:r>
</w:p>
<w:p>
<w:pPr><w:pStyle w:val="Normal"/></w:pPr>
<w:r><w:t xml:space="preserve">Andrea had true pictorial style, a very high standard of</w:t></w:r>
</w:p>
<w:p>
<w:pPr><w:pStyle w:val="Normal"/></w:pPr>
<w:r><w:t xml:space="preserve">correctness and an enviable balance of executive endowments.</w:t></w:r>
</w:p>
<w:p>
<w:pPr><w:pStyle w:val="Normal"/></w:pPr>
<w:r><w:t xml:space="preserve">The point of technique in which he excelled least was perhaps</w:t></w:r>
</w:p>
<w:p>
<w:pPr><w:pStyle w:val="Normal"/></w:pPr>
<w:r><w:t xml:space="preserve">that of discriminating the varying textures of different</w:t></w:r>
</w:p>
<w:p>
<w:pPr><w:pStyle w:val="Normal"/></w:pPr>
<w:r><w:t xml:space="preserve">objects and surfaces.  There is not much elevation or ideality</w:t></w:r>
</w:p>
<w:p>
<w:pPr><w:pStyle w:val="Normal"/></w:pPr>
<w:r><w:t xml:space="preserve">in his works--much more of reality.  His chiaroscuro is</w:t></w:r>
</w:p>
<w:p>
<w:pPr><w:pStyle w:val="Normal"/></w:pPr>
<w:r><w:t xml:space="preserve">not carried out according to strict rule, but is adjusted</w:t></w:r>
</w:p>
<w:p>
<w:pPr><w:pStyle w:val="Normal"/></w:pPr>
<w:r><w:t xml:space="preserve">to his liking for harmony of colour and fused tone and</w:t></w:r>
</w:p>
<w:p>
<w:pPr><w:pStyle w:val="Normal"/></w:pPr>
<w:r><w:t xml:space="preserve">transparence; in fresco more especially his predilection</w:t></w:r>
</w:p>
<w:p>
<w:pPr><w:pStyle w:val="Normal"/></w:pPr>
<w:r><w:t xml:space="preserve">for varied tints appears excessive.  It may be broadly said</w:t></w:r>
</w:p>
<w:p>
<w:pPr><w:pStyle w:val="Normal"/></w:pPr>
<w:r><w:t xml:space="preserve">that his taste in colouring was derived mainly from Fra</w:t></w:r>
</w:p>
<w:p>
<w:pPr><w:pStyle w:val="Normal"/></w:pPr>
<w:r><w:t xml:space="preserve">Bartolommeo, and in form from Michelangelo; and his style</w:t></w:r>
</w:p>
<w:p>
<w:pPr><w:pStyle w:val="Normal"/></w:pPr>
<w:r><w:t xml:space="preserve">partakes of the Venetian and Lombard, as well as the Florentine</w:t></w:r>
</w:p>
<w:p>
<w:pPr><w:pStyle w:val="Normal"/></w:pPr>
<w:r><w:t xml:space="preserve">and Roman--some of his figures are even adapted from Albert</w:t></w:r>
</w:p>
<w:p>
<w:pPr><w:pStyle w:val="Normal"/></w:pPr>
<w:r><w:t xml:space="preserve">Durer.  In one way or other he continued improving to the</w:t></w:r>
</w:p>
<w:p>
<w:pPr><w:pStyle w:val="Normal"/></w:pPr>
<w:r><w:t xml:space="preserve">last.  In drawing from nature, his habit was to sketch very</w:t></w:r>
</w:p>
<w:p>
<w:pPr><w:pStyle w:val="Normal"/></w:pPr>
<w:r><w:t xml:space="preserve">slightly, making only such a memorandum as sufficed to work</w:t></w:r>
</w:p>
<w:p>
<w:pPr><w:pStyle w:val="Normal"/></w:pPr>
<w:r><w:t xml:space="preserve">from.  The scholars of Andrea were very numerous; but, according</w:t></w:r>
</w:p>
<w:p>
<w:pPr><w:pStyle w:val="Normal"/></w:pPr>
<w:r><w:t xml:space="preserve">to Vasari, they were not wont to stay long, being domineered</w:t></w:r>
</w:p>
<w:p>
<w:pPr><w:pStyle w:val="Normal"/></w:pPr>
<w:r><w:t xml:space="preserve">over by his wife; Pontormo and Domenico Puligo may be mentioned.</w:t></w:r>
</w:p>
<w:p>
<w:pPr><w:pStyle w:val="Normal"/></w:pPr>
<w:r><w:t xml:space="preserve">In this account of Andrea del Sarto we have followed</w:t></w:r>
</w:p>
<w:p>
<w:pPr><w:pStyle w:val="Normal"/></w:pPr>
<w:r><w:t xml:space="preserve">the main lines of the narrative of Crowe and</w:t></w:r>
</w:p>
<w:p>
<w:pPr><w:pStyle w:val="Normal"/></w:pPr>
<w:r><w:t xml:space="preserve">Cavalcaselle, supplemented by Vasari, Lanzi and others.</w:t></w:r>
</w:p>
<w:p>
<w:pPr><w:pStyle w:val="Normal"/></w:pPr>
<w:r><w:t xml:space="preserve">There are biographies by Biadi (1829), by von Reumont</w:t></w:r>
</w:p>
<w:p>
<w:pPr><w:pStyle w:val="Normal"/></w:pPr>
<w:r><w:t xml:space="preserve">(1831), by Baumann (1878), and by Guinness (1899). (W. M. R.)</w:t></w:r>
</w:p>
<w:p>
<w:pPr><w:pStyle w:val="Normal"/></w:pPr>
<w:r><w:t xml:space="preserve">ANDREANI, ANDREA, Italian engraver on wood, in chiaroscuro,</w:t></w:r>
</w:p>
<w:p>
<w:pPr><w:pStyle w:val="Normal"/></w:pPr>
<w:r><w:t xml:space="preserve">was born at Mantua about 1540 (Brulliot says 1560) and died</w:t></w:r>
</w:p>
<w:p>
<w:pPr><w:pStyle w:val="Normal"/></w:pPr>
<w:r><w:t xml:space="preserve">at Rome in 1623.  His engravings are scarce and valuable,</w:t></w:r>
</w:p>
<w:p>
<w:pPr><w:pStyle w:val="Normal"/></w:pPr>
<w:r><w:t xml:space="preserve">and are chiefly copies of Mantegna, Durer and Titian.  The</w:t></w:r>
</w:p>
<w:p>
<w:pPr><w:pStyle w:val="Normal"/></w:pPr>
<w:r><w:t xml:space="preserve">most remarkable of his works are ``Mercury and Ignorance,&apos;&apos;</w:t></w:r>
</w:p>
<w:p>
<w:pPr><w:pStyle w:val="Normal"/></w:pPr>
<w:r><w:t xml:space="preserve">the ``Deluge,&apos;&apos; ``Pharaoh&apos;s host drowned in the Red Sea&apos;&apos;</w:t></w:r>
</w:p>
<w:p>
<w:pPr><w:pStyle w:val="Normal"/></w:pPr>
<w:r><w:t xml:space="preserve">(after Titian), the ``Triumph of Caesar&apos;&apos; (after Mantegna),</w:t></w:r>
</w:p>
<w:p>
<w:pPr><w:pStyle w:val="Normal"/></w:pPr>
<w:r><w:t xml:space="preserve">and ``Christ retiring from the judgment-seat of Pilate.&apos;&apos;</w:t></w:r>
</w:p>
<w:p>
<w:pPr><w:pStyle w:val="Normal"/></w:pPr>
<w:r><w:t xml:space="preserve">ANDREE, KARL (1808-1875), German geographer, was born at</w:t></w:r>
</w:p>
<w:p>
<w:pPr><w:pStyle w:val="Normal"/></w:pPr>
<w:r><w:t xml:space="preserve">Brunswick on the 20th of October 1808.  He was educated at</w:t></w:r>
</w:p>
<w:p>
<w:pPr><w:pStyle w:val="Normal"/></w:pPr>
<w:r><w:t xml:space="preserve">Jena, Gottingen and Berlin.  After having been implicated in</w:t></w:r>
</w:p>
<w:p>
<w:pPr><w:pStyle w:val="Normal"/></w:pPr>
<w:r><w:t xml:space="preserve">a students&apos; political agitation he became a journalist, and in</w:t></w:r>
</w:p>
<w:p>
<w:pPr><w:pStyle w:val="Normal"/></w:pPr>
<w:r><w:t xml:space="preserve">1851 founded the Bremer Handelsblatt. From 1855, however, he</w:t></w:r>
</w:p>
<w:p>
<w:pPr><w:pStyle w:val="Normal"/></w:pPr>
<w:r><w:t xml:space="preserve">devoted himself entirely to geography and ethnography, working</w:t></w:r>
</w:p>
<w:p>
<w:pPr><w:pStyle w:val="Normal"/></w:pPr>
<w:r><w:t xml:space="preserve">successively at Leipzig and at Dresden.  In 1862 he founded</w:t></w:r>
</w:p>
<w:p>
<w:pPr><w:pStyle w:val="Normal"/></w:pPr>
<w:r><w:t xml:space="preserve">the important geographical periodical Globus. His works</w:t></w:r>
</w:p>
<w:p>
<w:pPr><w:pStyle w:val="Normal"/></w:pPr>
<w:r><w:t xml:space="preserve">include Nordamerika in geographischen und geschichtlichen</w:t></w:r>
</w:p>
<w:p>
<w:pPr><w:pStyle w:val="Normal"/></w:pPr>
<w:r><w:t xml:space="preserve">Umrissen (Brunswick, 1854), Geographische Wanderungen</w:t></w:r>
</w:p>
<w:p>
<w:pPr><w:pStyle w:val="Normal"/></w:pPr>
<w:r><w:t xml:space="preserve">(Dresden, 1859), and Geographie des Welthandels (Stuttgart,</w:t></w:r>
</w:p>
<w:p>
<w:pPr><w:pStyle w:val="Normal"/></w:pPr>
<w:r><w:t xml:space="preserve">1867-1872).  He died at Wildungen on the 10th of August 1875.</w:t></w:r>
</w:p>
<w:p>
<w:pPr><w:pStyle w:val="Normal"/></w:pPr>
<w:r><w:t xml:space="preserve">His son RICHARD, born on the 26th of February 1835,</w:t></w:r>
</w:p>
<w:p>
<w:pPr><w:pStyle w:val="Normal"/></w:pPr>
<w:r><w:t xml:space="preserve">followed his father&apos;s career, devoting himself especially to</w:t></w:r>
</w:p>
<w:p>
<w:pPr><w:pStyle w:val="Normal"/></w:pPr>
<w:r><w:t xml:space="preserve">ethnography.  He wrote numerous books on this subject,</w:t></w:r>
</w:p>
<w:p>
<w:pPr><w:pStyle w:val="Normal"/></w:pPr>
<w:r><w:t xml:space="preserve">dealing notably with the races of his own country, while</w:t></w:r>
</w:p>
<w:p>
<w:pPr><w:pStyle w:val="Normal"/></w:pPr>
<w:r><w:t xml:space="preserve">an important general work was Ethnographische Parallelen</w:t></w:r>
</w:p>
<w:p>
<w:pPr><w:pStyle w:val="Normal"/></w:pPr>
<w:r><w:t xml:space="preserve">und Vorgleiche (Stuttgart, 1878).  He also took up</w:t></w:r>
</w:p>
<w:p>
<w:pPr><w:pStyle w:val="Normal"/></w:pPr>
<w:r><w:t xml:space="preserve">cartography, having a chief share in the production of the</w:t></w:r>
</w:p>
<w:p>
<w:pPr><w:pStyle w:val="Normal"/></w:pPr>
<w:r><w:t xml:space="preserve">Physikalisch-statistische Atlas des deutschen Reiches</w:t></w:r>
</w:p>
<w:p>
<w:pPr><w:pStyle w:val="Normal"/></w:pPr>
<w:r><w:t xml:space="preserve">(Leipzig, 1877), Allgemeine Handatlas (first ed., 1881), and</w:t></w:r>
</w:p>
<w:p>
<w:pPr><w:pStyle w:val="Normal"/></w:pPr>
<w:r><w:t xml:space="preserve">other atlases; and he continued the editorship of the Globus.</w:t></w:r>
</w:p>
<w:p>
<w:pPr><w:pStyle w:val="Normal"/></w:pPr>
<w:r><w:t xml:space="preserve">ANDREE, SALOMON AUGUST (1854-1897?), Swedish engineer,</w:t></w:r>
</w:p>
<w:p>
<w:pPr><w:pStyle w:val="Normal"/></w:pPr>
<w:r><w:t xml:space="preserve">was born at Grenna, on Lake Vetter, on the 18th of October</w:t></w:r>
</w:p>
<w:p>
<w:pPr><w:pStyle w:val="Normal"/></w:pPr>
<w:r><w:t xml:space="preserve">1854.  After education at the Stockholm technical college,</w:t></w:r>
</w:p>
<w:p>
<w:pPr><w:pStyle w:val="Normal"/></w:pPr>
<w:r><w:t xml:space="preserve">he studied aeronautics, and in 1895 elaborated a plan for</w:t></w:r>
</w:p>
<w:p>
<w:pPr><w:pStyle w:val="Normal"/></w:pPr>
<w:r><w:t xml:space="preserve">crossing the north polar region by a balloon which should be</w:t></w:r>
</w:p>
<w:p>
<w:pPr><w:pStyle w:val="Normal"/></w:pPr>
<w:r><w:t xml:space="preserve">in some degree dirigible by sails and trailing ropes.  After</w:t></w:r>
</w:p>
<w:p>
<w:pPr><w:pStyle w:val="Normal"/></w:pPr>
<w:r><w:t xml:space="preserve">an abortive effort in 1896, the winds being contrary, he</w:t></w:r>
</w:p>
<w:p>
<w:pPr><w:pStyle w:val="Normal"/></w:pPr>
<w:r><w:t xml:space="preserve">started with two companions from Danes Island, Spitsbergen,</w:t></w:r>
</w:p>
<w:p>
<w:pPr><w:pStyle w:val="Normal"/></w:pPr>
<w:r><w:t xml:space="preserve">on the 11th of July 1897.  The party was never seen again,</w:t></w:r>
</w:p>
<w:p>
<w:pPr><w:pStyle w:val="Normal"/></w:pPr>
<w:r><w:t xml:space="preserve">nor is the manner of its fate known.  Of several expeditions</w:t></w:r>
</w:p>
<w:p>
<w:pPr><w:pStyle w:val="Normal"/></w:pPr>
<w:r><w:t xml:space="preserve">sent in search of it, the first started in November 1897,</w:t></w:r>
</w:p>
<w:p>
<w:pPr><w:pStyle w:val="Normal"/></w:pPr>
<w:r><w:t xml:space="preserve">on the strength of a report of cries of distress heard by</w:t></w:r>
</w:p>
<w:p>
<w:pPr><w:pStyle w:val="Normal"/></w:pPr>
<w:r><w:t xml:space="preserve">shipwrecked sailors at Spitsbergen; in 1898 and 1899 parties</w:t></w:r>
</w:p>
<w:p>
<w:pPr><w:pStyle w:val="Normal"/></w:pPr>
<w:r><w:t xml:space="preserve">searched the north Asiatic coast and the New Siberia Islands;</w:t></w:r>
</w:p>
<w:p>
<w:pPr><w:pStyle w:val="Normal"/></w:pPr>
<w:r><w:t xml:space="preserve">and in May 1899 Dr Nathorst headed an expedition to eastern</w:t></w:r>
</w:p>
<w:p>
<w:pPr><w:pStyle w:val="Normal"/></w:pPr>
<w:r><w:t xml:space="preserve">Greenland.  None was successful, and only scanty information</w:t></w:r>
</w:p>
<w:p>
<w:pPr><w:pStyle w:val="Normal"/></w:pPr>
<w:r><w:t xml:space="preserve">was obtained or inferred from the discovery of a few buoys (on</w:t></w:r>
</w:p>
<w:p>
<w:pPr><w:pStyle w:val="Normal"/></w:pPr>
<w:r><w:t xml:space="preserve">the west of Spitsbergen, northern Norway, Iceland, &amp;c.) which</w:t></w:r>
</w:p>
<w:p>
<w:pPr><w:pStyle w:val="Normal"/></w:pPr>
<w:r><w:t xml:space="preserve">the balloonists had arranged to drop, and a message taken from</w:t></w:r>
</w:p>
<w:p>
<w:pPr><w:pStyle w:val="Normal"/></w:pPr>
<w:r><w:t xml:space="preserve">a carrier pigeon despatched from the balloon two days after its</w:t></w:r>
</w:p>
<w:p>
<w:pPr><w:pStyle w:val="Normal"/></w:pPr>
<w:r><w:t xml:space="preserve">ascent.  There were also messages in two of the buoys, but they</w:t></w:r>
</w:p>
<w:p>
<w:pPr><w:pStyle w:val="Normal"/></w:pPr>
<w:r><w:t xml:space="preserve">dated only from the day of the ascent.  The others were empty.</w:t></w:r>
</w:p>
<w:p>
<w:pPr><w:pStyle w:val="Normal"/></w:pPr>
<w:r><w:t xml:space="preserve">ANDREINI, FRANCESCO, Italian actor, was born at Pistoia in</w:t></w:r>
</w:p>
<w:p>
<w:pPr><w:pStyle w:val="Normal"/></w:pPr>
<w:r><w:t xml:space="preserve">the last half of the 16th century.  He was a member of the</w:t></w:r>
</w:p>
<w:p>
<w:pPr><w:pStyle w:val="Normal"/></w:pPr>
<w:r><w:t xml:space="preserve">company of the Gelosi which Henry IV. summoned to Paris</w:t></w:r>
</w:p>
<w:p>
<w:pPr><w:pStyle w:val="Normal"/></w:pPr>
<w:r><w:t xml:space="preserve">to please his bride, the young queen Marie de&apos; Medici.  His</w:t></w:r>
</w:p>
<w:p>
<w:pPr><w:pStyle w:val="Normal"/></w:pPr>
<w:r><w:t xml:space="preserve">wife ISABELLA ANDREINI (1562-1604) was a member of her</w:t></w:r>
</w:p>
<w:p>
<w:pPr><w:pStyle w:val="Normal"/></w:pPr>
<w:r><w:t xml:space="preserve">husband&apos;s company, distinguished alike for her acting and</w:t></w:r>
</w:p>
<w:p>
<w:pPr><w:pStyle w:val="Normal"/></w:pPr>
<w:r><w:t xml:space="preserve">her character,--commemorated in the medal struck at Lyons</w:t></w:r>
</w:p>
<w:p>
<w:pPr><w:pStyle w:val="Normal"/></w:pPr>
<w:r><w:t xml:space="preserve">in the year of her death, with her portrait on one side, and</w:t></w:r>
</w:p>
<w:p>
<w:pPr><w:pStyle w:val="Normal"/></w:pPr>
<w:r><w:t xml:space="preserve">the figure of Fame on the reverse with the words aeterna</w:t></w:r>
</w:p>
<w:p>
<w:pPr><w:pStyle w:val="Normal"/></w:pPr>
<w:r><w:t xml:space="preserve">fama. She was also known in literature, her books including</w:t></w:r>
</w:p>
<w:p>
<w:pPr><w:pStyle w:val="Normal"/></w:pPr>
<w:r><w:t xml:space="preserve">a pastoral, Mirtilla (Verona, 1588), a volume of songs,</w:t></w:r>
</w:p>
<w:p>
<w:pPr><w:pStyle w:val="Normal"/></w:pPr>
<w:r><w:t xml:space="preserve">sonnets and other poems (Milan, 1601), and a collection of</w:t></w:r>
</w:p>
<w:p>
<w:pPr><w:pStyle w:val="Normal"/></w:pPr>
<w:r><w:t xml:space="preserve">letters, published after her death.  She inspired many of the</w:t></w:r>
</w:p>
<w:p>
<w:pPr><w:pStyle w:val="Normal"/></w:pPr>
<w:r><w:t xml:space="preserve">French poets, notably Isaac du Ryer (d. c. 1631).  Her son</w:t></w:r>
</w:p>
<w:p>
<w:pPr><w:pStyle w:val="Normal"/></w:pPr>
<w:r><w:t xml:space="preserve">GIAMBATTISTA ANDREINI (1578-1650) was born in Florence, and</w:t></w:r>
</w:p>
<w:p>
<w:pPr><w:pStyle w:val="Normal"/></w:pPr>
<w:r><w:t xml:space="preserve">had a great success as a comedian in Paris under the name of</w:t></w:r>
</w:p>
<w:p>
<w:pPr><w:pStyle w:val="Normal"/></w:pPr>
<w:r><w:t xml:space="preserve">Leylio.  He was a favourite with Louis XIII., and also</w:t></w:r>
</w:p>
<w:p>
<w:pPr><w:pStyle w:val="Normal"/></w:pPr>
<w:r><w:t xml:space="preserve">with the public, especially as the young lover.  He left a</w:t></w:r>
</w:p>
<w:p>
<w:pPr><w:pStyle w:val="Normal"/></w:pPr>
<w:r><w:t xml:space="preserve">number of plays full of extravagant imagination.  The best</w:t></w:r>
</w:p>
<w:p>
<w:pPr><w:pStyle w:val="Normal"/></w:pPr>
<w:r><w:t xml:space="preserve">known are L&apos;Adamo (Milan, 1613), The Penitent Magdalene</w:t></w:r>
</w:p>
<w:p>
<w:pPr><w:pStyle w:val="Normal"/></w:pPr>
<w:r><w:t xml:space="preserve">(Mantua, 1617), and The Centaur (Paris, 1622).  From the</w:t></w:r>
</w:p>
<w:p>
<w:pPr><w:pStyle w:val="Normal"/></w:pPr>
<w:r><w:t xml:space="preserve">first of these three volumes, which are extremely rare,</w:t></w:r>
</w:p>
<w:p>
<w:pPr><w:pStyle w:val="Normal"/></w:pPr>
<w:r><w:t xml:space="preserve">Italians have often asserted that Milton, travelling at that</w:t></w:r>
</w:p>
<w:p>
<w:pPr><w:pStyle w:val="Normal"/></w:pPr>
<w:r><w:t xml:space="preserve">time in their country, took the idea of Paradise Lost.</w:t></w:r>
</w:p>
<w:p>
<w:pPr><w:pStyle w:val="Normal"/></w:pPr>
<w:r><w:t xml:space="preserve">ANDREOSSY, ANTOINE-FRANCOIS, COUNT (1761-1828), French</w:t></w:r>
</w:p>
<w:p>
<w:pPr><w:pStyle w:val="Normal"/></w:pPr>
<w:r><w:t xml:space="preserve">soldier and diplomatist, was born at Castelnaudary, in Languedoc,</w:t></w:r>
</w:p>
<w:p>
<w:pPr><w:pStyle w:val="Normal"/></w:pPr>
<w:r><w:t xml:space="preserve">on the 6th of March 1761.  He was of Italian extraction, and</w:t></w:r>
</w:p>
<w:p>
<w:pPr><w:pStyle w:val="Normal"/></w:pPr>
<w:r><w:t xml:space="preserve">his ancestor Francois Andreossy (1633-1688) had been concerned</w:t></w:r>
</w:p>
<w:p>
<w:pPr><w:pStyle w:val="Normal"/></w:pPr>
<w:r><w:t xml:space="preserve">with Riquet in the construction of the Languedoc Canal in</w:t></w:r>
</w:p>
<w:p>
<w:pPr><w:pStyle w:val="Normal"/></w:pPr>
<w:r><w:t xml:space="preserve">1669.  He had a brilliant career at the school of artillery at</w:t></w:r>
</w:p>
<w:p>
<w:pPr><w:pStyle w:val="Normal"/></w:pPr>
<w:r><w:t xml:space="preserve">Metz, obtained his commission in 1781, and became captain in</w:t></w:r>
</w:p>
<w:p>
<w:pPr><w:pStyle w:val="Normal"/></w:pPr>
<w:r><w:t xml:space="preserve">1788.  On the outbreak of the Revolution he adopted its</w:t></w:r>
</w:p>
<w:p>
<w:pPr><w:pStyle w:val="Normal"/></w:pPr>
<w:r><w:t xml:space="preserve">principles.  He saw active service on the Rhine in 1794 and</w:t></w:r>
</w:p>
<w:p>
<w:pPr><w:pStyle w:val="Normal"/></w:pPr>
<w:r><w:t xml:space="preserve">in Italy in 1795, and in the campaign of 1796-97 was employed</w:t></w:r>
</w:p>
<w:p>
<w:pPr><w:pStyle w:val="Normal"/></w:pPr>
<w:r><w:t xml:space="preserve">in engineer duties with the Army of Italy.  He became chef</w:t></w:r>
</w:p>
<w:p>
<w:pPr><w:pStyle w:val="Normal"/></w:pPr>
<w:r><w:t xml:space="preserve">de brigade in December 1796 and general of brigade in</w:t></w:r>
</w:p>
<w:p>
<w:pPr><w:pStyle w:val="Normal"/></w:pPr>
<w:r><w:t xml:space="preserve">1798, in which year he accompanied Bonaparte to Egypt.  He</w:t></w:r>
</w:p>
<w:p>
<w:pPr><w:pStyle w:val="Normal"/></w:pPr>
<w:r><w:t xml:space="preserve">served in the Egyptian campaign with distinction, and was</w:t></w:r>
</w:p>
<w:p>
<w:pPr><w:pStyle w:val="Normal"/></w:pPr>
<w:r><w:t xml:space="preserve">selected as one of Napoleon&apos;s companions on his return to</w:t></w:r>
</w:p>
<w:p>
<w:pPr><w:pStyle w:val="Normal"/></w:pPr>
<w:r><w:t xml:space="preserve">Europe.  Andreossy took part in the coup d&apos;etat of the</w:t></w:r>
</w:p>
<w:p>
<w:pPr><w:pStyle w:val="Normal"/></w:pPr>
<w:r><w:t xml:space="preserve">18th of Brumaire, and on the 6th of January 1800 was made</w:t></w:r>
</w:p>
<w:p>
<w:pPr><w:pStyle w:val="Normal"/></w:pPr>
<w:r><w:t xml:space="preserve">general of division.  Of particular importance was his term</w:t></w:r>
</w:p>
<w:p>
<w:pPr><w:pStyle w:val="Normal"/></w:pPr>
<w:r><w:t xml:space="preserve">of office as ambassador to England during the short peace</w:t></w:r>
</w:p>
<w:p>
<w:pPr><w:pStyle w:val="Normal"/></w:pPr>
<w:r><w:t xml:space="preserve">which followed the treaties of Amiens and Luneville.  It</w:t></w:r>
</w:p>
<w:p>
<w:pPr><w:pStyle w:val="Normal"/></w:pPr>
<w:r><w:t xml:space="preserve">had been shown (Coquille, Napoleon and England, 1904)</w:t></w:r>
</w:p>
<w:p>
<w:pPr><w:pStyle w:val="Normal"/></w:pPr>
<w:r><w:t xml:space="preserve">that Andreossy repeatedly warned Napoleon that the British</w:t></w:r>
</w:p>
<w:p>
<w:pPr><w:pStyle w:val="Normal"/></w:pPr>
<w:r><w:t xml:space="preserve">government desired to maintain peace but must be treated with</w:t></w:r>
</w:p>
<w:p>
<w:pPr><w:pStyle w:val="Normal"/></w:pPr>
<w:r><w:t xml:space="preserve">consideration.  His advice, however, was disregarded.  When</w:t></w:r>
</w:p>
<w:p>
<w:pPr><w:pStyle w:val="Normal"/></w:pPr>
<w:r><w:t xml:space="preserve">Napoleon became emperor he made Andreossy inspector-general</w:t></w:r>
</w:p>
<w:p>
<w:pPr><w:pStyle w:val="Normal"/></w:pPr>
<w:r><w:t xml:space="preserve">of artillery and a count of the empire.  In the war of</w:t></w:r>
</w:p>
<w:p>
<w:pPr><w:pStyle w:val="Normal"/></w:pPr>
<w:r><w:t xml:space="preserve">1805 Andreossy was employed on the headquarters staff of</w:t></w:r>
</w:p>
<w:p>
<w:pPr><w:pStyle w:val="Normal"/></w:pPr>
<w:r><w:t xml:space="preserve">Napoleon.  From 1808 to 1809 he was French ambassador at Vienna,</w:t></w:r>
</w:p>
<w:p>
<w:pPr><w:pStyle w:val="Normal"/></w:pPr>
<w:r><w:t xml:space="preserve">where he displayed a hostility to Austria which was in marked</w:t></w:r>
</w:p>
<w:p>
<w:pPr><w:pStyle w:val="Normal"/></w:pPr>
<w:r><w:t xml:space="preserve">contrast to his friendliness to England in 1802-1803.  In the</w:t></w:r>
</w:p>
<w:p>
<w:pPr><w:pStyle w:val="Normal"/></w:pPr>
<w:r><w:t xml:space="preserve">war of 1809, Andreossy was military governor of Vienna during</w:t></w:r>
</w:p>
<w:p>
<w:pPr><w:pStyle w:val="Normal"/></w:pPr>
<w:r><w:t xml:space="preserve">the French occupation.  In 1812 he was sent by Napoleon as</w:t></w:r>
</w:p>
<w:p>
<w:pPr><w:pStyle w:val="Normal"/></w:pPr>
<w:r><w:t xml:space="preserve">ambassador to Constantinople, where he carried on the policy</w:t></w:r>
</w:p>
<w:p>
<w:pPr><w:pStyle w:val="Normal"/></w:pPr>
<w:r><w:t xml:space="preserve">initiated by Sebastiani.  In 1814 he was recalled by Louis</w:t></w:r>
</w:p>
<w:p>
<w:pPr><w:pStyle w:val="Heading1"/></w:pPr>
<w:r><w:t>XVIII.  Andreossy now retired into private life, till the</w:t></w:r>
</w:p>
<w:p>
<w:pPr><w:pStyle w:val="Normal"/></w:pPr>
<w:r><w:t xml:space="preserve">escape of his former master from Elba once again called him</w:t></w:r>
</w:p>
<w:p>
<w:pPr><w:pStyle w:val="Normal"/></w:pPr>
<w:r><w:t xml:space="preserve">forth.  In 1826 he was elected to the Academie des Sciences,</w:t></w:r>
</w:p>
<w:p>
<w:pPr><w:pStyle w:val="Normal"/></w:pPr>
<w:r><w:t xml:space="preserve">and in the following year was deputy for the department of the</w:t></w:r>
</w:p>
<w:p>
<w:pPr><w:pStyle w:val="Normal"/></w:pPr>
<w:r><w:t xml:space="preserve">Aude.  His numerous works included the following:--on artillery</w:t></w:r>
</w:p>
<w:p>
<w:pPr><w:pStyle w:val="Normal"/></w:pPr>
<w:r><w:t xml:space="preserve">(with which arm he was most intimately connected throughout</w:t></w:r>
</w:p>
<w:p>
<w:pPr><w:pStyle w:val="Normal"/></w:pPr>
<w:r><w:t xml:space="preserve">his military career), Quelques idees relatives a l&apos;usage</w:t></w:r>
</w:p>
<w:p>
<w:pPr><w:pStyle w:val="Normal"/></w:pPr>
<w:r><w:t xml:space="preserve">de l&apos;artillerie dans l&apos;attaque et . . . la defense des</w:t></w:r>
</w:p>
<w:p>
<w:pPr><w:pStyle w:val="Normal"/></w:pPr>
<w:r><w:t xml:space="preserve">places (Metz); Essai sur le tir des projectiles creux</w:t></w:r>
</w:p>
<w:p>
<w:pPr><w:pStyle w:val="Normal"/></w:pPr>
<w:r><w:t xml:space="preserve">(Paris, 1826); and on military history, Campagne sur le</w:t></w:r>
</w:p>
<w:p>
<w:pPr><w:pStyle w:val="Normal"/></w:pPr>
<w:r><w:t xml:space="preserve">Main et la Rednitz de l&apos;armee gallo-batave (Paris, 1802);</w:t></w:r>
</w:p>
<w:p>
<w:pPr><w:pStyle w:val="Normal"/></w:pPr>
<w:r><w:t xml:space="preserve">Operations des pontonniers en Italie . . . 1195-1796</w:t></w:r>
</w:p>
<w:p>
<w:pPr><w:pStyle w:val="Normal"/></w:pPr>
<w:r><w:t xml:space="preserve">(Paris, 1843).  He also wrote scientific memoirs on the</w:t></w:r>
</w:p>
<w:p>
<w:pPr><w:pStyle w:val="Normal"/></w:pPr>
<w:r><w:t xml:space="preserve">mouth of the Black Sea (1818-1819); on certain Egyptian lakes</w:t></w:r>
</w:p>
<w:p>
<w:pPr><w:pStyle w:val="Normal"/></w:pPr>
<w:r><w:t xml:space="preserve">(during his stay in Egypt); and in particular the history</w:t></w:r>
</w:p>
<w:p>
<w:pPr><w:pStyle w:val="Normal"/></w:pPr>
<w:r><w:t xml:space="preserve">of the Languedoc Canal (Histoire du canal du Midi, 2nd</w:t></w:r>
</w:p>
<w:p>
<w:pPr><w:pStyle w:val="Normal"/></w:pPr>
<w:r><w:t xml:space="preserve">ed., Paris, 1804), the chief credit of which he claimed</w:t></w:r>
</w:p>
<w:p>
<w:pPr><w:pStyle w:val="Normal"/></w:pPr>
<w:r><w:t xml:space="preserve">for his ancestor.  Andreossy died at Montauban in 1828.</w:t></w:r>
</w:p>
<w:p>
<w:pPr><w:pStyle w:val="Normal"/></w:pPr>
<w:r><w:t xml:space="preserve">See Marion, Notice necrologique sur le Lt.-General Comte Andreossy.</w:t></w:r>
</w:p>
<w:p>
<w:pPr><w:pStyle w:val="Normal"/></w:pPr>
<w:r><w:t xml:space="preserve">ANDRES, JUAN (1740-1817), Spanish Jesuit, was born at</w:t></w:r>
</w:p>
<w:p>
<w:pPr><w:pStyle w:val="Normal"/></w:pPr>
<w:r><w:t xml:space="preserve">Planes in the province of Valencia, and became professor</w:t></w:r>
</w:p>
<w:p>
<w:pPr><w:pStyle w:val="Normal"/></w:pPr>
<w:r><w:t xml:space="preserve">of literature at Gandia and finally royal librarian at</w:t></w:r>
</w:p>
<w:p>
<w:pPr><w:pStyle w:val="Normal"/></w:pPr>
<w:r><w:t xml:space="preserve">Naples.  He died at Rome on the 12th of January 1817.  He</w:t></w:r>
</w:p>
<w:p>
<w:pPr><w:pStyle w:val="Normal"/></w:pPr>
<w:r><w:t xml:space="preserve">is the author of many miscellaneous treatises on science,</w:t></w:r>
</w:p>
<w:p>
<w:pPr><w:pStyle w:val="Normal"/></w:pPr>
<w:r><w:t xml:space="preserve">music, the art of teaching the deaf and dumb, &amp;c. But his chief</w:t></w:r>
</w:p>
<w:p>
<w:pPr><w:pStyle w:val="Normal"/></w:pPr>
<w:r><w:t xml:space="preserve">work, the labour of fully twenty years, is entitled Dell&apos;</w:t></w:r>
</w:p>
<w:p>
<w:pPr><w:pStyle w:val="Normal"/></w:pPr>
<w:r><w:t xml:space="preserve">origine, progressi, e stato attuale d&apos; ogni Letteratura</w:t></w:r>
</w:p>
<w:p>
<w:pPr><w:pStyle w:val="Normal"/></w:pPr>
<w:r><w:t xml:space="preserve">(7 vols., Parma, 1782-1799).  A Spanish translation by his</w:t></w:r>
</w:p>
<w:p>
<w:pPr><w:pStyle w:val="Normal"/></w:pPr>
<w:r><w:t xml:space="preserve">brother Carlos appeared at Madrid between 1784 and 1806,</w:t></w:r>
</w:p>
<w:p>
<w:pPr><w:pStyle w:val="Normal"/></w:pPr>
<w:r><w:t xml:space="preserve">and an abridgment in French (1838-1846) was compiled by</w:t></w:r>
</w:p>
<w:p>
<w:pPr><w:pStyle w:val="Normal"/></w:pPr>
<w:r><w:t xml:space="preserve">the Jesuit Alexis Nerbonne.  The original was frequently</w:t></w:r>
</w:p>
<w:p>
<w:pPr><w:pStyle w:val="Normal"/></w:pPr>
<w:r><w:t xml:space="preserve">reprinted during the first half of the 19th century.</w:t></w:r>
</w:p>
<w:p>
<w:pPr><w:pStyle w:val="Normal"/></w:pPr>
<w:r><w:t xml:space="preserve">See C. Sommervogel, Bibliotheque de la compagnie de Jesus,</w:t></w:r>
</w:p>
<w:p>
<w:pPr><w:pStyle w:val="Normal"/></w:pPr>
<w:r><w:t xml:space="preserve">premiere partie (Brussels and Paris), vol. i. col. 342-350.</w:t></w:r>
</w:p>
<w:p>
<w:pPr><w:pStyle w:val="Normal"/></w:pPr>
<w:r><w:t xml:space="preserve">ANDREW (Gr. Andreas, manly), the Christian Apostle,</w:t></w:r>
</w:p>
<w:p>
<w:pPr><w:pStyle w:val="Normal"/></w:pPr>
<w:r><w:t xml:space="preserve">brother of Simon Peter, was born at Bethsaida on the Lake of</w:t></w:r>
</w:p>
<w:p>
<w:pPr><w:pStyle w:val="Normal"/></w:pPr>
<w:r><w:t xml:space="preserve">Galilee.  He had been a disciple of John the Baptist (John</w:t></w:r>
</w:p>
<w:p>
<w:pPr><w:pStyle w:val="Normal"/></w:pPr>
<w:r><w:t xml:space="preserve">i. 37-40) and was one of the first to follow Jesus.  He</w:t></w:r>
</w:p>
<w:p>
<w:pPr><w:pStyle w:val="Normal"/></w:pPr>
<w:r><w:t xml:space="preserve">lived at Capernaum (Mark i. 29). In the gospel story he is</w:t></w:r>
</w:p>
<w:p>
<w:pPr><w:pStyle w:val="Normal"/></w:pPr>
<w:r><w:t xml:space="preserve">referred to as being present on some important occasions</w:t></w:r>
</w:p>
<w:p>
<w:pPr><w:pStyle w:val="Normal"/></w:pPr>
<w:r><w:t xml:space="preserve">as one of the disciples more closely attached to Jesus</w:t></w:r>
</w:p>
<w:p>
<w:pPr><w:pStyle w:val="Normal"/></w:pPr>
<w:r><w:t xml:space="preserve">(Mark xiii. 3; John vi. 8, xii. 22); in Acts there is only</w:t></w:r>
</w:p>
<w:p>
<w:pPr><w:pStyle w:val="Normal"/></w:pPr>
<w:r><w:t xml:space="preserve">a bare mention of him (i. 13). Tradition relates that he</w:t></w:r>
</w:p>
<w:p>
<w:pPr><w:pStyle w:val="Normal"/></w:pPr>
<w:r><w:t xml:space="preserve">preached in Asia Minor and in Scythia, along the Black Sea</w:t></w:r>
</w:p>
<w:p>
<w:pPr><w:pStyle w:val="Normal"/></w:pPr>
<w:r><w:t xml:space="preserve">as far as the Volga.  Hence he became a patron saint of</w:t></w:r>
</w:p>
<w:p>
<w:pPr><w:pStyle w:val="Normal"/></w:pPr>
<w:r><w:t xml:space="preserve">Russia.  He is said to have suffered crucifixion at Patras</w:t></w:r>
</w:p>
<w:p>
<w:pPr><w:pStyle w:val="Normal"/></w:pPr>
<w:r><w:t xml:space="preserve">(Patrae) in Achaea, on a cross of the form called Crux</w:t></w:r>
</w:p>
<w:p>
<w:pPr><w:pStyle w:val="Normal"/></w:pPr>
<w:r><w:t xml:space="preserve">decussata (X) and commonly known as ``St Andrew&apos;s cross.&apos;&apos;</w:t></w:r>
</w:p>
<w:p>
<w:pPr><w:pStyle w:val="Normal"/></w:pPr>
<w:r><w:t xml:space="preserve">According to tradition his relics were removed from Patras to</w:t></w:r>
</w:p>
<w:p>
<w:pPr><w:pStyle w:val="Normal"/></w:pPr>
<w:r><w:t xml:space="preserve">Constantinople, and thence to St Andrews (see below).  The</w:t></w:r>
</w:p>
<w:p>
<w:pPr><w:pStyle w:val="Normal"/></w:pPr>
<w:r><w:t xml:space="preserve">apocryphal book, The Acts of Andrew, mentioned by Eusebius,</w:t></w:r>
</w:p>
<w:p>
<w:pPr><w:pStyle w:val="Normal"/></w:pPr>
<w:r><w:t xml:space="preserve">Epiphanius and others, is generally attributed to Leucius the</w:t></w:r>
</w:p>
<w:p>
<w:pPr><w:pStyle w:val="Normal"/></w:pPr>
<w:r><w:t xml:space="preserve">Gnostic.  It was edited and published by C. Tischendorf in</w:t></w:r>
</w:p>
<w:p>
<w:pPr><w:pStyle w:val="Normal"/></w:pPr>
<w:r><w:t xml:space="preserve">the Acta Apostolorum apocrypha (Leipzig, 1821).  This</w:t></w:r>
</w:p>
<w:p>
<w:pPr><w:pStyle w:val="Normal"/></w:pPr>
<w:r><w:t xml:space="preserve">book, as well as a Gospel of St Andrew, was declared</w:t></w:r>
</w:p>
<w:p>
<w:pPr><w:pStyle w:val="Normal"/></w:pPr>
<w:r><w:t xml:space="preserve">apocryphal by a decree of Pope Gelasius.  Another version of</w:t></w:r>
</w:p>
<w:p>
<w:pPr><w:pStyle w:val="Normal"/></w:pPr>
<w:r><w:t xml:space="preserve">the Andrew legend is found in the Passio Andreae, published</w:t></w:r>
</w:p>
<w:p>
<w:pPr><w:pStyle w:val="Normal"/></w:pPr>
<w:r><w:t xml:space="preserve">by Max Bonnet (Supplementum II Codicis apocryphi, Paris,</w:t></w:r>
</w:p>
<w:p>
<w:pPr><w:pStyle w:val="Normal"/></w:pPr>
<w:r><w:t xml:space="preserve">1895).  On this was founded an Anglo-Saxon poem (``Andreas und</w:t></w:r>
</w:p>
<w:p>
<w:pPr><w:pStyle w:val="Normal"/></w:pPr>
<w:r><w:t xml:space="preserve">Elene,&apos;&apos; first published by J. Grimm, 1841; cf.  C. W. Goodwin,</w:t></w:r>
</w:p>
<w:p>
<w:pPr><w:pStyle w:val="Normal"/></w:pPr>
<w:r><w:t xml:space="preserve">The Anglo-Saxon Legends of S. Andreas and S. Veronica,</w:t></w:r>
</w:p>
<w:p>
<w:pPr><w:pStyle w:val="Normal"/></w:pPr>
<w:r><w:t xml:space="preserve">1851).  The festival of St Andrew is held on the 30th of November.</w:t></w:r>
</w:p>
<w:p>
<w:pPr><w:pStyle w:val="Normal"/></w:pPr>
<w:r><w:t xml:space="preserve">See APOCRYPHAL LITERATURE: also Lipsius, Die apokryphen</w:t></w:r>
</w:p>
<w:p>
<w:pPr><w:pStyle w:val="Normal"/></w:pPr>
<w:r><w:t xml:space="preserve">Apostelgeschichten und Apostellegeniden, vol. i.</w:t></w:r>
</w:p>
<w:p>
<w:pPr><w:pStyle w:val="Normal"/></w:pPr>
<w:r><w:t xml:space="preserve">(1883), and Hastings&apos; Dictionary of the Bible, s.v.</w:t></w:r>
</w:p>
<w:p>
<w:pPr><w:pStyle w:val="Normal"/></w:pPr>
<w:r><w:t xml:space="preserve">Scottish Legends.--About the middle of the 8th century</w:t></w:r>
</w:p>
<w:p>
<w:pPr><w:pStyle w:val="Normal"/></w:pPr>
<w:r><w:t xml:space="preserve">Andrew became the patron saint of Scotland.  Concerning</w:t></w:r>
</w:p>
<w:p>
<w:pPr><w:pStyle w:val="Normal"/></w:pPr>
<w:r><w:t xml:space="preserve">this there are several legends which state that the relics</w:t></w:r>
</w:p>
<w:p>
<w:pPr><w:pStyle w:val="Normal"/></w:pPr>
<w:r><w:t xml:space="preserve">of Andrew were brought under supernatural guidance from</w:t></w:r>
</w:p>
<w:p>
<w:pPr><w:pStyle w:val="Normal"/></w:pPr>
<w:r><w:t xml:space="preserve">Constantinople to the place where the modern St Andrews</w:t></w:r>
</w:p>
<w:p>
<w:pPr><w:pStyle w:val="Normal"/></w:pPr>
<w:r><w:t xml:space="preserve">stands (Pictish, Muckross; Gaelic, Kilrymont).  The oldest</w:t></w:r>
</w:p>
<w:p>
<w:pPr><w:pStyle w:val="Normal"/></w:pPr>
<w:r><w:t xml:space="preserve">stories (preserved in the Colbertine MSS., Paris, and the</w:t></w:r>
</w:p>
<w:p>
<w:pPr><w:pStyle w:val="Normal"/></w:pPr>
<w:r><w:t xml:space="preserve">Harleian MSS. in the British Museum) state that the relics</w:t></w:r>
</w:p>
<w:p>
<w:pPr><w:pStyle w:val="Normal"/></w:pPr>
<w:r><w:t xml:space="preserve">were brought by one Regulus to the Pictish king Angus (or</w:t></w:r>
</w:p>
<w:p>
<w:pPr><w:pStyle w:val="Normal"/></w:pPr>
<w:r><w:t xml:space="preserve">Ungus) Macfergus (c. 731-761).  The only historical Regulus</w:t></w:r>
</w:p>
<w:p>
<w:pPr><w:pStyle w:val="Normal"/></w:pPr>
<w:r><w:t xml:space="preserve">(Riagail or Rule, whose name is preserved by the tower</w:t></w:r>
</w:p>
<w:p>
<w:pPr><w:pStyle w:val="Normal"/></w:pPr>
<w:r><w:t xml:space="preserve">of St Rule) was an Irish monk expelled from Ireland with</w:t></w:r>
</w:p>
<w:p>
<w:pPr><w:pStyle w:val="Normal"/></w:pPr>
<w:r><w:t xml:space="preserve">St Columba; his date, however, is c. 573-600.  There are</w:t></w:r>
</w:p>
<w:p>
<w:pPr><w:pStyle w:val="Normal"/></w:pPr>
<w:r><w:t xml:space="preserve">good reasons for supposing that the relics were originally</w:t></w:r>
</w:p>
<w:p>
<w:pPr><w:pStyle w:val="Normal"/></w:pPr>
<w:r><w:t xml:space="preserve">in the collection of Acca, bishop of Hexham, who took them</w:t></w:r>
</w:p>
<w:p>
<w:pPr><w:pStyle w:val="Normal"/></w:pPr>
<w:r><w:t xml:space="preserve">into Pictland when he was driven from Hexham (c. 732), and</w:t></w:r>
</w:p>
<w:p>
<w:pPr><w:pStyle w:val="Normal"/></w:pPr>
<w:r><w:t xml:space="preserve">founded a see, not, according to tradition, in Galloway, but</w:t></w:r>
</w:p>
<w:p>
<w:pPr><w:pStyle w:val="Normal"/></w:pPr>
<w:r><w:t xml:space="preserve">on the site of St Andrews.  The connexion with Regulus is,</w:t></w:r>
</w:p>
<w:p>
<w:pPr><w:pStyle w:val="Normal"/></w:pPr>
<w:r><w:t xml:space="preserve">therefore, due in all probability to the desire to date the</w:t></w:r>
</w:p>
<w:p>
<w:pPr><w:pStyle w:val="Normal"/></w:pPr>
<w:r><w:t xml:space="preserve">foundation of the church at St Andrews as early as possible.</w:t></w:r>
</w:p>
<w:p>
<w:pPr><w:pStyle w:val="Normal"/></w:pPr>
<w:r><w:t xml:space="preserve">See A. Lang, St Andrews (London, 1893), pp. 4 ff.; W. F.</w:t></w:r>
</w:p>
<w:p>
<w:pPr><w:pStyle w:val="Normal"/></w:pPr>
<w:r><w:t xml:space="preserve">Skene, Celtic Scotland; also the article ST ANDREWS.</w:t></w:r>
</w:p>
<w:p>
<w:pPr><w:pStyle w:val="Normal"/></w:pPr>
<w:r><w:t xml:space="preserve">ANDREW II. (1175-1235), king of Hungary, son of Bela III., king</w:t></w:r>
</w:p>
<w:p>
<w:pPr><w:pStyle w:val="Normal"/></w:pPr>
<w:r><w:t xml:space="preserve">of Hungary, succeeded his nephew, the infant Ladislaus III., in</w:t></w:r>
</w:p>
<w:p>
<w:pPr><w:pStyle w:val="Normal"/></w:pPr>
<w:r><w:t xml:space="preserve">1205.  No other Magyar king, perhaps, was so mischievous to his</w:t></w:r>
</w:p>
<w:p>
<w:pPr><w:pStyle w:val="Normal"/></w:pPr>
<w:r><w:t xml:space="preserve">country.  Valiant, enterprising, pious as he was, all these</w:t></w:r>
</w:p>
<w:p>
<w:pPr><w:pStyle w:val="Normal"/></w:pPr>
<w:r><w:t xml:space="preserve">fine qualities were ruined by a reckless good nature which</w:t></w:r>
</w:p>
<w:p>
<w:pPr><w:pStyle w:val="Normal"/></w:pPr>
<w:r><w:t xml:space="preserve">never thought of the morrow.  He declares in one of his decrees</w:t></w:r>
</w:p>
<w:p>
<w:pPr><w:pStyle w:val="Normal"/></w:pPr>
<w:r><w:t xml:space="preserve">that the generosity of a king should be limitless, and he</w:t></w:r>
</w:p>
<w:p>
<w:pPr><w:pStyle w:val="Normal"/></w:pPr>
<w:r><w:t xml:space="preserve">acted up to this principle throughout his reign.  He gave away</w:t></w:r>
</w:p>
<w:p>
<w:pPr><w:pStyle w:val="Normal"/></w:pPr>
<w:r><w:t xml:space="preserve">everything, money, villages, domains, whole counties, to the</w:t></w:r>
</w:p>
<w:p>
<w:pPr><w:pStyle w:val="Normal"/></w:pPr>
<w:r><w:t xml:space="preserve">utter impoverishment of the treasury, thereby rendering the</w:t></w:r>
</w:p>
<w:p>
<w:pPr><w:pStyle w:val="Normal"/></w:pPr>
<w:r><w:t xml:space="preserve">crown, for the first time in Hungarian history, dependent</w:t></w:r>
</w:p>
<w:p>
<w:pPr><w:pStyle w:val="Normal"/></w:pPr>
<w:r><w:t xml:space="preserve">upon the great feudatories, who, in Hungary as elsewhere,</w:t></w:r>
</w:p>
<w:p>
<w:pPr><w:pStyle w:val="Normal"/></w:pPr>
<w:r><w:t xml:space="preserve">took all they could get and gave as little as possible in</w:t></w:r>
</w:p>
<w:p>
<w:pPr><w:pStyle w:val="Normal"/></w:pPr>
<w:r><w:t xml:space="preserve">return.  In all matters of government, Andrew was equally</w:t></w:r>
</w:p>
<w:p>
<w:pPr><w:pStyle w:val="Normal"/></w:pPr>
<w:r><w:t xml:space="preserve">reckless and haphazard.  He is directly responsible for the</w:t></w:r>
</w:p>
<w:p>
<w:pPr><w:pStyle w:val="Normal"/></w:pPr>
<w:r><w:t xml:space="preserve">beginnings of the feudal anarchy which well-nigh led to the</w:t></w:r>
</w:p>
<w:p>
<w:pPr><w:pStyle w:val="Normal"/></w:pPr>
<w:r><w:t xml:space="preserve">extinction of the monarchy at the end of the 13th century.</w:t></w:r>
</w:p>
<w:p>
<w:pPr><w:pStyle w:val="Normal"/></w:pPr>
<w:r><w:t xml:space="preserve">The great feudatories did not even respect the lives of the</w:t></w:r>
</w:p>
<w:p>
<w:pPr><w:pStyle w:val="Normal"/></w:pPr>
<w:r><w:t xml:space="preserve">royal family, for Andrew was recalled from a futile attempt</w:t></w:r>
</w:p>
<w:p>
<w:pPr><w:pStyle w:val="Normal"/></w:pPr>
<w:r><w:t xml:space="preserve">to reconquer Galicia (which really lay beyond the Hungarian</w:t></w:r>
</w:p>
<w:p>
<w:pPr><w:pStyle w:val="Normal"/></w:pPr>
<w:r><w:t xml:space="preserve">sphere of influence), through the murder of his first wife</w:t></w:r>
</w:p>
<w:p>
<w:pPr><w:pStyle w:val="Normal"/></w:pPr>
<w:r><w:t xml:space="preserve">Gertrude of Meran (September 24, 1213), by rebellious nobles</w:t></w:r>
</w:p>
<w:p>
<w:pPr><w:pStyle w:val="Normal"/></w:pPr>
<w:r><w:t xml:space="preserve">jealous of the influence of her relatives.  In 1215 he married</w:t></w:r>
</w:p>
<w:p>
<w:pPr><w:pStyle w:val="Normal"/></w:pPr>
<w:r><w:t xml:space="preserve">Iolanthe of France, but in 1217 was compelled by the pope to</w:t></w:r>
</w:p>
<w:p>
<w:pPr><w:pStyle w:val="Normal"/></w:pPr>
<w:r><w:t xml:space="preserve">lead a crusade to the Holy Land, which he undertook in hopes</w:t></w:r>
</w:p>
<w:p>
<w:pPr><w:pStyle w:val="Normal"/></w:pPr>
<w:r><w:t xml:space="preserve">of being elected Latin emperor of Constantinople.  The crusade</w:t></w:r>
</w:p>
<w:p>
<w:pPr><w:pStyle w:val="Normal"/></w:pPr>
<w:r><w:t xml:space="preserve">excited no enthusiasm in Hungary, but Andrew contrived to</w:t></w:r>
</w:p>
<w:p>
<w:pPr><w:pStyle w:val="Normal"/></w:pPr>
<w:r><w:t xml:space="preserve">collect 15,000 men together, whom he led to Venice; whence, not</w:t></w:r>
</w:p>
<w:p>
<w:pPr><w:pStyle w:val="Normal"/></w:pPr>
<w:r><w:t xml:space="preserve">without much haggling and the surrender of all the Hungarian</w:t></w:r>
</w:p>
<w:p>
<w:pPr><w:pStyle w:val="Normal"/></w:pPr>
<w:r><w:t xml:space="preserve">claims upon Zara, about two-thirds of them were conveyed to</w:t></w:r>
</w:p>
<w:p>
<w:pPr><w:pStyle w:val="Normal"/></w:pPr>
<w:r><w:t xml:space="preserve">Acre.  But the whole expedition was a forlorn hope.  The</w:t></w:r>
</w:p>
<w:p>
<w:pPr><w:pStyle w:val="Normal"/></w:pPr>
<w:r><w:t xml:space="preserve">Christian kingdom of Palestine was by this time reduced to</w:t></w:r>
</w:p>
<w:p>
<w:pPr><w:pStyle w:val="Normal"/></w:pPr>
<w:r><w:t xml:space="preserve">a strip of coast about 440 sq. m. in extent, and after a</w:t></w:r>
</w:p>
<w:p>
<w:pPr><w:pStyle w:val="Normal"/></w:pPr>
<w:r><w:t xml:space="preserve">drawn battle with the Turks on the Jordan (November 10), and</w:t></w:r>
</w:p>
<w:p>
<w:pPr><w:pStyle w:val="Normal"/></w:pPr>
<w:r><w:t xml:space="preserve">fruitless assaults on the fortresses of the Lebanon and on Mount</w:t></w:r>
</w:p>
<w:p>
<w:pPr><w:pStyle w:val="Normal"/></w:pPr>
<w:r><w:t xml:space="preserve">Tabor, Andrew started home (January 18, 1218) through Antioch,</w:t></w:r>
</w:p>
<w:p>
<w:pPr><w:pStyle w:val="Normal"/></w:pPr>
<w:r><w:t xml:space="preserve">Iconium, Constantinople and Bulgaria.  On his return he found</w:t></w:r>
</w:p>
<w:p>
<w:pPr><w:pStyle w:val="Normal"/></w:pPr>
<w:r><w:t xml:space="preserve">the feudal barons in the ascendant, and they extorted from</w:t></w:r>
</w:p>
<w:p>
<w:pPr><w:pStyle w:val="Normal"/></w:pPr>
<w:r><w:t xml:space="preserve">him the Golden Bull (see HUNGARY, History.) Andrew&apos;s last</w:t></w:r>
</w:p>
<w:p>
<w:pPr><w:pStyle w:val="Normal"/></w:pPr>
<w:r><w:t xml:space="preserve">exploit was to defeat an invasion of Frederick of Austria in</w:t></w:r>
</w:p>
<w:p>
<w:pPr><w:pStyle w:val="Normal"/></w:pPr>
<w:r><w:t xml:space="preserve">1234.  The same year he married his third wife, Beatrice of</w:t></w:r>
</w:p>
<w:p>
<w:pPr><w:pStyle w:val="Normal"/></w:pPr>
<w:r><w:t xml:space="preserve">Este.  Besides his three sons, Bela, Coloman and Andrew,</w:t></w:r>
</w:p>
<w:p>
<w:pPr><w:pStyle w:val="Normal"/></w:pPr>
<w:r><w:t xml:space="preserve">Andrew had a daughter Iolanthe, who married the king of</w:t></w:r>
</w:p>
<w:p>
<w:pPr><w:pStyle w:val="Normal"/></w:pPr>
<w:r><w:t xml:space="preserve">Aragon.  He was also the father of St Elizabeth of Hungary.</w:t></w:r>
</w:p>
<w:p>
<w:pPr><w:pStyle w:val="Normal"/></w:pPr>
<w:r><w:t xml:space="preserve">No special monograph for the whole reign exists, but there</w:t></w:r>
</w:p>
<w:p>
<w:pPr><w:pStyle w:val="Normal"/></w:pPr>
<w:r><w:t xml:space="preserve">is a good description of Andrew&apos;s crusade in Reinhold</w:t></w:r>
</w:p>
<w:p>
<w:pPr><w:pStyle w:val="Normal"/></w:pPr>
<w:r><w:t xml:space="preserve">Roehricht, Geschichte des Konigreiches Jerusalem</w:t></w:r>
</w:p>
<w:p>
<w:pPr><w:pStyle w:val="Normal"/></w:pPr>
<w:r><w:t xml:space="preserve">(Innsbruck, 1898) . The best account of Andrew&apos;s</w:t></w:r>
</w:p>
<w:p>
<w:pPr><w:pStyle w:val="Normal"/></w:pPr>
<w:r><w:t xml:space="preserve">government is in Laszlo Szalav&apos;s History of Hungary</w:t></w:r>
</w:p>
<w:p>
<w:pPr><w:pStyle w:val="Normal"/></w:pPr>
<w:r><w:t xml:space="preserve">(Hung.), vol. i. (Leipzig and Pest, 1851-1862). (R. N. B.)</w:t></w:r>
</w:p>
<w:p>
<w:pPr><w:pStyle w:val="Normal"/></w:pPr>
<w:r><w:t xml:space="preserve">ANDREW OF LONGJUMEAU (Longumeau, Lonjumel, &amp;c.), a French</w:t></w:r>
</w:p>
<w:p>
<w:pPr><w:pStyle w:val="Normal"/></w:pPr>
<w:r><w:t xml:space="preserve">Dominican, explorer and diplomatist.  He accompanied the</w:t></w:r>
</w:p>
<w:p>
<w:pPr><w:pStyle w:val="Normal"/></w:pPr>
<w:r><w:t xml:space="preserve">mission under Friar Ascehn, sent by Pope Innocent IV. to</w:t></w:r>
</w:p>
<w:p>
<w:pPr><w:pStyle w:val="Normal"/></w:pPr>
<w:r><w:t xml:space="preserve">the Mongols in 1247; at the Tatar camp near Kars he met a</w:t></w:r>
</w:p>
<w:p>
<w:pPr><w:pStyle w:val="Normal"/></w:pPr>
<w:r><w:t xml:space="preserve">certain David, who next year (1248) appeared at the court</w:t></w:r>
</w:p>
<w:p>
<w:pPr><w:pStyle w:val="Normal"/></w:pPr>
<w:r><w:t xml:space="preserve">of King Louis IX. of France in Cyprus.  Andrew, who was now</w:t></w:r>
</w:p>
<w:p>
<w:pPr><w:pStyle w:val="Normal"/></w:pPr>
<w:r><w:t xml:space="preserve">with St Louis, interpreted to the king David&apos;s message, a</w:t></w:r>
</w:p>
<w:p>
<w:pPr><w:pStyle w:val="Normal"/></w:pPr>
<w:r><w:t xml:space="preserve">real or pretended offer of alliance from the Mongol general</w:t></w:r>
</w:p>
<w:p>
<w:pPr><w:pStyle w:val="Normal"/></w:pPr>
<w:r><w:t xml:space="preserve">Ilchikdai (Ilchikadai), and a proposal of a joint attack</w:t></w:r>
</w:p>
<w:p>
<w:pPr><w:pStyle w:val="Normal"/></w:pPr>
<w:r><w:t xml:space="preserve">upon the Islamic powers for the conquest of Syria.  In</w:t></w:r>
</w:p>
<w:p>
<w:pPr><w:pStyle w:val="Normal"/></w:pPr>
<w:r><w:t xml:space="preserve">reply to this the French sovereign despatched Andrew as his</w:t></w:r>
</w:p>
<w:p>
<w:pPr><w:pStyle w:val="Normal"/></w:pPr>
<w:r><w:t xml:space="preserve">ambassador to the great Khan Kuyuk; with Longjumeau went his</w:t></w:r>
</w:p>
<w:p>
<w:pPr><w:pStyle w:val="Normal"/></w:pPr>
<w:r><w:t xml:space="preserve">brother (a monk) and several others--John Goderiche, John</w:t></w:r>
</w:p>
<w:p>
<w:pPr><w:pStyle w:val="Normal"/></w:pPr>
<w:r><w:t xml:space="preserve">of Carcassonne, Herbert ``le sommelier,&apos;&apos; Gerbert of Sens,</w:t></w:r>
</w:p>
<w:p>
<w:pPr><w:pStyle w:val="Normal"/></w:pPr>
<w:r><w:t xml:space="preserve">Robert a clerk, a certain William, and an unnamed clerk of</w:t></w:r>
</w:p>
<w:p>
<w:pPr><w:pStyle w:val="Normal"/></w:pPr>
<w:r><w:t xml:space="preserve">Poissy.  The party set out about the 16th of February 1249,</w:t></w:r>
</w:p>
<w:p>
<w:pPr><w:pStyle w:val="Normal"/></w:pPr>
<w:r><w:t xml:space="preserve">with letters from King Louis and the papal legate, and rich</w:t></w:r>
</w:p>
<w:p>
<w:pPr><w:pStyle w:val="Normal"/></w:pPr>
<w:r><w:t xml:space="preserve">presents, including a chapel-tent, lined with scarlet cloth</w:t></w:r>
</w:p>
<w:p>
<w:pPr><w:pStyle w:val="Normal"/></w:pPr>
<w:r><w:t xml:space="preserve">and embroidered with sacred pictures.  From Cyprus they went</w:t></w:r>
</w:p>
<w:p>
<w:pPr><w:pStyle w:val="Normal"/></w:pPr>
<w:r><w:t xml:space="preserve">to the port of Antioch in Syria, and thence travelled for</w:t></w:r>
</w:p>
<w:p>
<w:pPr><w:pStyle w:val="Normal"/></w:pPr>
<w:r><w:t xml:space="preserve">a year to the khan&apos;s court, going ten leagues a day.  Their</w:t></w:r>
</w:p>
<w:p>
<w:pPr><w:pStyle w:val="Normal"/></w:pPr>
<w:r><w:t xml:space="preserve">route led them through Persia, along the southern and eastern</w:t></w:r>
</w:p>
<w:p>
<w:pPr><w:pStyle w:val="Normal"/></w:pPr>
<w:r><w:t xml:space="preserve">shores of the Caspian (whose inland character, unconnected</w:t></w:r>
</w:p>
<w:p>
<w:pPr><w:pStyle w:val="Normal"/></w:pPr>
<w:r><w:t xml:space="preserve">with the outer ocean, their journey helped to demonstrate),</w:t></w:r>
</w:p>
<w:p>
<w:pPr><w:pStyle w:val="Normal"/></w:pPr>
<w:r><w:t xml:space="preserve">and probably through Talas, north-east of Tashkent.  On</w:t></w:r>
</w:p>
<w:p>
<w:pPr><w:pStyle w:val="Normal"/></w:pPr>
<w:r><w:t xml:space="preserve">arrival at the supreme Mongol court--either that on the</w:t></w:r>
</w:p>
<w:p>
<w:pPr><w:pStyle w:val="Normal"/></w:pPr>
<w:r><w:t xml:space="preserve">Imyl river (near Lake Ala-kul and the present Russo-Chinese</w:t></w:r>
</w:p>
<w:p>
<w:pPr><w:pStyle w:val="Normal"/></w:pPr>
<w:r><w:t xml:space="preserve">frontier in the Altai), or more probably at or near Karakorum</w:t></w:r>
</w:p>
<w:p>
<w:pPr><w:pStyle w:val="Normal"/></w:pPr>
<w:r><w:t xml:space="preserve">itself, south-west of Lake Baikah--Andrew found Kuyuk Khan</w:t></w:r>
</w:p>
<w:p>
<w:pPr><w:pStyle w:val="Normal"/></w:pPr>
<w:r><w:t xml:space="preserve">dead, poisoned, as the envoy supposed, by Batu&apos;s agents.</w:t></w:r>
</w:p>
<w:p>
<w:pPr><w:pStyle w:val="Normal"/></w:pPr>
<w:r><w:t xml:space="preserve">The regent-mother Ogul Gaimish (the ``Camus&apos;&apos; of Rubruquis)</w:t></w:r>
</w:p>
<w:p>
<w:pPr><w:pStyle w:val="Normal"/></w:pPr>
<w:r><w:t xml:space="preserve">seems to have received and dismissed him with presents and</w:t></w:r>
</w:p>
<w:p>
<w:pPr><w:pStyle w:val="Normal"/></w:pPr>
<w:r><w:t xml:space="preserve">a letter for Louis IX., the latter a fine specimen of Mongol</w:t></w:r>
</w:p>
<w:p>
<w:pPr><w:pStyle w:val="Normal"/></w:pPr>
<w:r><w:t xml:space="preserve">insolence.  But it is certain that before the friar had</w:t></w:r>
</w:p>
<w:p>
<w:pPr><w:pStyle w:val="Normal"/></w:pPr>
<w:r><w:t xml:space="preserve">quitted ``Tartary&apos;&apos;&apos; Mangu Khan, Kuyuk&apos;s successor, had been</w:t></w:r>
</w:p>
<w:p>
<w:pPr><w:pStyle w:val="Normal"/></w:pPr>
<w:r><w:t xml:space="preserve">elected.  Andrew&apos;s report to his sovereign, whom he rejoined</w:t></w:r>
</w:p>
<w:p>
<w:pPr><w:pStyle w:val="Normal"/></w:pPr>
<w:r><w:t xml:space="preserve">in 1251 at Caesarea in Palestine, appears to have been a</w:t></w:r>
</w:p>
<w:p>
<w:pPr><w:pStyle w:val="Normal"/></w:pPr>
<w:r><w:t xml:space="preserve">mixture of history and fable; the latter affects his narrative</w:t></w:r>
</w:p>
<w:p>
<w:pPr><w:pStyle w:val="Normal"/></w:pPr>
<w:r><w:t xml:space="preserve">of the Mongols&apos; rise to greatness, and the struggles of their</w:t></w:r>
</w:p>
<w:p>
<w:pPr><w:pStyle w:val="Normal"/></w:pPr>
<w:r><w:t xml:space="preserve">leader, evidently Jenghiz Khan, with Prester John; it is still</w:t></w:r>
</w:p>
<w:p>
<w:pPr><w:pStyle w:val="Normal"/></w:pPr>
<w:r><w:t xml:space="preserve">more evident in the position assigned to the Tatar homeland,</w:t></w:r>
</w:p>
<w:p>
<w:pPr><w:pStyle w:val="Normal"/></w:pPr>
<w:r><w:t xml:space="preserve">close to the prison of Gog and Magog.  On the other hand,</w:t></w:r>
</w:p>
<w:p>
<w:pPr><w:pStyle w:val="Normal"/></w:pPr>
<w:r><w:t xml:space="preserve">the envoy&apos;s account of Tatar manners is fairly accurate, and</w:t></w:r>
</w:p>
<w:p>
<w:pPr><w:pStyle w:val="Normal"/></w:pPr>
<w:r><w:t xml:space="preserve">his statements about Mongol Christianity and its prosperity,</w:t></w:r>
</w:p>
<w:p>
<w:pPr><w:pStyle w:val="Normal"/></w:pPr>
<w:r><w:t xml:space="preserve">though perhaps exaggerated (e.g. as to the 800 chapels</w:t></w:r>
</w:p>
<w:p>
<w:pPr><w:pStyle w:val="Normal"/></w:pPr>
<w:r><w:t xml:space="preserve">on wheels in the nomadic host), are based on fact.  Mounds</w:t></w:r>
</w:p>
<w:p>
<w:pPr><w:pStyle w:val="Normal"/></w:pPr>
<w:r><w:t xml:space="preserve">of bones marked his road, witnesses of devastations which</w:t></w:r>
</w:p>
<w:p>
<w:pPr><w:pStyle w:val="Normal"/></w:pPr>
<w:r><w:t xml:space="preserve">other historians record in detail; Christian prisoners, from</w:t></w:r>
</w:p>
<w:p>
<w:pPr><w:pStyle w:val="Normal"/></w:pPr>
<w:r><w:t xml:space="preserve">Germany, he found in the heart of ``Tartary&apos;&apos; (at Talas);</w:t></w:r>
</w:p>
<w:p>
<w:pPr><w:pStyle w:val="Normal"/></w:pPr>
<w:r><w:t xml:space="preserve">the ceremony of passing between two fires he was compelled</w:t></w:r>
</w:p>
<w:p>
<w:pPr><w:pStyle w:val="Normal"/></w:pPr>
<w:r><w:t xml:space="preserve">to observe, as a bringer of gifts to a dead khan, gifts</w:t></w:r>
</w:p>
<w:p>
<w:pPr><w:pStyle w:val="Normal"/></w:pPr>
<w:r><w:t xml:space="preserve">which were of course treated by the Mongols as evidence of</w:t></w:r>
</w:p>
<w:p>
<w:pPr><w:pStyle w:val="Normal"/></w:pPr>
<w:r><w:t xml:space="preserve">submission.  This insulting behaviour, and the language of</w:t></w:r>
</w:p>
<w:p>
<w:pPr><w:pStyle w:val="Normal"/></w:pPr>
<w:r><w:t xml:space="preserve">the letter with which Andrew reappeared, marked the mission</w:t></w:r>
</w:p>
<w:p>
<w:pPr><w:pStyle w:val="Normal"/></w:pPr>
<w:r><w:t xml:space="preserve">a failure: King Louis, says Joinville, ``se repenti fort.&apos;&apos;</w:t></w:r>
</w:p>
<w:p>
<w:pPr><w:pStyle w:val="Normal"/></w:pPr>
<w:r><w:t xml:space="preserve">We only know of Andrew through references in other writers: see</w:t></w:r>
</w:p>
<w:p>
<w:pPr><w:pStyle w:val="Normal"/></w:pPr>
<w:r><w:t xml:space="preserve">especially William of Rubruquis in Recueil de voyages, iv. (Paris,</w:t></w:r>
</w:p>
<w:p>
<w:pPr><w:pStyle w:val="Normal"/></w:pPr>
<w:r><w:t xml:space="preserve">1839), pp. 261, 265, 279, 296, 310, 353, 363, 370; Joinville,</w:t></w:r>
</w:p>
<w:p>
<w:pPr><w:pStyle w:val="Normal"/></w:pPr>
<w:r><w:t xml:space="preserve">ed.  Francisque Michel (1858, &amp;c.), pp. 142, &amp;c.; Jean Pierre</w:t></w:r>
</w:p>
<w:p>
<w:pPr><w:pStyle w:val="Normal"/></w:pPr>
<w:r><w:t xml:space="preserve">Sarrasin, in same vol., pp. 254-235; W.illiam of Nangis in</w:t></w:r>
</w:p>
<w:p>
<w:pPr><w:pStyle w:val="Normal"/></w:pPr>
<w:r><w:t xml:space="preserve">Recueil des historiens des Gaules, xx. 359-367; . Remusat,</w:t></w:r>
</w:p>
<w:p>
<w:pPr><w:pStyle w:val="Normal"/></w:pPr>
<w:r><w:t xml:space="preserve">Memoires sur les relations politiques des princes chretiens</w:t></w:r>
</w:p>
<w:p>
<w:pPr><w:pStyle w:val="Normal"/></w:pPr>
<w:r><w:t xml:space="preserve">. . . avec les . . . Mongols (1822, &amp;c.), p. 52. (C. R. B.)</w:t></w:r>
</w:p>
<w:p>
<w:pPr><w:pStyle w:val="Normal"/></w:pPr>
<w:r><w:t xml:space="preserve">ANDREW, JOHN ALBION (1818-1867), American political leader,</w:t></w:r>
</w:p>
<w:p>
<w:pPr><w:pStyle w:val="Normal"/></w:pPr>
<w:r><w:t xml:space="preserve">``war governor&apos;&apos; of Massachusetts, was born at Windham, Maine,</w:t></w:r>
</w:p>
<w:p>
<w:pPr><w:pStyle w:val="Normal"/></w:pPr>
<w:r><w:t xml:space="preserve">on the 31st of May 1818.  He graduated at Bowdoin College in</w:t></w:r>
</w:p>
<w:p>
<w:pPr><w:pStyle w:val="Normal"/></w:pPr>
<w:r><w:t xml:space="preserve">1837, studied law in Boston, was admitted to the Suffolk bar in</w:t></w:r>
</w:p>
<w:p>
<w:pPr><w:pStyle w:val="Normal"/></w:pPr>
<w:r><w:t xml:space="preserve">1840, and practised his profession in Boston.  He also took</w:t></w:r>
</w:p>
<w:p>
<w:pPr><w:pStyle w:val="Normal"/></w:pPr>
<w:r><w:t xml:space="preserve">a deep interest in religious matters, was a prominent member</w:t></w:r>
</w:p>
<w:p>
<w:pPr><w:pStyle w:val="Normal"/></w:pPr>
<w:r><w:t xml:space="preserve">of the Church of the Disciples (Unitarian; founded in Boston</w:t></w:r>
</w:p>
<w:p>
<w:pPr><w:pStyle w:val="Normal"/></w:pPr>
<w:r><w:t xml:space="preserve">by the Rev. James Freeman Clarke), and was assistant editor</w:t></w:r>
</w:p>
<w:p>
<w:pPr><w:pStyle w:val="Normal"/></w:pPr>
<w:r><w:t xml:space="preserve">for some time of The Christian World, a weekly religious</w:t></w:r>
</w:p>
<w:p>
<w:pPr><w:pStyle w:val="Normal"/></w:pPr>
<w:r><w:t xml:space="preserve">paper.  With ardent anti-slavery principles, he entered</w:t></w:r>
</w:p>
<w:p>
<w:pPr><w:pStyle w:val="Normal"/></w:pPr>
<w:r><w:t xml:space="preserve">political life as a ``Young Whig&apos;&apos; opposed to the Mexican War;</w:t></w:r>
</w:p>
<w:p>
<w:pPr><w:pStyle w:val="Normal"/></w:pPr>
<w:r><w:t xml:space="preserve">he became an active Free-Soiler in 1848, and in 1854 took part</w:t></w:r>
</w:p>
<w:p>
<w:pPr><w:pStyle w:val="Normal"/></w:pPr>
<w:r><w:t xml:space="preserve">in the organization in Massachusetts of the new Republican</w:t></w:r>
</w:p>
<w:p>
<w:pPr><w:pStyle w:val="Normal"/></w:pPr>
<w:r><w:t xml:space="preserve">party.  He served one term, in 1858, in the state House of</w:t></w:r>
</w:p>
<w:p>
<w:pPr><w:pStyle w:val="Normal"/></w:pPr>
<w:r><w:t xml:space="preserve">Representatives, and in 1859 declined an appointment to</w:t></w:r>
</w:p>
<w:p>
<w:pPr><w:pStyle w:val="Normal"/></w:pPr>
<w:r><w:t xml:space="preserve">a seat on the bench of the state supreme court.  In this</w:t></w:r>
</w:p>
<w:p>
<w:pPr><w:pStyle w:val="Normal"/></w:pPr>
<w:r><w:t xml:space="preserve">year he took such an active part in raising funds to defend</w:t></w:r>
</w:p>
<w:p>
<w:pPr><w:pStyle w:val="Normal"/></w:pPr>
<w:r><w:t xml:space="preserve">John Brown, then on trial in Virginia, that he aroused the</w:t></w:r>
</w:p>
<w:p>
<w:pPr><w:pStyle w:val="Normal"/></w:pPr>
<w:r><w:t xml:space="preserve">suspicions of a senatorial committee investigating Brown&apos;s</w:t></w:r>
</w:p>
<w:p>
<w:pPr><w:pStyle w:val="Normal"/></w:pPr>
<w:r><w:t xml:space="preserve">raid, and was summoned to Washington to tell what he knew</w:t></w:r>
</w:p>
<w:p>
<w:pPr><w:pStyle w:val="Normal"/></w:pPr>
<w:r><w:t xml:space="preserve">of the affair.  In 1860 he was chairman of the Massachusetts</w:t></w:r>
</w:p>
<w:p>
<w:pPr><w:pStyle w:val="Normal"/></w:pPr>
<w:r><w:t xml:space="preserve">delegation to the Republican national convention at Chicago,</w:t></w:r>
</w:p>
<w:p>
<w:pPr><w:pStyle w:val="Normal"/></w:pPr>
<w:r><w:t xml:space="preserve">which nominated Lincoln for the Presidency; and from 1861 to</w:t></w:r>
</w:p>
<w:p>
<w:pPr><w:pStyle w:val="Normal"/></w:pPr>
<w:r><w:t xml:space="preserve">January 1866, throughout the trying period of the Civil War,</w:t></w:r>
</w:p>
<w:p>
<w:pPr><w:pStyle w:val="Normal"/></w:pPr>
<w:r><w:t xml:space="preserve">he was governor of Massachusetts, becoming known as one of the</w:t></w:r>
</w:p>
<w:p>
<w:pPr><w:pStyle w:val="Normal"/></w:pPr>
<w:r><w:t xml:space="preserve">ablest, most patriotic and most energetic of the remarkable</w:t></w:r>
</w:p>
<w:p>
<w:pPr><w:pStyle w:val="Normal"/></w:pPr>
<w:r><w:t xml:space="preserve">group of ``war governors&apos;&apos; in the North.  Immediately after</w:t></w:r>
</w:p>
<w:p>
<w:pPr><w:pStyle w:val="Normal"/></w:pPr>
<w:r><w:t xml:space="preserve">his inauguration he began filling the militia regiments with</w:t></w:r>
</w:p>
<w:p>
<w:pPr><w:pStyle w:val="Normal"/></w:pPr>
<w:r><w:t xml:space="preserve">young men ready for active service, saw that they were well</w:t></w:r>
</w:p>
<w:p>
<w:pPr><w:pStyle w:val="Normal"/></w:pPr>
<w:r><w:t xml:space="preserve">drilled and supplied them with good modern rifles.  As a</w:t></w:r>
</w:p>
<w:p>
<w:pPr><w:pStyle w:val="Normal"/></w:pPr>
<w:r><w:t xml:space="preserve">result, Massachusetts was the only northern state in any</w:t></w:r>
</w:p>
<w:p>
<w:pPr><w:pStyle w:val="Normal"/></w:pPr>
<w:r><w:t xml:space="preserve">way prepared for war when the Confederates fired on Fort</w:t></w:r>
</w:p>
<w:p>
<w:pPr><w:pStyle w:val="Normal"/></w:pPr>
<w:r><w:t xml:space="preserve">Sumter; and her troops began to muster in Boston on the 16th</w:t></w:r>
</w:p>
<w:p>
<w:pPr><w:pStyle w:val="Normal"/></w:pPr>
<w:r><w:t xml:space="preserve">of April, the very day after President Lincoln&apos;s call for</w:t></w:r>
</w:p>
<w:p>
<w:pPr><w:pStyle w:val="Normal"/></w:pPr>
<w:r><w:t xml:space="preserve">volunteers.  On the next day the Sixth Massachusetts Volunteer</w:t></w:r>
</w:p>
<w:p>
<w:pPr><w:pStyle w:val="Normal"/></w:pPr>
<w:r><w:t xml:space="preserve">Infantry started south for the defence of Washington, and</w:t></w:r>
</w:p>
<w:p>
<w:pPr><w:pStyle w:val="Normal"/></w:pPr>
<w:r><w:t xml:space="preserve">was the first fully armed and equipped volunteer regiment to</w:t></w:r>
</w:p>
<w:p>
<w:pPr><w:pStyle w:val="Normal"/></w:pPr>
<w:r><w:t xml:space="preserve">reach the capital.  Within six days after the call, nearly</w:t></w:r>
</w:p>
<w:p>
<w:pPr><w:pStyle w:val="Normal"/></w:pPr>
<w:r><w:t xml:space="preserve">four thousand Massachusetts volunteers had departed for</w:t></w:r>
</w:p>
<w:p>
<w:pPr><w:pStyle w:val="Normal"/></w:pPr>
<w:r><w:t xml:space="preserve">Washington.  In 1865, at Governor Andrew&apos;s own request, the</w:t></w:r>
</w:p>
<w:p>
<w:pPr><w:pStyle w:val="Normal"/></w:pPr>
<w:r><w:t xml:space="preserve">secretary of war authorized him to raise several regiments</w:t></w:r>
</w:p>
<w:p>
<w:pPr><w:pStyle w:val="Normal"/></w:pPr>
<w:r><w:t xml:space="preserve">of negro troops, with white commissioned officers, and the</w:t></w:r>
</w:p>
<w:p>
<w:pPr><w:pStyle w:val="Normal"/></w:pPr>
<w:r><w:t xml:space="preserve">Fifty-fourth Massachusetts Infantry was the first regiment of</w:t></w:r>
</w:p>
<w:p>
<w:pPr><w:pStyle w:val="Normal"/></w:pPr>
<w:r><w:t xml:space="preserve">free negroes raised in the North.  Governor Andrew&apos;s example</w:t></w:r>
</w:p>
<w:p>
<w:pPr><w:pStyle w:val="Normal"/></w:pPr>
<w:r><w:t xml:space="preserve">was quickly followed in other states, and before the end</w:t></w:r>
</w:p>
<w:p>
<w:pPr><w:pStyle w:val="Normal"/></w:pPr>
<w:r><w:t xml:space="preserve">of the year 36,000 negroes had been enrolled in the Union</w:t></w:r>
</w:p>
<w:p>
<w:pPr><w:pStyle w:val="Normal"/></w:pPr>
<w:r><w:t xml:space="preserve">armies.  When the war department ruled that the negro troops</w:t></w:r>
</w:p>
<w:p>
<w:pPr><w:pStyle w:val="Normal"/></w:pPr>
<w:r><w:t xml:space="preserve">were entitled to pay only as ``labourers&apos;&apos; and not as soldiers,</w:t></w:r>
</w:p>
<w:p>
<w:pPr><w:pStyle w:val="Normal"/></w:pPr>
<w:r><w:t xml:space="preserve">Governor Andrew used all his influence with the president</w:t></w:r>
</w:p>
<w:p>
<w:pPr><w:pStyle w:val="Normal"/></w:pPr>
<w:r><w:t xml:space="preserve">and the secretary of war to secure for them the same pay as</w:t></w:r>
</w:p>
<w:p>
<w:pPr><w:pStyle w:val="Normal"/></w:pPr>
<w:r><w:t xml:space="preserve">white troops, and was finally successful.  Notwithstanding</w:t></w:r>
</w:p>
<w:p>
<w:pPr><w:pStyle w:val="Normal"/></w:pPr>
<w:r><w:t xml:space="preserve">his loyal support of the administration during the struggle,</w:t></w:r>
</w:p>
<w:p>
<w:pPr><w:pStyle w:val="Normal"/></w:pPr>
<w:r><w:t xml:space="preserve">he did not fully approve of its conduct of the war, which he</w:t></w:r>
</w:p>
<w:p>
<w:pPr><w:pStyle w:val="Normal"/></w:pPr>
<w:r><w:t xml:space="preserve">deemed shifting and timid; and it was with great reluctance</w:t></w:r>
</w:p>
<w:p>
<w:pPr><w:pStyle w:val="Normal"/></w:pPr>
<w:r><w:t xml:space="preserve">that he supported Lincoln in 1864 for a second term.  In 1865</w:t></w:r>
</w:p>
<w:p>
<w:pPr><w:pStyle w:val="Normal"/></w:pPr>
<w:r><w:t xml:space="preserve">he rejected the more radical views of his party as to the</w:t></w:r>
</w:p>
<w:p>
<w:pPr><w:pStyle w:val="Normal"/></w:pPr>
<w:r><w:t xml:space="preserve">treatment to be accorded to the late Confederate states, opposed</w:t></w:r>
</w:p>
<w:p>
<w:pPr><w:pStyle w:val="Normal"/></w:pPr>
<w:r><w:t xml:space="preserve">the immediate and unconditional enfranchisement of freedmen,</w:t></w:r>
</w:p>
<w:p>
<w:pPr><w:pStyle w:val="Normal"/></w:pPr>
<w:r><w:t xml:space="preserve">and, though not accepting President Johnson&apos;s views in their</w:t></w:r>
</w:p>
<w:p>
<w:pPr><w:pStyle w:val="Normal"/></w:pPr>
<w:r><w:t xml:space="preserve">entirety, he urged the people of Massachusetts to give the</w:t></w:r>
</w:p>
<w:p>
<w:pPr><w:pStyle w:val="Normal"/></w:pPr>
<w:r><w:t xml:space="preserve">new president their support.  On retiring from the governor&apos;s</w:t></w:r>
</w:p>
<w:p>
<w:pPr><w:pStyle w:val="Normal"/></w:pPr>
<w:r><w:t xml:space="preserve">office he declined the presidency of Antioch College, at</w:t></w:r>
</w:p>
<w:p>
<w:pPr><w:pStyle w:val="Normal"/></w:pPr>
<w:r><w:t xml:space="preserve">Yellow Springs, Ohio, and various positions in the service</w:t></w:r>
</w:p>
<w:p>
<w:pPr><w:pStyle w:val="Normal"/></w:pPr>
<w:r><w:t xml:space="preserve">of the Federal government, and resumed the practice of law,</w:t></w:r>
</w:p>
<w:p>
<w:pPr><w:pStyle w:val="Normal"/></w:pPr>
<w:r><w:t xml:space="preserve">at once achieving great success.  In 1865 he presided at the</w:t></w:r>
</w:p>
<w:p>
<w:pPr><w:pStyle w:val="Normal"/></w:pPr>
<w:r><w:t xml:space="preserve">first national convention of the Unitarian Church.  He died</w:t></w:r>
</w:p>
<w:p>
<w:pPr><w:pStyle w:val="Normal"/></w:pPr>
<w:r><w:t xml:space="preserve">suddenly of apoplexy, at Boston, on the 30th of October 1867.</w:t></w:r>
</w:p>
<w:p>
<w:pPr><w:pStyle w:val="Normal"/></w:pPr>
<w:r><w:t xml:space="preserve">See Henry G. Pearson&apos;s Life of John A.</w:t></w:r>
</w:p>
<w:p>
<w:pPr><w:pStyle w:val="Normal"/></w:pPr>
<w:r><w:t xml:space="preserve">Andrew (2 vols., Boston and New York, 1904).</w:t></w:r>
</w:p>
<w:p>
<w:pPr><w:pStyle w:val="Normal"/></w:pPr>
<w:r><w:t xml:space="preserve">ANDREWES, LANCELOT (1555-1626), English divine, was born in</w:t></w:r>
</w:p>
<w:p>
<w:pPr><w:pStyle w:val="Normal"/></w:pPr>
<w:r><w:t xml:space="preserve">1555 in London.  His family was an ancient Suffolk one; his</w:t></w:r>
</w:p>
<w:p>
<w:pPr><w:pStyle w:val="Normal"/></w:pPr>
<w:r><w:t xml:space="preserve">father, Thomas, became master of Trinity House.  Lancelot was</w:t></w:r>
</w:p>
<w:p>
<w:pPr><w:pStyle w:val="Normal"/></w:pPr>
<w:r><w:t xml:space="preserve">sent to the Cooper&apos;s free school, Ratcliff, in the parish of</w:t></w:r>
</w:p>
<w:p>
<w:pPr><w:pStyle w:val="Normal"/></w:pPr>
<w:r><w:t xml:space="preserve">Stepney, and then to the Merchant Taylors&apos; school under Richard</w:t></w:r>
</w:p>
<w:p>
<w:pPr><w:pStyle w:val="Normal"/></w:pPr>
<w:r><w:t xml:space="preserve">Mulcaster.  In 1571 he was entered as a Watts scholar at</w:t></w:r>
</w:p>
<w:p>
<w:pPr><w:pStyle w:val="Normal"/></w:pPr>
<w:r><w:t xml:space="preserve">Pembroke Hall, Cambridge, where in 1574-1575 he graduated</w:t></w:r>
</w:p>
<w:p>
<w:pPr><w:pStyle w:val="Normal"/></w:pPr>
<w:r><w:t xml:space="preserve">B.A., proceeding M.A. in 1578.  In 1576 he had been elected</w:t></w:r>
</w:p>
<w:p>
<w:pPr><w:pStyle w:val="Normal"/></w:pPr>
<w:r><w:t xml:space="preserve">fellow of Pembroke.  In 1580 he took orders; in 1581 he was</w:t></w:r>
</w:p>
<w:p>
<w:pPr><w:pStyle w:val="Normal"/></w:pPr>
<w:r><w:t xml:space="preserve">incorporated M.A. at Oxford.  As catechist at his college</w:t></w:r>
</w:p>
<w:p>
<w:pPr><w:pStyle w:val="Normal"/></w:pPr>
<w:r><w:t xml:space="preserve">he read lectures on the Decalogue, which, both on their</w:t></w:r>
</w:p>
<w:p>
<w:pPr><w:pStyle w:val="Normal"/></w:pPr>
<w:r><w:t xml:space="preserve">delivery and on their publication (in 1630), created much</w:t></w:r>
</w:p>
<w:p>
<w:pPr><w:pStyle w:val="Normal"/></w:pPr>
<w:r><w:t xml:space="preserve">interest.  He also gained much reputation as a casuist.  After</w:t></w:r>
</w:p>
<w:p>
<w:pPr><w:pStyle w:val="Normal"/></w:pPr>
<w:r><w:t xml:space="preserve">a residence in the north as chaplain to Henry Hastings, earl of</w:t></w:r>
</w:p>
<w:p>
<w:pPr><w:pStyle w:val="Normal"/></w:pPr>
<w:r><w:t xml:space="preserve">Huntingdon, President of the North, he was made vicar of St</w:t></w:r>
</w:p>
<w:p>
<w:pPr><w:pStyle w:val="Normal"/></w:pPr>
<w:r><w:t xml:space="preserve">Giles&apos;s, Cripplegate, in 1588, and there delivered his striking</w:t></w:r>
</w:p>
<w:p>
<w:pPr><w:pStyle w:val="Normal"/></w:pPr>
<w:r><w:t xml:space="preserve">sermons on the temptation in the wilderness and the Lord&apos;s</w:t></w:r>
</w:p>
<w:p>
<w:pPr><w:pStyle w:val="Normal"/></w:pPr>
<w:r><w:t xml:space="preserve">prayer.  In a great sermon on the 10th of April (Easter</w:t></w:r>
</w:p>
<w:p>
<w:pPr><w:pStyle w:val="Normal"/></w:pPr>
<w:r><w:t xml:space="preserve">week) 1588, he stoutly vindicated the Protestantism of the</w:t></w:r>
</w:p>
<w:p>
<w:pPr><w:pStyle w:val="Normal"/></w:pPr>
<w:r><w:t xml:space="preserve">Church of England against the Romanists, and, oddly enough,</w:t></w:r>
</w:p>
<w:p>
<w:pPr><w:pStyle w:val="Normal"/></w:pPr>
<w:r><w:t xml:space="preserve">adduced ``Mr Calvin&apos;&apos; as a new writer, with lavish praise and</w:t></w:r>
</w:p>
<w:p>
<w:pPr><w:pStyle w:val="Normal"/></w:pPr>
<w:r><w:t xml:space="preserve">affection.  Andrewes was preferred to the prebendal stall of</w:t></w:r>
</w:p>
<w:p>
<w:pPr><w:pStyle w:val="Normal"/></w:pPr>
<w:r><w:t xml:space="preserve">St Pancras in St Paul&apos;s, London, in 1589, and on the 6th of</w:t></w:r>
</w:p>
<w:p>
<w:pPr><w:pStyle w:val="Normal"/></w:pPr>
<w:r><w:t xml:space="preserve">September of the same year became master of his own college of</w:t></w:r>
</w:p>
<w:p>
<w:pPr><w:pStyle w:val="Normal"/></w:pPr>
<w:r><w:t xml:space="preserve">Pembroke, being at the time one of the chaplains of Archbishop</w:t></w:r>
</w:p>
<w:p>
<w:pPr><w:pStyle w:val="Normal"/></w:pPr>
<w:r><w:t xml:space="preserve">Whitgift.  From 1589 to 1609 he was also prebendary of</w:t></w:r>
</w:p>
<w:p>
<w:pPr><w:pStyle w:val="Normal"/></w:pPr>
<w:r><w:t xml:space="preserve">Southwell.  On the 4th of March 1590, as one of the chaplains of</w:t></w:r>
</w:p>
<w:p>
<w:pPr><w:pStyle w:val="Normal"/></w:pPr>
<w:r><w:t xml:space="preserve">Queen Elizabeth, he preached before her a singularly outspoken</w:t></w:r>
</w:p>
<w:p>
<w:pPr><w:pStyle w:val="Normal"/></w:pPr>
<w:r><w:t xml:space="preserve">sermon, and in October gave his introductory lecture at St</w:t></w:r>
</w:p>
<w:p>
<w:pPr><w:pStyle w:val="Normal"/></w:pPr>
<w:r><w:t xml:space="preserve">Paul&apos;s, undertaking to comment on the first four chapters of</w:t></w:r>
</w:p>
<w:p>
<w:pPr><w:pStyle w:val="Normal"/></w:pPr>
<w:r><w:t xml:space="preserve">Genesis.  These seem to have been worked up later into a</w:t></w:r>
</w:p>
<w:p>
<w:pPr><w:pStyle w:val="Normal"/></w:pPr>
<w:r><w:t xml:space="preserve">compilation called The Orphan Lectures (1657).  Andrewes</w:t></w:r>
</w:p>
<w:p>
<w:pPr><w:pStyle w:val="Normal"/></w:pPr>
<w:r><w:t xml:space="preserve">was an incessant worker as well as preacher, and often</w:t></w:r>
</w:p>
<w:p>
<w:pPr><w:pStyle w:val="Normal"/></w:pPr>
<w:r><w:t xml:space="preserve">laboured beyond his strength.  He delighted to move among</w:t></w:r>
</w:p>
<w:p>
<w:pPr><w:pStyle w:val="Normal"/></w:pPr>
<w:r><w:t xml:space="preserve">the people, and yet found time to meet with a society of</w:t></w:r>
</w:p>
<w:p>
<w:pPr><w:pStyle w:val="Normal"/></w:pPr>
<w:r><w:t xml:space="preserve">antiquaries, of which Raleigh, Sidney, Burleigh, Arundel, the</w:t></w:r>
</w:p>
<w:p>
<w:pPr><w:pStyle w:val="Normal"/></w:pPr>
<w:r><w:t xml:space="preserve">Herberts, Saville, Stow and Camden were members.  In 1598</w:t></w:r>
</w:p>
<w:p>
<w:pPr><w:pStyle w:val="Normal"/></w:pPr>
<w:r><w:t xml:space="preserve">he declined the two bishoprics of Ely and Salisbury, as the</w:t></w:r>
</w:p>
<w:p>
<w:pPr><w:pStyle w:val="Normal"/></w:pPr>
<w:r><w:t xml:space="preserve">offers were coupled with a proposal to alienate part of the</w:t></w:r>
</w:p>
<w:p>
<w:pPr><w:pStyle w:val="Normal"/></w:pPr>
<w:r><w:t xml:space="preserve">revenues of those sees.  On the 23rd of November 1600 he</w:t></w:r>
</w:p>
<w:p>
<w:pPr><w:pStyle w:val="Normal"/></w:pPr>
<w:r><w:t xml:space="preserve">preached at Whitehall a remarkable sermon on justification,</w:t></w:r>
</w:p>
<w:p>
<w:pPr><w:pStyle w:val="Normal"/></w:pPr>
<w:r><w:t xml:space="preserve">which gave rise to a memorable controversy.  On the 4th of</w:t></w:r>
</w:p>
<w:p>
<w:pPr><w:pStyle w:val="Normal"/></w:pPr>
<w:r><w:t xml:space="preserve">July 1601 he was appointed dean of Westminster and gave much</w:t></w:r>
</w:p>
<w:p>
<w:pPr><w:pStyle w:val="Normal"/></w:pPr>
<w:r><w:t xml:space="preserve">attention to the school there.  He assisted at the coronation</w:t></w:r>
</w:p>
<w:p>
<w:pPr><w:pStyle w:val="Normal"/></w:pPr>
<w:r><w:t xml:space="preserve">of James I. and in 1604 took part in the Hampton Court</w:t></w:r>
</w:p>
<w:p>
<w:pPr><w:pStyle w:val="Normal"/></w:pPr>
<w:r><w:t xml:space="preserve">conference.  His name is the first on the list of divines</w:t></w:r>
</w:p>
<w:p>
<w:pPr><w:pStyle w:val="Normal"/></w:pPr>
<w:r><w:t xml:space="preserve">appointed to make the authorized version of the Bible.  In</w:t></w:r>
</w:p>
<w:p>
<w:pPr><w:pStyle w:val="Normal"/></w:pPr>
<w:r><w:t xml:space="preserve">1605 he was consecrated bishop of Chichester and made lord</w:t></w:r>
</w:p>
<w:p>
<w:pPr><w:pStyle w:val="Normal"/></w:pPr>
<w:r><w:t xml:space="preserve">almoner.  In 1609 he published Tortura Torti, a learned</w:t></w:r>
</w:p>
<w:p>
<w:pPr><w:pStyle w:val="Normal"/></w:pPr>
<w:r><w:t xml:space="preserve">work which grew out of the Gunpowder Plot controversy and</w:t></w:r>
</w:p>
<w:p>
<w:pPr><w:pStyle w:val="Normal"/></w:pPr>
<w:r><w:t xml:space="preserve">was written in answer to Bellarmine&apos;s Matthaeus Tortus,</w:t></w:r>
</w:p>
<w:p>
<w:pPr><w:pStyle w:val="Normal"/></w:pPr>
<w:r><w:t xml:space="preserve">which attacked James I.&apos;s book on the oath of allegiance.</w:t></w:r>
</w:p>
<w:p>
<w:pPr><w:pStyle w:val="Normal"/></w:pPr>
<w:r><w:t xml:space="preserve">After his translation to Ely (1609), he again controverted</w:t></w:r>
</w:p>
<w:p>
<w:pPr><w:pStyle w:val="Normal"/></w:pPr>
<w:r><w:t xml:space="preserve">Bellarmine in the Responsio ad Apologiam, a treatise never</w:t></w:r>
</w:p>
<w:p>
<w:pPr><w:pStyle w:val="Normal"/></w:pPr>
<w:r><w:t xml:space="preserve">answered.  In 1617 he accompanied James I. to Scotland with a</w:t></w:r>
</w:p>
<w:p>
<w:pPr><w:pStyle w:val="Normal"/></w:pPr>
<w:r><w:t xml:space="preserve">view to persuading the Scots that Episcopacy was preferable to</w:t></w:r>
</w:p>
<w:p>
<w:pPr><w:pStyle w:val="Normal"/></w:pPr>
<w:r><w:t xml:space="preserve">Presbyterianism.  In 1618 he attended the synod of Dort, and</w:t></w:r>
</w:p>
<w:p>
<w:pPr><w:pStyle w:val="Normal"/></w:pPr>
<w:r><w:t xml:space="preserve">was soon after made dean of the Chapel Royal and translated</w:t></w:r>
</w:p>
<w:p>
<w:pPr><w:pStyle w:val="Normal"/></w:pPr>
<w:r><w:t xml:space="preserve">to Winchester, a diocese which he administered with loving</w:t></w:r>
</w:p>
<w:p>
<w:pPr><w:pStyle w:val="Normal"/></w:pPr>
<w:r><w:t xml:space="preserve">prudence and the highest success.  He died on the 26th of</w:t></w:r>
</w:p>
<w:p>
<w:pPr><w:pStyle w:val="Normal"/></w:pPr>
<w:r><w:t xml:space="preserve">September 1626, mourned alike by leaders in Church and state.</w:t></w:r>
</w:p>
<w:p>
<w:pPr><w:pStyle w:val="Normal"/></w:pPr>
<w:r><w:t xml:space="preserve">Two generations later, Richard Crashaw caught up the</w:t></w:r>
</w:p>
<w:p>
<w:pPr><w:pStyle w:val="Normal"/></w:pPr>
<w:r><w:t xml:space="preserve">universal sentiment, when, in his lines ``Upon Bishop</w:t></w:r>
</w:p>
<w:p>
<w:pPr><w:pStyle w:val="Normal"/></w:pPr>
<w:r><w:t xml:space="preserve">Andrewes&apos; Picture before his Sermons,&apos;&apos; he exclaims:--</w:t></w:r>
</w:p>
<w:p>
<w:pPr><w:pStyle w:val="Normal"/></w:pPr>
<w:r><w:t xml:space="preserve">``This reverend shadow cast that setting sun,</w:t></w:r>
</w:p>
<w:p>
<w:pPr><w:pStyle w:val="Normal"/></w:pPr>
<w:r><w:t xml:space="preserve">Whose glorious course through our horizon run,</w:t></w:r>
</w:p>
<w:p>
<w:pPr><w:pStyle w:val="Normal"/></w:pPr>
<w:r><w:t xml:space="preserve">Left the dim face of this dull hemisphere,</w:t></w:r>
</w:p>
<w:p>
<w:pPr><w:pStyle w:val="Normal"/></w:pPr>
<w:r><w:t xml:space="preserve">All one great eye, all drown&apos;d in one great teare.&apos;&apos;</w:t></w:r>
</w:p>
<w:p>
<w:pPr><w:pStyle w:val="Normal"/></w:pPr>
<w:r><w:t xml:space="preserve">Andrewes was distinguished in many fields.  At court, though</w:t></w:r>
</w:p>
<w:p>
<w:pPr><w:pStyle w:val="Normal"/></w:pPr>
<w:r><w:t xml:space="preserve">no trifler or flatterer, he was a favourite counsellor in three</w:t></w:r>
</w:p>
<w:p>
<w:pPr><w:pStyle w:val="Normal"/></w:pPr>
<w:r><w:t xml:space="preserve">successive reigns, but he never meddled much in civil or temporal</w:t></w:r>
</w:p>
<w:p>
<w:pPr><w:pStyle w:val="Normal"/></w:pPr>
<w:r><w:t xml:space="preserve">affairs.  His learning made him the equal and the friend of</w:t></w:r>
</w:p>
<w:p>
<w:pPr><w:pStyle w:val="Normal"/></w:pPr>
<w:r><w:t xml:space="preserve">Grotius, and of the foremost contemporary scholars.  His</w:t></w:r>
</w:p>
<w:p>
<w:pPr><w:pStyle w:val="Normal"/></w:pPr>
<w:r><w:t xml:space="preserve">preaching was a unique combination of rhetorical splendour</w:t></w:r>
</w:p>
<w:p>
<w:pPr><w:pStyle w:val="Normal"/></w:pPr>
<w:r><w:t xml:space="preserve">and scholarly richness; his piety that of an ancient saint,</w:t></w:r>
</w:p>
<w:p>
<w:pPr><w:pStyle w:val="Normal"/></w:pPr>
<w:r><w:t xml:space="preserve">semi-ascetic and unearthly in its self-denial.  As a churchman</w:t></w:r>
</w:p>
<w:p>
<w:pPr><w:pStyle w:val="Normal"/></w:pPr>
<w:r><w:t xml:space="preserve">he is typically Anglican, equally removed from the Puritan</w:t></w:r>
</w:p>
<w:p>
<w:pPr><w:pStyle w:val="Normal"/></w:pPr>
<w:r><w:t xml:space="preserve">and the Roman positions.  He stands in true succession to</w:t></w:r>
</w:p>
<w:p>
<w:pPr><w:pStyle w:val="Normal"/></w:pPr>
<w:r><w:t xml:space="preserve">Richard Hooker in working out the principles of the Puritanism,</w:t></w:r>
</w:p>
<w:p>
<w:pPr><w:pStyle w:val="Normal"/></w:pPr>
<w:r><w:t xml:space="preserve">Andrewes chiefly combated Romanism.  A good summary of his</w:t></w:r>
</w:p>
<w:p>
<w:pPr><w:pStyle w:val="Normal"/></w:pPr>
<w:r><w:t xml:space="preserve">position is found in his First Answer to Cardinal Perron,</w:t></w:r>
</w:p>
<w:p>
<w:pPr><w:pStyle w:val="Normal"/></w:pPr>
<w:r><w:t xml:space="preserve">who had challenged James I.&apos;s use of the title ``Catholic.&apos;&apos;</w:t></w:r>
</w:p>
<w:p>
<w:pPr><w:pStyle w:val="Normal"/></w:pPr>
<w:r><w:t xml:space="preserve">His position in regard to the Eucharist is naturally more</w:t></w:r>
</w:p>
<w:p>
<w:pPr><w:pStyle w:val="Normal"/></w:pPr>
<w:r><w:t xml:space="preserve">mature than that of the first reformers. ``As to the Real</w:t></w:r>
</w:p>
<w:p>
<w:pPr><w:pStyle w:val="Normal"/></w:pPr>
<w:r><w:t xml:space="preserve">Presence we are agreed; our controversy is as to the mode of</w:t></w:r>
</w:p>
<w:p>
<w:pPr><w:pStyle w:val="Normal"/></w:pPr>
<w:r><w:t xml:space="preserve">it.  As to the mode we define nothing rashly, nor anxiously</w:t></w:r>
</w:p>
<w:p>
<w:pPr><w:pStyle w:val="Normal"/></w:pPr>
<w:r><w:t xml:space="preserve">investigate, any more than in the Incarnation of Christ</w:t></w:r>
</w:p>
<w:p>
<w:pPr><w:pStyle w:val="Normal"/></w:pPr>
<w:r><w:t xml:space="preserve">we ask how the human is united to the divine nature in One</w:t></w:r>
</w:p>
<w:p>
<w:pPr><w:pStyle w:val="Normal"/></w:pPr>
<w:r><w:t xml:space="preserve">Person.  There is a real change in the elements--we allow ut</w:t></w:r>
</w:p>
<w:p>
<w:pPr><w:pStyle w:val="Normal"/></w:pPr>
<w:r><w:t xml:space="preserve">panis iam consecratus non sit panis quem natura formavit;</w:t></w:r>
</w:p>
<w:p>
<w:pPr><w:pStyle w:val="Normal"/></w:pPr>
<w:r><w:t xml:space="preserve">sed, quem benedictio consecravit, et consecrando etiam</w:t></w:r>
</w:p>
<w:p>
<w:pPr><w:pStyle w:val="Normal"/></w:pPr>
<w:r><w:t xml:space="preserve">immutavit&apos;&apos; Responsio, p. 263).  Adoration is permitted,</w:t></w:r>
</w:p>
<w:p>
<w:pPr><w:pStyle w:val="Normal"/></w:pPr>
<w:r><w:t xml:space="preserve">and the use of the terms ``sacrifice&apos;&apos; and ``altar&apos;&apos;</w:t></w:r>
</w:p>
<w:p>
<w:pPr><w:pStyle w:val="Normal"/></w:pPr>
<w:r><w:t xml:space="preserve">maintained as being consonant with scripture and antiquity.</w:t></w:r>
</w:p>
<w:p>
<w:pPr><w:pStyle w:val="Normal"/></w:pPr>
<w:r><w:t xml:space="preserve">Christ is ``a sacrifice--so, to be slain; a propitiatory</w:t></w:r>
</w:p>
<w:p>
<w:pPr><w:pStyle w:val="Normal"/></w:pPr>
<w:r><w:t xml:space="preserve">sacrifice--so, to be eaten&apos;&apos; (Sermons, vol. ii. p. 296).</w:t></w:r>
</w:p>
<w:p>
<w:pPr><w:pStyle w:val="Normal"/></w:pPr>
<w:r><w:t xml:space="preserve">``By the same rules that the Passover was, by the same may</w:t></w:r>
</w:p>
<w:p>
<w:pPr><w:pStyle w:val="Normal"/></w:pPr>
<w:r><w:t xml:space="preserve">ours be termed a sacrifice.  In rigour of speech, neither of</w:t></w:r>
</w:p>
<w:p>
<w:pPr><w:pStyle w:val="Normal"/></w:pPr>
<w:r><w:t xml:space="preserve">them; for to speak after the exact manner of divinity, there</w:t></w:r>
</w:p>
<w:p>
<w:pPr><w:pStyle w:val="Normal"/></w:pPr>
<w:r><w:t xml:space="preserve">is but one only sacrifice, veri nominis, that is Christ&apos;s</w:t></w:r>
</w:p>
<w:p>
<w:pPr><w:pStyle w:val="Normal"/></w:pPr>
<w:r><w:t xml:space="preserve">death.  And that sacrifice but once actually performed at</w:t></w:r>
</w:p>
<w:p>
<w:pPr><w:pStyle w:val="Normal"/></w:pPr>
<w:r><w:t xml:space="preserve">His death, but ever before represented in figure, from the</w:t></w:r>
</w:p>
<w:p>
<w:pPr><w:pStyle w:val="Normal"/></w:pPr>
<w:r><w:t xml:space="preserve">beginning; and ever since repeated in memory to the world&apos;s</w:t></w:r>
</w:p>
<w:p>
<w:pPr><w:pStyle w:val="Normal"/></w:pPr>
<w:r><w:t xml:space="preserve">end.  That only absolute, all else relative to it, reprerentative</w:t></w:r>
</w:p>
<w:p>
<w:pPr><w:pStyle w:val="Normal"/></w:pPr>
<w:r><w:t xml:space="preserve">of it, operative by it. . . . Hence it is that what names</w:t></w:r>
</w:p>
<w:p>
<w:pPr><w:pStyle w:val="Normal"/></w:pPr>
<w:r><w:t xml:space="preserve">theirs carried, ours do the like, and the Fathers make no</w:t></w:r>
</w:p>
<w:p>
<w:pPr><w:pStyle w:val="Normal"/></w:pPr>
<w:r><w:t xml:space="preserve">scruple at it--no more need we&apos;&apos; (Sermons, vol. ii. p.</w:t></w:r>
</w:p>
<w:p>
<w:pPr><w:pStyle w:val="Normal"/></w:pPr>
<w:r><w:t xml:space="preserve">300).  As to reservation, ``it needeth not: the intent is had</w:t></w:r>
</w:p>
<w:p>
<w:pPr><w:pStyle w:val="Normal"/></w:pPr>
<w:r><w:t xml:space="preserve">without it,&apos;&apos; since an invalid may always have his private</w:t></w:r>
</w:p>
<w:p>
<w:pPr><w:pStyle w:val="Normal"/></w:pPr>
<w:r><w:t xml:space="preserve">communion.  Andrewes declares against the invocation of saints,</w:t></w:r>
</w:p>
<w:p>
<w:pPr><w:pStyle w:val="Normal"/></w:pPr>
<w:r><w:t xml:space="preserve">the apparent examples in patristic literature are ``rhetorical</w:t></w:r>
</w:p>
<w:p>
<w:pPr><w:pStyle w:val="Normal"/></w:pPr>
<w:r><w:t xml:space="preserve">outbursts, not theological definitions.&apos;&apos; His services to his</w:t></w:r>
</w:p>
<w:p>
<w:pPr><w:pStyle w:val="Normal"/></w:pPr>
<w:r><w:t xml:space="preserve">church have been summed up thus:--(1) he has a keen sense of</w:t></w:r>
</w:p>
<w:p>
<w:pPr><w:pStyle w:val="Normal"/></w:pPr>
<w:r><w:t xml:space="preserve">the proportion of the faith and maintains a clear distinction</w:t></w:r>
</w:p>
<w:p>
<w:pPr><w:pStyle w:val="Normal"/></w:pPr>
<w:r><w:t xml:space="preserve">between what is fundamental, needing ecclesiastical commands,</w:t></w:r>
</w:p>
<w:p>
<w:pPr><w:pStyle w:val="Normal"/></w:pPr>
<w:r><w:t xml:space="preserve">and subsidiary, needing only ecclesiastical guidance and</w:t></w:r>
</w:p>
<w:p>
<w:pPr><w:pStyle w:val="Normal"/></w:pPr>
<w:r><w:t xml:space="preserve">suggestion; (2) as distinguished from the earlier protesting</w:t></w:r>
</w:p>
<w:p>
<w:pPr><w:pStyle w:val="Normal"/></w:pPr>
<w:r><w:t xml:space="preserve">standpoint, e.g. of the Thirty-nine Articles, he emphasized</w:t></w:r>
</w:p>
<w:p>
<w:pPr><w:pStyle w:val="Normal"/></w:pPr>
<w:r><w:t xml:space="preserve">a positive and constructive statement of the Anglican position.</w:t></w:r>
</w:p>
<w:p>
<w:pPr><w:pStyle w:val="Normal"/></w:pPr>
<w:r><w:t xml:space="preserve">LITERATURE.--Of his works the Manual of Private Devotions</w:t></w:r>
</w:p>
<w:p>
<w:pPr><w:pStyle w:val="Normal"/></w:pPr>
<w:r><w:t xml:space="preserve">is the best known, for it appeals to Christians of every</w:t></w:r>
</w:p>
<w:p>
<w:pPr><w:pStyle w:val="Normal"/></w:pPr>
<w:r><w:t xml:space="preserve">church.  One of the many good modern editions is that by</w:t></w:r>
</w:p>
<w:p>
<w:pPr><w:pStyle w:val="Normal"/></w:pPr>
<w:r><w:t xml:space="preserve">Alex.  Whyte (1900).  Andrewes&apos;s other works occupy</w:t></w:r>
</w:p>
<w:p>
<w:pPr><w:pStyle w:val="Normal"/></w:pPr>
<w:r><w:t xml:space="preserve">eight volumes in the Library of Anglo-Catholic Theology</w:t></w:r>
</w:p>
<w:p>
<w:pPr><w:pStyle w:val="Normal"/></w:pPr>
<w:r><w:t xml:space="preserve">(1841-1854).  Of biographies we have those by H. Isaacson</w:t></w:r>
</w:p>
<w:p>
<w:pPr><w:pStyle w:val="Normal"/></w:pPr>
<w:r><w:t xml:space="preserve">(1650), A. T. Russell (1863), R. L. Ottley (1894), and Dean</w:t></w:r>
</w:p>
<w:p>
<w:pPr><w:pStyle w:val="Normal"/></w:pPr>
<w:r><w:t xml:space="preserve">Church&apos;s essay in Masters in English Theology. See also W.</w:t></w:r>
</w:p>
<w:p>
<w:pPr><w:pStyle w:val="Normal"/></w:pPr>
<w:r><w:t xml:space="preserve">H. Frere, Lancelot Andrewes as a Representative of Anglican</w:t></w:r>
</w:p>
<w:p>
<w:pPr><w:pStyle w:val="Normal"/></w:pPr>
<w:r><w:t xml:space="preserve">Principles (1898; Church Hist.  Soc. Publications, No. 44).</w:t></w:r>
</w:p>
<w:p>
<w:pPr><w:pStyle w:val="Normal"/></w:pPr>
<w:r><w:t xml:space="preserve">ANDREWS, JAMES PETTIT (c. 1737-1797), English historian</w:t></w:r>
</w:p>
<w:p>
<w:pPr><w:pStyle w:val="Normal"/></w:pPr>
<w:r><w:t xml:space="preserve">and antiquary, was the younger son of Joseph Andrews, of Shaw</w:t></w:r>
</w:p>
<w:p>
<w:pPr><w:pStyle w:val="Normal"/></w:pPr>
<w:r><w:t xml:space="preserve">House, Newbury, Berkshire, where he was born.  He was educated</w:t></w:r>
</w:p>
<w:p>
<w:pPr><w:pStyle w:val="Normal"/></w:pPr>
<w:r><w:t xml:space="preserve">privately, and having taken to the law was one of the magistrates</w:t></w:r>
</w:p>
<w:p>
<w:pPr><w:pStyle w:val="Normal"/></w:pPr>
<w:r><w:t xml:space="preserve">at the police court in Queen Square, Westminster, from 1792</w:t></w:r>
</w:p>
<w:p>
<w:pPr><w:pStyle w:val="Normal"/></w:pPr>
<w:r><w:t xml:space="preserve">to his death.  He developed a taste for literature, and his</w:t></w:r>
</w:p>
<w:p>
<w:pPr><w:pStyle w:val="Normal"/></w:pPr>
<w:r><w:t xml:space="preserve">miscellaneous works include The Savages of Europe (London,</w:t></w:r>
</w:p>
<w:p>
<w:pPr><w:pStyle w:val="Normal"/></w:pPr>
<w:r><w:t xml:space="preserve">1764), a satire on the English which he translated from the</w:t></w:r>
</w:p>
<w:p>
<w:pPr><w:pStyle w:val="Normal"/></w:pPr>
<w:r><w:t xml:space="preserve">French, and Anccdotes Ancient and Modern (London, 1789) a.n</w:t></w:r>
</w:p>
<w:p>
<w:pPr><w:pStyle w:val="Normal"/></w:pPr>
<w:r><w:t xml:space="preserve">amusing collection of gossip.  His chief work was a History</w:t></w:r>
</w:p>
<w:p>
<w:pPr><w:pStyle w:val="Normal"/></w:pPr>
<w:r><w:t xml:space="preserve">of Great Britain connected with the Chronology of Europe</w:t></w:r>
</w:p>
<w:p>
<w:pPr><w:pStyle w:val="Normal"/></w:pPr>
<w:r><w:t xml:space="preserve">from Caesar&apos;s Invasion to Accession of Edward VI., in 2 vols.</w:t></w:r>
</w:p>
<w:p>
<w:pPr><w:pStyle w:val="Normal"/></w:pPr>
<w:r><w:t xml:space="preserve">(London, 1794-1795) . Its plan is somewhat singular, as a</w:t></w:r>
</w:p>
<w:p>
<w:pPr><w:pStyle w:val="Normal"/></w:pPr>
<w:r><w:t xml:space="preserve">portion of the history of England is given on one page, and</w:t></w:r>
</w:p>
<w:p>
<w:pPr><w:pStyle w:val="Normal"/></w:pPr>
<w:r><w:t xml:space="preserve">a general sketch of the contemporaneous history of Europe on</w:t></w:r>
</w:p>
<w:p>
<w:pPr><w:pStyle w:val="Normal"/></w:pPr>
<w:r><w:t xml:space="preserve">the opposite page.  He also wrote a History of Great Britain</w:t></w:r>
</w:p>
<w:p>
<w:pPr><w:pStyle w:val="Normal"/></w:pPr>
<w:r><w:t xml:space="preserve">from Death of Henry VIII. to Accession of James VI. of</w:t></w:r>
</w:p>
<w:p>
<w:pPr><w:pStyle w:val="Normal"/></w:pPr>
<w:r><w:t xml:space="preserve">Scotland, a continuation of Robert Henry&apos;s History of Great</w:t></w:r>
</w:p>
<w:p>
<w:pPr><w:pStyle w:val="Normal"/></w:pPr>
<w:r><w:t xml:space="preserve">Britain, published in 1796 and again in 1806.  Andrews died at</w:t></w:r>
</w:p>
<w:p>
<w:pPr><w:pStyle w:val="Normal"/></w:pPr>
<w:r><w:t xml:space="preserve">Brompton on the 6th of August 1797, and was buried in Hampstead</w:t></w:r>
</w:p>
<w:p>
<w:pPr><w:pStyle w:val="Normal"/></w:pPr>
<w:r><w:t xml:space="preserve">Church.  He married Anne Penrose, daughter of a rector of Newbury.</w:t></w:r>
</w:p>
<w:p>
<w:pPr><w:pStyle w:val="Normal"/></w:pPr>
<w:r><w:t xml:space="preserve">ANDREWS, THOMAS (1813-1885), Irish chemist and physicist,</w:t></w:r>
</w:p>
<w:p>
<w:pPr><w:pStyle w:val="Normal"/></w:pPr>
<w:r><w:t xml:space="preserve">was born on the 19th of December 1813 at Belfast, where his</w:t></w:r>
</w:p>
<w:p>
<w:pPr><w:pStyle w:val="Normal"/></w:pPr>
<w:r><w:t xml:space="preserve">father was a linen merchant.  After attending the Belfast</w:t></w:r>
</w:p>
<w:p>
<w:pPr><w:pStyle w:val="Normal"/></w:pPr>
<w:r><w:t xml:space="preserve">Academy and also the Academical Institution, he went to</w:t></w:r>
</w:p>
<w:p>
<w:pPr><w:pStyle w:val="Normal"/></w:pPr>
<w:r><w:t xml:space="preserve">Glasgow in 1828 to study chemistry under Professor Thomas</w:t></w:r>
</w:p>
<w:p>
<w:pPr><w:pStyle w:val="Normal"/></w:pPr>
<w:r><w:t xml:space="preserve">Thomson, and thence migrated to Trinity College, Dublin, where</w:t></w:r>
</w:p>
<w:p>
<w:pPr><w:pStyle w:val="Normal"/></w:pPr>
<w:r><w:t xml:space="preserve">he gained distinction in classics as well as in science.</w:t></w:r>
</w:p>
<w:p>
<w:pPr><w:pStyle w:val="Normal"/></w:pPr>
<w:r><w:t xml:space="preserve">Finally, he graduated as M.D. at Edinburgh in 1835, and</w:t></w:r>
</w:p>
<w:p>
<w:pPr><w:pStyle w:val="Normal"/></w:pPr>
<w:r><w:t xml:space="preserve">settled down to a successful medical practice in his native</w:t></w:r>
</w:p>
<w:p>
<w:pPr><w:pStyle w:val="Normal"/></w:pPr>
<w:r><w:t xml:space="preserve">place, also giving instruction in chemistry at the Academical</w:t></w:r>
</w:p>
<w:p>
<w:pPr><w:pStyle w:val="Normal"/></w:pPr>
<w:r><w:t xml:space="preserve">Institution.  Ten years later he was appointed vice-president</w:t></w:r>
</w:p>
<w:p>
<w:pPr><w:pStyle w:val="Normal"/></w:pPr>
<w:r><w:t xml:space="preserve">of the newly established Queen&apos;s College, Belfast, and</w:t></w:r>
</w:p>
<w:p>
<w:pPr><w:pStyle w:val="Normal"/></w:pPr>
<w:r><w:t xml:space="preserve">professor of chemistry, and these two offices he held till</w:t></w:r>
</w:p>
<w:p>
<w:pPr><w:pStyle w:val="Normal"/></w:pPr>
<w:r><w:t xml:space="preserve">1879, when failing health compelled his retirement.  He died</w:t></w:r>
</w:p>
<w:p>
<w:pPr><w:pStyle w:val="Normal"/></w:pPr>
<w:r><w:t xml:space="preserve">on the 26th of November 1885.  Andrews first became known as</w:t></w:r>
</w:p>
<w:p>
<w:pPr><w:pStyle w:val="Normal"/></w:pPr>
<w:r><w:t xml:space="preserve">a scientific investigator by his work on the heat developed</w:t></w:r>
</w:p>
<w:p>
<w:pPr><w:pStyle w:val="Normal"/></w:pPr>
<w:r><w:t xml:space="preserve">in chemical actions, for which the Royal Society awarded him</w:t></w:r>
</w:p>
<w:p>
<w:pPr><w:pStyle w:val="Normal"/></w:pPr>
<w:r><w:t xml:space="preserve">a Royal medal in 1844.  Another important research, undertaken</w:t></w:r>
</w:p>
<w:p>
<w:pPr><w:pStyle w:val="Normal"/></w:pPr>
<w:r><w:t xml:space="preserve">with P. G. Tait, was devoted to ozone.  But the work on which</w:t></w:r>
</w:p>
<w:p>
<w:pPr><w:pStyle w:val="Normal"/></w:pPr>
<w:r><w:t xml:space="preserve">his reputation mainly rests, and which best displayed his</w:t></w:r>
</w:p>
<w:p>
<w:pPr><w:pStyle w:val="Normal"/></w:pPr>
<w:r><w:t xml:space="preserve">skill and resourcefulness in experiment, was concerned with</w:t></w:r>
</w:p>
<w:p>
<w:pPr><w:pStyle w:val="Normal"/></w:pPr>
<w:r><w:t xml:space="preserve">the liquefaction of gases.  He carried out a very complete</w:t></w:r>
</w:p>
<w:p>
<w:pPr><w:pStyle w:val="Normal"/></w:pPr>
<w:r><w:t xml:space="preserve">inquiry into the laws expressing the relations of pressure,</w:t></w:r>
</w:p>
<w:p>
<w:pPr><w:pStyle w:val="Normal"/></w:pPr>
<w:r><w:t xml:space="preserve">temperature and volume in carbonic dioxide, in particular</w:t></w:r>
</w:p>
<w:p>
<w:pPr><w:pStyle w:val="Normal"/></w:pPr>
<w:r><w:t xml:space="preserve">establishing the conceptions of critical temperature and</w:t></w:r>
</w:p>
<w:p>
<w:pPr><w:pStyle w:val="Normal"/></w:pPr>
<w:r><w:t xml:space="preserve">critical pressure, and showing that the gas passes from the</w:t></w:r>
</w:p>
<w:p>
<w:pPr><w:pStyle w:val="Normal"/></w:pPr>
<w:r><w:t xml:space="preserve">gaseous to the liquid state without any breach of continuity.</w:t></w:r>
</w:p>
<w:p>
<w:pPr><w:pStyle w:val="Normal"/></w:pPr>
<w:r><w:t xml:space="preserve">His scientific papers were published in a collected form</w:t></w:r>
</w:p>
<w:p>
<w:pPr><w:pStyle w:val="Normal"/></w:pPr>
<w:r><w:t xml:space="preserve">in 1889, with a memoir by Professors Tait and Crum Brown.</w:t></w:r>
</w:p>
<w:p>
<w:pPr><w:pStyle w:val="Normal"/></w:pPr>
<w:r><w:t xml:space="preserve">ANDRIA, a town and episcopal see of Apulia, Italy, in the</w:t></w:r>
</w:p>
<w:p>
<w:pPr><w:pStyle w:val="Normal"/></w:pPr>
<w:r><w:t xml:space="preserve">province of Bari; 35m. W. of the town of Bari by steam tramway,</w:t></w:r>
</w:p>
<w:p>
<w:pPr><w:pStyle w:val="Normal"/></w:pPr>
<w:r><w:t xml:space="preserve">and 6 m.  S.S.E. of Barletta.  Pop. (1901) 49,569.  It was</w:t></w:r>
</w:p>
<w:p>
<w:pPr><w:pStyle w:val="Normal"/></w:pPr>
<w:r><w:t xml:space="preserve">founded probably about 1046 by Peter, the first Norman count of</w:t></w:r>
</w:p>
<w:p>
<w:pPr><w:pStyle w:val="Normal"/></w:pPr>
<w:r><w:t xml:space="preserve">Andria.  It was a favourite residence of the emperor Frederick</w:t></w:r>
</w:p>
<w:p>
<w:pPr><w:pStyle w:val="Normal"/></w:pPr>
<w:r><w:t xml:space="preserve">II., whose second and third wives, Iolanthe and Isabella</w:t></w:r>
</w:p>
<w:p>
<w:pPr><w:pStyle w:val="Normal"/></w:pPr>
<w:r><w:t xml:space="preserve">of England, were buried in the cathedral dedicated to St</w:t></w:r>
</w:p>
<w:p>
<w:pPr><w:pStyle w:val="Normal"/></w:pPr>
<w:r><w:t xml:space="preserve">Richard, who is believed to have come from England in 492;</w:t></w:r>
</w:p>
<w:p>
<w:pPr><w:pStyle w:val="Normal"/></w:pPr>
<w:r><w:t xml:space="preserve">their tombs, however, no longer exist.  There are several</w:t></w:r>
</w:p>
<w:p>
<w:pPr><w:pStyle w:val="Normal"/></w:pPr>
<w:r><w:t xml:space="preserve">other fine churches of the 13th century.  The Castel del</w:t></w:r>
</w:p>
<w:p>
<w:pPr><w:pStyle w:val="Normal"/></w:pPr>
<w:r><w:t xml:space="preserve">Monte, 9 1/2 m.  S. of Andria, was constructed by Frederick</w:t></w:r>
</w:p>
<w:p>
<w:pPr><w:pStyle w:val="Normal"/></w:pPr>
<w:r><w:t xml:space="preserve">II., who frequently resided here; it is an octagonal</w:t></w:r>
</w:p>
<w:p>
<w:pPr><w:pStyle w:val="Normal"/></w:pPr>
<w:r><w:t xml:space="preserve">building in two storeys with octagonal towers at each angle,</w:t></w:r>
</w:p>
<w:p>
<w:pPr><w:pStyle w:val="Normal"/></w:pPr>
<w:r><w:t xml:space="preserve">and was further surrounded by three outer walls.  Despite</w:t></w:r>
</w:p>
<w:p>
<w:pPr><w:pStyle w:val="Normal"/></w:pPr>
<w:r><w:t xml:space="preserve">its massive and imposing exterior, its details are fine.</w:t></w:r>
</w:p>
<w:p>
<w:pPr><w:pStyle w:val="Normal"/></w:pPr>
<w:r><w:t xml:space="preserve">See E. Rocchi in L&apos;Arte, i. (1898) 121.</w:t></w:r>
</w:p>
<w:p>
<w:pPr><w:pStyle w:val="Normal"/></w:pPr>
<w:r><w:t xml:space="preserve">ANDRIEU, BERTRAND (1761-1822), French engraver of</w:t></w:r>
</w:p>
<w:p>
<w:pPr><w:pStyle w:val="Normal"/></w:pPr>
<w:r><w:t xml:space="preserve">medals, was born at Bordeaux.  He is considered as the</w:t></w:r>
</w:p>
<w:p>
<w:pPr><w:pStyle w:val="Normal"/></w:pPr>
<w:r><w:t xml:space="preserve">restorer of the art in France, which had declined after</w:t></w:r>
</w:p>
<w:p>
<w:pPr><w:pStyle w:val="Normal"/></w:pPr>
<w:r><w:t xml:space="preserve">the time of Louis XIV.; and during the last twenty years</w:t></w:r>
</w:p>
<w:p>
<w:pPr><w:pStyle w:val="Normal"/></w:pPr>
<w:r><w:t xml:space="preserve">of his life he was entrusted by the French government with</w:t></w:r>
</w:p>
<w:p>
<w:pPr><w:pStyle w:val="Normal"/></w:pPr>
<w:r><w:t xml:space="preserve">the execution of every work of importance.  Many of his</w:t></w:r>
</w:p>
<w:p>
<w:pPr><w:pStyle w:val="Normal"/></w:pPr>
<w:r><w:t xml:space="preserve">medals are figured in the Medallic History of Napoleon.</w:t></w:r>
</w:p>
<w:p>
<w:pPr><w:pStyle w:val="Normal"/></w:pPr>
<w:r><w:t xml:space="preserve">ANDRIEUX, FRANCOIS GUILLAUME JEAN STANISLAS (1759-1833),</w:t></w:r>
</w:p>
<w:p>
<w:pPr><w:pStyle w:val="Normal"/></w:pPr>
<w:r><w:t xml:space="preserve">French man of letters, was born at Strassburg on the 6th of May</w:t></w:r>
</w:p>
<w:p>
<w:pPr><w:pStyle w:val="Normal"/></w:pPr>
<w:r><w:t xml:space="preserve">1759.  He was educated at Strassburg and proceeded to Paris</w:t></w:r>
</w:p>
<w:p>
<w:pPr><w:pStyle w:val="Normal"/></w:pPr>
<w:r><w:t xml:space="preserve">to study law.  There he became a close friend of Collin</w:t></w:r>
</w:p>
<w:p>
<w:pPr><w:pStyle w:val="Normal"/></w:pPr>
<w:r><w:t xml:space="preserve">d&apos;Harleville.  He became secretary to the duke of Uzes, and</w:t></w:r>
</w:p>
<w:p>
<w:pPr><w:pStyle w:val="Normal"/></w:pPr>
<w:r><w:t xml:space="preserve">practised at the bar, but his attention was divided between</w:t></w:r>
</w:p>
<w:p>
<w:pPr><w:pStyle w:val="Normal"/></w:pPr>
<w:r><w:t xml:space="preserve">his profession and literature.  His plays are of the 18th</w:t></w:r>
</w:p>
<w:p>
<w:pPr><w:pStyle w:val="Normal"/></w:pPr>
<w:r><w:t xml:space="preserve">century style, comedies of intrigue, but they rank with those</w:t></w:r>
</w:p>
<w:p>
<w:pPr><w:pStyle w:val="Normal"/></w:pPr>
<w:r><w:t xml:space="preserve">of Collin d&apos;Harleville among the best of the period next to</w:t></w:r>
</w:p>
<w:p>
<w:pPr><w:pStyle w:val="Normal"/></w:pPr>
<w:r><w:t xml:space="preserve">those of Beaumarchais. Les Etourdis, his best comedy, was</w:t></w:r>
</w:p>
<w:p>
<w:pPr><w:pStyle w:val="Normal"/></w:pPr>
<w:r><w:t xml:space="preserve">represented in 1788 and won for the author the praise of La</w:t></w:r>
</w:p>
<w:p>
<w:pPr><w:pStyle w:val="Normal"/></w:pPr>
<w:r><w:t xml:space="preserve">Harpe.  Andrieux hailed the beginning of the Revolution with</w:t></w:r>
</w:p>
<w:p>
<w:pPr><w:pStyle w:val="Normal"/></w:pPr>
<w:r><w:t xml:space="preserve">delight and received a place under the new government, but</w:t></w:r>
</w:p>
<w:p>
<w:pPr><w:pStyle w:val="Normal"/></w:pPr>
<w:r><w:t xml:space="preserve">at the beginning of the Terror he retreated to Mevoisins,</w:t></w:r>
</w:p>
<w:p>
<w:pPr><w:pStyle w:val="Normal"/></w:pPr>
<w:r><w:t xml:space="preserve">the patrimony of his friend Collin d&apos;Harleville.  Under the</w:t></w:r>
</w:p>
<w:p>
<w:pPr><w:pStyle w:val="Normal"/></w:pPr>
<w:r><w:t xml:space="preserve">Convention he was made civil judge in the Court of Cassation,</w:t></w:r>
</w:p>
<w:p>
<w:pPr><w:pStyle w:val="Normal"/></w:pPr>
<w:r><w:t xml:space="preserve">and was one of the original members of the Institute.  A moderate</w:t></w:r>
</w:p>
<w:p>
<w:pPr><w:pStyle w:val="Normal"/></w:pPr>
<w:r><w:t xml:space="preserve">statesman, he was elected secretary and finally president of</w:t></w:r>
</w:p>
<w:p>
<w:pPr><w:pStyle w:val="Normal"/></w:pPr>
<w:r><w:t xml:space="preserve">the Tribunat, but with other of his colleagues he was expelled</w:t></w:r>
</w:p>
<w:p>
<w:pPr><w:pStyle w:val="Normal"/></w:pPr>
<w:r><w:t xml:space="preserve">for his irreconcilable attitude towards the establishment of</w:t></w:r>
</w:p>
<w:p>
<w:pPr><w:pStyle w:val="Normal"/></w:pPr>
<w:r><w:t xml:space="preserve">the civil code.  On his retirement he again turned to write</w:t></w:r>
</w:p>
<w:p>
<w:pPr><w:pStyle w:val="Normal"/></w:pPr>
<w:r><w:t xml:space="preserve">for the stage, producing Le Tresor and Moliere avec ses</w:t></w:r>
</w:p>
<w:p>
<w:pPr><w:pStyle w:val="Normal"/></w:pPr>
<w:r><w:t xml:space="preserve">amis in 1804.  He became librarian to Joseph Bonaparte and</w:t></w:r>
</w:p>
<w:p>
<w:pPr><w:pStyle w:val="Normal"/></w:pPr>
<w:r><w:t xml:space="preserve">to the Senate, was professor of grammar and literature at</w:t></w:r>
</w:p>
<w:p>
<w:pPr><w:pStyle w:val="Normal"/></w:pPr>
<w:r><w:t xml:space="preserve">the Ecole Polytechnique and eventually at the College de</w:t></w:r>
</w:p>
<w:p>
<w:pPr><w:pStyle w:val="Normal"/></w:pPr>
<w:r><w:t xml:space="preserve">France.  As a professor he was extraordinarily successful,</w:t></w:r>
</w:p>
<w:p>
<w:pPr><w:pStyle w:val="Normal"/></w:pPr>
<w:r><w:t xml:space="preserve">and his lectures, which have unhappily not been preserved,</w:t></w:r>
</w:p>
<w:p>
<w:pPr><w:pStyle w:val="Normal"/></w:pPr>
<w:r><w:t xml:space="preserve">attracted mature men as well as the ordinary students.  He</w:t></w:r>
</w:p>
<w:p>
<w:pPr><w:pStyle w:val="Normal"/></w:pPr>
<w:r><w:t xml:space="preserve">was rigidly classical in his tastes, and an ardent opponent of</w:t></w:r>
</w:p>
<w:p>
<w:pPr><w:pStyle w:val="Normal"/></w:pPr>
<w:r><w:t xml:space="preserve">romanticism, which tended in his opinion to the subversion of</w:t></w:r>
</w:p>
<w:p>
<w:pPr><w:pStyle w:val="Normal"/></w:pPr>
<w:r><w:t xml:space="preserve">morals.  Among his other plays are La Comedienine (1816),</w:t></w:r>
</w:p>
<w:p>
<w:pPr><w:pStyle w:val="Normal"/></w:pPr>
<w:r><w:t xml:space="preserve">one of his best comedies, and a tragedy, Lucius Junius</w:t></w:r>
</w:p>
<w:p>
<w:pPr><w:pStyle w:val="Normal"/></w:pPr>
<w:r><w:t xml:space="preserve">Brutus (1830).  Andrieux was the author of some excellent</w:t></w:r>
</w:p>
<w:p>
<w:pPr><w:pStyle w:val="Normal"/></w:pPr>
<w:r><w:t xml:space="preserve">stories and fables: La Promenade de Fenelon, Le Bulle</w:t></w:r>
</w:p>
<w:p>
<w:pPr><w:pStyle w:val="Normal"/></w:pPr>
<w:r><w:t xml:space="preserve">d&apos;Alexandre VI. and the Meunier de Saint-Souci. In 1829 he</w:t></w:r>
</w:p>
<w:p>
<w:pPr><w:pStyle w:val="Normal"/></w:pPr>
<w:r><w:t xml:space="preserve">became perpetual secretary to the Academy, and in fulfilment</w:t></w:r>
</w:p>
<w:p>
<w:pPr><w:pStyle w:val="Normal"/></w:pPr>
<w:r><w:t xml:space="preserve">of his functions he worked hard at the completion of the</w:t></w:r>
</w:p>
<w:p>
<w:pPr><w:pStyle w:val="Normal"/></w:pPr>
<w:r><w:t xml:space="preserve">Dictionary.  He died on the 9th of May 1833 in Paris.</w:t></w:r>
</w:p>
<w:p>
<w:pPr><w:pStyle w:val="Normal"/></w:pPr>
<w:r><w:t xml:space="preserve">See also A. H. Taillandier, Notice sur la vie et les ouvrages</w:t></w:r>
</w:p>
<w:p>
<w:pPr><w:pStyle w:val="Normal"/></w:pPr>
<w:r><w:t xml:space="preserve">d&apos;Andrieux (1850); Sainte-Beuve, Portraits litteraires, vol. i.</w:t></w:r>
</w:p>
<w:p>
<w:pPr><w:pStyle w:val="Normal"/></w:pPr>
<w:r><w:t xml:space="preserve">ANDRISCUS, often called the ``pseudo-Philip,&apos;&apos; a fuller of</w:t></w:r>
</w:p>
<w:p>
<w:pPr><w:pStyle w:val="Normal"/></w:pPr>
<w:r><w:t xml:space="preserve">Adramyttium, who claimed to be a son of Perseus, last king of</w:t></w:r>
</w:p>
<w:p>
<w:pPr><w:pStyle w:val="Normal"/></w:pPr>
<w:r><w:t xml:space="preserve">Macedonia.  He occupied the throne for a year (149-148 B.C..)</w:t></w:r>
</w:p>
<w:p>
<w:pPr><w:pStyle w:val="Normal"/></w:pPr>
<w:r><w:t xml:space="preserve">Unable to obtain a following in Macedonia, he applied to</w:t></w:r>
</w:p>
<w:p>
<w:pPr><w:pStyle w:val="Normal"/></w:pPr>
<w:r><w:t xml:space="preserve">Demetrius Soter of Syria, who handed him over to the Romans.</w:t></w:r>
</w:p>
<w:p>
<w:pPr><w:pStyle w:val="Normal"/></w:pPr>
<w:r><w:t xml:space="preserve">He contrived, however, to escape; reappeared in Macedonia with</w:t></w:r>
</w:p>
<w:p>
<w:pPr><w:pStyle w:val="Normal"/></w:pPr>
<w:r><w:t xml:space="preserve">a large body of Thracians; and, having completely defeated</w:t></w:r>
</w:p>
<w:p>
<w:pPr><w:pStyle w:val="Normal"/></w:pPr>
<w:r><w:t xml:space="preserve">the praetor Publius Juventius (149), he assumed the title of</w:t></w:r>
</w:p>
<w:p>
<w:pPr><w:pStyle w:val="Normal"/></w:pPr>
<w:r><w:t xml:space="preserve">king.  His conquest of Thessaly and alliance with Carthage</w:t></w:r>
</w:p>
<w:p>
<w:pPr><w:pStyle w:val="Normal"/></w:pPr>
<w:r><w:t xml:space="preserve">made the situation dangerous.  Eventually he was defeated by</w:t></w:r>
</w:p>
<w:p>
<w:pPr><w:pStyle w:val="Normal"/></w:pPr>
<w:r><w:t xml:space="preserve">Q. Caecilius Metellus (148), and fled to Thrace, whose prince</w:t></w:r>
</w:p>
<w:p>
<w:pPr><w:pStyle w:val="Normal"/></w:pPr>
<w:r><w:t xml:space="preserve">gave him up to Rome.  He figured in the triumph of Metellus</w:t></w:r>
</w:p>
<w:p>
<w:pPr><w:pStyle w:val="Normal"/></w:pPr>
<w:r><w:t xml:space="preserve">(146), who received the title of ``Macedonicus&apos;&apos; for his</w:t></w:r>
</w:p>
<w:p>
<w:pPr><w:pStyle w:val="Normal"/></w:pPr>
<w:r><w:t xml:space="preserve">victory.  Andriscus&apos;s brief reign was marked by cruelty and</w:t></w:r>
</w:p>
<w:p>
<w:pPr><w:pStyle w:val="Normal"/></w:pPr>
<w:r><w:t xml:space="preserve">extortion.  After this Macedonia was formally reduced to a province.</w:t></w:r>
</w:p>
<w:p>
<w:pPr><w:pStyle w:val="Normal"/></w:pPr>
<w:r><w:t xml:space="preserve">Velleius Paterculus i. 11; Florus ii. 14;</w:t></w:r>
</w:p>
<w:p>
<w:pPr><w:pStyle w:val="Normal"/></w:pPr>
<w:r><w:t xml:space="preserve">Livy, Epit. 49, 50, 52; Diod.  Sic. xxxii. 9.</w:t></w:r>
</w:p>
<w:p>
<w:pPr><w:pStyle w:val="Normal"/></w:pPr>
<w:r><w:t xml:space="preserve">ANDROCLUS, a Roman slave who lived about the time of</w:t></w:r>
</w:p>
<w:p>
<w:pPr><w:pStyle w:val="Normal"/></w:pPr>
<w:r><w:t xml:space="preserve">Tiberius.  He is the hero of a story told by Aulus Gellius</w:t></w:r>
</w:p>
<w:p>
<w:pPr><w:pStyle w:val="Normal"/></w:pPr>
<w:r><w:t xml:space="preserve">(v. 14), which states that Androclus had taken refuge from</w:t></w:r>
</w:p>
<w:p>
<w:pPr><w:pStyle w:val="Normal"/></w:pPr>
<w:r><w:t xml:space="preserve">the cruelties of his master in a cave in Africa, when a lion</w:t></w:r>
</w:p>
<w:p>
<w:pPr><w:pStyle w:val="Normal"/></w:pPr>
<w:r><w:t xml:space="preserve">entered the cave and showed him his swollen paw, from which</w:t></w:r>
</w:p>
<w:p>
<w:pPr><w:pStyle w:val="Normal"/></w:pPr>
<w:r><w:t xml:space="preserve">Androclus extracted a large thorn.  The gratelul animal</w:t></w:r>
</w:p>
<w:p>
<w:pPr><w:pStyle w:val="Normal"/></w:pPr>
<w:r><w:t xml:space="preserve">subsequently recognized him when he had been captured and thrown</w:t></w:r>
</w:p>
<w:p>
<w:pPr><w:pStyle w:val="Normal"/></w:pPr>
<w:r><w:t xml:space="preserve">to the wild beasts in the circus, and, instead of attacking</w:t></w:r>
</w:p>
<w:p>
<w:pPr><w:pStyle w:val="Normal"/></w:pPr>
<w:r><w:t xml:space="preserve">him, began to caress him (Aelian, De Nat. An. vii. 48).</w:t></w:r>
</w:p>
<w:p>
<w:pPr><w:pStyle w:val="Normal"/></w:pPr>
<w:r><w:t xml:space="preserve">ANDROMACHE, in Greek legend, the daughter of Eetion,</w:t></w:r>
</w:p>
<w:p>
<w:pPr><w:pStyle w:val="Normal"/></w:pPr>
<w:r><w:t xml:space="preserve">prince of Thebe in Mysia, and wife of Hector.  Her father and</w:t></w:r>
</w:p>
<w:p>
<w:pPr><w:pStyle w:val="Normal"/></w:pPr>
<w:r><w:t xml:space="preserve">seven brothers fell by the hands of Achilles when their town</w:t></w:r>
</w:p>
<w:p>
<w:pPr><w:pStyle w:val="Normal"/></w:pPr>
<w:r><w:t xml:space="preserve">was taken by him; her mother, ransomed at a high price, was</w:t></w:r>
</w:p>
<w:p>
<w:pPr><w:pStyle w:val="Normal"/></w:pPr>
<w:r><w:t xml:space="preserve">slain by Artemis (Iliad, vi. 414).  During the Trojan War</w:t></w:r>
</w:p>
<w:p>
<w:pPr><w:pStyle w:val="Normal"/></w:pPr>
<w:r><w:t xml:space="preserve">her husband was slain by Achilles, and after the capture of</w:t></w:r>
</w:p>
<w:p>
<w:pPr><w:pStyle w:val="Normal"/></w:pPr>
<w:r><w:t xml:space="preserve">the city her son Astyanax (or Scamandrius) was hurled from</w:t></w:r>
</w:p>
<w:p>
<w:pPr><w:pStyle w:val="Normal"/></w:pPr>
<w:r><w:t xml:space="preserve">the battlements (Eurip. Troades, 720).  When the captives</w:t></w:r>
</w:p>
<w:p>
<w:pPr><w:pStyle w:val="Normal"/></w:pPr>
<w:r><w:t xml:space="preserve">were allotted, Andromache fell to Neoptolemus (Pyrrhus),</w:t></w:r>
</w:p>
<w:p>
<w:pPr><w:pStyle w:val="Normal"/></w:pPr>
<w:r><w:t xml:space="preserve">the son of Achilles, whom she accompanied to Epirus, and</w:t></w:r>
</w:p>
<w:p>
<w:pPr><w:pStyle w:val="Normal"/></w:pPr>
<w:r><w:t xml:space="preserve">to whom she bore three sons.  When Neoptolemus was slain at</w:t></w:r>
</w:p>
<w:p>
<w:pPr><w:pStyle w:val="Normal"/></w:pPr>
<w:r><w:t xml:space="preserve">Delphi, he left his wife and kingdom to Helenus, the brother</w:t></w:r>
</w:p>
<w:p>
<w:pPr><w:pStyle w:val="Normal"/></w:pPr>
<w:r><w:t xml:space="preserve">of Hector (Virgil, Aen. iii. 294).  After the death of her</w:t></w:r>
</w:p>
<w:p>
<w:pPr><w:pStyle w:val="Normal"/></w:pPr>
<w:r><w:t xml:space="preserve">third husband, Andromache returned to Asia Minor with her</w:t></w:r>
</w:p>
<w:p>
<w:pPr><w:pStyle w:val="Normal"/></w:pPr>
<w:r><w:t xml:space="preserve">youngest son Pergamus, who there founded a town named after</w:t></w:r>
</w:p>
<w:p>
<w:pPr><w:pStyle w:val="Normal"/></w:pPr>
<w:r><w:t xml:space="preserve">himself.  Andromache is one of the finest characters in</w:t></w:r>
</w:p>
<w:p>
<w:pPr><w:pStyle w:val="Normal"/></w:pPr>
<w:r><w:t xml:space="preserve">Homer, distinguished by her affection for her husband and</w:t></w:r>
</w:p>
<w:p>
<w:pPr><w:pStyle w:val="Normal"/></w:pPr>
<w:r><w:t xml:space="preserve">child, her misfortunes and the resignation with which she</w:t></w:r>
</w:p>
<w:p>
<w:pPr><w:pStyle w:val="Normal"/></w:pPr>
<w:r><w:t xml:space="preserve">endures them.  The death of Astyanax, and the farewell</w:t></w:r>
</w:p>
<w:p>
<w:pPr><w:pStyle w:val="Normal"/></w:pPr>
<w:r><w:t xml:space="preserve">scene between Andromache and Hector (Iliad, vi. 323),</w:t></w:r>
</w:p>
<w:p>
<w:pPr><w:pStyle w:val="Normal"/></w:pPr>
<w:r><w:t xml:space="preserve">were represented in ancient works of art, while Andromache</w:t></w:r>
</w:p>
<w:p>
<w:pPr><w:pStyle w:val="Normal"/></w:pPr>
<w:r><w:t xml:space="preserve">herself is the subject of tragedies by Euripides and Racine.</w:t></w:r>
</w:p>
<w:p>
<w:pPr><w:pStyle w:val="Normal"/></w:pPr>
<w:r><w:t xml:space="preserve">ANDROMEDA, in Greek legend, the daughter of Cepheus and</w:t></w:r>
</w:p>
<w:p>
<w:pPr><w:pStyle w:val="Normal"/></w:pPr>
<w:r><w:t xml:space="preserve">Cassiopeia (Cassiope, Cassiepeia), king and queen of the</w:t></w:r>
</w:p>
<w:p>
<w:pPr><w:pStyle w:val="Normal"/></w:pPr>
<w:r><w:t xml:space="preserve">Ethiopians.  Cassiopeia, having boasted herself equal in beauty</w:t></w:r>
</w:p>
<w:p>
<w:pPr><w:pStyle w:val="Normal"/></w:pPr>
<w:r><w:t xml:space="preserve">to the Nereids, drew down the vengeance of Poseidon, who sent</w:t></w:r>
</w:p>
<w:p>
<w:pPr><w:pStyle w:val="Normal"/></w:pPr>
<w:r><w:t xml:space="preserve">an inundation on the land and a sea-monster which destroyed</w:t></w:r>
</w:p>
<w:p>
<w:pPr><w:pStyle w:val="Normal"/></w:pPr>
<w:r><w:t xml:space="preserve">man and beast.  The oracle of Ammon having announced that</w:t></w:r>
</w:p>
<w:p>
<w:pPr><w:pStyle w:val="Normal"/></w:pPr>
<w:r><w:t xml:space="preserve">no relief would be found until the king exposed his daughter</w:t></w:r>
</w:p>
<w:p>
<w:pPr><w:pStyle w:val="Normal"/></w:pPr>
<w:r><w:t xml:space="preserve">Andromeda to the monster, she was fastened to a rock on the</w:t></w:r>
</w:p>
<w:p>
<w:pPr><w:pStyle w:val="Normal"/></w:pPr>
<w:r><w:t xml:space="preserve">shore.  Here Perseus, returning from having slain the Gorgon,</w:t></w:r>
</w:p>
<w:p>
<w:pPr><w:pStyle w:val="Normal"/></w:pPr>
<w:r><w:t xml:space="preserve">found her, slew the monster, set her free, and married her</w:t></w:r>
</w:p>
<w:p>
<w:pPr><w:pStyle w:val="Normal"/></w:pPr>
<w:r><w:t xml:space="preserve">in spite of Phineus, to whom she had before been promised.</w:t></w:r>
</w:p>
<w:p>
<w:pPr><w:pStyle w:val="Normal"/></w:pPr>
<w:r><w:t xml:space="preserve">At the wedding a quarrel took place between the rivals, and</w:t></w:r>
</w:p>
<w:p>
<w:pPr><w:pStyle w:val="Normal"/></w:pPr>
<w:r><w:t xml:space="preserve">Phineus was turned to stone by the sight of the Gorgon&apos;s head</w:t></w:r>
</w:p>
<w:p>
<w:pPr><w:pStyle w:val="Normal"/></w:pPr>
<w:r><w:t xml:space="preserve">(Ovid, Metam. v. 1). Andromeda followed her husband to</w:t></w:r>
</w:p>
<w:p>
<w:pPr><w:pStyle w:val="Normal"/></w:pPr>
<w:r><w:t xml:space="preserve">Tiryns in Argos, and became the ancestress of the family of the</w:t></w:r>
</w:p>
<w:p>
<w:pPr><w:pStyle w:val="Normal"/></w:pPr>
<w:r><w:t xml:space="preserve">Perseidae.  After her death she was placed by Athena amongst</w:t></w:r>
</w:p>
<w:p>
<w:pPr><w:pStyle w:val="Normal"/></w:pPr>
<w:r><w:t xml:space="preserve">the constellations in the northern sky, near Perseus and</w:t></w:r>
</w:p>
<w:p>
<w:pPr><w:pStyle w:val="Normal"/></w:pPr>
<w:r><w:t xml:space="preserve">Cassiopeia.  Sophocles and Euripides (and in modern times</w:t></w:r>
</w:p>
<w:p>
<w:pPr><w:pStyle w:val="Normal"/></w:pPr>
<w:r><w:t xml:space="preserve">Corneille) made the story the subject of tragedies, and its</w:t></w:r>
</w:p>
<w:p>
<w:pPr><w:pStyle w:val="Normal"/></w:pPr>
<w:r><w:t xml:space="preserve">incidents were represented in numerous ancient works of art.</w:t></w:r>
</w:p>
<w:p>
<w:pPr><w:pStyle w:val="Normal"/></w:pPr>
<w:r><w:t xml:space="preserve">Apollodorus ii. 4; Hyginus, Fab. 64; Ovid, Metam.</w:t></w:r>
</w:p>
<w:p>
<w:pPr><w:pStyle w:val="Normal"/></w:pPr>
<w:r><w:t xml:space="preserve">iv. 662; Fedde, De Perseo et Andromeda (1860).</w:t></w:r>
</w:p>
<w:p>
<w:pPr><w:pStyle w:val="Normal"/></w:pPr>
<w:r><w:t xml:space="preserve">The Greeks personified the constellation Andromeda as a</w:t></w:r>
</w:p>
<w:p>
<w:pPr><w:pStyle w:val="Normal"/></w:pPr>
<w:r><w:t xml:space="preserve">woman with her arms extended and chained.  Its Latin names</w:t></w:r>
</w:p>
<w:p>
<w:pPr><w:pStyle w:val="Normal"/></w:pPr>
<w:r><w:t xml:space="preserve">are Persea, Mulier catenata (``chained woman&apos;&apos;), Virgo</w:t></w:r>
</w:p>
<w:p>
<w:pPr><w:pStyle w:val="Normal"/></w:pPr>
<w:r><w:t xml:space="preserve">devota, &amp;c.; the Arabians replaced the woman by a seal;</w:t></w:r>
</w:p>
<w:p>
<w:pPr><w:pStyle w:val="Normal"/></w:pPr>
<w:r><w:t xml:space="preserve">Wilhelm Schickard (1592-1635) named the constellation</w:t></w:r>
</w:p>
<w:p>
<w:pPr><w:pStyle w:val="Normal"/></w:pPr>
<w:r><w:t xml:space="preserve">``Abigail&apos;&apos;; Julius Schiller assigned to it the figure of a</w:t></w:r>
</w:p>
<w:p>
<w:pPr><w:pStyle w:val="Normal"/></w:pPr>
<w:r><w:t xml:space="preserve">sepulchre, naming it the ``Holy Sepulchre.&apos;&apos; In 1786 Johann</w:t></w:r>
</w:p>
<w:p>
<w:pPr><w:pStyle w:val="Normal"/></w:pPr>
<w:r><w:t xml:space="preserve">Elert Bode formed a new constellation, named the ``Honours</w:t></w:r>
</w:p>
<w:p>
<w:pPr><w:pStyle w:val="Normal"/></w:pPr>
<w:r><w:t xml:space="preserve">of Frederick,&apos;&apos; after his patron Frederick II., out of</w:t></w:r>
</w:p>
<w:p>
<w:pPr><w:pStyle w:val="Normal"/></w:pPr>
<w:r><w:t xml:space="preserve">certain stars situated in the arm of Ptolemy&apos;s Andromeda;</w:t></w:r>
</w:p>
<w:p>
<w:pPr><w:pStyle w:val="Normal"/></w:pPr>
<w:r><w:t xml:space="preserve">this innovation found little favour and is now discarded.</w:t></w:r>
</w:p>
<w:p>
<w:pPr><w:pStyle w:val="Normal"/></w:pPr>
<w:r><w:t xml:space="preserve">Twenty-three stars are catalogued by Ptolemy and Tycho</w:t></w:r>
</w:p>
<w:p>
<w:pPr><w:pStyle w:val="Normal"/></w:pPr>
<w:r><w:t xml:space="preserve">Brahe; Hevelius increased this number to forty seven, while</w:t></w:r>
</w:p>
<w:p>
<w:pPr><w:pStyle w:val="Normal"/></w:pPr>
<w:r><w:t xml:space="preserve">Flamsteed gave sixty-six.  The most brilliant stars are a</w:t></w:r>
</w:p>
<w:p>
<w:pPr><w:pStyle w:val="Normal"/></w:pPr>
<w:r><w:t xml:space="preserve">Andromedae or ``Andromeda&apos;s head,&apos;&apos; and b Andromedae</w:t></w:r>
</w:p>
<w:p>
<w:pPr><w:pStyle w:val="Normal"/></w:pPr>
<w:r><w:t xml:space="preserve">in the girdle (Arabic mirach or mizar), both of the</w:t></w:r>
</w:p>
<w:p>
<w:pPr><w:pStyle w:val="Normal"/></w:pPr>
<w:r><w:t xml:space="preserve">second magnitude; g Andromedae in the foot (alamak</w:t></w:r>
</w:p>
<w:p>
<w:pPr><w:pStyle w:val="Normal"/></w:pPr>
<w:r><w:t xml:space="preserve">or alhames), of the third magnitude.  Scientific interest</w:t></w:r>
</w:p>
<w:p>
<w:pPr><w:pStyle w:val="Normal"/></w:pPr>
<w:r><w:t xml:space="preserve">centres mainly on the following:--the nebula in Andromeda,</w:t></w:r>
</w:p>
<w:p>
<w:pPr><w:pStyle w:val="Normal"/></w:pPr>
<w:r><w:t xml:space="preserve">one of the finest in the sky (see NEBULA); g Andromedae,</w:t></w:r>
</w:p>
<w:p>
<w:pPr><w:pStyle w:val="Normal"/></w:pPr>
<w:r><w:t xml:space="preserve">the finest binary in the heavens, made up of a yellow star</w:t></w:r>
</w:p>
<w:p>
<w:pPr><w:pStyle w:val="Normal"/></w:pPr>
<w:r><w:t xml:space="preserve">of magnitude 2 1/2, and a blue-green of magnitude 5 1/2, the</w:t></w:r>
</w:p>
<w:p>
<w:pPr><w:pStyle w:val="Normal"/></w:pPr>
<w:r><w:t xml:space="preserve">latter being itself binary; Nova Andromedae, a ``new&apos;&apos;</w:t></w:r>
</w:p>
<w:p>
<w:pPr><w:pStyle w:val="Normal"/></w:pPr>
<w:r><w:t xml:space="preserve">star, discovered in the nebula by C. E. A. Hartwig in</w:t></w:r>
</w:p>
<w:p>
<w:pPr><w:pStyle w:val="Normal"/></w:pPr>
<w:r><w:t xml:space="preserve">1885, and subsequently spectroscopically examined by many</w:t></w:r>
</w:p>
<w:p>
<w:pPr><w:pStyle w:val="Normal"/></w:pPr>
<w:r><w:t xml:space="preserve">observers; R Andromedae, a regularly variable star; and the</w:t></w:r>
</w:p>
<w:p>
<w:pPr><w:pStyle w:val="Normal"/></w:pPr>
<w:r><w:t xml:space="preserve">Andromedids, a meteoric swarm, associated with Biela&apos;s comet,</w:t></w:r>
</w:p>
<w:p>
<w:pPr><w:pStyle w:val="Normal"/></w:pPr>
<w:r><w:t xml:space="preserve">and having their radiant in this constellation (see METEOR.)</w:t></w:r>
</w:p>
<w:p>
<w:pPr><w:pStyle w:val="Normal"/></w:pPr>
<w:r><w:t xml:space="preserve">ANDRON (Gr. andron), that part of a Greek house</w:t></w:r>
</w:p>
<w:p>
<w:pPr><w:pStyle w:val="Normal"/></w:pPr>
<w:r><w:t xml:space="preserve">which was reserved for men, as distinguished from</w:t></w:r>
</w:p>
<w:p>
<w:pPr><w:pStyle w:val="Normal"/></w:pPr>
<w:r><w:t xml:space="preserve">the gynaeceum (gunaikeion), the women&apos;s quarters.</w:t></w:r>
</w:p>
<w:p>
<w:pPr><w:pStyle w:val="Normal"/></w:pPr>
<w:r><w:t xml:space="preserve">ANDRONICUS I. (COMNENUS), emperor of the East, son of</w:t></w:r>
</w:p>
<w:p>
<w:pPr><w:pStyle w:val="Normal"/></w:pPr>
<w:r><w:t xml:space="preserve">Isaac, and grandson of Alexius I. Comnenus, was born about</w:t></w:r>
</w:p>
<w:p>
<w:pPr><w:pStyle w:val="Normal"/></w:pPr>
<w:r><w:t xml:space="preserve">the beginning of the 12th century.  He was endowed by nature</w:t></w:r>
</w:p>
<w:p>
<w:pPr><w:pStyle w:val="Normal"/></w:pPr>
<w:r><w:t xml:space="preserve">with the most remarkable gifts both of mind and body.  He</w:t></w:r>
</w:p>
<w:p>
<w:pPr><w:pStyle w:val="Normal"/></w:pPr>
<w:r><w:t xml:space="preserve">was handsome and eloquent, but licentious; and at the same</w:t></w:r>
</w:p>
<w:p>
<w:pPr><w:pStyle w:val="Normal"/></w:pPr>
<w:r><w:t xml:space="preserve">time active, hardy, courageous, a great general and an able</w:t></w:r>
</w:p>
<w:p>
<w:pPr><w:pStyle w:val="Normal"/></w:pPr>
<w:r><w:t xml:space="preserve">politician.  His early years were spen in alternate pleasure</w:t></w:r>
</w:p>
<w:p>
<w:pPr><w:pStyle w:val="Normal"/></w:pPr>
<w:r><w:t xml:space="preserve">and military service.  In 1141 he was taken captive by the</w:t></w:r>
</w:p>
<w:p>
<w:pPr><w:pStyle w:val="Normal"/></w:pPr>
<w:r><w:t xml:space="preserve">Turks (Seljuks) and remained in their hands for a year.  On</w:t></w:r>
</w:p>
<w:p>
<w:pPr><w:pStyle w:val="Normal"/></w:pPr>
<w:r><w:t xml:space="preserve">being ransomed he went to Constantinople, where was held the</w:t></w:r>
</w:p>
<w:p>
<w:pPr><w:pStyle w:val="Normal"/></w:pPr>
<w:r><w:t xml:space="preserve">court of his cousin, the emperor Manuel, with whom he was a</w:t></w:r>
</w:p>
<w:p>
<w:pPr><w:pStyle w:val="Normal"/></w:pPr>
<w:r><w:t xml:space="preserve">great favourite.  Here the charms of his niece, the princess</w:t></w:r>
</w:p>
<w:p>
<w:pPr><w:pStyle w:val="Normal"/></w:pPr>
<w:r><w:t xml:space="preserve">Eudoxia, attracted him.  She became his mistress, while her</w:t></w:r>
</w:p>
<w:p>
<w:pPr><w:pStyle w:val="Normal"/></w:pPr>
<w:r><w:t xml:space="preserve">sister Theodora stood in a similar relation to the emperor</w:t></w:r>
</w:p>
<w:p>
<w:pPr><w:pStyle w:val="Normal"/></w:pPr>
<w:r><w:t xml:space="preserve">Manuel.  In 1152, accompanied by Eudoxia, he set out for</w:t></w:r>
</w:p>
<w:p>
<w:pPr><w:pStyle w:val="Normal"/></w:pPr>
<w:r><w:t xml:space="preserve">an important command in Cilicia.  Failing in his principal</w:t></w:r>
</w:p>
<w:p>
<w:pPr><w:pStyle w:val="Normal"/></w:pPr>
<w:r><w:t xml:space="preserve">enterprise, an attack upon Mopsuestia, he returned, but was</w:t></w:r>
</w:p>
<w:p>
<w:pPr><w:pStyle w:val="Normal"/></w:pPr>
<w:r><w:t xml:space="preserve">again appointed to the command of a province.  This second</w:t></w:r>
</w:p>
<w:p>
<w:pPr><w:pStyle w:val="Normal"/></w:pPr>
<w:r><w:t xml:space="preserve">post he seems also to have left after a short interval, for he</w:t></w:r>
</w:p>
<w:p>
<w:pPr><w:pStyle w:val="Normal"/></w:pPr>
<w:r><w:t xml:space="preserve">appeared again in Constantinople, and narrowly escaped death</w:t></w:r>
</w:p>
<w:p>
<w:pPr><w:pStyle w:val="Normal"/></w:pPr>
<w:r><w:t xml:space="preserve">at the hands of the brothers of Eudoxia.  About this time</w:t></w:r>
</w:p>
<w:p>
<w:pPr><w:pStyle w:val="Normal"/></w:pPr>
<w:r><w:t xml:space="preserve">(1153) a conspiracy against the emperor, in which Andronicus</w:t></w:r>
</w:p>
<w:p>
<w:pPr><w:pStyle w:val="Normal"/></w:pPr>
<w:r><w:t xml:space="preserve">participated, was discovered and he was thrown into prison.</w:t></w:r>
</w:p>
<w:p>
<w:pPr><w:pStyle w:val="Normal"/></w:pPr>
<w:r><w:t xml:space="preserve">There he remained for about twelve years, during which time</w:t></w:r>
</w:p>
<w:p>
<w:pPr><w:pStyle w:val="Normal"/></w:pPr>
<w:r><w:t xml:space="preserve">he made repeated but unsuccessful attempts to escape.  At</w:t></w:r>
</w:p>
<w:p>
<w:pPr><w:pStyle w:val="Normal"/></w:pPr>
<w:r><w:t xml:space="preserve">last, in 1165, he was successful; and, after passing through</w:t></w:r>
</w:p>
<w:p>
<w:pPr><w:pStyle w:val="Normal"/></w:pPr>
<w:r><w:t xml:space="preserve">many dangers, reached the court of Yaroslav, grand prince of</w:t></w:r>
</w:p>
<w:p>
<w:pPr><w:pStyle w:val="Normal"/></w:pPr>
<w:r><w:t xml:space="preserve">Russia, at Kiev.  While under the protection of the grand</w:t></w:r>
</w:p>
<w:p>
<w:pPr><w:pStyle w:val="Normal"/></w:pPr>
<w:r><w:t xml:space="preserve">prince, Andronicus brought about an alliance between him and</w:t></w:r>
</w:p>
<w:p>
<w:pPr><w:pStyle w:val="Normal"/></w:pPr>
<w:r><w:t xml:space="preserve">the emperor Manuel, and so restored himself to the emperor&apos;s</w:t></w:r>
</w:p>
<w:p>
<w:pPr><w:pStyle w:val="Normal"/></w:pPr>
<w:r><w:t xml:space="preserve">favour.  With a Russian army he joined Manuel in the invasion of</w:t></w:r>
</w:p>
<w:p>
<w:pPr><w:pStyle w:val="Normal"/></w:pPr>
<w:r><w:t xml:space="preserve">Hungary and assisted at the siege of Semlin.  After a successful</w:t></w:r>
</w:p>
<w:p>
<w:pPr><w:pStyle w:val="Normal"/></w:pPr>
<w:r><w:t xml:space="preserve">campaign they returned together to Constantinople (1168); but</w:t></w:r>
</w:p>
<w:p>
<w:pPr><w:pStyle w:val="Normal"/></w:pPr>
<w:r><w:t xml:space="preserve">a year after, Andronicus refused to take the oath of allegiance</w:t></w:r>
</w:p>
<w:p>
<w:pPr><w:pStyle w:val="Normal"/></w:pPr>
<w:r><w:t xml:space="preserve">to the prince of Hungary, whom Manuel desired to become his</w:t></w:r>
</w:p>
<w:p>
<w:pPr><w:pStyle w:val="Normal"/></w:pPr>
<w:r><w:t xml:space="preserve">successor.  He was removed from court, but received the</w:t></w:r>
</w:p>
<w:p>
<w:pPr><w:pStyle w:val="Normal"/></w:pPr>
<w:r><w:t xml:space="preserve">province of Cilicia.  Being still under the displeasure of the</w:t></w:r>
</w:p>
<w:p>
<w:pPr><w:pStyle w:val="Normal"/></w:pPr>
<w:r><w:t xml:space="preserve">emperor, Andronicus fled to the court of Raymund, prince of</w:t></w:r>
</w:p>
<w:p>
<w:pPr><w:pStyle w:val="Normal"/></w:pPr>
<w:r><w:t xml:space="preserve">Antioch.  While residing here he captivated and seduced the</w:t></w:r>
</w:p>
<w:p>
<w:pPr><w:pStyle w:val="Normal"/></w:pPr>
<w:r><w:t xml:space="preserve">beautiful daughter of the prince, Philippa, sister of the empress</w:t></w:r>
</w:p>
<w:p>
<w:pPr><w:pStyle w:val="Normal"/></w:pPr>
<w:r><w:t xml:space="preserve">Maria.  The anger of the emperor was again roused by this</w:t></w:r>
</w:p>
<w:p>
<w:pPr><w:pStyle w:val="Normal"/></w:pPr>
<w:r><w:t xml:space="preserve">dishonour, and Andronicus was compelled to fly.  He took refuge</w:t></w:r>
</w:p>
<w:p>
<w:pPr><w:pStyle w:val="Normal"/></w:pPr>
<w:r><w:t xml:space="preserve">with Amalric, king of Jerusalem, whose favour he gained, and</w:t></w:r>
</w:p>
<w:p>
<w:pPr><w:pStyle w:val="Normal"/></w:pPr>
<w:r><w:t xml:space="preserve">who invested him with the town of Berytus, now Beirut.  In</w:t></w:r>
</w:p>
<w:p>
<w:pPr><w:pStyle w:val="Normal"/></w:pPr>
<w:r><w:t xml:space="preserve">Jerusalem he saw Theodora, the beautiful widow of the late king</w:t></w:r>
</w:p>
<w:p>
<w:pPr><w:pStyle w:val="Normal"/></w:pPr>
<w:r><w:t xml:space="preserve">Baldwin and niece of the emperor Manuel.  Although Andronicus</w:t></w:r>
</w:p>
<w:p>
<w:pPr><w:pStyle w:val="Normal"/></w:pPr>
<w:r><w:t xml:space="preserve">was at that time fifty-six years old, age had not diminished</w:t></w:r>
</w:p>
<w:p>
<w:pPr><w:pStyle w:val="Normal"/></w:pPr>
<w:r><w:t xml:space="preserve">his charms, and Theodora became the next victim of his artful</w:t></w:r>
</w:p>
<w:p>
<w:pPr><w:pStyle w:val="Normal"/></w:pPr>
<w:r><w:t xml:space="preserve">seduction.  To avoid the vengeance of the emperor, she fled</w:t></w:r>
</w:p>
<w:p>
<w:pPr><w:pStyle w:val="Normal"/></w:pPr>
<w:r><w:t xml:space="preserve">with him to the court of the sultan of Damascus; but not deeming</w:t></w:r>
</w:p>
<w:p>
<w:pPr><w:pStyle w:val="Normal"/></w:pPr>
<w:r><w:t xml:space="preserve">themselves safe there, they continued their perilous journey</w:t></w:r>
</w:p>
<w:p>
<w:pPr><w:pStyle w:val="Normal"/></w:pPr>
<w:r><w:t xml:space="preserve">through Persia and Turkestan, round the Caspian Sea and across</w:t></w:r>
</w:p>
<w:p>
<w:pPr><w:pStyle w:val="Normal"/></w:pPr>
<w:r><w:t xml:space="preserve">Mount Caucasus, until at length they settled among the Turks</w:t></w:r>
</w:p>
<w:p>
<w:pPr><w:pStyle w:val="Normal"/></w:pPr>
<w:r><w:t xml:space="preserve">on the borders of Trebizond.  Into that province Andronicus,</w:t></w:r>
</w:p>
<w:p>
<w:pPr><w:pStyle w:val="Normal"/></w:pPr>
<w:r><w:t xml:space="preserve">with a body of adventurers, made frequent and successful</w:t></w:r>
</w:p>
<w:p>
<w:pPr><w:pStyle w:val="Normal"/></w:pPr>
<w:r><w:t xml:space="preserve">incursions.  While he was absent upon one of them, his castle</w:t></w:r>
</w:p>
<w:p>
<w:pPr><w:pStyle w:val="Normal"/></w:pPr>
<w:r><w:t xml:space="preserve">was surprised by the governor of Trebizond, and Theodora with</w:t></w:r>
</w:p>
<w:p>
<w:pPr><w:pStyle w:val="Normal"/></w:pPr>
<w:r><w:t xml:space="preserve">her two children were captured and sent to Constantinople.</w:t></w:r>
</w:p>
<w:p>
<w:pPr><w:pStyle w:val="Normal"/></w:pPr>
<w:r><w:t xml:space="preserve">To obtain their release Andronicus made abject submission to</w:t></w:r>
</w:p>
<w:p>
<w:pPr><w:pStyle w:val="Normal"/></w:pPr>
<w:r><w:t xml:space="preserve">the emperor; and, appearing in chains before him, implored</w:t></w:r>
</w:p>
<w:p>
<w:pPr><w:pStyle w:val="Normal"/></w:pPr>
<w:r><w:t xml:space="preserve">pardon.  This he obtained, and was allowed to retire with</w:t></w:r>
</w:p>
<w:p>
<w:pPr><w:pStyle w:val="Normal"/></w:pPr>
<w:r><w:t xml:space="preserve">Theodora into banishment in the little town of Oenoe, on</w:t></w:r>
</w:p>
<w:p>
<w:pPr><w:pStyle w:val="Normal"/></w:pPr>
<w:r><w:t xml:space="preserve">the shores of the Black Sea. In 1180 the emperor Manuel</w:t></w:r>
</w:p>
<w:p>
<w:pPr><w:pStyle w:val="Normal"/></w:pPr>
<w:r><w:t xml:space="preserve">died, and was succeeded by his son Alexius II., who was under</w:t></w:r>
</w:p>
<w:p>
<w:pPr><w:pStyle w:val="Normal"/></w:pPr>
<w:r><w:t xml:space="preserve">the guardianship of the empress Maria.  Her conduct excited</w:t></w:r>
</w:p>
<w:p>
<w:pPr><w:pStyle w:val="Normal"/></w:pPr>
<w:r><w:t xml:space="preserve">popular indignation; and the consequent disorders, amounting</w:t></w:r>
</w:p>
<w:p>
<w:pPr><w:pStyle w:val="Normal"/></w:pPr>
<w:r><w:t xml:space="preserve">almost to civil war, gave an opportunity to the ambition of</w:t></w:r>
</w:p>
<w:p>
<w:pPr><w:pStyle w:val="Normal"/></w:pPr>
<w:r><w:t xml:space="preserve">Andronicus.  He left his retirement, secured the support of</w:t></w:r>
</w:p>
<w:p>
<w:pPr><w:pStyle w:val="Normal"/></w:pPr>
<w:r><w:t xml:space="preserve">the army and marched upon Constantinople, where his advent</w:t></w:r>
</w:p>
<w:p>
<w:pPr><w:pStyle w:val="Normal"/></w:pPr>
<w:r><w:t xml:space="preserve">was stained by a cruel massacre of the Latin inhabitants.</w:t></w:r>
</w:p>
<w:p>
<w:pPr><w:pStyle w:val="Normal"/></w:pPr>
<w:r><w:t xml:space="preserve">Alexius was compelled to acknowledge him as colleague in the</w:t></w:r>
</w:p>
<w:p>
<w:pPr><w:pStyle w:val="Normal"/></w:pPr>
<w:r><w:t xml:space="preserve">empire, but was soon put to death.  Andronicus, now (1183)</w:t></w:r>
</w:p>
<w:p>
<w:pPr><w:pStyle w:val="Normal"/></w:pPr>
<w:r><w:t xml:space="preserve">sole emperor, married Agnes, widow of Alexius II., a child</w:t></w:r>
</w:p>
<w:p>
<w:pPr><w:pStyle w:val="Normal"/></w:pPr>
<w:r><w:t xml:space="preserve">eleven years of age.  His short reign was characterized</w:t></w:r>
</w:p>
<w:p>
<w:pPr><w:pStyle w:val="Normal"/></w:pPr>
<w:r><w:t xml:space="preserve">by strong and wise measures.  He resolved to suppress many</w:t></w:r>
</w:p>
<w:p>
<w:pPr><w:pStyle w:val="Normal"/></w:pPr>
<w:r><w:t xml:space="preserve">abuses, but, above all things, to check feudalism and limit</w:t></w:r>
</w:p>
<w:p>
<w:pPr><w:pStyle w:val="Normal"/></w:pPr>
<w:r><w:t xml:space="preserve">the power of the nobles.  The people, who felt the severity</w:t></w:r>
</w:p>
<w:p>
<w:pPr><w:pStyle w:val="Normal"/></w:pPr>
<w:r><w:t xml:space="preserve">of his laws, at the same time acknowledged their justice,</w:t></w:r>
</w:p>
<w:p>
<w:pPr><w:pStyle w:val="Normal"/></w:pPr>
<w:r><w:t xml:space="preserve">and found themselves protected from the rapacity of their</w:t></w:r>
</w:p>
<w:p>
<w:pPr><w:pStyle w:val="Normal"/></w:pPr>
<w:r><w:t xml:space="preserve">superiors.  The aristocrats, however, were infuriated against</w:t></w:r>
</w:p>
<w:p>
<w:pPr><w:pStyle w:val="Normal"/></w:pPr>
<w:r><w:t xml:space="preserve">him, and summoned to their aid William of Sicily.  This</w:t></w:r>
</w:p>
<w:p>
<w:pPr><w:pStyle w:val="Normal"/></w:pPr>
<w:r><w:t xml:space="preserve">prince landed in Epirus with a strong force, and marched</w:t></w:r>
</w:p>
<w:p>
<w:pPr><w:pStyle w:val="Normal"/></w:pPr>
<w:r><w:t xml:space="preserve">as far as Thessalonica, which he took and destroyed; but he</w:t></w:r>
</w:p>
<w:p>
<w:pPr><w:pStyle w:val="Normal"/></w:pPr>
<w:r><w:t xml:space="preserve">was shortly afterwards defeated, and compelled to return to</w:t></w:r>
</w:p>
<w:p>
<w:pPr><w:pStyle w:val="Normal"/></w:pPr>
<w:r><w:t xml:space="preserve">Sicily.  Andronicus seems then to have resolved to exterminate</w:t></w:r>
</w:p>
<w:p>
<w:pPr><w:pStyle w:val="Normal"/></w:pPr>
<w:r><w:t xml:space="preserve">the aristocracy, and his plans were nearly crowned with</w:t></w:r>
</w:p>
<w:p>
<w:pPr><w:pStyle w:val="Normal"/></w:pPr>
<w:r><w:t xml:space="preserve">success.  But in 1185, during his absence from the capital,</w:t></w:r>
</w:p>
<w:p>
<w:pPr><w:pStyle w:val="Normal"/></w:pPr>
<w:r><w:t xml:space="preserve">his lieutenant ordered the arrest and execution of Isaac</w:t></w:r>
</w:p>
<w:p>
<w:pPr><w:pStyle w:val="Normal"/></w:pPr>
<w:r><w:t xml:space="preserve">Angelus, a descendant of the first Alexius.  Isaac escaped and</w:t></w:r>
</w:p>
<w:p>
<w:pPr><w:pStyle w:val="Normal"/></w:pPr>
<w:r><w:t xml:space="preserve">took refuge in the church of St Sophia.  He appealed to the</w:t></w:r>
</w:p>
<w:p>
<w:pPr><w:pStyle w:val="Normal"/></w:pPr>
<w:r><w:t xml:space="preserve">populace, and a tumult arose which spread rapidly over the whole</w:t></w:r>
</w:p>
<w:p>
<w:pPr><w:pStyle w:val="Normal"/></w:pPr>
<w:r><w:t xml:space="preserve">city.  When Andronicus arrived he found that his power was</w:t></w:r>
</w:p>
<w:p>
<w:pPr><w:pStyle w:val="Normal"/></w:pPr>
<w:r><w:t xml:space="preserve">overthrown, and that Isaac had been proclaimed emperor.  Isaac</w:t></w:r>
</w:p>
<w:p>
<w:pPr><w:pStyle w:val="Normal"/></w:pPr>
<w:r><w:t xml:space="preserve">delivered him over to his enemies, and for three days he was</w:t></w:r>
</w:p>
<w:p>
<w:pPr><w:pStyle w:val="Normal"/></w:pPr>
<w:r><w:t xml:space="preserve">exposed to their fury and resentment.  At last they hung him</w:t></w:r>
</w:p>
<w:p>
<w:pPr><w:pStyle w:val="Normal"/></w:pPr>
<w:r><w:t xml:space="preserve">up by the feet between two pillars.  His dying agonies were</w:t></w:r>
</w:p>
<w:p>
<w:pPr><w:pStyle w:val="Normal"/></w:pPr>
<w:r><w:t xml:space="preserve">shortened by an Italian soldier, who mercifully plunged a</w:t></w:r>
</w:p>
<w:p>
<w:pPr><w:pStyle w:val="Normal"/></w:pPr>
<w:r><w:t xml:space="preserve">sword into his body.  He died on the 12th of September 1185.</w:t></w:r>
</w:p>
<w:p>
<w:pPr><w:pStyle w:val="Normal"/></w:pPr>
<w:r><w:t xml:space="preserve">ANDRONICUS II. (PALAEOLOGUS) (1260-1332), eastern Roman</w:t></w:r>
</w:p>
<w:p>
<w:pPr><w:pStyle w:val="Normal"/></w:pPr>
<w:r><w:t xml:space="preserve">emperor, was the elder son of Michael Palaeologus, whom he</w:t></w:r>
</w:p>
<w:p>
<w:pPr><w:pStyle w:val="Normal"/></w:pPr>
<w:r><w:t xml:space="preserve">succeeded in 1282.  He allowed the fleet, which his father</w:t></w:r>
</w:p>
<w:p>
<w:pPr><w:pStyle w:val="Normal"/></w:pPr>
<w:r><w:t xml:space="preserve">had organized, to fall into decay; and the empire was thus</w:t></w:r>
</w:p>
<w:p>
<w:pPr><w:pStyle w:val="Normal"/></w:pPr>
<w:r><w:t xml:space="preserve">less able than ever to resist the exacting demands of the</w:t></w:r>
</w:p>
<w:p>
<w:pPr><w:pStyle w:val="Normal"/></w:pPr>
<w:r><w:t xml:space="preserve">rival powers of Venice and Genoa.  During his reign the Turks</w:t></w:r>
</w:p>
<w:p>
<w:pPr><w:pStyle w:val="Normal"/></w:pPr>
<w:r><w:t xml:space="preserve">under Osman conquered nearly the whole of Bithynia; and to</w:t></w:r>
</w:p>
<w:p>
<w:pPr><w:pStyle w:val="Normal"/></w:pPr>
<w:r><w:t xml:space="preserve">resist them the emperor called in the aid of Roger di Flor,</w:t></w:r>
</w:p>
<w:p>
<w:pPr><w:pStyle w:val="Normal"/></w:pPr>
<w:r><w:t xml:space="preserve">who commanded a body of Spanish adventurers.  The Turks were</w:t></w:r>
</w:p>
<w:p>
<w:pPr><w:pStyle w:val="Normal"/></w:pPr>
<w:r><w:t xml:space="preserve">defeated, but Roger was found to be nearly as formidable</w:t></w:r>
</w:p>
<w:p>
<w:pPr><w:pStyle w:val="Normal"/></w:pPr>
<w:r><w:t xml:space="preserve">an enemy to the imperial power.  He was assassinated by</w:t></w:r>
</w:p>
<w:p>
<w:pPr><w:pStyle w:val="Normal"/></w:pPr>
<w:r><w:t xml:space="preserve">Andronicus&apos;s son and colleague, the emperor Michael IX., in</w:t></w:r>
</w:p>
<w:p>
<w:pPr><w:pStyle w:val="Normal"/></w:pPr>
<w:r><w:t xml:space="preserve">1305.  His adventurers (known as the Catalan Grand Company)</w:t></w:r>
</w:p>
<w:p>
<w:pPr><w:pStyle w:val="Normal"/></w:pPr>
<w:r><w:t xml:space="preserve">declared war upon Andronicus, and, after devastating Thrace and</w:t></w:r>
</w:p>
<w:p>
<w:pPr><w:pStyle w:val="Normal"/></w:pPr>
<w:r><w:t xml:space="preserve">Macedonia, conquered the duchy of Athens and Thebes.  From</w:t></w:r>
</w:p>
<w:p>
<w:pPr><w:pStyle w:val="Normal"/></w:pPr>
<w:r><w:t xml:space="preserve">1320 onwards the emperor was engaged in war with his grandson</w:t></w:r>
</w:p>
<w:p>
<w:pPr><w:pStyle w:val="Normal"/></w:pPr>
<w:r><w:t xml:space="preserve">Andronicus (see below).  He abdicated in 1328 and died in 1332.</w:t></w:r>
</w:p>
<w:p>
<w:pPr><w:pStyle w:val="Normal"/></w:pPr>
<w:r><w:t xml:space="preserve">ANDRONICUS III. (c. 1296-1341), eastern Roman emperor,</w:t></w:r>
</w:p>
<w:p>
<w:pPr><w:pStyle w:val="Normal"/></w:pPr>
<w:r><w:t xml:space="preserve">was the son of Michael, son of Andronicus II. His conduct</w:t></w:r>
</w:p>
<w:p>
<w:pPr><w:pStyle w:val="Normal"/></w:pPr>
<w:r><w:t xml:space="preserve">during youth was so violent that, after the death of his</w:t></w:r>
</w:p>
<w:p>
<w:pPr><w:pStyle w:val="Normal"/></w:pPr>
<w:r><w:t xml:space="preserve">father Michael in 1320, his grandfather resolved to deprive</w:t></w:r>
</w:p>
<w:p>
<w:pPr><w:pStyle w:val="Normal"/></w:pPr>
<w:r><w:t xml:space="preserve">him of his right to the crown.  Andronicus rebelled; he had a</w:t></w:r>
</w:p>
<w:p>
<w:pPr><w:pStyle w:val="Normal"/></w:pPr>
<w:r><w:t xml:space="preserve">powerful party, and the first period of civil war ended in his</w:t></w:r>
</w:p>
<w:p>
<w:pPr><w:pStyle w:val="Normal"/></w:pPr>
<w:r><w:t xml:space="preserve">being crowned and accepted as colleague by his grandfather,</w:t></w:r>
</w:p>
<w:p>
<w:pPr><w:pStyle w:val="Normal"/></w:pPr>
<w:r><w:t xml:space="preserve">1325.  The quarrel broke out again and, notwithstanding</w:t></w:r>
</w:p>
<w:p>
<w:pPr><w:pStyle w:val="Normal"/></w:pPr>
<w:r><w:t xml:space="preserve">the help of the Bulgarians, the older emperor was compelled</w:t></w:r>
</w:p>
<w:p>
<w:pPr><w:pStyle w:val="Normal"/></w:pPr>
<w:r><w:t xml:space="preserve">to abdicate, 1328.  During his reign Andronicus III. was</w:t></w:r>
</w:p>
<w:p>
<w:pPr><w:pStyle w:val="Normal"/></w:pPr>
<w:r><w:t xml:space="preserve">engaged in constant war, chiefly with the Turks, who greatly</w:t></w:r>
</w:p>
<w:p>
<w:pPr><w:pStyle w:val="Normal"/></w:pPr>
<w:r><w:t xml:space="preserve">extended their conquests.  He annexed large regions in</w:t></w:r>
</w:p>
<w:p>
<w:pPr><w:pStyle w:val="Normal"/></w:pPr>
<w:r><w:t xml:space="preserve">Thessaly and Epirus, but they were lost before his death</w:t></w:r>
</w:p>
<w:p>
<w:pPr><w:pStyle w:val="Normal"/></w:pPr>
<w:r><w:t xml:space="preserve">to the rising power of Servia under Stephen Dusan.  He did</w:t></w:r>
</w:p>
<w:p>
<w:pPr><w:pStyle w:val="Normal"/></w:pPr>
<w:r><w:t xml:space="preserve">something for the reorganization of the navy, and re-covered</w:t></w:r>
</w:p>
<w:p>
<w:pPr><w:pStyle w:val="Normal"/></w:pPr>
<w:r><w:t xml:space="preserve">Lesbos and Chios from the Genoese.  He died in 1341.</w:t></w:r>
</w:p>
<w:p>
<w:pPr><w:pStyle w:val="Normal"/></w:pPr>
<w:r><w:t xml:space="preserve">ANDRONICUS OF CYRRHUS, Greek astronomer, flourished about</w:t></w:r>
</w:p>
<w:p>
<w:pPr><w:pStyle w:val="Normal"/></w:pPr>
<w:r><w:t xml:space="preserve">100 B.C. He built a horologium at Athens, the so-called</w:t></w:r>
</w:p>
<w:p>
<w:pPr><w:pStyle w:val="Normal"/></w:pPr>
<w:r><w:t xml:space="preserve">``tower of the winds,&apos;&apos; a considerable portion of which still</w:t></w:r>
</w:p>
<w:p>
<w:pPr><w:pStyle w:val="Normal"/></w:pPr>
<w:r><w:t xml:space="preserve">exists.  It is octagonal, with figures carved on each side,</w:t></w:r>
</w:p>
<w:p>
<w:pPr><w:pStyle w:val="Normal"/></w:pPr>
<w:r><w:t xml:space="preserve">representing the eight principal winds.  A brazen Triton on</w:t></w:r>
</w:p>
<w:p>
<w:pPr><w:pStyle w:val="Normal"/></w:pPr>
<w:r><w:t xml:space="preserve">the summit, with a rod in his hand, turned round by the wind,</w:t></w:r>
</w:p>
<w:p>
<w:pPr><w:pStyle w:val="Normal"/></w:pPr>
<w:r><w:t xml:space="preserve">pointed to the quarter from which it blew.  From this model</w:t></w:r>
</w:p>
<w:p>
<w:pPr><w:pStyle w:val="Normal"/></w:pPr>
<w:r><w:t xml:space="preserve">is derived the custom of placing weathercocks on steeples.</w:t></w:r>
</w:p>
<w:p>
<w:pPr><w:pStyle w:val="Normal"/></w:pPr>
<w:r><w:t xml:space="preserve">ANDRONICUS OF RHODES (c. 70 B.C.), the eleventh scholarch</w:t></w:r>
</w:p>
<w:p>
<w:pPr><w:pStyle w:val="Normal"/></w:pPr>
<w:r><w:t xml:space="preserve">of the Peripatetics.  His chief work was the arrangement of</w:t></w:r>
</w:p>
<w:p>
<w:pPr><w:pStyle w:val="Normal"/></w:pPr>
<w:r><w:t xml:space="preserve">the writings of Aristotle and Theophrastus with materials</w:t></w:r>
</w:p>
<w:p>
<w:pPr><w:pStyle w:val="Normal"/></w:pPr>
<w:r><w:t xml:space="preserve">supplied to him by Tyrannion.  Besides arranging the works,</w:t></w:r>
</w:p>
<w:p>
<w:pPr><w:pStyle w:val="Normal"/></w:pPr>
<w:r><w:t xml:space="preserve">he seems to have written paraphrases and commentaries, none</w:t></w:r>
</w:p>
<w:p>
<w:pPr><w:pStyle w:val="Normal"/></w:pPr>
<w:r><w:t xml:space="preserve">of which is extant.  Two treatises are sometimes erroneously</w:t></w:r>
</w:p>
<w:p>
<w:pPr><w:pStyle w:val="Normal"/></w:pPr>
<w:r><w:t xml:space="preserve">attributed to him, one on the Emotions, the other a commentary</w:t></w:r>
</w:p>
<w:p>
<w:pPr><w:pStyle w:val="Normal"/></w:pPr>
<w:r><w:t xml:space="preserve">on Aristotle&apos;s Ethics (really by Constantine Palaeocappa</w:t></w:r>
</w:p>
<w:p>
<w:pPr><w:pStyle w:val="Normal"/></w:pPr>
<w:r><w:t xml:space="preserve">in the 16th century, or by John Callistus of Thessalonica).</w:t></w:r>
</w:p>
<w:p>
<w:pPr><w:pStyle w:val="Normal"/></w:pPr>
<w:r><w:t xml:space="preserve">ANDROPHAGI (Gr. for ``man-eaters&apos;&apos;), an ancient nation of</w:t></w:r>
</w:p>
<w:p>
<w:pPr><w:pStyle w:val="Normal"/></w:pPr>
<w:r><w:t xml:space="preserve">cannibals north of Scythia (Herodotus iv. 18, 106), probably</w:t></w:r>
</w:p>
<w:p>
<w:pPr><w:pStyle w:val="Normal"/></w:pPr>
<w:r><w:t xml:space="preserve">in the forests between the upper waters of the Dnieper</w:t></w:r>
</w:p>
<w:p>
<w:pPr><w:pStyle w:val="Normal"/></w:pPr>
<w:r><w:t xml:space="preserve">and Don. They were most likely Finns (Samoyed has the same</w:t></w:r>
</w:p>
<w:p>
<w:pPr><w:pStyle w:val="Normal"/></w:pPr>
<w:r><w:t xml:space="preserve">meaning) and perhaps the ancestors of the Mordvinians (q.v..)</w:t></w:r>
</w:p>
<w:p>
<w:pPr><w:pStyle w:val="Normal"/></w:pPr>
<w:r><w:t xml:space="preserve">END OF FIRST VOLUME.</w:t></w:r>
</w:p>
<w:p>
<w:pPr><w:pStyle w:val="Normal"/></w:pPr>
<w:r><w:t xml:space="preserve">*** END OF THE PROJECT GUTENBERG EBOOK THE PROJECT GUTENBERG ENCYCLOPEDIA, VOLUME 1 OF 28 ***</w:t></w:r>
</w:p>
<w:p>
<w:pPr><w:pStyle w:val="Normal"/></w:pPr>
<w:r><w:t xml:space="preserve">Updated editions will replace the previous one—the old editions will</w:t></w:r>
</w:p>
<w:p>
<w:pPr><w:pStyle w:val="Normal"/></w:pPr>
<w:r><w:t xml:space="preserve">be renamed.</w:t></w:r>
</w:p>
<w:p>
<w:pPr><w:pStyle w:val="Normal"/></w:pPr>
<w:r><w:t xml:space="preserve">Creating the works from print editions not protected by U.S. copyright</w:t></w:r>
</w:p>
<w:p>
<w:pPr><w:pStyle w:val="Normal"/></w:pPr>
<w:r><w:t xml:space="preserve">law means that no one owns a United States copyright in these works,</w:t></w:r>
</w:p>
<w:p>
<w:pPr><w:pStyle w:val="Normal"/></w:pPr>
<w:r><w:t xml:space="preserve">so the Foundation (and you!) can copy and distribute it in the United</w:t></w:r>
</w:p>
<w:p>
<w:pPr><w:pStyle w:val="Normal"/></w:pPr>
<w:r><w:t xml:space="preserve">States without permission and without paying copyright</w:t></w:r>
</w:p>
<w:p>
<w:pPr><w:pStyle w:val="Normal"/></w:pPr>
<w:r><w:t xml:space="preserve">royalties. Special rules, set forth in the General Terms of Use part</w:t></w:r>
</w:p>
<w:p>
<w:pPr><w:pStyle w:val="Normal"/></w:pPr>
<w:r><w:t xml:space="preserve">of this license, apply to copying and distributing Project</w:t></w:r>
</w:p>
<w:p>
<w:pPr><w:pStyle w:val="Normal"/></w:pPr>
<w:r><w:t xml:space="preserve">Gutenberg™ electronic works to protect the PROJECT GUTENBERG™</w:t></w:r>
</w:p>
<w:p>
<w:pPr><w:pStyle w:val="Normal"/></w:pPr>
<w:r><w:t xml:space="preserve">concept and trademark. Project Gutenberg is a registered trademark,</w:t></w:r>
</w:p>
<w:p>
<w:pPr><w:pStyle w:val="Normal"/></w:pPr>
<w:r><w:t xml:space="preserve">and may not be used if you charge for an eBook, except by following</w:t></w:r>
</w:p>
<w:p>
<w:pPr><w:pStyle w:val="Normal"/></w:pPr>
<w:r><w:t xml:space="preserve">the terms of the trademark license, including paying royalties for use</w:t></w:r>
</w:p>
<w:p>
<w:pPr><w:pStyle w:val="Normal"/></w:pPr>
<w:r><w:t xml:space="preserve">of the Project Gutenberg trademark. If you do not charge anything for</w:t></w:r>
</w:p>
<w:p>
<w:pPr><w:pStyle w:val="Normal"/></w:pPr>
<w:r><w:t xml:space="preserve">copies of this eBook, complying with the trademark license is very</w:t></w:r>
</w:p>
<w:p>
<w:pPr><w:pStyle w:val="Normal"/></w:pPr>
<w:r><w:t xml:space="preserve">easy. You may use this eBook for nearly any purpose such as creation</w:t></w:r>
</w:p>
<w:p>
<w:pPr><w:pStyle w:val="Normal"/></w:pPr>
<w:r><w:t xml:space="preserve">of derivative works, reports, performances and research. Project</w:t></w:r>
</w:p>
<w:p>
<w:pPr><w:pStyle w:val="Normal"/></w:pPr>
<w:r><w:t xml:space="preserve">Gutenberg eBooks may be modified and printed and given away—you may</w:t></w:r>
</w:p>
<w:p>
<w:pPr><w:pStyle w:val="Normal"/></w:pPr>
<w:r><w:t xml:space="preserve">do practically ANYTHING in the United States with eBooks not protected</w:t></w:r>
</w:p>
<w:p>
<w:pPr><w:pStyle w:val="Normal"/></w:pPr>
<w:r><w:t xml:space="preserve">by U.S. copyright law. Redistribution is subject to the trademark</w:t></w:r>
</w:p>
<w:p>
<w:pPr><w:pStyle w:val="Normal"/></w:pPr>
<w:r><w:t xml:space="preserve">license, especially commercial redistribution.</w:t></w:r>
</w:p>
<w:p>
<w:pPr><w:pStyle w:val="Normal"/></w:pPr>
<w:r><w:t xml:space="preserve">START: FULL LICENSE</w:t></w:r>
</w:p>
<w:p>
<w:pPr><w:pStyle w:val="Normal"/></w:pPr>
<w:r><w:t xml:space="preserve">THE FULL PROJECT GUTENBERG LICENSE</w:t></w:r>
</w:p>
<w:p>
<w:pPr><w:pStyle w:val="Normal"/></w:pPr>
<w:r><w:t xml:space="preserve">PLEASE READ THIS BEFORE YOU DISTRIBUTE OR USE THIS WORK</w:t></w:r>
</w:p>
<w:p>
<w:pPr><w:pStyle w:val="Normal"/></w:pPr>
<w:r><w:t xml:space="preserve">To protect the Project Gutenberg™ mission of promoting the free</w:t></w:r>
</w:p>
<w:p>
<w:pPr><w:pStyle w:val="Normal"/></w:pPr>
<w:r><w:t xml:space="preserve">distribution of electronic works, by using or distributing this work</w:t></w:r>
</w:p>
<w:p>
<w:pPr><w:pStyle w:val="Normal"/></w:pPr>
<w:r><w:t xml:space="preserve">(or any other work associated in any way with the phrase “Project</w:t></w:r>
</w:p>
<w:p>
<w:pPr><w:pStyle w:val="Normal"/></w:pPr>
<w:r><w:t xml:space="preserve">Gutenberg”), you agree to comply with all the terms of the Full</w:t></w:r>
</w:p>
<w:p>
<w:pPr><w:pStyle w:val="Normal"/></w:pPr>
<w:r><w:t xml:space="preserve">Project Gutenberg™ License available with this file or online at</w:t></w:r>
</w:p>
<w:p>
<w:pPr><w:pStyle w:val="Normal"/></w:pPr>
<w:r><w:t xml:space="preserve">www.gutenberg.org/license.</w:t></w:r>
</w:p>
<w:p>
<w:pPr><w:pStyle w:val="Normal"/></w:pPr>
<w:r><w:t xml:space="preserve">Section 1. General Terms of Use and Redistributing Project Gutenberg™</w:t></w:r>
</w:p>
<w:p>
<w:pPr><w:pStyle w:val="Normal"/></w:pPr>
<w:r><w:t xml:space="preserve">electronic works</w:t></w:r>
</w:p>
<w:p>
<w:pPr><w:pStyle w:val="Normal"/></w:pPr>
<w:r><w:t xml:space="preserve">1.A. By reading or using any part of this Project Gutenberg™</w:t></w:r>
</w:p>
<w:p>
<w:pPr><w:pStyle w:val="Normal"/></w:pPr>
<w:r><w:t xml:space="preserve">electronic work, you indicate that you have read, understand, agree to</w:t></w:r>
</w:p>
<w:p>
<w:pPr><w:pStyle w:val="Normal"/></w:pPr>
<w:r><w:t xml:space="preserve">and accept all the terms of this license and intellectual property</w:t></w:r>
</w:p>
<w:p>
<w:pPr><w:pStyle w:val="Normal"/></w:pPr>
<w:r><w:t xml:space="preserve">(trademark/copyright) agreement. If you do not agree to abide by all</w:t></w:r>
</w:p>
<w:p>
<w:pPr><w:pStyle w:val="Normal"/></w:pPr>
<w:r><w:t xml:space="preserve">the terms of this agreement, you must cease using and return or</w:t></w:r>
</w:p>
<w:p>
<w:pPr><w:pStyle w:val="Normal"/></w:pPr>
<w:r><w:t xml:space="preserve">destroy all copies of Project Gutenberg™ electronic works in your</w:t></w:r>
</w:p>
<w:p>
<w:pPr><w:pStyle w:val="Normal"/></w:pPr>
<w:r><w:t xml:space="preserve">possession. If you paid a fee for obtaining a copy of or access to a</w:t></w:r>
</w:p>
<w:p>
<w:pPr><w:pStyle w:val="Normal"/></w:pPr>
<w:r><w:t xml:space="preserve">Project Gutenberg™ electronic work and you do not agree to be bound</w:t></w:r>
</w:p>
<w:p>
<w:pPr><w:pStyle w:val="Normal"/></w:pPr>
<w:r><w:t xml:space="preserve">by the terms of this agreement, you may obtain a refund from the person</w:t></w:r>
</w:p>
<w:p>
<w:pPr><w:pStyle w:val="Normal"/></w:pPr>
<w:r><w:t xml:space="preserve">or entity to whom you paid the fee as set forth in paragraph 1.E.8.</w:t></w:r>
</w:p>
<w:p>
<w:pPr><w:pStyle w:val="Normal"/></w:pPr>
<w:r><w:t xml:space="preserve">1.B. “Project Gutenberg” is a registered trademark. It may only be</w:t></w:r>
</w:p>
<w:p>
<w:pPr><w:pStyle w:val="Normal"/></w:pPr>
<w:r><w:t xml:space="preserve">used on or associated in any way with an electronic work by people who</w:t></w:r>
</w:p>
<w:p>
<w:pPr><w:pStyle w:val="Normal"/></w:pPr>
<w:r><w:t xml:space="preserve">agree to be bound by the terms of this agreement. There are a few</w:t></w:r>
</w:p>
<w:p>
<w:pPr><w:pStyle w:val="Normal"/></w:pPr>
<w:r><w:t xml:space="preserve">things that you can do with most Project Gutenberg™ electronic works</w:t></w:r>
</w:p>
<w:p>
<w:pPr><w:pStyle w:val="Normal"/></w:pPr>
<w:r><w:t xml:space="preserve">even without complying with the full terms of this agreement. See</w:t></w:r>
</w:p>
<w:p>
<w:pPr><w:pStyle w:val="Normal"/></w:pPr>
<w:r><w:t xml:space="preserve">paragraph 1.C below. There are a lot of things you can do with Project</w:t></w:r>
</w:p>
<w:p>
<w:pPr><w:pStyle w:val="Normal"/></w:pPr>
<w:r><w:t xml:space="preserve">Gutenberg™ electronic works if you follow the terms of this</w:t></w:r>
</w:p>
<w:p>
<w:pPr><w:pStyle w:val="Normal"/></w:pPr>
<w:r><w:t xml:space="preserve">agreement and help preserve free future access to Project Gutenberg™</w:t></w:r>
</w:p>
<w:p>
<w:pPr><w:pStyle w:val="Normal"/></w:pPr>
<w:r><w:t xml:space="preserve">electronic works. See paragraph 1.E below.</w:t></w:r>
</w:p>
<w:p>
<w:pPr><w:pStyle w:val="Normal"/></w:pPr>
<w:r><w:t xml:space="preserve">1.C. The Project Gutenberg Literary Archive Foundation (“the</w:t></w:r>
</w:p>
<w:p>
<w:pPr><w:pStyle w:val="Normal"/></w:pPr>
<w:r><w:t xml:space="preserve">Foundation” or PGLAF), owns a compilation copyright in the collection</w:t></w:r>
</w:p>
<w:p>
<w:pPr><w:pStyle w:val="Normal"/></w:pPr>
<w:r><w:t xml:space="preserve">of Project Gutenberg™ electronic works. Nearly all the individual</w:t></w:r>
</w:p>
<w:p>
<w:pPr><w:pStyle w:val="Normal"/></w:pPr>
<w:r><w:t xml:space="preserve">works in the collection are in the public domain in the United</w:t></w:r>
</w:p>
<w:p>
<w:pPr><w:pStyle w:val="Normal"/></w:pPr>
<w:r><w:t xml:space="preserve">States. If an individual work is unprotected by copyright law in the</w:t></w:r>
</w:p>
<w:p>
<w:pPr><w:pStyle w:val="Normal"/></w:pPr>
<w:r><w:t xml:space="preserve">United States and you are located in the United States, we do not</w:t></w:r>
</w:p>
<w:p>
<w:pPr><w:pStyle w:val="Normal"/></w:pPr>
<w:r><w:t xml:space="preserve">claim a right to prevent you from copying, distributing, performing,</w:t></w:r>
</w:p>
<w:p>
<w:pPr><w:pStyle w:val="Normal"/></w:pPr>
<w:r><w:t xml:space="preserve">displaying or creating derivative works based on the work as long as</w:t></w:r>
</w:p>
<w:p>
<w:pPr><w:pStyle w:val="Normal"/></w:pPr>
<w:r><w:t xml:space="preserve">all references to Project Gutenberg are removed. Of course, we hope</w:t></w:r>
</w:p>
<w:p>
<w:pPr><w:pStyle w:val="Normal"/></w:pPr>
<w:r><w:t xml:space="preserve">that you will support the Project Gutenberg™ mission of promoting</w:t></w:r>
</w:p>
<w:p>
<w:pPr><w:pStyle w:val="Normal"/></w:pPr>
<w:r><w:t xml:space="preserve">free access to electronic works by freely sharing Project Gutenberg™</w:t></w:r>
</w:p>
<w:p>
<w:pPr><w:pStyle w:val="Normal"/></w:pPr>
<w:r><w:t xml:space="preserve">works in compliance with the terms of this agreement for keeping the</w:t></w:r>
</w:p>
<w:p>
<w:pPr><w:pStyle w:val="Normal"/></w:pPr>
<w:r><w:t xml:space="preserve">Project Gutenberg™ name associated with the work. You can easily</w:t></w:r>
</w:p>
<w:p>
<w:pPr><w:pStyle w:val="Normal"/></w:pPr>
<w:r><w:t xml:space="preserve">comply with the terms of this agreement by keeping this work in the</w:t></w:r>
</w:p>
<w:p>
<w:pPr><w:pStyle w:val="Normal"/></w:pPr>
<w:r><w:t xml:space="preserve">same format with its attached full Project Gutenberg™ License when</w:t></w:r>
</w:p>
<w:p>
<w:pPr><w:pStyle w:val="Normal"/></w:pPr>
<w:r><w:t xml:space="preserve">you share it without charge with others.</w:t></w:r>
</w:p>
<w:p>
<w:pPr><w:pStyle w:val="Normal"/></w:pPr>
<w:r><w:t xml:space="preserve">1.D. The copyright laws of the place where you are located also govern</w:t></w:r>
</w:p>
<w:p>
<w:pPr><w:pStyle w:val="Normal"/></w:pPr>
<w:r><w:t xml:space="preserve">what you can do with this work. Copyright laws in most countries are</w:t></w:r>
</w:p>
<w:p>
<w:pPr><w:pStyle w:val="Normal"/></w:pPr>
<w:r><w:t xml:space="preserve">in a constant state of change. If you are outside the United States,</w:t></w:r>
</w:p>
<w:p>
<w:pPr><w:pStyle w:val="Normal"/></w:pPr>
<w:r><w:t xml:space="preserve">check the laws of your country in addition to the terms of this</w:t></w:r>
</w:p>
<w:p>
<w:pPr><w:pStyle w:val="Normal"/></w:pPr>
<w:r><w:t xml:space="preserve">agreement before downloading, copying, displaying, performing,</w:t></w:r>
</w:p>
<w:p>
<w:pPr><w:pStyle w:val="Normal"/></w:pPr>
<w:r><w:t xml:space="preserve">distributing or creating derivative works based on this work or any</w:t></w:r>
</w:p>
<w:p>
<w:pPr><w:pStyle w:val="Normal"/></w:pPr>
<w:r><w:t xml:space="preserve">other Project Gutenberg™ work. The Foundation makes no</w:t></w:r>
</w:p>
<w:p>
<w:pPr><w:pStyle w:val="Normal"/></w:pPr>
<w:r><w:t xml:space="preserve">representations concerning the copyright status of any work in any</w:t></w:r>
</w:p>
<w:p>
<w:pPr><w:pStyle w:val="Normal"/></w:pPr>
<w:r><w:t xml:space="preserve">country other than the United States.</w:t></w:r>
</w:p>
<w:p>
<w:pPr><w:pStyle w:val="Normal"/></w:pPr>
<w:r><w:t xml:space="preserve">1.E. Unless you have removed all references to Project Gutenberg:</w:t></w:r>
</w:p>
<w:p>
<w:pPr><w:pStyle w:val="Normal"/></w:pPr>
<w:r><w:t xml:space="preserve">1.E.1. The following sentence, with active links to, or other</w:t></w:r>
</w:p>
<w:p>
<w:pPr><w:pStyle w:val="Normal"/></w:pPr>
<w:r><w:t xml:space="preserve">immediate access to, the full Project Gutenberg™ License must appear</w:t></w:r>
</w:p>
<w:p>
<w:pPr><w:pStyle w:val="Normal"/></w:pPr>
<w:r><w:t xml:space="preserve">prominently whenever any copy of a Project Gutenberg™ work (any work</w:t></w:r>
</w:p>
<w:p>
<w:pPr><w:pStyle w:val="Normal"/></w:pPr>
<w:r><w:t xml:space="preserve">on which the phrase “Project Gutenberg” appears, or with which the</w:t></w:r>
</w:p>
<w:p>
<w:pPr><w:pStyle w:val="Normal"/></w:pPr>
<w:r><w:t xml:space="preserve">phrase “Project Gutenberg” is associated) is accessed, displayed,</w:t></w:r>
</w:p>
<w:p>
<w:pPr><w:pStyle w:val="Normal"/></w:pPr>
<w:r><w:t xml:space="preserve">performed, viewed, copied or distributed:</w:t></w:r>
</w:p>
<w:p>
<w:pPr><w:pStyle w:val="Normal"/></w:pPr>
<w:r><w:t xml:space="preserve">This eBook is for the use of anyone anywhere in the United States and most</w:t></w:r>
</w:p>
<w:p>
<w:pPr><w:pStyle w:val="Normal"/></w:pPr>
<w:r><w:t xml:space="preserve">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</w:t></w:r>
</w:p>
<w:p>
<w:pPr><w:pStyle w:val="Normal"/></w:pPr>
<w:r><w:t xml:space="preserve">are not located in the United States, you will have to check the laws</w:t></w:r>
</w:p>
<w:p>
<w:pPr><w:pStyle w:val="Normal"/></w:pPr>
<w:r><w:t xml:space="preserve">of the country where you are located before using this eBook.</w:t></w:r>
</w:p>
<w:p>
<w:pPr><w:pStyle w:val="Normal"/></w:pPr>
<w:r><w:t xml:space="preserve">1.E.2. If an individual Project Gutenberg™ electronic work is</w:t></w:r>
</w:p>
<w:p>
<w:pPr><w:pStyle w:val="Normal"/></w:pPr>
<w:r><w:t xml:space="preserve">derived from texts not protected by U.S. copyright law (does not</w:t></w:r>
</w:p>
<w:p>
<w:pPr><w:pStyle w:val="Normal"/></w:pPr>
<w:r><w:t xml:space="preserve">contain a notice indicating that it is posted with permission of the</w:t></w:r>
</w:p>
<w:p>
<w:pPr><w:pStyle w:val="Normal"/></w:pPr>
<w:r><w:t xml:space="preserve">copyright holder), the work can be copied and distributed to anyone in</w:t></w:r>
</w:p>
<w:p>
<w:pPr><w:pStyle w:val="Normal"/></w:pPr>
<w:r><w:t xml:space="preserve">the United States without paying any fees or charges. If you are</w:t></w:r>
</w:p>
<w:p>
<w:pPr><w:pStyle w:val="Normal"/></w:pPr>
<w:r><w:t xml:space="preserve">redistributing or providing access to a work with the phrase “Project</w:t></w:r>
</w:p>
<w:p>
<w:pPr><w:pStyle w:val="Normal"/></w:pPr>
<w:r><w:t xml:space="preserve">Gutenberg” associated with or appearing on the work, you must comply</w:t></w:r>
</w:p>
<w:p>
<w:pPr><w:pStyle w:val="Normal"/></w:pPr>
<w:r><w:t xml:space="preserve">either with the requirements of paragraphs 1.E.1 through 1.E.7 or</w:t></w:r>
</w:p>
<w:p>
<w:pPr><w:pStyle w:val="Normal"/></w:pPr>
<w:r><w:t xml:space="preserve">obtain permission for the use of the work and the Project Gutenberg™</w:t></w:r>
</w:p>
<w:p>
<w:pPr><w:pStyle w:val="Normal"/></w:pPr>
<w:r><w:t xml:space="preserve">trademark as set forth in paragraphs 1.E.8 or 1.E.9.</w:t></w:r>
</w:p>
<w:p>
<w:pPr><w:pStyle w:val="Normal"/></w:pPr>
<w:r><w:t xml:space="preserve">1.E.3. If an individual Project Gutenberg™ electronic work is posted</w:t></w:r>
</w:p>
<w:p>
<w:pPr><w:pStyle w:val="Normal"/></w:pPr>
<w:r><w:t xml:space="preserve">with the permission of the copyright holder, your use and distribution</w:t></w:r>
</w:p>
<w:p>
<w:pPr><w:pStyle w:val="Normal"/></w:pPr>
<w:r><w:t xml:space="preserve">must comply with both paragraphs 1.E.1 through 1.E.7 and any</w:t></w:r>
</w:p>
<w:p>
<w:pPr><w:pStyle w:val="Normal"/></w:pPr>
<w:r><w:t xml:space="preserve">additional terms imposed by the copyright holder. Additional terms</w:t></w:r>
</w:p>
<w:p>
<w:pPr><w:pStyle w:val="Normal"/></w:pPr>
<w:r><w:t xml:space="preserve">will be linked to the Project Gutenberg™ License for all works</w:t></w:r>
</w:p>
<w:p>
<w:pPr><w:pStyle w:val="Normal"/></w:pPr>
<w:r><w:t xml:space="preserve">posted with the permission of the copyright holder found at the</w:t></w:r>
</w:p>
<w:p>
<w:pPr><w:pStyle w:val="Normal"/></w:pPr>
<w:r><w:t xml:space="preserve">beginning of this work.</w:t></w:r>
</w:p>
<w:p>
<w:pPr><w:pStyle w:val="Normal"/></w:pPr>
<w:r><w:t xml:space="preserve">1.E.4. Do not unlink or detach or remove the full Project Gutenberg™</w:t></w:r>
</w:p>
<w:p>
<w:pPr><w:pStyle w:val="Normal"/></w:pPr>
<w:r><w:t xml:space="preserve">License terms from this work, or any files containing a part of this</w:t></w:r>
</w:p>
<w:p>
<w:pPr><w:pStyle w:val="Normal"/></w:pPr>
<w:r><w:t xml:space="preserve">work or any other work associated with Project Gutenberg™.</w:t></w:r>
</w:p>
<w:p>
<w:pPr><w:pStyle w:val="Normal"/></w:pPr>
<w:r><w:t xml:space="preserve">1.E.5. Do not copy, display, perform, distribute or redistribute this</w:t></w:r>
</w:p>
<w:p>
<w:pPr><w:pStyle w:val="Normal"/></w:pPr>
<w:r><w:t xml:space="preserve">electronic work, or any part of this electronic work, without</w:t></w:r>
</w:p>
<w:p>
<w:pPr><w:pStyle w:val="Normal"/></w:pPr>
<w:r><w:t xml:space="preserve">prominently displaying the sentence set forth in paragraph 1.E.1 with</w:t></w:r>
</w:p>
<w:p>
<w:pPr><w:pStyle w:val="Normal"/></w:pPr>
<w:r><w:t xml:space="preserve">active links or immediate access to the full terms of the Project</w:t></w:r>
</w:p>
<w:p>
<w:pPr><w:pStyle w:val="Normal"/></w:pPr>
<w:r><w:t xml:space="preserve">Gutenberg™ License.</w:t></w:r>
</w:p>
<w:p>
<w:pPr><w:pStyle w:val="Normal"/></w:pPr>
<w:r><w:t xml:space="preserve">1.E.6. You may convert to and distribute this work in any binary,</w:t></w:r>
</w:p>
<w:p>
<w:pPr><w:pStyle w:val="Normal"/></w:pPr>
<w:r><w:t xml:space="preserve">compressed, marked up, nonproprietary or proprietary form, including</w:t></w:r>
</w:p>
<w:p>
<w:pPr><w:pStyle w:val="Normal"/></w:pPr>
<w:r><w:t xml:space="preserve">any word processing or hypertext form. However, if you provide access</w:t></w:r>
</w:p>
<w:p>
<w:pPr><w:pStyle w:val="Normal"/></w:pPr>
<w:r><w:t xml:space="preserve">to or distribute copies of a Project Gutenberg™ work in a format</w:t></w:r>
</w:p>
<w:p>
<w:pPr><w:pStyle w:val="Normal"/></w:pPr>
<w:r><w:t xml:space="preserve">other than “Plain Vanilla ASCII” or other format used in the official</w:t></w:r>
</w:p>
<w:p>
<w:pPr><w:pStyle w:val="Normal"/></w:pPr>
<w:r><w:t xml:space="preserve">version posted on the official Project Gutenberg™ website</w:t></w:r>
</w:p>
<w:p>
<w:pPr><w:pStyle w:val="Normal"/></w:pPr>
<w:r><w:t xml:space="preserve">(www.gutenberg.org), you must, at no additional cost, fee or expense</w:t></w:r>
</w:p>
<w:p>
<w:pPr><w:pStyle w:val="Normal"/></w:pPr>
<w:r><w:t xml:space="preserve">to the user, provide a copy, a means of exporting a copy, or a means</w:t></w:r>
</w:p>
<w:p>
<w:pPr><w:pStyle w:val="Normal"/></w:pPr>
<w:r><w:t xml:space="preserve">of obtaining a copy upon request, of the work in its original “Plain</w:t></w:r>
</w:p>
<w:p>
<w:pPr><w:pStyle w:val="Normal"/></w:pPr>
<w:r><w:t xml:space="preserve">Vanilla ASCII” or other form. Any alternate format must include the</w:t></w:r>
</w:p>
<w:p>
<w:pPr><w:pStyle w:val="Normal"/></w:pPr>
<w:r><w:t xml:space="preserve">full Project Gutenberg™ License as specified in paragraph 1.E.1.</w:t></w:r>
</w:p>
<w:p>
<w:pPr><w:pStyle w:val="Normal"/></w:pPr>
<w:r><w:t xml:space="preserve">1.E.7. Do not charge a fee for access to, viewing, displaying,</w:t></w:r>
</w:p>
<w:p>
<w:pPr><w:pStyle w:val="Normal"/></w:pPr>
<w:r><w:t xml:space="preserve">performing, copying or distributing any Project Gutenberg™ works</w:t></w:r>
</w:p>
<w:p>
<w:pPr><w:pStyle w:val="Normal"/></w:pPr>
<w:r><w:t xml:space="preserve">unless you comply with paragraph 1.E.8 or 1.E.9.</w:t></w:r>
</w:p>
<w:p>
<w:pPr><w:pStyle w:val="Normal"/></w:pPr>
<w:r><w:t xml:space="preserve">1.E.8. You may charge a reasonable fee for copies of or providing</w:t></w:r>
</w:p>
<w:p>
<w:pPr><w:pStyle w:val="Normal"/></w:pPr>
<w:r><w:t xml:space="preserve">access to or distributing Project Gutenberg™ electronic works</w:t></w:r>
</w:p>
<w:p>
<w:pPr><w:pStyle w:val="Normal"/></w:pPr>
<w:r><w:t xml:space="preserve">provided that:</w:t></w:r>
</w:p>
<w:p>
<w:pPr><w:pStyle w:val="Normal"/></w:pPr>
<w:r><w:t xml:space="preserve">• You pay a royalty fee of 20% of the gross profits you derive from</w:t></w:r>
</w:p>
<w:p>
<w:pPr><w:pStyle w:val="Normal"/></w:pPr>
<w:r><w:t xml:space="preserve">the use of Project Gutenberg™ works calculated using the method</w:t></w:r>
</w:p>
<w:p>
<w:pPr><w:pStyle w:val="Normal"/></w:pPr>
<w:r><w:t xml:space="preserve">you already use to calculate your applicable taxes. The fee is owed</w:t></w:r>
</w:p>
<w:p>
<w:pPr><w:pStyle w:val="Normal"/></w:pPr>
<w:r><w:t xml:space="preserve">to the owner of the Project Gutenberg™ trademark, but he has</w:t></w:r>
</w:p>
<w:p>
<w:pPr><w:pStyle w:val="Normal"/></w:pPr>
<w:r><w:t xml:space="preserve">agreed to donate royalties under this paragraph to the Project</w:t></w:r>
</w:p>
<w:p>
<w:pPr><w:pStyle w:val="Normal"/></w:pPr>
<w:r><w:t xml:space="preserve">Gutenberg Literary Archive Foundation. Royalty payments must be paid</w:t></w:r>
</w:p>
<w:p>
<w:pPr><w:pStyle w:val="Normal"/></w:pPr>
<w:r><w:t xml:space="preserve">within 60 days following each date on which you prepare (or are</w:t></w:r>
</w:p>
<w:p>
<w:pPr><w:pStyle w:val="Normal"/></w:pPr>
<w:r><w:t xml:space="preserve">legally required to prepare) your periodic tax returns. Royalty</w:t></w:r>
</w:p>
<w:p>
<w:pPr><w:pStyle w:val="Normal"/></w:pPr>
<w:r><w:t xml:space="preserve">payments should be clearly marked as such and sent to the Project</w:t></w:r>
</w:p>
<w:p>
<w:pPr><w:pStyle w:val="Normal"/></w:pPr>
<w:r><w:t xml:space="preserve">Gutenberg Literary Archive Foundation at the address specified in</w:t></w:r>
</w:p>
<w:p>
<w:pPr><w:pStyle w:val="Normal"/></w:pPr>
<w:r><w:t xml:space="preserve">Section 4, “Information about donations to the Project Gutenberg</w:t></w:r>
</w:p>
<w:p>
<w:pPr><w:pStyle w:val="Normal"/></w:pPr>
<w:r><w:t xml:space="preserve">Literary Archive Foundation.”</w:t></w:r>
</w:p>
<w:p>
<w:pPr><w:pStyle w:val="Normal"/></w:pPr>
<w:r><w:t xml:space="preserve">• You provide a full refund of any money paid by a user who notifies</w:t></w:r>
</w:p>
<w:p>
<w:pPr><w:pStyle w:val="Normal"/></w:pPr>
<w:r><w:t xml:space="preserve">you in writing (or by e-mail) within 30 days of receipt that s/he</w:t></w:r>
</w:p>
<w:p>
<w:pPr><w:pStyle w:val="Normal"/></w:pPr>
<w:r><w:t xml:space="preserve">does not agree to the terms of the full Project Gutenberg™</w:t></w:r>
</w:p>
<w:p>
<w:pPr><w:pStyle w:val="Normal"/></w:pPr>
<w:r><w:t xml:space="preserve">License. You must require such a user to return or destroy all</w:t></w:r>
</w:p>
<w:p>
<w:pPr><w:pStyle w:val="Normal"/></w:pPr>
<w:r><w:t xml:space="preserve">copies of the works possessed in a physical medium and discontinue</w:t></w:r>
</w:p>
<w:p>
<w:pPr><w:pStyle w:val="Normal"/></w:pPr>
<w:r><w:t xml:space="preserve">all use of and all access to other copies of Project Gutenberg™</w:t></w:r>
</w:p>
<w:p>
<w:pPr><w:pStyle w:val="Normal"/></w:pPr>
<w:r><w:t xml:space="preserve">works.</w:t></w:r>
</w:p>
<w:p>
<w:pPr><w:pStyle w:val="Normal"/></w:pPr>
<w:r><w:t xml:space="preserve">• You provide, in accordance with paragraph 1.F.3, a full refund of</w:t></w:r>
</w:p>
<w:p>
<w:pPr><w:pStyle w:val="Normal"/></w:pPr>
<w:r><w:t xml:space="preserve">any money paid for a work or a replacement copy, if a defect in the</w:t></w:r>
</w:p>
<w:p>
<w:pPr><w:pStyle w:val="Normal"/></w:pPr>
<w:r><w:t xml:space="preserve">electronic work is discovered and reported to you within 90 days of</w:t></w:r>
</w:p>
<w:p>
<w:pPr><w:pStyle w:val="Normal"/></w:pPr>
<w:r><w:t xml:space="preserve">receipt of the work.</w:t></w:r>
</w:p>
<w:p>
<w:pPr><w:pStyle w:val="Normal"/></w:pPr>
<w:r><w:t xml:space="preserve">• You comply with all other terms of this agreement for free</w:t></w:r>
</w:p>
<w:p>
<w:pPr><w:pStyle w:val="Normal"/></w:pPr>
<w:r><w:t xml:space="preserve">distribution of Project Gutenberg™ works.</w:t></w:r>
</w:p>
<w:p>
<w:pPr><w:pStyle w:val="Normal"/></w:pPr>
<w:r><w:t xml:space="preserve">1.E.9. If you wish to charge a fee or distribute a Project</w:t></w:r>
</w:p>
<w:p>
<w:pPr><w:pStyle w:val="Normal"/></w:pPr>
<w:r><w:t xml:space="preserve">Gutenberg™ electronic work or group of works on different terms than</w:t></w:r>
</w:p>
<w:p>
<w:pPr><w:pStyle w:val="Normal"/></w:pPr>
<w:r><w:t xml:space="preserve">are set forth in this agreement, you must obtain permission in writing</w:t></w:r>
</w:p>
<w:p>
<w:pPr><w:pStyle w:val="Normal"/></w:pPr>
<w:r><w:t xml:space="preserve">from the Project Gutenberg Literary Archive Foundation, the manager of</w:t></w:r>
</w:p>
<w:p>
<w:pPr><w:pStyle w:val="Normal"/></w:pPr>
<w:r><w:t xml:space="preserve">the Project Gutenberg™ trademark. Contact the Foundation as set</w:t></w:r>
</w:p>
<w:p>
<w:pPr><w:pStyle w:val="Normal"/></w:pPr>
<w:r><w:t xml:space="preserve">forth in Section 3 below.</w:t></w:r>
</w:p>
<w:p>
<w:pPr><w:pStyle w:val="Normal"/></w:pPr>
<w:r><w:t xml:space="preserve">1.F.</w:t></w:r>
</w:p>
<w:p>
<w:pPr><w:pStyle w:val="Normal"/></w:pPr>
<w:r><w:t xml:space="preserve">1.F.1. Project Gutenberg volunteers and employees expend considerable</w:t></w:r>
</w:p>
<w:p>
<w:pPr><w:pStyle w:val="Normal"/></w:pPr>
<w:r><w:t xml:space="preserve">effort to identify, do copyright research on, transcribe and proofread</w:t></w:r>
</w:p>
<w:p>
<w:pPr><w:pStyle w:val="Normal"/></w:pPr>
<w:r><w:t xml:space="preserve">works not protected by U.S. copyright law in creating the Project</w:t></w:r>
</w:p>
<w:p>
<w:pPr><w:pStyle w:val="Normal"/></w:pPr>
<w:r><w:t xml:space="preserve">Gutenberg™ collection. Despite these efforts, Project Gutenberg™</w:t></w:r>
</w:p>
<w:p>
<w:pPr><w:pStyle w:val="Normal"/></w:pPr>
<w:r><w:t xml:space="preserve">electronic works, and the medium on which they may be stored, may</w:t></w:r>
</w:p>
<w:p>
<w:pPr><w:pStyle w:val="Normal"/></w:pPr>
<w:r><w:t xml:space="preserve">contain “Defects,” such as, but not limited to, incomplete, inaccurate</w:t></w:r>
</w:p>
<w:p>
<w:pPr><w:pStyle w:val="Normal"/></w:pPr>
<w:r><w:t xml:space="preserve">or corrupt data, transcription errors, a copyright or other</w:t></w:r>
</w:p>
<w:p>
<w:pPr><w:pStyle w:val="Normal"/></w:pPr>
<w:r><w:t xml:space="preserve">intellectual property infringement, a defective or damaged disk or</w:t></w:r>
</w:p>
<w:p>
<w:pPr><w:pStyle w:val="Normal"/></w:pPr>
<w:r><w:t xml:space="preserve">other medium, a computer virus, or computer codes that damage or</w:t></w:r>
</w:p>
<w:p>
<w:pPr><w:pStyle w:val="Normal"/></w:pPr>
<w:r><w:t xml:space="preserve">cannot be read by your equipment.</w:t></w:r>
</w:p>
<w:p>
<w:pPr><w:pStyle w:val="Normal"/></w:pPr>
<w:r><w:t xml:space="preserve">1.F.2. LIMITED WARRANTY, DISCLAIMER OF DAMAGES - Except for the “Right</w:t></w:r>
</w:p>
<w:p>
<w:pPr><w:pStyle w:val="Normal"/></w:pPr>
<w:r><w:t xml:space="preserve">of Replacement or Refund” described in paragraph 1.F.3, the Project</w:t></w:r>
</w:p>
<w:p>
<w:pPr><w:pStyle w:val="Normal"/></w:pPr>
<w:r><w:t xml:space="preserve">Gutenberg Literary Archive Foundation, the owner of the Project</w:t></w:r>
</w:p>
<w:p>
<w:pPr><w:pStyle w:val="Normal"/></w:pPr>
<w:r><w:t xml:space="preserve">Gutenberg™ trademark, and any other party distributing a Project</w:t></w:r>
</w:p>
<w:p>
<w:pPr><w:pStyle w:val="Normal"/></w:pPr>
<w:r><w:t xml:space="preserve">Gutenberg™ electronic work under this agreement, disclaim all</w:t></w:r>
</w:p>
<w:p>
<w:pPr><w:pStyle w:val="Normal"/></w:pPr>
<w:r><w:t xml:space="preserve">liability to you for damages, costs and expenses, including legal</w:t></w:r>
</w:p>
<w:p>
<w:pPr><w:pStyle w:val="Normal"/></w:pPr>
<w:r><w:t xml:space="preserve">fees. YOU AGREE THAT YOU HAVE NO REMEDIES FOR NEGLIGENCE, STRICT</w:t></w:r>
</w:p>
<w:p>
<w:pPr><w:pStyle w:val="Normal"/></w:pPr>
<w:r><w:t xml:space="preserve">LIABILITY, BREACH OF WARRANTY OR BREACH OF CONTRACT EXCEPT THOSE</w:t></w:r>
</w:p>
<w:p>
<w:pPr><w:pStyle w:val="Normal"/></w:pPr>
<w:r><w:t xml:space="preserve">PROVIDED IN PARAGRAPH 1.F.3. YOU AGREE THAT THE FOUNDATION, THE</w:t></w:r>
</w:p>
<w:p>
<w:pPr><w:pStyle w:val="Normal"/></w:pPr>
<w:r><w:t xml:space="preserve">TRADEMARK OWNER, AND ANY DISTRIBUTOR UNDER THIS AGREEMENT WILL NOT BE</w:t></w:r>
</w:p>
<w:p>
<w:pPr><w:pStyle w:val="Normal"/></w:pPr>
<w:r><w:t xml:space="preserve">LIABLE TO YOU FOR ACTUAL, DIRECT, INDIRECT, CONSEQUENTIAL, PUNITIVE OR</w:t></w:r>
</w:p>
<w:p>
<w:pPr><w:pStyle w:val="Normal"/></w:pPr>
<w:r><w:t xml:space="preserve">INCIDENTAL DAMAGES EVEN IF YOU GIVE NOTICE OF THE POSSIBILITY OF SUCH</w:t></w:r>
</w:p>
<w:p>
<w:pPr><w:pStyle w:val="Normal"/></w:pPr>
<w:r><w:t xml:space="preserve">DAMAGE.</w:t></w:r>
</w:p>
<w:p>
<w:pPr><w:pStyle w:val="Normal"/></w:pPr>
<w:r><w:t xml:space="preserve">1.F.3. LIMITED RIGHT OF REPLACEMENT OR REFUND - If you discover a</w:t></w:r>
</w:p>
<w:p>
<w:pPr><w:pStyle w:val="Normal"/></w:pPr>
<w:r><w:t xml:space="preserve">defect in this electronic work within 90 days of receiving it, you can</w:t></w:r>
</w:p>
<w:p>
<w:pPr><w:pStyle w:val="Normal"/></w:pPr>
<w:r><w:t xml:space="preserve">receive a refund of the money (if any) you paid for it by sending a</w:t></w:r>
</w:p>
<w:p>
<w:pPr><w:pStyle w:val="Normal"/></w:pPr>
<w:r><w:t xml:space="preserve">written explanation to the person you received the work from. If you</w:t></w:r>
</w:p>
<w:p>
<w:pPr><w:pStyle w:val="Normal"/></w:pPr>
<w:r><w:t xml:space="preserve">received the work on a physical medium, you must return the medium</w:t></w:r>
</w:p>
<w:p>
<w:pPr><w:pStyle w:val="Normal"/></w:pPr>
<w:r><w:t xml:space="preserve">with your written explanation. The person or entity that provided you</w:t></w:r>
</w:p>
<w:p>
<w:pPr><w:pStyle w:val="Normal"/></w:pPr>
<w:r><w:t xml:space="preserve">with the defective work may elect to provide a replacement copy in</w:t></w:r>
</w:p>
<w:p>
<w:pPr><w:pStyle w:val="Normal"/></w:pPr>
<w:r><w:t xml:space="preserve">lieu of a refund. If you received the work electronically, the person</w:t></w:r>
</w:p>
<w:p>
<w:pPr><w:pStyle w:val="Normal"/></w:pPr>
<w:r><w:t xml:space="preserve">or entity providing it to you may choose to give you a second</w:t></w:r>
</w:p>
<w:p>
<w:pPr><w:pStyle w:val="Normal"/></w:pPr>
<w:r><w:t xml:space="preserve">opportunity to receive the work electronically in lieu of a refund. If</w:t></w:r>
</w:p>
<w:p>
<w:pPr><w:pStyle w:val="Normal"/></w:pPr>
<w:r><w:t xml:space="preserve">the second copy is also defective, you may demand a refund in writing</w:t></w:r>
</w:p>
<w:p>
<w:pPr><w:pStyle w:val="Normal"/></w:pPr>
<w:r><w:t xml:space="preserve">without further opportunities to fix the problem.</w:t></w:r>
</w:p>
<w:p>
<w:pPr><w:pStyle w:val="Normal"/></w:pPr>
<w:r><w:t xml:space="preserve">1.F.4. Except for the limited right of replacement or refund set forth</w:t></w:r>
</w:p>
<w:p>
<w:pPr><w:pStyle w:val="Normal"/></w:pPr>
<w:r><w:t xml:space="preserve">in paragraph 1.F.3, this work is provided to you ‘AS-IS’, WITH NO</w:t></w:r>
</w:p>
<w:p>
<w:pPr><w:pStyle w:val="Normal"/></w:pPr>
<w:r><w:t xml:space="preserve">OTHER WARRANTIES OF ANY KIND, EXPRESS OR IMPLIED, INCLUDING BUT NOT</w:t></w:r>
</w:p>
<w:p>
<w:pPr><w:pStyle w:val="Normal"/></w:pPr>
<w:r><w:t xml:space="preserve">LIMITED TO WARRANTIES OF MERCHANTABILITY OR FITNESS FOR ANY PURPOSE.</w:t></w:r>
</w:p>
<w:p>
<w:pPr><w:pStyle w:val="Normal"/></w:pPr>
<w:r><w:t xml:space="preserve">1.F.5. Some states do not allow disclaimers of certain implied</w:t></w:r>
</w:p>
<w:p>
<w:pPr><w:pStyle w:val="Normal"/></w:pPr>
<w:r><w:t xml:space="preserve">warranties or the exclusion or limitation of certain types of</w:t></w:r>
</w:p>
<w:p>
<w:pPr><w:pStyle w:val="Normal"/></w:pPr>
<w:r><w:t xml:space="preserve">damages. If any disclaimer or limitation set forth in this agreement</w:t></w:r>
</w:p>
<w:p>
<w:pPr><w:pStyle w:val="Normal"/></w:pPr>
<w:r><w:t xml:space="preserve">violates the law of the state applicable to this agreement, the</w:t></w:r>
</w:p>
<w:p>
<w:pPr><w:pStyle w:val="Normal"/></w:pPr>
<w:r><w:t xml:space="preserve">agreement shall be interpreted to make the maximum disclaimer or</w:t></w:r>
</w:p>
<w:p>
<w:pPr><w:pStyle w:val="Normal"/></w:pPr>
<w:r><w:t xml:space="preserve">limitation permitted by the applicable state law. The invalidity or</w:t></w:r>
</w:p>
<w:p>
<w:pPr><w:pStyle w:val="Normal"/></w:pPr>
<w:r><w:t xml:space="preserve">unenforceability of any provision of this agreement shall not void the</w:t></w:r>
</w:p>
<w:p>
<w:pPr><w:pStyle w:val="Normal"/></w:pPr>
<w:r><w:t xml:space="preserve">remaining provisions.</w:t></w:r>
</w:p>
<w:p>
<w:pPr><w:pStyle w:val="Normal"/></w:pPr>
<w:r><w:t xml:space="preserve">1.F.6. INDEMNITY - You agree to indemnify and hold the Foundation, the</w:t></w:r>
</w:p>
<w:p>
<w:pPr><w:pStyle w:val="Normal"/></w:pPr>
<w:r><w:t xml:space="preserve">trademark owner, any agent or employee of the Foundation, anyone</w:t></w:r>
</w:p>
<w:p>
<w:pPr><w:pStyle w:val="Normal"/></w:pPr>
<w:r><w:t xml:space="preserve">providing copies of Project Gutenberg™ electronic works in</w:t></w:r>
</w:p>
<w:p>
<w:pPr><w:pStyle w:val="Normal"/></w:pPr>
<w:r><w:t xml:space="preserve">accordance with this agreement, and any volunteers associated with the</w:t></w:r>
</w:p>
<w:p>
<w:pPr><w:pStyle w:val="Normal"/></w:pPr>
<w:r><w:t xml:space="preserve">production, promotion and distribution of Project Gutenberg™</w:t></w:r>
</w:p>
<w:p>
<w:pPr><w:pStyle w:val="Normal"/></w:pPr>
<w:r><w:t xml:space="preserve">electronic works, harmless from all liability, costs and expenses,</w:t></w:r>
</w:p>
<w:p>
<w:pPr><w:pStyle w:val="Normal"/></w:pPr>
<w:r><w:t xml:space="preserve">including legal fees, that arise directly or indirectly from any of</w:t></w:r>
</w:p>
<w:p>
<w:pPr><w:pStyle w:val="Normal"/></w:pPr>
<w:r><w:t xml:space="preserve">the following which you do or cause to occur: (a) distribution of this</w:t></w:r>
</w:p>
<w:p>
<w:pPr><w:pStyle w:val="Normal"/></w:pPr>
<w:r><w:t xml:space="preserve">or any Project Gutenberg™ work, (b) alteration, modification, or</w:t></w:r>
</w:p>
<w:p>
<w:pPr><w:pStyle w:val="Normal"/></w:pPr>
<w:r><w:t xml:space="preserve">additions or deletions to any Project Gutenberg™ work, and (c) any</w:t></w:r>
</w:p>
<w:p>
<w:pPr><w:pStyle w:val="Normal"/></w:pPr>
<w:r><w:t xml:space="preserve">Defect you cause.</w:t></w:r>
</w:p>
<w:p>
<w:pPr><w:pStyle w:val="Normal"/></w:pPr>
<w:r><w:t xml:space="preserve">Section 2. Information about the Mission of Project Gutenberg™</w:t></w:r>
</w:p>
<w:p>
<w:pPr><w:pStyle w:val="Normal"/></w:pPr>
<w:r><w:t xml:space="preserve">Project Gutenberg™ is synonymous with the free distribution of</w:t></w:r>
</w:p>
<w:p>
<w:pPr><w:pStyle w:val="Normal"/></w:pPr>
<w:r><w:t xml:space="preserve">electronic works in formats readable by the widest variety of</w:t></w:r>
</w:p>
<w:p>
<w:pPr><w:pStyle w:val="Normal"/></w:pPr>
<w:r><w:t xml:space="preserve">computers including obsolete, old, middle-aged and new computers. It</w:t></w:r>
</w:p>
<w:p>
<w:pPr><w:pStyle w:val="Normal"/></w:pPr>
<w:r><w:t xml:space="preserve">exists because of the efforts of hundreds of volunteers and donations</w:t></w:r>
</w:p>
<w:p>
<w:pPr><w:pStyle w:val="Normal"/></w:pPr>
<w:r><w:t xml:space="preserve">from people in all walks of life.</w:t></w:r>
</w:p>
<w:p>
<w:pPr><w:pStyle w:val="Normal"/></w:pPr>
<w:r><w:t xml:space="preserve">Volunteers and financial support to provide volunteers with the</w:t></w:r>
</w:p>
<w:p>
<w:pPr><w:pStyle w:val="Normal"/></w:pPr>
<w:r><w:t xml:space="preserve">assistance they need are critical to reaching Project Gutenberg™’s</w:t></w:r>
</w:p>
<w:p>
<w:pPr><w:pStyle w:val="Normal"/></w:pPr>
<w:r><w:t xml:space="preserve">goals and ensuring that the Project Gutenberg™ collection will</w:t></w:r>
</w:p>
<w:p>
<w:pPr><w:pStyle w:val="Normal"/></w:pPr>
<w:r><w:t xml:space="preserve">remain freely available for generations to come. In 2001, the Project</w:t></w:r>
</w:p>
<w:p>
<w:pPr><w:pStyle w:val="Normal"/></w:pPr>
<w:r><w:t xml:space="preserve">Gutenberg Literary Archive Foundation was created to provide a secure</w:t></w:r>
</w:p>
<w:p>
<w:pPr><w:pStyle w:val="Normal"/></w:pPr>
<w:r><w:t xml:space="preserve">and permanent future for Project Gutenberg™ and future</w:t></w:r>
</w:p>
<w:p>
<w:pPr><w:pStyle w:val="Normal"/></w:pPr>
<w:r><w:t xml:space="preserve">generations. To learn more about the Project Gutenberg Literary</w:t></w:r>
</w:p>
<w:p>
<w:pPr><w:pStyle w:val="Normal"/></w:pPr>
<w:r><w:t xml:space="preserve">Archive Foundation and how your efforts and donations can help, see</w:t></w:r>
</w:p>
<w:p>
<w:pPr><w:pStyle w:val="Normal"/></w:pPr>
<w:r><w:t xml:space="preserve">Sections 3 and 4 and the Foundation information page at www.gutenberg.org.</w:t></w:r>
</w:p>
<w:p>
<w:pPr><w:pStyle w:val="Normal"/></w:pPr>
<w:r><w:t xml:space="preserve">Section 3. Information about the Project Gutenberg Literary Archive Foundation</w:t></w:r>
</w:p>
<w:p>
<w:pPr><w:pStyle w:val="Normal"/></w:pPr>
<w:r><w:t xml:space="preserve">The Project Gutenberg Literary Archive Foundation is a non-profit</w:t></w:r>
</w:p>
<w:p>
<w:pPr><w:pStyle w:val="Normal"/></w:pPr>
<w:r><w:t xml:space="preserve">501(c)(3) educational corporation organized under the laws of the</w:t></w:r>
</w:p>
<w:p>
<w:pPr><w:pStyle w:val="Normal"/></w:pPr>
<w:r><w:t xml:space="preserve">state of Mississippi and granted tax exempt status by the Internal</w:t></w:r>
</w:p>
<w:p>
<w:pPr><w:pStyle w:val="Normal"/></w:pPr>
<w:r><w:t xml:space="preserve">Revenue Service. The Foundation’s EIN or federal tax identification</w:t></w:r>
</w:p>
<w:p>
<w:pPr><w:pStyle w:val="Normal"/></w:pPr>
<w:r><w:t xml:space="preserve">number is 64-6221541. Contributions to the Project Gutenberg Literary</w:t></w:r>
</w:p>
<w:p>
<w:pPr><w:pStyle w:val="Normal"/></w:pPr>
<w:r><w:t xml:space="preserve">Archive Foundation are tax deductible to the full extent permitted by</w:t></w:r>
</w:p>
<w:p>
<w:pPr><w:pStyle w:val="Normal"/></w:pPr>
<w:r><w:t xml:space="preserve">U.S. federal laws and your state’s laws.</w:t></w:r>
</w:p>
<w:p>
<w:pPr><w:pStyle w:val="Normal"/></w:pPr>
<w:r><w:t xml:space="preserve">The Foundation’s business office is located at 809 North 1500 West,</w:t></w:r>
</w:p>
<w:p>
<w:pPr><w:pStyle w:val="Normal"/></w:pPr>
<w:r><w:t xml:space="preserve">Salt Lake City, UT 84116, (801) 596-1887. Email contact links and up</w:t></w:r>
</w:p>
<w:p>
<w:pPr><w:pStyle w:val="Normal"/></w:pPr>
<w:r><w:t xml:space="preserve">to date contact information can be found at the Foundation’s website</w:t></w:r>
</w:p>
<w:p>
<w:pPr><w:pStyle w:val="Normal"/></w:pPr>
<w:r><w:t xml:space="preserve">and official page at www.gutenberg.org/contact</w:t></w:r>
</w:p>
<w:p>
<w:pPr><w:pStyle w:val="Normal"/></w:pPr>
<w:r><w:t xml:space="preserve">Section 4. Information about Donations to the Project Gutenberg</w:t></w:r>
</w:p>
<w:p>
<w:pPr><w:pStyle w:val="Normal"/></w:pPr>
<w:r><w:t xml:space="preserve">Literary Archive Foundation</w:t></w:r>
</w:p>
<w:p>
<w:pPr><w:pStyle w:val="Normal"/></w:pPr>
<w:r><w:t xml:space="preserve">Project Gutenberg™ depends upon and cannot survive without widespread</w:t></w:r>
</w:p>
<w:p>
<w:pPr><w:pStyle w:val="Normal"/></w:pPr>
<w:r><w:t xml:space="preserve">public support and donations to carry out its mission of</w:t></w:r>
</w:p>
<w:p>
<w:pPr><w:pStyle w:val="Normal"/></w:pPr>
<w:r><w:t xml:space="preserve">increasing the number of public domain and licensed works that can be</w:t></w:r>
</w:p>
<w:p>
<w:pPr><w:pStyle w:val="Normal"/></w:pPr>
<w:r><w:t xml:space="preserve">freely distributed in machine-readable form accessible by the widest</w:t></w:r>
</w:p>
<w:p>
<w:pPr><w:pStyle w:val="Normal"/></w:pPr>
<w:r><w:t xml:space="preserve">array of equipment including outdated equipment. Many small donations</w:t></w:r>
</w:p>
<w:p>
<w:pPr><w:pStyle w:val="Normal"/></w:pPr>
<w:r><w:t xml:space="preserve">($1 to $5,000) are particularly important to maintaining tax exempt</w:t></w:r>
</w:p>
<w:p>
<w:pPr><w:pStyle w:val="Normal"/></w:pPr>
<w:r><w:t xml:space="preserve">status with the IRS.</w:t></w:r>
</w:p>
<w:p>
<w:pPr><w:pStyle w:val="Normal"/></w:pPr>
<w:r><w:t xml:space="preserve">The Foundation is committed to complying with the laws regulating</w:t></w:r>
</w:p>
<w:p>
<w:pPr><w:pStyle w:val="Normal"/></w:pPr>
<w:r><w:t xml:space="preserve">charities and charitable donations in all 50 states of the United</w:t></w:r>
</w:p>
<w:p>
<w:pPr><w:pStyle w:val="Normal"/></w:pPr>
<w:r><w:t xml:space="preserve">States. Compliance requirements are not uniform and it takes a</w:t></w:r>
</w:p>
<w:p>
<w:pPr><w:pStyle w:val="Normal"/></w:pPr>
<w:r><w:t xml:space="preserve">considerable effort, much paperwork and many fees to meet and keep up</w:t></w:r>
</w:p>
<w:p>
<w:pPr><w:pStyle w:val="Normal"/></w:pPr>
<w:r><w:t xml:space="preserve">with these requirements. We do not solicit donations in locations</w:t></w:r>
</w:p>
<w:p>
<w:pPr><w:pStyle w:val="Normal"/></w:pPr>
<w:r><w:t xml:space="preserve">where we have not received written confirmation of compliance. To SEND</w:t></w:r>
</w:p>
<w:p>
<w:pPr><w:pStyle w:val="Normal"/></w:pPr>
<w:r><w:t xml:space="preserve">DONATIONS or determine the status of compliance for any particular state</w:t></w:r>
</w:p>
<w:p>
<w:pPr><w:pStyle w:val="Normal"/></w:pPr>
<w:r><w:t xml:space="preserve">visit www.gutenberg.org/donate.</w:t></w:r>
</w:p>
<w:p>
<w:pPr><w:pStyle w:val="Normal"/></w:pPr>
<w:r><w:t xml:space="preserve">While we cannot and do not solicit contributions from states where we</w:t></w:r>
</w:p>
<w:p>
<w:pPr><w:pStyle w:val="Normal"/></w:pPr>
<w:r><w:t xml:space="preserve">have not met the solicitation requirements, we know of no prohibition</w:t></w:r>
</w:p>
<w:p>
<w:pPr><w:pStyle w:val="Normal"/></w:pPr>
<w:r><w:t xml:space="preserve">against accepting unsolicited donations from donors in such states who</w:t></w:r>
</w:p>
<w:p>
<w:pPr><w:pStyle w:val="Normal"/></w:pPr>
<w:r><w:t xml:space="preserve">approach us with offers to donate.</w:t></w:r>
</w:p>
<w:p>
<w:pPr><w:pStyle w:val="Normal"/></w:pPr>
<w:r><w:t xml:space="preserve">International donations are gratefully accepted, but we cannot make</w:t></w:r>
</w:p>
<w:p>
<w:pPr><w:pStyle w:val="Normal"/></w:pPr>
<w:r><w:t xml:space="preserve">any statements concerning tax treatment of donations received from</w:t></w:r>
</w:p>
<w:p>
<w:pPr><w:pStyle w:val="Normal"/></w:pPr>
<w:r><w:t xml:space="preserve">outside the United States. U.S. laws alone swamp our small staff.</w:t></w:r>
</w:p>
<w:p>
<w:pPr><w:pStyle w:val="Normal"/></w:pPr>
<w:r><w:t xml:space="preserve">Please check the Project Gutenberg web pages for current donation</w:t></w:r>
</w:p>
<w:p>
<w:pPr><w:pStyle w:val="Normal"/></w:pPr>
<w:r><w:t xml:space="preserve">methods and addresses. Donations are accepted in a number of other</w:t></w:r>
</w:p>
<w:p>
<w:pPr><w:pStyle w:val="Normal"/></w:pPr>
<w:r><w:t xml:space="preserve">ways including checks, online payments and credit card donations. To</w:t></w:r>
</w:p>
<w:p>
<w:pPr><w:pStyle w:val="Normal"/></w:pPr>
<w:r><w:t xml:space="preserve">donate, please visit: www.gutenberg.org/donate.</w:t></w:r>
</w:p>
<w:p>
<w:pPr><w:pStyle w:val="Normal"/></w:pPr>
<w:r><w:t xml:space="preserve">Section 5. General Information About Project Gutenberg™ electronic works</w:t></w:r>
</w:p>
<w:p>
<w:pPr><w:pStyle w:val="Normal"/></w:pPr>
<w:r><w:t xml:space="preserve">Professor Michael S. Hart was the originator of the Project</w:t></w:r>
</w:p>
<w:p>
<w:pPr><w:pStyle w:val="Normal"/></w:pPr>
<w:r><w:t xml:space="preserve">Gutenberg™ concept of a library of electronic works that could be</w:t></w:r>
</w:p>
<w:p>
<w:pPr><w:pStyle w:val="Normal"/></w:pPr>
<w:r><w:t xml:space="preserve">freely shared with anyone. For forty years, he produced and</w:t></w:r>
</w:p>
<w:p>
<w:pPr><w:pStyle w:val="Normal"/></w:pPr>
<w:r><w:t xml:space="preserve">distributed Project Gutenberg™ eBooks with only a loose network of</w:t></w:r>
</w:p>
<w:p>
<w:pPr><w:pStyle w:val="Normal"/></w:pPr>
<w:r><w:t xml:space="preserve">volunteer support.</w:t></w:r>
</w:p>
<w:p>
<w:pPr><w:pStyle w:val="Normal"/></w:pPr>
<w:r><w:t xml:space="preserve">Project Gutenberg™ eBooks are often created from several printed</w:t></w:r>
</w:p>
<w:p>
<w:pPr><w:pStyle w:val="Normal"/></w:pPr>
<w:r><w:t xml:space="preserve">editions, all of which are confirmed as not protected by copyright in</w:t></w:r>
</w:p>
<w:p>
<w:pPr><w:pStyle w:val="Normal"/></w:pPr>
<w:r><w:t xml:space="preserve">the U.S. unless a copyright notice is included. Thus, we do not</w:t></w:r>
</w:p>
<w:p>
<w:pPr><w:pStyle w:val="Normal"/></w:pPr>
<w:r><w:t xml:space="preserve">necessarily keep eBooks in compliance with any particular paper</w:t></w:r>
</w:p>
<w:p>
<w:pPr><w:pStyle w:val="Normal"/></w:pPr>
<w:r><w:t xml:space="preserve">edition.</w:t></w:r>
</w:p>
<w:p>
<w:pPr><w:pStyle w:val="Normal"/></w:pPr>
<w:r><w:t xml:space="preserve">Most people start at our website which has the main PG search</w:t></w:r>
</w:p>
<w:p>
<w:pPr><w:pStyle w:val="Normal"/></w:pPr>
<w:r><w:t xml:space="preserve">facility: www.gutenberg.org.</w:t></w:r>
</w:p>
<w:p>
<w:pPr><w:pStyle w:val="Normal"/></w:pPr>
<w:r><w:t xml:space="preserve">This website includes information about Project Gutenberg™,</w:t></w:r>
</w:p>
<w:p>
<w:pPr><w:pStyle w:val="Normal"/></w:pPr>
<w:r><w:t xml:space="preserve">including how to make donations to the Project Gutenberg Literary</w:t></w:r>
</w:p>
<w:p>
<w:pPr><w:pStyle w:val="Normal"/></w:pPr>
<w:r><w:t xml:space="preserve">Archive Foundation, how to help produce our new eBooks, and how to</w:t></w:r>
</w:p>
<w:p>
<w:pPr><w:pStyle w:val="Normal"/></w:pPr>
<w:r><w:t xml:space="preserve">subscribe to our email newsletter to hear about new eBooks.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